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2A51CB" w14:textId="133BDF0D" w:rsidR="00D963DB" w:rsidRDefault="00D963DB" w:rsidP="00D963DB">
      <w:pPr>
        <w:tabs>
          <w:tab w:val="right" w:pos="9639"/>
        </w:tabs>
        <w:spacing w:after="0"/>
        <w:rPr>
          <w:rFonts w:ascii="Arial" w:hAnsi="Arial" w:cs="Arial"/>
          <w:b/>
          <w:sz w:val="28"/>
          <w:lang w:val="en-US" w:eastAsia="en-US"/>
        </w:rPr>
      </w:pPr>
      <w:bookmarkStart w:id="0" w:name="_Toc46439061"/>
      <w:bookmarkStart w:id="1" w:name="_Toc46443898"/>
      <w:bookmarkStart w:id="2" w:name="_Toc46486659"/>
      <w:bookmarkStart w:id="3" w:name="_Toc52836537"/>
      <w:bookmarkStart w:id="4" w:name="_Toc52837545"/>
      <w:bookmarkStart w:id="5" w:name="_Toc53006185"/>
      <w:bookmarkStart w:id="6" w:name="_Toc20425633"/>
      <w:bookmarkStart w:id="7" w:name="_Toc29321029"/>
      <w:bookmarkStart w:id="8" w:name="_Toc36756613"/>
      <w:bookmarkStart w:id="9" w:name="_Toc36836154"/>
      <w:bookmarkStart w:id="10" w:name="_Toc36843131"/>
      <w:bookmarkStart w:id="11" w:name="_Toc37067420"/>
      <w:r>
        <w:rPr>
          <w:rFonts w:ascii="Arial" w:hAnsi="Arial" w:cs="Arial"/>
          <w:b/>
          <w:sz w:val="24"/>
          <w:lang w:val="en-US"/>
        </w:rPr>
        <w:t>3GPP TSG-RAN WG2 Meeting #124</w:t>
      </w:r>
      <w:r>
        <w:rPr>
          <w:rFonts w:ascii="Arial" w:hAnsi="Arial" w:cs="Arial"/>
          <w:b/>
          <w:i/>
          <w:sz w:val="28"/>
          <w:lang w:val="en-US"/>
        </w:rPr>
        <w:tab/>
      </w:r>
      <w:r>
        <w:rPr>
          <w:rFonts w:ascii="Arial" w:hAnsi="Arial" w:cs="Arial"/>
          <w:b/>
          <w:sz w:val="24"/>
          <w:lang w:val="en-US" w:eastAsia="zh-CN"/>
        </w:rPr>
        <w:t>R2-231</w:t>
      </w:r>
      <w:r w:rsidR="00A73468" w:rsidRPr="00A73468">
        <w:rPr>
          <w:rFonts w:ascii="Arial" w:hAnsi="Arial" w:cs="Arial"/>
          <w:b/>
          <w:sz w:val="24"/>
          <w:lang w:val="en-US" w:eastAsia="zh-CN"/>
        </w:rPr>
        <w:t>4041</w:t>
      </w:r>
    </w:p>
    <w:p w14:paraId="6590803B" w14:textId="77777777" w:rsidR="00D963DB" w:rsidRDefault="00D963DB" w:rsidP="00D963DB">
      <w:pPr>
        <w:tabs>
          <w:tab w:val="right" w:pos="9639"/>
        </w:tabs>
        <w:spacing w:after="0"/>
        <w:rPr>
          <w:rFonts w:ascii="Arial" w:hAnsi="Arial" w:cs="Arial"/>
          <w:b/>
          <w:sz w:val="24"/>
          <w:szCs w:val="22"/>
        </w:rPr>
      </w:pPr>
      <w:r>
        <w:rPr>
          <w:rFonts w:ascii="Arial" w:hAnsi="Arial" w:cs="Arial"/>
          <w:b/>
          <w:sz w:val="24"/>
          <w:szCs w:val="24"/>
        </w:rPr>
        <w:t>Chicago, USA 13</w:t>
      </w:r>
      <w:r>
        <w:rPr>
          <w:rFonts w:ascii="Arial" w:hAnsi="Arial" w:cs="Arial"/>
          <w:b/>
          <w:sz w:val="24"/>
          <w:szCs w:val="24"/>
          <w:vertAlign w:val="superscript"/>
        </w:rPr>
        <w:t>rd</w:t>
      </w:r>
      <w:r>
        <w:rPr>
          <w:rFonts w:ascii="Arial" w:hAnsi="Arial" w:cs="Arial"/>
          <w:b/>
          <w:sz w:val="24"/>
          <w:szCs w:val="24"/>
        </w:rPr>
        <w:t xml:space="preserve"> – 17</w:t>
      </w:r>
      <w:r>
        <w:rPr>
          <w:rFonts w:ascii="Arial" w:hAnsi="Arial" w:cs="Arial"/>
          <w:b/>
          <w:sz w:val="24"/>
          <w:szCs w:val="24"/>
          <w:vertAlign w:val="superscript"/>
        </w:rPr>
        <w:t>th</w:t>
      </w:r>
      <w:r>
        <w:rPr>
          <w:rFonts w:ascii="Arial" w:hAnsi="Arial" w:cs="Arial"/>
          <w:b/>
          <w:sz w:val="24"/>
          <w:szCs w:val="24"/>
        </w:rPr>
        <w:t xml:space="preserve"> Nov,</w:t>
      </w:r>
      <w:r>
        <w:rPr>
          <w:rFonts w:ascii="Arial" w:eastAsia="MS Mincho" w:hAnsi="Arial" w:cs="Arial"/>
          <w:b/>
          <w:sz w:val="24"/>
          <w:szCs w:val="22"/>
        </w:rPr>
        <w:t xml:space="preserve"> 2023</w:t>
      </w:r>
    </w:p>
    <w:p w14:paraId="73944D11" w14:textId="77777777" w:rsidR="00D963DB" w:rsidRDefault="00D963DB" w:rsidP="00D963DB">
      <w:pPr>
        <w:spacing w:after="120"/>
        <w:rPr>
          <w:rFonts w:ascii="Arial" w:hAnsi="Arial" w:cs="Arial"/>
          <w:b/>
          <w:sz w:val="18"/>
          <w:szCs w:val="13"/>
          <w:lang w:eastAsia="zh-CN"/>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D963DB" w14:paraId="6ED56058" w14:textId="77777777" w:rsidTr="00D963DB">
        <w:tc>
          <w:tcPr>
            <w:tcW w:w="9641" w:type="dxa"/>
            <w:gridSpan w:val="9"/>
            <w:tcBorders>
              <w:top w:val="single" w:sz="4" w:space="0" w:color="auto"/>
              <w:left w:val="single" w:sz="4" w:space="0" w:color="auto"/>
              <w:bottom w:val="nil"/>
              <w:right w:val="single" w:sz="4" w:space="0" w:color="auto"/>
            </w:tcBorders>
            <w:hideMark/>
          </w:tcPr>
          <w:p w14:paraId="1B5D8C20" w14:textId="77777777" w:rsidR="00D963DB" w:rsidRDefault="00D963DB">
            <w:pPr>
              <w:pStyle w:val="CRCoverPage"/>
              <w:spacing w:after="0"/>
              <w:jc w:val="right"/>
              <w:rPr>
                <w:i/>
              </w:rPr>
            </w:pPr>
            <w:r>
              <w:rPr>
                <w:i/>
                <w:sz w:val="14"/>
              </w:rPr>
              <w:t>CR-Form-v12.2</w:t>
            </w:r>
          </w:p>
        </w:tc>
      </w:tr>
      <w:tr w:rsidR="00D963DB" w14:paraId="01423AA3" w14:textId="77777777" w:rsidTr="00D963DB">
        <w:tc>
          <w:tcPr>
            <w:tcW w:w="9641" w:type="dxa"/>
            <w:gridSpan w:val="9"/>
            <w:tcBorders>
              <w:top w:val="nil"/>
              <w:left w:val="single" w:sz="4" w:space="0" w:color="auto"/>
              <w:bottom w:val="nil"/>
              <w:right w:val="single" w:sz="4" w:space="0" w:color="auto"/>
            </w:tcBorders>
            <w:hideMark/>
          </w:tcPr>
          <w:p w14:paraId="0ADDFD11" w14:textId="77777777" w:rsidR="00D963DB" w:rsidRDefault="00D963DB">
            <w:pPr>
              <w:pStyle w:val="CRCoverPage"/>
              <w:spacing w:after="0"/>
              <w:jc w:val="center"/>
            </w:pPr>
            <w:r>
              <w:rPr>
                <w:b/>
                <w:sz w:val="32"/>
              </w:rPr>
              <w:t>CHANGE REQUEST</w:t>
            </w:r>
          </w:p>
        </w:tc>
      </w:tr>
      <w:tr w:rsidR="00D963DB" w14:paraId="246608C2" w14:textId="77777777" w:rsidTr="00D963DB">
        <w:tc>
          <w:tcPr>
            <w:tcW w:w="9641" w:type="dxa"/>
            <w:gridSpan w:val="9"/>
            <w:tcBorders>
              <w:top w:val="nil"/>
              <w:left w:val="single" w:sz="4" w:space="0" w:color="auto"/>
              <w:bottom w:val="nil"/>
              <w:right w:val="single" w:sz="4" w:space="0" w:color="auto"/>
            </w:tcBorders>
          </w:tcPr>
          <w:p w14:paraId="64D0414D" w14:textId="77777777" w:rsidR="00D963DB" w:rsidRDefault="00D963DB">
            <w:pPr>
              <w:pStyle w:val="CRCoverPage"/>
              <w:spacing w:after="0"/>
              <w:rPr>
                <w:sz w:val="8"/>
                <w:szCs w:val="8"/>
              </w:rPr>
            </w:pPr>
          </w:p>
        </w:tc>
      </w:tr>
      <w:tr w:rsidR="00D963DB" w14:paraId="069DC1A4" w14:textId="77777777" w:rsidTr="00D963DB">
        <w:tc>
          <w:tcPr>
            <w:tcW w:w="142" w:type="dxa"/>
            <w:tcBorders>
              <w:top w:val="nil"/>
              <w:left w:val="single" w:sz="4" w:space="0" w:color="auto"/>
              <w:bottom w:val="nil"/>
              <w:right w:val="nil"/>
            </w:tcBorders>
          </w:tcPr>
          <w:p w14:paraId="796ABAFD" w14:textId="77777777" w:rsidR="00D963DB" w:rsidRDefault="00D963DB">
            <w:pPr>
              <w:pStyle w:val="CRCoverPage"/>
              <w:spacing w:after="0"/>
              <w:jc w:val="right"/>
            </w:pPr>
          </w:p>
        </w:tc>
        <w:tc>
          <w:tcPr>
            <w:tcW w:w="1559" w:type="dxa"/>
            <w:shd w:val="pct30" w:color="FFFF00" w:fill="auto"/>
            <w:hideMark/>
          </w:tcPr>
          <w:p w14:paraId="0E9464D0" w14:textId="77777777" w:rsidR="00D963DB" w:rsidRDefault="00D963DB">
            <w:pPr>
              <w:pStyle w:val="CRCoverPage"/>
              <w:spacing w:after="0"/>
              <w:jc w:val="right"/>
              <w:rPr>
                <w:b/>
                <w:sz w:val="28"/>
              </w:rPr>
            </w:pPr>
            <w:r>
              <w:rPr>
                <w:b/>
                <w:sz w:val="28"/>
              </w:rPr>
              <w:t>38.331</w:t>
            </w:r>
          </w:p>
        </w:tc>
        <w:tc>
          <w:tcPr>
            <w:tcW w:w="709" w:type="dxa"/>
            <w:hideMark/>
          </w:tcPr>
          <w:p w14:paraId="6DEC3E6D" w14:textId="77777777" w:rsidR="00D963DB" w:rsidRDefault="00D963DB">
            <w:pPr>
              <w:pStyle w:val="CRCoverPage"/>
              <w:spacing w:after="0"/>
              <w:jc w:val="center"/>
            </w:pPr>
            <w:r>
              <w:rPr>
                <w:b/>
                <w:sz w:val="28"/>
              </w:rPr>
              <w:t>CR</w:t>
            </w:r>
          </w:p>
        </w:tc>
        <w:tc>
          <w:tcPr>
            <w:tcW w:w="1276" w:type="dxa"/>
            <w:shd w:val="pct30" w:color="FFFF00" w:fill="auto"/>
            <w:hideMark/>
          </w:tcPr>
          <w:p w14:paraId="1B23C4A6" w14:textId="77777777" w:rsidR="00D963DB" w:rsidRDefault="00D963DB">
            <w:pPr>
              <w:pStyle w:val="CRCoverPage"/>
              <w:spacing w:after="0"/>
              <w:jc w:val="right"/>
              <w:rPr>
                <w:b/>
                <w:bCs/>
                <w:sz w:val="28"/>
                <w:szCs w:val="28"/>
                <w:highlight w:val="green"/>
                <w:lang w:eastAsia="zh-CN"/>
              </w:rPr>
            </w:pPr>
            <w:r>
              <w:rPr>
                <w:b/>
                <w:sz w:val="28"/>
              </w:rPr>
              <w:t>4490</w:t>
            </w:r>
          </w:p>
        </w:tc>
        <w:tc>
          <w:tcPr>
            <w:tcW w:w="709" w:type="dxa"/>
            <w:hideMark/>
          </w:tcPr>
          <w:p w14:paraId="463BE142" w14:textId="77777777" w:rsidR="00D963DB" w:rsidRDefault="00D963DB">
            <w:pPr>
              <w:pStyle w:val="CRCoverPage"/>
              <w:tabs>
                <w:tab w:val="right" w:pos="625"/>
              </w:tabs>
              <w:spacing w:after="0"/>
              <w:jc w:val="center"/>
            </w:pPr>
            <w:r>
              <w:rPr>
                <w:b/>
                <w:bCs/>
                <w:sz w:val="28"/>
              </w:rPr>
              <w:t>rev</w:t>
            </w:r>
          </w:p>
        </w:tc>
        <w:tc>
          <w:tcPr>
            <w:tcW w:w="992" w:type="dxa"/>
            <w:shd w:val="pct30" w:color="FFFF00" w:fill="auto"/>
            <w:hideMark/>
          </w:tcPr>
          <w:p w14:paraId="023D695D" w14:textId="630B8249" w:rsidR="00D963DB" w:rsidRDefault="00D963DB">
            <w:pPr>
              <w:pStyle w:val="CRCoverPage"/>
              <w:spacing w:after="0"/>
              <w:jc w:val="center"/>
              <w:rPr>
                <w:b/>
              </w:rPr>
            </w:pPr>
            <w:r>
              <w:rPr>
                <w:b/>
                <w:sz w:val="28"/>
              </w:rPr>
              <w:t>5</w:t>
            </w:r>
          </w:p>
        </w:tc>
        <w:tc>
          <w:tcPr>
            <w:tcW w:w="2410" w:type="dxa"/>
            <w:hideMark/>
          </w:tcPr>
          <w:p w14:paraId="08FFB3BC" w14:textId="77777777" w:rsidR="00D963DB" w:rsidRDefault="00D963DB">
            <w:pPr>
              <w:pStyle w:val="CRCoverPage"/>
              <w:tabs>
                <w:tab w:val="right" w:pos="1825"/>
              </w:tabs>
              <w:spacing w:after="0"/>
              <w:jc w:val="center"/>
            </w:pPr>
            <w:r>
              <w:rPr>
                <w:b/>
                <w:sz w:val="28"/>
                <w:szCs w:val="28"/>
              </w:rPr>
              <w:t>Current version:</w:t>
            </w:r>
          </w:p>
        </w:tc>
        <w:tc>
          <w:tcPr>
            <w:tcW w:w="1701" w:type="dxa"/>
            <w:shd w:val="pct30" w:color="FFFF00" w:fill="auto"/>
            <w:hideMark/>
          </w:tcPr>
          <w:p w14:paraId="549EE773" w14:textId="77777777" w:rsidR="00D963DB" w:rsidRDefault="00D963DB">
            <w:pPr>
              <w:pStyle w:val="CRCoverPage"/>
              <w:spacing w:after="0"/>
              <w:jc w:val="center"/>
              <w:rPr>
                <w:sz w:val="28"/>
                <w:highlight w:val="green"/>
              </w:rPr>
            </w:pPr>
            <w:r>
              <w:rPr>
                <w:b/>
                <w:sz w:val="28"/>
                <w:lang w:eastAsia="zh-CN"/>
              </w:rPr>
              <w:fldChar w:fldCharType="begin"/>
            </w:r>
            <w:r>
              <w:rPr>
                <w:b/>
                <w:sz w:val="28"/>
                <w:lang w:eastAsia="zh-CN"/>
              </w:rPr>
              <w:instrText xml:space="preserve"> DOCPROPERTY  Version  \* MERGEFORMAT </w:instrText>
            </w:r>
            <w:r>
              <w:rPr>
                <w:b/>
                <w:sz w:val="28"/>
                <w:lang w:eastAsia="zh-CN"/>
              </w:rPr>
              <w:fldChar w:fldCharType="separate"/>
            </w:r>
            <w:r>
              <w:rPr>
                <w:b/>
                <w:sz w:val="28"/>
                <w:lang w:eastAsia="zh-CN"/>
              </w:rPr>
              <w:t>17.6.0</w:t>
            </w:r>
            <w:r>
              <w:rPr>
                <w:b/>
                <w:sz w:val="28"/>
                <w:lang w:eastAsia="zh-CN"/>
              </w:rPr>
              <w:fldChar w:fldCharType="end"/>
            </w:r>
          </w:p>
        </w:tc>
        <w:tc>
          <w:tcPr>
            <w:tcW w:w="143" w:type="dxa"/>
            <w:tcBorders>
              <w:top w:val="nil"/>
              <w:left w:val="nil"/>
              <w:bottom w:val="nil"/>
              <w:right w:val="single" w:sz="4" w:space="0" w:color="auto"/>
            </w:tcBorders>
          </w:tcPr>
          <w:p w14:paraId="6F22016E" w14:textId="77777777" w:rsidR="00D963DB" w:rsidRDefault="00D963DB">
            <w:pPr>
              <w:pStyle w:val="CRCoverPage"/>
              <w:spacing w:after="0"/>
            </w:pPr>
          </w:p>
        </w:tc>
      </w:tr>
      <w:tr w:rsidR="00D963DB" w14:paraId="27130F0E" w14:textId="77777777" w:rsidTr="00D963DB">
        <w:tc>
          <w:tcPr>
            <w:tcW w:w="9641" w:type="dxa"/>
            <w:gridSpan w:val="9"/>
            <w:tcBorders>
              <w:top w:val="nil"/>
              <w:left w:val="single" w:sz="4" w:space="0" w:color="auto"/>
              <w:bottom w:val="nil"/>
              <w:right w:val="single" w:sz="4" w:space="0" w:color="auto"/>
            </w:tcBorders>
          </w:tcPr>
          <w:p w14:paraId="6D1A5A9C" w14:textId="77777777" w:rsidR="00D963DB" w:rsidRDefault="00D963DB">
            <w:pPr>
              <w:pStyle w:val="CRCoverPage"/>
              <w:spacing w:after="0"/>
              <w:rPr>
                <w:highlight w:val="green"/>
              </w:rPr>
            </w:pPr>
          </w:p>
        </w:tc>
      </w:tr>
      <w:tr w:rsidR="00D963DB" w14:paraId="15D6A654" w14:textId="77777777" w:rsidTr="00D963DB">
        <w:tc>
          <w:tcPr>
            <w:tcW w:w="9641" w:type="dxa"/>
            <w:gridSpan w:val="9"/>
            <w:tcBorders>
              <w:top w:val="single" w:sz="4" w:space="0" w:color="auto"/>
              <w:left w:val="nil"/>
              <w:bottom w:val="nil"/>
              <w:right w:val="nil"/>
            </w:tcBorders>
            <w:hideMark/>
          </w:tcPr>
          <w:p w14:paraId="213553A5" w14:textId="77777777" w:rsidR="00D963DB" w:rsidRDefault="00D963DB">
            <w:pPr>
              <w:pStyle w:val="CRCoverPage"/>
              <w:spacing w:after="0"/>
              <w:jc w:val="center"/>
              <w:rPr>
                <w:rFonts w:cs="Arial"/>
                <w:i/>
              </w:rPr>
            </w:pPr>
            <w:r>
              <w:rPr>
                <w:rFonts w:cs="Arial"/>
                <w:i/>
              </w:rPr>
              <w:t xml:space="preserve">For </w:t>
            </w:r>
            <w:hyperlink r:id="rId11" w:anchor="_blank" w:history="1">
              <w:r>
                <w:rPr>
                  <w:rStyle w:val="af0"/>
                  <w:rFonts w:cs="Arial"/>
                  <w:b/>
                  <w:i/>
                  <w:color w:val="FF0000"/>
                </w:rPr>
                <w:t>HE</w:t>
              </w:r>
              <w:bookmarkStart w:id="12" w:name="_Hlt497126619"/>
              <w:r>
                <w:rPr>
                  <w:rStyle w:val="af0"/>
                  <w:rFonts w:cs="Arial"/>
                  <w:b/>
                  <w:i/>
                  <w:color w:val="FF0000"/>
                </w:rPr>
                <w:t>L</w:t>
              </w:r>
              <w:bookmarkEnd w:id="12"/>
              <w:r>
                <w:rPr>
                  <w:rStyle w:val="af0"/>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2" w:history="1">
              <w:r>
                <w:rPr>
                  <w:rStyle w:val="af0"/>
                  <w:rFonts w:cs="Arial"/>
                  <w:i/>
                </w:rPr>
                <w:t>http://www.3gpp.org/Change-Requests</w:t>
              </w:r>
            </w:hyperlink>
            <w:r>
              <w:rPr>
                <w:rFonts w:cs="Arial"/>
                <w:i/>
              </w:rPr>
              <w:t>.</w:t>
            </w:r>
          </w:p>
        </w:tc>
      </w:tr>
      <w:tr w:rsidR="00D963DB" w14:paraId="2D73EFC1" w14:textId="77777777" w:rsidTr="00D963DB">
        <w:tc>
          <w:tcPr>
            <w:tcW w:w="9641" w:type="dxa"/>
            <w:gridSpan w:val="9"/>
          </w:tcPr>
          <w:p w14:paraId="66B79FA2" w14:textId="77777777" w:rsidR="00D963DB" w:rsidRDefault="00D963DB">
            <w:pPr>
              <w:pStyle w:val="CRCoverPage"/>
              <w:spacing w:after="0"/>
              <w:rPr>
                <w:sz w:val="8"/>
                <w:szCs w:val="8"/>
              </w:rPr>
            </w:pPr>
          </w:p>
        </w:tc>
      </w:tr>
    </w:tbl>
    <w:p w14:paraId="53C19A26" w14:textId="77777777" w:rsidR="00D963DB" w:rsidRDefault="00D963DB" w:rsidP="00D963DB">
      <w:pPr>
        <w:rPr>
          <w:rFonts w:eastAsiaTheme="minorEastAsia"/>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D963DB" w14:paraId="73B675EB" w14:textId="77777777" w:rsidTr="00D963DB">
        <w:tc>
          <w:tcPr>
            <w:tcW w:w="2835" w:type="dxa"/>
            <w:hideMark/>
          </w:tcPr>
          <w:p w14:paraId="4543983E" w14:textId="77777777" w:rsidR="00D963DB" w:rsidRDefault="00D963DB">
            <w:pPr>
              <w:pStyle w:val="CRCoverPage"/>
              <w:tabs>
                <w:tab w:val="right" w:pos="2751"/>
              </w:tabs>
              <w:spacing w:after="0"/>
              <w:rPr>
                <w:b/>
                <w:i/>
              </w:rPr>
            </w:pPr>
            <w:r>
              <w:rPr>
                <w:b/>
                <w:i/>
              </w:rPr>
              <w:t>Proposed change affects:</w:t>
            </w:r>
          </w:p>
        </w:tc>
        <w:tc>
          <w:tcPr>
            <w:tcW w:w="1418" w:type="dxa"/>
            <w:hideMark/>
          </w:tcPr>
          <w:p w14:paraId="4D3466B4" w14:textId="77777777" w:rsidR="00D963DB" w:rsidRDefault="00D963DB">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E54DB9C" w14:textId="77777777" w:rsidR="00D963DB" w:rsidRDefault="00D963DB">
            <w:pPr>
              <w:pStyle w:val="CRCoverPage"/>
              <w:spacing w:after="0"/>
              <w:jc w:val="center"/>
              <w:rPr>
                <w:b/>
                <w:caps/>
              </w:rPr>
            </w:pPr>
          </w:p>
        </w:tc>
        <w:tc>
          <w:tcPr>
            <w:tcW w:w="709" w:type="dxa"/>
            <w:tcBorders>
              <w:top w:val="nil"/>
              <w:left w:val="single" w:sz="4" w:space="0" w:color="auto"/>
              <w:bottom w:val="nil"/>
              <w:right w:val="nil"/>
            </w:tcBorders>
            <w:hideMark/>
          </w:tcPr>
          <w:p w14:paraId="4879CFCE" w14:textId="77777777" w:rsidR="00D963DB" w:rsidRDefault="00D963DB">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0425ED7A" w14:textId="77777777" w:rsidR="00D963DB" w:rsidRDefault="00D963DB">
            <w:pPr>
              <w:pStyle w:val="CRCoverPage"/>
              <w:spacing w:after="0"/>
              <w:jc w:val="center"/>
              <w:rPr>
                <w:b/>
                <w:caps/>
              </w:rPr>
            </w:pPr>
            <w:r>
              <w:rPr>
                <w:b/>
                <w:caps/>
              </w:rPr>
              <w:t>X</w:t>
            </w:r>
          </w:p>
        </w:tc>
        <w:tc>
          <w:tcPr>
            <w:tcW w:w="2126" w:type="dxa"/>
            <w:hideMark/>
          </w:tcPr>
          <w:p w14:paraId="3E141A6B" w14:textId="77777777" w:rsidR="00D963DB" w:rsidRDefault="00D963DB">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24463E15" w14:textId="77777777" w:rsidR="00D963DB" w:rsidRDefault="00D963DB">
            <w:pPr>
              <w:pStyle w:val="CRCoverPage"/>
              <w:spacing w:after="0"/>
              <w:jc w:val="center"/>
              <w:rPr>
                <w:b/>
                <w:caps/>
              </w:rPr>
            </w:pPr>
            <w:r>
              <w:rPr>
                <w:b/>
                <w:caps/>
              </w:rPr>
              <w:t>X</w:t>
            </w:r>
          </w:p>
        </w:tc>
        <w:tc>
          <w:tcPr>
            <w:tcW w:w="1418" w:type="dxa"/>
            <w:hideMark/>
          </w:tcPr>
          <w:p w14:paraId="35C882D9" w14:textId="77777777" w:rsidR="00D963DB" w:rsidRDefault="00D963DB">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85082CA" w14:textId="77777777" w:rsidR="00D963DB" w:rsidRDefault="00D963DB">
            <w:pPr>
              <w:pStyle w:val="CRCoverPage"/>
              <w:spacing w:after="0"/>
              <w:jc w:val="center"/>
              <w:rPr>
                <w:b/>
                <w:bCs/>
                <w:caps/>
              </w:rPr>
            </w:pPr>
          </w:p>
        </w:tc>
      </w:tr>
    </w:tbl>
    <w:p w14:paraId="39D69FD9" w14:textId="77777777" w:rsidR="00D963DB" w:rsidRDefault="00D963DB" w:rsidP="00D963DB">
      <w:pPr>
        <w:rPr>
          <w:rFonts w:eastAsiaTheme="minorEastAsia"/>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D963DB" w14:paraId="339B5F3F" w14:textId="77777777" w:rsidTr="00D963DB">
        <w:tc>
          <w:tcPr>
            <w:tcW w:w="9640" w:type="dxa"/>
            <w:gridSpan w:val="11"/>
          </w:tcPr>
          <w:p w14:paraId="79BF1BD3" w14:textId="77777777" w:rsidR="00D963DB" w:rsidRDefault="00D963DB">
            <w:pPr>
              <w:pStyle w:val="CRCoverPage"/>
              <w:spacing w:after="0"/>
              <w:rPr>
                <w:sz w:val="8"/>
                <w:szCs w:val="8"/>
              </w:rPr>
            </w:pPr>
          </w:p>
        </w:tc>
      </w:tr>
      <w:tr w:rsidR="00D963DB" w14:paraId="12696157" w14:textId="77777777" w:rsidTr="00D963DB">
        <w:tc>
          <w:tcPr>
            <w:tcW w:w="1843" w:type="dxa"/>
            <w:tcBorders>
              <w:top w:val="single" w:sz="4" w:space="0" w:color="auto"/>
              <w:left w:val="single" w:sz="4" w:space="0" w:color="auto"/>
              <w:bottom w:val="nil"/>
              <w:right w:val="nil"/>
            </w:tcBorders>
            <w:hideMark/>
          </w:tcPr>
          <w:p w14:paraId="6AA1B572" w14:textId="77777777" w:rsidR="00D963DB" w:rsidRDefault="00D963DB">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hideMark/>
          </w:tcPr>
          <w:p w14:paraId="58BAD424" w14:textId="77777777" w:rsidR="00D963DB" w:rsidRDefault="00D963DB">
            <w:pPr>
              <w:pStyle w:val="CRCoverPage"/>
              <w:spacing w:after="0"/>
              <w:ind w:left="100"/>
            </w:pPr>
            <w:r>
              <w:t xml:space="preserve">Introduction of </w:t>
            </w:r>
            <w:r>
              <w:rPr>
                <w:lang w:eastAsia="zh-CN"/>
              </w:rPr>
              <w:t>e</w:t>
            </w:r>
            <w:r>
              <w:t>MBS to RRC</w:t>
            </w:r>
          </w:p>
        </w:tc>
      </w:tr>
      <w:tr w:rsidR="00D963DB" w14:paraId="553B5496" w14:textId="77777777" w:rsidTr="00D963DB">
        <w:tc>
          <w:tcPr>
            <w:tcW w:w="1843" w:type="dxa"/>
            <w:tcBorders>
              <w:top w:val="nil"/>
              <w:left w:val="single" w:sz="4" w:space="0" w:color="auto"/>
              <w:bottom w:val="nil"/>
              <w:right w:val="nil"/>
            </w:tcBorders>
          </w:tcPr>
          <w:p w14:paraId="6FC80E89" w14:textId="77777777" w:rsidR="00D963DB" w:rsidRDefault="00D963DB">
            <w:pPr>
              <w:pStyle w:val="CRCoverPage"/>
              <w:spacing w:after="0"/>
              <w:rPr>
                <w:b/>
                <w:i/>
                <w:sz w:val="8"/>
                <w:szCs w:val="8"/>
              </w:rPr>
            </w:pPr>
          </w:p>
        </w:tc>
        <w:tc>
          <w:tcPr>
            <w:tcW w:w="7797" w:type="dxa"/>
            <w:gridSpan w:val="10"/>
            <w:tcBorders>
              <w:top w:val="nil"/>
              <w:left w:val="nil"/>
              <w:bottom w:val="nil"/>
              <w:right w:val="single" w:sz="4" w:space="0" w:color="auto"/>
            </w:tcBorders>
          </w:tcPr>
          <w:p w14:paraId="68E285FE" w14:textId="77777777" w:rsidR="00D963DB" w:rsidRDefault="00D963DB">
            <w:pPr>
              <w:pStyle w:val="CRCoverPage"/>
              <w:spacing w:after="0"/>
              <w:rPr>
                <w:sz w:val="8"/>
                <w:szCs w:val="8"/>
              </w:rPr>
            </w:pPr>
          </w:p>
        </w:tc>
      </w:tr>
      <w:tr w:rsidR="00D963DB" w14:paraId="3CC5901C" w14:textId="77777777" w:rsidTr="00D963DB">
        <w:tc>
          <w:tcPr>
            <w:tcW w:w="1843" w:type="dxa"/>
            <w:tcBorders>
              <w:top w:val="nil"/>
              <w:left w:val="single" w:sz="4" w:space="0" w:color="auto"/>
              <w:bottom w:val="nil"/>
              <w:right w:val="nil"/>
            </w:tcBorders>
            <w:hideMark/>
          </w:tcPr>
          <w:p w14:paraId="6028ED3C" w14:textId="77777777" w:rsidR="00D963DB" w:rsidRDefault="00D963DB">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hideMark/>
          </w:tcPr>
          <w:p w14:paraId="1D220279" w14:textId="77777777" w:rsidR="00D963DB" w:rsidRDefault="00D963DB">
            <w:pPr>
              <w:pStyle w:val="CRCoverPage"/>
              <w:spacing w:after="0"/>
              <w:ind w:left="100"/>
            </w:pPr>
            <w:r>
              <w:t xml:space="preserve">Huawei, HiSilicon </w:t>
            </w:r>
            <w:r>
              <w:fldChar w:fldCharType="begin"/>
            </w:r>
            <w:r>
              <w:instrText xml:space="preserve"> DOCPROPERTY  SourceIfWg  \* MERGEFORMAT </w:instrText>
            </w:r>
            <w:r>
              <w:fldChar w:fldCharType="end"/>
            </w:r>
          </w:p>
        </w:tc>
      </w:tr>
      <w:tr w:rsidR="00D963DB" w14:paraId="68439298" w14:textId="77777777" w:rsidTr="00D963DB">
        <w:tc>
          <w:tcPr>
            <w:tcW w:w="1843" w:type="dxa"/>
            <w:tcBorders>
              <w:top w:val="nil"/>
              <w:left w:val="single" w:sz="4" w:space="0" w:color="auto"/>
              <w:bottom w:val="nil"/>
              <w:right w:val="nil"/>
            </w:tcBorders>
            <w:hideMark/>
          </w:tcPr>
          <w:p w14:paraId="023645D6" w14:textId="77777777" w:rsidR="00D963DB" w:rsidRDefault="00D963DB">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hideMark/>
          </w:tcPr>
          <w:p w14:paraId="7721D70A" w14:textId="77777777" w:rsidR="00D963DB" w:rsidRDefault="002523A1">
            <w:pPr>
              <w:pStyle w:val="CRCoverPage"/>
              <w:spacing w:after="0"/>
              <w:ind w:left="100"/>
            </w:pPr>
            <w:fldSimple w:instr=" DOCPROPERTY  SourceIfTsg  \* MERGEFORMAT ">
              <w:r w:rsidR="00D963DB">
                <w:t>R2</w:t>
              </w:r>
            </w:fldSimple>
          </w:p>
        </w:tc>
      </w:tr>
      <w:tr w:rsidR="00D963DB" w14:paraId="2A7EF7E9" w14:textId="77777777" w:rsidTr="00D963DB">
        <w:tc>
          <w:tcPr>
            <w:tcW w:w="1843" w:type="dxa"/>
            <w:tcBorders>
              <w:top w:val="nil"/>
              <w:left w:val="single" w:sz="4" w:space="0" w:color="auto"/>
              <w:bottom w:val="nil"/>
              <w:right w:val="nil"/>
            </w:tcBorders>
          </w:tcPr>
          <w:p w14:paraId="035BBAA6" w14:textId="77777777" w:rsidR="00D963DB" w:rsidRDefault="00D963DB">
            <w:pPr>
              <w:pStyle w:val="CRCoverPage"/>
              <w:spacing w:after="0"/>
              <w:rPr>
                <w:b/>
                <w:i/>
                <w:sz w:val="8"/>
                <w:szCs w:val="8"/>
              </w:rPr>
            </w:pPr>
          </w:p>
        </w:tc>
        <w:tc>
          <w:tcPr>
            <w:tcW w:w="7797" w:type="dxa"/>
            <w:gridSpan w:val="10"/>
            <w:tcBorders>
              <w:top w:val="nil"/>
              <w:left w:val="nil"/>
              <w:bottom w:val="nil"/>
              <w:right w:val="single" w:sz="4" w:space="0" w:color="auto"/>
            </w:tcBorders>
          </w:tcPr>
          <w:p w14:paraId="71141538" w14:textId="77777777" w:rsidR="00D963DB" w:rsidRDefault="00D963DB">
            <w:pPr>
              <w:pStyle w:val="CRCoverPage"/>
              <w:spacing w:after="0"/>
              <w:rPr>
                <w:sz w:val="8"/>
                <w:szCs w:val="8"/>
              </w:rPr>
            </w:pPr>
          </w:p>
        </w:tc>
      </w:tr>
      <w:tr w:rsidR="00D963DB" w14:paraId="2E64639B" w14:textId="77777777" w:rsidTr="00D963DB">
        <w:tc>
          <w:tcPr>
            <w:tcW w:w="1843" w:type="dxa"/>
            <w:tcBorders>
              <w:top w:val="nil"/>
              <w:left w:val="single" w:sz="4" w:space="0" w:color="auto"/>
              <w:bottom w:val="nil"/>
              <w:right w:val="nil"/>
            </w:tcBorders>
            <w:hideMark/>
          </w:tcPr>
          <w:p w14:paraId="63F97524" w14:textId="77777777" w:rsidR="00D963DB" w:rsidRDefault="00D963DB">
            <w:pPr>
              <w:pStyle w:val="CRCoverPage"/>
              <w:tabs>
                <w:tab w:val="right" w:pos="1759"/>
              </w:tabs>
              <w:spacing w:after="0"/>
              <w:rPr>
                <w:b/>
                <w:i/>
              </w:rPr>
            </w:pPr>
            <w:r>
              <w:rPr>
                <w:b/>
                <w:i/>
              </w:rPr>
              <w:t>Work item code:</w:t>
            </w:r>
          </w:p>
        </w:tc>
        <w:tc>
          <w:tcPr>
            <w:tcW w:w="3686" w:type="dxa"/>
            <w:gridSpan w:val="5"/>
            <w:shd w:val="pct30" w:color="FFFF00" w:fill="auto"/>
            <w:hideMark/>
          </w:tcPr>
          <w:p w14:paraId="740FDB90" w14:textId="77777777" w:rsidR="00D963DB" w:rsidRDefault="00D963DB">
            <w:pPr>
              <w:pStyle w:val="CRCoverPage"/>
              <w:spacing w:after="0"/>
              <w:ind w:left="100"/>
            </w:pPr>
            <w:r>
              <w:rPr>
                <w:rFonts w:eastAsia="宋体"/>
              </w:rPr>
              <w:t>NR_MBS_enh-Core</w:t>
            </w:r>
          </w:p>
        </w:tc>
        <w:tc>
          <w:tcPr>
            <w:tcW w:w="567" w:type="dxa"/>
          </w:tcPr>
          <w:p w14:paraId="1F671C53" w14:textId="77777777" w:rsidR="00D963DB" w:rsidRDefault="00D963DB">
            <w:pPr>
              <w:pStyle w:val="CRCoverPage"/>
              <w:spacing w:after="0"/>
              <w:ind w:right="100"/>
            </w:pPr>
          </w:p>
        </w:tc>
        <w:tc>
          <w:tcPr>
            <w:tcW w:w="1417" w:type="dxa"/>
            <w:gridSpan w:val="3"/>
            <w:hideMark/>
          </w:tcPr>
          <w:p w14:paraId="51B65D1D" w14:textId="77777777" w:rsidR="00D963DB" w:rsidRDefault="00D963DB">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hideMark/>
          </w:tcPr>
          <w:p w14:paraId="5C1F0DE1" w14:textId="4823ADAB" w:rsidR="00D963DB" w:rsidRDefault="00D963DB">
            <w:pPr>
              <w:pStyle w:val="CRCoverPage"/>
              <w:spacing w:after="0"/>
              <w:ind w:left="100"/>
            </w:pPr>
            <w:r>
              <w:t>2023-12-06</w:t>
            </w:r>
          </w:p>
        </w:tc>
      </w:tr>
      <w:tr w:rsidR="00D963DB" w14:paraId="742D4449" w14:textId="77777777" w:rsidTr="00D963DB">
        <w:tc>
          <w:tcPr>
            <w:tcW w:w="1843" w:type="dxa"/>
            <w:tcBorders>
              <w:top w:val="nil"/>
              <w:left w:val="single" w:sz="4" w:space="0" w:color="auto"/>
              <w:bottom w:val="nil"/>
              <w:right w:val="nil"/>
            </w:tcBorders>
          </w:tcPr>
          <w:p w14:paraId="5C4DF63E" w14:textId="77777777" w:rsidR="00D963DB" w:rsidRDefault="00D963DB">
            <w:pPr>
              <w:pStyle w:val="CRCoverPage"/>
              <w:spacing w:after="0"/>
              <w:rPr>
                <w:b/>
                <w:i/>
                <w:sz w:val="8"/>
                <w:szCs w:val="8"/>
              </w:rPr>
            </w:pPr>
          </w:p>
        </w:tc>
        <w:tc>
          <w:tcPr>
            <w:tcW w:w="1986" w:type="dxa"/>
            <w:gridSpan w:val="4"/>
          </w:tcPr>
          <w:p w14:paraId="35EC868F" w14:textId="77777777" w:rsidR="00D963DB" w:rsidRDefault="00D963DB">
            <w:pPr>
              <w:pStyle w:val="CRCoverPage"/>
              <w:spacing w:after="0"/>
              <w:rPr>
                <w:sz w:val="8"/>
                <w:szCs w:val="8"/>
              </w:rPr>
            </w:pPr>
          </w:p>
        </w:tc>
        <w:tc>
          <w:tcPr>
            <w:tcW w:w="2267" w:type="dxa"/>
            <w:gridSpan w:val="2"/>
          </w:tcPr>
          <w:p w14:paraId="4DF2F437" w14:textId="77777777" w:rsidR="00D963DB" w:rsidRDefault="00D963DB">
            <w:pPr>
              <w:pStyle w:val="CRCoverPage"/>
              <w:spacing w:after="0"/>
              <w:rPr>
                <w:sz w:val="8"/>
                <w:szCs w:val="8"/>
              </w:rPr>
            </w:pPr>
          </w:p>
        </w:tc>
        <w:tc>
          <w:tcPr>
            <w:tcW w:w="1417" w:type="dxa"/>
            <w:gridSpan w:val="3"/>
          </w:tcPr>
          <w:p w14:paraId="7C8FBAC4" w14:textId="77777777" w:rsidR="00D963DB" w:rsidRDefault="00D963DB">
            <w:pPr>
              <w:pStyle w:val="CRCoverPage"/>
              <w:spacing w:after="0"/>
              <w:rPr>
                <w:sz w:val="8"/>
                <w:szCs w:val="8"/>
              </w:rPr>
            </w:pPr>
          </w:p>
        </w:tc>
        <w:tc>
          <w:tcPr>
            <w:tcW w:w="2127" w:type="dxa"/>
            <w:tcBorders>
              <w:top w:val="nil"/>
              <w:left w:val="nil"/>
              <w:bottom w:val="nil"/>
              <w:right w:val="single" w:sz="4" w:space="0" w:color="auto"/>
            </w:tcBorders>
          </w:tcPr>
          <w:p w14:paraId="30FCFAC6" w14:textId="77777777" w:rsidR="00D963DB" w:rsidRDefault="00D963DB">
            <w:pPr>
              <w:pStyle w:val="CRCoverPage"/>
              <w:spacing w:after="0"/>
              <w:rPr>
                <w:sz w:val="8"/>
                <w:szCs w:val="8"/>
              </w:rPr>
            </w:pPr>
          </w:p>
        </w:tc>
      </w:tr>
      <w:tr w:rsidR="00D963DB" w14:paraId="7D18310F" w14:textId="77777777" w:rsidTr="00D963DB">
        <w:trPr>
          <w:cantSplit/>
        </w:trPr>
        <w:tc>
          <w:tcPr>
            <w:tcW w:w="1843" w:type="dxa"/>
            <w:tcBorders>
              <w:top w:val="nil"/>
              <w:left w:val="single" w:sz="4" w:space="0" w:color="auto"/>
              <w:bottom w:val="nil"/>
              <w:right w:val="nil"/>
            </w:tcBorders>
            <w:hideMark/>
          </w:tcPr>
          <w:p w14:paraId="07A193DE" w14:textId="77777777" w:rsidR="00D963DB" w:rsidRDefault="00D963DB">
            <w:pPr>
              <w:pStyle w:val="CRCoverPage"/>
              <w:tabs>
                <w:tab w:val="right" w:pos="1759"/>
              </w:tabs>
              <w:spacing w:after="0"/>
              <w:rPr>
                <w:b/>
                <w:i/>
              </w:rPr>
            </w:pPr>
            <w:r>
              <w:rPr>
                <w:b/>
                <w:i/>
              </w:rPr>
              <w:t>Category:</w:t>
            </w:r>
          </w:p>
        </w:tc>
        <w:tc>
          <w:tcPr>
            <w:tcW w:w="851" w:type="dxa"/>
            <w:shd w:val="pct30" w:color="FFFF00" w:fill="auto"/>
            <w:hideMark/>
          </w:tcPr>
          <w:p w14:paraId="5CB25C20" w14:textId="77777777" w:rsidR="00D963DB" w:rsidRDefault="00D963DB">
            <w:pPr>
              <w:pStyle w:val="CRCoverPage"/>
              <w:spacing w:after="0"/>
              <w:ind w:left="100" w:right="-609"/>
              <w:rPr>
                <w:b/>
              </w:rPr>
            </w:pPr>
            <w:r>
              <w:rPr>
                <w:b/>
              </w:rPr>
              <w:t>B</w:t>
            </w:r>
          </w:p>
        </w:tc>
        <w:tc>
          <w:tcPr>
            <w:tcW w:w="3402" w:type="dxa"/>
            <w:gridSpan w:val="5"/>
          </w:tcPr>
          <w:p w14:paraId="41852578" w14:textId="77777777" w:rsidR="00D963DB" w:rsidRDefault="00D963DB">
            <w:pPr>
              <w:pStyle w:val="CRCoverPage"/>
              <w:spacing w:after="0"/>
            </w:pPr>
          </w:p>
        </w:tc>
        <w:tc>
          <w:tcPr>
            <w:tcW w:w="1417" w:type="dxa"/>
            <w:gridSpan w:val="3"/>
            <w:hideMark/>
          </w:tcPr>
          <w:p w14:paraId="2BFB5160" w14:textId="77777777" w:rsidR="00D963DB" w:rsidRDefault="00D963DB">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hideMark/>
          </w:tcPr>
          <w:p w14:paraId="636D8F1D" w14:textId="77777777" w:rsidR="00D963DB" w:rsidRDefault="002523A1">
            <w:pPr>
              <w:pStyle w:val="CRCoverPage"/>
              <w:spacing w:after="0"/>
              <w:ind w:left="100"/>
            </w:pPr>
            <w:fldSimple w:instr=" DOCPROPERTY  Release  \* MERGEFORMAT ">
              <w:r w:rsidR="00D963DB">
                <w:t>Rel-18</w:t>
              </w:r>
            </w:fldSimple>
          </w:p>
        </w:tc>
      </w:tr>
      <w:tr w:rsidR="00D963DB" w14:paraId="545274C4" w14:textId="77777777" w:rsidTr="00D963DB">
        <w:tc>
          <w:tcPr>
            <w:tcW w:w="1843" w:type="dxa"/>
            <w:tcBorders>
              <w:top w:val="nil"/>
              <w:left w:val="single" w:sz="4" w:space="0" w:color="auto"/>
              <w:bottom w:val="single" w:sz="4" w:space="0" w:color="auto"/>
              <w:right w:val="nil"/>
            </w:tcBorders>
          </w:tcPr>
          <w:p w14:paraId="241F1160" w14:textId="77777777" w:rsidR="00D963DB" w:rsidRDefault="00D963DB">
            <w:pPr>
              <w:pStyle w:val="CRCoverPage"/>
              <w:spacing w:after="0"/>
              <w:rPr>
                <w:b/>
                <w:i/>
              </w:rPr>
            </w:pPr>
          </w:p>
        </w:tc>
        <w:tc>
          <w:tcPr>
            <w:tcW w:w="4677" w:type="dxa"/>
            <w:gridSpan w:val="8"/>
            <w:tcBorders>
              <w:top w:val="nil"/>
              <w:left w:val="nil"/>
              <w:bottom w:val="single" w:sz="4" w:space="0" w:color="auto"/>
              <w:right w:val="nil"/>
            </w:tcBorders>
            <w:hideMark/>
          </w:tcPr>
          <w:p w14:paraId="56EA4C57" w14:textId="77777777" w:rsidR="00D963DB" w:rsidRDefault="00D963DB">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757F95D8" w14:textId="77777777" w:rsidR="00D963DB" w:rsidRDefault="00D963DB">
            <w:pPr>
              <w:pStyle w:val="CRCoverPage"/>
            </w:pPr>
            <w:r>
              <w:rPr>
                <w:sz w:val="18"/>
              </w:rPr>
              <w:t>Detailed explanations of the above categories can</w:t>
            </w:r>
            <w:r>
              <w:rPr>
                <w:sz w:val="18"/>
              </w:rPr>
              <w:br/>
              <w:t xml:space="preserve">be found in 3GPP </w:t>
            </w:r>
            <w:hyperlink r:id="rId13" w:history="1">
              <w:r>
                <w:rPr>
                  <w:rStyle w:val="af0"/>
                  <w:sz w:val="18"/>
                </w:rPr>
                <w:t>TR 21.900</w:t>
              </w:r>
            </w:hyperlink>
            <w:r>
              <w:rPr>
                <w:sz w:val="18"/>
              </w:rPr>
              <w:t>.</w:t>
            </w:r>
          </w:p>
        </w:tc>
        <w:tc>
          <w:tcPr>
            <w:tcW w:w="3120" w:type="dxa"/>
            <w:gridSpan w:val="2"/>
            <w:tcBorders>
              <w:top w:val="nil"/>
              <w:left w:val="nil"/>
              <w:bottom w:val="single" w:sz="4" w:space="0" w:color="auto"/>
              <w:right w:val="single" w:sz="4" w:space="0" w:color="auto"/>
            </w:tcBorders>
            <w:hideMark/>
          </w:tcPr>
          <w:p w14:paraId="3AA4836B" w14:textId="77777777" w:rsidR="00D963DB" w:rsidRDefault="00D963DB">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D963DB" w14:paraId="6A351ED8" w14:textId="77777777" w:rsidTr="00D963DB">
        <w:tc>
          <w:tcPr>
            <w:tcW w:w="1843" w:type="dxa"/>
          </w:tcPr>
          <w:p w14:paraId="7A565552" w14:textId="77777777" w:rsidR="00D963DB" w:rsidRDefault="00D963DB">
            <w:pPr>
              <w:pStyle w:val="CRCoverPage"/>
              <w:spacing w:after="0"/>
              <w:rPr>
                <w:b/>
                <w:i/>
                <w:sz w:val="8"/>
                <w:szCs w:val="8"/>
              </w:rPr>
            </w:pPr>
          </w:p>
        </w:tc>
        <w:tc>
          <w:tcPr>
            <w:tcW w:w="7797" w:type="dxa"/>
            <w:gridSpan w:val="10"/>
          </w:tcPr>
          <w:p w14:paraId="5D142DFD" w14:textId="77777777" w:rsidR="00D963DB" w:rsidRDefault="00D963DB">
            <w:pPr>
              <w:pStyle w:val="CRCoverPage"/>
              <w:spacing w:after="0"/>
              <w:rPr>
                <w:sz w:val="8"/>
                <w:szCs w:val="8"/>
              </w:rPr>
            </w:pPr>
          </w:p>
        </w:tc>
      </w:tr>
      <w:tr w:rsidR="00D963DB" w14:paraId="76459106" w14:textId="77777777" w:rsidTr="00D963DB">
        <w:tc>
          <w:tcPr>
            <w:tcW w:w="2694" w:type="dxa"/>
            <w:gridSpan w:val="2"/>
            <w:tcBorders>
              <w:top w:val="single" w:sz="4" w:space="0" w:color="auto"/>
              <w:left w:val="single" w:sz="4" w:space="0" w:color="auto"/>
              <w:bottom w:val="nil"/>
              <w:right w:val="nil"/>
            </w:tcBorders>
            <w:hideMark/>
          </w:tcPr>
          <w:p w14:paraId="12ED3FCE" w14:textId="77777777" w:rsidR="00D963DB" w:rsidRDefault="00D963DB">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32B57490" w14:textId="77777777" w:rsidR="00D963DB" w:rsidRDefault="00D963DB">
            <w:pPr>
              <w:pStyle w:val="CRCoverPage"/>
              <w:tabs>
                <w:tab w:val="left" w:pos="384"/>
              </w:tabs>
              <w:spacing w:before="20" w:after="80"/>
            </w:pPr>
            <w:r>
              <w:t>This CR introduces the enhancements specified for MBS in Rel-18.</w:t>
            </w:r>
          </w:p>
        </w:tc>
      </w:tr>
      <w:tr w:rsidR="00D963DB" w14:paraId="1866BB32" w14:textId="77777777" w:rsidTr="00D963DB">
        <w:tc>
          <w:tcPr>
            <w:tcW w:w="2694" w:type="dxa"/>
            <w:gridSpan w:val="2"/>
            <w:tcBorders>
              <w:top w:val="nil"/>
              <w:left w:val="single" w:sz="4" w:space="0" w:color="auto"/>
              <w:bottom w:val="nil"/>
              <w:right w:val="nil"/>
            </w:tcBorders>
          </w:tcPr>
          <w:p w14:paraId="65D995C7" w14:textId="77777777" w:rsidR="00D963DB" w:rsidRDefault="00D963DB">
            <w:pPr>
              <w:pStyle w:val="CRCoverPage"/>
              <w:spacing w:after="0"/>
              <w:rPr>
                <w:b/>
                <w:i/>
                <w:sz w:val="8"/>
                <w:szCs w:val="8"/>
              </w:rPr>
            </w:pPr>
          </w:p>
        </w:tc>
        <w:tc>
          <w:tcPr>
            <w:tcW w:w="6946" w:type="dxa"/>
            <w:gridSpan w:val="9"/>
            <w:tcBorders>
              <w:top w:val="nil"/>
              <w:left w:val="nil"/>
              <w:bottom w:val="nil"/>
              <w:right w:val="single" w:sz="4" w:space="0" w:color="auto"/>
            </w:tcBorders>
          </w:tcPr>
          <w:p w14:paraId="6753E435" w14:textId="77777777" w:rsidR="00D963DB" w:rsidRDefault="00D963DB">
            <w:pPr>
              <w:pStyle w:val="CRCoverPage"/>
              <w:spacing w:after="0"/>
              <w:rPr>
                <w:sz w:val="8"/>
                <w:szCs w:val="8"/>
              </w:rPr>
            </w:pPr>
          </w:p>
        </w:tc>
      </w:tr>
      <w:tr w:rsidR="00D963DB" w14:paraId="120A931C" w14:textId="77777777" w:rsidTr="00D963DB">
        <w:tc>
          <w:tcPr>
            <w:tcW w:w="2694" w:type="dxa"/>
            <w:gridSpan w:val="2"/>
            <w:tcBorders>
              <w:top w:val="nil"/>
              <w:left w:val="single" w:sz="4" w:space="0" w:color="auto"/>
              <w:bottom w:val="nil"/>
              <w:right w:val="nil"/>
            </w:tcBorders>
            <w:hideMark/>
          </w:tcPr>
          <w:p w14:paraId="38281CE5" w14:textId="77777777" w:rsidR="00D963DB" w:rsidRDefault="00D963DB">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hideMark/>
          </w:tcPr>
          <w:p w14:paraId="75E94BB7" w14:textId="77777777" w:rsidR="00D963DB" w:rsidRDefault="00D963DB">
            <w:pPr>
              <w:pStyle w:val="CRCoverPage"/>
              <w:spacing w:after="0"/>
              <w:rPr>
                <w:rFonts w:cs="Arial"/>
                <w:lang w:eastAsia="zh-CN"/>
              </w:rPr>
            </w:pPr>
            <w:r>
              <w:rPr>
                <w:rFonts w:cs="Arial"/>
                <w:lang w:eastAsia="zh-CN"/>
              </w:rPr>
              <w:t>Introduction of multicast reception for UEs in RRC_INACTIVE and shared processing for simultaneous reception of broadcast and unicast.</w:t>
            </w:r>
          </w:p>
        </w:tc>
      </w:tr>
      <w:tr w:rsidR="00D963DB" w14:paraId="703FF566" w14:textId="77777777" w:rsidTr="00D963DB">
        <w:tc>
          <w:tcPr>
            <w:tcW w:w="2694" w:type="dxa"/>
            <w:gridSpan w:val="2"/>
            <w:tcBorders>
              <w:top w:val="nil"/>
              <w:left w:val="single" w:sz="4" w:space="0" w:color="auto"/>
              <w:bottom w:val="nil"/>
              <w:right w:val="nil"/>
            </w:tcBorders>
          </w:tcPr>
          <w:p w14:paraId="3ABA54BE" w14:textId="77777777" w:rsidR="00D963DB" w:rsidRDefault="00D963DB">
            <w:pPr>
              <w:pStyle w:val="CRCoverPage"/>
              <w:spacing w:after="0"/>
              <w:rPr>
                <w:b/>
                <w:i/>
                <w:sz w:val="8"/>
                <w:szCs w:val="8"/>
              </w:rPr>
            </w:pPr>
          </w:p>
        </w:tc>
        <w:tc>
          <w:tcPr>
            <w:tcW w:w="6946" w:type="dxa"/>
            <w:gridSpan w:val="9"/>
            <w:tcBorders>
              <w:top w:val="nil"/>
              <w:left w:val="nil"/>
              <w:bottom w:val="nil"/>
              <w:right w:val="single" w:sz="4" w:space="0" w:color="auto"/>
            </w:tcBorders>
          </w:tcPr>
          <w:p w14:paraId="1951C003" w14:textId="77777777" w:rsidR="00D963DB" w:rsidRDefault="00D963DB">
            <w:pPr>
              <w:pStyle w:val="CRCoverPage"/>
              <w:spacing w:after="0"/>
              <w:rPr>
                <w:sz w:val="8"/>
                <w:szCs w:val="8"/>
              </w:rPr>
            </w:pPr>
          </w:p>
        </w:tc>
      </w:tr>
      <w:tr w:rsidR="00D963DB" w14:paraId="56170C94" w14:textId="77777777" w:rsidTr="00D963DB">
        <w:tc>
          <w:tcPr>
            <w:tcW w:w="2694" w:type="dxa"/>
            <w:gridSpan w:val="2"/>
            <w:tcBorders>
              <w:top w:val="nil"/>
              <w:left w:val="single" w:sz="4" w:space="0" w:color="auto"/>
              <w:bottom w:val="single" w:sz="4" w:space="0" w:color="auto"/>
              <w:right w:val="nil"/>
            </w:tcBorders>
            <w:hideMark/>
          </w:tcPr>
          <w:p w14:paraId="60B640BD" w14:textId="77777777" w:rsidR="00D963DB" w:rsidRDefault="00D963DB">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4ADE8813" w14:textId="77777777" w:rsidR="00D963DB" w:rsidRDefault="00D963DB">
            <w:pPr>
              <w:pStyle w:val="CRCoverPage"/>
              <w:spacing w:after="0"/>
              <w:jc w:val="both"/>
              <w:rPr>
                <w:lang w:eastAsia="zh-CN"/>
              </w:rPr>
            </w:pPr>
            <w:r>
              <w:rPr>
                <w:lang w:eastAsia="zh-CN"/>
              </w:rPr>
              <w:t>Rel-18 MBS enhancements are not supported.</w:t>
            </w:r>
          </w:p>
        </w:tc>
      </w:tr>
      <w:tr w:rsidR="00D963DB" w14:paraId="14C7FAFE" w14:textId="77777777" w:rsidTr="00D963DB">
        <w:tc>
          <w:tcPr>
            <w:tcW w:w="2694" w:type="dxa"/>
            <w:gridSpan w:val="2"/>
          </w:tcPr>
          <w:p w14:paraId="4D4A7523" w14:textId="77777777" w:rsidR="00D963DB" w:rsidRDefault="00D963DB">
            <w:pPr>
              <w:pStyle w:val="CRCoverPage"/>
              <w:spacing w:after="0"/>
              <w:rPr>
                <w:b/>
                <w:i/>
                <w:sz w:val="8"/>
                <w:szCs w:val="8"/>
              </w:rPr>
            </w:pPr>
          </w:p>
        </w:tc>
        <w:tc>
          <w:tcPr>
            <w:tcW w:w="6946" w:type="dxa"/>
            <w:gridSpan w:val="9"/>
          </w:tcPr>
          <w:p w14:paraId="3C7CA4B8" w14:textId="77777777" w:rsidR="00D963DB" w:rsidRDefault="00D963DB">
            <w:pPr>
              <w:pStyle w:val="CRCoverPage"/>
              <w:spacing w:after="0"/>
              <w:rPr>
                <w:sz w:val="8"/>
                <w:szCs w:val="8"/>
              </w:rPr>
            </w:pPr>
          </w:p>
        </w:tc>
      </w:tr>
      <w:tr w:rsidR="00D963DB" w14:paraId="4833279C" w14:textId="77777777" w:rsidTr="00D963DB">
        <w:tc>
          <w:tcPr>
            <w:tcW w:w="2694" w:type="dxa"/>
            <w:gridSpan w:val="2"/>
            <w:tcBorders>
              <w:top w:val="single" w:sz="4" w:space="0" w:color="auto"/>
              <w:left w:val="single" w:sz="4" w:space="0" w:color="auto"/>
              <w:bottom w:val="nil"/>
              <w:right w:val="nil"/>
            </w:tcBorders>
            <w:hideMark/>
          </w:tcPr>
          <w:p w14:paraId="56F49513" w14:textId="77777777" w:rsidR="00D963DB" w:rsidRDefault="00D963DB">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0007D997" w14:textId="77777777" w:rsidR="00D963DB" w:rsidRDefault="00D963DB">
            <w:pPr>
              <w:pStyle w:val="CRCoverPage"/>
              <w:spacing w:after="0"/>
              <w:rPr>
                <w:lang w:eastAsia="zh-CN"/>
              </w:rPr>
            </w:pPr>
            <w:r>
              <w:rPr>
                <w:lang w:eastAsia="zh-CN"/>
              </w:rPr>
              <w:t>4.2.1, 5.2.2.4.2, 5.2.2.4.x(new), 5.3.2.3, 5.3.8.3, 5.3.13.2, 5.3.13.4, 5.3.13.x(new), 5.3.14.4, 5.9.4.1, 5.9.4.2, 5.9.4.3, 5.9.4.5, 5.x.1(new), 5.x.2(new), 5.x.3(new), 6.2.1, 6.2.2, 6.3.1, 6.3.2, 6.3.6, 6.4</w:t>
            </w:r>
          </w:p>
        </w:tc>
      </w:tr>
      <w:tr w:rsidR="00D963DB" w14:paraId="7AB6660E" w14:textId="77777777" w:rsidTr="00D963DB">
        <w:tc>
          <w:tcPr>
            <w:tcW w:w="2694" w:type="dxa"/>
            <w:gridSpan w:val="2"/>
            <w:tcBorders>
              <w:top w:val="nil"/>
              <w:left w:val="single" w:sz="4" w:space="0" w:color="auto"/>
              <w:bottom w:val="nil"/>
              <w:right w:val="nil"/>
            </w:tcBorders>
          </w:tcPr>
          <w:p w14:paraId="6D835686" w14:textId="77777777" w:rsidR="00D963DB" w:rsidRDefault="00D963DB">
            <w:pPr>
              <w:pStyle w:val="CRCoverPage"/>
              <w:spacing w:after="0"/>
              <w:rPr>
                <w:b/>
                <w:i/>
                <w:sz w:val="8"/>
                <w:szCs w:val="8"/>
              </w:rPr>
            </w:pPr>
          </w:p>
        </w:tc>
        <w:tc>
          <w:tcPr>
            <w:tcW w:w="6946" w:type="dxa"/>
            <w:gridSpan w:val="9"/>
            <w:tcBorders>
              <w:top w:val="nil"/>
              <w:left w:val="nil"/>
              <w:bottom w:val="nil"/>
              <w:right w:val="single" w:sz="4" w:space="0" w:color="auto"/>
            </w:tcBorders>
          </w:tcPr>
          <w:p w14:paraId="629B4BC3" w14:textId="77777777" w:rsidR="00D963DB" w:rsidRDefault="00D963DB">
            <w:pPr>
              <w:pStyle w:val="CRCoverPage"/>
              <w:spacing w:after="0"/>
              <w:rPr>
                <w:sz w:val="8"/>
                <w:szCs w:val="8"/>
              </w:rPr>
            </w:pPr>
          </w:p>
        </w:tc>
      </w:tr>
      <w:tr w:rsidR="00D963DB" w14:paraId="34B23AFD" w14:textId="77777777" w:rsidTr="00D963DB">
        <w:tc>
          <w:tcPr>
            <w:tcW w:w="2694" w:type="dxa"/>
            <w:gridSpan w:val="2"/>
            <w:tcBorders>
              <w:top w:val="nil"/>
              <w:left w:val="single" w:sz="4" w:space="0" w:color="auto"/>
              <w:bottom w:val="nil"/>
              <w:right w:val="nil"/>
            </w:tcBorders>
          </w:tcPr>
          <w:p w14:paraId="42762EB5" w14:textId="77777777" w:rsidR="00D963DB" w:rsidRDefault="00D963DB">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hideMark/>
          </w:tcPr>
          <w:p w14:paraId="4AEAA6E7" w14:textId="77777777" w:rsidR="00D963DB" w:rsidRDefault="00D963DB">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hideMark/>
          </w:tcPr>
          <w:p w14:paraId="2711BAE5" w14:textId="77777777" w:rsidR="00D963DB" w:rsidRDefault="00D963DB">
            <w:pPr>
              <w:pStyle w:val="CRCoverPage"/>
              <w:spacing w:after="0"/>
              <w:jc w:val="center"/>
              <w:rPr>
                <w:b/>
                <w:caps/>
              </w:rPr>
            </w:pPr>
            <w:r>
              <w:rPr>
                <w:b/>
                <w:caps/>
              </w:rPr>
              <w:t>N</w:t>
            </w:r>
          </w:p>
        </w:tc>
        <w:tc>
          <w:tcPr>
            <w:tcW w:w="2977" w:type="dxa"/>
            <w:gridSpan w:val="4"/>
          </w:tcPr>
          <w:p w14:paraId="6E3BA7E6" w14:textId="77777777" w:rsidR="00D963DB" w:rsidRDefault="00D963DB">
            <w:pPr>
              <w:pStyle w:val="CRCoverPage"/>
              <w:tabs>
                <w:tab w:val="right" w:pos="2893"/>
              </w:tabs>
              <w:spacing w:after="0"/>
            </w:pPr>
          </w:p>
        </w:tc>
        <w:tc>
          <w:tcPr>
            <w:tcW w:w="3401" w:type="dxa"/>
            <w:gridSpan w:val="3"/>
            <w:tcBorders>
              <w:top w:val="nil"/>
              <w:left w:val="nil"/>
              <w:bottom w:val="nil"/>
              <w:right w:val="single" w:sz="4" w:space="0" w:color="auto"/>
            </w:tcBorders>
          </w:tcPr>
          <w:p w14:paraId="01A5120D" w14:textId="77777777" w:rsidR="00D963DB" w:rsidRDefault="00D963DB">
            <w:pPr>
              <w:pStyle w:val="CRCoverPage"/>
              <w:spacing w:after="0"/>
              <w:ind w:left="99"/>
            </w:pPr>
          </w:p>
        </w:tc>
      </w:tr>
      <w:tr w:rsidR="00D963DB" w14:paraId="20A765ED" w14:textId="77777777" w:rsidTr="00D963DB">
        <w:tc>
          <w:tcPr>
            <w:tcW w:w="2694" w:type="dxa"/>
            <w:gridSpan w:val="2"/>
            <w:tcBorders>
              <w:top w:val="nil"/>
              <w:left w:val="single" w:sz="4" w:space="0" w:color="auto"/>
              <w:bottom w:val="nil"/>
              <w:right w:val="nil"/>
            </w:tcBorders>
            <w:hideMark/>
          </w:tcPr>
          <w:p w14:paraId="348DD394" w14:textId="77777777" w:rsidR="00D963DB" w:rsidRDefault="00D963DB">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3FFAA7AD" w14:textId="77777777" w:rsidR="00D963DB" w:rsidRDefault="00D963DB">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FF5DF2" w14:textId="77777777" w:rsidR="00D963DB" w:rsidRDefault="00D963DB">
            <w:pPr>
              <w:pStyle w:val="CRCoverPage"/>
              <w:spacing w:after="0"/>
              <w:jc w:val="center"/>
              <w:rPr>
                <w:b/>
                <w:caps/>
              </w:rPr>
            </w:pPr>
          </w:p>
        </w:tc>
        <w:tc>
          <w:tcPr>
            <w:tcW w:w="2977" w:type="dxa"/>
            <w:gridSpan w:val="4"/>
            <w:hideMark/>
          </w:tcPr>
          <w:p w14:paraId="18C3D0A7" w14:textId="77777777" w:rsidR="00D963DB" w:rsidRDefault="00D963DB">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hideMark/>
          </w:tcPr>
          <w:p w14:paraId="2B2851F0" w14:textId="77777777" w:rsidR="00D963DB" w:rsidRDefault="00D963DB">
            <w:pPr>
              <w:pStyle w:val="CRCoverPage"/>
              <w:spacing w:after="0"/>
              <w:ind w:left="99"/>
            </w:pPr>
            <w:r>
              <w:t>TS 38.300 CR 0732</w:t>
            </w:r>
          </w:p>
          <w:p w14:paraId="44DC31AA" w14:textId="77777777" w:rsidR="00D963DB" w:rsidRDefault="00D963DB">
            <w:pPr>
              <w:pStyle w:val="CRCoverPage"/>
              <w:spacing w:after="0"/>
              <w:ind w:left="99"/>
            </w:pPr>
            <w:r>
              <w:t>TS 38.321 CR 1701</w:t>
            </w:r>
          </w:p>
          <w:p w14:paraId="4E6A198E" w14:textId="77777777" w:rsidR="00D963DB" w:rsidRDefault="00D963DB">
            <w:pPr>
              <w:pStyle w:val="CRCoverPage"/>
              <w:spacing w:after="0"/>
              <w:ind w:left="99"/>
            </w:pPr>
            <w:r>
              <w:t>TS 38.304 CR 0355</w:t>
            </w:r>
          </w:p>
          <w:p w14:paraId="57632B69" w14:textId="77777777" w:rsidR="00D963DB" w:rsidRDefault="00D963DB">
            <w:pPr>
              <w:pStyle w:val="CRCoverPage"/>
              <w:spacing w:after="0"/>
              <w:ind w:left="99"/>
            </w:pPr>
            <w:r>
              <w:t>TS 38.323 CR 0130</w:t>
            </w:r>
          </w:p>
          <w:p w14:paraId="12853849" w14:textId="77777777" w:rsidR="00D963DB" w:rsidRDefault="00D963DB">
            <w:pPr>
              <w:pStyle w:val="CRCoverPage"/>
              <w:spacing w:after="0"/>
              <w:ind w:left="99"/>
            </w:pPr>
            <w:r>
              <w:t>TS 38.306 CR 1015</w:t>
            </w:r>
          </w:p>
          <w:p w14:paraId="1BCCF388" w14:textId="77777777" w:rsidR="00D963DB" w:rsidRDefault="00D963DB">
            <w:pPr>
              <w:pStyle w:val="CRCoverPage"/>
              <w:spacing w:after="0"/>
              <w:ind w:left="99"/>
            </w:pPr>
            <w:r>
              <w:rPr>
                <w:lang w:eastAsia="zh-CN"/>
              </w:rPr>
              <w:t>TS 38.331 CR 4510</w:t>
            </w:r>
          </w:p>
        </w:tc>
      </w:tr>
      <w:tr w:rsidR="00D963DB" w14:paraId="18193604" w14:textId="77777777" w:rsidTr="00D963DB">
        <w:tc>
          <w:tcPr>
            <w:tcW w:w="2694" w:type="dxa"/>
            <w:gridSpan w:val="2"/>
            <w:tcBorders>
              <w:top w:val="nil"/>
              <w:left w:val="single" w:sz="4" w:space="0" w:color="auto"/>
              <w:bottom w:val="nil"/>
              <w:right w:val="nil"/>
            </w:tcBorders>
            <w:hideMark/>
          </w:tcPr>
          <w:p w14:paraId="50FDED71" w14:textId="77777777" w:rsidR="00D963DB" w:rsidRDefault="00D963DB">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388AF8AB" w14:textId="77777777" w:rsidR="00D963DB" w:rsidRDefault="00D963D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4672922F" w14:textId="77777777" w:rsidR="00D963DB" w:rsidRDefault="00D963DB">
            <w:pPr>
              <w:pStyle w:val="CRCoverPage"/>
              <w:spacing w:after="0"/>
              <w:jc w:val="center"/>
              <w:rPr>
                <w:b/>
                <w:caps/>
              </w:rPr>
            </w:pPr>
            <w:r>
              <w:rPr>
                <w:b/>
                <w:caps/>
              </w:rPr>
              <w:t>X</w:t>
            </w:r>
          </w:p>
        </w:tc>
        <w:tc>
          <w:tcPr>
            <w:tcW w:w="2977" w:type="dxa"/>
            <w:gridSpan w:val="4"/>
            <w:hideMark/>
          </w:tcPr>
          <w:p w14:paraId="345EFBA7" w14:textId="77777777" w:rsidR="00D963DB" w:rsidRDefault="00D963DB">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hideMark/>
          </w:tcPr>
          <w:p w14:paraId="3AE902B2" w14:textId="77777777" w:rsidR="00D963DB" w:rsidRDefault="00D963DB">
            <w:pPr>
              <w:pStyle w:val="CRCoverPage"/>
              <w:spacing w:after="0"/>
              <w:ind w:left="99"/>
            </w:pPr>
            <w:r>
              <w:t xml:space="preserve">TS/TR ... CR ... </w:t>
            </w:r>
          </w:p>
        </w:tc>
      </w:tr>
      <w:tr w:rsidR="00D963DB" w14:paraId="0A61EF18" w14:textId="77777777" w:rsidTr="00D963DB">
        <w:tc>
          <w:tcPr>
            <w:tcW w:w="2694" w:type="dxa"/>
            <w:gridSpan w:val="2"/>
            <w:tcBorders>
              <w:top w:val="nil"/>
              <w:left w:val="single" w:sz="4" w:space="0" w:color="auto"/>
              <w:bottom w:val="nil"/>
              <w:right w:val="nil"/>
            </w:tcBorders>
            <w:hideMark/>
          </w:tcPr>
          <w:p w14:paraId="1A39F8A5" w14:textId="77777777" w:rsidR="00D963DB" w:rsidRDefault="00D963DB">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D048677" w14:textId="77777777" w:rsidR="00D963DB" w:rsidRDefault="00D963D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71A769BB" w14:textId="77777777" w:rsidR="00D963DB" w:rsidRDefault="00D963DB">
            <w:pPr>
              <w:pStyle w:val="CRCoverPage"/>
              <w:spacing w:after="0"/>
              <w:jc w:val="center"/>
              <w:rPr>
                <w:b/>
                <w:caps/>
              </w:rPr>
            </w:pPr>
            <w:r>
              <w:rPr>
                <w:b/>
                <w:caps/>
              </w:rPr>
              <w:t>X</w:t>
            </w:r>
          </w:p>
        </w:tc>
        <w:tc>
          <w:tcPr>
            <w:tcW w:w="2977" w:type="dxa"/>
            <w:gridSpan w:val="4"/>
            <w:hideMark/>
          </w:tcPr>
          <w:p w14:paraId="3E90175B" w14:textId="77777777" w:rsidR="00D963DB" w:rsidRDefault="00D963DB">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hideMark/>
          </w:tcPr>
          <w:p w14:paraId="38DCD19B" w14:textId="77777777" w:rsidR="00D963DB" w:rsidRDefault="00D963DB">
            <w:pPr>
              <w:pStyle w:val="CRCoverPage"/>
              <w:spacing w:after="0"/>
              <w:ind w:left="99"/>
            </w:pPr>
            <w:r>
              <w:t xml:space="preserve">TS/TR ... CR ... </w:t>
            </w:r>
          </w:p>
        </w:tc>
      </w:tr>
      <w:tr w:rsidR="00D963DB" w14:paraId="3A77707A" w14:textId="77777777" w:rsidTr="00D963DB">
        <w:tc>
          <w:tcPr>
            <w:tcW w:w="2694" w:type="dxa"/>
            <w:gridSpan w:val="2"/>
            <w:tcBorders>
              <w:top w:val="nil"/>
              <w:left w:val="single" w:sz="4" w:space="0" w:color="auto"/>
              <w:bottom w:val="nil"/>
              <w:right w:val="nil"/>
            </w:tcBorders>
          </w:tcPr>
          <w:p w14:paraId="6A1E1FA4" w14:textId="77777777" w:rsidR="00D963DB" w:rsidRDefault="00D963DB">
            <w:pPr>
              <w:pStyle w:val="CRCoverPage"/>
              <w:spacing w:after="0"/>
              <w:rPr>
                <w:b/>
                <w:i/>
              </w:rPr>
            </w:pPr>
          </w:p>
        </w:tc>
        <w:tc>
          <w:tcPr>
            <w:tcW w:w="6946" w:type="dxa"/>
            <w:gridSpan w:val="9"/>
            <w:tcBorders>
              <w:top w:val="nil"/>
              <w:left w:val="nil"/>
              <w:bottom w:val="nil"/>
              <w:right w:val="single" w:sz="4" w:space="0" w:color="auto"/>
            </w:tcBorders>
          </w:tcPr>
          <w:p w14:paraId="20B0D210" w14:textId="77777777" w:rsidR="00D963DB" w:rsidRDefault="00D963DB">
            <w:pPr>
              <w:pStyle w:val="CRCoverPage"/>
              <w:spacing w:after="0"/>
            </w:pPr>
          </w:p>
        </w:tc>
      </w:tr>
      <w:tr w:rsidR="00D963DB" w14:paraId="52891FBB" w14:textId="77777777" w:rsidTr="00D963DB">
        <w:tc>
          <w:tcPr>
            <w:tcW w:w="2694" w:type="dxa"/>
            <w:gridSpan w:val="2"/>
            <w:tcBorders>
              <w:top w:val="nil"/>
              <w:left w:val="single" w:sz="4" w:space="0" w:color="auto"/>
              <w:bottom w:val="single" w:sz="4" w:space="0" w:color="auto"/>
              <w:right w:val="nil"/>
            </w:tcBorders>
            <w:hideMark/>
          </w:tcPr>
          <w:p w14:paraId="1322C8CC" w14:textId="77777777" w:rsidR="00D963DB" w:rsidRDefault="00D963DB">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387DF0BC" w14:textId="77777777" w:rsidR="00D963DB" w:rsidRDefault="00D963DB">
            <w:pPr>
              <w:pStyle w:val="CRCoverPage"/>
              <w:spacing w:after="0"/>
            </w:pPr>
          </w:p>
        </w:tc>
      </w:tr>
      <w:tr w:rsidR="00D963DB" w14:paraId="0DDDF5CF" w14:textId="77777777" w:rsidTr="00D963DB">
        <w:tc>
          <w:tcPr>
            <w:tcW w:w="2694" w:type="dxa"/>
            <w:gridSpan w:val="2"/>
            <w:tcBorders>
              <w:top w:val="single" w:sz="4" w:space="0" w:color="auto"/>
              <w:left w:val="nil"/>
              <w:bottom w:val="single" w:sz="4" w:space="0" w:color="auto"/>
              <w:right w:val="nil"/>
            </w:tcBorders>
          </w:tcPr>
          <w:p w14:paraId="7193350D" w14:textId="77777777" w:rsidR="00D963DB" w:rsidRDefault="00D963DB">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767380C" w14:textId="77777777" w:rsidR="00D963DB" w:rsidRDefault="00D963DB">
            <w:pPr>
              <w:pStyle w:val="CRCoverPage"/>
              <w:spacing w:after="0"/>
              <w:ind w:left="100"/>
              <w:rPr>
                <w:sz w:val="8"/>
                <w:szCs w:val="8"/>
              </w:rPr>
            </w:pPr>
          </w:p>
        </w:tc>
      </w:tr>
      <w:tr w:rsidR="00D963DB" w14:paraId="6DF52B61" w14:textId="77777777" w:rsidTr="00D963DB">
        <w:tc>
          <w:tcPr>
            <w:tcW w:w="2694" w:type="dxa"/>
            <w:gridSpan w:val="2"/>
            <w:tcBorders>
              <w:top w:val="single" w:sz="4" w:space="0" w:color="auto"/>
              <w:left w:val="single" w:sz="4" w:space="0" w:color="auto"/>
              <w:bottom w:val="single" w:sz="4" w:space="0" w:color="auto"/>
              <w:right w:val="nil"/>
            </w:tcBorders>
            <w:hideMark/>
          </w:tcPr>
          <w:p w14:paraId="172BCAB0" w14:textId="77777777" w:rsidR="00D963DB" w:rsidRDefault="00D963DB">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060B762B" w14:textId="77777777" w:rsidR="00D963DB" w:rsidRDefault="00D963DB" w:rsidP="00D963DB">
            <w:pPr>
              <w:pStyle w:val="CRCoverPage"/>
              <w:numPr>
                <w:ilvl w:val="0"/>
                <w:numId w:val="32"/>
              </w:numPr>
              <w:spacing w:after="0" w:line="256" w:lineRule="auto"/>
              <w:rPr>
                <w:lang w:eastAsia="zh-CN"/>
              </w:rPr>
            </w:pPr>
            <w:r>
              <w:rPr>
                <w:lang w:eastAsia="zh-CN"/>
              </w:rPr>
              <w:t xml:space="preserve">Compared to the endorsed version in R2-2306855 after May meeting, the CR is updated based on the latest version of RRC spec (v17.5.0). </w:t>
            </w:r>
          </w:p>
          <w:p w14:paraId="00C0F3E4" w14:textId="77777777" w:rsidR="00D963DB" w:rsidRDefault="00D963DB" w:rsidP="00D963DB">
            <w:pPr>
              <w:pStyle w:val="CRCoverPage"/>
              <w:numPr>
                <w:ilvl w:val="0"/>
                <w:numId w:val="32"/>
              </w:numPr>
              <w:spacing w:after="0" w:line="256" w:lineRule="auto"/>
              <w:rPr>
                <w:lang w:eastAsia="zh-CN"/>
              </w:rPr>
            </w:pPr>
            <w:r>
              <w:rPr>
                <w:lang w:eastAsia="zh-CN"/>
              </w:rPr>
              <w:t xml:space="preserve">The CR is further updated based on RAN2#123 meeting agreements. </w:t>
            </w:r>
          </w:p>
          <w:p w14:paraId="05592203" w14:textId="77777777" w:rsidR="00D963DB" w:rsidRDefault="00D963DB" w:rsidP="00D963DB">
            <w:pPr>
              <w:pStyle w:val="CRCoverPage"/>
              <w:numPr>
                <w:ilvl w:val="0"/>
                <w:numId w:val="32"/>
              </w:numPr>
              <w:spacing w:after="0" w:line="256" w:lineRule="auto"/>
              <w:rPr>
                <w:lang w:eastAsia="zh-CN"/>
              </w:rPr>
            </w:pPr>
            <w:r>
              <w:rPr>
                <w:lang w:eastAsia="zh-CN"/>
              </w:rPr>
              <w:t>There is no change compared to the endorsed version in R2-2309033 after August meeting</w:t>
            </w:r>
          </w:p>
          <w:p w14:paraId="477A78B3" w14:textId="77777777" w:rsidR="00D963DB" w:rsidRDefault="00D963DB" w:rsidP="00D963DB">
            <w:pPr>
              <w:pStyle w:val="CRCoverPage"/>
              <w:numPr>
                <w:ilvl w:val="0"/>
                <w:numId w:val="32"/>
              </w:numPr>
              <w:spacing w:after="0" w:line="256" w:lineRule="auto"/>
              <w:rPr>
                <w:lang w:eastAsia="zh-CN"/>
              </w:rPr>
            </w:pPr>
            <w:r>
              <w:rPr>
                <w:lang w:eastAsia="zh-CN"/>
              </w:rPr>
              <w:t>The CR is updated based on agreements from RAN2#123bis. And the CR is updated based on the latest version of RRC spec (v17.6.0).</w:t>
            </w:r>
          </w:p>
          <w:p w14:paraId="4075456D" w14:textId="77777777" w:rsidR="00D963DB" w:rsidRDefault="00D963DB" w:rsidP="00D963DB">
            <w:pPr>
              <w:pStyle w:val="CRCoverPage"/>
              <w:numPr>
                <w:ilvl w:val="0"/>
                <w:numId w:val="32"/>
              </w:numPr>
              <w:spacing w:after="0" w:line="256" w:lineRule="auto"/>
              <w:rPr>
                <w:lang w:eastAsia="zh-CN"/>
              </w:rPr>
            </w:pPr>
            <w:r>
              <w:rPr>
                <w:lang w:eastAsia="zh-CN"/>
              </w:rPr>
              <w:lastRenderedPageBreak/>
              <w:t>The CR is further updated based on agreements from RAN2#124 and during the post RAN2#124 email discussion.</w:t>
            </w:r>
          </w:p>
        </w:tc>
      </w:tr>
    </w:tbl>
    <w:p w14:paraId="4C1B1B4F" w14:textId="77777777" w:rsidR="00D963DB" w:rsidRDefault="00D963DB">
      <w:pPr>
        <w:overflowPunct/>
        <w:autoSpaceDE/>
        <w:autoSpaceDN/>
        <w:adjustRightInd/>
        <w:spacing w:after="0"/>
        <w:textAlignment w:val="auto"/>
      </w:pPr>
      <w:r>
        <w:lastRenderedPageBreak/>
        <w:br w:type="page"/>
      </w:r>
    </w:p>
    <w:p w14:paraId="16940024" w14:textId="76959E7B" w:rsidR="00096193" w:rsidRPr="00096193" w:rsidRDefault="00096193" w:rsidP="00096193">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bookmarkStart w:id="13" w:name="_Toc53006487"/>
      <w:bookmarkStart w:id="14" w:name="_Toc46486961"/>
      <w:bookmarkStart w:id="15" w:name="_Toc52836839"/>
      <w:bookmarkStart w:id="16" w:name="_Toc46439363"/>
      <w:bookmarkStart w:id="17" w:name="_Toc46444200"/>
      <w:bookmarkStart w:id="18" w:name="_Toc52837847"/>
      <w:r>
        <w:rPr>
          <w:rFonts w:eastAsia="Malgun Gothic"/>
          <w:i/>
        </w:rPr>
        <w:lastRenderedPageBreak/>
        <w:t>Start of Change</w:t>
      </w:r>
      <w:bookmarkStart w:id="19" w:name="_Toc139044921"/>
      <w:bookmarkStart w:id="20" w:name="_Toc115390174"/>
      <w:bookmarkStart w:id="21" w:name="_Toc124712525"/>
      <w:bookmarkEnd w:id="13"/>
      <w:bookmarkEnd w:id="14"/>
      <w:bookmarkEnd w:id="15"/>
      <w:bookmarkEnd w:id="16"/>
      <w:bookmarkEnd w:id="17"/>
      <w:bookmarkEnd w:id="18"/>
      <w:r>
        <w:rPr>
          <w:rFonts w:eastAsia="MS Mincho"/>
        </w:rPr>
        <w:t>s</w:t>
      </w:r>
      <w:bookmarkEnd w:id="19"/>
      <w:bookmarkEnd w:id="20"/>
      <w:bookmarkEnd w:id="21"/>
    </w:p>
    <w:p w14:paraId="7628AB3E" w14:textId="77777777" w:rsidR="00394471" w:rsidRPr="00FA0D37" w:rsidRDefault="00394471" w:rsidP="00394471">
      <w:pPr>
        <w:pStyle w:val="2"/>
        <w:rPr>
          <w:rFonts w:eastAsia="MS Mincho"/>
        </w:rPr>
      </w:pPr>
      <w:bookmarkStart w:id="22" w:name="_Toc60776690"/>
      <w:bookmarkStart w:id="23" w:name="_Toc146780639"/>
      <w:r w:rsidRPr="00FA0D37">
        <w:rPr>
          <w:rFonts w:eastAsia="MS Mincho"/>
        </w:rPr>
        <w:t>4.2</w:t>
      </w:r>
      <w:r w:rsidRPr="00FA0D37">
        <w:rPr>
          <w:rFonts w:eastAsia="MS Mincho"/>
        </w:rPr>
        <w:tab/>
        <w:t>Architecture</w:t>
      </w:r>
      <w:bookmarkEnd w:id="22"/>
      <w:bookmarkEnd w:id="23"/>
    </w:p>
    <w:p w14:paraId="113E532D" w14:textId="77777777" w:rsidR="00394471" w:rsidRPr="00FA0D37" w:rsidRDefault="00394471" w:rsidP="00394471">
      <w:pPr>
        <w:pStyle w:val="3"/>
        <w:rPr>
          <w:rFonts w:eastAsia="MS Mincho"/>
        </w:rPr>
      </w:pPr>
      <w:bookmarkStart w:id="24" w:name="_Toc60776691"/>
      <w:bookmarkStart w:id="25" w:name="_Toc146780640"/>
      <w:r w:rsidRPr="00FA0D37">
        <w:rPr>
          <w:rFonts w:eastAsia="MS Mincho"/>
        </w:rPr>
        <w:t>4.2.1</w:t>
      </w:r>
      <w:r w:rsidRPr="00FA0D37">
        <w:rPr>
          <w:rFonts w:eastAsia="MS Mincho"/>
        </w:rPr>
        <w:tab/>
        <w:t>UE states and state transitions including inter RAT</w:t>
      </w:r>
      <w:bookmarkEnd w:id="24"/>
      <w:bookmarkEnd w:id="25"/>
    </w:p>
    <w:p w14:paraId="1F099D52" w14:textId="77777777" w:rsidR="00394471" w:rsidRPr="00FA0D37" w:rsidRDefault="00394471" w:rsidP="00394471">
      <w:r w:rsidRPr="00FA0D37">
        <w:t>A UE is either in RRC_CONNECTED state or in RRC_INACTIVE state when an RRC connection has been established. If this is not the case, i.e. no RRC connection is established, the UE is in RRC_IDLE state. The RRC states can further be characterised as follows:</w:t>
      </w:r>
    </w:p>
    <w:p w14:paraId="4EE52090" w14:textId="77777777" w:rsidR="00394471" w:rsidRPr="00FA0D37" w:rsidRDefault="00394471" w:rsidP="00394471">
      <w:pPr>
        <w:pStyle w:val="B1"/>
      </w:pPr>
      <w:r w:rsidRPr="00FA0D37">
        <w:rPr>
          <w:b/>
          <w:bCs/>
        </w:rPr>
        <w:t>-</w:t>
      </w:r>
      <w:r w:rsidRPr="00FA0D37">
        <w:rPr>
          <w:b/>
          <w:bCs/>
        </w:rPr>
        <w:tab/>
        <w:t>RRC_IDLE</w:t>
      </w:r>
      <w:r w:rsidRPr="00FA0D37">
        <w:t>:</w:t>
      </w:r>
    </w:p>
    <w:p w14:paraId="471F22FB" w14:textId="77777777" w:rsidR="00394471" w:rsidRPr="00FA0D37" w:rsidRDefault="00394471" w:rsidP="00394471">
      <w:pPr>
        <w:pStyle w:val="B2"/>
      </w:pPr>
      <w:r w:rsidRPr="00FA0D37">
        <w:t>-</w:t>
      </w:r>
      <w:r w:rsidRPr="00FA0D37">
        <w:tab/>
        <w:t>A UE specific DRX may be configured by upper layers;</w:t>
      </w:r>
    </w:p>
    <w:p w14:paraId="7FF463BE" w14:textId="77777777" w:rsidR="000660EE" w:rsidRPr="00FA0D37" w:rsidRDefault="000660EE" w:rsidP="000660EE">
      <w:pPr>
        <w:pStyle w:val="B2"/>
      </w:pPr>
      <w:r w:rsidRPr="00FA0D37">
        <w:t>-</w:t>
      </w:r>
      <w:r w:rsidRPr="00FA0D37">
        <w:tab/>
        <w:t>At lower layers, the UE may be configured with a DRX for PTM transmission of MBS broadcast;</w:t>
      </w:r>
    </w:p>
    <w:p w14:paraId="108DDBE4" w14:textId="77777777" w:rsidR="00394471" w:rsidRPr="00FA0D37" w:rsidRDefault="00394471" w:rsidP="00394471">
      <w:pPr>
        <w:pStyle w:val="B2"/>
      </w:pPr>
      <w:r w:rsidRPr="00FA0D37">
        <w:t>-</w:t>
      </w:r>
      <w:r w:rsidRPr="00FA0D37">
        <w:tab/>
        <w:t>UE controlled mobility based on network configuration;</w:t>
      </w:r>
    </w:p>
    <w:p w14:paraId="2D39721A" w14:textId="77777777" w:rsidR="00394471" w:rsidRPr="00FA0D37" w:rsidRDefault="00394471" w:rsidP="00394471">
      <w:pPr>
        <w:pStyle w:val="B2"/>
      </w:pPr>
      <w:r w:rsidRPr="00FA0D37">
        <w:t>-</w:t>
      </w:r>
      <w:r w:rsidRPr="00FA0D37">
        <w:tab/>
        <w:t>The UE:</w:t>
      </w:r>
    </w:p>
    <w:p w14:paraId="0FDB12BC" w14:textId="77777777" w:rsidR="00394471" w:rsidRPr="00FA0D37" w:rsidRDefault="00394471" w:rsidP="00394471">
      <w:pPr>
        <w:pStyle w:val="B3"/>
      </w:pPr>
      <w:r w:rsidRPr="00FA0D37">
        <w:t>-</w:t>
      </w:r>
      <w:r w:rsidRPr="00FA0D37">
        <w:tab/>
        <w:t>Monitors Short Messages transmitted with P-RNTI over DCI (see clause 6.5);</w:t>
      </w:r>
    </w:p>
    <w:p w14:paraId="626A6E1E" w14:textId="3273AEB8" w:rsidR="00394471" w:rsidRPr="00FA0D37" w:rsidRDefault="00394471" w:rsidP="00394471">
      <w:pPr>
        <w:pStyle w:val="B3"/>
      </w:pPr>
      <w:r w:rsidRPr="00FA0D37">
        <w:t>-</w:t>
      </w:r>
      <w:r w:rsidRPr="00FA0D37">
        <w:tab/>
        <w:t>Monitors a Paging channel for CN paging using 5G-S-TMSI</w:t>
      </w:r>
      <w:r w:rsidR="001E5272" w:rsidRPr="00FA0D37">
        <w:t>, except if the UE is acting as a L2 U2N Remote UE</w:t>
      </w:r>
      <w:r w:rsidRPr="00FA0D37">
        <w:t>;</w:t>
      </w:r>
    </w:p>
    <w:p w14:paraId="2E7E37D0" w14:textId="2B8DD8CF" w:rsidR="00214323" w:rsidRPr="00FA0D37" w:rsidRDefault="00214323" w:rsidP="00214323">
      <w:pPr>
        <w:pStyle w:val="B3"/>
      </w:pPr>
      <w:r w:rsidRPr="00FA0D37">
        <w:t>-</w:t>
      </w:r>
      <w:r w:rsidRPr="00FA0D37">
        <w:tab/>
        <w:t xml:space="preserve">If configured by upper layers for MBS multicast reception, monitors </w:t>
      </w:r>
      <w:r w:rsidR="000660EE" w:rsidRPr="00FA0D37">
        <w:t xml:space="preserve">a </w:t>
      </w:r>
      <w:r w:rsidRPr="00FA0D37">
        <w:t>Paging channel for CN paging using TMGI;</w:t>
      </w:r>
    </w:p>
    <w:p w14:paraId="280F5B1A" w14:textId="77777777" w:rsidR="00394471" w:rsidRPr="00FA0D37" w:rsidRDefault="00394471" w:rsidP="00394471">
      <w:pPr>
        <w:pStyle w:val="B3"/>
      </w:pPr>
      <w:r w:rsidRPr="00FA0D37">
        <w:t>-</w:t>
      </w:r>
      <w:r w:rsidRPr="00FA0D37">
        <w:tab/>
        <w:t>Performs neighbouring cell measurements and cell (re-)selection;</w:t>
      </w:r>
    </w:p>
    <w:p w14:paraId="7026C4FE" w14:textId="6774C096" w:rsidR="00394471" w:rsidRPr="00FA0D37" w:rsidRDefault="00394471" w:rsidP="00394471">
      <w:pPr>
        <w:pStyle w:val="B3"/>
      </w:pPr>
      <w:r w:rsidRPr="00FA0D37">
        <w:t>-</w:t>
      </w:r>
      <w:r w:rsidRPr="00FA0D37">
        <w:tab/>
        <w:t>Acquires system information and can send SI request (if configured)</w:t>
      </w:r>
      <w:r w:rsidR="008F48B7" w:rsidRPr="00FA0D37">
        <w:t>;</w:t>
      </w:r>
    </w:p>
    <w:p w14:paraId="1A60283B" w14:textId="050D2891" w:rsidR="00394471" w:rsidRPr="00FA0D37" w:rsidRDefault="00394471" w:rsidP="00394471">
      <w:pPr>
        <w:pStyle w:val="B3"/>
      </w:pPr>
      <w:r w:rsidRPr="00FA0D37">
        <w:t>-</w:t>
      </w:r>
      <w:r w:rsidRPr="00FA0D37">
        <w:tab/>
        <w:t>Performs logging of available measurements together with location and time for logged measurement configured UEs</w:t>
      </w:r>
      <w:r w:rsidR="008F48B7" w:rsidRPr="00FA0D37">
        <w:t>;</w:t>
      </w:r>
    </w:p>
    <w:p w14:paraId="434C7F2D" w14:textId="6AB67D98" w:rsidR="008F48B7" w:rsidRPr="00FA0D37" w:rsidRDefault="008F48B7" w:rsidP="008F48B7">
      <w:pPr>
        <w:pStyle w:val="B3"/>
      </w:pPr>
      <w:r w:rsidRPr="00FA0D37">
        <w:t>-</w:t>
      </w:r>
      <w:r w:rsidRPr="00FA0D37">
        <w:tab/>
        <w:t>Performs idle/inactive measurements for idle/inactive measurement configured UEs</w:t>
      </w:r>
      <w:r w:rsidR="00214323" w:rsidRPr="00FA0D37">
        <w:t>;</w:t>
      </w:r>
    </w:p>
    <w:p w14:paraId="792BFA8D" w14:textId="77777777" w:rsidR="00214323" w:rsidRPr="00FA0D37" w:rsidRDefault="00214323" w:rsidP="00214323">
      <w:pPr>
        <w:pStyle w:val="B3"/>
      </w:pPr>
      <w:r w:rsidRPr="00FA0D37">
        <w:t>-</w:t>
      </w:r>
      <w:r w:rsidRPr="00FA0D37">
        <w:tab/>
        <w:t>If configured by upper layers for MBS broadcast reception, acquires MCCH change notification and MBS broadcast control information and data.</w:t>
      </w:r>
    </w:p>
    <w:p w14:paraId="75F41EE5" w14:textId="77777777" w:rsidR="00394471" w:rsidRPr="00FA0D37" w:rsidRDefault="00394471" w:rsidP="00394471">
      <w:pPr>
        <w:pStyle w:val="B1"/>
      </w:pPr>
      <w:r w:rsidRPr="00FA0D37">
        <w:rPr>
          <w:b/>
          <w:bCs/>
        </w:rPr>
        <w:t>-</w:t>
      </w:r>
      <w:r w:rsidRPr="00FA0D37">
        <w:rPr>
          <w:b/>
          <w:bCs/>
        </w:rPr>
        <w:tab/>
        <w:t>RRC_INACTIVE</w:t>
      </w:r>
      <w:r w:rsidRPr="00FA0D37">
        <w:t>:</w:t>
      </w:r>
    </w:p>
    <w:p w14:paraId="315231A0" w14:textId="77777777" w:rsidR="00394471" w:rsidRPr="00FA0D37" w:rsidRDefault="00394471" w:rsidP="00394471">
      <w:pPr>
        <w:pStyle w:val="B2"/>
      </w:pPr>
      <w:r w:rsidRPr="00FA0D37">
        <w:t>-</w:t>
      </w:r>
      <w:r w:rsidRPr="00FA0D37">
        <w:tab/>
        <w:t>A UE specific DRX may be configured by upper layers or by RRC layer;</w:t>
      </w:r>
    </w:p>
    <w:p w14:paraId="3D4D8A13" w14:textId="6AE2C7F3" w:rsidR="000660EE" w:rsidRPr="00FA0D37" w:rsidRDefault="000660EE" w:rsidP="000660EE">
      <w:pPr>
        <w:pStyle w:val="B2"/>
      </w:pPr>
      <w:r w:rsidRPr="00FA0D37">
        <w:t>-</w:t>
      </w:r>
      <w:r w:rsidRPr="00FA0D37">
        <w:tab/>
        <w:t>At lower layers, the UE may be configured with a DRX for PTM transmission of MBS broadcast</w:t>
      </w:r>
      <w:ins w:id="26" w:author="Huawei, HiSilicon" w:date="2023-12-06T15:15:00Z">
        <w:r w:rsidR="00103DA3">
          <w:t xml:space="preserve"> and/or a DRX for PTM transmission of MBS multicast</w:t>
        </w:r>
      </w:ins>
      <w:r w:rsidRPr="00FA0D37">
        <w:t>;</w:t>
      </w:r>
    </w:p>
    <w:p w14:paraId="39469979" w14:textId="77777777" w:rsidR="00394471" w:rsidRPr="00FA0D37" w:rsidRDefault="00394471" w:rsidP="00394471">
      <w:pPr>
        <w:pStyle w:val="B2"/>
      </w:pPr>
      <w:r w:rsidRPr="00FA0D37">
        <w:t>-</w:t>
      </w:r>
      <w:r w:rsidRPr="00FA0D37">
        <w:tab/>
        <w:t>UE controlled mobility based on network configuration;</w:t>
      </w:r>
    </w:p>
    <w:p w14:paraId="647A8255" w14:textId="77777777" w:rsidR="00394471" w:rsidRPr="00FA0D37" w:rsidRDefault="00394471" w:rsidP="00394471">
      <w:pPr>
        <w:pStyle w:val="B2"/>
      </w:pPr>
      <w:r w:rsidRPr="00FA0D37">
        <w:t>-</w:t>
      </w:r>
      <w:r w:rsidRPr="00FA0D37">
        <w:tab/>
        <w:t>The UE stores the UE Inactive AS context;</w:t>
      </w:r>
    </w:p>
    <w:p w14:paraId="4AE6ECBE" w14:textId="77777777" w:rsidR="00394471" w:rsidRPr="00FA0D37" w:rsidRDefault="00394471" w:rsidP="00394471">
      <w:pPr>
        <w:pStyle w:val="B2"/>
      </w:pPr>
      <w:r w:rsidRPr="00FA0D37">
        <w:t>-</w:t>
      </w:r>
      <w:r w:rsidRPr="00FA0D37">
        <w:tab/>
        <w:t>A RAN-based notification area is configured by RRC layer;</w:t>
      </w:r>
    </w:p>
    <w:p w14:paraId="69B43D50" w14:textId="2EC74B93" w:rsidR="0070235D" w:rsidRPr="00FA0D37" w:rsidRDefault="0070235D" w:rsidP="0070235D">
      <w:pPr>
        <w:pStyle w:val="B2"/>
      </w:pPr>
      <w:r w:rsidRPr="00FA0D37">
        <w:t>-</w:t>
      </w:r>
      <w:r w:rsidRPr="00FA0D37">
        <w:tab/>
        <w:t>Transfer of unicast data and/or signalling to/from UE over radio bearers configured for SDT</w:t>
      </w:r>
      <w:r w:rsidR="001E1B85" w:rsidRPr="00FA0D37">
        <w:t>.</w:t>
      </w:r>
    </w:p>
    <w:p w14:paraId="18150427" w14:textId="3943D772" w:rsidR="00394471" w:rsidRPr="00FA0D37" w:rsidRDefault="00A84ABA" w:rsidP="00394471">
      <w:pPr>
        <w:pStyle w:val="B2"/>
      </w:pPr>
      <w:r w:rsidRPr="00FA0D37">
        <w:t>-</w:t>
      </w:r>
      <w:r w:rsidRPr="00FA0D37">
        <w:tab/>
      </w:r>
      <w:r w:rsidR="00394471" w:rsidRPr="00FA0D37">
        <w:t>The UE:</w:t>
      </w:r>
    </w:p>
    <w:p w14:paraId="794CF873" w14:textId="77777777" w:rsidR="00394471" w:rsidRPr="00FA0D37" w:rsidRDefault="00394471" w:rsidP="00394471">
      <w:pPr>
        <w:pStyle w:val="B3"/>
      </w:pPr>
      <w:r w:rsidRPr="00FA0D37">
        <w:t>-</w:t>
      </w:r>
      <w:r w:rsidRPr="00FA0D37">
        <w:tab/>
        <w:t>Monitors Short Messages transmitted with P-RNTI over DCI (see clause 6.5);</w:t>
      </w:r>
    </w:p>
    <w:p w14:paraId="4AA516E6" w14:textId="77777777" w:rsidR="0070235D" w:rsidRPr="00FA0D37" w:rsidRDefault="0070235D" w:rsidP="0070235D">
      <w:pPr>
        <w:pStyle w:val="B3"/>
      </w:pPr>
      <w:r w:rsidRPr="00FA0D37">
        <w:t>-</w:t>
      </w:r>
      <w:r w:rsidRPr="00FA0D37">
        <w:tab/>
        <w:t>During SDT procedure, monitors control channels associated with the shared data channel to determine if data is scheduled for it;</w:t>
      </w:r>
    </w:p>
    <w:p w14:paraId="18E43B08" w14:textId="3DA4F43D" w:rsidR="00394471" w:rsidRPr="00FA0D37" w:rsidRDefault="00394471" w:rsidP="00394471">
      <w:pPr>
        <w:pStyle w:val="B3"/>
      </w:pPr>
      <w:r w:rsidRPr="00FA0D37">
        <w:t>-</w:t>
      </w:r>
      <w:r w:rsidRPr="00FA0D37">
        <w:tab/>
      </w:r>
      <w:r w:rsidR="0070235D" w:rsidRPr="00FA0D37">
        <w:t>While SDT procedure is not ongoing, m</w:t>
      </w:r>
      <w:r w:rsidRPr="00FA0D37">
        <w:t>onitors a Paging channel for CN paging using 5G-S-TMSI and RAN paging using fullI-RNTI</w:t>
      </w:r>
      <w:r w:rsidR="001E5272" w:rsidRPr="00FA0D37">
        <w:t>, except if the UE is acting as a L2 U2N Remote UE</w:t>
      </w:r>
      <w:r w:rsidRPr="00FA0D37">
        <w:t>;</w:t>
      </w:r>
    </w:p>
    <w:p w14:paraId="0BA8D923" w14:textId="73B9C2AD" w:rsidR="00214323" w:rsidRPr="00FA0D37" w:rsidRDefault="00214323" w:rsidP="00214323">
      <w:pPr>
        <w:pStyle w:val="B3"/>
      </w:pPr>
      <w:r w:rsidRPr="00FA0D37">
        <w:lastRenderedPageBreak/>
        <w:t>-</w:t>
      </w:r>
      <w:r w:rsidRPr="00FA0D37">
        <w:tab/>
        <w:t xml:space="preserve">If configured by upper layers for MBS multicast reception, </w:t>
      </w:r>
      <w:r w:rsidR="001C1AF2" w:rsidRPr="00FA0D37">
        <w:t xml:space="preserve">while SDT procedure is not ongoing, </w:t>
      </w:r>
      <w:r w:rsidRPr="00FA0D37">
        <w:t xml:space="preserve">monitors </w:t>
      </w:r>
      <w:r w:rsidR="000660EE" w:rsidRPr="00FA0D37">
        <w:t xml:space="preserve">a </w:t>
      </w:r>
      <w:r w:rsidRPr="00FA0D37">
        <w:t>Paging channel for paging using TMGI;</w:t>
      </w:r>
    </w:p>
    <w:p w14:paraId="06B96113" w14:textId="77777777" w:rsidR="00394471" w:rsidRPr="00FA0D37" w:rsidRDefault="00394471" w:rsidP="00394471">
      <w:pPr>
        <w:pStyle w:val="B3"/>
      </w:pPr>
      <w:r w:rsidRPr="00FA0D37">
        <w:t>-</w:t>
      </w:r>
      <w:r w:rsidRPr="00FA0D37">
        <w:tab/>
        <w:t>Performs neighbouring cell measurements and cell (re-)selection;</w:t>
      </w:r>
    </w:p>
    <w:p w14:paraId="10CDCE1A" w14:textId="77777777" w:rsidR="00394471" w:rsidRPr="00FA0D37" w:rsidRDefault="00394471" w:rsidP="00394471">
      <w:pPr>
        <w:pStyle w:val="B3"/>
      </w:pPr>
      <w:r w:rsidRPr="00FA0D37">
        <w:t>-</w:t>
      </w:r>
      <w:r w:rsidRPr="00FA0D37">
        <w:tab/>
        <w:t>Performs RAN-based notification area updates periodically and when moving outside the configured RAN-based notification area;</w:t>
      </w:r>
    </w:p>
    <w:p w14:paraId="426877C3" w14:textId="128354F7" w:rsidR="00394471" w:rsidRPr="00FA0D37" w:rsidRDefault="00394471" w:rsidP="00394471">
      <w:pPr>
        <w:pStyle w:val="B3"/>
      </w:pPr>
      <w:r w:rsidRPr="00FA0D37">
        <w:t>-</w:t>
      </w:r>
      <w:r w:rsidRPr="00FA0D37">
        <w:tab/>
        <w:t>Acquires system information</w:t>
      </w:r>
      <w:r w:rsidR="00A84ABA" w:rsidRPr="00FA0D37">
        <w:rPr>
          <w:rFonts w:eastAsia="宋体"/>
          <w:lang w:eastAsia="en-US"/>
        </w:rPr>
        <w:t xml:space="preserve"> and</w:t>
      </w:r>
      <w:r w:rsidR="0070235D" w:rsidRPr="00FA0D37">
        <w:t>, while SDT procedure is not ongoing,</w:t>
      </w:r>
      <w:r w:rsidRPr="00FA0D37">
        <w:t xml:space="preserve"> can send SI request (if configured)</w:t>
      </w:r>
      <w:r w:rsidR="008F48B7" w:rsidRPr="00FA0D37">
        <w:t>;</w:t>
      </w:r>
    </w:p>
    <w:p w14:paraId="3CC75625" w14:textId="0B51A6C4" w:rsidR="00394471" w:rsidRPr="00FA0D37" w:rsidRDefault="00394471" w:rsidP="00394471">
      <w:pPr>
        <w:pStyle w:val="B3"/>
      </w:pPr>
      <w:r w:rsidRPr="00FA0D37">
        <w:t>-</w:t>
      </w:r>
      <w:r w:rsidRPr="00FA0D37">
        <w:tab/>
      </w:r>
      <w:r w:rsidR="0070235D" w:rsidRPr="00FA0D37">
        <w:t>While SDT procedure is not ongoing, p</w:t>
      </w:r>
      <w:r w:rsidRPr="00FA0D37">
        <w:t>erforms logging of available measurements together with location and time for logged measurement configured UEs</w:t>
      </w:r>
      <w:r w:rsidR="008F48B7" w:rsidRPr="00FA0D37">
        <w:t>;</w:t>
      </w:r>
    </w:p>
    <w:p w14:paraId="2265AB70" w14:textId="3D997B50" w:rsidR="008F48B7" w:rsidRPr="00FA0D37" w:rsidRDefault="008F48B7" w:rsidP="008F48B7">
      <w:pPr>
        <w:pStyle w:val="B3"/>
      </w:pPr>
      <w:r w:rsidRPr="00FA0D37">
        <w:t>-</w:t>
      </w:r>
      <w:r w:rsidRPr="00FA0D37">
        <w:tab/>
      </w:r>
      <w:r w:rsidR="0070235D" w:rsidRPr="00FA0D37">
        <w:t>While SDT procedure is not ongoing, p</w:t>
      </w:r>
      <w:r w:rsidRPr="00FA0D37">
        <w:t>erforms idle/inactive measurements for idle/inactive measurement configured UEs</w:t>
      </w:r>
      <w:r w:rsidR="00214323" w:rsidRPr="00FA0D37">
        <w:t>;</w:t>
      </w:r>
    </w:p>
    <w:p w14:paraId="422FC72C" w14:textId="59AC9ABA" w:rsidR="00CD007B" w:rsidRPr="00CD007B" w:rsidRDefault="00214323" w:rsidP="00214323">
      <w:pPr>
        <w:pStyle w:val="B3"/>
      </w:pPr>
      <w:r w:rsidRPr="00FA0D37">
        <w:t>-</w:t>
      </w:r>
      <w:r w:rsidRPr="00FA0D37">
        <w:tab/>
        <w:t>If configured by upper layers for MBS broadcast reception, acquires MCCH change notification and MBS broadcast control information and data</w:t>
      </w:r>
      <w:r w:rsidR="001E1B85" w:rsidRPr="00FA0D37">
        <w:t>;</w:t>
      </w:r>
    </w:p>
    <w:p w14:paraId="4DB8B2D4" w14:textId="77777777" w:rsidR="00103DA3" w:rsidRPr="00CD007B" w:rsidRDefault="00103DA3" w:rsidP="00103DA3">
      <w:pPr>
        <w:pStyle w:val="B3"/>
        <w:rPr>
          <w:ins w:id="27" w:author="Huawei, HiSilicon" w:date="2023-12-06T15:15:00Z"/>
        </w:rPr>
      </w:pPr>
      <w:ins w:id="28" w:author="Huawei, HiSilicon" w:date="2023-12-06T15:15:00Z">
        <w:r>
          <w:t>-</w:t>
        </w:r>
        <w:r>
          <w:tab/>
          <w:t xml:space="preserve">If configured for MBS multicast reception in RRC_INACTIVE, acquires </w:t>
        </w:r>
        <w:r>
          <w:rPr>
            <w:lang w:eastAsia="zh-CN"/>
          </w:rPr>
          <w:t xml:space="preserve">multicast </w:t>
        </w:r>
        <w:r>
          <w:t>MCCH change notification and MBS multicast control information and data;</w:t>
        </w:r>
      </w:ins>
    </w:p>
    <w:p w14:paraId="318DB36A" w14:textId="77777777" w:rsidR="001E1B85" w:rsidRPr="00FA0D37" w:rsidRDefault="001E1B85" w:rsidP="001E1B85">
      <w:pPr>
        <w:pStyle w:val="B3"/>
      </w:pPr>
      <w:r w:rsidRPr="00FA0D37">
        <w:t>-</w:t>
      </w:r>
      <w:r w:rsidRPr="00FA0D37">
        <w:tab/>
        <w:t>Transmits SRS for Positioning.</w:t>
      </w:r>
    </w:p>
    <w:p w14:paraId="4640AF45" w14:textId="77777777" w:rsidR="00394471" w:rsidRPr="00FA0D37" w:rsidRDefault="00394471" w:rsidP="00394471">
      <w:pPr>
        <w:pStyle w:val="B1"/>
        <w:rPr>
          <w:b/>
          <w:bCs/>
        </w:rPr>
      </w:pPr>
      <w:r w:rsidRPr="00FA0D37">
        <w:rPr>
          <w:b/>
          <w:bCs/>
        </w:rPr>
        <w:t>-</w:t>
      </w:r>
      <w:r w:rsidRPr="00FA0D37">
        <w:rPr>
          <w:b/>
          <w:bCs/>
        </w:rPr>
        <w:tab/>
        <w:t>RRC_CONNECTED:</w:t>
      </w:r>
    </w:p>
    <w:p w14:paraId="3A90BE23" w14:textId="77777777" w:rsidR="00394471" w:rsidRPr="00FA0D37" w:rsidRDefault="00394471" w:rsidP="00394471">
      <w:pPr>
        <w:pStyle w:val="B2"/>
      </w:pPr>
      <w:r w:rsidRPr="00FA0D37">
        <w:t>-</w:t>
      </w:r>
      <w:r w:rsidRPr="00FA0D37">
        <w:tab/>
        <w:t>The UE stores the AS context;</w:t>
      </w:r>
    </w:p>
    <w:p w14:paraId="5DDB16E9" w14:textId="77777777" w:rsidR="00394471" w:rsidRPr="00FA0D37" w:rsidRDefault="00394471" w:rsidP="00394471">
      <w:pPr>
        <w:pStyle w:val="B2"/>
      </w:pPr>
      <w:r w:rsidRPr="00FA0D37">
        <w:t>-</w:t>
      </w:r>
      <w:r w:rsidRPr="00FA0D37">
        <w:tab/>
        <w:t>Transfer of unicast data to/from UE;</w:t>
      </w:r>
    </w:p>
    <w:p w14:paraId="79FEB07A" w14:textId="77777777" w:rsidR="00214323" w:rsidRPr="00FA0D37" w:rsidRDefault="00214323" w:rsidP="00214323">
      <w:pPr>
        <w:pStyle w:val="B2"/>
      </w:pPr>
      <w:r w:rsidRPr="00FA0D37">
        <w:t>-</w:t>
      </w:r>
      <w:r w:rsidRPr="00FA0D37">
        <w:tab/>
        <w:t>Transfer of MBS multicast data to UE;</w:t>
      </w:r>
    </w:p>
    <w:p w14:paraId="390ACC73" w14:textId="77777777" w:rsidR="00394471" w:rsidRPr="00FA0D37" w:rsidRDefault="00394471" w:rsidP="00394471">
      <w:pPr>
        <w:pStyle w:val="B2"/>
      </w:pPr>
      <w:r w:rsidRPr="00FA0D37">
        <w:t>-</w:t>
      </w:r>
      <w:r w:rsidRPr="00FA0D37">
        <w:tab/>
        <w:t>At lower layers, the UE may be configured with a UE specific DRX;</w:t>
      </w:r>
    </w:p>
    <w:p w14:paraId="7FFB0A45" w14:textId="77777777" w:rsidR="000660EE" w:rsidRPr="00FA0D37" w:rsidRDefault="000660EE" w:rsidP="000660EE">
      <w:pPr>
        <w:pStyle w:val="B2"/>
      </w:pPr>
      <w:r w:rsidRPr="00FA0D37">
        <w:t>-</w:t>
      </w:r>
      <w:r w:rsidRPr="00FA0D37">
        <w:tab/>
        <w:t>At lower layers, the UE may be configured with a DRX for PTM transmission of MBS broadcast and/or a DRX for MBS multicast;</w:t>
      </w:r>
    </w:p>
    <w:p w14:paraId="6E522F84" w14:textId="77777777" w:rsidR="00394471" w:rsidRPr="00FA0D37" w:rsidRDefault="00394471" w:rsidP="00394471">
      <w:pPr>
        <w:pStyle w:val="B2"/>
      </w:pPr>
      <w:r w:rsidRPr="00FA0D37">
        <w:t>-</w:t>
      </w:r>
      <w:r w:rsidRPr="00FA0D37">
        <w:tab/>
        <w:t>For UEs supporting CA, use of one or more SCells, aggregated with the SpCell, for increased bandwidth;</w:t>
      </w:r>
    </w:p>
    <w:p w14:paraId="61F5CFB1" w14:textId="77777777" w:rsidR="00394471" w:rsidRPr="00FA0D37" w:rsidRDefault="00394471" w:rsidP="00394471">
      <w:pPr>
        <w:pStyle w:val="B2"/>
      </w:pPr>
      <w:r w:rsidRPr="00FA0D37">
        <w:t>-</w:t>
      </w:r>
      <w:r w:rsidRPr="00FA0D37">
        <w:tab/>
        <w:t>For UEs supporting DC, use of one SCG, aggregated with the MCG, for increased bandwidth;</w:t>
      </w:r>
    </w:p>
    <w:p w14:paraId="2E2D9324" w14:textId="441C8766" w:rsidR="00394471" w:rsidRPr="00FA0D37" w:rsidRDefault="00394471" w:rsidP="00394471">
      <w:pPr>
        <w:pStyle w:val="B2"/>
      </w:pPr>
      <w:r w:rsidRPr="00FA0D37">
        <w:t>-</w:t>
      </w:r>
      <w:r w:rsidRPr="00FA0D37">
        <w:tab/>
        <w:t>Network controlled mobility within NR</w:t>
      </w:r>
      <w:r w:rsidR="0093231F" w:rsidRPr="00FA0D37">
        <w:t>,</w:t>
      </w:r>
      <w:r w:rsidRPr="00FA0D37">
        <w:t xml:space="preserve"> to/from E-UTRA</w:t>
      </w:r>
      <w:r w:rsidR="00080294" w:rsidRPr="00FA0D37">
        <w:t>,</w:t>
      </w:r>
      <w:r w:rsidR="0093231F" w:rsidRPr="00FA0D37">
        <w:t xml:space="preserve"> and to UTRA-FDD</w:t>
      </w:r>
      <w:r w:rsidRPr="00FA0D37">
        <w:t>;</w:t>
      </w:r>
    </w:p>
    <w:p w14:paraId="42BDEA1F" w14:textId="77777777" w:rsidR="001E5272" w:rsidRPr="00FA0D37" w:rsidRDefault="001E5272" w:rsidP="001E5272">
      <w:pPr>
        <w:pStyle w:val="B2"/>
      </w:pPr>
      <w:r w:rsidRPr="00FA0D37">
        <w:t>-</w:t>
      </w:r>
      <w:r w:rsidRPr="00FA0D37">
        <w:tab/>
        <w:t>Network controlled mobility (path switch) between a serving cell and a L2 U2N Relay UE, or vice versa.</w:t>
      </w:r>
    </w:p>
    <w:p w14:paraId="25729DC0" w14:textId="77777777" w:rsidR="00394471" w:rsidRPr="00FA0D37" w:rsidRDefault="00394471" w:rsidP="00394471">
      <w:pPr>
        <w:pStyle w:val="B2"/>
      </w:pPr>
      <w:r w:rsidRPr="00FA0D37">
        <w:t>-</w:t>
      </w:r>
      <w:r w:rsidRPr="00FA0D37">
        <w:tab/>
        <w:t>The UE:</w:t>
      </w:r>
    </w:p>
    <w:p w14:paraId="391AA824" w14:textId="77777777" w:rsidR="00394471" w:rsidRPr="00FA0D37" w:rsidRDefault="00394471" w:rsidP="00394471">
      <w:pPr>
        <w:pStyle w:val="B3"/>
      </w:pPr>
      <w:r w:rsidRPr="00FA0D37">
        <w:t>-</w:t>
      </w:r>
      <w:r w:rsidRPr="00FA0D37">
        <w:tab/>
        <w:t>Monitors Short Messages transmitted with P-RNTI over DCI (see clause 6.5), if configured;</w:t>
      </w:r>
    </w:p>
    <w:p w14:paraId="4EB13B4D" w14:textId="77777777" w:rsidR="00394471" w:rsidRPr="00FA0D37" w:rsidRDefault="00394471" w:rsidP="00394471">
      <w:pPr>
        <w:pStyle w:val="B3"/>
      </w:pPr>
      <w:r w:rsidRPr="00FA0D37">
        <w:t>-</w:t>
      </w:r>
      <w:r w:rsidRPr="00FA0D37">
        <w:tab/>
        <w:t>Monitors control channels associated with the shared data channel to determine if data is scheduled for it;</w:t>
      </w:r>
    </w:p>
    <w:p w14:paraId="003CEB18" w14:textId="77777777" w:rsidR="00394471" w:rsidRPr="00FA0D37" w:rsidRDefault="00394471" w:rsidP="00394471">
      <w:pPr>
        <w:pStyle w:val="B3"/>
      </w:pPr>
      <w:r w:rsidRPr="00FA0D37">
        <w:t>-</w:t>
      </w:r>
      <w:r w:rsidRPr="00FA0D37">
        <w:tab/>
        <w:t>Provides channel quality and feedback information;</w:t>
      </w:r>
    </w:p>
    <w:p w14:paraId="3C139D55" w14:textId="77777777" w:rsidR="00394471" w:rsidRPr="00FA0D37" w:rsidRDefault="00394471" w:rsidP="00394471">
      <w:pPr>
        <w:pStyle w:val="B3"/>
      </w:pPr>
      <w:r w:rsidRPr="00FA0D37">
        <w:t>-</w:t>
      </w:r>
      <w:r w:rsidRPr="00FA0D37">
        <w:tab/>
        <w:t>Performs neighbouring cell measurements and measurement reporting;</w:t>
      </w:r>
    </w:p>
    <w:p w14:paraId="5787A6C3" w14:textId="77777777" w:rsidR="00394471" w:rsidRPr="00FA0D37" w:rsidRDefault="00394471" w:rsidP="00394471">
      <w:pPr>
        <w:pStyle w:val="B3"/>
      </w:pPr>
      <w:r w:rsidRPr="00FA0D37">
        <w:t>-</w:t>
      </w:r>
      <w:r w:rsidRPr="00FA0D37">
        <w:tab/>
        <w:t>Acquires system information;</w:t>
      </w:r>
    </w:p>
    <w:p w14:paraId="0A1569C0" w14:textId="15833E02" w:rsidR="00394471" w:rsidRPr="00FA0D37" w:rsidRDefault="00394471" w:rsidP="00394471">
      <w:pPr>
        <w:pStyle w:val="B3"/>
      </w:pPr>
      <w:r w:rsidRPr="00FA0D37">
        <w:t>-</w:t>
      </w:r>
      <w:r w:rsidRPr="00FA0D37">
        <w:tab/>
        <w:t>Performs immediate MDT measurement together with available location reporting</w:t>
      </w:r>
      <w:r w:rsidR="00214323" w:rsidRPr="00FA0D37">
        <w:t>;</w:t>
      </w:r>
    </w:p>
    <w:p w14:paraId="1B4EF158" w14:textId="77777777" w:rsidR="00214323" w:rsidRPr="00FA0D37" w:rsidRDefault="00214323" w:rsidP="00214323">
      <w:pPr>
        <w:pStyle w:val="B3"/>
      </w:pPr>
      <w:r w:rsidRPr="00FA0D37">
        <w:t>-</w:t>
      </w:r>
      <w:r w:rsidRPr="00FA0D37">
        <w:tab/>
        <w:t>If configured by upper layers for MBS broadcast reception, acquires MCCH change notification and MBS broadcast control information and data.</w:t>
      </w:r>
    </w:p>
    <w:p w14:paraId="7286953B" w14:textId="77777777" w:rsidR="00394471" w:rsidRPr="00FA0D37" w:rsidRDefault="00394471" w:rsidP="00394471">
      <w:r w:rsidRPr="00FA0D37">
        <w:t>Figure 4.2.1-1 illustrates an overview of UE RRC state machine and state transitions in NR. A UE has only one RRC state in NR at one time.</w:t>
      </w:r>
    </w:p>
    <w:p w14:paraId="3017F843" w14:textId="77777777" w:rsidR="00394471" w:rsidRPr="00FA0D37" w:rsidRDefault="00394471" w:rsidP="00394471">
      <w:pPr>
        <w:pStyle w:val="TH"/>
      </w:pPr>
      <w:r w:rsidRPr="00FA0D37">
        <w:rPr>
          <w:noProof/>
        </w:rPr>
        <w:object w:dxaOrig="5025" w:dyaOrig="4875" w14:anchorId="61C9D0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35pt;height:243.85pt" o:ole="">
            <v:imagedata r:id="rId14" o:title=""/>
          </v:shape>
          <o:OLEObject Type="Embed" ProgID="Word.Document.12" ShapeID="_x0000_i1025" DrawAspect="Content" ObjectID="_1763391802" r:id="rId15">
            <o:FieldCodes>\s</o:FieldCodes>
          </o:OLEObject>
        </w:object>
      </w:r>
    </w:p>
    <w:p w14:paraId="229BF7AF" w14:textId="77777777" w:rsidR="00394471" w:rsidRPr="00FA0D37" w:rsidRDefault="00394471" w:rsidP="00394471">
      <w:pPr>
        <w:pStyle w:val="TF"/>
      </w:pPr>
      <w:r w:rsidRPr="00FA0D37">
        <w:t>Figure 4.2.1-1:</w:t>
      </w:r>
      <w:r w:rsidRPr="00FA0D37">
        <w:tab/>
        <w:t>UE state machine and state transitions in NR</w:t>
      </w:r>
    </w:p>
    <w:p w14:paraId="5479CA24" w14:textId="195D9E83" w:rsidR="00394471" w:rsidRPr="00FA0D37" w:rsidRDefault="00394471" w:rsidP="00394471">
      <w:r w:rsidRPr="00FA0D37">
        <w:t>Figure 4.2.1-2 illustrates an overview of UE state machine and state transitions in NR as well as the mobility procedures supported between NR/5GC</w:t>
      </w:r>
      <w:r w:rsidR="0093231F" w:rsidRPr="00FA0D37">
        <w:t>,</w:t>
      </w:r>
      <w:r w:rsidRPr="00FA0D37">
        <w:t xml:space="preserve"> E-UTRA/EPC and E-UTRA/5GC.</w:t>
      </w:r>
    </w:p>
    <w:p w14:paraId="5F4CB18D" w14:textId="77777777" w:rsidR="00394471" w:rsidRPr="00FA0D37" w:rsidRDefault="00394471" w:rsidP="00394471">
      <w:pPr>
        <w:pStyle w:val="TH"/>
        <w:rPr>
          <w:noProof/>
        </w:rPr>
      </w:pPr>
      <w:r w:rsidRPr="00FA0D37">
        <w:rPr>
          <w:noProof/>
        </w:rPr>
        <w:object w:dxaOrig="10500" w:dyaOrig="5475" w14:anchorId="1653B7D4">
          <v:shape id="_x0000_i1026" type="#_x0000_t75" style="width:525.65pt;height:273.85pt" o:ole="">
            <v:imagedata r:id="rId16" o:title=""/>
          </v:shape>
          <o:OLEObject Type="Embed" ProgID="Word.Document.12" ShapeID="_x0000_i1026" DrawAspect="Content" ObjectID="_1763391803" r:id="rId17">
            <o:FieldCodes>\s</o:FieldCodes>
          </o:OLEObject>
        </w:object>
      </w:r>
    </w:p>
    <w:p w14:paraId="1C444C56" w14:textId="01ED3386" w:rsidR="00394471" w:rsidRPr="00FA0D37" w:rsidRDefault="00394471" w:rsidP="00394471">
      <w:pPr>
        <w:pStyle w:val="TF"/>
      </w:pPr>
      <w:r w:rsidRPr="00FA0D37">
        <w:t>Figure 4.2.1-2:</w:t>
      </w:r>
      <w:r w:rsidRPr="00FA0D37">
        <w:tab/>
        <w:t>UE state machine and state transitions between NR/5GC, E-UTRA/EPC and E-UTRA/5GC</w:t>
      </w:r>
    </w:p>
    <w:p w14:paraId="5456AC89" w14:textId="0E875167" w:rsidR="0093231F" w:rsidRPr="00FA0D37" w:rsidRDefault="0093231F" w:rsidP="0093231F">
      <w:pPr>
        <w:rPr>
          <w:noProof/>
        </w:rPr>
      </w:pPr>
      <w:r w:rsidRPr="00FA0D37">
        <w:rPr>
          <w:noProof/>
        </w:rPr>
        <w:t>Figure 4.2.1-3 illustrates the mobility procedure supported between NR/5GC and UTRA-FDD.</w:t>
      </w:r>
    </w:p>
    <w:p w14:paraId="1C25F6C9" w14:textId="77777777" w:rsidR="0093231F" w:rsidRPr="00FA0D37" w:rsidRDefault="0093231F" w:rsidP="000830BB">
      <w:pPr>
        <w:pStyle w:val="TH"/>
        <w:rPr>
          <w:noProof/>
        </w:rPr>
      </w:pPr>
      <w:r w:rsidRPr="00FA0D37">
        <w:object w:dxaOrig="8270" w:dyaOrig="1040" w14:anchorId="12E41DC4">
          <v:shape id="_x0000_i1027" type="#_x0000_t75" style="width:413pt;height:51.7pt" o:ole="">
            <v:imagedata r:id="rId18" o:title=""/>
          </v:shape>
          <o:OLEObject Type="Embed" ProgID="Visio.Drawing.15" ShapeID="_x0000_i1027" DrawAspect="Content" ObjectID="_1763391804" r:id="rId19"/>
        </w:object>
      </w:r>
    </w:p>
    <w:p w14:paraId="03FAB3A0" w14:textId="61BDD841" w:rsidR="0093231F" w:rsidRPr="00FA0D37" w:rsidRDefault="0093231F" w:rsidP="0093231F">
      <w:pPr>
        <w:pStyle w:val="TF"/>
      </w:pPr>
      <w:r w:rsidRPr="00FA0D37">
        <w:t>Figure 4.2.1-3:</w:t>
      </w:r>
      <w:r w:rsidRPr="00FA0D37">
        <w:tab/>
        <w:t>Mobility procedure supported between NR/5GC and UTRA-FDD</w:t>
      </w:r>
    </w:p>
    <w:p w14:paraId="03DE5B86" w14:textId="50212586" w:rsidR="0093231F" w:rsidRPr="000F77A6" w:rsidRDefault="000F77A6" w:rsidP="000F77A6">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r>
        <w:rPr>
          <w:rFonts w:eastAsia="Malgun Gothic"/>
          <w:i/>
        </w:rPr>
        <w:t>Next Change</w:t>
      </w:r>
    </w:p>
    <w:p w14:paraId="1CE5E0FD" w14:textId="77777777" w:rsidR="00394471" w:rsidRPr="00FA0D37" w:rsidRDefault="00394471" w:rsidP="00394471">
      <w:pPr>
        <w:pStyle w:val="1"/>
        <w:rPr>
          <w:rFonts w:eastAsia="MS Mincho"/>
        </w:rPr>
      </w:pPr>
      <w:bookmarkStart w:id="29" w:name="_Toc60776697"/>
      <w:bookmarkStart w:id="30" w:name="_Toc146780646"/>
      <w:r w:rsidRPr="00FA0D37">
        <w:rPr>
          <w:rFonts w:eastAsia="MS Mincho"/>
        </w:rPr>
        <w:t>5</w:t>
      </w:r>
      <w:r w:rsidRPr="00FA0D37">
        <w:rPr>
          <w:rFonts w:eastAsia="MS Mincho"/>
        </w:rPr>
        <w:tab/>
        <w:t>Procedures</w:t>
      </w:r>
      <w:bookmarkEnd w:id="29"/>
      <w:bookmarkEnd w:id="30"/>
    </w:p>
    <w:p w14:paraId="2D3B2DBF" w14:textId="77777777" w:rsidR="00394471" w:rsidRPr="00FA0D37" w:rsidRDefault="00394471" w:rsidP="00394471">
      <w:pPr>
        <w:pStyle w:val="2"/>
        <w:rPr>
          <w:rFonts w:eastAsia="MS Mincho"/>
        </w:rPr>
      </w:pPr>
      <w:bookmarkStart w:id="31" w:name="_Toc60776702"/>
      <w:bookmarkStart w:id="32" w:name="_Toc146780651"/>
      <w:r w:rsidRPr="00FA0D37">
        <w:rPr>
          <w:rFonts w:eastAsia="MS Mincho"/>
        </w:rPr>
        <w:t>5.2</w:t>
      </w:r>
      <w:r w:rsidRPr="00FA0D37">
        <w:rPr>
          <w:rFonts w:eastAsia="MS Mincho"/>
        </w:rPr>
        <w:tab/>
        <w:t>System information</w:t>
      </w:r>
      <w:bookmarkEnd w:id="31"/>
      <w:bookmarkEnd w:id="32"/>
    </w:p>
    <w:p w14:paraId="6A465060" w14:textId="77777777" w:rsidR="00394471" w:rsidRPr="00FA0D37" w:rsidRDefault="00394471" w:rsidP="00394471">
      <w:pPr>
        <w:pStyle w:val="3"/>
        <w:rPr>
          <w:rFonts w:eastAsia="MS Mincho"/>
        </w:rPr>
      </w:pPr>
      <w:bookmarkStart w:id="33" w:name="_Toc60776704"/>
      <w:bookmarkStart w:id="34" w:name="_Toc146780653"/>
      <w:r w:rsidRPr="00FA0D37">
        <w:rPr>
          <w:rFonts w:eastAsia="MS Mincho"/>
        </w:rPr>
        <w:t>5.2.2</w:t>
      </w:r>
      <w:r w:rsidRPr="00FA0D37">
        <w:rPr>
          <w:rFonts w:eastAsia="MS Mincho"/>
        </w:rPr>
        <w:tab/>
        <w:t>System information acquisition</w:t>
      </w:r>
      <w:bookmarkEnd w:id="33"/>
      <w:bookmarkEnd w:id="34"/>
    </w:p>
    <w:p w14:paraId="3A4E35F6" w14:textId="77777777" w:rsidR="00394471" w:rsidRPr="00FA0D37" w:rsidRDefault="00394471" w:rsidP="00394471">
      <w:pPr>
        <w:pStyle w:val="4"/>
        <w:rPr>
          <w:rFonts w:eastAsia="MS Mincho"/>
        </w:rPr>
      </w:pPr>
      <w:bookmarkStart w:id="35" w:name="_Toc60776717"/>
      <w:bookmarkStart w:id="36" w:name="_Toc146780666"/>
      <w:r w:rsidRPr="00FA0D37">
        <w:rPr>
          <w:rFonts w:eastAsia="MS Mincho"/>
        </w:rPr>
        <w:t>5.2.2.4</w:t>
      </w:r>
      <w:r w:rsidRPr="00FA0D37">
        <w:rPr>
          <w:rFonts w:eastAsia="MS Mincho"/>
        </w:rPr>
        <w:tab/>
        <w:t xml:space="preserve">Actions upon receipt of </w:t>
      </w:r>
      <w:r w:rsidRPr="00FA0D37">
        <w:rPr>
          <w:rFonts w:eastAsia="宋体"/>
          <w:lang w:eastAsia="zh-CN"/>
        </w:rPr>
        <w:t>System Information</w:t>
      </w:r>
      <w:bookmarkEnd w:id="35"/>
      <w:bookmarkEnd w:id="36"/>
    </w:p>
    <w:p w14:paraId="55E75345" w14:textId="6579EE53" w:rsidR="00394471" w:rsidRPr="00FA0D37" w:rsidRDefault="00394471" w:rsidP="00394471">
      <w:pPr>
        <w:pStyle w:val="5"/>
        <w:rPr>
          <w:rFonts w:eastAsia="MS Mincho"/>
        </w:rPr>
      </w:pPr>
      <w:bookmarkStart w:id="37" w:name="_Toc60776719"/>
      <w:bookmarkStart w:id="38" w:name="_Toc146780668"/>
      <w:r w:rsidRPr="00FA0D37">
        <w:rPr>
          <w:rFonts w:eastAsia="MS Mincho"/>
        </w:rPr>
        <w:t>5.2.2.4.2</w:t>
      </w:r>
      <w:r w:rsidRPr="00FA0D37">
        <w:rPr>
          <w:rFonts w:eastAsia="MS Mincho"/>
        </w:rPr>
        <w:tab/>
        <w:t xml:space="preserve">Actions upon reception of the </w:t>
      </w:r>
      <w:r w:rsidRPr="00FA0D37">
        <w:rPr>
          <w:rFonts w:eastAsia="MS Mincho"/>
          <w:i/>
        </w:rPr>
        <w:t>SIB1</w:t>
      </w:r>
      <w:bookmarkEnd w:id="37"/>
      <w:bookmarkEnd w:id="38"/>
    </w:p>
    <w:p w14:paraId="26725403" w14:textId="77777777" w:rsidR="00394471" w:rsidRPr="00FA0D37" w:rsidRDefault="00394471" w:rsidP="00394471">
      <w:pPr>
        <w:rPr>
          <w:rFonts w:eastAsia="MS Mincho"/>
        </w:rPr>
      </w:pPr>
      <w:r w:rsidRPr="00FA0D37">
        <w:t xml:space="preserve">Upon receiving the </w:t>
      </w:r>
      <w:r w:rsidRPr="00FA0D37">
        <w:rPr>
          <w:i/>
        </w:rPr>
        <w:t>SIB1</w:t>
      </w:r>
      <w:r w:rsidRPr="00FA0D37">
        <w:t xml:space="preserve"> the UE shall:</w:t>
      </w:r>
    </w:p>
    <w:p w14:paraId="219111FF" w14:textId="77777777" w:rsidR="00881009" w:rsidRPr="00FA0D37" w:rsidRDefault="00881009" w:rsidP="00881009">
      <w:pPr>
        <w:pStyle w:val="B1"/>
      </w:pPr>
      <w:r w:rsidRPr="00FA0D37">
        <w:t>1&gt;</w:t>
      </w:r>
      <w:r w:rsidRPr="00FA0D37">
        <w:tab/>
        <w:t xml:space="preserve">store the acquired </w:t>
      </w:r>
      <w:r w:rsidRPr="00FA0D37">
        <w:rPr>
          <w:i/>
        </w:rPr>
        <w:t>SIB1</w:t>
      </w:r>
      <w:r w:rsidRPr="00FA0D37">
        <w:t>;</w:t>
      </w:r>
    </w:p>
    <w:p w14:paraId="7F0F3DEB" w14:textId="77777777" w:rsidR="009518E8" w:rsidRPr="00FA0D37" w:rsidRDefault="009518E8" w:rsidP="005C7FF4">
      <w:pPr>
        <w:pStyle w:val="B1"/>
      </w:pPr>
      <w:r w:rsidRPr="00FA0D37">
        <w:t>1&gt;</w:t>
      </w:r>
      <w:r w:rsidRPr="00FA0D37">
        <w:tab/>
        <w:t xml:space="preserve">if the access is for NTN, and the </w:t>
      </w:r>
      <w:r w:rsidRPr="00FA0D37">
        <w:rPr>
          <w:i/>
        </w:rPr>
        <w:t>cellBarredNTN</w:t>
      </w:r>
      <w:r w:rsidRPr="00FA0D37">
        <w:t xml:space="preserve"> in the acquired </w:t>
      </w:r>
      <w:r w:rsidRPr="00FA0D37">
        <w:rPr>
          <w:i/>
        </w:rPr>
        <w:t>SIB1</w:t>
      </w:r>
      <w:r w:rsidRPr="00FA0D37">
        <w:t xml:space="preserve"> is set to </w:t>
      </w:r>
      <w:r w:rsidRPr="00FA0D37">
        <w:rPr>
          <w:i/>
        </w:rPr>
        <w:t xml:space="preserve">barred </w:t>
      </w:r>
      <w:r w:rsidRPr="00FA0D37">
        <w:t xml:space="preserve">or the </w:t>
      </w:r>
      <w:r w:rsidRPr="00FA0D37">
        <w:rPr>
          <w:i/>
        </w:rPr>
        <w:t>cellBarredNTN</w:t>
      </w:r>
      <w:r w:rsidRPr="00FA0D37">
        <w:t xml:space="preserve"> is not included in the acquired </w:t>
      </w:r>
      <w:r w:rsidRPr="00FA0D37">
        <w:rPr>
          <w:i/>
        </w:rPr>
        <w:t>SIB1</w:t>
      </w:r>
      <w:r w:rsidRPr="00FA0D37">
        <w:t>:</w:t>
      </w:r>
    </w:p>
    <w:p w14:paraId="06C74B13" w14:textId="77777777" w:rsidR="009518E8" w:rsidRPr="00FA0D37" w:rsidRDefault="009518E8" w:rsidP="005C7FF4">
      <w:pPr>
        <w:pStyle w:val="B2"/>
      </w:pPr>
      <w:r w:rsidRPr="00FA0D37">
        <w:t>2&gt;</w:t>
      </w:r>
      <w:r w:rsidRPr="00FA0D37">
        <w:tab/>
        <w:t>consider the cell as barred in accordance with TS 38.304 [20];</w:t>
      </w:r>
    </w:p>
    <w:p w14:paraId="2697BE31" w14:textId="77777777" w:rsidR="009518E8" w:rsidRPr="00FA0D37" w:rsidRDefault="009518E8" w:rsidP="005C7FF4">
      <w:pPr>
        <w:pStyle w:val="B2"/>
      </w:pPr>
      <w:r w:rsidRPr="00FA0D37">
        <w:t>2&gt;</w:t>
      </w:r>
      <w:r w:rsidRPr="00FA0D37">
        <w:tab/>
        <w:t>perform cell re-selection to other cells on the same frequency as the barred cell as specified in TS 38.304 [20]</w:t>
      </w:r>
      <w:r w:rsidRPr="00FA0D37">
        <w:rPr>
          <w:iCs/>
        </w:rPr>
        <w:t>;</w:t>
      </w:r>
    </w:p>
    <w:p w14:paraId="4D3DA64B" w14:textId="77777777" w:rsidR="00CD6E06" w:rsidRPr="00FA0D37" w:rsidRDefault="00CD6E06" w:rsidP="00CD6E06">
      <w:pPr>
        <w:pStyle w:val="B1"/>
      </w:pPr>
      <w:r w:rsidRPr="00FA0D37">
        <w:t>1&gt;</w:t>
      </w:r>
      <w:r w:rsidRPr="00FA0D37">
        <w:tab/>
        <w:t xml:space="preserve">if the UE is a RedCap UE and it is in RRC_IDLE or in RRC_INACTIVE, or if the RedCap UE is in RRC_CONNECTED while </w:t>
      </w:r>
      <w:r w:rsidRPr="00FA0D37">
        <w:rPr>
          <w:i/>
        </w:rPr>
        <w:t>T311</w:t>
      </w:r>
      <w:r w:rsidRPr="00FA0D37">
        <w:t xml:space="preserve"> is running:</w:t>
      </w:r>
    </w:p>
    <w:p w14:paraId="5121653C" w14:textId="08EDDAE0" w:rsidR="00CD6E06" w:rsidRPr="00FA0D37" w:rsidRDefault="00CD6E06" w:rsidP="00CD6E06">
      <w:pPr>
        <w:pStyle w:val="B2"/>
      </w:pPr>
      <w:r w:rsidRPr="00FA0D37">
        <w:t>2&gt;</w:t>
      </w:r>
      <w:r w:rsidRPr="00FA0D37">
        <w:tab/>
      </w:r>
      <w:r w:rsidRPr="00FA0D37">
        <w:rPr>
          <w:iCs/>
        </w:rPr>
        <w:t>if</w:t>
      </w:r>
      <w:r w:rsidRPr="00FA0D37">
        <w:rPr>
          <w:i/>
        </w:rPr>
        <w:t xml:space="preserve"> intraFreqReselectionRedCap</w:t>
      </w:r>
      <w:r w:rsidRPr="00FA0D37">
        <w:t xml:space="preserve"> is not present in </w:t>
      </w:r>
      <w:r w:rsidRPr="00FA0D37">
        <w:rPr>
          <w:i/>
          <w:iCs/>
        </w:rPr>
        <w:t>SIB1</w:t>
      </w:r>
      <w:r w:rsidRPr="00FA0D37">
        <w:t>:</w:t>
      </w:r>
    </w:p>
    <w:p w14:paraId="09358E69" w14:textId="7CBA533A" w:rsidR="00CD6E06" w:rsidRPr="00FA0D37" w:rsidRDefault="00CD6E06" w:rsidP="00CD6E06">
      <w:pPr>
        <w:pStyle w:val="B3"/>
      </w:pPr>
      <w:r w:rsidRPr="00FA0D37">
        <w:t>3&gt;</w:t>
      </w:r>
      <w:r w:rsidRPr="00FA0D37">
        <w:tab/>
        <w:t>consider the cell as barred in accordance with TS 38.304 [20];</w:t>
      </w:r>
    </w:p>
    <w:p w14:paraId="66A4FCED" w14:textId="4D7C09FD" w:rsidR="00CD6E06" w:rsidRPr="00FA0D37" w:rsidRDefault="00CD6E06" w:rsidP="00CD6E06">
      <w:pPr>
        <w:pStyle w:val="B3"/>
      </w:pPr>
      <w:r w:rsidRPr="00FA0D37">
        <w:t>3&gt;</w:t>
      </w:r>
      <w:r w:rsidRPr="00FA0D37">
        <w:tab/>
        <w:t xml:space="preserve">perform barring as if </w:t>
      </w:r>
      <w:r w:rsidRPr="00FA0D37">
        <w:rPr>
          <w:i/>
        </w:rPr>
        <w:t>intraFreqReselectionRedCap</w:t>
      </w:r>
      <w:r w:rsidRPr="00FA0D37">
        <w:t xml:space="preserve"> is set to allowed;</w:t>
      </w:r>
    </w:p>
    <w:p w14:paraId="6288056F" w14:textId="77777777" w:rsidR="00CD6E06" w:rsidRPr="00FA0D37" w:rsidRDefault="00CD6E06" w:rsidP="00CD6E06">
      <w:pPr>
        <w:pStyle w:val="B2"/>
      </w:pPr>
      <w:r w:rsidRPr="00FA0D37">
        <w:t>2&gt; else:</w:t>
      </w:r>
    </w:p>
    <w:p w14:paraId="17455E66" w14:textId="53D26E58" w:rsidR="00CD6E06" w:rsidRPr="00FA0D37" w:rsidRDefault="00CD6E06" w:rsidP="00CD6E06">
      <w:pPr>
        <w:pStyle w:val="B3"/>
      </w:pPr>
      <w:r w:rsidRPr="00FA0D37">
        <w:t>3&gt;</w:t>
      </w:r>
      <w:r w:rsidRPr="00FA0D37">
        <w:tab/>
      </w:r>
      <w:bookmarkStart w:id="39" w:name="OLE_LINK100"/>
      <w:bookmarkStart w:id="40" w:name="OLE_LINK101"/>
      <w:r w:rsidRPr="00FA0D37">
        <w:t xml:space="preserve">if the </w:t>
      </w:r>
      <w:r w:rsidRPr="00FA0D37">
        <w:rPr>
          <w:i/>
          <w:iCs/>
        </w:rPr>
        <w:t>cellBarredRedCap1Rx</w:t>
      </w:r>
      <w:r w:rsidRPr="00FA0D37">
        <w:t xml:space="preserve"> is present in the acquired </w:t>
      </w:r>
      <w:r w:rsidRPr="00FA0D37">
        <w:rPr>
          <w:i/>
          <w:iCs/>
        </w:rPr>
        <w:t>SIB1</w:t>
      </w:r>
      <w:r w:rsidRPr="00FA0D37">
        <w:t xml:space="preserve"> and is set to</w:t>
      </w:r>
      <w:bookmarkEnd w:id="39"/>
      <w:bookmarkEnd w:id="40"/>
      <w:r w:rsidRPr="00FA0D37">
        <w:t xml:space="preserve"> </w:t>
      </w:r>
      <w:r w:rsidRPr="00FA0D37">
        <w:rPr>
          <w:i/>
          <w:iCs/>
        </w:rPr>
        <w:t>barred</w:t>
      </w:r>
      <w:r w:rsidRPr="00FA0D37">
        <w:t xml:space="preserve"> and the UE is equipped with 1 Rx branch; or</w:t>
      </w:r>
    </w:p>
    <w:p w14:paraId="5B43382F" w14:textId="6BE48988" w:rsidR="00CD6E06" w:rsidRPr="00FA0D37" w:rsidRDefault="00CD6E06" w:rsidP="00CD6E06">
      <w:pPr>
        <w:pStyle w:val="B3"/>
        <w:rPr>
          <w:iCs/>
        </w:rPr>
      </w:pPr>
      <w:r w:rsidRPr="00FA0D37">
        <w:rPr>
          <w:iCs/>
        </w:rPr>
        <w:t>3&gt;</w:t>
      </w:r>
      <w:r w:rsidRPr="00FA0D37">
        <w:rPr>
          <w:iCs/>
        </w:rPr>
        <w:tab/>
        <w:t>i</w:t>
      </w:r>
      <w:r w:rsidRPr="00FA0D37">
        <w:t xml:space="preserve">f the </w:t>
      </w:r>
      <w:r w:rsidRPr="00FA0D37">
        <w:rPr>
          <w:i/>
        </w:rPr>
        <w:t>cellBarredRedCap2Rx</w:t>
      </w:r>
      <w:r w:rsidRPr="00FA0D37">
        <w:t xml:space="preserve"> is present in the acquired </w:t>
      </w:r>
      <w:r w:rsidRPr="00FA0D37">
        <w:rPr>
          <w:i/>
        </w:rPr>
        <w:t>SIB1</w:t>
      </w:r>
      <w:r w:rsidRPr="00FA0D37">
        <w:t xml:space="preserve"> and is set to </w:t>
      </w:r>
      <w:r w:rsidRPr="00FA0D37">
        <w:rPr>
          <w:i/>
        </w:rPr>
        <w:t xml:space="preserve">barred </w:t>
      </w:r>
      <w:r w:rsidRPr="00FA0D37">
        <w:rPr>
          <w:iCs/>
        </w:rPr>
        <w:t>and the UE is equipped with 2 Rx branches; or</w:t>
      </w:r>
    </w:p>
    <w:p w14:paraId="3CCF47B4" w14:textId="571FA820" w:rsidR="00CD6E06" w:rsidRPr="00FA0D37" w:rsidRDefault="00CD6E06" w:rsidP="00CD6E06">
      <w:pPr>
        <w:pStyle w:val="B3"/>
        <w:rPr>
          <w:iCs/>
        </w:rPr>
      </w:pPr>
      <w:r w:rsidRPr="00FA0D37">
        <w:rPr>
          <w:iCs/>
        </w:rPr>
        <w:t>3&gt;</w:t>
      </w:r>
      <w:r w:rsidRPr="00FA0D37">
        <w:rPr>
          <w:iCs/>
        </w:rPr>
        <w:tab/>
        <w:t xml:space="preserve">if the </w:t>
      </w:r>
      <w:r w:rsidRPr="00FA0D37">
        <w:rPr>
          <w:i/>
        </w:rPr>
        <w:t xml:space="preserve">halfDuplexRedCapAllowed </w:t>
      </w:r>
      <w:r w:rsidRPr="00FA0D37">
        <w:rPr>
          <w:iCs/>
        </w:rPr>
        <w:t>is not present in the acquire</w:t>
      </w:r>
      <w:r w:rsidR="00A60929" w:rsidRPr="00FA0D37">
        <w:rPr>
          <w:iCs/>
        </w:rPr>
        <w:t>d</w:t>
      </w:r>
      <w:r w:rsidRPr="00FA0D37">
        <w:rPr>
          <w:iCs/>
        </w:rPr>
        <w:t xml:space="preserve"> </w:t>
      </w:r>
      <w:r w:rsidRPr="00FA0D37">
        <w:rPr>
          <w:i/>
        </w:rPr>
        <w:t xml:space="preserve">SIB1 </w:t>
      </w:r>
      <w:r w:rsidRPr="00FA0D37">
        <w:rPr>
          <w:iCs/>
        </w:rPr>
        <w:t>and the UE supports only half-duplex FDD operation:</w:t>
      </w:r>
    </w:p>
    <w:p w14:paraId="76FE9C0E" w14:textId="77777777" w:rsidR="00CD6E06" w:rsidRPr="00FA0D37" w:rsidRDefault="00CD6E06" w:rsidP="00CD6E06">
      <w:pPr>
        <w:pStyle w:val="B4"/>
      </w:pPr>
      <w:r w:rsidRPr="00FA0D37">
        <w:t>4&gt;</w:t>
      </w:r>
      <w:r w:rsidRPr="00FA0D37">
        <w:tab/>
        <w:t>consider the cell as barred in accordance with TS 38.304 [20];</w:t>
      </w:r>
    </w:p>
    <w:p w14:paraId="20B5B2DC" w14:textId="7481BA80" w:rsidR="00CD6E06" w:rsidRPr="00FA0D37" w:rsidRDefault="00CD6E06" w:rsidP="00CD6E06">
      <w:pPr>
        <w:pStyle w:val="B4"/>
      </w:pPr>
      <w:r w:rsidRPr="00FA0D37">
        <w:t>4&gt;</w:t>
      </w:r>
      <w:r w:rsidRPr="00FA0D37">
        <w:tab/>
      </w:r>
      <w:r w:rsidR="00A60929" w:rsidRPr="00FA0D37">
        <w:rPr>
          <w:rFonts w:eastAsia="宋体"/>
        </w:rPr>
        <w:t xml:space="preserve">perform barring based on </w:t>
      </w:r>
      <w:r w:rsidR="00A60929" w:rsidRPr="00FA0D37">
        <w:rPr>
          <w:rFonts w:eastAsia="宋体"/>
          <w:i/>
          <w:iCs/>
        </w:rPr>
        <w:t>intraFreqReselectionRedCap</w:t>
      </w:r>
      <w:r w:rsidRPr="00FA0D37">
        <w:t xml:space="preserve"> as specified in TS 38.304 [20];</w:t>
      </w:r>
    </w:p>
    <w:p w14:paraId="47C8A9EF" w14:textId="77777777" w:rsidR="00BB7950" w:rsidRPr="00FA0D37" w:rsidRDefault="00BB7950" w:rsidP="00BB7950">
      <w:pPr>
        <w:pStyle w:val="B1"/>
      </w:pPr>
      <w:r w:rsidRPr="00FA0D37">
        <w:t>1&gt;</w:t>
      </w:r>
      <w:r w:rsidRPr="00FA0D37">
        <w:tab/>
        <w:t xml:space="preserve">if the </w:t>
      </w:r>
      <w:r w:rsidRPr="00FA0D37">
        <w:rPr>
          <w:i/>
        </w:rPr>
        <w:t>cellAccessRelatedInfo</w:t>
      </w:r>
      <w:r w:rsidRPr="00FA0D37">
        <w:t xml:space="preserve"> contains an entry of a selected SNPN or PLMN and in case of PLMN the UE is either allowed or instructed to access the PLMN via a cell for which at least one CAG ID is broadcast:</w:t>
      </w:r>
    </w:p>
    <w:p w14:paraId="782C204B" w14:textId="372E1A35" w:rsidR="00BB7950" w:rsidRPr="00FA0D37" w:rsidRDefault="00BB7950" w:rsidP="00BB7950">
      <w:pPr>
        <w:pStyle w:val="B2"/>
      </w:pPr>
      <w:r w:rsidRPr="00FA0D37">
        <w:t>2&gt;</w:t>
      </w:r>
      <w:r w:rsidRPr="00FA0D37">
        <w:tab/>
        <w:t xml:space="preserve">in the remainder of the procedures use </w:t>
      </w:r>
      <w:r w:rsidRPr="00FA0D37">
        <w:rPr>
          <w:i/>
          <w:iCs/>
        </w:rPr>
        <w:t>npn-IdentityList, trackingAreaCode</w:t>
      </w:r>
      <w:r w:rsidRPr="00FA0D37">
        <w:rPr>
          <w:i/>
        </w:rPr>
        <w:t xml:space="preserve">, </w:t>
      </w:r>
      <w:r w:rsidRPr="00FA0D37">
        <w:rPr>
          <w:iCs/>
        </w:rPr>
        <w:t xml:space="preserve">and </w:t>
      </w:r>
      <w:r w:rsidRPr="00FA0D37">
        <w:rPr>
          <w:i/>
        </w:rPr>
        <w:t xml:space="preserve">cellIdentity </w:t>
      </w:r>
      <w:r w:rsidRPr="00FA0D37">
        <w:rPr>
          <w:iCs/>
        </w:rPr>
        <w:t xml:space="preserve">for the cell as received in the corresponding entry of </w:t>
      </w:r>
      <w:r w:rsidRPr="00FA0D37">
        <w:rPr>
          <w:i/>
        </w:rPr>
        <w:t>npn-IdentityInfoList</w:t>
      </w:r>
      <w:r w:rsidRPr="00FA0D37">
        <w:rPr>
          <w:iCs/>
        </w:rPr>
        <w:t xml:space="preserve"> containing the selected PLMN or SNPN;</w:t>
      </w:r>
    </w:p>
    <w:p w14:paraId="284C57B8" w14:textId="70554267" w:rsidR="00394471" w:rsidRPr="00FA0D37" w:rsidRDefault="00394471" w:rsidP="00394471">
      <w:pPr>
        <w:pStyle w:val="B1"/>
      </w:pPr>
      <w:r w:rsidRPr="00FA0D37">
        <w:t>1&gt;</w:t>
      </w:r>
      <w:r w:rsidRPr="00FA0D37">
        <w:tab/>
      </w:r>
      <w:r w:rsidR="00BB7950" w:rsidRPr="00FA0D37">
        <w:t xml:space="preserve">else </w:t>
      </w:r>
      <w:r w:rsidRPr="00FA0D37">
        <w:t xml:space="preserve">if the </w:t>
      </w:r>
      <w:r w:rsidRPr="00FA0D37">
        <w:rPr>
          <w:i/>
        </w:rPr>
        <w:t>cellAccessRelatedInfo</w:t>
      </w:r>
      <w:r w:rsidRPr="00FA0D37">
        <w:t xml:space="preserve"> contains an entry with the </w:t>
      </w:r>
      <w:r w:rsidRPr="00FA0D37">
        <w:rPr>
          <w:i/>
        </w:rPr>
        <w:t>PLMN-Identity</w:t>
      </w:r>
      <w:r w:rsidRPr="00FA0D37">
        <w:t xml:space="preserve"> of the selected PLMN:</w:t>
      </w:r>
    </w:p>
    <w:p w14:paraId="13CDE897" w14:textId="23B71FD6" w:rsidR="00394471" w:rsidRPr="00FA0D37" w:rsidRDefault="00394471" w:rsidP="00394471">
      <w:pPr>
        <w:pStyle w:val="B2"/>
      </w:pPr>
      <w:r w:rsidRPr="00FA0D37">
        <w:lastRenderedPageBreak/>
        <w:t>2&gt;</w:t>
      </w:r>
      <w:r w:rsidRPr="00FA0D37">
        <w:tab/>
        <w:t xml:space="preserve">in the remainder of the procedures use </w:t>
      </w:r>
      <w:r w:rsidRPr="00FA0D37">
        <w:rPr>
          <w:i/>
        </w:rPr>
        <w:t>plmn-IdentityList</w:t>
      </w:r>
      <w:r w:rsidRPr="00FA0D37">
        <w:t xml:space="preserve">, </w:t>
      </w:r>
      <w:r w:rsidRPr="00FA0D37">
        <w:rPr>
          <w:i/>
        </w:rPr>
        <w:t>trackingAreaCode</w:t>
      </w:r>
      <w:r w:rsidRPr="00FA0D37">
        <w:t xml:space="preserve">, </w:t>
      </w:r>
      <w:r w:rsidR="005B7637" w:rsidRPr="00FA0D37">
        <w:rPr>
          <w:i/>
          <w:iCs/>
        </w:rPr>
        <w:t>trackingAreaList,</w:t>
      </w:r>
      <w:r w:rsidR="005B7637" w:rsidRPr="00FA0D37">
        <w:t xml:space="preserve"> </w:t>
      </w:r>
      <w:r w:rsidRPr="00FA0D37">
        <w:t xml:space="preserve">and </w:t>
      </w:r>
      <w:r w:rsidRPr="00FA0D37">
        <w:rPr>
          <w:i/>
        </w:rPr>
        <w:t>cellIdentity</w:t>
      </w:r>
      <w:r w:rsidRPr="00FA0D37">
        <w:t xml:space="preserve"> for the cell as received in the corresponding </w:t>
      </w:r>
      <w:r w:rsidRPr="00FA0D37">
        <w:rPr>
          <w:i/>
        </w:rPr>
        <w:t>PLMN-IdentityInfo</w:t>
      </w:r>
      <w:r w:rsidRPr="00FA0D37">
        <w:t xml:space="preserve"> containing the selected PLMN;</w:t>
      </w:r>
    </w:p>
    <w:p w14:paraId="1BC13313" w14:textId="77777777" w:rsidR="0032254C" w:rsidRPr="00FA0D37" w:rsidRDefault="0032254C" w:rsidP="0032254C">
      <w:pPr>
        <w:pStyle w:val="B1"/>
      </w:pPr>
      <w:r w:rsidRPr="00FA0D37">
        <w:t>1&gt;</w:t>
      </w:r>
      <w:r w:rsidRPr="00FA0D37">
        <w:tab/>
        <w:t>if the UE in RRC_INACTIVE is configured for feature(s) that it does not support in current serving cell:</w:t>
      </w:r>
    </w:p>
    <w:p w14:paraId="61036015" w14:textId="77777777" w:rsidR="0032254C" w:rsidRPr="00FA0D37" w:rsidRDefault="0032254C" w:rsidP="005C7FF4">
      <w:pPr>
        <w:pStyle w:val="B2"/>
      </w:pPr>
      <w:r w:rsidRPr="00FA0D37">
        <w:t>2&gt;</w:t>
      </w:r>
      <w:r w:rsidRPr="00FA0D37">
        <w:tab/>
        <w:t>the corresponding configuration is not used in current serving cell;</w:t>
      </w:r>
    </w:p>
    <w:p w14:paraId="5FBB15DE" w14:textId="1132B2D5" w:rsidR="00394471" w:rsidRPr="00FA0D37" w:rsidRDefault="00394471" w:rsidP="0032254C">
      <w:pPr>
        <w:pStyle w:val="B1"/>
      </w:pPr>
      <w:r w:rsidRPr="00FA0D37">
        <w:t>1&gt;</w:t>
      </w:r>
      <w:r w:rsidRPr="00FA0D37">
        <w:tab/>
        <w:t>if in RRC_CONNECTED while T311 is not running:</w:t>
      </w:r>
    </w:p>
    <w:p w14:paraId="2742DB70" w14:textId="77777777" w:rsidR="00394471" w:rsidRPr="00FA0D37" w:rsidRDefault="00394471" w:rsidP="00394471">
      <w:pPr>
        <w:pStyle w:val="B2"/>
      </w:pPr>
      <w:r w:rsidRPr="00FA0D37">
        <w:t>2&gt;</w:t>
      </w:r>
      <w:r w:rsidRPr="00FA0D37">
        <w:tab/>
        <w:t xml:space="preserve">disregard the </w:t>
      </w:r>
      <w:r w:rsidRPr="00FA0D37">
        <w:rPr>
          <w:i/>
        </w:rPr>
        <w:t>frequencyBandList</w:t>
      </w:r>
      <w:r w:rsidRPr="00FA0D37">
        <w:t>, if received, while in RRC_CONNECTED;</w:t>
      </w:r>
    </w:p>
    <w:p w14:paraId="4AE91FD8" w14:textId="77777777" w:rsidR="00394471" w:rsidRPr="00FA0D37" w:rsidRDefault="00394471" w:rsidP="00394471">
      <w:pPr>
        <w:pStyle w:val="B2"/>
      </w:pPr>
      <w:r w:rsidRPr="00FA0D37">
        <w:t>2&gt;</w:t>
      </w:r>
      <w:r w:rsidRPr="00FA0D37">
        <w:tab/>
        <w:t xml:space="preserve">forward the </w:t>
      </w:r>
      <w:r w:rsidRPr="00FA0D37">
        <w:rPr>
          <w:i/>
        </w:rPr>
        <w:t>cellIdentity</w:t>
      </w:r>
      <w:r w:rsidRPr="00FA0D37">
        <w:t xml:space="preserve"> to upper layers;</w:t>
      </w:r>
    </w:p>
    <w:p w14:paraId="6C77783C" w14:textId="2BC9F10F" w:rsidR="00394471" w:rsidRPr="00FA0D37" w:rsidRDefault="00394471" w:rsidP="00394471">
      <w:pPr>
        <w:pStyle w:val="B2"/>
      </w:pPr>
      <w:r w:rsidRPr="00FA0D37">
        <w:t>2&gt;</w:t>
      </w:r>
      <w:r w:rsidRPr="00FA0D37">
        <w:tab/>
        <w:t xml:space="preserve">forward the </w:t>
      </w:r>
      <w:r w:rsidRPr="00FA0D37">
        <w:rPr>
          <w:i/>
        </w:rPr>
        <w:t>trackingAreaCode</w:t>
      </w:r>
      <w:r w:rsidRPr="00FA0D37">
        <w:t xml:space="preserve"> to upper layers</w:t>
      </w:r>
      <w:r w:rsidR="009A3D15" w:rsidRPr="00FA0D37">
        <w:t xml:space="preserve">, if </w:t>
      </w:r>
      <w:r w:rsidR="00247F5B" w:rsidRPr="00FA0D37">
        <w:t>included</w:t>
      </w:r>
      <w:r w:rsidRPr="00FA0D37">
        <w:t>;</w:t>
      </w:r>
    </w:p>
    <w:p w14:paraId="2E4D50DC" w14:textId="77777777" w:rsidR="005B7637" w:rsidRPr="00FA0D37" w:rsidRDefault="005B7637" w:rsidP="005B7637">
      <w:pPr>
        <w:pStyle w:val="B2"/>
      </w:pPr>
      <w:r w:rsidRPr="00FA0D37">
        <w:t>2&gt;</w:t>
      </w:r>
      <w:r w:rsidRPr="00FA0D37">
        <w:tab/>
        <w:t xml:space="preserve">forward the </w:t>
      </w:r>
      <w:r w:rsidRPr="00FA0D37">
        <w:rPr>
          <w:i/>
        </w:rPr>
        <w:t>trackingAreaList</w:t>
      </w:r>
      <w:r w:rsidRPr="00FA0D37">
        <w:t xml:space="preserve"> to upper layers, if included;</w:t>
      </w:r>
    </w:p>
    <w:p w14:paraId="3E4C7CAD" w14:textId="77777777" w:rsidR="00394471" w:rsidRPr="00FA0D37" w:rsidRDefault="00394471" w:rsidP="00394471">
      <w:pPr>
        <w:pStyle w:val="B2"/>
      </w:pPr>
      <w:r w:rsidRPr="00FA0D37">
        <w:t>2&gt;</w:t>
      </w:r>
      <w:r w:rsidRPr="00FA0D37">
        <w:tab/>
        <w:t xml:space="preserve">forward the received </w:t>
      </w:r>
      <w:r w:rsidRPr="00FA0D37">
        <w:rPr>
          <w:i/>
          <w:iCs/>
        </w:rPr>
        <w:t>posSIB-MappingInfo</w:t>
      </w:r>
      <w:r w:rsidRPr="00FA0D37">
        <w:t xml:space="preserve"> to upper layers, if included;</w:t>
      </w:r>
    </w:p>
    <w:p w14:paraId="1757BB76" w14:textId="77777777" w:rsidR="00394471" w:rsidRPr="00FA0D37" w:rsidRDefault="00394471" w:rsidP="00394471">
      <w:pPr>
        <w:pStyle w:val="B2"/>
      </w:pPr>
      <w:r w:rsidRPr="00FA0D37">
        <w:t>2&gt;</w:t>
      </w:r>
      <w:r w:rsidRPr="00FA0D37">
        <w:tab/>
        <w:t xml:space="preserve">apply the configuration included in the </w:t>
      </w:r>
      <w:r w:rsidRPr="00FA0D37">
        <w:rPr>
          <w:i/>
        </w:rPr>
        <w:t>servingCellConfigCommon</w:t>
      </w:r>
      <w:r w:rsidRPr="00FA0D37">
        <w:t>;</w:t>
      </w:r>
    </w:p>
    <w:p w14:paraId="1BBF63B4" w14:textId="63BF722C" w:rsidR="00394471" w:rsidRPr="00FA0D37" w:rsidRDefault="00394471" w:rsidP="00394471">
      <w:pPr>
        <w:pStyle w:val="B2"/>
      </w:pPr>
      <w:r w:rsidRPr="00FA0D37">
        <w:t>2&gt;</w:t>
      </w:r>
      <w:r w:rsidRPr="00FA0D37">
        <w:tab/>
        <w:t xml:space="preserve">if the UE has a stored valid version of a SIB or posSIB, in accordance with </w:t>
      </w:r>
      <w:r w:rsidR="009C7196" w:rsidRPr="00FA0D37">
        <w:t>clause</w:t>
      </w:r>
      <w:r w:rsidRPr="00FA0D37">
        <w:t xml:space="preserve"> 5.2.2.2.1, that the UE </w:t>
      </w:r>
      <w:r w:rsidRPr="00FA0D37">
        <w:rPr>
          <w:rFonts w:eastAsia="MS Mincho"/>
        </w:rPr>
        <w:t>requires to operate within the cell</w:t>
      </w:r>
      <w:r w:rsidRPr="00FA0D37">
        <w:t xml:space="preserve"> in accordance with </w:t>
      </w:r>
      <w:r w:rsidR="009C7196" w:rsidRPr="00FA0D37">
        <w:t>clause</w:t>
      </w:r>
      <w:r w:rsidRPr="00FA0D37">
        <w:t xml:space="preserve"> 5.2.2.1:</w:t>
      </w:r>
    </w:p>
    <w:p w14:paraId="1860AEF5" w14:textId="77777777" w:rsidR="00394471" w:rsidRPr="00FA0D37" w:rsidRDefault="00394471" w:rsidP="00394471">
      <w:pPr>
        <w:pStyle w:val="B3"/>
      </w:pPr>
      <w:r w:rsidRPr="00FA0D37">
        <w:t>3&gt;</w:t>
      </w:r>
      <w:r w:rsidRPr="00FA0D37">
        <w:tab/>
        <w:t>use the stored version of the required SIB or posSIB;</w:t>
      </w:r>
    </w:p>
    <w:p w14:paraId="5024BA2E" w14:textId="77777777" w:rsidR="00394471" w:rsidRPr="00FA0D37" w:rsidRDefault="00394471" w:rsidP="00394471">
      <w:pPr>
        <w:pStyle w:val="B2"/>
      </w:pPr>
      <w:r w:rsidRPr="00FA0D37">
        <w:t>2&gt;</w:t>
      </w:r>
      <w:r w:rsidRPr="00FA0D37">
        <w:tab/>
        <w:t>else:</w:t>
      </w:r>
    </w:p>
    <w:p w14:paraId="2C075400" w14:textId="0BF58E63" w:rsidR="00394471" w:rsidRPr="00FA0D37" w:rsidRDefault="00394471" w:rsidP="00394471">
      <w:pPr>
        <w:pStyle w:val="B3"/>
      </w:pPr>
      <w:r w:rsidRPr="00FA0D37">
        <w:t>3&gt;</w:t>
      </w:r>
      <w:r w:rsidRPr="00FA0D37">
        <w:tab/>
        <w:t xml:space="preserve">acquire the required SIB or posSIB requested by upper layer as defined in </w:t>
      </w:r>
      <w:r w:rsidR="009C7196" w:rsidRPr="00FA0D37">
        <w:t>clause</w:t>
      </w:r>
      <w:r w:rsidRPr="00FA0D37">
        <w:t xml:space="preserve"> 5.2.2.3.5;</w:t>
      </w:r>
    </w:p>
    <w:p w14:paraId="302E3CF2" w14:textId="2C67D7AA" w:rsidR="00394471" w:rsidRPr="00FA0D37" w:rsidRDefault="00394471" w:rsidP="00394471">
      <w:pPr>
        <w:pStyle w:val="NO"/>
      </w:pPr>
      <w:r w:rsidRPr="00FA0D37">
        <w:t>NOTE</w:t>
      </w:r>
      <w:r w:rsidR="00462AA3" w:rsidRPr="00FA0D37">
        <w:t xml:space="preserve"> 1</w:t>
      </w:r>
      <w:r w:rsidRPr="00FA0D37">
        <w:t>:</w:t>
      </w:r>
      <w:r w:rsidRPr="00FA0D37">
        <w:tab/>
        <w:t>Void.</w:t>
      </w:r>
    </w:p>
    <w:p w14:paraId="78E4EB8C" w14:textId="77777777" w:rsidR="00394471" w:rsidRPr="00FA0D37" w:rsidRDefault="00394471" w:rsidP="00394471">
      <w:pPr>
        <w:pStyle w:val="B1"/>
      </w:pPr>
      <w:r w:rsidRPr="00FA0D37">
        <w:t>1&gt;</w:t>
      </w:r>
      <w:r w:rsidRPr="00FA0D37">
        <w:tab/>
        <w:t>else:</w:t>
      </w:r>
    </w:p>
    <w:p w14:paraId="012D5FAF" w14:textId="77777777" w:rsidR="00394471" w:rsidRPr="00FA0D37" w:rsidRDefault="00394471" w:rsidP="00394471">
      <w:pPr>
        <w:pStyle w:val="B2"/>
      </w:pPr>
      <w:r w:rsidRPr="00FA0D37">
        <w:t>2&gt;</w:t>
      </w:r>
      <w:r w:rsidRPr="00FA0D37">
        <w:tab/>
        <w:t xml:space="preserve">if the UE supports one or more of the frequency bands indicated in the </w:t>
      </w:r>
      <w:r w:rsidRPr="00FA0D37">
        <w:rPr>
          <w:i/>
        </w:rPr>
        <w:t xml:space="preserve">frequencyBandList </w:t>
      </w:r>
      <w:r w:rsidRPr="00FA0D37">
        <w:t xml:space="preserve">for downlink for TDD, or one or more of the frequency bands indicated in the </w:t>
      </w:r>
      <w:r w:rsidRPr="00FA0D37">
        <w:rPr>
          <w:i/>
        </w:rPr>
        <w:t>frequencyBandList</w:t>
      </w:r>
      <w:r w:rsidRPr="00FA0D37">
        <w:t xml:space="preserve"> for uplink for FDD, and they are not downlink only bands, and</w:t>
      </w:r>
    </w:p>
    <w:p w14:paraId="44BC7FEF" w14:textId="55A9F925" w:rsidR="00394471" w:rsidRPr="00FA0D37" w:rsidRDefault="00394471" w:rsidP="00394471">
      <w:pPr>
        <w:pStyle w:val="B2"/>
      </w:pPr>
      <w:r w:rsidRPr="00FA0D37">
        <w:t>2&gt;</w:t>
      </w:r>
      <w:r w:rsidRPr="00FA0D37">
        <w:tab/>
        <w:t>if the UE</w:t>
      </w:r>
      <w:r w:rsidR="00D027C1" w:rsidRPr="00FA0D37">
        <w:t xml:space="preserve"> is IAB-MT or</w:t>
      </w:r>
      <w:r w:rsidRPr="00FA0D37">
        <w:t xml:space="preserve"> supports at least one </w:t>
      </w:r>
      <w:r w:rsidRPr="00FA0D37">
        <w:rPr>
          <w:i/>
        </w:rPr>
        <w:t>additionalSpectrumEmission</w:t>
      </w:r>
      <w:r w:rsidRPr="00FA0D37">
        <w:t xml:space="preserve"> in the </w:t>
      </w:r>
      <w:r w:rsidRPr="00FA0D37">
        <w:rPr>
          <w:i/>
        </w:rPr>
        <w:t>NR-NS-PmaxList</w:t>
      </w:r>
      <w:r w:rsidRPr="00FA0D37">
        <w:t xml:space="preserve"> for a supported band in the downlink for TDD, or a supported band in uplink for FDD, and</w:t>
      </w:r>
    </w:p>
    <w:p w14:paraId="0E84D8FB" w14:textId="5AE9EE09" w:rsidR="00394471" w:rsidRPr="00FA0D37" w:rsidRDefault="00394471" w:rsidP="00394471">
      <w:pPr>
        <w:pStyle w:val="B2"/>
        <w:spacing w:after="0"/>
      </w:pPr>
      <w:r w:rsidRPr="00FA0D37">
        <w:t>2&gt;</w:t>
      </w:r>
      <w:r w:rsidRPr="00FA0D37">
        <w:tab/>
        <w:t>if the UE supports an uplink channel bandwidth with a maximum transmission bandwidth configuration (see TS 38.101-1 [15]</w:t>
      </w:r>
      <w:r w:rsidR="00862D3D" w:rsidRPr="00FA0D37">
        <w:t>,</w:t>
      </w:r>
      <w:r w:rsidRPr="00FA0D37">
        <w:t xml:space="preserve"> TS 38.101-2 [39]</w:t>
      </w:r>
      <w:r w:rsidR="00862D3D" w:rsidRPr="00FA0D37">
        <w:t>, and TS 38.101-5 [75]</w:t>
      </w:r>
      <w:r w:rsidRPr="00FA0D37">
        <w:t>) which</w:t>
      </w:r>
    </w:p>
    <w:p w14:paraId="1984DC5E" w14:textId="7D318611" w:rsidR="00394471" w:rsidRPr="00FA0D37" w:rsidRDefault="00394471" w:rsidP="00394471">
      <w:pPr>
        <w:pStyle w:val="B3"/>
        <w:spacing w:after="0"/>
      </w:pPr>
      <w:r w:rsidRPr="00FA0D37">
        <w:t>-</w:t>
      </w:r>
      <w:r w:rsidRPr="00FA0D37">
        <w:tab/>
        <w:t xml:space="preserve">is smaller than or equal to the </w:t>
      </w:r>
      <w:r w:rsidRPr="00FA0D37">
        <w:rPr>
          <w:i/>
        </w:rPr>
        <w:t>carrierBandwidth</w:t>
      </w:r>
      <w:r w:rsidRPr="00FA0D37">
        <w:t xml:space="preserve"> (indicated in </w:t>
      </w:r>
      <w:r w:rsidRPr="00FA0D37">
        <w:rPr>
          <w:i/>
        </w:rPr>
        <w:t>uplinkConfigCommon</w:t>
      </w:r>
      <w:r w:rsidRPr="00FA0D37">
        <w:t xml:space="preserve"> for the SCS of the initial uplink BWP</w:t>
      </w:r>
      <w:r w:rsidR="00CD6E06" w:rsidRPr="00FA0D37">
        <w:t xml:space="preserve"> or, for RedCap UE, of the </w:t>
      </w:r>
      <w:r w:rsidR="004A5E25" w:rsidRPr="00FA0D37">
        <w:t>RedCap-specific initial uplink BWP</w:t>
      </w:r>
      <w:r w:rsidR="00CD6E06" w:rsidRPr="00FA0D37">
        <w:t xml:space="preserve"> if configured</w:t>
      </w:r>
      <w:r w:rsidRPr="00FA0D37">
        <w:t>), and which</w:t>
      </w:r>
    </w:p>
    <w:p w14:paraId="1906CB0E" w14:textId="6FF12E2A" w:rsidR="00394471" w:rsidRPr="00FA0D37" w:rsidRDefault="00394471" w:rsidP="00394471">
      <w:pPr>
        <w:pStyle w:val="B3"/>
      </w:pPr>
      <w:r w:rsidRPr="00FA0D37">
        <w:t>-</w:t>
      </w:r>
      <w:r w:rsidRPr="00FA0D37">
        <w:tab/>
        <w:t>is wider than or equal to the bandwidth of the initial uplink BWP</w:t>
      </w:r>
      <w:r w:rsidR="00CD6E06" w:rsidRPr="00FA0D37">
        <w:t xml:space="preserve"> or, for RedCap UE, of the </w:t>
      </w:r>
      <w:r w:rsidR="004A5E25" w:rsidRPr="00FA0D37">
        <w:t>RedCap-specific initial uplink BWP</w:t>
      </w:r>
      <w:r w:rsidR="00CD6E06" w:rsidRPr="00FA0D37">
        <w:t xml:space="preserve"> if configured</w:t>
      </w:r>
      <w:r w:rsidRPr="00FA0D37">
        <w:t>, and</w:t>
      </w:r>
    </w:p>
    <w:p w14:paraId="34A8A7D0" w14:textId="5B5DC1AF" w:rsidR="00394471" w:rsidRPr="00FA0D37" w:rsidRDefault="00394471" w:rsidP="00394471">
      <w:pPr>
        <w:pStyle w:val="B2"/>
        <w:spacing w:after="0"/>
      </w:pPr>
      <w:r w:rsidRPr="00FA0D37">
        <w:t>2&gt;</w:t>
      </w:r>
      <w:r w:rsidRPr="00FA0D37">
        <w:tab/>
        <w:t>if the UE supports a downlink channel bandwidth with a maximum transmission bandwidth configuration (see TS 38.101-1 [15]</w:t>
      </w:r>
      <w:r w:rsidR="00862D3D" w:rsidRPr="00FA0D37">
        <w:t>,</w:t>
      </w:r>
      <w:r w:rsidRPr="00FA0D37">
        <w:t xml:space="preserve"> TS 38.101-2 [39]</w:t>
      </w:r>
      <w:r w:rsidR="00862D3D" w:rsidRPr="00FA0D37">
        <w:t>, and TS 38.101-5 [75]</w:t>
      </w:r>
      <w:r w:rsidRPr="00FA0D37">
        <w:t>) which</w:t>
      </w:r>
    </w:p>
    <w:p w14:paraId="453A943A" w14:textId="0EDE93EF" w:rsidR="00394471" w:rsidRPr="00FA0D37" w:rsidRDefault="00394471" w:rsidP="00394471">
      <w:pPr>
        <w:pStyle w:val="B3"/>
        <w:spacing w:after="0"/>
      </w:pPr>
      <w:r w:rsidRPr="00FA0D37">
        <w:t>-</w:t>
      </w:r>
      <w:r w:rsidRPr="00FA0D37">
        <w:tab/>
        <w:t xml:space="preserve">is smaller than or equal to the </w:t>
      </w:r>
      <w:r w:rsidRPr="00FA0D37">
        <w:rPr>
          <w:i/>
        </w:rPr>
        <w:t>carrierBandwidth</w:t>
      </w:r>
      <w:r w:rsidRPr="00FA0D37">
        <w:t xml:space="preserve"> (indicated in </w:t>
      </w:r>
      <w:r w:rsidRPr="00FA0D37">
        <w:rPr>
          <w:i/>
        </w:rPr>
        <w:t>downlinkConfigCommon</w:t>
      </w:r>
      <w:r w:rsidRPr="00FA0D37">
        <w:t xml:space="preserve"> for the SCS of the initial downlink BWP</w:t>
      </w:r>
      <w:r w:rsidR="00CD6E06" w:rsidRPr="00FA0D37">
        <w:t xml:space="preserve"> or, for RedCap UE, of the </w:t>
      </w:r>
      <w:r w:rsidR="004A5E25" w:rsidRPr="00FA0D37">
        <w:t>RedCap-specific initial downlink BWP</w:t>
      </w:r>
      <w:r w:rsidR="00CD6E06" w:rsidRPr="00FA0D37">
        <w:t xml:space="preserve"> if configured</w:t>
      </w:r>
      <w:r w:rsidRPr="00FA0D37">
        <w:t>), and which</w:t>
      </w:r>
    </w:p>
    <w:p w14:paraId="735561B7" w14:textId="0BDDF651" w:rsidR="00394471" w:rsidRPr="00FA0D37" w:rsidRDefault="00394471" w:rsidP="00394471">
      <w:pPr>
        <w:pStyle w:val="B3"/>
      </w:pPr>
      <w:r w:rsidRPr="00FA0D37">
        <w:t>-</w:t>
      </w:r>
      <w:r w:rsidRPr="00FA0D37">
        <w:tab/>
        <w:t>is wider than or equal to the bandwidth of the initial downlink BWP</w:t>
      </w:r>
      <w:r w:rsidR="00CD6E06" w:rsidRPr="00FA0D37">
        <w:t xml:space="preserve"> or, for RedCap UE, of the </w:t>
      </w:r>
      <w:r w:rsidR="004A5E25" w:rsidRPr="00FA0D37">
        <w:t>RedCap-specific initial downlink BWP</w:t>
      </w:r>
      <w:r w:rsidR="00CD6E06" w:rsidRPr="00FA0D37">
        <w:t xml:space="preserve"> if configured</w:t>
      </w:r>
      <w:r w:rsidR="00261BA1" w:rsidRPr="00FA0D37">
        <w:t>, and</w:t>
      </w:r>
    </w:p>
    <w:p w14:paraId="3A0B39B3" w14:textId="00BBC988" w:rsidR="00261BA1" w:rsidRPr="00FA0D37" w:rsidRDefault="00261BA1" w:rsidP="00261BA1">
      <w:pPr>
        <w:pStyle w:val="B2"/>
      </w:pPr>
      <w:r w:rsidRPr="00FA0D37">
        <w:t>2&gt;</w:t>
      </w:r>
      <w:r w:rsidRPr="00FA0D37">
        <w:tab/>
        <w:t xml:space="preserve">if </w:t>
      </w:r>
      <w:r w:rsidRPr="00FA0D37">
        <w:rPr>
          <w:i/>
          <w:iCs/>
        </w:rPr>
        <w:t>frequencyShift7p5khz</w:t>
      </w:r>
      <w:r w:rsidRPr="00FA0D37">
        <w:t xml:space="preserve"> is present and the UE supports corresponding 7.5kHz frequency shift on this band; </w:t>
      </w:r>
      <w:bookmarkStart w:id="41" w:name="_Hlk55890539"/>
      <w:r w:rsidRPr="00FA0D37">
        <w:t xml:space="preserve">or </w:t>
      </w:r>
      <w:r w:rsidRPr="00FA0D37">
        <w:rPr>
          <w:i/>
          <w:iCs/>
        </w:rPr>
        <w:t>frequencyShift7p5khz</w:t>
      </w:r>
      <w:r w:rsidRPr="00FA0D37">
        <w:t xml:space="preserve"> </w:t>
      </w:r>
      <w:bookmarkEnd w:id="41"/>
      <w:r w:rsidRPr="00FA0D37">
        <w:t>is not present:</w:t>
      </w:r>
    </w:p>
    <w:p w14:paraId="2D9291DB" w14:textId="5D3F47A2" w:rsidR="00394471" w:rsidRPr="00FA0D37" w:rsidRDefault="00394471" w:rsidP="00394471">
      <w:pPr>
        <w:pStyle w:val="B3"/>
      </w:pPr>
      <w:r w:rsidRPr="00FA0D37">
        <w:t>3&gt;</w:t>
      </w:r>
      <w:r w:rsidRPr="00FA0D37">
        <w:tab/>
        <w:t xml:space="preserve">if </w:t>
      </w:r>
      <w:r w:rsidR="00247F5B" w:rsidRPr="00FA0D37">
        <w:t xml:space="preserve">neither </w:t>
      </w:r>
      <w:r w:rsidRPr="00FA0D37">
        <w:rPr>
          <w:i/>
        </w:rPr>
        <w:t>trackingAreaCode</w:t>
      </w:r>
      <w:r w:rsidRPr="00FA0D37">
        <w:t xml:space="preserve"> </w:t>
      </w:r>
      <w:r w:rsidR="00247F5B" w:rsidRPr="00FA0D37">
        <w:t>n</w:t>
      </w:r>
      <w:r w:rsidR="009A3D15" w:rsidRPr="00FA0D37">
        <w:rPr>
          <w:iCs/>
        </w:rPr>
        <w:t xml:space="preserve">or </w:t>
      </w:r>
      <w:r w:rsidR="005B7637" w:rsidRPr="00FA0D37">
        <w:rPr>
          <w:i/>
        </w:rPr>
        <w:t>trackingAreaList</w:t>
      </w:r>
      <w:r w:rsidR="005B7637" w:rsidRPr="00FA0D37">
        <w:t xml:space="preserve"> </w:t>
      </w:r>
      <w:r w:rsidR="009A3D15" w:rsidRPr="00FA0D37">
        <w:t>is</w:t>
      </w:r>
      <w:r w:rsidRPr="00FA0D37">
        <w:t xml:space="preserve"> provided for the selected PLMN nor the registered PLMN nor PLMN of the equivalent PLMN list:</w:t>
      </w:r>
    </w:p>
    <w:p w14:paraId="6ECAE31B" w14:textId="0FA265A7" w:rsidR="005E3854" w:rsidRPr="00FA0D37" w:rsidRDefault="00394471" w:rsidP="005E3854">
      <w:pPr>
        <w:pStyle w:val="B4"/>
      </w:pPr>
      <w:r w:rsidRPr="00FA0D37">
        <w:t>4&gt;</w:t>
      </w:r>
      <w:r w:rsidRPr="00FA0D37">
        <w:tab/>
        <w:t>consider the cell as barred in accordance with TS 38.304 [20];</w:t>
      </w:r>
    </w:p>
    <w:p w14:paraId="6AF25972" w14:textId="78777572" w:rsidR="00394471" w:rsidRPr="00FA0D37" w:rsidRDefault="005E3854" w:rsidP="005E3854">
      <w:pPr>
        <w:pStyle w:val="B4"/>
      </w:pPr>
      <w:r w:rsidRPr="00FA0D37">
        <w:t>4&gt;</w:t>
      </w:r>
      <w:r w:rsidRPr="00FA0D37">
        <w:tab/>
        <w:t>perform cell re-selection to other cells on the same frequency as the barred cell as specified in TS 38.304 [20];</w:t>
      </w:r>
    </w:p>
    <w:p w14:paraId="37D4C604" w14:textId="77777777" w:rsidR="00394471" w:rsidRPr="00FA0D37" w:rsidRDefault="00394471" w:rsidP="00394471">
      <w:pPr>
        <w:pStyle w:val="B3"/>
      </w:pPr>
      <w:r w:rsidRPr="00FA0D37">
        <w:lastRenderedPageBreak/>
        <w:t>3&gt;</w:t>
      </w:r>
      <w:r w:rsidRPr="00FA0D37">
        <w:tab/>
        <w:t xml:space="preserve">else if UE is IAB-MT and if </w:t>
      </w:r>
      <w:r w:rsidRPr="00FA0D37">
        <w:rPr>
          <w:i/>
          <w:iCs/>
        </w:rPr>
        <w:t>iab-Support</w:t>
      </w:r>
      <w:r w:rsidRPr="00FA0D37">
        <w:t xml:space="preserve"> is not provided for the selected PLMN nor the registered PLMN nor PLMN of the equivalent PLMN list nor the selected SNPN nor the registered SNPN:</w:t>
      </w:r>
    </w:p>
    <w:p w14:paraId="78BD5C92" w14:textId="2DD2DBDC" w:rsidR="00394471" w:rsidRPr="00FA0D37" w:rsidRDefault="00394471" w:rsidP="00394471">
      <w:pPr>
        <w:pStyle w:val="B4"/>
        <w:rPr>
          <w:rFonts w:ascii="Malgun Gothic" w:eastAsiaTheme="minorEastAsia" w:hAnsi="Malgun Gothic"/>
        </w:rPr>
      </w:pPr>
      <w:r w:rsidRPr="00FA0D37">
        <w:t>4&gt;</w:t>
      </w:r>
      <w:r w:rsidRPr="00FA0D37">
        <w:tab/>
        <w:t>consider the cell as barred in accordance with TS 38.304 [20];</w:t>
      </w:r>
    </w:p>
    <w:p w14:paraId="13953412" w14:textId="77777777" w:rsidR="00394471" w:rsidRPr="00FA0D37" w:rsidRDefault="00394471" w:rsidP="00394471">
      <w:pPr>
        <w:pStyle w:val="B3"/>
      </w:pPr>
      <w:r w:rsidRPr="00FA0D37">
        <w:t>3&gt;</w:t>
      </w:r>
      <w:r w:rsidRPr="00FA0D37">
        <w:tab/>
        <w:t>else:</w:t>
      </w:r>
    </w:p>
    <w:p w14:paraId="5DFB40B9" w14:textId="77777777" w:rsidR="00394471" w:rsidRPr="00FA0D37" w:rsidRDefault="00394471" w:rsidP="00394471">
      <w:pPr>
        <w:pStyle w:val="B4"/>
      </w:pPr>
      <w:r w:rsidRPr="00FA0D37">
        <w:t>4&gt;</w:t>
      </w:r>
      <w:r w:rsidRPr="00FA0D37">
        <w:tab/>
        <w:t>apply a supported uplink channel bandwidth with a maximum transmission bandwidth which</w:t>
      </w:r>
    </w:p>
    <w:p w14:paraId="0AEEDD2A" w14:textId="62A009E9" w:rsidR="00394471" w:rsidRPr="00FA0D37" w:rsidRDefault="00394471" w:rsidP="00394471">
      <w:pPr>
        <w:pStyle w:val="B5"/>
      </w:pPr>
      <w:r w:rsidRPr="00FA0D37">
        <w:t>-</w:t>
      </w:r>
      <w:r w:rsidRPr="00FA0D37">
        <w:tab/>
        <w:t xml:space="preserve">is contained within the </w:t>
      </w:r>
      <w:r w:rsidRPr="00FA0D37">
        <w:rPr>
          <w:i/>
        </w:rPr>
        <w:t>carrierBandwidth</w:t>
      </w:r>
      <w:r w:rsidRPr="00FA0D37">
        <w:t xml:space="preserve"> indicated in </w:t>
      </w:r>
      <w:r w:rsidRPr="00FA0D37">
        <w:rPr>
          <w:i/>
        </w:rPr>
        <w:t>uplinkConfigCommon</w:t>
      </w:r>
      <w:r w:rsidRPr="00FA0D37">
        <w:t xml:space="preserve"> for the SCS of the initial uplink BWP</w:t>
      </w:r>
      <w:r w:rsidR="00CD6E06" w:rsidRPr="00FA0D37">
        <w:t xml:space="preserve"> or, for RedCap UEs, </w:t>
      </w:r>
      <w:r w:rsidR="004A5E25" w:rsidRPr="00FA0D37">
        <w:t>RedCap-specific initial uplink BWP</w:t>
      </w:r>
      <w:r w:rsidR="00CD6E06" w:rsidRPr="00FA0D37">
        <w:t>, if configured</w:t>
      </w:r>
      <w:r w:rsidRPr="00FA0D37">
        <w:t>, and which</w:t>
      </w:r>
    </w:p>
    <w:p w14:paraId="08A75393" w14:textId="30A90ECE" w:rsidR="00394471" w:rsidRPr="00FA0D37" w:rsidRDefault="00394471" w:rsidP="00394471">
      <w:pPr>
        <w:pStyle w:val="B5"/>
      </w:pPr>
      <w:r w:rsidRPr="00FA0D37">
        <w:t>-</w:t>
      </w:r>
      <w:r w:rsidRPr="00FA0D37">
        <w:tab/>
        <w:t>is wider than or equal to the bandwidth of the initial BWP for the uplink</w:t>
      </w:r>
      <w:r w:rsidR="00A60929" w:rsidRPr="00FA0D37">
        <w:t xml:space="preserve"> or, for a RedCap UE, of the </w:t>
      </w:r>
      <w:r w:rsidR="004A5E25" w:rsidRPr="00FA0D37">
        <w:t>RedCap-specific initial uplink BWP</w:t>
      </w:r>
      <w:r w:rsidR="00A60929" w:rsidRPr="00FA0D37">
        <w:t xml:space="preserve"> if configured</w:t>
      </w:r>
      <w:r w:rsidRPr="00FA0D37">
        <w:t>;</w:t>
      </w:r>
    </w:p>
    <w:p w14:paraId="163DF48A" w14:textId="77777777" w:rsidR="00394471" w:rsidRPr="00FA0D37" w:rsidRDefault="00394471" w:rsidP="00394471">
      <w:pPr>
        <w:pStyle w:val="B4"/>
      </w:pPr>
      <w:r w:rsidRPr="00FA0D37">
        <w:t>4&gt;</w:t>
      </w:r>
      <w:r w:rsidRPr="00FA0D37">
        <w:tab/>
        <w:t>apply a supported downlink channel bandwidth with a maximum transmission bandwidth which</w:t>
      </w:r>
    </w:p>
    <w:p w14:paraId="61DB0635" w14:textId="6B98E978" w:rsidR="00394471" w:rsidRPr="00FA0D37" w:rsidRDefault="00394471" w:rsidP="00394471">
      <w:pPr>
        <w:pStyle w:val="B5"/>
      </w:pPr>
      <w:r w:rsidRPr="00FA0D37">
        <w:t xml:space="preserve">- is contained within the </w:t>
      </w:r>
      <w:r w:rsidRPr="00FA0D37">
        <w:rPr>
          <w:i/>
        </w:rPr>
        <w:t>carrierBandwidth</w:t>
      </w:r>
      <w:r w:rsidRPr="00FA0D37">
        <w:t xml:space="preserve"> indicated in </w:t>
      </w:r>
      <w:r w:rsidRPr="00FA0D37">
        <w:rPr>
          <w:i/>
        </w:rPr>
        <w:t>downlinkConfigCommon</w:t>
      </w:r>
      <w:r w:rsidRPr="00FA0D37">
        <w:t xml:space="preserve"> for the SCS of the initial downlink BWP</w:t>
      </w:r>
      <w:r w:rsidR="00CD6E06" w:rsidRPr="00FA0D37">
        <w:t xml:space="preserve"> or, for RedCap UEs, </w:t>
      </w:r>
      <w:r w:rsidR="004A5E25" w:rsidRPr="00FA0D37">
        <w:t>RedCap-specific initial downlink BWP</w:t>
      </w:r>
      <w:r w:rsidR="00CD6E06" w:rsidRPr="00FA0D37">
        <w:t>, if configured</w:t>
      </w:r>
      <w:r w:rsidRPr="00FA0D37">
        <w:t>, and which</w:t>
      </w:r>
    </w:p>
    <w:p w14:paraId="2A8A0250" w14:textId="6441896B" w:rsidR="00394471" w:rsidRPr="00FA0D37" w:rsidRDefault="00394471" w:rsidP="00394471">
      <w:pPr>
        <w:pStyle w:val="B5"/>
      </w:pPr>
      <w:r w:rsidRPr="00FA0D37">
        <w:t>- is wider than or equal to the bandwidth of the initial BWP for the downlink</w:t>
      </w:r>
      <w:r w:rsidR="00A60929" w:rsidRPr="00FA0D37">
        <w:t xml:space="preserve"> or, for a RedCap UE, of the </w:t>
      </w:r>
      <w:r w:rsidR="004A5E25" w:rsidRPr="00FA0D37">
        <w:t>RedCap-specific initial downlink BWP</w:t>
      </w:r>
      <w:r w:rsidR="00A60929" w:rsidRPr="00FA0D37">
        <w:t xml:space="preserve"> if configured</w:t>
      </w:r>
      <w:r w:rsidRPr="00FA0D37">
        <w:t>;</w:t>
      </w:r>
    </w:p>
    <w:p w14:paraId="0B876F7D" w14:textId="77777777" w:rsidR="00394471" w:rsidRPr="00FA0D37" w:rsidRDefault="00394471" w:rsidP="00394471">
      <w:pPr>
        <w:pStyle w:val="B4"/>
      </w:pPr>
      <w:r w:rsidRPr="00FA0D37">
        <w:t>4&gt;</w:t>
      </w:r>
      <w:r w:rsidRPr="00FA0D37">
        <w:tab/>
        <w:t xml:space="preserve">select the first frequency band in the </w:t>
      </w:r>
      <w:r w:rsidRPr="00FA0D37">
        <w:rPr>
          <w:i/>
        </w:rPr>
        <w:t>frequencyBandList</w:t>
      </w:r>
      <w:r w:rsidRPr="00FA0D37">
        <w:t xml:space="preserve">, for FDD from </w:t>
      </w:r>
      <w:r w:rsidRPr="00FA0D37">
        <w:rPr>
          <w:i/>
          <w:iCs/>
        </w:rPr>
        <w:t>frequencyBandList</w:t>
      </w:r>
      <w:r w:rsidRPr="00FA0D37">
        <w:t xml:space="preserve"> for uplink, or for TDD from </w:t>
      </w:r>
      <w:r w:rsidRPr="00FA0D37">
        <w:rPr>
          <w:i/>
          <w:iCs/>
        </w:rPr>
        <w:t xml:space="preserve">frequencyBandList </w:t>
      </w:r>
      <w:r w:rsidRPr="00FA0D37">
        <w:t>for downlink,</w:t>
      </w:r>
      <w:r w:rsidRPr="00FA0D37">
        <w:rPr>
          <w:i/>
        </w:rPr>
        <w:t xml:space="preserve"> </w:t>
      </w:r>
      <w:r w:rsidRPr="00FA0D37">
        <w:t xml:space="preserve">which the UE supports and for which the UE supports at least one of the </w:t>
      </w:r>
      <w:r w:rsidRPr="00FA0D37">
        <w:rPr>
          <w:i/>
        </w:rPr>
        <w:t>additionalSpectrumEmission</w:t>
      </w:r>
      <w:r w:rsidRPr="00FA0D37">
        <w:t xml:space="preserve"> values in</w:t>
      </w:r>
      <w:r w:rsidRPr="00FA0D37">
        <w:rPr>
          <w:i/>
        </w:rPr>
        <w:t xml:space="preserve"> nr-NS-PmaxList</w:t>
      </w:r>
      <w:r w:rsidRPr="00FA0D37">
        <w:t>, if present;</w:t>
      </w:r>
    </w:p>
    <w:p w14:paraId="65CCB944" w14:textId="77777777" w:rsidR="00394471" w:rsidRPr="00FA0D37" w:rsidRDefault="00394471" w:rsidP="00394471">
      <w:pPr>
        <w:pStyle w:val="B4"/>
      </w:pPr>
      <w:r w:rsidRPr="00FA0D37">
        <w:t>4&gt;</w:t>
      </w:r>
      <w:r w:rsidRPr="00FA0D37">
        <w:tab/>
        <w:t xml:space="preserve">forward the </w:t>
      </w:r>
      <w:r w:rsidRPr="00FA0D37">
        <w:rPr>
          <w:i/>
        </w:rPr>
        <w:t>cellIdentity</w:t>
      </w:r>
      <w:r w:rsidRPr="00FA0D37">
        <w:t xml:space="preserve"> to upper layers;</w:t>
      </w:r>
    </w:p>
    <w:p w14:paraId="79EC6202" w14:textId="77777777" w:rsidR="00394471" w:rsidRPr="00FA0D37" w:rsidRDefault="00394471" w:rsidP="00394471">
      <w:pPr>
        <w:pStyle w:val="B4"/>
      </w:pPr>
      <w:r w:rsidRPr="00FA0D37">
        <w:t>4&gt;</w:t>
      </w:r>
      <w:r w:rsidRPr="00FA0D37">
        <w:tab/>
        <w:t xml:space="preserve">forward the </w:t>
      </w:r>
      <w:r w:rsidRPr="00FA0D37">
        <w:rPr>
          <w:i/>
        </w:rPr>
        <w:t>trackingAreaCode</w:t>
      </w:r>
      <w:r w:rsidRPr="00FA0D37">
        <w:t xml:space="preserve"> to upper layers;</w:t>
      </w:r>
    </w:p>
    <w:p w14:paraId="7A51D002" w14:textId="77777777" w:rsidR="005B7637" w:rsidRPr="00FA0D37" w:rsidRDefault="005B7637" w:rsidP="005B7637">
      <w:pPr>
        <w:pStyle w:val="B4"/>
      </w:pPr>
      <w:r w:rsidRPr="00FA0D37">
        <w:t>4&gt;</w:t>
      </w:r>
      <w:r w:rsidRPr="00FA0D37">
        <w:tab/>
        <w:t xml:space="preserve">forward the </w:t>
      </w:r>
      <w:r w:rsidRPr="00FA0D37">
        <w:rPr>
          <w:i/>
        </w:rPr>
        <w:t>trackingAreaList</w:t>
      </w:r>
      <w:r w:rsidRPr="00FA0D37">
        <w:t xml:space="preserve"> to upper layers, if included;</w:t>
      </w:r>
    </w:p>
    <w:p w14:paraId="7C78CDAD" w14:textId="77777777" w:rsidR="00394471" w:rsidRPr="00FA0D37" w:rsidRDefault="00394471" w:rsidP="00394471">
      <w:pPr>
        <w:pStyle w:val="B4"/>
      </w:pPr>
      <w:r w:rsidRPr="00FA0D37">
        <w:t>4&gt;</w:t>
      </w:r>
      <w:r w:rsidRPr="00FA0D37">
        <w:tab/>
        <w:t xml:space="preserve">forward the received </w:t>
      </w:r>
      <w:r w:rsidRPr="00FA0D37">
        <w:rPr>
          <w:i/>
          <w:iCs/>
        </w:rPr>
        <w:t>posSIB-MappingInfo</w:t>
      </w:r>
      <w:r w:rsidRPr="00FA0D37">
        <w:t xml:space="preserve"> to upper layers, if included;</w:t>
      </w:r>
    </w:p>
    <w:p w14:paraId="417755DE" w14:textId="77777777" w:rsidR="00394471" w:rsidRPr="00FA0D37" w:rsidRDefault="00394471" w:rsidP="00394471">
      <w:pPr>
        <w:pStyle w:val="B4"/>
      </w:pPr>
      <w:r w:rsidRPr="00FA0D37">
        <w:t>4&gt;</w:t>
      </w:r>
      <w:r w:rsidRPr="00FA0D37">
        <w:tab/>
        <w:t>forward the PLMN identity or SNPN identity or PNI-NPN identity to upper layers;</w:t>
      </w:r>
    </w:p>
    <w:p w14:paraId="1A25EE68" w14:textId="77777777" w:rsidR="00394471" w:rsidRPr="00FA0D37" w:rsidRDefault="00394471" w:rsidP="00394471">
      <w:pPr>
        <w:pStyle w:val="B4"/>
      </w:pPr>
      <w:r w:rsidRPr="00FA0D37">
        <w:t>4&gt;</w:t>
      </w:r>
      <w:r w:rsidRPr="00FA0D37">
        <w:tab/>
        <w:t>if in RRC_INACTIVE and the forwarded information does not trigger message transmission by upper layers:</w:t>
      </w:r>
    </w:p>
    <w:p w14:paraId="3C37CD92" w14:textId="77777777" w:rsidR="00394471" w:rsidRPr="00FA0D37" w:rsidRDefault="00394471" w:rsidP="00394471">
      <w:pPr>
        <w:pStyle w:val="B5"/>
      </w:pPr>
      <w:r w:rsidRPr="00FA0D37">
        <w:t>5&gt;</w:t>
      </w:r>
      <w:r w:rsidRPr="00FA0D37">
        <w:tab/>
        <w:t xml:space="preserve">if the serving cell does not belong to the configured </w:t>
      </w:r>
      <w:r w:rsidRPr="00FA0D37">
        <w:rPr>
          <w:i/>
        </w:rPr>
        <w:t>ran-NotificationAreaInfo</w:t>
      </w:r>
      <w:r w:rsidRPr="00FA0D37">
        <w:t>:</w:t>
      </w:r>
    </w:p>
    <w:p w14:paraId="6C26286C" w14:textId="61888CAC" w:rsidR="00CD007B" w:rsidRPr="00103DA3" w:rsidRDefault="00394471" w:rsidP="00103DA3">
      <w:pPr>
        <w:pStyle w:val="B7"/>
        <w:rPr>
          <w:lang w:val="en-GB"/>
        </w:rPr>
      </w:pPr>
      <w:r w:rsidRPr="00FA0D37">
        <w:rPr>
          <w:lang w:val="en-GB"/>
        </w:rPr>
        <w:t>6&gt;</w:t>
      </w:r>
      <w:r w:rsidRPr="00FA0D37">
        <w:rPr>
          <w:lang w:val="en-GB"/>
        </w:rPr>
        <w:tab/>
        <w:t>initiate an RNA update as specified in 5.3.13.8;</w:t>
      </w:r>
    </w:p>
    <w:p w14:paraId="64B113EF" w14:textId="77777777" w:rsidR="00103DA3" w:rsidRDefault="00103DA3" w:rsidP="00103DA3">
      <w:pPr>
        <w:pStyle w:val="B5"/>
        <w:rPr>
          <w:ins w:id="42" w:author="Huawei, HiSilicon" w:date="2023-12-06T15:14:00Z"/>
        </w:rPr>
      </w:pPr>
      <w:ins w:id="43" w:author="Huawei, HiSilicon" w:date="2023-12-06T15:14:00Z">
        <w:r>
          <w:t>5&gt;</w:t>
        </w:r>
        <w:r>
          <w:tab/>
          <w:t>if configured to receive MBS multicast in RRC_INACTIVE and not indicated to stop monitoring G-RNTI for at least one MBS multicast session:</w:t>
        </w:r>
      </w:ins>
    </w:p>
    <w:p w14:paraId="785692C9" w14:textId="77777777" w:rsidR="00103DA3" w:rsidRPr="00493AA0" w:rsidRDefault="00103DA3" w:rsidP="00103DA3">
      <w:pPr>
        <w:pStyle w:val="B6"/>
        <w:rPr>
          <w:ins w:id="44" w:author="Huawei, HiSilicon" w:date="2023-12-06T15:14:00Z"/>
          <w:lang w:val="en-GB"/>
        </w:rPr>
      </w:pPr>
      <w:ins w:id="45" w:author="Huawei, HiSilicon" w:date="2023-12-06T15:14:00Z">
        <w:r w:rsidRPr="00493AA0">
          <w:rPr>
            <w:lang w:val="en-GB"/>
          </w:rPr>
          <w:t>6&gt;</w:t>
        </w:r>
        <w:r w:rsidRPr="00493AA0">
          <w:rPr>
            <w:lang w:val="en-GB"/>
          </w:rPr>
          <w:tab/>
          <w:t>if SIBx is not scheduled in SIB1 in the cell after cell selection or cell reselection:</w:t>
        </w:r>
      </w:ins>
    </w:p>
    <w:p w14:paraId="2C4A167E" w14:textId="77777777" w:rsidR="00103DA3" w:rsidRPr="00493AA0" w:rsidRDefault="00103DA3" w:rsidP="00103DA3">
      <w:pPr>
        <w:pStyle w:val="B7"/>
        <w:rPr>
          <w:ins w:id="46" w:author="Huawei, HiSilicon" w:date="2023-12-06T15:14:00Z"/>
          <w:rFonts w:eastAsiaTheme="minorEastAsia"/>
          <w:lang w:val="en-GB"/>
        </w:rPr>
      </w:pPr>
      <w:ins w:id="47" w:author="Huawei, HiSilicon" w:date="2023-12-06T15:14:00Z">
        <w:r>
          <w:t>7&gt;</w:t>
        </w:r>
        <w:r>
          <w:tab/>
          <w:t>initiate an RRC connection resume procedure for multicast reception as specified in 5.3.13.x;</w:t>
        </w:r>
      </w:ins>
    </w:p>
    <w:p w14:paraId="089472D1" w14:textId="77777777" w:rsidR="00394471" w:rsidRPr="00FA0D37" w:rsidRDefault="00394471" w:rsidP="00394471">
      <w:pPr>
        <w:pStyle w:val="B4"/>
      </w:pPr>
      <w:r w:rsidRPr="00FA0D37">
        <w:t>4&gt;</w:t>
      </w:r>
      <w:r w:rsidRPr="00FA0D37">
        <w:tab/>
        <w:t xml:space="preserve">forward the </w:t>
      </w:r>
      <w:r w:rsidRPr="00FA0D37">
        <w:rPr>
          <w:i/>
        </w:rPr>
        <w:t>ims-EmergencySupport</w:t>
      </w:r>
      <w:r w:rsidRPr="00FA0D37">
        <w:t xml:space="preserve"> to upper layers, if present;</w:t>
      </w:r>
    </w:p>
    <w:p w14:paraId="42055E9E" w14:textId="77777777" w:rsidR="00394471" w:rsidRPr="00FA0D37" w:rsidRDefault="00394471" w:rsidP="00394471">
      <w:pPr>
        <w:pStyle w:val="B4"/>
      </w:pPr>
      <w:r w:rsidRPr="00FA0D37">
        <w:t>4&gt;</w:t>
      </w:r>
      <w:r w:rsidRPr="00FA0D37">
        <w:tab/>
        <w:t xml:space="preserve">forward the </w:t>
      </w:r>
      <w:r w:rsidRPr="00FA0D37">
        <w:rPr>
          <w:i/>
        </w:rPr>
        <w:t>eCallOverIMS-Support</w:t>
      </w:r>
      <w:r w:rsidRPr="00FA0D37">
        <w:t xml:space="preserve"> to upper layers, if present;</w:t>
      </w:r>
    </w:p>
    <w:p w14:paraId="630BB10F" w14:textId="28B01FC3" w:rsidR="00394471" w:rsidRPr="00FA0D37" w:rsidRDefault="00394471" w:rsidP="00394471">
      <w:pPr>
        <w:pStyle w:val="B4"/>
      </w:pPr>
      <w:r w:rsidRPr="00FA0D37">
        <w:t>4&gt;</w:t>
      </w:r>
      <w:r w:rsidRPr="00FA0D37">
        <w:tab/>
        <w:t xml:space="preserve">forward the </w:t>
      </w:r>
      <w:r w:rsidR="002B0B1C" w:rsidRPr="00FA0D37">
        <w:rPr>
          <w:i/>
        </w:rPr>
        <w:t>UAC-AccessCategory1-SelectionAssistanceInfo</w:t>
      </w:r>
      <w:r w:rsidR="002B0B1C" w:rsidRPr="00FA0D37" w:rsidDel="003C03A3">
        <w:rPr>
          <w:i/>
        </w:rPr>
        <w:t xml:space="preserve"> </w:t>
      </w:r>
      <w:r w:rsidR="002B0B1C" w:rsidRPr="00FA0D37">
        <w:t xml:space="preserve">or </w:t>
      </w:r>
      <w:r w:rsidR="002B0B1C" w:rsidRPr="00FA0D37">
        <w:rPr>
          <w:i/>
        </w:rPr>
        <w:t xml:space="preserve">UAC-AC1-SelectAssistInfo </w:t>
      </w:r>
      <w:r w:rsidR="002B0B1C" w:rsidRPr="00FA0D37">
        <w:t>for the selected PLMN</w:t>
      </w:r>
      <w:r w:rsidR="00064756" w:rsidRPr="00FA0D37">
        <w:t>/SNPN</w:t>
      </w:r>
      <w:r w:rsidRPr="00FA0D37">
        <w:rPr>
          <w:i/>
        </w:rPr>
        <w:t xml:space="preserve"> </w:t>
      </w:r>
      <w:r w:rsidRPr="00FA0D37">
        <w:t>to upper layers, if present</w:t>
      </w:r>
      <w:r w:rsidR="002B0B1C" w:rsidRPr="00FA0D37">
        <w:t xml:space="preserve"> and set to </w:t>
      </w:r>
      <w:r w:rsidR="002B0B1C" w:rsidRPr="00FA0D37">
        <w:rPr>
          <w:i/>
          <w:iCs/>
        </w:rPr>
        <w:t>a</w:t>
      </w:r>
      <w:r w:rsidR="002B0B1C" w:rsidRPr="00FA0D37">
        <w:t xml:space="preserve">, </w:t>
      </w:r>
      <w:r w:rsidR="002B0B1C" w:rsidRPr="00FA0D37">
        <w:rPr>
          <w:i/>
          <w:iCs/>
        </w:rPr>
        <w:t>b</w:t>
      </w:r>
      <w:r w:rsidR="002B0B1C" w:rsidRPr="00FA0D37">
        <w:t xml:space="preserve"> or </w:t>
      </w:r>
      <w:r w:rsidR="002B0B1C" w:rsidRPr="00FA0D37">
        <w:rPr>
          <w:i/>
          <w:iCs/>
        </w:rPr>
        <w:t>c</w:t>
      </w:r>
      <w:r w:rsidRPr="00FA0D37">
        <w:t>;</w:t>
      </w:r>
    </w:p>
    <w:p w14:paraId="2FBA11E4" w14:textId="77777777" w:rsidR="005F220E" w:rsidRPr="00FA0D37" w:rsidRDefault="005F220E" w:rsidP="005F220E">
      <w:pPr>
        <w:pStyle w:val="B4"/>
      </w:pPr>
      <w:r w:rsidRPr="00FA0D37">
        <w:t>4&gt;</w:t>
      </w:r>
      <w:r w:rsidRPr="00FA0D37">
        <w:tab/>
        <w:t>if the UE is in SNPN access mode:</w:t>
      </w:r>
    </w:p>
    <w:p w14:paraId="104D1978" w14:textId="77777777" w:rsidR="005F220E" w:rsidRPr="00FA0D37" w:rsidRDefault="005F220E" w:rsidP="005F220E">
      <w:pPr>
        <w:pStyle w:val="B5"/>
      </w:pPr>
      <w:r w:rsidRPr="00FA0D37">
        <w:t>5&gt;</w:t>
      </w:r>
      <w:r w:rsidRPr="00FA0D37">
        <w:tab/>
        <w:t xml:space="preserve">forward the </w:t>
      </w:r>
      <w:bookmarkStart w:id="48" w:name="_Hlk87546062"/>
      <w:r w:rsidRPr="00FA0D37">
        <w:rPr>
          <w:i/>
          <w:iCs/>
        </w:rPr>
        <w:t>imsEmergencySupportForSNPN</w:t>
      </w:r>
      <w:r w:rsidRPr="00FA0D37">
        <w:rPr>
          <w:i/>
        </w:rPr>
        <w:t xml:space="preserve"> </w:t>
      </w:r>
      <w:bookmarkEnd w:id="48"/>
      <w:r w:rsidRPr="00FA0D37">
        <w:t>indicators with the corresponding SNPN identities to upper layers, if present;</w:t>
      </w:r>
    </w:p>
    <w:p w14:paraId="5294683C" w14:textId="77777777" w:rsidR="00394471" w:rsidRPr="00FA0D37" w:rsidRDefault="00394471" w:rsidP="00394471">
      <w:pPr>
        <w:pStyle w:val="B4"/>
      </w:pPr>
      <w:r w:rsidRPr="00FA0D37">
        <w:t>4&gt;</w:t>
      </w:r>
      <w:r w:rsidRPr="00FA0D37">
        <w:tab/>
        <w:t xml:space="preserve">apply the configuration included in the </w:t>
      </w:r>
      <w:r w:rsidRPr="00FA0D37">
        <w:rPr>
          <w:i/>
        </w:rPr>
        <w:t>servingCellConfigCommon</w:t>
      </w:r>
      <w:r w:rsidRPr="00FA0D37">
        <w:t>;</w:t>
      </w:r>
    </w:p>
    <w:p w14:paraId="226FB332" w14:textId="77777777" w:rsidR="00394471" w:rsidRPr="00FA0D37" w:rsidRDefault="00394471" w:rsidP="00394471">
      <w:pPr>
        <w:pStyle w:val="B4"/>
      </w:pPr>
      <w:r w:rsidRPr="00FA0D37">
        <w:lastRenderedPageBreak/>
        <w:t>4&gt;</w:t>
      </w:r>
      <w:r w:rsidRPr="00FA0D37">
        <w:tab/>
        <w:t>apply the specified PCCH configuration defined in 9.1.1.3;</w:t>
      </w:r>
    </w:p>
    <w:p w14:paraId="323A4022" w14:textId="3703A817" w:rsidR="00394471" w:rsidRPr="00FA0D37" w:rsidRDefault="00394471" w:rsidP="00394471">
      <w:pPr>
        <w:pStyle w:val="B4"/>
      </w:pPr>
      <w:r w:rsidRPr="00FA0D37">
        <w:t>4&gt;</w:t>
      </w:r>
      <w:r w:rsidRPr="00FA0D37">
        <w:tab/>
        <w:t xml:space="preserve">if the UE has a stored valid version of a SIB, in accordance with </w:t>
      </w:r>
      <w:r w:rsidR="009C7196" w:rsidRPr="00FA0D37">
        <w:t>clause</w:t>
      </w:r>
      <w:r w:rsidRPr="00FA0D37">
        <w:t xml:space="preserve"> 5.2.2.2.1, that the UE </w:t>
      </w:r>
      <w:r w:rsidRPr="00FA0D37">
        <w:rPr>
          <w:rFonts w:eastAsia="MS Mincho"/>
        </w:rPr>
        <w:t>requires to operate within the cell</w:t>
      </w:r>
      <w:r w:rsidRPr="00FA0D37">
        <w:t xml:space="preserve"> in accordance with </w:t>
      </w:r>
      <w:r w:rsidR="009C7196" w:rsidRPr="00FA0D37">
        <w:t>clause</w:t>
      </w:r>
      <w:r w:rsidRPr="00FA0D37">
        <w:t xml:space="preserve"> 5.2.2.1:</w:t>
      </w:r>
    </w:p>
    <w:p w14:paraId="7FBB3050" w14:textId="77777777" w:rsidR="00394471" w:rsidRPr="00FA0D37" w:rsidRDefault="00394471" w:rsidP="00394471">
      <w:pPr>
        <w:pStyle w:val="B5"/>
      </w:pPr>
      <w:r w:rsidRPr="00FA0D37">
        <w:t>5&gt;</w:t>
      </w:r>
      <w:r w:rsidRPr="00FA0D37">
        <w:tab/>
        <w:t>use the stored version of the required SIB;</w:t>
      </w:r>
    </w:p>
    <w:p w14:paraId="4B3976B5" w14:textId="5BB894FB" w:rsidR="00394471" w:rsidRPr="00FA0D37" w:rsidRDefault="00394471" w:rsidP="00394471">
      <w:pPr>
        <w:pStyle w:val="B4"/>
      </w:pPr>
      <w:r w:rsidRPr="00FA0D37">
        <w:t>4&gt;</w:t>
      </w:r>
      <w:r w:rsidRPr="00FA0D37">
        <w:tab/>
        <w:t xml:space="preserve">if the UE has not stored a valid version of a SIB, in accordance with </w:t>
      </w:r>
      <w:r w:rsidR="009C7196" w:rsidRPr="00FA0D37">
        <w:t>clause</w:t>
      </w:r>
      <w:r w:rsidRPr="00FA0D37">
        <w:t xml:space="preserve"> 5.2.2.2.1, of one or several required SIB(s), in accordance with </w:t>
      </w:r>
      <w:r w:rsidR="009C7196" w:rsidRPr="00FA0D37">
        <w:t>clause</w:t>
      </w:r>
      <w:r w:rsidRPr="00FA0D37">
        <w:t xml:space="preserve"> 5.2.2.1:</w:t>
      </w:r>
    </w:p>
    <w:p w14:paraId="768BCB27" w14:textId="77777777" w:rsidR="00394471" w:rsidRPr="00FA0D37" w:rsidRDefault="00394471" w:rsidP="00394471">
      <w:pPr>
        <w:pStyle w:val="B5"/>
        <w:rPr>
          <w:i/>
        </w:rPr>
      </w:pPr>
      <w:r w:rsidRPr="00FA0D37">
        <w:t>5&gt;</w:t>
      </w:r>
      <w:r w:rsidRPr="00FA0D37">
        <w:tab/>
        <w:t xml:space="preserve">for the SI message(s) that, according to the </w:t>
      </w:r>
      <w:r w:rsidRPr="00FA0D37">
        <w:rPr>
          <w:i/>
        </w:rPr>
        <w:t>si-SchedulingInfo</w:t>
      </w:r>
      <w:r w:rsidRPr="00FA0D37">
        <w:t xml:space="preserve">, contain at least one required SIB and for which </w:t>
      </w:r>
      <w:r w:rsidRPr="00FA0D37">
        <w:rPr>
          <w:i/>
        </w:rPr>
        <w:t>si-BroadcastStatus</w:t>
      </w:r>
      <w:r w:rsidRPr="00FA0D37">
        <w:t xml:space="preserve"> is set to broadcasting:</w:t>
      </w:r>
    </w:p>
    <w:p w14:paraId="6BFD895B" w14:textId="315C6E69" w:rsidR="00394471" w:rsidRPr="00FA0D37" w:rsidRDefault="00394471" w:rsidP="00394471">
      <w:pPr>
        <w:pStyle w:val="B6"/>
        <w:rPr>
          <w:lang w:val="en-GB"/>
        </w:rPr>
      </w:pPr>
      <w:r w:rsidRPr="00FA0D37">
        <w:rPr>
          <w:lang w:val="en-GB"/>
        </w:rPr>
        <w:t>6&gt;</w:t>
      </w:r>
      <w:r w:rsidRPr="00FA0D37">
        <w:rPr>
          <w:lang w:val="en-GB"/>
        </w:rPr>
        <w:tab/>
        <w:t xml:space="preserve">acquire the SI message(s) as defined in </w:t>
      </w:r>
      <w:r w:rsidR="009C7196" w:rsidRPr="00FA0D37">
        <w:rPr>
          <w:lang w:val="en-GB"/>
        </w:rPr>
        <w:t>clause</w:t>
      </w:r>
      <w:r w:rsidRPr="00FA0D37">
        <w:rPr>
          <w:lang w:val="en-GB"/>
        </w:rPr>
        <w:t xml:space="preserve"> 5.2.2.3.2;</w:t>
      </w:r>
    </w:p>
    <w:p w14:paraId="788B615D" w14:textId="77777777" w:rsidR="00394471" w:rsidRPr="00FA0D37" w:rsidRDefault="00394471" w:rsidP="00394471">
      <w:pPr>
        <w:pStyle w:val="B5"/>
      </w:pPr>
      <w:r w:rsidRPr="00FA0D37">
        <w:t>5&gt;</w:t>
      </w:r>
      <w:r w:rsidRPr="00FA0D37">
        <w:tab/>
        <w:t xml:space="preserve">for the SI message(s) that, according to the </w:t>
      </w:r>
      <w:r w:rsidRPr="00FA0D37">
        <w:rPr>
          <w:i/>
        </w:rPr>
        <w:t>si-SchedulingInfo</w:t>
      </w:r>
      <w:r w:rsidRPr="00FA0D37">
        <w:t xml:space="preserve">, contain at least one required SIB and for which </w:t>
      </w:r>
      <w:r w:rsidRPr="00FA0D37">
        <w:rPr>
          <w:i/>
        </w:rPr>
        <w:t>si-BroadcastStatus</w:t>
      </w:r>
      <w:r w:rsidRPr="00FA0D37">
        <w:t xml:space="preserve"> is set to </w:t>
      </w:r>
      <w:r w:rsidRPr="00FA0D37">
        <w:rPr>
          <w:i/>
        </w:rPr>
        <w:t>notBroadcasting</w:t>
      </w:r>
      <w:r w:rsidRPr="00FA0D37">
        <w:t>:</w:t>
      </w:r>
    </w:p>
    <w:p w14:paraId="16232FFD" w14:textId="41AC490A" w:rsidR="00394471" w:rsidRPr="00FA0D37" w:rsidRDefault="00394471" w:rsidP="00394471">
      <w:pPr>
        <w:pStyle w:val="B6"/>
        <w:rPr>
          <w:lang w:val="en-GB"/>
        </w:rPr>
      </w:pPr>
      <w:r w:rsidRPr="00FA0D37">
        <w:rPr>
          <w:lang w:val="en-GB"/>
        </w:rPr>
        <w:t>6&gt;</w:t>
      </w:r>
      <w:r w:rsidRPr="00FA0D37">
        <w:rPr>
          <w:lang w:val="en-GB"/>
        </w:rPr>
        <w:tab/>
        <w:t xml:space="preserve">trigger a request to acquire the SI message(s) as defined in </w:t>
      </w:r>
      <w:r w:rsidR="009C7196" w:rsidRPr="00FA0D37">
        <w:rPr>
          <w:lang w:val="en-GB"/>
        </w:rPr>
        <w:t>clause</w:t>
      </w:r>
      <w:r w:rsidRPr="00FA0D37">
        <w:rPr>
          <w:lang w:val="en-GB"/>
        </w:rPr>
        <w:t xml:space="preserve"> 5.2.2.3.3;</w:t>
      </w:r>
    </w:p>
    <w:p w14:paraId="5EF4B27B" w14:textId="6B56895D" w:rsidR="00394471" w:rsidRPr="00FA0D37" w:rsidRDefault="00394471" w:rsidP="00394471">
      <w:pPr>
        <w:pStyle w:val="B4"/>
      </w:pPr>
      <w:r w:rsidRPr="00FA0D37">
        <w:t>4&gt;</w:t>
      </w:r>
      <w:r w:rsidRPr="00FA0D37">
        <w:tab/>
      </w:r>
      <w:r w:rsidR="00F027A6" w:rsidRPr="00FA0D37">
        <w:t xml:space="preserve">if the UE has a stored valid version of a posSIB, in accordance with </w:t>
      </w:r>
      <w:r w:rsidR="009C7196" w:rsidRPr="00FA0D37">
        <w:t>clause</w:t>
      </w:r>
      <w:r w:rsidR="00F027A6" w:rsidRPr="00FA0D37">
        <w:t xml:space="preserve"> 5.2.2.2.1, of one or several required posSIB(s), in accordance with </w:t>
      </w:r>
      <w:r w:rsidR="009C7196" w:rsidRPr="00FA0D37">
        <w:t>clause</w:t>
      </w:r>
      <w:r w:rsidR="00F027A6" w:rsidRPr="00FA0D37">
        <w:t xml:space="preserve"> 5.2.2.1</w:t>
      </w:r>
      <w:r w:rsidRPr="00FA0D37">
        <w:t>:</w:t>
      </w:r>
    </w:p>
    <w:p w14:paraId="4381B19E" w14:textId="77777777" w:rsidR="00F027A6" w:rsidRPr="00FA0D37" w:rsidRDefault="00F027A6" w:rsidP="00F027A6">
      <w:pPr>
        <w:pStyle w:val="B5"/>
      </w:pPr>
      <w:r w:rsidRPr="00FA0D37">
        <w:t>5&gt;</w:t>
      </w:r>
      <w:r w:rsidRPr="00FA0D37">
        <w:tab/>
        <w:t>use the stored version of the required posSIB;</w:t>
      </w:r>
    </w:p>
    <w:p w14:paraId="6187E146" w14:textId="2D0F960E" w:rsidR="00F027A6" w:rsidRPr="00FA0D37" w:rsidRDefault="00F027A6" w:rsidP="00F027A6">
      <w:pPr>
        <w:pStyle w:val="B4"/>
      </w:pPr>
      <w:r w:rsidRPr="00FA0D37">
        <w:t xml:space="preserve">4&gt; if the UE has not stored a valid version of a posSIB, in accordance with </w:t>
      </w:r>
      <w:r w:rsidR="009C7196" w:rsidRPr="00FA0D37">
        <w:t>clause</w:t>
      </w:r>
      <w:r w:rsidRPr="00FA0D37">
        <w:t xml:space="preserve"> 5.2.2.2.1, of one or several posSIB(s) in accordance with </w:t>
      </w:r>
      <w:r w:rsidR="009C7196" w:rsidRPr="00FA0D37">
        <w:t>clause</w:t>
      </w:r>
      <w:r w:rsidRPr="00FA0D37">
        <w:t xml:space="preserve"> 5.2.2.1:</w:t>
      </w:r>
    </w:p>
    <w:p w14:paraId="6C701403" w14:textId="77777777" w:rsidR="00394471" w:rsidRPr="00FA0D37" w:rsidRDefault="00394471" w:rsidP="00394471">
      <w:pPr>
        <w:pStyle w:val="B5"/>
        <w:rPr>
          <w:i/>
        </w:rPr>
      </w:pPr>
      <w:r w:rsidRPr="00FA0D37">
        <w:t>5&gt;</w:t>
      </w:r>
      <w:r w:rsidRPr="00FA0D37">
        <w:tab/>
        <w:t xml:space="preserve">for the SI message(s) that, according to the </w:t>
      </w:r>
      <w:r w:rsidRPr="00FA0D37">
        <w:rPr>
          <w:i/>
        </w:rPr>
        <w:t>posSI-SchedulingInfo</w:t>
      </w:r>
      <w:r w:rsidRPr="00FA0D37">
        <w:t xml:space="preserve">, contain at least one requested posSIB and for which </w:t>
      </w:r>
      <w:r w:rsidRPr="00FA0D37">
        <w:rPr>
          <w:i/>
        </w:rPr>
        <w:t>posSI-BroadcastStatus</w:t>
      </w:r>
      <w:r w:rsidRPr="00FA0D37">
        <w:t xml:space="preserve"> is set to </w:t>
      </w:r>
      <w:r w:rsidRPr="00FA0D37">
        <w:rPr>
          <w:i/>
        </w:rPr>
        <w:t>broadcasting</w:t>
      </w:r>
      <w:r w:rsidRPr="00FA0D37">
        <w:t>:</w:t>
      </w:r>
    </w:p>
    <w:p w14:paraId="22BCB68C" w14:textId="70F2EEE4" w:rsidR="00394471" w:rsidRPr="00FA0D37" w:rsidRDefault="00394471" w:rsidP="00394471">
      <w:pPr>
        <w:pStyle w:val="B6"/>
        <w:rPr>
          <w:lang w:val="en-GB"/>
        </w:rPr>
      </w:pPr>
      <w:r w:rsidRPr="00FA0D37">
        <w:rPr>
          <w:lang w:val="en-GB"/>
        </w:rPr>
        <w:t>6&gt;</w:t>
      </w:r>
      <w:r w:rsidRPr="00FA0D37">
        <w:rPr>
          <w:lang w:val="en-GB"/>
        </w:rPr>
        <w:tab/>
        <w:t xml:space="preserve">acquire the SI message(s) as defined in </w:t>
      </w:r>
      <w:r w:rsidR="009C7196" w:rsidRPr="00FA0D37">
        <w:rPr>
          <w:lang w:val="en-GB"/>
        </w:rPr>
        <w:t>clause</w:t>
      </w:r>
      <w:r w:rsidRPr="00FA0D37">
        <w:rPr>
          <w:lang w:val="en-GB"/>
        </w:rPr>
        <w:t xml:space="preserve"> 5.2.2.3.2;</w:t>
      </w:r>
    </w:p>
    <w:p w14:paraId="3CB3CB49" w14:textId="77777777" w:rsidR="00394471" w:rsidRPr="00FA0D37" w:rsidRDefault="00394471" w:rsidP="00394471">
      <w:pPr>
        <w:pStyle w:val="B5"/>
      </w:pPr>
      <w:r w:rsidRPr="00FA0D37">
        <w:t>5&gt;</w:t>
      </w:r>
      <w:r w:rsidRPr="00FA0D37">
        <w:tab/>
        <w:t xml:space="preserve">for the SI message(s) that, according to the </w:t>
      </w:r>
      <w:r w:rsidRPr="00FA0D37">
        <w:rPr>
          <w:i/>
        </w:rPr>
        <w:t>posSI-SchedulingInfo</w:t>
      </w:r>
      <w:r w:rsidRPr="00FA0D37">
        <w:t xml:space="preserve">, contain at least one requested posSIB for which </w:t>
      </w:r>
      <w:r w:rsidRPr="00FA0D37">
        <w:rPr>
          <w:i/>
        </w:rPr>
        <w:t>posSI-BroadcastStatus</w:t>
      </w:r>
      <w:r w:rsidRPr="00FA0D37">
        <w:t xml:space="preserve"> is set to </w:t>
      </w:r>
      <w:r w:rsidRPr="00FA0D37">
        <w:rPr>
          <w:i/>
        </w:rPr>
        <w:t>notBroadcasting</w:t>
      </w:r>
      <w:r w:rsidRPr="00FA0D37">
        <w:t>:</w:t>
      </w:r>
    </w:p>
    <w:p w14:paraId="588A92B9" w14:textId="16DFF7D4" w:rsidR="00394471" w:rsidRPr="00FA0D37" w:rsidRDefault="00394471" w:rsidP="00394471">
      <w:pPr>
        <w:pStyle w:val="B6"/>
        <w:rPr>
          <w:lang w:val="en-GB"/>
        </w:rPr>
      </w:pPr>
      <w:r w:rsidRPr="00FA0D37">
        <w:rPr>
          <w:lang w:val="en-GB"/>
        </w:rPr>
        <w:t>6&gt;</w:t>
      </w:r>
      <w:r w:rsidRPr="00FA0D37">
        <w:rPr>
          <w:lang w:val="en-GB"/>
        </w:rPr>
        <w:tab/>
        <w:t xml:space="preserve">trigger a request to acquire the SI message(s) as defined in </w:t>
      </w:r>
      <w:r w:rsidR="009C7196" w:rsidRPr="00FA0D37">
        <w:rPr>
          <w:lang w:val="en-GB"/>
        </w:rPr>
        <w:t>clause</w:t>
      </w:r>
      <w:r w:rsidRPr="00FA0D37">
        <w:rPr>
          <w:lang w:val="en-GB"/>
        </w:rPr>
        <w:t xml:space="preserve"> 5.2.2.3.3a;</w:t>
      </w:r>
    </w:p>
    <w:p w14:paraId="572BAFED" w14:textId="77777777" w:rsidR="00394471" w:rsidRPr="00FA0D37" w:rsidRDefault="00394471" w:rsidP="00394471">
      <w:pPr>
        <w:pStyle w:val="B4"/>
      </w:pPr>
      <w:r w:rsidRPr="00FA0D37">
        <w:t>4&gt;</w:t>
      </w:r>
      <w:r w:rsidRPr="00FA0D37">
        <w:tab/>
        <w:t xml:space="preserve">apply the first listed </w:t>
      </w:r>
      <w:r w:rsidRPr="00FA0D37">
        <w:rPr>
          <w:i/>
        </w:rPr>
        <w:t>additionalSpectrumEmission</w:t>
      </w:r>
      <w:r w:rsidRPr="00FA0D37">
        <w:t xml:space="preserve"> which it supports among the values included in </w:t>
      </w:r>
      <w:r w:rsidRPr="00FA0D37">
        <w:rPr>
          <w:i/>
        </w:rPr>
        <w:t>NR-NS-PmaxList</w:t>
      </w:r>
      <w:r w:rsidRPr="00FA0D37">
        <w:t xml:space="preserve"> within</w:t>
      </w:r>
      <w:r w:rsidRPr="00FA0D37">
        <w:rPr>
          <w:i/>
        </w:rPr>
        <w:t xml:space="preserve"> frequencyBandList</w:t>
      </w:r>
      <w:r w:rsidRPr="00FA0D37">
        <w:t xml:space="preserve"> in </w:t>
      </w:r>
      <w:r w:rsidRPr="00FA0D37">
        <w:rPr>
          <w:i/>
        </w:rPr>
        <w:t>uplinkConfigCommon</w:t>
      </w:r>
      <w:r w:rsidRPr="00FA0D37">
        <w:t xml:space="preserve"> for FDD or in </w:t>
      </w:r>
      <w:r w:rsidRPr="00FA0D37">
        <w:rPr>
          <w:i/>
        </w:rPr>
        <w:t>downlinkConfigCommon</w:t>
      </w:r>
      <w:r w:rsidRPr="00FA0D37">
        <w:t xml:space="preserve"> for TDD;</w:t>
      </w:r>
    </w:p>
    <w:p w14:paraId="42090671" w14:textId="77777777" w:rsidR="00394471" w:rsidRPr="00FA0D37" w:rsidRDefault="00394471" w:rsidP="00394471">
      <w:pPr>
        <w:pStyle w:val="B4"/>
      </w:pPr>
      <w:r w:rsidRPr="00FA0D37">
        <w:t>4&gt;</w:t>
      </w:r>
      <w:r w:rsidRPr="00FA0D37">
        <w:tab/>
        <w:t xml:space="preserve">if the </w:t>
      </w:r>
      <w:r w:rsidRPr="00FA0D37">
        <w:rPr>
          <w:i/>
        </w:rPr>
        <w:t>additionalPmax</w:t>
      </w:r>
      <w:r w:rsidRPr="00FA0D37">
        <w:t xml:space="preserve"> is present in the same entry of the selected </w:t>
      </w:r>
      <w:r w:rsidRPr="00FA0D37">
        <w:rPr>
          <w:i/>
        </w:rPr>
        <w:t>additionalSpectrumEmission</w:t>
      </w:r>
      <w:r w:rsidRPr="00FA0D37">
        <w:t xml:space="preserve"> within </w:t>
      </w:r>
      <w:r w:rsidRPr="00FA0D37">
        <w:rPr>
          <w:i/>
        </w:rPr>
        <w:t>NR-NS-PmaxList</w:t>
      </w:r>
      <w:r w:rsidRPr="00FA0D37">
        <w:t>:</w:t>
      </w:r>
    </w:p>
    <w:p w14:paraId="6F48F3BE" w14:textId="77777777" w:rsidR="00394471" w:rsidRPr="00FA0D37" w:rsidRDefault="00394471" w:rsidP="00394471">
      <w:pPr>
        <w:pStyle w:val="B5"/>
      </w:pPr>
      <w:r w:rsidRPr="00FA0D37">
        <w:t>5&gt;</w:t>
      </w:r>
      <w:r w:rsidRPr="00FA0D37">
        <w:tab/>
        <w:t xml:space="preserve">apply the </w:t>
      </w:r>
      <w:r w:rsidRPr="00FA0D37">
        <w:rPr>
          <w:i/>
        </w:rPr>
        <w:t>additionalPmax</w:t>
      </w:r>
      <w:r w:rsidRPr="00FA0D37">
        <w:t xml:space="preserve"> for UL;</w:t>
      </w:r>
    </w:p>
    <w:p w14:paraId="5CBB9FEE" w14:textId="77777777" w:rsidR="00394471" w:rsidRPr="00FA0D37" w:rsidRDefault="00394471" w:rsidP="00394471">
      <w:pPr>
        <w:pStyle w:val="B4"/>
      </w:pPr>
      <w:r w:rsidRPr="00FA0D37">
        <w:t>4&gt;</w:t>
      </w:r>
      <w:r w:rsidRPr="00FA0D37">
        <w:tab/>
        <w:t>else:</w:t>
      </w:r>
    </w:p>
    <w:p w14:paraId="24F35A7C" w14:textId="77777777" w:rsidR="00394471" w:rsidRPr="00FA0D37" w:rsidRDefault="00394471" w:rsidP="00394471">
      <w:pPr>
        <w:pStyle w:val="B5"/>
      </w:pPr>
      <w:r w:rsidRPr="00FA0D37">
        <w:t>5&gt;</w:t>
      </w:r>
      <w:r w:rsidRPr="00FA0D37">
        <w:tab/>
        <w:t xml:space="preserve">apply the </w:t>
      </w:r>
      <w:r w:rsidRPr="00FA0D37">
        <w:rPr>
          <w:i/>
        </w:rPr>
        <w:t>p-Max</w:t>
      </w:r>
      <w:r w:rsidRPr="00FA0D37">
        <w:t xml:space="preserve"> in </w:t>
      </w:r>
      <w:r w:rsidRPr="00FA0D37">
        <w:rPr>
          <w:i/>
        </w:rPr>
        <w:t>uplinkConfigCommon</w:t>
      </w:r>
      <w:r w:rsidRPr="00FA0D37">
        <w:t xml:space="preserve"> for UL;</w:t>
      </w:r>
    </w:p>
    <w:p w14:paraId="26E3058A" w14:textId="77777777" w:rsidR="00394471" w:rsidRPr="00FA0D37" w:rsidRDefault="00394471" w:rsidP="00394471">
      <w:pPr>
        <w:pStyle w:val="B4"/>
      </w:pPr>
      <w:r w:rsidRPr="00FA0D37">
        <w:t>4&gt;</w:t>
      </w:r>
      <w:r w:rsidRPr="00FA0D37">
        <w:tab/>
        <w:t xml:space="preserve">if </w:t>
      </w:r>
      <w:r w:rsidRPr="00FA0D37">
        <w:rPr>
          <w:i/>
        </w:rPr>
        <w:t>supplementaryUplink</w:t>
      </w:r>
      <w:r w:rsidRPr="00FA0D37">
        <w:t xml:space="preserve"> is present in </w:t>
      </w:r>
      <w:r w:rsidRPr="00FA0D37">
        <w:rPr>
          <w:i/>
        </w:rPr>
        <w:t>servingCellConfigCommon</w:t>
      </w:r>
      <w:r w:rsidRPr="00FA0D37">
        <w:t>; and</w:t>
      </w:r>
    </w:p>
    <w:p w14:paraId="6E584557" w14:textId="28942B3D" w:rsidR="00394471" w:rsidRPr="00FA0D37" w:rsidRDefault="00394471" w:rsidP="00394471">
      <w:pPr>
        <w:pStyle w:val="B4"/>
      </w:pPr>
      <w:r w:rsidRPr="00FA0D37">
        <w:t>4&gt;</w:t>
      </w:r>
      <w:r w:rsidRPr="00FA0D37">
        <w:tab/>
        <w:t xml:space="preserve">if the UE supports one or more of the frequency bands indicated in the </w:t>
      </w:r>
      <w:r w:rsidRPr="00FA0D37">
        <w:rPr>
          <w:i/>
          <w:iCs/>
        </w:rPr>
        <w:t>frequencyBandList</w:t>
      </w:r>
      <w:r w:rsidRPr="00FA0D37">
        <w:t xml:space="preserve"> for the </w:t>
      </w:r>
      <w:r w:rsidRPr="00FA0D37">
        <w:rPr>
          <w:i/>
          <w:iCs/>
        </w:rPr>
        <w:t>supplementaryUplink</w:t>
      </w:r>
      <w:r w:rsidRPr="00FA0D37">
        <w:t>; and</w:t>
      </w:r>
    </w:p>
    <w:p w14:paraId="4B68FC03" w14:textId="77777777" w:rsidR="00394471" w:rsidRPr="00FA0D37" w:rsidRDefault="00394471" w:rsidP="00394471">
      <w:pPr>
        <w:pStyle w:val="B4"/>
      </w:pPr>
      <w:r w:rsidRPr="00FA0D37">
        <w:t>4&gt;</w:t>
      </w:r>
      <w:r w:rsidRPr="00FA0D37">
        <w:tab/>
        <w:t xml:space="preserve">if the UE supports at least one </w:t>
      </w:r>
      <w:r w:rsidRPr="00FA0D37">
        <w:rPr>
          <w:i/>
          <w:iCs/>
        </w:rPr>
        <w:t>additionalSpectrumEmission</w:t>
      </w:r>
      <w:r w:rsidRPr="00FA0D37">
        <w:t xml:space="preserve"> in the </w:t>
      </w:r>
      <w:r w:rsidRPr="00FA0D37">
        <w:rPr>
          <w:i/>
          <w:iCs/>
        </w:rPr>
        <w:t>NR-NS-PmaxList</w:t>
      </w:r>
      <w:r w:rsidRPr="00FA0D37">
        <w:t xml:space="preserve"> for a supported supplementary uplink band; and</w:t>
      </w:r>
    </w:p>
    <w:p w14:paraId="1598DE07" w14:textId="1C8856AE" w:rsidR="00394471" w:rsidRPr="00FA0D37" w:rsidRDefault="00394471" w:rsidP="00394471">
      <w:pPr>
        <w:pStyle w:val="B4"/>
      </w:pPr>
      <w:r w:rsidRPr="00FA0D37">
        <w:t>4&gt;</w:t>
      </w:r>
      <w:r w:rsidRPr="00FA0D37">
        <w:tab/>
        <w:t>if the UE supports an uplink channel bandwidth with a maximum transmission bandwi</w:t>
      </w:r>
      <w:r w:rsidR="00E75029" w:rsidRPr="00FA0D37">
        <w:t>d</w:t>
      </w:r>
      <w:r w:rsidRPr="00FA0D37">
        <w:t>th configuration (see TS 38.101-1 [15] and TS 38.101-2 [39]) which</w:t>
      </w:r>
    </w:p>
    <w:p w14:paraId="248A6B57" w14:textId="77777777" w:rsidR="00394471" w:rsidRPr="00FA0D37" w:rsidRDefault="00394471" w:rsidP="00394471">
      <w:pPr>
        <w:pStyle w:val="B5"/>
      </w:pPr>
      <w:r w:rsidRPr="00FA0D37">
        <w:t>-</w:t>
      </w:r>
      <w:r w:rsidRPr="00FA0D37">
        <w:tab/>
        <w:t xml:space="preserve">is smaller than or equal to the </w:t>
      </w:r>
      <w:r w:rsidRPr="00FA0D37">
        <w:rPr>
          <w:i/>
        </w:rPr>
        <w:t>carrierBandwidth</w:t>
      </w:r>
      <w:r w:rsidRPr="00FA0D37">
        <w:t xml:space="preserve"> (indicated in </w:t>
      </w:r>
      <w:r w:rsidRPr="00FA0D37">
        <w:rPr>
          <w:i/>
        </w:rPr>
        <w:t>supplementaryUplink</w:t>
      </w:r>
      <w:r w:rsidRPr="00FA0D37">
        <w:t xml:space="preserve"> for the SCS of the initial uplink BWP), and which</w:t>
      </w:r>
    </w:p>
    <w:p w14:paraId="6D44B64E" w14:textId="77777777" w:rsidR="00394471" w:rsidRPr="00FA0D37" w:rsidRDefault="00394471" w:rsidP="00394471">
      <w:pPr>
        <w:pStyle w:val="B5"/>
      </w:pPr>
      <w:r w:rsidRPr="00FA0D37">
        <w:t>-</w:t>
      </w:r>
      <w:r w:rsidRPr="00FA0D37">
        <w:tab/>
        <w:t>is wider than or equal to the bandwidth of the initial uplink BWP of the SUL:</w:t>
      </w:r>
    </w:p>
    <w:p w14:paraId="0012B60A" w14:textId="77777777" w:rsidR="00394471" w:rsidRPr="00FA0D37" w:rsidRDefault="00394471" w:rsidP="00394471">
      <w:pPr>
        <w:pStyle w:val="B5"/>
      </w:pPr>
      <w:r w:rsidRPr="00FA0D37">
        <w:lastRenderedPageBreak/>
        <w:t>5&gt;</w:t>
      </w:r>
      <w:r w:rsidRPr="00FA0D37">
        <w:tab/>
        <w:t>consider supplementary uplink as configured in the serving cell;</w:t>
      </w:r>
    </w:p>
    <w:p w14:paraId="68DE6018" w14:textId="2D624BBD" w:rsidR="00394471" w:rsidRPr="00FA0D37" w:rsidRDefault="00394471" w:rsidP="00394471">
      <w:pPr>
        <w:pStyle w:val="B5"/>
      </w:pPr>
      <w:r w:rsidRPr="00FA0D37">
        <w:t>5&gt;</w:t>
      </w:r>
      <w:r w:rsidRPr="00FA0D37">
        <w:tab/>
        <w:t xml:space="preserve">select the first frequency band in the </w:t>
      </w:r>
      <w:r w:rsidRPr="00FA0D37">
        <w:rPr>
          <w:i/>
        </w:rPr>
        <w:t xml:space="preserve">frequencyBandList </w:t>
      </w:r>
      <w:r w:rsidRPr="00FA0D37">
        <w:t xml:space="preserve">for the </w:t>
      </w:r>
      <w:r w:rsidRPr="00FA0D37">
        <w:rPr>
          <w:i/>
          <w:iCs/>
        </w:rPr>
        <w:t>supplementaryUplink</w:t>
      </w:r>
      <w:r w:rsidRPr="00FA0D37">
        <w:t xml:space="preserve"> which the UE supports and for which the UE supports at least one of the </w:t>
      </w:r>
      <w:r w:rsidRPr="00FA0D37">
        <w:rPr>
          <w:i/>
        </w:rPr>
        <w:t>additionalSpectrumEmission</w:t>
      </w:r>
      <w:r w:rsidRPr="00FA0D37">
        <w:t xml:space="preserve"> values in</w:t>
      </w:r>
      <w:r w:rsidRPr="00FA0D37">
        <w:rPr>
          <w:i/>
        </w:rPr>
        <w:t xml:space="preserve"> nr-NS-PmaxList</w:t>
      </w:r>
      <w:r w:rsidRPr="00FA0D37">
        <w:t>, if present;</w:t>
      </w:r>
    </w:p>
    <w:p w14:paraId="361956FB" w14:textId="77777777" w:rsidR="00394471" w:rsidRPr="00FA0D37" w:rsidRDefault="00394471" w:rsidP="00394471">
      <w:pPr>
        <w:pStyle w:val="B5"/>
      </w:pPr>
      <w:r w:rsidRPr="00FA0D37">
        <w:t>5&gt;</w:t>
      </w:r>
      <w:r w:rsidRPr="00FA0D37">
        <w:tab/>
        <w:t>apply a supported supplementary uplink channel bandwidth with a maximum transmission bandwidth which</w:t>
      </w:r>
    </w:p>
    <w:p w14:paraId="052AAFA2" w14:textId="29C7139E" w:rsidR="00394471" w:rsidRPr="00FA0D37" w:rsidRDefault="00394471" w:rsidP="00394471">
      <w:pPr>
        <w:pStyle w:val="B6"/>
        <w:rPr>
          <w:lang w:val="en-GB"/>
        </w:rPr>
      </w:pPr>
      <w:r w:rsidRPr="00FA0D37">
        <w:rPr>
          <w:lang w:val="en-GB"/>
        </w:rPr>
        <w:t>-</w:t>
      </w:r>
      <w:r w:rsidRPr="00FA0D37">
        <w:rPr>
          <w:lang w:val="en-GB"/>
        </w:rPr>
        <w:tab/>
        <w:t xml:space="preserve">is contained within the </w:t>
      </w:r>
      <w:r w:rsidRPr="00FA0D37">
        <w:rPr>
          <w:i/>
          <w:lang w:val="en-GB"/>
        </w:rPr>
        <w:t>carrierBandwidth</w:t>
      </w:r>
      <w:r w:rsidRPr="00FA0D37">
        <w:rPr>
          <w:lang w:val="en-GB"/>
        </w:rPr>
        <w:t xml:space="preserve"> (indicated in </w:t>
      </w:r>
      <w:r w:rsidRPr="00FA0D37">
        <w:rPr>
          <w:i/>
          <w:lang w:val="en-GB"/>
        </w:rPr>
        <w:t>supplementaryUplink</w:t>
      </w:r>
      <w:r w:rsidRPr="00FA0D37">
        <w:rPr>
          <w:lang w:val="en-GB"/>
        </w:rPr>
        <w:t xml:space="preserve"> for the SCS of the initial uplink BWP), and which</w:t>
      </w:r>
    </w:p>
    <w:p w14:paraId="51A0822A" w14:textId="77777777" w:rsidR="00394471" w:rsidRPr="00FA0D37" w:rsidRDefault="00394471" w:rsidP="00394471">
      <w:pPr>
        <w:pStyle w:val="B6"/>
        <w:rPr>
          <w:lang w:val="en-GB"/>
        </w:rPr>
      </w:pPr>
      <w:r w:rsidRPr="00FA0D37">
        <w:rPr>
          <w:lang w:val="en-GB"/>
        </w:rPr>
        <w:t>-</w:t>
      </w:r>
      <w:r w:rsidRPr="00FA0D37">
        <w:rPr>
          <w:lang w:val="en-GB"/>
        </w:rPr>
        <w:tab/>
        <w:t>is wider than or equal to the bandwidth of the initial BWP of the SUL;</w:t>
      </w:r>
    </w:p>
    <w:p w14:paraId="15AE5476" w14:textId="77777777" w:rsidR="00394471" w:rsidRPr="00FA0D37" w:rsidRDefault="00394471" w:rsidP="00394471">
      <w:pPr>
        <w:pStyle w:val="B5"/>
      </w:pPr>
      <w:r w:rsidRPr="00FA0D37">
        <w:t>5&gt;</w:t>
      </w:r>
      <w:r w:rsidRPr="00FA0D37">
        <w:tab/>
        <w:t xml:space="preserve">apply the first listed </w:t>
      </w:r>
      <w:r w:rsidRPr="00FA0D37">
        <w:rPr>
          <w:i/>
        </w:rPr>
        <w:t>additionalSpectrumEmission</w:t>
      </w:r>
      <w:r w:rsidRPr="00FA0D37">
        <w:t xml:space="preserve"> which it supports among the values included in </w:t>
      </w:r>
      <w:r w:rsidRPr="00FA0D37">
        <w:rPr>
          <w:i/>
        </w:rPr>
        <w:t>NR-NS-PmaxList</w:t>
      </w:r>
      <w:r w:rsidRPr="00FA0D37">
        <w:t xml:space="preserve"> within </w:t>
      </w:r>
      <w:r w:rsidRPr="00FA0D37">
        <w:rPr>
          <w:i/>
        </w:rPr>
        <w:t>frequencyBandList</w:t>
      </w:r>
      <w:r w:rsidRPr="00FA0D37">
        <w:t xml:space="preserve"> for the </w:t>
      </w:r>
      <w:r w:rsidRPr="00FA0D37">
        <w:rPr>
          <w:i/>
        </w:rPr>
        <w:t>supplementaryUplink</w:t>
      </w:r>
      <w:r w:rsidRPr="00FA0D37">
        <w:t>;</w:t>
      </w:r>
    </w:p>
    <w:p w14:paraId="5BEAE61E" w14:textId="77777777" w:rsidR="00394471" w:rsidRPr="00FA0D37" w:rsidRDefault="00394471" w:rsidP="00394471">
      <w:pPr>
        <w:pStyle w:val="B5"/>
      </w:pPr>
      <w:r w:rsidRPr="00FA0D37">
        <w:t>5&gt;</w:t>
      </w:r>
      <w:r w:rsidRPr="00FA0D37">
        <w:tab/>
        <w:t xml:space="preserve">if the </w:t>
      </w:r>
      <w:r w:rsidRPr="00FA0D37">
        <w:rPr>
          <w:i/>
        </w:rPr>
        <w:t>additionalPmax</w:t>
      </w:r>
      <w:r w:rsidRPr="00FA0D37">
        <w:t xml:space="preserve"> is present in the same entry of the selected </w:t>
      </w:r>
      <w:r w:rsidRPr="00FA0D37">
        <w:rPr>
          <w:i/>
        </w:rPr>
        <w:t>additionalSpectrumEmission</w:t>
      </w:r>
      <w:r w:rsidRPr="00FA0D37">
        <w:t xml:space="preserve"> within </w:t>
      </w:r>
      <w:r w:rsidRPr="00FA0D37">
        <w:rPr>
          <w:i/>
        </w:rPr>
        <w:t>NR-NS-PmaxList</w:t>
      </w:r>
      <w:r w:rsidRPr="00FA0D37">
        <w:t xml:space="preserve"> for the </w:t>
      </w:r>
      <w:r w:rsidRPr="00FA0D37">
        <w:rPr>
          <w:i/>
        </w:rPr>
        <w:t>supplementaryUplink</w:t>
      </w:r>
      <w:r w:rsidRPr="00FA0D37">
        <w:t>:</w:t>
      </w:r>
    </w:p>
    <w:p w14:paraId="5D8AF007" w14:textId="77777777" w:rsidR="00394471" w:rsidRPr="00FA0D37" w:rsidRDefault="00394471" w:rsidP="00394471">
      <w:pPr>
        <w:pStyle w:val="B6"/>
        <w:rPr>
          <w:lang w:val="en-GB"/>
        </w:rPr>
      </w:pPr>
      <w:r w:rsidRPr="00FA0D37">
        <w:rPr>
          <w:lang w:val="en-GB"/>
        </w:rPr>
        <w:t>6&gt;</w:t>
      </w:r>
      <w:r w:rsidRPr="00FA0D37">
        <w:rPr>
          <w:lang w:val="en-GB"/>
        </w:rPr>
        <w:tab/>
        <w:t xml:space="preserve">apply the </w:t>
      </w:r>
      <w:r w:rsidRPr="00FA0D37">
        <w:rPr>
          <w:i/>
          <w:lang w:val="en-GB"/>
        </w:rPr>
        <w:t>additionalPmax</w:t>
      </w:r>
      <w:r w:rsidRPr="00FA0D37">
        <w:rPr>
          <w:lang w:val="en-GB"/>
        </w:rPr>
        <w:t xml:space="preserve"> in </w:t>
      </w:r>
      <w:r w:rsidRPr="00FA0D37">
        <w:rPr>
          <w:i/>
          <w:lang w:val="en-GB"/>
        </w:rPr>
        <w:t>supplementaryUplink</w:t>
      </w:r>
      <w:r w:rsidRPr="00FA0D37">
        <w:rPr>
          <w:lang w:val="en-GB"/>
        </w:rPr>
        <w:t xml:space="preserve"> for SUL;</w:t>
      </w:r>
    </w:p>
    <w:p w14:paraId="3627224C" w14:textId="77777777" w:rsidR="00394471" w:rsidRPr="00FA0D37" w:rsidRDefault="00394471" w:rsidP="00394471">
      <w:pPr>
        <w:pStyle w:val="B5"/>
      </w:pPr>
      <w:r w:rsidRPr="00FA0D37">
        <w:t>5&gt;</w:t>
      </w:r>
      <w:r w:rsidRPr="00FA0D37">
        <w:tab/>
        <w:t>else:</w:t>
      </w:r>
    </w:p>
    <w:p w14:paraId="165B8AB7" w14:textId="77777777" w:rsidR="00394471" w:rsidRPr="00FA0D37" w:rsidRDefault="00394471" w:rsidP="00394471">
      <w:pPr>
        <w:pStyle w:val="B6"/>
        <w:rPr>
          <w:lang w:val="en-GB"/>
        </w:rPr>
      </w:pPr>
      <w:r w:rsidRPr="00FA0D37">
        <w:rPr>
          <w:lang w:val="en-GB"/>
        </w:rPr>
        <w:t>6&gt;</w:t>
      </w:r>
      <w:r w:rsidRPr="00FA0D37">
        <w:rPr>
          <w:lang w:val="en-GB"/>
        </w:rPr>
        <w:tab/>
        <w:t xml:space="preserve">apply the </w:t>
      </w:r>
      <w:r w:rsidRPr="00FA0D37">
        <w:rPr>
          <w:i/>
          <w:lang w:val="en-GB"/>
        </w:rPr>
        <w:t>p-Max</w:t>
      </w:r>
      <w:r w:rsidRPr="00FA0D37">
        <w:rPr>
          <w:lang w:val="en-GB"/>
        </w:rPr>
        <w:t xml:space="preserve"> in </w:t>
      </w:r>
      <w:r w:rsidRPr="00FA0D37">
        <w:rPr>
          <w:i/>
          <w:lang w:val="en-GB"/>
        </w:rPr>
        <w:t>supplementaryUplink</w:t>
      </w:r>
      <w:r w:rsidRPr="00FA0D37">
        <w:rPr>
          <w:lang w:val="en-GB"/>
        </w:rPr>
        <w:t xml:space="preserve"> for SUL;</w:t>
      </w:r>
    </w:p>
    <w:p w14:paraId="61111F39" w14:textId="3A53ABFF" w:rsidR="00462AA3" w:rsidRPr="00FA0D37" w:rsidRDefault="00462AA3" w:rsidP="00462AA3">
      <w:pPr>
        <w:pStyle w:val="NO"/>
      </w:pPr>
      <w:r w:rsidRPr="00FA0D37">
        <w:t>NOTE 2:</w:t>
      </w:r>
      <w:r w:rsidRPr="00FA0D37">
        <w:rPr>
          <w:rFonts w:eastAsia="MS Mincho"/>
        </w:rPr>
        <w:tab/>
      </w:r>
      <w:r w:rsidRPr="00FA0D37">
        <w:t xml:space="preserve">For an out of coverage L2 U2N Remote UE in RRC_IDLE or RRC_INACTIVE receiving SIB1 from its connected L2 U2N Relay UE, it is up to Remote UE implementation whether to consider and apply the following parameters: </w:t>
      </w:r>
      <w:r w:rsidRPr="00FA0D37">
        <w:rPr>
          <w:i/>
        </w:rPr>
        <w:t>frequencyBandList</w:t>
      </w:r>
      <w:r w:rsidRPr="00FA0D37">
        <w:t xml:space="preserve">, </w:t>
      </w:r>
      <w:r w:rsidRPr="00FA0D37">
        <w:rPr>
          <w:i/>
        </w:rPr>
        <w:t>carrierBandwidth</w:t>
      </w:r>
      <w:r w:rsidRPr="00FA0D37">
        <w:t xml:space="preserve">, </w:t>
      </w:r>
      <w:r w:rsidRPr="00FA0D37">
        <w:rPr>
          <w:i/>
        </w:rPr>
        <w:t>frequencyShift7p5khz</w:t>
      </w:r>
      <w:r w:rsidRPr="00FA0D37">
        <w:t xml:space="preserve">, frequency band, channel bandwidth, the configuration included in the </w:t>
      </w:r>
      <w:r w:rsidRPr="00FA0D37">
        <w:rPr>
          <w:i/>
        </w:rPr>
        <w:t>servingCellConfigCommon</w:t>
      </w:r>
      <w:r w:rsidRPr="00FA0D37">
        <w:t xml:space="preserve">, the specified PCCH configuration, </w:t>
      </w:r>
      <w:r w:rsidRPr="00FA0D37">
        <w:rPr>
          <w:i/>
        </w:rPr>
        <w:t>additionalSpectrumEmission</w:t>
      </w:r>
      <w:r w:rsidRPr="00FA0D37">
        <w:t xml:space="preserve">, </w:t>
      </w:r>
      <w:r w:rsidRPr="00FA0D37">
        <w:rPr>
          <w:i/>
        </w:rPr>
        <w:t>additionalPmax</w:t>
      </w:r>
      <w:r w:rsidRPr="00FA0D37">
        <w:t xml:space="preserve">, and </w:t>
      </w:r>
      <w:r w:rsidRPr="00FA0D37">
        <w:rPr>
          <w:i/>
          <w:iCs/>
        </w:rPr>
        <w:t>p-Max</w:t>
      </w:r>
      <w:r w:rsidRPr="00FA0D37">
        <w:t>.</w:t>
      </w:r>
    </w:p>
    <w:p w14:paraId="50E53E6F" w14:textId="77777777" w:rsidR="00394471" w:rsidRPr="00FA0D37" w:rsidRDefault="00394471" w:rsidP="00394471">
      <w:pPr>
        <w:pStyle w:val="B2"/>
      </w:pPr>
      <w:r w:rsidRPr="00FA0D37">
        <w:t>2&gt;</w:t>
      </w:r>
      <w:r w:rsidRPr="00FA0D37">
        <w:tab/>
        <w:t>else:</w:t>
      </w:r>
    </w:p>
    <w:p w14:paraId="05990BC2" w14:textId="77777777" w:rsidR="00394471" w:rsidRPr="00FA0D37" w:rsidRDefault="00394471" w:rsidP="00394471">
      <w:pPr>
        <w:pStyle w:val="B3"/>
      </w:pPr>
      <w:r w:rsidRPr="00FA0D37">
        <w:t>3&gt;</w:t>
      </w:r>
      <w:r w:rsidRPr="00FA0D37">
        <w:tab/>
        <w:t>consider the cell as barred in accordance with TS 38.304 [20]; and</w:t>
      </w:r>
    </w:p>
    <w:p w14:paraId="377B2E43" w14:textId="2BD27DE9" w:rsidR="00096193" w:rsidRDefault="00394471" w:rsidP="00096193">
      <w:pPr>
        <w:ind w:left="1135" w:hanging="284"/>
      </w:pPr>
      <w:r w:rsidRPr="00FA0D37">
        <w:t>3&gt;</w:t>
      </w:r>
      <w:r w:rsidRPr="00FA0D37">
        <w:tab/>
        <w:t xml:space="preserve">perform barring as if </w:t>
      </w:r>
      <w:r w:rsidRPr="00FA0D37">
        <w:rPr>
          <w:i/>
        </w:rPr>
        <w:t>intraFreqReselection</w:t>
      </w:r>
      <w:r w:rsidR="004B13F7" w:rsidRPr="00FA0D37">
        <w:rPr>
          <w:iCs/>
        </w:rPr>
        <w:t xml:space="preserve">, or </w:t>
      </w:r>
      <w:r w:rsidR="004B13F7" w:rsidRPr="00FA0D37">
        <w:rPr>
          <w:i/>
        </w:rPr>
        <w:t>intraFreqReselectionRedCap</w:t>
      </w:r>
      <w:r w:rsidR="004B13F7" w:rsidRPr="00FA0D37">
        <w:rPr>
          <w:iCs/>
        </w:rPr>
        <w:t xml:space="preserve"> for RedCap UEs,</w:t>
      </w:r>
      <w:r w:rsidRPr="00FA0D37">
        <w:t xml:space="preserve"> is set to </w:t>
      </w:r>
      <w:r w:rsidRPr="00FA0D37">
        <w:rPr>
          <w:i/>
        </w:rPr>
        <w:t>notAllowed</w:t>
      </w:r>
      <w:r w:rsidRPr="00FA0D37">
        <w:t>;</w:t>
      </w:r>
      <w:r w:rsidR="00096193" w:rsidRPr="00096193">
        <w:t xml:space="preserve"> </w:t>
      </w:r>
    </w:p>
    <w:p w14:paraId="5B64C660" w14:textId="45351222" w:rsidR="00394471" w:rsidRPr="00096193" w:rsidRDefault="00096193" w:rsidP="00096193">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r>
        <w:rPr>
          <w:rFonts w:eastAsia="Malgun Gothic"/>
          <w:i/>
        </w:rPr>
        <w:t>Next Change (new)</w:t>
      </w:r>
    </w:p>
    <w:p w14:paraId="7B4F7E96" w14:textId="77777777" w:rsidR="00103DA3" w:rsidRDefault="00103DA3" w:rsidP="00103DA3">
      <w:pPr>
        <w:pStyle w:val="5"/>
        <w:rPr>
          <w:ins w:id="49" w:author="Huawei, HiSilicon" w:date="2023-12-06T15:13:00Z"/>
          <w:lang w:eastAsia="en-US"/>
        </w:rPr>
      </w:pPr>
      <w:ins w:id="50" w:author="Huawei, HiSilicon" w:date="2023-12-06T15:13:00Z">
        <w:r>
          <w:t>5.2.2.4.x</w:t>
        </w:r>
        <w:r>
          <w:tab/>
          <w:t xml:space="preserve">Actions upon reception of </w:t>
        </w:r>
        <w:r>
          <w:rPr>
            <w:i/>
          </w:rPr>
          <w:t>SIBx</w:t>
        </w:r>
      </w:ins>
    </w:p>
    <w:p w14:paraId="7C151B31" w14:textId="77777777" w:rsidR="00096193" w:rsidRDefault="00103DA3" w:rsidP="00096193">
      <w:pPr>
        <w:rPr>
          <w:ins w:id="51" w:author="Huawei, HiSilicon" w:date="2023-11-02T14:40:00Z"/>
          <w:lang w:eastAsia="zh-CN"/>
        </w:rPr>
      </w:pPr>
      <w:ins w:id="52" w:author="Huawei, HiSilicon" w:date="2023-12-06T15:13:00Z">
        <w:r>
          <w:rPr>
            <w:lang w:eastAsia="zh-CN"/>
          </w:rPr>
          <w:t xml:space="preserve">No UE requirements related to the contents of </w:t>
        </w:r>
        <w:r>
          <w:rPr>
            <w:i/>
            <w:lang w:eastAsia="zh-CN"/>
          </w:rPr>
          <w:t>SIBx</w:t>
        </w:r>
        <w:r>
          <w:t xml:space="preserve"> </w:t>
        </w:r>
        <w:r>
          <w:rPr>
            <w:lang w:eastAsia="zh-CN"/>
          </w:rPr>
          <w:t>apply other than those specified elsewhere e.g., within procedures using the concerned system information, and/or within the corresponding field descriptions.</w:t>
        </w:r>
      </w:ins>
      <w:r w:rsidR="00096193" w:rsidRPr="00103DA3" w:rsidDel="00103DA3">
        <w:t xml:space="preserve"> </w:t>
      </w:r>
      <w:bookmarkStart w:id="53" w:name="_Toc60776720"/>
      <w:bookmarkStart w:id="54" w:name="_Toc146780669"/>
    </w:p>
    <w:p w14:paraId="50C125E1" w14:textId="77777777" w:rsidR="00096193" w:rsidRDefault="00096193" w:rsidP="00096193">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r>
        <w:rPr>
          <w:rFonts w:eastAsia="Malgun Gothic"/>
          <w:i/>
        </w:rPr>
        <w:t>Next Change</w:t>
      </w:r>
    </w:p>
    <w:p w14:paraId="02E45611" w14:textId="77777777" w:rsidR="00394471" w:rsidRPr="00FA0D37" w:rsidRDefault="00394471" w:rsidP="00394471">
      <w:pPr>
        <w:pStyle w:val="2"/>
        <w:rPr>
          <w:rFonts w:eastAsia="MS Mincho"/>
        </w:rPr>
      </w:pPr>
      <w:bookmarkStart w:id="55" w:name="_Toc60776735"/>
      <w:bookmarkStart w:id="56" w:name="_Toc146780692"/>
      <w:bookmarkEnd w:id="53"/>
      <w:bookmarkEnd w:id="54"/>
      <w:r w:rsidRPr="00FA0D37">
        <w:rPr>
          <w:rFonts w:eastAsia="MS Mincho"/>
        </w:rPr>
        <w:t>5.3</w:t>
      </w:r>
      <w:r w:rsidRPr="00FA0D37">
        <w:rPr>
          <w:rFonts w:eastAsia="MS Mincho"/>
        </w:rPr>
        <w:tab/>
        <w:t>Connection control</w:t>
      </w:r>
      <w:bookmarkEnd w:id="55"/>
      <w:bookmarkEnd w:id="56"/>
    </w:p>
    <w:p w14:paraId="727294B0" w14:textId="77777777" w:rsidR="00394471" w:rsidRPr="00FA0D37" w:rsidRDefault="00394471" w:rsidP="00394471">
      <w:pPr>
        <w:pStyle w:val="3"/>
        <w:rPr>
          <w:rFonts w:eastAsia="MS Mincho"/>
        </w:rPr>
      </w:pPr>
      <w:bookmarkStart w:id="57" w:name="_Toc60776739"/>
      <w:bookmarkStart w:id="58" w:name="_Toc146780696"/>
      <w:r w:rsidRPr="00FA0D37">
        <w:rPr>
          <w:rFonts w:eastAsia="MS Mincho"/>
        </w:rPr>
        <w:t>5.3.2</w:t>
      </w:r>
      <w:r w:rsidRPr="00FA0D37">
        <w:rPr>
          <w:rFonts w:eastAsia="MS Mincho"/>
        </w:rPr>
        <w:tab/>
        <w:t>Paging</w:t>
      </w:r>
      <w:bookmarkEnd w:id="57"/>
      <w:bookmarkEnd w:id="58"/>
    </w:p>
    <w:p w14:paraId="11C386D3" w14:textId="172BD214" w:rsidR="00394471" w:rsidRPr="00FA0D37" w:rsidRDefault="00394471" w:rsidP="00394471">
      <w:pPr>
        <w:pStyle w:val="4"/>
      </w:pPr>
      <w:bookmarkStart w:id="59" w:name="_Toc60776742"/>
      <w:bookmarkStart w:id="60" w:name="_Toc146780699"/>
      <w:r w:rsidRPr="00FA0D37">
        <w:t>5.3.2.3</w:t>
      </w:r>
      <w:r w:rsidRPr="00FA0D37">
        <w:tab/>
        <w:t xml:space="preserve">Reception of the </w:t>
      </w:r>
      <w:r w:rsidRPr="00FA0D37">
        <w:rPr>
          <w:i/>
        </w:rPr>
        <w:t>Paging</w:t>
      </w:r>
      <w:r w:rsidRPr="00FA0D37">
        <w:t xml:space="preserve"> </w:t>
      </w:r>
      <w:r w:rsidRPr="00FA0D37">
        <w:rPr>
          <w:i/>
        </w:rPr>
        <w:t>message</w:t>
      </w:r>
      <w:r w:rsidRPr="00FA0D37">
        <w:t xml:space="preserve"> by the UE</w:t>
      </w:r>
      <w:bookmarkEnd w:id="59"/>
      <w:r w:rsidR="001E5272" w:rsidRPr="00FA0D37">
        <w:t xml:space="preserve"> or </w:t>
      </w:r>
      <w:r w:rsidR="001E5272" w:rsidRPr="00FA0D37">
        <w:rPr>
          <w:i/>
        </w:rPr>
        <w:t>PagingRecord</w:t>
      </w:r>
      <w:r w:rsidR="001E5272" w:rsidRPr="00FA0D37">
        <w:t xml:space="preserve"> by the L2 U2N Remote UE</w:t>
      </w:r>
      <w:bookmarkEnd w:id="60"/>
    </w:p>
    <w:p w14:paraId="15180800" w14:textId="3292C168" w:rsidR="00394471" w:rsidRPr="00FA0D37" w:rsidRDefault="00394471" w:rsidP="00394471">
      <w:r w:rsidRPr="00FA0D37">
        <w:t xml:space="preserve">Upon receiving the </w:t>
      </w:r>
      <w:r w:rsidRPr="00FA0D37">
        <w:rPr>
          <w:i/>
        </w:rPr>
        <w:t>Paging</w:t>
      </w:r>
      <w:r w:rsidRPr="00FA0D37">
        <w:t xml:space="preserve"> message</w:t>
      </w:r>
      <w:r w:rsidR="001E5272" w:rsidRPr="00FA0D37">
        <w:t xml:space="preserve"> by the UE or receiving </w:t>
      </w:r>
      <w:r w:rsidR="001E5272" w:rsidRPr="00FA0D37">
        <w:rPr>
          <w:i/>
        </w:rPr>
        <w:t>PagingRecord</w:t>
      </w:r>
      <w:r w:rsidR="001E5272" w:rsidRPr="00FA0D37">
        <w:t xml:space="preserve"> from its connected L2 U2N Relay UE by a L2 U2N Remote UE</w:t>
      </w:r>
      <w:r w:rsidRPr="00FA0D37">
        <w:t>, the UE shall:</w:t>
      </w:r>
    </w:p>
    <w:p w14:paraId="40690ADA" w14:textId="77777777" w:rsidR="001E5272" w:rsidRPr="00FA0D37" w:rsidRDefault="00394471" w:rsidP="001E5272">
      <w:pPr>
        <w:pStyle w:val="B1"/>
      </w:pPr>
      <w:r w:rsidRPr="00FA0D37">
        <w:t>1&gt;</w:t>
      </w:r>
      <w:r w:rsidRPr="00FA0D37">
        <w:tab/>
        <w:t xml:space="preserve">if in RRC_IDLE, for each of the </w:t>
      </w:r>
      <w:r w:rsidRPr="00FA0D37">
        <w:rPr>
          <w:i/>
        </w:rPr>
        <w:t>PagingRecord</w:t>
      </w:r>
      <w:r w:rsidRPr="00FA0D37">
        <w:t xml:space="preserve">, if any, included in the </w:t>
      </w:r>
      <w:r w:rsidRPr="00FA0D37">
        <w:rPr>
          <w:i/>
        </w:rPr>
        <w:t>Paging</w:t>
      </w:r>
      <w:r w:rsidRPr="00FA0D37">
        <w:t xml:space="preserve"> message</w:t>
      </w:r>
      <w:r w:rsidR="001E5272" w:rsidRPr="00FA0D37">
        <w:t>, or</w:t>
      </w:r>
    </w:p>
    <w:p w14:paraId="55F79614" w14:textId="02A85540" w:rsidR="00394471" w:rsidRPr="00FA0D37" w:rsidRDefault="001E5272" w:rsidP="001E5272">
      <w:pPr>
        <w:pStyle w:val="B1"/>
      </w:pPr>
      <w:r w:rsidRPr="00FA0D37">
        <w:t>1&gt;</w:t>
      </w:r>
      <w:r w:rsidRPr="00FA0D37">
        <w:tab/>
        <w:t xml:space="preserve">if in RRC_IDLE, for the </w:t>
      </w:r>
      <w:r w:rsidRPr="00FA0D37">
        <w:rPr>
          <w:i/>
        </w:rPr>
        <w:t>PagingRecord</w:t>
      </w:r>
      <w:r w:rsidRPr="00FA0D37">
        <w:t xml:space="preserve">, if any, included in the </w:t>
      </w:r>
      <w:r w:rsidRPr="00FA0D37">
        <w:rPr>
          <w:rFonts w:eastAsia="MS Mincho"/>
          <w:i/>
        </w:rPr>
        <w:t>UuMessageTransferSidelink</w:t>
      </w:r>
      <w:r w:rsidRPr="00FA0D37">
        <w:t xml:space="preserve"> message received from the connected L2 U2N Relay UE</w:t>
      </w:r>
      <w:r w:rsidR="00394471" w:rsidRPr="00FA0D37">
        <w:t>:</w:t>
      </w:r>
    </w:p>
    <w:p w14:paraId="1645724E" w14:textId="77777777" w:rsidR="00394471" w:rsidRPr="00FA0D37" w:rsidRDefault="00394471" w:rsidP="00394471">
      <w:pPr>
        <w:pStyle w:val="B2"/>
      </w:pPr>
      <w:r w:rsidRPr="00FA0D37">
        <w:t>2&gt;</w:t>
      </w:r>
      <w:r w:rsidRPr="00FA0D37">
        <w:tab/>
        <w:t xml:space="preserve">if the </w:t>
      </w:r>
      <w:r w:rsidRPr="00FA0D37">
        <w:rPr>
          <w:i/>
        </w:rPr>
        <w:t>ue-Identity</w:t>
      </w:r>
      <w:r w:rsidRPr="00FA0D37">
        <w:t xml:space="preserve"> included in the </w:t>
      </w:r>
      <w:r w:rsidRPr="00FA0D37">
        <w:rPr>
          <w:i/>
        </w:rPr>
        <w:t>PagingRecord</w:t>
      </w:r>
      <w:r w:rsidRPr="00FA0D37">
        <w:t xml:space="preserve"> matches the UE identity allocated by upper layers:</w:t>
      </w:r>
    </w:p>
    <w:p w14:paraId="542BD0AB" w14:textId="77777777" w:rsidR="00F441CB" w:rsidRPr="00FA0D37" w:rsidRDefault="00F441CB" w:rsidP="00394471">
      <w:pPr>
        <w:pStyle w:val="B3"/>
      </w:pPr>
      <w:r w:rsidRPr="00FA0D37">
        <w:lastRenderedPageBreak/>
        <w:t>3&gt;</w:t>
      </w:r>
      <w:r w:rsidRPr="00FA0D37">
        <w:tab/>
        <w:t>if upper layers indicate the support of paging cause:</w:t>
      </w:r>
    </w:p>
    <w:p w14:paraId="013EE98A" w14:textId="509619A1" w:rsidR="00394471" w:rsidRPr="00FA0D37" w:rsidRDefault="00F441CB" w:rsidP="000830BB">
      <w:pPr>
        <w:pStyle w:val="B4"/>
      </w:pPr>
      <w:r w:rsidRPr="00FA0D37">
        <w:t>4</w:t>
      </w:r>
      <w:r w:rsidR="00394471" w:rsidRPr="00FA0D37">
        <w:t>&gt;</w:t>
      </w:r>
      <w:r w:rsidR="00394471" w:rsidRPr="00FA0D37">
        <w:tab/>
        <w:t xml:space="preserve">forward the </w:t>
      </w:r>
      <w:r w:rsidR="00394471" w:rsidRPr="00FA0D37">
        <w:rPr>
          <w:i/>
        </w:rPr>
        <w:t>ue-Identity</w:t>
      </w:r>
      <w:r w:rsidR="00100C97" w:rsidRPr="00FA0D37">
        <w:rPr>
          <w:i/>
        </w:rPr>
        <w:t>,</w:t>
      </w:r>
      <w:r w:rsidR="00394471" w:rsidRPr="00FA0D37">
        <w:t xml:space="preserve"> </w:t>
      </w:r>
      <w:r w:rsidR="00394471" w:rsidRPr="00FA0D37">
        <w:rPr>
          <w:i/>
        </w:rPr>
        <w:t>accessType</w:t>
      </w:r>
      <w:r w:rsidR="00394471" w:rsidRPr="00FA0D37">
        <w:t xml:space="preserve"> (if present) </w:t>
      </w:r>
      <w:r w:rsidR="00100C97" w:rsidRPr="00FA0D37">
        <w:t xml:space="preserve">and paging cause (if determined) </w:t>
      </w:r>
      <w:r w:rsidR="00394471" w:rsidRPr="00FA0D37">
        <w:t>to the upper layers;</w:t>
      </w:r>
    </w:p>
    <w:p w14:paraId="07B5DDEF" w14:textId="77777777" w:rsidR="00100C97" w:rsidRPr="00FA0D37" w:rsidRDefault="00100C97" w:rsidP="000830BB">
      <w:pPr>
        <w:pStyle w:val="B3"/>
      </w:pPr>
      <w:r w:rsidRPr="00FA0D37">
        <w:t>3&gt;</w:t>
      </w:r>
      <w:r w:rsidRPr="00FA0D37">
        <w:tab/>
        <w:t>else:</w:t>
      </w:r>
    </w:p>
    <w:p w14:paraId="4E92238E" w14:textId="3727EBE6" w:rsidR="00100C97" w:rsidRPr="00FA0D37" w:rsidRDefault="00100C97" w:rsidP="000830BB">
      <w:pPr>
        <w:pStyle w:val="B4"/>
      </w:pPr>
      <w:r w:rsidRPr="00FA0D37">
        <w:t>4&gt;</w:t>
      </w:r>
      <w:r w:rsidRPr="00FA0D37">
        <w:tab/>
        <w:t xml:space="preserve">forward the </w:t>
      </w:r>
      <w:r w:rsidRPr="00FA0D37">
        <w:rPr>
          <w:i/>
          <w:iCs/>
        </w:rPr>
        <w:t>ue-Identity</w:t>
      </w:r>
      <w:r w:rsidRPr="00FA0D37">
        <w:t xml:space="preserve"> and </w:t>
      </w:r>
      <w:r w:rsidRPr="00FA0D37">
        <w:rPr>
          <w:i/>
          <w:iCs/>
        </w:rPr>
        <w:t>accessType</w:t>
      </w:r>
      <w:r w:rsidRPr="00FA0D37">
        <w:t xml:space="preserve"> (if present) to the upper layers;</w:t>
      </w:r>
    </w:p>
    <w:p w14:paraId="51378537" w14:textId="77777777" w:rsidR="001E5272" w:rsidRPr="00FA0D37" w:rsidRDefault="00394471" w:rsidP="001E5272">
      <w:pPr>
        <w:pStyle w:val="B1"/>
      </w:pPr>
      <w:r w:rsidRPr="00FA0D37">
        <w:t>1&gt;</w:t>
      </w:r>
      <w:r w:rsidRPr="00FA0D37">
        <w:tab/>
        <w:t xml:space="preserve">if in RRC_INACTIVE, for each of the </w:t>
      </w:r>
      <w:r w:rsidRPr="00FA0D37">
        <w:rPr>
          <w:i/>
        </w:rPr>
        <w:t>PagingRecord</w:t>
      </w:r>
      <w:r w:rsidRPr="00FA0D37">
        <w:t xml:space="preserve">, if any, included in the </w:t>
      </w:r>
      <w:r w:rsidRPr="00FA0D37">
        <w:rPr>
          <w:i/>
        </w:rPr>
        <w:t>Paging</w:t>
      </w:r>
      <w:r w:rsidRPr="00FA0D37">
        <w:t xml:space="preserve"> message</w:t>
      </w:r>
      <w:r w:rsidR="001E5272" w:rsidRPr="00FA0D37">
        <w:t>, or</w:t>
      </w:r>
    </w:p>
    <w:p w14:paraId="65920662" w14:textId="0EDB298E" w:rsidR="00394471" w:rsidRPr="00FA0D37" w:rsidRDefault="001E5272" w:rsidP="001E5272">
      <w:pPr>
        <w:pStyle w:val="B1"/>
      </w:pPr>
      <w:r w:rsidRPr="00FA0D37">
        <w:t>1&gt;</w:t>
      </w:r>
      <w:r w:rsidRPr="00FA0D37">
        <w:tab/>
        <w:t xml:space="preserve">if in RRC_INACTIVE, for the </w:t>
      </w:r>
      <w:r w:rsidRPr="00FA0D37">
        <w:rPr>
          <w:i/>
        </w:rPr>
        <w:t>PagingRecord</w:t>
      </w:r>
      <w:r w:rsidRPr="00FA0D37">
        <w:t xml:space="preserve">, if any, included in the </w:t>
      </w:r>
      <w:r w:rsidRPr="00FA0D37">
        <w:rPr>
          <w:rFonts w:eastAsia="MS Mincho"/>
          <w:i/>
        </w:rPr>
        <w:t>UuMessageTransferSidelink</w:t>
      </w:r>
      <w:r w:rsidRPr="00FA0D37">
        <w:t xml:space="preserve"> message received from the connected L2 U2N Relay UE</w:t>
      </w:r>
      <w:r w:rsidR="00394471" w:rsidRPr="00FA0D37">
        <w:t>:</w:t>
      </w:r>
    </w:p>
    <w:p w14:paraId="2E0BC0BC" w14:textId="77777777" w:rsidR="00394471" w:rsidRPr="00FA0D37" w:rsidRDefault="00394471" w:rsidP="00394471">
      <w:pPr>
        <w:pStyle w:val="B2"/>
      </w:pPr>
      <w:r w:rsidRPr="00FA0D37">
        <w:t>2&gt;</w:t>
      </w:r>
      <w:r w:rsidRPr="00FA0D37">
        <w:tab/>
        <w:t xml:space="preserve">if the </w:t>
      </w:r>
      <w:r w:rsidRPr="00FA0D37">
        <w:rPr>
          <w:i/>
        </w:rPr>
        <w:t>ue-Identity</w:t>
      </w:r>
      <w:r w:rsidRPr="00FA0D37">
        <w:t xml:space="preserve"> included in the </w:t>
      </w:r>
      <w:r w:rsidRPr="00FA0D37">
        <w:rPr>
          <w:i/>
        </w:rPr>
        <w:t>PagingRecord</w:t>
      </w:r>
      <w:r w:rsidRPr="00FA0D37">
        <w:t xml:space="preserve"> matches the UE's stored </w:t>
      </w:r>
      <w:r w:rsidRPr="00FA0D37">
        <w:rPr>
          <w:i/>
        </w:rPr>
        <w:t>fullI-RNTI</w:t>
      </w:r>
      <w:r w:rsidRPr="00FA0D37">
        <w:t>:</w:t>
      </w:r>
    </w:p>
    <w:p w14:paraId="13EDB727" w14:textId="77777777" w:rsidR="00394471" w:rsidRPr="00FA0D37" w:rsidRDefault="00394471" w:rsidP="00394471">
      <w:pPr>
        <w:pStyle w:val="B3"/>
      </w:pPr>
      <w:r w:rsidRPr="00FA0D37">
        <w:t>3&gt;</w:t>
      </w:r>
      <w:r w:rsidRPr="00FA0D37">
        <w:tab/>
        <w:t>if the UE is configured by upper layers with Access Identity 1:</w:t>
      </w:r>
    </w:p>
    <w:p w14:paraId="21981841" w14:textId="77777777" w:rsidR="00394471" w:rsidRPr="00FA0D37" w:rsidRDefault="00394471" w:rsidP="00394471">
      <w:pPr>
        <w:pStyle w:val="B4"/>
      </w:pPr>
      <w:r w:rsidRPr="00FA0D37">
        <w:t>4&gt;</w:t>
      </w:r>
      <w:r w:rsidRPr="00FA0D37">
        <w:tab/>
        <w:t xml:space="preserve">initiate the RRC connection resumption procedure according to 5.3.13 with </w:t>
      </w:r>
      <w:r w:rsidRPr="00FA0D37">
        <w:rPr>
          <w:i/>
        </w:rPr>
        <w:t>resumeCause</w:t>
      </w:r>
      <w:r w:rsidRPr="00FA0D37">
        <w:t xml:space="preserve"> set to </w:t>
      </w:r>
      <w:r w:rsidRPr="00FA0D37">
        <w:rPr>
          <w:i/>
        </w:rPr>
        <w:t>mps-PriorityAccess</w:t>
      </w:r>
      <w:r w:rsidRPr="00FA0D37">
        <w:t>;</w:t>
      </w:r>
    </w:p>
    <w:p w14:paraId="62E73B38" w14:textId="77777777" w:rsidR="00394471" w:rsidRPr="00FA0D37" w:rsidRDefault="00394471" w:rsidP="00394471">
      <w:pPr>
        <w:pStyle w:val="B3"/>
      </w:pPr>
      <w:r w:rsidRPr="00FA0D37">
        <w:t>3&gt;</w:t>
      </w:r>
      <w:r w:rsidRPr="00FA0D37">
        <w:tab/>
        <w:t>else if the UE is configured by upper layers with Access Identity 2:</w:t>
      </w:r>
    </w:p>
    <w:p w14:paraId="5BD7C9BB" w14:textId="77777777" w:rsidR="00394471" w:rsidRPr="00FA0D37" w:rsidRDefault="00394471" w:rsidP="00394471">
      <w:pPr>
        <w:pStyle w:val="B4"/>
      </w:pPr>
      <w:r w:rsidRPr="00FA0D37">
        <w:t>4&gt;</w:t>
      </w:r>
      <w:r w:rsidRPr="00FA0D37">
        <w:tab/>
        <w:t xml:space="preserve">initiate the RRC connection resumption procedure according to 5.3.13 with </w:t>
      </w:r>
      <w:r w:rsidRPr="00FA0D37">
        <w:rPr>
          <w:i/>
        </w:rPr>
        <w:t>resumeCause</w:t>
      </w:r>
      <w:r w:rsidRPr="00FA0D37">
        <w:t xml:space="preserve"> set to </w:t>
      </w:r>
      <w:r w:rsidRPr="00FA0D37">
        <w:rPr>
          <w:i/>
        </w:rPr>
        <w:t>mcs-PriorityAccess</w:t>
      </w:r>
      <w:r w:rsidRPr="00FA0D37">
        <w:t>;</w:t>
      </w:r>
    </w:p>
    <w:p w14:paraId="0062E47A" w14:textId="77777777" w:rsidR="00394471" w:rsidRPr="00FA0D37" w:rsidRDefault="00394471" w:rsidP="00394471">
      <w:pPr>
        <w:pStyle w:val="B3"/>
      </w:pPr>
      <w:r w:rsidRPr="00FA0D37">
        <w:t>3&gt;</w:t>
      </w:r>
      <w:r w:rsidRPr="00FA0D37">
        <w:tab/>
        <w:t>else if the UE is configured by upper layers with one or more Access Identities equal to 11-15:</w:t>
      </w:r>
    </w:p>
    <w:p w14:paraId="6CE3D21E" w14:textId="77777777" w:rsidR="00394471" w:rsidRPr="00FA0D37" w:rsidRDefault="00394471" w:rsidP="00394471">
      <w:pPr>
        <w:pStyle w:val="B4"/>
      </w:pPr>
      <w:r w:rsidRPr="00FA0D37">
        <w:t>4&gt;</w:t>
      </w:r>
      <w:r w:rsidRPr="00FA0D37">
        <w:tab/>
        <w:t xml:space="preserve">initiate the RRC connection resumption procedure according to 5.3.13 with </w:t>
      </w:r>
      <w:r w:rsidRPr="00FA0D37">
        <w:rPr>
          <w:i/>
        </w:rPr>
        <w:t>resumeCause</w:t>
      </w:r>
      <w:r w:rsidRPr="00FA0D37">
        <w:t xml:space="preserve"> set to </w:t>
      </w:r>
      <w:r w:rsidRPr="00FA0D37">
        <w:rPr>
          <w:i/>
        </w:rPr>
        <w:t>highPriorityAccess</w:t>
      </w:r>
      <w:r w:rsidRPr="00FA0D37">
        <w:t>;</w:t>
      </w:r>
    </w:p>
    <w:p w14:paraId="7B00B2C5" w14:textId="77777777" w:rsidR="00394471" w:rsidRPr="00FA0D37" w:rsidRDefault="00394471" w:rsidP="00394471">
      <w:pPr>
        <w:pStyle w:val="B3"/>
      </w:pPr>
      <w:r w:rsidRPr="00FA0D37">
        <w:t>3&gt;</w:t>
      </w:r>
      <w:r w:rsidRPr="00FA0D37">
        <w:tab/>
        <w:t>else:</w:t>
      </w:r>
    </w:p>
    <w:p w14:paraId="64D7311E" w14:textId="77777777" w:rsidR="00394471" w:rsidRPr="00FA0D37" w:rsidRDefault="00394471" w:rsidP="00394471">
      <w:pPr>
        <w:pStyle w:val="B4"/>
      </w:pPr>
      <w:r w:rsidRPr="00FA0D37">
        <w:t>4&gt;</w:t>
      </w:r>
      <w:r w:rsidRPr="00FA0D37">
        <w:tab/>
        <w:t xml:space="preserve">initiate the RRC connection resumption procedure according to 5.3.13 with </w:t>
      </w:r>
      <w:r w:rsidRPr="00FA0D37">
        <w:rPr>
          <w:i/>
        </w:rPr>
        <w:t>resumeCause</w:t>
      </w:r>
      <w:r w:rsidRPr="00FA0D37">
        <w:t xml:space="preserve"> set to </w:t>
      </w:r>
      <w:r w:rsidRPr="00FA0D37">
        <w:rPr>
          <w:i/>
        </w:rPr>
        <w:t>mt-Access</w:t>
      </w:r>
      <w:r w:rsidRPr="00FA0D37">
        <w:t>;</w:t>
      </w:r>
    </w:p>
    <w:p w14:paraId="47DC5066" w14:textId="77777777" w:rsidR="000B6415" w:rsidRPr="00FA0D37" w:rsidRDefault="000B6415" w:rsidP="00F747EB">
      <w:pPr>
        <w:pStyle w:val="NO"/>
      </w:pPr>
      <w:r w:rsidRPr="00FA0D37">
        <w:t>NOTE:</w:t>
      </w:r>
      <w:r w:rsidRPr="00FA0D37">
        <w:tab/>
        <w:t xml:space="preserve">A MUSIM UE may not initiate the RRC connection resumption procedure, e.g. when it decides not to respond to the </w:t>
      </w:r>
      <w:r w:rsidRPr="00FA0D37">
        <w:rPr>
          <w:i/>
        </w:rPr>
        <w:t>Paging</w:t>
      </w:r>
      <w:r w:rsidRPr="00FA0D37">
        <w:t xml:space="preserve"> message due to UE implementation constraints as specified in TS 24.501 [23].</w:t>
      </w:r>
    </w:p>
    <w:p w14:paraId="2E8427FD" w14:textId="383E44A5" w:rsidR="00394471" w:rsidRPr="00FA0D37" w:rsidRDefault="00394471" w:rsidP="00394471">
      <w:pPr>
        <w:pStyle w:val="B2"/>
      </w:pPr>
      <w:r w:rsidRPr="00FA0D37">
        <w:t>2&gt;</w:t>
      </w:r>
      <w:r w:rsidRPr="00FA0D37">
        <w:tab/>
        <w:t xml:space="preserve">else if the </w:t>
      </w:r>
      <w:r w:rsidRPr="00FA0D37">
        <w:rPr>
          <w:i/>
        </w:rPr>
        <w:t>ue-Identity</w:t>
      </w:r>
      <w:r w:rsidRPr="00FA0D37">
        <w:t xml:space="preserve"> included in the </w:t>
      </w:r>
      <w:r w:rsidRPr="00FA0D37">
        <w:rPr>
          <w:i/>
        </w:rPr>
        <w:t>PagingRecord</w:t>
      </w:r>
      <w:r w:rsidRPr="00FA0D37">
        <w:t xml:space="preserve"> matches the UE identity allocated by upper layers:</w:t>
      </w:r>
    </w:p>
    <w:p w14:paraId="5A918F4E" w14:textId="77777777" w:rsidR="00100C97" w:rsidRPr="00FA0D37" w:rsidRDefault="00100C97" w:rsidP="00394471">
      <w:pPr>
        <w:pStyle w:val="B3"/>
      </w:pPr>
      <w:r w:rsidRPr="00FA0D37">
        <w:t>3&gt;</w:t>
      </w:r>
      <w:r w:rsidRPr="00FA0D37">
        <w:tab/>
        <w:t>if upper layers indicate the support of paging cause:</w:t>
      </w:r>
    </w:p>
    <w:p w14:paraId="1EFED174" w14:textId="3303EEE7" w:rsidR="00394471" w:rsidRPr="00FA0D37" w:rsidRDefault="00100C97" w:rsidP="000830BB">
      <w:pPr>
        <w:pStyle w:val="B4"/>
      </w:pPr>
      <w:r w:rsidRPr="00FA0D37">
        <w:t>4</w:t>
      </w:r>
      <w:r w:rsidR="00394471" w:rsidRPr="00FA0D37">
        <w:t>&gt;</w:t>
      </w:r>
      <w:r w:rsidR="00394471" w:rsidRPr="00FA0D37">
        <w:tab/>
        <w:t xml:space="preserve">forward the </w:t>
      </w:r>
      <w:r w:rsidR="00394471" w:rsidRPr="00FA0D37">
        <w:rPr>
          <w:i/>
        </w:rPr>
        <w:t>ue-Identity</w:t>
      </w:r>
      <w:r w:rsidR="00A81F52" w:rsidRPr="00FA0D37">
        <w:rPr>
          <w:iCs/>
        </w:rPr>
        <w:t>,</w:t>
      </w:r>
      <w:r w:rsidR="00394471" w:rsidRPr="00FA0D37">
        <w:t xml:space="preserve"> </w:t>
      </w:r>
      <w:r w:rsidR="00394471" w:rsidRPr="00FA0D37">
        <w:rPr>
          <w:i/>
        </w:rPr>
        <w:t>accessType</w:t>
      </w:r>
      <w:r w:rsidR="00394471" w:rsidRPr="00FA0D37">
        <w:t xml:space="preserve"> (if present) </w:t>
      </w:r>
      <w:r w:rsidR="00A81F52" w:rsidRPr="00FA0D37">
        <w:t xml:space="preserve">and paging cause (if determined) </w:t>
      </w:r>
      <w:r w:rsidR="00394471" w:rsidRPr="00FA0D37">
        <w:t>to the upper layers;</w:t>
      </w:r>
    </w:p>
    <w:p w14:paraId="3278AF73" w14:textId="77777777" w:rsidR="00A81F52" w:rsidRPr="00FA0D37" w:rsidRDefault="00A81F52" w:rsidP="00A81F52">
      <w:pPr>
        <w:pStyle w:val="B3"/>
      </w:pPr>
      <w:r w:rsidRPr="00FA0D37">
        <w:t>3&gt;</w:t>
      </w:r>
      <w:r w:rsidRPr="00FA0D37">
        <w:tab/>
        <w:t>else:</w:t>
      </w:r>
    </w:p>
    <w:p w14:paraId="5AEF92A9" w14:textId="115F051C" w:rsidR="00A81F52" w:rsidRPr="00FA0D37" w:rsidRDefault="00A81F52" w:rsidP="00A81F52">
      <w:pPr>
        <w:pStyle w:val="B4"/>
      </w:pPr>
      <w:r w:rsidRPr="00FA0D37">
        <w:t>4&gt;</w:t>
      </w:r>
      <w:r w:rsidRPr="00FA0D37">
        <w:tab/>
        <w:t xml:space="preserve">forward the </w:t>
      </w:r>
      <w:r w:rsidRPr="00FA0D37">
        <w:rPr>
          <w:i/>
          <w:iCs/>
        </w:rPr>
        <w:t>ue-Identity</w:t>
      </w:r>
      <w:r w:rsidRPr="00FA0D37">
        <w:t xml:space="preserve"> and </w:t>
      </w:r>
      <w:r w:rsidRPr="00FA0D37">
        <w:rPr>
          <w:i/>
          <w:iCs/>
        </w:rPr>
        <w:t>accessType</w:t>
      </w:r>
      <w:r w:rsidRPr="00FA0D37">
        <w:t xml:space="preserve"> (if present) to the upper layers;</w:t>
      </w:r>
    </w:p>
    <w:p w14:paraId="635EBD76" w14:textId="38F0E571" w:rsidR="00AE6F6C" w:rsidRPr="00FA0D37" w:rsidRDefault="00394471" w:rsidP="00AE6F6C">
      <w:pPr>
        <w:pStyle w:val="B3"/>
      </w:pPr>
      <w:r w:rsidRPr="00FA0D37">
        <w:t>3&gt;</w:t>
      </w:r>
      <w:r w:rsidRPr="00FA0D37">
        <w:tab/>
        <w:t>perform the actions upon going to RRC_IDLE as specified in 5.3.11 with release cause 'other'</w:t>
      </w:r>
      <w:r w:rsidR="00214323" w:rsidRPr="00FA0D37">
        <w:t>;</w:t>
      </w:r>
    </w:p>
    <w:p w14:paraId="45E121A1" w14:textId="79BD09A0" w:rsidR="00214323" w:rsidRPr="00FA0D37" w:rsidRDefault="00214323" w:rsidP="00214323">
      <w:pPr>
        <w:pStyle w:val="B1"/>
      </w:pPr>
      <w:bookmarkStart w:id="61" w:name="_Toc60776743"/>
      <w:r w:rsidRPr="00FA0D37">
        <w:t>1&gt;</w:t>
      </w:r>
      <w:r w:rsidRPr="00FA0D37">
        <w:tab/>
      </w:r>
      <w:r w:rsidR="002A4990" w:rsidRPr="00FA0D37">
        <w:t>i</w:t>
      </w:r>
      <w:r w:rsidR="002A4990" w:rsidRPr="00FA0D37">
        <w:rPr>
          <w:lang w:eastAsia="zh-CN"/>
        </w:rPr>
        <w:t xml:space="preserve">f in RRC_IDLE, </w:t>
      </w:r>
      <w:r w:rsidRPr="00FA0D37">
        <w:t xml:space="preserve">for each </w:t>
      </w:r>
      <w:r w:rsidRPr="00FA0D37">
        <w:rPr>
          <w:i/>
        </w:rPr>
        <w:t xml:space="preserve">TMGI </w:t>
      </w:r>
      <w:r w:rsidRPr="00FA0D37">
        <w:t xml:space="preserve">included in </w:t>
      </w:r>
      <w:r w:rsidRPr="00FA0D37">
        <w:rPr>
          <w:i/>
        </w:rPr>
        <w:t>pagingGroupList</w:t>
      </w:r>
      <w:r w:rsidRPr="00FA0D37">
        <w:t xml:space="preserve">, if any, included in the </w:t>
      </w:r>
      <w:r w:rsidRPr="00FA0D37">
        <w:rPr>
          <w:i/>
        </w:rPr>
        <w:t>Paging</w:t>
      </w:r>
      <w:r w:rsidRPr="00FA0D37">
        <w:t xml:space="preserve"> message:</w:t>
      </w:r>
    </w:p>
    <w:p w14:paraId="68D3FDEB" w14:textId="77777777" w:rsidR="00214323" w:rsidRPr="00FA0D37" w:rsidRDefault="00214323" w:rsidP="00214323">
      <w:pPr>
        <w:pStyle w:val="B2"/>
      </w:pPr>
      <w:r w:rsidRPr="00FA0D37">
        <w:t>2&gt;</w:t>
      </w:r>
      <w:r w:rsidRPr="00FA0D37">
        <w:tab/>
        <w:t xml:space="preserve">if the UE has joined an MBS session indicated by the </w:t>
      </w:r>
      <w:r w:rsidRPr="00FA0D37">
        <w:rPr>
          <w:i/>
        </w:rPr>
        <w:t>TMGI</w:t>
      </w:r>
      <w:r w:rsidRPr="00FA0D37">
        <w:t xml:space="preserve"> included in the </w:t>
      </w:r>
      <w:r w:rsidRPr="00FA0D37">
        <w:rPr>
          <w:i/>
        </w:rPr>
        <w:t>pagingGroupList</w:t>
      </w:r>
      <w:r w:rsidRPr="00FA0D37">
        <w:t>:</w:t>
      </w:r>
    </w:p>
    <w:p w14:paraId="27C117CF" w14:textId="77777777" w:rsidR="00214323" w:rsidRPr="00FA0D37" w:rsidRDefault="00214323" w:rsidP="00214323">
      <w:pPr>
        <w:pStyle w:val="B3"/>
      </w:pPr>
      <w:r w:rsidRPr="00FA0D37">
        <w:t>3&gt;</w:t>
      </w:r>
      <w:r w:rsidRPr="00FA0D37">
        <w:tab/>
        <w:t xml:space="preserve">forward the </w:t>
      </w:r>
      <w:r w:rsidRPr="00FA0D37">
        <w:rPr>
          <w:i/>
        </w:rPr>
        <w:t>TMGI</w:t>
      </w:r>
      <w:r w:rsidRPr="00FA0D37">
        <w:t xml:space="preserve"> to the upper layers;</w:t>
      </w:r>
    </w:p>
    <w:p w14:paraId="35BB2835" w14:textId="6A7F5A93" w:rsidR="00214323" w:rsidRPr="00FA0D37" w:rsidRDefault="00214323" w:rsidP="00214323">
      <w:pPr>
        <w:pStyle w:val="B1"/>
      </w:pPr>
      <w:r w:rsidRPr="00FA0D37">
        <w:t>1&gt;</w:t>
      </w:r>
      <w:r w:rsidRPr="00FA0D37">
        <w:tab/>
        <w:t xml:space="preserve">if in RRC_INACTIVE and the UE has joined one or more MBS session(s) indicated by the </w:t>
      </w:r>
      <w:r w:rsidRPr="00FA0D37">
        <w:rPr>
          <w:i/>
        </w:rPr>
        <w:t>TMGI</w:t>
      </w:r>
      <w:r w:rsidR="002A4990" w:rsidRPr="00FA0D37">
        <w:rPr>
          <w:i/>
        </w:rPr>
        <w:t>(s)</w:t>
      </w:r>
      <w:r w:rsidRPr="00FA0D37">
        <w:t xml:space="preserve"> included in the </w:t>
      </w:r>
      <w:r w:rsidRPr="00FA0D37">
        <w:rPr>
          <w:i/>
        </w:rPr>
        <w:t>pagingGroupList</w:t>
      </w:r>
      <w:r w:rsidR="002A4990" w:rsidRPr="00FA0D37">
        <w:t>:</w:t>
      </w:r>
    </w:p>
    <w:p w14:paraId="4662A404" w14:textId="77777777" w:rsidR="00D50665" w:rsidRDefault="00D50665" w:rsidP="00D50665">
      <w:pPr>
        <w:pStyle w:val="B2"/>
        <w:rPr>
          <w:ins w:id="62" w:author="Huawei, HiSilicon" w:date="2023-11-02T14:40:00Z"/>
          <w:lang w:eastAsia="en-US"/>
        </w:rPr>
      </w:pPr>
      <w:ins w:id="63" w:author="Huawei, HiSilicon" w:date="2023-11-02T14:40:00Z">
        <w:r>
          <w:t>2&gt;</w:t>
        </w:r>
        <w:r>
          <w:tab/>
          <w:t xml:space="preserve">if the UE is not configured to receive multicast in RRC_INACTIVE or if </w:t>
        </w:r>
        <w:r>
          <w:rPr>
            <w:i/>
          </w:rPr>
          <w:t>inactiveReceptionAllowed</w:t>
        </w:r>
        <w:r>
          <w:t xml:space="preserve"> is not included for at least one of the </w:t>
        </w:r>
        <w:r>
          <w:rPr>
            <w:color w:val="000000" w:themeColor="text1"/>
          </w:rPr>
          <w:t xml:space="preserve">MBS session (s) indicated by the </w:t>
        </w:r>
        <w:r>
          <w:rPr>
            <w:i/>
            <w:color w:val="000000" w:themeColor="text1"/>
          </w:rPr>
          <w:t>TMGI(s)</w:t>
        </w:r>
        <w:r>
          <w:rPr>
            <w:color w:val="000000" w:themeColor="text1"/>
          </w:rPr>
          <w:t xml:space="preserve"> that the UE has joined</w:t>
        </w:r>
        <w:r>
          <w:t>:</w:t>
        </w:r>
      </w:ins>
    </w:p>
    <w:p w14:paraId="513AFBE7" w14:textId="77777777" w:rsidR="00D50665" w:rsidRDefault="00D50665" w:rsidP="00D50665">
      <w:pPr>
        <w:pStyle w:val="B3"/>
      </w:pPr>
      <w:del w:id="64" w:author="Huawei, HiSilicon" w:date="2023-11-02T14:40:00Z">
        <w:r>
          <w:delText>2</w:delText>
        </w:r>
      </w:del>
      <w:ins w:id="65" w:author="Huawei, HiSilicon" w:date="2023-11-02T14:40:00Z">
        <w:r>
          <w:t>3</w:t>
        </w:r>
      </w:ins>
      <w:r>
        <w:t>&gt;</w:t>
      </w:r>
      <w:r>
        <w:tab/>
        <w:t xml:space="preserve">if </w:t>
      </w:r>
      <w:r>
        <w:rPr>
          <w:i/>
        </w:rPr>
        <w:t>PagingRecordList</w:t>
      </w:r>
      <w:r>
        <w:t xml:space="preserve"> is not included in the </w:t>
      </w:r>
      <w:r>
        <w:rPr>
          <w:i/>
        </w:rPr>
        <w:t>Paging</w:t>
      </w:r>
      <w:r>
        <w:t xml:space="preserve"> message; or</w:t>
      </w:r>
    </w:p>
    <w:p w14:paraId="5EDEAD93" w14:textId="77777777" w:rsidR="00D50665" w:rsidRDefault="00D50665" w:rsidP="00D50665">
      <w:pPr>
        <w:pStyle w:val="B3"/>
      </w:pPr>
      <w:del w:id="66" w:author="Huawei, HiSilicon" w:date="2023-11-02T14:40:00Z">
        <w:r>
          <w:delText>2</w:delText>
        </w:r>
      </w:del>
      <w:ins w:id="67" w:author="Huawei, HiSilicon" w:date="2023-11-02T14:40:00Z">
        <w:r>
          <w:t>3</w:t>
        </w:r>
      </w:ins>
      <w:r>
        <w:t>&gt;</w:t>
      </w:r>
      <w:r>
        <w:tab/>
        <w:t>if none of the ue-Identity included in any of the PagingRecord matches the UE identity allocated by upper layers or the UE's stored fullI-RNTI:</w:t>
      </w:r>
    </w:p>
    <w:p w14:paraId="1FB5C662" w14:textId="77777777" w:rsidR="00D50665" w:rsidRDefault="00D50665" w:rsidP="00D50665">
      <w:pPr>
        <w:pStyle w:val="B4"/>
      </w:pPr>
      <w:del w:id="68" w:author="Huawei, HiSilicon" w:date="2023-11-02T14:40:00Z">
        <w:r>
          <w:lastRenderedPageBreak/>
          <w:delText>3</w:delText>
        </w:r>
      </w:del>
      <w:ins w:id="69" w:author="Huawei, HiSilicon" w:date="2023-11-02T14:40:00Z">
        <w:r>
          <w:t>4</w:t>
        </w:r>
      </w:ins>
      <w:r>
        <w:t>&gt;</w:t>
      </w:r>
      <w:r>
        <w:tab/>
        <w:t xml:space="preserve">initiate the RRC connection resumption procedure according to 5.3.13 with </w:t>
      </w:r>
      <w:r>
        <w:rPr>
          <w:i/>
        </w:rPr>
        <w:t xml:space="preserve">resumeCause </w:t>
      </w:r>
      <w:r>
        <w:t>set as below:</w:t>
      </w:r>
    </w:p>
    <w:p w14:paraId="1B88593F" w14:textId="77777777" w:rsidR="00D50665" w:rsidRDefault="00D50665" w:rsidP="00D50665">
      <w:pPr>
        <w:pStyle w:val="B5"/>
      </w:pPr>
      <w:del w:id="70" w:author="Huawei, HiSilicon" w:date="2023-11-02T14:40:00Z">
        <w:r>
          <w:delText>4</w:delText>
        </w:r>
      </w:del>
      <w:ins w:id="71" w:author="Huawei, HiSilicon" w:date="2023-11-02T14:40:00Z">
        <w:r>
          <w:t>5</w:t>
        </w:r>
      </w:ins>
      <w:r>
        <w:t>&gt;</w:t>
      </w:r>
      <w:r>
        <w:tab/>
        <w:t>if the UE is configured by upper layers with Access Identity 1:</w:t>
      </w:r>
    </w:p>
    <w:p w14:paraId="58D48FD7" w14:textId="77777777" w:rsidR="00D50665" w:rsidRDefault="00D50665" w:rsidP="00D50665">
      <w:pPr>
        <w:pStyle w:val="B6"/>
      </w:pPr>
      <w:del w:id="72" w:author="Huawei, HiSilicon" w:date="2023-11-02T14:40:00Z">
        <w:r>
          <w:delText>5</w:delText>
        </w:r>
      </w:del>
      <w:ins w:id="73" w:author="Huawei, HiSilicon" w:date="2023-11-02T14:40:00Z">
        <w:r>
          <w:t>6</w:t>
        </w:r>
      </w:ins>
      <w:r>
        <w:t>&gt;</w:t>
      </w:r>
      <w:r>
        <w:tab/>
        <w:t>resumeCause is set to mps-PriorityAccess;</w:t>
      </w:r>
    </w:p>
    <w:p w14:paraId="6D9F0FA8" w14:textId="77777777" w:rsidR="00D50665" w:rsidRDefault="00D50665" w:rsidP="00D50665">
      <w:pPr>
        <w:pStyle w:val="B5"/>
      </w:pPr>
      <w:del w:id="74" w:author="Huawei, HiSilicon" w:date="2023-11-02T14:40:00Z">
        <w:r>
          <w:delText>4</w:delText>
        </w:r>
      </w:del>
      <w:ins w:id="75" w:author="Huawei, HiSilicon" w:date="2023-11-02T14:40:00Z">
        <w:r>
          <w:t>5</w:t>
        </w:r>
      </w:ins>
      <w:r>
        <w:t>&gt;</w:t>
      </w:r>
      <w:r>
        <w:tab/>
        <w:t>else if the UE is configured by upper layers with Access Identity 2:</w:t>
      </w:r>
    </w:p>
    <w:p w14:paraId="0A289719" w14:textId="77777777" w:rsidR="00D50665" w:rsidRDefault="00D50665" w:rsidP="00D50665">
      <w:pPr>
        <w:pStyle w:val="B6"/>
      </w:pPr>
      <w:del w:id="76" w:author="Huawei, HiSilicon" w:date="2023-11-02T14:40:00Z">
        <w:r>
          <w:delText>5</w:delText>
        </w:r>
      </w:del>
      <w:ins w:id="77" w:author="Huawei, HiSilicon" w:date="2023-11-02T14:40:00Z">
        <w:r>
          <w:t>6</w:t>
        </w:r>
      </w:ins>
      <w:r>
        <w:t>&gt;</w:t>
      </w:r>
      <w:r>
        <w:tab/>
        <w:t>resumeCause is set to mcs-PriorityAccess;</w:t>
      </w:r>
    </w:p>
    <w:p w14:paraId="52393F52" w14:textId="77777777" w:rsidR="00D50665" w:rsidRDefault="00D50665" w:rsidP="00D50665">
      <w:pPr>
        <w:pStyle w:val="B5"/>
      </w:pPr>
      <w:del w:id="78" w:author="Huawei, HiSilicon" w:date="2023-11-02T14:40:00Z">
        <w:r>
          <w:delText>4</w:delText>
        </w:r>
      </w:del>
      <w:ins w:id="79" w:author="Huawei, HiSilicon" w:date="2023-11-02T14:40:00Z">
        <w:r>
          <w:t>5</w:t>
        </w:r>
      </w:ins>
      <w:r>
        <w:t>&gt;</w:t>
      </w:r>
      <w:r>
        <w:tab/>
        <w:t>else if the UE is configured by upper layers with one or more Access Identities equal to 11-15:</w:t>
      </w:r>
    </w:p>
    <w:p w14:paraId="793F1131" w14:textId="77777777" w:rsidR="00D50665" w:rsidRDefault="00D50665" w:rsidP="00D50665">
      <w:pPr>
        <w:pStyle w:val="B6"/>
      </w:pPr>
      <w:del w:id="80" w:author="Huawei, HiSilicon" w:date="2023-11-02T14:40:00Z">
        <w:r>
          <w:delText>5</w:delText>
        </w:r>
      </w:del>
      <w:ins w:id="81" w:author="Huawei, HiSilicon" w:date="2023-11-02T14:40:00Z">
        <w:r>
          <w:t>6</w:t>
        </w:r>
      </w:ins>
      <w:r>
        <w:t>&gt;</w:t>
      </w:r>
      <w:r>
        <w:tab/>
        <w:t>resumeCause is set to highPriorityAccess;</w:t>
      </w:r>
    </w:p>
    <w:p w14:paraId="03836DEE" w14:textId="77777777" w:rsidR="00D50665" w:rsidRDefault="00D50665" w:rsidP="00D50665">
      <w:pPr>
        <w:pStyle w:val="B5"/>
      </w:pPr>
      <w:del w:id="82" w:author="Huawei, HiSilicon" w:date="2023-11-02T14:40:00Z">
        <w:r>
          <w:delText>4</w:delText>
        </w:r>
      </w:del>
      <w:ins w:id="83" w:author="Huawei, HiSilicon" w:date="2023-11-02T14:40:00Z">
        <w:r>
          <w:t>5</w:t>
        </w:r>
      </w:ins>
      <w:r>
        <w:t>&gt;</w:t>
      </w:r>
      <w:r>
        <w:tab/>
        <w:t>else:</w:t>
      </w:r>
    </w:p>
    <w:p w14:paraId="641CF0F1" w14:textId="77777777" w:rsidR="00D50665" w:rsidRDefault="00D50665" w:rsidP="00D50665">
      <w:pPr>
        <w:pStyle w:val="B6"/>
      </w:pPr>
      <w:del w:id="84" w:author="Huawei, HiSilicon" w:date="2023-11-02T14:40:00Z">
        <w:r>
          <w:delText>5</w:delText>
        </w:r>
      </w:del>
      <w:ins w:id="85" w:author="Huawei, HiSilicon" w:date="2023-11-02T14:40:00Z">
        <w:r>
          <w:t>6</w:t>
        </w:r>
      </w:ins>
      <w:r>
        <w:t>&gt;</w:t>
      </w:r>
      <w:r>
        <w:tab/>
        <w:t>resumeCause is set to mt-Access;</w:t>
      </w:r>
    </w:p>
    <w:p w14:paraId="45543135" w14:textId="77777777" w:rsidR="00D50665" w:rsidRDefault="00D50665" w:rsidP="00D50665">
      <w:pPr>
        <w:pStyle w:val="B3"/>
        <w:rPr>
          <w:lang w:eastAsia="zh-CN"/>
        </w:rPr>
      </w:pPr>
      <w:del w:id="86" w:author="Huawei, HiSilicon" w:date="2023-11-02T14:40:00Z">
        <w:r>
          <w:delText>2</w:delText>
        </w:r>
      </w:del>
      <w:ins w:id="87" w:author="Huawei, HiSilicon" w:date="2023-11-02T14:40:00Z">
        <w:r>
          <w:t>3</w:t>
        </w:r>
      </w:ins>
      <w:r>
        <w:t>&gt;</w:t>
      </w:r>
      <w:r>
        <w:tab/>
      </w:r>
      <w:r>
        <w:rPr>
          <w:lang w:eastAsia="zh-CN"/>
        </w:rPr>
        <w:t xml:space="preserve">else </w:t>
      </w:r>
      <w:r>
        <w:t xml:space="preserve">if the </w:t>
      </w:r>
      <w:r>
        <w:rPr>
          <w:i/>
        </w:rPr>
        <w:t>ue-Identity</w:t>
      </w:r>
      <w:r>
        <w:t xml:space="preserve"> included in any of the </w:t>
      </w:r>
      <w:r>
        <w:rPr>
          <w:i/>
        </w:rPr>
        <w:t>PagingRecord</w:t>
      </w:r>
      <w:r>
        <w:t xml:space="preserve"> matches the UE identity allocated by upper layers</w:t>
      </w:r>
      <w:r>
        <w:rPr>
          <w:lang w:eastAsia="zh-CN"/>
        </w:rPr>
        <w:t>:</w:t>
      </w:r>
    </w:p>
    <w:p w14:paraId="49F0880F" w14:textId="77777777" w:rsidR="00D50665" w:rsidRDefault="00D50665" w:rsidP="00D50665">
      <w:pPr>
        <w:pStyle w:val="B4"/>
        <w:rPr>
          <w:lang w:eastAsia="en-US"/>
        </w:rPr>
      </w:pPr>
      <w:del w:id="88" w:author="Huawei, HiSilicon" w:date="2023-11-02T14:40:00Z">
        <w:r>
          <w:delText>3</w:delText>
        </w:r>
      </w:del>
      <w:ins w:id="89" w:author="Huawei, HiSilicon" w:date="2023-11-02T14:40:00Z">
        <w:r>
          <w:t>4</w:t>
        </w:r>
      </w:ins>
      <w:r>
        <w:t>&gt;</w:t>
      </w:r>
      <w:r>
        <w:tab/>
        <w:t>forward the TMGI(s) to the upper layers;</w:t>
      </w:r>
    </w:p>
    <w:p w14:paraId="2BA07E11" w14:textId="77777777" w:rsidR="00D50665" w:rsidRDefault="00D50665" w:rsidP="00D50665">
      <w:pPr>
        <w:pStyle w:val="B2"/>
        <w:rPr>
          <w:ins w:id="90" w:author="Huawei, HiSilicon" w:date="2023-11-02T14:40:00Z"/>
        </w:rPr>
      </w:pPr>
      <w:ins w:id="91" w:author="Huawei, HiSilicon" w:date="2023-11-02T14:40:00Z">
        <w:r>
          <w:rPr>
            <w:lang w:eastAsia="zh-CN"/>
          </w:rPr>
          <w:t>2&gt;</w:t>
        </w:r>
        <w:r>
          <w:rPr>
            <w:lang w:eastAsia="zh-CN"/>
          </w:rPr>
          <w:tab/>
          <w:t>else</w:t>
        </w:r>
        <w:r>
          <w:t>:</w:t>
        </w:r>
      </w:ins>
    </w:p>
    <w:p w14:paraId="47112B1E" w14:textId="77777777" w:rsidR="00D50665" w:rsidRDefault="00D50665" w:rsidP="00D50665">
      <w:pPr>
        <w:pStyle w:val="B3"/>
        <w:rPr>
          <w:ins w:id="92" w:author="Huawei, HiSilicon" w:date="2023-11-02T14:40:00Z"/>
          <w:lang w:val="en-US" w:eastAsia="zh-CN"/>
        </w:rPr>
      </w:pPr>
      <w:ins w:id="93" w:author="Huawei, HiSilicon" w:date="2023-11-02T14:40:00Z">
        <w:r>
          <w:t>3&gt;</w:t>
        </w:r>
        <w:r>
          <w:tab/>
        </w:r>
        <w:r>
          <w:rPr>
            <w:lang w:eastAsia="zh-CN"/>
          </w:rPr>
          <w:t xml:space="preserve">start monitoring the G-RNTI(s) corresponding to the </w:t>
        </w:r>
        <w:r>
          <w:rPr>
            <w:i/>
            <w:lang w:eastAsia="zh-CN"/>
          </w:rPr>
          <w:t>TMGI(s),</w:t>
        </w:r>
        <w:r>
          <w:rPr>
            <w:lang w:eastAsia="zh-CN"/>
          </w:rPr>
          <w:t xml:space="preserve"> if configured</w:t>
        </w:r>
        <w:r>
          <w:t>;</w:t>
        </w:r>
      </w:ins>
    </w:p>
    <w:p w14:paraId="78AFE8AC" w14:textId="77777777" w:rsidR="00D50665" w:rsidRDefault="00D50665" w:rsidP="00D50665">
      <w:pPr>
        <w:pStyle w:val="B3"/>
        <w:rPr>
          <w:ins w:id="94" w:author="Huawei, HiSilicon" w:date="2023-11-02T14:40:00Z"/>
          <w:lang w:eastAsia="zh-CN"/>
        </w:rPr>
      </w:pPr>
      <w:ins w:id="95" w:author="Huawei, HiSilicon" w:date="2023-11-02T14:40:00Z">
        <w:r>
          <w:rPr>
            <w:lang w:eastAsia="zh-CN"/>
          </w:rPr>
          <w:t xml:space="preserve">3&gt; if the UE was </w:t>
        </w:r>
        <w:r>
          <w:rPr>
            <w:noProof/>
          </w:rPr>
          <w:t>notified</w:t>
        </w:r>
        <w:r>
          <w:rPr>
            <w:lang w:eastAsia="zh-CN"/>
          </w:rPr>
          <w:t xml:space="preserve"> to </w:t>
        </w:r>
        <w:r>
          <w:rPr>
            <w:noProof/>
          </w:rPr>
          <w:t xml:space="preserve">stop monitoring the G-RNTI(s) for </w:t>
        </w:r>
        <w:r>
          <w:rPr>
            <w:lang w:eastAsia="zh-CN"/>
          </w:rPr>
          <w:t>all the joined multicast sessions</w:t>
        </w:r>
      </w:ins>
      <w:ins w:id="96" w:author="Huawei, HiSilicon" w:date="2023-12-01T16:23:00Z">
        <w:r>
          <w:rPr>
            <w:lang w:eastAsia="zh-CN"/>
          </w:rPr>
          <w:t xml:space="preserve"> </w:t>
        </w:r>
      </w:ins>
      <w:ins w:id="97" w:author="Huawei, HiSilicon" w:date="2023-12-01T16:24:00Z">
        <w:r>
          <w:rPr>
            <w:lang w:eastAsia="zh-CN"/>
          </w:rPr>
          <w:t xml:space="preserve">that are configured </w:t>
        </w:r>
      </w:ins>
      <w:ins w:id="98" w:author="Huawei, HiSilicon" w:date="2023-12-01T16:25:00Z">
        <w:r>
          <w:rPr>
            <w:lang w:eastAsia="zh-CN"/>
          </w:rPr>
          <w:t>for reception</w:t>
        </w:r>
      </w:ins>
      <w:ins w:id="99" w:author="Huawei, HiSilicon" w:date="2023-12-01T16:23:00Z">
        <w:r>
          <w:rPr>
            <w:lang w:eastAsia="zh-CN"/>
          </w:rPr>
          <w:t xml:space="preserve"> in RRC_INACTIVE</w:t>
        </w:r>
      </w:ins>
      <w:ins w:id="100" w:author="Huawei, HiSilicon" w:date="2023-11-02T14:40:00Z">
        <w:r>
          <w:rPr>
            <w:lang w:eastAsia="zh-CN"/>
          </w:rPr>
          <w:t>:</w:t>
        </w:r>
      </w:ins>
    </w:p>
    <w:p w14:paraId="0F7E1954" w14:textId="77777777" w:rsidR="00D50665" w:rsidRDefault="00D50665" w:rsidP="00D50665">
      <w:pPr>
        <w:pStyle w:val="B4"/>
        <w:rPr>
          <w:ins w:id="101" w:author="Huawei, HiSilicon" w:date="2023-11-02T14:40:00Z"/>
          <w:lang w:eastAsia="zh-CN"/>
        </w:rPr>
      </w:pPr>
      <w:ins w:id="102" w:author="Huawei, HiSilicon" w:date="2023-11-02T14:40:00Z">
        <w:r>
          <w:rPr>
            <w:lang w:eastAsia="zh-CN"/>
          </w:rPr>
          <w:t>4&gt;</w:t>
        </w:r>
        <w:r>
          <w:rPr>
            <w:lang w:eastAsia="zh-CN"/>
          </w:rPr>
          <w:tab/>
          <w:t xml:space="preserve">start monitoring the </w:t>
        </w:r>
      </w:ins>
      <w:ins w:id="103" w:author="Huawei, HiSilicon" w:date="2023-12-01T16:05:00Z">
        <w:r>
          <w:rPr>
            <w:lang w:eastAsia="zh-CN"/>
          </w:rPr>
          <w:t>M</w:t>
        </w:r>
      </w:ins>
      <w:ins w:id="104" w:author="Huawei, HiSilicon" w:date="2023-11-02T14:40:00Z">
        <w:r>
          <w:rPr>
            <w:lang w:eastAsia="zh-CN"/>
          </w:rPr>
          <w:t>ulticast</w:t>
        </w:r>
      </w:ins>
      <w:ins w:id="105" w:author="Huawei, HiSilicon" w:date="2023-12-01T16:06:00Z">
        <w:r>
          <w:rPr>
            <w:lang w:eastAsia="zh-CN"/>
          </w:rPr>
          <w:t xml:space="preserve"> </w:t>
        </w:r>
      </w:ins>
      <w:ins w:id="106" w:author="Huawei, HiSilicon" w:date="2023-11-02T14:40:00Z">
        <w:r>
          <w:rPr>
            <w:lang w:eastAsia="zh-CN"/>
          </w:rPr>
          <w:t>MCCH-RNTI;</w:t>
        </w:r>
      </w:ins>
    </w:p>
    <w:p w14:paraId="739E7551" w14:textId="77777777" w:rsidR="00D50665" w:rsidRDefault="00D50665" w:rsidP="00D50665">
      <w:pPr>
        <w:pStyle w:val="B4"/>
        <w:rPr>
          <w:ins w:id="107" w:author="Huawei, HiSilicon" w:date="2023-11-02T14:40:00Z"/>
          <w:lang w:eastAsia="zh-CN"/>
        </w:rPr>
      </w:pPr>
      <w:ins w:id="108" w:author="Huawei, HiSilicon" w:date="2023-11-02T14:40:00Z">
        <w:r>
          <w:rPr>
            <w:lang w:eastAsia="zh-CN"/>
          </w:rPr>
          <w:t>4&gt;</w:t>
        </w:r>
        <w:r>
          <w:rPr>
            <w:lang w:eastAsia="zh-CN"/>
          </w:rPr>
          <w:tab/>
          <w:t xml:space="preserve">acquire the </w:t>
        </w:r>
        <w:r>
          <w:rPr>
            <w:i/>
            <w:lang w:eastAsia="zh-CN"/>
          </w:rPr>
          <w:t>MBSMulticastConfiguration</w:t>
        </w:r>
        <w:r>
          <w:rPr>
            <w:lang w:eastAsia="zh-CN"/>
          </w:rPr>
          <w:t xml:space="preserve"> message on multicast MCCH</w:t>
        </w:r>
      </w:ins>
      <w:ins w:id="109" w:author="Huawei, HiSilicon" w:date="2023-12-01T15:03:00Z">
        <w:r>
          <w:rPr>
            <w:lang w:eastAsia="zh-CN"/>
          </w:rPr>
          <w:t>, if present</w:t>
        </w:r>
      </w:ins>
      <w:ins w:id="110" w:author="Huawei, HiSilicon" w:date="2023-11-02T14:40:00Z">
        <w:r>
          <w:rPr>
            <w:lang w:eastAsia="zh-CN"/>
          </w:rPr>
          <w:t>;</w:t>
        </w:r>
      </w:ins>
    </w:p>
    <w:p w14:paraId="2107A169" w14:textId="77777777" w:rsidR="00D50665" w:rsidRDefault="00D50665" w:rsidP="00D50665">
      <w:pPr>
        <w:pStyle w:val="B3"/>
        <w:rPr>
          <w:ins w:id="111" w:author="Huawei, HiSilicon" w:date="2023-11-02T14:40:00Z"/>
          <w:lang w:eastAsia="zh-CN"/>
        </w:rPr>
      </w:pPr>
      <w:ins w:id="112" w:author="Huawei, HiSilicon" w:date="2023-11-02T14:40:00Z">
        <w:r>
          <w:rPr>
            <w:lang w:eastAsia="zh-CN"/>
          </w:rPr>
          <w:t>3&gt;</w:t>
        </w:r>
        <w:r>
          <w:rPr>
            <w:lang w:eastAsia="zh-CN"/>
          </w:rPr>
          <w:tab/>
          <w:t xml:space="preserve">else if the UE was </w:t>
        </w:r>
        <w:r>
          <w:rPr>
            <w:noProof/>
          </w:rPr>
          <w:t>notified</w:t>
        </w:r>
        <w:r>
          <w:rPr>
            <w:lang w:eastAsia="zh-CN"/>
          </w:rPr>
          <w:t xml:space="preserve"> to </w:t>
        </w:r>
        <w:r>
          <w:rPr>
            <w:noProof/>
          </w:rPr>
          <w:t>stop monitoring the G-RNTI for</w:t>
        </w:r>
        <w:r>
          <w:rPr>
            <w:lang w:eastAsia="zh-CN"/>
          </w:rPr>
          <w:t xml:space="preserve"> at least one multicast session for which the PTM configuration was not included in </w:t>
        </w:r>
        <w:r>
          <w:rPr>
            <w:i/>
            <w:lang w:eastAsia="zh-CN"/>
          </w:rPr>
          <w:t>RRCRelease</w:t>
        </w:r>
        <w:r>
          <w:rPr>
            <w:lang w:eastAsia="zh-CN"/>
          </w:rPr>
          <w:t xml:space="preserve"> message:</w:t>
        </w:r>
      </w:ins>
    </w:p>
    <w:p w14:paraId="3CC7EBB9" w14:textId="77777777" w:rsidR="00D50665" w:rsidRDefault="00D50665" w:rsidP="00D50665">
      <w:pPr>
        <w:pStyle w:val="B4"/>
        <w:rPr>
          <w:ins w:id="113" w:author="Huawei, HiSilicon" w:date="2023-11-02T14:40:00Z"/>
          <w:lang w:eastAsia="zh-CN"/>
        </w:rPr>
      </w:pPr>
      <w:ins w:id="114" w:author="Huawei, HiSilicon" w:date="2023-11-02T14:40:00Z">
        <w:r>
          <w:rPr>
            <w:lang w:eastAsia="zh-CN"/>
          </w:rPr>
          <w:t>4&gt;</w:t>
        </w:r>
        <w:r>
          <w:rPr>
            <w:lang w:eastAsia="zh-CN"/>
          </w:rPr>
          <w:tab/>
          <w:t xml:space="preserve">acquire the </w:t>
        </w:r>
        <w:r>
          <w:rPr>
            <w:i/>
            <w:lang w:eastAsia="zh-CN"/>
          </w:rPr>
          <w:t>MBSMulticastConfiguration</w:t>
        </w:r>
        <w:r>
          <w:rPr>
            <w:lang w:eastAsia="zh-CN"/>
          </w:rPr>
          <w:t xml:space="preserve"> message on multicast MCCH;</w:t>
        </w:r>
      </w:ins>
    </w:p>
    <w:p w14:paraId="09064EAB" w14:textId="77777777" w:rsidR="007F533A" w:rsidRPr="00FA0D37" w:rsidRDefault="007F533A" w:rsidP="007F533A">
      <w:pPr>
        <w:pStyle w:val="B1"/>
      </w:pPr>
      <w:r w:rsidRPr="00FA0D37">
        <w:t>1&gt;</w:t>
      </w:r>
      <w:r w:rsidRPr="00FA0D37">
        <w:tab/>
        <w:t xml:space="preserve">if the UE is acting as a L2 U2N Relay UE, for each of the </w:t>
      </w:r>
      <w:r w:rsidRPr="00FA0D37">
        <w:rPr>
          <w:i/>
        </w:rPr>
        <w:t>PagingRecord</w:t>
      </w:r>
      <w:r w:rsidRPr="00FA0D37">
        <w:t xml:space="preserve">, if any, included in the </w:t>
      </w:r>
      <w:r w:rsidRPr="00FA0D37">
        <w:rPr>
          <w:i/>
        </w:rPr>
        <w:t>Paging</w:t>
      </w:r>
      <w:r w:rsidRPr="00FA0D37">
        <w:t xml:space="preserve"> message:</w:t>
      </w:r>
    </w:p>
    <w:p w14:paraId="5204AB9E" w14:textId="5B731D0B" w:rsidR="007F533A" w:rsidRPr="00FA0D37" w:rsidRDefault="007F533A" w:rsidP="007F533A">
      <w:pPr>
        <w:pStyle w:val="B2"/>
      </w:pPr>
      <w:r w:rsidRPr="00FA0D37">
        <w:t>2&gt;</w:t>
      </w:r>
      <w:r w:rsidRPr="00FA0D37">
        <w:tab/>
        <w:t xml:space="preserve">if the </w:t>
      </w:r>
      <w:r w:rsidRPr="00FA0D37">
        <w:rPr>
          <w:i/>
        </w:rPr>
        <w:t>ue-Identity</w:t>
      </w:r>
      <w:r w:rsidRPr="00FA0D37">
        <w:t xml:space="preserve"> included in the </w:t>
      </w:r>
      <w:r w:rsidRPr="00FA0D37">
        <w:rPr>
          <w:i/>
        </w:rPr>
        <w:t>PagingRecord</w:t>
      </w:r>
      <w:r w:rsidRPr="00FA0D37">
        <w:t xml:space="preserve"> in the </w:t>
      </w:r>
      <w:r w:rsidRPr="00FA0D37">
        <w:rPr>
          <w:i/>
        </w:rPr>
        <w:t>Paging</w:t>
      </w:r>
      <w:r w:rsidRPr="00FA0D37">
        <w:t xml:space="preserve"> message matches the UE identity in </w:t>
      </w:r>
      <w:r w:rsidRPr="00FA0D37">
        <w:rPr>
          <w:i/>
        </w:rPr>
        <w:t>sl-PagingIdentityRemoteUE</w:t>
      </w:r>
      <w:r w:rsidRPr="00FA0D37">
        <w:t xml:space="preserve"> included in</w:t>
      </w:r>
      <w:r w:rsidRPr="00FA0D37">
        <w:rPr>
          <w:i/>
        </w:rPr>
        <w:t xml:space="preserve"> sl-PagingInfo-RemoteUE</w:t>
      </w:r>
      <w:r w:rsidR="001E5272" w:rsidRPr="00FA0D37">
        <w:t xml:space="preserve"> received in </w:t>
      </w:r>
      <w:r w:rsidR="001E5272" w:rsidRPr="00FA0D37">
        <w:rPr>
          <w:i/>
        </w:rPr>
        <w:t>RemoteUEInformationSidelink</w:t>
      </w:r>
      <w:r w:rsidR="001E5272" w:rsidRPr="00FA0D37">
        <w:t xml:space="preserve"> message from a L2 U2N Remote UE</w:t>
      </w:r>
      <w:r w:rsidRPr="00FA0D37">
        <w:t>:</w:t>
      </w:r>
    </w:p>
    <w:p w14:paraId="1838C0C4" w14:textId="0ED046AA" w:rsidR="007F533A" w:rsidRPr="00FA0D37" w:rsidRDefault="007F533A" w:rsidP="007F533A">
      <w:pPr>
        <w:pStyle w:val="B3"/>
        <w:rPr>
          <w:rFonts w:eastAsia="MS Mincho"/>
        </w:rPr>
      </w:pPr>
      <w:r w:rsidRPr="00FA0D37">
        <w:t>3&gt;</w:t>
      </w:r>
      <w:r w:rsidRPr="00FA0D37">
        <w:tab/>
        <w:t xml:space="preserve">inititate the Uu Message transfer in sidelink </w:t>
      </w:r>
      <w:r w:rsidR="001E5272" w:rsidRPr="00FA0D37">
        <w:t xml:space="preserve">to that UE </w:t>
      </w:r>
      <w:r w:rsidRPr="00FA0D37">
        <w:t>as specified in 5.8.9.9;</w:t>
      </w:r>
    </w:p>
    <w:p w14:paraId="235A9A2E" w14:textId="4762129F" w:rsidR="00D963DB" w:rsidRPr="00D963DB" w:rsidRDefault="00D963DB" w:rsidP="00D963DB">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bookmarkStart w:id="115" w:name="_Toc60776813"/>
      <w:bookmarkStart w:id="116" w:name="_Toc146780787"/>
      <w:bookmarkEnd w:id="61"/>
      <w:r>
        <w:rPr>
          <w:rFonts w:eastAsia="Malgun Gothic"/>
          <w:i/>
        </w:rPr>
        <w:t>Next Change</w:t>
      </w:r>
    </w:p>
    <w:p w14:paraId="63C59C5C" w14:textId="3CAF1237" w:rsidR="00394471" w:rsidRPr="00FA0D37" w:rsidRDefault="00394471" w:rsidP="00394471">
      <w:pPr>
        <w:pStyle w:val="3"/>
        <w:rPr>
          <w:rFonts w:eastAsia="MS Mincho"/>
        </w:rPr>
      </w:pPr>
      <w:r w:rsidRPr="00FA0D37">
        <w:rPr>
          <w:rFonts w:eastAsia="MS Mincho"/>
        </w:rPr>
        <w:t>5.3.8</w:t>
      </w:r>
      <w:r w:rsidRPr="00FA0D37">
        <w:rPr>
          <w:rFonts w:eastAsia="MS Mincho"/>
        </w:rPr>
        <w:tab/>
        <w:t>RRC connection release</w:t>
      </w:r>
      <w:bookmarkEnd w:id="115"/>
      <w:bookmarkEnd w:id="116"/>
    </w:p>
    <w:p w14:paraId="6DDD469F" w14:textId="77777777" w:rsidR="00394471" w:rsidRPr="00FA0D37" w:rsidRDefault="00394471" w:rsidP="00394471">
      <w:pPr>
        <w:pStyle w:val="4"/>
      </w:pPr>
      <w:bookmarkStart w:id="117" w:name="_Toc60776816"/>
      <w:bookmarkStart w:id="118" w:name="_Toc146780790"/>
      <w:r w:rsidRPr="00FA0D37">
        <w:t>5.3.8.3</w:t>
      </w:r>
      <w:r w:rsidRPr="00FA0D37">
        <w:tab/>
        <w:t xml:space="preserve">Reception of the </w:t>
      </w:r>
      <w:r w:rsidRPr="00FA0D37">
        <w:rPr>
          <w:i/>
        </w:rPr>
        <w:t>RRCRelease</w:t>
      </w:r>
      <w:r w:rsidRPr="00FA0D37">
        <w:t xml:space="preserve"> by the UE</w:t>
      </w:r>
      <w:bookmarkEnd w:id="117"/>
      <w:bookmarkEnd w:id="118"/>
    </w:p>
    <w:p w14:paraId="5CEB3500" w14:textId="77777777" w:rsidR="00394471" w:rsidRPr="00FA0D37" w:rsidRDefault="00394471" w:rsidP="00394471">
      <w:r w:rsidRPr="00FA0D37">
        <w:t>The UE shall:</w:t>
      </w:r>
    </w:p>
    <w:p w14:paraId="465D28ED" w14:textId="6C17B480" w:rsidR="00394471" w:rsidRPr="00FA0D37" w:rsidRDefault="00394471" w:rsidP="00394471">
      <w:pPr>
        <w:pStyle w:val="B1"/>
        <w:rPr>
          <w:lang w:eastAsia="zh-CN"/>
        </w:rPr>
      </w:pPr>
      <w:r w:rsidRPr="00FA0D37">
        <w:t>1&gt;</w:t>
      </w:r>
      <w:r w:rsidRPr="00FA0D37">
        <w:tab/>
        <w:t xml:space="preserve">delay the following actions defined in this </w:t>
      </w:r>
      <w:r w:rsidR="009C7196" w:rsidRPr="00FA0D37">
        <w:t>clause</w:t>
      </w:r>
      <w:r w:rsidRPr="00FA0D37">
        <w:t xml:space="preserve"> 60 ms from the moment the </w:t>
      </w:r>
      <w:r w:rsidRPr="00FA0D37">
        <w:rPr>
          <w:i/>
        </w:rPr>
        <w:t>RRCRelease</w:t>
      </w:r>
      <w:r w:rsidRPr="00FA0D37">
        <w:t xml:space="preserve"> message was received or optionally when lower layers indicate that the receipt of the </w:t>
      </w:r>
      <w:r w:rsidRPr="00FA0D37">
        <w:rPr>
          <w:i/>
        </w:rPr>
        <w:t>RRCRelease</w:t>
      </w:r>
      <w:r w:rsidRPr="00FA0D37">
        <w:t xml:space="preserve"> message has been successfully acknowledged, whichever is earlier;</w:t>
      </w:r>
    </w:p>
    <w:p w14:paraId="7EF7E376" w14:textId="77777777" w:rsidR="00394471" w:rsidRPr="00FA0D37" w:rsidRDefault="00394471" w:rsidP="00394471">
      <w:pPr>
        <w:pStyle w:val="B1"/>
      </w:pPr>
      <w:r w:rsidRPr="00FA0D37">
        <w:rPr>
          <w:lang w:eastAsia="zh-CN"/>
        </w:rPr>
        <w:t>1&gt;</w:t>
      </w:r>
      <w:r w:rsidRPr="00FA0D37">
        <w:rPr>
          <w:lang w:eastAsia="zh-CN"/>
        </w:rPr>
        <w:tab/>
      </w:r>
      <w:r w:rsidRPr="00FA0D37">
        <w:t>stop timer T380, if running;</w:t>
      </w:r>
    </w:p>
    <w:p w14:paraId="06DE1E22" w14:textId="77777777" w:rsidR="00394471" w:rsidRPr="00FA0D37" w:rsidRDefault="00394471" w:rsidP="00394471">
      <w:pPr>
        <w:pStyle w:val="B1"/>
      </w:pPr>
      <w:r w:rsidRPr="00FA0D37">
        <w:t>1&gt;</w:t>
      </w:r>
      <w:r w:rsidRPr="00FA0D37">
        <w:tab/>
        <w:t>stop timer T320, if running;</w:t>
      </w:r>
    </w:p>
    <w:p w14:paraId="12369FFF" w14:textId="77777777" w:rsidR="00394471" w:rsidRPr="00FA0D37" w:rsidRDefault="00394471" w:rsidP="00394471">
      <w:pPr>
        <w:pStyle w:val="B1"/>
      </w:pPr>
      <w:r w:rsidRPr="00FA0D37">
        <w:t>1&gt;</w:t>
      </w:r>
      <w:r w:rsidRPr="00FA0D37">
        <w:tab/>
        <w:t>if timer T316 is running;</w:t>
      </w:r>
    </w:p>
    <w:p w14:paraId="54A4C277" w14:textId="77777777" w:rsidR="00394471" w:rsidRPr="00FA0D37" w:rsidRDefault="00394471" w:rsidP="00394471">
      <w:pPr>
        <w:pStyle w:val="B2"/>
      </w:pPr>
      <w:r w:rsidRPr="00FA0D37">
        <w:lastRenderedPageBreak/>
        <w:t>2&gt;</w:t>
      </w:r>
      <w:r w:rsidRPr="00FA0D37">
        <w:tab/>
        <w:t>stop timer T316;</w:t>
      </w:r>
    </w:p>
    <w:p w14:paraId="4FC53E59" w14:textId="77777777" w:rsidR="00394471" w:rsidRPr="00FA0D37" w:rsidRDefault="00394471" w:rsidP="00394471">
      <w:pPr>
        <w:pStyle w:val="B2"/>
      </w:pPr>
      <w:r w:rsidRPr="00FA0D37">
        <w:t>2&gt;</w:t>
      </w:r>
      <w:r w:rsidRPr="00FA0D37">
        <w:tab/>
        <w:t xml:space="preserve">clear the information included in </w:t>
      </w:r>
      <w:r w:rsidRPr="00FA0D37">
        <w:rPr>
          <w:i/>
        </w:rPr>
        <w:t xml:space="preserve">VarRLF-Report, </w:t>
      </w:r>
      <w:r w:rsidRPr="00FA0D37">
        <w:rPr>
          <w:rFonts w:eastAsia="宋体"/>
        </w:rPr>
        <w:t>if any</w:t>
      </w:r>
      <w:r w:rsidRPr="00FA0D37">
        <w:t>;</w:t>
      </w:r>
    </w:p>
    <w:p w14:paraId="5CF5C47B" w14:textId="77777777" w:rsidR="00394471" w:rsidRPr="00FA0D37" w:rsidRDefault="00394471" w:rsidP="00394471">
      <w:pPr>
        <w:pStyle w:val="B1"/>
      </w:pPr>
      <w:r w:rsidRPr="00FA0D37">
        <w:t>1&gt;</w:t>
      </w:r>
      <w:r w:rsidRPr="00FA0D37">
        <w:tab/>
        <w:t>stop timer T350, if running;</w:t>
      </w:r>
    </w:p>
    <w:p w14:paraId="37FDA97E" w14:textId="6E08A0F5" w:rsidR="00100C97" w:rsidRPr="00FA0D37" w:rsidRDefault="00100C97" w:rsidP="00100C97">
      <w:pPr>
        <w:pStyle w:val="B1"/>
      </w:pPr>
      <w:r w:rsidRPr="00FA0D37">
        <w:t>1&gt;</w:t>
      </w:r>
      <w:r w:rsidRPr="00FA0D37">
        <w:tab/>
        <w:t xml:space="preserve">stop timer </w:t>
      </w:r>
      <w:r w:rsidR="00881009" w:rsidRPr="00FA0D37">
        <w:t>T346g</w:t>
      </w:r>
      <w:r w:rsidRPr="00FA0D37">
        <w:t>, if running;</w:t>
      </w:r>
    </w:p>
    <w:p w14:paraId="5B7F8EF4" w14:textId="77777777" w:rsidR="00394471" w:rsidRPr="00FA0D37" w:rsidRDefault="00394471" w:rsidP="00394471">
      <w:pPr>
        <w:pStyle w:val="B1"/>
      </w:pPr>
      <w:r w:rsidRPr="00FA0D37">
        <w:t>1&gt;</w:t>
      </w:r>
      <w:r w:rsidRPr="00FA0D37">
        <w:tab/>
        <w:t>if the</w:t>
      </w:r>
      <w:r w:rsidRPr="00FA0D37">
        <w:rPr>
          <w:i/>
        </w:rPr>
        <w:t xml:space="preserve"> </w:t>
      </w:r>
      <w:r w:rsidRPr="00FA0D37">
        <w:t>AS security is not activated:</w:t>
      </w:r>
    </w:p>
    <w:p w14:paraId="479C128A" w14:textId="77777777" w:rsidR="00394471" w:rsidRPr="00FA0D37" w:rsidRDefault="00394471" w:rsidP="00394471">
      <w:pPr>
        <w:pStyle w:val="B2"/>
      </w:pPr>
      <w:r w:rsidRPr="00FA0D37">
        <w:t>2&gt;</w:t>
      </w:r>
      <w:r w:rsidRPr="00FA0D37">
        <w:tab/>
        <w:t xml:space="preserve">ignore any field included in </w:t>
      </w:r>
      <w:r w:rsidRPr="00FA0D37">
        <w:rPr>
          <w:i/>
        </w:rPr>
        <w:t xml:space="preserve">RRCRelease </w:t>
      </w:r>
      <w:r w:rsidRPr="00FA0D37">
        <w:t xml:space="preserve">message except </w:t>
      </w:r>
      <w:r w:rsidRPr="00FA0D37">
        <w:rPr>
          <w:i/>
        </w:rPr>
        <w:t>waitTime</w:t>
      </w:r>
      <w:r w:rsidRPr="00FA0D37">
        <w:t>;</w:t>
      </w:r>
    </w:p>
    <w:p w14:paraId="49800130" w14:textId="77777777" w:rsidR="00394471" w:rsidRPr="00FA0D37" w:rsidRDefault="00394471" w:rsidP="00394471">
      <w:pPr>
        <w:pStyle w:val="B2"/>
      </w:pPr>
      <w:r w:rsidRPr="00FA0D37">
        <w:t>2&gt;</w:t>
      </w:r>
      <w:r w:rsidRPr="00FA0D37">
        <w:tab/>
        <w:t>perform the actions upon going to RRC_IDLE as specified in 5.3.11 with the release cause 'other' upon which the procedure ends;</w:t>
      </w:r>
    </w:p>
    <w:p w14:paraId="4EBA6C19" w14:textId="77777777" w:rsidR="00394471" w:rsidRPr="00FA0D37" w:rsidRDefault="00394471" w:rsidP="00394471">
      <w:pPr>
        <w:pStyle w:val="B1"/>
      </w:pPr>
      <w:r w:rsidRPr="00FA0D37">
        <w:t>1&gt;</w:t>
      </w:r>
      <w:r w:rsidRPr="00FA0D37">
        <w:tab/>
        <w:t xml:space="preserve">if the </w:t>
      </w:r>
      <w:r w:rsidRPr="00FA0D37">
        <w:rPr>
          <w:i/>
        </w:rPr>
        <w:t>RRCRelease</w:t>
      </w:r>
      <w:r w:rsidRPr="00FA0D37">
        <w:t xml:space="preserve"> message includes </w:t>
      </w:r>
      <w:r w:rsidRPr="00FA0D37">
        <w:rPr>
          <w:i/>
        </w:rPr>
        <w:t>redirectedCarrierInfo</w:t>
      </w:r>
      <w:r w:rsidRPr="00FA0D37">
        <w:t xml:space="preserve"> indicating redirection to </w:t>
      </w:r>
      <w:r w:rsidRPr="00FA0D37">
        <w:rPr>
          <w:i/>
        </w:rPr>
        <w:t>eutra</w:t>
      </w:r>
      <w:r w:rsidRPr="00FA0D37">
        <w:t>:</w:t>
      </w:r>
    </w:p>
    <w:p w14:paraId="60D1D6DE" w14:textId="77777777" w:rsidR="00394471" w:rsidRPr="00FA0D37" w:rsidRDefault="00394471" w:rsidP="00394471">
      <w:pPr>
        <w:pStyle w:val="B2"/>
      </w:pPr>
      <w:r w:rsidRPr="00FA0D37">
        <w:t>2&gt;</w:t>
      </w:r>
      <w:r w:rsidRPr="00FA0D37">
        <w:tab/>
        <w:t xml:space="preserve">if </w:t>
      </w:r>
      <w:r w:rsidRPr="00FA0D37">
        <w:rPr>
          <w:i/>
        </w:rPr>
        <w:t>cnType</w:t>
      </w:r>
      <w:r w:rsidRPr="00FA0D37">
        <w:t xml:space="preserve"> is included:</w:t>
      </w:r>
    </w:p>
    <w:p w14:paraId="6D2CF00B" w14:textId="77777777" w:rsidR="00394471" w:rsidRPr="00FA0D37" w:rsidRDefault="00394471" w:rsidP="00394471">
      <w:pPr>
        <w:pStyle w:val="B3"/>
      </w:pPr>
      <w:r w:rsidRPr="00FA0D37">
        <w:t>3&gt;</w:t>
      </w:r>
      <w:r w:rsidRPr="00FA0D37">
        <w:tab/>
        <w:t xml:space="preserve">after the cell selection, indicate the available CN Type(s) and the received </w:t>
      </w:r>
      <w:r w:rsidRPr="00FA0D37">
        <w:rPr>
          <w:i/>
        </w:rPr>
        <w:t>cnType</w:t>
      </w:r>
      <w:r w:rsidRPr="00FA0D37">
        <w:t xml:space="preserve"> to upper layers;</w:t>
      </w:r>
    </w:p>
    <w:p w14:paraId="7001B753" w14:textId="77777777" w:rsidR="00394471" w:rsidRPr="00FA0D37" w:rsidRDefault="00394471" w:rsidP="00394471">
      <w:pPr>
        <w:pStyle w:val="NO"/>
      </w:pPr>
      <w:r w:rsidRPr="00FA0D37">
        <w:t>NOTE 1:</w:t>
      </w:r>
      <w:r w:rsidRPr="00FA0D37">
        <w:tab/>
        <w:t xml:space="preserve">Handling the case if the E-UTRA cell selected after the redirection does not support the core network type specified by the </w:t>
      </w:r>
      <w:r w:rsidRPr="00FA0D37">
        <w:rPr>
          <w:i/>
        </w:rPr>
        <w:t>cnType,</w:t>
      </w:r>
      <w:r w:rsidRPr="00FA0D37">
        <w:t xml:space="preserve"> is up to UE implementation.</w:t>
      </w:r>
    </w:p>
    <w:p w14:paraId="0CE2E98F" w14:textId="77777777" w:rsidR="00394471" w:rsidRPr="00FA0D37" w:rsidRDefault="00394471" w:rsidP="00394471">
      <w:pPr>
        <w:pStyle w:val="B2"/>
      </w:pPr>
      <w:r w:rsidRPr="00FA0D37">
        <w:t>2&gt;</w:t>
      </w:r>
      <w:r w:rsidRPr="00FA0D37">
        <w:tab/>
        <w:t xml:space="preserve">if </w:t>
      </w:r>
      <w:r w:rsidRPr="00FA0D37">
        <w:rPr>
          <w:i/>
        </w:rPr>
        <w:t>voiceFallbackIndication</w:t>
      </w:r>
      <w:r w:rsidRPr="00FA0D37">
        <w:t xml:space="preserve"> is included:</w:t>
      </w:r>
    </w:p>
    <w:p w14:paraId="7826D6E8" w14:textId="77777777" w:rsidR="00394471" w:rsidRPr="00FA0D37" w:rsidRDefault="00394471" w:rsidP="00394471">
      <w:pPr>
        <w:pStyle w:val="B3"/>
      </w:pPr>
      <w:r w:rsidRPr="00FA0D37">
        <w:rPr>
          <w:lang w:eastAsia="x-none"/>
        </w:rPr>
        <w:t>3&gt;</w:t>
      </w:r>
      <w:r w:rsidRPr="00FA0D37">
        <w:rPr>
          <w:lang w:eastAsia="x-none"/>
        </w:rPr>
        <w:tab/>
        <w:t>consider the RRC connection release was for EPS fallback for IMS voice (see TS 23.502 [</w:t>
      </w:r>
      <w:r w:rsidRPr="00FA0D37">
        <w:t>43</w:t>
      </w:r>
      <w:r w:rsidRPr="00FA0D37">
        <w:rPr>
          <w:lang w:eastAsia="x-none"/>
        </w:rPr>
        <w:t>]);</w:t>
      </w:r>
    </w:p>
    <w:p w14:paraId="050F78D2" w14:textId="307B9088" w:rsidR="00394471" w:rsidRPr="00FA0D37" w:rsidRDefault="00394471" w:rsidP="00394471">
      <w:pPr>
        <w:pStyle w:val="B1"/>
      </w:pPr>
      <w:r w:rsidRPr="00FA0D37">
        <w:t>1&gt;</w:t>
      </w:r>
      <w:r w:rsidRPr="00FA0D37">
        <w:tab/>
        <w:t xml:space="preserve">if the </w:t>
      </w:r>
      <w:r w:rsidRPr="00FA0D37">
        <w:rPr>
          <w:i/>
        </w:rPr>
        <w:t>RRCRelease</w:t>
      </w:r>
      <w:r w:rsidRPr="00FA0D37">
        <w:t xml:space="preserve"> message includes the </w:t>
      </w:r>
      <w:r w:rsidRPr="00FA0D37">
        <w:rPr>
          <w:i/>
        </w:rPr>
        <w:t>cellReselectionPriorities</w:t>
      </w:r>
      <w:r w:rsidRPr="00FA0D37">
        <w:t>:</w:t>
      </w:r>
    </w:p>
    <w:p w14:paraId="3D9AD18D" w14:textId="1EEF0187" w:rsidR="00394471" w:rsidRPr="00FA0D37" w:rsidRDefault="00394471" w:rsidP="00394471">
      <w:pPr>
        <w:pStyle w:val="B2"/>
      </w:pPr>
      <w:r w:rsidRPr="00FA0D37">
        <w:t>2&gt;</w:t>
      </w:r>
      <w:r w:rsidRPr="00FA0D37">
        <w:tab/>
        <w:t xml:space="preserve">store the cell reselection priority information provided by the </w:t>
      </w:r>
      <w:r w:rsidRPr="00FA0D37">
        <w:rPr>
          <w:i/>
        </w:rPr>
        <w:t>cellReselectionPriorities</w:t>
      </w:r>
      <w:r w:rsidRPr="00FA0D37">
        <w:t>;</w:t>
      </w:r>
    </w:p>
    <w:p w14:paraId="7765F013" w14:textId="77777777" w:rsidR="00394471" w:rsidRPr="00FA0D37" w:rsidRDefault="00394471" w:rsidP="00394471">
      <w:pPr>
        <w:pStyle w:val="B2"/>
      </w:pPr>
      <w:r w:rsidRPr="00FA0D37">
        <w:t>2&gt;</w:t>
      </w:r>
      <w:r w:rsidRPr="00FA0D37">
        <w:tab/>
        <w:t xml:space="preserve">if the </w:t>
      </w:r>
      <w:r w:rsidRPr="00FA0D37">
        <w:rPr>
          <w:i/>
        </w:rPr>
        <w:t>t320</w:t>
      </w:r>
      <w:r w:rsidRPr="00FA0D37">
        <w:t xml:space="preserve"> is included:</w:t>
      </w:r>
    </w:p>
    <w:p w14:paraId="1CB811A6" w14:textId="77777777" w:rsidR="00394471" w:rsidRPr="00FA0D37" w:rsidRDefault="00394471" w:rsidP="00394471">
      <w:pPr>
        <w:pStyle w:val="B3"/>
      </w:pPr>
      <w:r w:rsidRPr="00FA0D37">
        <w:t>3&gt;</w:t>
      </w:r>
      <w:r w:rsidRPr="00FA0D37">
        <w:tab/>
        <w:t xml:space="preserve">start timer T320, with the timer value set according to the value of </w:t>
      </w:r>
      <w:r w:rsidRPr="00FA0D37">
        <w:rPr>
          <w:i/>
        </w:rPr>
        <w:t>t320</w:t>
      </w:r>
      <w:r w:rsidRPr="00FA0D37">
        <w:t>;</w:t>
      </w:r>
    </w:p>
    <w:p w14:paraId="5C89D3D0" w14:textId="77777777" w:rsidR="00394471" w:rsidRPr="00FA0D37" w:rsidRDefault="00394471" w:rsidP="00394471">
      <w:pPr>
        <w:pStyle w:val="B1"/>
      </w:pPr>
      <w:r w:rsidRPr="00FA0D37">
        <w:t>1&gt;</w:t>
      </w:r>
      <w:r w:rsidRPr="00FA0D37">
        <w:tab/>
        <w:t>else:</w:t>
      </w:r>
    </w:p>
    <w:p w14:paraId="2E8FA97B" w14:textId="77777777" w:rsidR="00394471" w:rsidRPr="00FA0D37" w:rsidRDefault="00394471" w:rsidP="00394471">
      <w:pPr>
        <w:pStyle w:val="B2"/>
      </w:pPr>
      <w:r w:rsidRPr="00FA0D37">
        <w:t>2&gt;</w:t>
      </w:r>
      <w:r w:rsidRPr="00FA0D37">
        <w:tab/>
        <w:t>apply the cell reselection priority information broadcast in the system information;</w:t>
      </w:r>
    </w:p>
    <w:p w14:paraId="5865A222" w14:textId="77777777" w:rsidR="00394471" w:rsidRPr="00FA0D37" w:rsidRDefault="00394471" w:rsidP="00394471">
      <w:pPr>
        <w:pStyle w:val="B1"/>
      </w:pPr>
      <w:r w:rsidRPr="00FA0D37">
        <w:t>1&gt;</w:t>
      </w:r>
      <w:r w:rsidRPr="00FA0D37">
        <w:tab/>
        <w:t xml:space="preserve">if </w:t>
      </w:r>
      <w:r w:rsidRPr="00FA0D37">
        <w:rPr>
          <w:i/>
          <w:iCs/>
        </w:rPr>
        <w:t>deprioritisationReq</w:t>
      </w:r>
      <w:r w:rsidRPr="00FA0D37">
        <w:t xml:space="preserve"> is included</w:t>
      </w:r>
      <w:r w:rsidRPr="00FA0D37">
        <w:rPr>
          <w:lang w:eastAsia="x-none"/>
        </w:rPr>
        <w:t xml:space="preserve"> and the UE supports RRC connection release with deprioritisation</w:t>
      </w:r>
      <w:r w:rsidRPr="00FA0D37">
        <w:t>:</w:t>
      </w:r>
    </w:p>
    <w:p w14:paraId="4E09D302" w14:textId="77777777" w:rsidR="00394471" w:rsidRPr="00FA0D37" w:rsidRDefault="00394471" w:rsidP="00394471">
      <w:pPr>
        <w:pStyle w:val="B2"/>
      </w:pPr>
      <w:r w:rsidRPr="00FA0D37">
        <w:t>2&gt;</w:t>
      </w:r>
      <w:r w:rsidRPr="00FA0D37">
        <w:tab/>
        <w:t xml:space="preserve">start or restart timer T325 with the timer value set to the </w:t>
      </w:r>
      <w:r w:rsidRPr="00FA0D37">
        <w:rPr>
          <w:i/>
          <w:iCs/>
        </w:rPr>
        <w:t>deprioritisationTimer</w:t>
      </w:r>
      <w:r w:rsidRPr="00FA0D37">
        <w:t xml:space="preserve"> signalled;</w:t>
      </w:r>
    </w:p>
    <w:p w14:paraId="69F0D9B4" w14:textId="77777777" w:rsidR="00394471" w:rsidRPr="00FA0D37" w:rsidRDefault="00394471" w:rsidP="00394471">
      <w:pPr>
        <w:pStyle w:val="B2"/>
      </w:pPr>
      <w:r w:rsidRPr="00FA0D37">
        <w:t>2&gt;</w:t>
      </w:r>
      <w:r w:rsidRPr="00FA0D37">
        <w:tab/>
        <w:t>store the</w:t>
      </w:r>
      <w:r w:rsidRPr="00FA0D37">
        <w:rPr>
          <w:i/>
          <w:iCs/>
        </w:rPr>
        <w:t xml:space="preserve"> deprioritisationReq</w:t>
      </w:r>
      <w:r w:rsidRPr="00FA0D37">
        <w:t xml:space="preserve"> until T325 expiry;</w:t>
      </w:r>
    </w:p>
    <w:p w14:paraId="57935619" w14:textId="120A3521" w:rsidR="00F13698" w:rsidRPr="00FA0D37" w:rsidRDefault="00F13698" w:rsidP="00F13698">
      <w:pPr>
        <w:pStyle w:val="NO"/>
      </w:pPr>
      <w:r w:rsidRPr="00FA0D37">
        <w:t>NOTE 1a:</w:t>
      </w:r>
      <w:r w:rsidRPr="00FA0D37">
        <w:tab/>
        <w:t>The UE stores the deprioritisation request irrespective of any cell reselection absolute priority assignments (by dedicated or common signalling) and regardless of RRC connections in NR or other RATs unless specified otherwise.</w:t>
      </w:r>
    </w:p>
    <w:p w14:paraId="57DCB065" w14:textId="77777777" w:rsidR="00394471" w:rsidRPr="00FA0D37" w:rsidRDefault="00394471" w:rsidP="00394471">
      <w:pPr>
        <w:pStyle w:val="B1"/>
      </w:pPr>
      <w:r w:rsidRPr="00FA0D37">
        <w:t>1&gt;</w:t>
      </w:r>
      <w:r w:rsidRPr="00FA0D37">
        <w:tab/>
        <w:t xml:space="preserve">if the </w:t>
      </w:r>
      <w:r w:rsidRPr="00FA0D37">
        <w:rPr>
          <w:i/>
          <w:iCs/>
        </w:rPr>
        <w:t>RRCRelease</w:t>
      </w:r>
      <w:r w:rsidRPr="00FA0D37">
        <w:t xml:space="preserve"> includes the </w:t>
      </w:r>
      <w:r w:rsidRPr="00FA0D37">
        <w:rPr>
          <w:i/>
          <w:iCs/>
        </w:rPr>
        <w:t>measIdleConfig</w:t>
      </w:r>
      <w:r w:rsidRPr="00FA0D37">
        <w:t>:</w:t>
      </w:r>
    </w:p>
    <w:p w14:paraId="48680302" w14:textId="77777777" w:rsidR="00394471" w:rsidRPr="00FA0D37" w:rsidRDefault="00394471" w:rsidP="00394471">
      <w:pPr>
        <w:pStyle w:val="B2"/>
      </w:pPr>
      <w:r w:rsidRPr="00FA0D37">
        <w:t>2&gt;</w:t>
      </w:r>
      <w:r w:rsidRPr="00FA0D37">
        <w:tab/>
        <w:t>if T331 is running:</w:t>
      </w:r>
    </w:p>
    <w:p w14:paraId="59484847" w14:textId="77777777" w:rsidR="00394471" w:rsidRPr="00FA0D37" w:rsidRDefault="00394471" w:rsidP="00394471">
      <w:pPr>
        <w:pStyle w:val="B3"/>
      </w:pPr>
      <w:r w:rsidRPr="00FA0D37">
        <w:t>3&gt; stop timer T331;</w:t>
      </w:r>
    </w:p>
    <w:p w14:paraId="4509C2DB" w14:textId="77777777" w:rsidR="00394471" w:rsidRPr="00FA0D37" w:rsidRDefault="00394471" w:rsidP="00394471">
      <w:pPr>
        <w:pStyle w:val="B3"/>
      </w:pPr>
      <w:r w:rsidRPr="00FA0D37">
        <w:t>3&gt;</w:t>
      </w:r>
      <w:r w:rsidRPr="00FA0D37">
        <w:tab/>
        <w:t>perform the actions as specified in 5.7.8.3;</w:t>
      </w:r>
    </w:p>
    <w:p w14:paraId="22851717" w14:textId="77777777" w:rsidR="00394471" w:rsidRPr="00FA0D37" w:rsidRDefault="00394471" w:rsidP="00394471">
      <w:pPr>
        <w:pStyle w:val="B2"/>
      </w:pPr>
      <w:r w:rsidRPr="00FA0D37">
        <w:t>2&gt;</w:t>
      </w:r>
      <w:r w:rsidRPr="00FA0D37">
        <w:tab/>
        <w:t xml:space="preserve">if the </w:t>
      </w:r>
      <w:r w:rsidRPr="00FA0D37">
        <w:rPr>
          <w:i/>
          <w:iCs/>
        </w:rPr>
        <w:t>measIdleConfig</w:t>
      </w:r>
      <w:r w:rsidRPr="00FA0D37">
        <w:t xml:space="preserve"> is set to </w:t>
      </w:r>
      <w:r w:rsidRPr="00FA0D37">
        <w:rPr>
          <w:i/>
          <w:iCs/>
        </w:rPr>
        <w:t>setup</w:t>
      </w:r>
      <w:r w:rsidRPr="00FA0D37">
        <w:t>:</w:t>
      </w:r>
    </w:p>
    <w:p w14:paraId="66D3846D" w14:textId="77777777" w:rsidR="00394471" w:rsidRPr="00FA0D37" w:rsidRDefault="00394471" w:rsidP="00394471">
      <w:pPr>
        <w:pStyle w:val="B3"/>
      </w:pPr>
      <w:r w:rsidRPr="00FA0D37">
        <w:t>3&gt;</w:t>
      </w:r>
      <w:r w:rsidRPr="00FA0D37">
        <w:tab/>
        <w:t xml:space="preserve">store the received </w:t>
      </w:r>
      <w:r w:rsidRPr="00FA0D37">
        <w:rPr>
          <w:i/>
          <w:iCs/>
        </w:rPr>
        <w:t>measIdleDuration</w:t>
      </w:r>
      <w:r w:rsidRPr="00FA0D37">
        <w:t xml:space="preserve"> in </w:t>
      </w:r>
      <w:r w:rsidRPr="00FA0D37">
        <w:rPr>
          <w:i/>
          <w:iCs/>
        </w:rPr>
        <w:t>VarMeasIdleConfig</w:t>
      </w:r>
      <w:r w:rsidRPr="00FA0D37">
        <w:t>;</w:t>
      </w:r>
    </w:p>
    <w:p w14:paraId="5B8C36D7" w14:textId="77777777" w:rsidR="00394471" w:rsidRPr="00FA0D37" w:rsidRDefault="00394471" w:rsidP="00394471">
      <w:pPr>
        <w:pStyle w:val="B3"/>
      </w:pPr>
      <w:r w:rsidRPr="00FA0D37">
        <w:t>3&gt;</w:t>
      </w:r>
      <w:r w:rsidRPr="00FA0D37">
        <w:tab/>
        <w:t xml:space="preserve">start timer T331 with the value set to </w:t>
      </w:r>
      <w:r w:rsidRPr="00FA0D37">
        <w:rPr>
          <w:i/>
          <w:iCs/>
        </w:rPr>
        <w:t>measIdleDuration</w:t>
      </w:r>
      <w:r w:rsidRPr="00FA0D37">
        <w:t>;</w:t>
      </w:r>
    </w:p>
    <w:p w14:paraId="2D20CFDE" w14:textId="77777777" w:rsidR="00394471" w:rsidRPr="00FA0D37" w:rsidRDefault="00394471" w:rsidP="00394471">
      <w:pPr>
        <w:pStyle w:val="B3"/>
      </w:pPr>
      <w:r w:rsidRPr="00FA0D37">
        <w:t>3&gt;</w:t>
      </w:r>
      <w:r w:rsidRPr="00FA0D37">
        <w:tab/>
        <w:t xml:space="preserve">if the </w:t>
      </w:r>
      <w:r w:rsidRPr="00FA0D37">
        <w:rPr>
          <w:i/>
          <w:iCs/>
        </w:rPr>
        <w:t>measIdleConfig</w:t>
      </w:r>
      <w:r w:rsidRPr="00FA0D37">
        <w:t xml:space="preserve"> contains </w:t>
      </w:r>
      <w:r w:rsidRPr="00FA0D37">
        <w:rPr>
          <w:i/>
          <w:iCs/>
        </w:rPr>
        <w:t>measIdleCarrierListNR</w:t>
      </w:r>
      <w:r w:rsidRPr="00FA0D37">
        <w:t>:</w:t>
      </w:r>
    </w:p>
    <w:p w14:paraId="5ED3317E" w14:textId="77777777" w:rsidR="00394471" w:rsidRPr="00FA0D37" w:rsidRDefault="00394471" w:rsidP="00394471">
      <w:pPr>
        <w:pStyle w:val="B4"/>
      </w:pPr>
      <w:r w:rsidRPr="00FA0D37">
        <w:t>4&gt;</w:t>
      </w:r>
      <w:r w:rsidRPr="00FA0D37">
        <w:tab/>
        <w:t xml:space="preserve">store the received </w:t>
      </w:r>
      <w:r w:rsidRPr="00FA0D37">
        <w:rPr>
          <w:i/>
          <w:iCs/>
        </w:rPr>
        <w:t>measIdleCarrierListNR</w:t>
      </w:r>
      <w:r w:rsidRPr="00FA0D37">
        <w:t xml:space="preserve"> in </w:t>
      </w:r>
      <w:r w:rsidRPr="00FA0D37">
        <w:rPr>
          <w:i/>
          <w:iCs/>
        </w:rPr>
        <w:t>VarMeasIdleConfig</w:t>
      </w:r>
      <w:r w:rsidRPr="00FA0D37">
        <w:t>;</w:t>
      </w:r>
    </w:p>
    <w:p w14:paraId="671E914D" w14:textId="77777777" w:rsidR="00394471" w:rsidRPr="00FA0D37" w:rsidRDefault="00394471" w:rsidP="00394471">
      <w:pPr>
        <w:pStyle w:val="B3"/>
      </w:pPr>
      <w:r w:rsidRPr="00FA0D37">
        <w:t>3&gt;</w:t>
      </w:r>
      <w:r w:rsidRPr="00FA0D37">
        <w:tab/>
        <w:t xml:space="preserve">if the </w:t>
      </w:r>
      <w:r w:rsidRPr="00FA0D37">
        <w:rPr>
          <w:i/>
          <w:iCs/>
        </w:rPr>
        <w:t>measIdleConfig</w:t>
      </w:r>
      <w:r w:rsidRPr="00FA0D37">
        <w:t xml:space="preserve"> contains </w:t>
      </w:r>
      <w:r w:rsidRPr="00FA0D37">
        <w:rPr>
          <w:i/>
          <w:iCs/>
        </w:rPr>
        <w:t>measIdleCarrierListEUTRA</w:t>
      </w:r>
      <w:r w:rsidRPr="00FA0D37">
        <w:t>:</w:t>
      </w:r>
    </w:p>
    <w:p w14:paraId="1AB931B5" w14:textId="77777777" w:rsidR="00394471" w:rsidRPr="00FA0D37" w:rsidRDefault="00394471" w:rsidP="00394471">
      <w:pPr>
        <w:pStyle w:val="B4"/>
      </w:pPr>
      <w:r w:rsidRPr="00FA0D37">
        <w:lastRenderedPageBreak/>
        <w:t>4&gt;</w:t>
      </w:r>
      <w:r w:rsidRPr="00FA0D37">
        <w:tab/>
        <w:t xml:space="preserve">store the received </w:t>
      </w:r>
      <w:r w:rsidRPr="00FA0D37">
        <w:rPr>
          <w:i/>
          <w:iCs/>
        </w:rPr>
        <w:t>measIdleCarrierListEUTRA</w:t>
      </w:r>
      <w:r w:rsidRPr="00FA0D37">
        <w:t xml:space="preserve"> in </w:t>
      </w:r>
      <w:r w:rsidRPr="00FA0D37">
        <w:rPr>
          <w:i/>
          <w:iCs/>
        </w:rPr>
        <w:t>VarMeasIdleConfig</w:t>
      </w:r>
      <w:r w:rsidRPr="00FA0D37">
        <w:t>;</w:t>
      </w:r>
    </w:p>
    <w:p w14:paraId="4DB4B476" w14:textId="77777777" w:rsidR="00394471" w:rsidRPr="00FA0D37" w:rsidRDefault="00394471" w:rsidP="00394471">
      <w:pPr>
        <w:pStyle w:val="B3"/>
      </w:pPr>
      <w:r w:rsidRPr="00FA0D37">
        <w:t>3&gt;</w:t>
      </w:r>
      <w:r w:rsidRPr="00FA0D37">
        <w:tab/>
        <w:t xml:space="preserve">if the </w:t>
      </w:r>
      <w:r w:rsidRPr="00FA0D37">
        <w:rPr>
          <w:i/>
          <w:iCs/>
        </w:rPr>
        <w:t>measIdleConfig</w:t>
      </w:r>
      <w:r w:rsidRPr="00FA0D37">
        <w:t xml:space="preserve"> contains </w:t>
      </w:r>
      <w:r w:rsidRPr="00FA0D37">
        <w:rPr>
          <w:i/>
          <w:iCs/>
        </w:rPr>
        <w:t>validityAreaList</w:t>
      </w:r>
      <w:r w:rsidRPr="00FA0D37">
        <w:t>:</w:t>
      </w:r>
    </w:p>
    <w:p w14:paraId="287BE630" w14:textId="77777777" w:rsidR="00394471" w:rsidRPr="00FA0D37" w:rsidRDefault="00394471" w:rsidP="00394471">
      <w:pPr>
        <w:pStyle w:val="B4"/>
      </w:pPr>
      <w:r w:rsidRPr="00FA0D37">
        <w:t>4&gt;</w:t>
      </w:r>
      <w:r w:rsidRPr="00FA0D37">
        <w:tab/>
        <w:t xml:space="preserve">store the received </w:t>
      </w:r>
      <w:r w:rsidRPr="00FA0D37">
        <w:rPr>
          <w:i/>
          <w:iCs/>
        </w:rPr>
        <w:t>validityAreaList</w:t>
      </w:r>
      <w:r w:rsidRPr="00FA0D37">
        <w:t xml:space="preserve"> in </w:t>
      </w:r>
      <w:r w:rsidRPr="00FA0D37">
        <w:rPr>
          <w:i/>
          <w:iCs/>
        </w:rPr>
        <w:t>VarMeasIdleConfig</w:t>
      </w:r>
      <w:r w:rsidRPr="00FA0D37">
        <w:t>;</w:t>
      </w:r>
    </w:p>
    <w:p w14:paraId="343A98AE" w14:textId="77777777" w:rsidR="00394471" w:rsidRPr="00FA0D37" w:rsidRDefault="00394471" w:rsidP="00394471">
      <w:pPr>
        <w:pStyle w:val="B1"/>
      </w:pPr>
      <w:r w:rsidRPr="00FA0D37">
        <w:t>1&gt;</w:t>
      </w:r>
      <w:r w:rsidRPr="00FA0D37">
        <w:tab/>
        <w:t xml:space="preserve">if the </w:t>
      </w:r>
      <w:r w:rsidRPr="00FA0D37">
        <w:rPr>
          <w:i/>
        </w:rPr>
        <w:t>RRCRelease</w:t>
      </w:r>
      <w:r w:rsidRPr="00FA0D37">
        <w:t xml:space="preserve"> includes </w:t>
      </w:r>
      <w:r w:rsidRPr="00FA0D37">
        <w:rPr>
          <w:i/>
        </w:rPr>
        <w:t>suspendConfig</w:t>
      </w:r>
      <w:r w:rsidRPr="00FA0D37">
        <w:t>:</w:t>
      </w:r>
    </w:p>
    <w:p w14:paraId="33505DF5" w14:textId="77777777" w:rsidR="0070235D" w:rsidRPr="00FA0D37" w:rsidRDefault="0070235D" w:rsidP="0070235D">
      <w:pPr>
        <w:pStyle w:val="B2"/>
      </w:pPr>
      <w:r w:rsidRPr="00FA0D37">
        <w:t>2&gt;</w:t>
      </w:r>
      <w:r w:rsidRPr="00FA0D37">
        <w:tab/>
        <w:t>reset MAC and release the default MAC Cell Group configuration, if any;</w:t>
      </w:r>
    </w:p>
    <w:p w14:paraId="47000B80" w14:textId="0EF7DD4C" w:rsidR="00394471" w:rsidRPr="00FA0D37" w:rsidRDefault="00394471" w:rsidP="00394471">
      <w:pPr>
        <w:pStyle w:val="B2"/>
      </w:pPr>
      <w:r w:rsidRPr="00FA0D37">
        <w:t>2&gt;</w:t>
      </w:r>
      <w:r w:rsidRPr="00FA0D37">
        <w:tab/>
        <w:t xml:space="preserve">apply the received </w:t>
      </w:r>
      <w:r w:rsidRPr="00FA0D37">
        <w:rPr>
          <w:i/>
        </w:rPr>
        <w:t>suspendConfig</w:t>
      </w:r>
      <w:r w:rsidR="00475E33" w:rsidRPr="00FA0D37">
        <w:rPr>
          <w:i/>
        </w:rPr>
        <w:t xml:space="preserve"> </w:t>
      </w:r>
      <w:r w:rsidR="00475E33" w:rsidRPr="00FA0D37">
        <w:rPr>
          <w:iCs/>
        </w:rPr>
        <w:t xml:space="preserve">except the received </w:t>
      </w:r>
      <w:r w:rsidR="00475E33" w:rsidRPr="00FA0D37">
        <w:rPr>
          <w:i/>
          <w:iCs/>
        </w:rPr>
        <w:t>nextHopChainingCount</w:t>
      </w:r>
      <w:r w:rsidRPr="00FA0D37">
        <w:t>;</w:t>
      </w:r>
    </w:p>
    <w:p w14:paraId="4AC1DFE6" w14:textId="1A1373FE" w:rsidR="0070235D" w:rsidRPr="00FA0D37" w:rsidRDefault="0070235D" w:rsidP="0070235D">
      <w:pPr>
        <w:pStyle w:val="B2"/>
      </w:pPr>
      <w:r w:rsidRPr="00FA0D37">
        <w:t>2&gt;</w:t>
      </w:r>
      <w:r w:rsidRPr="00FA0D37">
        <w:tab/>
        <w:t xml:space="preserve">if the </w:t>
      </w:r>
      <w:r w:rsidRPr="00FA0D37">
        <w:rPr>
          <w:i/>
          <w:iCs/>
        </w:rPr>
        <w:t xml:space="preserve">sdt-Config </w:t>
      </w:r>
      <w:r w:rsidRPr="00FA0D37">
        <w:t>is configured:</w:t>
      </w:r>
    </w:p>
    <w:p w14:paraId="0AB75BBE" w14:textId="77777777" w:rsidR="0070235D" w:rsidRPr="00FA0D37" w:rsidRDefault="0070235D" w:rsidP="0070235D">
      <w:pPr>
        <w:pStyle w:val="B3"/>
      </w:pPr>
      <w:r w:rsidRPr="00FA0D37">
        <w:t>3&gt;</w:t>
      </w:r>
      <w:r w:rsidRPr="00FA0D37">
        <w:tab/>
        <w:t xml:space="preserve">for each of the DRB in the </w:t>
      </w:r>
      <w:r w:rsidRPr="00FA0D37">
        <w:rPr>
          <w:i/>
          <w:iCs/>
        </w:rPr>
        <w:t>sdt-DRB-List</w:t>
      </w:r>
      <w:r w:rsidRPr="00FA0D37">
        <w:t>:</w:t>
      </w:r>
    </w:p>
    <w:p w14:paraId="37472BB1" w14:textId="26E9C2BC" w:rsidR="0070235D" w:rsidRPr="00FA0D37" w:rsidRDefault="0070235D" w:rsidP="0070235D">
      <w:pPr>
        <w:pStyle w:val="B4"/>
      </w:pPr>
      <w:r w:rsidRPr="00FA0D37">
        <w:t>4&gt;</w:t>
      </w:r>
      <w:r w:rsidRPr="00FA0D37">
        <w:tab/>
        <w:t>consider the DRB to be configured for SDT;</w:t>
      </w:r>
    </w:p>
    <w:p w14:paraId="4063EA76" w14:textId="0AA290D3" w:rsidR="0070235D" w:rsidRPr="00FA0D37" w:rsidRDefault="0070235D" w:rsidP="0070235D">
      <w:pPr>
        <w:pStyle w:val="B3"/>
      </w:pPr>
      <w:r w:rsidRPr="00FA0D37">
        <w:t>3&gt;</w:t>
      </w:r>
      <w:r w:rsidRPr="00FA0D37">
        <w:tab/>
        <w:t xml:space="preserve">if </w:t>
      </w:r>
      <w:r w:rsidRPr="00FA0D37">
        <w:rPr>
          <w:i/>
          <w:iCs/>
        </w:rPr>
        <w:t>sdt-SRB2-Indication</w:t>
      </w:r>
      <w:r w:rsidRPr="00FA0D37">
        <w:t xml:space="preserve"> is configured:</w:t>
      </w:r>
    </w:p>
    <w:p w14:paraId="54267D71" w14:textId="6E0E227D" w:rsidR="0070235D" w:rsidRPr="00FA0D37" w:rsidRDefault="0070235D" w:rsidP="0070235D">
      <w:pPr>
        <w:pStyle w:val="B4"/>
      </w:pPr>
      <w:r w:rsidRPr="00FA0D37">
        <w:t>4&gt;</w:t>
      </w:r>
      <w:r w:rsidRPr="00FA0D37">
        <w:tab/>
        <w:t>consider the SRB2 to be configured for SDT;</w:t>
      </w:r>
    </w:p>
    <w:p w14:paraId="63A74A51" w14:textId="569265B8" w:rsidR="0070235D" w:rsidRPr="00FA0D37" w:rsidRDefault="0070235D" w:rsidP="0070235D">
      <w:pPr>
        <w:pStyle w:val="B3"/>
      </w:pPr>
      <w:r w:rsidRPr="00FA0D37">
        <w:t>3&gt;</w:t>
      </w:r>
      <w:r w:rsidRPr="00FA0D37">
        <w:tab/>
        <w:t>for each RLC bearer</w:t>
      </w:r>
      <w:r w:rsidR="002C350C" w:rsidRPr="00FA0D37">
        <w:t xml:space="preserve"> (except those associated with broadcast MRBs)</w:t>
      </w:r>
      <w:r w:rsidRPr="00FA0D37">
        <w:t xml:space="preserve"> that is </w:t>
      </w:r>
      <w:r w:rsidR="00E23C69" w:rsidRPr="00FA0D37">
        <w:t>not suspended</w:t>
      </w:r>
      <w:r w:rsidRPr="00FA0D37">
        <w:t>:</w:t>
      </w:r>
    </w:p>
    <w:p w14:paraId="23DADF57" w14:textId="1B40493A" w:rsidR="0070235D" w:rsidRPr="00FA0D37" w:rsidRDefault="0070235D" w:rsidP="0070235D">
      <w:pPr>
        <w:pStyle w:val="B4"/>
      </w:pPr>
      <w:r w:rsidRPr="00FA0D37">
        <w:t>4&gt;</w:t>
      </w:r>
      <w:r w:rsidRPr="00FA0D37">
        <w:tab/>
        <w:t>re-establish the RLC entity as specified in TS 38.322 [4];</w:t>
      </w:r>
    </w:p>
    <w:p w14:paraId="1EB6E53F" w14:textId="61BBE648" w:rsidR="0070235D" w:rsidRPr="00FA0D37" w:rsidRDefault="0070235D" w:rsidP="0070235D">
      <w:pPr>
        <w:pStyle w:val="B3"/>
      </w:pPr>
      <w:r w:rsidRPr="00FA0D37">
        <w:t>3&gt;</w:t>
      </w:r>
      <w:r w:rsidRPr="00FA0D37">
        <w:tab/>
        <w:t xml:space="preserve">for SRB2 </w:t>
      </w:r>
      <w:r w:rsidR="00E23C69" w:rsidRPr="00FA0D37">
        <w:t>(</w:t>
      </w:r>
      <w:r w:rsidRPr="00FA0D37">
        <w:t>if it is resumed</w:t>
      </w:r>
      <w:r w:rsidR="00E23C69" w:rsidRPr="00FA0D37">
        <w:t>)</w:t>
      </w:r>
      <w:r w:rsidRPr="00FA0D37">
        <w:t xml:space="preserve"> and for SRB1:</w:t>
      </w:r>
    </w:p>
    <w:p w14:paraId="69857727" w14:textId="7392F535" w:rsidR="0070235D" w:rsidRPr="00FA0D37" w:rsidRDefault="0070235D" w:rsidP="0070235D">
      <w:pPr>
        <w:pStyle w:val="B4"/>
      </w:pPr>
      <w:r w:rsidRPr="00FA0D37">
        <w:t>4&gt;</w:t>
      </w:r>
      <w:r w:rsidRPr="00FA0D37">
        <w:tab/>
        <w:t>trigger the PDCP entity to perform SDU discard as specified in TS 38.323 [5];</w:t>
      </w:r>
    </w:p>
    <w:p w14:paraId="40390822" w14:textId="007E5464" w:rsidR="0070235D" w:rsidRPr="00FA0D37" w:rsidRDefault="0070235D" w:rsidP="0070235D">
      <w:pPr>
        <w:pStyle w:val="B3"/>
      </w:pPr>
      <w:r w:rsidRPr="00FA0D37">
        <w:t>3&gt;</w:t>
      </w:r>
      <w:r w:rsidRPr="00FA0D37">
        <w:tab/>
        <w:t xml:space="preserve">if </w:t>
      </w:r>
      <w:r w:rsidR="00E23C69" w:rsidRPr="00FA0D37">
        <w:rPr>
          <w:i/>
          <w:iCs/>
        </w:rPr>
        <w:t>sdt-MAC-PHY-CG-Config</w:t>
      </w:r>
      <w:r w:rsidR="00E23C69" w:rsidRPr="00FA0D37">
        <w:t xml:space="preserve"> is </w:t>
      </w:r>
      <w:r w:rsidRPr="00FA0D37">
        <w:t>configured:</w:t>
      </w:r>
    </w:p>
    <w:p w14:paraId="66F9C895" w14:textId="097839F4" w:rsidR="0070235D" w:rsidRPr="00FA0D37" w:rsidRDefault="0070235D" w:rsidP="0070235D">
      <w:pPr>
        <w:pStyle w:val="B4"/>
      </w:pPr>
      <w:r w:rsidRPr="00FA0D37">
        <w:t>4&gt;</w:t>
      </w:r>
      <w:r w:rsidRPr="00FA0D37">
        <w:tab/>
        <w:t xml:space="preserve">configure the </w:t>
      </w:r>
      <w:r w:rsidR="00E23C69" w:rsidRPr="00FA0D37">
        <w:t>PCell</w:t>
      </w:r>
      <w:r w:rsidRPr="00FA0D37">
        <w:t xml:space="preserve"> with the configured grant resources for SDT and instruct </w:t>
      </w:r>
      <w:r w:rsidR="00E23C69" w:rsidRPr="00FA0D37">
        <w:t xml:space="preserve">the </w:t>
      </w:r>
      <w:r w:rsidRPr="00FA0D37">
        <w:t xml:space="preserve">MAC </w:t>
      </w:r>
      <w:r w:rsidR="00E23C69" w:rsidRPr="00FA0D37">
        <w:t xml:space="preserve">entity </w:t>
      </w:r>
      <w:r w:rsidRPr="00FA0D37">
        <w:t xml:space="preserve">to start the </w:t>
      </w:r>
      <w:bookmarkStart w:id="119" w:name="_Hlk97714604"/>
      <w:r w:rsidRPr="00FA0D37">
        <w:rPr>
          <w:i/>
          <w:iCs/>
        </w:rPr>
        <w:t>cg-SDT-TimeAlignmentTimer</w:t>
      </w:r>
      <w:bookmarkEnd w:id="119"/>
      <w:r w:rsidRPr="00FA0D37">
        <w:t>;</w:t>
      </w:r>
    </w:p>
    <w:p w14:paraId="7782EBE7" w14:textId="02B44628" w:rsidR="00892680" w:rsidRPr="00FA0D37" w:rsidRDefault="00892680" w:rsidP="00892680">
      <w:pPr>
        <w:pStyle w:val="B2"/>
      </w:pPr>
      <w:r w:rsidRPr="00FA0D37">
        <w:t>2&gt;</w:t>
      </w:r>
      <w:r w:rsidRPr="00FA0D37">
        <w:tab/>
        <w:t xml:space="preserve">if </w:t>
      </w:r>
      <w:r w:rsidRPr="00FA0D37">
        <w:rPr>
          <w:i/>
        </w:rPr>
        <w:t>srs-PosRRC-Inactive</w:t>
      </w:r>
      <w:r w:rsidRPr="00FA0D37">
        <w:rPr>
          <w:i/>
          <w:iCs/>
        </w:rPr>
        <w:t xml:space="preserve"> </w:t>
      </w:r>
      <w:r w:rsidRPr="00FA0D37">
        <w:t>is configured:</w:t>
      </w:r>
    </w:p>
    <w:p w14:paraId="50194D62" w14:textId="77777777" w:rsidR="007D4907" w:rsidRPr="00FA0D37" w:rsidRDefault="00892680" w:rsidP="007D4907">
      <w:pPr>
        <w:pStyle w:val="B3"/>
      </w:pPr>
      <w:r w:rsidRPr="00FA0D37">
        <w:t>3&gt;</w:t>
      </w:r>
      <w:r w:rsidRPr="00FA0D37">
        <w:tab/>
      </w:r>
      <w:r w:rsidRPr="00FA0D37">
        <w:rPr>
          <w:iCs/>
        </w:rPr>
        <w:t xml:space="preserve">apply </w:t>
      </w:r>
      <w:r w:rsidRPr="00FA0D37">
        <w:t xml:space="preserve">the configuration and instruct MAC to start the </w:t>
      </w:r>
      <w:r w:rsidRPr="00FA0D37">
        <w:rPr>
          <w:i/>
        </w:rPr>
        <w:t>inactivePosSRS-TimeAlignmentTimer</w:t>
      </w:r>
      <w:r w:rsidRPr="00FA0D37">
        <w:t>;</w:t>
      </w:r>
    </w:p>
    <w:p w14:paraId="74A0E7EA" w14:textId="73C25336" w:rsidR="00892680" w:rsidRPr="00FA0D37" w:rsidRDefault="007D4907" w:rsidP="00DD246F">
      <w:pPr>
        <w:pStyle w:val="NO"/>
      </w:pPr>
      <w:r w:rsidRPr="00FA0D37">
        <w:t>NOTE 1b:</w:t>
      </w:r>
      <w:r w:rsidRPr="00FA0D37">
        <w:tab/>
        <w:t>The Network should provide full configuration to UE for SRS for Positioning in RRC_INACTIVE.</w:t>
      </w:r>
    </w:p>
    <w:p w14:paraId="67C6017E" w14:textId="512DB4FA" w:rsidR="00394471" w:rsidRPr="00FA0D37" w:rsidRDefault="00394471" w:rsidP="00394471">
      <w:pPr>
        <w:pStyle w:val="B2"/>
      </w:pPr>
      <w:r w:rsidRPr="00FA0D37">
        <w:t>2&gt;</w:t>
      </w:r>
      <w:r w:rsidRPr="00FA0D37">
        <w:tab/>
        <w:t xml:space="preserve">remove all the entries within </w:t>
      </w:r>
      <w:r w:rsidR="009C015E" w:rsidRPr="00FA0D37">
        <w:t>the MCG and the SCG</w:t>
      </w:r>
      <w:r w:rsidR="009C015E" w:rsidRPr="00FA0D37">
        <w:rPr>
          <w:i/>
        </w:rPr>
        <w:t xml:space="preserve"> </w:t>
      </w:r>
      <w:r w:rsidRPr="00FA0D37">
        <w:rPr>
          <w:i/>
        </w:rPr>
        <w:t>VarConditionalReconfig</w:t>
      </w:r>
      <w:r w:rsidRPr="00FA0D37">
        <w:t>, if any;</w:t>
      </w:r>
    </w:p>
    <w:p w14:paraId="3234305E" w14:textId="71D7826B" w:rsidR="00394471" w:rsidRPr="00FA0D37" w:rsidRDefault="00394471" w:rsidP="00394471">
      <w:pPr>
        <w:pStyle w:val="B2"/>
      </w:pPr>
      <w:r w:rsidRPr="00FA0D37">
        <w:t>2&gt;</w:t>
      </w:r>
      <w:r w:rsidRPr="00FA0D37">
        <w:tab/>
        <w:t xml:space="preserve">for each </w:t>
      </w:r>
      <w:r w:rsidRPr="00FA0D37">
        <w:rPr>
          <w:i/>
        </w:rPr>
        <w:t>measId</w:t>
      </w:r>
      <w:r w:rsidR="00627E02" w:rsidRPr="00FA0D37">
        <w:t xml:space="preserve"> of the MCG </w:t>
      </w:r>
      <w:r w:rsidR="00627E02" w:rsidRPr="00FA0D37">
        <w:rPr>
          <w:i/>
        </w:rPr>
        <w:t>measConfig</w:t>
      </w:r>
      <w:r w:rsidR="00627E02" w:rsidRPr="00FA0D37">
        <w:t xml:space="preserve"> and for each </w:t>
      </w:r>
      <w:r w:rsidR="00627E02" w:rsidRPr="00FA0D37">
        <w:rPr>
          <w:i/>
        </w:rPr>
        <w:t>measId</w:t>
      </w:r>
      <w:r w:rsidR="00627E02" w:rsidRPr="00FA0D37">
        <w:t xml:space="preserve"> of the SCG </w:t>
      </w:r>
      <w:r w:rsidR="00627E02" w:rsidRPr="00FA0D37">
        <w:rPr>
          <w:i/>
        </w:rPr>
        <w:t>measConfig</w:t>
      </w:r>
      <w:r w:rsidR="00627E02" w:rsidRPr="00FA0D37">
        <w:t>, if configured</w:t>
      </w:r>
      <w:r w:rsidRPr="00FA0D37">
        <w:t xml:space="preserve">, if the associated </w:t>
      </w:r>
      <w:r w:rsidRPr="00FA0D37">
        <w:rPr>
          <w:i/>
          <w:iCs/>
        </w:rPr>
        <w:t>reportConfig</w:t>
      </w:r>
      <w:r w:rsidRPr="00FA0D37">
        <w:t xml:space="preserve"> has a </w:t>
      </w:r>
      <w:r w:rsidRPr="00FA0D37">
        <w:rPr>
          <w:i/>
        </w:rPr>
        <w:t>reportType</w:t>
      </w:r>
      <w:r w:rsidRPr="00FA0D37">
        <w:t xml:space="preserve"> set to </w:t>
      </w:r>
      <w:r w:rsidRPr="00FA0D37">
        <w:rPr>
          <w:i/>
        </w:rPr>
        <w:t>condTriggerConfig</w:t>
      </w:r>
      <w:r w:rsidRPr="00FA0D37">
        <w:t>:</w:t>
      </w:r>
    </w:p>
    <w:p w14:paraId="173047B7" w14:textId="77777777" w:rsidR="00394471" w:rsidRPr="00FA0D37" w:rsidRDefault="00394471" w:rsidP="00394471">
      <w:pPr>
        <w:pStyle w:val="B3"/>
      </w:pPr>
      <w:r w:rsidRPr="00FA0D37">
        <w:t>3&gt;</w:t>
      </w:r>
      <w:r w:rsidRPr="00FA0D37">
        <w:tab/>
        <w:t xml:space="preserve">for the associated </w:t>
      </w:r>
      <w:r w:rsidRPr="00FA0D37">
        <w:rPr>
          <w:i/>
          <w:iCs/>
        </w:rPr>
        <w:t>reportConfigId</w:t>
      </w:r>
      <w:r w:rsidRPr="00FA0D37">
        <w:t>:</w:t>
      </w:r>
    </w:p>
    <w:p w14:paraId="323BE87C" w14:textId="77777777" w:rsidR="00394471" w:rsidRPr="00FA0D37" w:rsidRDefault="00394471" w:rsidP="00394471">
      <w:pPr>
        <w:pStyle w:val="B4"/>
      </w:pPr>
      <w:r w:rsidRPr="00FA0D37">
        <w:t>4&gt;</w:t>
      </w:r>
      <w:r w:rsidRPr="00FA0D37">
        <w:tab/>
        <w:t xml:space="preserve">remove the entry with the matching </w:t>
      </w:r>
      <w:r w:rsidRPr="00FA0D37">
        <w:rPr>
          <w:i/>
        </w:rPr>
        <w:t>reportConfigId</w:t>
      </w:r>
      <w:r w:rsidRPr="00FA0D37">
        <w:t xml:space="preserve"> from the </w:t>
      </w:r>
      <w:r w:rsidRPr="00FA0D37">
        <w:rPr>
          <w:i/>
        </w:rPr>
        <w:t>reportConfigList</w:t>
      </w:r>
      <w:r w:rsidRPr="00FA0D37">
        <w:t xml:space="preserve"> within the </w:t>
      </w:r>
      <w:r w:rsidRPr="00FA0D37">
        <w:rPr>
          <w:i/>
        </w:rPr>
        <w:t>VarMeasConfig</w:t>
      </w:r>
      <w:r w:rsidRPr="00FA0D37">
        <w:t>;</w:t>
      </w:r>
    </w:p>
    <w:p w14:paraId="3F52AEF2" w14:textId="77777777" w:rsidR="00394471" w:rsidRPr="00FA0D37" w:rsidRDefault="00394471" w:rsidP="00394471">
      <w:pPr>
        <w:pStyle w:val="B3"/>
      </w:pPr>
      <w:r w:rsidRPr="00FA0D37">
        <w:t>3&gt;</w:t>
      </w:r>
      <w:r w:rsidRPr="00FA0D37">
        <w:tab/>
        <w:t xml:space="preserve">if the associated </w:t>
      </w:r>
      <w:r w:rsidRPr="00FA0D37">
        <w:rPr>
          <w:i/>
          <w:iCs/>
        </w:rPr>
        <w:t>measObjectId</w:t>
      </w:r>
      <w:r w:rsidRPr="00FA0D37">
        <w:t xml:space="preserve"> is only associated to a </w:t>
      </w:r>
      <w:r w:rsidRPr="00FA0D37">
        <w:rPr>
          <w:i/>
          <w:iCs/>
        </w:rPr>
        <w:t>reportConfig</w:t>
      </w:r>
      <w:r w:rsidRPr="00FA0D37">
        <w:t xml:space="preserve"> with </w:t>
      </w:r>
      <w:r w:rsidRPr="00FA0D37">
        <w:rPr>
          <w:i/>
          <w:iCs/>
        </w:rPr>
        <w:t>reportType</w:t>
      </w:r>
      <w:r w:rsidRPr="00FA0D37">
        <w:t xml:space="preserve"> set to </w:t>
      </w:r>
      <w:r w:rsidRPr="00FA0D37">
        <w:rPr>
          <w:i/>
          <w:iCs/>
        </w:rPr>
        <w:t>condTriggerConfig</w:t>
      </w:r>
      <w:r w:rsidRPr="00FA0D37">
        <w:t>:</w:t>
      </w:r>
    </w:p>
    <w:p w14:paraId="620E41D8" w14:textId="77777777" w:rsidR="00394471" w:rsidRPr="00FA0D37" w:rsidRDefault="00394471" w:rsidP="00394471">
      <w:pPr>
        <w:pStyle w:val="B4"/>
      </w:pPr>
      <w:r w:rsidRPr="00FA0D37">
        <w:t>4&gt;</w:t>
      </w:r>
      <w:r w:rsidRPr="00FA0D37">
        <w:tab/>
        <w:t xml:space="preserve">remove the entry with the matching </w:t>
      </w:r>
      <w:r w:rsidRPr="00FA0D37">
        <w:rPr>
          <w:i/>
          <w:iCs/>
        </w:rPr>
        <w:t>measObjectId</w:t>
      </w:r>
      <w:r w:rsidRPr="00FA0D37">
        <w:t xml:space="preserve"> from the </w:t>
      </w:r>
      <w:r w:rsidRPr="00FA0D37">
        <w:rPr>
          <w:i/>
        </w:rPr>
        <w:t>measObjectList</w:t>
      </w:r>
      <w:r w:rsidRPr="00FA0D37">
        <w:t xml:space="preserve"> within the </w:t>
      </w:r>
      <w:r w:rsidRPr="00FA0D37">
        <w:rPr>
          <w:i/>
        </w:rPr>
        <w:t>VarMeasConfig</w:t>
      </w:r>
      <w:r w:rsidRPr="00FA0D37">
        <w:t>;</w:t>
      </w:r>
    </w:p>
    <w:p w14:paraId="5800E3B1" w14:textId="77777777" w:rsidR="00394471" w:rsidRPr="00FA0D37" w:rsidRDefault="00394471" w:rsidP="00394471">
      <w:pPr>
        <w:pStyle w:val="B3"/>
      </w:pPr>
      <w:r w:rsidRPr="00FA0D37">
        <w:t>3&gt;</w:t>
      </w:r>
      <w:r w:rsidRPr="00FA0D37">
        <w:tab/>
        <w:t xml:space="preserve">remove the entry with the matching </w:t>
      </w:r>
      <w:r w:rsidRPr="00FA0D37">
        <w:rPr>
          <w:i/>
        </w:rPr>
        <w:t>measId</w:t>
      </w:r>
      <w:r w:rsidRPr="00FA0D37">
        <w:t xml:space="preserve"> from the </w:t>
      </w:r>
      <w:r w:rsidRPr="00FA0D37">
        <w:rPr>
          <w:i/>
        </w:rPr>
        <w:t>measIdList</w:t>
      </w:r>
      <w:r w:rsidRPr="00FA0D37">
        <w:t xml:space="preserve"> within the </w:t>
      </w:r>
      <w:r w:rsidRPr="00FA0D37">
        <w:rPr>
          <w:i/>
        </w:rPr>
        <w:t>VarMeasConfig</w:t>
      </w:r>
      <w:r w:rsidRPr="00FA0D37">
        <w:t>;</w:t>
      </w:r>
    </w:p>
    <w:p w14:paraId="6A6C867A" w14:textId="77777777" w:rsidR="00984519" w:rsidRPr="00FA0D37" w:rsidRDefault="00984519" w:rsidP="00984519">
      <w:pPr>
        <w:pStyle w:val="B2"/>
        <w:rPr>
          <w:lang w:eastAsia="zh-CN"/>
        </w:rPr>
      </w:pPr>
      <w:r w:rsidRPr="00FA0D37">
        <w:rPr>
          <w:lang w:eastAsia="zh-CN"/>
        </w:rPr>
        <w:t>2&gt;</w:t>
      </w:r>
      <w:r w:rsidRPr="00FA0D37">
        <w:rPr>
          <w:lang w:eastAsia="zh-CN"/>
        </w:rPr>
        <w:tab/>
        <w:t>if the UE is acting as L2 U2N Remote UE:</w:t>
      </w:r>
    </w:p>
    <w:p w14:paraId="606FF133" w14:textId="77777777" w:rsidR="00984519" w:rsidRPr="00FA0D37" w:rsidRDefault="00984519" w:rsidP="00A12BD9">
      <w:pPr>
        <w:pStyle w:val="B3"/>
        <w:rPr>
          <w:lang w:eastAsia="zh-CN"/>
        </w:rPr>
      </w:pPr>
      <w:r w:rsidRPr="00FA0D37">
        <w:rPr>
          <w:lang w:eastAsia="zh-CN"/>
        </w:rPr>
        <w:t>3&gt;</w:t>
      </w:r>
      <w:r w:rsidRPr="00FA0D37">
        <w:rPr>
          <w:lang w:eastAsia="zh-CN"/>
        </w:rPr>
        <w:tab/>
        <w:t>if the PC5-RRC connection with the U2N Relay UE is determined to be released:</w:t>
      </w:r>
    </w:p>
    <w:p w14:paraId="41852D89" w14:textId="77777777" w:rsidR="00984519" w:rsidRPr="00FA0D37" w:rsidRDefault="00984519" w:rsidP="00A12BD9">
      <w:pPr>
        <w:pStyle w:val="B4"/>
        <w:rPr>
          <w:lang w:eastAsia="zh-CN"/>
        </w:rPr>
      </w:pPr>
      <w:r w:rsidRPr="00FA0D37">
        <w:rPr>
          <w:lang w:eastAsia="zh-CN"/>
        </w:rPr>
        <w:t>4&gt;</w:t>
      </w:r>
      <w:r w:rsidRPr="00FA0D37">
        <w:rPr>
          <w:lang w:eastAsia="zh-CN"/>
        </w:rPr>
        <w:tab/>
        <w:t>indicate upper layers to trigger PC5 unicast link release;</w:t>
      </w:r>
    </w:p>
    <w:p w14:paraId="2D30ABD9" w14:textId="77777777" w:rsidR="00984519" w:rsidRPr="00FA0D37" w:rsidRDefault="00984519" w:rsidP="00A12BD9">
      <w:pPr>
        <w:pStyle w:val="B3"/>
        <w:rPr>
          <w:lang w:eastAsia="zh-CN"/>
        </w:rPr>
      </w:pPr>
      <w:r w:rsidRPr="00FA0D37">
        <w:rPr>
          <w:lang w:eastAsia="zh-CN"/>
        </w:rPr>
        <w:t>3&gt;</w:t>
      </w:r>
      <w:r w:rsidRPr="00FA0D37">
        <w:rPr>
          <w:lang w:eastAsia="zh-CN"/>
        </w:rPr>
        <w:tab/>
        <w:t>else (i.e., maintain the PC5 RRC connection):</w:t>
      </w:r>
    </w:p>
    <w:p w14:paraId="3F3D7DD2" w14:textId="7CB21A0E" w:rsidR="00984519" w:rsidRPr="00FA0D37" w:rsidRDefault="00984519" w:rsidP="00A12BD9">
      <w:pPr>
        <w:pStyle w:val="B4"/>
        <w:rPr>
          <w:lang w:eastAsia="zh-CN"/>
        </w:rPr>
      </w:pPr>
      <w:r w:rsidRPr="00FA0D37">
        <w:rPr>
          <w:lang w:eastAsia="zh-CN"/>
        </w:rPr>
        <w:t>4&gt;</w:t>
      </w:r>
      <w:r w:rsidRPr="00FA0D37">
        <w:rPr>
          <w:lang w:eastAsia="zh-CN"/>
        </w:rPr>
        <w:tab/>
        <w:t>establish or re-establish (e.g. via release and add) SL RLC entity for SRB1;</w:t>
      </w:r>
    </w:p>
    <w:p w14:paraId="3510C0E6" w14:textId="77777777" w:rsidR="00984519" w:rsidRPr="00FA0D37" w:rsidRDefault="00984519" w:rsidP="00984519">
      <w:pPr>
        <w:pStyle w:val="B2"/>
        <w:ind w:leftChars="297" w:left="878"/>
        <w:rPr>
          <w:lang w:eastAsia="zh-CN"/>
        </w:rPr>
      </w:pPr>
      <w:r w:rsidRPr="00FA0D37">
        <w:rPr>
          <w:lang w:eastAsia="zh-CN"/>
        </w:rPr>
        <w:lastRenderedPageBreak/>
        <w:t>2&gt;</w:t>
      </w:r>
      <w:r w:rsidRPr="00FA0D37">
        <w:rPr>
          <w:lang w:eastAsia="zh-CN"/>
        </w:rPr>
        <w:tab/>
        <w:t>else:</w:t>
      </w:r>
    </w:p>
    <w:p w14:paraId="71B7C5E8" w14:textId="579E964D" w:rsidR="00394471" w:rsidRPr="00FA0D37" w:rsidRDefault="00984519" w:rsidP="00A12BD9">
      <w:pPr>
        <w:pStyle w:val="B3"/>
      </w:pPr>
      <w:r w:rsidRPr="00FA0D37">
        <w:t>3</w:t>
      </w:r>
      <w:r w:rsidR="00394471" w:rsidRPr="00FA0D37">
        <w:t>&gt;</w:t>
      </w:r>
      <w:r w:rsidR="00394471" w:rsidRPr="00FA0D37">
        <w:tab/>
        <w:t>re-establish RLC entities for SRB1;</w:t>
      </w:r>
    </w:p>
    <w:p w14:paraId="32304513" w14:textId="77777777" w:rsidR="00394471" w:rsidRPr="00FA0D37" w:rsidRDefault="00394471" w:rsidP="00394471">
      <w:pPr>
        <w:pStyle w:val="B2"/>
      </w:pPr>
      <w:r w:rsidRPr="00FA0D37">
        <w:t>2&gt;</w:t>
      </w:r>
      <w:r w:rsidRPr="00FA0D37">
        <w:tab/>
        <w:t xml:space="preserve">if the </w:t>
      </w:r>
      <w:r w:rsidRPr="00FA0D37">
        <w:rPr>
          <w:i/>
        </w:rPr>
        <w:t>RRCRelease</w:t>
      </w:r>
      <w:r w:rsidRPr="00FA0D37">
        <w:t xml:space="preserve"> message with </w:t>
      </w:r>
      <w:r w:rsidRPr="00FA0D37">
        <w:rPr>
          <w:i/>
        </w:rPr>
        <w:t>suspendConfig</w:t>
      </w:r>
      <w:r w:rsidRPr="00FA0D37">
        <w:t xml:space="preserve"> was received in response to an </w:t>
      </w:r>
      <w:r w:rsidRPr="00FA0D37">
        <w:rPr>
          <w:i/>
        </w:rPr>
        <w:t xml:space="preserve">RRCResumeRequest </w:t>
      </w:r>
      <w:r w:rsidRPr="00FA0D37">
        <w:t xml:space="preserve">or an </w:t>
      </w:r>
      <w:r w:rsidRPr="00FA0D37">
        <w:rPr>
          <w:i/>
        </w:rPr>
        <w:t>RRCResumeRequest1</w:t>
      </w:r>
      <w:r w:rsidRPr="00FA0D37">
        <w:t>:</w:t>
      </w:r>
    </w:p>
    <w:p w14:paraId="00D6C40C" w14:textId="77777777" w:rsidR="00394471" w:rsidRPr="00FA0D37" w:rsidRDefault="00394471" w:rsidP="00394471">
      <w:pPr>
        <w:pStyle w:val="B3"/>
      </w:pPr>
      <w:r w:rsidRPr="00FA0D37">
        <w:t>3&gt;</w:t>
      </w:r>
      <w:r w:rsidRPr="00FA0D37">
        <w:tab/>
        <w:t>stop the timer T319 if running;</w:t>
      </w:r>
    </w:p>
    <w:p w14:paraId="4A2BA12D" w14:textId="77777777" w:rsidR="00394471" w:rsidRPr="00FA0D37" w:rsidRDefault="00394471" w:rsidP="00394471">
      <w:pPr>
        <w:pStyle w:val="B3"/>
      </w:pPr>
      <w:r w:rsidRPr="00FA0D37">
        <w:t>3&gt;</w:t>
      </w:r>
      <w:r w:rsidRPr="00FA0D37">
        <w:tab/>
        <w:t>in the stored UE Inactive AS context:</w:t>
      </w:r>
    </w:p>
    <w:p w14:paraId="06D32A9F" w14:textId="77777777" w:rsidR="00394471" w:rsidRPr="00FA0D37" w:rsidRDefault="00394471" w:rsidP="00394471">
      <w:pPr>
        <w:pStyle w:val="B4"/>
      </w:pPr>
      <w:r w:rsidRPr="00FA0D37">
        <w:t>4&gt;</w:t>
      </w:r>
      <w:r w:rsidRPr="00FA0D37">
        <w:tab/>
        <w:t>replace the K</w:t>
      </w:r>
      <w:r w:rsidRPr="00FA0D37">
        <w:rPr>
          <w:vertAlign w:val="subscript"/>
        </w:rPr>
        <w:t>gNB</w:t>
      </w:r>
      <w:r w:rsidRPr="00FA0D37">
        <w:t xml:space="preserve"> and K</w:t>
      </w:r>
      <w:r w:rsidRPr="00FA0D37">
        <w:rPr>
          <w:vertAlign w:val="subscript"/>
        </w:rPr>
        <w:t>RRCint</w:t>
      </w:r>
      <w:r w:rsidRPr="00FA0D37">
        <w:t xml:space="preserve"> keys with the current K</w:t>
      </w:r>
      <w:r w:rsidRPr="00FA0D37">
        <w:rPr>
          <w:vertAlign w:val="subscript"/>
        </w:rPr>
        <w:t>gNB</w:t>
      </w:r>
      <w:r w:rsidRPr="00FA0D37">
        <w:t xml:space="preserve"> and K</w:t>
      </w:r>
      <w:r w:rsidRPr="00FA0D37">
        <w:rPr>
          <w:vertAlign w:val="subscript"/>
        </w:rPr>
        <w:t>RRCint</w:t>
      </w:r>
      <w:r w:rsidRPr="00FA0D37">
        <w:t xml:space="preserve"> keys;</w:t>
      </w:r>
    </w:p>
    <w:p w14:paraId="2BF9C6E9" w14:textId="10592637" w:rsidR="00475E33" w:rsidRPr="00FA0D37" w:rsidRDefault="00475E33" w:rsidP="00475E33">
      <w:pPr>
        <w:pStyle w:val="B4"/>
        <w:rPr>
          <w:i/>
          <w:iCs/>
        </w:rPr>
      </w:pPr>
      <w:bookmarkStart w:id="120" w:name="_Hlk95514979"/>
      <w:r w:rsidRPr="00FA0D37">
        <w:t>4&gt;</w:t>
      </w:r>
      <w:r w:rsidRPr="00FA0D37">
        <w:tab/>
        <w:t xml:space="preserve">replace the </w:t>
      </w:r>
      <w:r w:rsidRPr="00FA0D37">
        <w:rPr>
          <w:i/>
          <w:iCs/>
        </w:rPr>
        <w:t xml:space="preserve">nextHopChainingCount </w:t>
      </w:r>
      <w:r w:rsidRPr="00FA0D37">
        <w:t xml:space="preserve">with the value of </w:t>
      </w:r>
      <w:r w:rsidRPr="00FA0D37">
        <w:rPr>
          <w:i/>
          <w:iCs/>
        </w:rPr>
        <w:t>nextHopChainingCount</w:t>
      </w:r>
      <w:r w:rsidRPr="00FA0D37">
        <w:t xml:space="preserve"> received in the </w:t>
      </w:r>
      <w:r w:rsidRPr="00FA0D37">
        <w:rPr>
          <w:i/>
        </w:rPr>
        <w:t xml:space="preserve">RRCRelease </w:t>
      </w:r>
      <w:r w:rsidRPr="00FA0D37">
        <w:rPr>
          <w:iCs/>
        </w:rPr>
        <w:t>message</w:t>
      </w:r>
      <w:r w:rsidRPr="00FA0D37">
        <w:rPr>
          <w:i/>
          <w:iCs/>
        </w:rPr>
        <w:t>;</w:t>
      </w:r>
    </w:p>
    <w:bookmarkEnd w:id="120"/>
    <w:p w14:paraId="1C3C4B2D" w14:textId="77777777" w:rsidR="00CD4D14" w:rsidRPr="00FA0D37" w:rsidRDefault="00CD4D14" w:rsidP="00CD4D14">
      <w:pPr>
        <w:pStyle w:val="B4"/>
      </w:pPr>
      <w:r w:rsidRPr="00FA0D37">
        <w:t>4&gt;</w:t>
      </w:r>
      <w:r w:rsidRPr="00FA0D37">
        <w:tab/>
        <w:t xml:space="preserve">replace the </w:t>
      </w:r>
      <w:r w:rsidRPr="00FA0D37">
        <w:rPr>
          <w:i/>
        </w:rPr>
        <w:t>cellIdentity</w:t>
      </w:r>
      <w:r w:rsidRPr="00FA0D37">
        <w:t xml:space="preserve"> with the </w:t>
      </w:r>
      <w:r w:rsidRPr="00FA0D37">
        <w:rPr>
          <w:i/>
        </w:rPr>
        <w:t>cellIdentity</w:t>
      </w:r>
      <w:r w:rsidRPr="00FA0D37">
        <w:t xml:space="preserve"> of the cell the UE has received the </w:t>
      </w:r>
      <w:r w:rsidRPr="00FA0D37">
        <w:rPr>
          <w:i/>
        </w:rPr>
        <w:t>RRCRelease</w:t>
      </w:r>
      <w:r w:rsidRPr="00FA0D37">
        <w:t xml:space="preserve"> message;</w:t>
      </w:r>
    </w:p>
    <w:p w14:paraId="501CB552" w14:textId="27CD664B" w:rsidR="00CD4D14" w:rsidRPr="00FA0D37" w:rsidRDefault="00CD4D14" w:rsidP="00CD4D14">
      <w:pPr>
        <w:pStyle w:val="B4"/>
      </w:pPr>
      <w:r w:rsidRPr="00FA0D37">
        <w:t>4&gt;</w:t>
      </w:r>
      <w:r w:rsidRPr="00FA0D37">
        <w:tab/>
        <w:t xml:space="preserve">if the </w:t>
      </w:r>
      <w:r w:rsidRPr="00FA0D37">
        <w:rPr>
          <w:i/>
        </w:rPr>
        <w:t>suspendConfig</w:t>
      </w:r>
      <w:r w:rsidRPr="00FA0D37">
        <w:t xml:space="preserve"> contains the </w:t>
      </w:r>
      <w:r w:rsidR="00F74A97" w:rsidRPr="00FA0D37">
        <w:rPr>
          <w:i/>
        </w:rPr>
        <w:t>sl-UEIdentityRemote</w:t>
      </w:r>
      <w:r w:rsidRPr="00FA0D37">
        <w:rPr>
          <w:i/>
        </w:rPr>
        <w:t xml:space="preserve"> </w:t>
      </w:r>
      <w:r w:rsidRPr="00FA0D37">
        <w:t>(i.e. the UE is a L2 U2N Remote UE):</w:t>
      </w:r>
    </w:p>
    <w:p w14:paraId="4FD4FAFB" w14:textId="77777777" w:rsidR="00CD4D14" w:rsidRPr="00FA0D37" w:rsidRDefault="00CD4D14" w:rsidP="00CD4D14">
      <w:pPr>
        <w:pStyle w:val="B5"/>
      </w:pPr>
      <w:r w:rsidRPr="00FA0D37">
        <w:t>5&gt;</w:t>
      </w:r>
      <w:r w:rsidRPr="00FA0D37">
        <w:tab/>
        <w:t xml:space="preserve">replace the C-RNTI with the value of the </w:t>
      </w:r>
      <w:r w:rsidRPr="00FA0D37">
        <w:rPr>
          <w:i/>
        </w:rPr>
        <w:t>sl-UEIdentityRemote</w:t>
      </w:r>
      <w:r w:rsidRPr="00FA0D37">
        <w:t>;</w:t>
      </w:r>
    </w:p>
    <w:p w14:paraId="13640759" w14:textId="77777777" w:rsidR="00F74A97" w:rsidRPr="00FA0D37" w:rsidRDefault="00F74A97" w:rsidP="00F74A97">
      <w:pPr>
        <w:pStyle w:val="B5"/>
      </w:pPr>
      <w:r w:rsidRPr="00FA0D37">
        <w:t>5&gt;</w:t>
      </w:r>
      <w:r w:rsidRPr="00FA0D37">
        <w:tab/>
        <w:t>replace the physical cell identity</w:t>
      </w:r>
      <w:r w:rsidRPr="00FA0D37">
        <w:rPr>
          <w:i/>
        </w:rPr>
        <w:t xml:space="preserve"> </w:t>
      </w:r>
      <w:r w:rsidRPr="00FA0D37">
        <w:t xml:space="preserve">with the value of the </w:t>
      </w:r>
      <w:r w:rsidRPr="00FA0D37">
        <w:rPr>
          <w:i/>
        </w:rPr>
        <w:t xml:space="preserve">sl-PhysCellId </w:t>
      </w:r>
      <w:r w:rsidRPr="00FA0D37">
        <w:t xml:space="preserve">in </w:t>
      </w:r>
      <w:r w:rsidRPr="00FA0D37">
        <w:rPr>
          <w:i/>
        </w:rPr>
        <w:t xml:space="preserve">sl-ServingCellInfo </w:t>
      </w:r>
      <w:r w:rsidRPr="00FA0D37">
        <w:t>contained in the discovery message received from the connected L2 U2N Relay UE;</w:t>
      </w:r>
    </w:p>
    <w:p w14:paraId="38AD53F7" w14:textId="77777777" w:rsidR="00CD4D14" w:rsidRPr="00FA0D37" w:rsidRDefault="00CD4D14" w:rsidP="00CD4D14">
      <w:pPr>
        <w:pStyle w:val="B4"/>
      </w:pPr>
      <w:r w:rsidRPr="00FA0D37">
        <w:t>4&gt; else:</w:t>
      </w:r>
    </w:p>
    <w:p w14:paraId="6E16CA95" w14:textId="7FA6E53E" w:rsidR="00394471" w:rsidRPr="00FA0D37" w:rsidRDefault="00CD4D14" w:rsidP="000830BB">
      <w:pPr>
        <w:pStyle w:val="B5"/>
      </w:pPr>
      <w:r w:rsidRPr="00FA0D37">
        <w:t>5</w:t>
      </w:r>
      <w:r w:rsidR="00394471" w:rsidRPr="00FA0D37">
        <w:t>&gt;</w:t>
      </w:r>
      <w:r w:rsidR="00394471" w:rsidRPr="00FA0D37">
        <w:tab/>
        <w:t xml:space="preserve">replace the C-RNTI with the C-RNTI </w:t>
      </w:r>
      <w:r w:rsidR="00173614" w:rsidRPr="00FA0D37">
        <w:t xml:space="preserve">used </w:t>
      </w:r>
      <w:r w:rsidR="00394471" w:rsidRPr="00FA0D37">
        <w:t xml:space="preserve">in the cell </w:t>
      </w:r>
      <w:r w:rsidR="00173614" w:rsidRPr="00FA0D37">
        <w:t xml:space="preserve">(see TS 38.321 [3]) </w:t>
      </w:r>
      <w:r w:rsidR="00394471" w:rsidRPr="00FA0D37">
        <w:t xml:space="preserve">the UE has received the </w:t>
      </w:r>
      <w:r w:rsidR="00394471" w:rsidRPr="00FA0D37">
        <w:rPr>
          <w:i/>
        </w:rPr>
        <w:t>RRCRelease</w:t>
      </w:r>
      <w:r w:rsidR="00394471" w:rsidRPr="00FA0D37">
        <w:t xml:space="preserve"> message;</w:t>
      </w:r>
    </w:p>
    <w:p w14:paraId="2EC108CD" w14:textId="3B4B54BD" w:rsidR="00394471" w:rsidRPr="00FA0D37" w:rsidRDefault="00CD4D14" w:rsidP="000830BB">
      <w:pPr>
        <w:pStyle w:val="B5"/>
      </w:pPr>
      <w:r w:rsidRPr="00FA0D37">
        <w:t>5</w:t>
      </w:r>
      <w:r w:rsidR="00394471" w:rsidRPr="00FA0D37">
        <w:t>&gt;</w:t>
      </w:r>
      <w:r w:rsidR="00394471" w:rsidRPr="00FA0D37">
        <w:tab/>
        <w:t>replace the physical cell identity</w:t>
      </w:r>
      <w:r w:rsidR="00394471" w:rsidRPr="00FA0D37">
        <w:rPr>
          <w:i/>
        </w:rPr>
        <w:t xml:space="preserve"> </w:t>
      </w:r>
      <w:r w:rsidR="00394471" w:rsidRPr="00FA0D37">
        <w:t xml:space="preserve">with the physical cell identity of the cell the UE has received the </w:t>
      </w:r>
      <w:r w:rsidR="00394471" w:rsidRPr="00FA0D37">
        <w:rPr>
          <w:i/>
        </w:rPr>
        <w:t>RRCRelease</w:t>
      </w:r>
      <w:r w:rsidR="00394471" w:rsidRPr="00FA0D37">
        <w:t xml:space="preserve"> message;</w:t>
      </w:r>
    </w:p>
    <w:p w14:paraId="239A0373" w14:textId="27FE4B3C" w:rsidR="00475E33" w:rsidRPr="00FA0D37" w:rsidRDefault="00475E33" w:rsidP="000830BB">
      <w:pPr>
        <w:pStyle w:val="B3"/>
      </w:pPr>
      <w:bookmarkStart w:id="121" w:name="_Hlk95514990"/>
      <w:r w:rsidRPr="00FA0D37">
        <w:t>3&gt;</w:t>
      </w:r>
      <w:r w:rsidRPr="00FA0D37">
        <w:tab/>
        <w:t xml:space="preserve">replace the </w:t>
      </w:r>
      <w:r w:rsidRPr="00FA0D37">
        <w:rPr>
          <w:i/>
          <w:iCs/>
        </w:rPr>
        <w:t>nextHopChainingCount</w:t>
      </w:r>
      <w:r w:rsidRPr="00FA0D37">
        <w:t xml:space="preserve"> with the value associated with the current K</w:t>
      </w:r>
      <w:r w:rsidRPr="00FA0D37">
        <w:rPr>
          <w:vertAlign w:val="subscript"/>
        </w:rPr>
        <w:t>gNB</w:t>
      </w:r>
      <w:r w:rsidRPr="00FA0D37">
        <w:t>;</w:t>
      </w:r>
    </w:p>
    <w:bookmarkEnd w:id="121"/>
    <w:p w14:paraId="451B9400" w14:textId="25863121" w:rsidR="00E23C69" w:rsidRPr="00FA0D37" w:rsidRDefault="00E23C69" w:rsidP="00E23C69">
      <w:pPr>
        <w:pStyle w:val="B3"/>
      </w:pPr>
      <w:r w:rsidRPr="00FA0D37">
        <w:t>3&gt;</w:t>
      </w:r>
      <w:r w:rsidRPr="00FA0D37">
        <w:tab/>
        <w:t>stop the timer T319a if running</w:t>
      </w:r>
      <w:r w:rsidR="007D3EDC" w:rsidRPr="00FA0D37">
        <w:t xml:space="preserve"> and consider SDT procedure is not ongoing</w:t>
      </w:r>
      <w:r w:rsidRPr="00FA0D37">
        <w:t>;</w:t>
      </w:r>
    </w:p>
    <w:p w14:paraId="3E7B7584" w14:textId="77777777" w:rsidR="00394471" w:rsidRPr="00FA0D37" w:rsidRDefault="00394471" w:rsidP="00394471">
      <w:pPr>
        <w:pStyle w:val="B2"/>
      </w:pPr>
      <w:r w:rsidRPr="00FA0D37">
        <w:t>2&gt;</w:t>
      </w:r>
      <w:r w:rsidRPr="00FA0D37">
        <w:tab/>
        <w:t>else:</w:t>
      </w:r>
    </w:p>
    <w:p w14:paraId="21582903" w14:textId="41054B10" w:rsidR="00394471" w:rsidRPr="00FA0D37" w:rsidRDefault="00394471" w:rsidP="00394471">
      <w:pPr>
        <w:pStyle w:val="B3"/>
      </w:pPr>
      <w:r w:rsidRPr="00FA0D37">
        <w:t>3&gt;</w:t>
      </w:r>
      <w:r w:rsidRPr="00FA0D37">
        <w:tab/>
        <w:t xml:space="preserve">store in the UE Inactive AS Context </w:t>
      </w:r>
      <w:bookmarkStart w:id="122" w:name="_Hlk95515016"/>
      <w:r w:rsidR="00475E33" w:rsidRPr="00FA0D37">
        <w:t xml:space="preserve">the </w:t>
      </w:r>
      <w:r w:rsidR="00475E33" w:rsidRPr="00FA0D37">
        <w:rPr>
          <w:i/>
          <w:iCs/>
        </w:rPr>
        <w:t xml:space="preserve">nextHopChainingCount </w:t>
      </w:r>
      <w:r w:rsidR="00475E33" w:rsidRPr="00FA0D37">
        <w:t xml:space="preserve">received in the </w:t>
      </w:r>
      <w:r w:rsidR="00475E33" w:rsidRPr="00FA0D37">
        <w:rPr>
          <w:i/>
        </w:rPr>
        <w:t xml:space="preserve">RRCRelease </w:t>
      </w:r>
      <w:r w:rsidR="00475E33" w:rsidRPr="00FA0D37">
        <w:rPr>
          <w:iCs/>
        </w:rPr>
        <w:t>message</w:t>
      </w:r>
      <w:r w:rsidR="00475E33" w:rsidRPr="00FA0D37">
        <w:rPr>
          <w:i/>
          <w:iCs/>
        </w:rPr>
        <w:t>,</w:t>
      </w:r>
      <w:bookmarkEnd w:id="122"/>
      <w:r w:rsidR="00475E33" w:rsidRPr="00FA0D37">
        <w:t xml:space="preserve"> </w:t>
      </w:r>
      <w:r w:rsidRPr="00FA0D37">
        <w:t>the current K</w:t>
      </w:r>
      <w:r w:rsidRPr="00FA0D37">
        <w:rPr>
          <w:vertAlign w:val="subscript"/>
        </w:rPr>
        <w:t>gNB</w:t>
      </w:r>
      <w:r w:rsidRPr="00FA0D37">
        <w:t xml:space="preserve"> and K</w:t>
      </w:r>
      <w:r w:rsidRPr="00FA0D37">
        <w:rPr>
          <w:vertAlign w:val="subscript"/>
        </w:rPr>
        <w:t xml:space="preserve">RRCint </w:t>
      </w:r>
      <w:r w:rsidRPr="00FA0D37">
        <w:t xml:space="preserve">keys, the ROHC state, </w:t>
      </w:r>
      <w:r w:rsidR="00EA3A97" w:rsidRPr="00FA0D37">
        <w:t>the EHC context(s),</w:t>
      </w:r>
      <w:r w:rsidR="0052178C" w:rsidRPr="00FA0D37">
        <w:t xml:space="preserve"> the UDC state,</w:t>
      </w:r>
      <w:r w:rsidR="00EA3A97" w:rsidRPr="00FA0D37">
        <w:t xml:space="preserve"> </w:t>
      </w:r>
      <w:r w:rsidRPr="00FA0D37">
        <w:t xml:space="preserve">the stored QoS flow to DRB mapping rules, </w:t>
      </w:r>
      <w:r w:rsidR="00811135" w:rsidRPr="00FA0D37">
        <w:t xml:space="preserve">the application layer measurement configuration, </w:t>
      </w:r>
      <w:r w:rsidRPr="00FA0D37">
        <w:t xml:space="preserve">the C-RNTI used in the source PCell, the </w:t>
      </w:r>
      <w:r w:rsidRPr="00FA0D37">
        <w:rPr>
          <w:i/>
        </w:rPr>
        <w:t>cellIdentity</w:t>
      </w:r>
      <w:r w:rsidRPr="00FA0D37">
        <w:t xml:space="preserve"> and the physical cell identity of the source PCell, the </w:t>
      </w:r>
      <w:r w:rsidRPr="00FA0D37">
        <w:rPr>
          <w:i/>
          <w:iCs/>
        </w:rPr>
        <w:t xml:space="preserve">spCellConfigCommon </w:t>
      </w:r>
      <w:r w:rsidRPr="00FA0D37">
        <w:t xml:space="preserve">within </w:t>
      </w:r>
      <w:r w:rsidRPr="00FA0D37">
        <w:rPr>
          <w:i/>
        </w:rPr>
        <w:t>ReconfigurationWithSync</w:t>
      </w:r>
      <w:r w:rsidRPr="00FA0D37">
        <w:t xml:space="preserve"> of the NR PSCell (if configured) and all other parameters configured except for:</w:t>
      </w:r>
    </w:p>
    <w:p w14:paraId="4E2A2CAF" w14:textId="77777777" w:rsidR="00394471" w:rsidRPr="00FA0D37" w:rsidRDefault="00394471" w:rsidP="00394471">
      <w:pPr>
        <w:pStyle w:val="B4"/>
      </w:pPr>
      <w:r w:rsidRPr="00FA0D37">
        <w:t>-</w:t>
      </w:r>
      <w:r w:rsidRPr="00FA0D37">
        <w:tab/>
        <w:t xml:space="preserve">parameters within </w:t>
      </w:r>
      <w:r w:rsidRPr="00FA0D37">
        <w:rPr>
          <w:i/>
        </w:rPr>
        <w:t>ReconfigurationWithSync</w:t>
      </w:r>
      <w:r w:rsidRPr="00FA0D37">
        <w:t xml:space="preserve"> of the PCell;</w:t>
      </w:r>
    </w:p>
    <w:p w14:paraId="43011230" w14:textId="77777777" w:rsidR="00394471" w:rsidRPr="00FA0D37" w:rsidRDefault="00394471" w:rsidP="00394471">
      <w:pPr>
        <w:pStyle w:val="B4"/>
      </w:pPr>
      <w:r w:rsidRPr="00FA0D37">
        <w:t>-</w:t>
      </w:r>
      <w:r w:rsidRPr="00FA0D37">
        <w:tab/>
        <w:t xml:space="preserve">parameters within </w:t>
      </w:r>
      <w:r w:rsidRPr="00FA0D37">
        <w:rPr>
          <w:i/>
        </w:rPr>
        <w:t>ReconfigurationWithSync</w:t>
      </w:r>
      <w:r w:rsidRPr="00FA0D37">
        <w:t xml:space="preserve"> of the NR PSCell, if configured;</w:t>
      </w:r>
    </w:p>
    <w:p w14:paraId="1B238266" w14:textId="77777777" w:rsidR="00394471" w:rsidRPr="00FA0D37" w:rsidRDefault="00394471" w:rsidP="00394471">
      <w:pPr>
        <w:pStyle w:val="B4"/>
      </w:pPr>
      <w:r w:rsidRPr="00FA0D37">
        <w:t>-</w:t>
      </w:r>
      <w:r w:rsidRPr="00FA0D37">
        <w:tab/>
        <w:t xml:space="preserve">parameters within </w:t>
      </w:r>
      <w:r w:rsidRPr="00FA0D37">
        <w:rPr>
          <w:i/>
        </w:rPr>
        <w:t>MobilityControlInfoSCG</w:t>
      </w:r>
      <w:r w:rsidRPr="00FA0D37">
        <w:t xml:space="preserve"> of the E-UTRA PSCell, if configured;</w:t>
      </w:r>
    </w:p>
    <w:p w14:paraId="329A6D02" w14:textId="77777777" w:rsidR="00CD4D14" w:rsidRPr="00FA0D37" w:rsidRDefault="00394471" w:rsidP="00CD4D14">
      <w:pPr>
        <w:pStyle w:val="B4"/>
      </w:pPr>
      <w:r w:rsidRPr="00FA0D37">
        <w:t>-</w:t>
      </w:r>
      <w:r w:rsidRPr="00FA0D37">
        <w:tab/>
      </w:r>
      <w:r w:rsidRPr="00FA0D37">
        <w:rPr>
          <w:i/>
        </w:rPr>
        <w:t>servingCellConfigCommonSIB</w:t>
      </w:r>
      <w:r w:rsidRPr="00FA0D37">
        <w:t>;</w:t>
      </w:r>
    </w:p>
    <w:p w14:paraId="6954B4B3" w14:textId="1CA32208" w:rsidR="00CD4D14" w:rsidRPr="00FA0D37" w:rsidRDefault="00CD4D14" w:rsidP="00CD4D14">
      <w:pPr>
        <w:pStyle w:val="B4"/>
        <w:rPr>
          <w:i/>
        </w:rPr>
      </w:pPr>
      <w:r w:rsidRPr="00FA0D37">
        <w:t>-</w:t>
      </w:r>
      <w:r w:rsidRPr="00FA0D37">
        <w:tab/>
      </w:r>
      <w:r w:rsidRPr="00FA0D37">
        <w:rPr>
          <w:i/>
        </w:rPr>
        <w:t>sl-L2RelayUE</w:t>
      </w:r>
      <w:r w:rsidR="00F74A97" w:rsidRPr="00FA0D37">
        <w:rPr>
          <w:i/>
        </w:rPr>
        <w:t>-</w:t>
      </w:r>
      <w:r w:rsidRPr="00FA0D37">
        <w:rPr>
          <w:i/>
        </w:rPr>
        <w:t>Config</w:t>
      </w:r>
      <w:r w:rsidRPr="00FA0D37">
        <w:t>, if configured</w:t>
      </w:r>
      <w:r w:rsidRPr="00FA0D37">
        <w:rPr>
          <w:iCs/>
        </w:rPr>
        <w:t>;</w:t>
      </w:r>
    </w:p>
    <w:p w14:paraId="5FECEAC0" w14:textId="77777777" w:rsidR="009921AA" w:rsidRPr="00FA0D37" w:rsidRDefault="00CD4D14" w:rsidP="009921AA">
      <w:pPr>
        <w:pStyle w:val="B4"/>
      </w:pPr>
      <w:r w:rsidRPr="00FA0D37">
        <w:t>-</w:t>
      </w:r>
      <w:r w:rsidRPr="00FA0D37">
        <w:tab/>
      </w:r>
      <w:r w:rsidRPr="00FA0D37">
        <w:rPr>
          <w:i/>
        </w:rPr>
        <w:t>sl-L2RemoteUE</w:t>
      </w:r>
      <w:r w:rsidR="00F74A97" w:rsidRPr="00FA0D37">
        <w:rPr>
          <w:i/>
        </w:rPr>
        <w:t>-</w:t>
      </w:r>
      <w:r w:rsidRPr="00FA0D37">
        <w:rPr>
          <w:i/>
        </w:rPr>
        <w:t>Config</w:t>
      </w:r>
      <w:r w:rsidRPr="00FA0D37">
        <w:t>, if configured;</w:t>
      </w:r>
    </w:p>
    <w:p w14:paraId="3C4E370E" w14:textId="517334B5" w:rsidR="00394471" w:rsidRPr="00FA0D37" w:rsidRDefault="009921AA" w:rsidP="00A12BD9">
      <w:pPr>
        <w:pStyle w:val="NO"/>
        <w:rPr>
          <w:iCs/>
        </w:rPr>
      </w:pPr>
      <w:r w:rsidRPr="00FA0D37">
        <w:t>NOTE 1c:</w:t>
      </w:r>
      <w:r w:rsidRPr="00FA0D37">
        <w:tab/>
      </w:r>
      <w:r w:rsidRPr="00FA0D37">
        <w:rPr>
          <w:i/>
        </w:rPr>
        <w:t>suspendConfig</w:t>
      </w:r>
      <w:r w:rsidRPr="00FA0D37">
        <w:t xml:space="preserve"> is not stored as part of UE Inactive AS Context, except for the fields explicitly specified.</w:t>
      </w:r>
    </w:p>
    <w:p w14:paraId="75CF20FF" w14:textId="05666F00" w:rsidR="00811135" w:rsidRPr="00FA0D37" w:rsidRDefault="00811135" w:rsidP="00811135">
      <w:pPr>
        <w:pStyle w:val="B3"/>
      </w:pPr>
      <w:r w:rsidRPr="00FA0D37">
        <w:t>3&gt;</w:t>
      </w:r>
      <w:r w:rsidRPr="00FA0D37">
        <w:tab/>
        <w:t xml:space="preserve">store any previously or subsequently received application layer measurement report </w:t>
      </w:r>
      <w:r w:rsidR="00156D01" w:rsidRPr="00FA0D37">
        <w:t xml:space="preserve">containers </w:t>
      </w:r>
      <w:r w:rsidRPr="00FA0D37">
        <w:t>for which no segment, or full message, has been submitted to lower layers for transmission;</w:t>
      </w:r>
    </w:p>
    <w:p w14:paraId="1FA2F02D" w14:textId="5600590D" w:rsidR="00394471" w:rsidRPr="00FA0D37" w:rsidRDefault="00394471" w:rsidP="00394471">
      <w:pPr>
        <w:pStyle w:val="NO"/>
      </w:pPr>
      <w:r w:rsidRPr="00FA0D37">
        <w:t>NOTE 2:</w:t>
      </w:r>
      <w:r w:rsidRPr="00FA0D37">
        <w:tab/>
        <w:t>NR sidelink communication</w:t>
      </w:r>
      <w:r w:rsidR="00BD7E37" w:rsidRPr="00FA0D37">
        <w:rPr>
          <w:lang w:eastAsia="zh-CN"/>
        </w:rPr>
        <w:t>/discovery</w:t>
      </w:r>
      <w:r w:rsidRPr="00FA0D37">
        <w:rPr>
          <w:lang w:eastAsia="zh-CN"/>
        </w:rPr>
        <w:t xml:space="preserve"> related configurations and logged measurement configuration are not stored as </w:t>
      </w:r>
      <w:r w:rsidRPr="00FA0D37">
        <w:t>UE Inactive AS Context</w:t>
      </w:r>
      <w:r w:rsidRPr="00FA0D37">
        <w:rPr>
          <w:lang w:eastAsia="zh-CN"/>
        </w:rPr>
        <w:t xml:space="preserve">, when UE enters </w:t>
      </w:r>
      <w:r w:rsidRPr="00FA0D37">
        <w:t>RRC_INACTIVE.</w:t>
      </w:r>
    </w:p>
    <w:p w14:paraId="48E4AAE4" w14:textId="0BDB011B" w:rsidR="00394471" w:rsidRPr="00FA0D37" w:rsidRDefault="00394471" w:rsidP="00394471">
      <w:pPr>
        <w:pStyle w:val="B2"/>
      </w:pPr>
      <w:r w:rsidRPr="00FA0D37">
        <w:t>2&gt;</w:t>
      </w:r>
      <w:r w:rsidRPr="00FA0D37">
        <w:tab/>
        <w:t>suspend all SRB(s) and DRB(s)</w:t>
      </w:r>
      <w:del w:id="123" w:author="Huawei, HiSilicon" w:date="2023-12-06T15:11:00Z">
        <w:r w:rsidR="00214323" w:rsidRPr="00FA0D37" w:rsidDel="00103DA3">
          <w:delText xml:space="preserve"> and multicast MRB(s)</w:delText>
        </w:r>
      </w:del>
      <w:r w:rsidRPr="00FA0D37">
        <w:t>, except SRB0</w:t>
      </w:r>
      <w:r w:rsidR="001C1AF2" w:rsidRPr="00FA0D37">
        <w:t xml:space="preserve"> and broadcast MRBs</w:t>
      </w:r>
      <w:r w:rsidRPr="00FA0D37">
        <w:t>;</w:t>
      </w:r>
    </w:p>
    <w:p w14:paraId="061747FD" w14:textId="77777777" w:rsidR="00103DA3" w:rsidRDefault="00103DA3" w:rsidP="00394471">
      <w:pPr>
        <w:pStyle w:val="B2"/>
        <w:rPr>
          <w:ins w:id="124" w:author="Huawei, HiSilicon" w:date="2023-12-06T15:11:00Z"/>
        </w:rPr>
      </w:pPr>
      <w:ins w:id="125" w:author="Huawei, HiSilicon" w:date="2023-12-06T15:11:00Z">
        <w:r>
          <w:lastRenderedPageBreak/>
          <w:t>2&gt;</w:t>
        </w:r>
        <w:r>
          <w:tab/>
          <w:t>suspend all multicast MRB(s) associated with multicast session(s) not configured to receive in RRC_INACTIVE;</w:t>
        </w:r>
      </w:ins>
    </w:p>
    <w:p w14:paraId="077CBDAE" w14:textId="4DB078CE" w:rsidR="00394471" w:rsidRPr="00FA0D37" w:rsidRDefault="00394471" w:rsidP="00394471">
      <w:pPr>
        <w:pStyle w:val="B2"/>
      </w:pPr>
      <w:r w:rsidRPr="00FA0D37">
        <w:t>2&gt;</w:t>
      </w:r>
      <w:r w:rsidRPr="00FA0D37">
        <w:tab/>
        <w:t>indicate PDCP suspend to lower layers of all DRBs</w:t>
      </w:r>
      <w:r w:rsidR="00214323" w:rsidRPr="00FA0D37">
        <w:t xml:space="preserve"> and multicast MRBs</w:t>
      </w:r>
      <w:ins w:id="126" w:author="Huawei, HiSilicon" w:date="2023-12-06T15:11:00Z">
        <w:r w:rsidR="00103DA3">
          <w:t xml:space="preserve"> associated with multicast session(s) not configured to receive in RRC_INACTIVE</w:t>
        </w:r>
      </w:ins>
      <w:r w:rsidRPr="00FA0D37">
        <w:t>;</w:t>
      </w:r>
    </w:p>
    <w:p w14:paraId="5351D540" w14:textId="77777777" w:rsidR="00906CD1" w:rsidRPr="00FA0D37" w:rsidRDefault="00906CD1" w:rsidP="00906CD1">
      <w:pPr>
        <w:pStyle w:val="B2"/>
        <w:rPr>
          <w:lang w:eastAsia="zh-CN"/>
        </w:rPr>
      </w:pPr>
      <w:r w:rsidRPr="00FA0D37">
        <w:rPr>
          <w:lang w:eastAsia="zh-CN"/>
        </w:rPr>
        <w:t>2&gt;</w:t>
      </w:r>
      <w:r w:rsidRPr="00FA0D37">
        <w:rPr>
          <w:lang w:eastAsia="zh-CN"/>
        </w:rPr>
        <w:tab/>
        <w:t>release Uu Relay RLC channel(s), if configured;</w:t>
      </w:r>
    </w:p>
    <w:p w14:paraId="056ECAAD" w14:textId="77777777" w:rsidR="00906CD1" w:rsidRPr="00FA0D37" w:rsidRDefault="00906CD1" w:rsidP="00906CD1">
      <w:pPr>
        <w:pStyle w:val="B2"/>
        <w:rPr>
          <w:lang w:eastAsia="zh-CN"/>
        </w:rPr>
      </w:pPr>
      <w:r w:rsidRPr="00FA0D37">
        <w:rPr>
          <w:lang w:eastAsia="zh-CN"/>
        </w:rPr>
        <w:t>2&gt;</w:t>
      </w:r>
      <w:r w:rsidRPr="00FA0D37">
        <w:rPr>
          <w:lang w:eastAsia="zh-CN"/>
        </w:rPr>
        <w:tab/>
        <w:t>release PC5 Relay RLC channel(s), if configured;</w:t>
      </w:r>
    </w:p>
    <w:p w14:paraId="73994EFC" w14:textId="77777777" w:rsidR="00F523B3" w:rsidRPr="00FA0D37" w:rsidRDefault="00BD7E37" w:rsidP="00F523B3">
      <w:pPr>
        <w:pStyle w:val="B2"/>
        <w:rPr>
          <w:lang w:eastAsia="zh-CN"/>
        </w:rPr>
      </w:pPr>
      <w:r w:rsidRPr="00FA0D37">
        <w:rPr>
          <w:lang w:eastAsia="zh-CN"/>
        </w:rPr>
        <w:t>2&gt;</w:t>
      </w:r>
      <w:r w:rsidRPr="00FA0D37">
        <w:rPr>
          <w:lang w:eastAsia="zh-CN"/>
        </w:rPr>
        <w:tab/>
        <w:t>release the SRAP entity, if configured;</w:t>
      </w:r>
    </w:p>
    <w:p w14:paraId="38DFF802" w14:textId="5085595E" w:rsidR="00BD7E37" w:rsidRPr="00FA0D37" w:rsidRDefault="00F523B3" w:rsidP="002B3C2B">
      <w:pPr>
        <w:pStyle w:val="NO"/>
        <w:rPr>
          <w:lang w:eastAsia="zh-CN"/>
        </w:rPr>
      </w:pPr>
      <w:r w:rsidRPr="00FA0D37">
        <w:t xml:space="preserve">NOTE </w:t>
      </w:r>
      <w:r w:rsidR="00362A24" w:rsidRPr="00FA0D37">
        <w:t>2a</w:t>
      </w:r>
      <w:r w:rsidRPr="00FA0D37">
        <w:t>:</w:t>
      </w:r>
      <w:r w:rsidRPr="00FA0D37">
        <w:tab/>
        <w:t>A L2 U2N Relay UE may re-establish the SL-RLC0, SL-RLC1 and SRAP entity after release.</w:t>
      </w:r>
    </w:p>
    <w:p w14:paraId="57856F50" w14:textId="77777777" w:rsidR="00394471" w:rsidRPr="00FA0D37" w:rsidRDefault="00394471" w:rsidP="00394471">
      <w:pPr>
        <w:pStyle w:val="B2"/>
      </w:pPr>
      <w:r w:rsidRPr="00FA0D37">
        <w:t>2&gt;</w:t>
      </w:r>
      <w:r w:rsidRPr="00FA0D37">
        <w:tab/>
        <w:t xml:space="preserve">if the </w:t>
      </w:r>
      <w:r w:rsidRPr="00FA0D37">
        <w:rPr>
          <w:i/>
        </w:rPr>
        <w:t>t380</w:t>
      </w:r>
      <w:r w:rsidRPr="00FA0D37">
        <w:t xml:space="preserve"> is included:</w:t>
      </w:r>
    </w:p>
    <w:p w14:paraId="350C2542" w14:textId="77777777" w:rsidR="00394471" w:rsidRPr="00FA0D37" w:rsidRDefault="00394471" w:rsidP="00394471">
      <w:pPr>
        <w:pStyle w:val="B3"/>
      </w:pPr>
      <w:r w:rsidRPr="00FA0D37">
        <w:t>3&gt;</w:t>
      </w:r>
      <w:r w:rsidRPr="00FA0D37">
        <w:tab/>
        <w:t>start timer T380, with the timer value set to</w:t>
      </w:r>
      <w:r w:rsidRPr="00FA0D37">
        <w:rPr>
          <w:i/>
        </w:rPr>
        <w:t xml:space="preserve"> t380</w:t>
      </w:r>
      <w:r w:rsidRPr="00FA0D37">
        <w:t>;</w:t>
      </w:r>
    </w:p>
    <w:p w14:paraId="2DFE1C9C" w14:textId="77777777" w:rsidR="00394471" w:rsidRPr="00FA0D37" w:rsidRDefault="00394471" w:rsidP="00394471">
      <w:pPr>
        <w:pStyle w:val="B2"/>
      </w:pPr>
      <w:r w:rsidRPr="00FA0D37">
        <w:t>2&gt;</w:t>
      </w:r>
      <w:r w:rsidRPr="00FA0D37">
        <w:tab/>
        <w:t xml:space="preserve">if the </w:t>
      </w:r>
      <w:r w:rsidRPr="00FA0D37">
        <w:rPr>
          <w:i/>
        </w:rPr>
        <w:t>RRCRelease</w:t>
      </w:r>
      <w:r w:rsidRPr="00FA0D37">
        <w:t xml:space="preserve"> message is including the </w:t>
      </w:r>
      <w:r w:rsidRPr="00FA0D37">
        <w:rPr>
          <w:i/>
        </w:rPr>
        <w:t>waitTime</w:t>
      </w:r>
      <w:r w:rsidRPr="00FA0D37">
        <w:t>:</w:t>
      </w:r>
    </w:p>
    <w:p w14:paraId="089C5907" w14:textId="77777777" w:rsidR="00394471" w:rsidRPr="00FA0D37" w:rsidRDefault="00394471" w:rsidP="00394471">
      <w:pPr>
        <w:pStyle w:val="B3"/>
      </w:pPr>
      <w:r w:rsidRPr="00FA0D37">
        <w:t>3&gt;</w:t>
      </w:r>
      <w:r w:rsidRPr="00FA0D37">
        <w:tab/>
        <w:t xml:space="preserve">start timer T302 with the value set to the </w:t>
      </w:r>
      <w:r w:rsidRPr="00FA0D37">
        <w:rPr>
          <w:i/>
        </w:rPr>
        <w:t>waitTime</w:t>
      </w:r>
      <w:r w:rsidRPr="00FA0D37">
        <w:t>;</w:t>
      </w:r>
    </w:p>
    <w:p w14:paraId="7110188A" w14:textId="77777777" w:rsidR="00394471" w:rsidRPr="00FA0D37" w:rsidRDefault="00394471" w:rsidP="00394471">
      <w:pPr>
        <w:pStyle w:val="B3"/>
      </w:pPr>
      <w:r w:rsidRPr="00FA0D37">
        <w:t>3&gt;</w:t>
      </w:r>
      <w:r w:rsidRPr="00FA0D37">
        <w:tab/>
        <w:t>inform upper layers that access barring is applicable for all access categories except categories '0' and '2';</w:t>
      </w:r>
    </w:p>
    <w:p w14:paraId="118A4C6A" w14:textId="77777777" w:rsidR="00394471" w:rsidRPr="00FA0D37" w:rsidRDefault="00394471" w:rsidP="00394471">
      <w:pPr>
        <w:pStyle w:val="B2"/>
      </w:pPr>
      <w:r w:rsidRPr="00FA0D37">
        <w:t>2&gt;</w:t>
      </w:r>
      <w:r w:rsidRPr="00FA0D37">
        <w:tab/>
        <w:t>if T390 is running:</w:t>
      </w:r>
    </w:p>
    <w:p w14:paraId="01A22FBD" w14:textId="77777777" w:rsidR="00394471" w:rsidRPr="00FA0D37" w:rsidRDefault="00394471" w:rsidP="00394471">
      <w:pPr>
        <w:pStyle w:val="B3"/>
      </w:pPr>
      <w:r w:rsidRPr="00FA0D37">
        <w:t>3&gt;</w:t>
      </w:r>
      <w:r w:rsidRPr="00FA0D37">
        <w:tab/>
        <w:t>stop timer T390 for all access categories;</w:t>
      </w:r>
    </w:p>
    <w:p w14:paraId="460E2619" w14:textId="77777777" w:rsidR="00394471" w:rsidRPr="00FA0D37" w:rsidRDefault="00394471" w:rsidP="00394471">
      <w:pPr>
        <w:pStyle w:val="B3"/>
      </w:pPr>
      <w:r w:rsidRPr="00FA0D37">
        <w:t>3&gt;</w:t>
      </w:r>
      <w:r w:rsidRPr="00FA0D37">
        <w:tab/>
        <w:t>perform the actions as specified in 5.3.14.4;</w:t>
      </w:r>
    </w:p>
    <w:p w14:paraId="27D86F04" w14:textId="77777777" w:rsidR="00394471" w:rsidRPr="00FA0D37" w:rsidRDefault="00394471" w:rsidP="00394471">
      <w:pPr>
        <w:pStyle w:val="B2"/>
      </w:pPr>
      <w:r w:rsidRPr="00FA0D37">
        <w:t>2&gt;</w:t>
      </w:r>
      <w:r w:rsidRPr="00FA0D37">
        <w:tab/>
        <w:t>indicate the suspension of the RRC connection to upper layers;</w:t>
      </w:r>
    </w:p>
    <w:p w14:paraId="003FC8AC" w14:textId="77777777" w:rsidR="00984519" w:rsidRPr="00FA0D37" w:rsidRDefault="00984519" w:rsidP="00984519">
      <w:pPr>
        <w:pStyle w:val="B2"/>
      </w:pPr>
      <w:r w:rsidRPr="00FA0D37">
        <w:t>2&gt;</w:t>
      </w:r>
      <w:r w:rsidRPr="00FA0D37">
        <w:tab/>
        <w:t>if the UE is capable of L2 U2N Remote UE:</w:t>
      </w:r>
    </w:p>
    <w:p w14:paraId="2A022DE0" w14:textId="77777777" w:rsidR="00984519" w:rsidRPr="00FA0D37" w:rsidRDefault="00984519" w:rsidP="00984519">
      <w:pPr>
        <w:pStyle w:val="B3"/>
      </w:pPr>
      <w:r w:rsidRPr="00FA0D37">
        <w:t>3&gt;</w:t>
      </w:r>
      <w:r w:rsidRPr="00FA0D37">
        <w:tab/>
        <w:t>enter RRC_INACTIVE, and perform either cell selection as specified in TS 38.304 [20], or relay selection as specified in clause 5.8.15.3, or both;</w:t>
      </w:r>
    </w:p>
    <w:p w14:paraId="30A6B77B" w14:textId="77777777" w:rsidR="00984519" w:rsidRPr="00FA0D37" w:rsidRDefault="00984519" w:rsidP="00984519">
      <w:pPr>
        <w:pStyle w:val="B2"/>
      </w:pPr>
      <w:r w:rsidRPr="00FA0D37">
        <w:t>2&gt;</w:t>
      </w:r>
      <w:r w:rsidRPr="00FA0D37">
        <w:tab/>
        <w:t>else:</w:t>
      </w:r>
    </w:p>
    <w:p w14:paraId="3527BAE7" w14:textId="79F8F4B1" w:rsidR="00394471" w:rsidRPr="00FA0D37" w:rsidRDefault="00984519" w:rsidP="00A12BD9">
      <w:pPr>
        <w:pStyle w:val="B3"/>
      </w:pPr>
      <w:r w:rsidRPr="00FA0D37">
        <w:t>3</w:t>
      </w:r>
      <w:r w:rsidR="00394471" w:rsidRPr="00FA0D37">
        <w:t>&gt;</w:t>
      </w:r>
      <w:r w:rsidR="00394471" w:rsidRPr="00FA0D37">
        <w:tab/>
        <w:t>enter RRC_INACTIVE and perform cell selection as specified in TS 38.304 [20];</w:t>
      </w:r>
    </w:p>
    <w:p w14:paraId="727C29C4" w14:textId="77777777" w:rsidR="00103DA3" w:rsidRDefault="00103DA3" w:rsidP="00103DA3">
      <w:pPr>
        <w:pStyle w:val="B2"/>
        <w:rPr>
          <w:ins w:id="127" w:author="Huawei, HiSilicon" w:date="2023-12-06T15:11:00Z"/>
          <w:lang w:eastAsia="zh-CN"/>
        </w:rPr>
      </w:pPr>
      <w:ins w:id="128" w:author="Huawei, HiSilicon" w:date="2023-12-06T15:11:00Z">
        <w:r>
          <w:rPr>
            <w:lang w:eastAsia="zh-CN"/>
          </w:rPr>
          <w:t>2&gt;</w:t>
        </w:r>
        <w:r>
          <w:t xml:space="preserve"> if the </w:t>
        </w:r>
        <w:r>
          <w:rPr>
            <w:i/>
            <w:iCs/>
          </w:rPr>
          <w:t xml:space="preserve">multicastConfigInactive </w:t>
        </w:r>
        <w:r>
          <w:t>is configured:</w:t>
        </w:r>
      </w:ins>
    </w:p>
    <w:p w14:paraId="205B38F2" w14:textId="77777777" w:rsidR="00103DA3" w:rsidRDefault="00103DA3" w:rsidP="00103DA3">
      <w:pPr>
        <w:pStyle w:val="B3"/>
        <w:rPr>
          <w:ins w:id="129" w:author="Huawei, HiSilicon" w:date="2023-12-06T15:11:00Z"/>
          <w:lang w:eastAsia="en-US"/>
        </w:rPr>
      </w:pPr>
      <w:ins w:id="130" w:author="Huawei, HiSilicon" w:date="2023-12-06T15:11:00Z">
        <w:r>
          <w:rPr>
            <w:lang w:eastAsia="zh-CN"/>
          </w:rPr>
          <w:t xml:space="preserve">3&gt; </w:t>
        </w:r>
        <w:r>
          <w:t xml:space="preserve">if the multicast PTM configuration is provided for a multicast session for which the UE is not indicated to stop monitoring the G-RNTI </w:t>
        </w:r>
        <w:r>
          <w:rPr>
            <w:lang w:eastAsia="zh-CN"/>
          </w:rPr>
          <w:t xml:space="preserve">and </w:t>
        </w:r>
        <w:r>
          <w:t xml:space="preserve">the UE selects the same cell as the one on which it received </w:t>
        </w:r>
        <w:r>
          <w:rPr>
            <w:i/>
          </w:rPr>
          <w:t>RRCRelease</w:t>
        </w:r>
        <w:r>
          <w:t>:</w:t>
        </w:r>
      </w:ins>
    </w:p>
    <w:p w14:paraId="66A44F63" w14:textId="77777777" w:rsidR="00103DA3" w:rsidRDefault="00103DA3" w:rsidP="00103DA3">
      <w:pPr>
        <w:pStyle w:val="B4"/>
        <w:rPr>
          <w:ins w:id="131" w:author="Huawei, HiSilicon" w:date="2023-12-06T15:11:00Z"/>
          <w:rFonts w:eastAsia="MS Mincho"/>
        </w:rPr>
      </w:pPr>
      <w:ins w:id="132" w:author="Huawei, HiSilicon" w:date="2023-12-06T15:11:00Z">
        <w:r>
          <w:t>4&gt;</w:t>
        </w:r>
        <w:r>
          <w:tab/>
          <w:t xml:space="preserve">apply the multicast PTM configuration as specified in 5.x.3; </w:t>
        </w:r>
      </w:ins>
    </w:p>
    <w:p w14:paraId="48868100" w14:textId="77777777" w:rsidR="00103DA3" w:rsidRDefault="00103DA3" w:rsidP="00103DA3">
      <w:pPr>
        <w:pStyle w:val="B4"/>
        <w:rPr>
          <w:ins w:id="133" w:author="Huawei, HiSilicon" w:date="2023-12-06T15:11:00Z"/>
        </w:rPr>
      </w:pPr>
      <w:ins w:id="134" w:author="Huawei, HiSilicon" w:date="2023-12-06T15:11:00Z">
        <w:r>
          <w:t>4&gt;</w:t>
        </w:r>
        <w:r>
          <w:tab/>
          <w:t xml:space="preserve">monitor the Multicast MCCH-RNTI as specified in 5.x.2; </w:t>
        </w:r>
      </w:ins>
    </w:p>
    <w:p w14:paraId="503A1093" w14:textId="3FF9A90B" w:rsidR="00394471" w:rsidRPr="00FA0D37" w:rsidRDefault="00394471" w:rsidP="00394471">
      <w:pPr>
        <w:pStyle w:val="B1"/>
      </w:pPr>
      <w:r w:rsidRPr="00FA0D37">
        <w:t>1&gt;</w:t>
      </w:r>
      <w:r w:rsidRPr="00FA0D37">
        <w:tab/>
        <w:t>else</w:t>
      </w:r>
      <w:r w:rsidR="00EF527E" w:rsidRPr="00FA0D37">
        <w:t>:</w:t>
      </w:r>
    </w:p>
    <w:p w14:paraId="5E9ABD61" w14:textId="3DC6C415" w:rsidR="00394471" w:rsidRPr="00FA0D37" w:rsidRDefault="00394471" w:rsidP="00394471">
      <w:pPr>
        <w:pStyle w:val="B2"/>
      </w:pPr>
      <w:r w:rsidRPr="00FA0D37">
        <w:t>2&gt;</w:t>
      </w:r>
      <w:r w:rsidRPr="00FA0D37">
        <w:tab/>
        <w:t>perform the actions upon going to RRC_IDLE as specified in 5.3.11, with the release cause 'other'.</w:t>
      </w:r>
    </w:p>
    <w:p w14:paraId="0D5D2F33" w14:textId="7BC68A28" w:rsidR="00984519" w:rsidRPr="00FA0D37" w:rsidRDefault="00984519" w:rsidP="00A12BD9">
      <w:pPr>
        <w:pStyle w:val="NO"/>
        <w:rPr>
          <w:lang w:eastAsia="zh-CN"/>
        </w:rPr>
      </w:pPr>
      <w:r w:rsidRPr="00FA0D37">
        <w:rPr>
          <w:lang w:eastAsia="zh-CN"/>
        </w:rPr>
        <w:t>NOTE 3:</w:t>
      </w:r>
      <w:r w:rsidRPr="00FA0D37">
        <w:rPr>
          <w:lang w:eastAsia="zh-CN"/>
        </w:rPr>
        <w:tab/>
        <w:t>Whether to release the PC5 unicast link is left to L2 U2N Remote UE</w:t>
      </w:r>
      <w:r w:rsidR="00B613B5" w:rsidRPr="00FA0D37">
        <w:rPr>
          <w:lang w:eastAsia="zh-CN"/>
        </w:rPr>
        <w:t>'</w:t>
      </w:r>
      <w:r w:rsidRPr="00FA0D37">
        <w:rPr>
          <w:lang w:eastAsia="zh-CN"/>
        </w:rPr>
        <w:t>s implementation.</w:t>
      </w:r>
    </w:p>
    <w:p w14:paraId="56EB853C" w14:textId="11333DEB" w:rsidR="00276FEB" w:rsidRDefault="00276FEB" w:rsidP="00A12BD9">
      <w:pPr>
        <w:pStyle w:val="NO"/>
      </w:pPr>
      <w:bookmarkStart w:id="135" w:name="_Toc60776817"/>
      <w:r w:rsidRPr="00FA0D37">
        <w:t>NOTE 4:</w:t>
      </w:r>
      <w:r w:rsidRPr="00FA0D37">
        <w:tab/>
        <w:t>It is left to UE implementation whether to stop T430, if running, when going to RRC_INACTIVE.</w:t>
      </w:r>
    </w:p>
    <w:p w14:paraId="3A8A1D5C" w14:textId="77777777" w:rsidR="0064323A" w:rsidRDefault="0064323A" w:rsidP="0064323A">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bookmarkStart w:id="136" w:name="_Hlk152770709"/>
      <w:r>
        <w:rPr>
          <w:rFonts w:eastAsia="Malgun Gothic"/>
          <w:i/>
        </w:rPr>
        <w:t>Next Change</w:t>
      </w:r>
      <w:bookmarkEnd w:id="136"/>
    </w:p>
    <w:p w14:paraId="3D92617C" w14:textId="3304CB85" w:rsidR="00394471" w:rsidRPr="00FA0D37" w:rsidRDefault="00394471" w:rsidP="00394471">
      <w:pPr>
        <w:pStyle w:val="3"/>
      </w:pPr>
      <w:bookmarkStart w:id="137" w:name="_Toc60776830"/>
      <w:bookmarkStart w:id="138" w:name="_Toc146780805"/>
      <w:bookmarkEnd w:id="135"/>
      <w:r w:rsidRPr="00FA0D37">
        <w:t>5.3.13</w:t>
      </w:r>
      <w:r w:rsidRPr="00FA0D37">
        <w:tab/>
        <w:t>RRC connection resume</w:t>
      </w:r>
      <w:bookmarkEnd w:id="137"/>
      <w:bookmarkEnd w:id="138"/>
    </w:p>
    <w:p w14:paraId="29562333" w14:textId="77777777" w:rsidR="00394471" w:rsidRPr="00FA0D37" w:rsidRDefault="00394471" w:rsidP="00394471">
      <w:pPr>
        <w:pStyle w:val="4"/>
      </w:pPr>
      <w:bookmarkStart w:id="139" w:name="_Toc60776833"/>
      <w:bookmarkStart w:id="140" w:name="_Toc146780809"/>
      <w:r w:rsidRPr="00FA0D37">
        <w:t>5.3.13.2</w:t>
      </w:r>
      <w:r w:rsidRPr="00FA0D37">
        <w:tab/>
        <w:t>Initiation</w:t>
      </w:r>
      <w:bookmarkEnd w:id="139"/>
      <w:bookmarkEnd w:id="140"/>
    </w:p>
    <w:p w14:paraId="68912E52" w14:textId="7648EE5E" w:rsidR="00394471" w:rsidRPr="00FA0D37" w:rsidRDefault="00394471" w:rsidP="00394471">
      <w:r w:rsidRPr="00FA0D37">
        <w:t xml:space="preserve">The UE initiates the procedure when upper layers or AS (when responding to RAN paging, upon triggering RNA updates while the UE is in RRC_INACTIVE, </w:t>
      </w:r>
      <w:ins w:id="141" w:author="Huawei, HiSilicon" w:date="2023-12-06T15:10:00Z">
        <w:r w:rsidR="00103DA3">
          <w:rPr>
            <w:lang w:eastAsia="zh-CN"/>
          </w:rPr>
          <w:t>up</w:t>
        </w:r>
        <w:r w:rsidR="00103DA3">
          <w:t xml:space="preserve">on requesting multicast reception as specified in clause 5.3.13.x, </w:t>
        </w:r>
      </w:ins>
      <w:r w:rsidRPr="00FA0D37">
        <w:t xml:space="preserve">for </w:t>
      </w:r>
      <w:r w:rsidR="00910AE7" w:rsidRPr="00FA0D37">
        <w:lastRenderedPageBreak/>
        <w:t xml:space="preserve">NR </w:t>
      </w:r>
      <w:r w:rsidRPr="00FA0D37">
        <w:t>sidelink communication</w:t>
      </w:r>
      <w:r w:rsidR="00BD7E37" w:rsidRPr="00FA0D37">
        <w:t>/discovery</w:t>
      </w:r>
      <w:r w:rsidR="00910AE7" w:rsidRPr="00FA0D37">
        <w:t>/V2X sidelink communication</w:t>
      </w:r>
      <w:r w:rsidRPr="00FA0D37">
        <w:t xml:space="preserve"> as specified in </w:t>
      </w:r>
      <w:r w:rsidR="009C7196" w:rsidRPr="00FA0D37">
        <w:t>clause</w:t>
      </w:r>
      <w:r w:rsidRPr="00FA0D37">
        <w:t xml:space="preserve"> 5.3.13.1a) requests the resume of a suspended RRC connection</w:t>
      </w:r>
      <w:r w:rsidR="0070235D" w:rsidRPr="00FA0D37">
        <w:t xml:space="preserve"> or </w:t>
      </w:r>
      <w:r w:rsidR="00E23C69" w:rsidRPr="00FA0D37">
        <w:t xml:space="preserve">requests the resume </w:t>
      </w:r>
      <w:r w:rsidR="0070235D" w:rsidRPr="00FA0D37">
        <w:t xml:space="preserve">for initiating SDT as specified in </w:t>
      </w:r>
      <w:r w:rsidR="009C7196" w:rsidRPr="00FA0D37">
        <w:t>clause</w:t>
      </w:r>
      <w:r w:rsidR="0070235D" w:rsidRPr="00FA0D37">
        <w:t xml:space="preserve"> 5.3.13.1b</w:t>
      </w:r>
      <w:r w:rsidRPr="00FA0D37">
        <w:t>.</w:t>
      </w:r>
    </w:p>
    <w:p w14:paraId="24AAF4FB" w14:textId="77777777" w:rsidR="00394471" w:rsidRPr="00FA0D37" w:rsidRDefault="00394471" w:rsidP="00394471">
      <w:r w:rsidRPr="00FA0D37">
        <w:t>The UE shall ensure having valid and up to date essential system information as specified in clause 5.2.2.2 before initiating this procedure.</w:t>
      </w:r>
    </w:p>
    <w:p w14:paraId="4D84F7F5" w14:textId="77777777" w:rsidR="00394471" w:rsidRPr="00FA0D37" w:rsidRDefault="00394471" w:rsidP="00394471">
      <w:r w:rsidRPr="00FA0D37">
        <w:t>Upon initiation of the procedure, the UE shall:</w:t>
      </w:r>
    </w:p>
    <w:p w14:paraId="01294361" w14:textId="0A1AEDB4" w:rsidR="00394471" w:rsidRPr="00FA0D37" w:rsidRDefault="00394471" w:rsidP="00394471">
      <w:pPr>
        <w:pStyle w:val="B1"/>
      </w:pPr>
      <w:r w:rsidRPr="00FA0D37">
        <w:t>1&gt;</w:t>
      </w:r>
      <w:r w:rsidRPr="00FA0D37">
        <w:tab/>
        <w:t>if the resumption of the RRC connection is triggered by response to NG-RAN paging</w:t>
      </w:r>
      <w:del w:id="142" w:author="Huawei, HiSilicon" w:date="2023-12-06T17:11:00Z">
        <w:r w:rsidRPr="00FA0D37" w:rsidDel="00D2384A">
          <w:delText>:</w:delText>
        </w:r>
      </w:del>
      <w:ins w:id="143" w:author="Huawei, HiSilicon" w:date="2023-12-06T17:12:00Z">
        <w:r w:rsidR="00D2384A">
          <w:t>: or</w:t>
        </w:r>
      </w:ins>
    </w:p>
    <w:p w14:paraId="2E4CCA2A" w14:textId="77777777" w:rsidR="00103DA3" w:rsidRDefault="00103DA3" w:rsidP="00103DA3">
      <w:pPr>
        <w:pStyle w:val="B1"/>
        <w:rPr>
          <w:ins w:id="144" w:author="Huawei, HiSilicon" w:date="2023-12-06T15:10:00Z"/>
        </w:rPr>
      </w:pPr>
      <w:ins w:id="145" w:author="Huawei, HiSilicon" w:date="2023-12-06T15:10:00Z">
        <w:r>
          <w:t>1&gt;</w:t>
        </w:r>
        <w:r>
          <w:tab/>
          <w:t>if the resumption of the RRC connection is triggered by multicast reception request as specified in clause 5.3.13.x:</w:t>
        </w:r>
      </w:ins>
    </w:p>
    <w:p w14:paraId="270A9DC2" w14:textId="437BB671" w:rsidR="00394471" w:rsidRPr="00FA0D37" w:rsidRDefault="00394471" w:rsidP="00394471">
      <w:pPr>
        <w:pStyle w:val="B2"/>
      </w:pPr>
      <w:r w:rsidRPr="00FA0D37">
        <w:t>2&gt;</w:t>
      </w:r>
      <w:r w:rsidRPr="00FA0D37">
        <w:tab/>
        <w:t>select '0' as the Access Category;</w:t>
      </w:r>
    </w:p>
    <w:p w14:paraId="5D52D3D3" w14:textId="77777777" w:rsidR="00394471" w:rsidRPr="00FA0D37" w:rsidRDefault="00394471" w:rsidP="00394471">
      <w:pPr>
        <w:pStyle w:val="B2"/>
      </w:pPr>
      <w:r w:rsidRPr="00FA0D37">
        <w:t>2&gt;</w:t>
      </w:r>
      <w:r w:rsidRPr="00FA0D37">
        <w:tab/>
        <w:t>perform the unified access control procedure as specified in 5.3.14 using the selected Access Category and one or more Access Identities provided by upper layers;</w:t>
      </w:r>
    </w:p>
    <w:p w14:paraId="4D951B68" w14:textId="77777777" w:rsidR="00394471" w:rsidRPr="00FA0D37" w:rsidRDefault="00394471" w:rsidP="00394471">
      <w:pPr>
        <w:pStyle w:val="B3"/>
      </w:pPr>
      <w:r w:rsidRPr="00FA0D37">
        <w:t>3&gt;</w:t>
      </w:r>
      <w:r w:rsidRPr="00FA0D37">
        <w:tab/>
        <w:t>if the access attempt is barred, the procedure ends;</w:t>
      </w:r>
    </w:p>
    <w:p w14:paraId="6C494D87" w14:textId="77777777" w:rsidR="00394471" w:rsidRPr="00FA0D37" w:rsidRDefault="00394471" w:rsidP="00394471">
      <w:pPr>
        <w:pStyle w:val="B1"/>
      </w:pPr>
      <w:r w:rsidRPr="00FA0D37">
        <w:t>1&gt;</w:t>
      </w:r>
      <w:r w:rsidRPr="00FA0D37">
        <w:tab/>
        <w:t>else if the resumption of the RRC connection is triggered by upper layers:</w:t>
      </w:r>
    </w:p>
    <w:p w14:paraId="533031B2" w14:textId="77777777" w:rsidR="00394471" w:rsidRPr="00FA0D37" w:rsidRDefault="00394471" w:rsidP="00394471">
      <w:pPr>
        <w:pStyle w:val="B2"/>
      </w:pPr>
      <w:r w:rsidRPr="00FA0D37">
        <w:t>2&gt;</w:t>
      </w:r>
      <w:r w:rsidRPr="00FA0D37">
        <w:tab/>
        <w:t>if the upper layers provide an Access Category and one or more Access Identities:</w:t>
      </w:r>
    </w:p>
    <w:p w14:paraId="7AEF6B07" w14:textId="77777777" w:rsidR="00394471" w:rsidRPr="00FA0D37" w:rsidRDefault="00394471" w:rsidP="00394471">
      <w:pPr>
        <w:pStyle w:val="B3"/>
      </w:pPr>
      <w:r w:rsidRPr="00FA0D37">
        <w:t>3&gt;</w:t>
      </w:r>
      <w:r w:rsidRPr="00FA0D37">
        <w:tab/>
        <w:t>perform the unified access control procedure as specified in 5.3.14 using the Access Category and Access Identities provided by upper layers;</w:t>
      </w:r>
    </w:p>
    <w:p w14:paraId="4DE9E4ED" w14:textId="77777777" w:rsidR="00394471" w:rsidRPr="00FA0D37" w:rsidRDefault="00394471" w:rsidP="00394471">
      <w:pPr>
        <w:pStyle w:val="B4"/>
      </w:pPr>
      <w:r w:rsidRPr="00FA0D37">
        <w:t>4&gt;</w:t>
      </w:r>
      <w:r w:rsidRPr="00FA0D37">
        <w:tab/>
        <w:t>if the access attempt is barred, the procedure ends;</w:t>
      </w:r>
    </w:p>
    <w:p w14:paraId="14CF893A" w14:textId="77777777" w:rsidR="008129B7" w:rsidRPr="00FA0D37" w:rsidRDefault="008129B7" w:rsidP="008129B7">
      <w:pPr>
        <w:pStyle w:val="B2"/>
      </w:pPr>
      <w:r w:rsidRPr="00FA0D37">
        <w:t>2&gt;</w:t>
      </w:r>
      <w:r w:rsidRPr="00FA0D37">
        <w:tab/>
        <w:t>if the upper layers provide NSAG information and one or more S-NSSAI(s) triggering the access attempt (TS 23.501 [32] and TS 24.501 [23]):</w:t>
      </w:r>
    </w:p>
    <w:p w14:paraId="78D040C5" w14:textId="1D2B7B73" w:rsidR="008129B7" w:rsidRPr="00FA0D37" w:rsidRDefault="008129B7" w:rsidP="008129B7">
      <w:pPr>
        <w:pStyle w:val="B3"/>
      </w:pPr>
      <w:r w:rsidRPr="00FA0D37">
        <w:t>3&gt;</w:t>
      </w:r>
      <w:r w:rsidRPr="00FA0D37">
        <w:tab/>
        <w:t xml:space="preserve">apply the NSAG with highest NSAG priority among the NSAGs that are </w:t>
      </w:r>
      <w:r w:rsidRPr="00FA0D37">
        <w:rPr>
          <w:lang w:eastAsia="zh-CN"/>
        </w:rPr>
        <w:t>included</w:t>
      </w:r>
      <w:r w:rsidRPr="00FA0D37">
        <w:t xml:space="preserve"> in </w:t>
      </w:r>
      <w:r w:rsidRPr="00FA0D37">
        <w:rPr>
          <w:i/>
          <w:iCs/>
        </w:rPr>
        <w:t xml:space="preserve">SIB1 </w:t>
      </w:r>
      <w:r w:rsidRPr="00FA0D37">
        <w:rPr>
          <w:iCs/>
        </w:rPr>
        <w:t>(</w:t>
      </w:r>
      <w:r w:rsidRPr="00FA0D37">
        <w:t>i.e., in</w:t>
      </w:r>
      <w:r w:rsidRPr="00FA0D37">
        <w:rPr>
          <w:i/>
          <w:iCs/>
        </w:rPr>
        <w:t xml:space="preserve"> FeatureCombination </w:t>
      </w:r>
      <w:r w:rsidRPr="00FA0D37">
        <w:t>and</w:t>
      </w:r>
      <w:r w:rsidR="00A26868" w:rsidRPr="00FA0D37">
        <w:rPr>
          <w:iCs/>
          <w:lang w:eastAsia="zh-CN"/>
        </w:rPr>
        <w:t>/or</w:t>
      </w:r>
      <w:r w:rsidRPr="00FA0D37">
        <w:t xml:space="preserve"> in </w:t>
      </w:r>
      <w:r w:rsidRPr="00FA0D37">
        <w:rPr>
          <w:i/>
          <w:iCs/>
        </w:rPr>
        <w:t>RA-PrioritizationSliceInfo</w:t>
      </w:r>
      <w:r w:rsidRPr="00FA0D37">
        <w:rPr>
          <w:iCs/>
        </w:rPr>
        <w:t>), and that are</w:t>
      </w:r>
      <w:r w:rsidRPr="00FA0D37">
        <w:t xml:space="preserve"> associated with the S-NSSAI(s) triggering the access attempt, in the Random Access procedure (TS 38.321 [3], clause 5.1);</w:t>
      </w:r>
    </w:p>
    <w:p w14:paraId="609189A9" w14:textId="10B02E3F" w:rsidR="003B60DC" w:rsidRPr="00FA0D37" w:rsidRDefault="003B60DC" w:rsidP="005C7FF4">
      <w:pPr>
        <w:pStyle w:val="NO"/>
      </w:pPr>
      <w:bookmarkStart w:id="146" w:name="_Hlk135910411"/>
      <w:r w:rsidRPr="00FA0D37">
        <w:rPr>
          <w:iCs/>
        </w:rPr>
        <w:t>NOTE:</w:t>
      </w:r>
      <w:r w:rsidRPr="00FA0D37">
        <w:tab/>
      </w:r>
      <w:r w:rsidRPr="00FA0D37">
        <w:rPr>
          <w:rFonts w:eastAsia="宋体"/>
          <w:lang w:eastAsia="zh-CN"/>
        </w:rPr>
        <w:t>If there are multiple NSAGs with the same highest NAS-provided NSAG priority identified for access attempt as above</w:t>
      </w:r>
      <w:r w:rsidRPr="00FA0D37">
        <w:rPr>
          <w:iCs/>
        </w:rPr>
        <w:t>, it</w:t>
      </w:r>
      <w:r w:rsidRPr="00FA0D37">
        <w:t xml:space="preserve"> is left to UE implementation to select the NSAG to be applied in the Random Access procedure</w:t>
      </w:r>
      <w:bookmarkEnd w:id="146"/>
      <w:r w:rsidRPr="00FA0D37">
        <w:t>.</w:t>
      </w:r>
    </w:p>
    <w:p w14:paraId="1751678E" w14:textId="100BAF3F" w:rsidR="003F33C5" w:rsidRPr="00FA0D37" w:rsidRDefault="003F33C5" w:rsidP="003F33C5">
      <w:pPr>
        <w:pStyle w:val="B2"/>
      </w:pPr>
      <w:r w:rsidRPr="00FA0D37">
        <w:t>2&gt;</w:t>
      </w:r>
      <w:r w:rsidRPr="00FA0D37">
        <w:tab/>
        <w:t xml:space="preserve">if the resumption occurs after release with redirect with </w:t>
      </w:r>
      <w:r w:rsidRPr="00FA0D37">
        <w:rPr>
          <w:i/>
        </w:rPr>
        <w:t>mpsPriorityIndication</w:t>
      </w:r>
      <w:r w:rsidRPr="00FA0D37">
        <w:t>:</w:t>
      </w:r>
    </w:p>
    <w:p w14:paraId="28FE82D6" w14:textId="6A032F58" w:rsidR="003F33C5" w:rsidRPr="00FA0D37" w:rsidRDefault="003F33C5" w:rsidP="006A3D85">
      <w:pPr>
        <w:pStyle w:val="B3"/>
      </w:pPr>
      <w:r w:rsidRPr="00FA0D37">
        <w:t>3&gt;</w:t>
      </w:r>
      <w:r w:rsidRPr="00FA0D37">
        <w:tab/>
        <w:t xml:space="preserve">set the </w:t>
      </w:r>
      <w:r w:rsidRPr="00FA0D37">
        <w:rPr>
          <w:i/>
          <w:iCs/>
        </w:rPr>
        <w:t>resumeCause</w:t>
      </w:r>
      <w:r w:rsidRPr="00FA0D37">
        <w:t xml:space="preserve"> to </w:t>
      </w:r>
      <w:r w:rsidRPr="00FA0D37">
        <w:rPr>
          <w:i/>
          <w:iCs/>
        </w:rPr>
        <w:t>mps-PriorityAccess</w:t>
      </w:r>
      <w:r w:rsidRPr="00FA0D37">
        <w:t>;</w:t>
      </w:r>
    </w:p>
    <w:p w14:paraId="46EE13D3" w14:textId="064AD597" w:rsidR="003F33C5" w:rsidRPr="00FA0D37" w:rsidRDefault="003F33C5" w:rsidP="003F33C5">
      <w:pPr>
        <w:pStyle w:val="B2"/>
      </w:pPr>
      <w:r w:rsidRPr="00FA0D37">
        <w:t>2&gt;</w:t>
      </w:r>
      <w:r w:rsidRPr="00FA0D37">
        <w:tab/>
        <w:t>else:</w:t>
      </w:r>
    </w:p>
    <w:p w14:paraId="21003BD4" w14:textId="29BFC7E9" w:rsidR="00394471" w:rsidRPr="00FA0D37" w:rsidRDefault="003F33C5" w:rsidP="006A3D85">
      <w:pPr>
        <w:pStyle w:val="B3"/>
      </w:pPr>
      <w:r w:rsidRPr="00FA0D37">
        <w:t>3</w:t>
      </w:r>
      <w:r w:rsidR="00394471" w:rsidRPr="00FA0D37">
        <w:t>&gt;</w:t>
      </w:r>
      <w:r w:rsidR="00394471" w:rsidRPr="00FA0D37">
        <w:tab/>
        <w:t xml:space="preserve">set the </w:t>
      </w:r>
      <w:r w:rsidR="00394471" w:rsidRPr="00FA0D37">
        <w:rPr>
          <w:i/>
        </w:rPr>
        <w:t>resumeCause</w:t>
      </w:r>
      <w:r w:rsidR="00394471" w:rsidRPr="00FA0D37">
        <w:t xml:space="preserve"> in accordance with the information received from upper layers;</w:t>
      </w:r>
    </w:p>
    <w:p w14:paraId="210404CA" w14:textId="77777777" w:rsidR="00394471" w:rsidRPr="00FA0D37" w:rsidRDefault="00394471" w:rsidP="00394471">
      <w:pPr>
        <w:pStyle w:val="B1"/>
      </w:pPr>
      <w:r w:rsidRPr="00FA0D37">
        <w:t>1&gt;</w:t>
      </w:r>
      <w:r w:rsidRPr="00FA0D37">
        <w:tab/>
        <w:t>else if the resumption of the RRC connection is triggered due to an RNA update as specified in 5.3.13.8:</w:t>
      </w:r>
    </w:p>
    <w:p w14:paraId="32388BE1" w14:textId="77777777" w:rsidR="00394471" w:rsidRPr="00FA0D37" w:rsidRDefault="00394471" w:rsidP="00394471">
      <w:pPr>
        <w:pStyle w:val="B2"/>
      </w:pPr>
      <w:r w:rsidRPr="00FA0D37">
        <w:t>2&gt;</w:t>
      </w:r>
      <w:r w:rsidRPr="00FA0D37">
        <w:tab/>
        <w:t>if an emergency service is ongoing:</w:t>
      </w:r>
    </w:p>
    <w:p w14:paraId="3E5B100E" w14:textId="222A0A6F" w:rsidR="00394471" w:rsidRPr="00FA0D37" w:rsidRDefault="00394471" w:rsidP="00394471">
      <w:pPr>
        <w:pStyle w:val="NO"/>
        <w:rPr>
          <w:lang w:eastAsia="zh-CN"/>
        </w:rPr>
      </w:pPr>
      <w:r w:rsidRPr="00FA0D37">
        <w:rPr>
          <w:lang w:eastAsia="zh-CN"/>
        </w:rPr>
        <w:t>NOTE</w:t>
      </w:r>
      <w:r w:rsidR="00CD4D14" w:rsidRPr="00FA0D37">
        <w:rPr>
          <w:lang w:eastAsia="zh-CN"/>
        </w:rPr>
        <w:t xml:space="preserve"> 1</w:t>
      </w:r>
      <w:r w:rsidRPr="00FA0D37">
        <w:rPr>
          <w:lang w:eastAsia="zh-CN"/>
        </w:rPr>
        <w:t>:</w:t>
      </w:r>
      <w:r w:rsidRPr="00FA0D37">
        <w:rPr>
          <w:lang w:eastAsia="zh-CN"/>
        </w:rPr>
        <w:tab/>
      </w:r>
      <w:r w:rsidRPr="00FA0D37">
        <w:t>How the RRC layer in the UE is aware of an ongoing emergency service is up to UE implementation.</w:t>
      </w:r>
    </w:p>
    <w:p w14:paraId="4683B058" w14:textId="77777777" w:rsidR="00394471" w:rsidRPr="00FA0D37" w:rsidRDefault="00394471" w:rsidP="00394471">
      <w:pPr>
        <w:pStyle w:val="B3"/>
      </w:pPr>
      <w:r w:rsidRPr="00FA0D37">
        <w:t>3&gt;</w:t>
      </w:r>
      <w:r w:rsidRPr="00FA0D37">
        <w:tab/>
        <w:t>select '2' as the Access Category;</w:t>
      </w:r>
    </w:p>
    <w:p w14:paraId="4510EFD8" w14:textId="77777777" w:rsidR="00394471" w:rsidRPr="00FA0D37" w:rsidRDefault="00394471" w:rsidP="00394471">
      <w:pPr>
        <w:pStyle w:val="B3"/>
        <w:rPr>
          <w:lang w:eastAsia="zh-TW"/>
        </w:rPr>
      </w:pPr>
      <w:r w:rsidRPr="00FA0D37">
        <w:t>3&gt;</w:t>
      </w:r>
      <w:r w:rsidRPr="00FA0D37">
        <w:tab/>
        <w:t xml:space="preserve">set the </w:t>
      </w:r>
      <w:r w:rsidRPr="00FA0D37">
        <w:rPr>
          <w:i/>
        </w:rPr>
        <w:t>resumeCause</w:t>
      </w:r>
      <w:r w:rsidRPr="00FA0D37">
        <w:rPr>
          <w:lang w:eastAsia="zh-TW"/>
        </w:rPr>
        <w:t xml:space="preserve"> to </w:t>
      </w:r>
      <w:r w:rsidRPr="00FA0D37">
        <w:rPr>
          <w:i/>
          <w:lang w:eastAsia="zh-TW"/>
        </w:rPr>
        <w:t>emergency</w:t>
      </w:r>
      <w:r w:rsidRPr="00FA0D37">
        <w:rPr>
          <w:lang w:eastAsia="zh-TW"/>
        </w:rPr>
        <w:t>;</w:t>
      </w:r>
    </w:p>
    <w:p w14:paraId="35CDFD13" w14:textId="77777777" w:rsidR="00394471" w:rsidRPr="00FA0D37" w:rsidRDefault="00394471" w:rsidP="00394471">
      <w:pPr>
        <w:pStyle w:val="B2"/>
      </w:pPr>
      <w:r w:rsidRPr="00FA0D37">
        <w:t>2&gt;</w:t>
      </w:r>
      <w:r w:rsidRPr="00FA0D37">
        <w:tab/>
        <w:t>else:</w:t>
      </w:r>
    </w:p>
    <w:p w14:paraId="3A727FF2" w14:textId="77777777" w:rsidR="00394471" w:rsidRPr="00FA0D37" w:rsidRDefault="00394471" w:rsidP="00394471">
      <w:pPr>
        <w:pStyle w:val="B3"/>
      </w:pPr>
      <w:r w:rsidRPr="00FA0D37">
        <w:t>3&gt;</w:t>
      </w:r>
      <w:r w:rsidRPr="00FA0D37">
        <w:tab/>
        <w:t>select '8' as the Access Category;</w:t>
      </w:r>
    </w:p>
    <w:p w14:paraId="55A329AD" w14:textId="77777777" w:rsidR="00394471" w:rsidRPr="00FA0D37" w:rsidRDefault="00394471" w:rsidP="00394471">
      <w:pPr>
        <w:pStyle w:val="B2"/>
      </w:pPr>
      <w:r w:rsidRPr="00FA0D37">
        <w:t>2&gt;</w:t>
      </w:r>
      <w:r w:rsidRPr="00FA0D37">
        <w:tab/>
        <w:t>perform the unified access control procedure as specified in 5.3.14 using the selected Access Category and one or more Access Identities to be applied as specified in TS 24.501 [23];</w:t>
      </w:r>
    </w:p>
    <w:p w14:paraId="6F82A59D" w14:textId="77777777" w:rsidR="00394471" w:rsidRPr="00FA0D37" w:rsidRDefault="00394471" w:rsidP="00394471">
      <w:pPr>
        <w:pStyle w:val="B3"/>
      </w:pPr>
      <w:r w:rsidRPr="00FA0D37">
        <w:t>3&gt;</w:t>
      </w:r>
      <w:r w:rsidRPr="00FA0D37">
        <w:tab/>
        <w:t>if the access attempt is barred:</w:t>
      </w:r>
    </w:p>
    <w:p w14:paraId="02187B17" w14:textId="77777777" w:rsidR="00394471" w:rsidRPr="00FA0D37" w:rsidRDefault="00394471" w:rsidP="00394471">
      <w:pPr>
        <w:pStyle w:val="B4"/>
      </w:pPr>
      <w:r w:rsidRPr="00FA0D37">
        <w:t>4&gt;</w:t>
      </w:r>
      <w:r w:rsidRPr="00FA0D37">
        <w:tab/>
        <w:t xml:space="preserve">set the variable </w:t>
      </w:r>
      <w:r w:rsidRPr="00FA0D37">
        <w:rPr>
          <w:i/>
        </w:rPr>
        <w:t>pendingRNA-Update</w:t>
      </w:r>
      <w:r w:rsidRPr="00FA0D37">
        <w:t xml:space="preserve"> to </w:t>
      </w:r>
      <w:r w:rsidRPr="00FA0D37">
        <w:rPr>
          <w:i/>
        </w:rPr>
        <w:t>true</w:t>
      </w:r>
      <w:r w:rsidRPr="00FA0D37">
        <w:t>;</w:t>
      </w:r>
    </w:p>
    <w:p w14:paraId="0036C8FF" w14:textId="77777777" w:rsidR="00394471" w:rsidRPr="00FA0D37" w:rsidRDefault="00394471" w:rsidP="00394471">
      <w:pPr>
        <w:pStyle w:val="B4"/>
      </w:pPr>
      <w:r w:rsidRPr="00FA0D37">
        <w:lastRenderedPageBreak/>
        <w:t>4&gt;</w:t>
      </w:r>
      <w:r w:rsidRPr="00FA0D37">
        <w:tab/>
        <w:t>the procedure ends;</w:t>
      </w:r>
    </w:p>
    <w:p w14:paraId="6A6BD4E0" w14:textId="497C23C5" w:rsidR="00CD4D14" w:rsidRPr="00FA0D37" w:rsidRDefault="00CD4D14" w:rsidP="00CD4D14">
      <w:pPr>
        <w:pStyle w:val="NO"/>
        <w:rPr>
          <w:rFonts w:eastAsia="等线"/>
          <w:lang w:eastAsia="zh-CN"/>
        </w:rPr>
      </w:pPr>
      <w:r w:rsidRPr="00FA0D37">
        <w:rPr>
          <w:rFonts w:eastAsia="等线"/>
          <w:lang w:eastAsia="zh-CN"/>
        </w:rPr>
        <w:t>NOTE 2:</w:t>
      </w:r>
      <w:r w:rsidRPr="00FA0D37">
        <w:rPr>
          <w:rFonts w:eastAsia="等线"/>
          <w:lang w:eastAsia="zh-CN"/>
        </w:rPr>
        <w:tab/>
        <w:t xml:space="preserve">In case the </w:t>
      </w:r>
      <w:r w:rsidRPr="00FA0D37">
        <w:t xml:space="preserve">L2 U2N Relay UE initiates RRC connection resume </w:t>
      </w:r>
      <w:r w:rsidR="008A2A82" w:rsidRPr="00FA0D37">
        <w:t xml:space="preserve">triggered by reception of </w:t>
      </w:r>
      <w:r w:rsidR="008A2A82" w:rsidRPr="00FA0D37">
        <w:rPr>
          <w:rFonts w:eastAsia="宋体"/>
          <w:lang w:eastAsia="zh-CN"/>
        </w:rPr>
        <w:t>message from a L2 U2N Remote UE via SL-RLC0</w:t>
      </w:r>
      <w:r w:rsidR="008A2A82" w:rsidRPr="00FA0D37">
        <w:t xml:space="preserve"> or SL-RLC1</w:t>
      </w:r>
      <w:r w:rsidRPr="00FA0D37">
        <w:t xml:space="preserve"> as specified in 5.3.13.1a, the L2 U2N Relay UE sets the </w:t>
      </w:r>
      <w:r w:rsidRPr="00FA0D37">
        <w:rPr>
          <w:i/>
        </w:rPr>
        <w:t>resumeCause</w:t>
      </w:r>
      <w:r w:rsidRPr="00FA0D37">
        <w:t xml:space="preserve"> by implementation</w:t>
      </w:r>
      <w:r w:rsidR="008A2A82" w:rsidRPr="00FA0D37">
        <w:t xml:space="preserve">, but it can only set the </w:t>
      </w:r>
      <w:r w:rsidR="008A2A82" w:rsidRPr="00FA0D37">
        <w:rPr>
          <w:i/>
        </w:rPr>
        <w:t>emergency</w:t>
      </w:r>
      <w:r w:rsidR="008A2A82" w:rsidRPr="00FA0D37">
        <w:t xml:space="preserve">, </w:t>
      </w:r>
      <w:r w:rsidR="008A2A82" w:rsidRPr="00FA0D37">
        <w:rPr>
          <w:i/>
        </w:rPr>
        <w:t>mps-PriorityAccess</w:t>
      </w:r>
      <w:r w:rsidR="008A2A82" w:rsidRPr="00FA0D37">
        <w:t xml:space="preserve">, or </w:t>
      </w:r>
      <w:r w:rsidR="008A2A82" w:rsidRPr="00FA0D37">
        <w:rPr>
          <w:i/>
        </w:rPr>
        <w:t>mcs-PriorityAccess</w:t>
      </w:r>
      <w:r w:rsidR="008A2A82" w:rsidRPr="00FA0D37">
        <w:t xml:space="preserve"> as </w:t>
      </w:r>
      <w:r w:rsidR="008A2A82" w:rsidRPr="00FA0D37">
        <w:rPr>
          <w:i/>
        </w:rPr>
        <w:t>resumeCause</w:t>
      </w:r>
      <w:r w:rsidR="008A2A82" w:rsidRPr="00FA0D37">
        <w:t>,</w:t>
      </w:r>
      <w:r w:rsidRPr="00FA0D37">
        <w:t xml:space="preserve"> </w:t>
      </w:r>
      <w:r w:rsidR="008A2A82" w:rsidRPr="00FA0D37">
        <w:t>i</w:t>
      </w:r>
      <w:r w:rsidRPr="00FA0D37">
        <w:t xml:space="preserve">f the </w:t>
      </w:r>
      <w:r w:rsidR="008A2A82" w:rsidRPr="00FA0D37">
        <w:t xml:space="preserve">same </w:t>
      </w:r>
      <w:r w:rsidRPr="00FA0D37">
        <w:t xml:space="preserve">cause value in the </w:t>
      </w:r>
      <w:r w:rsidRPr="00FA0D37">
        <w:rPr>
          <w:rFonts w:eastAsia="宋体"/>
          <w:lang w:eastAsia="zh-CN"/>
        </w:rPr>
        <w:t>message received from the L2 U2N Remote UE via SL-RLC0</w:t>
      </w:r>
      <w:r w:rsidRPr="00FA0D37">
        <w:t>.</w:t>
      </w:r>
    </w:p>
    <w:p w14:paraId="50C9957C" w14:textId="77777777" w:rsidR="00394471" w:rsidRPr="00FA0D37" w:rsidRDefault="00394471" w:rsidP="00394471">
      <w:pPr>
        <w:pStyle w:val="B1"/>
      </w:pPr>
      <w:r w:rsidRPr="00FA0D37">
        <w:t>1&gt;</w:t>
      </w:r>
      <w:r w:rsidRPr="00FA0D37">
        <w:tab/>
        <w:t>if the UE is in NE-DC or NR-DC:</w:t>
      </w:r>
    </w:p>
    <w:p w14:paraId="6078A562" w14:textId="77777777" w:rsidR="00394471" w:rsidRPr="00FA0D37" w:rsidRDefault="00394471" w:rsidP="00394471">
      <w:pPr>
        <w:pStyle w:val="B2"/>
      </w:pPr>
      <w:r w:rsidRPr="00FA0D37">
        <w:t>2&gt;</w:t>
      </w:r>
      <w:r w:rsidRPr="00FA0D37">
        <w:tab/>
        <w:t>if the UE does not support maintaining SCG configuration upon connection resumption:</w:t>
      </w:r>
    </w:p>
    <w:p w14:paraId="0F6D8D67" w14:textId="77777777" w:rsidR="00394471" w:rsidRPr="00FA0D37" w:rsidRDefault="00394471" w:rsidP="00394471">
      <w:pPr>
        <w:pStyle w:val="B3"/>
      </w:pPr>
      <w:r w:rsidRPr="00FA0D37">
        <w:t>3&gt;</w:t>
      </w:r>
      <w:r w:rsidRPr="00FA0D37">
        <w:tab/>
        <w:t>release the MR-DC related configurations (i.e., as specified in 5.3.5.10) from the UE Inactive AS context, if stored;</w:t>
      </w:r>
    </w:p>
    <w:p w14:paraId="78D65200" w14:textId="77777777" w:rsidR="00394471" w:rsidRPr="00FA0D37" w:rsidRDefault="00394471" w:rsidP="00394471">
      <w:pPr>
        <w:pStyle w:val="B1"/>
      </w:pPr>
      <w:r w:rsidRPr="00FA0D37">
        <w:t>1&gt;</w:t>
      </w:r>
      <w:r w:rsidRPr="00FA0D37">
        <w:tab/>
        <w:t>if the UE does not support maintaining the MCG SCell configurations upon connection resumption:</w:t>
      </w:r>
    </w:p>
    <w:p w14:paraId="5114C2EF" w14:textId="77777777" w:rsidR="00394471" w:rsidRPr="00FA0D37" w:rsidRDefault="00394471" w:rsidP="00394471">
      <w:pPr>
        <w:pStyle w:val="B2"/>
      </w:pPr>
      <w:r w:rsidRPr="00FA0D37">
        <w:t>2&gt;</w:t>
      </w:r>
      <w:r w:rsidRPr="00FA0D37">
        <w:tab/>
        <w:t>release the MCG SCell(s) from the UE Inactive AS context, if stored;</w:t>
      </w:r>
    </w:p>
    <w:p w14:paraId="57C47B36" w14:textId="4CFA0DB2" w:rsidR="00CD4D14" w:rsidRPr="00FA0D37" w:rsidRDefault="00CD4D14" w:rsidP="00CD4D14">
      <w:pPr>
        <w:pStyle w:val="B1"/>
      </w:pPr>
      <w:r w:rsidRPr="00FA0D37">
        <w:t>1&gt;</w:t>
      </w:r>
      <w:r w:rsidRPr="00FA0D37">
        <w:tab/>
        <w:t xml:space="preserve">if the UE is </w:t>
      </w:r>
      <w:r w:rsidR="008A2A82" w:rsidRPr="00FA0D37">
        <w:t>acting as</w:t>
      </w:r>
      <w:r w:rsidRPr="00FA0D37">
        <w:t xml:space="preserve"> L2 U2N Remote UE:</w:t>
      </w:r>
    </w:p>
    <w:p w14:paraId="7013FD5E" w14:textId="77777777" w:rsidR="00BD7E37" w:rsidRPr="00FA0D37" w:rsidRDefault="00BD7E37" w:rsidP="00CD4D14">
      <w:pPr>
        <w:pStyle w:val="B2"/>
        <w:rPr>
          <w:rFonts w:eastAsia="等线"/>
          <w:lang w:eastAsia="zh-CN"/>
        </w:rPr>
      </w:pPr>
      <w:r w:rsidRPr="00FA0D37">
        <w:rPr>
          <w:rFonts w:eastAsia="等线"/>
          <w:lang w:eastAsia="zh-CN"/>
        </w:rPr>
        <w:t>2&gt;</w:t>
      </w:r>
      <w:r w:rsidRPr="00FA0D37">
        <w:rPr>
          <w:rFonts w:eastAsia="等线"/>
          <w:lang w:eastAsia="zh-CN"/>
        </w:rPr>
        <w:tab/>
        <w:t>establish a SRAP entity as specified in TS 38.351 [66], if no SRAP entity has been established;</w:t>
      </w:r>
    </w:p>
    <w:p w14:paraId="27B79BE3" w14:textId="09251E9C" w:rsidR="00CD4D14" w:rsidRPr="00FA0D37" w:rsidRDefault="00CD4D14" w:rsidP="00CD4D14">
      <w:pPr>
        <w:pStyle w:val="B2"/>
        <w:rPr>
          <w:rFonts w:eastAsia="等线"/>
          <w:lang w:eastAsia="zh-CN"/>
        </w:rPr>
      </w:pPr>
      <w:r w:rsidRPr="00FA0D37">
        <w:rPr>
          <w:rFonts w:eastAsia="等线"/>
          <w:lang w:eastAsia="zh-CN"/>
        </w:rPr>
        <w:t>2&gt;</w:t>
      </w:r>
      <w:r w:rsidRPr="00FA0D37">
        <w:rPr>
          <w:rFonts w:eastAsia="等线"/>
          <w:lang w:eastAsia="zh-CN"/>
        </w:rPr>
        <w:tab/>
        <w:t xml:space="preserve">apply the default configuration of SL-RLC1 as defined in </w:t>
      </w:r>
      <w:r w:rsidR="003050BB" w:rsidRPr="00FA0D37">
        <w:rPr>
          <w:rFonts w:eastAsia="等线"/>
          <w:lang w:eastAsia="zh-CN"/>
        </w:rPr>
        <w:t>9.2.4</w:t>
      </w:r>
      <w:r w:rsidRPr="00FA0D37">
        <w:rPr>
          <w:rFonts w:eastAsia="等线"/>
          <w:lang w:eastAsia="zh-CN"/>
        </w:rPr>
        <w:t xml:space="preserve"> for SRB1;</w:t>
      </w:r>
    </w:p>
    <w:p w14:paraId="49E42210" w14:textId="235B3A91" w:rsidR="00CD4D14" w:rsidRPr="00FA0D37" w:rsidRDefault="00CD4D14" w:rsidP="00CD4D14">
      <w:pPr>
        <w:pStyle w:val="B2"/>
      </w:pPr>
      <w:r w:rsidRPr="00FA0D37">
        <w:t>2&gt;</w:t>
      </w:r>
      <w:r w:rsidRPr="00FA0D37">
        <w:tab/>
        <w:t xml:space="preserve">apply the default PDCP configuration </w:t>
      </w:r>
      <w:r w:rsidR="008A2A82" w:rsidRPr="00FA0D37">
        <w:t xml:space="preserve">as </w:t>
      </w:r>
      <w:r w:rsidRPr="00FA0D37">
        <w:t>defined in 9.2.1 for SRB1;</w:t>
      </w:r>
    </w:p>
    <w:p w14:paraId="3CF29736" w14:textId="55B87EAF" w:rsidR="008A2A82" w:rsidRPr="00FA0D37" w:rsidRDefault="008A2A82" w:rsidP="008A2A82">
      <w:pPr>
        <w:pStyle w:val="B2"/>
      </w:pPr>
      <w:r w:rsidRPr="00FA0D37">
        <w:rPr>
          <w:rFonts w:eastAsia="等线"/>
          <w:lang w:eastAsia="zh-CN"/>
        </w:rPr>
        <w:t>2&gt;</w:t>
      </w:r>
      <w:r w:rsidRPr="00FA0D37">
        <w:rPr>
          <w:rFonts w:eastAsia="等线"/>
          <w:lang w:eastAsia="zh-CN"/>
        </w:rPr>
        <w:tab/>
        <w:t>apply the default configuration of SRAP as defined in 9.2.</w:t>
      </w:r>
      <w:r w:rsidR="0084114E" w:rsidRPr="00FA0D37">
        <w:rPr>
          <w:rFonts w:eastAsia="等线"/>
          <w:lang w:eastAsia="zh-CN"/>
        </w:rPr>
        <w:t>5</w:t>
      </w:r>
      <w:r w:rsidRPr="00FA0D37">
        <w:rPr>
          <w:rFonts w:eastAsia="等线"/>
          <w:lang w:eastAsia="zh-CN"/>
        </w:rPr>
        <w:t xml:space="preserve"> for SRB1;</w:t>
      </w:r>
    </w:p>
    <w:p w14:paraId="4FFBAE68" w14:textId="2FEC490F" w:rsidR="00CD4D14" w:rsidRPr="00FA0D37" w:rsidRDefault="00CD4D14" w:rsidP="00CD4D14">
      <w:pPr>
        <w:pStyle w:val="B1"/>
      </w:pPr>
      <w:r w:rsidRPr="00FA0D37">
        <w:t>1&gt;</w:t>
      </w:r>
      <w:r w:rsidR="008A2A82" w:rsidRPr="00FA0D37">
        <w:tab/>
      </w:r>
      <w:r w:rsidRPr="00FA0D37">
        <w:t>else:</w:t>
      </w:r>
    </w:p>
    <w:p w14:paraId="24872B42" w14:textId="450A280E" w:rsidR="00394471" w:rsidRPr="00FA0D37" w:rsidRDefault="00CD4D14" w:rsidP="000830BB">
      <w:pPr>
        <w:pStyle w:val="B2"/>
      </w:pPr>
      <w:r w:rsidRPr="00FA0D37">
        <w:t>2</w:t>
      </w:r>
      <w:r w:rsidR="00394471" w:rsidRPr="00FA0D37">
        <w:t>&gt;</w:t>
      </w:r>
      <w:r w:rsidR="00394471" w:rsidRPr="00FA0D37">
        <w:tab/>
        <w:t xml:space="preserve">apply the default L1 parameter values as specified in corresponding physical layer specifications, except for the parameters for which values are provided in </w:t>
      </w:r>
      <w:r w:rsidR="00394471" w:rsidRPr="00FA0D37">
        <w:rPr>
          <w:i/>
        </w:rPr>
        <w:t>SIB1</w:t>
      </w:r>
      <w:r w:rsidR="00394471" w:rsidRPr="00FA0D37">
        <w:t>;</w:t>
      </w:r>
    </w:p>
    <w:p w14:paraId="7093540C" w14:textId="31AF89D6" w:rsidR="00394471" w:rsidRPr="00FA0D37" w:rsidRDefault="00CD4D14" w:rsidP="000830BB">
      <w:pPr>
        <w:pStyle w:val="B2"/>
      </w:pPr>
      <w:r w:rsidRPr="00FA0D37">
        <w:t>2</w:t>
      </w:r>
      <w:r w:rsidR="00394471" w:rsidRPr="00FA0D37">
        <w:t>&gt;</w:t>
      </w:r>
      <w:r w:rsidR="00394471" w:rsidRPr="00FA0D37">
        <w:tab/>
        <w:t>apply the default SRB1 configuration as specified in 9.2.1;</w:t>
      </w:r>
    </w:p>
    <w:p w14:paraId="5F0C3EBA" w14:textId="3647AE09" w:rsidR="00394471" w:rsidRPr="00FA0D37" w:rsidRDefault="00CD4D14" w:rsidP="000830BB">
      <w:pPr>
        <w:pStyle w:val="B2"/>
      </w:pPr>
      <w:r w:rsidRPr="00FA0D37">
        <w:t>2</w:t>
      </w:r>
      <w:r w:rsidR="00394471" w:rsidRPr="00FA0D37">
        <w:t>&gt;</w:t>
      </w:r>
      <w:r w:rsidR="00394471" w:rsidRPr="00FA0D37">
        <w:tab/>
        <w:t>apply the default MAC Cell Group configuration as specified in 9.2.2;</w:t>
      </w:r>
    </w:p>
    <w:p w14:paraId="73CF54D6" w14:textId="77777777" w:rsidR="00394471" w:rsidRPr="00FA0D37" w:rsidRDefault="00394471" w:rsidP="00394471">
      <w:pPr>
        <w:pStyle w:val="B1"/>
      </w:pPr>
      <w:r w:rsidRPr="00FA0D37">
        <w:t>1&gt;</w:t>
      </w:r>
      <w:r w:rsidRPr="00FA0D37">
        <w:tab/>
        <w:t xml:space="preserve">release </w:t>
      </w:r>
      <w:r w:rsidRPr="00FA0D37">
        <w:rPr>
          <w:i/>
        </w:rPr>
        <w:t xml:space="preserve">delayBudgetReportingConfig </w:t>
      </w:r>
      <w:r w:rsidRPr="00FA0D37">
        <w:t>from the UE Inactive AS context, if stored;</w:t>
      </w:r>
    </w:p>
    <w:p w14:paraId="73F68BD4" w14:textId="77777777" w:rsidR="00394471" w:rsidRPr="00FA0D37" w:rsidRDefault="00394471" w:rsidP="00394471">
      <w:pPr>
        <w:pStyle w:val="B1"/>
      </w:pPr>
      <w:r w:rsidRPr="00FA0D37">
        <w:t>1&gt;</w:t>
      </w:r>
      <w:r w:rsidRPr="00FA0D37">
        <w:tab/>
        <w:t>stop timer T342, if running;</w:t>
      </w:r>
    </w:p>
    <w:p w14:paraId="545F280B" w14:textId="77777777" w:rsidR="00394471" w:rsidRPr="00FA0D37" w:rsidRDefault="00394471" w:rsidP="00394471">
      <w:pPr>
        <w:pStyle w:val="B1"/>
      </w:pPr>
      <w:r w:rsidRPr="00FA0D37">
        <w:t>1&gt;</w:t>
      </w:r>
      <w:r w:rsidRPr="00FA0D37">
        <w:tab/>
        <w:t xml:space="preserve">release </w:t>
      </w:r>
      <w:r w:rsidRPr="00FA0D37">
        <w:rPr>
          <w:i/>
        </w:rPr>
        <w:t xml:space="preserve">overheatingAssistanceConfig </w:t>
      </w:r>
      <w:r w:rsidRPr="00FA0D37">
        <w:t>from the UE Inactive AS context, if stored;</w:t>
      </w:r>
    </w:p>
    <w:p w14:paraId="61901AB7" w14:textId="77777777" w:rsidR="00394471" w:rsidRPr="00FA0D37" w:rsidRDefault="00394471" w:rsidP="00394471">
      <w:pPr>
        <w:pStyle w:val="B1"/>
      </w:pPr>
      <w:r w:rsidRPr="00FA0D37">
        <w:t>1&gt;</w:t>
      </w:r>
      <w:r w:rsidRPr="00FA0D37">
        <w:tab/>
        <w:t>stop timer T345, if running;</w:t>
      </w:r>
    </w:p>
    <w:p w14:paraId="705DCDD2" w14:textId="77777777" w:rsidR="00394471" w:rsidRPr="00FA0D37" w:rsidRDefault="00394471" w:rsidP="00394471">
      <w:pPr>
        <w:pStyle w:val="B1"/>
      </w:pPr>
      <w:r w:rsidRPr="00FA0D37">
        <w:t>1&gt;</w:t>
      </w:r>
      <w:r w:rsidRPr="00FA0D37">
        <w:tab/>
        <w:t xml:space="preserve">release </w:t>
      </w:r>
      <w:r w:rsidRPr="00FA0D37">
        <w:rPr>
          <w:i/>
        </w:rPr>
        <w:t xml:space="preserve">idc-AssistanceConfig </w:t>
      </w:r>
      <w:r w:rsidRPr="00FA0D37">
        <w:t>from the UE Inactive AS context, if stored;</w:t>
      </w:r>
    </w:p>
    <w:p w14:paraId="59ADEE58" w14:textId="77777777" w:rsidR="00394471" w:rsidRPr="00FA0D37" w:rsidRDefault="00394471" w:rsidP="00394471">
      <w:pPr>
        <w:pStyle w:val="B1"/>
      </w:pPr>
      <w:r w:rsidRPr="00FA0D37">
        <w:t>1&gt;</w:t>
      </w:r>
      <w:r w:rsidRPr="00FA0D37">
        <w:tab/>
        <w:t xml:space="preserve">release </w:t>
      </w:r>
      <w:r w:rsidRPr="00FA0D37">
        <w:rPr>
          <w:i/>
        </w:rPr>
        <w:t>drx-PreferenceConfig</w:t>
      </w:r>
      <w:r w:rsidRPr="00FA0D37">
        <w:t xml:space="preserve"> for all configured cell groups from the UE Inactive AS context, if stored;</w:t>
      </w:r>
    </w:p>
    <w:p w14:paraId="009D85F5" w14:textId="77777777" w:rsidR="00394471" w:rsidRPr="00FA0D37" w:rsidRDefault="00394471" w:rsidP="00394471">
      <w:pPr>
        <w:pStyle w:val="B1"/>
      </w:pPr>
      <w:r w:rsidRPr="00FA0D37">
        <w:t>1&gt;</w:t>
      </w:r>
      <w:r w:rsidRPr="00FA0D37">
        <w:tab/>
        <w:t>stop all instances of timer T346a, if running;</w:t>
      </w:r>
    </w:p>
    <w:p w14:paraId="3628AF44" w14:textId="22FBADA1" w:rsidR="00394471" w:rsidRPr="00FA0D37" w:rsidRDefault="00394471" w:rsidP="00394471">
      <w:pPr>
        <w:pStyle w:val="B1"/>
      </w:pPr>
      <w:r w:rsidRPr="00FA0D37">
        <w:t>1&gt;</w:t>
      </w:r>
      <w:r w:rsidRPr="00FA0D37">
        <w:tab/>
        <w:t xml:space="preserve">release </w:t>
      </w:r>
      <w:r w:rsidRPr="00FA0D37">
        <w:rPr>
          <w:i/>
        </w:rPr>
        <w:t>maxBW-PreferenceConfig</w:t>
      </w:r>
      <w:r w:rsidRPr="00FA0D37">
        <w:t xml:space="preserve"> </w:t>
      </w:r>
      <w:r w:rsidR="001B0D59" w:rsidRPr="00FA0D37">
        <w:t xml:space="preserve">and </w:t>
      </w:r>
      <w:r w:rsidR="001B0D59" w:rsidRPr="00FA0D37">
        <w:rPr>
          <w:i/>
        </w:rPr>
        <w:t>maxBW-PreferenceConfigFR2-2</w:t>
      </w:r>
      <w:r w:rsidR="001B0D59" w:rsidRPr="00FA0D37">
        <w:t xml:space="preserve"> </w:t>
      </w:r>
      <w:r w:rsidRPr="00FA0D37">
        <w:t>for all configured cell groups from the UE Inactive AS context, if stored;</w:t>
      </w:r>
    </w:p>
    <w:p w14:paraId="51D8A470" w14:textId="77777777" w:rsidR="00394471" w:rsidRPr="00FA0D37" w:rsidRDefault="00394471" w:rsidP="00394471">
      <w:pPr>
        <w:pStyle w:val="B1"/>
      </w:pPr>
      <w:r w:rsidRPr="00FA0D37">
        <w:t>1&gt;</w:t>
      </w:r>
      <w:r w:rsidRPr="00FA0D37">
        <w:tab/>
        <w:t>stop all instances of timer T346b, if running;</w:t>
      </w:r>
    </w:p>
    <w:p w14:paraId="7F292EBB" w14:textId="77777777" w:rsidR="00394471" w:rsidRPr="00FA0D37" w:rsidRDefault="00394471" w:rsidP="00394471">
      <w:pPr>
        <w:pStyle w:val="B1"/>
      </w:pPr>
      <w:r w:rsidRPr="00FA0D37">
        <w:t>1&gt;</w:t>
      </w:r>
      <w:r w:rsidRPr="00FA0D37">
        <w:tab/>
        <w:t xml:space="preserve">release </w:t>
      </w:r>
      <w:r w:rsidRPr="00FA0D37">
        <w:rPr>
          <w:i/>
        </w:rPr>
        <w:t>maxCC-PreferenceConfig</w:t>
      </w:r>
      <w:r w:rsidRPr="00FA0D37">
        <w:t xml:space="preserve"> for all configured cell groups from the UE Inactive AS context, if stored;</w:t>
      </w:r>
    </w:p>
    <w:p w14:paraId="69F2B82A" w14:textId="77777777" w:rsidR="00394471" w:rsidRPr="00FA0D37" w:rsidRDefault="00394471" w:rsidP="00394471">
      <w:pPr>
        <w:pStyle w:val="B1"/>
      </w:pPr>
      <w:r w:rsidRPr="00FA0D37">
        <w:t>1&gt;</w:t>
      </w:r>
      <w:r w:rsidRPr="00FA0D37">
        <w:tab/>
        <w:t>stop all instances of timer T346c, if running;</w:t>
      </w:r>
    </w:p>
    <w:p w14:paraId="1F900365" w14:textId="67708513" w:rsidR="00394471" w:rsidRPr="00FA0D37" w:rsidRDefault="00394471" w:rsidP="00394471">
      <w:pPr>
        <w:pStyle w:val="B1"/>
      </w:pPr>
      <w:r w:rsidRPr="00FA0D37">
        <w:t>1&gt;</w:t>
      </w:r>
      <w:r w:rsidRPr="00FA0D37">
        <w:tab/>
        <w:t xml:space="preserve">release </w:t>
      </w:r>
      <w:r w:rsidRPr="00FA0D37">
        <w:rPr>
          <w:i/>
        </w:rPr>
        <w:t>maxMIMO-LayerPreferenceConfig</w:t>
      </w:r>
      <w:r w:rsidRPr="00FA0D37">
        <w:t xml:space="preserve"> </w:t>
      </w:r>
      <w:r w:rsidR="001B0D59" w:rsidRPr="00FA0D37">
        <w:t xml:space="preserve">and </w:t>
      </w:r>
      <w:r w:rsidR="001B0D59" w:rsidRPr="00FA0D37">
        <w:rPr>
          <w:i/>
        </w:rPr>
        <w:t xml:space="preserve">maxMIMO-LayerPreferenceConfigFR2-2 </w:t>
      </w:r>
      <w:r w:rsidRPr="00FA0D37">
        <w:t>for all configured cell groups from the UE Inactive AS context, if stored;</w:t>
      </w:r>
    </w:p>
    <w:p w14:paraId="72DEEEE3" w14:textId="77777777" w:rsidR="00394471" w:rsidRPr="00FA0D37" w:rsidRDefault="00394471" w:rsidP="00394471">
      <w:pPr>
        <w:pStyle w:val="B1"/>
      </w:pPr>
      <w:r w:rsidRPr="00FA0D37">
        <w:t>1&gt;</w:t>
      </w:r>
      <w:r w:rsidRPr="00FA0D37">
        <w:tab/>
        <w:t>stop all instances of timer T346d, if running;</w:t>
      </w:r>
    </w:p>
    <w:p w14:paraId="6D7F7951" w14:textId="65004427" w:rsidR="00394471" w:rsidRPr="00FA0D37" w:rsidRDefault="00394471" w:rsidP="00394471">
      <w:pPr>
        <w:pStyle w:val="B1"/>
      </w:pPr>
      <w:r w:rsidRPr="00FA0D37">
        <w:t>1&gt;</w:t>
      </w:r>
      <w:r w:rsidRPr="00FA0D37">
        <w:tab/>
        <w:t xml:space="preserve">release </w:t>
      </w:r>
      <w:r w:rsidRPr="00FA0D37">
        <w:rPr>
          <w:i/>
        </w:rPr>
        <w:t>minSchedulingOffsetPreferenceConfig</w:t>
      </w:r>
      <w:r w:rsidRPr="00FA0D37">
        <w:t xml:space="preserve"> </w:t>
      </w:r>
      <w:r w:rsidR="001B0D59" w:rsidRPr="00FA0D37">
        <w:t xml:space="preserve">and </w:t>
      </w:r>
      <w:r w:rsidR="001B0D59" w:rsidRPr="00FA0D37">
        <w:rPr>
          <w:i/>
        </w:rPr>
        <w:t>minSchedulingOffsetPreferenceConfigExt</w:t>
      </w:r>
      <w:r w:rsidR="001B0D59" w:rsidRPr="00FA0D37">
        <w:t xml:space="preserve"> </w:t>
      </w:r>
      <w:r w:rsidRPr="00FA0D37">
        <w:t>for all configured cell groups from the UE Inactive AS context, if stored;</w:t>
      </w:r>
    </w:p>
    <w:p w14:paraId="4E5E0632" w14:textId="77777777" w:rsidR="00394471" w:rsidRPr="00FA0D37" w:rsidRDefault="00394471" w:rsidP="00394471">
      <w:pPr>
        <w:pStyle w:val="B1"/>
      </w:pPr>
      <w:r w:rsidRPr="00FA0D37">
        <w:lastRenderedPageBreak/>
        <w:t>1&gt;</w:t>
      </w:r>
      <w:r w:rsidRPr="00FA0D37">
        <w:tab/>
        <w:t>stop all instances of timer T346e, if running;</w:t>
      </w:r>
    </w:p>
    <w:p w14:paraId="4474DA08" w14:textId="77777777" w:rsidR="00B623BD" w:rsidRPr="00FA0D37" w:rsidRDefault="00B623BD" w:rsidP="00B623BD">
      <w:pPr>
        <w:pStyle w:val="B1"/>
      </w:pPr>
      <w:r w:rsidRPr="00FA0D37">
        <w:t>1&gt;</w:t>
      </w:r>
      <w:r w:rsidRPr="00FA0D37">
        <w:tab/>
        <w:t xml:space="preserve">release </w:t>
      </w:r>
      <w:r w:rsidRPr="00FA0D37">
        <w:rPr>
          <w:rFonts w:eastAsia="等线"/>
          <w:i/>
          <w:iCs/>
          <w:lang w:eastAsia="zh-CN"/>
        </w:rPr>
        <w:t>rlm-Relaxation</w:t>
      </w:r>
      <w:r w:rsidRPr="00FA0D37">
        <w:rPr>
          <w:i/>
          <w:iCs/>
        </w:rPr>
        <w:t>ReportingConfig</w:t>
      </w:r>
      <w:r w:rsidRPr="00FA0D37">
        <w:t xml:space="preserve"> for all configured cell groups from the UE Inactive AS context, if stored;</w:t>
      </w:r>
    </w:p>
    <w:p w14:paraId="51DD38D3" w14:textId="644D2294" w:rsidR="00B623BD" w:rsidRPr="00FA0D37" w:rsidRDefault="00B623BD" w:rsidP="00B623BD">
      <w:pPr>
        <w:pStyle w:val="B1"/>
      </w:pPr>
      <w:r w:rsidRPr="00FA0D37">
        <w:t>1&gt;</w:t>
      </w:r>
      <w:r w:rsidRPr="00FA0D37">
        <w:tab/>
        <w:t xml:space="preserve">stop all instances of timer </w:t>
      </w:r>
      <w:r w:rsidR="00881009" w:rsidRPr="00FA0D37">
        <w:t>T346j</w:t>
      </w:r>
      <w:r w:rsidRPr="00FA0D37">
        <w:t>, if running;</w:t>
      </w:r>
    </w:p>
    <w:p w14:paraId="2ED9E147" w14:textId="77777777" w:rsidR="00B623BD" w:rsidRPr="00FA0D37" w:rsidRDefault="00B623BD" w:rsidP="00B623BD">
      <w:pPr>
        <w:pStyle w:val="B1"/>
      </w:pPr>
      <w:r w:rsidRPr="00FA0D37">
        <w:t>1&gt;</w:t>
      </w:r>
      <w:r w:rsidRPr="00FA0D37">
        <w:tab/>
        <w:t xml:space="preserve">release </w:t>
      </w:r>
      <w:r w:rsidRPr="00FA0D37">
        <w:rPr>
          <w:rFonts w:eastAsia="等线"/>
          <w:i/>
          <w:iCs/>
          <w:lang w:eastAsia="zh-CN"/>
        </w:rPr>
        <w:t>bfd-Relaxation</w:t>
      </w:r>
      <w:r w:rsidRPr="00FA0D37">
        <w:rPr>
          <w:i/>
          <w:iCs/>
        </w:rPr>
        <w:t>ReportingConfig</w:t>
      </w:r>
      <w:r w:rsidRPr="00FA0D37">
        <w:t xml:space="preserve"> for all configured cell groups from the UE Inactive AS context, if stored;</w:t>
      </w:r>
    </w:p>
    <w:p w14:paraId="77A42679" w14:textId="3CADB0AB" w:rsidR="00B623BD" w:rsidRPr="00FA0D37" w:rsidRDefault="00B623BD" w:rsidP="00B623BD">
      <w:pPr>
        <w:pStyle w:val="B1"/>
      </w:pPr>
      <w:r w:rsidRPr="00FA0D37">
        <w:t>1&gt;</w:t>
      </w:r>
      <w:r w:rsidRPr="00FA0D37">
        <w:tab/>
        <w:t xml:space="preserve">stop all instances of timer </w:t>
      </w:r>
      <w:r w:rsidR="00881009" w:rsidRPr="00FA0D37">
        <w:t>T346k</w:t>
      </w:r>
      <w:r w:rsidRPr="00FA0D37">
        <w:t>, if running;</w:t>
      </w:r>
    </w:p>
    <w:p w14:paraId="08208A0E" w14:textId="77777777" w:rsidR="00394471" w:rsidRPr="00FA0D37" w:rsidRDefault="00394471" w:rsidP="00394471">
      <w:pPr>
        <w:pStyle w:val="B1"/>
      </w:pPr>
      <w:r w:rsidRPr="00FA0D37">
        <w:t>1&gt;</w:t>
      </w:r>
      <w:r w:rsidRPr="00FA0D37">
        <w:tab/>
        <w:t xml:space="preserve">release </w:t>
      </w:r>
      <w:r w:rsidRPr="00FA0D37">
        <w:rPr>
          <w:i/>
        </w:rPr>
        <w:t>releasePreferenceConfig</w:t>
      </w:r>
      <w:r w:rsidRPr="00FA0D37">
        <w:t xml:space="preserve"> from the UE Inactive AS context, if stored;</w:t>
      </w:r>
    </w:p>
    <w:p w14:paraId="0EF34E71" w14:textId="77777777" w:rsidR="00CF6189" w:rsidRPr="00FA0D37" w:rsidRDefault="00CF6189" w:rsidP="00CF6189">
      <w:pPr>
        <w:pStyle w:val="B1"/>
      </w:pPr>
      <w:r w:rsidRPr="00FA0D37">
        <w:t>1&gt;</w:t>
      </w:r>
      <w:r w:rsidRPr="00FA0D37">
        <w:tab/>
        <w:t xml:space="preserve">release </w:t>
      </w:r>
      <w:r w:rsidRPr="00FA0D37">
        <w:rPr>
          <w:i/>
        </w:rPr>
        <w:t>wlanNameList</w:t>
      </w:r>
      <w:r w:rsidRPr="00FA0D37">
        <w:t xml:space="preserve"> from the UE Inactive AS context, if stored;</w:t>
      </w:r>
    </w:p>
    <w:p w14:paraId="2714EF76" w14:textId="77777777" w:rsidR="00CF6189" w:rsidRPr="00FA0D37" w:rsidRDefault="00CF6189" w:rsidP="00CF6189">
      <w:pPr>
        <w:pStyle w:val="B1"/>
      </w:pPr>
      <w:r w:rsidRPr="00FA0D37">
        <w:t>1&gt;</w:t>
      </w:r>
      <w:r w:rsidRPr="00FA0D37">
        <w:tab/>
        <w:t xml:space="preserve">release </w:t>
      </w:r>
      <w:r w:rsidRPr="00FA0D37">
        <w:rPr>
          <w:i/>
        </w:rPr>
        <w:t>btNameList</w:t>
      </w:r>
      <w:r w:rsidRPr="00FA0D37">
        <w:t xml:space="preserve"> from the UE Inactive AS context, if stored;</w:t>
      </w:r>
    </w:p>
    <w:p w14:paraId="6933545C" w14:textId="77777777" w:rsidR="00CF6189" w:rsidRPr="00FA0D37" w:rsidRDefault="00CF6189" w:rsidP="00CF6189">
      <w:pPr>
        <w:pStyle w:val="B1"/>
      </w:pPr>
      <w:r w:rsidRPr="00FA0D37">
        <w:t>1&gt;</w:t>
      </w:r>
      <w:r w:rsidRPr="00FA0D37">
        <w:tab/>
        <w:t xml:space="preserve">release </w:t>
      </w:r>
      <w:r w:rsidRPr="00FA0D37">
        <w:rPr>
          <w:i/>
        </w:rPr>
        <w:t>sensorNameList</w:t>
      </w:r>
      <w:r w:rsidRPr="00FA0D37">
        <w:t xml:space="preserve"> from the UE Inactive AS context, if stored;</w:t>
      </w:r>
    </w:p>
    <w:p w14:paraId="71384D19" w14:textId="77777777" w:rsidR="00CF6189" w:rsidRPr="00FA0D37" w:rsidRDefault="00CF6189" w:rsidP="00CF6189">
      <w:pPr>
        <w:pStyle w:val="B1"/>
      </w:pPr>
      <w:r w:rsidRPr="00FA0D37">
        <w:t>1&gt;</w:t>
      </w:r>
      <w:r w:rsidRPr="00FA0D37">
        <w:tab/>
        <w:t xml:space="preserve">release </w:t>
      </w:r>
      <w:bookmarkStart w:id="147" w:name="OLE_LINK9"/>
      <w:bookmarkStart w:id="148" w:name="OLE_LINK10"/>
      <w:r w:rsidRPr="00FA0D37">
        <w:rPr>
          <w:i/>
        </w:rPr>
        <w:t>obtainCommonLocation</w:t>
      </w:r>
      <w:bookmarkEnd w:id="147"/>
      <w:bookmarkEnd w:id="148"/>
      <w:r w:rsidRPr="00FA0D37">
        <w:t xml:space="preserve"> from the UE Inactive AS context, if stored;</w:t>
      </w:r>
    </w:p>
    <w:p w14:paraId="635CDF0D" w14:textId="77777777" w:rsidR="00394471" w:rsidRPr="00FA0D37" w:rsidRDefault="00394471" w:rsidP="00394471">
      <w:pPr>
        <w:pStyle w:val="B1"/>
      </w:pPr>
      <w:r w:rsidRPr="00FA0D37">
        <w:t>1&gt;</w:t>
      </w:r>
      <w:r w:rsidRPr="00FA0D37">
        <w:tab/>
        <w:t>stop timer T346f, if running;</w:t>
      </w:r>
    </w:p>
    <w:p w14:paraId="100622B3" w14:textId="6E5F622A" w:rsidR="00DB6B82" w:rsidRPr="00FA0D37" w:rsidRDefault="00DB6B82" w:rsidP="00DB6B82">
      <w:pPr>
        <w:pStyle w:val="B1"/>
      </w:pPr>
      <w:r w:rsidRPr="00FA0D37">
        <w:t>1&gt;</w:t>
      </w:r>
      <w:r w:rsidRPr="00FA0D37">
        <w:tab/>
        <w:t>stop timer T346</w:t>
      </w:r>
      <w:r w:rsidR="00BE1D2B" w:rsidRPr="00FA0D37">
        <w:t>i</w:t>
      </w:r>
      <w:r w:rsidRPr="00FA0D37">
        <w:t>, if running;</w:t>
      </w:r>
    </w:p>
    <w:p w14:paraId="4E8892BC" w14:textId="77777777" w:rsidR="005C4C47" w:rsidRPr="00FA0D37" w:rsidRDefault="005C4C47" w:rsidP="005C4C47">
      <w:pPr>
        <w:pStyle w:val="B1"/>
      </w:pPr>
      <w:r w:rsidRPr="00FA0D37">
        <w:t>1&gt;</w:t>
      </w:r>
      <w:r w:rsidRPr="00FA0D37">
        <w:tab/>
        <w:t xml:space="preserve">release </w:t>
      </w:r>
      <w:r w:rsidRPr="00FA0D37">
        <w:rPr>
          <w:i/>
          <w:iCs/>
        </w:rPr>
        <w:t>referenceTimePreferenceReporting</w:t>
      </w:r>
      <w:r w:rsidRPr="00FA0D37">
        <w:t xml:space="preserve"> from the UE Inactive AS context, if stored;</w:t>
      </w:r>
    </w:p>
    <w:p w14:paraId="6872262A" w14:textId="77777777" w:rsidR="005C4C47" w:rsidRPr="00FA0D37" w:rsidRDefault="005C4C47" w:rsidP="005C4C47">
      <w:pPr>
        <w:pStyle w:val="B1"/>
      </w:pPr>
      <w:r w:rsidRPr="00FA0D37">
        <w:t>1&gt;</w:t>
      </w:r>
      <w:r w:rsidRPr="00FA0D37">
        <w:tab/>
        <w:t xml:space="preserve">release </w:t>
      </w:r>
      <w:r w:rsidRPr="00FA0D37">
        <w:rPr>
          <w:i/>
          <w:iCs/>
        </w:rPr>
        <w:t>sl-AssistanceConfigNR</w:t>
      </w:r>
      <w:r w:rsidRPr="00FA0D37">
        <w:t xml:space="preserve"> from the UE Inactive AS context, if stored;</w:t>
      </w:r>
    </w:p>
    <w:p w14:paraId="1A99FBD1" w14:textId="5C45E17D" w:rsidR="00100C97" w:rsidRPr="00FA0D37" w:rsidRDefault="00100C97" w:rsidP="000830BB">
      <w:pPr>
        <w:pStyle w:val="B1"/>
      </w:pPr>
      <w:r w:rsidRPr="00FA0D37">
        <w:t>1&gt;</w:t>
      </w:r>
      <w:r w:rsidRPr="00FA0D37">
        <w:tab/>
        <w:t xml:space="preserve">release </w:t>
      </w:r>
      <w:r w:rsidRPr="00FA0D37">
        <w:rPr>
          <w:bCs/>
          <w:i/>
        </w:rPr>
        <w:t>musim-GapAssistanceConfig</w:t>
      </w:r>
      <w:r w:rsidRPr="00FA0D37">
        <w:t xml:space="preserve"> from the UE Inactive AS context, if stored</w:t>
      </w:r>
      <w:r w:rsidRPr="00FA0D37">
        <w:rPr>
          <w:rFonts w:eastAsia="宋体"/>
        </w:rPr>
        <w:t xml:space="preserve"> and </w:t>
      </w:r>
      <w:r w:rsidRPr="00FA0D37">
        <w:t xml:space="preserve">stop timer </w:t>
      </w:r>
      <w:r w:rsidR="00881009" w:rsidRPr="00FA0D37">
        <w:t>T346h</w:t>
      </w:r>
      <w:r w:rsidRPr="00FA0D37">
        <w:t>, if running;</w:t>
      </w:r>
    </w:p>
    <w:p w14:paraId="5F53D4B2" w14:textId="77777777" w:rsidR="0005611B" w:rsidRPr="00FA0D37" w:rsidRDefault="0005611B" w:rsidP="0005611B">
      <w:pPr>
        <w:pStyle w:val="B1"/>
        <w:rPr>
          <w:rFonts w:eastAsia="Malgun Gothic"/>
        </w:rPr>
      </w:pPr>
      <w:r w:rsidRPr="00FA0D37">
        <w:rPr>
          <w:rFonts w:eastAsia="Malgun Gothic"/>
        </w:rPr>
        <w:t>1&gt;</w:t>
      </w:r>
      <w:r w:rsidRPr="00FA0D37">
        <w:rPr>
          <w:rFonts w:eastAsia="Malgun Gothic"/>
        </w:rPr>
        <w:tab/>
        <w:t xml:space="preserve">release </w:t>
      </w:r>
      <w:r w:rsidRPr="00FA0D37">
        <w:rPr>
          <w:rFonts w:eastAsia="Malgun Gothic"/>
          <w:i/>
        </w:rPr>
        <w:t>musim-GapConfig</w:t>
      </w:r>
      <w:r w:rsidRPr="00FA0D37">
        <w:rPr>
          <w:rFonts w:eastAsia="Malgun Gothic"/>
        </w:rPr>
        <w:t xml:space="preserve"> from the UE Inactive AS context, if stored;</w:t>
      </w:r>
    </w:p>
    <w:p w14:paraId="205E3920" w14:textId="0EB56ACF" w:rsidR="00100C97" w:rsidRPr="00FA0D37" w:rsidRDefault="00100C97" w:rsidP="000830BB">
      <w:pPr>
        <w:pStyle w:val="B1"/>
      </w:pPr>
      <w:r w:rsidRPr="00FA0D37">
        <w:t>1&gt;</w:t>
      </w:r>
      <w:r w:rsidRPr="00FA0D37">
        <w:tab/>
        <w:t xml:space="preserve">release </w:t>
      </w:r>
      <w:r w:rsidRPr="00FA0D37">
        <w:rPr>
          <w:bCs/>
          <w:i/>
        </w:rPr>
        <w:t>musim-LeaveAssistanceConfig</w:t>
      </w:r>
      <w:r w:rsidRPr="00FA0D37">
        <w:t xml:space="preserve"> from the UE Inactive AS context, if stored;</w:t>
      </w:r>
    </w:p>
    <w:p w14:paraId="60CF36A1" w14:textId="40797666" w:rsidR="009A3D15" w:rsidRPr="00FA0D37" w:rsidRDefault="009A3D15" w:rsidP="000830BB">
      <w:pPr>
        <w:pStyle w:val="B1"/>
      </w:pPr>
      <w:r w:rsidRPr="00FA0D37">
        <w:t>1&gt;</w:t>
      </w:r>
      <w:r w:rsidRPr="00FA0D37">
        <w:tab/>
        <w:t xml:space="preserve">release </w:t>
      </w:r>
      <w:r w:rsidRPr="00FA0D37">
        <w:rPr>
          <w:i/>
          <w:iCs/>
        </w:rPr>
        <w:t>propDelayDiffReportConfig</w:t>
      </w:r>
      <w:r w:rsidRPr="00FA0D37">
        <w:t xml:space="preserve"> from the UE Inactive AS context, if stored;</w:t>
      </w:r>
    </w:p>
    <w:p w14:paraId="4F32AEC8" w14:textId="77777777" w:rsidR="00E47E93" w:rsidRPr="00FA0D37" w:rsidRDefault="001212B2" w:rsidP="00E47E93">
      <w:pPr>
        <w:pStyle w:val="B1"/>
      </w:pPr>
      <w:r w:rsidRPr="00FA0D37">
        <w:t>1&gt;</w:t>
      </w:r>
      <w:r w:rsidRPr="00FA0D37">
        <w:tab/>
        <w:t xml:space="preserve">release </w:t>
      </w:r>
      <w:r w:rsidRPr="00FA0D37">
        <w:rPr>
          <w:i/>
          <w:iCs/>
        </w:rPr>
        <w:t>ul-GapFR2-PreferenceConfig</w:t>
      </w:r>
      <w:r w:rsidRPr="00FA0D37">
        <w:t>, if configured;</w:t>
      </w:r>
    </w:p>
    <w:p w14:paraId="7D7AE8F5" w14:textId="66680F3D" w:rsidR="001212B2" w:rsidRPr="00FA0D37" w:rsidRDefault="00E47E93" w:rsidP="00E47E93">
      <w:pPr>
        <w:pStyle w:val="B1"/>
      </w:pPr>
      <w:r w:rsidRPr="00FA0D37">
        <w:t>1&gt;</w:t>
      </w:r>
      <w:r w:rsidRPr="00FA0D37">
        <w:tab/>
        <w:t xml:space="preserve">release </w:t>
      </w:r>
      <w:r w:rsidRPr="00FA0D37">
        <w:rPr>
          <w:i/>
        </w:rPr>
        <w:t>rrm-MeasRelaxationReportingConfig</w:t>
      </w:r>
      <w:r w:rsidRPr="00FA0D37">
        <w:t xml:space="preserve"> from the UE Inactive AS context, if stored;</w:t>
      </w:r>
    </w:p>
    <w:p w14:paraId="3D0B5A61" w14:textId="3386D328" w:rsidR="00CD4D14" w:rsidRPr="00FA0D37" w:rsidRDefault="00CD4D14" w:rsidP="00CD4D14">
      <w:pPr>
        <w:pStyle w:val="B1"/>
      </w:pPr>
      <w:r w:rsidRPr="00FA0D37">
        <w:t>1&gt;</w:t>
      </w:r>
      <w:r w:rsidRPr="00FA0D37">
        <w:tab/>
        <w:t xml:space="preserve">if the UE is </w:t>
      </w:r>
      <w:r w:rsidR="008A2A82" w:rsidRPr="00FA0D37">
        <w:t>acting as</w:t>
      </w:r>
      <w:r w:rsidRPr="00FA0D37">
        <w:t xml:space="preserve"> L2 U2N Remote UE:</w:t>
      </w:r>
    </w:p>
    <w:p w14:paraId="779703FE" w14:textId="77777777" w:rsidR="00CD4D14" w:rsidRPr="00FA0D37" w:rsidRDefault="00CD4D14" w:rsidP="00CD4D14">
      <w:pPr>
        <w:pStyle w:val="B2"/>
      </w:pPr>
      <w:r w:rsidRPr="00FA0D37">
        <w:t>2&gt;</w:t>
      </w:r>
      <w:r w:rsidRPr="00FA0D37">
        <w:tab/>
        <w:t xml:space="preserve">apply the specified configuration of </w:t>
      </w:r>
      <w:r w:rsidRPr="00FA0D37">
        <w:rPr>
          <w:rFonts w:eastAsia="等线"/>
          <w:lang w:eastAsia="zh-CN"/>
        </w:rPr>
        <w:t xml:space="preserve">SL-RLC0 </w:t>
      </w:r>
      <w:r w:rsidRPr="00FA0D37">
        <w:t>used for the delivery of RRC message over SRB0 as specified in 9.1.1.4;</w:t>
      </w:r>
    </w:p>
    <w:p w14:paraId="77810F6C" w14:textId="1BB4DEC2" w:rsidR="00CD4D14" w:rsidRPr="00FA0D37" w:rsidRDefault="00CD4D14" w:rsidP="00CD4D14">
      <w:pPr>
        <w:pStyle w:val="B2"/>
      </w:pPr>
      <w:r w:rsidRPr="00FA0D37">
        <w:t>2&gt;</w:t>
      </w:r>
      <w:r w:rsidRPr="00FA0D37">
        <w:tab/>
        <w:t>apply the SDAP configuration and PDCP configuration as specified in 9.1.1.2 for SRB0;</w:t>
      </w:r>
    </w:p>
    <w:p w14:paraId="2D398EA8" w14:textId="1C58EC95" w:rsidR="00CD4D14" w:rsidRPr="00FA0D37" w:rsidRDefault="00CD4D14" w:rsidP="00CD4D14">
      <w:pPr>
        <w:pStyle w:val="B1"/>
      </w:pPr>
      <w:r w:rsidRPr="00FA0D37">
        <w:t>1&gt;</w:t>
      </w:r>
      <w:r w:rsidRPr="00FA0D37">
        <w:tab/>
        <w:t>else:</w:t>
      </w:r>
    </w:p>
    <w:p w14:paraId="7CE5D6C0" w14:textId="7FE8588A" w:rsidR="00394471" w:rsidRPr="00FA0D37" w:rsidRDefault="00CD4D14" w:rsidP="000830BB">
      <w:pPr>
        <w:pStyle w:val="B2"/>
      </w:pPr>
      <w:r w:rsidRPr="00FA0D37">
        <w:t>2</w:t>
      </w:r>
      <w:r w:rsidR="00394471" w:rsidRPr="00FA0D37">
        <w:t>&gt;</w:t>
      </w:r>
      <w:r w:rsidR="00394471" w:rsidRPr="00FA0D37">
        <w:tab/>
        <w:t>apply the CCCH configuration as specified in 9.1.1.2;</w:t>
      </w:r>
    </w:p>
    <w:p w14:paraId="186C8C92" w14:textId="0F99A810" w:rsidR="00394471" w:rsidRPr="00FA0D37" w:rsidRDefault="00CD4D14" w:rsidP="000830BB">
      <w:pPr>
        <w:pStyle w:val="B2"/>
      </w:pPr>
      <w:r w:rsidRPr="00FA0D37">
        <w:t>2</w:t>
      </w:r>
      <w:r w:rsidR="00394471" w:rsidRPr="00FA0D37">
        <w:t>&gt;</w:t>
      </w:r>
      <w:r w:rsidR="00394471" w:rsidRPr="00FA0D37">
        <w:tab/>
        <w:t xml:space="preserve">apply the </w:t>
      </w:r>
      <w:r w:rsidR="00394471" w:rsidRPr="00FA0D37">
        <w:rPr>
          <w:i/>
        </w:rPr>
        <w:t>timeAlignmentTimerCommon</w:t>
      </w:r>
      <w:r w:rsidR="00394471" w:rsidRPr="00FA0D37">
        <w:t xml:space="preserve"> included in </w:t>
      </w:r>
      <w:r w:rsidR="00394471" w:rsidRPr="00FA0D37">
        <w:rPr>
          <w:i/>
        </w:rPr>
        <w:t>SIB1</w:t>
      </w:r>
      <w:r w:rsidR="00394471" w:rsidRPr="00FA0D37">
        <w:t>;</w:t>
      </w:r>
    </w:p>
    <w:p w14:paraId="7309312E" w14:textId="2C022031" w:rsidR="0070235D" w:rsidRPr="00FA0D37" w:rsidRDefault="0070235D" w:rsidP="0070235D">
      <w:pPr>
        <w:pStyle w:val="B1"/>
      </w:pPr>
      <w:r w:rsidRPr="00FA0D37">
        <w:t>1&gt;</w:t>
      </w:r>
      <w:r w:rsidRPr="00FA0D37">
        <w:tab/>
        <w:t xml:space="preserve">if </w:t>
      </w:r>
      <w:r w:rsidRPr="00FA0D37">
        <w:rPr>
          <w:i/>
          <w:iCs/>
        </w:rPr>
        <w:t>sdt-MAC-PHY-CG-Config</w:t>
      </w:r>
      <w:r w:rsidRPr="00FA0D37">
        <w:t xml:space="preserve"> is configured:</w:t>
      </w:r>
    </w:p>
    <w:p w14:paraId="42B0A8C6" w14:textId="6A1855E5" w:rsidR="0070235D" w:rsidRPr="00FA0D37" w:rsidRDefault="0070235D" w:rsidP="0070235D">
      <w:pPr>
        <w:pStyle w:val="B2"/>
      </w:pPr>
      <w:r w:rsidRPr="00FA0D37">
        <w:t>2&gt;</w:t>
      </w:r>
      <w:bookmarkStart w:id="149" w:name="_Hlk85564571"/>
      <w:r w:rsidRPr="00FA0D37">
        <w:tab/>
        <w:t xml:space="preserve">if the resume procedure is initiated </w:t>
      </w:r>
      <w:bookmarkEnd w:id="149"/>
      <w:r w:rsidRPr="00FA0D37">
        <w:t xml:space="preserve">in a cell that is different to the PCell in which the UE received the stored </w:t>
      </w:r>
      <w:r w:rsidRPr="00FA0D37">
        <w:rPr>
          <w:i/>
          <w:iCs/>
        </w:rPr>
        <w:t>sdt-MAC-PHY-CG-Config</w:t>
      </w:r>
      <w:r w:rsidRPr="00FA0D37">
        <w:t>:</w:t>
      </w:r>
    </w:p>
    <w:p w14:paraId="0E477F89" w14:textId="6FD18915" w:rsidR="0070235D" w:rsidRPr="00FA0D37" w:rsidRDefault="0070235D" w:rsidP="0070235D">
      <w:pPr>
        <w:pStyle w:val="B3"/>
      </w:pPr>
      <w:r w:rsidRPr="00FA0D37">
        <w:t>3&gt;</w:t>
      </w:r>
      <w:r w:rsidRPr="00FA0D37">
        <w:tab/>
        <w:t xml:space="preserve">release the stored </w:t>
      </w:r>
      <w:r w:rsidRPr="00FA0D37">
        <w:rPr>
          <w:i/>
          <w:iCs/>
        </w:rPr>
        <w:t>sdt-MAC-PHY-CG-Config</w:t>
      </w:r>
      <w:r w:rsidRPr="00FA0D37">
        <w:t>;</w:t>
      </w:r>
    </w:p>
    <w:p w14:paraId="4C7BD0BA" w14:textId="47D964FE" w:rsidR="00E23C69" w:rsidRPr="00FA0D37" w:rsidRDefault="00E23C69" w:rsidP="00F747EB">
      <w:pPr>
        <w:pStyle w:val="B3"/>
      </w:pPr>
      <w:r w:rsidRPr="00FA0D37">
        <w:t>3&gt;</w:t>
      </w:r>
      <w:r w:rsidRPr="00FA0D37">
        <w:tab/>
        <w:t xml:space="preserve">instruct the MAC entity to stop the </w:t>
      </w:r>
      <w:r w:rsidRPr="00FA0D37">
        <w:rPr>
          <w:i/>
          <w:iCs/>
        </w:rPr>
        <w:t>cg-SDT-TimeAlignmentTimer</w:t>
      </w:r>
      <w:r w:rsidRPr="00FA0D37">
        <w:t>, if it is running;</w:t>
      </w:r>
    </w:p>
    <w:p w14:paraId="48719D9C" w14:textId="121A651D" w:rsidR="0082073B" w:rsidRPr="00FA0D37" w:rsidRDefault="0082073B" w:rsidP="0082073B">
      <w:pPr>
        <w:pStyle w:val="B1"/>
      </w:pPr>
      <w:r w:rsidRPr="00FA0D37">
        <w:t>1&gt;</w:t>
      </w:r>
      <w:r w:rsidRPr="00FA0D37">
        <w:tab/>
        <w:t xml:space="preserve">if </w:t>
      </w:r>
      <w:r w:rsidRPr="00FA0D37">
        <w:rPr>
          <w:i/>
          <w:iCs/>
        </w:rPr>
        <w:t>ncd-SSB-RedCapInitialBWP-SDT</w:t>
      </w:r>
      <w:r w:rsidRPr="00FA0D37">
        <w:t xml:space="preserve"> is configured:</w:t>
      </w:r>
    </w:p>
    <w:p w14:paraId="49B84EAD" w14:textId="77777777" w:rsidR="0082073B" w:rsidRPr="00FA0D37" w:rsidRDefault="0082073B" w:rsidP="0082073B">
      <w:pPr>
        <w:pStyle w:val="B2"/>
      </w:pPr>
      <w:r w:rsidRPr="00FA0D37">
        <w:t>2&gt;</w:t>
      </w:r>
      <w:r w:rsidRPr="00FA0D37">
        <w:tab/>
        <w:t xml:space="preserve">if the resume procedure is initiated in a cell that is different to the PCell in which the UE received the stored </w:t>
      </w:r>
      <w:r w:rsidRPr="00FA0D37">
        <w:rPr>
          <w:i/>
          <w:iCs/>
        </w:rPr>
        <w:t>ncd-SSB-RedCapInitialBWP-SDT</w:t>
      </w:r>
      <w:r w:rsidRPr="00FA0D37">
        <w:t>:</w:t>
      </w:r>
    </w:p>
    <w:p w14:paraId="3EAF16FE" w14:textId="719CFA2B" w:rsidR="0082073B" w:rsidRPr="00FA0D37" w:rsidRDefault="0082073B" w:rsidP="00651E87">
      <w:pPr>
        <w:pStyle w:val="B3"/>
      </w:pPr>
      <w:r w:rsidRPr="00FA0D37">
        <w:t>3&gt;</w:t>
      </w:r>
      <w:r w:rsidRPr="00FA0D37">
        <w:tab/>
        <w:t xml:space="preserve">release the stored </w:t>
      </w:r>
      <w:r w:rsidRPr="00FA0D37">
        <w:rPr>
          <w:i/>
          <w:iCs/>
        </w:rPr>
        <w:t>ncd-SSB-RedCapInitialBWP-SDT;</w:t>
      </w:r>
    </w:p>
    <w:p w14:paraId="67F468CF" w14:textId="7E382F4E" w:rsidR="0070235D" w:rsidRPr="00FA0D37" w:rsidRDefault="0070235D" w:rsidP="00E23C69">
      <w:pPr>
        <w:pStyle w:val="B1"/>
      </w:pPr>
      <w:r w:rsidRPr="00FA0D37">
        <w:lastRenderedPageBreak/>
        <w:t>1&gt;</w:t>
      </w:r>
      <w:r w:rsidRPr="00FA0D37">
        <w:tab/>
        <w:t>if conditions for initiating SDT in accordance with 5.3.13.1b are fulfilled:</w:t>
      </w:r>
    </w:p>
    <w:p w14:paraId="2665B653" w14:textId="44F254EA" w:rsidR="0070235D" w:rsidRPr="00FA0D37" w:rsidRDefault="0070235D" w:rsidP="0070235D">
      <w:pPr>
        <w:pStyle w:val="B2"/>
      </w:pPr>
      <w:r w:rsidRPr="00FA0D37">
        <w:t>2&gt;</w:t>
      </w:r>
      <w:r w:rsidRPr="00FA0D37">
        <w:tab/>
        <w:t>consider the resume procedure is initiated for SDT;</w:t>
      </w:r>
    </w:p>
    <w:p w14:paraId="1AD75588" w14:textId="77777777" w:rsidR="007D3EDC" w:rsidRPr="00FA0D37" w:rsidRDefault="0070235D" w:rsidP="007D3EDC">
      <w:pPr>
        <w:pStyle w:val="B2"/>
      </w:pPr>
      <w:r w:rsidRPr="00FA0D37">
        <w:t>2&gt;</w:t>
      </w:r>
      <w:r w:rsidRPr="00FA0D37">
        <w:tab/>
        <w:t>start timer T319a</w:t>
      </w:r>
      <w:r w:rsidR="00E23C69" w:rsidRPr="00FA0D37">
        <w:t xml:space="preserve"> when the lower layers first transmit the CCCH message</w:t>
      </w:r>
      <w:r w:rsidRPr="00FA0D37">
        <w:t>;</w:t>
      </w:r>
    </w:p>
    <w:p w14:paraId="271061ED" w14:textId="47699458" w:rsidR="0070235D" w:rsidRPr="00FA0D37" w:rsidRDefault="007D3EDC" w:rsidP="007D3EDC">
      <w:pPr>
        <w:pStyle w:val="B2"/>
      </w:pPr>
      <w:r w:rsidRPr="00FA0D37">
        <w:t>2&gt;</w:t>
      </w:r>
      <w:r w:rsidR="00772E2E" w:rsidRPr="00FA0D37">
        <w:tab/>
      </w:r>
      <w:r w:rsidRPr="00FA0D37">
        <w:t>consider SDT procedure is ongoing;</w:t>
      </w:r>
    </w:p>
    <w:p w14:paraId="3A89776C" w14:textId="77777777" w:rsidR="0070235D" w:rsidRPr="00FA0D37" w:rsidRDefault="0070235D" w:rsidP="0070235D">
      <w:pPr>
        <w:pStyle w:val="B1"/>
      </w:pPr>
      <w:r w:rsidRPr="00FA0D37">
        <w:t>1&gt; else:</w:t>
      </w:r>
    </w:p>
    <w:p w14:paraId="17598A98" w14:textId="14D12018" w:rsidR="00394471" w:rsidRPr="00FA0D37" w:rsidRDefault="0070235D" w:rsidP="000830BB">
      <w:pPr>
        <w:pStyle w:val="B2"/>
      </w:pPr>
      <w:r w:rsidRPr="00FA0D37">
        <w:t>2</w:t>
      </w:r>
      <w:r w:rsidR="00394471" w:rsidRPr="00FA0D37">
        <w:t>&gt;</w:t>
      </w:r>
      <w:r w:rsidR="00394471" w:rsidRPr="00FA0D37">
        <w:tab/>
        <w:t>start timer T319;</w:t>
      </w:r>
    </w:p>
    <w:p w14:paraId="3DA32946" w14:textId="088BE0FE" w:rsidR="0070235D" w:rsidRPr="00FA0D37" w:rsidRDefault="0070235D" w:rsidP="000830BB">
      <w:pPr>
        <w:pStyle w:val="B2"/>
      </w:pPr>
      <w:r w:rsidRPr="00FA0D37">
        <w:t>2&gt;</w:t>
      </w:r>
      <w:r w:rsidRPr="00FA0D37">
        <w:tab/>
        <w:t xml:space="preserve">instruct the MAC entity to </w:t>
      </w:r>
      <w:r w:rsidR="00E23C69" w:rsidRPr="00FA0D37">
        <w:t xml:space="preserve">stop </w:t>
      </w:r>
      <w:r w:rsidRPr="00FA0D37">
        <w:t xml:space="preserve">the </w:t>
      </w:r>
      <w:r w:rsidRPr="00FA0D37">
        <w:rPr>
          <w:i/>
          <w:iCs/>
        </w:rPr>
        <w:t>cg</w:t>
      </w:r>
      <w:r w:rsidRPr="00FA0D37">
        <w:t>-</w:t>
      </w:r>
      <w:r w:rsidRPr="00FA0D37">
        <w:rPr>
          <w:i/>
          <w:iCs/>
        </w:rPr>
        <w:t>SDT</w:t>
      </w:r>
      <w:r w:rsidRPr="00FA0D37">
        <w:t>-</w:t>
      </w:r>
      <w:r w:rsidRPr="00FA0D37">
        <w:rPr>
          <w:i/>
          <w:iCs/>
        </w:rPr>
        <w:t>TimeAlignmentTimer</w:t>
      </w:r>
      <w:r w:rsidRPr="00FA0D37">
        <w:t>, if it is running;</w:t>
      </w:r>
    </w:p>
    <w:p w14:paraId="2B2DFC47" w14:textId="1837C130" w:rsidR="009A3D15" w:rsidRPr="00FA0D37" w:rsidRDefault="009A3D15" w:rsidP="009A3D15">
      <w:pPr>
        <w:pStyle w:val="B1"/>
      </w:pPr>
      <w:r w:rsidRPr="00FA0D37">
        <w:t>1&gt;</w:t>
      </w:r>
      <w:r w:rsidRPr="00FA0D37">
        <w:tab/>
        <w:t xml:space="preserve">if </w:t>
      </w:r>
      <w:r w:rsidRPr="00FA0D37">
        <w:rPr>
          <w:i/>
          <w:iCs/>
        </w:rPr>
        <w:t>ta-Report</w:t>
      </w:r>
      <w:r w:rsidRPr="00FA0D37">
        <w:t xml:space="preserve"> is configured with value </w:t>
      </w:r>
      <w:r w:rsidRPr="00FA0D37">
        <w:rPr>
          <w:i/>
          <w:iCs/>
        </w:rPr>
        <w:t>enabled</w:t>
      </w:r>
      <w:r w:rsidRPr="00FA0D37">
        <w:t xml:space="preserve"> and the UE supports TA reporting</w:t>
      </w:r>
      <w:r w:rsidR="00247F5B" w:rsidRPr="00FA0D37">
        <w:t>:</w:t>
      </w:r>
    </w:p>
    <w:p w14:paraId="08C67404" w14:textId="77777777" w:rsidR="009A3D15" w:rsidRPr="00FA0D37" w:rsidRDefault="009A3D15" w:rsidP="00F747EB">
      <w:pPr>
        <w:pStyle w:val="B2"/>
      </w:pPr>
      <w:r w:rsidRPr="00FA0D37">
        <w:t>2&gt;</w:t>
      </w:r>
      <w:r w:rsidRPr="00FA0D37">
        <w:tab/>
        <w:t>indicate TA report initiation to lower layers;</w:t>
      </w:r>
    </w:p>
    <w:p w14:paraId="61269C9E" w14:textId="23337970" w:rsidR="00394471" w:rsidRPr="00FA0D37" w:rsidRDefault="00394471" w:rsidP="009A3D15">
      <w:pPr>
        <w:pStyle w:val="B1"/>
      </w:pPr>
      <w:r w:rsidRPr="00FA0D37">
        <w:t>1&gt;</w:t>
      </w:r>
      <w:r w:rsidRPr="00FA0D37">
        <w:tab/>
        <w:t xml:space="preserve">set the variable </w:t>
      </w:r>
      <w:r w:rsidRPr="00FA0D37">
        <w:rPr>
          <w:i/>
        </w:rPr>
        <w:t>pendingRNA-Update</w:t>
      </w:r>
      <w:r w:rsidRPr="00FA0D37">
        <w:t xml:space="preserve"> to </w:t>
      </w:r>
      <w:r w:rsidRPr="00FA0D37">
        <w:rPr>
          <w:i/>
        </w:rPr>
        <w:t>false</w:t>
      </w:r>
      <w:r w:rsidRPr="00FA0D37">
        <w:t>;</w:t>
      </w:r>
    </w:p>
    <w:p w14:paraId="7C987604" w14:textId="0806EA89" w:rsidR="00800E9E" w:rsidRPr="00FA0D37" w:rsidRDefault="00800E9E" w:rsidP="00394471">
      <w:pPr>
        <w:pStyle w:val="B1"/>
      </w:pPr>
      <w:r w:rsidRPr="00FA0D37">
        <w:t>1&gt;</w:t>
      </w:r>
      <w:r w:rsidRPr="00FA0D37">
        <w:tab/>
        <w:t xml:space="preserve">release </w:t>
      </w:r>
      <w:r w:rsidRPr="00FA0D37">
        <w:rPr>
          <w:i/>
          <w:iCs/>
        </w:rPr>
        <w:t>successHO-Config</w:t>
      </w:r>
      <w:r w:rsidRPr="00FA0D37">
        <w:t xml:space="preserve"> from the UE Inactive AS context, if stored;</w:t>
      </w:r>
    </w:p>
    <w:p w14:paraId="21534A78" w14:textId="77777777" w:rsidR="00394471" w:rsidRPr="00FA0D37" w:rsidRDefault="00394471" w:rsidP="00394471">
      <w:pPr>
        <w:pStyle w:val="B1"/>
      </w:pPr>
      <w:r w:rsidRPr="00FA0D37">
        <w:t>1&gt;</w:t>
      </w:r>
      <w:r w:rsidRPr="00FA0D37">
        <w:tab/>
        <w:t xml:space="preserve">initiate transmission of the </w:t>
      </w:r>
      <w:r w:rsidRPr="00FA0D37">
        <w:rPr>
          <w:i/>
        </w:rPr>
        <w:t>RRCResumeRequest</w:t>
      </w:r>
      <w:r w:rsidRPr="00FA0D37">
        <w:t xml:space="preserve"> message or </w:t>
      </w:r>
      <w:r w:rsidRPr="00FA0D37">
        <w:rPr>
          <w:i/>
        </w:rPr>
        <w:t xml:space="preserve">RRCResumeRequest1 </w:t>
      </w:r>
      <w:r w:rsidRPr="00FA0D37">
        <w:t>in accordance with 5.3.13.3.</w:t>
      </w:r>
    </w:p>
    <w:p w14:paraId="61A4850E" w14:textId="7F7D0DC5" w:rsidR="0064323A" w:rsidRPr="0064323A" w:rsidRDefault="0064323A" w:rsidP="0064323A">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bookmarkStart w:id="150" w:name="_Toc60776835"/>
      <w:bookmarkStart w:id="151" w:name="_Toc146780811"/>
      <w:r>
        <w:rPr>
          <w:rFonts w:eastAsia="Malgun Gothic"/>
          <w:i/>
        </w:rPr>
        <w:t>Next Change</w:t>
      </w:r>
    </w:p>
    <w:p w14:paraId="15522A0C" w14:textId="3BC3CD37" w:rsidR="00394471" w:rsidRPr="00FA0D37" w:rsidRDefault="00394471" w:rsidP="00394471">
      <w:pPr>
        <w:pStyle w:val="4"/>
      </w:pPr>
      <w:r w:rsidRPr="00FA0D37">
        <w:t>5.3.13.4</w:t>
      </w:r>
      <w:r w:rsidRPr="00FA0D37">
        <w:tab/>
        <w:t xml:space="preserve">Reception of the </w:t>
      </w:r>
      <w:r w:rsidRPr="00FA0D37">
        <w:rPr>
          <w:i/>
        </w:rPr>
        <w:t>RRCResume</w:t>
      </w:r>
      <w:r w:rsidRPr="00FA0D37">
        <w:t xml:space="preserve"> by the UE</w:t>
      </w:r>
      <w:bookmarkEnd w:id="150"/>
      <w:bookmarkEnd w:id="151"/>
    </w:p>
    <w:p w14:paraId="0C23C356" w14:textId="77777777" w:rsidR="00394471" w:rsidRPr="00FA0D37" w:rsidRDefault="00394471" w:rsidP="00394471">
      <w:r w:rsidRPr="00FA0D37">
        <w:t>The UE shall:</w:t>
      </w:r>
    </w:p>
    <w:p w14:paraId="53097DD4" w14:textId="2416565E" w:rsidR="00394471" w:rsidRPr="00FA0D37" w:rsidRDefault="00394471" w:rsidP="00394471">
      <w:pPr>
        <w:pStyle w:val="B1"/>
        <w:rPr>
          <w:lang w:eastAsia="zh-CN"/>
        </w:rPr>
      </w:pPr>
      <w:r w:rsidRPr="00FA0D37">
        <w:t>1&gt;</w:t>
      </w:r>
      <w:r w:rsidRPr="00FA0D37">
        <w:tab/>
        <w:t>stop timer T319</w:t>
      </w:r>
      <w:r w:rsidR="0070235D" w:rsidRPr="00FA0D37">
        <w:t>, if running</w:t>
      </w:r>
      <w:r w:rsidRPr="00FA0D37">
        <w:t>;</w:t>
      </w:r>
    </w:p>
    <w:p w14:paraId="5563759C" w14:textId="235A2485" w:rsidR="0070235D" w:rsidRPr="00FA0D37" w:rsidRDefault="0070235D" w:rsidP="0070235D">
      <w:pPr>
        <w:pStyle w:val="B1"/>
        <w:rPr>
          <w:lang w:eastAsia="zh-CN"/>
        </w:rPr>
      </w:pPr>
      <w:r w:rsidRPr="00FA0D37">
        <w:rPr>
          <w:lang w:eastAsia="zh-CN"/>
        </w:rPr>
        <w:t>1&gt;</w:t>
      </w:r>
      <w:r w:rsidRPr="00FA0D37">
        <w:rPr>
          <w:lang w:eastAsia="zh-CN"/>
        </w:rPr>
        <w:tab/>
      </w:r>
      <w:r w:rsidRPr="00FA0D37">
        <w:t>stop timer T319a, if running</w:t>
      </w:r>
      <w:r w:rsidR="007D3EDC" w:rsidRPr="00FA0D37">
        <w:t xml:space="preserve"> and consider SDT procedure is not ongoing</w:t>
      </w:r>
      <w:r w:rsidRPr="00FA0D37">
        <w:t>;</w:t>
      </w:r>
    </w:p>
    <w:p w14:paraId="2E2D01B6" w14:textId="77777777" w:rsidR="00394471" w:rsidRPr="00FA0D37" w:rsidRDefault="00394471" w:rsidP="00394471">
      <w:pPr>
        <w:pStyle w:val="B1"/>
      </w:pPr>
      <w:r w:rsidRPr="00FA0D37">
        <w:rPr>
          <w:lang w:eastAsia="zh-CN"/>
        </w:rPr>
        <w:t>1&gt;</w:t>
      </w:r>
      <w:r w:rsidRPr="00FA0D37">
        <w:rPr>
          <w:lang w:eastAsia="zh-CN"/>
        </w:rPr>
        <w:tab/>
      </w:r>
      <w:r w:rsidRPr="00FA0D37">
        <w:t>stop timer T380, if running;</w:t>
      </w:r>
    </w:p>
    <w:p w14:paraId="0FA778D7" w14:textId="77777777" w:rsidR="00394471" w:rsidRPr="00FA0D37" w:rsidRDefault="00394471" w:rsidP="00394471">
      <w:pPr>
        <w:pStyle w:val="B1"/>
      </w:pPr>
      <w:r w:rsidRPr="00FA0D37">
        <w:t>1&gt;</w:t>
      </w:r>
      <w:r w:rsidRPr="00FA0D37">
        <w:tab/>
        <w:t>if T331 is running:</w:t>
      </w:r>
    </w:p>
    <w:p w14:paraId="26D37BCA" w14:textId="77777777" w:rsidR="00394471" w:rsidRPr="00FA0D37" w:rsidRDefault="00394471" w:rsidP="00394471">
      <w:pPr>
        <w:pStyle w:val="B2"/>
      </w:pPr>
      <w:r w:rsidRPr="00FA0D37">
        <w:t>2&gt;</w:t>
      </w:r>
      <w:r w:rsidRPr="00FA0D37">
        <w:tab/>
        <w:t>stop timer T331;</w:t>
      </w:r>
    </w:p>
    <w:p w14:paraId="1A40CA41" w14:textId="77777777" w:rsidR="00394471" w:rsidRPr="00FA0D37" w:rsidRDefault="00394471" w:rsidP="00394471">
      <w:pPr>
        <w:pStyle w:val="B2"/>
        <w:rPr>
          <w:rFonts w:eastAsia="等线"/>
        </w:rPr>
      </w:pPr>
      <w:r w:rsidRPr="00FA0D37">
        <w:rPr>
          <w:rFonts w:eastAsia="等线"/>
        </w:rPr>
        <w:t>2&gt;</w:t>
      </w:r>
      <w:r w:rsidRPr="00FA0D37">
        <w:rPr>
          <w:rFonts w:eastAsia="等线"/>
        </w:rPr>
        <w:tab/>
        <w:t>perform the actions as specified in 5.7.8.3;</w:t>
      </w:r>
    </w:p>
    <w:p w14:paraId="429BD93C" w14:textId="77777777" w:rsidR="00394471" w:rsidRPr="00FA0D37" w:rsidRDefault="00394471" w:rsidP="00394471">
      <w:pPr>
        <w:pStyle w:val="B1"/>
      </w:pPr>
      <w:r w:rsidRPr="00FA0D37">
        <w:t>1&gt;</w:t>
      </w:r>
      <w:r w:rsidRPr="00FA0D37">
        <w:tab/>
        <w:t xml:space="preserve">if the </w:t>
      </w:r>
      <w:r w:rsidRPr="00FA0D37">
        <w:rPr>
          <w:i/>
        </w:rPr>
        <w:t>RRCResume</w:t>
      </w:r>
      <w:r w:rsidRPr="00FA0D37">
        <w:t xml:space="preserve"> includes the </w:t>
      </w:r>
      <w:r w:rsidRPr="00FA0D37">
        <w:rPr>
          <w:i/>
        </w:rPr>
        <w:t>fullConfig</w:t>
      </w:r>
      <w:r w:rsidRPr="00FA0D37">
        <w:t>:</w:t>
      </w:r>
    </w:p>
    <w:p w14:paraId="6FE9A06C" w14:textId="77777777" w:rsidR="00394471" w:rsidRPr="00FA0D37" w:rsidRDefault="00394471" w:rsidP="00394471">
      <w:pPr>
        <w:pStyle w:val="B2"/>
      </w:pPr>
      <w:r w:rsidRPr="00FA0D37">
        <w:rPr>
          <w:lang w:eastAsia="ko-KR"/>
        </w:rPr>
        <w:t>2&gt;</w:t>
      </w:r>
      <w:r w:rsidRPr="00FA0D37">
        <w:rPr>
          <w:lang w:eastAsia="ko-KR"/>
        </w:rPr>
        <w:tab/>
      </w:r>
      <w:r w:rsidRPr="00FA0D37">
        <w:rPr>
          <w:lang w:eastAsia="en-GB"/>
        </w:rPr>
        <w:t>perform the full configuration procedure as specified in 5.3.5.11</w:t>
      </w:r>
      <w:r w:rsidRPr="00FA0D37">
        <w:t>;</w:t>
      </w:r>
    </w:p>
    <w:p w14:paraId="70BC2FF7" w14:textId="77777777" w:rsidR="00394471" w:rsidRPr="00FA0D37" w:rsidRDefault="00394471" w:rsidP="00394471">
      <w:pPr>
        <w:pStyle w:val="B1"/>
      </w:pPr>
      <w:r w:rsidRPr="00FA0D37">
        <w:t>1&gt;</w:t>
      </w:r>
      <w:r w:rsidRPr="00FA0D37">
        <w:tab/>
        <w:t>else:</w:t>
      </w:r>
    </w:p>
    <w:p w14:paraId="7E8903BF" w14:textId="77777777" w:rsidR="00394471" w:rsidRPr="00FA0D37" w:rsidRDefault="00394471" w:rsidP="00394471">
      <w:pPr>
        <w:pStyle w:val="B2"/>
        <w:rPr>
          <w:rFonts w:eastAsia="Batang"/>
          <w:noProof/>
        </w:rPr>
      </w:pPr>
      <w:r w:rsidRPr="00FA0D37">
        <w:t>2&gt;</w:t>
      </w:r>
      <w:r w:rsidRPr="00FA0D37">
        <w:tab/>
      </w:r>
      <w:r w:rsidRPr="00FA0D37">
        <w:rPr>
          <w:rFonts w:eastAsia="Batang"/>
          <w:noProof/>
        </w:rPr>
        <w:t xml:space="preserve">if the </w:t>
      </w:r>
      <w:r w:rsidRPr="00FA0D37">
        <w:rPr>
          <w:i/>
        </w:rPr>
        <w:t>RRCResume</w:t>
      </w:r>
      <w:r w:rsidRPr="00FA0D37">
        <w:rPr>
          <w:rFonts w:eastAsia="Batang"/>
          <w:noProof/>
        </w:rPr>
        <w:t xml:space="preserve"> does not include the </w:t>
      </w:r>
      <w:r w:rsidRPr="00FA0D37">
        <w:rPr>
          <w:rFonts w:eastAsia="Batang"/>
          <w:i/>
          <w:noProof/>
        </w:rPr>
        <w:t>restoreMCG-SCells</w:t>
      </w:r>
      <w:r w:rsidRPr="00FA0D37">
        <w:rPr>
          <w:rFonts w:eastAsia="Batang"/>
          <w:noProof/>
        </w:rPr>
        <w:t>:</w:t>
      </w:r>
    </w:p>
    <w:p w14:paraId="6961C1AD" w14:textId="77777777" w:rsidR="00394471" w:rsidRPr="00FA0D37" w:rsidRDefault="00394471" w:rsidP="00394471">
      <w:pPr>
        <w:pStyle w:val="B3"/>
      </w:pPr>
      <w:r w:rsidRPr="00FA0D37">
        <w:t>3&gt;</w:t>
      </w:r>
      <w:r w:rsidRPr="00FA0D37">
        <w:tab/>
        <w:t>release the MCG SCell(s) from the UE Inactive AS context, if stored;</w:t>
      </w:r>
    </w:p>
    <w:p w14:paraId="664FFD76" w14:textId="77777777" w:rsidR="00394471" w:rsidRPr="00FA0D37" w:rsidRDefault="00394471" w:rsidP="00394471">
      <w:pPr>
        <w:pStyle w:val="B2"/>
        <w:rPr>
          <w:rFonts w:eastAsia="Batang"/>
          <w:noProof/>
        </w:rPr>
      </w:pPr>
      <w:r w:rsidRPr="00FA0D37">
        <w:rPr>
          <w:rFonts w:eastAsia="Batang"/>
          <w:noProof/>
        </w:rPr>
        <w:t>2&gt;</w:t>
      </w:r>
      <w:r w:rsidRPr="00FA0D37">
        <w:rPr>
          <w:rFonts w:eastAsia="Batang"/>
          <w:noProof/>
        </w:rPr>
        <w:tab/>
        <w:t xml:space="preserve">if the </w:t>
      </w:r>
      <w:r w:rsidRPr="00FA0D37">
        <w:rPr>
          <w:i/>
        </w:rPr>
        <w:t>RRCResume</w:t>
      </w:r>
      <w:r w:rsidRPr="00FA0D37">
        <w:rPr>
          <w:rFonts w:eastAsia="Batang"/>
          <w:noProof/>
        </w:rPr>
        <w:t xml:space="preserve"> does not include the </w:t>
      </w:r>
      <w:r w:rsidRPr="00FA0D37">
        <w:rPr>
          <w:rFonts w:eastAsia="Batang"/>
          <w:i/>
          <w:noProof/>
        </w:rPr>
        <w:t>restoreSCG</w:t>
      </w:r>
      <w:r w:rsidRPr="00FA0D37">
        <w:rPr>
          <w:rFonts w:eastAsia="Batang"/>
          <w:noProof/>
        </w:rPr>
        <w:t>:</w:t>
      </w:r>
    </w:p>
    <w:p w14:paraId="25BB7C20" w14:textId="77777777" w:rsidR="00394471" w:rsidRPr="00FA0D37" w:rsidRDefault="00394471" w:rsidP="00394471">
      <w:pPr>
        <w:pStyle w:val="B3"/>
      </w:pPr>
      <w:r w:rsidRPr="00FA0D37">
        <w:t>3&gt;</w:t>
      </w:r>
      <w:r w:rsidRPr="00FA0D37">
        <w:tab/>
        <w:t>release the MR-DC related configurations (i.e., as specified in 5.3.5.10) from the UE Inactive AS context, if stored;</w:t>
      </w:r>
    </w:p>
    <w:p w14:paraId="24958C74" w14:textId="77777777" w:rsidR="00394471" w:rsidRPr="00FA0D37" w:rsidRDefault="00394471" w:rsidP="00394471">
      <w:pPr>
        <w:pStyle w:val="B2"/>
      </w:pPr>
      <w:r w:rsidRPr="00FA0D37">
        <w:t>2&gt;</w:t>
      </w:r>
      <w:r w:rsidRPr="00FA0D37">
        <w:tab/>
        <w:t xml:space="preserve">restore the </w:t>
      </w:r>
      <w:r w:rsidRPr="00FA0D37">
        <w:rPr>
          <w:i/>
        </w:rPr>
        <w:t>masterCellGroup, mrdc-SecondaryCellGroup</w:t>
      </w:r>
      <w:r w:rsidRPr="00FA0D37">
        <w:t xml:space="preserve">, if stored, and </w:t>
      </w:r>
      <w:r w:rsidRPr="00FA0D37">
        <w:rPr>
          <w:i/>
        </w:rPr>
        <w:t>pdcp-Config</w:t>
      </w:r>
      <w:r w:rsidRPr="00FA0D37">
        <w:t xml:space="preserve"> from the UE Inactive AS context;</w:t>
      </w:r>
    </w:p>
    <w:p w14:paraId="1839F3CB" w14:textId="77777777" w:rsidR="00394471" w:rsidRPr="00FA0D37" w:rsidRDefault="00394471" w:rsidP="00394471">
      <w:pPr>
        <w:pStyle w:val="B2"/>
      </w:pPr>
      <w:r w:rsidRPr="00FA0D37">
        <w:t>2&gt;</w:t>
      </w:r>
      <w:r w:rsidRPr="00FA0D37">
        <w:tab/>
        <w:t>configure lower layers to consider the restored MCG and SCG SCell(s) (if any) to be in deactivated state;</w:t>
      </w:r>
    </w:p>
    <w:p w14:paraId="024A6853" w14:textId="77777777" w:rsidR="00394471" w:rsidRPr="00FA0D37" w:rsidRDefault="00394471" w:rsidP="00394471">
      <w:pPr>
        <w:pStyle w:val="B1"/>
      </w:pPr>
      <w:r w:rsidRPr="00FA0D37">
        <w:t>1&gt;</w:t>
      </w:r>
      <w:r w:rsidRPr="00FA0D37">
        <w:tab/>
        <w:t>discard the UE Inactive AS context;</w:t>
      </w:r>
    </w:p>
    <w:p w14:paraId="7533E315" w14:textId="77777777" w:rsidR="00475E33" w:rsidRPr="00FA0D37" w:rsidRDefault="00475E33" w:rsidP="00475E33">
      <w:pPr>
        <w:pStyle w:val="B1"/>
      </w:pPr>
      <w:bookmarkStart w:id="152" w:name="_Hlk95515147"/>
      <w:r w:rsidRPr="00FA0D37">
        <w:t>1&gt;</w:t>
      </w:r>
      <w:r w:rsidRPr="00FA0D37">
        <w:tab/>
        <w:t xml:space="preserve">store the used </w:t>
      </w:r>
      <w:r w:rsidRPr="00FA0D37">
        <w:rPr>
          <w:i/>
          <w:iCs/>
        </w:rPr>
        <w:t>nextHopChainingCount</w:t>
      </w:r>
      <w:r w:rsidRPr="00FA0D37">
        <w:t xml:space="preserve"> value associated to the current K</w:t>
      </w:r>
      <w:r w:rsidRPr="00FA0D37">
        <w:rPr>
          <w:vertAlign w:val="subscript"/>
        </w:rPr>
        <w:t>gNB</w:t>
      </w:r>
      <w:r w:rsidRPr="00FA0D37">
        <w:t>;</w:t>
      </w:r>
    </w:p>
    <w:bookmarkEnd w:id="152"/>
    <w:p w14:paraId="528CFB8F" w14:textId="4453123D" w:rsidR="0026782F" w:rsidRPr="00FA0D37" w:rsidRDefault="0026782F" w:rsidP="0026782F">
      <w:pPr>
        <w:pStyle w:val="B1"/>
      </w:pPr>
      <w:r w:rsidRPr="00FA0D37">
        <w:t>1&gt;</w:t>
      </w:r>
      <w:r w:rsidRPr="00FA0D37">
        <w:tab/>
        <w:t xml:space="preserve">if </w:t>
      </w:r>
      <w:r w:rsidRPr="00FA0D37">
        <w:rPr>
          <w:i/>
          <w:iCs/>
        </w:rPr>
        <w:t>sdt-MAC-PHY-CG-Config</w:t>
      </w:r>
      <w:r w:rsidRPr="00FA0D37">
        <w:t xml:space="preserve"> is configured:</w:t>
      </w:r>
    </w:p>
    <w:p w14:paraId="059B6E66" w14:textId="67387ACB" w:rsidR="0026782F" w:rsidRPr="00FA0D37" w:rsidRDefault="0026782F" w:rsidP="0026782F">
      <w:pPr>
        <w:pStyle w:val="B2"/>
      </w:pPr>
      <w:r w:rsidRPr="00FA0D37">
        <w:lastRenderedPageBreak/>
        <w:t>2&gt;</w:t>
      </w:r>
      <w:r w:rsidRPr="00FA0D37">
        <w:tab/>
        <w:t xml:space="preserve">instruct the MAC entity to stop the </w:t>
      </w:r>
      <w:r w:rsidRPr="00FA0D37">
        <w:rPr>
          <w:i/>
          <w:iCs/>
        </w:rPr>
        <w:t>cg-SDT-TimeAlignmentTimer</w:t>
      </w:r>
      <w:r w:rsidRPr="00FA0D37">
        <w:t>, if it is running;</w:t>
      </w:r>
    </w:p>
    <w:p w14:paraId="1E2402E2" w14:textId="77777777" w:rsidR="007D4907" w:rsidRPr="00FA0D37" w:rsidRDefault="0026782F" w:rsidP="007D4907">
      <w:pPr>
        <w:pStyle w:val="B2"/>
      </w:pPr>
      <w:r w:rsidRPr="00FA0D37">
        <w:t>2&gt;</w:t>
      </w:r>
      <w:r w:rsidRPr="00FA0D37">
        <w:tab/>
        <w:t xml:space="preserve">instruct the MAC entity to start the </w:t>
      </w:r>
      <w:r w:rsidRPr="00FA0D37">
        <w:rPr>
          <w:i/>
          <w:iCs/>
        </w:rPr>
        <w:t xml:space="preserve">timeAlignmentTimer </w:t>
      </w:r>
      <w:r w:rsidRPr="00FA0D37">
        <w:t>associated with the PTAG</w:t>
      </w:r>
      <w:r w:rsidRPr="00FA0D37">
        <w:rPr>
          <w:i/>
          <w:iCs/>
        </w:rPr>
        <w:t xml:space="preserve">, </w:t>
      </w:r>
      <w:r w:rsidRPr="00FA0D37">
        <w:t>if it is not running;</w:t>
      </w:r>
    </w:p>
    <w:p w14:paraId="668F5C49" w14:textId="77777777" w:rsidR="007D4907" w:rsidRPr="00FA0D37" w:rsidRDefault="007D4907" w:rsidP="007D4907">
      <w:pPr>
        <w:pStyle w:val="B1"/>
      </w:pPr>
      <w:r w:rsidRPr="00FA0D37">
        <w:t>1&gt;</w:t>
      </w:r>
      <w:r w:rsidRPr="00FA0D37">
        <w:tab/>
        <w:t xml:space="preserve">if </w:t>
      </w:r>
      <w:r w:rsidRPr="00FA0D37">
        <w:rPr>
          <w:i/>
        </w:rPr>
        <w:t>srs-PosRRC-InactiveConfig</w:t>
      </w:r>
      <w:r w:rsidRPr="00FA0D37">
        <w:t xml:space="preserve"> is configured:</w:t>
      </w:r>
    </w:p>
    <w:p w14:paraId="36E7038A" w14:textId="2B68E93A" w:rsidR="0026782F" w:rsidRPr="00FA0D37" w:rsidRDefault="007D4907" w:rsidP="0026782F">
      <w:pPr>
        <w:pStyle w:val="B2"/>
      </w:pPr>
      <w:r w:rsidRPr="00FA0D37">
        <w:rPr>
          <w:lang w:eastAsia="zh-CN"/>
        </w:rPr>
        <w:t>2&gt;</w:t>
      </w:r>
      <w:r w:rsidRPr="00FA0D37">
        <w:rPr>
          <w:lang w:eastAsia="zh-CN"/>
        </w:rPr>
        <w:tab/>
        <w:t xml:space="preserve">instruct the MAC entity to stop </w:t>
      </w:r>
      <w:r w:rsidRPr="00FA0D37">
        <w:rPr>
          <w:i/>
        </w:rPr>
        <w:t>inactivePosSRS-TimeAlignmentTimer</w:t>
      </w:r>
      <w:r w:rsidRPr="00FA0D37">
        <w:t>, if it is running</w:t>
      </w:r>
      <w:r w:rsidRPr="00FA0D37">
        <w:rPr>
          <w:lang w:eastAsia="zh-CN"/>
        </w:rPr>
        <w:t>;</w:t>
      </w:r>
    </w:p>
    <w:p w14:paraId="7B90E6C1" w14:textId="77777777" w:rsidR="00394471" w:rsidRPr="00FA0D37" w:rsidRDefault="00394471" w:rsidP="00394471">
      <w:pPr>
        <w:pStyle w:val="B1"/>
      </w:pPr>
      <w:r w:rsidRPr="00FA0D37">
        <w:t>1&gt;</w:t>
      </w:r>
      <w:r w:rsidRPr="00FA0D37">
        <w:tab/>
        <w:t xml:space="preserve">release the </w:t>
      </w:r>
      <w:r w:rsidRPr="00FA0D37">
        <w:rPr>
          <w:i/>
        </w:rPr>
        <w:t>suspendConfig</w:t>
      </w:r>
      <w:r w:rsidRPr="00FA0D37">
        <w:t xml:space="preserve"> except the </w:t>
      </w:r>
      <w:r w:rsidRPr="00FA0D37">
        <w:rPr>
          <w:i/>
        </w:rPr>
        <w:t>ran-NotificationAreaInfo</w:t>
      </w:r>
      <w:r w:rsidRPr="00FA0D37">
        <w:t>;</w:t>
      </w:r>
    </w:p>
    <w:p w14:paraId="00F17993" w14:textId="77777777" w:rsidR="00394471" w:rsidRPr="00FA0D37" w:rsidRDefault="00394471" w:rsidP="00394471">
      <w:pPr>
        <w:pStyle w:val="B1"/>
        <w:rPr>
          <w:rFonts w:eastAsia="Batang"/>
          <w:noProof/>
          <w:lang w:eastAsia="en-US"/>
        </w:rPr>
      </w:pPr>
      <w:r w:rsidRPr="00FA0D37">
        <w:rPr>
          <w:rFonts w:eastAsia="Batang"/>
          <w:noProof/>
          <w:lang w:eastAsia="en-US"/>
        </w:rPr>
        <w:t>1&gt;</w:t>
      </w:r>
      <w:r w:rsidRPr="00FA0D37">
        <w:rPr>
          <w:rFonts w:eastAsia="Batang"/>
          <w:noProof/>
          <w:lang w:eastAsia="en-US"/>
        </w:rPr>
        <w:tab/>
        <w:t xml:space="preserve">if the </w:t>
      </w:r>
      <w:r w:rsidRPr="00FA0D37">
        <w:rPr>
          <w:i/>
        </w:rPr>
        <w:t>RRCResume</w:t>
      </w:r>
      <w:r w:rsidRPr="00FA0D37">
        <w:rPr>
          <w:rFonts w:eastAsia="Batang"/>
          <w:noProof/>
          <w:lang w:eastAsia="en-US"/>
        </w:rPr>
        <w:t xml:space="preserve"> includes the </w:t>
      </w:r>
      <w:r w:rsidRPr="00FA0D37">
        <w:rPr>
          <w:rFonts w:eastAsia="Batang"/>
          <w:i/>
          <w:noProof/>
          <w:lang w:eastAsia="en-US"/>
        </w:rPr>
        <w:t>masterCellGroup</w:t>
      </w:r>
      <w:r w:rsidRPr="00FA0D37">
        <w:rPr>
          <w:rFonts w:eastAsia="Batang"/>
          <w:noProof/>
          <w:lang w:eastAsia="en-US"/>
        </w:rPr>
        <w:t>:</w:t>
      </w:r>
    </w:p>
    <w:p w14:paraId="4AD19F65" w14:textId="77777777" w:rsidR="00394471" w:rsidRPr="00FA0D37" w:rsidRDefault="00394471" w:rsidP="00394471">
      <w:pPr>
        <w:pStyle w:val="B2"/>
        <w:rPr>
          <w:rFonts w:eastAsia="Batang"/>
          <w:noProof/>
        </w:rPr>
      </w:pPr>
      <w:r w:rsidRPr="00FA0D37">
        <w:rPr>
          <w:rFonts w:eastAsia="Batang"/>
          <w:noProof/>
        </w:rPr>
        <w:t>2&gt;</w:t>
      </w:r>
      <w:r w:rsidRPr="00FA0D37">
        <w:rPr>
          <w:rFonts w:eastAsia="Batang"/>
          <w:noProof/>
        </w:rPr>
        <w:tab/>
        <w:t xml:space="preserve">perform the cell group configuration for the received </w:t>
      </w:r>
      <w:r w:rsidRPr="00FA0D37">
        <w:rPr>
          <w:rFonts w:eastAsia="Batang"/>
          <w:i/>
          <w:noProof/>
        </w:rPr>
        <w:t>masterCellGroup</w:t>
      </w:r>
      <w:r w:rsidRPr="00FA0D37">
        <w:rPr>
          <w:rFonts w:eastAsia="Batang"/>
          <w:noProof/>
        </w:rPr>
        <w:t xml:space="preserve"> according to 5.3.5.5;</w:t>
      </w:r>
    </w:p>
    <w:p w14:paraId="66DCB8DC" w14:textId="77777777" w:rsidR="00394471" w:rsidRPr="00FA0D37" w:rsidRDefault="00394471" w:rsidP="00394471">
      <w:pPr>
        <w:pStyle w:val="B1"/>
        <w:rPr>
          <w:i/>
        </w:rPr>
      </w:pPr>
      <w:r w:rsidRPr="00FA0D37">
        <w:t>1&gt;</w:t>
      </w:r>
      <w:r w:rsidRPr="00FA0D37">
        <w:tab/>
        <w:t xml:space="preserve">if the </w:t>
      </w:r>
      <w:r w:rsidRPr="00FA0D37">
        <w:rPr>
          <w:i/>
        </w:rPr>
        <w:t>RRCResume</w:t>
      </w:r>
      <w:r w:rsidRPr="00FA0D37">
        <w:rPr>
          <w:rFonts w:eastAsia="Batang"/>
          <w:noProof/>
        </w:rPr>
        <w:t xml:space="preserve"> </w:t>
      </w:r>
      <w:r w:rsidRPr="00FA0D37">
        <w:t xml:space="preserve">includes the </w:t>
      </w:r>
      <w:r w:rsidRPr="00FA0D37">
        <w:rPr>
          <w:i/>
        </w:rPr>
        <w:t>mrdc-SecondaryCellGroup:</w:t>
      </w:r>
    </w:p>
    <w:p w14:paraId="3CACCD0D" w14:textId="77777777" w:rsidR="00394471" w:rsidRPr="00FA0D37" w:rsidRDefault="00394471" w:rsidP="00394471">
      <w:pPr>
        <w:pStyle w:val="B2"/>
        <w:rPr>
          <w:rFonts w:eastAsia="Batang"/>
          <w:noProof/>
        </w:rPr>
      </w:pPr>
      <w:r w:rsidRPr="00FA0D37">
        <w:t>2&gt;</w:t>
      </w:r>
      <w:r w:rsidRPr="00FA0D37">
        <w:tab/>
        <w:t xml:space="preserve">if the received </w:t>
      </w:r>
      <w:r w:rsidRPr="00FA0D37">
        <w:rPr>
          <w:i/>
        </w:rPr>
        <w:t>mrdc-SecondaryCellGroup</w:t>
      </w:r>
      <w:r w:rsidRPr="00FA0D37">
        <w:t xml:space="preserve"> is set to </w:t>
      </w:r>
      <w:r w:rsidRPr="00FA0D37">
        <w:rPr>
          <w:i/>
        </w:rPr>
        <w:t>nr-SCG</w:t>
      </w:r>
      <w:r w:rsidRPr="00FA0D37">
        <w:t>:</w:t>
      </w:r>
    </w:p>
    <w:p w14:paraId="4C435299" w14:textId="77777777" w:rsidR="00394471" w:rsidRPr="00FA0D37" w:rsidRDefault="00394471" w:rsidP="00394471">
      <w:pPr>
        <w:pStyle w:val="B3"/>
      </w:pPr>
      <w:r w:rsidRPr="00FA0D37">
        <w:rPr>
          <w:rFonts w:eastAsia="Batang"/>
          <w:noProof/>
        </w:rPr>
        <w:t>3&gt;</w:t>
      </w:r>
      <w:r w:rsidRPr="00FA0D37">
        <w:rPr>
          <w:rFonts w:eastAsia="Batang"/>
          <w:noProof/>
        </w:rPr>
        <w:tab/>
        <w:t xml:space="preserve">perform the RRC reconfiguration according to 5.3.5.3 for the </w:t>
      </w:r>
      <w:r w:rsidRPr="00FA0D37">
        <w:rPr>
          <w:rFonts w:eastAsia="Batang"/>
          <w:i/>
          <w:noProof/>
        </w:rPr>
        <w:t>RRCReconfiguration</w:t>
      </w:r>
      <w:r w:rsidRPr="00FA0D37">
        <w:rPr>
          <w:rFonts w:eastAsia="Batang"/>
          <w:noProof/>
        </w:rPr>
        <w:t xml:space="preserve"> message included in </w:t>
      </w:r>
      <w:r w:rsidRPr="00FA0D37">
        <w:rPr>
          <w:rFonts w:eastAsia="Batang"/>
          <w:i/>
          <w:noProof/>
        </w:rPr>
        <w:t>nr-SCG</w:t>
      </w:r>
      <w:r w:rsidRPr="00FA0D37">
        <w:rPr>
          <w:rFonts w:eastAsia="Batang"/>
          <w:noProof/>
        </w:rPr>
        <w:t>;</w:t>
      </w:r>
    </w:p>
    <w:p w14:paraId="4DC4A07B" w14:textId="77777777" w:rsidR="00394471" w:rsidRPr="00FA0D37" w:rsidRDefault="00394471" w:rsidP="00394471">
      <w:pPr>
        <w:pStyle w:val="B2"/>
        <w:rPr>
          <w:rFonts w:eastAsia="Batang"/>
          <w:noProof/>
        </w:rPr>
      </w:pPr>
      <w:r w:rsidRPr="00FA0D37">
        <w:t>2&gt;</w:t>
      </w:r>
      <w:r w:rsidRPr="00FA0D37">
        <w:tab/>
        <w:t xml:space="preserve">if the received </w:t>
      </w:r>
      <w:r w:rsidRPr="00FA0D37">
        <w:rPr>
          <w:i/>
        </w:rPr>
        <w:t>mrdc-SecondaryCellGroup</w:t>
      </w:r>
      <w:r w:rsidRPr="00FA0D37">
        <w:t xml:space="preserve"> is set to </w:t>
      </w:r>
      <w:r w:rsidRPr="00FA0D37">
        <w:rPr>
          <w:i/>
        </w:rPr>
        <w:t>eutra-SCG</w:t>
      </w:r>
      <w:r w:rsidRPr="00FA0D37">
        <w:t>:</w:t>
      </w:r>
    </w:p>
    <w:p w14:paraId="0B4D73EA" w14:textId="77777777" w:rsidR="00394471" w:rsidRPr="00FA0D37" w:rsidRDefault="00394471" w:rsidP="00394471">
      <w:pPr>
        <w:pStyle w:val="B3"/>
      </w:pPr>
      <w:r w:rsidRPr="00FA0D37">
        <w:rPr>
          <w:rFonts w:eastAsia="Batang"/>
          <w:noProof/>
        </w:rPr>
        <w:t>3&gt;</w:t>
      </w:r>
      <w:r w:rsidRPr="00FA0D37">
        <w:rPr>
          <w:rFonts w:eastAsia="Batang"/>
          <w:noProof/>
        </w:rPr>
        <w:tab/>
        <w:t xml:space="preserve">perform the RRC connection reconfiguration </w:t>
      </w:r>
      <w:r w:rsidRPr="00FA0D37">
        <w:rPr>
          <w:rFonts w:eastAsia="Batang"/>
        </w:rPr>
        <w:t>as specified in</w:t>
      </w:r>
      <w:r w:rsidRPr="00FA0D37">
        <w:rPr>
          <w:rFonts w:eastAsia="Batang"/>
          <w:noProof/>
        </w:rPr>
        <w:t xml:space="preserve"> TS 36.331 [10], clause 5.3.5.3 for the </w:t>
      </w:r>
      <w:r w:rsidRPr="00FA0D37">
        <w:rPr>
          <w:rFonts w:eastAsia="Batang"/>
          <w:i/>
          <w:noProof/>
        </w:rPr>
        <w:t>RRCConnectionReconfiguration</w:t>
      </w:r>
      <w:r w:rsidRPr="00FA0D37">
        <w:rPr>
          <w:rFonts w:eastAsia="Batang"/>
          <w:noProof/>
        </w:rPr>
        <w:t xml:space="preserve"> message included in </w:t>
      </w:r>
      <w:r w:rsidRPr="00FA0D37">
        <w:rPr>
          <w:rFonts w:eastAsia="Batang"/>
          <w:i/>
          <w:noProof/>
        </w:rPr>
        <w:t>eutra-SCG</w:t>
      </w:r>
      <w:r w:rsidRPr="00FA0D37">
        <w:rPr>
          <w:rFonts w:eastAsia="Batang"/>
          <w:noProof/>
        </w:rPr>
        <w:t>;</w:t>
      </w:r>
    </w:p>
    <w:p w14:paraId="35649AB2" w14:textId="77777777" w:rsidR="00394471" w:rsidRPr="00FA0D37" w:rsidRDefault="00394471" w:rsidP="00394471">
      <w:pPr>
        <w:pStyle w:val="B1"/>
        <w:rPr>
          <w:rFonts w:eastAsia="Batang"/>
          <w:noProof/>
          <w:lang w:eastAsia="en-US"/>
        </w:rPr>
      </w:pPr>
      <w:r w:rsidRPr="00FA0D37">
        <w:rPr>
          <w:rFonts w:eastAsia="Batang"/>
          <w:noProof/>
          <w:lang w:eastAsia="en-US"/>
        </w:rPr>
        <w:t>1&gt;</w:t>
      </w:r>
      <w:r w:rsidRPr="00FA0D37">
        <w:rPr>
          <w:rFonts w:eastAsia="Batang"/>
          <w:noProof/>
          <w:lang w:eastAsia="en-US"/>
        </w:rPr>
        <w:tab/>
        <w:t xml:space="preserve">if the </w:t>
      </w:r>
      <w:r w:rsidRPr="00FA0D37">
        <w:rPr>
          <w:i/>
        </w:rPr>
        <w:t>RRCResume</w:t>
      </w:r>
      <w:r w:rsidRPr="00FA0D37">
        <w:rPr>
          <w:rFonts w:eastAsia="Batang"/>
          <w:noProof/>
          <w:lang w:eastAsia="en-US"/>
        </w:rPr>
        <w:t xml:space="preserve"> includes the </w:t>
      </w:r>
      <w:r w:rsidRPr="00FA0D37">
        <w:rPr>
          <w:rFonts w:eastAsia="Batang"/>
          <w:i/>
          <w:noProof/>
          <w:lang w:eastAsia="en-US"/>
        </w:rPr>
        <w:t>radioBearerConfig</w:t>
      </w:r>
      <w:r w:rsidRPr="00FA0D37">
        <w:rPr>
          <w:rFonts w:eastAsia="Batang"/>
          <w:noProof/>
          <w:lang w:eastAsia="en-US"/>
        </w:rPr>
        <w:t>:</w:t>
      </w:r>
    </w:p>
    <w:p w14:paraId="6F8F6B77" w14:textId="77777777" w:rsidR="00394471" w:rsidRPr="00FA0D37" w:rsidRDefault="00394471" w:rsidP="00394471">
      <w:pPr>
        <w:pStyle w:val="B2"/>
        <w:rPr>
          <w:rFonts w:eastAsia="Batang"/>
          <w:noProof/>
          <w:lang w:eastAsia="en-US"/>
        </w:rPr>
      </w:pPr>
      <w:r w:rsidRPr="00FA0D37">
        <w:rPr>
          <w:rFonts w:eastAsia="Batang"/>
          <w:noProof/>
          <w:lang w:eastAsia="en-US"/>
        </w:rPr>
        <w:t>2&gt;</w:t>
      </w:r>
      <w:r w:rsidRPr="00FA0D37">
        <w:rPr>
          <w:rFonts w:eastAsia="Batang"/>
          <w:noProof/>
          <w:lang w:eastAsia="en-US"/>
        </w:rPr>
        <w:tab/>
        <w:t>perform the radio bearer configuration according to 5.3.5.6;</w:t>
      </w:r>
    </w:p>
    <w:p w14:paraId="6C1A9509" w14:textId="77777777" w:rsidR="00394471" w:rsidRPr="00FA0D37" w:rsidRDefault="00394471" w:rsidP="00394471">
      <w:pPr>
        <w:pStyle w:val="B1"/>
        <w:rPr>
          <w:rFonts w:eastAsia="Batang"/>
          <w:noProof/>
          <w:lang w:eastAsia="en-US"/>
        </w:rPr>
      </w:pPr>
      <w:r w:rsidRPr="00FA0D37">
        <w:rPr>
          <w:rFonts w:eastAsia="Batang"/>
          <w:noProof/>
          <w:lang w:eastAsia="en-US"/>
        </w:rPr>
        <w:t>1&gt;</w:t>
      </w:r>
      <w:r w:rsidRPr="00FA0D37">
        <w:rPr>
          <w:rFonts w:eastAsia="Batang"/>
          <w:noProof/>
          <w:lang w:eastAsia="en-US"/>
        </w:rPr>
        <w:tab/>
        <w:t xml:space="preserve">if the </w:t>
      </w:r>
      <w:r w:rsidRPr="00FA0D37">
        <w:rPr>
          <w:i/>
        </w:rPr>
        <w:t>RRCResume</w:t>
      </w:r>
      <w:r w:rsidRPr="00FA0D37">
        <w:rPr>
          <w:rFonts w:eastAsia="Batang"/>
          <w:noProof/>
          <w:lang w:eastAsia="en-US"/>
        </w:rPr>
        <w:t xml:space="preserve"> message includes the </w:t>
      </w:r>
      <w:r w:rsidRPr="00FA0D37">
        <w:rPr>
          <w:rFonts w:eastAsia="Batang"/>
          <w:i/>
          <w:noProof/>
          <w:lang w:eastAsia="en-US"/>
        </w:rPr>
        <w:t>sk-Counter</w:t>
      </w:r>
      <w:r w:rsidRPr="00FA0D37">
        <w:rPr>
          <w:rFonts w:eastAsia="Batang"/>
          <w:noProof/>
          <w:lang w:eastAsia="en-US"/>
        </w:rPr>
        <w:t>:</w:t>
      </w:r>
    </w:p>
    <w:p w14:paraId="52D46E2F" w14:textId="77777777" w:rsidR="00394471" w:rsidRPr="00FA0D37" w:rsidRDefault="00394471" w:rsidP="00394471">
      <w:pPr>
        <w:pStyle w:val="B2"/>
        <w:rPr>
          <w:rFonts w:eastAsia="Batang"/>
          <w:noProof/>
          <w:lang w:eastAsia="en-US"/>
        </w:rPr>
      </w:pPr>
      <w:r w:rsidRPr="00FA0D37">
        <w:rPr>
          <w:rFonts w:eastAsia="Batang"/>
          <w:noProof/>
        </w:rPr>
        <w:t>2&gt;</w:t>
      </w:r>
      <w:r w:rsidRPr="00FA0D37">
        <w:rPr>
          <w:rFonts w:eastAsia="Batang"/>
          <w:noProof/>
        </w:rPr>
        <w:tab/>
        <w:t>perform security key update procedure as specified in 5.3.5.7;</w:t>
      </w:r>
    </w:p>
    <w:p w14:paraId="3A93DAEA" w14:textId="77777777" w:rsidR="00394471" w:rsidRPr="00FA0D37" w:rsidRDefault="00394471" w:rsidP="00394471">
      <w:pPr>
        <w:pStyle w:val="B1"/>
        <w:rPr>
          <w:rFonts w:eastAsia="Batang"/>
          <w:noProof/>
          <w:lang w:eastAsia="en-US"/>
        </w:rPr>
      </w:pPr>
      <w:r w:rsidRPr="00FA0D37">
        <w:rPr>
          <w:rFonts w:eastAsia="Batang"/>
          <w:noProof/>
          <w:lang w:eastAsia="en-US"/>
        </w:rPr>
        <w:t>1&gt;</w:t>
      </w:r>
      <w:r w:rsidRPr="00FA0D37">
        <w:rPr>
          <w:rFonts w:eastAsia="Batang"/>
          <w:noProof/>
          <w:lang w:eastAsia="en-US"/>
        </w:rPr>
        <w:tab/>
        <w:t xml:space="preserve">if the </w:t>
      </w:r>
      <w:r w:rsidRPr="00FA0D37">
        <w:rPr>
          <w:i/>
        </w:rPr>
        <w:t>RRCResume</w:t>
      </w:r>
      <w:r w:rsidRPr="00FA0D37">
        <w:rPr>
          <w:rFonts w:eastAsia="Batang"/>
          <w:noProof/>
          <w:lang w:eastAsia="en-US"/>
        </w:rPr>
        <w:t xml:space="preserve"> message includes the </w:t>
      </w:r>
      <w:r w:rsidRPr="00FA0D37">
        <w:rPr>
          <w:rFonts w:eastAsia="Batang"/>
          <w:i/>
          <w:noProof/>
          <w:lang w:eastAsia="en-US"/>
        </w:rPr>
        <w:t>radioBearerConfig2</w:t>
      </w:r>
      <w:r w:rsidRPr="00FA0D37">
        <w:rPr>
          <w:rFonts w:eastAsia="Batang"/>
          <w:noProof/>
          <w:lang w:eastAsia="en-US"/>
        </w:rPr>
        <w:t>:</w:t>
      </w:r>
    </w:p>
    <w:p w14:paraId="554214AE" w14:textId="77777777" w:rsidR="00394471" w:rsidRPr="00FA0D37" w:rsidRDefault="00394471" w:rsidP="00394471">
      <w:pPr>
        <w:pStyle w:val="B2"/>
        <w:rPr>
          <w:rFonts w:eastAsia="Batang"/>
          <w:noProof/>
        </w:rPr>
      </w:pPr>
      <w:r w:rsidRPr="00FA0D37">
        <w:rPr>
          <w:rFonts w:eastAsia="Batang"/>
          <w:noProof/>
        </w:rPr>
        <w:t>2&gt;</w:t>
      </w:r>
      <w:r w:rsidRPr="00FA0D37">
        <w:rPr>
          <w:rFonts w:eastAsia="Batang"/>
          <w:noProof/>
        </w:rPr>
        <w:tab/>
        <w:t>perform the radio bearer configuration according to 5.3.5.6;</w:t>
      </w:r>
    </w:p>
    <w:p w14:paraId="63203099" w14:textId="77777777" w:rsidR="00394471" w:rsidRPr="00FA0D37" w:rsidRDefault="00394471" w:rsidP="00394471">
      <w:pPr>
        <w:pStyle w:val="B1"/>
      </w:pPr>
      <w:r w:rsidRPr="00FA0D37">
        <w:t>1&gt;</w:t>
      </w:r>
      <w:r w:rsidRPr="00FA0D37">
        <w:tab/>
        <w:t xml:space="preserve">if the </w:t>
      </w:r>
      <w:r w:rsidRPr="00FA0D37">
        <w:rPr>
          <w:i/>
          <w:lang w:eastAsia="x-none"/>
        </w:rPr>
        <w:t>RRCResume</w:t>
      </w:r>
      <w:r w:rsidRPr="00FA0D37">
        <w:rPr>
          <w:rFonts w:eastAsia="Batang"/>
          <w:noProof/>
        </w:rPr>
        <w:t xml:space="preserve"> </w:t>
      </w:r>
      <w:r w:rsidRPr="00FA0D37">
        <w:t xml:space="preserve">message includes the </w:t>
      </w:r>
      <w:r w:rsidRPr="00FA0D37">
        <w:rPr>
          <w:i/>
        </w:rPr>
        <w:t>needForGapsConfigNR</w:t>
      </w:r>
      <w:r w:rsidRPr="00FA0D37">
        <w:t>:</w:t>
      </w:r>
    </w:p>
    <w:p w14:paraId="64F5522B" w14:textId="77777777" w:rsidR="00394471" w:rsidRPr="00FA0D37" w:rsidRDefault="00394471" w:rsidP="00394471">
      <w:pPr>
        <w:pStyle w:val="B2"/>
      </w:pPr>
      <w:r w:rsidRPr="00FA0D37">
        <w:t>2&gt;</w:t>
      </w:r>
      <w:r w:rsidRPr="00FA0D37">
        <w:tab/>
        <w:t xml:space="preserve">if </w:t>
      </w:r>
      <w:r w:rsidRPr="00FA0D37">
        <w:rPr>
          <w:i/>
        </w:rPr>
        <w:t>needForGapsConfigNR</w:t>
      </w:r>
      <w:r w:rsidRPr="00FA0D37">
        <w:t xml:space="preserve"> is set to </w:t>
      </w:r>
      <w:r w:rsidRPr="00FA0D37">
        <w:rPr>
          <w:i/>
        </w:rPr>
        <w:t>setup</w:t>
      </w:r>
      <w:r w:rsidRPr="00FA0D37">
        <w:t>:</w:t>
      </w:r>
    </w:p>
    <w:p w14:paraId="325E2DBD" w14:textId="77777777" w:rsidR="00394471" w:rsidRPr="00FA0D37" w:rsidRDefault="00394471" w:rsidP="00394471">
      <w:pPr>
        <w:pStyle w:val="B3"/>
      </w:pPr>
      <w:r w:rsidRPr="00FA0D37">
        <w:t>3&gt;</w:t>
      </w:r>
      <w:r w:rsidRPr="00FA0D37">
        <w:tab/>
        <w:t xml:space="preserve">consider itself to be </w:t>
      </w:r>
      <w:r w:rsidRPr="00FA0D37">
        <w:rPr>
          <w:lang w:eastAsia="x-none"/>
        </w:rPr>
        <w:t>configured to provide the measurement gap requirement information of NR target bands</w:t>
      </w:r>
      <w:r w:rsidRPr="00FA0D37">
        <w:t>;</w:t>
      </w:r>
    </w:p>
    <w:p w14:paraId="620D77A3" w14:textId="77777777" w:rsidR="00394471" w:rsidRPr="00FA0D37" w:rsidRDefault="00394471" w:rsidP="00394471">
      <w:pPr>
        <w:pStyle w:val="B2"/>
      </w:pPr>
      <w:r w:rsidRPr="00FA0D37">
        <w:t>2&gt;</w:t>
      </w:r>
      <w:r w:rsidRPr="00FA0D37">
        <w:tab/>
        <w:t>else:</w:t>
      </w:r>
    </w:p>
    <w:p w14:paraId="083B96C5" w14:textId="77777777" w:rsidR="00305C4E" w:rsidRPr="00FA0D37" w:rsidRDefault="00394471" w:rsidP="00305C4E">
      <w:pPr>
        <w:pStyle w:val="B3"/>
      </w:pPr>
      <w:r w:rsidRPr="00FA0D37">
        <w:t>3&gt;</w:t>
      </w:r>
      <w:r w:rsidRPr="00FA0D37">
        <w:tab/>
        <w:t xml:space="preserve">consider itself not to be </w:t>
      </w:r>
      <w:r w:rsidRPr="00FA0D37">
        <w:rPr>
          <w:lang w:eastAsia="x-none"/>
        </w:rPr>
        <w:t>configured to provide the measurement gap requirement information of NR target bands</w:t>
      </w:r>
      <w:r w:rsidRPr="00FA0D37">
        <w:t>;</w:t>
      </w:r>
    </w:p>
    <w:p w14:paraId="7113C8F3" w14:textId="32CC0056" w:rsidR="00305C4E" w:rsidRPr="00FA0D37" w:rsidRDefault="00305C4E" w:rsidP="00305C4E">
      <w:pPr>
        <w:pStyle w:val="B1"/>
      </w:pPr>
      <w:r w:rsidRPr="00FA0D37">
        <w:t>1&gt;</w:t>
      </w:r>
      <w:r w:rsidRPr="00FA0D37">
        <w:tab/>
        <w:t xml:space="preserve">if the </w:t>
      </w:r>
      <w:r w:rsidRPr="00FA0D37">
        <w:rPr>
          <w:i/>
        </w:rPr>
        <w:t>RRCResume</w:t>
      </w:r>
      <w:r w:rsidRPr="00FA0D37">
        <w:t xml:space="preserve"> message includes the </w:t>
      </w:r>
      <w:r w:rsidRPr="00FA0D37">
        <w:rPr>
          <w:i/>
        </w:rPr>
        <w:t>needFor</w:t>
      </w:r>
      <w:r w:rsidR="00810302" w:rsidRPr="00FA0D37">
        <w:rPr>
          <w:i/>
        </w:rPr>
        <w:t>Gap</w:t>
      </w:r>
      <w:r w:rsidRPr="00FA0D37">
        <w:rPr>
          <w:i/>
        </w:rPr>
        <w:t>NCSG-ConfigNR</w:t>
      </w:r>
      <w:r w:rsidRPr="00FA0D37">
        <w:t>:</w:t>
      </w:r>
    </w:p>
    <w:p w14:paraId="1F10F3C3" w14:textId="7442563E" w:rsidR="00305C4E" w:rsidRPr="00FA0D37" w:rsidRDefault="00305C4E" w:rsidP="00305C4E">
      <w:pPr>
        <w:pStyle w:val="B2"/>
      </w:pPr>
      <w:r w:rsidRPr="00FA0D37">
        <w:t>2&gt;</w:t>
      </w:r>
      <w:r w:rsidRPr="00FA0D37">
        <w:tab/>
        <w:t xml:space="preserve">if </w:t>
      </w:r>
      <w:r w:rsidRPr="00FA0D37">
        <w:rPr>
          <w:i/>
        </w:rPr>
        <w:t>needFor</w:t>
      </w:r>
      <w:r w:rsidR="00810302" w:rsidRPr="00FA0D37">
        <w:rPr>
          <w:i/>
        </w:rPr>
        <w:t>Gap</w:t>
      </w:r>
      <w:r w:rsidRPr="00FA0D37">
        <w:rPr>
          <w:i/>
        </w:rPr>
        <w:t>NCSG-ConfigNR</w:t>
      </w:r>
      <w:r w:rsidRPr="00FA0D37">
        <w:t xml:space="preserve"> is set to </w:t>
      </w:r>
      <w:r w:rsidRPr="00FA0D37">
        <w:rPr>
          <w:i/>
        </w:rPr>
        <w:t>setup</w:t>
      </w:r>
      <w:r w:rsidRPr="00FA0D37">
        <w:t>:</w:t>
      </w:r>
    </w:p>
    <w:p w14:paraId="68643F74" w14:textId="77777777" w:rsidR="00305C4E" w:rsidRPr="00FA0D37" w:rsidRDefault="00305C4E" w:rsidP="00305C4E">
      <w:pPr>
        <w:pStyle w:val="B3"/>
      </w:pPr>
      <w:r w:rsidRPr="00FA0D37">
        <w:t>3&gt;</w:t>
      </w:r>
      <w:r w:rsidRPr="00FA0D37">
        <w:tab/>
        <w:t xml:space="preserve">consider itself to be </w:t>
      </w:r>
      <w:r w:rsidRPr="00FA0D37">
        <w:rPr>
          <w:lang w:eastAsia="x-none"/>
        </w:rPr>
        <w:t>configured to provide the measurement gap and NCSG requirement information of NR target bands</w:t>
      </w:r>
      <w:r w:rsidRPr="00FA0D37">
        <w:t>;</w:t>
      </w:r>
    </w:p>
    <w:p w14:paraId="68E32725" w14:textId="77777777" w:rsidR="00305C4E" w:rsidRPr="00FA0D37" w:rsidRDefault="00305C4E" w:rsidP="00305C4E">
      <w:pPr>
        <w:pStyle w:val="B2"/>
      </w:pPr>
      <w:r w:rsidRPr="00FA0D37">
        <w:t>2&gt;</w:t>
      </w:r>
      <w:r w:rsidRPr="00FA0D37">
        <w:tab/>
        <w:t>else:</w:t>
      </w:r>
    </w:p>
    <w:p w14:paraId="6D61A6C2" w14:textId="77777777" w:rsidR="00305C4E" w:rsidRPr="00FA0D37" w:rsidRDefault="00305C4E" w:rsidP="00305C4E">
      <w:pPr>
        <w:pStyle w:val="B3"/>
      </w:pPr>
      <w:r w:rsidRPr="00FA0D37">
        <w:t>3&gt;</w:t>
      </w:r>
      <w:r w:rsidRPr="00FA0D37">
        <w:tab/>
        <w:t xml:space="preserve">consider itself not to be </w:t>
      </w:r>
      <w:r w:rsidRPr="00FA0D37">
        <w:rPr>
          <w:lang w:eastAsia="x-none"/>
        </w:rPr>
        <w:t>configured to provide the measurement gap and NCSG requirement information of NR target bands</w:t>
      </w:r>
      <w:r w:rsidRPr="00FA0D37">
        <w:t>;</w:t>
      </w:r>
    </w:p>
    <w:p w14:paraId="56474508" w14:textId="395255B0" w:rsidR="00305C4E" w:rsidRPr="00FA0D37" w:rsidRDefault="00305C4E" w:rsidP="00305C4E">
      <w:pPr>
        <w:pStyle w:val="B1"/>
      </w:pPr>
      <w:r w:rsidRPr="00FA0D37">
        <w:t>1&gt;</w:t>
      </w:r>
      <w:r w:rsidRPr="00FA0D37">
        <w:tab/>
        <w:t xml:space="preserve">if the </w:t>
      </w:r>
      <w:r w:rsidRPr="00FA0D37">
        <w:rPr>
          <w:i/>
        </w:rPr>
        <w:t>RRCResume</w:t>
      </w:r>
      <w:r w:rsidRPr="00FA0D37">
        <w:t xml:space="preserve"> message includes the </w:t>
      </w:r>
      <w:r w:rsidRPr="00FA0D37">
        <w:rPr>
          <w:i/>
        </w:rPr>
        <w:t>needFor</w:t>
      </w:r>
      <w:r w:rsidR="00810302" w:rsidRPr="00FA0D37">
        <w:rPr>
          <w:i/>
        </w:rPr>
        <w:t>Gap</w:t>
      </w:r>
      <w:r w:rsidRPr="00FA0D37">
        <w:rPr>
          <w:i/>
        </w:rPr>
        <w:t>NCSG-ConfigEUTRA</w:t>
      </w:r>
      <w:r w:rsidRPr="00FA0D37">
        <w:t>:</w:t>
      </w:r>
    </w:p>
    <w:p w14:paraId="073014C2" w14:textId="0962D065" w:rsidR="00305C4E" w:rsidRPr="00FA0D37" w:rsidRDefault="00305C4E" w:rsidP="00305C4E">
      <w:pPr>
        <w:pStyle w:val="B2"/>
      </w:pPr>
      <w:r w:rsidRPr="00FA0D37">
        <w:t>2&gt;</w:t>
      </w:r>
      <w:r w:rsidRPr="00FA0D37">
        <w:tab/>
        <w:t xml:space="preserve">if </w:t>
      </w:r>
      <w:r w:rsidRPr="00FA0D37">
        <w:rPr>
          <w:i/>
        </w:rPr>
        <w:t>needFor</w:t>
      </w:r>
      <w:r w:rsidR="00810302" w:rsidRPr="00FA0D37">
        <w:rPr>
          <w:i/>
        </w:rPr>
        <w:t>Gap</w:t>
      </w:r>
      <w:r w:rsidRPr="00FA0D37">
        <w:rPr>
          <w:i/>
        </w:rPr>
        <w:t>NCSG-ConfigEUTRA</w:t>
      </w:r>
      <w:r w:rsidRPr="00FA0D37">
        <w:t xml:space="preserve"> is set to </w:t>
      </w:r>
      <w:r w:rsidRPr="00FA0D37">
        <w:rPr>
          <w:i/>
        </w:rPr>
        <w:t>setup</w:t>
      </w:r>
      <w:r w:rsidRPr="00FA0D37">
        <w:t>:</w:t>
      </w:r>
    </w:p>
    <w:p w14:paraId="5A990994" w14:textId="77777777" w:rsidR="00305C4E" w:rsidRPr="00FA0D37" w:rsidRDefault="00305C4E" w:rsidP="00305C4E">
      <w:pPr>
        <w:pStyle w:val="B3"/>
      </w:pPr>
      <w:r w:rsidRPr="00FA0D37">
        <w:t>3&gt;</w:t>
      </w:r>
      <w:r w:rsidRPr="00FA0D37">
        <w:tab/>
        <w:t xml:space="preserve">consider itself to be </w:t>
      </w:r>
      <w:r w:rsidRPr="00FA0D37">
        <w:rPr>
          <w:lang w:eastAsia="x-none"/>
        </w:rPr>
        <w:t>configured to provide the measurement gap and NCSG requirement information of E</w:t>
      </w:r>
      <w:r w:rsidRPr="00FA0D37">
        <w:rPr>
          <w:lang w:eastAsia="x-none"/>
        </w:rPr>
        <w:noBreakHyphen/>
        <w:t>UTRA target bands</w:t>
      </w:r>
      <w:r w:rsidRPr="00FA0D37">
        <w:t>;</w:t>
      </w:r>
    </w:p>
    <w:p w14:paraId="3C1147F6" w14:textId="77777777" w:rsidR="00305C4E" w:rsidRPr="00FA0D37" w:rsidRDefault="00305C4E" w:rsidP="00305C4E">
      <w:pPr>
        <w:pStyle w:val="B2"/>
      </w:pPr>
      <w:r w:rsidRPr="00FA0D37">
        <w:lastRenderedPageBreak/>
        <w:t>2&gt;</w:t>
      </w:r>
      <w:r w:rsidRPr="00FA0D37">
        <w:tab/>
        <w:t>else:</w:t>
      </w:r>
    </w:p>
    <w:p w14:paraId="39B38919" w14:textId="7E026FFF" w:rsidR="00394471" w:rsidRPr="00FA0D37" w:rsidRDefault="00305C4E" w:rsidP="00305C4E">
      <w:pPr>
        <w:pStyle w:val="B3"/>
      </w:pPr>
      <w:r w:rsidRPr="00FA0D37">
        <w:t>3&gt;</w:t>
      </w:r>
      <w:r w:rsidRPr="00FA0D37">
        <w:tab/>
        <w:t xml:space="preserve">consider itself not to be </w:t>
      </w:r>
      <w:r w:rsidRPr="00FA0D37">
        <w:rPr>
          <w:lang w:eastAsia="x-none"/>
        </w:rPr>
        <w:t>configured to provide the measurement gap and NCSG requirement information of E</w:t>
      </w:r>
      <w:r w:rsidRPr="00FA0D37">
        <w:rPr>
          <w:lang w:eastAsia="x-none"/>
        </w:rPr>
        <w:noBreakHyphen/>
        <w:t>UTRA target bands</w:t>
      </w:r>
      <w:r w:rsidRPr="00FA0D37">
        <w:t>;</w:t>
      </w:r>
    </w:p>
    <w:p w14:paraId="4D0EF67F" w14:textId="3B37ECF2" w:rsidR="00811135" w:rsidRPr="00FA0D37" w:rsidRDefault="00811135" w:rsidP="00811135">
      <w:pPr>
        <w:pStyle w:val="B1"/>
      </w:pPr>
      <w:r w:rsidRPr="00FA0D37">
        <w:t>1&gt;</w:t>
      </w:r>
      <w:r w:rsidRPr="00FA0D37">
        <w:tab/>
        <w:t xml:space="preserve">if the </w:t>
      </w:r>
      <w:r w:rsidRPr="00FA0D37">
        <w:rPr>
          <w:i/>
        </w:rPr>
        <w:t>RRCResume</w:t>
      </w:r>
      <w:r w:rsidRPr="00FA0D37">
        <w:t xml:space="preserve"> message includes the </w:t>
      </w:r>
      <w:r w:rsidRPr="00FA0D37">
        <w:rPr>
          <w:i/>
        </w:rPr>
        <w:t>appLayerMeasConfig</w:t>
      </w:r>
      <w:r w:rsidRPr="00FA0D37">
        <w:t>:</w:t>
      </w:r>
    </w:p>
    <w:p w14:paraId="52134931" w14:textId="48B92BB6" w:rsidR="00811135" w:rsidRPr="00FA0D37" w:rsidRDefault="00811135" w:rsidP="00811135">
      <w:pPr>
        <w:pStyle w:val="B2"/>
      </w:pPr>
      <w:r w:rsidRPr="00FA0D37">
        <w:t>2&gt;</w:t>
      </w:r>
      <w:r w:rsidRPr="00FA0D37">
        <w:tab/>
        <w:t xml:space="preserve">perform the application layer measurement configuration procedure as specified in </w:t>
      </w:r>
      <w:r w:rsidR="001F4B54" w:rsidRPr="00FA0D37">
        <w:t>5.3.5.13d</w:t>
      </w:r>
      <w:r w:rsidRPr="00FA0D37">
        <w:t>;</w:t>
      </w:r>
    </w:p>
    <w:p w14:paraId="598117E3" w14:textId="77777777" w:rsidR="008A2A82" w:rsidRPr="00FA0D37" w:rsidRDefault="008A2A82" w:rsidP="00F747EB">
      <w:pPr>
        <w:pStyle w:val="B1"/>
      </w:pPr>
      <w:r w:rsidRPr="00FA0D37">
        <w:t>1&gt;</w:t>
      </w:r>
      <w:r w:rsidRPr="00FA0D37">
        <w:tab/>
        <w:t xml:space="preserve">if the </w:t>
      </w:r>
      <w:r w:rsidRPr="00FA0D37">
        <w:rPr>
          <w:i/>
        </w:rPr>
        <w:t>RRCResume</w:t>
      </w:r>
      <w:r w:rsidRPr="00FA0D37">
        <w:t xml:space="preserve"> message includes the </w:t>
      </w:r>
      <w:r w:rsidRPr="00FA0D37">
        <w:rPr>
          <w:i/>
        </w:rPr>
        <w:t xml:space="preserve">sl-L2RemoteUE-Config </w:t>
      </w:r>
      <w:r w:rsidRPr="00FA0D37">
        <w:t>(i.e. the UE is a L2 U2N Remote UE):</w:t>
      </w:r>
    </w:p>
    <w:p w14:paraId="487E55B4" w14:textId="77777777" w:rsidR="008A2A82" w:rsidRPr="00FA0D37" w:rsidRDefault="008A2A82" w:rsidP="008A2A82">
      <w:pPr>
        <w:pStyle w:val="B2"/>
      </w:pPr>
      <w:r w:rsidRPr="00FA0D37">
        <w:t>2&gt;</w:t>
      </w:r>
      <w:r w:rsidRPr="00FA0D37">
        <w:tab/>
        <w:t xml:space="preserve">perform the L2 U2N Remote UE configuration procedure as specified in </w:t>
      </w:r>
      <w:r w:rsidRPr="00FA0D37">
        <w:rPr>
          <w:rFonts w:eastAsia="MS Mincho"/>
        </w:rPr>
        <w:t>5.3.5.16</w:t>
      </w:r>
      <w:r w:rsidRPr="00FA0D37">
        <w:t>;</w:t>
      </w:r>
    </w:p>
    <w:p w14:paraId="31AAA5FF" w14:textId="77777777" w:rsidR="008A2A82" w:rsidRPr="00FA0D37" w:rsidRDefault="008A2A82" w:rsidP="008A2A82">
      <w:pPr>
        <w:pStyle w:val="B1"/>
      </w:pPr>
      <w:r w:rsidRPr="00FA0D37">
        <w:t>1&gt;</w:t>
      </w:r>
      <w:r w:rsidRPr="00FA0D37">
        <w:tab/>
        <w:t xml:space="preserve">if the </w:t>
      </w:r>
      <w:r w:rsidRPr="00FA0D37">
        <w:rPr>
          <w:i/>
        </w:rPr>
        <w:t>RRCResume</w:t>
      </w:r>
      <w:r w:rsidRPr="00FA0D37">
        <w:t xml:space="preserve"> message includes the </w:t>
      </w:r>
      <w:r w:rsidRPr="00FA0D37">
        <w:rPr>
          <w:i/>
        </w:rPr>
        <w:t>sl-ConfigDedicatedNR</w:t>
      </w:r>
      <w:r w:rsidRPr="00FA0D37">
        <w:t>:</w:t>
      </w:r>
    </w:p>
    <w:p w14:paraId="7AAEE5AD" w14:textId="4542BE1B" w:rsidR="008A2A82" w:rsidRPr="00FA0D37" w:rsidRDefault="008A2A82" w:rsidP="008A2A82">
      <w:pPr>
        <w:pStyle w:val="B2"/>
        <w:rPr>
          <w:b/>
        </w:rPr>
      </w:pPr>
      <w:r w:rsidRPr="00FA0D37">
        <w:t>2&gt;</w:t>
      </w:r>
      <w:r w:rsidRPr="00FA0D37">
        <w:tab/>
        <w:t>perform the sidelink dedicated configuration procedure as specified in 5.3.5.14;</w:t>
      </w:r>
    </w:p>
    <w:p w14:paraId="379F589A" w14:textId="03C68AA1" w:rsidR="00394471" w:rsidRPr="00FA0D37" w:rsidRDefault="00394471" w:rsidP="00394471">
      <w:pPr>
        <w:pStyle w:val="B1"/>
      </w:pPr>
      <w:r w:rsidRPr="00FA0D37">
        <w:t>1&gt;</w:t>
      </w:r>
      <w:r w:rsidRPr="00FA0D37">
        <w:tab/>
        <w:t>resume SRB2</w:t>
      </w:r>
      <w:r w:rsidR="0070235D" w:rsidRPr="00FA0D37">
        <w:t xml:space="preserve"> (if suspended)</w:t>
      </w:r>
      <w:r w:rsidRPr="00FA0D37">
        <w:t xml:space="preserve">, SRB3 (if configured), </w:t>
      </w:r>
      <w:r w:rsidR="00424A58" w:rsidRPr="00FA0D37">
        <w:t xml:space="preserve">SRB4 (if configured), </w:t>
      </w:r>
      <w:r w:rsidRPr="00FA0D37">
        <w:t>all DRBs</w:t>
      </w:r>
      <w:r w:rsidR="0070235D" w:rsidRPr="00FA0D37">
        <w:t xml:space="preserve"> (that are suspended)</w:t>
      </w:r>
      <w:r w:rsidR="00214323" w:rsidRPr="00FA0D37">
        <w:t xml:space="preserve"> and multicast MRBs</w:t>
      </w:r>
      <w:ins w:id="153" w:author="Huawei, HiSilicon" w:date="2023-12-06T15:10:00Z">
        <w:r w:rsidR="00103DA3">
          <w:t xml:space="preserve"> (that are suspended)</w:t>
        </w:r>
      </w:ins>
      <w:r w:rsidRPr="00FA0D37">
        <w:t>;</w:t>
      </w:r>
    </w:p>
    <w:p w14:paraId="2932859D" w14:textId="211C925D" w:rsidR="006D2BCC" w:rsidRPr="00FA0D37" w:rsidRDefault="006D2BCC" w:rsidP="006D2BCC">
      <w:pPr>
        <w:pStyle w:val="NO"/>
      </w:pPr>
      <w:r w:rsidRPr="00FA0D37">
        <w:t>NOTE 1:</w:t>
      </w:r>
      <w:r w:rsidRPr="00FA0D37">
        <w:tab/>
        <w:t>If the SCG is deactivated, resuming SRB3 and all DRBs does not imply that PDCP or RRC PDUs can be transmitted or received on SCG RLC bearers.</w:t>
      </w:r>
    </w:p>
    <w:p w14:paraId="7716E196" w14:textId="77777777" w:rsidR="00394471" w:rsidRPr="00FA0D37" w:rsidRDefault="00394471" w:rsidP="00394471">
      <w:pPr>
        <w:pStyle w:val="B1"/>
      </w:pPr>
      <w:r w:rsidRPr="00FA0D37">
        <w:t>1&gt;</w:t>
      </w:r>
      <w:r w:rsidRPr="00FA0D37">
        <w:tab/>
        <w:t xml:space="preserve">if stored, discard the cell reselection priority information provided by the </w:t>
      </w:r>
      <w:r w:rsidRPr="00FA0D37">
        <w:rPr>
          <w:i/>
        </w:rPr>
        <w:t>cellReselectionPriorities</w:t>
      </w:r>
      <w:r w:rsidRPr="00FA0D37">
        <w:t xml:space="preserve"> or inherited from another RAT;</w:t>
      </w:r>
    </w:p>
    <w:p w14:paraId="43D928EF" w14:textId="77777777" w:rsidR="00394471" w:rsidRPr="00FA0D37" w:rsidRDefault="00394471" w:rsidP="00394471">
      <w:pPr>
        <w:pStyle w:val="B1"/>
      </w:pPr>
      <w:r w:rsidRPr="00FA0D37">
        <w:t>1&gt;</w:t>
      </w:r>
      <w:r w:rsidRPr="00FA0D37">
        <w:tab/>
        <w:t>stop timer T320, if running;</w:t>
      </w:r>
    </w:p>
    <w:p w14:paraId="7D0432F6" w14:textId="77777777" w:rsidR="00394471" w:rsidRPr="00FA0D37" w:rsidRDefault="00394471" w:rsidP="00394471">
      <w:pPr>
        <w:pStyle w:val="B1"/>
      </w:pPr>
      <w:r w:rsidRPr="00FA0D37">
        <w:t>1&gt;</w:t>
      </w:r>
      <w:r w:rsidRPr="00FA0D37">
        <w:tab/>
        <w:t xml:space="preserve">if the </w:t>
      </w:r>
      <w:r w:rsidRPr="00FA0D37">
        <w:rPr>
          <w:i/>
        </w:rPr>
        <w:t>RRCResume</w:t>
      </w:r>
      <w:r w:rsidRPr="00FA0D37">
        <w:t xml:space="preserve"> message includes the </w:t>
      </w:r>
      <w:r w:rsidRPr="00FA0D37">
        <w:rPr>
          <w:i/>
        </w:rPr>
        <w:t>measConfig</w:t>
      </w:r>
      <w:r w:rsidRPr="00FA0D37">
        <w:t>:</w:t>
      </w:r>
    </w:p>
    <w:p w14:paraId="2523F4EA" w14:textId="77777777" w:rsidR="00394471" w:rsidRPr="00FA0D37" w:rsidRDefault="00394471" w:rsidP="00394471">
      <w:pPr>
        <w:pStyle w:val="B2"/>
      </w:pPr>
      <w:r w:rsidRPr="00FA0D37">
        <w:t>2&gt;</w:t>
      </w:r>
      <w:r w:rsidRPr="00FA0D37">
        <w:tab/>
        <w:t>perform the measurement configuration procedure as specified in 5.5.2;</w:t>
      </w:r>
    </w:p>
    <w:p w14:paraId="6F777E0F" w14:textId="77777777" w:rsidR="00394471" w:rsidRPr="00FA0D37" w:rsidRDefault="00394471" w:rsidP="00394471">
      <w:pPr>
        <w:pStyle w:val="B1"/>
      </w:pPr>
      <w:r w:rsidRPr="00FA0D37">
        <w:t>1&gt;</w:t>
      </w:r>
      <w:r w:rsidRPr="00FA0D37">
        <w:tab/>
        <w:t>resume measurements if suspended;</w:t>
      </w:r>
    </w:p>
    <w:p w14:paraId="562C0979" w14:textId="77777777" w:rsidR="00394471" w:rsidRPr="00FA0D37" w:rsidRDefault="00394471" w:rsidP="00394471">
      <w:pPr>
        <w:pStyle w:val="B1"/>
      </w:pPr>
      <w:r w:rsidRPr="00FA0D37">
        <w:t>1&gt;</w:t>
      </w:r>
      <w:r w:rsidRPr="00FA0D37">
        <w:tab/>
        <w:t>if T390 is running:</w:t>
      </w:r>
    </w:p>
    <w:p w14:paraId="727442E4" w14:textId="77777777" w:rsidR="00394471" w:rsidRPr="00FA0D37" w:rsidRDefault="00394471" w:rsidP="00394471">
      <w:pPr>
        <w:pStyle w:val="B2"/>
      </w:pPr>
      <w:r w:rsidRPr="00FA0D37">
        <w:t>2&gt;</w:t>
      </w:r>
      <w:r w:rsidRPr="00FA0D37">
        <w:tab/>
        <w:t>stop timer T390 for all access categories;</w:t>
      </w:r>
    </w:p>
    <w:p w14:paraId="71372028" w14:textId="77777777" w:rsidR="00394471" w:rsidRPr="00FA0D37" w:rsidRDefault="00394471" w:rsidP="00394471">
      <w:pPr>
        <w:pStyle w:val="B2"/>
      </w:pPr>
      <w:r w:rsidRPr="00FA0D37">
        <w:t>2&gt;</w:t>
      </w:r>
      <w:r w:rsidRPr="00FA0D37">
        <w:tab/>
        <w:t>perform the actions as specified in 5.3.14.4;</w:t>
      </w:r>
    </w:p>
    <w:p w14:paraId="6AD99E22" w14:textId="77777777" w:rsidR="00394471" w:rsidRPr="00FA0D37" w:rsidRDefault="00394471" w:rsidP="00394471">
      <w:pPr>
        <w:pStyle w:val="B1"/>
      </w:pPr>
      <w:r w:rsidRPr="00FA0D37">
        <w:t>1&gt;</w:t>
      </w:r>
      <w:r w:rsidRPr="00FA0D37">
        <w:tab/>
        <w:t>if T302 is running:</w:t>
      </w:r>
    </w:p>
    <w:p w14:paraId="39946514" w14:textId="77777777" w:rsidR="00394471" w:rsidRPr="00FA0D37" w:rsidRDefault="00394471" w:rsidP="00394471">
      <w:pPr>
        <w:pStyle w:val="B2"/>
      </w:pPr>
      <w:r w:rsidRPr="00FA0D37">
        <w:t>2&gt;</w:t>
      </w:r>
      <w:r w:rsidRPr="00FA0D37">
        <w:tab/>
        <w:t>stop timer T</w:t>
      </w:r>
      <w:r w:rsidRPr="00FA0D37">
        <w:rPr>
          <w:lang w:eastAsia="zh-CN"/>
        </w:rPr>
        <w:t>302</w:t>
      </w:r>
      <w:r w:rsidRPr="00FA0D37">
        <w:t>;</w:t>
      </w:r>
    </w:p>
    <w:p w14:paraId="0CF68B4F" w14:textId="77777777" w:rsidR="00394471" w:rsidRPr="00FA0D37" w:rsidRDefault="00394471" w:rsidP="00394471">
      <w:pPr>
        <w:pStyle w:val="B2"/>
      </w:pPr>
      <w:r w:rsidRPr="00FA0D37">
        <w:t>2&gt;</w:t>
      </w:r>
      <w:r w:rsidRPr="00FA0D37">
        <w:tab/>
        <w:t>perform the actions as specified in 5.3.14.4;</w:t>
      </w:r>
    </w:p>
    <w:p w14:paraId="694AFD69" w14:textId="77777777" w:rsidR="00394471" w:rsidRPr="00FA0D37" w:rsidRDefault="00394471" w:rsidP="00394471">
      <w:pPr>
        <w:pStyle w:val="B1"/>
      </w:pPr>
      <w:r w:rsidRPr="00FA0D37">
        <w:t>1&gt;</w:t>
      </w:r>
      <w:r w:rsidRPr="00FA0D37">
        <w:tab/>
        <w:t>enter RRC_CONNECTED;</w:t>
      </w:r>
    </w:p>
    <w:p w14:paraId="7CE88952" w14:textId="77777777" w:rsidR="00394471" w:rsidRPr="00FA0D37" w:rsidRDefault="00394471" w:rsidP="00394471">
      <w:pPr>
        <w:pStyle w:val="B1"/>
      </w:pPr>
      <w:r w:rsidRPr="00FA0D37">
        <w:t>1&gt;</w:t>
      </w:r>
      <w:r w:rsidRPr="00FA0D37">
        <w:tab/>
        <w:t>indicate to upper layers that the suspended RRC connection has been resumed;</w:t>
      </w:r>
    </w:p>
    <w:p w14:paraId="7FE9095E" w14:textId="77777777" w:rsidR="00394471" w:rsidRPr="00FA0D37" w:rsidRDefault="00394471" w:rsidP="00394471">
      <w:pPr>
        <w:pStyle w:val="B1"/>
      </w:pPr>
      <w:r w:rsidRPr="00FA0D37">
        <w:t>1&gt;</w:t>
      </w:r>
      <w:r w:rsidRPr="00FA0D37">
        <w:tab/>
        <w:t>stop the cell re-selection procedure;</w:t>
      </w:r>
    </w:p>
    <w:p w14:paraId="30FBEDD6" w14:textId="5A9A9713" w:rsidR="00CD4D14" w:rsidRPr="00FA0D37" w:rsidRDefault="00CD4D14" w:rsidP="00394471">
      <w:pPr>
        <w:pStyle w:val="B1"/>
      </w:pPr>
      <w:r w:rsidRPr="00FA0D37">
        <w:rPr>
          <w:rFonts w:eastAsia="宋体"/>
          <w:lang w:eastAsia="en-US"/>
        </w:rPr>
        <w:t>1&gt;</w:t>
      </w:r>
      <w:r w:rsidRPr="00FA0D37">
        <w:rPr>
          <w:rFonts w:eastAsia="宋体"/>
          <w:lang w:eastAsia="en-US"/>
        </w:rPr>
        <w:tab/>
        <w:t>stop relay reselection procedure if any for L2 U2N Remote UE</w:t>
      </w:r>
      <w:r w:rsidRPr="00FA0D37">
        <w:t>;</w:t>
      </w:r>
    </w:p>
    <w:p w14:paraId="2A1961A5" w14:textId="12E9DE25" w:rsidR="00394471" w:rsidRPr="00FA0D37" w:rsidRDefault="00394471" w:rsidP="00394471">
      <w:pPr>
        <w:pStyle w:val="B1"/>
      </w:pPr>
      <w:r w:rsidRPr="00FA0D37">
        <w:t>1&gt;</w:t>
      </w:r>
      <w:r w:rsidRPr="00FA0D37">
        <w:tab/>
        <w:t>consider the current cell to be the PCell;</w:t>
      </w:r>
    </w:p>
    <w:p w14:paraId="2AC3D295" w14:textId="77777777" w:rsidR="00394471" w:rsidRPr="00FA0D37" w:rsidRDefault="00394471" w:rsidP="00394471">
      <w:pPr>
        <w:pStyle w:val="B1"/>
      </w:pPr>
      <w:r w:rsidRPr="00FA0D37">
        <w:t>1&gt;</w:t>
      </w:r>
      <w:r w:rsidRPr="00FA0D37">
        <w:tab/>
        <w:t xml:space="preserve">set the content of the of </w:t>
      </w:r>
      <w:r w:rsidRPr="00FA0D37">
        <w:rPr>
          <w:i/>
        </w:rPr>
        <w:t xml:space="preserve">RRCResumeComplete </w:t>
      </w:r>
      <w:r w:rsidRPr="00FA0D37">
        <w:t>message as follows:</w:t>
      </w:r>
    </w:p>
    <w:p w14:paraId="3572573A" w14:textId="77777777" w:rsidR="00394471" w:rsidRPr="00FA0D37" w:rsidRDefault="00394471" w:rsidP="00394471">
      <w:pPr>
        <w:pStyle w:val="B2"/>
      </w:pPr>
      <w:r w:rsidRPr="00FA0D37">
        <w:t>2&gt;</w:t>
      </w:r>
      <w:r w:rsidRPr="00FA0D37">
        <w:tab/>
        <w:t xml:space="preserve">if the upper layer provides NAS PDU, set the </w:t>
      </w:r>
      <w:r w:rsidRPr="00FA0D37">
        <w:rPr>
          <w:i/>
          <w:noProof/>
        </w:rPr>
        <w:t>dedicatedNAS-Message</w:t>
      </w:r>
      <w:r w:rsidRPr="00FA0D37">
        <w:t xml:space="preserve"> to include the information received from upper layers;</w:t>
      </w:r>
    </w:p>
    <w:p w14:paraId="09E68AF7" w14:textId="50A8CCDD" w:rsidR="00AF744B" w:rsidRPr="00FA0D37" w:rsidRDefault="00BB7950" w:rsidP="00BB7950">
      <w:pPr>
        <w:pStyle w:val="B2"/>
      </w:pPr>
      <w:r w:rsidRPr="00FA0D37">
        <w:t>2&gt;</w:t>
      </w:r>
      <w:r w:rsidRPr="00FA0D37">
        <w:tab/>
        <w:t>if upper layers provides a PLMN</w:t>
      </w:r>
      <w:r w:rsidR="00AF744B" w:rsidRPr="00FA0D37">
        <w:t>:</w:t>
      </w:r>
    </w:p>
    <w:p w14:paraId="6C0A3643" w14:textId="58559897" w:rsidR="00BB7950" w:rsidRPr="00FA0D37" w:rsidRDefault="00AF744B" w:rsidP="000830BB">
      <w:pPr>
        <w:pStyle w:val="B3"/>
      </w:pPr>
      <w:r w:rsidRPr="00FA0D37">
        <w:t>3&gt;</w:t>
      </w:r>
      <w:r w:rsidRPr="00FA0D37">
        <w:tab/>
        <w:t xml:space="preserve">if the </w:t>
      </w:r>
      <w:r w:rsidR="00BB7950" w:rsidRPr="00FA0D37">
        <w:t>UE is either allowed or instructed to access the PLMN via a cell for which at least one CAG ID is broadcast:</w:t>
      </w:r>
    </w:p>
    <w:p w14:paraId="5ED096C8" w14:textId="76C826B5" w:rsidR="00BB7950" w:rsidRPr="00FA0D37" w:rsidRDefault="00AF744B" w:rsidP="000830BB">
      <w:pPr>
        <w:pStyle w:val="B4"/>
      </w:pPr>
      <w:r w:rsidRPr="00FA0D37">
        <w:t>4</w:t>
      </w:r>
      <w:r w:rsidR="00BB7950" w:rsidRPr="00FA0D37">
        <w:t>&gt;</w:t>
      </w:r>
      <w:r w:rsidR="00BB7950" w:rsidRPr="00FA0D37">
        <w:tab/>
        <w:t xml:space="preserve">set the </w:t>
      </w:r>
      <w:r w:rsidR="00BB7950" w:rsidRPr="00FA0D37">
        <w:rPr>
          <w:i/>
          <w:iCs/>
        </w:rPr>
        <w:t>selectedPLMN-Identity</w:t>
      </w:r>
      <w:r w:rsidR="00BB7950" w:rsidRPr="00FA0D37">
        <w:t xml:space="preserve"> from the </w:t>
      </w:r>
      <w:r w:rsidR="00BB7950" w:rsidRPr="00FA0D37">
        <w:rPr>
          <w:i/>
          <w:iCs/>
        </w:rPr>
        <w:t>npn-IdentityInfoList</w:t>
      </w:r>
      <w:r w:rsidR="00BB7950" w:rsidRPr="00FA0D37">
        <w:t>;</w:t>
      </w:r>
    </w:p>
    <w:p w14:paraId="03356CF9" w14:textId="7781D839" w:rsidR="00BB7950" w:rsidRPr="00FA0D37" w:rsidRDefault="00AF744B" w:rsidP="000830BB">
      <w:pPr>
        <w:pStyle w:val="B3"/>
      </w:pPr>
      <w:r w:rsidRPr="00FA0D37">
        <w:lastRenderedPageBreak/>
        <w:t>3</w:t>
      </w:r>
      <w:r w:rsidR="00BB7950" w:rsidRPr="00FA0D37">
        <w:t>&gt;</w:t>
      </w:r>
      <w:r w:rsidR="00BB7950" w:rsidRPr="00FA0D37">
        <w:tab/>
        <w:t>else:</w:t>
      </w:r>
    </w:p>
    <w:p w14:paraId="38CC7909" w14:textId="4B510741" w:rsidR="00BB7950" w:rsidRPr="00FA0D37" w:rsidRDefault="00AF744B" w:rsidP="000830BB">
      <w:pPr>
        <w:pStyle w:val="B4"/>
        <w:rPr>
          <w:iCs/>
        </w:rPr>
      </w:pPr>
      <w:r w:rsidRPr="00FA0D37">
        <w:t>4</w:t>
      </w:r>
      <w:r w:rsidR="00BB7950" w:rsidRPr="00FA0D37">
        <w:t>&gt;</w:t>
      </w:r>
      <w:r w:rsidR="00BB7950" w:rsidRPr="00FA0D37">
        <w:tab/>
        <w:t xml:space="preserve">set the </w:t>
      </w:r>
      <w:r w:rsidR="00BB7950" w:rsidRPr="00FA0D37">
        <w:rPr>
          <w:i/>
        </w:rPr>
        <w:t>selectedPLMN-Identity</w:t>
      </w:r>
      <w:r w:rsidR="00BB7950" w:rsidRPr="00FA0D37">
        <w:t xml:space="preserve"> to the PLMN selected by upper layers from the </w:t>
      </w:r>
      <w:r w:rsidR="00BB7950" w:rsidRPr="00FA0D37">
        <w:rPr>
          <w:i/>
        </w:rPr>
        <w:t>plmn-Identity</w:t>
      </w:r>
      <w:r w:rsidR="00525702" w:rsidRPr="00FA0D37">
        <w:rPr>
          <w:i/>
        </w:rPr>
        <w:t>Info</w:t>
      </w:r>
      <w:r w:rsidR="00BB7950" w:rsidRPr="00FA0D37">
        <w:rPr>
          <w:i/>
        </w:rPr>
        <w:t>List</w:t>
      </w:r>
      <w:r w:rsidR="00BB7950" w:rsidRPr="00FA0D37">
        <w:rPr>
          <w:iCs/>
        </w:rPr>
        <w:t>;</w:t>
      </w:r>
    </w:p>
    <w:p w14:paraId="6B1C145F" w14:textId="77777777" w:rsidR="00394471" w:rsidRPr="00FA0D37" w:rsidRDefault="00394471" w:rsidP="00394471">
      <w:pPr>
        <w:pStyle w:val="B2"/>
      </w:pPr>
      <w:r w:rsidRPr="00FA0D37">
        <w:t>2&gt;</w:t>
      </w:r>
      <w:r w:rsidRPr="00FA0D37">
        <w:tab/>
        <w:t xml:space="preserve">if the </w:t>
      </w:r>
      <w:r w:rsidRPr="00FA0D37">
        <w:rPr>
          <w:i/>
        </w:rPr>
        <w:t>masterCellGroup</w:t>
      </w:r>
      <w:r w:rsidRPr="00FA0D37">
        <w:t xml:space="preserve"> contains the </w:t>
      </w:r>
      <w:r w:rsidRPr="00FA0D37">
        <w:rPr>
          <w:i/>
        </w:rPr>
        <w:t>reportUplinkTxDirectCurrent</w:t>
      </w:r>
      <w:r w:rsidRPr="00FA0D37">
        <w:t>:</w:t>
      </w:r>
    </w:p>
    <w:p w14:paraId="2F466AD6" w14:textId="77777777" w:rsidR="00394471" w:rsidRPr="00FA0D37" w:rsidRDefault="00394471" w:rsidP="00394471">
      <w:pPr>
        <w:pStyle w:val="B3"/>
      </w:pPr>
      <w:r w:rsidRPr="00FA0D37">
        <w:t>3&gt;</w:t>
      </w:r>
      <w:r w:rsidRPr="00FA0D37">
        <w:tab/>
        <w:t xml:space="preserve">include the </w:t>
      </w:r>
      <w:r w:rsidRPr="00FA0D37">
        <w:rPr>
          <w:i/>
        </w:rPr>
        <w:t xml:space="preserve">uplinkTxDirectCurrentList </w:t>
      </w:r>
      <w:r w:rsidRPr="00FA0D37">
        <w:t>for each MCG serving cell with UL;</w:t>
      </w:r>
    </w:p>
    <w:p w14:paraId="3B7D63FE" w14:textId="77777777" w:rsidR="00394471" w:rsidRPr="00FA0D37" w:rsidRDefault="00394471" w:rsidP="00394471">
      <w:pPr>
        <w:pStyle w:val="B3"/>
      </w:pPr>
      <w:r w:rsidRPr="00FA0D37">
        <w:t>3&gt;</w:t>
      </w:r>
      <w:r w:rsidRPr="00FA0D37">
        <w:tab/>
        <w:t xml:space="preserve">include </w:t>
      </w:r>
      <w:r w:rsidRPr="00FA0D37">
        <w:rPr>
          <w:i/>
        </w:rPr>
        <w:t>uplinkDirectCurrentBWP-SUL</w:t>
      </w:r>
      <w:r w:rsidRPr="00FA0D37">
        <w:t xml:space="preserve"> for each MCG serving cell configured with SUL carrier, if any, within the </w:t>
      </w:r>
      <w:r w:rsidRPr="00FA0D37">
        <w:rPr>
          <w:i/>
        </w:rPr>
        <w:t>uplinkTxDirectCurrentList</w:t>
      </w:r>
      <w:r w:rsidRPr="00FA0D37">
        <w:t>;</w:t>
      </w:r>
    </w:p>
    <w:p w14:paraId="07AEC83A" w14:textId="77777777" w:rsidR="002070A4" w:rsidRPr="00FA0D37" w:rsidRDefault="002070A4" w:rsidP="002070A4">
      <w:pPr>
        <w:pStyle w:val="B2"/>
      </w:pPr>
      <w:r w:rsidRPr="00FA0D37">
        <w:t>2&gt;</w:t>
      </w:r>
      <w:r w:rsidRPr="00FA0D37">
        <w:tab/>
        <w:t xml:space="preserve">if the </w:t>
      </w:r>
      <w:r w:rsidRPr="00FA0D37">
        <w:rPr>
          <w:i/>
        </w:rPr>
        <w:t>masterCellGroup</w:t>
      </w:r>
      <w:r w:rsidRPr="00FA0D37">
        <w:t xml:space="preserve"> contains the </w:t>
      </w:r>
      <w:r w:rsidRPr="00FA0D37">
        <w:rPr>
          <w:i/>
        </w:rPr>
        <w:t>reportUplinkTxDirectCurrentTwoCarrier</w:t>
      </w:r>
      <w:r w:rsidRPr="00FA0D37">
        <w:t>:</w:t>
      </w:r>
    </w:p>
    <w:p w14:paraId="0E158CB1" w14:textId="77777777" w:rsidR="002070A4" w:rsidRPr="00FA0D37" w:rsidRDefault="002070A4" w:rsidP="008E4C89">
      <w:pPr>
        <w:pStyle w:val="B3"/>
      </w:pPr>
      <w:r w:rsidRPr="00FA0D37">
        <w:t>3&gt;</w:t>
      </w:r>
      <w:r w:rsidRPr="00FA0D37">
        <w:tab/>
        <w:t xml:space="preserve">include in the </w:t>
      </w:r>
      <w:r w:rsidRPr="00FA0D37">
        <w:rPr>
          <w:i/>
        </w:rPr>
        <w:t xml:space="preserve">uplinkTxDirectCurrentTwoCarrierList </w:t>
      </w:r>
      <w:r w:rsidRPr="00FA0D37">
        <w:t>the list of uplink Tx DC locations for the configured uplink carrier aggregation in the MCG;</w:t>
      </w:r>
    </w:p>
    <w:p w14:paraId="2538B7E1" w14:textId="77777777" w:rsidR="00DC558C" w:rsidRPr="00FA0D37" w:rsidRDefault="00DC558C" w:rsidP="00DC558C">
      <w:pPr>
        <w:pStyle w:val="B2"/>
      </w:pPr>
      <w:r w:rsidRPr="00FA0D37">
        <w:t>2&gt;</w:t>
      </w:r>
      <w:r w:rsidRPr="00FA0D37">
        <w:tab/>
        <w:t xml:space="preserve">if the </w:t>
      </w:r>
      <w:r w:rsidRPr="00FA0D37">
        <w:rPr>
          <w:i/>
        </w:rPr>
        <w:t>masterCellGroup</w:t>
      </w:r>
      <w:r w:rsidRPr="00FA0D37">
        <w:t xml:space="preserve"> contains the </w:t>
      </w:r>
      <w:r w:rsidRPr="00FA0D37">
        <w:rPr>
          <w:i/>
        </w:rPr>
        <w:t>reportUplinkTxDirectCurrentMoreCarrier</w:t>
      </w:r>
      <w:r w:rsidRPr="00FA0D37">
        <w:t>:</w:t>
      </w:r>
    </w:p>
    <w:p w14:paraId="0BF30829" w14:textId="77777777" w:rsidR="00DC558C" w:rsidRPr="00FA0D37" w:rsidRDefault="00DC558C" w:rsidP="00DC558C">
      <w:pPr>
        <w:pStyle w:val="B3"/>
      </w:pPr>
      <w:r w:rsidRPr="00FA0D37">
        <w:t>3&gt;</w:t>
      </w:r>
      <w:r w:rsidRPr="00FA0D37">
        <w:tab/>
        <w:t xml:space="preserve">include in the </w:t>
      </w:r>
      <w:r w:rsidRPr="00FA0D37">
        <w:rPr>
          <w:i/>
        </w:rPr>
        <w:t xml:space="preserve">uplinkTxDirectCurrentMoreCarrierList </w:t>
      </w:r>
      <w:r w:rsidRPr="00FA0D37">
        <w:t>the list of uplink Tx DC locations for the configured uplink carrier aggregation in the MCG;</w:t>
      </w:r>
    </w:p>
    <w:p w14:paraId="5471CF5B" w14:textId="2D7C2148" w:rsidR="00394471" w:rsidRPr="00FA0D37" w:rsidRDefault="00394471" w:rsidP="002070A4">
      <w:pPr>
        <w:pStyle w:val="B2"/>
      </w:pPr>
      <w:r w:rsidRPr="00FA0D37">
        <w:t>2&gt;</w:t>
      </w:r>
      <w:r w:rsidRPr="00FA0D37">
        <w:tab/>
        <w:t xml:space="preserve">if the </w:t>
      </w:r>
      <w:r w:rsidRPr="00FA0D37">
        <w:rPr>
          <w:rFonts w:eastAsia="宋体"/>
        </w:rPr>
        <w:t xml:space="preserve">UE has idle/inactive measurement information concerning cells other than the PCell available in </w:t>
      </w:r>
      <w:r w:rsidRPr="00FA0D37">
        <w:rPr>
          <w:rFonts w:eastAsia="宋体"/>
          <w:i/>
        </w:rPr>
        <w:t>VarMeasIdleReport</w:t>
      </w:r>
      <w:r w:rsidRPr="00FA0D37">
        <w:t>:</w:t>
      </w:r>
    </w:p>
    <w:p w14:paraId="2D2CA5DC" w14:textId="77777777" w:rsidR="00394471" w:rsidRPr="00FA0D37" w:rsidRDefault="00394471" w:rsidP="00394471">
      <w:pPr>
        <w:pStyle w:val="B3"/>
      </w:pPr>
      <w:r w:rsidRPr="00FA0D37">
        <w:t>3&gt;</w:t>
      </w:r>
      <w:r w:rsidRPr="00FA0D37">
        <w:tab/>
        <w:t xml:space="preserve">if the </w:t>
      </w:r>
      <w:r w:rsidRPr="00FA0D37">
        <w:rPr>
          <w:i/>
        </w:rPr>
        <w:t>idleModeMeasurementReq</w:t>
      </w:r>
      <w:r w:rsidRPr="00FA0D37">
        <w:t xml:space="preserve"> is included in the </w:t>
      </w:r>
      <w:r w:rsidRPr="00FA0D37">
        <w:rPr>
          <w:i/>
        </w:rPr>
        <w:t>RRCResume</w:t>
      </w:r>
      <w:r w:rsidRPr="00FA0D37">
        <w:t xml:space="preserve"> message:</w:t>
      </w:r>
    </w:p>
    <w:p w14:paraId="24E3AD8F" w14:textId="77777777" w:rsidR="00394471" w:rsidRPr="00FA0D37" w:rsidRDefault="00394471" w:rsidP="00394471">
      <w:pPr>
        <w:pStyle w:val="B4"/>
      </w:pPr>
      <w:r w:rsidRPr="00FA0D37">
        <w:t>4&gt;</w:t>
      </w:r>
      <w:r w:rsidRPr="00FA0D37">
        <w:tab/>
        <w:t xml:space="preserve">set the </w:t>
      </w:r>
      <w:r w:rsidRPr="00FA0D37">
        <w:rPr>
          <w:i/>
        </w:rPr>
        <w:t>measResultIdleEUTRA</w:t>
      </w:r>
      <w:r w:rsidRPr="00FA0D37">
        <w:t xml:space="preserve"> in the </w:t>
      </w:r>
      <w:r w:rsidRPr="00FA0D37">
        <w:rPr>
          <w:i/>
        </w:rPr>
        <w:t>RRCResumeComplete</w:t>
      </w:r>
      <w:r w:rsidRPr="00FA0D37">
        <w:t xml:space="preserve"> message to the value of </w:t>
      </w:r>
      <w:r w:rsidRPr="00FA0D37">
        <w:rPr>
          <w:i/>
        </w:rPr>
        <w:t>measReportIdleEUTRA</w:t>
      </w:r>
      <w:r w:rsidRPr="00FA0D37">
        <w:t xml:space="preserve"> in the </w:t>
      </w:r>
      <w:r w:rsidRPr="00FA0D37">
        <w:rPr>
          <w:i/>
        </w:rPr>
        <w:t xml:space="preserve">VarMeasIdleReport, </w:t>
      </w:r>
      <w:r w:rsidRPr="00FA0D37">
        <w:t>if available;</w:t>
      </w:r>
    </w:p>
    <w:p w14:paraId="4D86091C" w14:textId="77777777" w:rsidR="00394471" w:rsidRPr="00FA0D37" w:rsidRDefault="00394471" w:rsidP="00394471">
      <w:pPr>
        <w:pStyle w:val="B4"/>
      </w:pPr>
      <w:r w:rsidRPr="00FA0D37">
        <w:t>4&gt;</w:t>
      </w:r>
      <w:r w:rsidRPr="00FA0D37">
        <w:tab/>
        <w:t xml:space="preserve">set the </w:t>
      </w:r>
      <w:r w:rsidRPr="00FA0D37">
        <w:rPr>
          <w:i/>
        </w:rPr>
        <w:t>measResultIdleNR</w:t>
      </w:r>
      <w:r w:rsidRPr="00FA0D37">
        <w:t xml:space="preserve"> in the </w:t>
      </w:r>
      <w:r w:rsidRPr="00FA0D37">
        <w:rPr>
          <w:i/>
        </w:rPr>
        <w:t>RRCResumeComplete</w:t>
      </w:r>
      <w:r w:rsidRPr="00FA0D37">
        <w:t xml:space="preserve"> message to the value of </w:t>
      </w:r>
      <w:r w:rsidRPr="00FA0D37">
        <w:rPr>
          <w:i/>
        </w:rPr>
        <w:t>measReportIdleNR</w:t>
      </w:r>
      <w:r w:rsidRPr="00FA0D37">
        <w:t xml:space="preserve"> in the </w:t>
      </w:r>
      <w:r w:rsidRPr="00FA0D37">
        <w:rPr>
          <w:i/>
        </w:rPr>
        <w:t>VarMeasIdleReport</w:t>
      </w:r>
      <w:r w:rsidRPr="00FA0D37">
        <w:t>, if available;</w:t>
      </w:r>
    </w:p>
    <w:p w14:paraId="2A185FEC" w14:textId="77777777" w:rsidR="00394471" w:rsidRPr="00FA0D37" w:rsidRDefault="00394471" w:rsidP="00394471">
      <w:pPr>
        <w:pStyle w:val="B4"/>
      </w:pPr>
      <w:r w:rsidRPr="00FA0D37">
        <w:t>4&gt;</w:t>
      </w:r>
      <w:r w:rsidRPr="00FA0D37">
        <w:tab/>
        <w:t xml:space="preserve">discard the </w:t>
      </w:r>
      <w:r w:rsidRPr="00FA0D37">
        <w:rPr>
          <w:i/>
        </w:rPr>
        <w:t>VarMeasIdleReport</w:t>
      </w:r>
      <w:r w:rsidRPr="00FA0D37">
        <w:t xml:space="preserve"> upon successful delivery of the </w:t>
      </w:r>
      <w:r w:rsidRPr="00FA0D37">
        <w:rPr>
          <w:i/>
        </w:rPr>
        <w:t>RRCResumeComplete</w:t>
      </w:r>
      <w:r w:rsidRPr="00FA0D37">
        <w:t xml:space="preserve"> message is confirmed by lower layers;</w:t>
      </w:r>
    </w:p>
    <w:p w14:paraId="0424B808" w14:textId="77777777" w:rsidR="00394471" w:rsidRPr="00FA0D37" w:rsidRDefault="00394471" w:rsidP="00394471">
      <w:pPr>
        <w:pStyle w:val="B3"/>
      </w:pPr>
      <w:r w:rsidRPr="00FA0D37">
        <w:t>3&gt;</w:t>
      </w:r>
      <w:r w:rsidRPr="00FA0D37">
        <w:tab/>
        <w:t>else:</w:t>
      </w:r>
    </w:p>
    <w:p w14:paraId="0FB4AF79" w14:textId="77777777" w:rsidR="00394471" w:rsidRPr="00FA0D37" w:rsidRDefault="00394471" w:rsidP="00394471">
      <w:pPr>
        <w:pStyle w:val="B4"/>
      </w:pPr>
      <w:r w:rsidRPr="00FA0D37">
        <w:t>4&gt;</w:t>
      </w:r>
      <w:r w:rsidRPr="00FA0D37">
        <w:tab/>
        <w:t xml:space="preserve">if the SIB1 contains </w:t>
      </w:r>
      <w:r w:rsidRPr="00FA0D37">
        <w:rPr>
          <w:i/>
        </w:rPr>
        <w:t>idleModeMeasurements</w:t>
      </w:r>
      <w:r w:rsidRPr="00FA0D37">
        <w:rPr>
          <w:i/>
          <w:iCs/>
        </w:rPr>
        <w:t>NR</w:t>
      </w:r>
      <w:r w:rsidRPr="00FA0D37">
        <w:t xml:space="preserve"> and the UE has NR idle/inactive measurement information concerning cells other than the PCell available in </w:t>
      </w:r>
      <w:r w:rsidRPr="00FA0D37">
        <w:rPr>
          <w:i/>
          <w:iCs/>
        </w:rPr>
        <w:t>VarMeasIdleReport</w:t>
      </w:r>
      <w:r w:rsidRPr="00FA0D37">
        <w:t>; or</w:t>
      </w:r>
    </w:p>
    <w:p w14:paraId="21BC8103" w14:textId="77777777" w:rsidR="00394471" w:rsidRPr="00FA0D37" w:rsidRDefault="00394471" w:rsidP="00394471">
      <w:pPr>
        <w:pStyle w:val="B4"/>
      </w:pPr>
      <w:r w:rsidRPr="00FA0D37">
        <w:t>4&gt;</w:t>
      </w:r>
      <w:r w:rsidRPr="00FA0D37">
        <w:tab/>
        <w:t xml:space="preserve">if the SIB1 contains </w:t>
      </w:r>
      <w:r w:rsidRPr="00FA0D37">
        <w:rPr>
          <w:i/>
        </w:rPr>
        <w:t>idleModeMeasurementsEUTRA</w:t>
      </w:r>
      <w:r w:rsidRPr="00FA0D37">
        <w:t xml:space="preserve"> and the UE has E-UTRA idle/inactive measurement information available in </w:t>
      </w:r>
      <w:r w:rsidRPr="00FA0D37">
        <w:rPr>
          <w:i/>
        </w:rPr>
        <w:t>VarMeasIdleReport</w:t>
      </w:r>
      <w:r w:rsidRPr="00FA0D37">
        <w:t>:</w:t>
      </w:r>
    </w:p>
    <w:p w14:paraId="57AE1193" w14:textId="77777777" w:rsidR="00394471" w:rsidRPr="00FA0D37" w:rsidRDefault="00394471" w:rsidP="00394471">
      <w:pPr>
        <w:pStyle w:val="B5"/>
      </w:pPr>
      <w:r w:rsidRPr="00FA0D37">
        <w:t>5&gt;</w:t>
      </w:r>
      <w:r w:rsidRPr="00FA0D37">
        <w:tab/>
        <w:t xml:space="preserve">include the </w:t>
      </w:r>
      <w:r w:rsidRPr="00FA0D37">
        <w:rPr>
          <w:i/>
        </w:rPr>
        <w:t>idleMeasAvailable</w:t>
      </w:r>
      <w:r w:rsidRPr="00FA0D37">
        <w:t>;</w:t>
      </w:r>
    </w:p>
    <w:p w14:paraId="4BE52B2A" w14:textId="51245F53" w:rsidR="00394471" w:rsidRPr="00FA0D37" w:rsidRDefault="00394471" w:rsidP="00394471">
      <w:pPr>
        <w:pStyle w:val="B2"/>
      </w:pPr>
      <w:r w:rsidRPr="00FA0D37">
        <w:t>2&gt;</w:t>
      </w:r>
      <w:r w:rsidRPr="00FA0D37">
        <w:tab/>
        <w:t xml:space="preserve">if the </w:t>
      </w:r>
      <w:r w:rsidRPr="00FA0D37">
        <w:rPr>
          <w:i/>
        </w:rPr>
        <w:t>RRCResume</w:t>
      </w:r>
      <w:r w:rsidRPr="00FA0D37">
        <w:t xml:space="preserve"> message includes </w:t>
      </w:r>
      <w:r w:rsidRPr="00FA0D37">
        <w:rPr>
          <w:i/>
          <w:iCs/>
        </w:rPr>
        <w:t>mrdc-SecondaryCellGroup</w:t>
      </w:r>
      <w:r w:rsidRPr="00FA0D37">
        <w:t xml:space="preserve"> set to </w:t>
      </w:r>
      <w:r w:rsidRPr="00FA0D37">
        <w:rPr>
          <w:i/>
        </w:rPr>
        <w:t>eutra-SCG</w:t>
      </w:r>
      <w:r w:rsidRPr="00FA0D37">
        <w:t>:</w:t>
      </w:r>
    </w:p>
    <w:p w14:paraId="31B5C047" w14:textId="77777777" w:rsidR="00394471" w:rsidRPr="00FA0D37" w:rsidRDefault="00394471" w:rsidP="00394471">
      <w:pPr>
        <w:pStyle w:val="B3"/>
      </w:pPr>
      <w:r w:rsidRPr="00FA0D37">
        <w:t>3&gt;</w:t>
      </w:r>
      <w:r w:rsidRPr="00FA0D37">
        <w:tab/>
        <w:t xml:space="preserve">include in the </w:t>
      </w:r>
      <w:r w:rsidRPr="00FA0D37">
        <w:rPr>
          <w:i/>
        </w:rPr>
        <w:t>eutra-SCG-Response</w:t>
      </w:r>
      <w:r w:rsidRPr="00FA0D37">
        <w:t xml:space="preserve"> the E-UTRA </w:t>
      </w:r>
      <w:r w:rsidRPr="00FA0D37">
        <w:rPr>
          <w:i/>
          <w:iCs/>
        </w:rPr>
        <w:t>RRCConnectionReconfigurationComplete</w:t>
      </w:r>
      <w:r w:rsidRPr="00FA0D37">
        <w:t xml:space="preserve"> message in accordance with TS 36.331 [10] clause 5.3.5.3;</w:t>
      </w:r>
    </w:p>
    <w:p w14:paraId="249E2B5A" w14:textId="5ADCF3C6" w:rsidR="00394471" w:rsidRPr="00FA0D37" w:rsidRDefault="00394471" w:rsidP="00394471">
      <w:pPr>
        <w:pStyle w:val="B2"/>
      </w:pPr>
      <w:r w:rsidRPr="00FA0D37">
        <w:t>2&gt;</w:t>
      </w:r>
      <w:r w:rsidRPr="00FA0D37">
        <w:tab/>
        <w:t xml:space="preserve">if the </w:t>
      </w:r>
      <w:r w:rsidRPr="00FA0D37">
        <w:rPr>
          <w:i/>
        </w:rPr>
        <w:t>RRCResume</w:t>
      </w:r>
      <w:r w:rsidRPr="00FA0D37">
        <w:t xml:space="preserve"> message includes </w:t>
      </w:r>
      <w:r w:rsidRPr="00FA0D37">
        <w:rPr>
          <w:i/>
          <w:iCs/>
        </w:rPr>
        <w:t>mrdc-SecondaryCellGroup</w:t>
      </w:r>
      <w:r w:rsidRPr="00FA0D37">
        <w:t xml:space="preserve"> set to </w:t>
      </w:r>
      <w:r w:rsidRPr="00FA0D37">
        <w:rPr>
          <w:i/>
        </w:rPr>
        <w:t>nr-SCG</w:t>
      </w:r>
      <w:r w:rsidRPr="00FA0D37">
        <w:t>:</w:t>
      </w:r>
    </w:p>
    <w:p w14:paraId="62F1E114" w14:textId="77777777" w:rsidR="00394471" w:rsidRPr="00FA0D37" w:rsidRDefault="00394471" w:rsidP="00394471">
      <w:pPr>
        <w:pStyle w:val="B3"/>
      </w:pPr>
      <w:r w:rsidRPr="00FA0D37">
        <w:t>3&gt;</w:t>
      </w:r>
      <w:r w:rsidRPr="00FA0D37">
        <w:tab/>
        <w:t xml:space="preserve">include in the </w:t>
      </w:r>
      <w:r w:rsidRPr="00FA0D37">
        <w:rPr>
          <w:i/>
        </w:rPr>
        <w:t>nr-SCG-Response</w:t>
      </w:r>
      <w:r w:rsidRPr="00FA0D37">
        <w:t xml:space="preserve"> </w:t>
      </w:r>
      <w:r w:rsidRPr="00FA0D37">
        <w:rPr>
          <w:iCs/>
        </w:rPr>
        <w:t xml:space="preserve">the SCG </w:t>
      </w:r>
      <w:r w:rsidRPr="00FA0D37">
        <w:rPr>
          <w:i/>
        </w:rPr>
        <w:t>RRCReconfigurationComplete</w:t>
      </w:r>
      <w:r w:rsidRPr="00FA0D37">
        <w:rPr>
          <w:iCs/>
        </w:rPr>
        <w:t xml:space="preserve"> message</w:t>
      </w:r>
      <w:r w:rsidRPr="00FA0D37">
        <w:t>;</w:t>
      </w:r>
    </w:p>
    <w:p w14:paraId="74549DBF" w14:textId="0F5EF5CF" w:rsidR="00394471" w:rsidRPr="00FA0D37" w:rsidRDefault="00394471" w:rsidP="00394471">
      <w:pPr>
        <w:pStyle w:val="B2"/>
      </w:pPr>
      <w:r w:rsidRPr="00FA0D37">
        <w:t>2&gt;</w:t>
      </w:r>
      <w:r w:rsidRPr="00FA0D37">
        <w:tab/>
        <w:t>if the UE has logged measurements available for NR and if the RPLMN is included in</w:t>
      </w:r>
      <w:r w:rsidRPr="00FA0D37">
        <w:rPr>
          <w:i/>
        </w:rPr>
        <w:t xml:space="preserve"> </w:t>
      </w:r>
      <w:r w:rsidRPr="00FA0D37">
        <w:rPr>
          <w:i/>
          <w:iCs/>
        </w:rPr>
        <w:t>plmn-IdentityList</w:t>
      </w:r>
      <w:r w:rsidRPr="00FA0D37">
        <w:t xml:space="preserve"> stored in </w:t>
      </w:r>
      <w:r w:rsidRPr="00FA0D37">
        <w:rPr>
          <w:i/>
          <w:iCs/>
        </w:rPr>
        <w:t>VarLogMeasReport</w:t>
      </w:r>
      <w:r w:rsidRPr="00FA0D37">
        <w:t>:</w:t>
      </w:r>
    </w:p>
    <w:p w14:paraId="6D348E49" w14:textId="77777777" w:rsidR="00394471" w:rsidRPr="00FA0D37" w:rsidRDefault="00394471" w:rsidP="00394471">
      <w:pPr>
        <w:pStyle w:val="B3"/>
      </w:pPr>
      <w:r w:rsidRPr="00FA0D37">
        <w:t>3&gt;</w:t>
      </w:r>
      <w:r w:rsidRPr="00FA0D37">
        <w:tab/>
        <w:t xml:space="preserve">include the </w:t>
      </w:r>
      <w:r w:rsidRPr="00FA0D37">
        <w:rPr>
          <w:i/>
          <w:iCs/>
        </w:rPr>
        <w:t>logMeas</w:t>
      </w:r>
      <w:r w:rsidRPr="00FA0D37">
        <w:rPr>
          <w:rFonts w:eastAsia="宋体"/>
          <w:i/>
        </w:rPr>
        <w:t xml:space="preserve">Available </w:t>
      </w:r>
      <w:r w:rsidRPr="00FA0D37">
        <w:rPr>
          <w:rFonts w:eastAsia="宋体"/>
          <w:iCs/>
        </w:rPr>
        <w:t xml:space="preserve">in the </w:t>
      </w:r>
      <w:r w:rsidRPr="00FA0D37">
        <w:rPr>
          <w:i/>
        </w:rPr>
        <w:t>RRCResumeComplete</w:t>
      </w:r>
      <w:r w:rsidRPr="00FA0D37">
        <w:t xml:space="preserve"> message</w:t>
      </w:r>
      <w:r w:rsidRPr="00FA0D37">
        <w:rPr>
          <w:rFonts w:eastAsia="宋体"/>
          <w:i/>
        </w:rPr>
        <w:t>;</w:t>
      </w:r>
    </w:p>
    <w:p w14:paraId="144387EC" w14:textId="3CC08DB6" w:rsidR="00394471" w:rsidRPr="00FA0D37" w:rsidRDefault="00424C1A" w:rsidP="00255542">
      <w:pPr>
        <w:pStyle w:val="B3"/>
      </w:pPr>
      <w:r w:rsidRPr="00FA0D37">
        <w:t>3</w:t>
      </w:r>
      <w:r w:rsidR="00394471" w:rsidRPr="00FA0D37">
        <w:t>&gt;</w:t>
      </w:r>
      <w:r w:rsidR="00394471" w:rsidRPr="00FA0D37">
        <w:tab/>
        <w:t xml:space="preserve">if Bluetooth </w:t>
      </w:r>
      <w:r w:rsidRPr="00FA0D37">
        <w:t>measurement results are included in the logged measurements the UE has available for NR</w:t>
      </w:r>
      <w:r w:rsidR="00394471" w:rsidRPr="00FA0D37">
        <w:t>:</w:t>
      </w:r>
    </w:p>
    <w:p w14:paraId="7DC236E2" w14:textId="36409044" w:rsidR="00394471" w:rsidRPr="00FA0D37" w:rsidRDefault="00424C1A" w:rsidP="00255542">
      <w:pPr>
        <w:pStyle w:val="B4"/>
      </w:pPr>
      <w:r w:rsidRPr="00FA0D37">
        <w:t>4</w:t>
      </w:r>
      <w:r w:rsidR="00394471" w:rsidRPr="00FA0D37">
        <w:t>&gt;</w:t>
      </w:r>
      <w:r w:rsidR="00394471" w:rsidRPr="00FA0D37">
        <w:tab/>
        <w:t>include the</w:t>
      </w:r>
      <w:r w:rsidR="00394471" w:rsidRPr="00FA0D37">
        <w:rPr>
          <w:i/>
          <w:iCs/>
        </w:rPr>
        <w:t xml:space="preserve"> logMeasAvailableBT</w:t>
      </w:r>
      <w:r w:rsidR="00394471" w:rsidRPr="00FA0D37">
        <w:rPr>
          <w:rFonts w:eastAsia="宋体"/>
        </w:rPr>
        <w:t xml:space="preserve"> </w:t>
      </w:r>
      <w:r w:rsidR="00394471" w:rsidRPr="00FA0D37">
        <w:rPr>
          <w:rFonts w:eastAsia="宋体"/>
          <w:iCs/>
        </w:rPr>
        <w:t xml:space="preserve">in the </w:t>
      </w:r>
      <w:r w:rsidR="00394471" w:rsidRPr="00FA0D37">
        <w:rPr>
          <w:i/>
          <w:iCs/>
        </w:rPr>
        <w:t>RRCResumeComplete</w:t>
      </w:r>
      <w:r w:rsidR="00394471" w:rsidRPr="00FA0D37">
        <w:t xml:space="preserve"> message;</w:t>
      </w:r>
    </w:p>
    <w:p w14:paraId="1EC06740" w14:textId="1126EEF0" w:rsidR="00394471" w:rsidRPr="00FA0D37" w:rsidRDefault="00424C1A" w:rsidP="00255542">
      <w:pPr>
        <w:pStyle w:val="B3"/>
      </w:pPr>
      <w:r w:rsidRPr="00FA0D37">
        <w:t>3</w:t>
      </w:r>
      <w:r w:rsidR="00394471" w:rsidRPr="00FA0D37">
        <w:t>&gt;</w:t>
      </w:r>
      <w:r w:rsidR="00394471" w:rsidRPr="00FA0D37">
        <w:tab/>
        <w:t xml:space="preserve">if WLAN </w:t>
      </w:r>
      <w:r w:rsidRPr="00FA0D37">
        <w:t>measurement results are included in the logged measurements the UE has available for NR</w:t>
      </w:r>
      <w:r w:rsidR="00394471" w:rsidRPr="00FA0D37">
        <w:t>:</w:t>
      </w:r>
    </w:p>
    <w:p w14:paraId="5645D27F" w14:textId="5126E60C" w:rsidR="00394471" w:rsidRPr="00FA0D37" w:rsidRDefault="00424C1A" w:rsidP="00255542">
      <w:pPr>
        <w:pStyle w:val="B4"/>
      </w:pPr>
      <w:r w:rsidRPr="00FA0D37">
        <w:t>4</w:t>
      </w:r>
      <w:r w:rsidR="00394471" w:rsidRPr="00FA0D37">
        <w:t>&gt;</w:t>
      </w:r>
      <w:r w:rsidR="00394471" w:rsidRPr="00FA0D37">
        <w:tab/>
        <w:t xml:space="preserve">include the </w:t>
      </w:r>
      <w:r w:rsidR="00394471" w:rsidRPr="00FA0D37">
        <w:rPr>
          <w:i/>
        </w:rPr>
        <w:t>logMeasAvailableWLAN</w:t>
      </w:r>
      <w:r w:rsidR="00394471" w:rsidRPr="00FA0D37">
        <w:rPr>
          <w:rFonts w:eastAsia="宋体"/>
        </w:rPr>
        <w:t xml:space="preserve"> </w:t>
      </w:r>
      <w:r w:rsidR="00394471" w:rsidRPr="00FA0D37">
        <w:rPr>
          <w:rFonts w:eastAsia="宋体"/>
          <w:iCs/>
        </w:rPr>
        <w:t xml:space="preserve">in the </w:t>
      </w:r>
      <w:r w:rsidR="00394471" w:rsidRPr="00FA0D37">
        <w:rPr>
          <w:i/>
          <w:iCs/>
        </w:rPr>
        <w:t>RRCResumeComplete</w:t>
      </w:r>
      <w:r w:rsidR="00394471" w:rsidRPr="00FA0D37">
        <w:t xml:space="preserve"> message;</w:t>
      </w:r>
    </w:p>
    <w:p w14:paraId="1B80392A" w14:textId="77777777" w:rsidR="00800E9E" w:rsidRPr="00FA0D37" w:rsidRDefault="00800E9E" w:rsidP="00800E9E">
      <w:pPr>
        <w:pStyle w:val="B2"/>
      </w:pPr>
      <w:r w:rsidRPr="00FA0D37">
        <w:t>2&gt;</w:t>
      </w:r>
      <w:r w:rsidRPr="00FA0D37">
        <w:tab/>
      </w:r>
      <w:r w:rsidRPr="00FA0D37">
        <w:rPr>
          <w:rFonts w:eastAsia="等线"/>
          <w:lang w:eastAsia="zh-CN"/>
        </w:rPr>
        <w:t xml:space="preserve">if the </w:t>
      </w:r>
      <w:r w:rsidRPr="00FA0D37">
        <w:rPr>
          <w:rFonts w:eastAsia="等线"/>
          <w:i/>
          <w:lang w:eastAsia="zh-CN"/>
        </w:rPr>
        <w:t>sigLoggedMeasType</w:t>
      </w:r>
      <w:r w:rsidRPr="00FA0D37">
        <w:rPr>
          <w:rFonts w:eastAsia="等线"/>
          <w:lang w:eastAsia="zh-CN"/>
        </w:rPr>
        <w:t xml:space="preserve"> in </w:t>
      </w:r>
      <w:r w:rsidRPr="00FA0D37">
        <w:rPr>
          <w:rFonts w:eastAsia="等线"/>
          <w:i/>
          <w:lang w:eastAsia="zh-CN"/>
        </w:rPr>
        <w:t>VarLogMeasReport</w:t>
      </w:r>
      <w:r w:rsidRPr="00FA0D37">
        <w:rPr>
          <w:rFonts w:eastAsia="等线"/>
          <w:lang w:eastAsia="zh-CN"/>
        </w:rPr>
        <w:t xml:space="preserve"> is included:</w:t>
      </w:r>
    </w:p>
    <w:p w14:paraId="211DBD8D" w14:textId="4560D336" w:rsidR="00800E9E" w:rsidRPr="00FA0D37" w:rsidRDefault="00800E9E" w:rsidP="00800E9E">
      <w:pPr>
        <w:pStyle w:val="B3"/>
        <w:rPr>
          <w:rFonts w:eastAsia="等线"/>
          <w:lang w:eastAsia="zh-CN"/>
        </w:rPr>
      </w:pPr>
      <w:r w:rsidRPr="00FA0D37">
        <w:rPr>
          <w:rFonts w:eastAsia="等线"/>
          <w:lang w:eastAsia="zh-CN"/>
        </w:rPr>
        <w:lastRenderedPageBreak/>
        <w:t>3&gt;</w:t>
      </w:r>
      <w:r w:rsidRPr="00FA0D37">
        <w:rPr>
          <w:rFonts w:eastAsia="等线"/>
          <w:lang w:eastAsia="zh-CN"/>
        </w:rPr>
        <w:tab/>
        <w:t>if T330 timer is running</w:t>
      </w:r>
      <w:r w:rsidR="00573C01" w:rsidRPr="00FA0D37">
        <w:rPr>
          <w:rFonts w:eastAsia="等线"/>
          <w:lang w:eastAsia="zh-CN"/>
        </w:rPr>
        <w:t xml:space="preserve"> and the logged measurements configuration is for NR</w:t>
      </w:r>
      <w:r w:rsidRPr="00FA0D37">
        <w:rPr>
          <w:rFonts w:eastAsia="等线"/>
          <w:lang w:eastAsia="zh-CN"/>
        </w:rPr>
        <w:t>:</w:t>
      </w:r>
    </w:p>
    <w:p w14:paraId="0CFD9408" w14:textId="302B3F89" w:rsidR="00800E9E" w:rsidRPr="00FA0D37" w:rsidRDefault="00800E9E" w:rsidP="00800E9E">
      <w:pPr>
        <w:pStyle w:val="B4"/>
        <w:rPr>
          <w:rFonts w:eastAsia="等线"/>
          <w:lang w:eastAsia="zh-CN"/>
        </w:rPr>
      </w:pPr>
      <w:r w:rsidRPr="00FA0D37">
        <w:rPr>
          <w:rFonts w:eastAsia="等线"/>
          <w:lang w:eastAsia="zh-CN"/>
        </w:rPr>
        <w:t>4&gt;</w:t>
      </w:r>
      <w:r w:rsidRPr="00FA0D37">
        <w:rPr>
          <w:rFonts w:eastAsia="等线"/>
          <w:lang w:eastAsia="zh-CN"/>
        </w:rPr>
        <w:tab/>
        <w:t xml:space="preserve">set </w:t>
      </w:r>
      <w:r w:rsidRPr="00FA0D37">
        <w:rPr>
          <w:rFonts w:eastAsia="等线"/>
          <w:i/>
          <w:lang w:eastAsia="zh-CN"/>
        </w:rPr>
        <w:t>sigLogMeasConfigAvailable</w:t>
      </w:r>
      <w:r w:rsidRPr="00FA0D37">
        <w:rPr>
          <w:rFonts w:eastAsia="等线"/>
          <w:lang w:eastAsia="zh-CN"/>
        </w:rPr>
        <w:t xml:space="preserve"> to </w:t>
      </w:r>
      <w:r w:rsidRPr="00FA0D37">
        <w:rPr>
          <w:rFonts w:eastAsia="等线"/>
          <w:i/>
          <w:lang w:eastAsia="zh-CN"/>
        </w:rPr>
        <w:t>true</w:t>
      </w:r>
      <w:r w:rsidRPr="00FA0D37">
        <w:rPr>
          <w:rFonts w:eastAsia="等线"/>
          <w:lang w:eastAsia="zh-CN"/>
        </w:rPr>
        <w:t xml:space="preserve"> in the</w:t>
      </w:r>
      <w:r w:rsidRPr="00FA0D37">
        <w:rPr>
          <w:i/>
          <w:iCs/>
        </w:rPr>
        <w:t xml:space="preserve"> RRCResumeComplete</w:t>
      </w:r>
      <w:r w:rsidRPr="00FA0D37">
        <w:t xml:space="preserve"> message</w:t>
      </w:r>
      <w:r w:rsidRPr="00FA0D37">
        <w:rPr>
          <w:rFonts w:eastAsia="等线"/>
          <w:lang w:eastAsia="zh-CN"/>
        </w:rPr>
        <w:t>;</w:t>
      </w:r>
    </w:p>
    <w:p w14:paraId="7724A728" w14:textId="4017B21A" w:rsidR="00800E9E" w:rsidRPr="00FA0D37" w:rsidRDefault="00800E9E" w:rsidP="00800E9E">
      <w:pPr>
        <w:pStyle w:val="B3"/>
        <w:rPr>
          <w:rFonts w:eastAsia="等线"/>
          <w:lang w:eastAsia="zh-CN"/>
        </w:rPr>
      </w:pPr>
      <w:r w:rsidRPr="00FA0D37">
        <w:rPr>
          <w:rFonts w:eastAsia="等线"/>
          <w:lang w:eastAsia="zh-CN"/>
        </w:rPr>
        <w:t>3&gt;</w:t>
      </w:r>
      <w:r w:rsidRPr="00FA0D37">
        <w:rPr>
          <w:rFonts w:eastAsia="等线"/>
          <w:lang w:eastAsia="zh-CN"/>
        </w:rPr>
        <w:tab/>
        <w:t>else:</w:t>
      </w:r>
    </w:p>
    <w:p w14:paraId="542DA8D5" w14:textId="158B1FD7" w:rsidR="00800E9E" w:rsidRPr="00FA0D37" w:rsidRDefault="00800E9E" w:rsidP="00800E9E">
      <w:pPr>
        <w:pStyle w:val="B4"/>
      </w:pPr>
      <w:r w:rsidRPr="00FA0D37">
        <w:t>4&gt;</w:t>
      </w:r>
      <w:r w:rsidRPr="00FA0D37">
        <w:tab/>
        <w:t>if the UE has logged measurements available for NR:</w:t>
      </w:r>
    </w:p>
    <w:p w14:paraId="5C544E32" w14:textId="0D37BF15" w:rsidR="00800E9E" w:rsidRPr="00FA0D37" w:rsidRDefault="00800E9E" w:rsidP="000830BB">
      <w:pPr>
        <w:pStyle w:val="B5"/>
      </w:pPr>
      <w:r w:rsidRPr="00FA0D37">
        <w:rPr>
          <w:rFonts w:eastAsia="等线"/>
          <w:lang w:eastAsia="zh-CN"/>
        </w:rPr>
        <w:t>5&gt;</w:t>
      </w:r>
      <w:r w:rsidRPr="00FA0D37">
        <w:rPr>
          <w:rFonts w:eastAsia="等线"/>
          <w:lang w:eastAsia="zh-CN"/>
        </w:rPr>
        <w:tab/>
        <w:t xml:space="preserve">set </w:t>
      </w:r>
      <w:r w:rsidRPr="00FA0D37">
        <w:rPr>
          <w:rFonts w:eastAsia="等线"/>
          <w:i/>
          <w:iCs/>
          <w:lang w:eastAsia="zh-CN"/>
        </w:rPr>
        <w:t>sigLogMeasConfigAvailable</w:t>
      </w:r>
      <w:r w:rsidRPr="00FA0D37">
        <w:rPr>
          <w:rFonts w:eastAsia="等线"/>
          <w:lang w:eastAsia="zh-CN"/>
        </w:rPr>
        <w:t xml:space="preserve"> to </w:t>
      </w:r>
      <w:r w:rsidRPr="00FA0D37">
        <w:rPr>
          <w:rFonts w:eastAsia="等线"/>
          <w:i/>
          <w:iCs/>
          <w:lang w:eastAsia="zh-CN"/>
        </w:rPr>
        <w:t>false</w:t>
      </w:r>
      <w:r w:rsidRPr="00FA0D37">
        <w:rPr>
          <w:rFonts w:eastAsia="等线"/>
          <w:lang w:eastAsia="zh-CN"/>
        </w:rPr>
        <w:t xml:space="preserve"> in the</w:t>
      </w:r>
      <w:r w:rsidRPr="00FA0D37">
        <w:rPr>
          <w:iCs/>
        </w:rPr>
        <w:t xml:space="preserve"> </w:t>
      </w:r>
      <w:r w:rsidRPr="00FA0D37">
        <w:rPr>
          <w:i/>
        </w:rPr>
        <w:t>RRCResumeComplete</w:t>
      </w:r>
      <w:r w:rsidRPr="00FA0D37">
        <w:t xml:space="preserve"> message</w:t>
      </w:r>
      <w:r w:rsidRPr="00FA0D37">
        <w:rPr>
          <w:rFonts w:eastAsia="等线"/>
          <w:lang w:eastAsia="zh-CN"/>
        </w:rPr>
        <w:t>;</w:t>
      </w:r>
    </w:p>
    <w:p w14:paraId="4FA94095" w14:textId="127CE5F3" w:rsidR="00394471" w:rsidRPr="00FA0D37" w:rsidRDefault="00394471" w:rsidP="00394471">
      <w:pPr>
        <w:pStyle w:val="B2"/>
      </w:pPr>
      <w:r w:rsidRPr="00FA0D37">
        <w:t>2&gt;</w:t>
      </w:r>
      <w:r w:rsidRPr="00FA0D37">
        <w:tab/>
        <w:t xml:space="preserve">if the UE has connection establishment failure or connection resume failure information available in </w:t>
      </w:r>
      <w:r w:rsidRPr="00FA0D37">
        <w:rPr>
          <w:i/>
        </w:rPr>
        <w:t>VarConnEstFailReport</w:t>
      </w:r>
      <w:r w:rsidRPr="00FA0D37">
        <w:t xml:space="preserve"> </w:t>
      </w:r>
      <w:r w:rsidR="00800E9E" w:rsidRPr="00FA0D37">
        <w:t xml:space="preserve">or </w:t>
      </w:r>
      <w:r w:rsidR="00800E9E" w:rsidRPr="00FA0D37">
        <w:rPr>
          <w:rFonts w:eastAsia="等线"/>
          <w:i/>
        </w:rPr>
        <w:t>VarConnEstFailReportList</w:t>
      </w:r>
      <w:r w:rsidR="00800E9E" w:rsidRPr="00FA0D37">
        <w:t xml:space="preserve"> </w:t>
      </w:r>
      <w:r w:rsidRPr="00FA0D37">
        <w:t>and if the RPLMN is equal to</w:t>
      </w:r>
      <w:r w:rsidRPr="00FA0D37">
        <w:rPr>
          <w:i/>
        </w:rPr>
        <w:t xml:space="preserve"> plmn-Identity</w:t>
      </w:r>
      <w:r w:rsidRPr="00FA0D37">
        <w:t xml:space="preserve"> stored in </w:t>
      </w:r>
      <w:r w:rsidRPr="00FA0D37">
        <w:rPr>
          <w:i/>
        </w:rPr>
        <w:t>VarConnEstFailReport</w:t>
      </w:r>
      <w:r w:rsidR="00800E9E" w:rsidRPr="00FA0D37">
        <w:rPr>
          <w:i/>
        </w:rPr>
        <w:t xml:space="preserve"> </w:t>
      </w:r>
      <w:r w:rsidR="00800E9E" w:rsidRPr="00FA0D37">
        <w:t>or</w:t>
      </w:r>
      <w:r w:rsidR="00800E9E" w:rsidRPr="00FA0D37">
        <w:rPr>
          <w:i/>
        </w:rPr>
        <w:t xml:space="preserve"> </w:t>
      </w:r>
      <w:r w:rsidR="00B638A2" w:rsidRPr="00FA0D37">
        <w:rPr>
          <w:lang w:eastAsia="zh-CN"/>
        </w:rPr>
        <w:t xml:space="preserve">in </w:t>
      </w:r>
      <w:r w:rsidR="00B638A2" w:rsidRPr="00FA0D37">
        <w:t>at least one of the entries of</w:t>
      </w:r>
      <w:r w:rsidR="00B638A2" w:rsidRPr="00FA0D37">
        <w:rPr>
          <w:rFonts w:eastAsia="等线"/>
          <w:i/>
        </w:rPr>
        <w:t xml:space="preserve"> </w:t>
      </w:r>
      <w:r w:rsidR="00800E9E" w:rsidRPr="00FA0D37">
        <w:rPr>
          <w:rFonts w:eastAsia="等线"/>
          <w:i/>
        </w:rPr>
        <w:t>VarConnEstFailReportList</w:t>
      </w:r>
      <w:r w:rsidRPr="00FA0D37">
        <w:t>:</w:t>
      </w:r>
    </w:p>
    <w:p w14:paraId="2B1F63EE" w14:textId="77777777" w:rsidR="00394471" w:rsidRPr="00FA0D37" w:rsidRDefault="00394471" w:rsidP="00394471">
      <w:pPr>
        <w:pStyle w:val="B3"/>
      </w:pPr>
      <w:r w:rsidRPr="00FA0D37">
        <w:t>3&gt;</w:t>
      </w:r>
      <w:r w:rsidRPr="00FA0D37">
        <w:tab/>
        <w:t xml:space="preserve">include </w:t>
      </w:r>
      <w:r w:rsidRPr="00FA0D37">
        <w:rPr>
          <w:i/>
        </w:rPr>
        <w:t>connEstFailInfoAvailable</w:t>
      </w:r>
      <w:r w:rsidRPr="00FA0D37">
        <w:rPr>
          <w:rFonts w:eastAsia="宋体"/>
          <w:i/>
        </w:rPr>
        <w:t xml:space="preserve"> </w:t>
      </w:r>
      <w:r w:rsidRPr="00FA0D37">
        <w:rPr>
          <w:rFonts w:eastAsia="宋体"/>
          <w:iCs/>
        </w:rPr>
        <w:t xml:space="preserve">in the </w:t>
      </w:r>
      <w:r w:rsidRPr="00FA0D37">
        <w:rPr>
          <w:i/>
        </w:rPr>
        <w:t>RRCResumeComplete</w:t>
      </w:r>
      <w:r w:rsidRPr="00FA0D37">
        <w:t xml:space="preserve"> message;</w:t>
      </w:r>
    </w:p>
    <w:p w14:paraId="6E496618" w14:textId="77777777" w:rsidR="00394471" w:rsidRPr="00FA0D37" w:rsidRDefault="00394471" w:rsidP="00394471">
      <w:pPr>
        <w:pStyle w:val="B2"/>
      </w:pPr>
      <w:r w:rsidRPr="00FA0D37">
        <w:t>2&gt;</w:t>
      </w:r>
      <w:r w:rsidRPr="00FA0D37">
        <w:tab/>
        <w:t xml:space="preserve">if the UE has radio link failure or handover failure information available in </w:t>
      </w:r>
      <w:r w:rsidRPr="00FA0D37">
        <w:rPr>
          <w:i/>
        </w:rPr>
        <w:t>VarRLF-Report</w:t>
      </w:r>
      <w:r w:rsidRPr="00FA0D37">
        <w:t xml:space="preserve"> and if the RPLMN is included in</w:t>
      </w:r>
      <w:r w:rsidRPr="00FA0D37">
        <w:rPr>
          <w:i/>
        </w:rPr>
        <w:t xml:space="preserve"> plmn-IdentityList</w:t>
      </w:r>
      <w:r w:rsidRPr="00FA0D37">
        <w:t xml:space="preserve"> stored in </w:t>
      </w:r>
      <w:r w:rsidRPr="00FA0D37">
        <w:rPr>
          <w:i/>
        </w:rPr>
        <w:t>VarRLF-Report</w:t>
      </w:r>
      <w:r w:rsidRPr="00FA0D37">
        <w:t>; or</w:t>
      </w:r>
    </w:p>
    <w:p w14:paraId="10DE8F3F" w14:textId="77777777" w:rsidR="00394471" w:rsidRPr="00FA0D37" w:rsidRDefault="00394471" w:rsidP="00394471">
      <w:pPr>
        <w:pStyle w:val="B2"/>
      </w:pPr>
      <w:r w:rsidRPr="00FA0D37">
        <w:t>2&gt;</w:t>
      </w:r>
      <w:r w:rsidRPr="00FA0D37">
        <w:tab/>
        <w:t xml:space="preserve">if the UE has radio link failure or handover failure information available in </w:t>
      </w:r>
      <w:r w:rsidRPr="00FA0D37">
        <w:rPr>
          <w:i/>
        </w:rPr>
        <w:t>VarRLF-Report</w:t>
      </w:r>
      <w:r w:rsidRPr="00FA0D37">
        <w:t xml:space="preserve"> of TS 36.331 [10] and if the UE is capable of cross-RAT RLF reporting and if the RPLMN is included in</w:t>
      </w:r>
      <w:r w:rsidRPr="00FA0D37">
        <w:rPr>
          <w:i/>
        </w:rPr>
        <w:t xml:space="preserve"> plmn-IdentityList</w:t>
      </w:r>
      <w:r w:rsidRPr="00FA0D37">
        <w:t xml:space="preserve"> stored in </w:t>
      </w:r>
      <w:r w:rsidRPr="00FA0D37">
        <w:rPr>
          <w:i/>
        </w:rPr>
        <w:t xml:space="preserve">VarRLF-Report </w:t>
      </w:r>
      <w:r w:rsidRPr="00FA0D37">
        <w:t>of TS 36.331 [10]:</w:t>
      </w:r>
    </w:p>
    <w:p w14:paraId="452A2659" w14:textId="0267F8D4" w:rsidR="00394471" w:rsidRPr="00FA0D37" w:rsidRDefault="00394471" w:rsidP="00394471">
      <w:pPr>
        <w:pStyle w:val="B3"/>
      </w:pPr>
      <w:r w:rsidRPr="00FA0D37">
        <w:t>3&gt;</w:t>
      </w:r>
      <w:r w:rsidRPr="00FA0D37">
        <w:tab/>
        <w:t xml:space="preserve">include </w:t>
      </w:r>
      <w:r w:rsidRPr="00FA0D37">
        <w:rPr>
          <w:i/>
        </w:rPr>
        <w:t>rlf-InfoAvailable</w:t>
      </w:r>
      <w:r w:rsidRPr="00FA0D37">
        <w:rPr>
          <w:rFonts w:eastAsia="宋体"/>
          <w:i/>
        </w:rPr>
        <w:t xml:space="preserve"> </w:t>
      </w:r>
      <w:r w:rsidRPr="00FA0D37">
        <w:rPr>
          <w:rFonts w:eastAsia="宋体"/>
          <w:iCs/>
        </w:rPr>
        <w:t xml:space="preserve">in the </w:t>
      </w:r>
      <w:r w:rsidRPr="00FA0D37">
        <w:rPr>
          <w:i/>
        </w:rPr>
        <w:t xml:space="preserve">RRCResumeComplete </w:t>
      </w:r>
      <w:r w:rsidRPr="00FA0D37">
        <w:t>message;</w:t>
      </w:r>
    </w:p>
    <w:p w14:paraId="431A4221" w14:textId="77777777" w:rsidR="00800E9E" w:rsidRPr="00FA0D37" w:rsidRDefault="00800E9E" w:rsidP="00800E9E">
      <w:pPr>
        <w:pStyle w:val="B2"/>
        <w:rPr>
          <w:iCs/>
        </w:rPr>
      </w:pPr>
      <w:r w:rsidRPr="00FA0D37">
        <w:t>2&gt;</w:t>
      </w:r>
      <w:r w:rsidRPr="00FA0D37">
        <w:tab/>
        <w:t xml:space="preserve">if the UE has successful handover information available in </w:t>
      </w:r>
      <w:r w:rsidRPr="00FA0D37">
        <w:rPr>
          <w:i/>
        </w:rPr>
        <w:t xml:space="preserve">VarSuccessHO-Report </w:t>
      </w:r>
      <w:r w:rsidRPr="00FA0D37">
        <w:t>and if the RPLMN is included in</w:t>
      </w:r>
      <w:r w:rsidRPr="00FA0D37">
        <w:rPr>
          <w:i/>
        </w:rPr>
        <w:t xml:space="preserve"> plmn-IdentityList</w:t>
      </w:r>
      <w:r w:rsidRPr="00FA0D37">
        <w:t xml:space="preserve"> stored in </w:t>
      </w:r>
      <w:r w:rsidRPr="00FA0D37">
        <w:rPr>
          <w:i/>
        </w:rPr>
        <w:t>VarSuccessHO-Report</w:t>
      </w:r>
      <w:r w:rsidRPr="00FA0D37">
        <w:rPr>
          <w:iCs/>
        </w:rPr>
        <w:t>:</w:t>
      </w:r>
    </w:p>
    <w:p w14:paraId="69C1A193" w14:textId="377B5207" w:rsidR="00800E9E" w:rsidRPr="00FA0D37" w:rsidRDefault="00800E9E" w:rsidP="00394471">
      <w:pPr>
        <w:pStyle w:val="B3"/>
      </w:pPr>
      <w:r w:rsidRPr="00FA0D37">
        <w:t>3&gt;</w:t>
      </w:r>
      <w:r w:rsidRPr="00FA0D37">
        <w:tab/>
        <w:t xml:space="preserve">include </w:t>
      </w:r>
      <w:r w:rsidRPr="00FA0D37">
        <w:rPr>
          <w:i/>
          <w:iCs/>
        </w:rPr>
        <w:t>successHO-InfoAvailable</w:t>
      </w:r>
      <w:r w:rsidRPr="00FA0D37">
        <w:rPr>
          <w:rFonts w:eastAsia="宋体"/>
          <w:i/>
        </w:rPr>
        <w:t xml:space="preserve"> </w:t>
      </w:r>
      <w:r w:rsidRPr="00FA0D37">
        <w:rPr>
          <w:rFonts w:eastAsia="宋体"/>
          <w:iCs/>
        </w:rPr>
        <w:t xml:space="preserve">in the </w:t>
      </w:r>
      <w:r w:rsidRPr="00FA0D37">
        <w:rPr>
          <w:i/>
        </w:rPr>
        <w:t xml:space="preserve">RRCResumeComplete </w:t>
      </w:r>
      <w:r w:rsidRPr="00FA0D37">
        <w:t>message;</w:t>
      </w:r>
    </w:p>
    <w:p w14:paraId="7D0E0297" w14:textId="77777777" w:rsidR="00394471" w:rsidRPr="00FA0D37" w:rsidRDefault="00394471" w:rsidP="00394471">
      <w:pPr>
        <w:pStyle w:val="B2"/>
      </w:pPr>
      <w:r w:rsidRPr="00FA0D37">
        <w:t>2&gt;</w:t>
      </w:r>
      <w:r w:rsidRPr="00FA0D37">
        <w:tab/>
        <w:t xml:space="preserve">if the UE supports storage of mobility history information and the UE has mobility history information available in </w:t>
      </w:r>
      <w:r w:rsidRPr="00FA0D37">
        <w:rPr>
          <w:i/>
          <w:iCs/>
        </w:rPr>
        <w:t>VarMobilityHistoryReport</w:t>
      </w:r>
      <w:r w:rsidRPr="00FA0D37">
        <w:t>:</w:t>
      </w:r>
    </w:p>
    <w:p w14:paraId="1D864807" w14:textId="77777777" w:rsidR="00394471" w:rsidRPr="00FA0D37" w:rsidRDefault="00394471" w:rsidP="00394471">
      <w:pPr>
        <w:pStyle w:val="B3"/>
      </w:pPr>
      <w:r w:rsidRPr="00FA0D37">
        <w:t>3&gt;</w:t>
      </w:r>
      <w:r w:rsidRPr="00FA0D37">
        <w:tab/>
        <w:t xml:space="preserve">include the </w:t>
      </w:r>
      <w:r w:rsidRPr="00FA0D37">
        <w:rPr>
          <w:i/>
        </w:rPr>
        <w:t>mobilityHistoryAvail</w:t>
      </w:r>
      <w:r w:rsidRPr="00FA0D37">
        <w:rPr>
          <w:rFonts w:eastAsia="宋体"/>
          <w:i/>
        </w:rPr>
        <w:t xml:space="preserve"> </w:t>
      </w:r>
      <w:r w:rsidRPr="00FA0D37">
        <w:rPr>
          <w:rFonts w:eastAsia="宋体"/>
          <w:iCs/>
        </w:rPr>
        <w:t xml:space="preserve">in the </w:t>
      </w:r>
      <w:r w:rsidRPr="00FA0D37">
        <w:rPr>
          <w:i/>
        </w:rPr>
        <w:t>RRCResumeComplete</w:t>
      </w:r>
      <w:r w:rsidRPr="00FA0D37">
        <w:t xml:space="preserve"> message;</w:t>
      </w:r>
    </w:p>
    <w:p w14:paraId="4386010B" w14:textId="77777777" w:rsidR="00394471" w:rsidRPr="00FA0D37" w:rsidRDefault="00394471" w:rsidP="00394471">
      <w:pPr>
        <w:pStyle w:val="B2"/>
        <w:rPr>
          <w:i/>
          <w:iCs/>
        </w:rPr>
      </w:pPr>
      <w:r w:rsidRPr="00FA0D37">
        <w:t>2&gt;</w:t>
      </w:r>
      <w:r w:rsidRPr="00FA0D37">
        <w:tab/>
        <w:t xml:space="preserve">if </w:t>
      </w:r>
      <w:r w:rsidRPr="00FA0D37">
        <w:rPr>
          <w:i/>
          <w:iCs/>
        </w:rPr>
        <w:t>speedStateReselectionPars</w:t>
      </w:r>
      <w:r w:rsidRPr="00FA0D37">
        <w:t xml:space="preserve"> is configured in the </w:t>
      </w:r>
      <w:r w:rsidRPr="00FA0D37">
        <w:rPr>
          <w:i/>
          <w:iCs/>
        </w:rPr>
        <w:t>SIB2</w:t>
      </w:r>
      <w:r w:rsidRPr="00FA0D37">
        <w:t>:</w:t>
      </w:r>
    </w:p>
    <w:p w14:paraId="06E2EE4C" w14:textId="77777777" w:rsidR="00394471" w:rsidRPr="00FA0D37" w:rsidRDefault="00394471" w:rsidP="00394471">
      <w:pPr>
        <w:pStyle w:val="B3"/>
      </w:pPr>
      <w:r w:rsidRPr="00FA0D37">
        <w:t>3&gt;</w:t>
      </w:r>
      <w:r w:rsidRPr="00FA0D37">
        <w:tab/>
        <w:t xml:space="preserve">include the </w:t>
      </w:r>
      <w:r w:rsidRPr="00FA0D37">
        <w:rPr>
          <w:i/>
          <w:iCs/>
        </w:rPr>
        <w:t>mobilityState</w:t>
      </w:r>
      <w:r w:rsidRPr="00FA0D37">
        <w:t xml:space="preserve"> </w:t>
      </w:r>
      <w:r w:rsidRPr="00FA0D37">
        <w:rPr>
          <w:rFonts w:eastAsia="宋体"/>
          <w:iCs/>
        </w:rPr>
        <w:t xml:space="preserve">in the </w:t>
      </w:r>
      <w:r w:rsidRPr="00FA0D37">
        <w:rPr>
          <w:i/>
        </w:rPr>
        <w:t>RRCResumeComplete</w:t>
      </w:r>
      <w:r w:rsidRPr="00FA0D37">
        <w:t xml:space="preserve"> message and set it to the mobility state (as specified in TS 38.304 [20]) of the UE just prior to entering RRC_CONNECTED state;</w:t>
      </w:r>
    </w:p>
    <w:p w14:paraId="4ADC9148" w14:textId="77777777" w:rsidR="00394471" w:rsidRPr="00FA0D37" w:rsidRDefault="00394471" w:rsidP="00394471">
      <w:pPr>
        <w:pStyle w:val="B2"/>
      </w:pPr>
      <w:r w:rsidRPr="00FA0D37">
        <w:t>2&gt;</w:t>
      </w:r>
      <w:r w:rsidRPr="00FA0D37">
        <w:tab/>
        <w:t>if the UE is configured to provide the measurement gap requirement information of NR target bands:</w:t>
      </w:r>
    </w:p>
    <w:p w14:paraId="0ABE4F6D" w14:textId="77777777" w:rsidR="00394471" w:rsidRPr="00FA0D37" w:rsidRDefault="00394471" w:rsidP="00394471">
      <w:pPr>
        <w:pStyle w:val="B3"/>
        <w:rPr>
          <w:lang w:eastAsia="en-US"/>
        </w:rPr>
      </w:pPr>
      <w:r w:rsidRPr="00FA0D37">
        <w:rPr>
          <w:lang w:eastAsia="x-none"/>
        </w:rPr>
        <w:t>3&gt;</w:t>
      </w:r>
      <w:r w:rsidRPr="00FA0D37">
        <w:rPr>
          <w:lang w:eastAsia="x-none"/>
        </w:rPr>
        <w:tab/>
      </w:r>
      <w:r w:rsidRPr="00FA0D37">
        <w:t xml:space="preserve">include the </w:t>
      </w:r>
      <w:r w:rsidRPr="00FA0D37">
        <w:rPr>
          <w:i/>
        </w:rPr>
        <w:t>NeedForGapsInfoNR</w:t>
      </w:r>
      <w:r w:rsidRPr="00FA0D37">
        <w:t xml:space="preserve"> and set the contents as follows:</w:t>
      </w:r>
    </w:p>
    <w:p w14:paraId="41F9BB06" w14:textId="4BCEBA03" w:rsidR="00394471" w:rsidRPr="00FA0D37" w:rsidRDefault="00394471" w:rsidP="00394471">
      <w:pPr>
        <w:pStyle w:val="B4"/>
      </w:pPr>
      <w:r w:rsidRPr="00FA0D37">
        <w:t xml:space="preserve">4&gt; include </w:t>
      </w:r>
      <w:r w:rsidRPr="00FA0D37">
        <w:rPr>
          <w:i/>
        </w:rPr>
        <w:t>intraFreq-needForGap</w:t>
      </w:r>
      <w:r w:rsidRPr="00FA0D37">
        <w:t xml:space="preserve"> and set the gap requirement information of intra-frequency measurement for each NR serving cell;</w:t>
      </w:r>
    </w:p>
    <w:p w14:paraId="1E26A137" w14:textId="77777777" w:rsidR="00305C4E" w:rsidRPr="00FA0D37" w:rsidRDefault="00394471" w:rsidP="00305C4E">
      <w:pPr>
        <w:pStyle w:val="B4"/>
      </w:pPr>
      <w:r w:rsidRPr="00FA0D37">
        <w:t>4&gt;</w:t>
      </w:r>
      <w:r w:rsidRPr="00FA0D37">
        <w:tab/>
        <w:t xml:space="preserve">if </w:t>
      </w:r>
      <w:r w:rsidRPr="00FA0D37">
        <w:rPr>
          <w:i/>
        </w:rPr>
        <w:t>requestedTargetBandFilterNR</w:t>
      </w:r>
      <w:r w:rsidRPr="00FA0D37">
        <w:t xml:space="preserve"> is configured, for each supported NR band that is also included in </w:t>
      </w:r>
      <w:r w:rsidRPr="00FA0D37">
        <w:rPr>
          <w:i/>
        </w:rPr>
        <w:t>requestedTargetBandFilterNR</w:t>
      </w:r>
      <w:r w:rsidRPr="00FA0D37">
        <w:t xml:space="preserve">, include an entry in </w:t>
      </w:r>
      <w:r w:rsidRPr="00FA0D37">
        <w:rPr>
          <w:i/>
        </w:rPr>
        <w:t>interFreq-needForGap</w:t>
      </w:r>
      <w:r w:rsidRPr="00FA0D37">
        <w:t xml:space="preserve"> and set the gap requirement information for that band; otherwise, include an entry in </w:t>
      </w:r>
      <w:r w:rsidRPr="00FA0D37">
        <w:rPr>
          <w:i/>
        </w:rPr>
        <w:t>interFreq-needForGap</w:t>
      </w:r>
      <w:r w:rsidRPr="00FA0D37">
        <w:t xml:space="preserve"> and set the corresponding gap requirement information for each supported NR band;</w:t>
      </w:r>
    </w:p>
    <w:p w14:paraId="4B038516" w14:textId="77777777" w:rsidR="00305C4E" w:rsidRPr="00FA0D37" w:rsidRDefault="00305C4E" w:rsidP="00305C4E">
      <w:pPr>
        <w:pStyle w:val="B2"/>
      </w:pPr>
      <w:r w:rsidRPr="00FA0D37">
        <w:t>2&gt;</w:t>
      </w:r>
      <w:r w:rsidRPr="00FA0D37">
        <w:tab/>
      </w:r>
      <w:r w:rsidRPr="00FA0D37">
        <w:rPr>
          <w:lang w:eastAsia="x-none"/>
        </w:rPr>
        <w:t>if the UE is configured to provide the measurement gap and NCSG requirement information of NR target bands</w:t>
      </w:r>
      <w:r w:rsidRPr="00FA0D37">
        <w:t>:</w:t>
      </w:r>
    </w:p>
    <w:p w14:paraId="6115691E" w14:textId="71F0C8D7" w:rsidR="00305C4E" w:rsidRPr="00FA0D37" w:rsidRDefault="00305C4E" w:rsidP="00305C4E">
      <w:pPr>
        <w:pStyle w:val="B3"/>
        <w:rPr>
          <w:lang w:eastAsia="en-US"/>
        </w:rPr>
      </w:pPr>
      <w:r w:rsidRPr="00FA0D37">
        <w:rPr>
          <w:lang w:eastAsia="x-none"/>
        </w:rPr>
        <w:t>3&gt;</w:t>
      </w:r>
      <w:r w:rsidRPr="00FA0D37">
        <w:rPr>
          <w:lang w:eastAsia="x-none"/>
        </w:rPr>
        <w:tab/>
      </w:r>
      <w:r w:rsidRPr="00FA0D37">
        <w:t xml:space="preserve">include the </w:t>
      </w:r>
      <w:r w:rsidRPr="00FA0D37">
        <w:rPr>
          <w:i/>
        </w:rPr>
        <w:t>NeedFor</w:t>
      </w:r>
      <w:r w:rsidR="00810302" w:rsidRPr="00FA0D37">
        <w:rPr>
          <w:i/>
        </w:rPr>
        <w:t>Gap</w:t>
      </w:r>
      <w:r w:rsidRPr="00FA0D37">
        <w:rPr>
          <w:i/>
        </w:rPr>
        <w:t>NCSG-InfoNR</w:t>
      </w:r>
      <w:r w:rsidRPr="00FA0D37">
        <w:t xml:space="preserve"> and set the contents as follows:</w:t>
      </w:r>
    </w:p>
    <w:p w14:paraId="0D6E92B9" w14:textId="77777777" w:rsidR="00305C4E" w:rsidRPr="00FA0D37" w:rsidRDefault="00305C4E" w:rsidP="00305C4E">
      <w:pPr>
        <w:pStyle w:val="B4"/>
      </w:pPr>
      <w:r w:rsidRPr="00FA0D37">
        <w:t xml:space="preserve">4&gt; include </w:t>
      </w:r>
      <w:r w:rsidRPr="00FA0D37">
        <w:rPr>
          <w:i/>
        </w:rPr>
        <w:t>intraFreq-needForNCSG</w:t>
      </w:r>
      <w:r w:rsidRPr="00FA0D37">
        <w:t xml:space="preserve"> and set the gap and NCSG requirement information of intra-frequency measurement for each NR serving cell;</w:t>
      </w:r>
    </w:p>
    <w:p w14:paraId="0349E6BE" w14:textId="02BC2163" w:rsidR="00810302" w:rsidRPr="00FA0D37" w:rsidRDefault="00305C4E" w:rsidP="00305C4E">
      <w:pPr>
        <w:pStyle w:val="B4"/>
      </w:pPr>
      <w:r w:rsidRPr="00FA0D37">
        <w:t>4&gt;</w:t>
      </w:r>
      <w:r w:rsidRPr="00FA0D37">
        <w:tab/>
        <w:t xml:space="preserve">if </w:t>
      </w:r>
      <w:r w:rsidRPr="00FA0D37">
        <w:rPr>
          <w:i/>
        </w:rPr>
        <w:t>requestedTargetBandFilterNCSG-NR</w:t>
      </w:r>
      <w:r w:rsidRPr="00FA0D37">
        <w:t xml:space="preserve"> is configured</w:t>
      </w:r>
      <w:r w:rsidR="00810302" w:rsidRPr="00FA0D37">
        <w:t>:</w:t>
      </w:r>
    </w:p>
    <w:p w14:paraId="4A86FB3B" w14:textId="06598B51" w:rsidR="00810302" w:rsidRPr="00FA0D37" w:rsidRDefault="00810302" w:rsidP="00F747EB">
      <w:pPr>
        <w:pStyle w:val="B5"/>
      </w:pPr>
      <w:r w:rsidRPr="00FA0D37">
        <w:t>5&gt;</w:t>
      </w:r>
      <w:r w:rsidRPr="00FA0D37">
        <w:tab/>
      </w:r>
      <w:r w:rsidR="00305C4E" w:rsidRPr="00FA0D37">
        <w:t xml:space="preserve">for each supported NR band included in </w:t>
      </w:r>
      <w:r w:rsidR="00305C4E" w:rsidRPr="00FA0D37">
        <w:rPr>
          <w:i/>
        </w:rPr>
        <w:t>requestedTargetBandFilterNCSG-NR</w:t>
      </w:r>
      <w:r w:rsidR="00305C4E" w:rsidRPr="00FA0D37">
        <w:t xml:space="preserve">, include an entry in </w:t>
      </w:r>
      <w:r w:rsidR="00305C4E" w:rsidRPr="00FA0D37">
        <w:rPr>
          <w:i/>
        </w:rPr>
        <w:t>interFreq-needForNCSG</w:t>
      </w:r>
      <w:r w:rsidR="00305C4E" w:rsidRPr="00FA0D37">
        <w:t xml:space="preserve"> and set the NCSG requirement information for that band;</w:t>
      </w:r>
    </w:p>
    <w:p w14:paraId="630A061E" w14:textId="34424652" w:rsidR="00810302" w:rsidRPr="00FA0D37" w:rsidRDefault="00810302" w:rsidP="00305C4E">
      <w:pPr>
        <w:pStyle w:val="B4"/>
      </w:pPr>
      <w:r w:rsidRPr="00FA0D37">
        <w:t>4&gt;</w:t>
      </w:r>
      <w:r w:rsidRPr="00FA0D37">
        <w:tab/>
        <w:t>else:</w:t>
      </w:r>
    </w:p>
    <w:p w14:paraId="65FF691E" w14:textId="6AB23B7B" w:rsidR="00305C4E" w:rsidRPr="00FA0D37" w:rsidRDefault="00810302" w:rsidP="00F747EB">
      <w:pPr>
        <w:pStyle w:val="B5"/>
      </w:pPr>
      <w:r w:rsidRPr="00FA0D37">
        <w:lastRenderedPageBreak/>
        <w:t>5&gt;</w:t>
      </w:r>
      <w:r w:rsidRPr="00FA0D37">
        <w:tab/>
      </w:r>
      <w:r w:rsidR="00305C4E" w:rsidRPr="00FA0D37">
        <w:t xml:space="preserve">include an entry for each supported NR band in </w:t>
      </w:r>
      <w:r w:rsidR="00305C4E" w:rsidRPr="00FA0D37">
        <w:rPr>
          <w:i/>
        </w:rPr>
        <w:t>interFreq-needForNCSG</w:t>
      </w:r>
      <w:r w:rsidR="00305C4E" w:rsidRPr="00FA0D37">
        <w:t xml:space="preserve"> and set the corresponding NCSG requirement information;</w:t>
      </w:r>
    </w:p>
    <w:p w14:paraId="1270A0A8" w14:textId="77777777" w:rsidR="00305C4E" w:rsidRPr="00FA0D37" w:rsidRDefault="00305C4E" w:rsidP="00305C4E">
      <w:pPr>
        <w:pStyle w:val="B2"/>
      </w:pPr>
      <w:r w:rsidRPr="00FA0D37">
        <w:t>2&gt;</w:t>
      </w:r>
      <w:r w:rsidRPr="00FA0D37">
        <w:tab/>
      </w:r>
      <w:r w:rsidRPr="00FA0D37">
        <w:rPr>
          <w:lang w:eastAsia="x-none"/>
        </w:rPr>
        <w:t>if the UE is configured to provide the measurement gap and NCSG requirement information of E</w:t>
      </w:r>
      <w:r w:rsidRPr="00FA0D37">
        <w:rPr>
          <w:lang w:eastAsia="x-none"/>
        </w:rPr>
        <w:noBreakHyphen/>
        <w:t>UTRA target bands</w:t>
      </w:r>
      <w:r w:rsidRPr="00FA0D37">
        <w:t>:</w:t>
      </w:r>
    </w:p>
    <w:p w14:paraId="05D01112" w14:textId="260E6AA7" w:rsidR="00305C4E" w:rsidRPr="00FA0D37" w:rsidRDefault="00305C4E" w:rsidP="00305C4E">
      <w:pPr>
        <w:pStyle w:val="B3"/>
        <w:rPr>
          <w:lang w:eastAsia="en-US"/>
        </w:rPr>
      </w:pPr>
      <w:r w:rsidRPr="00FA0D37">
        <w:rPr>
          <w:lang w:eastAsia="x-none"/>
        </w:rPr>
        <w:t>3&gt;</w:t>
      </w:r>
      <w:r w:rsidRPr="00FA0D37">
        <w:rPr>
          <w:lang w:eastAsia="x-none"/>
        </w:rPr>
        <w:tab/>
      </w:r>
      <w:r w:rsidRPr="00FA0D37">
        <w:t xml:space="preserve">include the </w:t>
      </w:r>
      <w:r w:rsidRPr="00FA0D37">
        <w:rPr>
          <w:i/>
        </w:rPr>
        <w:t>NeedFor</w:t>
      </w:r>
      <w:r w:rsidR="00810302" w:rsidRPr="00FA0D37">
        <w:rPr>
          <w:i/>
        </w:rPr>
        <w:t>Gap</w:t>
      </w:r>
      <w:r w:rsidRPr="00FA0D37">
        <w:rPr>
          <w:i/>
        </w:rPr>
        <w:t>NCSG-InfoEUTRA</w:t>
      </w:r>
      <w:r w:rsidRPr="00FA0D37">
        <w:t xml:space="preserve"> and set the contents as follows:</w:t>
      </w:r>
    </w:p>
    <w:p w14:paraId="4A2EA6FA" w14:textId="6D90827B" w:rsidR="00810302" w:rsidRPr="00FA0D37" w:rsidRDefault="00305C4E" w:rsidP="00394471">
      <w:pPr>
        <w:pStyle w:val="B4"/>
      </w:pPr>
      <w:r w:rsidRPr="00FA0D37">
        <w:t>4&gt;</w:t>
      </w:r>
      <w:r w:rsidRPr="00FA0D37">
        <w:tab/>
        <w:t xml:space="preserve">if </w:t>
      </w:r>
      <w:r w:rsidRPr="00FA0D37">
        <w:rPr>
          <w:i/>
        </w:rPr>
        <w:t>requestedTargetBandFilterNCSG-EUTRA</w:t>
      </w:r>
      <w:r w:rsidRPr="00FA0D37">
        <w:t xml:space="preserve"> is configured</w:t>
      </w:r>
      <w:r w:rsidR="00810302" w:rsidRPr="00FA0D37">
        <w:t>:</w:t>
      </w:r>
    </w:p>
    <w:p w14:paraId="6C1175CF" w14:textId="5BEA9D4F" w:rsidR="00810302" w:rsidRPr="00FA0D37" w:rsidRDefault="00810302" w:rsidP="00F747EB">
      <w:pPr>
        <w:pStyle w:val="B5"/>
      </w:pPr>
      <w:r w:rsidRPr="00FA0D37">
        <w:t>5&gt;</w:t>
      </w:r>
      <w:r w:rsidRPr="00FA0D37">
        <w:tab/>
      </w:r>
      <w:r w:rsidR="00305C4E" w:rsidRPr="00FA0D37">
        <w:t xml:space="preserve">for each supported E-UTRA band included in </w:t>
      </w:r>
      <w:r w:rsidR="00305C4E" w:rsidRPr="00FA0D37">
        <w:rPr>
          <w:i/>
        </w:rPr>
        <w:t>requestedTargetBandFilterNCSG-EUTRA</w:t>
      </w:r>
      <w:r w:rsidR="00305C4E" w:rsidRPr="00FA0D37">
        <w:t xml:space="preserve">, include an entry in </w:t>
      </w:r>
      <w:r w:rsidR="00305C4E" w:rsidRPr="00FA0D37">
        <w:rPr>
          <w:i/>
        </w:rPr>
        <w:t>needForNCSG-EUTRA</w:t>
      </w:r>
      <w:r w:rsidR="00305C4E" w:rsidRPr="00FA0D37">
        <w:t xml:space="preserve"> and set the NCSG requirement information for that band;</w:t>
      </w:r>
    </w:p>
    <w:p w14:paraId="5227AE22" w14:textId="52A1C23B" w:rsidR="00810302" w:rsidRPr="00FA0D37" w:rsidRDefault="00810302" w:rsidP="00394471">
      <w:pPr>
        <w:pStyle w:val="B4"/>
      </w:pPr>
      <w:r w:rsidRPr="00FA0D37">
        <w:t>4&gt;</w:t>
      </w:r>
      <w:r w:rsidRPr="00FA0D37">
        <w:tab/>
        <w:t>else:</w:t>
      </w:r>
    </w:p>
    <w:p w14:paraId="2488B863" w14:textId="48FBB8C0" w:rsidR="00394471" w:rsidRPr="00FA0D37" w:rsidRDefault="00810302" w:rsidP="00F747EB">
      <w:pPr>
        <w:pStyle w:val="B5"/>
      </w:pPr>
      <w:r w:rsidRPr="00FA0D37">
        <w:t>5&gt;</w:t>
      </w:r>
      <w:r w:rsidRPr="00FA0D37">
        <w:tab/>
      </w:r>
      <w:r w:rsidR="00305C4E" w:rsidRPr="00FA0D37">
        <w:t xml:space="preserve">include an entry for each supported E-UTRA band in </w:t>
      </w:r>
      <w:r w:rsidR="00305C4E" w:rsidRPr="00FA0D37">
        <w:rPr>
          <w:i/>
        </w:rPr>
        <w:t>needForNCSG-EUTRA</w:t>
      </w:r>
      <w:r w:rsidR="00305C4E" w:rsidRPr="00FA0D37">
        <w:t xml:space="preserve"> and set the corresponding NCSG requirement information;</w:t>
      </w:r>
    </w:p>
    <w:p w14:paraId="2C167453" w14:textId="77777777" w:rsidR="00394471" w:rsidRPr="00FA0D37" w:rsidRDefault="00394471" w:rsidP="00394471">
      <w:pPr>
        <w:pStyle w:val="B1"/>
      </w:pPr>
      <w:r w:rsidRPr="00FA0D37">
        <w:t>1&gt;</w:t>
      </w:r>
      <w:r w:rsidRPr="00FA0D37">
        <w:tab/>
        <w:t xml:space="preserve">submit the </w:t>
      </w:r>
      <w:r w:rsidRPr="00FA0D37">
        <w:rPr>
          <w:i/>
        </w:rPr>
        <w:t>RRCResumeComplete</w:t>
      </w:r>
      <w:r w:rsidRPr="00FA0D37">
        <w:t xml:space="preserve"> message to lower layers for transmission;</w:t>
      </w:r>
    </w:p>
    <w:p w14:paraId="74795D21" w14:textId="09670335" w:rsidR="00394471" w:rsidRPr="00FA0D37" w:rsidRDefault="00394471" w:rsidP="00394471">
      <w:pPr>
        <w:pStyle w:val="B1"/>
      </w:pPr>
      <w:r w:rsidRPr="00FA0D37">
        <w:t>1&gt;</w:t>
      </w:r>
      <w:r w:rsidRPr="00FA0D37">
        <w:tab/>
        <w:t>the procedure ends.</w:t>
      </w:r>
    </w:p>
    <w:p w14:paraId="4FF2CFBC" w14:textId="5621EC58" w:rsidR="006C69F1" w:rsidRDefault="006C69F1" w:rsidP="00DD246F">
      <w:pPr>
        <w:pStyle w:val="NO"/>
        <w:rPr>
          <w:i/>
        </w:rPr>
      </w:pPr>
      <w:r w:rsidRPr="00FA0D37">
        <w:t>NOTE</w:t>
      </w:r>
      <w:r w:rsidR="006D2BCC" w:rsidRPr="00FA0D37">
        <w:t xml:space="preserve"> 2</w:t>
      </w:r>
      <w:r w:rsidRPr="00FA0D37">
        <w:t>:</w:t>
      </w:r>
      <w:r w:rsidRPr="00FA0D37">
        <w:tab/>
        <w:t xml:space="preserve">Network only configures at most one of </w:t>
      </w:r>
      <w:r w:rsidRPr="00FA0D37">
        <w:rPr>
          <w:i/>
        </w:rPr>
        <w:t>reportUplinkTxDirectCurrent, reportUplinkTxDirectCurrentTwoCarrier</w:t>
      </w:r>
      <w:r w:rsidRPr="00FA0D37">
        <w:t xml:space="preserve"> or </w:t>
      </w:r>
      <w:r w:rsidRPr="00FA0D37">
        <w:rPr>
          <w:i/>
        </w:rPr>
        <w:t>reportUplinkTxDirectCurrentMoreCarrier</w:t>
      </w:r>
      <w:r w:rsidRPr="00FA0D37">
        <w:t xml:space="preserve"> in one RRC message</w:t>
      </w:r>
      <w:r w:rsidRPr="00FA0D37">
        <w:rPr>
          <w:i/>
        </w:rPr>
        <w:t>.</w:t>
      </w:r>
    </w:p>
    <w:p w14:paraId="6E74D504" w14:textId="3676FA17" w:rsidR="0064323A" w:rsidRPr="0064323A" w:rsidRDefault="0064323A" w:rsidP="0064323A">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r>
        <w:rPr>
          <w:rFonts w:eastAsia="Malgun Gothic"/>
          <w:i/>
        </w:rPr>
        <w:t>Next Change (New)</w:t>
      </w:r>
    </w:p>
    <w:p w14:paraId="695C9042" w14:textId="77777777" w:rsidR="00103DA3" w:rsidRDefault="00103DA3" w:rsidP="00103DA3">
      <w:pPr>
        <w:pStyle w:val="4"/>
        <w:rPr>
          <w:ins w:id="154" w:author="Huawei, HiSilicon" w:date="2023-12-06T15:10:00Z"/>
          <w:lang w:eastAsia="en-US"/>
        </w:rPr>
      </w:pPr>
      <w:ins w:id="155" w:author="Huawei, HiSilicon" w:date="2023-12-06T15:10:00Z">
        <w:r>
          <w:t>5.3.13.x</w:t>
        </w:r>
        <w:r>
          <w:tab/>
          <w:t>RRC connection resume for multicast reception</w:t>
        </w:r>
      </w:ins>
    </w:p>
    <w:p w14:paraId="1F17160F" w14:textId="77777777" w:rsidR="00103DA3" w:rsidRDefault="00103DA3" w:rsidP="00103DA3">
      <w:pPr>
        <w:rPr>
          <w:ins w:id="156" w:author="Huawei, HiSilicon" w:date="2023-12-06T15:10:00Z"/>
        </w:rPr>
      </w:pPr>
      <w:ins w:id="157" w:author="Huawei, HiSilicon" w:date="2023-12-06T15:10:00Z">
        <w:r>
          <w:t>In RRC_INACTIVE state, if configured with MBS multicast reception in RRC_INACTIVE, the UE shall:</w:t>
        </w:r>
      </w:ins>
    </w:p>
    <w:p w14:paraId="53B60E5F" w14:textId="77777777" w:rsidR="00103DA3" w:rsidRDefault="00103DA3" w:rsidP="00103DA3">
      <w:pPr>
        <w:pStyle w:val="B1"/>
        <w:rPr>
          <w:ins w:id="158" w:author="Huawei, HiSilicon" w:date="2023-12-06T15:10:00Z"/>
        </w:rPr>
      </w:pPr>
      <w:ins w:id="159" w:author="Huawei, HiSilicon" w:date="2023-12-06T15:10:00Z">
        <w:r>
          <w:t>1&gt;</w:t>
        </w:r>
        <w:r>
          <w:tab/>
          <w:t xml:space="preserve">if the RRC connection resume procedure is triggered for multicast reception at reception of </w:t>
        </w:r>
        <w:r>
          <w:rPr>
            <w:i/>
          </w:rPr>
          <w:t>SIB1</w:t>
        </w:r>
        <w:r>
          <w:t>, as specified in 5.2.2.4.2; or</w:t>
        </w:r>
      </w:ins>
    </w:p>
    <w:p w14:paraId="0A5232F3" w14:textId="77777777" w:rsidR="00103DA3" w:rsidRDefault="00103DA3" w:rsidP="00103DA3">
      <w:pPr>
        <w:pStyle w:val="B1"/>
        <w:rPr>
          <w:ins w:id="160" w:author="Huawei, HiSilicon" w:date="2023-12-06T15:10:00Z"/>
        </w:rPr>
      </w:pPr>
      <w:ins w:id="161" w:author="Huawei, HiSilicon" w:date="2023-12-06T15:10:00Z">
        <w:r>
          <w:t>1&gt;</w:t>
        </w:r>
        <w:r>
          <w:tab/>
          <w:t>if the PTM configuration is not available in the cell after cell selection or reselection for a multicast session that the UE has joined for which the UE is not indicated to stop monitoring the G-RNTI; or</w:t>
        </w:r>
      </w:ins>
    </w:p>
    <w:p w14:paraId="0E793EFD" w14:textId="77777777" w:rsidR="00103DA3" w:rsidRDefault="00103DA3" w:rsidP="00103DA3">
      <w:pPr>
        <w:pStyle w:val="B1"/>
        <w:rPr>
          <w:ins w:id="162" w:author="Huawei, HiSilicon" w:date="2023-12-06T15:10:00Z"/>
        </w:rPr>
      </w:pPr>
      <w:ins w:id="163" w:author="Huawei, HiSilicon" w:date="2023-12-06T15:10:00Z">
        <w:r>
          <w:t>1&gt;</w:t>
        </w:r>
        <w:r>
          <w:tab/>
          <w:t xml:space="preserve">if </w:t>
        </w:r>
        <w:r>
          <w:rPr>
            <w:i/>
            <w:iCs/>
          </w:rPr>
          <w:t>mbs-NeighbourCellList</w:t>
        </w:r>
        <w:r>
          <w:t xml:space="preserve"> acquired in the previous cell indicates that a multicast session that the UE has joined for which the UE is not indicated to stop monitoring the G-RNTI is not provided for RRC_INACTIVE in the current serving cell; or</w:t>
        </w:r>
      </w:ins>
    </w:p>
    <w:p w14:paraId="5C7237EA" w14:textId="77777777" w:rsidR="00103DA3" w:rsidRDefault="00103DA3" w:rsidP="00103DA3">
      <w:pPr>
        <w:pStyle w:val="B1"/>
        <w:rPr>
          <w:ins w:id="164" w:author="Huawei, HiSilicon" w:date="2023-12-06T15:10:00Z"/>
        </w:rPr>
      </w:pPr>
      <w:ins w:id="165" w:author="Huawei, HiSilicon" w:date="2023-12-06T15:10:00Z">
        <w:r>
          <w:t>1&gt;</w:t>
        </w:r>
        <w:r>
          <w:tab/>
          <w:t xml:space="preserve">if the measured RSRP or RSRQ for serving cell as specified in TS 38.304 [20] is below the threshold indicated by </w:t>
        </w:r>
        <w:r>
          <w:rPr>
            <w:i/>
          </w:rPr>
          <w:t>thresholdIndex</w:t>
        </w:r>
        <w:r>
          <w:t xml:space="preserve"> for a multicast session that the UE has joined:</w:t>
        </w:r>
      </w:ins>
    </w:p>
    <w:p w14:paraId="24D7FB34" w14:textId="77777777" w:rsidR="00103DA3" w:rsidRPr="00493AA0" w:rsidRDefault="00103DA3" w:rsidP="00103DA3">
      <w:pPr>
        <w:pStyle w:val="B2"/>
        <w:rPr>
          <w:ins w:id="166" w:author="Huawei, HiSilicon" w:date="2023-12-06T15:10:00Z"/>
          <w:rFonts w:eastAsiaTheme="minorEastAsia"/>
        </w:rPr>
      </w:pPr>
      <w:ins w:id="167" w:author="Huawei, HiSilicon" w:date="2023-12-06T15:10:00Z">
        <w:r w:rsidRPr="00D50665">
          <w:t>2&gt;</w:t>
        </w:r>
        <w:r w:rsidRPr="00D50665">
          <w:tab/>
          <w:t>initiate RRC connection resume pro</w:t>
        </w:r>
        <w:r w:rsidRPr="00493AA0">
          <w:t xml:space="preserve">cedure in 5.3.13.2 with </w:t>
        </w:r>
        <w:r w:rsidRPr="00D2384A">
          <w:rPr>
            <w:i/>
          </w:rPr>
          <w:t>resumeCause</w:t>
        </w:r>
        <w:r w:rsidRPr="00D50665">
          <w:t xml:space="preserve"> set to </w:t>
        </w:r>
        <w:r w:rsidRPr="00D2384A">
          <w:rPr>
            <w:i/>
          </w:rPr>
          <w:t>mt-Access</w:t>
        </w:r>
        <w:r w:rsidRPr="00D50665">
          <w:t>.</w:t>
        </w:r>
      </w:ins>
    </w:p>
    <w:p w14:paraId="52B524A8" w14:textId="7F4544D4" w:rsidR="00D50665" w:rsidRPr="0064323A" w:rsidRDefault="0064323A" w:rsidP="0064323A">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bookmarkStart w:id="168" w:name="_Hlk152771391"/>
      <w:r>
        <w:rPr>
          <w:rFonts w:eastAsia="Malgun Gothic"/>
          <w:i/>
        </w:rPr>
        <w:t>Next Change</w:t>
      </w:r>
      <w:bookmarkEnd w:id="168"/>
    </w:p>
    <w:p w14:paraId="1C4D3445" w14:textId="77777777" w:rsidR="00394471" w:rsidRPr="00FA0D37" w:rsidRDefault="00394471" w:rsidP="00394471">
      <w:pPr>
        <w:pStyle w:val="3"/>
        <w:rPr>
          <w:rFonts w:eastAsia="Malgun Gothic"/>
        </w:rPr>
      </w:pPr>
      <w:bookmarkStart w:id="169" w:name="_Toc60776844"/>
      <w:bookmarkStart w:id="170" w:name="_Toc146780820"/>
      <w:r w:rsidRPr="00FA0D37">
        <w:rPr>
          <w:rFonts w:eastAsia="Malgun Gothic"/>
        </w:rPr>
        <w:t>5.3.14</w:t>
      </w:r>
      <w:r w:rsidRPr="00FA0D37">
        <w:rPr>
          <w:rFonts w:eastAsia="Malgun Gothic"/>
        </w:rPr>
        <w:tab/>
        <w:t>Unified Access Control</w:t>
      </w:r>
      <w:bookmarkEnd w:id="169"/>
      <w:bookmarkEnd w:id="170"/>
    </w:p>
    <w:p w14:paraId="382E8CC1" w14:textId="77777777" w:rsidR="00394471" w:rsidRPr="00FA0D37" w:rsidRDefault="00394471" w:rsidP="00394471">
      <w:pPr>
        <w:pStyle w:val="4"/>
        <w:rPr>
          <w:rFonts w:eastAsia="Malgun Gothic"/>
          <w:noProof/>
          <w:lang w:eastAsia="ko-KR"/>
        </w:rPr>
      </w:pPr>
      <w:bookmarkStart w:id="171" w:name="_Toc60776848"/>
      <w:bookmarkStart w:id="172" w:name="_Toc146780824"/>
      <w:r w:rsidRPr="00FA0D37">
        <w:rPr>
          <w:rFonts w:eastAsia="Malgun Gothic"/>
          <w:noProof/>
        </w:rPr>
        <w:t>5.3.14.4</w:t>
      </w:r>
      <w:r w:rsidRPr="00FA0D37">
        <w:rPr>
          <w:rFonts w:eastAsia="Malgun Gothic"/>
          <w:noProof/>
        </w:rPr>
        <w:tab/>
        <w:t>T302, T390 expiry or stop (Barring alleviation)</w:t>
      </w:r>
      <w:bookmarkEnd w:id="171"/>
      <w:bookmarkEnd w:id="172"/>
    </w:p>
    <w:p w14:paraId="6CDAA6AC" w14:textId="77777777" w:rsidR="00394471" w:rsidRPr="00FA0D37" w:rsidRDefault="00394471" w:rsidP="00394471">
      <w:pPr>
        <w:rPr>
          <w:rFonts w:eastAsia="Malgun Gothic"/>
        </w:rPr>
      </w:pPr>
      <w:r w:rsidRPr="00FA0D37">
        <w:t>The UE shall:</w:t>
      </w:r>
    </w:p>
    <w:p w14:paraId="1B38F72B" w14:textId="77777777" w:rsidR="00394471" w:rsidRPr="00FA0D37" w:rsidRDefault="00394471" w:rsidP="00394471">
      <w:pPr>
        <w:pStyle w:val="B1"/>
      </w:pPr>
      <w:r w:rsidRPr="00FA0D37">
        <w:t>1&gt;</w:t>
      </w:r>
      <w:r w:rsidRPr="00FA0D37">
        <w:tab/>
        <w:t>if timer T302 expires or is stopped:</w:t>
      </w:r>
    </w:p>
    <w:p w14:paraId="736EE8A3" w14:textId="77777777" w:rsidR="00394471" w:rsidRPr="00FA0D37" w:rsidRDefault="00394471" w:rsidP="00394471">
      <w:pPr>
        <w:pStyle w:val="B2"/>
      </w:pPr>
      <w:r w:rsidRPr="00FA0D37">
        <w:t>2&gt;</w:t>
      </w:r>
      <w:r w:rsidRPr="00FA0D37">
        <w:tab/>
        <w:t>for each Access Category for which T390 is not running:</w:t>
      </w:r>
    </w:p>
    <w:p w14:paraId="00DFA204" w14:textId="77777777" w:rsidR="00394471" w:rsidRPr="00FA0D37" w:rsidRDefault="00394471" w:rsidP="00394471">
      <w:pPr>
        <w:pStyle w:val="B3"/>
      </w:pPr>
      <w:r w:rsidRPr="00FA0D37">
        <w:t>3&gt;</w:t>
      </w:r>
      <w:r w:rsidRPr="00FA0D37">
        <w:tab/>
        <w:t>consider the barring for this Access Category to be alleviated:</w:t>
      </w:r>
    </w:p>
    <w:p w14:paraId="1E571D0A" w14:textId="77777777" w:rsidR="00394471" w:rsidRPr="00FA0D37" w:rsidRDefault="00394471" w:rsidP="00394471">
      <w:pPr>
        <w:pStyle w:val="B1"/>
      </w:pPr>
      <w:r w:rsidRPr="00FA0D37">
        <w:t>1&gt;</w:t>
      </w:r>
      <w:r w:rsidRPr="00FA0D37">
        <w:tab/>
        <w:t>else if timer T390 corresponding to an Access Category other than '2' expires or is stopped, and if timer T302 is not running:</w:t>
      </w:r>
    </w:p>
    <w:p w14:paraId="0F01DB35" w14:textId="77777777" w:rsidR="00394471" w:rsidRPr="00FA0D37" w:rsidRDefault="00394471" w:rsidP="00394471">
      <w:pPr>
        <w:pStyle w:val="B2"/>
      </w:pPr>
      <w:r w:rsidRPr="00FA0D37">
        <w:t>2&gt;</w:t>
      </w:r>
      <w:r w:rsidRPr="00FA0D37">
        <w:tab/>
        <w:t>consider the barring for this Access Category to be alleviated;</w:t>
      </w:r>
    </w:p>
    <w:p w14:paraId="554345AD" w14:textId="77777777" w:rsidR="00394471" w:rsidRPr="00FA0D37" w:rsidRDefault="00394471" w:rsidP="00394471">
      <w:pPr>
        <w:pStyle w:val="B1"/>
      </w:pPr>
      <w:r w:rsidRPr="00FA0D37">
        <w:lastRenderedPageBreak/>
        <w:t>1&gt;</w:t>
      </w:r>
      <w:r w:rsidRPr="00FA0D37">
        <w:tab/>
        <w:t>else if timer T390 corresponding to the Access Category '2' expires or is stopped:</w:t>
      </w:r>
    </w:p>
    <w:p w14:paraId="10D4CFA3" w14:textId="77777777" w:rsidR="00394471" w:rsidRPr="00FA0D37" w:rsidRDefault="00394471" w:rsidP="00394471">
      <w:pPr>
        <w:pStyle w:val="B2"/>
      </w:pPr>
      <w:r w:rsidRPr="00FA0D37">
        <w:t>2&gt;</w:t>
      </w:r>
      <w:r w:rsidRPr="00FA0D37">
        <w:tab/>
        <w:t>consider the barring for this Access Category to be alleviated;</w:t>
      </w:r>
    </w:p>
    <w:p w14:paraId="4F2E4A79" w14:textId="77777777" w:rsidR="00394471" w:rsidRPr="00FA0D37" w:rsidRDefault="00394471" w:rsidP="00394471">
      <w:pPr>
        <w:pStyle w:val="B1"/>
      </w:pPr>
      <w:r w:rsidRPr="00FA0D37">
        <w:t>1&gt;</w:t>
      </w:r>
      <w:r w:rsidRPr="00FA0D37">
        <w:tab/>
        <w:t>when barring for an Access Category is considered being alleviated:</w:t>
      </w:r>
    </w:p>
    <w:p w14:paraId="3DEBEEE1" w14:textId="77777777" w:rsidR="00394471" w:rsidRPr="00FA0D37" w:rsidRDefault="00394471" w:rsidP="00394471">
      <w:pPr>
        <w:pStyle w:val="B2"/>
      </w:pPr>
      <w:r w:rsidRPr="00FA0D37">
        <w:t>2&gt;</w:t>
      </w:r>
      <w:r w:rsidRPr="00FA0D37">
        <w:tab/>
        <w:t>if the Access Category was informed to upper layers as barred:</w:t>
      </w:r>
    </w:p>
    <w:p w14:paraId="1F380F4C" w14:textId="77777777" w:rsidR="00394471" w:rsidRPr="00FA0D37" w:rsidRDefault="00394471" w:rsidP="00394471">
      <w:pPr>
        <w:pStyle w:val="B3"/>
      </w:pPr>
      <w:r w:rsidRPr="00FA0D37">
        <w:t>3&gt;</w:t>
      </w:r>
      <w:r w:rsidRPr="00FA0D37">
        <w:tab/>
        <w:t>inform upper layers about barring alleviation for the Access Category.</w:t>
      </w:r>
    </w:p>
    <w:p w14:paraId="5B2E6E41" w14:textId="77777777" w:rsidR="00103DA3" w:rsidRDefault="00103DA3" w:rsidP="00103DA3">
      <w:pPr>
        <w:pStyle w:val="B2"/>
        <w:rPr>
          <w:ins w:id="173" w:author="Huawei, HiSilicon" w:date="2023-12-06T15:10:00Z"/>
          <w:lang w:eastAsia="en-US"/>
        </w:rPr>
      </w:pPr>
      <w:ins w:id="174" w:author="Huawei, HiSilicon" w:date="2023-12-06T15:10:00Z">
        <w:r>
          <w:t>2&gt;</w:t>
        </w:r>
        <w:r>
          <w:tab/>
          <w:t>else if the Access Category is Access Category ‘0’:</w:t>
        </w:r>
      </w:ins>
    </w:p>
    <w:p w14:paraId="1F489A58" w14:textId="77777777" w:rsidR="00103DA3" w:rsidRPr="00D50665" w:rsidRDefault="00103DA3" w:rsidP="00103DA3">
      <w:pPr>
        <w:pStyle w:val="B3"/>
        <w:rPr>
          <w:ins w:id="175" w:author="Huawei, HiSilicon" w:date="2023-12-06T15:10:00Z"/>
        </w:rPr>
      </w:pPr>
      <w:ins w:id="176" w:author="Huawei, HiSilicon" w:date="2023-12-06T15:10:00Z">
        <w:r>
          <w:t>3&gt;</w:t>
        </w:r>
        <w:r>
          <w:tab/>
          <w:t>perform actions specified in 5.3.13.x;</w:t>
        </w:r>
      </w:ins>
    </w:p>
    <w:p w14:paraId="6EB35485" w14:textId="2C818A3B" w:rsidR="00A6480F" w:rsidRPr="00FA0D37" w:rsidRDefault="00394471" w:rsidP="00A6480F">
      <w:pPr>
        <w:pStyle w:val="B2"/>
      </w:pPr>
      <w:r w:rsidRPr="00FA0D37">
        <w:t>2&gt;</w:t>
      </w:r>
      <w:r w:rsidRPr="00FA0D37">
        <w:tab/>
        <w:t>if barring is alleviated for Access Category '8'</w:t>
      </w:r>
      <w:r w:rsidR="00A6480F" w:rsidRPr="00FA0D37">
        <w:t>; or</w:t>
      </w:r>
    </w:p>
    <w:p w14:paraId="44AF9D1E" w14:textId="48ACD2A9" w:rsidR="00394471" w:rsidRPr="00FA0D37" w:rsidRDefault="00A6480F" w:rsidP="00A6480F">
      <w:pPr>
        <w:pStyle w:val="B2"/>
      </w:pPr>
      <w:r w:rsidRPr="00FA0D37">
        <w:t>2&gt;</w:t>
      </w:r>
      <w:r w:rsidRPr="00FA0D37">
        <w:tab/>
        <w:t>if barring is alleviated for Access Category '2'</w:t>
      </w:r>
      <w:r w:rsidR="00394471" w:rsidRPr="00FA0D37">
        <w:t>:</w:t>
      </w:r>
    </w:p>
    <w:p w14:paraId="202B5ED1" w14:textId="1BF76248" w:rsidR="00394471" w:rsidRDefault="00394471" w:rsidP="00394471">
      <w:pPr>
        <w:pStyle w:val="B3"/>
      </w:pPr>
      <w:r w:rsidRPr="00FA0D37">
        <w:t>3&gt;</w:t>
      </w:r>
      <w:r w:rsidRPr="00FA0D37">
        <w:tab/>
        <w:t>perform actions specified in 5.3.13.8;</w:t>
      </w:r>
    </w:p>
    <w:p w14:paraId="7C8222DE" w14:textId="68B65605" w:rsidR="000F77A6" w:rsidRPr="00D2384A" w:rsidRDefault="00D2384A" w:rsidP="00D2384A">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r>
        <w:rPr>
          <w:rFonts w:eastAsia="Malgun Gothic"/>
          <w:i/>
        </w:rPr>
        <w:t>Next Change</w:t>
      </w:r>
    </w:p>
    <w:p w14:paraId="7E1A53CA" w14:textId="52F81EE3" w:rsidR="00214323" w:rsidRPr="00FA0D37" w:rsidRDefault="004D393F" w:rsidP="00214323">
      <w:pPr>
        <w:pStyle w:val="2"/>
      </w:pPr>
      <w:bookmarkStart w:id="177" w:name="_Toc146781085"/>
      <w:r w:rsidRPr="00FA0D37">
        <w:t>5.9</w:t>
      </w:r>
      <w:r w:rsidR="00214323" w:rsidRPr="00FA0D37">
        <w:tab/>
        <w:t>MBS Broadcast</w:t>
      </w:r>
      <w:bookmarkEnd w:id="177"/>
    </w:p>
    <w:p w14:paraId="6B60AA59" w14:textId="2F91A557" w:rsidR="00214323" w:rsidRPr="00FA0D37" w:rsidRDefault="004D393F" w:rsidP="00214323">
      <w:pPr>
        <w:pStyle w:val="3"/>
        <w:rPr>
          <w:lang w:eastAsia="zh-CN"/>
        </w:rPr>
      </w:pPr>
      <w:bookmarkStart w:id="178" w:name="_Toc146781100"/>
      <w:r w:rsidRPr="00FA0D37">
        <w:rPr>
          <w:lang w:eastAsia="zh-CN"/>
        </w:rPr>
        <w:t>5.9</w:t>
      </w:r>
      <w:r w:rsidR="00214323" w:rsidRPr="00FA0D37">
        <w:rPr>
          <w:lang w:eastAsia="zh-CN"/>
        </w:rPr>
        <w:t>.4</w:t>
      </w:r>
      <w:r w:rsidR="00214323" w:rsidRPr="00FA0D37">
        <w:rPr>
          <w:lang w:eastAsia="zh-CN"/>
        </w:rPr>
        <w:tab/>
        <w:t>MBS Interest Indication</w:t>
      </w:r>
      <w:bookmarkEnd w:id="178"/>
    </w:p>
    <w:p w14:paraId="7673FFF4" w14:textId="0874F3E2" w:rsidR="00214323" w:rsidRPr="00FA0D37" w:rsidRDefault="004D393F" w:rsidP="00214323">
      <w:pPr>
        <w:pStyle w:val="4"/>
        <w:rPr>
          <w:lang w:eastAsia="zh-CN"/>
        </w:rPr>
      </w:pPr>
      <w:bookmarkStart w:id="179" w:name="_Toc146781101"/>
      <w:r w:rsidRPr="00FA0D37">
        <w:rPr>
          <w:lang w:eastAsia="zh-CN"/>
        </w:rPr>
        <w:t>5.9</w:t>
      </w:r>
      <w:r w:rsidR="00214323" w:rsidRPr="00FA0D37">
        <w:rPr>
          <w:lang w:eastAsia="zh-CN"/>
        </w:rPr>
        <w:t>.4.1</w:t>
      </w:r>
      <w:r w:rsidR="00214323" w:rsidRPr="00FA0D37">
        <w:rPr>
          <w:lang w:eastAsia="zh-CN"/>
        </w:rPr>
        <w:tab/>
        <w:t>General</w:t>
      </w:r>
      <w:bookmarkEnd w:id="179"/>
    </w:p>
    <w:p w14:paraId="5B2F3BEF" w14:textId="2EBAA6D8" w:rsidR="00214323" w:rsidRPr="00FA0D37" w:rsidRDefault="00FD05B6" w:rsidP="00103DA3">
      <w:pPr>
        <w:pStyle w:val="TH"/>
      </w:pPr>
      <w:del w:id="180" w:author="Huawei, HiSilicon" w:date="2023-12-06T15:09:00Z">
        <w:r w:rsidRPr="00FA0D37" w:rsidDel="00103DA3">
          <w:object w:dxaOrig="3735" w:dyaOrig="2055" w14:anchorId="1BB19EF7">
            <v:shape id="_x0000_i1028" type="#_x0000_t75" style="width:186.85pt;height:100.25pt" o:ole="">
              <v:imagedata r:id="rId20" o:title=""/>
            </v:shape>
            <o:OLEObject Type="Embed" ProgID="Mscgen.Chart" ShapeID="_x0000_i1028" DrawAspect="Content" ObjectID="_1763391805" r:id="rId21"/>
          </w:object>
        </w:r>
      </w:del>
      <w:bookmarkStart w:id="181" w:name="_Hlk152767400"/>
      <w:ins w:id="182" w:author="Huawei, HiSilicon" w:date="2023-12-06T15:09:00Z">
        <w:r w:rsidR="00103DA3">
          <w:rPr>
            <w:rFonts w:ascii="Times New Roman" w:eastAsiaTheme="minorEastAsia" w:hAnsi="Times New Roman"/>
            <w:noProof/>
            <w:lang w:eastAsia="en-US"/>
          </w:rPr>
          <w:object w:dxaOrig="6075" w:dyaOrig="2010" w14:anchorId="53CE5C60">
            <v:shape id="_x0000_i1029" type="#_x0000_t75" alt="" style="width:303.9pt;height:100.25pt;mso-width-percent:0;mso-height-percent:0;mso-width-percent:0;mso-height-percent:0" o:ole="">
              <v:imagedata r:id="rId22" o:title=""/>
            </v:shape>
            <o:OLEObject Type="Embed" ProgID="Mscgen.Chart" ShapeID="_x0000_i1029" DrawAspect="Content" ObjectID="_1763391806" r:id="rId23"/>
          </w:object>
        </w:r>
      </w:ins>
      <w:bookmarkEnd w:id="181"/>
    </w:p>
    <w:p w14:paraId="3E1B2940" w14:textId="4B9542D0" w:rsidR="00214323" w:rsidRPr="00FA0D37" w:rsidRDefault="00214323" w:rsidP="00214323">
      <w:pPr>
        <w:pStyle w:val="TF"/>
        <w:rPr>
          <w:lang w:eastAsia="zh-CN"/>
        </w:rPr>
      </w:pPr>
      <w:r w:rsidRPr="00FA0D37">
        <w:rPr>
          <w:lang w:eastAsia="zh-CN"/>
        </w:rPr>
        <w:t xml:space="preserve">Figure </w:t>
      </w:r>
      <w:r w:rsidR="004D393F" w:rsidRPr="00FA0D37">
        <w:rPr>
          <w:lang w:eastAsia="zh-CN"/>
        </w:rPr>
        <w:t>5.9</w:t>
      </w:r>
      <w:r w:rsidRPr="00FA0D37">
        <w:rPr>
          <w:lang w:eastAsia="zh-CN"/>
        </w:rPr>
        <w:t>.4.1-1: MBS Interest Indication</w:t>
      </w:r>
    </w:p>
    <w:p w14:paraId="330A4588" w14:textId="2C065EC6" w:rsidR="00214323" w:rsidRPr="00FA0D37" w:rsidRDefault="00214323" w:rsidP="00214323">
      <w:pPr>
        <w:rPr>
          <w:lang w:eastAsia="zh-CN"/>
        </w:rPr>
      </w:pPr>
      <w:r w:rsidRPr="00FA0D37">
        <w:rPr>
          <w:lang w:eastAsia="zh-CN"/>
        </w:rPr>
        <w:t xml:space="preserve">The purpose of this procedure is to inform the network that the UE in RRC_CONNECTED is receiving or is interested to receive MBS broadcast service(s) and to inform the network about the priority of MBS broadcast versus unicast </w:t>
      </w:r>
      <w:r w:rsidR="00B536F1" w:rsidRPr="00FA0D37">
        <w:rPr>
          <w:rFonts w:eastAsia="宋体"/>
          <w:lang w:eastAsia="zh-CN"/>
        </w:rPr>
        <w:t>and multicast MRB</w:t>
      </w:r>
      <w:r w:rsidR="00B536F1" w:rsidRPr="00FA0D37">
        <w:rPr>
          <w:lang w:eastAsia="zh-CN"/>
        </w:rPr>
        <w:t xml:space="preserve"> </w:t>
      </w:r>
      <w:r w:rsidRPr="00FA0D37">
        <w:rPr>
          <w:lang w:eastAsia="zh-CN"/>
        </w:rPr>
        <w:t>reception. MBS Interest Indication can only be sent after AS security activation.</w:t>
      </w:r>
    </w:p>
    <w:p w14:paraId="2C1A3E9C" w14:textId="259FA2BE" w:rsidR="00214323" w:rsidRPr="00FA0D37" w:rsidRDefault="004D393F" w:rsidP="00214323">
      <w:pPr>
        <w:pStyle w:val="4"/>
      </w:pPr>
      <w:bookmarkStart w:id="183" w:name="_Toc46480846"/>
      <w:bookmarkStart w:id="184" w:name="_Toc46483314"/>
      <w:bookmarkStart w:id="185" w:name="_Toc37082214"/>
      <w:bookmarkStart w:id="186" w:name="_Toc67997120"/>
      <w:bookmarkStart w:id="187" w:name="_Toc36566786"/>
      <w:bookmarkStart w:id="188" w:name="_Toc36939234"/>
      <w:bookmarkStart w:id="189" w:name="_Toc46482080"/>
      <w:bookmarkStart w:id="190" w:name="_Toc36810217"/>
      <w:bookmarkStart w:id="191" w:name="_Toc29343526"/>
      <w:bookmarkStart w:id="192" w:name="_Toc36846581"/>
      <w:bookmarkStart w:id="193" w:name="_Toc29342387"/>
      <w:bookmarkStart w:id="194" w:name="_Toc20487095"/>
      <w:bookmarkStart w:id="195" w:name="_Toc146781102"/>
      <w:r w:rsidRPr="00FA0D37">
        <w:t>5.9</w:t>
      </w:r>
      <w:r w:rsidR="00214323" w:rsidRPr="00FA0D37">
        <w:t>.4.2</w:t>
      </w:r>
      <w:r w:rsidR="00214323" w:rsidRPr="00FA0D37">
        <w:tab/>
        <w:t>Initiation</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05E0B61A" w14:textId="23F86582" w:rsidR="00214323" w:rsidRPr="00FA0D37" w:rsidRDefault="00214323" w:rsidP="00214323">
      <w:r w:rsidRPr="00FA0D37">
        <w:t>An MBS capable UE in RRC_CONNECTED may initiate the procedure in several cases including upon successful connection establishment</w:t>
      </w:r>
      <w:r w:rsidR="00B536F1" w:rsidRPr="00FA0D37">
        <w:t>/resume</w:t>
      </w:r>
      <w:r w:rsidRPr="00FA0D37">
        <w:t>, upon entering or leaving the broadcast service area, upon MBS broadcast session start or stop, upon change of interest, upon change of priority between MBS broadcast reception and unicast</w:t>
      </w:r>
      <w:r w:rsidR="00B536F1" w:rsidRPr="00FA0D37">
        <w:t>/multicast</w:t>
      </w:r>
      <w:r w:rsidRPr="00FA0D37">
        <w:t xml:space="preserve"> reception, upon change to a PCell </w:t>
      </w:r>
      <w:r w:rsidR="00FD05B6" w:rsidRPr="00FA0D37">
        <w:t xml:space="preserve">providing </w:t>
      </w:r>
      <w:r w:rsidR="00FD05B6" w:rsidRPr="00FA0D37">
        <w:rPr>
          <w:i/>
        </w:rPr>
        <w:t>SIB21</w:t>
      </w:r>
      <w:r w:rsidR="00FD05B6" w:rsidRPr="00FA0D37">
        <w:t xml:space="preserve"> (i.e. where the </w:t>
      </w:r>
      <w:r w:rsidR="00FD05B6" w:rsidRPr="00FA0D37">
        <w:rPr>
          <w:i/>
        </w:rPr>
        <w:t>SIB1</w:t>
      </w:r>
      <w:r w:rsidR="00FD05B6" w:rsidRPr="00FA0D37">
        <w:t xml:space="preserve"> scheduling information contains </w:t>
      </w:r>
      <w:r w:rsidR="00FD05B6" w:rsidRPr="00FA0D37">
        <w:rPr>
          <w:i/>
        </w:rPr>
        <w:t>SIB21</w:t>
      </w:r>
      <w:r w:rsidR="00FD05B6" w:rsidRPr="00FA0D37">
        <w:t>)</w:t>
      </w:r>
      <w:r w:rsidR="00B536F1" w:rsidRPr="00FA0D37">
        <w:rPr>
          <w:lang w:eastAsia="zh-CN"/>
        </w:rPr>
        <w:t xml:space="preserve">, upon receiving </w:t>
      </w:r>
      <w:r w:rsidR="00B536F1" w:rsidRPr="00FA0D37">
        <w:rPr>
          <w:i/>
          <w:lang w:eastAsia="zh-CN"/>
        </w:rPr>
        <w:t>SIB20</w:t>
      </w:r>
      <w:r w:rsidR="00B536F1" w:rsidRPr="00FA0D37">
        <w:rPr>
          <w:lang w:eastAsia="zh-CN"/>
        </w:rPr>
        <w:t xml:space="preserve"> of an SCell via dedicated signalling, upon handover</w:t>
      </w:r>
      <w:r w:rsidR="002A4990" w:rsidRPr="00FA0D37">
        <w:rPr>
          <w:lang w:eastAsia="zh-CN"/>
        </w:rPr>
        <w:t>, and upon RRC connection re-establishment</w:t>
      </w:r>
      <w:ins w:id="196" w:author="Huawei, HiSilicon" w:date="2023-12-06T15:09:00Z">
        <w:r w:rsidR="00103DA3">
          <w:rPr>
            <w:lang w:eastAsia="zh-CN"/>
          </w:rPr>
          <w:t xml:space="preserve">, </w:t>
        </w:r>
        <w:r w:rsidR="00103DA3">
          <w:rPr>
            <w:bCs/>
          </w:rPr>
          <w:t xml:space="preserve">upon change to a PCell providing </w:t>
        </w:r>
        <w:r w:rsidR="00103DA3">
          <w:rPr>
            <w:bCs/>
            <w:i/>
          </w:rPr>
          <w:t>nonServingCellMII</w:t>
        </w:r>
        <w:r w:rsidR="00103DA3">
          <w:rPr>
            <w:bCs/>
          </w:rPr>
          <w:t xml:space="preserve"> in </w:t>
        </w:r>
        <w:r w:rsidR="00103DA3">
          <w:rPr>
            <w:bCs/>
            <w:i/>
          </w:rPr>
          <w:t>SIB1</w:t>
        </w:r>
        <w:r w:rsidR="00103DA3">
          <w:rPr>
            <w:lang w:eastAsia="zh-CN"/>
          </w:rPr>
          <w:t xml:space="preserve">, upon starting or stopping reception of MBS broadcast service on a non-serving cell, </w:t>
        </w:r>
        <w:r w:rsidR="00103DA3">
          <w:t xml:space="preserve">upon change of CFR information or subcarrier spacing for MBS broadcast reception on a non-serving cell. If the UE does not have the CFR information and subcarrier spacing for MBS broadcast reception on a </w:t>
        </w:r>
        <w:r w:rsidR="00103DA3">
          <w:lastRenderedPageBreak/>
          <w:t>non-serving cell at the time it sends the MBS Interest Indication, the UE sends an MBS Interest Indication after it has acquired those information from the non-serving cell</w:t>
        </w:r>
      </w:ins>
      <w:r w:rsidRPr="00FA0D37">
        <w:t>.</w:t>
      </w:r>
    </w:p>
    <w:p w14:paraId="18B6A53E" w14:textId="77777777" w:rsidR="00214323" w:rsidRPr="00FA0D37" w:rsidRDefault="00214323" w:rsidP="00214323">
      <w:r w:rsidRPr="00FA0D37">
        <w:t>Upon initiating the procedure, the UE shall:</w:t>
      </w:r>
    </w:p>
    <w:p w14:paraId="6C2030AF" w14:textId="77777777" w:rsidR="00103DA3" w:rsidRDefault="00103DA3" w:rsidP="00103DA3">
      <w:pPr>
        <w:pStyle w:val="B1"/>
        <w:rPr>
          <w:lang w:eastAsia="en-US"/>
        </w:rPr>
      </w:pPr>
      <w:r>
        <w:t>1&gt;</w:t>
      </w:r>
      <w:r>
        <w:tab/>
        <w:t xml:space="preserve">if </w:t>
      </w:r>
      <w:r>
        <w:rPr>
          <w:i/>
        </w:rPr>
        <w:t>SIB21</w:t>
      </w:r>
      <w:r>
        <w:t xml:space="preserve"> is provided by the PCell</w:t>
      </w:r>
      <w:ins w:id="197" w:author="Huawei, HiSilicon" w:date="2023-11-02T14:40:00Z">
        <w:r>
          <w:t>; or</w:t>
        </w:r>
      </w:ins>
    </w:p>
    <w:p w14:paraId="29F89B64" w14:textId="77777777" w:rsidR="00103DA3" w:rsidRDefault="00103DA3" w:rsidP="00103DA3">
      <w:pPr>
        <w:pStyle w:val="B1"/>
        <w:rPr>
          <w:ins w:id="198" w:author="Huawei, HiSilicon" w:date="2023-11-02T14:40:00Z"/>
        </w:rPr>
      </w:pPr>
      <w:ins w:id="199" w:author="Huawei, HiSilicon" w:date="2023-11-02T14:40:00Z">
        <w:r>
          <w:t>1&gt;</w:t>
        </w:r>
        <w:r>
          <w:tab/>
          <w:t xml:space="preserve">if </w:t>
        </w:r>
        <w:r>
          <w:rPr>
            <w:i/>
          </w:rPr>
          <w:t>nonServingCellMII</w:t>
        </w:r>
        <w:r>
          <w:t xml:space="preserve"> is provided in </w:t>
        </w:r>
        <w:r>
          <w:rPr>
            <w:i/>
          </w:rPr>
          <w:t xml:space="preserve">SIB1 </w:t>
        </w:r>
        <w:r>
          <w:t>by the PCell:</w:t>
        </w:r>
      </w:ins>
    </w:p>
    <w:p w14:paraId="416E21DF" w14:textId="77777777" w:rsidR="00103DA3" w:rsidRDefault="00103DA3" w:rsidP="00103DA3">
      <w:pPr>
        <w:pStyle w:val="B2"/>
      </w:pPr>
      <w:r>
        <w:t>2&gt;</w:t>
      </w:r>
      <w:r>
        <w:tab/>
        <w:t xml:space="preserve">ensure having a valid version of </w:t>
      </w:r>
      <w:r>
        <w:rPr>
          <w:i/>
          <w:iCs/>
        </w:rPr>
        <w:t>SIB21</w:t>
      </w:r>
      <w:r>
        <w:t xml:space="preserve"> for the PCell</w:t>
      </w:r>
      <w:ins w:id="200" w:author="Huawei, HiSilicon" w:date="2023-11-02T14:40:00Z">
        <w:r>
          <w:t>, if present</w:t>
        </w:r>
      </w:ins>
      <w:r>
        <w:t>;</w:t>
      </w:r>
    </w:p>
    <w:p w14:paraId="391639FC" w14:textId="77777777" w:rsidR="00103DA3" w:rsidRDefault="00103DA3" w:rsidP="00103DA3">
      <w:pPr>
        <w:pStyle w:val="B2"/>
      </w:pPr>
      <w:r>
        <w:t>2&gt;</w:t>
      </w:r>
      <w:r>
        <w:tab/>
        <w:t>if the UE did not transmit MBS Interest Indication since last entering RRC_CONNECTED state; or</w:t>
      </w:r>
    </w:p>
    <w:p w14:paraId="24BB4773" w14:textId="77777777" w:rsidR="00103DA3" w:rsidRDefault="00103DA3" w:rsidP="00103DA3">
      <w:pPr>
        <w:pStyle w:val="B2"/>
      </w:pPr>
      <w:r>
        <w:t>2&gt;</w:t>
      </w:r>
      <w:r>
        <w:tab/>
        <w:t xml:space="preserve">if since the last time the UE transmitted an MBS Interest Indication, the UE connected to a PCell </w:t>
      </w:r>
      <w:del w:id="201" w:author="Huawei, HiSilicon" w:date="2023-11-02T14:40:00Z">
        <w:r>
          <w:delText>not</w:delText>
        </w:r>
      </w:del>
      <w:ins w:id="202" w:author="Huawei, HiSilicon" w:date="2023-11-02T14:40:00Z">
        <w:r>
          <w:t>neither</w:t>
        </w:r>
      </w:ins>
      <w:r>
        <w:t xml:space="preserve"> </w:t>
      </w:r>
      <w:r>
        <w:rPr>
          <w:lang w:eastAsia="zh-CN"/>
        </w:rPr>
        <w:t xml:space="preserve">providing </w:t>
      </w:r>
      <w:r>
        <w:rPr>
          <w:i/>
        </w:rPr>
        <w:t>SIB21</w:t>
      </w:r>
      <w:ins w:id="203" w:author="Huawei, HiSilicon" w:date="2023-11-02T14:40:00Z">
        <w:r>
          <w:t xml:space="preserve"> nor including </w:t>
        </w:r>
        <w:r>
          <w:rPr>
            <w:i/>
          </w:rPr>
          <w:t>nonServingCellMII</w:t>
        </w:r>
        <w:r>
          <w:t xml:space="preserve"> in </w:t>
        </w:r>
        <w:r>
          <w:rPr>
            <w:i/>
          </w:rPr>
          <w:t>SIB1</w:t>
        </w:r>
      </w:ins>
      <w:r>
        <w:t>:</w:t>
      </w:r>
    </w:p>
    <w:p w14:paraId="3FB0C485" w14:textId="77777777" w:rsidR="00103DA3" w:rsidRDefault="00103DA3" w:rsidP="00103DA3">
      <w:pPr>
        <w:pStyle w:val="B3"/>
      </w:pPr>
      <w:r>
        <w:t>3&gt;</w:t>
      </w:r>
      <w:r>
        <w:tab/>
        <w:t>if the set of MBS broadcast frequencies of interest, determined in accordance with 5.9.4.3, is not empty:</w:t>
      </w:r>
    </w:p>
    <w:p w14:paraId="7B6FEF90" w14:textId="77777777" w:rsidR="00103DA3" w:rsidRDefault="00103DA3" w:rsidP="00103DA3">
      <w:pPr>
        <w:pStyle w:val="B4"/>
      </w:pPr>
      <w:r>
        <w:t>4&gt;</w:t>
      </w:r>
      <w:r>
        <w:tab/>
        <w:t xml:space="preserve">set the contents of MBS Interest Indication according to 5.9.4.5 and initiate transmission of the </w:t>
      </w:r>
      <w:r>
        <w:rPr>
          <w:i/>
        </w:rPr>
        <w:t>MBSInterestIndication</w:t>
      </w:r>
      <w:r>
        <w:t xml:space="preserve"> message;</w:t>
      </w:r>
    </w:p>
    <w:p w14:paraId="104671EF" w14:textId="77777777" w:rsidR="00103DA3" w:rsidRDefault="00103DA3" w:rsidP="00103DA3">
      <w:pPr>
        <w:pStyle w:val="B2"/>
      </w:pPr>
      <w:r>
        <w:t>2&gt;</w:t>
      </w:r>
      <w:r>
        <w:tab/>
        <w:t>else:</w:t>
      </w:r>
    </w:p>
    <w:p w14:paraId="798D92CC" w14:textId="77777777" w:rsidR="00103DA3" w:rsidRDefault="00103DA3" w:rsidP="00103DA3">
      <w:pPr>
        <w:pStyle w:val="B3"/>
      </w:pPr>
      <w:r>
        <w:t>3&gt;</w:t>
      </w:r>
      <w:r>
        <w:tab/>
        <w:t xml:space="preserve">if the set of MBS broadcast frequencies of interest, determined in accordance with 5.9.4.3, is different from </w:t>
      </w:r>
      <w:r>
        <w:rPr>
          <w:i/>
        </w:rPr>
        <w:t>mbs-FreqList</w:t>
      </w:r>
      <w:r>
        <w:t xml:space="preserve"> </w:t>
      </w:r>
      <w:r>
        <w:rPr>
          <w:lang w:eastAsia="zh-CN"/>
        </w:rPr>
        <w:t>included in the last transmission of the MBS Interest Indication</w:t>
      </w:r>
      <w:r>
        <w:t>; or</w:t>
      </w:r>
    </w:p>
    <w:p w14:paraId="4745860F" w14:textId="77777777" w:rsidR="00103DA3" w:rsidRDefault="00103DA3" w:rsidP="00103DA3">
      <w:pPr>
        <w:pStyle w:val="B3"/>
        <w:rPr>
          <w:ins w:id="204" w:author="Huawei, HiSilicon" w:date="2023-11-02T14:40:00Z"/>
        </w:rPr>
      </w:pPr>
      <w:ins w:id="205" w:author="Huawei, HiSilicon" w:date="2023-11-02T14:40:00Z">
        <w:r>
          <w:t xml:space="preserve">3&gt; if the set of MBS broadcast frequencies of interest for MBS broadcast reception on non-serving cell, determined in accordance with 5.9.4.3, is different from the list of MBS broadcast frequencies of interest for MBS broadcast reception on non-serving cell </w:t>
        </w:r>
        <w:r>
          <w:rPr>
            <w:lang w:eastAsia="zh-CN"/>
          </w:rPr>
          <w:t>included in the last transmission of the MBS Interest Indication</w:t>
        </w:r>
        <w:r>
          <w:t>; or</w:t>
        </w:r>
      </w:ins>
    </w:p>
    <w:p w14:paraId="5134C14B" w14:textId="77777777" w:rsidR="00103DA3" w:rsidRDefault="00103DA3" w:rsidP="00103DA3">
      <w:pPr>
        <w:pStyle w:val="B3"/>
        <w:rPr>
          <w:ins w:id="206" w:author="Huawei, HiSilicon" w:date="2023-11-02T14:40:00Z"/>
        </w:rPr>
      </w:pPr>
      <w:ins w:id="207" w:author="Huawei, HiSilicon" w:date="2023-11-02T14:40:00Z">
        <w:r>
          <w:t>3&gt;</w:t>
        </w:r>
        <w:r>
          <w:tab/>
          <w:t>if any of the subcarrier spacing and the CFR information for MBS broadcast reception on non-serving cell has changed since the last transmission of the MBS Interest Indication; or</w:t>
        </w:r>
      </w:ins>
    </w:p>
    <w:p w14:paraId="6FE83DE6" w14:textId="77777777" w:rsidR="00103DA3" w:rsidRDefault="00103DA3" w:rsidP="00103DA3">
      <w:pPr>
        <w:pStyle w:val="B3"/>
        <w:rPr>
          <w:ins w:id="208" w:author="Huawei, HiSilicon" w:date="2023-11-02T14:40:00Z"/>
        </w:rPr>
      </w:pPr>
      <w:ins w:id="209" w:author="Huawei, HiSilicon" w:date="2023-11-02T14:40:00Z">
        <w:r>
          <w:t xml:space="preserve">3&gt; if the subcarrier spacing and the CFR information for MBS broadcast reception on non-serving cell have been acquired from the non-serving cell which were not reported in the previous </w:t>
        </w:r>
        <w:r>
          <w:rPr>
            <w:lang w:eastAsia="zh-CN"/>
          </w:rPr>
          <w:t>MBS Interest Indication</w:t>
        </w:r>
        <w:r>
          <w:t>; or</w:t>
        </w:r>
      </w:ins>
    </w:p>
    <w:p w14:paraId="34BBAF9B" w14:textId="55902D1E" w:rsidR="00214323" w:rsidRPr="00FA0D37" w:rsidRDefault="00214323" w:rsidP="00214323">
      <w:pPr>
        <w:pStyle w:val="B3"/>
      </w:pPr>
      <w:r w:rsidRPr="00FA0D37">
        <w:t>3&gt;</w:t>
      </w:r>
      <w:r w:rsidRPr="00FA0D37">
        <w:tab/>
        <w:t xml:space="preserve">if the prioritisation of reception of all indicated MBS broadcast frequencies compared to reception of any of the established unicast bearers </w:t>
      </w:r>
      <w:r w:rsidR="00B536F1" w:rsidRPr="00FA0D37">
        <w:t xml:space="preserve">and multicast MRBs </w:t>
      </w:r>
      <w:r w:rsidRPr="00FA0D37">
        <w:t>has changed since the last transmission of the MBS Interest Indication:</w:t>
      </w:r>
    </w:p>
    <w:p w14:paraId="1F4C9864" w14:textId="3587279F" w:rsidR="00214323" w:rsidRPr="00FA0D37" w:rsidRDefault="00214323" w:rsidP="00214323">
      <w:pPr>
        <w:pStyle w:val="B4"/>
      </w:pPr>
      <w:r w:rsidRPr="00FA0D37">
        <w:t>4&gt;</w:t>
      </w:r>
      <w:r w:rsidRPr="00FA0D37">
        <w:tab/>
        <w:t xml:space="preserve">set the contents of MBS Interest Indication according to </w:t>
      </w:r>
      <w:r w:rsidR="004D393F" w:rsidRPr="00FA0D37">
        <w:t>5.9</w:t>
      </w:r>
      <w:r w:rsidRPr="00FA0D37">
        <w:t xml:space="preserve">.4.5 and initiate transmission of the </w:t>
      </w:r>
      <w:r w:rsidRPr="00FA0D37">
        <w:rPr>
          <w:i/>
        </w:rPr>
        <w:t>MBSInterestIndication</w:t>
      </w:r>
      <w:r w:rsidRPr="00FA0D37">
        <w:t xml:space="preserve"> message;</w:t>
      </w:r>
    </w:p>
    <w:p w14:paraId="587EE7F4" w14:textId="0B6E9AB0" w:rsidR="00214323" w:rsidRPr="00FA0D37" w:rsidRDefault="00214323" w:rsidP="00214323">
      <w:pPr>
        <w:pStyle w:val="NO"/>
        <w:rPr>
          <w:lang w:eastAsia="zh-CN"/>
        </w:rPr>
      </w:pPr>
      <w:r w:rsidRPr="00FA0D37">
        <w:t>NOTE:</w:t>
      </w:r>
      <w:r w:rsidRPr="00FA0D37">
        <w:tab/>
        <w:t>The UE may send MBS Interest Indication even when it is able to receive the MBS services it is interested in</w:t>
      </w:r>
      <w:r w:rsidR="00B15C49" w:rsidRPr="00FA0D37">
        <w:t>,</w:t>
      </w:r>
      <w:r w:rsidRPr="00FA0D37">
        <w:t xml:space="preserve"> i.e. to avoid that the network allocates a configuration inhibiting MBS broadcast reception.</w:t>
      </w:r>
    </w:p>
    <w:p w14:paraId="17955B40" w14:textId="607EBD3E" w:rsidR="00214323" w:rsidRPr="00FA0D37" w:rsidRDefault="00214323" w:rsidP="00214323">
      <w:pPr>
        <w:pStyle w:val="B3"/>
        <w:rPr>
          <w:lang w:eastAsia="zh-CN"/>
        </w:rPr>
      </w:pPr>
      <w:r w:rsidRPr="00FA0D37">
        <w:rPr>
          <w:lang w:eastAsia="zh-CN"/>
        </w:rPr>
        <w:t>3&gt;</w:t>
      </w:r>
      <w:r w:rsidRPr="00FA0D37">
        <w:rPr>
          <w:lang w:eastAsia="zh-CN"/>
        </w:rPr>
        <w:tab/>
        <w:t xml:space="preserve">else if </w:t>
      </w:r>
      <w:r w:rsidR="004D393F" w:rsidRPr="00FA0D37">
        <w:rPr>
          <w:i/>
          <w:lang w:eastAsia="zh-CN"/>
        </w:rPr>
        <w:t>SIB20</w:t>
      </w:r>
      <w:r w:rsidRPr="00FA0D37">
        <w:rPr>
          <w:lang w:eastAsia="zh-CN"/>
        </w:rPr>
        <w:t xml:space="preserve"> is </w:t>
      </w:r>
      <w:r w:rsidRPr="00FA0D37">
        <w:t xml:space="preserve">provided </w:t>
      </w:r>
      <w:r w:rsidR="00B536F1" w:rsidRPr="00FA0D37">
        <w:rPr>
          <w:lang w:eastAsia="zh-CN"/>
        </w:rPr>
        <w:t>for</w:t>
      </w:r>
      <w:r w:rsidRPr="00FA0D37">
        <w:rPr>
          <w:lang w:eastAsia="zh-CN"/>
        </w:rPr>
        <w:t xml:space="preserve"> the PCell</w:t>
      </w:r>
      <w:r w:rsidR="00B536F1" w:rsidRPr="00FA0D37">
        <w:rPr>
          <w:lang w:eastAsia="zh-CN"/>
        </w:rPr>
        <w:t xml:space="preserve"> or for the SCell</w:t>
      </w:r>
      <w:r w:rsidRPr="00FA0D37">
        <w:rPr>
          <w:lang w:eastAsia="zh-CN"/>
        </w:rPr>
        <w:t>:</w:t>
      </w:r>
    </w:p>
    <w:p w14:paraId="57DA7765" w14:textId="792EE543" w:rsidR="00214323" w:rsidRPr="00FA0D37" w:rsidRDefault="00214323" w:rsidP="00214323">
      <w:pPr>
        <w:pStyle w:val="B4"/>
        <w:rPr>
          <w:lang w:eastAsia="zh-CN"/>
        </w:rPr>
      </w:pPr>
      <w:r w:rsidRPr="00FA0D37">
        <w:rPr>
          <w:lang w:eastAsia="zh-CN"/>
        </w:rPr>
        <w:t>4&gt;</w:t>
      </w:r>
      <w:r w:rsidRPr="00FA0D37">
        <w:rPr>
          <w:lang w:eastAsia="zh-CN"/>
        </w:rPr>
        <w:tab/>
        <w:t xml:space="preserve">if since the last time the UE transmitted the </w:t>
      </w:r>
      <w:r w:rsidRPr="00FA0D37">
        <w:t>MBS Interest Indication</w:t>
      </w:r>
      <w:r w:rsidRPr="00FA0D37">
        <w:rPr>
          <w:lang w:eastAsia="zh-CN"/>
        </w:rPr>
        <w:t xml:space="preserve">, the UE connected to a PCell not </w:t>
      </w:r>
      <w:r w:rsidR="00B536F1" w:rsidRPr="00FA0D37">
        <w:rPr>
          <w:lang w:eastAsia="zh-CN"/>
        </w:rPr>
        <w:t xml:space="preserve">providing </w:t>
      </w:r>
      <w:r w:rsidR="004D393F" w:rsidRPr="00FA0D37">
        <w:rPr>
          <w:i/>
          <w:lang w:eastAsia="zh-CN"/>
        </w:rPr>
        <w:t>SIB20</w:t>
      </w:r>
      <w:r w:rsidR="00B536F1" w:rsidRPr="00FA0D37">
        <w:rPr>
          <w:lang w:eastAsia="zh-CN"/>
        </w:rPr>
        <w:t xml:space="preserve"> and the UE was not provided with </w:t>
      </w:r>
      <w:r w:rsidR="00B536F1" w:rsidRPr="00FA0D37">
        <w:rPr>
          <w:i/>
          <w:lang w:eastAsia="zh-CN"/>
        </w:rPr>
        <w:t>SIB20</w:t>
      </w:r>
      <w:r w:rsidR="00B536F1" w:rsidRPr="00FA0D37">
        <w:rPr>
          <w:lang w:eastAsia="zh-CN"/>
        </w:rPr>
        <w:t xml:space="preserve"> for an SCell</w:t>
      </w:r>
      <w:r w:rsidRPr="00FA0D37">
        <w:rPr>
          <w:lang w:eastAsia="zh-CN"/>
        </w:rPr>
        <w:t>; or</w:t>
      </w:r>
    </w:p>
    <w:p w14:paraId="73235307" w14:textId="20B8FAA7" w:rsidR="00214323" w:rsidRPr="00FA0D37" w:rsidRDefault="00214323" w:rsidP="00214323">
      <w:pPr>
        <w:pStyle w:val="B4"/>
        <w:rPr>
          <w:lang w:eastAsia="zh-CN"/>
        </w:rPr>
      </w:pPr>
      <w:r w:rsidRPr="00FA0D37">
        <w:rPr>
          <w:lang w:eastAsia="zh-CN"/>
        </w:rPr>
        <w:t>4&gt;</w:t>
      </w:r>
      <w:r w:rsidRPr="00FA0D37">
        <w:rPr>
          <w:lang w:eastAsia="zh-CN"/>
        </w:rPr>
        <w:tab/>
        <w:t xml:space="preserve">if the set of MBS broadcast services of interest determined in accordance with </w:t>
      </w:r>
      <w:r w:rsidR="004D393F" w:rsidRPr="00FA0D37">
        <w:rPr>
          <w:lang w:eastAsia="zh-CN"/>
        </w:rPr>
        <w:t>5.9</w:t>
      </w:r>
      <w:r w:rsidRPr="00FA0D37">
        <w:rPr>
          <w:lang w:eastAsia="zh-CN"/>
        </w:rPr>
        <w:t xml:space="preserve">.4.4 is different from </w:t>
      </w:r>
      <w:r w:rsidRPr="00FA0D37">
        <w:rPr>
          <w:i/>
        </w:rPr>
        <w:t>mbs-ServiceList</w:t>
      </w:r>
      <w:r w:rsidRPr="00FA0D37">
        <w:rPr>
          <w:lang w:eastAsia="zh-CN"/>
        </w:rPr>
        <w:t xml:space="preserve"> included in the last transmission of the MBS Interest Indication:</w:t>
      </w:r>
    </w:p>
    <w:p w14:paraId="2D351E9E" w14:textId="38133703" w:rsidR="00214323" w:rsidRPr="00FA0D37" w:rsidRDefault="00214323" w:rsidP="00214323">
      <w:pPr>
        <w:pStyle w:val="B5"/>
        <w:rPr>
          <w:lang w:eastAsia="zh-CN"/>
        </w:rPr>
      </w:pPr>
      <w:r w:rsidRPr="00FA0D37">
        <w:rPr>
          <w:lang w:eastAsia="zh-CN"/>
        </w:rPr>
        <w:t>5&gt;</w:t>
      </w:r>
      <w:r w:rsidRPr="00FA0D37">
        <w:rPr>
          <w:lang w:eastAsia="zh-CN"/>
        </w:rPr>
        <w:tab/>
      </w:r>
      <w:r w:rsidRPr="00FA0D37">
        <w:t xml:space="preserve">set the contents of MBS Interest Indication according to </w:t>
      </w:r>
      <w:r w:rsidR="004D393F" w:rsidRPr="00FA0D37">
        <w:t>5.9</w:t>
      </w:r>
      <w:r w:rsidRPr="00FA0D37">
        <w:t xml:space="preserve">.4.5 and </w:t>
      </w:r>
      <w:r w:rsidRPr="00FA0D37">
        <w:rPr>
          <w:lang w:eastAsia="zh-CN"/>
        </w:rPr>
        <w:t xml:space="preserve">initiate the transmission of </w:t>
      </w:r>
      <w:r w:rsidRPr="00FA0D37">
        <w:rPr>
          <w:i/>
          <w:lang w:eastAsia="zh-CN"/>
        </w:rPr>
        <w:t>MBSInterestIndication</w:t>
      </w:r>
      <w:r w:rsidRPr="00FA0D37">
        <w:rPr>
          <w:lang w:eastAsia="zh-CN"/>
        </w:rPr>
        <w:t xml:space="preserve"> message.</w:t>
      </w:r>
    </w:p>
    <w:p w14:paraId="69E45C9A" w14:textId="307DC3B8" w:rsidR="00214323" w:rsidRPr="00FA0D37" w:rsidRDefault="004D393F" w:rsidP="00214323">
      <w:pPr>
        <w:pStyle w:val="4"/>
      </w:pPr>
      <w:bookmarkStart w:id="210" w:name="_Toc146781103"/>
      <w:r w:rsidRPr="00FA0D37">
        <w:t>5.9</w:t>
      </w:r>
      <w:r w:rsidR="00214323" w:rsidRPr="00FA0D37">
        <w:t>.4.3</w:t>
      </w:r>
      <w:r w:rsidR="00214323" w:rsidRPr="00FA0D37">
        <w:tab/>
        <w:t>MBS frequencies of interest determination</w:t>
      </w:r>
      <w:bookmarkEnd w:id="210"/>
    </w:p>
    <w:p w14:paraId="78C16B8A" w14:textId="77777777" w:rsidR="00214323" w:rsidRPr="00FA0D37" w:rsidRDefault="00214323" w:rsidP="00214323">
      <w:r w:rsidRPr="00FA0D37">
        <w:t>The UE shall:</w:t>
      </w:r>
    </w:p>
    <w:p w14:paraId="2F47870B" w14:textId="77777777" w:rsidR="00214323" w:rsidRPr="00FA0D37" w:rsidRDefault="00214323" w:rsidP="00214323">
      <w:pPr>
        <w:pStyle w:val="B1"/>
      </w:pPr>
      <w:r w:rsidRPr="00FA0D37">
        <w:t>1&gt;</w:t>
      </w:r>
      <w:r w:rsidRPr="00FA0D37">
        <w:tab/>
        <w:t>consider a frequency to be part of the MBS frequencies of interest if the following conditions are met:</w:t>
      </w:r>
    </w:p>
    <w:p w14:paraId="661478DA" w14:textId="77777777" w:rsidR="00214323" w:rsidRPr="00FA0D37" w:rsidRDefault="00214323" w:rsidP="00214323">
      <w:pPr>
        <w:pStyle w:val="B2"/>
      </w:pPr>
      <w:r w:rsidRPr="00FA0D37">
        <w:t>2&gt;</w:t>
      </w:r>
      <w:r w:rsidRPr="00FA0D37">
        <w:tab/>
        <w:t>at least one MBS session the UE is receiving or interested to receive via a broadcast MRB is ongoing or about to start; and</w:t>
      </w:r>
    </w:p>
    <w:p w14:paraId="3A6D2474" w14:textId="118B4DF5" w:rsidR="00214323" w:rsidRPr="00FA0D37" w:rsidRDefault="00214323" w:rsidP="00214323">
      <w:pPr>
        <w:pStyle w:val="NO"/>
      </w:pPr>
      <w:r w:rsidRPr="00FA0D37">
        <w:lastRenderedPageBreak/>
        <w:t>NOTE 1:</w:t>
      </w:r>
      <w:r w:rsidRPr="00FA0D37">
        <w:tab/>
        <w:t xml:space="preserve">The UE may determine whether the session is ongoing from the start and stop time indicated in the User Service Description (USD), see TS 38.300 [2] or TS 23.247 </w:t>
      </w:r>
      <w:r w:rsidR="004D393F" w:rsidRPr="00FA0D37">
        <w:t>[67]</w:t>
      </w:r>
      <w:r w:rsidRPr="00FA0D37">
        <w:t>.</w:t>
      </w:r>
    </w:p>
    <w:p w14:paraId="081C4724" w14:textId="0C7D75E5" w:rsidR="00214323" w:rsidRPr="00FA0D37" w:rsidRDefault="00214323" w:rsidP="00214323">
      <w:pPr>
        <w:pStyle w:val="B2"/>
      </w:pPr>
      <w:r w:rsidRPr="00FA0D37">
        <w:t>2&gt;</w:t>
      </w:r>
      <w:r w:rsidRPr="00FA0D37">
        <w:tab/>
        <w:t>for at least one of these MBS sessions</w:t>
      </w:r>
      <w:r w:rsidR="00B536F1" w:rsidRPr="00FA0D37">
        <w:t>,</w:t>
      </w:r>
      <w:r w:rsidRPr="00FA0D37">
        <w:rPr>
          <w:i/>
        </w:rPr>
        <w:t xml:space="preserve"> </w:t>
      </w:r>
      <w:r w:rsidR="004D393F" w:rsidRPr="00FA0D37">
        <w:rPr>
          <w:i/>
        </w:rPr>
        <w:t>SIB21</w:t>
      </w:r>
      <w:r w:rsidRPr="00FA0D37">
        <w:t xml:space="preserve"> acquired from the PCell </w:t>
      </w:r>
      <w:ins w:id="211" w:author="Huawei, HiSilicon" w:date="2023-12-06T15:16:00Z">
        <w:r w:rsidR="00103DA3">
          <w:t>or a non-serving cell</w:t>
        </w:r>
        <w:r w:rsidR="00103DA3" w:rsidRPr="00FA0D37">
          <w:t xml:space="preserve"> </w:t>
        </w:r>
      </w:ins>
      <w:r w:rsidRPr="00FA0D37">
        <w:t xml:space="preserve">includes </w:t>
      </w:r>
      <w:r w:rsidR="00B536F1" w:rsidRPr="00FA0D37">
        <w:t>mapping between</w:t>
      </w:r>
      <w:r w:rsidRPr="00FA0D37">
        <w:t xml:space="preserve"> the concerned frequency </w:t>
      </w:r>
      <w:r w:rsidR="00B536F1" w:rsidRPr="00FA0D37">
        <w:t xml:space="preserve">and </w:t>
      </w:r>
      <w:r w:rsidRPr="00FA0D37">
        <w:t>one or more MBS FSAIs indicated in the USD for this session</w:t>
      </w:r>
      <w:r w:rsidR="00B536F1" w:rsidRPr="00FA0D37">
        <w:t xml:space="preserve">, or for at least one of these MBS sessions, the concerned frequency is not included in </w:t>
      </w:r>
      <w:r w:rsidR="00B536F1" w:rsidRPr="00FA0D37">
        <w:rPr>
          <w:i/>
        </w:rPr>
        <w:t>SIB21</w:t>
      </w:r>
      <w:r w:rsidR="00B536F1" w:rsidRPr="00FA0D37">
        <w:t xml:space="preserve"> but is indicated in the USD for this session</w:t>
      </w:r>
      <w:r w:rsidRPr="00FA0D37">
        <w:t>; and</w:t>
      </w:r>
    </w:p>
    <w:p w14:paraId="3FE1F11E" w14:textId="22297630" w:rsidR="00214323" w:rsidRPr="00FA0D37" w:rsidRDefault="00214323" w:rsidP="00214323">
      <w:pPr>
        <w:pStyle w:val="NO"/>
        <w:rPr>
          <w:rFonts w:eastAsia="宋体"/>
        </w:rPr>
      </w:pPr>
      <w:r w:rsidRPr="00FA0D37">
        <w:rPr>
          <w:rFonts w:eastAsia="宋体"/>
        </w:rPr>
        <w:t>NOTE 2:</w:t>
      </w:r>
      <w:r w:rsidRPr="00FA0D37">
        <w:rPr>
          <w:rFonts w:eastAsia="宋体"/>
        </w:rPr>
        <w:tab/>
        <w:t xml:space="preserve">The UE </w:t>
      </w:r>
      <w:r w:rsidRPr="00FA0D37">
        <w:t xml:space="preserve">considers a frequency to be part of the MBS frequencies of interest </w:t>
      </w:r>
      <w:r w:rsidRPr="00FA0D37">
        <w:rPr>
          <w:rFonts w:eastAsia="宋体"/>
        </w:rPr>
        <w:t>even though NG-RAN may (temporarily) not employ a broadcast MRB for the concerned session, i.e.</w:t>
      </w:r>
      <w:r w:rsidR="00B536F1" w:rsidRPr="00FA0D37">
        <w:rPr>
          <w:rFonts w:eastAsia="宋体"/>
        </w:rPr>
        <w:t>,</w:t>
      </w:r>
      <w:r w:rsidRPr="00FA0D37">
        <w:rPr>
          <w:rFonts w:eastAsia="宋体"/>
        </w:rPr>
        <w:t xml:space="preserve"> the UE does not verify if the session is indicated on MCCH.</w:t>
      </w:r>
    </w:p>
    <w:p w14:paraId="59EBD8D9" w14:textId="4C5F404E" w:rsidR="00214323" w:rsidRPr="00FA0D37" w:rsidRDefault="00214323" w:rsidP="00214323">
      <w:pPr>
        <w:pStyle w:val="B2"/>
      </w:pPr>
      <w:r w:rsidRPr="00FA0D37">
        <w:t>2&gt;</w:t>
      </w:r>
      <w:r w:rsidRPr="00FA0D37">
        <w:tab/>
        <w:t xml:space="preserve">the </w:t>
      </w:r>
      <w:r w:rsidRPr="00FA0D37">
        <w:rPr>
          <w:i/>
        </w:rPr>
        <w:t>supportedBandCombination</w:t>
      </w:r>
      <w:r w:rsidR="00FD05B6" w:rsidRPr="00FA0D37">
        <w:rPr>
          <w:i/>
        </w:rPr>
        <w:t>List</w:t>
      </w:r>
      <w:r w:rsidRPr="00FA0D37">
        <w:t xml:space="preserve"> the UE included in </w:t>
      </w:r>
      <w:r w:rsidRPr="00FA0D37">
        <w:rPr>
          <w:i/>
        </w:rPr>
        <w:t>UE-NR-Capability</w:t>
      </w:r>
      <w:r w:rsidRPr="00FA0D37">
        <w:t xml:space="preserve"> contains at least one band combination including the </w:t>
      </w:r>
      <w:r w:rsidR="00B536F1" w:rsidRPr="00FA0D37">
        <w:t>concerned</w:t>
      </w:r>
      <w:r w:rsidRPr="00FA0D37">
        <w:t xml:space="preserve"> MBS frequenc</w:t>
      </w:r>
      <w:r w:rsidR="00B536F1" w:rsidRPr="00FA0D37">
        <w:t>y.</w:t>
      </w:r>
    </w:p>
    <w:p w14:paraId="47EAEB93" w14:textId="4BD04683" w:rsidR="00214323" w:rsidRPr="00FA0D37" w:rsidRDefault="00214323" w:rsidP="00214323">
      <w:pPr>
        <w:pStyle w:val="NO"/>
        <w:rPr>
          <w:rFonts w:eastAsia="宋体"/>
        </w:rPr>
      </w:pPr>
      <w:r w:rsidRPr="00FA0D37">
        <w:rPr>
          <w:rFonts w:eastAsia="宋体"/>
        </w:rPr>
        <w:t>NOTE 3:</w:t>
      </w:r>
      <w:r w:rsidRPr="00FA0D37">
        <w:rPr>
          <w:rFonts w:eastAsia="宋体"/>
        </w:rPr>
        <w:tab/>
        <w:t xml:space="preserve">When evaluating </w:t>
      </w:r>
      <w:r w:rsidR="00B536F1" w:rsidRPr="00FA0D37">
        <w:rPr>
          <w:rFonts w:eastAsia="宋体"/>
        </w:rPr>
        <w:t xml:space="preserve">which frequencies </w:t>
      </w:r>
      <w:r w:rsidRPr="00FA0D37">
        <w:t>the UE is capable of receiving</w:t>
      </w:r>
      <w:r w:rsidRPr="00FA0D37">
        <w:rPr>
          <w:rFonts w:eastAsia="宋体"/>
        </w:rPr>
        <w:t xml:space="preserve">, the UE does not take into account </w:t>
      </w:r>
      <w:r w:rsidR="00B536F1" w:rsidRPr="00FA0D37">
        <w:rPr>
          <w:rFonts w:eastAsia="宋体"/>
        </w:rPr>
        <w:t>whether they are</w:t>
      </w:r>
      <w:r w:rsidRPr="00FA0D37">
        <w:rPr>
          <w:rFonts w:eastAsia="宋体"/>
        </w:rPr>
        <w:t xml:space="preserve"> currently configured </w:t>
      </w:r>
      <w:r w:rsidR="00B536F1" w:rsidRPr="00FA0D37">
        <w:rPr>
          <w:rFonts w:eastAsia="宋体"/>
        </w:rPr>
        <w:t>as serving frequencies</w:t>
      </w:r>
      <w:r w:rsidRPr="00FA0D37">
        <w:rPr>
          <w:rFonts w:eastAsia="宋体"/>
        </w:rPr>
        <w:t>.</w:t>
      </w:r>
    </w:p>
    <w:p w14:paraId="562F1F4C" w14:textId="106DC577" w:rsidR="00214323" w:rsidRPr="00FA0D37" w:rsidRDefault="004D393F" w:rsidP="00214323">
      <w:pPr>
        <w:pStyle w:val="4"/>
      </w:pPr>
      <w:bookmarkStart w:id="212" w:name="_MON_1400506224"/>
      <w:bookmarkStart w:id="213" w:name="_MON_1400506229"/>
      <w:bookmarkStart w:id="214" w:name="_MON_1398090240"/>
      <w:bookmarkStart w:id="215" w:name="_MON_1400506198"/>
      <w:bookmarkStart w:id="216" w:name="_MON_1401530775"/>
      <w:bookmarkStart w:id="217" w:name="_Toc146781105"/>
      <w:bookmarkEnd w:id="212"/>
      <w:bookmarkEnd w:id="213"/>
      <w:bookmarkEnd w:id="214"/>
      <w:bookmarkEnd w:id="215"/>
      <w:bookmarkEnd w:id="216"/>
      <w:r w:rsidRPr="00FA0D37">
        <w:t>5.9</w:t>
      </w:r>
      <w:r w:rsidR="00214323" w:rsidRPr="00FA0D37">
        <w:t>.4.5</w:t>
      </w:r>
      <w:r w:rsidR="00214323" w:rsidRPr="00FA0D37">
        <w:tab/>
        <w:t xml:space="preserve">Setting of the contents of </w:t>
      </w:r>
      <w:r w:rsidR="00214323" w:rsidRPr="00FA0D37">
        <w:rPr>
          <w:lang w:eastAsia="zh-CN"/>
        </w:rPr>
        <w:t>MBS Interest Indication</w:t>
      </w:r>
      <w:bookmarkEnd w:id="217"/>
    </w:p>
    <w:p w14:paraId="68D09C18" w14:textId="77777777" w:rsidR="00214323" w:rsidRPr="00FA0D37" w:rsidRDefault="00214323" w:rsidP="00214323">
      <w:r w:rsidRPr="00FA0D37">
        <w:t>The UE shall set the contents of the MBS Interest Indication as follows:</w:t>
      </w:r>
    </w:p>
    <w:p w14:paraId="0B87DA2C" w14:textId="77777777" w:rsidR="00103DA3" w:rsidRDefault="00103DA3" w:rsidP="00103DA3">
      <w:pPr>
        <w:pStyle w:val="B1"/>
        <w:rPr>
          <w:ins w:id="218" w:author="Huawei, HiSilicon" w:date="2023-12-06T15:16:00Z"/>
          <w:lang w:eastAsia="en-US"/>
        </w:rPr>
      </w:pPr>
      <w:ins w:id="219" w:author="Huawei, HiSilicon" w:date="2023-12-06T15:16:00Z">
        <w:r>
          <w:t>1&gt;</w:t>
        </w:r>
        <w:r>
          <w:tab/>
          <w:t xml:space="preserve">if the UE has a valid version of </w:t>
        </w:r>
        <w:r>
          <w:rPr>
            <w:i/>
            <w:iCs/>
          </w:rPr>
          <w:t>SIB21</w:t>
        </w:r>
        <w:r>
          <w:t xml:space="preserve"> for the PCell; and</w:t>
        </w:r>
      </w:ins>
    </w:p>
    <w:p w14:paraId="26013DBB" w14:textId="107C2E96" w:rsidR="00214323" w:rsidRPr="00FA0D37" w:rsidRDefault="00214323" w:rsidP="00103DA3">
      <w:pPr>
        <w:pStyle w:val="B1"/>
      </w:pPr>
      <w:r w:rsidRPr="00FA0D37">
        <w:t>1&gt;</w:t>
      </w:r>
      <w:r w:rsidRPr="00FA0D37">
        <w:tab/>
        <w:t xml:space="preserve">if the set of MBS frequencies of interest, determined in accordance with </w:t>
      </w:r>
      <w:r w:rsidR="004D393F" w:rsidRPr="00FA0D37">
        <w:t>5.9</w:t>
      </w:r>
      <w:r w:rsidRPr="00FA0D37">
        <w:t>.4.3, is not empty:</w:t>
      </w:r>
    </w:p>
    <w:p w14:paraId="18A9EFD3" w14:textId="4FD22790" w:rsidR="00214323" w:rsidRPr="00FA0D37" w:rsidRDefault="00214323" w:rsidP="00214323">
      <w:pPr>
        <w:pStyle w:val="B2"/>
      </w:pPr>
      <w:r w:rsidRPr="00FA0D37">
        <w:t>2&gt;</w:t>
      </w:r>
      <w:r w:rsidRPr="00FA0D37">
        <w:tab/>
        <w:t xml:space="preserve">include </w:t>
      </w:r>
      <w:r w:rsidRPr="00FA0D37">
        <w:rPr>
          <w:i/>
        </w:rPr>
        <w:t>mbs-FreqList</w:t>
      </w:r>
      <w:r w:rsidRPr="00FA0D37">
        <w:t xml:space="preserve"> and set it to include the MBS frequencies of interest sorted by decreasing order of interest, using the </w:t>
      </w:r>
      <w:r w:rsidRPr="00FA0D37">
        <w:rPr>
          <w:i/>
        </w:rPr>
        <w:t>absoluteFrequencySSB</w:t>
      </w:r>
      <w:r w:rsidRPr="00FA0D37">
        <w:rPr>
          <w:iCs/>
        </w:rPr>
        <w:t xml:space="preserve"> for serving frequency</w:t>
      </w:r>
      <w:r w:rsidRPr="00FA0D37">
        <w:t xml:space="preserve">, if applicable, and the </w:t>
      </w:r>
      <w:r w:rsidRPr="00FA0D37">
        <w:rPr>
          <w:i/>
        </w:rPr>
        <w:t>ARFCN-ValueNR</w:t>
      </w:r>
      <w:r w:rsidRPr="00FA0D37">
        <w:t xml:space="preserve">(s) as included in </w:t>
      </w:r>
      <w:r w:rsidR="004D393F" w:rsidRPr="00FA0D37">
        <w:rPr>
          <w:i/>
        </w:rPr>
        <w:t>SIB21</w:t>
      </w:r>
      <w:r w:rsidRPr="00FA0D37">
        <w:rPr>
          <w:iCs/>
        </w:rPr>
        <w:t xml:space="preserve"> </w:t>
      </w:r>
      <w:r w:rsidR="00B536F1" w:rsidRPr="00FA0D37">
        <w:rPr>
          <w:iCs/>
        </w:rPr>
        <w:t xml:space="preserve">or in USD </w:t>
      </w:r>
      <w:r w:rsidRPr="00FA0D37">
        <w:rPr>
          <w:iCs/>
        </w:rPr>
        <w:t>(for neighbouring frequencies)</w:t>
      </w:r>
      <w:r w:rsidRPr="00FA0D37">
        <w:t>;</w:t>
      </w:r>
    </w:p>
    <w:p w14:paraId="4A6230AB" w14:textId="77777777" w:rsidR="00214323" w:rsidRPr="00FA0D37" w:rsidRDefault="00214323" w:rsidP="00214323">
      <w:pPr>
        <w:pStyle w:val="B2"/>
      </w:pPr>
      <w:r w:rsidRPr="00FA0D37">
        <w:t>2&gt;</w:t>
      </w:r>
      <w:r w:rsidRPr="00FA0D37">
        <w:tab/>
        <w:t xml:space="preserve">include </w:t>
      </w:r>
      <w:r w:rsidRPr="00FA0D37">
        <w:rPr>
          <w:i/>
        </w:rPr>
        <w:t>mbs-Priority</w:t>
      </w:r>
      <w:r w:rsidRPr="00FA0D37">
        <w:t xml:space="preserve"> if the UE prioritises reception of all indicated MBS frequencies above reception of any of the unicast bearers and multicast MRBs;</w:t>
      </w:r>
    </w:p>
    <w:p w14:paraId="33F1E0BF" w14:textId="23F3DC18" w:rsidR="00214323" w:rsidRPr="00FA0D37" w:rsidRDefault="00214323" w:rsidP="00214323">
      <w:pPr>
        <w:pStyle w:val="NO"/>
        <w:rPr>
          <w:lang w:eastAsia="zh-CN"/>
        </w:rPr>
      </w:pPr>
      <w:r w:rsidRPr="00FA0D37">
        <w:t>NOTE</w:t>
      </w:r>
      <w:r w:rsidR="002C350C" w:rsidRPr="00FA0D37">
        <w:t xml:space="preserve"> 1</w:t>
      </w:r>
      <w:r w:rsidRPr="00FA0D37">
        <w:t>:</w:t>
      </w:r>
      <w:r w:rsidRPr="00FA0D37">
        <w:tab/>
        <w:t>If the UE prioritises MBS</w:t>
      </w:r>
      <w:r w:rsidR="00B536F1" w:rsidRPr="00FA0D37">
        <w:t xml:space="preserve"> broadcast</w:t>
      </w:r>
      <w:r w:rsidRPr="00FA0D37">
        <w:t xml:space="preserve"> reception and unicast</w:t>
      </w:r>
      <w:r w:rsidR="00B536F1" w:rsidRPr="00FA0D37">
        <w:t>/multicast</w:t>
      </w:r>
      <w:r w:rsidRPr="00FA0D37">
        <w:t xml:space="preserve"> data cannot be supported because of congestion on the MBS carrier(s), NG-RAN may for example initiate release of unicast bearers</w:t>
      </w:r>
      <w:r w:rsidR="00B536F1" w:rsidRPr="00FA0D37">
        <w:t>/multicast MRBs</w:t>
      </w:r>
      <w:r w:rsidRPr="00FA0D37">
        <w:t>.</w:t>
      </w:r>
    </w:p>
    <w:p w14:paraId="6147C3F2" w14:textId="102DFD37" w:rsidR="00214323" w:rsidRPr="00FA0D37" w:rsidRDefault="00214323" w:rsidP="00214323">
      <w:pPr>
        <w:pStyle w:val="B2"/>
        <w:rPr>
          <w:lang w:eastAsia="zh-CN"/>
        </w:rPr>
      </w:pPr>
      <w:r w:rsidRPr="00FA0D37">
        <w:rPr>
          <w:lang w:eastAsia="zh-CN"/>
        </w:rPr>
        <w:t>2&gt;</w:t>
      </w:r>
      <w:r w:rsidRPr="00FA0D37">
        <w:rPr>
          <w:lang w:eastAsia="zh-CN"/>
        </w:rPr>
        <w:tab/>
        <w:t xml:space="preserve">if </w:t>
      </w:r>
      <w:r w:rsidR="004D393F" w:rsidRPr="00FA0D37">
        <w:rPr>
          <w:i/>
          <w:lang w:eastAsia="zh-CN"/>
        </w:rPr>
        <w:t>SIB20</w:t>
      </w:r>
      <w:r w:rsidRPr="00FA0D37">
        <w:rPr>
          <w:lang w:eastAsia="zh-CN"/>
        </w:rPr>
        <w:t xml:space="preserve"> is </w:t>
      </w:r>
      <w:r w:rsidR="00B536F1" w:rsidRPr="00FA0D37">
        <w:rPr>
          <w:lang w:eastAsia="zh-CN"/>
        </w:rPr>
        <w:t>provided for</w:t>
      </w:r>
      <w:r w:rsidRPr="00FA0D37">
        <w:rPr>
          <w:lang w:eastAsia="zh-CN"/>
        </w:rPr>
        <w:t xml:space="preserve"> the PCell</w:t>
      </w:r>
      <w:r w:rsidR="00B536F1" w:rsidRPr="00FA0D37">
        <w:rPr>
          <w:lang w:eastAsia="zh-CN"/>
        </w:rPr>
        <w:t xml:space="preserve"> or for the SCell</w:t>
      </w:r>
      <w:r w:rsidRPr="00FA0D37">
        <w:rPr>
          <w:lang w:eastAsia="zh-CN"/>
        </w:rPr>
        <w:t>:</w:t>
      </w:r>
    </w:p>
    <w:p w14:paraId="64A723DF" w14:textId="1E2FDF54" w:rsidR="00214323" w:rsidRPr="00FA0D37" w:rsidRDefault="00214323" w:rsidP="000830BB">
      <w:pPr>
        <w:pStyle w:val="B3"/>
        <w:rPr>
          <w:lang w:eastAsia="zh-CN"/>
        </w:rPr>
      </w:pPr>
      <w:r w:rsidRPr="00FA0D37">
        <w:rPr>
          <w:lang w:eastAsia="zh-CN"/>
        </w:rPr>
        <w:t>3&gt;</w:t>
      </w:r>
      <w:r w:rsidRPr="00FA0D37">
        <w:rPr>
          <w:lang w:eastAsia="zh-CN"/>
        </w:rPr>
        <w:tab/>
        <w:t xml:space="preserve">include </w:t>
      </w:r>
      <w:r w:rsidRPr="00FA0D37">
        <w:rPr>
          <w:i/>
          <w:lang w:eastAsia="zh-CN"/>
        </w:rPr>
        <w:t>mbs-ServiceList</w:t>
      </w:r>
      <w:r w:rsidRPr="00FA0D37">
        <w:rPr>
          <w:lang w:eastAsia="zh-CN"/>
        </w:rPr>
        <w:t xml:space="preserve"> and set it to indicate the set of MBS services of interest </w:t>
      </w:r>
      <w:r w:rsidRPr="00FA0D37">
        <w:t xml:space="preserve">sorted by decreasing order of interest </w:t>
      </w:r>
      <w:r w:rsidRPr="00FA0D37">
        <w:rPr>
          <w:lang w:eastAsia="zh-CN"/>
        </w:rPr>
        <w:t xml:space="preserve">determined in accordance with </w:t>
      </w:r>
      <w:r w:rsidR="004D393F" w:rsidRPr="00FA0D37">
        <w:rPr>
          <w:lang w:eastAsia="zh-CN"/>
        </w:rPr>
        <w:t>5.9</w:t>
      </w:r>
      <w:r w:rsidRPr="00FA0D37">
        <w:rPr>
          <w:lang w:eastAsia="zh-CN"/>
        </w:rPr>
        <w:t>.4.4.</w:t>
      </w:r>
    </w:p>
    <w:p w14:paraId="2D974C9E" w14:textId="6E366057" w:rsidR="002C350C" w:rsidRDefault="002C350C" w:rsidP="00651E87">
      <w:pPr>
        <w:pStyle w:val="NO"/>
        <w:rPr>
          <w:ins w:id="220" w:author="Huawei, HiSilicon" w:date="2023-12-06T15:17:00Z"/>
        </w:rPr>
      </w:pPr>
      <w:r w:rsidRPr="00FA0D37">
        <w:t>NOTE 2:</w:t>
      </w:r>
      <w:r w:rsidRPr="00FA0D37">
        <w:tab/>
        <w:t xml:space="preserve">The </w:t>
      </w:r>
      <w:r w:rsidRPr="00FA0D37">
        <w:rPr>
          <w:i/>
        </w:rPr>
        <w:t>mbs-ServiceList</w:t>
      </w:r>
      <w:r w:rsidRPr="00FA0D37">
        <w:t xml:space="preserve"> is not required to be used by the NG-RAN to determine the frequency on which to enable MBS broadcast reception for the UE.</w:t>
      </w:r>
    </w:p>
    <w:p w14:paraId="791202C4" w14:textId="77777777" w:rsidR="00103DA3" w:rsidRDefault="00103DA3" w:rsidP="00103DA3">
      <w:pPr>
        <w:pStyle w:val="B1"/>
        <w:rPr>
          <w:ins w:id="221" w:author="Huawei, HiSilicon" w:date="2023-12-06T15:17:00Z"/>
          <w:lang w:eastAsia="en-US"/>
        </w:rPr>
      </w:pPr>
      <w:ins w:id="222" w:author="Huawei, HiSilicon" w:date="2023-12-06T15:17:00Z">
        <w:r>
          <w:t xml:space="preserve">1&gt; if </w:t>
        </w:r>
        <w:r>
          <w:rPr>
            <w:i/>
          </w:rPr>
          <w:t>nonServingCellMII</w:t>
        </w:r>
        <w:r>
          <w:t xml:space="preserve"> is included in </w:t>
        </w:r>
        <w:r>
          <w:rPr>
            <w:i/>
          </w:rPr>
          <w:t>SIB1</w:t>
        </w:r>
        <w:r>
          <w:t xml:space="preserve"> for the PCell; and</w:t>
        </w:r>
      </w:ins>
    </w:p>
    <w:p w14:paraId="430114C3" w14:textId="77777777" w:rsidR="00103DA3" w:rsidRDefault="00103DA3" w:rsidP="00103DA3">
      <w:pPr>
        <w:pStyle w:val="B1"/>
        <w:rPr>
          <w:ins w:id="223" w:author="Huawei, HiSilicon" w:date="2023-12-06T15:17:00Z"/>
        </w:rPr>
      </w:pPr>
      <w:ins w:id="224" w:author="Huawei, HiSilicon" w:date="2023-12-06T15:17:00Z">
        <w:r>
          <w:t>1&gt; if the set of MBS frequencies for MBS broadcast reception on non-serving cell, determined in accordance with 5.9.4.3, is not empty:</w:t>
        </w:r>
      </w:ins>
    </w:p>
    <w:p w14:paraId="1B86448C" w14:textId="77777777" w:rsidR="00103DA3" w:rsidRDefault="00103DA3" w:rsidP="00103DA3">
      <w:pPr>
        <w:pStyle w:val="B3"/>
        <w:ind w:left="851"/>
        <w:rPr>
          <w:ins w:id="225" w:author="Huawei, HiSilicon" w:date="2023-12-06T15:17:00Z"/>
          <w:lang w:eastAsia="zh-CN"/>
        </w:rPr>
      </w:pPr>
      <w:ins w:id="226" w:author="Huawei, HiSilicon" w:date="2023-12-06T15:17:00Z">
        <w:r>
          <w:rPr>
            <w:lang w:eastAsia="zh-CN"/>
          </w:rPr>
          <w:t xml:space="preserve">2&gt; include </w:t>
        </w:r>
        <w:r>
          <w:rPr>
            <w:i/>
            <w:lang w:eastAsia="zh-CN"/>
          </w:rPr>
          <w:t>freqInfoMBS</w:t>
        </w:r>
        <w:r>
          <w:rPr>
            <w:lang w:eastAsia="zh-CN"/>
          </w:rPr>
          <w:t>;</w:t>
        </w:r>
      </w:ins>
    </w:p>
    <w:p w14:paraId="0900822F" w14:textId="77777777" w:rsidR="00103DA3" w:rsidRDefault="00103DA3" w:rsidP="00103DA3">
      <w:pPr>
        <w:pStyle w:val="B3"/>
        <w:ind w:left="851"/>
        <w:rPr>
          <w:ins w:id="227" w:author="Huawei, HiSilicon" w:date="2023-12-06T15:17:00Z"/>
          <w:lang w:eastAsia="zh-CN"/>
        </w:rPr>
      </w:pPr>
      <w:ins w:id="228" w:author="Huawei, HiSilicon" w:date="2023-12-06T15:17:00Z">
        <w:r>
          <w:rPr>
            <w:lang w:eastAsia="zh-CN"/>
          </w:rPr>
          <w:t xml:space="preserve">2&gt; if the UE has acquired </w:t>
        </w:r>
        <w:r>
          <w:rPr>
            <w:i/>
            <w:lang w:eastAsia="zh-CN"/>
          </w:rPr>
          <w:t>cfr-InfoMBS</w:t>
        </w:r>
        <w:r>
          <w:rPr>
            <w:lang w:eastAsia="zh-CN"/>
          </w:rPr>
          <w:t xml:space="preserve"> and </w:t>
        </w:r>
        <w:r>
          <w:rPr>
            <w:i/>
            <w:lang w:eastAsia="zh-CN"/>
          </w:rPr>
          <w:t xml:space="preserve">subcarrierSpacing </w:t>
        </w:r>
        <w:r>
          <w:rPr>
            <w:lang w:eastAsia="zh-CN"/>
          </w:rPr>
          <w:t>for MBS broadcast reception on the non-serving cell:</w:t>
        </w:r>
      </w:ins>
    </w:p>
    <w:p w14:paraId="371AE71D" w14:textId="28263119" w:rsidR="00103DA3" w:rsidRDefault="00103DA3" w:rsidP="00103DA3">
      <w:pPr>
        <w:pStyle w:val="B3"/>
      </w:pPr>
      <w:ins w:id="229" w:author="Huawei, HiSilicon" w:date="2023-12-06T15:17:00Z">
        <w:r>
          <w:t xml:space="preserve">3&gt; include </w:t>
        </w:r>
        <w:r>
          <w:rPr>
            <w:i/>
          </w:rPr>
          <w:t>cfr-InfoMBS</w:t>
        </w:r>
        <w:r>
          <w:t xml:space="preserve"> and </w:t>
        </w:r>
        <w:r>
          <w:rPr>
            <w:i/>
          </w:rPr>
          <w:t>subcarrierSpacing</w:t>
        </w:r>
        <w:r>
          <w:t>;</w:t>
        </w:r>
      </w:ins>
    </w:p>
    <w:p w14:paraId="5C36469A" w14:textId="13E6FC9A" w:rsidR="00103DA3" w:rsidRPr="006E5451" w:rsidRDefault="006E5451" w:rsidP="006E5451">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r>
        <w:rPr>
          <w:rFonts w:eastAsia="Malgun Gothic"/>
          <w:i/>
        </w:rPr>
        <w:t>Next Change (New)</w:t>
      </w:r>
    </w:p>
    <w:p w14:paraId="6605678F" w14:textId="77777777" w:rsidR="00103DA3" w:rsidRDefault="00103DA3" w:rsidP="00103DA3">
      <w:pPr>
        <w:pStyle w:val="2"/>
        <w:rPr>
          <w:ins w:id="230" w:author="Huawei, HiSilicon" w:date="2023-11-02T14:40:00Z"/>
          <w:lang w:eastAsia="en-US"/>
        </w:rPr>
      </w:pPr>
      <w:ins w:id="231" w:author="Huawei, HiSilicon" w:date="2023-11-02T14:40:00Z">
        <w:r>
          <w:lastRenderedPageBreak/>
          <w:t xml:space="preserve">5.x </w:t>
        </w:r>
        <w:r>
          <w:tab/>
          <w:t>MBS multicast reception in RRC_INACTIVE</w:t>
        </w:r>
      </w:ins>
    </w:p>
    <w:p w14:paraId="7862CB23" w14:textId="77777777" w:rsidR="00103DA3" w:rsidRDefault="00103DA3" w:rsidP="00103DA3">
      <w:pPr>
        <w:pStyle w:val="3"/>
        <w:rPr>
          <w:ins w:id="232" w:author="Huawei, HiSilicon" w:date="2023-11-02T14:40:00Z"/>
        </w:rPr>
      </w:pPr>
      <w:ins w:id="233" w:author="Huawei, HiSilicon" w:date="2023-11-02T14:40:00Z">
        <w:r>
          <w:t>5.x.1</w:t>
        </w:r>
        <w:r>
          <w:tab/>
          <w:t>Introduction</w:t>
        </w:r>
      </w:ins>
    </w:p>
    <w:p w14:paraId="0117F707" w14:textId="77777777" w:rsidR="00103DA3" w:rsidRDefault="00103DA3" w:rsidP="00103DA3">
      <w:pPr>
        <w:pStyle w:val="4"/>
        <w:rPr>
          <w:ins w:id="234" w:author="Huawei, HiSilicon" w:date="2023-11-02T14:40:00Z"/>
          <w:lang w:eastAsia="zh-CN"/>
        </w:rPr>
      </w:pPr>
      <w:ins w:id="235" w:author="Huawei, HiSilicon" w:date="2023-11-02T14:40:00Z">
        <w:r>
          <w:rPr>
            <w:lang w:eastAsia="zh-CN"/>
          </w:rPr>
          <w:t>5.x.1.1</w:t>
        </w:r>
        <w:r>
          <w:rPr>
            <w:lang w:eastAsia="zh-CN"/>
          </w:rPr>
          <w:tab/>
          <w:t>General</w:t>
        </w:r>
      </w:ins>
    </w:p>
    <w:p w14:paraId="0F6C7E05" w14:textId="77777777" w:rsidR="00103DA3" w:rsidRDefault="00103DA3" w:rsidP="00103DA3">
      <w:pPr>
        <w:rPr>
          <w:ins w:id="236" w:author="Huawei, HiSilicon" w:date="2023-11-02T14:40:00Z"/>
          <w:lang w:eastAsia="zh-CN"/>
        </w:rPr>
      </w:pPr>
      <w:ins w:id="237" w:author="Huawei, HiSilicon" w:date="2023-11-02T14:40:00Z">
        <w:r>
          <w:rPr>
            <w:lang w:eastAsia="zh-CN"/>
          </w:rPr>
          <w:t>UE configured to receive MBS multicast service(s) in RRC_INACTIVE that the UE has joined applies MBS multicast procedures described in this clause.</w:t>
        </w:r>
      </w:ins>
    </w:p>
    <w:p w14:paraId="502B3B51" w14:textId="77777777" w:rsidR="00103DA3" w:rsidRDefault="00103DA3" w:rsidP="00103DA3">
      <w:pPr>
        <w:rPr>
          <w:ins w:id="238" w:author="Huawei, HiSilicon" w:date="2023-11-02T14:40:00Z"/>
          <w:lang w:eastAsia="zh-CN"/>
        </w:rPr>
      </w:pPr>
      <w:ins w:id="239" w:author="Huawei, HiSilicon" w:date="2023-11-02T14:40:00Z">
        <w:r>
          <w:rPr>
            <w:lang w:eastAsia="zh-CN"/>
          </w:rPr>
          <w:t xml:space="preserve">MBS multicast configuration information is provided in </w:t>
        </w:r>
        <w:r>
          <w:rPr>
            <w:i/>
            <w:lang w:eastAsia="zh-CN"/>
          </w:rPr>
          <w:t>RRCRelease</w:t>
        </w:r>
        <w:r>
          <w:rPr>
            <w:lang w:eastAsia="zh-CN"/>
          </w:rPr>
          <w:t xml:space="preserve"> and on multicast MCCH logical channel.</w:t>
        </w:r>
      </w:ins>
    </w:p>
    <w:p w14:paraId="5BED5A8F" w14:textId="24962DFA" w:rsidR="00D963DB" w:rsidRDefault="00103DA3" w:rsidP="00D963DB">
      <w:pPr>
        <w:rPr>
          <w:ins w:id="240" w:author="Huawei, HiSilicon" w:date="2023-12-06T16:44:00Z"/>
        </w:rPr>
      </w:pPr>
      <w:ins w:id="241" w:author="Huawei, HiSilicon" w:date="2023-11-02T14:40:00Z">
        <w:r>
          <w:rPr>
            <w:lang w:eastAsia="zh-CN"/>
          </w:rPr>
          <w:t xml:space="preserve">When </w:t>
        </w:r>
        <w:r>
          <w:t>there is temporarily no data for an active multicast session</w:t>
        </w:r>
        <w:r>
          <w:rPr>
            <w:lang w:eastAsia="zh-CN"/>
          </w:rPr>
          <w:t xml:space="preserve"> or when the multicast session is deactivated, the network notifies the UE to </w:t>
        </w:r>
        <w:r>
          <w:rPr>
            <w:noProof/>
          </w:rPr>
          <w:t xml:space="preserve">stop monitoring the </w:t>
        </w:r>
        <w:r>
          <w:rPr>
            <w:lang w:eastAsia="zh-CN"/>
          </w:rPr>
          <w:t>corresponding</w:t>
        </w:r>
        <w:r>
          <w:rPr>
            <w:noProof/>
          </w:rPr>
          <w:t xml:space="preserve"> G-RNTI</w:t>
        </w:r>
        <w:r>
          <w:rPr>
            <w:lang w:eastAsia="zh-CN"/>
          </w:rPr>
          <w:t xml:space="preserve"> via MBS multicast configuration information. If the UE is </w:t>
        </w:r>
        <w:r>
          <w:rPr>
            <w:noProof/>
          </w:rPr>
          <w:t>notified</w:t>
        </w:r>
        <w:r>
          <w:rPr>
            <w:lang w:eastAsia="zh-CN"/>
          </w:rPr>
          <w:t xml:space="preserve"> to </w:t>
        </w:r>
        <w:r>
          <w:rPr>
            <w:noProof/>
          </w:rPr>
          <w:t xml:space="preserve">stop monitoring the G-RNTI(s) for </w:t>
        </w:r>
        <w:r>
          <w:rPr>
            <w:lang w:eastAsia="zh-CN"/>
          </w:rPr>
          <w:t xml:space="preserve">all the joined multicast sessions, it stops monitoring the </w:t>
        </w:r>
      </w:ins>
      <w:ins w:id="242" w:author="Huawei, HiSilicon" w:date="2023-11-30T20:44:00Z">
        <w:r>
          <w:rPr>
            <w:lang w:eastAsia="zh-CN"/>
          </w:rPr>
          <w:t>M</w:t>
        </w:r>
      </w:ins>
      <w:ins w:id="243" w:author="Huawei, HiSilicon" w:date="2023-11-02T14:40:00Z">
        <w:r>
          <w:rPr>
            <w:lang w:eastAsia="zh-CN"/>
          </w:rPr>
          <w:t>ulticast</w:t>
        </w:r>
      </w:ins>
      <w:ins w:id="244" w:author="Huawei, HiSilicon" w:date="2023-12-01T16:09:00Z">
        <w:r>
          <w:rPr>
            <w:lang w:eastAsia="zh-CN"/>
          </w:rPr>
          <w:t xml:space="preserve"> </w:t>
        </w:r>
      </w:ins>
      <w:ins w:id="245" w:author="Huawei, HiSilicon" w:date="2023-11-02T14:40:00Z">
        <w:r>
          <w:t>MCCH-RNTI</w:t>
        </w:r>
      </w:ins>
      <w:ins w:id="246" w:author="Huawei, HiSilicon" w:date="2023-12-06T16:44:00Z">
        <w:r w:rsidR="00D963DB">
          <w:t xml:space="preserve"> </w:t>
        </w:r>
        <w:r w:rsidR="00D963DB">
          <w:rPr>
            <w:lang w:eastAsia="zh-CN"/>
          </w:rPr>
          <w:t>for the cell where it received the notification</w:t>
        </w:r>
      </w:ins>
      <w:ins w:id="247" w:author="Huawei, HiSilicon" w:date="2023-12-06T16:45:00Z">
        <w:r w:rsidR="00D963DB">
          <w:rPr>
            <w:rFonts w:ascii="宋体" w:eastAsia="宋体" w:hAnsi="宋体" w:cs="宋体" w:hint="eastAsia"/>
            <w:lang w:eastAsia="zh-CN"/>
          </w:rPr>
          <w:t>.</w:t>
        </w:r>
      </w:ins>
    </w:p>
    <w:p w14:paraId="1D326CBD" w14:textId="769C0EB6" w:rsidR="00D963DB" w:rsidRDefault="00D963DB" w:rsidP="00D963DB">
      <w:pPr>
        <w:rPr>
          <w:ins w:id="248" w:author="Huawei, HiSilicon" w:date="2023-12-06T16:44:00Z"/>
          <w:lang w:eastAsia="zh-CN"/>
        </w:rPr>
      </w:pPr>
      <w:ins w:id="249" w:author="Huawei, HiSilicon" w:date="2023-12-06T16:44:00Z">
        <w:r>
          <w:rPr>
            <w:lang w:eastAsia="zh-CN"/>
          </w:rPr>
          <w:t xml:space="preserve">Multicast MCCH carries the </w:t>
        </w:r>
        <w:r>
          <w:rPr>
            <w:i/>
            <w:lang w:eastAsia="zh-CN"/>
          </w:rPr>
          <w:t>MBSMulticastConfiguration</w:t>
        </w:r>
        <w:r>
          <w:rPr>
            <w:lang w:eastAsia="zh-CN"/>
          </w:rPr>
          <w:t xml:space="preserve"> message which indicates the MBS multicast sessions that are provided in the cell as well as the corresponding scheduling related information for these sessions. Optionally, the </w:t>
        </w:r>
        <w:r>
          <w:rPr>
            <w:i/>
            <w:lang w:eastAsia="zh-CN"/>
          </w:rPr>
          <w:t>MBSMulticastConfiguration</w:t>
        </w:r>
        <w:r>
          <w:rPr>
            <w:lang w:eastAsia="zh-CN"/>
          </w:rPr>
          <w:t xml:space="preserve"> message may also contain a list of neighbour cells providing the same MBS multicast service(s) for RRC_INACTIVE as provided in the current cell. The configuration information required by the UE to receive multicast MCCH is provided in </w:t>
        </w:r>
        <w:r>
          <w:rPr>
            <w:i/>
            <w:lang w:eastAsia="zh-CN"/>
          </w:rPr>
          <w:t>SIBx</w:t>
        </w:r>
        <w:r>
          <w:rPr>
            <w:lang w:eastAsia="zh-CN"/>
          </w:rPr>
          <w:t xml:space="preserve">. </w:t>
        </w:r>
      </w:ins>
    </w:p>
    <w:p w14:paraId="32824FB3" w14:textId="77777777" w:rsidR="00D963DB" w:rsidRDefault="00D963DB" w:rsidP="00D963DB">
      <w:pPr>
        <w:pStyle w:val="4"/>
        <w:rPr>
          <w:ins w:id="250" w:author="Huawei, HiSilicon" w:date="2023-12-06T16:44:00Z"/>
          <w:lang w:eastAsia="zh-CN"/>
        </w:rPr>
      </w:pPr>
      <w:ins w:id="251" w:author="Huawei, HiSilicon" w:date="2023-12-06T16:44:00Z">
        <w:r>
          <w:rPr>
            <w:lang w:eastAsia="zh-CN"/>
          </w:rPr>
          <w:t>5.x.1.2</w:t>
        </w:r>
        <w:r>
          <w:rPr>
            <w:lang w:eastAsia="zh-CN"/>
          </w:rPr>
          <w:tab/>
          <w:t>Multicast MCCH scheduling</w:t>
        </w:r>
      </w:ins>
    </w:p>
    <w:p w14:paraId="258F6BEE" w14:textId="057E126E" w:rsidR="00103DA3" w:rsidRPr="00D963DB" w:rsidRDefault="00D963DB" w:rsidP="00103DA3">
      <w:pPr>
        <w:rPr>
          <w:ins w:id="252" w:author="Huawei, HiSilicon" w:date="2023-11-02T14:40:00Z"/>
        </w:rPr>
      </w:pPr>
      <w:ins w:id="253" w:author="Huawei, HiSilicon" w:date="2023-12-06T16:44:00Z">
        <w:r>
          <w:t xml:space="preserve">The </w:t>
        </w:r>
        <w:r>
          <w:rPr>
            <w:lang w:eastAsia="zh-CN"/>
          </w:rPr>
          <w:t>multicast</w:t>
        </w:r>
        <w:r>
          <w:t xml:space="preserve"> MCCH information (i.e. information transmitted in messages sent over </w:t>
        </w:r>
        <w:r>
          <w:rPr>
            <w:lang w:eastAsia="zh-CN"/>
          </w:rPr>
          <w:t>multicast</w:t>
        </w:r>
        <w:r>
          <w:t xml:space="preserve"> MCCH) is transmitted periodically, using a configurable repetition period and within a configured transmission window. MCCH transmissions (and the associated radio resources and MCS) are indicated via the PDCCH addressed to Multicast MCCH-RNTI. PDCCH monitoring occasion(s) for the multicast MCCH transmission are determined according to the common search space indicated by </w:t>
        </w:r>
        <w:r>
          <w:rPr>
            <w:i/>
          </w:rPr>
          <w:t>searchspaceMulticastMCCH</w:t>
        </w:r>
        <w:r>
          <w:t xml:space="preserve">. If </w:t>
        </w:r>
        <w:r>
          <w:rPr>
            <w:i/>
          </w:rPr>
          <w:t>searchspaceMulticastMCCH</w:t>
        </w:r>
        <w:r>
          <w:t xml:space="preserve"> is set to zero, PDCCH monitoring occasions for the multicast MCCH message reception in the multicast MCCH transmission window are the same as PDCCH monitoring occasions for </w:t>
        </w:r>
        <w:r>
          <w:rPr>
            <w:i/>
          </w:rPr>
          <w:t>SIB1</w:t>
        </w:r>
        <w:r>
          <w:t xml:space="preserve"> where the mapping between PDCCH monitoring occasions and SSBs is specified in TS 38.213 [13]. If </w:t>
        </w:r>
        <w:r>
          <w:rPr>
            <w:i/>
          </w:rPr>
          <w:t>searchspaceMulticastMCCH</w:t>
        </w:r>
        <w:r>
          <w:t xml:space="preserve"> is not set to zero, PDCCH monitoring occasions for the multicast MCCH message are determined based on search space indicated by </w:t>
        </w:r>
        <w:r>
          <w:rPr>
            <w:i/>
          </w:rPr>
          <w:t>searchspaceMulticastMCCH</w:t>
        </w:r>
        <w:r>
          <w:t xml:space="preserve">. PDCCH monitoring occasions for the multicast MCCH message which are not overlapping with UL symbols (determined according to </w:t>
        </w:r>
        <w:r>
          <w:rPr>
            <w:i/>
          </w:rPr>
          <w:t>tdd-UL-DL-ConfigurationCommon</w:t>
        </w:r>
        <w:r>
          <w:t>) are sequentially numbered from one in the multicast MCCH transmission window. The [x×N+K]</w:t>
        </w:r>
        <w:r>
          <w:rPr>
            <w:vertAlign w:val="superscript"/>
          </w:rPr>
          <w:t>th</w:t>
        </w:r>
        <w:r>
          <w:t xml:space="preserve"> PDCCH monitoring occasion for the multicast MCCH message in the multicast MCCH transmission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multicast MCCH transmission window/N). The actual transmitted SSBs are sequentially numbered from one in ascending order of their SSB indexes. The UE assumes that, in the multicast MCCH transmission window, PDCCH for a multicast MCCH message is transmitted in at least one PDCCH monitoring occasion corresponding to each transmitted SSB and thus the selection of SSB for the reception multicast MCCH messages is up to UE implementation.</w:t>
        </w:r>
      </w:ins>
    </w:p>
    <w:p w14:paraId="0A2C4EFF" w14:textId="77777777" w:rsidR="00103DA3" w:rsidRDefault="00103DA3" w:rsidP="00103DA3">
      <w:pPr>
        <w:pStyle w:val="4"/>
        <w:rPr>
          <w:ins w:id="254" w:author="Huawei, HiSilicon" w:date="2023-11-02T14:40:00Z"/>
          <w:lang w:eastAsia="zh-CN"/>
        </w:rPr>
      </w:pPr>
      <w:ins w:id="255" w:author="Huawei, HiSilicon" w:date="2023-11-02T14:40:00Z">
        <w:r>
          <w:rPr>
            <w:lang w:eastAsia="zh-CN"/>
          </w:rPr>
          <w:t>5.x.1.3</w:t>
        </w:r>
        <w:r>
          <w:rPr>
            <w:lang w:eastAsia="zh-CN"/>
          </w:rPr>
          <w:tab/>
          <w:t>Multicast MCCH information validity and notification of changes</w:t>
        </w:r>
      </w:ins>
    </w:p>
    <w:p w14:paraId="60DF55B1" w14:textId="77777777" w:rsidR="00103DA3" w:rsidRDefault="00103DA3" w:rsidP="00103DA3">
      <w:pPr>
        <w:rPr>
          <w:ins w:id="256" w:author="Huawei, HiSilicon" w:date="2023-11-02T14:40:00Z"/>
          <w:lang w:eastAsia="zh-CN"/>
        </w:rPr>
      </w:pPr>
      <w:ins w:id="257" w:author="Huawei, HiSilicon" w:date="2023-11-02T14:40:00Z">
        <w:r>
          <w:rPr>
            <w:lang w:eastAsia="zh-CN"/>
          </w:rPr>
          <w:t xml:space="preserve">Change of </w:t>
        </w:r>
        <w:r>
          <w:t>multicast</w:t>
        </w:r>
        <w:r>
          <w:rPr>
            <w:lang w:eastAsia="zh-CN"/>
          </w:rPr>
          <w:t xml:space="preserve"> MCCH information only occurs at specific radio frames, i.e. the concept of a modification period is used. Within a modification period, the same </w:t>
        </w:r>
        <w:r>
          <w:t>multicast</w:t>
        </w:r>
        <w:r>
          <w:rPr>
            <w:lang w:eastAsia="zh-CN"/>
          </w:rPr>
          <w:t xml:space="preserve"> MCCH information may be transmitted a number of times, as defined by its scheduling (which is based on a repetition period).</w:t>
        </w:r>
      </w:ins>
    </w:p>
    <w:p w14:paraId="72E744F5" w14:textId="77777777" w:rsidR="00103DA3" w:rsidRDefault="00103DA3" w:rsidP="00103DA3">
      <w:pPr>
        <w:rPr>
          <w:ins w:id="258" w:author="Huawei, HiSilicon" w:date="2023-11-02T14:40:00Z"/>
          <w:lang w:eastAsia="zh-CN"/>
        </w:rPr>
      </w:pPr>
      <w:ins w:id="259" w:author="Huawei, HiSilicon" w:date="2023-11-02T14:40:00Z">
        <w:r>
          <w:rPr>
            <w:lang w:eastAsia="zh-CN"/>
          </w:rPr>
          <w:t xml:space="preserve">When the network changes (some of) the </w:t>
        </w:r>
        <w:r>
          <w:t>multicast</w:t>
        </w:r>
        <w:r>
          <w:rPr>
            <w:lang w:eastAsia="zh-CN"/>
          </w:rPr>
          <w:t xml:space="preserve"> MCCH information, it notifies the UEs about the change starting from the beginning of the </w:t>
        </w:r>
        <w:r>
          <w:t>multicast</w:t>
        </w:r>
        <w:r>
          <w:rPr>
            <w:lang w:eastAsia="zh-CN"/>
          </w:rPr>
          <w:t xml:space="preserve"> MCCH modification period via PDCCH </w:t>
        </w:r>
        <w:r>
          <w:t>which schedules the multicast MCCH in every repetition in that modification period</w:t>
        </w:r>
        <w:r>
          <w:rPr>
            <w:lang w:eastAsia="zh-CN"/>
          </w:rPr>
          <w:t xml:space="preserve">. </w:t>
        </w:r>
      </w:ins>
    </w:p>
    <w:p w14:paraId="2D4D6D28" w14:textId="77777777" w:rsidR="00103DA3" w:rsidRDefault="00103DA3" w:rsidP="00103DA3">
      <w:pPr>
        <w:rPr>
          <w:ins w:id="260" w:author="Huawei, HiSilicon" w:date="2023-11-02T14:40:00Z"/>
          <w:lang w:eastAsia="zh-CN"/>
        </w:rPr>
      </w:pPr>
      <w:ins w:id="261" w:author="Huawei, HiSilicon" w:date="2023-11-02T14:40:00Z">
        <w:r>
          <w:rPr>
            <w:lang w:eastAsia="zh-CN"/>
          </w:rPr>
          <w:t xml:space="preserve">Upon receiving a change notification, a UE receiving MBS multicast service(s) in RRC_INACTIVE acquires the new </w:t>
        </w:r>
        <w:r>
          <w:t>multicast</w:t>
        </w:r>
        <w:r>
          <w:rPr>
            <w:lang w:eastAsia="zh-CN"/>
          </w:rPr>
          <w:t xml:space="preserve"> MCCH information starting from the same slot. The UE applies the previously acquired </w:t>
        </w:r>
        <w:r>
          <w:t>multicast</w:t>
        </w:r>
        <w:r>
          <w:rPr>
            <w:lang w:eastAsia="zh-CN"/>
          </w:rPr>
          <w:t xml:space="preserve"> MCCH information until the UE acquires the new </w:t>
        </w:r>
        <w:r>
          <w:t>multicast</w:t>
        </w:r>
        <w:r>
          <w:rPr>
            <w:lang w:eastAsia="zh-CN"/>
          </w:rPr>
          <w:t xml:space="preserve"> MCCH information. </w:t>
        </w:r>
      </w:ins>
    </w:p>
    <w:p w14:paraId="0E615EA4" w14:textId="77777777" w:rsidR="00103DA3" w:rsidRDefault="00103DA3" w:rsidP="00103DA3">
      <w:pPr>
        <w:pStyle w:val="3"/>
        <w:rPr>
          <w:ins w:id="262" w:author="Huawei, HiSilicon" w:date="2023-11-02T14:40:00Z"/>
          <w:lang w:eastAsia="zh-CN"/>
        </w:rPr>
      </w:pPr>
      <w:ins w:id="263" w:author="Huawei, HiSilicon" w:date="2023-11-02T14:40:00Z">
        <w:r>
          <w:rPr>
            <w:lang w:eastAsia="zh-CN"/>
          </w:rPr>
          <w:lastRenderedPageBreak/>
          <w:t>5.x.2</w:t>
        </w:r>
        <w:r>
          <w:rPr>
            <w:lang w:eastAsia="zh-CN"/>
          </w:rPr>
          <w:tab/>
          <w:t>Multicast MCCH information acquisition</w:t>
        </w:r>
      </w:ins>
    </w:p>
    <w:p w14:paraId="48787B84" w14:textId="77777777" w:rsidR="00103DA3" w:rsidRDefault="00103DA3" w:rsidP="00103DA3">
      <w:pPr>
        <w:pStyle w:val="4"/>
        <w:rPr>
          <w:ins w:id="264" w:author="Huawei, HiSilicon" w:date="2023-11-02T14:40:00Z"/>
          <w:lang w:eastAsia="zh-CN"/>
        </w:rPr>
      </w:pPr>
      <w:ins w:id="265" w:author="Huawei, HiSilicon" w:date="2023-11-02T14:40:00Z">
        <w:r>
          <w:rPr>
            <w:lang w:eastAsia="zh-CN"/>
          </w:rPr>
          <w:t>5.x.2.1</w:t>
        </w:r>
        <w:r>
          <w:rPr>
            <w:lang w:eastAsia="zh-CN"/>
          </w:rPr>
          <w:tab/>
          <w:t>General</w:t>
        </w:r>
      </w:ins>
    </w:p>
    <w:p w14:paraId="51274ACC" w14:textId="77777777" w:rsidR="00103DA3" w:rsidRDefault="00103DA3" w:rsidP="00103DA3">
      <w:pPr>
        <w:pStyle w:val="TH"/>
        <w:rPr>
          <w:ins w:id="266" w:author="Huawei, HiSilicon" w:date="2023-11-02T14:40:00Z"/>
          <w:lang w:eastAsia="zh-CN"/>
        </w:rPr>
      </w:pPr>
      <w:ins w:id="267" w:author="Huawei, HiSilicon" w:date="2023-11-02T14:40:00Z">
        <w:r>
          <w:rPr>
            <w:rFonts w:eastAsiaTheme="minorEastAsia"/>
            <w:noProof/>
            <w:lang w:eastAsia="en-US"/>
          </w:rPr>
          <w:object w:dxaOrig="7200" w:dyaOrig="2310" w14:anchorId="2609EE3D">
            <v:shape id="_x0000_i1030" type="#_x0000_t75" alt="" style="width:5in;height:115.75pt;mso-width-percent:0;mso-height-percent:0;mso-width-percent:0;mso-height-percent:0" o:ole="">
              <v:imagedata r:id="rId24" o:title=""/>
            </v:shape>
            <o:OLEObject Type="Embed" ProgID="Word.Picture.8" ShapeID="_x0000_i1030" DrawAspect="Content" ObjectID="_1763391807" r:id="rId25"/>
          </w:object>
        </w:r>
      </w:ins>
    </w:p>
    <w:p w14:paraId="6B6D57C3" w14:textId="77777777" w:rsidR="00103DA3" w:rsidRDefault="00103DA3" w:rsidP="00103DA3">
      <w:pPr>
        <w:pStyle w:val="TF"/>
        <w:rPr>
          <w:ins w:id="268" w:author="Huawei, HiSilicon" w:date="2023-11-02T14:40:00Z"/>
          <w:lang w:eastAsia="en-US"/>
        </w:rPr>
      </w:pPr>
      <w:ins w:id="269" w:author="Huawei, HiSilicon" w:date="2023-11-02T14:40:00Z">
        <w:r>
          <w:t>Figure 5.x.2.1-1: Multicast MCCH information acquisition</w:t>
        </w:r>
      </w:ins>
    </w:p>
    <w:p w14:paraId="5CCCC402" w14:textId="77777777" w:rsidR="00103DA3" w:rsidRDefault="00103DA3" w:rsidP="00103DA3">
      <w:pPr>
        <w:rPr>
          <w:ins w:id="270" w:author="Huawei, HiSilicon" w:date="2023-12-02T07:53:00Z"/>
          <w:lang w:eastAsia="zh-CN"/>
        </w:rPr>
      </w:pPr>
      <w:ins w:id="271" w:author="Huawei, HiSilicon" w:date="2023-11-02T14:40:00Z">
        <w:r>
          <w:rPr>
            <w:lang w:eastAsia="zh-CN"/>
          </w:rPr>
          <w:t>The UE applies the multicast MCCH information acquisition procedure to acquire the MBS multicast configuration information from the network. The procedure applies to UEs configured to receive MBS multicast services in RRC_INACTIVE.</w:t>
        </w:r>
      </w:ins>
    </w:p>
    <w:p w14:paraId="3688576B" w14:textId="77777777" w:rsidR="00103DA3" w:rsidRDefault="00103DA3" w:rsidP="00103DA3">
      <w:pPr>
        <w:pStyle w:val="4"/>
        <w:rPr>
          <w:ins w:id="272" w:author="Huawei, HiSilicon" w:date="2023-11-02T14:40:00Z"/>
          <w:lang w:eastAsia="zh-CN"/>
        </w:rPr>
      </w:pPr>
      <w:ins w:id="273" w:author="Huawei, HiSilicon" w:date="2023-11-02T14:40:00Z">
        <w:r>
          <w:rPr>
            <w:lang w:eastAsia="zh-CN"/>
          </w:rPr>
          <w:t>5.x.2.2</w:t>
        </w:r>
        <w:r>
          <w:rPr>
            <w:lang w:eastAsia="zh-CN"/>
          </w:rPr>
          <w:tab/>
          <w:t>Initiation</w:t>
        </w:r>
      </w:ins>
    </w:p>
    <w:p w14:paraId="278E83C8" w14:textId="77777777" w:rsidR="00103DA3" w:rsidRDefault="00103DA3" w:rsidP="00103DA3">
      <w:pPr>
        <w:rPr>
          <w:ins w:id="274" w:author="Huawei, HiSilicon" w:date="2023-11-02T14:40:00Z"/>
          <w:lang w:eastAsia="zh-CN"/>
        </w:rPr>
      </w:pPr>
      <w:ins w:id="275" w:author="Huawei, HiSilicon" w:date="2023-11-02T14:40:00Z">
        <w:r>
          <w:rPr>
            <w:lang w:eastAsia="zh-CN"/>
          </w:rPr>
          <w:t xml:space="preserve">If configured to receive MBS multicast services in RRC_INACTIVE, </w:t>
        </w:r>
        <w:r>
          <w:rPr>
            <w:lang w:eastAsia="zh-TW"/>
          </w:rPr>
          <w:t xml:space="preserve">a UE </w:t>
        </w:r>
        <w:r>
          <w:rPr>
            <w:lang w:eastAsia="zh-CN"/>
          </w:rPr>
          <w:t xml:space="preserve">applies the multicast MCCH information acquisition procedure for PTM configuration update and upon reselection to a new cell providing </w:t>
        </w:r>
        <w:r>
          <w:rPr>
            <w:i/>
            <w:lang w:eastAsia="zh-CN"/>
          </w:rPr>
          <w:t>SIBx</w:t>
        </w:r>
        <w:r>
          <w:rPr>
            <w:lang w:eastAsia="zh-CN"/>
          </w:rPr>
          <w:t>. A UE that is receiving MBS multicast data in RRC_INACTIVE shall apply the multicast MCCH information acquisition procedure upon receiving a notification that the multicast MCCH information has changed.</w:t>
        </w:r>
      </w:ins>
    </w:p>
    <w:p w14:paraId="21625651" w14:textId="77777777" w:rsidR="00103DA3" w:rsidRDefault="00103DA3" w:rsidP="00103DA3">
      <w:pPr>
        <w:pStyle w:val="NO"/>
        <w:rPr>
          <w:ins w:id="276" w:author="Huawei, HiSilicon" w:date="2023-11-02T14:40:00Z"/>
          <w:rFonts w:eastAsia="等线"/>
          <w:lang w:eastAsia="zh-CN"/>
        </w:rPr>
      </w:pPr>
      <w:ins w:id="277" w:author="Huawei, HiSilicon" w:date="2023-11-02T14:40:00Z">
        <w:r>
          <w:rPr>
            <w:lang w:eastAsia="zh-CN"/>
          </w:rPr>
          <w:t>NOTE 1:</w:t>
        </w:r>
        <w:r>
          <w:rPr>
            <w:lang w:eastAsia="zh-CN"/>
          </w:rPr>
          <w:tab/>
          <w:t>It is up to UE implementation how to address a possibility of the UE missing a multicast MCCH change notification.</w:t>
        </w:r>
      </w:ins>
    </w:p>
    <w:p w14:paraId="54961FEA" w14:textId="77777777" w:rsidR="00103DA3" w:rsidRDefault="00103DA3" w:rsidP="00103DA3">
      <w:pPr>
        <w:rPr>
          <w:ins w:id="278" w:author="Huawei, HiSilicon" w:date="2023-11-02T14:40:00Z"/>
          <w:rFonts w:eastAsiaTheme="minorEastAsia"/>
          <w:lang w:eastAsia="zh-CN"/>
        </w:rPr>
      </w:pPr>
      <w:ins w:id="279" w:author="Huawei, HiSilicon" w:date="2023-11-02T14:40:00Z">
        <w:r>
          <w:rPr>
            <w:lang w:eastAsia="zh-CN"/>
          </w:rPr>
          <w:t>Unless explicitly stated otherwise in the procedural specification, the multicast MCCH information acquisition procedure overwrites any stored multicast MCCH information, i.e. delta configuration is not applicable for multicast MCCH information and the UE discontinues using a field if it is absent in multicast MCCH information.</w:t>
        </w:r>
      </w:ins>
    </w:p>
    <w:p w14:paraId="1E534095" w14:textId="77777777" w:rsidR="00103DA3" w:rsidRDefault="00103DA3" w:rsidP="00103DA3">
      <w:pPr>
        <w:pStyle w:val="4"/>
        <w:rPr>
          <w:ins w:id="280" w:author="Huawei, HiSilicon" w:date="2023-11-02T14:40:00Z"/>
          <w:lang w:eastAsia="zh-CN"/>
        </w:rPr>
      </w:pPr>
      <w:ins w:id="281" w:author="Huawei, HiSilicon" w:date="2023-11-02T14:40:00Z">
        <w:r>
          <w:rPr>
            <w:lang w:eastAsia="zh-CN"/>
          </w:rPr>
          <w:t>5.x.2.3</w:t>
        </w:r>
        <w:r>
          <w:rPr>
            <w:lang w:eastAsia="zh-CN"/>
          </w:rPr>
          <w:tab/>
          <w:t>Multicast MCCH information acquisition by the UE</w:t>
        </w:r>
      </w:ins>
    </w:p>
    <w:p w14:paraId="7AE14F2B" w14:textId="77777777" w:rsidR="00103DA3" w:rsidRDefault="00103DA3" w:rsidP="00103DA3">
      <w:pPr>
        <w:rPr>
          <w:ins w:id="282" w:author="Huawei, HiSilicon" w:date="2023-11-02T14:40:00Z"/>
          <w:lang w:eastAsia="en-US"/>
        </w:rPr>
      </w:pPr>
      <w:ins w:id="283" w:author="Huawei, HiSilicon" w:date="2023-11-02T14:40:00Z">
        <w:r>
          <w:rPr>
            <w:lang w:eastAsia="zh-CN"/>
          </w:rPr>
          <w:t>A UE configured to receive an MBS multicast service in RRC_INACTIVE shall:</w:t>
        </w:r>
      </w:ins>
    </w:p>
    <w:p w14:paraId="30A729EB" w14:textId="77777777" w:rsidR="00103DA3" w:rsidRDefault="00103DA3" w:rsidP="00103DA3">
      <w:pPr>
        <w:pStyle w:val="B1"/>
        <w:rPr>
          <w:ins w:id="284" w:author="Huawei, HiSilicon" w:date="2023-11-02T14:40:00Z"/>
          <w:lang w:eastAsia="zh-CN"/>
        </w:rPr>
      </w:pPr>
      <w:ins w:id="285" w:author="Huawei, HiSilicon" w:date="2023-11-02T14:40:00Z">
        <w:r>
          <w:rPr>
            <w:lang w:eastAsia="zh-CN"/>
          </w:rPr>
          <w:t>1&gt;</w:t>
        </w:r>
        <w:r>
          <w:rPr>
            <w:lang w:eastAsia="zh-CN"/>
          </w:rPr>
          <w:tab/>
          <w:t>if the procedure is triggered by a multicast MCCH information change notification:</w:t>
        </w:r>
      </w:ins>
    </w:p>
    <w:p w14:paraId="17FFFB9C" w14:textId="77777777" w:rsidR="00103DA3" w:rsidRDefault="00103DA3" w:rsidP="00103DA3">
      <w:pPr>
        <w:pStyle w:val="B2"/>
        <w:rPr>
          <w:ins w:id="286" w:author="Huawei, HiSilicon" w:date="2023-11-02T14:40:00Z"/>
          <w:lang w:eastAsia="zh-CN"/>
        </w:rPr>
      </w:pPr>
      <w:ins w:id="287" w:author="Huawei, HiSilicon" w:date="2023-11-02T14:40:00Z">
        <w:r>
          <w:rPr>
            <w:lang w:eastAsia="zh-CN"/>
          </w:rPr>
          <w:t>2&gt;</w:t>
        </w:r>
        <w:r>
          <w:rPr>
            <w:lang w:eastAsia="zh-CN"/>
          </w:rPr>
          <w:tab/>
          <w:t xml:space="preserve">start acquiring the </w:t>
        </w:r>
        <w:r>
          <w:rPr>
            <w:i/>
            <w:lang w:eastAsia="zh-CN"/>
          </w:rPr>
          <w:t>MBSMulticastConfiguration</w:t>
        </w:r>
        <w:r>
          <w:rPr>
            <w:lang w:eastAsia="zh-CN"/>
          </w:rPr>
          <w:t xml:space="preserve"> message on multicast MCCH in the concerned cell from the slot in which the change notification was received;</w:t>
        </w:r>
      </w:ins>
    </w:p>
    <w:p w14:paraId="52643DFA" w14:textId="77777777" w:rsidR="00103DA3" w:rsidRDefault="00103DA3" w:rsidP="00103DA3">
      <w:pPr>
        <w:pStyle w:val="B1"/>
        <w:rPr>
          <w:ins w:id="288" w:author="Huawei, HiSilicon" w:date="2023-11-02T14:40:00Z"/>
          <w:lang w:eastAsia="zh-CN"/>
        </w:rPr>
      </w:pPr>
      <w:ins w:id="289" w:author="Huawei, HiSilicon" w:date="2023-11-02T14:40:00Z">
        <w:r>
          <w:rPr>
            <w:lang w:eastAsia="zh-CN"/>
          </w:rPr>
          <w:t>1&gt;</w:t>
        </w:r>
        <w:r>
          <w:rPr>
            <w:lang w:eastAsia="zh-CN"/>
          </w:rPr>
          <w:tab/>
          <w:t xml:space="preserve">if the UE </w:t>
        </w:r>
      </w:ins>
      <w:ins w:id="290" w:author="Huawei, HiSilicon" w:date="2023-11-30T22:58:00Z">
        <w:r>
          <w:rPr>
            <w:lang w:eastAsia="zh-CN"/>
          </w:rPr>
          <w:t>move</w:t>
        </w:r>
      </w:ins>
      <w:ins w:id="291" w:author="Huawei, HiSilicon" w:date="2023-11-02T14:40:00Z">
        <w:r>
          <w:rPr>
            <w:lang w:eastAsia="zh-CN"/>
          </w:rPr>
          <w:t>s</w:t>
        </w:r>
      </w:ins>
      <w:ins w:id="292" w:author="Huawei, HiSilicon" w:date="2023-11-30T22:58:00Z">
        <w:r>
          <w:rPr>
            <w:lang w:eastAsia="zh-CN"/>
          </w:rPr>
          <w:t xml:space="preserve"> to</w:t>
        </w:r>
      </w:ins>
      <w:ins w:id="293" w:author="Huawei, HiSilicon" w:date="2023-11-02T14:40:00Z">
        <w:r>
          <w:rPr>
            <w:lang w:eastAsia="zh-CN"/>
          </w:rPr>
          <w:t xml:space="preserve"> a </w:t>
        </w:r>
      </w:ins>
      <w:ins w:id="294" w:author="Huawei, HiSilicon" w:date="2023-11-30T22:58:00Z">
        <w:r>
          <w:rPr>
            <w:lang w:eastAsia="zh-CN"/>
          </w:rPr>
          <w:t xml:space="preserve">different </w:t>
        </w:r>
      </w:ins>
      <w:ins w:id="295" w:author="Huawei, HiSilicon" w:date="2023-11-02T14:40:00Z">
        <w:r>
          <w:rPr>
            <w:lang w:eastAsia="zh-CN"/>
          </w:rPr>
          <w:t xml:space="preserve">cell providing </w:t>
        </w:r>
        <w:r>
          <w:rPr>
            <w:i/>
            <w:lang w:eastAsia="zh-CN"/>
          </w:rPr>
          <w:t>SIBx;</w:t>
        </w:r>
        <w:r>
          <w:rPr>
            <w:lang w:eastAsia="zh-CN"/>
          </w:rPr>
          <w:t xml:space="preserve"> or</w:t>
        </w:r>
      </w:ins>
    </w:p>
    <w:p w14:paraId="6AAA8366" w14:textId="77777777" w:rsidR="00103DA3" w:rsidRDefault="00103DA3" w:rsidP="00103DA3">
      <w:pPr>
        <w:pStyle w:val="B1"/>
        <w:rPr>
          <w:ins w:id="296" w:author="Huawei, HiSilicon" w:date="2023-11-02T14:40:00Z"/>
          <w:lang w:eastAsia="zh-CN"/>
        </w:rPr>
      </w:pPr>
      <w:ins w:id="297" w:author="Huawei, HiSilicon" w:date="2023-11-02T14:40:00Z">
        <w:r>
          <w:rPr>
            <w:lang w:eastAsia="zh-CN"/>
          </w:rPr>
          <w:t>1&gt;</w:t>
        </w:r>
        <w:r>
          <w:rPr>
            <w:lang w:eastAsia="zh-CN"/>
          </w:rPr>
          <w:tab/>
          <w:t xml:space="preserve">if the UE receives </w:t>
        </w:r>
        <w:r>
          <w:rPr>
            <w:i/>
            <w:lang w:eastAsia="zh-CN"/>
          </w:rPr>
          <w:t>RRCRelease</w:t>
        </w:r>
        <w:r>
          <w:rPr>
            <w:lang w:eastAsia="zh-CN"/>
          </w:rPr>
          <w:t xml:space="preserve"> configuring the UE to receive MBS multicast in RRC_INACTIVE which doesn’t include PTM configuration for at least one multicast session</w:t>
        </w:r>
      </w:ins>
      <w:ins w:id="298" w:author="Huawei, HiSilicon" w:date="2023-11-30T21:48:00Z">
        <w:r>
          <w:rPr>
            <w:lang w:eastAsia="zh-CN"/>
          </w:rPr>
          <w:t xml:space="preserve"> for which the UE is not indicated to stop monitoring the G-RNTI</w:t>
        </w:r>
      </w:ins>
      <w:ins w:id="299" w:author="Huawei, HiSilicon" w:date="2023-11-02T14:40:00Z">
        <w:r>
          <w:rPr>
            <w:lang w:eastAsia="zh-CN"/>
          </w:rPr>
          <w:t>:</w:t>
        </w:r>
      </w:ins>
    </w:p>
    <w:p w14:paraId="2A7FC941" w14:textId="77777777" w:rsidR="00103DA3" w:rsidRDefault="00103DA3" w:rsidP="00103DA3">
      <w:pPr>
        <w:pStyle w:val="B2"/>
        <w:rPr>
          <w:ins w:id="300" w:author="Huawei, HiSilicon" w:date="2023-11-02T14:40:00Z"/>
          <w:lang w:eastAsia="zh-CN"/>
        </w:rPr>
      </w:pPr>
      <w:ins w:id="301" w:author="Huawei, HiSilicon" w:date="2023-11-02T14:40:00Z">
        <w:r>
          <w:rPr>
            <w:lang w:eastAsia="zh-CN"/>
          </w:rPr>
          <w:t>2&gt;</w:t>
        </w:r>
        <w:r>
          <w:rPr>
            <w:lang w:eastAsia="zh-CN"/>
          </w:rPr>
          <w:tab/>
          <w:t xml:space="preserve">acquire the </w:t>
        </w:r>
        <w:r>
          <w:rPr>
            <w:i/>
            <w:lang w:eastAsia="zh-CN"/>
          </w:rPr>
          <w:t>MBSMulticastConfiguration</w:t>
        </w:r>
        <w:r>
          <w:rPr>
            <w:lang w:eastAsia="zh-CN"/>
          </w:rPr>
          <w:t xml:space="preserve"> message on multicast MCCH in the concerned cell at the next repetition period.</w:t>
        </w:r>
      </w:ins>
    </w:p>
    <w:p w14:paraId="03589D5B" w14:textId="77777777" w:rsidR="00103DA3" w:rsidRDefault="00103DA3" w:rsidP="00103DA3">
      <w:pPr>
        <w:pStyle w:val="4"/>
        <w:rPr>
          <w:ins w:id="302" w:author="Huawei, HiSilicon" w:date="2023-11-02T14:40:00Z"/>
          <w:lang w:eastAsia="zh-CN"/>
        </w:rPr>
      </w:pPr>
      <w:ins w:id="303" w:author="Huawei, HiSilicon" w:date="2023-11-02T14:40:00Z">
        <w:r>
          <w:rPr>
            <w:lang w:eastAsia="zh-CN"/>
          </w:rPr>
          <w:t>5.x.2.4</w:t>
        </w:r>
        <w:r>
          <w:rPr>
            <w:lang w:eastAsia="zh-CN"/>
          </w:rPr>
          <w:tab/>
          <w:t xml:space="preserve">Actions upon reception of the </w:t>
        </w:r>
        <w:r>
          <w:rPr>
            <w:i/>
            <w:lang w:eastAsia="zh-CN"/>
          </w:rPr>
          <w:t>MBSMulticastConfiguration</w:t>
        </w:r>
        <w:r>
          <w:rPr>
            <w:lang w:eastAsia="zh-CN"/>
          </w:rPr>
          <w:t xml:space="preserve"> message</w:t>
        </w:r>
      </w:ins>
    </w:p>
    <w:p w14:paraId="79995E42" w14:textId="77777777" w:rsidR="00103DA3" w:rsidRDefault="00103DA3" w:rsidP="00103DA3">
      <w:pPr>
        <w:rPr>
          <w:ins w:id="304" w:author="Huawei, HiSilicon" w:date="2023-11-02T14:40:00Z"/>
          <w:rFonts w:eastAsia="等线"/>
          <w:lang w:eastAsia="zh-CN"/>
        </w:rPr>
      </w:pPr>
      <w:ins w:id="305" w:author="Huawei, HiSilicon" w:date="2023-11-02T14:40:00Z">
        <w:r>
          <w:rPr>
            <w:lang w:eastAsia="zh-CN"/>
          </w:rPr>
          <w:t xml:space="preserve">No UE requirements related to the contents of the </w:t>
        </w:r>
        <w:r>
          <w:rPr>
            <w:i/>
            <w:lang w:eastAsia="zh-CN"/>
          </w:rPr>
          <w:t xml:space="preserve">MBSMulticastConfiguration </w:t>
        </w:r>
        <w:r>
          <w:rPr>
            <w:lang w:eastAsia="zh-CN"/>
          </w:rPr>
          <w:t>message apply other than those specified elsewhere, e.g., within the corresponding field descriptions.</w:t>
        </w:r>
      </w:ins>
    </w:p>
    <w:p w14:paraId="0BC1FEA5" w14:textId="77777777" w:rsidR="00103DA3" w:rsidRDefault="00103DA3" w:rsidP="00103DA3">
      <w:pPr>
        <w:pStyle w:val="3"/>
        <w:rPr>
          <w:ins w:id="306" w:author="Huawei, HiSilicon" w:date="2023-11-02T14:40:00Z"/>
          <w:rFonts w:eastAsiaTheme="minorEastAsia"/>
          <w:lang w:eastAsia="zh-CN"/>
        </w:rPr>
      </w:pPr>
      <w:bookmarkStart w:id="307" w:name="_Hlk148521567"/>
      <w:ins w:id="308" w:author="Huawei, HiSilicon" w:date="2023-11-02T14:40:00Z">
        <w:r>
          <w:rPr>
            <w:lang w:eastAsia="zh-CN"/>
          </w:rPr>
          <w:t>5.x.3</w:t>
        </w:r>
        <w:r>
          <w:rPr>
            <w:lang w:eastAsia="zh-CN"/>
          </w:rPr>
          <w:tab/>
          <w:t>MRB configuration</w:t>
        </w:r>
      </w:ins>
    </w:p>
    <w:p w14:paraId="2C52AC60" w14:textId="77777777" w:rsidR="00103DA3" w:rsidRDefault="00103DA3" w:rsidP="00103DA3">
      <w:pPr>
        <w:pStyle w:val="4"/>
        <w:rPr>
          <w:ins w:id="309" w:author="Huawei, HiSilicon" w:date="2023-11-02T14:40:00Z"/>
          <w:lang w:eastAsia="zh-CN"/>
        </w:rPr>
      </w:pPr>
      <w:ins w:id="310" w:author="Huawei, HiSilicon" w:date="2023-11-02T14:40:00Z">
        <w:r>
          <w:rPr>
            <w:lang w:eastAsia="zh-CN"/>
          </w:rPr>
          <w:t>5.x.3.1</w:t>
        </w:r>
        <w:r>
          <w:rPr>
            <w:lang w:eastAsia="zh-CN"/>
          </w:rPr>
          <w:tab/>
          <w:t>General</w:t>
        </w:r>
      </w:ins>
    </w:p>
    <w:p w14:paraId="7AABADB2" w14:textId="77777777" w:rsidR="00103DA3" w:rsidRDefault="00103DA3" w:rsidP="00103DA3">
      <w:pPr>
        <w:rPr>
          <w:ins w:id="311" w:author="Huawei, HiSilicon" w:date="2023-11-02T14:40:00Z"/>
          <w:lang w:eastAsia="zh-CN"/>
        </w:rPr>
      </w:pPr>
      <w:ins w:id="312" w:author="Huawei, HiSilicon" w:date="2023-11-02T14:40:00Z">
        <w:r>
          <w:rPr>
            <w:lang w:eastAsia="zh-CN"/>
          </w:rPr>
          <w:t>The multicast MRB configuration procedure is used by the UE in RRC_INACTIVE state to configure PDCP, RLC, MAC</w:t>
        </w:r>
      </w:ins>
      <w:ins w:id="313" w:author="Huawei, HiSilicon" w:date="2023-11-30T22:15:00Z">
        <w:r>
          <w:rPr>
            <w:lang w:eastAsia="zh-CN"/>
          </w:rPr>
          <w:t xml:space="preserve"> enti</w:t>
        </w:r>
      </w:ins>
      <w:ins w:id="314" w:author="Huawei, HiSilicon" w:date="2023-11-30T22:16:00Z">
        <w:r>
          <w:rPr>
            <w:lang w:eastAsia="zh-CN"/>
          </w:rPr>
          <w:t>ties</w:t>
        </w:r>
      </w:ins>
      <w:ins w:id="315" w:author="Huawei, HiSilicon" w:date="2023-11-02T14:40:00Z">
        <w:r>
          <w:rPr>
            <w:lang w:eastAsia="zh-CN"/>
          </w:rPr>
          <w:t xml:space="preserve"> and the physical layer upon PTM configuration update and moving to a cell providing </w:t>
        </w:r>
        <w:r>
          <w:rPr>
            <w:i/>
            <w:lang w:eastAsia="zh-CN"/>
          </w:rPr>
          <w:t>SIBx</w:t>
        </w:r>
        <w:r>
          <w:rPr>
            <w:lang w:eastAsia="zh-CN"/>
          </w:rPr>
          <w:t xml:space="preserve">. The UE may </w:t>
        </w:r>
        <w:r>
          <w:rPr>
            <w:lang w:eastAsia="zh-CN"/>
          </w:rPr>
          <w:lastRenderedPageBreak/>
          <w:t>perform multicast MRB modification or release/establishment when PTM configuration is updated via MCCH or when it moves to a cell where the PDCP COUNT of the corresponding multicast MRB is not synchronized within the RNA.</w:t>
        </w:r>
      </w:ins>
      <w:r>
        <w:rPr>
          <w:lang w:eastAsia="zh-CN"/>
        </w:rPr>
        <w:t xml:space="preserve"> </w:t>
      </w:r>
      <w:bookmarkStart w:id="316" w:name="_GoBack"/>
      <w:ins w:id="317" w:author="Huawei, HiSilicon" w:date="2023-11-30T22:22:00Z">
        <w:r>
          <w:rPr>
            <w:lang w:eastAsia="zh-CN"/>
          </w:rPr>
          <w:t>The UE may perform multicast MRB modification when it moves to a cell where the PDCP COUNT of the corresponding multicast MRB is synchronized within the RNA.</w:t>
        </w:r>
      </w:ins>
      <w:ins w:id="318" w:author="Huawei, HiSilicon" w:date="2023-12-01T16:09:00Z">
        <w:r>
          <w:rPr>
            <w:lang w:eastAsia="zh-CN"/>
          </w:rPr>
          <w:t xml:space="preserve"> The UE resets MAC upon cell-reselection.</w:t>
        </w:r>
      </w:ins>
      <w:ins w:id="319" w:author="Huawei, HiSilicon" w:date="2023-11-30T22:22:00Z">
        <w:r>
          <w:rPr>
            <w:rStyle w:val="af1"/>
          </w:rPr>
          <w:t xml:space="preserve"> </w:t>
        </w:r>
      </w:ins>
    </w:p>
    <w:p w14:paraId="2733892A" w14:textId="77777777" w:rsidR="00103DA3" w:rsidRDefault="00103DA3" w:rsidP="00103DA3">
      <w:pPr>
        <w:pStyle w:val="NO"/>
        <w:rPr>
          <w:ins w:id="320" w:author="Huawei, HiSilicon" w:date="2023-11-02T14:40:00Z"/>
          <w:lang w:eastAsia="zh-CN"/>
        </w:rPr>
      </w:pPr>
      <w:bookmarkStart w:id="321" w:name="_Hlk148603447"/>
      <w:bookmarkStart w:id="322" w:name="_Hlk148603503"/>
      <w:ins w:id="323" w:author="Huawei, HiSilicon" w:date="2023-11-02T14:40:00Z">
        <w:r>
          <w:rPr>
            <w:lang w:eastAsia="zh-CN"/>
          </w:rPr>
          <w:t>NOTE:</w:t>
        </w:r>
        <w:r>
          <w:rPr>
            <w:lang w:eastAsia="zh-CN"/>
          </w:rPr>
          <w:tab/>
          <w:t>How to perform modification of a multicast MRB which is already configured in the UE is left to UE implementation.</w:t>
        </w:r>
      </w:ins>
    </w:p>
    <w:bookmarkEnd w:id="321"/>
    <w:p w14:paraId="7F21E1B4" w14:textId="77777777" w:rsidR="00103DA3" w:rsidRDefault="00103DA3" w:rsidP="00103DA3">
      <w:pPr>
        <w:rPr>
          <w:ins w:id="324" w:author="Huawei, HiSilicon" w:date="2023-11-02T14:40:00Z"/>
          <w:lang w:eastAsia="zh-CN"/>
        </w:rPr>
      </w:pPr>
      <w:ins w:id="325" w:author="Huawei, HiSilicon" w:date="2023-11-02T14:40:00Z">
        <w:r>
          <w:rPr>
            <w:lang w:eastAsia="zh-CN"/>
          </w:rPr>
          <w:t>Upon moving to a cell where the PDCP COUNT of a multicast MRB is not synchronized</w:t>
        </w:r>
        <w:bookmarkEnd w:id="322"/>
        <w:r>
          <w:rPr>
            <w:lang w:eastAsia="zh-CN"/>
          </w:rPr>
          <w:t xml:space="preserve">, an indication is sent to the lower layer to inform the PDCP COUNT non-synchronization of the corresponding multicast MRB. </w:t>
        </w:r>
      </w:ins>
      <w:ins w:id="326" w:author="Huawei, HiSilicon" w:date="2023-12-01T15:38:00Z">
        <w:r>
          <w:t xml:space="preserve">Upon transition from RRC_CONNECTED to RRC_INACTIVE in the same cell, the UE can continue using the </w:t>
        </w:r>
      </w:ins>
      <w:ins w:id="327" w:author="Huawei, HiSilicon" w:date="2023-12-01T16:09:00Z">
        <w:r>
          <w:t xml:space="preserve">multicast </w:t>
        </w:r>
      </w:ins>
      <w:ins w:id="328" w:author="Huawei, HiSilicon" w:date="2023-12-01T15:38:00Z">
        <w:r>
          <w:t>MRBs used in RR</w:t>
        </w:r>
      </w:ins>
      <w:ins w:id="329" w:author="Huawei, HiSilicon" w:date="2023-12-01T15:39:00Z">
        <w:r>
          <w:t>C_</w:t>
        </w:r>
      </w:ins>
      <w:ins w:id="330" w:author="Huawei, HiSilicon" w:date="2023-12-01T15:38:00Z">
        <w:r>
          <w:t>CONNECTED</w:t>
        </w:r>
      </w:ins>
      <w:ins w:id="331" w:author="Huawei, HiSilicon" w:date="2023-12-01T15:39:00Z">
        <w:r>
          <w:t>.</w:t>
        </w:r>
      </w:ins>
      <w:ins w:id="332" w:author="Huawei, HiSilicon" w:date="2023-12-01T15:38:00Z">
        <w:r>
          <w:rPr>
            <w:rStyle w:val="af1"/>
          </w:rPr>
          <w:t xml:space="preserve"> </w:t>
        </w:r>
      </w:ins>
    </w:p>
    <w:p w14:paraId="51DCA13D" w14:textId="77777777" w:rsidR="00103DA3" w:rsidRDefault="00103DA3" w:rsidP="00103DA3">
      <w:pPr>
        <w:pStyle w:val="4"/>
        <w:rPr>
          <w:ins w:id="333" w:author="Huawei, HiSilicon" w:date="2023-11-02T14:40:00Z"/>
          <w:lang w:eastAsia="zh-CN"/>
        </w:rPr>
      </w:pPr>
      <w:ins w:id="334" w:author="Huawei, HiSilicon" w:date="2023-11-02T14:40:00Z">
        <w:r>
          <w:rPr>
            <w:lang w:eastAsia="zh-CN"/>
          </w:rPr>
          <w:t>5.x.3.2</w:t>
        </w:r>
        <w:r>
          <w:rPr>
            <w:lang w:eastAsia="zh-CN"/>
          </w:rPr>
          <w:tab/>
          <w:t>Multicast MRB establishment</w:t>
        </w:r>
      </w:ins>
    </w:p>
    <w:p w14:paraId="18227BE7" w14:textId="77777777" w:rsidR="00103DA3" w:rsidRDefault="00103DA3" w:rsidP="00103DA3">
      <w:pPr>
        <w:rPr>
          <w:ins w:id="335" w:author="Huawei, HiSilicon" w:date="2023-11-02T14:40:00Z"/>
          <w:lang w:eastAsia="zh-CN"/>
        </w:rPr>
      </w:pPr>
      <w:ins w:id="336" w:author="Huawei, HiSilicon" w:date="2023-11-02T14:40:00Z">
        <w:r>
          <w:rPr>
            <w:lang w:eastAsia="zh-CN"/>
          </w:rPr>
          <w:t>Upon establishment of a multicast MRB, the UE shall:</w:t>
        </w:r>
      </w:ins>
    </w:p>
    <w:p w14:paraId="7DF7FF1E" w14:textId="77777777" w:rsidR="00103DA3" w:rsidRDefault="00103DA3" w:rsidP="00103DA3">
      <w:pPr>
        <w:pStyle w:val="B1"/>
        <w:rPr>
          <w:ins w:id="337" w:author="Huawei, HiSilicon" w:date="2023-11-02T14:40:00Z"/>
          <w:lang w:eastAsia="zh-CN"/>
        </w:rPr>
      </w:pPr>
      <w:ins w:id="338" w:author="Huawei, HiSilicon" w:date="2023-11-02T14:40:00Z">
        <w:r>
          <w:rPr>
            <w:lang w:eastAsia="zh-CN"/>
          </w:rPr>
          <w:t>1&gt;</w:t>
        </w:r>
        <w:r>
          <w:rPr>
            <w:lang w:eastAsia="zh-CN"/>
          </w:rPr>
          <w:tab/>
          <w:t>establish a PDCP entity and an RLC entity i</w:t>
        </w:r>
      </w:ins>
      <w:ins w:id="339" w:author="Huawei, HiSilicon" w:date="2023-12-01T15:38:00Z">
        <w:r>
          <w:rPr>
            <w:lang w:eastAsia="zh-CN"/>
          </w:rPr>
          <w:t xml:space="preserve"> </w:t>
        </w:r>
      </w:ins>
      <w:ins w:id="340" w:author="Huawei, HiSilicon" w:date="2023-11-02T14:40:00Z">
        <w:r>
          <w:rPr>
            <w:lang w:eastAsia="zh-CN"/>
          </w:rPr>
          <w:t xml:space="preserve">n accordance with </w:t>
        </w:r>
        <w:r>
          <w:rPr>
            <w:i/>
            <w:lang w:eastAsia="zh-CN"/>
          </w:rPr>
          <w:t>MRB-InfoBroadcast</w:t>
        </w:r>
        <w:r>
          <w:rPr>
            <w:lang w:eastAsia="zh-CN"/>
          </w:rPr>
          <w:t xml:space="preserve"> for this multicast MRB included in the </w:t>
        </w:r>
        <w:r>
          <w:rPr>
            <w:i/>
            <w:iCs/>
            <w:lang w:eastAsia="zh-CN"/>
          </w:rPr>
          <w:t>MBSMulticastConfiguration</w:t>
        </w:r>
        <w:r>
          <w:rPr>
            <w:lang w:eastAsia="zh-CN"/>
          </w:rPr>
          <w:t xml:space="preserve"> message and the configuration specified in 9.1.1.7;</w:t>
        </w:r>
      </w:ins>
    </w:p>
    <w:p w14:paraId="2E031690" w14:textId="77777777" w:rsidR="00103DA3" w:rsidRDefault="00103DA3" w:rsidP="00103DA3">
      <w:pPr>
        <w:pStyle w:val="B1"/>
        <w:rPr>
          <w:ins w:id="341" w:author="Huawei, HiSilicon" w:date="2023-11-02T14:40:00Z"/>
          <w:lang w:eastAsia="zh-CN"/>
        </w:rPr>
      </w:pPr>
      <w:ins w:id="342" w:author="Huawei, HiSilicon" w:date="2023-11-02T14:40:00Z">
        <w:r>
          <w:rPr>
            <w:lang w:eastAsia="zh-CN"/>
          </w:rPr>
          <w:t>1&gt;</w:t>
        </w:r>
        <w:r>
          <w:rPr>
            <w:lang w:eastAsia="zh-CN"/>
          </w:rPr>
          <w:tab/>
          <w:t xml:space="preserve">configure the MAC layer in accordance with the </w:t>
        </w:r>
        <w:r>
          <w:rPr>
            <w:i/>
          </w:rPr>
          <w:t>mtch-SchedulingInfo</w:t>
        </w:r>
        <w:r>
          <w:rPr>
            <w:lang w:eastAsia="zh-CN"/>
          </w:rPr>
          <w:t xml:space="preserve"> (if included);</w:t>
        </w:r>
      </w:ins>
    </w:p>
    <w:p w14:paraId="4785651C" w14:textId="77777777" w:rsidR="00103DA3" w:rsidRDefault="00103DA3" w:rsidP="00103DA3">
      <w:pPr>
        <w:pStyle w:val="B1"/>
        <w:rPr>
          <w:ins w:id="343" w:author="Huawei, HiSilicon" w:date="2023-11-02T14:40:00Z"/>
          <w:lang w:eastAsia="zh-CN"/>
        </w:rPr>
      </w:pPr>
      <w:ins w:id="344" w:author="Huawei, HiSilicon" w:date="2023-11-02T14:40:00Z">
        <w:r>
          <w:rPr>
            <w:lang w:eastAsia="zh-CN"/>
          </w:rPr>
          <w:t>1&gt;</w:t>
        </w:r>
        <w:r>
          <w:rPr>
            <w:lang w:eastAsia="zh-CN"/>
          </w:rPr>
          <w:tab/>
          <w:t xml:space="preserve">configure the physical layer in accordance with the </w:t>
        </w:r>
        <w:r>
          <w:rPr>
            <w:i/>
            <w:lang w:eastAsia="zh-CN"/>
          </w:rPr>
          <w:t>mbs-SessionInfoList</w:t>
        </w:r>
        <w:r>
          <w:rPr>
            <w:lang w:eastAsia="zh-CN"/>
          </w:rPr>
          <w:t xml:space="preserve">, </w:t>
        </w:r>
        <w:r>
          <w:rPr>
            <w:i/>
          </w:rPr>
          <w:t>searchSpaceMulticastMTCH</w:t>
        </w:r>
        <w:r>
          <w:rPr>
            <w:i/>
            <w:lang w:eastAsia="zh-CN"/>
          </w:rPr>
          <w:t>,</w:t>
        </w:r>
        <w:r>
          <w:t xml:space="preserve"> and </w:t>
        </w:r>
        <w:r>
          <w:rPr>
            <w:i/>
            <w:lang w:eastAsia="zh-CN"/>
          </w:rPr>
          <w:t>pdsch-ConfigMTCH</w:t>
        </w:r>
        <w:r>
          <w:rPr>
            <w:lang w:eastAsia="zh-CN"/>
          </w:rPr>
          <w:t>, applicable for the multicast MRB;</w:t>
        </w:r>
      </w:ins>
    </w:p>
    <w:p w14:paraId="6384B1FF" w14:textId="77777777" w:rsidR="00103DA3" w:rsidRDefault="00103DA3" w:rsidP="00103DA3">
      <w:pPr>
        <w:pStyle w:val="B1"/>
        <w:rPr>
          <w:ins w:id="345" w:author="Huawei, HiSilicon" w:date="2023-11-02T14:40:00Z"/>
        </w:rPr>
      </w:pPr>
      <w:ins w:id="346" w:author="Huawei, HiSilicon" w:date="2023-11-02T14:40:00Z">
        <w:r>
          <w:t>1&gt;</w:t>
        </w:r>
        <w:r>
          <w:tab/>
          <w:t xml:space="preserve">if an SDAP </w:t>
        </w:r>
        <w:r>
          <w:rPr>
            <w:lang w:eastAsia="zh-CN"/>
          </w:rPr>
          <w:t>entity</w:t>
        </w:r>
        <w:r>
          <w:t xml:space="preserve"> with the received </w:t>
        </w:r>
        <w:r>
          <w:rPr>
            <w:i/>
          </w:rPr>
          <w:t>mbs-SessionId</w:t>
        </w:r>
        <w:r>
          <w:t xml:space="preserve"> does not exist:</w:t>
        </w:r>
      </w:ins>
    </w:p>
    <w:p w14:paraId="74AD60C5" w14:textId="77777777" w:rsidR="00103DA3" w:rsidRDefault="00103DA3" w:rsidP="00103DA3">
      <w:pPr>
        <w:pStyle w:val="B2"/>
        <w:rPr>
          <w:ins w:id="347" w:author="Huawei, HiSilicon" w:date="2023-11-02T14:40:00Z"/>
          <w:rFonts w:eastAsia="Yu Mincho"/>
          <w:lang w:eastAsia="zh-CN"/>
        </w:rPr>
      </w:pPr>
      <w:ins w:id="348" w:author="Huawei, HiSilicon" w:date="2023-11-02T14:40:00Z">
        <w:r>
          <w:t>2&gt;</w:t>
        </w:r>
        <w:r>
          <w:tab/>
          <w:t>establish an SDAP entity as specified in TS 37.324 [24] clause 5.1.1</w:t>
        </w:r>
        <w:r>
          <w:rPr>
            <w:rFonts w:eastAsia="Yu Mincho"/>
            <w:lang w:eastAsia="zh-CN"/>
          </w:rPr>
          <w:t>;</w:t>
        </w:r>
      </w:ins>
    </w:p>
    <w:p w14:paraId="3A665D4D" w14:textId="77777777" w:rsidR="00103DA3" w:rsidRDefault="00103DA3" w:rsidP="00103DA3">
      <w:pPr>
        <w:pStyle w:val="B2"/>
        <w:rPr>
          <w:ins w:id="349" w:author="Huawei, HiSilicon" w:date="2023-11-02T14:40:00Z"/>
          <w:lang w:eastAsia="zh-CN"/>
        </w:rPr>
      </w:pPr>
      <w:ins w:id="350" w:author="Huawei, HiSilicon" w:date="2023-11-02T14:40:00Z">
        <w:r>
          <w:t>2&gt;</w:t>
        </w:r>
        <w:r>
          <w:tab/>
          <w:t xml:space="preserve">indicate the establishment of the user plane resources for the </w:t>
        </w:r>
        <w:r>
          <w:rPr>
            <w:i/>
          </w:rPr>
          <w:t>mbs-SessionId</w:t>
        </w:r>
        <w:r>
          <w:t xml:space="preserve"> to upper layers</w:t>
        </w:r>
        <w:r>
          <w:rPr>
            <w:lang w:eastAsia="zh-CN"/>
          </w:rPr>
          <w:t>;</w:t>
        </w:r>
      </w:ins>
    </w:p>
    <w:p w14:paraId="04163702" w14:textId="77777777" w:rsidR="00103DA3" w:rsidRDefault="00103DA3" w:rsidP="00103DA3">
      <w:pPr>
        <w:pStyle w:val="B1"/>
        <w:rPr>
          <w:ins w:id="351" w:author="Huawei, HiSilicon" w:date="2023-11-02T14:40:00Z"/>
          <w:lang w:eastAsia="zh-CN"/>
        </w:rPr>
      </w:pPr>
      <w:ins w:id="352" w:author="Huawei, HiSilicon" w:date="2023-11-02T14:40:00Z">
        <w:r>
          <w:rPr>
            <w:lang w:eastAsia="zh-CN"/>
          </w:rPr>
          <w:t>1&gt;</w:t>
        </w:r>
        <w:r>
          <w:rPr>
            <w:lang w:eastAsia="zh-CN"/>
          </w:rPr>
          <w:tab/>
          <w:t xml:space="preserve">receive DL-SCH on the cell where the </w:t>
        </w:r>
        <w:r>
          <w:rPr>
            <w:i/>
            <w:lang w:eastAsia="zh-CN"/>
          </w:rPr>
          <w:t>MBSMulticastConfiguration</w:t>
        </w:r>
        <w:r>
          <w:rPr>
            <w:lang w:eastAsia="zh-CN"/>
          </w:rPr>
          <w:t xml:space="preserve"> message was received for the established multicast MRB using </w:t>
        </w:r>
        <w:r>
          <w:rPr>
            <w:i/>
          </w:rPr>
          <w:t>g-RNTI</w:t>
        </w:r>
        <w:r>
          <w:rPr>
            <w:lang w:eastAsia="zh-CN"/>
          </w:rPr>
          <w:t xml:space="preserve"> and </w:t>
        </w:r>
        <w:r>
          <w:rPr>
            <w:i/>
          </w:rPr>
          <w:t>mtch-SchedulingInfo</w:t>
        </w:r>
        <w:r>
          <w:rPr>
            <w:lang w:eastAsia="zh-CN"/>
          </w:rPr>
          <w:t xml:space="preserve"> (if included) in this message for this MBS multicast service.</w:t>
        </w:r>
      </w:ins>
    </w:p>
    <w:p w14:paraId="6348E7A5" w14:textId="77777777" w:rsidR="00103DA3" w:rsidRDefault="00103DA3" w:rsidP="00103DA3">
      <w:pPr>
        <w:pStyle w:val="4"/>
        <w:rPr>
          <w:ins w:id="353" w:author="Huawei, HiSilicon" w:date="2023-11-02T14:40:00Z"/>
          <w:lang w:eastAsia="zh-CN"/>
        </w:rPr>
      </w:pPr>
      <w:ins w:id="354" w:author="Huawei, HiSilicon" w:date="2023-11-02T14:40:00Z">
        <w:r>
          <w:rPr>
            <w:lang w:eastAsia="zh-CN"/>
          </w:rPr>
          <w:t>5.x.3.3</w:t>
        </w:r>
        <w:r>
          <w:rPr>
            <w:lang w:eastAsia="zh-CN"/>
          </w:rPr>
          <w:tab/>
          <w:t>Multicast MRB release</w:t>
        </w:r>
      </w:ins>
    </w:p>
    <w:p w14:paraId="7EEB8D50" w14:textId="77777777" w:rsidR="00103DA3" w:rsidRDefault="00103DA3" w:rsidP="00103DA3">
      <w:pPr>
        <w:rPr>
          <w:ins w:id="355" w:author="Huawei, HiSilicon" w:date="2023-11-02T14:40:00Z"/>
          <w:lang w:eastAsia="zh-CN"/>
        </w:rPr>
      </w:pPr>
      <w:ins w:id="356" w:author="Huawei, HiSilicon" w:date="2023-11-02T14:40:00Z">
        <w:r>
          <w:rPr>
            <w:lang w:eastAsia="zh-CN"/>
          </w:rPr>
          <w:t>Upon release of a multicast MRB, the UE shall:</w:t>
        </w:r>
      </w:ins>
    </w:p>
    <w:p w14:paraId="2D99373E" w14:textId="77777777" w:rsidR="00103DA3" w:rsidRDefault="00103DA3" w:rsidP="00103DA3">
      <w:pPr>
        <w:pStyle w:val="B1"/>
        <w:rPr>
          <w:ins w:id="357" w:author="Huawei, HiSilicon" w:date="2023-11-02T14:40:00Z"/>
          <w:lang w:eastAsia="zh-CN"/>
        </w:rPr>
      </w:pPr>
      <w:ins w:id="358" w:author="Huawei, HiSilicon" w:date="2023-11-02T14:40:00Z">
        <w:r>
          <w:rPr>
            <w:lang w:eastAsia="zh-CN"/>
          </w:rPr>
          <w:t>1&gt;</w:t>
        </w:r>
        <w:r>
          <w:rPr>
            <w:lang w:eastAsia="zh-CN"/>
          </w:rPr>
          <w:tab/>
          <w:t>release the PDCP entity, RLC entity as well as the related MAC and physical layer configuration;</w:t>
        </w:r>
      </w:ins>
    </w:p>
    <w:p w14:paraId="69E8FEB1" w14:textId="77777777" w:rsidR="00103DA3" w:rsidRDefault="00103DA3" w:rsidP="00103DA3">
      <w:pPr>
        <w:pStyle w:val="B1"/>
        <w:rPr>
          <w:ins w:id="359" w:author="Huawei, HiSilicon" w:date="2023-11-02T14:40:00Z"/>
          <w:lang w:eastAsia="zh-CN"/>
        </w:rPr>
      </w:pPr>
      <w:ins w:id="360" w:author="Huawei, HiSilicon" w:date="2023-11-02T14:40:00Z">
        <w:r>
          <w:rPr>
            <w:lang w:eastAsia="zh-CN"/>
          </w:rPr>
          <w:t>1&gt;</w:t>
        </w:r>
        <w:r>
          <w:rPr>
            <w:lang w:eastAsia="zh-CN"/>
          </w:rPr>
          <w:tab/>
          <w:t xml:space="preserve">if the SDAP entity associated with the corresponding </w:t>
        </w:r>
        <w:r>
          <w:rPr>
            <w:i/>
          </w:rPr>
          <w:t>mbs-SessionId</w:t>
        </w:r>
        <w:r>
          <w:rPr>
            <w:lang w:eastAsia="zh-CN"/>
          </w:rPr>
          <w:t xml:space="preserve"> has no associated MRB:</w:t>
        </w:r>
      </w:ins>
    </w:p>
    <w:p w14:paraId="2A7FBCD8" w14:textId="77777777" w:rsidR="00103DA3" w:rsidRDefault="00103DA3" w:rsidP="00103DA3">
      <w:pPr>
        <w:pStyle w:val="B2"/>
        <w:rPr>
          <w:ins w:id="361" w:author="Huawei, HiSilicon" w:date="2023-11-02T14:40:00Z"/>
          <w:lang w:eastAsia="zh-CN"/>
        </w:rPr>
      </w:pPr>
      <w:ins w:id="362" w:author="Huawei, HiSilicon" w:date="2023-11-02T14:40:00Z">
        <w:r>
          <w:rPr>
            <w:lang w:eastAsia="zh-CN"/>
          </w:rPr>
          <w:t>2&gt;</w:t>
        </w:r>
        <w:r>
          <w:rPr>
            <w:lang w:eastAsia="zh-CN"/>
          </w:rPr>
          <w:tab/>
          <w:t xml:space="preserve">release the SDAP entity, </w:t>
        </w:r>
        <w:r>
          <w:t>as specified in TS 37.324 [24] clause 5.1.2;</w:t>
        </w:r>
      </w:ins>
    </w:p>
    <w:p w14:paraId="195DB88D" w14:textId="21A76C34" w:rsidR="006E5451" w:rsidRDefault="00103DA3" w:rsidP="006E5451">
      <w:pPr>
        <w:pStyle w:val="B2"/>
        <w:rPr>
          <w:rFonts w:eastAsiaTheme="minorEastAsia"/>
          <w:lang w:eastAsia="zh-CN"/>
        </w:rPr>
      </w:pPr>
      <w:ins w:id="363" w:author="Huawei, HiSilicon" w:date="2023-11-02T14:40:00Z">
        <w:r>
          <w:t>2&gt;</w:t>
        </w:r>
        <w:r>
          <w:tab/>
          <w:t xml:space="preserve">indicate the release of the user plane resources for the </w:t>
        </w:r>
        <w:r>
          <w:rPr>
            <w:i/>
          </w:rPr>
          <w:t>mbs-SessionId</w:t>
        </w:r>
        <w:r>
          <w:t xml:space="preserve"> to upper layers.</w:t>
        </w:r>
      </w:ins>
      <w:bookmarkEnd w:id="307"/>
      <w:bookmarkEnd w:id="316"/>
    </w:p>
    <w:p w14:paraId="41506341" w14:textId="77777777" w:rsidR="006E5451" w:rsidRDefault="006E5451" w:rsidP="006E5451">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r>
        <w:rPr>
          <w:rFonts w:eastAsia="Malgun Gothic"/>
          <w:i/>
        </w:rPr>
        <w:t xml:space="preserve">Next Change </w:t>
      </w:r>
    </w:p>
    <w:p w14:paraId="38E8893B" w14:textId="35F88045" w:rsidR="006E5451" w:rsidRPr="006E5451" w:rsidRDefault="006E5451" w:rsidP="00394471">
      <w:pPr>
        <w:overflowPunct/>
        <w:autoSpaceDE/>
        <w:autoSpaceDN/>
        <w:adjustRightInd/>
        <w:spacing w:after="0"/>
        <w:rPr>
          <w:rFonts w:eastAsiaTheme="minorEastAsia"/>
        </w:rPr>
        <w:sectPr w:rsidR="006E5451" w:rsidRPr="006E5451" w:rsidSect="002B26CF">
          <w:headerReference w:type="even" r:id="rId26"/>
          <w:footnotePr>
            <w:numRestart w:val="eachSect"/>
          </w:footnotePr>
          <w:pgSz w:w="11907" w:h="16840"/>
          <w:pgMar w:top="1416" w:right="1133" w:bottom="1133" w:left="1133" w:header="850" w:footer="340" w:gutter="0"/>
          <w:cols w:space="720"/>
          <w:formProt w:val="0"/>
          <w:docGrid w:linePitch="272"/>
        </w:sectPr>
      </w:pPr>
    </w:p>
    <w:p w14:paraId="4BE57932" w14:textId="77777777" w:rsidR="00394471" w:rsidRPr="00FA0D37" w:rsidRDefault="00394471" w:rsidP="00394471">
      <w:pPr>
        <w:pStyle w:val="1"/>
      </w:pPr>
      <w:bookmarkStart w:id="364" w:name="_Toc60777073"/>
      <w:bookmarkStart w:id="365" w:name="_Toc146781106"/>
      <w:r w:rsidRPr="00FA0D37">
        <w:lastRenderedPageBreak/>
        <w:t>6</w:t>
      </w:r>
      <w:r w:rsidRPr="00FA0D37">
        <w:tab/>
        <w:t>Protocol data units, formats and parameters (ASN.1)</w:t>
      </w:r>
      <w:bookmarkEnd w:id="364"/>
      <w:bookmarkEnd w:id="365"/>
    </w:p>
    <w:p w14:paraId="054890FF" w14:textId="77777777" w:rsidR="00394471" w:rsidRPr="00FA0D37" w:rsidRDefault="00394471" w:rsidP="00394471">
      <w:pPr>
        <w:pStyle w:val="2"/>
      </w:pPr>
      <w:bookmarkStart w:id="366" w:name="_Toc60777078"/>
      <w:bookmarkStart w:id="367" w:name="_Toc146781111"/>
      <w:r w:rsidRPr="00FA0D37">
        <w:t>6.2</w:t>
      </w:r>
      <w:r w:rsidRPr="00FA0D37">
        <w:tab/>
        <w:t>RRC messages</w:t>
      </w:r>
      <w:bookmarkEnd w:id="366"/>
      <w:bookmarkEnd w:id="367"/>
    </w:p>
    <w:p w14:paraId="4BEF3DEF" w14:textId="77777777" w:rsidR="00394471" w:rsidRPr="00FA0D37" w:rsidRDefault="00394471" w:rsidP="00394471">
      <w:pPr>
        <w:pStyle w:val="3"/>
      </w:pPr>
      <w:bookmarkStart w:id="368" w:name="_Toc60777079"/>
      <w:bookmarkStart w:id="369" w:name="_Toc146781112"/>
      <w:r w:rsidRPr="00FA0D37">
        <w:t>6.2.1</w:t>
      </w:r>
      <w:r w:rsidRPr="00FA0D37">
        <w:tab/>
        <w:t>General message structure</w:t>
      </w:r>
      <w:bookmarkEnd w:id="368"/>
      <w:bookmarkEnd w:id="369"/>
    </w:p>
    <w:p w14:paraId="3427D59D" w14:textId="77777777" w:rsidR="00394471" w:rsidRPr="00FA0D37" w:rsidRDefault="00394471" w:rsidP="00394471">
      <w:pPr>
        <w:pStyle w:val="4"/>
        <w:rPr>
          <w:i/>
          <w:iCs/>
          <w:noProof/>
          <w:lang w:eastAsia="zh-CN"/>
        </w:rPr>
      </w:pPr>
      <w:bookmarkStart w:id="370" w:name="_Toc60777080"/>
      <w:bookmarkStart w:id="371" w:name="_Toc146781113"/>
      <w:r w:rsidRPr="00FA0D37">
        <w:rPr>
          <w:i/>
          <w:iCs/>
          <w:lang w:eastAsia="zh-CN"/>
        </w:rPr>
        <w:t>–</w:t>
      </w:r>
      <w:r w:rsidRPr="00FA0D37">
        <w:rPr>
          <w:i/>
          <w:iCs/>
          <w:lang w:eastAsia="zh-CN"/>
        </w:rPr>
        <w:tab/>
      </w:r>
      <w:r w:rsidRPr="00FA0D37">
        <w:rPr>
          <w:i/>
          <w:iCs/>
          <w:noProof/>
          <w:lang w:eastAsia="zh-CN"/>
        </w:rPr>
        <w:t>NR-RRC-Definitions</w:t>
      </w:r>
      <w:bookmarkEnd w:id="370"/>
      <w:bookmarkEnd w:id="371"/>
    </w:p>
    <w:p w14:paraId="773AAF10" w14:textId="77777777" w:rsidR="00394471" w:rsidRPr="00FA0D37" w:rsidRDefault="00394471" w:rsidP="00394471">
      <w:pPr>
        <w:rPr>
          <w:lang w:eastAsia="zh-CN"/>
        </w:rPr>
      </w:pPr>
      <w:r w:rsidRPr="00FA0D37">
        <w:rPr>
          <w:lang w:eastAsia="zh-CN"/>
        </w:rPr>
        <w:t>This ASN.1 segment is the start of the NR RRC PDU definitions.</w:t>
      </w:r>
    </w:p>
    <w:p w14:paraId="215B0083" w14:textId="77777777" w:rsidR="00394471" w:rsidRPr="00FA0D37" w:rsidRDefault="00394471" w:rsidP="00FA0D37">
      <w:pPr>
        <w:pStyle w:val="PL"/>
        <w:rPr>
          <w:color w:val="808080"/>
        </w:rPr>
      </w:pPr>
      <w:r w:rsidRPr="00FA0D37">
        <w:rPr>
          <w:color w:val="808080"/>
        </w:rPr>
        <w:t>-- ASN1START</w:t>
      </w:r>
    </w:p>
    <w:p w14:paraId="3B2F5345" w14:textId="77777777" w:rsidR="00394471" w:rsidRPr="00FA0D37" w:rsidRDefault="00394471" w:rsidP="00FA0D37">
      <w:pPr>
        <w:pStyle w:val="PL"/>
        <w:rPr>
          <w:color w:val="808080"/>
        </w:rPr>
      </w:pPr>
      <w:r w:rsidRPr="00FA0D37">
        <w:rPr>
          <w:color w:val="808080"/>
        </w:rPr>
        <w:t>-- TAG-NR-RRC-DEFINITIONS-START</w:t>
      </w:r>
    </w:p>
    <w:p w14:paraId="219A41F4" w14:textId="77777777" w:rsidR="00394471" w:rsidRPr="00FA0D37" w:rsidRDefault="00394471" w:rsidP="00FA0D37">
      <w:pPr>
        <w:pStyle w:val="PL"/>
      </w:pPr>
    </w:p>
    <w:p w14:paraId="35E0F6D9" w14:textId="77777777" w:rsidR="00394471" w:rsidRPr="00FA0D37" w:rsidRDefault="00394471" w:rsidP="00FA0D37">
      <w:pPr>
        <w:pStyle w:val="PL"/>
      </w:pPr>
      <w:r w:rsidRPr="00FA0D37">
        <w:t>NR-RRC-Definitions DEFINITIONS AUTOMATIC TAGS ::=</w:t>
      </w:r>
    </w:p>
    <w:p w14:paraId="126AA812" w14:textId="77777777" w:rsidR="00394471" w:rsidRPr="00FA0D37" w:rsidRDefault="00394471" w:rsidP="00FA0D37">
      <w:pPr>
        <w:pStyle w:val="PL"/>
      </w:pPr>
    </w:p>
    <w:p w14:paraId="20BE67B9" w14:textId="77777777" w:rsidR="00394471" w:rsidRPr="00FA0D37" w:rsidRDefault="00394471" w:rsidP="00FA0D37">
      <w:pPr>
        <w:pStyle w:val="PL"/>
      </w:pPr>
      <w:r w:rsidRPr="00FA0D37">
        <w:t>BEGIN</w:t>
      </w:r>
    </w:p>
    <w:p w14:paraId="554ABCD8" w14:textId="77777777" w:rsidR="00482CE2" w:rsidRPr="00FA0D37" w:rsidRDefault="00482CE2" w:rsidP="00FA0D37">
      <w:pPr>
        <w:pStyle w:val="PL"/>
      </w:pPr>
      <w:bookmarkStart w:id="372" w:name="_Hlk99920787"/>
    </w:p>
    <w:bookmarkEnd w:id="372"/>
    <w:p w14:paraId="1C732334" w14:textId="77777777" w:rsidR="00394471" w:rsidRPr="00FA0D37" w:rsidRDefault="00394471" w:rsidP="00FA0D37">
      <w:pPr>
        <w:pStyle w:val="PL"/>
        <w:rPr>
          <w:color w:val="808080"/>
        </w:rPr>
      </w:pPr>
      <w:r w:rsidRPr="00FA0D37">
        <w:rPr>
          <w:color w:val="808080"/>
        </w:rPr>
        <w:t>-- TAG-NR-RRC-DEFINITIONS-STOP</w:t>
      </w:r>
    </w:p>
    <w:p w14:paraId="081A30A6" w14:textId="77777777" w:rsidR="00394471" w:rsidRPr="00FA0D37" w:rsidRDefault="00394471" w:rsidP="00FA0D37">
      <w:pPr>
        <w:pStyle w:val="PL"/>
        <w:rPr>
          <w:color w:val="808080"/>
        </w:rPr>
      </w:pPr>
      <w:r w:rsidRPr="00FA0D37">
        <w:rPr>
          <w:color w:val="808080"/>
        </w:rPr>
        <w:t>-- ASN1STOP</w:t>
      </w:r>
    </w:p>
    <w:p w14:paraId="6FC910F7" w14:textId="77777777" w:rsidR="00394471" w:rsidRPr="00FA0D37" w:rsidRDefault="00394471" w:rsidP="00394471"/>
    <w:p w14:paraId="0F9CCA92" w14:textId="77777777" w:rsidR="00394471" w:rsidRPr="00FA0D37" w:rsidRDefault="00394471" w:rsidP="00394471">
      <w:pPr>
        <w:pStyle w:val="4"/>
        <w:rPr>
          <w:i/>
          <w:iCs/>
        </w:rPr>
      </w:pPr>
      <w:bookmarkStart w:id="373" w:name="_Toc60777081"/>
      <w:bookmarkStart w:id="374" w:name="_Toc146781114"/>
      <w:r w:rsidRPr="00FA0D37">
        <w:rPr>
          <w:i/>
          <w:iCs/>
        </w:rPr>
        <w:t>–</w:t>
      </w:r>
      <w:r w:rsidRPr="00FA0D37">
        <w:rPr>
          <w:i/>
          <w:iCs/>
        </w:rPr>
        <w:tab/>
        <w:t>BCCH-BCH-Message</w:t>
      </w:r>
      <w:bookmarkEnd w:id="373"/>
      <w:bookmarkEnd w:id="374"/>
    </w:p>
    <w:p w14:paraId="0D13F9D1" w14:textId="77777777" w:rsidR="00394471" w:rsidRPr="00FA0D37" w:rsidRDefault="00394471" w:rsidP="00394471">
      <w:r w:rsidRPr="00FA0D37">
        <w:t xml:space="preserve">The </w:t>
      </w:r>
      <w:r w:rsidRPr="00FA0D37">
        <w:rPr>
          <w:i/>
        </w:rPr>
        <w:t>BCCH-BCH-Message</w:t>
      </w:r>
      <w:r w:rsidRPr="00FA0D37">
        <w:t xml:space="preserve"> class is the set of RRC messages that may be sent from the network to the UE via BCH on the BCCH logical channel.</w:t>
      </w:r>
    </w:p>
    <w:p w14:paraId="526371EF" w14:textId="77777777" w:rsidR="00394471" w:rsidRPr="00FA0D37" w:rsidRDefault="00394471" w:rsidP="00FA0D37">
      <w:pPr>
        <w:pStyle w:val="PL"/>
        <w:rPr>
          <w:color w:val="808080"/>
        </w:rPr>
      </w:pPr>
      <w:r w:rsidRPr="00FA0D37">
        <w:rPr>
          <w:color w:val="808080"/>
        </w:rPr>
        <w:t>-- ASN1START</w:t>
      </w:r>
    </w:p>
    <w:p w14:paraId="4C16C1B4" w14:textId="77777777" w:rsidR="00394471" w:rsidRPr="00FA0D37" w:rsidRDefault="00394471" w:rsidP="00FA0D37">
      <w:pPr>
        <w:pStyle w:val="PL"/>
        <w:rPr>
          <w:color w:val="808080"/>
        </w:rPr>
      </w:pPr>
      <w:r w:rsidRPr="00FA0D37">
        <w:rPr>
          <w:color w:val="808080"/>
        </w:rPr>
        <w:t>-- TAG-BCCH-BCH-MESSAGE-START</w:t>
      </w:r>
    </w:p>
    <w:p w14:paraId="2011F51A" w14:textId="77777777" w:rsidR="00394471" w:rsidRPr="00FA0D37" w:rsidRDefault="00394471" w:rsidP="00FA0D37">
      <w:pPr>
        <w:pStyle w:val="PL"/>
      </w:pPr>
    </w:p>
    <w:p w14:paraId="6BF4B0B2" w14:textId="77777777" w:rsidR="00394471" w:rsidRPr="00FA0D37" w:rsidRDefault="00394471" w:rsidP="00FA0D37">
      <w:pPr>
        <w:pStyle w:val="PL"/>
      </w:pPr>
      <w:r w:rsidRPr="00FA0D37">
        <w:t xml:space="preserve">BCCH-BCH-Message ::=            </w:t>
      </w:r>
      <w:r w:rsidRPr="00FA0D37">
        <w:rPr>
          <w:color w:val="993366"/>
        </w:rPr>
        <w:t>SEQUENCE</w:t>
      </w:r>
      <w:r w:rsidRPr="00FA0D37">
        <w:t xml:space="preserve"> {</w:t>
      </w:r>
    </w:p>
    <w:p w14:paraId="252B9D18" w14:textId="77777777" w:rsidR="00394471" w:rsidRPr="00FA0D37" w:rsidRDefault="00394471" w:rsidP="00FA0D37">
      <w:pPr>
        <w:pStyle w:val="PL"/>
      </w:pPr>
      <w:r w:rsidRPr="00FA0D37">
        <w:t xml:space="preserve">    message                         BCCH-BCH-MessageType</w:t>
      </w:r>
    </w:p>
    <w:p w14:paraId="15366216" w14:textId="77777777" w:rsidR="00394471" w:rsidRPr="00FA0D37" w:rsidRDefault="00394471" w:rsidP="00FA0D37">
      <w:pPr>
        <w:pStyle w:val="PL"/>
      </w:pPr>
      <w:r w:rsidRPr="00FA0D37">
        <w:t>}</w:t>
      </w:r>
    </w:p>
    <w:p w14:paraId="625D9A97" w14:textId="77777777" w:rsidR="00394471" w:rsidRPr="00FA0D37" w:rsidRDefault="00394471" w:rsidP="00FA0D37">
      <w:pPr>
        <w:pStyle w:val="PL"/>
      </w:pPr>
    </w:p>
    <w:p w14:paraId="3C008054" w14:textId="77777777" w:rsidR="00394471" w:rsidRPr="00FA0D37" w:rsidRDefault="00394471" w:rsidP="00FA0D37">
      <w:pPr>
        <w:pStyle w:val="PL"/>
      </w:pPr>
      <w:r w:rsidRPr="00FA0D37">
        <w:t xml:space="preserve">BCCH-BCH-MessageType ::=        </w:t>
      </w:r>
      <w:r w:rsidRPr="00FA0D37">
        <w:rPr>
          <w:color w:val="993366"/>
        </w:rPr>
        <w:t>CHOICE</w:t>
      </w:r>
      <w:r w:rsidRPr="00FA0D37">
        <w:t xml:space="preserve"> {</w:t>
      </w:r>
    </w:p>
    <w:p w14:paraId="7A47D873" w14:textId="77777777" w:rsidR="00394471" w:rsidRPr="00FA0D37" w:rsidRDefault="00394471" w:rsidP="00FA0D37">
      <w:pPr>
        <w:pStyle w:val="PL"/>
      </w:pPr>
      <w:r w:rsidRPr="00FA0D37">
        <w:t xml:space="preserve">    mib                             MIB,</w:t>
      </w:r>
    </w:p>
    <w:p w14:paraId="3147ADFD" w14:textId="77777777" w:rsidR="00394471" w:rsidRPr="00FA0D37" w:rsidRDefault="00394471" w:rsidP="00FA0D37">
      <w:pPr>
        <w:pStyle w:val="PL"/>
      </w:pPr>
      <w:r w:rsidRPr="00FA0D37">
        <w:t xml:space="preserve">    messageClassExtension           </w:t>
      </w:r>
      <w:r w:rsidRPr="00FA0D37">
        <w:rPr>
          <w:color w:val="993366"/>
        </w:rPr>
        <w:t>SEQUENCE</w:t>
      </w:r>
      <w:r w:rsidRPr="00FA0D37">
        <w:t xml:space="preserve"> {}</w:t>
      </w:r>
    </w:p>
    <w:p w14:paraId="25EA8047" w14:textId="77777777" w:rsidR="00394471" w:rsidRPr="00FA0D37" w:rsidRDefault="00394471" w:rsidP="00FA0D37">
      <w:pPr>
        <w:pStyle w:val="PL"/>
      </w:pPr>
      <w:r w:rsidRPr="00FA0D37">
        <w:t>}</w:t>
      </w:r>
    </w:p>
    <w:p w14:paraId="3047F491" w14:textId="77777777" w:rsidR="00394471" w:rsidRPr="00FA0D37" w:rsidRDefault="00394471" w:rsidP="00FA0D37">
      <w:pPr>
        <w:pStyle w:val="PL"/>
      </w:pPr>
    </w:p>
    <w:p w14:paraId="537E312C" w14:textId="77777777" w:rsidR="00394471" w:rsidRPr="00FA0D37" w:rsidRDefault="00394471" w:rsidP="00FA0D37">
      <w:pPr>
        <w:pStyle w:val="PL"/>
        <w:rPr>
          <w:color w:val="808080"/>
        </w:rPr>
      </w:pPr>
      <w:r w:rsidRPr="00FA0D37">
        <w:rPr>
          <w:color w:val="808080"/>
        </w:rPr>
        <w:t>-- TAG-BCCH-BCH-MESSAGE-STOP</w:t>
      </w:r>
    </w:p>
    <w:p w14:paraId="2B313E4D" w14:textId="77777777" w:rsidR="00394471" w:rsidRPr="00FA0D37" w:rsidRDefault="00394471" w:rsidP="00FA0D37">
      <w:pPr>
        <w:pStyle w:val="PL"/>
        <w:rPr>
          <w:color w:val="808080"/>
        </w:rPr>
      </w:pPr>
      <w:r w:rsidRPr="00FA0D37">
        <w:rPr>
          <w:color w:val="808080"/>
        </w:rPr>
        <w:t>-- ASN1STOP</w:t>
      </w:r>
    </w:p>
    <w:p w14:paraId="1B2FD73B" w14:textId="77777777" w:rsidR="00394471" w:rsidRPr="00FA0D37" w:rsidRDefault="00394471" w:rsidP="00394471"/>
    <w:p w14:paraId="1560C24F" w14:textId="77777777" w:rsidR="00394471" w:rsidRPr="00FA0D37" w:rsidRDefault="00394471" w:rsidP="00394471">
      <w:pPr>
        <w:pStyle w:val="4"/>
        <w:rPr>
          <w:i/>
          <w:iCs/>
        </w:rPr>
      </w:pPr>
      <w:bookmarkStart w:id="375" w:name="_Toc60777082"/>
      <w:bookmarkStart w:id="376" w:name="_Toc146781115"/>
      <w:r w:rsidRPr="00FA0D37">
        <w:rPr>
          <w:i/>
          <w:iCs/>
        </w:rPr>
        <w:t>–</w:t>
      </w:r>
      <w:r w:rsidRPr="00FA0D37">
        <w:rPr>
          <w:i/>
          <w:iCs/>
        </w:rPr>
        <w:tab/>
        <w:t>BCCH-DL-SCH-Message</w:t>
      </w:r>
      <w:bookmarkEnd w:id="375"/>
      <w:bookmarkEnd w:id="376"/>
    </w:p>
    <w:p w14:paraId="3C0B1C4D" w14:textId="77777777" w:rsidR="00394471" w:rsidRPr="00FA0D37" w:rsidRDefault="00394471" w:rsidP="00394471">
      <w:r w:rsidRPr="00FA0D37">
        <w:t xml:space="preserve">The </w:t>
      </w:r>
      <w:r w:rsidRPr="00FA0D37">
        <w:rPr>
          <w:i/>
        </w:rPr>
        <w:t>BCCH-DL-SCH-Message</w:t>
      </w:r>
      <w:r w:rsidRPr="00FA0D37">
        <w:t xml:space="preserve"> class is the set of RRC messages that may be sent from the network to the UE via DL-SCH on the BCCH logical channel.</w:t>
      </w:r>
    </w:p>
    <w:p w14:paraId="11499A61" w14:textId="77777777" w:rsidR="00394471" w:rsidRPr="00FA0D37" w:rsidRDefault="00394471" w:rsidP="00FA0D37">
      <w:pPr>
        <w:pStyle w:val="PL"/>
        <w:rPr>
          <w:color w:val="808080"/>
        </w:rPr>
      </w:pPr>
      <w:r w:rsidRPr="00FA0D37">
        <w:rPr>
          <w:color w:val="808080"/>
        </w:rPr>
        <w:lastRenderedPageBreak/>
        <w:t>-- ASN1START</w:t>
      </w:r>
    </w:p>
    <w:p w14:paraId="4FB43E00" w14:textId="77777777" w:rsidR="00394471" w:rsidRPr="00FA0D37" w:rsidRDefault="00394471" w:rsidP="00FA0D37">
      <w:pPr>
        <w:pStyle w:val="PL"/>
        <w:rPr>
          <w:color w:val="808080"/>
        </w:rPr>
      </w:pPr>
      <w:r w:rsidRPr="00FA0D37">
        <w:rPr>
          <w:color w:val="808080"/>
        </w:rPr>
        <w:t>-- TAG-BCCH-DL-SCH-MESSAGE-START</w:t>
      </w:r>
    </w:p>
    <w:p w14:paraId="50BB59C5" w14:textId="77777777" w:rsidR="00394471" w:rsidRPr="00FA0D37" w:rsidRDefault="00394471" w:rsidP="00FA0D37">
      <w:pPr>
        <w:pStyle w:val="PL"/>
      </w:pPr>
    </w:p>
    <w:p w14:paraId="3E6FB741" w14:textId="77777777" w:rsidR="00394471" w:rsidRPr="00FA0D37" w:rsidRDefault="00394471" w:rsidP="00FA0D37">
      <w:pPr>
        <w:pStyle w:val="PL"/>
      </w:pPr>
      <w:r w:rsidRPr="00FA0D37">
        <w:t xml:space="preserve">BCCH-DL-SCH-Message ::=         </w:t>
      </w:r>
      <w:r w:rsidRPr="00FA0D37">
        <w:rPr>
          <w:color w:val="993366"/>
        </w:rPr>
        <w:t>SEQUENCE</w:t>
      </w:r>
      <w:r w:rsidRPr="00FA0D37">
        <w:t xml:space="preserve"> {</w:t>
      </w:r>
    </w:p>
    <w:p w14:paraId="5ED6068A" w14:textId="77777777" w:rsidR="00394471" w:rsidRPr="00FA0D37" w:rsidRDefault="00394471" w:rsidP="00FA0D37">
      <w:pPr>
        <w:pStyle w:val="PL"/>
      </w:pPr>
      <w:r w:rsidRPr="00FA0D37">
        <w:t xml:space="preserve">    message                         BCCH-DL-SCH-MessageType</w:t>
      </w:r>
    </w:p>
    <w:p w14:paraId="53C5B260" w14:textId="77777777" w:rsidR="00394471" w:rsidRPr="00FA0D37" w:rsidRDefault="00394471" w:rsidP="00FA0D37">
      <w:pPr>
        <w:pStyle w:val="PL"/>
      </w:pPr>
      <w:r w:rsidRPr="00FA0D37">
        <w:t>}</w:t>
      </w:r>
    </w:p>
    <w:p w14:paraId="6258E956" w14:textId="77777777" w:rsidR="00394471" w:rsidRPr="00FA0D37" w:rsidRDefault="00394471" w:rsidP="00FA0D37">
      <w:pPr>
        <w:pStyle w:val="PL"/>
      </w:pPr>
    </w:p>
    <w:p w14:paraId="07FC67A1" w14:textId="77777777" w:rsidR="00394471" w:rsidRPr="00FA0D37" w:rsidRDefault="00394471" w:rsidP="00FA0D37">
      <w:pPr>
        <w:pStyle w:val="PL"/>
      </w:pPr>
      <w:r w:rsidRPr="00FA0D37">
        <w:t xml:space="preserve">BCCH-DL-SCH-MessageType ::=     </w:t>
      </w:r>
      <w:r w:rsidRPr="00FA0D37">
        <w:rPr>
          <w:color w:val="993366"/>
        </w:rPr>
        <w:t>CHOICE</w:t>
      </w:r>
      <w:r w:rsidRPr="00FA0D37">
        <w:t xml:space="preserve"> {</w:t>
      </w:r>
    </w:p>
    <w:p w14:paraId="792047BA"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666CAC45" w14:textId="77777777" w:rsidR="00394471" w:rsidRPr="00FA0D37" w:rsidRDefault="00394471" w:rsidP="00FA0D37">
      <w:pPr>
        <w:pStyle w:val="PL"/>
      </w:pPr>
      <w:r w:rsidRPr="00FA0D37">
        <w:t xml:space="preserve">        systemInformation               SystemInformation,</w:t>
      </w:r>
    </w:p>
    <w:p w14:paraId="7219BD16" w14:textId="77777777" w:rsidR="00394471" w:rsidRPr="00FA0D37" w:rsidRDefault="00394471" w:rsidP="00FA0D37">
      <w:pPr>
        <w:pStyle w:val="PL"/>
      </w:pPr>
      <w:r w:rsidRPr="00FA0D37">
        <w:t xml:space="preserve">        systemInformationBlockType1     SIB1</w:t>
      </w:r>
    </w:p>
    <w:p w14:paraId="6077F604" w14:textId="77777777" w:rsidR="00394471" w:rsidRPr="00FA0D37" w:rsidRDefault="00394471" w:rsidP="00FA0D37">
      <w:pPr>
        <w:pStyle w:val="PL"/>
      </w:pPr>
      <w:r w:rsidRPr="00FA0D37">
        <w:t xml:space="preserve">    },</w:t>
      </w:r>
    </w:p>
    <w:p w14:paraId="7525EF8F" w14:textId="77777777" w:rsidR="00394471" w:rsidRPr="00FA0D37" w:rsidRDefault="00394471" w:rsidP="00FA0D37">
      <w:pPr>
        <w:pStyle w:val="PL"/>
      </w:pPr>
      <w:r w:rsidRPr="00FA0D37">
        <w:t xml:space="preserve">    messageClassExtension           </w:t>
      </w:r>
      <w:r w:rsidRPr="00FA0D37">
        <w:rPr>
          <w:color w:val="993366"/>
        </w:rPr>
        <w:t>SEQUENCE</w:t>
      </w:r>
      <w:r w:rsidRPr="00FA0D37">
        <w:t xml:space="preserve"> {}</w:t>
      </w:r>
    </w:p>
    <w:p w14:paraId="4B6447AC" w14:textId="77777777" w:rsidR="00394471" w:rsidRPr="00FA0D37" w:rsidRDefault="00394471" w:rsidP="00FA0D37">
      <w:pPr>
        <w:pStyle w:val="PL"/>
      </w:pPr>
      <w:r w:rsidRPr="00FA0D37">
        <w:t>}</w:t>
      </w:r>
    </w:p>
    <w:p w14:paraId="611E5BBD" w14:textId="77777777" w:rsidR="00394471" w:rsidRPr="00FA0D37" w:rsidRDefault="00394471" w:rsidP="00FA0D37">
      <w:pPr>
        <w:pStyle w:val="PL"/>
      </w:pPr>
    </w:p>
    <w:p w14:paraId="64B23BB9" w14:textId="77777777" w:rsidR="00394471" w:rsidRPr="00FA0D37" w:rsidRDefault="00394471" w:rsidP="00FA0D37">
      <w:pPr>
        <w:pStyle w:val="PL"/>
        <w:rPr>
          <w:color w:val="808080"/>
        </w:rPr>
      </w:pPr>
      <w:r w:rsidRPr="00FA0D37">
        <w:rPr>
          <w:color w:val="808080"/>
        </w:rPr>
        <w:t>-- TAG-BCCH-DL-SCH-MESSAGE-STOP</w:t>
      </w:r>
    </w:p>
    <w:p w14:paraId="24AA0EC9" w14:textId="77777777" w:rsidR="00394471" w:rsidRPr="00FA0D37" w:rsidRDefault="00394471" w:rsidP="00FA0D37">
      <w:pPr>
        <w:pStyle w:val="PL"/>
        <w:rPr>
          <w:color w:val="808080"/>
        </w:rPr>
      </w:pPr>
      <w:r w:rsidRPr="00FA0D37">
        <w:rPr>
          <w:color w:val="808080"/>
        </w:rPr>
        <w:t>-- ASN1STOP</w:t>
      </w:r>
    </w:p>
    <w:p w14:paraId="2B06020C" w14:textId="77777777" w:rsidR="00394471" w:rsidRPr="00FA0D37" w:rsidRDefault="00394471" w:rsidP="00394471"/>
    <w:p w14:paraId="208955B6" w14:textId="77777777" w:rsidR="00394471" w:rsidRPr="00FA0D37" w:rsidRDefault="00394471" w:rsidP="00394471">
      <w:pPr>
        <w:pStyle w:val="4"/>
      </w:pPr>
      <w:bookmarkStart w:id="377" w:name="_Toc60777083"/>
      <w:bookmarkStart w:id="378" w:name="_Toc146781116"/>
      <w:r w:rsidRPr="00FA0D37">
        <w:t>–</w:t>
      </w:r>
      <w:r w:rsidRPr="00FA0D37">
        <w:tab/>
      </w:r>
      <w:r w:rsidRPr="00FA0D37">
        <w:rPr>
          <w:i/>
          <w:noProof/>
        </w:rPr>
        <w:t>DL-CCCH-Message</w:t>
      </w:r>
      <w:bookmarkEnd w:id="377"/>
      <w:bookmarkEnd w:id="378"/>
    </w:p>
    <w:p w14:paraId="4FA9E84E" w14:textId="77777777" w:rsidR="00394471" w:rsidRPr="00FA0D37" w:rsidRDefault="00394471" w:rsidP="00394471">
      <w:r w:rsidRPr="00FA0D37">
        <w:t xml:space="preserve">The </w:t>
      </w:r>
      <w:r w:rsidRPr="00FA0D37">
        <w:rPr>
          <w:i/>
          <w:noProof/>
        </w:rPr>
        <w:t>DL-CCCH-Message</w:t>
      </w:r>
      <w:r w:rsidRPr="00FA0D37">
        <w:t xml:space="preserve"> class is the set of RRC messages that may be sent from the Network to the UE on the downlink CCCH logical channel.</w:t>
      </w:r>
    </w:p>
    <w:p w14:paraId="4441D339" w14:textId="77777777" w:rsidR="00394471" w:rsidRPr="00FA0D37" w:rsidRDefault="00394471" w:rsidP="00FA0D37">
      <w:pPr>
        <w:pStyle w:val="PL"/>
        <w:rPr>
          <w:color w:val="808080"/>
        </w:rPr>
      </w:pPr>
      <w:r w:rsidRPr="00FA0D37">
        <w:rPr>
          <w:color w:val="808080"/>
        </w:rPr>
        <w:t>-- ASN1START</w:t>
      </w:r>
    </w:p>
    <w:p w14:paraId="2C511836" w14:textId="77777777" w:rsidR="00394471" w:rsidRPr="00FA0D37" w:rsidRDefault="00394471" w:rsidP="00FA0D37">
      <w:pPr>
        <w:pStyle w:val="PL"/>
        <w:rPr>
          <w:color w:val="808080"/>
        </w:rPr>
      </w:pPr>
      <w:r w:rsidRPr="00FA0D37">
        <w:rPr>
          <w:color w:val="808080"/>
        </w:rPr>
        <w:t>-- TAG-DL-CCCH-MESSAGE-START</w:t>
      </w:r>
    </w:p>
    <w:p w14:paraId="3E1A95AD" w14:textId="77777777" w:rsidR="00394471" w:rsidRPr="00FA0D37" w:rsidRDefault="00394471" w:rsidP="00FA0D37">
      <w:pPr>
        <w:pStyle w:val="PL"/>
      </w:pPr>
    </w:p>
    <w:p w14:paraId="1CECE152" w14:textId="77777777" w:rsidR="00394471" w:rsidRPr="00FA0D37" w:rsidRDefault="00394471" w:rsidP="00FA0D37">
      <w:pPr>
        <w:pStyle w:val="PL"/>
      </w:pPr>
      <w:r w:rsidRPr="00FA0D37">
        <w:t xml:space="preserve">DL-CCCH-Message ::=             </w:t>
      </w:r>
      <w:r w:rsidRPr="00FA0D37">
        <w:rPr>
          <w:color w:val="993366"/>
        </w:rPr>
        <w:t>SEQUENCE</w:t>
      </w:r>
      <w:r w:rsidRPr="00FA0D37">
        <w:t xml:space="preserve"> {</w:t>
      </w:r>
    </w:p>
    <w:p w14:paraId="468CC79A" w14:textId="77777777" w:rsidR="00394471" w:rsidRPr="00FA0D37" w:rsidRDefault="00394471" w:rsidP="00FA0D37">
      <w:pPr>
        <w:pStyle w:val="PL"/>
      </w:pPr>
      <w:r w:rsidRPr="00FA0D37">
        <w:t xml:space="preserve">    message                         DL-CCCH-MessageType</w:t>
      </w:r>
    </w:p>
    <w:p w14:paraId="21D23D5B" w14:textId="77777777" w:rsidR="00394471" w:rsidRPr="00FA0D37" w:rsidRDefault="00394471" w:rsidP="00FA0D37">
      <w:pPr>
        <w:pStyle w:val="PL"/>
      </w:pPr>
      <w:r w:rsidRPr="00FA0D37">
        <w:t>}</w:t>
      </w:r>
    </w:p>
    <w:p w14:paraId="1988A0CE" w14:textId="77777777" w:rsidR="00394471" w:rsidRPr="00FA0D37" w:rsidRDefault="00394471" w:rsidP="00FA0D37">
      <w:pPr>
        <w:pStyle w:val="PL"/>
      </w:pPr>
    </w:p>
    <w:p w14:paraId="298DC306" w14:textId="77777777" w:rsidR="00394471" w:rsidRPr="00FA0D37" w:rsidRDefault="00394471" w:rsidP="00FA0D37">
      <w:pPr>
        <w:pStyle w:val="PL"/>
      </w:pPr>
      <w:r w:rsidRPr="00FA0D37">
        <w:t xml:space="preserve">DL-CCCH-MessageType ::=         </w:t>
      </w:r>
      <w:r w:rsidRPr="00FA0D37">
        <w:rPr>
          <w:color w:val="993366"/>
        </w:rPr>
        <w:t>CHOICE</w:t>
      </w:r>
      <w:r w:rsidRPr="00FA0D37">
        <w:t xml:space="preserve"> {</w:t>
      </w:r>
    </w:p>
    <w:p w14:paraId="3E7F7BE5"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3BC0DB4E" w14:textId="77777777" w:rsidR="00394471" w:rsidRPr="00FA0D37" w:rsidRDefault="00394471" w:rsidP="00FA0D37">
      <w:pPr>
        <w:pStyle w:val="PL"/>
      </w:pPr>
      <w:r w:rsidRPr="00FA0D37">
        <w:t xml:space="preserve">        rrcReject                       RRCReject,</w:t>
      </w:r>
    </w:p>
    <w:p w14:paraId="70AA1460" w14:textId="77777777" w:rsidR="00394471" w:rsidRPr="00FA0D37" w:rsidRDefault="00394471" w:rsidP="00FA0D37">
      <w:pPr>
        <w:pStyle w:val="PL"/>
      </w:pPr>
      <w:r w:rsidRPr="00FA0D37">
        <w:t xml:space="preserve">        rrcSetup                        RRCSetup,</w:t>
      </w:r>
    </w:p>
    <w:p w14:paraId="47DCAD4C" w14:textId="77777777" w:rsidR="00394471" w:rsidRPr="00FA0D37" w:rsidRDefault="00394471" w:rsidP="00FA0D37">
      <w:pPr>
        <w:pStyle w:val="PL"/>
      </w:pPr>
      <w:r w:rsidRPr="00FA0D37">
        <w:t xml:space="preserve">        spare2                          </w:t>
      </w:r>
      <w:r w:rsidRPr="00FA0D37">
        <w:rPr>
          <w:color w:val="993366"/>
        </w:rPr>
        <w:t>NULL</w:t>
      </w:r>
      <w:r w:rsidRPr="00FA0D37">
        <w:t>,</w:t>
      </w:r>
    </w:p>
    <w:p w14:paraId="77F1115A" w14:textId="77777777" w:rsidR="00394471" w:rsidRPr="00FA0D37" w:rsidRDefault="00394471" w:rsidP="00FA0D37">
      <w:pPr>
        <w:pStyle w:val="PL"/>
      </w:pPr>
      <w:r w:rsidRPr="00FA0D37">
        <w:t xml:space="preserve">        spare1                          </w:t>
      </w:r>
      <w:r w:rsidRPr="00FA0D37">
        <w:rPr>
          <w:color w:val="993366"/>
        </w:rPr>
        <w:t>NULL</w:t>
      </w:r>
    </w:p>
    <w:p w14:paraId="7633943E" w14:textId="77777777" w:rsidR="00394471" w:rsidRPr="00FA0D37" w:rsidRDefault="00394471" w:rsidP="00FA0D37">
      <w:pPr>
        <w:pStyle w:val="PL"/>
      </w:pPr>
      <w:r w:rsidRPr="00FA0D37">
        <w:t xml:space="preserve">    },</w:t>
      </w:r>
    </w:p>
    <w:p w14:paraId="33CAF3C1" w14:textId="77777777" w:rsidR="00394471" w:rsidRPr="00FA0D37" w:rsidRDefault="00394471" w:rsidP="00FA0D37">
      <w:pPr>
        <w:pStyle w:val="PL"/>
      </w:pPr>
      <w:r w:rsidRPr="00FA0D37">
        <w:t xml:space="preserve">    messageClassExtension           </w:t>
      </w:r>
      <w:r w:rsidRPr="00FA0D37">
        <w:rPr>
          <w:color w:val="993366"/>
        </w:rPr>
        <w:t>SEQUENCE</w:t>
      </w:r>
      <w:r w:rsidRPr="00FA0D37">
        <w:t xml:space="preserve"> {}</w:t>
      </w:r>
    </w:p>
    <w:p w14:paraId="0BF5F5E1" w14:textId="77777777" w:rsidR="00394471" w:rsidRPr="00FA0D37" w:rsidRDefault="00394471" w:rsidP="00FA0D37">
      <w:pPr>
        <w:pStyle w:val="PL"/>
      </w:pPr>
      <w:r w:rsidRPr="00FA0D37">
        <w:t>}</w:t>
      </w:r>
    </w:p>
    <w:p w14:paraId="75E66624" w14:textId="77777777" w:rsidR="00394471" w:rsidRPr="00FA0D37" w:rsidRDefault="00394471" w:rsidP="00FA0D37">
      <w:pPr>
        <w:pStyle w:val="PL"/>
      </w:pPr>
    </w:p>
    <w:p w14:paraId="22E97621" w14:textId="77777777" w:rsidR="00394471" w:rsidRPr="00FA0D37" w:rsidRDefault="00394471" w:rsidP="00FA0D37">
      <w:pPr>
        <w:pStyle w:val="PL"/>
        <w:rPr>
          <w:color w:val="808080"/>
        </w:rPr>
      </w:pPr>
      <w:r w:rsidRPr="00FA0D37">
        <w:rPr>
          <w:color w:val="808080"/>
        </w:rPr>
        <w:t>-- TAG-DL-CCCH-MESSAGE-STOP</w:t>
      </w:r>
    </w:p>
    <w:p w14:paraId="71659DFC" w14:textId="77777777" w:rsidR="00394471" w:rsidRPr="00FA0D37" w:rsidRDefault="00394471" w:rsidP="00FA0D37">
      <w:pPr>
        <w:pStyle w:val="PL"/>
        <w:rPr>
          <w:color w:val="808080"/>
        </w:rPr>
      </w:pPr>
      <w:r w:rsidRPr="00FA0D37">
        <w:rPr>
          <w:color w:val="808080"/>
        </w:rPr>
        <w:t>-- ASN1STOP</w:t>
      </w:r>
    </w:p>
    <w:p w14:paraId="626AD01F" w14:textId="77777777" w:rsidR="00394471" w:rsidRPr="00FA0D37" w:rsidRDefault="00394471" w:rsidP="00394471"/>
    <w:p w14:paraId="36BF0D9A" w14:textId="77777777" w:rsidR="00394471" w:rsidRPr="00FA0D37" w:rsidRDefault="00394471" w:rsidP="00394471">
      <w:pPr>
        <w:pStyle w:val="4"/>
        <w:rPr>
          <w:i/>
          <w:iCs/>
        </w:rPr>
      </w:pPr>
      <w:bookmarkStart w:id="379" w:name="_Toc60777084"/>
      <w:bookmarkStart w:id="380" w:name="_Toc146781117"/>
      <w:r w:rsidRPr="00FA0D37">
        <w:rPr>
          <w:i/>
          <w:iCs/>
        </w:rPr>
        <w:t>–</w:t>
      </w:r>
      <w:r w:rsidRPr="00FA0D37">
        <w:rPr>
          <w:i/>
          <w:iCs/>
        </w:rPr>
        <w:tab/>
      </w:r>
      <w:r w:rsidRPr="00FA0D37">
        <w:rPr>
          <w:i/>
          <w:iCs/>
          <w:noProof/>
        </w:rPr>
        <w:t>DL-DCCH-Message</w:t>
      </w:r>
      <w:bookmarkEnd w:id="379"/>
      <w:bookmarkEnd w:id="380"/>
    </w:p>
    <w:p w14:paraId="5A79ACB4" w14:textId="77777777" w:rsidR="00394471" w:rsidRPr="00FA0D37" w:rsidRDefault="00394471" w:rsidP="00394471">
      <w:r w:rsidRPr="00FA0D37">
        <w:t xml:space="preserve">The </w:t>
      </w:r>
      <w:r w:rsidRPr="00FA0D37">
        <w:rPr>
          <w:i/>
        </w:rPr>
        <w:t>DL-DCCH-Message</w:t>
      </w:r>
      <w:r w:rsidRPr="00FA0D37">
        <w:t xml:space="preserve"> class is the set of RRC messages that may be sent from the network to the UE on the downlink DCCH logical channel.</w:t>
      </w:r>
    </w:p>
    <w:p w14:paraId="08E3547A" w14:textId="77777777" w:rsidR="00394471" w:rsidRPr="00FA0D37" w:rsidRDefault="00394471" w:rsidP="00FA0D37">
      <w:pPr>
        <w:pStyle w:val="PL"/>
        <w:rPr>
          <w:color w:val="808080"/>
        </w:rPr>
      </w:pPr>
      <w:r w:rsidRPr="00FA0D37">
        <w:rPr>
          <w:color w:val="808080"/>
        </w:rPr>
        <w:t>-- ASN1START</w:t>
      </w:r>
    </w:p>
    <w:p w14:paraId="142C930E" w14:textId="77777777" w:rsidR="00394471" w:rsidRPr="00FA0D37" w:rsidRDefault="00394471" w:rsidP="00FA0D37">
      <w:pPr>
        <w:pStyle w:val="PL"/>
        <w:rPr>
          <w:color w:val="808080"/>
        </w:rPr>
      </w:pPr>
      <w:r w:rsidRPr="00FA0D37">
        <w:rPr>
          <w:color w:val="808080"/>
        </w:rPr>
        <w:t>-- TAG-DL-DCCH-MESSAGE-START</w:t>
      </w:r>
    </w:p>
    <w:p w14:paraId="0D12458C" w14:textId="77777777" w:rsidR="00394471" w:rsidRPr="00FA0D37" w:rsidRDefault="00394471" w:rsidP="00FA0D37">
      <w:pPr>
        <w:pStyle w:val="PL"/>
      </w:pPr>
    </w:p>
    <w:p w14:paraId="1102CDF3" w14:textId="77777777" w:rsidR="00394471" w:rsidRPr="00FA0D37" w:rsidRDefault="00394471" w:rsidP="00FA0D37">
      <w:pPr>
        <w:pStyle w:val="PL"/>
      </w:pPr>
      <w:r w:rsidRPr="00FA0D37">
        <w:lastRenderedPageBreak/>
        <w:t xml:space="preserve">DL-DCCH-Message ::=                  </w:t>
      </w:r>
      <w:r w:rsidRPr="00FA0D37">
        <w:rPr>
          <w:color w:val="993366"/>
        </w:rPr>
        <w:t>SEQUENCE</w:t>
      </w:r>
      <w:r w:rsidRPr="00FA0D37">
        <w:t xml:space="preserve"> {</w:t>
      </w:r>
    </w:p>
    <w:p w14:paraId="33A39EB2" w14:textId="77777777" w:rsidR="00394471" w:rsidRPr="00FA0D37" w:rsidRDefault="00394471" w:rsidP="00FA0D37">
      <w:pPr>
        <w:pStyle w:val="PL"/>
      </w:pPr>
      <w:r w:rsidRPr="00FA0D37">
        <w:t xml:space="preserve">    message                             DL-DCCH-MessageType</w:t>
      </w:r>
    </w:p>
    <w:p w14:paraId="270BEE14" w14:textId="77777777" w:rsidR="00394471" w:rsidRPr="00FA0D37" w:rsidRDefault="00394471" w:rsidP="00FA0D37">
      <w:pPr>
        <w:pStyle w:val="PL"/>
      </w:pPr>
      <w:r w:rsidRPr="00FA0D37">
        <w:t>}</w:t>
      </w:r>
    </w:p>
    <w:p w14:paraId="0FB93FD3" w14:textId="77777777" w:rsidR="00394471" w:rsidRPr="00FA0D37" w:rsidRDefault="00394471" w:rsidP="00FA0D37">
      <w:pPr>
        <w:pStyle w:val="PL"/>
      </w:pPr>
    </w:p>
    <w:p w14:paraId="50D22ADD" w14:textId="77777777" w:rsidR="00394471" w:rsidRPr="00FA0D37" w:rsidRDefault="00394471" w:rsidP="00FA0D37">
      <w:pPr>
        <w:pStyle w:val="PL"/>
      </w:pPr>
      <w:r w:rsidRPr="00FA0D37">
        <w:t xml:space="preserve">DL-DCCH-MessageType ::=             </w:t>
      </w:r>
      <w:r w:rsidRPr="00FA0D37">
        <w:rPr>
          <w:color w:val="993366"/>
        </w:rPr>
        <w:t>CHOICE</w:t>
      </w:r>
      <w:r w:rsidRPr="00FA0D37">
        <w:t xml:space="preserve"> {</w:t>
      </w:r>
    </w:p>
    <w:p w14:paraId="29C33661"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4109F5C3" w14:textId="77777777" w:rsidR="00394471" w:rsidRPr="00FA0D37" w:rsidRDefault="00394471" w:rsidP="00FA0D37">
      <w:pPr>
        <w:pStyle w:val="PL"/>
      </w:pPr>
      <w:r w:rsidRPr="00FA0D37">
        <w:t xml:space="preserve">        rrcReconfiguration                  RRCReconfiguration,</w:t>
      </w:r>
    </w:p>
    <w:p w14:paraId="36262177" w14:textId="77777777" w:rsidR="00394471" w:rsidRPr="00FA0D37" w:rsidRDefault="00394471" w:rsidP="00FA0D37">
      <w:pPr>
        <w:pStyle w:val="PL"/>
      </w:pPr>
      <w:r w:rsidRPr="00FA0D37">
        <w:t xml:space="preserve">        rrcResume                           RRCResume,</w:t>
      </w:r>
    </w:p>
    <w:p w14:paraId="6FDEB416" w14:textId="77777777" w:rsidR="00394471" w:rsidRPr="00FA0D37" w:rsidRDefault="00394471" w:rsidP="00FA0D37">
      <w:pPr>
        <w:pStyle w:val="PL"/>
      </w:pPr>
      <w:r w:rsidRPr="00FA0D37">
        <w:t xml:space="preserve">        rrcRelease                          RRCRelease,</w:t>
      </w:r>
    </w:p>
    <w:p w14:paraId="4DAF925F" w14:textId="77777777" w:rsidR="00394471" w:rsidRPr="00FA0D37" w:rsidRDefault="00394471" w:rsidP="00FA0D37">
      <w:pPr>
        <w:pStyle w:val="PL"/>
      </w:pPr>
      <w:r w:rsidRPr="00FA0D37">
        <w:t xml:space="preserve">        rrcReestablishment                  RRCReestablishment,</w:t>
      </w:r>
    </w:p>
    <w:p w14:paraId="638F3361" w14:textId="77777777" w:rsidR="00394471" w:rsidRPr="00FA0D37" w:rsidRDefault="00394471" w:rsidP="00FA0D37">
      <w:pPr>
        <w:pStyle w:val="PL"/>
      </w:pPr>
      <w:r w:rsidRPr="00FA0D37">
        <w:t xml:space="preserve">        securityModeCommand                 SecurityModeCommand,</w:t>
      </w:r>
    </w:p>
    <w:p w14:paraId="07B30D86" w14:textId="77777777" w:rsidR="00394471" w:rsidRPr="00FA0D37" w:rsidRDefault="00394471" w:rsidP="00FA0D37">
      <w:pPr>
        <w:pStyle w:val="PL"/>
      </w:pPr>
      <w:r w:rsidRPr="00FA0D37">
        <w:t xml:space="preserve">        dlInformationTransfer               DLInformationTransfer,</w:t>
      </w:r>
    </w:p>
    <w:p w14:paraId="7B1A75C3" w14:textId="77777777" w:rsidR="00394471" w:rsidRPr="00FA0D37" w:rsidRDefault="00394471" w:rsidP="00FA0D37">
      <w:pPr>
        <w:pStyle w:val="PL"/>
      </w:pPr>
      <w:r w:rsidRPr="00FA0D37">
        <w:t xml:space="preserve">        ueCapabilityEnquiry                 UECapabilityEnquiry,</w:t>
      </w:r>
    </w:p>
    <w:p w14:paraId="4124C0DC" w14:textId="77777777" w:rsidR="00394471" w:rsidRPr="00FA0D37" w:rsidRDefault="00394471" w:rsidP="00FA0D37">
      <w:pPr>
        <w:pStyle w:val="PL"/>
      </w:pPr>
      <w:r w:rsidRPr="00FA0D37">
        <w:t xml:space="preserve">        counterCheck                        CounterCheck,</w:t>
      </w:r>
    </w:p>
    <w:p w14:paraId="3A079E0D" w14:textId="77777777" w:rsidR="00394471" w:rsidRPr="00FA0D37" w:rsidRDefault="00394471" w:rsidP="00FA0D37">
      <w:pPr>
        <w:pStyle w:val="PL"/>
      </w:pPr>
      <w:r w:rsidRPr="00FA0D37">
        <w:t xml:space="preserve">        mobilityFromNRCommand               MobilityFromNRCommand,</w:t>
      </w:r>
    </w:p>
    <w:p w14:paraId="5147224D" w14:textId="77777777" w:rsidR="00394471" w:rsidRPr="00FA0D37" w:rsidRDefault="00394471" w:rsidP="00FA0D37">
      <w:pPr>
        <w:pStyle w:val="PL"/>
      </w:pPr>
      <w:r w:rsidRPr="00FA0D37">
        <w:t xml:space="preserve">        dlDedicatedMessageSegment-r16       DLDedicatedMessageSegment-r16,</w:t>
      </w:r>
    </w:p>
    <w:p w14:paraId="30FBCC0D" w14:textId="77777777" w:rsidR="00394471" w:rsidRPr="00FA0D37" w:rsidRDefault="00394471" w:rsidP="00FA0D37">
      <w:pPr>
        <w:pStyle w:val="PL"/>
      </w:pPr>
      <w:r w:rsidRPr="00FA0D37">
        <w:t xml:space="preserve">        ueInformationRequest-r16            UEInformationRequest-r16,</w:t>
      </w:r>
    </w:p>
    <w:p w14:paraId="46CFCDAA" w14:textId="77777777" w:rsidR="00394471" w:rsidRPr="00FA0D37" w:rsidRDefault="00394471" w:rsidP="00FA0D37">
      <w:pPr>
        <w:pStyle w:val="PL"/>
      </w:pPr>
      <w:r w:rsidRPr="00FA0D37">
        <w:t xml:space="preserve">        dlInformationTransferMRDC-r16       DLInformationTransferMRDC-r16,</w:t>
      </w:r>
    </w:p>
    <w:p w14:paraId="2D11BC6A" w14:textId="77777777" w:rsidR="00394471" w:rsidRPr="00FA0D37" w:rsidRDefault="00394471" w:rsidP="00FA0D37">
      <w:pPr>
        <w:pStyle w:val="PL"/>
      </w:pPr>
      <w:r w:rsidRPr="00FA0D37">
        <w:t xml:space="preserve">        loggedMeasurementConfiguration-r16  LoggedMeasurementConfiguration-r16,</w:t>
      </w:r>
    </w:p>
    <w:p w14:paraId="1C75F731" w14:textId="77777777" w:rsidR="00394471" w:rsidRPr="00FA0D37" w:rsidRDefault="00394471" w:rsidP="00FA0D37">
      <w:pPr>
        <w:pStyle w:val="PL"/>
      </w:pPr>
      <w:r w:rsidRPr="00FA0D37">
        <w:t xml:space="preserve">                spare3 </w:t>
      </w:r>
      <w:r w:rsidRPr="00FA0D37">
        <w:rPr>
          <w:color w:val="993366"/>
        </w:rPr>
        <w:t>NULL</w:t>
      </w:r>
      <w:r w:rsidRPr="00FA0D37">
        <w:t xml:space="preserve">, spare2 </w:t>
      </w:r>
      <w:r w:rsidRPr="00FA0D37">
        <w:rPr>
          <w:color w:val="993366"/>
        </w:rPr>
        <w:t>NULL</w:t>
      </w:r>
      <w:r w:rsidRPr="00FA0D37">
        <w:t xml:space="preserve">, spare1 </w:t>
      </w:r>
      <w:r w:rsidRPr="00FA0D37">
        <w:rPr>
          <w:color w:val="993366"/>
        </w:rPr>
        <w:t>NULL</w:t>
      </w:r>
    </w:p>
    <w:p w14:paraId="7498CD9E" w14:textId="77777777" w:rsidR="00394471" w:rsidRPr="00FA0D37" w:rsidRDefault="00394471" w:rsidP="00FA0D37">
      <w:pPr>
        <w:pStyle w:val="PL"/>
      </w:pPr>
      <w:r w:rsidRPr="00FA0D37">
        <w:t xml:space="preserve">    },</w:t>
      </w:r>
    </w:p>
    <w:p w14:paraId="251516CB" w14:textId="77777777" w:rsidR="00394471" w:rsidRPr="00FA0D37" w:rsidRDefault="00394471" w:rsidP="00FA0D37">
      <w:pPr>
        <w:pStyle w:val="PL"/>
      </w:pPr>
      <w:r w:rsidRPr="00FA0D37">
        <w:t xml:space="preserve">    messageClassExtension   </w:t>
      </w:r>
      <w:r w:rsidRPr="00FA0D37">
        <w:rPr>
          <w:color w:val="993366"/>
        </w:rPr>
        <w:t>SEQUENCE</w:t>
      </w:r>
      <w:r w:rsidRPr="00FA0D37">
        <w:t xml:space="preserve"> {}</w:t>
      </w:r>
    </w:p>
    <w:p w14:paraId="35182EE8" w14:textId="77777777" w:rsidR="00394471" w:rsidRPr="00FA0D37" w:rsidRDefault="00394471" w:rsidP="00FA0D37">
      <w:pPr>
        <w:pStyle w:val="PL"/>
      </w:pPr>
      <w:r w:rsidRPr="00FA0D37">
        <w:t>}</w:t>
      </w:r>
    </w:p>
    <w:p w14:paraId="7BCC46DB" w14:textId="77777777" w:rsidR="00394471" w:rsidRPr="00FA0D37" w:rsidRDefault="00394471" w:rsidP="00FA0D37">
      <w:pPr>
        <w:pStyle w:val="PL"/>
      </w:pPr>
    </w:p>
    <w:p w14:paraId="66C731D2" w14:textId="77777777" w:rsidR="00394471" w:rsidRPr="00FA0D37" w:rsidRDefault="00394471" w:rsidP="00FA0D37">
      <w:pPr>
        <w:pStyle w:val="PL"/>
        <w:rPr>
          <w:color w:val="808080"/>
        </w:rPr>
      </w:pPr>
      <w:r w:rsidRPr="00FA0D37">
        <w:rPr>
          <w:color w:val="808080"/>
        </w:rPr>
        <w:t>-- TAG-DL-DCCH-MESSAGE-STOP</w:t>
      </w:r>
    </w:p>
    <w:p w14:paraId="02CF45A5" w14:textId="77777777" w:rsidR="00394471" w:rsidRPr="00FA0D37" w:rsidRDefault="00394471" w:rsidP="00FA0D37">
      <w:pPr>
        <w:pStyle w:val="PL"/>
        <w:rPr>
          <w:color w:val="808080"/>
        </w:rPr>
      </w:pPr>
      <w:r w:rsidRPr="00FA0D37">
        <w:rPr>
          <w:color w:val="808080"/>
        </w:rPr>
        <w:t>-- ASN1STOP</w:t>
      </w:r>
    </w:p>
    <w:p w14:paraId="64AF842F" w14:textId="3EAD0512" w:rsidR="00394471" w:rsidRPr="00FA0D37" w:rsidRDefault="00394471" w:rsidP="00394471"/>
    <w:p w14:paraId="318921A8" w14:textId="77777777" w:rsidR="00214323" w:rsidRPr="00FA0D37" w:rsidRDefault="00214323" w:rsidP="00214323">
      <w:pPr>
        <w:pStyle w:val="4"/>
        <w:rPr>
          <w:i/>
          <w:iCs/>
        </w:rPr>
      </w:pPr>
      <w:bookmarkStart w:id="381" w:name="_Toc146781118"/>
      <w:r w:rsidRPr="00FA0D37">
        <w:rPr>
          <w:i/>
          <w:iCs/>
        </w:rPr>
        <w:t>–</w:t>
      </w:r>
      <w:r w:rsidRPr="00FA0D37">
        <w:rPr>
          <w:i/>
          <w:iCs/>
        </w:rPr>
        <w:tab/>
        <w:t>MCCH-Message</w:t>
      </w:r>
      <w:bookmarkEnd w:id="381"/>
    </w:p>
    <w:p w14:paraId="74DCF9AD" w14:textId="77777777" w:rsidR="00214323" w:rsidRPr="00FA0D37" w:rsidRDefault="00214323" w:rsidP="00214323">
      <w:pPr>
        <w:rPr>
          <w:lang w:eastAsia="zh-CN"/>
        </w:rPr>
      </w:pPr>
      <w:r w:rsidRPr="00FA0D37">
        <w:rPr>
          <w:lang w:eastAsia="zh-CN"/>
        </w:rPr>
        <w:t xml:space="preserve">The </w:t>
      </w:r>
      <w:r w:rsidRPr="00FA0D37">
        <w:rPr>
          <w:i/>
          <w:lang w:eastAsia="zh-CN"/>
        </w:rPr>
        <w:t>MCCH-Message</w:t>
      </w:r>
      <w:r w:rsidRPr="00FA0D37">
        <w:rPr>
          <w:lang w:eastAsia="zh-CN"/>
        </w:rPr>
        <w:t xml:space="preserve"> class is the set of RRC messages that may be sent from the network to the UE on the MCCH logical channel.</w:t>
      </w:r>
    </w:p>
    <w:p w14:paraId="5C636545" w14:textId="77777777" w:rsidR="00214323" w:rsidRPr="00FA0D37" w:rsidRDefault="00214323" w:rsidP="00FA0D37">
      <w:pPr>
        <w:pStyle w:val="PL"/>
        <w:rPr>
          <w:color w:val="808080"/>
        </w:rPr>
      </w:pPr>
      <w:r w:rsidRPr="00FA0D37">
        <w:rPr>
          <w:color w:val="808080"/>
        </w:rPr>
        <w:t>-- ASN1START</w:t>
      </w:r>
    </w:p>
    <w:p w14:paraId="6C30F8FB" w14:textId="77777777" w:rsidR="00214323" w:rsidRPr="00FA0D37" w:rsidRDefault="00214323" w:rsidP="00FA0D37">
      <w:pPr>
        <w:pStyle w:val="PL"/>
        <w:rPr>
          <w:color w:val="808080"/>
        </w:rPr>
      </w:pPr>
      <w:r w:rsidRPr="00FA0D37">
        <w:rPr>
          <w:color w:val="808080"/>
        </w:rPr>
        <w:t>-- TAG-MCCH-MESSAGE-START</w:t>
      </w:r>
    </w:p>
    <w:p w14:paraId="2DCCAB1F" w14:textId="77777777" w:rsidR="00214323" w:rsidRPr="00FA0D37" w:rsidRDefault="00214323" w:rsidP="00FA0D37">
      <w:pPr>
        <w:pStyle w:val="PL"/>
      </w:pPr>
    </w:p>
    <w:p w14:paraId="1FCD9A82" w14:textId="77777777" w:rsidR="00214323" w:rsidRPr="00FA0D37" w:rsidRDefault="00214323" w:rsidP="00FA0D37">
      <w:pPr>
        <w:pStyle w:val="PL"/>
      </w:pPr>
      <w:r w:rsidRPr="00FA0D37">
        <w:t xml:space="preserve">MCCH-Message-r17 ::= </w:t>
      </w:r>
      <w:r w:rsidRPr="00FA0D37">
        <w:rPr>
          <w:color w:val="993366"/>
        </w:rPr>
        <w:t>SEQUENCE</w:t>
      </w:r>
      <w:r w:rsidRPr="00FA0D37">
        <w:t xml:space="preserve"> {</w:t>
      </w:r>
    </w:p>
    <w:p w14:paraId="2DAD2354" w14:textId="4A00E134" w:rsidR="00214323" w:rsidRPr="00FA0D37" w:rsidRDefault="00214323" w:rsidP="00FA0D37">
      <w:pPr>
        <w:pStyle w:val="PL"/>
      </w:pPr>
      <w:r w:rsidRPr="00FA0D37">
        <w:t xml:space="preserve">    message              MCCH-MessageType-r17</w:t>
      </w:r>
    </w:p>
    <w:p w14:paraId="66310689" w14:textId="77777777" w:rsidR="00214323" w:rsidRPr="00FA0D37" w:rsidRDefault="00214323" w:rsidP="00FA0D37">
      <w:pPr>
        <w:pStyle w:val="PL"/>
      </w:pPr>
      <w:r w:rsidRPr="00FA0D37">
        <w:t>}</w:t>
      </w:r>
    </w:p>
    <w:p w14:paraId="01D49861" w14:textId="77777777" w:rsidR="00214323" w:rsidRPr="00FA0D37" w:rsidRDefault="00214323" w:rsidP="00FA0D37">
      <w:pPr>
        <w:pStyle w:val="PL"/>
      </w:pPr>
    </w:p>
    <w:p w14:paraId="53E67636" w14:textId="77777777" w:rsidR="00214323" w:rsidRPr="00FA0D37" w:rsidRDefault="00214323" w:rsidP="00FA0D37">
      <w:pPr>
        <w:pStyle w:val="PL"/>
      </w:pPr>
      <w:r w:rsidRPr="00FA0D37">
        <w:t xml:space="preserve">MCCH-MessageType-r17 ::= </w:t>
      </w:r>
      <w:r w:rsidRPr="00FA0D37">
        <w:rPr>
          <w:color w:val="993366"/>
        </w:rPr>
        <w:t>CHOICE</w:t>
      </w:r>
      <w:r w:rsidRPr="00FA0D37">
        <w:t xml:space="preserve"> {</w:t>
      </w:r>
    </w:p>
    <w:p w14:paraId="4B51DF91" w14:textId="3F77B143" w:rsidR="00214323" w:rsidRPr="00FA0D37" w:rsidRDefault="00214323" w:rsidP="00FA0D37">
      <w:pPr>
        <w:pStyle w:val="PL"/>
      </w:pPr>
      <w:r w:rsidRPr="00FA0D37">
        <w:t xml:space="preserve">    c1                       </w:t>
      </w:r>
      <w:r w:rsidRPr="00FA0D37">
        <w:rPr>
          <w:color w:val="993366"/>
        </w:rPr>
        <w:t>CHOICE</w:t>
      </w:r>
      <w:r w:rsidRPr="00FA0D37">
        <w:t xml:space="preserve"> {</w:t>
      </w:r>
    </w:p>
    <w:p w14:paraId="1EFAA860" w14:textId="4EB72BFC" w:rsidR="00214323" w:rsidRPr="00FA0D37" w:rsidRDefault="00214323" w:rsidP="00FA0D37">
      <w:pPr>
        <w:pStyle w:val="PL"/>
      </w:pPr>
      <w:r w:rsidRPr="00FA0D37">
        <w:t xml:space="preserve">        mbsBroadcastConfiguration-r17     MBSBroadcastConfiguration-r17,</w:t>
      </w:r>
    </w:p>
    <w:p w14:paraId="111A3788" w14:textId="45650539" w:rsidR="00214323" w:rsidRPr="00FA0D37" w:rsidRDefault="00214323" w:rsidP="00FA0D37">
      <w:pPr>
        <w:pStyle w:val="PL"/>
      </w:pPr>
      <w:r w:rsidRPr="00FA0D37">
        <w:t xml:space="preserve">        spare1                            </w:t>
      </w:r>
      <w:r w:rsidRPr="00FA0D37">
        <w:rPr>
          <w:color w:val="993366"/>
        </w:rPr>
        <w:t>NULL</w:t>
      </w:r>
    </w:p>
    <w:p w14:paraId="35D108EA" w14:textId="19B873A5" w:rsidR="00214323" w:rsidRPr="00FA0D37" w:rsidRDefault="00214323" w:rsidP="00FA0D37">
      <w:pPr>
        <w:pStyle w:val="PL"/>
      </w:pPr>
      <w:r w:rsidRPr="00FA0D37">
        <w:t xml:space="preserve">    },</w:t>
      </w:r>
    </w:p>
    <w:p w14:paraId="2F4FCECD" w14:textId="77777777" w:rsidR="00214323" w:rsidRPr="00FA0D37" w:rsidRDefault="00214323" w:rsidP="00FA0D37">
      <w:pPr>
        <w:pStyle w:val="PL"/>
      </w:pPr>
      <w:r w:rsidRPr="00FA0D37">
        <w:t xml:space="preserve">    messageClassExtension   </w:t>
      </w:r>
      <w:r w:rsidRPr="00FA0D37">
        <w:rPr>
          <w:color w:val="993366"/>
        </w:rPr>
        <w:t>SEQUENCE</w:t>
      </w:r>
      <w:r w:rsidRPr="00FA0D37">
        <w:t xml:space="preserve"> {}</w:t>
      </w:r>
    </w:p>
    <w:p w14:paraId="23BD677D" w14:textId="77777777" w:rsidR="00214323" w:rsidRPr="00FA0D37" w:rsidRDefault="00214323" w:rsidP="00FA0D37">
      <w:pPr>
        <w:pStyle w:val="PL"/>
      </w:pPr>
      <w:r w:rsidRPr="00FA0D37">
        <w:t>}</w:t>
      </w:r>
    </w:p>
    <w:p w14:paraId="3437F828" w14:textId="77777777" w:rsidR="00214323" w:rsidRPr="00FA0D37" w:rsidRDefault="00214323" w:rsidP="00FA0D37">
      <w:pPr>
        <w:pStyle w:val="PL"/>
      </w:pPr>
    </w:p>
    <w:p w14:paraId="6237F6E3" w14:textId="77777777" w:rsidR="00214323" w:rsidRPr="00FA0D37" w:rsidRDefault="00214323" w:rsidP="00FA0D37">
      <w:pPr>
        <w:pStyle w:val="PL"/>
        <w:rPr>
          <w:color w:val="808080"/>
        </w:rPr>
      </w:pPr>
      <w:r w:rsidRPr="00FA0D37">
        <w:rPr>
          <w:color w:val="808080"/>
        </w:rPr>
        <w:t>-- TAG-MCCH-MESSAGE-STOP</w:t>
      </w:r>
    </w:p>
    <w:p w14:paraId="180752EF" w14:textId="77777777" w:rsidR="00214323" w:rsidRPr="00FA0D37" w:rsidRDefault="00214323" w:rsidP="00FA0D37">
      <w:pPr>
        <w:pStyle w:val="PL"/>
        <w:rPr>
          <w:color w:val="808080"/>
        </w:rPr>
      </w:pPr>
      <w:r w:rsidRPr="00FA0D37">
        <w:rPr>
          <w:color w:val="808080"/>
        </w:rPr>
        <w:t>-- ASN1STOP</w:t>
      </w:r>
    </w:p>
    <w:p w14:paraId="18CF212B" w14:textId="77777777" w:rsidR="00103DA3" w:rsidRDefault="00103DA3" w:rsidP="00103DA3">
      <w:pPr>
        <w:rPr>
          <w:ins w:id="382" w:author="Huawei, HiSilicon" w:date="2023-12-01T18:27:00Z"/>
          <w:rFonts w:eastAsia="Yu Mincho"/>
        </w:rPr>
      </w:pPr>
    </w:p>
    <w:p w14:paraId="5D3828B0" w14:textId="77777777" w:rsidR="00103DA3" w:rsidRPr="00103DA3" w:rsidRDefault="00103DA3" w:rsidP="00103DA3">
      <w:pPr>
        <w:pStyle w:val="4"/>
        <w:rPr>
          <w:ins w:id="383" w:author="Huawei, HiSilicon" w:date="2023-12-01T18:27:00Z"/>
          <w:i/>
          <w:iCs/>
        </w:rPr>
      </w:pPr>
      <w:ins w:id="384" w:author="Huawei, HiSilicon" w:date="2023-12-01T18:27:00Z">
        <w:r w:rsidRPr="00103DA3">
          <w:rPr>
            <w:i/>
            <w:iCs/>
          </w:rPr>
          <w:lastRenderedPageBreak/>
          <w:t>–</w:t>
        </w:r>
        <w:r w:rsidRPr="00103DA3">
          <w:rPr>
            <w:i/>
            <w:iCs/>
          </w:rPr>
          <w:tab/>
          <w:t>MulticastMCCH-Message</w:t>
        </w:r>
      </w:ins>
    </w:p>
    <w:p w14:paraId="4E7DDF5F" w14:textId="77777777" w:rsidR="00103DA3" w:rsidRDefault="00103DA3" w:rsidP="00103DA3">
      <w:pPr>
        <w:rPr>
          <w:ins w:id="385" w:author="Huawei, HiSilicon" w:date="2023-12-01T18:27:00Z"/>
          <w:lang w:eastAsia="zh-CN"/>
        </w:rPr>
      </w:pPr>
      <w:ins w:id="386" w:author="Huawei, HiSilicon" w:date="2023-12-01T18:27:00Z">
        <w:r>
          <w:rPr>
            <w:lang w:eastAsia="zh-CN"/>
          </w:rPr>
          <w:t xml:space="preserve">The </w:t>
        </w:r>
        <w:bookmarkStart w:id="387" w:name="_Hlk152352911"/>
        <w:r>
          <w:rPr>
            <w:i/>
            <w:lang w:eastAsia="zh-CN"/>
          </w:rPr>
          <w:t>MulticastMCCH-Message</w:t>
        </w:r>
        <w:bookmarkEnd w:id="387"/>
        <w:r>
          <w:rPr>
            <w:lang w:eastAsia="zh-CN"/>
          </w:rPr>
          <w:t xml:space="preserve"> class is the set of RRC messages that may be sent from the network to the UE on the </w:t>
        </w:r>
      </w:ins>
      <w:ins w:id="388" w:author="Huawei, HiSilicon" w:date="2023-12-01T18:28:00Z">
        <w:r>
          <w:rPr>
            <w:lang w:eastAsia="zh-CN"/>
          </w:rPr>
          <w:t xml:space="preserve">Multicast </w:t>
        </w:r>
      </w:ins>
      <w:ins w:id="389" w:author="Huawei, HiSilicon" w:date="2023-12-01T18:27:00Z">
        <w:r>
          <w:rPr>
            <w:lang w:eastAsia="zh-CN"/>
          </w:rPr>
          <w:t>MCCH logical channel.</w:t>
        </w:r>
      </w:ins>
    </w:p>
    <w:p w14:paraId="4DEF2DE1" w14:textId="77777777" w:rsidR="00103DA3" w:rsidRPr="002523A1" w:rsidRDefault="00103DA3" w:rsidP="00103DA3">
      <w:pPr>
        <w:pStyle w:val="PL"/>
        <w:rPr>
          <w:ins w:id="390" w:author="Huawei, HiSilicon" w:date="2023-12-01T18:27:00Z"/>
          <w:color w:val="808080"/>
        </w:rPr>
      </w:pPr>
      <w:ins w:id="391" w:author="Huawei, HiSilicon" w:date="2023-12-01T18:27:00Z">
        <w:r w:rsidRPr="002523A1">
          <w:rPr>
            <w:color w:val="808080"/>
          </w:rPr>
          <w:t>-- ASN1START</w:t>
        </w:r>
      </w:ins>
    </w:p>
    <w:p w14:paraId="6BBFFFEE" w14:textId="77777777" w:rsidR="00103DA3" w:rsidRPr="002523A1" w:rsidRDefault="00103DA3" w:rsidP="00103DA3">
      <w:pPr>
        <w:pStyle w:val="PL"/>
        <w:rPr>
          <w:ins w:id="392" w:author="Huawei, HiSilicon" w:date="2023-12-01T18:27:00Z"/>
          <w:color w:val="808080"/>
        </w:rPr>
      </w:pPr>
      <w:ins w:id="393" w:author="Huawei, HiSilicon" w:date="2023-12-01T18:27:00Z">
        <w:r w:rsidRPr="002523A1">
          <w:rPr>
            <w:color w:val="808080"/>
          </w:rPr>
          <w:t>-- TAG-</w:t>
        </w:r>
      </w:ins>
      <w:ins w:id="394" w:author="Huawei, HiSilicon" w:date="2023-12-01T18:28:00Z">
        <w:r w:rsidRPr="002523A1">
          <w:rPr>
            <w:color w:val="808080"/>
          </w:rPr>
          <w:t>M</w:t>
        </w:r>
      </w:ins>
      <w:ins w:id="395" w:author="Huawei, HiSilicon" w:date="2023-12-02T07:37:00Z">
        <w:r w:rsidRPr="002523A1">
          <w:rPr>
            <w:color w:val="808080"/>
          </w:rPr>
          <w:t>ULTICAST</w:t>
        </w:r>
      </w:ins>
      <w:ins w:id="396" w:author="Huawei, HiSilicon" w:date="2023-12-01T18:27:00Z">
        <w:r w:rsidRPr="002523A1">
          <w:rPr>
            <w:color w:val="808080"/>
          </w:rPr>
          <w:t>MCCH-MESSAGE-START</w:t>
        </w:r>
      </w:ins>
    </w:p>
    <w:p w14:paraId="3FCA3C94" w14:textId="77777777" w:rsidR="00103DA3" w:rsidRDefault="00103DA3" w:rsidP="00103DA3">
      <w:pPr>
        <w:pStyle w:val="PL"/>
        <w:rPr>
          <w:ins w:id="397" w:author="Huawei, HiSilicon" w:date="2023-12-01T18:27:00Z"/>
        </w:rPr>
      </w:pPr>
    </w:p>
    <w:p w14:paraId="4C82E1FE" w14:textId="77777777" w:rsidR="00103DA3" w:rsidRDefault="00103DA3" w:rsidP="00103DA3">
      <w:pPr>
        <w:pStyle w:val="PL"/>
        <w:rPr>
          <w:ins w:id="398" w:author="Huawei, HiSilicon" w:date="2023-12-01T18:27:00Z"/>
        </w:rPr>
      </w:pPr>
      <w:ins w:id="399" w:author="Huawei, HiSilicon" w:date="2023-12-01T18:28:00Z">
        <w:r>
          <w:t>Multicast</w:t>
        </w:r>
      </w:ins>
      <w:ins w:id="400" w:author="Huawei, HiSilicon" w:date="2023-12-01T18:27:00Z">
        <w:r>
          <w:t>MCCH-Message-r1</w:t>
        </w:r>
      </w:ins>
      <w:ins w:id="401" w:author="Huawei, HiSilicon" w:date="2023-12-01T18:28:00Z">
        <w:r>
          <w:t>8</w:t>
        </w:r>
      </w:ins>
      <w:ins w:id="402" w:author="Huawei, HiSilicon" w:date="2023-12-01T18:27:00Z">
        <w:r>
          <w:t xml:space="preserve"> ::= </w:t>
        </w:r>
        <w:r>
          <w:rPr>
            <w:color w:val="993366"/>
          </w:rPr>
          <w:t>SEQUENCE</w:t>
        </w:r>
        <w:r>
          <w:t xml:space="preserve"> {</w:t>
        </w:r>
      </w:ins>
    </w:p>
    <w:p w14:paraId="54249A26" w14:textId="77777777" w:rsidR="00103DA3" w:rsidRDefault="00103DA3" w:rsidP="00103DA3">
      <w:pPr>
        <w:pStyle w:val="PL"/>
        <w:rPr>
          <w:ins w:id="403" w:author="Huawei, HiSilicon" w:date="2023-12-01T18:27:00Z"/>
        </w:rPr>
      </w:pPr>
      <w:ins w:id="404" w:author="Huawei, HiSilicon" w:date="2023-12-01T18:27:00Z">
        <w:r>
          <w:t xml:space="preserve">    message              </w:t>
        </w:r>
      </w:ins>
      <w:ins w:id="405" w:author="Huawei, HiSilicon" w:date="2023-12-01T18:28:00Z">
        <w:r>
          <w:t>Multicast</w:t>
        </w:r>
      </w:ins>
      <w:ins w:id="406" w:author="Huawei, HiSilicon" w:date="2023-12-01T18:27:00Z">
        <w:r>
          <w:t>MCCH-MessageType-r1</w:t>
        </w:r>
      </w:ins>
      <w:ins w:id="407" w:author="Huawei, HiSilicon" w:date="2023-12-01T18:28:00Z">
        <w:r>
          <w:t>8</w:t>
        </w:r>
      </w:ins>
    </w:p>
    <w:p w14:paraId="1B3A8B95" w14:textId="77777777" w:rsidR="00103DA3" w:rsidRDefault="00103DA3" w:rsidP="00103DA3">
      <w:pPr>
        <w:pStyle w:val="PL"/>
        <w:rPr>
          <w:ins w:id="408" w:author="Huawei, HiSilicon" w:date="2023-12-01T18:27:00Z"/>
        </w:rPr>
      </w:pPr>
      <w:ins w:id="409" w:author="Huawei, HiSilicon" w:date="2023-12-01T18:27:00Z">
        <w:r>
          <w:t>}</w:t>
        </w:r>
      </w:ins>
    </w:p>
    <w:p w14:paraId="30099C8F" w14:textId="77777777" w:rsidR="00103DA3" w:rsidRDefault="00103DA3" w:rsidP="00103DA3">
      <w:pPr>
        <w:pStyle w:val="PL"/>
        <w:rPr>
          <w:ins w:id="410" w:author="Huawei, HiSilicon" w:date="2023-12-01T18:27:00Z"/>
        </w:rPr>
      </w:pPr>
    </w:p>
    <w:p w14:paraId="7BC7F416" w14:textId="77777777" w:rsidR="00103DA3" w:rsidRDefault="00103DA3" w:rsidP="00103DA3">
      <w:pPr>
        <w:pStyle w:val="PL"/>
        <w:rPr>
          <w:ins w:id="411" w:author="Huawei, HiSilicon" w:date="2023-12-01T18:27:00Z"/>
        </w:rPr>
      </w:pPr>
      <w:ins w:id="412" w:author="Huawei, HiSilicon" w:date="2023-12-01T18:28:00Z">
        <w:r>
          <w:t>Multicast</w:t>
        </w:r>
      </w:ins>
      <w:ins w:id="413" w:author="Huawei, HiSilicon" w:date="2023-12-01T18:27:00Z">
        <w:r>
          <w:t>MCCH-MessageType-r1</w:t>
        </w:r>
      </w:ins>
      <w:ins w:id="414" w:author="Huawei, HiSilicon" w:date="2023-12-01T18:28:00Z">
        <w:r>
          <w:t>8</w:t>
        </w:r>
      </w:ins>
      <w:ins w:id="415" w:author="Huawei, HiSilicon" w:date="2023-12-01T18:27:00Z">
        <w:r>
          <w:t xml:space="preserve"> ::= </w:t>
        </w:r>
        <w:r>
          <w:rPr>
            <w:color w:val="993366"/>
          </w:rPr>
          <w:t>CHOICE</w:t>
        </w:r>
        <w:r>
          <w:t xml:space="preserve"> {</w:t>
        </w:r>
      </w:ins>
    </w:p>
    <w:p w14:paraId="40EBDD8A" w14:textId="77777777" w:rsidR="00103DA3" w:rsidRDefault="00103DA3" w:rsidP="00103DA3">
      <w:pPr>
        <w:pStyle w:val="PL"/>
        <w:rPr>
          <w:ins w:id="416" w:author="Huawei, HiSilicon" w:date="2023-12-01T18:27:00Z"/>
        </w:rPr>
      </w:pPr>
      <w:ins w:id="417" w:author="Huawei, HiSilicon" w:date="2023-12-01T18:27:00Z">
        <w:r>
          <w:t xml:space="preserve">    c1                       </w:t>
        </w:r>
        <w:r>
          <w:rPr>
            <w:color w:val="993366"/>
          </w:rPr>
          <w:t>CHOICE</w:t>
        </w:r>
        <w:r>
          <w:t xml:space="preserve"> {</w:t>
        </w:r>
      </w:ins>
    </w:p>
    <w:p w14:paraId="339EC030" w14:textId="77777777" w:rsidR="00103DA3" w:rsidRDefault="00103DA3" w:rsidP="00103DA3">
      <w:pPr>
        <w:pStyle w:val="PL"/>
        <w:rPr>
          <w:ins w:id="418" w:author="Huawei, HiSilicon" w:date="2023-12-01T18:27:00Z"/>
        </w:rPr>
      </w:pPr>
      <w:ins w:id="419" w:author="Huawei, HiSilicon" w:date="2023-12-01T18:27:00Z">
        <w:r>
          <w:t xml:space="preserve">        mbs</w:t>
        </w:r>
      </w:ins>
      <w:ins w:id="420" w:author="Huawei, HiSilicon" w:date="2023-12-01T18:28:00Z">
        <w:r>
          <w:t>Multicast</w:t>
        </w:r>
      </w:ins>
      <w:ins w:id="421" w:author="Huawei, HiSilicon" w:date="2023-12-01T18:27:00Z">
        <w:r>
          <w:t>Configuration-r1</w:t>
        </w:r>
      </w:ins>
      <w:ins w:id="422" w:author="Huawei, HiSilicon" w:date="2023-12-01T18:28:00Z">
        <w:r>
          <w:t>8</w:t>
        </w:r>
      </w:ins>
      <w:ins w:id="423" w:author="Huawei, HiSilicon" w:date="2023-12-01T18:27:00Z">
        <w:r>
          <w:t xml:space="preserve">     MBS</w:t>
        </w:r>
      </w:ins>
      <w:ins w:id="424" w:author="Huawei, HiSilicon" w:date="2023-12-01T18:28:00Z">
        <w:r>
          <w:t>Multicast</w:t>
        </w:r>
      </w:ins>
      <w:ins w:id="425" w:author="Huawei, HiSilicon" w:date="2023-12-01T18:27:00Z">
        <w:r>
          <w:t>Configuration-r1</w:t>
        </w:r>
      </w:ins>
      <w:ins w:id="426" w:author="Huawei, HiSilicon" w:date="2023-12-01T18:28:00Z">
        <w:r>
          <w:t>8</w:t>
        </w:r>
      </w:ins>
      <w:ins w:id="427" w:author="Huawei, HiSilicon" w:date="2023-12-01T18:27:00Z">
        <w:r>
          <w:t>,</w:t>
        </w:r>
      </w:ins>
    </w:p>
    <w:p w14:paraId="6C3FCF18" w14:textId="77777777" w:rsidR="00103DA3" w:rsidRDefault="00103DA3" w:rsidP="00103DA3">
      <w:pPr>
        <w:pStyle w:val="PL"/>
        <w:rPr>
          <w:ins w:id="428" w:author="Huawei, HiSilicon" w:date="2023-12-01T18:27:00Z"/>
        </w:rPr>
      </w:pPr>
      <w:ins w:id="429" w:author="Huawei, HiSilicon" w:date="2023-12-01T18:27:00Z">
        <w:r>
          <w:t xml:space="preserve">        spare1                            </w:t>
        </w:r>
        <w:r>
          <w:rPr>
            <w:color w:val="993366"/>
          </w:rPr>
          <w:t>NULL</w:t>
        </w:r>
      </w:ins>
    </w:p>
    <w:p w14:paraId="66F8CDDE" w14:textId="77777777" w:rsidR="00103DA3" w:rsidRDefault="00103DA3" w:rsidP="00103DA3">
      <w:pPr>
        <w:pStyle w:val="PL"/>
        <w:rPr>
          <w:ins w:id="430" w:author="Huawei, HiSilicon" w:date="2023-12-01T18:27:00Z"/>
        </w:rPr>
      </w:pPr>
      <w:ins w:id="431" w:author="Huawei, HiSilicon" w:date="2023-12-01T18:27:00Z">
        <w:r>
          <w:t xml:space="preserve">    },</w:t>
        </w:r>
      </w:ins>
    </w:p>
    <w:p w14:paraId="71FEAB1E" w14:textId="77777777" w:rsidR="00103DA3" w:rsidRDefault="00103DA3" w:rsidP="00103DA3">
      <w:pPr>
        <w:pStyle w:val="PL"/>
        <w:rPr>
          <w:ins w:id="432" w:author="Huawei, HiSilicon" w:date="2023-12-01T18:27:00Z"/>
        </w:rPr>
      </w:pPr>
      <w:ins w:id="433" w:author="Huawei, HiSilicon" w:date="2023-12-01T18:27:00Z">
        <w:r>
          <w:t xml:space="preserve">    messageClassExtension   </w:t>
        </w:r>
        <w:r>
          <w:rPr>
            <w:color w:val="993366"/>
          </w:rPr>
          <w:t>SEQUENCE</w:t>
        </w:r>
        <w:r>
          <w:t xml:space="preserve"> {}</w:t>
        </w:r>
      </w:ins>
    </w:p>
    <w:p w14:paraId="51F78633" w14:textId="77777777" w:rsidR="00103DA3" w:rsidRDefault="00103DA3" w:rsidP="00103DA3">
      <w:pPr>
        <w:pStyle w:val="PL"/>
        <w:rPr>
          <w:ins w:id="434" w:author="Huawei, HiSilicon" w:date="2023-12-01T18:27:00Z"/>
        </w:rPr>
      </w:pPr>
      <w:ins w:id="435" w:author="Huawei, HiSilicon" w:date="2023-12-01T18:27:00Z">
        <w:r>
          <w:t>}</w:t>
        </w:r>
      </w:ins>
    </w:p>
    <w:p w14:paraId="1FE42660" w14:textId="77777777" w:rsidR="00103DA3" w:rsidRDefault="00103DA3" w:rsidP="00103DA3">
      <w:pPr>
        <w:pStyle w:val="PL"/>
        <w:rPr>
          <w:ins w:id="436" w:author="Huawei, HiSilicon" w:date="2023-12-01T18:27:00Z"/>
        </w:rPr>
      </w:pPr>
    </w:p>
    <w:p w14:paraId="0EA0EE2B" w14:textId="77777777" w:rsidR="00103DA3" w:rsidRPr="002523A1" w:rsidRDefault="00103DA3" w:rsidP="00103DA3">
      <w:pPr>
        <w:pStyle w:val="PL"/>
        <w:rPr>
          <w:ins w:id="437" w:author="Huawei, HiSilicon" w:date="2023-12-01T18:27:00Z"/>
          <w:color w:val="808080"/>
        </w:rPr>
      </w:pPr>
      <w:ins w:id="438" w:author="Huawei, HiSilicon" w:date="2023-12-01T18:27:00Z">
        <w:r w:rsidRPr="002523A1">
          <w:rPr>
            <w:color w:val="808080"/>
          </w:rPr>
          <w:t>-- TAG-</w:t>
        </w:r>
      </w:ins>
      <w:ins w:id="439" w:author="Huawei, HiSilicon" w:date="2023-12-01T18:28:00Z">
        <w:r w:rsidRPr="002523A1">
          <w:rPr>
            <w:color w:val="808080"/>
          </w:rPr>
          <w:t>M</w:t>
        </w:r>
      </w:ins>
      <w:ins w:id="440" w:author="Huawei, HiSilicon" w:date="2023-12-02T07:38:00Z">
        <w:r w:rsidRPr="002523A1">
          <w:rPr>
            <w:color w:val="808080"/>
          </w:rPr>
          <w:t>ULTICAST</w:t>
        </w:r>
      </w:ins>
      <w:ins w:id="441" w:author="Huawei, HiSilicon" w:date="2023-12-01T18:27:00Z">
        <w:r w:rsidRPr="002523A1">
          <w:rPr>
            <w:color w:val="808080"/>
          </w:rPr>
          <w:t>MCCH-MESSAGE-STOP</w:t>
        </w:r>
      </w:ins>
    </w:p>
    <w:p w14:paraId="4EDDB16D" w14:textId="77777777" w:rsidR="00103DA3" w:rsidRPr="002523A1" w:rsidRDefault="00103DA3" w:rsidP="00103DA3">
      <w:pPr>
        <w:pStyle w:val="PL"/>
        <w:rPr>
          <w:ins w:id="442" w:author="Huawei, HiSilicon" w:date="2023-12-01T18:27:00Z"/>
          <w:color w:val="808080"/>
        </w:rPr>
      </w:pPr>
      <w:ins w:id="443" w:author="Huawei, HiSilicon" w:date="2023-12-01T18:27:00Z">
        <w:r w:rsidRPr="002523A1">
          <w:rPr>
            <w:color w:val="808080"/>
          </w:rPr>
          <w:t>-- ASN1STOP</w:t>
        </w:r>
      </w:ins>
    </w:p>
    <w:p w14:paraId="0EA84B79" w14:textId="77777777" w:rsidR="00214323" w:rsidRPr="00FA0D37" w:rsidRDefault="00214323" w:rsidP="00394471"/>
    <w:p w14:paraId="3C6EF696" w14:textId="77777777" w:rsidR="00394471" w:rsidRPr="00FA0D37" w:rsidRDefault="00394471" w:rsidP="00394471">
      <w:pPr>
        <w:pStyle w:val="4"/>
        <w:rPr>
          <w:i/>
          <w:iCs/>
        </w:rPr>
      </w:pPr>
      <w:bookmarkStart w:id="444" w:name="_Toc60777085"/>
      <w:bookmarkStart w:id="445" w:name="_Toc146781119"/>
      <w:r w:rsidRPr="00FA0D37">
        <w:rPr>
          <w:i/>
          <w:iCs/>
        </w:rPr>
        <w:t>–</w:t>
      </w:r>
      <w:r w:rsidRPr="00FA0D37">
        <w:rPr>
          <w:i/>
          <w:iCs/>
        </w:rPr>
        <w:tab/>
        <w:t>PCCH-Message</w:t>
      </w:r>
      <w:bookmarkEnd w:id="444"/>
      <w:bookmarkEnd w:id="445"/>
    </w:p>
    <w:p w14:paraId="07F6BE79" w14:textId="77777777" w:rsidR="00394471" w:rsidRPr="00FA0D37" w:rsidRDefault="00394471" w:rsidP="00394471">
      <w:r w:rsidRPr="00FA0D37">
        <w:t xml:space="preserve">The </w:t>
      </w:r>
      <w:r w:rsidRPr="00FA0D37">
        <w:rPr>
          <w:i/>
          <w:noProof/>
        </w:rPr>
        <w:t>PCCH-Message</w:t>
      </w:r>
      <w:r w:rsidRPr="00FA0D37">
        <w:t xml:space="preserve"> class is the set of RRC messages that may be sent from the Network to the UE on the PCCH logical channel.</w:t>
      </w:r>
    </w:p>
    <w:p w14:paraId="1FF5E39A" w14:textId="77777777" w:rsidR="00394471" w:rsidRPr="00FA0D37" w:rsidRDefault="00394471" w:rsidP="00FA0D37">
      <w:pPr>
        <w:pStyle w:val="PL"/>
        <w:rPr>
          <w:color w:val="808080"/>
        </w:rPr>
      </w:pPr>
      <w:r w:rsidRPr="00FA0D37">
        <w:rPr>
          <w:color w:val="808080"/>
        </w:rPr>
        <w:t>-- ASN1START</w:t>
      </w:r>
    </w:p>
    <w:p w14:paraId="372954E7" w14:textId="77777777" w:rsidR="00394471" w:rsidRPr="00FA0D37" w:rsidRDefault="00394471" w:rsidP="00FA0D37">
      <w:pPr>
        <w:pStyle w:val="PL"/>
        <w:rPr>
          <w:color w:val="808080"/>
        </w:rPr>
      </w:pPr>
      <w:r w:rsidRPr="00FA0D37">
        <w:rPr>
          <w:color w:val="808080"/>
        </w:rPr>
        <w:t>-- TAG-PCCH-PCH-MESSAGE-START</w:t>
      </w:r>
    </w:p>
    <w:p w14:paraId="47AAE01C" w14:textId="77777777" w:rsidR="00394471" w:rsidRPr="00FA0D37" w:rsidRDefault="00394471" w:rsidP="00FA0D37">
      <w:pPr>
        <w:pStyle w:val="PL"/>
      </w:pPr>
    </w:p>
    <w:p w14:paraId="016462E0" w14:textId="77777777" w:rsidR="00394471" w:rsidRPr="00FA0D37" w:rsidRDefault="00394471" w:rsidP="00FA0D37">
      <w:pPr>
        <w:pStyle w:val="PL"/>
      </w:pPr>
      <w:r w:rsidRPr="00FA0D37">
        <w:t xml:space="preserve">PCCH-Message ::=                </w:t>
      </w:r>
      <w:r w:rsidRPr="00FA0D37">
        <w:rPr>
          <w:color w:val="993366"/>
        </w:rPr>
        <w:t>SEQUENCE</w:t>
      </w:r>
      <w:r w:rsidRPr="00FA0D37">
        <w:t xml:space="preserve"> {</w:t>
      </w:r>
    </w:p>
    <w:p w14:paraId="0331D08B" w14:textId="77777777" w:rsidR="00394471" w:rsidRPr="00FA0D37" w:rsidRDefault="00394471" w:rsidP="00FA0D37">
      <w:pPr>
        <w:pStyle w:val="PL"/>
      </w:pPr>
      <w:r w:rsidRPr="00FA0D37">
        <w:t xml:space="preserve">    message                         PCCH-MessageType</w:t>
      </w:r>
    </w:p>
    <w:p w14:paraId="291A1B92" w14:textId="77777777" w:rsidR="00394471" w:rsidRPr="00FA0D37" w:rsidRDefault="00394471" w:rsidP="00FA0D37">
      <w:pPr>
        <w:pStyle w:val="PL"/>
      </w:pPr>
      <w:r w:rsidRPr="00FA0D37">
        <w:t>}</w:t>
      </w:r>
    </w:p>
    <w:p w14:paraId="69A0826B" w14:textId="77777777" w:rsidR="00394471" w:rsidRPr="00FA0D37" w:rsidRDefault="00394471" w:rsidP="00FA0D37">
      <w:pPr>
        <w:pStyle w:val="PL"/>
      </w:pPr>
    </w:p>
    <w:p w14:paraId="4DB83446" w14:textId="77777777" w:rsidR="00394471" w:rsidRPr="00FA0D37" w:rsidRDefault="00394471" w:rsidP="00FA0D37">
      <w:pPr>
        <w:pStyle w:val="PL"/>
      </w:pPr>
      <w:r w:rsidRPr="00FA0D37">
        <w:t xml:space="preserve">PCCH-MessageType ::=            </w:t>
      </w:r>
      <w:r w:rsidRPr="00FA0D37">
        <w:rPr>
          <w:color w:val="993366"/>
        </w:rPr>
        <w:t>CHOICE</w:t>
      </w:r>
      <w:r w:rsidRPr="00FA0D37">
        <w:t xml:space="preserve"> {</w:t>
      </w:r>
    </w:p>
    <w:p w14:paraId="2EBA4B14"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3BDF1C73" w14:textId="77777777" w:rsidR="00394471" w:rsidRPr="00FA0D37" w:rsidRDefault="00394471" w:rsidP="00FA0D37">
      <w:pPr>
        <w:pStyle w:val="PL"/>
      </w:pPr>
      <w:r w:rsidRPr="00FA0D37">
        <w:t xml:space="preserve">        paging                          Paging,</w:t>
      </w:r>
    </w:p>
    <w:p w14:paraId="79534DFA" w14:textId="77777777" w:rsidR="00394471" w:rsidRPr="00FA0D37" w:rsidRDefault="00394471" w:rsidP="00FA0D37">
      <w:pPr>
        <w:pStyle w:val="PL"/>
      </w:pPr>
      <w:r w:rsidRPr="00FA0D37">
        <w:t xml:space="preserve">        spare1  </w:t>
      </w:r>
      <w:r w:rsidRPr="00FA0D37">
        <w:rPr>
          <w:color w:val="993366"/>
        </w:rPr>
        <w:t>NULL</w:t>
      </w:r>
    </w:p>
    <w:p w14:paraId="0BE366BC" w14:textId="77777777" w:rsidR="00394471" w:rsidRPr="00FA0D37" w:rsidRDefault="00394471" w:rsidP="00FA0D37">
      <w:pPr>
        <w:pStyle w:val="PL"/>
      </w:pPr>
      <w:r w:rsidRPr="00FA0D37">
        <w:t xml:space="preserve">    },</w:t>
      </w:r>
    </w:p>
    <w:p w14:paraId="2DE8F7F7" w14:textId="77777777" w:rsidR="00394471" w:rsidRPr="00FA0D37" w:rsidRDefault="00394471" w:rsidP="00FA0D37">
      <w:pPr>
        <w:pStyle w:val="PL"/>
      </w:pPr>
      <w:r w:rsidRPr="00FA0D37">
        <w:t xml:space="preserve">    messageClassExtension       </w:t>
      </w:r>
      <w:r w:rsidRPr="00FA0D37">
        <w:rPr>
          <w:color w:val="993366"/>
        </w:rPr>
        <w:t>SEQUENCE</w:t>
      </w:r>
      <w:r w:rsidRPr="00FA0D37">
        <w:t xml:space="preserve"> {}</w:t>
      </w:r>
    </w:p>
    <w:p w14:paraId="5D7D8503" w14:textId="77777777" w:rsidR="00394471" w:rsidRPr="00FA0D37" w:rsidRDefault="00394471" w:rsidP="00FA0D37">
      <w:pPr>
        <w:pStyle w:val="PL"/>
      </w:pPr>
      <w:r w:rsidRPr="00FA0D37">
        <w:t>}</w:t>
      </w:r>
    </w:p>
    <w:p w14:paraId="3364AC77" w14:textId="77777777" w:rsidR="00394471" w:rsidRPr="00FA0D37" w:rsidRDefault="00394471" w:rsidP="00FA0D37">
      <w:pPr>
        <w:pStyle w:val="PL"/>
      </w:pPr>
    </w:p>
    <w:p w14:paraId="38392C0B" w14:textId="77777777" w:rsidR="00394471" w:rsidRPr="00FA0D37" w:rsidRDefault="00394471" w:rsidP="00FA0D37">
      <w:pPr>
        <w:pStyle w:val="PL"/>
        <w:rPr>
          <w:color w:val="808080"/>
        </w:rPr>
      </w:pPr>
      <w:r w:rsidRPr="00FA0D37">
        <w:rPr>
          <w:color w:val="808080"/>
        </w:rPr>
        <w:t>-- TAG-PCCH-PCH-MESSAGE-STOP</w:t>
      </w:r>
    </w:p>
    <w:p w14:paraId="045B8189" w14:textId="77777777" w:rsidR="00394471" w:rsidRPr="00FA0D37" w:rsidRDefault="00394471" w:rsidP="00FA0D37">
      <w:pPr>
        <w:pStyle w:val="PL"/>
        <w:rPr>
          <w:color w:val="808080"/>
        </w:rPr>
      </w:pPr>
      <w:r w:rsidRPr="00FA0D37">
        <w:rPr>
          <w:color w:val="808080"/>
        </w:rPr>
        <w:t>-- ASN1STOP</w:t>
      </w:r>
    </w:p>
    <w:p w14:paraId="45850896" w14:textId="77777777" w:rsidR="00394471" w:rsidRPr="00FA0D37" w:rsidRDefault="00394471" w:rsidP="00394471"/>
    <w:p w14:paraId="1BA73597" w14:textId="77777777" w:rsidR="00394471" w:rsidRPr="00FA0D37" w:rsidRDefault="00394471" w:rsidP="00394471">
      <w:pPr>
        <w:pStyle w:val="4"/>
      </w:pPr>
      <w:bookmarkStart w:id="446" w:name="_Toc60777086"/>
      <w:bookmarkStart w:id="447" w:name="_Toc146781120"/>
      <w:r w:rsidRPr="00FA0D37">
        <w:t>–</w:t>
      </w:r>
      <w:r w:rsidRPr="00FA0D37">
        <w:tab/>
      </w:r>
      <w:r w:rsidRPr="00FA0D37">
        <w:rPr>
          <w:i/>
          <w:noProof/>
        </w:rPr>
        <w:t>UL-CCCH-Message</w:t>
      </w:r>
      <w:bookmarkEnd w:id="446"/>
      <w:bookmarkEnd w:id="447"/>
    </w:p>
    <w:p w14:paraId="78BFA630" w14:textId="77777777" w:rsidR="00394471" w:rsidRPr="00FA0D37" w:rsidRDefault="00394471" w:rsidP="00394471">
      <w:r w:rsidRPr="00FA0D37">
        <w:t xml:space="preserve">The </w:t>
      </w:r>
      <w:r w:rsidRPr="00FA0D37">
        <w:rPr>
          <w:i/>
          <w:noProof/>
        </w:rPr>
        <w:t>UL-CCCH-Message</w:t>
      </w:r>
      <w:r w:rsidRPr="00FA0D37">
        <w:t xml:space="preserve"> class is the set of 48-bits RRC messages that may be sent from the UE to the Network on the uplink CCCH logical channel.</w:t>
      </w:r>
    </w:p>
    <w:p w14:paraId="6B577273" w14:textId="77777777" w:rsidR="00394471" w:rsidRPr="00FA0D37" w:rsidRDefault="00394471" w:rsidP="00FA0D37">
      <w:pPr>
        <w:pStyle w:val="PL"/>
        <w:rPr>
          <w:color w:val="808080"/>
        </w:rPr>
      </w:pPr>
      <w:r w:rsidRPr="00FA0D37">
        <w:rPr>
          <w:color w:val="808080"/>
        </w:rPr>
        <w:lastRenderedPageBreak/>
        <w:t>-- ASN1START</w:t>
      </w:r>
    </w:p>
    <w:p w14:paraId="14CE9F17" w14:textId="77777777" w:rsidR="00394471" w:rsidRPr="00FA0D37" w:rsidRDefault="00394471" w:rsidP="00FA0D37">
      <w:pPr>
        <w:pStyle w:val="PL"/>
        <w:rPr>
          <w:color w:val="808080"/>
        </w:rPr>
      </w:pPr>
      <w:r w:rsidRPr="00FA0D37">
        <w:rPr>
          <w:color w:val="808080"/>
        </w:rPr>
        <w:t>-- TAG-UL-CCCH-MESSAGE-START</w:t>
      </w:r>
    </w:p>
    <w:p w14:paraId="55B9EBD4" w14:textId="77777777" w:rsidR="00394471" w:rsidRPr="00FA0D37" w:rsidRDefault="00394471" w:rsidP="00FA0D37">
      <w:pPr>
        <w:pStyle w:val="PL"/>
      </w:pPr>
    </w:p>
    <w:p w14:paraId="5898FFE0" w14:textId="77777777" w:rsidR="00394471" w:rsidRPr="00FA0D37" w:rsidRDefault="00394471" w:rsidP="00FA0D37">
      <w:pPr>
        <w:pStyle w:val="PL"/>
      </w:pPr>
    </w:p>
    <w:p w14:paraId="009D28BE" w14:textId="77777777" w:rsidR="00394471" w:rsidRPr="00FA0D37" w:rsidRDefault="00394471" w:rsidP="00FA0D37">
      <w:pPr>
        <w:pStyle w:val="PL"/>
      </w:pPr>
      <w:r w:rsidRPr="00FA0D37">
        <w:t xml:space="preserve">UL-CCCH-Message ::=             </w:t>
      </w:r>
      <w:r w:rsidRPr="00FA0D37">
        <w:rPr>
          <w:color w:val="993366"/>
        </w:rPr>
        <w:t>SEQUENCE</w:t>
      </w:r>
      <w:r w:rsidRPr="00FA0D37">
        <w:t xml:space="preserve"> {</w:t>
      </w:r>
    </w:p>
    <w:p w14:paraId="2830B7DF" w14:textId="77777777" w:rsidR="00394471" w:rsidRPr="00FA0D37" w:rsidRDefault="00394471" w:rsidP="00FA0D37">
      <w:pPr>
        <w:pStyle w:val="PL"/>
      </w:pPr>
      <w:r w:rsidRPr="00FA0D37">
        <w:t xml:space="preserve">    message                         UL-CCCH-MessageType</w:t>
      </w:r>
    </w:p>
    <w:p w14:paraId="700ABE5A" w14:textId="77777777" w:rsidR="00394471" w:rsidRPr="00FA0D37" w:rsidRDefault="00394471" w:rsidP="00FA0D37">
      <w:pPr>
        <w:pStyle w:val="PL"/>
      </w:pPr>
      <w:r w:rsidRPr="00FA0D37">
        <w:t>}</w:t>
      </w:r>
    </w:p>
    <w:p w14:paraId="67356DF4" w14:textId="77777777" w:rsidR="00394471" w:rsidRPr="00FA0D37" w:rsidRDefault="00394471" w:rsidP="00FA0D37">
      <w:pPr>
        <w:pStyle w:val="PL"/>
      </w:pPr>
    </w:p>
    <w:p w14:paraId="07C8176A" w14:textId="77777777" w:rsidR="00394471" w:rsidRPr="00FA0D37" w:rsidRDefault="00394471" w:rsidP="00FA0D37">
      <w:pPr>
        <w:pStyle w:val="PL"/>
      </w:pPr>
      <w:r w:rsidRPr="00FA0D37">
        <w:t xml:space="preserve">UL-CCCH-MessageType ::=         </w:t>
      </w:r>
      <w:r w:rsidRPr="00FA0D37">
        <w:rPr>
          <w:color w:val="993366"/>
        </w:rPr>
        <w:t>CHOICE</w:t>
      </w:r>
      <w:r w:rsidRPr="00FA0D37">
        <w:t xml:space="preserve"> {</w:t>
      </w:r>
    </w:p>
    <w:p w14:paraId="2236F4F5"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31601E5E" w14:textId="77777777" w:rsidR="00394471" w:rsidRPr="00FA0D37" w:rsidRDefault="00394471" w:rsidP="00FA0D37">
      <w:pPr>
        <w:pStyle w:val="PL"/>
      </w:pPr>
      <w:r w:rsidRPr="00FA0D37">
        <w:t xml:space="preserve">        rrcSetupRequest                 RRCSetupRequest,</w:t>
      </w:r>
    </w:p>
    <w:p w14:paraId="4F79BAF0" w14:textId="77777777" w:rsidR="00394471" w:rsidRPr="00FA0D37" w:rsidRDefault="00394471" w:rsidP="00FA0D37">
      <w:pPr>
        <w:pStyle w:val="PL"/>
      </w:pPr>
      <w:r w:rsidRPr="00FA0D37">
        <w:t xml:space="preserve">        rrcResumeRequest                RRCResumeRequest,</w:t>
      </w:r>
    </w:p>
    <w:p w14:paraId="0C056B46" w14:textId="77777777" w:rsidR="00394471" w:rsidRPr="00FA0D37" w:rsidRDefault="00394471" w:rsidP="00FA0D37">
      <w:pPr>
        <w:pStyle w:val="PL"/>
      </w:pPr>
      <w:r w:rsidRPr="00FA0D37">
        <w:t xml:space="preserve">        rrcReestablishmentRequest       RRCReestablishmentRequest,</w:t>
      </w:r>
    </w:p>
    <w:p w14:paraId="46F106FD" w14:textId="77777777" w:rsidR="00394471" w:rsidRPr="00FA0D37" w:rsidRDefault="00394471" w:rsidP="00FA0D37">
      <w:pPr>
        <w:pStyle w:val="PL"/>
      </w:pPr>
      <w:r w:rsidRPr="00FA0D37">
        <w:t xml:space="preserve">        rrcSystemInfoRequest            RRCSystemInfoRequest</w:t>
      </w:r>
    </w:p>
    <w:p w14:paraId="27A5F858" w14:textId="77777777" w:rsidR="00394471" w:rsidRPr="00FA0D37" w:rsidRDefault="00394471" w:rsidP="00FA0D37">
      <w:pPr>
        <w:pStyle w:val="PL"/>
      </w:pPr>
      <w:r w:rsidRPr="00FA0D37">
        <w:t xml:space="preserve">    },</w:t>
      </w:r>
    </w:p>
    <w:p w14:paraId="2535190B" w14:textId="77777777" w:rsidR="00394471" w:rsidRPr="00FA0D37" w:rsidRDefault="00394471" w:rsidP="00FA0D37">
      <w:pPr>
        <w:pStyle w:val="PL"/>
      </w:pPr>
      <w:r w:rsidRPr="00FA0D37">
        <w:t xml:space="preserve">    messageClassExtension           </w:t>
      </w:r>
      <w:r w:rsidRPr="00FA0D37">
        <w:rPr>
          <w:color w:val="993366"/>
        </w:rPr>
        <w:t>SEQUENCE</w:t>
      </w:r>
      <w:r w:rsidRPr="00FA0D37">
        <w:t xml:space="preserve"> {}</w:t>
      </w:r>
    </w:p>
    <w:p w14:paraId="010E8302" w14:textId="77777777" w:rsidR="00394471" w:rsidRPr="00FA0D37" w:rsidRDefault="00394471" w:rsidP="00FA0D37">
      <w:pPr>
        <w:pStyle w:val="PL"/>
      </w:pPr>
      <w:r w:rsidRPr="00FA0D37">
        <w:t>}</w:t>
      </w:r>
    </w:p>
    <w:p w14:paraId="24C48632" w14:textId="77777777" w:rsidR="00394471" w:rsidRPr="00FA0D37" w:rsidRDefault="00394471" w:rsidP="00FA0D37">
      <w:pPr>
        <w:pStyle w:val="PL"/>
      </w:pPr>
    </w:p>
    <w:p w14:paraId="225CF4EC" w14:textId="77777777" w:rsidR="00394471" w:rsidRPr="00FA0D37" w:rsidRDefault="00394471" w:rsidP="00FA0D37">
      <w:pPr>
        <w:pStyle w:val="PL"/>
        <w:rPr>
          <w:color w:val="808080"/>
        </w:rPr>
      </w:pPr>
      <w:r w:rsidRPr="00FA0D37">
        <w:rPr>
          <w:color w:val="808080"/>
        </w:rPr>
        <w:t>-- TAG-UL-CCCH-MESSAGE-STOP</w:t>
      </w:r>
    </w:p>
    <w:p w14:paraId="632CCF05" w14:textId="77777777" w:rsidR="00394471" w:rsidRPr="00FA0D37" w:rsidRDefault="00394471" w:rsidP="00FA0D37">
      <w:pPr>
        <w:pStyle w:val="PL"/>
        <w:rPr>
          <w:color w:val="808080"/>
        </w:rPr>
      </w:pPr>
      <w:r w:rsidRPr="00FA0D37">
        <w:rPr>
          <w:color w:val="808080"/>
        </w:rPr>
        <w:t>-- ASN1STOP</w:t>
      </w:r>
    </w:p>
    <w:p w14:paraId="490EEDBC" w14:textId="77777777" w:rsidR="00394471" w:rsidRPr="00FA0D37" w:rsidRDefault="00394471" w:rsidP="00394471"/>
    <w:p w14:paraId="5CC331A4" w14:textId="77777777" w:rsidR="00394471" w:rsidRPr="00FA0D37" w:rsidRDefault="00394471" w:rsidP="00394471">
      <w:pPr>
        <w:pStyle w:val="4"/>
        <w:rPr>
          <w:i/>
          <w:iCs/>
        </w:rPr>
      </w:pPr>
      <w:bookmarkStart w:id="448" w:name="_Toc60777087"/>
      <w:bookmarkStart w:id="449" w:name="_Toc146781121"/>
      <w:r w:rsidRPr="00FA0D37">
        <w:rPr>
          <w:i/>
          <w:iCs/>
        </w:rPr>
        <w:t>–</w:t>
      </w:r>
      <w:r w:rsidRPr="00FA0D37">
        <w:rPr>
          <w:i/>
          <w:iCs/>
        </w:rPr>
        <w:tab/>
        <w:t>UL-CCCH1-Message</w:t>
      </w:r>
      <w:bookmarkEnd w:id="448"/>
      <w:bookmarkEnd w:id="449"/>
    </w:p>
    <w:p w14:paraId="47545371" w14:textId="77777777" w:rsidR="00394471" w:rsidRPr="00FA0D37" w:rsidRDefault="00394471" w:rsidP="00394471">
      <w:r w:rsidRPr="00FA0D37">
        <w:t xml:space="preserve">The </w:t>
      </w:r>
      <w:r w:rsidRPr="00FA0D37">
        <w:rPr>
          <w:i/>
          <w:iCs/>
        </w:rPr>
        <w:t>UL-CCCH1-Message</w:t>
      </w:r>
      <w:r w:rsidRPr="00FA0D37">
        <w:t xml:space="preserve"> class is the set of 64-bits RRC messages that may be sent from the UE to the Network on the uplink CCCH1 logical channel.</w:t>
      </w:r>
    </w:p>
    <w:p w14:paraId="0912015A" w14:textId="77777777" w:rsidR="00394471" w:rsidRPr="00FA0D37" w:rsidRDefault="00394471" w:rsidP="00FA0D37">
      <w:pPr>
        <w:pStyle w:val="PL"/>
        <w:rPr>
          <w:color w:val="808080"/>
        </w:rPr>
      </w:pPr>
      <w:r w:rsidRPr="00FA0D37">
        <w:rPr>
          <w:color w:val="808080"/>
        </w:rPr>
        <w:t>-- ASN1START</w:t>
      </w:r>
    </w:p>
    <w:p w14:paraId="12CA915F" w14:textId="77777777" w:rsidR="00394471" w:rsidRPr="00FA0D37" w:rsidRDefault="00394471" w:rsidP="00FA0D37">
      <w:pPr>
        <w:pStyle w:val="PL"/>
        <w:rPr>
          <w:color w:val="808080"/>
        </w:rPr>
      </w:pPr>
      <w:r w:rsidRPr="00FA0D37">
        <w:rPr>
          <w:color w:val="808080"/>
        </w:rPr>
        <w:t>-- TAG-UL-CCCH1-MESSAGE-START</w:t>
      </w:r>
    </w:p>
    <w:p w14:paraId="00379B6B" w14:textId="77777777" w:rsidR="00394471" w:rsidRPr="00FA0D37" w:rsidRDefault="00394471" w:rsidP="00FA0D37">
      <w:pPr>
        <w:pStyle w:val="PL"/>
      </w:pPr>
    </w:p>
    <w:p w14:paraId="70520A4C" w14:textId="77777777" w:rsidR="00394471" w:rsidRPr="00FA0D37" w:rsidRDefault="00394471" w:rsidP="00FA0D37">
      <w:pPr>
        <w:pStyle w:val="PL"/>
      </w:pPr>
    </w:p>
    <w:p w14:paraId="1661E8D2" w14:textId="77777777" w:rsidR="00394471" w:rsidRPr="00FA0D37" w:rsidRDefault="00394471" w:rsidP="00FA0D37">
      <w:pPr>
        <w:pStyle w:val="PL"/>
      </w:pPr>
      <w:r w:rsidRPr="00FA0D37">
        <w:t xml:space="preserve">UL-CCCH1-Message ::=            </w:t>
      </w:r>
      <w:r w:rsidRPr="00FA0D37">
        <w:rPr>
          <w:color w:val="993366"/>
        </w:rPr>
        <w:t>SEQUENCE</w:t>
      </w:r>
      <w:r w:rsidRPr="00FA0D37">
        <w:t xml:space="preserve"> {</w:t>
      </w:r>
    </w:p>
    <w:p w14:paraId="452D6EAB" w14:textId="77777777" w:rsidR="00394471" w:rsidRPr="00FA0D37" w:rsidRDefault="00394471" w:rsidP="00FA0D37">
      <w:pPr>
        <w:pStyle w:val="PL"/>
      </w:pPr>
      <w:r w:rsidRPr="00FA0D37">
        <w:t xml:space="preserve">    message                         UL-CCCH1-MessageType</w:t>
      </w:r>
    </w:p>
    <w:p w14:paraId="7AFB80AA" w14:textId="77777777" w:rsidR="00394471" w:rsidRPr="00FA0D37" w:rsidRDefault="00394471" w:rsidP="00FA0D37">
      <w:pPr>
        <w:pStyle w:val="PL"/>
      </w:pPr>
      <w:r w:rsidRPr="00FA0D37">
        <w:t>}</w:t>
      </w:r>
    </w:p>
    <w:p w14:paraId="1D840534" w14:textId="77777777" w:rsidR="00394471" w:rsidRPr="00FA0D37" w:rsidRDefault="00394471" w:rsidP="00FA0D37">
      <w:pPr>
        <w:pStyle w:val="PL"/>
      </w:pPr>
    </w:p>
    <w:p w14:paraId="6CC850B6" w14:textId="77777777" w:rsidR="00394471" w:rsidRPr="00FA0D37" w:rsidRDefault="00394471" w:rsidP="00FA0D37">
      <w:pPr>
        <w:pStyle w:val="PL"/>
      </w:pPr>
      <w:r w:rsidRPr="00FA0D37">
        <w:t xml:space="preserve">UL-CCCH1-MessageType ::=        </w:t>
      </w:r>
      <w:r w:rsidRPr="00FA0D37">
        <w:rPr>
          <w:color w:val="993366"/>
        </w:rPr>
        <w:t>CHOICE</w:t>
      </w:r>
      <w:r w:rsidRPr="00FA0D37">
        <w:t xml:space="preserve"> {</w:t>
      </w:r>
    </w:p>
    <w:p w14:paraId="5BCD587E"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6FC8B5B5" w14:textId="77777777" w:rsidR="00394471" w:rsidRPr="00FA0D37" w:rsidRDefault="00394471" w:rsidP="00FA0D37">
      <w:pPr>
        <w:pStyle w:val="PL"/>
      </w:pPr>
      <w:r w:rsidRPr="00FA0D37">
        <w:t xml:space="preserve">        rrcResumeRequest1               RRCResumeRequest1,</w:t>
      </w:r>
    </w:p>
    <w:p w14:paraId="01EFDC17" w14:textId="77777777" w:rsidR="00394471" w:rsidRPr="00FA0D37" w:rsidRDefault="00394471" w:rsidP="00FA0D37">
      <w:pPr>
        <w:pStyle w:val="PL"/>
      </w:pPr>
      <w:r w:rsidRPr="00FA0D37">
        <w:t xml:space="preserve">        spare3 </w:t>
      </w:r>
      <w:r w:rsidRPr="00FA0D37">
        <w:rPr>
          <w:color w:val="993366"/>
        </w:rPr>
        <w:t>NULL</w:t>
      </w:r>
      <w:r w:rsidRPr="00FA0D37">
        <w:t>,</w:t>
      </w:r>
    </w:p>
    <w:p w14:paraId="69DB113B" w14:textId="77777777" w:rsidR="00394471" w:rsidRPr="00FA0D37" w:rsidRDefault="00394471" w:rsidP="00FA0D37">
      <w:pPr>
        <w:pStyle w:val="PL"/>
      </w:pPr>
      <w:r w:rsidRPr="00FA0D37">
        <w:t xml:space="preserve">        spare2 </w:t>
      </w:r>
      <w:r w:rsidRPr="00FA0D37">
        <w:rPr>
          <w:color w:val="993366"/>
        </w:rPr>
        <w:t>NULL</w:t>
      </w:r>
      <w:r w:rsidRPr="00FA0D37">
        <w:t>,</w:t>
      </w:r>
    </w:p>
    <w:p w14:paraId="1430EB17" w14:textId="77777777" w:rsidR="00394471" w:rsidRPr="00FA0D37" w:rsidRDefault="00394471" w:rsidP="00FA0D37">
      <w:pPr>
        <w:pStyle w:val="PL"/>
      </w:pPr>
      <w:r w:rsidRPr="00FA0D37">
        <w:t xml:space="preserve">        spare1 </w:t>
      </w:r>
      <w:r w:rsidRPr="00FA0D37">
        <w:rPr>
          <w:color w:val="993366"/>
        </w:rPr>
        <w:t>NULL</w:t>
      </w:r>
    </w:p>
    <w:p w14:paraId="33B795FE" w14:textId="77777777" w:rsidR="00394471" w:rsidRPr="00FA0D37" w:rsidRDefault="00394471" w:rsidP="00FA0D37">
      <w:pPr>
        <w:pStyle w:val="PL"/>
      </w:pPr>
    </w:p>
    <w:p w14:paraId="2501F370" w14:textId="77777777" w:rsidR="00394471" w:rsidRPr="00FA0D37" w:rsidRDefault="00394471" w:rsidP="00FA0D37">
      <w:pPr>
        <w:pStyle w:val="PL"/>
      </w:pPr>
      <w:r w:rsidRPr="00FA0D37">
        <w:t xml:space="preserve">    },</w:t>
      </w:r>
    </w:p>
    <w:p w14:paraId="56E4D213" w14:textId="77777777" w:rsidR="00394471" w:rsidRPr="00FA0D37" w:rsidRDefault="00394471" w:rsidP="00FA0D37">
      <w:pPr>
        <w:pStyle w:val="PL"/>
      </w:pPr>
      <w:r w:rsidRPr="00FA0D37">
        <w:t xml:space="preserve">    messageClassExtension </w:t>
      </w:r>
      <w:r w:rsidRPr="00FA0D37">
        <w:rPr>
          <w:color w:val="993366"/>
        </w:rPr>
        <w:t>SEQUENCE</w:t>
      </w:r>
      <w:r w:rsidRPr="00FA0D37">
        <w:t xml:space="preserve"> {}</w:t>
      </w:r>
    </w:p>
    <w:p w14:paraId="235BFA32" w14:textId="77777777" w:rsidR="00394471" w:rsidRPr="00FA0D37" w:rsidRDefault="00394471" w:rsidP="00FA0D37">
      <w:pPr>
        <w:pStyle w:val="PL"/>
      </w:pPr>
      <w:r w:rsidRPr="00FA0D37">
        <w:t>}</w:t>
      </w:r>
    </w:p>
    <w:p w14:paraId="1A9A1B18" w14:textId="77777777" w:rsidR="00394471" w:rsidRPr="00FA0D37" w:rsidRDefault="00394471" w:rsidP="00FA0D37">
      <w:pPr>
        <w:pStyle w:val="PL"/>
      </w:pPr>
    </w:p>
    <w:p w14:paraId="250E33C6" w14:textId="77777777" w:rsidR="00394471" w:rsidRPr="00FA0D37" w:rsidRDefault="00394471" w:rsidP="00FA0D37">
      <w:pPr>
        <w:pStyle w:val="PL"/>
        <w:rPr>
          <w:color w:val="808080"/>
        </w:rPr>
      </w:pPr>
      <w:r w:rsidRPr="00FA0D37">
        <w:rPr>
          <w:color w:val="808080"/>
        </w:rPr>
        <w:t>-- TAG-UL-CCCH1-MESSAGE-STOP</w:t>
      </w:r>
    </w:p>
    <w:p w14:paraId="2CE4F46B" w14:textId="77777777" w:rsidR="00394471" w:rsidRPr="00FA0D37" w:rsidRDefault="00394471" w:rsidP="00FA0D37">
      <w:pPr>
        <w:pStyle w:val="PL"/>
        <w:rPr>
          <w:color w:val="808080"/>
        </w:rPr>
      </w:pPr>
      <w:r w:rsidRPr="00FA0D37">
        <w:rPr>
          <w:color w:val="808080"/>
        </w:rPr>
        <w:t>-- ASN1STOP</w:t>
      </w:r>
    </w:p>
    <w:p w14:paraId="66817D44" w14:textId="77777777" w:rsidR="00394471" w:rsidRPr="00FA0D37" w:rsidRDefault="00394471" w:rsidP="00394471"/>
    <w:p w14:paraId="10AF9616" w14:textId="77777777" w:rsidR="00394471" w:rsidRPr="00FA0D37" w:rsidRDefault="00394471" w:rsidP="00394471">
      <w:pPr>
        <w:pStyle w:val="4"/>
        <w:rPr>
          <w:i/>
          <w:iCs/>
        </w:rPr>
      </w:pPr>
      <w:bookmarkStart w:id="450" w:name="_Toc60777088"/>
      <w:bookmarkStart w:id="451" w:name="_Toc146781122"/>
      <w:r w:rsidRPr="00FA0D37">
        <w:rPr>
          <w:i/>
          <w:iCs/>
        </w:rPr>
        <w:lastRenderedPageBreak/>
        <w:t>–</w:t>
      </w:r>
      <w:r w:rsidRPr="00FA0D37">
        <w:rPr>
          <w:i/>
          <w:iCs/>
        </w:rPr>
        <w:tab/>
      </w:r>
      <w:r w:rsidRPr="00FA0D37">
        <w:rPr>
          <w:i/>
          <w:iCs/>
          <w:noProof/>
        </w:rPr>
        <w:t>UL-DCCH-Message</w:t>
      </w:r>
      <w:bookmarkEnd w:id="450"/>
      <w:bookmarkEnd w:id="451"/>
    </w:p>
    <w:p w14:paraId="3B1D918D" w14:textId="77777777" w:rsidR="00394471" w:rsidRPr="00FA0D37" w:rsidRDefault="00394471" w:rsidP="00394471">
      <w:r w:rsidRPr="00FA0D37">
        <w:t xml:space="preserve">The </w:t>
      </w:r>
      <w:r w:rsidRPr="00FA0D37">
        <w:rPr>
          <w:i/>
        </w:rPr>
        <w:t>UL-DCCH-Message</w:t>
      </w:r>
      <w:r w:rsidRPr="00FA0D37">
        <w:t xml:space="preserve"> class is the set of RRC messages that may be sent from the UE to the network on the uplink DCCH logical channel.</w:t>
      </w:r>
    </w:p>
    <w:p w14:paraId="7865939A" w14:textId="77777777" w:rsidR="00394471" w:rsidRPr="00FA0D37" w:rsidRDefault="00394471" w:rsidP="00FA0D37">
      <w:pPr>
        <w:pStyle w:val="PL"/>
        <w:rPr>
          <w:color w:val="808080"/>
        </w:rPr>
      </w:pPr>
      <w:r w:rsidRPr="00FA0D37">
        <w:rPr>
          <w:color w:val="808080"/>
        </w:rPr>
        <w:t>-- ASN1START</w:t>
      </w:r>
    </w:p>
    <w:p w14:paraId="6BDC82CA" w14:textId="77777777" w:rsidR="00394471" w:rsidRPr="00FA0D37" w:rsidRDefault="00394471" w:rsidP="00FA0D37">
      <w:pPr>
        <w:pStyle w:val="PL"/>
        <w:rPr>
          <w:color w:val="808080"/>
        </w:rPr>
      </w:pPr>
      <w:r w:rsidRPr="00FA0D37">
        <w:rPr>
          <w:color w:val="808080"/>
        </w:rPr>
        <w:t>-- TAG-UL-DCCH-MESSAGE-START</w:t>
      </w:r>
    </w:p>
    <w:p w14:paraId="0592655D" w14:textId="77777777" w:rsidR="00394471" w:rsidRPr="00FA0D37" w:rsidRDefault="00394471" w:rsidP="00FA0D37">
      <w:pPr>
        <w:pStyle w:val="PL"/>
      </w:pPr>
    </w:p>
    <w:p w14:paraId="5C475C80" w14:textId="77777777" w:rsidR="00394471" w:rsidRPr="00FA0D37" w:rsidRDefault="00394471" w:rsidP="00FA0D37">
      <w:pPr>
        <w:pStyle w:val="PL"/>
      </w:pPr>
      <w:r w:rsidRPr="00FA0D37">
        <w:t xml:space="preserve">UL-DCCH-Message ::=             </w:t>
      </w:r>
      <w:r w:rsidRPr="00FA0D37">
        <w:rPr>
          <w:color w:val="993366"/>
        </w:rPr>
        <w:t>SEQUENCE</w:t>
      </w:r>
      <w:r w:rsidRPr="00FA0D37">
        <w:t xml:space="preserve"> {</w:t>
      </w:r>
    </w:p>
    <w:p w14:paraId="38B491C9" w14:textId="77777777" w:rsidR="00394471" w:rsidRPr="00FA0D37" w:rsidRDefault="00394471" w:rsidP="00FA0D37">
      <w:pPr>
        <w:pStyle w:val="PL"/>
      </w:pPr>
      <w:r w:rsidRPr="00FA0D37">
        <w:t xml:space="preserve">    message                         UL-DCCH-MessageType</w:t>
      </w:r>
    </w:p>
    <w:p w14:paraId="0249AC75" w14:textId="77777777" w:rsidR="00394471" w:rsidRPr="00FA0D37" w:rsidRDefault="00394471" w:rsidP="00FA0D37">
      <w:pPr>
        <w:pStyle w:val="PL"/>
      </w:pPr>
      <w:r w:rsidRPr="00FA0D37">
        <w:t>}</w:t>
      </w:r>
    </w:p>
    <w:p w14:paraId="5F69AF36" w14:textId="77777777" w:rsidR="00394471" w:rsidRPr="00FA0D37" w:rsidRDefault="00394471" w:rsidP="00FA0D37">
      <w:pPr>
        <w:pStyle w:val="PL"/>
      </w:pPr>
    </w:p>
    <w:p w14:paraId="747398FC" w14:textId="77777777" w:rsidR="00394471" w:rsidRPr="00FA0D37" w:rsidRDefault="00394471" w:rsidP="00FA0D37">
      <w:pPr>
        <w:pStyle w:val="PL"/>
      </w:pPr>
      <w:r w:rsidRPr="00FA0D37">
        <w:t xml:space="preserve">UL-DCCH-MessageType ::=         </w:t>
      </w:r>
      <w:r w:rsidRPr="00FA0D37">
        <w:rPr>
          <w:color w:val="993366"/>
        </w:rPr>
        <w:t>CHOICE</w:t>
      </w:r>
      <w:r w:rsidRPr="00FA0D37">
        <w:t xml:space="preserve"> {</w:t>
      </w:r>
    </w:p>
    <w:p w14:paraId="11C101BF"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346CBC27" w14:textId="77777777" w:rsidR="00394471" w:rsidRPr="00FA0D37" w:rsidRDefault="00394471" w:rsidP="00FA0D37">
      <w:pPr>
        <w:pStyle w:val="PL"/>
      </w:pPr>
      <w:r w:rsidRPr="00FA0D37">
        <w:t xml:space="preserve">        measurementReport               MeasurementReport,</w:t>
      </w:r>
    </w:p>
    <w:p w14:paraId="4A7AEDBF" w14:textId="77777777" w:rsidR="00394471" w:rsidRPr="00FA0D37" w:rsidRDefault="00394471" w:rsidP="00FA0D37">
      <w:pPr>
        <w:pStyle w:val="PL"/>
      </w:pPr>
      <w:r w:rsidRPr="00FA0D37">
        <w:t xml:space="preserve">        rrcReconfigurationComplete      RRCReconfigurationComplete,</w:t>
      </w:r>
    </w:p>
    <w:p w14:paraId="68FFA076" w14:textId="77777777" w:rsidR="00394471" w:rsidRPr="00FA0D37" w:rsidRDefault="00394471" w:rsidP="00FA0D37">
      <w:pPr>
        <w:pStyle w:val="PL"/>
      </w:pPr>
      <w:r w:rsidRPr="00FA0D37">
        <w:t xml:space="preserve">        rrcSetupComplete                RRCSetupComplete,</w:t>
      </w:r>
    </w:p>
    <w:p w14:paraId="31BBB42C" w14:textId="77777777" w:rsidR="00394471" w:rsidRPr="00FA0D37" w:rsidRDefault="00394471" w:rsidP="00FA0D37">
      <w:pPr>
        <w:pStyle w:val="PL"/>
      </w:pPr>
      <w:r w:rsidRPr="00FA0D37">
        <w:t xml:space="preserve">        rrcReestablishmentComplete      RRCReestablishmentComplete,</w:t>
      </w:r>
    </w:p>
    <w:p w14:paraId="08FBC5A4" w14:textId="77777777" w:rsidR="00394471" w:rsidRPr="00FA0D37" w:rsidRDefault="00394471" w:rsidP="00FA0D37">
      <w:pPr>
        <w:pStyle w:val="PL"/>
      </w:pPr>
      <w:r w:rsidRPr="00FA0D37">
        <w:t xml:space="preserve">        rrcResumeComplete               RRCResumeComplete,</w:t>
      </w:r>
    </w:p>
    <w:p w14:paraId="3DD9ED42" w14:textId="77777777" w:rsidR="00394471" w:rsidRPr="00FA0D37" w:rsidRDefault="00394471" w:rsidP="00FA0D37">
      <w:pPr>
        <w:pStyle w:val="PL"/>
      </w:pPr>
      <w:r w:rsidRPr="00FA0D37">
        <w:t xml:space="preserve">        securityModeComplete            SecurityModeComplete,</w:t>
      </w:r>
    </w:p>
    <w:p w14:paraId="6C6FDE28" w14:textId="77777777" w:rsidR="00394471" w:rsidRPr="00FA0D37" w:rsidRDefault="00394471" w:rsidP="00FA0D37">
      <w:pPr>
        <w:pStyle w:val="PL"/>
      </w:pPr>
      <w:r w:rsidRPr="00FA0D37">
        <w:t xml:space="preserve">        securityModeFailure             SecurityModeFailure,</w:t>
      </w:r>
    </w:p>
    <w:p w14:paraId="1AAA94ED" w14:textId="77777777" w:rsidR="00394471" w:rsidRPr="00FA0D37" w:rsidRDefault="00394471" w:rsidP="00FA0D37">
      <w:pPr>
        <w:pStyle w:val="PL"/>
      </w:pPr>
      <w:r w:rsidRPr="00FA0D37">
        <w:t xml:space="preserve">        ulInformationTransfer           ULInformationTransfer,</w:t>
      </w:r>
    </w:p>
    <w:p w14:paraId="1D200D42" w14:textId="77777777" w:rsidR="00394471" w:rsidRPr="00FA0D37" w:rsidRDefault="00394471" w:rsidP="00FA0D37">
      <w:pPr>
        <w:pStyle w:val="PL"/>
      </w:pPr>
      <w:r w:rsidRPr="00FA0D37">
        <w:t xml:space="preserve">        locationMeasurementIndication   LocationMeasurementIndication,</w:t>
      </w:r>
    </w:p>
    <w:p w14:paraId="71A9698D" w14:textId="77777777" w:rsidR="00394471" w:rsidRPr="00FA0D37" w:rsidRDefault="00394471" w:rsidP="00FA0D37">
      <w:pPr>
        <w:pStyle w:val="PL"/>
      </w:pPr>
      <w:r w:rsidRPr="00FA0D37">
        <w:t xml:space="preserve">        ueCapabilityInformation         UECapabilityInformation,</w:t>
      </w:r>
    </w:p>
    <w:p w14:paraId="0B43387E" w14:textId="77777777" w:rsidR="00394471" w:rsidRPr="00FA0D37" w:rsidRDefault="00394471" w:rsidP="00FA0D37">
      <w:pPr>
        <w:pStyle w:val="PL"/>
      </w:pPr>
      <w:r w:rsidRPr="00FA0D37">
        <w:t xml:space="preserve">        counterCheckResponse            CounterCheckResponse,</w:t>
      </w:r>
    </w:p>
    <w:p w14:paraId="2CDAED67" w14:textId="77777777" w:rsidR="00394471" w:rsidRPr="00FA0D37" w:rsidRDefault="00394471" w:rsidP="00FA0D37">
      <w:pPr>
        <w:pStyle w:val="PL"/>
      </w:pPr>
      <w:r w:rsidRPr="00FA0D37">
        <w:t xml:space="preserve">        ueAssistanceInformation         UEAssistanceInformation,</w:t>
      </w:r>
    </w:p>
    <w:p w14:paraId="65D241A9" w14:textId="77777777" w:rsidR="00394471" w:rsidRPr="00FA0D37" w:rsidRDefault="00394471" w:rsidP="00FA0D37">
      <w:pPr>
        <w:pStyle w:val="PL"/>
      </w:pPr>
      <w:r w:rsidRPr="00FA0D37">
        <w:t xml:space="preserve">        failureInformation              FailureInformation,</w:t>
      </w:r>
    </w:p>
    <w:p w14:paraId="4E2DE7E8" w14:textId="77777777" w:rsidR="00394471" w:rsidRPr="00FA0D37" w:rsidRDefault="00394471" w:rsidP="00FA0D37">
      <w:pPr>
        <w:pStyle w:val="PL"/>
      </w:pPr>
      <w:r w:rsidRPr="00FA0D37">
        <w:t xml:space="preserve">        ulInformationTransferMRDC       ULInformationTransferMRDC,</w:t>
      </w:r>
    </w:p>
    <w:p w14:paraId="52267E41" w14:textId="77777777" w:rsidR="00394471" w:rsidRPr="00FA0D37" w:rsidRDefault="00394471" w:rsidP="00FA0D37">
      <w:pPr>
        <w:pStyle w:val="PL"/>
      </w:pPr>
      <w:r w:rsidRPr="00FA0D37">
        <w:t xml:space="preserve">        scgFailureInformation           SCGFailureInformation,</w:t>
      </w:r>
    </w:p>
    <w:p w14:paraId="29C66EB0" w14:textId="77777777" w:rsidR="00394471" w:rsidRPr="00FA0D37" w:rsidRDefault="00394471" w:rsidP="00FA0D37">
      <w:pPr>
        <w:pStyle w:val="PL"/>
      </w:pPr>
      <w:r w:rsidRPr="00FA0D37">
        <w:t xml:space="preserve">        scgFailureInformationEUTRA      SCGFailureInformationEUTRA</w:t>
      </w:r>
    </w:p>
    <w:p w14:paraId="3C911F11" w14:textId="77777777" w:rsidR="00394471" w:rsidRPr="00FA0D37" w:rsidRDefault="00394471" w:rsidP="00FA0D37">
      <w:pPr>
        <w:pStyle w:val="PL"/>
      </w:pPr>
      <w:r w:rsidRPr="00FA0D37">
        <w:t xml:space="preserve">    },</w:t>
      </w:r>
    </w:p>
    <w:p w14:paraId="2661B3CE" w14:textId="77777777" w:rsidR="00394471" w:rsidRPr="00FA0D37" w:rsidRDefault="00394471" w:rsidP="00FA0D37">
      <w:pPr>
        <w:pStyle w:val="PL"/>
      </w:pPr>
      <w:r w:rsidRPr="00FA0D37">
        <w:t xml:space="preserve">    messageClassExtension           </w:t>
      </w:r>
      <w:r w:rsidRPr="00FA0D37">
        <w:rPr>
          <w:color w:val="993366"/>
        </w:rPr>
        <w:t>CHOICE</w:t>
      </w:r>
      <w:r w:rsidRPr="00FA0D37">
        <w:t xml:space="preserve"> {</w:t>
      </w:r>
    </w:p>
    <w:p w14:paraId="0D3BBD81" w14:textId="77777777" w:rsidR="00394471" w:rsidRPr="00FA0D37" w:rsidRDefault="00394471" w:rsidP="00FA0D37">
      <w:pPr>
        <w:pStyle w:val="PL"/>
      </w:pPr>
      <w:r w:rsidRPr="00FA0D37">
        <w:t xml:space="preserve">        c2                              </w:t>
      </w:r>
      <w:r w:rsidRPr="00FA0D37">
        <w:rPr>
          <w:color w:val="993366"/>
        </w:rPr>
        <w:t>CHOICE</w:t>
      </w:r>
      <w:r w:rsidRPr="00FA0D37">
        <w:t xml:space="preserve"> {</w:t>
      </w:r>
    </w:p>
    <w:p w14:paraId="47E1C545" w14:textId="77777777" w:rsidR="00394471" w:rsidRPr="00FA0D37" w:rsidRDefault="00394471" w:rsidP="00FA0D37">
      <w:pPr>
        <w:pStyle w:val="PL"/>
      </w:pPr>
      <w:r w:rsidRPr="00FA0D37">
        <w:t xml:space="preserve">            ulDedicatedMessageSegment-r16</w:t>
      </w:r>
      <w:r w:rsidRPr="00FA0D37">
        <w:rPr>
          <w:rFonts w:eastAsia="宋体"/>
        </w:rPr>
        <w:t xml:space="preserve">    </w:t>
      </w:r>
      <w:r w:rsidRPr="00FA0D37">
        <w:t>ULDedicatedMessageSegment-r16,</w:t>
      </w:r>
    </w:p>
    <w:p w14:paraId="3B59C5E1" w14:textId="77777777" w:rsidR="00394471" w:rsidRPr="00FA0D37" w:rsidRDefault="00394471" w:rsidP="00FA0D37">
      <w:pPr>
        <w:pStyle w:val="PL"/>
      </w:pPr>
      <w:r w:rsidRPr="00FA0D37">
        <w:t xml:space="preserve">            dedicatedSIBRequest-r16         DedicatedSIBRequest-r16,</w:t>
      </w:r>
    </w:p>
    <w:p w14:paraId="7E090C18" w14:textId="77777777" w:rsidR="00394471" w:rsidRPr="00FA0D37" w:rsidRDefault="00394471" w:rsidP="00FA0D37">
      <w:pPr>
        <w:pStyle w:val="PL"/>
      </w:pPr>
      <w:r w:rsidRPr="00FA0D37">
        <w:t xml:space="preserve">            mcgFailureInformation-r16       MCGFailureInformation-r16,</w:t>
      </w:r>
    </w:p>
    <w:p w14:paraId="3C22003C" w14:textId="77777777" w:rsidR="00394471" w:rsidRPr="00FA0D37" w:rsidRDefault="00394471" w:rsidP="00FA0D37">
      <w:pPr>
        <w:pStyle w:val="PL"/>
      </w:pPr>
      <w:r w:rsidRPr="00FA0D37">
        <w:t xml:space="preserve">            ueInformationResponse-r16       UEInformationResponse-r16,</w:t>
      </w:r>
    </w:p>
    <w:p w14:paraId="7F6FE006" w14:textId="77777777" w:rsidR="00394471" w:rsidRPr="00FA0D37" w:rsidRDefault="00394471" w:rsidP="00FA0D37">
      <w:pPr>
        <w:pStyle w:val="PL"/>
      </w:pPr>
      <w:r w:rsidRPr="00FA0D37">
        <w:t xml:space="preserve">            sidelinkUEInformationNR-r16     SidelinkUEInformationNR-r16,</w:t>
      </w:r>
    </w:p>
    <w:p w14:paraId="01F24B68" w14:textId="77777777" w:rsidR="00394471" w:rsidRPr="00FA0D37" w:rsidRDefault="00394471" w:rsidP="00FA0D37">
      <w:pPr>
        <w:pStyle w:val="PL"/>
      </w:pPr>
      <w:r w:rsidRPr="00FA0D37">
        <w:t xml:space="preserve">            ulInformationTransferIRAT-r16   ULInformationTransferIRAT-r16,</w:t>
      </w:r>
    </w:p>
    <w:p w14:paraId="474386C2" w14:textId="77777777" w:rsidR="00394471" w:rsidRPr="00FA0D37" w:rsidRDefault="00394471" w:rsidP="00FA0D37">
      <w:pPr>
        <w:pStyle w:val="PL"/>
      </w:pPr>
      <w:r w:rsidRPr="00FA0D37">
        <w:t xml:space="preserve">            iabOtherInformation-r16         IABOtherInformation-r16,</w:t>
      </w:r>
    </w:p>
    <w:p w14:paraId="36BF4131" w14:textId="51A3579C" w:rsidR="00214323" w:rsidRPr="00FA0D37" w:rsidRDefault="00394471" w:rsidP="00FA0D37">
      <w:pPr>
        <w:pStyle w:val="PL"/>
      </w:pPr>
      <w:r w:rsidRPr="00FA0D37">
        <w:t xml:space="preserve">            </w:t>
      </w:r>
      <w:r w:rsidR="00214323" w:rsidRPr="00FA0D37">
        <w:t>mbsInterestIndication-r17       MBSInterestIndication-r17</w:t>
      </w:r>
      <w:r w:rsidRPr="00FA0D37">
        <w:t>,</w:t>
      </w:r>
    </w:p>
    <w:p w14:paraId="02A232A1" w14:textId="0264DD15" w:rsidR="00811135" w:rsidRPr="00FA0D37" w:rsidRDefault="00214323" w:rsidP="00FA0D37">
      <w:pPr>
        <w:pStyle w:val="PL"/>
      </w:pPr>
      <w:r w:rsidRPr="00FA0D37">
        <w:t xml:space="preserve">           </w:t>
      </w:r>
      <w:r w:rsidR="00394471" w:rsidRPr="00FA0D37">
        <w:t xml:space="preserve"> </w:t>
      </w:r>
      <w:r w:rsidR="0064192E" w:rsidRPr="00FA0D37">
        <w:t>uePositioningAssistanceInfo-r17 UEPositioningAssistanceInfo-r17</w:t>
      </w:r>
      <w:r w:rsidR="00394471" w:rsidRPr="00FA0D37">
        <w:t>,</w:t>
      </w:r>
    </w:p>
    <w:p w14:paraId="0367C4BC" w14:textId="72822732" w:rsidR="00811135" w:rsidRPr="00FA0D37" w:rsidRDefault="00811135" w:rsidP="00FA0D37">
      <w:pPr>
        <w:pStyle w:val="PL"/>
      </w:pPr>
      <w:r w:rsidRPr="00FA0D37">
        <w:t xml:space="preserve">            measurementReportAppLayer-r17   MeasurementReportAppLayer-r17</w:t>
      </w:r>
      <w:r w:rsidR="00394471" w:rsidRPr="00FA0D37">
        <w:t>,</w:t>
      </w:r>
    </w:p>
    <w:p w14:paraId="7B3113E1" w14:textId="52BB5D92" w:rsidR="00394471" w:rsidRPr="00FA0D37" w:rsidRDefault="00811135" w:rsidP="00FA0D37">
      <w:pPr>
        <w:pStyle w:val="PL"/>
      </w:pPr>
      <w:r w:rsidRPr="00FA0D37">
        <w:t xml:space="preserve">                                           </w:t>
      </w:r>
      <w:r w:rsidR="00394471" w:rsidRPr="00FA0D37">
        <w:t xml:space="preserve"> spare6 </w:t>
      </w:r>
      <w:r w:rsidR="00394471" w:rsidRPr="00FA0D37">
        <w:rPr>
          <w:color w:val="993366"/>
        </w:rPr>
        <w:t>NULL</w:t>
      </w:r>
      <w:r w:rsidR="00394471" w:rsidRPr="00FA0D37">
        <w:t xml:space="preserve">, spare5 </w:t>
      </w:r>
      <w:r w:rsidR="00394471" w:rsidRPr="00FA0D37">
        <w:rPr>
          <w:color w:val="993366"/>
        </w:rPr>
        <w:t>NULL</w:t>
      </w:r>
      <w:r w:rsidR="00394471" w:rsidRPr="00FA0D37">
        <w:t xml:space="preserve">, spare4 </w:t>
      </w:r>
      <w:r w:rsidR="00394471" w:rsidRPr="00FA0D37">
        <w:rPr>
          <w:color w:val="993366"/>
        </w:rPr>
        <w:t>NULL</w:t>
      </w:r>
      <w:r w:rsidR="00394471" w:rsidRPr="00FA0D37">
        <w:t xml:space="preserve">, spare3 </w:t>
      </w:r>
      <w:r w:rsidR="00394471" w:rsidRPr="00FA0D37">
        <w:rPr>
          <w:color w:val="993366"/>
        </w:rPr>
        <w:t>NULL</w:t>
      </w:r>
      <w:r w:rsidR="00394471" w:rsidRPr="00FA0D37">
        <w:t xml:space="preserve">, spare2 </w:t>
      </w:r>
      <w:r w:rsidR="00394471" w:rsidRPr="00FA0D37">
        <w:rPr>
          <w:color w:val="993366"/>
        </w:rPr>
        <w:t>NULL</w:t>
      </w:r>
      <w:r w:rsidR="00394471" w:rsidRPr="00FA0D37">
        <w:t xml:space="preserve">, spare1 </w:t>
      </w:r>
      <w:r w:rsidR="00394471" w:rsidRPr="00FA0D37">
        <w:rPr>
          <w:color w:val="993366"/>
        </w:rPr>
        <w:t>NULL</w:t>
      </w:r>
    </w:p>
    <w:p w14:paraId="24D4A922" w14:textId="77777777" w:rsidR="00394471" w:rsidRPr="00FA0D37" w:rsidRDefault="00394471" w:rsidP="00FA0D37">
      <w:pPr>
        <w:pStyle w:val="PL"/>
      </w:pPr>
      <w:r w:rsidRPr="00FA0D37">
        <w:t xml:space="preserve">        },</w:t>
      </w:r>
    </w:p>
    <w:p w14:paraId="0D6943B6" w14:textId="77777777" w:rsidR="00394471" w:rsidRPr="00FA0D37" w:rsidRDefault="00394471" w:rsidP="00FA0D37">
      <w:pPr>
        <w:pStyle w:val="PL"/>
      </w:pPr>
      <w:r w:rsidRPr="00FA0D37">
        <w:t xml:space="preserve">        messageClassExtensionFuture-r16    </w:t>
      </w:r>
      <w:r w:rsidRPr="00FA0D37">
        <w:rPr>
          <w:color w:val="993366"/>
        </w:rPr>
        <w:t>SEQUENCE</w:t>
      </w:r>
      <w:r w:rsidRPr="00FA0D37">
        <w:t xml:space="preserve"> {}</w:t>
      </w:r>
    </w:p>
    <w:p w14:paraId="1A57661A" w14:textId="77777777" w:rsidR="00394471" w:rsidRPr="00FA0D37" w:rsidRDefault="00394471" w:rsidP="00FA0D37">
      <w:pPr>
        <w:pStyle w:val="PL"/>
      </w:pPr>
      <w:r w:rsidRPr="00FA0D37">
        <w:t xml:space="preserve">    }</w:t>
      </w:r>
    </w:p>
    <w:p w14:paraId="25F4A3C7" w14:textId="77777777" w:rsidR="00394471" w:rsidRPr="00FA0D37" w:rsidRDefault="00394471" w:rsidP="00FA0D37">
      <w:pPr>
        <w:pStyle w:val="PL"/>
      </w:pPr>
      <w:r w:rsidRPr="00FA0D37">
        <w:t>}</w:t>
      </w:r>
    </w:p>
    <w:p w14:paraId="353BC2D7" w14:textId="77777777" w:rsidR="00394471" w:rsidRPr="00FA0D37" w:rsidRDefault="00394471" w:rsidP="00FA0D37">
      <w:pPr>
        <w:pStyle w:val="PL"/>
      </w:pPr>
    </w:p>
    <w:p w14:paraId="50AE78C3" w14:textId="77777777" w:rsidR="00394471" w:rsidRPr="00FA0D37" w:rsidRDefault="00394471" w:rsidP="00FA0D37">
      <w:pPr>
        <w:pStyle w:val="PL"/>
        <w:rPr>
          <w:color w:val="808080"/>
        </w:rPr>
      </w:pPr>
      <w:r w:rsidRPr="00FA0D37">
        <w:rPr>
          <w:color w:val="808080"/>
        </w:rPr>
        <w:t>-- TAG-UL-DCCH-MESSAGE-STOP</w:t>
      </w:r>
    </w:p>
    <w:p w14:paraId="505BB5B1" w14:textId="77777777" w:rsidR="00394471" w:rsidRPr="00FA0D37" w:rsidRDefault="00394471" w:rsidP="00FA0D37">
      <w:pPr>
        <w:pStyle w:val="PL"/>
        <w:rPr>
          <w:color w:val="808080"/>
        </w:rPr>
      </w:pPr>
      <w:r w:rsidRPr="00FA0D37">
        <w:rPr>
          <w:color w:val="808080"/>
        </w:rPr>
        <w:t>-- ASN1STOP</w:t>
      </w:r>
    </w:p>
    <w:p w14:paraId="695633DF" w14:textId="77777777" w:rsidR="00394471" w:rsidRPr="00FA0D37" w:rsidRDefault="00394471" w:rsidP="00394471"/>
    <w:p w14:paraId="2B10D36C" w14:textId="77777777" w:rsidR="00394471" w:rsidRPr="00FA0D37" w:rsidRDefault="00394471" w:rsidP="00394471">
      <w:pPr>
        <w:overflowPunct/>
        <w:autoSpaceDE/>
        <w:autoSpaceDN/>
        <w:adjustRightInd/>
        <w:spacing w:after="0"/>
        <w:rPr>
          <w:rFonts w:ascii="Arial" w:hAnsi="Arial"/>
          <w:sz w:val="28"/>
        </w:rPr>
        <w:sectPr w:rsidR="00394471" w:rsidRPr="00FA0D37">
          <w:footnotePr>
            <w:numRestart w:val="eachSect"/>
          </w:footnotePr>
          <w:pgSz w:w="16840" w:h="11907" w:orient="landscape"/>
          <w:pgMar w:top="1133" w:right="1416" w:bottom="1133" w:left="1133" w:header="850" w:footer="340" w:gutter="0"/>
          <w:cols w:space="720"/>
          <w:formProt w:val="0"/>
        </w:sectPr>
      </w:pPr>
    </w:p>
    <w:p w14:paraId="3F8B8ECE" w14:textId="77777777" w:rsidR="00394471" w:rsidRPr="00FA0D37" w:rsidRDefault="00394471" w:rsidP="00394471">
      <w:pPr>
        <w:pStyle w:val="3"/>
      </w:pPr>
      <w:bookmarkStart w:id="452" w:name="_Toc60777089"/>
      <w:bookmarkStart w:id="453" w:name="_Toc146781123"/>
      <w:bookmarkStart w:id="454" w:name="_Hlk54206646"/>
      <w:r w:rsidRPr="00FA0D37">
        <w:lastRenderedPageBreak/>
        <w:t>6.2.2</w:t>
      </w:r>
      <w:r w:rsidRPr="00FA0D37">
        <w:tab/>
        <w:t>Message definitions</w:t>
      </w:r>
      <w:bookmarkEnd w:id="452"/>
      <w:bookmarkEnd w:id="453"/>
    </w:p>
    <w:p w14:paraId="67F253FE" w14:textId="77777777" w:rsidR="00394471" w:rsidRPr="00FA0D37" w:rsidRDefault="00394471" w:rsidP="00394471">
      <w:pPr>
        <w:pStyle w:val="4"/>
        <w:rPr>
          <w:rFonts w:eastAsia="宋体"/>
          <w:lang w:eastAsia="zh-CN"/>
        </w:rPr>
      </w:pPr>
      <w:bookmarkStart w:id="455" w:name="_Toc60777090"/>
      <w:bookmarkStart w:id="456" w:name="_Toc146781124"/>
      <w:bookmarkEnd w:id="454"/>
      <w:r w:rsidRPr="00FA0D37">
        <w:t>–</w:t>
      </w:r>
      <w:r w:rsidRPr="00FA0D37">
        <w:tab/>
      </w:r>
      <w:r w:rsidRPr="00FA0D37">
        <w:rPr>
          <w:rFonts w:eastAsia="宋体"/>
          <w:i/>
          <w:noProof/>
          <w:lang w:eastAsia="zh-CN"/>
        </w:rPr>
        <w:t>CounterCheck</w:t>
      </w:r>
      <w:bookmarkEnd w:id="455"/>
      <w:bookmarkEnd w:id="456"/>
    </w:p>
    <w:p w14:paraId="568D2B56" w14:textId="77777777" w:rsidR="00394471" w:rsidRPr="00FA0D37" w:rsidRDefault="00394471" w:rsidP="00394471">
      <w:pPr>
        <w:rPr>
          <w:iCs/>
        </w:rPr>
      </w:pPr>
      <w:r w:rsidRPr="00FA0D37">
        <w:t xml:space="preserve">The </w:t>
      </w:r>
      <w:r w:rsidRPr="00FA0D37">
        <w:rPr>
          <w:rFonts w:eastAsia="宋体"/>
          <w:i/>
          <w:noProof/>
          <w:lang w:eastAsia="zh-CN"/>
        </w:rPr>
        <w:t>CounterCheck</w:t>
      </w:r>
      <w:r w:rsidRPr="00FA0D37">
        <w:rPr>
          <w:iCs/>
        </w:rPr>
        <w:t xml:space="preserve"> message </w:t>
      </w:r>
      <w:r w:rsidRPr="00FA0D37">
        <w:t xml:space="preserve">is used by the network to indicate the current COUNT MSB values associated to each </w:t>
      </w:r>
      <w:r w:rsidRPr="00FA0D37">
        <w:rPr>
          <w:rFonts w:eastAsia="宋体"/>
          <w:lang w:eastAsia="zh-CN"/>
        </w:rPr>
        <w:t>DRB</w:t>
      </w:r>
      <w:r w:rsidRPr="00FA0D37">
        <w:t xml:space="preserve"> and to request the UE to compare these to its COUNT MSB values and to report the comparison results to the network.</w:t>
      </w:r>
    </w:p>
    <w:p w14:paraId="00C469F2" w14:textId="77777777" w:rsidR="00394471" w:rsidRPr="00FA0D37" w:rsidRDefault="00394471" w:rsidP="00394471">
      <w:pPr>
        <w:pStyle w:val="B1"/>
      </w:pPr>
      <w:r w:rsidRPr="00FA0D37">
        <w:t>Signalling radio bearer: SRB1</w:t>
      </w:r>
    </w:p>
    <w:p w14:paraId="0A212B61" w14:textId="77777777" w:rsidR="00394471" w:rsidRPr="00FA0D37" w:rsidRDefault="00394471" w:rsidP="00394471">
      <w:pPr>
        <w:pStyle w:val="B1"/>
      </w:pPr>
      <w:r w:rsidRPr="00FA0D37">
        <w:t>RLC-SAP: AM</w:t>
      </w:r>
    </w:p>
    <w:p w14:paraId="3589E023" w14:textId="77777777" w:rsidR="00394471" w:rsidRPr="00FA0D37" w:rsidRDefault="00394471" w:rsidP="00394471">
      <w:pPr>
        <w:pStyle w:val="B1"/>
      </w:pPr>
      <w:r w:rsidRPr="00FA0D37">
        <w:t>Logical channel: DCCH</w:t>
      </w:r>
    </w:p>
    <w:p w14:paraId="05687107" w14:textId="77777777" w:rsidR="00394471" w:rsidRPr="00FA0D37" w:rsidRDefault="00394471" w:rsidP="00394471">
      <w:pPr>
        <w:pStyle w:val="B1"/>
      </w:pPr>
      <w:r w:rsidRPr="00FA0D37">
        <w:t>Direction: Network to UE</w:t>
      </w:r>
    </w:p>
    <w:p w14:paraId="12C4CE4C" w14:textId="77777777" w:rsidR="00394471" w:rsidRPr="00FA0D37" w:rsidRDefault="00394471" w:rsidP="00394471">
      <w:pPr>
        <w:pStyle w:val="TH"/>
        <w:rPr>
          <w:bCs/>
          <w:i/>
          <w:iCs/>
        </w:rPr>
      </w:pPr>
      <w:r w:rsidRPr="00FA0D37">
        <w:rPr>
          <w:rFonts w:eastAsia="宋体"/>
          <w:bCs/>
          <w:i/>
          <w:iCs/>
          <w:noProof/>
          <w:lang w:eastAsia="zh-CN"/>
        </w:rPr>
        <w:t>CounterCheck</w:t>
      </w:r>
      <w:r w:rsidRPr="00FA0D37">
        <w:rPr>
          <w:bCs/>
          <w:i/>
          <w:iCs/>
          <w:noProof/>
        </w:rPr>
        <w:t xml:space="preserve"> message</w:t>
      </w:r>
    </w:p>
    <w:p w14:paraId="232AE84B" w14:textId="77777777" w:rsidR="00394471" w:rsidRPr="00FA0D37" w:rsidRDefault="00394471" w:rsidP="00FA0D37">
      <w:pPr>
        <w:pStyle w:val="PL"/>
        <w:rPr>
          <w:color w:val="808080"/>
        </w:rPr>
      </w:pPr>
      <w:r w:rsidRPr="00FA0D37">
        <w:rPr>
          <w:color w:val="808080"/>
        </w:rPr>
        <w:t>-- ASN1START</w:t>
      </w:r>
    </w:p>
    <w:p w14:paraId="401E3EF1" w14:textId="77777777" w:rsidR="00394471" w:rsidRPr="00FA0D37" w:rsidRDefault="00394471" w:rsidP="00FA0D37">
      <w:pPr>
        <w:pStyle w:val="PL"/>
        <w:rPr>
          <w:color w:val="808080"/>
        </w:rPr>
      </w:pPr>
      <w:r w:rsidRPr="00FA0D37">
        <w:rPr>
          <w:color w:val="808080"/>
        </w:rPr>
        <w:t>-- TAG-COUNTERCHECK-START</w:t>
      </w:r>
    </w:p>
    <w:p w14:paraId="63617825" w14:textId="77777777" w:rsidR="00394471" w:rsidRPr="00FA0D37" w:rsidRDefault="00394471" w:rsidP="00FA0D37">
      <w:pPr>
        <w:pStyle w:val="PL"/>
      </w:pPr>
    </w:p>
    <w:p w14:paraId="2D4B000E" w14:textId="77777777" w:rsidR="00394471" w:rsidRPr="00FA0D37" w:rsidRDefault="00394471" w:rsidP="00FA0D37">
      <w:pPr>
        <w:pStyle w:val="PL"/>
      </w:pPr>
    </w:p>
    <w:p w14:paraId="314DE00B" w14:textId="77777777" w:rsidR="00394471" w:rsidRPr="00FA0D37" w:rsidRDefault="00394471" w:rsidP="00FA0D37">
      <w:pPr>
        <w:pStyle w:val="PL"/>
      </w:pPr>
      <w:r w:rsidRPr="00FA0D37">
        <w:t xml:space="preserve">CounterCheck ::=                </w:t>
      </w:r>
      <w:r w:rsidRPr="00FA0D37">
        <w:rPr>
          <w:color w:val="993366"/>
        </w:rPr>
        <w:t>SEQUENCE</w:t>
      </w:r>
      <w:r w:rsidRPr="00FA0D37">
        <w:t xml:space="preserve"> {</w:t>
      </w:r>
    </w:p>
    <w:p w14:paraId="1398E05D" w14:textId="77777777" w:rsidR="00394471" w:rsidRPr="00FA0D37" w:rsidRDefault="00394471" w:rsidP="00FA0D37">
      <w:pPr>
        <w:pStyle w:val="PL"/>
      </w:pPr>
      <w:r w:rsidRPr="00FA0D37">
        <w:t xml:space="preserve">    rrc-TransactionIdentifier       RRC-TransactionIdentifier,</w:t>
      </w:r>
    </w:p>
    <w:p w14:paraId="6AE40582"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48B42F22" w14:textId="77777777" w:rsidR="00394471" w:rsidRPr="00FA0D37" w:rsidRDefault="00394471" w:rsidP="00FA0D37">
      <w:pPr>
        <w:pStyle w:val="PL"/>
      </w:pPr>
      <w:r w:rsidRPr="00FA0D37">
        <w:t xml:space="preserve">        counterCheck                    CounterCheck-IEs,</w:t>
      </w:r>
    </w:p>
    <w:p w14:paraId="4380FC33"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465809FE" w14:textId="77777777" w:rsidR="00394471" w:rsidRPr="00FA0D37" w:rsidRDefault="00394471" w:rsidP="00FA0D37">
      <w:pPr>
        <w:pStyle w:val="PL"/>
      </w:pPr>
      <w:r w:rsidRPr="00FA0D37">
        <w:t xml:space="preserve">    }</w:t>
      </w:r>
    </w:p>
    <w:p w14:paraId="3A842A78" w14:textId="77777777" w:rsidR="00394471" w:rsidRPr="00FA0D37" w:rsidRDefault="00394471" w:rsidP="00FA0D37">
      <w:pPr>
        <w:pStyle w:val="PL"/>
      </w:pPr>
      <w:r w:rsidRPr="00FA0D37">
        <w:t>}</w:t>
      </w:r>
    </w:p>
    <w:p w14:paraId="7B5E0539" w14:textId="77777777" w:rsidR="00394471" w:rsidRPr="00FA0D37" w:rsidRDefault="00394471" w:rsidP="00FA0D37">
      <w:pPr>
        <w:pStyle w:val="PL"/>
      </w:pPr>
    </w:p>
    <w:p w14:paraId="60FB4E6C" w14:textId="77777777" w:rsidR="00394471" w:rsidRPr="00FA0D37" w:rsidRDefault="00394471" w:rsidP="00FA0D37">
      <w:pPr>
        <w:pStyle w:val="PL"/>
      </w:pPr>
      <w:r w:rsidRPr="00FA0D37">
        <w:t xml:space="preserve">CounterCheck-IEs ::=            </w:t>
      </w:r>
      <w:r w:rsidRPr="00FA0D37">
        <w:rPr>
          <w:color w:val="993366"/>
        </w:rPr>
        <w:t>SEQUENCE</w:t>
      </w:r>
      <w:r w:rsidRPr="00FA0D37">
        <w:t xml:space="preserve"> {</w:t>
      </w:r>
    </w:p>
    <w:p w14:paraId="23FC62AC" w14:textId="77777777" w:rsidR="00394471" w:rsidRPr="00FA0D37" w:rsidRDefault="00394471" w:rsidP="00FA0D37">
      <w:pPr>
        <w:pStyle w:val="PL"/>
      </w:pPr>
      <w:r w:rsidRPr="00FA0D37">
        <w:t xml:space="preserve">    drb-CountMSB-InfoList           DRB-CountMSB-InfoList,</w:t>
      </w:r>
    </w:p>
    <w:p w14:paraId="2462275E"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48D148B"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1359F8B5" w14:textId="77777777" w:rsidR="00394471" w:rsidRPr="00FA0D37" w:rsidRDefault="00394471" w:rsidP="00FA0D37">
      <w:pPr>
        <w:pStyle w:val="PL"/>
      </w:pPr>
      <w:r w:rsidRPr="00FA0D37">
        <w:t>}</w:t>
      </w:r>
    </w:p>
    <w:p w14:paraId="7DA6F3EB" w14:textId="77777777" w:rsidR="00394471" w:rsidRPr="00FA0D37" w:rsidRDefault="00394471" w:rsidP="00FA0D37">
      <w:pPr>
        <w:pStyle w:val="PL"/>
      </w:pPr>
    </w:p>
    <w:p w14:paraId="08E8791B" w14:textId="77777777" w:rsidR="00394471" w:rsidRPr="00FA0D37" w:rsidRDefault="00394471" w:rsidP="00FA0D37">
      <w:pPr>
        <w:pStyle w:val="PL"/>
      </w:pPr>
      <w:r w:rsidRPr="00FA0D37">
        <w:t xml:space="preserve">DRB-CountMSB-InfoList ::=       </w:t>
      </w:r>
      <w:r w:rsidRPr="00FA0D37">
        <w:rPr>
          <w:color w:val="993366"/>
        </w:rPr>
        <w:t>SEQUENCE</w:t>
      </w:r>
      <w:r w:rsidRPr="00FA0D37">
        <w:t xml:space="preserve"> (</w:t>
      </w:r>
      <w:r w:rsidRPr="00FA0D37">
        <w:rPr>
          <w:color w:val="993366"/>
        </w:rPr>
        <w:t>SIZE</w:t>
      </w:r>
      <w:r w:rsidRPr="00FA0D37">
        <w:t xml:space="preserve"> (1..maxDRB))</w:t>
      </w:r>
      <w:r w:rsidRPr="00FA0D37">
        <w:rPr>
          <w:color w:val="993366"/>
        </w:rPr>
        <w:t xml:space="preserve"> OF</w:t>
      </w:r>
      <w:r w:rsidRPr="00FA0D37">
        <w:t xml:space="preserve"> DRB-CountMSB-Info</w:t>
      </w:r>
    </w:p>
    <w:p w14:paraId="597AC8AA" w14:textId="77777777" w:rsidR="00394471" w:rsidRPr="00FA0D37" w:rsidRDefault="00394471" w:rsidP="00FA0D37">
      <w:pPr>
        <w:pStyle w:val="PL"/>
      </w:pPr>
    </w:p>
    <w:p w14:paraId="56710304" w14:textId="77777777" w:rsidR="00394471" w:rsidRPr="00FA0D37" w:rsidRDefault="00394471" w:rsidP="00FA0D37">
      <w:pPr>
        <w:pStyle w:val="PL"/>
      </w:pPr>
      <w:r w:rsidRPr="00FA0D37">
        <w:t xml:space="preserve">DRB-CountMSB-Info ::=           </w:t>
      </w:r>
      <w:r w:rsidRPr="00FA0D37">
        <w:rPr>
          <w:color w:val="993366"/>
        </w:rPr>
        <w:t>SEQUENCE</w:t>
      </w:r>
      <w:r w:rsidRPr="00FA0D37">
        <w:t xml:space="preserve"> {</w:t>
      </w:r>
    </w:p>
    <w:p w14:paraId="488D8173" w14:textId="77777777" w:rsidR="00394471" w:rsidRPr="00FA0D37" w:rsidRDefault="00394471" w:rsidP="00FA0D37">
      <w:pPr>
        <w:pStyle w:val="PL"/>
      </w:pPr>
      <w:r w:rsidRPr="00FA0D37">
        <w:t xml:space="preserve">    drb-Identity                    DRB-Identity,</w:t>
      </w:r>
    </w:p>
    <w:p w14:paraId="77AC002D" w14:textId="77777777" w:rsidR="00394471" w:rsidRPr="00FA0D37" w:rsidRDefault="00394471" w:rsidP="00FA0D37">
      <w:pPr>
        <w:pStyle w:val="PL"/>
      </w:pPr>
      <w:r w:rsidRPr="00FA0D37">
        <w:t xml:space="preserve">    countMSB-Uplink                 </w:t>
      </w:r>
      <w:r w:rsidRPr="00FA0D37">
        <w:rPr>
          <w:color w:val="993366"/>
        </w:rPr>
        <w:t>INTEGER</w:t>
      </w:r>
      <w:r w:rsidRPr="00FA0D37">
        <w:t>(0..33554431),</w:t>
      </w:r>
    </w:p>
    <w:p w14:paraId="1C8FB1AA" w14:textId="77777777" w:rsidR="00394471" w:rsidRPr="00FA0D37" w:rsidRDefault="00394471" w:rsidP="00FA0D37">
      <w:pPr>
        <w:pStyle w:val="PL"/>
      </w:pPr>
      <w:r w:rsidRPr="00FA0D37">
        <w:t xml:space="preserve">    countMSB-Downlink               </w:t>
      </w:r>
      <w:r w:rsidRPr="00FA0D37">
        <w:rPr>
          <w:color w:val="993366"/>
        </w:rPr>
        <w:t>INTEGER</w:t>
      </w:r>
      <w:r w:rsidRPr="00FA0D37">
        <w:t>(0..33554431)</w:t>
      </w:r>
    </w:p>
    <w:p w14:paraId="4F9F8F36" w14:textId="77777777" w:rsidR="00394471" w:rsidRPr="00FA0D37" w:rsidRDefault="00394471" w:rsidP="00FA0D37">
      <w:pPr>
        <w:pStyle w:val="PL"/>
      </w:pPr>
      <w:r w:rsidRPr="00FA0D37">
        <w:t>}</w:t>
      </w:r>
    </w:p>
    <w:p w14:paraId="3745FD42" w14:textId="77777777" w:rsidR="00394471" w:rsidRPr="00FA0D37" w:rsidRDefault="00394471" w:rsidP="00FA0D37">
      <w:pPr>
        <w:pStyle w:val="PL"/>
      </w:pPr>
    </w:p>
    <w:p w14:paraId="1311A35F" w14:textId="77777777" w:rsidR="00394471" w:rsidRPr="00FA0D37" w:rsidRDefault="00394471" w:rsidP="00FA0D37">
      <w:pPr>
        <w:pStyle w:val="PL"/>
        <w:rPr>
          <w:color w:val="808080"/>
        </w:rPr>
      </w:pPr>
      <w:r w:rsidRPr="00FA0D37">
        <w:rPr>
          <w:color w:val="808080"/>
        </w:rPr>
        <w:t>-- TAG-COUNTERCHECK-STOP</w:t>
      </w:r>
    </w:p>
    <w:p w14:paraId="26B5378C" w14:textId="77777777" w:rsidR="00394471" w:rsidRPr="00FA0D37" w:rsidRDefault="00394471" w:rsidP="00FA0D37">
      <w:pPr>
        <w:pStyle w:val="PL"/>
        <w:rPr>
          <w:color w:val="808080"/>
        </w:rPr>
      </w:pPr>
      <w:r w:rsidRPr="00FA0D37">
        <w:rPr>
          <w:color w:val="808080"/>
        </w:rPr>
        <w:t>-- ASN1STOP</w:t>
      </w:r>
    </w:p>
    <w:p w14:paraId="1120CD01" w14:textId="77777777" w:rsidR="00394471" w:rsidRPr="00FA0D3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594E35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2655C5B" w14:textId="77777777" w:rsidR="00394471" w:rsidRPr="00FA0D37" w:rsidRDefault="00394471" w:rsidP="00964CC4">
            <w:pPr>
              <w:pStyle w:val="TAH"/>
              <w:rPr>
                <w:szCs w:val="22"/>
                <w:lang w:eastAsia="zh-CN"/>
              </w:rPr>
            </w:pPr>
            <w:r w:rsidRPr="00FA0D37">
              <w:rPr>
                <w:i/>
                <w:szCs w:val="22"/>
                <w:lang w:eastAsia="zh-CN"/>
              </w:rPr>
              <w:lastRenderedPageBreak/>
              <w:t xml:space="preserve">CounterCheck-IEs </w:t>
            </w:r>
            <w:r w:rsidRPr="00FA0D37">
              <w:rPr>
                <w:szCs w:val="22"/>
                <w:lang w:eastAsia="zh-CN"/>
              </w:rPr>
              <w:t>field descriptions</w:t>
            </w:r>
          </w:p>
        </w:tc>
      </w:tr>
      <w:tr w:rsidR="00394471" w:rsidRPr="00FA0D37" w14:paraId="418C492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E2DACB" w14:textId="77777777" w:rsidR="00394471" w:rsidRPr="00FA0D37" w:rsidRDefault="00394471" w:rsidP="00964CC4">
            <w:pPr>
              <w:pStyle w:val="TAL"/>
              <w:rPr>
                <w:szCs w:val="22"/>
                <w:lang w:eastAsia="zh-CN"/>
              </w:rPr>
            </w:pPr>
            <w:r w:rsidRPr="00FA0D37">
              <w:rPr>
                <w:b/>
                <w:i/>
                <w:szCs w:val="22"/>
                <w:lang w:eastAsia="zh-CN"/>
              </w:rPr>
              <w:t>drb-CountMSB-InfoList</w:t>
            </w:r>
          </w:p>
          <w:p w14:paraId="78F09B8C" w14:textId="77777777" w:rsidR="00394471" w:rsidRPr="00FA0D37" w:rsidRDefault="00394471" w:rsidP="00964CC4">
            <w:pPr>
              <w:pStyle w:val="TAL"/>
              <w:rPr>
                <w:szCs w:val="22"/>
                <w:lang w:eastAsia="zh-CN"/>
              </w:rPr>
            </w:pPr>
            <w:r w:rsidRPr="00FA0D37">
              <w:rPr>
                <w:szCs w:val="22"/>
                <w:lang w:eastAsia="zh-CN"/>
              </w:rPr>
              <w:t>Indicates the MSBs of the COUNT values of the DRBs.</w:t>
            </w:r>
          </w:p>
        </w:tc>
      </w:tr>
    </w:tbl>
    <w:p w14:paraId="3DDF9B1D" w14:textId="77777777" w:rsidR="00394471" w:rsidRPr="00FA0D3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9A9D5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E6C9E" w14:textId="77777777" w:rsidR="00394471" w:rsidRPr="00FA0D37" w:rsidRDefault="00394471" w:rsidP="00964CC4">
            <w:pPr>
              <w:pStyle w:val="TAH"/>
              <w:rPr>
                <w:szCs w:val="22"/>
                <w:lang w:eastAsia="zh-CN"/>
              </w:rPr>
            </w:pPr>
            <w:r w:rsidRPr="00FA0D37">
              <w:rPr>
                <w:i/>
                <w:szCs w:val="22"/>
                <w:lang w:eastAsia="zh-CN"/>
              </w:rPr>
              <w:t xml:space="preserve">DRB-CountMSB-Info </w:t>
            </w:r>
            <w:r w:rsidRPr="00FA0D37">
              <w:rPr>
                <w:szCs w:val="22"/>
                <w:lang w:eastAsia="zh-CN"/>
              </w:rPr>
              <w:t>field descriptions</w:t>
            </w:r>
          </w:p>
        </w:tc>
      </w:tr>
      <w:tr w:rsidR="005C7FF4" w:rsidRPr="00FA0D37" w14:paraId="4C708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6B6D8A" w14:textId="77777777" w:rsidR="00394471" w:rsidRPr="00FA0D37" w:rsidRDefault="00394471" w:rsidP="00964CC4">
            <w:pPr>
              <w:pStyle w:val="TAL"/>
              <w:rPr>
                <w:szCs w:val="22"/>
                <w:lang w:eastAsia="zh-CN"/>
              </w:rPr>
            </w:pPr>
            <w:r w:rsidRPr="00FA0D37">
              <w:rPr>
                <w:b/>
                <w:i/>
                <w:szCs w:val="22"/>
                <w:lang w:eastAsia="zh-CN"/>
              </w:rPr>
              <w:t>countMSB-Downlink</w:t>
            </w:r>
          </w:p>
          <w:p w14:paraId="1B55FA50" w14:textId="77777777" w:rsidR="00394471" w:rsidRPr="00FA0D37" w:rsidRDefault="00394471" w:rsidP="00964CC4">
            <w:pPr>
              <w:pStyle w:val="TAL"/>
              <w:rPr>
                <w:szCs w:val="22"/>
                <w:lang w:eastAsia="zh-CN"/>
              </w:rPr>
            </w:pPr>
            <w:r w:rsidRPr="00FA0D37">
              <w:rPr>
                <w:szCs w:val="22"/>
                <w:lang w:eastAsia="zh-CN"/>
              </w:rPr>
              <w:t>Indicates the value of 25 MSBs from RX_NEXT – 1 (specified in TS 38.323 [5]) associated to this DRB.</w:t>
            </w:r>
          </w:p>
        </w:tc>
      </w:tr>
      <w:tr w:rsidR="00394471" w:rsidRPr="00FA0D37" w14:paraId="30574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5D5CC" w14:textId="77777777" w:rsidR="00394471" w:rsidRPr="00FA0D37" w:rsidRDefault="00394471" w:rsidP="00964CC4">
            <w:pPr>
              <w:pStyle w:val="TAL"/>
              <w:rPr>
                <w:szCs w:val="22"/>
                <w:lang w:eastAsia="zh-CN"/>
              </w:rPr>
            </w:pPr>
            <w:r w:rsidRPr="00FA0D37">
              <w:rPr>
                <w:b/>
                <w:i/>
                <w:szCs w:val="22"/>
                <w:lang w:eastAsia="zh-CN"/>
              </w:rPr>
              <w:t>countMSB-Uplink</w:t>
            </w:r>
          </w:p>
          <w:p w14:paraId="5C07BFD6" w14:textId="77777777" w:rsidR="00394471" w:rsidRPr="00FA0D37" w:rsidRDefault="00394471" w:rsidP="00964CC4">
            <w:pPr>
              <w:pStyle w:val="TAL"/>
              <w:rPr>
                <w:szCs w:val="22"/>
                <w:lang w:eastAsia="zh-CN"/>
              </w:rPr>
            </w:pPr>
            <w:r w:rsidRPr="00FA0D37">
              <w:rPr>
                <w:szCs w:val="22"/>
                <w:lang w:eastAsia="zh-CN"/>
              </w:rPr>
              <w:t>Indicates the value of 25 MSBs from TX_NEXT – 1 (specified in TS 38.323 [5]) associated to this DRB.</w:t>
            </w:r>
          </w:p>
        </w:tc>
      </w:tr>
    </w:tbl>
    <w:p w14:paraId="206E7BCE" w14:textId="77777777" w:rsidR="00394471" w:rsidRPr="00FA0D37" w:rsidRDefault="00394471" w:rsidP="00394471"/>
    <w:p w14:paraId="499040DD" w14:textId="77777777" w:rsidR="00394471" w:rsidRPr="00FA0D37" w:rsidRDefault="00394471" w:rsidP="00394471">
      <w:pPr>
        <w:pStyle w:val="4"/>
        <w:rPr>
          <w:rFonts w:eastAsia="宋体"/>
          <w:lang w:eastAsia="zh-CN"/>
        </w:rPr>
      </w:pPr>
      <w:bookmarkStart w:id="457" w:name="_Toc60777091"/>
      <w:bookmarkStart w:id="458" w:name="_Toc146781125"/>
      <w:r w:rsidRPr="00FA0D37">
        <w:t>–</w:t>
      </w:r>
      <w:r w:rsidRPr="00FA0D37">
        <w:tab/>
      </w:r>
      <w:r w:rsidRPr="00FA0D37">
        <w:rPr>
          <w:rFonts w:eastAsia="宋体"/>
          <w:i/>
          <w:noProof/>
          <w:lang w:eastAsia="zh-CN"/>
        </w:rPr>
        <w:t>CounterCheckResponse</w:t>
      </w:r>
      <w:bookmarkEnd w:id="457"/>
      <w:bookmarkEnd w:id="458"/>
    </w:p>
    <w:p w14:paraId="3E152C83" w14:textId="77777777" w:rsidR="00394471" w:rsidRPr="00FA0D37" w:rsidRDefault="00394471" w:rsidP="00394471">
      <w:pPr>
        <w:keepNext/>
        <w:keepLines/>
        <w:rPr>
          <w:iCs/>
        </w:rPr>
      </w:pPr>
      <w:r w:rsidRPr="00FA0D37">
        <w:t xml:space="preserve">The </w:t>
      </w:r>
      <w:r w:rsidRPr="00FA0D37">
        <w:rPr>
          <w:rFonts w:eastAsia="宋体"/>
          <w:i/>
          <w:noProof/>
          <w:lang w:eastAsia="zh-CN"/>
        </w:rPr>
        <w:t>CounterCheckResponse</w:t>
      </w:r>
      <w:r w:rsidRPr="00FA0D37">
        <w:rPr>
          <w:iCs/>
        </w:rPr>
        <w:t xml:space="preserve"> message </w:t>
      </w:r>
      <w:r w:rsidRPr="00FA0D37">
        <w:t xml:space="preserve">is used by the UE to respond to a </w:t>
      </w:r>
      <w:r w:rsidRPr="00FA0D37">
        <w:rPr>
          <w:rFonts w:eastAsia="宋体"/>
          <w:i/>
          <w:lang w:eastAsia="zh-CN"/>
        </w:rPr>
        <w:t>CounterCheck</w:t>
      </w:r>
      <w:r w:rsidRPr="00FA0D37">
        <w:t xml:space="preserve"> message.</w:t>
      </w:r>
    </w:p>
    <w:p w14:paraId="4D596958" w14:textId="77777777" w:rsidR="00394471" w:rsidRPr="00FA0D37" w:rsidRDefault="00394471" w:rsidP="00394471">
      <w:pPr>
        <w:pStyle w:val="B1"/>
        <w:keepNext/>
        <w:keepLines/>
      </w:pPr>
      <w:r w:rsidRPr="00FA0D37">
        <w:t>Signalling radio bearer: SRB1</w:t>
      </w:r>
    </w:p>
    <w:p w14:paraId="7A2B20F1" w14:textId="77777777" w:rsidR="00394471" w:rsidRPr="00FA0D37" w:rsidRDefault="00394471" w:rsidP="00394471">
      <w:pPr>
        <w:pStyle w:val="B1"/>
        <w:keepNext/>
        <w:keepLines/>
      </w:pPr>
      <w:r w:rsidRPr="00FA0D37">
        <w:t>RLC-SAP: AM</w:t>
      </w:r>
    </w:p>
    <w:p w14:paraId="639BC4CB" w14:textId="77777777" w:rsidR="00394471" w:rsidRPr="00FA0D37" w:rsidRDefault="00394471" w:rsidP="00394471">
      <w:pPr>
        <w:pStyle w:val="B1"/>
        <w:keepNext/>
        <w:keepLines/>
      </w:pPr>
      <w:r w:rsidRPr="00FA0D37">
        <w:t>Logical channel: DCCH</w:t>
      </w:r>
    </w:p>
    <w:p w14:paraId="69D99AB4" w14:textId="77777777" w:rsidR="00394471" w:rsidRPr="00FA0D37" w:rsidRDefault="00394471" w:rsidP="00394471">
      <w:pPr>
        <w:pStyle w:val="B1"/>
        <w:keepNext/>
        <w:keepLines/>
      </w:pPr>
      <w:r w:rsidRPr="00FA0D37">
        <w:t>Direction: UE to Network</w:t>
      </w:r>
    </w:p>
    <w:p w14:paraId="5C10C800" w14:textId="77777777" w:rsidR="00394471" w:rsidRPr="00FA0D37" w:rsidRDefault="00394471" w:rsidP="00394471">
      <w:pPr>
        <w:pStyle w:val="TH"/>
        <w:rPr>
          <w:bCs/>
          <w:i/>
          <w:iCs/>
        </w:rPr>
      </w:pPr>
      <w:r w:rsidRPr="00FA0D37">
        <w:rPr>
          <w:rFonts w:eastAsia="宋体"/>
          <w:bCs/>
          <w:i/>
          <w:iCs/>
          <w:noProof/>
          <w:lang w:eastAsia="zh-CN"/>
        </w:rPr>
        <w:t>CounterCheckResponse</w:t>
      </w:r>
      <w:r w:rsidRPr="00FA0D37">
        <w:rPr>
          <w:bCs/>
          <w:i/>
          <w:iCs/>
          <w:noProof/>
        </w:rPr>
        <w:t xml:space="preserve"> message</w:t>
      </w:r>
    </w:p>
    <w:p w14:paraId="0AD59553" w14:textId="77777777" w:rsidR="00394471" w:rsidRPr="00FA0D37" w:rsidRDefault="00394471" w:rsidP="00FA0D37">
      <w:pPr>
        <w:pStyle w:val="PL"/>
        <w:rPr>
          <w:color w:val="808080"/>
        </w:rPr>
      </w:pPr>
      <w:r w:rsidRPr="00FA0D37">
        <w:rPr>
          <w:color w:val="808080"/>
        </w:rPr>
        <w:t>-- ASN1START</w:t>
      </w:r>
    </w:p>
    <w:p w14:paraId="3ECE4527" w14:textId="77777777" w:rsidR="00394471" w:rsidRPr="00FA0D37" w:rsidRDefault="00394471" w:rsidP="00FA0D37">
      <w:pPr>
        <w:pStyle w:val="PL"/>
        <w:rPr>
          <w:color w:val="808080"/>
        </w:rPr>
      </w:pPr>
      <w:r w:rsidRPr="00FA0D37">
        <w:rPr>
          <w:color w:val="808080"/>
        </w:rPr>
        <w:t>-- TAG-COUNTERCHECKRESPONSE-START</w:t>
      </w:r>
    </w:p>
    <w:p w14:paraId="0A3FC542" w14:textId="77777777" w:rsidR="00394471" w:rsidRPr="00FA0D37" w:rsidRDefault="00394471" w:rsidP="00FA0D37">
      <w:pPr>
        <w:pStyle w:val="PL"/>
      </w:pPr>
    </w:p>
    <w:p w14:paraId="4B7F3185" w14:textId="77777777" w:rsidR="00394471" w:rsidRPr="00FA0D37" w:rsidRDefault="00394471" w:rsidP="00FA0D37">
      <w:pPr>
        <w:pStyle w:val="PL"/>
      </w:pPr>
      <w:r w:rsidRPr="00FA0D37">
        <w:t xml:space="preserve">CounterCheckResponse ::=        </w:t>
      </w:r>
      <w:r w:rsidRPr="00FA0D37">
        <w:rPr>
          <w:color w:val="993366"/>
        </w:rPr>
        <w:t>SEQUENCE</w:t>
      </w:r>
      <w:r w:rsidRPr="00FA0D37">
        <w:t xml:space="preserve"> {</w:t>
      </w:r>
    </w:p>
    <w:p w14:paraId="699B8C29" w14:textId="77777777" w:rsidR="00394471" w:rsidRPr="00FA0D37" w:rsidRDefault="00394471" w:rsidP="00FA0D37">
      <w:pPr>
        <w:pStyle w:val="PL"/>
      </w:pPr>
      <w:r w:rsidRPr="00FA0D37">
        <w:t xml:space="preserve">    rrc-TransactionIdentifier       RRC-TransactionIdentifier,</w:t>
      </w:r>
    </w:p>
    <w:p w14:paraId="0F5D00BA"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7DF18E66" w14:textId="77777777" w:rsidR="00394471" w:rsidRPr="00FA0D37" w:rsidRDefault="00394471" w:rsidP="00FA0D37">
      <w:pPr>
        <w:pStyle w:val="PL"/>
      </w:pPr>
      <w:r w:rsidRPr="00FA0D37">
        <w:t xml:space="preserve">        counterCheckResponse            CounterCheckResponse-IEs,</w:t>
      </w:r>
    </w:p>
    <w:p w14:paraId="36F0CD0D"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4EF73813" w14:textId="77777777" w:rsidR="00394471" w:rsidRPr="00FA0D37" w:rsidRDefault="00394471" w:rsidP="00FA0D37">
      <w:pPr>
        <w:pStyle w:val="PL"/>
      </w:pPr>
      <w:r w:rsidRPr="00FA0D37">
        <w:t xml:space="preserve">    }</w:t>
      </w:r>
    </w:p>
    <w:p w14:paraId="7D2F0E42" w14:textId="77777777" w:rsidR="00394471" w:rsidRPr="00FA0D37" w:rsidRDefault="00394471" w:rsidP="00FA0D37">
      <w:pPr>
        <w:pStyle w:val="PL"/>
      </w:pPr>
      <w:r w:rsidRPr="00FA0D37">
        <w:t>}</w:t>
      </w:r>
    </w:p>
    <w:p w14:paraId="1143069F" w14:textId="77777777" w:rsidR="00394471" w:rsidRPr="00FA0D37" w:rsidRDefault="00394471" w:rsidP="00FA0D37">
      <w:pPr>
        <w:pStyle w:val="PL"/>
      </w:pPr>
    </w:p>
    <w:p w14:paraId="5361B2FD" w14:textId="77777777" w:rsidR="00394471" w:rsidRPr="00FA0D37" w:rsidRDefault="00394471" w:rsidP="00FA0D37">
      <w:pPr>
        <w:pStyle w:val="PL"/>
      </w:pPr>
      <w:r w:rsidRPr="00FA0D37">
        <w:t xml:space="preserve">CounterCheckResponse-IEs ::=    </w:t>
      </w:r>
      <w:r w:rsidRPr="00FA0D37">
        <w:rPr>
          <w:color w:val="993366"/>
        </w:rPr>
        <w:t>SEQUENCE</w:t>
      </w:r>
      <w:r w:rsidRPr="00FA0D37">
        <w:t xml:space="preserve"> {</w:t>
      </w:r>
    </w:p>
    <w:p w14:paraId="661C7AB6" w14:textId="77777777" w:rsidR="00394471" w:rsidRPr="00FA0D37" w:rsidRDefault="00394471" w:rsidP="00FA0D37">
      <w:pPr>
        <w:pStyle w:val="PL"/>
      </w:pPr>
      <w:r w:rsidRPr="00FA0D37">
        <w:t xml:space="preserve">    drb-CountInfoList               DRB-CountInfoList,</w:t>
      </w:r>
    </w:p>
    <w:p w14:paraId="6D9C7A0C"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70307B6"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3A4B9394" w14:textId="77777777" w:rsidR="00394471" w:rsidRPr="00FA0D37" w:rsidRDefault="00394471" w:rsidP="00FA0D37">
      <w:pPr>
        <w:pStyle w:val="PL"/>
      </w:pPr>
    </w:p>
    <w:p w14:paraId="00697308" w14:textId="77777777" w:rsidR="00394471" w:rsidRPr="00FA0D37" w:rsidRDefault="00394471" w:rsidP="00FA0D37">
      <w:pPr>
        <w:pStyle w:val="PL"/>
      </w:pPr>
      <w:r w:rsidRPr="00FA0D37">
        <w:t>}</w:t>
      </w:r>
    </w:p>
    <w:p w14:paraId="686E9A59" w14:textId="77777777" w:rsidR="00394471" w:rsidRPr="00FA0D37" w:rsidRDefault="00394471" w:rsidP="00FA0D37">
      <w:pPr>
        <w:pStyle w:val="PL"/>
      </w:pPr>
    </w:p>
    <w:p w14:paraId="76243B1F" w14:textId="77777777" w:rsidR="00394471" w:rsidRPr="00FA0D37" w:rsidRDefault="00394471" w:rsidP="00FA0D37">
      <w:pPr>
        <w:pStyle w:val="PL"/>
      </w:pPr>
      <w:r w:rsidRPr="00FA0D37">
        <w:t xml:space="preserve">DRB-CountInfoList ::=           </w:t>
      </w:r>
      <w:r w:rsidRPr="00FA0D37">
        <w:rPr>
          <w:color w:val="993366"/>
        </w:rPr>
        <w:t>SEQUENCE</w:t>
      </w:r>
      <w:r w:rsidRPr="00FA0D37">
        <w:t xml:space="preserve"> (</w:t>
      </w:r>
      <w:r w:rsidRPr="00FA0D37">
        <w:rPr>
          <w:color w:val="993366"/>
        </w:rPr>
        <w:t>SIZE</w:t>
      </w:r>
      <w:r w:rsidRPr="00FA0D37">
        <w:t xml:space="preserve"> (0..maxDRB))</w:t>
      </w:r>
      <w:r w:rsidRPr="00FA0D37">
        <w:rPr>
          <w:color w:val="993366"/>
        </w:rPr>
        <w:t xml:space="preserve"> OF</w:t>
      </w:r>
      <w:r w:rsidRPr="00FA0D37">
        <w:t xml:space="preserve"> DRB-CountInfo</w:t>
      </w:r>
    </w:p>
    <w:p w14:paraId="66FD06FA" w14:textId="77777777" w:rsidR="00394471" w:rsidRPr="00FA0D37" w:rsidRDefault="00394471" w:rsidP="00FA0D37">
      <w:pPr>
        <w:pStyle w:val="PL"/>
      </w:pPr>
    </w:p>
    <w:p w14:paraId="14018242" w14:textId="77777777" w:rsidR="00394471" w:rsidRPr="00FA0D37" w:rsidRDefault="00394471" w:rsidP="00FA0D37">
      <w:pPr>
        <w:pStyle w:val="PL"/>
      </w:pPr>
      <w:r w:rsidRPr="00FA0D37">
        <w:t xml:space="preserve">DRB-CountInfo ::=               </w:t>
      </w:r>
      <w:r w:rsidRPr="00FA0D37">
        <w:rPr>
          <w:color w:val="993366"/>
        </w:rPr>
        <w:t>SEQUENCE</w:t>
      </w:r>
      <w:r w:rsidRPr="00FA0D37">
        <w:t xml:space="preserve"> {</w:t>
      </w:r>
    </w:p>
    <w:p w14:paraId="18EEE4DD" w14:textId="77777777" w:rsidR="00394471" w:rsidRPr="00FA0D37" w:rsidRDefault="00394471" w:rsidP="00FA0D37">
      <w:pPr>
        <w:pStyle w:val="PL"/>
      </w:pPr>
      <w:r w:rsidRPr="00FA0D37">
        <w:lastRenderedPageBreak/>
        <w:t xml:space="preserve">    drb-Identity                    DRB-Identity,</w:t>
      </w:r>
    </w:p>
    <w:p w14:paraId="1FCE9F52" w14:textId="77777777" w:rsidR="00394471" w:rsidRPr="00FA0D37" w:rsidRDefault="00394471" w:rsidP="00FA0D37">
      <w:pPr>
        <w:pStyle w:val="PL"/>
      </w:pPr>
      <w:r w:rsidRPr="00FA0D37">
        <w:t xml:space="preserve">    count-Uplink                    </w:t>
      </w:r>
      <w:r w:rsidRPr="00FA0D37">
        <w:rPr>
          <w:color w:val="993366"/>
        </w:rPr>
        <w:t>INTEGER</w:t>
      </w:r>
      <w:r w:rsidRPr="00FA0D37">
        <w:t>(0..4294967295),</w:t>
      </w:r>
    </w:p>
    <w:p w14:paraId="54C2C6A2" w14:textId="77777777" w:rsidR="00394471" w:rsidRPr="00FA0D37" w:rsidRDefault="00394471" w:rsidP="00FA0D37">
      <w:pPr>
        <w:pStyle w:val="PL"/>
      </w:pPr>
      <w:r w:rsidRPr="00FA0D37">
        <w:t xml:space="preserve">    count-Downlink                  </w:t>
      </w:r>
      <w:r w:rsidRPr="00FA0D37">
        <w:rPr>
          <w:color w:val="993366"/>
        </w:rPr>
        <w:t>INTEGER</w:t>
      </w:r>
      <w:r w:rsidRPr="00FA0D37">
        <w:t>(0..4294967295)</w:t>
      </w:r>
    </w:p>
    <w:p w14:paraId="4F4B1762" w14:textId="77777777" w:rsidR="00394471" w:rsidRPr="00FA0D37" w:rsidRDefault="00394471" w:rsidP="00FA0D37">
      <w:pPr>
        <w:pStyle w:val="PL"/>
      </w:pPr>
      <w:r w:rsidRPr="00FA0D37">
        <w:t>}</w:t>
      </w:r>
    </w:p>
    <w:p w14:paraId="0ECCDEF9" w14:textId="77777777" w:rsidR="00394471" w:rsidRPr="00FA0D37" w:rsidRDefault="00394471" w:rsidP="00FA0D37">
      <w:pPr>
        <w:pStyle w:val="PL"/>
      </w:pPr>
    </w:p>
    <w:p w14:paraId="6492BE29" w14:textId="77777777" w:rsidR="00394471" w:rsidRPr="00FA0D37" w:rsidRDefault="00394471" w:rsidP="00FA0D37">
      <w:pPr>
        <w:pStyle w:val="PL"/>
        <w:rPr>
          <w:color w:val="808080"/>
        </w:rPr>
      </w:pPr>
      <w:r w:rsidRPr="00FA0D37">
        <w:rPr>
          <w:color w:val="808080"/>
        </w:rPr>
        <w:t>-- TAG-COUNTERCHECKRESPONSE-STOP</w:t>
      </w:r>
    </w:p>
    <w:p w14:paraId="6C962493" w14:textId="77777777" w:rsidR="00394471" w:rsidRPr="00FA0D37" w:rsidRDefault="00394471" w:rsidP="00FA0D37">
      <w:pPr>
        <w:pStyle w:val="PL"/>
        <w:rPr>
          <w:rFonts w:eastAsia="宋体"/>
          <w:color w:val="808080"/>
          <w:lang w:eastAsia="zh-CN"/>
        </w:rPr>
      </w:pPr>
      <w:r w:rsidRPr="00FA0D37">
        <w:rPr>
          <w:color w:val="808080"/>
        </w:rPr>
        <w:t>-- ASN1STOP</w:t>
      </w:r>
    </w:p>
    <w:p w14:paraId="57061B0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97639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046DC18" w14:textId="77777777" w:rsidR="00394471" w:rsidRPr="00FA0D37" w:rsidRDefault="00394471" w:rsidP="00964CC4">
            <w:pPr>
              <w:pStyle w:val="TAH"/>
              <w:rPr>
                <w:szCs w:val="22"/>
                <w:lang w:eastAsia="sv-SE"/>
              </w:rPr>
            </w:pPr>
            <w:r w:rsidRPr="00FA0D37">
              <w:rPr>
                <w:i/>
                <w:szCs w:val="22"/>
                <w:lang w:eastAsia="sv-SE"/>
              </w:rPr>
              <w:t xml:space="preserve">CounterCheckResponse-IEs </w:t>
            </w:r>
            <w:r w:rsidRPr="00FA0D37">
              <w:rPr>
                <w:szCs w:val="22"/>
                <w:lang w:eastAsia="sv-SE"/>
              </w:rPr>
              <w:t>field descriptions</w:t>
            </w:r>
          </w:p>
        </w:tc>
      </w:tr>
      <w:tr w:rsidR="00394471" w:rsidRPr="00FA0D37" w14:paraId="4C12179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781C5E6" w14:textId="77777777" w:rsidR="00394471" w:rsidRPr="00FA0D37" w:rsidRDefault="00394471" w:rsidP="00964CC4">
            <w:pPr>
              <w:pStyle w:val="TAL"/>
              <w:rPr>
                <w:szCs w:val="22"/>
                <w:lang w:eastAsia="sv-SE"/>
              </w:rPr>
            </w:pPr>
            <w:r w:rsidRPr="00FA0D37">
              <w:rPr>
                <w:b/>
                <w:i/>
                <w:szCs w:val="22"/>
                <w:lang w:eastAsia="sv-SE"/>
              </w:rPr>
              <w:t>drb-CountInfoList</w:t>
            </w:r>
          </w:p>
          <w:p w14:paraId="3891CA7E" w14:textId="77777777" w:rsidR="00394471" w:rsidRPr="00FA0D37" w:rsidRDefault="00394471" w:rsidP="00964CC4">
            <w:pPr>
              <w:pStyle w:val="TAL"/>
              <w:rPr>
                <w:szCs w:val="22"/>
                <w:lang w:eastAsia="sv-SE"/>
              </w:rPr>
            </w:pPr>
            <w:r w:rsidRPr="00FA0D37">
              <w:rPr>
                <w:szCs w:val="22"/>
                <w:lang w:eastAsia="sv-SE"/>
              </w:rPr>
              <w:t>Indicates the COUNT values of the DRBs.</w:t>
            </w:r>
          </w:p>
        </w:tc>
      </w:tr>
    </w:tbl>
    <w:p w14:paraId="6D20EC0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638678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30C9EE4" w14:textId="77777777" w:rsidR="00394471" w:rsidRPr="00FA0D37" w:rsidRDefault="00394471" w:rsidP="00964CC4">
            <w:pPr>
              <w:pStyle w:val="TAH"/>
              <w:rPr>
                <w:szCs w:val="22"/>
                <w:lang w:eastAsia="sv-SE"/>
              </w:rPr>
            </w:pPr>
            <w:r w:rsidRPr="00FA0D37">
              <w:rPr>
                <w:i/>
                <w:szCs w:val="22"/>
                <w:lang w:eastAsia="sv-SE"/>
              </w:rPr>
              <w:t xml:space="preserve">DRB-CountInfo </w:t>
            </w:r>
            <w:r w:rsidRPr="00FA0D37">
              <w:rPr>
                <w:szCs w:val="22"/>
                <w:lang w:eastAsia="sv-SE"/>
              </w:rPr>
              <w:t>field descriptions</w:t>
            </w:r>
          </w:p>
        </w:tc>
      </w:tr>
      <w:tr w:rsidR="005C7FF4" w:rsidRPr="00FA0D37" w14:paraId="5D08C06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E8393A" w14:textId="77777777" w:rsidR="00394471" w:rsidRPr="00FA0D37" w:rsidRDefault="00394471" w:rsidP="00964CC4">
            <w:pPr>
              <w:pStyle w:val="TAL"/>
              <w:rPr>
                <w:szCs w:val="22"/>
                <w:lang w:eastAsia="sv-SE"/>
              </w:rPr>
            </w:pPr>
            <w:r w:rsidRPr="00FA0D37">
              <w:rPr>
                <w:b/>
                <w:i/>
                <w:szCs w:val="22"/>
                <w:lang w:eastAsia="sv-SE"/>
              </w:rPr>
              <w:t>count-Downlink</w:t>
            </w:r>
          </w:p>
          <w:p w14:paraId="63E82CBA" w14:textId="77777777" w:rsidR="00394471" w:rsidRPr="00FA0D37" w:rsidRDefault="00394471" w:rsidP="00964CC4">
            <w:pPr>
              <w:pStyle w:val="TAL"/>
              <w:rPr>
                <w:szCs w:val="22"/>
                <w:lang w:eastAsia="sv-SE"/>
              </w:rPr>
            </w:pPr>
            <w:r w:rsidRPr="00FA0D37">
              <w:rPr>
                <w:szCs w:val="22"/>
                <w:lang w:eastAsia="sv-SE"/>
              </w:rPr>
              <w:t>Indicates the value of RX_NEXT – 1 (specified in TS 38.323 [5]) associated to this DRB.</w:t>
            </w:r>
          </w:p>
        </w:tc>
      </w:tr>
      <w:tr w:rsidR="00394471" w:rsidRPr="00FA0D37" w14:paraId="4B6FDC7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3CADBCE" w14:textId="77777777" w:rsidR="00394471" w:rsidRPr="00FA0D37" w:rsidRDefault="00394471" w:rsidP="00964CC4">
            <w:pPr>
              <w:pStyle w:val="TAL"/>
              <w:rPr>
                <w:szCs w:val="22"/>
                <w:lang w:eastAsia="sv-SE"/>
              </w:rPr>
            </w:pPr>
            <w:r w:rsidRPr="00FA0D37">
              <w:rPr>
                <w:b/>
                <w:i/>
                <w:szCs w:val="22"/>
                <w:lang w:eastAsia="sv-SE"/>
              </w:rPr>
              <w:t>count-Uplink</w:t>
            </w:r>
          </w:p>
          <w:p w14:paraId="085F4F3F" w14:textId="77777777" w:rsidR="00394471" w:rsidRPr="00FA0D37" w:rsidRDefault="00394471" w:rsidP="00964CC4">
            <w:pPr>
              <w:pStyle w:val="TAL"/>
              <w:rPr>
                <w:szCs w:val="22"/>
                <w:lang w:eastAsia="sv-SE"/>
              </w:rPr>
            </w:pPr>
            <w:r w:rsidRPr="00FA0D37">
              <w:rPr>
                <w:szCs w:val="22"/>
                <w:lang w:eastAsia="sv-SE"/>
              </w:rPr>
              <w:t>Indicates the value of TX_NEXT – 1 (specified in TS 38.323 [5]) associated to this DRB.</w:t>
            </w:r>
          </w:p>
        </w:tc>
      </w:tr>
    </w:tbl>
    <w:p w14:paraId="1D6953AA" w14:textId="77777777" w:rsidR="00394471" w:rsidRPr="00FA0D37" w:rsidRDefault="00394471" w:rsidP="00394471"/>
    <w:p w14:paraId="6CBB6E75" w14:textId="77777777" w:rsidR="00394471" w:rsidRPr="00FA0D37" w:rsidRDefault="00394471" w:rsidP="00394471">
      <w:pPr>
        <w:pStyle w:val="4"/>
      </w:pPr>
      <w:bookmarkStart w:id="459" w:name="_Toc60777092"/>
      <w:bookmarkStart w:id="460" w:name="_Toc146781126"/>
      <w:r w:rsidRPr="00FA0D37">
        <w:t>–</w:t>
      </w:r>
      <w:r w:rsidRPr="00FA0D37">
        <w:tab/>
      </w:r>
      <w:r w:rsidRPr="00FA0D37">
        <w:rPr>
          <w:bCs/>
          <w:i/>
          <w:iCs/>
          <w:noProof/>
        </w:rPr>
        <w:t>DedicatedSIBRequest</w:t>
      </w:r>
      <w:bookmarkEnd w:id="459"/>
      <w:bookmarkEnd w:id="460"/>
    </w:p>
    <w:p w14:paraId="6D896634" w14:textId="77777777" w:rsidR="00394471" w:rsidRPr="00FA0D37" w:rsidRDefault="00394471" w:rsidP="00394471">
      <w:pPr>
        <w:rPr>
          <w:lang w:eastAsia="en-US"/>
        </w:rPr>
      </w:pPr>
      <w:r w:rsidRPr="00FA0D37">
        <w:t xml:space="preserve">The </w:t>
      </w:r>
      <w:r w:rsidRPr="00FA0D37">
        <w:rPr>
          <w:i/>
        </w:rPr>
        <w:t>DedicatedSIBRequest</w:t>
      </w:r>
      <w:r w:rsidRPr="00FA0D37">
        <w:t xml:space="preserve"> message is used to request </w:t>
      </w:r>
      <w:r w:rsidRPr="00FA0D37">
        <w:rPr>
          <w:lang w:eastAsia="zh-CN"/>
        </w:rPr>
        <w:t>SIB(s) required by the UE in RRC_CONNECTED as specified in clause 5.2.2.3.5.</w:t>
      </w:r>
    </w:p>
    <w:p w14:paraId="4B22C1B7" w14:textId="77777777" w:rsidR="00394471" w:rsidRPr="00FA0D37" w:rsidRDefault="00394471" w:rsidP="00394471">
      <w:pPr>
        <w:pStyle w:val="B1"/>
      </w:pPr>
      <w:r w:rsidRPr="00FA0D37">
        <w:t>Signalling radio bearer: SRB1</w:t>
      </w:r>
    </w:p>
    <w:p w14:paraId="0F6E67D2" w14:textId="77777777" w:rsidR="00394471" w:rsidRPr="00FA0D37" w:rsidRDefault="00394471" w:rsidP="00394471">
      <w:pPr>
        <w:pStyle w:val="B1"/>
      </w:pPr>
      <w:r w:rsidRPr="00FA0D37">
        <w:t>RLC-SAP: AM</w:t>
      </w:r>
    </w:p>
    <w:p w14:paraId="19918AB4" w14:textId="77777777" w:rsidR="00394471" w:rsidRPr="00FA0D37" w:rsidRDefault="00394471" w:rsidP="00394471">
      <w:pPr>
        <w:pStyle w:val="B1"/>
      </w:pPr>
      <w:r w:rsidRPr="00FA0D37">
        <w:t>Logical channel: DCCH</w:t>
      </w:r>
    </w:p>
    <w:p w14:paraId="7F82E3B1" w14:textId="77777777" w:rsidR="00394471" w:rsidRPr="00FA0D37" w:rsidRDefault="00394471" w:rsidP="00394471">
      <w:pPr>
        <w:pStyle w:val="B1"/>
        <w:rPr>
          <w:rFonts w:eastAsia="宋体"/>
          <w:lang w:eastAsia="zh-CN"/>
        </w:rPr>
      </w:pPr>
      <w:r w:rsidRPr="00FA0D37">
        <w:t xml:space="preserve">Direction: UE to </w:t>
      </w:r>
      <w:r w:rsidRPr="00FA0D37">
        <w:rPr>
          <w:rFonts w:eastAsia="宋体"/>
          <w:lang w:eastAsia="zh-CN"/>
        </w:rPr>
        <w:t>Network</w:t>
      </w:r>
    </w:p>
    <w:p w14:paraId="5B66085E" w14:textId="77777777" w:rsidR="00394471" w:rsidRPr="00FA0D37" w:rsidRDefault="00394471" w:rsidP="00394471">
      <w:pPr>
        <w:pStyle w:val="TH"/>
        <w:rPr>
          <w:bCs/>
          <w:i/>
          <w:iCs/>
          <w:noProof/>
          <w:lang w:eastAsia="en-US"/>
        </w:rPr>
      </w:pPr>
      <w:r w:rsidRPr="00FA0D37">
        <w:rPr>
          <w:bCs/>
          <w:i/>
          <w:iCs/>
          <w:noProof/>
        </w:rPr>
        <w:t>DedicatedSIBRequest message</w:t>
      </w:r>
    </w:p>
    <w:p w14:paraId="745BDCC8" w14:textId="77777777" w:rsidR="00394471" w:rsidRPr="00FA0D37" w:rsidRDefault="00394471" w:rsidP="00FA0D37">
      <w:pPr>
        <w:pStyle w:val="PL"/>
        <w:rPr>
          <w:color w:val="808080"/>
        </w:rPr>
      </w:pPr>
      <w:r w:rsidRPr="00FA0D37">
        <w:rPr>
          <w:color w:val="808080"/>
        </w:rPr>
        <w:t>-- ASN1START</w:t>
      </w:r>
    </w:p>
    <w:p w14:paraId="0331CE4F" w14:textId="77777777" w:rsidR="00394471" w:rsidRPr="00FA0D37" w:rsidRDefault="00394471" w:rsidP="00FA0D37">
      <w:pPr>
        <w:pStyle w:val="PL"/>
        <w:rPr>
          <w:color w:val="808080"/>
        </w:rPr>
      </w:pPr>
      <w:r w:rsidRPr="00FA0D37">
        <w:rPr>
          <w:color w:val="808080"/>
        </w:rPr>
        <w:t>-- TAG-DEDICATEDSIBREQUEST-START</w:t>
      </w:r>
    </w:p>
    <w:p w14:paraId="28C464AC" w14:textId="77777777" w:rsidR="00394471" w:rsidRPr="00FA0D37" w:rsidRDefault="00394471" w:rsidP="00FA0D37">
      <w:pPr>
        <w:pStyle w:val="PL"/>
      </w:pPr>
    </w:p>
    <w:p w14:paraId="1156E844" w14:textId="77777777" w:rsidR="00394471" w:rsidRPr="00FA0D37" w:rsidRDefault="00394471" w:rsidP="00FA0D37">
      <w:pPr>
        <w:pStyle w:val="PL"/>
      </w:pPr>
      <w:r w:rsidRPr="00FA0D37">
        <w:t xml:space="preserve">DedicatedSIBRequest-r16 ::=      </w:t>
      </w:r>
      <w:r w:rsidRPr="00FA0D37">
        <w:rPr>
          <w:color w:val="993366"/>
        </w:rPr>
        <w:t>SEQUENCE</w:t>
      </w:r>
      <w:r w:rsidRPr="00FA0D37">
        <w:t xml:space="preserve"> {</w:t>
      </w:r>
    </w:p>
    <w:p w14:paraId="4E1931A6"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379288F1" w14:textId="77777777" w:rsidR="00394471" w:rsidRPr="00FA0D37" w:rsidRDefault="00394471" w:rsidP="00FA0D37">
      <w:pPr>
        <w:pStyle w:val="PL"/>
      </w:pPr>
      <w:r w:rsidRPr="00FA0D37">
        <w:t xml:space="preserve">        dedicatedSIBRequest-r16          DedicatedSIBRequest-r16-IEs,</w:t>
      </w:r>
    </w:p>
    <w:p w14:paraId="0B9C6503"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09DBE74E" w14:textId="77777777" w:rsidR="00394471" w:rsidRPr="00FA0D37" w:rsidRDefault="00394471" w:rsidP="00FA0D37">
      <w:pPr>
        <w:pStyle w:val="PL"/>
      </w:pPr>
      <w:r w:rsidRPr="00FA0D37">
        <w:t xml:space="preserve">    }</w:t>
      </w:r>
    </w:p>
    <w:p w14:paraId="54454C30" w14:textId="77777777" w:rsidR="00394471" w:rsidRPr="00FA0D37" w:rsidRDefault="00394471" w:rsidP="00FA0D37">
      <w:pPr>
        <w:pStyle w:val="PL"/>
      </w:pPr>
      <w:r w:rsidRPr="00FA0D37">
        <w:t>}</w:t>
      </w:r>
    </w:p>
    <w:p w14:paraId="0188B7C4" w14:textId="77777777" w:rsidR="00394471" w:rsidRPr="00FA0D37" w:rsidRDefault="00394471" w:rsidP="00FA0D37">
      <w:pPr>
        <w:pStyle w:val="PL"/>
      </w:pPr>
    </w:p>
    <w:p w14:paraId="74FE8403" w14:textId="77777777" w:rsidR="00394471" w:rsidRPr="00FA0D37" w:rsidRDefault="00394471" w:rsidP="00FA0D37">
      <w:pPr>
        <w:pStyle w:val="PL"/>
      </w:pPr>
      <w:r w:rsidRPr="00FA0D37">
        <w:t xml:space="preserve">DedicatedSIBRequest-r16-IEs ::=  </w:t>
      </w:r>
      <w:r w:rsidRPr="00FA0D37">
        <w:rPr>
          <w:color w:val="993366"/>
        </w:rPr>
        <w:t>SEQUENCE</w:t>
      </w:r>
      <w:r w:rsidRPr="00FA0D37">
        <w:t xml:space="preserve"> {</w:t>
      </w:r>
    </w:p>
    <w:p w14:paraId="631B4E91" w14:textId="77777777" w:rsidR="00394471" w:rsidRPr="00FA0D37" w:rsidRDefault="00394471" w:rsidP="00FA0D37">
      <w:pPr>
        <w:pStyle w:val="PL"/>
      </w:pPr>
      <w:r w:rsidRPr="00FA0D37">
        <w:lastRenderedPageBreak/>
        <w:t xml:space="preserve">    onDemandSIB-RequestList-r16       </w:t>
      </w:r>
      <w:r w:rsidRPr="00FA0D37">
        <w:rPr>
          <w:color w:val="993366"/>
        </w:rPr>
        <w:t>SEQUENCE</w:t>
      </w:r>
      <w:r w:rsidRPr="00FA0D37">
        <w:t xml:space="preserve"> {</w:t>
      </w:r>
    </w:p>
    <w:p w14:paraId="29A1F036" w14:textId="77777777" w:rsidR="00394471" w:rsidRPr="00FA0D37" w:rsidRDefault="00394471" w:rsidP="00FA0D37">
      <w:pPr>
        <w:pStyle w:val="PL"/>
      </w:pPr>
    </w:p>
    <w:p w14:paraId="448911CC" w14:textId="77777777" w:rsidR="00394471" w:rsidRPr="00FA0D37" w:rsidRDefault="00394471" w:rsidP="00FA0D37">
      <w:pPr>
        <w:pStyle w:val="PL"/>
      </w:pPr>
      <w:r w:rsidRPr="00FA0D37">
        <w:t xml:space="preserve">        requestedSIB-List-r16            </w:t>
      </w:r>
      <w:r w:rsidRPr="00FA0D37">
        <w:rPr>
          <w:color w:val="993366"/>
        </w:rPr>
        <w:t>SEQUENCE</w:t>
      </w:r>
      <w:r w:rsidRPr="00FA0D37">
        <w:t xml:space="preserve"> (</w:t>
      </w:r>
      <w:r w:rsidRPr="00FA0D37">
        <w:rPr>
          <w:color w:val="993366"/>
        </w:rPr>
        <w:t>SIZE</w:t>
      </w:r>
      <w:r w:rsidRPr="00FA0D37">
        <w:t xml:space="preserve"> (1..maxOnDemandSIB-r16))</w:t>
      </w:r>
      <w:r w:rsidRPr="00FA0D37">
        <w:rPr>
          <w:color w:val="993366"/>
        </w:rPr>
        <w:t xml:space="preserve"> OF</w:t>
      </w:r>
      <w:r w:rsidRPr="00FA0D37">
        <w:t xml:space="preserve"> SIB-ReqInfo-r16                </w:t>
      </w:r>
      <w:r w:rsidRPr="00FA0D37">
        <w:rPr>
          <w:color w:val="993366"/>
        </w:rPr>
        <w:t>OPTIONAL</w:t>
      </w:r>
      <w:r w:rsidRPr="00FA0D37">
        <w:t>,</w:t>
      </w:r>
    </w:p>
    <w:p w14:paraId="597C9234" w14:textId="77777777" w:rsidR="00394471" w:rsidRPr="00FA0D37" w:rsidRDefault="00394471" w:rsidP="00FA0D37">
      <w:pPr>
        <w:pStyle w:val="PL"/>
      </w:pPr>
      <w:r w:rsidRPr="00FA0D37">
        <w:t xml:space="preserve">        requestedPosSIB-List-r16         </w:t>
      </w:r>
      <w:r w:rsidRPr="00FA0D37">
        <w:rPr>
          <w:color w:val="993366"/>
        </w:rPr>
        <w:t>SEQUENCE</w:t>
      </w:r>
      <w:r w:rsidRPr="00FA0D37">
        <w:t xml:space="preserve"> (</w:t>
      </w:r>
      <w:r w:rsidRPr="00FA0D37">
        <w:rPr>
          <w:color w:val="993366"/>
        </w:rPr>
        <w:t>SIZE</w:t>
      </w:r>
      <w:r w:rsidRPr="00FA0D37">
        <w:t xml:space="preserve"> (1..maxOnDemandPosSIB-r16))</w:t>
      </w:r>
      <w:r w:rsidRPr="00FA0D37">
        <w:rPr>
          <w:color w:val="993366"/>
        </w:rPr>
        <w:t xml:space="preserve"> OF</w:t>
      </w:r>
      <w:r w:rsidRPr="00FA0D37">
        <w:t xml:space="preserve"> PosSIB-ReqInfo-r16          </w:t>
      </w:r>
      <w:r w:rsidRPr="00FA0D37">
        <w:rPr>
          <w:color w:val="993366"/>
        </w:rPr>
        <w:t>OPTIONAL</w:t>
      </w:r>
    </w:p>
    <w:p w14:paraId="1B01BF97" w14:textId="77777777" w:rsidR="00394471" w:rsidRPr="00FA0D37" w:rsidRDefault="00394471" w:rsidP="00FA0D37">
      <w:pPr>
        <w:pStyle w:val="PL"/>
      </w:pPr>
      <w:r w:rsidRPr="00FA0D37">
        <w:t xml:space="preserve">    } </w:t>
      </w:r>
      <w:r w:rsidRPr="00FA0D37">
        <w:rPr>
          <w:color w:val="993366"/>
        </w:rPr>
        <w:t>OPTIONAL</w:t>
      </w:r>
      <w:r w:rsidRPr="00FA0D37">
        <w:t>,</w:t>
      </w:r>
    </w:p>
    <w:p w14:paraId="2D1FD082"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88EDE19"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5BEB3AE0" w14:textId="77777777" w:rsidR="00394471" w:rsidRPr="00FA0D37" w:rsidRDefault="00394471" w:rsidP="00FA0D37">
      <w:pPr>
        <w:pStyle w:val="PL"/>
      </w:pPr>
      <w:r w:rsidRPr="00FA0D37">
        <w:t>}</w:t>
      </w:r>
    </w:p>
    <w:p w14:paraId="6A3E7C63" w14:textId="77777777" w:rsidR="00394471" w:rsidRPr="00FA0D37" w:rsidRDefault="00394471" w:rsidP="00FA0D37">
      <w:pPr>
        <w:pStyle w:val="PL"/>
      </w:pPr>
    </w:p>
    <w:p w14:paraId="7A36DA12" w14:textId="0626AEB1" w:rsidR="00394471" w:rsidRPr="00FA0D37" w:rsidRDefault="00394471" w:rsidP="00FA0D37">
      <w:pPr>
        <w:pStyle w:val="PL"/>
      </w:pPr>
      <w:r w:rsidRPr="00FA0D37">
        <w:t xml:space="preserve">SIB-ReqInfo-r16 ::=                   </w:t>
      </w:r>
      <w:r w:rsidRPr="00FA0D37">
        <w:rPr>
          <w:color w:val="993366"/>
        </w:rPr>
        <w:t>ENUMERATED</w:t>
      </w:r>
      <w:r w:rsidRPr="00FA0D37">
        <w:t xml:space="preserve"> { sib12, sib13, sib14, </w:t>
      </w:r>
      <w:r w:rsidR="004D393F" w:rsidRPr="00FA0D37">
        <w:t>sib20</w:t>
      </w:r>
      <w:r w:rsidR="00214323" w:rsidRPr="00FA0D37">
        <w:t xml:space="preserve">-v1700, </w:t>
      </w:r>
      <w:r w:rsidR="004D393F" w:rsidRPr="00FA0D37">
        <w:t>sib21</w:t>
      </w:r>
      <w:r w:rsidR="00214323" w:rsidRPr="00FA0D37">
        <w:t>-v1700</w:t>
      </w:r>
      <w:r w:rsidRPr="00FA0D37">
        <w:t>, spare3, spare2, spare1 }</w:t>
      </w:r>
    </w:p>
    <w:p w14:paraId="2558EB43" w14:textId="77777777" w:rsidR="00394471" w:rsidRPr="00FA0D37" w:rsidRDefault="00394471" w:rsidP="00FA0D37">
      <w:pPr>
        <w:pStyle w:val="PL"/>
      </w:pPr>
    </w:p>
    <w:p w14:paraId="5F463398" w14:textId="77777777" w:rsidR="00394471" w:rsidRPr="00FA0D37" w:rsidRDefault="00394471" w:rsidP="00FA0D37">
      <w:pPr>
        <w:pStyle w:val="PL"/>
      </w:pPr>
      <w:r w:rsidRPr="00FA0D37">
        <w:t xml:space="preserve">PosSIB-ReqInfo-r16 ::=       </w:t>
      </w:r>
      <w:r w:rsidRPr="00FA0D37">
        <w:rPr>
          <w:color w:val="993366"/>
        </w:rPr>
        <w:t>SEQUENCE</w:t>
      </w:r>
      <w:r w:rsidRPr="00FA0D37">
        <w:t xml:space="preserve"> {</w:t>
      </w:r>
    </w:p>
    <w:p w14:paraId="23362849" w14:textId="77777777" w:rsidR="00394471" w:rsidRPr="00FA0D37" w:rsidRDefault="00394471" w:rsidP="00FA0D37">
      <w:pPr>
        <w:pStyle w:val="PL"/>
      </w:pPr>
      <w:r w:rsidRPr="00FA0D37">
        <w:t xml:space="preserve">    gnss-id-r16                  GNSS-ID-r16                  </w:t>
      </w:r>
      <w:r w:rsidRPr="00FA0D37">
        <w:rPr>
          <w:color w:val="993366"/>
        </w:rPr>
        <w:t>OPTIONAL</w:t>
      </w:r>
      <w:r w:rsidRPr="00FA0D37">
        <w:t>,</w:t>
      </w:r>
    </w:p>
    <w:p w14:paraId="6FB438BB" w14:textId="77777777" w:rsidR="00394471" w:rsidRPr="00FA0D37" w:rsidRDefault="00394471" w:rsidP="00FA0D37">
      <w:pPr>
        <w:pStyle w:val="PL"/>
      </w:pPr>
      <w:r w:rsidRPr="00FA0D37">
        <w:t xml:space="preserve">    sbas-id-r16                  SBAS-ID-r16                  </w:t>
      </w:r>
      <w:r w:rsidRPr="00FA0D37">
        <w:rPr>
          <w:color w:val="993366"/>
        </w:rPr>
        <w:t>OPTIONAL</w:t>
      </w:r>
      <w:r w:rsidRPr="00FA0D37">
        <w:t>,</w:t>
      </w:r>
    </w:p>
    <w:p w14:paraId="6FF15152" w14:textId="77777777" w:rsidR="00394471" w:rsidRPr="00FA0D37" w:rsidRDefault="00394471" w:rsidP="00FA0D37">
      <w:pPr>
        <w:pStyle w:val="PL"/>
      </w:pPr>
      <w:r w:rsidRPr="00FA0D37">
        <w:t xml:space="preserve">    posSibType-r16               </w:t>
      </w:r>
      <w:r w:rsidRPr="00FA0D37">
        <w:rPr>
          <w:color w:val="993366"/>
        </w:rPr>
        <w:t>ENUMERATED</w:t>
      </w:r>
      <w:r w:rsidRPr="00FA0D37">
        <w:t xml:space="preserve"> { posSibType1-1, posSibType1-2, posSibType1-3, posSibType1-4, posSibType1-5, posSibType1-6,</w:t>
      </w:r>
    </w:p>
    <w:p w14:paraId="17C9AC81" w14:textId="77777777" w:rsidR="00394471" w:rsidRPr="00FA0D37" w:rsidRDefault="00394471" w:rsidP="00FA0D37">
      <w:pPr>
        <w:pStyle w:val="PL"/>
      </w:pPr>
      <w:r w:rsidRPr="00FA0D37">
        <w:t xml:space="preserve">                                              posSibType1-7, posSibType1-8, posSibType2-1, posSibType2-2, posSibType2-3, posSibType2-4,</w:t>
      </w:r>
    </w:p>
    <w:p w14:paraId="2EEB9221" w14:textId="77777777" w:rsidR="00394471" w:rsidRPr="00FA0D37" w:rsidRDefault="00394471" w:rsidP="00FA0D37">
      <w:pPr>
        <w:pStyle w:val="PL"/>
      </w:pPr>
      <w:r w:rsidRPr="00FA0D37">
        <w:t xml:space="preserve">                                              posSibType2-5, posSibType2-6, posSibType2-7, posSibType2-8, posSibType2-9, posSibType2-10,</w:t>
      </w:r>
    </w:p>
    <w:p w14:paraId="1E51B77C" w14:textId="77777777" w:rsidR="00394471" w:rsidRPr="00FA0D37" w:rsidRDefault="00394471" w:rsidP="00FA0D37">
      <w:pPr>
        <w:pStyle w:val="PL"/>
      </w:pPr>
      <w:r w:rsidRPr="00FA0D37">
        <w:t xml:space="preserve">                                              posSibType2-11, posSibType2-12, posSibType2-13, posSibType2-14, posSibType2-15,</w:t>
      </w:r>
    </w:p>
    <w:p w14:paraId="3FF8CC11" w14:textId="77777777" w:rsidR="00394471" w:rsidRPr="00FA0D37" w:rsidRDefault="00394471" w:rsidP="00FA0D37">
      <w:pPr>
        <w:pStyle w:val="PL"/>
      </w:pPr>
      <w:r w:rsidRPr="00FA0D37">
        <w:t xml:space="preserve">                                              posSibType2-16, posSibType2-17, posSibType2-18, posSibType2-19, posSibType2-20,</w:t>
      </w:r>
    </w:p>
    <w:p w14:paraId="46B96E9C" w14:textId="77777777" w:rsidR="00394471" w:rsidRPr="00FA0D37" w:rsidRDefault="00394471" w:rsidP="00FA0D37">
      <w:pPr>
        <w:pStyle w:val="PL"/>
      </w:pPr>
      <w:r w:rsidRPr="00FA0D37">
        <w:t xml:space="preserve">                                              posSibType2-21, posSibType2-22, posSibType2-23, posSibType3-1, posSibType4-1,</w:t>
      </w:r>
    </w:p>
    <w:p w14:paraId="6506B3F7" w14:textId="02635B73" w:rsidR="00892680" w:rsidRPr="00FA0D37" w:rsidRDefault="00394471" w:rsidP="00FA0D37">
      <w:pPr>
        <w:pStyle w:val="PL"/>
      </w:pPr>
      <w:r w:rsidRPr="00FA0D37">
        <w:t xml:space="preserve">                                              posSibType5-1, posSibType6-1, posSibType6-2, posSibType6-3,...</w:t>
      </w:r>
      <w:r w:rsidR="00892680" w:rsidRPr="00FA0D37">
        <w:t>, posSibType1-9-v1710,</w:t>
      </w:r>
    </w:p>
    <w:p w14:paraId="4D32E71E" w14:textId="77777777" w:rsidR="00892680" w:rsidRPr="00FA0D37" w:rsidRDefault="00892680" w:rsidP="00FA0D37">
      <w:pPr>
        <w:pStyle w:val="PL"/>
      </w:pPr>
      <w:r w:rsidRPr="00FA0D37">
        <w:t xml:space="preserve">                                              posSibType1-10-v1710, posSibType2-24-v1710, posSibType2-25-v1710,</w:t>
      </w:r>
    </w:p>
    <w:p w14:paraId="52D5269F" w14:textId="2A76BBB1" w:rsidR="00394471" w:rsidRPr="00FA0D37" w:rsidRDefault="00892680" w:rsidP="00FA0D37">
      <w:pPr>
        <w:pStyle w:val="PL"/>
      </w:pPr>
      <w:r w:rsidRPr="00FA0D37">
        <w:t xml:space="preserve">                                              posSibType6-4-v1710, posSibType6-5-v1710, posSibType6-6-v1710</w:t>
      </w:r>
      <w:r w:rsidR="00394471" w:rsidRPr="00FA0D37">
        <w:t xml:space="preserve"> }</w:t>
      </w:r>
    </w:p>
    <w:p w14:paraId="56377455" w14:textId="77777777" w:rsidR="00394471" w:rsidRPr="00FA0D37" w:rsidRDefault="00394471" w:rsidP="00FA0D37">
      <w:pPr>
        <w:pStyle w:val="PL"/>
      </w:pPr>
      <w:r w:rsidRPr="00FA0D37">
        <w:t>}</w:t>
      </w:r>
    </w:p>
    <w:p w14:paraId="2876C12A" w14:textId="77777777" w:rsidR="00394471" w:rsidRPr="00FA0D37" w:rsidRDefault="00394471" w:rsidP="00FA0D37">
      <w:pPr>
        <w:pStyle w:val="PL"/>
      </w:pPr>
    </w:p>
    <w:p w14:paraId="6EDD2B64" w14:textId="77777777" w:rsidR="00394471" w:rsidRPr="00FA0D37" w:rsidRDefault="00394471" w:rsidP="00FA0D37">
      <w:pPr>
        <w:pStyle w:val="PL"/>
        <w:rPr>
          <w:color w:val="808080"/>
        </w:rPr>
      </w:pPr>
      <w:r w:rsidRPr="00FA0D37">
        <w:rPr>
          <w:color w:val="808080"/>
        </w:rPr>
        <w:t>-- TAG-DEDICATEDSIBREQUEST-STOP</w:t>
      </w:r>
    </w:p>
    <w:p w14:paraId="35D691F1" w14:textId="77777777" w:rsidR="00394471" w:rsidRPr="00FA0D37" w:rsidRDefault="00394471" w:rsidP="00FA0D37">
      <w:pPr>
        <w:pStyle w:val="PL"/>
        <w:rPr>
          <w:color w:val="808080"/>
        </w:rPr>
      </w:pPr>
      <w:r w:rsidRPr="00FA0D37">
        <w:rPr>
          <w:color w:val="808080"/>
        </w:rPr>
        <w:t>-- ASN1STOP</w:t>
      </w:r>
    </w:p>
    <w:p w14:paraId="03A992B6" w14:textId="77777777" w:rsidR="00394471" w:rsidRPr="00FA0D37"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616D5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E0086" w14:textId="77777777" w:rsidR="00394471" w:rsidRPr="00FA0D37" w:rsidRDefault="00394471" w:rsidP="00964CC4">
            <w:pPr>
              <w:pStyle w:val="TAH"/>
              <w:rPr>
                <w:rFonts w:eastAsia="Arial Unicode MS"/>
                <w:i/>
                <w:iCs/>
                <w:lang w:eastAsia="x-none"/>
              </w:rPr>
            </w:pPr>
            <w:r w:rsidRPr="00FA0D37">
              <w:rPr>
                <w:rFonts w:eastAsia="Arial Unicode MS"/>
                <w:i/>
                <w:iCs/>
                <w:lang w:eastAsia="x-none"/>
              </w:rPr>
              <w:t>DedicatedSIBRequest field descriptions</w:t>
            </w:r>
          </w:p>
        </w:tc>
      </w:tr>
      <w:tr w:rsidR="005C7FF4" w:rsidRPr="00FA0D37" w14:paraId="37D4E7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FDA1B4" w14:textId="77777777" w:rsidR="00394471" w:rsidRPr="00FA0D37" w:rsidRDefault="00394471" w:rsidP="00964CC4">
            <w:pPr>
              <w:pStyle w:val="TAL"/>
              <w:rPr>
                <w:rFonts w:eastAsia="Arial Unicode MS"/>
                <w:b/>
                <w:bCs/>
                <w:i/>
                <w:iCs/>
                <w:lang w:eastAsia="x-none"/>
              </w:rPr>
            </w:pPr>
            <w:r w:rsidRPr="00FA0D37">
              <w:rPr>
                <w:rFonts w:eastAsia="Arial Unicode MS"/>
                <w:b/>
                <w:bCs/>
                <w:i/>
                <w:iCs/>
                <w:lang w:eastAsia="x-none"/>
              </w:rPr>
              <w:t>requestedSIB-List</w:t>
            </w:r>
          </w:p>
          <w:p w14:paraId="61313541" w14:textId="77777777" w:rsidR="00394471" w:rsidRPr="00FA0D37" w:rsidRDefault="00394471" w:rsidP="00964CC4">
            <w:pPr>
              <w:pStyle w:val="TAL"/>
              <w:rPr>
                <w:rFonts w:eastAsia="Arial Unicode MS"/>
                <w:lang w:eastAsia="x-none"/>
              </w:rPr>
            </w:pPr>
            <w:r w:rsidRPr="00FA0D37">
              <w:rPr>
                <w:rFonts w:eastAsia="Arial Unicode MS"/>
                <w:lang w:eastAsia="x-none"/>
              </w:rPr>
              <w:t xml:space="preserve">Contains a list </w:t>
            </w:r>
            <w:r w:rsidRPr="00FA0D37">
              <w:rPr>
                <w:rFonts w:eastAsia="Arial Unicode MS"/>
              </w:rPr>
              <w:t xml:space="preserve">of SIB(s) </w:t>
            </w:r>
            <w:r w:rsidRPr="00FA0D37">
              <w:rPr>
                <w:rFonts w:eastAsia="Arial Unicode MS"/>
                <w:lang w:eastAsia="x-none"/>
              </w:rPr>
              <w:t>the UE requests while in RRC_CONNECTED.</w:t>
            </w:r>
          </w:p>
        </w:tc>
      </w:tr>
      <w:tr w:rsidR="00394471" w:rsidRPr="00FA0D37" w14:paraId="2B8FAF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8318E" w14:textId="77777777" w:rsidR="00394471" w:rsidRPr="00FA0D37" w:rsidRDefault="00394471" w:rsidP="00964CC4">
            <w:pPr>
              <w:pStyle w:val="TAL"/>
              <w:rPr>
                <w:rFonts w:eastAsia="Arial Unicode MS"/>
                <w:b/>
                <w:bCs/>
                <w:i/>
                <w:iCs/>
              </w:rPr>
            </w:pPr>
            <w:r w:rsidRPr="00FA0D37">
              <w:rPr>
                <w:rFonts w:eastAsia="Arial Unicode MS"/>
                <w:b/>
                <w:bCs/>
                <w:i/>
                <w:iCs/>
              </w:rPr>
              <w:t>requestedPosSIB-List</w:t>
            </w:r>
          </w:p>
          <w:p w14:paraId="04221BC3" w14:textId="77777777" w:rsidR="00394471" w:rsidRPr="00FA0D37" w:rsidRDefault="00394471" w:rsidP="00964CC4">
            <w:pPr>
              <w:pStyle w:val="TAL"/>
              <w:rPr>
                <w:rFonts w:eastAsia="Arial Unicode MS"/>
                <w:b/>
                <w:bCs/>
                <w:i/>
                <w:iCs/>
              </w:rPr>
            </w:pPr>
            <w:r w:rsidRPr="00FA0D37">
              <w:rPr>
                <w:rFonts w:eastAsia="Arial Unicode MS"/>
                <w:szCs w:val="22"/>
                <w:lang w:eastAsia="zh-CN"/>
              </w:rPr>
              <w:t>Contains a list of posSIB(s) the UE requests while in RRC_CONNECTED.</w:t>
            </w:r>
          </w:p>
        </w:tc>
      </w:tr>
    </w:tbl>
    <w:p w14:paraId="423A794F" w14:textId="77777777" w:rsidR="00394471" w:rsidRPr="00FA0D37" w:rsidRDefault="00394471" w:rsidP="00394471"/>
    <w:tbl>
      <w:tblPr>
        <w:tblW w:w="14173" w:type="dxa"/>
        <w:tblLook w:val="04A0" w:firstRow="1" w:lastRow="0" w:firstColumn="1" w:lastColumn="0" w:noHBand="0" w:noVBand="1"/>
      </w:tblPr>
      <w:tblGrid>
        <w:gridCol w:w="14173"/>
      </w:tblGrid>
      <w:tr w:rsidR="005C7FF4" w:rsidRPr="00FA0D37" w14:paraId="0D32CAEF" w14:textId="77777777" w:rsidTr="00964CC4">
        <w:tc>
          <w:tcPr>
            <w:tcW w:w="14281" w:type="dxa"/>
            <w:hideMark/>
          </w:tcPr>
          <w:p w14:paraId="584C9667" w14:textId="77777777" w:rsidR="00394471" w:rsidRPr="00FA0D37" w:rsidRDefault="00394471" w:rsidP="00964CC4">
            <w:pPr>
              <w:pStyle w:val="TAH"/>
            </w:pPr>
            <w:r w:rsidRPr="00FA0D37">
              <w:rPr>
                <w:i/>
                <w:iCs/>
              </w:rPr>
              <w:t xml:space="preserve">PosSIB-ReqInfo </w:t>
            </w:r>
            <w:r w:rsidRPr="00FA0D37">
              <w:t>field descriptions</w:t>
            </w:r>
          </w:p>
        </w:tc>
      </w:tr>
      <w:tr w:rsidR="005C7FF4" w:rsidRPr="00FA0D37" w14:paraId="38D809F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709FDA4F" w14:textId="77777777" w:rsidR="00394471" w:rsidRPr="00FA0D37" w:rsidRDefault="00394471" w:rsidP="00964CC4">
            <w:pPr>
              <w:pStyle w:val="TAL"/>
              <w:rPr>
                <w:rFonts w:eastAsia="Arial Unicode MS"/>
                <w:b/>
                <w:bCs/>
                <w:i/>
                <w:iCs/>
              </w:rPr>
            </w:pPr>
            <w:r w:rsidRPr="00FA0D37">
              <w:rPr>
                <w:rFonts w:eastAsia="Arial Unicode MS"/>
                <w:b/>
                <w:bCs/>
                <w:i/>
                <w:iCs/>
              </w:rPr>
              <w:t>gnss-id</w:t>
            </w:r>
          </w:p>
          <w:p w14:paraId="3F86FE56" w14:textId="77777777" w:rsidR="00394471" w:rsidRPr="00FA0D37" w:rsidRDefault="00394471" w:rsidP="00964CC4">
            <w:pPr>
              <w:pStyle w:val="TAL"/>
              <w:rPr>
                <w:rFonts w:eastAsia="Arial Unicode MS"/>
              </w:rPr>
            </w:pPr>
            <w:r w:rsidRPr="00FA0D37">
              <w:rPr>
                <w:rFonts w:eastAsia="Arial Unicode MS"/>
              </w:rPr>
              <w:t xml:space="preserve">The presence of this field indicates that the </w:t>
            </w:r>
            <w:r w:rsidRPr="00FA0D37">
              <w:rPr>
                <w:rFonts w:eastAsia="Arial Unicode MS"/>
                <w:lang w:eastAsia="zh-CN"/>
              </w:rPr>
              <w:t xml:space="preserve">request </w:t>
            </w:r>
            <w:r w:rsidRPr="00FA0D37">
              <w:rPr>
                <w:rFonts w:eastAsia="Arial Unicode MS"/>
              </w:rPr>
              <w:t>positioning SIB type is for a specific GNSS. Indicates a specific GNSS (see also TS 37.355 [49])</w:t>
            </w:r>
          </w:p>
        </w:tc>
      </w:tr>
      <w:tr w:rsidR="00394471" w:rsidRPr="00FA0D37" w14:paraId="6A8985A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53038267" w14:textId="77777777" w:rsidR="00394471" w:rsidRPr="00FA0D37" w:rsidRDefault="00394471" w:rsidP="00964CC4">
            <w:pPr>
              <w:pStyle w:val="TAL"/>
              <w:rPr>
                <w:rFonts w:eastAsia="Arial Unicode MS"/>
                <w:b/>
                <w:bCs/>
                <w:i/>
                <w:iCs/>
                <w:lang w:eastAsia="zh-CN"/>
              </w:rPr>
            </w:pPr>
            <w:r w:rsidRPr="00FA0D37">
              <w:rPr>
                <w:rFonts w:eastAsia="Arial Unicode MS"/>
                <w:b/>
                <w:bCs/>
                <w:i/>
                <w:iCs/>
              </w:rPr>
              <w:t>sbas-</w:t>
            </w:r>
            <w:r w:rsidRPr="00FA0D37">
              <w:rPr>
                <w:rFonts w:eastAsia="Arial Unicode MS"/>
                <w:b/>
                <w:bCs/>
                <w:i/>
                <w:iCs/>
                <w:lang w:eastAsia="zh-CN"/>
              </w:rPr>
              <w:t>id</w:t>
            </w:r>
          </w:p>
          <w:p w14:paraId="48AE874E" w14:textId="77777777" w:rsidR="00394471" w:rsidRPr="00FA0D37" w:rsidRDefault="00394471" w:rsidP="00964CC4">
            <w:pPr>
              <w:pStyle w:val="TAL"/>
              <w:rPr>
                <w:rFonts w:eastAsia="Arial Unicode MS"/>
                <w:bCs/>
                <w:iCs/>
                <w:lang w:eastAsia="x-none"/>
              </w:rPr>
            </w:pPr>
            <w:r w:rsidRPr="00FA0D37">
              <w:rPr>
                <w:rFonts w:eastAsia="Arial Unicode MS"/>
                <w:bCs/>
                <w:iCs/>
              </w:rPr>
              <w:t xml:space="preserve">The presence of this field indicates that the </w:t>
            </w:r>
            <w:r w:rsidRPr="00FA0D37">
              <w:rPr>
                <w:rFonts w:eastAsia="Arial Unicode MS"/>
                <w:bCs/>
                <w:iCs/>
                <w:lang w:eastAsia="zh-CN"/>
              </w:rPr>
              <w:t xml:space="preserve">request </w:t>
            </w:r>
            <w:r w:rsidRPr="00FA0D37">
              <w:rPr>
                <w:rFonts w:eastAsia="Arial Unicode MS"/>
                <w:bCs/>
                <w:iCs/>
              </w:rPr>
              <w:t>positioning SIB type is for a specific SBAS. Indicates a specific SBAS (see also TS 37.355 [49]).</w:t>
            </w:r>
          </w:p>
        </w:tc>
      </w:tr>
    </w:tbl>
    <w:p w14:paraId="38D9ABCA" w14:textId="77777777" w:rsidR="00394471" w:rsidRPr="00FA0D37" w:rsidRDefault="00394471" w:rsidP="00394471"/>
    <w:p w14:paraId="11A046D7" w14:textId="77777777" w:rsidR="00394471" w:rsidRPr="00FA0D37" w:rsidRDefault="00394471" w:rsidP="00394471">
      <w:pPr>
        <w:pStyle w:val="4"/>
        <w:rPr>
          <w:rFonts w:eastAsia="宋体"/>
          <w:lang w:eastAsia="zh-CN"/>
        </w:rPr>
      </w:pPr>
      <w:bookmarkStart w:id="461" w:name="_Toc60777093"/>
      <w:bookmarkStart w:id="462" w:name="_Toc146781127"/>
      <w:r w:rsidRPr="00FA0D37">
        <w:t>–</w:t>
      </w:r>
      <w:r w:rsidRPr="00FA0D37">
        <w:tab/>
      </w:r>
      <w:r w:rsidRPr="00FA0D37">
        <w:rPr>
          <w:i/>
          <w:iCs/>
        </w:rPr>
        <w:t>DLDedicatedMessageSegment</w:t>
      </w:r>
      <w:bookmarkEnd w:id="461"/>
      <w:bookmarkEnd w:id="462"/>
    </w:p>
    <w:p w14:paraId="4CCA7382" w14:textId="77777777" w:rsidR="00394471" w:rsidRPr="00FA0D37" w:rsidRDefault="00394471" w:rsidP="00394471">
      <w:pPr>
        <w:rPr>
          <w:iCs/>
        </w:rPr>
      </w:pPr>
      <w:r w:rsidRPr="00FA0D37">
        <w:t xml:space="preserve">The </w:t>
      </w:r>
      <w:r w:rsidRPr="00FA0D37">
        <w:rPr>
          <w:i/>
        </w:rPr>
        <w:t xml:space="preserve">DLDedicatedMessageSegment </w:t>
      </w:r>
      <w:r w:rsidRPr="00FA0D37">
        <w:t xml:space="preserve">message </w:t>
      </w:r>
      <w:r w:rsidRPr="00FA0D37">
        <w:rPr>
          <w:rFonts w:eastAsia="宋体"/>
          <w:noProof/>
          <w:lang w:eastAsia="zh-CN"/>
        </w:rPr>
        <w:t xml:space="preserve">is used to transfer one segment of the </w:t>
      </w:r>
      <w:r w:rsidRPr="00FA0D37">
        <w:rPr>
          <w:rFonts w:eastAsia="宋体"/>
          <w:i/>
          <w:iCs/>
          <w:noProof/>
          <w:lang w:eastAsia="zh-CN"/>
        </w:rPr>
        <w:t>RRCResume</w:t>
      </w:r>
      <w:r w:rsidRPr="00FA0D37">
        <w:rPr>
          <w:rFonts w:eastAsia="宋体"/>
          <w:noProof/>
          <w:lang w:eastAsia="zh-CN"/>
        </w:rPr>
        <w:t xml:space="preserve"> or </w:t>
      </w:r>
      <w:r w:rsidRPr="00FA0D37">
        <w:rPr>
          <w:rFonts w:eastAsia="宋体"/>
          <w:i/>
          <w:iCs/>
          <w:noProof/>
          <w:lang w:eastAsia="zh-CN"/>
        </w:rPr>
        <w:t>RRCReconfiguration</w:t>
      </w:r>
      <w:r w:rsidRPr="00FA0D37">
        <w:rPr>
          <w:rFonts w:eastAsia="宋体"/>
          <w:noProof/>
          <w:lang w:eastAsia="zh-CN"/>
        </w:rPr>
        <w:t xml:space="preserve"> messages.</w:t>
      </w:r>
    </w:p>
    <w:p w14:paraId="0DBE0E0F" w14:textId="77777777" w:rsidR="00394471" w:rsidRPr="00FA0D37" w:rsidRDefault="00394471" w:rsidP="00394471">
      <w:pPr>
        <w:pStyle w:val="B1"/>
      </w:pPr>
      <w:r w:rsidRPr="00FA0D37">
        <w:lastRenderedPageBreak/>
        <w:t>Signalling radio bearer: SRB1</w:t>
      </w:r>
    </w:p>
    <w:p w14:paraId="4F2E0208" w14:textId="77777777" w:rsidR="00394471" w:rsidRPr="00FA0D37" w:rsidRDefault="00394471" w:rsidP="00394471">
      <w:pPr>
        <w:pStyle w:val="B1"/>
      </w:pPr>
      <w:r w:rsidRPr="00FA0D37">
        <w:t>RLC-SAP: AM</w:t>
      </w:r>
    </w:p>
    <w:p w14:paraId="3310C9AB" w14:textId="77777777" w:rsidR="00394471" w:rsidRPr="00FA0D37" w:rsidRDefault="00394471" w:rsidP="00394471">
      <w:pPr>
        <w:pStyle w:val="B1"/>
      </w:pPr>
      <w:r w:rsidRPr="00FA0D37">
        <w:t>Logical channel: DCCH</w:t>
      </w:r>
    </w:p>
    <w:p w14:paraId="26157A04" w14:textId="77777777" w:rsidR="00394471" w:rsidRPr="00FA0D37" w:rsidRDefault="00394471" w:rsidP="00394471">
      <w:pPr>
        <w:pStyle w:val="B1"/>
      </w:pPr>
      <w:r w:rsidRPr="00FA0D37">
        <w:t>Direction: Network to UE</w:t>
      </w:r>
    </w:p>
    <w:p w14:paraId="20F6BD94" w14:textId="77777777" w:rsidR="00394471" w:rsidRPr="00FA0D37" w:rsidRDefault="00394471" w:rsidP="00394471">
      <w:pPr>
        <w:pStyle w:val="TH"/>
        <w:rPr>
          <w:bCs/>
          <w:i/>
          <w:iCs/>
        </w:rPr>
      </w:pPr>
      <w:r w:rsidRPr="00FA0D37">
        <w:rPr>
          <w:rFonts w:eastAsia="宋体"/>
          <w:bCs/>
          <w:i/>
          <w:iCs/>
          <w:noProof/>
          <w:lang w:eastAsia="zh-CN"/>
        </w:rPr>
        <w:t>DLDedicatedMessageSegment</w:t>
      </w:r>
      <w:r w:rsidRPr="00FA0D37">
        <w:rPr>
          <w:bCs/>
          <w:i/>
          <w:iCs/>
          <w:noProof/>
        </w:rPr>
        <w:t xml:space="preserve"> message</w:t>
      </w:r>
    </w:p>
    <w:p w14:paraId="34D38D3D" w14:textId="77777777" w:rsidR="00394471" w:rsidRPr="00FA0D37" w:rsidRDefault="00394471" w:rsidP="00FA0D37">
      <w:pPr>
        <w:pStyle w:val="PL"/>
        <w:rPr>
          <w:color w:val="808080"/>
        </w:rPr>
      </w:pPr>
      <w:r w:rsidRPr="00FA0D37">
        <w:rPr>
          <w:color w:val="808080"/>
        </w:rPr>
        <w:t>-- ASN1START</w:t>
      </w:r>
    </w:p>
    <w:p w14:paraId="32DE3906" w14:textId="77777777" w:rsidR="00394471" w:rsidRPr="00FA0D37" w:rsidRDefault="00394471" w:rsidP="00FA0D37">
      <w:pPr>
        <w:pStyle w:val="PL"/>
        <w:rPr>
          <w:color w:val="808080"/>
        </w:rPr>
      </w:pPr>
      <w:r w:rsidRPr="00FA0D37">
        <w:rPr>
          <w:color w:val="808080"/>
        </w:rPr>
        <w:t>-- TAG-DLDEDICATEDMESSAGESEGMENT-START</w:t>
      </w:r>
    </w:p>
    <w:p w14:paraId="123E692F" w14:textId="77777777" w:rsidR="00394471" w:rsidRPr="00FA0D37" w:rsidRDefault="00394471" w:rsidP="00FA0D37">
      <w:pPr>
        <w:pStyle w:val="PL"/>
      </w:pPr>
    </w:p>
    <w:p w14:paraId="7F55E6EB" w14:textId="77777777" w:rsidR="00394471" w:rsidRPr="00FA0D37" w:rsidRDefault="00394471" w:rsidP="00FA0D37">
      <w:pPr>
        <w:pStyle w:val="PL"/>
      </w:pPr>
    </w:p>
    <w:p w14:paraId="1D88C414" w14:textId="77777777" w:rsidR="00394471" w:rsidRPr="00FA0D37" w:rsidRDefault="00394471" w:rsidP="00FA0D37">
      <w:pPr>
        <w:pStyle w:val="PL"/>
      </w:pPr>
      <w:r w:rsidRPr="00FA0D37">
        <w:t xml:space="preserve">DLDedicatedMessageSegment-r16 ::=       </w:t>
      </w:r>
      <w:r w:rsidRPr="00FA0D37">
        <w:rPr>
          <w:color w:val="993366"/>
        </w:rPr>
        <w:t>SEQUENCE</w:t>
      </w:r>
      <w:r w:rsidRPr="00FA0D37">
        <w:t xml:space="preserve"> {</w:t>
      </w:r>
    </w:p>
    <w:p w14:paraId="22D6ECBD"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2A44CE5A" w14:textId="77777777" w:rsidR="00394471" w:rsidRPr="00FA0D37" w:rsidRDefault="00394471" w:rsidP="00FA0D37">
      <w:pPr>
        <w:pStyle w:val="PL"/>
      </w:pPr>
      <w:r w:rsidRPr="00FA0D37">
        <w:t xml:space="preserve">        dlDedicatedMessageSegment-r16           DLDedicatedMessageSegment-r16-IEs,</w:t>
      </w:r>
    </w:p>
    <w:p w14:paraId="2CAD154F"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07173D89" w14:textId="77777777" w:rsidR="00394471" w:rsidRPr="00FA0D37" w:rsidRDefault="00394471" w:rsidP="00FA0D37">
      <w:pPr>
        <w:pStyle w:val="PL"/>
      </w:pPr>
      <w:r w:rsidRPr="00FA0D37">
        <w:t xml:space="preserve">    }</w:t>
      </w:r>
    </w:p>
    <w:p w14:paraId="21A06F56" w14:textId="77777777" w:rsidR="00394471" w:rsidRPr="00FA0D37" w:rsidRDefault="00394471" w:rsidP="00FA0D37">
      <w:pPr>
        <w:pStyle w:val="PL"/>
      </w:pPr>
      <w:r w:rsidRPr="00FA0D37">
        <w:t>}</w:t>
      </w:r>
    </w:p>
    <w:p w14:paraId="22DC036C" w14:textId="77777777" w:rsidR="00394471" w:rsidRPr="00FA0D37" w:rsidRDefault="00394471" w:rsidP="00FA0D37">
      <w:pPr>
        <w:pStyle w:val="PL"/>
      </w:pPr>
    </w:p>
    <w:p w14:paraId="6D7BFD28" w14:textId="77777777" w:rsidR="00394471" w:rsidRPr="00FA0D37" w:rsidRDefault="00394471" w:rsidP="00FA0D37">
      <w:pPr>
        <w:pStyle w:val="PL"/>
      </w:pPr>
      <w:r w:rsidRPr="00FA0D37">
        <w:t xml:space="preserve">DLDedicatedMessageSegment-r16-IEs ::=   </w:t>
      </w:r>
      <w:r w:rsidRPr="00FA0D37">
        <w:rPr>
          <w:color w:val="993366"/>
        </w:rPr>
        <w:t>SEQUENCE</w:t>
      </w:r>
      <w:r w:rsidRPr="00FA0D37">
        <w:t xml:space="preserve"> {</w:t>
      </w:r>
    </w:p>
    <w:p w14:paraId="48ABC6D7" w14:textId="77777777" w:rsidR="00394471" w:rsidRPr="00FA0D37" w:rsidRDefault="00394471" w:rsidP="00FA0D37">
      <w:pPr>
        <w:pStyle w:val="PL"/>
      </w:pPr>
      <w:r w:rsidRPr="00FA0D37">
        <w:t xml:space="preserve">    segmentNumber-r16                       </w:t>
      </w:r>
      <w:r w:rsidRPr="00FA0D37">
        <w:rPr>
          <w:color w:val="993366"/>
        </w:rPr>
        <w:t>INTEGER</w:t>
      </w:r>
      <w:r w:rsidRPr="00FA0D37">
        <w:t>(0..4),</w:t>
      </w:r>
    </w:p>
    <w:p w14:paraId="00F801BF" w14:textId="77777777" w:rsidR="00394471" w:rsidRPr="00FA0D37" w:rsidRDefault="00394471" w:rsidP="00FA0D37">
      <w:pPr>
        <w:pStyle w:val="PL"/>
      </w:pPr>
      <w:r w:rsidRPr="00FA0D37">
        <w:t xml:space="preserve">    rrc-MessageSegmentContainer-r16         </w:t>
      </w:r>
      <w:r w:rsidRPr="00FA0D37">
        <w:rPr>
          <w:color w:val="993366"/>
        </w:rPr>
        <w:t>OCTET</w:t>
      </w:r>
      <w:r w:rsidRPr="00FA0D37">
        <w:t xml:space="preserve"> </w:t>
      </w:r>
      <w:r w:rsidRPr="00FA0D37">
        <w:rPr>
          <w:color w:val="993366"/>
        </w:rPr>
        <w:t>STRING</w:t>
      </w:r>
      <w:r w:rsidRPr="00FA0D37">
        <w:t>,</w:t>
      </w:r>
    </w:p>
    <w:p w14:paraId="4567B57B" w14:textId="77777777" w:rsidR="00394471" w:rsidRPr="00FA0D37" w:rsidRDefault="00394471" w:rsidP="00FA0D37">
      <w:pPr>
        <w:pStyle w:val="PL"/>
      </w:pPr>
      <w:r w:rsidRPr="00FA0D37">
        <w:t xml:space="preserve">    rrc-MessageSegmentType-r16              </w:t>
      </w:r>
      <w:r w:rsidRPr="00FA0D37">
        <w:rPr>
          <w:color w:val="993366"/>
        </w:rPr>
        <w:t>ENUMERATED</w:t>
      </w:r>
      <w:r w:rsidRPr="00FA0D37">
        <w:t xml:space="preserve"> {notLastSegment, lastSegment},</w:t>
      </w:r>
    </w:p>
    <w:p w14:paraId="36AA1942"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697DBA8"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7AD29E55" w14:textId="77777777" w:rsidR="00394471" w:rsidRPr="00FA0D37" w:rsidRDefault="00394471" w:rsidP="00FA0D37">
      <w:pPr>
        <w:pStyle w:val="PL"/>
      </w:pPr>
      <w:r w:rsidRPr="00FA0D37">
        <w:t>}</w:t>
      </w:r>
    </w:p>
    <w:p w14:paraId="7D112F11" w14:textId="77777777" w:rsidR="00394471" w:rsidRPr="00FA0D37" w:rsidRDefault="00394471" w:rsidP="00FA0D37">
      <w:pPr>
        <w:pStyle w:val="PL"/>
      </w:pPr>
    </w:p>
    <w:p w14:paraId="174799B0" w14:textId="77777777" w:rsidR="00394471" w:rsidRPr="00FA0D37" w:rsidRDefault="00394471" w:rsidP="00FA0D37">
      <w:pPr>
        <w:pStyle w:val="PL"/>
        <w:rPr>
          <w:color w:val="808080"/>
        </w:rPr>
      </w:pPr>
      <w:r w:rsidRPr="00FA0D37">
        <w:rPr>
          <w:color w:val="808080"/>
        </w:rPr>
        <w:t>-- TAG-DLDEDICATEDMESSAGESEGMENT-STOP</w:t>
      </w:r>
    </w:p>
    <w:p w14:paraId="30DFA7D1" w14:textId="77777777" w:rsidR="00394471" w:rsidRPr="00FA0D37" w:rsidRDefault="00394471" w:rsidP="00FA0D37">
      <w:pPr>
        <w:pStyle w:val="PL"/>
        <w:rPr>
          <w:color w:val="808080"/>
        </w:rPr>
      </w:pPr>
      <w:r w:rsidRPr="00FA0D37">
        <w:rPr>
          <w:color w:val="808080"/>
        </w:rPr>
        <w:t>-- ASN1STOP</w:t>
      </w:r>
    </w:p>
    <w:p w14:paraId="0F35BD38" w14:textId="77777777" w:rsidR="00394471" w:rsidRPr="00FA0D3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319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8BAFA" w14:textId="77777777" w:rsidR="00394471" w:rsidRPr="00FA0D37" w:rsidRDefault="00394471" w:rsidP="00964CC4">
            <w:pPr>
              <w:pStyle w:val="TAH"/>
              <w:rPr>
                <w:szCs w:val="22"/>
                <w:lang w:eastAsia="zh-CN"/>
              </w:rPr>
            </w:pPr>
            <w:r w:rsidRPr="00FA0D37">
              <w:rPr>
                <w:i/>
                <w:szCs w:val="22"/>
                <w:lang w:eastAsia="zh-CN"/>
              </w:rPr>
              <w:t xml:space="preserve">DLDedicatedMessageSegment </w:t>
            </w:r>
            <w:r w:rsidRPr="00FA0D37">
              <w:rPr>
                <w:szCs w:val="22"/>
                <w:lang w:eastAsia="zh-CN"/>
              </w:rPr>
              <w:t>field descriptions</w:t>
            </w:r>
          </w:p>
        </w:tc>
      </w:tr>
      <w:tr w:rsidR="005C7FF4" w:rsidRPr="00FA0D37" w14:paraId="48EC99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8B84A" w14:textId="77777777" w:rsidR="00394471" w:rsidRPr="00FA0D37" w:rsidRDefault="00394471" w:rsidP="00964CC4">
            <w:pPr>
              <w:pStyle w:val="TAL"/>
              <w:rPr>
                <w:b/>
                <w:i/>
                <w:szCs w:val="22"/>
                <w:lang w:eastAsia="zh-CN"/>
              </w:rPr>
            </w:pPr>
            <w:r w:rsidRPr="00FA0D37">
              <w:rPr>
                <w:b/>
                <w:i/>
                <w:szCs w:val="22"/>
                <w:lang w:eastAsia="zh-CN"/>
              </w:rPr>
              <w:t>segmentNumber</w:t>
            </w:r>
          </w:p>
          <w:p w14:paraId="7AF29FE2" w14:textId="77777777" w:rsidR="00394471" w:rsidRPr="00FA0D37" w:rsidRDefault="00394471" w:rsidP="00964CC4">
            <w:pPr>
              <w:pStyle w:val="TAL"/>
              <w:rPr>
                <w:szCs w:val="22"/>
                <w:lang w:eastAsia="zh-CN"/>
              </w:rPr>
            </w:pPr>
            <w:r w:rsidRPr="00FA0D37">
              <w:rPr>
                <w:szCs w:val="22"/>
                <w:lang w:eastAsia="zh-CN"/>
              </w:rPr>
              <w:t>Identifies the sequence number of a segment within the encoded DL DCCH message.</w:t>
            </w:r>
            <w:r w:rsidRPr="00FA0D37">
              <w:rPr>
                <w:lang w:eastAsia="sv-SE"/>
              </w:rPr>
              <w:t xml:space="preserve"> </w:t>
            </w:r>
            <w:r w:rsidRPr="00FA0D37">
              <w:rPr>
                <w:szCs w:val="22"/>
                <w:lang w:eastAsia="zh-CN"/>
              </w:rPr>
              <w:t xml:space="preserve">The network transmits the segments with continuously increasing </w:t>
            </w:r>
            <w:r w:rsidRPr="00FA0D37">
              <w:rPr>
                <w:i/>
                <w:szCs w:val="22"/>
                <w:lang w:eastAsia="zh-CN"/>
              </w:rPr>
              <w:t>segmentNumber</w:t>
            </w:r>
            <w:r w:rsidRPr="00FA0D37">
              <w:rPr>
                <w:szCs w:val="22"/>
                <w:lang w:eastAsia="zh-CN"/>
              </w:rPr>
              <w:t xml:space="preserve"> order so that the UE's RRC layer may expect to obtain them from lower layers in the correct order. Hence, the UE is not required to perform segment re-ordering on RRC level.</w:t>
            </w:r>
          </w:p>
        </w:tc>
      </w:tr>
      <w:tr w:rsidR="005C7FF4" w:rsidRPr="00FA0D37" w14:paraId="23243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C45855" w14:textId="77777777" w:rsidR="00394471" w:rsidRPr="00FA0D37" w:rsidRDefault="00394471" w:rsidP="00964CC4">
            <w:pPr>
              <w:pStyle w:val="TAL"/>
              <w:rPr>
                <w:b/>
                <w:i/>
                <w:szCs w:val="22"/>
                <w:lang w:eastAsia="zh-CN"/>
              </w:rPr>
            </w:pPr>
            <w:r w:rsidRPr="00FA0D37">
              <w:rPr>
                <w:b/>
                <w:i/>
                <w:szCs w:val="22"/>
                <w:lang w:eastAsia="zh-CN"/>
              </w:rPr>
              <w:t>rrc-MessageSegmentContainer</w:t>
            </w:r>
          </w:p>
          <w:p w14:paraId="027D7CAA" w14:textId="77777777" w:rsidR="00394471" w:rsidRPr="00FA0D37" w:rsidRDefault="00394471" w:rsidP="00964CC4">
            <w:pPr>
              <w:pStyle w:val="TAL"/>
              <w:rPr>
                <w:b/>
                <w:i/>
                <w:szCs w:val="22"/>
                <w:lang w:eastAsia="zh-CN"/>
              </w:rPr>
            </w:pPr>
            <w:r w:rsidRPr="00FA0D37">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394471" w:rsidRPr="00FA0D37" w14:paraId="664993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C5C3B2" w14:textId="77777777" w:rsidR="00394471" w:rsidRPr="00FA0D37" w:rsidRDefault="00394471" w:rsidP="00964CC4">
            <w:pPr>
              <w:pStyle w:val="TAL"/>
              <w:rPr>
                <w:b/>
                <w:i/>
                <w:szCs w:val="22"/>
                <w:lang w:eastAsia="zh-CN"/>
              </w:rPr>
            </w:pPr>
            <w:r w:rsidRPr="00FA0D37">
              <w:rPr>
                <w:b/>
                <w:i/>
                <w:szCs w:val="22"/>
                <w:lang w:eastAsia="zh-CN"/>
              </w:rPr>
              <w:t>rrc-MessageSegmentType</w:t>
            </w:r>
          </w:p>
          <w:p w14:paraId="20F15B55" w14:textId="77777777" w:rsidR="00394471" w:rsidRPr="00FA0D37" w:rsidRDefault="00394471" w:rsidP="00964CC4">
            <w:pPr>
              <w:pStyle w:val="TAL"/>
              <w:rPr>
                <w:szCs w:val="22"/>
                <w:lang w:eastAsia="zh-CN"/>
              </w:rPr>
            </w:pPr>
            <w:r w:rsidRPr="00FA0D37">
              <w:rPr>
                <w:szCs w:val="22"/>
                <w:lang w:eastAsia="zh-CN"/>
              </w:rPr>
              <w:t>Indicates whether the included DL DCCH message segment is the last segment of the message or not.</w:t>
            </w:r>
          </w:p>
        </w:tc>
      </w:tr>
    </w:tbl>
    <w:p w14:paraId="2FA43555" w14:textId="77777777" w:rsidR="00394471" w:rsidRPr="00FA0D37" w:rsidRDefault="00394471" w:rsidP="00394471"/>
    <w:p w14:paraId="499EC13D" w14:textId="77777777" w:rsidR="00394471" w:rsidRPr="00FA0D37" w:rsidRDefault="00394471" w:rsidP="00394471">
      <w:pPr>
        <w:pStyle w:val="4"/>
      </w:pPr>
      <w:bookmarkStart w:id="463" w:name="_Toc60777094"/>
      <w:bookmarkStart w:id="464" w:name="_Toc146781128"/>
      <w:r w:rsidRPr="00FA0D37">
        <w:lastRenderedPageBreak/>
        <w:t>–</w:t>
      </w:r>
      <w:r w:rsidRPr="00FA0D37">
        <w:tab/>
      </w:r>
      <w:r w:rsidRPr="00FA0D37">
        <w:rPr>
          <w:i/>
        </w:rPr>
        <w:t>DLInformationTransfer</w:t>
      </w:r>
      <w:bookmarkEnd w:id="463"/>
      <w:bookmarkEnd w:id="464"/>
    </w:p>
    <w:p w14:paraId="6A682650" w14:textId="022E5772" w:rsidR="00394471" w:rsidRPr="00FA0D37" w:rsidRDefault="00394471" w:rsidP="00394471">
      <w:r w:rsidRPr="00FA0D37">
        <w:t xml:space="preserve">The </w:t>
      </w:r>
      <w:r w:rsidRPr="00FA0D37">
        <w:rPr>
          <w:i/>
          <w:noProof/>
        </w:rPr>
        <w:t>DLInformationTransfer</w:t>
      </w:r>
      <w:r w:rsidRPr="00FA0D37">
        <w:t xml:space="preserve"> message is used for the downlink transfer of NAS dedicated information</w:t>
      </w:r>
      <w:r w:rsidR="00A66715" w:rsidRPr="00FA0D37">
        <w:t>,</w:t>
      </w:r>
      <w:r w:rsidRPr="00FA0D37">
        <w:t xml:space="preserve"> timing information for the 5G internal system clock</w:t>
      </w:r>
      <w:r w:rsidR="00A66715" w:rsidRPr="00FA0D37">
        <w:t>, or IAB-DU specific F1-C related information</w:t>
      </w:r>
      <w:r w:rsidRPr="00FA0D37">
        <w:t>.</w:t>
      </w:r>
    </w:p>
    <w:p w14:paraId="3892AD25" w14:textId="51CC58DF" w:rsidR="00394471" w:rsidRPr="00FA0D37" w:rsidRDefault="00394471" w:rsidP="00394471">
      <w:pPr>
        <w:pStyle w:val="B1"/>
      </w:pPr>
      <w:r w:rsidRPr="00FA0D37">
        <w:t>Signalling radio bearer: SRB2 or SRB1 (only if SRB2 not established yet</w:t>
      </w:r>
      <w:r w:rsidR="00BE6CB3" w:rsidRPr="00FA0D37">
        <w:t>)</w:t>
      </w:r>
      <w:r w:rsidRPr="00FA0D37">
        <w:t>. If SRB2 is suspended, the network does not send this message until SRB2 is resumed.</w:t>
      </w:r>
      <w:r w:rsidR="00A66715" w:rsidRPr="00FA0D37">
        <w:t xml:space="preserve"> If only </w:t>
      </w:r>
      <w:r w:rsidR="00A66715" w:rsidRPr="00FA0D37">
        <w:rPr>
          <w:i/>
          <w:iCs/>
        </w:rPr>
        <w:t>dedicatedInfoF1c</w:t>
      </w:r>
      <w:r w:rsidR="00A66715" w:rsidRPr="00FA0D37">
        <w:t xml:space="preserve"> is included, SRB2 is used.</w:t>
      </w:r>
    </w:p>
    <w:p w14:paraId="6E09355D" w14:textId="77777777" w:rsidR="00394471" w:rsidRPr="00FA0D37" w:rsidRDefault="00394471" w:rsidP="00394471">
      <w:pPr>
        <w:pStyle w:val="B1"/>
      </w:pPr>
      <w:r w:rsidRPr="00FA0D37">
        <w:t>RLC-SAP: AM</w:t>
      </w:r>
    </w:p>
    <w:p w14:paraId="72511137" w14:textId="77777777" w:rsidR="00394471" w:rsidRPr="00FA0D37" w:rsidRDefault="00394471" w:rsidP="00394471">
      <w:pPr>
        <w:pStyle w:val="B1"/>
      </w:pPr>
      <w:r w:rsidRPr="00FA0D37">
        <w:t>Logical channel: DCCH</w:t>
      </w:r>
    </w:p>
    <w:p w14:paraId="2B0E627E" w14:textId="77777777" w:rsidR="00394471" w:rsidRPr="00FA0D37" w:rsidRDefault="00394471" w:rsidP="00394471">
      <w:pPr>
        <w:pStyle w:val="B1"/>
      </w:pPr>
      <w:r w:rsidRPr="00FA0D37">
        <w:t>Direction: Network to UE</w:t>
      </w:r>
    </w:p>
    <w:p w14:paraId="61E54AD2" w14:textId="77777777" w:rsidR="00394471" w:rsidRPr="00FA0D37" w:rsidRDefault="00394471" w:rsidP="00394471">
      <w:pPr>
        <w:pStyle w:val="TH"/>
      </w:pPr>
      <w:r w:rsidRPr="00FA0D37">
        <w:rPr>
          <w:i/>
        </w:rPr>
        <w:t>DLInformationTransfer</w:t>
      </w:r>
      <w:r w:rsidRPr="00FA0D37">
        <w:t xml:space="preserve"> message</w:t>
      </w:r>
    </w:p>
    <w:p w14:paraId="34744C55" w14:textId="77777777" w:rsidR="00394471" w:rsidRPr="00FA0D37" w:rsidRDefault="00394471" w:rsidP="00FA0D37">
      <w:pPr>
        <w:pStyle w:val="PL"/>
        <w:rPr>
          <w:color w:val="808080"/>
        </w:rPr>
      </w:pPr>
      <w:r w:rsidRPr="00FA0D37">
        <w:rPr>
          <w:color w:val="808080"/>
        </w:rPr>
        <w:t>-- ASN1START</w:t>
      </w:r>
    </w:p>
    <w:p w14:paraId="6CA11DE3" w14:textId="77777777" w:rsidR="00394471" w:rsidRPr="00FA0D37" w:rsidRDefault="00394471" w:rsidP="00FA0D37">
      <w:pPr>
        <w:pStyle w:val="PL"/>
        <w:rPr>
          <w:color w:val="808080"/>
        </w:rPr>
      </w:pPr>
      <w:r w:rsidRPr="00FA0D37">
        <w:rPr>
          <w:color w:val="808080"/>
        </w:rPr>
        <w:t>-- TAG-DLINFORMATIONTRANSFER-START</w:t>
      </w:r>
    </w:p>
    <w:p w14:paraId="7C047277" w14:textId="77777777" w:rsidR="00394471" w:rsidRPr="00FA0D37" w:rsidRDefault="00394471" w:rsidP="00FA0D37">
      <w:pPr>
        <w:pStyle w:val="PL"/>
      </w:pPr>
    </w:p>
    <w:p w14:paraId="51A839BD" w14:textId="77777777" w:rsidR="00394471" w:rsidRPr="00FA0D37" w:rsidRDefault="00394471" w:rsidP="00FA0D37">
      <w:pPr>
        <w:pStyle w:val="PL"/>
      </w:pPr>
      <w:r w:rsidRPr="00FA0D37">
        <w:t xml:space="preserve">DLInformationTransfer ::=           </w:t>
      </w:r>
      <w:r w:rsidRPr="00FA0D37">
        <w:rPr>
          <w:color w:val="993366"/>
        </w:rPr>
        <w:t>SEQUENCE</w:t>
      </w:r>
      <w:r w:rsidRPr="00FA0D37">
        <w:t xml:space="preserve"> {</w:t>
      </w:r>
    </w:p>
    <w:p w14:paraId="3DBBE0E6" w14:textId="77777777" w:rsidR="00394471" w:rsidRPr="00FA0D37" w:rsidRDefault="00394471" w:rsidP="00FA0D37">
      <w:pPr>
        <w:pStyle w:val="PL"/>
      </w:pPr>
      <w:r w:rsidRPr="00FA0D37">
        <w:t xml:space="preserve">    rrc-TransactionIdentifier           RRC-TransactionIdentifier,</w:t>
      </w:r>
    </w:p>
    <w:p w14:paraId="6BAFBE34"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5020CB3F" w14:textId="77777777" w:rsidR="00394471" w:rsidRPr="00FA0D37" w:rsidRDefault="00394471" w:rsidP="00FA0D37">
      <w:pPr>
        <w:pStyle w:val="PL"/>
      </w:pPr>
      <w:r w:rsidRPr="00FA0D37">
        <w:t xml:space="preserve">        dlInformationTransfer           DLInformationTransfer-IEs,</w:t>
      </w:r>
    </w:p>
    <w:p w14:paraId="1522218E"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596E0D1E" w14:textId="77777777" w:rsidR="00394471" w:rsidRPr="00FA0D37" w:rsidRDefault="00394471" w:rsidP="00FA0D37">
      <w:pPr>
        <w:pStyle w:val="PL"/>
      </w:pPr>
      <w:r w:rsidRPr="00FA0D37">
        <w:t xml:space="preserve">    }</w:t>
      </w:r>
    </w:p>
    <w:p w14:paraId="6DFA0B24" w14:textId="77777777" w:rsidR="00394471" w:rsidRPr="00FA0D37" w:rsidRDefault="00394471" w:rsidP="00FA0D37">
      <w:pPr>
        <w:pStyle w:val="PL"/>
      </w:pPr>
      <w:r w:rsidRPr="00FA0D37">
        <w:t>}</w:t>
      </w:r>
    </w:p>
    <w:p w14:paraId="2C8A5CB7" w14:textId="77777777" w:rsidR="00394471" w:rsidRPr="00FA0D37" w:rsidRDefault="00394471" w:rsidP="00FA0D37">
      <w:pPr>
        <w:pStyle w:val="PL"/>
      </w:pPr>
    </w:p>
    <w:p w14:paraId="53139D0A" w14:textId="77777777" w:rsidR="00394471" w:rsidRPr="00FA0D37" w:rsidRDefault="00394471" w:rsidP="00FA0D37">
      <w:pPr>
        <w:pStyle w:val="PL"/>
      </w:pPr>
      <w:r w:rsidRPr="00FA0D37">
        <w:t xml:space="preserve">DLInformationTransfer-IEs ::=       </w:t>
      </w:r>
      <w:r w:rsidRPr="00FA0D37">
        <w:rPr>
          <w:color w:val="993366"/>
        </w:rPr>
        <w:t>SEQUENCE</w:t>
      </w:r>
      <w:r w:rsidRPr="00FA0D37">
        <w:t xml:space="preserve"> {</w:t>
      </w:r>
    </w:p>
    <w:p w14:paraId="327C6A31" w14:textId="77777777" w:rsidR="00394471" w:rsidRPr="00FA0D37" w:rsidRDefault="00394471" w:rsidP="00FA0D37">
      <w:pPr>
        <w:pStyle w:val="PL"/>
        <w:rPr>
          <w:color w:val="808080"/>
        </w:rPr>
      </w:pPr>
      <w:r w:rsidRPr="00FA0D37">
        <w:t xml:space="preserve">    dedicatedNAS-Message                DedicatedNAS-Message                </w:t>
      </w:r>
      <w:r w:rsidRPr="00FA0D37">
        <w:rPr>
          <w:color w:val="993366"/>
        </w:rPr>
        <w:t>OPTIONAL</w:t>
      </w:r>
      <w:r w:rsidRPr="00FA0D37">
        <w:t xml:space="preserve">,   </w:t>
      </w:r>
      <w:r w:rsidRPr="00FA0D37">
        <w:rPr>
          <w:color w:val="808080"/>
        </w:rPr>
        <w:t>-- Need N</w:t>
      </w:r>
    </w:p>
    <w:p w14:paraId="6A02A04E"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01CCCD9F" w14:textId="77777777" w:rsidR="00394471" w:rsidRPr="00FA0D37" w:rsidRDefault="00394471" w:rsidP="00FA0D37">
      <w:pPr>
        <w:pStyle w:val="PL"/>
      </w:pPr>
      <w:r w:rsidRPr="00FA0D37">
        <w:t xml:space="preserve">    nonCriticalExtension                DLInformationTransfer-v1610-IEs     </w:t>
      </w:r>
      <w:r w:rsidRPr="00FA0D37">
        <w:rPr>
          <w:color w:val="993366"/>
        </w:rPr>
        <w:t>OPTIONAL</w:t>
      </w:r>
    </w:p>
    <w:p w14:paraId="28F8F4DA" w14:textId="77777777" w:rsidR="00394471" w:rsidRPr="00FA0D37" w:rsidRDefault="00394471" w:rsidP="00FA0D37">
      <w:pPr>
        <w:pStyle w:val="PL"/>
      </w:pPr>
      <w:r w:rsidRPr="00FA0D37">
        <w:t>}</w:t>
      </w:r>
    </w:p>
    <w:p w14:paraId="71D6097D" w14:textId="77777777" w:rsidR="00394471" w:rsidRPr="00FA0D37" w:rsidRDefault="00394471" w:rsidP="00FA0D37">
      <w:pPr>
        <w:pStyle w:val="PL"/>
      </w:pPr>
    </w:p>
    <w:p w14:paraId="3B36FD64" w14:textId="77777777" w:rsidR="00394471" w:rsidRPr="00FA0D37" w:rsidRDefault="00394471" w:rsidP="00FA0D37">
      <w:pPr>
        <w:pStyle w:val="PL"/>
      </w:pPr>
      <w:r w:rsidRPr="00FA0D37">
        <w:t xml:space="preserve">DLInformationTransfer-v1610-IEs ::= </w:t>
      </w:r>
      <w:r w:rsidRPr="00FA0D37">
        <w:rPr>
          <w:color w:val="993366"/>
        </w:rPr>
        <w:t>SEQUENCE</w:t>
      </w:r>
      <w:r w:rsidRPr="00FA0D37">
        <w:t xml:space="preserve"> {</w:t>
      </w:r>
    </w:p>
    <w:p w14:paraId="47A3BE45" w14:textId="7C533CBF" w:rsidR="00394471" w:rsidRPr="00FA0D37" w:rsidRDefault="00394471" w:rsidP="00FA0D37">
      <w:pPr>
        <w:pStyle w:val="PL"/>
        <w:rPr>
          <w:color w:val="808080"/>
        </w:rPr>
      </w:pPr>
      <w:r w:rsidRPr="00FA0D37">
        <w:t xml:space="preserve">    referenceTimeInfo-r16               ReferenceTimeInfo-r16               </w:t>
      </w:r>
      <w:r w:rsidRPr="00FA0D37">
        <w:rPr>
          <w:color w:val="993366"/>
        </w:rPr>
        <w:t>OPTIONAL</w:t>
      </w:r>
      <w:r w:rsidRPr="00FA0D37">
        <w:t xml:space="preserve">,   </w:t>
      </w:r>
      <w:r w:rsidRPr="00FA0D37">
        <w:rPr>
          <w:color w:val="808080"/>
        </w:rPr>
        <w:t xml:space="preserve">-- Need </w:t>
      </w:r>
      <w:r w:rsidR="00C65F89" w:rsidRPr="00FA0D37">
        <w:rPr>
          <w:color w:val="808080"/>
        </w:rPr>
        <w:t>N</w:t>
      </w:r>
    </w:p>
    <w:p w14:paraId="6FC727D8" w14:textId="46DD6696" w:rsidR="00394471" w:rsidRPr="00FA0D37" w:rsidRDefault="00394471" w:rsidP="00FA0D37">
      <w:pPr>
        <w:pStyle w:val="PL"/>
      </w:pPr>
      <w:r w:rsidRPr="00FA0D37">
        <w:t xml:space="preserve">    nonCriticalExtension                </w:t>
      </w:r>
      <w:r w:rsidR="00A66715" w:rsidRPr="00FA0D37">
        <w:t>DLInformationTransfer-v1700-IEs</w:t>
      </w:r>
      <w:r w:rsidRPr="00FA0D37">
        <w:t xml:space="preserve">     </w:t>
      </w:r>
      <w:r w:rsidRPr="00FA0D37">
        <w:rPr>
          <w:color w:val="993366"/>
        </w:rPr>
        <w:t>OPTIONAL</w:t>
      </w:r>
    </w:p>
    <w:p w14:paraId="46506DF3" w14:textId="77777777" w:rsidR="00394471" w:rsidRPr="00FA0D37" w:rsidRDefault="00394471" w:rsidP="00FA0D37">
      <w:pPr>
        <w:pStyle w:val="PL"/>
      </w:pPr>
      <w:r w:rsidRPr="00FA0D37">
        <w:t>}</w:t>
      </w:r>
    </w:p>
    <w:p w14:paraId="0CA636E8" w14:textId="77777777" w:rsidR="00A66715" w:rsidRPr="00FA0D37" w:rsidRDefault="00A66715" w:rsidP="00FA0D37">
      <w:pPr>
        <w:pStyle w:val="PL"/>
      </w:pPr>
    </w:p>
    <w:p w14:paraId="7CDB3B9D" w14:textId="61D3D747" w:rsidR="00A66715" w:rsidRPr="00FA0D37" w:rsidRDefault="00A66715" w:rsidP="00FA0D37">
      <w:pPr>
        <w:pStyle w:val="PL"/>
      </w:pPr>
      <w:r w:rsidRPr="00FA0D37">
        <w:t xml:space="preserve">DLInformationTransfer-v1700-IEs ::= </w:t>
      </w:r>
      <w:r w:rsidRPr="00FA0D37">
        <w:rPr>
          <w:color w:val="993366"/>
        </w:rPr>
        <w:t>SEQUENCE</w:t>
      </w:r>
      <w:r w:rsidRPr="00FA0D37">
        <w:t xml:space="preserve"> {</w:t>
      </w:r>
    </w:p>
    <w:p w14:paraId="018AE5AF" w14:textId="77777777" w:rsidR="00A66715" w:rsidRPr="00FA0D37" w:rsidRDefault="00A66715" w:rsidP="00FA0D37">
      <w:pPr>
        <w:pStyle w:val="PL"/>
        <w:rPr>
          <w:color w:val="808080"/>
        </w:rPr>
      </w:pPr>
      <w:r w:rsidRPr="00FA0D37">
        <w:t xml:space="preserve">    dedicatedInfoF1c-r17                DedicatedInfoF1c-r17                </w:t>
      </w:r>
      <w:r w:rsidRPr="00FA0D37">
        <w:rPr>
          <w:color w:val="993366"/>
        </w:rPr>
        <w:t>OPTIONAL</w:t>
      </w:r>
      <w:r w:rsidRPr="00FA0D37">
        <w:t xml:space="preserve">,   </w:t>
      </w:r>
      <w:r w:rsidRPr="00FA0D37">
        <w:rPr>
          <w:color w:val="808080"/>
        </w:rPr>
        <w:t>-- Need N</w:t>
      </w:r>
    </w:p>
    <w:p w14:paraId="41284861" w14:textId="204E5DA8" w:rsidR="009322A6" w:rsidRPr="00FA0D37" w:rsidRDefault="009322A6" w:rsidP="00FA0D37">
      <w:pPr>
        <w:pStyle w:val="PL"/>
        <w:rPr>
          <w:color w:val="808080"/>
        </w:rPr>
      </w:pPr>
      <w:r w:rsidRPr="00FA0D37">
        <w:t xml:space="preserve">    rxTxTimeDiff-gNB-r17                RxTxTimeDiff-r17                    </w:t>
      </w:r>
      <w:r w:rsidRPr="00FA0D37">
        <w:rPr>
          <w:color w:val="993366"/>
        </w:rPr>
        <w:t>OPTIONAL</w:t>
      </w:r>
      <w:r w:rsidRPr="00FA0D37">
        <w:t xml:space="preserve">,   </w:t>
      </w:r>
      <w:r w:rsidRPr="00FA0D37">
        <w:rPr>
          <w:color w:val="808080"/>
        </w:rPr>
        <w:t xml:space="preserve">-- Need </w:t>
      </w:r>
      <w:r w:rsidR="000056EE" w:rsidRPr="00FA0D37">
        <w:rPr>
          <w:color w:val="808080"/>
        </w:rPr>
        <w:t>N</w:t>
      </w:r>
    </w:p>
    <w:p w14:paraId="416D8469" w14:textId="796BA9A7" w:rsidR="009322A6" w:rsidRPr="00FA0D37" w:rsidRDefault="009322A6" w:rsidP="00FA0D37">
      <w:pPr>
        <w:pStyle w:val="PL"/>
        <w:rPr>
          <w:color w:val="808080"/>
        </w:rPr>
      </w:pPr>
      <w:r w:rsidRPr="00FA0D37">
        <w:t xml:space="preserve">    ta-PDC-r17                          </w:t>
      </w:r>
      <w:r w:rsidRPr="00FA0D37">
        <w:rPr>
          <w:color w:val="993366"/>
        </w:rPr>
        <w:t>ENUMERATED</w:t>
      </w:r>
      <w:r w:rsidRPr="00FA0D37">
        <w:t xml:space="preserve"> {activate,deactivate}    </w:t>
      </w:r>
      <w:r w:rsidRPr="00FA0D37">
        <w:rPr>
          <w:color w:val="993366"/>
        </w:rPr>
        <w:t>OPTIONAL</w:t>
      </w:r>
      <w:r w:rsidRPr="00FA0D37">
        <w:t xml:space="preserve">,   </w:t>
      </w:r>
      <w:r w:rsidRPr="00FA0D37">
        <w:rPr>
          <w:color w:val="808080"/>
        </w:rPr>
        <w:t xml:space="preserve">-- Need </w:t>
      </w:r>
      <w:r w:rsidR="000056EE" w:rsidRPr="00FA0D37">
        <w:rPr>
          <w:color w:val="808080"/>
        </w:rPr>
        <w:t>N</w:t>
      </w:r>
    </w:p>
    <w:p w14:paraId="217D7B73" w14:textId="325871A4" w:rsidR="009322A6" w:rsidRPr="00FA0D37" w:rsidRDefault="009322A6" w:rsidP="00FA0D37">
      <w:pPr>
        <w:pStyle w:val="PL"/>
        <w:rPr>
          <w:color w:val="808080"/>
        </w:rPr>
      </w:pPr>
      <w:r w:rsidRPr="00FA0D37">
        <w:t xml:space="preserve">    sib9Fallback-r17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xml:space="preserve">-- Need </w:t>
      </w:r>
      <w:r w:rsidR="000056EE" w:rsidRPr="00FA0D37">
        <w:rPr>
          <w:color w:val="808080"/>
        </w:rPr>
        <w:t>N</w:t>
      </w:r>
    </w:p>
    <w:p w14:paraId="489A1090" w14:textId="77777777" w:rsidR="00A66715" w:rsidRPr="00FA0D37" w:rsidRDefault="00A66715"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597A41AC" w14:textId="77777777" w:rsidR="00A66715" w:rsidRPr="00FA0D37" w:rsidRDefault="00A66715" w:rsidP="00FA0D37">
      <w:pPr>
        <w:pStyle w:val="PL"/>
      </w:pPr>
      <w:r w:rsidRPr="00FA0D37">
        <w:t>}</w:t>
      </w:r>
    </w:p>
    <w:p w14:paraId="1696CD16" w14:textId="77777777" w:rsidR="00394471" w:rsidRPr="00FA0D37" w:rsidRDefault="00394471" w:rsidP="00FA0D37">
      <w:pPr>
        <w:pStyle w:val="PL"/>
      </w:pPr>
    </w:p>
    <w:p w14:paraId="3246753F" w14:textId="77777777" w:rsidR="00394471" w:rsidRPr="00FA0D37" w:rsidRDefault="00394471" w:rsidP="00FA0D37">
      <w:pPr>
        <w:pStyle w:val="PL"/>
        <w:rPr>
          <w:color w:val="808080"/>
        </w:rPr>
      </w:pPr>
      <w:r w:rsidRPr="00FA0D37">
        <w:rPr>
          <w:color w:val="808080"/>
        </w:rPr>
        <w:t>-- TAG-DLINFORMATIONTRANSFER-STOP</w:t>
      </w:r>
    </w:p>
    <w:p w14:paraId="540CCAD3" w14:textId="77777777" w:rsidR="00394471" w:rsidRPr="00FA0D37" w:rsidRDefault="00394471" w:rsidP="00FA0D37">
      <w:pPr>
        <w:pStyle w:val="PL"/>
        <w:rPr>
          <w:color w:val="808080"/>
        </w:rPr>
      </w:pPr>
      <w:r w:rsidRPr="00FA0D37">
        <w:rPr>
          <w:color w:val="808080"/>
        </w:rPr>
        <w:t>-- ASN1STOP</w:t>
      </w:r>
    </w:p>
    <w:p w14:paraId="3C6DE9E8" w14:textId="77777777" w:rsidR="009322A6" w:rsidRPr="00FA0D37" w:rsidRDefault="009322A6" w:rsidP="009322A6"/>
    <w:tbl>
      <w:tblPr>
        <w:tblStyle w:val="af8"/>
        <w:tblW w:w="14173" w:type="dxa"/>
        <w:tblInd w:w="0" w:type="dxa"/>
        <w:tblLook w:val="04A0" w:firstRow="1" w:lastRow="0" w:firstColumn="1" w:lastColumn="0" w:noHBand="0" w:noVBand="1"/>
      </w:tblPr>
      <w:tblGrid>
        <w:gridCol w:w="14173"/>
      </w:tblGrid>
      <w:tr w:rsidR="005C7FF4" w:rsidRPr="00FA0D37" w14:paraId="7998FFA6" w14:textId="77777777" w:rsidTr="00771058">
        <w:tc>
          <w:tcPr>
            <w:tcW w:w="14278" w:type="dxa"/>
          </w:tcPr>
          <w:p w14:paraId="5FB338DA" w14:textId="77777777" w:rsidR="009322A6" w:rsidRPr="00FA0D37" w:rsidRDefault="009322A6" w:rsidP="00771058">
            <w:pPr>
              <w:pStyle w:val="TAH"/>
            </w:pPr>
            <w:r w:rsidRPr="00FA0D37">
              <w:rPr>
                <w:i/>
              </w:rPr>
              <w:t xml:space="preserve">DLInformationTransfer </w:t>
            </w:r>
            <w:r w:rsidRPr="00FA0D37">
              <w:rPr>
                <w:iCs/>
              </w:rPr>
              <w:t>field descriptions</w:t>
            </w:r>
          </w:p>
        </w:tc>
      </w:tr>
      <w:tr w:rsidR="005C7FF4" w:rsidRPr="00FA0D37" w14:paraId="30FC5288" w14:textId="77777777" w:rsidTr="00771058">
        <w:tc>
          <w:tcPr>
            <w:tcW w:w="14278" w:type="dxa"/>
          </w:tcPr>
          <w:p w14:paraId="7D947830" w14:textId="77777777" w:rsidR="009322A6" w:rsidRPr="00FA0D37" w:rsidRDefault="009322A6" w:rsidP="00771058">
            <w:pPr>
              <w:pStyle w:val="TAL"/>
              <w:rPr>
                <w:b/>
                <w:i/>
              </w:rPr>
            </w:pPr>
            <w:r w:rsidRPr="00FA0D37">
              <w:rPr>
                <w:b/>
                <w:i/>
              </w:rPr>
              <w:t>rxTxTimeDiff-gNB</w:t>
            </w:r>
          </w:p>
          <w:p w14:paraId="43D3D76D" w14:textId="1DB38018" w:rsidR="009322A6" w:rsidRPr="00FA0D37" w:rsidRDefault="009322A6" w:rsidP="00771058">
            <w:pPr>
              <w:pStyle w:val="TAL"/>
            </w:pPr>
            <w:r w:rsidRPr="00FA0D37">
              <w:t>Indicates the Rx-Tx time difference measurement at the gNB (see clause 5.2.3, TS 38.215 [9]). Upon receiving this field, the UE calculates the propagation delay based on the RTT-</w:t>
            </w:r>
            <w:r w:rsidR="00D127B2" w:rsidRPr="00FA0D37">
              <w:rPr>
                <w:rStyle w:val="TALCar"/>
              </w:rPr>
              <w:t xml:space="preserve">based PDC mechanism </w:t>
            </w:r>
            <w:r w:rsidRPr="00FA0D37">
              <w:t>method</w:t>
            </w:r>
            <w:r w:rsidR="00D127B2" w:rsidRPr="00FA0D37">
              <w:rPr>
                <w:rStyle w:val="TALCar"/>
              </w:rPr>
              <w:t xml:space="preserve"> as described in TS 38.300 [2]</w:t>
            </w:r>
            <w:r w:rsidRPr="00FA0D37">
              <w:t xml:space="preserve">. The network does not configure this field, if the UE is configured with </w:t>
            </w:r>
            <w:r w:rsidRPr="00FA0D37">
              <w:rPr>
                <w:i/>
                <w:iCs/>
              </w:rPr>
              <w:t xml:space="preserve">ta-PDC </w:t>
            </w:r>
            <w:r w:rsidRPr="00FA0D37">
              <w:t xml:space="preserve">with value </w:t>
            </w:r>
            <w:r w:rsidRPr="00FA0D37">
              <w:rPr>
                <w:i/>
                <w:iCs/>
              </w:rPr>
              <w:t>activate</w:t>
            </w:r>
            <w:r w:rsidRPr="00FA0D37">
              <w:t>.</w:t>
            </w:r>
          </w:p>
        </w:tc>
      </w:tr>
      <w:tr w:rsidR="005C7FF4" w:rsidRPr="00FA0D37" w14:paraId="63C405AF" w14:textId="77777777" w:rsidTr="00771058">
        <w:tc>
          <w:tcPr>
            <w:tcW w:w="14278" w:type="dxa"/>
          </w:tcPr>
          <w:p w14:paraId="5AF6EE64" w14:textId="77777777" w:rsidR="009322A6" w:rsidRPr="00FA0D37" w:rsidRDefault="009322A6" w:rsidP="00771058">
            <w:pPr>
              <w:pStyle w:val="TAL"/>
              <w:rPr>
                <w:b/>
                <w:i/>
              </w:rPr>
            </w:pPr>
            <w:r w:rsidRPr="00FA0D37">
              <w:rPr>
                <w:b/>
                <w:i/>
              </w:rPr>
              <w:t>sib9Fallback</w:t>
            </w:r>
          </w:p>
          <w:p w14:paraId="4E245B01" w14:textId="77777777" w:rsidR="009322A6" w:rsidRPr="00FA0D37" w:rsidRDefault="009322A6" w:rsidP="00771058">
            <w:pPr>
              <w:pStyle w:val="TAL"/>
              <w:rPr>
                <w:bCs/>
                <w:iCs/>
              </w:rPr>
            </w:pPr>
            <w:r w:rsidRPr="00FA0D37">
              <w:rPr>
                <w:bCs/>
                <w:iCs/>
              </w:rPr>
              <w:t xml:space="preserve">Indicates that the UE fallbacks to receive </w:t>
            </w:r>
            <w:r w:rsidRPr="00FA0D37">
              <w:rPr>
                <w:bCs/>
                <w:i/>
              </w:rPr>
              <w:t>referenceTimeInfo</w:t>
            </w:r>
            <w:r w:rsidRPr="00FA0D37">
              <w:rPr>
                <w:bCs/>
                <w:iCs/>
              </w:rPr>
              <w:t xml:space="preserve"> in SIB9.</w:t>
            </w:r>
          </w:p>
        </w:tc>
      </w:tr>
      <w:tr w:rsidR="000830BB" w:rsidRPr="00FA0D37" w14:paraId="49E25E04" w14:textId="77777777" w:rsidTr="00771058">
        <w:tc>
          <w:tcPr>
            <w:tcW w:w="14278" w:type="dxa"/>
          </w:tcPr>
          <w:p w14:paraId="721AFFFC" w14:textId="77777777" w:rsidR="009322A6" w:rsidRPr="00FA0D37" w:rsidRDefault="009322A6" w:rsidP="00771058">
            <w:pPr>
              <w:pStyle w:val="TAL"/>
              <w:tabs>
                <w:tab w:val="left" w:pos="3709"/>
              </w:tabs>
            </w:pPr>
            <w:r w:rsidRPr="00FA0D37">
              <w:rPr>
                <w:b/>
                <w:i/>
              </w:rPr>
              <w:t>ta-PDC</w:t>
            </w:r>
          </w:p>
          <w:p w14:paraId="10DB5897" w14:textId="77777777" w:rsidR="009322A6" w:rsidRPr="00FA0D37" w:rsidRDefault="009322A6" w:rsidP="00771058">
            <w:pPr>
              <w:pStyle w:val="TAL"/>
              <w:tabs>
                <w:tab w:val="left" w:pos="3709"/>
              </w:tabs>
            </w:pPr>
            <w:r w:rsidRPr="00FA0D37">
              <w:t xml:space="preserve">Indicates whether the UE-side TA-based propagation delay compensation (PDC) is activated or de-activated. The network does not configure this field with </w:t>
            </w:r>
            <w:r w:rsidRPr="00FA0D37">
              <w:rPr>
                <w:i/>
                <w:iCs/>
              </w:rPr>
              <w:t>activate,</w:t>
            </w:r>
            <w:r w:rsidRPr="00FA0D37">
              <w:t xml:space="preserve"> if the field </w:t>
            </w:r>
            <w:r w:rsidRPr="00FA0D37">
              <w:rPr>
                <w:i/>
                <w:iCs/>
              </w:rPr>
              <w:t xml:space="preserve">rxTxTimeDiff-gNB </w:t>
            </w:r>
            <w:r w:rsidRPr="00FA0D37">
              <w:t>is configured.</w:t>
            </w:r>
          </w:p>
        </w:tc>
      </w:tr>
    </w:tbl>
    <w:p w14:paraId="09CDF1CC" w14:textId="77777777" w:rsidR="00394471" w:rsidRPr="00FA0D37" w:rsidRDefault="00394471" w:rsidP="00394471"/>
    <w:p w14:paraId="3CC1DD3A" w14:textId="77777777" w:rsidR="00394471" w:rsidRPr="00FA0D37" w:rsidRDefault="00394471" w:rsidP="00394471">
      <w:pPr>
        <w:pStyle w:val="4"/>
        <w:rPr>
          <w:i/>
          <w:iCs/>
        </w:rPr>
      </w:pPr>
      <w:bookmarkStart w:id="465" w:name="_Toc60777095"/>
      <w:bookmarkStart w:id="466" w:name="_Toc146781129"/>
      <w:r w:rsidRPr="00FA0D37">
        <w:rPr>
          <w:i/>
          <w:iCs/>
        </w:rPr>
        <w:t>–</w:t>
      </w:r>
      <w:r w:rsidRPr="00FA0D37">
        <w:rPr>
          <w:i/>
          <w:iCs/>
        </w:rPr>
        <w:tab/>
        <w:t>DL</w:t>
      </w:r>
      <w:r w:rsidRPr="00FA0D37">
        <w:rPr>
          <w:i/>
          <w:iCs/>
          <w:noProof/>
        </w:rPr>
        <w:t>InformationTransferMRDC</w:t>
      </w:r>
      <w:bookmarkEnd w:id="465"/>
      <w:bookmarkEnd w:id="466"/>
    </w:p>
    <w:p w14:paraId="7450C3CC" w14:textId="77777777" w:rsidR="00394471" w:rsidRPr="00FA0D37" w:rsidRDefault="00394471" w:rsidP="00394471">
      <w:r w:rsidRPr="00FA0D37">
        <w:t xml:space="preserve">The </w:t>
      </w:r>
      <w:r w:rsidRPr="00FA0D37">
        <w:rPr>
          <w:i/>
          <w:noProof/>
        </w:rPr>
        <w:t>DLInformationTransferMRDC</w:t>
      </w:r>
      <w:r w:rsidRPr="00FA0D37">
        <w:t xml:space="preserve"> message is used for the downlink transfer of RRC messages during fast MCG link recovery.</w:t>
      </w:r>
    </w:p>
    <w:p w14:paraId="59745F1F" w14:textId="77777777" w:rsidR="00394471" w:rsidRPr="00FA0D37" w:rsidRDefault="00394471" w:rsidP="00394471">
      <w:pPr>
        <w:pStyle w:val="B1"/>
      </w:pPr>
      <w:r w:rsidRPr="00FA0D37">
        <w:t>Signalling radio bearer: SRB3</w:t>
      </w:r>
    </w:p>
    <w:p w14:paraId="60720565" w14:textId="77777777" w:rsidR="00394471" w:rsidRPr="00FA0D37" w:rsidRDefault="00394471" w:rsidP="00394471">
      <w:pPr>
        <w:pStyle w:val="B1"/>
      </w:pPr>
      <w:r w:rsidRPr="00FA0D37">
        <w:t>RLC-SAP: AM</w:t>
      </w:r>
    </w:p>
    <w:p w14:paraId="1145EB6E" w14:textId="77777777" w:rsidR="00394471" w:rsidRPr="00FA0D37" w:rsidRDefault="00394471" w:rsidP="00394471">
      <w:pPr>
        <w:pStyle w:val="B1"/>
      </w:pPr>
      <w:r w:rsidRPr="00FA0D37">
        <w:t>Logical channel: DCCH</w:t>
      </w:r>
    </w:p>
    <w:p w14:paraId="4265987A" w14:textId="77777777" w:rsidR="00394471" w:rsidRPr="00FA0D37" w:rsidRDefault="00394471" w:rsidP="00394471">
      <w:pPr>
        <w:pStyle w:val="B1"/>
      </w:pPr>
      <w:r w:rsidRPr="00FA0D37">
        <w:t>Direction: Network to UE</w:t>
      </w:r>
    </w:p>
    <w:p w14:paraId="4E975F07" w14:textId="77777777" w:rsidR="00394471" w:rsidRPr="00FA0D37" w:rsidRDefault="00394471" w:rsidP="00394471">
      <w:pPr>
        <w:pStyle w:val="TH"/>
        <w:rPr>
          <w:rFonts w:cs="Arial"/>
          <w:bCs/>
          <w:i/>
          <w:iCs/>
        </w:rPr>
      </w:pPr>
      <w:r w:rsidRPr="00FA0D37">
        <w:rPr>
          <w:bCs/>
          <w:i/>
          <w:iCs/>
        </w:rPr>
        <w:t>DLInformationTransferMRDC</w:t>
      </w:r>
      <w:r w:rsidRPr="00FA0D37">
        <w:rPr>
          <w:rFonts w:cs="Arial"/>
          <w:bCs/>
          <w:i/>
          <w:iCs/>
          <w:noProof/>
        </w:rPr>
        <w:t xml:space="preserve"> message</w:t>
      </w:r>
    </w:p>
    <w:p w14:paraId="2025802A" w14:textId="77777777" w:rsidR="00394471" w:rsidRPr="00FA0D37" w:rsidRDefault="00394471" w:rsidP="00FA0D37">
      <w:pPr>
        <w:pStyle w:val="PL"/>
        <w:rPr>
          <w:color w:val="808080"/>
        </w:rPr>
      </w:pPr>
      <w:r w:rsidRPr="00FA0D37">
        <w:rPr>
          <w:color w:val="808080"/>
        </w:rPr>
        <w:t>-- ASN1START</w:t>
      </w:r>
    </w:p>
    <w:p w14:paraId="59B27EF5" w14:textId="77777777" w:rsidR="00394471" w:rsidRPr="00FA0D37" w:rsidRDefault="00394471" w:rsidP="00FA0D37">
      <w:pPr>
        <w:pStyle w:val="PL"/>
        <w:rPr>
          <w:color w:val="808080"/>
        </w:rPr>
      </w:pPr>
      <w:r w:rsidRPr="00FA0D37">
        <w:rPr>
          <w:color w:val="808080"/>
        </w:rPr>
        <w:t>-- TAG-DLINFORMATIONTRANSFERMRDC-START</w:t>
      </w:r>
    </w:p>
    <w:p w14:paraId="2FBD6395" w14:textId="77777777" w:rsidR="00394471" w:rsidRPr="00FA0D37" w:rsidRDefault="00394471" w:rsidP="00FA0D37">
      <w:pPr>
        <w:pStyle w:val="PL"/>
      </w:pPr>
    </w:p>
    <w:p w14:paraId="0FA21829" w14:textId="77777777" w:rsidR="00394471" w:rsidRPr="00FA0D37" w:rsidRDefault="00394471" w:rsidP="00FA0D37">
      <w:pPr>
        <w:pStyle w:val="PL"/>
      </w:pPr>
      <w:r w:rsidRPr="00FA0D37">
        <w:t xml:space="preserve">DLInformationTransferMRDC-r16 ::=       </w:t>
      </w:r>
      <w:r w:rsidRPr="00FA0D37">
        <w:rPr>
          <w:color w:val="993366"/>
        </w:rPr>
        <w:t>SEQUENCE</w:t>
      </w:r>
      <w:r w:rsidRPr="00FA0D37">
        <w:t xml:space="preserve"> {</w:t>
      </w:r>
    </w:p>
    <w:p w14:paraId="588585E1"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156DF04B"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35A821C6" w14:textId="77777777" w:rsidR="00394471" w:rsidRPr="00FA0D37" w:rsidRDefault="00394471" w:rsidP="00FA0D37">
      <w:pPr>
        <w:pStyle w:val="PL"/>
      </w:pPr>
      <w:r w:rsidRPr="00FA0D37">
        <w:t xml:space="preserve">            dlInformationTransferMRDC-r16           DLInformationTransferMRDC-r16-IEs,</w:t>
      </w:r>
    </w:p>
    <w:p w14:paraId="0E246912" w14:textId="77777777" w:rsidR="00394471" w:rsidRPr="00FA0D37" w:rsidRDefault="00394471" w:rsidP="00FA0D37">
      <w:pPr>
        <w:pStyle w:val="PL"/>
      </w:pPr>
      <w:r w:rsidRPr="00FA0D37">
        <w:t xml:space="preserve">            spare3 </w:t>
      </w:r>
      <w:r w:rsidRPr="00FA0D37">
        <w:rPr>
          <w:color w:val="993366"/>
        </w:rPr>
        <w:t>NULL</w:t>
      </w:r>
      <w:r w:rsidRPr="00FA0D37">
        <w:t xml:space="preserve">, spare2 </w:t>
      </w:r>
      <w:r w:rsidRPr="00FA0D37">
        <w:rPr>
          <w:color w:val="993366"/>
        </w:rPr>
        <w:t>NULL</w:t>
      </w:r>
      <w:r w:rsidRPr="00FA0D37">
        <w:t xml:space="preserve">, spare1 </w:t>
      </w:r>
      <w:r w:rsidRPr="00FA0D37">
        <w:rPr>
          <w:color w:val="993366"/>
        </w:rPr>
        <w:t>NULL</w:t>
      </w:r>
    </w:p>
    <w:p w14:paraId="25DF9D99" w14:textId="77777777" w:rsidR="00394471" w:rsidRPr="00FA0D37" w:rsidRDefault="00394471" w:rsidP="00FA0D37">
      <w:pPr>
        <w:pStyle w:val="PL"/>
      </w:pPr>
      <w:r w:rsidRPr="00FA0D37">
        <w:t xml:space="preserve">        },</w:t>
      </w:r>
    </w:p>
    <w:p w14:paraId="0EADCA0E"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3C2D3BE6" w14:textId="77777777" w:rsidR="00394471" w:rsidRPr="00FA0D37" w:rsidRDefault="00394471" w:rsidP="00FA0D37">
      <w:pPr>
        <w:pStyle w:val="PL"/>
      </w:pPr>
      <w:r w:rsidRPr="00FA0D37">
        <w:t xml:space="preserve">    }</w:t>
      </w:r>
    </w:p>
    <w:p w14:paraId="2E5FC4F7" w14:textId="77777777" w:rsidR="00394471" w:rsidRPr="00FA0D37" w:rsidRDefault="00394471" w:rsidP="00FA0D37">
      <w:pPr>
        <w:pStyle w:val="PL"/>
      </w:pPr>
      <w:r w:rsidRPr="00FA0D37">
        <w:t>}</w:t>
      </w:r>
    </w:p>
    <w:p w14:paraId="2B140C7A" w14:textId="77777777" w:rsidR="00394471" w:rsidRPr="00FA0D37" w:rsidRDefault="00394471" w:rsidP="00FA0D37">
      <w:pPr>
        <w:pStyle w:val="PL"/>
      </w:pPr>
    </w:p>
    <w:p w14:paraId="3B2F6881" w14:textId="77777777" w:rsidR="00394471" w:rsidRPr="00FA0D37" w:rsidRDefault="00394471" w:rsidP="00FA0D37">
      <w:pPr>
        <w:pStyle w:val="PL"/>
      </w:pPr>
      <w:r w:rsidRPr="00FA0D37">
        <w:t xml:space="preserve">DLInformationTransferMRDC-r16-IEs::=    </w:t>
      </w:r>
      <w:r w:rsidRPr="00FA0D37">
        <w:rPr>
          <w:color w:val="993366"/>
        </w:rPr>
        <w:t>SEQUENCE</w:t>
      </w:r>
      <w:r w:rsidRPr="00FA0D37">
        <w:t xml:space="preserve"> {</w:t>
      </w:r>
    </w:p>
    <w:p w14:paraId="24C901F2" w14:textId="77777777" w:rsidR="00394471" w:rsidRPr="00FA0D37" w:rsidRDefault="00394471" w:rsidP="00FA0D37">
      <w:pPr>
        <w:pStyle w:val="PL"/>
        <w:rPr>
          <w:color w:val="808080"/>
        </w:rPr>
      </w:pPr>
      <w:r w:rsidRPr="00FA0D37">
        <w:t xml:space="preserve">    dl-DCCH-MessageNR-r16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 xml:space="preserve">, </w:t>
      </w:r>
      <w:r w:rsidRPr="00FA0D37">
        <w:rPr>
          <w:color w:val="808080"/>
        </w:rPr>
        <w:t>-- Need N</w:t>
      </w:r>
    </w:p>
    <w:p w14:paraId="4E5C55AA" w14:textId="77777777" w:rsidR="00394471" w:rsidRPr="00FA0D37" w:rsidRDefault="00394471" w:rsidP="00FA0D37">
      <w:pPr>
        <w:pStyle w:val="PL"/>
        <w:rPr>
          <w:color w:val="808080"/>
        </w:rPr>
      </w:pPr>
      <w:r w:rsidRPr="00FA0D37">
        <w:t xml:space="preserve">    dl-DCCH-MessageEUTRA-r16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 xml:space="preserve">, </w:t>
      </w:r>
      <w:r w:rsidRPr="00FA0D37">
        <w:rPr>
          <w:color w:val="808080"/>
        </w:rPr>
        <w:t>-- Need N</w:t>
      </w:r>
    </w:p>
    <w:p w14:paraId="474F2FCD"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3E9AB88"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766654FF" w14:textId="77777777" w:rsidR="00394471" w:rsidRPr="00FA0D37" w:rsidRDefault="00394471" w:rsidP="00FA0D37">
      <w:pPr>
        <w:pStyle w:val="PL"/>
      </w:pPr>
      <w:r w:rsidRPr="00FA0D37">
        <w:t>}</w:t>
      </w:r>
    </w:p>
    <w:p w14:paraId="4ED7BD9C" w14:textId="77777777" w:rsidR="00394471" w:rsidRPr="00FA0D37" w:rsidRDefault="00394471" w:rsidP="00FA0D37">
      <w:pPr>
        <w:pStyle w:val="PL"/>
      </w:pPr>
    </w:p>
    <w:p w14:paraId="4591F6FE" w14:textId="77777777" w:rsidR="00394471" w:rsidRPr="00FA0D37" w:rsidRDefault="00394471" w:rsidP="00FA0D37">
      <w:pPr>
        <w:pStyle w:val="PL"/>
        <w:rPr>
          <w:color w:val="808080"/>
        </w:rPr>
      </w:pPr>
      <w:r w:rsidRPr="00FA0D37">
        <w:rPr>
          <w:color w:val="808080"/>
        </w:rPr>
        <w:lastRenderedPageBreak/>
        <w:t>-- TAG-DLINFORMATIONTRANSFERMRDC-STOP</w:t>
      </w:r>
    </w:p>
    <w:p w14:paraId="0BBD48A4" w14:textId="77777777" w:rsidR="00394471" w:rsidRPr="00FA0D37" w:rsidRDefault="00394471" w:rsidP="00FA0D37">
      <w:pPr>
        <w:pStyle w:val="PL"/>
        <w:rPr>
          <w:color w:val="808080"/>
        </w:rPr>
      </w:pPr>
      <w:r w:rsidRPr="00FA0D37">
        <w:rPr>
          <w:color w:val="808080"/>
        </w:rPr>
        <w:t>-- ASN1STOP</w:t>
      </w:r>
    </w:p>
    <w:p w14:paraId="7798714C" w14:textId="77777777" w:rsidR="00394471" w:rsidRPr="00FA0D37" w:rsidRDefault="00394471" w:rsidP="00394471">
      <w:pPr>
        <w:pStyle w:val="PL"/>
      </w:pPr>
    </w:p>
    <w:p w14:paraId="2E3F79E1" w14:textId="77777777" w:rsidR="00394471" w:rsidRPr="00FA0D3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5665BCF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337D96" w14:textId="77777777" w:rsidR="00394471" w:rsidRPr="00FA0D37" w:rsidRDefault="00394471" w:rsidP="00964CC4">
            <w:pPr>
              <w:pStyle w:val="TAH"/>
              <w:rPr>
                <w:lang w:eastAsia="en-GB"/>
              </w:rPr>
            </w:pPr>
            <w:r w:rsidRPr="00FA0D37">
              <w:rPr>
                <w:i/>
                <w:noProof/>
                <w:lang w:eastAsia="en-GB"/>
              </w:rPr>
              <w:t xml:space="preserve">DLInformationTransferMRDC </w:t>
            </w:r>
            <w:r w:rsidRPr="00FA0D37">
              <w:rPr>
                <w:iCs/>
                <w:noProof/>
                <w:lang w:eastAsia="en-GB"/>
              </w:rPr>
              <w:t>field descriptions</w:t>
            </w:r>
          </w:p>
        </w:tc>
      </w:tr>
      <w:tr w:rsidR="005C7FF4" w:rsidRPr="00FA0D37" w14:paraId="7AA5C53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0ED833" w14:textId="77777777" w:rsidR="00394471" w:rsidRPr="00FA0D37" w:rsidRDefault="00394471" w:rsidP="00964CC4">
            <w:pPr>
              <w:pStyle w:val="TAL"/>
              <w:rPr>
                <w:b/>
                <w:bCs/>
                <w:i/>
                <w:noProof/>
                <w:lang w:eastAsia="en-GB"/>
              </w:rPr>
            </w:pPr>
            <w:r w:rsidRPr="00FA0D37">
              <w:rPr>
                <w:b/>
                <w:bCs/>
                <w:i/>
                <w:noProof/>
                <w:lang w:eastAsia="en-GB"/>
              </w:rPr>
              <w:t>dl-DCCH-MessageNR</w:t>
            </w:r>
          </w:p>
          <w:p w14:paraId="0C88E42A" w14:textId="77777777" w:rsidR="00394471" w:rsidRPr="00FA0D37" w:rsidRDefault="00394471" w:rsidP="00964CC4">
            <w:pPr>
              <w:pStyle w:val="TAL"/>
              <w:rPr>
                <w:b/>
                <w:bCs/>
                <w:i/>
                <w:noProof/>
                <w:lang w:eastAsia="en-GB"/>
              </w:rPr>
            </w:pPr>
            <w:r w:rsidRPr="00FA0D37">
              <w:rPr>
                <w:lang w:eastAsia="en-GB"/>
              </w:rPr>
              <w:t xml:space="preserve">Includes the </w:t>
            </w:r>
            <w:r w:rsidRPr="00FA0D37">
              <w:rPr>
                <w:i/>
                <w:lang w:eastAsia="en-GB"/>
              </w:rPr>
              <w:t>DL-DCCH-Message</w:t>
            </w:r>
            <w:r w:rsidRPr="00FA0D37">
              <w:rPr>
                <w:lang w:eastAsia="en-GB"/>
              </w:rPr>
              <w:t xml:space="preserve">. In this version of the specification, the field is only used to transfer the NR </w:t>
            </w:r>
            <w:r w:rsidRPr="00FA0D37">
              <w:rPr>
                <w:i/>
                <w:lang w:eastAsia="en-GB"/>
              </w:rPr>
              <w:t>RRCReconfiguration,</w:t>
            </w:r>
            <w:r w:rsidRPr="00FA0D37">
              <w:rPr>
                <w:lang w:eastAsia="en-GB"/>
              </w:rPr>
              <w:t xml:space="preserve"> </w:t>
            </w:r>
            <w:r w:rsidRPr="00FA0D37">
              <w:rPr>
                <w:i/>
                <w:lang w:eastAsia="en-GB"/>
              </w:rPr>
              <w:t>RRCRelease,</w:t>
            </w:r>
            <w:r w:rsidRPr="00FA0D37">
              <w:t xml:space="preserve"> and </w:t>
            </w:r>
            <w:r w:rsidRPr="00FA0D37">
              <w:rPr>
                <w:i/>
              </w:rPr>
              <w:t>MobilityFromNRCommand</w:t>
            </w:r>
            <w:r w:rsidRPr="00FA0D37">
              <w:rPr>
                <w:lang w:eastAsia="sv-SE"/>
              </w:rPr>
              <w:t xml:space="preserve"> </w:t>
            </w:r>
            <w:r w:rsidRPr="00FA0D37">
              <w:rPr>
                <w:lang w:eastAsia="en-GB"/>
              </w:rPr>
              <w:t>messages.</w:t>
            </w:r>
          </w:p>
        </w:tc>
      </w:tr>
      <w:tr w:rsidR="00394471" w:rsidRPr="00FA0D37" w14:paraId="775E94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8CDF3F" w14:textId="77777777" w:rsidR="00394471" w:rsidRPr="00FA0D37" w:rsidRDefault="00394471" w:rsidP="00964CC4">
            <w:pPr>
              <w:pStyle w:val="TAL"/>
              <w:rPr>
                <w:b/>
                <w:bCs/>
                <w:i/>
                <w:noProof/>
                <w:lang w:eastAsia="en-GB"/>
              </w:rPr>
            </w:pPr>
            <w:r w:rsidRPr="00FA0D37">
              <w:rPr>
                <w:b/>
                <w:bCs/>
                <w:i/>
                <w:noProof/>
                <w:lang w:eastAsia="en-GB"/>
              </w:rPr>
              <w:t>dl-DCCH-MessageEUTRA</w:t>
            </w:r>
          </w:p>
          <w:p w14:paraId="6B5D5A50" w14:textId="77777777" w:rsidR="00394471" w:rsidRPr="00FA0D37" w:rsidRDefault="00394471" w:rsidP="00964CC4">
            <w:pPr>
              <w:pStyle w:val="TAL"/>
              <w:rPr>
                <w:lang w:eastAsia="en-GB"/>
              </w:rPr>
            </w:pPr>
            <w:r w:rsidRPr="00FA0D37">
              <w:rPr>
                <w:bCs/>
                <w:noProof/>
                <w:lang w:eastAsia="en-GB"/>
              </w:rPr>
              <w:t xml:space="preserve">Includes the </w:t>
            </w:r>
            <w:r w:rsidRPr="00FA0D37">
              <w:rPr>
                <w:bCs/>
                <w:i/>
                <w:noProof/>
                <w:lang w:eastAsia="en-GB"/>
              </w:rPr>
              <w:t>DL-DCCH-Message</w:t>
            </w:r>
            <w:r w:rsidRPr="00FA0D37">
              <w:rPr>
                <w:bCs/>
                <w:noProof/>
                <w:lang w:eastAsia="en-GB"/>
              </w:rPr>
              <w:t xml:space="preserve">. In this version of the specification, the field is only used to transfer the E-UTRA </w:t>
            </w:r>
            <w:r w:rsidRPr="00FA0D37">
              <w:rPr>
                <w:bCs/>
                <w:i/>
                <w:noProof/>
                <w:lang w:eastAsia="en-GB"/>
              </w:rPr>
              <w:t>RRCConnectionReconfiguration,</w:t>
            </w:r>
            <w:r w:rsidRPr="00FA0D37">
              <w:rPr>
                <w:bCs/>
                <w:noProof/>
                <w:lang w:eastAsia="en-GB"/>
              </w:rPr>
              <w:t xml:space="preserve"> </w:t>
            </w:r>
            <w:r w:rsidRPr="00FA0D37">
              <w:rPr>
                <w:bCs/>
                <w:i/>
                <w:noProof/>
                <w:lang w:eastAsia="en-GB"/>
              </w:rPr>
              <w:t>RRCConnectionRelease</w:t>
            </w:r>
            <w:r w:rsidRPr="00FA0D37">
              <w:rPr>
                <w:bCs/>
                <w:iCs/>
                <w:noProof/>
              </w:rPr>
              <w:t xml:space="preserve">, and </w:t>
            </w:r>
            <w:r w:rsidRPr="00FA0D37">
              <w:rPr>
                <w:i/>
              </w:rPr>
              <w:t>MobilityFromEUTRACommand</w:t>
            </w:r>
            <w:r w:rsidRPr="00FA0D37">
              <w:rPr>
                <w:bCs/>
                <w:noProof/>
                <w:lang w:eastAsia="en-GB"/>
              </w:rPr>
              <w:t xml:space="preserve"> messages as specified in </w:t>
            </w:r>
            <w:r w:rsidRPr="00FA0D37">
              <w:rPr>
                <w:lang w:eastAsia="sv-SE"/>
              </w:rPr>
              <w:t>TS 36.331 [10]</w:t>
            </w:r>
            <w:r w:rsidRPr="00FA0D37">
              <w:rPr>
                <w:bCs/>
                <w:noProof/>
                <w:lang w:eastAsia="en-GB"/>
              </w:rPr>
              <w:t>.</w:t>
            </w:r>
          </w:p>
        </w:tc>
      </w:tr>
    </w:tbl>
    <w:p w14:paraId="027463B3" w14:textId="77777777" w:rsidR="00394471" w:rsidRPr="00FA0D37" w:rsidRDefault="00394471" w:rsidP="00394471"/>
    <w:p w14:paraId="4621721D" w14:textId="77777777" w:rsidR="00394471" w:rsidRPr="00FA0D37" w:rsidRDefault="00394471" w:rsidP="00394471">
      <w:pPr>
        <w:pStyle w:val="4"/>
      </w:pPr>
      <w:bookmarkStart w:id="467" w:name="_Toc60777096"/>
      <w:bookmarkStart w:id="468" w:name="_Toc146781130"/>
      <w:r w:rsidRPr="00FA0D37">
        <w:t>–</w:t>
      </w:r>
      <w:r w:rsidRPr="00FA0D37">
        <w:tab/>
      </w:r>
      <w:r w:rsidRPr="00FA0D37">
        <w:rPr>
          <w:i/>
          <w:noProof/>
        </w:rPr>
        <w:t>FailureInformation</w:t>
      </w:r>
      <w:bookmarkEnd w:id="467"/>
      <w:bookmarkEnd w:id="468"/>
    </w:p>
    <w:p w14:paraId="0C23A333" w14:textId="77777777" w:rsidR="00394471" w:rsidRPr="00FA0D37" w:rsidRDefault="00394471" w:rsidP="00394471">
      <w:r w:rsidRPr="00FA0D37">
        <w:t xml:space="preserve">The </w:t>
      </w:r>
      <w:r w:rsidRPr="00FA0D37">
        <w:rPr>
          <w:i/>
          <w:noProof/>
        </w:rPr>
        <w:t>FailureInformation</w:t>
      </w:r>
      <w:r w:rsidRPr="00FA0D37">
        <w:t xml:space="preserve"> message is used to inform the network about a failure detected by the UE.</w:t>
      </w:r>
    </w:p>
    <w:p w14:paraId="4E388BC8" w14:textId="77777777" w:rsidR="00394471" w:rsidRPr="00FA0D37" w:rsidRDefault="00394471" w:rsidP="00394471">
      <w:pPr>
        <w:pStyle w:val="B1"/>
        <w:keepNext/>
        <w:keepLines/>
      </w:pPr>
      <w:r w:rsidRPr="00FA0D37">
        <w:t>Signalling radio bearer: SRB1 or SRB3</w:t>
      </w:r>
    </w:p>
    <w:p w14:paraId="6A575098" w14:textId="77777777" w:rsidR="00394471" w:rsidRPr="00FA0D37" w:rsidRDefault="00394471" w:rsidP="00394471">
      <w:pPr>
        <w:pStyle w:val="B1"/>
      </w:pPr>
      <w:r w:rsidRPr="00FA0D37">
        <w:t>RLC-SAP: AM</w:t>
      </w:r>
    </w:p>
    <w:p w14:paraId="32BBC85D" w14:textId="77777777" w:rsidR="00394471" w:rsidRPr="00FA0D37" w:rsidRDefault="00394471" w:rsidP="00394471">
      <w:pPr>
        <w:pStyle w:val="B1"/>
      </w:pPr>
      <w:r w:rsidRPr="00FA0D37">
        <w:t>Logical channel: DCCH</w:t>
      </w:r>
    </w:p>
    <w:p w14:paraId="690255E6" w14:textId="77777777" w:rsidR="00394471" w:rsidRPr="00FA0D37" w:rsidRDefault="00394471" w:rsidP="00394471">
      <w:pPr>
        <w:pStyle w:val="B1"/>
      </w:pPr>
      <w:r w:rsidRPr="00FA0D37">
        <w:t>Direction: UE to network</w:t>
      </w:r>
    </w:p>
    <w:p w14:paraId="19A648A6" w14:textId="77777777" w:rsidR="00394471" w:rsidRPr="00FA0D37" w:rsidRDefault="00394471" w:rsidP="00394471">
      <w:pPr>
        <w:pStyle w:val="TH"/>
        <w:rPr>
          <w:bCs/>
          <w:i/>
          <w:iCs/>
        </w:rPr>
      </w:pPr>
      <w:r w:rsidRPr="00FA0D37">
        <w:rPr>
          <w:bCs/>
          <w:i/>
          <w:iCs/>
          <w:noProof/>
        </w:rPr>
        <w:t>FailureInformation message</w:t>
      </w:r>
    </w:p>
    <w:p w14:paraId="1B3DD7F5" w14:textId="77777777" w:rsidR="00394471" w:rsidRPr="00FA0D37" w:rsidRDefault="00394471" w:rsidP="00FA0D37">
      <w:pPr>
        <w:pStyle w:val="PL"/>
        <w:rPr>
          <w:color w:val="808080"/>
        </w:rPr>
      </w:pPr>
      <w:r w:rsidRPr="00FA0D37">
        <w:rPr>
          <w:color w:val="808080"/>
        </w:rPr>
        <w:t>-- ASN1START</w:t>
      </w:r>
    </w:p>
    <w:p w14:paraId="2E9288B4" w14:textId="77777777" w:rsidR="00394471" w:rsidRPr="00FA0D37" w:rsidRDefault="00394471" w:rsidP="00FA0D37">
      <w:pPr>
        <w:pStyle w:val="PL"/>
        <w:rPr>
          <w:color w:val="808080"/>
        </w:rPr>
      </w:pPr>
      <w:r w:rsidRPr="00FA0D37">
        <w:rPr>
          <w:color w:val="808080"/>
        </w:rPr>
        <w:t>-- TAG-FAILUREINFORMATION-START</w:t>
      </w:r>
    </w:p>
    <w:p w14:paraId="46932BCB" w14:textId="77777777" w:rsidR="00394471" w:rsidRPr="00FA0D37" w:rsidRDefault="00394471" w:rsidP="00FA0D37">
      <w:pPr>
        <w:pStyle w:val="PL"/>
      </w:pPr>
    </w:p>
    <w:p w14:paraId="1703F2C0" w14:textId="77777777" w:rsidR="00394471" w:rsidRPr="00FA0D37" w:rsidRDefault="00394471" w:rsidP="00FA0D37">
      <w:pPr>
        <w:pStyle w:val="PL"/>
      </w:pPr>
      <w:r w:rsidRPr="00FA0D37">
        <w:t xml:space="preserve">FailureInformation ::=         </w:t>
      </w:r>
      <w:r w:rsidRPr="00FA0D37">
        <w:rPr>
          <w:color w:val="993366"/>
        </w:rPr>
        <w:t>SEQUENCE</w:t>
      </w:r>
      <w:r w:rsidRPr="00FA0D37">
        <w:t xml:space="preserve"> {</w:t>
      </w:r>
    </w:p>
    <w:p w14:paraId="0D8467BA"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2B8BF1FC" w14:textId="77777777" w:rsidR="00394471" w:rsidRPr="00FA0D37" w:rsidRDefault="00394471" w:rsidP="00FA0D37">
      <w:pPr>
        <w:pStyle w:val="PL"/>
      </w:pPr>
      <w:r w:rsidRPr="00FA0D37">
        <w:t xml:space="preserve">        failureInformation             FailureInformation-IEs,</w:t>
      </w:r>
    </w:p>
    <w:p w14:paraId="32CF18DB"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4DF947E6" w14:textId="77777777" w:rsidR="00394471" w:rsidRPr="00FA0D37" w:rsidRDefault="00394471" w:rsidP="00FA0D37">
      <w:pPr>
        <w:pStyle w:val="PL"/>
      </w:pPr>
      <w:r w:rsidRPr="00FA0D37">
        <w:t xml:space="preserve">    }</w:t>
      </w:r>
    </w:p>
    <w:p w14:paraId="6F482130" w14:textId="77777777" w:rsidR="00394471" w:rsidRPr="00FA0D37" w:rsidRDefault="00394471" w:rsidP="00FA0D37">
      <w:pPr>
        <w:pStyle w:val="PL"/>
      </w:pPr>
      <w:r w:rsidRPr="00FA0D37">
        <w:t>}</w:t>
      </w:r>
    </w:p>
    <w:p w14:paraId="3D2E1816" w14:textId="77777777" w:rsidR="00394471" w:rsidRPr="00FA0D37" w:rsidRDefault="00394471" w:rsidP="00FA0D37">
      <w:pPr>
        <w:pStyle w:val="PL"/>
      </w:pPr>
    </w:p>
    <w:p w14:paraId="2C5EE254" w14:textId="77777777" w:rsidR="00394471" w:rsidRPr="00FA0D37" w:rsidRDefault="00394471" w:rsidP="00FA0D37">
      <w:pPr>
        <w:pStyle w:val="PL"/>
      </w:pPr>
      <w:r w:rsidRPr="00FA0D37">
        <w:t xml:space="preserve">FailureInformation-IEs ::=     </w:t>
      </w:r>
      <w:r w:rsidRPr="00FA0D37">
        <w:rPr>
          <w:color w:val="993366"/>
        </w:rPr>
        <w:t>SEQUENCE</w:t>
      </w:r>
      <w:r w:rsidRPr="00FA0D37">
        <w:t xml:space="preserve"> {</w:t>
      </w:r>
    </w:p>
    <w:p w14:paraId="4F1D7E4A" w14:textId="77777777" w:rsidR="00394471" w:rsidRPr="00FA0D37" w:rsidRDefault="00394471" w:rsidP="00FA0D37">
      <w:pPr>
        <w:pStyle w:val="PL"/>
      </w:pPr>
      <w:r w:rsidRPr="00FA0D37">
        <w:t xml:space="preserve">    failureInfoRLC-Bearer          FailureInfoRLC-Bearer        </w:t>
      </w:r>
      <w:r w:rsidRPr="00FA0D37">
        <w:rPr>
          <w:color w:val="993366"/>
        </w:rPr>
        <w:t>OPTIONAL</w:t>
      </w:r>
      <w:r w:rsidRPr="00FA0D37">
        <w:t>,</w:t>
      </w:r>
    </w:p>
    <w:p w14:paraId="3982CB8D"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9C7C4ED" w14:textId="77777777" w:rsidR="00394471" w:rsidRPr="00FA0D37" w:rsidRDefault="00394471" w:rsidP="00FA0D37">
      <w:pPr>
        <w:pStyle w:val="PL"/>
      </w:pPr>
      <w:r w:rsidRPr="00FA0D37">
        <w:t xml:space="preserve">    nonCriticalExtension           FailureInformation-v1610-IEs </w:t>
      </w:r>
      <w:r w:rsidRPr="00FA0D37">
        <w:rPr>
          <w:color w:val="993366"/>
        </w:rPr>
        <w:t>OPTIONAL</w:t>
      </w:r>
    </w:p>
    <w:p w14:paraId="2FDA96BC" w14:textId="77777777" w:rsidR="00394471" w:rsidRPr="00FA0D37" w:rsidRDefault="00394471" w:rsidP="00FA0D37">
      <w:pPr>
        <w:pStyle w:val="PL"/>
      </w:pPr>
      <w:r w:rsidRPr="00FA0D37">
        <w:t>}</w:t>
      </w:r>
    </w:p>
    <w:p w14:paraId="6FD56D94" w14:textId="77777777" w:rsidR="00394471" w:rsidRPr="00FA0D37" w:rsidRDefault="00394471" w:rsidP="00FA0D37">
      <w:pPr>
        <w:pStyle w:val="PL"/>
      </w:pPr>
    </w:p>
    <w:p w14:paraId="69D9CB50" w14:textId="77777777" w:rsidR="00394471" w:rsidRPr="00FA0D37" w:rsidRDefault="00394471" w:rsidP="00FA0D37">
      <w:pPr>
        <w:pStyle w:val="PL"/>
      </w:pPr>
      <w:r w:rsidRPr="00FA0D37">
        <w:t xml:space="preserve">FailureInfoRLC-Bearer ::=      </w:t>
      </w:r>
      <w:r w:rsidRPr="00FA0D37">
        <w:rPr>
          <w:color w:val="993366"/>
        </w:rPr>
        <w:t>SEQUENCE</w:t>
      </w:r>
      <w:r w:rsidRPr="00FA0D37">
        <w:t xml:space="preserve"> {</w:t>
      </w:r>
    </w:p>
    <w:p w14:paraId="6359A256" w14:textId="77777777" w:rsidR="00394471" w:rsidRPr="00FA0D37" w:rsidRDefault="00394471" w:rsidP="00FA0D37">
      <w:pPr>
        <w:pStyle w:val="PL"/>
      </w:pPr>
      <w:r w:rsidRPr="00FA0D37">
        <w:t xml:space="preserve">    cellGroupId                    CellGroupId,</w:t>
      </w:r>
    </w:p>
    <w:p w14:paraId="00B5BB20" w14:textId="77777777" w:rsidR="00394471" w:rsidRPr="00FA0D37" w:rsidRDefault="00394471" w:rsidP="00FA0D37">
      <w:pPr>
        <w:pStyle w:val="PL"/>
      </w:pPr>
      <w:r w:rsidRPr="00FA0D37">
        <w:t xml:space="preserve">    logicalChannelIdentity         LogicalChannelIdentity,</w:t>
      </w:r>
    </w:p>
    <w:p w14:paraId="56D87418" w14:textId="77777777" w:rsidR="00394471" w:rsidRPr="00FA0D37" w:rsidRDefault="00394471" w:rsidP="00FA0D37">
      <w:pPr>
        <w:pStyle w:val="PL"/>
      </w:pPr>
      <w:r w:rsidRPr="00FA0D37">
        <w:lastRenderedPageBreak/>
        <w:t xml:space="preserve">    failureType                    </w:t>
      </w:r>
      <w:r w:rsidRPr="00FA0D37">
        <w:rPr>
          <w:color w:val="993366"/>
        </w:rPr>
        <w:t>ENUMERATED</w:t>
      </w:r>
      <w:r w:rsidRPr="00FA0D37">
        <w:t xml:space="preserve"> {rlc-failure, spare3, spare2, spare1}</w:t>
      </w:r>
    </w:p>
    <w:p w14:paraId="48EAA2C6" w14:textId="77777777" w:rsidR="00394471" w:rsidRPr="00FA0D37" w:rsidRDefault="00394471" w:rsidP="00FA0D37">
      <w:pPr>
        <w:pStyle w:val="PL"/>
      </w:pPr>
      <w:r w:rsidRPr="00FA0D37">
        <w:t>}</w:t>
      </w:r>
    </w:p>
    <w:p w14:paraId="6C735401" w14:textId="77777777" w:rsidR="00394471" w:rsidRPr="00FA0D37" w:rsidRDefault="00394471" w:rsidP="00FA0D37">
      <w:pPr>
        <w:pStyle w:val="PL"/>
      </w:pPr>
    </w:p>
    <w:p w14:paraId="1F6A8E8B" w14:textId="77777777" w:rsidR="00394471" w:rsidRPr="00FA0D37" w:rsidRDefault="00394471" w:rsidP="00FA0D37">
      <w:pPr>
        <w:pStyle w:val="PL"/>
      </w:pPr>
      <w:r w:rsidRPr="00FA0D37">
        <w:t xml:space="preserve">FailureInformation-v1610-IEs ::= </w:t>
      </w:r>
      <w:r w:rsidRPr="00FA0D37">
        <w:rPr>
          <w:color w:val="993366"/>
        </w:rPr>
        <w:t>SEQUENCE</w:t>
      </w:r>
      <w:r w:rsidRPr="00FA0D37">
        <w:t xml:space="preserve"> {</w:t>
      </w:r>
    </w:p>
    <w:p w14:paraId="55EB3ECA" w14:textId="77777777" w:rsidR="00394471" w:rsidRPr="00FA0D37" w:rsidRDefault="00394471" w:rsidP="00FA0D37">
      <w:pPr>
        <w:pStyle w:val="PL"/>
      </w:pPr>
      <w:r w:rsidRPr="00FA0D37">
        <w:t xml:space="preserve">    failureInfoDAPS-r16              FailureInfoDAPS-r16        </w:t>
      </w:r>
      <w:r w:rsidRPr="00FA0D37">
        <w:rPr>
          <w:color w:val="993366"/>
        </w:rPr>
        <w:t>OPTIONAL</w:t>
      </w:r>
      <w:r w:rsidRPr="00FA0D37">
        <w:t>,</w:t>
      </w:r>
    </w:p>
    <w:p w14:paraId="3CD4B27C"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46D0167D" w14:textId="77777777" w:rsidR="00394471" w:rsidRPr="00FA0D37" w:rsidRDefault="00394471" w:rsidP="00FA0D37">
      <w:pPr>
        <w:pStyle w:val="PL"/>
      </w:pPr>
      <w:r w:rsidRPr="00FA0D37">
        <w:t>}</w:t>
      </w:r>
    </w:p>
    <w:p w14:paraId="37FB9247" w14:textId="77777777" w:rsidR="00394471" w:rsidRPr="00FA0D37" w:rsidRDefault="00394471" w:rsidP="00FA0D37">
      <w:pPr>
        <w:pStyle w:val="PL"/>
      </w:pPr>
    </w:p>
    <w:p w14:paraId="4927719A" w14:textId="77777777" w:rsidR="00394471" w:rsidRPr="00FA0D37" w:rsidRDefault="00394471" w:rsidP="00FA0D37">
      <w:pPr>
        <w:pStyle w:val="PL"/>
      </w:pPr>
      <w:r w:rsidRPr="00FA0D37">
        <w:t xml:space="preserve">FailureInfoDAPS-r16 ::=          </w:t>
      </w:r>
      <w:r w:rsidRPr="00FA0D37">
        <w:rPr>
          <w:color w:val="993366"/>
        </w:rPr>
        <w:t>SEQUENCE</w:t>
      </w:r>
      <w:r w:rsidRPr="00FA0D37">
        <w:t xml:space="preserve"> {</w:t>
      </w:r>
    </w:p>
    <w:p w14:paraId="093E098D" w14:textId="77777777" w:rsidR="00394471" w:rsidRPr="00FA0D37" w:rsidRDefault="00394471" w:rsidP="00FA0D37">
      <w:pPr>
        <w:pStyle w:val="PL"/>
      </w:pPr>
      <w:r w:rsidRPr="00FA0D37">
        <w:t xml:space="preserve">    failureType-r16                  </w:t>
      </w:r>
      <w:r w:rsidRPr="00FA0D37">
        <w:rPr>
          <w:color w:val="993366"/>
        </w:rPr>
        <w:t>ENUMERATED</w:t>
      </w:r>
      <w:r w:rsidRPr="00FA0D37">
        <w:t xml:space="preserve"> {daps-failure, spare3, spare2, spare1}</w:t>
      </w:r>
    </w:p>
    <w:p w14:paraId="2C010937" w14:textId="77777777" w:rsidR="00394471" w:rsidRPr="00FA0D37" w:rsidRDefault="00394471" w:rsidP="00FA0D37">
      <w:pPr>
        <w:pStyle w:val="PL"/>
      </w:pPr>
      <w:r w:rsidRPr="00FA0D37">
        <w:t>}</w:t>
      </w:r>
    </w:p>
    <w:p w14:paraId="3ECB5627" w14:textId="77777777" w:rsidR="00394471" w:rsidRPr="00FA0D37" w:rsidRDefault="00394471" w:rsidP="00FA0D37">
      <w:pPr>
        <w:pStyle w:val="PL"/>
      </w:pPr>
    </w:p>
    <w:p w14:paraId="19B4E179" w14:textId="77777777" w:rsidR="00394471" w:rsidRPr="00FA0D37" w:rsidRDefault="00394471" w:rsidP="00FA0D37">
      <w:pPr>
        <w:pStyle w:val="PL"/>
        <w:rPr>
          <w:color w:val="808080"/>
        </w:rPr>
      </w:pPr>
      <w:r w:rsidRPr="00FA0D37">
        <w:rPr>
          <w:color w:val="808080"/>
        </w:rPr>
        <w:t>-- TAG-FAILUREINFORMATION-STOP</w:t>
      </w:r>
    </w:p>
    <w:p w14:paraId="4B3AA77D" w14:textId="77777777" w:rsidR="00394471" w:rsidRPr="00FA0D37" w:rsidRDefault="00394471" w:rsidP="00FA0D37">
      <w:pPr>
        <w:pStyle w:val="PL"/>
        <w:rPr>
          <w:color w:val="808080"/>
        </w:rPr>
      </w:pPr>
      <w:r w:rsidRPr="00FA0D37">
        <w:rPr>
          <w:color w:val="808080"/>
        </w:rPr>
        <w:t>-- ASN1STOP</w:t>
      </w:r>
    </w:p>
    <w:p w14:paraId="243839A8" w14:textId="77777777" w:rsidR="00394471" w:rsidRPr="00FA0D37" w:rsidRDefault="00394471" w:rsidP="00394471"/>
    <w:p w14:paraId="1C08B44E" w14:textId="77777777" w:rsidR="00394471" w:rsidRPr="00FA0D37" w:rsidRDefault="00394471" w:rsidP="00394471">
      <w:pPr>
        <w:pStyle w:val="4"/>
        <w:rPr>
          <w:rFonts w:eastAsia="宋体"/>
          <w:lang w:eastAsia="zh-CN"/>
        </w:rPr>
      </w:pPr>
      <w:bookmarkStart w:id="469" w:name="_Toc60777097"/>
      <w:bookmarkStart w:id="470" w:name="_Toc146781131"/>
      <w:r w:rsidRPr="00FA0D37">
        <w:t>–</w:t>
      </w:r>
      <w:r w:rsidRPr="00FA0D37">
        <w:tab/>
      </w:r>
      <w:r w:rsidRPr="00FA0D37">
        <w:rPr>
          <w:rFonts w:eastAsia="宋体"/>
          <w:i/>
          <w:iCs/>
          <w:lang w:eastAsia="zh-CN"/>
        </w:rPr>
        <w:t>IABOtherInformation</w:t>
      </w:r>
      <w:bookmarkEnd w:id="469"/>
      <w:bookmarkEnd w:id="470"/>
    </w:p>
    <w:p w14:paraId="14F9D8C0" w14:textId="77777777" w:rsidR="00394471" w:rsidRPr="00FA0D37" w:rsidRDefault="00394471" w:rsidP="00394471">
      <w:r w:rsidRPr="00FA0D37">
        <w:t xml:space="preserve">The </w:t>
      </w:r>
      <w:r w:rsidRPr="00FA0D37">
        <w:rPr>
          <w:rFonts w:eastAsia="宋体"/>
          <w:i/>
          <w:lang w:eastAsia="zh-CN"/>
        </w:rPr>
        <w:t xml:space="preserve">IABOtherInformation </w:t>
      </w:r>
      <w:r w:rsidRPr="00FA0D37">
        <w:rPr>
          <w:iCs/>
        </w:rPr>
        <w:t xml:space="preserve">message </w:t>
      </w:r>
      <w:r w:rsidRPr="00FA0D37">
        <w:t xml:space="preserve">is used by IAB-MT to request the network to allocate IP addresses for </w:t>
      </w:r>
      <w:r w:rsidRPr="00FA0D37">
        <w:rPr>
          <w:rFonts w:eastAsia="宋体"/>
          <w:lang w:eastAsia="zh-CN"/>
        </w:rPr>
        <w:t>the collocated IAB-DU</w:t>
      </w:r>
      <w:r w:rsidRPr="00FA0D37">
        <w:t xml:space="preserve"> or inform the network about IP addresses allocated to the collocated IAB-DU.</w:t>
      </w:r>
    </w:p>
    <w:p w14:paraId="4FFCEB02" w14:textId="77777777" w:rsidR="00394471" w:rsidRPr="00FA0D37" w:rsidRDefault="00394471" w:rsidP="00394471">
      <w:pPr>
        <w:pStyle w:val="B1"/>
      </w:pPr>
      <w:r w:rsidRPr="00FA0D37">
        <w:t>Signalling radio bearer: SRB1 or SRB3</w:t>
      </w:r>
    </w:p>
    <w:p w14:paraId="34D07A7A" w14:textId="77777777" w:rsidR="00394471" w:rsidRPr="00FA0D37" w:rsidRDefault="00394471" w:rsidP="00394471">
      <w:pPr>
        <w:pStyle w:val="B1"/>
      </w:pPr>
      <w:r w:rsidRPr="00FA0D37">
        <w:t>RLC-SAP: AM</w:t>
      </w:r>
    </w:p>
    <w:p w14:paraId="3CF7707D" w14:textId="77777777" w:rsidR="00394471" w:rsidRPr="00FA0D37" w:rsidRDefault="00394471" w:rsidP="00394471">
      <w:pPr>
        <w:pStyle w:val="B1"/>
      </w:pPr>
      <w:r w:rsidRPr="00FA0D37">
        <w:t>Logical channel: DCCH</w:t>
      </w:r>
    </w:p>
    <w:p w14:paraId="7BA340E6" w14:textId="77777777" w:rsidR="00394471" w:rsidRPr="00FA0D37" w:rsidRDefault="00394471" w:rsidP="00394471">
      <w:pPr>
        <w:pStyle w:val="B1"/>
      </w:pPr>
      <w:r w:rsidRPr="00FA0D37">
        <w:t>Direction: IAB-MT to Network</w:t>
      </w:r>
    </w:p>
    <w:p w14:paraId="40FDC16C" w14:textId="77777777" w:rsidR="00394471" w:rsidRPr="00FA0D37" w:rsidRDefault="00394471" w:rsidP="00394471">
      <w:pPr>
        <w:pStyle w:val="TH"/>
      </w:pPr>
      <w:r w:rsidRPr="00FA0D37">
        <w:rPr>
          <w:rFonts w:eastAsia="宋体"/>
          <w:i/>
          <w:iCs/>
          <w:lang w:eastAsia="zh-CN"/>
        </w:rPr>
        <w:t>IABOtherInformation</w:t>
      </w:r>
      <w:r w:rsidRPr="00FA0D37">
        <w:rPr>
          <w:rFonts w:eastAsia="宋体"/>
          <w:lang w:eastAsia="zh-CN"/>
        </w:rPr>
        <w:t xml:space="preserve"> </w:t>
      </w:r>
      <w:r w:rsidRPr="00FA0D37">
        <w:t>message</w:t>
      </w:r>
    </w:p>
    <w:p w14:paraId="61F22E77" w14:textId="77777777" w:rsidR="00394471" w:rsidRPr="00FA0D37" w:rsidRDefault="00394471" w:rsidP="00FA0D37">
      <w:pPr>
        <w:pStyle w:val="PL"/>
        <w:rPr>
          <w:color w:val="808080"/>
        </w:rPr>
      </w:pPr>
      <w:r w:rsidRPr="00FA0D37">
        <w:rPr>
          <w:color w:val="808080"/>
        </w:rPr>
        <w:t>-- ASN1START</w:t>
      </w:r>
    </w:p>
    <w:p w14:paraId="22ED6A17" w14:textId="77777777" w:rsidR="00394471" w:rsidRPr="00FA0D37" w:rsidRDefault="00394471" w:rsidP="00FA0D37">
      <w:pPr>
        <w:pStyle w:val="PL"/>
        <w:rPr>
          <w:color w:val="808080"/>
        </w:rPr>
      </w:pPr>
      <w:r w:rsidRPr="00FA0D37">
        <w:rPr>
          <w:color w:val="808080"/>
        </w:rPr>
        <w:t>-- TAG-IABOTHERINFORMATION-START</w:t>
      </w:r>
    </w:p>
    <w:p w14:paraId="090BCC8D" w14:textId="77777777" w:rsidR="00394471" w:rsidRPr="00FA0D37" w:rsidRDefault="00394471" w:rsidP="00FA0D37">
      <w:pPr>
        <w:pStyle w:val="PL"/>
      </w:pPr>
    </w:p>
    <w:p w14:paraId="24B2E8AF" w14:textId="77777777" w:rsidR="00394471" w:rsidRPr="00FA0D37" w:rsidRDefault="00394471" w:rsidP="00FA0D37">
      <w:pPr>
        <w:pStyle w:val="PL"/>
      </w:pPr>
      <w:r w:rsidRPr="00FA0D37">
        <w:t xml:space="preserve">IABOtherInformation-r16 ::=     </w:t>
      </w:r>
      <w:r w:rsidRPr="00FA0D37">
        <w:rPr>
          <w:color w:val="993366"/>
        </w:rPr>
        <w:t>SEQUENCE</w:t>
      </w:r>
      <w:r w:rsidRPr="00FA0D37">
        <w:t xml:space="preserve"> {</w:t>
      </w:r>
    </w:p>
    <w:p w14:paraId="7E954289" w14:textId="77777777" w:rsidR="00394471" w:rsidRPr="00FA0D37" w:rsidRDefault="00394471" w:rsidP="00FA0D37">
      <w:pPr>
        <w:pStyle w:val="PL"/>
      </w:pPr>
      <w:r w:rsidRPr="00FA0D37">
        <w:t xml:space="preserve">    rrc-TransactionIdentifier       RRC-TransactionIdentifier,</w:t>
      </w:r>
    </w:p>
    <w:p w14:paraId="3F266E1E"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405B418D" w14:textId="77777777" w:rsidR="00394471" w:rsidRPr="00FA0D37" w:rsidRDefault="00394471" w:rsidP="00FA0D37">
      <w:pPr>
        <w:pStyle w:val="PL"/>
      </w:pPr>
      <w:r w:rsidRPr="00FA0D37">
        <w:t xml:space="preserve">        iabOtherInformation-r16         IABOtherInformation-r16-IEs,</w:t>
      </w:r>
    </w:p>
    <w:p w14:paraId="07EE9119"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66411B82" w14:textId="77777777" w:rsidR="00394471" w:rsidRPr="00FA0D37" w:rsidRDefault="00394471" w:rsidP="00FA0D37">
      <w:pPr>
        <w:pStyle w:val="PL"/>
      </w:pPr>
      <w:r w:rsidRPr="00FA0D37">
        <w:t xml:space="preserve">    }</w:t>
      </w:r>
    </w:p>
    <w:p w14:paraId="6AC9499A" w14:textId="77777777" w:rsidR="00394471" w:rsidRPr="00FA0D37" w:rsidRDefault="00394471" w:rsidP="00FA0D37">
      <w:pPr>
        <w:pStyle w:val="PL"/>
      </w:pPr>
      <w:r w:rsidRPr="00FA0D37">
        <w:t>}</w:t>
      </w:r>
    </w:p>
    <w:p w14:paraId="4719910E" w14:textId="77777777" w:rsidR="00394471" w:rsidRPr="00FA0D37" w:rsidRDefault="00394471" w:rsidP="00FA0D37">
      <w:pPr>
        <w:pStyle w:val="PL"/>
      </w:pPr>
    </w:p>
    <w:p w14:paraId="3ADEA685" w14:textId="77777777" w:rsidR="00394471" w:rsidRPr="00FA0D37" w:rsidRDefault="00394471" w:rsidP="00FA0D37">
      <w:pPr>
        <w:pStyle w:val="PL"/>
      </w:pPr>
      <w:r w:rsidRPr="00FA0D37">
        <w:t xml:space="preserve">IABOtherInformation-r16-IEs ::=         </w:t>
      </w:r>
      <w:r w:rsidRPr="00FA0D37">
        <w:rPr>
          <w:color w:val="993366"/>
        </w:rPr>
        <w:t>SEQUENCE</w:t>
      </w:r>
      <w:r w:rsidRPr="00FA0D37">
        <w:t xml:space="preserve"> {</w:t>
      </w:r>
    </w:p>
    <w:p w14:paraId="0AA70D64" w14:textId="77777777" w:rsidR="00394471" w:rsidRPr="00FA0D37" w:rsidRDefault="00394471" w:rsidP="00FA0D37">
      <w:pPr>
        <w:pStyle w:val="PL"/>
      </w:pPr>
      <w:r w:rsidRPr="00FA0D37">
        <w:t xml:space="preserve">    ip-InfoType-r16                         </w:t>
      </w:r>
      <w:r w:rsidRPr="00FA0D37">
        <w:rPr>
          <w:color w:val="993366"/>
        </w:rPr>
        <w:t>CHOICE</w:t>
      </w:r>
      <w:r w:rsidRPr="00FA0D37">
        <w:t xml:space="preserve"> {</w:t>
      </w:r>
    </w:p>
    <w:p w14:paraId="45B97D56" w14:textId="77777777" w:rsidR="00394471" w:rsidRPr="00FA0D37" w:rsidRDefault="00394471" w:rsidP="00FA0D37">
      <w:pPr>
        <w:pStyle w:val="PL"/>
      </w:pPr>
      <w:r w:rsidRPr="00FA0D37">
        <w:t xml:space="preserve">        iab-IP-Request-r16                      </w:t>
      </w:r>
      <w:r w:rsidRPr="00FA0D37">
        <w:rPr>
          <w:color w:val="993366"/>
        </w:rPr>
        <w:t>SEQUENCE</w:t>
      </w:r>
      <w:r w:rsidRPr="00FA0D37">
        <w:t xml:space="preserve"> {</w:t>
      </w:r>
    </w:p>
    <w:p w14:paraId="780A1512" w14:textId="77777777" w:rsidR="00394471" w:rsidRPr="00FA0D37" w:rsidRDefault="00394471" w:rsidP="00FA0D37">
      <w:pPr>
        <w:pStyle w:val="PL"/>
      </w:pPr>
      <w:r w:rsidRPr="00FA0D37">
        <w:t xml:space="preserve">            iab-IPv4-AddressNumReq-r16              IAB-IP-AddressNumReq-r16                </w:t>
      </w:r>
      <w:r w:rsidRPr="00FA0D37">
        <w:rPr>
          <w:color w:val="993366"/>
        </w:rPr>
        <w:t>OPTIONAL</w:t>
      </w:r>
      <w:r w:rsidRPr="00FA0D37">
        <w:t>,</w:t>
      </w:r>
    </w:p>
    <w:p w14:paraId="35D742A9" w14:textId="77777777" w:rsidR="00394471" w:rsidRPr="00FA0D37" w:rsidRDefault="00394471" w:rsidP="00FA0D37">
      <w:pPr>
        <w:pStyle w:val="PL"/>
      </w:pPr>
      <w:r w:rsidRPr="00FA0D37">
        <w:t xml:space="preserve">            iab-IPv6-AddressReq-r16                 </w:t>
      </w:r>
      <w:r w:rsidRPr="00FA0D37">
        <w:rPr>
          <w:color w:val="993366"/>
        </w:rPr>
        <w:t>CHOICE</w:t>
      </w:r>
      <w:r w:rsidRPr="00FA0D37">
        <w:t xml:space="preserve"> {</w:t>
      </w:r>
    </w:p>
    <w:p w14:paraId="1E250F42" w14:textId="77777777" w:rsidR="00394471" w:rsidRPr="00FA0D37" w:rsidRDefault="00394471" w:rsidP="00FA0D37">
      <w:pPr>
        <w:pStyle w:val="PL"/>
      </w:pPr>
      <w:r w:rsidRPr="00FA0D37">
        <w:t xml:space="preserve">                iab-IPv6-AddressNumReq-r16              IAB-IP-AddressNumReq-r16,</w:t>
      </w:r>
    </w:p>
    <w:p w14:paraId="0EC723DB" w14:textId="77777777" w:rsidR="00394471" w:rsidRPr="00FA0D37" w:rsidRDefault="00394471" w:rsidP="00FA0D37">
      <w:pPr>
        <w:pStyle w:val="PL"/>
      </w:pPr>
      <w:r w:rsidRPr="00FA0D37">
        <w:lastRenderedPageBreak/>
        <w:t xml:space="preserve">                iab-IPv6-AddressPrefixReq-r16           IAB-IP-AddressPrefixReq-r16,</w:t>
      </w:r>
    </w:p>
    <w:p w14:paraId="08B749FA" w14:textId="77777777" w:rsidR="00394471" w:rsidRPr="00FA0D37" w:rsidRDefault="00394471" w:rsidP="00FA0D37">
      <w:pPr>
        <w:pStyle w:val="PL"/>
      </w:pPr>
      <w:r w:rsidRPr="00FA0D37">
        <w:t xml:space="preserve">                ...</w:t>
      </w:r>
    </w:p>
    <w:p w14:paraId="7A9D9EE2" w14:textId="77777777" w:rsidR="00394471" w:rsidRPr="00FA0D37" w:rsidRDefault="00394471" w:rsidP="00FA0D37">
      <w:pPr>
        <w:pStyle w:val="PL"/>
      </w:pPr>
      <w:r w:rsidRPr="00FA0D37">
        <w:t xml:space="preserve">            }                                                                               </w:t>
      </w:r>
      <w:r w:rsidRPr="00FA0D37">
        <w:rPr>
          <w:color w:val="993366"/>
        </w:rPr>
        <w:t>OPTIONAL</w:t>
      </w:r>
    </w:p>
    <w:p w14:paraId="0BE5449B" w14:textId="77777777" w:rsidR="00394471" w:rsidRPr="00FA0D37" w:rsidRDefault="00394471" w:rsidP="00FA0D37">
      <w:pPr>
        <w:pStyle w:val="PL"/>
      </w:pPr>
      <w:r w:rsidRPr="00FA0D37">
        <w:t xml:space="preserve">        },</w:t>
      </w:r>
    </w:p>
    <w:p w14:paraId="7585B590" w14:textId="77777777" w:rsidR="00394471" w:rsidRPr="00FA0D37" w:rsidRDefault="00394471" w:rsidP="00FA0D37">
      <w:pPr>
        <w:pStyle w:val="PL"/>
      </w:pPr>
      <w:r w:rsidRPr="00FA0D37">
        <w:t xml:space="preserve">        iab-IP-Report-r16               </w:t>
      </w:r>
      <w:r w:rsidRPr="00FA0D37">
        <w:rPr>
          <w:color w:val="993366"/>
        </w:rPr>
        <w:t>SEQUENCE</w:t>
      </w:r>
      <w:r w:rsidRPr="00FA0D37">
        <w:t xml:space="preserve"> {</w:t>
      </w:r>
    </w:p>
    <w:p w14:paraId="25934B8D" w14:textId="77777777" w:rsidR="00394471" w:rsidRPr="00FA0D37" w:rsidRDefault="00394471" w:rsidP="00FA0D37">
      <w:pPr>
        <w:pStyle w:val="PL"/>
      </w:pPr>
      <w:r w:rsidRPr="00FA0D37">
        <w:t xml:space="preserve">            iab-IPv4-AddressReport-r16      IAB-IP-AddressAndTraffic-r16                    </w:t>
      </w:r>
      <w:r w:rsidRPr="00FA0D37">
        <w:rPr>
          <w:color w:val="993366"/>
        </w:rPr>
        <w:t>OPTIONAL</w:t>
      </w:r>
      <w:r w:rsidRPr="00FA0D37">
        <w:t>,</w:t>
      </w:r>
    </w:p>
    <w:p w14:paraId="1EC62BFA" w14:textId="77777777" w:rsidR="00394471" w:rsidRPr="00FA0D37" w:rsidRDefault="00394471" w:rsidP="00FA0D37">
      <w:pPr>
        <w:pStyle w:val="PL"/>
      </w:pPr>
      <w:r w:rsidRPr="00FA0D37">
        <w:t xml:space="preserve">            iab-IPv6-Report-r16             </w:t>
      </w:r>
      <w:r w:rsidRPr="00FA0D37">
        <w:rPr>
          <w:color w:val="993366"/>
        </w:rPr>
        <w:t>CHOICE</w:t>
      </w:r>
      <w:r w:rsidRPr="00FA0D37">
        <w:t xml:space="preserve"> {</w:t>
      </w:r>
    </w:p>
    <w:p w14:paraId="3391E1CC" w14:textId="77777777" w:rsidR="00394471" w:rsidRPr="00FA0D37" w:rsidRDefault="00394471" w:rsidP="00FA0D37">
      <w:pPr>
        <w:pStyle w:val="PL"/>
      </w:pPr>
      <w:r w:rsidRPr="00FA0D37">
        <w:t xml:space="preserve">                iab-IPv6-AddressReport-r16      IAB-IP-AddressAndTraffic-r16,</w:t>
      </w:r>
    </w:p>
    <w:p w14:paraId="7E902FFD" w14:textId="77777777" w:rsidR="00394471" w:rsidRPr="00FA0D37" w:rsidRDefault="00394471" w:rsidP="00FA0D37">
      <w:pPr>
        <w:pStyle w:val="PL"/>
      </w:pPr>
      <w:r w:rsidRPr="00FA0D37">
        <w:t xml:space="preserve">                iab-IPv6-PrefixReport-r16       IAB-IP-PrefixAndTraffic-r16,</w:t>
      </w:r>
    </w:p>
    <w:p w14:paraId="7C8DF7CA" w14:textId="77777777" w:rsidR="00394471" w:rsidRPr="00FA0D37" w:rsidRDefault="00394471" w:rsidP="00FA0D37">
      <w:pPr>
        <w:pStyle w:val="PL"/>
      </w:pPr>
      <w:r w:rsidRPr="00FA0D37">
        <w:t xml:space="preserve">                ...</w:t>
      </w:r>
    </w:p>
    <w:p w14:paraId="6D67FC63" w14:textId="77777777" w:rsidR="00394471" w:rsidRPr="00FA0D37" w:rsidRDefault="00394471" w:rsidP="00FA0D37">
      <w:pPr>
        <w:pStyle w:val="PL"/>
      </w:pPr>
      <w:r w:rsidRPr="00FA0D37">
        <w:t xml:space="preserve">            }                                                                               </w:t>
      </w:r>
      <w:r w:rsidRPr="00FA0D37">
        <w:rPr>
          <w:color w:val="993366"/>
        </w:rPr>
        <w:t>OPTIONAL</w:t>
      </w:r>
    </w:p>
    <w:p w14:paraId="494A537B" w14:textId="77777777" w:rsidR="00394471" w:rsidRPr="00FA0D37" w:rsidRDefault="00394471" w:rsidP="00FA0D37">
      <w:pPr>
        <w:pStyle w:val="PL"/>
      </w:pPr>
      <w:r w:rsidRPr="00FA0D37">
        <w:t xml:space="preserve">        },</w:t>
      </w:r>
    </w:p>
    <w:p w14:paraId="437176B7" w14:textId="77777777" w:rsidR="00394471" w:rsidRPr="00FA0D37" w:rsidRDefault="00394471" w:rsidP="00FA0D37">
      <w:pPr>
        <w:pStyle w:val="PL"/>
      </w:pPr>
      <w:r w:rsidRPr="00FA0D37">
        <w:t xml:space="preserve">        ...</w:t>
      </w:r>
    </w:p>
    <w:p w14:paraId="72E42CEF" w14:textId="77777777" w:rsidR="00394471" w:rsidRPr="00FA0D37" w:rsidRDefault="00394471" w:rsidP="00FA0D37">
      <w:pPr>
        <w:pStyle w:val="PL"/>
      </w:pPr>
      <w:r w:rsidRPr="00FA0D37">
        <w:t xml:space="preserve">    },</w:t>
      </w:r>
    </w:p>
    <w:p w14:paraId="369CC097"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6952CC2"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13E2E865" w14:textId="77777777" w:rsidR="00394471" w:rsidRPr="00FA0D37" w:rsidRDefault="00394471" w:rsidP="00FA0D37">
      <w:pPr>
        <w:pStyle w:val="PL"/>
      </w:pPr>
      <w:r w:rsidRPr="00FA0D37">
        <w:t>}</w:t>
      </w:r>
    </w:p>
    <w:p w14:paraId="02FA1CF9" w14:textId="77777777" w:rsidR="00394471" w:rsidRPr="00FA0D37" w:rsidRDefault="00394471" w:rsidP="00FA0D37">
      <w:pPr>
        <w:pStyle w:val="PL"/>
      </w:pPr>
    </w:p>
    <w:p w14:paraId="50362B5D" w14:textId="77777777" w:rsidR="00394471" w:rsidRPr="00FA0D37" w:rsidRDefault="00394471" w:rsidP="00FA0D37">
      <w:pPr>
        <w:pStyle w:val="PL"/>
      </w:pPr>
      <w:r w:rsidRPr="00FA0D37">
        <w:t xml:space="preserve">IAB-IP-AddressNumReq-r16 ::=    </w:t>
      </w:r>
      <w:r w:rsidRPr="00FA0D37">
        <w:rPr>
          <w:color w:val="993366"/>
        </w:rPr>
        <w:t>SEQUENCE</w:t>
      </w:r>
      <w:r w:rsidRPr="00FA0D37">
        <w:t xml:space="preserve"> {</w:t>
      </w:r>
    </w:p>
    <w:p w14:paraId="492A5D63" w14:textId="77777777" w:rsidR="00394471" w:rsidRPr="00FA0D37" w:rsidRDefault="00394471" w:rsidP="00FA0D37">
      <w:pPr>
        <w:pStyle w:val="PL"/>
      </w:pPr>
      <w:r w:rsidRPr="00FA0D37">
        <w:t xml:space="preserve">    all-Traffic-NumReq-r16          </w:t>
      </w:r>
      <w:r w:rsidRPr="00FA0D37">
        <w:rPr>
          <w:color w:val="993366"/>
        </w:rPr>
        <w:t>INTEGER</w:t>
      </w:r>
      <w:r w:rsidRPr="00FA0D37">
        <w:t xml:space="preserve"> (1..8)                                  </w:t>
      </w:r>
      <w:r w:rsidRPr="00FA0D37">
        <w:rPr>
          <w:color w:val="993366"/>
        </w:rPr>
        <w:t>OPTIONAL</w:t>
      </w:r>
      <w:r w:rsidRPr="00FA0D37">
        <w:t>,</w:t>
      </w:r>
    </w:p>
    <w:p w14:paraId="794D7E32" w14:textId="77777777" w:rsidR="00394471" w:rsidRPr="00FA0D37" w:rsidRDefault="00394471" w:rsidP="00FA0D37">
      <w:pPr>
        <w:pStyle w:val="PL"/>
      </w:pPr>
      <w:r w:rsidRPr="00FA0D37">
        <w:t xml:space="preserve">    f1-C-Traffic-NumReq-r16         </w:t>
      </w:r>
      <w:r w:rsidRPr="00FA0D37">
        <w:rPr>
          <w:color w:val="993366"/>
        </w:rPr>
        <w:t>INTEGER</w:t>
      </w:r>
      <w:r w:rsidRPr="00FA0D37">
        <w:t xml:space="preserve"> (1..8)                                  </w:t>
      </w:r>
      <w:r w:rsidRPr="00FA0D37">
        <w:rPr>
          <w:color w:val="993366"/>
        </w:rPr>
        <w:t>OPTIONAL</w:t>
      </w:r>
      <w:r w:rsidRPr="00FA0D37">
        <w:t>,</w:t>
      </w:r>
    </w:p>
    <w:p w14:paraId="2CEF3F33" w14:textId="77777777" w:rsidR="00394471" w:rsidRPr="00FA0D37" w:rsidRDefault="00394471" w:rsidP="00FA0D37">
      <w:pPr>
        <w:pStyle w:val="PL"/>
      </w:pPr>
      <w:r w:rsidRPr="00FA0D37">
        <w:t xml:space="preserve">    f1-U-Traffic-NumReq-r16         </w:t>
      </w:r>
      <w:r w:rsidRPr="00FA0D37">
        <w:rPr>
          <w:color w:val="993366"/>
        </w:rPr>
        <w:t>INTEGER</w:t>
      </w:r>
      <w:r w:rsidRPr="00FA0D37">
        <w:t xml:space="preserve"> (1..8)                                  </w:t>
      </w:r>
      <w:r w:rsidRPr="00FA0D37">
        <w:rPr>
          <w:color w:val="993366"/>
        </w:rPr>
        <w:t>OPTIONAL</w:t>
      </w:r>
      <w:r w:rsidRPr="00FA0D37">
        <w:t>,</w:t>
      </w:r>
    </w:p>
    <w:p w14:paraId="715844E4" w14:textId="77777777" w:rsidR="00394471" w:rsidRPr="00FA0D37" w:rsidRDefault="00394471" w:rsidP="00FA0D37">
      <w:pPr>
        <w:pStyle w:val="PL"/>
      </w:pPr>
      <w:r w:rsidRPr="00FA0D37">
        <w:t xml:space="preserve">    non-F1-Traffic-NumReq-r16       </w:t>
      </w:r>
      <w:r w:rsidRPr="00FA0D37">
        <w:rPr>
          <w:color w:val="993366"/>
        </w:rPr>
        <w:t>INTEGER</w:t>
      </w:r>
      <w:r w:rsidRPr="00FA0D37">
        <w:t xml:space="preserve"> (1..8)                                  </w:t>
      </w:r>
      <w:r w:rsidRPr="00FA0D37">
        <w:rPr>
          <w:color w:val="993366"/>
        </w:rPr>
        <w:t>OPTIONAL</w:t>
      </w:r>
      <w:r w:rsidRPr="00FA0D37">
        <w:t>,</w:t>
      </w:r>
    </w:p>
    <w:p w14:paraId="6257D5F6" w14:textId="77777777" w:rsidR="00394471" w:rsidRPr="00FA0D37" w:rsidRDefault="00394471" w:rsidP="00FA0D37">
      <w:pPr>
        <w:pStyle w:val="PL"/>
      </w:pPr>
      <w:r w:rsidRPr="00FA0D37">
        <w:t xml:space="preserve">    ...</w:t>
      </w:r>
    </w:p>
    <w:p w14:paraId="5EB83760" w14:textId="77777777" w:rsidR="00394471" w:rsidRPr="00FA0D37" w:rsidRDefault="00394471" w:rsidP="00FA0D37">
      <w:pPr>
        <w:pStyle w:val="PL"/>
      </w:pPr>
      <w:r w:rsidRPr="00FA0D37">
        <w:t>}</w:t>
      </w:r>
    </w:p>
    <w:p w14:paraId="5C314520" w14:textId="77777777" w:rsidR="00394471" w:rsidRPr="00FA0D37" w:rsidRDefault="00394471" w:rsidP="00FA0D37">
      <w:pPr>
        <w:pStyle w:val="PL"/>
      </w:pPr>
    </w:p>
    <w:p w14:paraId="6935C200" w14:textId="77777777" w:rsidR="00394471" w:rsidRPr="00FA0D37" w:rsidRDefault="00394471" w:rsidP="00FA0D37">
      <w:pPr>
        <w:pStyle w:val="PL"/>
      </w:pPr>
      <w:r w:rsidRPr="00FA0D37">
        <w:t xml:space="preserve">IAB-IP-AddressPrefixReq-r16 ::= </w:t>
      </w:r>
      <w:r w:rsidRPr="00FA0D37">
        <w:rPr>
          <w:color w:val="993366"/>
        </w:rPr>
        <w:t>SEQUENCE</w:t>
      </w:r>
      <w:r w:rsidRPr="00FA0D37">
        <w:t xml:space="preserve"> {</w:t>
      </w:r>
    </w:p>
    <w:p w14:paraId="4E6070FC" w14:textId="77777777" w:rsidR="00394471" w:rsidRPr="00FA0D37" w:rsidRDefault="00394471" w:rsidP="00FA0D37">
      <w:pPr>
        <w:pStyle w:val="PL"/>
      </w:pPr>
      <w:r w:rsidRPr="00FA0D37">
        <w:t xml:space="preserve">    all-Traffic-PrefixReq-r16       </w:t>
      </w:r>
      <w:r w:rsidRPr="00FA0D37">
        <w:rPr>
          <w:color w:val="993366"/>
        </w:rPr>
        <w:t>ENUMERATED</w:t>
      </w:r>
      <w:r w:rsidRPr="00FA0D37">
        <w:t xml:space="preserve"> {true}                               </w:t>
      </w:r>
      <w:r w:rsidRPr="00FA0D37">
        <w:rPr>
          <w:color w:val="993366"/>
        </w:rPr>
        <w:t>OPTIONAL</w:t>
      </w:r>
      <w:r w:rsidRPr="00FA0D37">
        <w:t>,</w:t>
      </w:r>
    </w:p>
    <w:p w14:paraId="64DB5E78" w14:textId="77777777" w:rsidR="00394471" w:rsidRPr="00FA0D37" w:rsidRDefault="00394471" w:rsidP="00FA0D37">
      <w:pPr>
        <w:pStyle w:val="PL"/>
      </w:pPr>
      <w:r w:rsidRPr="00FA0D37">
        <w:t xml:space="preserve">    f1-C-Traffic-PrefixReq-r16      </w:t>
      </w:r>
      <w:r w:rsidRPr="00FA0D37">
        <w:rPr>
          <w:color w:val="993366"/>
        </w:rPr>
        <w:t>ENUMERATED</w:t>
      </w:r>
      <w:r w:rsidRPr="00FA0D37">
        <w:t xml:space="preserve"> {true}                               </w:t>
      </w:r>
      <w:r w:rsidRPr="00FA0D37">
        <w:rPr>
          <w:color w:val="993366"/>
        </w:rPr>
        <w:t>OPTIONAL</w:t>
      </w:r>
      <w:r w:rsidRPr="00FA0D37">
        <w:t>,</w:t>
      </w:r>
    </w:p>
    <w:p w14:paraId="4EC40326" w14:textId="77777777" w:rsidR="00394471" w:rsidRPr="00FA0D37" w:rsidRDefault="00394471" w:rsidP="00FA0D37">
      <w:pPr>
        <w:pStyle w:val="PL"/>
      </w:pPr>
      <w:r w:rsidRPr="00FA0D37">
        <w:t xml:space="preserve">    f1-U-Traffic-PrefixReq-r16      </w:t>
      </w:r>
      <w:r w:rsidRPr="00FA0D37">
        <w:rPr>
          <w:color w:val="993366"/>
        </w:rPr>
        <w:t>ENUMERATED</w:t>
      </w:r>
      <w:r w:rsidRPr="00FA0D37">
        <w:t xml:space="preserve"> {true}                               </w:t>
      </w:r>
      <w:r w:rsidRPr="00FA0D37">
        <w:rPr>
          <w:color w:val="993366"/>
        </w:rPr>
        <w:t>OPTIONAL</w:t>
      </w:r>
      <w:r w:rsidRPr="00FA0D37">
        <w:t>,</w:t>
      </w:r>
    </w:p>
    <w:p w14:paraId="50B9B5AD" w14:textId="77777777" w:rsidR="00394471" w:rsidRPr="00FA0D37" w:rsidRDefault="00394471" w:rsidP="00FA0D37">
      <w:pPr>
        <w:pStyle w:val="PL"/>
      </w:pPr>
      <w:r w:rsidRPr="00FA0D37">
        <w:t xml:space="preserve">    non-F1-Traffic-PrefixReq-r16    </w:t>
      </w:r>
      <w:r w:rsidRPr="00FA0D37">
        <w:rPr>
          <w:color w:val="993366"/>
        </w:rPr>
        <w:t>ENUMERATED</w:t>
      </w:r>
      <w:r w:rsidRPr="00FA0D37">
        <w:t xml:space="preserve"> {true}                               </w:t>
      </w:r>
      <w:r w:rsidRPr="00FA0D37">
        <w:rPr>
          <w:color w:val="993366"/>
        </w:rPr>
        <w:t>OPTIONAL</w:t>
      </w:r>
      <w:r w:rsidRPr="00FA0D37">
        <w:t>,</w:t>
      </w:r>
    </w:p>
    <w:p w14:paraId="7F7B84C3" w14:textId="77777777" w:rsidR="00394471" w:rsidRPr="00FA0D37" w:rsidRDefault="00394471" w:rsidP="00FA0D37">
      <w:pPr>
        <w:pStyle w:val="PL"/>
      </w:pPr>
      <w:r w:rsidRPr="00FA0D37">
        <w:t xml:space="preserve">    ...</w:t>
      </w:r>
    </w:p>
    <w:p w14:paraId="40A121A7" w14:textId="77777777" w:rsidR="00394471" w:rsidRPr="00FA0D37" w:rsidRDefault="00394471" w:rsidP="00FA0D37">
      <w:pPr>
        <w:pStyle w:val="PL"/>
      </w:pPr>
      <w:r w:rsidRPr="00FA0D37">
        <w:t>}</w:t>
      </w:r>
    </w:p>
    <w:p w14:paraId="0094E468" w14:textId="77777777" w:rsidR="00394471" w:rsidRPr="00FA0D37" w:rsidRDefault="00394471" w:rsidP="00FA0D37">
      <w:pPr>
        <w:pStyle w:val="PL"/>
      </w:pPr>
    </w:p>
    <w:p w14:paraId="6B0B0A00" w14:textId="77777777" w:rsidR="00394471" w:rsidRPr="00FA0D37" w:rsidRDefault="00394471" w:rsidP="00FA0D37">
      <w:pPr>
        <w:pStyle w:val="PL"/>
      </w:pPr>
      <w:r w:rsidRPr="00FA0D37">
        <w:t xml:space="preserve">IAB-IP-AddressAndTraffic-r16 ::= </w:t>
      </w:r>
      <w:r w:rsidRPr="00FA0D37">
        <w:rPr>
          <w:color w:val="993366"/>
        </w:rPr>
        <w:t>SEQUENCE</w:t>
      </w:r>
      <w:r w:rsidRPr="00FA0D37">
        <w:t xml:space="preserve"> {</w:t>
      </w:r>
    </w:p>
    <w:p w14:paraId="218B7FE3" w14:textId="77777777" w:rsidR="00394471" w:rsidRPr="00FA0D37" w:rsidRDefault="00394471" w:rsidP="00FA0D37">
      <w:pPr>
        <w:pStyle w:val="PL"/>
      </w:pPr>
      <w:r w:rsidRPr="00FA0D37">
        <w:t xml:space="preserve">    all-Traffic-IAB-IP-Address-r16  </w:t>
      </w:r>
      <w:r w:rsidRPr="00FA0D37">
        <w:rPr>
          <w:color w:val="993366"/>
        </w:rPr>
        <w:t>SEQUENCE</w:t>
      </w:r>
      <w:r w:rsidRPr="00FA0D37">
        <w:t xml:space="preserve"> (</w:t>
      </w:r>
      <w:r w:rsidRPr="00FA0D37">
        <w:rPr>
          <w:color w:val="993366"/>
        </w:rPr>
        <w:t>SIZE</w:t>
      </w:r>
      <w:r w:rsidRPr="00FA0D37">
        <w:t>(1..8))</w:t>
      </w:r>
      <w:r w:rsidRPr="00FA0D37">
        <w:rPr>
          <w:color w:val="993366"/>
        </w:rPr>
        <w:t xml:space="preserve"> OF</w:t>
      </w:r>
      <w:r w:rsidRPr="00FA0D37">
        <w:t xml:space="preserve"> IAB-IP-Address-r16     </w:t>
      </w:r>
      <w:r w:rsidRPr="00FA0D37">
        <w:rPr>
          <w:color w:val="993366"/>
        </w:rPr>
        <w:t>OPTIONAL</w:t>
      </w:r>
      <w:r w:rsidRPr="00FA0D37">
        <w:t>,</w:t>
      </w:r>
    </w:p>
    <w:p w14:paraId="7FB5FD67" w14:textId="77777777" w:rsidR="00394471" w:rsidRPr="00FA0D37" w:rsidRDefault="00394471" w:rsidP="00FA0D37">
      <w:pPr>
        <w:pStyle w:val="PL"/>
      </w:pPr>
      <w:r w:rsidRPr="00FA0D37">
        <w:t xml:space="preserve">    f1-C-Traffic-IP-Address-r16     </w:t>
      </w:r>
      <w:r w:rsidRPr="00FA0D37">
        <w:rPr>
          <w:color w:val="993366"/>
        </w:rPr>
        <w:t>SEQUENCE</w:t>
      </w:r>
      <w:r w:rsidRPr="00FA0D37">
        <w:t xml:space="preserve"> (</w:t>
      </w:r>
      <w:r w:rsidRPr="00FA0D37">
        <w:rPr>
          <w:color w:val="993366"/>
        </w:rPr>
        <w:t>SIZE</w:t>
      </w:r>
      <w:r w:rsidRPr="00FA0D37">
        <w:t>(1..8))</w:t>
      </w:r>
      <w:r w:rsidRPr="00FA0D37">
        <w:rPr>
          <w:color w:val="993366"/>
        </w:rPr>
        <w:t xml:space="preserve"> OF</w:t>
      </w:r>
      <w:r w:rsidRPr="00FA0D37">
        <w:t xml:space="preserve"> IAB-IP-Address-r16     </w:t>
      </w:r>
      <w:r w:rsidRPr="00FA0D37">
        <w:rPr>
          <w:color w:val="993366"/>
        </w:rPr>
        <w:t>OPTIONAL</w:t>
      </w:r>
      <w:r w:rsidRPr="00FA0D37">
        <w:t>,</w:t>
      </w:r>
    </w:p>
    <w:p w14:paraId="03C765BD" w14:textId="77777777" w:rsidR="00394471" w:rsidRPr="00FA0D37" w:rsidRDefault="00394471" w:rsidP="00FA0D37">
      <w:pPr>
        <w:pStyle w:val="PL"/>
      </w:pPr>
      <w:r w:rsidRPr="00FA0D37">
        <w:t xml:space="preserve">    f1-U-Traffic-IP-Address-r16     </w:t>
      </w:r>
      <w:r w:rsidRPr="00FA0D37">
        <w:rPr>
          <w:color w:val="993366"/>
        </w:rPr>
        <w:t>SEQUENCE</w:t>
      </w:r>
      <w:r w:rsidRPr="00FA0D37">
        <w:t xml:space="preserve"> (</w:t>
      </w:r>
      <w:r w:rsidRPr="00FA0D37">
        <w:rPr>
          <w:color w:val="993366"/>
        </w:rPr>
        <w:t>SIZE</w:t>
      </w:r>
      <w:r w:rsidRPr="00FA0D37">
        <w:t>(1..8))</w:t>
      </w:r>
      <w:r w:rsidRPr="00FA0D37">
        <w:rPr>
          <w:color w:val="993366"/>
        </w:rPr>
        <w:t xml:space="preserve"> OF</w:t>
      </w:r>
      <w:r w:rsidRPr="00FA0D37">
        <w:t xml:space="preserve"> IAB-IP-Address-r16     </w:t>
      </w:r>
      <w:r w:rsidRPr="00FA0D37">
        <w:rPr>
          <w:color w:val="993366"/>
        </w:rPr>
        <w:t>OPTIONAL</w:t>
      </w:r>
      <w:r w:rsidRPr="00FA0D37">
        <w:t>,</w:t>
      </w:r>
    </w:p>
    <w:p w14:paraId="1396A6F4" w14:textId="77777777" w:rsidR="00394471" w:rsidRPr="00FA0D37" w:rsidRDefault="00394471" w:rsidP="00FA0D37">
      <w:pPr>
        <w:pStyle w:val="PL"/>
      </w:pPr>
      <w:r w:rsidRPr="00FA0D37">
        <w:t xml:space="preserve">    non-F1-Traffic-IP-Address-r16   </w:t>
      </w:r>
      <w:r w:rsidRPr="00FA0D37">
        <w:rPr>
          <w:color w:val="993366"/>
        </w:rPr>
        <w:t>SEQUENCE</w:t>
      </w:r>
      <w:r w:rsidRPr="00FA0D37">
        <w:t xml:space="preserve"> (</w:t>
      </w:r>
      <w:r w:rsidRPr="00FA0D37">
        <w:rPr>
          <w:color w:val="993366"/>
        </w:rPr>
        <w:t>SIZE</w:t>
      </w:r>
      <w:r w:rsidRPr="00FA0D37">
        <w:t>(1..8))</w:t>
      </w:r>
      <w:r w:rsidRPr="00FA0D37">
        <w:rPr>
          <w:color w:val="993366"/>
        </w:rPr>
        <w:t xml:space="preserve"> OF</w:t>
      </w:r>
      <w:r w:rsidRPr="00FA0D37">
        <w:t xml:space="preserve"> IAB-IP-Address-r16     </w:t>
      </w:r>
      <w:r w:rsidRPr="00FA0D37">
        <w:rPr>
          <w:color w:val="993366"/>
        </w:rPr>
        <w:t>OPTIONAL</w:t>
      </w:r>
    </w:p>
    <w:p w14:paraId="158FA753" w14:textId="77777777" w:rsidR="00394471" w:rsidRPr="00FA0D37" w:rsidRDefault="00394471" w:rsidP="00FA0D37">
      <w:pPr>
        <w:pStyle w:val="PL"/>
      </w:pPr>
      <w:r w:rsidRPr="00FA0D37">
        <w:t>}</w:t>
      </w:r>
    </w:p>
    <w:p w14:paraId="4312D5F9" w14:textId="77777777" w:rsidR="00394471" w:rsidRPr="00FA0D37" w:rsidRDefault="00394471" w:rsidP="00FA0D37">
      <w:pPr>
        <w:pStyle w:val="PL"/>
      </w:pPr>
    </w:p>
    <w:p w14:paraId="44A77B7C" w14:textId="77777777" w:rsidR="00394471" w:rsidRPr="00FA0D37" w:rsidRDefault="00394471" w:rsidP="00FA0D37">
      <w:pPr>
        <w:pStyle w:val="PL"/>
      </w:pPr>
      <w:r w:rsidRPr="00FA0D37">
        <w:t xml:space="preserve">IAB-IP-PrefixAndTraffic-r16 ::= </w:t>
      </w:r>
      <w:r w:rsidRPr="00FA0D37">
        <w:rPr>
          <w:color w:val="993366"/>
        </w:rPr>
        <w:t>SEQUENCE</w:t>
      </w:r>
      <w:r w:rsidRPr="00FA0D37">
        <w:t xml:space="preserve"> {</w:t>
      </w:r>
    </w:p>
    <w:p w14:paraId="68392F91" w14:textId="77777777" w:rsidR="00394471" w:rsidRPr="00FA0D37" w:rsidRDefault="00394471" w:rsidP="00FA0D37">
      <w:pPr>
        <w:pStyle w:val="PL"/>
      </w:pPr>
      <w:r w:rsidRPr="00FA0D37">
        <w:t xml:space="preserve">    all-Traffic-IAB-IP-Address-r16  IAB-IP-Address-r16                              </w:t>
      </w:r>
      <w:r w:rsidRPr="00FA0D37">
        <w:rPr>
          <w:color w:val="993366"/>
        </w:rPr>
        <w:t>OPTIONAL</w:t>
      </w:r>
      <w:r w:rsidRPr="00FA0D37">
        <w:t>,</w:t>
      </w:r>
    </w:p>
    <w:p w14:paraId="74E2C09D" w14:textId="77777777" w:rsidR="00394471" w:rsidRPr="00FA0D37" w:rsidRDefault="00394471" w:rsidP="00FA0D37">
      <w:pPr>
        <w:pStyle w:val="PL"/>
      </w:pPr>
      <w:r w:rsidRPr="00FA0D37">
        <w:t xml:space="preserve">    f1-C-Traffic-IP-Address-r16     IAB-IP-Address-r16                              </w:t>
      </w:r>
      <w:r w:rsidRPr="00FA0D37">
        <w:rPr>
          <w:color w:val="993366"/>
        </w:rPr>
        <w:t>OPTIONAL</w:t>
      </w:r>
      <w:r w:rsidRPr="00FA0D37">
        <w:t>,</w:t>
      </w:r>
    </w:p>
    <w:p w14:paraId="3A04394D" w14:textId="77777777" w:rsidR="00394471" w:rsidRPr="00FA0D37" w:rsidRDefault="00394471" w:rsidP="00FA0D37">
      <w:pPr>
        <w:pStyle w:val="PL"/>
      </w:pPr>
      <w:r w:rsidRPr="00FA0D37">
        <w:t xml:space="preserve">    f1-U-Traffic-IP-Address-r16     IAB-IP-Address-r16                              </w:t>
      </w:r>
      <w:r w:rsidRPr="00FA0D37">
        <w:rPr>
          <w:color w:val="993366"/>
        </w:rPr>
        <w:t>OPTIONAL</w:t>
      </w:r>
      <w:r w:rsidRPr="00FA0D37">
        <w:t>,</w:t>
      </w:r>
    </w:p>
    <w:p w14:paraId="4F1718F6" w14:textId="77777777" w:rsidR="00394471" w:rsidRPr="00FA0D37" w:rsidRDefault="00394471" w:rsidP="00FA0D37">
      <w:pPr>
        <w:pStyle w:val="PL"/>
      </w:pPr>
      <w:r w:rsidRPr="00FA0D37">
        <w:t xml:space="preserve">    non-F1-Traffic-IP-Address-r16   IAB-IP-Address-r16                              </w:t>
      </w:r>
      <w:r w:rsidRPr="00FA0D37">
        <w:rPr>
          <w:color w:val="993366"/>
        </w:rPr>
        <w:t>OPTIONAL</w:t>
      </w:r>
    </w:p>
    <w:p w14:paraId="442574FA" w14:textId="77777777" w:rsidR="00394471" w:rsidRPr="00FA0D37" w:rsidRDefault="00394471" w:rsidP="00FA0D37">
      <w:pPr>
        <w:pStyle w:val="PL"/>
      </w:pPr>
      <w:r w:rsidRPr="00FA0D37">
        <w:t>}</w:t>
      </w:r>
    </w:p>
    <w:p w14:paraId="6C056BF7" w14:textId="77777777" w:rsidR="00394471" w:rsidRPr="00FA0D37" w:rsidRDefault="00394471" w:rsidP="00FA0D37">
      <w:pPr>
        <w:pStyle w:val="PL"/>
      </w:pPr>
    </w:p>
    <w:p w14:paraId="270BD812" w14:textId="77777777" w:rsidR="00394471" w:rsidRPr="00FA0D37" w:rsidRDefault="00394471" w:rsidP="00FA0D37">
      <w:pPr>
        <w:pStyle w:val="PL"/>
        <w:rPr>
          <w:color w:val="808080"/>
        </w:rPr>
      </w:pPr>
      <w:r w:rsidRPr="00FA0D37">
        <w:rPr>
          <w:color w:val="808080"/>
        </w:rPr>
        <w:t>-- TAG-IABOTHERINFORMATION-STOP</w:t>
      </w:r>
    </w:p>
    <w:p w14:paraId="0C6CEF67" w14:textId="77777777" w:rsidR="00394471" w:rsidRPr="00FA0D37" w:rsidRDefault="00394471" w:rsidP="00FA0D37">
      <w:pPr>
        <w:pStyle w:val="PL"/>
        <w:rPr>
          <w:color w:val="808080"/>
        </w:rPr>
      </w:pPr>
      <w:r w:rsidRPr="00FA0D37">
        <w:rPr>
          <w:color w:val="808080"/>
        </w:rPr>
        <w:t>-- ASN1STOP</w:t>
      </w:r>
    </w:p>
    <w:p w14:paraId="4A28F31F" w14:textId="77777777" w:rsidR="00394471" w:rsidRPr="00FA0D37"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4C3560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03C8A7" w14:textId="77777777" w:rsidR="00394471" w:rsidRPr="00FA0D37" w:rsidRDefault="00394471" w:rsidP="00964CC4">
            <w:pPr>
              <w:pStyle w:val="TAH"/>
              <w:rPr>
                <w:lang w:eastAsia="zh-CN"/>
              </w:rPr>
            </w:pPr>
            <w:r w:rsidRPr="00FA0D37">
              <w:rPr>
                <w:i/>
                <w:iCs/>
                <w:lang w:eastAsia="zh-CN"/>
              </w:rPr>
              <w:lastRenderedPageBreak/>
              <w:t>IABOtherInformation-IEs</w:t>
            </w:r>
            <w:r w:rsidRPr="00FA0D37">
              <w:rPr>
                <w:lang w:eastAsia="zh-CN"/>
              </w:rPr>
              <w:t xml:space="preserve"> field descriptions</w:t>
            </w:r>
          </w:p>
        </w:tc>
      </w:tr>
      <w:tr w:rsidR="005C7FF4" w:rsidRPr="00FA0D37" w14:paraId="3BE38B7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F0891B4" w14:textId="77777777" w:rsidR="00394471" w:rsidRPr="00FA0D37" w:rsidRDefault="00394471" w:rsidP="00964CC4">
            <w:pPr>
              <w:pStyle w:val="TAL"/>
              <w:rPr>
                <w:b/>
                <w:bCs/>
                <w:i/>
                <w:iCs/>
                <w:lang w:eastAsia="zh-CN"/>
              </w:rPr>
            </w:pPr>
            <w:r w:rsidRPr="00FA0D37">
              <w:rPr>
                <w:b/>
                <w:bCs/>
                <w:i/>
                <w:iCs/>
                <w:lang w:eastAsia="zh-CN"/>
              </w:rPr>
              <w:t>iab-IPv4-AddressNumReq</w:t>
            </w:r>
          </w:p>
          <w:p w14:paraId="26CA59CB" w14:textId="77777777" w:rsidR="00394471" w:rsidRPr="00FA0D37" w:rsidRDefault="00394471" w:rsidP="00964CC4">
            <w:pPr>
              <w:pStyle w:val="TAL"/>
              <w:rPr>
                <w:lang w:eastAsia="zh-CN"/>
              </w:rPr>
            </w:pPr>
            <w:r w:rsidRPr="00FA0D37">
              <w:rPr>
                <w:lang w:eastAsia="zh-CN"/>
              </w:rPr>
              <w:t>This field is used to request the numbers of IPv4 address per specific usage. The specific usages include F1-C traffic, F1-U traffic, non-F1 traffic and all traffic.</w:t>
            </w:r>
          </w:p>
        </w:tc>
      </w:tr>
      <w:tr w:rsidR="005C7FF4" w:rsidRPr="00FA0D37" w14:paraId="509FD76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36A0A4E5" w14:textId="77777777" w:rsidR="00A27DAE" w:rsidRPr="00FA0D37" w:rsidRDefault="00A27DAE" w:rsidP="003B657B">
            <w:pPr>
              <w:pStyle w:val="TAL"/>
              <w:rPr>
                <w:b/>
                <w:bCs/>
                <w:i/>
                <w:iCs/>
                <w:lang w:eastAsia="zh-CN"/>
              </w:rPr>
            </w:pPr>
            <w:r w:rsidRPr="00FA0D37">
              <w:rPr>
                <w:b/>
                <w:bCs/>
                <w:i/>
                <w:iCs/>
                <w:lang w:eastAsia="zh-CN"/>
              </w:rPr>
              <w:t>iab-IPv4-AddressReport</w:t>
            </w:r>
          </w:p>
          <w:p w14:paraId="4BE2A34E" w14:textId="1DE1A3BB" w:rsidR="00A27DAE" w:rsidRPr="00FA0D37" w:rsidRDefault="00A27DAE" w:rsidP="003B657B">
            <w:pPr>
              <w:pStyle w:val="TAL"/>
              <w:rPr>
                <w:b/>
                <w:bCs/>
                <w:i/>
                <w:iCs/>
                <w:lang w:eastAsia="zh-CN"/>
              </w:rPr>
            </w:pPr>
            <w:r w:rsidRPr="00FA0D37">
              <w:rPr>
                <w:lang w:eastAsia="zh-CN"/>
              </w:rPr>
              <w:t>This field is used to report the IPv4 address per specific usage assigned by OAM for IAB-DU. The specific usages include F1-C traffic, F1-U traffic, non-F1 traffic and all traffic.</w:t>
            </w:r>
          </w:p>
        </w:tc>
      </w:tr>
      <w:tr w:rsidR="005C7FF4" w:rsidRPr="00FA0D37" w14:paraId="29CF279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369984A" w14:textId="77777777" w:rsidR="00394471" w:rsidRPr="00FA0D37" w:rsidRDefault="00394471" w:rsidP="00964CC4">
            <w:pPr>
              <w:pStyle w:val="TAL"/>
              <w:rPr>
                <w:b/>
                <w:bCs/>
                <w:i/>
                <w:iCs/>
                <w:lang w:eastAsia="zh-CN"/>
              </w:rPr>
            </w:pPr>
            <w:r w:rsidRPr="00FA0D37">
              <w:rPr>
                <w:b/>
                <w:bCs/>
                <w:i/>
                <w:iCs/>
                <w:lang w:eastAsia="zh-CN"/>
              </w:rPr>
              <w:t>iab-IPv6-AddressNumReq</w:t>
            </w:r>
          </w:p>
          <w:p w14:paraId="25041CBC" w14:textId="40E2067A" w:rsidR="00394471" w:rsidRPr="00FA0D37" w:rsidRDefault="00394471" w:rsidP="00964CC4">
            <w:pPr>
              <w:pStyle w:val="TAL"/>
              <w:rPr>
                <w:lang w:eastAsia="zh-CN"/>
              </w:rPr>
            </w:pPr>
            <w:r w:rsidRPr="00FA0D37">
              <w:rPr>
                <w:lang w:eastAsia="zh-CN"/>
              </w:rPr>
              <w:t>This field is used to request the numbers of IPv6 address per specific usage. The specific usages include F1-C traffic, F1-U traffic, non-F1 traffic and all traffic.</w:t>
            </w:r>
          </w:p>
        </w:tc>
      </w:tr>
      <w:tr w:rsidR="005C7FF4" w:rsidRPr="00FA0D37" w14:paraId="2C3561B2"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2DECA0" w14:textId="77777777" w:rsidR="00394471" w:rsidRPr="00FA0D37" w:rsidRDefault="00394471" w:rsidP="00964CC4">
            <w:pPr>
              <w:pStyle w:val="TAL"/>
              <w:rPr>
                <w:b/>
                <w:bCs/>
                <w:i/>
                <w:iCs/>
                <w:lang w:eastAsia="zh-CN"/>
              </w:rPr>
            </w:pPr>
            <w:r w:rsidRPr="00FA0D37">
              <w:rPr>
                <w:b/>
                <w:bCs/>
                <w:i/>
                <w:iCs/>
              </w:rPr>
              <w:t>iab-IPv6-AddressPrefixReq</w:t>
            </w:r>
          </w:p>
          <w:p w14:paraId="7BDB6EC4" w14:textId="3A1F5A6D" w:rsidR="00394471" w:rsidRPr="00FA0D37" w:rsidRDefault="00394471" w:rsidP="00964CC4">
            <w:pPr>
              <w:pStyle w:val="TAL"/>
              <w:rPr>
                <w:lang w:eastAsia="zh-CN"/>
              </w:rPr>
            </w:pPr>
            <w:r w:rsidRPr="00FA0D37">
              <w:rPr>
                <w:lang w:eastAsia="zh-CN"/>
              </w:rPr>
              <w:t>This field is used to request the prefix of IPv6 address per specific usage. The specific usages include F1-C traffic, F1-U traffic, non-F1 traffic and all traffic.</w:t>
            </w:r>
          </w:p>
        </w:tc>
      </w:tr>
      <w:tr w:rsidR="005C7FF4" w:rsidRPr="00FA0D37" w14:paraId="3CF4978F"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4418FF90" w14:textId="77777777" w:rsidR="00A27DAE" w:rsidRPr="00FA0D37" w:rsidRDefault="00A27DAE" w:rsidP="003B657B">
            <w:pPr>
              <w:pStyle w:val="TAL"/>
              <w:rPr>
                <w:b/>
                <w:bCs/>
                <w:i/>
                <w:iCs/>
                <w:lang w:eastAsia="zh-CN"/>
              </w:rPr>
            </w:pPr>
            <w:r w:rsidRPr="00FA0D37">
              <w:rPr>
                <w:b/>
                <w:bCs/>
                <w:i/>
                <w:iCs/>
                <w:lang w:eastAsia="zh-CN"/>
              </w:rPr>
              <w:t>iab-IPv6-AddressReport</w:t>
            </w:r>
          </w:p>
          <w:p w14:paraId="0E10FE33" w14:textId="29C276F4" w:rsidR="00A27DAE" w:rsidRPr="00FA0D37" w:rsidRDefault="00A27DAE" w:rsidP="003B657B">
            <w:pPr>
              <w:pStyle w:val="TAL"/>
              <w:rPr>
                <w:b/>
                <w:bCs/>
                <w:i/>
                <w:iCs/>
              </w:rPr>
            </w:pPr>
            <w:r w:rsidRPr="00FA0D37">
              <w:rPr>
                <w:lang w:eastAsia="zh-CN"/>
              </w:rPr>
              <w:t>This field is used to report the IPv6 address per specific usage assigned by OAM for IAB-DU. The specific usages include F1-C traffic, F1-U traffic, non-F1 traffic and all traffic.</w:t>
            </w:r>
          </w:p>
        </w:tc>
      </w:tr>
      <w:tr w:rsidR="00A27DAE" w:rsidRPr="00FA0D37" w14:paraId="4D95282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0E672929" w14:textId="77777777" w:rsidR="00A27DAE" w:rsidRPr="00FA0D37" w:rsidRDefault="00A27DAE" w:rsidP="003B657B">
            <w:pPr>
              <w:pStyle w:val="TAL"/>
              <w:rPr>
                <w:b/>
                <w:bCs/>
                <w:i/>
                <w:iCs/>
                <w:lang w:eastAsia="zh-CN"/>
              </w:rPr>
            </w:pPr>
            <w:r w:rsidRPr="00FA0D37">
              <w:rPr>
                <w:b/>
                <w:bCs/>
                <w:i/>
                <w:iCs/>
                <w:lang w:eastAsia="zh-CN"/>
              </w:rPr>
              <w:t>iab-IPv6-PrefixReport</w:t>
            </w:r>
          </w:p>
          <w:p w14:paraId="26A2C610" w14:textId="77777777" w:rsidR="00A27DAE" w:rsidRPr="00FA0D37" w:rsidRDefault="00A27DAE" w:rsidP="003B657B">
            <w:pPr>
              <w:pStyle w:val="TAL"/>
              <w:rPr>
                <w:b/>
                <w:bCs/>
                <w:i/>
                <w:iCs/>
                <w:lang w:eastAsia="zh-CN"/>
              </w:rPr>
            </w:pPr>
            <w:r w:rsidRPr="00FA0D37">
              <w:rPr>
                <w:lang w:eastAsia="zh-CN"/>
              </w:rPr>
              <w:t>This field is used to report the prefix of IPv6 address per specific usage assigned by OAM for IAB-DU. The specific usages include F1-C traffic, F1-U traffic, non-F1 traffic and all traffic.</w:t>
            </w:r>
          </w:p>
        </w:tc>
      </w:tr>
    </w:tbl>
    <w:p w14:paraId="5C1CC5EF" w14:textId="77777777" w:rsidR="00A27DAE" w:rsidRPr="00FA0D37" w:rsidRDefault="00A27DAE" w:rsidP="00A27DAE">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4114AF0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6E24241" w14:textId="77777777" w:rsidR="00A27DAE" w:rsidRPr="00FA0D37" w:rsidRDefault="00A27DAE" w:rsidP="003B657B">
            <w:pPr>
              <w:pStyle w:val="TAH"/>
              <w:rPr>
                <w:i/>
                <w:iCs/>
                <w:lang w:eastAsia="zh-CN"/>
              </w:rPr>
            </w:pPr>
            <w:r w:rsidRPr="00FA0D37">
              <w:rPr>
                <w:i/>
                <w:iCs/>
              </w:rPr>
              <w:t>IAB-IP-AddressNumReq</w:t>
            </w:r>
            <w:r w:rsidRPr="00FA0D37">
              <w:rPr>
                <w:i/>
                <w:iCs/>
                <w:lang w:eastAsia="zh-CN"/>
              </w:rPr>
              <w:t>-IEs field descriptions</w:t>
            </w:r>
          </w:p>
        </w:tc>
      </w:tr>
      <w:tr w:rsidR="005C7FF4" w:rsidRPr="00FA0D37" w14:paraId="169272F6"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18C4DBA" w14:textId="77777777" w:rsidR="00A27DAE" w:rsidRPr="00FA0D37" w:rsidRDefault="00A27DAE" w:rsidP="003B657B">
            <w:pPr>
              <w:pStyle w:val="TAL"/>
              <w:rPr>
                <w:b/>
                <w:bCs/>
                <w:i/>
                <w:iCs/>
                <w:lang w:eastAsia="zh-CN"/>
              </w:rPr>
            </w:pPr>
            <w:r w:rsidRPr="00FA0D37">
              <w:rPr>
                <w:b/>
                <w:bCs/>
                <w:i/>
                <w:iCs/>
                <w:lang w:eastAsia="zh-CN"/>
              </w:rPr>
              <w:t>all-Traffic-NumReq</w:t>
            </w:r>
          </w:p>
          <w:p w14:paraId="0E8EC7C4" w14:textId="77777777" w:rsidR="00A27DAE" w:rsidRPr="00FA0D37" w:rsidRDefault="00A27DAE" w:rsidP="003B657B">
            <w:pPr>
              <w:pStyle w:val="TAL"/>
              <w:rPr>
                <w:lang w:eastAsia="zh-CN"/>
              </w:rPr>
            </w:pPr>
            <w:r w:rsidRPr="00FA0D37">
              <w:rPr>
                <w:lang w:eastAsia="zh-CN"/>
              </w:rPr>
              <w:t>This field is used to request the numbers of IP address for all traffic.</w:t>
            </w:r>
          </w:p>
        </w:tc>
      </w:tr>
      <w:tr w:rsidR="005C7FF4" w:rsidRPr="00FA0D37" w14:paraId="274BF996"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510928" w14:textId="77777777" w:rsidR="00A27DAE" w:rsidRPr="00FA0D37" w:rsidRDefault="00A27DAE" w:rsidP="003B657B">
            <w:pPr>
              <w:pStyle w:val="TAL"/>
              <w:rPr>
                <w:b/>
                <w:bCs/>
                <w:i/>
                <w:iCs/>
                <w:lang w:eastAsia="zh-CN"/>
              </w:rPr>
            </w:pPr>
            <w:r w:rsidRPr="00FA0D37">
              <w:rPr>
                <w:b/>
                <w:bCs/>
                <w:i/>
                <w:iCs/>
                <w:lang w:eastAsia="zh-CN"/>
              </w:rPr>
              <w:t>f1-C-Traffic-NumReq</w:t>
            </w:r>
          </w:p>
          <w:p w14:paraId="3ED90971" w14:textId="77777777" w:rsidR="00A27DAE" w:rsidRPr="00FA0D37" w:rsidRDefault="00A27DAE" w:rsidP="003B657B">
            <w:pPr>
              <w:pStyle w:val="TAL"/>
              <w:rPr>
                <w:lang w:eastAsia="zh-CN"/>
              </w:rPr>
            </w:pPr>
            <w:r w:rsidRPr="00FA0D37">
              <w:rPr>
                <w:lang w:eastAsia="zh-CN"/>
              </w:rPr>
              <w:t>This field is used to request the numbers of IP address for F1-C traffic.</w:t>
            </w:r>
          </w:p>
        </w:tc>
      </w:tr>
      <w:tr w:rsidR="005C7FF4" w:rsidRPr="00FA0D37" w14:paraId="2AA6BA1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8B2B88D" w14:textId="77777777" w:rsidR="00A27DAE" w:rsidRPr="00FA0D37" w:rsidRDefault="00A27DAE" w:rsidP="003B657B">
            <w:pPr>
              <w:pStyle w:val="TAL"/>
              <w:rPr>
                <w:b/>
                <w:bCs/>
                <w:i/>
                <w:iCs/>
                <w:lang w:eastAsia="zh-CN"/>
              </w:rPr>
            </w:pPr>
            <w:r w:rsidRPr="00FA0D37">
              <w:rPr>
                <w:b/>
                <w:bCs/>
                <w:i/>
                <w:iCs/>
                <w:lang w:eastAsia="zh-CN"/>
              </w:rPr>
              <w:t>f1-U-Traffic-NumReq</w:t>
            </w:r>
          </w:p>
          <w:p w14:paraId="6B5EB084" w14:textId="77777777" w:rsidR="00A27DAE" w:rsidRPr="00FA0D37" w:rsidRDefault="00A27DAE" w:rsidP="003B657B">
            <w:pPr>
              <w:pStyle w:val="TAL"/>
              <w:rPr>
                <w:lang w:eastAsia="zh-CN"/>
              </w:rPr>
            </w:pPr>
            <w:r w:rsidRPr="00FA0D37">
              <w:rPr>
                <w:lang w:eastAsia="zh-CN"/>
              </w:rPr>
              <w:t>This field is used to request the numbers of IP address for F1-U traffic.</w:t>
            </w:r>
          </w:p>
        </w:tc>
      </w:tr>
      <w:tr w:rsidR="00A27DAE" w:rsidRPr="00FA0D37" w14:paraId="584CA38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93E64EA" w14:textId="77777777" w:rsidR="00A27DAE" w:rsidRPr="00FA0D37" w:rsidRDefault="00A27DAE" w:rsidP="003B657B">
            <w:pPr>
              <w:pStyle w:val="TAL"/>
              <w:rPr>
                <w:b/>
                <w:bCs/>
                <w:i/>
                <w:iCs/>
                <w:lang w:eastAsia="zh-CN"/>
              </w:rPr>
            </w:pPr>
            <w:r w:rsidRPr="00FA0D37">
              <w:rPr>
                <w:b/>
                <w:bCs/>
                <w:i/>
                <w:iCs/>
                <w:lang w:eastAsia="zh-CN"/>
              </w:rPr>
              <w:t>non-F1-Traffic-NumReq</w:t>
            </w:r>
          </w:p>
          <w:p w14:paraId="49B24D4F" w14:textId="77777777" w:rsidR="00A27DAE" w:rsidRPr="00FA0D37" w:rsidRDefault="00A27DAE" w:rsidP="003B657B">
            <w:pPr>
              <w:pStyle w:val="TAL"/>
              <w:rPr>
                <w:lang w:eastAsia="zh-CN"/>
              </w:rPr>
            </w:pPr>
            <w:r w:rsidRPr="00FA0D37">
              <w:rPr>
                <w:lang w:eastAsia="zh-CN"/>
              </w:rPr>
              <w:t>This field is used to request the numbers of IP address for non-F1 traffic.</w:t>
            </w:r>
          </w:p>
        </w:tc>
      </w:tr>
    </w:tbl>
    <w:p w14:paraId="0F2AEF27" w14:textId="77777777" w:rsidR="00A27DAE" w:rsidRPr="00FA0D37" w:rsidRDefault="00A27DAE" w:rsidP="00A27DAE">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21054B1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D2574F8" w14:textId="77777777" w:rsidR="00A27DAE" w:rsidRPr="00FA0D37" w:rsidRDefault="00A27DAE" w:rsidP="003B657B">
            <w:pPr>
              <w:pStyle w:val="TAH"/>
              <w:rPr>
                <w:i/>
                <w:iCs/>
                <w:lang w:eastAsia="zh-CN"/>
              </w:rPr>
            </w:pPr>
            <w:r w:rsidRPr="00FA0D37">
              <w:rPr>
                <w:i/>
                <w:iCs/>
              </w:rPr>
              <w:t>IAB-IP-AddressPrefixReq</w:t>
            </w:r>
            <w:r w:rsidRPr="00FA0D37">
              <w:rPr>
                <w:i/>
                <w:iCs/>
                <w:lang w:eastAsia="zh-CN"/>
              </w:rPr>
              <w:t>-IEs field descriptions</w:t>
            </w:r>
          </w:p>
        </w:tc>
      </w:tr>
      <w:tr w:rsidR="005C7FF4" w:rsidRPr="00FA0D37" w14:paraId="2B45AA5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31DF0D7" w14:textId="77777777" w:rsidR="00A27DAE" w:rsidRPr="00FA0D37" w:rsidRDefault="00A27DAE" w:rsidP="003B657B">
            <w:pPr>
              <w:pStyle w:val="TAL"/>
              <w:rPr>
                <w:b/>
                <w:bCs/>
                <w:i/>
                <w:iCs/>
                <w:lang w:eastAsia="zh-CN"/>
              </w:rPr>
            </w:pPr>
            <w:r w:rsidRPr="00FA0D37">
              <w:rPr>
                <w:b/>
                <w:bCs/>
                <w:i/>
                <w:iCs/>
                <w:lang w:eastAsia="zh-CN"/>
              </w:rPr>
              <w:t>all-Traffic-PrefixReq</w:t>
            </w:r>
          </w:p>
          <w:p w14:paraId="0EAD5940" w14:textId="77777777" w:rsidR="00A27DAE" w:rsidRPr="00FA0D37" w:rsidRDefault="00A27DAE" w:rsidP="003B657B">
            <w:pPr>
              <w:pStyle w:val="TAL"/>
              <w:rPr>
                <w:lang w:eastAsia="zh-CN"/>
              </w:rPr>
            </w:pPr>
            <w:r w:rsidRPr="00FA0D37">
              <w:rPr>
                <w:lang w:eastAsia="zh-CN"/>
              </w:rPr>
              <w:t>This field is used to request the IPv6 address prefix for all traffic. The length of allocated IPv6 prefix is fixed to 64.</w:t>
            </w:r>
          </w:p>
        </w:tc>
      </w:tr>
      <w:tr w:rsidR="005C7FF4" w:rsidRPr="00FA0D37" w14:paraId="45F5270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AA5A1E1" w14:textId="77777777" w:rsidR="00A27DAE" w:rsidRPr="00FA0D37" w:rsidRDefault="00A27DAE" w:rsidP="003B657B">
            <w:pPr>
              <w:pStyle w:val="TAL"/>
              <w:rPr>
                <w:b/>
                <w:bCs/>
                <w:i/>
                <w:iCs/>
                <w:lang w:eastAsia="zh-CN"/>
              </w:rPr>
            </w:pPr>
            <w:r w:rsidRPr="00FA0D37">
              <w:rPr>
                <w:b/>
                <w:bCs/>
                <w:i/>
                <w:iCs/>
                <w:lang w:eastAsia="zh-CN"/>
              </w:rPr>
              <w:t>f1-C-Traffic-PrefixReq</w:t>
            </w:r>
          </w:p>
          <w:p w14:paraId="2F400463" w14:textId="77777777" w:rsidR="00A27DAE" w:rsidRPr="00FA0D37" w:rsidRDefault="00A27DAE" w:rsidP="003B657B">
            <w:pPr>
              <w:pStyle w:val="TAL"/>
              <w:rPr>
                <w:lang w:eastAsia="zh-CN"/>
              </w:rPr>
            </w:pPr>
            <w:r w:rsidRPr="00FA0D37">
              <w:rPr>
                <w:lang w:eastAsia="zh-CN"/>
              </w:rPr>
              <w:t>This field is used to request the IPv6 address prefix for F1-C traffic. The length of allocated IPv6 prefix is fixed to 64.</w:t>
            </w:r>
          </w:p>
        </w:tc>
      </w:tr>
      <w:tr w:rsidR="005C7FF4" w:rsidRPr="00FA0D37" w14:paraId="708B575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8E701F2" w14:textId="77777777" w:rsidR="00A27DAE" w:rsidRPr="00FA0D37" w:rsidRDefault="00A27DAE" w:rsidP="003B657B">
            <w:pPr>
              <w:pStyle w:val="TAL"/>
              <w:rPr>
                <w:b/>
                <w:bCs/>
                <w:i/>
                <w:iCs/>
                <w:lang w:eastAsia="zh-CN"/>
              </w:rPr>
            </w:pPr>
            <w:r w:rsidRPr="00FA0D37">
              <w:rPr>
                <w:b/>
                <w:bCs/>
                <w:i/>
                <w:iCs/>
                <w:lang w:eastAsia="zh-CN"/>
              </w:rPr>
              <w:t>f1-U-Traffic-PrefixReq</w:t>
            </w:r>
          </w:p>
          <w:p w14:paraId="014288EB" w14:textId="77777777" w:rsidR="00A27DAE" w:rsidRPr="00FA0D37" w:rsidRDefault="00A27DAE" w:rsidP="003B657B">
            <w:pPr>
              <w:pStyle w:val="TAL"/>
              <w:rPr>
                <w:lang w:eastAsia="zh-CN"/>
              </w:rPr>
            </w:pPr>
            <w:r w:rsidRPr="00FA0D37">
              <w:rPr>
                <w:lang w:eastAsia="zh-CN"/>
              </w:rPr>
              <w:t>This field is used to request the IPv6 address prefix for F1-U traffic. The length of allocated IPv6 prefix is fixed to 64.</w:t>
            </w:r>
          </w:p>
        </w:tc>
      </w:tr>
      <w:tr w:rsidR="00A27DAE" w:rsidRPr="00FA0D37" w14:paraId="1E17DA1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CA298BF" w14:textId="77777777" w:rsidR="00A27DAE" w:rsidRPr="00FA0D37" w:rsidRDefault="00A27DAE" w:rsidP="003B657B">
            <w:pPr>
              <w:pStyle w:val="TAL"/>
              <w:rPr>
                <w:b/>
                <w:bCs/>
                <w:i/>
                <w:iCs/>
                <w:lang w:eastAsia="zh-CN"/>
              </w:rPr>
            </w:pPr>
            <w:r w:rsidRPr="00FA0D37">
              <w:rPr>
                <w:b/>
                <w:bCs/>
                <w:i/>
                <w:iCs/>
                <w:lang w:eastAsia="zh-CN"/>
              </w:rPr>
              <w:t>non-F1-Traffic-PrefixReq</w:t>
            </w:r>
          </w:p>
          <w:p w14:paraId="74CAAB3B" w14:textId="77777777" w:rsidR="00A27DAE" w:rsidRPr="00FA0D37" w:rsidRDefault="00A27DAE" w:rsidP="003B657B">
            <w:pPr>
              <w:pStyle w:val="TAL"/>
              <w:rPr>
                <w:lang w:eastAsia="zh-CN"/>
              </w:rPr>
            </w:pPr>
            <w:r w:rsidRPr="00FA0D37">
              <w:rPr>
                <w:lang w:eastAsia="zh-CN"/>
              </w:rPr>
              <w:t>This field is used to request the IPv6 address prefix for non-F1 traffic. The length of allocated IPv6 prefix is fixed to 64.</w:t>
            </w:r>
          </w:p>
        </w:tc>
      </w:tr>
    </w:tbl>
    <w:p w14:paraId="14166E50" w14:textId="77777777" w:rsidR="00A27DAE" w:rsidRPr="00FA0D37" w:rsidRDefault="00A27DAE" w:rsidP="00A27DAE">
      <w:pPr>
        <w:jc w:val="right"/>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05A6DB5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B92B141" w14:textId="77777777" w:rsidR="00A27DAE" w:rsidRPr="00FA0D37" w:rsidRDefault="00A27DAE" w:rsidP="003B657B">
            <w:pPr>
              <w:pStyle w:val="TAH"/>
              <w:rPr>
                <w:i/>
                <w:iCs/>
                <w:lang w:eastAsia="zh-CN"/>
              </w:rPr>
            </w:pPr>
            <w:r w:rsidRPr="00FA0D37">
              <w:rPr>
                <w:i/>
              </w:rPr>
              <w:lastRenderedPageBreak/>
              <w:t>IAB-IP-AddressAndTraffic</w:t>
            </w:r>
            <w:r w:rsidRPr="00FA0D37">
              <w:rPr>
                <w:i/>
                <w:iCs/>
                <w:lang w:eastAsia="zh-CN"/>
              </w:rPr>
              <w:t>-IEs field descriptions</w:t>
            </w:r>
          </w:p>
        </w:tc>
      </w:tr>
      <w:tr w:rsidR="005C7FF4" w:rsidRPr="00FA0D37" w14:paraId="7E281933"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D385796" w14:textId="77777777" w:rsidR="00A27DAE" w:rsidRPr="00FA0D37" w:rsidRDefault="00A27DAE" w:rsidP="003B657B">
            <w:pPr>
              <w:pStyle w:val="TAL"/>
              <w:rPr>
                <w:b/>
                <w:bCs/>
                <w:i/>
                <w:iCs/>
                <w:lang w:eastAsia="zh-CN"/>
              </w:rPr>
            </w:pPr>
            <w:r w:rsidRPr="00FA0D37">
              <w:rPr>
                <w:b/>
                <w:bCs/>
                <w:i/>
                <w:iCs/>
                <w:lang w:eastAsia="zh-CN"/>
              </w:rPr>
              <w:t>all-Traffic-IAB-IP-Address</w:t>
            </w:r>
          </w:p>
          <w:p w14:paraId="2585194B" w14:textId="16C5F53B" w:rsidR="00A27DAE" w:rsidRPr="00FA0D37" w:rsidRDefault="00A27DAE" w:rsidP="003B657B">
            <w:pPr>
              <w:pStyle w:val="TAL"/>
              <w:rPr>
                <w:lang w:eastAsia="zh-CN"/>
              </w:rPr>
            </w:pPr>
            <w:r w:rsidRPr="00FA0D37">
              <w:rPr>
                <w:lang w:eastAsia="zh-CN"/>
              </w:rPr>
              <w:t>This field is used to report to IAB-donor-CU the IP address(es) or IPv6 address prefix for all traffic.</w:t>
            </w:r>
          </w:p>
        </w:tc>
      </w:tr>
      <w:tr w:rsidR="005C7FF4" w:rsidRPr="00FA0D37" w14:paraId="4E7014AC"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35BBA41" w14:textId="77777777" w:rsidR="00A27DAE" w:rsidRPr="00FA0D37" w:rsidRDefault="00A27DAE" w:rsidP="003B657B">
            <w:pPr>
              <w:pStyle w:val="TAL"/>
              <w:rPr>
                <w:b/>
                <w:bCs/>
                <w:i/>
                <w:iCs/>
                <w:lang w:eastAsia="zh-CN"/>
              </w:rPr>
            </w:pPr>
            <w:r w:rsidRPr="00FA0D37">
              <w:rPr>
                <w:b/>
                <w:bCs/>
                <w:i/>
                <w:iCs/>
                <w:lang w:eastAsia="zh-CN"/>
              </w:rPr>
              <w:t>f1-C-Traffic-IP-Address</w:t>
            </w:r>
          </w:p>
          <w:p w14:paraId="51052BD9" w14:textId="77777777" w:rsidR="00A27DAE" w:rsidRPr="00FA0D37" w:rsidRDefault="00A27DAE" w:rsidP="003B657B">
            <w:pPr>
              <w:pStyle w:val="TAL"/>
              <w:rPr>
                <w:lang w:eastAsia="zh-CN"/>
              </w:rPr>
            </w:pPr>
            <w:r w:rsidRPr="00FA0D37">
              <w:rPr>
                <w:lang w:eastAsia="zh-CN"/>
              </w:rPr>
              <w:t>This field is used to report to IAB-donor-CU the IP address(es) or IPv6 address prefix for F1-C traffic.</w:t>
            </w:r>
          </w:p>
        </w:tc>
      </w:tr>
      <w:tr w:rsidR="005C7FF4" w:rsidRPr="00FA0D37" w14:paraId="75D3BE35"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CD5F974" w14:textId="77777777" w:rsidR="00A27DAE" w:rsidRPr="00FA0D37" w:rsidRDefault="00A27DAE" w:rsidP="003B657B">
            <w:pPr>
              <w:pStyle w:val="TAL"/>
              <w:rPr>
                <w:b/>
                <w:bCs/>
                <w:i/>
                <w:iCs/>
                <w:lang w:eastAsia="zh-CN"/>
              </w:rPr>
            </w:pPr>
            <w:r w:rsidRPr="00FA0D37">
              <w:rPr>
                <w:b/>
                <w:bCs/>
                <w:i/>
                <w:iCs/>
                <w:lang w:eastAsia="zh-CN"/>
              </w:rPr>
              <w:t>f1-U-Traffic-IP-Address</w:t>
            </w:r>
          </w:p>
          <w:p w14:paraId="77CFB15A" w14:textId="77777777" w:rsidR="00A27DAE" w:rsidRPr="00FA0D37" w:rsidRDefault="00A27DAE" w:rsidP="003B657B">
            <w:pPr>
              <w:pStyle w:val="TAL"/>
              <w:rPr>
                <w:lang w:eastAsia="zh-CN"/>
              </w:rPr>
            </w:pPr>
            <w:r w:rsidRPr="00FA0D37">
              <w:rPr>
                <w:lang w:eastAsia="zh-CN"/>
              </w:rPr>
              <w:t>This field is used to report to IAB-donor-CU the IP address(es) or IPv6 address prefix for F1-U traffic.</w:t>
            </w:r>
          </w:p>
        </w:tc>
      </w:tr>
      <w:tr w:rsidR="00A27DAE" w:rsidRPr="00FA0D37" w14:paraId="35664739"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734E27A" w14:textId="77777777" w:rsidR="00A27DAE" w:rsidRPr="00FA0D37" w:rsidRDefault="00A27DAE" w:rsidP="003B657B">
            <w:pPr>
              <w:pStyle w:val="TAL"/>
              <w:rPr>
                <w:b/>
                <w:bCs/>
                <w:i/>
                <w:iCs/>
                <w:lang w:eastAsia="zh-CN"/>
              </w:rPr>
            </w:pPr>
            <w:r w:rsidRPr="00FA0D37">
              <w:rPr>
                <w:b/>
                <w:bCs/>
                <w:i/>
                <w:iCs/>
                <w:lang w:eastAsia="zh-CN"/>
              </w:rPr>
              <w:t>non-F1-Traffic-IP-Address</w:t>
            </w:r>
          </w:p>
          <w:p w14:paraId="22E13977" w14:textId="77777777" w:rsidR="00A27DAE" w:rsidRPr="00FA0D37" w:rsidRDefault="00A27DAE" w:rsidP="003B657B">
            <w:pPr>
              <w:pStyle w:val="TAL"/>
              <w:rPr>
                <w:lang w:eastAsia="zh-CN"/>
              </w:rPr>
            </w:pPr>
            <w:r w:rsidRPr="00FA0D37">
              <w:rPr>
                <w:lang w:eastAsia="zh-CN"/>
              </w:rPr>
              <w:t>This field is used to report to IAB-donor-CU the IP address(es) or IPv6 address prefix for non-F1 traffic.</w:t>
            </w:r>
          </w:p>
        </w:tc>
      </w:tr>
    </w:tbl>
    <w:p w14:paraId="2FC72A01" w14:textId="77777777" w:rsidR="00A27DAE" w:rsidRPr="00FA0D37" w:rsidRDefault="00A27DAE" w:rsidP="00A27DAE">
      <w:pPr>
        <w:rPr>
          <w:rFonts w:eastAsia="宋体"/>
        </w:rPr>
      </w:pPr>
    </w:p>
    <w:p w14:paraId="6115F53F" w14:textId="77777777" w:rsidR="00394471" w:rsidRPr="00FA0D37" w:rsidRDefault="00394471" w:rsidP="00394471"/>
    <w:p w14:paraId="226E6A39" w14:textId="77777777" w:rsidR="00394471" w:rsidRPr="00FA0D37" w:rsidRDefault="00394471" w:rsidP="00394471">
      <w:pPr>
        <w:pStyle w:val="4"/>
        <w:rPr>
          <w:rFonts w:eastAsia="MS Mincho"/>
        </w:rPr>
      </w:pPr>
      <w:bookmarkStart w:id="471" w:name="_Toc60777098"/>
      <w:bookmarkStart w:id="472" w:name="_Toc146781132"/>
      <w:r w:rsidRPr="00FA0D37">
        <w:rPr>
          <w:rFonts w:eastAsia="MS Mincho"/>
        </w:rPr>
        <w:t>–</w:t>
      </w:r>
      <w:r w:rsidRPr="00FA0D37">
        <w:rPr>
          <w:rFonts w:eastAsia="MS Mincho"/>
        </w:rPr>
        <w:tab/>
      </w:r>
      <w:r w:rsidRPr="00FA0D37">
        <w:rPr>
          <w:rFonts w:eastAsia="MS Mincho"/>
          <w:i/>
        </w:rPr>
        <w:t>LocationMeasurementIndication</w:t>
      </w:r>
      <w:bookmarkEnd w:id="471"/>
      <w:bookmarkEnd w:id="472"/>
    </w:p>
    <w:p w14:paraId="00EDDB9C" w14:textId="77777777" w:rsidR="00394471" w:rsidRPr="00FA0D37" w:rsidRDefault="00394471" w:rsidP="00394471">
      <w:pPr>
        <w:rPr>
          <w:rFonts w:eastAsia="MS Mincho"/>
        </w:rPr>
      </w:pPr>
      <w:r w:rsidRPr="00FA0D37">
        <w:t xml:space="preserve">The </w:t>
      </w:r>
      <w:r w:rsidRPr="00FA0D37">
        <w:rPr>
          <w:i/>
        </w:rPr>
        <w:t xml:space="preserve">LocationMeasurementIndication </w:t>
      </w:r>
      <w:r w:rsidRPr="00FA0D37">
        <w:t xml:space="preserve">message is used </w:t>
      </w:r>
      <w:r w:rsidRPr="00FA0D37">
        <w:rPr>
          <w:lang w:eastAsia="zh-CN"/>
        </w:rPr>
        <w:t>to indicate that the UE is going to either start or stop location related measurement which requires measurement gaps</w:t>
      </w:r>
      <w:r w:rsidRPr="00FA0D37">
        <w:t>.</w:t>
      </w:r>
    </w:p>
    <w:p w14:paraId="400EAD6A" w14:textId="77777777" w:rsidR="00394471" w:rsidRPr="00FA0D37" w:rsidRDefault="00394471" w:rsidP="00394471">
      <w:pPr>
        <w:pStyle w:val="B1"/>
      </w:pPr>
      <w:r w:rsidRPr="00FA0D37">
        <w:t>Signalling radio bearer: SRB1</w:t>
      </w:r>
    </w:p>
    <w:p w14:paraId="0E1F88C3" w14:textId="77777777" w:rsidR="00394471" w:rsidRPr="00FA0D37" w:rsidRDefault="00394471" w:rsidP="00394471">
      <w:pPr>
        <w:pStyle w:val="B1"/>
      </w:pPr>
      <w:r w:rsidRPr="00FA0D37">
        <w:t>RLC-SAP: AM</w:t>
      </w:r>
    </w:p>
    <w:p w14:paraId="6ACE6A31" w14:textId="77777777" w:rsidR="00394471" w:rsidRPr="00FA0D37" w:rsidRDefault="00394471" w:rsidP="00394471">
      <w:pPr>
        <w:pStyle w:val="B1"/>
      </w:pPr>
      <w:r w:rsidRPr="00FA0D37">
        <w:t>Logical channel: DCCH</w:t>
      </w:r>
    </w:p>
    <w:p w14:paraId="0BCCD357" w14:textId="77777777" w:rsidR="00394471" w:rsidRPr="00FA0D37" w:rsidRDefault="00394471" w:rsidP="00394471">
      <w:pPr>
        <w:pStyle w:val="B1"/>
      </w:pPr>
      <w:r w:rsidRPr="00FA0D37">
        <w:t xml:space="preserve">Direction: UE to </w:t>
      </w:r>
      <w:r w:rsidRPr="00FA0D37">
        <w:rPr>
          <w:lang w:eastAsia="zh-CN"/>
        </w:rPr>
        <w:t>Network</w:t>
      </w:r>
    </w:p>
    <w:p w14:paraId="4BD455B2" w14:textId="77777777" w:rsidR="00394471" w:rsidRPr="00FA0D37" w:rsidRDefault="00394471" w:rsidP="00394471">
      <w:pPr>
        <w:pStyle w:val="TH"/>
        <w:rPr>
          <w:bCs/>
          <w:i/>
          <w:iCs/>
        </w:rPr>
      </w:pPr>
      <w:r w:rsidRPr="00FA0D37">
        <w:rPr>
          <w:bCs/>
          <w:i/>
          <w:iCs/>
        </w:rPr>
        <w:t>LocationMeasurementIndication message</w:t>
      </w:r>
    </w:p>
    <w:p w14:paraId="2BE86422" w14:textId="77777777" w:rsidR="00394471" w:rsidRPr="00FA0D37" w:rsidRDefault="00394471" w:rsidP="00FA0D37">
      <w:pPr>
        <w:pStyle w:val="PL"/>
        <w:rPr>
          <w:color w:val="808080"/>
        </w:rPr>
      </w:pPr>
      <w:r w:rsidRPr="00FA0D37">
        <w:rPr>
          <w:color w:val="808080"/>
        </w:rPr>
        <w:t>-- ASN1START</w:t>
      </w:r>
    </w:p>
    <w:p w14:paraId="0D56375C" w14:textId="77777777" w:rsidR="00394471" w:rsidRPr="00FA0D37" w:rsidRDefault="00394471" w:rsidP="00FA0D37">
      <w:pPr>
        <w:pStyle w:val="PL"/>
        <w:rPr>
          <w:color w:val="808080"/>
        </w:rPr>
      </w:pPr>
      <w:r w:rsidRPr="00FA0D37">
        <w:rPr>
          <w:color w:val="808080"/>
        </w:rPr>
        <w:t>-- TAG-LOCATIONMEASUREMENTINDICATION-START</w:t>
      </w:r>
    </w:p>
    <w:p w14:paraId="3F967114" w14:textId="77777777" w:rsidR="00394471" w:rsidRPr="00FA0D37" w:rsidRDefault="00394471" w:rsidP="00FA0D37">
      <w:pPr>
        <w:pStyle w:val="PL"/>
      </w:pPr>
    </w:p>
    <w:p w14:paraId="097CF000" w14:textId="77777777" w:rsidR="00394471" w:rsidRPr="00FA0D37" w:rsidRDefault="00394471" w:rsidP="00FA0D37">
      <w:pPr>
        <w:pStyle w:val="PL"/>
      </w:pPr>
      <w:r w:rsidRPr="00FA0D37">
        <w:t xml:space="preserve">LocationMeasurementIndication ::=           </w:t>
      </w:r>
      <w:r w:rsidRPr="00FA0D37">
        <w:rPr>
          <w:color w:val="993366"/>
        </w:rPr>
        <w:t>SEQUENCE</w:t>
      </w:r>
      <w:r w:rsidRPr="00FA0D37">
        <w:t xml:space="preserve"> {</w:t>
      </w:r>
    </w:p>
    <w:p w14:paraId="190FDA6A"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103AC0A5" w14:textId="77777777" w:rsidR="00394471" w:rsidRPr="00FA0D37" w:rsidRDefault="00394471" w:rsidP="00FA0D37">
      <w:pPr>
        <w:pStyle w:val="PL"/>
      </w:pPr>
      <w:r w:rsidRPr="00FA0D37">
        <w:t xml:space="preserve">        locationMeasurementIndication               LocationMeasurementIndication-IEs,</w:t>
      </w:r>
    </w:p>
    <w:p w14:paraId="38FD2CE5"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63B01472" w14:textId="77777777" w:rsidR="00394471" w:rsidRPr="00FA0D37" w:rsidRDefault="00394471" w:rsidP="00FA0D37">
      <w:pPr>
        <w:pStyle w:val="PL"/>
      </w:pPr>
      <w:r w:rsidRPr="00FA0D37">
        <w:t xml:space="preserve">    }</w:t>
      </w:r>
    </w:p>
    <w:p w14:paraId="750D4FA6" w14:textId="77777777" w:rsidR="00394471" w:rsidRPr="00FA0D37" w:rsidRDefault="00394471" w:rsidP="00FA0D37">
      <w:pPr>
        <w:pStyle w:val="PL"/>
      </w:pPr>
      <w:r w:rsidRPr="00FA0D37">
        <w:t>}</w:t>
      </w:r>
    </w:p>
    <w:p w14:paraId="1AB58546" w14:textId="77777777" w:rsidR="00394471" w:rsidRPr="00FA0D37" w:rsidRDefault="00394471" w:rsidP="00FA0D37">
      <w:pPr>
        <w:pStyle w:val="PL"/>
      </w:pPr>
    </w:p>
    <w:p w14:paraId="40C68C8C" w14:textId="77777777" w:rsidR="00394471" w:rsidRPr="00FA0D37" w:rsidRDefault="00394471" w:rsidP="00FA0D37">
      <w:pPr>
        <w:pStyle w:val="PL"/>
      </w:pPr>
      <w:r w:rsidRPr="00FA0D37">
        <w:t xml:space="preserve">LocationMeasurementIndication-IEs ::=       </w:t>
      </w:r>
      <w:r w:rsidRPr="00FA0D37">
        <w:rPr>
          <w:color w:val="993366"/>
        </w:rPr>
        <w:t>SEQUENCE</w:t>
      </w:r>
      <w:r w:rsidRPr="00FA0D37">
        <w:t xml:space="preserve"> {</w:t>
      </w:r>
    </w:p>
    <w:p w14:paraId="1C0AA097" w14:textId="77777777" w:rsidR="00394471" w:rsidRPr="00FA0D37" w:rsidRDefault="00394471" w:rsidP="00FA0D37">
      <w:pPr>
        <w:pStyle w:val="PL"/>
      </w:pPr>
      <w:r w:rsidRPr="00FA0D37">
        <w:t xml:space="preserve">    measurementIndication                       SetupRelease {LocationMeasurementInfo},</w:t>
      </w:r>
    </w:p>
    <w:p w14:paraId="5EBF9081"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761781EC"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7EE02B7F" w14:textId="77777777" w:rsidR="00394471" w:rsidRPr="00FA0D37" w:rsidRDefault="00394471" w:rsidP="00FA0D37">
      <w:pPr>
        <w:pStyle w:val="PL"/>
      </w:pPr>
      <w:r w:rsidRPr="00FA0D37">
        <w:t>}</w:t>
      </w:r>
    </w:p>
    <w:p w14:paraId="78F1B592" w14:textId="77777777" w:rsidR="00394471" w:rsidRPr="00FA0D37" w:rsidRDefault="00394471" w:rsidP="00FA0D37">
      <w:pPr>
        <w:pStyle w:val="PL"/>
      </w:pPr>
    </w:p>
    <w:p w14:paraId="6BCFADC7" w14:textId="77777777" w:rsidR="00394471" w:rsidRPr="00FA0D37" w:rsidRDefault="00394471" w:rsidP="00FA0D37">
      <w:pPr>
        <w:pStyle w:val="PL"/>
        <w:rPr>
          <w:color w:val="808080"/>
        </w:rPr>
      </w:pPr>
      <w:r w:rsidRPr="00FA0D37">
        <w:rPr>
          <w:color w:val="808080"/>
        </w:rPr>
        <w:t>-- TAG-LOCATIONMEASUREMENTINDICATION-STOP</w:t>
      </w:r>
    </w:p>
    <w:p w14:paraId="194AA25B" w14:textId="77777777" w:rsidR="00394471" w:rsidRPr="00FA0D37" w:rsidRDefault="00394471" w:rsidP="00FA0D37">
      <w:pPr>
        <w:pStyle w:val="PL"/>
        <w:rPr>
          <w:color w:val="808080"/>
        </w:rPr>
      </w:pPr>
      <w:r w:rsidRPr="00FA0D37">
        <w:rPr>
          <w:color w:val="808080"/>
        </w:rPr>
        <w:t>-- ASN1STOP</w:t>
      </w:r>
    </w:p>
    <w:p w14:paraId="5F4348A9" w14:textId="77777777" w:rsidR="00394471" w:rsidRPr="00FA0D37" w:rsidRDefault="00394471" w:rsidP="00394471">
      <w:pPr>
        <w:rPr>
          <w:rFonts w:eastAsiaTheme="minorEastAsia"/>
        </w:rPr>
      </w:pPr>
    </w:p>
    <w:p w14:paraId="33475FCD" w14:textId="77777777" w:rsidR="00394471" w:rsidRPr="00FA0D37" w:rsidRDefault="00394471" w:rsidP="00394471">
      <w:pPr>
        <w:pStyle w:val="4"/>
        <w:rPr>
          <w:rFonts w:eastAsia="MS Mincho"/>
        </w:rPr>
      </w:pPr>
      <w:bookmarkStart w:id="473" w:name="_Toc60777099"/>
      <w:bookmarkStart w:id="474" w:name="_Toc146781133"/>
      <w:r w:rsidRPr="00FA0D37">
        <w:rPr>
          <w:rFonts w:eastAsia="MS Mincho"/>
        </w:rPr>
        <w:lastRenderedPageBreak/>
        <w:t>–</w:t>
      </w:r>
      <w:r w:rsidRPr="00FA0D37">
        <w:rPr>
          <w:rFonts w:eastAsia="MS Mincho"/>
        </w:rPr>
        <w:tab/>
      </w:r>
      <w:r w:rsidRPr="00FA0D37">
        <w:rPr>
          <w:rFonts w:eastAsia="MS Mincho"/>
          <w:i/>
        </w:rPr>
        <w:t>LoggedMeasurementConfiguration</w:t>
      </w:r>
      <w:bookmarkEnd w:id="473"/>
      <w:bookmarkEnd w:id="474"/>
    </w:p>
    <w:p w14:paraId="5432FE3C" w14:textId="77777777" w:rsidR="00394471" w:rsidRPr="00FA0D37" w:rsidRDefault="00394471" w:rsidP="00394471">
      <w:pPr>
        <w:rPr>
          <w:rFonts w:eastAsia="Malgun Gothic"/>
          <w:lang w:eastAsia="ko-KR"/>
        </w:rPr>
      </w:pPr>
      <w:r w:rsidRPr="00FA0D37">
        <w:rPr>
          <w:rFonts w:eastAsia="Malgun Gothic"/>
          <w:lang w:eastAsia="ko-KR"/>
        </w:rPr>
        <w:t xml:space="preserve">The </w:t>
      </w:r>
      <w:r w:rsidRPr="00FA0D37">
        <w:rPr>
          <w:rFonts w:eastAsia="Malgun Gothic"/>
          <w:i/>
          <w:lang w:eastAsia="ko-KR"/>
        </w:rPr>
        <w:t xml:space="preserve">LoggedMeasurementConfiguration </w:t>
      </w:r>
      <w:r w:rsidRPr="00FA0D37">
        <w:rPr>
          <w:rFonts w:eastAsia="Malgun Gothic"/>
          <w:lang w:eastAsia="ko-KR"/>
        </w:rPr>
        <w:t xml:space="preserve">message is used to perform logging of measurement results while in RRC_IDLE </w:t>
      </w:r>
      <w:r w:rsidRPr="00FA0D37">
        <w:rPr>
          <w:lang w:eastAsia="zh-CN"/>
        </w:rPr>
        <w:t>or RRC_INACTIVE</w:t>
      </w:r>
      <w:r w:rsidRPr="00FA0D37">
        <w:rPr>
          <w:rFonts w:eastAsia="Malgun Gothic"/>
          <w:lang w:eastAsia="ko-KR"/>
        </w:rPr>
        <w:t>. It is used to transfer the logged measurement configuration for network performance optimisation.</w:t>
      </w:r>
    </w:p>
    <w:p w14:paraId="43501791" w14:textId="77777777" w:rsidR="00394471" w:rsidRPr="00FA0D37" w:rsidRDefault="00394471" w:rsidP="00394471">
      <w:pPr>
        <w:pStyle w:val="B1"/>
      </w:pPr>
      <w:r w:rsidRPr="00FA0D37">
        <w:t>Signalling radio bearer: SRB1</w:t>
      </w:r>
    </w:p>
    <w:p w14:paraId="72A4F25C" w14:textId="77777777" w:rsidR="00394471" w:rsidRPr="00FA0D37" w:rsidRDefault="00394471" w:rsidP="00394471">
      <w:pPr>
        <w:pStyle w:val="B1"/>
      </w:pPr>
      <w:r w:rsidRPr="00FA0D37">
        <w:t>RLC-SAP: AM</w:t>
      </w:r>
    </w:p>
    <w:p w14:paraId="3CF2A7B6" w14:textId="77777777" w:rsidR="00394471" w:rsidRPr="00FA0D37" w:rsidRDefault="00394471" w:rsidP="00394471">
      <w:pPr>
        <w:pStyle w:val="B1"/>
      </w:pPr>
      <w:r w:rsidRPr="00FA0D37">
        <w:t>Logical channel: DCCH</w:t>
      </w:r>
    </w:p>
    <w:p w14:paraId="4418C75C" w14:textId="77777777" w:rsidR="00394471" w:rsidRPr="00FA0D37" w:rsidRDefault="00394471" w:rsidP="00394471">
      <w:pPr>
        <w:pStyle w:val="B1"/>
      </w:pPr>
      <w:r w:rsidRPr="00FA0D37">
        <w:t>Direction: Network to UE</w:t>
      </w:r>
    </w:p>
    <w:p w14:paraId="05A4F0E3" w14:textId="77777777" w:rsidR="00394471" w:rsidRPr="00FA0D37" w:rsidRDefault="00394471" w:rsidP="00394471">
      <w:pPr>
        <w:pStyle w:val="TH"/>
        <w:rPr>
          <w:bCs/>
          <w:i/>
          <w:iCs/>
        </w:rPr>
      </w:pPr>
      <w:r w:rsidRPr="00FA0D37">
        <w:rPr>
          <w:bCs/>
          <w:i/>
          <w:iCs/>
        </w:rPr>
        <w:t>LoggedMeasurementConfiguration message</w:t>
      </w:r>
    </w:p>
    <w:p w14:paraId="23B9ED7D" w14:textId="77777777" w:rsidR="00394471" w:rsidRPr="00FA0D37" w:rsidRDefault="00394471" w:rsidP="00FA0D37">
      <w:pPr>
        <w:pStyle w:val="PL"/>
        <w:rPr>
          <w:color w:val="808080"/>
        </w:rPr>
      </w:pPr>
      <w:r w:rsidRPr="00FA0D37">
        <w:rPr>
          <w:color w:val="808080"/>
        </w:rPr>
        <w:t>-- ASN1START</w:t>
      </w:r>
    </w:p>
    <w:p w14:paraId="2ED890A7" w14:textId="77777777" w:rsidR="00394471" w:rsidRPr="00FA0D37" w:rsidRDefault="00394471" w:rsidP="00FA0D37">
      <w:pPr>
        <w:pStyle w:val="PL"/>
        <w:rPr>
          <w:color w:val="808080"/>
        </w:rPr>
      </w:pPr>
      <w:r w:rsidRPr="00FA0D37">
        <w:rPr>
          <w:color w:val="808080"/>
        </w:rPr>
        <w:t>-- TAG-LOGGEDMEASUREMENTCONFIGURATION-START</w:t>
      </w:r>
    </w:p>
    <w:p w14:paraId="45323201" w14:textId="77777777" w:rsidR="00394471" w:rsidRPr="00FA0D37" w:rsidRDefault="00394471" w:rsidP="00FA0D37">
      <w:pPr>
        <w:pStyle w:val="PL"/>
      </w:pPr>
    </w:p>
    <w:p w14:paraId="31B53A50" w14:textId="77777777" w:rsidR="00394471" w:rsidRPr="00FA0D37" w:rsidRDefault="00394471" w:rsidP="00FA0D37">
      <w:pPr>
        <w:pStyle w:val="PL"/>
      </w:pPr>
      <w:r w:rsidRPr="00FA0D37">
        <w:t xml:space="preserve">LoggedMeasurementConfiguration-r16 ::=  </w:t>
      </w:r>
      <w:r w:rsidRPr="00FA0D37">
        <w:rPr>
          <w:color w:val="993366"/>
        </w:rPr>
        <w:t>SEQUENCE</w:t>
      </w:r>
      <w:r w:rsidRPr="00FA0D37">
        <w:t xml:space="preserve"> {</w:t>
      </w:r>
    </w:p>
    <w:p w14:paraId="108AE2C3"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3B2A0232" w14:textId="77777777" w:rsidR="00394471" w:rsidRPr="00FA0D37" w:rsidRDefault="00394471" w:rsidP="00FA0D37">
      <w:pPr>
        <w:pStyle w:val="PL"/>
      </w:pPr>
      <w:r w:rsidRPr="00FA0D37">
        <w:t xml:space="preserve">        loggedMeasurementConfiguration-r16      LoggedMeasurementConfiguration-r16-IEs,</w:t>
      </w:r>
    </w:p>
    <w:p w14:paraId="55A30A36"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6ACB8F7C" w14:textId="77777777" w:rsidR="00394471" w:rsidRPr="00FA0D37" w:rsidRDefault="00394471" w:rsidP="00FA0D37">
      <w:pPr>
        <w:pStyle w:val="PL"/>
      </w:pPr>
      <w:r w:rsidRPr="00FA0D37">
        <w:t xml:space="preserve">    }</w:t>
      </w:r>
    </w:p>
    <w:p w14:paraId="1E4C6808" w14:textId="77777777" w:rsidR="00394471" w:rsidRPr="00FA0D37" w:rsidRDefault="00394471" w:rsidP="00FA0D37">
      <w:pPr>
        <w:pStyle w:val="PL"/>
      </w:pPr>
      <w:r w:rsidRPr="00FA0D37">
        <w:t>}</w:t>
      </w:r>
    </w:p>
    <w:p w14:paraId="743FC89B" w14:textId="77777777" w:rsidR="00394471" w:rsidRPr="00FA0D37" w:rsidRDefault="00394471" w:rsidP="00FA0D37">
      <w:pPr>
        <w:pStyle w:val="PL"/>
      </w:pPr>
    </w:p>
    <w:p w14:paraId="4DFFCA02" w14:textId="77777777" w:rsidR="00394471" w:rsidRPr="00FA0D37" w:rsidRDefault="00394471" w:rsidP="00FA0D37">
      <w:pPr>
        <w:pStyle w:val="PL"/>
      </w:pPr>
      <w:r w:rsidRPr="00FA0D37">
        <w:t xml:space="preserve">LoggedMeasurementConfiguration-r16-IEs ::=  </w:t>
      </w:r>
      <w:r w:rsidRPr="00FA0D37">
        <w:rPr>
          <w:color w:val="993366"/>
        </w:rPr>
        <w:t>SEQUENCE</w:t>
      </w:r>
      <w:r w:rsidRPr="00FA0D37">
        <w:t xml:space="preserve"> {</w:t>
      </w:r>
    </w:p>
    <w:p w14:paraId="68F5978D" w14:textId="77777777" w:rsidR="00394471" w:rsidRPr="00FA0D37" w:rsidRDefault="00394471" w:rsidP="00FA0D37">
      <w:pPr>
        <w:pStyle w:val="PL"/>
      </w:pPr>
      <w:r w:rsidRPr="00FA0D37">
        <w:t xml:space="preserve">    traceReference-r16                          TraceReference-r16,</w:t>
      </w:r>
    </w:p>
    <w:p w14:paraId="30C3DA7C" w14:textId="77777777" w:rsidR="00394471" w:rsidRPr="00FA0D37" w:rsidRDefault="00394471" w:rsidP="00FA0D37">
      <w:pPr>
        <w:pStyle w:val="PL"/>
      </w:pPr>
      <w:r w:rsidRPr="00FA0D37">
        <w:t xml:space="preserve">    traceRecordingSessionRef-r16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64A18DDA" w14:textId="77777777" w:rsidR="00394471" w:rsidRPr="00FA0D37" w:rsidRDefault="00394471" w:rsidP="00FA0D37">
      <w:pPr>
        <w:pStyle w:val="PL"/>
      </w:pPr>
      <w:r w:rsidRPr="00FA0D37">
        <w:t xml:space="preserve">    tce-Id-r16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(1)),</w:t>
      </w:r>
    </w:p>
    <w:p w14:paraId="24CBD6FD" w14:textId="77777777" w:rsidR="00394471" w:rsidRPr="00FA0D37" w:rsidRDefault="00394471" w:rsidP="00FA0D37">
      <w:pPr>
        <w:pStyle w:val="PL"/>
      </w:pPr>
      <w:r w:rsidRPr="00FA0D37">
        <w:t xml:space="preserve">    absoluteTimeInfo-r16                        AbsoluteTimeInfo-r16,</w:t>
      </w:r>
    </w:p>
    <w:p w14:paraId="3B0365E0" w14:textId="77777777" w:rsidR="00394471" w:rsidRPr="00FA0D37" w:rsidRDefault="00394471" w:rsidP="00FA0D37">
      <w:pPr>
        <w:pStyle w:val="PL"/>
        <w:rPr>
          <w:color w:val="808080"/>
        </w:rPr>
      </w:pPr>
      <w:r w:rsidRPr="00FA0D37">
        <w:t xml:space="preserve">    areaConfiguration-r16                       AreaConfiguration-r16                    </w:t>
      </w:r>
      <w:r w:rsidRPr="00FA0D37">
        <w:rPr>
          <w:color w:val="993366"/>
        </w:rPr>
        <w:t>OPTIONAL</w:t>
      </w:r>
      <w:r w:rsidRPr="00FA0D37">
        <w:t xml:space="preserve">,  </w:t>
      </w:r>
      <w:r w:rsidRPr="00FA0D37">
        <w:rPr>
          <w:color w:val="808080"/>
        </w:rPr>
        <w:t>--Need R</w:t>
      </w:r>
    </w:p>
    <w:p w14:paraId="0C682489" w14:textId="77777777" w:rsidR="00394471" w:rsidRPr="00FA0D37" w:rsidRDefault="00394471" w:rsidP="00FA0D37">
      <w:pPr>
        <w:pStyle w:val="PL"/>
        <w:rPr>
          <w:color w:val="808080"/>
        </w:rPr>
      </w:pPr>
      <w:r w:rsidRPr="00FA0D37">
        <w:t xml:space="preserve">    plmn-IdentityList-r16                       PLMN-IdentityList2-r16                   </w:t>
      </w:r>
      <w:r w:rsidRPr="00FA0D37">
        <w:rPr>
          <w:color w:val="993366"/>
        </w:rPr>
        <w:t>OPTIONAL</w:t>
      </w:r>
      <w:r w:rsidRPr="00FA0D37">
        <w:t xml:space="preserve">,  </w:t>
      </w:r>
      <w:r w:rsidRPr="00FA0D37">
        <w:rPr>
          <w:color w:val="808080"/>
        </w:rPr>
        <w:t>--Need R</w:t>
      </w:r>
    </w:p>
    <w:p w14:paraId="124E4D4D" w14:textId="77777777" w:rsidR="00394471" w:rsidRPr="00FA0D37" w:rsidRDefault="00394471" w:rsidP="00FA0D37">
      <w:pPr>
        <w:pStyle w:val="PL"/>
        <w:rPr>
          <w:color w:val="808080"/>
        </w:rPr>
      </w:pPr>
      <w:r w:rsidRPr="00FA0D37">
        <w:t xml:space="preserve">    bt-NameList-r16                             SetupRelease {BT-NameList-r16}           </w:t>
      </w:r>
      <w:r w:rsidRPr="00FA0D37">
        <w:rPr>
          <w:color w:val="993366"/>
        </w:rPr>
        <w:t>OPTIONAL</w:t>
      </w:r>
      <w:r w:rsidRPr="00FA0D37">
        <w:t xml:space="preserve">,  </w:t>
      </w:r>
      <w:r w:rsidRPr="00FA0D37">
        <w:rPr>
          <w:color w:val="808080"/>
        </w:rPr>
        <w:t>--Need M</w:t>
      </w:r>
    </w:p>
    <w:p w14:paraId="60F838EB" w14:textId="77777777" w:rsidR="00394471" w:rsidRPr="00FA0D37" w:rsidRDefault="00394471" w:rsidP="00FA0D37">
      <w:pPr>
        <w:pStyle w:val="PL"/>
        <w:rPr>
          <w:color w:val="808080"/>
        </w:rPr>
      </w:pPr>
      <w:r w:rsidRPr="00FA0D37">
        <w:t xml:space="preserve">    wlan-NameList-r16                           SetupRelease {WLAN-NameList-r16}         </w:t>
      </w:r>
      <w:r w:rsidRPr="00FA0D37">
        <w:rPr>
          <w:color w:val="993366"/>
        </w:rPr>
        <w:t>OPTIONAL</w:t>
      </w:r>
      <w:r w:rsidRPr="00FA0D37">
        <w:t xml:space="preserve">,  </w:t>
      </w:r>
      <w:r w:rsidRPr="00FA0D37">
        <w:rPr>
          <w:color w:val="808080"/>
        </w:rPr>
        <w:t>--Need M</w:t>
      </w:r>
    </w:p>
    <w:p w14:paraId="2DAC872F" w14:textId="77777777" w:rsidR="00394471" w:rsidRPr="00FA0D37" w:rsidRDefault="00394471" w:rsidP="00FA0D37">
      <w:pPr>
        <w:pStyle w:val="PL"/>
        <w:rPr>
          <w:color w:val="808080"/>
        </w:rPr>
      </w:pPr>
      <w:r w:rsidRPr="00FA0D37">
        <w:t xml:space="preserve">    sensor-NameList-r16                         SetupRelease {Sensor-NameList-r16}       </w:t>
      </w:r>
      <w:r w:rsidRPr="00FA0D37">
        <w:rPr>
          <w:color w:val="993366"/>
        </w:rPr>
        <w:t>OPTIONAL</w:t>
      </w:r>
      <w:r w:rsidRPr="00FA0D37">
        <w:t xml:space="preserve">,  </w:t>
      </w:r>
      <w:r w:rsidRPr="00FA0D37">
        <w:rPr>
          <w:color w:val="808080"/>
        </w:rPr>
        <w:t>--Need M</w:t>
      </w:r>
    </w:p>
    <w:p w14:paraId="4ECADA8F" w14:textId="77777777" w:rsidR="00394471" w:rsidRPr="00FA0D37" w:rsidRDefault="00394471" w:rsidP="00FA0D37">
      <w:pPr>
        <w:pStyle w:val="PL"/>
      </w:pPr>
      <w:r w:rsidRPr="00FA0D37">
        <w:t xml:space="preserve">    loggingDuration-r16                         LoggingDuration-r16,</w:t>
      </w:r>
    </w:p>
    <w:p w14:paraId="572F7A89" w14:textId="77777777" w:rsidR="00394471" w:rsidRPr="00FA0D37" w:rsidRDefault="00394471" w:rsidP="00FA0D37">
      <w:pPr>
        <w:pStyle w:val="PL"/>
      </w:pPr>
      <w:r w:rsidRPr="00FA0D37">
        <w:t xml:space="preserve">    reportType                                  </w:t>
      </w:r>
      <w:r w:rsidRPr="00FA0D37">
        <w:rPr>
          <w:color w:val="993366"/>
        </w:rPr>
        <w:t>CHOICE</w:t>
      </w:r>
      <w:r w:rsidRPr="00FA0D37">
        <w:t xml:space="preserve"> {</w:t>
      </w:r>
    </w:p>
    <w:p w14:paraId="537CCAC3" w14:textId="77777777" w:rsidR="00394471" w:rsidRPr="00FA0D37" w:rsidRDefault="00394471" w:rsidP="00FA0D37">
      <w:pPr>
        <w:pStyle w:val="PL"/>
      </w:pPr>
      <w:r w:rsidRPr="00FA0D37">
        <w:t xml:space="preserve">        periodical                                  LoggedPeriodicalReportConfig-r16,</w:t>
      </w:r>
    </w:p>
    <w:p w14:paraId="757B7161" w14:textId="77777777" w:rsidR="00394471" w:rsidRPr="00FA0D37" w:rsidRDefault="00394471" w:rsidP="00FA0D37">
      <w:pPr>
        <w:pStyle w:val="PL"/>
      </w:pPr>
      <w:r w:rsidRPr="00FA0D37">
        <w:t xml:space="preserve">        eventTriggered                              LoggedEventTriggerConfig-r16,</w:t>
      </w:r>
    </w:p>
    <w:p w14:paraId="1BB98E93" w14:textId="77777777" w:rsidR="00394471" w:rsidRPr="00FA0D37" w:rsidRDefault="00394471" w:rsidP="00FA0D37">
      <w:pPr>
        <w:pStyle w:val="PL"/>
      </w:pPr>
      <w:r w:rsidRPr="00FA0D37">
        <w:t xml:space="preserve">        ...</w:t>
      </w:r>
    </w:p>
    <w:p w14:paraId="389F6C74" w14:textId="77777777" w:rsidR="00394471" w:rsidRPr="00FA0D37" w:rsidRDefault="00394471" w:rsidP="00FA0D37">
      <w:pPr>
        <w:pStyle w:val="PL"/>
      </w:pPr>
      <w:r w:rsidRPr="00FA0D37">
        <w:t xml:space="preserve">    },</w:t>
      </w:r>
    </w:p>
    <w:p w14:paraId="571069D1"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BB8624D" w14:textId="36B56ED9" w:rsidR="00394471" w:rsidRPr="00FA0D37" w:rsidRDefault="00394471" w:rsidP="00FA0D37">
      <w:pPr>
        <w:pStyle w:val="PL"/>
      </w:pPr>
      <w:r w:rsidRPr="00FA0D37">
        <w:t xml:space="preserve">    nonCriticalExtension                        </w:t>
      </w:r>
      <w:r w:rsidR="00E84B6D" w:rsidRPr="00FA0D37">
        <w:t>LoggedMeasurementConfiguration-v1700-IEs</w:t>
      </w:r>
      <w:r w:rsidRPr="00FA0D37">
        <w:t xml:space="preserve"> </w:t>
      </w:r>
      <w:r w:rsidRPr="00FA0D37">
        <w:rPr>
          <w:color w:val="993366"/>
        </w:rPr>
        <w:t>OPTIONAL</w:t>
      </w:r>
    </w:p>
    <w:p w14:paraId="5B9FE29D" w14:textId="77777777" w:rsidR="00394471" w:rsidRPr="00FA0D37" w:rsidRDefault="00394471" w:rsidP="00FA0D37">
      <w:pPr>
        <w:pStyle w:val="PL"/>
      </w:pPr>
      <w:r w:rsidRPr="00FA0D37">
        <w:t>}</w:t>
      </w:r>
    </w:p>
    <w:p w14:paraId="1FC5752F" w14:textId="77777777" w:rsidR="00394471" w:rsidRPr="00FA0D37" w:rsidRDefault="00394471" w:rsidP="00FA0D37">
      <w:pPr>
        <w:pStyle w:val="PL"/>
      </w:pPr>
    </w:p>
    <w:p w14:paraId="6232CE96" w14:textId="10D0F89A" w:rsidR="00E84B6D" w:rsidRPr="00FA0D37" w:rsidRDefault="00E84B6D" w:rsidP="00FA0D37">
      <w:pPr>
        <w:pStyle w:val="PL"/>
      </w:pPr>
      <w:r w:rsidRPr="00FA0D37">
        <w:t xml:space="preserve">LoggedMeasurementConfiguration-v1700-IEs ::= </w:t>
      </w:r>
      <w:r w:rsidRPr="00FA0D37">
        <w:rPr>
          <w:color w:val="993366"/>
        </w:rPr>
        <w:t>SEQUENCE</w:t>
      </w:r>
      <w:r w:rsidRPr="00FA0D37">
        <w:t xml:space="preserve"> {</w:t>
      </w:r>
    </w:p>
    <w:p w14:paraId="522C37AB" w14:textId="19E5145C" w:rsidR="00E84B6D" w:rsidRPr="00FA0D37" w:rsidRDefault="00E84B6D" w:rsidP="00FA0D37">
      <w:pPr>
        <w:pStyle w:val="PL"/>
        <w:rPr>
          <w:color w:val="808080"/>
        </w:rPr>
      </w:pPr>
      <w:r w:rsidRPr="00FA0D37">
        <w:t xml:space="preserve">    sigLoggedMeasType-r17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05607989" w14:textId="5E3EA7B9" w:rsidR="00E84B6D" w:rsidRPr="00FA0D37" w:rsidRDefault="00E84B6D" w:rsidP="00FA0D37">
      <w:pPr>
        <w:pStyle w:val="PL"/>
        <w:rPr>
          <w:color w:val="808080"/>
        </w:rPr>
      </w:pPr>
      <w:r w:rsidRPr="00FA0D37">
        <w:t xml:space="preserve">    earlyMeasIndication-r17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61232B26" w14:textId="65159763" w:rsidR="00E84B6D" w:rsidRPr="00FA0D37" w:rsidRDefault="00E84B6D" w:rsidP="00FA0D37">
      <w:pPr>
        <w:pStyle w:val="PL"/>
        <w:rPr>
          <w:color w:val="808080"/>
        </w:rPr>
      </w:pPr>
      <w:r w:rsidRPr="00FA0D37">
        <w:lastRenderedPageBreak/>
        <w:t xml:space="preserve">    areaConfiguration-v1700                     AreaConfiguration-v1700                  </w:t>
      </w:r>
      <w:r w:rsidRPr="00FA0D37">
        <w:rPr>
          <w:color w:val="993366"/>
        </w:rPr>
        <w:t>OPTIONAL</w:t>
      </w:r>
      <w:r w:rsidRPr="00FA0D37">
        <w:t xml:space="preserve">,  </w:t>
      </w:r>
      <w:r w:rsidRPr="00FA0D37">
        <w:rPr>
          <w:color w:val="808080"/>
        </w:rPr>
        <w:t>--Need R</w:t>
      </w:r>
    </w:p>
    <w:p w14:paraId="1D3B3B5B" w14:textId="77777777" w:rsidR="00E84B6D" w:rsidRPr="00FA0D37" w:rsidRDefault="00E84B6D"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0460D0C7" w14:textId="77777777" w:rsidR="00E84B6D" w:rsidRPr="00FA0D37" w:rsidRDefault="00E84B6D" w:rsidP="00FA0D37">
      <w:pPr>
        <w:pStyle w:val="PL"/>
      </w:pPr>
      <w:r w:rsidRPr="00FA0D37">
        <w:t>}</w:t>
      </w:r>
    </w:p>
    <w:p w14:paraId="227EB531" w14:textId="77777777" w:rsidR="00E84B6D" w:rsidRPr="00FA0D37" w:rsidRDefault="00E84B6D" w:rsidP="00FA0D37">
      <w:pPr>
        <w:pStyle w:val="PL"/>
      </w:pPr>
    </w:p>
    <w:p w14:paraId="752D3EDF" w14:textId="031046F4" w:rsidR="00394471" w:rsidRPr="00FA0D37" w:rsidRDefault="00394471" w:rsidP="00FA0D37">
      <w:pPr>
        <w:pStyle w:val="PL"/>
      </w:pPr>
      <w:r w:rsidRPr="00FA0D37">
        <w:t xml:space="preserve">LoggedPeriodicalReportConfig-r16 ::=            </w:t>
      </w:r>
      <w:r w:rsidRPr="00FA0D37">
        <w:rPr>
          <w:color w:val="993366"/>
        </w:rPr>
        <w:t>SEQUENCE</w:t>
      </w:r>
      <w:r w:rsidRPr="00FA0D37">
        <w:t xml:space="preserve"> {</w:t>
      </w:r>
    </w:p>
    <w:p w14:paraId="63D1F70E" w14:textId="77777777" w:rsidR="00394471" w:rsidRPr="00FA0D37" w:rsidRDefault="00394471" w:rsidP="00FA0D37">
      <w:pPr>
        <w:pStyle w:val="PL"/>
      </w:pPr>
      <w:r w:rsidRPr="00FA0D37">
        <w:t xml:space="preserve">    loggingInterval-r16                             LoggingInterval-r16,</w:t>
      </w:r>
    </w:p>
    <w:p w14:paraId="08FFD2A5" w14:textId="77777777" w:rsidR="00394471" w:rsidRPr="00FA0D37" w:rsidRDefault="00394471" w:rsidP="00FA0D37">
      <w:pPr>
        <w:pStyle w:val="PL"/>
      </w:pPr>
      <w:r w:rsidRPr="00FA0D37">
        <w:t xml:space="preserve">    ...</w:t>
      </w:r>
    </w:p>
    <w:p w14:paraId="5940AF66" w14:textId="77777777" w:rsidR="00394471" w:rsidRPr="00FA0D37" w:rsidRDefault="00394471" w:rsidP="00FA0D37">
      <w:pPr>
        <w:pStyle w:val="PL"/>
      </w:pPr>
      <w:r w:rsidRPr="00FA0D37">
        <w:t xml:space="preserve"> }</w:t>
      </w:r>
    </w:p>
    <w:p w14:paraId="2195C362" w14:textId="77777777" w:rsidR="00394471" w:rsidRPr="00FA0D37" w:rsidRDefault="00394471" w:rsidP="00FA0D37">
      <w:pPr>
        <w:pStyle w:val="PL"/>
      </w:pPr>
    </w:p>
    <w:p w14:paraId="09754C97" w14:textId="77777777" w:rsidR="00394471" w:rsidRPr="00FA0D37" w:rsidRDefault="00394471" w:rsidP="00FA0D37">
      <w:pPr>
        <w:pStyle w:val="PL"/>
      </w:pPr>
      <w:r w:rsidRPr="00FA0D37">
        <w:t xml:space="preserve">LoggedEventTriggerConfig-r16 ::=                </w:t>
      </w:r>
      <w:r w:rsidRPr="00FA0D37">
        <w:rPr>
          <w:color w:val="993366"/>
        </w:rPr>
        <w:t>SEQUENCE</w:t>
      </w:r>
      <w:r w:rsidRPr="00FA0D37">
        <w:t xml:space="preserve"> {</w:t>
      </w:r>
    </w:p>
    <w:p w14:paraId="7407E2FE" w14:textId="77777777" w:rsidR="00394471" w:rsidRPr="00FA0D37" w:rsidRDefault="00394471" w:rsidP="00FA0D37">
      <w:pPr>
        <w:pStyle w:val="PL"/>
      </w:pPr>
      <w:r w:rsidRPr="00FA0D37">
        <w:t xml:space="preserve">    eventType-r16                                   EventType-r16,</w:t>
      </w:r>
    </w:p>
    <w:p w14:paraId="6D9C1591" w14:textId="77777777" w:rsidR="00394471" w:rsidRPr="00FA0D37" w:rsidRDefault="00394471" w:rsidP="00FA0D37">
      <w:pPr>
        <w:pStyle w:val="PL"/>
      </w:pPr>
      <w:r w:rsidRPr="00FA0D37">
        <w:t xml:space="preserve">    loggingInterval-r16                             LoggingInterval-r16,</w:t>
      </w:r>
    </w:p>
    <w:p w14:paraId="17F46014" w14:textId="77777777" w:rsidR="00394471" w:rsidRPr="00FA0D37" w:rsidRDefault="00394471" w:rsidP="00FA0D37">
      <w:pPr>
        <w:pStyle w:val="PL"/>
      </w:pPr>
      <w:r w:rsidRPr="00FA0D37">
        <w:t xml:space="preserve">    ...</w:t>
      </w:r>
    </w:p>
    <w:p w14:paraId="1516913F" w14:textId="77777777" w:rsidR="00394471" w:rsidRPr="00FA0D37" w:rsidRDefault="00394471" w:rsidP="00FA0D37">
      <w:pPr>
        <w:pStyle w:val="PL"/>
      </w:pPr>
      <w:r w:rsidRPr="00FA0D37">
        <w:t>}</w:t>
      </w:r>
    </w:p>
    <w:p w14:paraId="1DCED749" w14:textId="77777777" w:rsidR="00394471" w:rsidRPr="00FA0D37" w:rsidRDefault="00394471" w:rsidP="00FA0D37">
      <w:pPr>
        <w:pStyle w:val="PL"/>
      </w:pPr>
    </w:p>
    <w:p w14:paraId="2325C43E" w14:textId="77777777" w:rsidR="00394471" w:rsidRPr="00FA0D37" w:rsidRDefault="00394471" w:rsidP="00FA0D37">
      <w:pPr>
        <w:pStyle w:val="PL"/>
      </w:pPr>
      <w:r w:rsidRPr="00FA0D37">
        <w:t xml:space="preserve">EventType-r16 ::= </w:t>
      </w:r>
      <w:r w:rsidRPr="00FA0D37">
        <w:rPr>
          <w:color w:val="993366"/>
        </w:rPr>
        <w:t>CHOICE</w:t>
      </w:r>
      <w:r w:rsidRPr="00FA0D37">
        <w:t xml:space="preserve"> {</w:t>
      </w:r>
    </w:p>
    <w:p w14:paraId="7AE64541" w14:textId="77777777" w:rsidR="00394471" w:rsidRPr="00FA0D37" w:rsidRDefault="00394471" w:rsidP="00FA0D37">
      <w:pPr>
        <w:pStyle w:val="PL"/>
      </w:pPr>
      <w:r w:rsidRPr="00FA0D37">
        <w:t xml:space="preserve">    outOfCoverage     </w:t>
      </w:r>
      <w:r w:rsidRPr="00FA0D37">
        <w:rPr>
          <w:color w:val="993366"/>
        </w:rPr>
        <w:t>NULL</w:t>
      </w:r>
      <w:r w:rsidRPr="00FA0D37">
        <w:t>,</w:t>
      </w:r>
    </w:p>
    <w:p w14:paraId="6EFBBA6F" w14:textId="77777777" w:rsidR="00394471" w:rsidRPr="00FA0D37" w:rsidRDefault="00394471" w:rsidP="00FA0D37">
      <w:pPr>
        <w:pStyle w:val="PL"/>
      </w:pPr>
      <w:r w:rsidRPr="00FA0D37">
        <w:t xml:space="preserve">    event</w:t>
      </w:r>
      <w:r w:rsidRPr="00FA0D37">
        <w:rPr>
          <w:rFonts w:eastAsia="等线"/>
        </w:rPr>
        <w:t>L1</w:t>
      </w:r>
      <w:r w:rsidRPr="00FA0D37">
        <w:t xml:space="preserve">           </w:t>
      </w:r>
      <w:r w:rsidRPr="00FA0D37">
        <w:rPr>
          <w:color w:val="993366"/>
        </w:rPr>
        <w:t>SEQUENCE</w:t>
      </w:r>
      <w:r w:rsidRPr="00FA0D37">
        <w:t xml:space="preserve"> {</w:t>
      </w:r>
    </w:p>
    <w:p w14:paraId="4A2C1CD9" w14:textId="77777777" w:rsidR="00394471" w:rsidRPr="00FA0D37" w:rsidRDefault="00394471" w:rsidP="00FA0D37">
      <w:pPr>
        <w:pStyle w:val="PL"/>
      </w:pPr>
      <w:r w:rsidRPr="00FA0D37">
        <w:t xml:space="preserve">        l1-Threshold      MeasTriggerQuantity,</w:t>
      </w:r>
    </w:p>
    <w:p w14:paraId="195B99A9" w14:textId="77777777" w:rsidR="00394471" w:rsidRPr="00FA0D37" w:rsidRDefault="00394471" w:rsidP="00FA0D37">
      <w:pPr>
        <w:pStyle w:val="PL"/>
      </w:pPr>
      <w:r w:rsidRPr="00FA0D37">
        <w:t xml:space="preserve">        hysteresis        Hysteresis,</w:t>
      </w:r>
    </w:p>
    <w:p w14:paraId="6A22A04A" w14:textId="77777777" w:rsidR="00394471" w:rsidRPr="00FA0D37" w:rsidRDefault="00394471" w:rsidP="00FA0D37">
      <w:pPr>
        <w:pStyle w:val="PL"/>
      </w:pPr>
      <w:r w:rsidRPr="00FA0D37">
        <w:t xml:space="preserve">        timeToTrigger     TimeToTrigger</w:t>
      </w:r>
    </w:p>
    <w:p w14:paraId="4D6C240E" w14:textId="77777777" w:rsidR="00394471" w:rsidRPr="00FA0D37" w:rsidRDefault="00394471" w:rsidP="00FA0D37">
      <w:pPr>
        <w:pStyle w:val="PL"/>
      </w:pPr>
      <w:r w:rsidRPr="00FA0D37">
        <w:t xml:space="preserve">    },</w:t>
      </w:r>
    </w:p>
    <w:p w14:paraId="48AFF983" w14:textId="77777777" w:rsidR="00394471" w:rsidRPr="00FA0D37" w:rsidRDefault="00394471" w:rsidP="00FA0D37">
      <w:pPr>
        <w:pStyle w:val="PL"/>
      </w:pPr>
      <w:r w:rsidRPr="00FA0D37">
        <w:t xml:space="preserve">    ...</w:t>
      </w:r>
    </w:p>
    <w:p w14:paraId="2203FAEC" w14:textId="77777777" w:rsidR="00394471" w:rsidRPr="00FA0D37" w:rsidRDefault="00394471" w:rsidP="00FA0D37">
      <w:pPr>
        <w:pStyle w:val="PL"/>
      </w:pPr>
      <w:r w:rsidRPr="00FA0D37">
        <w:t>}</w:t>
      </w:r>
    </w:p>
    <w:p w14:paraId="0DBDEB88" w14:textId="77777777" w:rsidR="00394471" w:rsidRPr="00FA0D37" w:rsidRDefault="00394471" w:rsidP="00FA0D37">
      <w:pPr>
        <w:pStyle w:val="PL"/>
      </w:pPr>
    </w:p>
    <w:p w14:paraId="4A0171EF" w14:textId="77777777" w:rsidR="00394471" w:rsidRPr="00FA0D37" w:rsidRDefault="00394471" w:rsidP="00FA0D37">
      <w:pPr>
        <w:pStyle w:val="PL"/>
        <w:rPr>
          <w:color w:val="808080"/>
        </w:rPr>
      </w:pPr>
      <w:r w:rsidRPr="00FA0D37">
        <w:rPr>
          <w:color w:val="808080"/>
        </w:rPr>
        <w:t>-- TAG-LOGGEDMEASUREMENTCONFIGURATION-STOP</w:t>
      </w:r>
    </w:p>
    <w:p w14:paraId="347CBA23" w14:textId="77777777" w:rsidR="00394471" w:rsidRPr="00FA0D37" w:rsidRDefault="00394471" w:rsidP="00FA0D37">
      <w:pPr>
        <w:pStyle w:val="PL"/>
        <w:rPr>
          <w:color w:val="808080"/>
        </w:rPr>
      </w:pPr>
      <w:r w:rsidRPr="00FA0D37">
        <w:rPr>
          <w:color w:val="808080"/>
        </w:rPr>
        <w:t>-- ASN1STOP</w:t>
      </w:r>
    </w:p>
    <w:p w14:paraId="2FFDA22A" w14:textId="77777777" w:rsidR="00394471" w:rsidRPr="00FA0D3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120DF89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042E9BE" w14:textId="77777777" w:rsidR="00394471" w:rsidRPr="00FA0D37" w:rsidRDefault="00394471" w:rsidP="00964CC4">
            <w:pPr>
              <w:pStyle w:val="TAH"/>
              <w:rPr>
                <w:lang w:eastAsia="en-GB"/>
              </w:rPr>
            </w:pPr>
            <w:r w:rsidRPr="00FA0D37">
              <w:rPr>
                <w:i/>
                <w:iCs/>
                <w:lang w:eastAsia="ko-KR"/>
              </w:rPr>
              <w:lastRenderedPageBreak/>
              <w:t>LoggedMeasurementConfiguration</w:t>
            </w:r>
            <w:r w:rsidRPr="00FA0D37">
              <w:rPr>
                <w:iCs/>
                <w:lang w:eastAsia="en-GB"/>
              </w:rPr>
              <w:t xml:space="preserve"> field descriptions</w:t>
            </w:r>
          </w:p>
        </w:tc>
      </w:tr>
      <w:tr w:rsidR="005C7FF4" w:rsidRPr="00FA0D37" w14:paraId="6239DCF1"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0769AA" w14:textId="77777777" w:rsidR="00394471" w:rsidRPr="00FA0D37" w:rsidRDefault="00394471" w:rsidP="00964CC4">
            <w:pPr>
              <w:pStyle w:val="TAL"/>
              <w:rPr>
                <w:rFonts w:eastAsia="宋体"/>
                <w:b/>
                <w:bCs/>
                <w:i/>
                <w:iCs/>
                <w:lang w:eastAsia="sv-SE"/>
              </w:rPr>
            </w:pPr>
            <w:r w:rsidRPr="00FA0D37">
              <w:rPr>
                <w:rFonts w:eastAsia="宋体"/>
                <w:b/>
                <w:bCs/>
                <w:i/>
                <w:iCs/>
                <w:lang w:eastAsia="sv-SE"/>
              </w:rPr>
              <w:t>absoluteTimeInfo</w:t>
            </w:r>
          </w:p>
          <w:p w14:paraId="606D754C" w14:textId="77777777" w:rsidR="00394471" w:rsidRPr="00FA0D37" w:rsidRDefault="00394471" w:rsidP="00964CC4">
            <w:pPr>
              <w:pStyle w:val="TAL"/>
              <w:rPr>
                <w:iCs/>
                <w:lang w:eastAsia="ko-KR"/>
              </w:rPr>
            </w:pPr>
            <w:r w:rsidRPr="00FA0D37">
              <w:rPr>
                <w:iCs/>
                <w:lang w:eastAsia="ko-KR"/>
              </w:rPr>
              <w:t xml:space="preserve">Indicates </w:t>
            </w:r>
            <w:r w:rsidRPr="00FA0D37">
              <w:rPr>
                <w:rFonts w:eastAsia="宋体"/>
                <w:lang w:eastAsia="sv-SE"/>
              </w:rPr>
              <w:t>the absolute time in the current cell.</w:t>
            </w:r>
          </w:p>
        </w:tc>
      </w:tr>
      <w:tr w:rsidR="005C7FF4" w:rsidRPr="00FA0D37" w14:paraId="79344E5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DDFED0" w14:textId="77777777" w:rsidR="00394471" w:rsidRPr="00FA0D37" w:rsidRDefault="00394471" w:rsidP="00964CC4">
            <w:pPr>
              <w:pStyle w:val="TAL"/>
              <w:rPr>
                <w:rFonts w:eastAsia="宋体"/>
                <w:b/>
                <w:bCs/>
                <w:i/>
                <w:kern w:val="2"/>
                <w:lang w:eastAsia="en-GB"/>
              </w:rPr>
            </w:pPr>
            <w:r w:rsidRPr="00FA0D37">
              <w:rPr>
                <w:rFonts w:eastAsia="宋体"/>
                <w:b/>
                <w:bCs/>
                <w:i/>
                <w:kern w:val="2"/>
                <w:lang w:eastAsia="en-GB"/>
              </w:rPr>
              <w:t>areaConfiguration</w:t>
            </w:r>
          </w:p>
          <w:p w14:paraId="3F8555AB" w14:textId="77777777" w:rsidR="00394471" w:rsidRPr="00FA0D37" w:rsidRDefault="00394471" w:rsidP="00964CC4">
            <w:pPr>
              <w:pStyle w:val="TAL"/>
              <w:rPr>
                <w:rFonts w:eastAsia="宋体"/>
                <w:b/>
                <w:bCs/>
                <w:i/>
                <w:kern w:val="2"/>
                <w:lang w:eastAsia="en-GB"/>
              </w:rPr>
            </w:pPr>
            <w:r w:rsidRPr="00FA0D37">
              <w:rPr>
                <w:bCs/>
                <w:iCs/>
                <w:lang w:eastAsia="ko-KR"/>
              </w:rPr>
              <w:t xml:space="preserve">Used </w:t>
            </w:r>
            <w:r w:rsidRPr="00FA0D37">
              <w:rPr>
                <w:rFonts w:eastAsia="宋体"/>
                <w:kern w:val="2"/>
                <w:lang w:eastAsia="en-GB"/>
              </w:rPr>
              <w:t xml:space="preserve">to </w:t>
            </w:r>
            <w:r w:rsidRPr="00FA0D37">
              <w:rPr>
                <w:rFonts w:eastAsia="宋体"/>
                <w:bCs/>
                <w:kern w:val="2"/>
                <w:lang w:eastAsia="en-GB"/>
              </w:rPr>
              <w:t>restrict the area in which the UE performs measurement logging to cells broadcasting either one of the included cell identities or one of the included tracking area codes/ frequencies</w:t>
            </w:r>
            <w:r w:rsidRPr="00FA0D37">
              <w:rPr>
                <w:rFonts w:eastAsia="宋体"/>
                <w:kern w:val="2"/>
                <w:lang w:eastAsia="en-GB"/>
              </w:rPr>
              <w:t>.</w:t>
            </w:r>
          </w:p>
        </w:tc>
      </w:tr>
      <w:tr w:rsidR="005C7FF4" w:rsidRPr="00FA0D37" w14:paraId="28B1F0A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D70B02D" w14:textId="77777777" w:rsidR="00E84B6D" w:rsidRPr="00FA0D37" w:rsidRDefault="00E84B6D" w:rsidP="00E84B6D">
            <w:pPr>
              <w:pStyle w:val="TAL"/>
              <w:rPr>
                <w:rFonts w:eastAsia="宋体"/>
                <w:b/>
                <w:bCs/>
                <w:i/>
                <w:kern w:val="2"/>
                <w:lang w:eastAsia="en-GB"/>
              </w:rPr>
            </w:pPr>
            <w:r w:rsidRPr="00FA0D37">
              <w:rPr>
                <w:rFonts w:eastAsia="宋体"/>
                <w:b/>
                <w:bCs/>
                <w:i/>
                <w:kern w:val="2"/>
                <w:lang w:eastAsia="en-GB"/>
              </w:rPr>
              <w:t>earlyMeasIndication</w:t>
            </w:r>
          </w:p>
          <w:p w14:paraId="5400405C" w14:textId="77239F30" w:rsidR="00E84B6D" w:rsidRPr="00FA0D37" w:rsidRDefault="00E84B6D" w:rsidP="00E84B6D">
            <w:pPr>
              <w:pStyle w:val="TAL"/>
              <w:rPr>
                <w:rFonts w:eastAsia="宋体"/>
                <w:iCs/>
                <w:kern w:val="2"/>
                <w:lang w:eastAsia="en-GB"/>
              </w:rPr>
            </w:pPr>
            <w:r w:rsidRPr="00FA0D37">
              <w:rPr>
                <w:rFonts w:eastAsia="宋体"/>
                <w:iCs/>
                <w:kern w:val="2"/>
                <w:lang w:eastAsia="en-GB"/>
              </w:rPr>
              <w:t>If included, the field indicates the UE is allowed to log measurements on early measurement related frequencies in logged measurements.</w:t>
            </w:r>
          </w:p>
        </w:tc>
      </w:tr>
      <w:tr w:rsidR="005C7FF4" w:rsidRPr="00FA0D37" w14:paraId="71F6501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AF76C4" w14:textId="77777777" w:rsidR="00394471" w:rsidRPr="00FA0D37" w:rsidRDefault="00394471" w:rsidP="00964CC4">
            <w:pPr>
              <w:pStyle w:val="TAL"/>
              <w:rPr>
                <w:b/>
                <w:i/>
                <w:lang w:eastAsia="sv-SE"/>
              </w:rPr>
            </w:pPr>
            <w:r w:rsidRPr="00FA0D37">
              <w:rPr>
                <w:b/>
                <w:i/>
                <w:lang w:eastAsia="sv-SE"/>
              </w:rPr>
              <w:t>eventType</w:t>
            </w:r>
          </w:p>
          <w:p w14:paraId="746C188A" w14:textId="77777777" w:rsidR="00394471" w:rsidRPr="00FA0D37" w:rsidRDefault="00394471" w:rsidP="00964CC4">
            <w:pPr>
              <w:pStyle w:val="TAL"/>
              <w:rPr>
                <w:i/>
                <w:iCs/>
                <w:lang w:eastAsia="ko-KR"/>
              </w:rPr>
            </w:pPr>
            <w:r w:rsidRPr="00FA0D37">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5C7FF4" w:rsidRPr="00FA0D37" w14:paraId="79D912B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16B097A" w14:textId="77777777" w:rsidR="00394471" w:rsidRPr="00FA0D37" w:rsidRDefault="00394471" w:rsidP="00964CC4">
            <w:pPr>
              <w:pStyle w:val="TAL"/>
              <w:rPr>
                <w:rFonts w:eastAsia="宋体"/>
                <w:b/>
                <w:bCs/>
                <w:i/>
                <w:kern w:val="2"/>
                <w:lang w:eastAsia="en-GB"/>
              </w:rPr>
            </w:pPr>
            <w:r w:rsidRPr="00FA0D37">
              <w:rPr>
                <w:rFonts w:eastAsia="宋体"/>
                <w:b/>
                <w:bCs/>
                <w:i/>
                <w:kern w:val="2"/>
                <w:lang w:eastAsia="en-GB"/>
              </w:rPr>
              <w:t>plmn-IdentityList</w:t>
            </w:r>
          </w:p>
          <w:p w14:paraId="52574AB0" w14:textId="77777777" w:rsidR="00394471" w:rsidRPr="00FA0D37" w:rsidRDefault="00394471" w:rsidP="00964CC4">
            <w:pPr>
              <w:pStyle w:val="TAL"/>
              <w:rPr>
                <w:b/>
                <w:i/>
                <w:lang w:eastAsia="sv-SE"/>
              </w:rPr>
            </w:pPr>
            <w:r w:rsidRPr="00FA0D37">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5C7FF4" w:rsidRPr="00FA0D37" w14:paraId="79F90043"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DD052B8" w14:textId="77777777" w:rsidR="00E84B6D" w:rsidRPr="00FA0D37" w:rsidRDefault="00E84B6D" w:rsidP="00771058">
            <w:pPr>
              <w:pStyle w:val="TAL"/>
              <w:rPr>
                <w:b/>
                <w:i/>
                <w:lang w:eastAsia="sv-SE"/>
              </w:rPr>
            </w:pPr>
            <w:r w:rsidRPr="00FA0D37">
              <w:rPr>
                <w:b/>
                <w:i/>
                <w:lang w:eastAsia="sv-SE"/>
              </w:rPr>
              <w:t>sigLoggedMeasType</w:t>
            </w:r>
          </w:p>
          <w:p w14:paraId="7C022958" w14:textId="4FB29368" w:rsidR="00E84B6D" w:rsidRPr="00FA0D37" w:rsidRDefault="00E84B6D" w:rsidP="00771058">
            <w:pPr>
              <w:pStyle w:val="TAL"/>
              <w:rPr>
                <w:bCs/>
                <w:iCs/>
                <w:lang w:eastAsia="sv-SE"/>
              </w:rPr>
            </w:pPr>
            <w:r w:rsidRPr="00FA0D37">
              <w:rPr>
                <w:bCs/>
                <w:iCs/>
                <w:lang w:eastAsia="sv-SE"/>
              </w:rPr>
              <w:t xml:space="preserve">If included, the field indicates a signalling based logged measurement </w:t>
            </w:r>
            <w:r w:rsidR="00AB6DE4" w:rsidRPr="00FA0D37">
              <w:rPr>
                <w:bCs/>
                <w:iCs/>
                <w:lang w:eastAsia="sv-SE"/>
              </w:rPr>
              <w:t xml:space="preserve">configuration </w:t>
            </w:r>
            <w:r w:rsidRPr="00FA0D37">
              <w:rPr>
                <w:bCs/>
                <w:iCs/>
                <w:lang w:eastAsia="sv-SE"/>
              </w:rPr>
              <w:t>(See TS 37.320 [61]).</w:t>
            </w:r>
          </w:p>
        </w:tc>
      </w:tr>
      <w:tr w:rsidR="005C7FF4" w:rsidRPr="00FA0D37" w14:paraId="7F1435D2"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FA29E" w14:textId="77777777" w:rsidR="00394471" w:rsidRPr="00FA0D37" w:rsidRDefault="00394471" w:rsidP="00964CC4">
            <w:pPr>
              <w:pStyle w:val="TAL"/>
              <w:rPr>
                <w:b/>
                <w:i/>
                <w:lang w:eastAsia="sv-SE"/>
              </w:rPr>
            </w:pPr>
            <w:r w:rsidRPr="00FA0D37">
              <w:rPr>
                <w:b/>
                <w:i/>
                <w:lang w:eastAsia="sv-SE"/>
              </w:rPr>
              <w:t>tce-Id</w:t>
            </w:r>
          </w:p>
          <w:p w14:paraId="47FE3A6D" w14:textId="77777777" w:rsidR="00394471" w:rsidRPr="00FA0D37" w:rsidRDefault="00394471" w:rsidP="00964CC4">
            <w:pPr>
              <w:pStyle w:val="TAL"/>
              <w:rPr>
                <w:rFonts w:eastAsia="宋体"/>
                <w:b/>
                <w:bCs/>
                <w:i/>
                <w:kern w:val="2"/>
                <w:lang w:eastAsia="en-GB"/>
              </w:rPr>
            </w:pPr>
            <w:r w:rsidRPr="00FA0D37">
              <w:rPr>
                <w:bCs/>
                <w:iCs/>
                <w:lang w:eastAsia="sv-SE"/>
              </w:rPr>
              <w:t>P</w:t>
            </w:r>
            <w:r w:rsidRPr="00FA0D37">
              <w:rPr>
                <w:bCs/>
                <w:iCs/>
                <w:lang w:eastAsia="en-GB"/>
              </w:rPr>
              <w:t>arameter Trace Collection Entity Id: See TS 32.422 [52].</w:t>
            </w:r>
          </w:p>
        </w:tc>
      </w:tr>
      <w:tr w:rsidR="005C7FF4" w:rsidRPr="00FA0D37" w14:paraId="54D0533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61AB68" w14:textId="77777777" w:rsidR="00394471" w:rsidRPr="00FA0D37" w:rsidRDefault="00394471" w:rsidP="00964CC4">
            <w:pPr>
              <w:pStyle w:val="TAL"/>
              <w:rPr>
                <w:b/>
                <w:i/>
                <w:lang w:eastAsia="ko-KR"/>
              </w:rPr>
            </w:pPr>
            <w:r w:rsidRPr="00FA0D37">
              <w:rPr>
                <w:b/>
                <w:i/>
                <w:lang w:eastAsia="ko-KR"/>
              </w:rPr>
              <w:t>traceRecordingSessionRef</w:t>
            </w:r>
          </w:p>
          <w:p w14:paraId="4EF980D5" w14:textId="77777777" w:rsidR="00394471" w:rsidRPr="00FA0D37" w:rsidRDefault="00394471" w:rsidP="00964CC4">
            <w:pPr>
              <w:pStyle w:val="TAL"/>
              <w:rPr>
                <w:rFonts w:eastAsia="宋体"/>
                <w:b/>
                <w:bCs/>
                <w:i/>
                <w:kern w:val="2"/>
                <w:lang w:eastAsia="en-GB"/>
              </w:rPr>
            </w:pPr>
            <w:r w:rsidRPr="00FA0D37">
              <w:rPr>
                <w:bCs/>
                <w:iCs/>
                <w:lang w:eastAsia="en-GB"/>
              </w:rPr>
              <w:t>Parameter Trace Recording Session Reference: See TS 32.422 [52]</w:t>
            </w:r>
            <w:r w:rsidRPr="00FA0D37">
              <w:rPr>
                <w:bCs/>
                <w:iCs/>
                <w:lang w:eastAsia="ko-KR"/>
              </w:rPr>
              <w:t>.</w:t>
            </w:r>
          </w:p>
        </w:tc>
      </w:tr>
      <w:tr w:rsidR="00375B89" w:rsidRPr="00FA0D37" w14:paraId="4A38E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15CED5" w14:textId="77777777" w:rsidR="00394471" w:rsidRPr="00FA0D37" w:rsidRDefault="00394471" w:rsidP="00964CC4">
            <w:pPr>
              <w:pStyle w:val="TAL"/>
              <w:rPr>
                <w:b/>
                <w:i/>
                <w:lang w:eastAsia="sv-SE"/>
              </w:rPr>
            </w:pPr>
            <w:r w:rsidRPr="00FA0D37">
              <w:rPr>
                <w:b/>
                <w:i/>
                <w:lang w:eastAsia="sv-SE"/>
              </w:rPr>
              <w:t>reportType</w:t>
            </w:r>
          </w:p>
          <w:p w14:paraId="7AAC9765" w14:textId="61E2D50F" w:rsidR="00394471" w:rsidRPr="00FA0D37" w:rsidRDefault="00394471" w:rsidP="00964CC4">
            <w:pPr>
              <w:pStyle w:val="TAL"/>
              <w:rPr>
                <w:rFonts w:eastAsia="宋体"/>
                <w:b/>
                <w:bCs/>
                <w:i/>
                <w:kern w:val="2"/>
                <w:lang w:eastAsia="en-GB"/>
              </w:rPr>
            </w:pPr>
            <w:r w:rsidRPr="00FA0D37">
              <w:rPr>
                <w:lang w:eastAsia="sv-SE"/>
              </w:rPr>
              <w:t xml:space="preserve">Parameter configures the type of MDT configuration, specifically Periodic MDT </w:t>
            </w:r>
            <w:r w:rsidR="00FB04AA" w:rsidRPr="00FA0D37">
              <w:rPr>
                <w:lang w:eastAsia="sv-SE"/>
              </w:rPr>
              <w:t>configuration</w:t>
            </w:r>
            <w:r w:rsidRPr="00FA0D37">
              <w:rPr>
                <w:lang w:eastAsia="sv-SE"/>
              </w:rPr>
              <w:t xml:space="preserve"> or Event Triggerd MDT configuration.</w:t>
            </w:r>
          </w:p>
        </w:tc>
      </w:tr>
    </w:tbl>
    <w:p w14:paraId="04B3AB7F" w14:textId="78920DAF" w:rsidR="00394471" w:rsidRPr="00FA0D37" w:rsidRDefault="00394471" w:rsidP="00394471"/>
    <w:p w14:paraId="7600395D" w14:textId="77777777" w:rsidR="00214323" w:rsidRPr="00FA0D37" w:rsidRDefault="00214323" w:rsidP="00214323">
      <w:pPr>
        <w:pStyle w:val="4"/>
        <w:rPr>
          <w:i/>
          <w:iCs/>
        </w:rPr>
      </w:pPr>
      <w:bookmarkStart w:id="475" w:name="_Toc146781134"/>
      <w:r w:rsidRPr="00FA0D37">
        <w:rPr>
          <w:i/>
          <w:iCs/>
        </w:rPr>
        <w:t>–</w:t>
      </w:r>
      <w:r w:rsidRPr="00FA0D37">
        <w:rPr>
          <w:i/>
          <w:iCs/>
        </w:rPr>
        <w:tab/>
        <w:t>MBSBroadcastConfiguration</w:t>
      </w:r>
      <w:bookmarkEnd w:id="475"/>
    </w:p>
    <w:p w14:paraId="01A5AC2F" w14:textId="77777777" w:rsidR="00214323" w:rsidRPr="00FA0D37" w:rsidRDefault="00214323" w:rsidP="00214323">
      <w:pPr>
        <w:rPr>
          <w:lang w:eastAsia="zh-CN"/>
        </w:rPr>
      </w:pPr>
      <w:r w:rsidRPr="00FA0D37">
        <w:rPr>
          <w:lang w:eastAsia="zh-CN"/>
        </w:rPr>
        <w:t xml:space="preserve">The </w:t>
      </w:r>
      <w:r w:rsidRPr="00FA0D37">
        <w:rPr>
          <w:i/>
        </w:rPr>
        <w:t>MBSBroadcast</w:t>
      </w:r>
      <w:r w:rsidRPr="00FA0D37">
        <w:rPr>
          <w:i/>
          <w:lang w:eastAsia="zh-CN"/>
        </w:rPr>
        <w:t>Configuration</w:t>
      </w:r>
      <w:r w:rsidRPr="00FA0D37">
        <w:rPr>
          <w:iCs/>
          <w:lang w:eastAsia="zh-CN"/>
        </w:rPr>
        <w:t xml:space="preserve"> message contains the control information applicable for MBS broadcast services transmitted via broadcast MRB.</w:t>
      </w:r>
    </w:p>
    <w:p w14:paraId="4BCB433E" w14:textId="77777777" w:rsidR="00214323" w:rsidRPr="00FA0D37" w:rsidRDefault="00214323" w:rsidP="00214323">
      <w:pPr>
        <w:pStyle w:val="B1"/>
        <w:rPr>
          <w:lang w:eastAsia="zh-CN"/>
        </w:rPr>
      </w:pPr>
      <w:r w:rsidRPr="00FA0D37">
        <w:rPr>
          <w:lang w:eastAsia="zh-CN"/>
        </w:rPr>
        <w:t>Signalling radio bearer: N/A</w:t>
      </w:r>
    </w:p>
    <w:p w14:paraId="4FDF75E5" w14:textId="77777777" w:rsidR="00214323" w:rsidRPr="00FA0D37" w:rsidRDefault="00214323" w:rsidP="00214323">
      <w:pPr>
        <w:pStyle w:val="B1"/>
        <w:rPr>
          <w:lang w:eastAsia="zh-CN"/>
        </w:rPr>
      </w:pPr>
      <w:r w:rsidRPr="00FA0D37">
        <w:rPr>
          <w:lang w:eastAsia="zh-CN"/>
        </w:rPr>
        <w:t>RLC-SAP: UM</w:t>
      </w:r>
    </w:p>
    <w:p w14:paraId="4ABAA55D" w14:textId="77777777" w:rsidR="00214323" w:rsidRPr="00FA0D37" w:rsidRDefault="00214323" w:rsidP="00214323">
      <w:pPr>
        <w:pStyle w:val="B1"/>
        <w:rPr>
          <w:lang w:eastAsia="zh-CN"/>
        </w:rPr>
      </w:pPr>
      <w:r w:rsidRPr="00FA0D37">
        <w:rPr>
          <w:lang w:eastAsia="zh-CN"/>
        </w:rPr>
        <w:t>Logical channel: MCCH</w:t>
      </w:r>
    </w:p>
    <w:p w14:paraId="7566AC16" w14:textId="77777777" w:rsidR="00214323" w:rsidRPr="00FA0D37" w:rsidRDefault="00214323" w:rsidP="00214323">
      <w:pPr>
        <w:pStyle w:val="B1"/>
        <w:rPr>
          <w:lang w:eastAsia="zh-CN"/>
        </w:rPr>
      </w:pPr>
      <w:r w:rsidRPr="00FA0D37">
        <w:rPr>
          <w:lang w:eastAsia="zh-CN"/>
        </w:rPr>
        <w:t>Direction: Network to UE</w:t>
      </w:r>
    </w:p>
    <w:p w14:paraId="7EE4B6E2" w14:textId="77777777" w:rsidR="00214323" w:rsidRPr="00FA0D37" w:rsidRDefault="00214323" w:rsidP="00214323">
      <w:pPr>
        <w:pStyle w:val="TH"/>
        <w:rPr>
          <w:i/>
        </w:rPr>
      </w:pPr>
      <w:r w:rsidRPr="00FA0D37">
        <w:rPr>
          <w:i/>
        </w:rPr>
        <w:t>MBSBroadcastConfiguration message</w:t>
      </w:r>
    </w:p>
    <w:p w14:paraId="2748F5B6" w14:textId="77777777" w:rsidR="00214323" w:rsidRPr="00FA0D37" w:rsidRDefault="00214323" w:rsidP="00FA0D37">
      <w:pPr>
        <w:pStyle w:val="PL"/>
        <w:rPr>
          <w:color w:val="808080"/>
        </w:rPr>
      </w:pPr>
      <w:r w:rsidRPr="00FA0D37">
        <w:rPr>
          <w:color w:val="808080"/>
        </w:rPr>
        <w:t>-- ASN1START</w:t>
      </w:r>
    </w:p>
    <w:p w14:paraId="35071977" w14:textId="77777777" w:rsidR="00214323" w:rsidRPr="00FA0D37" w:rsidRDefault="00214323" w:rsidP="00FA0D37">
      <w:pPr>
        <w:pStyle w:val="PL"/>
        <w:rPr>
          <w:color w:val="808080"/>
        </w:rPr>
      </w:pPr>
      <w:r w:rsidRPr="00FA0D37">
        <w:rPr>
          <w:color w:val="808080"/>
        </w:rPr>
        <w:t>-- TAG-MBSBROADCASTCONFIGURATION-START</w:t>
      </w:r>
    </w:p>
    <w:p w14:paraId="6C68B59B" w14:textId="77777777" w:rsidR="00214323" w:rsidRPr="00FA0D37" w:rsidRDefault="00214323" w:rsidP="00FA0D37">
      <w:pPr>
        <w:pStyle w:val="PL"/>
      </w:pPr>
    </w:p>
    <w:p w14:paraId="080BF12D" w14:textId="103666BE" w:rsidR="00214323" w:rsidRPr="00FA0D37" w:rsidRDefault="00214323" w:rsidP="00FA0D37">
      <w:pPr>
        <w:pStyle w:val="PL"/>
      </w:pPr>
      <w:r w:rsidRPr="00FA0D37">
        <w:t xml:space="preserve">MBSBroadcastConfiguration-r17 ::= </w:t>
      </w:r>
      <w:r w:rsidRPr="00FA0D37">
        <w:rPr>
          <w:color w:val="993366"/>
        </w:rPr>
        <w:t>SEQUENCE</w:t>
      </w:r>
      <w:r w:rsidRPr="00FA0D37">
        <w:t xml:space="preserve"> {</w:t>
      </w:r>
    </w:p>
    <w:p w14:paraId="4D2FF42F" w14:textId="5933F92A" w:rsidR="00214323" w:rsidRPr="00FA0D37" w:rsidRDefault="00214323" w:rsidP="00FA0D37">
      <w:pPr>
        <w:pStyle w:val="PL"/>
      </w:pPr>
      <w:r w:rsidRPr="00FA0D37">
        <w:t xml:space="preserve">    criticalExtensions                </w:t>
      </w:r>
      <w:r w:rsidRPr="00FA0D37">
        <w:rPr>
          <w:color w:val="993366"/>
        </w:rPr>
        <w:t>CHOICE</w:t>
      </w:r>
      <w:r w:rsidRPr="00FA0D37">
        <w:t xml:space="preserve"> {</w:t>
      </w:r>
    </w:p>
    <w:p w14:paraId="43B788B0" w14:textId="7AF1E97D" w:rsidR="00214323" w:rsidRPr="00FA0D37" w:rsidRDefault="00214323" w:rsidP="00FA0D37">
      <w:pPr>
        <w:pStyle w:val="PL"/>
      </w:pPr>
      <w:r w:rsidRPr="00FA0D37">
        <w:t xml:space="preserve">        mbsBroadcastConfiguration-r17     MBSBroadcastConfiguration-r17-IEs,</w:t>
      </w:r>
    </w:p>
    <w:p w14:paraId="7303AB11" w14:textId="268834E8" w:rsidR="00214323" w:rsidRPr="00FA0D37" w:rsidRDefault="00214323" w:rsidP="00FA0D37">
      <w:pPr>
        <w:pStyle w:val="PL"/>
      </w:pPr>
      <w:r w:rsidRPr="00FA0D37">
        <w:lastRenderedPageBreak/>
        <w:t xml:space="preserve">        criticalExtensionsFuture          </w:t>
      </w:r>
      <w:r w:rsidRPr="00FA0D37">
        <w:rPr>
          <w:color w:val="993366"/>
        </w:rPr>
        <w:t>SEQUENCE</w:t>
      </w:r>
      <w:r w:rsidRPr="00FA0D37">
        <w:t xml:space="preserve"> {}</w:t>
      </w:r>
    </w:p>
    <w:p w14:paraId="6EC690ED" w14:textId="0C62A79C" w:rsidR="00214323" w:rsidRPr="00FA0D37" w:rsidRDefault="00214323" w:rsidP="00FA0D37">
      <w:pPr>
        <w:pStyle w:val="PL"/>
      </w:pPr>
      <w:r w:rsidRPr="00FA0D37">
        <w:t xml:space="preserve">    }</w:t>
      </w:r>
    </w:p>
    <w:p w14:paraId="52B2C7B6" w14:textId="77777777" w:rsidR="00214323" w:rsidRPr="00FA0D37" w:rsidRDefault="00214323" w:rsidP="00FA0D37">
      <w:pPr>
        <w:pStyle w:val="PL"/>
      </w:pPr>
      <w:r w:rsidRPr="00FA0D37">
        <w:t>}</w:t>
      </w:r>
    </w:p>
    <w:p w14:paraId="2FA47573" w14:textId="77777777" w:rsidR="00214323" w:rsidRPr="00FA0D37" w:rsidRDefault="00214323" w:rsidP="00FA0D37">
      <w:pPr>
        <w:pStyle w:val="PL"/>
      </w:pPr>
    </w:p>
    <w:p w14:paraId="533A7892" w14:textId="4DF8CC1C" w:rsidR="00214323" w:rsidRPr="00FA0D37" w:rsidRDefault="00214323" w:rsidP="00FA0D37">
      <w:pPr>
        <w:pStyle w:val="PL"/>
      </w:pPr>
      <w:r w:rsidRPr="00FA0D37">
        <w:t xml:space="preserve">MBSBroadcastConfiguration-r17-IEs ::= </w:t>
      </w:r>
      <w:r w:rsidRPr="00FA0D37">
        <w:rPr>
          <w:color w:val="993366"/>
        </w:rPr>
        <w:t>SEQUENCE</w:t>
      </w:r>
      <w:r w:rsidRPr="00FA0D37">
        <w:t xml:space="preserve"> {</w:t>
      </w:r>
    </w:p>
    <w:p w14:paraId="053050EF" w14:textId="6B3EF284" w:rsidR="00214323" w:rsidRPr="00FA0D37" w:rsidRDefault="00214323" w:rsidP="00FA0D37">
      <w:pPr>
        <w:pStyle w:val="PL"/>
        <w:rPr>
          <w:color w:val="808080"/>
        </w:rPr>
      </w:pPr>
      <w:r w:rsidRPr="00FA0D37">
        <w:t xml:space="preserve">    mbs-SessionInfoList-r17               MBS-SessionInfoList-r17</w:t>
      </w:r>
      <w:r w:rsidR="00B536F1" w:rsidRPr="00FA0D37">
        <w:t xml:space="preserve">                                              </w:t>
      </w:r>
      <w:r w:rsidR="00B536F1" w:rsidRPr="00FA0D37">
        <w:rPr>
          <w:color w:val="993366"/>
        </w:rPr>
        <w:t>OPTIONAL</w:t>
      </w:r>
      <w:r w:rsidRPr="00FA0D37">
        <w:t>,</w:t>
      </w:r>
      <w:r w:rsidR="00B536F1" w:rsidRPr="00FA0D37">
        <w:t xml:space="preserve">   </w:t>
      </w:r>
      <w:r w:rsidR="00B536F1" w:rsidRPr="00FA0D37">
        <w:rPr>
          <w:color w:val="808080"/>
        </w:rPr>
        <w:t>-- Need R</w:t>
      </w:r>
    </w:p>
    <w:p w14:paraId="299D96C6" w14:textId="6DFD83FA" w:rsidR="00214323" w:rsidRPr="00FA0D37" w:rsidRDefault="00214323" w:rsidP="00FA0D37">
      <w:pPr>
        <w:pStyle w:val="PL"/>
        <w:rPr>
          <w:color w:val="808080"/>
        </w:rPr>
      </w:pPr>
      <w:r w:rsidRPr="00FA0D37">
        <w:t xml:space="preserve">    mbs-NeighbourCellList-r17             MBS-NeighbourCellList-r17                                            </w:t>
      </w:r>
      <w:r w:rsidRPr="00FA0D37">
        <w:rPr>
          <w:color w:val="993366"/>
        </w:rPr>
        <w:t>OPTIONAL</w:t>
      </w:r>
      <w:r w:rsidRPr="00FA0D37">
        <w:t xml:space="preserve">,   </w:t>
      </w:r>
      <w:r w:rsidRPr="00FA0D37">
        <w:rPr>
          <w:color w:val="808080"/>
        </w:rPr>
        <w:t>-- Need S</w:t>
      </w:r>
    </w:p>
    <w:p w14:paraId="1DADFB61" w14:textId="5AE91217" w:rsidR="00214323" w:rsidRPr="00FA0D37" w:rsidRDefault="00214323" w:rsidP="00FA0D37">
      <w:pPr>
        <w:pStyle w:val="PL"/>
        <w:rPr>
          <w:color w:val="808080"/>
        </w:rPr>
      </w:pPr>
      <w:r w:rsidRPr="00FA0D37">
        <w:t xml:space="preserve">    drx-ConfigPTM-List-r17                </w:t>
      </w:r>
      <w:r w:rsidRPr="00FA0D37">
        <w:rPr>
          <w:color w:val="993366"/>
        </w:rPr>
        <w:t>SEQUENCE</w:t>
      </w:r>
      <w:r w:rsidRPr="00FA0D37">
        <w:t xml:space="preserve"> (</w:t>
      </w:r>
      <w:r w:rsidRPr="00FA0D37">
        <w:rPr>
          <w:color w:val="993366"/>
        </w:rPr>
        <w:t>SIZE</w:t>
      </w:r>
      <w:r w:rsidRPr="00FA0D37">
        <w:t xml:space="preserve"> (1..maxNrofDRX-ConfigPTM-r17))</w:t>
      </w:r>
      <w:r w:rsidRPr="00FA0D37">
        <w:rPr>
          <w:color w:val="993366"/>
        </w:rPr>
        <w:t xml:space="preserve"> OF</w:t>
      </w:r>
      <w:r w:rsidRPr="00FA0D37">
        <w:t xml:space="preserve"> DRX-ConfigPTM-r17   </w:t>
      </w:r>
      <w:r w:rsidRPr="00FA0D37">
        <w:rPr>
          <w:color w:val="993366"/>
        </w:rPr>
        <w:t>OPTIONAL</w:t>
      </w:r>
      <w:r w:rsidRPr="00FA0D37">
        <w:t xml:space="preserve">,   </w:t>
      </w:r>
      <w:r w:rsidRPr="00FA0D37">
        <w:rPr>
          <w:color w:val="808080"/>
        </w:rPr>
        <w:t>-- Need R</w:t>
      </w:r>
    </w:p>
    <w:p w14:paraId="36917CB9" w14:textId="799581E9" w:rsidR="00214323" w:rsidRPr="00FA0D37" w:rsidRDefault="00214323" w:rsidP="00FA0D37">
      <w:pPr>
        <w:pStyle w:val="PL"/>
        <w:rPr>
          <w:color w:val="808080"/>
        </w:rPr>
      </w:pPr>
      <w:r w:rsidRPr="00FA0D37">
        <w:t xml:space="preserve">    pdsch-ConfigMTCH-r17                  PDSCH-ConfigBroadcast-r17                                            </w:t>
      </w:r>
      <w:r w:rsidRPr="00FA0D37">
        <w:rPr>
          <w:color w:val="993366"/>
        </w:rPr>
        <w:t>OPTIONAL</w:t>
      </w:r>
      <w:r w:rsidRPr="00FA0D37">
        <w:t xml:space="preserve">,   </w:t>
      </w:r>
      <w:r w:rsidRPr="00FA0D37">
        <w:rPr>
          <w:color w:val="808080"/>
        </w:rPr>
        <w:t>-- Need S</w:t>
      </w:r>
    </w:p>
    <w:p w14:paraId="066A9FCD" w14:textId="27E3C8E7" w:rsidR="00214323" w:rsidRPr="00FA0D37" w:rsidRDefault="00214323" w:rsidP="00FA0D37">
      <w:pPr>
        <w:pStyle w:val="PL"/>
        <w:rPr>
          <w:color w:val="808080"/>
        </w:rPr>
      </w:pPr>
      <w:r w:rsidRPr="00FA0D37">
        <w:t xml:space="preserve">    mtch-SSB-MappingWindowList-r17        MTCH-SSB-MappingWindowList-r17                                       </w:t>
      </w:r>
      <w:r w:rsidRPr="00FA0D37">
        <w:rPr>
          <w:color w:val="993366"/>
        </w:rPr>
        <w:t>OPTIONAL</w:t>
      </w:r>
      <w:r w:rsidRPr="00FA0D37">
        <w:t xml:space="preserve">,   </w:t>
      </w:r>
      <w:r w:rsidRPr="00FA0D37">
        <w:rPr>
          <w:color w:val="808080"/>
        </w:rPr>
        <w:t>-- Need R</w:t>
      </w:r>
    </w:p>
    <w:p w14:paraId="43811FBD" w14:textId="522F045B" w:rsidR="00214323" w:rsidRPr="00FA0D37" w:rsidRDefault="00214323"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BAB6C34" w14:textId="5B42BFEA" w:rsidR="00214323" w:rsidRPr="00FA0D37" w:rsidRDefault="00214323"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0A62D8DE" w14:textId="77777777" w:rsidR="00214323" w:rsidRPr="00FA0D37" w:rsidRDefault="00214323" w:rsidP="00FA0D37">
      <w:pPr>
        <w:pStyle w:val="PL"/>
      </w:pPr>
      <w:r w:rsidRPr="00FA0D37">
        <w:t>}</w:t>
      </w:r>
    </w:p>
    <w:p w14:paraId="0D266530" w14:textId="77777777" w:rsidR="00214323" w:rsidRPr="00FA0D37" w:rsidRDefault="00214323" w:rsidP="00FA0D37">
      <w:pPr>
        <w:pStyle w:val="PL"/>
      </w:pPr>
    </w:p>
    <w:p w14:paraId="1504A02E" w14:textId="77777777" w:rsidR="00214323" w:rsidRPr="00FA0D37" w:rsidRDefault="00214323" w:rsidP="00FA0D37">
      <w:pPr>
        <w:pStyle w:val="PL"/>
        <w:rPr>
          <w:color w:val="808080"/>
        </w:rPr>
      </w:pPr>
      <w:r w:rsidRPr="00FA0D37">
        <w:rPr>
          <w:color w:val="808080"/>
        </w:rPr>
        <w:t>-- TAG-MBSBROADCASTCONFIGURATION-STOP</w:t>
      </w:r>
    </w:p>
    <w:p w14:paraId="6D81D1F6" w14:textId="77777777" w:rsidR="00214323" w:rsidRPr="00FA0D37" w:rsidRDefault="00214323" w:rsidP="00FA0D37">
      <w:pPr>
        <w:pStyle w:val="PL"/>
        <w:rPr>
          <w:color w:val="808080"/>
        </w:rPr>
      </w:pPr>
      <w:r w:rsidRPr="00FA0D37">
        <w:rPr>
          <w:color w:val="808080"/>
        </w:rPr>
        <w:t>-- ASN1STOP</w:t>
      </w:r>
    </w:p>
    <w:p w14:paraId="2860AE9F" w14:textId="77777777" w:rsidR="00214323" w:rsidRPr="00FA0D37" w:rsidRDefault="00214323" w:rsidP="00214323">
      <w:pPr>
        <w:rPr>
          <w:iCs/>
          <w:lang w:eastAsia="zh-C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5C7FF4" w:rsidRPr="00FA0D37" w14:paraId="4FBCDA08" w14:textId="77777777" w:rsidTr="00771058">
        <w:trPr>
          <w:cantSplit/>
          <w:tblHeader/>
        </w:trPr>
        <w:tc>
          <w:tcPr>
            <w:tcW w:w="14062" w:type="dxa"/>
          </w:tcPr>
          <w:p w14:paraId="2017E51A" w14:textId="77777777" w:rsidR="00214323" w:rsidRPr="00FA0D37" w:rsidRDefault="00214323" w:rsidP="00771058">
            <w:pPr>
              <w:pStyle w:val="TAH"/>
              <w:rPr>
                <w:lang w:eastAsia="zh-CN"/>
              </w:rPr>
            </w:pPr>
            <w:r w:rsidRPr="00FA0D37">
              <w:rPr>
                <w:i/>
                <w:lang w:eastAsia="zh-CN"/>
              </w:rPr>
              <w:t>MBSBroadcastConfiguration</w:t>
            </w:r>
            <w:r w:rsidRPr="00FA0D37">
              <w:rPr>
                <w:iCs/>
                <w:lang w:eastAsia="zh-CN"/>
              </w:rPr>
              <w:t xml:space="preserve"> field descriptions</w:t>
            </w:r>
          </w:p>
        </w:tc>
      </w:tr>
      <w:tr w:rsidR="005C7FF4" w:rsidRPr="00FA0D37" w14:paraId="2538E8CE" w14:textId="77777777" w:rsidTr="00771058">
        <w:trPr>
          <w:cantSplit/>
        </w:trPr>
        <w:tc>
          <w:tcPr>
            <w:tcW w:w="14062" w:type="dxa"/>
            <w:tcBorders>
              <w:top w:val="single" w:sz="4" w:space="0" w:color="808080"/>
              <w:left w:val="single" w:sz="4" w:space="0" w:color="808080"/>
              <w:bottom w:val="single" w:sz="4" w:space="0" w:color="808080"/>
              <w:right w:val="single" w:sz="4" w:space="0" w:color="808080"/>
            </w:tcBorders>
          </w:tcPr>
          <w:p w14:paraId="1B05389B" w14:textId="77777777" w:rsidR="00214323" w:rsidRPr="00FA0D37" w:rsidRDefault="00214323" w:rsidP="00771058">
            <w:pPr>
              <w:pStyle w:val="TAL"/>
              <w:rPr>
                <w:rFonts w:eastAsia="Malgun Gothic"/>
                <w:b/>
                <w:i/>
                <w:lang w:eastAsia="sv-SE"/>
              </w:rPr>
            </w:pPr>
            <w:r w:rsidRPr="00FA0D37">
              <w:rPr>
                <w:rFonts w:eastAsia="Malgun Gothic"/>
                <w:b/>
                <w:i/>
                <w:lang w:eastAsia="sv-SE"/>
              </w:rPr>
              <w:t>pdsch-ConfigMTCH</w:t>
            </w:r>
          </w:p>
          <w:p w14:paraId="325941AA" w14:textId="1FABE02C" w:rsidR="00214323" w:rsidRPr="00FA0D37" w:rsidRDefault="00214323" w:rsidP="00771058">
            <w:pPr>
              <w:pStyle w:val="TAL"/>
              <w:rPr>
                <w:b/>
                <w:bCs/>
                <w:i/>
              </w:rPr>
            </w:pPr>
            <w:r w:rsidRPr="00FA0D37">
              <w:rPr>
                <w:lang w:eastAsia="en-GB"/>
              </w:rPr>
              <w:t xml:space="preserve">Provides parameters for acquiring the PDSCH for MTCH. </w:t>
            </w:r>
            <w:r w:rsidR="00B536F1" w:rsidRPr="00FA0D37">
              <w:rPr>
                <w:lang w:eastAsia="en-GB"/>
              </w:rPr>
              <w:t>When this field is absent, t</w:t>
            </w:r>
            <w:r w:rsidRPr="00FA0D37">
              <w:rPr>
                <w:lang w:eastAsia="en-GB"/>
              </w:rPr>
              <w:t>he UE shall use</w:t>
            </w:r>
            <w:r w:rsidRPr="00FA0D37">
              <w:t xml:space="preserve"> </w:t>
            </w:r>
            <w:r w:rsidRPr="00FA0D37">
              <w:rPr>
                <w:lang w:eastAsia="en-GB"/>
              </w:rPr>
              <w:t xml:space="preserve">parameters in </w:t>
            </w:r>
            <w:r w:rsidRPr="00FA0D37">
              <w:rPr>
                <w:i/>
                <w:lang w:eastAsia="en-GB"/>
              </w:rPr>
              <w:t>pdsch-ConfigMCCH</w:t>
            </w:r>
            <w:r w:rsidRPr="00FA0D37">
              <w:rPr>
                <w:lang w:eastAsia="en-GB"/>
              </w:rPr>
              <w:t xml:space="preserve"> </w:t>
            </w:r>
            <w:r w:rsidR="00B536F1" w:rsidRPr="00FA0D37">
              <w:rPr>
                <w:lang w:eastAsia="en-GB"/>
              </w:rPr>
              <w:t>to acquire the</w:t>
            </w:r>
            <w:r w:rsidRPr="00FA0D37">
              <w:rPr>
                <w:lang w:eastAsia="en-GB"/>
              </w:rPr>
              <w:t xml:space="preserve"> PDSCH </w:t>
            </w:r>
            <w:r w:rsidR="00B536F1" w:rsidRPr="00FA0D37">
              <w:rPr>
                <w:lang w:eastAsia="en-GB"/>
              </w:rPr>
              <w:t>for</w:t>
            </w:r>
            <w:r w:rsidRPr="00FA0D37">
              <w:rPr>
                <w:lang w:eastAsia="en-GB"/>
              </w:rPr>
              <w:t xml:space="preserve"> MTCH.</w:t>
            </w:r>
          </w:p>
        </w:tc>
      </w:tr>
      <w:tr w:rsidR="005C7FF4" w:rsidRPr="00FA0D37" w14:paraId="2F5BE181" w14:textId="77777777" w:rsidTr="00771058">
        <w:trPr>
          <w:cantSplit/>
        </w:trPr>
        <w:tc>
          <w:tcPr>
            <w:tcW w:w="14062" w:type="dxa"/>
            <w:tcBorders>
              <w:top w:val="single" w:sz="4" w:space="0" w:color="808080"/>
              <w:left w:val="single" w:sz="4" w:space="0" w:color="808080"/>
              <w:bottom w:val="single" w:sz="4" w:space="0" w:color="808080"/>
              <w:right w:val="single" w:sz="4" w:space="0" w:color="808080"/>
            </w:tcBorders>
          </w:tcPr>
          <w:p w14:paraId="0C80F3A4" w14:textId="77777777" w:rsidR="00F747EB" w:rsidRPr="00FA0D37" w:rsidRDefault="00214323" w:rsidP="00771058">
            <w:pPr>
              <w:pStyle w:val="TAL"/>
              <w:rPr>
                <w:rFonts w:eastAsia="Malgun Gothic"/>
                <w:b/>
                <w:i/>
                <w:lang w:eastAsia="sv-SE"/>
              </w:rPr>
            </w:pPr>
            <w:r w:rsidRPr="00FA0D37">
              <w:rPr>
                <w:rFonts w:eastAsia="Malgun Gothic"/>
                <w:b/>
                <w:i/>
                <w:lang w:eastAsia="sv-SE"/>
              </w:rPr>
              <w:t>mbs-SessionInfoList</w:t>
            </w:r>
          </w:p>
          <w:p w14:paraId="4BB66560" w14:textId="4A0F9C5D" w:rsidR="00214323" w:rsidRPr="00FA0D37" w:rsidRDefault="00214323" w:rsidP="00771058">
            <w:pPr>
              <w:pStyle w:val="TAL"/>
              <w:rPr>
                <w:b/>
                <w:bCs/>
                <w:i/>
              </w:rPr>
            </w:pPr>
            <w:r w:rsidRPr="00FA0D37">
              <w:rPr>
                <w:lang w:eastAsia="en-GB"/>
              </w:rPr>
              <w:t>Provides the configuration of each MBS session provided by MBS broadcast in the current cell.</w:t>
            </w:r>
          </w:p>
        </w:tc>
      </w:tr>
      <w:tr w:rsidR="00214323" w:rsidRPr="00FA0D37" w14:paraId="7CEDC745" w14:textId="77777777" w:rsidTr="00771058">
        <w:trPr>
          <w:cantSplit/>
        </w:trPr>
        <w:tc>
          <w:tcPr>
            <w:tcW w:w="14062" w:type="dxa"/>
            <w:tcBorders>
              <w:top w:val="single" w:sz="4" w:space="0" w:color="808080"/>
              <w:left w:val="single" w:sz="4" w:space="0" w:color="808080"/>
              <w:bottom w:val="single" w:sz="4" w:space="0" w:color="808080"/>
              <w:right w:val="single" w:sz="4" w:space="0" w:color="808080"/>
            </w:tcBorders>
          </w:tcPr>
          <w:p w14:paraId="72E6CC3B" w14:textId="77777777" w:rsidR="00214323" w:rsidRPr="00FA0D37" w:rsidRDefault="00214323" w:rsidP="00771058">
            <w:pPr>
              <w:pStyle w:val="TAL"/>
              <w:rPr>
                <w:rFonts w:eastAsia="Malgun Gothic"/>
                <w:b/>
                <w:i/>
                <w:lang w:eastAsia="sv-SE"/>
              </w:rPr>
            </w:pPr>
            <w:r w:rsidRPr="00FA0D37">
              <w:rPr>
                <w:rFonts w:eastAsia="Malgun Gothic"/>
                <w:b/>
                <w:i/>
                <w:lang w:eastAsia="sv-SE"/>
              </w:rPr>
              <w:t>mbs-NeighbourCellList</w:t>
            </w:r>
          </w:p>
          <w:p w14:paraId="1B35E062" w14:textId="277A39B5" w:rsidR="00214323" w:rsidRPr="00FA0D37" w:rsidRDefault="00214323" w:rsidP="00771058">
            <w:pPr>
              <w:pStyle w:val="TAL"/>
              <w:rPr>
                <w:b/>
                <w:bCs/>
                <w:i/>
              </w:rPr>
            </w:pPr>
            <w:r w:rsidRPr="00FA0D37">
              <w:rPr>
                <w:lang w:eastAsia="en-GB"/>
              </w:rPr>
              <w:t xml:space="preserve">List of neighbour cells providing </w:t>
            </w:r>
            <w:r w:rsidR="00227E02" w:rsidRPr="00FA0D37">
              <w:rPr>
                <w:lang w:eastAsia="en-GB"/>
              </w:rPr>
              <w:t xml:space="preserve">one or more </w:t>
            </w:r>
            <w:r w:rsidRPr="00FA0D37">
              <w:rPr>
                <w:lang w:eastAsia="en-GB"/>
              </w:rPr>
              <w:t>MBS broadcast services via broadcast MRB</w:t>
            </w:r>
            <w:r w:rsidR="00D47ECF" w:rsidRPr="00FA0D37">
              <w:rPr>
                <w:lang w:eastAsia="en-GB"/>
              </w:rPr>
              <w:t xml:space="preserve"> that are provided by the current cell</w:t>
            </w:r>
            <w:r w:rsidRPr="00FA0D37">
              <w:rPr>
                <w:lang w:eastAsia="en-GB"/>
              </w:rPr>
              <w:t xml:space="preserve">. This field is used by the UE together with </w:t>
            </w:r>
            <w:r w:rsidRPr="00FA0D37">
              <w:rPr>
                <w:i/>
                <w:lang w:eastAsia="en-GB"/>
              </w:rPr>
              <w:t>mtch-NeighbourCell</w:t>
            </w:r>
            <w:r w:rsidRPr="00FA0D37">
              <w:rPr>
                <w:lang w:eastAsia="en-GB"/>
              </w:rPr>
              <w:t xml:space="preserve"> field signalled for </w:t>
            </w:r>
            <w:r w:rsidR="00B536F1" w:rsidRPr="00FA0D37">
              <w:rPr>
                <w:lang w:eastAsia="en-GB"/>
              </w:rPr>
              <w:t xml:space="preserve">each </w:t>
            </w:r>
            <w:r w:rsidRPr="00FA0D37">
              <w:rPr>
                <w:lang w:eastAsia="en-GB"/>
              </w:rPr>
              <w:t xml:space="preserve">MBS session in the corresponding </w:t>
            </w:r>
            <w:r w:rsidRPr="00FA0D37">
              <w:rPr>
                <w:i/>
                <w:lang w:eastAsia="en-GB"/>
              </w:rPr>
              <w:t>MBS-SessionInfo</w:t>
            </w:r>
            <w:r w:rsidRPr="00FA0D37">
              <w:rPr>
                <w:lang w:eastAsia="en-GB"/>
              </w:rPr>
              <w:t xml:space="preserve">. When an empty </w:t>
            </w:r>
            <w:r w:rsidR="00B536F1" w:rsidRPr="00FA0D37">
              <w:rPr>
                <w:rFonts w:eastAsia="Malgun Gothic"/>
                <w:i/>
                <w:lang w:eastAsia="sv-SE"/>
              </w:rPr>
              <w:t xml:space="preserve">mbs-NeighbourCellList </w:t>
            </w:r>
            <w:r w:rsidRPr="00FA0D37">
              <w:rPr>
                <w:lang w:eastAsia="en-GB"/>
              </w:rPr>
              <w:t xml:space="preserve">list is signalled, the UE shall assume that MBS broadcast services </w:t>
            </w:r>
            <w:r w:rsidR="00B536F1" w:rsidRPr="00FA0D37">
              <w:rPr>
                <w:lang w:eastAsia="en-GB"/>
              </w:rPr>
              <w:t>signalled in</w:t>
            </w:r>
            <w:r w:rsidR="00B536F1" w:rsidRPr="00FA0D37">
              <w:t xml:space="preserve"> </w:t>
            </w:r>
            <w:r w:rsidR="00B536F1" w:rsidRPr="00FA0D37">
              <w:rPr>
                <w:i/>
              </w:rPr>
              <w:t>mbs-SessionInfoList</w:t>
            </w:r>
            <w:r w:rsidR="00B536F1" w:rsidRPr="00FA0D37">
              <w:rPr>
                <w:lang w:eastAsia="en-GB"/>
              </w:rPr>
              <w:t xml:space="preserve"> </w:t>
            </w:r>
            <w:r w:rsidRPr="00FA0D37">
              <w:rPr>
                <w:lang w:eastAsia="en-GB"/>
              </w:rPr>
              <w:t xml:space="preserve">in the </w:t>
            </w:r>
            <w:r w:rsidRPr="00FA0D37">
              <w:rPr>
                <w:i/>
                <w:lang w:eastAsia="en-GB"/>
              </w:rPr>
              <w:t>MBSBroadcastConfiguration</w:t>
            </w:r>
            <w:r w:rsidRPr="00FA0D37">
              <w:rPr>
                <w:lang w:eastAsia="en-GB"/>
              </w:rPr>
              <w:t xml:space="preserve"> message are not provided in any neighbour cell. </w:t>
            </w:r>
            <w:r w:rsidR="00142BAE" w:rsidRPr="00FA0D37">
              <w:rPr>
                <w:rFonts w:cs="Arial"/>
                <w:szCs w:val="18"/>
                <w:lang w:eastAsia="en-GB"/>
              </w:rPr>
              <w:t xml:space="preserve">When a non-empty </w:t>
            </w:r>
            <w:r w:rsidR="00142BAE" w:rsidRPr="00FA0D37">
              <w:rPr>
                <w:rFonts w:cs="Arial"/>
                <w:i/>
                <w:iCs/>
                <w:szCs w:val="18"/>
                <w:lang w:eastAsia="en-GB"/>
              </w:rPr>
              <w:t>mbs-NeighbourCellList</w:t>
            </w:r>
            <w:r w:rsidR="00142BAE" w:rsidRPr="00FA0D37">
              <w:rPr>
                <w:rFonts w:cs="Arial"/>
                <w:szCs w:val="18"/>
                <w:lang w:eastAsia="en-GB"/>
              </w:rPr>
              <w:t xml:space="preserve"> is signalled, the current serving cell does not provide information about MBS broadcast services of a neighbour cell that is not included in </w:t>
            </w:r>
            <w:r w:rsidR="00142BAE" w:rsidRPr="00FA0D37">
              <w:rPr>
                <w:rFonts w:cs="Arial"/>
                <w:i/>
                <w:iCs/>
                <w:szCs w:val="18"/>
                <w:lang w:eastAsia="en-GB"/>
              </w:rPr>
              <w:t>mbs-NeighbourCellList</w:t>
            </w:r>
            <w:r w:rsidR="00142BAE" w:rsidRPr="00FA0D37">
              <w:rPr>
                <w:rFonts w:cs="Arial"/>
                <w:szCs w:val="18"/>
                <w:lang w:eastAsia="en-GB"/>
              </w:rPr>
              <w:t>, i.e., the UE cannot determine the presence or absence of an MBS service of a neighbour cell that is absent.</w:t>
            </w:r>
            <w:r w:rsidR="00142BAE" w:rsidRPr="00FA0D37">
              <w:rPr>
                <w:rFonts w:eastAsia="宋体" w:cs="Arial"/>
                <w:szCs w:val="18"/>
                <w:lang w:eastAsia="zh-CN"/>
              </w:rPr>
              <w:t xml:space="preserve"> </w:t>
            </w:r>
            <w:r w:rsidRPr="00FA0D37">
              <w:rPr>
                <w:lang w:eastAsia="en-GB"/>
              </w:rPr>
              <w:t xml:space="preserve">When the field </w:t>
            </w:r>
            <w:r w:rsidR="00B536F1" w:rsidRPr="00FA0D37">
              <w:rPr>
                <w:rFonts w:eastAsia="Malgun Gothic"/>
                <w:i/>
                <w:lang w:eastAsia="sv-SE"/>
              </w:rPr>
              <w:t>mbs-NeighbourCellList</w:t>
            </w:r>
            <w:r w:rsidR="00B536F1" w:rsidRPr="00FA0D37">
              <w:rPr>
                <w:lang w:eastAsia="en-GB"/>
              </w:rPr>
              <w:t xml:space="preserve"> </w:t>
            </w:r>
            <w:r w:rsidRPr="00FA0D37">
              <w:rPr>
                <w:lang w:eastAsia="en-GB"/>
              </w:rPr>
              <w:t>is absent, the current serving cell does not provide information about MBS broadcast services in the neighbouring cells, i.e. the UE cannot determine the presence or absence of an MBS service in neighbouring cells based on the absence of this field.</w:t>
            </w:r>
          </w:p>
        </w:tc>
      </w:tr>
    </w:tbl>
    <w:p w14:paraId="0A8532C3" w14:textId="77777777" w:rsidR="00EF781F" w:rsidRDefault="00EF781F" w:rsidP="00EF781F">
      <w:bookmarkStart w:id="476" w:name="_Hlk152768803"/>
      <w:bookmarkStart w:id="477" w:name="_Toc60777100"/>
      <w:bookmarkStart w:id="478" w:name="_Toc146781136"/>
    </w:p>
    <w:p w14:paraId="32F90F0C" w14:textId="77777777" w:rsidR="00EF781F" w:rsidRDefault="00EF781F" w:rsidP="00EF781F">
      <w:pPr>
        <w:pStyle w:val="4"/>
        <w:rPr>
          <w:i/>
          <w:iCs/>
        </w:rPr>
      </w:pPr>
      <w:bookmarkStart w:id="479" w:name="_Toc146781135"/>
      <w:r>
        <w:rPr>
          <w:i/>
          <w:iCs/>
        </w:rPr>
        <w:t>–</w:t>
      </w:r>
      <w:r>
        <w:rPr>
          <w:i/>
          <w:iCs/>
        </w:rPr>
        <w:tab/>
        <w:t>MBSInterestIndication</w:t>
      </w:r>
      <w:bookmarkEnd w:id="479"/>
    </w:p>
    <w:p w14:paraId="17C31FA5" w14:textId="77777777" w:rsidR="00EF781F" w:rsidRDefault="00EF781F" w:rsidP="00EF781F">
      <w:pPr>
        <w:rPr>
          <w:lang w:eastAsia="zh-CN"/>
        </w:rPr>
      </w:pPr>
      <w:r>
        <w:rPr>
          <w:lang w:eastAsia="zh-CN"/>
        </w:rPr>
        <w:t xml:space="preserve">The </w:t>
      </w:r>
      <w:r>
        <w:rPr>
          <w:i/>
        </w:rPr>
        <w:t>MBSInterestIndication</w:t>
      </w:r>
      <w:r>
        <w:rPr>
          <w:iCs/>
          <w:lang w:eastAsia="zh-CN"/>
        </w:rPr>
        <w:t xml:space="preserve"> message is used to inform network that the UE is receiving/ interested to receive or no longer receiving/ interested to receive MBS broadcast service(s) via a broadcast MRB.</w:t>
      </w:r>
    </w:p>
    <w:p w14:paraId="33A1C014" w14:textId="77777777" w:rsidR="00EF781F" w:rsidRDefault="00EF781F" w:rsidP="00EF781F">
      <w:pPr>
        <w:pStyle w:val="B1"/>
        <w:rPr>
          <w:lang w:eastAsia="zh-CN"/>
        </w:rPr>
      </w:pPr>
      <w:r>
        <w:rPr>
          <w:lang w:eastAsia="zh-CN"/>
        </w:rPr>
        <w:t>Signalling radio bearer: SRB1</w:t>
      </w:r>
    </w:p>
    <w:p w14:paraId="5F528F83" w14:textId="77777777" w:rsidR="00EF781F" w:rsidRDefault="00EF781F" w:rsidP="00EF781F">
      <w:pPr>
        <w:pStyle w:val="B1"/>
        <w:rPr>
          <w:lang w:eastAsia="zh-CN"/>
        </w:rPr>
      </w:pPr>
      <w:r>
        <w:rPr>
          <w:lang w:eastAsia="zh-CN"/>
        </w:rPr>
        <w:t>RLC-SAP: AM</w:t>
      </w:r>
    </w:p>
    <w:p w14:paraId="7D588308" w14:textId="77777777" w:rsidR="00EF781F" w:rsidRDefault="00EF781F" w:rsidP="00EF781F">
      <w:pPr>
        <w:pStyle w:val="B1"/>
        <w:rPr>
          <w:lang w:eastAsia="zh-CN"/>
        </w:rPr>
      </w:pPr>
      <w:r>
        <w:rPr>
          <w:lang w:eastAsia="zh-CN"/>
        </w:rPr>
        <w:t>Logical channel: DCCH</w:t>
      </w:r>
    </w:p>
    <w:p w14:paraId="47A7C011" w14:textId="77777777" w:rsidR="00EF781F" w:rsidRDefault="00EF781F" w:rsidP="00EF781F">
      <w:pPr>
        <w:pStyle w:val="B1"/>
        <w:rPr>
          <w:lang w:eastAsia="zh-CN"/>
        </w:rPr>
      </w:pPr>
      <w:r>
        <w:rPr>
          <w:lang w:eastAsia="zh-CN"/>
        </w:rPr>
        <w:t>Direction: UE to Network</w:t>
      </w:r>
    </w:p>
    <w:p w14:paraId="09803741" w14:textId="77777777" w:rsidR="00EF781F" w:rsidRDefault="00EF781F" w:rsidP="00EF781F">
      <w:pPr>
        <w:pStyle w:val="TH"/>
        <w:rPr>
          <w:i/>
        </w:rPr>
      </w:pPr>
      <w:r w:rsidRPr="00EF781F">
        <w:rPr>
          <w:i/>
        </w:rPr>
        <w:lastRenderedPageBreak/>
        <w:t>MBSInterestIndication message</w:t>
      </w:r>
    </w:p>
    <w:p w14:paraId="16D45B62" w14:textId="77777777" w:rsidR="00EF781F" w:rsidRPr="008D7C7E" w:rsidRDefault="00EF781F" w:rsidP="00EF781F">
      <w:pPr>
        <w:pStyle w:val="PL"/>
        <w:rPr>
          <w:color w:val="808080"/>
        </w:rPr>
      </w:pPr>
      <w:r w:rsidRPr="008D7C7E">
        <w:rPr>
          <w:color w:val="808080"/>
        </w:rPr>
        <w:t>-- ASN1START</w:t>
      </w:r>
    </w:p>
    <w:p w14:paraId="6BC27CDD" w14:textId="77777777" w:rsidR="00EF781F" w:rsidRPr="008D7C7E" w:rsidRDefault="00EF781F" w:rsidP="00EF781F">
      <w:pPr>
        <w:pStyle w:val="PL"/>
        <w:rPr>
          <w:color w:val="808080"/>
        </w:rPr>
      </w:pPr>
      <w:r w:rsidRPr="008D7C7E">
        <w:rPr>
          <w:color w:val="808080"/>
        </w:rPr>
        <w:t>-- TAG-MBSINTERESTINDICATION-START</w:t>
      </w:r>
    </w:p>
    <w:p w14:paraId="1F3D2851" w14:textId="77777777" w:rsidR="00EF781F" w:rsidRDefault="00EF781F" w:rsidP="00EF781F">
      <w:pPr>
        <w:pStyle w:val="PL"/>
      </w:pPr>
    </w:p>
    <w:p w14:paraId="084072FC" w14:textId="77777777" w:rsidR="00EF781F" w:rsidRDefault="00EF781F" w:rsidP="00EF781F">
      <w:pPr>
        <w:pStyle w:val="PL"/>
      </w:pPr>
      <w:r>
        <w:t>MBSInterestIndication-r17 ::= SEQUENCE {</w:t>
      </w:r>
    </w:p>
    <w:p w14:paraId="2B87F2EF" w14:textId="77777777" w:rsidR="00EF781F" w:rsidRDefault="00EF781F" w:rsidP="00EF781F">
      <w:pPr>
        <w:pStyle w:val="PL"/>
      </w:pPr>
      <w:r>
        <w:t xml:space="preserve">    criticalExtensions            CHOICE {</w:t>
      </w:r>
    </w:p>
    <w:p w14:paraId="197F75F2" w14:textId="77777777" w:rsidR="00EF781F" w:rsidRDefault="00EF781F" w:rsidP="00EF781F">
      <w:pPr>
        <w:pStyle w:val="PL"/>
      </w:pPr>
      <w:r>
        <w:t xml:space="preserve">        mbsInterestIndication-r17     MBSInterestIndication-r17-IEs,</w:t>
      </w:r>
    </w:p>
    <w:p w14:paraId="49DC8474" w14:textId="77777777" w:rsidR="00EF781F" w:rsidRDefault="00EF781F" w:rsidP="00EF781F">
      <w:pPr>
        <w:pStyle w:val="PL"/>
      </w:pPr>
      <w:r>
        <w:t xml:space="preserve">        criticalExtensionsFuture      SEQUENCE {}</w:t>
      </w:r>
    </w:p>
    <w:p w14:paraId="2BD2312E" w14:textId="77777777" w:rsidR="00EF781F" w:rsidRDefault="00EF781F" w:rsidP="00EF781F">
      <w:pPr>
        <w:pStyle w:val="PL"/>
      </w:pPr>
      <w:r>
        <w:t xml:space="preserve">    }</w:t>
      </w:r>
    </w:p>
    <w:p w14:paraId="39B57FC9" w14:textId="77777777" w:rsidR="00EF781F" w:rsidRDefault="00EF781F" w:rsidP="00EF781F">
      <w:pPr>
        <w:pStyle w:val="PL"/>
      </w:pPr>
      <w:r>
        <w:t>}</w:t>
      </w:r>
    </w:p>
    <w:p w14:paraId="02F42634" w14:textId="77777777" w:rsidR="00EF781F" w:rsidRDefault="00EF781F" w:rsidP="00EF781F">
      <w:pPr>
        <w:pStyle w:val="PL"/>
      </w:pPr>
    </w:p>
    <w:p w14:paraId="6B6A46BF" w14:textId="77777777" w:rsidR="00EF781F" w:rsidRDefault="00EF781F" w:rsidP="00EF781F">
      <w:pPr>
        <w:pStyle w:val="PL"/>
      </w:pPr>
      <w:r>
        <w:t>MBSInterestIndication-r17-IEs ::= SEQUENCE {</w:t>
      </w:r>
    </w:p>
    <w:p w14:paraId="6728ED85" w14:textId="77777777" w:rsidR="00EF781F" w:rsidRDefault="00EF781F" w:rsidP="00EF781F">
      <w:pPr>
        <w:pStyle w:val="PL"/>
      </w:pPr>
      <w:r>
        <w:t xml:space="preserve">    mbs-FreqList-r17                  CarrierFreqListMBS-r17              </w:t>
      </w:r>
      <w:r>
        <w:rPr>
          <w:color w:val="993366"/>
        </w:rPr>
        <w:t>OPTIONAL</w:t>
      </w:r>
      <w:r>
        <w:t>,</w:t>
      </w:r>
    </w:p>
    <w:p w14:paraId="282CF9E2" w14:textId="77777777" w:rsidR="00EF781F" w:rsidRDefault="00EF781F" w:rsidP="00EF781F">
      <w:pPr>
        <w:pStyle w:val="PL"/>
      </w:pPr>
      <w:r>
        <w:t xml:space="preserve">    mbs-Priority-r17                  ENUMERATED {true}                   </w:t>
      </w:r>
      <w:r>
        <w:rPr>
          <w:color w:val="993366"/>
        </w:rPr>
        <w:t>OPTIONAL</w:t>
      </w:r>
      <w:r>
        <w:t>,</w:t>
      </w:r>
    </w:p>
    <w:p w14:paraId="607B2286" w14:textId="77777777" w:rsidR="00EF781F" w:rsidRDefault="00EF781F" w:rsidP="00EF781F">
      <w:pPr>
        <w:pStyle w:val="PL"/>
      </w:pPr>
      <w:r>
        <w:t xml:space="preserve">    mbs-ServiceList-r17               MBS-ServiceList-r17                 </w:t>
      </w:r>
      <w:r>
        <w:rPr>
          <w:color w:val="993366"/>
        </w:rPr>
        <w:t>OPTIONAL</w:t>
      </w:r>
      <w:r>
        <w:t>,</w:t>
      </w:r>
    </w:p>
    <w:p w14:paraId="6EE85D32" w14:textId="77777777" w:rsidR="00EF781F" w:rsidRDefault="00EF781F" w:rsidP="00EF781F">
      <w:pPr>
        <w:pStyle w:val="PL"/>
      </w:pPr>
      <w:r>
        <w:t xml:space="preserve">    lateNonCriticalExtension          </w:t>
      </w:r>
      <w:r>
        <w:rPr>
          <w:color w:val="993366"/>
        </w:rPr>
        <w:t>OCTET STRING</w:t>
      </w:r>
      <w:r>
        <w:t xml:space="preserve">                        </w:t>
      </w:r>
      <w:r>
        <w:rPr>
          <w:color w:val="993366"/>
        </w:rPr>
        <w:t>OPTIONAL</w:t>
      </w:r>
      <w:r>
        <w:t>,</w:t>
      </w:r>
    </w:p>
    <w:p w14:paraId="634C444B" w14:textId="77777777" w:rsidR="00EF781F" w:rsidRDefault="00EF781F" w:rsidP="00EF781F">
      <w:pPr>
        <w:pStyle w:val="PL"/>
        <w:rPr>
          <w:ins w:id="480" w:author="Huawei, HiSilicon" w:date="2023-11-02T14:40:00Z"/>
        </w:rPr>
      </w:pPr>
      <w:ins w:id="481" w:author="Huawei, HiSilicon" w:date="2023-11-02T14:40:00Z">
        <w:r>
          <w:t xml:space="preserve">    nonCriticalExtension              MBSInterestIndication-v18xy         </w:t>
        </w:r>
        <w:r>
          <w:rPr>
            <w:color w:val="993366"/>
          </w:rPr>
          <w:t>OPTIONAL</w:t>
        </w:r>
      </w:ins>
    </w:p>
    <w:p w14:paraId="7FE4D845" w14:textId="77777777" w:rsidR="00EF781F" w:rsidRDefault="00EF781F" w:rsidP="00EF781F">
      <w:pPr>
        <w:pStyle w:val="PL"/>
        <w:rPr>
          <w:ins w:id="482" w:author="Huawei, HiSilicon" w:date="2023-11-02T14:40:00Z"/>
        </w:rPr>
      </w:pPr>
      <w:ins w:id="483" w:author="Huawei, HiSilicon" w:date="2023-11-02T14:40:00Z">
        <w:r>
          <w:t>}</w:t>
        </w:r>
      </w:ins>
    </w:p>
    <w:p w14:paraId="0949C5E8" w14:textId="77777777" w:rsidR="00EF781F" w:rsidRDefault="00EF781F" w:rsidP="00EF781F">
      <w:pPr>
        <w:pStyle w:val="PL"/>
        <w:rPr>
          <w:ins w:id="484" w:author="Huawei, HiSilicon" w:date="2023-11-02T14:40:00Z"/>
        </w:rPr>
      </w:pPr>
    </w:p>
    <w:p w14:paraId="6E3A0C0D" w14:textId="77777777" w:rsidR="00EF781F" w:rsidRDefault="00EF781F" w:rsidP="00EF781F">
      <w:pPr>
        <w:pStyle w:val="PL"/>
        <w:rPr>
          <w:ins w:id="485" w:author="Huawei, HiSilicon" w:date="2023-11-02T14:40:00Z"/>
        </w:rPr>
      </w:pPr>
      <w:ins w:id="486" w:author="Huawei, HiSilicon" w:date="2023-11-02T14:40:00Z">
        <w:r>
          <w:t xml:space="preserve">MBSInterestIndication-v18xy ::= </w:t>
        </w:r>
        <w:r>
          <w:rPr>
            <w:color w:val="993366"/>
          </w:rPr>
          <w:t>SEQUENCE</w:t>
        </w:r>
        <w:r>
          <w:t xml:space="preserve"> {</w:t>
        </w:r>
      </w:ins>
    </w:p>
    <w:p w14:paraId="43ED4675" w14:textId="77777777" w:rsidR="00EF781F" w:rsidRDefault="00EF781F" w:rsidP="00EF781F">
      <w:pPr>
        <w:pStyle w:val="PL"/>
        <w:rPr>
          <w:ins w:id="487" w:author="Huawei, HiSilicon" w:date="2023-11-02T14:40:00Z"/>
        </w:rPr>
      </w:pPr>
      <w:ins w:id="488" w:author="Huawei, HiSilicon" w:date="2023-11-02T14:40:00Z">
        <w:r>
          <w:t xml:space="preserve">    mbs-NonServingInfoList-r18        MBS-NonServingInfoList-r18          </w:t>
        </w:r>
        <w:r>
          <w:rPr>
            <w:color w:val="993366"/>
          </w:rPr>
          <w:t>OPTIONAL</w:t>
        </w:r>
        <w:r>
          <w:t>,</w:t>
        </w:r>
      </w:ins>
    </w:p>
    <w:p w14:paraId="00B4DA8A" w14:textId="77777777" w:rsidR="00EF781F" w:rsidRDefault="00EF781F" w:rsidP="00EF781F">
      <w:pPr>
        <w:pStyle w:val="PL"/>
        <w:rPr>
          <w:ins w:id="489" w:author="Huawei, HiSilicon" w:date="2023-11-02T14:40:00Z"/>
        </w:rPr>
      </w:pPr>
      <w:ins w:id="490" w:author="Huawei, HiSilicon" w:date="2023-11-02T14:40:00Z">
        <w:r>
          <w:t xml:space="preserve">    lateNonCriticalExtension          </w:t>
        </w:r>
        <w:r>
          <w:rPr>
            <w:color w:val="993366"/>
          </w:rPr>
          <w:t>OCTET</w:t>
        </w:r>
        <w:r>
          <w:t xml:space="preserve"> </w:t>
        </w:r>
        <w:r>
          <w:rPr>
            <w:color w:val="993366"/>
          </w:rPr>
          <w:t>STRING</w:t>
        </w:r>
        <w:r>
          <w:t xml:space="preserve">                        </w:t>
        </w:r>
        <w:r>
          <w:rPr>
            <w:color w:val="993366"/>
          </w:rPr>
          <w:t>OPTIONAL</w:t>
        </w:r>
        <w:r>
          <w:t>,</w:t>
        </w:r>
      </w:ins>
    </w:p>
    <w:p w14:paraId="3530800E" w14:textId="77777777" w:rsidR="00EF781F" w:rsidRDefault="00EF781F" w:rsidP="00EF781F">
      <w:pPr>
        <w:pStyle w:val="PL"/>
        <w:rPr>
          <w:rFonts w:eastAsia="Malgun Gothic"/>
        </w:rPr>
      </w:pPr>
      <w:r>
        <w:t xml:space="preserve">    </w:t>
      </w:r>
      <w:r>
        <w:rPr>
          <w:rFonts w:eastAsia="Malgun Gothic"/>
        </w:rPr>
        <w:t>nonCriticalExtension</w:t>
      </w:r>
      <w:r>
        <w:t xml:space="preserve">              </w:t>
      </w:r>
      <w:r>
        <w:rPr>
          <w:color w:val="993366"/>
        </w:rPr>
        <w:t>SEQUENCE</w:t>
      </w:r>
      <w:r>
        <w:rPr>
          <w:rFonts w:eastAsia="Malgun Gothic"/>
        </w:rPr>
        <w:t xml:space="preserve"> {}</w:t>
      </w:r>
      <w:r>
        <w:t xml:space="preserve">                         </w:t>
      </w:r>
      <w:r>
        <w:rPr>
          <w:color w:val="993366"/>
        </w:rPr>
        <w:t>OPTIONAL</w:t>
      </w:r>
    </w:p>
    <w:p w14:paraId="20AD5B1A" w14:textId="77777777" w:rsidR="00EF781F" w:rsidRDefault="00EF781F" w:rsidP="00EF781F">
      <w:pPr>
        <w:pStyle w:val="PL"/>
      </w:pPr>
      <w:r>
        <w:t>}</w:t>
      </w:r>
    </w:p>
    <w:p w14:paraId="358CB466" w14:textId="77777777" w:rsidR="00EF781F" w:rsidRDefault="00EF781F" w:rsidP="00EF781F">
      <w:pPr>
        <w:pStyle w:val="PL"/>
      </w:pPr>
    </w:p>
    <w:p w14:paraId="71F174DF" w14:textId="77777777" w:rsidR="00EF781F" w:rsidRPr="008D7C7E" w:rsidRDefault="00EF781F" w:rsidP="00EF781F">
      <w:pPr>
        <w:pStyle w:val="PL"/>
        <w:rPr>
          <w:color w:val="808080"/>
        </w:rPr>
      </w:pPr>
      <w:r w:rsidRPr="008D7C7E">
        <w:rPr>
          <w:color w:val="808080"/>
        </w:rPr>
        <w:t>-- TAG-MBSINTERESTINDICATION-STOP</w:t>
      </w:r>
    </w:p>
    <w:p w14:paraId="571D8001" w14:textId="77777777" w:rsidR="00EF781F" w:rsidRPr="008D7C7E" w:rsidRDefault="00EF781F" w:rsidP="00EF781F">
      <w:pPr>
        <w:pStyle w:val="PL"/>
        <w:rPr>
          <w:color w:val="808080"/>
        </w:rPr>
      </w:pPr>
      <w:r w:rsidRPr="008D7C7E">
        <w:rPr>
          <w:color w:val="808080"/>
        </w:rPr>
        <w:t>-- ASN1STOP</w:t>
      </w:r>
    </w:p>
    <w:p w14:paraId="21C47CE8" w14:textId="77777777" w:rsidR="00EF781F" w:rsidRDefault="00EF781F" w:rsidP="00EF781F"/>
    <w:tbl>
      <w:tblPr>
        <w:tblW w:w="1407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70"/>
      </w:tblGrid>
      <w:tr w:rsidR="00EF781F" w14:paraId="22756684" w14:textId="77777777" w:rsidTr="00EF781F">
        <w:trPr>
          <w:cantSplit/>
          <w:trHeight w:val="188"/>
          <w:tblHeader/>
        </w:trPr>
        <w:tc>
          <w:tcPr>
            <w:tcW w:w="14074" w:type="dxa"/>
            <w:tcBorders>
              <w:top w:val="single" w:sz="4" w:space="0" w:color="808080"/>
              <w:left w:val="single" w:sz="4" w:space="0" w:color="808080"/>
              <w:bottom w:val="single" w:sz="4" w:space="0" w:color="808080"/>
              <w:right w:val="single" w:sz="4" w:space="0" w:color="808080"/>
            </w:tcBorders>
            <w:hideMark/>
          </w:tcPr>
          <w:p w14:paraId="09F8A242" w14:textId="77777777" w:rsidR="00EF781F" w:rsidRDefault="00EF781F">
            <w:pPr>
              <w:keepNext/>
              <w:keepLines/>
              <w:spacing w:after="0"/>
              <w:jc w:val="center"/>
              <w:rPr>
                <w:rFonts w:ascii="Arial" w:hAnsi="Arial"/>
                <w:b/>
                <w:sz w:val="18"/>
                <w:lang w:eastAsia="en-GB"/>
              </w:rPr>
            </w:pPr>
            <w:r>
              <w:rPr>
                <w:rFonts w:ascii="Arial" w:hAnsi="Arial"/>
                <w:b/>
                <w:i/>
                <w:sz w:val="18"/>
                <w:lang w:eastAsia="zh-CN"/>
              </w:rPr>
              <w:t>MBSInterestIndication</w:t>
            </w:r>
            <w:r>
              <w:rPr>
                <w:rFonts w:ascii="Arial" w:hAnsi="Arial"/>
                <w:b/>
                <w:sz w:val="18"/>
              </w:rPr>
              <w:t xml:space="preserve"> field descriptions</w:t>
            </w:r>
          </w:p>
        </w:tc>
      </w:tr>
      <w:tr w:rsidR="00EF781F" w14:paraId="54315543" w14:textId="77777777" w:rsidTr="00EF781F">
        <w:trPr>
          <w:cantSplit/>
          <w:trHeight w:val="389"/>
        </w:trPr>
        <w:tc>
          <w:tcPr>
            <w:tcW w:w="14074" w:type="dxa"/>
            <w:tcBorders>
              <w:top w:val="single" w:sz="4" w:space="0" w:color="808080"/>
              <w:left w:val="single" w:sz="4" w:space="0" w:color="808080"/>
              <w:bottom w:val="single" w:sz="4" w:space="0" w:color="808080"/>
              <w:right w:val="single" w:sz="4" w:space="0" w:color="808080"/>
            </w:tcBorders>
            <w:hideMark/>
          </w:tcPr>
          <w:p w14:paraId="0CEA93B3" w14:textId="77777777" w:rsidR="00EF781F" w:rsidRDefault="00EF781F">
            <w:pPr>
              <w:keepNext/>
              <w:keepLines/>
              <w:spacing w:after="0"/>
              <w:rPr>
                <w:rFonts w:ascii="Arial" w:hAnsi="Arial"/>
                <w:b/>
                <w:i/>
                <w:sz w:val="18"/>
                <w:lang w:eastAsia="zh-CN"/>
              </w:rPr>
            </w:pPr>
            <w:r>
              <w:rPr>
                <w:rFonts w:ascii="Arial" w:hAnsi="Arial"/>
                <w:b/>
                <w:i/>
                <w:sz w:val="18"/>
                <w:lang w:eastAsia="zh-CN"/>
              </w:rPr>
              <w:t>mbs-FreqList</w:t>
            </w:r>
          </w:p>
          <w:p w14:paraId="1E30E0EB" w14:textId="77777777" w:rsidR="00EF781F" w:rsidRDefault="00EF781F">
            <w:pPr>
              <w:keepNext/>
              <w:keepLines/>
              <w:spacing w:after="0"/>
              <w:rPr>
                <w:rFonts w:ascii="Arial" w:hAnsi="Arial"/>
                <w:b/>
                <w:i/>
                <w:sz w:val="18"/>
                <w:lang w:eastAsia="zh-CN"/>
              </w:rPr>
            </w:pPr>
            <w:r>
              <w:rPr>
                <w:rFonts w:ascii="Arial" w:hAnsi="Arial"/>
                <w:sz w:val="18"/>
                <w:lang w:eastAsia="zh-CN"/>
              </w:rPr>
              <w:t xml:space="preserve">List of MBS frequencies on which the UE is receiving or interested to receive MBS broadcast service via a </w:t>
            </w:r>
            <w:r>
              <w:rPr>
                <w:rFonts w:ascii="Arial" w:hAnsi="Arial"/>
                <w:sz w:val="18"/>
                <w:lang w:eastAsia="en-GB"/>
              </w:rPr>
              <w:t>broadcast</w:t>
            </w:r>
            <w:r>
              <w:rPr>
                <w:rFonts w:ascii="Arial" w:hAnsi="Arial"/>
                <w:sz w:val="18"/>
                <w:lang w:eastAsia="zh-CN"/>
              </w:rPr>
              <w:t xml:space="preserve"> MRB.</w:t>
            </w:r>
          </w:p>
        </w:tc>
      </w:tr>
      <w:tr w:rsidR="00EF781F" w14:paraId="24E7C606" w14:textId="77777777" w:rsidTr="00EF781F">
        <w:trPr>
          <w:cantSplit/>
          <w:trHeight w:val="753"/>
        </w:trPr>
        <w:tc>
          <w:tcPr>
            <w:tcW w:w="14074" w:type="dxa"/>
            <w:tcBorders>
              <w:top w:val="single" w:sz="4" w:space="0" w:color="808080"/>
              <w:left w:val="single" w:sz="4" w:space="0" w:color="808080"/>
              <w:bottom w:val="single" w:sz="4" w:space="0" w:color="808080"/>
              <w:right w:val="single" w:sz="4" w:space="0" w:color="808080"/>
            </w:tcBorders>
            <w:hideMark/>
          </w:tcPr>
          <w:p w14:paraId="03A0C688" w14:textId="77777777" w:rsidR="00EF781F" w:rsidRDefault="00EF781F">
            <w:pPr>
              <w:keepNext/>
              <w:keepLines/>
              <w:spacing w:after="0"/>
              <w:rPr>
                <w:rFonts w:ascii="Arial" w:hAnsi="Arial"/>
                <w:b/>
                <w:i/>
                <w:sz w:val="18"/>
              </w:rPr>
            </w:pPr>
            <w:r>
              <w:rPr>
                <w:rFonts w:ascii="Arial" w:hAnsi="Arial"/>
                <w:b/>
                <w:i/>
                <w:sz w:val="18"/>
                <w:lang w:eastAsia="zh-CN"/>
              </w:rPr>
              <w:t>mbs-Priority</w:t>
            </w:r>
          </w:p>
          <w:p w14:paraId="49ED050E" w14:textId="77777777" w:rsidR="00EF781F" w:rsidRDefault="00EF781F">
            <w:pPr>
              <w:keepNext/>
              <w:keepLines/>
              <w:spacing w:after="0"/>
              <w:rPr>
                <w:rFonts w:ascii="Arial" w:hAnsi="Arial"/>
                <w:sz w:val="18"/>
                <w:lang w:eastAsia="zh-CN"/>
              </w:rPr>
            </w:pPr>
            <w:r>
              <w:rPr>
                <w:rFonts w:ascii="Arial" w:hAnsi="Arial"/>
                <w:sz w:val="18"/>
                <w:lang w:eastAsia="en-GB"/>
              </w:rPr>
              <w:t xml:space="preserve">Indicates whether the UE prioritises MBS broadcast reception above unicast and MBS multicast reception. The field is present (i.e. value </w:t>
            </w:r>
            <w:r>
              <w:rPr>
                <w:rFonts w:ascii="Arial" w:hAnsi="Arial"/>
                <w:i/>
                <w:sz w:val="18"/>
                <w:lang w:eastAsia="en-GB"/>
              </w:rPr>
              <w:t>true</w:t>
            </w:r>
            <w:r>
              <w:rPr>
                <w:rFonts w:ascii="Arial" w:hAnsi="Arial"/>
                <w:sz w:val="18"/>
                <w:lang w:eastAsia="en-GB"/>
              </w:rPr>
              <w:t xml:space="preserve">), if the UE prioritises reception of broadcast services, on frequencies indicated in </w:t>
            </w:r>
            <w:r>
              <w:rPr>
                <w:rFonts w:ascii="Arial" w:hAnsi="Arial"/>
                <w:i/>
                <w:sz w:val="18"/>
                <w:lang w:eastAsia="en-GB"/>
              </w:rPr>
              <w:t>mbs-FreqLis</w:t>
            </w:r>
            <w:r>
              <w:rPr>
                <w:rFonts w:ascii="Arial" w:hAnsi="Arial"/>
                <w:sz w:val="18"/>
                <w:lang w:eastAsia="en-GB"/>
              </w:rPr>
              <w:t>t, above a reception of any of the unicast bearers and multicast MRBs. Otherwise the field is absent.</w:t>
            </w:r>
          </w:p>
        </w:tc>
      </w:tr>
      <w:tr w:rsidR="00EF781F" w14:paraId="1474FCE9" w14:textId="77777777" w:rsidTr="00EF781F">
        <w:trPr>
          <w:cantSplit/>
          <w:trHeight w:val="421"/>
        </w:trPr>
        <w:tc>
          <w:tcPr>
            <w:tcW w:w="14074" w:type="dxa"/>
            <w:tcBorders>
              <w:top w:val="single" w:sz="4" w:space="0" w:color="808080"/>
              <w:left w:val="single" w:sz="4" w:space="0" w:color="808080"/>
              <w:bottom w:val="single" w:sz="4" w:space="0" w:color="808080"/>
              <w:right w:val="single" w:sz="4" w:space="0" w:color="808080"/>
            </w:tcBorders>
            <w:hideMark/>
          </w:tcPr>
          <w:p w14:paraId="6AA4A925" w14:textId="77777777" w:rsidR="00EF781F" w:rsidRDefault="00EF781F">
            <w:pPr>
              <w:keepNext/>
              <w:keepLines/>
              <w:spacing w:after="0"/>
              <w:rPr>
                <w:rFonts w:ascii="Arial" w:hAnsi="Arial"/>
                <w:b/>
                <w:i/>
                <w:sz w:val="18"/>
              </w:rPr>
            </w:pPr>
            <w:r>
              <w:rPr>
                <w:rFonts w:ascii="Arial" w:hAnsi="Arial"/>
                <w:b/>
                <w:i/>
                <w:sz w:val="18"/>
                <w:lang w:eastAsia="zh-CN"/>
              </w:rPr>
              <w:t>mbs-ServiceList</w:t>
            </w:r>
          </w:p>
          <w:p w14:paraId="49F9EFE5" w14:textId="77777777" w:rsidR="00EF781F" w:rsidRDefault="00EF781F">
            <w:pPr>
              <w:keepNext/>
              <w:keepLines/>
              <w:spacing w:after="0"/>
              <w:rPr>
                <w:rFonts w:ascii="Arial" w:hAnsi="Arial"/>
                <w:b/>
                <w:i/>
                <w:sz w:val="18"/>
                <w:lang w:eastAsia="zh-CN"/>
              </w:rPr>
            </w:pPr>
            <w:r>
              <w:rPr>
                <w:rFonts w:ascii="Arial" w:hAnsi="Arial"/>
                <w:sz w:val="18"/>
                <w:lang w:eastAsia="zh-CN"/>
              </w:rPr>
              <w:t>List of MBS broadcast services which the UE is receiving or interested to receive.</w:t>
            </w:r>
          </w:p>
        </w:tc>
      </w:tr>
      <w:tr w:rsidR="00EF781F" w14:paraId="320BBEB7" w14:textId="77777777" w:rsidTr="00EF781F">
        <w:trPr>
          <w:cantSplit/>
          <w:trHeight w:val="421"/>
          <w:ins w:id="491" w:author="Huawei, HiSilicon" w:date="2023-12-01T17:53:00Z"/>
        </w:trPr>
        <w:tc>
          <w:tcPr>
            <w:tcW w:w="14074" w:type="dxa"/>
            <w:tcBorders>
              <w:top w:val="single" w:sz="4" w:space="0" w:color="808080"/>
              <w:left w:val="single" w:sz="4" w:space="0" w:color="808080"/>
              <w:bottom w:val="single" w:sz="4" w:space="0" w:color="808080"/>
              <w:right w:val="single" w:sz="4" w:space="0" w:color="808080"/>
            </w:tcBorders>
            <w:hideMark/>
          </w:tcPr>
          <w:p w14:paraId="67172C84" w14:textId="77777777" w:rsidR="00EF781F" w:rsidRDefault="00EF781F">
            <w:pPr>
              <w:keepNext/>
              <w:keepLines/>
              <w:spacing w:after="0"/>
              <w:rPr>
                <w:ins w:id="492" w:author="Huawei, HiSilicon" w:date="2023-12-01T17:53:00Z"/>
                <w:rFonts w:ascii="Arial" w:hAnsi="Arial"/>
                <w:b/>
                <w:i/>
                <w:sz w:val="18"/>
                <w:lang w:eastAsia="zh-CN"/>
              </w:rPr>
            </w:pPr>
            <w:ins w:id="493" w:author="Huawei, HiSilicon" w:date="2023-12-01T17:53:00Z">
              <w:r>
                <w:rPr>
                  <w:rFonts w:ascii="Arial" w:hAnsi="Arial"/>
                  <w:b/>
                  <w:i/>
                  <w:sz w:val="18"/>
                  <w:lang w:eastAsia="zh-CN"/>
                </w:rPr>
                <w:t>mbs-NonServingInfoList</w:t>
              </w:r>
            </w:ins>
          </w:p>
          <w:p w14:paraId="7F13B4CB" w14:textId="77777777" w:rsidR="00EF781F" w:rsidRDefault="00EF781F">
            <w:pPr>
              <w:keepNext/>
              <w:keepLines/>
              <w:spacing w:after="0"/>
              <w:rPr>
                <w:ins w:id="494" w:author="Huawei, HiSilicon" w:date="2023-12-01T17:53:00Z"/>
                <w:rFonts w:ascii="Arial" w:hAnsi="Arial"/>
                <w:b/>
                <w:i/>
                <w:sz w:val="18"/>
                <w:lang w:eastAsia="zh-CN"/>
              </w:rPr>
            </w:pPr>
            <w:ins w:id="495" w:author="Huawei, HiSilicon" w:date="2023-12-01T17:53:00Z">
              <w:r>
                <w:rPr>
                  <w:rFonts w:ascii="Arial" w:hAnsi="Arial"/>
                  <w:sz w:val="18"/>
                  <w:lang w:eastAsia="zh-CN"/>
                </w:rPr>
                <w:t>Indicates information for MBS broadcast reception on the non-serving cell.</w:t>
              </w:r>
            </w:ins>
          </w:p>
        </w:tc>
      </w:tr>
    </w:tbl>
    <w:p w14:paraId="07A04CC6" w14:textId="77777777" w:rsidR="00EF781F" w:rsidRDefault="00EF781F" w:rsidP="00EF781F">
      <w:pPr>
        <w:rPr>
          <w:rFonts w:eastAsia="Yu Mincho"/>
        </w:rPr>
      </w:pPr>
    </w:p>
    <w:p w14:paraId="2BADF6B0" w14:textId="77777777" w:rsidR="00EF781F" w:rsidRDefault="00EF781F" w:rsidP="00EF781F">
      <w:pPr>
        <w:pStyle w:val="4"/>
        <w:rPr>
          <w:ins w:id="496" w:author="Huawei, HiSilicon" w:date="2023-11-02T14:40:00Z"/>
          <w:i/>
          <w:iCs/>
        </w:rPr>
      </w:pPr>
      <w:ins w:id="497" w:author="Huawei, HiSilicon" w:date="2023-11-02T14:40:00Z">
        <w:r>
          <w:rPr>
            <w:i/>
            <w:iCs/>
          </w:rPr>
          <w:t>–</w:t>
        </w:r>
        <w:r>
          <w:rPr>
            <w:i/>
            <w:iCs/>
          </w:rPr>
          <w:tab/>
          <w:t>MBSMulticastConfiguration</w:t>
        </w:r>
      </w:ins>
    </w:p>
    <w:p w14:paraId="4BDD7E9A" w14:textId="77777777" w:rsidR="00EF781F" w:rsidRDefault="00EF781F" w:rsidP="00EF781F">
      <w:pPr>
        <w:rPr>
          <w:ins w:id="498" w:author="Huawei, HiSilicon" w:date="2023-11-02T14:40:00Z"/>
          <w:lang w:eastAsia="zh-CN"/>
        </w:rPr>
      </w:pPr>
      <w:ins w:id="499" w:author="Huawei, HiSilicon" w:date="2023-11-02T14:40:00Z">
        <w:r>
          <w:rPr>
            <w:lang w:eastAsia="zh-CN"/>
          </w:rPr>
          <w:t xml:space="preserve">The </w:t>
        </w:r>
        <w:r>
          <w:rPr>
            <w:i/>
          </w:rPr>
          <w:t>MBS</w:t>
        </w:r>
        <w:r>
          <w:rPr>
            <w:i/>
            <w:iCs/>
          </w:rPr>
          <w:t>Multi</w:t>
        </w:r>
        <w:r>
          <w:rPr>
            <w:i/>
          </w:rPr>
          <w:t>cast</w:t>
        </w:r>
        <w:r>
          <w:rPr>
            <w:i/>
            <w:lang w:eastAsia="zh-CN"/>
          </w:rPr>
          <w:t>Configuration</w:t>
        </w:r>
        <w:r>
          <w:rPr>
            <w:iCs/>
            <w:lang w:eastAsia="zh-CN"/>
          </w:rPr>
          <w:t xml:space="preserve"> message contains the control information applicable for MBS multicast services transmitted via multicast MRBs for RRC_INACTIVE UEs.</w:t>
        </w:r>
      </w:ins>
    </w:p>
    <w:p w14:paraId="0B4EAA6C" w14:textId="77777777" w:rsidR="00EF781F" w:rsidRDefault="00EF781F" w:rsidP="00EF781F">
      <w:pPr>
        <w:pStyle w:val="B1"/>
        <w:rPr>
          <w:ins w:id="500" w:author="Huawei, HiSilicon" w:date="2023-11-02T14:40:00Z"/>
          <w:lang w:eastAsia="zh-CN"/>
        </w:rPr>
      </w:pPr>
      <w:ins w:id="501" w:author="Huawei, HiSilicon" w:date="2023-11-02T14:40:00Z">
        <w:r>
          <w:rPr>
            <w:lang w:eastAsia="zh-CN"/>
          </w:rPr>
          <w:lastRenderedPageBreak/>
          <w:t>Signalling radio bearer: N/A</w:t>
        </w:r>
      </w:ins>
    </w:p>
    <w:p w14:paraId="63ECA7DB" w14:textId="77777777" w:rsidR="00EF781F" w:rsidRDefault="00EF781F" w:rsidP="00EF781F">
      <w:pPr>
        <w:pStyle w:val="B1"/>
        <w:rPr>
          <w:ins w:id="502" w:author="Huawei, HiSilicon" w:date="2023-11-02T14:40:00Z"/>
          <w:lang w:eastAsia="zh-CN"/>
        </w:rPr>
      </w:pPr>
      <w:ins w:id="503" w:author="Huawei, HiSilicon" w:date="2023-11-02T14:40:00Z">
        <w:r>
          <w:rPr>
            <w:lang w:eastAsia="zh-CN"/>
          </w:rPr>
          <w:t>RLC-SAP: UM</w:t>
        </w:r>
      </w:ins>
    </w:p>
    <w:p w14:paraId="08F0665C" w14:textId="77777777" w:rsidR="00EF781F" w:rsidRDefault="00EF781F" w:rsidP="00EF781F">
      <w:pPr>
        <w:pStyle w:val="B1"/>
        <w:rPr>
          <w:ins w:id="504" w:author="Huawei, HiSilicon" w:date="2023-11-02T14:40:00Z"/>
          <w:lang w:eastAsia="zh-CN"/>
        </w:rPr>
      </w:pPr>
      <w:ins w:id="505" w:author="Huawei, HiSilicon" w:date="2023-11-02T14:40:00Z">
        <w:r>
          <w:rPr>
            <w:lang w:eastAsia="zh-CN"/>
          </w:rPr>
          <w:t>Logical channel: multicast MCCH</w:t>
        </w:r>
      </w:ins>
    </w:p>
    <w:p w14:paraId="09939D2F" w14:textId="77777777" w:rsidR="00EF781F" w:rsidRDefault="00EF781F" w:rsidP="00EF781F">
      <w:pPr>
        <w:pStyle w:val="B1"/>
        <w:rPr>
          <w:ins w:id="506" w:author="Huawei, HiSilicon" w:date="2023-11-02T14:40:00Z"/>
          <w:lang w:eastAsia="zh-CN"/>
        </w:rPr>
      </w:pPr>
      <w:ins w:id="507" w:author="Huawei, HiSilicon" w:date="2023-11-02T14:40:00Z">
        <w:r>
          <w:rPr>
            <w:lang w:eastAsia="zh-CN"/>
          </w:rPr>
          <w:t>Direction: Network to UE</w:t>
        </w:r>
      </w:ins>
    </w:p>
    <w:p w14:paraId="7F01CBAB" w14:textId="77777777" w:rsidR="00EF781F" w:rsidRDefault="00EF781F" w:rsidP="00EF781F">
      <w:pPr>
        <w:keepNext/>
        <w:keepLines/>
        <w:spacing w:before="60"/>
        <w:jc w:val="center"/>
        <w:rPr>
          <w:ins w:id="508" w:author="Huawei, HiSilicon" w:date="2023-11-02T14:40:00Z"/>
          <w:rFonts w:ascii="Arial" w:hAnsi="Arial"/>
          <w:b/>
          <w:i/>
        </w:rPr>
      </w:pPr>
      <w:ins w:id="509" w:author="Huawei, HiSilicon" w:date="2023-11-02T14:40:00Z">
        <w:r>
          <w:rPr>
            <w:rFonts w:ascii="Arial" w:hAnsi="Arial"/>
            <w:b/>
            <w:i/>
          </w:rPr>
          <w:t>MBSMulticastConfiguration message</w:t>
        </w:r>
      </w:ins>
    </w:p>
    <w:p w14:paraId="02EF56C9" w14:textId="77777777" w:rsidR="00EF781F" w:rsidRPr="008D7C7E" w:rsidRDefault="00EF781F" w:rsidP="00EF781F">
      <w:pPr>
        <w:pStyle w:val="PL"/>
        <w:rPr>
          <w:ins w:id="510" w:author="Huawei, HiSilicon" w:date="2023-11-02T14:40:00Z"/>
          <w:color w:val="808080"/>
        </w:rPr>
      </w:pPr>
      <w:ins w:id="511" w:author="Huawei, HiSilicon" w:date="2023-11-02T14:40:00Z">
        <w:r w:rsidRPr="008D7C7E">
          <w:rPr>
            <w:color w:val="808080"/>
          </w:rPr>
          <w:t>-- ASN1START</w:t>
        </w:r>
      </w:ins>
    </w:p>
    <w:p w14:paraId="32E113A5" w14:textId="77777777" w:rsidR="00EF781F" w:rsidRPr="008D7C7E" w:rsidRDefault="00EF781F" w:rsidP="00EF781F">
      <w:pPr>
        <w:pStyle w:val="PL"/>
        <w:rPr>
          <w:ins w:id="512" w:author="Huawei, HiSilicon" w:date="2023-11-02T14:40:00Z"/>
          <w:color w:val="808080"/>
        </w:rPr>
      </w:pPr>
      <w:ins w:id="513" w:author="Huawei, HiSilicon" w:date="2023-11-02T14:40:00Z">
        <w:r w:rsidRPr="008D7C7E">
          <w:rPr>
            <w:color w:val="808080"/>
          </w:rPr>
          <w:t>-- TAG-MBSMULTICASTCONFIGURATION-START</w:t>
        </w:r>
      </w:ins>
    </w:p>
    <w:p w14:paraId="7FBB6460" w14:textId="77777777" w:rsidR="00EF781F" w:rsidRDefault="00EF781F" w:rsidP="00EF781F">
      <w:pPr>
        <w:pStyle w:val="PL"/>
        <w:rPr>
          <w:ins w:id="514" w:author="Huawei, HiSilicon" w:date="2023-11-02T14:40:00Z"/>
        </w:rPr>
      </w:pPr>
    </w:p>
    <w:p w14:paraId="5306BA00" w14:textId="77777777" w:rsidR="00EF781F" w:rsidRDefault="00EF781F" w:rsidP="00EF781F">
      <w:pPr>
        <w:pStyle w:val="PL"/>
        <w:rPr>
          <w:ins w:id="515" w:author="Huawei, HiSilicon" w:date="2023-11-02T14:40:00Z"/>
        </w:rPr>
      </w:pPr>
      <w:ins w:id="516" w:author="Huawei, HiSilicon" w:date="2023-11-02T14:40:00Z">
        <w:r>
          <w:t xml:space="preserve">MBSMulticastConfiguration-r18 ::= </w:t>
        </w:r>
        <w:r>
          <w:rPr>
            <w:color w:val="993366"/>
          </w:rPr>
          <w:t>SEQUENCE</w:t>
        </w:r>
        <w:r>
          <w:t xml:space="preserve"> {</w:t>
        </w:r>
      </w:ins>
    </w:p>
    <w:p w14:paraId="441A670B" w14:textId="77777777" w:rsidR="00EF781F" w:rsidRDefault="00EF781F" w:rsidP="00EF781F">
      <w:pPr>
        <w:pStyle w:val="PL"/>
        <w:rPr>
          <w:ins w:id="517" w:author="Huawei, HiSilicon" w:date="2023-11-02T14:40:00Z"/>
        </w:rPr>
      </w:pPr>
      <w:ins w:id="518" w:author="Huawei, HiSilicon" w:date="2023-11-02T14:40:00Z">
        <w:r>
          <w:t xml:space="preserve">    criticalExtensions                </w:t>
        </w:r>
        <w:r>
          <w:rPr>
            <w:color w:val="993366"/>
          </w:rPr>
          <w:t>CHOICE</w:t>
        </w:r>
        <w:r>
          <w:t xml:space="preserve"> {</w:t>
        </w:r>
      </w:ins>
    </w:p>
    <w:p w14:paraId="43EFF10E" w14:textId="77777777" w:rsidR="00EF781F" w:rsidRDefault="00EF781F" w:rsidP="00EF781F">
      <w:pPr>
        <w:pStyle w:val="PL"/>
        <w:rPr>
          <w:ins w:id="519" w:author="Huawei, HiSilicon" w:date="2023-11-02T14:40:00Z"/>
        </w:rPr>
      </w:pPr>
      <w:ins w:id="520" w:author="Huawei, HiSilicon" w:date="2023-11-02T14:40:00Z">
        <w:r>
          <w:t xml:space="preserve">        mbsMulticastConfiguration-r18     MBSMulticastConfiguration-r18-IEs,</w:t>
        </w:r>
      </w:ins>
    </w:p>
    <w:p w14:paraId="66FF7AAE" w14:textId="77777777" w:rsidR="00EF781F" w:rsidRDefault="00EF781F" w:rsidP="00EF781F">
      <w:pPr>
        <w:pStyle w:val="PL"/>
        <w:rPr>
          <w:ins w:id="521" w:author="Huawei, HiSilicon" w:date="2023-11-02T14:40:00Z"/>
        </w:rPr>
      </w:pPr>
      <w:ins w:id="522" w:author="Huawei, HiSilicon" w:date="2023-11-02T14:40:00Z">
        <w:r>
          <w:t xml:space="preserve">        criticalExtensionsFuture          </w:t>
        </w:r>
        <w:r>
          <w:rPr>
            <w:color w:val="993366"/>
          </w:rPr>
          <w:t>SEQUENCE</w:t>
        </w:r>
        <w:r>
          <w:t xml:space="preserve"> {}</w:t>
        </w:r>
      </w:ins>
    </w:p>
    <w:p w14:paraId="721241D2" w14:textId="77777777" w:rsidR="00EF781F" w:rsidRDefault="00EF781F" w:rsidP="00EF781F">
      <w:pPr>
        <w:pStyle w:val="PL"/>
        <w:rPr>
          <w:ins w:id="523" w:author="Huawei, HiSilicon" w:date="2023-11-02T14:40:00Z"/>
        </w:rPr>
      </w:pPr>
      <w:ins w:id="524" w:author="Huawei, HiSilicon" w:date="2023-11-02T14:40:00Z">
        <w:r>
          <w:t xml:space="preserve">    }</w:t>
        </w:r>
      </w:ins>
    </w:p>
    <w:p w14:paraId="4174029C" w14:textId="77777777" w:rsidR="00EF781F" w:rsidRDefault="00EF781F" w:rsidP="00EF781F">
      <w:pPr>
        <w:pStyle w:val="PL"/>
        <w:rPr>
          <w:ins w:id="525" w:author="Huawei, HiSilicon" w:date="2023-11-02T14:40:00Z"/>
        </w:rPr>
      </w:pPr>
      <w:ins w:id="526" w:author="Huawei, HiSilicon" w:date="2023-11-02T14:40:00Z">
        <w:r>
          <w:t>}</w:t>
        </w:r>
      </w:ins>
    </w:p>
    <w:p w14:paraId="1A94F51D" w14:textId="77777777" w:rsidR="00EF781F" w:rsidRDefault="00EF781F" w:rsidP="00EF781F">
      <w:pPr>
        <w:pStyle w:val="PL"/>
        <w:rPr>
          <w:ins w:id="527" w:author="Huawei, HiSilicon" w:date="2023-11-02T14:40:00Z"/>
        </w:rPr>
      </w:pPr>
    </w:p>
    <w:p w14:paraId="5F8C163A" w14:textId="77777777" w:rsidR="00EF781F" w:rsidRDefault="00EF781F" w:rsidP="00EF781F">
      <w:pPr>
        <w:pStyle w:val="PL"/>
        <w:rPr>
          <w:ins w:id="528" w:author="Huawei, HiSilicon" w:date="2023-11-02T14:40:00Z"/>
        </w:rPr>
      </w:pPr>
      <w:ins w:id="529" w:author="Huawei, HiSilicon" w:date="2023-11-02T14:40:00Z">
        <w:r>
          <w:t xml:space="preserve">MBSMulticastConfiguration-r18-IEs ::= </w:t>
        </w:r>
        <w:r>
          <w:rPr>
            <w:color w:val="993366"/>
          </w:rPr>
          <w:t>SEQUENCE</w:t>
        </w:r>
        <w:r>
          <w:t xml:space="preserve"> {</w:t>
        </w:r>
      </w:ins>
    </w:p>
    <w:p w14:paraId="1C3D8DDB" w14:textId="77777777" w:rsidR="00EF781F" w:rsidRDefault="00EF781F" w:rsidP="00EF781F">
      <w:pPr>
        <w:pStyle w:val="PL"/>
        <w:rPr>
          <w:ins w:id="530" w:author="Huawei, HiSilicon" w:date="2023-11-02T14:40:00Z"/>
        </w:rPr>
      </w:pPr>
      <w:ins w:id="531" w:author="Huawei, HiSilicon" w:date="2023-11-02T14:40:00Z">
        <w:r>
          <w:t xml:space="preserve">    mbs-SessionInfoList-r18               MBS-SessionInfoListMulticast-r18                                     </w:t>
        </w:r>
        <w:r>
          <w:rPr>
            <w:color w:val="993366"/>
          </w:rPr>
          <w:t>OPTIONAL</w:t>
        </w:r>
        <w:r>
          <w:t>,   -- Need R</w:t>
        </w:r>
      </w:ins>
    </w:p>
    <w:p w14:paraId="0077DBC9" w14:textId="77777777" w:rsidR="00EF781F" w:rsidRDefault="00EF781F" w:rsidP="00EF781F">
      <w:pPr>
        <w:pStyle w:val="PL"/>
        <w:rPr>
          <w:ins w:id="532" w:author="Huawei, HiSilicon" w:date="2023-11-02T14:40:00Z"/>
        </w:rPr>
      </w:pPr>
      <w:ins w:id="533" w:author="Huawei, HiSilicon" w:date="2023-11-02T14:40:00Z">
        <w:r>
          <w:t xml:space="preserve">    mbs-NeighbourCellList-r18             MBS-NeighbourCellList-r17                                            </w:t>
        </w:r>
        <w:r>
          <w:rPr>
            <w:color w:val="993366"/>
          </w:rPr>
          <w:t>OPTIONAL</w:t>
        </w:r>
        <w:r>
          <w:t>,   -- Need S</w:t>
        </w:r>
      </w:ins>
    </w:p>
    <w:p w14:paraId="11375D9A" w14:textId="77777777" w:rsidR="00EF781F" w:rsidRDefault="00EF781F" w:rsidP="00EF781F">
      <w:pPr>
        <w:pStyle w:val="PL"/>
        <w:rPr>
          <w:ins w:id="534" w:author="Huawei, HiSilicon" w:date="2023-11-02T14:40:00Z"/>
        </w:rPr>
      </w:pPr>
      <w:ins w:id="535" w:author="Huawei, HiSilicon" w:date="2023-11-02T14:40:00Z">
        <w:r>
          <w:t xml:space="preserve">    drx-ConfigPTM-List-r18                </w:t>
        </w:r>
        <w:r>
          <w:rPr>
            <w:color w:val="993366"/>
          </w:rPr>
          <w:t>SEQUENCE</w:t>
        </w:r>
        <w:r>
          <w:t xml:space="preserve"> (</w:t>
        </w:r>
        <w:r>
          <w:rPr>
            <w:color w:val="993366"/>
          </w:rPr>
          <w:t>SIZE</w:t>
        </w:r>
        <w:r>
          <w:t xml:space="preserve"> (1..maxNrofDRX-ConfigPTM-r17))</w:t>
        </w:r>
        <w:r>
          <w:rPr>
            <w:color w:val="993366"/>
          </w:rPr>
          <w:t xml:space="preserve"> OF</w:t>
        </w:r>
        <w:r>
          <w:t xml:space="preserve"> DRX-ConfigPTM-r17   </w:t>
        </w:r>
        <w:r>
          <w:rPr>
            <w:color w:val="993366"/>
          </w:rPr>
          <w:t>OPTIONAL</w:t>
        </w:r>
        <w:r>
          <w:t>,   -- Need R</w:t>
        </w:r>
      </w:ins>
    </w:p>
    <w:p w14:paraId="140E9D8A" w14:textId="77777777" w:rsidR="00EF781F" w:rsidRDefault="00EF781F" w:rsidP="00EF781F">
      <w:pPr>
        <w:pStyle w:val="PL"/>
        <w:rPr>
          <w:ins w:id="536" w:author="Huawei, HiSilicon" w:date="2023-11-02T14:40:00Z"/>
        </w:rPr>
      </w:pPr>
      <w:ins w:id="537" w:author="Huawei, HiSilicon" w:date="2023-11-02T14:40:00Z">
        <w:r>
          <w:t xml:space="preserve">    pdsch-ConfigMTCH-r18                  PDSCH-ConfigBroadcast-r17                                            </w:t>
        </w:r>
        <w:r>
          <w:rPr>
            <w:color w:val="993366"/>
          </w:rPr>
          <w:t>OPTIONAL</w:t>
        </w:r>
        <w:r>
          <w:t>,   -- Need S</w:t>
        </w:r>
      </w:ins>
    </w:p>
    <w:p w14:paraId="0FBE65C7" w14:textId="77777777" w:rsidR="00EF781F" w:rsidRDefault="00EF781F" w:rsidP="00EF781F">
      <w:pPr>
        <w:pStyle w:val="PL"/>
        <w:rPr>
          <w:ins w:id="538" w:author="Huawei, HiSilicon" w:date="2023-11-02T14:40:00Z"/>
        </w:rPr>
      </w:pPr>
      <w:ins w:id="539" w:author="Huawei, HiSilicon" w:date="2023-11-02T14:40:00Z">
        <w:r>
          <w:t xml:space="preserve">    mtch-SSB-MappingWindowList-r18        MTCH-SSB-MappingWindowList-r17                                       </w:t>
        </w:r>
        <w:r>
          <w:rPr>
            <w:color w:val="993366"/>
          </w:rPr>
          <w:t>OPTIONAL</w:t>
        </w:r>
        <w:r>
          <w:t>,   -- Need R</w:t>
        </w:r>
      </w:ins>
    </w:p>
    <w:p w14:paraId="16534CB0" w14:textId="77777777" w:rsidR="00EF781F" w:rsidRDefault="00EF781F" w:rsidP="00EF781F">
      <w:pPr>
        <w:pStyle w:val="PL"/>
        <w:rPr>
          <w:ins w:id="540" w:author="Huawei, HiSilicon" w:date="2023-11-02T14:40:00Z"/>
        </w:rPr>
      </w:pPr>
      <w:ins w:id="541" w:author="Huawei, HiSilicon" w:date="2023-11-02T14:40:00Z">
        <w:r>
          <w:t xml:space="preserve">    thresholdMBS-List-r18                 </w:t>
        </w:r>
        <w:r>
          <w:rPr>
            <w:color w:val="993366"/>
          </w:rPr>
          <w:t>SEQUENCE</w:t>
        </w:r>
        <w:r>
          <w:t xml:space="preserve"> (</w:t>
        </w:r>
        <w:r>
          <w:rPr>
            <w:color w:val="993366"/>
          </w:rPr>
          <w:t>SIZE</w:t>
        </w:r>
        <w:r>
          <w:t xml:space="preserve"> (1..maxNrofThresholdMBS-r18))</w:t>
        </w:r>
        <w:r>
          <w:rPr>
            <w:color w:val="993366"/>
          </w:rPr>
          <w:t xml:space="preserve"> OF</w:t>
        </w:r>
        <w:r>
          <w:t xml:space="preserve"> ThresholdMBS-r18     </w:t>
        </w:r>
        <w:r>
          <w:rPr>
            <w:color w:val="993366"/>
          </w:rPr>
          <w:t>OPTIONAL</w:t>
        </w:r>
        <w:r>
          <w:t>,   -- Need R</w:t>
        </w:r>
      </w:ins>
    </w:p>
    <w:p w14:paraId="14B1BF6A" w14:textId="77777777" w:rsidR="00EF781F" w:rsidRDefault="00EF781F" w:rsidP="00EF781F">
      <w:pPr>
        <w:pStyle w:val="PL"/>
        <w:rPr>
          <w:ins w:id="542" w:author="Huawei, HiSilicon" w:date="2023-11-02T14:40:00Z"/>
        </w:rPr>
      </w:pPr>
      <w:ins w:id="543" w:author="Huawei, HiSilicon" w:date="2023-11-02T14:40:00Z">
        <w:r>
          <w:t xml:space="preserve">    lateNonCriticalExtension              </w:t>
        </w:r>
        <w:r>
          <w:rPr>
            <w:color w:val="993366"/>
          </w:rPr>
          <w:t>OCTET</w:t>
        </w:r>
        <w:r>
          <w:t xml:space="preserve"> </w:t>
        </w:r>
        <w:r>
          <w:rPr>
            <w:color w:val="993366"/>
          </w:rPr>
          <w:t>STRING</w:t>
        </w:r>
        <w:r>
          <w:t xml:space="preserve">                                                         </w:t>
        </w:r>
        <w:r>
          <w:rPr>
            <w:color w:val="993366"/>
          </w:rPr>
          <w:t>OPTIONAL</w:t>
        </w:r>
        <w:r>
          <w:t>,</w:t>
        </w:r>
      </w:ins>
    </w:p>
    <w:p w14:paraId="0208FB93" w14:textId="77777777" w:rsidR="00EF781F" w:rsidRDefault="00EF781F" w:rsidP="00EF781F">
      <w:pPr>
        <w:pStyle w:val="PL"/>
        <w:rPr>
          <w:ins w:id="544" w:author="Huawei, HiSilicon" w:date="2023-11-02T14:40:00Z"/>
        </w:rPr>
      </w:pPr>
      <w:ins w:id="545" w:author="Huawei, HiSilicon" w:date="2023-11-02T14:40:00Z">
        <w:r>
          <w:t xml:space="preserve">    nonCriticalExtension                  </w:t>
        </w:r>
        <w:r>
          <w:rPr>
            <w:color w:val="993366"/>
          </w:rPr>
          <w:t>SEQUENCE</w:t>
        </w:r>
        <w:r>
          <w:t xml:space="preserve"> {}                                                          </w:t>
        </w:r>
        <w:r>
          <w:rPr>
            <w:color w:val="993366"/>
          </w:rPr>
          <w:t>OPTIONAL</w:t>
        </w:r>
      </w:ins>
    </w:p>
    <w:p w14:paraId="2DA7D8C2" w14:textId="77777777" w:rsidR="00EF781F" w:rsidRDefault="00EF781F" w:rsidP="00EF781F">
      <w:pPr>
        <w:pStyle w:val="PL"/>
        <w:rPr>
          <w:ins w:id="546" w:author="Huawei, HiSilicon" w:date="2023-11-02T14:40:00Z"/>
        </w:rPr>
      </w:pPr>
      <w:ins w:id="547" w:author="Huawei, HiSilicon" w:date="2023-11-02T14:40:00Z">
        <w:r>
          <w:t>}</w:t>
        </w:r>
      </w:ins>
    </w:p>
    <w:p w14:paraId="1B335BF7" w14:textId="77777777" w:rsidR="00EF781F" w:rsidRDefault="00EF781F" w:rsidP="00EF781F">
      <w:pPr>
        <w:pStyle w:val="PL"/>
        <w:rPr>
          <w:ins w:id="548" w:author="Huawei, HiSilicon" w:date="2023-11-02T14:40:00Z"/>
        </w:rPr>
      </w:pPr>
    </w:p>
    <w:p w14:paraId="1C5BDE86" w14:textId="77777777" w:rsidR="00EF781F" w:rsidRDefault="00EF781F" w:rsidP="00EF781F">
      <w:pPr>
        <w:pStyle w:val="PL"/>
        <w:rPr>
          <w:ins w:id="549" w:author="Huawei, HiSilicon" w:date="2023-11-02T14:40:00Z"/>
        </w:rPr>
      </w:pPr>
      <w:ins w:id="550" w:author="Huawei, HiSilicon" w:date="2023-11-02T14:40:00Z">
        <w:r>
          <w:t xml:space="preserve">ThresholdMBS-r18 ::=                  </w:t>
        </w:r>
        <w:r>
          <w:rPr>
            <w:color w:val="993366"/>
          </w:rPr>
          <w:t xml:space="preserve">CHOICE </w:t>
        </w:r>
        <w:r>
          <w:t>{</w:t>
        </w:r>
      </w:ins>
    </w:p>
    <w:p w14:paraId="0B7476F7" w14:textId="77777777" w:rsidR="00EF781F" w:rsidRDefault="00EF781F" w:rsidP="00EF781F">
      <w:pPr>
        <w:pStyle w:val="PL"/>
        <w:rPr>
          <w:ins w:id="551" w:author="Huawei, HiSilicon" w:date="2023-11-02T14:40:00Z"/>
        </w:rPr>
      </w:pPr>
      <w:ins w:id="552" w:author="Huawei, HiSilicon" w:date="2023-11-02T14:40:00Z">
        <w:r>
          <w:t xml:space="preserve">    rsrp-r18                              RSRP-Range,</w:t>
        </w:r>
      </w:ins>
    </w:p>
    <w:p w14:paraId="0E048703" w14:textId="77777777" w:rsidR="00EF781F" w:rsidRDefault="00EF781F" w:rsidP="00EF781F">
      <w:pPr>
        <w:pStyle w:val="PL"/>
        <w:rPr>
          <w:ins w:id="553" w:author="Huawei, HiSilicon" w:date="2023-11-02T14:40:00Z"/>
        </w:rPr>
      </w:pPr>
      <w:ins w:id="554" w:author="Huawei, HiSilicon" w:date="2023-11-02T14:40:00Z">
        <w:r>
          <w:t xml:space="preserve">    rsrq-r18                              RSRQ-Range</w:t>
        </w:r>
      </w:ins>
    </w:p>
    <w:p w14:paraId="5EBC2C6E" w14:textId="77777777" w:rsidR="00EF781F" w:rsidRDefault="00EF781F" w:rsidP="00EF781F">
      <w:pPr>
        <w:pStyle w:val="PL"/>
        <w:rPr>
          <w:ins w:id="555" w:author="Huawei, HiSilicon" w:date="2023-11-02T14:40:00Z"/>
        </w:rPr>
      </w:pPr>
      <w:ins w:id="556" w:author="Huawei, HiSilicon" w:date="2023-11-02T14:40:00Z">
        <w:r>
          <w:t>}</w:t>
        </w:r>
      </w:ins>
    </w:p>
    <w:p w14:paraId="74017234" w14:textId="77777777" w:rsidR="00EF781F" w:rsidRDefault="00EF781F" w:rsidP="00EF781F">
      <w:pPr>
        <w:pStyle w:val="PL"/>
        <w:rPr>
          <w:ins w:id="557" w:author="Huawei, HiSilicon" w:date="2023-11-02T14:40:00Z"/>
        </w:rPr>
      </w:pPr>
    </w:p>
    <w:p w14:paraId="76872F2C" w14:textId="77777777" w:rsidR="00EF781F" w:rsidRPr="008D7C7E" w:rsidRDefault="00EF781F" w:rsidP="00EF781F">
      <w:pPr>
        <w:pStyle w:val="PL"/>
        <w:rPr>
          <w:ins w:id="558" w:author="Huawei, HiSilicon" w:date="2023-11-02T14:40:00Z"/>
          <w:color w:val="808080"/>
        </w:rPr>
      </w:pPr>
      <w:ins w:id="559" w:author="Huawei, HiSilicon" w:date="2023-11-02T14:40:00Z">
        <w:r w:rsidRPr="008D7C7E">
          <w:rPr>
            <w:color w:val="808080"/>
          </w:rPr>
          <w:t>-- TAG-MBSMULTICASTCONFIGURATION-STOP</w:t>
        </w:r>
      </w:ins>
    </w:p>
    <w:p w14:paraId="3B29959C" w14:textId="77777777" w:rsidR="00EF781F" w:rsidRPr="008D7C7E" w:rsidRDefault="00EF781F" w:rsidP="00EF781F">
      <w:pPr>
        <w:pStyle w:val="PL"/>
        <w:rPr>
          <w:ins w:id="560" w:author="Huawei, HiSilicon" w:date="2023-11-02T14:40:00Z"/>
          <w:color w:val="808080"/>
        </w:rPr>
      </w:pPr>
      <w:ins w:id="561" w:author="Huawei, HiSilicon" w:date="2023-11-02T14:40:00Z">
        <w:r w:rsidRPr="008D7C7E">
          <w:rPr>
            <w:color w:val="808080"/>
          </w:rPr>
          <w:t>-- ASN1STOP</w:t>
        </w:r>
      </w:ins>
    </w:p>
    <w:p w14:paraId="455D476E" w14:textId="77777777" w:rsidR="00EF781F" w:rsidRDefault="00EF781F" w:rsidP="00EF781F">
      <w:pPr>
        <w:rPr>
          <w:ins w:id="562" w:author="Huawei, HiSilicon" w:date="2023-11-02T14:40:00Z"/>
          <w:iCs/>
          <w:lang w:eastAsia="zh-CN"/>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F781F" w14:paraId="1CB74309" w14:textId="77777777" w:rsidTr="00EF781F">
        <w:trPr>
          <w:cantSplit/>
          <w:tblHeader/>
          <w:ins w:id="563" w:author="Huawei, HiSilicon" w:date="2023-11-02T14:40:00Z"/>
        </w:trPr>
        <w:tc>
          <w:tcPr>
            <w:tcW w:w="14062" w:type="dxa"/>
            <w:tcBorders>
              <w:top w:val="single" w:sz="4" w:space="0" w:color="808080"/>
              <w:left w:val="single" w:sz="4" w:space="0" w:color="808080"/>
              <w:bottom w:val="single" w:sz="4" w:space="0" w:color="808080"/>
              <w:right w:val="single" w:sz="4" w:space="0" w:color="808080"/>
            </w:tcBorders>
            <w:hideMark/>
          </w:tcPr>
          <w:p w14:paraId="268A24EC" w14:textId="77777777" w:rsidR="00EF781F" w:rsidRDefault="00EF781F">
            <w:pPr>
              <w:keepNext/>
              <w:keepLines/>
              <w:spacing w:after="0"/>
              <w:jc w:val="center"/>
              <w:rPr>
                <w:ins w:id="564" w:author="Huawei, HiSilicon" w:date="2023-11-02T14:40:00Z"/>
                <w:rFonts w:ascii="Arial" w:hAnsi="Arial"/>
                <w:b/>
                <w:sz w:val="18"/>
                <w:lang w:eastAsia="zh-CN"/>
              </w:rPr>
            </w:pPr>
            <w:ins w:id="565" w:author="Huawei, HiSilicon" w:date="2023-11-02T14:40:00Z">
              <w:r>
                <w:rPr>
                  <w:rFonts w:ascii="Arial" w:hAnsi="Arial"/>
                  <w:b/>
                  <w:i/>
                  <w:sz w:val="18"/>
                  <w:lang w:eastAsia="zh-CN"/>
                </w:rPr>
                <w:lastRenderedPageBreak/>
                <w:t>MBSMulticastConfiguration</w:t>
              </w:r>
              <w:r>
                <w:rPr>
                  <w:rFonts w:ascii="Arial" w:hAnsi="Arial"/>
                  <w:b/>
                  <w:iCs/>
                  <w:sz w:val="18"/>
                  <w:lang w:eastAsia="zh-CN"/>
                </w:rPr>
                <w:t xml:space="preserve"> field descriptions</w:t>
              </w:r>
            </w:ins>
          </w:p>
        </w:tc>
      </w:tr>
      <w:tr w:rsidR="00EF781F" w14:paraId="4EF9D65B" w14:textId="77777777" w:rsidTr="00EF781F">
        <w:trPr>
          <w:cantSplit/>
          <w:tblHeader/>
          <w:ins w:id="566" w:author="Huawei, HiSilicon" w:date="2023-11-02T14:40:00Z"/>
        </w:trPr>
        <w:tc>
          <w:tcPr>
            <w:tcW w:w="14062" w:type="dxa"/>
            <w:tcBorders>
              <w:top w:val="single" w:sz="4" w:space="0" w:color="808080"/>
              <w:left w:val="single" w:sz="4" w:space="0" w:color="808080"/>
              <w:bottom w:val="single" w:sz="4" w:space="0" w:color="808080"/>
              <w:right w:val="single" w:sz="4" w:space="0" w:color="808080"/>
            </w:tcBorders>
            <w:hideMark/>
          </w:tcPr>
          <w:p w14:paraId="3D9366D1" w14:textId="77777777" w:rsidR="00EF781F" w:rsidRDefault="00EF781F">
            <w:pPr>
              <w:keepNext/>
              <w:keepLines/>
              <w:spacing w:after="0"/>
              <w:rPr>
                <w:ins w:id="567" w:author="Huawei, HiSilicon" w:date="2023-11-02T14:40:00Z"/>
                <w:rFonts w:ascii="Arial" w:eastAsia="Malgun Gothic" w:hAnsi="Arial" w:cs="Arial"/>
                <w:b/>
                <w:i/>
                <w:sz w:val="18"/>
                <w:szCs w:val="18"/>
                <w:lang w:eastAsia="sv-SE"/>
              </w:rPr>
            </w:pPr>
            <w:ins w:id="568" w:author="Huawei, HiSilicon" w:date="2023-11-02T14:40:00Z">
              <w:r>
                <w:rPr>
                  <w:rFonts w:ascii="Arial" w:eastAsia="Malgun Gothic" w:hAnsi="Arial" w:cs="Arial"/>
                  <w:b/>
                  <w:i/>
                  <w:sz w:val="18"/>
                  <w:szCs w:val="18"/>
                  <w:lang w:eastAsia="sv-SE"/>
                </w:rPr>
                <w:t>mbs-NeighbourCellList</w:t>
              </w:r>
            </w:ins>
          </w:p>
          <w:p w14:paraId="5ADC42C1" w14:textId="77777777" w:rsidR="00EF781F" w:rsidRDefault="00EF781F">
            <w:pPr>
              <w:keepNext/>
              <w:keepLines/>
              <w:spacing w:after="0"/>
              <w:rPr>
                <w:ins w:id="569" w:author="Huawei, HiSilicon" w:date="2023-11-02T14:40:00Z"/>
                <w:rFonts w:ascii="Arial" w:hAnsi="Arial" w:cs="Arial"/>
                <w:b/>
                <w:i/>
                <w:sz w:val="18"/>
                <w:szCs w:val="18"/>
                <w:lang w:eastAsia="zh-CN"/>
              </w:rPr>
            </w:pPr>
            <w:ins w:id="570" w:author="Huawei, HiSilicon" w:date="2023-11-02T14:40:00Z">
              <w:r>
                <w:rPr>
                  <w:rFonts w:ascii="Arial" w:hAnsi="Arial" w:cs="Arial"/>
                  <w:sz w:val="18"/>
                  <w:szCs w:val="18"/>
                  <w:lang w:eastAsia="en-GB"/>
                </w:rPr>
                <w:t xml:space="preserve">List of neighbour cells providing one or more MBS multicast services for RRC_INACTIVE that are provided by the current cell. This field is used by the UE together with </w:t>
              </w:r>
              <w:r>
                <w:rPr>
                  <w:rFonts w:ascii="Arial" w:hAnsi="Arial" w:cs="Arial"/>
                  <w:i/>
                  <w:sz w:val="18"/>
                  <w:szCs w:val="18"/>
                  <w:lang w:eastAsia="en-GB"/>
                </w:rPr>
                <w:t>mtch-NeighbourCell</w:t>
              </w:r>
              <w:r>
                <w:rPr>
                  <w:rFonts w:ascii="Arial" w:hAnsi="Arial" w:cs="Arial"/>
                  <w:sz w:val="18"/>
                  <w:szCs w:val="18"/>
                  <w:lang w:eastAsia="en-GB"/>
                </w:rPr>
                <w:t xml:space="preserve"> field signalled for each MBS session in the corresponding </w:t>
              </w:r>
              <w:r>
                <w:rPr>
                  <w:rFonts w:ascii="Arial" w:hAnsi="Arial" w:cs="Arial"/>
                  <w:i/>
                  <w:sz w:val="18"/>
                  <w:szCs w:val="18"/>
                  <w:lang w:eastAsia="en-GB"/>
                </w:rPr>
                <w:t>MBS-SessionInfo</w:t>
              </w:r>
              <w:r>
                <w:rPr>
                  <w:rFonts w:ascii="Arial" w:hAnsi="Arial" w:cs="Arial"/>
                  <w:sz w:val="18"/>
                  <w:szCs w:val="18"/>
                  <w:lang w:eastAsia="en-GB"/>
                </w:rPr>
                <w:t xml:space="preserve">. When an empty </w:t>
              </w:r>
              <w:r>
                <w:rPr>
                  <w:rFonts w:ascii="Arial" w:eastAsia="Malgun Gothic" w:hAnsi="Arial" w:cs="Arial"/>
                  <w:i/>
                  <w:sz w:val="18"/>
                  <w:szCs w:val="18"/>
                  <w:lang w:eastAsia="sv-SE"/>
                </w:rPr>
                <w:t xml:space="preserve">mbs-NeighbourCellList </w:t>
              </w:r>
              <w:r>
                <w:rPr>
                  <w:rFonts w:ascii="Arial" w:hAnsi="Arial" w:cs="Arial"/>
                  <w:sz w:val="18"/>
                  <w:szCs w:val="18"/>
                  <w:lang w:eastAsia="en-GB"/>
                </w:rPr>
                <w:t>list is signalled, the UE shall assume that MBS multicast services signalled in</w:t>
              </w:r>
              <w:r>
                <w:rPr>
                  <w:rFonts w:ascii="Arial" w:hAnsi="Arial" w:cs="Arial"/>
                  <w:sz w:val="18"/>
                  <w:szCs w:val="18"/>
                </w:rPr>
                <w:t xml:space="preserve"> </w:t>
              </w:r>
              <w:r>
                <w:rPr>
                  <w:rFonts w:ascii="Arial" w:hAnsi="Arial" w:cs="Arial"/>
                  <w:i/>
                  <w:sz w:val="18"/>
                  <w:szCs w:val="18"/>
                </w:rPr>
                <w:t>mbs-SessionInfoList</w:t>
              </w:r>
              <w:r>
                <w:rPr>
                  <w:rFonts w:ascii="Arial" w:hAnsi="Arial" w:cs="Arial"/>
                  <w:sz w:val="18"/>
                  <w:szCs w:val="18"/>
                  <w:lang w:eastAsia="en-GB"/>
                </w:rPr>
                <w:t xml:space="preserve"> in the </w:t>
              </w:r>
              <w:r>
                <w:rPr>
                  <w:rFonts w:ascii="Arial" w:hAnsi="Arial" w:cs="Arial"/>
                  <w:i/>
                  <w:sz w:val="18"/>
                  <w:szCs w:val="18"/>
                  <w:lang w:eastAsia="en-GB"/>
                </w:rPr>
                <w:t>MBSMulticastConfiguration</w:t>
              </w:r>
              <w:r>
                <w:rPr>
                  <w:rFonts w:ascii="Arial" w:hAnsi="Arial" w:cs="Arial"/>
                  <w:sz w:val="18"/>
                  <w:szCs w:val="18"/>
                  <w:lang w:eastAsia="en-GB"/>
                </w:rPr>
                <w:t xml:space="preserve"> message are not provided in any neighbour cell. When a non-empty </w:t>
              </w:r>
              <w:r>
                <w:rPr>
                  <w:rFonts w:ascii="Arial" w:hAnsi="Arial" w:cs="Arial"/>
                  <w:i/>
                  <w:iCs/>
                  <w:sz w:val="18"/>
                  <w:szCs w:val="18"/>
                  <w:lang w:eastAsia="en-GB"/>
                </w:rPr>
                <w:t>mbs-NeighbourCellList</w:t>
              </w:r>
              <w:r>
                <w:rPr>
                  <w:rFonts w:ascii="Arial" w:hAnsi="Arial" w:cs="Arial"/>
                  <w:sz w:val="18"/>
                  <w:szCs w:val="18"/>
                  <w:lang w:eastAsia="en-GB"/>
                </w:rPr>
                <w:t xml:space="preserve"> is signalled, the current serving cell does not provide information about MBS multicast services of a neighbour cell that is not included in </w:t>
              </w:r>
              <w:r>
                <w:rPr>
                  <w:rFonts w:ascii="Arial" w:hAnsi="Arial" w:cs="Arial"/>
                  <w:i/>
                  <w:iCs/>
                  <w:sz w:val="18"/>
                  <w:szCs w:val="18"/>
                  <w:lang w:eastAsia="en-GB"/>
                </w:rPr>
                <w:t>mbs-NeighbourCellList</w:t>
              </w:r>
              <w:r>
                <w:rPr>
                  <w:rFonts w:ascii="Arial" w:hAnsi="Arial" w:cs="Arial"/>
                  <w:sz w:val="18"/>
                  <w:szCs w:val="18"/>
                  <w:lang w:eastAsia="en-GB"/>
                </w:rPr>
                <w:t>, i.e., the UE cannot determine the presence or absence of an MBS multicast service of a neighbour cell that is absent.</w:t>
              </w:r>
              <w:r>
                <w:rPr>
                  <w:rFonts w:ascii="Arial" w:eastAsia="宋体" w:hAnsi="Arial" w:cs="Arial"/>
                  <w:sz w:val="18"/>
                  <w:szCs w:val="18"/>
                  <w:lang w:eastAsia="zh-CN"/>
                </w:rPr>
                <w:t xml:space="preserve"> </w:t>
              </w:r>
              <w:r>
                <w:rPr>
                  <w:rFonts w:ascii="Arial" w:hAnsi="Arial" w:cs="Arial"/>
                  <w:sz w:val="18"/>
                  <w:szCs w:val="18"/>
                  <w:lang w:eastAsia="en-GB"/>
                </w:rPr>
                <w:t xml:space="preserve">When the field </w:t>
              </w:r>
              <w:r>
                <w:rPr>
                  <w:rFonts w:ascii="Arial" w:eastAsia="Malgun Gothic" w:hAnsi="Arial" w:cs="Arial"/>
                  <w:i/>
                  <w:sz w:val="18"/>
                  <w:szCs w:val="18"/>
                  <w:lang w:eastAsia="sv-SE"/>
                </w:rPr>
                <w:t>mbs-NeighbourCellList</w:t>
              </w:r>
              <w:r>
                <w:rPr>
                  <w:rFonts w:ascii="Arial" w:hAnsi="Arial" w:cs="Arial"/>
                  <w:sz w:val="18"/>
                  <w:szCs w:val="18"/>
                  <w:lang w:eastAsia="en-GB"/>
                </w:rPr>
                <w:t xml:space="preserve"> is absent, the current serving cell does not provide information about MBS multicast services in the neighbouring cells, i.e. the UE cannot determine the presence or absence of an MBS multicast service in neighbouring cells based on the absence of this field.</w:t>
              </w:r>
            </w:ins>
          </w:p>
        </w:tc>
      </w:tr>
      <w:tr w:rsidR="00EF781F" w14:paraId="7F4247FD" w14:textId="77777777" w:rsidTr="00EF781F">
        <w:trPr>
          <w:cantSplit/>
          <w:ins w:id="571" w:author="Huawei, HiSilicon" w:date="2023-11-02T14:40:00Z"/>
        </w:trPr>
        <w:tc>
          <w:tcPr>
            <w:tcW w:w="14062" w:type="dxa"/>
            <w:tcBorders>
              <w:top w:val="single" w:sz="4" w:space="0" w:color="808080"/>
              <w:left w:val="single" w:sz="4" w:space="0" w:color="808080"/>
              <w:bottom w:val="single" w:sz="4" w:space="0" w:color="808080"/>
              <w:right w:val="single" w:sz="4" w:space="0" w:color="808080"/>
            </w:tcBorders>
            <w:hideMark/>
          </w:tcPr>
          <w:p w14:paraId="61A13EA4" w14:textId="77777777" w:rsidR="00EF781F" w:rsidRDefault="00EF781F">
            <w:pPr>
              <w:keepNext/>
              <w:keepLines/>
              <w:spacing w:after="0"/>
              <w:rPr>
                <w:ins w:id="572" w:author="Huawei, HiSilicon" w:date="2023-11-02T14:40:00Z"/>
                <w:rFonts w:ascii="Arial" w:eastAsia="Malgun Gothic" w:hAnsi="Arial" w:cs="Arial"/>
                <w:b/>
                <w:i/>
                <w:sz w:val="18"/>
                <w:szCs w:val="18"/>
                <w:lang w:eastAsia="sv-SE"/>
              </w:rPr>
            </w:pPr>
            <w:ins w:id="573" w:author="Huawei, HiSilicon" w:date="2023-11-02T14:40:00Z">
              <w:r>
                <w:rPr>
                  <w:rFonts w:ascii="Arial" w:eastAsia="Malgun Gothic" w:hAnsi="Arial" w:cs="Arial"/>
                  <w:b/>
                  <w:i/>
                  <w:sz w:val="18"/>
                  <w:szCs w:val="18"/>
                  <w:lang w:eastAsia="sv-SE"/>
                </w:rPr>
                <w:t>mbs-SessionInfoList</w:t>
              </w:r>
            </w:ins>
          </w:p>
          <w:p w14:paraId="01ED14C4" w14:textId="77777777" w:rsidR="00EF781F" w:rsidRDefault="00EF781F">
            <w:pPr>
              <w:keepNext/>
              <w:keepLines/>
              <w:spacing w:after="0"/>
              <w:rPr>
                <w:ins w:id="574" w:author="Huawei, HiSilicon" w:date="2023-11-02T14:40:00Z"/>
                <w:rFonts w:ascii="Arial" w:hAnsi="Arial" w:cs="Arial"/>
                <w:b/>
                <w:bCs/>
                <w:i/>
                <w:sz w:val="18"/>
                <w:szCs w:val="18"/>
              </w:rPr>
            </w:pPr>
            <w:ins w:id="575" w:author="Huawei, HiSilicon" w:date="2023-11-02T14:40:00Z">
              <w:r>
                <w:rPr>
                  <w:rFonts w:ascii="Arial" w:hAnsi="Arial" w:cs="Arial"/>
                  <w:sz w:val="18"/>
                  <w:szCs w:val="18"/>
                  <w:lang w:eastAsia="en-GB"/>
                </w:rPr>
                <w:t xml:space="preserve">Provides the configuration of each MBS session provided by MBS multicast in the current cell. </w:t>
              </w:r>
            </w:ins>
          </w:p>
        </w:tc>
      </w:tr>
      <w:tr w:rsidR="00EF781F" w14:paraId="3CA2CD6D" w14:textId="77777777" w:rsidTr="00EF781F">
        <w:trPr>
          <w:cantSplit/>
          <w:ins w:id="576" w:author="Huawei, HiSilicon" w:date="2023-11-02T14:40:00Z"/>
        </w:trPr>
        <w:tc>
          <w:tcPr>
            <w:tcW w:w="14062" w:type="dxa"/>
            <w:tcBorders>
              <w:top w:val="single" w:sz="4" w:space="0" w:color="808080"/>
              <w:left w:val="single" w:sz="4" w:space="0" w:color="808080"/>
              <w:bottom w:val="single" w:sz="4" w:space="0" w:color="808080"/>
              <w:right w:val="single" w:sz="4" w:space="0" w:color="808080"/>
            </w:tcBorders>
            <w:hideMark/>
          </w:tcPr>
          <w:p w14:paraId="2CD0BC3C" w14:textId="77777777" w:rsidR="00EF781F" w:rsidRDefault="00EF781F">
            <w:pPr>
              <w:keepNext/>
              <w:keepLines/>
              <w:spacing w:after="0"/>
              <w:rPr>
                <w:ins w:id="577" w:author="Huawei, HiSilicon" w:date="2023-11-02T14:40:00Z"/>
                <w:rFonts w:ascii="Arial" w:eastAsia="Malgun Gothic" w:hAnsi="Arial" w:cs="Arial"/>
                <w:b/>
                <w:i/>
                <w:sz w:val="18"/>
                <w:szCs w:val="18"/>
                <w:lang w:eastAsia="sv-SE"/>
              </w:rPr>
            </w:pPr>
            <w:ins w:id="578" w:author="Huawei, HiSilicon" w:date="2023-11-02T14:40:00Z">
              <w:r>
                <w:rPr>
                  <w:rFonts w:ascii="Arial" w:eastAsia="Malgun Gothic" w:hAnsi="Arial" w:cs="Arial"/>
                  <w:b/>
                  <w:i/>
                  <w:sz w:val="18"/>
                  <w:szCs w:val="18"/>
                  <w:lang w:eastAsia="sv-SE"/>
                </w:rPr>
                <w:t>pdsch-ConfigMTCH</w:t>
              </w:r>
            </w:ins>
          </w:p>
          <w:p w14:paraId="5ED215FF" w14:textId="77777777" w:rsidR="00EF781F" w:rsidRDefault="00EF781F">
            <w:pPr>
              <w:keepNext/>
              <w:keepLines/>
              <w:spacing w:after="0"/>
              <w:rPr>
                <w:ins w:id="579" w:author="Huawei, HiSilicon" w:date="2023-11-02T14:40:00Z"/>
                <w:rFonts w:ascii="Arial" w:hAnsi="Arial" w:cs="Arial"/>
                <w:b/>
                <w:bCs/>
                <w:i/>
                <w:sz w:val="18"/>
                <w:szCs w:val="18"/>
              </w:rPr>
            </w:pPr>
            <w:ins w:id="580" w:author="Huawei, HiSilicon" w:date="2023-11-02T14:40:00Z">
              <w:r>
                <w:rPr>
                  <w:rFonts w:ascii="Arial" w:hAnsi="Arial" w:cs="Arial"/>
                  <w:sz w:val="18"/>
                  <w:szCs w:val="18"/>
                  <w:lang w:eastAsia="en-GB"/>
                </w:rPr>
                <w:t>Provides parameters for acquiring the PDSCH for MTCH. When this field is absent, the UE shall use</w:t>
              </w:r>
              <w:r>
                <w:rPr>
                  <w:rFonts w:ascii="Arial" w:hAnsi="Arial" w:cs="Arial"/>
                  <w:sz w:val="18"/>
                  <w:szCs w:val="18"/>
                </w:rPr>
                <w:t xml:space="preserve"> </w:t>
              </w:r>
              <w:r>
                <w:rPr>
                  <w:rFonts w:ascii="Arial" w:hAnsi="Arial" w:cs="Arial"/>
                  <w:sz w:val="18"/>
                  <w:szCs w:val="18"/>
                  <w:lang w:eastAsia="en-GB"/>
                </w:rPr>
                <w:t xml:space="preserve">parameters in </w:t>
              </w:r>
              <w:r>
                <w:rPr>
                  <w:rFonts w:ascii="Arial" w:hAnsi="Arial" w:cs="Arial"/>
                  <w:i/>
                  <w:sz w:val="18"/>
                  <w:szCs w:val="18"/>
                  <w:lang w:eastAsia="en-GB"/>
                </w:rPr>
                <w:t>pdsch-ConfigMCCH</w:t>
              </w:r>
              <w:r>
                <w:rPr>
                  <w:rFonts w:ascii="Arial" w:hAnsi="Arial" w:cs="Arial"/>
                  <w:sz w:val="18"/>
                  <w:szCs w:val="18"/>
                  <w:lang w:eastAsia="en-GB"/>
                </w:rPr>
                <w:t xml:space="preserve"> in SIBx to acquire the PDSCH for MTCH.</w:t>
              </w:r>
            </w:ins>
          </w:p>
        </w:tc>
      </w:tr>
      <w:tr w:rsidR="00EF781F" w14:paraId="6DC0DE9D" w14:textId="77777777" w:rsidTr="00EF781F">
        <w:trPr>
          <w:cantSplit/>
          <w:ins w:id="581" w:author="Huawei, HiSilicon" w:date="2023-11-02T14:40:00Z"/>
        </w:trPr>
        <w:tc>
          <w:tcPr>
            <w:tcW w:w="14062" w:type="dxa"/>
            <w:tcBorders>
              <w:top w:val="single" w:sz="4" w:space="0" w:color="808080"/>
              <w:left w:val="single" w:sz="4" w:space="0" w:color="808080"/>
              <w:bottom w:val="single" w:sz="4" w:space="0" w:color="808080"/>
              <w:right w:val="single" w:sz="4" w:space="0" w:color="808080"/>
            </w:tcBorders>
            <w:hideMark/>
          </w:tcPr>
          <w:p w14:paraId="4CAF96C1" w14:textId="77777777" w:rsidR="00EF781F" w:rsidRDefault="00EF781F">
            <w:pPr>
              <w:keepNext/>
              <w:keepLines/>
              <w:spacing w:after="0"/>
              <w:rPr>
                <w:ins w:id="582" w:author="Huawei, HiSilicon" w:date="2023-11-02T14:40:00Z"/>
                <w:rFonts w:ascii="Arial" w:hAnsi="Arial" w:cs="Arial"/>
                <w:b/>
                <w:bCs/>
                <w:i/>
                <w:iCs/>
                <w:sz w:val="18"/>
                <w:szCs w:val="18"/>
                <w:lang w:eastAsia="en-GB"/>
              </w:rPr>
            </w:pPr>
            <w:ins w:id="583" w:author="Huawei, HiSilicon" w:date="2023-11-02T14:40:00Z">
              <w:r>
                <w:rPr>
                  <w:rFonts w:ascii="Arial" w:hAnsi="Arial" w:cs="Arial"/>
                  <w:b/>
                  <w:bCs/>
                  <w:i/>
                  <w:iCs/>
                  <w:sz w:val="18"/>
                  <w:szCs w:val="18"/>
                  <w:lang w:eastAsia="en-GB"/>
                </w:rPr>
                <w:t>thresholdMBS-List</w:t>
              </w:r>
            </w:ins>
          </w:p>
          <w:p w14:paraId="073740E2" w14:textId="77777777" w:rsidR="00EF781F" w:rsidRDefault="00EF781F">
            <w:pPr>
              <w:keepNext/>
              <w:keepLines/>
              <w:spacing w:after="0"/>
              <w:rPr>
                <w:ins w:id="584" w:author="Huawei, HiSilicon" w:date="2023-11-02T14:40:00Z"/>
                <w:rFonts w:ascii="Arial" w:eastAsia="Malgun Gothic" w:hAnsi="Arial" w:cs="Arial"/>
                <w:b/>
                <w:i/>
                <w:sz w:val="18"/>
                <w:szCs w:val="18"/>
                <w:lang w:eastAsia="sv-SE"/>
              </w:rPr>
            </w:pPr>
            <w:ins w:id="585" w:author="Huawei, HiSilicon" w:date="2023-11-02T14:40:00Z">
              <w:r>
                <w:rPr>
                  <w:rFonts w:ascii="Arial" w:hAnsi="Arial" w:cs="Arial"/>
                  <w:sz w:val="18"/>
                  <w:szCs w:val="18"/>
                  <w:lang w:eastAsia="en-GB"/>
                </w:rPr>
                <w:t>List of reception quality thresholds for RRC connection resume for a UE receiving multicast in RRC_INACTIVE.</w:t>
              </w:r>
            </w:ins>
          </w:p>
        </w:tc>
      </w:tr>
      <w:bookmarkEnd w:id="476"/>
    </w:tbl>
    <w:p w14:paraId="1B2915F0" w14:textId="77777777" w:rsidR="00EF781F" w:rsidRDefault="00EF781F" w:rsidP="00EF781F">
      <w:pPr>
        <w:rPr>
          <w:rFonts w:eastAsia="Yu Mincho"/>
        </w:rPr>
      </w:pPr>
    </w:p>
    <w:p w14:paraId="7BC6E938" w14:textId="77777777" w:rsidR="00394471" w:rsidRPr="00FA0D37" w:rsidRDefault="00394471" w:rsidP="00394471">
      <w:pPr>
        <w:pStyle w:val="4"/>
        <w:rPr>
          <w:i/>
          <w:iCs/>
        </w:rPr>
      </w:pPr>
      <w:r w:rsidRPr="00FA0D37">
        <w:rPr>
          <w:i/>
          <w:iCs/>
        </w:rPr>
        <w:t>–</w:t>
      </w:r>
      <w:r w:rsidRPr="00FA0D37">
        <w:rPr>
          <w:i/>
          <w:iCs/>
        </w:rPr>
        <w:tab/>
        <w:t>MCGFailureInformation</w:t>
      </w:r>
      <w:bookmarkEnd w:id="477"/>
      <w:bookmarkEnd w:id="478"/>
    </w:p>
    <w:p w14:paraId="18EE117E" w14:textId="77777777" w:rsidR="00394471" w:rsidRPr="00FA0D37" w:rsidRDefault="00394471" w:rsidP="00394471">
      <w:r w:rsidRPr="00FA0D37">
        <w:t xml:space="preserve">The </w:t>
      </w:r>
      <w:r w:rsidRPr="00FA0D37">
        <w:rPr>
          <w:i/>
        </w:rPr>
        <w:t>MCGFailureInformation</w:t>
      </w:r>
      <w:r w:rsidRPr="00FA0D37">
        <w:t xml:space="preserve"> message is used to provide information regarding NR MCG failures detected by the UE.</w:t>
      </w:r>
    </w:p>
    <w:p w14:paraId="0021C3E7" w14:textId="77777777" w:rsidR="00394471" w:rsidRPr="00FA0D37" w:rsidRDefault="00394471" w:rsidP="00394471">
      <w:pPr>
        <w:pStyle w:val="B1"/>
      </w:pPr>
      <w:r w:rsidRPr="00FA0D37">
        <w:t>Signalling radio bearer: SRB1</w:t>
      </w:r>
    </w:p>
    <w:p w14:paraId="2A652014" w14:textId="77777777" w:rsidR="00394471" w:rsidRPr="00FA0D37" w:rsidRDefault="00394471" w:rsidP="00394471">
      <w:pPr>
        <w:pStyle w:val="B1"/>
      </w:pPr>
      <w:r w:rsidRPr="00FA0D37">
        <w:t>RLC-SAP: AM</w:t>
      </w:r>
    </w:p>
    <w:p w14:paraId="048C6AB9" w14:textId="77777777" w:rsidR="00394471" w:rsidRPr="00FA0D37" w:rsidRDefault="00394471" w:rsidP="00394471">
      <w:pPr>
        <w:pStyle w:val="B1"/>
      </w:pPr>
      <w:r w:rsidRPr="00FA0D37">
        <w:t>Logical channel: DCCH</w:t>
      </w:r>
    </w:p>
    <w:p w14:paraId="19E6F9B3" w14:textId="77777777" w:rsidR="00394471" w:rsidRPr="00FA0D37" w:rsidRDefault="00394471" w:rsidP="00394471">
      <w:pPr>
        <w:pStyle w:val="B1"/>
      </w:pPr>
      <w:r w:rsidRPr="00FA0D37">
        <w:t>Direction: UE to Network</w:t>
      </w:r>
    </w:p>
    <w:p w14:paraId="4D060E3C" w14:textId="77777777" w:rsidR="00394471" w:rsidRPr="00FA0D37" w:rsidRDefault="00394471" w:rsidP="00394471">
      <w:pPr>
        <w:pStyle w:val="TH"/>
      </w:pPr>
      <w:r w:rsidRPr="00FA0D37">
        <w:rPr>
          <w:i/>
        </w:rPr>
        <w:t>MCGFailureInformation</w:t>
      </w:r>
      <w:r w:rsidRPr="00FA0D37">
        <w:t xml:space="preserve"> message</w:t>
      </w:r>
    </w:p>
    <w:p w14:paraId="7C5CF533" w14:textId="77777777" w:rsidR="00394471" w:rsidRPr="00FA0D37" w:rsidRDefault="00394471" w:rsidP="00FA0D37">
      <w:pPr>
        <w:pStyle w:val="PL"/>
        <w:rPr>
          <w:color w:val="808080"/>
        </w:rPr>
      </w:pPr>
      <w:r w:rsidRPr="00FA0D37">
        <w:rPr>
          <w:color w:val="808080"/>
        </w:rPr>
        <w:t>-- ASN1START</w:t>
      </w:r>
    </w:p>
    <w:p w14:paraId="1537AAD4" w14:textId="77777777" w:rsidR="00394471" w:rsidRPr="00FA0D37" w:rsidRDefault="00394471" w:rsidP="00FA0D37">
      <w:pPr>
        <w:pStyle w:val="PL"/>
        <w:rPr>
          <w:color w:val="808080"/>
        </w:rPr>
      </w:pPr>
      <w:r w:rsidRPr="00FA0D37">
        <w:rPr>
          <w:color w:val="808080"/>
        </w:rPr>
        <w:t>-- TAG-MCGFAILUREINFORMATION-START</w:t>
      </w:r>
    </w:p>
    <w:p w14:paraId="13A13FE4" w14:textId="77777777" w:rsidR="00394471" w:rsidRPr="00FA0D37" w:rsidRDefault="00394471" w:rsidP="00FA0D37">
      <w:pPr>
        <w:pStyle w:val="PL"/>
        <w:rPr>
          <w:rFonts w:eastAsia="Malgun Gothic"/>
        </w:rPr>
      </w:pPr>
    </w:p>
    <w:p w14:paraId="2C1CBC23" w14:textId="77777777" w:rsidR="00394471" w:rsidRPr="00FA0D37" w:rsidRDefault="00394471" w:rsidP="00FA0D37">
      <w:pPr>
        <w:pStyle w:val="PL"/>
        <w:rPr>
          <w:rFonts w:eastAsia="Malgun Gothic"/>
        </w:rPr>
      </w:pPr>
      <w:r w:rsidRPr="00FA0D37">
        <w:rPr>
          <w:rFonts w:eastAsia="Malgun Gothic"/>
        </w:rPr>
        <w:t>MCGFailureInformation-r16 ::=</w:t>
      </w:r>
      <w:r w:rsidRPr="00FA0D37">
        <w:t xml:space="preserve">    </w:t>
      </w:r>
      <w:r w:rsidRPr="00FA0D37">
        <w:rPr>
          <w:color w:val="993366"/>
        </w:rPr>
        <w:t>SEQUENCE</w:t>
      </w:r>
      <w:r w:rsidRPr="00FA0D37">
        <w:rPr>
          <w:rFonts w:eastAsia="Malgun Gothic"/>
        </w:rPr>
        <w:t xml:space="preserve"> {</w:t>
      </w:r>
    </w:p>
    <w:p w14:paraId="656A47EE" w14:textId="77777777" w:rsidR="00394471" w:rsidRPr="00FA0D37" w:rsidRDefault="00394471" w:rsidP="00FA0D37">
      <w:pPr>
        <w:pStyle w:val="PL"/>
        <w:rPr>
          <w:rFonts w:eastAsia="Malgun Gothic"/>
        </w:rPr>
      </w:pPr>
      <w:r w:rsidRPr="00FA0D37">
        <w:t xml:space="preserve">    </w:t>
      </w:r>
      <w:r w:rsidRPr="00FA0D37">
        <w:rPr>
          <w:rFonts w:eastAsia="Malgun Gothic"/>
        </w:rPr>
        <w:t>criticalExtensions</w:t>
      </w:r>
      <w:r w:rsidRPr="00FA0D37">
        <w:t xml:space="preserve">               </w:t>
      </w:r>
      <w:r w:rsidRPr="00FA0D37">
        <w:rPr>
          <w:color w:val="993366"/>
        </w:rPr>
        <w:t>CHOICE</w:t>
      </w:r>
      <w:r w:rsidRPr="00FA0D37">
        <w:rPr>
          <w:rFonts w:eastAsia="Malgun Gothic"/>
        </w:rPr>
        <w:t xml:space="preserve"> {</w:t>
      </w:r>
    </w:p>
    <w:p w14:paraId="39565EA9" w14:textId="77777777" w:rsidR="00394471" w:rsidRPr="00FA0D37" w:rsidRDefault="00394471" w:rsidP="00FA0D37">
      <w:pPr>
        <w:pStyle w:val="PL"/>
        <w:rPr>
          <w:rFonts w:eastAsia="Malgun Gothic"/>
        </w:rPr>
      </w:pPr>
      <w:r w:rsidRPr="00FA0D37">
        <w:t xml:space="preserve">        </w:t>
      </w:r>
      <w:r w:rsidRPr="00FA0D37">
        <w:rPr>
          <w:rFonts w:eastAsia="Malgun Gothic"/>
        </w:rPr>
        <w:t>mcgFailureInformation-r16</w:t>
      </w:r>
      <w:r w:rsidRPr="00FA0D37">
        <w:t xml:space="preserve">        </w:t>
      </w:r>
      <w:r w:rsidRPr="00FA0D37">
        <w:rPr>
          <w:rFonts w:eastAsia="Malgun Gothic"/>
        </w:rPr>
        <w:t>MCGFailureInformation-r16-IEs,</w:t>
      </w:r>
    </w:p>
    <w:p w14:paraId="417A5422" w14:textId="77777777" w:rsidR="00394471" w:rsidRPr="00FA0D37" w:rsidRDefault="00394471" w:rsidP="00FA0D37">
      <w:pPr>
        <w:pStyle w:val="PL"/>
        <w:rPr>
          <w:rFonts w:eastAsia="Malgun Gothic"/>
        </w:rPr>
      </w:pPr>
      <w:r w:rsidRPr="00FA0D37">
        <w:t xml:space="preserve">        </w:t>
      </w:r>
      <w:r w:rsidRPr="00FA0D37">
        <w:rPr>
          <w:rFonts w:eastAsia="Malgun Gothic"/>
        </w:rPr>
        <w:t>criticalExtensionsFuture</w:t>
      </w:r>
      <w:r w:rsidRPr="00FA0D37">
        <w:t xml:space="preserve">         </w:t>
      </w:r>
      <w:r w:rsidRPr="00FA0D37">
        <w:rPr>
          <w:color w:val="993366"/>
        </w:rPr>
        <w:t>SEQUENCE</w:t>
      </w:r>
      <w:r w:rsidRPr="00FA0D37">
        <w:rPr>
          <w:rFonts w:eastAsia="Malgun Gothic"/>
        </w:rPr>
        <w:t xml:space="preserve"> {}</w:t>
      </w:r>
    </w:p>
    <w:p w14:paraId="0CFA74EC" w14:textId="77777777" w:rsidR="00394471" w:rsidRPr="00FA0D37" w:rsidRDefault="00394471" w:rsidP="00FA0D37">
      <w:pPr>
        <w:pStyle w:val="PL"/>
        <w:rPr>
          <w:rFonts w:eastAsia="Malgun Gothic"/>
        </w:rPr>
      </w:pPr>
      <w:r w:rsidRPr="00FA0D37">
        <w:t xml:space="preserve">    </w:t>
      </w:r>
      <w:r w:rsidRPr="00FA0D37">
        <w:rPr>
          <w:rFonts w:eastAsia="Malgun Gothic"/>
        </w:rPr>
        <w:t>}</w:t>
      </w:r>
    </w:p>
    <w:p w14:paraId="7F6429AB" w14:textId="77777777" w:rsidR="00394471" w:rsidRPr="00FA0D37" w:rsidRDefault="00394471" w:rsidP="00FA0D37">
      <w:pPr>
        <w:pStyle w:val="PL"/>
        <w:rPr>
          <w:rFonts w:eastAsia="Malgun Gothic"/>
        </w:rPr>
      </w:pPr>
      <w:r w:rsidRPr="00FA0D37">
        <w:rPr>
          <w:rFonts w:eastAsia="Malgun Gothic"/>
        </w:rPr>
        <w:t>}</w:t>
      </w:r>
    </w:p>
    <w:p w14:paraId="409F7E35" w14:textId="77777777" w:rsidR="00394471" w:rsidRPr="00FA0D37" w:rsidRDefault="00394471" w:rsidP="00FA0D37">
      <w:pPr>
        <w:pStyle w:val="PL"/>
        <w:rPr>
          <w:rFonts w:eastAsia="Malgun Gothic"/>
        </w:rPr>
      </w:pPr>
    </w:p>
    <w:p w14:paraId="41B97F1C" w14:textId="77777777" w:rsidR="00394471" w:rsidRPr="00FA0D37" w:rsidRDefault="00394471" w:rsidP="00FA0D37">
      <w:pPr>
        <w:pStyle w:val="PL"/>
        <w:rPr>
          <w:rFonts w:eastAsia="Malgun Gothic"/>
        </w:rPr>
      </w:pPr>
      <w:r w:rsidRPr="00FA0D37">
        <w:rPr>
          <w:rFonts w:eastAsia="Malgun Gothic"/>
        </w:rPr>
        <w:t xml:space="preserve">MCGFailureInformation-r16-IEs ::= </w:t>
      </w:r>
      <w:r w:rsidRPr="00FA0D37">
        <w:rPr>
          <w:color w:val="993366"/>
        </w:rPr>
        <w:t>SEQUENCE</w:t>
      </w:r>
      <w:r w:rsidRPr="00FA0D37">
        <w:rPr>
          <w:rFonts w:eastAsia="Malgun Gothic"/>
        </w:rPr>
        <w:t xml:space="preserve"> {</w:t>
      </w:r>
    </w:p>
    <w:p w14:paraId="044E366F" w14:textId="77777777" w:rsidR="00394471" w:rsidRPr="00FA0D37" w:rsidRDefault="00394471" w:rsidP="00FA0D37">
      <w:pPr>
        <w:pStyle w:val="PL"/>
        <w:rPr>
          <w:rFonts w:eastAsia="Malgun Gothic"/>
        </w:rPr>
      </w:pPr>
      <w:r w:rsidRPr="00FA0D37">
        <w:t xml:space="preserve">    </w:t>
      </w:r>
      <w:r w:rsidRPr="00FA0D37">
        <w:rPr>
          <w:rFonts w:eastAsia="Malgun Gothic"/>
        </w:rPr>
        <w:t>failureReportMCG-r16</w:t>
      </w:r>
      <w:r w:rsidRPr="00FA0D37">
        <w:t xml:space="preserve">              </w:t>
      </w:r>
      <w:r w:rsidRPr="00FA0D37">
        <w:rPr>
          <w:rFonts w:eastAsia="Malgun Gothic"/>
        </w:rPr>
        <w:t>FailureReportMCG-r16</w:t>
      </w:r>
      <w:r w:rsidRPr="00FA0D37">
        <w:t xml:space="preserve">                             </w:t>
      </w:r>
      <w:r w:rsidRPr="00FA0D37">
        <w:rPr>
          <w:color w:val="993366"/>
        </w:rPr>
        <w:t>OPTIONAL</w:t>
      </w:r>
      <w:r w:rsidRPr="00FA0D37">
        <w:rPr>
          <w:rFonts w:eastAsia="Malgun Gothic"/>
        </w:rPr>
        <w:t>,</w:t>
      </w:r>
    </w:p>
    <w:p w14:paraId="478AEAF5"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764A068" w14:textId="77777777" w:rsidR="00394471" w:rsidRPr="00FA0D37" w:rsidRDefault="00394471" w:rsidP="00FA0D37">
      <w:pPr>
        <w:pStyle w:val="PL"/>
        <w:rPr>
          <w:rFonts w:eastAsia="Malgun Gothic"/>
        </w:rPr>
      </w:pPr>
      <w:r w:rsidRPr="00FA0D37">
        <w:t xml:space="preserve">    </w:t>
      </w:r>
      <w:r w:rsidRPr="00FA0D37">
        <w:rPr>
          <w:rFonts w:eastAsia="Malgun Gothic"/>
        </w:rPr>
        <w:t>nonCriticalExtension</w:t>
      </w:r>
      <w:r w:rsidRPr="00FA0D37">
        <w:t xml:space="preserve">              </w:t>
      </w:r>
      <w:r w:rsidRPr="00FA0D37">
        <w:rPr>
          <w:color w:val="993366"/>
        </w:rPr>
        <w:t>SEQUENCE</w:t>
      </w:r>
      <w:r w:rsidRPr="00FA0D37">
        <w:rPr>
          <w:rFonts w:eastAsia="Malgun Gothic"/>
        </w:rPr>
        <w:t xml:space="preserve"> {}</w:t>
      </w:r>
      <w:r w:rsidRPr="00FA0D37">
        <w:t xml:space="preserve">                                      </w:t>
      </w:r>
      <w:r w:rsidRPr="00FA0D37">
        <w:rPr>
          <w:color w:val="993366"/>
        </w:rPr>
        <w:t>OPTIONAL</w:t>
      </w:r>
    </w:p>
    <w:p w14:paraId="2A6A82BC" w14:textId="77777777" w:rsidR="00394471" w:rsidRPr="00FA0D37" w:rsidRDefault="00394471" w:rsidP="00FA0D37">
      <w:pPr>
        <w:pStyle w:val="PL"/>
        <w:rPr>
          <w:rFonts w:eastAsia="Malgun Gothic"/>
        </w:rPr>
      </w:pPr>
      <w:r w:rsidRPr="00FA0D37">
        <w:rPr>
          <w:rFonts w:eastAsia="Malgun Gothic"/>
        </w:rPr>
        <w:lastRenderedPageBreak/>
        <w:t>}</w:t>
      </w:r>
    </w:p>
    <w:p w14:paraId="53262EAD" w14:textId="77777777" w:rsidR="00394471" w:rsidRPr="00FA0D37" w:rsidRDefault="00394471" w:rsidP="00FA0D37">
      <w:pPr>
        <w:pStyle w:val="PL"/>
        <w:rPr>
          <w:rFonts w:eastAsia="Malgun Gothic"/>
        </w:rPr>
      </w:pPr>
    </w:p>
    <w:p w14:paraId="7AD98E84" w14:textId="77777777" w:rsidR="00394471" w:rsidRPr="00FA0D37" w:rsidRDefault="00394471" w:rsidP="00FA0D37">
      <w:pPr>
        <w:pStyle w:val="PL"/>
        <w:rPr>
          <w:rFonts w:eastAsia="Malgun Gothic"/>
        </w:rPr>
      </w:pPr>
      <w:r w:rsidRPr="00FA0D37">
        <w:rPr>
          <w:rFonts w:eastAsia="Malgun Gothic"/>
        </w:rPr>
        <w:t>FailureReportMCG-r16 ::=</w:t>
      </w:r>
      <w:r w:rsidRPr="00FA0D37">
        <w:t xml:space="preserve">          </w:t>
      </w:r>
      <w:r w:rsidRPr="00FA0D37">
        <w:rPr>
          <w:color w:val="993366"/>
        </w:rPr>
        <w:t>SEQUENCE</w:t>
      </w:r>
      <w:r w:rsidRPr="00FA0D37">
        <w:rPr>
          <w:rFonts w:eastAsia="Malgun Gothic"/>
        </w:rPr>
        <w:t xml:space="preserve"> {</w:t>
      </w:r>
    </w:p>
    <w:p w14:paraId="073D5ED5" w14:textId="77777777" w:rsidR="00394471" w:rsidRPr="00FA0D37" w:rsidRDefault="00394471" w:rsidP="00FA0D37">
      <w:pPr>
        <w:pStyle w:val="PL"/>
        <w:rPr>
          <w:rFonts w:eastAsia="Malgun Gothic"/>
        </w:rPr>
      </w:pPr>
      <w:r w:rsidRPr="00FA0D37">
        <w:t xml:space="preserve">    </w:t>
      </w:r>
      <w:r w:rsidRPr="00FA0D37">
        <w:rPr>
          <w:rFonts w:eastAsia="Malgun Gothic"/>
        </w:rPr>
        <w:t>failureType-r16</w:t>
      </w:r>
      <w:r w:rsidRPr="00FA0D37">
        <w:t xml:space="preserve">                   </w:t>
      </w:r>
      <w:r w:rsidRPr="00FA0D37">
        <w:rPr>
          <w:color w:val="993366"/>
        </w:rPr>
        <w:t>ENUMERATED</w:t>
      </w:r>
      <w:r w:rsidRPr="00FA0D37">
        <w:rPr>
          <w:rFonts w:eastAsia="Malgun Gothic"/>
        </w:rPr>
        <w:t xml:space="preserve"> {t31</w:t>
      </w:r>
      <w:r w:rsidRPr="00FA0D37">
        <w:rPr>
          <w:rFonts w:eastAsia="MS Mincho"/>
        </w:rPr>
        <w:t>0</w:t>
      </w:r>
      <w:r w:rsidRPr="00FA0D37">
        <w:rPr>
          <w:rFonts w:eastAsia="Malgun Gothic"/>
        </w:rPr>
        <w:t>-Expiry, randomAccessProblem, rlc-MaxNumRetx,</w:t>
      </w:r>
    </w:p>
    <w:p w14:paraId="586BD50A" w14:textId="77777777" w:rsidR="00394471" w:rsidRPr="00FA0D37" w:rsidRDefault="00394471" w:rsidP="00FA0D37">
      <w:pPr>
        <w:pStyle w:val="PL"/>
      </w:pPr>
      <w:r w:rsidRPr="00FA0D37">
        <w:rPr>
          <w:rFonts w:eastAsia="Malgun Gothic"/>
        </w:rPr>
        <w:t xml:space="preserve">                                                         </w:t>
      </w:r>
      <w:r w:rsidRPr="00FA0D37">
        <w:t>t312-Expiry-r16, lbt-Failure-r16, beamFailureRecoveryFailure-r16,</w:t>
      </w:r>
    </w:p>
    <w:p w14:paraId="3BD8BB4C" w14:textId="77777777" w:rsidR="00394471" w:rsidRPr="00FA0D37" w:rsidRDefault="00394471" w:rsidP="00FA0D37">
      <w:pPr>
        <w:pStyle w:val="PL"/>
        <w:rPr>
          <w:rFonts w:eastAsia="Malgun Gothic"/>
        </w:rPr>
      </w:pPr>
      <w:r w:rsidRPr="00FA0D37">
        <w:t xml:space="preserve">                                         bh-RLF-r16, spare1</w:t>
      </w:r>
      <w:r w:rsidRPr="00FA0D37">
        <w:rPr>
          <w:rFonts w:eastAsia="Malgun Gothic"/>
        </w:rPr>
        <w:t xml:space="preserve">}                                       </w:t>
      </w:r>
      <w:r w:rsidRPr="00FA0D37">
        <w:t xml:space="preserve">                                   </w:t>
      </w:r>
      <w:r w:rsidRPr="00FA0D37">
        <w:rPr>
          <w:rFonts w:eastAsia="Malgun Gothic"/>
        </w:rPr>
        <w:t xml:space="preserve">  </w:t>
      </w:r>
      <w:r w:rsidRPr="00FA0D37">
        <w:rPr>
          <w:rFonts w:eastAsia="Malgun Gothic"/>
          <w:color w:val="993366"/>
        </w:rPr>
        <w:t>OPTIONAL</w:t>
      </w:r>
      <w:r w:rsidRPr="00FA0D37">
        <w:rPr>
          <w:rFonts w:eastAsia="Malgun Gothic"/>
        </w:rPr>
        <w:t>,</w:t>
      </w:r>
    </w:p>
    <w:p w14:paraId="04962436" w14:textId="77777777" w:rsidR="00394471" w:rsidRPr="00FA0D37" w:rsidRDefault="00394471" w:rsidP="00FA0D37">
      <w:pPr>
        <w:pStyle w:val="PL"/>
        <w:rPr>
          <w:rFonts w:eastAsia="Malgun Gothic"/>
        </w:rPr>
      </w:pPr>
      <w:r w:rsidRPr="00FA0D37">
        <w:t xml:space="preserve">    </w:t>
      </w:r>
      <w:r w:rsidRPr="00FA0D37">
        <w:rPr>
          <w:rFonts w:eastAsia="Malgun Gothic"/>
        </w:rPr>
        <w:t>measResultFreqList-r16</w:t>
      </w:r>
      <w:r w:rsidRPr="00FA0D37">
        <w:t xml:space="preserve">            </w:t>
      </w:r>
      <w:r w:rsidRPr="00FA0D37">
        <w:rPr>
          <w:rFonts w:eastAsia="Malgun Gothic"/>
        </w:rPr>
        <w:t>MeasResultList2NR</w:t>
      </w:r>
      <w:r w:rsidRPr="00FA0D37">
        <w:t xml:space="preserve">                                                                     </w:t>
      </w:r>
      <w:r w:rsidRPr="00FA0D37">
        <w:rPr>
          <w:color w:val="993366"/>
        </w:rPr>
        <w:t>OPTIONAL</w:t>
      </w:r>
      <w:r w:rsidRPr="00FA0D37">
        <w:rPr>
          <w:rFonts w:eastAsia="Malgun Gothic"/>
        </w:rPr>
        <w:t>,</w:t>
      </w:r>
    </w:p>
    <w:p w14:paraId="0EF7D7AE" w14:textId="77777777" w:rsidR="00394471" w:rsidRPr="00FA0D37" w:rsidRDefault="00394471" w:rsidP="00FA0D37">
      <w:pPr>
        <w:pStyle w:val="PL"/>
        <w:rPr>
          <w:rFonts w:eastAsia="Malgun Gothic"/>
        </w:rPr>
      </w:pPr>
      <w:r w:rsidRPr="00FA0D37">
        <w:t xml:space="preserve">    </w:t>
      </w:r>
      <w:r w:rsidRPr="00FA0D37">
        <w:rPr>
          <w:rFonts w:eastAsia="Malgun Gothic"/>
        </w:rPr>
        <w:t>measResultFreqListEUTRA-r16</w:t>
      </w:r>
      <w:r w:rsidRPr="00FA0D37">
        <w:t xml:space="preserve">       </w:t>
      </w:r>
      <w:r w:rsidRPr="00FA0D37">
        <w:rPr>
          <w:rFonts w:eastAsia="Malgun Gothic"/>
        </w:rPr>
        <w:t>MeasResultList2EUTRA</w:t>
      </w:r>
      <w:r w:rsidRPr="00FA0D37">
        <w:t xml:space="preserve">                                                                  </w:t>
      </w:r>
      <w:r w:rsidRPr="00FA0D37">
        <w:rPr>
          <w:color w:val="993366"/>
        </w:rPr>
        <w:t>OPTIONAL</w:t>
      </w:r>
      <w:r w:rsidRPr="00FA0D37">
        <w:rPr>
          <w:rFonts w:eastAsia="Malgun Gothic"/>
        </w:rPr>
        <w:t>,</w:t>
      </w:r>
    </w:p>
    <w:p w14:paraId="5519DA31" w14:textId="77777777" w:rsidR="00394471" w:rsidRPr="00FA0D37" w:rsidRDefault="00394471" w:rsidP="00FA0D37">
      <w:pPr>
        <w:pStyle w:val="PL"/>
        <w:rPr>
          <w:rFonts w:eastAsia="Malgun Gothic"/>
        </w:rPr>
      </w:pPr>
      <w:r w:rsidRPr="00FA0D37">
        <w:t xml:space="preserve">    </w:t>
      </w:r>
      <w:r w:rsidRPr="00FA0D37">
        <w:rPr>
          <w:rFonts w:eastAsia="Malgun Gothic"/>
        </w:rPr>
        <w:t>measResultSCG-r16</w:t>
      </w:r>
      <w:r w:rsidRPr="00FA0D37">
        <w:t xml:space="preserve">                 </w:t>
      </w:r>
      <w:r w:rsidRPr="00FA0D37">
        <w:rPr>
          <w:color w:val="993366"/>
        </w:rPr>
        <w:t>OCTET</w:t>
      </w:r>
      <w:r w:rsidRPr="00FA0D37">
        <w:t xml:space="preserve"> </w:t>
      </w:r>
      <w:r w:rsidRPr="00FA0D37">
        <w:rPr>
          <w:color w:val="993366"/>
        </w:rPr>
        <w:t>STRING</w:t>
      </w:r>
      <w:r w:rsidRPr="00FA0D37">
        <w:t xml:space="preserve"> (CONTAINING MeasResultSCG-Failure)                                       </w:t>
      </w:r>
      <w:r w:rsidRPr="00FA0D37">
        <w:rPr>
          <w:color w:val="993366"/>
        </w:rPr>
        <w:t>OPTIONAL</w:t>
      </w:r>
      <w:r w:rsidRPr="00FA0D37">
        <w:rPr>
          <w:rFonts w:eastAsia="Malgun Gothic"/>
        </w:rPr>
        <w:t>,</w:t>
      </w:r>
    </w:p>
    <w:p w14:paraId="5BD47B8A" w14:textId="77777777" w:rsidR="00394471" w:rsidRPr="00FA0D37" w:rsidRDefault="00394471" w:rsidP="00FA0D37">
      <w:pPr>
        <w:pStyle w:val="PL"/>
        <w:rPr>
          <w:rFonts w:eastAsia="Malgun Gothic"/>
        </w:rPr>
      </w:pPr>
      <w:r w:rsidRPr="00FA0D37">
        <w:t xml:space="preserve">    </w:t>
      </w:r>
      <w:r w:rsidRPr="00FA0D37">
        <w:rPr>
          <w:rFonts w:eastAsia="Malgun Gothic"/>
        </w:rPr>
        <w:t>measResultSCG-EUTRA-r16</w:t>
      </w:r>
      <w:r w:rsidRPr="00FA0D37">
        <w:t xml:space="preserve">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rPr>
          <w:rFonts w:eastAsia="Malgun Gothic"/>
        </w:rPr>
        <w:t>,</w:t>
      </w:r>
    </w:p>
    <w:p w14:paraId="01945300" w14:textId="77777777" w:rsidR="00394471" w:rsidRPr="00FA0D37" w:rsidRDefault="00394471" w:rsidP="00FA0D37">
      <w:pPr>
        <w:pStyle w:val="PL"/>
        <w:rPr>
          <w:rFonts w:eastAsia="Malgun Gothic"/>
        </w:rPr>
      </w:pPr>
      <w:r w:rsidRPr="00FA0D37">
        <w:t xml:space="preserve">    </w:t>
      </w:r>
      <w:r w:rsidRPr="00FA0D37">
        <w:rPr>
          <w:rFonts w:eastAsia="Malgun Gothic"/>
        </w:rPr>
        <w:t>measResultFreqListUTRA-FDD-r16</w:t>
      </w:r>
      <w:r w:rsidRPr="00FA0D37">
        <w:t xml:space="preserve">    MeasResultList2UTRA                                                                   </w:t>
      </w:r>
      <w:r w:rsidRPr="00FA0D37">
        <w:rPr>
          <w:color w:val="993366"/>
        </w:rPr>
        <w:t>OPTIONAL</w:t>
      </w:r>
      <w:r w:rsidRPr="00FA0D37">
        <w:rPr>
          <w:rFonts w:eastAsia="Malgun Gothic"/>
        </w:rPr>
        <w:t>,</w:t>
      </w:r>
    </w:p>
    <w:p w14:paraId="3240CFC3" w14:textId="77777777" w:rsidR="00394471" w:rsidRPr="00FA0D37" w:rsidRDefault="00394471" w:rsidP="00FA0D37">
      <w:pPr>
        <w:pStyle w:val="PL"/>
        <w:rPr>
          <w:rFonts w:eastAsia="Malgun Gothic"/>
        </w:rPr>
      </w:pPr>
      <w:r w:rsidRPr="00FA0D37">
        <w:t xml:space="preserve">    </w:t>
      </w:r>
      <w:r w:rsidRPr="00FA0D37">
        <w:rPr>
          <w:rFonts w:eastAsia="Malgun Gothic"/>
        </w:rPr>
        <w:t>...</w:t>
      </w:r>
    </w:p>
    <w:p w14:paraId="7B6F3E7C" w14:textId="77777777" w:rsidR="00394471" w:rsidRPr="00FA0D37" w:rsidRDefault="00394471" w:rsidP="00FA0D37">
      <w:pPr>
        <w:pStyle w:val="PL"/>
        <w:rPr>
          <w:rFonts w:eastAsia="Malgun Gothic"/>
        </w:rPr>
      </w:pPr>
      <w:r w:rsidRPr="00FA0D37">
        <w:rPr>
          <w:rFonts w:eastAsia="Malgun Gothic"/>
        </w:rPr>
        <w:t>}</w:t>
      </w:r>
    </w:p>
    <w:p w14:paraId="75BD0DCC" w14:textId="77777777" w:rsidR="00394471" w:rsidRPr="00FA0D37" w:rsidRDefault="00394471" w:rsidP="00FA0D37">
      <w:pPr>
        <w:pStyle w:val="PL"/>
        <w:rPr>
          <w:rFonts w:eastAsia="Malgun Gothic"/>
        </w:rPr>
      </w:pPr>
    </w:p>
    <w:p w14:paraId="70C73F2C" w14:textId="77777777" w:rsidR="00394471" w:rsidRPr="00FA0D37" w:rsidRDefault="00394471" w:rsidP="00FA0D37">
      <w:pPr>
        <w:pStyle w:val="PL"/>
      </w:pPr>
      <w:r w:rsidRPr="00FA0D37">
        <w:t xml:space="preserve">MeasResultList2UTRA ::=    </w:t>
      </w:r>
      <w:r w:rsidRPr="00FA0D37">
        <w:rPr>
          <w:color w:val="993366"/>
        </w:rPr>
        <w:t>SEQUENCE</w:t>
      </w:r>
      <w:r w:rsidRPr="00FA0D37">
        <w:t xml:space="preserve"> (</w:t>
      </w:r>
      <w:r w:rsidRPr="00FA0D37">
        <w:rPr>
          <w:color w:val="993366"/>
        </w:rPr>
        <w:t>SIZE</w:t>
      </w:r>
      <w:r w:rsidRPr="00FA0D37">
        <w:t xml:space="preserve"> (1..maxFreq))</w:t>
      </w:r>
      <w:r w:rsidRPr="00FA0D37">
        <w:rPr>
          <w:color w:val="993366"/>
        </w:rPr>
        <w:t xml:space="preserve"> OF</w:t>
      </w:r>
      <w:r w:rsidRPr="00FA0D37">
        <w:t xml:space="preserve"> MeasResult2UTRA-FDD-r16</w:t>
      </w:r>
    </w:p>
    <w:p w14:paraId="26CF62C3" w14:textId="77777777" w:rsidR="00394471" w:rsidRPr="00FA0D37" w:rsidRDefault="00394471" w:rsidP="00FA0D37">
      <w:pPr>
        <w:pStyle w:val="PL"/>
      </w:pPr>
    </w:p>
    <w:p w14:paraId="7D0C9C57" w14:textId="77777777" w:rsidR="00394471" w:rsidRPr="00FA0D37" w:rsidRDefault="00394471" w:rsidP="00FA0D37">
      <w:pPr>
        <w:pStyle w:val="PL"/>
      </w:pPr>
      <w:r w:rsidRPr="00FA0D37">
        <w:t xml:space="preserve">MeasResult2UTRA-FDD-r16 ::=       </w:t>
      </w:r>
      <w:r w:rsidRPr="00FA0D37">
        <w:rPr>
          <w:color w:val="993366"/>
        </w:rPr>
        <w:t>SEQUENCE</w:t>
      </w:r>
      <w:r w:rsidRPr="00FA0D37">
        <w:t xml:space="preserve"> {</w:t>
      </w:r>
    </w:p>
    <w:p w14:paraId="67D6BD13" w14:textId="77777777" w:rsidR="00394471" w:rsidRPr="00FA0D37" w:rsidRDefault="00394471" w:rsidP="00FA0D37">
      <w:pPr>
        <w:pStyle w:val="PL"/>
      </w:pPr>
      <w:r w:rsidRPr="00FA0D37">
        <w:t xml:space="preserve">    carrierFreq-r16                   ARFCN-ValueUTRA-FDD-r16,</w:t>
      </w:r>
    </w:p>
    <w:p w14:paraId="34206B54" w14:textId="77777777" w:rsidR="00394471" w:rsidRPr="00FA0D37" w:rsidRDefault="00394471" w:rsidP="00FA0D37">
      <w:pPr>
        <w:pStyle w:val="PL"/>
      </w:pPr>
      <w:r w:rsidRPr="00FA0D37">
        <w:t xml:space="preserve">    measResultNeighCellList-r16       MeasResultListUTRA-FDD-r16</w:t>
      </w:r>
    </w:p>
    <w:p w14:paraId="5AC23ECB" w14:textId="77777777" w:rsidR="00394471" w:rsidRPr="00FA0D37" w:rsidRDefault="00394471" w:rsidP="00FA0D37">
      <w:pPr>
        <w:pStyle w:val="PL"/>
      </w:pPr>
      <w:r w:rsidRPr="00FA0D37">
        <w:t>}</w:t>
      </w:r>
    </w:p>
    <w:p w14:paraId="68EFE44F" w14:textId="77777777" w:rsidR="00394471" w:rsidRPr="00FA0D37" w:rsidRDefault="00394471" w:rsidP="00FA0D37">
      <w:pPr>
        <w:pStyle w:val="PL"/>
        <w:rPr>
          <w:rFonts w:eastAsia="Malgun Gothic"/>
        </w:rPr>
      </w:pPr>
    </w:p>
    <w:p w14:paraId="5616A07C" w14:textId="77777777" w:rsidR="00394471" w:rsidRPr="00FA0D37" w:rsidRDefault="00394471" w:rsidP="00FA0D37">
      <w:pPr>
        <w:pStyle w:val="PL"/>
        <w:rPr>
          <w:rFonts w:eastAsia="Malgun Gothic"/>
        </w:rPr>
      </w:pPr>
      <w:r w:rsidRPr="00FA0D37">
        <w:rPr>
          <w:rFonts w:eastAsia="Malgun Gothic"/>
        </w:rPr>
        <w:t>MeasResultList2EUTRA ::=</w:t>
      </w:r>
      <w:r w:rsidRPr="00FA0D37">
        <w:t xml:space="preserve">          </w:t>
      </w:r>
      <w:r w:rsidRPr="00FA0D37">
        <w:rPr>
          <w:color w:val="993366"/>
        </w:rPr>
        <w:t>SEQUENCE</w:t>
      </w:r>
      <w:r w:rsidRPr="00FA0D37">
        <w:rPr>
          <w:rFonts w:eastAsia="Malgun Gothic"/>
        </w:rPr>
        <w:t xml:space="preserve"> (</w:t>
      </w:r>
      <w:r w:rsidRPr="00FA0D37">
        <w:rPr>
          <w:rFonts w:eastAsia="Malgun Gothic"/>
          <w:color w:val="993366"/>
        </w:rPr>
        <w:t>SIZE</w:t>
      </w:r>
      <w:r w:rsidRPr="00FA0D37">
        <w:rPr>
          <w:rFonts w:eastAsia="Malgun Gothic"/>
        </w:rPr>
        <w:t xml:space="preserve"> (1..maxFreq))</w:t>
      </w:r>
      <w:r w:rsidRPr="00FA0D37">
        <w:rPr>
          <w:rFonts w:eastAsia="Malgun Gothic"/>
          <w:color w:val="993366"/>
        </w:rPr>
        <w:t xml:space="preserve"> OF</w:t>
      </w:r>
      <w:r w:rsidRPr="00FA0D37">
        <w:rPr>
          <w:rFonts w:eastAsia="Malgun Gothic"/>
        </w:rPr>
        <w:t xml:space="preserve"> MeasResult2EUTRA-r16</w:t>
      </w:r>
    </w:p>
    <w:p w14:paraId="3D17A391" w14:textId="77777777" w:rsidR="00394471" w:rsidRPr="00FA0D37" w:rsidRDefault="00394471" w:rsidP="00FA0D37">
      <w:pPr>
        <w:pStyle w:val="PL"/>
        <w:rPr>
          <w:rFonts w:eastAsia="Malgun Gothic"/>
        </w:rPr>
      </w:pPr>
    </w:p>
    <w:p w14:paraId="4EEAC871" w14:textId="77777777" w:rsidR="00394471" w:rsidRPr="00FA0D37" w:rsidRDefault="00394471" w:rsidP="00FA0D37">
      <w:pPr>
        <w:pStyle w:val="PL"/>
        <w:rPr>
          <w:color w:val="808080"/>
        </w:rPr>
      </w:pPr>
      <w:r w:rsidRPr="00FA0D37">
        <w:rPr>
          <w:color w:val="808080"/>
        </w:rPr>
        <w:t>-- TAG-MCGFAILUREINFORMATION-STOP</w:t>
      </w:r>
    </w:p>
    <w:p w14:paraId="20187DEE" w14:textId="77777777" w:rsidR="00394471" w:rsidRPr="00FA0D37" w:rsidRDefault="00394471" w:rsidP="00FA0D37">
      <w:pPr>
        <w:pStyle w:val="PL"/>
        <w:rPr>
          <w:color w:val="808080"/>
        </w:rPr>
      </w:pPr>
      <w:r w:rsidRPr="00FA0D37">
        <w:rPr>
          <w:color w:val="808080"/>
        </w:rPr>
        <w:t>-- ASN1STOP</w:t>
      </w:r>
    </w:p>
    <w:p w14:paraId="66A3D5FF" w14:textId="77777777" w:rsidR="00394471" w:rsidRPr="00FA0D37" w:rsidRDefault="00394471" w:rsidP="00394471">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5C7FF4" w:rsidRPr="00FA0D37" w14:paraId="08A4135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557CDE" w14:textId="77777777" w:rsidR="00394471" w:rsidRPr="00FA0D37" w:rsidRDefault="00394471" w:rsidP="00964CC4">
            <w:pPr>
              <w:pStyle w:val="TAH"/>
              <w:rPr>
                <w:rFonts w:eastAsia="Malgun Gothic"/>
                <w:lang w:eastAsia="en-GB"/>
              </w:rPr>
            </w:pPr>
            <w:r w:rsidRPr="00FA0D37">
              <w:rPr>
                <w:rFonts w:eastAsia="Malgun Gothic"/>
                <w:i/>
                <w:noProof/>
                <w:lang w:eastAsia="sv-SE"/>
              </w:rPr>
              <w:t>MCGFailureInformation</w:t>
            </w:r>
            <w:r w:rsidRPr="00FA0D37">
              <w:rPr>
                <w:rFonts w:eastAsia="Malgun Gothic"/>
                <w:i/>
                <w:iCs/>
                <w:noProof/>
                <w:lang w:eastAsia="en-GB"/>
              </w:rPr>
              <w:t xml:space="preserve"> field descriptions</w:t>
            </w:r>
          </w:p>
        </w:tc>
      </w:tr>
      <w:tr w:rsidR="005C7FF4" w:rsidRPr="00FA0D37" w14:paraId="287DE96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86970C" w14:textId="77777777" w:rsidR="00394471" w:rsidRPr="00FA0D37" w:rsidRDefault="00394471" w:rsidP="00964CC4">
            <w:pPr>
              <w:pStyle w:val="TAL"/>
              <w:rPr>
                <w:rFonts w:eastAsia="Malgun Gothic"/>
                <w:b/>
                <w:i/>
                <w:lang w:eastAsia="sv-SE"/>
              </w:rPr>
            </w:pPr>
            <w:r w:rsidRPr="00FA0D37">
              <w:rPr>
                <w:rFonts w:eastAsia="Malgun Gothic"/>
                <w:b/>
                <w:i/>
                <w:lang w:eastAsia="sv-SE"/>
              </w:rPr>
              <w:t>measResultFreqList</w:t>
            </w:r>
          </w:p>
          <w:p w14:paraId="5B5D61CD" w14:textId="77777777" w:rsidR="00394471" w:rsidRPr="00FA0D37" w:rsidRDefault="00394471" w:rsidP="00964CC4">
            <w:pPr>
              <w:pStyle w:val="TAL"/>
              <w:rPr>
                <w:rFonts w:eastAsia="Malgun Gothic"/>
                <w:lang w:eastAsia="en-GB"/>
              </w:rPr>
            </w:pPr>
            <w:r w:rsidRPr="00FA0D37">
              <w:rPr>
                <w:rFonts w:eastAsia="Malgun Gothic"/>
                <w:lang w:eastAsia="en-GB"/>
              </w:rPr>
              <w:t xml:space="preserve">The field contains available results of measurements on NR frequencies the UE is configured to measure by the </w:t>
            </w:r>
            <w:r w:rsidRPr="00FA0D37">
              <w:rPr>
                <w:rFonts w:eastAsia="Malgun Gothic"/>
                <w:i/>
                <w:lang w:eastAsia="en-GB"/>
              </w:rPr>
              <w:t xml:space="preserve">measConfig </w:t>
            </w:r>
            <w:r w:rsidRPr="00FA0D37">
              <w:rPr>
                <w:rFonts w:eastAsia="Malgun Gothic"/>
                <w:lang w:eastAsia="en-GB"/>
              </w:rPr>
              <w:t>associated with the MCG.</w:t>
            </w:r>
          </w:p>
        </w:tc>
      </w:tr>
      <w:tr w:rsidR="005C7FF4" w:rsidRPr="00FA0D37" w14:paraId="0545CEB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6F54BC" w14:textId="77777777" w:rsidR="00394471" w:rsidRPr="00FA0D37" w:rsidRDefault="00394471" w:rsidP="00964CC4">
            <w:pPr>
              <w:pStyle w:val="TAL"/>
              <w:rPr>
                <w:rFonts w:eastAsia="Malgun Gothic"/>
                <w:b/>
                <w:i/>
                <w:lang w:eastAsia="sv-SE"/>
              </w:rPr>
            </w:pPr>
            <w:r w:rsidRPr="00FA0D37">
              <w:rPr>
                <w:rFonts w:eastAsia="Malgun Gothic"/>
                <w:b/>
                <w:i/>
                <w:lang w:eastAsia="sv-SE"/>
              </w:rPr>
              <w:t>measResultFreqListEUTRA</w:t>
            </w:r>
          </w:p>
          <w:p w14:paraId="271254A4" w14:textId="77777777" w:rsidR="00394471" w:rsidRPr="00FA0D37" w:rsidRDefault="00394471" w:rsidP="00964CC4">
            <w:pPr>
              <w:pStyle w:val="TAL"/>
              <w:rPr>
                <w:rFonts w:eastAsia="Malgun Gothic"/>
                <w:noProof/>
                <w:lang w:eastAsia="en-GB"/>
              </w:rPr>
            </w:pPr>
            <w:r w:rsidRPr="00FA0D37">
              <w:rPr>
                <w:rFonts w:eastAsia="Malgun Gothic"/>
                <w:lang w:eastAsia="en-GB"/>
              </w:rPr>
              <w:t xml:space="preserve">The field contains available results of measurements on E-UTRA frequencies the UE is configured to measure by </w:t>
            </w:r>
            <w:r w:rsidRPr="00FA0D37">
              <w:rPr>
                <w:rFonts w:eastAsia="Malgun Gothic"/>
                <w:i/>
                <w:lang w:eastAsia="en-GB"/>
              </w:rPr>
              <w:t xml:space="preserve">measConfig </w:t>
            </w:r>
            <w:r w:rsidRPr="00FA0D37">
              <w:rPr>
                <w:rFonts w:eastAsia="Malgun Gothic"/>
                <w:lang w:eastAsia="en-GB"/>
              </w:rPr>
              <w:t>associated with the MCG.</w:t>
            </w:r>
          </w:p>
        </w:tc>
      </w:tr>
      <w:tr w:rsidR="005C7FF4" w:rsidRPr="00FA0D37" w14:paraId="3C8AFAF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2188EEC" w14:textId="77777777" w:rsidR="00394471" w:rsidRPr="00FA0D37" w:rsidRDefault="00394471" w:rsidP="00964CC4">
            <w:pPr>
              <w:pStyle w:val="TAL"/>
              <w:rPr>
                <w:rFonts w:eastAsia="Malgun Gothic"/>
                <w:b/>
                <w:bCs/>
                <w:i/>
                <w:iCs/>
              </w:rPr>
            </w:pPr>
            <w:r w:rsidRPr="00FA0D37">
              <w:rPr>
                <w:rFonts w:eastAsia="Malgun Gothic"/>
                <w:b/>
                <w:bCs/>
                <w:i/>
                <w:iCs/>
              </w:rPr>
              <w:t>measResultFreqListUTRA-FDD</w:t>
            </w:r>
          </w:p>
          <w:p w14:paraId="632FD1A8" w14:textId="77777777" w:rsidR="00394471" w:rsidRPr="00FA0D37" w:rsidRDefault="00394471" w:rsidP="00964CC4">
            <w:pPr>
              <w:pStyle w:val="TAL"/>
              <w:rPr>
                <w:rFonts w:eastAsia="Malgun Gothic"/>
                <w:lang w:eastAsia="sv-SE"/>
              </w:rPr>
            </w:pPr>
            <w:r w:rsidRPr="00FA0D37">
              <w:rPr>
                <w:rFonts w:eastAsia="Malgun Gothic"/>
              </w:rPr>
              <w:t>The field contains available results of measurements on UTRA FDD frequencies the UE is configured to measure by measConfig associated with the MCG.</w:t>
            </w:r>
          </w:p>
        </w:tc>
      </w:tr>
      <w:tr w:rsidR="005C7FF4" w:rsidRPr="00FA0D37" w14:paraId="4188FA38" w14:textId="77777777" w:rsidTr="00964CC4">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3ACB9766" w14:textId="77777777" w:rsidR="00394471" w:rsidRPr="00FA0D37" w:rsidRDefault="00394471" w:rsidP="00964CC4">
            <w:pPr>
              <w:pStyle w:val="TAL"/>
              <w:rPr>
                <w:rFonts w:eastAsia="Malgun Gothic"/>
                <w:b/>
                <w:i/>
                <w:lang w:eastAsia="sv-SE"/>
              </w:rPr>
            </w:pPr>
            <w:r w:rsidRPr="00FA0D37">
              <w:rPr>
                <w:rFonts w:eastAsia="Malgun Gothic"/>
                <w:b/>
                <w:i/>
                <w:lang w:eastAsia="sv-SE"/>
              </w:rPr>
              <w:t>measResultSCG</w:t>
            </w:r>
          </w:p>
          <w:p w14:paraId="2F7BF594" w14:textId="77777777" w:rsidR="00394471" w:rsidRPr="00FA0D37" w:rsidRDefault="00394471" w:rsidP="00964CC4">
            <w:pPr>
              <w:pStyle w:val="TAL"/>
              <w:rPr>
                <w:rFonts w:eastAsia="Malgun Gothic"/>
                <w:lang w:eastAsia="sv-SE"/>
              </w:rPr>
            </w:pPr>
            <w:r w:rsidRPr="00FA0D37">
              <w:rPr>
                <w:rFonts w:eastAsia="Malgun Gothic"/>
                <w:lang w:eastAsia="sv-SE"/>
              </w:rPr>
              <w:t xml:space="preserve">The field contains the </w:t>
            </w:r>
            <w:r w:rsidRPr="00FA0D37">
              <w:rPr>
                <w:rFonts w:eastAsia="Malgun Gothic"/>
                <w:i/>
                <w:lang w:eastAsia="sv-SE"/>
              </w:rPr>
              <w:t>MeasResultSCG-Failure</w:t>
            </w:r>
            <w:r w:rsidRPr="00FA0D37">
              <w:rPr>
                <w:rFonts w:eastAsia="Malgun Gothic"/>
                <w:lang w:eastAsia="sv-SE"/>
              </w:rPr>
              <w:t xml:space="preserve"> IE which includes available measurement results on NR frequencies the UE is configured to measure by the </w:t>
            </w:r>
            <w:r w:rsidRPr="00FA0D37">
              <w:rPr>
                <w:rFonts w:eastAsia="Malgun Gothic"/>
                <w:i/>
                <w:lang w:eastAsia="sv-SE"/>
              </w:rPr>
              <w:t>measConfig</w:t>
            </w:r>
            <w:r w:rsidRPr="00FA0D37">
              <w:rPr>
                <w:rFonts w:eastAsia="Malgun Gothic"/>
                <w:lang w:eastAsia="sv-SE"/>
              </w:rPr>
              <w:t xml:space="preserve"> associated with the SCG.</w:t>
            </w:r>
          </w:p>
        </w:tc>
      </w:tr>
      <w:tr w:rsidR="00394471" w:rsidRPr="00FA0D37" w14:paraId="0F1857B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F40CD0" w14:textId="77777777" w:rsidR="00394471" w:rsidRPr="00FA0D37" w:rsidRDefault="00394471" w:rsidP="00964CC4">
            <w:pPr>
              <w:pStyle w:val="TAL"/>
              <w:rPr>
                <w:rFonts w:eastAsia="Malgun Gothic"/>
                <w:b/>
                <w:i/>
                <w:lang w:eastAsia="sv-SE"/>
              </w:rPr>
            </w:pPr>
            <w:r w:rsidRPr="00FA0D37">
              <w:rPr>
                <w:rFonts w:eastAsia="Malgun Gothic"/>
                <w:b/>
                <w:i/>
                <w:lang w:eastAsia="sv-SE"/>
              </w:rPr>
              <w:t>measResultSCG-EUTRA</w:t>
            </w:r>
          </w:p>
          <w:p w14:paraId="339C5291" w14:textId="77777777" w:rsidR="00394471" w:rsidRPr="00FA0D37" w:rsidRDefault="00394471" w:rsidP="00964CC4">
            <w:pPr>
              <w:pStyle w:val="TAL"/>
              <w:rPr>
                <w:rFonts w:eastAsia="Malgun Gothic"/>
                <w:b/>
                <w:i/>
                <w:lang w:eastAsia="sv-SE"/>
              </w:rPr>
            </w:pPr>
            <w:r w:rsidRPr="00FA0D37">
              <w:rPr>
                <w:rFonts w:eastAsia="Malgun Gothic"/>
                <w:lang w:eastAsia="sv-SE"/>
              </w:rPr>
              <w:t xml:space="preserve">The field contains the EUTRA </w:t>
            </w:r>
            <w:r w:rsidRPr="00FA0D37">
              <w:rPr>
                <w:rFonts w:eastAsia="Malgun Gothic"/>
                <w:i/>
                <w:lang w:eastAsia="sv-SE"/>
              </w:rPr>
              <w:t>MeasResultSCG-FailureMRDC</w:t>
            </w:r>
            <w:r w:rsidRPr="00FA0D37">
              <w:rPr>
                <w:rFonts w:eastAsia="Malgun Gothic"/>
                <w:lang w:eastAsia="sv-SE"/>
              </w:rPr>
              <w:t xml:space="preserve"> IE which includes available results of measurements on E-UTRA frequencies the UE is configured to measure by the E-UTRA </w:t>
            </w:r>
            <w:r w:rsidRPr="00FA0D37">
              <w:rPr>
                <w:rFonts w:eastAsia="Malgun Gothic"/>
                <w:i/>
                <w:lang w:eastAsia="sv-SE"/>
              </w:rPr>
              <w:t>RRCConnectionReconfiguration</w:t>
            </w:r>
            <w:r w:rsidRPr="00FA0D37">
              <w:rPr>
                <w:rFonts w:eastAsia="Malgun Gothic"/>
                <w:lang w:eastAsia="sv-SE"/>
              </w:rPr>
              <w:t xml:space="preserve"> message as specified in TS 36.331 [10].</w:t>
            </w:r>
          </w:p>
        </w:tc>
      </w:tr>
    </w:tbl>
    <w:p w14:paraId="33E92B65" w14:textId="77777777" w:rsidR="00394471" w:rsidRPr="00FA0D37" w:rsidRDefault="00394471" w:rsidP="00394471"/>
    <w:p w14:paraId="13329278" w14:textId="77777777" w:rsidR="00394471" w:rsidRPr="00FA0D37" w:rsidRDefault="00394471" w:rsidP="00394471">
      <w:pPr>
        <w:pStyle w:val="4"/>
        <w:rPr>
          <w:rFonts w:eastAsia="MS Mincho"/>
        </w:rPr>
      </w:pPr>
      <w:bookmarkStart w:id="586" w:name="_Toc60777101"/>
      <w:bookmarkStart w:id="587" w:name="_Toc146781137"/>
      <w:r w:rsidRPr="00FA0D37">
        <w:rPr>
          <w:rFonts w:eastAsia="MS Mincho"/>
        </w:rPr>
        <w:t>–</w:t>
      </w:r>
      <w:r w:rsidRPr="00FA0D37">
        <w:rPr>
          <w:rFonts w:eastAsia="MS Mincho"/>
        </w:rPr>
        <w:tab/>
      </w:r>
      <w:r w:rsidRPr="00FA0D37">
        <w:rPr>
          <w:rFonts w:eastAsia="MS Mincho"/>
          <w:i/>
        </w:rPr>
        <w:t>MeasurementReport</w:t>
      </w:r>
      <w:bookmarkEnd w:id="586"/>
      <w:bookmarkEnd w:id="587"/>
    </w:p>
    <w:p w14:paraId="1629B1BB" w14:textId="77777777" w:rsidR="00394471" w:rsidRPr="00FA0D37" w:rsidRDefault="00394471" w:rsidP="00394471">
      <w:pPr>
        <w:rPr>
          <w:rFonts w:eastAsia="MS Mincho"/>
        </w:rPr>
      </w:pPr>
      <w:r w:rsidRPr="00FA0D37">
        <w:t xml:space="preserve">The </w:t>
      </w:r>
      <w:r w:rsidRPr="00FA0D37">
        <w:rPr>
          <w:i/>
        </w:rPr>
        <w:t>MeasurementReport</w:t>
      </w:r>
      <w:r w:rsidRPr="00FA0D37">
        <w:t xml:space="preserve"> message is used for the indication of measurement results.</w:t>
      </w:r>
    </w:p>
    <w:p w14:paraId="589405E2" w14:textId="77777777" w:rsidR="00394471" w:rsidRPr="00FA0D37" w:rsidRDefault="00394471" w:rsidP="00394471">
      <w:pPr>
        <w:pStyle w:val="B1"/>
      </w:pPr>
      <w:r w:rsidRPr="00FA0D37">
        <w:t>Signalling radio bearer: SRB1, SRB3</w:t>
      </w:r>
    </w:p>
    <w:p w14:paraId="41B29CB9" w14:textId="77777777" w:rsidR="00394471" w:rsidRPr="00FA0D37" w:rsidRDefault="00394471" w:rsidP="00394471">
      <w:pPr>
        <w:pStyle w:val="B1"/>
      </w:pPr>
      <w:r w:rsidRPr="00FA0D37">
        <w:lastRenderedPageBreak/>
        <w:t>RLC-SAP: AM</w:t>
      </w:r>
    </w:p>
    <w:p w14:paraId="7C333514" w14:textId="77777777" w:rsidR="00394471" w:rsidRPr="00FA0D37" w:rsidRDefault="00394471" w:rsidP="00394471">
      <w:pPr>
        <w:pStyle w:val="B1"/>
      </w:pPr>
      <w:r w:rsidRPr="00FA0D37">
        <w:t>Logical channel: DCCH</w:t>
      </w:r>
    </w:p>
    <w:p w14:paraId="5388323B" w14:textId="77777777" w:rsidR="00394471" w:rsidRPr="00FA0D37" w:rsidRDefault="00394471" w:rsidP="00394471">
      <w:pPr>
        <w:pStyle w:val="B1"/>
      </w:pPr>
      <w:r w:rsidRPr="00FA0D37">
        <w:t xml:space="preserve">Direction: UE to </w:t>
      </w:r>
      <w:r w:rsidRPr="00FA0D37">
        <w:rPr>
          <w:lang w:eastAsia="zh-CN"/>
        </w:rPr>
        <w:t>Network</w:t>
      </w:r>
    </w:p>
    <w:p w14:paraId="2AFBE5EA" w14:textId="77777777" w:rsidR="00394471" w:rsidRPr="00FA0D37" w:rsidRDefault="00394471" w:rsidP="00394471">
      <w:pPr>
        <w:pStyle w:val="TH"/>
        <w:rPr>
          <w:bCs/>
          <w:i/>
          <w:iCs/>
        </w:rPr>
      </w:pPr>
      <w:r w:rsidRPr="00FA0D37">
        <w:rPr>
          <w:bCs/>
          <w:i/>
          <w:iCs/>
        </w:rPr>
        <w:t>MeasurementReport message</w:t>
      </w:r>
    </w:p>
    <w:p w14:paraId="1CB00BBD" w14:textId="77777777" w:rsidR="00394471" w:rsidRPr="00FA0D37" w:rsidRDefault="00394471" w:rsidP="00FA0D37">
      <w:pPr>
        <w:pStyle w:val="PL"/>
        <w:rPr>
          <w:color w:val="808080"/>
        </w:rPr>
      </w:pPr>
      <w:r w:rsidRPr="00FA0D37">
        <w:rPr>
          <w:color w:val="808080"/>
        </w:rPr>
        <w:t>-- ASN1START</w:t>
      </w:r>
    </w:p>
    <w:p w14:paraId="28BF2150" w14:textId="77777777" w:rsidR="00394471" w:rsidRPr="00FA0D37" w:rsidRDefault="00394471" w:rsidP="00FA0D37">
      <w:pPr>
        <w:pStyle w:val="PL"/>
        <w:rPr>
          <w:color w:val="808080"/>
        </w:rPr>
      </w:pPr>
      <w:r w:rsidRPr="00FA0D37">
        <w:rPr>
          <w:color w:val="808080"/>
        </w:rPr>
        <w:t>-- TAG-MEASUREMENTREPORT-START</w:t>
      </w:r>
    </w:p>
    <w:p w14:paraId="476DB0C3" w14:textId="77777777" w:rsidR="00394471" w:rsidRPr="00FA0D37" w:rsidRDefault="00394471" w:rsidP="00FA0D37">
      <w:pPr>
        <w:pStyle w:val="PL"/>
      </w:pPr>
    </w:p>
    <w:p w14:paraId="5622F33E" w14:textId="77777777" w:rsidR="00394471" w:rsidRPr="00FA0D37" w:rsidRDefault="00394471" w:rsidP="00FA0D37">
      <w:pPr>
        <w:pStyle w:val="PL"/>
      </w:pPr>
      <w:r w:rsidRPr="00FA0D37">
        <w:t xml:space="preserve">MeasurementReport ::=               </w:t>
      </w:r>
      <w:r w:rsidRPr="00FA0D37">
        <w:rPr>
          <w:color w:val="993366"/>
        </w:rPr>
        <w:t>SEQUENCE</w:t>
      </w:r>
      <w:r w:rsidRPr="00FA0D37">
        <w:t xml:space="preserve"> {</w:t>
      </w:r>
    </w:p>
    <w:p w14:paraId="15DA7987"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7974E803" w14:textId="77777777" w:rsidR="00394471" w:rsidRPr="00FA0D37" w:rsidRDefault="00394471" w:rsidP="00FA0D37">
      <w:pPr>
        <w:pStyle w:val="PL"/>
      </w:pPr>
      <w:r w:rsidRPr="00FA0D37">
        <w:t xml:space="preserve">        measurementReport                   MeasurementReport-IEs,</w:t>
      </w:r>
    </w:p>
    <w:p w14:paraId="14F5AF3B"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305032E4" w14:textId="77777777" w:rsidR="00394471" w:rsidRPr="00FA0D37" w:rsidRDefault="00394471" w:rsidP="00FA0D37">
      <w:pPr>
        <w:pStyle w:val="PL"/>
      </w:pPr>
      <w:r w:rsidRPr="00FA0D37">
        <w:t xml:space="preserve">    }</w:t>
      </w:r>
    </w:p>
    <w:p w14:paraId="0FBD211C" w14:textId="77777777" w:rsidR="00394471" w:rsidRPr="00FA0D37" w:rsidRDefault="00394471" w:rsidP="00FA0D37">
      <w:pPr>
        <w:pStyle w:val="PL"/>
      </w:pPr>
      <w:r w:rsidRPr="00FA0D37">
        <w:t>}</w:t>
      </w:r>
    </w:p>
    <w:p w14:paraId="65ABDF33" w14:textId="77777777" w:rsidR="00394471" w:rsidRPr="00FA0D37" w:rsidRDefault="00394471" w:rsidP="00FA0D37">
      <w:pPr>
        <w:pStyle w:val="PL"/>
      </w:pPr>
    </w:p>
    <w:p w14:paraId="0D9E91EE" w14:textId="77777777" w:rsidR="00394471" w:rsidRPr="00FA0D37" w:rsidRDefault="00394471" w:rsidP="00FA0D37">
      <w:pPr>
        <w:pStyle w:val="PL"/>
      </w:pPr>
      <w:r w:rsidRPr="00FA0D37">
        <w:t xml:space="preserve">MeasurementReport-IEs ::=           </w:t>
      </w:r>
      <w:r w:rsidRPr="00FA0D37">
        <w:rPr>
          <w:color w:val="993366"/>
        </w:rPr>
        <w:t>SEQUENCE</w:t>
      </w:r>
      <w:r w:rsidRPr="00FA0D37">
        <w:t xml:space="preserve"> {</w:t>
      </w:r>
    </w:p>
    <w:p w14:paraId="1751083E" w14:textId="77777777" w:rsidR="00394471" w:rsidRPr="00FA0D37" w:rsidRDefault="00394471" w:rsidP="00FA0D37">
      <w:pPr>
        <w:pStyle w:val="PL"/>
      </w:pPr>
      <w:r w:rsidRPr="00FA0D37">
        <w:t xml:space="preserve">    measResults                         MeasResults,</w:t>
      </w:r>
    </w:p>
    <w:p w14:paraId="1AB5EF85" w14:textId="77777777" w:rsidR="00394471" w:rsidRPr="00FA0D37" w:rsidRDefault="00394471" w:rsidP="00FA0D37">
      <w:pPr>
        <w:pStyle w:val="PL"/>
      </w:pPr>
    </w:p>
    <w:p w14:paraId="50B26F3F"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862AAFC"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2C46835A" w14:textId="77777777" w:rsidR="00394471" w:rsidRPr="00FA0D37" w:rsidRDefault="00394471" w:rsidP="00FA0D37">
      <w:pPr>
        <w:pStyle w:val="PL"/>
      </w:pPr>
      <w:r w:rsidRPr="00FA0D37">
        <w:t>}</w:t>
      </w:r>
    </w:p>
    <w:p w14:paraId="2829EC90" w14:textId="77777777" w:rsidR="00394471" w:rsidRPr="00FA0D37" w:rsidRDefault="00394471" w:rsidP="00FA0D37">
      <w:pPr>
        <w:pStyle w:val="PL"/>
      </w:pPr>
    </w:p>
    <w:p w14:paraId="6B65141F" w14:textId="77777777" w:rsidR="00394471" w:rsidRPr="00FA0D37" w:rsidRDefault="00394471" w:rsidP="00FA0D37">
      <w:pPr>
        <w:pStyle w:val="PL"/>
        <w:rPr>
          <w:color w:val="808080"/>
        </w:rPr>
      </w:pPr>
      <w:r w:rsidRPr="00FA0D37">
        <w:rPr>
          <w:color w:val="808080"/>
        </w:rPr>
        <w:t>-- TAG-MEASUREMENTREPORT-STOP</w:t>
      </w:r>
    </w:p>
    <w:p w14:paraId="1FC1D1DD" w14:textId="77777777" w:rsidR="00394471" w:rsidRPr="00FA0D37" w:rsidRDefault="00394471" w:rsidP="00FA0D37">
      <w:pPr>
        <w:pStyle w:val="PL"/>
        <w:rPr>
          <w:color w:val="808080"/>
        </w:rPr>
      </w:pPr>
      <w:r w:rsidRPr="00FA0D37">
        <w:rPr>
          <w:color w:val="808080"/>
        </w:rPr>
        <w:t>-- ASN1STOP</w:t>
      </w:r>
    </w:p>
    <w:p w14:paraId="699CD4A3" w14:textId="2A43EB1A" w:rsidR="00394471" w:rsidRPr="00FA0D37" w:rsidRDefault="00394471" w:rsidP="00394471"/>
    <w:p w14:paraId="4F96ABA7" w14:textId="77777777" w:rsidR="00811135" w:rsidRPr="00FA0D37" w:rsidRDefault="00811135" w:rsidP="00811135">
      <w:pPr>
        <w:pStyle w:val="4"/>
        <w:rPr>
          <w:rFonts w:eastAsia="MS Mincho"/>
        </w:rPr>
      </w:pPr>
      <w:bookmarkStart w:id="588" w:name="_Toc146781138"/>
      <w:r w:rsidRPr="00FA0D37">
        <w:rPr>
          <w:rFonts w:eastAsia="MS Mincho"/>
        </w:rPr>
        <w:t>–</w:t>
      </w:r>
      <w:r w:rsidRPr="00FA0D37">
        <w:rPr>
          <w:rFonts w:eastAsia="MS Mincho"/>
        </w:rPr>
        <w:tab/>
      </w:r>
      <w:r w:rsidRPr="00FA0D37">
        <w:rPr>
          <w:rFonts w:eastAsia="MS Mincho"/>
          <w:i/>
        </w:rPr>
        <w:t>MeasurementReportAppLayer</w:t>
      </w:r>
      <w:bookmarkEnd w:id="588"/>
    </w:p>
    <w:p w14:paraId="6243F5EA" w14:textId="77777777" w:rsidR="00811135" w:rsidRPr="00FA0D37" w:rsidRDefault="00811135" w:rsidP="00811135">
      <w:pPr>
        <w:rPr>
          <w:rFonts w:eastAsia="MS Mincho"/>
        </w:rPr>
      </w:pPr>
      <w:r w:rsidRPr="00FA0D37">
        <w:t xml:space="preserve">The </w:t>
      </w:r>
      <w:r w:rsidRPr="00FA0D37">
        <w:rPr>
          <w:i/>
        </w:rPr>
        <w:t>MeasurementReportAppLayer</w:t>
      </w:r>
      <w:r w:rsidRPr="00FA0D37">
        <w:t xml:space="preserve"> message is used for sending application layer measurement report.</w:t>
      </w:r>
    </w:p>
    <w:p w14:paraId="643E0073" w14:textId="77777777" w:rsidR="00811135" w:rsidRPr="00FA0D37" w:rsidRDefault="00811135" w:rsidP="00811135">
      <w:pPr>
        <w:pStyle w:val="B1"/>
      </w:pPr>
      <w:r w:rsidRPr="00FA0D37">
        <w:t>Signalling radio bearer: SRB4</w:t>
      </w:r>
    </w:p>
    <w:p w14:paraId="39A431F1" w14:textId="77777777" w:rsidR="00811135" w:rsidRPr="00FA0D37" w:rsidRDefault="00811135" w:rsidP="00811135">
      <w:pPr>
        <w:pStyle w:val="B1"/>
      </w:pPr>
      <w:r w:rsidRPr="00FA0D37">
        <w:t>RLC-SAP: AM</w:t>
      </w:r>
    </w:p>
    <w:p w14:paraId="6B1CAF2F" w14:textId="77777777" w:rsidR="00811135" w:rsidRPr="00FA0D37" w:rsidRDefault="00811135" w:rsidP="00811135">
      <w:pPr>
        <w:pStyle w:val="B1"/>
      </w:pPr>
      <w:r w:rsidRPr="00FA0D37">
        <w:t>Logical channel: DCCH</w:t>
      </w:r>
    </w:p>
    <w:p w14:paraId="46798699" w14:textId="77777777" w:rsidR="00811135" w:rsidRPr="00FA0D37" w:rsidRDefault="00811135" w:rsidP="00811135">
      <w:pPr>
        <w:pStyle w:val="B1"/>
      </w:pPr>
      <w:r w:rsidRPr="00FA0D37">
        <w:t xml:space="preserve">Direction: UE to </w:t>
      </w:r>
      <w:r w:rsidRPr="00FA0D37">
        <w:rPr>
          <w:lang w:eastAsia="zh-CN"/>
        </w:rPr>
        <w:t>Network</w:t>
      </w:r>
    </w:p>
    <w:p w14:paraId="3F2D8468" w14:textId="77777777" w:rsidR="00811135" w:rsidRPr="00FA0D37" w:rsidRDefault="00811135" w:rsidP="00811135">
      <w:pPr>
        <w:pStyle w:val="TH"/>
        <w:rPr>
          <w:bCs/>
          <w:i/>
          <w:iCs/>
        </w:rPr>
      </w:pPr>
      <w:r w:rsidRPr="00FA0D37">
        <w:rPr>
          <w:bCs/>
          <w:i/>
          <w:iCs/>
        </w:rPr>
        <w:t>MeasurementReportAppLayer message</w:t>
      </w:r>
    </w:p>
    <w:p w14:paraId="503D680A" w14:textId="77777777" w:rsidR="00811135" w:rsidRPr="00FA0D37" w:rsidRDefault="00811135" w:rsidP="00FA0D37">
      <w:pPr>
        <w:pStyle w:val="PL"/>
        <w:rPr>
          <w:color w:val="808080"/>
        </w:rPr>
      </w:pPr>
      <w:bookmarkStart w:id="589" w:name="_Hlk93655474"/>
      <w:r w:rsidRPr="00FA0D37">
        <w:rPr>
          <w:color w:val="808080"/>
        </w:rPr>
        <w:t>-- ASN1START</w:t>
      </w:r>
    </w:p>
    <w:p w14:paraId="5ECD34CD" w14:textId="77777777" w:rsidR="00811135" w:rsidRPr="00FA0D37" w:rsidRDefault="00811135" w:rsidP="00FA0D37">
      <w:pPr>
        <w:pStyle w:val="PL"/>
        <w:rPr>
          <w:color w:val="808080"/>
        </w:rPr>
      </w:pPr>
      <w:r w:rsidRPr="00FA0D37">
        <w:rPr>
          <w:color w:val="808080"/>
        </w:rPr>
        <w:t>-- TAG-MEASUREMENTREPORTAPPLAYER-START</w:t>
      </w:r>
    </w:p>
    <w:p w14:paraId="016F8F44" w14:textId="77777777" w:rsidR="00811135" w:rsidRPr="00FA0D37" w:rsidRDefault="00811135" w:rsidP="00FA0D37">
      <w:pPr>
        <w:pStyle w:val="PL"/>
      </w:pPr>
    </w:p>
    <w:p w14:paraId="2FD7E1AC" w14:textId="00D5B62A" w:rsidR="00811135" w:rsidRPr="00FA0D37" w:rsidRDefault="00811135" w:rsidP="00FA0D37">
      <w:pPr>
        <w:pStyle w:val="PL"/>
      </w:pPr>
      <w:bookmarkStart w:id="590" w:name="_Hlk71014841"/>
      <w:r w:rsidRPr="00FA0D37">
        <w:t xml:space="preserve">MeasurementReportAppLayer-r17 ::=     </w:t>
      </w:r>
      <w:r w:rsidRPr="00FA0D37">
        <w:rPr>
          <w:color w:val="993366"/>
        </w:rPr>
        <w:t>SEQUENCE</w:t>
      </w:r>
      <w:r w:rsidRPr="00FA0D37">
        <w:t xml:space="preserve"> {</w:t>
      </w:r>
    </w:p>
    <w:p w14:paraId="07F93F48" w14:textId="77777777" w:rsidR="00811135" w:rsidRPr="00FA0D37" w:rsidRDefault="00811135" w:rsidP="00FA0D37">
      <w:pPr>
        <w:pStyle w:val="PL"/>
      </w:pPr>
      <w:r w:rsidRPr="00FA0D37">
        <w:lastRenderedPageBreak/>
        <w:t xml:space="preserve">    criticalExtensions                    </w:t>
      </w:r>
      <w:r w:rsidRPr="00FA0D37">
        <w:rPr>
          <w:color w:val="993366"/>
        </w:rPr>
        <w:t>CHOICE</w:t>
      </w:r>
      <w:r w:rsidRPr="00FA0D37">
        <w:t xml:space="preserve"> {</w:t>
      </w:r>
    </w:p>
    <w:p w14:paraId="7FFD6A2F" w14:textId="5A72BB17" w:rsidR="00811135" w:rsidRPr="00FA0D37" w:rsidRDefault="00811135" w:rsidP="00FA0D37">
      <w:pPr>
        <w:pStyle w:val="PL"/>
      </w:pPr>
      <w:r w:rsidRPr="00FA0D37">
        <w:t xml:space="preserve">        </w:t>
      </w:r>
      <w:r w:rsidR="00967A72" w:rsidRPr="00FA0D37">
        <w:t>measurementReportAppLayer</w:t>
      </w:r>
      <w:r w:rsidRPr="00FA0D37">
        <w:t>-r17     MeasurementReportAppLayer-r17-IEs,</w:t>
      </w:r>
    </w:p>
    <w:p w14:paraId="37DF7809" w14:textId="77777777" w:rsidR="00811135" w:rsidRPr="00FA0D37" w:rsidRDefault="00811135" w:rsidP="00FA0D37">
      <w:pPr>
        <w:pStyle w:val="PL"/>
      </w:pPr>
      <w:r w:rsidRPr="00FA0D37">
        <w:t xml:space="preserve">        criticalExtensionsFuture              </w:t>
      </w:r>
      <w:r w:rsidRPr="00FA0D37">
        <w:rPr>
          <w:color w:val="993366"/>
        </w:rPr>
        <w:t>SEQUENCE</w:t>
      </w:r>
      <w:r w:rsidRPr="00FA0D37">
        <w:t xml:space="preserve"> {}</w:t>
      </w:r>
    </w:p>
    <w:p w14:paraId="130CC32B" w14:textId="77777777" w:rsidR="00811135" w:rsidRPr="00FA0D37" w:rsidRDefault="00811135" w:rsidP="00FA0D37">
      <w:pPr>
        <w:pStyle w:val="PL"/>
      </w:pPr>
      <w:r w:rsidRPr="00FA0D37">
        <w:t xml:space="preserve">    }</w:t>
      </w:r>
    </w:p>
    <w:p w14:paraId="17F8A6D7" w14:textId="77777777" w:rsidR="00424A58" w:rsidRPr="00FA0D37" w:rsidRDefault="00811135" w:rsidP="00FA0D37">
      <w:pPr>
        <w:pStyle w:val="PL"/>
      </w:pPr>
      <w:r w:rsidRPr="00FA0D37">
        <w:t>}</w:t>
      </w:r>
    </w:p>
    <w:p w14:paraId="392548F1" w14:textId="66035FA3" w:rsidR="00424A58" w:rsidRPr="00FA0D37" w:rsidRDefault="00424A58" w:rsidP="00FA0D37">
      <w:pPr>
        <w:pStyle w:val="PL"/>
      </w:pPr>
    </w:p>
    <w:p w14:paraId="19FBA787" w14:textId="43301AA0" w:rsidR="00967A72" w:rsidRPr="00FA0D37" w:rsidRDefault="00967A72" w:rsidP="00FA0D37">
      <w:pPr>
        <w:pStyle w:val="PL"/>
      </w:pPr>
      <w:r w:rsidRPr="00FA0D37">
        <w:t xml:space="preserve">MeasurementReportAppLayer-r17-IEs ::=   </w:t>
      </w:r>
      <w:r w:rsidRPr="00FA0D37">
        <w:rPr>
          <w:color w:val="993366"/>
        </w:rPr>
        <w:t>SEQUENCE</w:t>
      </w:r>
      <w:r w:rsidRPr="00FA0D37">
        <w:t xml:space="preserve"> {</w:t>
      </w:r>
    </w:p>
    <w:p w14:paraId="6656B82A" w14:textId="77777777" w:rsidR="00967A72" w:rsidRPr="00FA0D37" w:rsidRDefault="00967A72" w:rsidP="00FA0D37">
      <w:pPr>
        <w:pStyle w:val="PL"/>
      </w:pPr>
      <w:r w:rsidRPr="00FA0D37">
        <w:t xml:space="preserve">    measurementReportAppLayerList-r17       MeasurementReportAppLayerList-r17,</w:t>
      </w:r>
    </w:p>
    <w:p w14:paraId="27E40019" w14:textId="78AB30F5" w:rsidR="00967A72" w:rsidRPr="00FA0D37" w:rsidRDefault="00967A72"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70E47494" w14:textId="4F531FCE" w:rsidR="00967A72" w:rsidRPr="00FA0D37" w:rsidRDefault="00967A72"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2A78E986" w14:textId="02AB043B" w:rsidR="00967A72" w:rsidRPr="00FA0D37" w:rsidRDefault="00967A72" w:rsidP="00FA0D37">
      <w:pPr>
        <w:pStyle w:val="PL"/>
      </w:pPr>
      <w:r w:rsidRPr="00FA0D37">
        <w:t>}</w:t>
      </w:r>
    </w:p>
    <w:p w14:paraId="75CDF3BE" w14:textId="77777777" w:rsidR="00967A72" w:rsidRPr="00FA0D37" w:rsidRDefault="00967A72" w:rsidP="00FA0D37">
      <w:pPr>
        <w:pStyle w:val="PL"/>
      </w:pPr>
    </w:p>
    <w:p w14:paraId="6BA8108D" w14:textId="1B9C1A1C" w:rsidR="00811135" w:rsidRPr="00FA0D37" w:rsidRDefault="00424A58" w:rsidP="00FA0D37">
      <w:pPr>
        <w:pStyle w:val="PL"/>
      </w:pPr>
      <w:r w:rsidRPr="00FA0D37">
        <w:t xml:space="preserve">MeasurementReportAppLayerList-r17 ::= </w:t>
      </w:r>
      <w:r w:rsidRPr="00FA0D37">
        <w:rPr>
          <w:color w:val="993366"/>
        </w:rPr>
        <w:t>SEQUENCE</w:t>
      </w:r>
      <w:r w:rsidRPr="00FA0D37">
        <w:t xml:space="preserve"> (</w:t>
      </w:r>
      <w:r w:rsidRPr="00FA0D37">
        <w:rPr>
          <w:color w:val="993366"/>
        </w:rPr>
        <w:t>SIZE</w:t>
      </w:r>
      <w:r w:rsidRPr="00FA0D37">
        <w:t xml:space="preserve"> (1..maxNrofAppLayerMeas-r17))</w:t>
      </w:r>
      <w:r w:rsidRPr="00FA0D37">
        <w:rPr>
          <w:color w:val="993366"/>
        </w:rPr>
        <w:t xml:space="preserve"> OF</w:t>
      </w:r>
      <w:r w:rsidRPr="00FA0D37">
        <w:t xml:space="preserve"> MeasReportAppLayer-r17</w:t>
      </w:r>
    </w:p>
    <w:p w14:paraId="298FD973" w14:textId="77777777" w:rsidR="00811135" w:rsidRPr="00FA0D37" w:rsidRDefault="00811135" w:rsidP="00FA0D37">
      <w:pPr>
        <w:pStyle w:val="PL"/>
      </w:pPr>
    </w:p>
    <w:p w14:paraId="0E95DDBB" w14:textId="65118118" w:rsidR="00811135" w:rsidRPr="00FA0D37" w:rsidRDefault="00811135" w:rsidP="00FA0D37">
      <w:pPr>
        <w:pStyle w:val="PL"/>
      </w:pPr>
      <w:r w:rsidRPr="00FA0D37">
        <w:t xml:space="preserve">MeasReportAppLayer-r17 ::= </w:t>
      </w:r>
      <w:r w:rsidR="00967A72" w:rsidRPr="00FA0D37">
        <w:t xml:space="preserve">       </w:t>
      </w:r>
      <w:r w:rsidRPr="00FA0D37">
        <w:rPr>
          <w:color w:val="993366"/>
        </w:rPr>
        <w:t>SEQUENCE</w:t>
      </w:r>
      <w:r w:rsidRPr="00FA0D37">
        <w:t xml:space="preserve"> {</w:t>
      </w:r>
    </w:p>
    <w:p w14:paraId="26681751" w14:textId="693945CB" w:rsidR="00811135" w:rsidRPr="00FA0D37" w:rsidRDefault="0046275D" w:rsidP="00FA0D37">
      <w:pPr>
        <w:pStyle w:val="PL"/>
      </w:pPr>
      <w:r w:rsidRPr="00FA0D37">
        <w:t xml:space="preserve">    </w:t>
      </w:r>
      <w:r w:rsidR="00811135" w:rsidRPr="00FA0D37">
        <w:t>measConfigAppLayerId-r17              MeasConfigAppLayerId-r17,</w:t>
      </w:r>
    </w:p>
    <w:p w14:paraId="025343BD" w14:textId="3D9D5E66" w:rsidR="00811135" w:rsidRPr="00FA0D37" w:rsidRDefault="0046275D" w:rsidP="00FA0D37">
      <w:pPr>
        <w:pStyle w:val="PL"/>
      </w:pPr>
      <w:r w:rsidRPr="00FA0D37">
        <w:t xml:space="preserve">    </w:t>
      </w:r>
      <w:r w:rsidR="00811135" w:rsidRPr="00FA0D37">
        <w:t>measReportAppLayerContainer-r17</w:t>
      </w:r>
      <w:r w:rsidRPr="00FA0D37">
        <w:t xml:space="preserve"> </w:t>
      </w:r>
      <w:r w:rsidR="00015613" w:rsidRPr="00FA0D37">
        <w:t xml:space="preserve">      </w:t>
      </w:r>
      <w:r w:rsidR="00811135" w:rsidRPr="00FA0D37">
        <w:rPr>
          <w:color w:val="993366"/>
        </w:rPr>
        <w:t>OCTET</w:t>
      </w:r>
      <w:r w:rsidR="00811135" w:rsidRPr="00FA0D37">
        <w:t xml:space="preserve"> </w:t>
      </w:r>
      <w:r w:rsidR="00811135" w:rsidRPr="00FA0D37">
        <w:rPr>
          <w:color w:val="993366"/>
        </w:rPr>
        <w:t>STRING</w:t>
      </w:r>
      <w:r w:rsidR="00811135" w:rsidRPr="00FA0D37">
        <w:t xml:space="preserve">                                                            </w:t>
      </w:r>
      <w:r w:rsidR="00424A58" w:rsidRPr="00FA0D37">
        <w:t xml:space="preserve"> </w:t>
      </w:r>
      <w:r w:rsidR="00811135" w:rsidRPr="00FA0D37">
        <w:rPr>
          <w:color w:val="993366"/>
        </w:rPr>
        <w:t>OPTIONAL</w:t>
      </w:r>
      <w:r w:rsidR="00811135" w:rsidRPr="00FA0D37">
        <w:t>,</w:t>
      </w:r>
    </w:p>
    <w:p w14:paraId="4F5A5DCF" w14:textId="642DBB49" w:rsidR="00811135" w:rsidRPr="00FA0D37" w:rsidRDefault="00811135" w:rsidP="00FA0D37">
      <w:pPr>
        <w:pStyle w:val="PL"/>
      </w:pPr>
      <w:r w:rsidRPr="00FA0D37">
        <w:t xml:space="preserve">    appLayerSessionStatus-r17     </w:t>
      </w:r>
      <w:r w:rsidR="00015613" w:rsidRPr="00FA0D37">
        <w:t xml:space="preserve">        </w:t>
      </w:r>
      <w:r w:rsidRPr="00FA0D37">
        <w:rPr>
          <w:color w:val="993366"/>
        </w:rPr>
        <w:t>ENUMERATED</w:t>
      </w:r>
      <w:r w:rsidRPr="00FA0D37">
        <w:t xml:space="preserve"> {start, stop}                  </w:t>
      </w:r>
      <w:r w:rsidR="0046275D" w:rsidRPr="00FA0D37">
        <w:t xml:space="preserve"> </w:t>
      </w:r>
      <w:r w:rsidRPr="00FA0D37">
        <w:t xml:space="preserve">                         </w:t>
      </w:r>
      <w:r w:rsidR="00156D01" w:rsidRPr="00FA0D37">
        <w:t xml:space="preserve">     </w:t>
      </w:r>
      <w:r w:rsidRPr="00FA0D37">
        <w:rPr>
          <w:color w:val="993366"/>
        </w:rPr>
        <w:t>OPTIONAL</w:t>
      </w:r>
      <w:r w:rsidRPr="00FA0D37">
        <w:t>,</w:t>
      </w:r>
    </w:p>
    <w:p w14:paraId="58CDB839" w14:textId="6B925420" w:rsidR="00811135" w:rsidRPr="00FA0D37" w:rsidRDefault="0046275D" w:rsidP="00FA0D37">
      <w:pPr>
        <w:pStyle w:val="PL"/>
      </w:pPr>
      <w:r w:rsidRPr="00FA0D37">
        <w:t xml:space="preserve">    </w:t>
      </w:r>
      <w:r w:rsidR="00811135" w:rsidRPr="00FA0D37">
        <w:t>ran-VisibleMeasurements-r17</w:t>
      </w:r>
      <w:r w:rsidRPr="00FA0D37">
        <w:t xml:space="preserve">    </w:t>
      </w:r>
      <w:r w:rsidR="00811135" w:rsidRPr="00FA0D37">
        <w:t xml:space="preserve">    </w:t>
      </w:r>
      <w:r w:rsidRPr="00FA0D37">
        <w:t xml:space="preserve">   </w:t>
      </w:r>
      <w:r w:rsidR="00811135" w:rsidRPr="00FA0D37">
        <w:t xml:space="preserve">RAN-VisibleMeasurements-r17                     </w:t>
      </w:r>
      <w:r w:rsidRPr="00FA0D37">
        <w:t xml:space="preserve"> </w:t>
      </w:r>
      <w:r w:rsidR="00811135" w:rsidRPr="00FA0D37">
        <w:t xml:space="preserve">                        </w:t>
      </w:r>
      <w:r w:rsidR="00811135" w:rsidRPr="00FA0D37">
        <w:rPr>
          <w:color w:val="993366"/>
        </w:rPr>
        <w:t>OPTIONAL</w:t>
      </w:r>
    </w:p>
    <w:p w14:paraId="3C8BFC07" w14:textId="77777777" w:rsidR="00811135" w:rsidRPr="00FA0D37" w:rsidRDefault="00811135" w:rsidP="00FA0D37">
      <w:pPr>
        <w:pStyle w:val="PL"/>
      </w:pPr>
      <w:r w:rsidRPr="00FA0D37">
        <w:t>}</w:t>
      </w:r>
    </w:p>
    <w:p w14:paraId="61506AD0" w14:textId="77777777" w:rsidR="00811135" w:rsidRPr="00FA0D37" w:rsidRDefault="00811135" w:rsidP="00FA0D37">
      <w:pPr>
        <w:pStyle w:val="PL"/>
      </w:pPr>
    </w:p>
    <w:p w14:paraId="651E9855" w14:textId="77777777" w:rsidR="00811135" w:rsidRPr="00FA0D37" w:rsidRDefault="00811135" w:rsidP="00FA0D37">
      <w:pPr>
        <w:pStyle w:val="PL"/>
      </w:pPr>
      <w:r w:rsidRPr="00FA0D37">
        <w:t xml:space="preserve">RAN-VisibleMeasurements-r17 ::=       </w:t>
      </w:r>
      <w:r w:rsidRPr="00FA0D37">
        <w:rPr>
          <w:color w:val="993366"/>
        </w:rPr>
        <w:t>SEQUENCE</w:t>
      </w:r>
      <w:r w:rsidRPr="00FA0D37">
        <w:t xml:space="preserve"> {</w:t>
      </w:r>
    </w:p>
    <w:p w14:paraId="61C6EEDC" w14:textId="143B864E" w:rsidR="00811135" w:rsidRPr="00FA0D37" w:rsidRDefault="00811135" w:rsidP="00FA0D37">
      <w:pPr>
        <w:pStyle w:val="PL"/>
      </w:pPr>
      <w:r w:rsidRPr="00FA0D37">
        <w:t xml:space="preserve">    appLayerBufferLevelList-r17   </w:t>
      </w:r>
      <w:r w:rsidR="00424A58" w:rsidRPr="00FA0D37">
        <w:t xml:space="preserve">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AppLayerBufferLevel</w:t>
      </w:r>
      <w:r w:rsidR="00E46ADC" w:rsidRPr="00FA0D37">
        <w:t>-r17</w:t>
      </w:r>
      <w:r w:rsidRPr="00FA0D37">
        <w:t xml:space="preserve">                 </w:t>
      </w:r>
      <w:r w:rsidR="0046275D" w:rsidRPr="00FA0D37">
        <w:t xml:space="preserve"> </w:t>
      </w:r>
      <w:r w:rsidRPr="00FA0D37">
        <w:t xml:space="preserve">  </w:t>
      </w:r>
      <w:r w:rsidR="00E46ADC" w:rsidRPr="00FA0D37">
        <w:t xml:space="preserve">    </w:t>
      </w:r>
      <w:r w:rsidRPr="00FA0D37">
        <w:rPr>
          <w:color w:val="993366"/>
        </w:rPr>
        <w:t>OPTIONAL</w:t>
      </w:r>
      <w:r w:rsidRPr="00FA0D37">
        <w:t>,</w:t>
      </w:r>
    </w:p>
    <w:p w14:paraId="27C66309" w14:textId="269D9F0C" w:rsidR="00811135" w:rsidRPr="00FA0D37" w:rsidRDefault="00811135" w:rsidP="00FA0D37">
      <w:pPr>
        <w:pStyle w:val="PL"/>
      </w:pPr>
      <w:r w:rsidRPr="00FA0D37">
        <w:t xml:space="preserve">    </w:t>
      </w:r>
      <w:r w:rsidR="00424A58" w:rsidRPr="00FA0D37">
        <w:t>p</w:t>
      </w:r>
      <w:r w:rsidRPr="00FA0D37">
        <w:t>layoutDelay</w:t>
      </w:r>
      <w:r w:rsidR="00424A58" w:rsidRPr="00FA0D37">
        <w:t>ForMediaStartup</w:t>
      </w:r>
      <w:r w:rsidRPr="00FA0D37">
        <w:t xml:space="preserve">-r17       </w:t>
      </w:r>
      <w:r w:rsidRPr="00FA0D37">
        <w:rPr>
          <w:color w:val="993366"/>
        </w:rPr>
        <w:t>INTEGER</w:t>
      </w:r>
      <w:r w:rsidRPr="00FA0D37">
        <w:t xml:space="preserve"> (0..30000)                                                   </w:t>
      </w:r>
      <w:r w:rsidR="0046275D" w:rsidRPr="00FA0D37">
        <w:t xml:space="preserve"> </w:t>
      </w:r>
      <w:r w:rsidRPr="00FA0D37">
        <w:t xml:space="preserve">   </w:t>
      </w:r>
      <w:r w:rsidRPr="00FA0D37">
        <w:rPr>
          <w:color w:val="993366"/>
        </w:rPr>
        <w:t>OPTIONAL</w:t>
      </w:r>
      <w:r w:rsidRPr="00FA0D37">
        <w:t>,</w:t>
      </w:r>
    </w:p>
    <w:p w14:paraId="00D22671" w14:textId="5CE565AE" w:rsidR="00811135" w:rsidRPr="00FA0D37" w:rsidRDefault="00811135" w:rsidP="00FA0D37">
      <w:pPr>
        <w:pStyle w:val="PL"/>
      </w:pPr>
      <w:r w:rsidRPr="00FA0D37">
        <w:t xml:space="preserve">    pdu-SessionIdList-r17                 </w:t>
      </w:r>
      <w:r w:rsidRPr="00FA0D37">
        <w:rPr>
          <w:color w:val="993366"/>
        </w:rPr>
        <w:t>SEQUENCE</w:t>
      </w:r>
      <w:r w:rsidRPr="00FA0D37">
        <w:t xml:space="preserve"> (</w:t>
      </w:r>
      <w:r w:rsidRPr="00FA0D37">
        <w:rPr>
          <w:color w:val="993366"/>
        </w:rPr>
        <w:t>SIZE</w:t>
      </w:r>
      <w:r w:rsidRPr="00FA0D37">
        <w:t xml:space="preserve"> (1..maxNrofPDU-Sessions-r17))</w:t>
      </w:r>
      <w:r w:rsidRPr="00FA0D37">
        <w:rPr>
          <w:color w:val="993366"/>
        </w:rPr>
        <w:t xml:space="preserve"> OF</w:t>
      </w:r>
      <w:r w:rsidRPr="00FA0D37">
        <w:t xml:space="preserve"> PDU-SessionID       </w:t>
      </w:r>
      <w:r w:rsidR="0046275D" w:rsidRPr="00FA0D37">
        <w:t xml:space="preserve"> </w:t>
      </w:r>
      <w:r w:rsidRPr="00FA0D37">
        <w:t xml:space="preserve">    </w:t>
      </w:r>
      <w:r w:rsidRPr="00FA0D37">
        <w:rPr>
          <w:color w:val="993366"/>
        </w:rPr>
        <w:t>OPTIONAL</w:t>
      </w:r>
      <w:r w:rsidRPr="00FA0D37">
        <w:t>,</w:t>
      </w:r>
    </w:p>
    <w:p w14:paraId="19196C2F" w14:textId="77777777" w:rsidR="00811135" w:rsidRPr="00FA0D37" w:rsidRDefault="00811135" w:rsidP="00FA0D37">
      <w:pPr>
        <w:pStyle w:val="PL"/>
      </w:pPr>
      <w:r w:rsidRPr="00FA0D37">
        <w:t xml:space="preserve">    ...</w:t>
      </w:r>
    </w:p>
    <w:p w14:paraId="7F580437" w14:textId="77777777" w:rsidR="00811135" w:rsidRPr="00FA0D37" w:rsidRDefault="00811135" w:rsidP="00FA0D37">
      <w:pPr>
        <w:pStyle w:val="PL"/>
      </w:pPr>
      <w:r w:rsidRPr="00FA0D37">
        <w:t>}</w:t>
      </w:r>
    </w:p>
    <w:p w14:paraId="6EA69FB6" w14:textId="77777777" w:rsidR="00811135" w:rsidRPr="00FA0D37" w:rsidRDefault="00811135" w:rsidP="00FA0D37">
      <w:pPr>
        <w:pStyle w:val="PL"/>
      </w:pPr>
    </w:p>
    <w:p w14:paraId="0949F6BE" w14:textId="52C3489E" w:rsidR="00811135" w:rsidRPr="00FA0D37" w:rsidRDefault="00811135" w:rsidP="00FA0D37">
      <w:pPr>
        <w:pStyle w:val="PL"/>
      </w:pPr>
      <w:r w:rsidRPr="00FA0D37">
        <w:t>AppLayerBufferLevel</w:t>
      </w:r>
      <w:r w:rsidR="00E46ADC" w:rsidRPr="00FA0D37">
        <w:t>-r17</w:t>
      </w:r>
      <w:r w:rsidRPr="00FA0D37">
        <w:t xml:space="preserve"> ::= </w:t>
      </w:r>
      <w:r w:rsidRPr="00FA0D37">
        <w:rPr>
          <w:color w:val="993366"/>
        </w:rPr>
        <w:t>INTEGER</w:t>
      </w:r>
      <w:r w:rsidRPr="00FA0D37">
        <w:t xml:space="preserve"> (0..30000)</w:t>
      </w:r>
    </w:p>
    <w:bookmarkEnd w:id="590"/>
    <w:p w14:paraId="758B809B" w14:textId="77777777" w:rsidR="00811135" w:rsidRPr="00FA0D37" w:rsidRDefault="00811135" w:rsidP="00FA0D37">
      <w:pPr>
        <w:pStyle w:val="PL"/>
      </w:pPr>
    </w:p>
    <w:p w14:paraId="03D1B33F" w14:textId="77777777" w:rsidR="00811135" w:rsidRPr="00FA0D37" w:rsidRDefault="00811135" w:rsidP="00FA0D37">
      <w:pPr>
        <w:pStyle w:val="PL"/>
        <w:rPr>
          <w:color w:val="808080"/>
        </w:rPr>
      </w:pPr>
      <w:r w:rsidRPr="00FA0D37">
        <w:rPr>
          <w:color w:val="808080"/>
        </w:rPr>
        <w:t>-- TAG-MEASUREMENTREPORTAPPLAYER-STOP</w:t>
      </w:r>
    </w:p>
    <w:p w14:paraId="1ED631F5" w14:textId="77777777" w:rsidR="00811135" w:rsidRPr="00FA0D37" w:rsidRDefault="00811135" w:rsidP="00FA0D37">
      <w:pPr>
        <w:pStyle w:val="PL"/>
        <w:rPr>
          <w:color w:val="808080"/>
        </w:rPr>
      </w:pPr>
      <w:r w:rsidRPr="00FA0D37">
        <w:rPr>
          <w:color w:val="808080"/>
        </w:rPr>
        <w:t>-- ASN1STOP</w:t>
      </w:r>
    </w:p>
    <w:bookmarkEnd w:id="589"/>
    <w:p w14:paraId="1A475514" w14:textId="77777777" w:rsidR="00811135" w:rsidRPr="00FA0D37" w:rsidRDefault="00811135" w:rsidP="00811135"/>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5C7FF4" w:rsidRPr="00FA0D37" w14:paraId="7E1F4E42" w14:textId="77777777" w:rsidTr="00771058">
        <w:tc>
          <w:tcPr>
            <w:tcW w:w="14132" w:type="dxa"/>
            <w:tcBorders>
              <w:top w:val="single" w:sz="4" w:space="0" w:color="auto"/>
              <w:left w:val="single" w:sz="4" w:space="0" w:color="auto"/>
              <w:bottom w:val="single" w:sz="4" w:space="0" w:color="auto"/>
              <w:right w:val="single" w:sz="4" w:space="0" w:color="auto"/>
            </w:tcBorders>
          </w:tcPr>
          <w:p w14:paraId="3D97A846" w14:textId="7D32BE7C" w:rsidR="00811135" w:rsidRPr="00FA0D37" w:rsidRDefault="00811135" w:rsidP="00771058">
            <w:pPr>
              <w:pStyle w:val="TAH"/>
              <w:rPr>
                <w:szCs w:val="22"/>
                <w:lang w:eastAsia="sv-SE"/>
              </w:rPr>
            </w:pPr>
            <w:bookmarkStart w:id="591" w:name="_Hlk97750444"/>
            <w:r w:rsidRPr="00FA0D37">
              <w:rPr>
                <w:i/>
                <w:szCs w:val="22"/>
                <w:lang w:eastAsia="sv-SE"/>
              </w:rPr>
              <w:t xml:space="preserve">MeasReportAppLayer </w:t>
            </w:r>
            <w:r w:rsidRPr="00FA0D37">
              <w:rPr>
                <w:szCs w:val="22"/>
                <w:lang w:eastAsia="sv-SE"/>
              </w:rPr>
              <w:t>field descriptions</w:t>
            </w:r>
          </w:p>
        </w:tc>
      </w:tr>
      <w:tr w:rsidR="005C7FF4" w:rsidRPr="00FA0D37" w14:paraId="585EDA4A" w14:textId="77777777" w:rsidTr="00771058">
        <w:tc>
          <w:tcPr>
            <w:tcW w:w="14132" w:type="dxa"/>
            <w:tcBorders>
              <w:top w:val="single" w:sz="4" w:space="0" w:color="auto"/>
              <w:left w:val="single" w:sz="4" w:space="0" w:color="auto"/>
              <w:bottom w:val="single" w:sz="4" w:space="0" w:color="auto"/>
              <w:right w:val="single" w:sz="4" w:space="0" w:color="auto"/>
            </w:tcBorders>
          </w:tcPr>
          <w:p w14:paraId="480D4A29" w14:textId="02AAE7D8" w:rsidR="00811135" w:rsidRPr="00FA0D37" w:rsidRDefault="00811135" w:rsidP="00771058">
            <w:pPr>
              <w:pStyle w:val="TAL"/>
              <w:rPr>
                <w:b/>
                <w:i/>
                <w:szCs w:val="22"/>
                <w:lang w:eastAsia="sv-SE"/>
              </w:rPr>
            </w:pPr>
            <w:r w:rsidRPr="00FA0D37">
              <w:rPr>
                <w:b/>
                <w:i/>
                <w:szCs w:val="22"/>
                <w:lang w:eastAsia="sv-SE"/>
              </w:rPr>
              <w:t>appLayerSessionStatus</w:t>
            </w:r>
          </w:p>
          <w:p w14:paraId="40E2D053" w14:textId="4EC63CA9" w:rsidR="00811135" w:rsidRPr="00FA0D37" w:rsidRDefault="00811135" w:rsidP="00771058">
            <w:pPr>
              <w:pStyle w:val="TAL"/>
              <w:rPr>
                <w:b/>
                <w:i/>
                <w:szCs w:val="22"/>
                <w:lang w:eastAsia="sv-SE"/>
              </w:rPr>
            </w:pPr>
            <w:r w:rsidRPr="00FA0D37">
              <w:rPr>
                <w:szCs w:val="22"/>
                <w:lang w:eastAsia="sv-SE"/>
              </w:rPr>
              <w:t>Indicates that a</w:t>
            </w:r>
            <w:r w:rsidR="00424A58" w:rsidRPr="00FA0D37">
              <w:rPr>
                <w:szCs w:val="22"/>
                <w:lang w:eastAsia="sv-SE"/>
              </w:rPr>
              <w:t>n application layer measurement</w:t>
            </w:r>
            <w:r w:rsidRPr="00FA0D37">
              <w:rPr>
                <w:szCs w:val="22"/>
                <w:lang w:eastAsia="sv-SE"/>
              </w:rPr>
              <w:t xml:space="preserve"> session in the application layer starts or </w:t>
            </w:r>
            <w:r w:rsidR="00424A58" w:rsidRPr="00FA0D37">
              <w:rPr>
                <w:szCs w:val="22"/>
                <w:lang w:eastAsia="sv-SE"/>
              </w:rPr>
              <w:t>ends</w:t>
            </w:r>
            <w:r w:rsidRPr="00FA0D37">
              <w:rPr>
                <w:szCs w:val="22"/>
                <w:lang w:eastAsia="sv-SE"/>
              </w:rPr>
              <w:t>.</w:t>
            </w:r>
          </w:p>
        </w:tc>
      </w:tr>
      <w:tr w:rsidR="005C7FF4" w:rsidRPr="00FA0D37" w14:paraId="737DB2AA" w14:textId="77777777" w:rsidTr="00771058">
        <w:tc>
          <w:tcPr>
            <w:tcW w:w="14132" w:type="dxa"/>
            <w:tcBorders>
              <w:top w:val="single" w:sz="4" w:space="0" w:color="auto"/>
              <w:left w:val="single" w:sz="4" w:space="0" w:color="auto"/>
              <w:bottom w:val="single" w:sz="4" w:space="0" w:color="auto"/>
              <w:right w:val="single" w:sz="4" w:space="0" w:color="auto"/>
            </w:tcBorders>
          </w:tcPr>
          <w:p w14:paraId="18BCD68B" w14:textId="718D051C" w:rsidR="00811135" w:rsidRPr="00FA0D37" w:rsidRDefault="00811135" w:rsidP="00771058">
            <w:pPr>
              <w:pStyle w:val="TAL"/>
              <w:rPr>
                <w:b/>
                <w:i/>
                <w:szCs w:val="22"/>
                <w:lang w:eastAsia="sv-SE"/>
              </w:rPr>
            </w:pPr>
            <w:r w:rsidRPr="00FA0D37">
              <w:rPr>
                <w:b/>
                <w:i/>
                <w:szCs w:val="22"/>
                <w:lang w:eastAsia="sv-SE"/>
              </w:rPr>
              <w:t>measReportAppLayerContainer</w:t>
            </w:r>
          </w:p>
          <w:p w14:paraId="1F7F58C8" w14:textId="38FD8A21" w:rsidR="00811135" w:rsidRPr="00FA0D37" w:rsidRDefault="00811135" w:rsidP="00771058">
            <w:pPr>
              <w:pStyle w:val="TAL"/>
              <w:rPr>
                <w:szCs w:val="22"/>
                <w:lang w:eastAsia="sv-SE"/>
              </w:rPr>
            </w:pPr>
            <w:r w:rsidRPr="00FA0D37">
              <w:rPr>
                <w:szCs w:val="22"/>
                <w:lang w:eastAsia="sv-SE"/>
              </w:rPr>
              <w:t xml:space="preserve">The field contains </w:t>
            </w:r>
            <w:r w:rsidR="00DF1A5D" w:rsidRPr="00FA0D37">
              <w:rPr>
                <w:szCs w:val="22"/>
                <w:lang w:eastAsia="sv-SE"/>
              </w:rPr>
              <w:t xml:space="preserve">the </w:t>
            </w:r>
            <w:r w:rsidRPr="00FA0D37">
              <w:rPr>
                <w:szCs w:val="22"/>
                <w:lang w:eastAsia="sv-SE"/>
              </w:rPr>
              <w:t>application layer measurement</w:t>
            </w:r>
            <w:r w:rsidR="00424A58" w:rsidRPr="00FA0D37">
              <w:rPr>
                <w:szCs w:val="22"/>
                <w:lang w:eastAsia="sv-SE"/>
              </w:rPr>
              <w:t xml:space="preserve"> report</w:t>
            </w:r>
            <w:r w:rsidR="00DF1A5D" w:rsidRPr="00FA0D37">
              <w:rPr>
                <w:szCs w:val="22"/>
                <w:lang w:eastAsia="sv-SE"/>
              </w:rPr>
              <w:t xml:space="preserve"> container</w:t>
            </w:r>
            <w:r w:rsidRPr="00FA0D37">
              <w:rPr>
                <w:szCs w:val="22"/>
                <w:lang w:eastAsia="sv-SE"/>
              </w:rPr>
              <w:t xml:space="preserve">, see Annex L (normative) in TS 26.247 </w:t>
            </w:r>
            <w:r w:rsidR="001053C3" w:rsidRPr="00FA0D37">
              <w:rPr>
                <w:szCs w:val="22"/>
                <w:lang w:eastAsia="sv-SE"/>
              </w:rPr>
              <w:t>[68]</w:t>
            </w:r>
            <w:r w:rsidRPr="00FA0D37">
              <w:rPr>
                <w:szCs w:val="22"/>
                <w:lang w:eastAsia="sv-SE"/>
              </w:rPr>
              <w:t xml:space="preserve">, clause 16.5 in TS 26.114 </w:t>
            </w:r>
            <w:r w:rsidR="001053C3" w:rsidRPr="00FA0D37">
              <w:rPr>
                <w:szCs w:val="22"/>
                <w:lang w:eastAsia="sv-SE"/>
              </w:rPr>
              <w:t>[69]</w:t>
            </w:r>
            <w:r w:rsidRPr="00FA0D37">
              <w:rPr>
                <w:szCs w:val="22"/>
                <w:lang w:eastAsia="sv-SE"/>
              </w:rPr>
              <w:t xml:space="preserve"> and TS 26.118 </w:t>
            </w:r>
            <w:r w:rsidR="001053C3" w:rsidRPr="00FA0D37">
              <w:rPr>
                <w:szCs w:val="22"/>
                <w:lang w:eastAsia="sv-SE"/>
              </w:rPr>
              <w:t>[70]</w:t>
            </w:r>
            <w:r w:rsidRPr="00FA0D37">
              <w:rPr>
                <w:szCs w:val="22"/>
                <w:lang w:eastAsia="sv-SE"/>
              </w:rPr>
              <w:t>.</w:t>
            </w:r>
          </w:p>
        </w:tc>
      </w:tr>
      <w:bookmarkEnd w:id="591"/>
      <w:tr w:rsidR="00BD1021" w:rsidRPr="00FA0D37" w:rsidDel="007F176C" w14:paraId="4D91BC18" w14:textId="77777777" w:rsidTr="00BD1021">
        <w:tc>
          <w:tcPr>
            <w:tcW w:w="14132" w:type="dxa"/>
            <w:tcBorders>
              <w:top w:val="single" w:sz="4" w:space="0" w:color="auto"/>
              <w:left w:val="single" w:sz="4" w:space="0" w:color="auto"/>
              <w:bottom w:val="single" w:sz="4" w:space="0" w:color="auto"/>
              <w:right w:val="single" w:sz="4" w:space="0" w:color="auto"/>
            </w:tcBorders>
          </w:tcPr>
          <w:p w14:paraId="62E8E621" w14:textId="77777777" w:rsidR="00BD1021" w:rsidRPr="00FA0D37" w:rsidRDefault="00BD1021" w:rsidP="0071565C">
            <w:pPr>
              <w:pStyle w:val="TAL"/>
              <w:rPr>
                <w:b/>
                <w:i/>
                <w:szCs w:val="22"/>
                <w:lang w:eastAsia="sv-SE"/>
              </w:rPr>
            </w:pPr>
            <w:r w:rsidRPr="00FA0D37">
              <w:rPr>
                <w:b/>
                <w:i/>
                <w:szCs w:val="22"/>
                <w:lang w:eastAsia="sv-SE"/>
              </w:rPr>
              <w:t>ran-VisibleMeasurements</w:t>
            </w:r>
          </w:p>
          <w:p w14:paraId="1BD17567" w14:textId="70439357" w:rsidR="00BD1021" w:rsidRPr="00FA0D37" w:rsidDel="007F176C" w:rsidRDefault="00BD1021" w:rsidP="0071565C">
            <w:pPr>
              <w:pStyle w:val="TAL"/>
              <w:rPr>
                <w:bCs/>
                <w:iCs/>
                <w:szCs w:val="22"/>
                <w:lang w:eastAsia="sv-SE"/>
              </w:rPr>
            </w:pPr>
            <w:r w:rsidRPr="00FA0D37">
              <w:rPr>
                <w:bCs/>
                <w:iCs/>
                <w:szCs w:val="22"/>
                <w:lang w:eastAsia="sv-SE"/>
              </w:rPr>
              <w:t xml:space="preserve">The field contains the RAN visible application layer measurement </w:t>
            </w:r>
            <w:r w:rsidR="00DF1A5D" w:rsidRPr="00FA0D37">
              <w:rPr>
                <w:bCs/>
                <w:iCs/>
                <w:szCs w:val="22"/>
                <w:lang w:eastAsia="sv-SE"/>
              </w:rPr>
              <w:t>report</w:t>
            </w:r>
            <w:r w:rsidRPr="00FA0D37">
              <w:rPr>
                <w:bCs/>
                <w:iCs/>
                <w:szCs w:val="22"/>
                <w:lang w:eastAsia="sv-SE"/>
              </w:rPr>
              <w:t>.</w:t>
            </w:r>
          </w:p>
        </w:tc>
      </w:tr>
    </w:tbl>
    <w:p w14:paraId="0B956E9B" w14:textId="77777777" w:rsidR="00BD1021" w:rsidRPr="00FA0D37" w:rsidRDefault="00BD1021" w:rsidP="00BD1021"/>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5C7FF4" w:rsidRPr="00FA0D37" w14:paraId="47B615CA" w14:textId="77777777" w:rsidTr="0071565C">
        <w:tc>
          <w:tcPr>
            <w:tcW w:w="14132" w:type="dxa"/>
            <w:tcBorders>
              <w:top w:val="single" w:sz="4" w:space="0" w:color="auto"/>
              <w:left w:val="single" w:sz="4" w:space="0" w:color="auto"/>
              <w:bottom w:val="single" w:sz="4" w:space="0" w:color="auto"/>
              <w:right w:val="single" w:sz="4" w:space="0" w:color="auto"/>
            </w:tcBorders>
          </w:tcPr>
          <w:p w14:paraId="7EC0DB9D" w14:textId="77777777" w:rsidR="00BD1021" w:rsidRPr="00FA0D37" w:rsidRDefault="00BD1021" w:rsidP="0071565C">
            <w:pPr>
              <w:pStyle w:val="TAH"/>
              <w:rPr>
                <w:szCs w:val="22"/>
                <w:lang w:eastAsia="sv-SE"/>
              </w:rPr>
            </w:pPr>
            <w:r w:rsidRPr="00FA0D37">
              <w:rPr>
                <w:i/>
                <w:szCs w:val="22"/>
                <w:lang w:eastAsia="sv-SE"/>
              </w:rPr>
              <w:lastRenderedPageBreak/>
              <w:t xml:space="preserve">RAN-VisibleMeasurements </w:t>
            </w:r>
            <w:r w:rsidRPr="00FA0D37">
              <w:rPr>
                <w:szCs w:val="22"/>
                <w:lang w:eastAsia="sv-SE"/>
              </w:rPr>
              <w:t>field descriptions</w:t>
            </w:r>
          </w:p>
        </w:tc>
      </w:tr>
      <w:tr w:rsidR="005C7FF4" w:rsidRPr="00FA0D37" w14:paraId="08DEDB78" w14:textId="77777777" w:rsidTr="0071565C">
        <w:tc>
          <w:tcPr>
            <w:tcW w:w="14132" w:type="dxa"/>
            <w:tcBorders>
              <w:top w:val="single" w:sz="4" w:space="0" w:color="auto"/>
              <w:left w:val="single" w:sz="4" w:space="0" w:color="auto"/>
              <w:bottom w:val="single" w:sz="4" w:space="0" w:color="auto"/>
              <w:right w:val="single" w:sz="4" w:space="0" w:color="auto"/>
            </w:tcBorders>
          </w:tcPr>
          <w:p w14:paraId="2F6EB4AF" w14:textId="77777777" w:rsidR="00BD1021" w:rsidRPr="00FA0D37" w:rsidRDefault="00BD1021" w:rsidP="0071565C">
            <w:pPr>
              <w:pStyle w:val="TAL"/>
              <w:rPr>
                <w:b/>
                <w:i/>
                <w:szCs w:val="22"/>
                <w:lang w:eastAsia="sv-SE"/>
              </w:rPr>
            </w:pPr>
            <w:r w:rsidRPr="00FA0D37">
              <w:rPr>
                <w:b/>
                <w:i/>
                <w:szCs w:val="22"/>
                <w:lang w:eastAsia="sv-SE"/>
              </w:rPr>
              <w:t>appLayerBufferLevelList</w:t>
            </w:r>
          </w:p>
          <w:p w14:paraId="4516704C" w14:textId="77777777" w:rsidR="00BD1021" w:rsidRPr="00FA0D37" w:rsidRDefault="00BD1021" w:rsidP="0071565C">
            <w:pPr>
              <w:pStyle w:val="TAL"/>
              <w:rPr>
                <w:szCs w:val="22"/>
                <w:lang w:eastAsia="sv-SE"/>
              </w:rPr>
            </w:pPr>
            <w:r w:rsidRPr="00FA0D37">
              <w:rPr>
                <w:szCs w:val="22"/>
                <w:lang w:eastAsia="sv-SE"/>
              </w:rPr>
              <w:t xml:space="preserve">The field indicates a list of application layer buffer levels, and each </w:t>
            </w:r>
            <w:r w:rsidRPr="00FA0D37">
              <w:rPr>
                <w:i/>
                <w:szCs w:val="22"/>
                <w:lang w:eastAsia="sv-SE"/>
              </w:rPr>
              <w:t>AppLayerBufferLevel</w:t>
            </w:r>
            <w:r w:rsidRPr="00FA0D37">
              <w:rPr>
                <w:szCs w:val="22"/>
                <w:lang w:eastAsia="sv-SE"/>
              </w:rPr>
              <w:t xml:space="preserve"> indicates the application layer buffer level in ms. Value 0 corresponds to 0ms, value 1 corresponds to 10ms, value 2 corresponds to 20 ms and so on. If the buffer level is larger than the maximum value of 30000 (5 minutes), the UE reports 30000.</w:t>
            </w:r>
          </w:p>
        </w:tc>
      </w:tr>
      <w:tr w:rsidR="005C7FF4" w:rsidRPr="00FA0D37" w14:paraId="2E47862F" w14:textId="77777777" w:rsidTr="0071565C">
        <w:tc>
          <w:tcPr>
            <w:tcW w:w="14132" w:type="dxa"/>
            <w:tcBorders>
              <w:top w:val="single" w:sz="4" w:space="0" w:color="auto"/>
              <w:left w:val="single" w:sz="4" w:space="0" w:color="auto"/>
              <w:bottom w:val="single" w:sz="4" w:space="0" w:color="auto"/>
              <w:right w:val="single" w:sz="4" w:space="0" w:color="auto"/>
            </w:tcBorders>
          </w:tcPr>
          <w:p w14:paraId="6896457C" w14:textId="77777777" w:rsidR="00BD1021" w:rsidRPr="00FA0D37" w:rsidRDefault="00BD1021" w:rsidP="0071565C">
            <w:pPr>
              <w:pStyle w:val="TAL"/>
              <w:rPr>
                <w:b/>
                <w:i/>
                <w:szCs w:val="22"/>
                <w:lang w:eastAsia="sv-SE"/>
              </w:rPr>
            </w:pPr>
            <w:r w:rsidRPr="00FA0D37">
              <w:rPr>
                <w:b/>
                <w:i/>
                <w:szCs w:val="22"/>
                <w:lang w:eastAsia="sv-SE"/>
              </w:rPr>
              <w:t>playoutDelayForMediaStartup</w:t>
            </w:r>
          </w:p>
          <w:p w14:paraId="67F49D68" w14:textId="77777777" w:rsidR="00BD1021" w:rsidRPr="00FA0D37" w:rsidRDefault="00BD1021" w:rsidP="0071565C">
            <w:pPr>
              <w:pStyle w:val="TAL"/>
              <w:rPr>
                <w:szCs w:val="22"/>
                <w:lang w:eastAsia="sv-SE"/>
              </w:rPr>
            </w:pPr>
            <w:r w:rsidRPr="00FA0D37">
              <w:rPr>
                <w:szCs w:val="22"/>
                <w:lang w:eastAsia="sv-SE"/>
              </w:rPr>
              <w:t>Indicates the application layer playout delay for media start-up in ms. Value 0 corresponds to 0ms, value 1 corresponds to 1ms, value 2 corresponds to 2 ms and so on. If the playout delay for media start-up is larger than the maximum value of 30000ms, the UE reports 30000.</w:t>
            </w:r>
          </w:p>
        </w:tc>
      </w:tr>
      <w:tr w:rsidR="00BD1021" w:rsidRPr="00FA0D37" w14:paraId="47D08368" w14:textId="77777777" w:rsidTr="0071565C">
        <w:tc>
          <w:tcPr>
            <w:tcW w:w="14132" w:type="dxa"/>
            <w:tcBorders>
              <w:top w:val="single" w:sz="4" w:space="0" w:color="auto"/>
              <w:left w:val="single" w:sz="4" w:space="0" w:color="auto"/>
              <w:bottom w:val="single" w:sz="4" w:space="0" w:color="auto"/>
              <w:right w:val="single" w:sz="4" w:space="0" w:color="auto"/>
            </w:tcBorders>
          </w:tcPr>
          <w:p w14:paraId="08F38607" w14:textId="77777777" w:rsidR="00BD1021" w:rsidRPr="00FA0D37" w:rsidRDefault="00BD1021" w:rsidP="0071565C">
            <w:pPr>
              <w:pStyle w:val="TAL"/>
              <w:rPr>
                <w:b/>
                <w:i/>
                <w:szCs w:val="22"/>
                <w:lang w:eastAsia="sv-SE"/>
              </w:rPr>
            </w:pPr>
            <w:r w:rsidRPr="00FA0D37">
              <w:rPr>
                <w:b/>
                <w:i/>
                <w:szCs w:val="22"/>
                <w:lang w:eastAsia="sv-SE"/>
              </w:rPr>
              <w:t>pdu-SessionIdList</w:t>
            </w:r>
          </w:p>
          <w:p w14:paraId="016982EE" w14:textId="77777777" w:rsidR="00BD1021" w:rsidRPr="00FA0D37" w:rsidRDefault="00BD1021" w:rsidP="0071565C">
            <w:pPr>
              <w:pStyle w:val="TAL"/>
              <w:rPr>
                <w:b/>
                <w:i/>
                <w:szCs w:val="22"/>
                <w:lang w:eastAsia="sv-SE"/>
              </w:rPr>
            </w:pPr>
            <w:r w:rsidRPr="00FA0D37">
              <w:rPr>
                <w:szCs w:val="22"/>
                <w:lang w:eastAsia="sv-SE"/>
              </w:rPr>
              <w:t>Contains the identity of the PDU session, or the identities of the PDU sessions, used for application data flows subject to the RAN visible application layer measurements.</w:t>
            </w:r>
          </w:p>
        </w:tc>
      </w:tr>
    </w:tbl>
    <w:p w14:paraId="04E64174" w14:textId="77777777" w:rsidR="00BD1021" w:rsidRPr="00FA0D37" w:rsidRDefault="00BD1021" w:rsidP="00394471"/>
    <w:p w14:paraId="40966AC0" w14:textId="77777777" w:rsidR="00394471" w:rsidRPr="00FA0D37" w:rsidRDefault="00394471" w:rsidP="00394471">
      <w:pPr>
        <w:pStyle w:val="4"/>
      </w:pPr>
      <w:bookmarkStart w:id="592" w:name="_Toc60777102"/>
      <w:bookmarkStart w:id="593" w:name="_Toc146781139"/>
      <w:r w:rsidRPr="00FA0D37">
        <w:t>–</w:t>
      </w:r>
      <w:r w:rsidRPr="00FA0D37">
        <w:tab/>
      </w:r>
      <w:r w:rsidRPr="00FA0D37">
        <w:rPr>
          <w:i/>
        </w:rPr>
        <w:t>MIB</w:t>
      </w:r>
      <w:bookmarkEnd w:id="592"/>
      <w:bookmarkEnd w:id="593"/>
    </w:p>
    <w:p w14:paraId="658A130D" w14:textId="77777777" w:rsidR="00394471" w:rsidRPr="00FA0D37" w:rsidRDefault="00394471" w:rsidP="00394471">
      <w:pPr>
        <w:rPr>
          <w:iCs/>
        </w:rPr>
      </w:pPr>
      <w:r w:rsidRPr="00FA0D37">
        <w:t xml:space="preserve">The </w:t>
      </w:r>
      <w:r w:rsidRPr="00FA0D37">
        <w:rPr>
          <w:i/>
        </w:rPr>
        <w:t xml:space="preserve">MIB </w:t>
      </w:r>
      <w:r w:rsidRPr="00FA0D37">
        <w:t>includes the system information transmitted on BCH.</w:t>
      </w:r>
    </w:p>
    <w:p w14:paraId="7D09C89D" w14:textId="77777777" w:rsidR="00394471" w:rsidRPr="00FA0D37" w:rsidRDefault="00394471" w:rsidP="00394471">
      <w:pPr>
        <w:pStyle w:val="B1"/>
        <w:keepNext/>
        <w:keepLines/>
      </w:pPr>
      <w:r w:rsidRPr="00FA0D37">
        <w:t>Signalling radio bearer: N/A</w:t>
      </w:r>
    </w:p>
    <w:p w14:paraId="7B6228A4" w14:textId="77777777" w:rsidR="00394471" w:rsidRPr="00FA0D37" w:rsidRDefault="00394471" w:rsidP="00394471">
      <w:pPr>
        <w:pStyle w:val="B1"/>
        <w:keepNext/>
        <w:keepLines/>
      </w:pPr>
      <w:r w:rsidRPr="00FA0D37">
        <w:t>RLC-SAP: TM</w:t>
      </w:r>
    </w:p>
    <w:p w14:paraId="7FBE1449" w14:textId="77777777" w:rsidR="00394471" w:rsidRPr="00FA0D37" w:rsidRDefault="00394471" w:rsidP="00394471">
      <w:pPr>
        <w:pStyle w:val="B1"/>
        <w:keepNext/>
        <w:keepLines/>
      </w:pPr>
      <w:r w:rsidRPr="00FA0D37">
        <w:t>Logical channel: BCCH</w:t>
      </w:r>
    </w:p>
    <w:p w14:paraId="3A1D2656" w14:textId="77777777" w:rsidR="00394471" w:rsidRPr="00FA0D37" w:rsidRDefault="00394471" w:rsidP="00394471">
      <w:pPr>
        <w:pStyle w:val="B1"/>
        <w:keepNext/>
        <w:keepLines/>
      </w:pPr>
      <w:r w:rsidRPr="00FA0D37">
        <w:t>Direction: Network to UE</w:t>
      </w:r>
    </w:p>
    <w:p w14:paraId="0B5487CA" w14:textId="77777777" w:rsidR="00394471" w:rsidRPr="00FA0D37" w:rsidRDefault="00394471" w:rsidP="00394471">
      <w:pPr>
        <w:pStyle w:val="TH"/>
        <w:rPr>
          <w:bCs/>
          <w:i/>
          <w:iCs/>
        </w:rPr>
      </w:pPr>
      <w:r w:rsidRPr="00FA0D37">
        <w:rPr>
          <w:bCs/>
          <w:i/>
          <w:iCs/>
        </w:rPr>
        <w:t>MIB</w:t>
      </w:r>
    </w:p>
    <w:p w14:paraId="44E9FBFE" w14:textId="77777777" w:rsidR="00394471" w:rsidRPr="00FA0D37" w:rsidRDefault="00394471" w:rsidP="00FA0D37">
      <w:pPr>
        <w:pStyle w:val="PL"/>
        <w:rPr>
          <w:color w:val="808080"/>
        </w:rPr>
      </w:pPr>
      <w:r w:rsidRPr="00FA0D37">
        <w:rPr>
          <w:color w:val="808080"/>
        </w:rPr>
        <w:t>-- ASN1START</w:t>
      </w:r>
    </w:p>
    <w:p w14:paraId="5F750E2C" w14:textId="77777777" w:rsidR="00394471" w:rsidRPr="00FA0D37" w:rsidRDefault="00394471" w:rsidP="00FA0D37">
      <w:pPr>
        <w:pStyle w:val="PL"/>
        <w:rPr>
          <w:color w:val="808080"/>
        </w:rPr>
      </w:pPr>
      <w:r w:rsidRPr="00FA0D37">
        <w:rPr>
          <w:color w:val="808080"/>
        </w:rPr>
        <w:t>-- TAG-MIB-START</w:t>
      </w:r>
    </w:p>
    <w:p w14:paraId="28AD9217" w14:textId="77777777" w:rsidR="00394471" w:rsidRPr="00FA0D37" w:rsidRDefault="00394471" w:rsidP="00FA0D37">
      <w:pPr>
        <w:pStyle w:val="PL"/>
      </w:pPr>
    </w:p>
    <w:p w14:paraId="25CA499C" w14:textId="77777777" w:rsidR="00394471" w:rsidRPr="00FA0D37" w:rsidRDefault="00394471" w:rsidP="00FA0D37">
      <w:pPr>
        <w:pStyle w:val="PL"/>
      </w:pPr>
      <w:r w:rsidRPr="00FA0D37">
        <w:t xml:space="preserve">MIB ::=                             </w:t>
      </w:r>
      <w:r w:rsidRPr="00FA0D37">
        <w:rPr>
          <w:color w:val="993366"/>
        </w:rPr>
        <w:t>SEQUENCE</w:t>
      </w:r>
      <w:r w:rsidRPr="00FA0D37">
        <w:t xml:space="preserve"> {</w:t>
      </w:r>
    </w:p>
    <w:p w14:paraId="5C76A390" w14:textId="77777777" w:rsidR="00394471" w:rsidRPr="00FA0D37" w:rsidRDefault="00394471" w:rsidP="00FA0D37">
      <w:pPr>
        <w:pStyle w:val="PL"/>
      </w:pPr>
      <w:r w:rsidRPr="00FA0D37">
        <w:t xml:space="preserve">    systemFrameNumber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w:t>
      </w:r>
    </w:p>
    <w:p w14:paraId="4E6DA680" w14:textId="77777777" w:rsidR="00394471" w:rsidRPr="00FA0D37" w:rsidRDefault="00394471" w:rsidP="00FA0D37">
      <w:pPr>
        <w:pStyle w:val="PL"/>
      </w:pPr>
      <w:r w:rsidRPr="00FA0D37">
        <w:t xml:space="preserve">    subCarrierSpacingCommon             </w:t>
      </w:r>
      <w:r w:rsidRPr="00FA0D37">
        <w:rPr>
          <w:color w:val="993366"/>
        </w:rPr>
        <w:t>ENUMERATED</w:t>
      </w:r>
      <w:r w:rsidRPr="00FA0D37">
        <w:t xml:space="preserve"> {scs15or60, scs30or120},</w:t>
      </w:r>
    </w:p>
    <w:p w14:paraId="5F995883" w14:textId="77777777" w:rsidR="00394471" w:rsidRPr="00FA0D37" w:rsidRDefault="00394471" w:rsidP="00FA0D37">
      <w:pPr>
        <w:pStyle w:val="PL"/>
      </w:pPr>
      <w:r w:rsidRPr="00FA0D37">
        <w:t xml:space="preserve">    ssb-SubcarrierOffset                </w:t>
      </w:r>
      <w:r w:rsidRPr="00FA0D37">
        <w:rPr>
          <w:color w:val="993366"/>
        </w:rPr>
        <w:t>INTEGER</w:t>
      </w:r>
      <w:r w:rsidRPr="00FA0D37">
        <w:t xml:space="preserve"> (0..15),</w:t>
      </w:r>
    </w:p>
    <w:p w14:paraId="18E57588" w14:textId="77777777" w:rsidR="00394471" w:rsidRPr="00FA0D37" w:rsidRDefault="00394471" w:rsidP="00FA0D37">
      <w:pPr>
        <w:pStyle w:val="PL"/>
      </w:pPr>
      <w:r w:rsidRPr="00FA0D37">
        <w:t xml:space="preserve">    dmrs-TypeA-Position                 </w:t>
      </w:r>
      <w:r w:rsidRPr="00FA0D37">
        <w:rPr>
          <w:color w:val="993366"/>
        </w:rPr>
        <w:t>ENUMERATED</w:t>
      </w:r>
      <w:r w:rsidRPr="00FA0D37">
        <w:t xml:space="preserve"> {pos2, pos3},</w:t>
      </w:r>
    </w:p>
    <w:p w14:paraId="35DA9103" w14:textId="77777777" w:rsidR="00394471" w:rsidRPr="00FA0D37" w:rsidRDefault="00394471" w:rsidP="00FA0D37">
      <w:pPr>
        <w:pStyle w:val="PL"/>
      </w:pPr>
      <w:r w:rsidRPr="00FA0D37">
        <w:t xml:space="preserve">    pdcch-ConfigSIB1                    PDCCH-ConfigSIB1,</w:t>
      </w:r>
    </w:p>
    <w:p w14:paraId="1CF9F92F" w14:textId="77777777" w:rsidR="00394471" w:rsidRPr="00FA0D37" w:rsidRDefault="00394471" w:rsidP="00FA0D37">
      <w:pPr>
        <w:pStyle w:val="PL"/>
      </w:pPr>
      <w:r w:rsidRPr="00FA0D37">
        <w:t xml:space="preserve">    cellBarred                          </w:t>
      </w:r>
      <w:r w:rsidRPr="00FA0D37">
        <w:rPr>
          <w:color w:val="993366"/>
        </w:rPr>
        <w:t>ENUMERATED</w:t>
      </w:r>
      <w:r w:rsidRPr="00FA0D37">
        <w:t xml:space="preserve"> {barred, notBarred},</w:t>
      </w:r>
    </w:p>
    <w:p w14:paraId="3CD9326D" w14:textId="77777777" w:rsidR="00394471" w:rsidRPr="00FA0D37" w:rsidRDefault="00394471" w:rsidP="00FA0D37">
      <w:pPr>
        <w:pStyle w:val="PL"/>
      </w:pPr>
      <w:r w:rsidRPr="00FA0D37">
        <w:t xml:space="preserve">    intraFreqReselection                </w:t>
      </w:r>
      <w:r w:rsidRPr="00FA0D37">
        <w:rPr>
          <w:color w:val="993366"/>
        </w:rPr>
        <w:t>ENUMERATED</w:t>
      </w:r>
      <w:r w:rsidRPr="00FA0D37">
        <w:t xml:space="preserve"> {allowed, notAllowed},</w:t>
      </w:r>
    </w:p>
    <w:p w14:paraId="73705BD5" w14:textId="77777777" w:rsidR="00394471" w:rsidRPr="00FA0D37" w:rsidRDefault="00394471" w:rsidP="00FA0D37">
      <w:pPr>
        <w:pStyle w:val="PL"/>
      </w:pPr>
      <w:r w:rsidRPr="00FA0D37">
        <w:t xml:space="preserve">    spare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w:t>
      </w:r>
    </w:p>
    <w:p w14:paraId="387FEB39" w14:textId="77777777" w:rsidR="00394471" w:rsidRPr="00FA0D37" w:rsidRDefault="00394471" w:rsidP="00FA0D37">
      <w:pPr>
        <w:pStyle w:val="PL"/>
      </w:pPr>
      <w:r w:rsidRPr="00FA0D37">
        <w:t>}</w:t>
      </w:r>
    </w:p>
    <w:p w14:paraId="1E6FB277" w14:textId="77777777" w:rsidR="00394471" w:rsidRPr="00FA0D37" w:rsidRDefault="00394471" w:rsidP="00FA0D37">
      <w:pPr>
        <w:pStyle w:val="PL"/>
      </w:pPr>
    </w:p>
    <w:p w14:paraId="3E1E4105" w14:textId="77777777" w:rsidR="00394471" w:rsidRPr="00FA0D37" w:rsidRDefault="00394471" w:rsidP="00FA0D37">
      <w:pPr>
        <w:pStyle w:val="PL"/>
        <w:rPr>
          <w:color w:val="808080"/>
        </w:rPr>
      </w:pPr>
      <w:r w:rsidRPr="00FA0D37">
        <w:rPr>
          <w:color w:val="808080"/>
        </w:rPr>
        <w:t>-- TAG-MIB-STOP</w:t>
      </w:r>
    </w:p>
    <w:p w14:paraId="29B122BA" w14:textId="77777777" w:rsidR="00394471" w:rsidRPr="00FA0D37" w:rsidRDefault="00394471" w:rsidP="00FA0D37">
      <w:pPr>
        <w:pStyle w:val="PL"/>
        <w:rPr>
          <w:color w:val="808080"/>
        </w:rPr>
      </w:pPr>
      <w:r w:rsidRPr="00FA0D37">
        <w:rPr>
          <w:color w:val="808080"/>
        </w:rPr>
        <w:t>-- ASN1STOP</w:t>
      </w:r>
    </w:p>
    <w:p w14:paraId="0B8DFF1B" w14:textId="77777777" w:rsidR="00394471" w:rsidRPr="00FA0D37" w:rsidRDefault="00394471" w:rsidP="00394471"/>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5C7FF4" w:rsidRPr="00FA0D37" w14:paraId="188336F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618077DD" w14:textId="77777777" w:rsidR="00394471" w:rsidRPr="00FA0D37" w:rsidRDefault="00394471" w:rsidP="00964CC4">
            <w:pPr>
              <w:pStyle w:val="TAH"/>
              <w:rPr>
                <w:szCs w:val="22"/>
                <w:lang w:eastAsia="sv-SE"/>
              </w:rPr>
            </w:pPr>
            <w:r w:rsidRPr="00FA0D37">
              <w:rPr>
                <w:i/>
                <w:szCs w:val="22"/>
                <w:lang w:eastAsia="sv-SE"/>
              </w:rPr>
              <w:lastRenderedPageBreak/>
              <w:t xml:space="preserve">MIB </w:t>
            </w:r>
            <w:r w:rsidRPr="00FA0D37">
              <w:rPr>
                <w:szCs w:val="22"/>
                <w:lang w:eastAsia="sv-SE"/>
              </w:rPr>
              <w:t>field descriptions</w:t>
            </w:r>
          </w:p>
        </w:tc>
      </w:tr>
      <w:tr w:rsidR="005C7FF4" w:rsidRPr="00FA0D37" w14:paraId="1C42359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CDFBDB3" w14:textId="77777777" w:rsidR="00394471" w:rsidRPr="00FA0D37" w:rsidRDefault="00394471" w:rsidP="00964CC4">
            <w:pPr>
              <w:pStyle w:val="TAL"/>
              <w:rPr>
                <w:szCs w:val="22"/>
                <w:lang w:eastAsia="sv-SE"/>
              </w:rPr>
            </w:pPr>
            <w:r w:rsidRPr="00FA0D37">
              <w:rPr>
                <w:b/>
                <w:i/>
                <w:szCs w:val="22"/>
                <w:lang w:eastAsia="sv-SE"/>
              </w:rPr>
              <w:t>cellBarred</w:t>
            </w:r>
          </w:p>
          <w:p w14:paraId="2E7D696D" w14:textId="3A488AF0" w:rsidR="00394471" w:rsidRPr="00FA0D37" w:rsidRDefault="00394471" w:rsidP="00964CC4">
            <w:pPr>
              <w:pStyle w:val="TAL"/>
              <w:rPr>
                <w:szCs w:val="22"/>
                <w:lang w:eastAsia="sv-SE"/>
              </w:rPr>
            </w:pPr>
            <w:r w:rsidRPr="00FA0D37">
              <w:rPr>
                <w:szCs w:val="22"/>
                <w:lang w:eastAsia="sv-SE"/>
              </w:rPr>
              <w:t xml:space="preserve">Value </w:t>
            </w:r>
            <w:r w:rsidRPr="00FA0D37">
              <w:rPr>
                <w:i/>
                <w:szCs w:val="22"/>
                <w:lang w:eastAsia="sv-SE"/>
              </w:rPr>
              <w:t>barred</w:t>
            </w:r>
            <w:r w:rsidRPr="00FA0D37">
              <w:rPr>
                <w:szCs w:val="22"/>
                <w:lang w:eastAsia="sv-SE"/>
              </w:rPr>
              <w:t xml:space="preserve"> means that the cell is barred, as defined </w:t>
            </w:r>
            <w:r w:rsidRPr="00FA0D37">
              <w:rPr>
                <w:noProof/>
                <w:szCs w:val="22"/>
                <w:lang w:eastAsia="en-GB"/>
              </w:rPr>
              <w:t>in TS 38.304 [20].</w:t>
            </w:r>
            <w:r w:rsidRPr="00FA0D37">
              <w:rPr>
                <w:szCs w:val="22"/>
                <w:lang w:eastAsia="en-GB"/>
              </w:rPr>
              <w:t xml:space="preserve"> This field is ignored by IAB-MT.</w:t>
            </w:r>
            <w:r w:rsidR="00150266" w:rsidRPr="00FA0D37">
              <w:rPr>
                <w:szCs w:val="22"/>
                <w:lang w:eastAsia="en-GB"/>
              </w:rPr>
              <w:t xml:space="preserve"> This field is ignored for connectivity to NTN.</w:t>
            </w:r>
          </w:p>
        </w:tc>
      </w:tr>
      <w:tr w:rsidR="005C7FF4" w:rsidRPr="00FA0D37" w14:paraId="3EEF4E40"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30DD3A5" w14:textId="77777777" w:rsidR="00394471" w:rsidRPr="00FA0D37" w:rsidRDefault="00394471" w:rsidP="00964CC4">
            <w:pPr>
              <w:pStyle w:val="TAL"/>
              <w:rPr>
                <w:szCs w:val="22"/>
                <w:lang w:eastAsia="sv-SE"/>
              </w:rPr>
            </w:pPr>
            <w:r w:rsidRPr="00FA0D37">
              <w:rPr>
                <w:b/>
                <w:i/>
                <w:szCs w:val="22"/>
                <w:lang w:eastAsia="sv-SE"/>
              </w:rPr>
              <w:t>dmrs-TypeA-Position</w:t>
            </w:r>
          </w:p>
          <w:p w14:paraId="347D1DDC" w14:textId="77777777" w:rsidR="00394471" w:rsidRPr="00FA0D37" w:rsidRDefault="00394471" w:rsidP="00964CC4">
            <w:pPr>
              <w:pStyle w:val="TAL"/>
              <w:rPr>
                <w:szCs w:val="22"/>
                <w:lang w:eastAsia="sv-SE"/>
              </w:rPr>
            </w:pPr>
            <w:r w:rsidRPr="00FA0D37">
              <w:rPr>
                <w:szCs w:val="22"/>
                <w:lang w:eastAsia="sv-SE"/>
              </w:rPr>
              <w:t>Position of (first) DM-RS for downlink (see TS 38.211 [16], clause 7.4.1.1.2) and uplink (see TS 38.211 [16], clause 6.4.1.1.3).</w:t>
            </w:r>
          </w:p>
        </w:tc>
      </w:tr>
      <w:tr w:rsidR="005C7FF4" w:rsidRPr="00FA0D37" w14:paraId="5BB307B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D99B21B" w14:textId="77777777" w:rsidR="00394471" w:rsidRPr="00FA0D37" w:rsidRDefault="00394471" w:rsidP="00964CC4">
            <w:pPr>
              <w:pStyle w:val="TAL"/>
              <w:rPr>
                <w:szCs w:val="22"/>
                <w:lang w:eastAsia="sv-SE"/>
              </w:rPr>
            </w:pPr>
            <w:r w:rsidRPr="00FA0D37">
              <w:rPr>
                <w:b/>
                <w:i/>
                <w:szCs w:val="22"/>
                <w:lang w:eastAsia="sv-SE"/>
              </w:rPr>
              <w:t>intraFreqReselection</w:t>
            </w:r>
          </w:p>
          <w:p w14:paraId="0C52B33E" w14:textId="77777777" w:rsidR="00394471" w:rsidRPr="00FA0D37" w:rsidRDefault="00394471" w:rsidP="00964CC4">
            <w:pPr>
              <w:pStyle w:val="TAL"/>
              <w:rPr>
                <w:szCs w:val="22"/>
                <w:lang w:eastAsia="sv-SE"/>
              </w:rPr>
            </w:pPr>
            <w:r w:rsidRPr="00FA0D37">
              <w:rPr>
                <w:szCs w:val="22"/>
                <w:lang w:eastAsia="sv-SE"/>
              </w:rPr>
              <w:t>Controls cell selection/reselection to intra-frequency cells when the highest ranked cell is barred, or treated as barred by the UE, as specified in TS 38.304 [20].</w:t>
            </w:r>
            <w:r w:rsidRPr="00FA0D37">
              <w:rPr>
                <w:szCs w:val="22"/>
              </w:rPr>
              <w:t xml:space="preserve"> </w:t>
            </w:r>
            <w:r w:rsidRPr="00FA0D37">
              <w:rPr>
                <w:szCs w:val="22"/>
                <w:lang w:eastAsia="en-GB"/>
              </w:rPr>
              <w:t>This field is ignored by IAB-MT.</w:t>
            </w:r>
          </w:p>
        </w:tc>
      </w:tr>
      <w:tr w:rsidR="005C7FF4" w:rsidRPr="00FA0D37" w14:paraId="124F9BFA"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E3B1E03" w14:textId="77777777" w:rsidR="00394471" w:rsidRPr="00FA0D37" w:rsidRDefault="00394471" w:rsidP="00964CC4">
            <w:pPr>
              <w:pStyle w:val="TAL"/>
              <w:rPr>
                <w:szCs w:val="22"/>
                <w:lang w:eastAsia="sv-SE"/>
              </w:rPr>
            </w:pPr>
            <w:r w:rsidRPr="00FA0D37">
              <w:rPr>
                <w:b/>
                <w:i/>
                <w:szCs w:val="22"/>
                <w:lang w:eastAsia="sv-SE"/>
              </w:rPr>
              <w:t>pdcch-ConfigSIB1</w:t>
            </w:r>
          </w:p>
          <w:p w14:paraId="3CFB5DF0" w14:textId="77777777" w:rsidR="00394471" w:rsidRPr="00FA0D37" w:rsidRDefault="00394471" w:rsidP="00964CC4">
            <w:pPr>
              <w:pStyle w:val="TAL"/>
              <w:rPr>
                <w:szCs w:val="22"/>
                <w:lang w:eastAsia="sv-SE"/>
              </w:rPr>
            </w:pPr>
            <w:r w:rsidRPr="00FA0D37">
              <w:rPr>
                <w:szCs w:val="22"/>
                <w:lang w:eastAsia="sv-SE"/>
              </w:rPr>
              <w:t xml:space="preserve">Determines a common </w:t>
            </w:r>
            <w:r w:rsidRPr="00FA0D37">
              <w:rPr>
                <w:i/>
                <w:szCs w:val="22"/>
                <w:lang w:eastAsia="sv-SE"/>
              </w:rPr>
              <w:t>ControlResourceSet</w:t>
            </w:r>
            <w:r w:rsidRPr="00FA0D37">
              <w:rPr>
                <w:szCs w:val="22"/>
                <w:lang w:eastAsia="sv-SE"/>
              </w:rPr>
              <w:t xml:space="preserve"> (CORESET), a common search space and necessary PDCCH parameters.</w:t>
            </w:r>
            <w:r w:rsidRPr="00FA0D37">
              <w:rPr>
                <w:noProof/>
                <w:szCs w:val="22"/>
                <w:lang w:eastAsia="en-GB"/>
              </w:rPr>
              <w:t xml:space="preserve"> If the field </w:t>
            </w:r>
            <w:r w:rsidRPr="00FA0D37">
              <w:rPr>
                <w:i/>
                <w:noProof/>
                <w:szCs w:val="22"/>
                <w:lang w:eastAsia="en-GB"/>
              </w:rPr>
              <w:t xml:space="preserve">ssb-SubcarrierOffset </w:t>
            </w:r>
            <w:r w:rsidRPr="00FA0D37">
              <w:rPr>
                <w:noProof/>
                <w:szCs w:val="22"/>
                <w:lang w:eastAsia="en-GB"/>
              </w:rPr>
              <w:t xml:space="preserve">indicates that </w:t>
            </w:r>
            <w:r w:rsidRPr="00FA0D37">
              <w:rPr>
                <w:i/>
                <w:noProof/>
                <w:szCs w:val="22"/>
                <w:lang w:eastAsia="en-GB"/>
              </w:rPr>
              <w:t>SIB1</w:t>
            </w:r>
            <w:r w:rsidRPr="00FA0D37">
              <w:rPr>
                <w:noProof/>
                <w:szCs w:val="22"/>
                <w:lang w:eastAsia="en-GB"/>
              </w:rPr>
              <w:t xml:space="preserve"> is absent, the field </w:t>
            </w:r>
            <w:r w:rsidRPr="00FA0D37">
              <w:rPr>
                <w:i/>
                <w:noProof/>
                <w:szCs w:val="22"/>
                <w:lang w:eastAsia="en-GB"/>
              </w:rPr>
              <w:t>pdcch-ConfigSIB1</w:t>
            </w:r>
            <w:r w:rsidRPr="00FA0D37">
              <w:rPr>
                <w:noProof/>
                <w:szCs w:val="22"/>
                <w:lang w:eastAsia="en-GB"/>
              </w:rPr>
              <w:t xml:space="preserve"> indicates the frequency positions where the UE may find SS/PBCH block with </w:t>
            </w:r>
            <w:r w:rsidRPr="00FA0D37">
              <w:rPr>
                <w:i/>
                <w:noProof/>
                <w:szCs w:val="22"/>
                <w:lang w:eastAsia="en-GB"/>
              </w:rPr>
              <w:t>SIB1</w:t>
            </w:r>
            <w:r w:rsidRPr="00FA0D37">
              <w:rPr>
                <w:noProof/>
                <w:szCs w:val="22"/>
                <w:lang w:eastAsia="en-GB"/>
              </w:rPr>
              <w:t xml:space="preserve"> or the frequency range where the network does not provide SS/PBCH block with </w:t>
            </w:r>
            <w:r w:rsidRPr="00FA0D37">
              <w:rPr>
                <w:i/>
                <w:noProof/>
                <w:szCs w:val="22"/>
                <w:lang w:eastAsia="en-GB"/>
              </w:rPr>
              <w:t>SIB1</w:t>
            </w:r>
            <w:r w:rsidRPr="00FA0D37">
              <w:rPr>
                <w:noProof/>
                <w:szCs w:val="22"/>
                <w:lang w:eastAsia="en-GB"/>
              </w:rPr>
              <w:t xml:space="preserve"> (see TS 38.213 [13], clause 13).</w:t>
            </w:r>
          </w:p>
        </w:tc>
      </w:tr>
      <w:tr w:rsidR="005C7FF4" w:rsidRPr="00FA0D37" w14:paraId="184F7D21"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131F8CDB" w14:textId="77777777" w:rsidR="00394471" w:rsidRPr="00FA0D37" w:rsidRDefault="00394471" w:rsidP="00964CC4">
            <w:pPr>
              <w:pStyle w:val="TAL"/>
              <w:rPr>
                <w:szCs w:val="22"/>
                <w:lang w:eastAsia="sv-SE"/>
              </w:rPr>
            </w:pPr>
            <w:r w:rsidRPr="00FA0D37">
              <w:rPr>
                <w:b/>
                <w:i/>
                <w:szCs w:val="22"/>
                <w:lang w:eastAsia="sv-SE"/>
              </w:rPr>
              <w:t>ssb-SubcarrierOffset</w:t>
            </w:r>
          </w:p>
          <w:p w14:paraId="3C6B6887" w14:textId="13AE9D6D" w:rsidR="00394471" w:rsidRPr="00FA0D37" w:rsidRDefault="00394471" w:rsidP="00964CC4">
            <w:pPr>
              <w:pStyle w:val="TAL"/>
              <w:rPr>
                <w:szCs w:val="22"/>
                <w:lang w:eastAsia="sv-SE"/>
              </w:rPr>
            </w:pPr>
            <w:r w:rsidRPr="00FA0D37">
              <w:rPr>
                <w:szCs w:val="22"/>
                <w:lang w:eastAsia="sv-SE"/>
              </w:rPr>
              <w:t>Corresponds to k</w:t>
            </w:r>
            <w:r w:rsidRPr="00FA0D37">
              <w:rPr>
                <w:szCs w:val="22"/>
                <w:vertAlign w:val="subscript"/>
                <w:lang w:eastAsia="sv-SE"/>
              </w:rPr>
              <w:t>SSB</w:t>
            </w:r>
            <w:r w:rsidRPr="00FA0D37">
              <w:rPr>
                <w:szCs w:val="22"/>
                <w:lang w:eastAsia="sv-SE"/>
              </w:rPr>
              <w:t xml:space="preserve"> (see TS 38.213 [13]), which is the frequency domain offset between SSB and the overall resource block grid in number of subcarriers. (See TS 38.211 [16], clause 7.4.3.1).</w:t>
            </w:r>
            <w:r w:rsidRPr="00FA0D37">
              <w:t xml:space="preserve"> </w:t>
            </w:r>
            <w:r w:rsidRPr="00FA0D37">
              <w:rPr>
                <w:szCs w:val="22"/>
                <w:lang w:eastAsia="sv-SE"/>
              </w:rPr>
              <w:t xml:space="preserve">For operation with shared spectrum channel access </w:t>
            </w:r>
            <w:r w:rsidR="001B0D59" w:rsidRPr="00FA0D37">
              <w:rPr>
                <w:szCs w:val="22"/>
                <w:lang w:eastAsia="sv-SE"/>
              </w:rPr>
              <w:t xml:space="preserve">in FR1 </w:t>
            </w:r>
            <w:r w:rsidRPr="00FA0D37">
              <w:rPr>
                <w:szCs w:val="22"/>
                <w:lang w:eastAsia="sv-SE"/>
              </w:rPr>
              <w:t xml:space="preserve">(see 37.213 [48]), </w:t>
            </w:r>
            <w:r w:rsidR="00261BA1" w:rsidRPr="00FA0D37">
              <w:rPr>
                <w:szCs w:val="22"/>
                <w:lang w:eastAsia="sv-SE"/>
              </w:rPr>
              <w:t xml:space="preserve">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FA0D37">
              <w:rPr>
                <w:szCs w:val="22"/>
                <w:lang w:eastAsia="sv-SE"/>
              </w:rPr>
              <w:t>, and k</w:t>
            </w:r>
            <w:r w:rsidR="00261BA1" w:rsidRPr="00FA0D37">
              <w:rPr>
                <w:szCs w:val="22"/>
                <w:vertAlign w:val="subscript"/>
                <w:lang w:eastAsia="sv-SE"/>
              </w:rPr>
              <w:t>SSB</w:t>
            </w:r>
            <w:r w:rsidR="00261BA1" w:rsidRPr="00FA0D37">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FA0D37">
              <w:rPr>
                <w:szCs w:val="22"/>
                <w:lang w:eastAsia="sv-SE"/>
              </w:rPr>
              <w:t xml:space="preserve"> (see TS 38.211 [16], clause 7.4.3.1); the LSB of </w:t>
            </w:r>
            <w:r w:rsidRPr="00FA0D37">
              <w:rPr>
                <w:szCs w:val="22"/>
                <w:lang w:eastAsia="sv-SE"/>
              </w:rPr>
              <w:t>this field is used also for deriving the QCL relation between SS/PBCH blocks as specified in TS 38.213 [13], clause 4.1.</w:t>
            </w:r>
          </w:p>
          <w:p w14:paraId="7F95DB01" w14:textId="77777777" w:rsidR="00394471" w:rsidRPr="00FA0D37" w:rsidRDefault="00394471" w:rsidP="00964CC4">
            <w:pPr>
              <w:pStyle w:val="TAL"/>
              <w:rPr>
                <w:szCs w:val="22"/>
                <w:lang w:eastAsia="sv-SE"/>
              </w:rPr>
            </w:pPr>
            <w:r w:rsidRPr="00FA0D37">
              <w:rPr>
                <w:szCs w:val="22"/>
                <w:lang w:eastAsia="sv-SE"/>
              </w:rPr>
              <w:t>The value range of this field may be extended by an additional most significant bit encoded within PBCH as specified in TS 38.213 [13].</w:t>
            </w:r>
          </w:p>
          <w:p w14:paraId="32FFBF02" w14:textId="77777777" w:rsidR="00394471" w:rsidRPr="00FA0D37" w:rsidRDefault="00394471" w:rsidP="00964CC4">
            <w:pPr>
              <w:pStyle w:val="TAL"/>
              <w:rPr>
                <w:szCs w:val="22"/>
                <w:lang w:eastAsia="sv-SE"/>
              </w:rPr>
            </w:pPr>
            <w:r w:rsidRPr="00FA0D37">
              <w:rPr>
                <w:szCs w:val="22"/>
                <w:lang w:eastAsia="sv-SE"/>
              </w:rPr>
              <w:t xml:space="preserve">This field may indicate that this </w:t>
            </w:r>
            <w:r w:rsidRPr="00FA0D37">
              <w:rPr>
                <w:rFonts w:eastAsia="宋体"/>
                <w:szCs w:val="22"/>
                <w:lang w:eastAsia="zh-CN"/>
              </w:rPr>
              <w:t>cell</w:t>
            </w:r>
            <w:r w:rsidRPr="00FA0D37">
              <w:rPr>
                <w:szCs w:val="22"/>
                <w:lang w:eastAsia="sv-SE"/>
              </w:rPr>
              <w:t xml:space="preserve"> does not provide </w:t>
            </w:r>
            <w:r w:rsidRPr="00FA0D37">
              <w:rPr>
                <w:i/>
                <w:szCs w:val="22"/>
                <w:lang w:eastAsia="sv-SE"/>
              </w:rPr>
              <w:t xml:space="preserve">SIB1 </w:t>
            </w:r>
            <w:r w:rsidRPr="00FA0D37">
              <w:rPr>
                <w:szCs w:val="22"/>
                <w:lang w:eastAsia="sv-SE"/>
              </w:rPr>
              <w:t>and that there is hence no CORESET</w:t>
            </w:r>
            <w:r w:rsidRPr="00FA0D37">
              <w:rPr>
                <w:rFonts w:eastAsia="宋体"/>
                <w:szCs w:val="22"/>
                <w:lang w:eastAsia="zh-CN"/>
              </w:rPr>
              <w:t xml:space="preserve">#0 configured in </w:t>
            </w:r>
            <w:r w:rsidRPr="00FA0D37">
              <w:rPr>
                <w:rFonts w:eastAsia="宋体"/>
                <w:i/>
                <w:lang w:eastAsia="sv-SE"/>
              </w:rPr>
              <w:t>MIB</w:t>
            </w:r>
            <w:r w:rsidRPr="00FA0D37">
              <w:rPr>
                <w:szCs w:val="22"/>
                <w:lang w:eastAsia="sv-SE"/>
              </w:rPr>
              <w:t xml:space="preserve"> (see TS 38.213 [13], clause 13). In this case, the field </w:t>
            </w:r>
            <w:r w:rsidRPr="00FA0D37">
              <w:rPr>
                <w:i/>
                <w:szCs w:val="22"/>
                <w:lang w:eastAsia="sv-SE"/>
              </w:rPr>
              <w:t>pdcch-ConfigSIB1</w:t>
            </w:r>
            <w:r w:rsidRPr="00FA0D37">
              <w:rPr>
                <w:szCs w:val="22"/>
                <w:lang w:eastAsia="sv-SE"/>
              </w:rPr>
              <w:t xml:space="preserve"> may indicate the frequency positions where the UE may (not) find a SS/PBCH with a control resource set and search space for </w:t>
            </w:r>
            <w:r w:rsidRPr="00FA0D37">
              <w:rPr>
                <w:i/>
                <w:lang w:eastAsia="sv-SE"/>
              </w:rPr>
              <w:t>SIB1</w:t>
            </w:r>
            <w:r w:rsidRPr="00FA0D37">
              <w:rPr>
                <w:szCs w:val="22"/>
                <w:lang w:eastAsia="sv-SE"/>
              </w:rPr>
              <w:t xml:space="preserve"> (see TS 38.213 [13], clause 13).</w:t>
            </w:r>
          </w:p>
        </w:tc>
      </w:tr>
      <w:tr w:rsidR="005C7FF4" w:rsidRPr="00FA0D37" w14:paraId="7E3B31C5"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C8026D1" w14:textId="77777777" w:rsidR="00394471" w:rsidRPr="00FA0D37" w:rsidRDefault="00394471" w:rsidP="00964CC4">
            <w:pPr>
              <w:pStyle w:val="TAL"/>
              <w:rPr>
                <w:szCs w:val="22"/>
                <w:lang w:eastAsia="sv-SE"/>
              </w:rPr>
            </w:pPr>
            <w:r w:rsidRPr="00FA0D37">
              <w:rPr>
                <w:b/>
                <w:i/>
                <w:szCs w:val="22"/>
                <w:lang w:eastAsia="sv-SE"/>
              </w:rPr>
              <w:t>subCarrierSpacingCommon</w:t>
            </w:r>
          </w:p>
          <w:p w14:paraId="1B5DF2E0" w14:textId="2D2E842C" w:rsidR="00394471" w:rsidRPr="00FA0D37" w:rsidRDefault="00394471" w:rsidP="00964CC4">
            <w:pPr>
              <w:pStyle w:val="TAL"/>
              <w:rPr>
                <w:szCs w:val="22"/>
                <w:lang w:eastAsia="sv-SE"/>
              </w:rPr>
            </w:pPr>
            <w:r w:rsidRPr="00FA0D37">
              <w:rPr>
                <w:szCs w:val="22"/>
                <w:lang w:eastAsia="sv-SE"/>
              </w:rPr>
              <w:t xml:space="preserve">Subcarrier spacing for </w:t>
            </w:r>
            <w:r w:rsidRPr="00FA0D37">
              <w:rPr>
                <w:i/>
                <w:lang w:eastAsia="sv-SE"/>
              </w:rPr>
              <w:t>SIB1</w:t>
            </w:r>
            <w:r w:rsidRPr="00FA0D37">
              <w:rPr>
                <w:szCs w:val="22"/>
                <w:lang w:eastAsia="sv-SE"/>
              </w:rPr>
              <w:t>, Msg.2/4</w:t>
            </w:r>
            <w:r w:rsidR="00684C0C" w:rsidRPr="00FA0D37">
              <w:rPr>
                <w:szCs w:val="22"/>
                <w:lang w:eastAsia="sv-SE"/>
              </w:rPr>
              <w:t xml:space="preserve"> and MsgB</w:t>
            </w:r>
            <w:r w:rsidRPr="00FA0D37">
              <w:rPr>
                <w:szCs w:val="22"/>
                <w:lang w:eastAsia="sv-SE"/>
              </w:rPr>
              <w:t xml:space="preserve"> for initial access</w:t>
            </w:r>
            <w:r w:rsidRPr="00FA0D37">
              <w:rPr>
                <w:rFonts w:eastAsia="宋体"/>
                <w:szCs w:val="22"/>
                <w:lang w:eastAsia="zh-CN"/>
              </w:rPr>
              <w:t>, paging</w:t>
            </w:r>
            <w:r w:rsidRPr="00FA0D37">
              <w:rPr>
                <w:szCs w:val="22"/>
                <w:lang w:eastAsia="sv-SE"/>
              </w:rPr>
              <w:t xml:space="preserve"> and broadcast SI-messages. If the UE acquires this </w:t>
            </w:r>
            <w:r w:rsidRPr="00FA0D37">
              <w:rPr>
                <w:i/>
                <w:lang w:eastAsia="sv-SE"/>
              </w:rPr>
              <w:t>MIB</w:t>
            </w:r>
            <w:r w:rsidRPr="00FA0D37">
              <w:rPr>
                <w:szCs w:val="22"/>
                <w:lang w:eastAsia="sv-SE"/>
              </w:rPr>
              <w:t xml:space="preserve"> on an FR1 carrier frequency, the value </w:t>
            </w:r>
            <w:r w:rsidRPr="00FA0D37">
              <w:rPr>
                <w:i/>
                <w:szCs w:val="22"/>
                <w:lang w:eastAsia="sv-SE"/>
              </w:rPr>
              <w:t>scs15or60</w:t>
            </w:r>
            <w:r w:rsidRPr="00FA0D37">
              <w:rPr>
                <w:szCs w:val="22"/>
                <w:lang w:eastAsia="sv-SE"/>
              </w:rPr>
              <w:t xml:space="preserve"> corresponds to 15 kHz and the value </w:t>
            </w:r>
            <w:r w:rsidRPr="00FA0D37">
              <w:rPr>
                <w:i/>
                <w:szCs w:val="22"/>
                <w:lang w:eastAsia="sv-SE"/>
              </w:rPr>
              <w:t>scs30or120</w:t>
            </w:r>
            <w:r w:rsidRPr="00FA0D37">
              <w:rPr>
                <w:szCs w:val="22"/>
                <w:lang w:eastAsia="sv-SE"/>
              </w:rPr>
              <w:t xml:space="preserve"> corresponds to 30 kHz. If the UE acquires this </w:t>
            </w:r>
            <w:r w:rsidRPr="00FA0D37">
              <w:rPr>
                <w:i/>
                <w:lang w:eastAsia="sv-SE"/>
              </w:rPr>
              <w:t>MIB</w:t>
            </w:r>
            <w:r w:rsidRPr="00FA0D37">
              <w:rPr>
                <w:szCs w:val="22"/>
                <w:lang w:eastAsia="sv-SE"/>
              </w:rPr>
              <w:t xml:space="preserve"> on an FR2 carrier frequency, the value </w:t>
            </w:r>
            <w:r w:rsidRPr="00FA0D37">
              <w:rPr>
                <w:i/>
                <w:szCs w:val="22"/>
                <w:lang w:eastAsia="sv-SE"/>
              </w:rPr>
              <w:t>scs15or60</w:t>
            </w:r>
            <w:r w:rsidRPr="00FA0D37">
              <w:rPr>
                <w:szCs w:val="22"/>
                <w:lang w:eastAsia="sv-SE"/>
              </w:rPr>
              <w:t xml:space="preserve"> corresponds to 60 kHz and the value </w:t>
            </w:r>
            <w:r w:rsidRPr="00FA0D37">
              <w:rPr>
                <w:i/>
                <w:szCs w:val="22"/>
                <w:lang w:eastAsia="sv-SE"/>
              </w:rPr>
              <w:t>scs30or120</w:t>
            </w:r>
            <w:r w:rsidRPr="00FA0D37">
              <w:rPr>
                <w:szCs w:val="22"/>
                <w:lang w:eastAsia="sv-SE"/>
              </w:rPr>
              <w:t xml:space="preserve"> corresponds to 120 kHz. For operation with shared spectrum channel access</w:t>
            </w:r>
            <w:r w:rsidR="001538BE" w:rsidRPr="00FA0D37">
              <w:rPr>
                <w:rFonts w:cs="Arial"/>
                <w:szCs w:val="22"/>
                <w:lang w:eastAsia="sv-SE"/>
              </w:rPr>
              <w:t xml:space="preserve"> in FR1</w:t>
            </w:r>
            <w:r w:rsidRPr="00FA0D37">
              <w:rPr>
                <w:szCs w:val="22"/>
              </w:rPr>
              <w:t xml:space="preserve"> (see </w:t>
            </w:r>
            <w:r w:rsidRPr="00FA0D37">
              <w:t>37.213 [48])</w:t>
            </w:r>
            <w:r w:rsidR="001538BE" w:rsidRPr="00FA0D37">
              <w:rPr>
                <w:rFonts w:cs="Arial"/>
              </w:rPr>
              <w:t xml:space="preserve"> and for operation in FR2-2</w:t>
            </w:r>
            <w:r w:rsidRPr="00FA0D37">
              <w:rPr>
                <w:szCs w:val="22"/>
                <w:lang w:eastAsia="sv-SE"/>
              </w:rPr>
              <w:t xml:space="preserve">, the subcarrier spacing for </w:t>
            </w:r>
            <w:r w:rsidRPr="00FA0D37">
              <w:rPr>
                <w:i/>
                <w:szCs w:val="22"/>
                <w:lang w:eastAsia="sv-SE"/>
              </w:rPr>
              <w:t>SIB1</w:t>
            </w:r>
            <w:r w:rsidR="00684C0C" w:rsidRPr="00FA0D37">
              <w:rPr>
                <w:szCs w:val="22"/>
                <w:lang w:eastAsia="sv-SE"/>
              </w:rPr>
              <w:t>, Msg.2/4 and MsgB for initial access</w:t>
            </w:r>
            <w:r w:rsidR="00684C0C" w:rsidRPr="00FA0D37">
              <w:rPr>
                <w:rFonts w:eastAsia="宋体"/>
                <w:szCs w:val="22"/>
                <w:lang w:eastAsia="zh-CN"/>
              </w:rPr>
              <w:t>, paging</w:t>
            </w:r>
            <w:r w:rsidR="00684C0C" w:rsidRPr="00FA0D37">
              <w:rPr>
                <w:szCs w:val="22"/>
                <w:lang w:eastAsia="sv-SE"/>
              </w:rPr>
              <w:t xml:space="preserve"> and broadcast SI-messages</w:t>
            </w:r>
            <w:r w:rsidRPr="00FA0D37">
              <w:rPr>
                <w:szCs w:val="22"/>
                <w:lang w:eastAsia="sv-SE"/>
              </w:rPr>
              <w:t xml:space="preserve"> is same as that for the corresponding SSB</w:t>
            </w:r>
            <w:r w:rsidR="001538BE" w:rsidRPr="00FA0D37">
              <w:rPr>
                <w:szCs w:val="22"/>
                <w:lang w:eastAsia="sv-SE"/>
              </w:rPr>
              <w:t>.</w:t>
            </w:r>
            <w:r w:rsidRPr="00FA0D37">
              <w:rPr>
                <w:szCs w:val="22"/>
                <w:lang w:eastAsia="sv-SE"/>
              </w:rPr>
              <w:t xml:space="preserve"> </w:t>
            </w:r>
            <w:r w:rsidR="001538BE" w:rsidRPr="00FA0D37">
              <w:rPr>
                <w:rFonts w:cs="Arial"/>
                <w:szCs w:val="22"/>
                <w:lang w:eastAsia="sv-SE"/>
              </w:rPr>
              <w:t xml:space="preserve">For operation with shared spectrum channel access, </w:t>
            </w:r>
            <w:r w:rsidRPr="00FA0D37">
              <w:rPr>
                <w:szCs w:val="22"/>
                <w:lang w:eastAsia="sv-SE"/>
              </w:rPr>
              <w:t xml:space="preserve">this field instead is used for deriving the QCL relation </w:t>
            </w:r>
            <w:r w:rsidRPr="00FA0D37">
              <w:rPr>
                <w:rFonts w:cs="Arial"/>
                <w:bCs/>
                <w:lang w:eastAsia="en-GB"/>
              </w:rPr>
              <w:t>between SS/PBCH blocks as specified in TS 38.213 [13], clause 4.1</w:t>
            </w:r>
            <w:r w:rsidRPr="00FA0D37">
              <w:rPr>
                <w:szCs w:val="22"/>
                <w:lang w:eastAsia="sv-SE"/>
              </w:rPr>
              <w:t>.</w:t>
            </w:r>
          </w:p>
        </w:tc>
      </w:tr>
      <w:tr w:rsidR="00394471" w:rsidRPr="00FA0D37" w14:paraId="60408DA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FF14DD3" w14:textId="77777777" w:rsidR="00394471" w:rsidRPr="00FA0D37" w:rsidRDefault="00394471" w:rsidP="00964CC4">
            <w:pPr>
              <w:pStyle w:val="TAL"/>
              <w:rPr>
                <w:szCs w:val="22"/>
                <w:lang w:eastAsia="sv-SE"/>
              </w:rPr>
            </w:pPr>
            <w:r w:rsidRPr="00FA0D37">
              <w:rPr>
                <w:b/>
                <w:i/>
                <w:szCs w:val="22"/>
                <w:lang w:eastAsia="sv-SE"/>
              </w:rPr>
              <w:t>systemFrameNumber</w:t>
            </w:r>
          </w:p>
          <w:p w14:paraId="274369DA" w14:textId="77777777" w:rsidR="00394471" w:rsidRPr="00FA0D37" w:rsidRDefault="00394471" w:rsidP="00964CC4">
            <w:pPr>
              <w:pStyle w:val="TAL"/>
              <w:rPr>
                <w:szCs w:val="22"/>
                <w:lang w:eastAsia="sv-SE"/>
              </w:rPr>
            </w:pPr>
            <w:r w:rsidRPr="00FA0D37">
              <w:rPr>
                <w:szCs w:val="22"/>
                <w:lang w:eastAsia="sv-SE"/>
              </w:rPr>
              <w:t xml:space="preserve">The 6 most significant bits (MSB) of the 10-bit System Frame Number (SFN). The 4 LSB of the SFN are conveyed in the PBCH transport block as </w:t>
            </w:r>
            <w:r w:rsidRPr="00FA0D37">
              <w:rPr>
                <w:bCs/>
                <w:iCs/>
                <w:noProof/>
                <w:szCs w:val="22"/>
                <w:lang w:eastAsia="en-GB"/>
              </w:rPr>
              <w:t xml:space="preserve">part of channel coding (i.e. </w:t>
            </w:r>
            <w:r w:rsidRPr="00FA0D37">
              <w:rPr>
                <w:szCs w:val="22"/>
                <w:lang w:eastAsia="sv-SE"/>
              </w:rPr>
              <w:t xml:space="preserve">outside the </w:t>
            </w:r>
            <w:r w:rsidRPr="00FA0D37">
              <w:rPr>
                <w:i/>
                <w:lang w:eastAsia="sv-SE"/>
              </w:rPr>
              <w:t>MIB</w:t>
            </w:r>
            <w:r w:rsidRPr="00FA0D37">
              <w:rPr>
                <w:szCs w:val="22"/>
                <w:lang w:eastAsia="sv-SE"/>
              </w:rPr>
              <w:t xml:space="preserve"> </w:t>
            </w:r>
            <w:r w:rsidRPr="00FA0D37">
              <w:rPr>
                <w:bCs/>
                <w:iCs/>
                <w:noProof/>
                <w:szCs w:val="22"/>
                <w:lang w:eastAsia="en-GB"/>
              </w:rPr>
              <w:t>encoding)</w:t>
            </w:r>
            <w:r w:rsidRPr="00FA0D37">
              <w:rPr>
                <w:rFonts w:eastAsia="宋体"/>
                <w:bCs/>
                <w:iCs/>
                <w:noProof/>
                <w:szCs w:val="22"/>
                <w:lang w:eastAsia="zh-CN"/>
              </w:rPr>
              <w:t>, as defined in clause 7.1 in TS 38.212 [17]</w:t>
            </w:r>
            <w:r w:rsidRPr="00FA0D37">
              <w:rPr>
                <w:szCs w:val="22"/>
                <w:lang w:eastAsia="sv-SE"/>
              </w:rPr>
              <w:t>.</w:t>
            </w:r>
          </w:p>
        </w:tc>
      </w:tr>
    </w:tbl>
    <w:p w14:paraId="27867DF5" w14:textId="77777777" w:rsidR="00394471" w:rsidRPr="00FA0D37" w:rsidRDefault="00394471" w:rsidP="00394471"/>
    <w:p w14:paraId="6D9AEE60" w14:textId="77777777" w:rsidR="00394471" w:rsidRPr="00FA0D37" w:rsidRDefault="00394471" w:rsidP="00394471">
      <w:pPr>
        <w:pStyle w:val="4"/>
      </w:pPr>
      <w:bookmarkStart w:id="594" w:name="_Toc60777103"/>
      <w:bookmarkStart w:id="595" w:name="_Toc146781140"/>
      <w:r w:rsidRPr="00FA0D37">
        <w:t>–</w:t>
      </w:r>
      <w:r w:rsidRPr="00FA0D37">
        <w:tab/>
      </w:r>
      <w:r w:rsidRPr="00FA0D37">
        <w:rPr>
          <w:i/>
        </w:rPr>
        <w:t>MobilityFromNRCommand</w:t>
      </w:r>
      <w:bookmarkEnd w:id="594"/>
      <w:bookmarkEnd w:id="595"/>
    </w:p>
    <w:p w14:paraId="6BB7D8ED" w14:textId="77777777" w:rsidR="00394471" w:rsidRPr="00FA0D37" w:rsidRDefault="00394471" w:rsidP="00394471">
      <w:pPr>
        <w:rPr>
          <w:rFonts w:eastAsia="等线"/>
          <w:lang w:eastAsia="zh-CN"/>
        </w:rPr>
      </w:pPr>
      <w:r w:rsidRPr="00FA0D37">
        <w:t xml:space="preserve">The </w:t>
      </w:r>
      <w:r w:rsidRPr="00FA0D37">
        <w:rPr>
          <w:i/>
        </w:rPr>
        <w:t>MobilityFromNRCommand</w:t>
      </w:r>
      <w:r w:rsidRPr="00FA0D37">
        <w:t xml:space="preserve"> message is used to </w:t>
      </w:r>
      <w:r w:rsidRPr="00FA0D37">
        <w:rPr>
          <w:rFonts w:eastAsia="等线"/>
          <w:lang w:eastAsia="zh-CN"/>
        </w:rPr>
        <w:t>command handover from NR to E-UTRA/EPC, E-UTRA/5GC or UTRA-FDD.</w:t>
      </w:r>
    </w:p>
    <w:p w14:paraId="0709E646" w14:textId="77777777" w:rsidR="00394471" w:rsidRPr="00FA0D37" w:rsidRDefault="00394471" w:rsidP="00394471">
      <w:pPr>
        <w:pStyle w:val="B1"/>
        <w:rPr>
          <w:rFonts w:eastAsia="等线"/>
          <w:lang w:eastAsia="zh-CN"/>
        </w:rPr>
      </w:pPr>
      <w:r w:rsidRPr="00FA0D37">
        <w:rPr>
          <w:rFonts w:eastAsia="等线"/>
          <w:lang w:eastAsia="zh-CN"/>
        </w:rPr>
        <w:t>Signalling radio bearer: SRB1</w:t>
      </w:r>
    </w:p>
    <w:p w14:paraId="21D3CDBE" w14:textId="77777777" w:rsidR="00394471" w:rsidRPr="00FA0D37" w:rsidRDefault="00394471" w:rsidP="00394471">
      <w:pPr>
        <w:pStyle w:val="B1"/>
        <w:rPr>
          <w:rFonts w:eastAsia="等线"/>
          <w:lang w:eastAsia="zh-CN"/>
        </w:rPr>
      </w:pPr>
      <w:r w:rsidRPr="00FA0D37">
        <w:rPr>
          <w:rFonts w:eastAsia="等线"/>
          <w:lang w:eastAsia="zh-CN"/>
        </w:rPr>
        <w:t>RLC-SAP: AM</w:t>
      </w:r>
    </w:p>
    <w:p w14:paraId="5588C258" w14:textId="77777777" w:rsidR="00394471" w:rsidRPr="00FA0D37" w:rsidRDefault="00394471" w:rsidP="00394471">
      <w:pPr>
        <w:pStyle w:val="B1"/>
        <w:rPr>
          <w:rFonts w:eastAsia="等线"/>
          <w:lang w:eastAsia="zh-CN"/>
        </w:rPr>
      </w:pPr>
      <w:r w:rsidRPr="00FA0D37">
        <w:rPr>
          <w:rFonts w:eastAsia="等线"/>
          <w:lang w:eastAsia="zh-CN"/>
        </w:rPr>
        <w:t>Logical channel: DCCH</w:t>
      </w:r>
    </w:p>
    <w:p w14:paraId="7A949F61" w14:textId="77777777" w:rsidR="00394471" w:rsidRPr="00FA0D37" w:rsidRDefault="00394471" w:rsidP="00394471">
      <w:pPr>
        <w:pStyle w:val="B1"/>
      </w:pPr>
      <w:r w:rsidRPr="00FA0D37">
        <w:rPr>
          <w:rFonts w:eastAsia="等线"/>
          <w:lang w:eastAsia="zh-CN"/>
        </w:rPr>
        <w:t>Direction: Network to UE</w:t>
      </w:r>
    </w:p>
    <w:p w14:paraId="32B33E48" w14:textId="77777777" w:rsidR="00394471" w:rsidRPr="00FA0D37" w:rsidRDefault="00394471" w:rsidP="00394471">
      <w:pPr>
        <w:pStyle w:val="TH"/>
      </w:pPr>
      <w:r w:rsidRPr="00FA0D37">
        <w:rPr>
          <w:i/>
        </w:rPr>
        <w:lastRenderedPageBreak/>
        <w:t>MobilityFromNRCommand</w:t>
      </w:r>
      <w:r w:rsidRPr="00FA0D37">
        <w:t xml:space="preserve"> message</w:t>
      </w:r>
    </w:p>
    <w:p w14:paraId="21691551" w14:textId="77777777" w:rsidR="00394471" w:rsidRPr="00FA0D37" w:rsidRDefault="00394471" w:rsidP="00FA0D37">
      <w:pPr>
        <w:pStyle w:val="PL"/>
        <w:rPr>
          <w:color w:val="808080"/>
        </w:rPr>
      </w:pPr>
      <w:r w:rsidRPr="00FA0D37">
        <w:rPr>
          <w:color w:val="808080"/>
        </w:rPr>
        <w:t>-- ASN1START</w:t>
      </w:r>
    </w:p>
    <w:p w14:paraId="57639100" w14:textId="77777777" w:rsidR="00394471" w:rsidRPr="00FA0D37" w:rsidRDefault="00394471" w:rsidP="00FA0D37">
      <w:pPr>
        <w:pStyle w:val="PL"/>
        <w:rPr>
          <w:color w:val="808080"/>
        </w:rPr>
      </w:pPr>
      <w:r w:rsidRPr="00FA0D37">
        <w:rPr>
          <w:color w:val="808080"/>
        </w:rPr>
        <w:t>-- TAG-MOBILITYFROMNRCOMMAND-START</w:t>
      </w:r>
    </w:p>
    <w:p w14:paraId="21BE9F45" w14:textId="77777777" w:rsidR="00394471" w:rsidRPr="00FA0D37" w:rsidRDefault="00394471" w:rsidP="00FA0D37">
      <w:pPr>
        <w:pStyle w:val="PL"/>
      </w:pPr>
    </w:p>
    <w:p w14:paraId="28F0CD9E" w14:textId="77777777" w:rsidR="00394471" w:rsidRPr="00FA0D37" w:rsidRDefault="00394471" w:rsidP="00FA0D37">
      <w:pPr>
        <w:pStyle w:val="PL"/>
      </w:pPr>
      <w:r w:rsidRPr="00FA0D37">
        <w:t xml:space="preserve">MobilityFromNRCommand ::=           </w:t>
      </w:r>
      <w:r w:rsidRPr="00FA0D37">
        <w:rPr>
          <w:color w:val="993366"/>
        </w:rPr>
        <w:t>SEQUENCE</w:t>
      </w:r>
      <w:r w:rsidRPr="00FA0D37">
        <w:t xml:space="preserve"> {</w:t>
      </w:r>
    </w:p>
    <w:p w14:paraId="390CFF0A" w14:textId="77777777" w:rsidR="00394471" w:rsidRPr="00FA0D37" w:rsidRDefault="00394471" w:rsidP="00FA0D37">
      <w:pPr>
        <w:pStyle w:val="PL"/>
      </w:pPr>
      <w:r w:rsidRPr="00FA0D37">
        <w:t xml:space="preserve">    rrc-TransactionIdentifier           RRC-TransactionIdentifier,</w:t>
      </w:r>
    </w:p>
    <w:p w14:paraId="42A0F7E7"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34532785" w14:textId="77777777" w:rsidR="00394471" w:rsidRPr="00FA0D37" w:rsidRDefault="00394471" w:rsidP="00FA0D37">
      <w:pPr>
        <w:pStyle w:val="PL"/>
      </w:pPr>
      <w:r w:rsidRPr="00FA0D37">
        <w:t xml:space="preserve">            mobilityFromNRCommand           MobilityFromNRCommand-IEs,</w:t>
      </w:r>
    </w:p>
    <w:p w14:paraId="751FE18B"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631C9598" w14:textId="77777777" w:rsidR="00394471" w:rsidRPr="00FA0D37" w:rsidRDefault="00394471" w:rsidP="00FA0D37">
      <w:pPr>
        <w:pStyle w:val="PL"/>
      </w:pPr>
      <w:r w:rsidRPr="00FA0D37">
        <w:t xml:space="preserve">    }</w:t>
      </w:r>
    </w:p>
    <w:p w14:paraId="5AA3CB0C" w14:textId="77777777" w:rsidR="00394471" w:rsidRPr="00FA0D37" w:rsidRDefault="00394471" w:rsidP="00FA0D37">
      <w:pPr>
        <w:pStyle w:val="PL"/>
      </w:pPr>
      <w:r w:rsidRPr="00FA0D37">
        <w:t>}</w:t>
      </w:r>
    </w:p>
    <w:p w14:paraId="58B17B9A" w14:textId="77777777" w:rsidR="00394471" w:rsidRPr="00FA0D37" w:rsidRDefault="00394471" w:rsidP="00FA0D37">
      <w:pPr>
        <w:pStyle w:val="PL"/>
      </w:pPr>
    </w:p>
    <w:p w14:paraId="2BDFA088" w14:textId="77777777" w:rsidR="00394471" w:rsidRPr="00FA0D37" w:rsidRDefault="00394471" w:rsidP="00FA0D37">
      <w:pPr>
        <w:pStyle w:val="PL"/>
      </w:pPr>
      <w:r w:rsidRPr="00FA0D37">
        <w:t xml:space="preserve">MobilityFromNRCommand-IEs ::=       </w:t>
      </w:r>
      <w:r w:rsidRPr="00FA0D37">
        <w:rPr>
          <w:color w:val="993366"/>
        </w:rPr>
        <w:t>SEQUENCE</w:t>
      </w:r>
      <w:r w:rsidRPr="00FA0D37">
        <w:t xml:space="preserve"> {</w:t>
      </w:r>
    </w:p>
    <w:p w14:paraId="3D1E563A" w14:textId="77777777" w:rsidR="00394471" w:rsidRPr="00FA0D37" w:rsidRDefault="00394471" w:rsidP="00FA0D37">
      <w:pPr>
        <w:pStyle w:val="PL"/>
      </w:pPr>
      <w:r w:rsidRPr="00FA0D37">
        <w:t xml:space="preserve">    targetRAT-Type                      </w:t>
      </w:r>
      <w:r w:rsidRPr="00FA0D37">
        <w:rPr>
          <w:color w:val="993366"/>
        </w:rPr>
        <w:t>ENUMERATED</w:t>
      </w:r>
      <w:r w:rsidRPr="00FA0D37">
        <w:t xml:space="preserve"> { eutra, utra-fdd-v1610, spare2, spare1, ...},</w:t>
      </w:r>
    </w:p>
    <w:p w14:paraId="4FDEBA39" w14:textId="77777777" w:rsidR="00394471" w:rsidRPr="00FA0D37" w:rsidRDefault="00394471" w:rsidP="00FA0D37">
      <w:pPr>
        <w:pStyle w:val="PL"/>
      </w:pPr>
      <w:r w:rsidRPr="00FA0D37">
        <w:t xml:space="preserve">    targetRAT-MessageContainer          </w:t>
      </w:r>
      <w:r w:rsidRPr="00FA0D37">
        <w:rPr>
          <w:color w:val="993366"/>
        </w:rPr>
        <w:t>OCTET</w:t>
      </w:r>
      <w:r w:rsidRPr="00FA0D37">
        <w:t xml:space="preserve"> </w:t>
      </w:r>
      <w:r w:rsidRPr="00FA0D37">
        <w:rPr>
          <w:color w:val="993366"/>
        </w:rPr>
        <w:t>STRING</w:t>
      </w:r>
      <w:r w:rsidRPr="00FA0D37">
        <w:t>,</w:t>
      </w:r>
    </w:p>
    <w:p w14:paraId="2E9AFDAA" w14:textId="77777777" w:rsidR="00394471" w:rsidRPr="00FA0D37" w:rsidRDefault="00394471" w:rsidP="00FA0D37">
      <w:pPr>
        <w:pStyle w:val="PL"/>
        <w:rPr>
          <w:color w:val="808080"/>
        </w:rPr>
      </w:pPr>
      <w:r w:rsidRPr="00FA0D37">
        <w:t xml:space="preserve">    nas-SecurityParamFromNR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 xml:space="preserve">,   </w:t>
      </w:r>
      <w:r w:rsidRPr="00FA0D37">
        <w:rPr>
          <w:color w:val="808080"/>
        </w:rPr>
        <w:t>-- Cond HO-ToEPCUTRAN</w:t>
      </w:r>
    </w:p>
    <w:p w14:paraId="0B023E40"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701AC868" w14:textId="77777777" w:rsidR="00394471" w:rsidRPr="00FA0D37" w:rsidRDefault="00394471" w:rsidP="00FA0D37">
      <w:pPr>
        <w:pStyle w:val="PL"/>
      </w:pPr>
      <w:r w:rsidRPr="00FA0D37">
        <w:t xml:space="preserve">    nonCriticalExtension                MobilityFromNRCommand-v1610-IEs                             </w:t>
      </w:r>
      <w:r w:rsidRPr="00FA0D37">
        <w:rPr>
          <w:color w:val="993366"/>
        </w:rPr>
        <w:t>OPTIONAL</w:t>
      </w:r>
    </w:p>
    <w:p w14:paraId="4E872F99" w14:textId="77777777" w:rsidR="00394471" w:rsidRPr="00FA0D37" w:rsidRDefault="00394471" w:rsidP="00FA0D37">
      <w:pPr>
        <w:pStyle w:val="PL"/>
      </w:pPr>
      <w:r w:rsidRPr="00FA0D37">
        <w:t>}</w:t>
      </w:r>
    </w:p>
    <w:p w14:paraId="3339D720" w14:textId="77777777" w:rsidR="00394471" w:rsidRPr="00FA0D37" w:rsidRDefault="00394471" w:rsidP="00FA0D37">
      <w:pPr>
        <w:pStyle w:val="PL"/>
      </w:pPr>
    </w:p>
    <w:p w14:paraId="4CFEB899" w14:textId="77777777" w:rsidR="00394471" w:rsidRPr="00FA0D37" w:rsidRDefault="00394471" w:rsidP="00FA0D37">
      <w:pPr>
        <w:pStyle w:val="PL"/>
      </w:pPr>
      <w:r w:rsidRPr="00FA0D37">
        <w:t xml:space="preserve">MobilityFromNRCommand-v1610-IEs ::=     </w:t>
      </w:r>
      <w:r w:rsidRPr="00FA0D37">
        <w:rPr>
          <w:color w:val="993366"/>
        </w:rPr>
        <w:t>SEQUENCE</w:t>
      </w:r>
      <w:r w:rsidRPr="00FA0D37">
        <w:t xml:space="preserve"> {</w:t>
      </w:r>
    </w:p>
    <w:p w14:paraId="62FC947B" w14:textId="77777777" w:rsidR="00394471" w:rsidRPr="00FA0D37" w:rsidRDefault="00394471" w:rsidP="00FA0D37">
      <w:pPr>
        <w:pStyle w:val="PL"/>
        <w:rPr>
          <w:color w:val="808080"/>
        </w:rPr>
      </w:pPr>
      <w:r w:rsidRPr="00FA0D37">
        <w:t xml:space="preserve">    voiceFallbackIndication-r16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0ED916CB"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394C10A2" w14:textId="77777777" w:rsidR="00394471" w:rsidRPr="00FA0D37" w:rsidRDefault="00394471" w:rsidP="00FA0D37">
      <w:pPr>
        <w:pStyle w:val="PL"/>
      </w:pPr>
      <w:r w:rsidRPr="00FA0D37">
        <w:t>}</w:t>
      </w:r>
    </w:p>
    <w:p w14:paraId="3626FB1B" w14:textId="77777777" w:rsidR="00394471" w:rsidRPr="00FA0D37" w:rsidRDefault="00394471" w:rsidP="00FA0D37">
      <w:pPr>
        <w:pStyle w:val="PL"/>
      </w:pPr>
    </w:p>
    <w:p w14:paraId="107C1600" w14:textId="77777777" w:rsidR="00394471" w:rsidRPr="00FA0D37" w:rsidRDefault="00394471" w:rsidP="00FA0D37">
      <w:pPr>
        <w:pStyle w:val="PL"/>
        <w:rPr>
          <w:color w:val="808080"/>
        </w:rPr>
      </w:pPr>
      <w:r w:rsidRPr="00FA0D37">
        <w:rPr>
          <w:color w:val="808080"/>
        </w:rPr>
        <w:t>-- TAG-MOBILITYFROMNRCOMMAND-STOP</w:t>
      </w:r>
    </w:p>
    <w:p w14:paraId="0364B3A7" w14:textId="77777777" w:rsidR="00394471" w:rsidRPr="00FA0D37" w:rsidRDefault="00394471" w:rsidP="00FA0D37">
      <w:pPr>
        <w:pStyle w:val="PL"/>
        <w:rPr>
          <w:color w:val="808080"/>
        </w:rPr>
      </w:pPr>
      <w:r w:rsidRPr="00FA0D37">
        <w:rPr>
          <w:color w:val="808080"/>
        </w:rPr>
        <w:t>-- ASN1STOP</w:t>
      </w:r>
    </w:p>
    <w:p w14:paraId="494CC33E" w14:textId="77777777" w:rsidR="00394471" w:rsidRPr="00FA0D37" w:rsidRDefault="00394471" w:rsidP="00394471">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0FF18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AF67F" w14:textId="77777777" w:rsidR="00394471" w:rsidRPr="00FA0D37" w:rsidRDefault="00394471" w:rsidP="00964CC4">
            <w:pPr>
              <w:pStyle w:val="TAH"/>
              <w:rPr>
                <w:rFonts w:eastAsia="等线"/>
                <w:szCs w:val="22"/>
                <w:lang w:eastAsia="zh-CN"/>
              </w:rPr>
            </w:pPr>
            <w:r w:rsidRPr="00FA0D37">
              <w:rPr>
                <w:rFonts w:eastAsia="等线"/>
                <w:i/>
                <w:szCs w:val="22"/>
                <w:lang w:eastAsia="zh-CN"/>
              </w:rPr>
              <w:t xml:space="preserve">MobilityFromNRCommand-IEs </w:t>
            </w:r>
            <w:r w:rsidRPr="00FA0D37">
              <w:rPr>
                <w:rFonts w:eastAsia="等线"/>
                <w:szCs w:val="22"/>
                <w:lang w:eastAsia="zh-CN"/>
              </w:rPr>
              <w:t>field descriptions</w:t>
            </w:r>
          </w:p>
        </w:tc>
      </w:tr>
      <w:tr w:rsidR="005C7FF4" w:rsidRPr="00FA0D37" w14:paraId="2E9741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9AF01" w14:textId="77777777" w:rsidR="00394471" w:rsidRPr="00FA0D37" w:rsidRDefault="00394471" w:rsidP="00964CC4">
            <w:pPr>
              <w:pStyle w:val="TAL"/>
              <w:rPr>
                <w:rFonts w:eastAsia="等线"/>
                <w:b/>
                <w:bCs/>
                <w:i/>
                <w:iCs/>
                <w:lang w:eastAsia="sv-SE"/>
              </w:rPr>
            </w:pPr>
            <w:r w:rsidRPr="00FA0D37">
              <w:rPr>
                <w:rFonts w:eastAsia="等线"/>
                <w:b/>
                <w:bCs/>
                <w:i/>
                <w:iCs/>
                <w:lang w:eastAsia="sv-SE"/>
              </w:rPr>
              <w:t>nas-SecurityParamFromNR</w:t>
            </w:r>
          </w:p>
          <w:p w14:paraId="426B6F3D" w14:textId="1199480E" w:rsidR="00394471" w:rsidRPr="00FA0D37" w:rsidRDefault="00394471" w:rsidP="00964CC4">
            <w:pPr>
              <w:pStyle w:val="TAL"/>
              <w:rPr>
                <w:rFonts w:eastAsia="等线"/>
                <w:lang w:eastAsia="sv-SE"/>
              </w:rPr>
            </w:pPr>
            <w:r w:rsidRPr="00FA0D37">
              <w:rPr>
                <w:rFonts w:eastAsia="等线"/>
                <w:lang w:eastAsia="sv-SE"/>
              </w:rPr>
              <w:t xml:space="preserve">If </w:t>
            </w:r>
            <w:r w:rsidRPr="00FA0D37">
              <w:rPr>
                <w:rFonts w:eastAsia="等线"/>
                <w:i/>
                <w:iCs/>
                <w:lang w:eastAsia="sv-SE"/>
              </w:rPr>
              <w:t>targetRAT-Type</w:t>
            </w:r>
            <w:r w:rsidRPr="00FA0D37">
              <w:rPr>
                <w:rFonts w:eastAsia="等线"/>
                <w:lang w:eastAsia="sv-SE"/>
              </w:rPr>
              <w:t xml:space="preserve"> is </w:t>
            </w:r>
            <w:r w:rsidRPr="00FA0D37">
              <w:rPr>
                <w:rFonts w:eastAsia="等线"/>
                <w:i/>
                <w:iCs/>
                <w:lang w:eastAsia="sv-SE"/>
              </w:rPr>
              <w:t>eutra</w:t>
            </w:r>
            <w:r w:rsidRPr="00FA0D37">
              <w:rPr>
                <w:rFonts w:eastAsia="等线"/>
                <w:lang w:eastAsia="sv-SE"/>
              </w:rPr>
              <w:t>, this field is used to deliver the key synchronisation and Key freshness for the NR to LTE/EPC handovers and a part of the downlink NAS COUNT as specified in TS 33.501 [11]</w:t>
            </w:r>
            <w:r w:rsidR="00E332C3" w:rsidRPr="00FA0D37">
              <w:rPr>
                <w:rFonts w:eastAsia="等线"/>
                <w:lang w:eastAsia="sv-SE"/>
              </w:rPr>
              <w:t xml:space="preserve"> and the content of the parameter is defined in TS 24.501 [23]</w:t>
            </w:r>
            <w:r w:rsidRPr="00FA0D37">
              <w:rPr>
                <w:rFonts w:eastAsia="等线"/>
                <w:lang w:eastAsia="sv-SE"/>
              </w:rPr>
              <w:t xml:space="preserve">. If </w:t>
            </w:r>
            <w:r w:rsidRPr="00FA0D37">
              <w:rPr>
                <w:rFonts w:eastAsia="等线"/>
                <w:i/>
                <w:iCs/>
                <w:lang w:eastAsia="sv-SE"/>
              </w:rPr>
              <w:t>targetRAT-Type</w:t>
            </w:r>
            <w:r w:rsidRPr="00FA0D37">
              <w:rPr>
                <w:rFonts w:eastAsia="等线"/>
                <w:lang w:eastAsia="sv-SE"/>
              </w:rPr>
              <w:t xml:space="preserve"> is </w:t>
            </w:r>
            <w:r w:rsidRPr="00FA0D37">
              <w:rPr>
                <w:rFonts w:eastAsia="等线"/>
                <w:i/>
                <w:iCs/>
                <w:lang w:eastAsia="sv-SE"/>
              </w:rPr>
              <w:t>utra-fdd</w:t>
            </w:r>
            <w:r w:rsidRPr="00FA0D37">
              <w:rPr>
                <w:rFonts w:eastAsia="等线"/>
                <w:lang w:eastAsia="sv-SE"/>
              </w:rPr>
              <w:t>, this field is used to deliver the key synchronisation and Key freshness for the NR to FDD UTRAN handover and a part of the downlink NAS COUNT as specified in TS 33.501 [11]</w:t>
            </w:r>
            <w:r w:rsidR="00E332C3" w:rsidRPr="00FA0D37">
              <w:rPr>
                <w:rFonts w:eastAsia="等线"/>
                <w:lang w:eastAsia="sv-SE"/>
              </w:rPr>
              <w:t xml:space="preserve"> and the content of the parameter is defined in TS 24.501 [23]</w:t>
            </w:r>
            <w:r w:rsidRPr="00FA0D37">
              <w:rPr>
                <w:rFonts w:eastAsia="等线"/>
                <w:lang w:eastAsia="sv-SE"/>
              </w:rPr>
              <w:t>.</w:t>
            </w:r>
          </w:p>
        </w:tc>
      </w:tr>
      <w:tr w:rsidR="005C7FF4" w:rsidRPr="00FA0D37" w14:paraId="154D9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BDF92E" w14:textId="77777777" w:rsidR="00394471" w:rsidRPr="00FA0D37" w:rsidRDefault="00394471" w:rsidP="00964CC4">
            <w:pPr>
              <w:pStyle w:val="TAL"/>
              <w:rPr>
                <w:rFonts w:eastAsia="等线"/>
                <w:szCs w:val="22"/>
                <w:lang w:eastAsia="zh-CN"/>
              </w:rPr>
            </w:pPr>
            <w:r w:rsidRPr="00FA0D37">
              <w:rPr>
                <w:rFonts w:eastAsia="等线"/>
                <w:b/>
                <w:i/>
                <w:szCs w:val="22"/>
                <w:lang w:eastAsia="zh-CN"/>
              </w:rPr>
              <w:t>targetRAT-MessageContainer</w:t>
            </w:r>
          </w:p>
          <w:p w14:paraId="420D5A4A" w14:textId="77777777" w:rsidR="00394471" w:rsidRPr="00FA0D37" w:rsidRDefault="00394471" w:rsidP="00964CC4">
            <w:pPr>
              <w:pStyle w:val="TAL"/>
              <w:rPr>
                <w:rFonts w:eastAsia="等线"/>
                <w:szCs w:val="22"/>
                <w:lang w:eastAsia="zh-CN"/>
              </w:rPr>
            </w:pPr>
            <w:r w:rsidRPr="00FA0D37">
              <w:rPr>
                <w:rFonts w:eastAsia="等线"/>
                <w:szCs w:val="22"/>
                <w:lang w:eastAsia="zh-CN"/>
              </w:rPr>
              <w:t xml:space="preserve">The field contains a message specified in another standard, as indicated by the </w:t>
            </w:r>
            <w:r w:rsidRPr="00FA0D37">
              <w:rPr>
                <w:rFonts w:eastAsia="等线"/>
                <w:i/>
                <w:lang w:eastAsia="sv-SE"/>
              </w:rPr>
              <w:t>targetRAT-Type</w:t>
            </w:r>
            <w:r w:rsidRPr="00FA0D37">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5C7FF4" w:rsidRPr="00FA0D37" w14:paraId="2FCC11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A7F90D" w14:textId="77777777" w:rsidR="00394471" w:rsidRPr="00FA0D37" w:rsidRDefault="00394471" w:rsidP="00964CC4">
            <w:pPr>
              <w:pStyle w:val="TAL"/>
              <w:rPr>
                <w:rFonts w:eastAsia="等线"/>
                <w:szCs w:val="22"/>
                <w:lang w:eastAsia="zh-CN"/>
              </w:rPr>
            </w:pPr>
            <w:r w:rsidRPr="00FA0D37">
              <w:rPr>
                <w:rFonts w:eastAsia="等线"/>
                <w:b/>
                <w:i/>
                <w:szCs w:val="22"/>
                <w:lang w:eastAsia="zh-CN"/>
              </w:rPr>
              <w:t>targetRAT-Type</w:t>
            </w:r>
          </w:p>
          <w:p w14:paraId="330A5E2F" w14:textId="77777777" w:rsidR="00394471" w:rsidRPr="00FA0D37" w:rsidRDefault="00394471" w:rsidP="00964CC4">
            <w:pPr>
              <w:pStyle w:val="TAL"/>
              <w:rPr>
                <w:rFonts w:eastAsia="等线"/>
                <w:szCs w:val="22"/>
                <w:lang w:eastAsia="zh-CN"/>
              </w:rPr>
            </w:pPr>
            <w:r w:rsidRPr="00FA0D37">
              <w:rPr>
                <w:rFonts w:eastAsia="等线"/>
                <w:szCs w:val="22"/>
                <w:lang w:eastAsia="zh-CN"/>
              </w:rPr>
              <w:t>Indicates the target RAT type.</w:t>
            </w:r>
          </w:p>
        </w:tc>
      </w:tr>
      <w:tr w:rsidR="00394471" w:rsidRPr="00FA0D37" w14:paraId="4A1624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CB592B" w14:textId="77777777" w:rsidR="00394471" w:rsidRPr="00FA0D37" w:rsidRDefault="00394471" w:rsidP="00964CC4">
            <w:pPr>
              <w:pStyle w:val="TAL"/>
              <w:rPr>
                <w:b/>
                <w:bCs/>
                <w:i/>
                <w:iCs/>
                <w:noProof/>
                <w:lang w:eastAsia="sv-SE"/>
              </w:rPr>
            </w:pPr>
            <w:r w:rsidRPr="00FA0D37">
              <w:rPr>
                <w:b/>
                <w:bCs/>
                <w:i/>
                <w:iCs/>
                <w:noProof/>
                <w:lang w:eastAsia="sv-SE"/>
              </w:rPr>
              <w:t>voiceFallbackIndication</w:t>
            </w:r>
          </w:p>
          <w:p w14:paraId="0E28B0DF" w14:textId="77777777" w:rsidR="00394471" w:rsidRPr="00FA0D37" w:rsidRDefault="00394471" w:rsidP="00964CC4">
            <w:pPr>
              <w:pStyle w:val="TAL"/>
              <w:rPr>
                <w:rFonts w:eastAsia="等线" w:cs="Arial"/>
                <w:szCs w:val="18"/>
                <w:lang w:eastAsia="zh-CN"/>
              </w:rPr>
            </w:pPr>
            <w:r w:rsidRPr="00FA0D37">
              <w:rPr>
                <w:rFonts w:cs="Arial"/>
                <w:szCs w:val="18"/>
                <w:lang w:eastAsia="sv-SE"/>
              </w:rPr>
              <w:t>Indicates the handover is triggered by EPS fallback for IMS voice as specified in TS 23.502 [43].</w:t>
            </w:r>
          </w:p>
        </w:tc>
      </w:tr>
    </w:tbl>
    <w:p w14:paraId="4E783D94" w14:textId="77777777" w:rsidR="00394471" w:rsidRPr="00FA0D37" w:rsidRDefault="00394471" w:rsidP="00394471">
      <w:pPr>
        <w:rPr>
          <w:rFonts w:eastAsia="等线"/>
          <w:lang w:eastAsia="zh-CN"/>
        </w:rPr>
      </w:pPr>
    </w:p>
    <w:p w14:paraId="75DF2A4F" w14:textId="77777777" w:rsidR="00394471" w:rsidRPr="00FA0D37" w:rsidRDefault="00394471" w:rsidP="00394471">
      <w:pPr>
        <w:pStyle w:val="NO"/>
        <w:rPr>
          <w:rFonts w:eastAsia="宋体"/>
        </w:rPr>
      </w:pPr>
      <w:r w:rsidRPr="00FA0D37">
        <w:rPr>
          <w:rFonts w:eastAsia="宋体"/>
        </w:rPr>
        <w:t>NOTE 1:</w:t>
      </w:r>
      <w:r w:rsidRPr="00FA0D37">
        <w:rPr>
          <w:rFonts w:eastAsia="宋体"/>
        </w:rPr>
        <w:tab/>
        <w:t xml:space="preserve">The correspondence between the value of the </w:t>
      </w:r>
      <w:r w:rsidRPr="00FA0D37">
        <w:rPr>
          <w:rFonts w:eastAsia="宋体"/>
          <w:i/>
        </w:rPr>
        <w:t>targetRAT-Type</w:t>
      </w:r>
      <w:r w:rsidRPr="00FA0D37">
        <w:rPr>
          <w:rFonts w:eastAsia="宋体"/>
        </w:rPr>
        <w:t xml:space="preserve">, the standard to apply, and the message contained within the </w:t>
      </w:r>
      <w:r w:rsidRPr="00FA0D37">
        <w:rPr>
          <w:rFonts w:eastAsia="等线"/>
          <w:i/>
          <w:iCs/>
        </w:rPr>
        <w:t>targetRAT-MessageContainer</w:t>
      </w:r>
      <w:r w:rsidRPr="00FA0D37">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5C7FF4" w:rsidRPr="00FA0D37" w14:paraId="40BF8307"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D6706D9" w14:textId="77777777" w:rsidR="00394471" w:rsidRPr="00FA0D37" w:rsidRDefault="00394471" w:rsidP="00964CC4">
            <w:pPr>
              <w:pStyle w:val="TAH"/>
              <w:rPr>
                <w:rFonts w:eastAsia="Batang"/>
                <w:lang w:eastAsia="en-GB"/>
              </w:rPr>
            </w:pPr>
            <w:r w:rsidRPr="00FA0D37">
              <w:rPr>
                <w:rFonts w:eastAsia="Batang"/>
                <w:noProof/>
                <w:lang w:eastAsia="en-GB"/>
              </w:rPr>
              <w:lastRenderedPageBreak/>
              <w:t>targetRAT-Type</w:t>
            </w:r>
          </w:p>
        </w:tc>
        <w:tc>
          <w:tcPr>
            <w:tcW w:w="0" w:type="auto"/>
            <w:tcBorders>
              <w:top w:val="single" w:sz="4" w:space="0" w:color="auto"/>
              <w:left w:val="single" w:sz="4" w:space="0" w:color="auto"/>
              <w:bottom w:val="single" w:sz="4" w:space="0" w:color="auto"/>
              <w:right w:val="single" w:sz="4" w:space="0" w:color="auto"/>
            </w:tcBorders>
            <w:hideMark/>
          </w:tcPr>
          <w:p w14:paraId="447E66E8" w14:textId="77777777" w:rsidR="00394471" w:rsidRPr="00FA0D37" w:rsidRDefault="00394471" w:rsidP="00964CC4">
            <w:pPr>
              <w:pStyle w:val="TAH"/>
              <w:rPr>
                <w:rFonts w:eastAsia="Batang"/>
                <w:lang w:eastAsia="en-GB"/>
              </w:rPr>
            </w:pPr>
            <w:r w:rsidRPr="00FA0D37">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03EB556" w14:textId="77777777" w:rsidR="00394471" w:rsidRPr="00FA0D37" w:rsidRDefault="00394471" w:rsidP="00964CC4">
            <w:pPr>
              <w:pStyle w:val="TAH"/>
              <w:rPr>
                <w:rFonts w:eastAsia="Batang"/>
                <w:lang w:eastAsia="en-GB"/>
              </w:rPr>
            </w:pPr>
            <w:r w:rsidRPr="00FA0D37">
              <w:rPr>
                <w:rFonts w:eastAsia="Batang"/>
                <w:noProof/>
                <w:lang w:eastAsia="en-GB"/>
              </w:rPr>
              <w:t>targetRAT-MessageContainer</w:t>
            </w:r>
          </w:p>
        </w:tc>
      </w:tr>
      <w:tr w:rsidR="005C7FF4" w:rsidRPr="00FA0D37" w14:paraId="02FC375A"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E1274C5" w14:textId="77777777" w:rsidR="00394471" w:rsidRPr="00FA0D37" w:rsidRDefault="00394471" w:rsidP="00964CC4">
            <w:pPr>
              <w:pStyle w:val="TAL"/>
              <w:rPr>
                <w:rFonts w:eastAsia="Batang"/>
                <w:i/>
                <w:iCs/>
                <w:lang w:eastAsia="sv-SE"/>
              </w:rPr>
            </w:pPr>
            <w:r w:rsidRPr="00FA0D37">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75165925" w14:textId="77777777" w:rsidR="00394471" w:rsidRPr="00FA0D37" w:rsidRDefault="00394471" w:rsidP="00964CC4">
            <w:pPr>
              <w:pStyle w:val="TAL"/>
              <w:rPr>
                <w:rFonts w:eastAsia="Batang"/>
                <w:lang w:eastAsia="sv-SE"/>
              </w:rPr>
            </w:pPr>
            <w:r w:rsidRPr="00FA0D37">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7566C764" w14:textId="77777777" w:rsidR="00394471" w:rsidRPr="00FA0D37" w:rsidRDefault="00394471" w:rsidP="00964CC4">
            <w:pPr>
              <w:pStyle w:val="TAL"/>
              <w:rPr>
                <w:rFonts w:eastAsia="Batang"/>
                <w:lang w:eastAsia="sv-SE"/>
              </w:rPr>
            </w:pPr>
            <w:r w:rsidRPr="00FA0D37">
              <w:rPr>
                <w:i/>
                <w:iCs/>
                <w:lang w:eastAsia="sv-SE"/>
              </w:rPr>
              <w:t>DL-DCCH-Message</w:t>
            </w:r>
            <w:r w:rsidRPr="00FA0D37">
              <w:rPr>
                <w:lang w:eastAsia="zh-CN"/>
              </w:rPr>
              <w:t xml:space="preserve"> including the</w:t>
            </w:r>
            <w:r w:rsidRPr="00FA0D37">
              <w:rPr>
                <w:rFonts w:eastAsia="Batang"/>
                <w:lang w:eastAsia="sv-SE"/>
              </w:rPr>
              <w:t xml:space="preserve"> </w:t>
            </w:r>
            <w:r w:rsidRPr="00FA0D37">
              <w:rPr>
                <w:rFonts w:eastAsia="Batang"/>
                <w:i/>
                <w:iCs/>
                <w:lang w:eastAsia="sv-SE"/>
              </w:rPr>
              <w:t>RRCConnectionReconfiguration</w:t>
            </w:r>
          </w:p>
        </w:tc>
      </w:tr>
      <w:tr w:rsidR="00394471" w:rsidRPr="00FA0D37" w14:paraId="751B7D86"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0E41A17" w14:textId="77777777" w:rsidR="00394471" w:rsidRPr="00FA0D37" w:rsidRDefault="00394471" w:rsidP="00964CC4">
            <w:pPr>
              <w:pStyle w:val="TAL"/>
              <w:rPr>
                <w:rFonts w:eastAsia="Batang"/>
                <w:i/>
                <w:noProof/>
                <w:lang w:eastAsia="en-GB"/>
              </w:rPr>
            </w:pPr>
            <w:r w:rsidRPr="00FA0D37">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9C9A625" w14:textId="77777777" w:rsidR="00394471" w:rsidRPr="00FA0D37" w:rsidRDefault="00394471" w:rsidP="00964CC4">
            <w:pPr>
              <w:pStyle w:val="TAL"/>
              <w:rPr>
                <w:rFonts w:eastAsia="Batang"/>
                <w:noProof/>
                <w:lang w:eastAsia="en-GB"/>
              </w:rPr>
            </w:pPr>
            <w:r w:rsidRPr="00FA0D37">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77F7B659" w14:textId="77777777" w:rsidR="00394471" w:rsidRPr="00FA0D37" w:rsidRDefault="00394471" w:rsidP="00964CC4">
            <w:pPr>
              <w:pStyle w:val="TAL"/>
              <w:rPr>
                <w:i/>
                <w:lang w:eastAsia="sv-SE"/>
              </w:rPr>
            </w:pPr>
            <w:r w:rsidRPr="00FA0D37">
              <w:rPr>
                <w:i/>
                <w:lang w:eastAsia="sv-SE"/>
              </w:rPr>
              <w:t>Handover TO UTRAN command</w:t>
            </w:r>
          </w:p>
        </w:tc>
      </w:tr>
    </w:tbl>
    <w:p w14:paraId="3AAB6DF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02393FE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DA7B444" w14:textId="77777777" w:rsidR="00394471" w:rsidRPr="00FA0D37" w:rsidRDefault="00394471" w:rsidP="00964CC4">
            <w:pPr>
              <w:pStyle w:val="TAH"/>
              <w:rPr>
                <w:szCs w:val="22"/>
                <w:lang w:eastAsia="sv-SE"/>
              </w:rPr>
            </w:pPr>
            <w:r w:rsidRPr="00FA0D3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BB6C60" w14:textId="77777777" w:rsidR="00394471" w:rsidRPr="00FA0D37" w:rsidRDefault="00394471" w:rsidP="00964CC4">
            <w:pPr>
              <w:pStyle w:val="TAH"/>
              <w:rPr>
                <w:szCs w:val="22"/>
                <w:lang w:eastAsia="sv-SE"/>
              </w:rPr>
            </w:pPr>
            <w:r w:rsidRPr="00FA0D37">
              <w:rPr>
                <w:szCs w:val="22"/>
                <w:lang w:eastAsia="sv-SE"/>
              </w:rPr>
              <w:t>Explanation</w:t>
            </w:r>
          </w:p>
        </w:tc>
      </w:tr>
      <w:tr w:rsidR="00394471" w:rsidRPr="00FA0D37" w14:paraId="167B2C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955F82E" w14:textId="77777777" w:rsidR="00394471" w:rsidRPr="00FA0D37" w:rsidRDefault="00394471" w:rsidP="00964CC4">
            <w:pPr>
              <w:pStyle w:val="TAL"/>
              <w:rPr>
                <w:i/>
                <w:szCs w:val="22"/>
                <w:lang w:eastAsia="sv-SE"/>
              </w:rPr>
            </w:pPr>
            <w:r w:rsidRPr="00FA0D37">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221EE670" w14:textId="5697C56B" w:rsidR="00394471" w:rsidRPr="00FA0D37" w:rsidRDefault="00394471" w:rsidP="00964CC4">
            <w:pPr>
              <w:pStyle w:val="TAL"/>
              <w:rPr>
                <w:szCs w:val="22"/>
                <w:lang w:eastAsia="sv-SE"/>
              </w:rPr>
            </w:pPr>
            <w:r w:rsidRPr="00FA0D37">
              <w:rPr>
                <w:szCs w:val="22"/>
                <w:lang w:eastAsia="sv-SE"/>
              </w:rPr>
              <w:t>This field is mandatory present in case of inter system handover to "EPC" or "FDD UTRAN". Otherwise it is absent.</w:t>
            </w:r>
          </w:p>
        </w:tc>
      </w:tr>
    </w:tbl>
    <w:p w14:paraId="0C541D8D" w14:textId="77777777" w:rsidR="00EF781F" w:rsidRDefault="00EF781F" w:rsidP="00EF781F">
      <w:bookmarkStart w:id="596" w:name="_Toc60777105"/>
      <w:bookmarkStart w:id="597" w:name="_Toc146781142"/>
    </w:p>
    <w:p w14:paraId="11FE6A84" w14:textId="77777777" w:rsidR="00EF781F" w:rsidRDefault="00EF781F" w:rsidP="00EF781F">
      <w:pPr>
        <w:pStyle w:val="4"/>
      </w:pPr>
      <w:bookmarkStart w:id="598" w:name="_Toc146781141"/>
      <w:bookmarkStart w:id="599" w:name="_Toc60777104"/>
      <w:r>
        <w:t>–</w:t>
      </w:r>
      <w:r>
        <w:tab/>
      </w:r>
      <w:r w:rsidRPr="00EF781F">
        <w:rPr>
          <w:i/>
        </w:rPr>
        <w:t>Paging</w:t>
      </w:r>
    </w:p>
    <w:p w14:paraId="6848F795" w14:textId="77777777" w:rsidR="00EF781F" w:rsidRDefault="00EF781F" w:rsidP="00EF781F">
      <w:pPr>
        <w:rPr>
          <w:iCs/>
        </w:rPr>
      </w:pPr>
      <w:r>
        <w:t xml:space="preserve">The </w:t>
      </w:r>
      <w:r>
        <w:rPr>
          <w:i/>
        </w:rPr>
        <w:t>Paging</w:t>
      </w:r>
      <w:r>
        <w:t xml:space="preserve"> message is used for the notification of one or more UEs.</w:t>
      </w:r>
    </w:p>
    <w:p w14:paraId="524F00B8" w14:textId="77777777" w:rsidR="00EF781F" w:rsidRDefault="00EF781F" w:rsidP="00EF781F">
      <w:pPr>
        <w:pStyle w:val="B1"/>
      </w:pPr>
      <w:r>
        <w:t>Signalling radio bearer: N/A</w:t>
      </w:r>
    </w:p>
    <w:p w14:paraId="3BDB7AC5" w14:textId="77777777" w:rsidR="00EF781F" w:rsidRDefault="00EF781F" w:rsidP="00EF781F">
      <w:pPr>
        <w:pStyle w:val="B1"/>
      </w:pPr>
      <w:r>
        <w:t>RLC-SAP: TM</w:t>
      </w:r>
    </w:p>
    <w:p w14:paraId="6E01AEEE" w14:textId="77777777" w:rsidR="00EF781F" w:rsidRDefault="00EF781F" w:rsidP="00EF781F">
      <w:pPr>
        <w:pStyle w:val="B1"/>
      </w:pPr>
      <w:r>
        <w:t>Logical channel: PCCH</w:t>
      </w:r>
    </w:p>
    <w:p w14:paraId="51A0D8B8" w14:textId="77777777" w:rsidR="00EF781F" w:rsidRDefault="00EF781F" w:rsidP="00EF781F">
      <w:pPr>
        <w:pStyle w:val="B1"/>
      </w:pPr>
      <w:r>
        <w:t>Direction: Network to UE</w:t>
      </w:r>
    </w:p>
    <w:p w14:paraId="22A6F937" w14:textId="77777777" w:rsidR="00EF781F" w:rsidRPr="00EF781F" w:rsidRDefault="00EF781F" w:rsidP="00EF781F">
      <w:pPr>
        <w:pStyle w:val="TH"/>
        <w:rPr>
          <w:i/>
        </w:rPr>
      </w:pPr>
      <w:r w:rsidRPr="00EF781F">
        <w:rPr>
          <w:i/>
        </w:rPr>
        <w:t>Paging message</w:t>
      </w:r>
    </w:p>
    <w:p w14:paraId="7AB37BCF" w14:textId="77777777" w:rsidR="00EF781F" w:rsidRPr="008D7C7E" w:rsidRDefault="00EF781F" w:rsidP="00EF781F">
      <w:pPr>
        <w:pStyle w:val="PL"/>
        <w:rPr>
          <w:color w:val="808080"/>
        </w:rPr>
      </w:pPr>
      <w:r w:rsidRPr="008D7C7E">
        <w:rPr>
          <w:color w:val="808080"/>
        </w:rPr>
        <w:t>-- ASN1START</w:t>
      </w:r>
    </w:p>
    <w:p w14:paraId="52A1A351" w14:textId="77777777" w:rsidR="00EF781F" w:rsidRPr="008D7C7E" w:rsidRDefault="00EF781F" w:rsidP="00EF781F">
      <w:pPr>
        <w:pStyle w:val="PL"/>
        <w:rPr>
          <w:color w:val="808080"/>
        </w:rPr>
      </w:pPr>
      <w:r w:rsidRPr="008D7C7E">
        <w:rPr>
          <w:color w:val="808080"/>
        </w:rPr>
        <w:t>-- TAG-PAGING-START</w:t>
      </w:r>
    </w:p>
    <w:p w14:paraId="1E0342A7" w14:textId="77777777" w:rsidR="00EF781F" w:rsidRDefault="00EF781F" w:rsidP="00EF781F">
      <w:pPr>
        <w:pStyle w:val="PL"/>
      </w:pPr>
    </w:p>
    <w:p w14:paraId="7E20CD8A" w14:textId="77777777" w:rsidR="00EF781F" w:rsidRDefault="00EF781F" w:rsidP="00EF781F">
      <w:pPr>
        <w:pStyle w:val="PL"/>
      </w:pPr>
      <w:r>
        <w:t xml:space="preserve">Paging ::=                          </w:t>
      </w:r>
      <w:r>
        <w:rPr>
          <w:color w:val="993366"/>
        </w:rPr>
        <w:t>SEQUENCE</w:t>
      </w:r>
      <w:r>
        <w:t xml:space="preserve"> {</w:t>
      </w:r>
    </w:p>
    <w:p w14:paraId="4B7A3545" w14:textId="77777777" w:rsidR="00EF781F" w:rsidRDefault="00EF781F" w:rsidP="00EF781F">
      <w:pPr>
        <w:pStyle w:val="PL"/>
      </w:pPr>
      <w:r>
        <w:t xml:space="preserve">    pagingRecordList                    PagingRecordList                                                        </w:t>
      </w:r>
      <w:r>
        <w:rPr>
          <w:color w:val="993366"/>
        </w:rPr>
        <w:t>OPTIONAL</w:t>
      </w:r>
      <w:r>
        <w:t>, -- Need N</w:t>
      </w:r>
    </w:p>
    <w:p w14:paraId="2A5A87F0" w14:textId="77777777" w:rsidR="00EF781F" w:rsidRDefault="00EF781F" w:rsidP="00EF781F">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E1DBCEE" w14:textId="77777777" w:rsidR="00EF781F" w:rsidRDefault="00EF781F" w:rsidP="00EF781F">
      <w:pPr>
        <w:pStyle w:val="PL"/>
      </w:pPr>
      <w:r>
        <w:t xml:space="preserve">    nonCriticalExtension                Paging-v1700-IEs                                                        </w:t>
      </w:r>
      <w:r>
        <w:rPr>
          <w:color w:val="993366"/>
        </w:rPr>
        <w:t>OPTIONAL</w:t>
      </w:r>
    </w:p>
    <w:p w14:paraId="05E5DFE4" w14:textId="77777777" w:rsidR="00EF781F" w:rsidRDefault="00EF781F" w:rsidP="00EF781F">
      <w:pPr>
        <w:pStyle w:val="PL"/>
      </w:pPr>
      <w:r>
        <w:t>}</w:t>
      </w:r>
    </w:p>
    <w:p w14:paraId="5ECAD0D1" w14:textId="77777777" w:rsidR="00EF781F" w:rsidRDefault="00EF781F" w:rsidP="00EF781F">
      <w:pPr>
        <w:pStyle w:val="PL"/>
      </w:pPr>
    </w:p>
    <w:p w14:paraId="25B9DB76" w14:textId="77777777" w:rsidR="00EF781F" w:rsidRDefault="00EF781F" w:rsidP="00EF781F">
      <w:pPr>
        <w:pStyle w:val="PL"/>
      </w:pPr>
      <w:r>
        <w:t xml:space="preserve">Paging-v1700-IEs ::=                </w:t>
      </w:r>
      <w:r>
        <w:rPr>
          <w:color w:val="993366"/>
        </w:rPr>
        <w:t>SEQUENCE</w:t>
      </w:r>
      <w:r>
        <w:t xml:space="preserve"> {</w:t>
      </w:r>
    </w:p>
    <w:p w14:paraId="6625092B" w14:textId="77777777" w:rsidR="00EF781F" w:rsidRDefault="00EF781F" w:rsidP="00EF781F">
      <w:pPr>
        <w:pStyle w:val="PL"/>
      </w:pPr>
      <w:r>
        <w:t xml:space="preserve">    pagingRecordList-v1700              PagingRecordList-v1700                                                  </w:t>
      </w:r>
      <w:r>
        <w:rPr>
          <w:color w:val="993366"/>
        </w:rPr>
        <w:t>OPTIONAL</w:t>
      </w:r>
      <w:r>
        <w:t>, -- Need N</w:t>
      </w:r>
    </w:p>
    <w:p w14:paraId="35DDA584" w14:textId="77777777" w:rsidR="00EF781F" w:rsidRDefault="00EF781F" w:rsidP="00EF781F">
      <w:pPr>
        <w:pStyle w:val="PL"/>
      </w:pPr>
      <w:r>
        <w:t xml:space="preserve">    pagingGroupList-r17                 PagingGroupList-r17                                                     </w:t>
      </w:r>
      <w:r>
        <w:rPr>
          <w:color w:val="993366"/>
        </w:rPr>
        <w:t>OPTIONAL</w:t>
      </w:r>
      <w:r>
        <w:t>, -- Need N</w:t>
      </w:r>
    </w:p>
    <w:p w14:paraId="13238C34" w14:textId="77777777" w:rsidR="00EF781F" w:rsidRDefault="00EF781F" w:rsidP="00EF781F">
      <w:pPr>
        <w:pStyle w:val="PL"/>
        <w:rPr>
          <w:ins w:id="600" w:author="Huawei, HiSilicon" w:date="2023-11-02T14:40:00Z"/>
        </w:rPr>
      </w:pPr>
      <w:ins w:id="601" w:author="Huawei, HiSilicon" w:date="2023-11-02T14:40:00Z">
        <w:r>
          <w:t xml:space="preserve">    nonCriticalExtension                Paging-v18xy-IEs                                                        </w:t>
        </w:r>
        <w:r>
          <w:rPr>
            <w:color w:val="993366"/>
          </w:rPr>
          <w:t>OPTIONAL</w:t>
        </w:r>
      </w:ins>
    </w:p>
    <w:p w14:paraId="55C652CC" w14:textId="77777777" w:rsidR="00EF781F" w:rsidRDefault="00EF781F" w:rsidP="00EF781F">
      <w:pPr>
        <w:pStyle w:val="PL"/>
        <w:rPr>
          <w:ins w:id="602" w:author="Huawei, HiSilicon" w:date="2023-11-02T14:40:00Z"/>
        </w:rPr>
      </w:pPr>
      <w:ins w:id="603" w:author="Huawei, HiSilicon" w:date="2023-11-02T14:40:00Z">
        <w:r>
          <w:t>}</w:t>
        </w:r>
      </w:ins>
    </w:p>
    <w:p w14:paraId="346346E2" w14:textId="77777777" w:rsidR="00EF781F" w:rsidRDefault="00EF781F" w:rsidP="00EF781F">
      <w:pPr>
        <w:pStyle w:val="PL"/>
        <w:rPr>
          <w:ins w:id="604" w:author="Huawei, HiSilicon" w:date="2023-11-02T14:40:00Z"/>
        </w:rPr>
      </w:pPr>
    </w:p>
    <w:p w14:paraId="5FA31FB8" w14:textId="77777777" w:rsidR="00EF781F" w:rsidRDefault="00EF781F" w:rsidP="00EF781F">
      <w:pPr>
        <w:pStyle w:val="PL"/>
        <w:rPr>
          <w:ins w:id="605" w:author="Huawei, HiSilicon" w:date="2023-11-02T14:40:00Z"/>
        </w:rPr>
      </w:pPr>
      <w:ins w:id="606" w:author="Huawei, HiSilicon" w:date="2023-11-02T14:40:00Z">
        <w:r>
          <w:t xml:space="preserve">Paging-v18xy-IEs ::=                </w:t>
        </w:r>
        <w:r>
          <w:rPr>
            <w:color w:val="993366"/>
          </w:rPr>
          <w:t>SEQUENCE</w:t>
        </w:r>
        <w:r>
          <w:t xml:space="preserve"> {</w:t>
        </w:r>
      </w:ins>
    </w:p>
    <w:p w14:paraId="1004CAF6" w14:textId="77777777" w:rsidR="00EF781F" w:rsidRDefault="00EF781F" w:rsidP="00EF781F">
      <w:pPr>
        <w:pStyle w:val="PL"/>
        <w:rPr>
          <w:ins w:id="607" w:author="Huawei, HiSilicon" w:date="2023-11-02T14:40:00Z"/>
        </w:rPr>
      </w:pPr>
      <w:ins w:id="608" w:author="Huawei, HiSilicon" w:date="2023-11-02T14:40:00Z">
        <w:r>
          <w:t xml:space="preserve">    pagingGroupList-v18xy               PagingGroupList-v18xy                                                   </w:t>
        </w:r>
        <w:r>
          <w:rPr>
            <w:color w:val="993366"/>
          </w:rPr>
          <w:t>OPTIONAL</w:t>
        </w:r>
        <w:r>
          <w:t>, -- Need N</w:t>
        </w:r>
      </w:ins>
    </w:p>
    <w:p w14:paraId="22EAEF2C" w14:textId="77777777" w:rsidR="00EF781F" w:rsidRDefault="00EF781F" w:rsidP="00EF781F">
      <w:pPr>
        <w:pStyle w:val="PL"/>
      </w:pPr>
      <w:r>
        <w:t xml:space="preserve">    nonCriticalExtension                </w:t>
      </w:r>
      <w:r>
        <w:rPr>
          <w:color w:val="993366"/>
        </w:rPr>
        <w:t>SEQUENCE</w:t>
      </w:r>
      <w:r>
        <w:t xml:space="preserve"> {}                                                             </w:t>
      </w:r>
      <w:r>
        <w:rPr>
          <w:color w:val="993366"/>
        </w:rPr>
        <w:t>OPTIONAL</w:t>
      </w:r>
    </w:p>
    <w:p w14:paraId="29E6407B" w14:textId="77777777" w:rsidR="00EF781F" w:rsidRDefault="00EF781F" w:rsidP="00EF781F">
      <w:pPr>
        <w:pStyle w:val="PL"/>
      </w:pPr>
      <w:r>
        <w:t>}</w:t>
      </w:r>
    </w:p>
    <w:p w14:paraId="01446BD4" w14:textId="77777777" w:rsidR="00EF781F" w:rsidRDefault="00EF781F" w:rsidP="00EF781F">
      <w:pPr>
        <w:pStyle w:val="PL"/>
      </w:pPr>
    </w:p>
    <w:p w14:paraId="38E95FE2" w14:textId="77777777" w:rsidR="00EF781F" w:rsidRDefault="00EF781F" w:rsidP="00EF781F">
      <w:pPr>
        <w:pStyle w:val="PL"/>
      </w:pPr>
      <w:r>
        <w:t xml:space="preserve">PagingRecordList ::=                </w:t>
      </w:r>
      <w:r>
        <w:rPr>
          <w:color w:val="993366"/>
        </w:rPr>
        <w:t>SEQUENCE</w:t>
      </w:r>
      <w:r>
        <w:t xml:space="preserve"> (</w:t>
      </w:r>
      <w:r>
        <w:rPr>
          <w:color w:val="993366"/>
        </w:rPr>
        <w:t>SIZE</w:t>
      </w:r>
      <w:r>
        <w:t>(1..maxNrofPageRec))</w:t>
      </w:r>
      <w:r>
        <w:rPr>
          <w:color w:val="993366"/>
        </w:rPr>
        <w:t xml:space="preserve"> OF</w:t>
      </w:r>
      <w:r>
        <w:t xml:space="preserve"> PagingRecord</w:t>
      </w:r>
    </w:p>
    <w:p w14:paraId="6C103FF6" w14:textId="77777777" w:rsidR="00EF781F" w:rsidRDefault="00EF781F" w:rsidP="00EF781F">
      <w:pPr>
        <w:pStyle w:val="PL"/>
      </w:pPr>
    </w:p>
    <w:p w14:paraId="4672A406" w14:textId="77777777" w:rsidR="00EF781F" w:rsidRDefault="00EF781F" w:rsidP="00EF781F">
      <w:pPr>
        <w:pStyle w:val="PL"/>
      </w:pPr>
      <w:r>
        <w:t xml:space="preserve">PagingRecordList-v1700 ::=          </w:t>
      </w:r>
      <w:r>
        <w:rPr>
          <w:color w:val="993366"/>
        </w:rPr>
        <w:t>SEQUENCE</w:t>
      </w:r>
      <w:r>
        <w:t xml:space="preserve"> (</w:t>
      </w:r>
      <w:r>
        <w:rPr>
          <w:color w:val="993366"/>
        </w:rPr>
        <w:t>SIZE</w:t>
      </w:r>
      <w:r>
        <w:t>(1..maxNrofPageRec))</w:t>
      </w:r>
      <w:r>
        <w:rPr>
          <w:color w:val="993366"/>
        </w:rPr>
        <w:t xml:space="preserve"> OF</w:t>
      </w:r>
      <w:r>
        <w:t xml:space="preserve"> PagingRecord-v1700</w:t>
      </w:r>
    </w:p>
    <w:p w14:paraId="370B4423" w14:textId="77777777" w:rsidR="00EF781F" w:rsidRDefault="00EF781F" w:rsidP="00EF781F">
      <w:pPr>
        <w:pStyle w:val="PL"/>
      </w:pPr>
    </w:p>
    <w:p w14:paraId="4641B0E8" w14:textId="77777777" w:rsidR="00EF781F" w:rsidRDefault="00EF781F" w:rsidP="00EF781F">
      <w:pPr>
        <w:pStyle w:val="PL"/>
      </w:pPr>
      <w:r>
        <w:lastRenderedPageBreak/>
        <w:t xml:space="preserve">PagingGroupList-r17 ::=             </w:t>
      </w:r>
      <w:r>
        <w:rPr>
          <w:color w:val="993366"/>
        </w:rPr>
        <w:t>SEQUENCE</w:t>
      </w:r>
      <w:r>
        <w:t xml:space="preserve"> (</w:t>
      </w:r>
      <w:r>
        <w:rPr>
          <w:color w:val="993366"/>
        </w:rPr>
        <w:t>SIZE</w:t>
      </w:r>
      <w:r>
        <w:t>(1..maxNrofPageGroup-r17))</w:t>
      </w:r>
      <w:r>
        <w:rPr>
          <w:color w:val="993366"/>
        </w:rPr>
        <w:t xml:space="preserve"> OF</w:t>
      </w:r>
      <w:r>
        <w:t xml:space="preserve"> TMGI-r17</w:t>
      </w:r>
    </w:p>
    <w:p w14:paraId="612C84FA" w14:textId="77777777" w:rsidR="00EF781F" w:rsidRDefault="00EF781F" w:rsidP="00EF781F">
      <w:pPr>
        <w:pStyle w:val="PL"/>
        <w:rPr>
          <w:del w:id="609" w:author="Huawei, HiSilicon" w:date="2023-11-02T14:40:00Z"/>
        </w:rPr>
      </w:pPr>
    </w:p>
    <w:p w14:paraId="03F65CB7" w14:textId="77777777" w:rsidR="00EF781F" w:rsidRDefault="00EF781F" w:rsidP="00EF781F">
      <w:pPr>
        <w:pStyle w:val="PL"/>
        <w:rPr>
          <w:ins w:id="610" w:author="Huawei, HiSilicon" w:date="2023-11-02T14:40:00Z"/>
        </w:rPr>
      </w:pPr>
      <w:ins w:id="611" w:author="Huawei, HiSilicon" w:date="2023-11-02T14:40:00Z">
        <w:r>
          <w:t xml:space="preserve">PagingGroupList-v18xy ::=           </w:t>
        </w:r>
        <w:r>
          <w:rPr>
            <w:color w:val="993366"/>
          </w:rPr>
          <w:t>SEQUENCE</w:t>
        </w:r>
        <w:r>
          <w:t xml:space="preserve"> (</w:t>
        </w:r>
        <w:r>
          <w:rPr>
            <w:color w:val="993366"/>
          </w:rPr>
          <w:t>SIZE</w:t>
        </w:r>
        <w:r>
          <w:t>(1..maxNrofPageGroup-r17))</w:t>
        </w:r>
        <w:r>
          <w:rPr>
            <w:color w:val="993366"/>
          </w:rPr>
          <w:t xml:space="preserve"> OF</w:t>
        </w:r>
        <w:r>
          <w:t xml:space="preserve"> GroupPaging-r18</w:t>
        </w:r>
      </w:ins>
    </w:p>
    <w:p w14:paraId="1D4F8F8E" w14:textId="77777777" w:rsidR="00EF781F" w:rsidRDefault="00EF781F" w:rsidP="00EF781F">
      <w:pPr>
        <w:pStyle w:val="PL"/>
      </w:pPr>
    </w:p>
    <w:p w14:paraId="10430179" w14:textId="77777777" w:rsidR="00EF781F" w:rsidRDefault="00EF781F" w:rsidP="00EF781F">
      <w:pPr>
        <w:pStyle w:val="PL"/>
      </w:pPr>
      <w:r>
        <w:t xml:space="preserve">PagingRecord ::=                    </w:t>
      </w:r>
      <w:r>
        <w:rPr>
          <w:color w:val="993366"/>
        </w:rPr>
        <w:t>SEQUENCE</w:t>
      </w:r>
      <w:r>
        <w:t xml:space="preserve"> {</w:t>
      </w:r>
    </w:p>
    <w:p w14:paraId="759C2BFC" w14:textId="77777777" w:rsidR="00EF781F" w:rsidRDefault="00EF781F" w:rsidP="00EF781F">
      <w:pPr>
        <w:pStyle w:val="PL"/>
      </w:pPr>
      <w:r>
        <w:t xml:space="preserve">    ue-Identity                         PagingUE-Identity,</w:t>
      </w:r>
    </w:p>
    <w:p w14:paraId="0350691F" w14:textId="77777777" w:rsidR="00EF781F" w:rsidRDefault="00EF781F" w:rsidP="00EF781F">
      <w:pPr>
        <w:pStyle w:val="PL"/>
      </w:pPr>
      <w:r>
        <w:t xml:space="preserve">    accessType                          </w:t>
      </w:r>
      <w:r>
        <w:rPr>
          <w:color w:val="993366"/>
        </w:rPr>
        <w:t>ENUMERATED</w:t>
      </w:r>
      <w:r>
        <w:t xml:space="preserve"> {non3GPP}    </w:t>
      </w:r>
      <w:r>
        <w:rPr>
          <w:color w:val="993366"/>
        </w:rPr>
        <w:t>OPTIONAL</w:t>
      </w:r>
      <w:r>
        <w:t>,   -- Need N</w:t>
      </w:r>
    </w:p>
    <w:p w14:paraId="3EDD866E" w14:textId="77777777" w:rsidR="00EF781F" w:rsidRDefault="00EF781F" w:rsidP="00EF781F">
      <w:pPr>
        <w:pStyle w:val="PL"/>
      </w:pPr>
      <w:r>
        <w:t xml:space="preserve">    ...</w:t>
      </w:r>
    </w:p>
    <w:p w14:paraId="537AFE55" w14:textId="77777777" w:rsidR="00EF781F" w:rsidRDefault="00EF781F" w:rsidP="00EF781F">
      <w:pPr>
        <w:pStyle w:val="PL"/>
      </w:pPr>
      <w:r>
        <w:t>}</w:t>
      </w:r>
    </w:p>
    <w:p w14:paraId="307BE197" w14:textId="77777777" w:rsidR="00EF781F" w:rsidRDefault="00EF781F" w:rsidP="00EF781F">
      <w:pPr>
        <w:pStyle w:val="PL"/>
      </w:pPr>
    </w:p>
    <w:p w14:paraId="1B8A281D" w14:textId="77777777" w:rsidR="00EF781F" w:rsidRDefault="00EF781F" w:rsidP="00EF781F">
      <w:pPr>
        <w:pStyle w:val="PL"/>
      </w:pPr>
      <w:r>
        <w:t xml:space="preserve">PagingRecord-v1700 ::=              </w:t>
      </w:r>
      <w:r>
        <w:rPr>
          <w:color w:val="993366"/>
        </w:rPr>
        <w:t>SEQUENCE</w:t>
      </w:r>
      <w:r>
        <w:t xml:space="preserve"> {</w:t>
      </w:r>
    </w:p>
    <w:p w14:paraId="1E31943D" w14:textId="77777777" w:rsidR="00EF781F" w:rsidRDefault="00EF781F" w:rsidP="00EF781F">
      <w:pPr>
        <w:pStyle w:val="PL"/>
      </w:pPr>
      <w:r>
        <w:t xml:space="preserve">    pagingCause-r17                     </w:t>
      </w:r>
      <w:r>
        <w:rPr>
          <w:color w:val="993366"/>
        </w:rPr>
        <w:t>ENUMERATED</w:t>
      </w:r>
      <w:r>
        <w:t xml:space="preserve"> {voice}      </w:t>
      </w:r>
      <w:r>
        <w:rPr>
          <w:color w:val="993366"/>
        </w:rPr>
        <w:t>OPTIONAL</w:t>
      </w:r>
      <w:r>
        <w:t xml:space="preserve">    -- Need N</w:t>
      </w:r>
    </w:p>
    <w:p w14:paraId="6F10A85F" w14:textId="77777777" w:rsidR="00EF781F" w:rsidRDefault="00EF781F" w:rsidP="00EF781F">
      <w:pPr>
        <w:pStyle w:val="PL"/>
      </w:pPr>
      <w:r>
        <w:t>}</w:t>
      </w:r>
    </w:p>
    <w:p w14:paraId="6D1837E6" w14:textId="77777777" w:rsidR="00EF781F" w:rsidRDefault="00EF781F" w:rsidP="00EF781F">
      <w:pPr>
        <w:pStyle w:val="PL"/>
      </w:pPr>
    </w:p>
    <w:p w14:paraId="55256844" w14:textId="77777777" w:rsidR="00EF781F" w:rsidRDefault="00EF781F" w:rsidP="00EF781F">
      <w:pPr>
        <w:pStyle w:val="PL"/>
      </w:pPr>
      <w:r>
        <w:t xml:space="preserve">PagingUE-Identity ::=               </w:t>
      </w:r>
      <w:r>
        <w:rPr>
          <w:color w:val="993366"/>
        </w:rPr>
        <w:t>CHOICE</w:t>
      </w:r>
      <w:r>
        <w:t xml:space="preserve"> {</w:t>
      </w:r>
    </w:p>
    <w:p w14:paraId="171DE055" w14:textId="77777777" w:rsidR="00EF781F" w:rsidRDefault="00EF781F" w:rsidP="00EF781F">
      <w:pPr>
        <w:pStyle w:val="PL"/>
      </w:pPr>
      <w:r>
        <w:t xml:space="preserve">    ng-5G-S-TMSI                        NG-5G-S-TMSI,</w:t>
      </w:r>
    </w:p>
    <w:p w14:paraId="7033D85F" w14:textId="77777777" w:rsidR="00EF781F" w:rsidRDefault="00EF781F" w:rsidP="00EF781F">
      <w:pPr>
        <w:pStyle w:val="PL"/>
      </w:pPr>
      <w:r>
        <w:t xml:space="preserve">    fullI-RNTI                          I-RNTI-Value,</w:t>
      </w:r>
    </w:p>
    <w:p w14:paraId="100096E5" w14:textId="77777777" w:rsidR="00EF781F" w:rsidRDefault="00EF781F" w:rsidP="00EF781F">
      <w:pPr>
        <w:pStyle w:val="PL"/>
      </w:pPr>
      <w:r>
        <w:t xml:space="preserve">    ...</w:t>
      </w:r>
    </w:p>
    <w:p w14:paraId="01A995B4" w14:textId="77777777" w:rsidR="00EF781F" w:rsidRDefault="00EF781F" w:rsidP="00EF781F">
      <w:pPr>
        <w:pStyle w:val="PL"/>
      </w:pPr>
      <w:r>
        <w:t>}</w:t>
      </w:r>
    </w:p>
    <w:p w14:paraId="61E0CAF1" w14:textId="77777777" w:rsidR="00EF781F" w:rsidRDefault="00EF781F" w:rsidP="00EF781F">
      <w:pPr>
        <w:pStyle w:val="PL"/>
      </w:pPr>
    </w:p>
    <w:p w14:paraId="07D6745E" w14:textId="77777777" w:rsidR="00EF781F" w:rsidRDefault="00EF781F" w:rsidP="00EF781F">
      <w:pPr>
        <w:pStyle w:val="PL"/>
        <w:rPr>
          <w:ins w:id="612" w:author="Huawei, HiSilicon" w:date="2023-11-02T14:40:00Z"/>
        </w:rPr>
      </w:pPr>
      <w:ins w:id="613" w:author="Huawei, HiSilicon" w:date="2023-11-02T14:40:00Z">
        <w:r>
          <w:t xml:space="preserve">GroupPaging-r18 ::=              </w:t>
        </w:r>
        <w:r>
          <w:rPr>
            <w:color w:val="993366"/>
          </w:rPr>
          <w:t>SEQUENCE</w:t>
        </w:r>
        <w:r>
          <w:t xml:space="preserve"> {</w:t>
        </w:r>
      </w:ins>
    </w:p>
    <w:p w14:paraId="493AFFE8" w14:textId="77777777" w:rsidR="00EF781F" w:rsidRDefault="00EF781F" w:rsidP="00EF781F">
      <w:pPr>
        <w:pStyle w:val="PL"/>
        <w:rPr>
          <w:ins w:id="614" w:author="Huawei, HiSilicon" w:date="2023-11-02T14:40:00Z"/>
        </w:rPr>
      </w:pPr>
      <w:ins w:id="615" w:author="Huawei, HiSilicon" w:date="2023-11-02T14:40:00Z">
        <w:r>
          <w:t xml:space="preserve">    inactiveReceptionAllowed-r18        </w:t>
        </w:r>
        <w:r>
          <w:rPr>
            <w:color w:val="993366"/>
          </w:rPr>
          <w:t>ENUMERATED</w:t>
        </w:r>
        <w:r>
          <w:t xml:space="preserve"> {true}      </w:t>
        </w:r>
        <w:r>
          <w:rPr>
            <w:color w:val="993366"/>
          </w:rPr>
          <w:t>OPTIONAL</w:t>
        </w:r>
        <w:r>
          <w:t xml:space="preserve">    -- Need N</w:t>
        </w:r>
      </w:ins>
    </w:p>
    <w:p w14:paraId="7778453D" w14:textId="77777777" w:rsidR="00EF781F" w:rsidRDefault="00EF781F" w:rsidP="00EF781F">
      <w:pPr>
        <w:pStyle w:val="PL"/>
        <w:rPr>
          <w:ins w:id="616" w:author="Huawei, HiSilicon" w:date="2023-11-02T14:40:00Z"/>
        </w:rPr>
      </w:pPr>
      <w:ins w:id="617" w:author="Huawei, HiSilicon" w:date="2023-11-02T14:40:00Z">
        <w:r>
          <w:t>}</w:t>
        </w:r>
      </w:ins>
    </w:p>
    <w:p w14:paraId="5C052CD2" w14:textId="77777777" w:rsidR="00EF781F" w:rsidRDefault="00EF781F" w:rsidP="00EF781F">
      <w:pPr>
        <w:pStyle w:val="PL"/>
        <w:rPr>
          <w:ins w:id="618" w:author="Huawei, HiSilicon" w:date="2023-11-02T14:40:00Z"/>
        </w:rPr>
      </w:pPr>
    </w:p>
    <w:p w14:paraId="4D955146" w14:textId="77777777" w:rsidR="00EF781F" w:rsidRPr="008D7C7E" w:rsidRDefault="00EF781F" w:rsidP="00EF781F">
      <w:pPr>
        <w:pStyle w:val="PL"/>
        <w:rPr>
          <w:color w:val="808080"/>
        </w:rPr>
      </w:pPr>
      <w:r w:rsidRPr="008D7C7E">
        <w:rPr>
          <w:color w:val="808080"/>
        </w:rPr>
        <w:t>-- TAG-PAGING-STOP</w:t>
      </w:r>
    </w:p>
    <w:p w14:paraId="745BD43A" w14:textId="77777777" w:rsidR="00EF781F" w:rsidRPr="008D7C7E" w:rsidRDefault="00EF781F" w:rsidP="00EF781F">
      <w:pPr>
        <w:pStyle w:val="PL"/>
        <w:rPr>
          <w:color w:val="808080"/>
        </w:rPr>
      </w:pPr>
      <w:r w:rsidRPr="008D7C7E">
        <w:rPr>
          <w:color w:val="808080"/>
        </w:rPr>
        <w:t>-- ASN1STOP</w:t>
      </w:r>
    </w:p>
    <w:p w14:paraId="01E9A132" w14:textId="77777777" w:rsidR="00EF781F" w:rsidRDefault="00EF781F" w:rsidP="00EF781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F781F" w14:paraId="0CAE9403"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7AD9B2D5" w14:textId="77777777" w:rsidR="00EF781F" w:rsidRDefault="00EF781F">
            <w:pPr>
              <w:keepNext/>
              <w:keepLines/>
              <w:spacing w:after="0"/>
              <w:jc w:val="center"/>
              <w:rPr>
                <w:rFonts w:ascii="Arial" w:hAnsi="Arial"/>
                <w:b/>
                <w:sz w:val="18"/>
                <w:szCs w:val="22"/>
                <w:lang w:eastAsia="sv-SE"/>
              </w:rPr>
            </w:pPr>
            <w:r>
              <w:rPr>
                <w:rFonts w:ascii="Arial" w:hAnsi="Arial"/>
                <w:b/>
                <w:i/>
                <w:sz w:val="18"/>
                <w:szCs w:val="22"/>
                <w:lang w:eastAsia="sv-SE"/>
              </w:rPr>
              <w:t xml:space="preserve">PagingRecord </w:t>
            </w:r>
            <w:r>
              <w:rPr>
                <w:rFonts w:ascii="Arial" w:hAnsi="Arial"/>
                <w:b/>
                <w:sz w:val="18"/>
                <w:szCs w:val="22"/>
                <w:lang w:eastAsia="sv-SE"/>
              </w:rPr>
              <w:t>field descriptions</w:t>
            </w:r>
          </w:p>
        </w:tc>
      </w:tr>
      <w:tr w:rsidR="00EF781F" w14:paraId="27B66194"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20710099" w14:textId="77777777" w:rsidR="00EF781F" w:rsidRDefault="00EF781F">
            <w:pPr>
              <w:keepNext/>
              <w:keepLines/>
              <w:spacing w:after="0"/>
              <w:rPr>
                <w:rFonts w:ascii="Arial" w:hAnsi="Arial"/>
                <w:sz w:val="18"/>
                <w:szCs w:val="22"/>
                <w:lang w:eastAsia="sv-SE"/>
              </w:rPr>
            </w:pPr>
            <w:r>
              <w:rPr>
                <w:rFonts w:ascii="Arial" w:hAnsi="Arial"/>
                <w:b/>
                <w:i/>
                <w:sz w:val="18"/>
                <w:szCs w:val="22"/>
                <w:lang w:eastAsia="sv-SE"/>
              </w:rPr>
              <w:t>accessType</w:t>
            </w:r>
          </w:p>
          <w:p w14:paraId="2A30A854"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 xml:space="preserve">Indicates whether the </w:t>
            </w:r>
            <w:r>
              <w:rPr>
                <w:rFonts w:ascii="Arial" w:hAnsi="Arial"/>
                <w:i/>
                <w:sz w:val="18"/>
                <w:lang w:eastAsia="sv-SE"/>
              </w:rPr>
              <w:t>Paging</w:t>
            </w:r>
            <w:r>
              <w:rPr>
                <w:rFonts w:ascii="Arial" w:hAnsi="Arial"/>
                <w:sz w:val="18"/>
                <w:szCs w:val="22"/>
                <w:lang w:eastAsia="sv-SE"/>
              </w:rPr>
              <w:t xml:space="preserve"> message is originated due to the PDU sessions from the non-3GPP access.</w:t>
            </w:r>
          </w:p>
        </w:tc>
      </w:tr>
      <w:tr w:rsidR="00EF781F" w14:paraId="37266FBD"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1ACA340C" w14:textId="77777777" w:rsidR="00EF781F" w:rsidRDefault="00EF781F">
            <w:pPr>
              <w:keepNext/>
              <w:keepLines/>
              <w:spacing w:after="0"/>
              <w:rPr>
                <w:rFonts w:ascii="Arial" w:hAnsi="Arial"/>
                <w:b/>
                <w:i/>
                <w:sz w:val="18"/>
                <w:szCs w:val="22"/>
                <w:lang w:eastAsia="sv-SE"/>
              </w:rPr>
            </w:pPr>
            <w:r>
              <w:rPr>
                <w:rFonts w:ascii="Arial" w:hAnsi="Arial"/>
                <w:b/>
                <w:i/>
                <w:sz w:val="18"/>
                <w:szCs w:val="22"/>
                <w:lang w:eastAsia="sv-SE"/>
              </w:rPr>
              <w:t>pagingRecordList</w:t>
            </w:r>
          </w:p>
          <w:p w14:paraId="5A3B7C8F" w14:textId="77777777" w:rsidR="00EF781F" w:rsidRDefault="00EF781F">
            <w:pPr>
              <w:keepNext/>
              <w:keepLines/>
              <w:spacing w:after="0"/>
              <w:rPr>
                <w:rFonts w:ascii="Arial" w:hAnsi="Arial"/>
                <w:bCs/>
                <w:iCs/>
                <w:sz w:val="18"/>
                <w:szCs w:val="22"/>
                <w:lang w:eastAsia="sv-SE"/>
              </w:rPr>
            </w:pPr>
            <w:r>
              <w:rPr>
                <w:rFonts w:ascii="Arial" w:hAnsi="Arial"/>
                <w:bCs/>
                <w:iCs/>
                <w:sz w:val="18"/>
                <w:szCs w:val="22"/>
                <w:lang w:eastAsia="sv-SE"/>
              </w:rPr>
              <w:t>If the network includes pagingRecordList-v1700, it includes the same number of entries, and listed in the same order, as in pagingRecordList (i.e. without suffix).</w:t>
            </w:r>
          </w:p>
        </w:tc>
      </w:tr>
      <w:tr w:rsidR="00EF781F" w14:paraId="31118A2E"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58996DD1" w14:textId="77777777" w:rsidR="00EF781F" w:rsidRDefault="00EF781F">
            <w:pPr>
              <w:keepNext/>
              <w:keepLines/>
              <w:spacing w:after="0"/>
              <w:rPr>
                <w:rFonts w:ascii="Arial" w:hAnsi="Arial"/>
                <w:b/>
                <w:i/>
                <w:sz w:val="18"/>
                <w:szCs w:val="22"/>
                <w:lang w:eastAsia="sv-SE"/>
              </w:rPr>
            </w:pPr>
            <w:r>
              <w:rPr>
                <w:rFonts w:ascii="Arial" w:hAnsi="Arial"/>
                <w:b/>
                <w:i/>
                <w:sz w:val="18"/>
                <w:szCs w:val="22"/>
                <w:lang w:eastAsia="sv-SE"/>
              </w:rPr>
              <w:t>pagingCause</w:t>
            </w:r>
          </w:p>
          <w:p w14:paraId="1116C1B2" w14:textId="77777777" w:rsidR="00EF781F" w:rsidRDefault="00EF781F">
            <w:pPr>
              <w:keepNext/>
              <w:keepLines/>
              <w:spacing w:after="0"/>
              <w:rPr>
                <w:rFonts w:ascii="Arial" w:hAnsi="Arial"/>
                <w:bCs/>
                <w:iCs/>
                <w:sz w:val="18"/>
                <w:szCs w:val="22"/>
                <w:lang w:eastAsia="sv-SE"/>
              </w:rPr>
            </w:pPr>
            <w:r>
              <w:rPr>
                <w:rFonts w:ascii="Arial" w:hAnsi="Arial"/>
                <w:bCs/>
                <w:iCs/>
                <w:sz w:val="18"/>
                <w:szCs w:val="22"/>
                <w:lang w:eastAsia="sv-SE"/>
              </w:rPr>
              <w:t xml:space="preserve">Indicates whether the Paging message is originated due to IMS voice. If this field is present, it implies that the corresponding paging entry is for IMS voice. If </w:t>
            </w:r>
            <w:r>
              <w:rPr>
                <w:rFonts w:ascii="Arial" w:hAnsi="Arial"/>
                <w:iCs/>
                <w:sz w:val="18"/>
                <w:lang w:eastAsia="en-GB"/>
              </w:rPr>
              <w:t>upper layers indicate the support of paging cause and if</w:t>
            </w:r>
            <w:r>
              <w:rPr>
                <w:rFonts w:ascii="Arial" w:hAnsi="Arial"/>
                <w:bCs/>
                <w:iCs/>
                <w:sz w:val="18"/>
                <w:szCs w:val="22"/>
                <w:lang w:eastAsia="sv-SE"/>
              </w:rPr>
              <w:t xml:space="preserve"> this field is not present but pagingRecordList-v1700 is present, it implies that the corresponding paging entry is for a service other than IMS voice. Otherwise, paging cause is undetermined.</w:t>
            </w:r>
          </w:p>
        </w:tc>
      </w:tr>
      <w:tr w:rsidR="00EF781F" w14:paraId="07D35097" w14:textId="77777777" w:rsidTr="00EF781F">
        <w:trPr>
          <w:ins w:id="619" w:author="Huawei, HiSilicon" w:date="2023-12-01T17:56:00Z"/>
        </w:trPr>
        <w:tc>
          <w:tcPr>
            <w:tcW w:w="14061" w:type="dxa"/>
            <w:tcBorders>
              <w:top w:val="single" w:sz="4" w:space="0" w:color="auto"/>
              <w:left w:val="single" w:sz="4" w:space="0" w:color="auto"/>
              <w:bottom w:val="single" w:sz="4" w:space="0" w:color="auto"/>
              <w:right w:val="single" w:sz="4" w:space="0" w:color="auto"/>
            </w:tcBorders>
            <w:hideMark/>
          </w:tcPr>
          <w:p w14:paraId="08EEC940" w14:textId="77777777" w:rsidR="00EF781F" w:rsidRDefault="00EF781F">
            <w:pPr>
              <w:keepNext/>
              <w:keepLines/>
              <w:spacing w:after="0"/>
              <w:rPr>
                <w:ins w:id="620" w:author="Huawei, HiSilicon" w:date="2023-12-01T17:56:00Z"/>
                <w:rFonts w:ascii="Arial" w:hAnsi="Arial"/>
                <w:b/>
                <w:i/>
                <w:sz w:val="18"/>
                <w:szCs w:val="22"/>
                <w:lang w:eastAsia="sv-SE"/>
              </w:rPr>
            </w:pPr>
            <w:ins w:id="621" w:author="Huawei, HiSilicon" w:date="2023-12-01T17:56:00Z">
              <w:r>
                <w:rPr>
                  <w:rFonts w:ascii="Arial" w:hAnsi="Arial"/>
                  <w:b/>
                  <w:i/>
                  <w:sz w:val="18"/>
                  <w:szCs w:val="22"/>
                  <w:lang w:eastAsia="sv-SE"/>
                </w:rPr>
                <w:t>pagingGroupList</w:t>
              </w:r>
            </w:ins>
          </w:p>
          <w:p w14:paraId="4BAB5B1D" w14:textId="77777777" w:rsidR="00EF781F" w:rsidRDefault="00EF781F">
            <w:pPr>
              <w:keepNext/>
              <w:keepLines/>
              <w:spacing w:after="0"/>
              <w:rPr>
                <w:ins w:id="622" w:author="Huawei, HiSilicon" w:date="2023-12-01T17:56:00Z"/>
                <w:rFonts w:ascii="Arial" w:hAnsi="Arial"/>
                <w:b/>
                <w:i/>
                <w:sz w:val="18"/>
                <w:szCs w:val="22"/>
                <w:lang w:eastAsia="sv-SE"/>
              </w:rPr>
            </w:pPr>
            <w:ins w:id="623" w:author="Huawei, HiSilicon" w:date="2023-12-01T17:56:00Z">
              <w:r>
                <w:rPr>
                  <w:rFonts w:ascii="Arial" w:hAnsi="Arial"/>
                  <w:bCs/>
                  <w:iCs/>
                  <w:sz w:val="18"/>
                  <w:szCs w:val="22"/>
                  <w:lang w:eastAsia="sv-SE"/>
                </w:rPr>
                <w:t xml:space="preserve">If the network includes </w:t>
              </w:r>
              <w:r>
                <w:rPr>
                  <w:rFonts w:ascii="Arial" w:hAnsi="Arial"/>
                  <w:bCs/>
                  <w:i/>
                  <w:iCs/>
                  <w:sz w:val="18"/>
                  <w:szCs w:val="22"/>
                  <w:lang w:eastAsia="sv-SE"/>
                </w:rPr>
                <w:t>pagingGroupList-v18xy</w:t>
              </w:r>
              <w:r>
                <w:rPr>
                  <w:rFonts w:ascii="Arial" w:hAnsi="Arial"/>
                  <w:bCs/>
                  <w:iCs/>
                  <w:sz w:val="18"/>
                  <w:szCs w:val="22"/>
                  <w:lang w:eastAsia="sv-SE"/>
                </w:rPr>
                <w:t xml:space="preserve">, it includes the same number of elements, and listed in the same order, as in </w:t>
              </w:r>
              <w:r>
                <w:rPr>
                  <w:rFonts w:ascii="Arial" w:hAnsi="Arial"/>
                  <w:bCs/>
                  <w:i/>
                  <w:iCs/>
                  <w:sz w:val="18"/>
                  <w:szCs w:val="22"/>
                  <w:lang w:eastAsia="sv-SE"/>
                </w:rPr>
                <w:t>pagingGroupList-r17</w:t>
              </w:r>
              <w:r>
                <w:rPr>
                  <w:rFonts w:ascii="Arial" w:hAnsi="Arial"/>
                  <w:bCs/>
                  <w:iCs/>
                  <w:sz w:val="18"/>
                  <w:szCs w:val="22"/>
                  <w:lang w:eastAsia="sv-SE"/>
                </w:rPr>
                <w:t xml:space="preserve">. </w:t>
              </w:r>
              <w:r>
                <w:rPr>
                  <w:rFonts w:ascii="Arial" w:hAnsi="Arial" w:cs="Arial"/>
                  <w:sz w:val="18"/>
                  <w:szCs w:val="18"/>
                </w:rPr>
                <w:t xml:space="preserve">The first element corresponds to the first TMGI in </w:t>
              </w:r>
              <w:r>
                <w:rPr>
                  <w:rFonts w:ascii="Arial" w:hAnsi="Arial" w:cs="Arial"/>
                  <w:i/>
                  <w:sz w:val="18"/>
                  <w:szCs w:val="18"/>
                </w:rPr>
                <w:t>pagingGroupList-r17</w:t>
              </w:r>
              <w:r>
                <w:rPr>
                  <w:rFonts w:ascii="Arial" w:hAnsi="Arial" w:cs="Arial"/>
                  <w:sz w:val="18"/>
                  <w:szCs w:val="18"/>
                </w:rPr>
                <w:t xml:space="preserve">. The second </w:t>
              </w:r>
              <w:r>
                <w:rPr>
                  <w:rFonts w:ascii="Arial" w:hAnsi="Arial"/>
                  <w:bCs/>
                  <w:iCs/>
                  <w:sz w:val="18"/>
                  <w:szCs w:val="22"/>
                  <w:lang w:eastAsia="sv-SE"/>
                </w:rPr>
                <w:t>element</w:t>
              </w:r>
              <w:r>
                <w:rPr>
                  <w:rFonts w:ascii="Arial" w:hAnsi="Arial" w:cs="Arial"/>
                  <w:sz w:val="18"/>
                  <w:szCs w:val="18"/>
                </w:rPr>
                <w:t xml:space="preserve"> corresponds to the second TMGI in </w:t>
              </w:r>
              <w:r>
                <w:rPr>
                  <w:rFonts w:ascii="Arial" w:hAnsi="Arial" w:cs="Arial"/>
                  <w:i/>
                  <w:sz w:val="18"/>
                  <w:szCs w:val="18"/>
                </w:rPr>
                <w:t>pagingGroupList-r17</w:t>
              </w:r>
              <w:r>
                <w:rPr>
                  <w:rFonts w:ascii="Arial" w:hAnsi="Arial" w:cs="Arial"/>
                  <w:sz w:val="18"/>
                  <w:szCs w:val="18"/>
                </w:rPr>
                <w:t>, and so on.</w:t>
              </w:r>
            </w:ins>
          </w:p>
        </w:tc>
      </w:tr>
      <w:tr w:rsidR="00EF781F" w14:paraId="08041BA4" w14:textId="77777777" w:rsidTr="00EF781F">
        <w:trPr>
          <w:ins w:id="624" w:author="Huawei, HiSilicon" w:date="2023-12-01T17:56:00Z"/>
        </w:trPr>
        <w:tc>
          <w:tcPr>
            <w:tcW w:w="14061" w:type="dxa"/>
            <w:tcBorders>
              <w:top w:val="single" w:sz="4" w:space="0" w:color="auto"/>
              <w:left w:val="single" w:sz="4" w:space="0" w:color="auto"/>
              <w:bottom w:val="single" w:sz="4" w:space="0" w:color="auto"/>
              <w:right w:val="single" w:sz="4" w:space="0" w:color="auto"/>
            </w:tcBorders>
            <w:hideMark/>
          </w:tcPr>
          <w:p w14:paraId="50C7574B" w14:textId="77777777" w:rsidR="00EF781F" w:rsidRDefault="00EF781F">
            <w:pPr>
              <w:keepNext/>
              <w:keepLines/>
              <w:spacing w:after="0"/>
              <w:rPr>
                <w:ins w:id="625" w:author="Huawei, HiSilicon" w:date="2023-12-01T17:56:00Z"/>
                <w:rFonts w:ascii="Arial" w:hAnsi="Arial"/>
                <w:b/>
                <w:i/>
                <w:sz w:val="18"/>
                <w:szCs w:val="22"/>
                <w:lang w:eastAsia="sv-SE"/>
              </w:rPr>
            </w:pPr>
            <w:ins w:id="626" w:author="Huawei, HiSilicon" w:date="2023-12-01T17:56:00Z">
              <w:r>
                <w:rPr>
                  <w:rFonts w:ascii="Arial" w:hAnsi="Arial"/>
                  <w:b/>
                  <w:i/>
                  <w:sz w:val="18"/>
                  <w:szCs w:val="22"/>
                  <w:lang w:eastAsia="sv-SE"/>
                </w:rPr>
                <w:t>inactiveReceptionAllowed</w:t>
              </w:r>
            </w:ins>
          </w:p>
          <w:p w14:paraId="0A6CB90F" w14:textId="77777777" w:rsidR="00EF781F" w:rsidRDefault="00EF781F">
            <w:pPr>
              <w:keepNext/>
              <w:keepLines/>
              <w:spacing w:after="0"/>
              <w:rPr>
                <w:ins w:id="627" w:author="Huawei, HiSilicon" w:date="2023-12-01T17:56:00Z"/>
                <w:rFonts w:ascii="Arial" w:hAnsi="Arial"/>
                <w:b/>
                <w:i/>
                <w:sz w:val="18"/>
                <w:szCs w:val="22"/>
                <w:lang w:eastAsia="sv-SE"/>
              </w:rPr>
            </w:pPr>
            <w:ins w:id="628" w:author="Huawei, HiSilicon" w:date="2023-12-01T17:56:00Z">
              <w:r>
                <w:rPr>
                  <w:rFonts w:ascii="Arial" w:hAnsi="Arial" w:cs="Arial"/>
                  <w:bCs/>
                  <w:iCs/>
                  <w:sz w:val="18"/>
                  <w:szCs w:val="18"/>
                  <w:lang w:eastAsia="sv-SE"/>
                </w:rPr>
                <w:t xml:space="preserve">Indicates whether the UE with a valid PTM configuration for a </w:t>
              </w:r>
              <w:r>
                <w:rPr>
                  <w:rFonts w:ascii="Arial" w:hAnsi="Arial" w:cs="Arial"/>
                  <w:bCs/>
                  <w:i/>
                  <w:iCs/>
                  <w:sz w:val="18"/>
                  <w:szCs w:val="18"/>
                  <w:lang w:eastAsia="sv-SE"/>
                </w:rPr>
                <w:t>TMGI</w:t>
              </w:r>
              <w:r>
                <w:rPr>
                  <w:rFonts w:ascii="Arial" w:hAnsi="Arial" w:cs="Arial"/>
                  <w:bCs/>
                  <w:iCs/>
                  <w:sz w:val="18"/>
                  <w:szCs w:val="18"/>
                  <w:lang w:eastAsia="sv-SE"/>
                </w:rPr>
                <w:t xml:space="preserve"> </w:t>
              </w:r>
              <w:r>
                <w:rPr>
                  <w:rFonts w:ascii="Arial" w:hAnsi="Arial" w:cs="Arial"/>
                  <w:sz w:val="18"/>
                  <w:szCs w:val="18"/>
                </w:rPr>
                <w:t xml:space="preserve">in the </w:t>
              </w:r>
              <w:r>
                <w:rPr>
                  <w:rFonts w:ascii="Arial" w:hAnsi="Arial" w:cs="Arial"/>
                  <w:i/>
                  <w:iCs/>
                  <w:sz w:val="18"/>
                  <w:szCs w:val="18"/>
                </w:rPr>
                <w:t>PagingGroupList</w:t>
              </w:r>
              <w:r>
                <w:rPr>
                  <w:rFonts w:ascii="Arial" w:hAnsi="Arial" w:cs="Arial"/>
                  <w:bCs/>
                  <w:iCs/>
                  <w:sz w:val="18"/>
                  <w:szCs w:val="18"/>
                  <w:lang w:eastAsia="sv-SE"/>
                </w:rPr>
                <w:t xml:space="preserve"> stays in RRC_INACTIVE to receive the corresponding MBS multicast session.</w:t>
              </w:r>
            </w:ins>
          </w:p>
        </w:tc>
      </w:tr>
      <w:bookmarkEnd w:id="598"/>
      <w:bookmarkEnd w:id="599"/>
    </w:tbl>
    <w:p w14:paraId="20A515FB" w14:textId="77777777" w:rsidR="00EF781F" w:rsidRDefault="00EF781F" w:rsidP="00EF781F">
      <w:pPr>
        <w:rPr>
          <w:rFonts w:eastAsia="Yu Mincho"/>
        </w:rPr>
      </w:pPr>
    </w:p>
    <w:p w14:paraId="6703DE20" w14:textId="77777777" w:rsidR="00394471" w:rsidRPr="00FA0D37" w:rsidRDefault="00394471" w:rsidP="00394471">
      <w:pPr>
        <w:pStyle w:val="4"/>
      </w:pPr>
      <w:r w:rsidRPr="00FA0D37">
        <w:t>–</w:t>
      </w:r>
      <w:r w:rsidRPr="00FA0D37">
        <w:tab/>
      </w:r>
      <w:r w:rsidRPr="00FA0D37">
        <w:rPr>
          <w:i/>
          <w:noProof/>
        </w:rPr>
        <w:t>RRCReestablishment</w:t>
      </w:r>
      <w:bookmarkEnd w:id="596"/>
      <w:bookmarkEnd w:id="597"/>
    </w:p>
    <w:p w14:paraId="1A6D6864" w14:textId="77777777" w:rsidR="00394471" w:rsidRPr="00FA0D37" w:rsidRDefault="00394471" w:rsidP="00394471">
      <w:r w:rsidRPr="00FA0D37">
        <w:t xml:space="preserve">The </w:t>
      </w:r>
      <w:r w:rsidRPr="00FA0D37">
        <w:rPr>
          <w:i/>
          <w:noProof/>
        </w:rPr>
        <w:t>RRCReestablishment</w:t>
      </w:r>
      <w:r w:rsidRPr="00FA0D37">
        <w:t xml:space="preserve"> message is used to re-establish SRB1.</w:t>
      </w:r>
    </w:p>
    <w:p w14:paraId="724A73FB" w14:textId="77777777" w:rsidR="00394471" w:rsidRPr="00FA0D37" w:rsidRDefault="00394471" w:rsidP="00394471">
      <w:pPr>
        <w:pStyle w:val="B1"/>
      </w:pPr>
      <w:r w:rsidRPr="00FA0D37">
        <w:lastRenderedPageBreak/>
        <w:t>Signalling radio bearer: SRB1</w:t>
      </w:r>
    </w:p>
    <w:p w14:paraId="2D50521B" w14:textId="77777777" w:rsidR="00394471" w:rsidRPr="00FA0D37" w:rsidRDefault="00394471" w:rsidP="00394471">
      <w:pPr>
        <w:pStyle w:val="B1"/>
      </w:pPr>
      <w:r w:rsidRPr="00FA0D37">
        <w:t>RLC-SAP: AM</w:t>
      </w:r>
    </w:p>
    <w:p w14:paraId="7D6A9B44" w14:textId="77777777" w:rsidR="00394471" w:rsidRPr="00FA0D37" w:rsidRDefault="00394471" w:rsidP="00394471">
      <w:pPr>
        <w:pStyle w:val="B1"/>
      </w:pPr>
      <w:r w:rsidRPr="00FA0D37">
        <w:t>Logical channel: DCCH</w:t>
      </w:r>
    </w:p>
    <w:p w14:paraId="7DD36826" w14:textId="77777777" w:rsidR="00394471" w:rsidRPr="00FA0D37" w:rsidRDefault="00394471" w:rsidP="00394471">
      <w:pPr>
        <w:pStyle w:val="B1"/>
      </w:pPr>
      <w:r w:rsidRPr="00FA0D37">
        <w:t>Direction: Network to UE</w:t>
      </w:r>
    </w:p>
    <w:p w14:paraId="324F821A" w14:textId="77777777" w:rsidR="00394471" w:rsidRPr="00FA0D37" w:rsidRDefault="00394471" w:rsidP="00394471">
      <w:pPr>
        <w:pStyle w:val="TH"/>
        <w:rPr>
          <w:bCs/>
          <w:i/>
          <w:iCs/>
        </w:rPr>
      </w:pPr>
      <w:r w:rsidRPr="00FA0D37">
        <w:rPr>
          <w:bCs/>
          <w:i/>
          <w:iCs/>
          <w:noProof/>
        </w:rPr>
        <w:t xml:space="preserve">RRCReestablishment </w:t>
      </w:r>
      <w:r w:rsidRPr="00FA0D37">
        <w:t>message</w:t>
      </w:r>
    </w:p>
    <w:p w14:paraId="2F3EE282" w14:textId="77777777" w:rsidR="00394471" w:rsidRPr="00FA0D37" w:rsidRDefault="00394471" w:rsidP="00FA0D37">
      <w:pPr>
        <w:pStyle w:val="PL"/>
        <w:rPr>
          <w:color w:val="808080"/>
        </w:rPr>
      </w:pPr>
      <w:r w:rsidRPr="00FA0D37">
        <w:rPr>
          <w:color w:val="808080"/>
        </w:rPr>
        <w:t>-- ASN1START</w:t>
      </w:r>
    </w:p>
    <w:p w14:paraId="1A845E82" w14:textId="77777777" w:rsidR="00394471" w:rsidRPr="00FA0D37" w:rsidRDefault="00394471" w:rsidP="00FA0D37">
      <w:pPr>
        <w:pStyle w:val="PL"/>
        <w:rPr>
          <w:color w:val="808080"/>
        </w:rPr>
      </w:pPr>
      <w:r w:rsidRPr="00FA0D37">
        <w:rPr>
          <w:color w:val="808080"/>
        </w:rPr>
        <w:t>-- TAG-RRCREESTABLISHMENT-START</w:t>
      </w:r>
    </w:p>
    <w:p w14:paraId="632A6D6D" w14:textId="77777777" w:rsidR="00394471" w:rsidRPr="00FA0D37" w:rsidRDefault="00394471" w:rsidP="00FA0D37">
      <w:pPr>
        <w:pStyle w:val="PL"/>
      </w:pPr>
    </w:p>
    <w:p w14:paraId="6DB4E462" w14:textId="77777777" w:rsidR="00394471" w:rsidRPr="00FA0D37" w:rsidRDefault="00394471" w:rsidP="00FA0D37">
      <w:pPr>
        <w:pStyle w:val="PL"/>
      </w:pPr>
      <w:r w:rsidRPr="00FA0D37">
        <w:t xml:space="preserve">RRCReestablishment ::=              </w:t>
      </w:r>
      <w:r w:rsidRPr="00FA0D37">
        <w:rPr>
          <w:color w:val="993366"/>
        </w:rPr>
        <w:t>SEQUENCE</w:t>
      </w:r>
      <w:r w:rsidRPr="00FA0D37">
        <w:t xml:space="preserve"> {</w:t>
      </w:r>
    </w:p>
    <w:p w14:paraId="4FAA721F" w14:textId="77777777" w:rsidR="00394471" w:rsidRPr="00FA0D37" w:rsidRDefault="00394471" w:rsidP="00FA0D37">
      <w:pPr>
        <w:pStyle w:val="PL"/>
      </w:pPr>
      <w:r w:rsidRPr="00FA0D37">
        <w:t xml:space="preserve">    rrc-TransactionIdentifier           RRC-TransactionIdentifier,</w:t>
      </w:r>
    </w:p>
    <w:p w14:paraId="58E8E61A"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79D06149" w14:textId="77777777" w:rsidR="00394471" w:rsidRPr="00FA0D37" w:rsidRDefault="00394471" w:rsidP="00FA0D37">
      <w:pPr>
        <w:pStyle w:val="PL"/>
      </w:pPr>
      <w:r w:rsidRPr="00FA0D37">
        <w:t xml:space="preserve">        rrcReestablishment                  RRCReestablishment-IEs,</w:t>
      </w:r>
    </w:p>
    <w:p w14:paraId="4A3138A9"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5D579112" w14:textId="77777777" w:rsidR="00394471" w:rsidRPr="00FA0D37" w:rsidRDefault="00394471" w:rsidP="00FA0D37">
      <w:pPr>
        <w:pStyle w:val="PL"/>
      </w:pPr>
      <w:r w:rsidRPr="00FA0D37">
        <w:t xml:space="preserve">    }</w:t>
      </w:r>
    </w:p>
    <w:p w14:paraId="03654C0A" w14:textId="77777777" w:rsidR="00394471" w:rsidRPr="00FA0D37" w:rsidRDefault="00394471" w:rsidP="00FA0D37">
      <w:pPr>
        <w:pStyle w:val="PL"/>
      </w:pPr>
      <w:r w:rsidRPr="00FA0D37">
        <w:t>}</w:t>
      </w:r>
    </w:p>
    <w:p w14:paraId="6022CFB5" w14:textId="77777777" w:rsidR="00394471" w:rsidRPr="00FA0D37" w:rsidRDefault="00394471" w:rsidP="00FA0D37">
      <w:pPr>
        <w:pStyle w:val="PL"/>
      </w:pPr>
    </w:p>
    <w:p w14:paraId="328735CF" w14:textId="77777777" w:rsidR="00394471" w:rsidRPr="00FA0D37" w:rsidRDefault="00394471" w:rsidP="00FA0D37">
      <w:pPr>
        <w:pStyle w:val="PL"/>
      </w:pPr>
      <w:r w:rsidRPr="00FA0D37">
        <w:t xml:space="preserve">RRCReestablishment-IEs ::=          </w:t>
      </w:r>
      <w:r w:rsidRPr="00FA0D37">
        <w:rPr>
          <w:color w:val="993366"/>
        </w:rPr>
        <w:t>SEQUENCE</w:t>
      </w:r>
      <w:r w:rsidRPr="00FA0D37">
        <w:t xml:space="preserve"> {</w:t>
      </w:r>
    </w:p>
    <w:p w14:paraId="082824FD" w14:textId="77777777" w:rsidR="00394471" w:rsidRPr="00FA0D37" w:rsidRDefault="00394471" w:rsidP="00FA0D37">
      <w:pPr>
        <w:pStyle w:val="PL"/>
      </w:pPr>
      <w:r w:rsidRPr="00FA0D37">
        <w:t xml:space="preserve">    nextHopChainingCount                NextHopChainingCount,</w:t>
      </w:r>
    </w:p>
    <w:p w14:paraId="071FA8C6"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49A6382" w14:textId="1B11AD4B" w:rsidR="00394471" w:rsidRPr="00FA0D37" w:rsidRDefault="00394471" w:rsidP="00FA0D37">
      <w:pPr>
        <w:pStyle w:val="PL"/>
      </w:pPr>
      <w:r w:rsidRPr="00FA0D37">
        <w:t xml:space="preserve">    nonCriticalExtension                </w:t>
      </w:r>
      <w:r w:rsidR="00AF74F7" w:rsidRPr="00FA0D37">
        <w:t>RRCReestablishment-v17</w:t>
      </w:r>
      <w:r w:rsidR="00D6273A" w:rsidRPr="00FA0D37">
        <w:t>00</w:t>
      </w:r>
      <w:r w:rsidR="00AF74F7" w:rsidRPr="00FA0D37">
        <w:t>-IEs</w:t>
      </w:r>
      <w:r w:rsidRPr="00FA0D37">
        <w:t xml:space="preserve">         </w:t>
      </w:r>
      <w:r w:rsidRPr="00FA0D37">
        <w:rPr>
          <w:color w:val="993366"/>
        </w:rPr>
        <w:t>OPTIONAL</w:t>
      </w:r>
    </w:p>
    <w:p w14:paraId="11E8592E" w14:textId="77777777" w:rsidR="00394471" w:rsidRPr="00FA0D37" w:rsidRDefault="00394471" w:rsidP="00FA0D37">
      <w:pPr>
        <w:pStyle w:val="PL"/>
      </w:pPr>
      <w:r w:rsidRPr="00FA0D37">
        <w:t>}</w:t>
      </w:r>
    </w:p>
    <w:p w14:paraId="266885CE" w14:textId="77777777" w:rsidR="00AF74F7" w:rsidRPr="00FA0D37" w:rsidRDefault="00AF74F7" w:rsidP="00FA0D37">
      <w:pPr>
        <w:pStyle w:val="PL"/>
      </w:pPr>
    </w:p>
    <w:p w14:paraId="12E20957" w14:textId="318DE503" w:rsidR="00AF74F7" w:rsidRPr="00FA0D37" w:rsidRDefault="00AF74F7" w:rsidP="00FA0D37">
      <w:pPr>
        <w:pStyle w:val="PL"/>
      </w:pPr>
      <w:r w:rsidRPr="00FA0D37">
        <w:t>RRCReestablishment-v17</w:t>
      </w:r>
      <w:r w:rsidR="00D6273A" w:rsidRPr="00FA0D37">
        <w:t>00</w:t>
      </w:r>
      <w:r w:rsidRPr="00FA0D37">
        <w:t xml:space="preserve">-IEs ::=    </w:t>
      </w:r>
      <w:r w:rsidRPr="00FA0D37">
        <w:rPr>
          <w:color w:val="993366"/>
        </w:rPr>
        <w:t>SEQUENCE</w:t>
      </w:r>
      <w:r w:rsidRPr="00FA0D37">
        <w:t xml:space="preserve"> {</w:t>
      </w:r>
    </w:p>
    <w:p w14:paraId="304534EC" w14:textId="0AF5E61A" w:rsidR="00AF74F7" w:rsidRPr="00FA0D37" w:rsidRDefault="00AF74F7" w:rsidP="00FA0D37">
      <w:pPr>
        <w:pStyle w:val="PL"/>
        <w:rPr>
          <w:color w:val="808080"/>
        </w:rPr>
      </w:pPr>
      <w:r w:rsidRPr="00FA0D37">
        <w:t xml:space="preserve">    sl-L2RemoteUE</w:t>
      </w:r>
      <w:r w:rsidR="00CD66A2" w:rsidRPr="00FA0D37">
        <w:t>-</w:t>
      </w:r>
      <w:r w:rsidRPr="00FA0D37">
        <w:t>Config-r17            SetupRelease {SL-L2RemoteUE</w:t>
      </w:r>
      <w:r w:rsidR="00CD66A2" w:rsidRPr="00FA0D37">
        <w:t>-</w:t>
      </w:r>
      <w:r w:rsidRPr="00FA0D37">
        <w:t xml:space="preserve">Config-r17}    </w:t>
      </w:r>
      <w:r w:rsidRPr="00FA0D37">
        <w:rPr>
          <w:color w:val="993366"/>
        </w:rPr>
        <w:t>OPTIONAL</w:t>
      </w:r>
      <w:r w:rsidRPr="00FA0D37">
        <w:t xml:space="preserve">, </w:t>
      </w:r>
      <w:r w:rsidRPr="00FA0D37">
        <w:rPr>
          <w:color w:val="808080"/>
        </w:rPr>
        <w:t>-- Cond L2RemoteUE</w:t>
      </w:r>
    </w:p>
    <w:p w14:paraId="6A0C1B6C" w14:textId="0A551303" w:rsidR="00AF74F7" w:rsidRPr="00FA0D37" w:rsidRDefault="00AF74F7"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19B20338" w14:textId="701DC430" w:rsidR="00394471" w:rsidRPr="00FA0D37" w:rsidRDefault="00AF74F7" w:rsidP="00FA0D37">
      <w:pPr>
        <w:pStyle w:val="PL"/>
      </w:pPr>
      <w:r w:rsidRPr="00FA0D37">
        <w:t>}</w:t>
      </w:r>
    </w:p>
    <w:p w14:paraId="40FC633E" w14:textId="77777777" w:rsidR="00AF74F7" w:rsidRPr="00FA0D37" w:rsidRDefault="00AF74F7" w:rsidP="00FA0D37">
      <w:pPr>
        <w:pStyle w:val="PL"/>
      </w:pPr>
    </w:p>
    <w:p w14:paraId="5D323616" w14:textId="77777777" w:rsidR="00394471" w:rsidRPr="00FA0D37" w:rsidRDefault="00394471" w:rsidP="00FA0D37">
      <w:pPr>
        <w:pStyle w:val="PL"/>
        <w:rPr>
          <w:color w:val="808080"/>
        </w:rPr>
      </w:pPr>
      <w:r w:rsidRPr="00FA0D37">
        <w:rPr>
          <w:color w:val="808080"/>
        </w:rPr>
        <w:t>-- TAG-RRCREESTABLISHMENT-STOP</w:t>
      </w:r>
    </w:p>
    <w:p w14:paraId="6A51D36A" w14:textId="77777777" w:rsidR="00394471" w:rsidRPr="00FA0D37" w:rsidRDefault="00394471" w:rsidP="00FA0D37">
      <w:pPr>
        <w:pStyle w:val="PL"/>
        <w:rPr>
          <w:color w:val="808080"/>
        </w:rPr>
      </w:pPr>
      <w:r w:rsidRPr="00FA0D37">
        <w:rPr>
          <w:color w:val="808080"/>
        </w:rPr>
        <w:t>-- ASN1STOP</w:t>
      </w:r>
    </w:p>
    <w:p w14:paraId="18E8D5AF" w14:textId="77777777" w:rsidR="00AF74F7" w:rsidRPr="00FA0D37" w:rsidRDefault="00AF74F7" w:rsidP="00AF74F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F3321A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75A531C" w14:textId="77777777" w:rsidR="00AF74F7" w:rsidRPr="00FA0D37" w:rsidRDefault="00AF74F7" w:rsidP="00771058">
            <w:pPr>
              <w:pStyle w:val="TAH"/>
              <w:rPr>
                <w:szCs w:val="22"/>
                <w:lang w:eastAsia="sv-SE"/>
              </w:rPr>
            </w:pPr>
            <w:r w:rsidRPr="00FA0D37">
              <w:rPr>
                <w:i/>
                <w:szCs w:val="22"/>
                <w:lang w:eastAsia="sv-SE"/>
              </w:rPr>
              <w:t>RRC</w:t>
            </w:r>
            <w:r w:rsidRPr="00FA0D37">
              <w:rPr>
                <w:bCs/>
                <w:i/>
                <w:iCs/>
                <w:noProof/>
              </w:rPr>
              <w:t>Reestablishment</w:t>
            </w:r>
            <w:r w:rsidRPr="00FA0D37">
              <w:rPr>
                <w:i/>
                <w:szCs w:val="22"/>
                <w:lang w:eastAsia="sv-SE"/>
              </w:rPr>
              <w:t xml:space="preserve">-IEs </w:t>
            </w:r>
            <w:r w:rsidRPr="00FA0D37">
              <w:rPr>
                <w:szCs w:val="22"/>
                <w:lang w:eastAsia="sv-SE"/>
              </w:rPr>
              <w:t>field descriptions</w:t>
            </w:r>
          </w:p>
        </w:tc>
      </w:tr>
      <w:tr w:rsidR="00AF74F7" w:rsidRPr="00FA0D37" w14:paraId="445D8E54" w14:textId="77777777" w:rsidTr="00771058">
        <w:tc>
          <w:tcPr>
            <w:tcW w:w="14173" w:type="dxa"/>
            <w:tcBorders>
              <w:top w:val="single" w:sz="4" w:space="0" w:color="auto"/>
              <w:left w:val="single" w:sz="4" w:space="0" w:color="auto"/>
              <w:bottom w:val="single" w:sz="4" w:space="0" w:color="auto"/>
              <w:right w:val="single" w:sz="4" w:space="0" w:color="auto"/>
            </w:tcBorders>
          </w:tcPr>
          <w:p w14:paraId="1C6E3F20" w14:textId="0A94B461" w:rsidR="00AF74F7" w:rsidRPr="00FA0D37" w:rsidRDefault="00AF74F7" w:rsidP="00771058">
            <w:pPr>
              <w:pStyle w:val="TAL"/>
              <w:rPr>
                <w:b/>
                <w:i/>
                <w:szCs w:val="22"/>
                <w:lang w:eastAsia="sv-SE"/>
              </w:rPr>
            </w:pPr>
            <w:r w:rsidRPr="00FA0D37">
              <w:rPr>
                <w:b/>
                <w:i/>
                <w:szCs w:val="22"/>
                <w:lang w:eastAsia="sv-SE"/>
              </w:rPr>
              <w:t>sl-L2RemoteUE</w:t>
            </w:r>
            <w:r w:rsidR="00CD66A2" w:rsidRPr="00FA0D37">
              <w:rPr>
                <w:b/>
                <w:i/>
                <w:szCs w:val="22"/>
                <w:lang w:eastAsia="sv-SE"/>
              </w:rPr>
              <w:t>-</w:t>
            </w:r>
            <w:r w:rsidRPr="00FA0D37">
              <w:rPr>
                <w:b/>
                <w:i/>
                <w:szCs w:val="22"/>
                <w:lang w:eastAsia="sv-SE"/>
              </w:rPr>
              <w:t>Config</w:t>
            </w:r>
          </w:p>
          <w:p w14:paraId="4C787642" w14:textId="736B87E1" w:rsidR="00AF74F7" w:rsidRPr="00FA0D37" w:rsidRDefault="00CD66A2" w:rsidP="00771058">
            <w:pPr>
              <w:pStyle w:val="TAL"/>
              <w:rPr>
                <w:b/>
                <w:i/>
                <w:szCs w:val="22"/>
                <w:lang w:eastAsia="sv-SE"/>
              </w:rPr>
            </w:pPr>
            <w:r w:rsidRPr="00FA0D37">
              <w:rPr>
                <w:szCs w:val="22"/>
                <w:lang w:eastAsia="sv-SE"/>
              </w:rPr>
              <w:t>Contains dedicated configurations used for L2 U2N relay related operation.</w:t>
            </w:r>
            <w:r w:rsidRPr="00FA0D37">
              <w:rPr>
                <w:bCs/>
                <w:iCs/>
                <w:szCs w:val="22"/>
                <w:lang w:eastAsia="sv-SE"/>
              </w:rPr>
              <w:t xml:space="preserve"> </w:t>
            </w:r>
            <w:r w:rsidR="00AF74F7" w:rsidRPr="00FA0D37">
              <w:rPr>
                <w:szCs w:val="22"/>
                <w:lang w:eastAsia="sv-SE"/>
              </w:rPr>
              <w:t>The network configures only the SRAP configuration for</w:t>
            </w:r>
            <w:r w:rsidR="00984519" w:rsidRPr="00FA0D37">
              <w:rPr>
                <w:rFonts w:cs="Arial"/>
                <w:bCs/>
                <w:iCs/>
                <w:szCs w:val="22"/>
                <w:lang w:eastAsia="sv-SE"/>
              </w:rPr>
              <w:t xml:space="preserve"> local UE ID</w:t>
            </w:r>
            <w:r w:rsidR="00AF74F7" w:rsidRPr="00FA0D37">
              <w:rPr>
                <w:szCs w:val="22"/>
                <w:lang w:eastAsia="sv-SE"/>
              </w:rPr>
              <w:t>.</w:t>
            </w:r>
          </w:p>
        </w:tc>
      </w:tr>
    </w:tbl>
    <w:p w14:paraId="542A09E0" w14:textId="77777777" w:rsidR="00AF74F7" w:rsidRPr="00FA0D37" w:rsidRDefault="00AF74F7" w:rsidP="00AF74F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6BFA2CE8" w14:textId="77777777" w:rsidTr="00771058">
        <w:tc>
          <w:tcPr>
            <w:tcW w:w="4027" w:type="dxa"/>
            <w:tcBorders>
              <w:top w:val="single" w:sz="4" w:space="0" w:color="auto"/>
              <w:left w:val="single" w:sz="4" w:space="0" w:color="auto"/>
              <w:bottom w:val="single" w:sz="4" w:space="0" w:color="auto"/>
              <w:right w:val="single" w:sz="4" w:space="0" w:color="auto"/>
            </w:tcBorders>
          </w:tcPr>
          <w:p w14:paraId="6BC9BCA6" w14:textId="77777777" w:rsidR="00AF74F7" w:rsidRPr="00FA0D37" w:rsidRDefault="00AF74F7" w:rsidP="000830BB">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5572A2F" w14:textId="77777777" w:rsidR="00AF74F7" w:rsidRPr="00FA0D37" w:rsidRDefault="00AF74F7" w:rsidP="000830BB">
            <w:pPr>
              <w:pStyle w:val="TAH"/>
              <w:rPr>
                <w:lang w:eastAsia="sv-SE"/>
              </w:rPr>
            </w:pPr>
            <w:r w:rsidRPr="00FA0D37">
              <w:rPr>
                <w:lang w:eastAsia="sv-SE"/>
              </w:rPr>
              <w:t>Explanation</w:t>
            </w:r>
          </w:p>
        </w:tc>
      </w:tr>
      <w:tr w:rsidR="000830BB" w:rsidRPr="00FA0D37" w14:paraId="73339E35" w14:textId="77777777" w:rsidTr="00771058">
        <w:tc>
          <w:tcPr>
            <w:tcW w:w="4027" w:type="dxa"/>
            <w:tcBorders>
              <w:top w:val="single" w:sz="4" w:space="0" w:color="auto"/>
              <w:left w:val="single" w:sz="4" w:space="0" w:color="auto"/>
              <w:bottom w:val="single" w:sz="4" w:space="0" w:color="auto"/>
              <w:right w:val="single" w:sz="4" w:space="0" w:color="auto"/>
            </w:tcBorders>
          </w:tcPr>
          <w:p w14:paraId="7799A655" w14:textId="77777777" w:rsidR="00AF74F7" w:rsidRPr="00FA0D37" w:rsidRDefault="00AF74F7" w:rsidP="000830BB">
            <w:pPr>
              <w:pStyle w:val="TAL"/>
              <w:rPr>
                <w:i/>
                <w:iCs/>
                <w:lang w:eastAsia="sv-SE"/>
              </w:rPr>
            </w:pPr>
            <w:r w:rsidRPr="00FA0D37">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C8EF400" w14:textId="1E30DCC6" w:rsidR="00AF74F7" w:rsidRPr="00FA0D37" w:rsidRDefault="00AF74F7" w:rsidP="000830BB">
            <w:pPr>
              <w:pStyle w:val="TAL"/>
              <w:rPr>
                <w:lang w:eastAsia="sv-SE"/>
              </w:rPr>
            </w:pPr>
            <w:r w:rsidRPr="00FA0D37">
              <w:rPr>
                <w:lang w:eastAsia="en-GB"/>
              </w:rPr>
              <w:t xml:space="preserve">The field is </w:t>
            </w:r>
            <w:r w:rsidRPr="00FA0D37">
              <w:rPr>
                <w:rFonts w:eastAsia="Calibri"/>
              </w:rPr>
              <w:t xml:space="preserve">mandatory </w:t>
            </w:r>
            <w:r w:rsidRPr="00FA0D37">
              <w:rPr>
                <w:lang w:eastAsia="en-GB"/>
              </w:rPr>
              <w:t>present for L2 U2N Remote UE; otherwise it is absent.</w:t>
            </w:r>
          </w:p>
        </w:tc>
      </w:tr>
    </w:tbl>
    <w:p w14:paraId="60287926" w14:textId="77777777" w:rsidR="00394471" w:rsidRPr="00FA0D37" w:rsidRDefault="00394471" w:rsidP="00394471"/>
    <w:p w14:paraId="0BBC9960" w14:textId="77777777" w:rsidR="00394471" w:rsidRPr="00FA0D37" w:rsidRDefault="00394471" w:rsidP="00394471">
      <w:pPr>
        <w:pStyle w:val="4"/>
      </w:pPr>
      <w:bookmarkStart w:id="629" w:name="_Toc60777106"/>
      <w:bookmarkStart w:id="630" w:name="_Toc146781143"/>
      <w:r w:rsidRPr="00FA0D37">
        <w:lastRenderedPageBreak/>
        <w:t>–</w:t>
      </w:r>
      <w:r w:rsidRPr="00FA0D37">
        <w:tab/>
      </w:r>
      <w:r w:rsidRPr="00FA0D37">
        <w:rPr>
          <w:i/>
          <w:noProof/>
        </w:rPr>
        <w:t>RRCReestablishmentComplete</w:t>
      </w:r>
      <w:bookmarkEnd w:id="629"/>
      <w:bookmarkEnd w:id="630"/>
    </w:p>
    <w:p w14:paraId="5D54A0EF" w14:textId="77777777" w:rsidR="00394471" w:rsidRPr="00FA0D37" w:rsidRDefault="00394471" w:rsidP="00394471">
      <w:r w:rsidRPr="00FA0D37">
        <w:t xml:space="preserve">The </w:t>
      </w:r>
      <w:r w:rsidRPr="00FA0D37">
        <w:rPr>
          <w:i/>
          <w:noProof/>
        </w:rPr>
        <w:t>RRCReestablishmentComplete</w:t>
      </w:r>
      <w:r w:rsidRPr="00FA0D37">
        <w:t xml:space="preserve"> message is used to confirm the successful completion of an RRC connection re-establishment.</w:t>
      </w:r>
    </w:p>
    <w:p w14:paraId="12AEDF59" w14:textId="77777777" w:rsidR="00394471" w:rsidRPr="00FA0D37" w:rsidRDefault="00394471" w:rsidP="00394471">
      <w:pPr>
        <w:pStyle w:val="B1"/>
      </w:pPr>
      <w:r w:rsidRPr="00FA0D37">
        <w:t>Signalling radio bearer: SRB1</w:t>
      </w:r>
    </w:p>
    <w:p w14:paraId="59BB09BC" w14:textId="77777777" w:rsidR="00394471" w:rsidRPr="00FA0D37" w:rsidRDefault="00394471" w:rsidP="00394471">
      <w:pPr>
        <w:pStyle w:val="B1"/>
      </w:pPr>
      <w:r w:rsidRPr="00FA0D37">
        <w:t>RLC-SAP: AM</w:t>
      </w:r>
    </w:p>
    <w:p w14:paraId="7771582C" w14:textId="77777777" w:rsidR="00394471" w:rsidRPr="00FA0D37" w:rsidRDefault="00394471" w:rsidP="00394471">
      <w:pPr>
        <w:pStyle w:val="B1"/>
      </w:pPr>
      <w:r w:rsidRPr="00FA0D37">
        <w:t>Logical channel: DCCH</w:t>
      </w:r>
    </w:p>
    <w:p w14:paraId="525078E2" w14:textId="77777777" w:rsidR="00394471" w:rsidRPr="00FA0D37" w:rsidRDefault="00394471" w:rsidP="00394471">
      <w:pPr>
        <w:pStyle w:val="B1"/>
      </w:pPr>
      <w:r w:rsidRPr="00FA0D37">
        <w:t>Direction: UE to Network</w:t>
      </w:r>
    </w:p>
    <w:p w14:paraId="743A5B54" w14:textId="77777777" w:rsidR="00394471" w:rsidRPr="00FA0D37" w:rsidRDefault="00394471" w:rsidP="00394471">
      <w:pPr>
        <w:pStyle w:val="TH"/>
        <w:rPr>
          <w:bCs/>
          <w:i/>
          <w:iCs/>
        </w:rPr>
      </w:pPr>
      <w:r w:rsidRPr="00FA0D37">
        <w:rPr>
          <w:bCs/>
          <w:i/>
          <w:iCs/>
          <w:noProof/>
        </w:rPr>
        <w:t xml:space="preserve">RRCReestablishmentComplete </w:t>
      </w:r>
      <w:r w:rsidRPr="00FA0D37">
        <w:t>message</w:t>
      </w:r>
    </w:p>
    <w:p w14:paraId="7DCE8E90" w14:textId="77777777" w:rsidR="00394471" w:rsidRPr="00FA0D37" w:rsidRDefault="00394471" w:rsidP="00FA0D37">
      <w:pPr>
        <w:pStyle w:val="PL"/>
        <w:rPr>
          <w:color w:val="808080"/>
        </w:rPr>
      </w:pPr>
      <w:r w:rsidRPr="00FA0D37">
        <w:rPr>
          <w:color w:val="808080"/>
        </w:rPr>
        <w:t>-- ASN1START</w:t>
      </w:r>
    </w:p>
    <w:p w14:paraId="78401DA0" w14:textId="77777777" w:rsidR="00394471" w:rsidRPr="00FA0D37" w:rsidRDefault="00394471" w:rsidP="00FA0D37">
      <w:pPr>
        <w:pStyle w:val="PL"/>
        <w:rPr>
          <w:color w:val="808080"/>
        </w:rPr>
      </w:pPr>
      <w:r w:rsidRPr="00FA0D37">
        <w:rPr>
          <w:color w:val="808080"/>
        </w:rPr>
        <w:t>-- TAG-RRCREESTABLISHMENTCOMPLETE-START</w:t>
      </w:r>
    </w:p>
    <w:p w14:paraId="4EBD71F2" w14:textId="77777777" w:rsidR="00394471" w:rsidRPr="00FA0D37" w:rsidRDefault="00394471" w:rsidP="00FA0D37">
      <w:pPr>
        <w:pStyle w:val="PL"/>
      </w:pPr>
    </w:p>
    <w:p w14:paraId="54C91D44" w14:textId="77777777" w:rsidR="00394471" w:rsidRPr="00FA0D37" w:rsidRDefault="00394471" w:rsidP="00FA0D37">
      <w:pPr>
        <w:pStyle w:val="PL"/>
      </w:pPr>
      <w:r w:rsidRPr="00FA0D37">
        <w:t xml:space="preserve">RRCReestablishmentComplete ::=              </w:t>
      </w:r>
      <w:r w:rsidRPr="00FA0D37">
        <w:rPr>
          <w:color w:val="993366"/>
        </w:rPr>
        <w:t>SEQUENCE</w:t>
      </w:r>
      <w:r w:rsidRPr="00FA0D37">
        <w:t xml:space="preserve"> {</w:t>
      </w:r>
    </w:p>
    <w:p w14:paraId="42749710" w14:textId="77777777" w:rsidR="00394471" w:rsidRPr="00FA0D37" w:rsidRDefault="00394471" w:rsidP="00FA0D37">
      <w:pPr>
        <w:pStyle w:val="PL"/>
      </w:pPr>
      <w:r w:rsidRPr="00FA0D37">
        <w:t xml:space="preserve">    rrc-TransactionIdentifier                   RRC-TransactionIdentifier,</w:t>
      </w:r>
    </w:p>
    <w:p w14:paraId="0DD42718"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1EEC74E0" w14:textId="77777777" w:rsidR="00394471" w:rsidRPr="00FA0D37" w:rsidRDefault="00394471" w:rsidP="00FA0D37">
      <w:pPr>
        <w:pStyle w:val="PL"/>
      </w:pPr>
      <w:r w:rsidRPr="00FA0D37">
        <w:t xml:space="preserve">        rrcReestablishmentComplete                  RRCReestablishmentComplete-IEs,</w:t>
      </w:r>
    </w:p>
    <w:p w14:paraId="704C6ED8"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3F453A85" w14:textId="77777777" w:rsidR="00394471" w:rsidRPr="00FA0D37" w:rsidRDefault="00394471" w:rsidP="00FA0D37">
      <w:pPr>
        <w:pStyle w:val="PL"/>
      </w:pPr>
      <w:r w:rsidRPr="00FA0D37">
        <w:t xml:space="preserve">    }</w:t>
      </w:r>
    </w:p>
    <w:p w14:paraId="5DE2E970" w14:textId="77777777" w:rsidR="00394471" w:rsidRPr="00FA0D37" w:rsidRDefault="00394471" w:rsidP="00FA0D37">
      <w:pPr>
        <w:pStyle w:val="PL"/>
      </w:pPr>
      <w:r w:rsidRPr="00FA0D37">
        <w:t>}</w:t>
      </w:r>
    </w:p>
    <w:p w14:paraId="652267D2" w14:textId="77777777" w:rsidR="00394471" w:rsidRPr="00FA0D37" w:rsidRDefault="00394471" w:rsidP="00FA0D37">
      <w:pPr>
        <w:pStyle w:val="PL"/>
      </w:pPr>
    </w:p>
    <w:p w14:paraId="73F5BFF9" w14:textId="77777777" w:rsidR="00394471" w:rsidRPr="00FA0D37" w:rsidRDefault="00394471" w:rsidP="00FA0D37">
      <w:pPr>
        <w:pStyle w:val="PL"/>
      </w:pPr>
      <w:r w:rsidRPr="00FA0D37">
        <w:t xml:space="preserve">RRCReestablishmentComplete-IEs ::=          </w:t>
      </w:r>
      <w:r w:rsidRPr="00FA0D37">
        <w:rPr>
          <w:color w:val="993366"/>
        </w:rPr>
        <w:t>SEQUENCE</w:t>
      </w:r>
      <w:r w:rsidRPr="00FA0D37">
        <w:t xml:space="preserve"> {</w:t>
      </w:r>
    </w:p>
    <w:p w14:paraId="35D2A7BF"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D7A20A0" w14:textId="77777777" w:rsidR="00394471" w:rsidRPr="00FA0D37" w:rsidRDefault="00394471" w:rsidP="00FA0D37">
      <w:pPr>
        <w:pStyle w:val="PL"/>
      </w:pPr>
      <w:r w:rsidRPr="00FA0D37">
        <w:t xml:space="preserve">    nonCriticalExtension                        RRCReestablishmentComplete-v1610-IEs    </w:t>
      </w:r>
      <w:r w:rsidRPr="00FA0D37">
        <w:rPr>
          <w:color w:val="993366"/>
        </w:rPr>
        <w:t>OPTIONAL</w:t>
      </w:r>
    </w:p>
    <w:p w14:paraId="01429CF4" w14:textId="77777777" w:rsidR="00394471" w:rsidRPr="00FA0D37" w:rsidRDefault="00394471" w:rsidP="00FA0D37">
      <w:pPr>
        <w:pStyle w:val="PL"/>
      </w:pPr>
      <w:r w:rsidRPr="00FA0D37">
        <w:t>}</w:t>
      </w:r>
    </w:p>
    <w:p w14:paraId="738BF5CF" w14:textId="77777777" w:rsidR="00394471" w:rsidRPr="00FA0D37" w:rsidRDefault="00394471" w:rsidP="00FA0D37">
      <w:pPr>
        <w:pStyle w:val="PL"/>
      </w:pPr>
    </w:p>
    <w:p w14:paraId="5B61F6BE" w14:textId="77777777" w:rsidR="00394471" w:rsidRPr="00FA0D37" w:rsidRDefault="00394471" w:rsidP="00FA0D37">
      <w:pPr>
        <w:pStyle w:val="PL"/>
      </w:pPr>
      <w:r w:rsidRPr="00FA0D37">
        <w:t xml:space="preserve">RRCReestablishmentComplete-v1610-IEs ::=    </w:t>
      </w:r>
      <w:r w:rsidRPr="00FA0D37">
        <w:rPr>
          <w:color w:val="993366"/>
        </w:rPr>
        <w:t>SEQUENCE</w:t>
      </w:r>
      <w:r w:rsidRPr="00FA0D37">
        <w:t xml:space="preserve"> {</w:t>
      </w:r>
    </w:p>
    <w:p w14:paraId="5843B5A8" w14:textId="77777777" w:rsidR="00394471" w:rsidRPr="00FA0D37" w:rsidRDefault="00394471" w:rsidP="00FA0D37">
      <w:pPr>
        <w:pStyle w:val="PL"/>
      </w:pPr>
      <w:r w:rsidRPr="00FA0D37">
        <w:t xml:space="preserve">    ue-MeasurementsAvailable-r16                UE-MeasurementsAvailable-r16    </w:t>
      </w:r>
      <w:r w:rsidRPr="00FA0D37">
        <w:rPr>
          <w:color w:val="993366"/>
        </w:rPr>
        <w:t>OPTIONAL</w:t>
      </w:r>
      <w:r w:rsidRPr="00FA0D37">
        <w:t>,</w:t>
      </w:r>
    </w:p>
    <w:p w14:paraId="389CD7AE"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740B0C65" w14:textId="77777777" w:rsidR="00394471" w:rsidRPr="00FA0D37" w:rsidRDefault="00394471" w:rsidP="00FA0D37">
      <w:pPr>
        <w:pStyle w:val="PL"/>
      </w:pPr>
      <w:r w:rsidRPr="00FA0D37">
        <w:t>}</w:t>
      </w:r>
    </w:p>
    <w:p w14:paraId="66E764E4" w14:textId="77777777" w:rsidR="00394471" w:rsidRPr="00FA0D37" w:rsidRDefault="00394471" w:rsidP="00FA0D37">
      <w:pPr>
        <w:pStyle w:val="PL"/>
      </w:pPr>
    </w:p>
    <w:p w14:paraId="561675BD" w14:textId="77777777" w:rsidR="00394471" w:rsidRPr="00FA0D37" w:rsidRDefault="00394471" w:rsidP="00FA0D37">
      <w:pPr>
        <w:pStyle w:val="PL"/>
        <w:rPr>
          <w:color w:val="808080"/>
        </w:rPr>
      </w:pPr>
      <w:r w:rsidRPr="00FA0D37">
        <w:rPr>
          <w:color w:val="808080"/>
        </w:rPr>
        <w:t>-- TAG-RRCREESTABLISHMENTCOMPLETE-STOP</w:t>
      </w:r>
    </w:p>
    <w:p w14:paraId="36AFB79E" w14:textId="77777777" w:rsidR="00394471" w:rsidRPr="00FA0D37" w:rsidRDefault="00394471" w:rsidP="00FA0D37">
      <w:pPr>
        <w:pStyle w:val="PL"/>
        <w:rPr>
          <w:color w:val="808080"/>
        </w:rPr>
      </w:pPr>
      <w:r w:rsidRPr="00FA0D37">
        <w:rPr>
          <w:color w:val="808080"/>
        </w:rPr>
        <w:t>-- ASN1STOP</w:t>
      </w:r>
    </w:p>
    <w:p w14:paraId="0E23E7B7" w14:textId="77777777" w:rsidR="00394471" w:rsidRPr="00FA0D37" w:rsidRDefault="00394471" w:rsidP="00394471"/>
    <w:p w14:paraId="127D1D9E" w14:textId="77777777" w:rsidR="00394471" w:rsidRPr="00FA0D37" w:rsidRDefault="00394471" w:rsidP="00394471">
      <w:pPr>
        <w:pStyle w:val="4"/>
      </w:pPr>
      <w:bookmarkStart w:id="631" w:name="_Toc60777107"/>
      <w:bookmarkStart w:id="632" w:name="_Toc146781144"/>
      <w:r w:rsidRPr="00FA0D37">
        <w:t>–</w:t>
      </w:r>
      <w:r w:rsidRPr="00FA0D37">
        <w:tab/>
      </w:r>
      <w:r w:rsidRPr="00FA0D37">
        <w:rPr>
          <w:i/>
          <w:noProof/>
        </w:rPr>
        <w:t>RRCReestablishmentRequest</w:t>
      </w:r>
      <w:bookmarkEnd w:id="631"/>
      <w:bookmarkEnd w:id="632"/>
    </w:p>
    <w:p w14:paraId="64E5EA79" w14:textId="77777777" w:rsidR="00394471" w:rsidRPr="00FA0D37" w:rsidRDefault="00394471" w:rsidP="00394471">
      <w:r w:rsidRPr="00FA0D37">
        <w:t xml:space="preserve">The </w:t>
      </w:r>
      <w:r w:rsidRPr="00FA0D37">
        <w:rPr>
          <w:i/>
          <w:noProof/>
        </w:rPr>
        <w:t>RRCReestablishmentRequest</w:t>
      </w:r>
      <w:r w:rsidRPr="00FA0D37">
        <w:t xml:space="preserve"> message is used to request the reestablishment of an RRC connection.</w:t>
      </w:r>
    </w:p>
    <w:p w14:paraId="63610703" w14:textId="77777777" w:rsidR="00394471" w:rsidRPr="00FA0D37" w:rsidRDefault="00394471" w:rsidP="00394471">
      <w:pPr>
        <w:pStyle w:val="B1"/>
      </w:pPr>
      <w:r w:rsidRPr="00FA0D37">
        <w:t>Signalling radio bearer: SRB0</w:t>
      </w:r>
    </w:p>
    <w:p w14:paraId="1C56DCE0" w14:textId="77777777" w:rsidR="00394471" w:rsidRPr="00FA0D37" w:rsidRDefault="00394471" w:rsidP="00394471">
      <w:pPr>
        <w:pStyle w:val="B1"/>
      </w:pPr>
      <w:r w:rsidRPr="00FA0D37">
        <w:t>RLC-SAP: TM</w:t>
      </w:r>
    </w:p>
    <w:p w14:paraId="4B644E99" w14:textId="77777777" w:rsidR="00394471" w:rsidRPr="00FA0D37" w:rsidRDefault="00394471" w:rsidP="00394471">
      <w:pPr>
        <w:pStyle w:val="B1"/>
      </w:pPr>
      <w:r w:rsidRPr="00FA0D37">
        <w:lastRenderedPageBreak/>
        <w:t>Logical channel: CCCH</w:t>
      </w:r>
    </w:p>
    <w:p w14:paraId="62281986" w14:textId="77777777" w:rsidR="00394471" w:rsidRPr="00FA0D37" w:rsidRDefault="00394471" w:rsidP="00394471">
      <w:pPr>
        <w:pStyle w:val="B1"/>
      </w:pPr>
      <w:r w:rsidRPr="00FA0D37">
        <w:t>Direction: UE to Network</w:t>
      </w:r>
    </w:p>
    <w:p w14:paraId="376810A2" w14:textId="77777777" w:rsidR="00394471" w:rsidRPr="00FA0D37" w:rsidRDefault="00394471" w:rsidP="00394471">
      <w:pPr>
        <w:pStyle w:val="TH"/>
        <w:rPr>
          <w:bCs/>
          <w:i/>
          <w:iCs/>
        </w:rPr>
      </w:pPr>
      <w:r w:rsidRPr="00FA0D37">
        <w:rPr>
          <w:bCs/>
          <w:i/>
          <w:iCs/>
          <w:noProof/>
        </w:rPr>
        <w:t xml:space="preserve">RRCReestablishmentRequest </w:t>
      </w:r>
      <w:r w:rsidRPr="00FA0D37">
        <w:t>message</w:t>
      </w:r>
    </w:p>
    <w:p w14:paraId="2E52E05C" w14:textId="77777777" w:rsidR="00394471" w:rsidRPr="00FA0D37" w:rsidRDefault="00394471" w:rsidP="00FA0D37">
      <w:pPr>
        <w:pStyle w:val="PL"/>
        <w:rPr>
          <w:color w:val="808080"/>
        </w:rPr>
      </w:pPr>
      <w:r w:rsidRPr="00FA0D37">
        <w:rPr>
          <w:color w:val="808080"/>
        </w:rPr>
        <w:t>-- ASN1START</w:t>
      </w:r>
    </w:p>
    <w:p w14:paraId="3C75E42B" w14:textId="77777777" w:rsidR="00394471" w:rsidRPr="00FA0D37" w:rsidRDefault="00394471" w:rsidP="00FA0D37">
      <w:pPr>
        <w:pStyle w:val="PL"/>
        <w:rPr>
          <w:color w:val="808080"/>
        </w:rPr>
      </w:pPr>
      <w:r w:rsidRPr="00FA0D37">
        <w:rPr>
          <w:color w:val="808080"/>
        </w:rPr>
        <w:t>-- TAG-RRCREESTABLISHMENTREQUEST-START</w:t>
      </w:r>
    </w:p>
    <w:p w14:paraId="11BF08AF" w14:textId="77777777" w:rsidR="00394471" w:rsidRPr="00FA0D37" w:rsidRDefault="00394471" w:rsidP="00FA0D37">
      <w:pPr>
        <w:pStyle w:val="PL"/>
      </w:pPr>
    </w:p>
    <w:p w14:paraId="68BCEADA" w14:textId="77777777" w:rsidR="00394471" w:rsidRPr="00FA0D37" w:rsidRDefault="00394471" w:rsidP="00FA0D37">
      <w:pPr>
        <w:pStyle w:val="PL"/>
      </w:pPr>
    </w:p>
    <w:p w14:paraId="328A9FC3" w14:textId="77777777" w:rsidR="00394471" w:rsidRPr="00FA0D37" w:rsidRDefault="00394471" w:rsidP="00FA0D37">
      <w:pPr>
        <w:pStyle w:val="PL"/>
      </w:pPr>
      <w:r w:rsidRPr="00FA0D37">
        <w:t xml:space="preserve">RRCReestablishmentRequest ::=       </w:t>
      </w:r>
      <w:r w:rsidRPr="00FA0D37">
        <w:rPr>
          <w:color w:val="993366"/>
        </w:rPr>
        <w:t>SEQUENCE</w:t>
      </w:r>
      <w:r w:rsidRPr="00FA0D37">
        <w:t xml:space="preserve"> {</w:t>
      </w:r>
    </w:p>
    <w:p w14:paraId="0B1FCB44" w14:textId="77777777" w:rsidR="00394471" w:rsidRPr="00FA0D37" w:rsidRDefault="00394471" w:rsidP="00FA0D37">
      <w:pPr>
        <w:pStyle w:val="PL"/>
      </w:pPr>
      <w:r w:rsidRPr="00FA0D37">
        <w:t xml:space="preserve">    rrcReestablishmentRequest           RRCReestablishmentRequest-IEs</w:t>
      </w:r>
    </w:p>
    <w:p w14:paraId="5DC5B7DC" w14:textId="77777777" w:rsidR="00394471" w:rsidRPr="00FA0D37" w:rsidRDefault="00394471" w:rsidP="00FA0D37">
      <w:pPr>
        <w:pStyle w:val="PL"/>
      </w:pPr>
      <w:r w:rsidRPr="00FA0D37">
        <w:t>}</w:t>
      </w:r>
    </w:p>
    <w:p w14:paraId="052B49B1" w14:textId="77777777" w:rsidR="00394471" w:rsidRPr="00FA0D37" w:rsidRDefault="00394471" w:rsidP="00FA0D37">
      <w:pPr>
        <w:pStyle w:val="PL"/>
      </w:pPr>
    </w:p>
    <w:p w14:paraId="68B6CBD0" w14:textId="77777777" w:rsidR="00394471" w:rsidRPr="00FA0D37" w:rsidRDefault="00394471" w:rsidP="00FA0D37">
      <w:pPr>
        <w:pStyle w:val="PL"/>
      </w:pPr>
      <w:r w:rsidRPr="00FA0D37">
        <w:t xml:space="preserve">RRCReestablishmentRequest-IEs ::=   </w:t>
      </w:r>
      <w:r w:rsidRPr="00FA0D37">
        <w:rPr>
          <w:color w:val="993366"/>
        </w:rPr>
        <w:t>SEQUENCE</w:t>
      </w:r>
      <w:r w:rsidRPr="00FA0D37">
        <w:t xml:space="preserve"> {</w:t>
      </w:r>
    </w:p>
    <w:p w14:paraId="47B5D376" w14:textId="77777777" w:rsidR="00394471" w:rsidRPr="00FA0D37" w:rsidRDefault="00394471" w:rsidP="00FA0D37">
      <w:pPr>
        <w:pStyle w:val="PL"/>
      </w:pPr>
      <w:r w:rsidRPr="00FA0D37">
        <w:t xml:space="preserve">    ue-Identity                         ReestabUE-Identity,</w:t>
      </w:r>
    </w:p>
    <w:p w14:paraId="257E3B19" w14:textId="77777777" w:rsidR="00394471" w:rsidRPr="00FA0D37" w:rsidRDefault="00394471" w:rsidP="00FA0D37">
      <w:pPr>
        <w:pStyle w:val="PL"/>
      </w:pPr>
      <w:r w:rsidRPr="00FA0D37">
        <w:t xml:space="preserve">    reestablishmentCause                ReestablishmentCause,</w:t>
      </w:r>
    </w:p>
    <w:p w14:paraId="76ADF0C4" w14:textId="77777777" w:rsidR="00394471" w:rsidRPr="00FA0D37" w:rsidRDefault="00394471" w:rsidP="00FA0D37">
      <w:pPr>
        <w:pStyle w:val="PL"/>
      </w:pPr>
      <w:r w:rsidRPr="00FA0D37">
        <w:t xml:space="preserve">    spare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w:t>
      </w:r>
    </w:p>
    <w:p w14:paraId="09FA825F" w14:textId="77777777" w:rsidR="00394471" w:rsidRPr="00FA0D37" w:rsidRDefault="00394471" w:rsidP="00FA0D37">
      <w:pPr>
        <w:pStyle w:val="PL"/>
      </w:pPr>
      <w:r w:rsidRPr="00FA0D37">
        <w:t>}</w:t>
      </w:r>
    </w:p>
    <w:p w14:paraId="6A683107" w14:textId="77777777" w:rsidR="00394471" w:rsidRPr="00FA0D37" w:rsidRDefault="00394471" w:rsidP="00FA0D37">
      <w:pPr>
        <w:pStyle w:val="PL"/>
      </w:pPr>
    </w:p>
    <w:p w14:paraId="3A2DD46D" w14:textId="77777777" w:rsidR="00394471" w:rsidRPr="00FA0D37" w:rsidRDefault="00394471" w:rsidP="00FA0D37">
      <w:pPr>
        <w:pStyle w:val="PL"/>
      </w:pPr>
      <w:r w:rsidRPr="00FA0D37">
        <w:t xml:space="preserve">ReestabUE-Identity ::=              </w:t>
      </w:r>
      <w:r w:rsidRPr="00FA0D37">
        <w:rPr>
          <w:color w:val="993366"/>
        </w:rPr>
        <w:t>SEQUENCE</w:t>
      </w:r>
      <w:r w:rsidRPr="00FA0D37">
        <w:t xml:space="preserve"> {</w:t>
      </w:r>
    </w:p>
    <w:p w14:paraId="0B3B2F3F" w14:textId="77777777" w:rsidR="00394471" w:rsidRPr="00FA0D37" w:rsidRDefault="00394471" w:rsidP="00FA0D37">
      <w:pPr>
        <w:pStyle w:val="PL"/>
      </w:pPr>
      <w:r w:rsidRPr="00FA0D37">
        <w:t xml:space="preserve">    c-RNTI                              RNTI-Value,</w:t>
      </w:r>
    </w:p>
    <w:p w14:paraId="78902899" w14:textId="77777777" w:rsidR="00394471" w:rsidRPr="00FA0D37" w:rsidRDefault="00394471" w:rsidP="00FA0D37">
      <w:pPr>
        <w:pStyle w:val="PL"/>
      </w:pPr>
      <w:r w:rsidRPr="00FA0D37">
        <w:t xml:space="preserve">    physCellId                          PhysCellId,</w:t>
      </w:r>
    </w:p>
    <w:p w14:paraId="4D7275EF" w14:textId="77777777" w:rsidR="00394471" w:rsidRPr="00FA0D37" w:rsidRDefault="00394471" w:rsidP="00FA0D37">
      <w:pPr>
        <w:pStyle w:val="PL"/>
      </w:pPr>
      <w:r w:rsidRPr="00FA0D37">
        <w:t xml:space="preserve">    shortMAC-I                          ShortMAC-I</w:t>
      </w:r>
    </w:p>
    <w:p w14:paraId="3B233182" w14:textId="77777777" w:rsidR="00394471" w:rsidRPr="00FA0D37" w:rsidRDefault="00394471" w:rsidP="00FA0D37">
      <w:pPr>
        <w:pStyle w:val="PL"/>
      </w:pPr>
      <w:r w:rsidRPr="00FA0D37">
        <w:t>}</w:t>
      </w:r>
    </w:p>
    <w:p w14:paraId="502F2057" w14:textId="77777777" w:rsidR="00394471" w:rsidRPr="00FA0D37" w:rsidRDefault="00394471" w:rsidP="00FA0D37">
      <w:pPr>
        <w:pStyle w:val="PL"/>
      </w:pPr>
    </w:p>
    <w:p w14:paraId="3AF89AD3" w14:textId="77777777" w:rsidR="00394471" w:rsidRPr="00FA0D37" w:rsidRDefault="00394471" w:rsidP="00FA0D37">
      <w:pPr>
        <w:pStyle w:val="PL"/>
      </w:pPr>
      <w:r w:rsidRPr="00FA0D37">
        <w:t xml:space="preserve">ReestablishmentCause ::=            </w:t>
      </w:r>
      <w:r w:rsidRPr="00FA0D37">
        <w:rPr>
          <w:color w:val="993366"/>
        </w:rPr>
        <w:t>ENUMERATED</w:t>
      </w:r>
      <w:r w:rsidRPr="00FA0D37">
        <w:t xml:space="preserve"> {reconfigurationFailure, handoverFailure, otherFailure, spare1}</w:t>
      </w:r>
    </w:p>
    <w:p w14:paraId="6E5855BC" w14:textId="77777777" w:rsidR="00394471" w:rsidRPr="00FA0D37" w:rsidRDefault="00394471" w:rsidP="00FA0D37">
      <w:pPr>
        <w:pStyle w:val="PL"/>
      </w:pPr>
    </w:p>
    <w:p w14:paraId="4DDDF945" w14:textId="77777777" w:rsidR="00394471" w:rsidRPr="00FA0D37" w:rsidRDefault="00394471" w:rsidP="00FA0D37">
      <w:pPr>
        <w:pStyle w:val="PL"/>
        <w:rPr>
          <w:color w:val="808080"/>
        </w:rPr>
      </w:pPr>
      <w:r w:rsidRPr="00FA0D37">
        <w:rPr>
          <w:color w:val="808080"/>
        </w:rPr>
        <w:t>-- TAG-RRCREESTABLISHMENTREQUEST-STOP</w:t>
      </w:r>
    </w:p>
    <w:p w14:paraId="57B09C2A" w14:textId="77777777" w:rsidR="00394471" w:rsidRPr="00FA0D37" w:rsidRDefault="00394471" w:rsidP="00FA0D37">
      <w:pPr>
        <w:pStyle w:val="PL"/>
        <w:rPr>
          <w:color w:val="808080"/>
        </w:rPr>
      </w:pPr>
      <w:r w:rsidRPr="00FA0D37">
        <w:rPr>
          <w:color w:val="808080"/>
        </w:rPr>
        <w:t>-- ASN1STOP</w:t>
      </w:r>
    </w:p>
    <w:p w14:paraId="2D63D7C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FB4FEC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A59523E" w14:textId="77777777" w:rsidR="00394471" w:rsidRPr="00FA0D37" w:rsidRDefault="00394471" w:rsidP="00964CC4">
            <w:pPr>
              <w:pStyle w:val="TAH"/>
              <w:rPr>
                <w:szCs w:val="22"/>
                <w:lang w:eastAsia="sv-SE"/>
              </w:rPr>
            </w:pPr>
            <w:r w:rsidRPr="00FA0D37">
              <w:rPr>
                <w:i/>
                <w:szCs w:val="22"/>
                <w:lang w:eastAsia="sv-SE"/>
              </w:rPr>
              <w:t xml:space="preserve">ReestabUE-Identity </w:t>
            </w:r>
            <w:r w:rsidRPr="00FA0D37">
              <w:rPr>
                <w:szCs w:val="22"/>
                <w:lang w:eastAsia="sv-SE"/>
              </w:rPr>
              <w:t>field descriptions</w:t>
            </w:r>
          </w:p>
        </w:tc>
      </w:tr>
      <w:tr w:rsidR="00394471" w:rsidRPr="00FA0D37" w14:paraId="53E107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9EBB22" w14:textId="77777777" w:rsidR="00394471" w:rsidRPr="00FA0D37" w:rsidRDefault="00394471" w:rsidP="00964CC4">
            <w:pPr>
              <w:pStyle w:val="TAL"/>
              <w:rPr>
                <w:szCs w:val="22"/>
                <w:lang w:eastAsia="sv-SE"/>
              </w:rPr>
            </w:pPr>
            <w:r w:rsidRPr="00FA0D37">
              <w:rPr>
                <w:b/>
                <w:i/>
                <w:szCs w:val="22"/>
                <w:lang w:eastAsia="sv-SE"/>
              </w:rPr>
              <w:t>physCellId</w:t>
            </w:r>
          </w:p>
          <w:p w14:paraId="2D7DF306" w14:textId="77777777" w:rsidR="00394471" w:rsidRPr="00FA0D37" w:rsidRDefault="00394471" w:rsidP="00964CC4">
            <w:pPr>
              <w:pStyle w:val="TAL"/>
              <w:rPr>
                <w:szCs w:val="22"/>
                <w:lang w:eastAsia="sv-SE"/>
              </w:rPr>
            </w:pPr>
            <w:r w:rsidRPr="00FA0D37">
              <w:rPr>
                <w:szCs w:val="22"/>
                <w:lang w:eastAsia="sv-SE"/>
              </w:rPr>
              <w:t>The Physical Cell Identity of the PCell the UE was connected to prior to the failure.</w:t>
            </w:r>
          </w:p>
        </w:tc>
      </w:tr>
    </w:tbl>
    <w:p w14:paraId="7AF0FB5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9DC18A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9E679D2" w14:textId="77777777" w:rsidR="00394471" w:rsidRPr="00FA0D37" w:rsidRDefault="00394471" w:rsidP="00964CC4">
            <w:pPr>
              <w:pStyle w:val="TAH"/>
              <w:rPr>
                <w:szCs w:val="22"/>
                <w:lang w:eastAsia="sv-SE"/>
              </w:rPr>
            </w:pPr>
            <w:r w:rsidRPr="00FA0D37">
              <w:rPr>
                <w:i/>
                <w:szCs w:val="22"/>
                <w:lang w:eastAsia="sv-SE"/>
              </w:rPr>
              <w:t xml:space="preserve">RRCReestablishmentRequest-IEs </w:t>
            </w:r>
            <w:r w:rsidRPr="00FA0D37">
              <w:rPr>
                <w:szCs w:val="22"/>
                <w:lang w:eastAsia="sv-SE"/>
              </w:rPr>
              <w:t>field descriptions</w:t>
            </w:r>
          </w:p>
        </w:tc>
      </w:tr>
      <w:tr w:rsidR="005C7FF4" w:rsidRPr="00FA0D37" w14:paraId="2E6D298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BAB5ED8" w14:textId="77777777" w:rsidR="00394471" w:rsidRPr="00FA0D37" w:rsidRDefault="00394471" w:rsidP="00964CC4">
            <w:pPr>
              <w:pStyle w:val="TAL"/>
              <w:rPr>
                <w:szCs w:val="22"/>
                <w:lang w:eastAsia="sv-SE"/>
              </w:rPr>
            </w:pPr>
            <w:r w:rsidRPr="00FA0D37">
              <w:rPr>
                <w:b/>
                <w:i/>
                <w:szCs w:val="22"/>
                <w:lang w:eastAsia="sv-SE"/>
              </w:rPr>
              <w:t>reestablishmentCause</w:t>
            </w:r>
          </w:p>
          <w:p w14:paraId="38624E93" w14:textId="77777777" w:rsidR="00394471" w:rsidRPr="00FA0D37" w:rsidRDefault="00394471" w:rsidP="00964CC4">
            <w:pPr>
              <w:pStyle w:val="TAL"/>
              <w:rPr>
                <w:szCs w:val="22"/>
                <w:lang w:eastAsia="sv-SE"/>
              </w:rPr>
            </w:pPr>
            <w:r w:rsidRPr="00FA0D37">
              <w:rPr>
                <w:szCs w:val="22"/>
                <w:lang w:eastAsia="sv-SE"/>
              </w:rPr>
              <w:t xml:space="preserve">Indicates the failure cause that triggered the re-establishment procedure. gNB is not expected to reject a </w:t>
            </w:r>
            <w:r w:rsidRPr="00FA0D37">
              <w:rPr>
                <w:i/>
                <w:lang w:eastAsia="sv-SE"/>
              </w:rPr>
              <w:t>RRCReestablishmentRequest</w:t>
            </w:r>
            <w:r w:rsidRPr="00FA0D37">
              <w:rPr>
                <w:szCs w:val="22"/>
                <w:lang w:eastAsia="sv-SE"/>
              </w:rPr>
              <w:t xml:space="preserve"> due to unknown cause value being used by the UE.</w:t>
            </w:r>
          </w:p>
        </w:tc>
      </w:tr>
      <w:tr w:rsidR="00394471" w:rsidRPr="00FA0D37" w14:paraId="26046AB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DF0EDD" w14:textId="77777777" w:rsidR="00394471" w:rsidRPr="00FA0D37" w:rsidRDefault="00394471" w:rsidP="00964CC4">
            <w:pPr>
              <w:pStyle w:val="TAL"/>
              <w:rPr>
                <w:szCs w:val="22"/>
                <w:lang w:eastAsia="sv-SE"/>
              </w:rPr>
            </w:pPr>
            <w:r w:rsidRPr="00FA0D37">
              <w:rPr>
                <w:b/>
                <w:i/>
                <w:szCs w:val="22"/>
                <w:lang w:eastAsia="sv-SE"/>
              </w:rPr>
              <w:t>ue-Identity</w:t>
            </w:r>
          </w:p>
          <w:p w14:paraId="044A0091" w14:textId="77777777" w:rsidR="00394471" w:rsidRPr="00FA0D37" w:rsidRDefault="00394471" w:rsidP="00964CC4">
            <w:pPr>
              <w:pStyle w:val="TAL"/>
              <w:rPr>
                <w:szCs w:val="22"/>
                <w:lang w:eastAsia="sv-SE"/>
              </w:rPr>
            </w:pPr>
            <w:r w:rsidRPr="00FA0D37">
              <w:rPr>
                <w:szCs w:val="22"/>
                <w:lang w:eastAsia="sv-SE"/>
              </w:rPr>
              <w:t>UE identity included to retrieve UE context and to facilitate contention resolution by lower layers.</w:t>
            </w:r>
          </w:p>
        </w:tc>
      </w:tr>
    </w:tbl>
    <w:p w14:paraId="127E65CB" w14:textId="77777777" w:rsidR="00394471" w:rsidRPr="00FA0D37" w:rsidRDefault="00394471" w:rsidP="00394471"/>
    <w:p w14:paraId="1613CD87" w14:textId="77777777" w:rsidR="00394471" w:rsidRPr="00FA0D37" w:rsidRDefault="00394471" w:rsidP="00394471">
      <w:pPr>
        <w:pStyle w:val="4"/>
      </w:pPr>
      <w:bookmarkStart w:id="633" w:name="_Toc60777108"/>
      <w:bookmarkStart w:id="634" w:name="_Toc146781145"/>
      <w:r w:rsidRPr="00FA0D37">
        <w:lastRenderedPageBreak/>
        <w:t>–</w:t>
      </w:r>
      <w:r w:rsidRPr="00FA0D37">
        <w:tab/>
      </w:r>
      <w:r w:rsidRPr="00FA0D37">
        <w:rPr>
          <w:i/>
          <w:noProof/>
        </w:rPr>
        <w:t>RRCReconfiguration</w:t>
      </w:r>
      <w:bookmarkEnd w:id="633"/>
      <w:bookmarkEnd w:id="634"/>
    </w:p>
    <w:p w14:paraId="10C0710A" w14:textId="77777777" w:rsidR="00394471" w:rsidRPr="00FA0D37" w:rsidRDefault="00394471" w:rsidP="00394471">
      <w:r w:rsidRPr="00FA0D37">
        <w:t xml:space="preserve">The </w:t>
      </w:r>
      <w:r w:rsidRPr="00FA0D37">
        <w:rPr>
          <w:i/>
        </w:rPr>
        <w:t xml:space="preserve">RRCReconfiguration </w:t>
      </w:r>
      <w:r w:rsidRPr="00FA0D37">
        <w:t>message is the command to modify an RRC connection. It may convey information for measurement configuration, mobility control, radio resource configuration (including RBs, MAC main configuration and physical channel configuration) and AS security configuration.</w:t>
      </w:r>
    </w:p>
    <w:p w14:paraId="41BD3A90" w14:textId="77777777" w:rsidR="00394471" w:rsidRPr="00FA0D37" w:rsidRDefault="00394471" w:rsidP="00394471">
      <w:pPr>
        <w:pStyle w:val="B1"/>
      </w:pPr>
      <w:r w:rsidRPr="00FA0D37">
        <w:t>Signalling radio bearer: SRB1 or SRB3</w:t>
      </w:r>
    </w:p>
    <w:p w14:paraId="137C8D6B" w14:textId="77777777" w:rsidR="00394471" w:rsidRPr="00FA0D37" w:rsidRDefault="00394471" w:rsidP="00394471">
      <w:pPr>
        <w:pStyle w:val="B1"/>
      </w:pPr>
      <w:r w:rsidRPr="00FA0D37">
        <w:t>RLC-SAP: AM</w:t>
      </w:r>
    </w:p>
    <w:p w14:paraId="2C49F2F3" w14:textId="77777777" w:rsidR="00394471" w:rsidRPr="00FA0D37" w:rsidRDefault="00394471" w:rsidP="00394471">
      <w:pPr>
        <w:pStyle w:val="B1"/>
      </w:pPr>
      <w:r w:rsidRPr="00FA0D37">
        <w:t>Logical channel: DCCH</w:t>
      </w:r>
    </w:p>
    <w:p w14:paraId="2BFA2D25" w14:textId="77777777" w:rsidR="00394471" w:rsidRPr="00FA0D37" w:rsidRDefault="00394471" w:rsidP="00394471">
      <w:pPr>
        <w:pStyle w:val="B1"/>
      </w:pPr>
      <w:r w:rsidRPr="00FA0D37">
        <w:t>Direction: Network to UE</w:t>
      </w:r>
    </w:p>
    <w:p w14:paraId="37A2A841" w14:textId="77777777" w:rsidR="00394471" w:rsidRPr="00FA0D37" w:rsidRDefault="00394471" w:rsidP="00394471">
      <w:pPr>
        <w:pStyle w:val="TH"/>
        <w:rPr>
          <w:bCs/>
          <w:i/>
          <w:iCs/>
        </w:rPr>
      </w:pPr>
      <w:r w:rsidRPr="00FA0D37">
        <w:rPr>
          <w:bCs/>
          <w:i/>
          <w:iCs/>
        </w:rPr>
        <w:t>RRCReconfiguration message</w:t>
      </w:r>
    </w:p>
    <w:p w14:paraId="761D87D9" w14:textId="77777777" w:rsidR="00394471" w:rsidRPr="00FA0D37" w:rsidRDefault="00394471" w:rsidP="00FA0D37">
      <w:pPr>
        <w:pStyle w:val="PL"/>
        <w:rPr>
          <w:color w:val="808080"/>
        </w:rPr>
      </w:pPr>
      <w:r w:rsidRPr="00FA0D37">
        <w:rPr>
          <w:color w:val="808080"/>
        </w:rPr>
        <w:t>-- ASN1START</w:t>
      </w:r>
    </w:p>
    <w:p w14:paraId="65F17F8C" w14:textId="77777777" w:rsidR="00394471" w:rsidRPr="00FA0D37" w:rsidRDefault="00394471" w:rsidP="00FA0D37">
      <w:pPr>
        <w:pStyle w:val="PL"/>
        <w:rPr>
          <w:color w:val="808080"/>
        </w:rPr>
      </w:pPr>
      <w:r w:rsidRPr="00FA0D37">
        <w:rPr>
          <w:color w:val="808080"/>
        </w:rPr>
        <w:t>-- TAG-RRCRECONFIGURATION-START</w:t>
      </w:r>
    </w:p>
    <w:p w14:paraId="7CB71777" w14:textId="77777777" w:rsidR="00394471" w:rsidRPr="00FA0D37" w:rsidRDefault="00394471" w:rsidP="00FA0D37">
      <w:pPr>
        <w:pStyle w:val="PL"/>
      </w:pPr>
    </w:p>
    <w:p w14:paraId="170C28DE" w14:textId="77777777" w:rsidR="00394471" w:rsidRPr="00FA0D37" w:rsidRDefault="00394471" w:rsidP="00FA0D37">
      <w:pPr>
        <w:pStyle w:val="PL"/>
      </w:pPr>
      <w:r w:rsidRPr="00FA0D37">
        <w:t xml:space="preserve">RRCReconfiguration ::=                  </w:t>
      </w:r>
      <w:r w:rsidRPr="00FA0D37">
        <w:rPr>
          <w:color w:val="993366"/>
        </w:rPr>
        <w:t>SEQUENCE</w:t>
      </w:r>
      <w:r w:rsidRPr="00FA0D37">
        <w:t xml:space="preserve"> {</w:t>
      </w:r>
    </w:p>
    <w:p w14:paraId="48889135" w14:textId="77777777" w:rsidR="00394471" w:rsidRPr="00FA0D37" w:rsidRDefault="00394471" w:rsidP="00FA0D37">
      <w:pPr>
        <w:pStyle w:val="PL"/>
      </w:pPr>
      <w:r w:rsidRPr="00FA0D37">
        <w:t xml:space="preserve">    rrc-TransactionIdentifier               RRC-TransactionIdentifier,</w:t>
      </w:r>
    </w:p>
    <w:p w14:paraId="3A377FD0"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7E2F1511" w14:textId="77777777" w:rsidR="00394471" w:rsidRPr="00FA0D37" w:rsidRDefault="00394471" w:rsidP="00FA0D37">
      <w:pPr>
        <w:pStyle w:val="PL"/>
      </w:pPr>
      <w:r w:rsidRPr="00FA0D37">
        <w:t xml:space="preserve">        rrcReconfiguration                      RRCReconfiguration-IEs,</w:t>
      </w:r>
    </w:p>
    <w:p w14:paraId="6F482A74"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3E9198F4" w14:textId="77777777" w:rsidR="00394471" w:rsidRPr="00FA0D37" w:rsidRDefault="00394471" w:rsidP="00FA0D37">
      <w:pPr>
        <w:pStyle w:val="PL"/>
      </w:pPr>
      <w:r w:rsidRPr="00FA0D37">
        <w:t xml:space="preserve">    }</w:t>
      </w:r>
    </w:p>
    <w:p w14:paraId="72A5A95F" w14:textId="77777777" w:rsidR="00394471" w:rsidRPr="00FA0D37" w:rsidRDefault="00394471" w:rsidP="00FA0D37">
      <w:pPr>
        <w:pStyle w:val="PL"/>
      </w:pPr>
      <w:r w:rsidRPr="00FA0D37">
        <w:t>}</w:t>
      </w:r>
    </w:p>
    <w:p w14:paraId="585F8E75" w14:textId="77777777" w:rsidR="00394471" w:rsidRPr="00FA0D37" w:rsidRDefault="00394471" w:rsidP="00FA0D37">
      <w:pPr>
        <w:pStyle w:val="PL"/>
      </w:pPr>
    </w:p>
    <w:p w14:paraId="64E8FC89" w14:textId="77777777" w:rsidR="00394471" w:rsidRPr="00FA0D37" w:rsidRDefault="00394471" w:rsidP="00FA0D37">
      <w:pPr>
        <w:pStyle w:val="PL"/>
      </w:pPr>
      <w:r w:rsidRPr="00FA0D37">
        <w:t xml:space="preserve">RRCReconfiguration-IEs ::=              </w:t>
      </w:r>
      <w:r w:rsidRPr="00FA0D37">
        <w:rPr>
          <w:color w:val="993366"/>
        </w:rPr>
        <w:t>SEQUENCE</w:t>
      </w:r>
      <w:r w:rsidRPr="00FA0D37">
        <w:t xml:space="preserve"> {</w:t>
      </w:r>
    </w:p>
    <w:p w14:paraId="592D1266" w14:textId="77777777" w:rsidR="00394471" w:rsidRPr="00FA0D37" w:rsidRDefault="00394471" w:rsidP="00FA0D37">
      <w:pPr>
        <w:pStyle w:val="PL"/>
        <w:rPr>
          <w:color w:val="808080"/>
        </w:rPr>
      </w:pPr>
      <w:r w:rsidRPr="00FA0D37">
        <w:t xml:space="preserve">    radioBearerConfig                       RadioBearerConfig                                                      </w:t>
      </w:r>
      <w:r w:rsidRPr="00FA0D37">
        <w:rPr>
          <w:color w:val="993366"/>
        </w:rPr>
        <w:t>OPTIONAL</w:t>
      </w:r>
      <w:r w:rsidRPr="00FA0D37">
        <w:t xml:space="preserve">, </w:t>
      </w:r>
      <w:r w:rsidRPr="00FA0D37">
        <w:rPr>
          <w:color w:val="808080"/>
        </w:rPr>
        <w:t>-- Need M</w:t>
      </w:r>
    </w:p>
    <w:p w14:paraId="3127ABD9" w14:textId="77777777" w:rsidR="00394471" w:rsidRPr="00FA0D37" w:rsidRDefault="00394471" w:rsidP="00FA0D37">
      <w:pPr>
        <w:pStyle w:val="PL"/>
        <w:rPr>
          <w:color w:val="808080"/>
        </w:rPr>
      </w:pPr>
      <w:r w:rsidRPr="00FA0D37">
        <w:t xml:space="preserve">    secondaryCellGroup                      </w:t>
      </w:r>
      <w:r w:rsidRPr="00FA0D37">
        <w:rPr>
          <w:color w:val="993366"/>
        </w:rPr>
        <w:t>OCTET</w:t>
      </w:r>
      <w:r w:rsidRPr="00FA0D37">
        <w:t xml:space="preserve"> </w:t>
      </w:r>
      <w:r w:rsidRPr="00FA0D37">
        <w:rPr>
          <w:color w:val="993366"/>
        </w:rPr>
        <w:t>STRING</w:t>
      </w:r>
      <w:r w:rsidRPr="00FA0D37">
        <w:t xml:space="preserve"> (CONTAINING CellGroupConfig)                              </w:t>
      </w:r>
      <w:r w:rsidRPr="00FA0D37">
        <w:rPr>
          <w:color w:val="993366"/>
        </w:rPr>
        <w:t>OPTIONAL</w:t>
      </w:r>
      <w:r w:rsidRPr="00FA0D37">
        <w:t xml:space="preserve">, </w:t>
      </w:r>
      <w:r w:rsidRPr="00FA0D37">
        <w:rPr>
          <w:color w:val="808080"/>
        </w:rPr>
        <w:t>-- Cond SCG</w:t>
      </w:r>
    </w:p>
    <w:p w14:paraId="59F860AC" w14:textId="77777777" w:rsidR="00394471" w:rsidRPr="00FA0D37" w:rsidRDefault="00394471" w:rsidP="00FA0D37">
      <w:pPr>
        <w:pStyle w:val="PL"/>
        <w:rPr>
          <w:color w:val="808080"/>
        </w:rPr>
      </w:pPr>
      <w:r w:rsidRPr="00FA0D37">
        <w:t xml:space="preserve">    measConfig                              MeasConfig                                                             </w:t>
      </w:r>
      <w:r w:rsidRPr="00FA0D37">
        <w:rPr>
          <w:color w:val="993366"/>
        </w:rPr>
        <w:t>OPTIONAL</w:t>
      </w:r>
      <w:r w:rsidRPr="00FA0D37">
        <w:t xml:space="preserve">, </w:t>
      </w:r>
      <w:r w:rsidRPr="00FA0D37">
        <w:rPr>
          <w:color w:val="808080"/>
        </w:rPr>
        <w:t>-- Need M</w:t>
      </w:r>
    </w:p>
    <w:p w14:paraId="28A19335"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999213C" w14:textId="77777777" w:rsidR="00394471" w:rsidRPr="00FA0D37" w:rsidRDefault="00394471" w:rsidP="00FA0D37">
      <w:pPr>
        <w:pStyle w:val="PL"/>
      </w:pPr>
      <w:r w:rsidRPr="00FA0D37">
        <w:t xml:space="preserve">    nonCriticalExtension                    RRCReconfiguration-v1530-IEs                                           </w:t>
      </w:r>
      <w:r w:rsidRPr="00FA0D37">
        <w:rPr>
          <w:color w:val="993366"/>
        </w:rPr>
        <w:t>OPTIONAL</w:t>
      </w:r>
    </w:p>
    <w:p w14:paraId="629CD17D" w14:textId="77777777" w:rsidR="00394471" w:rsidRPr="00FA0D37" w:rsidRDefault="00394471" w:rsidP="00FA0D37">
      <w:pPr>
        <w:pStyle w:val="PL"/>
      </w:pPr>
      <w:r w:rsidRPr="00FA0D37">
        <w:t>}</w:t>
      </w:r>
    </w:p>
    <w:p w14:paraId="351D8852" w14:textId="77777777" w:rsidR="00394471" w:rsidRPr="00FA0D37" w:rsidRDefault="00394471" w:rsidP="00FA0D37">
      <w:pPr>
        <w:pStyle w:val="PL"/>
      </w:pPr>
    </w:p>
    <w:p w14:paraId="49037872" w14:textId="77777777" w:rsidR="00394471" w:rsidRPr="00FA0D37" w:rsidRDefault="00394471" w:rsidP="00FA0D37">
      <w:pPr>
        <w:pStyle w:val="PL"/>
      </w:pPr>
      <w:r w:rsidRPr="00FA0D37">
        <w:t xml:space="preserve">RRCReconfiguration-v1530-IEs ::=            </w:t>
      </w:r>
      <w:r w:rsidRPr="00FA0D37">
        <w:rPr>
          <w:color w:val="993366"/>
        </w:rPr>
        <w:t>SEQUENCE</w:t>
      </w:r>
      <w:r w:rsidRPr="00FA0D37">
        <w:t xml:space="preserve"> {</w:t>
      </w:r>
    </w:p>
    <w:p w14:paraId="25309245" w14:textId="77777777" w:rsidR="00394471" w:rsidRPr="00FA0D37" w:rsidRDefault="00394471" w:rsidP="00FA0D37">
      <w:pPr>
        <w:pStyle w:val="PL"/>
        <w:rPr>
          <w:color w:val="808080"/>
        </w:rPr>
      </w:pPr>
      <w:r w:rsidRPr="00FA0D37">
        <w:t xml:space="preserve">    masterCellGroup                         </w:t>
      </w:r>
      <w:r w:rsidRPr="00FA0D37">
        <w:rPr>
          <w:color w:val="993366"/>
        </w:rPr>
        <w:t>OCTET</w:t>
      </w:r>
      <w:r w:rsidRPr="00FA0D37">
        <w:t xml:space="preserve"> </w:t>
      </w:r>
      <w:r w:rsidRPr="00FA0D37">
        <w:rPr>
          <w:color w:val="993366"/>
        </w:rPr>
        <w:t>STRING</w:t>
      </w:r>
      <w:r w:rsidRPr="00FA0D37">
        <w:t xml:space="preserve"> (CONTAINING CellGroupConfig)                              </w:t>
      </w:r>
      <w:r w:rsidRPr="00FA0D37">
        <w:rPr>
          <w:color w:val="993366"/>
        </w:rPr>
        <w:t>OPTIONAL</w:t>
      </w:r>
      <w:r w:rsidRPr="00FA0D37">
        <w:t xml:space="preserve">, </w:t>
      </w:r>
      <w:r w:rsidRPr="00FA0D37">
        <w:rPr>
          <w:color w:val="808080"/>
        </w:rPr>
        <w:t>-- Need M</w:t>
      </w:r>
    </w:p>
    <w:p w14:paraId="53682746" w14:textId="77777777" w:rsidR="00394471" w:rsidRPr="00FA0D37" w:rsidRDefault="00394471" w:rsidP="00FA0D37">
      <w:pPr>
        <w:pStyle w:val="PL"/>
        <w:rPr>
          <w:color w:val="808080"/>
        </w:rPr>
      </w:pPr>
      <w:r w:rsidRPr="00FA0D37">
        <w:t xml:space="preserve">    fullConfig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FullConfig</w:t>
      </w:r>
    </w:p>
    <w:p w14:paraId="5DB789D6" w14:textId="77777777" w:rsidR="00394471" w:rsidRPr="00FA0D37" w:rsidRDefault="00394471" w:rsidP="00FA0D37">
      <w:pPr>
        <w:pStyle w:val="PL"/>
        <w:rPr>
          <w:color w:val="808080"/>
        </w:rPr>
      </w:pPr>
      <w:r w:rsidRPr="00FA0D37">
        <w:t xml:space="preserve">    dedicatedNAS-MessageList                </w:t>
      </w:r>
      <w:r w:rsidRPr="00FA0D37">
        <w:rPr>
          <w:color w:val="993366"/>
        </w:rPr>
        <w:t>SEQUENCE</w:t>
      </w:r>
      <w:r w:rsidRPr="00FA0D37">
        <w:t xml:space="preserve"> (</w:t>
      </w:r>
      <w:r w:rsidRPr="00FA0D37">
        <w:rPr>
          <w:color w:val="993366"/>
        </w:rPr>
        <w:t>SIZE</w:t>
      </w:r>
      <w:r w:rsidRPr="00FA0D37">
        <w:t>(1..maxDRB))</w:t>
      </w:r>
      <w:r w:rsidRPr="00FA0D37">
        <w:rPr>
          <w:color w:val="993366"/>
        </w:rPr>
        <w:t xml:space="preserve"> OF</w:t>
      </w:r>
      <w:r w:rsidRPr="00FA0D37">
        <w:t xml:space="preserve"> DedicatedNAS-Message                     </w:t>
      </w:r>
      <w:r w:rsidRPr="00FA0D37">
        <w:rPr>
          <w:color w:val="993366"/>
        </w:rPr>
        <w:t>OPTIONAL</w:t>
      </w:r>
      <w:r w:rsidRPr="00FA0D37">
        <w:t xml:space="preserve">, </w:t>
      </w:r>
      <w:r w:rsidRPr="00FA0D37">
        <w:rPr>
          <w:color w:val="808080"/>
        </w:rPr>
        <w:t>-- Cond nonHO</w:t>
      </w:r>
    </w:p>
    <w:p w14:paraId="652FB5AD" w14:textId="77777777" w:rsidR="00394471" w:rsidRPr="00FA0D37" w:rsidRDefault="00394471" w:rsidP="00FA0D37">
      <w:pPr>
        <w:pStyle w:val="PL"/>
        <w:rPr>
          <w:color w:val="808080"/>
        </w:rPr>
      </w:pPr>
      <w:r w:rsidRPr="00FA0D37">
        <w:t xml:space="preserve">    masterKeyUpdate                         MasterKeyUpdate                                                        </w:t>
      </w:r>
      <w:r w:rsidRPr="00FA0D37">
        <w:rPr>
          <w:color w:val="993366"/>
        </w:rPr>
        <w:t>OPTIONAL</w:t>
      </w:r>
      <w:r w:rsidRPr="00FA0D37">
        <w:t xml:space="preserve">, </w:t>
      </w:r>
      <w:r w:rsidRPr="00FA0D37">
        <w:rPr>
          <w:color w:val="808080"/>
        </w:rPr>
        <w:t>-- Cond MasterKeyChange</w:t>
      </w:r>
    </w:p>
    <w:p w14:paraId="72598D01" w14:textId="77777777" w:rsidR="00394471" w:rsidRPr="00FA0D37" w:rsidRDefault="00394471" w:rsidP="00FA0D37">
      <w:pPr>
        <w:pStyle w:val="PL"/>
        <w:rPr>
          <w:color w:val="808080"/>
        </w:rPr>
      </w:pPr>
      <w:r w:rsidRPr="00FA0D37">
        <w:t xml:space="preserve">    dedicatedSIB1-Delivery                  </w:t>
      </w:r>
      <w:r w:rsidRPr="00FA0D37">
        <w:rPr>
          <w:color w:val="993366"/>
        </w:rPr>
        <w:t>OCTET</w:t>
      </w:r>
      <w:r w:rsidRPr="00FA0D37">
        <w:t xml:space="preserve"> </w:t>
      </w:r>
      <w:r w:rsidRPr="00FA0D37">
        <w:rPr>
          <w:color w:val="993366"/>
        </w:rPr>
        <w:t>STRING</w:t>
      </w:r>
      <w:r w:rsidRPr="00FA0D37">
        <w:t xml:space="preserve"> (CONTAINING SIB1)                                         </w:t>
      </w:r>
      <w:r w:rsidRPr="00FA0D37">
        <w:rPr>
          <w:color w:val="993366"/>
        </w:rPr>
        <w:t>OPTIONAL</w:t>
      </w:r>
      <w:r w:rsidRPr="00FA0D37">
        <w:t xml:space="preserve">, </w:t>
      </w:r>
      <w:r w:rsidRPr="00FA0D37">
        <w:rPr>
          <w:color w:val="808080"/>
        </w:rPr>
        <w:t>-- Need N</w:t>
      </w:r>
    </w:p>
    <w:p w14:paraId="7083536D" w14:textId="77777777" w:rsidR="00394471" w:rsidRPr="00FA0D37" w:rsidRDefault="00394471" w:rsidP="00FA0D37">
      <w:pPr>
        <w:pStyle w:val="PL"/>
        <w:rPr>
          <w:color w:val="808080"/>
        </w:rPr>
      </w:pPr>
      <w:r w:rsidRPr="00FA0D37">
        <w:t xml:space="preserve">    dedicatedSystemInformationDelivery      </w:t>
      </w:r>
      <w:r w:rsidRPr="00FA0D37">
        <w:rPr>
          <w:color w:val="993366"/>
        </w:rPr>
        <w:t>OCTET</w:t>
      </w:r>
      <w:r w:rsidRPr="00FA0D37">
        <w:t xml:space="preserve"> </w:t>
      </w:r>
      <w:r w:rsidRPr="00FA0D37">
        <w:rPr>
          <w:color w:val="993366"/>
        </w:rPr>
        <w:t>STRING</w:t>
      </w:r>
      <w:r w:rsidRPr="00FA0D37">
        <w:t xml:space="preserve"> (CONTAINING SystemInformation)                            </w:t>
      </w:r>
      <w:r w:rsidRPr="00FA0D37">
        <w:rPr>
          <w:color w:val="993366"/>
        </w:rPr>
        <w:t>OPTIONAL</w:t>
      </w:r>
      <w:r w:rsidRPr="00FA0D37">
        <w:t xml:space="preserve">, </w:t>
      </w:r>
      <w:r w:rsidRPr="00FA0D37">
        <w:rPr>
          <w:color w:val="808080"/>
        </w:rPr>
        <w:t>-- Need N</w:t>
      </w:r>
    </w:p>
    <w:p w14:paraId="7924645F" w14:textId="77777777" w:rsidR="00394471" w:rsidRPr="00FA0D37" w:rsidRDefault="00394471" w:rsidP="00FA0D37">
      <w:pPr>
        <w:pStyle w:val="PL"/>
        <w:rPr>
          <w:color w:val="808080"/>
        </w:rPr>
      </w:pPr>
      <w:r w:rsidRPr="00FA0D37">
        <w:t xml:space="preserve">    otherConfig                             OtherConfig                                                            </w:t>
      </w:r>
      <w:r w:rsidRPr="00FA0D37">
        <w:rPr>
          <w:color w:val="993366"/>
        </w:rPr>
        <w:t>OPTIONAL</w:t>
      </w:r>
      <w:r w:rsidRPr="00FA0D37">
        <w:t xml:space="preserve">, </w:t>
      </w:r>
      <w:r w:rsidRPr="00FA0D37">
        <w:rPr>
          <w:color w:val="808080"/>
        </w:rPr>
        <w:t>-- Need M</w:t>
      </w:r>
    </w:p>
    <w:p w14:paraId="042B8062" w14:textId="77777777" w:rsidR="00394471" w:rsidRPr="00FA0D37" w:rsidRDefault="00394471" w:rsidP="00FA0D37">
      <w:pPr>
        <w:pStyle w:val="PL"/>
      </w:pPr>
      <w:r w:rsidRPr="00FA0D37">
        <w:t xml:space="preserve">    nonCriticalExtension                    RRCReconfiguration-v1540-IEs                                           </w:t>
      </w:r>
      <w:r w:rsidRPr="00FA0D37">
        <w:rPr>
          <w:color w:val="993366"/>
        </w:rPr>
        <w:t>OPTIONAL</w:t>
      </w:r>
    </w:p>
    <w:p w14:paraId="13E8EA6C" w14:textId="77777777" w:rsidR="00394471" w:rsidRPr="00FA0D37" w:rsidRDefault="00394471" w:rsidP="00FA0D37">
      <w:pPr>
        <w:pStyle w:val="PL"/>
      </w:pPr>
      <w:r w:rsidRPr="00FA0D37">
        <w:t>}</w:t>
      </w:r>
    </w:p>
    <w:p w14:paraId="6975FB43" w14:textId="77777777" w:rsidR="00394471" w:rsidRPr="00FA0D37" w:rsidRDefault="00394471" w:rsidP="00FA0D37">
      <w:pPr>
        <w:pStyle w:val="PL"/>
      </w:pPr>
    </w:p>
    <w:p w14:paraId="6E3524DC" w14:textId="77777777" w:rsidR="00394471" w:rsidRPr="00FA0D37" w:rsidRDefault="00394471" w:rsidP="00FA0D37">
      <w:pPr>
        <w:pStyle w:val="PL"/>
      </w:pPr>
      <w:r w:rsidRPr="00FA0D37">
        <w:t xml:space="preserve">RRCReconfiguration-v1540-IEs ::=        </w:t>
      </w:r>
      <w:r w:rsidRPr="00FA0D37">
        <w:rPr>
          <w:color w:val="993366"/>
        </w:rPr>
        <w:t>SEQUENCE</w:t>
      </w:r>
      <w:r w:rsidRPr="00FA0D37">
        <w:t xml:space="preserve"> {</w:t>
      </w:r>
    </w:p>
    <w:p w14:paraId="07D3FEDE" w14:textId="77777777" w:rsidR="00394471" w:rsidRPr="00FA0D37" w:rsidRDefault="00394471" w:rsidP="00FA0D37">
      <w:pPr>
        <w:pStyle w:val="PL"/>
        <w:rPr>
          <w:color w:val="808080"/>
        </w:rPr>
      </w:pPr>
      <w:r w:rsidRPr="00FA0D37">
        <w:t xml:space="preserve">    otherConfig-v1540                       OtherConfig-v1540                                                      </w:t>
      </w:r>
      <w:r w:rsidRPr="00FA0D37">
        <w:rPr>
          <w:color w:val="993366"/>
        </w:rPr>
        <w:t>OPTIONAL</w:t>
      </w:r>
      <w:r w:rsidRPr="00FA0D37">
        <w:t xml:space="preserve">, </w:t>
      </w:r>
      <w:r w:rsidRPr="00FA0D37">
        <w:rPr>
          <w:color w:val="808080"/>
        </w:rPr>
        <w:t>-- Need M</w:t>
      </w:r>
    </w:p>
    <w:p w14:paraId="6AE53056" w14:textId="77777777" w:rsidR="00394471" w:rsidRPr="00FA0D37" w:rsidRDefault="00394471" w:rsidP="00FA0D37">
      <w:pPr>
        <w:pStyle w:val="PL"/>
      </w:pPr>
      <w:r w:rsidRPr="00FA0D37">
        <w:t xml:space="preserve">    nonCriticalExtension                    RRCReconfiguration-v1560-IEs                                           </w:t>
      </w:r>
      <w:r w:rsidRPr="00FA0D37">
        <w:rPr>
          <w:color w:val="993366"/>
        </w:rPr>
        <w:t>OPTIONAL</w:t>
      </w:r>
    </w:p>
    <w:p w14:paraId="757C3B17" w14:textId="77777777" w:rsidR="00394471" w:rsidRPr="00FA0D37" w:rsidRDefault="00394471" w:rsidP="00FA0D37">
      <w:pPr>
        <w:pStyle w:val="PL"/>
      </w:pPr>
      <w:r w:rsidRPr="00FA0D37">
        <w:lastRenderedPageBreak/>
        <w:t>}</w:t>
      </w:r>
    </w:p>
    <w:p w14:paraId="39F3D844" w14:textId="77777777" w:rsidR="00394471" w:rsidRPr="00FA0D37" w:rsidRDefault="00394471" w:rsidP="00FA0D37">
      <w:pPr>
        <w:pStyle w:val="PL"/>
      </w:pPr>
    </w:p>
    <w:p w14:paraId="5ABC8CBB" w14:textId="77777777" w:rsidR="00394471" w:rsidRPr="00FA0D37" w:rsidRDefault="00394471" w:rsidP="00FA0D37">
      <w:pPr>
        <w:pStyle w:val="PL"/>
      </w:pPr>
      <w:r w:rsidRPr="00FA0D37">
        <w:t xml:space="preserve">RRCReconfiguration-v1560-IEs ::=         </w:t>
      </w:r>
      <w:r w:rsidRPr="00FA0D37">
        <w:rPr>
          <w:color w:val="993366"/>
        </w:rPr>
        <w:t>SEQUENCE</w:t>
      </w:r>
      <w:r w:rsidRPr="00FA0D37">
        <w:t xml:space="preserve"> {</w:t>
      </w:r>
    </w:p>
    <w:p w14:paraId="0E6FCE95" w14:textId="77777777" w:rsidR="00394471" w:rsidRPr="00FA0D37" w:rsidRDefault="00394471" w:rsidP="00FA0D37">
      <w:pPr>
        <w:pStyle w:val="PL"/>
        <w:rPr>
          <w:color w:val="808080"/>
        </w:rPr>
      </w:pPr>
      <w:r w:rsidRPr="00FA0D37">
        <w:t xml:space="preserve">    mrdc-SecondaryCellGroupConfig            SetupRelease { MRDC-SecondaryCellGroupConfig }                        </w:t>
      </w:r>
      <w:r w:rsidRPr="00FA0D37">
        <w:rPr>
          <w:color w:val="993366"/>
        </w:rPr>
        <w:t>OPTIONAL</w:t>
      </w:r>
      <w:r w:rsidRPr="00FA0D37">
        <w:t xml:space="preserve">,   </w:t>
      </w:r>
      <w:r w:rsidRPr="00FA0D37">
        <w:rPr>
          <w:color w:val="808080"/>
        </w:rPr>
        <w:t>-- Need M</w:t>
      </w:r>
    </w:p>
    <w:p w14:paraId="7254EC23" w14:textId="77777777" w:rsidR="00394471" w:rsidRPr="00FA0D37" w:rsidRDefault="00394471" w:rsidP="00FA0D37">
      <w:pPr>
        <w:pStyle w:val="PL"/>
        <w:rPr>
          <w:color w:val="808080"/>
        </w:rPr>
      </w:pPr>
      <w:r w:rsidRPr="00FA0D37">
        <w:t xml:space="preserve">    radioBearerConfig2                       </w:t>
      </w:r>
      <w:r w:rsidRPr="00FA0D37">
        <w:rPr>
          <w:color w:val="993366"/>
        </w:rPr>
        <w:t>OCTET</w:t>
      </w:r>
      <w:r w:rsidRPr="00FA0D37">
        <w:t xml:space="preserve"> </w:t>
      </w:r>
      <w:r w:rsidRPr="00FA0D37">
        <w:rPr>
          <w:color w:val="993366"/>
        </w:rPr>
        <w:t>STRING</w:t>
      </w:r>
      <w:r w:rsidRPr="00FA0D37">
        <w:t xml:space="preserve"> (CONTAINING RadioBearerConfig)                           </w:t>
      </w:r>
      <w:r w:rsidRPr="00FA0D37">
        <w:rPr>
          <w:color w:val="993366"/>
        </w:rPr>
        <w:t>OPTIONAL</w:t>
      </w:r>
      <w:r w:rsidRPr="00FA0D37">
        <w:t xml:space="preserve">,   </w:t>
      </w:r>
      <w:r w:rsidRPr="00FA0D37">
        <w:rPr>
          <w:color w:val="808080"/>
        </w:rPr>
        <w:t>-- Need M</w:t>
      </w:r>
    </w:p>
    <w:p w14:paraId="3EF3FBE4" w14:textId="77777777" w:rsidR="00394471" w:rsidRPr="00FA0D37" w:rsidRDefault="00394471" w:rsidP="00FA0D37">
      <w:pPr>
        <w:pStyle w:val="PL"/>
        <w:rPr>
          <w:color w:val="808080"/>
        </w:rPr>
      </w:pPr>
      <w:r w:rsidRPr="00FA0D37">
        <w:t xml:space="preserve">    sk-Counter                               SK-Counter                                                            </w:t>
      </w:r>
      <w:r w:rsidRPr="00FA0D37">
        <w:rPr>
          <w:color w:val="993366"/>
        </w:rPr>
        <w:t>OPTIONAL</w:t>
      </w:r>
      <w:r w:rsidRPr="00FA0D37">
        <w:t xml:space="preserve">,   </w:t>
      </w:r>
      <w:r w:rsidRPr="00FA0D37">
        <w:rPr>
          <w:color w:val="808080"/>
        </w:rPr>
        <w:t>-- Need N</w:t>
      </w:r>
    </w:p>
    <w:p w14:paraId="3113395D" w14:textId="77777777" w:rsidR="00394471" w:rsidRPr="00FA0D37" w:rsidRDefault="00394471" w:rsidP="00FA0D37">
      <w:pPr>
        <w:pStyle w:val="PL"/>
      </w:pPr>
      <w:r w:rsidRPr="00FA0D37">
        <w:t xml:space="preserve">    nonCriticalExtension                     RRCReconfiguration-v1610-IEs                                          </w:t>
      </w:r>
      <w:r w:rsidRPr="00FA0D37">
        <w:rPr>
          <w:color w:val="993366"/>
        </w:rPr>
        <w:t>OPTIONAL</w:t>
      </w:r>
    </w:p>
    <w:p w14:paraId="498C6EF7" w14:textId="77777777" w:rsidR="00394471" w:rsidRPr="00FA0D37" w:rsidRDefault="00394471" w:rsidP="00FA0D37">
      <w:pPr>
        <w:pStyle w:val="PL"/>
      </w:pPr>
      <w:r w:rsidRPr="00FA0D37">
        <w:t>}</w:t>
      </w:r>
    </w:p>
    <w:p w14:paraId="2B89CCD4" w14:textId="77777777" w:rsidR="00394471" w:rsidRPr="00FA0D37" w:rsidRDefault="00394471" w:rsidP="00FA0D37">
      <w:pPr>
        <w:pStyle w:val="PL"/>
      </w:pPr>
      <w:r w:rsidRPr="00FA0D37">
        <w:t xml:space="preserve">RRCReconfiguration-v1610-IEs ::=        </w:t>
      </w:r>
      <w:r w:rsidRPr="00FA0D37">
        <w:rPr>
          <w:color w:val="993366"/>
        </w:rPr>
        <w:t>SEQUENCE</w:t>
      </w:r>
      <w:r w:rsidRPr="00FA0D37">
        <w:t xml:space="preserve"> {</w:t>
      </w:r>
    </w:p>
    <w:p w14:paraId="6083A559" w14:textId="77777777" w:rsidR="00394471" w:rsidRPr="00FA0D37" w:rsidRDefault="00394471" w:rsidP="00FA0D37">
      <w:pPr>
        <w:pStyle w:val="PL"/>
        <w:rPr>
          <w:color w:val="808080"/>
        </w:rPr>
      </w:pPr>
      <w:r w:rsidRPr="00FA0D37">
        <w:t xml:space="preserve">    otherConfig-v1610                       OtherConfig-v1610                                                    </w:t>
      </w:r>
      <w:r w:rsidRPr="00FA0D37">
        <w:rPr>
          <w:color w:val="993366"/>
        </w:rPr>
        <w:t>OPTIONAL</w:t>
      </w:r>
      <w:r w:rsidRPr="00FA0D37">
        <w:t xml:space="preserve">, </w:t>
      </w:r>
      <w:r w:rsidRPr="00FA0D37">
        <w:rPr>
          <w:color w:val="808080"/>
        </w:rPr>
        <w:t>-- Need M</w:t>
      </w:r>
    </w:p>
    <w:p w14:paraId="356B3A59" w14:textId="77777777" w:rsidR="00394471" w:rsidRPr="00FA0D37" w:rsidRDefault="00394471" w:rsidP="00FA0D37">
      <w:pPr>
        <w:pStyle w:val="PL"/>
        <w:rPr>
          <w:color w:val="808080"/>
        </w:rPr>
      </w:pPr>
      <w:r w:rsidRPr="00FA0D37">
        <w:t xml:space="preserve">    bap-Config-r16                          SetupRelease { BAP-Config-r16 }                                      </w:t>
      </w:r>
      <w:r w:rsidRPr="00FA0D37">
        <w:rPr>
          <w:color w:val="993366"/>
        </w:rPr>
        <w:t>OPTIONAL</w:t>
      </w:r>
      <w:r w:rsidRPr="00FA0D37">
        <w:t xml:space="preserve">, </w:t>
      </w:r>
      <w:r w:rsidRPr="00FA0D37">
        <w:rPr>
          <w:color w:val="808080"/>
        </w:rPr>
        <w:t>-- Need M</w:t>
      </w:r>
    </w:p>
    <w:p w14:paraId="6DAA3B33" w14:textId="77777777" w:rsidR="00394471" w:rsidRPr="00FA0D37" w:rsidRDefault="00394471" w:rsidP="00FA0D37">
      <w:pPr>
        <w:pStyle w:val="PL"/>
        <w:rPr>
          <w:color w:val="808080"/>
        </w:rPr>
      </w:pPr>
      <w:r w:rsidRPr="00FA0D37">
        <w:t xml:space="preserve">    iab-IP-AddressConfigurationList-r16     IAB-IP-AddressConfigurationList-r16                                  </w:t>
      </w:r>
      <w:r w:rsidRPr="00FA0D37">
        <w:rPr>
          <w:color w:val="993366"/>
        </w:rPr>
        <w:t>OPTIONAL</w:t>
      </w:r>
      <w:r w:rsidRPr="00FA0D37">
        <w:t xml:space="preserve">, </w:t>
      </w:r>
      <w:r w:rsidRPr="00FA0D37">
        <w:rPr>
          <w:color w:val="808080"/>
        </w:rPr>
        <w:t>-- Need M</w:t>
      </w:r>
    </w:p>
    <w:p w14:paraId="36AE0FAF" w14:textId="77777777" w:rsidR="00394471" w:rsidRPr="00FA0D37" w:rsidRDefault="00394471" w:rsidP="00FA0D37">
      <w:pPr>
        <w:pStyle w:val="PL"/>
        <w:rPr>
          <w:color w:val="808080"/>
        </w:rPr>
      </w:pPr>
      <w:r w:rsidRPr="00FA0D37">
        <w:t xml:space="preserve">    conditionalReconfiguration-r16          ConditionalReconfiguration-r16                                       </w:t>
      </w:r>
      <w:r w:rsidRPr="00FA0D37">
        <w:rPr>
          <w:color w:val="993366"/>
        </w:rPr>
        <w:t>OPTIONAL</w:t>
      </w:r>
      <w:r w:rsidRPr="00FA0D37">
        <w:t xml:space="preserve">, </w:t>
      </w:r>
      <w:r w:rsidRPr="00FA0D37">
        <w:rPr>
          <w:color w:val="808080"/>
        </w:rPr>
        <w:t>-- Need M</w:t>
      </w:r>
    </w:p>
    <w:p w14:paraId="4E9C85AA" w14:textId="77777777" w:rsidR="00394471" w:rsidRPr="00FA0D37" w:rsidRDefault="00394471" w:rsidP="00FA0D37">
      <w:pPr>
        <w:pStyle w:val="PL"/>
        <w:rPr>
          <w:color w:val="808080"/>
        </w:rPr>
      </w:pPr>
      <w:r w:rsidRPr="00FA0D37">
        <w:t xml:space="preserve">    daps-SourceRelease-r16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N</w:t>
      </w:r>
    </w:p>
    <w:p w14:paraId="65C0A379" w14:textId="77777777" w:rsidR="00394471" w:rsidRPr="00FA0D37" w:rsidRDefault="00394471" w:rsidP="00FA0D37">
      <w:pPr>
        <w:pStyle w:val="PL"/>
        <w:rPr>
          <w:color w:val="808080"/>
        </w:rPr>
      </w:pPr>
      <w:r w:rsidRPr="00FA0D37">
        <w:t xml:space="preserve">    t316-r16                                SetupRelease {T316-r16}                                              </w:t>
      </w:r>
      <w:r w:rsidRPr="00FA0D37">
        <w:rPr>
          <w:color w:val="993366"/>
        </w:rPr>
        <w:t>OPTIONAL</w:t>
      </w:r>
      <w:r w:rsidRPr="00FA0D37">
        <w:t xml:space="preserve">, </w:t>
      </w:r>
      <w:r w:rsidRPr="00FA0D37">
        <w:rPr>
          <w:color w:val="808080"/>
        </w:rPr>
        <w:t>-- Need M</w:t>
      </w:r>
    </w:p>
    <w:p w14:paraId="2A4C3532" w14:textId="77777777" w:rsidR="00394471" w:rsidRPr="00FA0D37" w:rsidRDefault="00394471" w:rsidP="00FA0D37">
      <w:pPr>
        <w:pStyle w:val="PL"/>
        <w:rPr>
          <w:color w:val="808080"/>
        </w:rPr>
      </w:pPr>
      <w:r w:rsidRPr="00FA0D37">
        <w:t xml:space="preserve">    needForGapsConfigNR-r16                 SetupRelease {NeedForGapsConfigNR-r16}                               </w:t>
      </w:r>
      <w:r w:rsidRPr="00FA0D37">
        <w:rPr>
          <w:color w:val="993366"/>
        </w:rPr>
        <w:t>OPTIONAL</w:t>
      </w:r>
      <w:r w:rsidRPr="00FA0D37">
        <w:t xml:space="preserve">, </w:t>
      </w:r>
      <w:r w:rsidRPr="00FA0D37">
        <w:rPr>
          <w:color w:val="808080"/>
        </w:rPr>
        <w:t>-- Need M</w:t>
      </w:r>
    </w:p>
    <w:p w14:paraId="48A189A5" w14:textId="77777777" w:rsidR="00394471" w:rsidRPr="00FA0D37" w:rsidRDefault="00394471" w:rsidP="00FA0D37">
      <w:pPr>
        <w:pStyle w:val="PL"/>
        <w:rPr>
          <w:color w:val="808080"/>
        </w:rPr>
      </w:pPr>
      <w:r w:rsidRPr="00FA0D37">
        <w:t xml:space="preserve">    onDemandSIB-Request-r16                 SetupRelease { OnDemandSIB-Request-r16 }                             </w:t>
      </w:r>
      <w:r w:rsidRPr="00FA0D37">
        <w:rPr>
          <w:color w:val="993366"/>
        </w:rPr>
        <w:t>OPTIONAL</w:t>
      </w:r>
      <w:r w:rsidRPr="00FA0D37">
        <w:t xml:space="preserve">, </w:t>
      </w:r>
      <w:r w:rsidRPr="00FA0D37">
        <w:rPr>
          <w:color w:val="808080"/>
        </w:rPr>
        <w:t>-- Need M</w:t>
      </w:r>
    </w:p>
    <w:p w14:paraId="782A478B" w14:textId="77777777" w:rsidR="00394471" w:rsidRPr="00FA0D37" w:rsidRDefault="00394471" w:rsidP="00FA0D37">
      <w:pPr>
        <w:pStyle w:val="PL"/>
        <w:rPr>
          <w:color w:val="808080"/>
        </w:rPr>
      </w:pPr>
      <w:r w:rsidRPr="00FA0D37">
        <w:t xml:space="preserve">    dedicatedPosSysInfoDelivery-r16         </w:t>
      </w:r>
      <w:r w:rsidRPr="00FA0D37">
        <w:rPr>
          <w:color w:val="993366"/>
        </w:rPr>
        <w:t>OCTET</w:t>
      </w:r>
      <w:r w:rsidRPr="00FA0D37">
        <w:t xml:space="preserve"> </w:t>
      </w:r>
      <w:r w:rsidRPr="00FA0D37">
        <w:rPr>
          <w:color w:val="993366"/>
        </w:rPr>
        <w:t>STRING</w:t>
      </w:r>
      <w:r w:rsidRPr="00FA0D37">
        <w:t xml:space="preserve"> (CONTAINING PosSystemInformation-r16-IEs)               </w:t>
      </w:r>
      <w:r w:rsidRPr="00FA0D37">
        <w:rPr>
          <w:color w:val="993366"/>
        </w:rPr>
        <w:t>OPTIONAL</w:t>
      </w:r>
      <w:r w:rsidRPr="00FA0D37">
        <w:t xml:space="preserve">, </w:t>
      </w:r>
      <w:r w:rsidRPr="00FA0D37">
        <w:rPr>
          <w:color w:val="808080"/>
        </w:rPr>
        <w:t>-- Need N</w:t>
      </w:r>
    </w:p>
    <w:p w14:paraId="0907A014" w14:textId="77777777" w:rsidR="00394471" w:rsidRPr="00FA0D37" w:rsidRDefault="00394471" w:rsidP="00FA0D37">
      <w:pPr>
        <w:pStyle w:val="PL"/>
        <w:rPr>
          <w:color w:val="808080"/>
        </w:rPr>
      </w:pPr>
      <w:r w:rsidRPr="00FA0D37">
        <w:t xml:space="preserve">    sl-ConfigDedicatedNR-r16                SetupRelease {SL-ConfigDedicatedNR-r16}                              </w:t>
      </w:r>
      <w:r w:rsidRPr="00FA0D37">
        <w:rPr>
          <w:color w:val="993366"/>
        </w:rPr>
        <w:t>OPTIONAL</w:t>
      </w:r>
      <w:r w:rsidRPr="00FA0D37">
        <w:t xml:space="preserve">, </w:t>
      </w:r>
      <w:r w:rsidRPr="00FA0D37">
        <w:rPr>
          <w:color w:val="808080"/>
        </w:rPr>
        <w:t>-- Need M</w:t>
      </w:r>
    </w:p>
    <w:p w14:paraId="0494C70E" w14:textId="77777777" w:rsidR="00394471" w:rsidRPr="00FA0D37" w:rsidRDefault="00394471" w:rsidP="00FA0D37">
      <w:pPr>
        <w:pStyle w:val="PL"/>
        <w:rPr>
          <w:color w:val="808080"/>
        </w:rPr>
      </w:pPr>
      <w:r w:rsidRPr="00FA0D37">
        <w:t xml:space="preserve">    sl-ConfigDedicatedEUTRA-Info-r16        SetupRelease {SL-ConfigDedicatedEUTRA-Info-r16}                      </w:t>
      </w:r>
      <w:r w:rsidRPr="00FA0D37">
        <w:rPr>
          <w:color w:val="993366"/>
        </w:rPr>
        <w:t>OPTIONAL</w:t>
      </w:r>
      <w:r w:rsidRPr="00FA0D37">
        <w:t xml:space="preserve">, </w:t>
      </w:r>
      <w:r w:rsidRPr="00FA0D37">
        <w:rPr>
          <w:color w:val="808080"/>
        </w:rPr>
        <w:t>-- Need M</w:t>
      </w:r>
    </w:p>
    <w:p w14:paraId="5AA528DE" w14:textId="796B0168" w:rsidR="00394471" w:rsidRPr="00FA0D37" w:rsidRDefault="00394471" w:rsidP="00FA0D37">
      <w:pPr>
        <w:pStyle w:val="PL"/>
        <w:rPr>
          <w:color w:val="808080"/>
        </w:rPr>
      </w:pPr>
      <w:r w:rsidRPr="00FA0D37">
        <w:t xml:space="preserve">    </w:t>
      </w:r>
      <w:r w:rsidR="00D027C1" w:rsidRPr="00FA0D37">
        <w:t>targetCellSMTC-SCG</w:t>
      </w:r>
      <w:r w:rsidRPr="00FA0D37">
        <w:t xml:space="preserve">-r16                  SSB-MTC                                                              </w:t>
      </w:r>
      <w:r w:rsidRPr="00FA0D37">
        <w:rPr>
          <w:color w:val="993366"/>
        </w:rPr>
        <w:t>OPTIONAL</w:t>
      </w:r>
      <w:r w:rsidRPr="00FA0D37">
        <w:t xml:space="preserve">, </w:t>
      </w:r>
      <w:r w:rsidRPr="00FA0D37">
        <w:rPr>
          <w:color w:val="808080"/>
        </w:rPr>
        <w:t>-- Need S</w:t>
      </w:r>
    </w:p>
    <w:p w14:paraId="0D1DC31D" w14:textId="1031E67F" w:rsidR="00394471" w:rsidRPr="00FA0D37" w:rsidRDefault="00394471" w:rsidP="00FA0D37">
      <w:pPr>
        <w:pStyle w:val="PL"/>
      </w:pPr>
      <w:r w:rsidRPr="00FA0D37">
        <w:t xml:space="preserve">    nonCriticalExtension                    </w:t>
      </w:r>
      <w:r w:rsidR="00B001B7" w:rsidRPr="00FA0D37">
        <w:t>RRCReconfiguration-v1700-IEs</w:t>
      </w:r>
      <w:r w:rsidRPr="00FA0D37">
        <w:t xml:space="preserve">                                         </w:t>
      </w:r>
      <w:r w:rsidRPr="00FA0D37">
        <w:rPr>
          <w:color w:val="993366"/>
        </w:rPr>
        <w:t>OPTIONAL</w:t>
      </w:r>
    </w:p>
    <w:p w14:paraId="49D2E9AE" w14:textId="77777777" w:rsidR="00394471" w:rsidRPr="00FA0D37" w:rsidRDefault="00394471" w:rsidP="00FA0D37">
      <w:pPr>
        <w:pStyle w:val="PL"/>
      </w:pPr>
      <w:r w:rsidRPr="00FA0D37">
        <w:t>}</w:t>
      </w:r>
    </w:p>
    <w:p w14:paraId="3DF09D6D" w14:textId="77777777" w:rsidR="00B001B7" w:rsidRPr="00FA0D37" w:rsidRDefault="00B001B7" w:rsidP="00FA0D37">
      <w:pPr>
        <w:pStyle w:val="PL"/>
      </w:pPr>
    </w:p>
    <w:p w14:paraId="52D42B66" w14:textId="12A92243" w:rsidR="00B001B7" w:rsidRPr="00FA0D37" w:rsidRDefault="00B001B7" w:rsidP="00FA0D37">
      <w:pPr>
        <w:pStyle w:val="PL"/>
      </w:pPr>
      <w:r w:rsidRPr="00FA0D37">
        <w:t xml:space="preserve">RRCReconfiguration-v1700-IEs ::=        </w:t>
      </w:r>
      <w:r w:rsidRPr="00FA0D37">
        <w:rPr>
          <w:color w:val="993366"/>
        </w:rPr>
        <w:t>SEQUENCE</w:t>
      </w:r>
      <w:r w:rsidRPr="00FA0D37">
        <w:t xml:space="preserve"> {</w:t>
      </w:r>
    </w:p>
    <w:p w14:paraId="3091C8DD" w14:textId="1B842F9F" w:rsidR="00B001B7" w:rsidRPr="00FA0D37" w:rsidRDefault="00B001B7" w:rsidP="00FA0D37">
      <w:pPr>
        <w:pStyle w:val="PL"/>
        <w:rPr>
          <w:color w:val="808080"/>
        </w:rPr>
      </w:pPr>
      <w:r w:rsidRPr="00FA0D37">
        <w:t xml:space="preserve">    otherConfig-v1700                       OtherConfig-v1700                                              </w:t>
      </w:r>
      <w:r w:rsidRPr="00FA0D37">
        <w:rPr>
          <w:color w:val="993366"/>
        </w:rPr>
        <w:t>OPTIONAL</w:t>
      </w:r>
      <w:r w:rsidRPr="00FA0D37">
        <w:t xml:space="preserve">, </w:t>
      </w:r>
      <w:r w:rsidRPr="00FA0D37">
        <w:rPr>
          <w:color w:val="808080"/>
        </w:rPr>
        <w:t>-- Need M</w:t>
      </w:r>
    </w:p>
    <w:p w14:paraId="24B55296" w14:textId="58CE3B77" w:rsidR="00AF74F7" w:rsidRPr="00FA0D37" w:rsidRDefault="00AF74F7" w:rsidP="00FA0D37">
      <w:pPr>
        <w:pStyle w:val="PL"/>
        <w:rPr>
          <w:color w:val="808080"/>
        </w:rPr>
      </w:pPr>
      <w:r w:rsidRPr="00FA0D37">
        <w:t xml:space="preserve">    sl-L2RelayUE</w:t>
      </w:r>
      <w:r w:rsidR="002D76C2" w:rsidRPr="00FA0D37">
        <w:t>-</w:t>
      </w:r>
      <w:r w:rsidRPr="00FA0D37">
        <w:t>Config-r17                 SetupRelease { SL-L2RelayUE</w:t>
      </w:r>
      <w:r w:rsidR="002D76C2" w:rsidRPr="00FA0D37">
        <w:t>-</w:t>
      </w:r>
      <w:r w:rsidRPr="00FA0D37">
        <w:t xml:space="preserve">Config-r17 }                       </w:t>
      </w:r>
      <w:r w:rsidRPr="00FA0D37">
        <w:rPr>
          <w:color w:val="993366"/>
        </w:rPr>
        <w:t>OPTIONAL</w:t>
      </w:r>
      <w:r w:rsidRPr="00FA0D37">
        <w:t xml:space="preserve">, </w:t>
      </w:r>
      <w:r w:rsidRPr="00FA0D37">
        <w:rPr>
          <w:color w:val="808080"/>
        </w:rPr>
        <w:t xml:space="preserve">-- </w:t>
      </w:r>
      <w:r w:rsidR="002D76C2" w:rsidRPr="00FA0D37">
        <w:rPr>
          <w:color w:val="808080"/>
        </w:rPr>
        <w:t>Need M</w:t>
      </w:r>
    </w:p>
    <w:p w14:paraId="5B2E1BA2" w14:textId="4CD777BB" w:rsidR="00AF74F7" w:rsidRPr="00FA0D37" w:rsidRDefault="00AF74F7" w:rsidP="00FA0D37">
      <w:pPr>
        <w:pStyle w:val="PL"/>
        <w:rPr>
          <w:color w:val="808080"/>
        </w:rPr>
      </w:pPr>
      <w:r w:rsidRPr="00FA0D37">
        <w:t xml:space="preserve">    sl-L2RemoteUE</w:t>
      </w:r>
      <w:r w:rsidR="002D76C2" w:rsidRPr="00FA0D37">
        <w:t>-</w:t>
      </w:r>
      <w:r w:rsidRPr="00FA0D37">
        <w:t>Config-r17                SetupRelease { SL-L2RemoteUE</w:t>
      </w:r>
      <w:r w:rsidR="002D76C2" w:rsidRPr="00FA0D37">
        <w:t>-</w:t>
      </w:r>
      <w:r w:rsidRPr="00FA0D37">
        <w:t xml:space="preserve">Config-r17 }                      </w:t>
      </w:r>
      <w:r w:rsidRPr="00FA0D37">
        <w:rPr>
          <w:color w:val="993366"/>
        </w:rPr>
        <w:t>OPTIONAL</w:t>
      </w:r>
      <w:r w:rsidRPr="00FA0D37">
        <w:t xml:space="preserve">, </w:t>
      </w:r>
      <w:r w:rsidRPr="00FA0D37">
        <w:rPr>
          <w:color w:val="808080"/>
        </w:rPr>
        <w:t xml:space="preserve">-- </w:t>
      </w:r>
      <w:r w:rsidR="002D76C2" w:rsidRPr="00FA0D37">
        <w:rPr>
          <w:color w:val="808080"/>
        </w:rPr>
        <w:t>Need M</w:t>
      </w:r>
    </w:p>
    <w:p w14:paraId="12E6F936" w14:textId="01192365" w:rsidR="00AF74F7" w:rsidRPr="00FA0D37" w:rsidRDefault="00AF74F7" w:rsidP="00FA0D37">
      <w:pPr>
        <w:pStyle w:val="PL"/>
        <w:rPr>
          <w:color w:val="808080"/>
        </w:rPr>
      </w:pPr>
      <w:r w:rsidRPr="00FA0D37">
        <w:t xml:space="preserve">    dedicatedPagingDelivery-r17          </w:t>
      </w:r>
      <w:r w:rsidR="00FB7455" w:rsidRPr="00FA0D37">
        <w:t xml:space="preserve">  </w:t>
      </w:r>
      <w:r w:rsidRPr="00FA0D37">
        <w:t xml:space="preserve"> </w:t>
      </w:r>
      <w:r w:rsidRPr="00FA0D37">
        <w:rPr>
          <w:color w:val="993366"/>
        </w:rPr>
        <w:t>OCTET</w:t>
      </w:r>
      <w:r w:rsidRPr="00FA0D37">
        <w:t xml:space="preserve"> </w:t>
      </w:r>
      <w:r w:rsidRPr="00FA0D37">
        <w:rPr>
          <w:color w:val="993366"/>
        </w:rPr>
        <w:t>STRING</w:t>
      </w:r>
      <w:r w:rsidRPr="00FA0D37">
        <w:t xml:space="preserve"> (CONTAINING Paging)                               </w:t>
      </w:r>
      <w:r w:rsidRPr="00FA0D37">
        <w:rPr>
          <w:color w:val="993366"/>
        </w:rPr>
        <w:t>OPTIONAL</w:t>
      </w:r>
      <w:r w:rsidRPr="00FA0D37">
        <w:t xml:space="preserve">, </w:t>
      </w:r>
      <w:r w:rsidRPr="00FA0D37">
        <w:rPr>
          <w:color w:val="808080"/>
        </w:rPr>
        <w:t xml:space="preserve">-- </w:t>
      </w:r>
      <w:r w:rsidR="002D76C2" w:rsidRPr="00FA0D37">
        <w:rPr>
          <w:color w:val="808080"/>
        </w:rPr>
        <w:t>Cond PagingRelay</w:t>
      </w:r>
    </w:p>
    <w:p w14:paraId="4E92CE8C" w14:textId="1CAA51C4" w:rsidR="00766157" w:rsidRPr="00FA0D37" w:rsidRDefault="00766157" w:rsidP="00FA0D37">
      <w:pPr>
        <w:pStyle w:val="PL"/>
        <w:rPr>
          <w:color w:val="808080"/>
        </w:rPr>
      </w:pPr>
      <w:r w:rsidRPr="00FA0D37">
        <w:t xml:space="preserve">    needFor</w:t>
      </w:r>
      <w:r w:rsidR="000668CD" w:rsidRPr="00FA0D37">
        <w:t>Gap</w:t>
      </w:r>
      <w:r w:rsidRPr="00FA0D37">
        <w:t>NCSG-ConfigNR-r17             SetupRelease {NeedFor</w:t>
      </w:r>
      <w:r w:rsidR="000668CD" w:rsidRPr="00FA0D37">
        <w:t>Gap</w:t>
      </w:r>
      <w:r w:rsidRPr="00FA0D37">
        <w:t xml:space="preserve">NCSG-ConfigNR-r17}                     </w:t>
      </w:r>
      <w:r w:rsidRPr="00FA0D37">
        <w:rPr>
          <w:color w:val="993366"/>
        </w:rPr>
        <w:t>OPTIONAL</w:t>
      </w:r>
      <w:r w:rsidRPr="00FA0D37">
        <w:t xml:space="preserve">, </w:t>
      </w:r>
      <w:r w:rsidRPr="00FA0D37">
        <w:rPr>
          <w:color w:val="808080"/>
        </w:rPr>
        <w:t>-- Need M</w:t>
      </w:r>
    </w:p>
    <w:p w14:paraId="710A9F3B" w14:textId="67515FFE" w:rsidR="00766157" w:rsidRPr="00FA0D37" w:rsidRDefault="00766157" w:rsidP="00FA0D37">
      <w:pPr>
        <w:pStyle w:val="PL"/>
        <w:rPr>
          <w:color w:val="808080"/>
        </w:rPr>
      </w:pPr>
      <w:r w:rsidRPr="00FA0D37">
        <w:t xml:space="preserve">    needFor</w:t>
      </w:r>
      <w:r w:rsidR="000668CD" w:rsidRPr="00FA0D37">
        <w:t>Gap</w:t>
      </w:r>
      <w:r w:rsidRPr="00FA0D37">
        <w:t>NCSG-ConfigEUTRA-r17          SetupRelease {NeedFor</w:t>
      </w:r>
      <w:r w:rsidR="000668CD" w:rsidRPr="00FA0D37">
        <w:t>Gap</w:t>
      </w:r>
      <w:r w:rsidRPr="00FA0D37">
        <w:t xml:space="preserve">NCSG-ConfigEUTRA-r17}                  </w:t>
      </w:r>
      <w:r w:rsidRPr="00FA0D37">
        <w:rPr>
          <w:color w:val="993366"/>
        </w:rPr>
        <w:t>OPTIONAL</w:t>
      </w:r>
      <w:r w:rsidRPr="00FA0D37">
        <w:t xml:space="preserve">, </w:t>
      </w:r>
      <w:r w:rsidRPr="00FA0D37">
        <w:rPr>
          <w:color w:val="808080"/>
        </w:rPr>
        <w:t>-- Need M</w:t>
      </w:r>
    </w:p>
    <w:p w14:paraId="39377EB2" w14:textId="77777777" w:rsidR="000F54BC" w:rsidRPr="00FA0D37" w:rsidRDefault="000F54BC" w:rsidP="00FA0D37">
      <w:pPr>
        <w:pStyle w:val="PL"/>
        <w:rPr>
          <w:color w:val="808080"/>
        </w:rPr>
      </w:pPr>
      <w:r w:rsidRPr="00FA0D37">
        <w:t xml:space="preserve">    musim-GapConfig-r17                     SetupRelease {MUSIM-GapConfig-r17}                             </w:t>
      </w:r>
      <w:r w:rsidRPr="00FA0D37">
        <w:rPr>
          <w:color w:val="993366"/>
        </w:rPr>
        <w:t>OPTIONAL</w:t>
      </w:r>
      <w:r w:rsidRPr="00FA0D37">
        <w:t xml:space="preserve">, </w:t>
      </w:r>
      <w:r w:rsidRPr="00FA0D37">
        <w:rPr>
          <w:color w:val="808080"/>
        </w:rPr>
        <w:t>-- Need M</w:t>
      </w:r>
    </w:p>
    <w:p w14:paraId="1466CD6B" w14:textId="77777777" w:rsidR="001212B2" w:rsidRPr="00FA0D37" w:rsidRDefault="001212B2" w:rsidP="00FA0D37">
      <w:pPr>
        <w:pStyle w:val="PL"/>
        <w:rPr>
          <w:color w:val="808080"/>
        </w:rPr>
      </w:pPr>
      <w:r w:rsidRPr="00FA0D37">
        <w:t xml:space="preserve">    ul-GapFR2-Config-r17                    SetupRelease { UL-GapFR2-Config-r17 }                          </w:t>
      </w:r>
      <w:r w:rsidRPr="00FA0D37">
        <w:rPr>
          <w:color w:val="993366"/>
        </w:rPr>
        <w:t>OPTIONAL</w:t>
      </w:r>
      <w:r w:rsidRPr="00FA0D37">
        <w:t xml:space="preserve">, </w:t>
      </w:r>
      <w:r w:rsidRPr="00FA0D37">
        <w:rPr>
          <w:color w:val="808080"/>
        </w:rPr>
        <w:t>-- Need M</w:t>
      </w:r>
    </w:p>
    <w:p w14:paraId="66393EE6" w14:textId="37DC7DD3" w:rsidR="00DB6B82" w:rsidRPr="00FA0D37" w:rsidRDefault="00DB6B82" w:rsidP="00FA0D37">
      <w:pPr>
        <w:pStyle w:val="PL"/>
        <w:rPr>
          <w:color w:val="808080"/>
        </w:rPr>
      </w:pPr>
      <w:r w:rsidRPr="00FA0D37">
        <w:t xml:space="preserve">    scg-State-r17                           </w:t>
      </w:r>
      <w:r w:rsidRPr="00FA0D37">
        <w:rPr>
          <w:color w:val="993366"/>
        </w:rPr>
        <w:t>ENUMERATED</w:t>
      </w:r>
      <w:r w:rsidRPr="00FA0D37">
        <w:t xml:space="preserve"> { deactivated }                                     </w:t>
      </w:r>
      <w:r w:rsidRPr="00FA0D37">
        <w:rPr>
          <w:color w:val="993366"/>
        </w:rPr>
        <w:t>OPTIONAL</w:t>
      </w:r>
      <w:r w:rsidRPr="00FA0D37">
        <w:t xml:space="preserve">, </w:t>
      </w:r>
      <w:r w:rsidRPr="00FA0D37">
        <w:rPr>
          <w:color w:val="808080"/>
        </w:rPr>
        <w:t xml:space="preserve">-- Need </w:t>
      </w:r>
      <w:r w:rsidR="00627E02" w:rsidRPr="00FA0D37">
        <w:rPr>
          <w:color w:val="808080"/>
        </w:rPr>
        <w:t>N</w:t>
      </w:r>
    </w:p>
    <w:p w14:paraId="0441D14F" w14:textId="12E8B1F1" w:rsidR="0046275D" w:rsidRPr="00FA0D37" w:rsidRDefault="0046275D" w:rsidP="00FA0D37">
      <w:pPr>
        <w:pStyle w:val="PL"/>
        <w:rPr>
          <w:color w:val="808080"/>
        </w:rPr>
      </w:pPr>
      <w:r w:rsidRPr="00FA0D37">
        <w:t xml:space="preserve">    appLayerMeasConfig-r17                  AppLayerMeasConfig-r17                                         </w:t>
      </w:r>
      <w:r w:rsidRPr="00FA0D37">
        <w:rPr>
          <w:color w:val="993366"/>
        </w:rPr>
        <w:t>OPTIONAL</w:t>
      </w:r>
      <w:r w:rsidRPr="00FA0D37">
        <w:t xml:space="preserve">, </w:t>
      </w:r>
      <w:r w:rsidRPr="00FA0D37">
        <w:rPr>
          <w:color w:val="808080"/>
        </w:rPr>
        <w:t>-- Need M</w:t>
      </w:r>
    </w:p>
    <w:p w14:paraId="4E3E4DB9" w14:textId="2113FFEE" w:rsidR="00892680" w:rsidRPr="00FA0D37" w:rsidRDefault="00892680" w:rsidP="00FA0D37">
      <w:pPr>
        <w:pStyle w:val="PL"/>
        <w:rPr>
          <w:color w:val="808080"/>
        </w:rPr>
      </w:pPr>
      <w:r w:rsidRPr="00FA0D37">
        <w:t xml:space="preserve">    ue-TxTEG-RequestUL-TDOA-Config-r17      SetupRelease {UE-TxTEG-RequestUL-TDOA-Config-r17}              </w:t>
      </w:r>
      <w:r w:rsidRPr="00FA0D37">
        <w:rPr>
          <w:color w:val="993366"/>
        </w:rPr>
        <w:t>OPTIONAL</w:t>
      </w:r>
      <w:r w:rsidRPr="00FA0D37">
        <w:t xml:space="preserve">,  </w:t>
      </w:r>
      <w:r w:rsidRPr="00FA0D37">
        <w:rPr>
          <w:color w:val="808080"/>
        </w:rPr>
        <w:t>-- Need M</w:t>
      </w:r>
    </w:p>
    <w:p w14:paraId="46DB5282" w14:textId="10E57821" w:rsidR="00B001B7" w:rsidRPr="00FA0D37" w:rsidRDefault="00B001B7" w:rsidP="00FA0D37">
      <w:pPr>
        <w:pStyle w:val="PL"/>
      </w:pPr>
      <w:r w:rsidRPr="00FA0D37">
        <w:t xml:space="preserve">    nonCriticalExtension                    </w:t>
      </w:r>
      <w:r w:rsidRPr="00FA0D37">
        <w:rPr>
          <w:color w:val="993366"/>
        </w:rPr>
        <w:t>SEQUENCE</w:t>
      </w:r>
      <w:r w:rsidRPr="00FA0D37">
        <w:t xml:space="preserve"> {}</w:t>
      </w:r>
      <w:r w:rsidR="005D3C7B" w:rsidRPr="00FA0D37">
        <w:t xml:space="preserve">                                                    </w:t>
      </w:r>
      <w:r w:rsidR="005D3C7B" w:rsidRPr="00FA0D37">
        <w:rPr>
          <w:color w:val="993366"/>
        </w:rPr>
        <w:t>OPTIONAL</w:t>
      </w:r>
    </w:p>
    <w:p w14:paraId="3B5B9041" w14:textId="41BA54A7" w:rsidR="00394471" w:rsidRPr="00FA0D37" w:rsidRDefault="00B001B7" w:rsidP="00FA0D37">
      <w:pPr>
        <w:pStyle w:val="PL"/>
      </w:pPr>
      <w:r w:rsidRPr="00FA0D37">
        <w:t>}</w:t>
      </w:r>
    </w:p>
    <w:p w14:paraId="244E5F6A" w14:textId="77777777" w:rsidR="00B001B7" w:rsidRPr="00FA0D37" w:rsidRDefault="00B001B7" w:rsidP="00FA0D37">
      <w:pPr>
        <w:pStyle w:val="PL"/>
      </w:pPr>
    </w:p>
    <w:p w14:paraId="42B9D180" w14:textId="77777777" w:rsidR="00394471" w:rsidRPr="00FA0D37" w:rsidRDefault="00394471" w:rsidP="00FA0D37">
      <w:pPr>
        <w:pStyle w:val="PL"/>
      </w:pPr>
      <w:r w:rsidRPr="00FA0D37">
        <w:t xml:space="preserve">MRDC-SecondaryCellGroupConfig ::=       </w:t>
      </w:r>
      <w:r w:rsidRPr="00FA0D37">
        <w:rPr>
          <w:color w:val="993366"/>
        </w:rPr>
        <w:t>SEQUENCE</w:t>
      </w:r>
      <w:r w:rsidRPr="00FA0D37">
        <w:t xml:space="preserve"> {</w:t>
      </w:r>
    </w:p>
    <w:p w14:paraId="6DA6E4B4" w14:textId="77777777" w:rsidR="00394471" w:rsidRPr="00FA0D37" w:rsidRDefault="00394471" w:rsidP="00FA0D37">
      <w:pPr>
        <w:pStyle w:val="PL"/>
        <w:rPr>
          <w:color w:val="808080"/>
        </w:rPr>
      </w:pPr>
      <w:r w:rsidRPr="00FA0D37">
        <w:t xml:space="preserve">    mrdc-ReleaseAndAdd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36A0B8FD" w14:textId="77777777" w:rsidR="00394471" w:rsidRPr="00FA0D37" w:rsidRDefault="00394471" w:rsidP="00FA0D37">
      <w:pPr>
        <w:pStyle w:val="PL"/>
      </w:pPr>
      <w:r w:rsidRPr="00FA0D37">
        <w:t xml:space="preserve">    mrdc-SecondaryCellGroup                 </w:t>
      </w:r>
      <w:r w:rsidRPr="00FA0D37">
        <w:rPr>
          <w:color w:val="993366"/>
        </w:rPr>
        <w:t>CHOICE</w:t>
      </w:r>
      <w:r w:rsidRPr="00FA0D37">
        <w:t xml:space="preserve"> {</w:t>
      </w:r>
    </w:p>
    <w:p w14:paraId="4EE59574" w14:textId="77777777" w:rsidR="00394471" w:rsidRPr="00FA0D37" w:rsidRDefault="00394471" w:rsidP="00FA0D37">
      <w:pPr>
        <w:pStyle w:val="PL"/>
      </w:pPr>
      <w:r w:rsidRPr="00FA0D37">
        <w:t xml:space="preserve">        nr-SCG                                  </w:t>
      </w:r>
      <w:r w:rsidRPr="00FA0D37">
        <w:rPr>
          <w:color w:val="993366"/>
        </w:rPr>
        <w:t>OCTET</w:t>
      </w:r>
      <w:r w:rsidRPr="00FA0D37">
        <w:t xml:space="preserve"> </w:t>
      </w:r>
      <w:r w:rsidRPr="00FA0D37">
        <w:rPr>
          <w:color w:val="993366"/>
        </w:rPr>
        <w:t>STRING</w:t>
      </w:r>
      <w:r w:rsidRPr="00FA0D37">
        <w:t xml:space="preserve">  (CONTAINING RRCReconfiguration),</w:t>
      </w:r>
    </w:p>
    <w:p w14:paraId="58A37149" w14:textId="77777777" w:rsidR="00394471" w:rsidRPr="00FA0D37" w:rsidRDefault="00394471" w:rsidP="00FA0D37">
      <w:pPr>
        <w:pStyle w:val="PL"/>
      </w:pPr>
      <w:r w:rsidRPr="00FA0D37">
        <w:t xml:space="preserve">        eutra-SCG                               </w:t>
      </w:r>
      <w:r w:rsidRPr="00FA0D37">
        <w:rPr>
          <w:color w:val="993366"/>
        </w:rPr>
        <w:t>OCTET</w:t>
      </w:r>
      <w:r w:rsidRPr="00FA0D37">
        <w:t xml:space="preserve"> </w:t>
      </w:r>
      <w:r w:rsidRPr="00FA0D37">
        <w:rPr>
          <w:color w:val="993366"/>
        </w:rPr>
        <w:t>STRING</w:t>
      </w:r>
    </w:p>
    <w:p w14:paraId="113DD7D0" w14:textId="77777777" w:rsidR="00394471" w:rsidRPr="00FA0D37" w:rsidRDefault="00394471" w:rsidP="00FA0D37">
      <w:pPr>
        <w:pStyle w:val="PL"/>
      </w:pPr>
      <w:r w:rsidRPr="00FA0D37">
        <w:t xml:space="preserve">    }</w:t>
      </w:r>
    </w:p>
    <w:p w14:paraId="0C8CF552" w14:textId="77777777" w:rsidR="00394471" w:rsidRPr="00FA0D37" w:rsidRDefault="00394471" w:rsidP="00FA0D37">
      <w:pPr>
        <w:pStyle w:val="PL"/>
      </w:pPr>
      <w:r w:rsidRPr="00FA0D37">
        <w:t>}</w:t>
      </w:r>
    </w:p>
    <w:p w14:paraId="16AC0B74" w14:textId="77777777" w:rsidR="00394471" w:rsidRPr="00FA0D37" w:rsidRDefault="00394471" w:rsidP="00FA0D37">
      <w:pPr>
        <w:pStyle w:val="PL"/>
      </w:pPr>
    </w:p>
    <w:p w14:paraId="6140319D" w14:textId="77777777" w:rsidR="00394471" w:rsidRPr="00FA0D37" w:rsidRDefault="00394471" w:rsidP="00FA0D37">
      <w:pPr>
        <w:pStyle w:val="PL"/>
      </w:pPr>
      <w:r w:rsidRPr="00FA0D37">
        <w:t xml:space="preserve">BAP-Config-r16 ::=                      </w:t>
      </w:r>
      <w:r w:rsidRPr="00FA0D37">
        <w:rPr>
          <w:color w:val="993366"/>
        </w:rPr>
        <w:t>SEQUENCE</w:t>
      </w:r>
      <w:r w:rsidRPr="00FA0D37">
        <w:t xml:space="preserve"> {</w:t>
      </w:r>
    </w:p>
    <w:p w14:paraId="76BC3105" w14:textId="77777777" w:rsidR="00394471" w:rsidRPr="00FA0D37" w:rsidRDefault="00394471" w:rsidP="00FA0D37">
      <w:pPr>
        <w:pStyle w:val="PL"/>
        <w:rPr>
          <w:color w:val="808080"/>
        </w:rPr>
      </w:pPr>
      <w:r w:rsidRPr="00FA0D37">
        <w:t xml:space="preserve">    bap-Address-r16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                                    </w:t>
      </w:r>
      <w:r w:rsidRPr="00FA0D37">
        <w:rPr>
          <w:color w:val="993366"/>
        </w:rPr>
        <w:t>OPTIONAL</w:t>
      </w:r>
      <w:r w:rsidRPr="00FA0D37">
        <w:t xml:space="preserve">, </w:t>
      </w:r>
      <w:r w:rsidRPr="00FA0D37">
        <w:rPr>
          <w:color w:val="808080"/>
        </w:rPr>
        <w:t>-- Need M</w:t>
      </w:r>
    </w:p>
    <w:p w14:paraId="2CB1769E" w14:textId="77777777" w:rsidR="00394471" w:rsidRPr="00FA0D37" w:rsidRDefault="00394471" w:rsidP="00FA0D37">
      <w:pPr>
        <w:pStyle w:val="PL"/>
        <w:rPr>
          <w:color w:val="808080"/>
        </w:rPr>
      </w:pPr>
      <w:r w:rsidRPr="00FA0D37">
        <w:t xml:space="preserve">    defaultUL-BAP-RoutingID-r16             BAP-RoutingID-r16                                         </w:t>
      </w:r>
      <w:r w:rsidRPr="00FA0D37">
        <w:rPr>
          <w:color w:val="993366"/>
        </w:rPr>
        <w:t>OPTIONAL</w:t>
      </w:r>
      <w:r w:rsidRPr="00FA0D37">
        <w:t xml:space="preserve">, </w:t>
      </w:r>
      <w:r w:rsidRPr="00FA0D37">
        <w:rPr>
          <w:color w:val="808080"/>
        </w:rPr>
        <w:t>-- Need M</w:t>
      </w:r>
    </w:p>
    <w:p w14:paraId="2F205128" w14:textId="77777777" w:rsidR="00394471" w:rsidRPr="00FA0D37" w:rsidRDefault="00394471" w:rsidP="00FA0D37">
      <w:pPr>
        <w:pStyle w:val="PL"/>
        <w:rPr>
          <w:color w:val="808080"/>
        </w:rPr>
      </w:pPr>
      <w:r w:rsidRPr="00FA0D37">
        <w:t xml:space="preserve">    defaultUL-BH-RLC-Channel-r16            BH-RLC-ChannelID-r16                                      </w:t>
      </w:r>
      <w:r w:rsidRPr="00FA0D37">
        <w:rPr>
          <w:color w:val="993366"/>
        </w:rPr>
        <w:t>OPTIONAL</w:t>
      </w:r>
      <w:r w:rsidRPr="00FA0D37">
        <w:t xml:space="preserve">, </w:t>
      </w:r>
      <w:r w:rsidRPr="00FA0D37">
        <w:rPr>
          <w:color w:val="808080"/>
        </w:rPr>
        <w:t>-- Need M</w:t>
      </w:r>
    </w:p>
    <w:p w14:paraId="05D6497F" w14:textId="77777777" w:rsidR="00394471" w:rsidRPr="00FA0D37" w:rsidRDefault="00394471" w:rsidP="00FA0D37">
      <w:pPr>
        <w:pStyle w:val="PL"/>
        <w:rPr>
          <w:color w:val="808080"/>
        </w:rPr>
      </w:pPr>
      <w:r w:rsidRPr="00FA0D37">
        <w:lastRenderedPageBreak/>
        <w:t xml:space="preserve">    flowControlFeedbackType-r16             </w:t>
      </w:r>
      <w:r w:rsidRPr="00FA0D37">
        <w:rPr>
          <w:color w:val="993366"/>
        </w:rPr>
        <w:t>ENUMERATED</w:t>
      </w:r>
      <w:r w:rsidRPr="00FA0D37">
        <w:t xml:space="preserve"> {perBH-RLC-Channel, perRoutingID, both}        </w:t>
      </w:r>
      <w:r w:rsidRPr="00FA0D37">
        <w:rPr>
          <w:color w:val="993366"/>
        </w:rPr>
        <w:t>OPTIONAL</w:t>
      </w:r>
      <w:r w:rsidRPr="00FA0D37">
        <w:t xml:space="preserve">, </w:t>
      </w:r>
      <w:r w:rsidRPr="00FA0D37">
        <w:rPr>
          <w:color w:val="808080"/>
        </w:rPr>
        <w:t>-- Need R</w:t>
      </w:r>
    </w:p>
    <w:p w14:paraId="08CE3813" w14:textId="77777777" w:rsidR="00394471" w:rsidRPr="00FA0D37" w:rsidRDefault="00394471" w:rsidP="00FA0D37">
      <w:pPr>
        <w:pStyle w:val="PL"/>
      </w:pPr>
      <w:r w:rsidRPr="00FA0D37">
        <w:t xml:space="preserve">    ...</w:t>
      </w:r>
    </w:p>
    <w:p w14:paraId="6A49E773" w14:textId="77777777" w:rsidR="00394471" w:rsidRPr="00FA0D37" w:rsidRDefault="00394471" w:rsidP="00FA0D37">
      <w:pPr>
        <w:pStyle w:val="PL"/>
      </w:pPr>
      <w:r w:rsidRPr="00FA0D37">
        <w:t>}</w:t>
      </w:r>
    </w:p>
    <w:p w14:paraId="3041099C" w14:textId="77777777" w:rsidR="00394471" w:rsidRPr="00FA0D37" w:rsidRDefault="00394471" w:rsidP="00FA0D37">
      <w:pPr>
        <w:pStyle w:val="PL"/>
      </w:pPr>
    </w:p>
    <w:p w14:paraId="4A1A6F8D" w14:textId="77777777" w:rsidR="00394471" w:rsidRPr="00FA0D37" w:rsidRDefault="00394471" w:rsidP="00FA0D37">
      <w:pPr>
        <w:pStyle w:val="PL"/>
      </w:pPr>
      <w:r w:rsidRPr="00FA0D37">
        <w:t xml:space="preserve">MasterKeyUpdate ::=                 </w:t>
      </w:r>
      <w:r w:rsidRPr="00FA0D37">
        <w:rPr>
          <w:color w:val="993366"/>
        </w:rPr>
        <w:t>SEQUENCE</w:t>
      </w:r>
      <w:r w:rsidRPr="00FA0D37">
        <w:t xml:space="preserve"> {</w:t>
      </w:r>
    </w:p>
    <w:p w14:paraId="733651CE" w14:textId="77777777" w:rsidR="00394471" w:rsidRPr="00FA0D37" w:rsidRDefault="00394471" w:rsidP="00FA0D37">
      <w:pPr>
        <w:pStyle w:val="PL"/>
      </w:pPr>
      <w:r w:rsidRPr="00FA0D37">
        <w:t xml:space="preserve">    keySetChangeIndicator           </w:t>
      </w:r>
      <w:r w:rsidRPr="00FA0D37">
        <w:rPr>
          <w:color w:val="993366"/>
        </w:rPr>
        <w:t>BOOLEAN</w:t>
      </w:r>
      <w:r w:rsidRPr="00FA0D37">
        <w:t>,</w:t>
      </w:r>
    </w:p>
    <w:p w14:paraId="05ED4706" w14:textId="77777777" w:rsidR="00394471" w:rsidRPr="00FA0D37" w:rsidRDefault="00394471" w:rsidP="00FA0D37">
      <w:pPr>
        <w:pStyle w:val="PL"/>
      </w:pPr>
      <w:r w:rsidRPr="00FA0D37">
        <w:t xml:space="preserve">    nextHopChainingCount            NextHopChainingCount,</w:t>
      </w:r>
    </w:p>
    <w:p w14:paraId="7ACA55F7" w14:textId="77777777" w:rsidR="00394471" w:rsidRPr="00FA0D37" w:rsidRDefault="00394471" w:rsidP="00FA0D37">
      <w:pPr>
        <w:pStyle w:val="PL"/>
        <w:rPr>
          <w:color w:val="808080"/>
        </w:rPr>
      </w:pPr>
      <w:r w:rsidRPr="00FA0D37">
        <w:t xml:space="preserve">    nas-Container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 xml:space="preserve">,    </w:t>
      </w:r>
      <w:r w:rsidRPr="00FA0D37">
        <w:rPr>
          <w:color w:val="808080"/>
        </w:rPr>
        <w:t>-- Cond securityNASC</w:t>
      </w:r>
    </w:p>
    <w:p w14:paraId="3F50EC0D" w14:textId="77777777" w:rsidR="00394471" w:rsidRPr="00FA0D37" w:rsidRDefault="00394471" w:rsidP="00FA0D37">
      <w:pPr>
        <w:pStyle w:val="PL"/>
      </w:pPr>
      <w:r w:rsidRPr="00FA0D37">
        <w:t xml:space="preserve">    ...</w:t>
      </w:r>
    </w:p>
    <w:p w14:paraId="1E7C8A5D" w14:textId="77777777" w:rsidR="00394471" w:rsidRPr="00FA0D37" w:rsidRDefault="00394471" w:rsidP="00FA0D37">
      <w:pPr>
        <w:pStyle w:val="PL"/>
      </w:pPr>
      <w:r w:rsidRPr="00FA0D37">
        <w:t>}</w:t>
      </w:r>
    </w:p>
    <w:p w14:paraId="2AD4CAE2" w14:textId="77777777" w:rsidR="00394471" w:rsidRPr="00FA0D37" w:rsidRDefault="00394471" w:rsidP="00FA0D37">
      <w:pPr>
        <w:pStyle w:val="PL"/>
      </w:pPr>
    </w:p>
    <w:p w14:paraId="40780350" w14:textId="77777777" w:rsidR="00394471" w:rsidRPr="00FA0D37" w:rsidRDefault="00394471" w:rsidP="00FA0D37">
      <w:pPr>
        <w:pStyle w:val="PL"/>
      </w:pPr>
      <w:r w:rsidRPr="00FA0D37">
        <w:t xml:space="preserve">OnDemandSIB-Request-r16 ::=                  </w:t>
      </w:r>
      <w:r w:rsidRPr="00FA0D37">
        <w:rPr>
          <w:color w:val="993366"/>
        </w:rPr>
        <w:t>SEQUENCE</w:t>
      </w:r>
      <w:r w:rsidRPr="00FA0D37">
        <w:t xml:space="preserve"> {</w:t>
      </w:r>
    </w:p>
    <w:p w14:paraId="5723EB47" w14:textId="77777777" w:rsidR="00394471" w:rsidRPr="00FA0D37" w:rsidRDefault="00394471" w:rsidP="00FA0D37">
      <w:pPr>
        <w:pStyle w:val="PL"/>
      </w:pPr>
      <w:r w:rsidRPr="00FA0D37">
        <w:t xml:space="preserve">    onDemandSIB-RequestProhibitTimer-r16         </w:t>
      </w:r>
      <w:r w:rsidRPr="00FA0D37">
        <w:rPr>
          <w:color w:val="993366"/>
        </w:rPr>
        <w:t>ENUMERATED</w:t>
      </w:r>
      <w:r w:rsidRPr="00FA0D37">
        <w:t xml:space="preserve"> {s0, s0dot5, s1, s2, s5, s10, s20, s30}</w:t>
      </w:r>
    </w:p>
    <w:p w14:paraId="1805ED1E" w14:textId="77777777" w:rsidR="00394471" w:rsidRPr="00FA0D37" w:rsidRDefault="00394471" w:rsidP="00FA0D37">
      <w:pPr>
        <w:pStyle w:val="PL"/>
      </w:pPr>
      <w:r w:rsidRPr="00FA0D37">
        <w:t>}</w:t>
      </w:r>
    </w:p>
    <w:p w14:paraId="36666813" w14:textId="77777777" w:rsidR="00394471" w:rsidRPr="00FA0D37" w:rsidRDefault="00394471" w:rsidP="00FA0D37">
      <w:pPr>
        <w:pStyle w:val="PL"/>
      </w:pPr>
    </w:p>
    <w:p w14:paraId="11B36205" w14:textId="77777777" w:rsidR="00394471" w:rsidRPr="00FA0D37" w:rsidRDefault="00394471" w:rsidP="00FA0D37">
      <w:pPr>
        <w:pStyle w:val="PL"/>
      </w:pPr>
      <w:r w:rsidRPr="00FA0D37">
        <w:t xml:space="preserve">T316-r16 ::=         </w:t>
      </w:r>
      <w:r w:rsidRPr="00FA0D37">
        <w:rPr>
          <w:color w:val="993366"/>
        </w:rPr>
        <w:t>ENUMERATED</w:t>
      </w:r>
      <w:r w:rsidRPr="00FA0D37">
        <w:t xml:space="preserve"> {ms50, ms100, ms200, ms300, ms400, ms500, ms600, ms1000, ms1500, ms2000}</w:t>
      </w:r>
    </w:p>
    <w:p w14:paraId="29C40760" w14:textId="77777777" w:rsidR="00394471" w:rsidRPr="00FA0D37" w:rsidRDefault="00394471" w:rsidP="00FA0D37">
      <w:pPr>
        <w:pStyle w:val="PL"/>
      </w:pPr>
    </w:p>
    <w:p w14:paraId="605BB222" w14:textId="77777777" w:rsidR="00394471" w:rsidRPr="00FA0D37" w:rsidRDefault="00394471" w:rsidP="00FA0D37">
      <w:pPr>
        <w:pStyle w:val="PL"/>
      </w:pPr>
      <w:r w:rsidRPr="00FA0D37">
        <w:t xml:space="preserve">IAB-IP-AddressConfigurationList-r16 ::= </w:t>
      </w:r>
      <w:r w:rsidRPr="00FA0D37">
        <w:rPr>
          <w:color w:val="993366"/>
        </w:rPr>
        <w:t>SEQUENCE</w:t>
      </w:r>
      <w:r w:rsidRPr="00FA0D37">
        <w:t xml:space="preserve"> {</w:t>
      </w:r>
    </w:p>
    <w:p w14:paraId="38CDAE66" w14:textId="77777777" w:rsidR="00394471" w:rsidRPr="00FA0D37" w:rsidRDefault="00394471" w:rsidP="00FA0D37">
      <w:pPr>
        <w:pStyle w:val="PL"/>
        <w:rPr>
          <w:color w:val="808080"/>
        </w:rPr>
      </w:pPr>
      <w:r w:rsidRPr="00FA0D37">
        <w:t xml:space="preserve">    iab-IP-AddressToAddModList-r16      </w:t>
      </w:r>
      <w:r w:rsidRPr="00FA0D37">
        <w:rPr>
          <w:color w:val="993366"/>
        </w:rPr>
        <w:t>SEQUENCE</w:t>
      </w:r>
      <w:r w:rsidRPr="00FA0D37">
        <w:t xml:space="preserve"> (</w:t>
      </w:r>
      <w:r w:rsidRPr="00FA0D37">
        <w:rPr>
          <w:color w:val="993366"/>
        </w:rPr>
        <w:t>SIZE</w:t>
      </w:r>
      <w:r w:rsidRPr="00FA0D37">
        <w:t>(1..maxIAB-IP-Address-r16))</w:t>
      </w:r>
      <w:r w:rsidRPr="00FA0D37">
        <w:rPr>
          <w:color w:val="993366"/>
        </w:rPr>
        <w:t xml:space="preserve"> OF</w:t>
      </w:r>
      <w:r w:rsidRPr="00FA0D37">
        <w:t xml:space="preserve"> IAB-IP-AddressConfiguration-r16 </w:t>
      </w:r>
      <w:r w:rsidRPr="00FA0D37">
        <w:rPr>
          <w:color w:val="993366"/>
        </w:rPr>
        <w:t>OPTIONAL</w:t>
      </w:r>
      <w:r w:rsidRPr="00FA0D37">
        <w:t xml:space="preserve">, </w:t>
      </w:r>
      <w:r w:rsidRPr="00FA0D37">
        <w:rPr>
          <w:color w:val="808080"/>
        </w:rPr>
        <w:t>-- Need N</w:t>
      </w:r>
    </w:p>
    <w:p w14:paraId="45A8560C" w14:textId="77777777" w:rsidR="00394471" w:rsidRPr="00FA0D37" w:rsidRDefault="00394471" w:rsidP="00FA0D37">
      <w:pPr>
        <w:pStyle w:val="PL"/>
        <w:rPr>
          <w:color w:val="808080"/>
        </w:rPr>
      </w:pPr>
      <w:r w:rsidRPr="00FA0D37">
        <w:t xml:space="preserve">    iab-IP-AddressToReleaseList-r16     </w:t>
      </w:r>
      <w:r w:rsidRPr="00FA0D37">
        <w:rPr>
          <w:color w:val="993366"/>
        </w:rPr>
        <w:t>SEQUENCE</w:t>
      </w:r>
      <w:r w:rsidRPr="00FA0D37">
        <w:t xml:space="preserve"> (</w:t>
      </w:r>
      <w:r w:rsidRPr="00FA0D37">
        <w:rPr>
          <w:color w:val="993366"/>
        </w:rPr>
        <w:t>SIZE</w:t>
      </w:r>
      <w:r w:rsidRPr="00FA0D37">
        <w:t>(1..maxIAB-IP-Address-r16))</w:t>
      </w:r>
      <w:r w:rsidRPr="00FA0D37">
        <w:rPr>
          <w:color w:val="993366"/>
        </w:rPr>
        <w:t xml:space="preserve"> OF</w:t>
      </w:r>
      <w:r w:rsidRPr="00FA0D37">
        <w:t xml:space="preserve"> IAB-IP-AddressIndex-r16         </w:t>
      </w:r>
      <w:r w:rsidRPr="00FA0D37">
        <w:rPr>
          <w:color w:val="993366"/>
        </w:rPr>
        <w:t>OPTIONAL</w:t>
      </w:r>
      <w:r w:rsidRPr="00FA0D37">
        <w:t xml:space="preserve">, </w:t>
      </w:r>
      <w:r w:rsidRPr="00FA0D37">
        <w:rPr>
          <w:color w:val="808080"/>
        </w:rPr>
        <w:t>-- Need N</w:t>
      </w:r>
    </w:p>
    <w:p w14:paraId="65F9DFC7" w14:textId="77777777" w:rsidR="00394471" w:rsidRPr="00FA0D37" w:rsidRDefault="00394471" w:rsidP="00FA0D37">
      <w:pPr>
        <w:pStyle w:val="PL"/>
      </w:pPr>
      <w:r w:rsidRPr="00FA0D37">
        <w:t xml:space="preserve">    ...</w:t>
      </w:r>
    </w:p>
    <w:p w14:paraId="3E0AB1D4" w14:textId="77777777" w:rsidR="00394471" w:rsidRPr="00FA0D37" w:rsidRDefault="00394471" w:rsidP="00FA0D37">
      <w:pPr>
        <w:pStyle w:val="PL"/>
      </w:pPr>
      <w:r w:rsidRPr="00FA0D37">
        <w:t>}</w:t>
      </w:r>
    </w:p>
    <w:p w14:paraId="3B54F85E" w14:textId="77777777" w:rsidR="00394471" w:rsidRPr="00FA0D37" w:rsidRDefault="00394471" w:rsidP="00FA0D37">
      <w:pPr>
        <w:pStyle w:val="PL"/>
      </w:pPr>
    </w:p>
    <w:p w14:paraId="45C90CA2" w14:textId="77777777" w:rsidR="00394471" w:rsidRPr="00FA0D37" w:rsidRDefault="00394471" w:rsidP="00FA0D37">
      <w:pPr>
        <w:pStyle w:val="PL"/>
      </w:pPr>
      <w:r w:rsidRPr="00FA0D37">
        <w:t xml:space="preserve">IAB-IP-AddressConfiguration-r16 ::=     </w:t>
      </w:r>
      <w:r w:rsidRPr="00FA0D37">
        <w:rPr>
          <w:color w:val="993366"/>
        </w:rPr>
        <w:t>SEQUENCE</w:t>
      </w:r>
      <w:r w:rsidRPr="00FA0D37">
        <w:t xml:space="preserve"> {</w:t>
      </w:r>
    </w:p>
    <w:p w14:paraId="4CF67E90" w14:textId="77777777" w:rsidR="00394471" w:rsidRPr="00FA0D37" w:rsidRDefault="00394471" w:rsidP="00FA0D37">
      <w:pPr>
        <w:pStyle w:val="PL"/>
      </w:pPr>
      <w:r w:rsidRPr="00FA0D37">
        <w:t xml:space="preserve">    iab-IP-AddressIndex-r16                 IAB-IP-AddressIndex-r16,</w:t>
      </w:r>
    </w:p>
    <w:p w14:paraId="276240BE" w14:textId="77777777" w:rsidR="00394471" w:rsidRPr="00FA0D37" w:rsidRDefault="00394471" w:rsidP="00FA0D37">
      <w:pPr>
        <w:pStyle w:val="PL"/>
        <w:rPr>
          <w:color w:val="808080"/>
        </w:rPr>
      </w:pPr>
      <w:r w:rsidRPr="00FA0D37">
        <w:t xml:space="preserve">    iab-IP-Address-r16                      IAB-IP-Address-r16                                                </w:t>
      </w:r>
      <w:r w:rsidRPr="00FA0D37">
        <w:rPr>
          <w:color w:val="993366"/>
        </w:rPr>
        <w:t>OPTIONAL</w:t>
      </w:r>
      <w:r w:rsidRPr="00FA0D37">
        <w:t xml:space="preserve">,  </w:t>
      </w:r>
      <w:r w:rsidRPr="00FA0D37">
        <w:rPr>
          <w:color w:val="808080"/>
        </w:rPr>
        <w:t>-- Need M</w:t>
      </w:r>
    </w:p>
    <w:p w14:paraId="7F5A781C" w14:textId="77777777" w:rsidR="00394471" w:rsidRPr="00FA0D37" w:rsidRDefault="00394471" w:rsidP="00FA0D37">
      <w:pPr>
        <w:pStyle w:val="PL"/>
        <w:rPr>
          <w:color w:val="808080"/>
        </w:rPr>
      </w:pPr>
      <w:r w:rsidRPr="00FA0D37">
        <w:t xml:space="preserve">    iab-IP-Usage-r16                        IAB-IP-Usage-r16                                                  </w:t>
      </w:r>
      <w:r w:rsidRPr="00FA0D37">
        <w:rPr>
          <w:color w:val="993366"/>
        </w:rPr>
        <w:t>OPTIONAL</w:t>
      </w:r>
      <w:r w:rsidRPr="00FA0D37">
        <w:t xml:space="preserve">,  </w:t>
      </w:r>
      <w:r w:rsidRPr="00FA0D37">
        <w:rPr>
          <w:color w:val="808080"/>
        </w:rPr>
        <w:t>-- Need M</w:t>
      </w:r>
    </w:p>
    <w:p w14:paraId="4CBEC820" w14:textId="77777777" w:rsidR="00394471" w:rsidRPr="00FA0D37" w:rsidRDefault="00394471" w:rsidP="00FA0D37">
      <w:pPr>
        <w:pStyle w:val="PL"/>
        <w:rPr>
          <w:color w:val="808080"/>
        </w:rPr>
      </w:pPr>
      <w:r w:rsidRPr="00FA0D37">
        <w:t xml:space="preserve">    iab-donor-DU-BAP-Address-r16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(10))                                             </w:t>
      </w:r>
      <w:r w:rsidRPr="00FA0D37">
        <w:rPr>
          <w:color w:val="993366"/>
        </w:rPr>
        <w:t>OPTIONAL</w:t>
      </w:r>
      <w:r w:rsidRPr="00FA0D37">
        <w:t xml:space="preserve">,  </w:t>
      </w:r>
      <w:r w:rsidRPr="00FA0D37">
        <w:rPr>
          <w:color w:val="808080"/>
        </w:rPr>
        <w:t>-- Need M</w:t>
      </w:r>
    </w:p>
    <w:p w14:paraId="4E105A80" w14:textId="77777777" w:rsidR="00394471" w:rsidRPr="00FA0D37" w:rsidRDefault="00394471" w:rsidP="00FA0D37">
      <w:pPr>
        <w:pStyle w:val="PL"/>
      </w:pPr>
      <w:r w:rsidRPr="00FA0D37">
        <w:t>...</w:t>
      </w:r>
    </w:p>
    <w:p w14:paraId="646CC966" w14:textId="77777777" w:rsidR="00394471" w:rsidRPr="00FA0D37" w:rsidRDefault="00394471" w:rsidP="00FA0D37">
      <w:pPr>
        <w:pStyle w:val="PL"/>
      </w:pPr>
      <w:r w:rsidRPr="00FA0D37">
        <w:t>}</w:t>
      </w:r>
    </w:p>
    <w:p w14:paraId="3C773349" w14:textId="77777777" w:rsidR="00394471" w:rsidRPr="00FA0D37" w:rsidRDefault="00394471" w:rsidP="00FA0D37">
      <w:pPr>
        <w:pStyle w:val="PL"/>
      </w:pPr>
    </w:p>
    <w:p w14:paraId="43F73A35" w14:textId="77777777" w:rsidR="00394471" w:rsidRPr="00FA0D37" w:rsidRDefault="00394471" w:rsidP="00FA0D37">
      <w:pPr>
        <w:pStyle w:val="PL"/>
      </w:pPr>
      <w:r w:rsidRPr="00FA0D37">
        <w:t xml:space="preserve">SL-ConfigDedicatedEUTRA-Info-r16 ::=            </w:t>
      </w:r>
      <w:r w:rsidRPr="00FA0D37">
        <w:rPr>
          <w:color w:val="993366"/>
        </w:rPr>
        <w:t>SEQUENCE</w:t>
      </w:r>
      <w:r w:rsidRPr="00FA0D37">
        <w:t xml:space="preserve"> {</w:t>
      </w:r>
    </w:p>
    <w:p w14:paraId="7E80D00D" w14:textId="77777777" w:rsidR="00394471" w:rsidRPr="00FA0D37" w:rsidRDefault="00394471" w:rsidP="00FA0D37">
      <w:pPr>
        <w:pStyle w:val="PL"/>
        <w:rPr>
          <w:color w:val="808080"/>
        </w:rPr>
      </w:pPr>
      <w:r w:rsidRPr="00FA0D37">
        <w:t xml:space="preserve">    sl-ConfigDedicatedEUTRA-r16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 xml:space="preserve">,  </w:t>
      </w:r>
      <w:r w:rsidRPr="00FA0D37">
        <w:rPr>
          <w:color w:val="808080"/>
        </w:rPr>
        <w:t>-- Need M</w:t>
      </w:r>
    </w:p>
    <w:p w14:paraId="2EBA89E5" w14:textId="77777777" w:rsidR="00394471" w:rsidRPr="00FA0D37" w:rsidRDefault="00394471" w:rsidP="00FA0D37">
      <w:pPr>
        <w:pStyle w:val="PL"/>
        <w:rPr>
          <w:color w:val="808080"/>
        </w:rPr>
      </w:pPr>
      <w:r w:rsidRPr="00FA0D37">
        <w:t xml:space="preserve">    sl-TimeOffsetEUTRA-List-r16                    </w:t>
      </w:r>
      <w:r w:rsidRPr="00FA0D37">
        <w:rPr>
          <w:color w:val="993366"/>
        </w:rPr>
        <w:t>SEQUENCE</w:t>
      </w:r>
      <w:r w:rsidRPr="00FA0D37">
        <w:t xml:space="preserve"> (</w:t>
      </w:r>
      <w:r w:rsidRPr="00FA0D37">
        <w:rPr>
          <w:color w:val="993366"/>
        </w:rPr>
        <w:t>SIZE</w:t>
      </w:r>
      <w:r w:rsidRPr="00FA0D37">
        <w:t xml:space="preserve"> (8))</w:t>
      </w:r>
      <w:r w:rsidRPr="00FA0D37">
        <w:rPr>
          <w:color w:val="993366"/>
        </w:rPr>
        <w:t xml:space="preserve"> OF</w:t>
      </w:r>
      <w:r w:rsidRPr="00FA0D37">
        <w:t xml:space="preserve"> SL-TimeOffsetEUTRA-r16             </w:t>
      </w:r>
      <w:r w:rsidRPr="00FA0D37">
        <w:rPr>
          <w:color w:val="993366"/>
        </w:rPr>
        <w:t>OPTIONAL</w:t>
      </w:r>
      <w:r w:rsidRPr="00FA0D37">
        <w:t xml:space="preserve">    </w:t>
      </w:r>
      <w:r w:rsidRPr="00FA0D37">
        <w:rPr>
          <w:color w:val="808080"/>
        </w:rPr>
        <w:t>-- Need M</w:t>
      </w:r>
    </w:p>
    <w:p w14:paraId="4548E3BE" w14:textId="77777777" w:rsidR="00394471" w:rsidRPr="00FA0D37" w:rsidRDefault="00394471" w:rsidP="00FA0D37">
      <w:pPr>
        <w:pStyle w:val="PL"/>
      </w:pPr>
      <w:r w:rsidRPr="00FA0D37">
        <w:t>}</w:t>
      </w:r>
    </w:p>
    <w:p w14:paraId="3D63B5B5" w14:textId="77777777" w:rsidR="00892680" w:rsidRPr="00FA0D37" w:rsidRDefault="00892680" w:rsidP="00FA0D37">
      <w:pPr>
        <w:pStyle w:val="PL"/>
      </w:pPr>
    </w:p>
    <w:p w14:paraId="6363E134" w14:textId="77777777" w:rsidR="00967A72" w:rsidRPr="00FA0D37" w:rsidRDefault="00967A72" w:rsidP="00FA0D37">
      <w:pPr>
        <w:pStyle w:val="PL"/>
      </w:pPr>
      <w:r w:rsidRPr="00FA0D37">
        <w:t xml:space="preserve">SL-TimeOffsetEUTRA-r16 ::=        </w:t>
      </w:r>
      <w:r w:rsidRPr="00FA0D37">
        <w:rPr>
          <w:color w:val="993366"/>
        </w:rPr>
        <w:t>ENUMERATED</w:t>
      </w:r>
      <w:r w:rsidRPr="00FA0D37">
        <w:t xml:space="preserve"> {ms0, ms0dot25, ms0dot5, ms0dot625, ms0dot75, ms1, ms1dot25, ms1dot5, ms1dot75,</w:t>
      </w:r>
    </w:p>
    <w:p w14:paraId="09C36B53" w14:textId="77777777" w:rsidR="00967A72" w:rsidRPr="00FA0D37" w:rsidRDefault="00967A72" w:rsidP="00FA0D37">
      <w:pPr>
        <w:pStyle w:val="PL"/>
      </w:pPr>
      <w:r w:rsidRPr="00FA0D37">
        <w:t xml:space="preserve">                                              ms2, ms2dot5, ms3, ms4, ms5, ms6, ms8, ms10, ms20}</w:t>
      </w:r>
    </w:p>
    <w:p w14:paraId="28F9040E" w14:textId="77777777" w:rsidR="00967A72" w:rsidRPr="00FA0D37" w:rsidRDefault="00967A72" w:rsidP="00FA0D37">
      <w:pPr>
        <w:pStyle w:val="PL"/>
      </w:pPr>
    </w:p>
    <w:p w14:paraId="353EC3E3" w14:textId="4DA8E767" w:rsidR="00892680" w:rsidRPr="00FA0D37" w:rsidRDefault="00892680" w:rsidP="00FA0D37">
      <w:pPr>
        <w:pStyle w:val="PL"/>
      </w:pPr>
      <w:r w:rsidRPr="00FA0D37">
        <w:t xml:space="preserve">UE-TxTEG-RequestUL-TDOA-Config-r17 ::=  </w:t>
      </w:r>
      <w:r w:rsidRPr="00FA0D37">
        <w:rPr>
          <w:color w:val="993366"/>
        </w:rPr>
        <w:t>CHOICE</w:t>
      </w:r>
      <w:r w:rsidRPr="00FA0D37">
        <w:t xml:space="preserve"> {</w:t>
      </w:r>
    </w:p>
    <w:p w14:paraId="43ED9ADB" w14:textId="44D1BC77" w:rsidR="00892680" w:rsidRPr="00FA0D37" w:rsidRDefault="00892680" w:rsidP="00FA0D37">
      <w:pPr>
        <w:pStyle w:val="PL"/>
      </w:pPr>
      <w:r w:rsidRPr="00FA0D37">
        <w:t xml:space="preserve">    oneShot-r17                             </w:t>
      </w:r>
      <w:r w:rsidRPr="00FA0D37">
        <w:rPr>
          <w:color w:val="993366"/>
        </w:rPr>
        <w:t>NULL</w:t>
      </w:r>
      <w:r w:rsidRPr="00FA0D37">
        <w:t>,</w:t>
      </w:r>
    </w:p>
    <w:p w14:paraId="0D5A90AA" w14:textId="1297120B" w:rsidR="00892680" w:rsidRPr="00FA0D37" w:rsidRDefault="00892680" w:rsidP="00FA0D37">
      <w:pPr>
        <w:pStyle w:val="PL"/>
      </w:pPr>
      <w:r w:rsidRPr="00FA0D37">
        <w:t xml:space="preserve">    periodicReporting-r17                   </w:t>
      </w:r>
      <w:r w:rsidRPr="00FA0D37">
        <w:rPr>
          <w:color w:val="993366"/>
        </w:rPr>
        <w:t>ENUMERATED</w:t>
      </w:r>
      <w:r w:rsidRPr="00FA0D37">
        <w:t xml:space="preserve"> { ms160, ms320, ms1280, ms2560, ms61440, ms81920, ms368640, ms737280 }</w:t>
      </w:r>
    </w:p>
    <w:p w14:paraId="1855C9CA" w14:textId="74046FEC" w:rsidR="00394471" w:rsidRPr="00FA0D37" w:rsidRDefault="00892680" w:rsidP="00FA0D37">
      <w:pPr>
        <w:pStyle w:val="PL"/>
      </w:pPr>
      <w:r w:rsidRPr="00FA0D37">
        <w:t>}</w:t>
      </w:r>
    </w:p>
    <w:p w14:paraId="5E152FC1" w14:textId="77777777" w:rsidR="00394471" w:rsidRPr="00FA0D37" w:rsidRDefault="00394471" w:rsidP="00FA0D37">
      <w:pPr>
        <w:pStyle w:val="PL"/>
        <w:rPr>
          <w:color w:val="808080"/>
        </w:rPr>
      </w:pPr>
      <w:r w:rsidRPr="00FA0D37">
        <w:rPr>
          <w:color w:val="808080"/>
        </w:rPr>
        <w:t>-- TAG-RRCRECONFIGURATION-STOP</w:t>
      </w:r>
    </w:p>
    <w:p w14:paraId="6DD5DFB2" w14:textId="77777777" w:rsidR="00394471" w:rsidRPr="00FA0D37" w:rsidRDefault="00394471" w:rsidP="00FA0D37">
      <w:pPr>
        <w:pStyle w:val="PL"/>
        <w:rPr>
          <w:color w:val="808080"/>
        </w:rPr>
      </w:pPr>
      <w:r w:rsidRPr="00FA0D37">
        <w:rPr>
          <w:color w:val="808080"/>
        </w:rPr>
        <w:t>-- ASN1STOP</w:t>
      </w:r>
    </w:p>
    <w:p w14:paraId="40F38EA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6C94A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5429C" w14:textId="77777777" w:rsidR="00394471" w:rsidRPr="00FA0D37" w:rsidRDefault="00394471" w:rsidP="00964CC4">
            <w:pPr>
              <w:pStyle w:val="TAH"/>
              <w:rPr>
                <w:szCs w:val="22"/>
                <w:lang w:eastAsia="sv-SE"/>
              </w:rPr>
            </w:pPr>
            <w:r w:rsidRPr="00FA0D37">
              <w:rPr>
                <w:i/>
                <w:szCs w:val="22"/>
                <w:lang w:eastAsia="sv-SE"/>
              </w:rPr>
              <w:lastRenderedPageBreak/>
              <w:t xml:space="preserve">RRCReconfiguration-IEs </w:t>
            </w:r>
            <w:r w:rsidRPr="00FA0D37">
              <w:rPr>
                <w:szCs w:val="22"/>
                <w:lang w:eastAsia="sv-SE"/>
              </w:rPr>
              <w:t>field descriptions</w:t>
            </w:r>
          </w:p>
        </w:tc>
      </w:tr>
      <w:tr w:rsidR="005C7FF4" w:rsidRPr="00FA0D37" w14:paraId="406DD8C8" w14:textId="77777777" w:rsidTr="0071565C">
        <w:tc>
          <w:tcPr>
            <w:tcW w:w="14173" w:type="dxa"/>
            <w:tcBorders>
              <w:top w:val="single" w:sz="4" w:space="0" w:color="auto"/>
              <w:left w:val="single" w:sz="4" w:space="0" w:color="auto"/>
              <w:bottom w:val="single" w:sz="4" w:space="0" w:color="auto"/>
              <w:right w:val="single" w:sz="4" w:space="0" w:color="auto"/>
            </w:tcBorders>
          </w:tcPr>
          <w:p w14:paraId="34E2A715" w14:textId="77777777" w:rsidR="009D17A8" w:rsidRPr="00FA0D37" w:rsidRDefault="009D17A8" w:rsidP="00A12BD9">
            <w:pPr>
              <w:pStyle w:val="TAL"/>
              <w:rPr>
                <w:b/>
                <w:bCs/>
                <w:i/>
                <w:iCs/>
                <w:lang w:eastAsia="en-GB"/>
              </w:rPr>
            </w:pPr>
            <w:r w:rsidRPr="00FA0D37">
              <w:rPr>
                <w:b/>
                <w:bCs/>
                <w:i/>
                <w:iCs/>
                <w:lang w:eastAsia="en-GB"/>
              </w:rPr>
              <w:t>appLayerMeasConfig</w:t>
            </w:r>
          </w:p>
          <w:p w14:paraId="7630926A" w14:textId="4DFF6D0B" w:rsidR="009D17A8" w:rsidRPr="00FA0D37" w:rsidRDefault="009D17A8" w:rsidP="0071565C">
            <w:pPr>
              <w:pStyle w:val="TAL"/>
              <w:rPr>
                <w:b/>
                <w:bCs/>
                <w:i/>
                <w:lang w:eastAsia="en-GB"/>
              </w:rPr>
            </w:pPr>
            <w:r w:rsidRPr="00FA0D37">
              <w:rPr>
                <w:szCs w:val="22"/>
                <w:lang w:eastAsia="sv-SE"/>
              </w:rPr>
              <w:t>This field is used to configure</w:t>
            </w:r>
            <w:r w:rsidRPr="00FA0D37">
              <w:t xml:space="preserve"> </w:t>
            </w:r>
            <w:r w:rsidRPr="00FA0D37">
              <w:rPr>
                <w:szCs w:val="22"/>
                <w:lang w:eastAsia="sv-SE"/>
              </w:rPr>
              <w:t>application layer measurements. This field is absent when the UE is configured to operate with shared spectrum channel access</w:t>
            </w:r>
            <w:r w:rsidR="00095C80" w:rsidRPr="00FA0D37">
              <w:rPr>
                <w:szCs w:val="22"/>
                <w:lang w:eastAsia="sv-SE"/>
              </w:rPr>
              <w:t xml:space="preserve"> or if </w:t>
            </w:r>
            <w:r w:rsidR="00095C80" w:rsidRPr="00FA0D37">
              <w:rPr>
                <w:i/>
                <w:iCs/>
              </w:rPr>
              <w:t xml:space="preserve">sl-L2RemoteUE-Config-r17 </w:t>
            </w:r>
            <w:r w:rsidR="00095C80" w:rsidRPr="00FA0D37">
              <w:t>is configured or not released</w:t>
            </w:r>
            <w:r w:rsidRPr="00FA0D37">
              <w:rPr>
                <w:szCs w:val="22"/>
                <w:lang w:eastAsia="sv-SE"/>
              </w:rPr>
              <w:t>.</w:t>
            </w:r>
          </w:p>
        </w:tc>
      </w:tr>
      <w:tr w:rsidR="005C7FF4" w:rsidRPr="00FA0D37" w14:paraId="120DE5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40511D" w14:textId="77777777" w:rsidR="00394471" w:rsidRPr="00FA0D37" w:rsidRDefault="00394471" w:rsidP="00964CC4">
            <w:pPr>
              <w:pStyle w:val="TAL"/>
              <w:rPr>
                <w:b/>
                <w:bCs/>
                <w:i/>
                <w:lang w:eastAsia="en-GB"/>
              </w:rPr>
            </w:pPr>
            <w:r w:rsidRPr="00FA0D37">
              <w:rPr>
                <w:b/>
                <w:bCs/>
                <w:i/>
                <w:lang w:eastAsia="en-GB"/>
              </w:rPr>
              <w:t>bap-Config</w:t>
            </w:r>
          </w:p>
          <w:p w14:paraId="7574848C" w14:textId="77777777" w:rsidR="00394471" w:rsidRPr="00FA0D37" w:rsidRDefault="00394471" w:rsidP="00964CC4">
            <w:pPr>
              <w:pStyle w:val="TAL"/>
              <w:rPr>
                <w:szCs w:val="22"/>
                <w:lang w:eastAsia="sv-SE"/>
              </w:rPr>
            </w:pPr>
            <w:r w:rsidRPr="00FA0D37">
              <w:rPr>
                <w:szCs w:val="22"/>
                <w:lang w:eastAsia="sv-SE"/>
              </w:rPr>
              <w:t>This field is used to configure the BAP entity for IAB nodes.</w:t>
            </w:r>
          </w:p>
        </w:tc>
      </w:tr>
      <w:tr w:rsidR="005C7FF4" w:rsidRPr="00FA0D37" w14:paraId="47BCDD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77A64" w14:textId="77777777" w:rsidR="00394471" w:rsidRPr="00FA0D37" w:rsidRDefault="00394471" w:rsidP="00964CC4">
            <w:pPr>
              <w:pStyle w:val="TAL"/>
              <w:rPr>
                <w:b/>
                <w:bCs/>
                <w:i/>
                <w:lang w:eastAsia="en-GB"/>
              </w:rPr>
            </w:pPr>
            <w:r w:rsidRPr="00FA0D37">
              <w:rPr>
                <w:b/>
                <w:bCs/>
                <w:i/>
                <w:lang w:eastAsia="en-GB"/>
              </w:rPr>
              <w:t>bap-Address</w:t>
            </w:r>
          </w:p>
          <w:p w14:paraId="7D5F2FE2" w14:textId="4AB88250" w:rsidR="00394471" w:rsidRPr="00FA0D37" w:rsidRDefault="00394471" w:rsidP="00964CC4">
            <w:pPr>
              <w:pStyle w:val="TAL"/>
              <w:rPr>
                <w:b/>
                <w:bCs/>
                <w:i/>
                <w:lang w:eastAsia="en-GB"/>
              </w:rPr>
            </w:pPr>
            <w:r w:rsidRPr="00FA0D37">
              <w:rPr>
                <w:szCs w:val="22"/>
                <w:lang w:eastAsia="sv-SE"/>
              </w:rPr>
              <w:t>Indicates the BAP address of an IAB-node.</w:t>
            </w:r>
            <w:r w:rsidR="008F1830" w:rsidRPr="00FA0D37">
              <w:rPr>
                <w:szCs w:val="22"/>
                <w:lang w:eastAsia="sv-SE"/>
              </w:rPr>
              <w:t xml:space="preserve"> The BAP address of an IAB-node cannot be changed once configured </w:t>
            </w:r>
            <w:r w:rsidR="003B3F65" w:rsidRPr="00FA0D37">
              <w:rPr>
                <w:szCs w:val="22"/>
                <w:lang w:eastAsia="sv-SE"/>
              </w:rPr>
              <w:t xml:space="preserve">for the cell group </w:t>
            </w:r>
            <w:r w:rsidR="008F1830" w:rsidRPr="00FA0D37">
              <w:rPr>
                <w:szCs w:val="22"/>
                <w:lang w:eastAsia="sv-SE"/>
              </w:rPr>
              <w:t>to the BAP entity.</w:t>
            </w:r>
          </w:p>
        </w:tc>
      </w:tr>
      <w:tr w:rsidR="005C7FF4" w:rsidRPr="00FA0D37" w14:paraId="000A77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C7073" w14:textId="77777777" w:rsidR="00394471" w:rsidRPr="00FA0D37" w:rsidRDefault="00394471" w:rsidP="00964CC4">
            <w:pPr>
              <w:pStyle w:val="TAL"/>
              <w:rPr>
                <w:b/>
                <w:bCs/>
                <w:i/>
                <w:noProof/>
                <w:lang w:eastAsia="en-GB"/>
              </w:rPr>
            </w:pPr>
            <w:r w:rsidRPr="00FA0D37">
              <w:rPr>
                <w:b/>
                <w:bCs/>
                <w:i/>
                <w:noProof/>
                <w:lang w:eastAsia="en-GB"/>
              </w:rPr>
              <w:t>conditionalReconfiguration</w:t>
            </w:r>
          </w:p>
          <w:p w14:paraId="1392C133" w14:textId="20D3C65F" w:rsidR="00394471" w:rsidRPr="00FA0D37" w:rsidRDefault="00394471" w:rsidP="00964CC4">
            <w:pPr>
              <w:pStyle w:val="TAL"/>
              <w:rPr>
                <w:b/>
                <w:bCs/>
                <w:i/>
                <w:noProof/>
                <w:lang w:eastAsia="en-GB"/>
              </w:rPr>
            </w:pPr>
            <w:r w:rsidRPr="00FA0D37">
              <w:rPr>
                <w:bCs/>
                <w:noProof/>
                <w:lang w:eastAsia="en-GB"/>
              </w:rPr>
              <w:t>Configuration of candidate target SpCell(s) and execution condition(s) for conditional handover</w:t>
            </w:r>
            <w:r w:rsidR="00DB6B82" w:rsidRPr="00FA0D37">
              <w:rPr>
                <w:bCs/>
                <w:lang w:eastAsia="en-GB"/>
              </w:rPr>
              <w:t>, conditional PSCell addition</w:t>
            </w:r>
            <w:r w:rsidRPr="00FA0D37">
              <w:rPr>
                <w:bCs/>
                <w:noProof/>
                <w:lang w:eastAsia="zh-CN"/>
              </w:rPr>
              <w:t xml:space="preserve"> or conditional PSCell change</w:t>
            </w:r>
            <w:r w:rsidRPr="00FA0D37">
              <w:rPr>
                <w:bCs/>
                <w:noProof/>
                <w:lang w:eastAsia="en-GB"/>
              </w:rPr>
              <w:t>.</w:t>
            </w:r>
            <w:r w:rsidRPr="00FA0D37">
              <w:rPr>
                <w:rFonts w:ascii="Times New Roman" w:hAnsi="Times New Roman"/>
                <w:lang w:eastAsia="sv-SE"/>
              </w:rPr>
              <w:t xml:space="preserve"> </w:t>
            </w:r>
            <w:r w:rsidRPr="00FA0D37">
              <w:rPr>
                <w:bCs/>
                <w:noProof/>
                <w:lang w:eastAsia="en-GB"/>
              </w:rPr>
              <w:t>The field is absent if any DAPS bearer</w:t>
            </w:r>
            <w:r w:rsidRPr="00FA0D37">
              <w:rPr>
                <w:lang w:eastAsia="sv-SE"/>
              </w:rPr>
              <w:t xml:space="preserve"> is configured or if the </w:t>
            </w:r>
            <w:r w:rsidRPr="00FA0D37">
              <w:rPr>
                <w:i/>
                <w:iCs/>
                <w:lang w:eastAsia="sv-SE"/>
              </w:rPr>
              <w:t>masterCellGroup</w:t>
            </w:r>
            <w:r w:rsidRPr="00FA0D37">
              <w:rPr>
                <w:lang w:eastAsia="sv-SE"/>
              </w:rPr>
              <w:t xml:space="preserve"> </w:t>
            </w:r>
            <w:r w:rsidRPr="00FA0D37">
              <w:t xml:space="preserve">includes </w:t>
            </w:r>
            <w:r w:rsidRPr="00FA0D37">
              <w:rPr>
                <w:i/>
                <w:iCs/>
              </w:rPr>
              <w:t>ReconfigurationWithSync</w:t>
            </w:r>
            <w:r w:rsidR="002D76C2" w:rsidRPr="00FA0D37">
              <w:rPr>
                <w:iCs/>
              </w:rPr>
              <w:t xml:space="preserve"> or if the </w:t>
            </w:r>
            <w:r w:rsidR="002D76C2" w:rsidRPr="00FA0D37">
              <w:rPr>
                <w:i/>
                <w:iCs/>
              </w:rPr>
              <w:t xml:space="preserve">sl-L2RemoteUE-Config </w:t>
            </w:r>
            <w:r w:rsidR="002D76C2" w:rsidRPr="00FA0D37">
              <w:rPr>
                <w:iCs/>
              </w:rPr>
              <w:t xml:space="preserve">or </w:t>
            </w:r>
            <w:r w:rsidR="002D76C2" w:rsidRPr="00FA0D37">
              <w:rPr>
                <w:i/>
                <w:iCs/>
              </w:rPr>
              <w:t>sl-L2RelayUE-Config</w:t>
            </w:r>
            <w:r w:rsidR="002D76C2" w:rsidRPr="00FA0D37">
              <w:rPr>
                <w:iCs/>
              </w:rPr>
              <w:t xml:space="preserve"> is configured</w:t>
            </w:r>
            <w:r w:rsidRPr="00FA0D37">
              <w:rPr>
                <w:lang w:eastAsia="sv-SE"/>
              </w:rPr>
              <w:t>.</w:t>
            </w:r>
            <w:r w:rsidRPr="00FA0D37">
              <w:t xml:space="preserve"> </w:t>
            </w:r>
            <w:r w:rsidRPr="00FA0D37">
              <w:rPr>
                <w:rFonts w:eastAsia="宋体"/>
              </w:rPr>
              <w:t xml:space="preserve">For conditional PSCell change, the field is absent if the </w:t>
            </w:r>
            <w:r w:rsidRPr="00FA0D37">
              <w:rPr>
                <w:rFonts w:eastAsia="宋体"/>
                <w:i/>
                <w:iCs/>
              </w:rPr>
              <w:t xml:space="preserve">secondaryCellGroup </w:t>
            </w:r>
            <w:r w:rsidRPr="00FA0D37">
              <w:rPr>
                <w:rFonts w:eastAsia="宋体"/>
              </w:rPr>
              <w:t xml:space="preserve">includes </w:t>
            </w:r>
            <w:r w:rsidRPr="00FA0D37">
              <w:rPr>
                <w:rFonts w:eastAsia="宋体"/>
                <w:i/>
                <w:iCs/>
              </w:rPr>
              <w:t>ReconfigurationWithSync</w:t>
            </w:r>
            <w:r w:rsidRPr="00FA0D37">
              <w:rPr>
                <w:rFonts w:eastAsia="宋体"/>
              </w:rPr>
              <w:t xml:space="preserve">. </w:t>
            </w:r>
            <w:r w:rsidRPr="00FA0D37">
              <w:t xml:space="preserve">The </w:t>
            </w:r>
            <w:r w:rsidRPr="00FA0D37">
              <w:rPr>
                <w:i/>
              </w:rPr>
              <w:t>RRCReconfiguration</w:t>
            </w:r>
            <w:r w:rsidRPr="00FA0D37">
              <w:t xml:space="preserve"> message contained in </w:t>
            </w:r>
            <w:r w:rsidRPr="00FA0D37">
              <w:rPr>
                <w:i/>
                <w:iCs/>
              </w:rPr>
              <w:t xml:space="preserve">DLInformationTransferMRDC </w:t>
            </w:r>
            <w:r w:rsidRPr="00FA0D37">
              <w:t xml:space="preserve">cannot contain the field </w:t>
            </w:r>
            <w:r w:rsidRPr="00FA0D37">
              <w:rPr>
                <w:i/>
                <w:iCs/>
              </w:rPr>
              <w:t xml:space="preserve">conditionalReconfiguration </w:t>
            </w:r>
            <w:r w:rsidRPr="00FA0D37">
              <w:t>for conditional PSCell change</w:t>
            </w:r>
            <w:r w:rsidR="00DB6B82" w:rsidRPr="00FA0D37">
              <w:t xml:space="preserve"> </w:t>
            </w:r>
            <w:r w:rsidR="00627E02" w:rsidRPr="00FA0D37">
              <w:t xml:space="preserve">or for </w:t>
            </w:r>
            <w:r w:rsidR="00DB6B82" w:rsidRPr="00FA0D37">
              <w:t>conditional PSCell addition</w:t>
            </w:r>
            <w:r w:rsidRPr="00FA0D37">
              <w:t>.</w:t>
            </w:r>
          </w:p>
        </w:tc>
      </w:tr>
      <w:tr w:rsidR="005C7FF4" w:rsidRPr="00FA0D37" w14:paraId="7458A1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9EF462" w14:textId="77777777" w:rsidR="00394471" w:rsidRPr="00FA0D37" w:rsidRDefault="00394471" w:rsidP="00964CC4">
            <w:pPr>
              <w:pStyle w:val="TAL"/>
              <w:rPr>
                <w:b/>
                <w:bCs/>
                <w:i/>
                <w:noProof/>
                <w:lang w:eastAsia="en-GB"/>
              </w:rPr>
            </w:pPr>
            <w:r w:rsidRPr="00FA0D37">
              <w:rPr>
                <w:b/>
                <w:bCs/>
                <w:i/>
                <w:noProof/>
                <w:lang w:eastAsia="en-GB"/>
              </w:rPr>
              <w:t>daps-SourceRelease</w:t>
            </w:r>
          </w:p>
          <w:p w14:paraId="69120BB9" w14:textId="77777777" w:rsidR="00394471" w:rsidRPr="00FA0D37" w:rsidRDefault="00394471" w:rsidP="00964CC4">
            <w:pPr>
              <w:pStyle w:val="TAL"/>
              <w:rPr>
                <w:b/>
                <w:bCs/>
                <w:i/>
                <w:noProof/>
                <w:lang w:eastAsia="en-GB"/>
              </w:rPr>
            </w:pPr>
            <w:r w:rsidRPr="00FA0D37">
              <w:rPr>
                <w:bCs/>
                <w:noProof/>
                <w:lang w:eastAsia="en-GB"/>
              </w:rPr>
              <w:t>Indicates to UE that the source cell part of DAPS operation is to be stopped and the source cell part of DAPS configuration is to be released.</w:t>
            </w:r>
          </w:p>
        </w:tc>
      </w:tr>
      <w:tr w:rsidR="005C7FF4" w:rsidRPr="00FA0D37" w14:paraId="689D2F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AAD44" w14:textId="77777777" w:rsidR="00394471" w:rsidRPr="00FA0D37" w:rsidRDefault="00394471" w:rsidP="00964CC4">
            <w:pPr>
              <w:pStyle w:val="TAL"/>
              <w:rPr>
                <w:b/>
                <w:bCs/>
                <w:i/>
                <w:noProof/>
                <w:lang w:eastAsia="en-GB"/>
              </w:rPr>
            </w:pPr>
            <w:r w:rsidRPr="00FA0D37">
              <w:rPr>
                <w:b/>
                <w:bCs/>
                <w:i/>
                <w:noProof/>
                <w:lang w:eastAsia="en-GB"/>
              </w:rPr>
              <w:t>dedicatedNAS-MessageList</w:t>
            </w:r>
          </w:p>
          <w:p w14:paraId="7115B3BC" w14:textId="77777777" w:rsidR="00394471" w:rsidRPr="00FA0D37" w:rsidRDefault="00394471" w:rsidP="00964CC4">
            <w:pPr>
              <w:pStyle w:val="TAL"/>
              <w:rPr>
                <w:bCs/>
                <w:noProof/>
                <w:lang w:eastAsia="en-GB"/>
              </w:rPr>
            </w:pPr>
            <w:r w:rsidRPr="00FA0D37">
              <w:rPr>
                <w:bCs/>
                <w:noProof/>
                <w:lang w:eastAsia="en-GB"/>
              </w:rPr>
              <w:t xml:space="preserve">This field is used to transfer UE specific NAS layer information between the network and the UE. The RRC layer is transparent for each PDU in the list. </w:t>
            </w:r>
          </w:p>
        </w:tc>
      </w:tr>
      <w:tr w:rsidR="005C7FF4" w:rsidRPr="00FA0D37" w14:paraId="042A36D7" w14:textId="77777777" w:rsidTr="00771058">
        <w:tc>
          <w:tcPr>
            <w:tcW w:w="14173" w:type="dxa"/>
            <w:tcBorders>
              <w:top w:val="single" w:sz="4" w:space="0" w:color="auto"/>
              <w:left w:val="single" w:sz="4" w:space="0" w:color="auto"/>
              <w:bottom w:val="single" w:sz="4" w:space="0" w:color="auto"/>
              <w:right w:val="single" w:sz="4" w:space="0" w:color="auto"/>
            </w:tcBorders>
          </w:tcPr>
          <w:p w14:paraId="0E440DCB" w14:textId="77777777" w:rsidR="00FB7455" w:rsidRPr="00FA0D37" w:rsidRDefault="00FB7455" w:rsidP="00771058">
            <w:pPr>
              <w:keepNext/>
              <w:keepLines/>
              <w:spacing w:after="0"/>
              <w:rPr>
                <w:rFonts w:ascii="Arial" w:hAnsi="Arial"/>
                <w:b/>
                <w:bCs/>
                <w:i/>
                <w:sz w:val="18"/>
                <w:lang w:eastAsia="en-GB"/>
              </w:rPr>
            </w:pPr>
            <w:r w:rsidRPr="00FA0D37">
              <w:rPr>
                <w:rFonts w:ascii="Arial" w:hAnsi="Arial"/>
                <w:b/>
                <w:bCs/>
                <w:i/>
                <w:sz w:val="18"/>
                <w:lang w:eastAsia="en-GB"/>
              </w:rPr>
              <w:t>dedicatedPagingDelivery</w:t>
            </w:r>
          </w:p>
          <w:p w14:paraId="63D1D6CC" w14:textId="6C401299" w:rsidR="00FB7455" w:rsidRPr="00FA0D37" w:rsidRDefault="00FB7455" w:rsidP="00771058">
            <w:pPr>
              <w:pStyle w:val="TAL"/>
              <w:rPr>
                <w:b/>
                <w:bCs/>
                <w:i/>
                <w:noProof/>
                <w:lang w:eastAsia="en-GB"/>
              </w:rPr>
            </w:pPr>
            <w:r w:rsidRPr="00FA0D37">
              <w:rPr>
                <w:bCs/>
                <w:lang w:eastAsia="en-GB"/>
              </w:rPr>
              <w:t xml:space="preserve">This field is used to transfer </w:t>
            </w:r>
            <w:r w:rsidRPr="00FA0D37">
              <w:rPr>
                <w:bCs/>
                <w:i/>
                <w:lang w:eastAsia="en-GB"/>
              </w:rPr>
              <w:t>Paging</w:t>
            </w:r>
            <w:r w:rsidRPr="00FA0D37">
              <w:rPr>
                <w:bCs/>
                <w:lang w:eastAsia="en-GB"/>
              </w:rPr>
              <w:t xml:space="preserve"> message</w:t>
            </w:r>
            <w:r w:rsidR="002D76C2" w:rsidRPr="00FA0D37">
              <w:t xml:space="preserve"> for the associated L2 U2N Remote UE</w:t>
            </w:r>
            <w:r w:rsidRPr="00FA0D37">
              <w:rPr>
                <w:bCs/>
                <w:lang w:eastAsia="en-GB"/>
              </w:rPr>
              <w:t xml:space="preserve"> to the L2 </w:t>
            </w:r>
            <w:r w:rsidR="002D76C2" w:rsidRPr="00FA0D37">
              <w:rPr>
                <w:bCs/>
                <w:lang w:eastAsia="en-GB"/>
              </w:rPr>
              <w:t xml:space="preserve">U2N </w:t>
            </w:r>
            <w:r w:rsidRPr="00FA0D37">
              <w:rPr>
                <w:bCs/>
                <w:lang w:eastAsia="en-GB"/>
              </w:rPr>
              <w:t>Relay UE in RRC_CONNECTED.</w:t>
            </w:r>
          </w:p>
        </w:tc>
      </w:tr>
      <w:tr w:rsidR="005C7FF4" w:rsidRPr="00FA0D37" w14:paraId="7BC742E8" w14:textId="77777777" w:rsidTr="00964CC4">
        <w:tc>
          <w:tcPr>
            <w:tcW w:w="14173" w:type="dxa"/>
            <w:tcBorders>
              <w:top w:val="single" w:sz="4" w:space="0" w:color="auto"/>
              <w:left w:val="single" w:sz="4" w:space="0" w:color="auto"/>
              <w:bottom w:val="single" w:sz="4" w:space="0" w:color="auto"/>
              <w:right w:val="single" w:sz="4" w:space="0" w:color="auto"/>
            </w:tcBorders>
          </w:tcPr>
          <w:p w14:paraId="713AEDC4" w14:textId="77777777" w:rsidR="00394471" w:rsidRPr="00FA0D37" w:rsidRDefault="00394471" w:rsidP="00964CC4">
            <w:pPr>
              <w:pStyle w:val="TAL"/>
              <w:rPr>
                <w:b/>
                <w:i/>
                <w:noProof/>
                <w:lang w:eastAsia="en-GB"/>
              </w:rPr>
            </w:pPr>
            <w:r w:rsidRPr="00FA0D37">
              <w:rPr>
                <w:b/>
                <w:i/>
                <w:noProof/>
                <w:lang w:eastAsia="en-GB"/>
              </w:rPr>
              <w:t>dedicatedPosSysInfoDelivery</w:t>
            </w:r>
          </w:p>
          <w:p w14:paraId="7CC063F2" w14:textId="77777777" w:rsidR="00394471" w:rsidRPr="00FA0D37" w:rsidRDefault="00394471" w:rsidP="00964CC4">
            <w:pPr>
              <w:pStyle w:val="TAL"/>
              <w:rPr>
                <w:b/>
                <w:bCs/>
                <w:i/>
                <w:noProof/>
                <w:lang w:eastAsia="en-GB"/>
              </w:rPr>
            </w:pPr>
            <w:r w:rsidRPr="00FA0D37">
              <w:rPr>
                <w:noProof/>
                <w:lang w:eastAsia="en-GB"/>
              </w:rPr>
              <w:t xml:space="preserve">This field is used to transfer </w:t>
            </w:r>
            <w:r w:rsidRPr="00FA0D37">
              <w:rPr>
                <w:i/>
                <w:noProof/>
                <w:lang w:eastAsia="en-GB"/>
              </w:rPr>
              <w:t>SIBPos</w:t>
            </w:r>
            <w:r w:rsidRPr="00FA0D37">
              <w:rPr>
                <w:noProof/>
                <w:lang w:eastAsia="en-GB"/>
              </w:rPr>
              <w:t xml:space="preserve"> to the UE in RRC_CONNECTED.</w:t>
            </w:r>
          </w:p>
        </w:tc>
      </w:tr>
      <w:tr w:rsidR="005C7FF4" w:rsidRPr="00FA0D37" w14:paraId="4E44B2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EB232" w14:textId="77777777" w:rsidR="00394471" w:rsidRPr="00FA0D37" w:rsidRDefault="00394471" w:rsidP="00964CC4">
            <w:pPr>
              <w:pStyle w:val="TAL"/>
              <w:rPr>
                <w:b/>
                <w:i/>
                <w:noProof/>
                <w:lang w:eastAsia="en-GB"/>
              </w:rPr>
            </w:pPr>
            <w:r w:rsidRPr="00FA0D37">
              <w:rPr>
                <w:b/>
                <w:i/>
                <w:noProof/>
                <w:lang w:eastAsia="en-GB"/>
              </w:rPr>
              <w:t>dedicatedSIB1-Delivery</w:t>
            </w:r>
          </w:p>
          <w:p w14:paraId="19E70201" w14:textId="23FAF6E1" w:rsidR="00394471" w:rsidRPr="00FA0D37" w:rsidRDefault="00394471" w:rsidP="00964CC4">
            <w:pPr>
              <w:pStyle w:val="TAL"/>
              <w:rPr>
                <w:noProof/>
                <w:lang w:eastAsia="en-GB"/>
              </w:rPr>
            </w:pPr>
            <w:r w:rsidRPr="00FA0D37">
              <w:rPr>
                <w:noProof/>
                <w:lang w:eastAsia="en-GB"/>
              </w:rPr>
              <w:t xml:space="preserve">This field is used to transfer </w:t>
            </w:r>
            <w:r w:rsidRPr="00FA0D37">
              <w:rPr>
                <w:i/>
                <w:lang w:eastAsia="sv-SE"/>
              </w:rPr>
              <w:t>SIB1</w:t>
            </w:r>
            <w:r w:rsidRPr="00FA0D37">
              <w:rPr>
                <w:noProof/>
                <w:lang w:eastAsia="en-GB"/>
              </w:rPr>
              <w:t xml:space="preserve"> to the UE</w:t>
            </w:r>
            <w:r w:rsidR="002D76C2" w:rsidRPr="00FA0D37">
              <w:rPr>
                <w:lang w:eastAsia="en-GB"/>
              </w:rPr>
              <w:t xml:space="preserve"> (including L2 U2N Remote UE)</w:t>
            </w:r>
            <w:r w:rsidRPr="00FA0D37">
              <w:rPr>
                <w:noProof/>
                <w:lang w:eastAsia="en-GB"/>
              </w:rPr>
              <w:t>.</w:t>
            </w:r>
            <w:r w:rsidRPr="00FA0D37">
              <w:rPr>
                <w:lang w:eastAsia="sv-SE"/>
              </w:rPr>
              <w:t xml:space="preserve"> </w:t>
            </w:r>
            <w:r w:rsidRPr="00FA0D37">
              <w:rPr>
                <w:noProof/>
                <w:lang w:eastAsia="en-GB"/>
              </w:rPr>
              <w:t xml:space="preserve">The field has the same values as the corresponding configuration in </w:t>
            </w:r>
            <w:r w:rsidRPr="00FA0D37">
              <w:rPr>
                <w:i/>
                <w:noProof/>
                <w:lang w:eastAsia="en-GB"/>
              </w:rPr>
              <w:t>servingCellConfigCommon</w:t>
            </w:r>
            <w:r w:rsidRPr="00FA0D37">
              <w:rPr>
                <w:noProof/>
                <w:lang w:eastAsia="en-GB"/>
              </w:rPr>
              <w:t>.</w:t>
            </w:r>
          </w:p>
        </w:tc>
      </w:tr>
      <w:tr w:rsidR="005C7FF4" w:rsidRPr="00FA0D37" w14:paraId="105B5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6EDCA9" w14:textId="77777777" w:rsidR="00394471" w:rsidRPr="00FA0D37" w:rsidRDefault="00394471" w:rsidP="00964CC4">
            <w:pPr>
              <w:pStyle w:val="TAL"/>
              <w:rPr>
                <w:b/>
                <w:i/>
                <w:noProof/>
                <w:lang w:eastAsia="en-GB"/>
              </w:rPr>
            </w:pPr>
            <w:r w:rsidRPr="00FA0D37">
              <w:rPr>
                <w:b/>
                <w:i/>
                <w:noProof/>
                <w:lang w:eastAsia="en-GB"/>
              </w:rPr>
              <w:t>dedicatedSystemInformationDelivery</w:t>
            </w:r>
          </w:p>
          <w:p w14:paraId="04140DA0" w14:textId="5E67108D" w:rsidR="00394471" w:rsidRPr="00FA0D37" w:rsidRDefault="00394471" w:rsidP="00964CC4">
            <w:pPr>
              <w:pStyle w:val="TAL"/>
              <w:rPr>
                <w:noProof/>
                <w:lang w:eastAsia="en-GB"/>
              </w:rPr>
            </w:pPr>
            <w:r w:rsidRPr="00FA0D37">
              <w:rPr>
                <w:noProof/>
                <w:lang w:eastAsia="en-GB"/>
              </w:rPr>
              <w:t xml:space="preserve">This field is used to transfer </w:t>
            </w:r>
            <w:r w:rsidRPr="00FA0D37">
              <w:rPr>
                <w:i/>
                <w:lang w:eastAsia="sv-SE"/>
              </w:rPr>
              <w:t>SIB6</w:t>
            </w:r>
            <w:r w:rsidRPr="00FA0D37">
              <w:rPr>
                <w:noProof/>
                <w:lang w:eastAsia="en-GB"/>
              </w:rPr>
              <w:t xml:space="preserve">, </w:t>
            </w:r>
            <w:r w:rsidRPr="00FA0D37">
              <w:rPr>
                <w:i/>
                <w:lang w:eastAsia="sv-SE"/>
              </w:rPr>
              <w:t>SIB7</w:t>
            </w:r>
            <w:r w:rsidRPr="00FA0D37">
              <w:rPr>
                <w:noProof/>
                <w:lang w:eastAsia="en-GB"/>
              </w:rPr>
              <w:t xml:space="preserve">, </w:t>
            </w:r>
            <w:r w:rsidRPr="00FA0D37">
              <w:rPr>
                <w:i/>
                <w:lang w:eastAsia="sv-SE"/>
              </w:rPr>
              <w:t>SIB8</w:t>
            </w:r>
            <w:r w:rsidR="00150266" w:rsidRPr="00FA0D37">
              <w:rPr>
                <w:i/>
                <w:lang w:eastAsia="sv-SE"/>
              </w:rPr>
              <w:t>, SIB19</w:t>
            </w:r>
            <w:r w:rsidR="00FD05B6" w:rsidRPr="00FA0D37">
              <w:rPr>
                <w:rFonts w:cs="Arial"/>
                <w:i/>
                <w:iCs/>
                <w:szCs w:val="18"/>
              </w:rPr>
              <w:t xml:space="preserve">, </w:t>
            </w:r>
            <w:r w:rsidR="00173E4B" w:rsidRPr="00FA0D37">
              <w:rPr>
                <w:rFonts w:cs="Arial"/>
                <w:i/>
                <w:iCs/>
                <w:szCs w:val="18"/>
              </w:rPr>
              <w:t xml:space="preserve">SIB20, </w:t>
            </w:r>
            <w:r w:rsidR="00FD05B6" w:rsidRPr="00FA0D37">
              <w:rPr>
                <w:rFonts w:cs="Arial"/>
                <w:i/>
                <w:iCs/>
                <w:szCs w:val="18"/>
              </w:rPr>
              <w:t>SIB21</w:t>
            </w:r>
            <w:r w:rsidRPr="00FA0D37">
              <w:rPr>
                <w:noProof/>
                <w:lang w:eastAsia="en-GB"/>
              </w:rPr>
              <w:t xml:space="preserve"> to the UE with an active BWP with no common se</w:t>
            </w:r>
            <w:r w:rsidR="00967A72" w:rsidRPr="00FA0D37">
              <w:rPr>
                <w:noProof/>
                <w:lang w:eastAsia="en-GB"/>
              </w:rPr>
              <w:t>a</w:t>
            </w:r>
            <w:r w:rsidRPr="00FA0D37">
              <w:rPr>
                <w:noProof/>
                <w:lang w:eastAsia="en-GB"/>
              </w:rPr>
              <w:t>rch space configured</w:t>
            </w:r>
            <w:r w:rsidR="002D76C2" w:rsidRPr="00FA0D37">
              <w:rPr>
                <w:lang w:eastAsia="en-GB"/>
              </w:rPr>
              <w:t xml:space="preserve"> or the L2 U2N Remote UE in RRC_CONNECTED</w:t>
            </w:r>
            <w:r w:rsidRPr="00FA0D37">
              <w:rPr>
                <w:noProof/>
                <w:lang w:eastAsia="en-GB"/>
              </w:rPr>
              <w:t>. For UEs in RRC_CONNECTED</w:t>
            </w:r>
            <w:r w:rsidR="002D76C2" w:rsidRPr="00FA0D37">
              <w:rPr>
                <w:lang w:eastAsia="en-GB"/>
              </w:rPr>
              <w:t xml:space="preserve"> (including L2 U2N Remote UE)</w:t>
            </w:r>
            <w:r w:rsidRPr="00FA0D37">
              <w:rPr>
                <w:noProof/>
                <w:lang w:eastAsia="en-GB"/>
              </w:rPr>
              <w:t xml:space="preserve">, this field is </w:t>
            </w:r>
            <w:r w:rsidR="00B822E7" w:rsidRPr="00FA0D37">
              <w:rPr>
                <w:noProof/>
                <w:lang w:eastAsia="en-GB"/>
              </w:rPr>
              <w:t xml:space="preserve">also </w:t>
            </w:r>
            <w:r w:rsidRPr="00FA0D37">
              <w:rPr>
                <w:noProof/>
                <w:lang w:eastAsia="en-GB"/>
              </w:rPr>
              <w:t>used to transfer the SIBs requested on-demand.</w:t>
            </w:r>
          </w:p>
        </w:tc>
      </w:tr>
      <w:tr w:rsidR="005C7FF4" w:rsidRPr="00FA0D37" w14:paraId="6D01A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5F8BEF" w14:textId="77777777" w:rsidR="00394471" w:rsidRPr="00FA0D37" w:rsidRDefault="00394471" w:rsidP="00964CC4">
            <w:pPr>
              <w:pStyle w:val="TAL"/>
              <w:rPr>
                <w:b/>
                <w:bCs/>
                <w:i/>
                <w:lang w:eastAsia="en-GB"/>
              </w:rPr>
            </w:pPr>
            <w:r w:rsidRPr="00FA0D37">
              <w:rPr>
                <w:b/>
                <w:bCs/>
                <w:i/>
                <w:lang w:eastAsia="en-GB"/>
              </w:rPr>
              <w:t>defaultUL-BAP-RoutingID</w:t>
            </w:r>
          </w:p>
          <w:p w14:paraId="3B880A58" w14:textId="177D7E0E" w:rsidR="00394471" w:rsidRPr="00FA0D37" w:rsidRDefault="00394471" w:rsidP="00964CC4">
            <w:pPr>
              <w:pStyle w:val="TAL"/>
              <w:rPr>
                <w:b/>
                <w:i/>
                <w:lang w:eastAsia="en-GB"/>
              </w:rPr>
            </w:pPr>
            <w:r w:rsidRPr="00FA0D37">
              <w:rPr>
                <w:szCs w:val="22"/>
                <w:lang w:eastAsia="sv-SE"/>
              </w:rPr>
              <w:t>This field is used for IAB-node to configure the default uplink Routing ID</w:t>
            </w:r>
            <w:r w:rsidRPr="00FA0D37">
              <w:rPr>
                <w:szCs w:val="22"/>
              </w:rPr>
              <w:t>, which is used by IAB-node</w:t>
            </w:r>
            <w:r w:rsidRPr="00FA0D37">
              <w:rPr>
                <w:iCs/>
                <w:lang w:eastAsia="sv-SE"/>
              </w:rPr>
              <w:t xml:space="preserve"> during IAB-node bootstrapping</w:t>
            </w:r>
            <w:r w:rsidRPr="00FA0D37">
              <w:rPr>
                <w:i/>
              </w:rPr>
              <w:t xml:space="preserve">, </w:t>
            </w:r>
            <w:r w:rsidRPr="00FA0D37">
              <w:rPr>
                <w:iCs/>
              </w:rPr>
              <w:t>migration, IAB-MT RRC resume and IAB-MT RRC re-establishment</w:t>
            </w:r>
            <w:r w:rsidRPr="00FA0D37">
              <w:rPr>
                <w:iCs/>
                <w:lang w:eastAsia="sv-SE"/>
              </w:rPr>
              <w:t xml:space="preserve"> for </w:t>
            </w:r>
            <w:r w:rsidRPr="00FA0D37">
              <w:rPr>
                <w:i/>
                <w:lang w:eastAsia="sv-SE"/>
              </w:rPr>
              <w:t>F1-C</w:t>
            </w:r>
            <w:r w:rsidRPr="00FA0D37">
              <w:rPr>
                <w:iCs/>
                <w:lang w:eastAsia="sv-SE"/>
              </w:rPr>
              <w:t xml:space="preserve"> and </w:t>
            </w:r>
            <w:r w:rsidRPr="00FA0D37">
              <w:rPr>
                <w:i/>
                <w:lang w:eastAsia="sv-SE"/>
              </w:rPr>
              <w:t>non-F1</w:t>
            </w:r>
            <w:r w:rsidRPr="00FA0D37">
              <w:rPr>
                <w:iCs/>
                <w:lang w:eastAsia="sv-SE"/>
              </w:rPr>
              <w:t xml:space="preserve"> traffic</w:t>
            </w:r>
            <w:r w:rsidRPr="00FA0D37">
              <w:rPr>
                <w:iCs/>
                <w:szCs w:val="22"/>
                <w:lang w:eastAsia="sv-SE"/>
              </w:rPr>
              <w:t>.</w:t>
            </w:r>
            <w:r w:rsidRPr="00FA0D37">
              <w:rPr>
                <w:szCs w:val="22"/>
              </w:rPr>
              <w:t xml:space="preserve"> The </w:t>
            </w:r>
            <w:r w:rsidRPr="00FA0D37">
              <w:rPr>
                <w:i/>
                <w:iCs/>
                <w:szCs w:val="22"/>
              </w:rPr>
              <w:t>defaultUL-BAP-</w:t>
            </w:r>
            <w:r w:rsidR="00A27DAE" w:rsidRPr="00FA0D37">
              <w:rPr>
                <w:i/>
                <w:iCs/>
                <w:szCs w:val="22"/>
              </w:rPr>
              <w:t>R</w:t>
            </w:r>
            <w:r w:rsidRPr="00FA0D37">
              <w:rPr>
                <w:i/>
                <w:iCs/>
                <w:szCs w:val="22"/>
              </w:rPr>
              <w:t>outingID</w:t>
            </w:r>
            <w:r w:rsidRPr="00FA0D37">
              <w:rPr>
                <w:szCs w:val="22"/>
              </w:rPr>
              <w:t xml:space="preserve"> can be (re-)configured when IAB-node IP address for </w:t>
            </w:r>
            <w:r w:rsidRPr="00FA0D37">
              <w:rPr>
                <w:i/>
                <w:iCs/>
                <w:szCs w:val="22"/>
              </w:rPr>
              <w:t>F1-C</w:t>
            </w:r>
            <w:r w:rsidRPr="00FA0D37">
              <w:rPr>
                <w:szCs w:val="22"/>
              </w:rPr>
              <w:t xml:space="preserve"> related traffic changes. This field is mandatory only for IAB-node bootstrapping.</w:t>
            </w:r>
          </w:p>
        </w:tc>
      </w:tr>
      <w:tr w:rsidR="005C7FF4" w:rsidRPr="00FA0D37" w14:paraId="2AE4F0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DF0D" w14:textId="77777777" w:rsidR="00394471" w:rsidRPr="00FA0D37" w:rsidRDefault="00394471" w:rsidP="00964CC4">
            <w:pPr>
              <w:pStyle w:val="TAL"/>
              <w:rPr>
                <w:b/>
                <w:bCs/>
                <w:i/>
                <w:lang w:eastAsia="en-GB"/>
              </w:rPr>
            </w:pPr>
            <w:r w:rsidRPr="00FA0D37">
              <w:rPr>
                <w:b/>
                <w:bCs/>
                <w:i/>
                <w:lang w:eastAsia="en-GB"/>
              </w:rPr>
              <w:t>defaultUL-BH-RLC-Channel</w:t>
            </w:r>
          </w:p>
          <w:p w14:paraId="4CE5E73D" w14:textId="6E2E1AD8" w:rsidR="00394471" w:rsidRPr="00FA0D37" w:rsidRDefault="00394471" w:rsidP="00964CC4">
            <w:pPr>
              <w:pStyle w:val="TAL"/>
              <w:rPr>
                <w:b/>
                <w:bCs/>
                <w:i/>
                <w:lang w:eastAsia="en-GB"/>
              </w:rPr>
            </w:pPr>
            <w:r w:rsidRPr="00FA0D37">
              <w:rPr>
                <w:szCs w:val="22"/>
                <w:lang w:eastAsia="sv-SE"/>
              </w:rPr>
              <w:t xml:space="preserve">This field is used for IAB-nodes to configure the default uplink </w:t>
            </w:r>
            <w:r w:rsidRPr="00FA0D37">
              <w:rPr>
                <w:lang w:eastAsia="sv-SE"/>
              </w:rPr>
              <w:t>BH RLC channel</w:t>
            </w:r>
            <w:r w:rsidRPr="00FA0D37">
              <w:rPr>
                <w:i/>
              </w:rPr>
              <w:t>,</w:t>
            </w:r>
            <w:r w:rsidRPr="00FA0D37">
              <w:rPr>
                <w:iCs/>
              </w:rPr>
              <w:t xml:space="preserve"> which is used by IAB-node</w:t>
            </w:r>
            <w:r w:rsidRPr="00FA0D37">
              <w:rPr>
                <w:i/>
                <w:lang w:eastAsia="sv-SE"/>
              </w:rPr>
              <w:t xml:space="preserve"> </w:t>
            </w:r>
            <w:r w:rsidRPr="00FA0D37">
              <w:rPr>
                <w:iCs/>
                <w:lang w:eastAsia="sv-SE"/>
              </w:rPr>
              <w:t>during IAB-node bootstrapping</w:t>
            </w:r>
            <w:r w:rsidRPr="00FA0D37">
              <w:rPr>
                <w:i/>
              </w:rPr>
              <w:t xml:space="preserve">, </w:t>
            </w:r>
            <w:r w:rsidRPr="00FA0D37">
              <w:rPr>
                <w:iCs/>
              </w:rPr>
              <w:t>migration, IAB-MT RRC resume and IAB-MT RRC re-establishment</w:t>
            </w:r>
            <w:r w:rsidRPr="00FA0D37">
              <w:rPr>
                <w:iCs/>
                <w:lang w:eastAsia="sv-SE"/>
              </w:rPr>
              <w:t xml:space="preserve"> </w:t>
            </w:r>
            <w:r w:rsidRPr="00FA0D37">
              <w:rPr>
                <w:i/>
                <w:lang w:eastAsia="sv-SE"/>
              </w:rPr>
              <w:t>for F1-C and non-F1 traffic</w:t>
            </w:r>
            <w:r w:rsidRPr="00FA0D37">
              <w:rPr>
                <w:szCs w:val="22"/>
                <w:lang w:eastAsia="sv-SE"/>
              </w:rPr>
              <w:t>.</w:t>
            </w:r>
            <w:r w:rsidRPr="00FA0D37">
              <w:rPr>
                <w:szCs w:val="22"/>
              </w:rPr>
              <w:t xml:space="preserve"> The </w:t>
            </w:r>
            <w:r w:rsidRPr="00FA0D37">
              <w:rPr>
                <w:i/>
                <w:iCs/>
                <w:szCs w:val="22"/>
              </w:rPr>
              <w:t>defaultUL-BH-RLC-Channel</w:t>
            </w:r>
            <w:r w:rsidRPr="00FA0D37">
              <w:rPr>
                <w:szCs w:val="22"/>
              </w:rPr>
              <w:t xml:space="preserve"> can be (re-)configured when IAB-node IP address for </w:t>
            </w:r>
            <w:r w:rsidRPr="00FA0D37">
              <w:rPr>
                <w:i/>
                <w:iCs/>
                <w:szCs w:val="22"/>
              </w:rPr>
              <w:t>F1-C</w:t>
            </w:r>
            <w:r w:rsidRPr="00FA0D37">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w:t>
            </w:r>
            <w:r w:rsidR="003B3F65" w:rsidRPr="00FA0D37">
              <w:rPr>
                <w:szCs w:val="22"/>
              </w:rPr>
              <w:t xml:space="preserve">either </w:t>
            </w:r>
            <w:r w:rsidRPr="00FA0D37">
              <w:rPr>
                <w:szCs w:val="22"/>
              </w:rPr>
              <w:t>on the MCG</w:t>
            </w:r>
            <w:r w:rsidR="003B3F65" w:rsidRPr="00FA0D37">
              <w:rPr>
                <w:szCs w:val="22"/>
              </w:rPr>
              <w:t xml:space="preserve"> or on the SCG depending on whether the MN or the SN configures this field</w:t>
            </w:r>
            <w:r w:rsidRPr="00FA0D37">
              <w:rPr>
                <w:szCs w:val="22"/>
              </w:rPr>
              <w:t>.</w:t>
            </w:r>
          </w:p>
        </w:tc>
      </w:tr>
      <w:tr w:rsidR="005C7FF4" w:rsidRPr="00FA0D37" w14:paraId="4A4BDC11" w14:textId="77777777" w:rsidTr="00964CC4">
        <w:tc>
          <w:tcPr>
            <w:tcW w:w="14173" w:type="dxa"/>
            <w:tcBorders>
              <w:top w:val="single" w:sz="4" w:space="0" w:color="auto"/>
              <w:left w:val="single" w:sz="4" w:space="0" w:color="auto"/>
              <w:bottom w:val="single" w:sz="4" w:space="0" w:color="auto"/>
              <w:right w:val="single" w:sz="4" w:space="0" w:color="auto"/>
            </w:tcBorders>
          </w:tcPr>
          <w:p w14:paraId="2BDF6A42" w14:textId="77777777" w:rsidR="00394471" w:rsidRPr="00FA0D37" w:rsidRDefault="00394471" w:rsidP="00964CC4">
            <w:pPr>
              <w:pStyle w:val="TAL"/>
              <w:rPr>
                <w:b/>
                <w:bCs/>
                <w:i/>
                <w:lang w:eastAsia="en-GB"/>
              </w:rPr>
            </w:pPr>
            <w:r w:rsidRPr="00FA0D37">
              <w:rPr>
                <w:b/>
                <w:bCs/>
                <w:i/>
                <w:lang w:eastAsia="en-GB"/>
              </w:rPr>
              <w:t>flowControlFeedbackType</w:t>
            </w:r>
          </w:p>
          <w:p w14:paraId="34FC3361" w14:textId="77777777" w:rsidR="00394471" w:rsidRPr="00FA0D37" w:rsidRDefault="00394471" w:rsidP="00964CC4">
            <w:pPr>
              <w:pStyle w:val="TAL"/>
              <w:rPr>
                <w:b/>
                <w:bCs/>
                <w:i/>
                <w:lang w:eastAsia="en-GB"/>
              </w:rPr>
            </w:pPr>
            <w:r w:rsidRPr="00FA0D37">
              <w:rPr>
                <w:szCs w:val="22"/>
                <w:lang w:eastAsia="zh-CN"/>
              </w:rPr>
              <w:t xml:space="preserve">This field is only used for IAB-node that support hop-by-hop flow control to configure the type of flow control feedback. Value </w:t>
            </w:r>
            <w:r w:rsidRPr="00FA0D37">
              <w:rPr>
                <w:i/>
                <w:iCs/>
                <w:szCs w:val="22"/>
                <w:lang w:eastAsia="zh-CN"/>
              </w:rPr>
              <w:t>perBH-RLC-Channel</w:t>
            </w:r>
            <w:r w:rsidRPr="00FA0D37">
              <w:rPr>
                <w:szCs w:val="22"/>
                <w:lang w:eastAsia="zh-CN"/>
              </w:rPr>
              <w:t xml:space="preserve"> indicates that the IAB-node shall provide flow control feedback per BH RLC channel, value </w:t>
            </w:r>
            <w:r w:rsidRPr="00FA0D37">
              <w:rPr>
                <w:i/>
                <w:iCs/>
                <w:szCs w:val="22"/>
                <w:lang w:eastAsia="zh-CN"/>
              </w:rPr>
              <w:t xml:space="preserve">perRoutingID </w:t>
            </w:r>
            <w:r w:rsidRPr="00FA0D37">
              <w:rPr>
                <w:szCs w:val="22"/>
                <w:lang w:eastAsia="zh-CN"/>
              </w:rPr>
              <w:t xml:space="preserve">indicates that the IAB-node shall provide flow control feedback per routing ID, and value </w:t>
            </w:r>
            <w:r w:rsidRPr="00FA0D37">
              <w:rPr>
                <w:i/>
                <w:iCs/>
                <w:szCs w:val="22"/>
                <w:lang w:eastAsia="zh-CN"/>
              </w:rPr>
              <w:t xml:space="preserve">both </w:t>
            </w:r>
            <w:r w:rsidRPr="00FA0D37">
              <w:rPr>
                <w:szCs w:val="22"/>
                <w:lang w:eastAsia="zh-CN"/>
              </w:rPr>
              <w:t>indicates that the IAB-node shall provide flow control feedback both per BH RLC channel and per routing ID.</w:t>
            </w:r>
          </w:p>
        </w:tc>
      </w:tr>
      <w:tr w:rsidR="005C7FF4" w:rsidRPr="00FA0D37" w14:paraId="0E45D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64B1F" w14:textId="77777777" w:rsidR="00394471" w:rsidRPr="00FA0D37" w:rsidRDefault="00394471" w:rsidP="00964CC4">
            <w:pPr>
              <w:pStyle w:val="TAL"/>
              <w:rPr>
                <w:b/>
                <w:bCs/>
                <w:i/>
                <w:noProof/>
                <w:lang w:eastAsia="en-GB"/>
              </w:rPr>
            </w:pPr>
            <w:r w:rsidRPr="00FA0D37">
              <w:rPr>
                <w:b/>
                <w:bCs/>
                <w:i/>
                <w:noProof/>
                <w:lang w:eastAsia="en-GB"/>
              </w:rPr>
              <w:lastRenderedPageBreak/>
              <w:t>fullConfig</w:t>
            </w:r>
          </w:p>
          <w:p w14:paraId="32BCC106" w14:textId="40A5BD7F" w:rsidR="00394471" w:rsidRPr="00FA0D37" w:rsidRDefault="00394471" w:rsidP="00964CC4">
            <w:pPr>
              <w:pStyle w:val="TAL"/>
              <w:rPr>
                <w:b/>
                <w:i/>
                <w:szCs w:val="22"/>
                <w:lang w:eastAsia="sv-SE"/>
              </w:rPr>
            </w:pPr>
            <w:r w:rsidRPr="00FA0D37">
              <w:rPr>
                <w:bCs/>
                <w:noProof/>
                <w:lang w:eastAsia="en-GB"/>
              </w:rPr>
              <w:t xml:space="preserve">Indicates that the full configuration option is applicable for the </w:t>
            </w:r>
            <w:r w:rsidRPr="00FA0D37">
              <w:rPr>
                <w:i/>
                <w:szCs w:val="22"/>
                <w:lang w:eastAsia="sv-SE"/>
              </w:rPr>
              <w:t>RRCReconfiguration</w:t>
            </w:r>
            <w:r w:rsidRPr="00FA0D37">
              <w:rPr>
                <w:bCs/>
                <w:noProof/>
                <w:lang w:eastAsia="en-GB"/>
              </w:rPr>
              <w:t xml:space="preserve"> message for intra-system intra-RAT HO. For inter-RAT HO from E-UTRA to NR, </w:t>
            </w:r>
            <w:r w:rsidRPr="00FA0D37">
              <w:rPr>
                <w:bCs/>
                <w:i/>
                <w:noProof/>
                <w:lang w:eastAsia="en-GB"/>
              </w:rPr>
              <w:t>fullConfig</w:t>
            </w:r>
            <w:r w:rsidRPr="00FA0D37">
              <w:rPr>
                <w:bCs/>
                <w:noProof/>
                <w:lang w:eastAsia="en-GB"/>
              </w:rPr>
              <w:t xml:space="preserve"> indicates whether or not delta signalling of SDAP/PDCP from source RAT is applicable. </w:t>
            </w:r>
            <w:r w:rsidRPr="00FA0D37">
              <w:rPr>
                <w:lang w:eastAsia="sv-SE"/>
              </w:rPr>
              <w:t xml:space="preserve">This field is absent if </w:t>
            </w:r>
            <w:r w:rsidRPr="00FA0D37">
              <w:t>any DAPS bearer</w:t>
            </w:r>
            <w:r w:rsidRPr="00FA0D37">
              <w:rPr>
                <w:lang w:eastAsia="sv-SE"/>
              </w:rPr>
              <w:t xml:space="preserve"> is configured or when the </w:t>
            </w:r>
            <w:r w:rsidRPr="00FA0D37">
              <w:rPr>
                <w:i/>
                <w:lang w:eastAsia="sv-SE"/>
              </w:rPr>
              <w:t>RRCReconfiguration</w:t>
            </w:r>
            <w:r w:rsidRPr="00FA0D37">
              <w:rPr>
                <w:lang w:eastAsia="sv-SE"/>
              </w:rPr>
              <w:t xml:space="preserve"> message is transmitted on SRB3, and in an </w:t>
            </w:r>
            <w:r w:rsidRPr="00FA0D37">
              <w:rPr>
                <w:i/>
                <w:lang w:eastAsia="sv-SE"/>
              </w:rPr>
              <w:t>RRCReconfiguration</w:t>
            </w:r>
            <w:r w:rsidRPr="00FA0D37">
              <w:rPr>
                <w:lang w:eastAsia="sv-SE"/>
              </w:rPr>
              <w:t xml:space="preserve"> message </w:t>
            </w:r>
            <w:r w:rsidR="000F6132" w:rsidRPr="00FA0D37">
              <w:rPr>
                <w:lang w:eastAsia="sv-SE"/>
              </w:rPr>
              <w:t xml:space="preserve">for SCG </w:t>
            </w:r>
            <w:r w:rsidRPr="00FA0D37">
              <w:rPr>
                <w:lang w:eastAsia="sv-SE"/>
              </w:rPr>
              <w:t xml:space="preserve">contained in another </w:t>
            </w:r>
            <w:r w:rsidRPr="00FA0D37">
              <w:rPr>
                <w:i/>
                <w:lang w:eastAsia="sv-SE"/>
              </w:rPr>
              <w:t>RRCReconfiguration</w:t>
            </w:r>
            <w:r w:rsidRPr="00FA0D37">
              <w:rPr>
                <w:lang w:eastAsia="sv-SE"/>
              </w:rPr>
              <w:t xml:space="preserve"> message (or </w:t>
            </w:r>
            <w:r w:rsidRPr="00FA0D37">
              <w:rPr>
                <w:i/>
                <w:lang w:eastAsia="sv-SE"/>
              </w:rPr>
              <w:t>RRCConnectionReconfiguration</w:t>
            </w:r>
            <w:r w:rsidRPr="00FA0D37">
              <w:rPr>
                <w:lang w:eastAsia="sv-SE"/>
              </w:rPr>
              <w:t xml:space="preserve"> message, see </w:t>
            </w:r>
            <w:r w:rsidRPr="00FA0D37">
              <w:rPr>
                <w:szCs w:val="22"/>
                <w:lang w:eastAsia="sv-SE"/>
              </w:rPr>
              <w:t xml:space="preserve">TS 36.331 [10]) </w:t>
            </w:r>
            <w:r w:rsidRPr="00FA0D37">
              <w:rPr>
                <w:lang w:eastAsia="sv-SE"/>
              </w:rPr>
              <w:t>transmitted on SRB1.</w:t>
            </w:r>
          </w:p>
        </w:tc>
      </w:tr>
      <w:tr w:rsidR="005C7FF4" w:rsidRPr="00FA0D37" w14:paraId="3FA8C751" w14:textId="77777777" w:rsidTr="00964CC4">
        <w:tc>
          <w:tcPr>
            <w:tcW w:w="14173" w:type="dxa"/>
            <w:tcBorders>
              <w:top w:val="single" w:sz="4" w:space="0" w:color="auto"/>
              <w:left w:val="single" w:sz="4" w:space="0" w:color="auto"/>
              <w:bottom w:val="single" w:sz="4" w:space="0" w:color="auto"/>
              <w:right w:val="single" w:sz="4" w:space="0" w:color="auto"/>
            </w:tcBorders>
          </w:tcPr>
          <w:p w14:paraId="287F2307" w14:textId="77777777" w:rsidR="00394471" w:rsidRPr="00FA0D37" w:rsidRDefault="00394471" w:rsidP="00964CC4">
            <w:pPr>
              <w:pStyle w:val="TAL"/>
              <w:rPr>
                <w:rFonts w:cs="Arial"/>
                <w:b/>
                <w:i/>
                <w:szCs w:val="18"/>
                <w:lang w:eastAsia="zh-CN"/>
              </w:rPr>
            </w:pPr>
            <w:r w:rsidRPr="00FA0D37">
              <w:rPr>
                <w:rFonts w:cs="Arial"/>
                <w:b/>
                <w:i/>
                <w:szCs w:val="18"/>
                <w:lang w:eastAsia="zh-CN"/>
              </w:rPr>
              <w:t>iab-IP-Address</w:t>
            </w:r>
          </w:p>
          <w:p w14:paraId="306F7A04" w14:textId="77777777" w:rsidR="00394471" w:rsidRPr="00FA0D37" w:rsidRDefault="00394471" w:rsidP="00964CC4">
            <w:pPr>
              <w:pStyle w:val="TAL"/>
              <w:rPr>
                <w:b/>
                <w:bCs/>
                <w:i/>
                <w:noProof/>
                <w:lang w:eastAsia="en-GB"/>
              </w:rPr>
            </w:pPr>
            <w:r w:rsidRPr="00FA0D37">
              <w:rPr>
                <w:rFonts w:cs="Arial"/>
                <w:szCs w:val="18"/>
                <w:lang w:eastAsia="zh-CN"/>
              </w:rPr>
              <w:t>This field is used to provide the IP address information for IAB-node.</w:t>
            </w:r>
          </w:p>
        </w:tc>
      </w:tr>
      <w:tr w:rsidR="005C7FF4" w:rsidRPr="00FA0D37" w14:paraId="2883D7F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B545848" w14:textId="77777777" w:rsidR="00A27DAE" w:rsidRPr="00FA0D37" w:rsidRDefault="00A27DAE" w:rsidP="003B657B">
            <w:pPr>
              <w:pStyle w:val="TAL"/>
              <w:rPr>
                <w:rFonts w:cs="Arial"/>
                <w:b/>
                <w:i/>
                <w:szCs w:val="18"/>
                <w:lang w:eastAsia="zh-CN"/>
              </w:rPr>
            </w:pPr>
            <w:r w:rsidRPr="00FA0D37">
              <w:rPr>
                <w:rFonts w:cs="Arial"/>
                <w:b/>
                <w:i/>
                <w:szCs w:val="18"/>
                <w:lang w:eastAsia="zh-CN"/>
              </w:rPr>
              <w:t>iab-IP-AddressIndex</w:t>
            </w:r>
          </w:p>
          <w:p w14:paraId="1DCBA4F4" w14:textId="77777777" w:rsidR="00A27DAE" w:rsidRPr="00FA0D37" w:rsidRDefault="00A27DAE" w:rsidP="003B657B">
            <w:pPr>
              <w:pStyle w:val="TAL"/>
              <w:rPr>
                <w:rFonts w:cs="Arial"/>
                <w:b/>
                <w:i/>
                <w:szCs w:val="18"/>
                <w:lang w:eastAsia="zh-CN"/>
              </w:rPr>
            </w:pPr>
            <w:r w:rsidRPr="00FA0D37">
              <w:rPr>
                <w:rFonts w:cs="Arial"/>
                <w:szCs w:val="18"/>
                <w:lang w:eastAsia="zh-CN"/>
              </w:rPr>
              <w:t>This field is used to identify a configuration of an IP address.</w:t>
            </w:r>
          </w:p>
        </w:tc>
      </w:tr>
      <w:tr w:rsidR="005C7FF4" w:rsidRPr="00FA0D37" w14:paraId="6879238A" w14:textId="77777777" w:rsidTr="00964CC4">
        <w:tc>
          <w:tcPr>
            <w:tcW w:w="14173" w:type="dxa"/>
            <w:tcBorders>
              <w:top w:val="single" w:sz="4" w:space="0" w:color="auto"/>
              <w:left w:val="single" w:sz="4" w:space="0" w:color="auto"/>
              <w:bottom w:val="single" w:sz="4" w:space="0" w:color="auto"/>
              <w:right w:val="single" w:sz="4" w:space="0" w:color="auto"/>
            </w:tcBorders>
          </w:tcPr>
          <w:p w14:paraId="48F33C6D" w14:textId="77777777" w:rsidR="00394471" w:rsidRPr="00FA0D37" w:rsidRDefault="00394471" w:rsidP="00964CC4">
            <w:pPr>
              <w:pStyle w:val="TAL"/>
              <w:rPr>
                <w:rFonts w:cs="Arial"/>
                <w:b/>
                <w:i/>
                <w:szCs w:val="18"/>
                <w:lang w:eastAsia="zh-CN"/>
              </w:rPr>
            </w:pPr>
            <w:r w:rsidRPr="00FA0D37">
              <w:rPr>
                <w:rFonts w:cs="Arial"/>
                <w:b/>
                <w:i/>
                <w:szCs w:val="18"/>
                <w:lang w:eastAsia="zh-CN"/>
              </w:rPr>
              <w:t>iab-IP-AddressToAddModList</w:t>
            </w:r>
          </w:p>
          <w:p w14:paraId="3661FECF" w14:textId="77777777" w:rsidR="00394471" w:rsidRPr="00FA0D37" w:rsidRDefault="00394471" w:rsidP="00964CC4">
            <w:pPr>
              <w:pStyle w:val="TAL"/>
              <w:rPr>
                <w:b/>
                <w:bCs/>
                <w:i/>
                <w:noProof/>
                <w:lang w:eastAsia="en-GB"/>
              </w:rPr>
            </w:pPr>
            <w:r w:rsidRPr="00FA0D37">
              <w:rPr>
                <w:szCs w:val="22"/>
                <w:lang w:eastAsia="zh-CN"/>
              </w:rPr>
              <w:t>List of IP addresses allocated for IAB-node to be added and modified.</w:t>
            </w:r>
          </w:p>
        </w:tc>
      </w:tr>
      <w:tr w:rsidR="005C7FF4" w:rsidRPr="00FA0D37" w14:paraId="42C280BE" w14:textId="77777777" w:rsidTr="00964CC4">
        <w:tc>
          <w:tcPr>
            <w:tcW w:w="14173" w:type="dxa"/>
            <w:tcBorders>
              <w:top w:val="single" w:sz="4" w:space="0" w:color="auto"/>
              <w:left w:val="single" w:sz="4" w:space="0" w:color="auto"/>
              <w:bottom w:val="single" w:sz="4" w:space="0" w:color="auto"/>
              <w:right w:val="single" w:sz="4" w:space="0" w:color="auto"/>
            </w:tcBorders>
          </w:tcPr>
          <w:p w14:paraId="0A5544E5" w14:textId="77777777" w:rsidR="00394471" w:rsidRPr="00FA0D37" w:rsidRDefault="00394471" w:rsidP="00964CC4">
            <w:pPr>
              <w:pStyle w:val="TAL"/>
              <w:rPr>
                <w:rFonts w:cs="Arial"/>
                <w:b/>
                <w:i/>
                <w:szCs w:val="18"/>
                <w:lang w:eastAsia="zh-CN"/>
              </w:rPr>
            </w:pPr>
            <w:r w:rsidRPr="00FA0D37">
              <w:rPr>
                <w:rFonts w:cs="Arial"/>
                <w:b/>
                <w:i/>
                <w:szCs w:val="18"/>
                <w:lang w:eastAsia="zh-CN"/>
              </w:rPr>
              <w:t>iab-IP-AddressToReleaseList</w:t>
            </w:r>
          </w:p>
          <w:p w14:paraId="0440BDEB" w14:textId="77777777" w:rsidR="00394471" w:rsidRPr="00FA0D37" w:rsidRDefault="00394471" w:rsidP="00964CC4">
            <w:pPr>
              <w:pStyle w:val="TAL"/>
              <w:rPr>
                <w:b/>
                <w:bCs/>
                <w:i/>
                <w:noProof/>
                <w:lang w:eastAsia="en-GB"/>
              </w:rPr>
            </w:pPr>
            <w:r w:rsidRPr="00FA0D37">
              <w:rPr>
                <w:szCs w:val="22"/>
                <w:lang w:eastAsia="zh-CN"/>
              </w:rPr>
              <w:t>List of IP address allocated for IAB-node to be released.</w:t>
            </w:r>
          </w:p>
        </w:tc>
      </w:tr>
      <w:tr w:rsidR="005C7FF4" w:rsidRPr="00FA0D37" w14:paraId="6652C322" w14:textId="77777777" w:rsidTr="00964CC4">
        <w:tc>
          <w:tcPr>
            <w:tcW w:w="14173" w:type="dxa"/>
            <w:tcBorders>
              <w:top w:val="single" w:sz="4" w:space="0" w:color="auto"/>
              <w:left w:val="single" w:sz="4" w:space="0" w:color="auto"/>
              <w:bottom w:val="single" w:sz="4" w:space="0" w:color="auto"/>
              <w:right w:val="single" w:sz="4" w:space="0" w:color="auto"/>
            </w:tcBorders>
          </w:tcPr>
          <w:p w14:paraId="3AD1BE7C" w14:textId="77777777" w:rsidR="00394471" w:rsidRPr="00FA0D37" w:rsidRDefault="00394471" w:rsidP="00964CC4">
            <w:pPr>
              <w:pStyle w:val="TAL"/>
              <w:rPr>
                <w:rFonts w:cs="Arial"/>
                <w:b/>
                <w:i/>
                <w:szCs w:val="18"/>
                <w:lang w:eastAsia="zh-CN"/>
              </w:rPr>
            </w:pPr>
            <w:r w:rsidRPr="00FA0D37">
              <w:rPr>
                <w:rFonts w:cs="Arial"/>
                <w:b/>
                <w:i/>
                <w:szCs w:val="18"/>
                <w:lang w:eastAsia="zh-CN"/>
              </w:rPr>
              <w:t>iab-IP-Usage</w:t>
            </w:r>
          </w:p>
          <w:p w14:paraId="1B855D23" w14:textId="7C2BEA22" w:rsidR="00394471" w:rsidRPr="00FA0D37" w:rsidRDefault="00394471" w:rsidP="00964CC4">
            <w:pPr>
              <w:pStyle w:val="TAL"/>
              <w:rPr>
                <w:b/>
                <w:bCs/>
                <w:i/>
                <w:noProof/>
                <w:lang w:eastAsia="en-GB"/>
              </w:rPr>
            </w:pPr>
            <w:r w:rsidRPr="00FA0D37">
              <w:rPr>
                <w:szCs w:val="22"/>
                <w:lang w:eastAsia="zh-CN"/>
              </w:rPr>
              <w:t xml:space="preserve">This field is used to indicate the usage of the assigned IP address. If this field is </w:t>
            </w:r>
            <w:r w:rsidR="008106B1" w:rsidRPr="00FA0D37">
              <w:rPr>
                <w:rFonts w:cs="Arial"/>
                <w:szCs w:val="22"/>
                <w:lang w:eastAsia="zh-CN"/>
              </w:rPr>
              <w:t>not configured</w:t>
            </w:r>
            <w:r w:rsidRPr="00FA0D37">
              <w:rPr>
                <w:szCs w:val="22"/>
                <w:lang w:eastAsia="zh-CN"/>
              </w:rPr>
              <w:t>, the assigned IP address is used for all traffic.</w:t>
            </w:r>
          </w:p>
        </w:tc>
      </w:tr>
      <w:tr w:rsidR="005C7FF4" w:rsidRPr="00FA0D37" w14:paraId="6B05610C" w14:textId="77777777" w:rsidTr="00964CC4">
        <w:tc>
          <w:tcPr>
            <w:tcW w:w="14173" w:type="dxa"/>
            <w:tcBorders>
              <w:top w:val="single" w:sz="4" w:space="0" w:color="auto"/>
              <w:left w:val="single" w:sz="4" w:space="0" w:color="auto"/>
              <w:bottom w:val="single" w:sz="4" w:space="0" w:color="auto"/>
              <w:right w:val="single" w:sz="4" w:space="0" w:color="auto"/>
            </w:tcBorders>
          </w:tcPr>
          <w:p w14:paraId="1014CAC4" w14:textId="77777777" w:rsidR="00394471" w:rsidRPr="00FA0D37" w:rsidRDefault="00394471" w:rsidP="00964CC4">
            <w:pPr>
              <w:pStyle w:val="TAL"/>
              <w:rPr>
                <w:rFonts w:cs="Arial"/>
                <w:b/>
                <w:i/>
                <w:szCs w:val="18"/>
                <w:lang w:eastAsia="zh-CN"/>
              </w:rPr>
            </w:pPr>
            <w:r w:rsidRPr="00FA0D37">
              <w:rPr>
                <w:rFonts w:cs="Arial"/>
                <w:b/>
                <w:i/>
                <w:szCs w:val="18"/>
                <w:lang w:eastAsia="zh-CN"/>
              </w:rPr>
              <w:t>iab-donor-DU-BAP-Address</w:t>
            </w:r>
          </w:p>
          <w:p w14:paraId="08B38BC3" w14:textId="77777777" w:rsidR="00394471" w:rsidRPr="00FA0D37" w:rsidRDefault="00394471" w:rsidP="00964CC4">
            <w:pPr>
              <w:pStyle w:val="TAL"/>
              <w:rPr>
                <w:b/>
                <w:bCs/>
                <w:i/>
                <w:noProof/>
                <w:lang w:eastAsia="en-GB"/>
              </w:rPr>
            </w:pPr>
            <w:r w:rsidRPr="00FA0D37">
              <w:rPr>
                <w:szCs w:val="22"/>
                <w:lang w:eastAsia="zh-CN"/>
              </w:rPr>
              <w:t>This field is used to indicate the BAP address of the IAB-donor-DU where the IP address is anchored.</w:t>
            </w:r>
          </w:p>
        </w:tc>
      </w:tr>
      <w:tr w:rsidR="005C7FF4" w:rsidRPr="00FA0D37" w14:paraId="250E90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905D1" w14:textId="77777777" w:rsidR="00394471" w:rsidRPr="00FA0D37" w:rsidRDefault="00394471" w:rsidP="00964CC4">
            <w:pPr>
              <w:pStyle w:val="TAL"/>
              <w:rPr>
                <w:b/>
                <w:i/>
                <w:lang w:eastAsia="en-GB"/>
              </w:rPr>
            </w:pPr>
            <w:r w:rsidRPr="00FA0D37">
              <w:rPr>
                <w:b/>
                <w:i/>
                <w:lang w:eastAsia="en-GB"/>
              </w:rPr>
              <w:t>keySetChangeIndicator</w:t>
            </w:r>
          </w:p>
          <w:p w14:paraId="0010F188" w14:textId="77777777" w:rsidR="00394471" w:rsidRPr="00FA0D37" w:rsidRDefault="00394471" w:rsidP="00964CC4">
            <w:pPr>
              <w:pStyle w:val="TAL"/>
              <w:rPr>
                <w:b/>
                <w:bCs/>
                <w:i/>
                <w:noProof/>
                <w:lang w:eastAsia="en-GB"/>
              </w:rPr>
            </w:pPr>
            <w:r w:rsidRPr="00FA0D37">
              <w:rPr>
                <w:bCs/>
                <w:noProof/>
                <w:lang w:eastAsia="en-GB"/>
              </w:rPr>
              <w:t>Indicates whether UE shall derive a new K</w:t>
            </w:r>
            <w:r w:rsidRPr="00FA0D37">
              <w:rPr>
                <w:bCs/>
                <w:noProof/>
                <w:vertAlign w:val="subscript"/>
                <w:lang w:eastAsia="en-GB"/>
              </w:rPr>
              <w:t>gNB</w:t>
            </w:r>
            <w:r w:rsidRPr="00FA0D37">
              <w:rPr>
                <w:bCs/>
                <w:noProof/>
                <w:lang w:eastAsia="en-GB"/>
              </w:rPr>
              <w:t xml:space="preserve">. If </w:t>
            </w:r>
            <w:r w:rsidRPr="00FA0D37">
              <w:rPr>
                <w:bCs/>
                <w:i/>
                <w:noProof/>
                <w:lang w:eastAsia="en-GB"/>
              </w:rPr>
              <w:t>reconfigurationWithSync</w:t>
            </w:r>
            <w:r w:rsidRPr="00FA0D37">
              <w:rPr>
                <w:bCs/>
                <w:noProof/>
                <w:lang w:eastAsia="en-GB"/>
              </w:rPr>
              <w:t xml:space="preserve"> is included, value </w:t>
            </w:r>
            <w:r w:rsidRPr="00FA0D37">
              <w:rPr>
                <w:bCs/>
                <w:i/>
                <w:noProof/>
                <w:lang w:eastAsia="en-GB"/>
              </w:rPr>
              <w:t>true</w:t>
            </w:r>
            <w:r w:rsidRPr="00FA0D37">
              <w:rPr>
                <w:bCs/>
                <w:noProof/>
                <w:lang w:eastAsia="en-GB"/>
              </w:rPr>
              <w:t xml:space="preserve"> indicates that a K</w:t>
            </w:r>
            <w:r w:rsidRPr="00FA0D37">
              <w:rPr>
                <w:bCs/>
                <w:noProof/>
                <w:vertAlign w:val="subscript"/>
                <w:lang w:eastAsia="en-GB"/>
              </w:rPr>
              <w:t>gNB</w:t>
            </w:r>
            <w:r w:rsidRPr="00FA0D37">
              <w:rPr>
                <w:bCs/>
                <w:noProof/>
                <w:lang w:eastAsia="en-GB"/>
              </w:rPr>
              <w:t xml:space="preserve"> key is derived from a K</w:t>
            </w:r>
            <w:r w:rsidRPr="00FA0D37">
              <w:rPr>
                <w:bCs/>
                <w:noProof/>
                <w:vertAlign w:val="subscript"/>
                <w:lang w:eastAsia="en-GB"/>
              </w:rPr>
              <w:t>AMF</w:t>
            </w:r>
            <w:r w:rsidRPr="00FA0D37">
              <w:rPr>
                <w:bCs/>
                <w:noProof/>
                <w:lang w:eastAsia="en-GB"/>
              </w:rPr>
              <w:t xml:space="preserve"> key taken into use through the latest successful NAS SMC procedure, </w:t>
            </w:r>
            <w:r w:rsidRPr="00FA0D37">
              <w:rPr>
                <w:rFonts w:eastAsia="宋体"/>
                <w:bCs/>
                <w:noProof/>
                <w:lang w:eastAsia="zh-CN"/>
              </w:rPr>
              <w:t>or</w:t>
            </w:r>
            <w:r w:rsidRPr="00FA0D37">
              <w:rPr>
                <w:lang w:eastAsia="sv-SE"/>
              </w:rPr>
              <w:t xml:space="preserve"> N2 handover procedure with K</w:t>
            </w:r>
            <w:r w:rsidRPr="00FA0D37">
              <w:rPr>
                <w:vertAlign w:val="subscript"/>
                <w:lang w:eastAsia="sv-SE"/>
              </w:rPr>
              <w:t>AMF</w:t>
            </w:r>
            <w:r w:rsidRPr="00FA0D37">
              <w:rPr>
                <w:lang w:eastAsia="sv-SE"/>
              </w:rPr>
              <w:t xml:space="preserve"> change,</w:t>
            </w:r>
            <w:r w:rsidRPr="00FA0D37">
              <w:rPr>
                <w:bCs/>
                <w:noProof/>
                <w:lang w:eastAsia="en-GB"/>
              </w:rPr>
              <w:t xml:space="preserve"> as described in TS 33.501 [11] for K</w:t>
            </w:r>
            <w:r w:rsidRPr="00FA0D37">
              <w:rPr>
                <w:bCs/>
                <w:noProof/>
                <w:vertAlign w:val="subscript"/>
                <w:lang w:eastAsia="en-GB"/>
              </w:rPr>
              <w:t>gNB</w:t>
            </w:r>
            <w:r w:rsidRPr="00FA0D37">
              <w:rPr>
                <w:bCs/>
                <w:noProof/>
                <w:lang w:eastAsia="en-GB"/>
              </w:rPr>
              <w:t xml:space="preserve"> re-keying. Value </w:t>
            </w:r>
            <w:r w:rsidRPr="00FA0D37">
              <w:rPr>
                <w:bCs/>
                <w:i/>
                <w:noProof/>
                <w:lang w:eastAsia="en-GB"/>
              </w:rPr>
              <w:t>false</w:t>
            </w:r>
            <w:r w:rsidRPr="00FA0D37">
              <w:rPr>
                <w:bCs/>
                <w:noProof/>
                <w:lang w:eastAsia="en-GB"/>
              </w:rPr>
              <w:t xml:space="preserve"> indicates that the new K</w:t>
            </w:r>
            <w:r w:rsidRPr="00FA0D37">
              <w:rPr>
                <w:bCs/>
                <w:noProof/>
                <w:vertAlign w:val="subscript"/>
                <w:lang w:eastAsia="en-GB"/>
              </w:rPr>
              <w:t>gNB</w:t>
            </w:r>
            <w:r w:rsidRPr="00FA0D37">
              <w:rPr>
                <w:bCs/>
                <w:noProof/>
                <w:lang w:eastAsia="en-GB"/>
              </w:rPr>
              <w:t xml:space="preserve"> key is obtained from the current K</w:t>
            </w:r>
            <w:r w:rsidRPr="00FA0D37">
              <w:rPr>
                <w:bCs/>
                <w:noProof/>
                <w:vertAlign w:val="subscript"/>
                <w:lang w:eastAsia="en-GB"/>
              </w:rPr>
              <w:t>gNB</w:t>
            </w:r>
            <w:r w:rsidRPr="00FA0D37">
              <w:rPr>
                <w:bCs/>
                <w:noProof/>
                <w:lang w:eastAsia="en-GB"/>
              </w:rPr>
              <w:t xml:space="preserve"> key or from the NH as described in TS 33.501 [11].</w:t>
            </w:r>
          </w:p>
        </w:tc>
      </w:tr>
      <w:tr w:rsidR="005C7FF4" w:rsidRPr="00FA0D37" w14:paraId="7E327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1AB2B" w14:textId="77777777" w:rsidR="00394471" w:rsidRPr="00FA0D37" w:rsidRDefault="00394471" w:rsidP="00964CC4">
            <w:pPr>
              <w:pStyle w:val="TAL"/>
              <w:rPr>
                <w:szCs w:val="22"/>
                <w:lang w:eastAsia="sv-SE"/>
              </w:rPr>
            </w:pPr>
            <w:r w:rsidRPr="00FA0D37">
              <w:rPr>
                <w:b/>
                <w:i/>
                <w:szCs w:val="22"/>
                <w:lang w:eastAsia="sv-SE"/>
              </w:rPr>
              <w:t>masterCellGroup</w:t>
            </w:r>
          </w:p>
          <w:p w14:paraId="32D05AA7" w14:textId="77777777" w:rsidR="00394471" w:rsidRPr="00FA0D37" w:rsidRDefault="00394471" w:rsidP="00964CC4">
            <w:pPr>
              <w:pStyle w:val="TAL"/>
              <w:rPr>
                <w:b/>
                <w:i/>
                <w:szCs w:val="22"/>
                <w:lang w:eastAsia="sv-SE"/>
              </w:rPr>
            </w:pPr>
            <w:r w:rsidRPr="00FA0D37">
              <w:rPr>
                <w:szCs w:val="22"/>
                <w:lang w:eastAsia="sv-SE"/>
              </w:rPr>
              <w:t>Configuration of master cell group.</w:t>
            </w:r>
          </w:p>
        </w:tc>
      </w:tr>
      <w:tr w:rsidR="005C7FF4" w:rsidRPr="00FA0D37" w14:paraId="1A84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1FA97" w14:textId="77777777" w:rsidR="00394471" w:rsidRPr="00FA0D37" w:rsidRDefault="00394471" w:rsidP="00964CC4">
            <w:pPr>
              <w:pStyle w:val="TAL"/>
              <w:rPr>
                <w:b/>
                <w:i/>
                <w:szCs w:val="22"/>
                <w:lang w:eastAsia="sv-SE"/>
              </w:rPr>
            </w:pPr>
            <w:r w:rsidRPr="00FA0D37">
              <w:rPr>
                <w:b/>
                <w:i/>
                <w:szCs w:val="22"/>
                <w:lang w:eastAsia="sv-SE"/>
              </w:rPr>
              <w:t>mrdc-ReleaseAndAdd</w:t>
            </w:r>
          </w:p>
          <w:p w14:paraId="36C76546" w14:textId="77777777" w:rsidR="00394471" w:rsidRPr="00FA0D37" w:rsidRDefault="00394471" w:rsidP="00964CC4">
            <w:pPr>
              <w:pStyle w:val="TAL"/>
              <w:rPr>
                <w:szCs w:val="22"/>
                <w:lang w:eastAsia="sv-SE"/>
              </w:rPr>
            </w:pPr>
            <w:r w:rsidRPr="00FA0D37">
              <w:rPr>
                <w:szCs w:val="22"/>
                <w:lang w:eastAsia="sv-SE"/>
              </w:rPr>
              <w:t>This field indicates that the current SCG configuration is released and a new SCG is added at the same time.</w:t>
            </w:r>
          </w:p>
        </w:tc>
      </w:tr>
      <w:tr w:rsidR="005C7FF4" w:rsidRPr="00FA0D37" w14:paraId="0CD61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7BAA3" w14:textId="77777777" w:rsidR="00394471" w:rsidRPr="00FA0D37" w:rsidRDefault="00394471" w:rsidP="00964CC4">
            <w:pPr>
              <w:pStyle w:val="TAL"/>
              <w:rPr>
                <w:b/>
                <w:bCs/>
                <w:i/>
                <w:noProof/>
                <w:lang w:eastAsia="en-GB"/>
              </w:rPr>
            </w:pPr>
            <w:r w:rsidRPr="00FA0D37">
              <w:rPr>
                <w:b/>
                <w:bCs/>
                <w:i/>
                <w:noProof/>
                <w:lang w:eastAsia="en-GB"/>
              </w:rPr>
              <w:t>mrdc-SecondaryCellGroup</w:t>
            </w:r>
          </w:p>
          <w:p w14:paraId="52BFF779" w14:textId="4D1AE262" w:rsidR="00394471" w:rsidRPr="00FA0D37" w:rsidRDefault="00394471" w:rsidP="00964CC4">
            <w:pPr>
              <w:pStyle w:val="TAL"/>
              <w:rPr>
                <w:lang w:eastAsia="sv-SE"/>
              </w:rPr>
            </w:pPr>
            <w:r w:rsidRPr="00FA0D37">
              <w:rPr>
                <w:bCs/>
                <w:noProof/>
                <w:lang w:eastAsia="en-GB"/>
              </w:rPr>
              <w:t>Includes an RRC message for SCG configuration in NR-DC or NE-DC.</w:t>
            </w:r>
            <w:r w:rsidRPr="00FA0D37">
              <w:rPr>
                <w:bCs/>
                <w:noProof/>
                <w:lang w:eastAsia="en-GB"/>
              </w:rPr>
              <w:br/>
            </w:r>
            <w:r w:rsidRPr="00FA0D37">
              <w:rPr>
                <w:lang w:eastAsia="sv-SE"/>
              </w:rPr>
              <w:t xml:space="preserve">For NR-DC (nr-SCG), </w:t>
            </w:r>
            <w:r w:rsidRPr="00FA0D37">
              <w:rPr>
                <w:i/>
                <w:lang w:eastAsia="sv-SE"/>
              </w:rPr>
              <w:t>mrdc-SecondaryCellGroup</w:t>
            </w:r>
            <w:r w:rsidRPr="00FA0D37">
              <w:rPr>
                <w:lang w:eastAsia="sv-SE"/>
              </w:rPr>
              <w:t xml:space="preserve"> contains </w:t>
            </w:r>
            <w:r w:rsidRPr="00FA0D37">
              <w:rPr>
                <w:bCs/>
                <w:lang w:eastAsia="en-GB"/>
              </w:rPr>
              <w:t xml:space="preserve">the </w:t>
            </w:r>
            <w:r w:rsidRPr="00FA0D37">
              <w:rPr>
                <w:bCs/>
                <w:i/>
                <w:lang w:eastAsia="en-GB"/>
              </w:rPr>
              <w:t>RRCReconfiguration</w:t>
            </w:r>
            <w:r w:rsidRPr="00FA0D37">
              <w:rPr>
                <w:bCs/>
                <w:lang w:eastAsia="en-GB"/>
              </w:rPr>
              <w:t xml:space="preserve"> message as generated (entirely) by SN gNB.</w:t>
            </w:r>
            <w:r w:rsidRPr="00FA0D37">
              <w:rPr>
                <w:lang w:eastAsia="zh-CN"/>
              </w:rPr>
              <w:t xml:space="preserve"> In this version of the specification, the RRC message </w:t>
            </w:r>
            <w:r w:rsidRPr="00FA0D37">
              <w:rPr>
                <w:lang w:eastAsia="sv-SE"/>
              </w:rPr>
              <w:t>can</w:t>
            </w:r>
            <w:r w:rsidRPr="00FA0D37">
              <w:rPr>
                <w:lang w:eastAsia="zh-CN"/>
              </w:rPr>
              <w:t xml:space="preserve"> only include fields </w:t>
            </w:r>
            <w:r w:rsidRPr="00FA0D37">
              <w:rPr>
                <w:i/>
                <w:lang w:eastAsia="sv-SE"/>
              </w:rPr>
              <w:t>secondaryCellGroup</w:t>
            </w:r>
            <w:r w:rsidRPr="00FA0D37">
              <w:rPr>
                <w:i/>
              </w:rPr>
              <w:t>, otherConfig, conditionalReconfiguration</w:t>
            </w:r>
            <w:r w:rsidR="00A66715" w:rsidRPr="00FA0D37">
              <w:rPr>
                <w:i/>
              </w:rPr>
              <w:t>,</w:t>
            </w:r>
            <w:r w:rsidRPr="00FA0D37">
              <w:rPr>
                <w:lang w:eastAsia="sv-SE"/>
              </w:rPr>
              <w:t xml:space="preserve"> </w:t>
            </w:r>
            <w:r w:rsidRPr="00FA0D37">
              <w:rPr>
                <w:i/>
                <w:lang w:eastAsia="sv-SE"/>
              </w:rPr>
              <w:t>measConfig</w:t>
            </w:r>
            <w:r w:rsidR="003B3F65" w:rsidRPr="00FA0D37">
              <w:rPr>
                <w:i/>
                <w:lang w:eastAsia="sv-SE"/>
              </w:rPr>
              <w:t>,</w:t>
            </w:r>
            <w:r w:rsidR="00A66715" w:rsidRPr="00FA0D37">
              <w:rPr>
                <w:iCs/>
                <w:lang w:eastAsia="sv-SE"/>
              </w:rPr>
              <w:t xml:space="preserve"> </w:t>
            </w:r>
            <w:r w:rsidR="00A66715" w:rsidRPr="00FA0D37">
              <w:rPr>
                <w:i/>
                <w:iCs/>
              </w:rPr>
              <w:t>bap-Config</w:t>
            </w:r>
            <w:r w:rsidR="003B3F65" w:rsidRPr="00FA0D37">
              <w:t xml:space="preserve"> and </w:t>
            </w:r>
            <w:r w:rsidR="003B3F65" w:rsidRPr="00FA0D37">
              <w:rPr>
                <w:i/>
                <w:iCs/>
              </w:rPr>
              <w:t>IAB-IP-AddressConfigurationList</w:t>
            </w:r>
            <w:r w:rsidRPr="00FA0D37">
              <w:rPr>
                <w:lang w:eastAsia="sv-SE"/>
              </w:rPr>
              <w:t>.</w:t>
            </w:r>
          </w:p>
          <w:p w14:paraId="2985CB54" w14:textId="77777777" w:rsidR="00394471" w:rsidRPr="00FA0D37" w:rsidRDefault="00394471" w:rsidP="00964CC4">
            <w:pPr>
              <w:pStyle w:val="TAL"/>
              <w:rPr>
                <w:bCs/>
                <w:noProof/>
                <w:lang w:eastAsia="en-GB"/>
              </w:rPr>
            </w:pPr>
            <w:r w:rsidRPr="00FA0D37">
              <w:rPr>
                <w:lang w:eastAsia="sv-SE"/>
              </w:rPr>
              <w:t xml:space="preserve">For NE-DC (eutra-SCG), </w:t>
            </w:r>
            <w:r w:rsidRPr="00FA0D37">
              <w:rPr>
                <w:i/>
                <w:lang w:eastAsia="sv-SE"/>
              </w:rPr>
              <w:t>mrdc-SecondaryCellGroup</w:t>
            </w:r>
            <w:r w:rsidRPr="00FA0D37">
              <w:rPr>
                <w:bCs/>
                <w:noProof/>
                <w:lang w:eastAsia="en-GB"/>
              </w:rPr>
              <w:t xml:space="preserve"> includes the E-UTRA </w:t>
            </w:r>
            <w:r w:rsidRPr="00FA0D37">
              <w:rPr>
                <w:bCs/>
                <w:i/>
                <w:noProof/>
                <w:lang w:eastAsia="en-GB"/>
              </w:rPr>
              <w:t>RRCConnectionReconfiguration</w:t>
            </w:r>
            <w:r w:rsidRPr="00FA0D37">
              <w:rPr>
                <w:bCs/>
                <w:noProof/>
                <w:lang w:eastAsia="en-GB"/>
              </w:rPr>
              <w:t xml:space="preserve"> message as specified in TS 36.331 [10].</w:t>
            </w:r>
            <w:r w:rsidRPr="00FA0D37">
              <w:rPr>
                <w:lang w:eastAsia="zh-CN"/>
              </w:rPr>
              <w:t xml:space="preserve"> In this version of the specification, the E-UTRA RRC message can only include the field </w:t>
            </w:r>
            <w:r w:rsidRPr="00FA0D37">
              <w:rPr>
                <w:i/>
                <w:lang w:eastAsia="zh-CN"/>
              </w:rPr>
              <w:t>scg-Configuration</w:t>
            </w:r>
            <w:r w:rsidRPr="00FA0D37">
              <w:rPr>
                <w:bCs/>
                <w:noProof/>
                <w:kern w:val="2"/>
                <w:lang w:eastAsia="zh-CN"/>
              </w:rPr>
              <w:t>.</w:t>
            </w:r>
          </w:p>
        </w:tc>
      </w:tr>
      <w:tr w:rsidR="005C7FF4" w:rsidRPr="00FA0D37" w14:paraId="15932444" w14:textId="77777777" w:rsidTr="00964CC4">
        <w:tc>
          <w:tcPr>
            <w:tcW w:w="14173" w:type="dxa"/>
            <w:tcBorders>
              <w:top w:val="single" w:sz="4" w:space="0" w:color="auto"/>
              <w:left w:val="single" w:sz="4" w:space="0" w:color="auto"/>
              <w:bottom w:val="single" w:sz="4" w:space="0" w:color="auto"/>
              <w:right w:val="single" w:sz="4" w:space="0" w:color="auto"/>
            </w:tcBorders>
          </w:tcPr>
          <w:p w14:paraId="736BECD5" w14:textId="77777777" w:rsidR="000F54BC" w:rsidRPr="00FA0D37" w:rsidRDefault="000F54BC" w:rsidP="000830BB">
            <w:pPr>
              <w:pStyle w:val="TAL"/>
              <w:rPr>
                <w:b/>
                <w:bCs/>
                <w:i/>
                <w:iCs/>
                <w:lang w:eastAsia="en-GB"/>
              </w:rPr>
            </w:pPr>
            <w:r w:rsidRPr="00FA0D37">
              <w:rPr>
                <w:b/>
                <w:bCs/>
                <w:i/>
                <w:iCs/>
                <w:lang w:eastAsia="en-GB"/>
              </w:rPr>
              <w:t>musim-GapConfig</w:t>
            </w:r>
          </w:p>
          <w:p w14:paraId="4D5373ED" w14:textId="51191C90" w:rsidR="000F54BC" w:rsidRPr="00FA0D37" w:rsidRDefault="000F54BC" w:rsidP="000F54BC">
            <w:pPr>
              <w:pStyle w:val="TAL"/>
              <w:rPr>
                <w:b/>
                <w:bCs/>
                <w:i/>
                <w:noProof/>
                <w:lang w:eastAsia="en-GB"/>
              </w:rPr>
            </w:pPr>
            <w:r w:rsidRPr="00FA0D37">
              <w:rPr>
                <w:bCs/>
                <w:lang w:eastAsia="en-GB"/>
              </w:rPr>
              <w:t>Indicates the MUSIM gap configuration and controls setup/release of MUSIM gaps.</w:t>
            </w:r>
            <w:r w:rsidR="0087588F" w:rsidRPr="00FA0D37">
              <w:rPr>
                <w:bCs/>
                <w:lang w:eastAsia="en-GB"/>
              </w:rPr>
              <w:t xml:space="preserve"> In this version of the specification, the network does not configure MUSIM gap together with concurrent measurement gap or preconfigured measurement gap for positioning.</w:t>
            </w:r>
          </w:p>
        </w:tc>
      </w:tr>
      <w:tr w:rsidR="005C7FF4" w:rsidRPr="00FA0D37" w14:paraId="4AB12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570517" w14:textId="77777777" w:rsidR="00394471" w:rsidRPr="00FA0D37" w:rsidRDefault="00394471" w:rsidP="00964CC4">
            <w:pPr>
              <w:pStyle w:val="TAL"/>
              <w:rPr>
                <w:b/>
                <w:bCs/>
                <w:i/>
                <w:noProof/>
                <w:lang w:eastAsia="en-GB"/>
              </w:rPr>
            </w:pPr>
            <w:r w:rsidRPr="00FA0D37">
              <w:rPr>
                <w:b/>
                <w:bCs/>
                <w:i/>
                <w:noProof/>
                <w:lang w:eastAsia="en-GB"/>
              </w:rPr>
              <w:t>nas-Container</w:t>
            </w:r>
          </w:p>
          <w:p w14:paraId="5E6B0524" w14:textId="77777777" w:rsidR="00394471" w:rsidRPr="00FA0D37" w:rsidRDefault="00394471" w:rsidP="00964CC4">
            <w:pPr>
              <w:pStyle w:val="TAL"/>
              <w:rPr>
                <w:b/>
                <w:i/>
                <w:szCs w:val="22"/>
                <w:lang w:eastAsia="sv-SE"/>
              </w:rPr>
            </w:pPr>
            <w:r w:rsidRPr="00FA0D37">
              <w:rPr>
                <w:bCs/>
                <w:noProof/>
                <w:lang w:eastAsia="en-GB"/>
              </w:rPr>
              <w:t xml:space="preserve">This field is used to </w:t>
            </w:r>
            <w:r w:rsidRPr="00FA0D37">
              <w:rPr>
                <w:lang w:eastAsia="en-GB"/>
              </w:rPr>
              <w:t>transfer</w:t>
            </w:r>
            <w:r w:rsidRPr="00FA0D37">
              <w:rPr>
                <w:iCs/>
                <w:lang w:eastAsia="en-GB"/>
              </w:rPr>
              <w:t xml:space="preserve"> UE specific NAS layer information between the network and the UE. The RRC layer is transparent for this field, although it affects activation of AS  security</w:t>
            </w:r>
            <w:r w:rsidRPr="00FA0D37">
              <w:rPr>
                <w:bCs/>
                <w:noProof/>
                <w:lang w:eastAsia="en-GB"/>
              </w:rPr>
              <w:t xml:space="preserve"> after inter-system handover to NR. The content is defined in TS 24.501 [23].</w:t>
            </w:r>
          </w:p>
        </w:tc>
      </w:tr>
      <w:tr w:rsidR="005C7FF4" w:rsidRPr="00FA0D37" w14:paraId="6E183511" w14:textId="77777777" w:rsidTr="00964CC4">
        <w:tc>
          <w:tcPr>
            <w:tcW w:w="14173" w:type="dxa"/>
            <w:tcBorders>
              <w:top w:val="single" w:sz="4" w:space="0" w:color="auto"/>
              <w:left w:val="single" w:sz="4" w:space="0" w:color="auto"/>
              <w:bottom w:val="single" w:sz="4" w:space="0" w:color="auto"/>
              <w:right w:val="single" w:sz="4" w:space="0" w:color="auto"/>
            </w:tcBorders>
          </w:tcPr>
          <w:p w14:paraId="087F9C3C" w14:textId="77777777" w:rsidR="00394471" w:rsidRPr="00FA0D37" w:rsidRDefault="00394471" w:rsidP="00964CC4">
            <w:pPr>
              <w:pStyle w:val="TAL"/>
              <w:rPr>
                <w:b/>
                <w:bCs/>
                <w:i/>
                <w:iCs/>
                <w:lang w:eastAsia="en-GB"/>
              </w:rPr>
            </w:pPr>
            <w:r w:rsidRPr="00FA0D37">
              <w:rPr>
                <w:b/>
                <w:bCs/>
                <w:i/>
                <w:iCs/>
                <w:lang w:eastAsia="en-GB"/>
              </w:rPr>
              <w:t>needForGapsConfigNR</w:t>
            </w:r>
          </w:p>
          <w:p w14:paraId="22994C7E" w14:textId="77777777" w:rsidR="00394471" w:rsidRPr="00FA0D37" w:rsidRDefault="00394471" w:rsidP="00964CC4">
            <w:pPr>
              <w:pStyle w:val="TAL"/>
              <w:rPr>
                <w:b/>
                <w:bCs/>
                <w:i/>
                <w:noProof/>
                <w:lang w:eastAsia="en-GB"/>
              </w:rPr>
            </w:pPr>
            <w:r w:rsidRPr="00FA0D37">
              <w:rPr>
                <w:bCs/>
                <w:noProof/>
                <w:lang w:eastAsia="en-GB"/>
              </w:rPr>
              <w:t xml:space="preserve">Configuration for the UE to report measurement gap requirement information of NR target bands in the </w:t>
            </w:r>
            <w:r w:rsidRPr="00FA0D37">
              <w:rPr>
                <w:bCs/>
                <w:i/>
                <w:noProof/>
                <w:lang w:eastAsia="en-GB"/>
              </w:rPr>
              <w:t>RRCReconfigurationComplete</w:t>
            </w:r>
            <w:r w:rsidRPr="00FA0D37">
              <w:rPr>
                <w:bCs/>
                <w:noProof/>
                <w:lang w:eastAsia="en-GB"/>
              </w:rPr>
              <w:t xml:space="preserve"> and </w:t>
            </w:r>
            <w:r w:rsidRPr="00FA0D37">
              <w:rPr>
                <w:bCs/>
                <w:i/>
                <w:noProof/>
                <w:lang w:eastAsia="en-GB"/>
              </w:rPr>
              <w:t>RRCResumeComplete</w:t>
            </w:r>
            <w:r w:rsidRPr="00FA0D37">
              <w:rPr>
                <w:bCs/>
                <w:noProof/>
                <w:lang w:eastAsia="en-GB"/>
              </w:rPr>
              <w:t xml:space="preserve"> message.</w:t>
            </w:r>
          </w:p>
        </w:tc>
      </w:tr>
      <w:tr w:rsidR="005C7FF4" w:rsidRPr="00FA0D37" w14:paraId="7CD850A6" w14:textId="77777777" w:rsidTr="00964CC4">
        <w:tc>
          <w:tcPr>
            <w:tcW w:w="14173" w:type="dxa"/>
            <w:tcBorders>
              <w:top w:val="single" w:sz="4" w:space="0" w:color="auto"/>
              <w:left w:val="single" w:sz="4" w:space="0" w:color="auto"/>
              <w:bottom w:val="single" w:sz="4" w:space="0" w:color="auto"/>
              <w:right w:val="single" w:sz="4" w:space="0" w:color="auto"/>
            </w:tcBorders>
          </w:tcPr>
          <w:p w14:paraId="5678B891" w14:textId="015E1E50" w:rsidR="00766157" w:rsidRPr="00FA0D37" w:rsidRDefault="00766157" w:rsidP="00766157">
            <w:pPr>
              <w:pStyle w:val="TAL"/>
              <w:rPr>
                <w:b/>
                <w:bCs/>
                <w:i/>
                <w:iCs/>
                <w:lang w:eastAsia="en-GB"/>
              </w:rPr>
            </w:pPr>
            <w:r w:rsidRPr="00FA0D37">
              <w:rPr>
                <w:b/>
                <w:bCs/>
                <w:i/>
                <w:iCs/>
                <w:lang w:eastAsia="en-GB"/>
              </w:rPr>
              <w:t>needFor</w:t>
            </w:r>
            <w:r w:rsidR="000668CD" w:rsidRPr="00FA0D37">
              <w:rPr>
                <w:b/>
                <w:bCs/>
                <w:i/>
                <w:iCs/>
                <w:lang w:eastAsia="en-GB"/>
              </w:rPr>
              <w:t>Gap</w:t>
            </w:r>
            <w:r w:rsidRPr="00FA0D37">
              <w:rPr>
                <w:b/>
                <w:bCs/>
                <w:i/>
                <w:iCs/>
                <w:lang w:eastAsia="en-GB"/>
              </w:rPr>
              <w:t>NCSG-ConfigEUTRA</w:t>
            </w:r>
          </w:p>
          <w:p w14:paraId="7C8B08AA" w14:textId="704D85FD" w:rsidR="00766157" w:rsidRPr="00FA0D37" w:rsidRDefault="00766157" w:rsidP="00766157">
            <w:pPr>
              <w:pStyle w:val="TAL"/>
              <w:rPr>
                <w:b/>
                <w:bCs/>
                <w:i/>
                <w:iCs/>
                <w:lang w:eastAsia="en-GB"/>
              </w:rPr>
            </w:pPr>
            <w:r w:rsidRPr="00FA0D37">
              <w:rPr>
                <w:bCs/>
                <w:noProof/>
                <w:lang w:eastAsia="en-GB"/>
              </w:rPr>
              <w:t>Configuration for the UE to report measurement gap and NCSG requirement information of E</w:t>
            </w:r>
            <w:r w:rsidRPr="00FA0D37">
              <w:rPr>
                <w:bCs/>
                <w:noProof/>
                <w:lang w:eastAsia="en-GB"/>
              </w:rPr>
              <w:noBreakHyphen/>
              <w:t xml:space="preserve">UTRA target bands in the </w:t>
            </w:r>
            <w:r w:rsidRPr="00FA0D37">
              <w:rPr>
                <w:bCs/>
                <w:i/>
                <w:noProof/>
                <w:lang w:eastAsia="en-GB"/>
              </w:rPr>
              <w:t>RRCReconfigurationComplete</w:t>
            </w:r>
            <w:r w:rsidRPr="00FA0D37">
              <w:rPr>
                <w:bCs/>
                <w:noProof/>
                <w:lang w:eastAsia="en-GB"/>
              </w:rPr>
              <w:t xml:space="preserve"> and </w:t>
            </w:r>
            <w:r w:rsidRPr="00FA0D37">
              <w:rPr>
                <w:bCs/>
                <w:i/>
                <w:noProof/>
                <w:lang w:eastAsia="en-GB"/>
              </w:rPr>
              <w:t>RRCResumeComplete</w:t>
            </w:r>
            <w:r w:rsidRPr="00FA0D37">
              <w:rPr>
                <w:bCs/>
                <w:noProof/>
                <w:lang w:eastAsia="en-GB"/>
              </w:rPr>
              <w:t xml:space="preserve"> message.</w:t>
            </w:r>
          </w:p>
        </w:tc>
      </w:tr>
      <w:tr w:rsidR="005C7FF4" w:rsidRPr="00FA0D37" w14:paraId="69F454CC" w14:textId="77777777" w:rsidTr="00964CC4">
        <w:tc>
          <w:tcPr>
            <w:tcW w:w="14173" w:type="dxa"/>
            <w:tcBorders>
              <w:top w:val="single" w:sz="4" w:space="0" w:color="auto"/>
              <w:left w:val="single" w:sz="4" w:space="0" w:color="auto"/>
              <w:bottom w:val="single" w:sz="4" w:space="0" w:color="auto"/>
              <w:right w:val="single" w:sz="4" w:space="0" w:color="auto"/>
            </w:tcBorders>
          </w:tcPr>
          <w:p w14:paraId="6BD6014C" w14:textId="2FE6BD4D" w:rsidR="00E616AE" w:rsidRPr="00FA0D37" w:rsidRDefault="00E616AE" w:rsidP="00E616AE">
            <w:pPr>
              <w:pStyle w:val="TAL"/>
              <w:rPr>
                <w:b/>
                <w:bCs/>
                <w:i/>
                <w:iCs/>
                <w:lang w:eastAsia="en-GB"/>
              </w:rPr>
            </w:pPr>
            <w:r w:rsidRPr="00FA0D37">
              <w:rPr>
                <w:b/>
                <w:bCs/>
                <w:i/>
                <w:iCs/>
                <w:lang w:eastAsia="en-GB"/>
              </w:rPr>
              <w:lastRenderedPageBreak/>
              <w:t>needFor</w:t>
            </w:r>
            <w:r w:rsidR="000668CD" w:rsidRPr="00FA0D37">
              <w:rPr>
                <w:b/>
                <w:bCs/>
                <w:i/>
                <w:iCs/>
                <w:lang w:eastAsia="en-GB"/>
              </w:rPr>
              <w:t>Gap</w:t>
            </w:r>
            <w:r w:rsidRPr="00FA0D37">
              <w:rPr>
                <w:b/>
                <w:bCs/>
                <w:i/>
                <w:iCs/>
                <w:lang w:eastAsia="en-GB"/>
              </w:rPr>
              <w:t>NCSG-ConfigNR</w:t>
            </w:r>
          </w:p>
          <w:p w14:paraId="198DA4B4" w14:textId="0BFCC144" w:rsidR="00E616AE" w:rsidRPr="00FA0D37" w:rsidRDefault="00E616AE" w:rsidP="00E616AE">
            <w:pPr>
              <w:pStyle w:val="TAL"/>
              <w:rPr>
                <w:b/>
                <w:bCs/>
                <w:i/>
                <w:iCs/>
                <w:lang w:eastAsia="en-GB"/>
              </w:rPr>
            </w:pPr>
            <w:r w:rsidRPr="00FA0D37">
              <w:rPr>
                <w:lang w:eastAsia="en-GB"/>
              </w:rPr>
              <w:t xml:space="preserve">Configuration for the UE to report </w:t>
            </w:r>
            <w:r w:rsidRPr="00FA0D37">
              <w:rPr>
                <w:bCs/>
                <w:noProof/>
                <w:lang w:eastAsia="en-GB"/>
              </w:rPr>
              <w:t>measurement gap</w:t>
            </w:r>
            <w:r w:rsidRPr="00FA0D37">
              <w:rPr>
                <w:lang w:eastAsia="en-GB"/>
              </w:rPr>
              <w:t xml:space="preserve"> and NCSG requirement information of NR target bands in the </w:t>
            </w:r>
            <w:r w:rsidRPr="00FA0D37">
              <w:rPr>
                <w:i/>
                <w:iCs/>
                <w:lang w:eastAsia="en-GB"/>
              </w:rPr>
              <w:t>RRCReconfigurationComplete</w:t>
            </w:r>
            <w:r w:rsidRPr="00FA0D37">
              <w:rPr>
                <w:lang w:eastAsia="en-GB"/>
              </w:rPr>
              <w:t xml:space="preserve"> and </w:t>
            </w:r>
            <w:r w:rsidRPr="00FA0D37">
              <w:rPr>
                <w:i/>
                <w:iCs/>
                <w:lang w:eastAsia="en-GB"/>
              </w:rPr>
              <w:t>RRCResumeComplete</w:t>
            </w:r>
            <w:r w:rsidRPr="00FA0D37">
              <w:rPr>
                <w:lang w:eastAsia="en-GB"/>
              </w:rPr>
              <w:t xml:space="preserve"> message.</w:t>
            </w:r>
          </w:p>
        </w:tc>
      </w:tr>
      <w:tr w:rsidR="005C7FF4" w:rsidRPr="00FA0D37" w14:paraId="23170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8CF54" w14:textId="77777777" w:rsidR="00394471" w:rsidRPr="00FA0D37" w:rsidRDefault="00394471" w:rsidP="00964CC4">
            <w:pPr>
              <w:pStyle w:val="TAL"/>
              <w:rPr>
                <w:b/>
                <w:i/>
                <w:lang w:eastAsia="en-GB"/>
              </w:rPr>
            </w:pPr>
            <w:r w:rsidRPr="00FA0D37">
              <w:rPr>
                <w:b/>
                <w:i/>
                <w:lang w:eastAsia="en-GB"/>
              </w:rPr>
              <w:t>nextHopChainingCount</w:t>
            </w:r>
          </w:p>
          <w:p w14:paraId="19F690A0" w14:textId="77777777" w:rsidR="00394471" w:rsidRPr="00FA0D37" w:rsidRDefault="00394471" w:rsidP="00964CC4">
            <w:pPr>
              <w:pStyle w:val="TAL"/>
              <w:rPr>
                <w:b/>
                <w:i/>
                <w:szCs w:val="22"/>
                <w:lang w:eastAsia="sv-SE"/>
              </w:rPr>
            </w:pPr>
            <w:r w:rsidRPr="00FA0D37">
              <w:rPr>
                <w:bCs/>
                <w:noProof/>
                <w:lang w:eastAsia="en-GB"/>
              </w:rPr>
              <w:t>Parameter NCC: See TS 33.501 [11]</w:t>
            </w:r>
          </w:p>
        </w:tc>
      </w:tr>
      <w:tr w:rsidR="005C7FF4" w:rsidRPr="00FA0D37" w14:paraId="3636F6BE" w14:textId="77777777" w:rsidTr="00964CC4">
        <w:tc>
          <w:tcPr>
            <w:tcW w:w="14173" w:type="dxa"/>
            <w:tcBorders>
              <w:top w:val="single" w:sz="4" w:space="0" w:color="auto"/>
              <w:left w:val="single" w:sz="4" w:space="0" w:color="auto"/>
              <w:bottom w:val="single" w:sz="4" w:space="0" w:color="auto"/>
              <w:right w:val="single" w:sz="4" w:space="0" w:color="auto"/>
            </w:tcBorders>
          </w:tcPr>
          <w:p w14:paraId="463695A8" w14:textId="77777777" w:rsidR="00394471" w:rsidRPr="00FA0D37" w:rsidRDefault="00394471" w:rsidP="00964CC4">
            <w:pPr>
              <w:pStyle w:val="TAL"/>
              <w:rPr>
                <w:b/>
                <w:bCs/>
                <w:i/>
                <w:iCs/>
              </w:rPr>
            </w:pPr>
            <w:r w:rsidRPr="00FA0D37">
              <w:rPr>
                <w:b/>
                <w:bCs/>
                <w:i/>
                <w:iCs/>
              </w:rPr>
              <w:t>onDemandSIB-Request</w:t>
            </w:r>
          </w:p>
          <w:p w14:paraId="371831B0" w14:textId="77777777" w:rsidR="00394471" w:rsidRPr="00FA0D37" w:rsidRDefault="00394471" w:rsidP="00964CC4">
            <w:pPr>
              <w:pStyle w:val="TAL"/>
              <w:rPr>
                <w:b/>
                <w:i/>
                <w:lang w:eastAsia="en-GB"/>
              </w:rPr>
            </w:pPr>
            <w:r w:rsidRPr="00FA0D37">
              <w:rPr>
                <w:noProof/>
              </w:rPr>
              <w:t>If the field is present, the UE is allowed to request SIB(s) on-demand while in RRC_CONNECTED according to clause 5.2.2.3.5.</w:t>
            </w:r>
          </w:p>
        </w:tc>
      </w:tr>
      <w:tr w:rsidR="005C7FF4" w:rsidRPr="00FA0D37" w14:paraId="0AC5CA2C" w14:textId="77777777" w:rsidTr="00964CC4">
        <w:tc>
          <w:tcPr>
            <w:tcW w:w="14173" w:type="dxa"/>
            <w:tcBorders>
              <w:top w:val="single" w:sz="4" w:space="0" w:color="auto"/>
              <w:left w:val="single" w:sz="4" w:space="0" w:color="auto"/>
              <w:bottom w:val="single" w:sz="4" w:space="0" w:color="auto"/>
              <w:right w:val="single" w:sz="4" w:space="0" w:color="auto"/>
            </w:tcBorders>
          </w:tcPr>
          <w:p w14:paraId="75A4ADA3" w14:textId="77777777" w:rsidR="00394471" w:rsidRPr="00FA0D37" w:rsidRDefault="00394471" w:rsidP="00964CC4">
            <w:pPr>
              <w:pStyle w:val="TAL"/>
              <w:rPr>
                <w:b/>
                <w:bCs/>
                <w:i/>
                <w:iCs/>
              </w:rPr>
            </w:pPr>
            <w:r w:rsidRPr="00FA0D37">
              <w:rPr>
                <w:b/>
                <w:bCs/>
                <w:i/>
                <w:iCs/>
              </w:rPr>
              <w:t>onDemandSIB-RequestProhibitTimer</w:t>
            </w:r>
          </w:p>
          <w:p w14:paraId="49A64585" w14:textId="77777777" w:rsidR="00394471" w:rsidRPr="00FA0D37" w:rsidRDefault="00394471" w:rsidP="00964CC4">
            <w:pPr>
              <w:pStyle w:val="TAL"/>
              <w:rPr>
                <w:b/>
                <w:i/>
                <w:lang w:eastAsia="en-GB"/>
              </w:rPr>
            </w:pPr>
            <w:r w:rsidRPr="00FA0D37">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5C7FF4" w:rsidRPr="00FA0D37" w14:paraId="660B1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9BF11" w14:textId="77777777" w:rsidR="00394471" w:rsidRPr="00FA0D37" w:rsidRDefault="00394471" w:rsidP="00964CC4">
            <w:pPr>
              <w:pStyle w:val="TAL"/>
              <w:rPr>
                <w:b/>
                <w:bCs/>
                <w:i/>
                <w:noProof/>
                <w:lang w:eastAsia="en-GB"/>
              </w:rPr>
            </w:pPr>
            <w:r w:rsidRPr="00FA0D37">
              <w:rPr>
                <w:b/>
                <w:bCs/>
                <w:i/>
                <w:noProof/>
                <w:lang w:eastAsia="en-GB"/>
              </w:rPr>
              <w:t>otherConfig</w:t>
            </w:r>
          </w:p>
          <w:p w14:paraId="0253DB27" w14:textId="7BCDD72B" w:rsidR="00394471" w:rsidRPr="00FA0D37" w:rsidRDefault="00394471" w:rsidP="00964CC4">
            <w:pPr>
              <w:pStyle w:val="TAL"/>
              <w:rPr>
                <w:bCs/>
                <w:noProof/>
                <w:lang w:eastAsia="en-GB"/>
              </w:rPr>
            </w:pPr>
            <w:r w:rsidRPr="00FA0D37">
              <w:rPr>
                <w:bCs/>
                <w:noProof/>
                <w:lang w:eastAsia="en-GB"/>
              </w:rPr>
              <w:t xml:space="preserve">Contains configuration related to other configurations. When configured for the SCG, only fields </w:t>
            </w:r>
            <w:r w:rsidRPr="00FA0D37">
              <w:rPr>
                <w:bCs/>
                <w:i/>
                <w:noProof/>
                <w:lang w:eastAsia="en-GB"/>
              </w:rPr>
              <w:t xml:space="preserve">drx-PreferenceConfig, maxBW-PreferenceConfig, </w:t>
            </w:r>
            <w:r w:rsidR="001538BE" w:rsidRPr="00FA0D37">
              <w:rPr>
                <w:bCs/>
                <w:i/>
                <w:noProof/>
                <w:lang w:eastAsia="en-GB"/>
              </w:rPr>
              <w:t xml:space="preserve">maxBW-PreferenceConfigFR2-2, </w:t>
            </w:r>
            <w:r w:rsidRPr="00FA0D37">
              <w:rPr>
                <w:bCs/>
                <w:i/>
                <w:noProof/>
                <w:lang w:eastAsia="en-GB"/>
              </w:rPr>
              <w:t>maxCC-PreferenceConfig, maxMIMO-LayerPreferenceConfig</w:t>
            </w:r>
            <w:r w:rsidR="006E301A" w:rsidRPr="00FA0D37">
              <w:rPr>
                <w:bCs/>
                <w:iCs/>
                <w:noProof/>
                <w:lang w:eastAsia="en-GB"/>
              </w:rPr>
              <w:t>,</w:t>
            </w:r>
            <w:r w:rsidRPr="00FA0D37">
              <w:rPr>
                <w:bCs/>
                <w:noProof/>
                <w:lang w:eastAsia="en-GB"/>
              </w:rPr>
              <w:t xml:space="preserve"> </w:t>
            </w:r>
            <w:r w:rsidR="001538BE" w:rsidRPr="00FA0D37">
              <w:rPr>
                <w:bCs/>
                <w:i/>
                <w:noProof/>
                <w:lang w:eastAsia="en-GB"/>
              </w:rPr>
              <w:t>maxMIMO-LayerPreferenceConfigFR2-2</w:t>
            </w:r>
            <w:r w:rsidR="001538BE" w:rsidRPr="00FA0D37">
              <w:rPr>
                <w:bCs/>
                <w:iCs/>
                <w:noProof/>
                <w:lang w:eastAsia="en-GB"/>
              </w:rPr>
              <w:t>,</w:t>
            </w:r>
            <w:r w:rsidR="001538BE" w:rsidRPr="00FA0D37">
              <w:rPr>
                <w:bCs/>
                <w:noProof/>
                <w:lang w:eastAsia="en-GB"/>
              </w:rPr>
              <w:t xml:space="preserve"> </w:t>
            </w:r>
            <w:r w:rsidRPr="00FA0D37">
              <w:rPr>
                <w:bCs/>
                <w:i/>
                <w:noProof/>
                <w:lang w:eastAsia="en-GB"/>
              </w:rPr>
              <w:t>minSchedulingOffsetPreferenceConfig</w:t>
            </w:r>
            <w:r w:rsidR="006E301A" w:rsidRPr="00FA0D37">
              <w:rPr>
                <w:bCs/>
                <w:i/>
                <w:noProof/>
                <w:lang w:eastAsia="en-GB"/>
              </w:rPr>
              <w:t xml:space="preserve">, </w:t>
            </w:r>
            <w:r w:rsidR="001538BE" w:rsidRPr="00FA0D37">
              <w:rPr>
                <w:bCs/>
                <w:i/>
                <w:noProof/>
                <w:lang w:eastAsia="en-GB"/>
              </w:rPr>
              <w:t>minSchedulingOffsetPreferenceConfigExt,</w:t>
            </w:r>
            <w:r w:rsidR="001538BE" w:rsidRPr="00FA0D37">
              <w:rPr>
                <w:rFonts w:eastAsia="宋体"/>
                <w:bCs/>
                <w:i/>
              </w:rPr>
              <w:t xml:space="preserve"> </w:t>
            </w:r>
            <w:r w:rsidR="00741C84" w:rsidRPr="00FA0D37">
              <w:rPr>
                <w:rFonts w:eastAsia="宋体"/>
                <w:bCs/>
                <w:i/>
              </w:rPr>
              <w:t xml:space="preserve">rlm-RelaxationReportingConfig, bfd-RelaxationReportingConfig, </w:t>
            </w:r>
            <w:r w:rsidR="006E301A" w:rsidRPr="00FA0D37">
              <w:rPr>
                <w:rFonts w:eastAsia="宋体"/>
                <w:bCs/>
                <w:i/>
              </w:rPr>
              <w:t>btNameList, wlanNameList, sensorNameList</w:t>
            </w:r>
            <w:r w:rsidRPr="00FA0D37">
              <w:rPr>
                <w:bCs/>
                <w:noProof/>
                <w:lang w:eastAsia="en-GB"/>
              </w:rPr>
              <w:t xml:space="preserve"> </w:t>
            </w:r>
            <w:r w:rsidR="006E301A" w:rsidRPr="00FA0D37">
              <w:rPr>
                <w:bCs/>
                <w:noProof/>
                <w:lang w:eastAsia="en-GB"/>
              </w:rPr>
              <w:t xml:space="preserve">and </w:t>
            </w:r>
            <w:r w:rsidR="006E301A" w:rsidRPr="00FA0D37">
              <w:rPr>
                <w:rFonts w:eastAsia="宋体"/>
                <w:bCs/>
                <w:i/>
              </w:rPr>
              <w:t>obtainCommonLocation</w:t>
            </w:r>
            <w:r w:rsidR="006E301A" w:rsidRPr="00FA0D37">
              <w:rPr>
                <w:bCs/>
                <w:noProof/>
                <w:lang w:eastAsia="en-GB"/>
              </w:rPr>
              <w:t xml:space="preserve"> </w:t>
            </w:r>
            <w:r w:rsidRPr="00FA0D37">
              <w:rPr>
                <w:bCs/>
                <w:noProof/>
                <w:lang w:eastAsia="en-GB"/>
              </w:rPr>
              <w:t>can be included.</w:t>
            </w:r>
          </w:p>
        </w:tc>
      </w:tr>
      <w:tr w:rsidR="005C7FF4" w:rsidRPr="00FA0D37" w14:paraId="069A1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916E8E" w14:textId="77777777" w:rsidR="00394471" w:rsidRPr="00FA0D37" w:rsidRDefault="00394471" w:rsidP="00964CC4">
            <w:pPr>
              <w:pStyle w:val="TAL"/>
              <w:rPr>
                <w:szCs w:val="22"/>
                <w:lang w:eastAsia="sv-SE"/>
              </w:rPr>
            </w:pPr>
            <w:r w:rsidRPr="00FA0D37">
              <w:rPr>
                <w:b/>
                <w:i/>
                <w:szCs w:val="22"/>
                <w:lang w:eastAsia="sv-SE"/>
              </w:rPr>
              <w:t>radioBearerConfig</w:t>
            </w:r>
          </w:p>
          <w:p w14:paraId="534B30C0" w14:textId="5608C4D5" w:rsidR="00394471" w:rsidRPr="00FA0D37" w:rsidRDefault="00394471" w:rsidP="00964CC4">
            <w:pPr>
              <w:pStyle w:val="TAL"/>
              <w:rPr>
                <w:szCs w:val="22"/>
                <w:lang w:eastAsia="sv-SE"/>
              </w:rPr>
            </w:pPr>
            <w:r w:rsidRPr="00FA0D37">
              <w:rPr>
                <w:szCs w:val="22"/>
                <w:lang w:eastAsia="sv-SE"/>
              </w:rPr>
              <w:t>Configuration of Radio Bearers (DRBs, SRBs</w:t>
            </w:r>
            <w:r w:rsidR="00214323" w:rsidRPr="00FA0D37">
              <w:rPr>
                <w:szCs w:val="22"/>
                <w:lang w:eastAsia="sv-SE"/>
              </w:rPr>
              <w:t>, multicast MRBs</w:t>
            </w:r>
            <w:r w:rsidRPr="00FA0D37">
              <w:rPr>
                <w:szCs w:val="22"/>
                <w:lang w:eastAsia="sv-SE"/>
              </w:rPr>
              <w:t xml:space="preserve">) including SDAP/PDCP. In </w:t>
            </w:r>
            <w:r w:rsidR="00B822E7" w:rsidRPr="00FA0D37">
              <w:rPr>
                <w:szCs w:val="22"/>
                <w:lang w:eastAsia="sv-SE"/>
              </w:rPr>
              <w:t>(NG)</w:t>
            </w:r>
            <w:r w:rsidRPr="00FA0D37">
              <w:rPr>
                <w:szCs w:val="22"/>
                <w:lang w:eastAsia="sv-SE"/>
              </w:rPr>
              <w:t xml:space="preserve">EN-DC this field may only be present if the </w:t>
            </w:r>
            <w:r w:rsidRPr="00FA0D37">
              <w:rPr>
                <w:i/>
                <w:lang w:eastAsia="sv-SE"/>
              </w:rPr>
              <w:t>RRCReconfiguration</w:t>
            </w:r>
            <w:r w:rsidRPr="00FA0D37">
              <w:rPr>
                <w:szCs w:val="22"/>
                <w:lang w:eastAsia="sv-SE"/>
              </w:rPr>
              <w:t xml:space="preserve"> is transmitted over SRB3.</w:t>
            </w:r>
            <w:r w:rsidR="00095C80" w:rsidRPr="00FA0D37">
              <w:rPr>
                <w:szCs w:val="22"/>
                <w:lang w:eastAsia="sv-SE"/>
              </w:rPr>
              <w:t xml:space="preserve"> SRB4 should not be configured if </w:t>
            </w:r>
            <w:r w:rsidR="00095C80" w:rsidRPr="00FA0D37">
              <w:rPr>
                <w:i/>
                <w:iCs/>
              </w:rPr>
              <w:t xml:space="preserve">sl-L2RemoteUE-Config-r17 </w:t>
            </w:r>
            <w:r w:rsidR="00095C80" w:rsidRPr="00FA0D37">
              <w:t>is configured or not released.</w:t>
            </w:r>
          </w:p>
        </w:tc>
      </w:tr>
      <w:tr w:rsidR="005C7FF4" w:rsidRPr="00FA0D37" w14:paraId="738BA4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603980" w14:textId="77777777" w:rsidR="00394471" w:rsidRPr="00FA0D37" w:rsidRDefault="00394471" w:rsidP="00964CC4">
            <w:pPr>
              <w:pStyle w:val="TAL"/>
              <w:rPr>
                <w:b/>
                <w:i/>
                <w:szCs w:val="22"/>
                <w:lang w:eastAsia="sv-SE"/>
              </w:rPr>
            </w:pPr>
            <w:r w:rsidRPr="00FA0D37">
              <w:rPr>
                <w:b/>
                <w:i/>
                <w:szCs w:val="22"/>
                <w:lang w:eastAsia="sv-SE"/>
              </w:rPr>
              <w:t>radioBearerConfig2</w:t>
            </w:r>
          </w:p>
          <w:p w14:paraId="668ABD43" w14:textId="77777777" w:rsidR="00394471" w:rsidRPr="00FA0D37" w:rsidRDefault="00394471" w:rsidP="00964CC4">
            <w:pPr>
              <w:pStyle w:val="TAL"/>
              <w:rPr>
                <w:szCs w:val="22"/>
                <w:lang w:eastAsia="sv-SE"/>
              </w:rPr>
            </w:pPr>
            <w:r w:rsidRPr="00FA0D37">
              <w:rPr>
                <w:szCs w:val="22"/>
                <w:lang w:eastAsia="sv-SE"/>
              </w:rPr>
              <w:t>Configuration of Radio Bearers (DRBs, SRBs) including SDAP/PDCP. This field can only be used if the UE supports NR-DC or NE-DC.</w:t>
            </w:r>
          </w:p>
        </w:tc>
      </w:tr>
      <w:tr w:rsidR="005C7FF4" w:rsidRPr="00FA0D37" w14:paraId="696D032A" w14:textId="77777777" w:rsidTr="00771058">
        <w:tc>
          <w:tcPr>
            <w:tcW w:w="14173" w:type="dxa"/>
            <w:tcBorders>
              <w:top w:val="single" w:sz="4" w:space="0" w:color="auto"/>
              <w:left w:val="single" w:sz="4" w:space="0" w:color="auto"/>
              <w:bottom w:val="single" w:sz="4" w:space="0" w:color="auto"/>
              <w:right w:val="single" w:sz="4" w:space="0" w:color="auto"/>
            </w:tcBorders>
          </w:tcPr>
          <w:p w14:paraId="1957FB2B" w14:textId="77777777" w:rsidR="00DB6B82" w:rsidRPr="00FA0D37" w:rsidRDefault="00DB6B82" w:rsidP="00771058">
            <w:pPr>
              <w:pStyle w:val="TAL"/>
              <w:rPr>
                <w:b/>
                <w:i/>
                <w:szCs w:val="22"/>
                <w:lang w:eastAsia="sv-SE"/>
              </w:rPr>
            </w:pPr>
            <w:r w:rsidRPr="00FA0D37">
              <w:rPr>
                <w:b/>
                <w:i/>
                <w:szCs w:val="22"/>
                <w:lang w:eastAsia="sv-SE"/>
              </w:rPr>
              <w:t>scg-State</w:t>
            </w:r>
          </w:p>
          <w:p w14:paraId="0A53B337" w14:textId="77777777" w:rsidR="003431E3" w:rsidRPr="00FA0D37" w:rsidRDefault="00DB6B82" w:rsidP="00771058">
            <w:pPr>
              <w:pStyle w:val="TAL"/>
              <w:rPr>
                <w:szCs w:val="22"/>
                <w:lang w:eastAsia="sv-SE"/>
              </w:rPr>
            </w:pPr>
            <w:r w:rsidRPr="00FA0D37">
              <w:rPr>
                <w:szCs w:val="22"/>
                <w:lang w:eastAsia="sv-SE"/>
              </w:rPr>
              <w:t>Indicates that the SCG is in deactivated state.</w:t>
            </w:r>
          </w:p>
          <w:p w14:paraId="7821475A" w14:textId="182D1891" w:rsidR="003431E3" w:rsidRPr="00FA0D37" w:rsidRDefault="003431E3" w:rsidP="003431E3">
            <w:pPr>
              <w:pStyle w:val="TAL"/>
              <w:rPr>
                <w:szCs w:val="22"/>
                <w:lang w:eastAsia="sv-SE"/>
              </w:rPr>
            </w:pPr>
            <w:r w:rsidRPr="00FA0D37">
              <w:rPr>
                <w:szCs w:val="22"/>
                <w:lang w:eastAsia="sv-SE"/>
              </w:rPr>
              <w:t>This field is not used</w:t>
            </w:r>
          </w:p>
          <w:p w14:paraId="2FBB4461" w14:textId="162CDA1B" w:rsidR="003431E3" w:rsidRPr="00FA0D37" w:rsidRDefault="003431E3" w:rsidP="00DD246F">
            <w:pPr>
              <w:pStyle w:val="TAL"/>
              <w:ind w:left="596" w:hanging="283"/>
              <w:rPr>
                <w:szCs w:val="22"/>
                <w:lang w:eastAsia="sv-SE"/>
              </w:rPr>
            </w:pPr>
            <w:r w:rsidRPr="00FA0D37">
              <w:rPr>
                <w:szCs w:val="22"/>
                <w:lang w:eastAsia="sv-SE"/>
              </w:rPr>
              <w:t>-</w:t>
            </w:r>
            <w:r w:rsidRPr="00FA0D37">
              <w:rPr>
                <w:szCs w:val="22"/>
                <w:lang w:eastAsia="sv-SE"/>
              </w:rPr>
              <w:tab/>
              <w:t xml:space="preserve">in an </w:t>
            </w:r>
            <w:r w:rsidRPr="00FA0D37">
              <w:rPr>
                <w:i/>
                <w:iCs/>
                <w:szCs w:val="22"/>
                <w:lang w:eastAsia="sv-SE"/>
              </w:rPr>
              <w:t>RRCReconfiguration</w:t>
            </w:r>
            <w:r w:rsidRPr="00FA0D37">
              <w:rPr>
                <w:szCs w:val="22"/>
                <w:lang w:eastAsia="sv-SE"/>
              </w:rPr>
              <w:t xml:space="preserve"> message received:</w:t>
            </w:r>
          </w:p>
          <w:p w14:paraId="3E3AFA4E" w14:textId="4372CBE9" w:rsidR="003431E3" w:rsidRPr="00FA0D37" w:rsidRDefault="003431E3" w:rsidP="00DD246F">
            <w:pPr>
              <w:pStyle w:val="TAL"/>
              <w:ind w:left="880" w:hanging="283"/>
              <w:rPr>
                <w:szCs w:val="22"/>
                <w:lang w:eastAsia="sv-SE"/>
              </w:rPr>
            </w:pPr>
            <w:r w:rsidRPr="00FA0D37">
              <w:rPr>
                <w:szCs w:val="22"/>
                <w:lang w:eastAsia="sv-SE"/>
              </w:rPr>
              <w:t>-</w:t>
            </w:r>
            <w:r w:rsidRPr="00FA0D37">
              <w:rPr>
                <w:szCs w:val="22"/>
                <w:lang w:eastAsia="sv-SE"/>
              </w:rPr>
              <w:tab/>
              <w:t xml:space="preserve">within </w:t>
            </w:r>
            <w:r w:rsidRPr="00FA0D37">
              <w:rPr>
                <w:i/>
                <w:iCs/>
                <w:szCs w:val="22"/>
                <w:lang w:eastAsia="sv-SE"/>
              </w:rPr>
              <w:t>mrdc-SecondaryCellGroup</w:t>
            </w:r>
            <w:r w:rsidRPr="00FA0D37">
              <w:rPr>
                <w:szCs w:val="22"/>
                <w:lang w:eastAsia="sv-SE"/>
              </w:rPr>
              <w:t>, or</w:t>
            </w:r>
          </w:p>
          <w:p w14:paraId="77A15D98" w14:textId="58E5857B" w:rsidR="003431E3" w:rsidRPr="00FA0D37" w:rsidRDefault="003431E3" w:rsidP="00DD246F">
            <w:pPr>
              <w:pStyle w:val="TAL"/>
              <w:ind w:left="880" w:hanging="283"/>
              <w:rPr>
                <w:szCs w:val="22"/>
                <w:lang w:eastAsia="sv-SE"/>
              </w:rPr>
            </w:pPr>
            <w:r w:rsidRPr="00FA0D37">
              <w:rPr>
                <w:szCs w:val="22"/>
                <w:lang w:eastAsia="sv-SE"/>
              </w:rPr>
              <w:t>-</w:t>
            </w:r>
            <w:r w:rsidRPr="00FA0D37">
              <w:rPr>
                <w:szCs w:val="22"/>
                <w:lang w:eastAsia="sv-SE"/>
              </w:rPr>
              <w:tab/>
              <w:t xml:space="preserve">in an E-UTRA </w:t>
            </w:r>
            <w:r w:rsidRPr="00FA0D37">
              <w:rPr>
                <w:i/>
                <w:iCs/>
                <w:szCs w:val="22"/>
                <w:lang w:eastAsia="sv-SE"/>
              </w:rPr>
              <w:t>RRCConnectionReconfiguration</w:t>
            </w:r>
            <w:r w:rsidRPr="00FA0D37">
              <w:rPr>
                <w:szCs w:val="22"/>
                <w:lang w:eastAsia="sv-SE"/>
              </w:rPr>
              <w:t xml:space="preserve"> message, or</w:t>
            </w:r>
          </w:p>
          <w:p w14:paraId="04909991" w14:textId="4B01D6D9" w:rsidR="003431E3" w:rsidRPr="00FA0D37" w:rsidRDefault="003431E3" w:rsidP="00DD246F">
            <w:pPr>
              <w:pStyle w:val="TAL"/>
              <w:ind w:left="880" w:hanging="283"/>
              <w:rPr>
                <w:szCs w:val="22"/>
                <w:lang w:eastAsia="sv-SE"/>
              </w:rPr>
            </w:pPr>
            <w:r w:rsidRPr="00FA0D37">
              <w:rPr>
                <w:szCs w:val="22"/>
                <w:lang w:eastAsia="sv-SE"/>
              </w:rPr>
              <w:t>-</w:t>
            </w:r>
            <w:r w:rsidRPr="00FA0D37">
              <w:rPr>
                <w:szCs w:val="22"/>
                <w:lang w:eastAsia="sv-SE"/>
              </w:rPr>
              <w:tab/>
              <w:t xml:space="preserve">in an E-UTRA </w:t>
            </w:r>
            <w:r w:rsidRPr="00FA0D37">
              <w:rPr>
                <w:i/>
                <w:iCs/>
                <w:szCs w:val="22"/>
                <w:lang w:eastAsia="sv-SE"/>
              </w:rPr>
              <w:t>RRCConnectionResume</w:t>
            </w:r>
            <w:r w:rsidRPr="00FA0D37">
              <w:rPr>
                <w:szCs w:val="22"/>
                <w:lang w:eastAsia="sv-SE"/>
              </w:rPr>
              <w:t xml:space="preserve"> message or</w:t>
            </w:r>
          </w:p>
          <w:p w14:paraId="3A600134" w14:textId="77777777" w:rsidR="003431E3" w:rsidRPr="00FA0D37" w:rsidRDefault="003431E3" w:rsidP="00DD246F">
            <w:pPr>
              <w:pStyle w:val="TAL"/>
              <w:ind w:left="596" w:hanging="283"/>
              <w:rPr>
                <w:szCs w:val="22"/>
                <w:lang w:eastAsia="sv-SE"/>
              </w:rPr>
            </w:pPr>
            <w:r w:rsidRPr="00FA0D37">
              <w:rPr>
                <w:szCs w:val="22"/>
                <w:lang w:eastAsia="sv-SE"/>
              </w:rPr>
              <w:t>-</w:t>
            </w:r>
            <w:r w:rsidRPr="00FA0D37">
              <w:rPr>
                <w:szCs w:val="22"/>
                <w:lang w:eastAsia="sv-SE"/>
              </w:rPr>
              <w:tab/>
              <w:t xml:space="preserve">in an </w:t>
            </w:r>
            <w:r w:rsidRPr="00FA0D37">
              <w:rPr>
                <w:i/>
                <w:iCs/>
                <w:szCs w:val="22"/>
                <w:lang w:eastAsia="sv-SE"/>
              </w:rPr>
              <w:t>RRCReconfiguration</w:t>
            </w:r>
            <w:r w:rsidRPr="00FA0D37">
              <w:rPr>
                <w:szCs w:val="22"/>
                <w:lang w:eastAsia="sv-SE"/>
              </w:rPr>
              <w:t xml:space="preserve"> message received via SRB3, except if the </w:t>
            </w:r>
            <w:r w:rsidRPr="00FA0D37">
              <w:rPr>
                <w:i/>
                <w:iCs/>
                <w:szCs w:val="22"/>
                <w:lang w:eastAsia="sv-SE"/>
              </w:rPr>
              <w:t>RRCReconfiguration</w:t>
            </w:r>
            <w:r w:rsidRPr="00FA0D37">
              <w:rPr>
                <w:szCs w:val="22"/>
                <w:lang w:eastAsia="sv-SE"/>
              </w:rPr>
              <w:t xml:space="preserve"> message is included in </w:t>
            </w:r>
            <w:r w:rsidRPr="00FA0D37">
              <w:rPr>
                <w:i/>
                <w:iCs/>
                <w:szCs w:val="22"/>
                <w:lang w:eastAsia="sv-SE"/>
              </w:rPr>
              <w:t>DLInformationTransferMRDC</w:t>
            </w:r>
            <w:r w:rsidRPr="00FA0D37">
              <w:rPr>
                <w:szCs w:val="22"/>
                <w:lang w:eastAsia="sv-SE"/>
              </w:rPr>
              <w:t>.</w:t>
            </w:r>
          </w:p>
          <w:p w14:paraId="5F4B5E49" w14:textId="62CC0AF8" w:rsidR="00DB6B82" w:rsidRPr="00FA0D37" w:rsidRDefault="00DB6B82" w:rsidP="00771058">
            <w:pPr>
              <w:pStyle w:val="TAL"/>
              <w:rPr>
                <w:szCs w:val="22"/>
                <w:lang w:eastAsia="sv-SE"/>
              </w:rPr>
            </w:pPr>
            <w:r w:rsidRPr="00FA0D37">
              <w:rPr>
                <w:szCs w:val="22"/>
                <w:lang w:eastAsia="sv-SE"/>
              </w:rPr>
              <w:t xml:space="preserve">The field is absent if CPA or CPC is configured for the UE, or if the </w:t>
            </w:r>
            <w:r w:rsidRPr="00FA0D37">
              <w:rPr>
                <w:i/>
                <w:szCs w:val="22"/>
                <w:lang w:eastAsia="sv-SE"/>
              </w:rPr>
              <w:t>RRCReconfiguration</w:t>
            </w:r>
            <w:r w:rsidRPr="00FA0D37">
              <w:rPr>
                <w:szCs w:val="22"/>
                <w:lang w:eastAsia="sv-SE"/>
              </w:rPr>
              <w:t xml:space="preserve"> message is contained in </w:t>
            </w:r>
            <w:r w:rsidRPr="00FA0D37">
              <w:rPr>
                <w:i/>
                <w:szCs w:val="22"/>
                <w:lang w:eastAsia="sv-SE"/>
              </w:rPr>
              <w:t>CondRRCReconfig</w:t>
            </w:r>
            <w:r w:rsidRPr="00FA0D37">
              <w:rPr>
                <w:szCs w:val="22"/>
                <w:lang w:eastAsia="sv-SE"/>
              </w:rPr>
              <w:t>.</w:t>
            </w:r>
          </w:p>
        </w:tc>
      </w:tr>
      <w:tr w:rsidR="005C7FF4" w:rsidRPr="00FA0D37" w14:paraId="4C6FC9A0" w14:textId="77777777" w:rsidTr="00771058">
        <w:tc>
          <w:tcPr>
            <w:tcW w:w="14173" w:type="dxa"/>
            <w:tcBorders>
              <w:top w:val="single" w:sz="4" w:space="0" w:color="auto"/>
              <w:left w:val="single" w:sz="4" w:space="0" w:color="auto"/>
              <w:bottom w:val="single" w:sz="4" w:space="0" w:color="auto"/>
              <w:right w:val="single" w:sz="4" w:space="0" w:color="auto"/>
            </w:tcBorders>
          </w:tcPr>
          <w:p w14:paraId="070A7678" w14:textId="20A50A41" w:rsidR="00FB7455" w:rsidRPr="00FA0D37" w:rsidRDefault="00FB7455" w:rsidP="000830BB">
            <w:pPr>
              <w:pStyle w:val="TAL"/>
              <w:rPr>
                <w:b/>
                <w:bCs/>
                <w:i/>
                <w:iCs/>
                <w:lang w:eastAsia="sv-SE"/>
              </w:rPr>
            </w:pPr>
            <w:r w:rsidRPr="00FA0D37">
              <w:rPr>
                <w:b/>
                <w:bCs/>
                <w:i/>
                <w:iCs/>
                <w:lang w:eastAsia="sv-SE"/>
              </w:rPr>
              <w:t>sl-L2RelayUE</w:t>
            </w:r>
            <w:r w:rsidR="002D76C2" w:rsidRPr="00FA0D37">
              <w:rPr>
                <w:b/>
                <w:bCs/>
                <w:i/>
                <w:iCs/>
                <w:lang w:eastAsia="sv-SE"/>
              </w:rPr>
              <w:t>-</w:t>
            </w:r>
            <w:r w:rsidRPr="00FA0D37">
              <w:rPr>
                <w:b/>
                <w:bCs/>
                <w:i/>
                <w:iCs/>
                <w:lang w:eastAsia="sv-SE"/>
              </w:rPr>
              <w:t>Config</w:t>
            </w:r>
          </w:p>
          <w:p w14:paraId="376F85E1" w14:textId="1D0505F1" w:rsidR="00FB7455" w:rsidRPr="00FA0D37" w:rsidRDefault="00FB7455" w:rsidP="00771058">
            <w:pPr>
              <w:pStyle w:val="TAL"/>
              <w:rPr>
                <w:b/>
                <w:i/>
                <w:szCs w:val="22"/>
                <w:lang w:eastAsia="sv-SE"/>
              </w:rPr>
            </w:pPr>
            <w:r w:rsidRPr="00FA0D37">
              <w:rPr>
                <w:szCs w:val="22"/>
                <w:lang w:eastAsia="sv-SE"/>
              </w:rPr>
              <w:t xml:space="preserve">Contains L2 U2N relay operation related configurations used by </w:t>
            </w:r>
            <w:r w:rsidR="002D76C2" w:rsidRPr="00FA0D37">
              <w:rPr>
                <w:szCs w:val="22"/>
                <w:lang w:eastAsia="sv-SE"/>
              </w:rPr>
              <w:t xml:space="preserve">a UE acting as or to be acting as a </w:t>
            </w:r>
            <w:r w:rsidRPr="00FA0D37">
              <w:rPr>
                <w:szCs w:val="22"/>
                <w:lang w:eastAsia="sv-SE"/>
              </w:rPr>
              <w:t>L2 U2N Relay UE.</w:t>
            </w:r>
            <w:r w:rsidR="002D76C2" w:rsidRPr="00FA0D37">
              <w:rPr>
                <w:szCs w:val="22"/>
                <w:lang w:eastAsia="sv-SE"/>
              </w:rPr>
              <w:t xml:space="preserve"> </w:t>
            </w:r>
            <w:r w:rsidR="002D76C2" w:rsidRPr="00FA0D37">
              <w:rPr>
                <w:bCs/>
                <w:lang w:eastAsia="en-GB"/>
              </w:rPr>
              <w:t xml:space="preserve">The field is absent if </w:t>
            </w:r>
            <w:r w:rsidR="002D76C2" w:rsidRPr="00FA0D37">
              <w:rPr>
                <w:bCs/>
                <w:i/>
                <w:lang w:eastAsia="en-GB"/>
              </w:rPr>
              <w:t>conditionalReconfiguration</w:t>
            </w:r>
            <w:r w:rsidR="002D76C2" w:rsidRPr="00FA0D37">
              <w:rPr>
                <w:bCs/>
                <w:lang w:eastAsia="en-GB"/>
              </w:rPr>
              <w:t xml:space="preserve"> is configured for CHO.</w:t>
            </w:r>
          </w:p>
        </w:tc>
      </w:tr>
      <w:tr w:rsidR="005C7FF4" w:rsidRPr="00FA0D37" w14:paraId="2317F4F9" w14:textId="77777777" w:rsidTr="00771058">
        <w:tc>
          <w:tcPr>
            <w:tcW w:w="14173" w:type="dxa"/>
            <w:tcBorders>
              <w:top w:val="single" w:sz="4" w:space="0" w:color="auto"/>
              <w:left w:val="single" w:sz="4" w:space="0" w:color="auto"/>
              <w:bottom w:val="single" w:sz="4" w:space="0" w:color="auto"/>
              <w:right w:val="single" w:sz="4" w:space="0" w:color="auto"/>
            </w:tcBorders>
          </w:tcPr>
          <w:p w14:paraId="7796E480" w14:textId="76872AD7" w:rsidR="00FB7455" w:rsidRPr="00FA0D37" w:rsidRDefault="00FB7455" w:rsidP="000830BB">
            <w:pPr>
              <w:pStyle w:val="TAL"/>
              <w:rPr>
                <w:b/>
                <w:bCs/>
                <w:i/>
                <w:iCs/>
                <w:lang w:eastAsia="sv-SE"/>
              </w:rPr>
            </w:pPr>
            <w:r w:rsidRPr="00FA0D37">
              <w:rPr>
                <w:b/>
                <w:bCs/>
                <w:i/>
                <w:iCs/>
                <w:lang w:eastAsia="sv-SE"/>
              </w:rPr>
              <w:t>sl-L2RemoteUE</w:t>
            </w:r>
            <w:r w:rsidR="002D76C2" w:rsidRPr="00FA0D37">
              <w:rPr>
                <w:b/>
                <w:bCs/>
                <w:i/>
                <w:iCs/>
                <w:lang w:eastAsia="sv-SE"/>
              </w:rPr>
              <w:t>-</w:t>
            </w:r>
            <w:r w:rsidRPr="00FA0D37">
              <w:rPr>
                <w:b/>
                <w:bCs/>
                <w:i/>
                <w:iCs/>
                <w:lang w:eastAsia="sv-SE"/>
              </w:rPr>
              <w:t>Config</w:t>
            </w:r>
          </w:p>
          <w:p w14:paraId="72C8F97C" w14:textId="1F633715" w:rsidR="00FB7455" w:rsidRPr="00FA0D37" w:rsidRDefault="00FB7455" w:rsidP="00771058">
            <w:pPr>
              <w:pStyle w:val="TAL"/>
              <w:rPr>
                <w:b/>
                <w:i/>
                <w:szCs w:val="22"/>
                <w:lang w:eastAsia="sv-SE"/>
              </w:rPr>
            </w:pPr>
            <w:r w:rsidRPr="00FA0D37">
              <w:rPr>
                <w:szCs w:val="22"/>
                <w:lang w:eastAsia="sv-SE"/>
              </w:rPr>
              <w:t xml:space="preserve">Contains L2 U2N relay operation related configurations used by </w:t>
            </w:r>
            <w:r w:rsidR="002D76C2" w:rsidRPr="00FA0D37">
              <w:rPr>
                <w:szCs w:val="22"/>
                <w:lang w:eastAsia="sv-SE"/>
              </w:rPr>
              <w:t xml:space="preserve">a UE acting as or to be acting as a </w:t>
            </w:r>
            <w:r w:rsidRPr="00FA0D37">
              <w:rPr>
                <w:szCs w:val="22"/>
                <w:lang w:eastAsia="sv-SE"/>
              </w:rPr>
              <w:t>L2 U2N Remote UE.</w:t>
            </w:r>
            <w:r w:rsidR="002D76C2" w:rsidRPr="00FA0D37">
              <w:rPr>
                <w:bCs/>
                <w:lang w:eastAsia="en-GB"/>
              </w:rPr>
              <w:t xml:space="preserve"> The field is absent if </w:t>
            </w:r>
            <w:r w:rsidR="002D76C2" w:rsidRPr="00FA0D37">
              <w:rPr>
                <w:bCs/>
                <w:i/>
                <w:lang w:eastAsia="en-GB"/>
              </w:rPr>
              <w:t>conditionalReconfiguration</w:t>
            </w:r>
            <w:r w:rsidR="002D76C2" w:rsidRPr="00FA0D37">
              <w:rPr>
                <w:bCs/>
                <w:lang w:eastAsia="en-GB"/>
              </w:rPr>
              <w:t xml:space="preserve"> is configured for CHO</w:t>
            </w:r>
            <w:r w:rsidR="00984519" w:rsidRPr="00FA0D37">
              <w:rPr>
                <w:rFonts w:cs="Arial"/>
                <w:bCs/>
                <w:lang w:eastAsia="en-GB"/>
              </w:rPr>
              <w:t xml:space="preserve">, or if </w:t>
            </w:r>
            <w:r w:rsidR="00984519" w:rsidRPr="00FA0D37">
              <w:rPr>
                <w:rFonts w:cs="Arial"/>
                <w:bCs/>
                <w:i/>
                <w:lang w:eastAsia="en-GB"/>
              </w:rPr>
              <w:t>appLayerMeasConfig</w:t>
            </w:r>
            <w:r w:rsidR="00984519" w:rsidRPr="00FA0D37">
              <w:rPr>
                <w:rFonts w:cs="Arial"/>
                <w:bCs/>
                <w:lang w:eastAsia="en-GB"/>
              </w:rPr>
              <w:t xml:space="preserve"> or SRB4 is configured/not released</w:t>
            </w:r>
            <w:r w:rsidR="002D76C2" w:rsidRPr="00FA0D37">
              <w:rPr>
                <w:bCs/>
                <w:lang w:eastAsia="en-GB"/>
              </w:rPr>
              <w:t>.</w:t>
            </w:r>
          </w:p>
        </w:tc>
      </w:tr>
      <w:tr w:rsidR="005C7FF4" w:rsidRPr="00FA0D37" w14:paraId="21860C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2F074B" w14:textId="77777777" w:rsidR="00394471" w:rsidRPr="00FA0D37" w:rsidRDefault="00394471" w:rsidP="00964CC4">
            <w:pPr>
              <w:pStyle w:val="TAL"/>
              <w:rPr>
                <w:szCs w:val="22"/>
                <w:lang w:eastAsia="sv-SE"/>
              </w:rPr>
            </w:pPr>
            <w:r w:rsidRPr="00FA0D37">
              <w:rPr>
                <w:b/>
                <w:i/>
                <w:szCs w:val="22"/>
                <w:lang w:eastAsia="sv-SE"/>
              </w:rPr>
              <w:t>secondaryCellGroup</w:t>
            </w:r>
          </w:p>
          <w:p w14:paraId="5A379618" w14:textId="77777777" w:rsidR="00394471" w:rsidRPr="00FA0D37" w:rsidRDefault="00394471" w:rsidP="00964CC4">
            <w:pPr>
              <w:pStyle w:val="TAL"/>
              <w:rPr>
                <w:szCs w:val="22"/>
                <w:lang w:eastAsia="sv-SE"/>
              </w:rPr>
            </w:pPr>
            <w:r w:rsidRPr="00FA0D37">
              <w:rPr>
                <w:szCs w:val="22"/>
                <w:lang w:eastAsia="sv-SE"/>
              </w:rPr>
              <w:t>Configuration of secondary cell group ((NG)EN-DC or NR-DC).</w:t>
            </w:r>
          </w:p>
        </w:tc>
      </w:tr>
      <w:tr w:rsidR="005C7FF4" w:rsidRPr="00FA0D37" w14:paraId="632FE1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94DFA4" w14:textId="77777777" w:rsidR="00394471" w:rsidRPr="00FA0D37" w:rsidRDefault="00394471" w:rsidP="00964CC4">
            <w:pPr>
              <w:pStyle w:val="TAL"/>
              <w:rPr>
                <w:b/>
                <w:i/>
                <w:szCs w:val="22"/>
                <w:lang w:eastAsia="sv-SE"/>
              </w:rPr>
            </w:pPr>
            <w:r w:rsidRPr="00FA0D37">
              <w:rPr>
                <w:b/>
                <w:i/>
                <w:szCs w:val="22"/>
                <w:lang w:eastAsia="sv-SE"/>
              </w:rPr>
              <w:t>sk-Counter</w:t>
            </w:r>
          </w:p>
          <w:p w14:paraId="20547597" w14:textId="77777777" w:rsidR="00394471" w:rsidRPr="00FA0D37" w:rsidRDefault="00394471" w:rsidP="00964CC4">
            <w:pPr>
              <w:pStyle w:val="TAL"/>
              <w:rPr>
                <w:szCs w:val="22"/>
                <w:lang w:eastAsia="sv-SE"/>
              </w:rPr>
            </w:pPr>
            <w:r w:rsidRPr="00FA0D37">
              <w:rPr>
                <w:szCs w:val="22"/>
                <w:lang w:eastAsia="sv-SE"/>
              </w:rPr>
              <w:t>A counter used upon initial configuration of S-K</w:t>
            </w:r>
            <w:r w:rsidRPr="00FA0D37">
              <w:rPr>
                <w:szCs w:val="22"/>
                <w:vertAlign w:val="subscript"/>
                <w:lang w:eastAsia="sv-SE"/>
              </w:rPr>
              <w:t>gNB</w:t>
            </w:r>
            <w:r w:rsidRPr="00FA0D37">
              <w:rPr>
                <w:szCs w:val="22"/>
                <w:lang w:eastAsia="sv-SE"/>
              </w:rPr>
              <w:t xml:space="preserve"> or S-K</w:t>
            </w:r>
            <w:r w:rsidRPr="00FA0D37">
              <w:rPr>
                <w:szCs w:val="22"/>
                <w:vertAlign w:val="subscript"/>
                <w:lang w:eastAsia="sv-SE"/>
              </w:rPr>
              <w:t>eNB</w:t>
            </w:r>
            <w:r w:rsidRPr="00FA0D37">
              <w:rPr>
                <w:szCs w:val="22"/>
                <w:lang w:eastAsia="sv-SE"/>
              </w:rPr>
              <w:t>, as well as upon refresh of S-K</w:t>
            </w:r>
            <w:r w:rsidRPr="00FA0D37">
              <w:rPr>
                <w:szCs w:val="22"/>
                <w:vertAlign w:val="subscript"/>
                <w:lang w:eastAsia="sv-SE"/>
              </w:rPr>
              <w:t>gNB</w:t>
            </w:r>
            <w:r w:rsidRPr="00FA0D37">
              <w:rPr>
                <w:szCs w:val="22"/>
                <w:lang w:eastAsia="sv-SE"/>
              </w:rPr>
              <w:t xml:space="preserve"> or S-K</w:t>
            </w:r>
            <w:r w:rsidRPr="00FA0D37">
              <w:rPr>
                <w:szCs w:val="22"/>
                <w:vertAlign w:val="subscript"/>
                <w:lang w:eastAsia="sv-SE"/>
              </w:rPr>
              <w:t>eNB</w:t>
            </w:r>
            <w:r w:rsidRPr="00FA0D37">
              <w:rPr>
                <w:szCs w:val="22"/>
                <w:lang w:eastAsia="sv-SE"/>
              </w:rPr>
              <w:t xml:space="preserve">. This field is always included either upon initial configuration of an NR SCG or upon configuration of the first RB with </w:t>
            </w:r>
            <w:r w:rsidRPr="00FA0D37">
              <w:rPr>
                <w:i/>
                <w:iCs/>
                <w:szCs w:val="22"/>
                <w:lang w:eastAsia="sv-SE"/>
              </w:rPr>
              <w:t>keyToUse</w:t>
            </w:r>
            <w:r w:rsidRPr="00FA0D37">
              <w:rPr>
                <w:szCs w:val="22"/>
                <w:lang w:eastAsia="sv-SE"/>
              </w:rPr>
              <w:t xml:space="preserve"> set to </w:t>
            </w:r>
            <w:r w:rsidRPr="00FA0D37">
              <w:rPr>
                <w:i/>
                <w:iCs/>
                <w:szCs w:val="22"/>
                <w:lang w:eastAsia="sv-SE"/>
              </w:rPr>
              <w:t>secondary</w:t>
            </w:r>
            <w:r w:rsidRPr="00FA0D37">
              <w:rPr>
                <w:szCs w:val="22"/>
                <w:lang w:eastAsia="sv-SE"/>
              </w:rPr>
              <w:t xml:space="preserve">, whichever happens first. This field is absent if there is neither any NR SCG nor any RB with </w:t>
            </w:r>
            <w:r w:rsidRPr="00FA0D37">
              <w:rPr>
                <w:i/>
                <w:iCs/>
                <w:szCs w:val="22"/>
                <w:lang w:eastAsia="sv-SE"/>
              </w:rPr>
              <w:t>keyToUse</w:t>
            </w:r>
            <w:r w:rsidRPr="00FA0D37">
              <w:rPr>
                <w:szCs w:val="22"/>
                <w:lang w:eastAsia="sv-SE"/>
              </w:rPr>
              <w:t xml:space="preserve"> set to </w:t>
            </w:r>
            <w:r w:rsidRPr="00FA0D37">
              <w:rPr>
                <w:i/>
                <w:iCs/>
                <w:szCs w:val="22"/>
                <w:lang w:eastAsia="sv-SE"/>
              </w:rPr>
              <w:t>secondary</w:t>
            </w:r>
            <w:r w:rsidRPr="00FA0D37">
              <w:rPr>
                <w:szCs w:val="22"/>
                <w:lang w:eastAsia="sv-SE"/>
              </w:rPr>
              <w:t>.</w:t>
            </w:r>
          </w:p>
        </w:tc>
      </w:tr>
      <w:tr w:rsidR="005C7FF4" w:rsidRPr="00FA0D37" w14:paraId="12B92F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EF5A57" w14:textId="77777777" w:rsidR="00394471" w:rsidRPr="00FA0D37" w:rsidRDefault="00394471" w:rsidP="00964CC4">
            <w:pPr>
              <w:pStyle w:val="TAL"/>
              <w:rPr>
                <w:b/>
                <w:bCs/>
                <w:i/>
                <w:iCs/>
                <w:lang w:eastAsia="sv-SE"/>
              </w:rPr>
            </w:pPr>
            <w:r w:rsidRPr="00FA0D37">
              <w:rPr>
                <w:b/>
                <w:bCs/>
                <w:i/>
                <w:iCs/>
                <w:lang w:eastAsia="sv-SE"/>
              </w:rPr>
              <w:t>sl-ConfigDedicatedNR</w:t>
            </w:r>
          </w:p>
          <w:p w14:paraId="7F69A3AD" w14:textId="65DDE114" w:rsidR="00394471" w:rsidRPr="00FA0D37" w:rsidRDefault="00394471" w:rsidP="00964CC4">
            <w:pPr>
              <w:pStyle w:val="TAL"/>
              <w:rPr>
                <w:lang w:eastAsia="sv-SE"/>
              </w:rPr>
            </w:pPr>
            <w:r w:rsidRPr="00FA0D37">
              <w:rPr>
                <w:bCs/>
                <w:noProof/>
                <w:lang w:eastAsia="en-GB"/>
              </w:rPr>
              <w:t>This field is used to provide the dedicated configurations for NR sidelink communication</w:t>
            </w:r>
            <w:r w:rsidR="00FB7455" w:rsidRPr="00FA0D37">
              <w:rPr>
                <w:bCs/>
                <w:noProof/>
                <w:lang w:eastAsia="en-GB"/>
              </w:rPr>
              <w:t>/discovery</w:t>
            </w:r>
            <w:r w:rsidRPr="00FA0D37">
              <w:rPr>
                <w:bCs/>
                <w:noProof/>
                <w:lang w:eastAsia="en-GB"/>
              </w:rPr>
              <w:t>.</w:t>
            </w:r>
          </w:p>
        </w:tc>
      </w:tr>
      <w:tr w:rsidR="005C7FF4" w:rsidRPr="00FA0D37" w14:paraId="234806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60A49B" w14:textId="77777777" w:rsidR="00394471" w:rsidRPr="00FA0D37" w:rsidRDefault="00394471" w:rsidP="00964CC4">
            <w:pPr>
              <w:pStyle w:val="TAL"/>
              <w:rPr>
                <w:b/>
                <w:bCs/>
                <w:i/>
                <w:iCs/>
                <w:lang w:eastAsia="sv-SE"/>
              </w:rPr>
            </w:pPr>
            <w:r w:rsidRPr="00FA0D37">
              <w:rPr>
                <w:b/>
                <w:bCs/>
                <w:i/>
                <w:iCs/>
                <w:lang w:eastAsia="sv-SE"/>
              </w:rPr>
              <w:lastRenderedPageBreak/>
              <w:t>sl-ConfigDedicatedEUTRA-Info</w:t>
            </w:r>
          </w:p>
          <w:p w14:paraId="4797BD5A" w14:textId="77777777" w:rsidR="00394471" w:rsidRPr="00FA0D37" w:rsidRDefault="00394471" w:rsidP="00964CC4">
            <w:pPr>
              <w:pStyle w:val="TAL"/>
              <w:rPr>
                <w:lang w:eastAsia="sv-SE"/>
              </w:rPr>
            </w:pPr>
            <w:r w:rsidRPr="00FA0D37">
              <w:rPr>
                <w:bCs/>
                <w:noProof/>
                <w:lang w:eastAsia="en-GB"/>
              </w:rPr>
              <w:t xml:space="preserve">This field includes the E-UTRA </w:t>
            </w:r>
            <w:r w:rsidRPr="00FA0D37">
              <w:rPr>
                <w:bCs/>
                <w:i/>
                <w:iCs/>
                <w:noProof/>
                <w:lang w:eastAsia="en-GB"/>
              </w:rPr>
              <w:t>RRCConnectionReconfiguration</w:t>
            </w:r>
            <w:r w:rsidRPr="00FA0D37">
              <w:rPr>
                <w:bCs/>
                <w:noProof/>
                <w:lang w:eastAsia="en-GB"/>
              </w:rPr>
              <w:t xml:space="preserve"> as specified in TS 36.331 [10]. In this version of the specification, the E-UTRA </w:t>
            </w:r>
            <w:r w:rsidRPr="00FA0D37">
              <w:rPr>
                <w:bCs/>
                <w:i/>
                <w:iCs/>
                <w:noProof/>
                <w:lang w:eastAsia="en-GB"/>
              </w:rPr>
              <w:t>RRCConnectionReconfiguration</w:t>
            </w:r>
            <w:r w:rsidRPr="00FA0D37">
              <w:rPr>
                <w:bCs/>
                <w:noProof/>
                <w:lang w:eastAsia="en-GB"/>
              </w:rPr>
              <w:t xml:space="preserve"> can only includes sidelink related fields for V2X sidelink communication, i.e. </w:t>
            </w:r>
            <w:r w:rsidRPr="00FA0D37">
              <w:rPr>
                <w:bCs/>
                <w:i/>
                <w:noProof/>
                <w:lang w:eastAsia="en-GB"/>
              </w:rPr>
              <w:t>sl-V2X-ConfigDedicated</w:t>
            </w:r>
            <w:r w:rsidRPr="00FA0D37">
              <w:rPr>
                <w:bCs/>
                <w:noProof/>
                <w:lang w:eastAsia="en-GB"/>
              </w:rPr>
              <w:t xml:space="preserve">, </w:t>
            </w:r>
            <w:r w:rsidRPr="00FA0D37">
              <w:rPr>
                <w:bCs/>
                <w:i/>
                <w:noProof/>
                <w:lang w:eastAsia="en-GB"/>
              </w:rPr>
              <w:t>sl-V2X-SPS-Config</w:t>
            </w:r>
            <w:r w:rsidRPr="00FA0D37">
              <w:rPr>
                <w:bCs/>
                <w:noProof/>
                <w:lang w:eastAsia="en-GB"/>
              </w:rPr>
              <w:t xml:space="preserve">, </w:t>
            </w:r>
            <w:r w:rsidRPr="00FA0D37">
              <w:rPr>
                <w:bCs/>
                <w:i/>
                <w:noProof/>
                <w:lang w:eastAsia="en-GB"/>
              </w:rPr>
              <w:t>measConfig</w:t>
            </w:r>
            <w:r w:rsidRPr="00FA0D37">
              <w:rPr>
                <w:bCs/>
                <w:noProof/>
                <w:lang w:eastAsia="en-GB"/>
              </w:rPr>
              <w:t xml:space="preserve"> and/or </w:t>
            </w:r>
            <w:r w:rsidRPr="00FA0D37">
              <w:rPr>
                <w:bCs/>
                <w:i/>
                <w:noProof/>
                <w:lang w:eastAsia="en-GB"/>
              </w:rPr>
              <w:t>otherConfig</w:t>
            </w:r>
            <w:r w:rsidRPr="00FA0D37">
              <w:rPr>
                <w:bCs/>
                <w:noProof/>
                <w:lang w:eastAsia="en-GB"/>
              </w:rPr>
              <w:t>.</w:t>
            </w:r>
          </w:p>
        </w:tc>
      </w:tr>
      <w:tr w:rsidR="005C7FF4" w:rsidRPr="00FA0D37" w14:paraId="1359F526" w14:textId="77777777" w:rsidTr="00964CC4">
        <w:tc>
          <w:tcPr>
            <w:tcW w:w="14173" w:type="dxa"/>
            <w:tcBorders>
              <w:top w:val="single" w:sz="4" w:space="0" w:color="auto"/>
              <w:left w:val="single" w:sz="4" w:space="0" w:color="auto"/>
              <w:bottom w:val="single" w:sz="4" w:space="0" w:color="auto"/>
              <w:right w:val="single" w:sz="4" w:space="0" w:color="auto"/>
            </w:tcBorders>
          </w:tcPr>
          <w:p w14:paraId="1D3CAFC5" w14:textId="77777777" w:rsidR="00394471" w:rsidRPr="00FA0D37" w:rsidRDefault="00394471" w:rsidP="00964CC4">
            <w:pPr>
              <w:pStyle w:val="TAL"/>
              <w:rPr>
                <w:b/>
                <w:bCs/>
                <w:i/>
                <w:iCs/>
                <w:lang w:eastAsia="sv-SE"/>
              </w:rPr>
            </w:pPr>
            <w:r w:rsidRPr="00FA0D37">
              <w:rPr>
                <w:b/>
                <w:bCs/>
                <w:i/>
                <w:iCs/>
                <w:lang w:eastAsia="sv-SE"/>
              </w:rPr>
              <w:t>sl-TimeOffsetEUTRA</w:t>
            </w:r>
          </w:p>
          <w:p w14:paraId="3C2FDDBA" w14:textId="09271DB3" w:rsidR="00394471" w:rsidRPr="00FA0D37" w:rsidRDefault="00394471" w:rsidP="00964CC4">
            <w:pPr>
              <w:pStyle w:val="TAL"/>
              <w:rPr>
                <w:lang w:eastAsia="sv-SE"/>
              </w:rPr>
            </w:pPr>
            <w:r w:rsidRPr="00FA0D37">
              <w:rPr>
                <w:lang w:eastAsia="sv-SE"/>
              </w:rPr>
              <w:t xml:space="preserve">This field indicates the possible time offset to (de)activation of V2X sidelink transmission after receiving DCI format 3_1 used for scheduling V2X sidelink communication. Value </w:t>
            </w:r>
            <w:r w:rsidRPr="00FA0D37">
              <w:rPr>
                <w:i/>
                <w:iCs/>
                <w:lang w:eastAsia="sv-SE"/>
              </w:rPr>
              <w:t>ms0dpt75</w:t>
            </w:r>
            <w:r w:rsidRPr="00FA0D37">
              <w:rPr>
                <w:lang w:eastAsia="sv-SE"/>
              </w:rPr>
              <w:t xml:space="preserve"> corresponds to 0.75ms, </w:t>
            </w:r>
            <w:r w:rsidRPr="00FA0D37">
              <w:rPr>
                <w:i/>
                <w:iCs/>
                <w:lang w:eastAsia="sv-SE"/>
              </w:rPr>
              <w:t>ms1</w:t>
            </w:r>
            <w:r w:rsidRPr="00FA0D37">
              <w:rPr>
                <w:lang w:eastAsia="sv-SE"/>
              </w:rPr>
              <w:t xml:space="preserve"> corresponds to 1ms and so on. The network includes this field only when </w:t>
            </w:r>
            <w:r w:rsidRPr="00FA0D37">
              <w:rPr>
                <w:i/>
                <w:iCs/>
                <w:lang w:eastAsia="sv-SE"/>
              </w:rPr>
              <w:t>sl-ConfigDedicatedEUTRA</w:t>
            </w:r>
            <w:r w:rsidRPr="00FA0D37">
              <w:rPr>
                <w:lang w:eastAsia="sv-SE"/>
              </w:rPr>
              <w:t xml:space="preserve"> is configured.</w:t>
            </w:r>
          </w:p>
        </w:tc>
      </w:tr>
      <w:tr w:rsidR="005C7FF4" w:rsidRPr="00FA0D37" w14:paraId="2998DBC3" w14:textId="77777777" w:rsidTr="00964CC4">
        <w:tc>
          <w:tcPr>
            <w:tcW w:w="14173" w:type="dxa"/>
            <w:tcBorders>
              <w:top w:val="single" w:sz="4" w:space="0" w:color="auto"/>
              <w:left w:val="single" w:sz="4" w:space="0" w:color="auto"/>
              <w:bottom w:val="single" w:sz="4" w:space="0" w:color="auto"/>
              <w:right w:val="single" w:sz="4" w:space="0" w:color="auto"/>
            </w:tcBorders>
          </w:tcPr>
          <w:p w14:paraId="760D24B0" w14:textId="77777777" w:rsidR="00835C66" w:rsidRPr="00FA0D37" w:rsidRDefault="00D027C1" w:rsidP="00964CC4">
            <w:pPr>
              <w:pStyle w:val="TAL"/>
              <w:rPr>
                <w:b/>
                <w:bCs/>
                <w:lang w:eastAsia="sv-SE"/>
              </w:rPr>
            </w:pPr>
            <w:r w:rsidRPr="00FA0D37">
              <w:rPr>
                <w:b/>
                <w:bCs/>
                <w:i/>
                <w:iCs/>
                <w:lang w:eastAsia="sv-SE"/>
              </w:rPr>
              <w:t>targetCellSMTC-SCG</w:t>
            </w:r>
          </w:p>
          <w:p w14:paraId="15EFBFAC" w14:textId="21A1285E" w:rsidR="00394471" w:rsidRPr="00FA0D37" w:rsidRDefault="00394471" w:rsidP="00964CC4">
            <w:pPr>
              <w:pStyle w:val="TAL"/>
              <w:rPr>
                <w:lang w:eastAsia="sv-SE"/>
              </w:rPr>
            </w:pPr>
            <w:r w:rsidRPr="00FA0D37">
              <w:rPr>
                <w:lang w:eastAsia="sv-SE"/>
              </w:rPr>
              <w:t>The SSB periodicity/offset/duration configuration of target cell for NR PSCell addition and SN change. When UE receives this field, UE applies the configuration based on the timing reference of NR PCell for PSCell addition and PSCell change</w:t>
            </w:r>
            <w:r w:rsidR="00A57624" w:rsidRPr="00FA0D37">
              <w:rPr>
                <w:lang w:eastAsia="sv-SE"/>
              </w:rPr>
              <w:t xml:space="preserve"> for the case of no reconfiguration with sync of MCG, and UE applies the configuration based on the timing reference of target NR PCell for the case of reconfiguration with sync of MCG</w:t>
            </w:r>
            <w:r w:rsidRPr="00FA0D37">
              <w:rPr>
                <w:lang w:eastAsia="sv-SE"/>
              </w:rPr>
              <w:t xml:space="preserve">. If both this field and the </w:t>
            </w:r>
            <w:r w:rsidRPr="00FA0D37">
              <w:rPr>
                <w:i/>
                <w:iCs/>
                <w:lang w:eastAsia="sv-SE"/>
              </w:rPr>
              <w:t>smtc</w:t>
            </w:r>
            <w:r w:rsidRPr="00FA0D37">
              <w:rPr>
                <w:lang w:eastAsia="sv-SE"/>
              </w:rPr>
              <w:t xml:space="preserve"> in </w:t>
            </w:r>
            <w:r w:rsidRPr="00FA0D37">
              <w:rPr>
                <w:i/>
                <w:iCs/>
                <w:lang w:eastAsia="sv-SE"/>
              </w:rPr>
              <w:t>secondaryCellGroup</w:t>
            </w:r>
            <w:r w:rsidRPr="00FA0D37">
              <w:rPr>
                <w:lang w:eastAsia="sv-SE"/>
              </w:rPr>
              <w:t xml:space="preserve"> -&gt; </w:t>
            </w:r>
            <w:r w:rsidRPr="00FA0D37">
              <w:rPr>
                <w:i/>
                <w:iCs/>
                <w:lang w:eastAsia="sv-SE"/>
              </w:rPr>
              <w:t>SpCellConfig</w:t>
            </w:r>
            <w:r w:rsidRPr="00FA0D37">
              <w:rPr>
                <w:lang w:eastAsia="sv-SE"/>
              </w:rPr>
              <w:t xml:space="preserve"> -&gt; </w:t>
            </w:r>
            <w:r w:rsidRPr="00FA0D37">
              <w:rPr>
                <w:i/>
                <w:iCs/>
                <w:lang w:eastAsia="sv-SE"/>
              </w:rPr>
              <w:t>reconfigurationWithSync</w:t>
            </w:r>
            <w:r w:rsidRPr="00FA0D37">
              <w:rPr>
                <w:lang w:eastAsia="sv-SE"/>
              </w:rPr>
              <w:t xml:space="preserve"> are absent, the UE uses the SMTC in the </w:t>
            </w:r>
            <w:r w:rsidRPr="00FA0D37">
              <w:rPr>
                <w:i/>
                <w:iCs/>
                <w:lang w:eastAsia="sv-SE"/>
              </w:rPr>
              <w:t>measObjectNR</w:t>
            </w:r>
            <w:r w:rsidRPr="00FA0D37">
              <w:rPr>
                <w:lang w:eastAsia="sv-SE"/>
              </w:rPr>
              <w:t xml:space="preserve"> having the same SSB frequency and subcarrier spacing, as configured before the reception of the RRC message.</w:t>
            </w:r>
          </w:p>
        </w:tc>
      </w:tr>
      <w:tr w:rsidR="005C7FF4" w:rsidRPr="00FA0D37" w14:paraId="04C6B9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39D1B" w14:textId="77777777" w:rsidR="00394471" w:rsidRPr="00FA0D37" w:rsidRDefault="00394471" w:rsidP="00964CC4">
            <w:pPr>
              <w:pStyle w:val="TAL"/>
              <w:rPr>
                <w:b/>
                <w:bCs/>
                <w:i/>
                <w:lang w:eastAsia="en-GB"/>
              </w:rPr>
            </w:pPr>
            <w:r w:rsidRPr="00FA0D37">
              <w:rPr>
                <w:b/>
                <w:bCs/>
                <w:i/>
                <w:lang w:eastAsia="en-GB"/>
              </w:rPr>
              <w:t>t316</w:t>
            </w:r>
          </w:p>
          <w:p w14:paraId="1F1F09C6" w14:textId="77777777" w:rsidR="00394471" w:rsidRPr="00FA0D37" w:rsidRDefault="00394471" w:rsidP="00964CC4">
            <w:pPr>
              <w:pStyle w:val="TAL"/>
              <w:rPr>
                <w:b/>
                <w:bCs/>
                <w:i/>
                <w:iCs/>
                <w:lang w:eastAsia="sv-SE"/>
              </w:rPr>
            </w:pPr>
            <w:r w:rsidRPr="00FA0D37">
              <w:rPr>
                <w:lang w:eastAsia="en-GB"/>
              </w:rPr>
              <w:t xml:space="preserve">Indicates the value for timer T316 as described in clause 7.1. </w:t>
            </w:r>
            <w:r w:rsidRPr="00FA0D37">
              <w:rPr>
                <w:iCs/>
                <w:lang w:eastAsia="en-GB"/>
              </w:rPr>
              <w:t xml:space="preserve">Value </w:t>
            </w:r>
            <w:r w:rsidRPr="00FA0D37">
              <w:rPr>
                <w:i/>
                <w:iCs/>
                <w:lang w:eastAsia="en-GB"/>
              </w:rPr>
              <w:t>ms50</w:t>
            </w:r>
            <w:r w:rsidRPr="00FA0D37">
              <w:rPr>
                <w:iCs/>
                <w:lang w:eastAsia="en-GB"/>
              </w:rPr>
              <w:t xml:space="preserve"> corresponds to 50 ms, value </w:t>
            </w:r>
            <w:r w:rsidRPr="00FA0D37">
              <w:rPr>
                <w:i/>
                <w:iCs/>
                <w:lang w:eastAsia="en-GB"/>
              </w:rPr>
              <w:t>ms100</w:t>
            </w:r>
            <w:r w:rsidRPr="00FA0D37">
              <w:rPr>
                <w:iCs/>
                <w:lang w:eastAsia="en-GB"/>
              </w:rPr>
              <w:t xml:space="preserve"> corresponds to 100 ms and so on. </w:t>
            </w:r>
            <w:r w:rsidRPr="00FA0D37">
              <w:rPr>
                <w:lang w:eastAsia="sv-SE"/>
              </w:rPr>
              <w:t>This field can be configured only if the UE is configured with split SRB1 or SRB3.</w:t>
            </w:r>
          </w:p>
        </w:tc>
      </w:tr>
      <w:tr w:rsidR="005C7FF4" w:rsidRPr="00FA0D37" w14:paraId="22A70078" w14:textId="77777777" w:rsidTr="00964CC4">
        <w:tc>
          <w:tcPr>
            <w:tcW w:w="14173" w:type="dxa"/>
            <w:tcBorders>
              <w:top w:val="single" w:sz="4" w:space="0" w:color="auto"/>
              <w:left w:val="single" w:sz="4" w:space="0" w:color="auto"/>
              <w:bottom w:val="single" w:sz="4" w:space="0" w:color="auto"/>
              <w:right w:val="single" w:sz="4" w:space="0" w:color="auto"/>
            </w:tcBorders>
          </w:tcPr>
          <w:p w14:paraId="5F2FB71C" w14:textId="77777777" w:rsidR="00892680" w:rsidRPr="00FA0D37" w:rsidRDefault="00892680" w:rsidP="00892680">
            <w:pPr>
              <w:pStyle w:val="TAL"/>
              <w:rPr>
                <w:b/>
                <w:i/>
                <w:szCs w:val="22"/>
                <w:lang w:eastAsia="sv-SE"/>
              </w:rPr>
            </w:pPr>
            <w:r w:rsidRPr="00FA0D37">
              <w:rPr>
                <w:b/>
                <w:i/>
                <w:szCs w:val="22"/>
                <w:lang w:eastAsia="sv-SE"/>
              </w:rPr>
              <w:t>ue-TxTEG-RequestUL-TDOA-Config</w:t>
            </w:r>
          </w:p>
          <w:p w14:paraId="76868B9D" w14:textId="036C7428" w:rsidR="00892680" w:rsidRPr="00FA0D37" w:rsidRDefault="00892680" w:rsidP="00892680">
            <w:pPr>
              <w:pStyle w:val="TAL"/>
              <w:rPr>
                <w:b/>
                <w:bCs/>
                <w:i/>
                <w:lang w:eastAsia="en-GB"/>
              </w:rPr>
            </w:pPr>
            <w:r w:rsidRPr="00FA0D37">
              <w:rPr>
                <w:bCs/>
                <w:iCs/>
                <w:szCs w:val="22"/>
                <w:lang w:eastAsia="sv-SE"/>
              </w:rPr>
              <w:t>Configures the periodic</w:t>
            </w:r>
            <w:r w:rsidR="002F0031" w:rsidRPr="00FA0D37">
              <w:rPr>
                <w:bCs/>
                <w:iCs/>
                <w:szCs w:val="22"/>
                <w:lang w:eastAsia="sv-SE"/>
              </w:rPr>
              <w:t>i</w:t>
            </w:r>
            <w:r w:rsidRPr="00FA0D37">
              <w:rPr>
                <w:bCs/>
                <w:iCs/>
                <w:szCs w:val="22"/>
                <w:lang w:eastAsia="sv-SE"/>
              </w:rPr>
              <w:t xml:space="preserve">ty of UE reporting for the association between Tx TEG and SRS Positioning resources. When configured with </w:t>
            </w:r>
            <w:r w:rsidRPr="00FA0D37">
              <w:rPr>
                <w:bCs/>
                <w:i/>
                <w:szCs w:val="22"/>
                <w:lang w:eastAsia="sv-SE"/>
              </w:rPr>
              <w:t>oneShot</w:t>
            </w:r>
            <w:r w:rsidRPr="00FA0D37">
              <w:rPr>
                <w:bCs/>
                <w:iCs/>
                <w:szCs w:val="22"/>
                <w:lang w:eastAsia="sv-SE"/>
              </w:rPr>
              <w:t xml:space="preserve"> UE reports the association only one time. When configured with </w:t>
            </w:r>
            <w:r w:rsidRPr="00FA0D37">
              <w:rPr>
                <w:bCs/>
                <w:i/>
                <w:szCs w:val="22"/>
                <w:lang w:eastAsia="sv-SE"/>
              </w:rPr>
              <w:t xml:space="preserve">periodicReporting </w:t>
            </w:r>
            <w:r w:rsidRPr="00FA0D37">
              <w:rPr>
                <w:bCs/>
                <w:iCs/>
                <w:szCs w:val="22"/>
                <w:lang w:eastAsia="sv-SE"/>
              </w:rPr>
              <w:t xml:space="preserve">UE reports the association periodically and the </w:t>
            </w:r>
            <w:r w:rsidRPr="00FA0D37">
              <w:rPr>
                <w:bCs/>
                <w:i/>
                <w:iCs/>
                <w:szCs w:val="22"/>
                <w:lang w:eastAsia="sv-SE"/>
              </w:rPr>
              <w:t>periodicReporting</w:t>
            </w:r>
            <w:r w:rsidRPr="00FA0D37">
              <w:rPr>
                <w:bCs/>
                <w:iCs/>
                <w:szCs w:val="22"/>
                <w:lang w:eastAsia="sv-SE"/>
              </w:rPr>
              <w:t xml:space="preserve"> indicates the periodicity. Value </w:t>
            </w:r>
            <w:r w:rsidRPr="00FA0D37">
              <w:rPr>
                <w:bCs/>
                <w:i/>
                <w:iCs/>
                <w:szCs w:val="22"/>
                <w:lang w:eastAsia="sv-SE"/>
              </w:rPr>
              <w:t>ms160</w:t>
            </w:r>
            <w:r w:rsidRPr="00FA0D37">
              <w:rPr>
                <w:bCs/>
                <w:iCs/>
                <w:szCs w:val="22"/>
                <w:lang w:eastAsia="sv-SE"/>
              </w:rPr>
              <w:t xml:space="preserve"> corresponds to 160ms, value </w:t>
            </w:r>
            <w:r w:rsidRPr="00FA0D37">
              <w:rPr>
                <w:bCs/>
                <w:i/>
                <w:iCs/>
                <w:szCs w:val="22"/>
                <w:lang w:eastAsia="sv-SE"/>
              </w:rPr>
              <w:t>ms320</w:t>
            </w:r>
            <w:r w:rsidRPr="00FA0D37">
              <w:rPr>
                <w:bCs/>
                <w:iCs/>
                <w:szCs w:val="22"/>
                <w:lang w:eastAsia="sv-SE"/>
              </w:rPr>
              <w:t xml:space="preserve"> corresponds to 320ms and so on.</w:t>
            </w:r>
          </w:p>
        </w:tc>
      </w:tr>
      <w:tr w:rsidR="000830BB" w:rsidRPr="00FA0D37" w14:paraId="731E744B" w14:textId="77777777" w:rsidTr="00B001B7">
        <w:tc>
          <w:tcPr>
            <w:tcW w:w="14173" w:type="dxa"/>
            <w:tcBorders>
              <w:top w:val="single" w:sz="4" w:space="0" w:color="auto"/>
              <w:left w:val="single" w:sz="4" w:space="0" w:color="auto"/>
              <w:bottom w:val="single" w:sz="4" w:space="0" w:color="auto"/>
              <w:right w:val="single" w:sz="4" w:space="0" w:color="auto"/>
            </w:tcBorders>
            <w:hideMark/>
          </w:tcPr>
          <w:p w14:paraId="49138068" w14:textId="1B6BA9BD" w:rsidR="00B001B7" w:rsidRPr="00FA0D37" w:rsidRDefault="00B001B7" w:rsidP="00B001B7">
            <w:pPr>
              <w:pStyle w:val="TAL"/>
              <w:rPr>
                <w:b/>
                <w:bCs/>
                <w:i/>
                <w:lang w:eastAsia="en-GB"/>
              </w:rPr>
            </w:pPr>
            <w:r w:rsidRPr="00FA0D37">
              <w:rPr>
                <w:b/>
                <w:bCs/>
                <w:i/>
                <w:lang w:eastAsia="en-GB"/>
              </w:rPr>
              <w:t>ul-GapFR2-Config</w:t>
            </w:r>
          </w:p>
          <w:p w14:paraId="0C31F205" w14:textId="0C5B6CDD" w:rsidR="00B001B7" w:rsidRPr="00FA0D37" w:rsidRDefault="00B001B7" w:rsidP="00B001B7">
            <w:pPr>
              <w:pStyle w:val="TAL"/>
              <w:rPr>
                <w:iCs/>
                <w:lang w:eastAsia="en-GB"/>
              </w:rPr>
            </w:pPr>
            <w:r w:rsidRPr="00FA0D37">
              <w:rPr>
                <w:iCs/>
                <w:lang w:eastAsia="en-GB"/>
              </w:rPr>
              <w:t xml:space="preserve">Indicates the FR2 UL gap configuration to UE. In EN-DC and NGEN-DC, the SN decides and configures the FR2 UL gap pattern. In NE-DC, the MN decides and configures the FR2 UL gap pattern. In NR-DC without FR2-FR2 band combination, the network entity which </w:t>
            </w:r>
            <w:r w:rsidR="001212B2" w:rsidRPr="00FA0D37">
              <w:rPr>
                <w:iCs/>
                <w:lang w:eastAsia="en-GB"/>
              </w:rPr>
              <w:t xml:space="preserve">is </w:t>
            </w:r>
            <w:r w:rsidR="001212B2" w:rsidRPr="00FA0D37">
              <w:rPr>
                <w:rFonts w:eastAsia="宋体"/>
                <w:lang w:eastAsia="en-US"/>
              </w:rPr>
              <w:t>configured with FR2 serving cell(s)</w:t>
            </w:r>
            <w:r w:rsidRPr="00FA0D37">
              <w:rPr>
                <w:iCs/>
                <w:lang w:eastAsia="en-GB"/>
              </w:rPr>
              <w:t xml:space="preserve"> decides and configures the FR2 UL gap pattern.</w:t>
            </w:r>
          </w:p>
        </w:tc>
      </w:tr>
    </w:tbl>
    <w:p w14:paraId="56BA37A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1FAF68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F4FE3E" w14:textId="77777777" w:rsidR="00394471" w:rsidRPr="00FA0D37" w:rsidRDefault="00394471" w:rsidP="00964CC4">
            <w:pPr>
              <w:pStyle w:val="TAH"/>
              <w:rPr>
                <w:szCs w:val="22"/>
                <w:lang w:eastAsia="sv-SE"/>
              </w:rPr>
            </w:pPr>
            <w:r w:rsidRPr="00FA0D37">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CA79CD" w14:textId="77777777" w:rsidR="00394471" w:rsidRPr="00FA0D37" w:rsidRDefault="00394471" w:rsidP="00964CC4">
            <w:pPr>
              <w:pStyle w:val="TAH"/>
              <w:rPr>
                <w:szCs w:val="22"/>
                <w:lang w:eastAsia="sv-SE"/>
              </w:rPr>
            </w:pPr>
            <w:r w:rsidRPr="00FA0D37">
              <w:rPr>
                <w:szCs w:val="22"/>
                <w:lang w:eastAsia="sv-SE"/>
              </w:rPr>
              <w:t>Explanation</w:t>
            </w:r>
          </w:p>
        </w:tc>
      </w:tr>
      <w:tr w:rsidR="005C7FF4" w:rsidRPr="00FA0D37" w14:paraId="1EEDDDA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54EE5F" w14:textId="77777777" w:rsidR="00394471" w:rsidRPr="00FA0D37" w:rsidRDefault="00394471" w:rsidP="00964CC4">
            <w:pPr>
              <w:pStyle w:val="TAL"/>
              <w:rPr>
                <w:i/>
                <w:szCs w:val="22"/>
                <w:lang w:eastAsia="sv-SE"/>
              </w:rPr>
            </w:pPr>
            <w:r w:rsidRPr="00FA0D37">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00498131" w14:textId="77777777" w:rsidR="00394471" w:rsidRPr="00FA0D37" w:rsidRDefault="00394471" w:rsidP="00964CC4">
            <w:pPr>
              <w:pStyle w:val="TAL"/>
              <w:rPr>
                <w:szCs w:val="22"/>
                <w:lang w:eastAsia="sv-SE"/>
              </w:rPr>
            </w:pPr>
            <w:r w:rsidRPr="00FA0D37">
              <w:rPr>
                <w:szCs w:val="22"/>
                <w:lang w:eastAsia="en-GB"/>
              </w:rPr>
              <w:t>The field is absent in case of reconfiguration with sync within NR or to NR; otherwise it is optionally present, need N.</w:t>
            </w:r>
          </w:p>
        </w:tc>
      </w:tr>
      <w:tr w:rsidR="005C7FF4" w:rsidRPr="00FA0D37" w14:paraId="42A2A75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5C8FD5" w14:textId="77777777" w:rsidR="00394471" w:rsidRPr="00FA0D37" w:rsidRDefault="00394471" w:rsidP="00964CC4">
            <w:pPr>
              <w:pStyle w:val="TAL"/>
              <w:rPr>
                <w:i/>
                <w:szCs w:val="22"/>
                <w:lang w:eastAsia="sv-SE"/>
              </w:rPr>
            </w:pPr>
            <w:r w:rsidRPr="00FA0D37">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4806A988" w14:textId="77777777" w:rsidR="00394471" w:rsidRPr="00FA0D37" w:rsidRDefault="00394471" w:rsidP="00964CC4">
            <w:pPr>
              <w:pStyle w:val="TAL"/>
              <w:rPr>
                <w:szCs w:val="22"/>
                <w:lang w:eastAsia="sv-SE"/>
              </w:rPr>
            </w:pPr>
            <w:r w:rsidRPr="00FA0D37">
              <w:rPr>
                <w:szCs w:val="22"/>
                <w:lang w:eastAsia="en-GB"/>
              </w:rPr>
              <w:t>This field is mandatory present in case of inter system handover. Otherwise the field is optionally present, need N.</w:t>
            </w:r>
          </w:p>
        </w:tc>
      </w:tr>
      <w:tr w:rsidR="005C7FF4" w:rsidRPr="00FA0D37" w14:paraId="71CA581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FB7645" w14:textId="77777777" w:rsidR="00394471" w:rsidRPr="00FA0D37" w:rsidRDefault="00394471" w:rsidP="00964CC4">
            <w:pPr>
              <w:pStyle w:val="TAL"/>
              <w:rPr>
                <w:i/>
                <w:szCs w:val="22"/>
                <w:lang w:eastAsia="sv-SE"/>
              </w:rPr>
            </w:pPr>
            <w:r w:rsidRPr="00FA0D37">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DF52CF3" w14:textId="77777777" w:rsidR="00394471" w:rsidRPr="00FA0D37" w:rsidRDefault="00394471" w:rsidP="00964CC4">
            <w:pPr>
              <w:pStyle w:val="TAL"/>
              <w:rPr>
                <w:szCs w:val="22"/>
                <w:lang w:eastAsia="sv-SE"/>
              </w:rPr>
            </w:pPr>
            <w:r w:rsidRPr="00FA0D37">
              <w:rPr>
                <w:szCs w:val="22"/>
                <w:lang w:eastAsia="en-GB"/>
              </w:rPr>
              <w:t xml:space="preserve">This field is mandatory present in case </w:t>
            </w:r>
            <w:r w:rsidRPr="00FA0D37">
              <w:rPr>
                <w:i/>
                <w:szCs w:val="22"/>
                <w:lang w:eastAsia="en-GB"/>
              </w:rPr>
              <w:t>masterCellGroup</w:t>
            </w:r>
            <w:r w:rsidRPr="00FA0D37">
              <w:rPr>
                <w:szCs w:val="22"/>
                <w:lang w:eastAsia="en-GB"/>
              </w:rPr>
              <w:t xml:space="preserve"> includes </w:t>
            </w:r>
            <w:r w:rsidRPr="00FA0D37">
              <w:rPr>
                <w:i/>
                <w:szCs w:val="22"/>
                <w:lang w:eastAsia="en-GB"/>
              </w:rPr>
              <w:t>ReconfigurationWithSync</w:t>
            </w:r>
            <w:r w:rsidRPr="00FA0D37">
              <w:rPr>
                <w:szCs w:val="22"/>
                <w:lang w:eastAsia="en-GB"/>
              </w:rPr>
              <w:t xml:space="preserve"> and </w:t>
            </w:r>
            <w:r w:rsidRPr="00FA0D37">
              <w:rPr>
                <w:i/>
                <w:szCs w:val="22"/>
                <w:lang w:eastAsia="en-GB"/>
              </w:rPr>
              <w:t>RadioBearerConfig</w:t>
            </w:r>
            <w:r w:rsidRPr="00FA0D37">
              <w:rPr>
                <w:szCs w:val="22"/>
                <w:lang w:eastAsia="en-GB"/>
              </w:rPr>
              <w:t xml:space="preserve"> includes </w:t>
            </w:r>
            <w:r w:rsidRPr="00FA0D37">
              <w:rPr>
                <w:i/>
                <w:szCs w:val="22"/>
                <w:lang w:eastAsia="en-GB"/>
              </w:rPr>
              <w:t>SecurityConfig</w:t>
            </w:r>
            <w:r w:rsidRPr="00FA0D37">
              <w:rPr>
                <w:szCs w:val="22"/>
                <w:lang w:eastAsia="en-GB"/>
              </w:rPr>
              <w:t xml:space="preserve"> with </w:t>
            </w:r>
            <w:r w:rsidRPr="00FA0D37">
              <w:rPr>
                <w:i/>
                <w:szCs w:val="22"/>
                <w:lang w:eastAsia="en-GB"/>
              </w:rPr>
              <w:t>SecurityAlgorithmConfig</w:t>
            </w:r>
            <w:r w:rsidRPr="00FA0D37">
              <w:rPr>
                <w:szCs w:val="22"/>
                <w:lang w:eastAsia="en-GB"/>
              </w:rPr>
              <w:t xml:space="preserve">, indicating a change of the </w:t>
            </w:r>
            <w:r w:rsidRPr="00FA0D37">
              <w:rPr>
                <w:lang w:eastAsia="sv-SE"/>
              </w:rPr>
              <w:t xml:space="preserve">AS </w:t>
            </w:r>
            <w:r w:rsidRPr="00FA0D37">
              <w:rPr>
                <w:szCs w:val="22"/>
                <w:lang w:eastAsia="en-GB"/>
              </w:rPr>
              <w:t xml:space="preserve">security algorithms associated to the master key. If </w:t>
            </w:r>
            <w:r w:rsidRPr="00FA0D37">
              <w:rPr>
                <w:i/>
                <w:szCs w:val="22"/>
                <w:lang w:eastAsia="en-GB"/>
              </w:rPr>
              <w:t>ReconfigurationWithSync</w:t>
            </w:r>
            <w:r w:rsidRPr="00FA0D37">
              <w:rPr>
                <w:szCs w:val="22"/>
                <w:lang w:eastAsia="en-GB"/>
              </w:rPr>
              <w:t xml:space="preserve"> is included for other cases, this field is optionally present, need N. Otherwise the field is absent.</w:t>
            </w:r>
          </w:p>
        </w:tc>
      </w:tr>
      <w:tr w:rsidR="005C7FF4" w:rsidRPr="00FA0D37" w14:paraId="5F9F76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AA26742" w14:textId="77777777" w:rsidR="00394471" w:rsidRPr="00FA0D37" w:rsidRDefault="00394471" w:rsidP="00964CC4">
            <w:pPr>
              <w:pStyle w:val="TAL"/>
              <w:rPr>
                <w:i/>
                <w:szCs w:val="22"/>
                <w:lang w:eastAsia="sv-SE"/>
              </w:rPr>
            </w:pPr>
            <w:r w:rsidRPr="00FA0D37">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43604763" w14:textId="77777777" w:rsidR="00394471" w:rsidRPr="00FA0D37" w:rsidRDefault="00394471" w:rsidP="00964CC4">
            <w:pPr>
              <w:pStyle w:val="TAL"/>
              <w:rPr>
                <w:szCs w:val="22"/>
                <w:lang w:eastAsia="sv-SE"/>
              </w:rPr>
            </w:pPr>
            <w:r w:rsidRPr="00FA0D37">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FA0D37">
              <w:rPr>
                <w:szCs w:val="22"/>
                <w:lang w:eastAsia="en-GB"/>
              </w:rPr>
              <w:t>absent</w:t>
            </w:r>
            <w:r w:rsidRPr="00FA0D37">
              <w:rPr>
                <w:szCs w:val="22"/>
                <w:lang w:eastAsia="sv-SE"/>
              </w:rPr>
              <w:t xml:space="preserve"> otherwise.</w:t>
            </w:r>
          </w:p>
        </w:tc>
      </w:tr>
      <w:tr w:rsidR="005C7FF4" w:rsidRPr="00FA0D37" w14:paraId="70ECA0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A1893D" w14:textId="77777777" w:rsidR="00394471" w:rsidRPr="00FA0D37" w:rsidRDefault="00394471" w:rsidP="00964CC4">
            <w:pPr>
              <w:pStyle w:val="TAL"/>
              <w:rPr>
                <w:rFonts w:cs="Arial"/>
                <w:i/>
                <w:szCs w:val="18"/>
                <w:lang w:eastAsia="sv-SE"/>
              </w:rPr>
            </w:pPr>
            <w:r w:rsidRPr="00FA0D37">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7B8164E" w14:textId="057EBA39" w:rsidR="00836CAD" w:rsidRPr="00FA0D37" w:rsidRDefault="00836CAD" w:rsidP="00836CAD">
            <w:pPr>
              <w:pStyle w:val="TAL"/>
              <w:rPr>
                <w:rFonts w:eastAsiaTheme="minorEastAsia"/>
              </w:rPr>
            </w:pPr>
            <w:r w:rsidRPr="00FA0D37">
              <w:rPr>
                <w:rFonts w:eastAsiaTheme="minorEastAsia"/>
              </w:rPr>
              <w:t>The field is mandatory present in:</w:t>
            </w:r>
          </w:p>
          <w:p w14:paraId="53E332C7" w14:textId="2C6F4529" w:rsidR="00836CAD" w:rsidRPr="00FA0D37" w:rsidRDefault="00836CAD" w:rsidP="00836CAD">
            <w:pPr>
              <w:pStyle w:val="B1"/>
              <w:spacing w:after="0"/>
              <w:rPr>
                <w:rFonts w:ascii="Arial" w:eastAsiaTheme="minorEastAsia" w:hAnsi="Arial" w:cs="Arial"/>
                <w:sz w:val="18"/>
                <w:szCs w:val="18"/>
              </w:rPr>
            </w:pPr>
            <w:r w:rsidRPr="00FA0D37">
              <w:rPr>
                <w:rFonts w:ascii="Arial" w:eastAsiaTheme="minorEastAsia" w:hAnsi="Arial" w:cs="Arial"/>
                <w:sz w:val="18"/>
                <w:szCs w:val="18"/>
              </w:rPr>
              <w:t>-</w:t>
            </w:r>
            <w:r w:rsidRPr="00FA0D37">
              <w:rPr>
                <w:rFonts w:ascii="Arial" w:hAnsi="Arial" w:cs="Arial"/>
                <w:sz w:val="18"/>
                <w:szCs w:val="18"/>
              </w:rPr>
              <w:tab/>
            </w:r>
            <w:r w:rsidRPr="00FA0D37">
              <w:rPr>
                <w:rFonts w:ascii="Arial" w:eastAsiaTheme="minorEastAsia" w:hAnsi="Arial" w:cs="Arial"/>
                <w:sz w:val="18"/>
                <w:szCs w:val="18"/>
              </w:rPr>
              <w:t xml:space="preserve">an </w:t>
            </w:r>
            <w:r w:rsidRPr="00FA0D37">
              <w:rPr>
                <w:rFonts w:ascii="Arial" w:eastAsiaTheme="minorEastAsia" w:hAnsi="Arial" w:cs="Arial"/>
                <w:i/>
                <w:sz w:val="18"/>
                <w:szCs w:val="18"/>
              </w:rPr>
              <w:t>RRCReconfiguration</w:t>
            </w:r>
            <w:r w:rsidRPr="00FA0D37">
              <w:rPr>
                <w:rFonts w:ascii="Arial" w:eastAsiaTheme="minorEastAsia" w:hAnsi="Arial" w:cs="Arial"/>
                <w:sz w:val="18"/>
                <w:szCs w:val="18"/>
              </w:rPr>
              <w:t xml:space="preserve"> message contained in an </w:t>
            </w:r>
            <w:r w:rsidRPr="00FA0D37">
              <w:rPr>
                <w:rFonts w:ascii="Arial" w:eastAsiaTheme="minorEastAsia" w:hAnsi="Arial" w:cs="Arial"/>
                <w:i/>
                <w:sz w:val="18"/>
                <w:szCs w:val="18"/>
              </w:rPr>
              <w:t>RRCResume</w:t>
            </w:r>
            <w:r w:rsidRPr="00FA0D37">
              <w:rPr>
                <w:rFonts w:ascii="Arial" w:eastAsiaTheme="minorEastAsia" w:hAnsi="Arial" w:cs="Arial"/>
                <w:sz w:val="18"/>
                <w:szCs w:val="18"/>
              </w:rPr>
              <w:t xml:space="preserve"> message </w:t>
            </w:r>
            <w:r w:rsidRPr="00FA0D37">
              <w:rPr>
                <w:rFonts w:ascii="Arial" w:hAnsi="Arial" w:cs="Arial"/>
                <w:sz w:val="18"/>
                <w:szCs w:val="18"/>
              </w:rPr>
              <w:t xml:space="preserve">(or in an </w:t>
            </w:r>
            <w:r w:rsidRPr="00FA0D37">
              <w:rPr>
                <w:rFonts w:ascii="Arial" w:hAnsi="Arial" w:cs="Arial"/>
                <w:i/>
                <w:sz w:val="18"/>
                <w:szCs w:val="18"/>
              </w:rPr>
              <w:t>RRCConnectionResume</w:t>
            </w:r>
            <w:r w:rsidRPr="00FA0D37">
              <w:rPr>
                <w:rFonts w:ascii="Arial" w:hAnsi="Arial" w:cs="Arial"/>
                <w:sz w:val="18"/>
                <w:szCs w:val="18"/>
              </w:rPr>
              <w:t xml:space="preserve"> message, see TS 36.331 [10]),</w:t>
            </w:r>
          </w:p>
          <w:p w14:paraId="6AC5BB27" w14:textId="312CB0DD" w:rsidR="00836CAD" w:rsidRPr="00FA0D37" w:rsidRDefault="00836CAD" w:rsidP="00836CAD">
            <w:pPr>
              <w:pStyle w:val="B1"/>
              <w:spacing w:after="0"/>
              <w:rPr>
                <w:rFonts w:ascii="Arial" w:eastAsiaTheme="minorEastAsia" w:hAnsi="Arial" w:cs="Arial"/>
                <w:sz w:val="18"/>
                <w:szCs w:val="18"/>
              </w:rPr>
            </w:pPr>
            <w:r w:rsidRPr="00FA0D37">
              <w:rPr>
                <w:rFonts w:ascii="Arial" w:eastAsiaTheme="minorEastAsia" w:hAnsi="Arial" w:cs="Arial"/>
                <w:sz w:val="18"/>
                <w:szCs w:val="18"/>
              </w:rPr>
              <w:t>-</w:t>
            </w:r>
            <w:r w:rsidRPr="00FA0D37">
              <w:rPr>
                <w:rFonts w:ascii="Arial" w:hAnsi="Arial" w:cs="Arial"/>
                <w:sz w:val="18"/>
                <w:szCs w:val="18"/>
              </w:rPr>
              <w:tab/>
              <w:t xml:space="preserve">an </w:t>
            </w:r>
            <w:r w:rsidRPr="00FA0D37">
              <w:rPr>
                <w:rFonts w:ascii="Arial" w:eastAsiaTheme="minorEastAsia" w:hAnsi="Arial" w:cs="Arial"/>
                <w:i/>
                <w:sz w:val="18"/>
                <w:szCs w:val="18"/>
              </w:rPr>
              <w:t>RRCReconfiguration</w:t>
            </w:r>
            <w:r w:rsidRPr="00FA0D37">
              <w:rPr>
                <w:rFonts w:ascii="Arial" w:eastAsiaTheme="minorEastAsia" w:hAnsi="Arial" w:cs="Arial"/>
                <w:sz w:val="18"/>
                <w:szCs w:val="18"/>
              </w:rPr>
              <w:t xml:space="preserve"> message contained in</w:t>
            </w:r>
            <w:r w:rsidRPr="00FA0D37">
              <w:rPr>
                <w:rFonts w:ascii="Arial" w:hAnsi="Arial" w:cs="Arial"/>
                <w:sz w:val="18"/>
                <w:szCs w:val="18"/>
              </w:rPr>
              <w:t xml:space="preserve"> an </w:t>
            </w:r>
            <w:r w:rsidRPr="00FA0D37">
              <w:rPr>
                <w:rFonts w:ascii="Arial" w:hAnsi="Arial" w:cs="Arial"/>
                <w:i/>
                <w:sz w:val="18"/>
                <w:szCs w:val="18"/>
              </w:rPr>
              <w:t>RRCConnectionReconfiguration</w:t>
            </w:r>
            <w:r w:rsidRPr="00FA0D37">
              <w:rPr>
                <w:rFonts w:ascii="Arial" w:hAnsi="Arial" w:cs="Arial"/>
                <w:sz w:val="18"/>
                <w:szCs w:val="18"/>
              </w:rPr>
              <w:t xml:space="preserve"> message, see TS 36.331 [10], which is contained in </w:t>
            </w:r>
            <w:r w:rsidRPr="00FA0D37">
              <w:rPr>
                <w:rFonts w:ascii="Arial" w:hAnsi="Arial" w:cs="Arial"/>
                <w:i/>
                <w:iCs/>
                <w:sz w:val="18"/>
                <w:szCs w:val="18"/>
              </w:rPr>
              <w:t>DLInformationTransferMRDC</w:t>
            </w:r>
            <w:r w:rsidRPr="00FA0D37">
              <w:rPr>
                <w:rFonts w:ascii="Arial" w:hAnsi="Arial" w:cs="Arial"/>
                <w:sz w:val="18"/>
                <w:szCs w:val="18"/>
              </w:rPr>
              <w:t xml:space="preserve"> </w:t>
            </w:r>
            <w:r w:rsidRPr="00FA0D37">
              <w:rPr>
                <w:rFonts w:ascii="Arial" w:eastAsiaTheme="minorEastAsia" w:hAnsi="Arial" w:cs="Arial"/>
                <w:sz w:val="18"/>
                <w:szCs w:val="18"/>
              </w:rPr>
              <w:t xml:space="preserve">transmitted on SRB3 (as a response to </w:t>
            </w:r>
            <w:r w:rsidRPr="00FA0D37">
              <w:rPr>
                <w:rFonts w:ascii="Arial" w:hAnsi="Arial" w:cs="Arial"/>
                <w:i/>
                <w:iCs/>
                <w:sz w:val="18"/>
                <w:szCs w:val="18"/>
              </w:rPr>
              <w:t>ULInformationTransferMRDC</w:t>
            </w:r>
            <w:r w:rsidRPr="00FA0D37">
              <w:rPr>
                <w:rFonts w:ascii="Arial" w:hAnsi="Arial" w:cs="Arial"/>
                <w:sz w:val="18"/>
                <w:szCs w:val="18"/>
              </w:rPr>
              <w:t xml:space="preserve"> including an </w:t>
            </w:r>
            <w:r w:rsidRPr="00FA0D37">
              <w:rPr>
                <w:rFonts w:ascii="Arial" w:eastAsiaTheme="minorEastAsia" w:hAnsi="Arial" w:cs="Arial"/>
                <w:i/>
                <w:iCs/>
                <w:sz w:val="18"/>
                <w:szCs w:val="18"/>
              </w:rPr>
              <w:t>MCGFailureInformation</w:t>
            </w:r>
            <w:r w:rsidRPr="00FA0D37">
              <w:rPr>
                <w:rFonts w:ascii="Arial" w:eastAsiaTheme="minorEastAsia" w:hAnsi="Arial" w:cs="Arial"/>
                <w:sz w:val="18"/>
                <w:szCs w:val="18"/>
              </w:rPr>
              <w:t>).</w:t>
            </w:r>
          </w:p>
          <w:p w14:paraId="671A8C4D" w14:textId="77777777" w:rsidR="00394471" w:rsidRPr="00FA0D37" w:rsidRDefault="00394471" w:rsidP="00964CC4">
            <w:pPr>
              <w:spacing w:after="0" w:line="252" w:lineRule="auto"/>
              <w:rPr>
                <w:rFonts w:ascii="Arial" w:eastAsiaTheme="minorEastAsia" w:hAnsi="Arial" w:cs="Arial"/>
                <w:sz w:val="18"/>
                <w:szCs w:val="18"/>
                <w:lang w:eastAsia="en-GB"/>
              </w:rPr>
            </w:pPr>
            <w:r w:rsidRPr="00FA0D37">
              <w:rPr>
                <w:rFonts w:ascii="Arial" w:eastAsiaTheme="minorEastAsia" w:hAnsi="Arial" w:cs="Arial"/>
                <w:sz w:val="18"/>
                <w:szCs w:val="18"/>
              </w:rPr>
              <w:t>The field is optional present, Need M, in:</w:t>
            </w:r>
          </w:p>
          <w:p w14:paraId="00854715" w14:textId="77777777" w:rsidR="00394471" w:rsidRPr="00FA0D37" w:rsidRDefault="00394471" w:rsidP="00964CC4">
            <w:pPr>
              <w:pStyle w:val="B1"/>
              <w:spacing w:after="0"/>
              <w:rPr>
                <w:rFonts w:ascii="Arial" w:eastAsiaTheme="minorEastAsia" w:hAnsi="Arial" w:cs="Arial"/>
                <w:sz w:val="18"/>
                <w:szCs w:val="18"/>
              </w:rPr>
            </w:pPr>
            <w:r w:rsidRPr="00FA0D37">
              <w:rPr>
                <w:rFonts w:ascii="Arial" w:eastAsiaTheme="minorEastAsia" w:hAnsi="Arial" w:cs="Arial"/>
                <w:sz w:val="18"/>
                <w:szCs w:val="18"/>
              </w:rPr>
              <w:t>-</w:t>
            </w:r>
            <w:r w:rsidRPr="00FA0D37">
              <w:rPr>
                <w:rFonts w:ascii="Arial" w:hAnsi="Arial" w:cs="Arial"/>
                <w:sz w:val="18"/>
                <w:szCs w:val="18"/>
              </w:rPr>
              <w:tab/>
            </w:r>
            <w:r w:rsidRPr="00FA0D37">
              <w:rPr>
                <w:rFonts w:ascii="Arial" w:eastAsiaTheme="minorEastAsia" w:hAnsi="Arial" w:cs="Arial"/>
                <w:sz w:val="18"/>
                <w:szCs w:val="18"/>
              </w:rPr>
              <w:t xml:space="preserve">an </w:t>
            </w:r>
            <w:r w:rsidRPr="00FA0D37">
              <w:rPr>
                <w:rFonts w:ascii="Arial" w:eastAsiaTheme="minorEastAsia" w:hAnsi="Arial" w:cs="Arial"/>
                <w:i/>
                <w:sz w:val="18"/>
                <w:szCs w:val="18"/>
              </w:rPr>
              <w:t>RRCReconfiguration</w:t>
            </w:r>
            <w:r w:rsidRPr="00FA0D37">
              <w:rPr>
                <w:rFonts w:ascii="Arial" w:eastAsiaTheme="minorEastAsia" w:hAnsi="Arial" w:cs="Arial"/>
                <w:sz w:val="18"/>
                <w:szCs w:val="18"/>
              </w:rPr>
              <w:t xml:space="preserve"> message transmitted on SRB3,</w:t>
            </w:r>
          </w:p>
          <w:p w14:paraId="1404B3B1" w14:textId="77777777" w:rsidR="00394471" w:rsidRPr="00FA0D37" w:rsidRDefault="00394471" w:rsidP="00964CC4">
            <w:pPr>
              <w:pStyle w:val="B1"/>
              <w:spacing w:after="0"/>
              <w:rPr>
                <w:rFonts w:ascii="Arial" w:eastAsiaTheme="minorEastAsia" w:hAnsi="Arial" w:cs="Arial"/>
                <w:sz w:val="18"/>
                <w:szCs w:val="18"/>
              </w:rPr>
            </w:pPr>
            <w:r w:rsidRPr="00FA0D37">
              <w:rPr>
                <w:rFonts w:ascii="Arial" w:eastAsiaTheme="minorEastAsia" w:hAnsi="Arial" w:cs="Arial"/>
                <w:sz w:val="18"/>
                <w:szCs w:val="18"/>
              </w:rPr>
              <w:t>-</w:t>
            </w:r>
            <w:r w:rsidRPr="00FA0D37">
              <w:rPr>
                <w:rFonts w:ascii="Arial" w:hAnsi="Arial" w:cs="Arial"/>
                <w:sz w:val="18"/>
                <w:szCs w:val="18"/>
              </w:rPr>
              <w:tab/>
            </w:r>
            <w:r w:rsidRPr="00FA0D37">
              <w:rPr>
                <w:rFonts w:ascii="Arial" w:eastAsiaTheme="minorEastAsia" w:hAnsi="Arial" w:cs="Arial"/>
                <w:sz w:val="18"/>
                <w:szCs w:val="18"/>
              </w:rPr>
              <w:t xml:space="preserve">an </w:t>
            </w:r>
            <w:r w:rsidRPr="00FA0D37">
              <w:rPr>
                <w:rFonts w:ascii="Arial" w:eastAsiaTheme="minorEastAsia" w:hAnsi="Arial" w:cs="Arial"/>
                <w:i/>
                <w:sz w:val="18"/>
                <w:szCs w:val="18"/>
              </w:rPr>
              <w:t>RRCReconfiguration</w:t>
            </w:r>
            <w:r w:rsidRPr="00FA0D37">
              <w:rPr>
                <w:rFonts w:ascii="Arial" w:eastAsiaTheme="minorEastAsia" w:hAnsi="Arial" w:cs="Arial"/>
                <w:sz w:val="18"/>
                <w:szCs w:val="18"/>
              </w:rPr>
              <w:t xml:space="preserve"> message contained in another </w:t>
            </w:r>
            <w:r w:rsidRPr="00FA0D37">
              <w:rPr>
                <w:rFonts w:ascii="Arial" w:eastAsiaTheme="minorEastAsia" w:hAnsi="Arial" w:cs="Arial"/>
                <w:i/>
                <w:sz w:val="18"/>
                <w:szCs w:val="18"/>
              </w:rPr>
              <w:t>RRCReconfiguration</w:t>
            </w:r>
            <w:r w:rsidRPr="00FA0D37">
              <w:rPr>
                <w:rFonts w:ascii="Arial" w:eastAsiaTheme="minorEastAsia" w:hAnsi="Arial" w:cs="Arial"/>
                <w:sz w:val="18"/>
                <w:szCs w:val="18"/>
              </w:rPr>
              <w:t xml:space="preserve"> message </w:t>
            </w:r>
            <w:r w:rsidRPr="00FA0D37">
              <w:rPr>
                <w:rFonts w:ascii="Arial" w:hAnsi="Arial" w:cs="Arial"/>
                <w:sz w:val="18"/>
                <w:szCs w:val="18"/>
              </w:rPr>
              <w:t xml:space="preserve">(or in an </w:t>
            </w:r>
            <w:r w:rsidRPr="00FA0D37">
              <w:rPr>
                <w:rFonts w:ascii="Arial" w:hAnsi="Arial" w:cs="Arial"/>
                <w:i/>
                <w:sz w:val="18"/>
                <w:szCs w:val="18"/>
              </w:rPr>
              <w:t>RRCConnectionReconfiguration</w:t>
            </w:r>
            <w:r w:rsidRPr="00FA0D37">
              <w:rPr>
                <w:rFonts w:ascii="Arial" w:hAnsi="Arial" w:cs="Arial"/>
                <w:sz w:val="18"/>
                <w:szCs w:val="18"/>
              </w:rPr>
              <w:t xml:space="preserve"> message, see TS 36.331 [10]) </w:t>
            </w:r>
            <w:r w:rsidRPr="00FA0D37">
              <w:rPr>
                <w:rFonts w:ascii="Arial" w:eastAsiaTheme="minorEastAsia" w:hAnsi="Arial" w:cs="Arial"/>
                <w:sz w:val="18"/>
                <w:szCs w:val="18"/>
              </w:rPr>
              <w:t>transmitted on SRB1</w:t>
            </w:r>
          </w:p>
          <w:p w14:paraId="136E5696" w14:textId="69100C14" w:rsidR="00394471" w:rsidRPr="00FA0D37" w:rsidRDefault="00394471" w:rsidP="00964CC4">
            <w:pPr>
              <w:pStyle w:val="B1"/>
              <w:spacing w:after="0"/>
              <w:rPr>
                <w:rFonts w:ascii="Arial" w:eastAsiaTheme="minorEastAsia" w:hAnsi="Arial" w:cs="Arial"/>
                <w:sz w:val="18"/>
                <w:szCs w:val="18"/>
              </w:rPr>
            </w:pPr>
            <w:r w:rsidRPr="00FA0D37">
              <w:rPr>
                <w:rFonts w:ascii="Arial" w:eastAsiaTheme="minorEastAsia" w:hAnsi="Arial" w:cs="Arial"/>
                <w:sz w:val="18"/>
                <w:szCs w:val="18"/>
              </w:rPr>
              <w:t>-</w:t>
            </w:r>
            <w:r w:rsidRPr="00FA0D37">
              <w:rPr>
                <w:rFonts w:ascii="Arial" w:hAnsi="Arial" w:cs="Arial"/>
                <w:sz w:val="18"/>
                <w:szCs w:val="18"/>
              </w:rPr>
              <w:tab/>
            </w:r>
            <w:r w:rsidRPr="00FA0D37">
              <w:rPr>
                <w:rFonts w:ascii="Arial" w:eastAsiaTheme="minorEastAsia" w:hAnsi="Arial" w:cs="Arial"/>
                <w:sz w:val="18"/>
                <w:szCs w:val="18"/>
              </w:rPr>
              <w:t xml:space="preserve">an </w:t>
            </w:r>
            <w:r w:rsidRPr="00FA0D37">
              <w:rPr>
                <w:rFonts w:ascii="Arial" w:eastAsiaTheme="minorEastAsia" w:hAnsi="Arial" w:cs="Arial"/>
                <w:i/>
                <w:sz w:val="18"/>
                <w:szCs w:val="18"/>
              </w:rPr>
              <w:t>RRCReconfiguration</w:t>
            </w:r>
            <w:r w:rsidRPr="00FA0D37">
              <w:rPr>
                <w:rFonts w:ascii="Arial" w:eastAsiaTheme="minorEastAsia" w:hAnsi="Arial" w:cs="Arial"/>
                <w:sz w:val="18"/>
                <w:szCs w:val="18"/>
              </w:rPr>
              <w:t xml:space="preserve"> message contained in another </w:t>
            </w:r>
            <w:r w:rsidRPr="00FA0D37">
              <w:rPr>
                <w:rFonts w:ascii="Arial" w:eastAsiaTheme="minorEastAsia" w:hAnsi="Arial" w:cs="Arial"/>
                <w:i/>
                <w:sz w:val="18"/>
                <w:szCs w:val="18"/>
              </w:rPr>
              <w:t>RRCReconfiguration</w:t>
            </w:r>
            <w:r w:rsidRPr="00FA0D37">
              <w:rPr>
                <w:rFonts w:ascii="Arial" w:eastAsiaTheme="minorEastAsia" w:hAnsi="Arial" w:cs="Arial"/>
                <w:sz w:val="18"/>
                <w:szCs w:val="18"/>
              </w:rPr>
              <w:t xml:space="preserve"> message</w:t>
            </w:r>
            <w:r w:rsidRPr="00FA0D37">
              <w:rPr>
                <w:rFonts w:ascii="Arial" w:hAnsi="Arial" w:cs="Arial"/>
                <w:sz w:val="18"/>
                <w:szCs w:val="18"/>
              </w:rPr>
              <w:t xml:space="preserve"> which is contained in </w:t>
            </w:r>
            <w:r w:rsidRPr="00FA0D37">
              <w:rPr>
                <w:rFonts w:ascii="Arial" w:hAnsi="Arial" w:cs="Arial"/>
                <w:i/>
                <w:iCs/>
                <w:sz w:val="18"/>
                <w:szCs w:val="18"/>
              </w:rPr>
              <w:t>DLInformationTransferMRDC</w:t>
            </w:r>
            <w:r w:rsidRPr="00FA0D37">
              <w:rPr>
                <w:rFonts w:ascii="Arial" w:hAnsi="Arial" w:cs="Arial"/>
                <w:sz w:val="18"/>
                <w:szCs w:val="18"/>
              </w:rPr>
              <w:t xml:space="preserve"> </w:t>
            </w:r>
            <w:r w:rsidRPr="00FA0D37">
              <w:rPr>
                <w:rFonts w:ascii="Arial" w:eastAsiaTheme="minorEastAsia" w:hAnsi="Arial" w:cs="Arial"/>
                <w:sz w:val="18"/>
                <w:szCs w:val="18"/>
              </w:rPr>
              <w:t xml:space="preserve">transmitted on SRB3 (as a response to </w:t>
            </w:r>
            <w:r w:rsidRPr="00FA0D37">
              <w:rPr>
                <w:rFonts w:ascii="Arial" w:hAnsi="Arial" w:cs="Arial"/>
                <w:i/>
                <w:iCs/>
                <w:sz w:val="18"/>
                <w:szCs w:val="18"/>
              </w:rPr>
              <w:t>ULInformationTransferMRDC</w:t>
            </w:r>
            <w:r w:rsidRPr="00FA0D37">
              <w:rPr>
                <w:rFonts w:ascii="Arial" w:hAnsi="Arial" w:cs="Arial"/>
                <w:sz w:val="18"/>
                <w:szCs w:val="18"/>
              </w:rPr>
              <w:t xml:space="preserve"> including an </w:t>
            </w:r>
            <w:r w:rsidRPr="00FA0D37">
              <w:rPr>
                <w:rFonts w:ascii="Arial" w:eastAsiaTheme="minorEastAsia" w:hAnsi="Arial" w:cs="Arial"/>
                <w:i/>
                <w:iCs/>
                <w:sz w:val="18"/>
                <w:szCs w:val="18"/>
              </w:rPr>
              <w:t>MCGFailureInformation</w:t>
            </w:r>
            <w:r w:rsidRPr="00FA0D37">
              <w:rPr>
                <w:rFonts w:ascii="Arial" w:eastAsiaTheme="minorEastAsia" w:hAnsi="Arial" w:cs="Arial"/>
                <w:sz w:val="18"/>
                <w:szCs w:val="18"/>
              </w:rPr>
              <w:t>)</w:t>
            </w:r>
          </w:p>
          <w:p w14:paraId="1074EE74" w14:textId="77777777" w:rsidR="00394471" w:rsidRPr="00FA0D37" w:rsidRDefault="00394471" w:rsidP="00964CC4">
            <w:pPr>
              <w:pStyle w:val="TAL"/>
              <w:rPr>
                <w:rFonts w:cs="Arial"/>
                <w:szCs w:val="18"/>
                <w:lang w:eastAsia="sv-SE"/>
              </w:rPr>
            </w:pPr>
            <w:r w:rsidRPr="00FA0D37">
              <w:rPr>
                <w:rFonts w:eastAsiaTheme="minorEastAsia" w:cs="Arial"/>
                <w:szCs w:val="18"/>
                <w:lang w:eastAsia="sv-SE"/>
              </w:rPr>
              <w:t>Otherwise, the field is absent</w:t>
            </w:r>
          </w:p>
        </w:tc>
      </w:tr>
      <w:tr w:rsidR="000830BB" w:rsidRPr="00FA0D37" w14:paraId="2908B248" w14:textId="77777777" w:rsidTr="00FB7455">
        <w:tc>
          <w:tcPr>
            <w:tcW w:w="4027" w:type="dxa"/>
            <w:tcBorders>
              <w:top w:val="single" w:sz="4" w:space="0" w:color="auto"/>
              <w:left w:val="single" w:sz="4" w:space="0" w:color="auto"/>
              <w:bottom w:val="single" w:sz="4" w:space="0" w:color="auto"/>
              <w:right w:val="single" w:sz="4" w:space="0" w:color="auto"/>
            </w:tcBorders>
            <w:hideMark/>
          </w:tcPr>
          <w:p w14:paraId="0E6B5510" w14:textId="2A6C0C6A" w:rsidR="00FB7455" w:rsidRPr="00FA0D37" w:rsidRDefault="002D76C2" w:rsidP="00771058">
            <w:pPr>
              <w:pStyle w:val="TAL"/>
              <w:rPr>
                <w:rFonts w:cs="Arial"/>
                <w:i/>
                <w:szCs w:val="18"/>
                <w:lang w:eastAsia="sv-SE"/>
              </w:rPr>
            </w:pPr>
            <w:r w:rsidRPr="00FA0D37">
              <w:rPr>
                <w:rFonts w:cs="Arial"/>
                <w:i/>
                <w:szCs w:val="18"/>
                <w:lang w:eastAsia="sv-SE"/>
              </w:rPr>
              <w:t>PagingRelay</w:t>
            </w:r>
          </w:p>
        </w:tc>
        <w:tc>
          <w:tcPr>
            <w:tcW w:w="10146" w:type="dxa"/>
            <w:tcBorders>
              <w:top w:val="single" w:sz="4" w:space="0" w:color="auto"/>
              <w:left w:val="single" w:sz="4" w:space="0" w:color="auto"/>
              <w:bottom w:val="single" w:sz="4" w:space="0" w:color="auto"/>
              <w:right w:val="single" w:sz="4" w:space="0" w:color="auto"/>
            </w:tcBorders>
            <w:hideMark/>
          </w:tcPr>
          <w:p w14:paraId="46AAFF15" w14:textId="77777777" w:rsidR="00FB7455" w:rsidRPr="00FA0D37" w:rsidRDefault="00FB7455" w:rsidP="00FB7455">
            <w:pPr>
              <w:pStyle w:val="TAL"/>
              <w:rPr>
                <w:rFonts w:eastAsiaTheme="minorEastAsia"/>
              </w:rPr>
            </w:pPr>
            <w:r w:rsidRPr="00FA0D37">
              <w:rPr>
                <w:rFonts w:eastAsiaTheme="minorEastAsia"/>
              </w:rPr>
              <w:t>For L2 U2N Relay UE, the field is optionally present, Need N. Otherwise, it is absent.</w:t>
            </w:r>
          </w:p>
        </w:tc>
      </w:tr>
    </w:tbl>
    <w:p w14:paraId="40DE29AA" w14:textId="77777777" w:rsidR="00394471" w:rsidRPr="00FA0D37" w:rsidRDefault="00394471" w:rsidP="00394471"/>
    <w:p w14:paraId="25F14231" w14:textId="77777777" w:rsidR="00394471" w:rsidRPr="00FA0D37" w:rsidRDefault="00394471" w:rsidP="00394471">
      <w:pPr>
        <w:pStyle w:val="4"/>
        <w:rPr>
          <w:i/>
          <w:iCs/>
        </w:rPr>
      </w:pPr>
      <w:bookmarkStart w:id="635" w:name="_Toc60777109"/>
      <w:bookmarkStart w:id="636" w:name="_Toc146781146"/>
      <w:r w:rsidRPr="00FA0D37">
        <w:rPr>
          <w:i/>
          <w:iCs/>
        </w:rPr>
        <w:t>–</w:t>
      </w:r>
      <w:r w:rsidRPr="00FA0D37">
        <w:rPr>
          <w:i/>
          <w:iCs/>
        </w:rPr>
        <w:tab/>
      </w:r>
      <w:r w:rsidRPr="00FA0D37">
        <w:rPr>
          <w:i/>
          <w:iCs/>
          <w:noProof/>
        </w:rPr>
        <w:t>RRCReconfigurationComplete</w:t>
      </w:r>
      <w:bookmarkEnd w:id="635"/>
      <w:bookmarkEnd w:id="636"/>
    </w:p>
    <w:p w14:paraId="338506B4" w14:textId="77777777" w:rsidR="00394471" w:rsidRPr="00FA0D37" w:rsidRDefault="00394471" w:rsidP="00394471">
      <w:r w:rsidRPr="00FA0D37">
        <w:t xml:space="preserve">The </w:t>
      </w:r>
      <w:r w:rsidRPr="00FA0D37">
        <w:rPr>
          <w:i/>
        </w:rPr>
        <w:t>RRCReconfigurationComplete</w:t>
      </w:r>
      <w:r w:rsidRPr="00FA0D37">
        <w:t xml:space="preserve"> message is used to confirm the successful completion of an RRC connection reconfiguration.</w:t>
      </w:r>
    </w:p>
    <w:p w14:paraId="115EE403" w14:textId="77777777" w:rsidR="00394471" w:rsidRPr="00FA0D37" w:rsidRDefault="00394471" w:rsidP="00394471">
      <w:pPr>
        <w:pStyle w:val="B1"/>
      </w:pPr>
      <w:r w:rsidRPr="00FA0D37">
        <w:t>Signalling radio bearer: SRB1 or SRB3</w:t>
      </w:r>
    </w:p>
    <w:p w14:paraId="005DF88C" w14:textId="77777777" w:rsidR="00394471" w:rsidRPr="00FA0D37" w:rsidRDefault="00394471" w:rsidP="00394471">
      <w:pPr>
        <w:pStyle w:val="B1"/>
      </w:pPr>
      <w:r w:rsidRPr="00FA0D37">
        <w:t>RLC-SAP: AM</w:t>
      </w:r>
    </w:p>
    <w:p w14:paraId="3014C1D7" w14:textId="77777777" w:rsidR="00394471" w:rsidRPr="00FA0D37" w:rsidRDefault="00394471" w:rsidP="00394471">
      <w:pPr>
        <w:pStyle w:val="B1"/>
      </w:pPr>
      <w:r w:rsidRPr="00FA0D37">
        <w:t>Logical channel: DCCH</w:t>
      </w:r>
    </w:p>
    <w:p w14:paraId="275D2AAD" w14:textId="77777777" w:rsidR="00394471" w:rsidRPr="00FA0D37" w:rsidRDefault="00394471" w:rsidP="00394471">
      <w:pPr>
        <w:pStyle w:val="B1"/>
      </w:pPr>
      <w:r w:rsidRPr="00FA0D37">
        <w:t xml:space="preserve">Direction: UE to </w:t>
      </w:r>
      <w:r w:rsidRPr="00FA0D37">
        <w:rPr>
          <w:lang w:eastAsia="zh-CN"/>
        </w:rPr>
        <w:t>Network</w:t>
      </w:r>
    </w:p>
    <w:p w14:paraId="3C3B0158" w14:textId="77777777" w:rsidR="00394471" w:rsidRPr="00FA0D37" w:rsidRDefault="00394471" w:rsidP="00394471">
      <w:pPr>
        <w:pStyle w:val="TH"/>
        <w:rPr>
          <w:bCs/>
          <w:i/>
          <w:iCs/>
        </w:rPr>
      </w:pPr>
      <w:r w:rsidRPr="00FA0D37">
        <w:rPr>
          <w:bCs/>
          <w:i/>
          <w:iCs/>
        </w:rPr>
        <w:t>RRCReconfigurationComplete message</w:t>
      </w:r>
    </w:p>
    <w:p w14:paraId="3EAF6649" w14:textId="77777777" w:rsidR="00394471" w:rsidRPr="00FA0D37" w:rsidRDefault="00394471" w:rsidP="00FA0D37">
      <w:pPr>
        <w:pStyle w:val="PL"/>
        <w:rPr>
          <w:color w:val="808080"/>
        </w:rPr>
      </w:pPr>
      <w:r w:rsidRPr="00FA0D37">
        <w:rPr>
          <w:color w:val="808080"/>
        </w:rPr>
        <w:t>-- ASN1START</w:t>
      </w:r>
    </w:p>
    <w:p w14:paraId="69F3C5C6" w14:textId="77777777" w:rsidR="00394471" w:rsidRPr="00FA0D37" w:rsidRDefault="00394471" w:rsidP="00FA0D37">
      <w:pPr>
        <w:pStyle w:val="PL"/>
        <w:rPr>
          <w:color w:val="808080"/>
        </w:rPr>
      </w:pPr>
      <w:r w:rsidRPr="00FA0D37">
        <w:rPr>
          <w:color w:val="808080"/>
        </w:rPr>
        <w:t>-- TAG-RRCRECONFIGURATIONCOMPLETE-START</w:t>
      </w:r>
    </w:p>
    <w:p w14:paraId="47F7332B" w14:textId="77777777" w:rsidR="00394471" w:rsidRPr="00FA0D37" w:rsidRDefault="00394471" w:rsidP="00FA0D37">
      <w:pPr>
        <w:pStyle w:val="PL"/>
      </w:pPr>
    </w:p>
    <w:p w14:paraId="7172C439" w14:textId="77777777" w:rsidR="00394471" w:rsidRPr="00FA0D37" w:rsidRDefault="00394471" w:rsidP="00FA0D37">
      <w:pPr>
        <w:pStyle w:val="PL"/>
      </w:pPr>
      <w:r w:rsidRPr="00FA0D37">
        <w:t xml:space="preserve">RRCReconfigurationComplete ::=              </w:t>
      </w:r>
      <w:r w:rsidRPr="00FA0D37">
        <w:rPr>
          <w:color w:val="993366"/>
        </w:rPr>
        <w:t>SEQUENCE</w:t>
      </w:r>
      <w:r w:rsidRPr="00FA0D37">
        <w:t xml:space="preserve"> {</w:t>
      </w:r>
    </w:p>
    <w:p w14:paraId="5ADEA31C" w14:textId="77777777" w:rsidR="00394471" w:rsidRPr="00FA0D37" w:rsidRDefault="00394471" w:rsidP="00FA0D37">
      <w:pPr>
        <w:pStyle w:val="PL"/>
      </w:pPr>
      <w:r w:rsidRPr="00FA0D37">
        <w:t xml:space="preserve">    rrc-TransactionIdentifier                   RRC-TransactionIdentifier,</w:t>
      </w:r>
    </w:p>
    <w:p w14:paraId="2A24524C" w14:textId="77777777" w:rsidR="00394471" w:rsidRPr="00FA0D37" w:rsidRDefault="00394471" w:rsidP="00FA0D37">
      <w:pPr>
        <w:pStyle w:val="PL"/>
      </w:pPr>
      <w:r w:rsidRPr="00FA0D37">
        <w:lastRenderedPageBreak/>
        <w:t xml:space="preserve">    criticalExtensions                          </w:t>
      </w:r>
      <w:r w:rsidRPr="00FA0D37">
        <w:rPr>
          <w:color w:val="993366"/>
        </w:rPr>
        <w:t>CHOICE</w:t>
      </w:r>
      <w:r w:rsidRPr="00FA0D37">
        <w:t xml:space="preserve"> {</w:t>
      </w:r>
    </w:p>
    <w:p w14:paraId="4E760161" w14:textId="77777777" w:rsidR="00394471" w:rsidRPr="00FA0D37" w:rsidRDefault="00394471" w:rsidP="00FA0D37">
      <w:pPr>
        <w:pStyle w:val="PL"/>
      </w:pPr>
      <w:r w:rsidRPr="00FA0D37">
        <w:t xml:space="preserve">        rrcReconfigurationComplete                  RRCReconfigurationComplete-IEs,</w:t>
      </w:r>
    </w:p>
    <w:p w14:paraId="201FC2ED"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7D85CC05" w14:textId="77777777" w:rsidR="00394471" w:rsidRPr="00FA0D37" w:rsidRDefault="00394471" w:rsidP="00FA0D37">
      <w:pPr>
        <w:pStyle w:val="PL"/>
      </w:pPr>
      <w:r w:rsidRPr="00FA0D37">
        <w:t xml:space="preserve">    }</w:t>
      </w:r>
    </w:p>
    <w:p w14:paraId="10F0D86D" w14:textId="77777777" w:rsidR="00394471" w:rsidRPr="00FA0D37" w:rsidRDefault="00394471" w:rsidP="00FA0D37">
      <w:pPr>
        <w:pStyle w:val="PL"/>
      </w:pPr>
      <w:r w:rsidRPr="00FA0D37">
        <w:t>}</w:t>
      </w:r>
    </w:p>
    <w:p w14:paraId="02AB83C6" w14:textId="77777777" w:rsidR="00394471" w:rsidRPr="00FA0D37" w:rsidRDefault="00394471" w:rsidP="00FA0D37">
      <w:pPr>
        <w:pStyle w:val="PL"/>
      </w:pPr>
    </w:p>
    <w:p w14:paraId="08EB02EC" w14:textId="77777777" w:rsidR="00394471" w:rsidRPr="00FA0D37" w:rsidRDefault="00394471" w:rsidP="00FA0D37">
      <w:pPr>
        <w:pStyle w:val="PL"/>
      </w:pPr>
      <w:r w:rsidRPr="00FA0D37">
        <w:t xml:space="preserve">RRCReconfigurationComplete-IEs ::=          </w:t>
      </w:r>
      <w:r w:rsidRPr="00FA0D37">
        <w:rPr>
          <w:color w:val="993366"/>
        </w:rPr>
        <w:t>SEQUENCE</w:t>
      </w:r>
      <w:r w:rsidRPr="00FA0D37">
        <w:t xml:space="preserve"> {</w:t>
      </w:r>
    </w:p>
    <w:p w14:paraId="3ADBCFDC"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DC1F744" w14:textId="77777777" w:rsidR="00394471" w:rsidRPr="00FA0D37" w:rsidRDefault="00394471" w:rsidP="00FA0D37">
      <w:pPr>
        <w:pStyle w:val="PL"/>
      </w:pPr>
      <w:r w:rsidRPr="00FA0D37">
        <w:t xml:space="preserve">    nonCriticalExtension                        RRCReconfigurationComplete-v1530-IEs                                    </w:t>
      </w:r>
      <w:r w:rsidRPr="00FA0D37">
        <w:rPr>
          <w:color w:val="993366"/>
        </w:rPr>
        <w:t>OPTIONAL</w:t>
      </w:r>
    </w:p>
    <w:p w14:paraId="3537B9C8" w14:textId="77777777" w:rsidR="00394471" w:rsidRPr="00FA0D37" w:rsidRDefault="00394471" w:rsidP="00FA0D37">
      <w:pPr>
        <w:pStyle w:val="PL"/>
      </w:pPr>
      <w:r w:rsidRPr="00FA0D37">
        <w:t>}</w:t>
      </w:r>
    </w:p>
    <w:p w14:paraId="35DEEB79" w14:textId="77777777" w:rsidR="00394471" w:rsidRPr="00FA0D37" w:rsidRDefault="00394471" w:rsidP="00FA0D37">
      <w:pPr>
        <w:pStyle w:val="PL"/>
      </w:pPr>
    </w:p>
    <w:p w14:paraId="43FC552D" w14:textId="77777777" w:rsidR="00394471" w:rsidRPr="00FA0D37" w:rsidRDefault="00394471" w:rsidP="00FA0D37">
      <w:pPr>
        <w:pStyle w:val="PL"/>
      </w:pPr>
      <w:r w:rsidRPr="00FA0D37">
        <w:t xml:space="preserve">RRCReconfigurationComplete-v1530-IEs ::=    </w:t>
      </w:r>
      <w:r w:rsidRPr="00FA0D37">
        <w:rPr>
          <w:color w:val="993366"/>
        </w:rPr>
        <w:t>SEQUENCE</w:t>
      </w:r>
      <w:r w:rsidRPr="00FA0D37">
        <w:t xml:space="preserve"> {</w:t>
      </w:r>
    </w:p>
    <w:p w14:paraId="425C7F7B" w14:textId="77777777" w:rsidR="00394471" w:rsidRPr="00FA0D37" w:rsidRDefault="00394471" w:rsidP="00FA0D37">
      <w:pPr>
        <w:pStyle w:val="PL"/>
      </w:pPr>
      <w:r w:rsidRPr="00FA0D37">
        <w:t xml:space="preserve">    uplinkTxDirectCurrentList                   UplinkTxDirectCurrentList                                               </w:t>
      </w:r>
      <w:r w:rsidRPr="00FA0D37">
        <w:rPr>
          <w:color w:val="993366"/>
        </w:rPr>
        <w:t>OPTIONAL</w:t>
      </w:r>
      <w:r w:rsidRPr="00FA0D37">
        <w:t>,</w:t>
      </w:r>
    </w:p>
    <w:p w14:paraId="71936D3E" w14:textId="77777777" w:rsidR="00394471" w:rsidRPr="00FA0D37" w:rsidRDefault="00394471" w:rsidP="00FA0D37">
      <w:pPr>
        <w:pStyle w:val="PL"/>
      </w:pPr>
      <w:r w:rsidRPr="00FA0D37">
        <w:t xml:space="preserve">    nonCriticalExtension                        RRCReconfigurationComplete-v1560-IEs                                    </w:t>
      </w:r>
      <w:r w:rsidRPr="00FA0D37">
        <w:rPr>
          <w:color w:val="993366"/>
        </w:rPr>
        <w:t>OPTIONAL</w:t>
      </w:r>
    </w:p>
    <w:p w14:paraId="3FD2E261" w14:textId="77777777" w:rsidR="00394471" w:rsidRPr="00FA0D37" w:rsidRDefault="00394471" w:rsidP="00FA0D37">
      <w:pPr>
        <w:pStyle w:val="PL"/>
      </w:pPr>
      <w:r w:rsidRPr="00FA0D37">
        <w:t>}</w:t>
      </w:r>
    </w:p>
    <w:p w14:paraId="18436AA6" w14:textId="77777777" w:rsidR="00394471" w:rsidRPr="00FA0D37" w:rsidRDefault="00394471" w:rsidP="00FA0D37">
      <w:pPr>
        <w:pStyle w:val="PL"/>
      </w:pPr>
    </w:p>
    <w:p w14:paraId="6D5F19C0" w14:textId="77777777" w:rsidR="00394471" w:rsidRPr="00FA0D37" w:rsidRDefault="00394471" w:rsidP="00FA0D37">
      <w:pPr>
        <w:pStyle w:val="PL"/>
      </w:pPr>
      <w:r w:rsidRPr="00FA0D37">
        <w:t xml:space="preserve">RRCReconfigurationComplete-v1560-IEs ::=    </w:t>
      </w:r>
      <w:r w:rsidRPr="00FA0D37">
        <w:rPr>
          <w:color w:val="993366"/>
        </w:rPr>
        <w:t>SEQUENCE</w:t>
      </w:r>
      <w:r w:rsidRPr="00FA0D37">
        <w:t xml:space="preserve"> {</w:t>
      </w:r>
    </w:p>
    <w:p w14:paraId="746BC479" w14:textId="77777777" w:rsidR="00394471" w:rsidRPr="00FA0D37" w:rsidRDefault="00394471" w:rsidP="00FA0D37">
      <w:pPr>
        <w:pStyle w:val="PL"/>
      </w:pPr>
      <w:r w:rsidRPr="00FA0D37">
        <w:t xml:space="preserve">    scg-Response                                </w:t>
      </w:r>
      <w:r w:rsidRPr="00FA0D37">
        <w:rPr>
          <w:color w:val="993366"/>
        </w:rPr>
        <w:t>CHOICE</w:t>
      </w:r>
      <w:r w:rsidRPr="00FA0D37">
        <w:t xml:space="preserve"> {</w:t>
      </w:r>
    </w:p>
    <w:p w14:paraId="655D3B2F" w14:textId="77777777" w:rsidR="00394471" w:rsidRPr="00FA0D37" w:rsidRDefault="00394471" w:rsidP="00FA0D37">
      <w:pPr>
        <w:pStyle w:val="PL"/>
      </w:pPr>
      <w:r w:rsidRPr="00FA0D37">
        <w:t xml:space="preserve">        nr-SCG-Response                             </w:t>
      </w:r>
      <w:r w:rsidRPr="00FA0D37">
        <w:rPr>
          <w:color w:val="993366"/>
        </w:rPr>
        <w:t>OCTET</w:t>
      </w:r>
      <w:r w:rsidRPr="00FA0D37">
        <w:t xml:space="preserve"> </w:t>
      </w:r>
      <w:r w:rsidRPr="00FA0D37">
        <w:rPr>
          <w:color w:val="993366"/>
        </w:rPr>
        <w:t>STRING</w:t>
      </w:r>
      <w:r w:rsidRPr="00FA0D37">
        <w:t xml:space="preserve"> (CONTAINING RRCReconfigurationComplete),</w:t>
      </w:r>
    </w:p>
    <w:p w14:paraId="44B46333" w14:textId="77777777" w:rsidR="00394471" w:rsidRPr="00FA0D37" w:rsidRDefault="00394471" w:rsidP="00FA0D37">
      <w:pPr>
        <w:pStyle w:val="PL"/>
      </w:pPr>
      <w:r w:rsidRPr="00FA0D37">
        <w:t xml:space="preserve">        eutra-SCG-Response                          </w:t>
      </w:r>
      <w:r w:rsidRPr="00FA0D37">
        <w:rPr>
          <w:color w:val="993366"/>
        </w:rPr>
        <w:t>OCTET</w:t>
      </w:r>
      <w:r w:rsidRPr="00FA0D37">
        <w:t xml:space="preserve"> </w:t>
      </w:r>
      <w:r w:rsidRPr="00FA0D37">
        <w:rPr>
          <w:color w:val="993366"/>
        </w:rPr>
        <w:t>STRING</w:t>
      </w:r>
    </w:p>
    <w:p w14:paraId="574E6F4C" w14:textId="77777777" w:rsidR="00394471" w:rsidRPr="00FA0D37" w:rsidRDefault="00394471" w:rsidP="00FA0D37">
      <w:pPr>
        <w:pStyle w:val="PL"/>
      </w:pPr>
      <w:r w:rsidRPr="00FA0D37">
        <w:t xml:space="preserve">    }                                                                                                                       </w:t>
      </w:r>
      <w:r w:rsidRPr="00FA0D37">
        <w:rPr>
          <w:color w:val="993366"/>
        </w:rPr>
        <w:t>OPTIONAL</w:t>
      </w:r>
      <w:r w:rsidRPr="00FA0D37">
        <w:t>,</w:t>
      </w:r>
    </w:p>
    <w:p w14:paraId="7710934B" w14:textId="77777777" w:rsidR="00394471" w:rsidRPr="00FA0D37" w:rsidRDefault="00394471" w:rsidP="00FA0D37">
      <w:pPr>
        <w:pStyle w:val="PL"/>
      </w:pPr>
      <w:r w:rsidRPr="00FA0D37">
        <w:t xml:space="preserve">    nonCriticalExtension                        RRCReconfigurationComplete-v1610-IEs                                    </w:t>
      </w:r>
      <w:r w:rsidRPr="00FA0D37">
        <w:rPr>
          <w:color w:val="993366"/>
        </w:rPr>
        <w:t>OPTIONAL</w:t>
      </w:r>
    </w:p>
    <w:p w14:paraId="51EF9889" w14:textId="77777777" w:rsidR="00394471" w:rsidRPr="00FA0D37" w:rsidRDefault="00394471" w:rsidP="00FA0D37">
      <w:pPr>
        <w:pStyle w:val="PL"/>
      </w:pPr>
      <w:r w:rsidRPr="00FA0D37">
        <w:t>}</w:t>
      </w:r>
    </w:p>
    <w:p w14:paraId="6FBB9602" w14:textId="77777777" w:rsidR="00394471" w:rsidRPr="00FA0D37" w:rsidRDefault="00394471" w:rsidP="00FA0D37">
      <w:pPr>
        <w:pStyle w:val="PL"/>
      </w:pPr>
    </w:p>
    <w:p w14:paraId="0A76CD8E" w14:textId="77777777" w:rsidR="00394471" w:rsidRPr="00FA0D37" w:rsidRDefault="00394471" w:rsidP="00FA0D37">
      <w:pPr>
        <w:pStyle w:val="PL"/>
      </w:pPr>
      <w:r w:rsidRPr="00FA0D37">
        <w:t xml:space="preserve">RRCReconfigurationComplete-v1610-IEs ::=    </w:t>
      </w:r>
      <w:r w:rsidRPr="00FA0D37">
        <w:rPr>
          <w:color w:val="993366"/>
        </w:rPr>
        <w:t>SEQUENCE</w:t>
      </w:r>
      <w:r w:rsidRPr="00FA0D37">
        <w:t xml:space="preserve"> {</w:t>
      </w:r>
    </w:p>
    <w:p w14:paraId="0AB879C3" w14:textId="77777777" w:rsidR="00394471" w:rsidRPr="00FA0D37" w:rsidRDefault="00394471" w:rsidP="00FA0D37">
      <w:pPr>
        <w:pStyle w:val="PL"/>
      </w:pPr>
      <w:r w:rsidRPr="00FA0D37">
        <w:t xml:space="preserve">    ue-MeasurementsAvailable-r16                UE-MeasurementsAvailable-r16                                            </w:t>
      </w:r>
      <w:r w:rsidRPr="00FA0D37">
        <w:rPr>
          <w:color w:val="993366"/>
        </w:rPr>
        <w:t>OPTIONAL</w:t>
      </w:r>
      <w:r w:rsidRPr="00FA0D37">
        <w:t>,</w:t>
      </w:r>
    </w:p>
    <w:p w14:paraId="6223D1A7" w14:textId="77777777" w:rsidR="00394471" w:rsidRPr="00FA0D37" w:rsidRDefault="00394471" w:rsidP="00FA0D37">
      <w:pPr>
        <w:pStyle w:val="PL"/>
      </w:pPr>
      <w:r w:rsidRPr="00FA0D37">
        <w:t xml:space="preserve">    needForGapsInfoNR-r16                       NeedForGapsInfoNR-r16                                                   </w:t>
      </w:r>
      <w:r w:rsidRPr="00FA0D37">
        <w:rPr>
          <w:color w:val="993366"/>
        </w:rPr>
        <w:t>OPTIONAL</w:t>
      </w:r>
      <w:r w:rsidRPr="00FA0D37">
        <w:t>,</w:t>
      </w:r>
    </w:p>
    <w:p w14:paraId="132EED21" w14:textId="40193488" w:rsidR="00394471" w:rsidRPr="00FA0D37" w:rsidRDefault="00394471" w:rsidP="00FA0D37">
      <w:pPr>
        <w:pStyle w:val="PL"/>
      </w:pPr>
      <w:r w:rsidRPr="00FA0D37">
        <w:t xml:space="preserve">    nonCriticalExtension                        </w:t>
      </w:r>
      <w:r w:rsidR="002070A4" w:rsidRPr="00FA0D37">
        <w:t>RRCReconfigurationComplete-v</w:t>
      </w:r>
      <w:r w:rsidR="000C2783" w:rsidRPr="00FA0D37">
        <w:t>1640</w:t>
      </w:r>
      <w:r w:rsidR="002070A4" w:rsidRPr="00FA0D37">
        <w:t>-IEs</w:t>
      </w:r>
      <w:r w:rsidRPr="00FA0D37">
        <w:t xml:space="preserve">                                    </w:t>
      </w:r>
      <w:r w:rsidRPr="00FA0D37">
        <w:rPr>
          <w:color w:val="993366"/>
        </w:rPr>
        <w:t>OPTIONAL</w:t>
      </w:r>
    </w:p>
    <w:p w14:paraId="51D49EBA" w14:textId="77777777" w:rsidR="002070A4" w:rsidRPr="00FA0D37" w:rsidRDefault="00394471" w:rsidP="00FA0D37">
      <w:pPr>
        <w:pStyle w:val="PL"/>
      </w:pPr>
      <w:r w:rsidRPr="00FA0D37">
        <w:t>}</w:t>
      </w:r>
    </w:p>
    <w:p w14:paraId="64DA24F4" w14:textId="77777777" w:rsidR="002070A4" w:rsidRPr="00FA0D37" w:rsidRDefault="002070A4" w:rsidP="00FA0D37">
      <w:pPr>
        <w:pStyle w:val="PL"/>
      </w:pPr>
    </w:p>
    <w:p w14:paraId="1FC88740" w14:textId="2043A39F" w:rsidR="002070A4" w:rsidRPr="00FA0D37" w:rsidRDefault="002070A4" w:rsidP="00FA0D37">
      <w:pPr>
        <w:pStyle w:val="PL"/>
      </w:pPr>
      <w:r w:rsidRPr="00FA0D37">
        <w:t>RRCReconfigurationComplete-v</w:t>
      </w:r>
      <w:r w:rsidR="000C2783" w:rsidRPr="00FA0D37">
        <w:t>1640</w:t>
      </w:r>
      <w:r w:rsidRPr="00FA0D37">
        <w:t xml:space="preserve">-IEs ::=    </w:t>
      </w:r>
      <w:r w:rsidRPr="00FA0D37">
        <w:rPr>
          <w:color w:val="993366"/>
        </w:rPr>
        <w:t>SEQUENCE</w:t>
      </w:r>
      <w:r w:rsidRPr="00FA0D37">
        <w:t xml:space="preserve"> {</w:t>
      </w:r>
    </w:p>
    <w:p w14:paraId="6AF95739" w14:textId="6F002325" w:rsidR="002070A4" w:rsidRPr="00FA0D37" w:rsidRDefault="002070A4" w:rsidP="00FA0D37">
      <w:pPr>
        <w:pStyle w:val="PL"/>
      </w:pPr>
      <w:r w:rsidRPr="00FA0D37">
        <w:t xml:space="preserve">    uplinkTxDirectCurrentTwoCarrierList-r16     UplinkTxDirectCurrentTwoCarrierList-r16                                 </w:t>
      </w:r>
      <w:r w:rsidRPr="00FA0D37">
        <w:rPr>
          <w:color w:val="993366"/>
        </w:rPr>
        <w:t>OPTIONAL</w:t>
      </w:r>
      <w:r w:rsidRPr="00FA0D37">
        <w:t>,</w:t>
      </w:r>
    </w:p>
    <w:p w14:paraId="7A940FA7" w14:textId="707A3071" w:rsidR="002070A4" w:rsidRPr="00FA0D37" w:rsidRDefault="002070A4" w:rsidP="00FA0D37">
      <w:pPr>
        <w:pStyle w:val="PL"/>
      </w:pPr>
      <w:r w:rsidRPr="00FA0D37">
        <w:t xml:space="preserve">    nonCriticalExtension                        </w:t>
      </w:r>
      <w:r w:rsidR="00766157" w:rsidRPr="00FA0D37">
        <w:t>RRCReconfigurationComplete-v1700-IEs</w:t>
      </w:r>
      <w:r w:rsidRPr="00FA0D37">
        <w:t xml:space="preserve">           </w:t>
      </w:r>
      <w:r w:rsidR="00E46198" w:rsidRPr="00FA0D37">
        <w:t xml:space="preserve">                         </w:t>
      </w:r>
      <w:r w:rsidRPr="00FA0D37">
        <w:rPr>
          <w:color w:val="993366"/>
        </w:rPr>
        <w:t>OPTIONAL</w:t>
      </w:r>
    </w:p>
    <w:p w14:paraId="0A4BCF54" w14:textId="674FE59F" w:rsidR="00394471" w:rsidRPr="00FA0D37" w:rsidRDefault="002070A4" w:rsidP="00FA0D37">
      <w:pPr>
        <w:pStyle w:val="PL"/>
      </w:pPr>
      <w:r w:rsidRPr="00FA0D37">
        <w:t>}</w:t>
      </w:r>
    </w:p>
    <w:p w14:paraId="4AFED6FD" w14:textId="77777777" w:rsidR="00766157" w:rsidRPr="00FA0D37" w:rsidRDefault="00766157" w:rsidP="00FA0D37">
      <w:pPr>
        <w:pStyle w:val="PL"/>
      </w:pPr>
    </w:p>
    <w:p w14:paraId="2D8A8D37" w14:textId="6CFC7DDA" w:rsidR="00766157" w:rsidRPr="00FA0D37" w:rsidRDefault="00766157" w:rsidP="00FA0D37">
      <w:pPr>
        <w:pStyle w:val="PL"/>
      </w:pPr>
      <w:r w:rsidRPr="00FA0D37">
        <w:t xml:space="preserve">RRCReconfigurationComplete-v1700-IEs ::=    </w:t>
      </w:r>
      <w:r w:rsidRPr="00FA0D37">
        <w:rPr>
          <w:color w:val="993366"/>
        </w:rPr>
        <w:t>SEQUENCE</w:t>
      </w:r>
      <w:r w:rsidRPr="00FA0D37">
        <w:t xml:space="preserve"> {</w:t>
      </w:r>
    </w:p>
    <w:p w14:paraId="375840A3" w14:textId="3D5DDFF3" w:rsidR="00766157" w:rsidRPr="00FA0D37" w:rsidRDefault="00766157" w:rsidP="00FA0D37">
      <w:pPr>
        <w:pStyle w:val="PL"/>
      </w:pPr>
      <w:r w:rsidRPr="00FA0D37">
        <w:t xml:space="preserve">    needFor</w:t>
      </w:r>
      <w:r w:rsidR="000668CD" w:rsidRPr="00FA0D37">
        <w:t>Gap</w:t>
      </w:r>
      <w:r w:rsidRPr="00FA0D37">
        <w:t>NCSG-InfoNR-r17                   NeedFor</w:t>
      </w:r>
      <w:r w:rsidR="000668CD" w:rsidRPr="00FA0D37">
        <w:t>Gap</w:t>
      </w:r>
      <w:r w:rsidRPr="00FA0D37">
        <w:t xml:space="preserve">NCSG-InfoNR-r17                                               </w:t>
      </w:r>
      <w:r w:rsidRPr="00FA0D37">
        <w:rPr>
          <w:color w:val="993366"/>
        </w:rPr>
        <w:t>OPTIONAL</w:t>
      </w:r>
      <w:r w:rsidRPr="00FA0D37">
        <w:t>,</w:t>
      </w:r>
    </w:p>
    <w:p w14:paraId="4FB475E5" w14:textId="26A5DB42" w:rsidR="00766157" w:rsidRPr="00FA0D37" w:rsidRDefault="00766157" w:rsidP="00FA0D37">
      <w:pPr>
        <w:pStyle w:val="PL"/>
      </w:pPr>
      <w:r w:rsidRPr="00FA0D37">
        <w:t xml:space="preserve">    needFor</w:t>
      </w:r>
      <w:r w:rsidR="000668CD" w:rsidRPr="00FA0D37">
        <w:t>Gap</w:t>
      </w:r>
      <w:r w:rsidRPr="00FA0D37">
        <w:t>NCSG-InfoEUTRA-r17                NeedFor</w:t>
      </w:r>
      <w:r w:rsidR="000668CD" w:rsidRPr="00FA0D37">
        <w:t>Gap</w:t>
      </w:r>
      <w:r w:rsidRPr="00FA0D37">
        <w:t xml:space="preserve">NCSG-InfoEUTRA-r17                                            </w:t>
      </w:r>
      <w:r w:rsidRPr="00FA0D37">
        <w:rPr>
          <w:color w:val="993366"/>
        </w:rPr>
        <w:t>OPTIONAL</w:t>
      </w:r>
      <w:r w:rsidRPr="00FA0D37">
        <w:t>,</w:t>
      </w:r>
    </w:p>
    <w:p w14:paraId="1EF9AE84" w14:textId="77777777" w:rsidR="00DB6B82" w:rsidRPr="00FA0D37" w:rsidRDefault="00DB6B82" w:rsidP="00FA0D37">
      <w:pPr>
        <w:pStyle w:val="PL"/>
      </w:pPr>
      <w:r w:rsidRPr="00FA0D37">
        <w:t xml:space="preserve">    selectedCondRRCReconfig-r17                 CondReconfigId-r16                                                      </w:t>
      </w:r>
      <w:r w:rsidRPr="00FA0D37">
        <w:rPr>
          <w:color w:val="993366"/>
        </w:rPr>
        <w:t>OPTIONAL</w:t>
      </w:r>
      <w:r w:rsidRPr="00FA0D37">
        <w:t>,</w:t>
      </w:r>
    </w:p>
    <w:p w14:paraId="591BB35F" w14:textId="147A9277" w:rsidR="00766157" w:rsidRPr="00FA0D37" w:rsidRDefault="00766157" w:rsidP="00FA0D37">
      <w:pPr>
        <w:pStyle w:val="PL"/>
      </w:pPr>
      <w:r w:rsidRPr="00FA0D37">
        <w:t xml:space="preserve">    nonCriticalExtension                        </w:t>
      </w:r>
      <w:r w:rsidR="006C69F1" w:rsidRPr="00FA0D37">
        <w:t>RRCReconfigurationComplete-v1720-IEs</w:t>
      </w:r>
      <w:r w:rsidRPr="00FA0D37">
        <w:t xml:space="preserve">                                    </w:t>
      </w:r>
      <w:r w:rsidRPr="00FA0D37">
        <w:rPr>
          <w:color w:val="993366"/>
        </w:rPr>
        <w:t>OPTIONAL</w:t>
      </w:r>
    </w:p>
    <w:p w14:paraId="16BD33E8" w14:textId="77777777" w:rsidR="00766157" w:rsidRPr="00FA0D37" w:rsidRDefault="00766157" w:rsidP="00FA0D37">
      <w:pPr>
        <w:pStyle w:val="PL"/>
      </w:pPr>
      <w:r w:rsidRPr="00FA0D37">
        <w:t>}</w:t>
      </w:r>
    </w:p>
    <w:p w14:paraId="195D6FCF" w14:textId="7D2C735F" w:rsidR="00394471" w:rsidRPr="00FA0D37" w:rsidRDefault="00394471" w:rsidP="00FA0D37">
      <w:pPr>
        <w:pStyle w:val="PL"/>
      </w:pPr>
    </w:p>
    <w:p w14:paraId="5065898D" w14:textId="4F1D4781" w:rsidR="006C69F1" w:rsidRPr="00FA0D37" w:rsidRDefault="006C69F1" w:rsidP="00FA0D37">
      <w:pPr>
        <w:pStyle w:val="PL"/>
      </w:pPr>
      <w:r w:rsidRPr="00FA0D37">
        <w:t xml:space="preserve">RRCReconfigurationComplete-v1720-IEs ::=    </w:t>
      </w:r>
      <w:r w:rsidRPr="00FA0D37">
        <w:rPr>
          <w:color w:val="993366"/>
        </w:rPr>
        <w:t>SEQUENCE</w:t>
      </w:r>
      <w:r w:rsidRPr="00FA0D37">
        <w:t xml:space="preserve"> {</w:t>
      </w:r>
    </w:p>
    <w:p w14:paraId="625AB472" w14:textId="66A76C70" w:rsidR="006C69F1" w:rsidRPr="00FA0D37" w:rsidRDefault="006C69F1" w:rsidP="00FA0D37">
      <w:pPr>
        <w:pStyle w:val="PL"/>
      </w:pPr>
      <w:r w:rsidRPr="00FA0D37">
        <w:t xml:space="preserve">    uplinkTxDirectCurrentMoreCarrierList-r17    UplinkTxDirectCurrentMoreCarrierList-r17                                </w:t>
      </w:r>
      <w:r w:rsidRPr="00FA0D37">
        <w:rPr>
          <w:color w:val="993366"/>
        </w:rPr>
        <w:t>OPTIONAL</w:t>
      </w:r>
      <w:r w:rsidRPr="00FA0D37">
        <w:t>,</w:t>
      </w:r>
    </w:p>
    <w:p w14:paraId="4CC96B88" w14:textId="7D5E7B72" w:rsidR="006C69F1" w:rsidRPr="00FA0D37" w:rsidRDefault="006C69F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2D530B5C" w14:textId="2CAB2E1C" w:rsidR="006C69F1" w:rsidRPr="00FA0D37" w:rsidRDefault="006C69F1" w:rsidP="00FA0D37">
      <w:pPr>
        <w:pStyle w:val="PL"/>
      </w:pPr>
      <w:r w:rsidRPr="00FA0D37">
        <w:t>}</w:t>
      </w:r>
    </w:p>
    <w:p w14:paraId="3E14BAD1" w14:textId="77777777" w:rsidR="006C69F1" w:rsidRPr="00FA0D37" w:rsidRDefault="006C69F1" w:rsidP="00FA0D37">
      <w:pPr>
        <w:pStyle w:val="PL"/>
      </w:pPr>
    </w:p>
    <w:p w14:paraId="309704B5" w14:textId="77777777" w:rsidR="00394471" w:rsidRPr="00FA0D37" w:rsidRDefault="00394471" w:rsidP="00FA0D37">
      <w:pPr>
        <w:pStyle w:val="PL"/>
        <w:rPr>
          <w:color w:val="808080"/>
        </w:rPr>
      </w:pPr>
      <w:r w:rsidRPr="00FA0D37">
        <w:rPr>
          <w:color w:val="808080"/>
        </w:rPr>
        <w:t>-- TAG-RRCRECONFIGURATIONCOMPLETE-STOP</w:t>
      </w:r>
    </w:p>
    <w:p w14:paraId="2C9C698C" w14:textId="77777777" w:rsidR="00394471" w:rsidRPr="00FA0D37" w:rsidRDefault="00394471" w:rsidP="00FA0D37">
      <w:pPr>
        <w:pStyle w:val="PL"/>
        <w:rPr>
          <w:color w:val="808080"/>
        </w:rPr>
      </w:pPr>
      <w:r w:rsidRPr="00FA0D37">
        <w:rPr>
          <w:color w:val="808080"/>
        </w:rPr>
        <w:t>-- ASN1STOP</w:t>
      </w:r>
    </w:p>
    <w:p w14:paraId="0789F8E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D0934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D7B1F" w14:textId="77777777" w:rsidR="00394471" w:rsidRPr="00FA0D37" w:rsidRDefault="00394471" w:rsidP="00964CC4">
            <w:pPr>
              <w:pStyle w:val="TAH"/>
              <w:rPr>
                <w:szCs w:val="22"/>
                <w:lang w:eastAsia="sv-SE"/>
              </w:rPr>
            </w:pPr>
            <w:r w:rsidRPr="00FA0D37">
              <w:rPr>
                <w:i/>
                <w:szCs w:val="22"/>
                <w:lang w:eastAsia="sv-SE"/>
              </w:rPr>
              <w:lastRenderedPageBreak/>
              <w:t xml:space="preserve">RRCReconfigurationComplete-IEs </w:t>
            </w:r>
            <w:r w:rsidRPr="00FA0D37">
              <w:rPr>
                <w:szCs w:val="22"/>
                <w:lang w:eastAsia="sv-SE"/>
              </w:rPr>
              <w:t>field descriptions</w:t>
            </w:r>
          </w:p>
        </w:tc>
      </w:tr>
      <w:tr w:rsidR="005C7FF4" w:rsidRPr="00FA0D37" w14:paraId="39BCB3C0" w14:textId="77777777" w:rsidTr="00964CC4">
        <w:tc>
          <w:tcPr>
            <w:tcW w:w="14173" w:type="dxa"/>
            <w:tcBorders>
              <w:top w:val="single" w:sz="4" w:space="0" w:color="auto"/>
              <w:left w:val="single" w:sz="4" w:space="0" w:color="auto"/>
              <w:bottom w:val="single" w:sz="4" w:space="0" w:color="auto"/>
              <w:right w:val="single" w:sz="4" w:space="0" w:color="auto"/>
            </w:tcBorders>
          </w:tcPr>
          <w:p w14:paraId="553481DD" w14:textId="77777777" w:rsidR="00394471" w:rsidRPr="00FA0D37" w:rsidRDefault="00394471" w:rsidP="00964CC4">
            <w:pPr>
              <w:pStyle w:val="TAL"/>
              <w:rPr>
                <w:b/>
                <w:bCs/>
                <w:i/>
                <w:iCs/>
              </w:rPr>
            </w:pPr>
            <w:r w:rsidRPr="00FA0D37">
              <w:rPr>
                <w:b/>
                <w:bCs/>
                <w:i/>
                <w:iCs/>
              </w:rPr>
              <w:t>needForGapsInfoNR</w:t>
            </w:r>
          </w:p>
          <w:p w14:paraId="5A66EDC6" w14:textId="77777777" w:rsidR="00394471" w:rsidRPr="00FA0D37" w:rsidRDefault="00394471" w:rsidP="00964CC4">
            <w:pPr>
              <w:pStyle w:val="TAL"/>
              <w:rPr>
                <w:lang w:eastAsia="sv-SE"/>
              </w:rPr>
            </w:pPr>
            <w:r w:rsidRPr="00FA0D37">
              <w:rPr>
                <w:szCs w:val="22"/>
              </w:rPr>
              <w:t>This field is used to indicate the measurement gap requirement information of the UE for NR target bands.</w:t>
            </w:r>
          </w:p>
        </w:tc>
      </w:tr>
      <w:tr w:rsidR="005C7FF4" w:rsidRPr="00FA0D37" w14:paraId="558CDA01" w14:textId="77777777" w:rsidTr="00964CC4">
        <w:tc>
          <w:tcPr>
            <w:tcW w:w="14173" w:type="dxa"/>
            <w:tcBorders>
              <w:top w:val="single" w:sz="4" w:space="0" w:color="auto"/>
              <w:left w:val="single" w:sz="4" w:space="0" w:color="auto"/>
              <w:bottom w:val="single" w:sz="4" w:space="0" w:color="auto"/>
              <w:right w:val="single" w:sz="4" w:space="0" w:color="auto"/>
            </w:tcBorders>
          </w:tcPr>
          <w:p w14:paraId="1A5A0748" w14:textId="0831BE72" w:rsidR="00766157" w:rsidRPr="00FA0D37" w:rsidRDefault="00766157" w:rsidP="00766157">
            <w:pPr>
              <w:pStyle w:val="TAL"/>
              <w:rPr>
                <w:b/>
                <w:bCs/>
                <w:i/>
                <w:iCs/>
              </w:rPr>
            </w:pPr>
            <w:r w:rsidRPr="00FA0D37">
              <w:rPr>
                <w:b/>
                <w:bCs/>
                <w:i/>
                <w:iCs/>
              </w:rPr>
              <w:t>needFor</w:t>
            </w:r>
            <w:r w:rsidR="000668CD" w:rsidRPr="00FA0D37">
              <w:rPr>
                <w:b/>
                <w:bCs/>
                <w:i/>
                <w:iCs/>
              </w:rPr>
              <w:t>Gap</w:t>
            </w:r>
            <w:r w:rsidRPr="00FA0D37">
              <w:rPr>
                <w:b/>
                <w:bCs/>
                <w:i/>
                <w:iCs/>
              </w:rPr>
              <w:t>NCSG-InfoEUTRA</w:t>
            </w:r>
          </w:p>
          <w:p w14:paraId="6289A507" w14:textId="0AD61719" w:rsidR="00766157" w:rsidRPr="00FA0D37" w:rsidRDefault="00766157" w:rsidP="00766157">
            <w:pPr>
              <w:pStyle w:val="TAL"/>
              <w:rPr>
                <w:b/>
                <w:bCs/>
                <w:i/>
                <w:iCs/>
              </w:rPr>
            </w:pPr>
            <w:r w:rsidRPr="00FA0D37">
              <w:rPr>
                <w:szCs w:val="22"/>
              </w:rPr>
              <w:t>This field is used to indicate the measurement gap and NCSG requirement information of the UE for E</w:t>
            </w:r>
            <w:r w:rsidRPr="00FA0D37">
              <w:rPr>
                <w:szCs w:val="22"/>
              </w:rPr>
              <w:noBreakHyphen/>
              <w:t>UTRA target bands.</w:t>
            </w:r>
          </w:p>
        </w:tc>
      </w:tr>
      <w:tr w:rsidR="005C7FF4" w:rsidRPr="00FA0D37" w14:paraId="30FE5FAC" w14:textId="77777777" w:rsidTr="00964CC4">
        <w:tc>
          <w:tcPr>
            <w:tcW w:w="14173" w:type="dxa"/>
            <w:tcBorders>
              <w:top w:val="single" w:sz="4" w:space="0" w:color="auto"/>
              <w:left w:val="single" w:sz="4" w:space="0" w:color="auto"/>
              <w:bottom w:val="single" w:sz="4" w:space="0" w:color="auto"/>
              <w:right w:val="single" w:sz="4" w:space="0" w:color="auto"/>
            </w:tcBorders>
          </w:tcPr>
          <w:p w14:paraId="4DCB98DA" w14:textId="45C9CEDC" w:rsidR="00E616AE" w:rsidRPr="00FA0D37" w:rsidRDefault="00E616AE" w:rsidP="00E616AE">
            <w:pPr>
              <w:pStyle w:val="TAL"/>
              <w:rPr>
                <w:b/>
                <w:bCs/>
                <w:i/>
                <w:iCs/>
              </w:rPr>
            </w:pPr>
            <w:r w:rsidRPr="00FA0D37">
              <w:rPr>
                <w:b/>
                <w:bCs/>
                <w:i/>
                <w:iCs/>
              </w:rPr>
              <w:t>needFor</w:t>
            </w:r>
            <w:r w:rsidR="000668CD" w:rsidRPr="00FA0D37">
              <w:rPr>
                <w:b/>
                <w:bCs/>
                <w:i/>
                <w:iCs/>
              </w:rPr>
              <w:t>Gap</w:t>
            </w:r>
            <w:r w:rsidRPr="00FA0D37">
              <w:rPr>
                <w:b/>
                <w:bCs/>
                <w:i/>
                <w:iCs/>
              </w:rPr>
              <w:t>NCSG-InfoNR</w:t>
            </w:r>
          </w:p>
          <w:p w14:paraId="1DE68EBB" w14:textId="16B3C62E" w:rsidR="00E616AE" w:rsidRPr="00FA0D37" w:rsidRDefault="00E616AE" w:rsidP="00E616AE">
            <w:pPr>
              <w:pStyle w:val="TAL"/>
              <w:rPr>
                <w:b/>
                <w:bCs/>
                <w:i/>
                <w:iCs/>
              </w:rPr>
            </w:pPr>
            <w:r w:rsidRPr="00FA0D37">
              <w:rPr>
                <w:szCs w:val="22"/>
              </w:rPr>
              <w:t>This field is used to indicate the measurement gap and NCSG requirement information of the UE for NR target bands.</w:t>
            </w:r>
          </w:p>
        </w:tc>
      </w:tr>
      <w:tr w:rsidR="005C7FF4" w:rsidRPr="00FA0D37" w14:paraId="06BCF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489908" w14:textId="77777777" w:rsidR="00394471" w:rsidRPr="00FA0D37" w:rsidRDefault="00394471" w:rsidP="00964CC4">
            <w:pPr>
              <w:pStyle w:val="TAL"/>
              <w:rPr>
                <w:szCs w:val="22"/>
                <w:lang w:eastAsia="sv-SE"/>
              </w:rPr>
            </w:pPr>
            <w:r w:rsidRPr="00FA0D37">
              <w:rPr>
                <w:b/>
                <w:i/>
                <w:szCs w:val="22"/>
                <w:lang w:eastAsia="sv-SE"/>
              </w:rPr>
              <w:t>scg-Response</w:t>
            </w:r>
          </w:p>
          <w:p w14:paraId="572377EF" w14:textId="77777777" w:rsidR="00394471" w:rsidRPr="00FA0D37" w:rsidRDefault="00394471" w:rsidP="00964CC4">
            <w:pPr>
              <w:pStyle w:val="TAL"/>
              <w:rPr>
                <w:b/>
                <w:i/>
                <w:szCs w:val="22"/>
                <w:lang w:eastAsia="sv-SE"/>
              </w:rPr>
            </w:pPr>
            <w:r w:rsidRPr="00FA0D37">
              <w:rPr>
                <w:szCs w:val="22"/>
                <w:lang w:eastAsia="sv-SE"/>
              </w:rPr>
              <w:t>In case of NR-</w:t>
            </w:r>
            <w:r w:rsidRPr="00FA0D37">
              <w:rPr>
                <w:lang w:eastAsia="sv-SE"/>
              </w:rPr>
              <w:t>DC (</w:t>
            </w:r>
            <w:r w:rsidRPr="00FA0D37">
              <w:rPr>
                <w:i/>
                <w:lang w:eastAsia="sv-SE"/>
              </w:rPr>
              <w:t>nr-SCG-Response</w:t>
            </w:r>
            <w:r w:rsidRPr="00FA0D37">
              <w:rPr>
                <w:lang w:eastAsia="sv-SE"/>
              </w:rPr>
              <w:t>),</w:t>
            </w:r>
            <w:r w:rsidRPr="00FA0D37">
              <w:rPr>
                <w:szCs w:val="22"/>
                <w:lang w:eastAsia="sv-SE"/>
              </w:rPr>
              <w:t xml:space="preserve"> this field includes the </w:t>
            </w:r>
            <w:r w:rsidRPr="00FA0D37">
              <w:rPr>
                <w:i/>
                <w:szCs w:val="22"/>
                <w:lang w:eastAsia="sv-SE"/>
              </w:rPr>
              <w:t>RRCReconfigurationComplete</w:t>
            </w:r>
            <w:r w:rsidRPr="00FA0D37">
              <w:rPr>
                <w:szCs w:val="22"/>
                <w:lang w:eastAsia="sv-SE"/>
              </w:rPr>
              <w:t xml:space="preserve"> message. In case of NE-DC </w:t>
            </w:r>
            <w:r w:rsidRPr="00FA0D37">
              <w:rPr>
                <w:lang w:eastAsia="sv-SE"/>
              </w:rPr>
              <w:t>(</w:t>
            </w:r>
            <w:r w:rsidRPr="00FA0D37">
              <w:rPr>
                <w:i/>
                <w:lang w:eastAsia="sv-SE"/>
              </w:rPr>
              <w:t>eutra-SCG-Response</w:t>
            </w:r>
            <w:r w:rsidRPr="00FA0D37">
              <w:rPr>
                <w:lang w:eastAsia="sv-SE"/>
              </w:rPr>
              <w:t>)</w:t>
            </w:r>
            <w:r w:rsidRPr="00FA0D37">
              <w:rPr>
                <w:szCs w:val="22"/>
                <w:lang w:eastAsia="sv-SE"/>
              </w:rPr>
              <w:t xml:space="preserve">, this field includes the E-UTRA </w:t>
            </w:r>
            <w:r w:rsidRPr="00FA0D37">
              <w:rPr>
                <w:i/>
                <w:szCs w:val="22"/>
                <w:lang w:eastAsia="sv-SE"/>
              </w:rPr>
              <w:t>RRCConnectionReconfigurationComplete</w:t>
            </w:r>
            <w:r w:rsidRPr="00FA0D37">
              <w:rPr>
                <w:szCs w:val="22"/>
                <w:lang w:eastAsia="sv-SE"/>
              </w:rPr>
              <w:t xml:space="preserve"> message as specified in TS 36.331 [10]</w:t>
            </w:r>
            <w:r w:rsidRPr="00FA0D37">
              <w:rPr>
                <w:bCs/>
                <w:i/>
                <w:noProof/>
                <w:lang w:eastAsia="en-GB"/>
              </w:rPr>
              <w:t>.</w:t>
            </w:r>
          </w:p>
        </w:tc>
      </w:tr>
      <w:tr w:rsidR="005C7FF4" w:rsidRPr="00FA0D37" w14:paraId="498B702B" w14:textId="77777777" w:rsidTr="00771058">
        <w:tc>
          <w:tcPr>
            <w:tcW w:w="14173" w:type="dxa"/>
            <w:tcBorders>
              <w:top w:val="single" w:sz="4" w:space="0" w:color="auto"/>
              <w:left w:val="single" w:sz="4" w:space="0" w:color="auto"/>
              <w:bottom w:val="single" w:sz="4" w:space="0" w:color="auto"/>
              <w:right w:val="single" w:sz="4" w:space="0" w:color="auto"/>
            </w:tcBorders>
          </w:tcPr>
          <w:p w14:paraId="29899626" w14:textId="77777777" w:rsidR="00DB6B82" w:rsidRPr="00FA0D37" w:rsidRDefault="00DB6B82" w:rsidP="00771058">
            <w:pPr>
              <w:pStyle w:val="TAL"/>
              <w:rPr>
                <w:b/>
                <w:i/>
                <w:szCs w:val="22"/>
                <w:lang w:eastAsia="sv-SE"/>
              </w:rPr>
            </w:pPr>
            <w:r w:rsidRPr="00FA0D37">
              <w:rPr>
                <w:b/>
                <w:i/>
                <w:szCs w:val="22"/>
                <w:lang w:eastAsia="sv-SE"/>
              </w:rPr>
              <w:t>selectedCondRRCReconfig</w:t>
            </w:r>
          </w:p>
          <w:p w14:paraId="1E51F75D" w14:textId="77777777" w:rsidR="00DB6B82" w:rsidRPr="00FA0D37" w:rsidRDefault="00DB6B82" w:rsidP="00771058">
            <w:pPr>
              <w:pStyle w:val="TAL"/>
              <w:rPr>
                <w:szCs w:val="22"/>
                <w:lang w:eastAsia="sv-SE"/>
              </w:rPr>
            </w:pPr>
            <w:r w:rsidRPr="00FA0D37">
              <w:rPr>
                <w:szCs w:val="22"/>
                <w:lang w:eastAsia="sv-SE"/>
              </w:rPr>
              <w:t>This field indicates the ID of the selected conditional reconfiguration the UE applied upon the execution of CPA or inter-SN CPC.</w:t>
            </w:r>
          </w:p>
        </w:tc>
      </w:tr>
      <w:tr w:rsidR="005C7FF4" w:rsidRPr="00FA0D37" w14:paraId="2749C4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EBFDA" w14:textId="77777777" w:rsidR="00394471" w:rsidRPr="00FA0D37" w:rsidRDefault="00394471" w:rsidP="00964CC4">
            <w:pPr>
              <w:pStyle w:val="TAL"/>
              <w:rPr>
                <w:szCs w:val="22"/>
                <w:lang w:eastAsia="sv-SE"/>
              </w:rPr>
            </w:pPr>
            <w:r w:rsidRPr="00FA0D37">
              <w:rPr>
                <w:b/>
                <w:i/>
                <w:szCs w:val="22"/>
                <w:lang w:eastAsia="sv-SE"/>
              </w:rPr>
              <w:t>uplinkTxDirectCurrentList</w:t>
            </w:r>
          </w:p>
          <w:p w14:paraId="7452CB2F" w14:textId="77777777" w:rsidR="00394471" w:rsidRPr="00FA0D37" w:rsidRDefault="00394471" w:rsidP="00964CC4">
            <w:pPr>
              <w:pStyle w:val="TAL"/>
              <w:rPr>
                <w:szCs w:val="22"/>
                <w:lang w:eastAsia="sv-SE"/>
              </w:rPr>
            </w:pPr>
            <w:r w:rsidRPr="00FA0D37">
              <w:rPr>
                <w:szCs w:val="22"/>
                <w:lang w:eastAsia="sv-SE"/>
              </w:rPr>
              <w:t xml:space="preserve">The Tx Direct Current locations for the configured serving cells and BWPs if requested by the NW (see </w:t>
            </w:r>
            <w:r w:rsidRPr="00FA0D37">
              <w:rPr>
                <w:i/>
                <w:lang w:eastAsia="sv-SE"/>
              </w:rPr>
              <w:t>reportUplinkTxDirectCurrent</w:t>
            </w:r>
            <w:r w:rsidRPr="00FA0D37">
              <w:rPr>
                <w:lang w:eastAsia="sv-SE"/>
              </w:rPr>
              <w:t xml:space="preserve"> in </w:t>
            </w:r>
            <w:r w:rsidRPr="00FA0D37">
              <w:rPr>
                <w:i/>
                <w:lang w:eastAsia="sv-SE"/>
              </w:rPr>
              <w:t>CellGroupConfig</w:t>
            </w:r>
            <w:r w:rsidRPr="00FA0D37">
              <w:rPr>
                <w:szCs w:val="22"/>
                <w:lang w:eastAsia="sv-SE"/>
              </w:rPr>
              <w:t>).</w:t>
            </w:r>
          </w:p>
        </w:tc>
      </w:tr>
      <w:tr w:rsidR="005C7FF4" w:rsidRPr="00FA0D37" w14:paraId="59EACA09" w14:textId="77777777" w:rsidTr="00964CC4">
        <w:tc>
          <w:tcPr>
            <w:tcW w:w="14173" w:type="dxa"/>
            <w:tcBorders>
              <w:top w:val="single" w:sz="4" w:space="0" w:color="auto"/>
              <w:left w:val="single" w:sz="4" w:space="0" w:color="auto"/>
              <w:bottom w:val="single" w:sz="4" w:space="0" w:color="auto"/>
              <w:right w:val="single" w:sz="4" w:space="0" w:color="auto"/>
            </w:tcBorders>
          </w:tcPr>
          <w:p w14:paraId="002A1546" w14:textId="77777777" w:rsidR="006C69F1" w:rsidRPr="00FA0D37" w:rsidRDefault="006C69F1" w:rsidP="00DD246F">
            <w:pPr>
              <w:pStyle w:val="TAL"/>
              <w:rPr>
                <w:b/>
                <w:bCs/>
                <w:i/>
                <w:iCs/>
                <w:lang w:eastAsia="sv-SE"/>
              </w:rPr>
            </w:pPr>
            <w:r w:rsidRPr="00FA0D37">
              <w:rPr>
                <w:b/>
                <w:bCs/>
                <w:i/>
                <w:iCs/>
                <w:lang w:eastAsia="sv-SE"/>
              </w:rPr>
              <w:t>uplinkTxDirectCurrentMoreCarrierList</w:t>
            </w:r>
          </w:p>
          <w:p w14:paraId="1016E8B9" w14:textId="697EC205" w:rsidR="006C69F1" w:rsidRPr="00FA0D37" w:rsidRDefault="006C69F1" w:rsidP="006C69F1">
            <w:pPr>
              <w:pStyle w:val="TAL"/>
              <w:rPr>
                <w:b/>
                <w:i/>
                <w:szCs w:val="22"/>
                <w:lang w:eastAsia="sv-SE"/>
              </w:rPr>
            </w:pPr>
            <w:r w:rsidRPr="00FA0D37">
              <w:rPr>
                <w:bCs/>
                <w:iCs/>
                <w:szCs w:val="22"/>
                <w:lang w:eastAsia="sv-SE"/>
              </w:rPr>
              <w:t xml:space="preserve">The Tx Direct Current locations for the configured intra-band CA requested by </w:t>
            </w:r>
            <w:r w:rsidRPr="00FA0D37">
              <w:rPr>
                <w:bCs/>
                <w:i/>
                <w:szCs w:val="22"/>
                <w:lang w:eastAsia="sv-SE"/>
              </w:rPr>
              <w:t>reportUplinkTxDirectCurrentMoreCarrier-r17</w:t>
            </w:r>
            <w:r w:rsidRPr="00FA0D37">
              <w:rPr>
                <w:bCs/>
                <w:iCs/>
                <w:szCs w:val="22"/>
                <w:lang w:eastAsia="sv-SE"/>
              </w:rPr>
              <w:t>.</w:t>
            </w:r>
          </w:p>
        </w:tc>
      </w:tr>
      <w:tr w:rsidR="000F3B47" w:rsidRPr="00FA0D37" w14:paraId="6D7DC198"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3BFB49C9" w14:textId="77777777" w:rsidR="00E46198" w:rsidRPr="00FA0D37" w:rsidRDefault="00E46198" w:rsidP="00DB6EED">
            <w:pPr>
              <w:pStyle w:val="TAL"/>
              <w:rPr>
                <w:b/>
                <w:i/>
                <w:szCs w:val="22"/>
                <w:lang w:eastAsia="sv-SE"/>
              </w:rPr>
            </w:pPr>
            <w:r w:rsidRPr="00FA0D37">
              <w:rPr>
                <w:b/>
                <w:i/>
                <w:szCs w:val="22"/>
                <w:lang w:eastAsia="sv-SE"/>
              </w:rPr>
              <w:t>uplinkTxDirectCurrentTwoCarrierList</w:t>
            </w:r>
          </w:p>
          <w:p w14:paraId="324A752B" w14:textId="77777777" w:rsidR="00E46198" w:rsidRPr="00FA0D37" w:rsidRDefault="00E46198" w:rsidP="00DB6EED">
            <w:pPr>
              <w:pStyle w:val="TAL"/>
              <w:rPr>
                <w:bCs/>
                <w:iCs/>
                <w:szCs w:val="22"/>
                <w:lang w:eastAsia="sv-SE"/>
              </w:rPr>
            </w:pPr>
            <w:r w:rsidRPr="00FA0D37">
              <w:rPr>
                <w:bCs/>
                <w:iCs/>
                <w:szCs w:val="22"/>
                <w:lang w:eastAsia="sv-SE"/>
              </w:rPr>
              <w:t xml:space="preserve">The Tx Direct Current locations for the configured uplink intra-band CA with two carriers if requested by the NW (see </w:t>
            </w:r>
            <w:r w:rsidRPr="00FA0D37">
              <w:rPr>
                <w:bCs/>
                <w:i/>
                <w:szCs w:val="22"/>
                <w:lang w:eastAsia="sv-SE"/>
              </w:rPr>
              <w:t>reportUplinkTxDirectCurrentTwoCarrier-r16</w:t>
            </w:r>
            <w:r w:rsidRPr="00FA0D37">
              <w:rPr>
                <w:bCs/>
                <w:iCs/>
                <w:szCs w:val="22"/>
                <w:lang w:eastAsia="sv-SE"/>
              </w:rPr>
              <w:t xml:space="preserve"> in </w:t>
            </w:r>
            <w:r w:rsidRPr="00FA0D37">
              <w:rPr>
                <w:bCs/>
                <w:i/>
                <w:szCs w:val="22"/>
                <w:lang w:eastAsia="sv-SE"/>
              </w:rPr>
              <w:t>CellGroupConfig</w:t>
            </w:r>
            <w:r w:rsidRPr="00FA0D37">
              <w:rPr>
                <w:bCs/>
                <w:iCs/>
                <w:szCs w:val="22"/>
                <w:lang w:eastAsia="sv-SE"/>
              </w:rPr>
              <w:t>).</w:t>
            </w:r>
          </w:p>
        </w:tc>
      </w:tr>
    </w:tbl>
    <w:p w14:paraId="540D211C" w14:textId="77777777" w:rsidR="00394471" w:rsidRPr="00FA0D37" w:rsidRDefault="00394471" w:rsidP="00394471"/>
    <w:p w14:paraId="16BC0D96" w14:textId="77777777" w:rsidR="00394471" w:rsidRPr="00FA0D37" w:rsidRDefault="00394471" w:rsidP="00394471">
      <w:pPr>
        <w:pStyle w:val="4"/>
      </w:pPr>
      <w:bookmarkStart w:id="637" w:name="_Toc60777110"/>
      <w:bookmarkStart w:id="638" w:name="_Toc146781147"/>
      <w:r w:rsidRPr="00FA0D37">
        <w:t>–</w:t>
      </w:r>
      <w:r w:rsidRPr="00FA0D37">
        <w:tab/>
      </w:r>
      <w:r w:rsidRPr="00FA0D37">
        <w:rPr>
          <w:i/>
          <w:noProof/>
        </w:rPr>
        <w:t>RRCReject</w:t>
      </w:r>
      <w:bookmarkEnd w:id="637"/>
      <w:bookmarkEnd w:id="638"/>
    </w:p>
    <w:p w14:paraId="4761E1DF" w14:textId="77777777" w:rsidR="00394471" w:rsidRPr="00FA0D37" w:rsidRDefault="00394471" w:rsidP="00394471">
      <w:r w:rsidRPr="00FA0D37">
        <w:t xml:space="preserve">The </w:t>
      </w:r>
      <w:r w:rsidRPr="00FA0D37">
        <w:rPr>
          <w:i/>
          <w:noProof/>
        </w:rPr>
        <w:t>RRCReject</w:t>
      </w:r>
      <w:r w:rsidRPr="00FA0D37">
        <w:t xml:space="preserve"> message is used to reject an RRC connection establishment or an RRC connection resumption.</w:t>
      </w:r>
    </w:p>
    <w:p w14:paraId="11231290" w14:textId="77777777" w:rsidR="00394471" w:rsidRPr="00FA0D37" w:rsidRDefault="00394471" w:rsidP="00394471">
      <w:pPr>
        <w:pStyle w:val="B1"/>
      </w:pPr>
      <w:r w:rsidRPr="00FA0D37">
        <w:t>Signalling radio bearer: SRB0</w:t>
      </w:r>
    </w:p>
    <w:p w14:paraId="098BDD08" w14:textId="77777777" w:rsidR="00394471" w:rsidRPr="00FA0D37" w:rsidRDefault="00394471" w:rsidP="00394471">
      <w:pPr>
        <w:pStyle w:val="B1"/>
      </w:pPr>
      <w:r w:rsidRPr="00FA0D37">
        <w:t>RLC-SAP: TM</w:t>
      </w:r>
    </w:p>
    <w:p w14:paraId="55AB30A8" w14:textId="77777777" w:rsidR="00394471" w:rsidRPr="00FA0D37" w:rsidRDefault="00394471" w:rsidP="00394471">
      <w:pPr>
        <w:pStyle w:val="B1"/>
      </w:pPr>
      <w:r w:rsidRPr="00FA0D37">
        <w:t>Logical channel: CCCH</w:t>
      </w:r>
    </w:p>
    <w:p w14:paraId="23767214" w14:textId="77777777" w:rsidR="00394471" w:rsidRPr="00FA0D37" w:rsidRDefault="00394471" w:rsidP="00394471">
      <w:pPr>
        <w:pStyle w:val="B1"/>
      </w:pPr>
      <w:r w:rsidRPr="00FA0D37">
        <w:t>Direction: Network to UE</w:t>
      </w:r>
    </w:p>
    <w:p w14:paraId="120322F7" w14:textId="77777777" w:rsidR="00394471" w:rsidRPr="00FA0D37" w:rsidRDefault="00394471" w:rsidP="00394471">
      <w:pPr>
        <w:pStyle w:val="TH"/>
      </w:pPr>
      <w:r w:rsidRPr="00FA0D37">
        <w:rPr>
          <w:i/>
          <w:noProof/>
        </w:rPr>
        <w:t>RRCReject</w:t>
      </w:r>
      <w:r w:rsidRPr="00FA0D37">
        <w:rPr>
          <w:noProof/>
        </w:rPr>
        <w:t xml:space="preserve"> message</w:t>
      </w:r>
    </w:p>
    <w:p w14:paraId="1D610BF7" w14:textId="77777777" w:rsidR="00394471" w:rsidRPr="00FA0D37" w:rsidRDefault="00394471" w:rsidP="00FA0D37">
      <w:pPr>
        <w:pStyle w:val="PL"/>
        <w:rPr>
          <w:color w:val="808080"/>
        </w:rPr>
      </w:pPr>
      <w:r w:rsidRPr="00FA0D37">
        <w:rPr>
          <w:color w:val="808080"/>
        </w:rPr>
        <w:t>-- ASN1START</w:t>
      </w:r>
    </w:p>
    <w:p w14:paraId="2F14B8FB" w14:textId="77777777" w:rsidR="00394471" w:rsidRPr="00FA0D37" w:rsidRDefault="00394471" w:rsidP="00FA0D37">
      <w:pPr>
        <w:pStyle w:val="PL"/>
        <w:rPr>
          <w:color w:val="808080"/>
        </w:rPr>
      </w:pPr>
      <w:r w:rsidRPr="00FA0D37">
        <w:rPr>
          <w:color w:val="808080"/>
        </w:rPr>
        <w:t>-- TAG-RRCREJECT-START</w:t>
      </w:r>
    </w:p>
    <w:p w14:paraId="49093C24" w14:textId="77777777" w:rsidR="00394471" w:rsidRPr="00FA0D37" w:rsidRDefault="00394471" w:rsidP="00FA0D37">
      <w:pPr>
        <w:pStyle w:val="PL"/>
      </w:pPr>
    </w:p>
    <w:p w14:paraId="02550B72" w14:textId="77777777" w:rsidR="00394471" w:rsidRPr="00FA0D37" w:rsidRDefault="00394471" w:rsidP="00FA0D37">
      <w:pPr>
        <w:pStyle w:val="PL"/>
      </w:pPr>
      <w:r w:rsidRPr="00FA0D37">
        <w:t xml:space="preserve">RRCReject ::=                       </w:t>
      </w:r>
      <w:r w:rsidRPr="00FA0D37">
        <w:rPr>
          <w:color w:val="993366"/>
        </w:rPr>
        <w:t>SEQUENCE</w:t>
      </w:r>
      <w:r w:rsidRPr="00FA0D37">
        <w:t xml:space="preserve"> {</w:t>
      </w:r>
    </w:p>
    <w:p w14:paraId="13A4CA24"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33EB83A0" w14:textId="77777777" w:rsidR="00394471" w:rsidRPr="00FA0D37" w:rsidRDefault="00394471" w:rsidP="00FA0D37">
      <w:pPr>
        <w:pStyle w:val="PL"/>
      </w:pPr>
      <w:r w:rsidRPr="00FA0D37">
        <w:t xml:space="preserve">        rrcReject                           RRCReject-IEs,</w:t>
      </w:r>
    </w:p>
    <w:p w14:paraId="6D25529C"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4BDF216F" w14:textId="77777777" w:rsidR="00394471" w:rsidRPr="00FA0D37" w:rsidRDefault="00394471" w:rsidP="00FA0D37">
      <w:pPr>
        <w:pStyle w:val="PL"/>
      </w:pPr>
      <w:r w:rsidRPr="00FA0D37">
        <w:t xml:space="preserve">    }</w:t>
      </w:r>
    </w:p>
    <w:p w14:paraId="4A12756B" w14:textId="77777777" w:rsidR="00394471" w:rsidRPr="00FA0D37" w:rsidRDefault="00394471" w:rsidP="00FA0D37">
      <w:pPr>
        <w:pStyle w:val="PL"/>
      </w:pPr>
      <w:r w:rsidRPr="00FA0D37">
        <w:t>}</w:t>
      </w:r>
    </w:p>
    <w:p w14:paraId="412F5865" w14:textId="77777777" w:rsidR="00394471" w:rsidRPr="00FA0D37" w:rsidRDefault="00394471" w:rsidP="00FA0D37">
      <w:pPr>
        <w:pStyle w:val="PL"/>
      </w:pPr>
    </w:p>
    <w:p w14:paraId="505F0251" w14:textId="77777777" w:rsidR="00394471" w:rsidRPr="00FA0D37" w:rsidRDefault="00394471" w:rsidP="00FA0D37">
      <w:pPr>
        <w:pStyle w:val="PL"/>
      </w:pPr>
      <w:r w:rsidRPr="00FA0D37">
        <w:lastRenderedPageBreak/>
        <w:t xml:space="preserve">RRCReject-IEs ::=                   </w:t>
      </w:r>
      <w:r w:rsidRPr="00FA0D37">
        <w:rPr>
          <w:color w:val="993366"/>
        </w:rPr>
        <w:t>SEQUENCE</w:t>
      </w:r>
      <w:r w:rsidRPr="00FA0D37">
        <w:t xml:space="preserve"> {</w:t>
      </w:r>
    </w:p>
    <w:p w14:paraId="67E8BF48" w14:textId="77777777" w:rsidR="00394471" w:rsidRPr="00FA0D37" w:rsidRDefault="00394471" w:rsidP="00FA0D37">
      <w:pPr>
        <w:pStyle w:val="PL"/>
        <w:rPr>
          <w:color w:val="808080"/>
        </w:rPr>
      </w:pPr>
      <w:r w:rsidRPr="00FA0D37">
        <w:t xml:space="preserve">    waitTime                            RejectWaitTime                                                          </w:t>
      </w:r>
      <w:r w:rsidRPr="00FA0D37">
        <w:rPr>
          <w:color w:val="993366"/>
        </w:rPr>
        <w:t>OPTIONAL</w:t>
      </w:r>
      <w:r w:rsidRPr="00FA0D37">
        <w:t xml:space="preserve">,   </w:t>
      </w:r>
      <w:r w:rsidRPr="00FA0D37">
        <w:rPr>
          <w:color w:val="808080"/>
        </w:rPr>
        <w:t>-- Need N</w:t>
      </w:r>
    </w:p>
    <w:p w14:paraId="66FF0F89"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203E790"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4AD775A0" w14:textId="77777777" w:rsidR="00394471" w:rsidRPr="00FA0D37" w:rsidRDefault="00394471" w:rsidP="00FA0D37">
      <w:pPr>
        <w:pStyle w:val="PL"/>
      </w:pPr>
      <w:r w:rsidRPr="00FA0D37">
        <w:t>}</w:t>
      </w:r>
    </w:p>
    <w:p w14:paraId="46C84DB2" w14:textId="77777777" w:rsidR="00394471" w:rsidRPr="00FA0D37" w:rsidRDefault="00394471" w:rsidP="00FA0D37">
      <w:pPr>
        <w:pStyle w:val="PL"/>
      </w:pPr>
    </w:p>
    <w:p w14:paraId="0D5985F3" w14:textId="77777777" w:rsidR="00394471" w:rsidRPr="00FA0D37" w:rsidRDefault="00394471" w:rsidP="00FA0D37">
      <w:pPr>
        <w:pStyle w:val="PL"/>
        <w:rPr>
          <w:color w:val="808080"/>
        </w:rPr>
      </w:pPr>
      <w:r w:rsidRPr="00FA0D37">
        <w:rPr>
          <w:color w:val="808080"/>
        </w:rPr>
        <w:t>-- TAG-RRCREJECT-STOP</w:t>
      </w:r>
    </w:p>
    <w:p w14:paraId="3E747E6A" w14:textId="77777777" w:rsidR="00394471" w:rsidRPr="00FA0D37" w:rsidRDefault="00394471" w:rsidP="00FA0D37">
      <w:pPr>
        <w:pStyle w:val="PL"/>
        <w:rPr>
          <w:color w:val="808080"/>
        </w:rPr>
      </w:pPr>
      <w:r w:rsidRPr="00FA0D37">
        <w:rPr>
          <w:color w:val="808080"/>
        </w:rPr>
        <w:t>-- ASN1STOP</w:t>
      </w:r>
    </w:p>
    <w:p w14:paraId="162278C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B5AA7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7F728F" w14:textId="77777777" w:rsidR="00394471" w:rsidRPr="00FA0D37" w:rsidRDefault="00394471" w:rsidP="00964CC4">
            <w:pPr>
              <w:pStyle w:val="TAH"/>
              <w:rPr>
                <w:szCs w:val="22"/>
                <w:lang w:eastAsia="sv-SE"/>
              </w:rPr>
            </w:pPr>
            <w:r w:rsidRPr="00FA0D37">
              <w:rPr>
                <w:i/>
                <w:szCs w:val="22"/>
                <w:lang w:eastAsia="sv-SE"/>
              </w:rPr>
              <w:t xml:space="preserve">RRCReject-IEs </w:t>
            </w:r>
            <w:r w:rsidRPr="00FA0D37">
              <w:rPr>
                <w:szCs w:val="22"/>
                <w:lang w:eastAsia="sv-SE"/>
              </w:rPr>
              <w:t>field descriptions</w:t>
            </w:r>
          </w:p>
        </w:tc>
      </w:tr>
      <w:tr w:rsidR="00394471" w:rsidRPr="00FA0D37" w14:paraId="31648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E23563" w14:textId="77777777" w:rsidR="00394471" w:rsidRPr="00FA0D37" w:rsidRDefault="00394471" w:rsidP="00964CC4">
            <w:pPr>
              <w:pStyle w:val="TAL"/>
              <w:rPr>
                <w:szCs w:val="22"/>
                <w:lang w:eastAsia="sv-SE"/>
              </w:rPr>
            </w:pPr>
            <w:r w:rsidRPr="00FA0D37">
              <w:rPr>
                <w:b/>
                <w:i/>
                <w:szCs w:val="22"/>
                <w:lang w:eastAsia="sv-SE"/>
              </w:rPr>
              <w:t>waitTime</w:t>
            </w:r>
          </w:p>
          <w:p w14:paraId="1426D921" w14:textId="77777777" w:rsidR="00394471" w:rsidRPr="00FA0D37" w:rsidRDefault="00394471" w:rsidP="00964CC4">
            <w:pPr>
              <w:pStyle w:val="TAL"/>
              <w:rPr>
                <w:szCs w:val="22"/>
                <w:lang w:eastAsia="sv-SE"/>
              </w:rPr>
            </w:pPr>
            <w:r w:rsidRPr="00FA0D37">
              <w:rPr>
                <w:szCs w:val="22"/>
                <w:lang w:eastAsia="sv-SE"/>
              </w:rPr>
              <w:t>Wait time value in seconds. The field is always included.</w:t>
            </w:r>
          </w:p>
        </w:tc>
      </w:tr>
    </w:tbl>
    <w:p w14:paraId="59E633B7" w14:textId="77777777" w:rsidR="00EF781F" w:rsidRDefault="00EF781F" w:rsidP="00EF781F">
      <w:bookmarkStart w:id="639" w:name="_Toc60777112"/>
      <w:bookmarkStart w:id="640" w:name="_Toc146781149"/>
    </w:p>
    <w:p w14:paraId="6F5AD40F" w14:textId="77777777" w:rsidR="00EF781F" w:rsidRDefault="00EF781F" w:rsidP="00EF781F">
      <w:pPr>
        <w:pStyle w:val="4"/>
      </w:pPr>
      <w:bookmarkStart w:id="641" w:name="_Toc146781148"/>
      <w:r>
        <w:t>–</w:t>
      </w:r>
      <w:r>
        <w:tab/>
      </w:r>
      <w:r w:rsidRPr="00EF781F">
        <w:rPr>
          <w:i/>
        </w:rPr>
        <w:t>RRCRelease</w:t>
      </w:r>
    </w:p>
    <w:p w14:paraId="0A8648D3" w14:textId="77777777" w:rsidR="00EF781F" w:rsidRDefault="00EF781F" w:rsidP="00EF781F">
      <w:pPr>
        <w:rPr>
          <w:noProof/>
        </w:rPr>
      </w:pPr>
      <w:r>
        <w:t xml:space="preserve">The </w:t>
      </w:r>
      <w:r>
        <w:rPr>
          <w:i/>
          <w:noProof/>
        </w:rPr>
        <w:t>RRCRelease</w:t>
      </w:r>
      <w:r>
        <w:rPr>
          <w:noProof/>
        </w:rPr>
        <w:t xml:space="preserve"> message is used to command the release of an RRC connection or the suspension of the RRC connection.</w:t>
      </w:r>
    </w:p>
    <w:p w14:paraId="5CA4866A" w14:textId="77777777" w:rsidR="00EF781F" w:rsidRDefault="00EF781F" w:rsidP="00EF781F">
      <w:pPr>
        <w:pStyle w:val="B1"/>
      </w:pPr>
      <w:r>
        <w:t>Signalling radio bearer: SRB1</w:t>
      </w:r>
    </w:p>
    <w:p w14:paraId="2EC58074" w14:textId="77777777" w:rsidR="00EF781F" w:rsidRDefault="00EF781F" w:rsidP="00EF781F">
      <w:pPr>
        <w:pStyle w:val="B1"/>
      </w:pPr>
      <w:r>
        <w:t>RLC-SAP: AM</w:t>
      </w:r>
    </w:p>
    <w:p w14:paraId="69DDA3DA" w14:textId="77777777" w:rsidR="00EF781F" w:rsidRDefault="00EF781F" w:rsidP="00EF781F">
      <w:pPr>
        <w:pStyle w:val="B1"/>
      </w:pPr>
      <w:r>
        <w:t>Logical channel: DCCH</w:t>
      </w:r>
    </w:p>
    <w:p w14:paraId="76E3C77F" w14:textId="77777777" w:rsidR="00EF781F" w:rsidRDefault="00EF781F" w:rsidP="00EF781F">
      <w:pPr>
        <w:pStyle w:val="B1"/>
      </w:pPr>
      <w:r>
        <w:t>Direction: Network to UE</w:t>
      </w:r>
    </w:p>
    <w:p w14:paraId="1B694328" w14:textId="77777777" w:rsidR="00EF781F" w:rsidRPr="00EF781F" w:rsidRDefault="00EF781F" w:rsidP="00EF781F">
      <w:pPr>
        <w:pStyle w:val="TH"/>
        <w:rPr>
          <w:i/>
          <w:noProof/>
        </w:rPr>
      </w:pPr>
      <w:r w:rsidRPr="00EF781F">
        <w:rPr>
          <w:i/>
          <w:noProof/>
        </w:rPr>
        <w:t>RRCRelease message</w:t>
      </w:r>
    </w:p>
    <w:p w14:paraId="30421E4A" w14:textId="77777777" w:rsidR="00EF781F" w:rsidRPr="008D7C7E" w:rsidRDefault="00EF781F" w:rsidP="00EF781F">
      <w:pPr>
        <w:pStyle w:val="PL"/>
        <w:rPr>
          <w:color w:val="808080"/>
        </w:rPr>
      </w:pPr>
      <w:r w:rsidRPr="008D7C7E">
        <w:rPr>
          <w:color w:val="808080"/>
        </w:rPr>
        <w:t>-- ASN1START</w:t>
      </w:r>
    </w:p>
    <w:p w14:paraId="7390BEAB" w14:textId="77777777" w:rsidR="00EF781F" w:rsidRPr="008D7C7E" w:rsidRDefault="00EF781F" w:rsidP="00EF781F">
      <w:pPr>
        <w:pStyle w:val="PL"/>
        <w:rPr>
          <w:color w:val="808080"/>
        </w:rPr>
      </w:pPr>
      <w:r w:rsidRPr="008D7C7E">
        <w:rPr>
          <w:color w:val="808080"/>
        </w:rPr>
        <w:t>-- TAG-RRCRELEASE-START</w:t>
      </w:r>
    </w:p>
    <w:p w14:paraId="12EF9265" w14:textId="77777777" w:rsidR="00EF781F" w:rsidRDefault="00EF781F" w:rsidP="00EF781F">
      <w:pPr>
        <w:pStyle w:val="PL"/>
      </w:pPr>
    </w:p>
    <w:p w14:paraId="0BCFF24E" w14:textId="77777777" w:rsidR="00EF781F" w:rsidRDefault="00EF781F" w:rsidP="00EF781F">
      <w:pPr>
        <w:pStyle w:val="PL"/>
      </w:pPr>
      <w:r>
        <w:t xml:space="preserve">RRCRelease ::=                      </w:t>
      </w:r>
      <w:r>
        <w:rPr>
          <w:color w:val="993366"/>
        </w:rPr>
        <w:t>SEQUENCE</w:t>
      </w:r>
      <w:r>
        <w:t xml:space="preserve"> {</w:t>
      </w:r>
    </w:p>
    <w:p w14:paraId="438F43FF" w14:textId="77777777" w:rsidR="00EF781F" w:rsidRDefault="00EF781F" w:rsidP="00EF781F">
      <w:pPr>
        <w:pStyle w:val="PL"/>
      </w:pPr>
      <w:r>
        <w:t xml:space="preserve">    rrc-TransactionIdentifier           RRC-TransactionIdentifier,</w:t>
      </w:r>
    </w:p>
    <w:p w14:paraId="6A30672C" w14:textId="77777777" w:rsidR="00EF781F" w:rsidRDefault="00EF781F" w:rsidP="00EF781F">
      <w:pPr>
        <w:pStyle w:val="PL"/>
      </w:pPr>
      <w:r>
        <w:t xml:space="preserve">    criticalExtensions                  </w:t>
      </w:r>
      <w:r>
        <w:rPr>
          <w:color w:val="993366"/>
        </w:rPr>
        <w:t>CHOICE</w:t>
      </w:r>
      <w:r>
        <w:t xml:space="preserve"> {</w:t>
      </w:r>
    </w:p>
    <w:p w14:paraId="5DF30582" w14:textId="77777777" w:rsidR="00EF781F" w:rsidRDefault="00EF781F" w:rsidP="00EF781F">
      <w:pPr>
        <w:pStyle w:val="PL"/>
      </w:pPr>
      <w:r>
        <w:t xml:space="preserve">        rrcRelease                          RRCRelease-IEs,</w:t>
      </w:r>
    </w:p>
    <w:p w14:paraId="4F27361A" w14:textId="77777777" w:rsidR="00EF781F" w:rsidRDefault="00EF781F" w:rsidP="00EF781F">
      <w:pPr>
        <w:pStyle w:val="PL"/>
      </w:pPr>
      <w:r>
        <w:t xml:space="preserve">        criticalExtensionsFuture            </w:t>
      </w:r>
      <w:r>
        <w:rPr>
          <w:color w:val="993366"/>
        </w:rPr>
        <w:t>SEQUENCE</w:t>
      </w:r>
      <w:r>
        <w:t xml:space="preserve"> {}</w:t>
      </w:r>
    </w:p>
    <w:p w14:paraId="2E53502C" w14:textId="77777777" w:rsidR="00EF781F" w:rsidRDefault="00EF781F" w:rsidP="00EF781F">
      <w:pPr>
        <w:pStyle w:val="PL"/>
      </w:pPr>
      <w:r>
        <w:t xml:space="preserve">    }</w:t>
      </w:r>
    </w:p>
    <w:p w14:paraId="4D3781D3" w14:textId="77777777" w:rsidR="00EF781F" w:rsidRDefault="00EF781F" w:rsidP="00EF781F">
      <w:pPr>
        <w:pStyle w:val="PL"/>
      </w:pPr>
      <w:r>
        <w:t>}</w:t>
      </w:r>
    </w:p>
    <w:p w14:paraId="657C4D52" w14:textId="77777777" w:rsidR="00EF781F" w:rsidRDefault="00EF781F" w:rsidP="00EF781F">
      <w:pPr>
        <w:pStyle w:val="PL"/>
      </w:pPr>
    </w:p>
    <w:p w14:paraId="6CAF428A" w14:textId="77777777" w:rsidR="00EF781F" w:rsidRDefault="00EF781F" w:rsidP="00EF781F">
      <w:pPr>
        <w:pStyle w:val="PL"/>
      </w:pPr>
      <w:r>
        <w:t xml:space="preserve">RRCRelease-IEs ::=                  </w:t>
      </w:r>
      <w:r>
        <w:rPr>
          <w:color w:val="993366"/>
        </w:rPr>
        <w:t>SEQUENCE</w:t>
      </w:r>
      <w:r>
        <w:t xml:space="preserve"> {</w:t>
      </w:r>
    </w:p>
    <w:p w14:paraId="1A989CB9" w14:textId="77777777" w:rsidR="00EF781F" w:rsidRDefault="00EF781F" w:rsidP="00EF781F">
      <w:pPr>
        <w:pStyle w:val="PL"/>
      </w:pPr>
      <w:r>
        <w:t xml:space="preserve">    redirectedCarrierInfo               RedirectedCarrierInfo                                                       </w:t>
      </w:r>
      <w:r>
        <w:rPr>
          <w:color w:val="993366"/>
        </w:rPr>
        <w:t>OPTIONAL</w:t>
      </w:r>
      <w:r>
        <w:t>,   -- Need N</w:t>
      </w:r>
    </w:p>
    <w:p w14:paraId="6BC130F5" w14:textId="77777777" w:rsidR="00EF781F" w:rsidRDefault="00EF781F" w:rsidP="00EF781F">
      <w:pPr>
        <w:pStyle w:val="PL"/>
      </w:pPr>
      <w:r>
        <w:t xml:space="preserve">    cellReselectionPriorities           CellReselectionPriorities                                                   </w:t>
      </w:r>
      <w:r>
        <w:rPr>
          <w:color w:val="993366"/>
        </w:rPr>
        <w:t>OPTIONAL</w:t>
      </w:r>
      <w:r>
        <w:t>,   -- Need R</w:t>
      </w:r>
    </w:p>
    <w:p w14:paraId="6D801958" w14:textId="77777777" w:rsidR="00EF781F" w:rsidRDefault="00EF781F" w:rsidP="00EF781F">
      <w:pPr>
        <w:pStyle w:val="PL"/>
      </w:pPr>
      <w:r>
        <w:t xml:space="preserve">    suspendConfig                       SuspendConfig                                                               </w:t>
      </w:r>
      <w:r>
        <w:rPr>
          <w:color w:val="993366"/>
        </w:rPr>
        <w:t>OPTIONAL</w:t>
      </w:r>
      <w:r>
        <w:t>,   -- Need R</w:t>
      </w:r>
    </w:p>
    <w:p w14:paraId="66592600" w14:textId="77777777" w:rsidR="00EF781F" w:rsidRDefault="00EF781F" w:rsidP="00EF781F">
      <w:pPr>
        <w:pStyle w:val="PL"/>
      </w:pPr>
      <w:r>
        <w:t xml:space="preserve">    deprioritisationReq                 </w:t>
      </w:r>
      <w:r>
        <w:rPr>
          <w:color w:val="993366"/>
        </w:rPr>
        <w:t>SEQUENCE</w:t>
      </w:r>
      <w:r>
        <w:t xml:space="preserve"> {</w:t>
      </w:r>
    </w:p>
    <w:p w14:paraId="0513B089" w14:textId="77777777" w:rsidR="00EF781F" w:rsidRDefault="00EF781F" w:rsidP="00EF781F">
      <w:pPr>
        <w:pStyle w:val="PL"/>
      </w:pPr>
      <w:r>
        <w:t xml:space="preserve">        deprioritisationType                </w:t>
      </w:r>
      <w:r>
        <w:rPr>
          <w:color w:val="993366"/>
        </w:rPr>
        <w:t>ENUMERATED</w:t>
      </w:r>
      <w:r>
        <w:t xml:space="preserve"> {frequency, nr},</w:t>
      </w:r>
    </w:p>
    <w:p w14:paraId="5F6825C6" w14:textId="77777777" w:rsidR="00EF781F" w:rsidRDefault="00EF781F" w:rsidP="00EF781F">
      <w:pPr>
        <w:pStyle w:val="PL"/>
      </w:pPr>
      <w:r>
        <w:t xml:space="preserve">        deprioritisationTimer               </w:t>
      </w:r>
      <w:r>
        <w:rPr>
          <w:color w:val="993366"/>
        </w:rPr>
        <w:t>ENUMERATED</w:t>
      </w:r>
      <w:r>
        <w:t xml:space="preserve"> {min5, min10, min15, min30}</w:t>
      </w:r>
    </w:p>
    <w:p w14:paraId="397E0B00" w14:textId="77777777" w:rsidR="00EF781F" w:rsidRDefault="00EF781F" w:rsidP="00EF781F">
      <w:pPr>
        <w:pStyle w:val="PL"/>
      </w:pPr>
      <w:r>
        <w:t xml:space="preserve">    }                                                                                                               </w:t>
      </w:r>
      <w:r>
        <w:rPr>
          <w:color w:val="993366"/>
        </w:rPr>
        <w:t>OPTIONAL</w:t>
      </w:r>
      <w:r>
        <w:t>,   -- Need N</w:t>
      </w:r>
    </w:p>
    <w:p w14:paraId="3378D252" w14:textId="77777777" w:rsidR="00EF781F" w:rsidRDefault="00EF781F" w:rsidP="00EF781F">
      <w:pPr>
        <w:pStyle w:val="PL"/>
      </w:pPr>
      <w:r>
        <w:lastRenderedPageBreak/>
        <w:t xml:space="preserve">    lateNonCriticalExtension                </w:t>
      </w:r>
      <w:r>
        <w:rPr>
          <w:color w:val="993366"/>
        </w:rPr>
        <w:t>OCTET</w:t>
      </w:r>
      <w:r>
        <w:t xml:space="preserve"> </w:t>
      </w:r>
      <w:r>
        <w:rPr>
          <w:color w:val="993366"/>
        </w:rPr>
        <w:t>STRING</w:t>
      </w:r>
      <w:r>
        <w:t xml:space="preserve">                                                        </w:t>
      </w:r>
      <w:r>
        <w:rPr>
          <w:color w:val="993366"/>
        </w:rPr>
        <w:t>OPTIONAL</w:t>
      </w:r>
      <w:r>
        <w:t>,</w:t>
      </w:r>
    </w:p>
    <w:p w14:paraId="3D296D07" w14:textId="77777777" w:rsidR="00EF781F" w:rsidRDefault="00EF781F" w:rsidP="00EF781F">
      <w:pPr>
        <w:pStyle w:val="PL"/>
      </w:pPr>
      <w:r>
        <w:t xml:space="preserve">    nonCriticalExtension                    RRCRelease-v1540-IEs                                                </w:t>
      </w:r>
      <w:r>
        <w:rPr>
          <w:color w:val="993366"/>
        </w:rPr>
        <w:t>OPTIONAL</w:t>
      </w:r>
    </w:p>
    <w:p w14:paraId="79488C31" w14:textId="77777777" w:rsidR="00EF781F" w:rsidRDefault="00EF781F" w:rsidP="00EF781F">
      <w:pPr>
        <w:pStyle w:val="PL"/>
      </w:pPr>
      <w:r>
        <w:t>}</w:t>
      </w:r>
    </w:p>
    <w:p w14:paraId="6F372E28" w14:textId="77777777" w:rsidR="00EF781F" w:rsidRDefault="00EF781F" w:rsidP="00EF781F">
      <w:pPr>
        <w:pStyle w:val="PL"/>
      </w:pPr>
    </w:p>
    <w:p w14:paraId="32F2A633" w14:textId="77777777" w:rsidR="00EF781F" w:rsidRDefault="00EF781F" w:rsidP="00EF781F">
      <w:pPr>
        <w:pStyle w:val="PL"/>
      </w:pPr>
      <w:r>
        <w:t xml:space="preserve">RRCRelease-v1540-IEs ::=            </w:t>
      </w:r>
      <w:r>
        <w:rPr>
          <w:color w:val="993366"/>
        </w:rPr>
        <w:t>SEQUENCE</w:t>
      </w:r>
      <w:r>
        <w:t xml:space="preserve"> {</w:t>
      </w:r>
    </w:p>
    <w:p w14:paraId="21DEBB23" w14:textId="77777777" w:rsidR="00EF781F" w:rsidRDefault="00EF781F" w:rsidP="00EF781F">
      <w:pPr>
        <w:pStyle w:val="PL"/>
      </w:pPr>
      <w:r>
        <w:t xml:space="preserve">    waitTime                           RejectWaitTime                </w:t>
      </w:r>
      <w:r>
        <w:rPr>
          <w:color w:val="993366"/>
        </w:rPr>
        <w:t>OPTIONAL</w:t>
      </w:r>
      <w:r>
        <w:t>, -- Need N</w:t>
      </w:r>
    </w:p>
    <w:p w14:paraId="78BDE190" w14:textId="77777777" w:rsidR="00EF781F" w:rsidRDefault="00EF781F" w:rsidP="00EF781F">
      <w:pPr>
        <w:pStyle w:val="PL"/>
      </w:pPr>
      <w:r>
        <w:t xml:space="preserve">    nonCriticalExtension               RRCRelease-v1610-IEs          </w:t>
      </w:r>
      <w:r>
        <w:rPr>
          <w:color w:val="993366"/>
        </w:rPr>
        <w:t>OPTIONAL</w:t>
      </w:r>
    </w:p>
    <w:p w14:paraId="278345D4" w14:textId="77777777" w:rsidR="00EF781F" w:rsidRDefault="00EF781F" w:rsidP="00EF781F">
      <w:pPr>
        <w:pStyle w:val="PL"/>
      </w:pPr>
      <w:r>
        <w:t>}</w:t>
      </w:r>
    </w:p>
    <w:p w14:paraId="721A9ADF" w14:textId="77777777" w:rsidR="00EF781F" w:rsidRDefault="00EF781F" w:rsidP="00EF781F">
      <w:pPr>
        <w:pStyle w:val="PL"/>
      </w:pPr>
    </w:p>
    <w:p w14:paraId="01B45A72" w14:textId="77777777" w:rsidR="00EF781F" w:rsidRDefault="00EF781F" w:rsidP="00EF781F">
      <w:pPr>
        <w:pStyle w:val="PL"/>
      </w:pPr>
      <w:r>
        <w:t xml:space="preserve">RRCRelease-v1610-IEs ::=            </w:t>
      </w:r>
      <w:r>
        <w:rPr>
          <w:color w:val="993366"/>
        </w:rPr>
        <w:t>SEQUENCE</w:t>
      </w:r>
      <w:r>
        <w:t xml:space="preserve"> {</w:t>
      </w:r>
    </w:p>
    <w:p w14:paraId="7EFE7D95" w14:textId="77777777" w:rsidR="00EF781F" w:rsidRDefault="00EF781F" w:rsidP="00EF781F">
      <w:pPr>
        <w:pStyle w:val="PL"/>
      </w:pPr>
      <w:r>
        <w:t xml:space="preserve">    voiceFallbackIndication-r16        </w:t>
      </w:r>
      <w:r>
        <w:rPr>
          <w:color w:val="993366"/>
        </w:rPr>
        <w:t>ENUMERATED</w:t>
      </w:r>
      <w:r>
        <w:t xml:space="preserve"> {true}                             </w:t>
      </w:r>
      <w:r>
        <w:rPr>
          <w:color w:val="993366"/>
        </w:rPr>
        <w:t>OPTIONAL</w:t>
      </w:r>
      <w:r>
        <w:t>, -- Need N</w:t>
      </w:r>
    </w:p>
    <w:p w14:paraId="0424C9DA" w14:textId="77777777" w:rsidR="00EF781F" w:rsidRDefault="00EF781F" w:rsidP="00EF781F">
      <w:pPr>
        <w:pStyle w:val="PL"/>
      </w:pPr>
      <w:r>
        <w:t xml:space="preserve">    measIdleConfig-r16                 SetupRelease {MeasIdleConfigDedicated-r16}    </w:t>
      </w:r>
      <w:r>
        <w:rPr>
          <w:color w:val="993366"/>
        </w:rPr>
        <w:t>OPTIONAL</w:t>
      </w:r>
      <w:r>
        <w:t>, -- Need M</w:t>
      </w:r>
    </w:p>
    <w:p w14:paraId="12605909" w14:textId="77777777" w:rsidR="00EF781F" w:rsidRDefault="00EF781F" w:rsidP="00EF781F">
      <w:pPr>
        <w:pStyle w:val="PL"/>
      </w:pPr>
      <w:r>
        <w:t xml:space="preserve">    nonCriticalExtension               RRCRelease-v1650-IEs                          </w:t>
      </w:r>
      <w:r>
        <w:rPr>
          <w:color w:val="993366"/>
        </w:rPr>
        <w:t>OPTIONAL</w:t>
      </w:r>
    </w:p>
    <w:p w14:paraId="15446186" w14:textId="77777777" w:rsidR="00EF781F" w:rsidRDefault="00EF781F" w:rsidP="00EF781F">
      <w:pPr>
        <w:pStyle w:val="PL"/>
      </w:pPr>
      <w:r>
        <w:t>}</w:t>
      </w:r>
    </w:p>
    <w:p w14:paraId="7B5E0E71" w14:textId="77777777" w:rsidR="00EF781F" w:rsidRDefault="00EF781F" w:rsidP="00EF781F">
      <w:pPr>
        <w:pStyle w:val="PL"/>
      </w:pPr>
    </w:p>
    <w:p w14:paraId="625D112A" w14:textId="77777777" w:rsidR="00EF781F" w:rsidRDefault="00EF781F" w:rsidP="00EF781F">
      <w:pPr>
        <w:pStyle w:val="PL"/>
      </w:pPr>
      <w:r>
        <w:t xml:space="preserve">RRCRelease-v1650-IEs ::=            </w:t>
      </w:r>
      <w:r>
        <w:rPr>
          <w:color w:val="993366"/>
        </w:rPr>
        <w:t>SEQUENCE</w:t>
      </w:r>
      <w:r>
        <w:t xml:space="preserve"> {</w:t>
      </w:r>
    </w:p>
    <w:p w14:paraId="27686BE0" w14:textId="77777777" w:rsidR="00EF781F" w:rsidRDefault="00EF781F" w:rsidP="00EF781F">
      <w:pPr>
        <w:pStyle w:val="PL"/>
      </w:pPr>
      <w:r>
        <w:t xml:space="preserve">    mpsPriorityIndication-r16          </w:t>
      </w:r>
      <w:r>
        <w:rPr>
          <w:color w:val="993366"/>
        </w:rPr>
        <w:t>ENUMERATED</w:t>
      </w:r>
      <w:r>
        <w:t xml:space="preserve"> {true}                             </w:t>
      </w:r>
      <w:r>
        <w:rPr>
          <w:color w:val="993366"/>
        </w:rPr>
        <w:t>OPTIONAL</w:t>
      </w:r>
      <w:r>
        <w:t>, -- Cond Redirection2</w:t>
      </w:r>
    </w:p>
    <w:p w14:paraId="6BFF2E43" w14:textId="77777777" w:rsidR="00EF781F" w:rsidRDefault="00EF781F" w:rsidP="00EF781F">
      <w:pPr>
        <w:pStyle w:val="PL"/>
      </w:pPr>
      <w:r>
        <w:t xml:space="preserve">    nonCriticalExtension               RRCRelease-v1710-IEs                          </w:t>
      </w:r>
      <w:r>
        <w:rPr>
          <w:color w:val="993366"/>
        </w:rPr>
        <w:t>OPTIONAL</w:t>
      </w:r>
    </w:p>
    <w:p w14:paraId="379EC1E4" w14:textId="77777777" w:rsidR="00EF781F" w:rsidRDefault="00EF781F" w:rsidP="00EF781F">
      <w:pPr>
        <w:pStyle w:val="PL"/>
      </w:pPr>
      <w:r>
        <w:t>}</w:t>
      </w:r>
    </w:p>
    <w:p w14:paraId="608123EA" w14:textId="77777777" w:rsidR="00EF781F" w:rsidRDefault="00EF781F" w:rsidP="00EF781F">
      <w:pPr>
        <w:pStyle w:val="PL"/>
      </w:pPr>
    </w:p>
    <w:p w14:paraId="554BAAEA" w14:textId="77777777" w:rsidR="00EF781F" w:rsidRDefault="00EF781F" w:rsidP="00EF781F">
      <w:pPr>
        <w:pStyle w:val="PL"/>
      </w:pPr>
      <w:r>
        <w:t xml:space="preserve">RRCRelease-v1710-IEs ::=            </w:t>
      </w:r>
      <w:r>
        <w:rPr>
          <w:color w:val="993366"/>
        </w:rPr>
        <w:t>SEQUENCE</w:t>
      </w:r>
      <w:r>
        <w:t xml:space="preserve"> {</w:t>
      </w:r>
    </w:p>
    <w:p w14:paraId="52E8A3DB" w14:textId="77777777" w:rsidR="00EF781F" w:rsidRDefault="00EF781F" w:rsidP="00EF781F">
      <w:pPr>
        <w:pStyle w:val="PL"/>
      </w:pPr>
      <w:r>
        <w:t xml:space="preserve">    noLastCellUpdate-r17                </w:t>
      </w:r>
      <w:r>
        <w:rPr>
          <w:color w:val="993366"/>
        </w:rPr>
        <w:t>ENUMERATED</w:t>
      </w:r>
      <w:r>
        <w:t xml:space="preserve"> {true}                            </w:t>
      </w:r>
      <w:r>
        <w:rPr>
          <w:color w:val="993366"/>
        </w:rPr>
        <w:t>OPTIONAL</w:t>
      </w:r>
      <w:r>
        <w:t>,   -- Need S</w:t>
      </w:r>
    </w:p>
    <w:p w14:paraId="41E2E206" w14:textId="77777777" w:rsidR="00EF781F" w:rsidRDefault="00EF781F" w:rsidP="00EF781F">
      <w:pPr>
        <w:pStyle w:val="PL"/>
      </w:pPr>
      <w:r>
        <w:t xml:space="preserve">    nonCriticalExtension                </w:t>
      </w:r>
      <w:r>
        <w:rPr>
          <w:color w:val="993366"/>
        </w:rPr>
        <w:t>SEQUENCE</w:t>
      </w:r>
      <w:r>
        <w:t xml:space="preserve"> {}                                  </w:t>
      </w:r>
      <w:r>
        <w:rPr>
          <w:color w:val="993366"/>
        </w:rPr>
        <w:t>OPTIONAL</w:t>
      </w:r>
    </w:p>
    <w:p w14:paraId="3805D560" w14:textId="77777777" w:rsidR="00EF781F" w:rsidRDefault="00EF781F" w:rsidP="00EF781F">
      <w:pPr>
        <w:pStyle w:val="PL"/>
      </w:pPr>
      <w:r>
        <w:t>}</w:t>
      </w:r>
    </w:p>
    <w:p w14:paraId="52D78B81" w14:textId="77777777" w:rsidR="00EF781F" w:rsidRDefault="00EF781F" w:rsidP="00EF781F">
      <w:pPr>
        <w:pStyle w:val="PL"/>
      </w:pPr>
    </w:p>
    <w:p w14:paraId="320FC694" w14:textId="77777777" w:rsidR="00EF781F" w:rsidRDefault="00EF781F" w:rsidP="00EF781F">
      <w:pPr>
        <w:pStyle w:val="PL"/>
      </w:pPr>
      <w:r>
        <w:t xml:space="preserve">RedirectedCarrierInfo ::=           </w:t>
      </w:r>
      <w:r>
        <w:rPr>
          <w:color w:val="993366"/>
        </w:rPr>
        <w:t>CHOICE</w:t>
      </w:r>
      <w:r>
        <w:t xml:space="preserve"> {</w:t>
      </w:r>
    </w:p>
    <w:p w14:paraId="2241F921" w14:textId="77777777" w:rsidR="00EF781F" w:rsidRDefault="00EF781F" w:rsidP="00EF781F">
      <w:pPr>
        <w:pStyle w:val="PL"/>
      </w:pPr>
      <w:r>
        <w:t xml:space="preserve">    nr                                  CarrierInfoNR,</w:t>
      </w:r>
    </w:p>
    <w:p w14:paraId="57FF26E7" w14:textId="77777777" w:rsidR="00EF781F" w:rsidRDefault="00EF781F" w:rsidP="00EF781F">
      <w:pPr>
        <w:pStyle w:val="PL"/>
      </w:pPr>
      <w:r>
        <w:t xml:space="preserve">    eutra                               RedirectedCarrierInfo-EUTRA,</w:t>
      </w:r>
    </w:p>
    <w:p w14:paraId="7284436E" w14:textId="77777777" w:rsidR="00EF781F" w:rsidRDefault="00EF781F" w:rsidP="00EF781F">
      <w:pPr>
        <w:pStyle w:val="PL"/>
      </w:pPr>
      <w:r>
        <w:t xml:space="preserve">    ...</w:t>
      </w:r>
    </w:p>
    <w:p w14:paraId="571BD928" w14:textId="77777777" w:rsidR="00EF781F" w:rsidRDefault="00EF781F" w:rsidP="00EF781F">
      <w:pPr>
        <w:pStyle w:val="PL"/>
      </w:pPr>
      <w:r>
        <w:t>}</w:t>
      </w:r>
    </w:p>
    <w:p w14:paraId="6266B9A8" w14:textId="77777777" w:rsidR="00EF781F" w:rsidRDefault="00EF781F" w:rsidP="00EF781F">
      <w:pPr>
        <w:pStyle w:val="PL"/>
      </w:pPr>
    </w:p>
    <w:p w14:paraId="19ED51FA" w14:textId="77777777" w:rsidR="00EF781F" w:rsidRDefault="00EF781F" w:rsidP="00EF781F">
      <w:pPr>
        <w:pStyle w:val="PL"/>
      </w:pPr>
      <w:r>
        <w:t xml:space="preserve">RedirectedCarrierInfo-EUTRA ::=     </w:t>
      </w:r>
      <w:r>
        <w:rPr>
          <w:color w:val="993366"/>
        </w:rPr>
        <w:t>SEQUENCE</w:t>
      </w:r>
      <w:r>
        <w:t xml:space="preserve"> {</w:t>
      </w:r>
    </w:p>
    <w:p w14:paraId="406EA588" w14:textId="77777777" w:rsidR="00EF781F" w:rsidRDefault="00EF781F" w:rsidP="00EF781F">
      <w:pPr>
        <w:pStyle w:val="PL"/>
      </w:pPr>
      <w:r>
        <w:t xml:space="preserve">    eutraFrequency                      ARFCN-ValueEUTRA,</w:t>
      </w:r>
    </w:p>
    <w:p w14:paraId="6FD137B5" w14:textId="77777777" w:rsidR="00EF781F" w:rsidRDefault="00EF781F" w:rsidP="00EF781F">
      <w:pPr>
        <w:pStyle w:val="PL"/>
      </w:pPr>
      <w:r>
        <w:t xml:space="preserve">    cnType                              </w:t>
      </w:r>
      <w:r>
        <w:rPr>
          <w:color w:val="993366"/>
        </w:rPr>
        <w:t>ENUMERATED</w:t>
      </w:r>
      <w:r>
        <w:t xml:space="preserve"> {epc,fiveGC}                                             </w:t>
      </w:r>
      <w:r>
        <w:rPr>
          <w:color w:val="993366"/>
        </w:rPr>
        <w:t>OPTIONAL</w:t>
      </w:r>
      <w:r>
        <w:t xml:space="preserve">    -- Need N</w:t>
      </w:r>
    </w:p>
    <w:p w14:paraId="48530AC6" w14:textId="77777777" w:rsidR="00EF781F" w:rsidRDefault="00EF781F" w:rsidP="00EF781F">
      <w:pPr>
        <w:pStyle w:val="PL"/>
      </w:pPr>
      <w:r>
        <w:t>}</w:t>
      </w:r>
    </w:p>
    <w:p w14:paraId="34D116B0" w14:textId="77777777" w:rsidR="00EF781F" w:rsidRDefault="00EF781F" w:rsidP="00EF781F">
      <w:pPr>
        <w:pStyle w:val="PL"/>
      </w:pPr>
    </w:p>
    <w:p w14:paraId="54601FB9" w14:textId="77777777" w:rsidR="00EF781F" w:rsidRDefault="00EF781F" w:rsidP="00EF781F">
      <w:pPr>
        <w:pStyle w:val="PL"/>
      </w:pPr>
      <w:r>
        <w:t xml:space="preserve">CarrierInfoNR ::=                   </w:t>
      </w:r>
      <w:r>
        <w:rPr>
          <w:color w:val="993366"/>
        </w:rPr>
        <w:t>SEQUENCE</w:t>
      </w:r>
      <w:r>
        <w:t xml:space="preserve"> {</w:t>
      </w:r>
    </w:p>
    <w:p w14:paraId="06ADE87B" w14:textId="77777777" w:rsidR="00EF781F" w:rsidRDefault="00EF781F" w:rsidP="00EF781F">
      <w:pPr>
        <w:pStyle w:val="PL"/>
      </w:pPr>
      <w:r>
        <w:t xml:space="preserve">    carrierFreq                         ARFCN-ValueNR,</w:t>
      </w:r>
    </w:p>
    <w:p w14:paraId="58BC7C37" w14:textId="77777777" w:rsidR="00EF781F" w:rsidRDefault="00EF781F" w:rsidP="00EF781F">
      <w:pPr>
        <w:pStyle w:val="PL"/>
      </w:pPr>
      <w:r>
        <w:t xml:space="preserve">    ssbSubcarrierSpacing                SubcarrierSpacing,</w:t>
      </w:r>
    </w:p>
    <w:p w14:paraId="51F63966" w14:textId="77777777" w:rsidR="00EF781F" w:rsidRDefault="00EF781F" w:rsidP="00EF781F">
      <w:pPr>
        <w:pStyle w:val="PL"/>
      </w:pPr>
      <w:r>
        <w:t xml:space="preserve">    smtc                                SSB-MTC                                                             </w:t>
      </w:r>
      <w:r>
        <w:rPr>
          <w:color w:val="993366"/>
        </w:rPr>
        <w:t>OPTIONAL</w:t>
      </w:r>
      <w:r>
        <w:t>,      -- Need S</w:t>
      </w:r>
    </w:p>
    <w:p w14:paraId="6E04DBB6" w14:textId="77777777" w:rsidR="00EF781F" w:rsidRDefault="00EF781F" w:rsidP="00EF781F">
      <w:pPr>
        <w:pStyle w:val="PL"/>
      </w:pPr>
      <w:r>
        <w:t xml:space="preserve">    ...</w:t>
      </w:r>
    </w:p>
    <w:p w14:paraId="4B6DD744" w14:textId="77777777" w:rsidR="00EF781F" w:rsidRDefault="00EF781F" w:rsidP="00EF781F">
      <w:pPr>
        <w:pStyle w:val="PL"/>
      </w:pPr>
      <w:r>
        <w:t>}</w:t>
      </w:r>
    </w:p>
    <w:p w14:paraId="4FE8392C" w14:textId="77777777" w:rsidR="00EF781F" w:rsidRDefault="00EF781F" w:rsidP="00EF781F">
      <w:pPr>
        <w:pStyle w:val="PL"/>
      </w:pPr>
    </w:p>
    <w:p w14:paraId="1AE6354A" w14:textId="77777777" w:rsidR="00EF781F" w:rsidRDefault="00EF781F" w:rsidP="00EF781F">
      <w:pPr>
        <w:pStyle w:val="PL"/>
      </w:pPr>
      <w:r>
        <w:t xml:space="preserve">SuspendConfig ::=                   </w:t>
      </w:r>
      <w:r>
        <w:rPr>
          <w:color w:val="993366"/>
        </w:rPr>
        <w:t>SEQUENCE</w:t>
      </w:r>
      <w:r>
        <w:t xml:space="preserve"> {</w:t>
      </w:r>
    </w:p>
    <w:p w14:paraId="0C97055E" w14:textId="77777777" w:rsidR="00EF781F" w:rsidRDefault="00EF781F" w:rsidP="00EF781F">
      <w:pPr>
        <w:pStyle w:val="PL"/>
      </w:pPr>
      <w:r>
        <w:t xml:space="preserve">    fullI-RNTI                          I-RNTI-Value,</w:t>
      </w:r>
    </w:p>
    <w:p w14:paraId="18B5A471" w14:textId="77777777" w:rsidR="00EF781F" w:rsidRDefault="00EF781F" w:rsidP="00EF781F">
      <w:pPr>
        <w:pStyle w:val="PL"/>
      </w:pPr>
      <w:r>
        <w:t xml:space="preserve">    shortI-RNTI                         ShortI-RNTI-Value,</w:t>
      </w:r>
    </w:p>
    <w:p w14:paraId="0B724CDC" w14:textId="77777777" w:rsidR="00EF781F" w:rsidRDefault="00EF781F" w:rsidP="00EF781F">
      <w:pPr>
        <w:pStyle w:val="PL"/>
      </w:pPr>
      <w:r>
        <w:t xml:space="preserve">    ran-PagingCycle                     PagingCycle,</w:t>
      </w:r>
    </w:p>
    <w:p w14:paraId="3AFB442D" w14:textId="77777777" w:rsidR="00EF781F" w:rsidRDefault="00EF781F" w:rsidP="00EF781F">
      <w:pPr>
        <w:pStyle w:val="PL"/>
      </w:pPr>
      <w:r>
        <w:t xml:space="preserve">    ran-NotificationAreaInfo            RAN-NotificationAreaInfo                                            </w:t>
      </w:r>
      <w:r>
        <w:rPr>
          <w:color w:val="993366"/>
        </w:rPr>
        <w:t>OPTIONAL</w:t>
      </w:r>
      <w:r>
        <w:t>,   -- Need M</w:t>
      </w:r>
    </w:p>
    <w:p w14:paraId="54734B49" w14:textId="77777777" w:rsidR="00EF781F" w:rsidRDefault="00EF781F" w:rsidP="00EF781F">
      <w:pPr>
        <w:pStyle w:val="PL"/>
      </w:pPr>
      <w:r>
        <w:t xml:space="preserve">    t380                                PeriodicRNAU-TimerValue                                             </w:t>
      </w:r>
      <w:r>
        <w:rPr>
          <w:color w:val="993366"/>
        </w:rPr>
        <w:t>OPTIONAL</w:t>
      </w:r>
      <w:r>
        <w:t>,   -- Need R</w:t>
      </w:r>
    </w:p>
    <w:p w14:paraId="661C20A9" w14:textId="77777777" w:rsidR="00EF781F" w:rsidRDefault="00EF781F" w:rsidP="00EF781F">
      <w:pPr>
        <w:pStyle w:val="PL"/>
      </w:pPr>
      <w:r>
        <w:t xml:space="preserve">    nextHopChainingCount                NextHopChainingCount,</w:t>
      </w:r>
    </w:p>
    <w:p w14:paraId="601DD7DF" w14:textId="77777777" w:rsidR="00EF781F" w:rsidRDefault="00EF781F" w:rsidP="00EF781F">
      <w:pPr>
        <w:pStyle w:val="PL"/>
      </w:pPr>
      <w:r>
        <w:t xml:space="preserve">    ...,</w:t>
      </w:r>
    </w:p>
    <w:p w14:paraId="73EF761A" w14:textId="77777777" w:rsidR="00EF781F" w:rsidRDefault="00EF781F" w:rsidP="00EF781F">
      <w:pPr>
        <w:pStyle w:val="PL"/>
      </w:pPr>
      <w:r>
        <w:lastRenderedPageBreak/>
        <w:t xml:space="preserve">    [[</w:t>
      </w:r>
    </w:p>
    <w:p w14:paraId="4492B975" w14:textId="77777777" w:rsidR="00EF781F" w:rsidRDefault="00EF781F" w:rsidP="00EF781F">
      <w:pPr>
        <w:pStyle w:val="PL"/>
      </w:pPr>
      <w:r>
        <w:t xml:space="preserve">    </w:t>
      </w:r>
      <w:r>
        <w:rPr>
          <w:rFonts w:eastAsia="等线"/>
        </w:rPr>
        <w:t>sl-UEIdentityRemote-r17</w:t>
      </w:r>
      <w:r>
        <w:t xml:space="preserve">             </w:t>
      </w:r>
      <w:r>
        <w:rPr>
          <w:rFonts w:eastAsia="等线"/>
        </w:rPr>
        <w:t>RNTI-Value</w:t>
      </w:r>
      <w:r>
        <w:t xml:space="preserve">                                                          </w:t>
      </w:r>
      <w:r>
        <w:rPr>
          <w:color w:val="993366"/>
        </w:rPr>
        <w:t>OPTIONAL</w:t>
      </w:r>
      <w:r>
        <w:t>, -- Cond L2RemoteUE</w:t>
      </w:r>
    </w:p>
    <w:p w14:paraId="4BE19AA4" w14:textId="77777777" w:rsidR="00EF781F" w:rsidRDefault="00EF781F" w:rsidP="00EF781F">
      <w:pPr>
        <w:pStyle w:val="PL"/>
      </w:pPr>
      <w:r>
        <w:t xml:space="preserve">    sdt-Config-r17                      SetupRelease { SDT-Config-r17 }                                     </w:t>
      </w:r>
      <w:r>
        <w:rPr>
          <w:color w:val="993366"/>
        </w:rPr>
        <w:t>OPTIONAL</w:t>
      </w:r>
      <w:r>
        <w:t>,   -- Need M</w:t>
      </w:r>
    </w:p>
    <w:p w14:paraId="28F656F4" w14:textId="77777777" w:rsidR="00EF781F" w:rsidRDefault="00EF781F" w:rsidP="00EF781F">
      <w:pPr>
        <w:pStyle w:val="PL"/>
      </w:pPr>
      <w:r>
        <w:t xml:space="preserve">    srs-PosRRC-Inactive-r17             SetupRelease { SRS-PosRRC-Inactive-r17 }                            </w:t>
      </w:r>
      <w:r>
        <w:rPr>
          <w:color w:val="993366"/>
        </w:rPr>
        <w:t>OPTIONAL</w:t>
      </w:r>
      <w:r>
        <w:t>,   -- Need M</w:t>
      </w:r>
    </w:p>
    <w:p w14:paraId="0D728C29" w14:textId="77777777" w:rsidR="00EF781F" w:rsidRDefault="00EF781F" w:rsidP="00EF781F">
      <w:pPr>
        <w:pStyle w:val="PL"/>
      </w:pPr>
      <w:r>
        <w:t xml:space="preserve">    ran-ExtendedPagingCycle-r17         ExtendedPagingCycle-r17                                             </w:t>
      </w:r>
      <w:r>
        <w:rPr>
          <w:color w:val="993366"/>
        </w:rPr>
        <w:t>OPTIONAL</w:t>
      </w:r>
      <w:r>
        <w:t xml:space="preserve">    -- </w:t>
      </w:r>
      <w:r>
        <w:rPr>
          <w:rFonts w:eastAsia="MS Mincho"/>
        </w:rPr>
        <w:t>Cond RANPaging</w:t>
      </w:r>
    </w:p>
    <w:p w14:paraId="7E77B93D" w14:textId="77777777" w:rsidR="00EF781F" w:rsidRDefault="00EF781F" w:rsidP="00EF781F">
      <w:pPr>
        <w:pStyle w:val="PL"/>
      </w:pPr>
      <w:r>
        <w:t xml:space="preserve">    ]],</w:t>
      </w:r>
    </w:p>
    <w:p w14:paraId="520A49C7" w14:textId="77777777" w:rsidR="00EF781F" w:rsidRDefault="00EF781F" w:rsidP="00EF781F">
      <w:pPr>
        <w:pStyle w:val="PL"/>
      </w:pPr>
      <w:r>
        <w:t xml:space="preserve">    [[</w:t>
      </w:r>
    </w:p>
    <w:p w14:paraId="6FBD316E" w14:textId="77777777" w:rsidR="00EF781F" w:rsidRDefault="00EF781F" w:rsidP="00EF781F">
      <w:pPr>
        <w:pStyle w:val="PL"/>
      </w:pPr>
      <w:r>
        <w:t xml:space="preserve">    ncd-SSB-RedCapInitialBWP-SDT-r17    SetupRelease {NonCellDefiningSSB-r17}                               </w:t>
      </w:r>
      <w:r>
        <w:rPr>
          <w:color w:val="993366"/>
        </w:rPr>
        <w:t>OPTIONAL</w:t>
      </w:r>
      <w:r>
        <w:t xml:space="preserve">    -- Need M</w:t>
      </w:r>
    </w:p>
    <w:p w14:paraId="481E3682" w14:textId="77777777" w:rsidR="00EF781F" w:rsidRDefault="00EF781F" w:rsidP="00EF781F">
      <w:pPr>
        <w:pStyle w:val="PL"/>
        <w:rPr>
          <w:ins w:id="642" w:author="Huawei, HiSilicon" w:date="2023-11-02T14:40:00Z"/>
        </w:rPr>
      </w:pPr>
      <w:r>
        <w:rPr>
          <w:lang w:eastAsia="ja-JP"/>
        </w:rPr>
        <w:t xml:space="preserve">    </w:t>
      </w:r>
      <w:r>
        <w:t>]]</w:t>
      </w:r>
      <w:ins w:id="643" w:author="Huawei, HiSilicon" w:date="2023-11-02T14:40:00Z">
        <w:r>
          <w:t>,</w:t>
        </w:r>
      </w:ins>
    </w:p>
    <w:p w14:paraId="4A1DE248" w14:textId="77777777" w:rsidR="00EF781F" w:rsidRDefault="00EF781F" w:rsidP="00EF781F">
      <w:pPr>
        <w:pStyle w:val="PL"/>
        <w:rPr>
          <w:ins w:id="644" w:author="Huawei, HiSilicon" w:date="2023-11-02T14:40:00Z"/>
        </w:rPr>
      </w:pPr>
      <w:ins w:id="645" w:author="Huawei, HiSilicon" w:date="2023-11-02T14:40:00Z">
        <w:r>
          <w:t xml:space="preserve">    [[</w:t>
        </w:r>
      </w:ins>
    </w:p>
    <w:p w14:paraId="777EC1D0" w14:textId="77777777" w:rsidR="00EF781F" w:rsidRDefault="00EF781F" w:rsidP="00EF781F">
      <w:pPr>
        <w:pStyle w:val="PL"/>
        <w:rPr>
          <w:ins w:id="646" w:author="Huawei, HiSilicon" w:date="2023-11-02T14:40:00Z"/>
        </w:rPr>
      </w:pPr>
      <w:ins w:id="647" w:author="Huawei, HiSilicon" w:date="2023-11-02T14:40:00Z">
        <w:r>
          <w:t xml:space="preserve">    multicastConfigInactive-r18         SetupRelease { MulticastConfigInactive-r18 }                        OPTIONAL   -- Need M</w:t>
        </w:r>
      </w:ins>
    </w:p>
    <w:p w14:paraId="54DE4AB6" w14:textId="77777777" w:rsidR="00EF781F" w:rsidRDefault="00EF781F" w:rsidP="00EF781F">
      <w:pPr>
        <w:pStyle w:val="PL"/>
        <w:rPr>
          <w:lang w:val="fi-FI"/>
        </w:rPr>
      </w:pPr>
      <w:ins w:id="648" w:author="Huawei, HiSilicon" w:date="2023-11-02T14:40:00Z">
        <w:r>
          <w:t xml:space="preserve">    </w:t>
        </w:r>
        <w:r>
          <w:rPr>
            <w:lang w:val="fi-FI"/>
          </w:rPr>
          <w:t>]]</w:t>
        </w:r>
      </w:ins>
    </w:p>
    <w:p w14:paraId="6EE51596" w14:textId="77777777" w:rsidR="00EF781F" w:rsidRDefault="00EF781F" w:rsidP="00EF781F">
      <w:pPr>
        <w:pStyle w:val="PL"/>
        <w:rPr>
          <w:lang w:val="fi-FI"/>
        </w:rPr>
      </w:pPr>
      <w:r>
        <w:rPr>
          <w:lang w:val="fi-FI"/>
        </w:rPr>
        <w:t>}</w:t>
      </w:r>
    </w:p>
    <w:p w14:paraId="657A03CA" w14:textId="77777777" w:rsidR="00EF781F" w:rsidRDefault="00EF781F" w:rsidP="00EF781F">
      <w:pPr>
        <w:pStyle w:val="PL"/>
        <w:rPr>
          <w:lang w:val="fi-FI"/>
        </w:rPr>
      </w:pPr>
    </w:p>
    <w:p w14:paraId="14F05698" w14:textId="77777777" w:rsidR="00EF781F" w:rsidRDefault="00EF781F" w:rsidP="00EF781F">
      <w:pPr>
        <w:pStyle w:val="PL"/>
        <w:rPr>
          <w:lang w:val="fi-FI"/>
        </w:rPr>
      </w:pPr>
      <w:r>
        <w:rPr>
          <w:lang w:val="fi-FI"/>
        </w:rPr>
        <w:t xml:space="preserve">PeriodicRNAU-TimerValue ::=         </w:t>
      </w:r>
      <w:r>
        <w:rPr>
          <w:color w:val="993366"/>
          <w:lang w:val="fi-FI"/>
        </w:rPr>
        <w:t>ENUMERATED</w:t>
      </w:r>
      <w:r>
        <w:rPr>
          <w:lang w:val="fi-FI"/>
        </w:rPr>
        <w:t xml:space="preserve"> { min5, min10, min20, min30, min60, min120, min360, min720}</w:t>
      </w:r>
    </w:p>
    <w:p w14:paraId="6336C282" w14:textId="77777777" w:rsidR="00EF781F" w:rsidRDefault="00EF781F" w:rsidP="00EF781F">
      <w:pPr>
        <w:pStyle w:val="PL"/>
        <w:rPr>
          <w:lang w:val="fi-FI"/>
        </w:rPr>
      </w:pPr>
    </w:p>
    <w:p w14:paraId="46D0E565" w14:textId="77777777" w:rsidR="00EF781F" w:rsidRDefault="00EF781F" w:rsidP="00EF781F">
      <w:pPr>
        <w:pStyle w:val="PL"/>
      </w:pPr>
      <w:r>
        <w:t xml:space="preserve">CellReselectionPriorities ::=       </w:t>
      </w:r>
      <w:r>
        <w:rPr>
          <w:color w:val="993366"/>
        </w:rPr>
        <w:t>SEQUENCE</w:t>
      </w:r>
      <w:r>
        <w:t xml:space="preserve"> {</w:t>
      </w:r>
    </w:p>
    <w:p w14:paraId="56FD2A4F" w14:textId="77777777" w:rsidR="00EF781F" w:rsidRDefault="00EF781F" w:rsidP="00EF781F">
      <w:pPr>
        <w:pStyle w:val="PL"/>
      </w:pPr>
      <w:r>
        <w:t xml:space="preserve">    freqPriorityListEUTRA               FreqPriorityListEUTRA                                               </w:t>
      </w:r>
      <w:r>
        <w:rPr>
          <w:color w:val="993366"/>
        </w:rPr>
        <w:t>OPTIONAL</w:t>
      </w:r>
      <w:r>
        <w:t>,       -- Need M</w:t>
      </w:r>
    </w:p>
    <w:p w14:paraId="494CF1A4" w14:textId="77777777" w:rsidR="00EF781F" w:rsidRDefault="00EF781F" w:rsidP="00EF781F">
      <w:pPr>
        <w:pStyle w:val="PL"/>
      </w:pPr>
      <w:r>
        <w:t xml:space="preserve">    freqPriorityListNR                  FreqPriorityListNR                                                  </w:t>
      </w:r>
      <w:r>
        <w:rPr>
          <w:color w:val="993366"/>
        </w:rPr>
        <w:t>OPTIONAL</w:t>
      </w:r>
      <w:r>
        <w:t>,       -- Need M</w:t>
      </w:r>
    </w:p>
    <w:p w14:paraId="27DEEB5C" w14:textId="77777777" w:rsidR="00EF781F" w:rsidRDefault="00EF781F" w:rsidP="00EF781F">
      <w:pPr>
        <w:pStyle w:val="PL"/>
      </w:pPr>
      <w:r>
        <w:t xml:space="preserve">    t320                                </w:t>
      </w:r>
      <w:r>
        <w:rPr>
          <w:color w:val="993366"/>
        </w:rPr>
        <w:t>ENUMERATED</w:t>
      </w:r>
      <w:r>
        <w:t xml:space="preserve"> {min5, min10, min20, min30, min60, min120, min180, spare1} </w:t>
      </w:r>
      <w:r>
        <w:rPr>
          <w:color w:val="993366"/>
        </w:rPr>
        <w:t>OPTIONAL</w:t>
      </w:r>
      <w:r>
        <w:t>,     -- Need R</w:t>
      </w:r>
    </w:p>
    <w:p w14:paraId="2DF7E68A" w14:textId="77777777" w:rsidR="00EF781F" w:rsidRDefault="00EF781F" w:rsidP="00EF781F">
      <w:pPr>
        <w:pStyle w:val="PL"/>
      </w:pPr>
      <w:r>
        <w:t xml:space="preserve">    ...,</w:t>
      </w:r>
    </w:p>
    <w:p w14:paraId="1A5405DD" w14:textId="77777777" w:rsidR="00EF781F" w:rsidRDefault="00EF781F" w:rsidP="00EF781F">
      <w:pPr>
        <w:pStyle w:val="PL"/>
      </w:pPr>
      <w:r>
        <w:t xml:space="preserve">    [[</w:t>
      </w:r>
    </w:p>
    <w:p w14:paraId="2471BEF0" w14:textId="77777777" w:rsidR="00EF781F" w:rsidRDefault="00EF781F" w:rsidP="00EF781F">
      <w:pPr>
        <w:pStyle w:val="PL"/>
      </w:pPr>
      <w:r>
        <w:t xml:space="preserve">    freqPriorityListDedicatedSlicing-r17 FreqPriorityListDedicatedSlicing-r17                               </w:t>
      </w:r>
      <w:r>
        <w:rPr>
          <w:color w:val="993366"/>
        </w:rPr>
        <w:t>OPTIONAL</w:t>
      </w:r>
      <w:r>
        <w:t xml:space="preserve">        -- Need M</w:t>
      </w:r>
    </w:p>
    <w:p w14:paraId="3AB6B3E3" w14:textId="77777777" w:rsidR="00EF781F" w:rsidRDefault="00EF781F" w:rsidP="00EF781F">
      <w:pPr>
        <w:pStyle w:val="PL"/>
      </w:pPr>
      <w:r>
        <w:t xml:space="preserve">    ]]</w:t>
      </w:r>
    </w:p>
    <w:p w14:paraId="0E1FD5DF" w14:textId="77777777" w:rsidR="00EF781F" w:rsidRDefault="00EF781F" w:rsidP="00EF781F">
      <w:pPr>
        <w:pStyle w:val="PL"/>
      </w:pPr>
      <w:r>
        <w:t>}</w:t>
      </w:r>
    </w:p>
    <w:p w14:paraId="765C8DA5" w14:textId="77777777" w:rsidR="00EF781F" w:rsidRDefault="00EF781F" w:rsidP="00EF781F">
      <w:pPr>
        <w:pStyle w:val="PL"/>
      </w:pPr>
    </w:p>
    <w:p w14:paraId="57B2F7A3" w14:textId="77777777" w:rsidR="00EF781F" w:rsidRDefault="00EF781F" w:rsidP="00EF781F">
      <w:pPr>
        <w:pStyle w:val="PL"/>
      </w:pPr>
      <w:r>
        <w:t xml:space="preserve">PagingCycle ::=                     </w:t>
      </w:r>
      <w:r>
        <w:rPr>
          <w:color w:val="993366"/>
        </w:rPr>
        <w:t>ENUMERATED</w:t>
      </w:r>
      <w:r>
        <w:t xml:space="preserve"> {rf32, rf64, rf128, rf256}</w:t>
      </w:r>
    </w:p>
    <w:p w14:paraId="07D31C6F" w14:textId="77777777" w:rsidR="00EF781F" w:rsidRDefault="00EF781F" w:rsidP="00EF781F">
      <w:pPr>
        <w:pStyle w:val="PL"/>
      </w:pPr>
    </w:p>
    <w:p w14:paraId="48F6773C" w14:textId="77777777" w:rsidR="00EF781F" w:rsidRDefault="00EF781F" w:rsidP="00EF781F">
      <w:pPr>
        <w:pStyle w:val="PL"/>
      </w:pPr>
      <w:r>
        <w:t xml:space="preserve">ExtendedPagingCycle-r17 ::=         </w:t>
      </w:r>
      <w:r>
        <w:rPr>
          <w:color w:val="993366"/>
        </w:rPr>
        <w:t>ENUMERATED</w:t>
      </w:r>
      <w:r>
        <w:t xml:space="preserve"> {rf256, rf512, rf1024, spare1}</w:t>
      </w:r>
    </w:p>
    <w:p w14:paraId="32491961" w14:textId="77777777" w:rsidR="00EF781F" w:rsidRDefault="00EF781F" w:rsidP="00EF781F">
      <w:pPr>
        <w:pStyle w:val="PL"/>
      </w:pPr>
    </w:p>
    <w:p w14:paraId="395F7D40" w14:textId="77777777" w:rsidR="00EF781F" w:rsidRDefault="00EF781F" w:rsidP="00EF781F">
      <w:pPr>
        <w:pStyle w:val="PL"/>
      </w:pPr>
      <w:r>
        <w:t xml:space="preserve">FreqPriorityListEUTRA ::=           </w:t>
      </w:r>
      <w:r>
        <w:rPr>
          <w:color w:val="993366"/>
        </w:rPr>
        <w:t>SEQUENCE</w:t>
      </w:r>
      <w:r>
        <w:t xml:space="preserve"> (</w:t>
      </w:r>
      <w:r>
        <w:rPr>
          <w:color w:val="993366"/>
        </w:rPr>
        <w:t>SIZE</w:t>
      </w:r>
      <w:r>
        <w:t xml:space="preserve"> (1..maxFreq))</w:t>
      </w:r>
      <w:r>
        <w:rPr>
          <w:color w:val="993366"/>
        </w:rPr>
        <w:t xml:space="preserve"> OF</w:t>
      </w:r>
      <w:r>
        <w:t xml:space="preserve"> FreqPriorityEUTRA</w:t>
      </w:r>
    </w:p>
    <w:p w14:paraId="1F54C004" w14:textId="77777777" w:rsidR="00EF781F" w:rsidRDefault="00EF781F" w:rsidP="00EF781F">
      <w:pPr>
        <w:pStyle w:val="PL"/>
      </w:pPr>
    </w:p>
    <w:p w14:paraId="11572309" w14:textId="77777777" w:rsidR="00EF781F" w:rsidRDefault="00EF781F" w:rsidP="00EF781F">
      <w:pPr>
        <w:pStyle w:val="PL"/>
      </w:pPr>
      <w:r>
        <w:t xml:space="preserve">FreqPriorityListNR ::=              </w:t>
      </w:r>
      <w:r>
        <w:rPr>
          <w:color w:val="993366"/>
        </w:rPr>
        <w:t>SEQUENCE</w:t>
      </w:r>
      <w:r>
        <w:t xml:space="preserve"> (</w:t>
      </w:r>
      <w:r>
        <w:rPr>
          <w:color w:val="993366"/>
        </w:rPr>
        <w:t>SIZE</w:t>
      </w:r>
      <w:r>
        <w:t xml:space="preserve"> (1..maxFreq))</w:t>
      </w:r>
      <w:r>
        <w:rPr>
          <w:color w:val="993366"/>
        </w:rPr>
        <w:t xml:space="preserve"> OF</w:t>
      </w:r>
      <w:r>
        <w:t xml:space="preserve"> FreqPriorityNR</w:t>
      </w:r>
    </w:p>
    <w:p w14:paraId="56E7D1FB" w14:textId="77777777" w:rsidR="00EF781F" w:rsidRDefault="00EF781F" w:rsidP="00EF781F">
      <w:pPr>
        <w:pStyle w:val="PL"/>
      </w:pPr>
    </w:p>
    <w:p w14:paraId="166F6F7D" w14:textId="77777777" w:rsidR="00EF781F" w:rsidRDefault="00EF781F" w:rsidP="00EF781F">
      <w:pPr>
        <w:pStyle w:val="PL"/>
      </w:pPr>
      <w:r>
        <w:t xml:space="preserve">FreqPriorityEUTRA ::=               </w:t>
      </w:r>
      <w:r>
        <w:rPr>
          <w:color w:val="993366"/>
        </w:rPr>
        <w:t>SEQUENCE</w:t>
      </w:r>
      <w:r>
        <w:t xml:space="preserve"> {</w:t>
      </w:r>
    </w:p>
    <w:p w14:paraId="4C14D810" w14:textId="77777777" w:rsidR="00EF781F" w:rsidRDefault="00EF781F" w:rsidP="00EF781F">
      <w:pPr>
        <w:pStyle w:val="PL"/>
      </w:pPr>
      <w:r>
        <w:t xml:space="preserve">    carrierFreq                         ARFCN-ValueEUTRA,</w:t>
      </w:r>
    </w:p>
    <w:p w14:paraId="56B1CCDB" w14:textId="77777777" w:rsidR="00EF781F" w:rsidRDefault="00EF781F" w:rsidP="00EF781F">
      <w:pPr>
        <w:pStyle w:val="PL"/>
      </w:pPr>
      <w:r>
        <w:t xml:space="preserve">    cellReselectionPriority             CellReselectionPriority,</w:t>
      </w:r>
    </w:p>
    <w:p w14:paraId="7E0CCEBD" w14:textId="77777777" w:rsidR="00EF781F" w:rsidRDefault="00EF781F" w:rsidP="00EF781F">
      <w:pPr>
        <w:pStyle w:val="PL"/>
      </w:pPr>
      <w:r>
        <w:t xml:space="preserve">    cellReselectionSubPriority          CellReselectionSubPriority                                          </w:t>
      </w:r>
      <w:r>
        <w:rPr>
          <w:color w:val="993366"/>
        </w:rPr>
        <w:t>OPTIONAL</w:t>
      </w:r>
      <w:r>
        <w:t xml:space="preserve">        -- Need R</w:t>
      </w:r>
    </w:p>
    <w:p w14:paraId="4C64190D" w14:textId="77777777" w:rsidR="00EF781F" w:rsidRDefault="00EF781F" w:rsidP="00EF781F">
      <w:pPr>
        <w:pStyle w:val="PL"/>
      </w:pPr>
      <w:r>
        <w:t>}</w:t>
      </w:r>
    </w:p>
    <w:p w14:paraId="3721F33F" w14:textId="77777777" w:rsidR="00EF781F" w:rsidRDefault="00EF781F" w:rsidP="00EF781F">
      <w:pPr>
        <w:pStyle w:val="PL"/>
      </w:pPr>
    </w:p>
    <w:p w14:paraId="2C7D8477" w14:textId="77777777" w:rsidR="00EF781F" w:rsidRDefault="00EF781F" w:rsidP="00EF781F">
      <w:pPr>
        <w:pStyle w:val="PL"/>
      </w:pPr>
      <w:r>
        <w:t xml:space="preserve">FreqPriorityNR ::=                  </w:t>
      </w:r>
      <w:r>
        <w:rPr>
          <w:color w:val="993366"/>
        </w:rPr>
        <w:t>SEQUENCE</w:t>
      </w:r>
      <w:r>
        <w:t xml:space="preserve"> {</w:t>
      </w:r>
    </w:p>
    <w:p w14:paraId="664F9521" w14:textId="77777777" w:rsidR="00EF781F" w:rsidRDefault="00EF781F" w:rsidP="00EF781F">
      <w:pPr>
        <w:pStyle w:val="PL"/>
      </w:pPr>
      <w:r>
        <w:t xml:space="preserve">    carrierFreq                         ARFCN-ValueNR,</w:t>
      </w:r>
    </w:p>
    <w:p w14:paraId="16191345" w14:textId="77777777" w:rsidR="00EF781F" w:rsidRDefault="00EF781F" w:rsidP="00EF781F">
      <w:pPr>
        <w:pStyle w:val="PL"/>
      </w:pPr>
      <w:r>
        <w:t xml:space="preserve">    cellReselectionPriority             CellReselectionPriority,</w:t>
      </w:r>
    </w:p>
    <w:p w14:paraId="5B04F058" w14:textId="77777777" w:rsidR="00EF781F" w:rsidRDefault="00EF781F" w:rsidP="00EF781F">
      <w:pPr>
        <w:pStyle w:val="PL"/>
      </w:pPr>
      <w:r>
        <w:t xml:space="preserve">    cellReselectionSubPriority          CellReselectionSubPriority                                          </w:t>
      </w:r>
      <w:r>
        <w:rPr>
          <w:color w:val="993366"/>
        </w:rPr>
        <w:t>OPTIONAL</w:t>
      </w:r>
      <w:r>
        <w:t xml:space="preserve">        -- Need R</w:t>
      </w:r>
    </w:p>
    <w:p w14:paraId="6785353C" w14:textId="77777777" w:rsidR="00EF781F" w:rsidRDefault="00EF781F" w:rsidP="00EF781F">
      <w:pPr>
        <w:pStyle w:val="PL"/>
      </w:pPr>
      <w:r>
        <w:t>}</w:t>
      </w:r>
    </w:p>
    <w:p w14:paraId="7C5833C2" w14:textId="77777777" w:rsidR="00EF781F" w:rsidRDefault="00EF781F" w:rsidP="00EF781F">
      <w:pPr>
        <w:pStyle w:val="PL"/>
      </w:pPr>
    </w:p>
    <w:p w14:paraId="5EC68812" w14:textId="77777777" w:rsidR="00EF781F" w:rsidRDefault="00EF781F" w:rsidP="00EF781F">
      <w:pPr>
        <w:pStyle w:val="PL"/>
      </w:pPr>
      <w:r>
        <w:t xml:space="preserve">RAN-NotificationAreaInfo ::=        </w:t>
      </w:r>
      <w:r>
        <w:rPr>
          <w:color w:val="993366"/>
        </w:rPr>
        <w:t>CHOICE</w:t>
      </w:r>
      <w:r>
        <w:t xml:space="preserve"> {</w:t>
      </w:r>
    </w:p>
    <w:p w14:paraId="015EF847" w14:textId="77777777" w:rsidR="00EF781F" w:rsidRDefault="00EF781F" w:rsidP="00EF781F">
      <w:pPr>
        <w:pStyle w:val="PL"/>
      </w:pPr>
      <w:r>
        <w:t xml:space="preserve">    cellList                            PLMN-RAN-AreaCellList,</w:t>
      </w:r>
    </w:p>
    <w:p w14:paraId="33677830" w14:textId="77777777" w:rsidR="00EF781F" w:rsidRDefault="00EF781F" w:rsidP="00EF781F">
      <w:pPr>
        <w:pStyle w:val="PL"/>
      </w:pPr>
      <w:r>
        <w:t xml:space="preserve">    ran-AreaConfigList                  PLMN-RAN-AreaConfigList,</w:t>
      </w:r>
    </w:p>
    <w:p w14:paraId="237A8C5A" w14:textId="77777777" w:rsidR="00EF781F" w:rsidRDefault="00EF781F" w:rsidP="00EF781F">
      <w:pPr>
        <w:pStyle w:val="PL"/>
      </w:pPr>
      <w:r>
        <w:t xml:space="preserve">    ...</w:t>
      </w:r>
    </w:p>
    <w:p w14:paraId="2F671F8B" w14:textId="77777777" w:rsidR="00EF781F" w:rsidRDefault="00EF781F" w:rsidP="00EF781F">
      <w:pPr>
        <w:pStyle w:val="PL"/>
      </w:pPr>
      <w:r>
        <w:t>}</w:t>
      </w:r>
    </w:p>
    <w:p w14:paraId="2231D43A" w14:textId="77777777" w:rsidR="00EF781F" w:rsidRDefault="00EF781F" w:rsidP="00EF781F">
      <w:pPr>
        <w:pStyle w:val="PL"/>
      </w:pPr>
    </w:p>
    <w:p w14:paraId="6CA78428" w14:textId="77777777" w:rsidR="00EF781F" w:rsidRDefault="00EF781F" w:rsidP="00EF781F">
      <w:pPr>
        <w:pStyle w:val="PL"/>
      </w:pPr>
      <w:r>
        <w:t xml:space="preserve">PLMN-RAN-AreaCellList ::=           </w:t>
      </w:r>
      <w:r>
        <w:rPr>
          <w:color w:val="993366"/>
        </w:rPr>
        <w:t>SEQUENCE</w:t>
      </w:r>
      <w:r>
        <w:t xml:space="preserve"> (</w:t>
      </w:r>
      <w:r>
        <w:rPr>
          <w:color w:val="993366"/>
        </w:rPr>
        <w:t>SIZE</w:t>
      </w:r>
      <w:r>
        <w:t xml:space="preserve"> (1.. maxPLMNIdentities))</w:t>
      </w:r>
      <w:r>
        <w:rPr>
          <w:color w:val="993366"/>
        </w:rPr>
        <w:t xml:space="preserve"> OF</w:t>
      </w:r>
      <w:r>
        <w:t xml:space="preserve"> PLMN-RAN-AreaCell</w:t>
      </w:r>
    </w:p>
    <w:p w14:paraId="7185D4DF" w14:textId="77777777" w:rsidR="00EF781F" w:rsidRDefault="00EF781F" w:rsidP="00EF781F">
      <w:pPr>
        <w:pStyle w:val="PL"/>
      </w:pPr>
    </w:p>
    <w:p w14:paraId="36446B9E" w14:textId="77777777" w:rsidR="00EF781F" w:rsidRDefault="00EF781F" w:rsidP="00EF781F">
      <w:pPr>
        <w:pStyle w:val="PL"/>
      </w:pPr>
      <w:r>
        <w:t xml:space="preserve">PLMN-RAN-AreaCell ::=               </w:t>
      </w:r>
      <w:r>
        <w:rPr>
          <w:color w:val="993366"/>
        </w:rPr>
        <w:t>SEQUENCE</w:t>
      </w:r>
      <w:r>
        <w:t xml:space="preserve"> {</w:t>
      </w:r>
    </w:p>
    <w:p w14:paraId="79E168EF" w14:textId="77777777" w:rsidR="00EF781F" w:rsidRDefault="00EF781F" w:rsidP="00EF781F">
      <w:pPr>
        <w:pStyle w:val="PL"/>
      </w:pPr>
      <w:r>
        <w:t xml:space="preserve">    plmn-Identity                       PLMN-Identity                                                       </w:t>
      </w:r>
      <w:r>
        <w:rPr>
          <w:color w:val="993366"/>
        </w:rPr>
        <w:t>OPTIONAL</w:t>
      </w:r>
      <w:r>
        <w:t>,   -- Need S</w:t>
      </w:r>
    </w:p>
    <w:p w14:paraId="57837F2D" w14:textId="77777777" w:rsidR="00EF781F" w:rsidRDefault="00EF781F" w:rsidP="00EF781F">
      <w:pPr>
        <w:pStyle w:val="PL"/>
      </w:pPr>
      <w:r>
        <w:t xml:space="preserve">    ran-AreaCells                       </w:t>
      </w:r>
      <w:r>
        <w:rPr>
          <w:color w:val="993366"/>
        </w:rPr>
        <w:t>SEQUENCE</w:t>
      </w:r>
      <w:r>
        <w:t xml:space="preserve"> (</w:t>
      </w:r>
      <w:r>
        <w:rPr>
          <w:color w:val="993366"/>
        </w:rPr>
        <w:t>SIZE</w:t>
      </w:r>
      <w:r>
        <w:t xml:space="preserve"> (1..32))</w:t>
      </w:r>
      <w:r>
        <w:rPr>
          <w:color w:val="993366"/>
        </w:rPr>
        <w:t xml:space="preserve"> OF</w:t>
      </w:r>
      <w:r>
        <w:t xml:space="preserve">  CellIdentity</w:t>
      </w:r>
    </w:p>
    <w:p w14:paraId="6AB2BFFB" w14:textId="77777777" w:rsidR="00EF781F" w:rsidRDefault="00EF781F" w:rsidP="00EF781F">
      <w:pPr>
        <w:pStyle w:val="PL"/>
      </w:pPr>
      <w:r>
        <w:t>}</w:t>
      </w:r>
    </w:p>
    <w:p w14:paraId="667BE9D5" w14:textId="77777777" w:rsidR="00EF781F" w:rsidRDefault="00EF781F" w:rsidP="00EF781F">
      <w:pPr>
        <w:pStyle w:val="PL"/>
      </w:pPr>
    </w:p>
    <w:p w14:paraId="3AC66E90" w14:textId="77777777" w:rsidR="00EF781F" w:rsidRDefault="00EF781F" w:rsidP="00EF781F">
      <w:pPr>
        <w:pStyle w:val="PL"/>
      </w:pPr>
      <w:r>
        <w:t xml:space="preserve">PLMN-RAN-AreaConfigList ::=         </w:t>
      </w:r>
      <w:r>
        <w:rPr>
          <w:color w:val="993366"/>
        </w:rPr>
        <w:t>SEQUENCE</w:t>
      </w:r>
      <w:r>
        <w:t xml:space="preserve"> (</w:t>
      </w:r>
      <w:r>
        <w:rPr>
          <w:color w:val="993366"/>
        </w:rPr>
        <w:t>SIZE</w:t>
      </w:r>
      <w:r>
        <w:t xml:space="preserve"> (1..maxPLMNIdentities))</w:t>
      </w:r>
      <w:r>
        <w:rPr>
          <w:color w:val="993366"/>
        </w:rPr>
        <w:t xml:space="preserve"> OF</w:t>
      </w:r>
      <w:r>
        <w:t xml:space="preserve"> PLMN-RAN-AreaConfig</w:t>
      </w:r>
    </w:p>
    <w:p w14:paraId="698C7083" w14:textId="77777777" w:rsidR="00EF781F" w:rsidRDefault="00EF781F" w:rsidP="00EF781F">
      <w:pPr>
        <w:pStyle w:val="PL"/>
      </w:pPr>
    </w:p>
    <w:p w14:paraId="4BC54880" w14:textId="77777777" w:rsidR="00EF781F" w:rsidRDefault="00EF781F" w:rsidP="00EF781F">
      <w:pPr>
        <w:pStyle w:val="PL"/>
      </w:pPr>
      <w:r>
        <w:t xml:space="preserve">PLMN-RAN-AreaConfig ::=             </w:t>
      </w:r>
      <w:r>
        <w:rPr>
          <w:color w:val="993366"/>
        </w:rPr>
        <w:t>SEQUENCE</w:t>
      </w:r>
      <w:r>
        <w:t xml:space="preserve"> {</w:t>
      </w:r>
    </w:p>
    <w:p w14:paraId="6A7B3A74" w14:textId="77777777" w:rsidR="00EF781F" w:rsidRDefault="00EF781F" w:rsidP="00EF781F">
      <w:pPr>
        <w:pStyle w:val="PL"/>
      </w:pPr>
      <w:r>
        <w:t xml:space="preserve">    plmn-Identity                       PLMN-Identity                                                       </w:t>
      </w:r>
      <w:r>
        <w:rPr>
          <w:color w:val="993366"/>
        </w:rPr>
        <w:t>OPTIONAL</w:t>
      </w:r>
      <w:r>
        <w:t>,   -- Need S</w:t>
      </w:r>
    </w:p>
    <w:p w14:paraId="147E59D2" w14:textId="77777777" w:rsidR="00EF781F" w:rsidRDefault="00EF781F" w:rsidP="00EF781F">
      <w:pPr>
        <w:pStyle w:val="PL"/>
      </w:pPr>
      <w:r>
        <w:t xml:space="preserve">    ran-Area                            </w:t>
      </w:r>
      <w:r>
        <w:rPr>
          <w:color w:val="993366"/>
        </w:rPr>
        <w:t>SEQUENCE</w:t>
      </w:r>
      <w:r>
        <w:t xml:space="preserve"> (</w:t>
      </w:r>
      <w:r>
        <w:rPr>
          <w:color w:val="993366"/>
        </w:rPr>
        <w:t>SIZE</w:t>
      </w:r>
      <w:r>
        <w:t xml:space="preserve"> (1..16))</w:t>
      </w:r>
      <w:r>
        <w:rPr>
          <w:color w:val="993366"/>
        </w:rPr>
        <w:t xml:space="preserve"> OF</w:t>
      </w:r>
      <w:r>
        <w:t xml:space="preserve">  RAN-AreaConfig</w:t>
      </w:r>
    </w:p>
    <w:p w14:paraId="4E48936C" w14:textId="77777777" w:rsidR="00EF781F" w:rsidRDefault="00EF781F" w:rsidP="00EF781F">
      <w:pPr>
        <w:pStyle w:val="PL"/>
      </w:pPr>
      <w:r>
        <w:t>}</w:t>
      </w:r>
    </w:p>
    <w:p w14:paraId="514C70AC" w14:textId="77777777" w:rsidR="00EF781F" w:rsidRDefault="00EF781F" w:rsidP="00EF781F">
      <w:pPr>
        <w:pStyle w:val="PL"/>
      </w:pPr>
    </w:p>
    <w:p w14:paraId="7C8B5989" w14:textId="77777777" w:rsidR="00EF781F" w:rsidRDefault="00EF781F" w:rsidP="00EF781F">
      <w:pPr>
        <w:pStyle w:val="PL"/>
      </w:pPr>
      <w:r>
        <w:t xml:space="preserve">RAN-AreaConfig ::=                  </w:t>
      </w:r>
      <w:r>
        <w:rPr>
          <w:color w:val="993366"/>
        </w:rPr>
        <w:t>SEQUENCE</w:t>
      </w:r>
      <w:r>
        <w:t xml:space="preserve"> {</w:t>
      </w:r>
    </w:p>
    <w:p w14:paraId="08F6E1EC" w14:textId="77777777" w:rsidR="00EF781F" w:rsidRDefault="00EF781F" w:rsidP="00EF781F">
      <w:pPr>
        <w:pStyle w:val="PL"/>
      </w:pPr>
      <w:r>
        <w:t xml:space="preserve">    trackingAreaCode                    TrackingAreaCode,</w:t>
      </w:r>
    </w:p>
    <w:p w14:paraId="0245C5AC" w14:textId="77777777" w:rsidR="00EF781F" w:rsidRDefault="00EF781F" w:rsidP="00EF781F">
      <w:pPr>
        <w:pStyle w:val="PL"/>
      </w:pPr>
      <w:r>
        <w:t xml:space="preserve">    ran-AreaCodeList                    </w:t>
      </w:r>
      <w:r>
        <w:rPr>
          <w:color w:val="993366"/>
        </w:rPr>
        <w:t>SEQUENCE</w:t>
      </w:r>
      <w:r>
        <w:t xml:space="preserve"> (</w:t>
      </w:r>
      <w:r>
        <w:rPr>
          <w:color w:val="993366"/>
        </w:rPr>
        <w:t>SIZE</w:t>
      </w:r>
      <w:r>
        <w:t xml:space="preserve"> (1..32))</w:t>
      </w:r>
      <w:r>
        <w:rPr>
          <w:color w:val="993366"/>
        </w:rPr>
        <w:t xml:space="preserve"> OF</w:t>
      </w:r>
      <w:r>
        <w:t xml:space="preserve">  RAN-AreaCode                            </w:t>
      </w:r>
      <w:r>
        <w:rPr>
          <w:color w:val="993366"/>
        </w:rPr>
        <w:t>OPTIONAL</w:t>
      </w:r>
      <w:r>
        <w:t xml:space="preserve">    -- Need R</w:t>
      </w:r>
    </w:p>
    <w:p w14:paraId="49BD0E08" w14:textId="77777777" w:rsidR="00EF781F" w:rsidRDefault="00EF781F" w:rsidP="00EF781F">
      <w:pPr>
        <w:pStyle w:val="PL"/>
      </w:pPr>
      <w:r>
        <w:t>}</w:t>
      </w:r>
    </w:p>
    <w:p w14:paraId="74D02BBC" w14:textId="77777777" w:rsidR="00EF781F" w:rsidRDefault="00EF781F" w:rsidP="00EF781F">
      <w:pPr>
        <w:pStyle w:val="PL"/>
      </w:pPr>
    </w:p>
    <w:p w14:paraId="712AD28A" w14:textId="77777777" w:rsidR="00EF781F" w:rsidRDefault="00EF781F" w:rsidP="00EF781F">
      <w:pPr>
        <w:pStyle w:val="PL"/>
      </w:pPr>
      <w:r>
        <w:t xml:space="preserve">SDT-Config-r17 ::=                  </w:t>
      </w:r>
      <w:r>
        <w:rPr>
          <w:color w:val="993366"/>
        </w:rPr>
        <w:t>SEQUENCE</w:t>
      </w:r>
      <w:r>
        <w:t xml:space="preserve"> {</w:t>
      </w:r>
    </w:p>
    <w:p w14:paraId="12DBF318" w14:textId="77777777" w:rsidR="00EF781F" w:rsidRDefault="00EF781F" w:rsidP="00EF781F">
      <w:pPr>
        <w:pStyle w:val="PL"/>
      </w:pPr>
      <w:r>
        <w:t xml:space="preserve">    sdt-DRB-List-r17                    </w:t>
      </w:r>
      <w:r>
        <w:rPr>
          <w:color w:val="993366"/>
        </w:rPr>
        <w:t>SEQUENCE</w:t>
      </w:r>
      <w:r>
        <w:t xml:space="preserve"> (</w:t>
      </w:r>
      <w:r>
        <w:rPr>
          <w:color w:val="993366"/>
        </w:rPr>
        <w:t>SIZE</w:t>
      </w:r>
      <w:r>
        <w:t xml:space="preserve"> (0..maxDRB))</w:t>
      </w:r>
      <w:r>
        <w:rPr>
          <w:color w:val="993366"/>
        </w:rPr>
        <w:t xml:space="preserve"> OF</w:t>
      </w:r>
      <w:r>
        <w:t xml:space="preserve"> DRB-Identity                         </w:t>
      </w:r>
      <w:r>
        <w:rPr>
          <w:color w:val="993366"/>
        </w:rPr>
        <w:t>OPTIONAL</w:t>
      </w:r>
      <w:r>
        <w:t>,   -- Need M</w:t>
      </w:r>
    </w:p>
    <w:p w14:paraId="1B09960B" w14:textId="77777777" w:rsidR="00EF781F" w:rsidRDefault="00EF781F" w:rsidP="00EF781F">
      <w:pPr>
        <w:pStyle w:val="PL"/>
      </w:pPr>
      <w:r>
        <w:t xml:space="preserve">    sdt-SRB2-Indication-r17             </w:t>
      </w:r>
      <w:r>
        <w:rPr>
          <w:color w:val="993366"/>
        </w:rPr>
        <w:t>ENUMERATED</w:t>
      </w:r>
      <w:r>
        <w:t xml:space="preserve"> {allowed}                                                </w:t>
      </w:r>
      <w:r>
        <w:rPr>
          <w:color w:val="993366"/>
        </w:rPr>
        <w:t>OPTIONAL</w:t>
      </w:r>
      <w:r>
        <w:t>,   -- Need R</w:t>
      </w:r>
    </w:p>
    <w:p w14:paraId="59CDF1EC" w14:textId="77777777" w:rsidR="00EF781F" w:rsidRDefault="00EF781F" w:rsidP="00EF781F">
      <w:pPr>
        <w:pStyle w:val="PL"/>
      </w:pPr>
      <w:r>
        <w:t xml:space="preserve">    sdt-MAC-PHY-CG-Config-r17           SetupRelease {SDT-CG-Config-r17}                                    </w:t>
      </w:r>
      <w:r>
        <w:rPr>
          <w:color w:val="993366"/>
        </w:rPr>
        <w:t>OPTIONAL</w:t>
      </w:r>
      <w:r>
        <w:t>,   -- Need M</w:t>
      </w:r>
    </w:p>
    <w:p w14:paraId="4CC6C0FA" w14:textId="77777777" w:rsidR="00EF781F" w:rsidRDefault="00EF781F" w:rsidP="00EF781F">
      <w:pPr>
        <w:pStyle w:val="PL"/>
      </w:pPr>
      <w:r>
        <w:t xml:space="preserve">    sdt-DRB-ContinueROHC-r17            </w:t>
      </w:r>
      <w:r>
        <w:rPr>
          <w:color w:val="993366"/>
        </w:rPr>
        <w:t>ENUMERATED</w:t>
      </w:r>
      <w:r>
        <w:t xml:space="preserve"> { cell, rna }                                            </w:t>
      </w:r>
      <w:r>
        <w:rPr>
          <w:color w:val="993366"/>
        </w:rPr>
        <w:t>OPTIONAL</w:t>
      </w:r>
      <w:r>
        <w:t xml:space="preserve">    -- Need S</w:t>
      </w:r>
    </w:p>
    <w:p w14:paraId="7FE61347" w14:textId="77777777" w:rsidR="00EF781F" w:rsidRDefault="00EF781F" w:rsidP="00EF781F">
      <w:pPr>
        <w:pStyle w:val="PL"/>
      </w:pPr>
      <w:r>
        <w:t>}</w:t>
      </w:r>
    </w:p>
    <w:p w14:paraId="387E908A" w14:textId="77777777" w:rsidR="00EF781F" w:rsidRDefault="00EF781F" w:rsidP="00EF781F">
      <w:pPr>
        <w:pStyle w:val="PL"/>
      </w:pPr>
    </w:p>
    <w:p w14:paraId="6A7BE0D0" w14:textId="77777777" w:rsidR="00EF781F" w:rsidRDefault="00EF781F" w:rsidP="00EF781F">
      <w:pPr>
        <w:pStyle w:val="PL"/>
      </w:pPr>
      <w:r>
        <w:t xml:space="preserve">SDT-CG-Config-r17 ::= </w:t>
      </w:r>
      <w:r>
        <w:rPr>
          <w:color w:val="993366"/>
        </w:rPr>
        <w:t>OCTET</w:t>
      </w:r>
      <w:r>
        <w:t xml:space="preserve"> </w:t>
      </w:r>
      <w:r>
        <w:rPr>
          <w:color w:val="993366"/>
        </w:rPr>
        <w:t>STRING</w:t>
      </w:r>
      <w:r>
        <w:t xml:space="preserve"> (CONTAINING SDT-MAC-PHY-CG-Config-r17)</w:t>
      </w:r>
    </w:p>
    <w:p w14:paraId="2D6C6DDF" w14:textId="77777777" w:rsidR="00EF781F" w:rsidRDefault="00EF781F" w:rsidP="00EF781F">
      <w:pPr>
        <w:pStyle w:val="PL"/>
      </w:pPr>
    </w:p>
    <w:p w14:paraId="33BFC37A" w14:textId="77777777" w:rsidR="00EF781F" w:rsidRDefault="00EF781F" w:rsidP="00EF781F">
      <w:pPr>
        <w:pStyle w:val="PL"/>
      </w:pPr>
      <w:r>
        <w:t xml:space="preserve">SDT-MAC-PHY-CG-Config-r17 ::=       </w:t>
      </w:r>
      <w:r>
        <w:rPr>
          <w:color w:val="993366"/>
        </w:rPr>
        <w:t>SEQUENCE</w:t>
      </w:r>
      <w:r>
        <w:t xml:space="preserve"> {</w:t>
      </w:r>
    </w:p>
    <w:p w14:paraId="5EBAF363" w14:textId="77777777" w:rsidR="00EF781F" w:rsidRDefault="00EF781F" w:rsidP="00EF781F">
      <w:pPr>
        <w:pStyle w:val="PL"/>
      </w:pPr>
      <w:r>
        <w:t xml:space="preserve">    -- CG-SDT specific configuration</w:t>
      </w:r>
    </w:p>
    <w:p w14:paraId="45181586" w14:textId="77777777" w:rsidR="00EF781F" w:rsidRDefault="00EF781F" w:rsidP="00EF781F">
      <w:pPr>
        <w:pStyle w:val="PL"/>
        <w:rPr>
          <w:rFonts w:eastAsia="宋体"/>
        </w:rPr>
      </w:pPr>
      <w:r>
        <w:t xml:space="preserve">    cg-SDT-Config</w:t>
      </w:r>
      <w:r>
        <w:rPr>
          <w:rFonts w:eastAsia="宋体"/>
        </w:rPr>
        <w:t>LCH-</w:t>
      </w:r>
      <w:r>
        <w:t>Restriction</w:t>
      </w:r>
      <w:r>
        <w:rPr>
          <w:rFonts w:eastAsia="宋体"/>
        </w:rPr>
        <w:t>ToAddModList</w:t>
      </w:r>
      <w:r>
        <w:t>-r17</w:t>
      </w:r>
      <w:r>
        <w:rPr>
          <w:rFonts w:eastAsia="宋体"/>
        </w:rPr>
        <w:t xml:space="preserve"> </w:t>
      </w:r>
      <w:r>
        <w:rPr>
          <w:color w:val="993366"/>
        </w:rPr>
        <w:t>SEQUENCE</w:t>
      </w:r>
      <w:r>
        <w:t xml:space="preserve"> (</w:t>
      </w:r>
      <w:r>
        <w:rPr>
          <w:color w:val="993366"/>
        </w:rPr>
        <w:t>SIZE</w:t>
      </w:r>
      <w:r>
        <w:t>(1..maxLC-ID))</w:t>
      </w:r>
      <w:r>
        <w:rPr>
          <w:color w:val="993366"/>
        </w:rPr>
        <w:t xml:space="preserve"> OF</w:t>
      </w:r>
      <w:r>
        <w:t xml:space="preserve">  </w:t>
      </w:r>
      <w:r>
        <w:rPr>
          <w:rFonts w:eastAsia="宋体"/>
        </w:rPr>
        <w:t>CG</w:t>
      </w:r>
      <w:r>
        <w:t>-SDT-Config</w:t>
      </w:r>
      <w:r>
        <w:rPr>
          <w:rFonts w:eastAsia="宋体"/>
        </w:rPr>
        <w:t>LCH-</w:t>
      </w:r>
      <w:r>
        <w:t>Restriction-r17</w:t>
      </w:r>
      <w:r>
        <w:rPr>
          <w:rFonts w:eastAsia="宋体"/>
        </w:rPr>
        <w:t xml:space="preserve"> </w:t>
      </w:r>
      <w:r>
        <w:rPr>
          <w:color w:val="993366"/>
        </w:rPr>
        <w:t>OPTIONAL</w:t>
      </w:r>
      <w:r>
        <w:t xml:space="preserve">,   -- Need </w:t>
      </w:r>
      <w:r>
        <w:rPr>
          <w:rFonts w:eastAsia="宋体"/>
        </w:rPr>
        <w:t>N</w:t>
      </w:r>
    </w:p>
    <w:p w14:paraId="47FE997C" w14:textId="77777777" w:rsidR="00EF781F" w:rsidRDefault="00EF781F" w:rsidP="00EF781F">
      <w:pPr>
        <w:pStyle w:val="PL"/>
      </w:pPr>
      <w:r>
        <w:t xml:space="preserve">    cg-SDT-ConfigLCH-RestrictionToReleaseList-r17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 Need N</w:t>
      </w:r>
    </w:p>
    <w:p w14:paraId="0D5301CB" w14:textId="77777777" w:rsidR="00EF781F" w:rsidRDefault="00EF781F" w:rsidP="00EF781F">
      <w:pPr>
        <w:pStyle w:val="PL"/>
      </w:pPr>
      <w:r>
        <w:t xml:space="preserve">    cg-SDT-ConfigInitialBWP-NUL-r17       SetupRelease {BWP-UplinkDedicatedSDT-r17}                     </w:t>
      </w:r>
      <w:r>
        <w:rPr>
          <w:color w:val="993366"/>
        </w:rPr>
        <w:t>OPTIONAL</w:t>
      </w:r>
      <w:r>
        <w:t>,   -- Need M</w:t>
      </w:r>
    </w:p>
    <w:p w14:paraId="447870C2" w14:textId="77777777" w:rsidR="00EF781F" w:rsidRDefault="00EF781F" w:rsidP="00EF781F">
      <w:pPr>
        <w:pStyle w:val="PL"/>
      </w:pPr>
      <w:r>
        <w:t xml:space="preserve">    cg-SDT-ConfigInitialBWP-SUL-r17       SetupRelease {BWP-UplinkDedicatedSDT-r17}                     </w:t>
      </w:r>
      <w:r>
        <w:rPr>
          <w:color w:val="993366"/>
        </w:rPr>
        <w:t>OPTIONAL</w:t>
      </w:r>
      <w:r>
        <w:t>,   -- Need M</w:t>
      </w:r>
    </w:p>
    <w:p w14:paraId="5B8A9C2A" w14:textId="77777777" w:rsidR="00EF781F" w:rsidRDefault="00EF781F" w:rsidP="00EF781F">
      <w:pPr>
        <w:pStyle w:val="PL"/>
      </w:pPr>
      <w:r>
        <w:t xml:space="preserve">    cg-SDT-ConfigInitialBWP-DL-r17        BWP-DownlinkDedicatedSDT-r17                                  </w:t>
      </w:r>
      <w:r>
        <w:rPr>
          <w:color w:val="993366"/>
        </w:rPr>
        <w:t>OPTIONAL</w:t>
      </w:r>
      <w:r>
        <w:t>,   -- Need M</w:t>
      </w:r>
    </w:p>
    <w:p w14:paraId="6F95E15B" w14:textId="77777777" w:rsidR="00EF781F" w:rsidRDefault="00EF781F" w:rsidP="00EF781F">
      <w:pPr>
        <w:pStyle w:val="PL"/>
      </w:pPr>
      <w:r>
        <w:t xml:space="preserve">    cg-SDT-TimeAlignmentTimer-r17           TimeAlignmentTimer                                              </w:t>
      </w:r>
      <w:r>
        <w:rPr>
          <w:color w:val="993366"/>
        </w:rPr>
        <w:t>OPTIONAL</w:t>
      </w:r>
      <w:r>
        <w:t>,   -- Need M</w:t>
      </w:r>
    </w:p>
    <w:p w14:paraId="63F341B0" w14:textId="77777777" w:rsidR="00EF781F" w:rsidRDefault="00EF781F" w:rsidP="00EF781F">
      <w:pPr>
        <w:pStyle w:val="PL"/>
      </w:pPr>
      <w:r>
        <w:t xml:space="preserve">    cg-SDT-RSRP-ThresholdSSB-r17            RSRP-Range                                                      </w:t>
      </w:r>
      <w:r>
        <w:rPr>
          <w:color w:val="993366"/>
        </w:rPr>
        <w:t>OPTIONAL</w:t>
      </w:r>
      <w:r>
        <w:t>,   -- Need M</w:t>
      </w:r>
    </w:p>
    <w:p w14:paraId="062BF0DB" w14:textId="77777777" w:rsidR="00EF781F" w:rsidRDefault="00EF781F" w:rsidP="00EF781F">
      <w:pPr>
        <w:pStyle w:val="PL"/>
      </w:pPr>
      <w:r>
        <w:t xml:space="preserve">    cg-SDT-TA-ValidationConfig-r17          SetupRelease { CG-SDT-TA-ValidationConfig-r17 }                 </w:t>
      </w:r>
      <w:r>
        <w:rPr>
          <w:color w:val="993366"/>
        </w:rPr>
        <w:t>OPTIONAL</w:t>
      </w:r>
      <w:r>
        <w:t>,   -- Need M</w:t>
      </w:r>
    </w:p>
    <w:p w14:paraId="5EC3B4F5" w14:textId="77777777" w:rsidR="00EF781F" w:rsidRDefault="00EF781F" w:rsidP="00EF781F">
      <w:pPr>
        <w:pStyle w:val="PL"/>
      </w:pPr>
      <w:r>
        <w:t xml:space="preserve">    cg-SDT-CS-RNTI-r17                      RNTI-Value                                                      </w:t>
      </w:r>
      <w:r>
        <w:rPr>
          <w:color w:val="993366"/>
        </w:rPr>
        <w:t>OPTIONAL</w:t>
      </w:r>
      <w:r>
        <w:t>,   -- Need M</w:t>
      </w:r>
    </w:p>
    <w:p w14:paraId="15020C13" w14:textId="77777777" w:rsidR="00EF781F" w:rsidRDefault="00EF781F" w:rsidP="00EF781F">
      <w:pPr>
        <w:pStyle w:val="PL"/>
      </w:pPr>
      <w:r>
        <w:t xml:space="preserve">    ...</w:t>
      </w:r>
    </w:p>
    <w:p w14:paraId="0A95EC0E" w14:textId="77777777" w:rsidR="00EF781F" w:rsidRDefault="00EF781F" w:rsidP="00EF781F">
      <w:pPr>
        <w:pStyle w:val="PL"/>
      </w:pPr>
      <w:r>
        <w:t>}</w:t>
      </w:r>
    </w:p>
    <w:p w14:paraId="348D7C93" w14:textId="77777777" w:rsidR="00EF781F" w:rsidRDefault="00EF781F" w:rsidP="00EF781F">
      <w:pPr>
        <w:pStyle w:val="PL"/>
      </w:pPr>
    </w:p>
    <w:p w14:paraId="32F0E2AD" w14:textId="77777777" w:rsidR="00EF781F" w:rsidRDefault="00EF781F" w:rsidP="00EF781F">
      <w:pPr>
        <w:pStyle w:val="PL"/>
      </w:pPr>
      <w:r>
        <w:t xml:space="preserve">CG-SDT-TA-ValidationConfig-r17 ::=  </w:t>
      </w:r>
      <w:r>
        <w:rPr>
          <w:color w:val="993366"/>
        </w:rPr>
        <w:t>SEQUENCE</w:t>
      </w:r>
      <w:r>
        <w:t xml:space="preserve"> {</w:t>
      </w:r>
    </w:p>
    <w:p w14:paraId="5E34E76E" w14:textId="77777777" w:rsidR="00EF781F" w:rsidRDefault="00EF781F" w:rsidP="00EF781F">
      <w:pPr>
        <w:pStyle w:val="PL"/>
      </w:pPr>
      <w:r>
        <w:t xml:space="preserve">    cg-SDT-RSRP-ChangeThreshold-r17     </w:t>
      </w:r>
      <w:r>
        <w:rPr>
          <w:color w:val="993366"/>
        </w:rPr>
        <w:t>ENUMERATED</w:t>
      </w:r>
      <w:r>
        <w:t xml:space="preserve"> { dB2, dB4, dB6, dB8, dB10, dB14, dB18, dB22,</w:t>
      </w:r>
    </w:p>
    <w:p w14:paraId="2E9F45F9" w14:textId="77777777" w:rsidR="00EF781F" w:rsidRDefault="00EF781F" w:rsidP="00EF781F">
      <w:pPr>
        <w:pStyle w:val="PL"/>
      </w:pPr>
      <w:r>
        <w:t xml:space="preserve">                                            dB26, dB30, dB34, spare5, spare4, spare3, spare2, spare1}</w:t>
      </w:r>
    </w:p>
    <w:p w14:paraId="2F4C2139" w14:textId="77777777" w:rsidR="00EF781F" w:rsidRDefault="00EF781F" w:rsidP="00EF781F">
      <w:pPr>
        <w:pStyle w:val="PL"/>
      </w:pPr>
      <w:r>
        <w:t>}</w:t>
      </w:r>
    </w:p>
    <w:p w14:paraId="16A3514A" w14:textId="77777777" w:rsidR="00EF781F" w:rsidRDefault="00EF781F" w:rsidP="00EF781F">
      <w:pPr>
        <w:pStyle w:val="PL"/>
      </w:pPr>
    </w:p>
    <w:p w14:paraId="12724599" w14:textId="77777777" w:rsidR="00EF781F" w:rsidRDefault="00EF781F" w:rsidP="00EF781F">
      <w:pPr>
        <w:pStyle w:val="PL"/>
      </w:pPr>
      <w:r>
        <w:t xml:space="preserve">BWP-DownlinkDedicatedSDT-r17 ::=    </w:t>
      </w:r>
      <w:r>
        <w:rPr>
          <w:color w:val="993366"/>
        </w:rPr>
        <w:t>SEQUENCE</w:t>
      </w:r>
      <w:r>
        <w:t xml:space="preserve"> {</w:t>
      </w:r>
    </w:p>
    <w:p w14:paraId="44E4BD86" w14:textId="77777777" w:rsidR="00EF781F" w:rsidRDefault="00EF781F" w:rsidP="00EF781F">
      <w:pPr>
        <w:pStyle w:val="PL"/>
      </w:pPr>
      <w:r>
        <w:t xml:space="preserve">    pdcch-Config-r17                    SetupRelease { PDCCH-Config }                                       </w:t>
      </w:r>
      <w:r>
        <w:rPr>
          <w:color w:val="993366"/>
        </w:rPr>
        <w:t>OPTIONAL</w:t>
      </w:r>
      <w:r>
        <w:t>,   -- Need M</w:t>
      </w:r>
    </w:p>
    <w:p w14:paraId="16478756" w14:textId="77777777" w:rsidR="00EF781F" w:rsidRDefault="00EF781F" w:rsidP="00EF781F">
      <w:pPr>
        <w:pStyle w:val="PL"/>
      </w:pPr>
      <w:r>
        <w:t xml:space="preserve">    pdsch-Config-r17                    SetupRelease { PDSCH-Config }                                       </w:t>
      </w:r>
      <w:r>
        <w:rPr>
          <w:color w:val="993366"/>
        </w:rPr>
        <w:t>OPTIONAL</w:t>
      </w:r>
      <w:r>
        <w:t>,   -- Need M</w:t>
      </w:r>
    </w:p>
    <w:p w14:paraId="511FB6EC" w14:textId="77777777" w:rsidR="00EF781F" w:rsidRDefault="00EF781F" w:rsidP="00EF781F">
      <w:pPr>
        <w:pStyle w:val="PL"/>
      </w:pPr>
      <w:r>
        <w:lastRenderedPageBreak/>
        <w:t xml:space="preserve">   ...</w:t>
      </w:r>
    </w:p>
    <w:p w14:paraId="48B95CEB" w14:textId="77777777" w:rsidR="00EF781F" w:rsidRDefault="00EF781F" w:rsidP="00EF781F">
      <w:pPr>
        <w:pStyle w:val="PL"/>
      </w:pPr>
      <w:r>
        <w:t>}</w:t>
      </w:r>
    </w:p>
    <w:p w14:paraId="0A2E6D67" w14:textId="77777777" w:rsidR="00EF781F" w:rsidRDefault="00EF781F" w:rsidP="00EF781F">
      <w:pPr>
        <w:pStyle w:val="PL"/>
      </w:pPr>
    </w:p>
    <w:p w14:paraId="3227CD94" w14:textId="77777777" w:rsidR="00EF781F" w:rsidRDefault="00EF781F" w:rsidP="00EF781F">
      <w:pPr>
        <w:pStyle w:val="PL"/>
      </w:pPr>
      <w:r>
        <w:t xml:space="preserve">BWP-UplinkDedicatedSDT-r17 ::=      </w:t>
      </w:r>
      <w:r>
        <w:rPr>
          <w:color w:val="993366"/>
        </w:rPr>
        <w:t>SEQUENCE</w:t>
      </w:r>
      <w:r>
        <w:t xml:space="preserve"> {</w:t>
      </w:r>
    </w:p>
    <w:p w14:paraId="3C067358" w14:textId="77777777" w:rsidR="00EF781F" w:rsidRDefault="00EF781F" w:rsidP="00EF781F">
      <w:pPr>
        <w:pStyle w:val="PL"/>
      </w:pPr>
      <w:r>
        <w:t xml:space="preserve">    pusch-Config-r17                    SetupRelease { PUSCH-Config }                                       </w:t>
      </w:r>
      <w:r>
        <w:rPr>
          <w:color w:val="993366"/>
        </w:rPr>
        <w:t>OPTIONAL</w:t>
      </w:r>
      <w:r>
        <w:t>,   -- Need M</w:t>
      </w:r>
    </w:p>
    <w:p w14:paraId="5E83C2DF" w14:textId="77777777" w:rsidR="00EF781F" w:rsidRDefault="00EF781F" w:rsidP="00EF781F">
      <w:pPr>
        <w:pStyle w:val="PL"/>
      </w:pPr>
      <w:r>
        <w:t xml:space="preserve">    configuredGrantConfigToAddModList-r17                 ConfiguredGrantConfigToAddModList-r16             </w:t>
      </w:r>
      <w:r>
        <w:rPr>
          <w:color w:val="993366"/>
        </w:rPr>
        <w:t>OPTIONAL</w:t>
      </w:r>
      <w:r>
        <w:t>,   -- Need N</w:t>
      </w:r>
    </w:p>
    <w:p w14:paraId="7FD7BEEC" w14:textId="77777777" w:rsidR="00EF781F" w:rsidRDefault="00EF781F" w:rsidP="00EF781F">
      <w:pPr>
        <w:pStyle w:val="PL"/>
      </w:pPr>
      <w:r>
        <w:t xml:space="preserve">    configuredGrantConfigToReleaseList-r17                ConfiguredGrantConfigToReleaseList-r16            </w:t>
      </w:r>
      <w:r>
        <w:rPr>
          <w:color w:val="993366"/>
        </w:rPr>
        <w:t>OPTIONAL</w:t>
      </w:r>
      <w:r>
        <w:t>,   -- Need N</w:t>
      </w:r>
    </w:p>
    <w:p w14:paraId="12C462BE" w14:textId="77777777" w:rsidR="00EF781F" w:rsidRDefault="00EF781F" w:rsidP="00EF781F">
      <w:pPr>
        <w:pStyle w:val="PL"/>
      </w:pPr>
      <w:r>
        <w:t xml:space="preserve">   ...</w:t>
      </w:r>
    </w:p>
    <w:p w14:paraId="130CC202" w14:textId="77777777" w:rsidR="00EF781F" w:rsidRDefault="00EF781F" w:rsidP="00EF781F">
      <w:pPr>
        <w:pStyle w:val="PL"/>
      </w:pPr>
      <w:r>
        <w:t>}</w:t>
      </w:r>
    </w:p>
    <w:p w14:paraId="6B7B75EE" w14:textId="77777777" w:rsidR="00EF781F" w:rsidRDefault="00EF781F" w:rsidP="00EF781F">
      <w:pPr>
        <w:pStyle w:val="PL"/>
      </w:pPr>
    </w:p>
    <w:p w14:paraId="7A6815EE" w14:textId="77777777" w:rsidR="00EF781F" w:rsidRDefault="00EF781F" w:rsidP="00EF781F">
      <w:pPr>
        <w:pStyle w:val="PL"/>
      </w:pPr>
      <w:r>
        <w:t xml:space="preserve">CG-SDT-ConfigLCH-Restriction-r17 ::= </w:t>
      </w:r>
      <w:r>
        <w:rPr>
          <w:color w:val="993366"/>
        </w:rPr>
        <w:t>SEQUENCE</w:t>
      </w:r>
      <w:r>
        <w:t xml:space="preserve"> {</w:t>
      </w:r>
    </w:p>
    <w:p w14:paraId="061E5003" w14:textId="77777777" w:rsidR="00EF781F" w:rsidRDefault="00EF781F" w:rsidP="00EF781F">
      <w:pPr>
        <w:pStyle w:val="PL"/>
      </w:pPr>
      <w:r>
        <w:t xml:space="preserve">    logicalChannelIdentity-r17          LogicalChannelIdentity,</w:t>
      </w:r>
    </w:p>
    <w:p w14:paraId="53F04301" w14:textId="77777777" w:rsidR="00EF781F" w:rsidRDefault="00EF781F" w:rsidP="00EF781F">
      <w:pPr>
        <w:pStyle w:val="PL"/>
      </w:pPr>
      <w:r>
        <w:t xml:space="preserve">    configuredGrantType1Allowed-r17     </w:t>
      </w:r>
      <w:r>
        <w:rPr>
          <w:color w:val="993366"/>
        </w:rPr>
        <w:t>ENUMERATED</w:t>
      </w:r>
      <w:r>
        <w:t xml:space="preserve"> {true}                                                   </w:t>
      </w:r>
      <w:r>
        <w:rPr>
          <w:color w:val="993366"/>
        </w:rPr>
        <w:t>OPTIONAL</w:t>
      </w:r>
      <w:r>
        <w:t>,   -- Need R</w:t>
      </w:r>
    </w:p>
    <w:p w14:paraId="434754E1" w14:textId="77777777" w:rsidR="00EF781F" w:rsidRDefault="00EF781F" w:rsidP="00EF781F">
      <w:pPr>
        <w:pStyle w:val="PL"/>
      </w:pPr>
      <w:r>
        <w:t xml:space="preserve">    allowedCG-List-r17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14:paraId="22901B93" w14:textId="77777777" w:rsidR="00EF781F" w:rsidRDefault="00EF781F" w:rsidP="00EF781F">
      <w:pPr>
        <w:pStyle w:val="PL"/>
        <w:rPr>
          <w:rFonts w:eastAsia="宋体"/>
        </w:rPr>
      </w:pPr>
      <w:r>
        <w:t xml:space="preserve">                                                                                                            </w:t>
      </w:r>
      <w:r>
        <w:rPr>
          <w:color w:val="993366"/>
        </w:rPr>
        <w:t>OPTIONAL</w:t>
      </w:r>
      <w:r>
        <w:t xml:space="preserve">    -- Need R</w:t>
      </w:r>
    </w:p>
    <w:p w14:paraId="0D7E9618" w14:textId="77777777" w:rsidR="00EF781F" w:rsidRDefault="00EF781F" w:rsidP="00EF781F">
      <w:pPr>
        <w:pStyle w:val="PL"/>
      </w:pPr>
      <w:r>
        <w:t>}</w:t>
      </w:r>
    </w:p>
    <w:p w14:paraId="4C50D954" w14:textId="77777777" w:rsidR="00EF781F" w:rsidRDefault="00EF781F" w:rsidP="00EF781F">
      <w:pPr>
        <w:pStyle w:val="PL"/>
      </w:pPr>
    </w:p>
    <w:p w14:paraId="54AE57B6" w14:textId="77777777" w:rsidR="00EF781F" w:rsidRDefault="00EF781F" w:rsidP="00EF781F">
      <w:pPr>
        <w:pStyle w:val="PL"/>
      </w:pPr>
      <w:r>
        <w:t xml:space="preserve">SRS-PosRRC-Inactive-r17 ::= </w:t>
      </w:r>
      <w:r>
        <w:rPr>
          <w:color w:val="993366"/>
        </w:rPr>
        <w:t>OCTET</w:t>
      </w:r>
      <w:r>
        <w:t xml:space="preserve"> </w:t>
      </w:r>
      <w:r>
        <w:rPr>
          <w:color w:val="993366"/>
        </w:rPr>
        <w:t>STRING</w:t>
      </w:r>
      <w:r>
        <w:t xml:space="preserve"> (CONTAINING SRS-PosRRC-InactiveConfig-r17)</w:t>
      </w:r>
    </w:p>
    <w:p w14:paraId="3F67C60C" w14:textId="77777777" w:rsidR="00EF781F" w:rsidRDefault="00EF781F" w:rsidP="00EF781F">
      <w:pPr>
        <w:pStyle w:val="PL"/>
      </w:pPr>
    </w:p>
    <w:p w14:paraId="0B25878A" w14:textId="77777777" w:rsidR="00EF781F" w:rsidRDefault="00EF781F" w:rsidP="00EF781F">
      <w:pPr>
        <w:pStyle w:val="PL"/>
      </w:pPr>
      <w:r>
        <w:t xml:space="preserve">SRS-PosRRC-InactiveConfig-r17 ::=       </w:t>
      </w:r>
      <w:r>
        <w:rPr>
          <w:color w:val="993366"/>
        </w:rPr>
        <w:t>SEQUENCE</w:t>
      </w:r>
      <w:r>
        <w:t xml:space="preserve"> {</w:t>
      </w:r>
    </w:p>
    <w:p w14:paraId="39CD700E" w14:textId="77777777" w:rsidR="00EF781F" w:rsidRDefault="00EF781F" w:rsidP="00EF781F">
      <w:pPr>
        <w:pStyle w:val="PL"/>
      </w:pPr>
      <w:r>
        <w:t xml:space="preserve">    srs-PosConfigNUL-r17                    SRS-PosConfig-r17                                                   </w:t>
      </w:r>
      <w:r>
        <w:rPr>
          <w:color w:val="993366"/>
        </w:rPr>
        <w:t>OPTIONAL</w:t>
      </w:r>
      <w:r>
        <w:t>,    -- Need R</w:t>
      </w:r>
    </w:p>
    <w:p w14:paraId="1950A866" w14:textId="77777777" w:rsidR="00EF781F" w:rsidRDefault="00EF781F" w:rsidP="00EF781F">
      <w:pPr>
        <w:pStyle w:val="PL"/>
      </w:pPr>
      <w:r>
        <w:t xml:space="preserve">    srs-PosConfigSUL-r17                    SRS-PosConfig-r17                                                   </w:t>
      </w:r>
      <w:r>
        <w:rPr>
          <w:color w:val="993366"/>
        </w:rPr>
        <w:t>OPTIONAL</w:t>
      </w:r>
      <w:r>
        <w:t>,    -- Need R</w:t>
      </w:r>
    </w:p>
    <w:p w14:paraId="46590654" w14:textId="77777777" w:rsidR="00EF781F" w:rsidRDefault="00EF781F" w:rsidP="00EF781F">
      <w:pPr>
        <w:pStyle w:val="PL"/>
      </w:pPr>
      <w:r>
        <w:t xml:space="preserve">    bwp-NUL-r17                             BWP                                                                 </w:t>
      </w:r>
      <w:r>
        <w:rPr>
          <w:color w:val="993366"/>
        </w:rPr>
        <w:t>OPTIONAL</w:t>
      </w:r>
      <w:r>
        <w:t>,    -- Need S</w:t>
      </w:r>
    </w:p>
    <w:p w14:paraId="6054A3F9" w14:textId="77777777" w:rsidR="00EF781F" w:rsidRDefault="00EF781F" w:rsidP="00EF781F">
      <w:pPr>
        <w:pStyle w:val="PL"/>
      </w:pPr>
      <w:r>
        <w:t xml:space="preserve">    bwp-SUL-r17                             BWP                                                                 </w:t>
      </w:r>
      <w:r>
        <w:rPr>
          <w:color w:val="993366"/>
        </w:rPr>
        <w:t>OPTIONAL</w:t>
      </w:r>
      <w:r>
        <w:t>,    -- Need S</w:t>
      </w:r>
    </w:p>
    <w:p w14:paraId="2A237108" w14:textId="77777777" w:rsidR="00EF781F" w:rsidRDefault="00EF781F" w:rsidP="00EF781F">
      <w:pPr>
        <w:pStyle w:val="PL"/>
      </w:pPr>
      <w:r>
        <w:t xml:space="preserve">    inactivePosSRS-TimeAlignmentTimer-r17   TimeAlignmentTimer                                                  </w:t>
      </w:r>
      <w:r>
        <w:rPr>
          <w:color w:val="993366"/>
        </w:rPr>
        <w:t>OPTIONAL</w:t>
      </w:r>
      <w:r>
        <w:t>,    -- Need M</w:t>
      </w:r>
    </w:p>
    <w:p w14:paraId="2CB41720" w14:textId="77777777" w:rsidR="00EF781F" w:rsidRDefault="00EF781F" w:rsidP="00EF781F">
      <w:pPr>
        <w:pStyle w:val="PL"/>
      </w:pPr>
      <w:r>
        <w:t xml:space="preserve">    inactivePosSRS-RSRP-ChangeThreshold-r17 RSRP-ChangeThreshold-r17                                            </w:t>
      </w:r>
      <w:r>
        <w:rPr>
          <w:color w:val="993366"/>
        </w:rPr>
        <w:t>OPTIONAL</w:t>
      </w:r>
      <w:r>
        <w:t xml:space="preserve">     -- Need M</w:t>
      </w:r>
    </w:p>
    <w:p w14:paraId="13E7EA97" w14:textId="77777777" w:rsidR="00EF781F" w:rsidRDefault="00EF781F" w:rsidP="00EF781F">
      <w:pPr>
        <w:pStyle w:val="PL"/>
      </w:pPr>
      <w:r>
        <w:t>}</w:t>
      </w:r>
    </w:p>
    <w:p w14:paraId="431F4CAA" w14:textId="77777777" w:rsidR="00EF781F" w:rsidRDefault="00EF781F" w:rsidP="00EF781F">
      <w:pPr>
        <w:pStyle w:val="PL"/>
      </w:pPr>
    </w:p>
    <w:p w14:paraId="22CCFD3C" w14:textId="77777777" w:rsidR="00EF781F" w:rsidRDefault="00EF781F" w:rsidP="00EF781F">
      <w:pPr>
        <w:pStyle w:val="PL"/>
      </w:pPr>
      <w:r>
        <w:t xml:space="preserve">RSRP-ChangeThreshold-r17 ::= </w:t>
      </w:r>
      <w:r>
        <w:rPr>
          <w:color w:val="993366"/>
        </w:rPr>
        <w:t>ENUMERATED</w:t>
      </w:r>
      <w:r>
        <w:t xml:space="preserve"> {dB4, dB6, dB8, dB10, dB14, dB18, dB22, dB26, dB30, dB34, spare6, spare5, spare4, spare3, spare2, spare1}</w:t>
      </w:r>
    </w:p>
    <w:p w14:paraId="2D1BBAB8" w14:textId="77777777" w:rsidR="00EF781F" w:rsidRDefault="00EF781F" w:rsidP="00EF781F">
      <w:pPr>
        <w:pStyle w:val="PL"/>
      </w:pPr>
    </w:p>
    <w:p w14:paraId="1BD6E91B" w14:textId="77777777" w:rsidR="00EF781F" w:rsidRDefault="00EF781F" w:rsidP="00EF781F">
      <w:pPr>
        <w:pStyle w:val="PL"/>
      </w:pPr>
      <w:r>
        <w:t xml:space="preserve">SRS-PosConfig-r17 ::=               </w:t>
      </w:r>
      <w:r>
        <w:rPr>
          <w:color w:val="993366"/>
        </w:rPr>
        <w:t>SEQUENCE</w:t>
      </w:r>
      <w:r>
        <w:t xml:space="preserve"> {</w:t>
      </w:r>
    </w:p>
    <w:p w14:paraId="1EB9767F" w14:textId="77777777" w:rsidR="00EF781F" w:rsidRDefault="00EF781F" w:rsidP="00EF781F">
      <w:pPr>
        <w:pStyle w:val="PL"/>
      </w:pPr>
      <w:r>
        <w:t xml:space="preserve">    srs-PosResourceSetToReleaseList-r17 </w:t>
      </w:r>
      <w:r>
        <w:rPr>
          <w:color w:val="993366"/>
        </w:rPr>
        <w:t>SEQUENCE</w:t>
      </w:r>
      <w:r>
        <w:t xml:space="preserve"> (</w:t>
      </w:r>
      <w:r>
        <w:rPr>
          <w:color w:val="993366"/>
        </w:rPr>
        <w:t>SIZE</w:t>
      </w:r>
      <w:r>
        <w:t>(1..maxNrofSRS-PosResourceSets-r16))</w:t>
      </w:r>
      <w:r>
        <w:rPr>
          <w:color w:val="993366"/>
        </w:rPr>
        <w:t xml:space="preserve"> OF</w:t>
      </w:r>
      <w:r>
        <w:t xml:space="preserve"> SRS-PosResourceSetId-r16 </w:t>
      </w:r>
      <w:r>
        <w:rPr>
          <w:color w:val="993366"/>
        </w:rPr>
        <w:t>OPTIONAL</w:t>
      </w:r>
      <w:r>
        <w:t>,-- Need N</w:t>
      </w:r>
    </w:p>
    <w:p w14:paraId="4C0396C4" w14:textId="77777777" w:rsidR="00EF781F" w:rsidRDefault="00EF781F" w:rsidP="00EF781F">
      <w:pPr>
        <w:pStyle w:val="PL"/>
      </w:pPr>
      <w:r>
        <w:t xml:space="preserve">    srs-PosResourceSetToAddModList-r17  </w:t>
      </w:r>
      <w:r>
        <w:rPr>
          <w:color w:val="993366"/>
        </w:rPr>
        <w:t>SEQUENCE</w:t>
      </w:r>
      <w:r>
        <w:t xml:space="preserve"> (</w:t>
      </w:r>
      <w:r>
        <w:rPr>
          <w:color w:val="993366"/>
        </w:rPr>
        <w:t>SIZE</w:t>
      </w:r>
      <w:r>
        <w:t>(1..maxNrofSRS-PosResourceSets-r16))</w:t>
      </w:r>
      <w:r>
        <w:rPr>
          <w:color w:val="993366"/>
        </w:rPr>
        <w:t xml:space="preserve"> OF</w:t>
      </w:r>
      <w:r>
        <w:t xml:space="preserve"> SRS-PosResourceSet-r16  </w:t>
      </w:r>
      <w:r>
        <w:rPr>
          <w:color w:val="993366"/>
        </w:rPr>
        <w:t>OPTIONAL</w:t>
      </w:r>
      <w:r>
        <w:t>,-- Need N</w:t>
      </w:r>
    </w:p>
    <w:p w14:paraId="40BBB29F" w14:textId="77777777" w:rsidR="00EF781F" w:rsidRDefault="00EF781F" w:rsidP="00EF781F">
      <w:pPr>
        <w:pStyle w:val="PL"/>
      </w:pPr>
      <w:r>
        <w:t xml:space="preserve">    srs-PosResourceToReleaseList-r17    </w:t>
      </w:r>
      <w:r>
        <w:rPr>
          <w:color w:val="993366"/>
        </w:rPr>
        <w:t>SEQUENCE</w:t>
      </w:r>
      <w:r>
        <w:t xml:space="preserve"> (</w:t>
      </w:r>
      <w:r>
        <w:rPr>
          <w:color w:val="993366"/>
        </w:rPr>
        <w:t>SIZE</w:t>
      </w:r>
      <w:r>
        <w:t>(1..maxNrofSRS-PosResources-r16))</w:t>
      </w:r>
      <w:r>
        <w:rPr>
          <w:color w:val="993366"/>
        </w:rPr>
        <w:t xml:space="preserve"> OF</w:t>
      </w:r>
      <w:r>
        <w:t xml:space="preserve"> SRS-PosResourceId-r16      </w:t>
      </w:r>
      <w:r>
        <w:rPr>
          <w:color w:val="993366"/>
        </w:rPr>
        <w:t>OPTIONAL</w:t>
      </w:r>
      <w:r>
        <w:t>,-- Need N</w:t>
      </w:r>
    </w:p>
    <w:p w14:paraId="7BC05A4B" w14:textId="77777777" w:rsidR="00EF781F" w:rsidRDefault="00EF781F" w:rsidP="00EF781F">
      <w:pPr>
        <w:pStyle w:val="PL"/>
      </w:pPr>
      <w:r>
        <w:t xml:space="preserve">    srs-PosResourceToAddModList-r17     </w:t>
      </w:r>
      <w:r>
        <w:rPr>
          <w:color w:val="993366"/>
        </w:rPr>
        <w:t>SEQUENCE</w:t>
      </w:r>
      <w:r>
        <w:t xml:space="preserve"> (</w:t>
      </w:r>
      <w:r>
        <w:rPr>
          <w:color w:val="993366"/>
        </w:rPr>
        <w:t>SIZE</w:t>
      </w:r>
      <w:r>
        <w:t>(1..maxNrofSRS-PosResources-r16))</w:t>
      </w:r>
      <w:r>
        <w:rPr>
          <w:color w:val="993366"/>
        </w:rPr>
        <w:t xml:space="preserve"> OF</w:t>
      </w:r>
      <w:r>
        <w:t xml:space="preserve"> SRS-PosResource-r16        </w:t>
      </w:r>
      <w:r>
        <w:rPr>
          <w:color w:val="993366"/>
        </w:rPr>
        <w:t>OPTIONAL</w:t>
      </w:r>
      <w:r>
        <w:t xml:space="preserve"> -- Need N</w:t>
      </w:r>
    </w:p>
    <w:p w14:paraId="1D54FBF7" w14:textId="77777777" w:rsidR="00EF781F" w:rsidRDefault="00EF781F" w:rsidP="00EF781F">
      <w:pPr>
        <w:pStyle w:val="PL"/>
      </w:pPr>
      <w:r>
        <w:t>}</w:t>
      </w:r>
    </w:p>
    <w:p w14:paraId="6052EB00" w14:textId="77777777" w:rsidR="00EF781F" w:rsidRDefault="00EF781F" w:rsidP="00EF781F">
      <w:pPr>
        <w:pStyle w:val="PL"/>
      </w:pPr>
    </w:p>
    <w:p w14:paraId="680E48A6" w14:textId="77777777" w:rsidR="00EF781F" w:rsidRDefault="00EF781F" w:rsidP="00EF781F">
      <w:pPr>
        <w:pStyle w:val="PL"/>
        <w:rPr>
          <w:ins w:id="649" w:author="Huawei, HiSilicon" w:date="2023-11-02T14:40:00Z"/>
        </w:rPr>
      </w:pPr>
      <w:ins w:id="650" w:author="Huawei, HiSilicon" w:date="2023-11-02T14:40:00Z">
        <w:r>
          <w:t xml:space="preserve">MulticastConfigInactive-r18::=           </w:t>
        </w:r>
        <w:r>
          <w:rPr>
            <w:color w:val="993366"/>
          </w:rPr>
          <w:t>SEQUENCE</w:t>
        </w:r>
        <w:r>
          <w:t xml:space="preserve"> {</w:t>
        </w:r>
      </w:ins>
    </w:p>
    <w:p w14:paraId="0705E67E" w14:textId="77777777" w:rsidR="00EF781F" w:rsidRDefault="00EF781F" w:rsidP="00EF781F">
      <w:pPr>
        <w:pStyle w:val="PL"/>
        <w:rPr>
          <w:ins w:id="651" w:author="Huawei, HiSilicon" w:date="2023-11-02T14:40:00Z"/>
        </w:rPr>
      </w:pPr>
      <w:ins w:id="652" w:author="Huawei, HiSilicon" w:date="2023-11-02T14:40:00Z">
        <w:r>
          <w:t xml:space="preserve">    inactivePTM-Config-r18                 </w:t>
        </w:r>
        <w:r>
          <w:rPr>
            <w:color w:val="993366"/>
          </w:rPr>
          <w:t>OCTET</w:t>
        </w:r>
        <w:r>
          <w:t xml:space="preserve"> </w:t>
        </w:r>
        <w:r>
          <w:rPr>
            <w:color w:val="993366"/>
          </w:rPr>
          <w:t>STRING</w:t>
        </w:r>
        <w:r>
          <w:t xml:space="preserve"> (CONTAINING MBSMulticastConfiguration</w:t>
        </w:r>
      </w:ins>
      <w:ins w:id="653" w:author="Huawei, HiSilicon" w:date="2023-12-01T17:26:00Z">
        <w:r>
          <w:t>-r18</w:t>
        </w:r>
      </w:ins>
      <w:ins w:id="654" w:author="Huawei, HiSilicon" w:date="2023-11-02T14:40:00Z">
        <w:r>
          <w:t xml:space="preserve">)     </w:t>
        </w:r>
        <w:r>
          <w:rPr>
            <w:color w:val="993366"/>
          </w:rPr>
          <w:t>OPTIONAL</w:t>
        </w:r>
        <w:r>
          <w:t>, -- Need N</w:t>
        </w:r>
      </w:ins>
    </w:p>
    <w:p w14:paraId="08682F9E" w14:textId="77777777" w:rsidR="00EF781F" w:rsidRDefault="00EF781F" w:rsidP="00EF781F">
      <w:pPr>
        <w:pStyle w:val="PL"/>
        <w:rPr>
          <w:ins w:id="655" w:author="Huawei, HiSilicon" w:date="2023-11-02T14:40:00Z"/>
        </w:rPr>
      </w:pPr>
      <w:ins w:id="656" w:author="Huawei, HiSilicon" w:date="2023-11-02T14:40:00Z">
        <w:r>
          <w:t xml:space="preserve">    inactiveMCCH-Config-r18                </w:t>
        </w:r>
        <w:r>
          <w:rPr>
            <w:color w:val="993366"/>
          </w:rPr>
          <w:t>OCTET</w:t>
        </w:r>
        <w:r>
          <w:t xml:space="preserve"> </w:t>
        </w:r>
        <w:r>
          <w:rPr>
            <w:color w:val="993366"/>
          </w:rPr>
          <w:t>STRING</w:t>
        </w:r>
        <w:r>
          <w:t xml:space="preserve"> (CONTAINING SystemInformation)          </w:t>
        </w:r>
      </w:ins>
      <w:ins w:id="657" w:author="Huawei, HiSilicon" w:date="2023-12-01T17:58:00Z">
        <w:r>
          <w:t xml:space="preserve">    </w:t>
        </w:r>
      </w:ins>
      <w:ins w:id="658" w:author="Huawei, HiSilicon" w:date="2023-11-02T14:40:00Z">
        <w:r>
          <w:t xml:space="preserve">   </w:t>
        </w:r>
        <w:r>
          <w:rPr>
            <w:color w:val="993366"/>
          </w:rPr>
          <w:t>OPTIONAL</w:t>
        </w:r>
        <w:r>
          <w:t xml:space="preserve">  -- Need N</w:t>
        </w:r>
      </w:ins>
    </w:p>
    <w:p w14:paraId="1FF76A96" w14:textId="77777777" w:rsidR="00EF781F" w:rsidRDefault="00EF781F" w:rsidP="00EF781F">
      <w:pPr>
        <w:pStyle w:val="PL"/>
        <w:rPr>
          <w:ins w:id="659" w:author="Huawei, HiSilicon" w:date="2023-11-02T14:40:00Z"/>
        </w:rPr>
      </w:pPr>
      <w:ins w:id="660" w:author="Huawei, HiSilicon" w:date="2023-11-02T14:40:00Z">
        <w:r>
          <w:t>}</w:t>
        </w:r>
      </w:ins>
    </w:p>
    <w:p w14:paraId="71C0BA15" w14:textId="77777777" w:rsidR="00EF781F" w:rsidRDefault="00EF781F" w:rsidP="00EF781F">
      <w:pPr>
        <w:pStyle w:val="PL"/>
      </w:pPr>
    </w:p>
    <w:p w14:paraId="09AF9D4F" w14:textId="77777777" w:rsidR="00EF781F" w:rsidRPr="008D7C7E" w:rsidRDefault="00EF781F" w:rsidP="00EF781F">
      <w:pPr>
        <w:pStyle w:val="PL"/>
        <w:rPr>
          <w:color w:val="808080"/>
        </w:rPr>
      </w:pPr>
      <w:r w:rsidRPr="008D7C7E">
        <w:rPr>
          <w:color w:val="808080"/>
        </w:rPr>
        <w:t>-- TAG-RRCRELEASE-STOP</w:t>
      </w:r>
    </w:p>
    <w:p w14:paraId="3132A5E9" w14:textId="77777777" w:rsidR="00EF781F" w:rsidRPr="008D7C7E" w:rsidRDefault="00EF781F" w:rsidP="00EF781F">
      <w:pPr>
        <w:pStyle w:val="PL"/>
        <w:rPr>
          <w:color w:val="808080"/>
        </w:rPr>
      </w:pPr>
      <w:r w:rsidRPr="008D7C7E">
        <w:rPr>
          <w:color w:val="808080"/>
        </w:rPr>
        <w:t>-- ASN1STOP</w:t>
      </w:r>
    </w:p>
    <w:p w14:paraId="7F1396AF" w14:textId="77777777" w:rsidR="00EF781F" w:rsidRDefault="00EF781F" w:rsidP="00EF781F"/>
    <w:tbl>
      <w:tblPr>
        <w:tblW w:w="140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tblGrid>
      <w:tr w:rsidR="00EF781F" w14:paraId="71C2963E"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2D88BCE0" w14:textId="77777777" w:rsidR="00EF781F" w:rsidRDefault="00EF781F">
            <w:pPr>
              <w:keepNext/>
              <w:keepLines/>
              <w:spacing w:after="0"/>
              <w:jc w:val="center"/>
              <w:rPr>
                <w:rFonts w:ascii="Arial" w:hAnsi="Arial"/>
                <w:b/>
                <w:sz w:val="18"/>
                <w:szCs w:val="22"/>
                <w:lang w:eastAsia="sv-SE"/>
              </w:rPr>
            </w:pPr>
            <w:r>
              <w:rPr>
                <w:rFonts w:ascii="Arial" w:hAnsi="Arial"/>
                <w:b/>
                <w:i/>
                <w:sz w:val="18"/>
                <w:lang w:eastAsia="sv-SE"/>
              </w:rPr>
              <w:lastRenderedPageBreak/>
              <w:t>RRCRelease</w:t>
            </w:r>
            <w:r>
              <w:rPr>
                <w:rFonts w:ascii="Arial" w:hAnsi="Arial"/>
                <w:b/>
                <w:i/>
                <w:sz w:val="18"/>
                <w:szCs w:val="22"/>
                <w:lang w:eastAsia="sv-SE"/>
              </w:rPr>
              <w:t>-IEs</w:t>
            </w:r>
            <w:r>
              <w:rPr>
                <w:rFonts w:ascii="Arial" w:hAnsi="Arial"/>
                <w:b/>
                <w:noProof/>
                <w:sz w:val="18"/>
                <w:lang w:eastAsia="en-GB"/>
              </w:rPr>
              <w:t xml:space="preserve"> field descriptions</w:t>
            </w:r>
          </w:p>
        </w:tc>
      </w:tr>
      <w:tr w:rsidR="00EF781F" w14:paraId="194EAE33"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510AC38E" w14:textId="77777777" w:rsidR="00EF781F" w:rsidRDefault="00EF781F">
            <w:pPr>
              <w:keepNext/>
              <w:keepLines/>
              <w:spacing w:after="0"/>
              <w:rPr>
                <w:rFonts w:ascii="Arial" w:hAnsi="Arial"/>
                <w:b/>
                <w:bCs/>
                <w:i/>
                <w:iCs/>
                <w:noProof/>
                <w:sz w:val="18"/>
                <w:lang w:eastAsia="sv-SE"/>
              </w:rPr>
            </w:pPr>
            <w:r>
              <w:rPr>
                <w:rFonts w:ascii="Arial" w:hAnsi="Arial"/>
                <w:b/>
                <w:bCs/>
                <w:i/>
                <w:iCs/>
                <w:noProof/>
                <w:sz w:val="18"/>
                <w:lang w:eastAsia="sv-SE"/>
              </w:rPr>
              <w:t>cellReselectionPriorities</w:t>
            </w:r>
          </w:p>
          <w:p w14:paraId="24FD0251" w14:textId="77777777" w:rsidR="00EF781F" w:rsidRDefault="00EF781F">
            <w:pPr>
              <w:keepNext/>
              <w:keepLines/>
              <w:spacing w:after="0"/>
              <w:rPr>
                <w:rFonts w:ascii="Arial" w:hAnsi="Arial"/>
                <w:b/>
                <w:bCs/>
                <w:i/>
                <w:iCs/>
                <w:noProof/>
                <w:sz w:val="18"/>
                <w:lang w:eastAsia="sv-SE"/>
              </w:rPr>
            </w:pPr>
            <w:r>
              <w:rPr>
                <w:rFonts w:ascii="Arial" w:hAnsi="Arial"/>
                <w:bCs/>
                <w:iCs/>
                <w:noProof/>
                <w:sz w:val="18"/>
                <w:lang w:eastAsia="sv-SE"/>
              </w:rPr>
              <w:t>Dedicated priorities to be used for cell reselection as specified in TS 38.304 [20]</w:t>
            </w:r>
            <w:r>
              <w:rPr>
                <w:rFonts w:ascii="Arial" w:hAnsi="Arial"/>
                <w:bCs/>
                <w:i/>
                <w:iCs/>
                <w:noProof/>
                <w:sz w:val="18"/>
                <w:lang w:eastAsia="sv-SE"/>
              </w:rPr>
              <w:t>.</w:t>
            </w:r>
            <w:r>
              <w:rPr>
                <w:rFonts w:ascii="Arial" w:hAnsi="Arial"/>
                <w:sz w:val="18"/>
              </w:rPr>
              <w:t xml:space="preserve"> The maximum number of NR carrier frequencies that the network can configure through </w:t>
            </w:r>
            <w:r>
              <w:rPr>
                <w:rFonts w:ascii="Arial" w:hAnsi="Arial"/>
                <w:i/>
                <w:sz w:val="18"/>
              </w:rPr>
              <w:t>FreqPriorityListNR</w:t>
            </w:r>
            <w:r>
              <w:rPr>
                <w:rFonts w:ascii="Arial" w:hAnsi="Arial"/>
                <w:sz w:val="18"/>
              </w:rPr>
              <w:t xml:space="preserve"> and </w:t>
            </w:r>
            <w:r>
              <w:rPr>
                <w:rFonts w:ascii="Arial" w:hAnsi="Arial"/>
                <w:i/>
                <w:sz w:val="18"/>
              </w:rPr>
              <w:t>FreqPriorityListDedicatedSlicing</w:t>
            </w:r>
            <w:r>
              <w:rPr>
                <w:rFonts w:ascii="Arial" w:hAnsi="Arial"/>
                <w:sz w:val="18"/>
              </w:rPr>
              <w:t xml:space="preserve"> together is eight. If the same frequency is configured in both </w:t>
            </w:r>
            <w:r>
              <w:rPr>
                <w:rFonts w:ascii="Arial" w:hAnsi="Arial"/>
                <w:i/>
                <w:sz w:val="18"/>
              </w:rPr>
              <w:t>FreqPriorityListNR</w:t>
            </w:r>
            <w:r>
              <w:rPr>
                <w:rFonts w:ascii="Arial" w:hAnsi="Arial"/>
                <w:sz w:val="18"/>
              </w:rPr>
              <w:t xml:space="preserve"> and </w:t>
            </w:r>
            <w:r>
              <w:rPr>
                <w:rFonts w:ascii="Arial" w:hAnsi="Arial"/>
                <w:i/>
                <w:sz w:val="18"/>
              </w:rPr>
              <w:t>FreqPriorityListDedicatedSlicing</w:t>
            </w:r>
            <w:r>
              <w:rPr>
                <w:rFonts w:ascii="Arial" w:hAnsi="Arial"/>
                <w:sz w:val="18"/>
              </w:rPr>
              <w:t>, the frequency is only counted once.</w:t>
            </w:r>
          </w:p>
        </w:tc>
      </w:tr>
      <w:tr w:rsidR="00EF781F" w14:paraId="01DE0766"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7A7DAD05" w14:textId="77777777" w:rsidR="00EF781F" w:rsidRDefault="00EF781F">
            <w:pPr>
              <w:keepNext/>
              <w:keepLines/>
              <w:spacing w:after="0"/>
              <w:rPr>
                <w:rFonts w:ascii="Arial" w:hAnsi="Arial"/>
                <w:b/>
                <w:bCs/>
                <w:i/>
                <w:noProof/>
                <w:sz w:val="18"/>
                <w:lang w:eastAsia="en-GB"/>
              </w:rPr>
            </w:pPr>
            <w:r>
              <w:rPr>
                <w:rFonts w:ascii="Arial" w:hAnsi="Arial"/>
                <w:b/>
                <w:bCs/>
                <w:i/>
                <w:noProof/>
                <w:sz w:val="18"/>
                <w:lang w:eastAsia="en-GB"/>
              </w:rPr>
              <w:t>cnType</w:t>
            </w:r>
          </w:p>
          <w:p w14:paraId="4263987F" w14:textId="77777777" w:rsidR="00EF781F" w:rsidRDefault="00EF781F">
            <w:pPr>
              <w:keepNext/>
              <w:keepLines/>
              <w:spacing w:after="0"/>
              <w:rPr>
                <w:rFonts w:ascii="Arial" w:hAnsi="Arial"/>
                <w:i/>
                <w:sz w:val="18"/>
                <w:lang w:eastAsia="sv-SE"/>
              </w:rPr>
            </w:pPr>
            <w:r>
              <w:rPr>
                <w:rFonts w:ascii="Arial" w:hAnsi="Arial"/>
                <w:sz w:val="18"/>
                <w:lang w:eastAsia="en-GB"/>
              </w:rPr>
              <w:t>Indicate that the UE is redirected to EPC or 5GC.</w:t>
            </w:r>
          </w:p>
        </w:tc>
      </w:tr>
      <w:tr w:rsidR="00EF781F" w14:paraId="52EF7233"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3DCE7D91" w14:textId="77777777" w:rsidR="00EF781F" w:rsidRDefault="00EF781F">
            <w:pPr>
              <w:keepNext/>
              <w:keepLines/>
              <w:spacing w:after="0"/>
              <w:rPr>
                <w:rFonts w:ascii="Arial" w:hAnsi="Arial"/>
                <w:b/>
                <w:i/>
                <w:noProof/>
                <w:sz w:val="18"/>
                <w:lang w:eastAsia="sv-SE"/>
              </w:rPr>
            </w:pPr>
            <w:r>
              <w:rPr>
                <w:rFonts w:ascii="Arial" w:hAnsi="Arial"/>
                <w:b/>
                <w:i/>
                <w:noProof/>
                <w:sz w:val="18"/>
                <w:lang w:eastAsia="sv-SE"/>
              </w:rPr>
              <w:t>deprioritisationReq</w:t>
            </w:r>
          </w:p>
          <w:p w14:paraId="35B3EF48" w14:textId="77777777" w:rsidR="00EF781F" w:rsidRDefault="00EF781F">
            <w:pPr>
              <w:keepNext/>
              <w:keepLines/>
              <w:spacing w:after="0"/>
              <w:rPr>
                <w:rFonts w:ascii="Arial" w:hAnsi="Arial"/>
                <w:sz w:val="18"/>
                <w:szCs w:val="22"/>
                <w:lang w:eastAsia="sv-SE"/>
              </w:rPr>
            </w:pPr>
            <w:r>
              <w:rPr>
                <w:rFonts w:ascii="Arial" w:hAnsi="Arial"/>
                <w:sz w:val="18"/>
                <w:lang w:eastAsia="sv-SE"/>
              </w:rPr>
              <w:t>Indicates whether the current frequency or RAT is to be de-prioritised.</w:t>
            </w:r>
          </w:p>
        </w:tc>
      </w:tr>
      <w:tr w:rsidR="00EF781F" w14:paraId="3EEAB99B"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46FCEE96" w14:textId="77777777" w:rsidR="00EF781F" w:rsidRDefault="00EF781F">
            <w:pPr>
              <w:keepNext/>
              <w:keepLines/>
              <w:spacing w:after="0"/>
              <w:rPr>
                <w:rFonts w:ascii="Arial" w:hAnsi="Arial"/>
                <w:b/>
                <w:i/>
                <w:noProof/>
                <w:sz w:val="18"/>
              </w:rPr>
            </w:pPr>
            <w:r>
              <w:rPr>
                <w:rFonts w:ascii="Arial" w:hAnsi="Arial"/>
                <w:b/>
                <w:i/>
                <w:iCs/>
                <w:sz w:val="18"/>
                <w:lang w:eastAsia="sv-SE"/>
              </w:rPr>
              <w:t>deprioritisationTimer</w:t>
            </w:r>
          </w:p>
          <w:p w14:paraId="7059C515" w14:textId="77777777" w:rsidR="00EF781F" w:rsidRDefault="00EF781F">
            <w:pPr>
              <w:keepNext/>
              <w:keepLines/>
              <w:spacing w:after="0"/>
              <w:rPr>
                <w:rFonts w:ascii="Arial" w:hAnsi="Arial"/>
                <w:noProof/>
                <w:sz w:val="18"/>
                <w:lang w:eastAsia="sv-SE"/>
              </w:rPr>
            </w:pPr>
            <w:r>
              <w:rPr>
                <w:rFonts w:ascii="Arial" w:hAnsi="Arial" w:cs="Arial"/>
                <w:iCs/>
                <w:noProof/>
                <w:sz w:val="18"/>
              </w:rPr>
              <w:t xml:space="preserve">Indicates the period for which either the current carrier frequency or NR is deprioritised. </w:t>
            </w:r>
            <w:r>
              <w:rPr>
                <w:rFonts w:ascii="Arial" w:hAnsi="Arial" w:cs="Arial"/>
                <w:noProof/>
                <w:sz w:val="18"/>
              </w:rPr>
              <w:t xml:space="preserve">Value </w:t>
            </w:r>
            <w:r>
              <w:rPr>
                <w:rFonts w:ascii="Arial" w:hAnsi="Arial"/>
                <w:i/>
                <w:sz w:val="18"/>
                <w:lang w:eastAsia="sv-SE"/>
              </w:rPr>
              <w:t>minN</w:t>
            </w:r>
            <w:r>
              <w:rPr>
                <w:rFonts w:ascii="Arial" w:hAnsi="Arial" w:cs="Arial"/>
                <w:noProof/>
                <w:sz w:val="18"/>
              </w:rPr>
              <w:t xml:space="preserve"> corresponds to N minutes</w:t>
            </w:r>
            <w:r>
              <w:rPr>
                <w:rFonts w:ascii="Arial" w:hAnsi="Arial" w:cs="Arial"/>
                <w:iCs/>
                <w:noProof/>
                <w:sz w:val="18"/>
                <w:lang w:eastAsia="sv-SE"/>
              </w:rPr>
              <w:t>.</w:t>
            </w:r>
          </w:p>
        </w:tc>
      </w:tr>
      <w:tr w:rsidR="00EF781F" w14:paraId="172FCD44"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4DDF3644" w14:textId="77777777" w:rsidR="00EF781F" w:rsidRDefault="00EF781F">
            <w:pPr>
              <w:keepNext/>
              <w:keepLines/>
              <w:spacing w:after="0"/>
              <w:rPr>
                <w:rFonts w:ascii="Arial" w:hAnsi="Arial"/>
                <w:b/>
                <w:i/>
                <w:iCs/>
                <w:sz w:val="18"/>
                <w:lang w:eastAsia="ko-KR"/>
              </w:rPr>
            </w:pPr>
            <w:r>
              <w:rPr>
                <w:rFonts w:ascii="Arial" w:hAnsi="Arial"/>
                <w:b/>
                <w:i/>
                <w:iCs/>
                <w:sz w:val="18"/>
                <w:lang w:eastAsia="ko-KR"/>
              </w:rPr>
              <w:t>measIdleConfig</w:t>
            </w:r>
          </w:p>
          <w:p w14:paraId="0731A912" w14:textId="77777777" w:rsidR="00EF781F" w:rsidRDefault="00EF781F">
            <w:pPr>
              <w:keepNext/>
              <w:keepLines/>
              <w:spacing w:after="0"/>
              <w:rPr>
                <w:rFonts w:ascii="Arial" w:hAnsi="Arial"/>
                <w:b/>
                <w:i/>
                <w:iCs/>
                <w:sz w:val="18"/>
                <w:lang w:eastAsia="sv-SE"/>
              </w:rPr>
            </w:pPr>
            <w:r>
              <w:rPr>
                <w:rFonts w:ascii="Arial" w:hAnsi="Arial"/>
                <w:bCs/>
                <w:noProof/>
                <w:sz w:val="18"/>
                <w:lang w:eastAsia="en-GB"/>
              </w:rPr>
              <w:t>Indicates measurement configuration to be stored and used by the UE while in RRC_IDLE or RRC_INACTIVE.</w:t>
            </w:r>
          </w:p>
        </w:tc>
      </w:tr>
      <w:tr w:rsidR="00EF781F" w14:paraId="07F4B8C4"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1FE2663F" w14:textId="77777777" w:rsidR="00EF781F" w:rsidRDefault="00EF781F">
            <w:pPr>
              <w:keepNext/>
              <w:keepLines/>
              <w:spacing w:after="0"/>
              <w:rPr>
                <w:rFonts w:ascii="Arial" w:hAnsi="Arial"/>
                <w:b/>
                <w:bCs/>
                <w:i/>
                <w:iCs/>
                <w:sz w:val="18"/>
                <w:lang w:eastAsia="ko-KR"/>
              </w:rPr>
            </w:pPr>
            <w:r>
              <w:rPr>
                <w:rFonts w:ascii="Arial" w:hAnsi="Arial"/>
                <w:b/>
                <w:bCs/>
                <w:i/>
                <w:iCs/>
                <w:sz w:val="18"/>
                <w:lang w:eastAsia="ko-KR"/>
              </w:rPr>
              <w:t>mpsPriorityIndication</w:t>
            </w:r>
          </w:p>
          <w:p w14:paraId="4B794FBC" w14:textId="77777777" w:rsidR="00EF781F" w:rsidRDefault="00EF781F">
            <w:pPr>
              <w:keepNext/>
              <w:keepLines/>
              <w:spacing w:after="0"/>
              <w:rPr>
                <w:rFonts w:ascii="Arial" w:hAnsi="Arial"/>
                <w:sz w:val="18"/>
                <w:lang w:eastAsia="ko-KR"/>
              </w:rPr>
            </w:pPr>
            <w:r>
              <w:rPr>
                <w:rFonts w:ascii="Arial" w:hAnsi="Arial"/>
                <w:sz w:val="18"/>
                <w:lang w:eastAsia="ko-KR"/>
              </w:rPr>
              <w:t xml:space="preserve">Indicates the UE can set the establishment cause to to </w:t>
            </w:r>
            <w:r>
              <w:rPr>
                <w:rFonts w:ascii="Arial" w:hAnsi="Arial"/>
                <w:i/>
                <w:sz w:val="18"/>
                <w:lang w:eastAsia="ko-KR"/>
              </w:rPr>
              <w:t>mps-PriorityAccess</w:t>
            </w:r>
            <w:r>
              <w:rPr>
                <w:rFonts w:ascii="Arial" w:hAnsi="Arial"/>
                <w:sz w:val="18"/>
                <w:lang w:eastAsia="ko-KR"/>
              </w:rPr>
              <w:t xml:space="preserve"> for a new connection following a redirect to NR or set the resume cause to </w:t>
            </w:r>
            <w:r>
              <w:rPr>
                <w:rFonts w:ascii="Arial" w:hAnsi="Arial"/>
                <w:i/>
                <w:sz w:val="18"/>
                <w:lang w:eastAsia="ko-KR"/>
              </w:rPr>
              <w:t>mps-PriorityAccess</w:t>
            </w:r>
            <w:r>
              <w:rPr>
                <w:rFonts w:ascii="Arial" w:hAnsi="Arial"/>
                <w:sz w:val="18"/>
                <w:lang w:eastAsia="ko-KR"/>
              </w:rPr>
              <w:t xml:space="preserve"> for a resume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rFonts w:ascii="Arial" w:hAnsi="Arial"/>
                <w:i/>
                <w:iCs/>
                <w:sz w:val="18"/>
                <w:lang w:eastAsia="ko-KR"/>
              </w:rPr>
              <w:t>redirectedCarrierInfo</w:t>
            </w:r>
            <w:r>
              <w:rPr>
                <w:rFonts w:ascii="Arial" w:hAnsi="Arial"/>
                <w:sz w:val="18"/>
                <w:lang w:eastAsia="ko-KR"/>
              </w:rPr>
              <w:t xml:space="preserve"> field in the </w:t>
            </w:r>
            <w:r>
              <w:rPr>
                <w:rFonts w:ascii="Arial" w:hAnsi="Arial"/>
                <w:i/>
                <w:iCs/>
                <w:sz w:val="18"/>
                <w:lang w:eastAsia="ko-KR"/>
              </w:rPr>
              <w:t>RRCRelease</w:t>
            </w:r>
            <w:r>
              <w:rPr>
                <w:rFonts w:ascii="Arial" w:hAnsi="Arial"/>
                <w:sz w:val="18"/>
                <w:lang w:eastAsia="ko-KR"/>
              </w:rPr>
              <w:t xml:space="preserve"> message.</w:t>
            </w:r>
          </w:p>
        </w:tc>
      </w:tr>
      <w:tr w:rsidR="00EF781F" w14:paraId="59F3A045" w14:textId="77777777" w:rsidTr="00EF781F">
        <w:trPr>
          <w:ins w:id="661" w:author="Huawei, HiSilicon" w:date="2023-11-02T14:40:00Z"/>
        </w:trPr>
        <w:tc>
          <w:tcPr>
            <w:tcW w:w="14061" w:type="dxa"/>
            <w:tcBorders>
              <w:top w:val="single" w:sz="4" w:space="0" w:color="auto"/>
              <w:left w:val="single" w:sz="4" w:space="0" w:color="auto"/>
              <w:bottom w:val="single" w:sz="4" w:space="0" w:color="auto"/>
              <w:right w:val="single" w:sz="4" w:space="0" w:color="auto"/>
            </w:tcBorders>
            <w:hideMark/>
          </w:tcPr>
          <w:p w14:paraId="5260E608" w14:textId="77777777" w:rsidR="00EF781F" w:rsidRDefault="00EF781F">
            <w:pPr>
              <w:keepNext/>
              <w:keepLines/>
              <w:spacing w:after="0"/>
              <w:rPr>
                <w:ins w:id="662" w:author="Huawei, HiSilicon" w:date="2023-11-02T14:40:00Z"/>
                <w:rFonts w:ascii="Arial" w:hAnsi="Arial"/>
                <w:b/>
                <w:i/>
                <w:iCs/>
                <w:sz w:val="18"/>
                <w:lang w:eastAsia="ko-KR"/>
              </w:rPr>
            </w:pPr>
            <w:ins w:id="663" w:author="Huawei, HiSilicon" w:date="2023-11-02T14:40:00Z">
              <w:r>
                <w:rPr>
                  <w:rFonts w:ascii="Arial" w:hAnsi="Arial"/>
                  <w:b/>
                  <w:i/>
                  <w:iCs/>
                  <w:sz w:val="18"/>
                  <w:lang w:eastAsia="ko-KR"/>
                </w:rPr>
                <w:t>multicastConfigInactive</w:t>
              </w:r>
            </w:ins>
          </w:p>
          <w:p w14:paraId="6A65AEE6" w14:textId="77777777" w:rsidR="00EF781F" w:rsidRDefault="00EF781F">
            <w:pPr>
              <w:keepNext/>
              <w:keepLines/>
              <w:spacing w:after="0"/>
              <w:rPr>
                <w:ins w:id="664" w:author="Huawei, HiSilicon" w:date="2023-11-02T14:40:00Z"/>
                <w:rFonts w:ascii="Arial" w:eastAsia="Calibri" w:hAnsi="Arial"/>
                <w:sz w:val="18"/>
                <w:szCs w:val="22"/>
                <w:lang w:eastAsia="sv-SE"/>
              </w:rPr>
            </w:pPr>
            <w:ins w:id="665" w:author="Huawei, HiSilicon" w:date="2023-11-02T14:40:00Z">
              <w:r>
                <w:rPr>
                  <w:rFonts w:ascii="Arial" w:eastAsia="Calibri" w:hAnsi="Arial"/>
                  <w:sz w:val="18"/>
                  <w:szCs w:val="22"/>
                  <w:lang w:eastAsia="sv-SE"/>
                </w:rPr>
                <w:t>Indicates the multicast service(s) that can be received in RRC_INACTIVE in the current serving cell and optionally the corresponding configuration.</w:t>
              </w:r>
            </w:ins>
            <w:ins w:id="666" w:author="Huawei, HiSilicon" w:date="2023-12-01T16:10:00Z">
              <w:r>
                <w:rPr>
                  <w:rFonts w:ascii="Arial" w:eastAsia="Calibri" w:hAnsi="Arial"/>
                  <w:sz w:val="18"/>
                  <w:szCs w:val="22"/>
                  <w:lang w:eastAsia="sv-SE"/>
                </w:rPr>
                <w:t xml:space="preserve"> The presence of this field indicates the UE is configured to receive MBS multicast in RRC_INACTIVE</w:t>
              </w:r>
            </w:ins>
            <w:ins w:id="667" w:author="Huawei, HiSilicon" w:date="2023-12-01T16:11:00Z">
              <w:r>
                <w:rPr>
                  <w:rFonts w:ascii="Arial" w:eastAsia="Calibri" w:hAnsi="Arial"/>
                  <w:sz w:val="18"/>
                  <w:szCs w:val="22"/>
                  <w:lang w:eastAsia="sv-SE"/>
                </w:rPr>
                <w:t>.</w:t>
              </w:r>
            </w:ins>
          </w:p>
        </w:tc>
      </w:tr>
      <w:tr w:rsidR="00EF781F" w14:paraId="74ECCBF7"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7258546D" w14:textId="77777777" w:rsidR="00EF781F" w:rsidRDefault="00EF781F">
            <w:pPr>
              <w:keepNext/>
              <w:keepLines/>
              <w:spacing w:after="0"/>
              <w:rPr>
                <w:rFonts w:ascii="Arial" w:eastAsia="PMingLiU" w:hAnsi="Arial"/>
                <w:b/>
                <w:i/>
                <w:iCs/>
                <w:sz w:val="18"/>
                <w:lang w:eastAsia="ko-KR"/>
              </w:rPr>
            </w:pPr>
            <w:r>
              <w:rPr>
                <w:rFonts w:ascii="Arial" w:eastAsia="PMingLiU" w:hAnsi="Arial"/>
                <w:b/>
                <w:i/>
                <w:iCs/>
                <w:sz w:val="18"/>
                <w:lang w:eastAsia="ko-KR"/>
              </w:rPr>
              <w:t>noLastCellUpdate</w:t>
            </w:r>
          </w:p>
          <w:p w14:paraId="41ABBFE0" w14:textId="77777777" w:rsidR="00EF781F" w:rsidRDefault="00EF781F">
            <w:pPr>
              <w:keepNext/>
              <w:keepLines/>
              <w:spacing w:after="0"/>
              <w:rPr>
                <w:rFonts w:ascii="Arial" w:hAnsi="Arial"/>
                <w:b/>
                <w:bCs/>
                <w:i/>
                <w:iCs/>
                <w:sz w:val="18"/>
                <w:lang w:eastAsia="ko-KR"/>
              </w:rPr>
            </w:pPr>
            <w:r>
              <w:rPr>
                <w:rFonts w:ascii="Arial" w:eastAsia="MS Mincho" w:hAnsi="Arial"/>
                <w:sz w:val="18"/>
                <w:lang w:eastAsia="ko-KR"/>
              </w:rPr>
              <w:t>Presence of the field indicates that the last used cell for PEI shall not be updated. When the field is absent, the PEI-capable UE shall update its last used cell with the current cell.</w:t>
            </w:r>
            <w:r>
              <w:rPr>
                <w:rFonts w:ascii="Arial" w:hAnsi="Arial"/>
                <w:sz w:val="18"/>
                <w:lang w:eastAsia="ko-KR"/>
              </w:rPr>
              <w:t xml:space="preserve"> The UE shall not update its last used cell with the current cell if the AS security is not activated.</w:t>
            </w:r>
          </w:p>
        </w:tc>
      </w:tr>
      <w:tr w:rsidR="00EF781F" w14:paraId="484BD497"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3B59A988" w14:textId="77777777" w:rsidR="00EF781F" w:rsidRDefault="00EF781F">
            <w:pPr>
              <w:keepNext/>
              <w:keepLines/>
              <w:spacing w:after="0"/>
              <w:rPr>
                <w:rFonts w:ascii="Arial" w:hAnsi="Arial"/>
                <w:b/>
                <w:i/>
                <w:iCs/>
                <w:sz w:val="18"/>
                <w:lang w:eastAsia="ko-KR"/>
              </w:rPr>
            </w:pPr>
            <w:r>
              <w:rPr>
                <w:rFonts w:ascii="Arial" w:hAnsi="Arial"/>
                <w:b/>
                <w:i/>
                <w:iCs/>
                <w:sz w:val="18"/>
                <w:lang w:eastAsia="ko-KR"/>
              </w:rPr>
              <w:t>srs-PosRRC-InactiveConfig</w:t>
            </w:r>
          </w:p>
          <w:p w14:paraId="79C9A856" w14:textId="77777777" w:rsidR="00EF781F" w:rsidRDefault="00EF781F">
            <w:pPr>
              <w:keepNext/>
              <w:keepLines/>
              <w:spacing w:after="0"/>
              <w:rPr>
                <w:rFonts w:ascii="Arial" w:hAnsi="Arial"/>
                <w:b/>
                <w:bCs/>
                <w:i/>
                <w:iCs/>
                <w:sz w:val="18"/>
                <w:lang w:eastAsia="ko-KR"/>
              </w:rPr>
            </w:pPr>
            <w:r>
              <w:rPr>
                <w:rFonts w:ascii="Arial" w:hAnsi="Arial"/>
                <w:iCs/>
                <w:sz w:val="18"/>
                <w:lang w:eastAsia="ko-KR"/>
              </w:rPr>
              <w:t>SRS for positioning configuration during RRC_INACTIVE state.</w:t>
            </w:r>
          </w:p>
        </w:tc>
      </w:tr>
      <w:tr w:rsidR="00EF781F" w14:paraId="65312AC3"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20278DAF" w14:textId="77777777" w:rsidR="00EF781F" w:rsidRDefault="00EF781F">
            <w:pPr>
              <w:keepNext/>
              <w:keepLines/>
              <w:spacing w:after="0"/>
              <w:rPr>
                <w:rFonts w:ascii="Arial" w:hAnsi="Arial"/>
                <w:b/>
                <w:i/>
                <w:noProof/>
                <w:sz w:val="18"/>
                <w:lang w:eastAsia="ko-KR"/>
              </w:rPr>
            </w:pPr>
            <w:r>
              <w:rPr>
                <w:rFonts w:ascii="Arial" w:hAnsi="Arial"/>
                <w:b/>
                <w:i/>
                <w:iCs/>
                <w:sz w:val="18"/>
                <w:lang w:eastAsia="ko-KR"/>
              </w:rPr>
              <w:t>suspendConfig</w:t>
            </w:r>
          </w:p>
          <w:p w14:paraId="28732A79" w14:textId="77777777" w:rsidR="00EF781F" w:rsidRDefault="00EF781F">
            <w:pPr>
              <w:keepNext/>
              <w:keepLines/>
              <w:spacing w:after="0"/>
              <w:rPr>
                <w:rFonts w:ascii="Arial" w:hAnsi="Arial"/>
                <w:b/>
                <w:i/>
                <w:iCs/>
                <w:sz w:val="18"/>
                <w:lang w:eastAsia="sv-SE"/>
              </w:rPr>
            </w:pPr>
            <w:r>
              <w:rPr>
                <w:rFonts w:ascii="Arial" w:hAnsi="Arial" w:cs="Arial"/>
                <w:iCs/>
                <w:noProof/>
                <w:sz w:val="18"/>
                <w:lang w:eastAsia="sv-SE"/>
              </w:rPr>
              <w:t xml:space="preserve">Indicates </w:t>
            </w:r>
            <w:r>
              <w:rPr>
                <w:rFonts w:ascii="Arial" w:hAnsi="Arial" w:cs="Arial"/>
                <w:iCs/>
                <w:noProof/>
                <w:sz w:val="18"/>
                <w:lang w:eastAsia="ko-KR"/>
              </w:rPr>
              <w:t>configuration for the RRC_INACTIVE state</w:t>
            </w:r>
            <w:r>
              <w:rPr>
                <w:rFonts w:ascii="Arial" w:hAnsi="Arial" w:cs="Arial"/>
                <w:iCs/>
                <w:noProof/>
                <w:sz w:val="18"/>
                <w:lang w:eastAsia="sv-SE"/>
              </w:rPr>
              <w:t xml:space="preserve">. The network does not configure </w:t>
            </w:r>
            <w:r>
              <w:rPr>
                <w:rFonts w:ascii="Arial" w:hAnsi="Arial" w:cs="Arial"/>
                <w:i/>
                <w:iCs/>
                <w:noProof/>
                <w:sz w:val="18"/>
                <w:lang w:eastAsia="sv-SE"/>
              </w:rPr>
              <w:t>suspendConfig</w:t>
            </w:r>
            <w:r>
              <w:rPr>
                <w:rFonts w:ascii="Arial" w:hAnsi="Arial" w:cs="Arial"/>
                <w:iCs/>
                <w:noProof/>
                <w:sz w:val="18"/>
                <w:lang w:eastAsia="sv-SE"/>
              </w:rPr>
              <w:t xml:space="preserve"> when the network redirect the UE to an inter-RAT carrier frequency</w:t>
            </w:r>
            <w:r>
              <w:rPr>
                <w:rFonts w:ascii="Arial" w:hAnsi="Arial"/>
                <w:sz w:val="18"/>
              </w:rPr>
              <w:t xml:space="preserve"> </w:t>
            </w:r>
            <w:r>
              <w:rPr>
                <w:rFonts w:ascii="Arial" w:hAnsi="Arial" w:cs="Arial"/>
                <w:iCs/>
                <w:noProof/>
                <w:sz w:val="18"/>
              </w:rPr>
              <w:t>or if the UE is configured with a DAPS bearer</w:t>
            </w:r>
            <w:r>
              <w:rPr>
                <w:rFonts w:ascii="Arial" w:hAnsi="Arial" w:cs="Arial"/>
                <w:iCs/>
                <w:noProof/>
                <w:sz w:val="18"/>
                <w:lang w:eastAsia="sv-SE"/>
              </w:rPr>
              <w:t>.</w:t>
            </w:r>
          </w:p>
        </w:tc>
      </w:tr>
      <w:tr w:rsidR="00EF781F" w14:paraId="01D73D16"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2A426DA2" w14:textId="77777777" w:rsidR="00EF781F" w:rsidRDefault="00EF781F">
            <w:pPr>
              <w:keepNext/>
              <w:keepLines/>
              <w:spacing w:after="0"/>
              <w:rPr>
                <w:rFonts w:ascii="Arial" w:hAnsi="Arial"/>
                <w:b/>
                <w:bCs/>
                <w:i/>
                <w:noProof/>
                <w:sz w:val="18"/>
                <w:lang w:eastAsia="en-GB"/>
              </w:rPr>
            </w:pPr>
            <w:r>
              <w:rPr>
                <w:rFonts w:ascii="Arial" w:hAnsi="Arial"/>
                <w:b/>
                <w:bCs/>
                <w:i/>
                <w:noProof/>
                <w:sz w:val="18"/>
                <w:lang w:eastAsia="en-GB"/>
              </w:rPr>
              <w:t>redirectedCarrierInfo</w:t>
            </w:r>
          </w:p>
          <w:p w14:paraId="51749DD1" w14:textId="77777777" w:rsidR="00EF781F" w:rsidRDefault="00EF781F">
            <w:pPr>
              <w:keepNext/>
              <w:keepLines/>
              <w:spacing w:after="0"/>
              <w:rPr>
                <w:rFonts w:ascii="Arial" w:hAnsi="Arial"/>
                <w:b/>
                <w:i/>
                <w:iCs/>
                <w:sz w:val="18"/>
                <w:lang w:eastAsia="ko-KR"/>
              </w:rPr>
            </w:pPr>
            <w:r>
              <w:rPr>
                <w:rFonts w:ascii="Arial" w:hAnsi="Arial"/>
                <w:sz w:val="18"/>
                <w:lang w:eastAsia="en-GB"/>
              </w:rPr>
              <w:t>Indicates a carrier frequency (downlink for FDD) and is used to redirect the UE to an NR or an inter-RAT carrier frequency, by means of cell selection at transition to RRC_IDLE or RRC_INACTIVE as specified in TS 38.304 [20]</w:t>
            </w:r>
            <w:r>
              <w:rPr>
                <w:rFonts w:ascii="Arial" w:hAnsi="Arial"/>
                <w:sz w:val="18"/>
                <w:lang w:eastAsia="zh-CN"/>
              </w:rPr>
              <w:t>. Based on UE capability, the network may include</w:t>
            </w:r>
            <w:r>
              <w:rPr>
                <w:rFonts w:ascii="Arial" w:hAnsi="Arial"/>
                <w:sz w:val="18"/>
                <w:lang w:eastAsia="sv-SE"/>
              </w:rPr>
              <w:t xml:space="preserve"> </w:t>
            </w:r>
            <w:r>
              <w:rPr>
                <w:rFonts w:ascii="Arial" w:hAnsi="Arial"/>
                <w:i/>
                <w:sz w:val="18"/>
                <w:lang w:eastAsia="sv-SE"/>
              </w:rPr>
              <w:t>redirectedCarrierInfo</w:t>
            </w:r>
            <w:r>
              <w:rPr>
                <w:rFonts w:ascii="Arial" w:hAnsi="Arial"/>
                <w:sz w:val="18"/>
                <w:lang w:eastAsia="sv-SE"/>
              </w:rPr>
              <w:t xml:space="preserve"> in </w:t>
            </w:r>
            <w:r>
              <w:rPr>
                <w:rFonts w:ascii="Arial" w:hAnsi="Arial"/>
                <w:i/>
                <w:sz w:val="18"/>
                <w:lang w:eastAsia="sv-SE"/>
              </w:rPr>
              <w:t>RRCRelease</w:t>
            </w:r>
            <w:r>
              <w:rPr>
                <w:rFonts w:ascii="Arial" w:hAnsi="Arial"/>
                <w:sz w:val="18"/>
                <w:lang w:eastAsia="sv-SE"/>
              </w:rPr>
              <w:t xml:space="preserve"> message with </w:t>
            </w:r>
            <w:r>
              <w:rPr>
                <w:rFonts w:ascii="Arial" w:hAnsi="Arial"/>
                <w:i/>
                <w:sz w:val="18"/>
                <w:lang w:eastAsia="sv-SE"/>
              </w:rPr>
              <w:t>suspendConfig</w:t>
            </w:r>
            <w:r>
              <w:rPr>
                <w:rFonts w:ascii="Arial" w:hAnsi="Arial"/>
                <w:sz w:val="18"/>
                <w:lang w:eastAsia="sv-SE"/>
              </w:rPr>
              <w:t xml:space="preserve"> if </w:t>
            </w:r>
            <w:r>
              <w:rPr>
                <w:rFonts w:ascii="Arial" w:hAnsi="Arial"/>
                <w:sz w:val="18"/>
                <w:lang w:eastAsia="zh-CN"/>
              </w:rPr>
              <w:t>this message</w:t>
            </w:r>
            <w:r>
              <w:rPr>
                <w:rFonts w:ascii="Arial" w:hAnsi="Arial"/>
                <w:sz w:val="18"/>
                <w:lang w:eastAsia="sv-SE"/>
              </w:rPr>
              <w:t xml:space="preserve"> is sent in response to an </w:t>
            </w:r>
            <w:r>
              <w:rPr>
                <w:rFonts w:ascii="Arial" w:hAnsi="Arial"/>
                <w:i/>
                <w:sz w:val="18"/>
                <w:lang w:eastAsia="sv-SE"/>
              </w:rPr>
              <w:t>RRCResumeRequest</w:t>
            </w:r>
            <w:r>
              <w:rPr>
                <w:rFonts w:ascii="Arial" w:hAnsi="Arial"/>
                <w:sz w:val="18"/>
                <w:lang w:eastAsia="sv-SE"/>
              </w:rPr>
              <w:t xml:space="preserve"> or an </w:t>
            </w:r>
            <w:r>
              <w:rPr>
                <w:rFonts w:ascii="Arial" w:hAnsi="Arial"/>
                <w:i/>
                <w:sz w:val="18"/>
                <w:lang w:eastAsia="sv-SE"/>
              </w:rPr>
              <w:t>RRCResumeRequest1</w:t>
            </w:r>
            <w:r>
              <w:rPr>
                <w:rFonts w:ascii="Arial" w:hAnsi="Arial"/>
                <w:sz w:val="18"/>
                <w:lang w:eastAsia="sv-SE"/>
              </w:rPr>
              <w:t xml:space="preserve"> which is triggered by the NAS layer (see </w:t>
            </w:r>
            <w:r>
              <w:rPr>
                <w:rFonts w:ascii="Arial" w:hAnsi="Arial"/>
                <w:sz w:val="18"/>
              </w:rPr>
              <w:t xml:space="preserve">5.3.1.4 in TS </w:t>
            </w:r>
            <w:r>
              <w:rPr>
                <w:rFonts w:ascii="Arial" w:hAnsi="Arial"/>
                <w:sz w:val="18"/>
                <w:lang w:eastAsia="sv-SE"/>
              </w:rPr>
              <w:t>24.501 [23])</w:t>
            </w:r>
            <w:r>
              <w:rPr>
                <w:rFonts w:ascii="Arial" w:hAnsi="Arial"/>
                <w:sz w:val="18"/>
                <w:lang w:eastAsia="zh-CN"/>
              </w:rPr>
              <w:t>.</w:t>
            </w:r>
          </w:p>
        </w:tc>
      </w:tr>
      <w:tr w:rsidR="00EF781F" w14:paraId="1C3D40F1"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394F2685" w14:textId="77777777" w:rsidR="00EF781F" w:rsidRDefault="00EF781F">
            <w:pPr>
              <w:keepNext/>
              <w:keepLines/>
              <w:spacing w:after="0"/>
              <w:rPr>
                <w:rFonts w:ascii="Arial" w:hAnsi="Arial"/>
                <w:b/>
                <w:bCs/>
                <w:i/>
                <w:iCs/>
                <w:noProof/>
                <w:sz w:val="18"/>
                <w:lang w:eastAsia="sv-SE"/>
              </w:rPr>
            </w:pPr>
            <w:r>
              <w:rPr>
                <w:rFonts w:ascii="Arial" w:hAnsi="Arial"/>
                <w:b/>
                <w:bCs/>
                <w:i/>
                <w:iCs/>
                <w:noProof/>
                <w:sz w:val="18"/>
                <w:lang w:eastAsia="sv-SE"/>
              </w:rPr>
              <w:t>voiceFallbackIndication</w:t>
            </w:r>
          </w:p>
          <w:p w14:paraId="2C8598A2" w14:textId="77777777" w:rsidR="00EF781F" w:rsidRDefault="00EF781F">
            <w:pPr>
              <w:keepNext/>
              <w:keepLines/>
              <w:spacing w:after="0"/>
              <w:rPr>
                <w:rFonts w:ascii="Arial" w:hAnsi="Arial" w:cs="Arial"/>
                <w:noProof/>
                <w:sz w:val="18"/>
                <w:szCs w:val="18"/>
                <w:lang w:eastAsia="en-GB"/>
              </w:rPr>
            </w:pPr>
            <w:r>
              <w:rPr>
                <w:rFonts w:ascii="Arial" w:hAnsi="Arial" w:cs="Arial"/>
                <w:sz w:val="18"/>
                <w:szCs w:val="18"/>
                <w:lang w:eastAsia="sv-SE"/>
              </w:rPr>
              <w:t>Indicates the RRC release is triggered by EPS fallback for IMS voice as specified in TS 23.502 [43].</w:t>
            </w:r>
          </w:p>
        </w:tc>
      </w:tr>
    </w:tbl>
    <w:p w14:paraId="74F118F7"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210DEEC8"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6057BD81" w14:textId="77777777" w:rsidR="00EF781F" w:rsidRDefault="00EF781F">
            <w:pPr>
              <w:keepNext/>
              <w:keepLines/>
              <w:spacing w:after="0"/>
              <w:jc w:val="center"/>
              <w:rPr>
                <w:rFonts w:ascii="Arial" w:hAnsi="Arial"/>
                <w:b/>
                <w:sz w:val="18"/>
                <w:lang w:eastAsia="sv-SE"/>
              </w:rPr>
            </w:pPr>
            <w:r>
              <w:rPr>
                <w:rFonts w:ascii="Arial" w:hAnsi="Arial"/>
                <w:b/>
                <w:bCs/>
                <w:i/>
                <w:iCs/>
                <w:sz w:val="18"/>
                <w:lang w:eastAsia="sv-SE"/>
              </w:rPr>
              <w:lastRenderedPageBreak/>
              <w:t>CarrierInfoNR</w:t>
            </w:r>
            <w:r>
              <w:rPr>
                <w:rFonts w:ascii="Arial" w:hAnsi="Arial"/>
                <w:b/>
                <w:sz w:val="18"/>
                <w:lang w:eastAsia="sv-SE"/>
              </w:rPr>
              <w:t xml:space="preserve"> field descriptions</w:t>
            </w:r>
          </w:p>
        </w:tc>
      </w:tr>
      <w:tr w:rsidR="00EF781F" w14:paraId="7D239090"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2E8E3E3B" w14:textId="77777777" w:rsidR="00EF781F" w:rsidRDefault="00EF781F">
            <w:pPr>
              <w:keepNext/>
              <w:keepLines/>
              <w:spacing w:after="0"/>
              <w:rPr>
                <w:rFonts w:ascii="Arial" w:hAnsi="Arial"/>
                <w:b/>
                <w:bCs/>
                <w:i/>
                <w:iCs/>
                <w:noProof/>
                <w:sz w:val="18"/>
                <w:lang w:eastAsia="sv-SE"/>
              </w:rPr>
            </w:pPr>
            <w:r>
              <w:rPr>
                <w:rFonts w:ascii="Arial" w:hAnsi="Arial"/>
                <w:b/>
                <w:bCs/>
                <w:i/>
                <w:iCs/>
                <w:noProof/>
                <w:sz w:val="18"/>
                <w:lang w:eastAsia="sv-SE"/>
              </w:rPr>
              <w:t>carrierFreq</w:t>
            </w:r>
          </w:p>
          <w:p w14:paraId="21F63387" w14:textId="77777777" w:rsidR="00EF781F" w:rsidRDefault="00EF781F">
            <w:pPr>
              <w:keepNext/>
              <w:keepLines/>
              <w:spacing w:after="0"/>
              <w:rPr>
                <w:rFonts w:ascii="Arial" w:hAnsi="Arial"/>
                <w:i/>
                <w:sz w:val="18"/>
                <w:lang w:eastAsia="sv-SE"/>
              </w:rPr>
            </w:pPr>
            <w:r>
              <w:rPr>
                <w:rFonts w:ascii="Arial" w:hAnsi="Arial"/>
                <w:sz w:val="18"/>
                <w:lang w:eastAsia="sv-SE"/>
              </w:rPr>
              <w:t>Indicates the redirected NR frequency.</w:t>
            </w:r>
          </w:p>
        </w:tc>
      </w:tr>
      <w:tr w:rsidR="00EF781F" w14:paraId="401DF877"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586DF24D" w14:textId="77777777" w:rsidR="00EF781F" w:rsidRDefault="00EF781F">
            <w:pPr>
              <w:keepNext/>
              <w:keepLines/>
              <w:spacing w:after="0"/>
              <w:rPr>
                <w:rFonts w:ascii="Arial" w:hAnsi="Arial"/>
                <w:b/>
                <w:bCs/>
                <w:i/>
                <w:iCs/>
                <w:noProof/>
                <w:sz w:val="18"/>
                <w:lang w:eastAsia="sv-SE"/>
              </w:rPr>
            </w:pPr>
            <w:r>
              <w:rPr>
                <w:rFonts w:ascii="Arial" w:hAnsi="Arial"/>
                <w:b/>
                <w:bCs/>
                <w:i/>
                <w:iCs/>
                <w:noProof/>
                <w:sz w:val="18"/>
                <w:lang w:eastAsia="sv-SE"/>
              </w:rPr>
              <w:t>ssbSubcarrierSpacing</w:t>
            </w:r>
          </w:p>
          <w:p w14:paraId="0CF555E8" w14:textId="77777777" w:rsidR="00EF781F" w:rsidRDefault="00EF781F">
            <w:pPr>
              <w:keepNext/>
              <w:keepLines/>
              <w:spacing w:after="0"/>
              <w:rPr>
                <w:rFonts w:ascii="Arial" w:hAnsi="Arial"/>
                <w:sz w:val="18"/>
                <w:lang w:eastAsia="ko-KR"/>
              </w:rPr>
            </w:pPr>
            <w:r>
              <w:rPr>
                <w:rFonts w:ascii="Arial" w:hAnsi="Arial"/>
                <w:sz w:val="18"/>
                <w:lang w:eastAsia="sv-SE"/>
              </w:rPr>
              <w:t>Subcarrier spacing of SSB in the redirected SSB frequency.</w:t>
            </w:r>
          </w:p>
          <w:p w14:paraId="3AED6845"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Only the following values are applicable depending on the used frequency:</w:t>
            </w:r>
          </w:p>
          <w:p w14:paraId="40C5E161"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FR1:    15 or 30 kHz</w:t>
            </w:r>
          </w:p>
          <w:p w14:paraId="02641691"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FR2-1:  120 or 240 kHz</w:t>
            </w:r>
          </w:p>
          <w:p w14:paraId="54C2615C"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FR2-2:  120, 480, or 960 kHz</w:t>
            </w:r>
          </w:p>
        </w:tc>
      </w:tr>
      <w:tr w:rsidR="00EF781F" w14:paraId="50EA22D6"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58D1C93E" w14:textId="77777777" w:rsidR="00EF781F" w:rsidRDefault="00EF781F">
            <w:pPr>
              <w:keepNext/>
              <w:keepLines/>
              <w:spacing w:after="0"/>
              <w:rPr>
                <w:rFonts w:ascii="Arial" w:hAnsi="Arial"/>
                <w:b/>
                <w:bCs/>
                <w:i/>
                <w:iCs/>
                <w:noProof/>
                <w:sz w:val="18"/>
                <w:lang w:eastAsia="sv-SE"/>
              </w:rPr>
            </w:pPr>
            <w:r>
              <w:rPr>
                <w:rFonts w:ascii="Arial" w:hAnsi="Arial"/>
                <w:b/>
                <w:bCs/>
                <w:i/>
                <w:iCs/>
                <w:noProof/>
                <w:sz w:val="18"/>
                <w:lang w:eastAsia="sv-SE"/>
              </w:rPr>
              <w:t>smtc</w:t>
            </w:r>
          </w:p>
          <w:p w14:paraId="03222B77" w14:textId="77777777" w:rsidR="00EF781F" w:rsidRDefault="00EF781F">
            <w:pPr>
              <w:keepNext/>
              <w:keepLines/>
              <w:spacing w:after="0"/>
              <w:rPr>
                <w:rFonts w:ascii="Arial" w:hAnsi="Arial"/>
                <w:b/>
                <w:i/>
                <w:noProof/>
                <w:sz w:val="18"/>
                <w:lang w:eastAsia="ko-KR"/>
              </w:rPr>
            </w:pPr>
            <w:r>
              <w:rPr>
                <w:rFonts w:ascii="Arial" w:hAnsi="Arial"/>
                <w:sz w:val="18"/>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14744D6"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3D068541" w14:textId="77777777" w:rsidTr="00EF781F">
        <w:tc>
          <w:tcPr>
            <w:tcW w:w="14281" w:type="dxa"/>
            <w:tcBorders>
              <w:top w:val="single" w:sz="4" w:space="0" w:color="auto"/>
              <w:left w:val="single" w:sz="4" w:space="0" w:color="auto"/>
              <w:bottom w:val="single" w:sz="4" w:space="0" w:color="auto"/>
              <w:right w:val="single" w:sz="4" w:space="0" w:color="auto"/>
            </w:tcBorders>
            <w:hideMark/>
          </w:tcPr>
          <w:p w14:paraId="66288F18" w14:textId="77777777" w:rsidR="00EF781F" w:rsidRDefault="00EF781F">
            <w:pPr>
              <w:keepNext/>
              <w:keepLines/>
              <w:spacing w:after="0"/>
              <w:jc w:val="center"/>
              <w:rPr>
                <w:rFonts w:ascii="Arial" w:hAnsi="Arial"/>
                <w:b/>
                <w:sz w:val="18"/>
                <w:szCs w:val="22"/>
                <w:lang w:eastAsia="sv-SE"/>
              </w:rPr>
            </w:pPr>
            <w:r>
              <w:rPr>
                <w:rFonts w:ascii="Arial" w:hAnsi="Arial"/>
                <w:b/>
                <w:i/>
                <w:sz w:val="18"/>
                <w:szCs w:val="22"/>
                <w:lang w:eastAsia="sv-SE"/>
              </w:rPr>
              <w:t xml:space="preserve">RAN-NotificationAreaInfo </w:t>
            </w:r>
            <w:r>
              <w:rPr>
                <w:rFonts w:ascii="Arial" w:hAnsi="Arial"/>
                <w:b/>
                <w:sz w:val="18"/>
                <w:szCs w:val="22"/>
                <w:lang w:eastAsia="sv-SE"/>
              </w:rPr>
              <w:t>field descriptions</w:t>
            </w:r>
          </w:p>
        </w:tc>
      </w:tr>
      <w:tr w:rsidR="00EF781F" w14:paraId="629A7529" w14:textId="77777777" w:rsidTr="00EF781F">
        <w:tc>
          <w:tcPr>
            <w:tcW w:w="14281" w:type="dxa"/>
            <w:tcBorders>
              <w:top w:val="single" w:sz="4" w:space="0" w:color="auto"/>
              <w:left w:val="single" w:sz="4" w:space="0" w:color="auto"/>
              <w:bottom w:val="single" w:sz="4" w:space="0" w:color="auto"/>
              <w:right w:val="single" w:sz="4" w:space="0" w:color="auto"/>
            </w:tcBorders>
            <w:hideMark/>
          </w:tcPr>
          <w:p w14:paraId="3E32D9EB" w14:textId="77777777" w:rsidR="00EF781F" w:rsidRDefault="00EF781F">
            <w:pPr>
              <w:keepNext/>
              <w:keepLines/>
              <w:spacing w:after="0"/>
              <w:rPr>
                <w:rFonts w:ascii="Arial" w:hAnsi="Arial"/>
                <w:sz w:val="18"/>
                <w:szCs w:val="22"/>
                <w:lang w:eastAsia="sv-SE"/>
              </w:rPr>
            </w:pPr>
            <w:r>
              <w:rPr>
                <w:rFonts w:ascii="Arial" w:hAnsi="Arial"/>
                <w:b/>
                <w:i/>
                <w:sz w:val="18"/>
                <w:szCs w:val="22"/>
                <w:lang w:eastAsia="sv-SE"/>
              </w:rPr>
              <w:t>cellList</w:t>
            </w:r>
          </w:p>
          <w:p w14:paraId="3FDED4E7"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A list of cells configured as RAN area.</w:t>
            </w:r>
          </w:p>
        </w:tc>
      </w:tr>
      <w:tr w:rsidR="00EF781F" w14:paraId="6A8BA48B" w14:textId="77777777" w:rsidTr="00EF781F">
        <w:tc>
          <w:tcPr>
            <w:tcW w:w="14281" w:type="dxa"/>
            <w:tcBorders>
              <w:top w:val="single" w:sz="4" w:space="0" w:color="auto"/>
              <w:left w:val="single" w:sz="4" w:space="0" w:color="auto"/>
              <w:bottom w:val="single" w:sz="4" w:space="0" w:color="auto"/>
              <w:right w:val="single" w:sz="4" w:space="0" w:color="auto"/>
            </w:tcBorders>
            <w:hideMark/>
          </w:tcPr>
          <w:p w14:paraId="5A8D9E87" w14:textId="77777777" w:rsidR="00EF781F" w:rsidRDefault="00EF781F">
            <w:pPr>
              <w:keepNext/>
              <w:keepLines/>
              <w:spacing w:after="0"/>
              <w:rPr>
                <w:rFonts w:ascii="Arial" w:hAnsi="Arial"/>
                <w:sz w:val="18"/>
                <w:szCs w:val="22"/>
                <w:lang w:eastAsia="sv-SE"/>
              </w:rPr>
            </w:pPr>
            <w:r>
              <w:rPr>
                <w:rFonts w:ascii="Arial" w:hAnsi="Arial"/>
                <w:b/>
                <w:i/>
                <w:sz w:val="18"/>
                <w:szCs w:val="22"/>
                <w:lang w:eastAsia="sv-SE"/>
              </w:rPr>
              <w:t>ran-AreaConfigList</w:t>
            </w:r>
          </w:p>
          <w:p w14:paraId="06078BD2"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A list of RAN area codes or RA code(s) as RAN area.</w:t>
            </w:r>
          </w:p>
        </w:tc>
      </w:tr>
    </w:tbl>
    <w:p w14:paraId="0A345D9D"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661EB099"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15F7FFD8" w14:textId="77777777" w:rsidR="00EF781F" w:rsidRDefault="00EF781F">
            <w:pPr>
              <w:keepNext/>
              <w:keepLines/>
              <w:spacing w:after="0"/>
              <w:jc w:val="center"/>
              <w:rPr>
                <w:rFonts w:ascii="Arial" w:hAnsi="Arial"/>
                <w:b/>
                <w:sz w:val="18"/>
                <w:szCs w:val="22"/>
                <w:lang w:eastAsia="sv-SE"/>
              </w:rPr>
            </w:pPr>
            <w:r>
              <w:rPr>
                <w:rFonts w:ascii="Arial" w:hAnsi="Arial"/>
                <w:b/>
                <w:i/>
                <w:sz w:val="18"/>
                <w:lang w:eastAsia="sv-SE"/>
              </w:rPr>
              <w:t>PLMN-RAN-AreaConfig</w:t>
            </w:r>
            <w:r>
              <w:rPr>
                <w:rFonts w:ascii="Arial" w:hAnsi="Arial"/>
                <w:b/>
                <w:noProof/>
                <w:sz w:val="18"/>
                <w:lang w:eastAsia="en-GB"/>
              </w:rPr>
              <w:t xml:space="preserve"> field descriptions</w:t>
            </w:r>
          </w:p>
        </w:tc>
      </w:tr>
      <w:tr w:rsidR="00EF781F" w14:paraId="0E4FA892"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4269C116" w14:textId="77777777" w:rsidR="00EF781F" w:rsidRDefault="00EF781F">
            <w:pPr>
              <w:keepNext/>
              <w:keepLines/>
              <w:spacing w:after="0"/>
              <w:rPr>
                <w:rFonts w:ascii="Arial" w:hAnsi="Arial"/>
                <w:b/>
                <w:i/>
                <w:sz w:val="18"/>
                <w:lang w:eastAsia="sv-SE"/>
              </w:rPr>
            </w:pPr>
            <w:r>
              <w:rPr>
                <w:rFonts w:ascii="Arial" w:hAnsi="Arial"/>
                <w:b/>
                <w:i/>
                <w:sz w:val="18"/>
                <w:lang w:eastAsia="sv-SE"/>
              </w:rPr>
              <w:t>plmn-Identity</w:t>
            </w:r>
          </w:p>
          <w:p w14:paraId="6E214B38" w14:textId="77777777" w:rsidR="00EF781F" w:rsidRDefault="00EF781F">
            <w:pPr>
              <w:keepNext/>
              <w:keepLines/>
              <w:spacing w:after="0"/>
              <w:rPr>
                <w:rFonts w:ascii="Arial" w:hAnsi="Arial"/>
                <w:noProof/>
                <w:sz w:val="18"/>
                <w:lang w:eastAsia="ko-KR"/>
              </w:rPr>
            </w:pPr>
            <w:r>
              <w:rPr>
                <w:rFonts w:ascii="Arial" w:hAnsi="Arial"/>
                <w:sz w:val="18"/>
                <w:lang w:eastAsia="sv-SE"/>
              </w:rPr>
              <w:t xml:space="preserve">PLMN Identity to which the cells in </w:t>
            </w:r>
            <w:r>
              <w:rPr>
                <w:rFonts w:ascii="Arial" w:hAnsi="Arial"/>
                <w:i/>
                <w:sz w:val="18"/>
                <w:lang w:eastAsia="sv-SE"/>
              </w:rPr>
              <w:t>ran-Area</w:t>
            </w:r>
            <w:r>
              <w:rPr>
                <w:rFonts w:ascii="Arial" w:hAnsi="Arial"/>
                <w:sz w:val="18"/>
                <w:lang w:eastAsia="sv-SE"/>
              </w:rPr>
              <w:t xml:space="preserve"> belong. If the field is absent the UE not in SNPN access mode uses the ID of the registered PLMN. This field is not included for UE in SNPN access mode (for UE in SNPN access mode the </w:t>
            </w:r>
            <w:r>
              <w:rPr>
                <w:rFonts w:ascii="Arial" w:hAnsi="Arial"/>
                <w:i/>
                <w:sz w:val="18"/>
                <w:lang w:eastAsia="sv-SE"/>
              </w:rPr>
              <w:t>ran-Area</w:t>
            </w:r>
            <w:r>
              <w:rPr>
                <w:rFonts w:ascii="Arial" w:hAnsi="Arial"/>
                <w:sz w:val="18"/>
                <w:lang w:eastAsia="sv-SE"/>
              </w:rPr>
              <w:t xml:space="preserve"> always belongs to the registered SNPN).</w:t>
            </w:r>
          </w:p>
        </w:tc>
      </w:tr>
      <w:tr w:rsidR="00EF781F" w14:paraId="6B6A9EB3"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21029B05" w14:textId="77777777" w:rsidR="00EF781F" w:rsidRDefault="00EF781F">
            <w:pPr>
              <w:keepNext/>
              <w:keepLines/>
              <w:spacing w:after="0"/>
              <w:rPr>
                <w:rFonts w:ascii="Arial" w:hAnsi="Arial"/>
                <w:noProof/>
                <w:sz w:val="18"/>
                <w:lang w:eastAsia="ko-KR"/>
              </w:rPr>
            </w:pPr>
            <w:r>
              <w:rPr>
                <w:rFonts w:ascii="Arial" w:hAnsi="Arial"/>
                <w:b/>
                <w:i/>
                <w:noProof/>
                <w:sz w:val="18"/>
                <w:lang w:eastAsia="ko-KR"/>
              </w:rPr>
              <w:t>ran-AreaCodeList</w:t>
            </w:r>
          </w:p>
          <w:p w14:paraId="7C01C835" w14:textId="77777777" w:rsidR="00EF781F" w:rsidRDefault="00EF781F">
            <w:pPr>
              <w:keepNext/>
              <w:keepLines/>
              <w:spacing w:after="0"/>
              <w:rPr>
                <w:rFonts w:ascii="Arial" w:hAnsi="Arial"/>
                <w:noProof/>
                <w:sz w:val="18"/>
                <w:lang w:eastAsia="ko-KR"/>
              </w:rPr>
            </w:pPr>
            <w:r>
              <w:rPr>
                <w:rFonts w:ascii="Arial" w:hAnsi="Arial"/>
                <w:noProof/>
                <w:sz w:val="18"/>
                <w:lang w:eastAsia="ko-KR"/>
              </w:rPr>
              <w:t>The total number of RAN-AreaCodes of all PLMNs does not exceed 32.</w:t>
            </w:r>
          </w:p>
        </w:tc>
      </w:tr>
      <w:tr w:rsidR="00EF781F" w14:paraId="03BBDAEB"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74572632" w14:textId="77777777" w:rsidR="00EF781F" w:rsidRDefault="00EF781F">
            <w:pPr>
              <w:keepNext/>
              <w:keepLines/>
              <w:spacing w:after="0"/>
              <w:rPr>
                <w:rFonts w:ascii="Arial" w:hAnsi="Arial"/>
                <w:b/>
                <w:i/>
                <w:noProof/>
                <w:sz w:val="18"/>
                <w:lang w:eastAsia="ko-KR"/>
              </w:rPr>
            </w:pPr>
            <w:r>
              <w:rPr>
                <w:rFonts w:ascii="Arial" w:hAnsi="Arial"/>
                <w:b/>
                <w:i/>
                <w:noProof/>
                <w:sz w:val="18"/>
                <w:lang w:eastAsia="ko-KR"/>
              </w:rPr>
              <w:t>ran-Area</w:t>
            </w:r>
          </w:p>
          <w:p w14:paraId="4E613F07" w14:textId="77777777" w:rsidR="00EF781F" w:rsidRDefault="00EF781F">
            <w:pPr>
              <w:keepNext/>
              <w:keepLines/>
              <w:spacing w:after="0"/>
              <w:rPr>
                <w:rFonts w:ascii="Arial" w:hAnsi="Arial"/>
                <w:sz w:val="18"/>
                <w:szCs w:val="22"/>
                <w:lang w:eastAsia="sv-SE"/>
              </w:rPr>
            </w:pPr>
            <w:r>
              <w:rPr>
                <w:rFonts w:ascii="Arial" w:hAnsi="Arial"/>
                <w:sz w:val="18"/>
                <w:lang w:eastAsia="sv-SE"/>
              </w:rPr>
              <w:t xml:space="preserve">Indicates </w:t>
            </w:r>
            <w:r>
              <w:rPr>
                <w:rFonts w:ascii="Arial" w:hAnsi="Arial"/>
                <w:sz w:val="18"/>
                <w:lang w:eastAsia="ko-KR"/>
              </w:rPr>
              <w:t>whether TA code(s) or RAN area code(s) are used for the RAN notification area</w:t>
            </w:r>
            <w:r>
              <w:rPr>
                <w:rFonts w:ascii="Arial" w:hAnsi="Arial"/>
                <w:sz w:val="18"/>
                <w:lang w:eastAsia="sv-SE"/>
              </w:rPr>
              <w:t>.</w:t>
            </w:r>
            <w:r>
              <w:rPr>
                <w:rFonts w:ascii="Arial" w:hAnsi="Arial"/>
                <w:sz w:val="18"/>
                <w:lang w:eastAsia="ko-KR"/>
              </w:rPr>
              <w:t xml:space="preserve"> The network uses only TA code(s) or both TA code(s) and RAN area code(s) to configure a UE.</w:t>
            </w:r>
            <w:r>
              <w:rPr>
                <w:rFonts w:ascii="Arial" w:hAnsi="Arial"/>
                <w:sz w:val="18"/>
                <w:lang w:eastAsia="sv-SE"/>
              </w:rPr>
              <w:t xml:space="preserve"> The t</w:t>
            </w:r>
            <w:r>
              <w:rPr>
                <w:rFonts w:ascii="Arial" w:hAnsi="Arial"/>
                <w:sz w:val="18"/>
                <w:lang w:eastAsia="ko-KR"/>
              </w:rPr>
              <w:t>otal number of TACs across all PLMNs does not exceed 16.</w:t>
            </w:r>
          </w:p>
        </w:tc>
      </w:tr>
    </w:tbl>
    <w:p w14:paraId="58CA2803"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35B409F6"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5E6DCF3C" w14:textId="77777777" w:rsidR="00EF781F" w:rsidRDefault="00EF781F">
            <w:pPr>
              <w:keepNext/>
              <w:keepLines/>
              <w:spacing w:after="0"/>
              <w:jc w:val="center"/>
              <w:rPr>
                <w:rFonts w:ascii="Arial" w:hAnsi="Arial"/>
                <w:b/>
                <w:sz w:val="18"/>
                <w:szCs w:val="22"/>
                <w:lang w:eastAsia="sv-SE"/>
              </w:rPr>
            </w:pPr>
            <w:r>
              <w:rPr>
                <w:rFonts w:ascii="Arial" w:hAnsi="Arial"/>
                <w:b/>
                <w:i/>
                <w:sz w:val="18"/>
                <w:szCs w:val="22"/>
                <w:lang w:eastAsia="sv-SE"/>
              </w:rPr>
              <w:t xml:space="preserve">PLMN-RAN-AreaCell </w:t>
            </w:r>
            <w:r>
              <w:rPr>
                <w:rFonts w:ascii="Arial" w:hAnsi="Arial"/>
                <w:b/>
                <w:sz w:val="18"/>
                <w:szCs w:val="22"/>
                <w:lang w:eastAsia="sv-SE"/>
              </w:rPr>
              <w:t>field descriptions</w:t>
            </w:r>
          </w:p>
        </w:tc>
      </w:tr>
      <w:tr w:rsidR="00EF781F" w14:paraId="55AAF6F5"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56EF020D" w14:textId="77777777" w:rsidR="00EF781F" w:rsidRDefault="00EF781F">
            <w:pPr>
              <w:keepNext/>
              <w:keepLines/>
              <w:spacing w:after="0"/>
              <w:rPr>
                <w:rFonts w:ascii="Arial" w:hAnsi="Arial"/>
                <w:sz w:val="18"/>
                <w:szCs w:val="22"/>
                <w:lang w:eastAsia="sv-SE"/>
              </w:rPr>
            </w:pPr>
            <w:r>
              <w:rPr>
                <w:rFonts w:ascii="Arial" w:hAnsi="Arial"/>
                <w:b/>
                <w:i/>
                <w:sz w:val="18"/>
                <w:szCs w:val="22"/>
                <w:lang w:eastAsia="sv-SE"/>
              </w:rPr>
              <w:t>plmn-Identity</w:t>
            </w:r>
          </w:p>
          <w:p w14:paraId="2A2E84D7"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 xml:space="preserve">PLMN Identity to which the cells in </w:t>
            </w:r>
            <w:r>
              <w:rPr>
                <w:rFonts w:ascii="Arial" w:hAnsi="Arial"/>
                <w:i/>
                <w:sz w:val="18"/>
                <w:lang w:eastAsia="sv-SE"/>
              </w:rPr>
              <w:t>ran-AreaCells</w:t>
            </w:r>
            <w:r>
              <w:rPr>
                <w:rFonts w:ascii="Arial" w:hAnsi="Arial"/>
                <w:sz w:val="18"/>
                <w:szCs w:val="22"/>
                <w:lang w:eastAsia="sv-SE"/>
              </w:rPr>
              <w:t xml:space="preserve"> belong. If the field is absent the UE not in SNPN access mode uses the ID of the registered PLMN. This field is not included for UE in SNPN access mode (for UE in SNPN access mode the </w:t>
            </w:r>
            <w:r>
              <w:rPr>
                <w:rFonts w:ascii="Arial" w:hAnsi="Arial"/>
                <w:i/>
                <w:sz w:val="18"/>
                <w:szCs w:val="22"/>
                <w:lang w:eastAsia="sv-SE"/>
              </w:rPr>
              <w:t>ran-AreaCells</w:t>
            </w:r>
            <w:r>
              <w:rPr>
                <w:rFonts w:ascii="Arial" w:hAnsi="Arial"/>
                <w:sz w:val="18"/>
                <w:szCs w:val="22"/>
                <w:lang w:eastAsia="sv-SE"/>
              </w:rPr>
              <w:t xml:space="preserve"> always belongs to the registered SNPN).</w:t>
            </w:r>
          </w:p>
        </w:tc>
      </w:tr>
      <w:tr w:rsidR="00EF781F" w14:paraId="4A00C0C6"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1AD10074" w14:textId="77777777" w:rsidR="00EF781F" w:rsidRDefault="00EF781F">
            <w:pPr>
              <w:keepNext/>
              <w:keepLines/>
              <w:spacing w:after="0"/>
              <w:rPr>
                <w:rFonts w:ascii="Arial" w:hAnsi="Arial"/>
                <w:sz w:val="18"/>
                <w:szCs w:val="22"/>
                <w:lang w:eastAsia="sv-SE"/>
              </w:rPr>
            </w:pPr>
            <w:r>
              <w:rPr>
                <w:rFonts w:ascii="Arial" w:hAnsi="Arial"/>
                <w:b/>
                <w:i/>
                <w:sz w:val="18"/>
                <w:szCs w:val="22"/>
                <w:lang w:eastAsia="sv-SE"/>
              </w:rPr>
              <w:t>ran-AreaCells</w:t>
            </w:r>
          </w:p>
          <w:p w14:paraId="5F0B27BF"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The total number of cells of all PLMNs does not exceed 32.</w:t>
            </w:r>
          </w:p>
        </w:tc>
      </w:tr>
    </w:tbl>
    <w:p w14:paraId="19F04579"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44DF1DFD"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31A5E8C2" w14:textId="77777777" w:rsidR="00EF781F" w:rsidRDefault="00EF781F">
            <w:pPr>
              <w:keepNext/>
              <w:keepLines/>
              <w:spacing w:after="0"/>
              <w:jc w:val="center"/>
              <w:rPr>
                <w:rFonts w:ascii="Arial" w:hAnsi="Arial"/>
                <w:b/>
                <w:sz w:val="18"/>
                <w:lang w:eastAsia="sv-SE"/>
              </w:rPr>
            </w:pPr>
            <w:r>
              <w:rPr>
                <w:rFonts w:ascii="Arial" w:hAnsi="Arial"/>
                <w:b/>
                <w:bCs/>
                <w:i/>
                <w:iCs/>
                <w:sz w:val="18"/>
                <w:lang w:eastAsia="sv-SE"/>
              </w:rPr>
              <w:lastRenderedPageBreak/>
              <w:t>SDT-Config</w:t>
            </w:r>
            <w:r>
              <w:rPr>
                <w:rFonts w:ascii="Arial" w:hAnsi="Arial"/>
                <w:b/>
                <w:sz w:val="18"/>
                <w:lang w:eastAsia="sv-SE"/>
              </w:rPr>
              <w:t xml:space="preserve"> field descriptions</w:t>
            </w:r>
          </w:p>
        </w:tc>
      </w:tr>
      <w:tr w:rsidR="00EF781F" w14:paraId="23562CC3"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3E8E3FA3" w14:textId="77777777" w:rsidR="00EF781F" w:rsidRDefault="00EF781F">
            <w:pPr>
              <w:keepNext/>
              <w:keepLines/>
              <w:spacing w:after="0"/>
              <w:rPr>
                <w:rFonts w:ascii="Arial" w:hAnsi="Arial"/>
                <w:b/>
                <w:i/>
                <w:iCs/>
                <w:sz w:val="18"/>
                <w:lang w:eastAsia="ko-KR"/>
              </w:rPr>
            </w:pPr>
            <w:r>
              <w:rPr>
                <w:rFonts w:ascii="Arial" w:hAnsi="Arial"/>
                <w:b/>
                <w:i/>
                <w:iCs/>
                <w:sz w:val="18"/>
                <w:lang w:eastAsia="ko-KR"/>
              </w:rPr>
              <w:t>sdt-DRB-ContinueROHC</w:t>
            </w:r>
          </w:p>
          <w:p w14:paraId="722C2A0D" w14:textId="77777777" w:rsidR="00EF781F" w:rsidRDefault="00EF781F">
            <w:pPr>
              <w:keepNext/>
              <w:keepLines/>
              <w:spacing w:after="0"/>
              <w:rPr>
                <w:rFonts w:ascii="Arial" w:hAnsi="Arial"/>
                <w:b/>
                <w:i/>
                <w:noProof/>
                <w:sz w:val="18"/>
                <w:lang w:eastAsia="ko-KR"/>
              </w:rPr>
            </w:pPr>
            <w:r>
              <w:rPr>
                <w:rFonts w:ascii="Arial" w:hAnsi="Arial" w:cs="Arial"/>
                <w:sz w:val="18"/>
                <w:lang w:eastAsia="sv-SE"/>
              </w:rPr>
              <w:t xml:space="preserve">Indicates whether the PDCP entity of the radio bearers configured for SDT continues or resets the ROHC header compression protocol during PDCP re-establishment during SDT procedure, as specified in TS 38.323 [5]. Value </w:t>
            </w:r>
            <w:r>
              <w:rPr>
                <w:rFonts w:ascii="Arial" w:hAnsi="Arial" w:cs="Arial"/>
                <w:i/>
                <w:iCs/>
                <w:sz w:val="18"/>
                <w:lang w:eastAsia="sv-SE"/>
              </w:rPr>
              <w:t>cell</w:t>
            </w:r>
            <w:r>
              <w:rPr>
                <w:rFonts w:ascii="Arial" w:hAnsi="Arial" w:cs="Arial"/>
                <w:sz w:val="18"/>
                <w:lang w:eastAsia="sv-SE"/>
              </w:rPr>
              <w:t xml:space="preserve"> indicates that ROHC header compression continues when the UE resumes for SDT in the same cell as the PCell when the RRCRelease message was received. Value </w:t>
            </w:r>
            <w:r>
              <w:rPr>
                <w:rFonts w:ascii="Arial" w:hAnsi="Arial" w:cs="Arial"/>
                <w:i/>
                <w:iCs/>
                <w:sz w:val="18"/>
                <w:lang w:eastAsia="sv-SE"/>
              </w:rPr>
              <w:t>rna</w:t>
            </w:r>
            <w:r>
              <w:rPr>
                <w:rFonts w:ascii="Arial" w:hAnsi="Arial" w:cs="Arial"/>
                <w:sz w:val="18"/>
                <w:lang w:eastAsia="sv-SE"/>
              </w:rPr>
              <w:t xml:space="preserve"> indicates that ROHC header compression continues when the UE resumes for SDT in a cell belonging to the same RNA as the PCell where the RRCRelease message was received. If the field is absent, the UE releases any stored value for this field and the PDCP entity of the radio bearers configured for SDT always resets the ROHC header compression protocol during PDCP re-establishment when SDT procedure is initiated, as specified in TS 38.323 [5].</w:t>
            </w:r>
          </w:p>
        </w:tc>
      </w:tr>
      <w:tr w:rsidR="00EF781F" w14:paraId="109B19E9"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3BFFE804" w14:textId="77777777" w:rsidR="00EF781F" w:rsidRDefault="00EF781F">
            <w:pPr>
              <w:keepNext/>
              <w:keepLines/>
              <w:spacing w:after="0"/>
              <w:rPr>
                <w:rFonts w:ascii="Arial" w:hAnsi="Arial"/>
                <w:b/>
                <w:i/>
                <w:sz w:val="18"/>
                <w:szCs w:val="22"/>
                <w:lang w:eastAsia="sv-SE"/>
              </w:rPr>
            </w:pPr>
            <w:r>
              <w:rPr>
                <w:rFonts w:ascii="Arial" w:hAnsi="Arial"/>
                <w:b/>
                <w:i/>
                <w:sz w:val="18"/>
                <w:szCs w:val="22"/>
                <w:lang w:eastAsia="sv-SE"/>
              </w:rPr>
              <w:t>sdt-DRB-List</w:t>
            </w:r>
          </w:p>
          <w:p w14:paraId="6374BD9D" w14:textId="77777777" w:rsidR="00EF781F" w:rsidRDefault="00EF781F">
            <w:pPr>
              <w:keepNext/>
              <w:keepLines/>
              <w:spacing w:after="0"/>
              <w:rPr>
                <w:rFonts w:ascii="Arial" w:hAnsi="Arial"/>
                <w:i/>
                <w:sz w:val="18"/>
                <w:lang w:eastAsia="sv-SE"/>
              </w:rPr>
            </w:pPr>
            <w:r>
              <w:rPr>
                <w:rFonts w:ascii="Arial" w:hAnsi="Arial"/>
                <w:sz w:val="18"/>
                <w:lang w:eastAsia="sv-SE"/>
              </w:rPr>
              <w:t>Indicates the ID(s) of the DRB(s) that are configured for SDT. If size of the sequence is zero, then the UE assumes that none of the DRBs are configured for SDT. The network only configures MN terminated MCG bearers for SDT.</w:t>
            </w:r>
          </w:p>
        </w:tc>
      </w:tr>
      <w:tr w:rsidR="00EF781F" w14:paraId="2E56785E"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293DCC5F" w14:textId="77777777" w:rsidR="00EF781F" w:rsidRDefault="00EF781F">
            <w:pPr>
              <w:keepNext/>
              <w:keepLines/>
              <w:spacing w:after="0"/>
              <w:rPr>
                <w:rFonts w:ascii="Arial" w:hAnsi="Arial"/>
                <w:b/>
                <w:i/>
                <w:iCs/>
                <w:sz w:val="18"/>
                <w:lang w:eastAsia="ko-KR"/>
              </w:rPr>
            </w:pPr>
            <w:r>
              <w:rPr>
                <w:rFonts w:ascii="Arial" w:hAnsi="Arial"/>
                <w:b/>
                <w:i/>
                <w:iCs/>
                <w:sz w:val="18"/>
                <w:lang w:eastAsia="ko-KR"/>
              </w:rPr>
              <w:t>sdt-SRB2-Indication</w:t>
            </w:r>
          </w:p>
          <w:p w14:paraId="42D6325A" w14:textId="77777777" w:rsidR="00EF781F" w:rsidRDefault="00EF781F">
            <w:pPr>
              <w:keepNext/>
              <w:keepLines/>
              <w:spacing w:after="0"/>
              <w:rPr>
                <w:rFonts w:ascii="Arial" w:hAnsi="Arial"/>
                <w:sz w:val="18"/>
                <w:szCs w:val="22"/>
                <w:lang w:eastAsia="sv-SE"/>
              </w:rPr>
            </w:pPr>
            <w:r>
              <w:rPr>
                <w:rFonts w:ascii="Arial" w:hAnsi="Arial"/>
                <w:iCs/>
                <w:sz w:val="18"/>
                <w:lang w:eastAsia="ko-KR"/>
              </w:rPr>
              <w:t>Indiates whether SRB2 is configured for SDT or not.</w:t>
            </w:r>
          </w:p>
        </w:tc>
      </w:tr>
    </w:tbl>
    <w:p w14:paraId="4654878A"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47B5A02D"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33E0875C" w14:textId="77777777" w:rsidR="00EF781F" w:rsidRDefault="00EF781F">
            <w:pPr>
              <w:keepNext/>
              <w:keepLines/>
              <w:spacing w:after="0"/>
              <w:jc w:val="center"/>
              <w:rPr>
                <w:rFonts w:ascii="Arial" w:hAnsi="Arial"/>
                <w:b/>
                <w:sz w:val="18"/>
                <w:lang w:eastAsia="sv-SE"/>
              </w:rPr>
            </w:pPr>
            <w:r>
              <w:rPr>
                <w:rFonts w:ascii="Arial" w:hAnsi="Arial"/>
                <w:b/>
                <w:bCs/>
                <w:i/>
                <w:iCs/>
                <w:sz w:val="18"/>
                <w:lang w:eastAsia="sv-SE"/>
              </w:rPr>
              <w:t>SDT-MAC-PHY-CG-Config</w:t>
            </w:r>
            <w:r>
              <w:rPr>
                <w:rFonts w:ascii="Arial" w:hAnsi="Arial"/>
                <w:b/>
                <w:sz w:val="18"/>
                <w:lang w:eastAsia="sv-SE"/>
              </w:rPr>
              <w:t xml:space="preserve"> field descriptions</w:t>
            </w:r>
          </w:p>
        </w:tc>
      </w:tr>
      <w:tr w:rsidR="00EF781F" w14:paraId="060C14CB"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1DCEAA54" w14:textId="77777777" w:rsidR="00EF781F" w:rsidRDefault="00EF781F">
            <w:pPr>
              <w:keepNext/>
              <w:keepLines/>
              <w:spacing w:after="0"/>
              <w:rPr>
                <w:rFonts w:ascii="Arial" w:hAnsi="Arial"/>
                <w:b/>
                <w:bCs/>
                <w:i/>
                <w:iCs/>
                <w:sz w:val="18"/>
                <w:lang w:eastAsia="ko-KR"/>
              </w:rPr>
            </w:pPr>
            <w:r>
              <w:rPr>
                <w:rFonts w:ascii="Arial" w:hAnsi="Arial"/>
                <w:b/>
                <w:bCs/>
                <w:i/>
                <w:iCs/>
                <w:sz w:val="18"/>
                <w:lang w:eastAsia="ko-KR"/>
              </w:rPr>
              <w:t>cg-SDT-ConfigInitialBWP-DL</w:t>
            </w:r>
          </w:p>
          <w:p w14:paraId="1C69130A" w14:textId="77777777" w:rsidR="00EF781F" w:rsidRDefault="00EF781F">
            <w:pPr>
              <w:keepNext/>
              <w:keepLines/>
              <w:spacing w:after="0"/>
              <w:rPr>
                <w:rFonts w:ascii="Arial" w:hAnsi="Arial"/>
                <w:b/>
                <w:i/>
                <w:iCs/>
                <w:sz w:val="18"/>
                <w:lang w:eastAsia="ko-KR"/>
              </w:rPr>
            </w:pPr>
            <w:r>
              <w:rPr>
                <w:rFonts w:ascii="Arial" w:hAnsi="Arial" w:cs="Arial"/>
                <w:sz w:val="18"/>
                <w:lang w:eastAsia="sv-SE"/>
              </w:rPr>
              <w:t xml:space="preserve">Downlink BWP configuration for CG-SDT. If a UE is a RedCap UE and if the </w:t>
            </w:r>
            <w:r>
              <w:rPr>
                <w:rFonts w:ascii="Arial" w:hAnsi="Arial" w:cs="Arial"/>
                <w:i/>
                <w:sz w:val="18"/>
                <w:lang w:eastAsia="sv-SE"/>
              </w:rPr>
              <w:t>initialDownlinkBWP-RedCap</w:t>
            </w:r>
            <w:r>
              <w:rPr>
                <w:rFonts w:ascii="Arial" w:hAnsi="Arial" w:cs="Arial"/>
                <w:sz w:val="18"/>
                <w:lang w:eastAsia="sv-SE"/>
              </w:rPr>
              <w:t xml:space="preserve"> is configured in </w:t>
            </w:r>
            <w:r>
              <w:rPr>
                <w:rFonts w:ascii="Arial" w:hAnsi="Arial" w:cs="Arial"/>
                <w:i/>
                <w:sz w:val="18"/>
                <w:lang w:eastAsia="sv-SE"/>
              </w:rPr>
              <w:t>downlinkConfigCommon</w:t>
            </w:r>
            <w:r>
              <w:rPr>
                <w:rFonts w:ascii="Arial" w:hAnsi="Arial" w:cs="Arial"/>
                <w:sz w:val="18"/>
                <w:lang w:eastAsia="sv-SE"/>
              </w:rPr>
              <w:t xml:space="preserve"> in </w:t>
            </w:r>
            <w:r>
              <w:rPr>
                <w:rFonts w:ascii="Arial" w:hAnsi="Arial" w:cs="Arial"/>
                <w:i/>
                <w:sz w:val="18"/>
                <w:lang w:eastAsia="sv-SE"/>
              </w:rPr>
              <w:t>SIB1</w:t>
            </w:r>
            <w:r>
              <w:rPr>
                <w:rFonts w:ascii="Arial" w:hAnsi="Arial" w:cs="Arial"/>
                <w:sz w:val="18"/>
                <w:lang w:eastAsia="sv-SE"/>
              </w:rPr>
              <w:t xml:space="preserve">, this field is configured for </w:t>
            </w:r>
            <w:r>
              <w:rPr>
                <w:rFonts w:ascii="Arial" w:hAnsi="Arial" w:cs="Arial"/>
                <w:i/>
                <w:sz w:val="18"/>
                <w:lang w:eastAsia="sv-SE"/>
              </w:rPr>
              <w:t>initialDownlinkBWP-RedCap</w:t>
            </w:r>
            <w:r>
              <w:rPr>
                <w:rFonts w:ascii="Arial" w:hAnsi="Arial" w:cs="Arial"/>
                <w:sz w:val="18"/>
                <w:lang w:eastAsia="sv-SE"/>
              </w:rPr>
              <w:t xml:space="preserve">, otherwise it is configured for </w:t>
            </w:r>
            <w:r>
              <w:rPr>
                <w:rFonts w:ascii="Arial" w:hAnsi="Arial" w:cs="Arial"/>
                <w:i/>
                <w:sz w:val="18"/>
                <w:lang w:eastAsia="sv-SE"/>
              </w:rPr>
              <w:t>initialDownlinkBWP</w:t>
            </w:r>
            <w:r>
              <w:rPr>
                <w:rFonts w:ascii="Arial" w:hAnsi="Arial" w:cs="Arial"/>
                <w:sz w:val="18"/>
                <w:lang w:eastAsia="sv-SE"/>
              </w:rPr>
              <w:t>.</w:t>
            </w:r>
          </w:p>
        </w:tc>
      </w:tr>
      <w:tr w:rsidR="00EF781F" w14:paraId="53B95FC0"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18865F07" w14:textId="77777777" w:rsidR="00EF781F" w:rsidRDefault="00EF781F">
            <w:pPr>
              <w:keepNext/>
              <w:keepLines/>
              <w:spacing w:after="0"/>
              <w:rPr>
                <w:rFonts w:ascii="Arial" w:hAnsi="Arial"/>
                <w:b/>
                <w:bCs/>
                <w:i/>
                <w:iCs/>
                <w:sz w:val="18"/>
                <w:lang w:eastAsia="ko-KR"/>
              </w:rPr>
            </w:pPr>
            <w:r>
              <w:rPr>
                <w:rFonts w:ascii="Arial" w:hAnsi="Arial"/>
                <w:b/>
                <w:bCs/>
                <w:i/>
                <w:iCs/>
                <w:sz w:val="18"/>
                <w:lang w:eastAsia="ko-KR"/>
              </w:rPr>
              <w:t>cg-SDT-ConfigInitialBWP-NUL</w:t>
            </w:r>
          </w:p>
          <w:p w14:paraId="75F85A9E" w14:textId="77777777" w:rsidR="00EF781F" w:rsidRDefault="00EF781F">
            <w:pPr>
              <w:keepNext/>
              <w:keepLines/>
              <w:spacing w:after="0"/>
              <w:rPr>
                <w:rFonts w:ascii="Arial" w:hAnsi="Arial"/>
                <w:b/>
                <w:i/>
                <w:iCs/>
                <w:sz w:val="18"/>
                <w:lang w:eastAsia="ko-KR"/>
              </w:rPr>
            </w:pPr>
            <w:r>
              <w:rPr>
                <w:rFonts w:ascii="Arial" w:hAnsi="Arial" w:cs="Arial"/>
                <w:sz w:val="18"/>
                <w:lang w:eastAsia="sv-SE"/>
              </w:rPr>
              <w:t xml:space="preserve">UL BWP configuration for CG-SDT on NUL carrier. If a UE is a RedCap UE and if the </w:t>
            </w:r>
            <w:r>
              <w:rPr>
                <w:rFonts w:ascii="Arial" w:hAnsi="Arial" w:cs="Arial"/>
                <w:i/>
                <w:sz w:val="18"/>
                <w:lang w:eastAsia="sv-SE"/>
              </w:rPr>
              <w:t>initialUplinkBWP-RedCap</w:t>
            </w:r>
            <w:r>
              <w:rPr>
                <w:rFonts w:ascii="Arial" w:hAnsi="Arial" w:cs="Arial"/>
                <w:sz w:val="18"/>
                <w:lang w:eastAsia="sv-SE"/>
              </w:rPr>
              <w:t xml:space="preserve"> is configured in </w:t>
            </w:r>
            <w:r>
              <w:rPr>
                <w:rFonts w:ascii="Arial" w:hAnsi="Arial" w:cs="Arial"/>
                <w:i/>
                <w:sz w:val="18"/>
                <w:lang w:eastAsia="sv-SE"/>
              </w:rPr>
              <w:t>uplinkConfigCommon</w:t>
            </w:r>
            <w:r>
              <w:rPr>
                <w:rFonts w:ascii="Arial" w:hAnsi="Arial" w:cs="Arial"/>
                <w:sz w:val="18"/>
                <w:lang w:eastAsia="sv-SE"/>
              </w:rPr>
              <w:t xml:space="preserve"> in </w:t>
            </w:r>
            <w:r>
              <w:rPr>
                <w:rFonts w:ascii="Arial" w:hAnsi="Arial" w:cs="Arial"/>
                <w:i/>
                <w:sz w:val="18"/>
                <w:lang w:eastAsia="sv-SE"/>
              </w:rPr>
              <w:t>SIB1</w:t>
            </w:r>
            <w:r>
              <w:rPr>
                <w:rFonts w:ascii="Arial" w:hAnsi="Arial" w:cs="Arial"/>
                <w:sz w:val="18"/>
                <w:lang w:eastAsia="sv-SE"/>
              </w:rPr>
              <w:t xml:space="preserve">, this field is configured for </w:t>
            </w:r>
            <w:r>
              <w:rPr>
                <w:rFonts w:ascii="Arial" w:hAnsi="Arial" w:cs="Arial"/>
                <w:i/>
                <w:sz w:val="18"/>
                <w:lang w:eastAsia="sv-SE"/>
              </w:rPr>
              <w:t>initialUplinkBWP-RedCap</w:t>
            </w:r>
            <w:r>
              <w:rPr>
                <w:rFonts w:ascii="Arial" w:hAnsi="Arial" w:cs="Arial"/>
                <w:sz w:val="18"/>
                <w:lang w:eastAsia="sv-SE"/>
              </w:rPr>
              <w:t xml:space="preserve">, otherwise it is configured for </w:t>
            </w:r>
            <w:r>
              <w:rPr>
                <w:rFonts w:ascii="Arial" w:hAnsi="Arial" w:cs="Arial"/>
                <w:i/>
                <w:sz w:val="18"/>
                <w:lang w:eastAsia="sv-SE"/>
              </w:rPr>
              <w:t xml:space="preserve">initialUplinkBWP </w:t>
            </w:r>
            <w:r>
              <w:rPr>
                <w:rFonts w:ascii="Arial" w:hAnsi="Arial" w:cs="Arial"/>
                <w:iCs/>
                <w:sz w:val="18"/>
                <w:lang w:eastAsia="sv-SE"/>
              </w:rPr>
              <w:t>for NUL</w:t>
            </w:r>
            <w:r>
              <w:rPr>
                <w:rFonts w:ascii="Arial" w:hAnsi="Arial" w:cs="Arial"/>
                <w:sz w:val="18"/>
                <w:lang w:eastAsia="sv-SE"/>
              </w:rPr>
              <w:t>.</w:t>
            </w:r>
          </w:p>
        </w:tc>
      </w:tr>
      <w:tr w:rsidR="00EF781F" w14:paraId="444973E7"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099B2870" w14:textId="77777777" w:rsidR="00EF781F" w:rsidRDefault="00EF781F">
            <w:pPr>
              <w:keepNext/>
              <w:keepLines/>
              <w:spacing w:after="0"/>
              <w:rPr>
                <w:rFonts w:ascii="Arial" w:hAnsi="Arial"/>
                <w:b/>
                <w:bCs/>
                <w:i/>
                <w:iCs/>
                <w:sz w:val="18"/>
                <w:lang w:eastAsia="ko-KR"/>
              </w:rPr>
            </w:pPr>
            <w:r>
              <w:rPr>
                <w:rFonts w:ascii="Arial" w:hAnsi="Arial"/>
                <w:b/>
                <w:bCs/>
                <w:i/>
                <w:iCs/>
                <w:sz w:val="18"/>
                <w:lang w:eastAsia="ko-KR"/>
              </w:rPr>
              <w:t>cg-SDT-ConfigInitialBWP-SUL</w:t>
            </w:r>
          </w:p>
          <w:p w14:paraId="206B0271" w14:textId="77777777" w:rsidR="00EF781F" w:rsidRDefault="00EF781F">
            <w:pPr>
              <w:keepNext/>
              <w:keepLines/>
              <w:spacing w:after="0"/>
              <w:rPr>
                <w:rFonts w:ascii="Arial" w:hAnsi="Arial"/>
                <w:b/>
                <w:i/>
                <w:iCs/>
                <w:sz w:val="18"/>
                <w:lang w:eastAsia="ko-KR"/>
              </w:rPr>
            </w:pPr>
            <w:r>
              <w:rPr>
                <w:rFonts w:ascii="Arial" w:hAnsi="Arial" w:cs="Arial"/>
                <w:sz w:val="18"/>
                <w:lang w:eastAsia="sv-SE"/>
              </w:rPr>
              <w:t xml:space="preserve">UL BWP configuration for CG-SDT on SUL carrier configured for the </w:t>
            </w:r>
            <w:r>
              <w:rPr>
                <w:rFonts w:ascii="Arial" w:hAnsi="Arial" w:cs="Arial"/>
                <w:i/>
                <w:iCs/>
                <w:sz w:val="18"/>
                <w:lang w:eastAsia="sv-SE"/>
              </w:rPr>
              <w:t>initialUplinkBWP</w:t>
            </w:r>
            <w:r>
              <w:rPr>
                <w:rFonts w:ascii="Arial" w:hAnsi="Arial" w:cs="Arial"/>
                <w:sz w:val="18"/>
                <w:lang w:eastAsia="sv-SE"/>
              </w:rPr>
              <w:t xml:space="preserve"> for SUL.</w:t>
            </w:r>
          </w:p>
        </w:tc>
      </w:tr>
      <w:tr w:rsidR="00EF781F" w14:paraId="182C4181"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50F0505D" w14:textId="77777777" w:rsidR="00EF781F" w:rsidRDefault="00EF781F">
            <w:pPr>
              <w:keepNext/>
              <w:keepLines/>
              <w:spacing w:after="0"/>
              <w:rPr>
                <w:rFonts w:ascii="Arial" w:hAnsi="Arial"/>
                <w:b/>
                <w:i/>
                <w:iCs/>
                <w:sz w:val="18"/>
                <w:lang w:eastAsia="ko-KR"/>
              </w:rPr>
            </w:pPr>
            <w:r>
              <w:rPr>
                <w:rFonts w:ascii="Arial" w:hAnsi="Arial"/>
                <w:b/>
                <w:i/>
                <w:iCs/>
                <w:sz w:val="18"/>
                <w:lang w:eastAsia="ko-KR"/>
              </w:rPr>
              <w:t>cg-SDT-CS-RNTI</w:t>
            </w:r>
          </w:p>
          <w:p w14:paraId="2E47EBC2" w14:textId="77777777" w:rsidR="00EF781F" w:rsidRDefault="00EF781F">
            <w:pPr>
              <w:keepNext/>
              <w:keepLines/>
              <w:spacing w:after="0"/>
              <w:rPr>
                <w:rFonts w:ascii="Arial" w:hAnsi="Arial"/>
                <w:sz w:val="18"/>
                <w:lang w:eastAsia="sv-SE"/>
              </w:rPr>
            </w:pPr>
            <w:r>
              <w:rPr>
                <w:rFonts w:ascii="Arial" w:hAnsi="Arial" w:cs="Arial"/>
                <w:sz w:val="18"/>
                <w:lang w:eastAsia="sv-SE"/>
              </w:rPr>
              <w:t>The CS-RNTI value for CG-SDT as specified in TS 38.321 [3].</w:t>
            </w:r>
          </w:p>
        </w:tc>
      </w:tr>
      <w:tr w:rsidR="00EF781F" w14:paraId="1997F1C6"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74D9A509" w14:textId="77777777" w:rsidR="00EF781F" w:rsidRDefault="00EF781F">
            <w:pPr>
              <w:keepNext/>
              <w:keepLines/>
              <w:spacing w:after="0"/>
              <w:rPr>
                <w:rFonts w:ascii="Arial" w:hAnsi="Arial"/>
                <w:b/>
                <w:i/>
                <w:iCs/>
                <w:sz w:val="18"/>
                <w:lang w:eastAsia="ko-KR"/>
              </w:rPr>
            </w:pPr>
            <w:r>
              <w:rPr>
                <w:rFonts w:ascii="Arial" w:hAnsi="Arial"/>
                <w:b/>
                <w:i/>
                <w:iCs/>
                <w:sz w:val="18"/>
                <w:lang w:eastAsia="ko-KR"/>
              </w:rPr>
              <w:t>cg-SDT-RSRP-ThresholdSSB</w:t>
            </w:r>
          </w:p>
          <w:p w14:paraId="5C9D4CCB" w14:textId="77777777" w:rsidR="00EF781F" w:rsidRDefault="00EF781F">
            <w:pPr>
              <w:keepNext/>
              <w:keepLines/>
              <w:spacing w:after="0"/>
              <w:rPr>
                <w:rFonts w:ascii="Arial" w:hAnsi="Arial"/>
                <w:b/>
                <w:i/>
                <w:iCs/>
                <w:sz w:val="18"/>
                <w:lang w:eastAsia="ko-KR"/>
              </w:rPr>
            </w:pPr>
            <w:r>
              <w:rPr>
                <w:rFonts w:ascii="Arial" w:hAnsi="Arial" w:cs="Arial"/>
                <w:sz w:val="18"/>
                <w:lang w:eastAsia="sv-SE"/>
              </w:rPr>
              <w:t>An RSRP threshold configured for SSB selection for CG-SDT as specified in TS 38.321 [3].</w:t>
            </w:r>
          </w:p>
        </w:tc>
      </w:tr>
      <w:tr w:rsidR="00EF781F" w14:paraId="3D677F67"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7522ED3A" w14:textId="77777777" w:rsidR="00EF781F" w:rsidRDefault="00EF781F">
            <w:pPr>
              <w:keepNext/>
              <w:keepLines/>
              <w:spacing w:after="0"/>
              <w:rPr>
                <w:rFonts w:ascii="Arial" w:hAnsi="Arial"/>
                <w:b/>
                <w:i/>
                <w:iCs/>
                <w:sz w:val="18"/>
                <w:lang w:eastAsia="ko-KR"/>
              </w:rPr>
            </w:pPr>
            <w:r>
              <w:rPr>
                <w:rFonts w:ascii="Arial" w:hAnsi="Arial"/>
                <w:b/>
                <w:i/>
                <w:iCs/>
                <w:sz w:val="18"/>
                <w:lang w:eastAsia="ko-KR"/>
              </w:rPr>
              <w:t>cg-SDT-TA-ValidationConfig</w:t>
            </w:r>
          </w:p>
          <w:p w14:paraId="57F3C208" w14:textId="77777777" w:rsidR="00EF781F" w:rsidRDefault="00EF781F">
            <w:pPr>
              <w:keepNext/>
              <w:keepLines/>
              <w:spacing w:after="0"/>
              <w:rPr>
                <w:rFonts w:ascii="Arial" w:hAnsi="Arial"/>
                <w:b/>
                <w:i/>
                <w:iCs/>
                <w:sz w:val="18"/>
                <w:lang w:eastAsia="ko-KR"/>
              </w:rPr>
            </w:pPr>
            <w:r>
              <w:rPr>
                <w:rFonts w:ascii="Arial" w:hAnsi="Arial" w:cs="Arial"/>
                <w:sz w:val="18"/>
                <w:lang w:eastAsia="sv-SE"/>
              </w:rPr>
              <w:t>Configuration for the RSRP based TA validation. If this field is not configured, then the UE does not perform RSRP based TA validation.</w:t>
            </w:r>
          </w:p>
        </w:tc>
      </w:tr>
      <w:tr w:rsidR="00EF781F" w14:paraId="2AAE6176"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468F6BBB" w14:textId="77777777" w:rsidR="00EF781F" w:rsidRDefault="00EF781F">
            <w:pPr>
              <w:keepNext/>
              <w:keepLines/>
              <w:spacing w:after="0"/>
              <w:rPr>
                <w:rFonts w:ascii="Arial" w:hAnsi="Arial"/>
                <w:b/>
                <w:i/>
                <w:iCs/>
                <w:sz w:val="18"/>
                <w:lang w:eastAsia="ko-KR"/>
              </w:rPr>
            </w:pPr>
            <w:r>
              <w:rPr>
                <w:rFonts w:ascii="Arial" w:hAnsi="Arial"/>
                <w:b/>
                <w:i/>
                <w:iCs/>
                <w:sz w:val="18"/>
                <w:lang w:eastAsia="ko-KR"/>
              </w:rPr>
              <w:t>cg-SDT-timeAlignmentTimer</w:t>
            </w:r>
          </w:p>
          <w:p w14:paraId="0724D28F" w14:textId="77777777" w:rsidR="00EF781F" w:rsidRDefault="00EF781F">
            <w:pPr>
              <w:keepNext/>
              <w:keepLines/>
              <w:spacing w:after="0"/>
              <w:rPr>
                <w:rFonts w:ascii="Arial" w:hAnsi="Arial"/>
                <w:b/>
                <w:i/>
                <w:iCs/>
                <w:sz w:val="18"/>
                <w:lang w:eastAsia="ko-KR"/>
              </w:rPr>
            </w:pPr>
            <w:r>
              <w:rPr>
                <w:rFonts w:ascii="Arial" w:hAnsi="Arial" w:cs="Arial"/>
                <w:sz w:val="18"/>
                <w:lang w:eastAsia="sv-SE"/>
              </w:rPr>
              <w:t xml:space="preserve">TAT value for CG-SDT as specified in TS 38.321 [3]. The network always configures this field when </w:t>
            </w:r>
            <w:r>
              <w:rPr>
                <w:rFonts w:ascii="Arial" w:hAnsi="Arial"/>
                <w:i/>
                <w:iCs/>
                <w:sz w:val="18"/>
              </w:rPr>
              <w:t>sdt-MAC-PHY-CG-Config</w:t>
            </w:r>
            <w:r>
              <w:rPr>
                <w:rFonts w:ascii="Arial" w:hAnsi="Arial" w:cs="Arial"/>
                <w:sz w:val="18"/>
                <w:lang w:eastAsia="sv-SE"/>
              </w:rPr>
              <w:t xml:space="preserve"> is configured.</w:t>
            </w:r>
          </w:p>
        </w:tc>
      </w:tr>
    </w:tbl>
    <w:p w14:paraId="7EDDB777"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5FB3D1C2"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1AD45B00" w14:textId="77777777" w:rsidR="00EF781F" w:rsidRDefault="00EF781F">
            <w:pPr>
              <w:keepNext/>
              <w:keepLines/>
              <w:spacing w:after="0"/>
              <w:jc w:val="center"/>
              <w:rPr>
                <w:rFonts w:ascii="Arial" w:hAnsi="Arial"/>
                <w:b/>
                <w:sz w:val="18"/>
                <w:lang w:eastAsia="sv-SE"/>
              </w:rPr>
            </w:pPr>
            <w:r>
              <w:rPr>
                <w:rFonts w:ascii="Arial" w:hAnsi="Arial"/>
                <w:b/>
                <w:i/>
                <w:iCs/>
                <w:sz w:val="18"/>
              </w:rPr>
              <w:lastRenderedPageBreak/>
              <w:t>CG-SDT-ConfigLCH-Restriction</w:t>
            </w:r>
            <w:r>
              <w:rPr>
                <w:rFonts w:ascii="Arial" w:hAnsi="Arial"/>
                <w:b/>
                <w:sz w:val="18"/>
                <w:lang w:eastAsia="sv-SE"/>
              </w:rPr>
              <w:t xml:space="preserve"> field descriptions</w:t>
            </w:r>
          </w:p>
        </w:tc>
      </w:tr>
      <w:tr w:rsidR="00EF781F" w14:paraId="47FD4159" w14:textId="77777777" w:rsidTr="00EF781F">
        <w:trPr>
          <w:trHeight w:val="90"/>
        </w:trPr>
        <w:tc>
          <w:tcPr>
            <w:tcW w:w="14173" w:type="dxa"/>
            <w:tcBorders>
              <w:top w:val="single" w:sz="4" w:space="0" w:color="auto"/>
              <w:left w:val="single" w:sz="4" w:space="0" w:color="auto"/>
              <w:bottom w:val="single" w:sz="4" w:space="0" w:color="auto"/>
              <w:right w:val="single" w:sz="4" w:space="0" w:color="auto"/>
            </w:tcBorders>
            <w:hideMark/>
          </w:tcPr>
          <w:p w14:paraId="1082F99D" w14:textId="77777777" w:rsidR="00EF781F" w:rsidRDefault="00EF781F">
            <w:pPr>
              <w:keepNext/>
              <w:keepLines/>
              <w:spacing w:after="0"/>
              <w:rPr>
                <w:rFonts w:ascii="Arial" w:hAnsi="Arial"/>
                <w:b/>
                <w:bCs/>
                <w:i/>
                <w:iCs/>
                <w:sz w:val="18"/>
              </w:rPr>
            </w:pPr>
            <w:r>
              <w:rPr>
                <w:rFonts w:ascii="Arial" w:hAnsi="Arial"/>
                <w:b/>
                <w:bCs/>
                <w:i/>
                <w:iCs/>
                <w:sz w:val="18"/>
              </w:rPr>
              <w:t>allowedCG-List</w:t>
            </w:r>
          </w:p>
          <w:p w14:paraId="0BAEB25D" w14:textId="77777777" w:rsidR="00EF781F" w:rsidRDefault="00EF781F">
            <w:pPr>
              <w:keepNext/>
              <w:keepLines/>
              <w:spacing w:after="0"/>
              <w:rPr>
                <w:rFonts w:ascii="Arial" w:eastAsia="宋体" w:hAnsi="Arial"/>
                <w:sz w:val="18"/>
                <w:lang w:eastAsia="zh-CN"/>
              </w:rPr>
            </w:pPr>
            <w:r>
              <w:rPr>
                <w:rFonts w:ascii="Arial" w:hAnsi="Arial"/>
                <w:sz w:val="18"/>
                <w:lang w:eastAsia="sv-SE"/>
              </w:rPr>
              <w:t>This restriction applies only when the UL grant is a configured grant</w:t>
            </w:r>
            <w:r>
              <w:rPr>
                <w:rFonts w:ascii="Arial" w:eastAsia="宋体" w:hAnsi="Arial"/>
                <w:sz w:val="18"/>
                <w:lang w:eastAsia="zh-CN"/>
              </w:rPr>
              <w:t xml:space="preserve"> for CG-SDT</w:t>
            </w:r>
            <w:r>
              <w:rPr>
                <w:rFonts w:ascii="Arial" w:hAnsi="Arial"/>
                <w:sz w:val="18"/>
                <w:lang w:eastAsia="sv-SE"/>
              </w:rPr>
              <w:t xml:space="preserve">. If present, UL MAC SDUs from this logical channel can only be mapped to the indicated CG-SDT configured grant configuration. If the size of the sequence is zero, then UL MAC SDUs from this logical channel cannot be mapped to any CG-SDT configured grant configurations. If the field is not present, UL MAC SDUs from this logical channel can be mapped to any CG-SDT configured grant configurations. If the field </w:t>
            </w:r>
            <w:r>
              <w:rPr>
                <w:rFonts w:ascii="Arial" w:hAnsi="Arial"/>
                <w:i/>
                <w:iCs/>
                <w:sz w:val="18"/>
                <w:lang w:eastAsia="sv-SE"/>
              </w:rPr>
              <w:t xml:space="preserve">configuredGrantType1Allowed </w:t>
            </w:r>
            <w:r>
              <w:rPr>
                <w:rFonts w:ascii="Arial" w:hAnsi="Arial"/>
                <w:sz w:val="18"/>
                <w:lang w:eastAsia="sv-SE"/>
              </w:rPr>
              <w:t xml:space="preserve">is present, only those CG-SDT configured grant type 1 configurations </w:t>
            </w:r>
            <w:r>
              <w:rPr>
                <w:rFonts w:ascii="Arial" w:hAnsi="Arial" w:cs="Arial"/>
                <w:sz w:val="18"/>
                <w:szCs w:val="18"/>
              </w:rPr>
              <w:t xml:space="preserve">indicated in this sequence are allowed for use by this logical channel; </w:t>
            </w:r>
            <w:r>
              <w:rPr>
                <w:rFonts w:ascii="Arial" w:hAnsi="Arial"/>
                <w:sz w:val="18"/>
                <w:lang w:eastAsia="sv-SE"/>
              </w:rPr>
              <w:t xml:space="preserve">otherwise, </w:t>
            </w:r>
            <w:r>
              <w:rPr>
                <w:rFonts w:ascii="Arial" w:hAnsi="Arial" w:cs="Arial"/>
                <w:sz w:val="18"/>
                <w:szCs w:val="18"/>
              </w:rPr>
              <w:t xml:space="preserve">this sequence shall not include any CG-SDT </w:t>
            </w:r>
            <w:r>
              <w:rPr>
                <w:rFonts w:ascii="Arial" w:hAnsi="Arial"/>
                <w:sz w:val="18"/>
                <w:lang w:eastAsia="sv-SE"/>
              </w:rPr>
              <w:t>configured grant type 1 configuration. Corresponds to "</w:t>
            </w:r>
            <w:r>
              <w:rPr>
                <w:rFonts w:ascii="Arial" w:hAnsi="Arial"/>
                <w:i/>
                <w:iCs/>
                <w:sz w:val="18"/>
                <w:lang w:eastAsia="sv-SE"/>
              </w:rPr>
              <w:t>allowedCG</w:t>
            </w:r>
            <w:r>
              <w:rPr>
                <w:rFonts w:ascii="Arial" w:hAnsi="Arial"/>
                <w:sz w:val="18"/>
                <w:lang w:eastAsia="sv-SE"/>
              </w:rPr>
              <w:t>-</w:t>
            </w:r>
            <w:r>
              <w:rPr>
                <w:rFonts w:ascii="Arial" w:hAnsi="Arial"/>
                <w:i/>
                <w:iCs/>
                <w:sz w:val="18"/>
                <w:lang w:eastAsia="sv-SE"/>
              </w:rPr>
              <w:t>List</w:t>
            </w:r>
            <w:r>
              <w:rPr>
                <w:rFonts w:ascii="Arial" w:hAnsi="Arial"/>
                <w:sz w:val="18"/>
                <w:lang w:eastAsia="sv-SE"/>
              </w:rPr>
              <w:t>" as specified in TS 38.321 [3].</w:t>
            </w:r>
          </w:p>
        </w:tc>
      </w:tr>
      <w:tr w:rsidR="00EF781F" w14:paraId="684F45AB" w14:textId="77777777" w:rsidTr="00EF781F">
        <w:trPr>
          <w:trHeight w:val="90"/>
        </w:trPr>
        <w:tc>
          <w:tcPr>
            <w:tcW w:w="14173" w:type="dxa"/>
            <w:tcBorders>
              <w:top w:val="single" w:sz="4" w:space="0" w:color="auto"/>
              <w:left w:val="single" w:sz="4" w:space="0" w:color="auto"/>
              <w:bottom w:val="single" w:sz="4" w:space="0" w:color="auto"/>
              <w:right w:val="single" w:sz="4" w:space="0" w:color="auto"/>
            </w:tcBorders>
            <w:hideMark/>
          </w:tcPr>
          <w:p w14:paraId="59C0C993" w14:textId="77777777" w:rsidR="00EF781F" w:rsidRDefault="00EF781F">
            <w:pPr>
              <w:keepNext/>
              <w:keepLines/>
              <w:spacing w:after="0"/>
              <w:rPr>
                <w:rFonts w:ascii="Arial" w:hAnsi="Arial"/>
                <w:b/>
                <w:bCs/>
                <w:i/>
                <w:iCs/>
                <w:sz w:val="18"/>
              </w:rPr>
            </w:pPr>
            <w:r>
              <w:rPr>
                <w:rFonts w:ascii="Arial" w:hAnsi="Arial"/>
                <w:b/>
                <w:bCs/>
                <w:i/>
                <w:iCs/>
                <w:sz w:val="18"/>
              </w:rPr>
              <w:t>configuredGrantType1Allowed</w:t>
            </w:r>
          </w:p>
          <w:p w14:paraId="5401E8DD" w14:textId="77777777" w:rsidR="00EF781F" w:rsidRDefault="00EF781F">
            <w:pPr>
              <w:keepNext/>
              <w:keepLines/>
              <w:spacing w:after="0"/>
              <w:rPr>
                <w:rFonts w:ascii="Arial" w:hAnsi="Arial"/>
                <w:sz w:val="18"/>
              </w:rPr>
            </w:pPr>
            <w:r>
              <w:rPr>
                <w:rFonts w:ascii="Arial" w:hAnsi="Arial"/>
                <w:sz w:val="18"/>
              </w:rPr>
              <w:t xml:space="preserve">If present, or if the capability </w:t>
            </w:r>
            <w:r>
              <w:rPr>
                <w:rFonts w:ascii="Arial" w:hAnsi="Arial"/>
                <w:i/>
                <w:iCs/>
                <w:sz w:val="18"/>
              </w:rPr>
              <w:t>lcp-Restriction</w:t>
            </w:r>
            <w:r>
              <w:rPr>
                <w:rFonts w:ascii="Arial" w:hAnsi="Arial"/>
                <w:sz w:val="18"/>
              </w:rPr>
              <w:t xml:space="preserve"> as specified in TS 38.306 [26] is not supported, UL MAC SDUs from this logical channel can be transmitted on a configured grant type 1 for CG-SDT. Otherwise, UL MAC SDUs from this logical channel cannot be transmitted on a configured grant type 1 for CG-SDT. Corresponds to "</w:t>
            </w:r>
            <w:r>
              <w:rPr>
                <w:rFonts w:ascii="Arial" w:hAnsi="Arial"/>
                <w:i/>
                <w:iCs/>
                <w:sz w:val="18"/>
              </w:rPr>
              <w:t>configuredGrantType1Allowed</w:t>
            </w:r>
            <w:r>
              <w:rPr>
                <w:rFonts w:ascii="Arial" w:hAnsi="Arial"/>
                <w:sz w:val="18"/>
              </w:rPr>
              <w:t>" in TS 38.321 [3].</w:t>
            </w:r>
          </w:p>
        </w:tc>
      </w:tr>
      <w:tr w:rsidR="00EF781F" w14:paraId="1841AB3C" w14:textId="77777777" w:rsidTr="00EF781F">
        <w:trPr>
          <w:trHeight w:val="90"/>
        </w:trPr>
        <w:tc>
          <w:tcPr>
            <w:tcW w:w="14173" w:type="dxa"/>
            <w:tcBorders>
              <w:top w:val="single" w:sz="4" w:space="0" w:color="auto"/>
              <w:left w:val="single" w:sz="4" w:space="0" w:color="auto"/>
              <w:bottom w:val="single" w:sz="4" w:space="0" w:color="auto"/>
              <w:right w:val="single" w:sz="4" w:space="0" w:color="auto"/>
            </w:tcBorders>
            <w:hideMark/>
          </w:tcPr>
          <w:p w14:paraId="443093BA" w14:textId="77777777" w:rsidR="00EF781F" w:rsidRDefault="00EF781F">
            <w:pPr>
              <w:keepNext/>
              <w:keepLines/>
              <w:spacing w:after="0"/>
              <w:rPr>
                <w:rFonts w:ascii="Arial" w:hAnsi="Arial"/>
                <w:b/>
                <w:bCs/>
                <w:i/>
                <w:iCs/>
                <w:sz w:val="18"/>
              </w:rPr>
            </w:pPr>
            <w:r>
              <w:rPr>
                <w:rFonts w:ascii="Arial" w:hAnsi="Arial"/>
                <w:b/>
                <w:bCs/>
                <w:i/>
                <w:iCs/>
                <w:sz w:val="18"/>
              </w:rPr>
              <w:t>logicalChannelIdentity</w:t>
            </w:r>
          </w:p>
          <w:p w14:paraId="16A021E9" w14:textId="77777777" w:rsidR="00EF781F" w:rsidRDefault="00EF781F">
            <w:pPr>
              <w:keepNext/>
              <w:keepLines/>
              <w:spacing w:after="0"/>
              <w:rPr>
                <w:rFonts w:ascii="Arial" w:hAnsi="Arial"/>
                <w:sz w:val="18"/>
              </w:rPr>
            </w:pPr>
            <w:r>
              <w:rPr>
                <w:rFonts w:ascii="Arial" w:hAnsi="Arial"/>
                <w:sz w:val="18"/>
              </w:rPr>
              <w:t xml:space="preserve">ID used commonly for the MAC logical channel and for the RLC bearer associated with a </w:t>
            </w:r>
            <w:r>
              <w:rPr>
                <w:rFonts w:ascii="Arial" w:hAnsi="Arial"/>
                <w:i/>
                <w:iCs/>
                <w:sz w:val="18"/>
              </w:rPr>
              <w:t>servedRadioBearer</w:t>
            </w:r>
            <w:r>
              <w:rPr>
                <w:rFonts w:ascii="Arial" w:hAnsi="Arial"/>
                <w:sz w:val="18"/>
              </w:rPr>
              <w:t xml:space="preserve"> configured for SDT.</w:t>
            </w:r>
          </w:p>
        </w:tc>
      </w:tr>
    </w:tbl>
    <w:p w14:paraId="2A52CA21"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2449D6CD"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452129B5" w14:textId="77777777" w:rsidR="00EF781F" w:rsidRDefault="00EF781F">
            <w:pPr>
              <w:keepNext/>
              <w:keepLines/>
              <w:spacing w:after="0"/>
              <w:jc w:val="center"/>
              <w:rPr>
                <w:rFonts w:ascii="Arial" w:hAnsi="Arial"/>
                <w:b/>
                <w:sz w:val="18"/>
                <w:lang w:eastAsia="sv-SE"/>
              </w:rPr>
            </w:pPr>
            <w:r>
              <w:rPr>
                <w:rFonts w:ascii="Arial" w:hAnsi="Arial"/>
                <w:b/>
                <w:bCs/>
                <w:i/>
                <w:iCs/>
                <w:sz w:val="18"/>
                <w:lang w:eastAsia="sv-SE"/>
              </w:rPr>
              <w:t>CG-SDT-TA-ValidationConfig</w:t>
            </w:r>
            <w:r>
              <w:rPr>
                <w:rFonts w:ascii="Arial" w:hAnsi="Arial"/>
                <w:b/>
                <w:sz w:val="18"/>
                <w:lang w:eastAsia="sv-SE"/>
              </w:rPr>
              <w:t xml:space="preserve"> field descriptions</w:t>
            </w:r>
          </w:p>
        </w:tc>
      </w:tr>
      <w:tr w:rsidR="00EF781F" w14:paraId="01CCBF7C"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3FC24C57" w14:textId="77777777" w:rsidR="00EF781F" w:rsidRDefault="00EF781F">
            <w:pPr>
              <w:keepNext/>
              <w:keepLines/>
              <w:spacing w:after="0"/>
              <w:rPr>
                <w:rFonts w:ascii="Arial" w:hAnsi="Arial"/>
                <w:b/>
                <w:i/>
                <w:iCs/>
                <w:sz w:val="18"/>
                <w:lang w:eastAsia="ko-KR"/>
              </w:rPr>
            </w:pPr>
            <w:r>
              <w:rPr>
                <w:rFonts w:ascii="Arial" w:hAnsi="Arial"/>
                <w:b/>
                <w:i/>
                <w:iCs/>
                <w:sz w:val="18"/>
                <w:lang w:eastAsia="ko-KR"/>
              </w:rPr>
              <w:t>cg-SDT-RSRP-ChangeThreshold</w:t>
            </w:r>
          </w:p>
          <w:p w14:paraId="1BF78597" w14:textId="77777777" w:rsidR="00EF781F" w:rsidRDefault="00EF781F">
            <w:pPr>
              <w:keepNext/>
              <w:keepLines/>
              <w:spacing w:after="0"/>
              <w:rPr>
                <w:rFonts w:ascii="Arial" w:hAnsi="Arial"/>
                <w:b/>
                <w:i/>
                <w:iCs/>
                <w:sz w:val="18"/>
                <w:lang w:eastAsia="ko-KR"/>
              </w:rPr>
            </w:pPr>
            <w:r>
              <w:rPr>
                <w:rFonts w:ascii="Arial" w:hAnsi="Arial" w:cs="Arial"/>
                <w:sz w:val="18"/>
                <w:lang w:eastAsia="sv-SE"/>
              </w:rPr>
              <w:t xml:space="preserve">The RSRP threshold for TA validation for CG-SDT as specified in TS 38.321 [3]. Value </w:t>
            </w:r>
            <w:r>
              <w:rPr>
                <w:rFonts w:ascii="Arial" w:hAnsi="Arial" w:cs="Arial"/>
                <w:i/>
                <w:iCs/>
                <w:sz w:val="18"/>
                <w:lang w:eastAsia="sv-SE"/>
              </w:rPr>
              <w:t>dB2</w:t>
            </w:r>
            <w:r>
              <w:rPr>
                <w:rFonts w:ascii="Arial" w:hAnsi="Arial" w:cs="Arial"/>
                <w:sz w:val="18"/>
                <w:lang w:eastAsia="sv-SE"/>
              </w:rPr>
              <w:t xml:space="preserve"> corresponds to 2 dB, value </w:t>
            </w:r>
            <w:r>
              <w:rPr>
                <w:rFonts w:ascii="Arial" w:hAnsi="Arial" w:cs="Arial"/>
                <w:i/>
                <w:iCs/>
                <w:sz w:val="18"/>
                <w:lang w:eastAsia="sv-SE"/>
              </w:rPr>
              <w:t>dB4</w:t>
            </w:r>
            <w:r>
              <w:rPr>
                <w:rFonts w:ascii="Arial" w:hAnsi="Arial" w:cs="Arial"/>
                <w:sz w:val="18"/>
                <w:lang w:eastAsia="sv-SE"/>
              </w:rPr>
              <w:t xml:space="preserve"> corresponds to 4 dB and so on.</w:t>
            </w:r>
          </w:p>
        </w:tc>
      </w:tr>
    </w:tbl>
    <w:p w14:paraId="26DAB26B"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006F4C08"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2EFB7975" w14:textId="77777777" w:rsidR="00EF781F" w:rsidRDefault="00EF781F">
            <w:pPr>
              <w:keepNext/>
              <w:keepLines/>
              <w:spacing w:after="0"/>
              <w:jc w:val="center"/>
              <w:rPr>
                <w:rFonts w:ascii="Arial" w:hAnsi="Arial"/>
                <w:b/>
                <w:sz w:val="18"/>
                <w:lang w:eastAsia="sv-SE"/>
              </w:rPr>
            </w:pPr>
            <w:r>
              <w:rPr>
                <w:rFonts w:ascii="Arial" w:hAnsi="Arial"/>
                <w:b/>
                <w:i/>
                <w:iCs/>
                <w:sz w:val="18"/>
                <w:lang w:eastAsia="sv-SE"/>
              </w:rPr>
              <w:t>SRS-PosRRC-InactiveConfig</w:t>
            </w:r>
            <w:r>
              <w:rPr>
                <w:rFonts w:ascii="Arial" w:hAnsi="Arial"/>
                <w:b/>
                <w:sz w:val="18"/>
                <w:lang w:eastAsia="sv-SE"/>
              </w:rPr>
              <w:t xml:space="preserve"> field descriptions</w:t>
            </w:r>
          </w:p>
        </w:tc>
      </w:tr>
      <w:tr w:rsidR="00EF781F" w14:paraId="001B6D2B"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48C4902B" w14:textId="77777777" w:rsidR="00EF781F" w:rsidRDefault="00EF781F">
            <w:pPr>
              <w:keepNext/>
              <w:keepLines/>
              <w:spacing w:after="0"/>
              <w:rPr>
                <w:rFonts w:ascii="Arial" w:hAnsi="Arial"/>
                <w:b/>
                <w:i/>
                <w:sz w:val="18"/>
                <w:lang w:eastAsia="sv-SE"/>
              </w:rPr>
            </w:pPr>
            <w:r>
              <w:rPr>
                <w:rFonts w:ascii="Arial" w:hAnsi="Arial"/>
                <w:b/>
                <w:i/>
                <w:sz w:val="18"/>
                <w:lang w:eastAsia="sv-SE"/>
              </w:rPr>
              <w:t>bwp-NUL</w:t>
            </w:r>
          </w:p>
          <w:p w14:paraId="37DBA37B" w14:textId="77777777" w:rsidR="00EF781F" w:rsidRDefault="00EF781F">
            <w:pPr>
              <w:keepNext/>
              <w:keepLines/>
              <w:spacing w:after="0"/>
              <w:rPr>
                <w:rFonts w:ascii="Arial" w:hAnsi="Arial"/>
                <w:b/>
                <w:i/>
                <w:sz w:val="18"/>
                <w:lang w:eastAsia="sv-SE"/>
              </w:rPr>
            </w:pPr>
            <w:r>
              <w:rPr>
                <w:rFonts w:ascii="Arial" w:hAnsi="Arial"/>
                <w:sz w:val="18"/>
                <w:lang w:eastAsia="sv-SE"/>
              </w:rPr>
              <w:t xml:space="preserve">BWP configuration for SRS for Positioning during the RRC_INACTIVE state in Normal Uplink Carrier. If the field is absent </w:t>
            </w:r>
            <w:r>
              <w:rPr>
                <w:rFonts w:ascii="Arial" w:hAnsi="Arial"/>
                <w:sz w:val="18"/>
                <w:lang w:eastAsia="zh-CN"/>
              </w:rPr>
              <w:t>UE is configured with an SRS for Positioning associated with the initial UL BWP and transmitted, during the RRC_INACTIVE state, inside the initial UL BWP with the same CP and SCS as configured for initial UL BWP.</w:t>
            </w:r>
          </w:p>
        </w:tc>
      </w:tr>
      <w:tr w:rsidR="00EF781F" w14:paraId="0DC0B5EE"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3737C90A" w14:textId="77777777" w:rsidR="00EF781F" w:rsidRDefault="00EF781F">
            <w:pPr>
              <w:keepNext/>
              <w:keepLines/>
              <w:spacing w:after="0"/>
              <w:rPr>
                <w:rFonts w:ascii="Arial" w:hAnsi="Arial"/>
                <w:b/>
                <w:i/>
                <w:sz w:val="18"/>
                <w:lang w:eastAsia="sv-SE"/>
              </w:rPr>
            </w:pPr>
            <w:r>
              <w:rPr>
                <w:rFonts w:ascii="Arial" w:hAnsi="Arial"/>
                <w:b/>
                <w:i/>
                <w:sz w:val="18"/>
                <w:lang w:eastAsia="sv-SE"/>
              </w:rPr>
              <w:t>bwp-SUL</w:t>
            </w:r>
          </w:p>
          <w:p w14:paraId="722843DF" w14:textId="77777777" w:rsidR="00EF781F" w:rsidRDefault="00EF781F">
            <w:pPr>
              <w:keepNext/>
              <w:keepLines/>
              <w:spacing w:after="0"/>
              <w:rPr>
                <w:rFonts w:ascii="Arial" w:hAnsi="Arial"/>
                <w:sz w:val="18"/>
                <w:lang w:eastAsia="sv-SE"/>
              </w:rPr>
            </w:pPr>
            <w:r>
              <w:rPr>
                <w:rFonts w:ascii="Arial" w:hAnsi="Arial"/>
                <w:sz w:val="18"/>
                <w:lang w:eastAsia="sv-SE"/>
              </w:rPr>
              <w:t xml:space="preserve">BWP configuration for SRS for Positioning during the RRC_INACTIVE state in Supplementary Uplink Carrier. If the field is absent </w:t>
            </w:r>
            <w:r>
              <w:rPr>
                <w:rFonts w:ascii="Arial" w:hAnsi="Arial"/>
                <w:sz w:val="18"/>
                <w:lang w:eastAsia="zh-CN"/>
              </w:rPr>
              <w:t>UE is configured with an SRS for Positioning associated with the initial UL BWP and transmitted, during the RRC_INACTIVE state, inside the initial UL BWP with the same CP and SCS as configured for initial UL BWP.</w:t>
            </w:r>
          </w:p>
        </w:tc>
      </w:tr>
      <w:tr w:rsidR="00EF781F" w14:paraId="2B640750"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35101EF0" w14:textId="77777777" w:rsidR="00EF781F" w:rsidRDefault="00EF781F">
            <w:pPr>
              <w:keepNext/>
              <w:keepLines/>
              <w:spacing w:after="0"/>
              <w:rPr>
                <w:rFonts w:ascii="Arial" w:hAnsi="Arial" w:cs="Arial"/>
                <w:b/>
                <w:i/>
                <w:sz w:val="18"/>
                <w:szCs w:val="18"/>
              </w:rPr>
            </w:pPr>
            <w:r>
              <w:rPr>
                <w:rFonts w:ascii="Arial" w:eastAsia="等线" w:hAnsi="Arial" w:cs="Arial"/>
                <w:b/>
                <w:i/>
                <w:sz w:val="18"/>
                <w:szCs w:val="18"/>
              </w:rPr>
              <w:t>inactivePosSRS-RSRP-</w:t>
            </w:r>
            <w:r>
              <w:rPr>
                <w:rFonts w:ascii="Arial" w:hAnsi="Arial" w:cs="Arial"/>
                <w:b/>
                <w:i/>
                <w:sz w:val="18"/>
                <w:szCs w:val="18"/>
              </w:rPr>
              <w:t>ChangeThreshold</w:t>
            </w:r>
          </w:p>
          <w:p w14:paraId="467FAEDC" w14:textId="77777777" w:rsidR="00EF781F" w:rsidRDefault="00EF781F">
            <w:pPr>
              <w:keepNext/>
              <w:keepLines/>
              <w:spacing w:after="0"/>
              <w:rPr>
                <w:rFonts w:ascii="Arial" w:hAnsi="Arial" w:cs="Arial"/>
                <w:sz w:val="18"/>
                <w:szCs w:val="18"/>
                <w:lang w:eastAsia="sv-SE"/>
              </w:rPr>
            </w:pPr>
            <w:r>
              <w:rPr>
                <w:rFonts w:ascii="Arial" w:eastAsia="等线" w:hAnsi="Arial" w:cs="Arial"/>
                <w:sz w:val="18"/>
                <w:szCs w:val="18"/>
              </w:rPr>
              <w:t xml:space="preserve">RSRP threshold for the increase/decrease of RSRP for time alignment validation </w:t>
            </w:r>
            <w:r>
              <w:rPr>
                <w:rFonts w:ascii="Arial" w:hAnsi="Arial"/>
                <w:iCs/>
                <w:sz w:val="18"/>
                <w:lang w:eastAsia="ko-KR"/>
              </w:rPr>
              <w:t>as specified in TS 38.321 [3].</w:t>
            </w:r>
          </w:p>
        </w:tc>
      </w:tr>
      <w:tr w:rsidR="00EF781F" w14:paraId="4B20D931"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3779564A" w14:textId="77777777" w:rsidR="00EF781F" w:rsidRDefault="00EF781F">
            <w:pPr>
              <w:keepNext/>
              <w:keepLines/>
              <w:spacing w:after="0"/>
              <w:rPr>
                <w:rFonts w:ascii="Arial" w:hAnsi="Arial"/>
                <w:b/>
                <w:i/>
                <w:iCs/>
                <w:sz w:val="18"/>
                <w:lang w:eastAsia="ko-KR"/>
              </w:rPr>
            </w:pPr>
            <w:r>
              <w:rPr>
                <w:rFonts w:ascii="Arial" w:hAnsi="Arial"/>
                <w:b/>
                <w:bCs/>
                <w:i/>
                <w:sz w:val="18"/>
              </w:rPr>
              <w:t>inactivePosSRS-TimeAlignmentTimer</w:t>
            </w:r>
          </w:p>
          <w:p w14:paraId="44F020A3" w14:textId="77777777" w:rsidR="00EF781F" w:rsidRDefault="00EF781F">
            <w:pPr>
              <w:keepNext/>
              <w:keepLines/>
              <w:spacing w:after="0"/>
              <w:rPr>
                <w:rFonts w:ascii="Arial" w:hAnsi="Arial"/>
                <w:sz w:val="18"/>
                <w:lang w:eastAsia="ko-KR"/>
              </w:rPr>
            </w:pPr>
            <w:r>
              <w:rPr>
                <w:rFonts w:ascii="Arial" w:hAnsi="Arial"/>
                <w:iCs/>
                <w:sz w:val="18"/>
                <w:lang w:eastAsia="ko-KR"/>
              </w:rPr>
              <w:t>TAT value for SRS for positioning transmission during RRC_INACTIVE state as specified in TS 38.321 [3]. The network always configures this field when</w:t>
            </w:r>
            <w:r>
              <w:rPr>
                <w:rFonts w:ascii="Arial" w:hAnsi="Arial"/>
                <w:sz w:val="18"/>
              </w:rPr>
              <w:t xml:space="preserve"> </w:t>
            </w:r>
            <w:r>
              <w:rPr>
                <w:rFonts w:ascii="Arial" w:hAnsi="Arial"/>
                <w:i/>
                <w:sz w:val="18"/>
                <w:lang w:eastAsia="ko-KR"/>
              </w:rPr>
              <w:t>srs-PosRRC-Inactive</w:t>
            </w:r>
            <w:r>
              <w:rPr>
                <w:rFonts w:ascii="Arial" w:hAnsi="Arial"/>
                <w:iCs/>
                <w:sz w:val="18"/>
                <w:lang w:eastAsia="ko-KR"/>
              </w:rPr>
              <w:t xml:space="preserve"> is configured.</w:t>
            </w:r>
          </w:p>
        </w:tc>
      </w:tr>
      <w:tr w:rsidR="00EF781F" w14:paraId="38B8B95D"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46390DAF" w14:textId="77777777" w:rsidR="00EF781F" w:rsidRDefault="00EF781F">
            <w:pPr>
              <w:keepNext/>
              <w:keepLines/>
              <w:spacing w:after="0"/>
              <w:rPr>
                <w:rFonts w:ascii="Arial" w:hAnsi="Arial"/>
                <w:b/>
                <w:bCs/>
                <w:i/>
                <w:sz w:val="18"/>
              </w:rPr>
            </w:pPr>
            <w:r>
              <w:rPr>
                <w:rFonts w:ascii="Arial" w:hAnsi="Arial"/>
                <w:b/>
                <w:bCs/>
                <w:i/>
                <w:sz w:val="18"/>
              </w:rPr>
              <w:t>srs-PosConfigNUL</w:t>
            </w:r>
          </w:p>
          <w:p w14:paraId="15CEC719" w14:textId="77777777" w:rsidR="00EF781F" w:rsidRDefault="00EF781F">
            <w:pPr>
              <w:keepNext/>
              <w:keepLines/>
              <w:spacing w:after="0"/>
              <w:rPr>
                <w:rFonts w:ascii="Arial" w:hAnsi="Arial"/>
                <w:iCs/>
                <w:sz w:val="18"/>
              </w:rPr>
            </w:pPr>
            <w:r>
              <w:rPr>
                <w:rFonts w:ascii="Arial" w:hAnsi="Arial"/>
                <w:iCs/>
                <w:sz w:val="18"/>
              </w:rPr>
              <w:t>SRS for Positioning configuration in RRC_INACTIVE state in Normal Uplink Carrier.</w:t>
            </w:r>
          </w:p>
        </w:tc>
      </w:tr>
      <w:tr w:rsidR="00EF781F" w14:paraId="7E0C1C09"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21ABEFDE" w14:textId="77777777" w:rsidR="00EF781F" w:rsidRDefault="00EF781F">
            <w:pPr>
              <w:keepNext/>
              <w:keepLines/>
              <w:spacing w:after="0"/>
              <w:rPr>
                <w:rFonts w:ascii="Arial" w:hAnsi="Arial"/>
                <w:b/>
                <w:bCs/>
                <w:i/>
                <w:sz w:val="18"/>
              </w:rPr>
            </w:pPr>
            <w:r>
              <w:rPr>
                <w:rFonts w:ascii="Arial" w:hAnsi="Arial"/>
                <w:b/>
                <w:bCs/>
                <w:i/>
                <w:sz w:val="18"/>
              </w:rPr>
              <w:t>srs-PosConfigSUL</w:t>
            </w:r>
          </w:p>
          <w:p w14:paraId="5C1DCB46" w14:textId="77777777" w:rsidR="00EF781F" w:rsidRDefault="00EF781F">
            <w:pPr>
              <w:keepNext/>
              <w:keepLines/>
              <w:spacing w:after="0"/>
              <w:rPr>
                <w:rFonts w:ascii="Arial" w:hAnsi="Arial"/>
                <w:iCs/>
                <w:sz w:val="18"/>
              </w:rPr>
            </w:pPr>
            <w:r>
              <w:rPr>
                <w:rFonts w:ascii="Arial" w:hAnsi="Arial"/>
                <w:iCs/>
                <w:sz w:val="18"/>
              </w:rPr>
              <w:t>SRS for Positioning configuration in RRC_INACTIVE state in Supplementary Uplink Carrier.</w:t>
            </w:r>
          </w:p>
        </w:tc>
      </w:tr>
    </w:tbl>
    <w:p w14:paraId="319C7CC8"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F781F" w14:paraId="52A5926E"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5B6BD3B4" w14:textId="77777777" w:rsidR="00EF781F" w:rsidRDefault="00EF781F">
            <w:pPr>
              <w:keepNext/>
              <w:keepLines/>
              <w:spacing w:after="0"/>
              <w:jc w:val="center"/>
              <w:rPr>
                <w:rFonts w:ascii="Arial" w:hAnsi="Arial"/>
                <w:b/>
                <w:sz w:val="18"/>
                <w:lang w:eastAsia="sv-SE"/>
              </w:rPr>
            </w:pPr>
            <w:r>
              <w:rPr>
                <w:rFonts w:ascii="Arial" w:hAnsi="Arial"/>
                <w:b/>
                <w:bCs/>
                <w:i/>
                <w:iCs/>
                <w:sz w:val="18"/>
                <w:lang w:eastAsia="sv-SE"/>
              </w:rPr>
              <w:lastRenderedPageBreak/>
              <w:t>SuspendConfig</w:t>
            </w:r>
            <w:r>
              <w:rPr>
                <w:rFonts w:ascii="Arial" w:hAnsi="Arial"/>
                <w:b/>
                <w:sz w:val="18"/>
                <w:lang w:eastAsia="sv-SE"/>
              </w:rPr>
              <w:t xml:space="preserve"> field descriptions</w:t>
            </w:r>
          </w:p>
        </w:tc>
      </w:tr>
      <w:tr w:rsidR="00EF781F" w14:paraId="66D0E83E"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34EF7156" w14:textId="77777777" w:rsidR="00EF781F" w:rsidRDefault="00EF781F">
            <w:pPr>
              <w:keepNext/>
              <w:keepLines/>
              <w:spacing w:after="0"/>
              <w:rPr>
                <w:rFonts w:ascii="Arial" w:hAnsi="Arial"/>
                <w:b/>
                <w:i/>
                <w:iCs/>
                <w:sz w:val="18"/>
                <w:lang w:eastAsia="ko-KR"/>
              </w:rPr>
            </w:pPr>
            <w:r>
              <w:rPr>
                <w:rFonts w:ascii="Arial" w:hAnsi="Arial"/>
                <w:b/>
                <w:i/>
                <w:iCs/>
                <w:sz w:val="18"/>
                <w:lang w:eastAsia="ko-KR"/>
              </w:rPr>
              <w:t>ncd-SSB-RedCapInitialBWP-SDT</w:t>
            </w:r>
          </w:p>
          <w:p w14:paraId="60DBAEE1" w14:textId="77777777" w:rsidR="00EF781F" w:rsidRDefault="00EF781F">
            <w:pPr>
              <w:keepNext/>
              <w:keepLines/>
              <w:spacing w:after="0"/>
              <w:rPr>
                <w:rFonts w:ascii="Arial" w:hAnsi="Arial"/>
                <w:b/>
                <w:i/>
                <w:iCs/>
                <w:sz w:val="18"/>
                <w:lang w:eastAsia="ko-KR"/>
              </w:rPr>
            </w:pPr>
            <w:r>
              <w:rPr>
                <w:rFonts w:ascii="Arial" w:hAnsi="Arial"/>
                <w:bCs/>
                <w:sz w:val="18"/>
                <w:lang w:eastAsia="ko-KR"/>
              </w:rPr>
              <w:t>Indicates that the UE uses the RedCap-specific initial DL BWP associated with the NCD-SSB for SDT. The network configures this field if a RedCap UE is configured with SDT in the RedCap-specific initial DL BWP not associated with CD-SSB. If configured, the NCD-SSB indicated by this field can only be used during the SDT procedure for CG-SDT or RA-SDT.</w:t>
            </w:r>
          </w:p>
        </w:tc>
      </w:tr>
      <w:tr w:rsidR="00EF781F" w14:paraId="012159FA"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776A920C" w14:textId="77777777" w:rsidR="00EF781F" w:rsidRDefault="00EF781F">
            <w:pPr>
              <w:keepNext/>
              <w:keepLines/>
              <w:spacing w:after="0"/>
              <w:rPr>
                <w:rFonts w:ascii="Arial" w:hAnsi="Arial"/>
                <w:b/>
                <w:i/>
                <w:iCs/>
                <w:sz w:val="18"/>
                <w:lang w:eastAsia="ko-KR"/>
              </w:rPr>
            </w:pPr>
            <w:r>
              <w:rPr>
                <w:rFonts w:ascii="Arial" w:hAnsi="Arial"/>
                <w:b/>
                <w:i/>
                <w:iCs/>
                <w:sz w:val="18"/>
                <w:lang w:eastAsia="ko-KR"/>
              </w:rPr>
              <w:t>ran-ExtendedPagingCycle</w:t>
            </w:r>
          </w:p>
          <w:p w14:paraId="4E71DC68" w14:textId="77777777" w:rsidR="00EF781F" w:rsidRDefault="00EF781F">
            <w:pPr>
              <w:keepNext/>
              <w:keepLines/>
              <w:spacing w:after="0"/>
              <w:rPr>
                <w:rFonts w:ascii="Arial" w:hAnsi="Arial"/>
                <w:b/>
                <w:i/>
                <w:sz w:val="18"/>
                <w:szCs w:val="22"/>
                <w:lang w:eastAsia="sv-SE"/>
              </w:rPr>
            </w:pPr>
            <w:r>
              <w:rPr>
                <w:rFonts w:ascii="Arial" w:hAnsi="Arial"/>
                <w:sz w:val="18"/>
              </w:rPr>
              <w:t>The extended DRX (eDRX) cycle for RAN-initiated paging to be applied by the UE.</w:t>
            </w:r>
            <w:r>
              <w:rPr>
                <w:rFonts w:ascii="Arial" w:hAnsi="Arial"/>
                <w:iCs/>
                <w:sz w:val="18"/>
                <w:lang w:eastAsia="ko-KR"/>
              </w:rPr>
              <w:t xml:space="preserve"> Value </w:t>
            </w:r>
            <w:r>
              <w:rPr>
                <w:rFonts w:ascii="Arial" w:hAnsi="Arial"/>
                <w:i/>
                <w:iCs/>
                <w:sz w:val="18"/>
                <w:lang w:eastAsia="ko-KR"/>
              </w:rPr>
              <w:t>rf256</w:t>
            </w:r>
            <w:r>
              <w:rPr>
                <w:rFonts w:ascii="Arial" w:hAnsi="Arial"/>
                <w:iCs/>
                <w:sz w:val="18"/>
                <w:lang w:eastAsia="ko-KR"/>
              </w:rPr>
              <w:t xml:space="preserve"> corresponds to 256 radio frames, value </w:t>
            </w:r>
            <w:r>
              <w:rPr>
                <w:rFonts w:ascii="Arial" w:hAnsi="Arial"/>
                <w:i/>
                <w:iCs/>
                <w:sz w:val="18"/>
                <w:lang w:eastAsia="ko-KR"/>
              </w:rPr>
              <w:t>rf512</w:t>
            </w:r>
            <w:r>
              <w:rPr>
                <w:rFonts w:ascii="Arial" w:hAnsi="Arial"/>
                <w:iCs/>
                <w:sz w:val="18"/>
                <w:lang w:eastAsia="ko-KR"/>
              </w:rPr>
              <w:t xml:space="preserve"> corresponds to 512 radio frames and so on. Value of the field indicates an eDRX cycle which is shorter or equal to the IDLE mode eDRX cycle configured for the UE.</w:t>
            </w:r>
          </w:p>
        </w:tc>
      </w:tr>
      <w:tr w:rsidR="00EF781F" w14:paraId="1AE664DC"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77857747" w14:textId="77777777" w:rsidR="00EF781F" w:rsidRDefault="00EF781F">
            <w:pPr>
              <w:keepNext/>
              <w:keepLines/>
              <w:spacing w:after="0"/>
              <w:rPr>
                <w:rFonts w:ascii="Arial" w:hAnsi="Arial"/>
                <w:b/>
                <w:i/>
                <w:sz w:val="18"/>
                <w:szCs w:val="22"/>
                <w:lang w:eastAsia="sv-SE"/>
              </w:rPr>
            </w:pPr>
            <w:r>
              <w:rPr>
                <w:rFonts w:ascii="Arial" w:hAnsi="Arial"/>
                <w:b/>
                <w:i/>
                <w:sz w:val="18"/>
                <w:szCs w:val="22"/>
                <w:lang w:eastAsia="sv-SE"/>
              </w:rPr>
              <w:t>ran-NotificationAreaInfo</w:t>
            </w:r>
          </w:p>
          <w:p w14:paraId="563DC61F" w14:textId="77777777" w:rsidR="00EF781F" w:rsidRDefault="00EF781F">
            <w:pPr>
              <w:keepNext/>
              <w:keepLines/>
              <w:spacing w:after="0"/>
              <w:rPr>
                <w:rFonts w:ascii="Arial" w:hAnsi="Arial"/>
                <w:i/>
                <w:sz w:val="18"/>
                <w:lang w:eastAsia="sv-SE"/>
              </w:rPr>
            </w:pPr>
            <w:r>
              <w:rPr>
                <w:rFonts w:ascii="Arial" w:hAnsi="Arial"/>
                <w:sz w:val="18"/>
                <w:lang w:eastAsia="sv-SE"/>
              </w:rPr>
              <w:t xml:space="preserve">Network ensures that the UE in RRC_INACTIVE always has a valid </w:t>
            </w:r>
            <w:r>
              <w:rPr>
                <w:rFonts w:ascii="Arial" w:hAnsi="Arial"/>
                <w:i/>
                <w:sz w:val="18"/>
                <w:lang w:eastAsia="sv-SE"/>
              </w:rPr>
              <w:t>ran-NotificationAreaInfo</w:t>
            </w:r>
            <w:r>
              <w:rPr>
                <w:rFonts w:ascii="Arial" w:hAnsi="Arial"/>
                <w:sz w:val="18"/>
                <w:lang w:eastAsia="sv-SE"/>
              </w:rPr>
              <w:t>.</w:t>
            </w:r>
          </w:p>
        </w:tc>
      </w:tr>
      <w:tr w:rsidR="00EF781F" w14:paraId="1B8D36CE"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13B81E59" w14:textId="77777777" w:rsidR="00EF781F" w:rsidRDefault="00EF781F">
            <w:pPr>
              <w:keepNext/>
              <w:keepLines/>
              <w:spacing w:after="0"/>
              <w:rPr>
                <w:rFonts w:ascii="Arial" w:hAnsi="Arial"/>
                <w:b/>
                <w:i/>
                <w:iCs/>
                <w:sz w:val="18"/>
                <w:lang w:eastAsia="ko-KR"/>
              </w:rPr>
            </w:pPr>
            <w:r>
              <w:rPr>
                <w:rFonts w:ascii="Arial" w:hAnsi="Arial"/>
                <w:b/>
                <w:i/>
                <w:iCs/>
                <w:sz w:val="18"/>
                <w:lang w:eastAsia="ko-KR"/>
              </w:rPr>
              <w:t>ran-PagingCycle</w:t>
            </w:r>
          </w:p>
          <w:p w14:paraId="1970E851" w14:textId="77777777" w:rsidR="00EF781F" w:rsidRDefault="00EF781F">
            <w:pPr>
              <w:keepNext/>
              <w:keepLines/>
              <w:spacing w:after="0"/>
              <w:rPr>
                <w:rFonts w:ascii="Arial" w:hAnsi="Arial"/>
                <w:sz w:val="18"/>
                <w:szCs w:val="22"/>
                <w:lang w:eastAsia="sv-SE"/>
              </w:rPr>
            </w:pPr>
            <w:r>
              <w:rPr>
                <w:rFonts w:ascii="Arial" w:hAnsi="Arial"/>
                <w:iCs/>
                <w:sz w:val="18"/>
                <w:lang w:eastAsia="ko-KR"/>
              </w:rPr>
              <w:t xml:space="preserve">Refers to the UE specific cycle for RAN-initiated paging. Value </w:t>
            </w:r>
            <w:r>
              <w:rPr>
                <w:rFonts w:ascii="Arial" w:hAnsi="Arial"/>
                <w:i/>
                <w:iCs/>
                <w:sz w:val="18"/>
                <w:lang w:eastAsia="ko-KR"/>
              </w:rPr>
              <w:t>rf32</w:t>
            </w:r>
            <w:r>
              <w:rPr>
                <w:rFonts w:ascii="Arial" w:hAnsi="Arial"/>
                <w:iCs/>
                <w:sz w:val="18"/>
                <w:lang w:eastAsia="ko-KR"/>
              </w:rPr>
              <w:t xml:space="preserve"> corresponds to 32 radio frames, value </w:t>
            </w:r>
            <w:r>
              <w:rPr>
                <w:rFonts w:ascii="Arial" w:hAnsi="Arial"/>
                <w:i/>
                <w:iCs/>
                <w:sz w:val="18"/>
                <w:lang w:eastAsia="ko-KR"/>
              </w:rPr>
              <w:t>rf64</w:t>
            </w:r>
            <w:r>
              <w:rPr>
                <w:rFonts w:ascii="Arial" w:hAnsi="Arial"/>
                <w:iCs/>
                <w:sz w:val="18"/>
                <w:lang w:eastAsia="ko-KR"/>
              </w:rPr>
              <w:t xml:space="preserve"> corresponds to 64 radio frames and so on.</w:t>
            </w:r>
          </w:p>
        </w:tc>
      </w:tr>
      <w:tr w:rsidR="00EF781F" w14:paraId="08903ECC"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137C4C57" w14:textId="77777777" w:rsidR="00EF781F" w:rsidRDefault="00EF781F">
            <w:pPr>
              <w:keepNext/>
              <w:keepLines/>
              <w:spacing w:after="0"/>
              <w:rPr>
                <w:rFonts w:ascii="Arial" w:hAnsi="Arial"/>
                <w:b/>
                <w:i/>
                <w:iCs/>
                <w:sz w:val="18"/>
                <w:lang w:eastAsia="ko-KR"/>
              </w:rPr>
            </w:pPr>
            <w:r>
              <w:rPr>
                <w:rFonts w:ascii="Arial" w:hAnsi="Arial"/>
                <w:b/>
                <w:i/>
                <w:iCs/>
                <w:sz w:val="18"/>
                <w:lang w:eastAsia="ko-KR"/>
              </w:rPr>
              <w:t>sl-UEIdentityRemote</w:t>
            </w:r>
          </w:p>
          <w:p w14:paraId="22894E5E" w14:textId="77777777" w:rsidR="00EF781F" w:rsidRDefault="00EF781F">
            <w:pPr>
              <w:keepNext/>
              <w:keepLines/>
              <w:spacing w:after="0"/>
              <w:rPr>
                <w:rFonts w:ascii="Arial" w:hAnsi="Arial"/>
                <w:bCs/>
                <w:sz w:val="18"/>
                <w:lang w:eastAsia="ko-KR"/>
              </w:rPr>
            </w:pPr>
            <w:r>
              <w:rPr>
                <w:rFonts w:ascii="Arial" w:hAnsi="Arial"/>
                <w:bCs/>
                <w:sz w:val="18"/>
                <w:lang w:eastAsia="ko-KR"/>
              </w:rPr>
              <w:t xml:space="preserve">Indicates the </w:t>
            </w:r>
            <w:r>
              <w:rPr>
                <w:rFonts w:ascii="Arial" w:hAnsi="Arial"/>
                <w:sz w:val="18"/>
                <w:szCs w:val="22"/>
                <w:lang w:eastAsia="sv-SE"/>
              </w:rPr>
              <w:t>C-RNTI to the L2 U2N Remote UE</w:t>
            </w:r>
            <w:r>
              <w:rPr>
                <w:rFonts w:ascii="Arial" w:hAnsi="Arial"/>
                <w:bCs/>
                <w:sz w:val="18"/>
                <w:lang w:eastAsia="ko-KR"/>
              </w:rPr>
              <w:t>.</w:t>
            </w:r>
          </w:p>
        </w:tc>
      </w:tr>
      <w:tr w:rsidR="00EF781F" w14:paraId="06952E14" w14:textId="77777777" w:rsidTr="00EF781F">
        <w:tc>
          <w:tcPr>
            <w:tcW w:w="14173" w:type="dxa"/>
            <w:tcBorders>
              <w:top w:val="single" w:sz="4" w:space="0" w:color="auto"/>
              <w:left w:val="single" w:sz="4" w:space="0" w:color="auto"/>
              <w:bottom w:val="single" w:sz="4" w:space="0" w:color="auto"/>
              <w:right w:val="single" w:sz="4" w:space="0" w:color="auto"/>
            </w:tcBorders>
            <w:hideMark/>
          </w:tcPr>
          <w:p w14:paraId="20C5D900" w14:textId="77777777" w:rsidR="00EF781F" w:rsidRDefault="00EF781F">
            <w:pPr>
              <w:keepNext/>
              <w:keepLines/>
              <w:spacing w:after="0"/>
              <w:rPr>
                <w:rFonts w:ascii="Arial" w:hAnsi="Arial"/>
                <w:b/>
                <w:i/>
                <w:iCs/>
                <w:sz w:val="18"/>
                <w:lang w:eastAsia="ko-KR"/>
              </w:rPr>
            </w:pPr>
            <w:r>
              <w:rPr>
                <w:rFonts w:ascii="Arial" w:hAnsi="Arial"/>
                <w:b/>
                <w:i/>
                <w:iCs/>
                <w:sz w:val="18"/>
                <w:lang w:eastAsia="ko-KR"/>
              </w:rPr>
              <w:t>t380</w:t>
            </w:r>
          </w:p>
          <w:p w14:paraId="61229403" w14:textId="77777777" w:rsidR="00EF781F" w:rsidRDefault="00EF781F">
            <w:pPr>
              <w:keepNext/>
              <w:keepLines/>
              <w:spacing w:after="0"/>
              <w:rPr>
                <w:rFonts w:ascii="Arial" w:hAnsi="Arial"/>
                <w:b/>
                <w:i/>
                <w:noProof/>
                <w:sz w:val="18"/>
                <w:lang w:eastAsia="ko-KR"/>
              </w:rPr>
            </w:pPr>
            <w:r>
              <w:rPr>
                <w:rFonts w:ascii="Arial" w:hAnsi="Arial"/>
                <w:iCs/>
                <w:sz w:val="18"/>
                <w:lang w:eastAsia="ko-KR"/>
              </w:rPr>
              <w:t xml:space="preserve">Refers to the timer that triggers the periodic RNAU procedure in UE. Value </w:t>
            </w:r>
            <w:r>
              <w:rPr>
                <w:rFonts w:ascii="Arial" w:hAnsi="Arial"/>
                <w:i/>
                <w:iCs/>
                <w:sz w:val="18"/>
                <w:lang w:eastAsia="ko-KR"/>
              </w:rPr>
              <w:t>min5</w:t>
            </w:r>
            <w:r>
              <w:rPr>
                <w:rFonts w:ascii="Arial" w:hAnsi="Arial"/>
                <w:iCs/>
                <w:sz w:val="18"/>
                <w:lang w:eastAsia="ko-KR"/>
              </w:rPr>
              <w:t xml:space="preserve"> corresponds to 5 minutes, value </w:t>
            </w:r>
            <w:r>
              <w:rPr>
                <w:rFonts w:ascii="Arial" w:hAnsi="Arial"/>
                <w:i/>
                <w:iCs/>
                <w:sz w:val="18"/>
                <w:lang w:eastAsia="ko-KR"/>
              </w:rPr>
              <w:t>min10</w:t>
            </w:r>
            <w:r>
              <w:rPr>
                <w:rFonts w:ascii="Arial" w:hAnsi="Arial"/>
                <w:iCs/>
                <w:sz w:val="18"/>
                <w:lang w:eastAsia="ko-KR"/>
              </w:rPr>
              <w:t xml:space="preserve"> corresponds to 10 minutes and so on.</w:t>
            </w:r>
          </w:p>
        </w:tc>
      </w:tr>
    </w:tbl>
    <w:p w14:paraId="241579D4" w14:textId="77777777" w:rsidR="00EF781F" w:rsidRDefault="00EF781F" w:rsidP="00EF781F">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781F" w14:paraId="0B705F21" w14:textId="77777777" w:rsidTr="00EF781F">
        <w:trPr>
          <w:ins w:id="668"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66EF7535" w14:textId="77777777" w:rsidR="00EF781F" w:rsidRDefault="00EF781F">
            <w:pPr>
              <w:keepNext/>
              <w:keepLines/>
              <w:spacing w:after="0"/>
              <w:jc w:val="center"/>
              <w:rPr>
                <w:ins w:id="669" w:author="Huawei, HiSilicon" w:date="2023-11-02T14:40:00Z"/>
                <w:rFonts w:ascii="Arial" w:hAnsi="Arial"/>
                <w:b/>
                <w:sz w:val="18"/>
                <w:szCs w:val="22"/>
                <w:lang w:eastAsia="sv-SE"/>
              </w:rPr>
            </w:pPr>
            <w:ins w:id="670" w:author="Huawei, HiSilicon" w:date="2023-11-02T14:40:00Z">
              <w:r>
                <w:rPr>
                  <w:rFonts w:ascii="Arial" w:hAnsi="Arial"/>
                  <w:b/>
                  <w:i/>
                  <w:sz w:val="18"/>
                  <w:lang w:eastAsia="sv-SE"/>
                </w:rPr>
                <w:t>multicastConfigInactive</w:t>
              </w:r>
              <w:r>
                <w:rPr>
                  <w:rFonts w:ascii="Arial" w:hAnsi="Arial"/>
                  <w:b/>
                  <w:sz w:val="18"/>
                  <w:lang w:eastAsia="en-GB"/>
                </w:rPr>
                <w:t xml:space="preserve"> field descriptions</w:t>
              </w:r>
            </w:ins>
          </w:p>
        </w:tc>
      </w:tr>
      <w:tr w:rsidR="00EF781F" w14:paraId="68510BA5" w14:textId="77777777" w:rsidTr="00EF781F">
        <w:trPr>
          <w:ins w:id="671"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70FE258A" w14:textId="77777777" w:rsidR="00EF781F" w:rsidRDefault="00EF781F">
            <w:pPr>
              <w:keepNext/>
              <w:keepLines/>
              <w:spacing w:after="0"/>
              <w:rPr>
                <w:ins w:id="672" w:author="Huawei, HiSilicon" w:date="2023-11-02T14:40:00Z"/>
                <w:rFonts w:ascii="Arial" w:hAnsi="Arial" w:cs="Arial"/>
                <w:b/>
                <w:bCs/>
                <w:i/>
                <w:iCs/>
                <w:sz w:val="18"/>
                <w:szCs w:val="18"/>
                <w:lang w:eastAsia="sv-SE"/>
              </w:rPr>
            </w:pPr>
            <w:ins w:id="673" w:author="Huawei, HiSilicon" w:date="2023-11-02T14:40:00Z">
              <w:r>
                <w:rPr>
                  <w:rFonts w:ascii="Arial" w:hAnsi="Arial" w:cs="Arial"/>
                  <w:b/>
                  <w:bCs/>
                  <w:i/>
                  <w:iCs/>
                  <w:sz w:val="18"/>
                  <w:szCs w:val="18"/>
                  <w:lang w:eastAsia="sv-SE"/>
                </w:rPr>
                <w:t>inactivePTM-Config</w:t>
              </w:r>
            </w:ins>
          </w:p>
          <w:p w14:paraId="60F313F2" w14:textId="77777777" w:rsidR="00EF781F" w:rsidRDefault="00EF781F">
            <w:pPr>
              <w:keepNext/>
              <w:keepLines/>
              <w:spacing w:after="0"/>
              <w:rPr>
                <w:ins w:id="674" w:author="Huawei, HiSilicon" w:date="2023-11-02T14:40:00Z"/>
                <w:rFonts w:ascii="Arial" w:hAnsi="Arial" w:cs="Arial"/>
                <w:b/>
                <w:bCs/>
                <w:i/>
                <w:iCs/>
                <w:sz w:val="18"/>
                <w:szCs w:val="18"/>
                <w:lang w:eastAsia="sv-SE"/>
              </w:rPr>
            </w:pPr>
            <w:ins w:id="675" w:author="Huawei, HiSilicon" w:date="2023-11-02T14:40:00Z">
              <w:r>
                <w:rPr>
                  <w:rFonts w:ascii="Arial" w:eastAsia="Calibri" w:hAnsi="Arial" w:cs="Arial"/>
                  <w:sz w:val="18"/>
                  <w:szCs w:val="18"/>
                  <w:lang w:eastAsia="sv-SE"/>
                </w:rPr>
                <w:t>Indicates PTM configuration for MBS multicast reception in RRC_INACTIVE in the serving cell.</w:t>
              </w:r>
            </w:ins>
          </w:p>
        </w:tc>
      </w:tr>
      <w:tr w:rsidR="00EF781F" w14:paraId="51F8EE06" w14:textId="77777777" w:rsidTr="00EF781F">
        <w:trPr>
          <w:ins w:id="676"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0838A5E4" w14:textId="77777777" w:rsidR="00EF781F" w:rsidRDefault="00EF781F">
            <w:pPr>
              <w:keepNext/>
              <w:keepLines/>
              <w:spacing w:after="0"/>
              <w:rPr>
                <w:ins w:id="677" w:author="Huawei, HiSilicon" w:date="2023-11-02T14:40:00Z"/>
                <w:rFonts w:ascii="Arial" w:hAnsi="Arial" w:cs="Arial"/>
                <w:b/>
                <w:bCs/>
                <w:i/>
                <w:sz w:val="18"/>
                <w:szCs w:val="18"/>
                <w:lang w:eastAsia="en-GB"/>
              </w:rPr>
            </w:pPr>
            <w:ins w:id="678" w:author="Huawei, HiSilicon" w:date="2023-11-02T14:40:00Z">
              <w:r>
                <w:rPr>
                  <w:rFonts w:ascii="Arial" w:hAnsi="Arial" w:cs="Arial"/>
                  <w:b/>
                  <w:bCs/>
                  <w:i/>
                  <w:sz w:val="18"/>
                  <w:szCs w:val="18"/>
                  <w:lang w:eastAsia="en-GB"/>
                </w:rPr>
                <w:t>inactiveMCCH-Config</w:t>
              </w:r>
            </w:ins>
          </w:p>
          <w:p w14:paraId="0040D35B" w14:textId="77777777" w:rsidR="00EF781F" w:rsidRDefault="00EF781F">
            <w:pPr>
              <w:keepNext/>
              <w:keepLines/>
              <w:spacing w:after="0"/>
              <w:rPr>
                <w:ins w:id="679" w:author="Huawei, HiSilicon" w:date="2023-11-02T14:40:00Z"/>
                <w:rFonts w:ascii="Arial" w:hAnsi="Arial" w:cs="Arial"/>
                <w:sz w:val="18"/>
                <w:szCs w:val="18"/>
                <w:lang w:eastAsia="sv-SE"/>
              </w:rPr>
            </w:pPr>
            <w:ins w:id="680" w:author="Huawei, HiSilicon" w:date="2023-11-02T14:40:00Z">
              <w:r>
                <w:rPr>
                  <w:rFonts w:ascii="Arial" w:eastAsia="Calibri" w:hAnsi="Arial" w:cs="Arial"/>
                  <w:sz w:val="18"/>
                  <w:szCs w:val="18"/>
                  <w:lang w:eastAsia="sv-SE"/>
                </w:rPr>
                <w:t xml:space="preserve">Indicates MCCH configuration for MBS multicast reception in RRC_INACTIVE in the serving cell. Only </w:t>
              </w:r>
              <w:r>
                <w:rPr>
                  <w:rFonts w:ascii="Arial" w:eastAsia="Calibri" w:hAnsi="Arial" w:cs="Arial"/>
                  <w:i/>
                  <w:sz w:val="18"/>
                  <w:szCs w:val="18"/>
                  <w:lang w:eastAsia="sv-SE"/>
                </w:rPr>
                <w:t xml:space="preserve">SIBx </w:t>
              </w:r>
              <w:r>
                <w:rPr>
                  <w:rFonts w:ascii="Arial" w:eastAsia="Calibri" w:hAnsi="Arial" w:cs="Arial"/>
                  <w:sz w:val="18"/>
                  <w:szCs w:val="18"/>
                  <w:lang w:eastAsia="sv-SE"/>
                </w:rPr>
                <w:t>is allowed to be included.</w:t>
              </w:r>
            </w:ins>
          </w:p>
        </w:tc>
      </w:tr>
    </w:tbl>
    <w:p w14:paraId="55D03D36" w14:textId="77777777" w:rsidR="00EF781F" w:rsidRDefault="00EF781F" w:rsidP="00EF781F">
      <w:pPr>
        <w:rPr>
          <w:ins w:id="681" w:author="Huawei, HiSilicon" w:date="2023-11-02T14:40:00Z"/>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781F" w14:paraId="60FEB02B" w14:textId="77777777" w:rsidTr="00EF781F">
        <w:tc>
          <w:tcPr>
            <w:tcW w:w="4027" w:type="dxa"/>
            <w:tcBorders>
              <w:top w:val="single" w:sz="4" w:space="0" w:color="auto"/>
              <w:left w:val="single" w:sz="4" w:space="0" w:color="auto"/>
              <w:bottom w:val="single" w:sz="4" w:space="0" w:color="auto"/>
              <w:right w:val="single" w:sz="4" w:space="0" w:color="auto"/>
            </w:tcBorders>
            <w:hideMark/>
          </w:tcPr>
          <w:p w14:paraId="30C93176" w14:textId="77777777" w:rsidR="00EF781F" w:rsidRDefault="00EF781F">
            <w:pPr>
              <w:keepNext/>
              <w:keepLines/>
              <w:spacing w:after="0"/>
              <w:jc w:val="center"/>
              <w:rPr>
                <w:rFonts w:ascii="Arial" w:hAnsi="Arial"/>
                <w:b/>
                <w:sz w:val="18"/>
                <w:szCs w:val="22"/>
              </w:rPr>
            </w:pPr>
            <w:r>
              <w:rPr>
                <w:rFonts w:ascii="Arial" w:hAnsi="Arial"/>
                <w:b/>
                <w:sz w:val="18"/>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7B4479" w14:textId="77777777" w:rsidR="00EF781F" w:rsidRDefault="00EF781F">
            <w:pPr>
              <w:keepNext/>
              <w:keepLines/>
              <w:spacing w:after="0"/>
              <w:jc w:val="center"/>
              <w:rPr>
                <w:rFonts w:ascii="Arial" w:hAnsi="Arial"/>
                <w:b/>
                <w:sz w:val="18"/>
                <w:szCs w:val="22"/>
              </w:rPr>
            </w:pPr>
            <w:r>
              <w:rPr>
                <w:rFonts w:ascii="Arial" w:hAnsi="Arial"/>
                <w:b/>
                <w:sz w:val="18"/>
                <w:szCs w:val="22"/>
              </w:rPr>
              <w:t>Explanation</w:t>
            </w:r>
          </w:p>
        </w:tc>
      </w:tr>
      <w:tr w:rsidR="00EF781F" w14:paraId="3A1F9B99" w14:textId="77777777" w:rsidTr="00EF781F">
        <w:tc>
          <w:tcPr>
            <w:tcW w:w="4027" w:type="dxa"/>
            <w:tcBorders>
              <w:top w:val="single" w:sz="4" w:space="0" w:color="auto"/>
              <w:left w:val="single" w:sz="4" w:space="0" w:color="auto"/>
              <w:bottom w:val="single" w:sz="4" w:space="0" w:color="auto"/>
              <w:right w:val="single" w:sz="4" w:space="0" w:color="auto"/>
            </w:tcBorders>
            <w:hideMark/>
          </w:tcPr>
          <w:p w14:paraId="25B95623" w14:textId="77777777" w:rsidR="00EF781F" w:rsidRDefault="00EF781F">
            <w:pPr>
              <w:keepNext/>
              <w:keepLines/>
              <w:spacing w:after="0"/>
              <w:rPr>
                <w:rFonts w:ascii="Arial" w:hAnsi="Arial"/>
                <w:i/>
                <w:sz w:val="18"/>
                <w:szCs w:val="22"/>
              </w:rPr>
            </w:pPr>
            <w:r>
              <w:rPr>
                <w:rFonts w:ascii="Arial" w:hAnsi="Arial"/>
                <w:i/>
                <w:sz w:val="18"/>
                <w:szCs w:val="22"/>
              </w:rPr>
              <w:t>L2RemoteUE</w:t>
            </w:r>
          </w:p>
        </w:tc>
        <w:tc>
          <w:tcPr>
            <w:tcW w:w="10146" w:type="dxa"/>
            <w:tcBorders>
              <w:top w:val="single" w:sz="4" w:space="0" w:color="auto"/>
              <w:left w:val="single" w:sz="4" w:space="0" w:color="auto"/>
              <w:bottom w:val="single" w:sz="4" w:space="0" w:color="auto"/>
              <w:right w:val="single" w:sz="4" w:space="0" w:color="auto"/>
            </w:tcBorders>
            <w:hideMark/>
          </w:tcPr>
          <w:p w14:paraId="522A4180" w14:textId="77777777" w:rsidR="00EF781F" w:rsidRDefault="00EF781F">
            <w:pPr>
              <w:keepNext/>
              <w:keepLines/>
              <w:spacing w:after="0"/>
              <w:rPr>
                <w:rFonts w:ascii="Arial" w:hAnsi="Arial"/>
                <w:sz w:val="18"/>
                <w:szCs w:val="22"/>
              </w:rPr>
            </w:pPr>
            <w:r>
              <w:rPr>
                <w:rFonts w:ascii="Arial" w:hAnsi="Arial"/>
                <w:sz w:val="18"/>
                <w:szCs w:val="22"/>
              </w:rPr>
              <w:t>The field is mandatory present for L2 U2N Remote UE's RNAU; otherwise it is absent.</w:t>
            </w:r>
          </w:p>
        </w:tc>
      </w:tr>
      <w:tr w:rsidR="00EF781F" w14:paraId="5FEBB3F0" w14:textId="77777777" w:rsidTr="00EF781F">
        <w:tc>
          <w:tcPr>
            <w:tcW w:w="4027" w:type="dxa"/>
            <w:tcBorders>
              <w:top w:val="single" w:sz="4" w:space="0" w:color="auto"/>
              <w:left w:val="single" w:sz="4" w:space="0" w:color="auto"/>
              <w:bottom w:val="single" w:sz="4" w:space="0" w:color="auto"/>
              <w:right w:val="single" w:sz="4" w:space="0" w:color="auto"/>
            </w:tcBorders>
            <w:hideMark/>
          </w:tcPr>
          <w:p w14:paraId="69A11D16" w14:textId="77777777" w:rsidR="00EF781F" w:rsidRDefault="00EF781F">
            <w:pPr>
              <w:keepNext/>
              <w:keepLines/>
              <w:spacing w:after="0"/>
              <w:rPr>
                <w:rFonts w:ascii="Arial" w:hAnsi="Arial"/>
                <w:i/>
                <w:sz w:val="18"/>
                <w:szCs w:val="22"/>
              </w:rPr>
            </w:pPr>
            <w:r>
              <w:rPr>
                <w:rFonts w:ascii="Arial" w:hAnsi="Arial"/>
                <w:i/>
                <w:sz w:val="18"/>
                <w:szCs w:val="22"/>
              </w:rPr>
              <w:t>RANPaging</w:t>
            </w:r>
          </w:p>
        </w:tc>
        <w:tc>
          <w:tcPr>
            <w:tcW w:w="10146" w:type="dxa"/>
            <w:tcBorders>
              <w:top w:val="single" w:sz="4" w:space="0" w:color="auto"/>
              <w:left w:val="single" w:sz="4" w:space="0" w:color="auto"/>
              <w:bottom w:val="single" w:sz="4" w:space="0" w:color="auto"/>
              <w:right w:val="single" w:sz="4" w:space="0" w:color="auto"/>
            </w:tcBorders>
            <w:hideMark/>
          </w:tcPr>
          <w:p w14:paraId="64E5D365" w14:textId="77777777" w:rsidR="00EF781F" w:rsidRDefault="00EF781F">
            <w:pPr>
              <w:keepNext/>
              <w:keepLines/>
              <w:spacing w:after="0"/>
              <w:rPr>
                <w:rFonts w:ascii="Arial" w:hAnsi="Arial"/>
                <w:sz w:val="18"/>
                <w:szCs w:val="22"/>
              </w:rPr>
            </w:pPr>
            <w:r>
              <w:rPr>
                <w:rFonts w:ascii="Arial" w:hAnsi="Arial"/>
                <w:sz w:val="18"/>
                <w:szCs w:val="22"/>
              </w:rPr>
              <w:t xml:space="preserve">This field is optionally present, Need R, if </w:t>
            </w:r>
            <w:r>
              <w:rPr>
                <w:rFonts w:ascii="Arial" w:hAnsi="Arial"/>
                <w:iCs/>
                <w:sz w:val="18"/>
                <w:lang w:eastAsia="ko-KR"/>
              </w:rPr>
              <w:t>the UE is configured with IDLE eDRX, see TS 24.501 [23]</w:t>
            </w:r>
            <w:r>
              <w:rPr>
                <w:rFonts w:ascii="Arial" w:hAnsi="Arial"/>
                <w:sz w:val="18"/>
                <w:szCs w:val="22"/>
              </w:rPr>
              <w:t>; otherwise the field is not present.</w:t>
            </w:r>
          </w:p>
        </w:tc>
      </w:tr>
      <w:tr w:rsidR="00EF781F" w14:paraId="48EA49A9" w14:textId="77777777" w:rsidTr="00EF781F">
        <w:tc>
          <w:tcPr>
            <w:tcW w:w="4027" w:type="dxa"/>
            <w:tcBorders>
              <w:top w:val="single" w:sz="4" w:space="0" w:color="auto"/>
              <w:left w:val="single" w:sz="4" w:space="0" w:color="auto"/>
              <w:bottom w:val="single" w:sz="4" w:space="0" w:color="auto"/>
              <w:right w:val="single" w:sz="4" w:space="0" w:color="auto"/>
            </w:tcBorders>
            <w:hideMark/>
          </w:tcPr>
          <w:p w14:paraId="7062EDC1" w14:textId="77777777" w:rsidR="00EF781F" w:rsidRDefault="00EF781F">
            <w:pPr>
              <w:keepNext/>
              <w:keepLines/>
              <w:spacing w:after="0"/>
              <w:rPr>
                <w:rFonts w:ascii="Arial" w:hAnsi="Arial"/>
                <w:i/>
                <w:sz w:val="18"/>
                <w:szCs w:val="22"/>
              </w:rPr>
            </w:pPr>
            <w:r>
              <w:rPr>
                <w:rFonts w:ascii="Arial" w:hAnsi="Arial"/>
                <w:i/>
                <w:sz w:val="18"/>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1E47F0B6" w14:textId="77777777" w:rsidR="00EF781F" w:rsidRDefault="00EF781F">
            <w:pPr>
              <w:keepNext/>
              <w:keepLines/>
              <w:spacing w:after="0"/>
              <w:rPr>
                <w:rFonts w:ascii="Arial" w:hAnsi="Arial"/>
                <w:sz w:val="18"/>
                <w:szCs w:val="22"/>
              </w:rPr>
            </w:pPr>
            <w:r>
              <w:rPr>
                <w:rFonts w:ascii="Arial" w:hAnsi="Arial"/>
                <w:sz w:val="18"/>
                <w:szCs w:val="22"/>
              </w:rPr>
              <w:t xml:space="preserve">The field is optionally present, Need R, if </w:t>
            </w:r>
            <w:r>
              <w:rPr>
                <w:rFonts w:ascii="Arial" w:hAnsi="Arial"/>
                <w:i/>
                <w:iCs/>
                <w:sz w:val="18"/>
                <w:szCs w:val="22"/>
              </w:rPr>
              <w:t>redirectedCarrierInfo</w:t>
            </w:r>
            <w:r>
              <w:rPr>
                <w:rFonts w:ascii="Arial" w:hAnsi="Arial"/>
                <w:sz w:val="18"/>
                <w:szCs w:val="22"/>
              </w:rPr>
              <w:t xml:space="preserve"> is included; otherwise the field is not present.</w:t>
            </w:r>
          </w:p>
        </w:tc>
      </w:tr>
      <w:bookmarkEnd w:id="641"/>
    </w:tbl>
    <w:p w14:paraId="5F18C68A" w14:textId="77777777" w:rsidR="00EF781F" w:rsidRDefault="00EF781F" w:rsidP="00EF781F">
      <w:pPr>
        <w:rPr>
          <w:rFonts w:eastAsia="Yu Mincho"/>
        </w:rPr>
      </w:pPr>
    </w:p>
    <w:p w14:paraId="4A5CBE0D" w14:textId="77777777" w:rsidR="00394471" w:rsidRPr="00FA0D37" w:rsidRDefault="00394471" w:rsidP="00394471">
      <w:pPr>
        <w:pStyle w:val="4"/>
      </w:pPr>
      <w:r w:rsidRPr="00FA0D37">
        <w:t>–</w:t>
      </w:r>
      <w:r w:rsidRPr="00FA0D37">
        <w:tab/>
      </w:r>
      <w:r w:rsidRPr="00FA0D37">
        <w:rPr>
          <w:i/>
          <w:noProof/>
        </w:rPr>
        <w:t>RRCResume</w:t>
      </w:r>
      <w:bookmarkEnd w:id="639"/>
      <w:bookmarkEnd w:id="640"/>
    </w:p>
    <w:p w14:paraId="62F3E78A" w14:textId="77777777" w:rsidR="00394471" w:rsidRPr="00FA0D37" w:rsidRDefault="00394471" w:rsidP="00394471">
      <w:r w:rsidRPr="00FA0D37">
        <w:t xml:space="preserve">The </w:t>
      </w:r>
      <w:r w:rsidRPr="00FA0D37">
        <w:rPr>
          <w:i/>
          <w:noProof/>
        </w:rPr>
        <w:t xml:space="preserve">RRCResume </w:t>
      </w:r>
      <w:r w:rsidRPr="00FA0D37">
        <w:t>message is used to resume the suspended RRC connection.</w:t>
      </w:r>
    </w:p>
    <w:p w14:paraId="42068BC6" w14:textId="77777777" w:rsidR="00394471" w:rsidRPr="00FA0D37" w:rsidRDefault="00394471" w:rsidP="00394471">
      <w:pPr>
        <w:pStyle w:val="B1"/>
      </w:pPr>
      <w:r w:rsidRPr="00FA0D37">
        <w:t>Signalling radio bearer: SRB1</w:t>
      </w:r>
    </w:p>
    <w:p w14:paraId="102D0153" w14:textId="77777777" w:rsidR="00394471" w:rsidRPr="00FA0D37" w:rsidRDefault="00394471" w:rsidP="00394471">
      <w:pPr>
        <w:pStyle w:val="B1"/>
      </w:pPr>
      <w:r w:rsidRPr="00FA0D37">
        <w:t>RLC-SAP: AM</w:t>
      </w:r>
    </w:p>
    <w:p w14:paraId="29989130" w14:textId="77777777" w:rsidR="00394471" w:rsidRPr="00FA0D37" w:rsidRDefault="00394471" w:rsidP="00394471">
      <w:pPr>
        <w:pStyle w:val="B1"/>
      </w:pPr>
      <w:r w:rsidRPr="00FA0D37">
        <w:t>Logical channel: DCCH</w:t>
      </w:r>
    </w:p>
    <w:p w14:paraId="5D06B594" w14:textId="77777777" w:rsidR="00394471" w:rsidRPr="00FA0D37" w:rsidRDefault="00394471" w:rsidP="00394471">
      <w:pPr>
        <w:pStyle w:val="B1"/>
      </w:pPr>
      <w:r w:rsidRPr="00FA0D37">
        <w:t>Direction: Network to UE</w:t>
      </w:r>
    </w:p>
    <w:p w14:paraId="6570D21E" w14:textId="77777777" w:rsidR="00394471" w:rsidRPr="00FA0D37" w:rsidRDefault="00394471" w:rsidP="00394471">
      <w:pPr>
        <w:pStyle w:val="TH"/>
      </w:pPr>
      <w:r w:rsidRPr="00FA0D37">
        <w:rPr>
          <w:i/>
        </w:rPr>
        <w:lastRenderedPageBreak/>
        <w:t>RRCResume</w:t>
      </w:r>
      <w:r w:rsidRPr="00FA0D37">
        <w:t xml:space="preserve"> message</w:t>
      </w:r>
    </w:p>
    <w:p w14:paraId="3439C38F" w14:textId="77777777" w:rsidR="00394471" w:rsidRPr="00FA0D37" w:rsidRDefault="00394471" w:rsidP="00FA0D37">
      <w:pPr>
        <w:pStyle w:val="PL"/>
        <w:rPr>
          <w:color w:val="808080"/>
        </w:rPr>
      </w:pPr>
      <w:r w:rsidRPr="00FA0D37">
        <w:rPr>
          <w:color w:val="808080"/>
        </w:rPr>
        <w:t>-- ASN1START</w:t>
      </w:r>
    </w:p>
    <w:p w14:paraId="271005B0" w14:textId="77777777" w:rsidR="00394471" w:rsidRPr="00FA0D37" w:rsidRDefault="00394471" w:rsidP="00FA0D37">
      <w:pPr>
        <w:pStyle w:val="PL"/>
        <w:rPr>
          <w:color w:val="808080"/>
        </w:rPr>
      </w:pPr>
      <w:r w:rsidRPr="00FA0D37">
        <w:rPr>
          <w:color w:val="808080"/>
        </w:rPr>
        <w:t>-- TAG-RRCRESUME-START</w:t>
      </w:r>
    </w:p>
    <w:p w14:paraId="2CB70861" w14:textId="77777777" w:rsidR="00394471" w:rsidRPr="00FA0D37" w:rsidRDefault="00394471" w:rsidP="00FA0D37">
      <w:pPr>
        <w:pStyle w:val="PL"/>
      </w:pPr>
    </w:p>
    <w:p w14:paraId="04C94A1B" w14:textId="77777777" w:rsidR="00394471" w:rsidRPr="00FA0D37" w:rsidRDefault="00394471" w:rsidP="00FA0D37">
      <w:pPr>
        <w:pStyle w:val="PL"/>
      </w:pPr>
      <w:r w:rsidRPr="00FA0D37">
        <w:t xml:space="preserve">RRCResume ::=                       </w:t>
      </w:r>
      <w:r w:rsidRPr="00FA0D37">
        <w:rPr>
          <w:color w:val="993366"/>
        </w:rPr>
        <w:t>SEQUENCE</w:t>
      </w:r>
      <w:r w:rsidRPr="00FA0D37">
        <w:t xml:space="preserve"> {</w:t>
      </w:r>
    </w:p>
    <w:p w14:paraId="392CB19F" w14:textId="77777777" w:rsidR="00394471" w:rsidRPr="00FA0D37" w:rsidRDefault="00394471" w:rsidP="00FA0D37">
      <w:pPr>
        <w:pStyle w:val="PL"/>
      </w:pPr>
      <w:r w:rsidRPr="00FA0D37">
        <w:t xml:space="preserve">    rrc-TransactionIdentifier           RRC-TransactionIdentifier,</w:t>
      </w:r>
    </w:p>
    <w:p w14:paraId="02A6E301"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575F405B" w14:textId="77777777" w:rsidR="00394471" w:rsidRPr="00FA0D37" w:rsidRDefault="00394471" w:rsidP="00FA0D37">
      <w:pPr>
        <w:pStyle w:val="PL"/>
      </w:pPr>
      <w:r w:rsidRPr="00FA0D37">
        <w:t xml:space="preserve">        rrcResume                           RRCResume-IEs,</w:t>
      </w:r>
    </w:p>
    <w:p w14:paraId="7C34B63A"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0D3FD7BE" w14:textId="77777777" w:rsidR="00394471" w:rsidRPr="00FA0D37" w:rsidRDefault="00394471" w:rsidP="00FA0D37">
      <w:pPr>
        <w:pStyle w:val="PL"/>
      </w:pPr>
      <w:r w:rsidRPr="00FA0D37">
        <w:t xml:space="preserve">    }</w:t>
      </w:r>
    </w:p>
    <w:p w14:paraId="6544537C" w14:textId="77777777" w:rsidR="00394471" w:rsidRPr="00FA0D37" w:rsidRDefault="00394471" w:rsidP="00FA0D37">
      <w:pPr>
        <w:pStyle w:val="PL"/>
      </w:pPr>
      <w:r w:rsidRPr="00FA0D37">
        <w:t>}</w:t>
      </w:r>
    </w:p>
    <w:p w14:paraId="0943B67C" w14:textId="77777777" w:rsidR="00394471" w:rsidRPr="00FA0D37" w:rsidRDefault="00394471" w:rsidP="00FA0D37">
      <w:pPr>
        <w:pStyle w:val="PL"/>
      </w:pPr>
    </w:p>
    <w:p w14:paraId="05BC5EE2" w14:textId="77777777" w:rsidR="00394471" w:rsidRPr="00FA0D37" w:rsidRDefault="00394471" w:rsidP="00FA0D37">
      <w:pPr>
        <w:pStyle w:val="PL"/>
      </w:pPr>
      <w:r w:rsidRPr="00FA0D37">
        <w:t xml:space="preserve">RRCResume-IEs ::=                   </w:t>
      </w:r>
      <w:r w:rsidRPr="00FA0D37">
        <w:rPr>
          <w:color w:val="993366"/>
        </w:rPr>
        <w:t>SEQUENCE</w:t>
      </w:r>
      <w:r w:rsidRPr="00FA0D37">
        <w:t xml:space="preserve"> {</w:t>
      </w:r>
    </w:p>
    <w:p w14:paraId="2690C18B" w14:textId="77777777" w:rsidR="00394471" w:rsidRPr="00FA0D37" w:rsidRDefault="00394471" w:rsidP="00FA0D37">
      <w:pPr>
        <w:pStyle w:val="PL"/>
        <w:rPr>
          <w:color w:val="808080"/>
        </w:rPr>
      </w:pPr>
      <w:r w:rsidRPr="00FA0D37">
        <w:t xml:space="preserve">    radioBearerConfig                   RadioBearerConfig                                               </w:t>
      </w:r>
      <w:r w:rsidRPr="00FA0D37">
        <w:rPr>
          <w:color w:val="993366"/>
        </w:rPr>
        <w:t>OPTIONAL</w:t>
      </w:r>
      <w:r w:rsidRPr="00FA0D37">
        <w:t xml:space="preserve">, </w:t>
      </w:r>
      <w:r w:rsidRPr="00FA0D37">
        <w:rPr>
          <w:color w:val="808080"/>
        </w:rPr>
        <w:t>-- Need M</w:t>
      </w:r>
    </w:p>
    <w:p w14:paraId="1A5DC93D" w14:textId="77777777" w:rsidR="00394471" w:rsidRPr="00FA0D37" w:rsidRDefault="00394471" w:rsidP="00FA0D37">
      <w:pPr>
        <w:pStyle w:val="PL"/>
        <w:rPr>
          <w:color w:val="808080"/>
        </w:rPr>
      </w:pPr>
      <w:r w:rsidRPr="00FA0D37">
        <w:t xml:space="preserve">    masterCellGroup                     </w:t>
      </w:r>
      <w:r w:rsidRPr="00FA0D37">
        <w:rPr>
          <w:color w:val="993366"/>
        </w:rPr>
        <w:t>OCTET</w:t>
      </w:r>
      <w:r w:rsidRPr="00FA0D37">
        <w:t xml:space="preserve"> </w:t>
      </w:r>
      <w:r w:rsidRPr="00FA0D37">
        <w:rPr>
          <w:color w:val="993366"/>
        </w:rPr>
        <w:t>STRING</w:t>
      </w:r>
      <w:r w:rsidRPr="00FA0D37">
        <w:t xml:space="preserve"> (CONTAINING CellGroupConfig)                       </w:t>
      </w:r>
      <w:r w:rsidRPr="00FA0D37">
        <w:rPr>
          <w:color w:val="993366"/>
        </w:rPr>
        <w:t>OPTIONAL</w:t>
      </w:r>
      <w:r w:rsidRPr="00FA0D37">
        <w:t xml:space="preserve">, </w:t>
      </w:r>
      <w:r w:rsidRPr="00FA0D37">
        <w:rPr>
          <w:color w:val="808080"/>
        </w:rPr>
        <w:t>-- Need M</w:t>
      </w:r>
    </w:p>
    <w:p w14:paraId="1AFDF78A" w14:textId="77777777" w:rsidR="00394471" w:rsidRPr="00FA0D37" w:rsidRDefault="00394471" w:rsidP="00FA0D37">
      <w:pPr>
        <w:pStyle w:val="PL"/>
        <w:rPr>
          <w:color w:val="808080"/>
        </w:rPr>
      </w:pPr>
      <w:r w:rsidRPr="00FA0D37">
        <w:t xml:space="preserve">    measConfig                          MeasConfig                                                      </w:t>
      </w:r>
      <w:r w:rsidRPr="00FA0D37">
        <w:rPr>
          <w:color w:val="993366"/>
        </w:rPr>
        <w:t>OPTIONAL</w:t>
      </w:r>
      <w:r w:rsidRPr="00FA0D37">
        <w:t xml:space="preserve">, </w:t>
      </w:r>
      <w:r w:rsidRPr="00FA0D37">
        <w:rPr>
          <w:color w:val="808080"/>
        </w:rPr>
        <w:t>-- Need M</w:t>
      </w:r>
    </w:p>
    <w:p w14:paraId="1C0E1C76" w14:textId="77777777" w:rsidR="00394471" w:rsidRPr="00FA0D37" w:rsidRDefault="00394471" w:rsidP="00FA0D37">
      <w:pPr>
        <w:pStyle w:val="PL"/>
        <w:rPr>
          <w:color w:val="808080"/>
        </w:rPr>
      </w:pPr>
      <w:r w:rsidRPr="00FA0D37">
        <w:t xml:space="preserve">    fullConfig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64669E9A"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FDF5B94" w14:textId="77777777" w:rsidR="00394471" w:rsidRPr="00FA0D37" w:rsidRDefault="00394471" w:rsidP="00FA0D37">
      <w:pPr>
        <w:pStyle w:val="PL"/>
      </w:pPr>
      <w:r w:rsidRPr="00FA0D37">
        <w:t xml:space="preserve">    nonCriticalExtension                RRCResume-v1560-IEs                                             </w:t>
      </w:r>
      <w:r w:rsidRPr="00FA0D37">
        <w:rPr>
          <w:color w:val="993366"/>
        </w:rPr>
        <w:t>OPTIONAL</w:t>
      </w:r>
    </w:p>
    <w:p w14:paraId="46C90A3E" w14:textId="77777777" w:rsidR="00394471" w:rsidRPr="00FA0D37" w:rsidRDefault="00394471" w:rsidP="00FA0D37">
      <w:pPr>
        <w:pStyle w:val="PL"/>
      </w:pPr>
      <w:r w:rsidRPr="00FA0D37">
        <w:t>}</w:t>
      </w:r>
    </w:p>
    <w:p w14:paraId="299ABF52" w14:textId="77777777" w:rsidR="00394471" w:rsidRPr="00FA0D37" w:rsidRDefault="00394471" w:rsidP="00FA0D37">
      <w:pPr>
        <w:pStyle w:val="PL"/>
      </w:pPr>
    </w:p>
    <w:p w14:paraId="30AA7B9D" w14:textId="77777777" w:rsidR="00394471" w:rsidRPr="00FA0D37" w:rsidRDefault="00394471" w:rsidP="00FA0D37">
      <w:pPr>
        <w:pStyle w:val="PL"/>
      </w:pPr>
      <w:r w:rsidRPr="00FA0D37">
        <w:t xml:space="preserve">RRCResume-v1560-IEs ::=             </w:t>
      </w:r>
      <w:r w:rsidRPr="00FA0D37">
        <w:rPr>
          <w:color w:val="993366"/>
        </w:rPr>
        <w:t>SEQUENCE</w:t>
      </w:r>
      <w:r w:rsidRPr="00FA0D37">
        <w:t xml:space="preserve"> {</w:t>
      </w:r>
    </w:p>
    <w:p w14:paraId="1755132D" w14:textId="77777777" w:rsidR="00394471" w:rsidRPr="00FA0D37" w:rsidRDefault="00394471" w:rsidP="00FA0D37">
      <w:pPr>
        <w:pStyle w:val="PL"/>
        <w:rPr>
          <w:color w:val="808080"/>
        </w:rPr>
      </w:pPr>
      <w:r w:rsidRPr="00FA0D37">
        <w:t xml:space="preserve">    radioBearerConfig2                  </w:t>
      </w:r>
      <w:r w:rsidRPr="00FA0D37">
        <w:rPr>
          <w:color w:val="993366"/>
        </w:rPr>
        <w:t>OCTET</w:t>
      </w:r>
      <w:r w:rsidRPr="00FA0D37">
        <w:t xml:space="preserve"> </w:t>
      </w:r>
      <w:r w:rsidRPr="00FA0D37">
        <w:rPr>
          <w:color w:val="993366"/>
        </w:rPr>
        <w:t>STRING</w:t>
      </w:r>
      <w:r w:rsidRPr="00FA0D37">
        <w:t xml:space="preserve"> (CONTAINING RadioBearerConfig)                     </w:t>
      </w:r>
      <w:r w:rsidRPr="00FA0D37">
        <w:rPr>
          <w:color w:val="993366"/>
        </w:rPr>
        <w:t>OPTIONAL</w:t>
      </w:r>
      <w:r w:rsidRPr="00FA0D37">
        <w:t xml:space="preserve">, </w:t>
      </w:r>
      <w:r w:rsidRPr="00FA0D37">
        <w:rPr>
          <w:color w:val="808080"/>
        </w:rPr>
        <w:t>-- Need M</w:t>
      </w:r>
    </w:p>
    <w:p w14:paraId="35CD505C" w14:textId="77777777" w:rsidR="00394471" w:rsidRPr="00FA0D37" w:rsidRDefault="00394471" w:rsidP="00FA0D37">
      <w:pPr>
        <w:pStyle w:val="PL"/>
        <w:rPr>
          <w:color w:val="808080"/>
        </w:rPr>
      </w:pPr>
      <w:r w:rsidRPr="00FA0D37">
        <w:t xml:space="preserve">    sk-Counter                          SK-Counter                                                      </w:t>
      </w:r>
      <w:r w:rsidRPr="00FA0D37">
        <w:rPr>
          <w:color w:val="993366"/>
        </w:rPr>
        <w:t>OPTIONAL</w:t>
      </w:r>
      <w:r w:rsidRPr="00FA0D37">
        <w:t xml:space="preserve">, </w:t>
      </w:r>
      <w:r w:rsidRPr="00FA0D37">
        <w:rPr>
          <w:color w:val="808080"/>
        </w:rPr>
        <w:t>-- Need N</w:t>
      </w:r>
    </w:p>
    <w:p w14:paraId="209096F1" w14:textId="77777777" w:rsidR="00394471" w:rsidRPr="00FA0D37" w:rsidRDefault="00394471" w:rsidP="00FA0D37">
      <w:pPr>
        <w:pStyle w:val="PL"/>
      </w:pPr>
      <w:r w:rsidRPr="00FA0D37">
        <w:t xml:space="preserve">    nonCriticalExtension                RRCResume-v1610-IEs                                             </w:t>
      </w:r>
      <w:r w:rsidRPr="00FA0D37">
        <w:rPr>
          <w:color w:val="993366"/>
        </w:rPr>
        <w:t>OPTIONAL</w:t>
      </w:r>
    </w:p>
    <w:p w14:paraId="65FB53E5" w14:textId="77777777" w:rsidR="00394471" w:rsidRPr="00FA0D37" w:rsidRDefault="00394471" w:rsidP="00FA0D37">
      <w:pPr>
        <w:pStyle w:val="PL"/>
      </w:pPr>
      <w:r w:rsidRPr="00FA0D37">
        <w:t>}</w:t>
      </w:r>
    </w:p>
    <w:p w14:paraId="75CE68CE" w14:textId="77777777" w:rsidR="00394471" w:rsidRPr="00FA0D37" w:rsidRDefault="00394471" w:rsidP="00FA0D37">
      <w:pPr>
        <w:pStyle w:val="PL"/>
      </w:pPr>
    </w:p>
    <w:p w14:paraId="0A97A744" w14:textId="77777777" w:rsidR="00394471" w:rsidRPr="00FA0D37" w:rsidRDefault="00394471" w:rsidP="00FA0D37">
      <w:pPr>
        <w:pStyle w:val="PL"/>
      </w:pPr>
      <w:r w:rsidRPr="00FA0D37">
        <w:t xml:space="preserve">RRCResume-v1610-IEs ::=             </w:t>
      </w:r>
      <w:r w:rsidRPr="00FA0D37">
        <w:rPr>
          <w:color w:val="993366"/>
        </w:rPr>
        <w:t>SEQUENCE</w:t>
      </w:r>
      <w:r w:rsidRPr="00FA0D37">
        <w:t xml:space="preserve"> {</w:t>
      </w:r>
    </w:p>
    <w:p w14:paraId="76F89C10" w14:textId="77777777" w:rsidR="00394471" w:rsidRPr="00FA0D37" w:rsidRDefault="00394471" w:rsidP="00FA0D37">
      <w:pPr>
        <w:pStyle w:val="PL"/>
        <w:rPr>
          <w:color w:val="808080"/>
        </w:rPr>
      </w:pPr>
      <w:r w:rsidRPr="00FA0D37">
        <w:t xml:space="preserve">    idleModeMeasurementReq-r16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3A881324" w14:textId="77777777" w:rsidR="00394471" w:rsidRPr="00FA0D37" w:rsidRDefault="00394471" w:rsidP="00FA0D37">
      <w:pPr>
        <w:pStyle w:val="PL"/>
        <w:rPr>
          <w:color w:val="808080"/>
        </w:rPr>
      </w:pPr>
      <w:r w:rsidRPr="00FA0D37">
        <w:t xml:space="preserve">    restoreMCG-SCells-r16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11531357" w14:textId="77777777" w:rsidR="00394471" w:rsidRPr="00FA0D37" w:rsidRDefault="00394471" w:rsidP="00FA0D37">
      <w:pPr>
        <w:pStyle w:val="PL"/>
        <w:rPr>
          <w:color w:val="808080"/>
        </w:rPr>
      </w:pPr>
      <w:r w:rsidRPr="00FA0D37">
        <w:t xml:space="preserve">    restoreSCG-r16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3B199A1E" w14:textId="77777777" w:rsidR="00394471" w:rsidRPr="00FA0D37" w:rsidRDefault="00394471" w:rsidP="00FA0D37">
      <w:pPr>
        <w:pStyle w:val="PL"/>
      </w:pPr>
      <w:r w:rsidRPr="00FA0D37">
        <w:t xml:space="preserve">    mrdc-SecondaryCellGroup-r16         </w:t>
      </w:r>
      <w:r w:rsidRPr="00FA0D37">
        <w:rPr>
          <w:color w:val="993366"/>
        </w:rPr>
        <w:t>CHOICE</w:t>
      </w:r>
      <w:r w:rsidRPr="00FA0D37">
        <w:t xml:space="preserve"> {</w:t>
      </w:r>
    </w:p>
    <w:p w14:paraId="603A3C80" w14:textId="77777777" w:rsidR="00394471" w:rsidRPr="00FA0D37" w:rsidRDefault="00394471" w:rsidP="00FA0D37">
      <w:pPr>
        <w:pStyle w:val="PL"/>
      </w:pPr>
      <w:r w:rsidRPr="00FA0D37">
        <w:t xml:space="preserve">        nr-SCG-r16                          </w:t>
      </w:r>
      <w:r w:rsidRPr="00FA0D37">
        <w:rPr>
          <w:color w:val="993366"/>
        </w:rPr>
        <w:t>OCTET</w:t>
      </w:r>
      <w:r w:rsidRPr="00FA0D37">
        <w:t xml:space="preserve"> </w:t>
      </w:r>
      <w:r w:rsidRPr="00FA0D37">
        <w:rPr>
          <w:color w:val="993366"/>
        </w:rPr>
        <w:t>STRING</w:t>
      </w:r>
      <w:r w:rsidRPr="00FA0D37">
        <w:t xml:space="preserve"> (CONTAINING RRCReconfiguration),</w:t>
      </w:r>
    </w:p>
    <w:p w14:paraId="352FDEE8" w14:textId="77777777" w:rsidR="00394471" w:rsidRPr="00FA0D37" w:rsidRDefault="00394471" w:rsidP="00FA0D37">
      <w:pPr>
        <w:pStyle w:val="PL"/>
      </w:pPr>
      <w:r w:rsidRPr="00FA0D37">
        <w:t xml:space="preserve">        eutra-SCG-r16                       </w:t>
      </w:r>
      <w:r w:rsidRPr="00FA0D37">
        <w:rPr>
          <w:color w:val="993366"/>
        </w:rPr>
        <w:t>OCTET</w:t>
      </w:r>
      <w:r w:rsidRPr="00FA0D37">
        <w:t xml:space="preserve"> </w:t>
      </w:r>
      <w:r w:rsidRPr="00FA0D37">
        <w:rPr>
          <w:color w:val="993366"/>
        </w:rPr>
        <w:t>STRING</w:t>
      </w:r>
    </w:p>
    <w:p w14:paraId="08872D0C"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RestoreSCG</w:t>
      </w:r>
    </w:p>
    <w:p w14:paraId="44D7D2C4" w14:textId="77777777" w:rsidR="00394471" w:rsidRPr="00FA0D37" w:rsidRDefault="00394471" w:rsidP="00FA0D37">
      <w:pPr>
        <w:pStyle w:val="PL"/>
        <w:rPr>
          <w:color w:val="808080"/>
        </w:rPr>
      </w:pPr>
      <w:r w:rsidRPr="00FA0D37">
        <w:t xml:space="preserve">    needForGapsConfigNR-r16             SetupRelease {NeedForGapsConfigNR-r16}                          </w:t>
      </w:r>
      <w:r w:rsidRPr="00FA0D37">
        <w:rPr>
          <w:color w:val="993366"/>
        </w:rPr>
        <w:t>OPTIONAL</w:t>
      </w:r>
      <w:r w:rsidRPr="00FA0D37">
        <w:t xml:space="preserve">, </w:t>
      </w:r>
      <w:r w:rsidRPr="00FA0D37">
        <w:rPr>
          <w:color w:val="808080"/>
        </w:rPr>
        <w:t>-- Need M</w:t>
      </w:r>
    </w:p>
    <w:p w14:paraId="26BD85E4" w14:textId="2FD11DF6" w:rsidR="00394471" w:rsidRPr="00FA0D37" w:rsidRDefault="00394471" w:rsidP="00FA0D37">
      <w:pPr>
        <w:pStyle w:val="PL"/>
      </w:pPr>
      <w:r w:rsidRPr="00FA0D37">
        <w:t xml:space="preserve">    nonCriticalExtension                </w:t>
      </w:r>
      <w:r w:rsidR="00FB7455" w:rsidRPr="00FA0D37">
        <w:t>RRCResume-v17</w:t>
      </w:r>
      <w:r w:rsidR="00D6273A" w:rsidRPr="00FA0D37">
        <w:t>00</w:t>
      </w:r>
      <w:r w:rsidR="00FB7455" w:rsidRPr="00FA0D37">
        <w:t>-IEs</w:t>
      </w:r>
      <w:r w:rsidRPr="00FA0D37">
        <w:t xml:space="preserve">                                             </w:t>
      </w:r>
      <w:r w:rsidRPr="00FA0D37">
        <w:rPr>
          <w:color w:val="993366"/>
        </w:rPr>
        <w:t>OPTIONAL</w:t>
      </w:r>
    </w:p>
    <w:p w14:paraId="4FC649C1" w14:textId="77777777" w:rsidR="00394471" w:rsidRPr="00FA0D37" w:rsidRDefault="00394471" w:rsidP="00FA0D37">
      <w:pPr>
        <w:pStyle w:val="PL"/>
      </w:pPr>
      <w:r w:rsidRPr="00FA0D37">
        <w:t>}</w:t>
      </w:r>
    </w:p>
    <w:p w14:paraId="6E970842" w14:textId="77777777" w:rsidR="00FB7455" w:rsidRPr="00FA0D37" w:rsidRDefault="00FB7455" w:rsidP="00FA0D37">
      <w:pPr>
        <w:pStyle w:val="PL"/>
      </w:pPr>
    </w:p>
    <w:p w14:paraId="3324C846" w14:textId="69CFF33F" w:rsidR="00FB7455" w:rsidRPr="00FA0D37" w:rsidRDefault="00FB7455" w:rsidP="00FA0D37">
      <w:pPr>
        <w:pStyle w:val="PL"/>
      </w:pPr>
      <w:r w:rsidRPr="00FA0D37">
        <w:t>RRCResume-v17</w:t>
      </w:r>
      <w:r w:rsidR="00D6273A" w:rsidRPr="00FA0D37">
        <w:t>00</w:t>
      </w:r>
      <w:r w:rsidRPr="00FA0D37">
        <w:t xml:space="preserve">-IEs ::=             </w:t>
      </w:r>
      <w:r w:rsidRPr="00FA0D37">
        <w:rPr>
          <w:color w:val="993366"/>
        </w:rPr>
        <w:t>SEQUENCE</w:t>
      </w:r>
      <w:r w:rsidRPr="00FA0D37">
        <w:t xml:space="preserve"> {</w:t>
      </w:r>
    </w:p>
    <w:p w14:paraId="2523E63F" w14:textId="6E22F4E6" w:rsidR="00FB7455" w:rsidRPr="00FA0D37" w:rsidRDefault="00FB7455" w:rsidP="00FA0D37">
      <w:pPr>
        <w:pStyle w:val="PL"/>
        <w:rPr>
          <w:color w:val="808080"/>
        </w:rPr>
      </w:pPr>
      <w:r w:rsidRPr="00FA0D37">
        <w:t xml:space="preserve">    sl-ConfigDedicatedNR-r17            SetupRelease {SL-ConfigDedicatedNR-r16}                         </w:t>
      </w:r>
      <w:r w:rsidRPr="00FA0D37">
        <w:rPr>
          <w:color w:val="993366"/>
        </w:rPr>
        <w:t>OPTIONAL</w:t>
      </w:r>
      <w:r w:rsidRPr="00FA0D37">
        <w:t xml:space="preserve">, </w:t>
      </w:r>
      <w:r w:rsidRPr="00FA0D37">
        <w:rPr>
          <w:color w:val="808080"/>
        </w:rPr>
        <w:t>-- Cond L2RemoteUE</w:t>
      </w:r>
    </w:p>
    <w:p w14:paraId="6D44B6EE" w14:textId="2A11C32A" w:rsidR="00FB7455" w:rsidRPr="00FA0D37" w:rsidRDefault="00FB7455" w:rsidP="00FA0D37">
      <w:pPr>
        <w:pStyle w:val="PL"/>
        <w:rPr>
          <w:color w:val="808080"/>
        </w:rPr>
      </w:pPr>
      <w:r w:rsidRPr="00FA0D37">
        <w:t xml:space="preserve">    sl-L2RemoteUE</w:t>
      </w:r>
      <w:r w:rsidR="002D76C2" w:rsidRPr="00FA0D37">
        <w:t>-</w:t>
      </w:r>
      <w:r w:rsidRPr="00FA0D37">
        <w:t>Config-r17            SetupRelease {SL-L2RemoteUE</w:t>
      </w:r>
      <w:r w:rsidR="002D76C2" w:rsidRPr="00FA0D37">
        <w:t>-</w:t>
      </w:r>
      <w:r w:rsidRPr="00FA0D37">
        <w:t xml:space="preserve">Config-r17}                         </w:t>
      </w:r>
      <w:r w:rsidRPr="00FA0D37">
        <w:rPr>
          <w:color w:val="993366"/>
        </w:rPr>
        <w:t>OPTIONAL</w:t>
      </w:r>
      <w:r w:rsidRPr="00FA0D37">
        <w:t xml:space="preserve">, </w:t>
      </w:r>
      <w:r w:rsidRPr="00FA0D37">
        <w:rPr>
          <w:color w:val="808080"/>
        </w:rPr>
        <w:t>-- Cond L2RemoteUE</w:t>
      </w:r>
    </w:p>
    <w:p w14:paraId="7B637691" w14:textId="6769BF69" w:rsidR="00766157" w:rsidRPr="00FA0D37" w:rsidRDefault="00766157" w:rsidP="00FA0D37">
      <w:pPr>
        <w:pStyle w:val="PL"/>
        <w:rPr>
          <w:color w:val="808080"/>
        </w:rPr>
      </w:pPr>
      <w:r w:rsidRPr="00FA0D37">
        <w:t xml:space="preserve">    needFor</w:t>
      </w:r>
      <w:r w:rsidR="000668CD" w:rsidRPr="00FA0D37">
        <w:t>Gap</w:t>
      </w:r>
      <w:r w:rsidRPr="00FA0D37">
        <w:t>NCSG-ConfigNR-r17         SetupRelease {NeedFor</w:t>
      </w:r>
      <w:r w:rsidR="000668CD" w:rsidRPr="00FA0D37">
        <w:t>Gap</w:t>
      </w:r>
      <w:r w:rsidRPr="00FA0D37">
        <w:t xml:space="preserve">NCSG-ConfigNR-r17}                      </w:t>
      </w:r>
      <w:r w:rsidRPr="00FA0D37">
        <w:rPr>
          <w:color w:val="993366"/>
        </w:rPr>
        <w:t>OPTIONAL</w:t>
      </w:r>
      <w:r w:rsidRPr="00FA0D37">
        <w:t xml:space="preserve">, </w:t>
      </w:r>
      <w:r w:rsidRPr="00FA0D37">
        <w:rPr>
          <w:color w:val="808080"/>
        </w:rPr>
        <w:t>-- Need M</w:t>
      </w:r>
    </w:p>
    <w:p w14:paraId="31C8A086" w14:textId="7C34B9BE" w:rsidR="00766157" w:rsidRPr="00FA0D37" w:rsidRDefault="00766157" w:rsidP="00FA0D37">
      <w:pPr>
        <w:pStyle w:val="PL"/>
        <w:rPr>
          <w:color w:val="808080"/>
        </w:rPr>
      </w:pPr>
      <w:r w:rsidRPr="00FA0D37">
        <w:t xml:space="preserve">    needFor</w:t>
      </w:r>
      <w:r w:rsidR="000668CD" w:rsidRPr="00FA0D37">
        <w:t>Gap</w:t>
      </w:r>
      <w:r w:rsidRPr="00FA0D37">
        <w:t>NCSG-ConfigEUTRA-r17      SetupRelease {NeedFor</w:t>
      </w:r>
      <w:r w:rsidR="000668CD" w:rsidRPr="00FA0D37">
        <w:t>Gap</w:t>
      </w:r>
      <w:r w:rsidRPr="00FA0D37">
        <w:t xml:space="preserve">NCSG-ConfigEUTRA-r17}                   </w:t>
      </w:r>
      <w:r w:rsidRPr="00FA0D37">
        <w:rPr>
          <w:color w:val="993366"/>
        </w:rPr>
        <w:t>OPTIONAL</w:t>
      </w:r>
      <w:r w:rsidRPr="00FA0D37">
        <w:t xml:space="preserve">, </w:t>
      </w:r>
      <w:r w:rsidRPr="00FA0D37">
        <w:rPr>
          <w:color w:val="808080"/>
        </w:rPr>
        <w:t>-- Need M</w:t>
      </w:r>
    </w:p>
    <w:p w14:paraId="23EEE7BA" w14:textId="043E2E99" w:rsidR="00DB6B82" w:rsidRPr="00FA0D37" w:rsidRDefault="00DB6B82" w:rsidP="00FA0D37">
      <w:pPr>
        <w:pStyle w:val="PL"/>
        <w:rPr>
          <w:color w:val="808080"/>
        </w:rPr>
      </w:pPr>
      <w:r w:rsidRPr="00FA0D37">
        <w:t xml:space="preserve">    scg-State-r17                       </w:t>
      </w:r>
      <w:r w:rsidRPr="00FA0D37">
        <w:rPr>
          <w:color w:val="993366"/>
        </w:rPr>
        <w:t>ENUMERATED</w:t>
      </w:r>
      <w:r w:rsidRPr="00FA0D37">
        <w:t xml:space="preserve"> {deactivated}                                        </w:t>
      </w:r>
      <w:r w:rsidRPr="00FA0D37">
        <w:rPr>
          <w:color w:val="993366"/>
        </w:rPr>
        <w:t>OPTIONAL</w:t>
      </w:r>
      <w:r w:rsidRPr="00FA0D37">
        <w:t xml:space="preserve">, </w:t>
      </w:r>
      <w:r w:rsidRPr="00FA0D37">
        <w:rPr>
          <w:color w:val="808080"/>
        </w:rPr>
        <w:t xml:space="preserve">-- Need </w:t>
      </w:r>
      <w:r w:rsidR="009C015E" w:rsidRPr="00FA0D37">
        <w:rPr>
          <w:color w:val="808080"/>
        </w:rPr>
        <w:t>N</w:t>
      </w:r>
    </w:p>
    <w:p w14:paraId="2412BE26" w14:textId="0B96381C" w:rsidR="0046275D" w:rsidRPr="00FA0D37" w:rsidRDefault="0046275D" w:rsidP="00FA0D37">
      <w:pPr>
        <w:pStyle w:val="PL"/>
        <w:rPr>
          <w:color w:val="808080"/>
        </w:rPr>
      </w:pPr>
      <w:r w:rsidRPr="00FA0D37">
        <w:t xml:space="preserve">    appLayerMeasConfig-r17              AppLayerMeasConfig-r17                                          </w:t>
      </w:r>
      <w:r w:rsidRPr="00FA0D37">
        <w:rPr>
          <w:color w:val="993366"/>
        </w:rPr>
        <w:t>OPTIONAL</w:t>
      </w:r>
      <w:r w:rsidRPr="00FA0D37">
        <w:t xml:space="preserve">, </w:t>
      </w:r>
      <w:r w:rsidRPr="00FA0D37">
        <w:rPr>
          <w:color w:val="808080"/>
        </w:rPr>
        <w:t>-- Need M</w:t>
      </w:r>
    </w:p>
    <w:p w14:paraId="2E2FED12" w14:textId="1CF34D4F" w:rsidR="005D3C7B" w:rsidRPr="00FA0D37" w:rsidRDefault="005D3C7B"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0508475C" w14:textId="4BB65BA8" w:rsidR="00394471" w:rsidRPr="00FA0D37" w:rsidRDefault="00FB7455" w:rsidP="00FA0D37">
      <w:pPr>
        <w:pStyle w:val="PL"/>
      </w:pPr>
      <w:r w:rsidRPr="00FA0D37">
        <w:t>}</w:t>
      </w:r>
    </w:p>
    <w:p w14:paraId="2DE72166" w14:textId="77777777" w:rsidR="00FB7455" w:rsidRPr="00FA0D37" w:rsidRDefault="00FB7455" w:rsidP="00FA0D37">
      <w:pPr>
        <w:pStyle w:val="PL"/>
      </w:pPr>
    </w:p>
    <w:p w14:paraId="29A64A86" w14:textId="77777777" w:rsidR="00394471" w:rsidRPr="00FA0D37" w:rsidRDefault="00394471" w:rsidP="00FA0D37">
      <w:pPr>
        <w:pStyle w:val="PL"/>
        <w:rPr>
          <w:color w:val="808080"/>
        </w:rPr>
      </w:pPr>
      <w:r w:rsidRPr="00FA0D37">
        <w:rPr>
          <w:color w:val="808080"/>
        </w:rPr>
        <w:t>-- TAG-RRCRESUME-STOP</w:t>
      </w:r>
    </w:p>
    <w:p w14:paraId="6B85AFB3" w14:textId="77777777" w:rsidR="00394471" w:rsidRPr="00FA0D37" w:rsidRDefault="00394471" w:rsidP="00FA0D37">
      <w:pPr>
        <w:pStyle w:val="PL"/>
        <w:rPr>
          <w:color w:val="808080"/>
        </w:rPr>
      </w:pPr>
      <w:r w:rsidRPr="00FA0D37">
        <w:rPr>
          <w:color w:val="808080"/>
        </w:rPr>
        <w:lastRenderedPageBreak/>
        <w:t>-- ASN1STOP</w:t>
      </w:r>
    </w:p>
    <w:p w14:paraId="02B248A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FBFF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94A31" w14:textId="77777777" w:rsidR="00394471" w:rsidRPr="00FA0D37" w:rsidRDefault="00394471" w:rsidP="00964CC4">
            <w:pPr>
              <w:pStyle w:val="TAH"/>
              <w:rPr>
                <w:szCs w:val="22"/>
                <w:lang w:eastAsia="sv-SE"/>
              </w:rPr>
            </w:pPr>
            <w:r w:rsidRPr="00FA0D37">
              <w:rPr>
                <w:i/>
                <w:szCs w:val="22"/>
                <w:lang w:eastAsia="sv-SE"/>
              </w:rPr>
              <w:t xml:space="preserve">RRCResume-IEs </w:t>
            </w:r>
            <w:r w:rsidRPr="00FA0D37">
              <w:rPr>
                <w:szCs w:val="22"/>
                <w:lang w:eastAsia="sv-SE"/>
              </w:rPr>
              <w:t>field descriptions</w:t>
            </w:r>
          </w:p>
        </w:tc>
      </w:tr>
      <w:tr w:rsidR="005C7FF4" w:rsidRPr="00FA0D37" w14:paraId="7626CD6E" w14:textId="77777777" w:rsidTr="0071565C">
        <w:tc>
          <w:tcPr>
            <w:tcW w:w="14173" w:type="dxa"/>
            <w:tcBorders>
              <w:top w:val="single" w:sz="4" w:space="0" w:color="auto"/>
              <w:left w:val="single" w:sz="4" w:space="0" w:color="auto"/>
              <w:bottom w:val="single" w:sz="4" w:space="0" w:color="auto"/>
              <w:right w:val="single" w:sz="4" w:space="0" w:color="auto"/>
            </w:tcBorders>
          </w:tcPr>
          <w:p w14:paraId="516A877E" w14:textId="77777777" w:rsidR="009D17A8" w:rsidRPr="00FA0D37" w:rsidRDefault="009D17A8" w:rsidP="00A12BD9">
            <w:pPr>
              <w:pStyle w:val="TAL"/>
              <w:rPr>
                <w:b/>
                <w:bCs/>
                <w:i/>
                <w:iCs/>
                <w:lang w:eastAsia="en-GB"/>
              </w:rPr>
            </w:pPr>
            <w:r w:rsidRPr="00FA0D37">
              <w:rPr>
                <w:b/>
                <w:bCs/>
                <w:i/>
                <w:iCs/>
                <w:lang w:eastAsia="en-GB"/>
              </w:rPr>
              <w:t>appLayerMeasConfig</w:t>
            </w:r>
          </w:p>
          <w:p w14:paraId="7EDCC2B6" w14:textId="77777777" w:rsidR="009D17A8" w:rsidRPr="00FA0D37" w:rsidRDefault="009D17A8" w:rsidP="0071565C">
            <w:pPr>
              <w:pStyle w:val="TAL"/>
              <w:rPr>
                <w:b/>
                <w:i/>
                <w:lang w:eastAsia="sv-SE"/>
              </w:rPr>
            </w:pPr>
            <w:r w:rsidRPr="00FA0D37">
              <w:rPr>
                <w:szCs w:val="22"/>
                <w:lang w:eastAsia="sv-SE"/>
              </w:rPr>
              <w:t>This field is used to configure</w:t>
            </w:r>
            <w:r w:rsidRPr="00FA0D37">
              <w:t xml:space="preserve"> </w:t>
            </w:r>
            <w:r w:rsidRPr="00FA0D37">
              <w:rPr>
                <w:szCs w:val="22"/>
                <w:lang w:eastAsia="sv-SE"/>
              </w:rPr>
              <w:t>application layer measurements. This field is absent when the UE is configured to operate with shared spectrum channel access.</w:t>
            </w:r>
          </w:p>
        </w:tc>
      </w:tr>
      <w:tr w:rsidR="005C7FF4" w:rsidRPr="00FA0D37" w14:paraId="51958C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68A9A8" w14:textId="77777777" w:rsidR="00394471" w:rsidRPr="00FA0D37" w:rsidRDefault="00394471" w:rsidP="00964CC4">
            <w:pPr>
              <w:pStyle w:val="TAL"/>
              <w:rPr>
                <w:b/>
                <w:bCs/>
                <w:i/>
                <w:iCs/>
                <w:noProof/>
                <w:lang w:eastAsia="ko-KR"/>
              </w:rPr>
            </w:pPr>
            <w:r w:rsidRPr="00FA0D37">
              <w:rPr>
                <w:b/>
                <w:i/>
                <w:lang w:eastAsia="sv-SE"/>
              </w:rPr>
              <w:t>idleModeMeasurementReq</w:t>
            </w:r>
          </w:p>
          <w:p w14:paraId="51414F8C" w14:textId="77777777" w:rsidR="00394471" w:rsidRPr="00FA0D37" w:rsidRDefault="00394471" w:rsidP="00964CC4">
            <w:pPr>
              <w:pStyle w:val="TAL"/>
              <w:rPr>
                <w:b/>
                <w:i/>
                <w:szCs w:val="22"/>
                <w:lang w:eastAsia="sv-SE"/>
              </w:rPr>
            </w:pPr>
            <w:r w:rsidRPr="00FA0D37">
              <w:rPr>
                <w:bCs/>
                <w:iCs/>
                <w:noProof/>
                <w:lang w:eastAsia="ko-KR"/>
              </w:rPr>
              <w:t xml:space="preserve">This field indicates that the UE shall report the idle/inactive measurements, if available, to the network in the </w:t>
            </w:r>
            <w:r w:rsidRPr="00FA0D37">
              <w:rPr>
                <w:bCs/>
                <w:i/>
                <w:iCs/>
                <w:noProof/>
                <w:lang w:eastAsia="ko-KR"/>
              </w:rPr>
              <w:t xml:space="preserve">RRCResumeComplete </w:t>
            </w:r>
            <w:r w:rsidRPr="00FA0D37">
              <w:rPr>
                <w:bCs/>
                <w:iCs/>
                <w:noProof/>
                <w:lang w:eastAsia="ko-KR"/>
              </w:rPr>
              <w:t>message</w:t>
            </w:r>
          </w:p>
        </w:tc>
      </w:tr>
      <w:tr w:rsidR="005C7FF4" w:rsidRPr="00FA0D37" w14:paraId="530617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E874A" w14:textId="77777777" w:rsidR="00394471" w:rsidRPr="00FA0D37" w:rsidRDefault="00394471" w:rsidP="00964CC4">
            <w:pPr>
              <w:pStyle w:val="TAL"/>
              <w:rPr>
                <w:szCs w:val="22"/>
                <w:lang w:eastAsia="sv-SE"/>
              </w:rPr>
            </w:pPr>
            <w:r w:rsidRPr="00FA0D37">
              <w:rPr>
                <w:b/>
                <w:i/>
                <w:szCs w:val="22"/>
                <w:lang w:eastAsia="sv-SE"/>
              </w:rPr>
              <w:t>masterCellGroup</w:t>
            </w:r>
          </w:p>
          <w:p w14:paraId="06D92250" w14:textId="77777777" w:rsidR="00394471" w:rsidRPr="00FA0D37" w:rsidRDefault="00394471" w:rsidP="00964CC4">
            <w:pPr>
              <w:pStyle w:val="TAL"/>
              <w:rPr>
                <w:szCs w:val="22"/>
                <w:lang w:eastAsia="sv-SE"/>
              </w:rPr>
            </w:pPr>
            <w:r w:rsidRPr="00FA0D37">
              <w:rPr>
                <w:szCs w:val="22"/>
                <w:lang w:eastAsia="sv-SE"/>
              </w:rPr>
              <w:t>Configuration of the master cell group.</w:t>
            </w:r>
          </w:p>
        </w:tc>
      </w:tr>
      <w:tr w:rsidR="005C7FF4" w:rsidRPr="00FA0D37" w14:paraId="023202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BD8B90" w14:textId="77777777" w:rsidR="00394471" w:rsidRPr="00FA0D37" w:rsidRDefault="00394471" w:rsidP="00964CC4">
            <w:pPr>
              <w:pStyle w:val="TAL"/>
              <w:rPr>
                <w:b/>
                <w:bCs/>
                <w:i/>
                <w:noProof/>
                <w:lang w:eastAsia="en-GB"/>
              </w:rPr>
            </w:pPr>
            <w:r w:rsidRPr="00FA0D37">
              <w:rPr>
                <w:b/>
                <w:bCs/>
                <w:i/>
                <w:noProof/>
                <w:lang w:eastAsia="en-GB"/>
              </w:rPr>
              <w:t>mrdc-SecondaryCellGroup</w:t>
            </w:r>
          </w:p>
          <w:p w14:paraId="219FDA6C" w14:textId="77777777" w:rsidR="00394471" w:rsidRPr="00FA0D37" w:rsidRDefault="00394471" w:rsidP="00964CC4">
            <w:pPr>
              <w:pStyle w:val="TAL"/>
              <w:rPr>
                <w:bCs/>
                <w:noProof/>
                <w:lang w:eastAsia="en-GB"/>
              </w:rPr>
            </w:pPr>
            <w:r w:rsidRPr="00FA0D37">
              <w:rPr>
                <w:bCs/>
                <w:noProof/>
                <w:lang w:eastAsia="en-GB"/>
              </w:rPr>
              <w:t>Includes an RRC message for SCG configuration in NR-DC or NE-DC.</w:t>
            </w:r>
          </w:p>
          <w:p w14:paraId="0C8B232D" w14:textId="22C1FFDB" w:rsidR="00394471" w:rsidRPr="00FA0D37" w:rsidRDefault="00394471" w:rsidP="00964CC4">
            <w:pPr>
              <w:pStyle w:val="TAL"/>
              <w:rPr>
                <w:lang w:eastAsia="sv-SE"/>
              </w:rPr>
            </w:pPr>
            <w:r w:rsidRPr="00FA0D37">
              <w:rPr>
                <w:lang w:eastAsia="sv-SE"/>
              </w:rPr>
              <w:t>For NR-DC (</w:t>
            </w:r>
            <w:r w:rsidRPr="00FA0D37">
              <w:rPr>
                <w:i/>
                <w:lang w:eastAsia="sv-SE"/>
              </w:rPr>
              <w:t>nr-SCG</w:t>
            </w:r>
            <w:r w:rsidRPr="00FA0D37">
              <w:rPr>
                <w:lang w:eastAsia="sv-SE"/>
              </w:rPr>
              <w:t xml:space="preserve">), </w:t>
            </w:r>
            <w:r w:rsidRPr="00FA0D37">
              <w:rPr>
                <w:i/>
                <w:lang w:eastAsia="sv-SE"/>
              </w:rPr>
              <w:t>mrdc-SecondaryCellGroup</w:t>
            </w:r>
            <w:r w:rsidRPr="00FA0D37">
              <w:rPr>
                <w:lang w:eastAsia="sv-SE"/>
              </w:rPr>
              <w:t xml:space="preserve"> contains </w:t>
            </w:r>
            <w:r w:rsidRPr="00FA0D37">
              <w:rPr>
                <w:bCs/>
                <w:noProof/>
                <w:lang w:eastAsia="en-GB"/>
              </w:rPr>
              <w:t xml:space="preserve">the </w:t>
            </w:r>
            <w:r w:rsidRPr="00FA0D37">
              <w:rPr>
                <w:bCs/>
                <w:i/>
                <w:noProof/>
                <w:lang w:eastAsia="en-GB"/>
              </w:rPr>
              <w:t>RRCReconfiguration</w:t>
            </w:r>
            <w:r w:rsidRPr="00FA0D37">
              <w:rPr>
                <w:bCs/>
                <w:noProof/>
                <w:lang w:eastAsia="en-GB"/>
              </w:rPr>
              <w:t xml:space="preserve"> message as generated (entirely) by SN gNB.</w:t>
            </w:r>
            <w:r w:rsidRPr="00FA0D37">
              <w:rPr>
                <w:lang w:eastAsia="zh-CN"/>
              </w:rPr>
              <w:t xml:space="preserve"> In this version of the specification, the RRC message </w:t>
            </w:r>
            <w:r w:rsidR="00836CAD" w:rsidRPr="00FA0D37">
              <w:rPr>
                <w:lang w:eastAsia="zh-CN"/>
              </w:rPr>
              <w:t xml:space="preserve">can </w:t>
            </w:r>
            <w:r w:rsidRPr="00FA0D37">
              <w:rPr>
                <w:lang w:eastAsia="zh-CN"/>
              </w:rPr>
              <w:t xml:space="preserve">only include fields </w:t>
            </w:r>
            <w:r w:rsidRPr="00FA0D37">
              <w:rPr>
                <w:i/>
                <w:lang w:eastAsia="sv-SE"/>
              </w:rPr>
              <w:t>secondaryCellGroup</w:t>
            </w:r>
            <w:r w:rsidRPr="00FA0D37">
              <w:t xml:space="preserve"> </w:t>
            </w:r>
            <w:r w:rsidR="00836CAD" w:rsidRPr="00FA0D37">
              <w:t>(</w:t>
            </w:r>
            <w:r w:rsidRPr="00FA0D37">
              <w:t xml:space="preserve">with at least </w:t>
            </w:r>
            <w:r w:rsidRPr="00FA0D37">
              <w:rPr>
                <w:i/>
                <w:iCs/>
              </w:rPr>
              <w:t>reconfigurationWithSync</w:t>
            </w:r>
            <w:r w:rsidR="00836CAD" w:rsidRPr="00FA0D37">
              <w:t>)</w:t>
            </w:r>
            <w:r w:rsidRPr="00FA0D37">
              <w:rPr>
                <w:i/>
                <w:iCs/>
              </w:rPr>
              <w:t>,</w:t>
            </w:r>
            <w:r w:rsidRPr="00FA0D37">
              <w:rPr>
                <w:lang w:eastAsia="sv-SE"/>
              </w:rPr>
              <w:t xml:space="preserve"> </w:t>
            </w:r>
            <w:r w:rsidR="005E6CB4" w:rsidRPr="00FA0D37">
              <w:rPr>
                <w:i/>
                <w:iCs/>
                <w:lang w:eastAsia="sv-SE"/>
              </w:rPr>
              <w:t>otherConfig</w:t>
            </w:r>
            <w:r w:rsidR="005E6CB4" w:rsidRPr="00FA0D37">
              <w:rPr>
                <w:lang w:eastAsia="sv-SE"/>
              </w:rPr>
              <w:t xml:space="preserve"> </w:t>
            </w:r>
            <w:r w:rsidRPr="00FA0D37">
              <w:rPr>
                <w:lang w:eastAsia="sv-SE"/>
              </w:rPr>
              <w:t>and</w:t>
            </w:r>
            <w:r w:rsidRPr="00FA0D37">
              <w:rPr>
                <w:i/>
                <w:lang w:eastAsia="sv-SE"/>
              </w:rPr>
              <w:t xml:space="preserve"> measConfig</w:t>
            </w:r>
            <w:r w:rsidRPr="00FA0D37">
              <w:rPr>
                <w:bCs/>
                <w:noProof/>
                <w:kern w:val="2"/>
                <w:lang w:eastAsia="zh-CN"/>
              </w:rPr>
              <w:t>.</w:t>
            </w:r>
          </w:p>
          <w:p w14:paraId="50D122D4" w14:textId="77777777" w:rsidR="00394471" w:rsidRPr="00FA0D37" w:rsidRDefault="00394471" w:rsidP="00964CC4">
            <w:pPr>
              <w:pStyle w:val="TAL"/>
              <w:rPr>
                <w:b/>
                <w:i/>
                <w:szCs w:val="22"/>
                <w:lang w:eastAsia="sv-SE"/>
              </w:rPr>
            </w:pPr>
            <w:r w:rsidRPr="00FA0D37">
              <w:rPr>
                <w:bCs/>
                <w:noProof/>
                <w:lang w:eastAsia="en-GB"/>
              </w:rPr>
              <w:t>For NE-DC (</w:t>
            </w:r>
            <w:r w:rsidRPr="00FA0D37">
              <w:rPr>
                <w:bCs/>
                <w:i/>
                <w:noProof/>
                <w:lang w:eastAsia="en-GB"/>
              </w:rPr>
              <w:t>eutra-SCG</w:t>
            </w:r>
            <w:r w:rsidRPr="00FA0D37">
              <w:rPr>
                <w:bCs/>
                <w:noProof/>
                <w:lang w:eastAsia="en-GB"/>
              </w:rPr>
              <w:t xml:space="preserve">), </w:t>
            </w:r>
            <w:r w:rsidRPr="00FA0D37">
              <w:rPr>
                <w:i/>
                <w:lang w:eastAsia="sv-SE"/>
              </w:rPr>
              <w:t>mrdc-SecondaryCellGroup</w:t>
            </w:r>
            <w:r w:rsidRPr="00FA0D37">
              <w:rPr>
                <w:bCs/>
                <w:noProof/>
                <w:lang w:eastAsia="en-GB"/>
              </w:rPr>
              <w:t xml:space="preserve"> includes the E-UTRA </w:t>
            </w:r>
            <w:r w:rsidRPr="00FA0D37">
              <w:rPr>
                <w:bCs/>
                <w:i/>
                <w:noProof/>
                <w:lang w:eastAsia="en-GB"/>
              </w:rPr>
              <w:t>RRCConnectionReconfiguration</w:t>
            </w:r>
            <w:r w:rsidRPr="00FA0D37">
              <w:rPr>
                <w:bCs/>
                <w:noProof/>
                <w:lang w:eastAsia="en-GB"/>
              </w:rPr>
              <w:t xml:space="preserve"> message as specified in TS 36.331 [10].</w:t>
            </w:r>
            <w:r w:rsidRPr="00FA0D37">
              <w:rPr>
                <w:lang w:eastAsia="zh-CN"/>
              </w:rPr>
              <w:t xml:space="preserve"> In this version of the specification, the E-UTRA RRC message only include the field </w:t>
            </w:r>
            <w:r w:rsidRPr="00FA0D37">
              <w:rPr>
                <w:i/>
                <w:lang w:eastAsia="zh-CN"/>
              </w:rPr>
              <w:t xml:space="preserve">scg-Configuration </w:t>
            </w:r>
            <w:r w:rsidRPr="00FA0D37">
              <w:rPr>
                <w:iCs/>
                <w:lang w:eastAsia="zh-CN"/>
              </w:rPr>
              <w:t xml:space="preserve">with at least </w:t>
            </w:r>
            <w:r w:rsidRPr="00FA0D37">
              <w:rPr>
                <w:i/>
                <w:lang w:eastAsia="zh-CN"/>
              </w:rPr>
              <w:t>mobilityControlInfoSCG</w:t>
            </w:r>
            <w:r w:rsidRPr="00FA0D37">
              <w:rPr>
                <w:lang w:eastAsia="zh-CN"/>
              </w:rPr>
              <w:t>.</w:t>
            </w:r>
          </w:p>
        </w:tc>
      </w:tr>
      <w:tr w:rsidR="005C7FF4" w:rsidRPr="00FA0D37" w14:paraId="7C205171" w14:textId="77777777" w:rsidTr="00964CC4">
        <w:tc>
          <w:tcPr>
            <w:tcW w:w="14173" w:type="dxa"/>
            <w:tcBorders>
              <w:top w:val="single" w:sz="4" w:space="0" w:color="auto"/>
              <w:left w:val="single" w:sz="4" w:space="0" w:color="auto"/>
              <w:bottom w:val="single" w:sz="4" w:space="0" w:color="auto"/>
              <w:right w:val="single" w:sz="4" w:space="0" w:color="auto"/>
            </w:tcBorders>
          </w:tcPr>
          <w:p w14:paraId="539D4A4A" w14:textId="77777777" w:rsidR="00394471" w:rsidRPr="00FA0D37" w:rsidRDefault="00394471" w:rsidP="00964CC4">
            <w:pPr>
              <w:pStyle w:val="TAL"/>
              <w:rPr>
                <w:b/>
                <w:bCs/>
                <w:i/>
                <w:noProof/>
                <w:lang w:eastAsia="en-GB"/>
              </w:rPr>
            </w:pPr>
            <w:r w:rsidRPr="00FA0D37">
              <w:rPr>
                <w:b/>
                <w:bCs/>
                <w:i/>
                <w:noProof/>
                <w:lang w:eastAsia="en-GB"/>
              </w:rPr>
              <w:t>needForGapsConfigNR</w:t>
            </w:r>
          </w:p>
          <w:p w14:paraId="5437CF80" w14:textId="77777777" w:rsidR="00394471" w:rsidRPr="00FA0D37" w:rsidRDefault="00394471" w:rsidP="00964CC4">
            <w:pPr>
              <w:pStyle w:val="TAL"/>
              <w:rPr>
                <w:iCs/>
                <w:noProof/>
                <w:lang w:eastAsia="en-GB"/>
              </w:rPr>
            </w:pPr>
            <w:r w:rsidRPr="00FA0D37">
              <w:rPr>
                <w:iCs/>
                <w:noProof/>
                <w:lang w:eastAsia="en-GB"/>
              </w:rPr>
              <w:t xml:space="preserve">Configuration for the UE to report measurement gap requirement information of NR target bands in the </w:t>
            </w:r>
            <w:r w:rsidRPr="00FA0D37">
              <w:rPr>
                <w:i/>
                <w:noProof/>
                <w:lang w:eastAsia="en-GB"/>
              </w:rPr>
              <w:t>RRCReconfigurationComplete</w:t>
            </w:r>
            <w:r w:rsidRPr="00FA0D37">
              <w:rPr>
                <w:iCs/>
                <w:noProof/>
                <w:lang w:eastAsia="en-GB"/>
              </w:rPr>
              <w:t xml:space="preserve"> and </w:t>
            </w:r>
            <w:r w:rsidRPr="00FA0D37">
              <w:rPr>
                <w:i/>
                <w:noProof/>
                <w:lang w:eastAsia="en-GB"/>
              </w:rPr>
              <w:t>RRCResumeComplete</w:t>
            </w:r>
            <w:r w:rsidRPr="00FA0D37">
              <w:rPr>
                <w:iCs/>
                <w:noProof/>
                <w:lang w:eastAsia="en-GB"/>
              </w:rPr>
              <w:t xml:space="preserve"> message.</w:t>
            </w:r>
          </w:p>
        </w:tc>
      </w:tr>
      <w:tr w:rsidR="005C7FF4" w:rsidRPr="00FA0D37" w14:paraId="72859A3B" w14:textId="77777777" w:rsidTr="00964CC4">
        <w:tc>
          <w:tcPr>
            <w:tcW w:w="14173" w:type="dxa"/>
            <w:tcBorders>
              <w:top w:val="single" w:sz="4" w:space="0" w:color="auto"/>
              <w:left w:val="single" w:sz="4" w:space="0" w:color="auto"/>
              <w:bottom w:val="single" w:sz="4" w:space="0" w:color="auto"/>
              <w:right w:val="single" w:sz="4" w:space="0" w:color="auto"/>
            </w:tcBorders>
          </w:tcPr>
          <w:p w14:paraId="144D82DE" w14:textId="32E770B5" w:rsidR="00766157" w:rsidRPr="00FA0D37" w:rsidRDefault="00766157" w:rsidP="00766157">
            <w:pPr>
              <w:pStyle w:val="TAL"/>
              <w:rPr>
                <w:b/>
                <w:bCs/>
                <w:i/>
                <w:noProof/>
                <w:lang w:eastAsia="en-GB"/>
              </w:rPr>
            </w:pPr>
            <w:r w:rsidRPr="00FA0D37">
              <w:rPr>
                <w:b/>
                <w:bCs/>
                <w:i/>
                <w:noProof/>
                <w:lang w:eastAsia="en-GB"/>
              </w:rPr>
              <w:t>needFor</w:t>
            </w:r>
            <w:r w:rsidR="000668CD" w:rsidRPr="00FA0D37">
              <w:rPr>
                <w:b/>
                <w:bCs/>
                <w:i/>
                <w:noProof/>
                <w:lang w:eastAsia="en-GB"/>
              </w:rPr>
              <w:t>Gap</w:t>
            </w:r>
            <w:r w:rsidRPr="00FA0D37">
              <w:rPr>
                <w:b/>
                <w:bCs/>
                <w:i/>
                <w:noProof/>
                <w:lang w:eastAsia="en-GB"/>
              </w:rPr>
              <w:t>NCSG-ConfigEUTRA</w:t>
            </w:r>
          </w:p>
          <w:p w14:paraId="34BDDAF4" w14:textId="7CA22947" w:rsidR="00766157" w:rsidRPr="00FA0D37" w:rsidRDefault="00766157" w:rsidP="00766157">
            <w:pPr>
              <w:pStyle w:val="TAL"/>
              <w:rPr>
                <w:b/>
                <w:bCs/>
                <w:i/>
                <w:noProof/>
                <w:lang w:eastAsia="en-GB"/>
              </w:rPr>
            </w:pPr>
            <w:r w:rsidRPr="00FA0D37">
              <w:rPr>
                <w:iCs/>
                <w:noProof/>
                <w:lang w:eastAsia="en-GB"/>
              </w:rPr>
              <w:t>Configuration for the UE to report measurement gap and NCSG requirement information of E</w:t>
            </w:r>
            <w:r w:rsidRPr="00FA0D37">
              <w:rPr>
                <w:iCs/>
                <w:noProof/>
                <w:lang w:eastAsia="en-GB"/>
              </w:rPr>
              <w:noBreakHyphen/>
              <w:t xml:space="preserve">UTRA target bands in the </w:t>
            </w:r>
            <w:r w:rsidRPr="00FA0D37">
              <w:rPr>
                <w:i/>
                <w:noProof/>
                <w:lang w:eastAsia="en-GB"/>
              </w:rPr>
              <w:t>RRCReconfigurationComplete</w:t>
            </w:r>
            <w:r w:rsidRPr="00FA0D37">
              <w:rPr>
                <w:iCs/>
                <w:noProof/>
                <w:lang w:eastAsia="en-GB"/>
              </w:rPr>
              <w:t xml:space="preserve"> and </w:t>
            </w:r>
            <w:r w:rsidRPr="00FA0D37">
              <w:rPr>
                <w:i/>
                <w:noProof/>
                <w:lang w:eastAsia="en-GB"/>
              </w:rPr>
              <w:t>RRCResumeComplete</w:t>
            </w:r>
            <w:r w:rsidRPr="00FA0D37">
              <w:rPr>
                <w:iCs/>
                <w:noProof/>
                <w:lang w:eastAsia="en-GB"/>
              </w:rPr>
              <w:t xml:space="preserve"> message.</w:t>
            </w:r>
          </w:p>
        </w:tc>
      </w:tr>
      <w:tr w:rsidR="005C7FF4" w:rsidRPr="00FA0D37" w14:paraId="0218D72C" w14:textId="77777777" w:rsidTr="00964CC4">
        <w:tc>
          <w:tcPr>
            <w:tcW w:w="14173" w:type="dxa"/>
            <w:tcBorders>
              <w:top w:val="single" w:sz="4" w:space="0" w:color="auto"/>
              <w:left w:val="single" w:sz="4" w:space="0" w:color="auto"/>
              <w:bottom w:val="single" w:sz="4" w:space="0" w:color="auto"/>
              <w:right w:val="single" w:sz="4" w:space="0" w:color="auto"/>
            </w:tcBorders>
          </w:tcPr>
          <w:p w14:paraId="53C123F5" w14:textId="2EE52EDC" w:rsidR="00E616AE" w:rsidRPr="00FA0D37" w:rsidRDefault="00E616AE" w:rsidP="00E616AE">
            <w:pPr>
              <w:pStyle w:val="TAL"/>
              <w:rPr>
                <w:b/>
                <w:bCs/>
                <w:i/>
                <w:noProof/>
                <w:lang w:eastAsia="en-GB"/>
              </w:rPr>
            </w:pPr>
            <w:r w:rsidRPr="00FA0D37">
              <w:rPr>
                <w:b/>
                <w:bCs/>
                <w:i/>
                <w:noProof/>
                <w:lang w:eastAsia="en-GB"/>
              </w:rPr>
              <w:t>needFor</w:t>
            </w:r>
            <w:r w:rsidR="000668CD" w:rsidRPr="00FA0D37">
              <w:rPr>
                <w:b/>
                <w:bCs/>
                <w:i/>
                <w:noProof/>
                <w:lang w:eastAsia="en-GB"/>
              </w:rPr>
              <w:t>Gap</w:t>
            </w:r>
            <w:r w:rsidRPr="00FA0D37">
              <w:rPr>
                <w:b/>
                <w:bCs/>
                <w:i/>
                <w:noProof/>
                <w:lang w:eastAsia="en-GB"/>
              </w:rPr>
              <w:t>NCSG-ConfigNR</w:t>
            </w:r>
          </w:p>
          <w:p w14:paraId="5C71500D" w14:textId="338D4226" w:rsidR="00E616AE" w:rsidRPr="00FA0D37" w:rsidRDefault="00E616AE" w:rsidP="00E616AE">
            <w:pPr>
              <w:pStyle w:val="TAL"/>
              <w:rPr>
                <w:b/>
                <w:bCs/>
                <w:i/>
                <w:noProof/>
                <w:lang w:eastAsia="en-GB"/>
              </w:rPr>
            </w:pPr>
            <w:r w:rsidRPr="00FA0D37">
              <w:rPr>
                <w:iCs/>
                <w:noProof/>
                <w:lang w:eastAsia="en-GB"/>
              </w:rPr>
              <w:t xml:space="preserve">Configuration for the UE to report measurement gap and NCSG requirement information of NR target bands in the </w:t>
            </w:r>
            <w:r w:rsidRPr="00FA0D37">
              <w:rPr>
                <w:i/>
                <w:noProof/>
                <w:lang w:eastAsia="en-GB"/>
              </w:rPr>
              <w:t>RRCReconfigurationComplete</w:t>
            </w:r>
            <w:r w:rsidRPr="00FA0D37">
              <w:rPr>
                <w:iCs/>
                <w:noProof/>
                <w:lang w:eastAsia="en-GB"/>
              </w:rPr>
              <w:t xml:space="preserve"> and </w:t>
            </w:r>
            <w:r w:rsidRPr="00FA0D37">
              <w:rPr>
                <w:i/>
                <w:noProof/>
                <w:lang w:eastAsia="en-GB"/>
              </w:rPr>
              <w:t>RRCResumeComplete</w:t>
            </w:r>
            <w:r w:rsidRPr="00FA0D37">
              <w:rPr>
                <w:iCs/>
                <w:noProof/>
                <w:lang w:eastAsia="en-GB"/>
              </w:rPr>
              <w:t xml:space="preserve"> message.</w:t>
            </w:r>
          </w:p>
        </w:tc>
      </w:tr>
      <w:tr w:rsidR="005C7FF4" w:rsidRPr="00FA0D37" w14:paraId="3AD2A8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E1441F" w14:textId="77777777" w:rsidR="00394471" w:rsidRPr="00FA0D37" w:rsidRDefault="00394471" w:rsidP="00964CC4">
            <w:pPr>
              <w:pStyle w:val="TAL"/>
              <w:rPr>
                <w:szCs w:val="22"/>
                <w:lang w:eastAsia="sv-SE"/>
              </w:rPr>
            </w:pPr>
            <w:r w:rsidRPr="00FA0D37">
              <w:rPr>
                <w:b/>
                <w:i/>
                <w:szCs w:val="22"/>
                <w:lang w:eastAsia="sv-SE"/>
              </w:rPr>
              <w:t>radioBearerConfig</w:t>
            </w:r>
          </w:p>
          <w:p w14:paraId="22FF6501" w14:textId="21F93CBC" w:rsidR="00394471" w:rsidRPr="00FA0D37" w:rsidRDefault="00394471" w:rsidP="00964CC4">
            <w:pPr>
              <w:pStyle w:val="TAL"/>
              <w:rPr>
                <w:szCs w:val="22"/>
                <w:lang w:eastAsia="sv-SE"/>
              </w:rPr>
            </w:pPr>
            <w:r w:rsidRPr="00FA0D37">
              <w:rPr>
                <w:szCs w:val="22"/>
                <w:lang w:eastAsia="sv-SE"/>
              </w:rPr>
              <w:t>Configuration of Radio Bearers (DRBs, SRBs</w:t>
            </w:r>
            <w:r w:rsidR="00FD05B6" w:rsidRPr="00FA0D37">
              <w:rPr>
                <w:szCs w:val="22"/>
                <w:lang w:eastAsia="sv-SE"/>
              </w:rPr>
              <w:t>, multicast MRBs</w:t>
            </w:r>
            <w:r w:rsidRPr="00FA0D37">
              <w:rPr>
                <w:szCs w:val="22"/>
                <w:lang w:eastAsia="sv-SE"/>
              </w:rPr>
              <w:t>) including SDAP/PDCP.</w:t>
            </w:r>
          </w:p>
        </w:tc>
      </w:tr>
      <w:tr w:rsidR="005C7FF4" w:rsidRPr="00FA0D37" w14:paraId="023918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863957" w14:textId="77777777" w:rsidR="00394471" w:rsidRPr="00FA0D37" w:rsidRDefault="00394471" w:rsidP="00964CC4">
            <w:pPr>
              <w:pStyle w:val="TAL"/>
              <w:rPr>
                <w:b/>
                <w:i/>
                <w:szCs w:val="22"/>
                <w:lang w:eastAsia="sv-SE"/>
              </w:rPr>
            </w:pPr>
            <w:r w:rsidRPr="00FA0D37">
              <w:rPr>
                <w:b/>
                <w:i/>
                <w:szCs w:val="22"/>
                <w:lang w:eastAsia="sv-SE"/>
              </w:rPr>
              <w:t>radioBearerConfig2</w:t>
            </w:r>
          </w:p>
          <w:p w14:paraId="3E529C0B" w14:textId="77777777" w:rsidR="00394471" w:rsidRPr="00FA0D37" w:rsidRDefault="00394471" w:rsidP="00964CC4">
            <w:pPr>
              <w:pStyle w:val="TAL"/>
              <w:rPr>
                <w:szCs w:val="22"/>
                <w:lang w:eastAsia="sv-SE"/>
              </w:rPr>
            </w:pPr>
            <w:r w:rsidRPr="00FA0D37">
              <w:rPr>
                <w:szCs w:val="22"/>
                <w:lang w:eastAsia="sv-SE"/>
              </w:rPr>
              <w:t>Configuration of Radio Bearers (DRBs, SRBs) including SDAP/PDCP. This field can only be used if the UE supports NR-DC or NE-DC.</w:t>
            </w:r>
          </w:p>
        </w:tc>
      </w:tr>
      <w:tr w:rsidR="005C7FF4" w:rsidRPr="00FA0D37" w14:paraId="72811A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7C4322" w14:textId="77777777" w:rsidR="00394471" w:rsidRPr="00FA0D37" w:rsidRDefault="00394471" w:rsidP="00964CC4">
            <w:pPr>
              <w:pStyle w:val="TAL"/>
              <w:rPr>
                <w:b/>
                <w:bCs/>
                <w:i/>
                <w:iCs/>
                <w:lang w:eastAsia="x-none"/>
              </w:rPr>
            </w:pPr>
            <w:r w:rsidRPr="00FA0D37">
              <w:rPr>
                <w:b/>
                <w:bCs/>
                <w:i/>
                <w:iCs/>
                <w:lang w:eastAsia="x-none"/>
              </w:rPr>
              <w:t>restoreMCG-SCells</w:t>
            </w:r>
          </w:p>
          <w:p w14:paraId="31284F90" w14:textId="77777777" w:rsidR="00394471" w:rsidRPr="00FA0D37" w:rsidRDefault="00394471" w:rsidP="00964CC4">
            <w:pPr>
              <w:pStyle w:val="TAL"/>
              <w:rPr>
                <w:lang w:eastAsia="sv-SE"/>
              </w:rPr>
            </w:pPr>
            <w:r w:rsidRPr="00FA0D37">
              <w:rPr>
                <w:lang w:eastAsia="sv-SE"/>
              </w:rPr>
              <w:t>Indicates that the UE shall restore the MCG SCells from the UE Inactive AS Context, if stored.</w:t>
            </w:r>
          </w:p>
        </w:tc>
      </w:tr>
      <w:tr w:rsidR="005C7FF4" w:rsidRPr="00FA0D37" w14:paraId="763957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1D259" w14:textId="77777777" w:rsidR="00394471" w:rsidRPr="00FA0D37" w:rsidRDefault="00394471" w:rsidP="00964CC4">
            <w:pPr>
              <w:pStyle w:val="TAL"/>
              <w:rPr>
                <w:b/>
                <w:bCs/>
                <w:i/>
                <w:noProof/>
                <w:lang w:eastAsia="en-GB"/>
              </w:rPr>
            </w:pPr>
            <w:r w:rsidRPr="00FA0D37">
              <w:rPr>
                <w:b/>
                <w:bCs/>
                <w:i/>
                <w:noProof/>
                <w:lang w:eastAsia="en-GB"/>
              </w:rPr>
              <w:t>restoreSCG</w:t>
            </w:r>
          </w:p>
          <w:p w14:paraId="3B4F8F4D" w14:textId="77777777" w:rsidR="00394471" w:rsidRPr="00FA0D37" w:rsidRDefault="00394471" w:rsidP="00964CC4">
            <w:pPr>
              <w:pStyle w:val="TAL"/>
              <w:rPr>
                <w:b/>
                <w:i/>
                <w:szCs w:val="22"/>
                <w:lang w:eastAsia="sv-SE"/>
              </w:rPr>
            </w:pPr>
            <w:r w:rsidRPr="00FA0D37">
              <w:rPr>
                <w:bCs/>
                <w:noProof/>
                <w:lang w:eastAsia="en-GB"/>
              </w:rPr>
              <w:t xml:space="preserve">Indicates that the UE shall </w:t>
            </w:r>
            <w:r w:rsidRPr="00FA0D37">
              <w:rPr>
                <w:bCs/>
                <w:noProof/>
              </w:rPr>
              <w:t xml:space="preserve">restore </w:t>
            </w:r>
            <w:r w:rsidRPr="00FA0D37">
              <w:rPr>
                <w:bCs/>
                <w:noProof/>
                <w:lang w:eastAsia="en-GB"/>
              </w:rPr>
              <w:t>the SCG configurations</w:t>
            </w:r>
            <w:r w:rsidRPr="00FA0D37">
              <w:rPr>
                <w:bCs/>
                <w:noProof/>
              </w:rPr>
              <w:t xml:space="preserve"> </w:t>
            </w:r>
            <w:r w:rsidRPr="00FA0D37">
              <w:t>from the UE Inactive AS Context</w:t>
            </w:r>
            <w:r w:rsidRPr="00FA0D37">
              <w:rPr>
                <w:bCs/>
                <w:noProof/>
                <w:lang w:eastAsia="en-GB"/>
              </w:rPr>
              <w:t xml:space="preserve">, if </w:t>
            </w:r>
            <w:r w:rsidRPr="00FA0D37">
              <w:rPr>
                <w:bCs/>
                <w:noProof/>
              </w:rPr>
              <w:t>stored</w:t>
            </w:r>
            <w:r w:rsidRPr="00FA0D37">
              <w:rPr>
                <w:bCs/>
                <w:noProof/>
                <w:lang w:eastAsia="en-GB"/>
              </w:rPr>
              <w:t>.</w:t>
            </w:r>
          </w:p>
        </w:tc>
      </w:tr>
      <w:tr w:rsidR="005C7FF4" w:rsidRPr="00FA0D37" w14:paraId="05511F7B" w14:textId="77777777" w:rsidTr="00771058">
        <w:tc>
          <w:tcPr>
            <w:tcW w:w="14173" w:type="dxa"/>
            <w:tcBorders>
              <w:top w:val="single" w:sz="4" w:space="0" w:color="auto"/>
              <w:left w:val="single" w:sz="4" w:space="0" w:color="auto"/>
              <w:bottom w:val="single" w:sz="4" w:space="0" w:color="auto"/>
              <w:right w:val="single" w:sz="4" w:space="0" w:color="auto"/>
            </w:tcBorders>
          </w:tcPr>
          <w:p w14:paraId="52D50281" w14:textId="77777777" w:rsidR="00DB6B82" w:rsidRPr="00FA0D37" w:rsidRDefault="00DB6B82" w:rsidP="00771058">
            <w:pPr>
              <w:pStyle w:val="TAL"/>
              <w:rPr>
                <w:b/>
                <w:bCs/>
                <w:i/>
                <w:lang w:eastAsia="en-GB"/>
              </w:rPr>
            </w:pPr>
            <w:r w:rsidRPr="00FA0D37">
              <w:rPr>
                <w:b/>
                <w:bCs/>
                <w:i/>
                <w:lang w:eastAsia="en-GB"/>
              </w:rPr>
              <w:t>scg-State</w:t>
            </w:r>
          </w:p>
          <w:p w14:paraId="50CDE182" w14:textId="77777777" w:rsidR="00DB6B82" w:rsidRPr="00FA0D37" w:rsidRDefault="00DB6B82" w:rsidP="00771058">
            <w:pPr>
              <w:pStyle w:val="TAL"/>
              <w:rPr>
                <w:bCs/>
                <w:lang w:eastAsia="en-GB"/>
              </w:rPr>
            </w:pPr>
            <w:r w:rsidRPr="00FA0D37">
              <w:rPr>
                <w:bCs/>
                <w:lang w:eastAsia="en-GB"/>
              </w:rPr>
              <w:t>Indicates that the SCG is in deactivated state.</w:t>
            </w:r>
          </w:p>
        </w:tc>
      </w:tr>
      <w:tr w:rsidR="005C7FF4" w:rsidRPr="00FA0D37" w14:paraId="4F0EDE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29A97" w14:textId="77777777" w:rsidR="00394471" w:rsidRPr="00FA0D37" w:rsidRDefault="00394471" w:rsidP="00964CC4">
            <w:pPr>
              <w:pStyle w:val="TAL"/>
              <w:rPr>
                <w:b/>
                <w:i/>
                <w:szCs w:val="22"/>
                <w:lang w:eastAsia="sv-SE"/>
              </w:rPr>
            </w:pPr>
            <w:r w:rsidRPr="00FA0D37">
              <w:rPr>
                <w:b/>
                <w:i/>
                <w:szCs w:val="22"/>
                <w:lang w:eastAsia="sv-SE"/>
              </w:rPr>
              <w:t>sk-Counter</w:t>
            </w:r>
          </w:p>
          <w:p w14:paraId="7A8157B6" w14:textId="6625329B" w:rsidR="00394471" w:rsidRPr="00FA0D37" w:rsidRDefault="00394471" w:rsidP="00964CC4">
            <w:pPr>
              <w:pStyle w:val="TAL"/>
              <w:rPr>
                <w:lang w:eastAsia="sv-SE"/>
              </w:rPr>
            </w:pPr>
            <w:r w:rsidRPr="00FA0D37">
              <w:rPr>
                <w:lang w:eastAsia="sv-SE"/>
              </w:rPr>
              <w:t>A counter used to derive S-K</w:t>
            </w:r>
            <w:r w:rsidRPr="00FA0D37">
              <w:rPr>
                <w:vertAlign w:val="subscript"/>
                <w:lang w:eastAsia="sv-SE"/>
              </w:rPr>
              <w:t>gNB</w:t>
            </w:r>
            <w:r w:rsidRPr="00FA0D37">
              <w:rPr>
                <w:lang w:eastAsia="sv-SE"/>
              </w:rPr>
              <w:t xml:space="preserve"> or S-K</w:t>
            </w:r>
            <w:r w:rsidRPr="00FA0D37">
              <w:rPr>
                <w:vertAlign w:val="subscript"/>
                <w:lang w:eastAsia="sv-SE"/>
              </w:rPr>
              <w:t>eNB</w:t>
            </w:r>
            <w:r w:rsidRPr="00FA0D37">
              <w:rPr>
                <w:lang w:eastAsia="sv-SE"/>
              </w:rPr>
              <w:t xml:space="preserve"> based on the newly derived K</w:t>
            </w:r>
            <w:r w:rsidRPr="00FA0D37">
              <w:rPr>
                <w:vertAlign w:val="subscript"/>
                <w:lang w:eastAsia="sv-SE"/>
              </w:rPr>
              <w:t>gNB</w:t>
            </w:r>
            <w:r w:rsidRPr="00FA0D37">
              <w:rPr>
                <w:lang w:eastAsia="sv-SE"/>
              </w:rPr>
              <w:t xml:space="preserve"> during RRC Resume. The field is only included when there is one or more RB with </w:t>
            </w:r>
            <w:r w:rsidRPr="00FA0D37">
              <w:rPr>
                <w:i/>
                <w:iCs/>
                <w:lang w:eastAsia="sv-SE"/>
              </w:rPr>
              <w:t>keyToUse</w:t>
            </w:r>
            <w:r w:rsidRPr="00FA0D37">
              <w:rPr>
                <w:lang w:eastAsia="sv-SE"/>
              </w:rPr>
              <w:t xml:space="preserve"> set to </w:t>
            </w:r>
            <w:r w:rsidRPr="00FA0D37">
              <w:rPr>
                <w:i/>
                <w:iCs/>
                <w:lang w:eastAsia="sv-SE"/>
              </w:rPr>
              <w:t>secondary</w:t>
            </w:r>
            <w:r w:rsidRPr="00FA0D37">
              <w:t xml:space="preserve"> </w:t>
            </w:r>
            <w:r w:rsidRPr="00FA0D37">
              <w:rPr>
                <w:i/>
                <w:iCs/>
                <w:lang w:eastAsia="sv-SE"/>
              </w:rPr>
              <w:t xml:space="preserve">or </w:t>
            </w:r>
            <w:r w:rsidR="005E6CB4" w:rsidRPr="00FA0D37">
              <w:rPr>
                <w:i/>
                <w:iCs/>
              </w:rPr>
              <w:t>mrdc-SecondaryCellGroup</w:t>
            </w:r>
            <w:r w:rsidR="005E6CB4" w:rsidRPr="00FA0D37">
              <w:t xml:space="preserve"> is included</w:t>
            </w:r>
            <w:r w:rsidRPr="00FA0D37">
              <w:rPr>
                <w:lang w:eastAsia="sv-SE"/>
              </w:rPr>
              <w:t>.</w:t>
            </w:r>
          </w:p>
        </w:tc>
      </w:tr>
      <w:tr w:rsidR="005C7FF4" w:rsidRPr="00FA0D37" w14:paraId="1693FFD9"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519B6868" w14:textId="77777777" w:rsidR="00FB7455" w:rsidRPr="00FA0D37" w:rsidRDefault="00FB7455" w:rsidP="00771058">
            <w:pPr>
              <w:pStyle w:val="TAL"/>
              <w:rPr>
                <w:bCs/>
                <w:iCs/>
                <w:szCs w:val="22"/>
                <w:lang w:eastAsia="sv-SE"/>
              </w:rPr>
            </w:pPr>
            <w:r w:rsidRPr="00FA0D37">
              <w:rPr>
                <w:b/>
                <w:i/>
                <w:szCs w:val="22"/>
                <w:lang w:eastAsia="sv-SE"/>
              </w:rPr>
              <w:t>sl-ConfigDedicatedNR</w:t>
            </w:r>
          </w:p>
          <w:p w14:paraId="52014A80" w14:textId="77777777" w:rsidR="00FB7455" w:rsidRPr="00FA0D37" w:rsidRDefault="00FB7455" w:rsidP="00771058">
            <w:pPr>
              <w:pStyle w:val="TAL"/>
              <w:rPr>
                <w:b/>
                <w:i/>
                <w:szCs w:val="22"/>
                <w:lang w:eastAsia="sv-SE"/>
              </w:rPr>
            </w:pPr>
            <w:r w:rsidRPr="00FA0D37">
              <w:rPr>
                <w:bCs/>
                <w:iCs/>
                <w:szCs w:val="22"/>
                <w:lang w:eastAsia="sv-SE"/>
              </w:rPr>
              <w:t>This field is used to provide the dedicated configurations for NR sidelink communication/discovery used by L2 U2N Remote UE.</w:t>
            </w:r>
          </w:p>
        </w:tc>
      </w:tr>
      <w:tr w:rsidR="000830BB" w:rsidRPr="00FA0D37" w14:paraId="4267B17E"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46CAD829" w14:textId="218DBB0B" w:rsidR="00FB7455" w:rsidRPr="00FA0D37" w:rsidRDefault="00FB7455" w:rsidP="00771058">
            <w:pPr>
              <w:pStyle w:val="TAL"/>
              <w:rPr>
                <w:b/>
                <w:i/>
                <w:szCs w:val="22"/>
                <w:lang w:eastAsia="sv-SE"/>
              </w:rPr>
            </w:pPr>
            <w:r w:rsidRPr="00FA0D37">
              <w:rPr>
                <w:b/>
                <w:i/>
                <w:szCs w:val="22"/>
                <w:lang w:eastAsia="sv-SE"/>
              </w:rPr>
              <w:t>sl-L2RemoteUE</w:t>
            </w:r>
            <w:r w:rsidR="002D76C2" w:rsidRPr="00FA0D37">
              <w:rPr>
                <w:b/>
                <w:i/>
                <w:szCs w:val="22"/>
                <w:lang w:eastAsia="sv-SE"/>
              </w:rPr>
              <w:t>-</w:t>
            </w:r>
            <w:r w:rsidRPr="00FA0D37">
              <w:rPr>
                <w:b/>
                <w:i/>
                <w:szCs w:val="22"/>
                <w:lang w:eastAsia="sv-SE"/>
              </w:rPr>
              <w:t>Config</w:t>
            </w:r>
          </w:p>
          <w:p w14:paraId="6ED37CCD" w14:textId="76FB2F44" w:rsidR="00FB7455" w:rsidRPr="00FA0D37" w:rsidRDefault="00FB7455" w:rsidP="00771058">
            <w:pPr>
              <w:pStyle w:val="TAL"/>
              <w:rPr>
                <w:bCs/>
                <w:iCs/>
                <w:szCs w:val="22"/>
                <w:lang w:eastAsia="sv-SE"/>
              </w:rPr>
            </w:pPr>
            <w:r w:rsidRPr="00FA0D37">
              <w:rPr>
                <w:bCs/>
                <w:iCs/>
                <w:szCs w:val="22"/>
                <w:lang w:eastAsia="sv-SE"/>
              </w:rPr>
              <w:t>Contains L2 U2N relay operation related configurations used by L2 U2N Remote UE.</w:t>
            </w:r>
            <w:r w:rsidR="00984519" w:rsidRPr="00FA0D37">
              <w:rPr>
                <w:rFonts w:cs="Arial"/>
                <w:bCs/>
                <w:iCs/>
                <w:szCs w:val="22"/>
                <w:lang w:eastAsia="sv-SE"/>
              </w:rPr>
              <w:t xml:space="preserve"> </w:t>
            </w:r>
            <w:r w:rsidR="00984519" w:rsidRPr="00FA0D37">
              <w:rPr>
                <w:rFonts w:cs="Arial"/>
                <w:bCs/>
                <w:lang w:eastAsia="en-GB"/>
              </w:rPr>
              <w:t xml:space="preserve">The field is absent if </w:t>
            </w:r>
            <w:r w:rsidR="00984519" w:rsidRPr="00FA0D37">
              <w:rPr>
                <w:rFonts w:cs="Arial"/>
                <w:bCs/>
                <w:i/>
                <w:lang w:eastAsia="en-GB"/>
              </w:rPr>
              <w:t>appLayerMeasConfig</w:t>
            </w:r>
            <w:r w:rsidR="00984519" w:rsidRPr="00FA0D37">
              <w:rPr>
                <w:rFonts w:cs="Arial"/>
                <w:bCs/>
                <w:lang w:eastAsia="en-GB"/>
              </w:rPr>
              <w:t xml:space="preserve"> or SRB4 is configured/not released.</w:t>
            </w:r>
          </w:p>
        </w:tc>
      </w:tr>
    </w:tbl>
    <w:p w14:paraId="087C7D6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CBBC0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E3720C" w14:textId="77777777" w:rsidR="00394471" w:rsidRPr="00FA0D37" w:rsidRDefault="00394471" w:rsidP="00964CC4">
            <w:pPr>
              <w:pStyle w:val="TAH"/>
              <w:rPr>
                <w:szCs w:val="22"/>
                <w:lang w:eastAsia="en-US"/>
              </w:rPr>
            </w:pPr>
            <w:r w:rsidRPr="00FA0D37">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AEE7A" w14:textId="77777777" w:rsidR="00394471" w:rsidRPr="00FA0D37" w:rsidRDefault="00394471" w:rsidP="00964CC4">
            <w:pPr>
              <w:pStyle w:val="TAH"/>
              <w:rPr>
                <w:szCs w:val="22"/>
                <w:lang w:eastAsia="en-US"/>
              </w:rPr>
            </w:pPr>
            <w:r w:rsidRPr="00FA0D37">
              <w:rPr>
                <w:szCs w:val="22"/>
                <w:lang w:eastAsia="en-US"/>
              </w:rPr>
              <w:t>Explanation</w:t>
            </w:r>
          </w:p>
        </w:tc>
      </w:tr>
      <w:tr w:rsidR="005C7FF4" w:rsidRPr="00FA0D37" w14:paraId="5271E54F" w14:textId="77777777" w:rsidTr="00771058">
        <w:trPr>
          <w:trHeight w:val="62"/>
        </w:trPr>
        <w:tc>
          <w:tcPr>
            <w:tcW w:w="4027" w:type="dxa"/>
            <w:tcBorders>
              <w:top w:val="single" w:sz="4" w:space="0" w:color="auto"/>
              <w:left w:val="single" w:sz="4" w:space="0" w:color="auto"/>
              <w:bottom w:val="single" w:sz="4" w:space="0" w:color="auto"/>
              <w:right w:val="single" w:sz="4" w:space="0" w:color="auto"/>
            </w:tcBorders>
            <w:hideMark/>
          </w:tcPr>
          <w:p w14:paraId="2CE3AC94" w14:textId="77777777" w:rsidR="00482CE2" w:rsidRPr="00FA0D37" w:rsidRDefault="00482CE2" w:rsidP="00771058">
            <w:pPr>
              <w:pStyle w:val="TAL"/>
              <w:rPr>
                <w:i/>
                <w:szCs w:val="22"/>
                <w:lang w:eastAsia="en-US"/>
              </w:rPr>
            </w:pPr>
            <w:r w:rsidRPr="00FA0D37">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hideMark/>
          </w:tcPr>
          <w:p w14:paraId="35608242" w14:textId="0DC6B738" w:rsidR="00482CE2" w:rsidRPr="00FA0D37" w:rsidRDefault="00482CE2" w:rsidP="00771058">
            <w:pPr>
              <w:pStyle w:val="TAL"/>
              <w:rPr>
                <w:lang w:eastAsia="sv-SE"/>
              </w:rPr>
            </w:pPr>
            <w:r w:rsidRPr="00FA0D37">
              <w:rPr>
                <w:lang w:eastAsia="sv-SE"/>
              </w:rPr>
              <w:t>The field is mandatory present for L2 U2N Remote UE; otherwise it is absent.</w:t>
            </w:r>
          </w:p>
        </w:tc>
      </w:tr>
      <w:tr w:rsidR="000830BB" w:rsidRPr="00FA0D37" w14:paraId="55967949" w14:textId="77777777" w:rsidTr="00964CC4">
        <w:trPr>
          <w:trHeight w:val="62"/>
        </w:trPr>
        <w:tc>
          <w:tcPr>
            <w:tcW w:w="4027" w:type="dxa"/>
            <w:tcBorders>
              <w:top w:val="single" w:sz="4" w:space="0" w:color="auto"/>
              <w:left w:val="single" w:sz="4" w:space="0" w:color="auto"/>
              <w:bottom w:val="single" w:sz="4" w:space="0" w:color="auto"/>
              <w:right w:val="single" w:sz="4" w:space="0" w:color="auto"/>
            </w:tcBorders>
            <w:hideMark/>
          </w:tcPr>
          <w:p w14:paraId="09D0C91F" w14:textId="77777777" w:rsidR="00394471" w:rsidRPr="00FA0D37" w:rsidRDefault="00394471" w:rsidP="00964CC4">
            <w:pPr>
              <w:pStyle w:val="TAL"/>
              <w:rPr>
                <w:i/>
                <w:szCs w:val="22"/>
                <w:lang w:eastAsia="en-US"/>
              </w:rPr>
            </w:pPr>
            <w:r w:rsidRPr="00FA0D37">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9C0695A" w14:textId="77777777" w:rsidR="00394471" w:rsidRPr="00FA0D37" w:rsidRDefault="00394471" w:rsidP="00964CC4">
            <w:pPr>
              <w:pStyle w:val="TAL"/>
              <w:rPr>
                <w:szCs w:val="22"/>
                <w:lang w:eastAsia="en-US"/>
              </w:rPr>
            </w:pPr>
            <w:r w:rsidRPr="00FA0D37">
              <w:rPr>
                <w:lang w:eastAsia="sv-SE"/>
              </w:rPr>
              <w:t xml:space="preserve">The field is mandatory present if </w:t>
            </w:r>
            <w:r w:rsidRPr="00FA0D37">
              <w:rPr>
                <w:i/>
                <w:iCs/>
                <w:lang w:eastAsia="sv-SE"/>
              </w:rPr>
              <w:t>restoreSCG</w:t>
            </w:r>
            <w:r w:rsidRPr="00FA0D37">
              <w:rPr>
                <w:lang w:eastAsia="sv-SE"/>
              </w:rPr>
              <w:t xml:space="preserve"> is included. It is optionally present, Need M, otherwise</w:t>
            </w:r>
            <w:r w:rsidRPr="00FA0D37">
              <w:rPr>
                <w:szCs w:val="22"/>
                <w:lang w:eastAsia="en-US"/>
              </w:rPr>
              <w:t>.</w:t>
            </w:r>
          </w:p>
        </w:tc>
      </w:tr>
    </w:tbl>
    <w:p w14:paraId="08B7CC53" w14:textId="77777777" w:rsidR="00394471" w:rsidRPr="00FA0D37" w:rsidRDefault="00394471" w:rsidP="00394471"/>
    <w:p w14:paraId="0E2647B9" w14:textId="77777777" w:rsidR="00394471" w:rsidRPr="00FA0D37" w:rsidRDefault="00394471" w:rsidP="00394471">
      <w:pPr>
        <w:pStyle w:val="4"/>
      </w:pPr>
      <w:bookmarkStart w:id="682" w:name="_Toc60777113"/>
      <w:bookmarkStart w:id="683" w:name="_Toc146781150"/>
      <w:r w:rsidRPr="00FA0D37">
        <w:t>–</w:t>
      </w:r>
      <w:r w:rsidRPr="00FA0D37">
        <w:tab/>
      </w:r>
      <w:r w:rsidRPr="00FA0D37">
        <w:rPr>
          <w:i/>
          <w:noProof/>
        </w:rPr>
        <w:t>RRCResumeComplete</w:t>
      </w:r>
      <w:bookmarkEnd w:id="682"/>
      <w:bookmarkEnd w:id="683"/>
    </w:p>
    <w:p w14:paraId="6D9A4731" w14:textId="77777777" w:rsidR="00394471" w:rsidRPr="00FA0D37" w:rsidRDefault="00394471" w:rsidP="00394471">
      <w:r w:rsidRPr="00FA0D37">
        <w:t xml:space="preserve">The </w:t>
      </w:r>
      <w:r w:rsidRPr="00FA0D37">
        <w:rPr>
          <w:i/>
          <w:noProof/>
        </w:rPr>
        <w:t>RRCResumeComplete</w:t>
      </w:r>
      <w:r w:rsidRPr="00FA0D37">
        <w:t xml:space="preserve"> message is used to confirm the successful completion of an RRC connection resumption.</w:t>
      </w:r>
    </w:p>
    <w:p w14:paraId="52AA0B7A" w14:textId="77777777" w:rsidR="00394471" w:rsidRPr="00FA0D37" w:rsidRDefault="00394471" w:rsidP="00394471">
      <w:pPr>
        <w:pStyle w:val="B1"/>
      </w:pPr>
      <w:r w:rsidRPr="00FA0D37">
        <w:t>Signalling radio bearer: SRB1</w:t>
      </w:r>
    </w:p>
    <w:p w14:paraId="608717B7" w14:textId="77777777" w:rsidR="00394471" w:rsidRPr="00FA0D37" w:rsidRDefault="00394471" w:rsidP="00394471">
      <w:pPr>
        <w:pStyle w:val="B1"/>
      </w:pPr>
      <w:r w:rsidRPr="00FA0D37">
        <w:t>RLC-SAP: AM</w:t>
      </w:r>
    </w:p>
    <w:p w14:paraId="39A5C3DD" w14:textId="77777777" w:rsidR="00394471" w:rsidRPr="00FA0D37" w:rsidRDefault="00394471" w:rsidP="00394471">
      <w:pPr>
        <w:pStyle w:val="B1"/>
      </w:pPr>
      <w:r w:rsidRPr="00FA0D37">
        <w:t>Logical channel: DCCH</w:t>
      </w:r>
    </w:p>
    <w:p w14:paraId="2757BCD8" w14:textId="77777777" w:rsidR="00394471" w:rsidRPr="00FA0D37" w:rsidRDefault="00394471" w:rsidP="00394471">
      <w:pPr>
        <w:pStyle w:val="B1"/>
      </w:pPr>
      <w:r w:rsidRPr="00FA0D37">
        <w:t>Direction: UE to Network</w:t>
      </w:r>
    </w:p>
    <w:p w14:paraId="6BF46FDA" w14:textId="77777777" w:rsidR="00394471" w:rsidRPr="00FA0D37" w:rsidRDefault="00394471" w:rsidP="00394471">
      <w:pPr>
        <w:pStyle w:val="TH"/>
        <w:rPr>
          <w:noProof/>
        </w:rPr>
      </w:pPr>
      <w:r w:rsidRPr="00FA0D37">
        <w:rPr>
          <w:i/>
          <w:noProof/>
        </w:rPr>
        <w:t>RRCResumeComplete</w:t>
      </w:r>
      <w:r w:rsidRPr="00FA0D37">
        <w:rPr>
          <w:noProof/>
        </w:rPr>
        <w:t xml:space="preserve"> message</w:t>
      </w:r>
    </w:p>
    <w:p w14:paraId="1B73DFAE" w14:textId="77777777" w:rsidR="00394471" w:rsidRPr="00FA0D37" w:rsidRDefault="00394471" w:rsidP="00FA0D37">
      <w:pPr>
        <w:pStyle w:val="PL"/>
        <w:rPr>
          <w:color w:val="808080"/>
        </w:rPr>
      </w:pPr>
      <w:r w:rsidRPr="00FA0D37">
        <w:rPr>
          <w:color w:val="808080"/>
        </w:rPr>
        <w:t>-- ASN1START</w:t>
      </w:r>
    </w:p>
    <w:p w14:paraId="4758D5D3" w14:textId="77777777" w:rsidR="00394471" w:rsidRPr="00FA0D37" w:rsidRDefault="00394471" w:rsidP="00FA0D37">
      <w:pPr>
        <w:pStyle w:val="PL"/>
        <w:rPr>
          <w:color w:val="808080"/>
        </w:rPr>
      </w:pPr>
      <w:r w:rsidRPr="00FA0D37">
        <w:rPr>
          <w:color w:val="808080"/>
        </w:rPr>
        <w:t>-- TAG-RRCRESUMECOMPLETE-START</w:t>
      </w:r>
    </w:p>
    <w:p w14:paraId="360FE1A9" w14:textId="77777777" w:rsidR="00394471" w:rsidRPr="00FA0D37" w:rsidRDefault="00394471" w:rsidP="00FA0D37">
      <w:pPr>
        <w:pStyle w:val="PL"/>
      </w:pPr>
    </w:p>
    <w:p w14:paraId="1A50DA5A" w14:textId="77777777" w:rsidR="00394471" w:rsidRPr="00FA0D37" w:rsidRDefault="00394471" w:rsidP="00FA0D37">
      <w:pPr>
        <w:pStyle w:val="PL"/>
      </w:pPr>
      <w:r w:rsidRPr="00FA0D37">
        <w:t xml:space="preserve">RRCResumeComplete ::=                   </w:t>
      </w:r>
      <w:r w:rsidRPr="00FA0D37">
        <w:rPr>
          <w:color w:val="993366"/>
        </w:rPr>
        <w:t>SEQUENCE</w:t>
      </w:r>
      <w:r w:rsidRPr="00FA0D37">
        <w:t xml:space="preserve"> {</w:t>
      </w:r>
    </w:p>
    <w:p w14:paraId="2AD56CE3" w14:textId="77777777" w:rsidR="00394471" w:rsidRPr="00FA0D37" w:rsidRDefault="00394471" w:rsidP="00FA0D37">
      <w:pPr>
        <w:pStyle w:val="PL"/>
      </w:pPr>
      <w:r w:rsidRPr="00FA0D37">
        <w:t xml:space="preserve">    rrc-TransactionIdentifier               RRC-TransactionIdentifier,</w:t>
      </w:r>
    </w:p>
    <w:p w14:paraId="58BF1129"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350243C9" w14:textId="77777777" w:rsidR="00394471" w:rsidRPr="00FA0D37" w:rsidRDefault="00394471" w:rsidP="00FA0D37">
      <w:pPr>
        <w:pStyle w:val="PL"/>
      </w:pPr>
      <w:r w:rsidRPr="00FA0D37">
        <w:t xml:space="preserve">        rrcResumeComplete                       RRCResumeComplete-IEs,</w:t>
      </w:r>
    </w:p>
    <w:p w14:paraId="32EF5375"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22617663" w14:textId="77777777" w:rsidR="00394471" w:rsidRPr="00FA0D37" w:rsidRDefault="00394471" w:rsidP="00FA0D37">
      <w:pPr>
        <w:pStyle w:val="PL"/>
      </w:pPr>
      <w:r w:rsidRPr="00FA0D37">
        <w:t xml:space="preserve">    }</w:t>
      </w:r>
    </w:p>
    <w:p w14:paraId="1007875D" w14:textId="77777777" w:rsidR="00394471" w:rsidRPr="00FA0D37" w:rsidRDefault="00394471" w:rsidP="00FA0D37">
      <w:pPr>
        <w:pStyle w:val="PL"/>
      </w:pPr>
      <w:r w:rsidRPr="00FA0D37">
        <w:t>}</w:t>
      </w:r>
    </w:p>
    <w:p w14:paraId="0BE0B4A2" w14:textId="77777777" w:rsidR="00394471" w:rsidRPr="00FA0D37" w:rsidRDefault="00394471" w:rsidP="00FA0D37">
      <w:pPr>
        <w:pStyle w:val="PL"/>
      </w:pPr>
    </w:p>
    <w:p w14:paraId="467E6705" w14:textId="77777777" w:rsidR="00394471" w:rsidRPr="00FA0D37" w:rsidRDefault="00394471" w:rsidP="00FA0D37">
      <w:pPr>
        <w:pStyle w:val="PL"/>
      </w:pPr>
      <w:r w:rsidRPr="00FA0D37">
        <w:t xml:space="preserve">RRCResumeComplete-IEs ::=               </w:t>
      </w:r>
      <w:r w:rsidRPr="00FA0D37">
        <w:rPr>
          <w:color w:val="993366"/>
        </w:rPr>
        <w:t>SEQUENCE</w:t>
      </w:r>
      <w:r w:rsidRPr="00FA0D37">
        <w:t xml:space="preserve"> {</w:t>
      </w:r>
    </w:p>
    <w:p w14:paraId="7A42FF2F" w14:textId="77777777" w:rsidR="00394471" w:rsidRPr="00FA0D37" w:rsidRDefault="00394471" w:rsidP="00FA0D37">
      <w:pPr>
        <w:pStyle w:val="PL"/>
      </w:pPr>
      <w:r w:rsidRPr="00FA0D37">
        <w:t xml:space="preserve">    dedicatedNAS-Message                    DedicatedNAS-Message                                                    </w:t>
      </w:r>
      <w:r w:rsidRPr="00FA0D37">
        <w:rPr>
          <w:color w:val="993366"/>
        </w:rPr>
        <w:t>OPTIONAL</w:t>
      </w:r>
      <w:r w:rsidRPr="00FA0D37">
        <w:t>,</w:t>
      </w:r>
    </w:p>
    <w:p w14:paraId="77449C24" w14:textId="77777777" w:rsidR="00394471" w:rsidRPr="00FA0D37" w:rsidRDefault="00394471" w:rsidP="00FA0D37">
      <w:pPr>
        <w:pStyle w:val="PL"/>
      </w:pPr>
      <w:r w:rsidRPr="00FA0D37">
        <w:t xml:space="preserve">    selectedPLMN-Identity                   </w:t>
      </w:r>
      <w:r w:rsidRPr="00FA0D37">
        <w:rPr>
          <w:color w:val="993366"/>
        </w:rPr>
        <w:t>INTEGER</w:t>
      </w:r>
      <w:r w:rsidRPr="00FA0D37">
        <w:t xml:space="preserve"> (1..maxPLMN)                                                    </w:t>
      </w:r>
      <w:r w:rsidRPr="00FA0D37">
        <w:rPr>
          <w:color w:val="993366"/>
        </w:rPr>
        <w:t>OPTIONAL</w:t>
      </w:r>
      <w:r w:rsidRPr="00FA0D37">
        <w:t>,</w:t>
      </w:r>
    </w:p>
    <w:p w14:paraId="1E270AD7" w14:textId="77777777" w:rsidR="00394471" w:rsidRPr="00FA0D37" w:rsidRDefault="00394471" w:rsidP="00FA0D37">
      <w:pPr>
        <w:pStyle w:val="PL"/>
      </w:pPr>
      <w:r w:rsidRPr="00FA0D37">
        <w:t xml:space="preserve">    uplinkTxDirectCurrentList               UplinkTxDirectCurrentList                                               </w:t>
      </w:r>
      <w:r w:rsidRPr="00FA0D37">
        <w:rPr>
          <w:color w:val="993366"/>
        </w:rPr>
        <w:t>OPTIONAL</w:t>
      </w:r>
      <w:r w:rsidRPr="00FA0D37">
        <w:t>,</w:t>
      </w:r>
    </w:p>
    <w:p w14:paraId="5AD79406"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B5693AE" w14:textId="77777777" w:rsidR="00394471" w:rsidRPr="00FA0D37" w:rsidRDefault="00394471" w:rsidP="00FA0D37">
      <w:pPr>
        <w:pStyle w:val="PL"/>
      </w:pPr>
      <w:r w:rsidRPr="00FA0D37">
        <w:t xml:space="preserve">    nonCriticalExtension                    RRCResumeComplete-v1610-IEs                                             </w:t>
      </w:r>
      <w:r w:rsidRPr="00FA0D37">
        <w:rPr>
          <w:color w:val="993366"/>
        </w:rPr>
        <w:t>OPTIONAL</w:t>
      </w:r>
    </w:p>
    <w:p w14:paraId="636C4A75" w14:textId="77777777" w:rsidR="00394471" w:rsidRPr="00FA0D37" w:rsidRDefault="00394471" w:rsidP="00FA0D37">
      <w:pPr>
        <w:pStyle w:val="PL"/>
      </w:pPr>
      <w:r w:rsidRPr="00FA0D37">
        <w:t>}</w:t>
      </w:r>
    </w:p>
    <w:p w14:paraId="4C7158F3" w14:textId="77777777" w:rsidR="00394471" w:rsidRPr="00FA0D37" w:rsidRDefault="00394471" w:rsidP="00FA0D37">
      <w:pPr>
        <w:pStyle w:val="PL"/>
      </w:pPr>
    </w:p>
    <w:p w14:paraId="336E3214" w14:textId="77777777" w:rsidR="00394471" w:rsidRPr="00FA0D37" w:rsidRDefault="00394471" w:rsidP="00FA0D37">
      <w:pPr>
        <w:pStyle w:val="PL"/>
      </w:pPr>
      <w:r w:rsidRPr="00FA0D37">
        <w:t xml:space="preserve">RRCResumeComplete-v1610-IEs ::=         </w:t>
      </w:r>
      <w:r w:rsidRPr="00FA0D37">
        <w:rPr>
          <w:color w:val="993366"/>
        </w:rPr>
        <w:t>SEQUENCE</w:t>
      </w:r>
      <w:r w:rsidRPr="00FA0D37">
        <w:t xml:space="preserve"> {</w:t>
      </w:r>
    </w:p>
    <w:p w14:paraId="2583EDE7" w14:textId="77777777" w:rsidR="00394471" w:rsidRPr="00FA0D37" w:rsidRDefault="00394471" w:rsidP="00FA0D37">
      <w:pPr>
        <w:pStyle w:val="PL"/>
      </w:pPr>
      <w:r w:rsidRPr="00FA0D37">
        <w:t xml:space="preserve">    idleMeasAvailable-r16                   </w:t>
      </w:r>
      <w:r w:rsidRPr="00FA0D37">
        <w:rPr>
          <w:color w:val="993366"/>
        </w:rPr>
        <w:t>ENUMERATED</w:t>
      </w:r>
      <w:r w:rsidRPr="00FA0D37">
        <w:t xml:space="preserve"> {true}                                                       </w:t>
      </w:r>
      <w:r w:rsidRPr="00FA0D37">
        <w:rPr>
          <w:color w:val="993366"/>
        </w:rPr>
        <w:t>OPTIONAL</w:t>
      </w:r>
      <w:r w:rsidRPr="00FA0D37">
        <w:t>,</w:t>
      </w:r>
    </w:p>
    <w:p w14:paraId="514A7914" w14:textId="77777777" w:rsidR="00394471" w:rsidRPr="00FA0D37" w:rsidRDefault="00394471" w:rsidP="00FA0D37">
      <w:pPr>
        <w:pStyle w:val="PL"/>
      </w:pPr>
      <w:r w:rsidRPr="00FA0D37">
        <w:t xml:space="preserve">    measResultIdleEUTRA-r16                 MeasResultIdleEUTRA-r16                                                 </w:t>
      </w:r>
      <w:r w:rsidRPr="00FA0D37">
        <w:rPr>
          <w:color w:val="993366"/>
        </w:rPr>
        <w:t>OPTIONAL</w:t>
      </w:r>
      <w:r w:rsidRPr="00FA0D37">
        <w:t>,</w:t>
      </w:r>
    </w:p>
    <w:p w14:paraId="3113DD04" w14:textId="77777777" w:rsidR="00394471" w:rsidRPr="00FA0D37" w:rsidRDefault="00394471" w:rsidP="00FA0D37">
      <w:pPr>
        <w:pStyle w:val="PL"/>
      </w:pPr>
      <w:r w:rsidRPr="00FA0D37">
        <w:t xml:space="preserve">    measResultIdleNR-r16                    MeasResultIdleNR-r16                                                    </w:t>
      </w:r>
      <w:r w:rsidRPr="00FA0D37">
        <w:rPr>
          <w:color w:val="993366"/>
        </w:rPr>
        <w:t>OPTIONAL</w:t>
      </w:r>
      <w:r w:rsidRPr="00FA0D37">
        <w:t>,</w:t>
      </w:r>
    </w:p>
    <w:p w14:paraId="6212B9BE" w14:textId="77777777" w:rsidR="00394471" w:rsidRPr="00FA0D37" w:rsidRDefault="00394471" w:rsidP="00FA0D37">
      <w:pPr>
        <w:pStyle w:val="PL"/>
      </w:pPr>
      <w:r w:rsidRPr="00FA0D37">
        <w:t xml:space="preserve">    scg-Response-r16                        </w:t>
      </w:r>
      <w:r w:rsidRPr="00FA0D37">
        <w:rPr>
          <w:color w:val="993366"/>
        </w:rPr>
        <w:t>CHOICE</w:t>
      </w:r>
      <w:r w:rsidRPr="00FA0D37">
        <w:t xml:space="preserve"> {</w:t>
      </w:r>
    </w:p>
    <w:p w14:paraId="036C9F52" w14:textId="77777777" w:rsidR="00394471" w:rsidRPr="00FA0D37" w:rsidRDefault="00394471" w:rsidP="00FA0D37">
      <w:pPr>
        <w:pStyle w:val="PL"/>
      </w:pPr>
      <w:r w:rsidRPr="00FA0D37">
        <w:t xml:space="preserve">        nr-SCG-Response                         </w:t>
      </w:r>
      <w:r w:rsidRPr="00FA0D37">
        <w:rPr>
          <w:color w:val="993366"/>
        </w:rPr>
        <w:t>OCTET</w:t>
      </w:r>
      <w:r w:rsidRPr="00FA0D37">
        <w:t xml:space="preserve"> </w:t>
      </w:r>
      <w:r w:rsidRPr="00FA0D37">
        <w:rPr>
          <w:color w:val="993366"/>
        </w:rPr>
        <w:t>STRING</w:t>
      </w:r>
      <w:r w:rsidRPr="00FA0D37">
        <w:t xml:space="preserve"> (CONTAINING RRCReconfigurationComplete),</w:t>
      </w:r>
    </w:p>
    <w:p w14:paraId="7928B27A" w14:textId="77777777" w:rsidR="00394471" w:rsidRPr="00FA0D37" w:rsidRDefault="00394471" w:rsidP="00FA0D37">
      <w:pPr>
        <w:pStyle w:val="PL"/>
      </w:pPr>
      <w:r w:rsidRPr="00FA0D37">
        <w:t xml:space="preserve">        eutra-SCG-Response                      </w:t>
      </w:r>
      <w:r w:rsidRPr="00FA0D37">
        <w:rPr>
          <w:color w:val="993366"/>
        </w:rPr>
        <w:t>OCTET</w:t>
      </w:r>
      <w:r w:rsidRPr="00FA0D37">
        <w:t xml:space="preserve"> </w:t>
      </w:r>
      <w:r w:rsidRPr="00FA0D37">
        <w:rPr>
          <w:color w:val="993366"/>
        </w:rPr>
        <w:t>STRING</w:t>
      </w:r>
    </w:p>
    <w:p w14:paraId="2953DA2C" w14:textId="77777777" w:rsidR="00394471" w:rsidRPr="00FA0D37" w:rsidRDefault="00394471" w:rsidP="00FA0D37">
      <w:pPr>
        <w:pStyle w:val="PL"/>
      </w:pPr>
      <w:r w:rsidRPr="00FA0D37">
        <w:t xml:space="preserve">    }                                                                                                               </w:t>
      </w:r>
      <w:r w:rsidRPr="00FA0D37">
        <w:rPr>
          <w:color w:val="993366"/>
        </w:rPr>
        <w:t>OPTIONAL</w:t>
      </w:r>
      <w:r w:rsidRPr="00FA0D37">
        <w:t>,</w:t>
      </w:r>
    </w:p>
    <w:p w14:paraId="10E59A89" w14:textId="77777777" w:rsidR="00394471" w:rsidRPr="00FA0D37" w:rsidRDefault="00394471" w:rsidP="00FA0D37">
      <w:pPr>
        <w:pStyle w:val="PL"/>
      </w:pPr>
      <w:r w:rsidRPr="00FA0D37">
        <w:t xml:space="preserve">    ue-MeasurementsAvailable-r16            UE-MeasurementsAvailable-r16                                            </w:t>
      </w:r>
      <w:r w:rsidRPr="00FA0D37">
        <w:rPr>
          <w:color w:val="993366"/>
        </w:rPr>
        <w:t>OPTIONAL</w:t>
      </w:r>
      <w:r w:rsidRPr="00FA0D37">
        <w:t>,</w:t>
      </w:r>
    </w:p>
    <w:p w14:paraId="5366375C" w14:textId="77777777" w:rsidR="00394471" w:rsidRPr="00FA0D37" w:rsidRDefault="00394471" w:rsidP="00FA0D37">
      <w:pPr>
        <w:pStyle w:val="PL"/>
      </w:pPr>
      <w:r w:rsidRPr="00FA0D37">
        <w:t xml:space="preserve">    mobilityHistoryAvail-r16                </w:t>
      </w:r>
      <w:r w:rsidRPr="00FA0D37">
        <w:rPr>
          <w:color w:val="993366"/>
        </w:rPr>
        <w:t>ENUMERATED</w:t>
      </w:r>
      <w:r w:rsidRPr="00FA0D37">
        <w:t xml:space="preserve"> {true}                                                       </w:t>
      </w:r>
      <w:r w:rsidRPr="00FA0D37">
        <w:rPr>
          <w:color w:val="993366"/>
        </w:rPr>
        <w:t>OPTIONAL</w:t>
      </w:r>
      <w:r w:rsidRPr="00FA0D37">
        <w:t>,</w:t>
      </w:r>
    </w:p>
    <w:p w14:paraId="1366AA1A" w14:textId="77777777" w:rsidR="00394471" w:rsidRPr="00FA0D37" w:rsidRDefault="00394471" w:rsidP="00FA0D37">
      <w:pPr>
        <w:pStyle w:val="PL"/>
      </w:pPr>
      <w:r w:rsidRPr="00FA0D37">
        <w:lastRenderedPageBreak/>
        <w:t xml:space="preserve">    mobilityState-r16                       </w:t>
      </w:r>
      <w:r w:rsidRPr="00FA0D37">
        <w:rPr>
          <w:color w:val="993366"/>
        </w:rPr>
        <w:t>ENUMERATED</w:t>
      </w:r>
      <w:r w:rsidRPr="00FA0D37">
        <w:t xml:space="preserve"> {normal, medium, high, spare}                                </w:t>
      </w:r>
      <w:r w:rsidRPr="00FA0D37">
        <w:rPr>
          <w:color w:val="993366"/>
        </w:rPr>
        <w:t>OPTIONAL</w:t>
      </w:r>
      <w:r w:rsidRPr="00FA0D37">
        <w:t>,</w:t>
      </w:r>
    </w:p>
    <w:p w14:paraId="64986D94" w14:textId="77777777" w:rsidR="00394471" w:rsidRPr="00FA0D37" w:rsidRDefault="00394471" w:rsidP="00FA0D37">
      <w:pPr>
        <w:pStyle w:val="PL"/>
      </w:pPr>
      <w:r w:rsidRPr="00FA0D37">
        <w:t xml:space="preserve">    needForGapsInfoNR-r16                   NeedForGapsInfoNR-r16                                                   </w:t>
      </w:r>
      <w:r w:rsidRPr="00FA0D37">
        <w:rPr>
          <w:color w:val="993366"/>
        </w:rPr>
        <w:t>OPTIONAL</w:t>
      </w:r>
      <w:r w:rsidRPr="00FA0D37">
        <w:t>,</w:t>
      </w:r>
    </w:p>
    <w:p w14:paraId="46B0A134" w14:textId="4701C2DF" w:rsidR="00394471" w:rsidRPr="00FA0D37" w:rsidRDefault="00394471" w:rsidP="00FA0D37">
      <w:pPr>
        <w:pStyle w:val="PL"/>
      </w:pPr>
      <w:r w:rsidRPr="00FA0D37">
        <w:t xml:space="preserve">    nonCriticalExtension                    </w:t>
      </w:r>
      <w:r w:rsidR="00E46198" w:rsidRPr="00FA0D37">
        <w:t>RRCResumeComplete-v</w:t>
      </w:r>
      <w:r w:rsidR="000C2783" w:rsidRPr="00FA0D37">
        <w:t>1640</w:t>
      </w:r>
      <w:r w:rsidR="00E46198" w:rsidRPr="00FA0D37">
        <w:t>-IEs</w:t>
      </w:r>
      <w:r w:rsidRPr="00FA0D37">
        <w:t xml:space="preserve">                                             </w:t>
      </w:r>
      <w:r w:rsidRPr="00FA0D37">
        <w:rPr>
          <w:color w:val="993366"/>
        </w:rPr>
        <w:t>OPTIONAL</w:t>
      </w:r>
    </w:p>
    <w:p w14:paraId="01252AF3" w14:textId="77777777" w:rsidR="00394471" w:rsidRPr="00FA0D37" w:rsidRDefault="00394471" w:rsidP="00FA0D37">
      <w:pPr>
        <w:pStyle w:val="PL"/>
      </w:pPr>
      <w:r w:rsidRPr="00FA0D37">
        <w:t>}</w:t>
      </w:r>
    </w:p>
    <w:p w14:paraId="0CBE7813" w14:textId="77777777" w:rsidR="00E46198" w:rsidRPr="00FA0D37" w:rsidRDefault="00E46198" w:rsidP="00FA0D37">
      <w:pPr>
        <w:pStyle w:val="PL"/>
      </w:pPr>
    </w:p>
    <w:p w14:paraId="02112F79" w14:textId="00964705" w:rsidR="00E46198" w:rsidRPr="00FA0D37" w:rsidRDefault="00E46198" w:rsidP="00FA0D37">
      <w:pPr>
        <w:pStyle w:val="PL"/>
      </w:pPr>
      <w:r w:rsidRPr="00FA0D37">
        <w:t>RRCResumeComplete-v</w:t>
      </w:r>
      <w:r w:rsidR="000C2783" w:rsidRPr="00FA0D37">
        <w:t>1640</w:t>
      </w:r>
      <w:r w:rsidRPr="00FA0D37">
        <w:t xml:space="preserve">-IEs ::=         </w:t>
      </w:r>
      <w:r w:rsidRPr="00FA0D37">
        <w:rPr>
          <w:color w:val="993366"/>
        </w:rPr>
        <w:t>SEQUENCE</w:t>
      </w:r>
      <w:r w:rsidRPr="00FA0D37">
        <w:t xml:space="preserve"> {</w:t>
      </w:r>
    </w:p>
    <w:p w14:paraId="6856DBC5" w14:textId="20B05C7F" w:rsidR="00E46198" w:rsidRPr="00FA0D37" w:rsidRDefault="00E46198" w:rsidP="00FA0D37">
      <w:pPr>
        <w:pStyle w:val="PL"/>
      </w:pPr>
      <w:r w:rsidRPr="00FA0D37">
        <w:t xml:space="preserve">    uplinkTxDirectCurrentTwoCarrierList-r16 UplinkTxDirectCurrentTwoCarrierList-r16                                 </w:t>
      </w:r>
      <w:r w:rsidRPr="00FA0D37">
        <w:rPr>
          <w:color w:val="993366"/>
        </w:rPr>
        <w:t>OPTIONAL</w:t>
      </w:r>
      <w:r w:rsidRPr="00FA0D37">
        <w:t>,</w:t>
      </w:r>
    </w:p>
    <w:p w14:paraId="6739F1DA" w14:textId="5A49BA5F" w:rsidR="00E46198" w:rsidRPr="00FA0D37" w:rsidRDefault="00E46198" w:rsidP="00FA0D37">
      <w:pPr>
        <w:pStyle w:val="PL"/>
      </w:pPr>
      <w:r w:rsidRPr="00FA0D37">
        <w:t xml:space="preserve">    nonCriticalExtension                    </w:t>
      </w:r>
      <w:r w:rsidR="00766157" w:rsidRPr="00FA0D37">
        <w:t>RRCResumeComplete-v1700-IEs</w:t>
      </w:r>
      <w:r w:rsidRPr="00FA0D37">
        <w:t xml:space="preserve">                                             </w:t>
      </w:r>
      <w:r w:rsidRPr="00FA0D37">
        <w:rPr>
          <w:color w:val="993366"/>
        </w:rPr>
        <w:t>OPTIONAL</w:t>
      </w:r>
    </w:p>
    <w:p w14:paraId="35002E82" w14:textId="77777777" w:rsidR="00E46198" w:rsidRPr="00FA0D37" w:rsidRDefault="00E46198" w:rsidP="00FA0D37">
      <w:pPr>
        <w:pStyle w:val="PL"/>
      </w:pPr>
      <w:r w:rsidRPr="00FA0D37">
        <w:t>}</w:t>
      </w:r>
    </w:p>
    <w:p w14:paraId="5F51DA7D" w14:textId="77777777" w:rsidR="00766157" w:rsidRPr="00FA0D37" w:rsidRDefault="00766157" w:rsidP="00FA0D37">
      <w:pPr>
        <w:pStyle w:val="PL"/>
      </w:pPr>
    </w:p>
    <w:p w14:paraId="6237D1D0" w14:textId="47FE49BD" w:rsidR="00766157" w:rsidRPr="00FA0D37" w:rsidRDefault="00766157" w:rsidP="00FA0D37">
      <w:pPr>
        <w:pStyle w:val="PL"/>
      </w:pPr>
      <w:r w:rsidRPr="00FA0D37">
        <w:t xml:space="preserve">RRCResumeComplete-v1700-IEs ::=   </w:t>
      </w:r>
      <w:r w:rsidR="00E616AE" w:rsidRPr="00FA0D37">
        <w:t xml:space="preserve">     </w:t>
      </w:r>
      <w:r w:rsidRPr="00FA0D37">
        <w:t xml:space="preserve"> </w:t>
      </w:r>
      <w:r w:rsidRPr="00FA0D37">
        <w:rPr>
          <w:color w:val="993366"/>
        </w:rPr>
        <w:t>SEQUENCE</w:t>
      </w:r>
      <w:r w:rsidRPr="00FA0D37">
        <w:t xml:space="preserve"> {</w:t>
      </w:r>
    </w:p>
    <w:p w14:paraId="127901B1" w14:textId="25BEAD2A" w:rsidR="00766157" w:rsidRPr="00FA0D37" w:rsidRDefault="00766157" w:rsidP="00FA0D37">
      <w:pPr>
        <w:pStyle w:val="PL"/>
      </w:pPr>
      <w:r w:rsidRPr="00FA0D37">
        <w:t xml:space="preserve">    needFor</w:t>
      </w:r>
      <w:r w:rsidR="00CE29E7" w:rsidRPr="00FA0D37">
        <w:t>Gap</w:t>
      </w:r>
      <w:r w:rsidRPr="00FA0D37">
        <w:t>NCSG-InfoNR-r17               NeedFor</w:t>
      </w:r>
      <w:r w:rsidR="00CE29E7" w:rsidRPr="00FA0D37">
        <w:t>Gap</w:t>
      </w:r>
      <w:r w:rsidRPr="00FA0D37">
        <w:t xml:space="preserve">NCSG-InfoNR-r17                                               </w:t>
      </w:r>
      <w:r w:rsidRPr="00FA0D37">
        <w:rPr>
          <w:color w:val="993366"/>
        </w:rPr>
        <w:t>OPTIONAL</w:t>
      </w:r>
      <w:r w:rsidRPr="00FA0D37">
        <w:t>,</w:t>
      </w:r>
    </w:p>
    <w:p w14:paraId="474290B5" w14:textId="42932688" w:rsidR="00766157" w:rsidRPr="00FA0D37" w:rsidRDefault="00766157" w:rsidP="00FA0D37">
      <w:pPr>
        <w:pStyle w:val="PL"/>
      </w:pPr>
      <w:r w:rsidRPr="00FA0D37">
        <w:t xml:space="preserve">    needFor</w:t>
      </w:r>
      <w:r w:rsidR="00CE29E7" w:rsidRPr="00FA0D37">
        <w:t>Gap</w:t>
      </w:r>
      <w:r w:rsidRPr="00FA0D37">
        <w:t>NCSG-InfoEUTRA-r17            NeedFor</w:t>
      </w:r>
      <w:r w:rsidR="00CE29E7" w:rsidRPr="00FA0D37">
        <w:t>Gap</w:t>
      </w:r>
      <w:r w:rsidRPr="00FA0D37">
        <w:t xml:space="preserve">NCSG-InfoEUTRA-r17                                            </w:t>
      </w:r>
      <w:r w:rsidRPr="00FA0D37">
        <w:rPr>
          <w:color w:val="993366"/>
        </w:rPr>
        <w:t>OPTIONAL</w:t>
      </w:r>
      <w:r w:rsidRPr="00FA0D37">
        <w:t>,</w:t>
      </w:r>
    </w:p>
    <w:p w14:paraId="5FB64C70" w14:textId="4E475C49" w:rsidR="00766157" w:rsidRPr="00FA0D37" w:rsidRDefault="00766157" w:rsidP="00FA0D37">
      <w:pPr>
        <w:pStyle w:val="PL"/>
      </w:pPr>
      <w:r w:rsidRPr="00FA0D37">
        <w:t xml:space="preserve">    nonCriticalExtension                    </w:t>
      </w:r>
      <w:r w:rsidR="006C69F1" w:rsidRPr="00FA0D37">
        <w:t>RRCResumeComplete-v1720-IEs</w:t>
      </w:r>
      <w:r w:rsidRPr="00FA0D37">
        <w:t xml:space="preserve">                                             </w:t>
      </w:r>
      <w:r w:rsidRPr="00FA0D37">
        <w:rPr>
          <w:color w:val="993366"/>
        </w:rPr>
        <w:t>OPTIONAL</w:t>
      </w:r>
    </w:p>
    <w:p w14:paraId="6F9F58F9" w14:textId="77777777" w:rsidR="00766157" w:rsidRPr="00FA0D37" w:rsidRDefault="00766157" w:rsidP="00FA0D37">
      <w:pPr>
        <w:pStyle w:val="PL"/>
      </w:pPr>
      <w:r w:rsidRPr="00FA0D37">
        <w:t>}</w:t>
      </w:r>
    </w:p>
    <w:p w14:paraId="09ED64B4" w14:textId="375EDF9A" w:rsidR="00394471" w:rsidRPr="00FA0D37" w:rsidRDefault="00394471" w:rsidP="00FA0D37">
      <w:pPr>
        <w:pStyle w:val="PL"/>
      </w:pPr>
    </w:p>
    <w:p w14:paraId="2F92890F" w14:textId="7491A34A" w:rsidR="006C69F1" w:rsidRPr="00FA0D37" w:rsidRDefault="006C69F1" w:rsidP="00FA0D37">
      <w:pPr>
        <w:pStyle w:val="PL"/>
      </w:pPr>
      <w:r w:rsidRPr="00FA0D37">
        <w:t xml:space="preserve">RRCResumeComplete-v1720-IEs ::=         </w:t>
      </w:r>
      <w:r w:rsidRPr="00FA0D37">
        <w:rPr>
          <w:color w:val="993366"/>
        </w:rPr>
        <w:t>SEQUENCE</w:t>
      </w:r>
      <w:r w:rsidRPr="00FA0D37">
        <w:t xml:space="preserve"> {</w:t>
      </w:r>
    </w:p>
    <w:p w14:paraId="23A0D287" w14:textId="4066421F" w:rsidR="006C69F1" w:rsidRPr="00FA0D37" w:rsidRDefault="006C69F1" w:rsidP="00FA0D37">
      <w:pPr>
        <w:pStyle w:val="PL"/>
      </w:pPr>
      <w:r w:rsidRPr="00FA0D37">
        <w:t xml:space="preserve">    uplinkTxDirectCurrentMoreCarrierList-r17 UplinkTxDirectCurrentMoreCarrierList-r17                               </w:t>
      </w:r>
      <w:r w:rsidRPr="00FA0D37">
        <w:rPr>
          <w:color w:val="993366"/>
        </w:rPr>
        <w:t>OPTIONAL</w:t>
      </w:r>
      <w:r w:rsidRPr="00FA0D37">
        <w:t>,</w:t>
      </w:r>
    </w:p>
    <w:p w14:paraId="6BB942DB" w14:textId="71660D10" w:rsidR="006C69F1" w:rsidRPr="00FA0D37" w:rsidRDefault="006C69F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4DB4F37B" w14:textId="01D1556B" w:rsidR="006C69F1" w:rsidRPr="00FA0D37" w:rsidRDefault="00747D55" w:rsidP="00FA0D37">
      <w:pPr>
        <w:pStyle w:val="PL"/>
      </w:pPr>
      <w:r w:rsidRPr="00FA0D37">
        <w:t>}</w:t>
      </w:r>
    </w:p>
    <w:p w14:paraId="31494A77" w14:textId="77777777" w:rsidR="006C69F1" w:rsidRPr="00FA0D37" w:rsidRDefault="006C69F1" w:rsidP="00FA0D37">
      <w:pPr>
        <w:pStyle w:val="PL"/>
      </w:pPr>
    </w:p>
    <w:p w14:paraId="733CF83F" w14:textId="77777777" w:rsidR="00394471" w:rsidRPr="00FA0D37" w:rsidRDefault="00394471" w:rsidP="00FA0D37">
      <w:pPr>
        <w:pStyle w:val="PL"/>
        <w:rPr>
          <w:color w:val="808080"/>
        </w:rPr>
      </w:pPr>
      <w:r w:rsidRPr="00FA0D37">
        <w:rPr>
          <w:color w:val="808080"/>
        </w:rPr>
        <w:t>-- TAG-RRCRESUMECOMPLETE-STOP</w:t>
      </w:r>
    </w:p>
    <w:p w14:paraId="050C90B3" w14:textId="77777777" w:rsidR="00394471" w:rsidRPr="00FA0D37" w:rsidRDefault="00394471" w:rsidP="00FA0D37">
      <w:pPr>
        <w:pStyle w:val="PL"/>
        <w:rPr>
          <w:color w:val="808080"/>
        </w:rPr>
      </w:pPr>
      <w:r w:rsidRPr="00FA0D37">
        <w:rPr>
          <w:color w:val="808080"/>
        </w:rPr>
        <w:t>-- ASN1STOP</w:t>
      </w:r>
    </w:p>
    <w:p w14:paraId="4E17CC0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0A64C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A76A5" w14:textId="77777777" w:rsidR="00394471" w:rsidRPr="00FA0D37" w:rsidRDefault="00394471" w:rsidP="00964CC4">
            <w:pPr>
              <w:pStyle w:val="TAH"/>
              <w:rPr>
                <w:szCs w:val="22"/>
                <w:lang w:eastAsia="sv-SE"/>
              </w:rPr>
            </w:pPr>
            <w:r w:rsidRPr="00FA0D37">
              <w:rPr>
                <w:i/>
                <w:szCs w:val="22"/>
                <w:lang w:eastAsia="sv-SE"/>
              </w:rPr>
              <w:lastRenderedPageBreak/>
              <w:t xml:space="preserve">RRCResumeComplete-IEs </w:t>
            </w:r>
            <w:r w:rsidRPr="00FA0D37">
              <w:rPr>
                <w:szCs w:val="22"/>
                <w:lang w:eastAsia="sv-SE"/>
              </w:rPr>
              <w:t>field descriptions</w:t>
            </w:r>
          </w:p>
        </w:tc>
      </w:tr>
      <w:tr w:rsidR="005C7FF4" w:rsidRPr="00FA0D37" w14:paraId="2327E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057BD" w14:textId="77777777" w:rsidR="00394471" w:rsidRPr="00FA0D37" w:rsidRDefault="00394471" w:rsidP="00964CC4">
            <w:pPr>
              <w:pStyle w:val="TAL"/>
              <w:rPr>
                <w:b/>
                <w:bCs/>
                <w:i/>
                <w:noProof/>
                <w:lang w:eastAsia="en-GB"/>
              </w:rPr>
            </w:pPr>
            <w:r w:rsidRPr="00FA0D37">
              <w:rPr>
                <w:b/>
                <w:bCs/>
                <w:i/>
                <w:noProof/>
                <w:lang w:eastAsia="en-GB"/>
              </w:rPr>
              <w:t>idleMeasAvailable</w:t>
            </w:r>
          </w:p>
          <w:p w14:paraId="01C2A45B" w14:textId="77777777" w:rsidR="00394471" w:rsidRPr="00FA0D37" w:rsidRDefault="00394471" w:rsidP="00964CC4">
            <w:pPr>
              <w:pStyle w:val="TAL"/>
              <w:rPr>
                <w:b/>
                <w:i/>
                <w:szCs w:val="22"/>
                <w:lang w:eastAsia="sv-SE"/>
              </w:rPr>
            </w:pPr>
            <w:r w:rsidRPr="00FA0D37">
              <w:rPr>
                <w:lang w:eastAsia="en-GB"/>
              </w:rPr>
              <w:t>Indication that the UE has idle/inactive measurement report available.</w:t>
            </w:r>
          </w:p>
        </w:tc>
      </w:tr>
      <w:tr w:rsidR="005C7FF4" w:rsidRPr="00FA0D37" w14:paraId="7AED7E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EF3CE1" w14:textId="77777777" w:rsidR="00394471" w:rsidRPr="00FA0D37" w:rsidRDefault="00394471" w:rsidP="00964CC4">
            <w:pPr>
              <w:pStyle w:val="TAL"/>
              <w:rPr>
                <w:szCs w:val="22"/>
                <w:lang w:eastAsia="sv-SE"/>
              </w:rPr>
            </w:pPr>
            <w:r w:rsidRPr="00FA0D37">
              <w:rPr>
                <w:b/>
                <w:i/>
                <w:szCs w:val="22"/>
                <w:lang w:eastAsia="sv-SE"/>
              </w:rPr>
              <w:t>measResultIdleEUTRA</w:t>
            </w:r>
          </w:p>
          <w:p w14:paraId="6DFF6C60" w14:textId="77777777" w:rsidR="00394471" w:rsidRPr="00FA0D37" w:rsidRDefault="00394471" w:rsidP="00964CC4">
            <w:pPr>
              <w:pStyle w:val="TAL"/>
              <w:rPr>
                <w:b/>
                <w:i/>
                <w:szCs w:val="22"/>
                <w:lang w:eastAsia="sv-SE"/>
              </w:rPr>
            </w:pPr>
            <w:r w:rsidRPr="00FA0D37">
              <w:rPr>
                <w:bCs/>
                <w:iCs/>
                <w:noProof/>
                <w:lang w:eastAsia="ko-KR"/>
              </w:rPr>
              <w:t>EUTRA measurement results performed during RRC_INACTIVE.</w:t>
            </w:r>
          </w:p>
        </w:tc>
      </w:tr>
      <w:tr w:rsidR="005C7FF4" w:rsidRPr="00FA0D37" w14:paraId="444243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2B6B92" w14:textId="77777777" w:rsidR="00394471" w:rsidRPr="00FA0D37" w:rsidRDefault="00394471" w:rsidP="00964CC4">
            <w:pPr>
              <w:pStyle w:val="TAL"/>
              <w:rPr>
                <w:szCs w:val="22"/>
                <w:lang w:eastAsia="sv-SE"/>
              </w:rPr>
            </w:pPr>
            <w:r w:rsidRPr="00FA0D37">
              <w:rPr>
                <w:b/>
                <w:i/>
                <w:szCs w:val="22"/>
                <w:lang w:eastAsia="sv-SE"/>
              </w:rPr>
              <w:t>measResultIdleNR</w:t>
            </w:r>
          </w:p>
          <w:p w14:paraId="10CA844D" w14:textId="77777777" w:rsidR="00394471" w:rsidRPr="00FA0D37" w:rsidRDefault="00394471" w:rsidP="00964CC4">
            <w:pPr>
              <w:pStyle w:val="TAL"/>
              <w:rPr>
                <w:b/>
                <w:i/>
                <w:szCs w:val="22"/>
                <w:lang w:eastAsia="sv-SE"/>
              </w:rPr>
            </w:pPr>
            <w:r w:rsidRPr="00FA0D37">
              <w:rPr>
                <w:bCs/>
                <w:iCs/>
                <w:noProof/>
                <w:lang w:eastAsia="ko-KR"/>
              </w:rPr>
              <w:t>NR measurement results performed during RRC_INACTIVE.</w:t>
            </w:r>
          </w:p>
        </w:tc>
      </w:tr>
      <w:tr w:rsidR="005C7FF4" w:rsidRPr="00FA0D37" w14:paraId="29532C1F" w14:textId="77777777" w:rsidTr="00964CC4">
        <w:tc>
          <w:tcPr>
            <w:tcW w:w="14173" w:type="dxa"/>
            <w:tcBorders>
              <w:top w:val="single" w:sz="4" w:space="0" w:color="auto"/>
              <w:left w:val="single" w:sz="4" w:space="0" w:color="auto"/>
              <w:bottom w:val="single" w:sz="4" w:space="0" w:color="auto"/>
              <w:right w:val="single" w:sz="4" w:space="0" w:color="auto"/>
            </w:tcBorders>
          </w:tcPr>
          <w:p w14:paraId="3D2A5B06" w14:textId="77777777" w:rsidR="00394471" w:rsidRPr="00FA0D37" w:rsidRDefault="00394471" w:rsidP="00964CC4">
            <w:pPr>
              <w:pStyle w:val="TAL"/>
              <w:rPr>
                <w:b/>
                <w:bCs/>
                <w:i/>
                <w:iCs/>
              </w:rPr>
            </w:pPr>
            <w:r w:rsidRPr="00FA0D37">
              <w:rPr>
                <w:b/>
                <w:bCs/>
                <w:i/>
                <w:iCs/>
              </w:rPr>
              <w:t>needForGapsInfoNR</w:t>
            </w:r>
          </w:p>
          <w:p w14:paraId="1CF2CA9A" w14:textId="77777777" w:rsidR="00394471" w:rsidRPr="00FA0D37" w:rsidRDefault="00394471" w:rsidP="00964CC4">
            <w:pPr>
              <w:pStyle w:val="TAL"/>
              <w:rPr>
                <w:b/>
                <w:i/>
                <w:szCs w:val="22"/>
                <w:lang w:eastAsia="sv-SE"/>
              </w:rPr>
            </w:pPr>
            <w:r w:rsidRPr="00FA0D37">
              <w:rPr>
                <w:szCs w:val="22"/>
              </w:rPr>
              <w:t>This field is used to indicate the measurement gap requirement information of the UE for NR target bands.</w:t>
            </w:r>
          </w:p>
        </w:tc>
      </w:tr>
      <w:tr w:rsidR="005C7FF4" w:rsidRPr="00FA0D37" w14:paraId="797D11D9" w14:textId="77777777" w:rsidTr="00964CC4">
        <w:tc>
          <w:tcPr>
            <w:tcW w:w="14173" w:type="dxa"/>
            <w:tcBorders>
              <w:top w:val="single" w:sz="4" w:space="0" w:color="auto"/>
              <w:left w:val="single" w:sz="4" w:space="0" w:color="auto"/>
              <w:bottom w:val="single" w:sz="4" w:space="0" w:color="auto"/>
              <w:right w:val="single" w:sz="4" w:space="0" w:color="auto"/>
            </w:tcBorders>
          </w:tcPr>
          <w:p w14:paraId="28955573" w14:textId="4B2505D4" w:rsidR="00E616AE" w:rsidRPr="00FA0D37" w:rsidRDefault="00E616AE" w:rsidP="00E616AE">
            <w:pPr>
              <w:pStyle w:val="TAL"/>
              <w:rPr>
                <w:b/>
                <w:bCs/>
                <w:i/>
                <w:iCs/>
              </w:rPr>
            </w:pPr>
            <w:r w:rsidRPr="00FA0D37">
              <w:rPr>
                <w:b/>
                <w:bCs/>
                <w:i/>
                <w:iCs/>
              </w:rPr>
              <w:t>needFor</w:t>
            </w:r>
            <w:r w:rsidR="00CE29E7" w:rsidRPr="00FA0D37">
              <w:rPr>
                <w:b/>
                <w:bCs/>
                <w:i/>
                <w:iCs/>
              </w:rPr>
              <w:t>Gap</w:t>
            </w:r>
            <w:r w:rsidRPr="00FA0D37">
              <w:rPr>
                <w:b/>
                <w:bCs/>
                <w:i/>
                <w:iCs/>
              </w:rPr>
              <w:t>NCSG-InfoEUTRA</w:t>
            </w:r>
          </w:p>
          <w:p w14:paraId="4DE230F5" w14:textId="03FBE7A2" w:rsidR="00E616AE" w:rsidRPr="00FA0D37" w:rsidRDefault="00E616AE" w:rsidP="00E616AE">
            <w:pPr>
              <w:pStyle w:val="TAL"/>
              <w:rPr>
                <w:b/>
                <w:bCs/>
                <w:i/>
                <w:iCs/>
              </w:rPr>
            </w:pPr>
            <w:r w:rsidRPr="00FA0D37">
              <w:rPr>
                <w:szCs w:val="22"/>
              </w:rPr>
              <w:t>This field is used to indicate the measurement gap and NCSG requirement information of the UE for E</w:t>
            </w:r>
            <w:r w:rsidRPr="00FA0D37">
              <w:rPr>
                <w:szCs w:val="22"/>
              </w:rPr>
              <w:noBreakHyphen/>
              <w:t>UTRA target bands</w:t>
            </w:r>
          </w:p>
        </w:tc>
      </w:tr>
      <w:tr w:rsidR="005C7FF4" w:rsidRPr="00FA0D37" w14:paraId="14AAE356" w14:textId="77777777" w:rsidTr="00964CC4">
        <w:tc>
          <w:tcPr>
            <w:tcW w:w="14173" w:type="dxa"/>
            <w:tcBorders>
              <w:top w:val="single" w:sz="4" w:space="0" w:color="auto"/>
              <w:left w:val="single" w:sz="4" w:space="0" w:color="auto"/>
              <w:bottom w:val="single" w:sz="4" w:space="0" w:color="auto"/>
              <w:right w:val="single" w:sz="4" w:space="0" w:color="auto"/>
            </w:tcBorders>
          </w:tcPr>
          <w:p w14:paraId="5700555F" w14:textId="6AC918A4" w:rsidR="00E616AE" w:rsidRPr="00FA0D37" w:rsidRDefault="00E616AE" w:rsidP="00E616AE">
            <w:pPr>
              <w:pStyle w:val="TAL"/>
              <w:rPr>
                <w:b/>
                <w:bCs/>
                <w:i/>
                <w:iCs/>
              </w:rPr>
            </w:pPr>
            <w:r w:rsidRPr="00FA0D37">
              <w:rPr>
                <w:b/>
                <w:bCs/>
                <w:i/>
                <w:iCs/>
              </w:rPr>
              <w:t>needFor</w:t>
            </w:r>
            <w:r w:rsidR="00CE29E7" w:rsidRPr="00FA0D37">
              <w:rPr>
                <w:b/>
                <w:bCs/>
                <w:i/>
                <w:iCs/>
              </w:rPr>
              <w:t>Gap</w:t>
            </w:r>
            <w:r w:rsidRPr="00FA0D37">
              <w:rPr>
                <w:b/>
                <w:bCs/>
                <w:i/>
                <w:iCs/>
              </w:rPr>
              <w:t>NCSG-InfoNR</w:t>
            </w:r>
          </w:p>
          <w:p w14:paraId="15165440" w14:textId="42D81193" w:rsidR="00E616AE" w:rsidRPr="00FA0D37" w:rsidRDefault="00E616AE" w:rsidP="00E616AE">
            <w:pPr>
              <w:pStyle w:val="TAL"/>
              <w:rPr>
                <w:b/>
                <w:bCs/>
                <w:i/>
                <w:iCs/>
              </w:rPr>
            </w:pPr>
            <w:r w:rsidRPr="00FA0D37">
              <w:rPr>
                <w:szCs w:val="22"/>
              </w:rPr>
              <w:t>This field is used to indicate the measurement gap and NCSG requirement information of the UE for NR target bands</w:t>
            </w:r>
          </w:p>
        </w:tc>
      </w:tr>
      <w:tr w:rsidR="005C7FF4" w:rsidRPr="00FA0D37" w14:paraId="47E8B2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0613F" w14:textId="77777777" w:rsidR="00394471" w:rsidRPr="00FA0D37" w:rsidRDefault="00394471" w:rsidP="00964CC4">
            <w:pPr>
              <w:pStyle w:val="TAL"/>
              <w:rPr>
                <w:b/>
                <w:i/>
                <w:szCs w:val="22"/>
                <w:lang w:eastAsia="sv-SE"/>
              </w:rPr>
            </w:pPr>
            <w:r w:rsidRPr="00FA0D37">
              <w:rPr>
                <w:b/>
                <w:i/>
                <w:szCs w:val="22"/>
                <w:lang w:eastAsia="sv-SE"/>
              </w:rPr>
              <w:t>selectedPLMN-Identity</w:t>
            </w:r>
          </w:p>
          <w:p w14:paraId="332FB2BC" w14:textId="49D4CEE1" w:rsidR="00394471" w:rsidRPr="00FA0D37" w:rsidRDefault="00394471" w:rsidP="00964CC4">
            <w:pPr>
              <w:pStyle w:val="TAL"/>
              <w:rPr>
                <w:szCs w:val="22"/>
                <w:lang w:eastAsia="sv-SE"/>
              </w:rPr>
            </w:pPr>
            <w:r w:rsidRPr="00FA0D37">
              <w:rPr>
                <w:szCs w:val="22"/>
                <w:lang w:eastAsia="sv-SE"/>
              </w:rPr>
              <w:t xml:space="preserve">Index of the PLMN selected by the UE from the </w:t>
            </w:r>
            <w:r w:rsidRPr="00FA0D37">
              <w:rPr>
                <w:i/>
                <w:szCs w:val="22"/>
                <w:lang w:eastAsia="sv-SE"/>
              </w:rPr>
              <w:t>plmn-Identity</w:t>
            </w:r>
            <w:r w:rsidR="00FB04AA" w:rsidRPr="00FA0D37">
              <w:rPr>
                <w:i/>
                <w:szCs w:val="22"/>
                <w:lang w:eastAsia="sv-SE"/>
              </w:rPr>
              <w:t>Info</w:t>
            </w:r>
            <w:r w:rsidRPr="00FA0D37">
              <w:rPr>
                <w:i/>
                <w:szCs w:val="22"/>
                <w:lang w:eastAsia="sv-SE"/>
              </w:rPr>
              <w:t>List</w:t>
            </w:r>
            <w:r w:rsidRPr="00FA0D37">
              <w:rPr>
                <w:szCs w:val="22"/>
                <w:lang w:eastAsia="sv-SE"/>
              </w:rPr>
              <w:t xml:space="preserve"> </w:t>
            </w:r>
            <w:r w:rsidRPr="00FA0D37">
              <w:rPr>
                <w:szCs w:val="22"/>
              </w:rPr>
              <w:t xml:space="preserve">or </w:t>
            </w:r>
            <w:r w:rsidRPr="00FA0D37">
              <w:rPr>
                <w:i/>
                <w:iCs/>
                <w:szCs w:val="22"/>
              </w:rPr>
              <w:t>npn-IdentityInfoList</w:t>
            </w:r>
            <w:r w:rsidRPr="00FA0D37">
              <w:rPr>
                <w:szCs w:val="22"/>
              </w:rPr>
              <w:t xml:space="preserve"> </w:t>
            </w:r>
            <w:r w:rsidRPr="00FA0D37">
              <w:rPr>
                <w:szCs w:val="22"/>
                <w:lang w:eastAsia="sv-SE"/>
              </w:rPr>
              <w:t xml:space="preserve">fields included in </w:t>
            </w:r>
            <w:r w:rsidRPr="00FA0D37">
              <w:rPr>
                <w:i/>
                <w:lang w:eastAsia="sv-SE"/>
              </w:rPr>
              <w:t>SIB1</w:t>
            </w:r>
            <w:r w:rsidRPr="00FA0D37">
              <w:rPr>
                <w:szCs w:val="22"/>
                <w:lang w:eastAsia="sv-SE"/>
              </w:rPr>
              <w:t>.</w:t>
            </w:r>
          </w:p>
        </w:tc>
      </w:tr>
      <w:tr w:rsidR="005C7FF4" w:rsidRPr="00FA0D37" w14:paraId="2DED29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4BD06" w14:textId="77777777" w:rsidR="00394471" w:rsidRPr="00FA0D37" w:rsidRDefault="00394471" w:rsidP="00964CC4">
            <w:pPr>
              <w:pStyle w:val="TAL"/>
              <w:rPr>
                <w:szCs w:val="22"/>
                <w:lang w:eastAsia="sv-SE"/>
              </w:rPr>
            </w:pPr>
            <w:r w:rsidRPr="00FA0D37">
              <w:rPr>
                <w:b/>
                <w:i/>
                <w:szCs w:val="22"/>
                <w:lang w:eastAsia="sv-SE"/>
              </w:rPr>
              <w:t>uplinkTxDirectCurrentList</w:t>
            </w:r>
          </w:p>
          <w:p w14:paraId="61D47083" w14:textId="77777777" w:rsidR="00394471" w:rsidRPr="00FA0D37" w:rsidRDefault="00394471" w:rsidP="00964CC4">
            <w:pPr>
              <w:pStyle w:val="TAL"/>
              <w:rPr>
                <w:lang w:eastAsia="sv-SE"/>
              </w:rPr>
            </w:pPr>
            <w:r w:rsidRPr="00FA0D37">
              <w:rPr>
                <w:lang w:eastAsia="sv-SE"/>
              </w:rPr>
              <w:t xml:space="preserve">The Tx Direct Current locations for the configured serving cells and BWPs if requested by the NW (see </w:t>
            </w:r>
            <w:r w:rsidRPr="00FA0D37">
              <w:rPr>
                <w:i/>
                <w:lang w:eastAsia="sv-SE"/>
              </w:rPr>
              <w:t>reportUplinkTxDirectCurrent</w:t>
            </w:r>
            <w:r w:rsidRPr="00FA0D37">
              <w:rPr>
                <w:lang w:eastAsia="sv-SE"/>
              </w:rPr>
              <w:t xml:space="preserve"> in </w:t>
            </w:r>
            <w:r w:rsidRPr="00FA0D37">
              <w:rPr>
                <w:i/>
                <w:lang w:eastAsia="sv-SE"/>
              </w:rPr>
              <w:t>CellGroupConfig</w:t>
            </w:r>
            <w:r w:rsidRPr="00FA0D37">
              <w:rPr>
                <w:lang w:eastAsia="sv-SE"/>
              </w:rPr>
              <w:t>).</w:t>
            </w:r>
          </w:p>
        </w:tc>
      </w:tr>
      <w:tr w:rsidR="005C7FF4" w:rsidRPr="00FA0D37" w14:paraId="7D330AF7" w14:textId="77777777" w:rsidTr="00964CC4">
        <w:tc>
          <w:tcPr>
            <w:tcW w:w="14173" w:type="dxa"/>
            <w:tcBorders>
              <w:top w:val="single" w:sz="4" w:space="0" w:color="auto"/>
              <w:left w:val="single" w:sz="4" w:space="0" w:color="auto"/>
              <w:bottom w:val="single" w:sz="4" w:space="0" w:color="auto"/>
              <w:right w:val="single" w:sz="4" w:space="0" w:color="auto"/>
            </w:tcBorders>
          </w:tcPr>
          <w:p w14:paraId="2E0BDB03" w14:textId="77777777" w:rsidR="006C69F1" w:rsidRPr="00FA0D37" w:rsidRDefault="006C69F1" w:rsidP="006C69F1">
            <w:pPr>
              <w:pStyle w:val="TAL"/>
              <w:rPr>
                <w:b/>
                <w:i/>
                <w:szCs w:val="22"/>
                <w:lang w:eastAsia="sv-SE"/>
              </w:rPr>
            </w:pPr>
            <w:r w:rsidRPr="00FA0D37">
              <w:rPr>
                <w:b/>
                <w:i/>
                <w:szCs w:val="22"/>
                <w:lang w:eastAsia="sv-SE"/>
              </w:rPr>
              <w:t>uplinkTxDirectCurrentMoreCarrierList</w:t>
            </w:r>
          </w:p>
          <w:p w14:paraId="26289042" w14:textId="17DDBCB0" w:rsidR="006C69F1" w:rsidRPr="00FA0D37" w:rsidRDefault="006C69F1" w:rsidP="006C69F1">
            <w:pPr>
              <w:pStyle w:val="TAL"/>
              <w:rPr>
                <w:bCs/>
                <w:iCs/>
                <w:szCs w:val="22"/>
                <w:lang w:eastAsia="sv-SE"/>
              </w:rPr>
            </w:pPr>
            <w:r w:rsidRPr="00FA0D37">
              <w:rPr>
                <w:bCs/>
                <w:iCs/>
                <w:szCs w:val="22"/>
                <w:lang w:eastAsia="sv-SE"/>
              </w:rPr>
              <w:t>The Tx Direct Current locations for the configured intra-band CA requested by</w:t>
            </w:r>
            <w:r w:rsidRPr="00FA0D37">
              <w:rPr>
                <w:bCs/>
                <w:i/>
                <w:szCs w:val="22"/>
                <w:lang w:eastAsia="sv-SE"/>
              </w:rPr>
              <w:t xml:space="preserve"> reportUplinkTxDirectCurrentMoreCarrier-r17</w:t>
            </w:r>
            <w:r w:rsidRPr="00FA0D37">
              <w:rPr>
                <w:bCs/>
                <w:iCs/>
                <w:szCs w:val="22"/>
                <w:lang w:eastAsia="sv-SE"/>
              </w:rPr>
              <w:t>.</w:t>
            </w:r>
          </w:p>
        </w:tc>
      </w:tr>
      <w:tr w:rsidR="000F3B47" w:rsidRPr="00FA0D37" w14:paraId="37B44EB7"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22A07583" w14:textId="77777777" w:rsidR="00E46198" w:rsidRPr="00FA0D37" w:rsidRDefault="00E46198" w:rsidP="00DB6EED">
            <w:pPr>
              <w:pStyle w:val="TAL"/>
              <w:rPr>
                <w:b/>
                <w:i/>
                <w:szCs w:val="22"/>
                <w:lang w:eastAsia="sv-SE"/>
              </w:rPr>
            </w:pPr>
            <w:r w:rsidRPr="00FA0D37">
              <w:rPr>
                <w:b/>
                <w:i/>
                <w:szCs w:val="22"/>
                <w:lang w:eastAsia="sv-SE"/>
              </w:rPr>
              <w:t>uplinkTxDirectCurrentTwoCarrierList</w:t>
            </w:r>
          </w:p>
          <w:p w14:paraId="00C8F038" w14:textId="77777777" w:rsidR="00E46198" w:rsidRPr="00FA0D37" w:rsidRDefault="00E46198" w:rsidP="00DB6EED">
            <w:pPr>
              <w:pStyle w:val="TAL"/>
              <w:rPr>
                <w:bCs/>
                <w:iCs/>
                <w:szCs w:val="22"/>
                <w:lang w:eastAsia="sv-SE"/>
              </w:rPr>
            </w:pPr>
            <w:r w:rsidRPr="00FA0D37">
              <w:rPr>
                <w:bCs/>
                <w:iCs/>
                <w:szCs w:val="22"/>
                <w:lang w:eastAsia="sv-SE"/>
              </w:rPr>
              <w:t xml:space="preserve">The Tx Direct Current locations for the configured uplink intra-band CA with two carriers if requested by the NW (see </w:t>
            </w:r>
            <w:r w:rsidRPr="00FA0D37">
              <w:rPr>
                <w:bCs/>
                <w:i/>
                <w:szCs w:val="22"/>
                <w:lang w:eastAsia="sv-SE"/>
              </w:rPr>
              <w:t>reportUplinkTxDirectCurrentTwoCarrier-r16</w:t>
            </w:r>
            <w:r w:rsidRPr="00FA0D37">
              <w:rPr>
                <w:bCs/>
                <w:iCs/>
                <w:szCs w:val="22"/>
                <w:lang w:eastAsia="sv-SE"/>
              </w:rPr>
              <w:t xml:space="preserve"> in </w:t>
            </w:r>
            <w:r w:rsidRPr="00FA0D37">
              <w:rPr>
                <w:bCs/>
                <w:i/>
                <w:szCs w:val="22"/>
                <w:lang w:eastAsia="sv-SE"/>
              </w:rPr>
              <w:t>CellGroupConfig</w:t>
            </w:r>
            <w:r w:rsidRPr="00FA0D37">
              <w:rPr>
                <w:bCs/>
                <w:iCs/>
                <w:szCs w:val="22"/>
                <w:lang w:eastAsia="sv-SE"/>
              </w:rPr>
              <w:t>).</w:t>
            </w:r>
          </w:p>
        </w:tc>
      </w:tr>
    </w:tbl>
    <w:p w14:paraId="7E600FDD" w14:textId="77777777" w:rsidR="00394471" w:rsidRPr="00FA0D37" w:rsidRDefault="00394471" w:rsidP="00394471"/>
    <w:p w14:paraId="464D84F9" w14:textId="77777777" w:rsidR="00394471" w:rsidRPr="00FA0D37" w:rsidRDefault="00394471" w:rsidP="00394471">
      <w:pPr>
        <w:pStyle w:val="4"/>
      </w:pPr>
      <w:bookmarkStart w:id="684" w:name="_Toc60777114"/>
      <w:bookmarkStart w:id="685" w:name="_Toc146781151"/>
      <w:r w:rsidRPr="00FA0D37">
        <w:t>–</w:t>
      </w:r>
      <w:r w:rsidRPr="00FA0D37">
        <w:tab/>
      </w:r>
      <w:r w:rsidRPr="00FA0D37">
        <w:rPr>
          <w:i/>
          <w:noProof/>
        </w:rPr>
        <w:t>RRCResumeRequest</w:t>
      </w:r>
      <w:bookmarkEnd w:id="684"/>
      <w:bookmarkEnd w:id="685"/>
    </w:p>
    <w:p w14:paraId="26F32FAE" w14:textId="77777777" w:rsidR="00394471" w:rsidRPr="00FA0D37" w:rsidRDefault="00394471" w:rsidP="00394471">
      <w:r w:rsidRPr="00FA0D37">
        <w:t xml:space="preserve">The </w:t>
      </w:r>
      <w:r w:rsidRPr="00FA0D37">
        <w:rPr>
          <w:i/>
          <w:noProof/>
        </w:rPr>
        <w:t>RRCResumeRequest</w:t>
      </w:r>
      <w:r w:rsidRPr="00FA0D37">
        <w:t xml:space="preserve"> message is used to request the resumption of a suspended RRC connection or perform an RNA update.</w:t>
      </w:r>
    </w:p>
    <w:p w14:paraId="5A78FD47" w14:textId="77777777" w:rsidR="00394471" w:rsidRPr="00FA0D37" w:rsidRDefault="00394471" w:rsidP="00394471">
      <w:pPr>
        <w:pStyle w:val="B1"/>
      </w:pPr>
      <w:r w:rsidRPr="00FA0D37">
        <w:t>Signalling radio bearer: SRB0</w:t>
      </w:r>
    </w:p>
    <w:p w14:paraId="6E99692D" w14:textId="77777777" w:rsidR="00394471" w:rsidRPr="00FA0D37" w:rsidRDefault="00394471" w:rsidP="00394471">
      <w:pPr>
        <w:pStyle w:val="B1"/>
      </w:pPr>
      <w:r w:rsidRPr="00FA0D37">
        <w:t>RLC-SAP: TM</w:t>
      </w:r>
    </w:p>
    <w:p w14:paraId="0E64E221" w14:textId="77777777" w:rsidR="00394471" w:rsidRPr="00FA0D37" w:rsidRDefault="00394471" w:rsidP="00394471">
      <w:pPr>
        <w:pStyle w:val="B1"/>
      </w:pPr>
      <w:r w:rsidRPr="00FA0D37">
        <w:t>Logical channel: CCCH</w:t>
      </w:r>
    </w:p>
    <w:p w14:paraId="4F43CC5A" w14:textId="77777777" w:rsidR="00394471" w:rsidRPr="00FA0D37" w:rsidRDefault="00394471" w:rsidP="00394471">
      <w:pPr>
        <w:pStyle w:val="B1"/>
      </w:pPr>
      <w:r w:rsidRPr="00FA0D37">
        <w:t>Direction: UE to Network</w:t>
      </w:r>
    </w:p>
    <w:p w14:paraId="770373A8" w14:textId="77777777" w:rsidR="00394471" w:rsidRPr="00FA0D37" w:rsidRDefault="00394471" w:rsidP="00394471">
      <w:pPr>
        <w:pStyle w:val="TH"/>
        <w:rPr>
          <w:noProof/>
        </w:rPr>
      </w:pPr>
      <w:r w:rsidRPr="00FA0D37">
        <w:rPr>
          <w:i/>
          <w:noProof/>
        </w:rPr>
        <w:t>RRCResumeRequest</w:t>
      </w:r>
      <w:r w:rsidRPr="00FA0D37">
        <w:rPr>
          <w:noProof/>
        </w:rPr>
        <w:t xml:space="preserve"> message</w:t>
      </w:r>
    </w:p>
    <w:p w14:paraId="5A78E180" w14:textId="77777777" w:rsidR="00394471" w:rsidRPr="00FA0D37" w:rsidRDefault="00394471" w:rsidP="00FA0D37">
      <w:pPr>
        <w:pStyle w:val="PL"/>
        <w:rPr>
          <w:color w:val="808080"/>
        </w:rPr>
      </w:pPr>
      <w:r w:rsidRPr="00FA0D37">
        <w:rPr>
          <w:color w:val="808080"/>
        </w:rPr>
        <w:t>-- ASN1START</w:t>
      </w:r>
    </w:p>
    <w:p w14:paraId="6A6FD3DF" w14:textId="77777777" w:rsidR="00394471" w:rsidRPr="00FA0D37" w:rsidRDefault="00394471" w:rsidP="00FA0D37">
      <w:pPr>
        <w:pStyle w:val="PL"/>
        <w:rPr>
          <w:color w:val="808080"/>
        </w:rPr>
      </w:pPr>
      <w:r w:rsidRPr="00FA0D37">
        <w:rPr>
          <w:color w:val="808080"/>
        </w:rPr>
        <w:t>-- TAG-RRCRESUMEREQUEST-START</w:t>
      </w:r>
    </w:p>
    <w:p w14:paraId="5F201330" w14:textId="77777777" w:rsidR="00394471" w:rsidRPr="00FA0D37" w:rsidRDefault="00394471" w:rsidP="00FA0D37">
      <w:pPr>
        <w:pStyle w:val="PL"/>
      </w:pPr>
    </w:p>
    <w:p w14:paraId="6C8CF7F8" w14:textId="77777777" w:rsidR="00394471" w:rsidRPr="00FA0D37" w:rsidRDefault="00394471" w:rsidP="00FA0D37">
      <w:pPr>
        <w:pStyle w:val="PL"/>
      </w:pPr>
      <w:r w:rsidRPr="00FA0D37">
        <w:t xml:space="preserve">RRCResumeRequest ::=            </w:t>
      </w:r>
      <w:r w:rsidRPr="00FA0D37">
        <w:rPr>
          <w:color w:val="993366"/>
        </w:rPr>
        <w:t>SEQUENCE</w:t>
      </w:r>
      <w:r w:rsidRPr="00FA0D37">
        <w:t xml:space="preserve"> {</w:t>
      </w:r>
    </w:p>
    <w:p w14:paraId="7711D5A2" w14:textId="77777777" w:rsidR="00394471" w:rsidRPr="00FA0D37" w:rsidRDefault="00394471" w:rsidP="00FA0D37">
      <w:pPr>
        <w:pStyle w:val="PL"/>
      </w:pPr>
      <w:r w:rsidRPr="00FA0D37">
        <w:t xml:space="preserve">        rrcResumeRequest            RRCResumeRequest-IEs</w:t>
      </w:r>
    </w:p>
    <w:p w14:paraId="023DA177" w14:textId="77777777" w:rsidR="00394471" w:rsidRPr="00FA0D37" w:rsidRDefault="00394471" w:rsidP="00FA0D37">
      <w:pPr>
        <w:pStyle w:val="PL"/>
      </w:pPr>
      <w:r w:rsidRPr="00FA0D37">
        <w:t>}</w:t>
      </w:r>
    </w:p>
    <w:p w14:paraId="1167FE37" w14:textId="77777777" w:rsidR="00394471" w:rsidRPr="00FA0D37" w:rsidRDefault="00394471" w:rsidP="00FA0D37">
      <w:pPr>
        <w:pStyle w:val="PL"/>
      </w:pPr>
    </w:p>
    <w:p w14:paraId="5D904F5C" w14:textId="77777777" w:rsidR="00394471" w:rsidRPr="00FA0D37" w:rsidRDefault="00394471" w:rsidP="00FA0D37">
      <w:pPr>
        <w:pStyle w:val="PL"/>
      </w:pPr>
      <w:r w:rsidRPr="00FA0D37">
        <w:lastRenderedPageBreak/>
        <w:t xml:space="preserve">RRCResumeRequest-IEs ::=        </w:t>
      </w:r>
      <w:r w:rsidRPr="00FA0D37">
        <w:rPr>
          <w:color w:val="993366"/>
        </w:rPr>
        <w:t>SEQUENCE</w:t>
      </w:r>
      <w:r w:rsidRPr="00FA0D37">
        <w:t xml:space="preserve"> {</w:t>
      </w:r>
    </w:p>
    <w:p w14:paraId="044162EE" w14:textId="77777777" w:rsidR="00394471" w:rsidRPr="00FA0D37" w:rsidRDefault="00394471" w:rsidP="00FA0D37">
      <w:pPr>
        <w:pStyle w:val="PL"/>
      </w:pPr>
      <w:r w:rsidRPr="00FA0D37">
        <w:t xml:space="preserve">    resumeIdentity                  ShortI-RNTI-Value,</w:t>
      </w:r>
    </w:p>
    <w:p w14:paraId="5B7CE427" w14:textId="77777777" w:rsidR="00394471" w:rsidRPr="00FA0D37" w:rsidRDefault="00394471" w:rsidP="00FA0D37">
      <w:pPr>
        <w:pStyle w:val="PL"/>
      </w:pPr>
      <w:r w:rsidRPr="00FA0D37">
        <w:t xml:space="preserve">    resumeMAC-I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6149A600" w14:textId="77777777" w:rsidR="00394471" w:rsidRPr="00FA0D37" w:rsidRDefault="00394471" w:rsidP="00FA0D37">
      <w:pPr>
        <w:pStyle w:val="PL"/>
      </w:pPr>
      <w:r w:rsidRPr="00FA0D37">
        <w:t xml:space="preserve">    resumeCause                     ResumeCause,</w:t>
      </w:r>
    </w:p>
    <w:p w14:paraId="6172352D" w14:textId="77777777" w:rsidR="00394471" w:rsidRPr="00FA0D37" w:rsidRDefault="00394471" w:rsidP="00FA0D37">
      <w:pPr>
        <w:pStyle w:val="PL"/>
      </w:pPr>
      <w:r w:rsidRPr="00FA0D37">
        <w:t xml:space="preserve">    spare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w:t>
      </w:r>
    </w:p>
    <w:p w14:paraId="756EDDC1" w14:textId="77777777" w:rsidR="00394471" w:rsidRPr="00FA0D37" w:rsidRDefault="00394471" w:rsidP="00FA0D37">
      <w:pPr>
        <w:pStyle w:val="PL"/>
      </w:pPr>
      <w:r w:rsidRPr="00FA0D37">
        <w:t>}</w:t>
      </w:r>
    </w:p>
    <w:p w14:paraId="393E3039" w14:textId="77777777" w:rsidR="00394471" w:rsidRPr="00FA0D37" w:rsidRDefault="00394471" w:rsidP="00FA0D37">
      <w:pPr>
        <w:pStyle w:val="PL"/>
      </w:pPr>
    </w:p>
    <w:p w14:paraId="21CCBEF8" w14:textId="77777777" w:rsidR="00394471" w:rsidRPr="00FA0D37" w:rsidRDefault="00394471" w:rsidP="00FA0D37">
      <w:pPr>
        <w:pStyle w:val="PL"/>
        <w:rPr>
          <w:color w:val="808080"/>
        </w:rPr>
      </w:pPr>
      <w:r w:rsidRPr="00FA0D37">
        <w:rPr>
          <w:color w:val="808080"/>
        </w:rPr>
        <w:t>-- TAG-RRCRESUMEREQUEST-STOP</w:t>
      </w:r>
    </w:p>
    <w:p w14:paraId="46C6F5C7" w14:textId="77777777" w:rsidR="00394471" w:rsidRPr="00FA0D37" w:rsidRDefault="00394471" w:rsidP="00FA0D37">
      <w:pPr>
        <w:pStyle w:val="PL"/>
        <w:rPr>
          <w:color w:val="808080"/>
        </w:rPr>
      </w:pPr>
      <w:r w:rsidRPr="00FA0D37">
        <w:rPr>
          <w:color w:val="808080"/>
        </w:rPr>
        <w:t>-- ASN1STOP</w:t>
      </w:r>
    </w:p>
    <w:p w14:paraId="59CFAA4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49FDE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C487F1" w14:textId="77777777" w:rsidR="00394471" w:rsidRPr="00FA0D37" w:rsidRDefault="00394471" w:rsidP="00964CC4">
            <w:pPr>
              <w:pStyle w:val="TAH"/>
              <w:rPr>
                <w:szCs w:val="22"/>
                <w:lang w:eastAsia="sv-SE"/>
              </w:rPr>
            </w:pPr>
            <w:r w:rsidRPr="00FA0D37">
              <w:rPr>
                <w:i/>
                <w:noProof/>
                <w:lang w:eastAsia="en-GB"/>
              </w:rPr>
              <w:t>RRCResumeRequest</w:t>
            </w:r>
            <w:r w:rsidRPr="00FA0D37">
              <w:rPr>
                <w:i/>
                <w:szCs w:val="22"/>
                <w:lang w:eastAsia="sv-SE"/>
              </w:rPr>
              <w:t>-IEs</w:t>
            </w:r>
            <w:r w:rsidRPr="00FA0D37">
              <w:rPr>
                <w:iCs/>
                <w:noProof/>
                <w:lang w:eastAsia="en-GB"/>
              </w:rPr>
              <w:t xml:space="preserve"> field descriptions</w:t>
            </w:r>
          </w:p>
        </w:tc>
      </w:tr>
      <w:tr w:rsidR="005C7FF4" w:rsidRPr="00FA0D37" w14:paraId="15B247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304590" w14:textId="77777777" w:rsidR="00394471" w:rsidRPr="00FA0D37" w:rsidRDefault="00394471" w:rsidP="00964CC4">
            <w:pPr>
              <w:pStyle w:val="TAL"/>
              <w:rPr>
                <w:b/>
                <w:i/>
                <w:noProof/>
                <w:lang w:eastAsia="sv-SE"/>
              </w:rPr>
            </w:pPr>
            <w:r w:rsidRPr="00FA0D37">
              <w:rPr>
                <w:b/>
                <w:i/>
                <w:noProof/>
                <w:lang w:eastAsia="sv-SE"/>
              </w:rPr>
              <w:t>resumeCause</w:t>
            </w:r>
          </w:p>
          <w:p w14:paraId="6AE95D6E" w14:textId="77777777" w:rsidR="00394471" w:rsidRPr="00FA0D37" w:rsidRDefault="00394471" w:rsidP="00964CC4">
            <w:pPr>
              <w:pStyle w:val="TAL"/>
              <w:rPr>
                <w:szCs w:val="22"/>
                <w:lang w:eastAsia="sv-SE"/>
              </w:rPr>
            </w:pPr>
            <w:r w:rsidRPr="00FA0D37">
              <w:rPr>
                <w:lang w:eastAsia="sv-SE"/>
              </w:rPr>
              <w:t>Provides the resume cause for the RRC connection resume request as provided by the upper layers or RRC.</w:t>
            </w:r>
            <w:r w:rsidRPr="00FA0D37">
              <w:rPr>
                <w:lang w:eastAsia="en-GB"/>
              </w:rPr>
              <w:t xml:space="preserve"> The network is not expected to reject an </w:t>
            </w:r>
            <w:r w:rsidRPr="00FA0D37">
              <w:rPr>
                <w:i/>
                <w:lang w:eastAsia="en-GB"/>
              </w:rPr>
              <w:t xml:space="preserve">RRCResumeRequest </w:t>
            </w:r>
            <w:r w:rsidRPr="00FA0D37">
              <w:rPr>
                <w:lang w:eastAsia="en-GB"/>
              </w:rPr>
              <w:t>due to unknown cause value being used by the UE.</w:t>
            </w:r>
          </w:p>
        </w:tc>
      </w:tr>
      <w:tr w:rsidR="005C7FF4" w:rsidRPr="00FA0D37" w14:paraId="54C33A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0AB2" w14:textId="77777777" w:rsidR="00394471" w:rsidRPr="00FA0D37" w:rsidRDefault="00394471" w:rsidP="00964CC4">
            <w:pPr>
              <w:pStyle w:val="TAL"/>
              <w:rPr>
                <w:b/>
                <w:i/>
                <w:noProof/>
                <w:lang w:eastAsia="sv-SE"/>
              </w:rPr>
            </w:pPr>
            <w:r w:rsidRPr="00FA0D37">
              <w:rPr>
                <w:b/>
                <w:i/>
                <w:noProof/>
                <w:lang w:eastAsia="sv-SE"/>
              </w:rPr>
              <w:t>resumeIdentity</w:t>
            </w:r>
          </w:p>
          <w:p w14:paraId="2D13341E" w14:textId="77777777" w:rsidR="00394471" w:rsidRPr="00FA0D37" w:rsidRDefault="00394471" w:rsidP="00964CC4">
            <w:pPr>
              <w:pStyle w:val="TAL"/>
              <w:rPr>
                <w:noProof/>
                <w:lang w:eastAsia="sv-SE"/>
              </w:rPr>
            </w:pPr>
            <w:r w:rsidRPr="00FA0D37">
              <w:rPr>
                <w:lang w:eastAsia="sv-SE"/>
              </w:rPr>
              <w:t xml:space="preserve">UE identity to facilitate UE context retrieval </w:t>
            </w:r>
            <w:r w:rsidRPr="00FA0D37">
              <w:rPr>
                <w:noProof/>
                <w:lang w:eastAsia="sv-SE"/>
              </w:rPr>
              <w:t>at gNB.</w:t>
            </w:r>
          </w:p>
        </w:tc>
      </w:tr>
      <w:tr w:rsidR="00394471" w:rsidRPr="00FA0D37" w14:paraId="14DF4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D73F4" w14:textId="77777777" w:rsidR="00394471" w:rsidRPr="00FA0D37" w:rsidRDefault="00394471" w:rsidP="00964CC4">
            <w:pPr>
              <w:pStyle w:val="TAL"/>
              <w:rPr>
                <w:b/>
                <w:i/>
                <w:noProof/>
                <w:lang w:eastAsia="sv-SE"/>
              </w:rPr>
            </w:pPr>
            <w:r w:rsidRPr="00FA0D37">
              <w:rPr>
                <w:b/>
                <w:i/>
                <w:noProof/>
                <w:lang w:eastAsia="sv-SE"/>
              </w:rPr>
              <w:t>resumeMAC-I</w:t>
            </w:r>
          </w:p>
          <w:p w14:paraId="79463154" w14:textId="77777777" w:rsidR="00394471" w:rsidRPr="00FA0D37" w:rsidRDefault="00394471" w:rsidP="00964CC4">
            <w:pPr>
              <w:pStyle w:val="TAL"/>
              <w:rPr>
                <w:iCs/>
                <w:lang w:eastAsia="sv-SE"/>
              </w:rPr>
            </w:pPr>
            <w:r w:rsidRPr="00FA0D37">
              <w:rPr>
                <w:noProof/>
                <w:lang w:eastAsia="zh-TW"/>
              </w:rPr>
              <w:t xml:space="preserve">Authentication token </w:t>
            </w:r>
            <w:r w:rsidRPr="00FA0D37">
              <w:rPr>
                <w:lang w:eastAsia="sv-SE"/>
              </w:rPr>
              <w:t>to facilitate UE authentication at gNB. The 16 least significant bits of the MAC-I calculated using the AS security configuration as specified in 5.3.13.3.</w:t>
            </w:r>
          </w:p>
        </w:tc>
      </w:tr>
    </w:tbl>
    <w:p w14:paraId="55B161AA" w14:textId="77777777" w:rsidR="00394471" w:rsidRPr="00FA0D37" w:rsidRDefault="00394471" w:rsidP="00394471"/>
    <w:p w14:paraId="10FCAA9A" w14:textId="77777777" w:rsidR="00394471" w:rsidRPr="00FA0D37" w:rsidRDefault="00394471" w:rsidP="00394471">
      <w:pPr>
        <w:pStyle w:val="4"/>
      </w:pPr>
      <w:bookmarkStart w:id="686" w:name="_Toc60777115"/>
      <w:bookmarkStart w:id="687" w:name="_Toc146781152"/>
      <w:r w:rsidRPr="00FA0D37">
        <w:t>–</w:t>
      </w:r>
      <w:r w:rsidRPr="00FA0D37">
        <w:tab/>
      </w:r>
      <w:r w:rsidRPr="00FA0D37">
        <w:rPr>
          <w:i/>
          <w:noProof/>
        </w:rPr>
        <w:t>RRCResumeRequest1</w:t>
      </w:r>
      <w:bookmarkEnd w:id="686"/>
      <w:bookmarkEnd w:id="687"/>
    </w:p>
    <w:p w14:paraId="48298261" w14:textId="77777777" w:rsidR="00394471" w:rsidRPr="00FA0D37" w:rsidRDefault="00394471" w:rsidP="00394471">
      <w:r w:rsidRPr="00FA0D37">
        <w:t xml:space="preserve">The </w:t>
      </w:r>
      <w:r w:rsidRPr="00FA0D37">
        <w:rPr>
          <w:i/>
          <w:noProof/>
        </w:rPr>
        <w:t>RRCResumeRequest1</w:t>
      </w:r>
      <w:r w:rsidRPr="00FA0D37">
        <w:rPr>
          <w:noProof/>
        </w:rPr>
        <w:t xml:space="preserve"> </w:t>
      </w:r>
      <w:r w:rsidRPr="00FA0D37">
        <w:t>message is used to request the resumption of a suspended RRC connection or perform an RNA update.</w:t>
      </w:r>
    </w:p>
    <w:p w14:paraId="7B7B920F" w14:textId="77777777" w:rsidR="00394471" w:rsidRPr="00FA0D37" w:rsidRDefault="00394471" w:rsidP="00394471">
      <w:pPr>
        <w:pStyle w:val="B1"/>
      </w:pPr>
      <w:r w:rsidRPr="00FA0D37">
        <w:t>Signalling radio bearer: SRB0</w:t>
      </w:r>
    </w:p>
    <w:p w14:paraId="4E9F4CF3" w14:textId="77777777" w:rsidR="00394471" w:rsidRPr="00FA0D37" w:rsidRDefault="00394471" w:rsidP="00394471">
      <w:pPr>
        <w:pStyle w:val="B1"/>
      </w:pPr>
      <w:r w:rsidRPr="00FA0D37">
        <w:t>RLC-SAP: TM</w:t>
      </w:r>
    </w:p>
    <w:p w14:paraId="5057D7B9" w14:textId="77777777" w:rsidR="00394471" w:rsidRPr="00FA0D37" w:rsidRDefault="00394471" w:rsidP="00394471">
      <w:pPr>
        <w:pStyle w:val="B1"/>
      </w:pPr>
      <w:r w:rsidRPr="00FA0D37">
        <w:t>Logical channel: CCCH1</w:t>
      </w:r>
    </w:p>
    <w:p w14:paraId="54FBBF0E" w14:textId="77777777" w:rsidR="00394471" w:rsidRPr="00FA0D37" w:rsidRDefault="00394471" w:rsidP="00394471">
      <w:pPr>
        <w:pStyle w:val="B1"/>
      </w:pPr>
      <w:r w:rsidRPr="00FA0D37">
        <w:t>Direction: UE to Network</w:t>
      </w:r>
    </w:p>
    <w:p w14:paraId="58DD56AC" w14:textId="77777777" w:rsidR="00394471" w:rsidRPr="00FA0D37" w:rsidRDefault="00394471" w:rsidP="00394471">
      <w:pPr>
        <w:pStyle w:val="TH"/>
        <w:rPr>
          <w:noProof/>
        </w:rPr>
      </w:pPr>
      <w:r w:rsidRPr="00FA0D37">
        <w:rPr>
          <w:i/>
          <w:noProof/>
        </w:rPr>
        <w:t>RRCResumeRequest1</w:t>
      </w:r>
      <w:r w:rsidRPr="00FA0D37">
        <w:rPr>
          <w:noProof/>
        </w:rPr>
        <w:t xml:space="preserve"> message</w:t>
      </w:r>
    </w:p>
    <w:p w14:paraId="3E52F57A" w14:textId="77777777" w:rsidR="00394471" w:rsidRPr="00FA0D37" w:rsidRDefault="00394471" w:rsidP="00FA0D37">
      <w:pPr>
        <w:pStyle w:val="PL"/>
        <w:rPr>
          <w:color w:val="808080"/>
        </w:rPr>
      </w:pPr>
      <w:r w:rsidRPr="00FA0D37">
        <w:rPr>
          <w:color w:val="808080"/>
        </w:rPr>
        <w:t>-- ASN1START</w:t>
      </w:r>
    </w:p>
    <w:p w14:paraId="0FA01FDE" w14:textId="77777777" w:rsidR="00394471" w:rsidRPr="00FA0D37" w:rsidRDefault="00394471" w:rsidP="00FA0D37">
      <w:pPr>
        <w:pStyle w:val="PL"/>
        <w:rPr>
          <w:color w:val="808080"/>
        </w:rPr>
      </w:pPr>
      <w:r w:rsidRPr="00FA0D37">
        <w:rPr>
          <w:color w:val="808080"/>
        </w:rPr>
        <w:t>-- TAG-RRCRESUMEREQUEST1-START</w:t>
      </w:r>
    </w:p>
    <w:p w14:paraId="0CF33343" w14:textId="77777777" w:rsidR="00394471" w:rsidRPr="00FA0D37" w:rsidRDefault="00394471" w:rsidP="00FA0D37">
      <w:pPr>
        <w:pStyle w:val="PL"/>
      </w:pPr>
    </w:p>
    <w:p w14:paraId="690239E0" w14:textId="77777777" w:rsidR="00394471" w:rsidRPr="00FA0D37" w:rsidRDefault="00394471" w:rsidP="00FA0D37">
      <w:pPr>
        <w:pStyle w:val="PL"/>
      </w:pPr>
      <w:r w:rsidRPr="00FA0D37">
        <w:t xml:space="preserve">RRCResumeRequest1 ::=         </w:t>
      </w:r>
      <w:r w:rsidRPr="00FA0D37">
        <w:rPr>
          <w:color w:val="993366"/>
        </w:rPr>
        <w:t>SEQUENCE</w:t>
      </w:r>
      <w:r w:rsidRPr="00FA0D37">
        <w:t xml:space="preserve"> {</w:t>
      </w:r>
    </w:p>
    <w:p w14:paraId="15732A7B" w14:textId="77777777" w:rsidR="00394471" w:rsidRPr="00FA0D37" w:rsidRDefault="00394471" w:rsidP="00FA0D37">
      <w:pPr>
        <w:pStyle w:val="PL"/>
      </w:pPr>
      <w:r w:rsidRPr="00FA0D37">
        <w:t xml:space="preserve">       rrcResumeRequest1          RRCResumeRequest1-IEs</w:t>
      </w:r>
    </w:p>
    <w:p w14:paraId="7E317DEE" w14:textId="77777777" w:rsidR="00394471" w:rsidRPr="00FA0D37" w:rsidRDefault="00394471" w:rsidP="00FA0D37">
      <w:pPr>
        <w:pStyle w:val="PL"/>
      </w:pPr>
      <w:r w:rsidRPr="00FA0D37">
        <w:t>}</w:t>
      </w:r>
    </w:p>
    <w:p w14:paraId="4BB91E14" w14:textId="77777777" w:rsidR="00394471" w:rsidRPr="00FA0D37" w:rsidRDefault="00394471" w:rsidP="00FA0D37">
      <w:pPr>
        <w:pStyle w:val="PL"/>
      </w:pPr>
    </w:p>
    <w:p w14:paraId="17C3C09B" w14:textId="77777777" w:rsidR="00394471" w:rsidRPr="00FA0D37" w:rsidRDefault="00394471" w:rsidP="00FA0D37">
      <w:pPr>
        <w:pStyle w:val="PL"/>
      </w:pPr>
      <w:r w:rsidRPr="00FA0D37">
        <w:t xml:space="preserve">RRCResumeRequest1-IEs ::=    </w:t>
      </w:r>
      <w:r w:rsidRPr="00FA0D37">
        <w:rPr>
          <w:color w:val="993366"/>
        </w:rPr>
        <w:t>SEQUENCE</w:t>
      </w:r>
      <w:r w:rsidRPr="00FA0D37">
        <w:t xml:space="preserve"> {</w:t>
      </w:r>
    </w:p>
    <w:p w14:paraId="4BC0BDE5" w14:textId="77777777" w:rsidR="00394471" w:rsidRPr="00FA0D37" w:rsidRDefault="00394471" w:rsidP="00FA0D37">
      <w:pPr>
        <w:pStyle w:val="PL"/>
      </w:pPr>
      <w:r w:rsidRPr="00FA0D37">
        <w:t xml:space="preserve">    resumeIdentity               I-RNTI-Value,</w:t>
      </w:r>
    </w:p>
    <w:p w14:paraId="3C41CDE3" w14:textId="77777777" w:rsidR="00394471" w:rsidRPr="00FA0D37" w:rsidRDefault="00394471" w:rsidP="00FA0D37">
      <w:pPr>
        <w:pStyle w:val="PL"/>
      </w:pPr>
      <w:r w:rsidRPr="00FA0D37">
        <w:t xml:space="preserve">    resumeMAC-I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4384532F" w14:textId="77777777" w:rsidR="00394471" w:rsidRPr="00FA0D37" w:rsidRDefault="00394471" w:rsidP="00FA0D37">
      <w:pPr>
        <w:pStyle w:val="PL"/>
      </w:pPr>
      <w:r w:rsidRPr="00FA0D37">
        <w:t xml:space="preserve">    resumeCause                  ResumeCause,</w:t>
      </w:r>
    </w:p>
    <w:p w14:paraId="4678041F" w14:textId="77777777" w:rsidR="00394471" w:rsidRPr="00FA0D37" w:rsidRDefault="00394471" w:rsidP="00FA0D37">
      <w:pPr>
        <w:pStyle w:val="PL"/>
      </w:pPr>
      <w:r w:rsidRPr="00FA0D37">
        <w:t xml:space="preserve">    spare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w:t>
      </w:r>
    </w:p>
    <w:p w14:paraId="0542EF22" w14:textId="77777777" w:rsidR="00394471" w:rsidRPr="00FA0D37" w:rsidRDefault="00394471" w:rsidP="00FA0D37">
      <w:pPr>
        <w:pStyle w:val="PL"/>
      </w:pPr>
      <w:r w:rsidRPr="00FA0D37">
        <w:lastRenderedPageBreak/>
        <w:t>}</w:t>
      </w:r>
    </w:p>
    <w:p w14:paraId="73DCA4F8" w14:textId="77777777" w:rsidR="00394471" w:rsidRPr="00FA0D37" w:rsidRDefault="00394471" w:rsidP="00FA0D37">
      <w:pPr>
        <w:pStyle w:val="PL"/>
      </w:pPr>
    </w:p>
    <w:p w14:paraId="72B1B214" w14:textId="77777777" w:rsidR="00394471" w:rsidRPr="00FA0D37" w:rsidRDefault="00394471" w:rsidP="00FA0D37">
      <w:pPr>
        <w:pStyle w:val="PL"/>
        <w:rPr>
          <w:color w:val="808080"/>
        </w:rPr>
      </w:pPr>
      <w:r w:rsidRPr="00FA0D37">
        <w:rPr>
          <w:color w:val="808080"/>
        </w:rPr>
        <w:t>-- TAG-RRCRESUMEREQUEST1-STOP</w:t>
      </w:r>
    </w:p>
    <w:p w14:paraId="2609B05D" w14:textId="77777777" w:rsidR="00394471" w:rsidRPr="00FA0D37" w:rsidRDefault="00394471" w:rsidP="00FA0D37">
      <w:pPr>
        <w:pStyle w:val="PL"/>
        <w:rPr>
          <w:color w:val="808080"/>
        </w:rPr>
      </w:pPr>
      <w:r w:rsidRPr="00FA0D37">
        <w:rPr>
          <w:color w:val="808080"/>
        </w:rPr>
        <w:t>-- ASN1STOP</w:t>
      </w:r>
    </w:p>
    <w:p w14:paraId="5CBFA67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C5E87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121E8" w14:textId="77777777" w:rsidR="00394471" w:rsidRPr="00FA0D37" w:rsidRDefault="00394471" w:rsidP="00964CC4">
            <w:pPr>
              <w:pStyle w:val="TAH"/>
              <w:rPr>
                <w:szCs w:val="22"/>
                <w:lang w:eastAsia="sv-SE"/>
              </w:rPr>
            </w:pPr>
            <w:r w:rsidRPr="00FA0D37">
              <w:rPr>
                <w:i/>
                <w:szCs w:val="22"/>
                <w:lang w:eastAsia="sv-SE"/>
              </w:rPr>
              <w:t xml:space="preserve">RRCResumeRequest1-IEs </w:t>
            </w:r>
            <w:r w:rsidRPr="00FA0D37">
              <w:rPr>
                <w:szCs w:val="22"/>
                <w:lang w:eastAsia="sv-SE"/>
              </w:rPr>
              <w:t>field descriptions</w:t>
            </w:r>
          </w:p>
        </w:tc>
      </w:tr>
      <w:tr w:rsidR="005C7FF4" w:rsidRPr="00FA0D37" w14:paraId="6BA966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80A7D2" w14:textId="77777777" w:rsidR="00394471" w:rsidRPr="00FA0D37" w:rsidRDefault="00394471" w:rsidP="00964CC4">
            <w:pPr>
              <w:pStyle w:val="TAL"/>
              <w:rPr>
                <w:szCs w:val="22"/>
                <w:lang w:eastAsia="sv-SE"/>
              </w:rPr>
            </w:pPr>
            <w:r w:rsidRPr="00FA0D37">
              <w:rPr>
                <w:b/>
                <w:i/>
                <w:szCs w:val="22"/>
                <w:lang w:eastAsia="sv-SE"/>
              </w:rPr>
              <w:t>resumeCause</w:t>
            </w:r>
          </w:p>
          <w:p w14:paraId="5FB2DBDC" w14:textId="77777777" w:rsidR="00394471" w:rsidRPr="00FA0D37" w:rsidRDefault="00394471" w:rsidP="00964CC4">
            <w:pPr>
              <w:pStyle w:val="TAL"/>
              <w:rPr>
                <w:szCs w:val="22"/>
                <w:lang w:eastAsia="sv-SE"/>
              </w:rPr>
            </w:pPr>
            <w:r w:rsidRPr="00FA0D37">
              <w:rPr>
                <w:szCs w:val="22"/>
                <w:lang w:eastAsia="sv-SE"/>
              </w:rPr>
              <w:t xml:space="preserve">Provides the resume cause for the </w:t>
            </w:r>
            <w:r w:rsidRPr="00FA0D37">
              <w:rPr>
                <w:i/>
                <w:szCs w:val="22"/>
                <w:lang w:eastAsia="sv-SE"/>
              </w:rPr>
              <w:t>RRCResumeRequest1</w:t>
            </w:r>
            <w:r w:rsidRPr="00FA0D37">
              <w:rPr>
                <w:szCs w:val="22"/>
                <w:lang w:eastAsia="sv-SE"/>
              </w:rPr>
              <w:t xml:space="preserve"> as provided by the upper layers or RRC. A gNB is not expected to reject an </w:t>
            </w:r>
            <w:r w:rsidRPr="00FA0D37">
              <w:rPr>
                <w:i/>
                <w:szCs w:val="22"/>
                <w:lang w:eastAsia="sv-SE"/>
              </w:rPr>
              <w:t>RRCResumeRequest1</w:t>
            </w:r>
            <w:r w:rsidRPr="00FA0D37">
              <w:rPr>
                <w:szCs w:val="22"/>
                <w:lang w:eastAsia="sv-SE"/>
              </w:rPr>
              <w:t xml:space="preserve"> due to unknown cause value being used by the UE.</w:t>
            </w:r>
          </w:p>
        </w:tc>
      </w:tr>
      <w:tr w:rsidR="005C7FF4" w:rsidRPr="00FA0D37" w14:paraId="12FA95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0154" w14:textId="77777777" w:rsidR="00394471" w:rsidRPr="00FA0D37" w:rsidRDefault="00394471" w:rsidP="00964CC4">
            <w:pPr>
              <w:pStyle w:val="TAL"/>
              <w:rPr>
                <w:szCs w:val="22"/>
                <w:lang w:eastAsia="sv-SE"/>
              </w:rPr>
            </w:pPr>
            <w:r w:rsidRPr="00FA0D37">
              <w:rPr>
                <w:b/>
                <w:i/>
                <w:szCs w:val="22"/>
                <w:lang w:eastAsia="sv-SE"/>
              </w:rPr>
              <w:t>resumeIdentity</w:t>
            </w:r>
          </w:p>
          <w:p w14:paraId="0045DB4C" w14:textId="77777777" w:rsidR="00394471" w:rsidRPr="00FA0D37" w:rsidRDefault="00394471" w:rsidP="00964CC4">
            <w:pPr>
              <w:pStyle w:val="TAL"/>
              <w:rPr>
                <w:szCs w:val="22"/>
                <w:lang w:eastAsia="sv-SE"/>
              </w:rPr>
            </w:pPr>
            <w:r w:rsidRPr="00FA0D37">
              <w:rPr>
                <w:szCs w:val="22"/>
                <w:lang w:eastAsia="sv-SE"/>
              </w:rPr>
              <w:t>UE identity to facilitate UE context retrieval at gNB.</w:t>
            </w:r>
          </w:p>
        </w:tc>
      </w:tr>
      <w:tr w:rsidR="00394471" w:rsidRPr="00FA0D37" w14:paraId="22D43C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CE7FD" w14:textId="77777777" w:rsidR="00394471" w:rsidRPr="00FA0D37" w:rsidRDefault="00394471" w:rsidP="00964CC4">
            <w:pPr>
              <w:pStyle w:val="TAL"/>
              <w:rPr>
                <w:szCs w:val="22"/>
                <w:lang w:eastAsia="sv-SE"/>
              </w:rPr>
            </w:pPr>
            <w:r w:rsidRPr="00FA0D37">
              <w:rPr>
                <w:b/>
                <w:i/>
                <w:szCs w:val="22"/>
                <w:lang w:eastAsia="sv-SE"/>
              </w:rPr>
              <w:t>resumeMAC-I</w:t>
            </w:r>
          </w:p>
          <w:p w14:paraId="4B6CAA76" w14:textId="77777777" w:rsidR="00394471" w:rsidRPr="00FA0D37" w:rsidRDefault="00394471" w:rsidP="00964CC4">
            <w:pPr>
              <w:pStyle w:val="TAL"/>
              <w:rPr>
                <w:szCs w:val="22"/>
                <w:lang w:eastAsia="sv-SE"/>
              </w:rPr>
            </w:pPr>
            <w:r w:rsidRPr="00FA0D37">
              <w:rPr>
                <w:szCs w:val="22"/>
                <w:lang w:eastAsia="sv-SE"/>
              </w:rPr>
              <w:t xml:space="preserve">Authentication token to facilitate UE authentication at gNB. The 16 least significant bits of the MAC-I calculated using the </w:t>
            </w:r>
            <w:r w:rsidRPr="00FA0D37">
              <w:rPr>
                <w:lang w:eastAsia="sv-SE"/>
              </w:rPr>
              <w:t xml:space="preserve">AS </w:t>
            </w:r>
            <w:r w:rsidRPr="00FA0D37">
              <w:rPr>
                <w:szCs w:val="22"/>
                <w:lang w:eastAsia="sv-SE"/>
              </w:rPr>
              <w:t>security configuration as specified in 5.3.13.3.</w:t>
            </w:r>
          </w:p>
        </w:tc>
      </w:tr>
    </w:tbl>
    <w:p w14:paraId="432F0B5A" w14:textId="77777777" w:rsidR="00394471" w:rsidRPr="00FA0D37" w:rsidRDefault="00394471" w:rsidP="00394471"/>
    <w:p w14:paraId="7ED35036" w14:textId="77777777" w:rsidR="00394471" w:rsidRPr="00FA0D37" w:rsidRDefault="00394471" w:rsidP="00394471">
      <w:pPr>
        <w:pStyle w:val="4"/>
      </w:pPr>
      <w:bookmarkStart w:id="688" w:name="_Toc60777116"/>
      <w:bookmarkStart w:id="689" w:name="_Toc146781153"/>
      <w:r w:rsidRPr="00FA0D37">
        <w:t>–</w:t>
      </w:r>
      <w:r w:rsidRPr="00FA0D37">
        <w:tab/>
      </w:r>
      <w:r w:rsidRPr="00FA0D37">
        <w:rPr>
          <w:i/>
          <w:noProof/>
        </w:rPr>
        <w:t>RRCSetup</w:t>
      </w:r>
      <w:bookmarkEnd w:id="688"/>
      <w:bookmarkEnd w:id="689"/>
    </w:p>
    <w:p w14:paraId="0BB923A1" w14:textId="77777777" w:rsidR="00394471" w:rsidRPr="00FA0D37" w:rsidRDefault="00394471" w:rsidP="00394471">
      <w:r w:rsidRPr="00FA0D37">
        <w:t xml:space="preserve">The </w:t>
      </w:r>
      <w:r w:rsidRPr="00FA0D37">
        <w:rPr>
          <w:i/>
          <w:noProof/>
        </w:rPr>
        <w:t>RRCSetup</w:t>
      </w:r>
      <w:r w:rsidRPr="00FA0D37">
        <w:t xml:space="preserve"> message is used to establish SRB1.</w:t>
      </w:r>
    </w:p>
    <w:p w14:paraId="58987C47" w14:textId="77777777" w:rsidR="00394471" w:rsidRPr="00FA0D37" w:rsidRDefault="00394471" w:rsidP="00394471">
      <w:pPr>
        <w:pStyle w:val="B1"/>
      </w:pPr>
      <w:r w:rsidRPr="00FA0D37">
        <w:t>Signalling radio bearer: SRB0</w:t>
      </w:r>
    </w:p>
    <w:p w14:paraId="6CE490BF" w14:textId="77777777" w:rsidR="00394471" w:rsidRPr="00FA0D37" w:rsidRDefault="00394471" w:rsidP="00394471">
      <w:pPr>
        <w:pStyle w:val="B1"/>
      </w:pPr>
      <w:r w:rsidRPr="00FA0D37">
        <w:t>RLC-SAP: TM</w:t>
      </w:r>
    </w:p>
    <w:p w14:paraId="1791F13E" w14:textId="77777777" w:rsidR="00394471" w:rsidRPr="00FA0D37" w:rsidRDefault="00394471" w:rsidP="00394471">
      <w:pPr>
        <w:pStyle w:val="B1"/>
      </w:pPr>
      <w:r w:rsidRPr="00FA0D37">
        <w:t>Logical channel: CCCH</w:t>
      </w:r>
    </w:p>
    <w:p w14:paraId="54E082C2" w14:textId="77777777" w:rsidR="00394471" w:rsidRPr="00FA0D37" w:rsidRDefault="00394471" w:rsidP="00394471">
      <w:pPr>
        <w:pStyle w:val="B1"/>
      </w:pPr>
      <w:r w:rsidRPr="00FA0D37">
        <w:t>Direction: Network to UE</w:t>
      </w:r>
    </w:p>
    <w:p w14:paraId="44051EE6" w14:textId="77777777" w:rsidR="00394471" w:rsidRPr="00FA0D37" w:rsidRDefault="00394471" w:rsidP="00394471">
      <w:pPr>
        <w:pStyle w:val="TH"/>
      </w:pPr>
      <w:r w:rsidRPr="00FA0D37">
        <w:rPr>
          <w:i/>
          <w:noProof/>
        </w:rPr>
        <w:t>RRCSetup</w:t>
      </w:r>
      <w:r w:rsidRPr="00FA0D37">
        <w:rPr>
          <w:noProof/>
        </w:rPr>
        <w:t xml:space="preserve"> message</w:t>
      </w:r>
    </w:p>
    <w:p w14:paraId="137F2FE7" w14:textId="77777777" w:rsidR="00394471" w:rsidRPr="00FA0D37" w:rsidRDefault="00394471" w:rsidP="00FA0D37">
      <w:pPr>
        <w:pStyle w:val="PL"/>
        <w:rPr>
          <w:color w:val="808080"/>
        </w:rPr>
      </w:pPr>
      <w:r w:rsidRPr="00FA0D37">
        <w:rPr>
          <w:color w:val="808080"/>
        </w:rPr>
        <w:t>-- ASN1START</w:t>
      </w:r>
    </w:p>
    <w:p w14:paraId="115D7C4D" w14:textId="77777777" w:rsidR="00394471" w:rsidRPr="00FA0D37" w:rsidRDefault="00394471" w:rsidP="00FA0D37">
      <w:pPr>
        <w:pStyle w:val="PL"/>
        <w:rPr>
          <w:color w:val="808080"/>
        </w:rPr>
      </w:pPr>
      <w:r w:rsidRPr="00FA0D37">
        <w:rPr>
          <w:color w:val="808080"/>
        </w:rPr>
        <w:t>-- TAG-RRCSETUP-START</w:t>
      </w:r>
    </w:p>
    <w:p w14:paraId="4A763F1C" w14:textId="77777777" w:rsidR="00394471" w:rsidRPr="00FA0D37" w:rsidRDefault="00394471" w:rsidP="00FA0D37">
      <w:pPr>
        <w:pStyle w:val="PL"/>
      </w:pPr>
    </w:p>
    <w:p w14:paraId="355FE44C" w14:textId="77777777" w:rsidR="00394471" w:rsidRPr="00FA0D37" w:rsidRDefault="00394471" w:rsidP="00FA0D37">
      <w:pPr>
        <w:pStyle w:val="PL"/>
      </w:pPr>
      <w:r w:rsidRPr="00FA0D37">
        <w:t xml:space="preserve">RRCSetup ::=                        </w:t>
      </w:r>
      <w:r w:rsidRPr="00FA0D37">
        <w:rPr>
          <w:color w:val="993366"/>
        </w:rPr>
        <w:t>SEQUENCE</w:t>
      </w:r>
      <w:r w:rsidRPr="00FA0D37">
        <w:t xml:space="preserve"> {</w:t>
      </w:r>
    </w:p>
    <w:p w14:paraId="3AC60A42" w14:textId="77777777" w:rsidR="00394471" w:rsidRPr="00FA0D37" w:rsidRDefault="00394471" w:rsidP="00FA0D37">
      <w:pPr>
        <w:pStyle w:val="PL"/>
      </w:pPr>
      <w:r w:rsidRPr="00FA0D37">
        <w:t xml:space="preserve">    rrc-TransactionIdentifier           RRC-TransactionIdentifier,</w:t>
      </w:r>
    </w:p>
    <w:p w14:paraId="5A8446DD"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1F9F71AA" w14:textId="77777777" w:rsidR="00394471" w:rsidRPr="00FA0D37" w:rsidRDefault="00394471" w:rsidP="00FA0D37">
      <w:pPr>
        <w:pStyle w:val="PL"/>
      </w:pPr>
      <w:r w:rsidRPr="00FA0D37">
        <w:t xml:space="preserve">        rrcSetup                            RRCSetup-IEs,</w:t>
      </w:r>
    </w:p>
    <w:p w14:paraId="42D85761"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009D0F2A" w14:textId="77777777" w:rsidR="00394471" w:rsidRPr="00FA0D37" w:rsidRDefault="00394471" w:rsidP="00FA0D37">
      <w:pPr>
        <w:pStyle w:val="PL"/>
      </w:pPr>
      <w:r w:rsidRPr="00FA0D37">
        <w:t xml:space="preserve">    }</w:t>
      </w:r>
    </w:p>
    <w:p w14:paraId="245B7974" w14:textId="77777777" w:rsidR="00394471" w:rsidRPr="00FA0D37" w:rsidRDefault="00394471" w:rsidP="00FA0D37">
      <w:pPr>
        <w:pStyle w:val="PL"/>
      </w:pPr>
      <w:r w:rsidRPr="00FA0D37">
        <w:t>}</w:t>
      </w:r>
    </w:p>
    <w:p w14:paraId="644F1DA6" w14:textId="77777777" w:rsidR="00394471" w:rsidRPr="00FA0D37" w:rsidRDefault="00394471" w:rsidP="00FA0D37">
      <w:pPr>
        <w:pStyle w:val="PL"/>
      </w:pPr>
    </w:p>
    <w:p w14:paraId="4A314BB9" w14:textId="77777777" w:rsidR="00394471" w:rsidRPr="00FA0D37" w:rsidRDefault="00394471" w:rsidP="00FA0D37">
      <w:pPr>
        <w:pStyle w:val="PL"/>
      </w:pPr>
      <w:r w:rsidRPr="00FA0D37">
        <w:t xml:space="preserve">RRCSetup-IEs ::=                    </w:t>
      </w:r>
      <w:r w:rsidRPr="00FA0D37">
        <w:rPr>
          <w:color w:val="993366"/>
        </w:rPr>
        <w:t>SEQUENCE</w:t>
      </w:r>
      <w:r w:rsidRPr="00FA0D37">
        <w:t xml:space="preserve"> {</w:t>
      </w:r>
    </w:p>
    <w:p w14:paraId="6032D544" w14:textId="77777777" w:rsidR="00394471" w:rsidRPr="00FA0D37" w:rsidRDefault="00394471" w:rsidP="00FA0D37">
      <w:pPr>
        <w:pStyle w:val="PL"/>
      </w:pPr>
      <w:r w:rsidRPr="00FA0D37">
        <w:t xml:space="preserve">    radioBearerConfig                   RadioBearerConfig,</w:t>
      </w:r>
    </w:p>
    <w:p w14:paraId="192C8279" w14:textId="77777777" w:rsidR="00394471" w:rsidRPr="00FA0D37" w:rsidRDefault="00394471" w:rsidP="00FA0D37">
      <w:pPr>
        <w:pStyle w:val="PL"/>
      </w:pPr>
      <w:r w:rsidRPr="00FA0D37">
        <w:t xml:space="preserve">    masterCellGroup                     </w:t>
      </w:r>
      <w:r w:rsidRPr="00FA0D37">
        <w:rPr>
          <w:color w:val="993366"/>
        </w:rPr>
        <w:t>OCTET</w:t>
      </w:r>
      <w:r w:rsidRPr="00FA0D37">
        <w:t xml:space="preserve"> </w:t>
      </w:r>
      <w:r w:rsidRPr="00FA0D37">
        <w:rPr>
          <w:color w:val="993366"/>
        </w:rPr>
        <w:t>STRING</w:t>
      </w:r>
      <w:r w:rsidRPr="00FA0D37">
        <w:t xml:space="preserve"> (CONTAINING CellGroupConfig),</w:t>
      </w:r>
    </w:p>
    <w:p w14:paraId="5B961D98"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8FA2E8E" w14:textId="597FBA7B" w:rsidR="00394471" w:rsidRPr="00FA0D37" w:rsidRDefault="00394471" w:rsidP="00FA0D37">
      <w:pPr>
        <w:pStyle w:val="PL"/>
      </w:pPr>
      <w:r w:rsidRPr="00FA0D37">
        <w:t xml:space="preserve">    nonCriticalExtension                </w:t>
      </w:r>
      <w:r w:rsidR="00FB7455" w:rsidRPr="00FA0D37">
        <w:t>RRCSetup-v1700-IEs</w:t>
      </w:r>
      <w:r w:rsidRPr="00FA0D37">
        <w:t xml:space="preserve">                                                      </w:t>
      </w:r>
      <w:r w:rsidRPr="00FA0D37">
        <w:rPr>
          <w:color w:val="993366"/>
        </w:rPr>
        <w:t>OPTIONAL</w:t>
      </w:r>
    </w:p>
    <w:p w14:paraId="20D8CB5D" w14:textId="77777777" w:rsidR="00394471" w:rsidRPr="00FA0D37" w:rsidRDefault="00394471" w:rsidP="00FA0D37">
      <w:pPr>
        <w:pStyle w:val="PL"/>
      </w:pPr>
      <w:r w:rsidRPr="00FA0D37">
        <w:t>}</w:t>
      </w:r>
    </w:p>
    <w:p w14:paraId="69026C8F" w14:textId="77777777" w:rsidR="00FB7455" w:rsidRPr="00FA0D37" w:rsidRDefault="00FB7455" w:rsidP="00FA0D37">
      <w:pPr>
        <w:pStyle w:val="PL"/>
      </w:pPr>
    </w:p>
    <w:p w14:paraId="1D0BAC1A" w14:textId="53EDE0D9" w:rsidR="00FB7455" w:rsidRPr="00FA0D37" w:rsidRDefault="00FB7455" w:rsidP="00FA0D37">
      <w:pPr>
        <w:pStyle w:val="PL"/>
      </w:pPr>
      <w:r w:rsidRPr="00FA0D37">
        <w:t>RRCSetup-v17</w:t>
      </w:r>
      <w:r w:rsidR="00D6273A" w:rsidRPr="00FA0D37">
        <w:t>00</w:t>
      </w:r>
      <w:r w:rsidRPr="00FA0D37">
        <w:t xml:space="preserve">-IEs ::=              </w:t>
      </w:r>
      <w:r w:rsidRPr="00FA0D37">
        <w:rPr>
          <w:color w:val="993366"/>
        </w:rPr>
        <w:t>SEQUENCE</w:t>
      </w:r>
      <w:r w:rsidRPr="00FA0D37">
        <w:t xml:space="preserve"> {</w:t>
      </w:r>
    </w:p>
    <w:p w14:paraId="63D6287A" w14:textId="280B815A" w:rsidR="00FB7455" w:rsidRPr="00FA0D37" w:rsidRDefault="00FB7455" w:rsidP="00FA0D37">
      <w:pPr>
        <w:pStyle w:val="PL"/>
        <w:rPr>
          <w:color w:val="808080"/>
        </w:rPr>
      </w:pPr>
      <w:r w:rsidRPr="00FA0D37">
        <w:t xml:space="preserve">    sl-ConfigDedicatedNR-r17            SL-ConfigDedicatedNR-r16                           </w:t>
      </w:r>
      <w:r w:rsidRPr="00FA0D37">
        <w:rPr>
          <w:color w:val="993366"/>
        </w:rPr>
        <w:t>OPTIONAL</w:t>
      </w:r>
      <w:r w:rsidRPr="00FA0D37">
        <w:t xml:space="preserve">, </w:t>
      </w:r>
      <w:r w:rsidRPr="00FA0D37">
        <w:rPr>
          <w:color w:val="808080"/>
        </w:rPr>
        <w:t>-- Cond L2RemoteUE</w:t>
      </w:r>
    </w:p>
    <w:p w14:paraId="29DBB1A7" w14:textId="06DF53D8" w:rsidR="00FB7455" w:rsidRPr="00FA0D37" w:rsidRDefault="00FB7455" w:rsidP="00FA0D37">
      <w:pPr>
        <w:pStyle w:val="PL"/>
        <w:rPr>
          <w:color w:val="808080"/>
        </w:rPr>
      </w:pPr>
      <w:r w:rsidRPr="00FA0D37">
        <w:t xml:space="preserve">    sl-L2RemoteUE</w:t>
      </w:r>
      <w:r w:rsidR="00497492" w:rsidRPr="00FA0D37">
        <w:t>-</w:t>
      </w:r>
      <w:r w:rsidRPr="00FA0D37">
        <w:t>Config-r17            SL-L2RemoteUE</w:t>
      </w:r>
      <w:r w:rsidR="00497492" w:rsidRPr="00FA0D37">
        <w:t>-</w:t>
      </w:r>
      <w:r w:rsidRPr="00FA0D37">
        <w:t xml:space="preserve">Config-r17                           </w:t>
      </w:r>
      <w:r w:rsidRPr="00FA0D37">
        <w:rPr>
          <w:color w:val="993366"/>
        </w:rPr>
        <w:t>OPTIONAL</w:t>
      </w:r>
      <w:r w:rsidRPr="00FA0D37">
        <w:t xml:space="preserve">, </w:t>
      </w:r>
      <w:r w:rsidRPr="00FA0D37">
        <w:rPr>
          <w:color w:val="808080"/>
        </w:rPr>
        <w:t>-- Cond L2RemoteUE</w:t>
      </w:r>
    </w:p>
    <w:p w14:paraId="6C3B2BA2" w14:textId="40A026D0" w:rsidR="00FB7455" w:rsidRPr="00FA0D37" w:rsidRDefault="00FB7455"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37FE7717" w14:textId="7C05C52A" w:rsidR="00394471" w:rsidRPr="00FA0D37" w:rsidRDefault="00FB7455" w:rsidP="00FA0D37">
      <w:pPr>
        <w:pStyle w:val="PL"/>
      </w:pPr>
      <w:r w:rsidRPr="00FA0D37">
        <w:t>}</w:t>
      </w:r>
    </w:p>
    <w:p w14:paraId="0469E4A2" w14:textId="77777777" w:rsidR="00FB7455" w:rsidRPr="00FA0D37" w:rsidRDefault="00FB7455" w:rsidP="00FA0D37">
      <w:pPr>
        <w:pStyle w:val="PL"/>
      </w:pPr>
    </w:p>
    <w:p w14:paraId="382B920F" w14:textId="77777777" w:rsidR="00394471" w:rsidRPr="00FA0D37" w:rsidRDefault="00394471" w:rsidP="00FA0D37">
      <w:pPr>
        <w:pStyle w:val="PL"/>
        <w:rPr>
          <w:color w:val="808080"/>
        </w:rPr>
      </w:pPr>
      <w:r w:rsidRPr="00FA0D37">
        <w:rPr>
          <w:color w:val="808080"/>
        </w:rPr>
        <w:t>-- TAG-RRCSETUP-STOP</w:t>
      </w:r>
    </w:p>
    <w:p w14:paraId="7A8F2815" w14:textId="77777777" w:rsidR="00394471" w:rsidRPr="00FA0D37" w:rsidRDefault="00394471" w:rsidP="00FA0D37">
      <w:pPr>
        <w:pStyle w:val="PL"/>
        <w:rPr>
          <w:color w:val="808080"/>
        </w:rPr>
      </w:pPr>
      <w:r w:rsidRPr="00FA0D37">
        <w:rPr>
          <w:color w:val="808080"/>
        </w:rPr>
        <w:t>-- ASN1STOP</w:t>
      </w:r>
    </w:p>
    <w:p w14:paraId="6101974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FA288C3"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15155D21" w14:textId="77777777" w:rsidR="00394471" w:rsidRPr="00FA0D37" w:rsidRDefault="00394471" w:rsidP="00964CC4">
            <w:pPr>
              <w:pStyle w:val="TAH"/>
              <w:rPr>
                <w:szCs w:val="22"/>
                <w:lang w:eastAsia="sv-SE"/>
              </w:rPr>
            </w:pPr>
            <w:r w:rsidRPr="00FA0D37">
              <w:rPr>
                <w:i/>
                <w:szCs w:val="22"/>
                <w:lang w:eastAsia="sv-SE"/>
              </w:rPr>
              <w:t xml:space="preserve">RRCSetup-IEs </w:t>
            </w:r>
            <w:r w:rsidRPr="00FA0D37">
              <w:rPr>
                <w:szCs w:val="22"/>
                <w:lang w:eastAsia="sv-SE"/>
              </w:rPr>
              <w:t>field descriptions</w:t>
            </w:r>
          </w:p>
        </w:tc>
      </w:tr>
      <w:tr w:rsidR="005C7FF4" w:rsidRPr="00FA0D37" w14:paraId="106032F8"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49658F82" w14:textId="77777777" w:rsidR="00394471" w:rsidRPr="00FA0D37" w:rsidRDefault="00394471" w:rsidP="00964CC4">
            <w:pPr>
              <w:pStyle w:val="TAL"/>
              <w:rPr>
                <w:szCs w:val="22"/>
                <w:lang w:eastAsia="sv-SE"/>
              </w:rPr>
            </w:pPr>
            <w:r w:rsidRPr="00FA0D37">
              <w:rPr>
                <w:b/>
                <w:i/>
                <w:szCs w:val="22"/>
                <w:lang w:eastAsia="sv-SE"/>
              </w:rPr>
              <w:t>masterCellGroup</w:t>
            </w:r>
          </w:p>
          <w:p w14:paraId="583F5301" w14:textId="77777777" w:rsidR="00394471" w:rsidRPr="00FA0D37" w:rsidRDefault="00394471" w:rsidP="00964CC4">
            <w:pPr>
              <w:pStyle w:val="TAL"/>
              <w:rPr>
                <w:szCs w:val="22"/>
                <w:lang w:eastAsia="sv-SE"/>
              </w:rPr>
            </w:pPr>
            <w:r w:rsidRPr="00FA0D37">
              <w:rPr>
                <w:szCs w:val="22"/>
                <w:lang w:eastAsia="sv-SE"/>
              </w:rPr>
              <w:t xml:space="preserve">The network configures only the RLC bearer for the SRB1, </w:t>
            </w:r>
            <w:r w:rsidRPr="00FA0D37">
              <w:rPr>
                <w:i/>
                <w:lang w:eastAsia="sv-SE"/>
              </w:rPr>
              <w:t>mac-CellGroupConfig</w:t>
            </w:r>
            <w:r w:rsidRPr="00FA0D37">
              <w:rPr>
                <w:szCs w:val="22"/>
                <w:lang w:eastAsia="sv-SE"/>
              </w:rPr>
              <w:t xml:space="preserve">, </w:t>
            </w:r>
            <w:r w:rsidRPr="00FA0D37">
              <w:rPr>
                <w:i/>
                <w:lang w:eastAsia="sv-SE"/>
              </w:rPr>
              <w:t>physicalCellGroupConfig</w:t>
            </w:r>
            <w:r w:rsidRPr="00FA0D37">
              <w:rPr>
                <w:szCs w:val="22"/>
                <w:lang w:eastAsia="sv-SE"/>
              </w:rPr>
              <w:t xml:space="preserve"> and </w:t>
            </w:r>
            <w:r w:rsidRPr="00FA0D37">
              <w:rPr>
                <w:i/>
                <w:lang w:eastAsia="sv-SE"/>
              </w:rPr>
              <w:t>spCellConfig</w:t>
            </w:r>
            <w:r w:rsidRPr="00FA0D37">
              <w:rPr>
                <w:szCs w:val="22"/>
                <w:lang w:eastAsia="sv-SE"/>
              </w:rPr>
              <w:t>.</w:t>
            </w:r>
          </w:p>
        </w:tc>
      </w:tr>
      <w:tr w:rsidR="005C7FF4" w:rsidRPr="00FA0D37" w14:paraId="0C57CF74"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55901342" w14:textId="77777777" w:rsidR="00394471" w:rsidRPr="00FA0D37" w:rsidRDefault="00394471" w:rsidP="00964CC4">
            <w:pPr>
              <w:pStyle w:val="TAL"/>
              <w:rPr>
                <w:szCs w:val="22"/>
                <w:lang w:eastAsia="sv-SE"/>
              </w:rPr>
            </w:pPr>
            <w:r w:rsidRPr="00FA0D37">
              <w:rPr>
                <w:b/>
                <w:i/>
                <w:szCs w:val="22"/>
                <w:lang w:eastAsia="sv-SE"/>
              </w:rPr>
              <w:t>radioBearerConfig</w:t>
            </w:r>
          </w:p>
          <w:p w14:paraId="133FA98A" w14:textId="77777777" w:rsidR="00394471" w:rsidRPr="00FA0D37" w:rsidRDefault="00394471" w:rsidP="00964CC4">
            <w:pPr>
              <w:pStyle w:val="TAL"/>
              <w:rPr>
                <w:szCs w:val="22"/>
                <w:lang w:eastAsia="sv-SE"/>
              </w:rPr>
            </w:pPr>
            <w:r w:rsidRPr="00FA0D37">
              <w:rPr>
                <w:szCs w:val="22"/>
                <w:lang w:eastAsia="sv-SE"/>
              </w:rPr>
              <w:t>Only SRB1 can be configured in RRC setup.</w:t>
            </w:r>
          </w:p>
        </w:tc>
      </w:tr>
      <w:tr w:rsidR="005C7FF4" w:rsidRPr="00FA0D37" w14:paraId="0652EAA1"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0598DC51" w14:textId="77777777" w:rsidR="00FB7455" w:rsidRPr="00FA0D37" w:rsidRDefault="00FB7455" w:rsidP="00771058">
            <w:pPr>
              <w:pStyle w:val="TAL"/>
              <w:rPr>
                <w:b/>
                <w:i/>
                <w:szCs w:val="22"/>
                <w:lang w:eastAsia="sv-SE"/>
              </w:rPr>
            </w:pPr>
            <w:r w:rsidRPr="00FA0D37">
              <w:rPr>
                <w:b/>
                <w:i/>
                <w:szCs w:val="22"/>
                <w:lang w:eastAsia="sv-SE"/>
              </w:rPr>
              <w:t>sl-ConfigDedicatedNR</w:t>
            </w:r>
          </w:p>
          <w:p w14:paraId="5448C24D" w14:textId="30039AAE" w:rsidR="00FB7455" w:rsidRPr="00FA0D37" w:rsidRDefault="00497492" w:rsidP="00771058">
            <w:pPr>
              <w:pStyle w:val="TAL"/>
              <w:rPr>
                <w:bCs/>
                <w:iCs/>
                <w:szCs w:val="22"/>
                <w:lang w:eastAsia="sv-SE"/>
              </w:rPr>
            </w:pPr>
            <w:r w:rsidRPr="00FA0D37">
              <w:rPr>
                <w:szCs w:val="22"/>
                <w:lang w:eastAsia="sv-SE"/>
              </w:rPr>
              <w:t xml:space="preserve">Contains </w:t>
            </w:r>
            <w:r w:rsidRPr="00FA0D37">
              <w:rPr>
                <w:bCs/>
                <w:lang w:eastAsia="en-GB"/>
              </w:rPr>
              <w:t>dedicated configurations for NR sidelink communication</w:t>
            </w:r>
            <w:r w:rsidRPr="00FA0D37">
              <w:rPr>
                <w:szCs w:val="22"/>
                <w:lang w:eastAsia="sv-SE"/>
              </w:rPr>
              <w:t>.</w:t>
            </w:r>
            <w:r w:rsidRPr="00FA0D37">
              <w:rPr>
                <w:bCs/>
                <w:iCs/>
                <w:szCs w:val="22"/>
                <w:lang w:eastAsia="sv-SE"/>
              </w:rPr>
              <w:t xml:space="preserve"> </w:t>
            </w:r>
            <w:r w:rsidR="00FB7455" w:rsidRPr="00FA0D37">
              <w:rPr>
                <w:bCs/>
                <w:iCs/>
                <w:szCs w:val="22"/>
                <w:lang w:eastAsia="sv-SE"/>
              </w:rPr>
              <w:t xml:space="preserve">The network configures only the PC5 Relay RLC channel and </w:t>
            </w:r>
            <w:r w:rsidR="00FB7455" w:rsidRPr="00FA0D37">
              <w:rPr>
                <w:bCs/>
                <w:i/>
                <w:szCs w:val="22"/>
                <w:lang w:eastAsia="sv-SE"/>
              </w:rPr>
              <w:t>sl-PHY-MAC-RLC-Config</w:t>
            </w:r>
            <w:r w:rsidR="00FB7455" w:rsidRPr="00FA0D37">
              <w:rPr>
                <w:bCs/>
                <w:iCs/>
                <w:szCs w:val="22"/>
                <w:lang w:eastAsia="sv-SE"/>
              </w:rPr>
              <w:t xml:space="preserve"> </w:t>
            </w:r>
            <w:r w:rsidRPr="00FA0D37">
              <w:rPr>
                <w:bCs/>
                <w:iCs/>
                <w:szCs w:val="22"/>
                <w:lang w:eastAsia="sv-SE"/>
              </w:rPr>
              <w:t xml:space="preserve">used </w:t>
            </w:r>
            <w:r w:rsidR="00FB7455" w:rsidRPr="00FA0D37">
              <w:rPr>
                <w:bCs/>
                <w:iCs/>
                <w:szCs w:val="22"/>
                <w:lang w:eastAsia="sv-SE"/>
              </w:rPr>
              <w:t>for the SRB1.</w:t>
            </w:r>
          </w:p>
        </w:tc>
      </w:tr>
      <w:tr w:rsidR="00FB7455" w:rsidRPr="00FA0D37" w14:paraId="797FA355"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35FFD01F" w14:textId="1A8C0A60" w:rsidR="00FB7455" w:rsidRPr="00FA0D37" w:rsidRDefault="00FB7455" w:rsidP="00771058">
            <w:pPr>
              <w:pStyle w:val="TAL"/>
              <w:rPr>
                <w:b/>
                <w:i/>
                <w:szCs w:val="22"/>
                <w:lang w:eastAsia="sv-SE"/>
              </w:rPr>
            </w:pPr>
            <w:r w:rsidRPr="00FA0D37">
              <w:rPr>
                <w:b/>
                <w:i/>
                <w:szCs w:val="22"/>
                <w:lang w:eastAsia="sv-SE"/>
              </w:rPr>
              <w:t>sl-L2RemoteUE</w:t>
            </w:r>
            <w:r w:rsidR="00497492" w:rsidRPr="00FA0D37">
              <w:rPr>
                <w:b/>
                <w:i/>
                <w:szCs w:val="22"/>
                <w:lang w:eastAsia="sv-SE"/>
              </w:rPr>
              <w:t>-</w:t>
            </w:r>
            <w:r w:rsidRPr="00FA0D37">
              <w:rPr>
                <w:b/>
                <w:i/>
                <w:szCs w:val="22"/>
                <w:lang w:eastAsia="sv-SE"/>
              </w:rPr>
              <w:t>Config</w:t>
            </w:r>
          </w:p>
          <w:p w14:paraId="31E0007E" w14:textId="14566CED" w:rsidR="00FB7455" w:rsidRPr="00FA0D37" w:rsidRDefault="00497492" w:rsidP="00771058">
            <w:pPr>
              <w:pStyle w:val="TAL"/>
              <w:rPr>
                <w:bCs/>
                <w:iCs/>
                <w:szCs w:val="22"/>
                <w:lang w:eastAsia="sv-SE"/>
              </w:rPr>
            </w:pPr>
            <w:r w:rsidRPr="00FA0D37">
              <w:rPr>
                <w:szCs w:val="22"/>
                <w:lang w:eastAsia="sv-SE"/>
              </w:rPr>
              <w:t>Contains dedicated configurations used for L2 U2N relay related operation.</w:t>
            </w:r>
            <w:r w:rsidRPr="00FA0D37">
              <w:rPr>
                <w:bCs/>
                <w:iCs/>
                <w:szCs w:val="22"/>
                <w:lang w:eastAsia="sv-SE"/>
              </w:rPr>
              <w:t xml:space="preserve"> </w:t>
            </w:r>
            <w:r w:rsidR="00FB7455" w:rsidRPr="00FA0D37">
              <w:rPr>
                <w:bCs/>
                <w:iCs/>
                <w:szCs w:val="22"/>
                <w:lang w:eastAsia="sv-SE"/>
              </w:rPr>
              <w:t xml:space="preserve">The network configures only the SRAP configuration </w:t>
            </w:r>
            <w:r w:rsidRPr="00FA0D37">
              <w:rPr>
                <w:bCs/>
                <w:iCs/>
                <w:szCs w:val="22"/>
                <w:lang w:eastAsia="sv-SE"/>
              </w:rPr>
              <w:t xml:space="preserve">used </w:t>
            </w:r>
            <w:r w:rsidR="00FB7455" w:rsidRPr="00FA0D37">
              <w:rPr>
                <w:bCs/>
                <w:iCs/>
                <w:szCs w:val="22"/>
                <w:lang w:eastAsia="sv-SE"/>
              </w:rPr>
              <w:t>for the SRB1</w:t>
            </w:r>
            <w:r w:rsidR="00984519" w:rsidRPr="00FA0D37">
              <w:rPr>
                <w:rFonts w:cs="Arial"/>
                <w:bCs/>
                <w:iCs/>
                <w:szCs w:val="22"/>
                <w:lang w:eastAsia="sv-SE"/>
              </w:rPr>
              <w:t xml:space="preserve"> and local UE ID</w:t>
            </w:r>
            <w:r w:rsidR="00FB7455" w:rsidRPr="00FA0D37">
              <w:rPr>
                <w:bCs/>
                <w:iCs/>
                <w:szCs w:val="22"/>
                <w:lang w:eastAsia="sv-SE"/>
              </w:rPr>
              <w:t>.</w:t>
            </w:r>
          </w:p>
        </w:tc>
      </w:tr>
    </w:tbl>
    <w:p w14:paraId="08B64EC2" w14:textId="77777777" w:rsidR="00FB7455" w:rsidRPr="00FA0D37" w:rsidRDefault="00FB7455" w:rsidP="00FB7455">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C004E79" w14:textId="77777777" w:rsidTr="00771058">
        <w:tc>
          <w:tcPr>
            <w:tcW w:w="4027" w:type="dxa"/>
            <w:tcBorders>
              <w:top w:val="single" w:sz="4" w:space="0" w:color="auto"/>
              <w:left w:val="single" w:sz="4" w:space="0" w:color="auto"/>
              <w:bottom w:val="single" w:sz="4" w:space="0" w:color="auto"/>
              <w:right w:val="single" w:sz="4" w:space="0" w:color="auto"/>
            </w:tcBorders>
          </w:tcPr>
          <w:p w14:paraId="54F82637" w14:textId="77777777" w:rsidR="00FB7455" w:rsidRPr="00FA0D37" w:rsidRDefault="00FB7455" w:rsidP="000830BB">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EDEFF98" w14:textId="77777777" w:rsidR="00FB7455" w:rsidRPr="00FA0D37" w:rsidRDefault="00FB7455" w:rsidP="000830BB">
            <w:pPr>
              <w:pStyle w:val="TAH"/>
              <w:rPr>
                <w:lang w:eastAsia="sv-SE"/>
              </w:rPr>
            </w:pPr>
            <w:r w:rsidRPr="00FA0D37">
              <w:rPr>
                <w:lang w:eastAsia="sv-SE"/>
              </w:rPr>
              <w:t>Explanation</w:t>
            </w:r>
          </w:p>
        </w:tc>
      </w:tr>
      <w:tr w:rsidR="000830BB" w:rsidRPr="00FA0D37" w14:paraId="6E26D413" w14:textId="77777777" w:rsidTr="00771058">
        <w:tc>
          <w:tcPr>
            <w:tcW w:w="4027" w:type="dxa"/>
            <w:tcBorders>
              <w:top w:val="single" w:sz="4" w:space="0" w:color="auto"/>
              <w:left w:val="single" w:sz="4" w:space="0" w:color="auto"/>
              <w:bottom w:val="single" w:sz="4" w:space="0" w:color="auto"/>
              <w:right w:val="single" w:sz="4" w:space="0" w:color="auto"/>
            </w:tcBorders>
          </w:tcPr>
          <w:p w14:paraId="12CF5326" w14:textId="77777777" w:rsidR="00FB7455" w:rsidRPr="00FA0D37" w:rsidRDefault="00FB7455" w:rsidP="000830BB">
            <w:pPr>
              <w:pStyle w:val="TAL"/>
              <w:rPr>
                <w:i/>
                <w:iCs/>
                <w:lang w:eastAsia="sv-SE"/>
              </w:rPr>
            </w:pPr>
            <w:r w:rsidRPr="00FA0D37">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36B58E74" w14:textId="6F1D9741" w:rsidR="00FB7455" w:rsidRPr="00FA0D37" w:rsidRDefault="00FB7455" w:rsidP="000830BB">
            <w:pPr>
              <w:pStyle w:val="TAL"/>
              <w:rPr>
                <w:lang w:eastAsia="sv-SE"/>
              </w:rPr>
            </w:pPr>
            <w:r w:rsidRPr="00FA0D37">
              <w:rPr>
                <w:lang w:eastAsia="en-GB"/>
              </w:rPr>
              <w:t xml:space="preserve">The field is </w:t>
            </w:r>
            <w:r w:rsidRPr="00FA0D37">
              <w:rPr>
                <w:rFonts w:eastAsia="Calibri"/>
              </w:rPr>
              <w:t xml:space="preserve">mandatory </w:t>
            </w:r>
            <w:r w:rsidRPr="00FA0D37">
              <w:rPr>
                <w:lang w:eastAsia="en-GB"/>
              </w:rPr>
              <w:t>present for L2 U2N Remote UE; otherwise it is absent.</w:t>
            </w:r>
          </w:p>
        </w:tc>
      </w:tr>
    </w:tbl>
    <w:p w14:paraId="1FBE5116" w14:textId="77777777" w:rsidR="00394471" w:rsidRPr="00FA0D37" w:rsidRDefault="00394471" w:rsidP="00394471"/>
    <w:p w14:paraId="63397874" w14:textId="77777777" w:rsidR="00394471" w:rsidRPr="00FA0D37" w:rsidRDefault="00394471" w:rsidP="00394471">
      <w:pPr>
        <w:pStyle w:val="4"/>
      </w:pPr>
      <w:bookmarkStart w:id="690" w:name="_Toc60777117"/>
      <w:bookmarkStart w:id="691" w:name="_Toc146781154"/>
      <w:r w:rsidRPr="00FA0D37">
        <w:t>–</w:t>
      </w:r>
      <w:r w:rsidRPr="00FA0D37">
        <w:tab/>
      </w:r>
      <w:r w:rsidRPr="00FA0D37">
        <w:rPr>
          <w:i/>
          <w:noProof/>
        </w:rPr>
        <w:t>RRCSetupComplete</w:t>
      </w:r>
      <w:bookmarkEnd w:id="690"/>
      <w:bookmarkEnd w:id="691"/>
    </w:p>
    <w:p w14:paraId="2ECEF493" w14:textId="77777777" w:rsidR="00394471" w:rsidRPr="00FA0D37" w:rsidRDefault="00394471" w:rsidP="00394471">
      <w:r w:rsidRPr="00FA0D37">
        <w:t xml:space="preserve">The </w:t>
      </w:r>
      <w:r w:rsidRPr="00FA0D37">
        <w:rPr>
          <w:i/>
          <w:noProof/>
        </w:rPr>
        <w:t>RRCSetupComplete</w:t>
      </w:r>
      <w:r w:rsidRPr="00FA0D37">
        <w:t xml:space="preserve"> message is used to confirm the successful completion of an RRC connection establishment.</w:t>
      </w:r>
    </w:p>
    <w:p w14:paraId="54897D99" w14:textId="77777777" w:rsidR="00394471" w:rsidRPr="00FA0D37" w:rsidRDefault="00394471" w:rsidP="00394471">
      <w:pPr>
        <w:pStyle w:val="B1"/>
      </w:pPr>
      <w:r w:rsidRPr="00FA0D37">
        <w:t>Signalling radio bearer: SRB1</w:t>
      </w:r>
    </w:p>
    <w:p w14:paraId="39A43A63" w14:textId="77777777" w:rsidR="00394471" w:rsidRPr="00FA0D37" w:rsidRDefault="00394471" w:rsidP="00394471">
      <w:pPr>
        <w:pStyle w:val="B1"/>
      </w:pPr>
      <w:r w:rsidRPr="00FA0D37">
        <w:t>RLC-SAP: AM</w:t>
      </w:r>
    </w:p>
    <w:p w14:paraId="6C60BFB4" w14:textId="77777777" w:rsidR="00394471" w:rsidRPr="00FA0D37" w:rsidRDefault="00394471" w:rsidP="00394471">
      <w:pPr>
        <w:pStyle w:val="B1"/>
      </w:pPr>
      <w:r w:rsidRPr="00FA0D37">
        <w:t>Logical channel: DCCH</w:t>
      </w:r>
    </w:p>
    <w:p w14:paraId="56A75121" w14:textId="77777777" w:rsidR="00394471" w:rsidRPr="00FA0D37" w:rsidRDefault="00394471" w:rsidP="00394471">
      <w:pPr>
        <w:pStyle w:val="B1"/>
      </w:pPr>
      <w:r w:rsidRPr="00FA0D37">
        <w:t>Direction: UE to Network</w:t>
      </w:r>
    </w:p>
    <w:p w14:paraId="6BE038D3" w14:textId="77777777" w:rsidR="00394471" w:rsidRPr="00FA0D37" w:rsidRDefault="00394471" w:rsidP="00394471">
      <w:pPr>
        <w:pStyle w:val="TH"/>
      </w:pPr>
      <w:r w:rsidRPr="00FA0D37">
        <w:rPr>
          <w:i/>
          <w:noProof/>
        </w:rPr>
        <w:t>RRCSetupComplete</w:t>
      </w:r>
      <w:r w:rsidRPr="00FA0D37">
        <w:rPr>
          <w:noProof/>
        </w:rPr>
        <w:t xml:space="preserve"> message</w:t>
      </w:r>
    </w:p>
    <w:p w14:paraId="13F0EEB1" w14:textId="77777777" w:rsidR="00394471" w:rsidRPr="00FA0D37" w:rsidRDefault="00394471" w:rsidP="00FA0D37">
      <w:pPr>
        <w:pStyle w:val="PL"/>
        <w:rPr>
          <w:color w:val="808080"/>
        </w:rPr>
      </w:pPr>
      <w:r w:rsidRPr="00FA0D37">
        <w:rPr>
          <w:color w:val="808080"/>
        </w:rPr>
        <w:t>-- ASN1START</w:t>
      </w:r>
    </w:p>
    <w:p w14:paraId="1D01AF7B" w14:textId="77777777" w:rsidR="00394471" w:rsidRPr="00FA0D37" w:rsidRDefault="00394471" w:rsidP="00FA0D37">
      <w:pPr>
        <w:pStyle w:val="PL"/>
        <w:rPr>
          <w:color w:val="808080"/>
        </w:rPr>
      </w:pPr>
      <w:r w:rsidRPr="00FA0D37">
        <w:rPr>
          <w:color w:val="808080"/>
        </w:rPr>
        <w:t>-- TAG-RRCSETUPCOMPLETE-START</w:t>
      </w:r>
    </w:p>
    <w:p w14:paraId="64B5B77B" w14:textId="77777777" w:rsidR="00394471" w:rsidRPr="00FA0D37" w:rsidRDefault="00394471" w:rsidP="00FA0D37">
      <w:pPr>
        <w:pStyle w:val="PL"/>
      </w:pPr>
    </w:p>
    <w:p w14:paraId="2A4CD38F" w14:textId="77777777" w:rsidR="00394471" w:rsidRPr="00FA0D37" w:rsidRDefault="00394471" w:rsidP="00FA0D37">
      <w:pPr>
        <w:pStyle w:val="PL"/>
      </w:pPr>
      <w:r w:rsidRPr="00FA0D37">
        <w:t xml:space="preserve">RRCSetupComplete ::=                </w:t>
      </w:r>
      <w:r w:rsidRPr="00FA0D37">
        <w:rPr>
          <w:color w:val="993366"/>
        </w:rPr>
        <w:t>SEQUENCE</w:t>
      </w:r>
      <w:r w:rsidRPr="00FA0D37">
        <w:t xml:space="preserve"> {</w:t>
      </w:r>
    </w:p>
    <w:p w14:paraId="605CE1AD" w14:textId="77777777" w:rsidR="00394471" w:rsidRPr="00FA0D37" w:rsidRDefault="00394471" w:rsidP="00FA0D37">
      <w:pPr>
        <w:pStyle w:val="PL"/>
      </w:pPr>
      <w:r w:rsidRPr="00FA0D37">
        <w:t xml:space="preserve">    rrc-TransactionIdentifier           RRC-TransactionIdentifier,</w:t>
      </w:r>
    </w:p>
    <w:p w14:paraId="664A83AF"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53AAC89C" w14:textId="77777777" w:rsidR="00394471" w:rsidRPr="00FA0D37" w:rsidRDefault="00394471" w:rsidP="00FA0D37">
      <w:pPr>
        <w:pStyle w:val="PL"/>
      </w:pPr>
      <w:r w:rsidRPr="00FA0D37">
        <w:lastRenderedPageBreak/>
        <w:t xml:space="preserve">        rrcSetupComplete                    RRCSetupComplete-IEs,</w:t>
      </w:r>
    </w:p>
    <w:p w14:paraId="59DEE20F"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56934E09" w14:textId="77777777" w:rsidR="00394471" w:rsidRPr="00FA0D37" w:rsidRDefault="00394471" w:rsidP="00FA0D37">
      <w:pPr>
        <w:pStyle w:val="PL"/>
      </w:pPr>
      <w:r w:rsidRPr="00FA0D37">
        <w:t xml:space="preserve">    }</w:t>
      </w:r>
    </w:p>
    <w:p w14:paraId="6C25A162" w14:textId="77777777" w:rsidR="00394471" w:rsidRPr="00FA0D37" w:rsidRDefault="00394471" w:rsidP="00FA0D37">
      <w:pPr>
        <w:pStyle w:val="PL"/>
      </w:pPr>
      <w:r w:rsidRPr="00FA0D37">
        <w:t>}</w:t>
      </w:r>
    </w:p>
    <w:p w14:paraId="7AAD1EF0" w14:textId="77777777" w:rsidR="00394471" w:rsidRPr="00FA0D37" w:rsidRDefault="00394471" w:rsidP="00FA0D37">
      <w:pPr>
        <w:pStyle w:val="PL"/>
      </w:pPr>
    </w:p>
    <w:p w14:paraId="5E88E495" w14:textId="77777777" w:rsidR="00394471" w:rsidRPr="00FA0D37" w:rsidRDefault="00394471" w:rsidP="00FA0D37">
      <w:pPr>
        <w:pStyle w:val="PL"/>
      </w:pPr>
      <w:r w:rsidRPr="00FA0D37">
        <w:t xml:space="preserve">RRCSetupComplete-IEs ::=            </w:t>
      </w:r>
      <w:r w:rsidRPr="00FA0D37">
        <w:rPr>
          <w:color w:val="993366"/>
        </w:rPr>
        <w:t>SEQUENCE</w:t>
      </w:r>
      <w:r w:rsidRPr="00FA0D37">
        <w:t xml:space="preserve"> {</w:t>
      </w:r>
    </w:p>
    <w:p w14:paraId="44B60AA9" w14:textId="77777777" w:rsidR="00394471" w:rsidRPr="00FA0D37" w:rsidRDefault="00394471" w:rsidP="00FA0D37">
      <w:pPr>
        <w:pStyle w:val="PL"/>
      </w:pPr>
      <w:r w:rsidRPr="00FA0D37">
        <w:t xml:space="preserve">    selectedPLMN-Identity               </w:t>
      </w:r>
      <w:r w:rsidRPr="00FA0D37">
        <w:rPr>
          <w:color w:val="993366"/>
        </w:rPr>
        <w:t>INTEGER</w:t>
      </w:r>
      <w:r w:rsidRPr="00FA0D37">
        <w:t xml:space="preserve"> (1..maxPLMN),</w:t>
      </w:r>
    </w:p>
    <w:p w14:paraId="16C3C9C4" w14:textId="77777777" w:rsidR="00394471" w:rsidRPr="00FA0D37" w:rsidRDefault="00394471" w:rsidP="00FA0D37">
      <w:pPr>
        <w:pStyle w:val="PL"/>
      </w:pPr>
      <w:r w:rsidRPr="00FA0D37">
        <w:t xml:space="preserve">    registeredAMF                       RegisteredAMF                                   </w:t>
      </w:r>
      <w:r w:rsidRPr="00FA0D37">
        <w:rPr>
          <w:color w:val="993366"/>
        </w:rPr>
        <w:t>OPTIONAL</w:t>
      </w:r>
      <w:r w:rsidRPr="00FA0D37">
        <w:t>,</w:t>
      </w:r>
    </w:p>
    <w:p w14:paraId="70202BE8" w14:textId="77777777" w:rsidR="00394471" w:rsidRPr="00FA0D37" w:rsidRDefault="00394471" w:rsidP="00FA0D37">
      <w:pPr>
        <w:pStyle w:val="PL"/>
      </w:pPr>
      <w:r w:rsidRPr="00FA0D37">
        <w:t xml:space="preserve">    guami-Type                          </w:t>
      </w:r>
      <w:r w:rsidRPr="00FA0D37">
        <w:rPr>
          <w:color w:val="993366"/>
        </w:rPr>
        <w:t>ENUMERATED</w:t>
      </w:r>
      <w:r w:rsidRPr="00FA0D37">
        <w:t xml:space="preserve"> {native, mapped}                     </w:t>
      </w:r>
      <w:r w:rsidRPr="00FA0D37">
        <w:rPr>
          <w:color w:val="993366"/>
        </w:rPr>
        <w:t>OPTIONAL</w:t>
      </w:r>
      <w:r w:rsidRPr="00FA0D37">
        <w:t>,</w:t>
      </w:r>
    </w:p>
    <w:p w14:paraId="1D415CF8" w14:textId="77777777" w:rsidR="00394471" w:rsidRPr="00FA0D37" w:rsidRDefault="00394471" w:rsidP="00FA0D37">
      <w:pPr>
        <w:pStyle w:val="PL"/>
      </w:pPr>
      <w:r w:rsidRPr="00FA0D37">
        <w:t xml:space="preserve">    s-NSSAI-List                        </w:t>
      </w:r>
      <w:r w:rsidRPr="00FA0D37">
        <w:rPr>
          <w:color w:val="993366"/>
        </w:rPr>
        <w:t>SEQUENCE</w:t>
      </w:r>
      <w:r w:rsidRPr="00FA0D37">
        <w:t xml:space="preserve"> (</w:t>
      </w:r>
      <w:r w:rsidRPr="00FA0D37">
        <w:rPr>
          <w:color w:val="993366"/>
        </w:rPr>
        <w:t>SIZE</w:t>
      </w:r>
      <w:r w:rsidRPr="00FA0D37">
        <w:t xml:space="preserve"> (1..maxNrofS-NSSAI))</w:t>
      </w:r>
      <w:r w:rsidRPr="00FA0D37">
        <w:rPr>
          <w:color w:val="993366"/>
        </w:rPr>
        <w:t xml:space="preserve"> OF</w:t>
      </w:r>
      <w:r w:rsidRPr="00FA0D37">
        <w:t xml:space="preserve"> S-NSSAI  </w:t>
      </w:r>
      <w:r w:rsidRPr="00FA0D37">
        <w:rPr>
          <w:color w:val="993366"/>
        </w:rPr>
        <w:t>OPTIONAL</w:t>
      </w:r>
      <w:r w:rsidRPr="00FA0D37">
        <w:t>,</w:t>
      </w:r>
    </w:p>
    <w:p w14:paraId="6F9848F8" w14:textId="77777777" w:rsidR="00394471" w:rsidRPr="00FA0D37" w:rsidRDefault="00394471" w:rsidP="00FA0D37">
      <w:pPr>
        <w:pStyle w:val="PL"/>
      </w:pPr>
      <w:r w:rsidRPr="00FA0D37">
        <w:t xml:space="preserve">    dedicatedNAS-Message                DedicatedNAS-Message,</w:t>
      </w:r>
    </w:p>
    <w:p w14:paraId="403438BF" w14:textId="77777777" w:rsidR="00394471" w:rsidRPr="00FA0D37" w:rsidRDefault="00394471" w:rsidP="00FA0D37">
      <w:pPr>
        <w:pStyle w:val="PL"/>
      </w:pPr>
      <w:r w:rsidRPr="00FA0D37">
        <w:t xml:space="preserve">    ng-5G-S-TMSI-Value                  </w:t>
      </w:r>
      <w:r w:rsidRPr="00FA0D37">
        <w:rPr>
          <w:color w:val="993366"/>
        </w:rPr>
        <w:t>CHOICE</w:t>
      </w:r>
      <w:r w:rsidRPr="00FA0D37">
        <w:t xml:space="preserve"> {</w:t>
      </w:r>
    </w:p>
    <w:p w14:paraId="2E71CB88" w14:textId="77777777" w:rsidR="00394471" w:rsidRPr="00FA0D37" w:rsidRDefault="00394471" w:rsidP="00FA0D37">
      <w:pPr>
        <w:pStyle w:val="PL"/>
      </w:pPr>
      <w:r w:rsidRPr="00FA0D37">
        <w:t xml:space="preserve">        ng-5G-S-TMSI                        NG-5G-S-TMSI,</w:t>
      </w:r>
    </w:p>
    <w:p w14:paraId="5E99F992" w14:textId="77777777" w:rsidR="00394471" w:rsidRPr="00FA0D37" w:rsidRDefault="00394471" w:rsidP="00FA0D37">
      <w:pPr>
        <w:pStyle w:val="PL"/>
      </w:pPr>
      <w:r w:rsidRPr="00FA0D37">
        <w:t xml:space="preserve">        ng-5G-S-TMSI-Part2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(9))</w:t>
      </w:r>
    </w:p>
    <w:p w14:paraId="540835B9" w14:textId="77777777" w:rsidR="00394471" w:rsidRPr="00FA0D37" w:rsidRDefault="00394471" w:rsidP="00FA0D37">
      <w:pPr>
        <w:pStyle w:val="PL"/>
      </w:pPr>
      <w:r w:rsidRPr="00FA0D37">
        <w:t xml:space="preserve">    }                                                                                   </w:t>
      </w:r>
      <w:r w:rsidRPr="00FA0D37">
        <w:rPr>
          <w:color w:val="993366"/>
        </w:rPr>
        <w:t>OPTIONAL</w:t>
      </w:r>
      <w:r w:rsidRPr="00FA0D37">
        <w:t>,</w:t>
      </w:r>
    </w:p>
    <w:p w14:paraId="5A01D252"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2EE8502" w14:textId="77777777" w:rsidR="00394471" w:rsidRPr="00FA0D37" w:rsidRDefault="00394471" w:rsidP="00FA0D37">
      <w:pPr>
        <w:pStyle w:val="PL"/>
      </w:pPr>
      <w:r w:rsidRPr="00FA0D37">
        <w:t xml:space="preserve">    nonCriticalExtension                RRCSetupComplete-v1610-IEs                      </w:t>
      </w:r>
      <w:r w:rsidRPr="00FA0D37">
        <w:rPr>
          <w:color w:val="993366"/>
        </w:rPr>
        <w:t>OPTIONAL</w:t>
      </w:r>
    </w:p>
    <w:p w14:paraId="637162CF" w14:textId="77777777" w:rsidR="00394471" w:rsidRPr="00FA0D37" w:rsidRDefault="00394471" w:rsidP="00FA0D37">
      <w:pPr>
        <w:pStyle w:val="PL"/>
      </w:pPr>
      <w:r w:rsidRPr="00FA0D37">
        <w:t>}</w:t>
      </w:r>
    </w:p>
    <w:p w14:paraId="0FE88B2D" w14:textId="77777777" w:rsidR="00394471" w:rsidRPr="00FA0D37" w:rsidRDefault="00394471" w:rsidP="00FA0D37">
      <w:pPr>
        <w:pStyle w:val="PL"/>
      </w:pPr>
    </w:p>
    <w:p w14:paraId="672FE701" w14:textId="77777777" w:rsidR="00394471" w:rsidRPr="00FA0D37" w:rsidRDefault="00394471" w:rsidP="00FA0D37">
      <w:pPr>
        <w:pStyle w:val="PL"/>
      </w:pPr>
      <w:r w:rsidRPr="00FA0D37">
        <w:t xml:space="preserve">RRCSetupComplete-v1610-IEs ::=      </w:t>
      </w:r>
      <w:r w:rsidRPr="00FA0D37">
        <w:rPr>
          <w:color w:val="993366"/>
        </w:rPr>
        <w:t>SEQUENCE</w:t>
      </w:r>
      <w:r w:rsidRPr="00FA0D37">
        <w:t xml:space="preserve"> {</w:t>
      </w:r>
    </w:p>
    <w:p w14:paraId="33BE1144" w14:textId="77777777" w:rsidR="00394471" w:rsidRPr="00FA0D37" w:rsidRDefault="00394471" w:rsidP="00FA0D37">
      <w:pPr>
        <w:pStyle w:val="PL"/>
      </w:pPr>
      <w:r w:rsidRPr="00FA0D37">
        <w:t xml:space="preserve">    iab-NodeIndication-r16              </w:t>
      </w:r>
      <w:r w:rsidRPr="00FA0D37">
        <w:rPr>
          <w:color w:val="993366"/>
        </w:rPr>
        <w:t>ENUMERATED</w:t>
      </w:r>
      <w:r w:rsidRPr="00FA0D37">
        <w:t xml:space="preserve"> {true}                               </w:t>
      </w:r>
      <w:r w:rsidRPr="00FA0D37">
        <w:rPr>
          <w:color w:val="993366"/>
        </w:rPr>
        <w:t>OPTIONAL</w:t>
      </w:r>
      <w:r w:rsidRPr="00FA0D37">
        <w:t>,</w:t>
      </w:r>
    </w:p>
    <w:p w14:paraId="1DA939DE" w14:textId="77777777" w:rsidR="00394471" w:rsidRPr="00FA0D37" w:rsidRDefault="00394471" w:rsidP="00FA0D37">
      <w:pPr>
        <w:pStyle w:val="PL"/>
      </w:pPr>
      <w:r w:rsidRPr="00FA0D37">
        <w:t xml:space="preserve">    idleMeasAvailable-r16               </w:t>
      </w:r>
      <w:r w:rsidRPr="00FA0D37">
        <w:rPr>
          <w:color w:val="993366"/>
        </w:rPr>
        <w:t>ENUMERATED</w:t>
      </w:r>
      <w:r w:rsidRPr="00FA0D37">
        <w:t xml:space="preserve"> {true}                               </w:t>
      </w:r>
      <w:r w:rsidRPr="00FA0D37">
        <w:rPr>
          <w:color w:val="993366"/>
        </w:rPr>
        <w:t>OPTIONAL</w:t>
      </w:r>
      <w:r w:rsidRPr="00FA0D37">
        <w:t>,</w:t>
      </w:r>
    </w:p>
    <w:p w14:paraId="001DBD2A" w14:textId="77777777" w:rsidR="00394471" w:rsidRPr="00FA0D37" w:rsidRDefault="00394471" w:rsidP="00FA0D37">
      <w:pPr>
        <w:pStyle w:val="PL"/>
      </w:pPr>
      <w:r w:rsidRPr="00FA0D37">
        <w:t xml:space="preserve">    ue-MeasurementsAvailable-r16        UE-MeasurementsAvailable-r16                    </w:t>
      </w:r>
      <w:r w:rsidRPr="00FA0D37">
        <w:rPr>
          <w:color w:val="993366"/>
        </w:rPr>
        <w:t>OPTIONAL</w:t>
      </w:r>
      <w:r w:rsidRPr="00FA0D37">
        <w:t>,</w:t>
      </w:r>
    </w:p>
    <w:p w14:paraId="0FEE9AA0" w14:textId="77777777" w:rsidR="00394471" w:rsidRPr="00FA0D37" w:rsidRDefault="00394471" w:rsidP="00FA0D37">
      <w:pPr>
        <w:pStyle w:val="PL"/>
      </w:pPr>
      <w:r w:rsidRPr="00FA0D37">
        <w:t xml:space="preserve">    mobilityHistoryAvail-r16            </w:t>
      </w:r>
      <w:r w:rsidRPr="00FA0D37">
        <w:rPr>
          <w:color w:val="993366"/>
        </w:rPr>
        <w:t>ENUMERATED</w:t>
      </w:r>
      <w:r w:rsidRPr="00FA0D37">
        <w:t xml:space="preserve"> {true}                               </w:t>
      </w:r>
      <w:r w:rsidRPr="00FA0D37">
        <w:rPr>
          <w:color w:val="993366"/>
        </w:rPr>
        <w:t>OPTIONAL</w:t>
      </w:r>
      <w:r w:rsidRPr="00FA0D37">
        <w:t>,</w:t>
      </w:r>
    </w:p>
    <w:p w14:paraId="4FAE9F9A" w14:textId="77777777" w:rsidR="00394471" w:rsidRPr="00FA0D37" w:rsidRDefault="00394471" w:rsidP="00FA0D37">
      <w:pPr>
        <w:pStyle w:val="PL"/>
      </w:pPr>
      <w:r w:rsidRPr="00FA0D37">
        <w:t xml:space="preserve">    mobilityState-r16                   </w:t>
      </w:r>
      <w:r w:rsidRPr="00FA0D37">
        <w:rPr>
          <w:color w:val="993366"/>
        </w:rPr>
        <w:t>ENUMERATED</w:t>
      </w:r>
      <w:r w:rsidRPr="00FA0D37">
        <w:t xml:space="preserve"> {normal, medium, high, spare}        </w:t>
      </w:r>
      <w:r w:rsidRPr="00FA0D37">
        <w:rPr>
          <w:color w:val="993366"/>
        </w:rPr>
        <w:t>OPTIONAL</w:t>
      </w:r>
      <w:r w:rsidRPr="00FA0D37">
        <w:t>,</w:t>
      </w:r>
    </w:p>
    <w:p w14:paraId="792DB6FB" w14:textId="5D4092F8" w:rsidR="00394471" w:rsidRPr="00FA0D37" w:rsidRDefault="00394471" w:rsidP="00FA0D37">
      <w:pPr>
        <w:pStyle w:val="PL"/>
      </w:pPr>
      <w:r w:rsidRPr="00FA0D37">
        <w:t xml:space="preserve">    nonCriticalExtension                </w:t>
      </w:r>
      <w:r w:rsidR="005F220E" w:rsidRPr="00FA0D37">
        <w:t>RRCSetupComplete-v1</w:t>
      </w:r>
      <w:r w:rsidR="00967A72" w:rsidRPr="00FA0D37">
        <w:t>69</w:t>
      </w:r>
      <w:r w:rsidR="005F220E" w:rsidRPr="00FA0D37">
        <w:t>0-IEs</w:t>
      </w:r>
      <w:r w:rsidRPr="00FA0D37">
        <w:t xml:space="preserve">                      </w:t>
      </w:r>
      <w:r w:rsidRPr="00FA0D37">
        <w:rPr>
          <w:color w:val="993366"/>
        </w:rPr>
        <w:t>OPTIONAL</w:t>
      </w:r>
    </w:p>
    <w:p w14:paraId="69D1BE02" w14:textId="77777777" w:rsidR="00394471" w:rsidRPr="00FA0D37" w:rsidRDefault="00394471" w:rsidP="00FA0D37">
      <w:pPr>
        <w:pStyle w:val="PL"/>
      </w:pPr>
      <w:r w:rsidRPr="00FA0D37">
        <w:t>}</w:t>
      </w:r>
    </w:p>
    <w:p w14:paraId="3CF2AF57" w14:textId="77777777" w:rsidR="005D3C7B" w:rsidRPr="00FA0D37" w:rsidRDefault="005D3C7B" w:rsidP="00FA0D37">
      <w:pPr>
        <w:pStyle w:val="PL"/>
      </w:pPr>
    </w:p>
    <w:p w14:paraId="62692991" w14:textId="0F92D094" w:rsidR="00C84E00" w:rsidRPr="00FA0D37" w:rsidRDefault="00C84E00" w:rsidP="00FA0D37">
      <w:pPr>
        <w:pStyle w:val="PL"/>
      </w:pPr>
      <w:r w:rsidRPr="00FA0D37">
        <w:t xml:space="preserve">RRCSetupComplete-v1690-IEs ::=      </w:t>
      </w:r>
      <w:r w:rsidRPr="00FA0D37">
        <w:rPr>
          <w:color w:val="993366"/>
        </w:rPr>
        <w:t>SEQUENCE</w:t>
      </w:r>
      <w:r w:rsidRPr="00FA0D37">
        <w:t xml:space="preserve"> {</w:t>
      </w:r>
    </w:p>
    <w:p w14:paraId="776C9BD4" w14:textId="79867892" w:rsidR="00C84E00" w:rsidRPr="00FA0D37" w:rsidRDefault="00C84E00" w:rsidP="00FA0D37">
      <w:pPr>
        <w:pStyle w:val="PL"/>
      </w:pPr>
      <w:r w:rsidRPr="00FA0D37">
        <w:t xml:space="preserve">    ul-RRC-Segmentation-r16             </w:t>
      </w:r>
      <w:r w:rsidRPr="00FA0D37">
        <w:rPr>
          <w:color w:val="993366"/>
        </w:rPr>
        <w:t>ENUMERATED</w:t>
      </w:r>
      <w:r w:rsidRPr="00FA0D37">
        <w:t xml:space="preserve"> {true}                               </w:t>
      </w:r>
      <w:r w:rsidRPr="00FA0D37">
        <w:rPr>
          <w:color w:val="993366"/>
        </w:rPr>
        <w:t>OPTIONAL</w:t>
      </w:r>
      <w:r w:rsidRPr="00FA0D37">
        <w:t>,</w:t>
      </w:r>
    </w:p>
    <w:p w14:paraId="1CA31365" w14:textId="77777777" w:rsidR="00C84E00" w:rsidRPr="00FA0D37" w:rsidRDefault="00C84E00" w:rsidP="00FA0D37">
      <w:pPr>
        <w:pStyle w:val="PL"/>
      </w:pPr>
      <w:r w:rsidRPr="00FA0D37">
        <w:t xml:space="preserve">    nonCriticalExtension                RRCSetupComplete-v1700-IEs                      </w:t>
      </w:r>
      <w:r w:rsidRPr="00FA0D37">
        <w:rPr>
          <w:color w:val="993366"/>
        </w:rPr>
        <w:t>OPTIONAL</w:t>
      </w:r>
    </w:p>
    <w:p w14:paraId="372BDB70" w14:textId="77777777" w:rsidR="00C84E00" w:rsidRPr="00FA0D37" w:rsidRDefault="00C84E00" w:rsidP="00FA0D37">
      <w:pPr>
        <w:pStyle w:val="PL"/>
      </w:pPr>
      <w:r w:rsidRPr="00FA0D37">
        <w:t>}</w:t>
      </w:r>
    </w:p>
    <w:p w14:paraId="20A68CC1" w14:textId="77777777" w:rsidR="00C84E00" w:rsidRPr="00FA0D37" w:rsidRDefault="00C84E00" w:rsidP="00FA0D37">
      <w:pPr>
        <w:pStyle w:val="PL"/>
      </w:pPr>
    </w:p>
    <w:p w14:paraId="453D6D74" w14:textId="34C91139" w:rsidR="005D3C7B" w:rsidRPr="00FA0D37" w:rsidRDefault="005D3C7B" w:rsidP="00FA0D37">
      <w:pPr>
        <w:pStyle w:val="PL"/>
      </w:pPr>
      <w:r w:rsidRPr="00FA0D37">
        <w:t xml:space="preserve">RRCSetupComplete-v1700-IEs ::=      </w:t>
      </w:r>
      <w:r w:rsidRPr="00FA0D37">
        <w:rPr>
          <w:color w:val="993366"/>
        </w:rPr>
        <w:t>SEQUENCE</w:t>
      </w:r>
      <w:r w:rsidRPr="00FA0D37">
        <w:t xml:space="preserve"> {</w:t>
      </w:r>
    </w:p>
    <w:p w14:paraId="609CD49A" w14:textId="77777777" w:rsidR="005D3C7B" w:rsidRPr="00FA0D37" w:rsidRDefault="005D3C7B" w:rsidP="00FA0D37">
      <w:pPr>
        <w:pStyle w:val="PL"/>
      </w:pPr>
      <w:r w:rsidRPr="00FA0D37">
        <w:t xml:space="preserve">    onboardingRequest-r17               </w:t>
      </w:r>
      <w:r w:rsidRPr="00FA0D37">
        <w:rPr>
          <w:color w:val="993366"/>
        </w:rPr>
        <w:t>ENUMERATED</w:t>
      </w:r>
      <w:r w:rsidRPr="00FA0D37">
        <w:t xml:space="preserve"> {true}                               </w:t>
      </w:r>
      <w:r w:rsidRPr="00FA0D37">
        <w:rPr>
          <w:color w:val="993366"/>
        </w:rPr>
        <w:t>OPTIONAL</w:t>
      </w:r>
      <w:r w:rsidRPr="00FA0D37">
        <w:t>,</w:t>
      </w:r>
    </w:p>
    <w:p w14:paraId="7B951380" w14:textId="77777777" w:rsidR="005D3C7B" w:rsidRPr="00FA0D37" w:rsidRDefault="005D3C7B"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2E733243" w14:textId="0B0041DB" w:rsidR="00394471" w:rsidRPr="00FA0D37" w:rsidRDefault="005D3C7B" w:rsidP="00FA0D37">
      <w:pPr>
        <w:pStyle w:val="PL"/>
      </w:pPr>
      <w:r w:rsidRPr="00FA0D37">
        <w:t>}</w:t>
      </w:r>
    </w:p>
    <w:p w14:paraId="23EB272B" w14:textId="77777777" w:rsidR="005D3C7B" w:rsidRPr="00FA0D37" w:rsidRDefault="005D3C7B" w:rsidP="00FA0D37">
      <w:pPr>
        <w:pStyle w:val="PL"/>
      </w:pPr>
    </w:p>
    <w:p w14:paraId="145BFE86" w14:textId="77777777" w:rsidR="00394471" w:rsidRPr="00FA0D37" w:rsidRDefault="00394471" w:rsidP="00FA0D37">
      <w:pPr>
        <w:pStyle w:val="PL"/>
      </w:pPr>
      <w:r w:rsidRPr="00FA0D37">
        <w:t xml:space="preserve">RegisteredAMF ::=                   </w:t>
      </w:r>
      <w:r w:rsidRPr="00FA0D37">
        <w:rPr>
          <w:color w:val="993366"/>
        </w:rPr>
        <w:t>SEQUENCE</w:t>
      </w:r>
      <w:r w:rsidRPr="00FA0D37">
        <w:t xml:space="preserve"> {</w:t>
      </w:r>
    </w:p>
    <w:p w14:paraId="2840076A" w14:textId="77777777" w:rsidR="00394471" w:rsidRPr="00FA0D37" w:rsidRDefault="00394471" w:rsidP="00FA0D37">
      <w:pPr>
        <w:pStyle w:val="PL"/>
      </w:pPr>
      <w:r w:rsidRPr="00FA0D37">
        <w:t xml:space="preserve">    plmn-Identity                       PLMN-Identity                                   </w:t>
      </w:r>
      <w:r w:rsidRPr="00FA0D37">
        <w:rPr>
          <w:color w:val="993366"/>
        </w:rPr>
        <w:t>OPTIONAL</w:t>
      </w:r>
      <w:r w:rsidRPr="00FA0D37">
        <w:t>,</w:t>
      </w:r>
    </w:p>
    <w:p w14:paraId="3B6931D8" w14:textId="77777777" w:rsidR="00394471" w:rsidRPr="00FA0D37" w:rsidRDefault="00394471" w:rsidP="00FA0D37">
      <w:pPr>
        <w:pStyle w:val="PL"/>
      </w:pPr>
      <w:r w:rsidRPr="00FA0D37">
        <w:t xml:space="preserve">    amf-Identifier                      AMF-Identifier</w:t>
      </w:r>
    </w:p>
    <w:p w14:paraId="4DA9F81F" w14:textId="77777777" w:rsidR="00394471" w:rsidRPr="00FA0D37" w:rsidRDefault="00394471" w:rsidP="00FA0D37">
      <w:pPr>
        <w:pStyle w:val="PL"/>
      </w:pPr>
      <w:r w:rsidRPr="00FA0D37">
        <w:t>}</w:t>
      </w:r>
    </w:p>
    <w:p w14:paraId="0CA09023" w14:textId="77777777" w:rsidR="00394471" w:rsidRPr="00FA0D37" w:rsidRDefault="00394471" w:rsidP="00FA0D37">
      <w:pPr>
        <w:pStyle w:val="PL"/>
      </w:pPr>
    </w:p>
    <w:p w14:paraId="06C63E26" w14:textId="77777777" w:rsidR="00394471" w:rsidRPr="00FA0D37" w:rsidRDefault="00394471" w:rsidP="00FA0D37">
      <w:pPr>
        <w:pStyle w:val="PL"/>
        <w:rPr>
          <w:color w:val="808080"/>
        </w:rPr>
      </w:pPr>
      <w:r w:rsidRPr="00FA0D37">
        <w:rPr>
          <w:color w:val="808080"/>
        </w:rPr>
        <w:t>-- TAG-RRCSETUPCOMPLETE-STOP</w:t>
      </w:r>
    </w:p>
    <w:p w14:paraId="7E4AEA74" w14:textId="77777777" w:rsidR="00394471" w:rsidRPr="00FA0D37" w:rsidRDefault="00394471" w:rsidP="00FA0D37">
      <w:pPr>
        <w:pStyle w:val="PL"/>
        <w:rPr>
          <w:color w:val="808080"/>
        </w:rPr>
      </w:pPr>
      <w:r w:rsidRPr="00FA0D37">
        <w:rPr>
          <w:color w:val="808080"/>
        </w:rPr>
        <w:t>-- ASN1STOP</w:t>
      </w:r>
    </w:p>
    <w:p w14:paraId="1B115C4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D878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CE3B0" w14:textId="77777777" w:rsidR="00394471" w:rsidRPr="00FA0D37" w:rsidRDefault="00394471" w:rsidP="00964CC4">
            <w:pPr>
              <w:pStyle w:val="TAH"/>
              <w:rPr>
                <w:szCs w:val="22"/>
                <w:lang w:eastAsia="sv-SE"/>
              </w:rPr>
            </w:pPr>
            <w:r w:rsidRPr="00FA0D37">
              <w:rPr>
                <w:i/>
                <w:szCs w:val="22"/>
                <w:lang w:eastAsia="sv-SE"/>
              </w:rPr>
              <w:lastRenderedPageBreak/>
              <w:t xml:space="preserve">RRCSetupComplete-IEs </w:t>
            </w:r>
            <w:r w:rsidRPr="00FA0D37">
              <w:rPr>
                <w:szCs w:val="22"/>
                <w:lang w:eastAsia="sv-SE"/>
              </w:rPr>
              <w:t>field descriptions</w:t>
            </w:r>
          </w:p>
        </w:tc>
      </w:tr>
      <w:tr w:rsidR="005C7FF4" w:rsidRPr="00FA0D37" w14:paraId="3975F7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5854F" w14:textId="77777777" w:rsidR="00394471" w:rsidRPr="00FA0D37" w:rsidRDefault="00394471" w:rsidP="00964CC4">
            <w:pPr>
              <w:pStyle w:val="TAL"/>
              <w:rPr>
                <w:b/>
                <w:i/>
                <w:lang w:eastAsia="sv-SE"/>
              </w:rPr>
            </w:pPr>
            <w:r w:rsidRPr="00FA0D37">
              <w:rPr>
                <w:b/>
                <w:i/>
                <w:lang w:eastAsia="sv-SE"/>
              </w:rPr>
              <w:t>guami-Type</w:t>
            </w:r>
          </w:p>
          <w:p w14:paraId="675816F7" w14:textId="77777777" w:rsidR="00394471" w:rsidRPr="00FA0D37" w:rsidRDefault="00394471" w:rsidP="00964CC4">
            <w:pPr>
              <w:pStyle w:val="TAL"/>
              <w:rPr>
                <w:lang w:eastAsia="sv-SE"/>
              </w:rPr>
            </w:pPr>
            <w:r w:rsidRPr="00FA0D37">
              <w:rPr>
                <w:lang w:eastAsia="sv-SE"/>
              </w:rPr>
              <w:t>This field is used to indicate whether the GUAMI included is native (derived from native 5G-GUTI) or mapped (from EPS, derived from EPS GUTI) as specified in TS 24.501 [23].</w:t>
            </w:r>
          </w:p>
        </w:tc>
      </w:tr>
      <w:tr w:rsidR="005C7FF4" w:rsidRPr="00FA0D37" w14:paraId="35BCB2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B0F0F4" w14:textId="77777777" w:rsidR="00394471" w:rsidRPr="00FA0D37" w:rsidRDefault="00394471" w:rsidP="00964CC4">
            <w:pPr>
              <w:pStyle w:val="TAL"/>
              <w:rPr>
                <w:b/>
                <w:i/>
                <w:lang w:eastAsia="sv-SE"/>
              </w:rPr>
            </w:pPr>
            <w:r w:rsidRPr="00FA0D37">
              <w:rPr>
                <w:b/>
                <w:i/>
                <w:lang w:eastAsia="sv-SE"/>
              </w:rPr>
              <w:t>iab-NodeIndication</w:t>
            </w:r>
          </w:p>
          <w:p w14:paraId="0818AD4A" w14:textId="53CB5181" w:rsidR="00394471" w:rsidRPr="00FA0D37" w:rsidRDefault="00394471" w:rsidP="00964CC4">
            <w:pPr>
              <w:pStyle w:val="TAL"/>
              <w:rPr>
                <w:lang w:eastAsia="sv-SE"/>
              </w:rPr>
            </w:pPr>
            <w:r w:rsidRPr="00FA0D37">
              <w:rPr>
                <w:lang w:eastAsia="sv-SE"/>
              </w:rPr>
              <w:t xml:space="preserve">This field is used to indicate that the connection is being established by an IAB-node </w:t>
            </w:r>
            <w:r w:rsidR="00A27DAE" w:rsidRPr="00FA0D37">
              <w:rPr>
                <w:lang w:eastAsia="sv-SE"/>
              </w:rPr>
              <w:t xml:space="preserve">as specified in TS 38.300 </w:t>
            </w:r>
            <w:r w:rsidRPr="00FA0D37">
              <w:rPr>
                <w:lang w:eastAsia="sv-SE"/>
              </w:rPr>
              <w:t>[2].</w:t>
            </w:r>
          </w:p>
        </w:tc>
      </w:tr>
      <w:tr w:rsidR="005C7FF4" w:rsidRPr="00FA0D37" w14:paraId="3DBDB4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738BF" w14:textId="77777777" w:rsidR="00394471" w:rsidRPr="00FA0D37" w:rsidRDefault="00394471" w:rsidP="00964CC4">
            <w:pPr>
              <w:pStyle w:val="TAL"/>
              <w:rPr>
                <w:b/>
                <w:bCs/>
                <w:i/>
                <w:noProof/>
                <w:lang w:eastAsia="en-GB"/>
              </w:rPr>
            </w:pPr>
            <w:r w:rsidRPr="00FA0D37">
              <w:rPr>
                <w:b/>
                <w:bCs/>
                <w:i/>
                <w:noProof/>
                <w:lang w:eastAsia="en-GB"/>
              </w:rPr>
              <w:t>idleMeasAvailable</w:t>
            </w:r>
          </w:p>
          <w:p w14:paraId="6718CEAD" w14:textId="77777777" w:rsidR="00394471" w:rsidRPr="00FA0D37" w:rsidRDefault="00394471" w:rsidP="00964CC4">
            <w:pPr>
              <w:pStyle w:val="TAL"/>
              <w:rPr>
                <w:b/>
                <w:i/>
                <w:szCs w:val="22"/>
                <w:lang w:eastAsia="sv-SE"/>
              </w:rPr>
            </w:pPr>
            <w:r w:rsidRPr="00FA0D37">
              <w:rPr>
                <w:lang w:eastAsia="en-GB"/>
              </w:rPr>
              <w:t>Indication that the UE has idle/inactive measurement report available.</w:t>
            </w:r>
          </w:p>
        </w:tc>
      </w:tr>
      <w:tr w:rsidR="005C7FF4" w:rsidRPr="00FA0D37" w14:paraId="1AA8D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49522" w14:textId="77777777" w:rsidR="00394471" w:rsidRPr="00FA0D37" w:rsidRDefault="00394471" w:rsidP="00964CC4">
            <w:pPr>
              <w:pStyle w:val="TAL"/>
              <w:rPr>
                <w:szCs w:val="22"/>
                <w:lang w:eastAsia="sv-SE"/>
              </w:rPr>
            </w:pPr>
            <w:r w:rsidRPr="00FA0D37">
              <w:rPr>
                <w:b/>
                <w:i/>
                <w:szCs w:val="22"/>
                <w:lang w:eastAsia="sv-SE"/>
              </w:rPr>
              <w:t>mobilityState</w:t>
            </w:r>
          </w:p>
          <w:p w14:paraId="77C9FAD6" w14:textId="77777777" w:rsidR="00394471" w:rsidRPr="00FA0D37" w:rsidRDefault="00394471" w:rsidP="00964CC4">
            <w:pPr>
              <w:pStyle w:val="TAL"/>
              <w:rPr>
                <w:b/>
                <w:i/>
                <w:lang w:eastAsia="sv-SE"/>
              </w:rPr>
            </w:pPr>
            <w:r w:rsidRPr="00FA0D37">
              <w:rPr>
                <w:lang w:eastAsia="en-GB"/>
              </w:rPr>
              <w:t xml:space="preserve">This field indicates the UE mobility state (as defined in TS 38.304 [20], clause 5.2.4.3) just prior to UE going into RRC_CONNECTED state. The UE indicates the value of </w:t>
            </w:r>
            <w:r w:rsidRPr="00FA0D37">
              <w:rPr>
                <w:i/>
                <w:lang w:eastAsia="en-GB"/>
              </w:rPr>
              <w:t>medium</w:t>
            </w:r>
            <w:r w:rsidRPr="00FA0D37">
              <w:rPr>
                <w:lang w:eastAsia="en-GB"/>
              </w:rPr>
              <w:t xml:space="preserve"> and </w:t>
            </w:r>
            <w:r w:rsidRPr="00FA0D37">
              <w:rPr>
                <w:i/>
                <w:lang w:eastAsia="en-GB"/>
              </w:rPr>
              <w:t>high</w:t>
            </w:r>
            <w:r w:rsidRPr="00FA0D37">
              <w:rPr>
                <w:lang w:eastAsia="en-GB"/>
              </w:rPr>
              <w:t xml:space="preserve"> when being in Medium-mobility and High-mobility states respectively. Otherwise the UE indicates the value </w:t>
            </w:r>
            <w:r w:rsidRPr="00FA0D37">
              <w:rPr>
                <w:i/>
                <w:lang w:eastAsia="en-GB"/>
              </w:rPr>
              <w:t>normal</w:t>
            </w:r>
            <w:r w:rsidRPr="00FA0D37">
              <w:rPr>
                <w:lang w:eastAsia="en-GB"/>
              </w:rPr>
              <w:t>.</w:t>
            </w:r>
          </w:p>
        </w:tc>
      </w:tr>
      <w:tr w:rsidR="005C7FF4" w:rsidRPr="00FA0D37" w14:paraId="54BBA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D35CF4" w14:textId="77777777" w:rsidR="00394471" w:rsidRPr="00FA0D37" w:rsidRDefault="00394471" w:rsidP="00964CC4">
            <w:pPr>
              <w:pStyle w:val="TAL"/>
              <w:rPr>
                <w:szCs w:val="22"/>
                <w:lang w:eastAsia="sv-SE"/>
              </w:rPr>
            </w:pPr>
            <w:r w:rsidRPr="00FA0D37">
              <w:rPr>
                <w:b/>
                <w:i/>
                <w:szCs w:val="22"/>
                <w:lang w:eastAsia="sv-SE"/>
              </w:rPr>
              <w:t>ng-5G-S-TMSI-Part2</w:t>
            </w:r>
          </w:p>
          <w:p w14:paraId="79A1F187" w14:textId="77777777" w:rsidR="00394471" w:rsidRPr="00FA0D37" w:rsidRDefault="00394471" w:rsidP="00964CC4">
            <w:pPr>
              <w:pStyle w:val="TAL"/>
              <w:rPr>
                <w:szCs w:val="22"/>
                <w:lang w:eastAsia="sv-SE"/>
              </w:rPr>
            </w:pPr>
            <w:r w:rsidRPr="00FA0D37">
              <w:rPr>
                <w:szCs w:val="22"/>
                <w:lang w:eastAsia="sv-SE"/>
              </w:rPr>
              <w:t>The leftmost 9 bits of 5G-S-TMSI.</w:t>
            </w:r>
          </w:p>
        </w:tc>
      </w:tr>
      <w:tr w:rsidR="005C7FF4" w:rsidRPr="00FA0D37" w14:paraId="3770A16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CB23E6A" w14:textId="77777777" w:rsidR="005F220E" w:rsidRPr="00FA0D37" w:rsidRDefault="005F220E" w:rsidP="00771058">
            <w:pPr>
              <w:pStyle w:val="TAL"/>
              <w:rPr>
                <w:b/>
                <w:i/>
                <w:lang w:eastAsia="sv-SE"/>
              </w:rPr>
            </w:pPr>
            <w:r w:rsidRPr="00FA0D37">
              <w:rPr>
                <w:b/>
                <w:i/>
                <w:lang w:eastAsia="sv-SE"/>
              </w:rPr>
              <w:t>onboardingRequest</w:t>
            </w:r>
          </w:p>
          <w:p w14:paraId="1D113024" w14:textId="77777777" w:rsidR="005F220E" w:rsidRPr="00FA0D37" w:rsidRDefault="005F220E" w:rsidP="00771058">
            <w:pPr>
              <w:pStyle w:val="TAL"/>
              <w:rPr>
                <w:lang w:eastAsia="sv-SE"/>
              </w:rPr>
            </w:pPr>
            <w:r w:rsidRPr="00FA0D37">
              <w:rPr>
                <w:lang w:eastAsia="sv-SE"/>
              </w:rPr>
              <w:t>This field indicates that the connection is being established for UE onboarding in the selected onboarding SNPN, see TS 23.501 [32].</w:t>
            </w:r>
          </w:p>
        </w:tc>
      </w:tr>
      <w:tr w:rsidR="005C7FF4" w:rsidRPr="00FA0D37" w14:paraId="66B604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F150E" w14:textId="77777777" w:rsidR="00394471" w:rsidRPr="00FA0D37" w:rsidRDefault="00394471" w:rsidP="00964CC4">
            <w:pPr>
              <w:pStyle w:val="TAL"/>
              <w:rPr>
                <w:szCs w:val="22"/>
                <w:lang w:eastAsia="sv-SE"/>
              </w:rPr>
            </w:pPr>
            <w:r w:rsidRPr="00FA0D37">
              <w:rPr>
                <w:b/>
                <w:i/>
                <w:szCs w:val="22"/>
                <w:lang w:eastAsia="sv-SE"/>
              </w:rPr>
              <w:t>registeredAMF</w:t>
            </w:r>
          </w:p>
          <w:p w14:paraId="57E77D12" w14:textId="77777777" w:rsidR="00394471" w:rsidRPr="00FA0D37" w:rsidRDefault="00394471" w:rsidP="00964CC4">
            <w:pPr>
              <w:pStyle w:val="TAL"/>
              <w:rPr>
                <w:szCs w:val="22"/>
                <w:lang w:eastAsia="sv-SE"/>
              </w:rPr>
            </w:pPr>
            <w:r w:rsidRPr="00FA0D37">
              <w:rPr>
                <w:szCs w:val="22"/>
                <w:lang w:eastAsia="sv-SE"/>
              </w:rPr>
              <w:t>This field is used to transfer the GUAMI of the AMF where the UE is registered, as provided by upper layers, see TS 23.003 [21].</w:t>
            </w:r>
          </w:p>
        </w:tc>
      </w:tr>
      <w:tr w:rsidR="005C7FF4" w:rsidRPr="00FA0D37" w14:paraId="5767D6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CC824D" w14:textId="77777777" w:rsidR="00394471" w:rsidRPr="00FA0D37" w:rsidRDefault="00394471" w:rsidP="00964CC4">
            <w:pPr>
              <w:pStyle w:val="TAL"/>
              <w:rPr>
                <w:b/>
                <w:i/>
                <w:szCs w:val="22"/>
                <w:lang w:eastAsia="sv-SE"/>
              </w:rPr>
            </w:pPr>
            <w:r w:rsidRPr="00FA0D37">
              <w:rPr>
                <w:b/>
                <w:i/>
                <w:szCs w:val="22"/>
                <w:lang w:eastAsia="sv-SE"/>
              </w:rPr>
              <w:t>selectedPLMN-Identity</w:t>
            </w:r>
          </w:p>
          <w:p w14:paraId="13AFB963" w14:textId="424E284A" w:rsidR="00394471" w:rsidRPr="00FA0D37" w:rsidRDefault="00394471" w:rsidP="00964CC4">
            <w:pPr>
              <w:pStyle w:val="TAL"/>
              <w:rPr>
                <w:szCs w:val="22"/>
                <w:lang w:eastAsia="sv-SE"/>
              </w:rPr>
            </w:pPr>
            <w:r w:rsidRPr="00FA0D37">
              <w:rPr>
                <w:szCs w:val="22"/>
                <w:lang w:eastAsia="sv-SE"/>
              </w:rPr>
              <w:t xml:space="preserve">Index of the PLMN or SNPN selected by the UE from the </w:t>
            </w:r>
            <w:r w:rsidRPr="00FA0D37">
              <w:rPr>
                <w:i/>
                <w:szCs w:val="22"/>
                <w:lang w:eastAsia="sv-SE"/>
              </w:rPr>
              <w:t>plmn-Identity</w:t>
            </w:r>
            <w:r w:rsidR="00FB04AA" w:rsidRPr="00FA0D37">
              <w:rPr>
                <w:i/>
                <w:szCs w:val="22"/>
                <w:lang w:eastAsia="sv-SE"/>
              </w:rPr>
              <w:t>Info</w:t>
            </w:r>
            <w:r w:rsidRPr="00FA0D37">
              <w:rPr>
                <w:i/>
                <w:szCs w:val="22"/>
                <w:lang w:eastAsia="sv-SE"/>
              </w:rPr>
              <w:t>List</w:t>
            </w:r>
            <w:r w:rsidRPr="00FA0D37">
              <w:rPr>
                <w:szCs w:val="22"/>
                <w:lang w:eastAsia="sv-SE"/>
              </w:rPr>
              <w:t xml:space="preserve"> or </w:t>
            </w:r>
            <w:r w:rsidRPr="00FA0D37">
              <w:rPr>
                <w:i/>
                <w:iCs/>
                <w:szCs w:val="22"/>
                <w:lang w:eastAsia="sv-SE"/>
              </w:rPr>
              <w:t xml:space="preserve">npn-IdentityInfoList </w:t>
            </w:r>
            <w:r w:rsidRPr="00FA0D37">
              <w:rPr>
                <w:szCs w:val="22"/>
                <w:lang w:eastAsia="sv-SE"/>
              </w:rPr>
              <w:t>fields included in SIB1.</w:t>
            </w:r>
          </w:p>
        </w:tc>
      </w:tr>
      <w:tr w:rsidR="00F747EB" w:rsidRPr="00FA0D37" w14:paraId="543DAA61" w14:textId="77777777" w:rsidTr="00964CC4">
        <w:tc>
          <w:tcPr>
            <w:tcW w:w="14173" w:type="dxa"/>
            <w:tcBorders>
              <w:top w:val="single" w:sz="4" w:space="0" w:color="auto"/>
              <w:left w:val="single" w:sz="4" w:space="0" w:color="auto"/>
              <w:bottom w:val="single" w:sz="4" w:space="0" w:color="auto"/>
              <w:right w:val="single" w:sz="4" w:space="0" w:color="auto"/>
            </w:tcBorders>
          </w:tcPr>
          <w:p w14:paraId="4B842943" w14:textId="77777777" w:rsidR="00C84E00" w:rsidRPr="00FA0D37" w:rsidRDefault="00C84E00" w:rsidP="00C84E00">
            <w:pPr>
              <w:pStyle w:val="TAL"/>
              <w:rPr>
                <w:b/>
                <w:i/>
                <w:szCs w:val="22"/>
                <w:lang w:eastAsia="sv-SE"/>
              </w:rPr>
            </w:pPr>
            <w:r w:rsidRPr="00FA0D37">
              <w:rPr>
                <w:b/>
                <w:i/>
                <w:szCs w:val="22"/>
                <w:lang w:eastAsia="sv-SE"/>
              </w:rPr>
              <w:t>ul-RRC-Segmentation</w:t>
            </w:r>
          </w:p>
          <w:p w14:paraId="6CA36A9B" w14:textId="282FC1B0" w:rsidR="00C84E00" w:rsidRPr="00FA0D37" w:rsidRDefault="00C84E00" w:rsidP="00C84E00">
            <w:pPr>
              <w:pStyle w:val="TAL"/>
              <w:rPr>
                <w:b/>
                <w:i/>
                <w:szCs w:val="22"/>
                <w:lang w:eastAsia="sv-SE"/>
              </w:rPr>
            </w:pPr>
            <w:r w:rsidRPr="00FA0D37">
              <w:rPr>
                <w:szCs w:val="22"/>
                <w:lang w:eastAsia="sv-SE"/>
              </w:rPr>
              <w:t>This field indicates the UE supports uplink RRC segmentation</w:t>
            </w:r>
            <w:r w:rsidRPr="00FA0D37">
              <w:t xml:space="preserve"> </w:t>
            </w:r>
            <w:r w:rsidRPr="00FA0D37">
              <w:rPr>
                <w:lang w:eastAsia="en-GB"/>
              </w:rPr>
              <w:t>of</w:t>
            </w:r>
            <w:r w:rsidRPr="00FA0D37">
              <w:rPr>
                <w:i/>
                <w:lang w:eastAsia="en-GB"/>
              </w:rPr>
              <w:t xml:space="preserve"> UECapabilityInformation.</w:t>
            </w:r>
          </w:p>
        </w:tc>
      </w:tr>
    </w:tbl>
    <w:p w14:paraId="45A51CD2" w14:textId="77777777" w:rsidR="00394471" w:rsidRPr="00FA0D37" w:rsidRDefault="00394471" w:rsidP="00394471"/>
    <w:p w14:paraId="6A4F852B" w14:textId="77777777" w:rsidR="00394471" w:rsidRPr="00FA0D37" w:rsidRDefault="00394471" w:rsidP="00394471">
      <w:pPr>
        <w:pStyle w:val="4"/>
        <w:rPr>
          <w:i/>
          <w:iCs/>
        </w:rPr>
      </w:pPr>
      <w:bookmarkStart w:id="692" w:name="_Toc60777118"/>
      <w:bookmarkStart w:id="693" w:name="_Toc146781155"/>
      <w:r w:rsidRPr="00FA0D37">
        <w:rPr>
          <w:i/>
          <w:iCs/>
        </w:rPr>
        <w:t>–</w:t>
      </w:r>
      <w:r w:rsidRPr="00FA0D37">
        <w:rPr>
          <w:i/>
          <w:iCs/>
        </w:rPr>
        <w:tab/>
      </w:r>
      <w:r w:rsidRPr="00FA0D37">
        <w:rPr>
          <w:i/>
          <w:iCs/>
          <w:noProof/>
        </w:rPr>
        <w:t>RRCSetupRequest</w:t>
      </w:r>
      <w:bookmarkEnd w:id="692"/>
      <w:bookmarkEnd w:id="693"/>
    </w:p>
    <w:p w14:paraId="07B4BD82" w14:textId="77777777" w:rsidR="00394471" w:rsidRPr="00FA0D37" w:rsidRDefault="00394471" w:rsidP="00394471">
      <w:r w:rsidRPr="00FA0D37">
        <w:t xml:space="preserve">The </w:t>
      </w:r>
      <w:r w:rsidRPr="00FA0D37">
        <w:rPr>
          <w:i/>
        </w:rPr>
        <w:t xml:space="preserve">RRCSetupRequest </w:t>
      </w:r>
      <w:r w:rsidRPr="00FA0D37">
        <w:t>message is used to request the establishment of an RRC connection.</w:t>
      </w:r>
    </w:p>
    <w:p w14:paraId="3BD6D382" w14:textId="77777777" w:rsidR="00394471" w:rsidRPr="00FA0D37" w:rsidRDefault="00394471" w:rsidP="00394471">
      <w:pPr>
        <w:pStyle w:val="B1"/>
      </w:pPr>
      <w:r w:rsidRPr="00FA0D37">
        <w:t>Signalling radio bearer: SRB0</w:t>
      </w:r>
    </w:p>
    <w:p w14:paraId="3B7CED4E" w14:textId="77777777" w:rsidR="00394471" w:rsidRPr="00FA0D37" w:rsidRDefault="00394471" w:rsidP="00394471">
      <w:pPr>
        <w:pStyle w:val="B1"/>
      </w:pPr>
      <w:r w:rsidRPr="00FA0D37">
        <w:t>RLC-SAP: TM</w:t>
      </w:r>
    </w:p>
    <w:p w14:paraId="42A8A353" w14:textId="77777777" w:rsidR="00394471" w:rsidRPr="00FA0D37" w:rsidRDefault="00394471" w:rsidP="00394471">
      <w:pPr>
        <w:pStyle w:val="B1"/>
      </w:pPr>
      <w:r w:rsidRPr="00FA0D37">
        <w:t>Logical channel: CCCH</w:t>
      </w:r>
    </w:p>
    <w:p w14:paraId="5A8E86C2" w14:textId="77777777" w:rsidR="00394471" w:rsidRPr="00FA0D37" w:rsidRDefault="00394471" w:rsidP="00394471">
      <w:pPr>
        <w:pStyle w:val="B1"/>
      </w:pPr>
      <w:r w:rsidRPr="00FA0D37">
        <w:t xml:space="preserve">Direction: UE to </w:t>
      </w:r>
      <w:r w:rsidRPr="00FA0D37">
        <w:rPr>
          <w:lang w:eastAsia="zh-CN"/>
        </w:rPr>
        <w:t>Network</w:t>
      </w:r>
    </w:p>
    <w:p w14:paraId="28D4B7FD" w14:textId="77777777" w:rsidR="00394471" w:rsidRPr="00FA0D37" w:rsidRDefault="00394471" w:rsidP="00394471">
      <w:pPr>
        <w:pStyle w:val="TH"/>
        <w:rPr>
          <w:bCs/>
          <w:i/>
          <w:iCs/>
        </w:rPr>
      </w:pPr>
      <w:r w:rsidRPr="00FA0D37">
        <w:rPr>
          <w:bCs/>
          <w:i/>
          <w:iCs/>
        </w:rPr>
        <w:t>RRCSetupRequest message</w:t>
      </w:r>
    </w:p>
    <w:p w14:paraId="03A333E3" w14:textId="77777777" w:rsidR="00394471" w:rsidRPr="00FA0D37" w:rsidRDefault="00394471" w:rsidP="00FA0D37">
      <w:pPr>
        <w:pStyle w:val="PL"/>
        <w:rPr>
          <w:color w:val="808080"/>
        </w:rPr>
      </w:pPr>
      <w:r w:rsidRPr="00FA0D37">
        <w:rPr>
          <w:color w:val="808080"/>
        </w:rPr>
        <w:t>-- ASN1START</w:t>
      </w:r>
    </w:p>
    <w:p w14:paraId="270A502D" w14:textId="77777777" w:rsidR="00394471" w:rsidRPr="00FA0D37" w:rsidRDefault="00394471" w:rsidP="00FA0D37">
      <w:pPr>
        <w:pStyle w:val="PL"/>
        <w:rPr>
          <w:color w:val="808080"/>
        </w:rPr>
      </w:pPr>
      <w:r w:rsidRPr="00FA0D37">
        <w:rPr>
          <w:color w:val="808080"/>
        </w:rPr>
        <w:t>-- TAG-RRCSETUPREQUEST-START</w:t>
      </w:r>
    </w:p>
    <w:p w14:paraId="51B2977A" w14:textId="77777777" w:rsidR="00394471" w:rsidRPr="00FA0D37" w:rsidRDefault="00394471" w:rsidP="00FA0D37">
      <w:pPr>
        <w:pStyle w:val="PL"/>
      </w:pPr>
    </w:p>
    <w:p w14:paraId="4B6A07F3" w14:textId="77777777" w:rsidR="00394471" w:rsidRPr="00FA0D37" w:rsidRDefault="00394471" w:rsidP="00FA0D37">
      <w:pPr>
        <w:pStyle w:val="PL"/>
      </w:pPr>
      <w:r w:rsidRPr="00FA0D37">
        <w:t xml:space="preserve">RRCSetupRequest ::=                 </w:t>
      </w:r>
      <w:r w:rsidRPr="00FA0D37">
        <w:rPr>
          <w:color w:val="993366"/>
        </w:rPr>
        <w:t>SEQUENCE</w:t>
      </w:r>
      <w:r w:rsidRPr="00FA0D37">
        <w:t xml:space="preserve"> {</w:t>
      </w:r>
    </w:p>
    <w:p w14:paraId="3DBFCCF2" w14:textId="77777777" w:rsidR="00394471" w:rsidRPr="00FA0D37" w:rsidRDefault="00394471" w:rsidP="00FA0D37">
      <w:pPr>
        <w:pStyle w:val="PL"/>
      </w:pPr>
      <w:r w:rsidRPr="00FA0D37">
        <w:t xml:space="preserve">    rrcSetupRequest                     RRCSetupRequest-IEs</w:t>
      </w:r>
    </w:p>
    <w:p w14:paraId="02262753" w14:textId="77777777" w:rsidR="00394471" w:rsidRPr="00FA0D37" w:rsidRDefault="00394471" w:rsidP="00FA0D37">
      <w:pPr>
        <w:pStyle w:val="PL"/>
      </w:pPr>
      <w:r w:rsidRPr="00FA0D37">
        <w:t>}</w:t>
      </w:r>
    </w:p>
    <w:p w14:paraId="0CBF529A" w14:textId="77777777" w:rsidR="00394471" w:rsidRPr="00FA0D37" w:rsidRDefault="00394471" w:rsidP="00FA0D37">
      <w:pPr>
        <w:pStyle w:val="PL"/>
      </w:pPr>
    </w:p>
    <w:p w14:paraId="22D0A14F" w14:textId="77777777" w:rsidR="00394471" w:rsidRPr="00FA0D37" w:rsidRDefault="00394471" w:rsidP="00FA0D37">
      <w:pPr>
        <w:pStyle w:val="PL"/>
      </w:pPr>
      <w:r w:rsidRPr="00FA0D37">
        <w:t xml:space="preserve">RRCSetupRequest-IEs ::=             </w:t>
      </w:r>
      <w:r w:rsidRPr="00FA0D37">
        <w:rPr>
          <w:color w:val="993366"/>
        </w:rPr>
        <w:t>SEQUENCE</w:t>
      </w:r>
      <w:r w:rsidRPr="00FA0D37">
        <w:t xml:space="preserve"> {</w:t>
      </w:r>
    </w:p>
    <w:p w14:paraId="38C9297C" w14:textId="77777777" w:rsidR="00394471" w:rsidRPr="00FA0D37" w:rsidRDefault="00394471" w:rsidP="00FA0D37">
      <w:pPr>
        <w:pStyle w:val="PL"/>
      </w:pPr>
      <w:r w:rsidRPr="00FA0D37">
        <w:lastRenderedPageBreak/>
        <w:t xml:space="preserve">    ue-Identity                         InitialUE-Identity,</w:t>
      </w:r>
    </w:p>
    <w:p w14:paraId="184943D1" w14:textId="77777777" w:rsidR="00394471" w:rsidRPr="00FA0D37" w:rsidRDefault="00394471" w:rsidP="00FA0D37">
      <w:pPr>
        <w:pStyle w:val="PL"/>
      </w:pPr>
      <w:r w:rsidRPr="00FA0D37">
        <w:t xml:space="preserve">    establishmentCause                  EstablishmentCause,</w:t>
      </w:r>
    </w:p>
    <w:p w14:paraId="4DBB68EA" w14:textId="77777777" w:rsidR="00394471" w:rsidRPr="00FA0D37" w:rsidRDefault="00394471" w:rsidP="00FA0D37">
      <w:pPr>
        <w:pStyle w:val="PL"/>
      </w:pPr>
      <w:r w:rsidRPr="00FA0D37">
        <w:t xml:space="preserve">    spare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w:t>
      </w:r>
    </w:p>
    <w:p w14:paraId="29B4B77E" w14:textId="77777777" w:rsidR="00394471" w:rsidRPr="00FA0D37" w:rsidRDefault="00394471" w:rsidP="00FA0D37">
      <w:pPr>
        <w:pStyle w:val="PL"/>
      </w:pPr>
      <w:r w:rsidRPr="00FA0D37">
        <w:t>}</w:t>
      </w:r>
    </w:p>
    <w:p w14:paraId="14F0387D" w14:textId="77777777" w:rsidR="00394471" w:rsidRPr="00FA0D37" w:rsidRDefault="00394471" w:rsidP="00FA0D37">
      <w:pPr>
        <w:pStyle w:val="PL"/>
      </w:pPr>
    </w:p>
    <w:p w14:paraId="5EB3D379" w14:textId="77777777" w:rsidR="00394471" w:rsidRPr="00FA0D37" w:rsidRDefault="00394471" w:rsidP="00FA0D37">
      <w:pPr>
        <w:pStyle w:val="PL"/>
      </w:pPr>
      <w:r w:rsidRPr="00FA0D37">
        <w:t xml:space="preserve">InitialUE-Identity ::=              </w:t>
      </w:r>
      <w:r w:rsidRPr="00FA0D37">
        <w:rPr>
          <w:color w:val="993366"/>
        </w:rPr>
        <w:t>CHOICE</w:t>
      </w:r>
      <w:r w:rsidRPr="00FA0D37">
        <w:t xml:space="preserve"> {</w:t>
      </w:r>
    </w:p>
    <w:p w14:paraId="33C4AE69" w14:textId="77777777" w:rsidR="00394471" w:rsidRPr="00FA0D37" w:rsidRDefault="00394471" w:rsidP="00FA0D37">
      <w:pPr>
        <w:pStyle w:val="PL"/>
      </w:pPr>
      <w:r w:rsidRPr="00FA0D37">
        <w:t xml:space="preserve">    ng-5G-S-TMSI-Part1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(39)),</w:t>
      </w:r>
    </w:p>
    <w:p w14:paraId="1B63C9BD" w14:textId="77777777" w:rsidR="00394471" w:rsidRPr="00FA0D37" w:rsidRDefault="00394471" w:rsidP="00FA0D37">
      <w:pPr>
        <w:pStyle w:val="PL"/>
      </w:pPr>
      <w:r w:rsidRPr="00FA0D37">
        <w:t xml:space="preserve">    randomValue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(39))</w:t>
      </w:r>
    </w:p>
    <w:p w14:paraId="5E3F1819" w14:textId="77777777" w:rsidR="00394471" w:rsidRPr="00FA0D37" w:rsidRDefault="00394471" w:rsidP="00FA0D37">
      <w:pPr>
        <w:pStyle w:val="PL"/>
      </w:pPr>
      <w:r w:rsidRPr="00FA0D37">
        <w:t>}</w:t>
      </w:r>
    </w:p>
    <w:p w14:paraId="358C5904" w14:textId="77777777" w:rsidR="00394471" w:rsidRPr="00FA0D37" w:rsidRDefault="00394471" w:rsidP="00FA0D37">
      <w:pPr>
        <w:pStyle w:val="PL"/>
      </w:pPr>
    </w:p>
    <w:p w14:paraId="643FB170" w14:textId="77777777" w:rsidR="00394471" w:rsidRPr="00FA0D37" w:rsidRDefault="00394471" w:rsidP="00FA0D37">
      <w:pPr>
        <w:pStyle w:val="PL"/>
      </w:pPr>
      <w:r w:rsidRPr="00FA0D37">
        <w:t xml:space="preserve">EstablishmentCause ::=              </w:t>
      </w:r>
      <w:r w:rsidRPr="00FA0D37">
        <w:rPr>
          <w:color w:val="993366"/>
        </w:rPr>
        <w:t>ENUMERATED</w:t>
      </w:r>
      <w:r w:rsidRPr="00FA0D37">
        <w:t xml:space="preserve"> {</w:t>
      </w:r>
    </w:p>
    <w:p w14:paraId="7A86FE5C" w14:textId="77777777" w:rsidR="00394471" w:rsidRPr="00FA0D37" w:rsidRDefault="00394471" w:rsidP="00FA0D37">
      <w:pPr>
        <w:pStyle w:val="PL"/>
      </w:pPr>
      <w:r w:rsidRPr="00FA0D37">
        <w:t xml:space="preserve">                                        emergency, highPriorityAccess, mt-Access, mo-Signalling,</w:t>
      </w:r>
    </w:p>
    <w:p w14:paraId="27D9061C" w14:textId="77777777" w:rsidR="00394471" w:rsidRPr="00FA0D37" w:rsidRDefault="00394471" w:rsidP="00FA0D37">
      <w:pPr>
        <w:pStyle w:val="PL"/>
      </w:pPr>
      <w:r w:rsidRPr="00FA0D37">
        <w:t xml:space="preserve">                                        mo-Data, mo-VoiceCall, mo-VideoCall, mo-SMS, mps-PriorityAccess, mcs-PriorityAccess,</w:t>
      </w:r>
    </w:p>
    <w:p w14:paraId="4BCC2F39" w14:textId="77777777" w:rsidR="00394471" w:rsidRPr="00FA0D37" w:rsidRDefault="00394471" w:rsidP="00FA0D37">
      <w:pPr>
        <w:pStyle w:val="PL"/>
      </w:pPr>
      <w:r w:rsidRPr="00FA0D37">
        <w:t xml:space="preserve">                                        spare6, spare5, spare4, spare3, spare2, spare1}</w:t>
      </w:r>
    </w:p>
    <w:p w14:paraId="733C6962" w14:textId="77777777" w:rsidR="00394471" w:rsidRPr="00FA0D37" w:rsidRDefault="00394471" w:rsidP="00FA0D37">
      <w:pPr>
        <w:pStyle w:val="PL"/>
      </w:pPr>
    </w:p>
    <w:p w14:paraId="6FA3BFF9" w14:textId="77777777" w:rsidR="00394471" w:rsidRPr="00FA0D37" w:rsidRDefault="00394471" w:rsidP="00FA0D37">
      <w:pPr>
        <w:pStyle w:val="PL"/>
        <w:rPr>
          <w:color w:val="808080"/>
        </w:rPr>
      </w:pPr>
      <w:r w:rsidRPr="00FA0D37">
        <w:rPr>
          <w:color w:val="808080"/>
        </w:rPr>
        <w:t>-- TAG-RRCSETUPREQUEST-STOP</w:t>
      </w:r>
    </w:p>
    <w:p w14:paraId="78089888" w14:textId="77777777" w:rsidR="00394471" w:rsidRPr="00FA0D37" w:rsidRDefault="00394471" w:rsidP="00FA0D37">
      <w:pPr>
        <w:pStyle w:val="PL"/>
        <w:rPr>
          <w:color w:val="808080"/>
        </w:rPr>
      </w:pPr>
      <w:r w:rsidRPr="00FA0D37">
        <w:rPr>
          <w:color w:val="808080"/>
        </w:rPr>
        <w:t>-- ASN1STOP</w:t>
      </w:r>
    </w:p>
    <w:p w14:paraId="7CD09AF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F5FA65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D58517" w14:textId="77777777" w:rsidR="00394471" w:rsidRPr="00FA0D37" w:rsidRDefault="00394471" w:rsidP="00964CC4">
            <w:pPr>
              <w:pStyle w:val="TAH"/>
              <w:rPr>
                <w:szCs w:val="22"/>
                <w:lang w:eastAsia="sv-SE"/>
              </w:rPr>
            </w:pPr>
            <w:r w:rsidRPr="00FA0D37">
              <w:rPr>
                <w:i/>
                <w:szCs w:val="22"/>
                <w:lang w:eastAsia="sv-SE"/>
              </w:rPr>
              <w:t xml:space="preserve">RRCSetupRequest-IEs </w:t>
            </w:r>
            <w:r w:rsidRPr="00FA0D37">
              <w:rPr>
                <w:szCs w:val="22"/>
                <w:lang w:eastAsia="sv-SE"/>
              </w:rPr>
              <w:t>field descriptions</w:t>
            </w:r>
          </w:p>
        </w:tc>
      </w:tr>
      <w:tr w:rsidR="005C7FF4" w:rsidRPr="00FA0D37" w14:paraId="406E96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7D090F" w14:textId="77777777" w:rsidR="00394471" w:rsidRPr="00FA0D37" w:rsidRDefault="00394471" w:rsidP="00964CC4">
            <w:pPr>
              <w:pStyle w:val="TAL"/>
              <w:rPr>
                <w:szCs w:val="22"/>
                <w:lang w:eastAsia="sv-SE"/>
              </w:rPr>
            </w:pPr>
            <w:r w:rsidRPr="00FA0D37">
              <w:rPr>
                <w:b/>
                <w:i/>
                <w:szCs w:val="22"/>
                <w:lang w:eastAsia="sv-SE"/>
              </w:rPr>
              <w:t>establishmentCause</w:t>
            </w:r>
          </w:p>
          <w:p w14:paraId="7ED159CA" w14:textId="77777777" w:rsidR="00394471" w:rsidRPr="00FA0D37" w:rsidRDefault="00394471" w:rsidP="00964CC4">
            <w:pPr>
              <w:pStyle w:val="TAL"/>
              <w:rPr>
                <w:szCs w:val="22"/>
                <w:lang w:eastAsia="sv-SE"/>
              </w:rPr>
            </w:pPr>
            <w:r w:rsidRPr="00FA0D37">
              <w:rPr>
                <w:szCs w:val="22"/>
                <w:lang w:eastAsia="sv-SE"/>
              </w:rPr>
              <w:t xml:space="preserve">Provides the establishment cause for the </w:t>
            </w:r>
            <w:r w:rsidRPr="00FA0D37">
              <w:rPr>
                <w:i/>
                <w:szCs w:val="22"/>
                <w:lang w:eastAsia="sv-SE"/>
              </w:rPr>
              <w:t>RRCSetupRequest</w:t>
            </w:r>
            <w:r w:rsidRPr="00FA0D37">
              <w:rPr>
                <w:szCs w:val="22"/>
                <w:lang w:eastAsia="sv-SE"/>
              </w:rPr>
              <w:t xml:space="preserve"> in accordance with the information received from upper layers. gNB is not expected to reject an </w:t>
            </w:r>
            <w:r w:rsidRPr="00FA0D37">
              <w:rPr>
                <w:i/>
                <w:lang w:eastAsia="sv-SE"/>
              </w:rPr>
              <w:t>RRCSetupRequest</w:t>
            </w:r>
            <w:r w:rsidRPr="00FA0D37">
              <w:rPr>
                <w:szCs w:val="22"/>
                <w:lang w:eastAsia="sv-SE"/>
              </w:rPr>
              <w:t xml:space="preserve"> due to unknown cause value being used by the UE.</w:t>
            </w:r>
          </w:p>
        </w:tc>
      </w:tr>
      <w:tr w:rsidR="00394471" w:rsidRPr="00FA0D37" w14:paraId="134C68E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8965AF" w14:textId="77777777" w:rsidR="00394471" w:rsidRPr="00FA0D37" w:rsidRDefault="00394471" w:rsidP="00964CC4">
            <w:pPr>
              <w:pStyle w:val="TAL"/>
              <w:rPr>
                <w:szCs w:val="22"/>
                <w:lang w:eastAsia="sv-SE"/>
              </w:rPr>
            </w:pPr>
            <w:r w:rsidRPr="00FA0D37">
              <w:rPr>
                <w:b/>
                <w:i/>
                <w:szCs w:val="22"/>
                <w:lang w:eastAsia="sv-SE"/>
              </w:rPr>
              <w:t>ue-Identity</w:t>
            </w:r>
          </w:p>
          <w:p w14:paraId="4B0ED69F" w14:textId="77777777" w:rsidR="00394471" w:rsidRPr="00FA0D37" w:rsidRDefault="00394471" w:rsidP="00964CC4">
            <w:pPr>
              <w:pStyle w:val="TAL"/>
              <w:rPr>
                <w:szCs w:val="22"/>
                <w:lang w:eastAsia="sv-SE"/>
              </w:rPr>
            </w:pPr>
            <w:r w:rsidRPr="00FA0D37">
              <w:rPr>
                <w:szCs w:val="22"/>
                <w:lang w:eastAsia="sv-SE"/>
              </w:rPr>
              <w:t>UE identity included to facilitate contention resolution by lower layers.</w:t>
            </w:r>
          </w:p>
        </w:tc>
      </w:tr>
    </w:tbl>
    <w:p w14:paraId="7561494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BEE5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4D6BA" w14:textId="77777777" w:rsidR="00394471" w:rsidRPr="00FA0D37" w:rsidRDefault="00394471" w:rsidP="00964CC4">
            <w:pPr>
              <w:pStyle w:val="TAH"/>
              <w:rPr>
                <w:szCs w:val="22"/>
                <w:lang w:eastAsia="sv-SE"/>
              </w:rPr>
            </w:pPr>
            <w:r w:rsidRPr="00FA0D37">
              <w:rPr>
                <w:i/>
                <w:szCs w:val="22"/>
                <w:lang w:eastAsia="sv-SE"/>
              </w:rPr>
              <w:t xml:space="preserve">InitialUE-Identity </w:t>
            </w:r>
            <w:r w:rsidRPr="00FA0D37">
              <w:rPr>
                <w:szCs w:val="22"/>
                <w:lang w:eastAsia="sv-SE"/>
              </w:rPr>
              <w:t>field descriptions</w:t>
            </w:r>
          </w:p>
        </w:tc>
      </w:tr>
      <w:tr w:rsidR="005C7FF4" w:rsidRPr="00FA0D37" w14:paraId="7919F4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7B402" w14:textId="77777777" w:rsidR="00394471" w:rsidRPr="00FA0D37" w:rsidRDefault="00394471" w:rsidP="00964CC4">
            <w:pPr>
              <w:pStyle w:val="TAL"/>
              <w:rPr>
                <w:szCs w:val="22"/>
                <w:lang w:eastAsia="sv-SE"/>
              </w:rPr>
            </w:pPr>
            <w:r w:rsidRPr="00FA0D37">
              <w:rPr>
                <w:b/>
                <w:i/>
                <w:szCs w:val="22"/>
                <w:lang w:eastAsia="sv-SE"/>
              </w:rPr>
              <w:t>ng-5G-S-TMSI-Part1</w:t>
            </w:r>
          </w:p>
          <w:p w14:paraId="56B1ABD5" w14:textId="77777777" w:rsidR="00394471" w:rsidRPr="00FA0D37" w:rsidRDefault="00394471" w:rsidP="00964CC4">
            <w:pPr>
              <w:pStyle w:val="TAL"/>
              <w:rPr>
                <w:szCs w:val="22"/>
                <w:lang w:eastAsia="sv-SE"/>
              </w:rPr>
            </w:pPr>
            <w:r w:rsidRPr="00FA0D37">
              <w:rPr>
                <w:szCs w:val="22"/>
                <w:lang w:eastAsia="sv-SE"/>
              </w:rPr>
              <w:t>The rightmost 39 bits of 5G-S-TMSI.</w:t>
            </w:r>
          </w:p>
        </w:tc>
      </w:tr>
      <w:tr w:rsidR="00394471" w:rsidRPr="00FA0D37" w14:paraId="079F2D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D60D2C" w14:textId="77777777" w:rsidR="00394471" w:rsidRPr="00FA0D37" w:rsidRDefault="00394471" w:rsidP="00964CC4">
            <w:pPr>
              <w:pStyle w:val="TAL"/>
              <w:rPr>
                <w:szCs w:val="22"/>
                <w:lang w:eastAsia="sv-SE"/>
              </w:rPr>
            </w:pPr>
            <w:r w:rsidRPr="00FA0D37">
              <w:rPr>
                <w:b/>
                <w:i/>
                <w:szCs w:val="22"/>
                <w:lang w:eastAsia="sv-SE"/>
              </w:rPr>
              <w:t>randomValue</w:t>
            </w:r>
          </w:p>
          <w:p w14:paraId="75C45288" w14:textId="77777777" w:rsidR="00394471" w:rsidRPr="00FA0D37" w:rsidRDefault="00394471" w:rsidP="00964CC4">
            <w:pPr>
              <w:pStyle w:val="TAL"/>
              <w:rPr>
                <w:szCs w:val="22"/>
                <w:lang w:eastAsia="sv-SE"/>
              </w:rPr>
            </w:pPr>
            <w:r w:rsidRPr="00FA0D37">
              <w:rPr>
                <w:szCs w:val="22"/>
                <w:lang w:eastAsia="sv-SE"/>
              </w:rPr>
              <w:t>Integer value in the range 0 to 2</w:t>
            </w:r>
            <w:r w:rsidRPr="00FA0D37">
              <w:rPr>
                <w:szCs w:val="22"/>
                <w:vertAlign w:val="superscript"/>
                <w:lang w:eastAsia="sv-SE"/>
              </w:rPr>
              <w:t>39</w:t>
            </w:r>
            <w:r w:rsidRPr="00FA0D37">
              <w:rPr>
                <w:szCs w:val="22"/>
                <w:lang w:eastAsia="sv-SE"/>
              </w:rPr>
              <w:t xml:space="preserve"> – 1.</w:t>
            </w:r>
          </w:p>
        </w:tc>
      </w:tr>
    </w:tbl>
    <w:p w14:paraId="00AF0D8B" w14:textId="77777777" w:rsidR="00394471" w:rsidRPr="00FA0D37" w:rsidRDefault="00394471" w:rsidP="00394471"/>
    <w:p w14:paraId="56A73EF3" w14:textId="77777777" w:rsidR="00394471" w:rsidRPr="00FA0D37" w:rsidRDefault="00394471" w:rsidP="00394471">
      <w:pPr>
        <w:pStyle w:val="4"/>
      </w:pPr>
      <w:bookmarkStart w:id="694" w:name="_Toc60777119"/>
      <w:bookmarkStart w:id="695" w:name="_Toc146781156"/>
      <w:r w:rsidRPr="00FA0D37">
        <w:t>–</w:t>
      </w:r>
      <w:r w:rsidRPr="00FA0D37">
        <w:tab/>
      </w:r>
      <w:r w:rsidRPr="00FA0D37">
        <w:rPr>
          <w:bCs/>
          <w:i/>
          <w:iCs/>
          <w:noProof/>
        </w:rPr>
        <w:t>RRCSystemInfoRequest</w:t>
      </w:r>
      <w:bookmarkEnd w:id="694"/>
      <w:bookmarkEnd w:id="695"/>
    </w:p>
    <w:p w14:paraId="6926C59F" w14:textId="3BC5B626" w:rsidR="00394471" w:rsidRPr="00FA0D37" w:rsidRDefault="00394471" w:rsidP="00394471">
      <w:pPr>
        <w:rPr>
          <w:lang w:eastAsia="en-US"/>
        </w:rPr>
      </w:pPr>
      <w:r w:rsidRPr="00FA0D37">
        <w:t xml:space="preserve">The </w:t>
      </w:r>
      <w:r w:rsidRPr="00FA0D37">
        <w:rPr>
          <w:bCs/>
          <w:i/>
          <w:iCs/>
          <w:noProof/>
        </w:rPr>
        <w:t>RRCSystemInfoRequest</w:t>
      </w:r>
      <w:r w:rsidRPr="00FA0D37">
        <w:t xml:space="preserve"> message is used to request </w:t>
      </w:r>
      <w:r w:rsidRPr="00FA0D37">
        <w:rPr>
          <w:lang w:eastAsia="zh-CN"/>
        </w:rPr>
        <w:t>SI message(s) required by the UE as specified in clause 5.2.2.3.3</w:t>
      </w:r>
      <w:r w:rsidR="00B822E7" w:rsidRPr="00FA0D37">
        <w:rPr>
          <w:lang w:eastAsia="zh-CN"/>
        </w:rPr>
        <w:t xml:space="preserve"> and 5.2.2.3.3a</w:t>
      </w:r>
      <w:r w:rsidRPr="00FA0D37">
        <w:rPr>
          <w:lang w:eastAsia="zh-CN"/>
        </w:rPr>
        <w:t>.</w:t>
      </w:r>
    </w:p>
    <w:p w14:paraId="0F7845CC" w14:textId="77777777" w:rsidR="00394471" w:rsidRPr="00FA0D37" w:rsidRDefault="00394471" w:rsidP="00394471">
      <w:pPr>
        <w:pStyle w:val="B1"/>
      </w:pPr>
      <w:r w:rsidRPr="00FA0D37">
        <w:t>Signalling radio bearer: SRB0</w:t>
      </w:r>
    </w:p>
    <w:p w14:paraId="141A5F34" w14:textId="77777777" w:rsidR="00394471" w:rsidRPr="00FA0D37" w:rsidRDefault="00394471" w:rsidP="00394471">
      <w:pPr>
        <w:pStyle w:val="B1"/>
      </w:pPr>
      <w:r w:rsidRPr="00FA0D37">
        <w:t>RLC-SAP: TM</w:t>
      </w:r>
    </w:p>
    <w:p w14:paraId="52C31B4A" w14:textId="77777777" w:rsidR="00394471" w:rsidRPr="00FA0D37" w:rsidRDefault="00394471" w:rsidP="00394471">
      <w:pPr>
        <w:pStyle w:val="B1"/>
      </w:pPr>
      <w:r w:rsidRPr="00FA0D37">
        <w:t>Logical channel: CCCH</w:t>
      </w:r>
    </w:p>
    <w:p w14:paraId="21FAD813" w14:textId="77777777" w:rsidR="00394471" w:rsidRPr="00FA0D37" w:rsidRDefault="00394471" w:rsidP="00394471">
      <w:pPr>
        <w:pStyle w:val="B1"/>
        <w:rPr>
          <w:rFonts w:eastAsia="宋体"/>
          <w:lang w:eastAsia="zh-CN"/>
        </w:rPr>
      </w:pPr>
      <w:r w:rsidRPr="00FA0D37">
        <w:t xml:space="preserve">Direction: UE to </w:t>
      </w:r>
      <w:r w:rsidRPr="00FA0D37">
        <w:rPr>
          <w:rFonts w:eastAsia="宋体"/>
          <w:lang w:eastAsia="zh-CN"/>
        </w:rPr>
        <w:t>Network</w:t>
      </w:r>
    </w:p>
    <w:p w14:paraId="2F4023D9" w14:textId="77777777" w:rsidR="00394471" w:rsidRPr="00FA0D37" w:rsidRDefault="00394471" w:rsidP="00394471">
      <w:pPr>
        <w:pStyle w:val="TH"/>
        <w:rPr>
          <w:bCs/>
          <w:i/>
          <w:iCs/>
          <w:noProof/>
          <w:lang w:eastAsia="en-US"/>
        </w:rPr>
      </w:pPr>
      <w:r w:rsidRPr="00FA0D37">
        <w:rPr>
          <w:bCs/>
          <w:i/>
          <w:iCs/>
          <w:noProof/>
        </w:rPr>
        <w:lastRenderedPageBreak/>
        <w:t>RRCSystemInfoRequest</w:t>
      </w:r>
      <w:r w:rsidRPr="00FA0D37">
        <w:rPr>
          <w:bCs/>
          <w:noProof/>
        </w:rPr>
        <w:t xml:space="preserve"> message</w:t>
      </w:r>
    </w:p>
    <w:p w14:paraId="4AAC1898" w14:textId="77777777" w:rsidR="00394471" w:rsidRPr="00FA0D37" w:rsidRDefault="00394471" w:rsidP="00FA0D37">
      <w:pPr>
        <w:pStyle w:val="PL"/>
        <w:rPr>
          <w:color w:val="808080"/>
        </w:rPr>
      </w:pPr>
      <w:r w:rsidRPr="00FA0D37">
        <w:rPr>
          <w:color w:val="808080"/>
        </w:rPr>
        <w:t>-- ASN1START</w:t>
      </w:r>
    </w:p>
    <w:p w14:paraId="4738541D" w14:textId="77777777" w:rsidR="00394471" w:rsidRPr="00FA0D37" w:rsidRDefault="00394471" w:rsidP="00FA0D37">
      <w:pPr>
        <w:pStyle w:val="PL"/>
        <w:rPr>
          <w:color w:val="808080"/>
        </w:rPr>
      </w:pPr>
      <w:r w:rsidRPr="00FA0D37">
        <w:rPr>
          <w:color w:val="808080"/>
        </w:rPr>
        <w:t>-- TAG-RRCSYSTEMINFOREQUEST-START</w:t>
      </w:r>
    </w:p>
    <w:p w14:paraId="56FFAEA8" w14:textId="77777777" w:rsidR="00394471" w:rsidRPr="00FA0D37" w:rsidRDefault="00394471" w:rsidP="00FA0D37">
      <w:pPr>
        <w:pStyle w:val="PL"/>
      </w:pPr>
    </w:p>
    <w:p w14:paraId="29DC3FDE" w14:textId="77777777" w:rsidR="00394471" w:rsidRPr="00FA0D37" w:rsidRDefault="00394471" w:rsidP="00FA0D37">
      <w:pPr>
        <w:pStyle w:val="PL"/>
      </w:pPr>
      <w:r w:rsidRPr="00FA0D37">
        <w:t xml:space="preserve">RRCSystemInfoRequest ::=            </w:t>
      </w:r>
      <w:r w:rsidRPr="00FA0D37">
        <w:rPr>
          <w:color w:val="993366"/>
        </w:rPr>
        <w:t>SEQUENCE</w:t>
      </w:r>
      <w:r w:rsidRPr="00FA0D37">
        <w:t xml:space="preserve"> {</w:t>
      </w:r>
    </w:p>
    <w:p w14:paraId="018B0384"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4D128697" w14:textId="77777777" w:rsidR="00394471" w:rsidRPr="00FA0D37" w:rsidRDefault="00394471" w:rsidP="00FA0D37">
      <w:pPr>
        <w:pStyle w:val="PL"/>
      </w:pPr>
      <w:r w:rsidRPr="00FA0D37">
        <w:t xml:space="preserve">        rrcSystemInfoRequest                RRCSystemInfoRequest-IEs,</w:t>
      </w:r>
    </w:p>
    <w:p w14:paraId="5AC22C11" w14:textId="77777777" w:rsidR="00394471" w:rsidRPr="00FA0D37" w:rsidRDefault="00394471" w:rsidP="00FA0D37">
      <w:pPr>
        <w:pStyle w:val="PL"/>
      </w:pPr>
      <w:r w:rsidRPr="00FA0D37">
        <w:t xml:space="preserve">        criticalExtensionsFuture-r16        </w:t>
      </w:r>
      <w:r w:rsidRPr="00FA0D37">
        <w:rPr>
          <w:color w:val="993366"/>
        </w:rPr>
        <w:t>CHOICE</w:t>
      </w:r>
      <w:r w:rsidRPr="00FA0D37">
        <w:t xml:space="preserve"> {</w:t>
      </w:r>
    </w:p>
    <w:p w14:paraId="66216BFA" w14:textId="77777777" w:rsidR="00394471" w:rsidRPr="00FA0D37" w:rsidRDefault="00394471" w:rsidP="00FA0D37">
      <w:pPr>
        <w:pStyle w:val="PL"/>
      </w:pPr>
      <w:r w:rsidRPr="00FA0D37">
        <w:t xml:space="preserve">            rrcPosSystemInfoRequest-r16         RRC-PosSystemInfoRequest-r16-IEs,</w:t>
      </w:r>
    </w:p>
    <w:p w14:paraId="2B3853ED"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2AF87979" w14:textId="77777777" w:rsidR="00394471" w:rsidRPr="00FA0D37" w:rsidRDefault="00394471" w:rsidP="00FA0D37">
      <w:pPr>
        <w:pStyle w:val="PL"/>
      </w:pPr>
      <w:r w:rsidRPr="00FA0D37">
        <w:t xml:space="preserve">        }</w:t>
      </w:r>
    </w:p>
    <w:p w14:paraId="1958F0A6" w14:textId="77777777" w:rsidR="00394471" w:rsidRPr="00FA0D37" w:rsidRDefault="00394471" w:rsidP="00FA0D37">
      <w:pPr>
        <w:pStyle w:val="PL"/>
      </w:pPr>
      <w:r w:rsidRPr="00FA0D37">
        <w:t xml:space="preserve">    }</w:t>
      </w:r>
    </w:p>
    <w:p w14:paraId="0414D40B" w14:textId="77777777" w:rsidR="00394471" w:rsidRPr="00FA0D37" w:rsidRDefault="00394471" w:rsidP="00FA0D37">
      <w:pPr>
        <w:pStyle w:val="PL"/>
      </w:pPr>
      <w:r w:rsidRPr="00FA0D37">
        <w:t>}</w:t>
      </w:r>
    </w:p>
    <w:p w14:paraId="2E176544" w14:textId="77777777" w:rsidR="00394471" w:rsidRPr="00FA0D37" w:rsidRDefault="00394471" w:rsidP="00FA0D37">
      <w:pPr>
        <w:pStyle w:val="PL"/>
      </w:pPr>
    </w:p>
    <w:p w14:paraId="5294AF2E" w14:textId="77777777" w:rsidR="00394471" w:rsidRPr="00FA0D37" w:rsidRDefault="00394471" w:rsidP="00FA0D37">
      <w:pPr>
        <w:pStyle w:val="PL"/>
      </w:pPr>
      <w:r w:rsidRPr="00FA0D37">
        <w:t xml:space="preserve">RRCSystemInfoRequest-IEs ::=    </w:t>
      </w:r>
      <w:r w:rsidRPr="00FA0D37">
        <w:rPr>
          <w:color w:val="993366"/>
        </w:rPr>
        <w:t>SEQUENCE</w:t>
      </w:r>
      <w:r w:rsidRPr="00FA0D37">
        <w:t xml:space="preserve"> {</w:t>
      </w:r>
    </w:p>
    <w:p w14:paraId="2D114A82" w14:textId="77777777" w:rsidR="00394471" w:rsidRPr="00FA0D37" w:rsidRDefault="00394471" w:rsidP="00FA0D37">
      <w:pPr>
        <w:pStyle w:val="PL"/>
        <w:rPr>
          <w:color w:val="808080"/>
        </w:rPr>
      </w:pPr>
      <w:r w:rsidRPr="00FA0D37">
        <w:t xml:space="preserve">    requested-SI-List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(maxSI-Message)),  </w:t>
      </w:r>
      <w:r w:rsidRPr="00FA0D37">
        <w:rPr>
          <w:color w:val="808080"/>
        </w:rPr>
        <w:t>--32bits</w:t>
      </w:r>
    </w:p>
    <w:p w14:paraId="0B642C0E" w14:textId="77777777" w:rsidR="00394471" w:rsidRPr="00FA0D37" w:rsidRDefault="00394471" w:rsidP="00FA0D37">
      <w:pPr>
        <w:pStyle w:val="PL"/>
      </w:pPr>
      <w:r w:rsidRPr="00FA0D37">
        <w:t xml:space="preserve">    spare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w:t>
      </w:r>
    </w:p>
    <w:p w14:paraId="1CFACBDC" w14:textId="77777777" w:rsidR="00394471" w:rsidRPr="00FA0D37" w:rsidRDefault="00394471" w:rsidP="00FA0D37">
      <w:pPr>
        <w:pStyle w:val="PL"/>
      </w:pPr>
      <w:r w:rsidRPr="00FA0D37">
        <w:t>}</w:t>
      </w:r>
    </w:p>
    <w:p w14:paraId="5C6B884B" w14:textId="77777777" w:rsidR="00394471" w:rsidRPr="00FA0D37" w:rsidRDefault="00394471" w:rsidP="00FA0D37">
      <w:pPr>
        <w:pStyle w:val="PL"/>
      </w:pPr>
    </w:p>
    <w:p w14:paraId="24588921" w14:textId="77777777" w:rsidR="00394471" w:rsidRPr="00FA0D37" w:rsidRDefault="00394471" w:rsidP="00FA0D37">
      <w:pPr>
        <w:pStyle w:val="PL"/>
      </w:pPr>
      <w:r w:rsidRPr="00FA0D37">
        <w:t xml:space="preserve">RRC-PosSystemInfoRequest-r16-IEs ::=  </w:t>
      </w:r>
      <w:r w:rsidRPr="00FA0D37">
        <w:rPr>
          <w:color w:val="993366"/>
        </w:rPr>
        <w:t>SEQUENCE</w:t>
      </w:r>
      <w:r w:rsidRPr="00FA0D37">
        <w:t xml:space="preserve"> {</w:t>
      </w:r>
    </w:p>
    <w:p w14:paraId="73916F55" w14:textId="77777777" w:rsidR="00394471" w:rsidRPr="00FA0D37" w:rsidRDefault="00394471" w:rsidP="00FA0D37">
      <w:pPr>
        <w:pStyle w:val="PL"/>
        <w:rPr>
          <w:color w:val="808080"/>
        </w:rPr>
      </w:pPr>
      <w:r w:rsidRPr="00FA0D37">
        <w:t xml:space="preserve">    requestedPosSI-List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(maxSI-Message)),  </w:t>
      </w:r>
      <w:r w:rsidRPr="00FA0D37">
        <w:rPr>
          <w:color w:val="808080"/>
        </w:rPr>
        <w:t>--32bits</w:t>
      </w:r>
    </w:p>
    <w:p w14:paraId="2D69007F" w14:textId="77777777" w:rsidR="00394471" w:rsidRPr="00FA0D37" w:rsidRDefault="00394471" w:rsidP="00FA0D37">
      <w:pPr>
        <w:pStyle w:val="PL"/>
      </w:pPr>
      <w:r w:rsidRPr="00FA0D37">
        <w:t xml:space="preserve">    spare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(11))</w:t>
      </w:r>
    </w:p>
    <w:p w14:paraId="3044E247" w14:textId="77777777" w:rsidR="00394471" w:rsidRPr="00FA0D37" w:rsidRDefault="00394471" w:rsidP="00FA0D37">
      <w:pPr>
        <w:pStyle w:val="PL"/>
      </w:pPr>
      <w:r w:rsidRPr="00FA0D37">
        <w:t>}</w:t>
      </w:r>
    </w:p>
    <w:p w14:paraId="5DA984F9" w14:textId="77777777" w:rsidR="00394471" w:rsidRPr="00FA0D37" w:rsidRDefault="00394471" w:rsidP="00FA0D37">
      <w:pPr>
        <w:pStyle w:val="PL"/>
      </w:pPr>
    </w:p>
    <w:p w14:paraId="4B5F33BA" w14:textId="77777777" w:rsidR="00394471" w:rsidRPr="00FA0D37" w:rsidRDefault="00394471" w:rsidP="00FA0D37">
      <w:pPr>
        <w:pStyle w:val="PL"/>
        <w:rPr>
          <w:color w:val="808080"/>
        </w:rPr>
      </w:pPr>
      <w:r w:rsidRPr="00FA0D37">
        <w:rPr>
          <w:color w:val="808080"/>
        </w:rPr>
        <w:t>-- TAG-RRCSYSTEMINFOREQUEST-STOP</w:t>
      </w:r>
    </w:p>
    <w:p w14:paraId="1E50364C" w14:textId="77777777" w:rsidR="00394471" w:rsidRPr="00FA0D37" w:rsidRDefault="00394471" w:rsidP="00FA0D37">
      <w:pPr>
        <w:pStyle w:val="PL"/>
        <w:rPr>
          <w:color w:val="808080"/>
        </w:rPr>
      </w:pPr>
      <w:r w:rsidRPr="00FA0D37">
        <w:rPr>
          <w:color w:val="808080"/>
        </w:rPr>
        <w:t>-- ASN1STOP</w:t>
      </w:r>
    </w:p>
    <w:p w14:paraId="063FBF47" w14:textId="77777777" w:rsidR="00394471" w:rsidRPr="00FA0D37"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55D3A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9CD13" w14:textId="77777777" w:rsidR="00394471" w:rsidRPr="00FA0D37" w:rsidRDefault="00394471" w:rsidP="00964CC4">
            <w:pPr>
              <w:pStyle w:val="TAH"/>
              <w:rPr>
                <w:rFonts w:eastAsia="Arial Unicode MS"/>
                <w:szCs w:val="22"/>
                <w:lang w:eastAsia="zh-CN"/>
              </w:rPr>
            </w:pPr>
            <w:r w:rsidRPr="00FA0D37">
              <w:rPr>
                <w:rFonts w:eastAsia="Arial Unicode MS"/>
                <w:i/>
                <w:szCs w:val="22"/>
                <w:lang w:eastAsia="zh-CN"/>
              </w:rPr>
              <w:lastRenderedPageBreak/>
              <w:t xml:space="preserve">RRCSystemInfoRequest-IEs </w:t>
            </w:r>
            <w:r w:rsidRPr="00FA0D37">
              <w:rPr>
                <w:rFonts w:eastAsia="Arial Unicode MS"/>
                <w:szCs w:val="22"/>
                <w:lang w:eastAsia="zh-CN"/>
              </w:rPr>
              <w:t>field descriptions</w:t>
            </w:r>
          </w:p>
        </w:tc>
      </w:tr>
      <w:tr w:rsidR="005C7FF4" w:rsidRPr="00FA0D37" w14:paraId="109A4D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91909B" w14:textId="77777777" w:rsidR="00394471" w:rsidRPr="00FA0D37" w:rsidRDefault="00394471" w:rsidP="00964CC4">
            <w:pPr>
              <w:pStyle w:val="TAL"/>
              <w:rPr>
                <w:rFonts w:eastAsia="Arial Unicode MS"/>
                <w:szCs w:val="22"/>
                <w:lang w:eastAsia="zh-CN"/>
              </w:rPr>
            </w:pPr>
            <w:r w:rsidRPr="00FA0D37">
              <w:rPr>
                <w:rFonts w:eastAsia="Arial Unicode MS"/>
                <w:b/>
                <w:i/>
                <w:szCs w:val="22"/>
                <w:lang w:eastAsia="zh-CN"/>
              </w:rPr>
              <w:t>requested-SI-List</w:t>
            </w:r>
          </w:p>
          <w:p w14:paraId="7EB49352" w14:textId="5F53706A" w:rsidR="00213644" w:rsidRPr="00FA0D37" w:rsidRDefault="00394471" w:rsidP="00A12BD9">
            <w:pPr>
              <w:pStyle w:val="TAL"/>
              <w:rPr>
                <w:rFonts w:eastAsia="Arial Unicode MS"/>
                <w:lang w:eastAsia="zh-CN"/>
              </w:rPr>
            </w:pPr>
            <w:r w:rsidRPr="00FA0D37">
              <w:rPr>
                <w:rFonts w:eastAsia="Arial Unicode MS"/>
                <w:lang w:eastAsia="zh-CN"/>
              </w:rPr>
              <w:t>Contains a list of requested SI messages</w:t>
            </w:r>
            <w:r w:rsidR="00213644" w:rsidRPr="00FA0D37">
              <w:t xml:space="preserve"> </w:t>
            </w:r>
            <w:r w:rsidR="00213644" w:rsidRPr="00FA0D37">
              <w:rPr>
                <w:rFonts w:eastAsia="Arial Unicode MS"/>
                <w:lang w:eastAsia="zh-CN"/>
              </w:rPr>
              <w:t xml:space="preserve">which are configured by </w:t>
            </w:r>
            <w:r w:rsidR="00213644" w:rsidRPr="00FA0D37">
              <w:rPr>
                <w:rFonts w:eastAsia="Arial Unicode MS"/>
                <w:i/>
                <w:lang w:eastAsia="zh-CN"/>
              </w:rPr>
              <w:t>schedulingInfoList</w:t>
            </w:r>
            <w:r w:rsidR="00213644" w:rsidRPr="00FA0D37">
              <w:rPr>
                <w:rFonts w:eastAsia="Arial Unicode MS"/>
                <w:lang w:eastAsia="zh-CN"/>
              </w:rPr>
              <w:t xml:space="preserve"> in </w:t>
            </w:r>
            <w:r w:rsidR="00213644" w:rsidRPr="00FA0D37">
              <w:rPr>
                <w:rFonts w:eastAsia="Arial Unicode MS"/>
                <w:i/>
                <w:lang w:eastAsia="zh-CN"/>
              </w:rPr>
              <w:t>si-SchedulingInfo</w:t>
            </w:r>
            <w:r w:rsidR="00213644" w:rsidRPr="00FA0D37">
              <w:rPr>
                <w:rFonts w:eastAsia="Arial Unicode MS"/>
                <w:lang w:eastAsia="zh-CN"/>
              </w:rPr>
              <w:t xml:space="preserve"> and </w:t>
            </w:r>
            <w:r w:rsidR="00213644" w:rsidRPr="00FA0D37">
              <w:rPr>
                <w:rFonts w:eastAsia="Arial Unicode MS"/>
                <w:i/>
                <w:lang w:eastAsia="zh-CN"/>
              </w:rPr>
              <w:t>schedulingInfoList2</w:t>
            </w:r>
            <w:r w:rsidR="00213644" w:rsidRPr="00FA0D37">
              <w:rPr>
                <w:rFonts w:eastAsia="Arial Unicode MS"/>
                <w:lang w:eastAsia="zh-CN"/>
              </w:rPr>
              <w:t xml:space="preserve"> in </w:t>
            </w:r>
            <w:r w:rsidR="00213644" w:rsidRPr="00FA0D37">
              <w:rPr>
                <w:rFonts w:eastAsia="Arial Unicode MS"/>
                <w:i/>
                <w:lang w:eastAsia="zh-CN"/>
              </w:rPr>
              <w:t>si-SchedulingInfo-v1700</w:t>
            </w:r>
            <w:r w:rsidR="00213644" w:rsidRPr="00FA0D37">
              <w:rPr>
                <w:rFonts w:eastAsia="Arial Unicode MS"/>
                <w:lang w:eastAsia="zh-CN"/>
              </w:rPr>
              <w:t xml:space="preserve"> (if present) in SIB1</w:t>
            </w:r>
            <w:r w:rsidRPr="00FA0D37">
              <w:rPr>
                <w:rFonts w:eastAsia="Arial Unicode MS"/>
                <w:lang w:eastAsia="zh-CN"/>
              </w:rPr>
              <w:t>.</w:t>
            </w:r>
          </w:p>
          <w:p w14:paraId="6E12E271" w14:textId="029CB2A9" w:rsidR="00213644" w:rsidRPr="00FA0D37" w:rsidRDefault="00213644" w:rsidP="00A12BD9">
            <w:pPr>
              <w:keepNext/>
              <w:adjustRightInd/>
              <w:spacing w:after="0"/>
              <w:textAlignment w:val="auto"/>
              <w:rPr>
                <w:rFonts w:eastAsia="等线" w:cs="Arial"/>
                <w:szCs w:val="18"/>
                <w:lang w:eastAsia="zh-CN"/>
              </w:rPr>
            </w:pPr>
            <w:r w:rsidRPr="00FA0D37">
              <w:rPr>
                <w:rFonts w:ascii="Arial" w:eastAsia="等线" w:hAnsi="Arial" w:cs="Arial"/>
                <w:sz w:val="18"/>
                <w:szCs w:val="18"/>
                <w:lang w:eastAsia="zh-CN"/>
              </w:rPr>
              <w:t xml:space="preserve">If </w:t>
            </w:r>
            <w:r w:rsidRPr="00FA0D37">
              <w:rPr>
                <w:rFonts w:ascii="Arial" w:eastAsia="等线" w:hAnsi="Arial" w:cs="Arial"/>
                <w:i/>
                <w:iCs/>
                <w:sz w:val="18"/>
                <w:szCs w:val="18"/>
                <w:lang w:eastAsia="zh-CN"/>
              </w:rPr>
              <w:t>si-SchedulingInfo-v1700</w:t>
            </w:r>
            <w:r w:rsidRPr="00FA0D37">
              <w:rPr>
                <w:rFonts w:ascii="Arial" w:eastAsia="等线" w:hAnsi="Arial" w:cs="Arial"/>
                <w:sz w:val="18"/>
                <w:szCs w:val="18"/>
                <w:lang w:eastAsia="zh-CN"/>
              </w:rPr>
              <w:t xml:space="preserve"> is not present:</w:t>
            </w:r>
          </w:p>
          <w:p w14:paraId="20A5E2CD" w14:textId="77777777" w:rsidR="00213644" w:rsidRPr="00FA0D37" w:rsidRDefault="00213644" w:rsidP="00A12BD9">
            <w:pPr>
              <w:pStyle w:val="TAL"/>
              <w:ind w:left="313" w:hanging="313"/>
              <w:rPr>
                <w:rFonts w:eastAsia="Arial Unicode MS"/>
                <w:szCs w:val="22"/>
                <w:lang w:eastAsia="zh-CN"/>
              </w:rPr>
            </w:pPr>
            <w:r w:rsidRPr="00FA0D37">
              <w:rPr>
                <w:rFonts w:eastAsia="Arial Unicode MS"/>
                <w:szCs w:val="22"/>
                <w:lang w:eastAsia="zh-CN"/>
              </w:rPr>
              <w:t>-</w:t>
            </w:r>
            <w:r w:rsidRPr="00FA0D37">
              <w:rPr>
                <w:i/>
                <w:iCs/>
              </w:rPr>
              <w:tab/>
            </w:r>
            <w:r w:rsidR="00394471" w:rsidRPr="00FA0D37">
              <w:rPr>
                <w:rFonts w:eastAsia="Arial Unicode MS"/>
                <w:szCs w:val="22"/>
                <w:lang w:eastAsia="zh-CN"/>
              </w:rPr>
              <w:t xml:space="preserve">According to the order of entry in the list of SI messages configured by </w:t>
            </w:r>
            <w:r w:rsidR="00394471" w:rsidRPr="00FA0D37">
              <w:rPr>
                <w:rFonts w:eastAsia="Arial Unicode MS"/>
                <w:i/>
                <w:szCs w:val="22"/>
                <w:lang w:eastAsia="zh-CN"/>
              </w:rPr>
              <w:t>schedulingInfoList</w:t>
            </w:r>
            <w:r w:rsidR="00394471" w:rsidRPr="00FA0D37">
              <w:rPr>
                <w:rFonts w:eastAsia="Arial Unicode MS"/>
                <w:szCs w:val="22"/>
                <w:lang w:eastAsia="zh-CN"/>
              </w:rPr>
              <w:t xml:space="preserve"> in </w:t>
            </w:r>
            <w:r w:rsidR="00394471" w:rsidRPr="00FA0D37">
              <w:rPr>
                <w:rFonts w:eastAsia="Arial Unicode MS"/>
                <w:i/>
                <w:iCs/>
                <w:szCs w:val="22"/>
                <w:lang w:eastAsia="zh-CN"/>
              </w:rPr>
              <w:t>si-</w:t>
            </w:r>
            <w:r w:rsidR="00394471" w:rsidRPr="00FA0D37">
              <w:rPr>
                <w:rFonts w:eastAsia="Arial Unicode MS"/>
                <w:i/>
                <w:szCs w:val="22"/>
                <w:lang w:eastAsia="zh-CN"/>
              </w:rPr>
              <w:t>SchedulingInfo</w:t>
            </w:r>
            <w:r w:rsidR="00394471" w:rsidRPr="00FA0D37">
              <w:rPr>
                <w:rFonts w:eastAsia="Arial Unicode MS"/>
                <w:szCs w:val="22"/>
                <w:lang w:eastAsia="zh-CN"/>
              </w:rPr>
              <w:t xml:space="preserve"> in </w:t>
            </w:r>
            <w:r w:rsidR="00394471" w:rsidRPr="00FA0D37">
              <w:rPr>
                <w:rFonts w:eastAsia="Arial Unicode MS"/>
                <w:i/>
                <w:szCs w:val="22"/>
                <w:lang w:eastAsia="zh-CN"/>
              </w:rPr>
              <w:t>SIB1</w:t>
            </w:r>
            <w:r w:rsidR="00394471" w:rsidRPr="00FA0D37">
              <w:rPr>
                <w:rFonts w:eastAsia="Arial Unicode MS"/>
                <w:szCs w:val="22"/>
                <w:lang w:eastAsia="zh-CN"/>
              </w:rPr>
              <w:t>, first bit corresponds to first/leftmost listed SI message, second bit corresponds to second listed SI message, and so on.</w:t>
            </w:r>
          </w:p>
          <w:p w14:paraId="16FA850D" w14:textId="77777777" w:rsidR="00213644" w:rsidRPr="00FA0D37" w:rsidRDefault="00213644" w:rsidP="00213644">
            <w:pPr>
              <w:pStyle w:val="TAL"/>
              <w:rPr>
                <w:rFonts w:eastAsia="Arial Unicode MS"/>
                <w:szCs w:val="22"/>
                <w:lang w:eastAsia="zh-CN"/>
              </w:rPr>
            </w:pPr>
            <w:r w:rsidRPr="00FA0D37">
              <w:rPr>
                <w:rFonts w:eastAsia="Arial Unicode MS"/>
                <w:szCs w:val="22"/>
                <w:lang w:eastAsia="zh-CN"/>
              </w:rPr>
              <w:t xml:space="preserve">If </w:t>
            </w:r>
            <w:r w:rsidRPr="00FA0D37">
              <w:rPr>
                <w:rFonts w:eastAsia="Arial Unicode MS"/>
                <w:i/>
                <w:iCs/>
                <w:szCs w:val="22"/>
                <w:lang w:eastAsia="zh-CN"/>
              </w:rPr>
              <w:t>si-SchedulingInfo-v1700</w:t>
            </w:r>
            <w:r w:rsidRPr="00FA0D37">
              <w:rPr>
                <w:rFonts w:eastAsia="Arial Unicode MS"/>
                <w:szCs w:val="22"/>
                <w:lang w:eastAsia="zh-CN"/>
              </w:rPr>
              <w:t xml:space="preserve"> is present:</w:t>
            </w:r>
          </w:p>
          <w:p w14:paraId="23CF0E81" w14:textId="77777777" w:rsidR="00213644" w:rsidRPr="00FA0D37" w:rsidRDefault="00213644" w:rsidP="00A12BD9">
            <w:pPr>
              <w:pStyle w:val="TAL"/>
              <w:ind w:left="313" w:hanging="313"/>
              <w:rPr>
                <w:rFonts w:eastAsia="Arial Unicode MS"/>
                <w:szCs w:val="22"/>
                <w:lang w:eastAsia="zh-CN"/>
              </w:rPr>
            </w:pPr>
            <w:r w:rsidRPr="00FA0D37">
              <w:rPr>
                <w:rFonts w:eastAsia="Arial Unicode MS"/>
                <w:szCs w:val="22"/>
                <w:lang w:eastAsia="zh-CN"/>
              </w:rPr>
              <w:t>-</w:t>
            </w:r>
            <w:r w:rsidRPr="00FA0D37">
              <w:rPr>
                <w:rFonts w:eastAsia="Arial Unicode MS"/>
                <w:szCs w:val="22"/>
                <w:lang w:eastAsia="zh-CN"/>
              </w:rPr>
              <w:tab/>
              <w:t xml:space="preserve">The UE generates a list of concatenated SI messages by appending the SI messages containing type1 SIB configured by </w:t>
            </w:r>
            <w:r w:rsidRPr="00FA0D37">
              <w:rPr>
                <w:rFonts w:eastAsia="Arial Unicode MS"/>
                <w:i/>
                <w:iCs/>
                <w:szCs w:val="22"/>
                <w:lang w:eastAsia="zh-CN"/>
              </w:rPr>
              <w:t>schedulingInfoList2</w:t>
            </w:r>
            <w:r w:rsidRPr="00FA0D37">
              <w:rPr>
                <w:rFonts w:eastAsia="Arial Unicode MS"/>
                <w:szCs w:val="22"/>
                <w:lang w:eastAsia="zh-CN"/>
              </w:rPr>
              <w:t xml:space="preserve"> in </w:t>
            </w:r>
            <w:r w:rsidRPr="00FA0D37">
              <w:rPr>
                <w:rFonts w:eastAsia="Arial Unicode MS"/>
                <w:i/>
                <w:iCs/>
                <w:szCs w:val="22"/>
                <w:lang w:eastAsia="zh-CN"/>
              </w:rPr>
              <w:t>si-SchedulingInfo-v1700</w:t>
            </w:r>
            <w:r w:rsidRPr="00FA0D37">
              <w:rPr>
                <w:rFonts w:eastAsia="Arial Unicode MS"/>
                <w:szCs w:val="22"/>
                <w:lang w:eastAsia="zh-CN"/>
              </w:rPr>
              <w:t xml:space="preserve"> to the SI messages configured by </w:t>
            </w:r>
            <w:r w:rsidRPr="00FA0D37">
              <w:rPr>
                <w:rFonts w:eastAsia="Arial Unicode MS"/>
                <w:i/>
                <w:iCs/>
                <w:szCs w:val="22"/>
                <w:lang w:eastAsia="zh-CN"/>
              </w:rPr>
              <w:t>schedulingInfoList</w:t>
            </w:r>
            <w:r w:rsidRPr="00FA0D37">
              <w:rPr>
                <w:rFonts w:eastAsia="Arial Unicode MS"/>
                <w:szCs w:val="22"/>
                <w:lang w:eastAsia="zh-CN"/>
              </w:rPr>
              <w:t xml:space="preserve"> in </w:t>
            </w:r>
            <w:r w:rsidRPr="00FA0D37">
              <w:rPr>
                <w:rFonts w:eastAsia="Arial Unicode MS"/>
                <w:i/>
                <w:iCs/>
                <w:szCs w:val="22"/>
                <w:lang w:eastAsia="zh-CN"/>
              </w:rPr>
              <w:t>si-SchedulingInfo</w:t>
            </w:r>
            <w:r w:rsidRPr="00FA0D37">
              <w:rPr>
                <w:rFonts w:eastAsia="Arial Unicode MS"/>
                <w:szCs w:val="22"/>
                <w:lang w:eastAsia="zh-CN"/>
              </w:rPr>
              <w:t>.</w:t>
            </w:r>
          </w:p>
          <w:p w14:paraId="1F6569D8" w14:textId="596C28FA" w:rsidR="00394471" w:rsidRPr="00FA0D37" w:rsidRDefault="00213644" w:rsidP="00A12BD9">
            <w:pPr>
              <w:pStyle w:val="TAL"/>
              <w:ind w:left="313" w:hanging="313"/>
              <w:rPr>
                <w:rFonts w:eastAsia="Arial Unicode MS"/>
                <w:szCs w:val="22"/>
                <w:lang w:eastAsia="zh-CN"/>
              </w:rPr>
            </w:pPr>
            <w:r w:rsidRPr="00FA0D37">
              <w:rPr>
                <w:rFonts w:eastAsia="Arial Unicode MS"/>
                <w:szCs w:val="22"/>
                <w:lang w:eastAsia="zh-CN"/>
              </w:rPr>
              <w:t>-</w:t>
            </w:r>
            <w:r w:rsidRPr="00FA0D37">
              <w:rPr>
                <w:rFonts w:eastAsia="Arial Unicode MS"/>
                <w:szCs w:val="22"/>
                <w:lang w:eastAsia="zh-CN"/>
              </w:rPr>
              <w:tab/>
              <w:t>According to the order of entry in the list of concatenated SI messages, first bit corresponds to first/leftmost listed SI message, second bit corresponds to second listed SI message, and so on.</w:t>
            </w:r>
          </w:p>
        </w:tc>
      </w:tr>
      <w:tr w:rsidR="00394471" w:rsidRPr="00FA0D37" w14:paraId="2CE64B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A1AC67" w14:textId="77777777" w:rsidR="00394471" w:rsidRPr="00FA0D37" w:rsidRDefault="00394471" w:rsidP="00964CC4">
            <w:pPr>
              <w:pStyle w:val="TAL"/>
              <w:rPr>
                <w:rFonts w:eastAsia="Arial Unicode MS"/>
                <w:szCs w:val="22"/>
                <w:lang w:eastAsia="zh-CN"/>
              </w:rPr>
            </w:pPr>
            <w:r w:rsidRPr="00FA0D37">
              <w:rPr>
                <w:rFonts w:eastAsia="Arial Unicode MS"/>
                <w:b/>
                <w:i/>
                <w:szCs w:val="22"/>
                <w:lang w:eastAsia="zh-CN"/>
              </w:rPr>
              <w:t>requestedPosSI-List</w:t>
            </w:r>
          </w:p>
          <w:p w14:paraId="45AF7D5A" w14:textId="1F0C87C6" w:rsidR="000A53BA" w:rsidRPr="00FA0D37" w:rsidRDefault="00394471" w:rsidP="000A53BA">
            <w:pPr>
              <w:pStyle w:val="TAL"/>
              <w:rPr>
                <w:rFonts w:eastAsia="Arial Unicode MS"/>
                <w:szCs w:val="22"/>
                <w:lang w:eastAsia="zh-CN"/>
              </w:rPr>
            </w:pPr>
            <w:r w:rsidRPr="00FA0D37">
              <w:rPr>
                <w:rFonts w:eastAsia="Arial Unicode MS"/>
                <w:szCs w:val="22"/>
                <w:lang w:eastAsia="zh-CN"/>
              </w:rPr>
              <w:t>Contains a list of requested SI messages</w:t>
            </w:r>
            <w:r w:rsidR="000A53BA" w:rsidRPr="00FA0D37">
              <w:rPr>
                <w:rFonts w:eastAsia="Arial Unicode MS"/>
                <w:szCs w:val="22"/>
                <w:lang w:eastAsia="zh-CN"/>
              </w:rPr>
              <w:t xml:space="preserve"> which are configured by </w:t>
            </w:r>
            <w:r w:rsidR="000A53BA" w:rsidRPr="00FA0D37">
              <w:rPr>
                <w:rFonts w:eastAsia="Arial Unicode MS"/>
                <w:i/>
                <w:szCs w:val="22"/>
                <w:lang w:eastAsia="zh-CN"/>
              </w:rPr>
              <w:t>posSchedulingInfoList</w:t>
            </w:r>
            <w:r w:rsidR="000A53BA" w:rsidRPr="00FA0D37">
              <w:rPr>
                <w:rFonts w:eastAsia="Arial Unicode MS"/>
                <w:szCs w:val="22"/>
                <w:lang w:eastAsia="zh-CN"/>
              </w:rPr>
              <w:t xml:space="preserve"> in </w:t>
            </w:r>
            <w:r w:rsidR="000A53BA" w:rsidRPr="00FA0D37">
              <w:rPr>
                <w:rFonts w:eastAsia="Arial Unicode MS"/>
                <w:i/>
                <w:szCs w:val="22"/>
                <w:lang w:eastAsia="zh-CN"/>
              </w:rPr>
              <w:t>posSI-SchedulingInfo</w:t>
            </w:r>
            <w:r w:rsidR="000A53BA" w:rsidRPr="00FA0D37">
              <w:rPr>
                <w:rFonts w:eastAsia="Arial Unicode MS"/>
                <w:szCs w:val="22"/>
                <w:lang w:eastAsia="zh-CN"/>
              </w:rPr>
              <w:t xml:space="preserve"> and </w:t>
            </w:r>
            <w:r w:rsidR="000A53BA" w:rsidRPr="00FA0D37">
              <w:rPr>
                <w:rFonts w:eastAsia="Arial Unicode MS"/>
                <w:i/>
                <w:szCs w:val="22"/>
                <w:lang w:eastAsia="zh-CN"/>
              </w:rPr>
              <w:t>schedulingInfoList2</w:t>
            </w:r>
            <w:r w:rsidR="000A53BA" w:rsidRPr="00FA0D37">
              <w:rPr>
                <w:rFonts w:eastAsia="Arial Unicode MS"/>
                <w:szCs w:val="22"/>
                <w:lang w:eastAsia="zh-CN"/>
              </w:rPr>
              <w:t xml:space="preserve"> in </w:t>
            </w:r>
            <w:r w:rsidR="000A53BA" w:rsidRPr="00FA0D37">
              <w:rPr>
                <w:rFonts w:eastAsia="Arial Unicode MS"/>
                <w:i/>
                <w:szCs w:val="22"/>
                <w:lang w:eastAsia="zh-CN"/>
              </w:rPr>
              <w:t>si-SchedulingInfo-v1700</w:t>
            </w:r>
            <w:r w:rsidR="000A53BA" w:rsidRPr="00FA0D37">
              <w:rPr>
                <w:rFonts w:eastAsia="Arial Unicode MS"/>
                <w:szCs w:val="22"/>
                <w:lang w:eastAsia="zh-CN"/>
              </w:rPr>
              <w:t xml:space="preserve"> (if present) in SIB1</w:t>
            </w:r>
            <w:r w:rsidRPr="00FA0D37">
              <w:rPr>
                <w:rFonts w:eastAsia="Arial Unicode MS"/>
                <w:szCs w:val="22"/>
                <w:lang w:eastAsia="zh-CN"/>
              </w:rPr>
              <w:t>.</w:t>
            </w:r>
          </w:p>
          <w:p w14:paraId="4D26D5F5" w14:textId="77777777" w:rsidR="000A53BA" w:rsidRPr="00FA0D37" w:rsidRDefault="000A53BA" w:rsidP="000A53BA">
            <w:pPr>
              <w:pStyle w:val="TAL"/>
              <w:rPr>
                <w:rFonts w:eastAsia="Arial Unicode MS"/>
                <w:szCs w:val="22"/>
                <w:lang w:eastAsia="zh-CN"/>
              </w:rPr>
            </w:pPr>
            <w:r w:rsidRPr="00FA0D37">
              <w:rPr>
                <w:rFonts w:eastAsia="Arial Unicode MS"/>
                <w:szCs w:val="22"/>
                <w:lang w:eastAsia="zh-CN"/>
              </w:rPr>
              <w:t xml:space="preserve">If </w:t>
            </w:r>
            <w:r w:rsidRPr="00FA0D37">
              <w:rPr>
                <w:rFonts w:eastAsia="Arial Unicode MS"/>
                <w:i/>
                <w:iCs/>
                <w:szCs w:val="22"/>
                <w:lang w:eastAsia="zh-CN"/>
              </w:rPr>
              <w:t>si-SchedulingInfo-v1700</w:t>
            </w:r>
            <w:r w:rsidRPr="00FA0D37">
              <w:rPr>
                <w:rFonts w:eastAsia="Arial Unicode MS"/>
                <w:szCs w:val="22"/>
                <w:lang w:eastAsia="zh-CN"/>
              </w:rPr>
              <w:t xml:space="preserve"> is not present:</w:t>
            </w:r>
          </w:p>
          <w:p w14:paraId="57D50CC7" w14:textId="77777777" w:rsidR="000A53BA" w:rsidRPr="00FA0D37" w:rsidRDefault="000A53BA" w:rsidP="00A12BD9">
            <w:pPr>
              <w:pStyle w:val="TAL"/>
              <w:ind w:left="313" w:hanging="313"/>
              <w:rPr>
                <w:rFonts w:eastAsia="Arial Unicode MS"/>
                <w:szCs w:val="22"/>
                <w:lang w:eastAsia="zh-CN"/>
              </w:rPr>
            </w:pPr>
            <w:r w:rsidRPr="00FA0D37">
              <w:rPr>
                <w:rFonts w:eastAsia="Arial Unicode MS"/>
                <w:szCs w:val="22"/>
                <w:lang w:eastAsia="zh-CN"/>
              </w:rPr>
              <w:t>-</w:t>
            </w:r>
            <w:r w:rsidRPr="00FA0D37">
              <w:rPr>
                <w:i/>
                <w:iCs/>
              </w:rPr>
              <w:tab/>
            </w:r>
            <w:r w:rsidR="00394471" w:rsidRPr="00FA0D37">
              <w:rPr>
                <w:rFonts w:eastAsia="Arial Unicode MS"/>
                <w:szCs w:val="22"/>
                <w:lang w:eastAsia="zh-CN"/>
              </w:rPr>
              <w:t xml:space="preserve">According to the order of entry in the list of SI messages configured by </w:t>
            </w:r>
            <w:r w:rsidR="00394471" w:rsidRPr="00FA0D37">
              <w:rPr>
                <w:rFonts w:eastAsia="Arial Unicode MS"/>
                <w:i/>
                <w:szCs w:val="22"/>
                <w:lang w:eastAsia="zh-CN"/>
              </w:rPr>
              <w:t>pos</w:t>
            </w:r>
            <w:r w:rsidR="00394471" w:rsidRPr="00FA0D37">
              <w:rPr>
                <w:rFonts w:eastAsia="Arial Unicode MS"/>
                <w:szCs w:val="22"/>
                <w:lang w:eastAsia="zh-CN"/>
              </w:rPr>
              <w:t>S</w:t>
            </w:r>
            <w:r w:rsidR="00394471" w:rsidRPr="00FA0D37">
              <w:rPr>
                <w:rFonts w:eastAsia="Arial Unicode MS"/>
                <w:i/>
                <w:szCs w:val="22"/>
                <w:lang w:eastAsia="zh-CN"/>
              </w:rPr>
              <w:t>chedulingInfoList</w:t>
            </w:r>
            <w:r w:rsidR="00394471" w:rsidRPr="00FA0D37">
              <w:rPr>
                <w:rFonts w:eastAsia="Arial Unicode MS"/>
                <w:szCs w:val="22"/>
                <w:lang w:eastAsia="zh-CN"/>
              </w:rPr>
              <w:t xml:space="preserve"> in </w:t>
            </w:r>
            <w:r w:rsidR="00394471" w:rsidRPr="00FA0D37">
              <w:rPr>
                <w:rFonts w:eastAsia="Arial Unicode MS"/>
                <w:i/>
                <w:szCs w:val="22"/>
                <w:lang w:eastAsia="zh-CN"/>
              </w:rPr>
              <w:t>posSI</w:t>
            </w:r>
            <w:r w:rsidR="00394471" w:rsidRPr="00FA0D37">
              <w:rPr>
                <w:rFonts w:eastAsia="Arial Unicode MS"/>
                <w:szCs w:val="22"/>
                <w:lang w:eastAsia="zh-CN"/>
              </w:rPr>
              <w:t>-</w:t>
            </w:r>
            <w:r w:rsidR="00394471" w:rsidRPr="00FA0D37">
              <w:rPr>
                <w:rFonts w:eastAsia="Arial Unicode MS"/>
                <w:i/>
                <w:szCs w:val="22"/>
                <w:lang w:eastAsia="zh-CN"/>
              </w:rPr>
              <w:t>SchedulingInfo</w:t>
            </w:r>
            <w:r w:rsidR="00394471" w:rsidRPr="00FA0D37">
              <w:rPr>
                <w:rFonts w:eastAsia="Arial Unicode MS"/>
                <w:szCs w:val="22"/>
                <w:lang w:eastAsia="zh-CN"/>
              </w:rPr>
              <w:t xml:space="preserve"> in </w:t>
            </w:r>
            <w:r w:rsidR="00394471" w:rsidRPr="00FA0D37">
              <w:rPr>
                <w:rFonts w:eastAsia="Arial Unicode MS"/>
                <w:i/>
                <w:szCs w:val="22"/>
                <w:lang w:eastAsia="zh-CN"/>
              </w:rPr>
              <w:t>SIB1</w:t>
            </w:r>
            <w:r w:rsidR="00394471" w:rsidRPr="00FA0D37">
              <w:rPr>
                <w:rFonts w:eastAsia="Arial Unicode MS"/>
                <w:szCs w:val="22"/>
                <w:lang w:eastAsia="zh-CN"/>
              </w:rPr>
              <w:t>, first bit corresponds to first/leftmost listed SI message, second bit corresponds to second listed SI message, and so on.</w:t>
            </w:r>
          </w:p>
          <w:p w14:paraId="23581399" w14:textId="77777777" w:rsidR="000A53BA" w:rsidRPr="00FA0D37" w:rsidRDefault="000A53BA" w:rsidP="000A53BA">
            <w:pPr>
              <w:pStyle w:val="TAL"/>
              <w:rPr>
                <w:rFonts w:eastAsia="Arial Unicode MS"/>
                <w:szCs w:val="22"/>
                <w:lang w:eastAsia="zh-CN"/>
              </w:rPr>
            </w:pPr>
            <w:r w:rsidRPr="00FA0D37">
              <w:rPr>
                <w:rFonts w:eastAsia="Arial Unicode MS"/>
                <w:szCs w:val="22"/>
                <w:lang w:eastAsia="zh-CN"/>
              </w:rPr>
              <w:t xml:space="preserve">If </w:t>
            </w:r>
            <w:r w:rsidRPr="00FA0D37">
              <w:rPr>
                <w:rFonts w:eastAsia="Arial Unicode MS"/>
                <w:i/>
                <w:iCs/>
                <w:szCs w:val="22"/>
                <w:lang w:eastAsia="zh-CN"/>
              </w:rPr>
              <w:t>si-SchedulingInfo-v1700</w:t>
            </w:r>
            <w:r w:rsidRPr="00FA0D37">
              <w:rPr>
                <w:rFonts w:eastAsia="Arial Unicode MS"/>
                <w:szCs w:val="22"/>
                <w:lang w:eastAsia="zh-CN"/>
              </w:rPr>
              <w:t xml:space="preserve"> is present:</w:t>
            </w:r>
          </w:p>
          <w:p w14:paraId="04F49E3E" w14:textId="77777777" w:rsidR="000A53BA" w:rsidRPr="00FA0D37" w:rsidRDefault="000A53BA" w:rsidP="00A12BD9">
            <w:pPr>
              <w:pStyle w:val="TAL"/>
              <w:ind w:left="313" w:hanging="313"/>
              <w:rPr>
                <w:rFonts w:eastAsia="Arial Unicode MS"/>
                <w:szCs w:val="22"/>
                <w:lang w:eastAsia="zh-CN"/>
              </w:rPr>
            </w:pPr>
            <w:r w:rsidRPr="00FA0D37">
              <w:rPr>
                <w:rFonts w:eastAsia="Arial Unicode MS"/>
                <w:szCs w:val="22"/>
                <w:lang w:eastAsia="zh-CN"/>
              </w:rPr>
              <w:t>-</w:t>
            </w:r>
            <w:r w:rsidRPr="00FA0D37">
              <w:rPr>
                <w:rFonts w:eastAsia="Arial Unicode MS"/>
                <w:szCs w:val="22"/>
                <w:lang w:eastAsia="zh-CN"/>
              </w:rPr>
              <w:tab/>
              <w:t xml:space="preserve">The UE creates a list of concatenated SI messages by appending the SI messages containing type2 SIB configured by </w:t>
            </w:r>
            <w:r w:rsidRPr="00FA0D37">
              <w:rPr>
                <w:rFonts w:eastAsia="Arial Unicode MS"/>
                <w:i/>
                <w:iCs/>
                <w:szCs w:val="22"/>
                <w:lang w:eastAsia="zh-CN"/>
              </w:rPr>
              <w:t>schedulingInfoList2</w:t>
            </w:r>
            <w:r w:rsidRPr="00FA0D37">
              <w:rPr>
                <w:rFonts w:eastAsia="Arial Unicode MS"/>
                <w:szCs w:val="22"/>
                <w:lang w:eastAsia="zh-CN"/>
              </w:rPr>
              <w:t xml:space="preserve"> in </w:t>
            </w:r>
            <w:r w:rsidRPr="00FA0D37">
              <w:rPr>
                <w:rFonts w:eastAsia="Arial Unicode MS"/>
                <w:i/>
                <w:iCs/>
                <w:szCs w:val="22"/>
                <w:lang w:eastAsia="zh-CN"/>
              </w:rPr>
              <w:t>si-SchedulingInfo-v1700</w:t>
            </w:r>
            <w:r w:rsidRPr="00FA0D37">
              <w:rPr>
                <w:rFonts w:eastAsia="Arial Unicode MS"/>
                <w:szCs w:val="22"/>
                <w:lang w:eastAsia="zh-CN"/>
              </w:rPr>
              <w:t xml:space="preserve"> to the SI messages configured by </w:t>
            </w:r>
            <w:r w:rsidRPr="00FA0D37">
              <w:rPr>
                <w:rFonts w:eastAsia="Arial Unicode MS"/>
                <w:i/>
                <w:iCs/>
                <w:szCs w:val="22"/>
                <w:lang w:eastAsia="zh-CN"/>
              </w:rPr>
              <w:t>posSchedulingInfoList</w:t>
            </w:r>
            <w:r w:rsidRPr="00FA0D37">
              <w:rPr>
                <w:rFonts w:eastAsia="Arial Unicode MS"/>
                <w:szCs w:val="22"/>
                <w:lang w:eastAsia="zh-CN"/>
              </w:rPr>
              <w:t xml:space="preserve"> in </w:t>
            </w:r>
            <w:r w:rsidRPr="00FA0D37">
              <w:rPr>
                <w:rFonts w:eastAsia="Arial Unicode MS"/>
                <w:i/>
                <w:iCs/>
                <w:szCs w:val="22"/>
                <w:lang w:eastAsia="zh-CN"/>
              </w:rPr>
              <w:t>posSI-SchedulingInfo</w:t>
            </w:r>
            <w:r w:rsidRPr="00FA0D37">
              <w:rPr>
                <w:rFonts w:eastAsia="Arial Unicode MS"/>
                <w:szCs w:val="22"/>
                <w:lang w:eastAsia="zh-CN"/>
              </w:rPr>
              <w:t>.</w:t>
            </w:r>
          </w:p>
          <w:p w14:paraId="775FAFC0" w14:textId="376752D7" w:rsidR="00394471" w:rsidRPr="00FA0D37" w:rsidRDefault="000A53BA" w:rsidP="00A12BD9">
            <w:pPr>
              <w:pStyle w:val="TAL"/>
              <w:ind w:left="313" w:hanging="313"/>
              <w:rPr>
                <w:rFonts w:eastAsia="Arial Unicode MS"/>
                <w:b/>
                <w:i/>
                <w:szCs w:val="22"/>
                <w:lang w:eastAsia="zh-CN"/>
              </w:rPr>
            </w:pPr>
            <w:r w:rsidRPr="00FA0D37">
              <w:rPr>
                <w:rFonts w:eastAsia="Arial Unicode MS"/>
                <w:szCs w:val="22"/>
                <w:lang w:eastAsia="zh-CN"/>
              </w:rPr>
              <w:t>-</w:t>
            </w:r>
            <w:r w:rsidRPr="00FA0D37">
              <w:rPr>
                <w:rFonts w:eastAsia="Arial Unicode MS"/>
                <w:szCs w:val="22"/>
                <w:lang w:eastAsia="zh-CN"/>
              </w:rPr>
              <w:tab/>
              <w:t>According to the order of entry in the list of concatenated SI messages, first bit corresponds to first/leftmost listed SI message, second bit corresponds to second listed SI message, and so on.</w:t>
            </w:r>
          </w:p>
        </w:tc>
      </w:tr>
    </w:tbl>
    <w:p w14:paraId="19F57127" w14:textId="77777777" w:rsidR="00394471" w:rsidRPr="00FA0D37" w:rsidRDefault="00394471" w:rsidP="00394471"/>
    <w:p w14:paraId="78029B90" w14:textId="77777777" w:rsidR="00394471" w:rsidRPr="00FA0D37" w:rsidRDefault="00394471" w:rsidP="00394471">
      <w:pPr>
        <w:pStyle w:val="4"/>
        <w:rPr>
          <w:i/>
          <w:iCs/>
        </w:rPr>
      </w:pPr>
      <w:bookmarkStart w:id="696" w:name="_Toc60777120"/>
      <w:bookmarkStart w:id="697" w:name="_Toc146781157"/>
      <w:r w:rsidRPr="00FA0D37">
        <w:rPr>
          <w:i/>
          <w:iCs/>
        </w:rPr>
        <w:t>–</w:t>
      </w:r>
      <w:r w:rsidRPr="00FA0D37">
        <w:rPr>
          <w:i/>
          <w:iCs/>
        </w:rPr>
        <w:tab/>
        <w:t>SCGFailureInformation</w:t>
      </w:r>
      <w:bookmarkEnd w:id="696"/>
      <w:bookmarkEnd w:id="697"/>
    </w:p>
    <w:p w14:paraId="1716DE93" w14:textId="77777777" w:rsidR="00394471" w:rsidRPr="00FA0D37" w:rsidRDefault="00394471" w:rsidP="00394471">
      <w:r w:rsidRPr="00FA0D37">
        <w:t xml:space="preserve">The </w:t>
      </w:r>
      <w:r w:rsidRPr="00FA0D37">
        <w:rPr>
          <w:i/>
        </w:rPr>
        <w:t>SCGFailureInformation</w:t>
      </w:r>
      <w:r w:rsidRPr="00FA0D37">
        <w:t xml:space="preserve"> message is used to provide information regarding NR SCG failures detected by the UE.</w:t>
      </w:r>
    </w:p>
    <w:p w14:paraId="6365593C" w14:textId="77777777" w:rsidR="00394471" w:rsidRPr="00FA0D37" w:rsidRDefault="00394471" w:rsidP="00394471">
      <w:pPr>
        <w:pStyle w:val="B1"/>
      </w:pPr>
      <w:r w:rsidRPr="00FA0D37">
        <w:t>Signalling radio bearer: SRB1</w:t>
      </w:r>
    </w:p>
    <w:p w14:paraId="421D369A" w14:textId="77777777" w:rsidR="00394471" w:rsidRPr="00FA0D37" w:rsidRDefault="00394471" w:rsidP="00394471">
      <w:pPr>
        <w:pStyle w:val="B1"/>
      </w:pPr>
      <w:r w:rsidRPr="00FA0D37">
        <w:t>RLC-SAP: AM</w:t>
      </w:r>
    </w:p>
    <w:p w14:paraId="75C489AF" w14:textId="77777777" w:rsidR="00394471" w:rsidRPr="00FA0D37" w:rsidRDefault="00394471" w:rsidP="00394471">
      <w:pPr>
        <w:pStyle w:val="B1"/>
      </w:pPr>
      <w:r w:rsidRPr="00FA0D37">
        <w:t>Logical channel: DCCH</w:t>
      </w:r>
    </w:p>
    <w:p w14:paraId="0FE2F351" w14:textId="77777777" w:rsidR="00394471" w:rsidRPr="00FA0D37" w:rsidRDefault="00394471" w:rsidP="00394471">
      <w:pPr>
        <w:pStyle w:val="B1"/>
      </w:pPr>
      <w:r w:rsidRPr="00FA0D37">
        <w:t>Direction: UE to Network</w:t>
      </w:r>
    </w:p>
    <w:p w14:paraId="109D1DE8" w14:textId="77777777" w:rsidR="00394471" w:rsidRPr="00FA0D37" w:rsidRDefault="00394471" w:rsidP="00394471">
      <w:pPr>
        <w:pStyle w:val="TH"/>
      </w:pPr>
      <w:r w:rsidRPr="00FA0D37">
        <w:rPr>
          <w:i/>
        </w:rPr>
        <w:t>SCGFailureInformation</w:t>
      </w:r>
      <w:r w:rsidRPr="00FA0D37">
        <w:t xml:space="preserve"> message</w:t>
      </w:r>
    </w:p>
    <w:p w14:paraId="7690F896" w14:textId="77777777" w:rsidR="00394471" w:rsidRPr="00FA0D37" w:rsidRDefault="00394471" w:rsidP="00FA0D37">
      <w:pPr>
        <w:pStyle w:val="PL"/>
        <w:rPr>
          <w:color w:val="808080"/>
        </w:rPr>
      </w:pPr>
      <w:r w:rsidRPr="00FA0D37">
        <w:rPr>
          <w:color w:val="808080"/>
        </w:rPr>
        <w:t>-- ASN1START</w:t>
      </w:r>
    </w:p>
    <w:p w14:paraId="329D923F" w14:textId="77777777" w:rsidR="00394471" w:rsidRPr="00FA0D37" w:rsidRDefault="00394471" w:rsidP="00FA0D37">
      <w:pPr>
        <w:pStyle w:val="PL"/>
        <w:rPr>
          <w:color w:val="808080"/>
        </w:rPr>
      </w:pPr>
      <w:r w:rsidRPr="00FA0D37">
        <w:rPr>
          <w:color w:val="808080"/>
        </w:rPr>
        <w:t>-- TAG-SCGFAILUREINFORMATION-START</w:t>
      </w:r>
    </w:p>
    <w:p w14:paraId="6200492F" w14:textId="77777777" w:rsidR="00394471" w:rsidRPr="00FA0D37" w:rsidRDefault="00394471" w:rsidP="00FA0D37">
      <w:pPr>
        <w:pStyle w:val="PL"/>
        <w:rPr>
          <w:rFonts w:eastAsia="Malgun Gothic"/>
        </w:rPr>
      </w:pPr>
    </w:p>
    <w:p w14:paraId="40048929" w14:textId="77777777" w:rsidR="00394471" w:rsidRPr="00FA0D37" w:rsidRDefault="00394471" w:rsidP="00FA0D37">
      <w:pPr>
        <w:pStyle w:val="PL"/>
        <w:rPr>
          <w:rFonts w:eastAsia="Malgun Gothic"/>
        </w:rPr>
      </w:pPr>
      <w:r w:rsidRPr="00FA0D37">
        <w:rPr>
          <w:rFonts w:eastAsia="Malgun Gothic"/>
        </w:rPr>
        <w:t xml:space="preserve">SCGFailureInformation ::=                   </w:t>
      </w:r>
      <w:r w:rsidRPr="00FA0D37">
        <w:rPr>
          <w:color w:val="993366"/>
        </w:rPr>
        <w:t>SEQUENCE</w:t>
      </w:r>
      <w:r w:rsidRPr="00FA0D37">
        <w:rPr>
          <w:rFonts w:eastAsia="Malgun Gothic"/>
        </w:rPr>
        <w:t xml:space="preserve"> {</w:t>
      </w:r>
    </w:p>
    <w:p w14:paraId="090EB1C1" w14:textId="77777777" w:rsidR="00394471" w:rsidRPr="00FA0D37" w:rsidRDefault="00394471" w:rsidP="00FA0D37">
      <w:pPr>
        <w:pStyle w:val="PL"/>
        <w:rPr>
          <w:rFonts w:eastAsia="Malgun Gothic"/>
        </w:rPr>
      </w:pPr>
      <w:r w:rsidRPr="00FA0D37">
        <w:rPr>
          <w:rFonts w:eastAsia="Malgun Gothic"/>
        </w:rPr>
        <w:t xml:space="preserve">    criticalExtensions                       </w:t>
      </w:r>
      <w:r w:rsidRPr="00FA0D37">
        <w:t xml:space="preserve">    </w:t>
      </w:r>
      <w:r w:rsidRPr="00FA0D37">
        <w:rPr>
          <w:color w:val="993366"/>
        </w:rPr>
        <w:t>CHOICE</w:t>
      </w:r>
      <w:r w:rsidRPr="00FA0D37">
        <w:rPr>
          <w:rFonts w:eastAsia="Malgun Gothic"/>
        </w:rPr>
        <w:t xml:space="preserve"> {</w:t>
      </w:r>
    </w:p>
    <w:p w14:paraId="13C5F403" w14:textId="77777777" w:rsidR="00394471" w:rsidRPr="00FA0D37" w:rsidRDefault="00394471" w:rsidP="00FA0D37">
      <w:pPr>
        <w:pStyle w:val="PL"/>
        <w:rPr>
          <w:rFonts w:eastAsia="Malgun Gothic"/>
        </w:rPr>
      </w:pPr>
      <w:r w:rsidRPr="00FA0D37">
        <w:rPr>
          <w:rFonts w:eastAsia="Malgun Gothic"/>
        </w:rPr>
        <w:t xml:space="preserve">        scgFailureInformation            </w:t>
      </w:r>
      <w:r w:rsidRPr="00FA0D37">
        <w:t xml:space="preserve">    </w:t>
      </w:r>
      <w:r w:rsidRPr="00FA0D37">
        <w:rPr>
          <w:rFonts w:eastAsia="Malgun Gothic"/>
        </w:rPr>
        <w:t xml:space="preserve">        SCGFailureInformation-IEs,</w:t>
      </w:r>
    </w:p>
    <w:p w14:paraId="2C2EC1BA" w14:textId="77777777" w:rsidR="00394471" w:rsidRPr="00FA0D37" w:rsidRDefault="00394471" w:rsidP="00FA0D37">
      <w:pPr>
        <w:pStyle w:val="PL"/>
        <w:rPr>
          <w:rFonts w:eastAsia="Malgun Gothic"/>
        </w:rPr>
      </w:pPr>
      <w:r w:rsidRPr="00FA0D37">
        <w:rPr>
          <w:rFonts w:eastAsia="Malgun Gothic"/>
        </w:rPr>
        <w:lastRenderedPageBreak/>
        <w:t xml:space="preserve">        criticalExtensionsFuture             </w:t>
      </w:r>
      <w:r w:rsidRPr="00FA0D37">
        <w:t xml:space="preserve">    </w:t>
      </w:r>
      <w:r w:rsidRPr="00FA0D37">
        <w:rPr>
          <w:rFonts w:eastAsia="Malgun Gothic"/>
        </w:rPr>
        <w:t xml:space="preserve">   </w:t>
      </w:r>
      <w:r w:rsidRPr="00FA0D37">
        <w:rPr>
          <w:color w:val="993366"/>
        </w:rPr>
        <w:t>SEQUENCE</w:t>
      </w:r>
      <w:r w:rsidRPr="00FA0D37">
        <w:rPr>
          <w:rFonts w:eastAsia="Malgun Gothic"/>
        </w:rPr>
        <w:t xml:space="preserve"> {}</w:t>
      </w:r>
    </w:p>
    <w:p w14:paraId="18CABD9C" w14:textId="77777777" w:rsidR="00394471" w:rsidRPr="00FA0D37" w:rsidRDefault="00394471" w:rsidP="00FA0D37">
      <w:pPr>
        <w:pStyle w:val="PL"/>
        <w:rPr>
          <w:rFonts w:eastAsia="Malgun Gothic"/>
        </w:rPr>
      </w:pPr>
      <w:r w:rsidRPr="00FA0D37">
        <w:rPr>
          <w:rFonts w:eastAsia="Malgun Gothic"/>
        </w:rPr>
        <w:t xml:space="preserve">    }</w:t>
      </w:r>
    </w:p>
    <w:p w14:paraId="34D8D6A0" w14:textId="77777777" w:rsidR="00394471" w:rsidRPr="00FA0D37" w:rsidRDefault="00394471" w:rsidP="00FA0D37">
      <w:pPr>
        <w:pStyle w:val="PL"/>
        <w:rPr>
          <w:rFonts w:eastAsia="Malgun Gothic"/>
        </w:rPr>
      </w:pPr>
      <w:r w:rsidRPr="00FA0D37">
        <w:rPr>
          <w:rFonts w:eastAsia="Malgun Gothic"/>
        </w:rPr>
        <w:t>}</w:t>
      </w:r>
    </w:p>
    <w:p w14:paraId="7DAE8081" w14:textId="77777777" w:rsidR="00394471" w:rsidRPr="00FA0D37" w:rsidRDefault="00394471" w:rsidP="00FA0D37">
      <w:pPr>
        <w:pStyle w:val="PL"/>
        <w:rPr>
          <w:rFonts w:eastAsia="Malgun Gothic"/>
        </w:rPr>
      </w:pPr>
    </w:p>
    <w:p w14:paraId="2A84C089" w14:textId="77777777" w:rsidR="00394471" w:rsidRPr="00FA0D37" w:rsidRDefault="00394471" w:rsidP="00FA0D37">
      <w:pPr>
        <w:pStyle w:val="PL"/>
        <w:rPr>
          <w:rFonts w:eastAsia="Malgun Gothic"/>
        </w:rPr>
      </w:pPr>
      <w:r w:rsidRPr="00FA0D37">
        <w:rPr>
          <w:rFonts w:eastAsia="Malgun Gothic"/>
        </w:rPr>
        <w:t>SCGFailureInformation-IEs ::=</w:t>
      </w:r>
      <w:r w:rsidRPr="00FA0D37">
        <w:t xml:space="preserve">            </w:t>
      </w:r>
      <w:r w:rsidRPr="00FA0D37">
        <w:rPr>
          <w:color w:val="993366"/>
        </w:rPr>
        <w:t>SEQUENCE</w:t>
      </w:r>
      <w:r w:rsidRPr="00FA0D37">
        <w:rPr>
          <w:rFonts w:eastAsia="Malgun Gothic"/>
        </w:rPr>
        <w:t xml:space="preserve"> {</w:t>
      </w:r>
    </w:p>
    <w:p w14:paraId="41DB225C" w14:textId="77777777" w:rsidR="00394471" w:rsidRPr="00FA0D37" w:rsidRDefault="00394471" w:rsidP="00FA0D37">
      <w:pPr>
        <w:pStyle w:val="PL"/>
        <w:rPr>
          <w:rFonts w:eastAsia="Malgun Gothic"/>
        </w:rPr>
      </w:pPr>
      <w:r w:rsidRPr="00FA0D37">
        <w:t xml:space="preserve">    </w:t>
      </w:r>
      <w:r w:rsidRPr="00FA0D37">
        <w:rPr>
          <w:rFonts w:eastAsia="Malgun Gothic"/>
        </w:rPr>
        <w:t>failureReportSCG</w:t>
      </w:r>
      <w:r w:rsidRPr="00FA0D37">
        <w:t xml:space="preserve">                         </w:t>
      </w:r>
      <w:r w:rsidRPr="00FA0D37">
        <w:rPr>
          <w:rFonts w:eastAsia="Malgun Gothic"/>
        </w:rPr>
        <w:t>FailureReportSCG</w:t>
      </w:r>
      <w:r w:rsidRPr="00FA0D37">
        <w:t xml:space="preserve">                    </w:t>
      </w:r>
      <w:r w:rsidRPr="00FA0D37">
        <w:rPr>
          <w:color w:val="993366"/>
        </w:rPr>
        <w:t>OPTIONAL</w:t>
      </w:r>
      <w:r w:rsidRPr="00FA0D37">
        <w:rPr>
          <w:rFonts w:eastAsia="Malgun Gothic"/>
        </w:rPr>
        <w:t>,</w:t>
      </w:r>
    </w:p>
    <w:p w14:paraId="0EC1EE0E" w14:textId="77777777" w:rsidR="00394471" w:rsidRPr="00FA0D37" w:rsidRDefault="00394471" w:rsidP="00FA0D37">
      <w:pPr>
        <w:pStyle w:val="PL"/>
        <w:rPr>
          <w:rFonts w:eastAsia="Malgun Gothic"/>
        </w:rPr>
      </w:pPr>
      <w:r w:rsidRPr="00FA0D37">
        <w:t xml:space="preserve">    </w:t>
      </w:r>
      <w:r w:rsidRPr="00FA0D37">
        <w:rPr>
          <w:rFonts w:eastAsia="Malgun Gothic"/>
        </w:rPr>
        <w:t>nonCriticalExtension</w:t>
      </w:r>
      <w:r w:rsidRPr="00FA0D37">
        <w:t xml:space="preserve">                     </w:t>
      </w:r>
      <w:r w:rsidRPr="00FA0D37">
        <w:rPr>
          <w:rFonts w:eastAsia="Malgun Gothic"/>
        </w:rPr>
        <w:t>SCGFailureInformation-v1590-IEs</w:t>
      </w:r>
      <w:r w:rsidRPr="00FA0D37">
        <w:t xml:space="preserve">     </w:t>
      </w:r>
      <w:r w:rsidRPr="00FA0D37">
        <w:rPr>
          <w:color w:val="993366"/>
        </w:rPr>
        <w:t>OPTIONAL</w:t>
      </w:r>
    </w:p>
    <w:p w14:paraId="40D63F44" w14:textId="77777777" w:rsidR="00394471" w:rsidRPr="00FA0D37" w:rsidRDefault="00394471" w:rsidP="00FA0D37">
      <w:pPr>
        <w:pStyle w:val="PL"/>
        <w:rPr>
          <w:rFonts w:eastAsia="Malgun Gothic"/>
        </w:rPr>
      </w:pPr>
      <w:r w:rsidRPr="00FA0D37">
        <w:rPr>
          <w:rFonts w:eastAsia="Malgun Gothic"/>
        </w:rPr>
        <w:t>}</w:t>
      </w:r>
    </w:p>
    <w:p w14:paraId="7645E5AC" w14:textId="77777777" w:rsidR="00394471" w:rsidRPr="00FA0D37" w:rsidRDefault="00394471" w:rsidP="00FA0D37">
      <w:pPr>
        <w:pStyle w:val="PL"/>
        <w:rPr>
          <w:rFonts w:eastAsia="Malgun Gothic"/>
        </w:rPr>
      </w:pPr>
    </w:p>
    <w:p w14:paraId="7288ECBF" w14:textId="77777777" w:rsidR="00394471" w:rsidRPr="00FA0D37" w:rsidRDefault="00394471" w:rsidP="00FA0D37">
      <w:pPr>
        <w:pStyle w:val="PL"/>
        <w:rPr>
          <w:rFonts w:eastAsia="Malgun Gothic"/>
        </w:rPr>
      </w:pPr>
      <w:r w:rsidRPr="00FA0D37">
        <w:rPr>
          <w:rFonts w:eastAsia="Malgun Gothic"/>
        </w:rPr>
        <w:t xml:space="preserve">SCGFailureInformation-v1590-IEs ::=       </w:t>
      </w:r>
      <w:r w:rsidRPr="00FA0D37">
        <w:rPr>
          <w:color w:val="993366"/>
        </w:rPr>
        <w:t>SEQUENCE</w:t>
      </w:r>
      <w:r w:rsidRPr="00FA0D37">
        <w:rPr>
          <w:rFonts w:eastAsia="Malgun Gothic"/>
        </w:rPr>
        <w:t xml:space="preserve"> {</w:t>
      </w:r>
    </w:p>
    <w:p w14:paraId="09EF3F92" w14:textId="77777777" w:rsidR="00394471" w:rsidRPr="00FA0D37" w:rsidRDefault="00394471" w:rsidP="00FA0D37">
      <w:pPr>
        <w:pStyle w:val="PL"/>
        <w:rPr>
          <w:rFonts w:eastAsia="Malgun Gothic"/>
        </w:rPr>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A6671F9" w14:textId="77777777" w:rsidR="00394471" w:rsidRPr="00FA0D37" w:rsidRDefault="00394471" w:rsidP="00FA0D37">
      <w:pPr>
        <w:pStyle w:val="PL"/>
        <w:rPr>
          <w:rFonts w:eastAsia="Malgun Gothic"/>
        </w:rPr>
      </w:pPr>
      <w:r w:rsidRPr="00FA0D37">
        <w:t xml:space="preserve">    </w:t>
      </w:r>
      <w:r w:rsidRPr="00FA0D37">
        <w:rPr>
          <w:rFonts w:eastAsia="Malgun Gothic"/>
        </w:rPr>
        <w:t>nonCriticalExtension</w:t>
      </w:r>
      <w:r w:rsidRPr="00FA0D37">
        <w:t xml:space="preserve">                    </w:t>
      </w:r>
      <w:r w:rsidRPr="00FA0D37">
        <w:rPr>
          <w:color w:val="993366"/>
        </w:rPr>
        <w:t>SEQUENCE</w:t>
      </w:r>
      <w:r w:rsidRPr="00FA0D37">
        <w:rPr>
          <w:rFonts w:eastAsia="Malgun Gothic"/>
        </w:rPr>
        <w:t xml:space="preserve"> {}</w:t>
      </w:r>
      <w:r w:rsidRPr="00FA0D37">
        <w:t xml:space="preserve">                         </w:t>
      </w:r>
      <w:r w:rsidRPr="00FA0D37">
        <w:rPr>
          <w:color w:val="993366"/>
        </w:rPr>
        <w:t>OPTIONAL</w:t>
      </w:r>
    </w:p>
    <w:p w14:paraId="072F1E33" w14:textId="77777777" w:rsidR="00394471" w:rsidRPr="00FA0D37" w:rsidRDefault="00394471" w:rsidP="00FA0D37">
      <w:pPr>
        <w:pStyle w:val="PL"/>
        <w:rPr>
          <w:rFonts w:eastAsia="Malgun Gothic"/>
        </w:rPr>
      </w:pPr>
      <w:r w:rsidRPr="00FA0D37">
        <w:rPr>
          <w:rFonts w:eastAsia="Malgun Gothic"/>
        </w:rPr>
        <w:t>}</w:t>
      </w:r>
    </w:p>
    <w:p w14:paraId="35A63B9B" w14:textId="77777777" w:rsidR="00394471" w:rsidRPr="00FA0D37" w:rsidRDefault="00394471" w:rsidP="00FA0D37">
      <w:pPr>
        <w:pStyle w:val="PL"/>
        <w:rPr>
          <w:rFonts w:eastAsia="Malgun Gothic"/>
        </w:rPr>
      </w:pPr>
    </w:p>
    <w:p w14:paraId="4549822C" w14:textId="77777777" w:rsidR="00394471" w:rsidRPr="00FA0D37" w:rsidRDefault="00394471" w:rsidP="00FA0D37">
      <w:pPr>
        <w:pStyle w:val="PL"/>
        <w:rPr>
          <w:rFonts w:eastAsia="Malgun Gothic"/>
        </w:rPr>
      </w:pPr>
      <w:r w:rsidRPr="00FA0D37">
        <w:rPr>
          <w:rFonts w:eastAsia="Malgun Gothic"/>
        </w:rPr>
        <w:t xml:space="preserve">FailureReportSCG ::=                       </w:t>
      </w:r>
      <w:r w:rsidRPr="00FA0D37">
        <w:rPr>
          <w:color w:val="993366"/>
        </w:rPr>
        <w:t>SEQUENCE</w:t>
      </w:r>
      <w:r w:rsidRPr="00FA0D37">
        <w:rPr>
          <w:rFonts w:eastAsia="Malgun Gothic"/>
        </w:rPr>
        <w:t xml:space="preserve"> {</w:t>
      </w:r>
    </w:p>
    <w:p w14:paraId="3013BC29" w14:textId="77777777" w:rsidR="00394471" w:rsidRPr="00FA0D37" w:rsidRDefault="00394471" w:rsidP="00FA0D37">
      <w:pPr>
        <w:pStyle w:val="PL"/>
        <w:rPr>
          <w:rFonts w:eastAsia="Malgun Gothic"/>
        </w:rPr>
      </w:pPr>
      <w:r w:rsidRPr="00FA0D37">
        <w:rPr>
          <w:rFonts w:eastAsia="Malgun Gothic"/>
        </w:rPr>
        <w:t xml:space="preserve">    failureType                                    </w:t>
      </w:r>
      <w:r w:rsidRPr="00FA0D37">
        <w:rPr>
          <w:color w:val="993366"/>
        </w:rPr>
        <w:t>ENUMERATED</w:t>
      </w:r>
      <w:r w:rsidRPr="00FA0D37">
        <w:rPr>
          <w:rFonts w:eastAsia="Malgun Gothic"/>
        </w:rPr>
        <w:t xml:space="preserve"> {</w:t>
      </w:r>
    </w:p>
    <w:p w14:paraId="00263323" w14:textId="77777777" w:rsidR="00394471" w:rsidRPr="00FA0D37" w:rsidRDefault="00394471" w:rsidP="00FA0D37">
      <w:pPr>
        <w:pStyle w:val="PL"/>
        <w:rPr>
          <w:rFonts w:eastAsia="Malgun Gothic"/>
        </w:rPr>
      </w:pPr>
      <w:r w:rsidRPr="00FA0D37">
        <w:rPr>
          <w:rFonts w:eastAsia="Malgun Gothic"/>
        </w:rPr>
        <w:t xml:space="preserve">                                                               t31</w:t>
      </w:r>
      <w:r w:rsidRPr="00FA0D37">
        <w:rPr>
          <w:rFonts w:eastAsia="MS Mincho"/>
        </w:rPr>
        <w:t>0</w:t>
      </w:r>
      <w:r w:rsidRPr="00FA0D37">
        <w:rPr>
          <w:rFonts w:eastAsia="Malgun Gothic"/>
        </w:rPr>
        <w:t>-Expiry, randomAccessProblem,</w:t>
      </w:r>
    </w:p>
    <w:p w14:paraId="548468B5" w14:textId="77777777" w:rsidR="00394471" w:rsidRPr="00FA0D37" w:rsidRDefault="00394471" w:rsidP="00FA0D37">
      <w:pPr>
        <w:pStyle w:val="PL"/>
        <w:rPr>
          <w:rFonts w:eastAsia="Malgun Gothic"/>
        </w:rPr>
      </w:pPr>
      <w:r w:rsidRPr="00FA0D37">
        <w:rPr>
          <w:rFonts w:eastAsia="Malgun Gothic"/>
        </w:rPr>
        <w:t xml:space="preserve">                                                               rlc-MaxNumRetx,</w:t>
      </w:r>
    </w:p>
    <w:p w14:paraId="76B1BAEC" w14:textId="77777777" w:rsidR="00394471" w:rsidRPr="00FA0D37" w:rsidRDefault="00394471" w:rsidP="00FA0D37">
      <w:pPr>
        <w:pStyle w:val="PL"/>
        <w:rPr>
          <w:rFonts w:eastAsia="Malgun Gothic"/>
        </w:rPr>
      </w:pPr>
      <w:r w:rsidRPr="00FA0D37">
        <w:rPr>
          <w:rFonts w:eastAsia="Malgun Gothic"/>
        </w:rPr>
        <w:t xml:space="preserve">                                                               synchReconfigFailureSCG, scg-ReconfigFailure,</w:t>
      </w:r>
    </w:p>
    <w:p w14:paraId="1B5CEFCA" w14:textId="77777777" w:rsidR="00394471" w:rsidRPr="00FA0D37" w:rsidRDefault="00394471" w:rsidP="00FA0D37">
      <w:pPr>
        <w:pStyle w:val="PL"/>
        <w:rPr>
          <w:rFonts w:eastAsia="Malgun Gothic"/>
        </w:rPr>
      </w:pPr>
      <w:r w:rsidRPr="00FA0D37">
        <w:rPr>
          <w:rFonts w:eastAsia="Malgun Gothic"/>
        </w:rPr>
        <w:t xml:space="preserve">                                                               srb3-IntegrityFailure, </w:t>
      </w:r>
      <w:r w:rsidRPr="00FA0D37">
        <w:t>other-r16, spare1</w:t>
      </w:r>
      <w:r w:rsidRPr="00FA0D37">
        <w:rPr>
          <w:rFonts w:eastAsia="Malgun Gothic"/>
        </w:rPr>
        <w:t>},</w:t>
      </w:r>
    </w:p>
    <w:p w14:paraId="5767DC31" w14:textId="77777777" w:rsidR="00394471" w:rsidRPr="00FA0D37" w:rsidRDefault="00394471" w:rsidP="00FA0D37">
      <w:pPr>
        <w:pStyle w:val="PL"/>
        <w:rPr>
          <w:rFonts w:eastAsia="Malgun Gothic"/>
        </w:rPr>
      </w:pPr>
      <w:r w:rsidRPr="00FA0D37">
        <w:rPr>
          <w:rFonts w:eastAsia="Malgun Gothic"/>
        </w:rPr>
        <w:t xml:space="preserve">    measResultFreqList                          MeasResultFreqList       </w:t>
      </w:r>
      <w:r w:rsidRPr="00FA0D37">
        <w:t xml:space="preserve">                        </w:t>
      </w:r>
      <w:r w:rsidRPr="00FA0D37">
        <w:rPr>
          <w:rFonts w:eastAsia="Malgun Gothic"/>
        </w:rPr>
        <w:t xml:space="preserve">                       </w:t>
      </w:r>
      <w:r w:rsidRPr="00FA0D37">
        <w:rPr>
          <w:color w:val="993366"/>
        </w:rPr>
        <w:t>OPTIONAL</w:t>
      </w:r>
      <w:r w:rsidRPr="00FA0D37">
        <w:rPr>
          <w:rFonts w:eastAsia="Malgun Gothic"/>
        </w:rPr>
        <w:t>,</w:t>
      </w:r>
    </w:p>
    <w:p w14:paraId="46772C67" w14:textId="77777777" w:rsidR="00394471" w:rsidRPr="00FA0D37" w:rsidRDefault="00394471" w:rsidP="00FA0D37">
      <w:pPr>
        <w:pStyle w:val="PL"/>
        <w:rPr>
          <w:rFonts w:eastAsia="Malgun Gothic"/>
        </w:rPr>
      </w:pPr>
      <w:r w:rsidRPr="00FA0D37">
        <w:rPr>
          <w:rFonts w:eastAsia="Malgun Gothic"/>
        </w:rPr>
        <w:t xml:space="preserve">    measResultSCG-Failure                      </w:t>
      </w:r>
      <w:r w:rsidRPr="00FA0D37">
        <w:rPr>
          <w:color w:val="993366"/>
        </w:rPr>
        <w:t>OCTET</w:t>
      </w:r>
      <w:r w:rsidRPr="00FA0D37">
        <w:rPr>
          <w:rFonts w:eastAsia="Malgun Gothic"/>
        </w:rPr>
        <w:t xml:space="preserve"> </w:t>
      </w:r>
      <w:r w:rsidRPr="00FA0D37">
        <w:rPr>
          <w:color w:val="993366"/>
        </w:rPr>
        <w:t>STRING</w:t>
      </w:r>
      <w:r w:rsidRPr="00FA0D37">
        <w:t xml:space="preserve"> (CONTAINING MeasResultSCG-Failure)                </w:t>
      </w:r>
      <w:r w:rsidRPr="00FA0D37">
        <w:rPr>
          <w:color w:val="993366"/>
        </w:rPr>
        <w:t>OPTIONAL</w:t>
      </w:r>
      <w:r w:rsidRPr="00FA0D37">
        <w:rPr>
          <w:rFonts w:eastAsia="Malgun Gothic"/>
        </w:rPr>
        <w:t>,</w:t>
      </w:r>
    </w:p>
    <w:p w14:paraId="64EF34C5" w14:textId="77777777" w:rsidR="00394471" w:rsidRPr="00FA0D37" w:rsidRDefault="00394471" w:rsidP="00FA0D37">
      <w:pPr>
        <w:pStyle w:val="PL"/>
        <w:rPr>
          <w:rFonts w:eastAsia="Malgun Gothic"/>
        </w:rPr>
      </w:pPr>
      <w:r w:rsidRPr="00FA0D37">
        <w:rPr>
          <w:rFonts w:eastAsia="Malgun Gothic"/>
        </w:rPr>
        <w:t xml:space="preserve">    ...,</w:t>
      </w:r>
    </w:p>
    <w:p w14:paraId="47C8631A" w14:textId="77777777" w:rsidR="00394471" w:rsidRPr="00FA0D37" w:rsidRDefault="00394471" w:rsidP="00FA0D37">
      <w:pPr>
        <w:pStyle w:val="PL"/>
        <w:rPr>
          <w:rFonts w:eastAsia="Malgun Gothic"/>
        </w:rPr>
      </w:pPr>
      <w:r w:rsidRPr="00FA0D37">
        <w:rPr>
          <w:rFonts w:eastAsia="Malgun Gothic"/>
        </w:rPr>
        <w:t xml:space="preserve">    [[</w:t>
      </w:r>
    </w:p>
    <w:p w14:paraId="6D8EA7BF" w14:textId="77777777" w:rsidR="00394471" w:rsidRPr="00FA0D37" w:rsidRDefault="00394471" w:rsidP="00FA0D37">
      <w:pPr>
        <w:pStyle w:val="PL"/>
        <w:rPr>
          <w:rFonts w:eastAsia="Malgun Gothic"/>
        </w:rPr>
      </w:pPr>
      <w:r w:rsidRPr="00FA0D37">
        <w:rPr>
          <w:rFonts w:eastAsia="Malgun Gothic"/>
        </w:rPr>
        <w:t xml:space="preserve">    locationInfo-r16                            LocationInfo-r16            </w:t>
      </w:r>
      <w:r w:rsidRPr="00FA0D37">
        <w:rPr>
          <w:color w:val="993366"/>
        </w:rPr>
        <w:t>OPTIONAL</w:t>
      </w:r>
      <w:r w:rsidRPr="00FA0D37">
        <w:t>,</w:t>
      </w:r>
    </w:p>
    <w:p w14:paraId="14C63949" w14:textId="77777777" w:rsidR="00394471" w:rsidRPr="00FA0D37" w:rsidRDefault="00394471" w:rsidP="00FA0D37">
      <w:pPr>
        <w:pStyle w:val="PL"/>
      </w:pPr>
      <w:r w:rsidRPr="00FA0D37">
        <w:t xml:space="preserve">   failureType-v1610                        </w:t>
      </w:r>
      <w:r w:rsidRPr="00FA0D37">
        <w:rPr>
          <w:color w:val="993366"/>
        </w:rPr>
        <w:t>ENUMERATED</w:t>
      </w:r>
      <w:r w:rsidRPr="00FA0D37">
        <w:rPr>
          <w:rFonts w:eastAsia="Malgun Gothic"/>
        </w:rPr>
        <w:t xml:space="preserve"> {scg-lbtFailure-r16, beamFailureRecoveryFailure-r16,</w:t>
      </w:r>
    </w:p>
    <w:p w14:paraId="13905268" w14:textId="76104713" w:rsidR="00394471" w:rsidRPr="00FA0D37" w:rsidRDefault="00394471" w:rsidP="00FA0D37">
      <w:pPr>
        <w:pStyle w:val="PL"/>
        <w:rPr>
          <w:rFonts w:eastAsia="Malgun Gothic"/>
        </w:rPr>
      </w:pPr>
      <w:r w:rsidRPr="00FA0D37">
        <w:t xml:space="preserve">                                                        t312-Expiry-r16, bh-RLF-r16</w:t>
      </w:r>
      <w:r w:rsidRPr="00FA0D37">
        <w:rPr>
          <w:rFonts w:eastAsia="Malgun Gothic"/>
        </w:rPr>
        <w:t xml:space="preserve">, </w:t>
      </w:r>
      <w:r w:rsidR="00DB6B82" w:rsidRPr="00FA0D37">
        <w:rPr>
          <w:rFonts w:eastAsia="Malgun Gothic"/>
        </w:rPr>
        <w:t>beamFailure-r17</w:t>
      </w:r>
      <w:r w:rsidRPr="00FA0D37">
        <w:rPr>
          <w:rFonts w:eastAsia="Malgun Gothic"/>
        </w:rPr>
        <w:t>, spare3, spare2, spare1}</w:t>
      </w:r>
      <w:r w:rsidRPr="00FA0D37">
        <w:t xml:space="preserve"> </w:t>
      </w:r>
      <w:r w:rsidRPr="00FA0D37">
        <w:rPr>
          <w:color w:val="993366"/>
        </w:rPr>
        <w:t>OPTIONAL</w:t>
      </w:r>
    </w:p>
    <w:p w14:paraId="57275E84" w14:textId="6983A66D" w:rsidR="00E84B6D" w:rsidRPr="00FA0D37" w:rsidRDefault="00E84B6D" w:rsidP="00FA0D37">
      <w:pPr>
        <w:pStyle w:val="PL"/>
        <w:rPr>
          <w:rFonts w:eastAsia="Malgun Gothic"/>
        </w:rPr>
      </w:pPr>
      <w:r w:rsidRPr="00FA0D37">
        <w:t xml:space="preserve">    </w:t>
      </w:r>
      <w:r w:rsidR="00394471" w:rsidRPr="00FA0D37">
        <w:rPr>
          <w:rFonts w:eastAsia="Malgun Gothic"/>
        </w:rPr>
        <w:t>]]</w:t>
      </w:r>
      <w:r w:rsidRPr="00FA0D37">
        <w:rPr>
          <w:rFonts w:eastAsia="Malgun Gothic"/>
        </w:rPr>
        <w:t>,</w:t>
      </w:r>
    </w:p>
    <w:p w14:paraId="1C61D475" w14:textId="0DB0735F" w:rsidR="00E84B6D" w:rsidRPr="00FA0D37" w:rsidRDefault="00E84B6D" w:rsidP="00FA0D37">
      <w:pPr>
        <w:pStyle w:val="PL"/>
        <w:rPr>
          <w:rFonts w:eastAsia="Malgun Gothic"/>
        </w:rPr>
      </w:pPr>
      <w:r w:rsidRPr="00FA0D37">
        <w:t xml:space="preserve">    </w:t>
      </w:r>
      <w:r w:rsidRPr="00FA0D37">
        <w:rPr>
          <w:rFonts w:eastAsia="Malgun Gothic"/>
        </w:rPr>
        <w:t>[[</w:t>
      </w:r>
    </w:p>
    <w:p w14:paraId="7020528F" w14:textId="514617CD" w:rsidR="00E84B6D" w:rsidRPr="00FA0D37" w:rsidRDefault="00E84B6D" w:rsidP="00FA0D37">
      <w:pPr>
        <w:pStyle w:val="PL"/>
      </w:pPr>
      <w:r w:rsidRPr="00FA0D37">
        <w:t xml:space="preserve">    previousPSCellId-r17               </w:t>
      </w:r>
      <w:r w:rsidRPr="00FA0D37">
        <w:rPr>
          <w:color w:val="993366"/>
        </w:rPr>
        <w:t>SEQUENCE</w:t>
      </w:r>
      <w:r w:rsidRPr="00FA0D37">
        <w:t xml:space="preserve"> {</w:t>
      </w:r>
    </w:p>
    <w:p w14:paraId="230C31C9" w14:textId="4810A896" w:rsidR="00E84B6D" w:rsidRPr="00FA0D37" w:rsidRDefault="00E84B6D" w:rsidP="00FA0D37">
      <w:pPr>
        <w:pStyle w:val="PL"/>
      </w:pPr>
      <w:r w:rsidRPr="00FA0D37">
        <w:t xml:space="preserve">        physCellId-r17                     PhysCellId,</w:t>
      </w:r>
    </w:p>
    <w:p w14:paraId="25DEACFC" w14:textId="01B94ACA" w:rsidR="00E84B6D" w:rsidRPr="00FA0D37" w:rsidRDefault="00E84B6D" w:rsidP="00FA0D37">
      <w:pPr>
        <w:pStyle w:val="PL"/>
      </w:pPr>
      <w:r w:rsidRPr="00FA0D37">
        <w:t xml:space="preserve">        carrierFreq-r17                    ARFCN-ValueNR</w:t>
      </w:r>
    </w:p>
    <w:p w14:paraId="6A9F0587" w14:textId="1E681293" w:rsidR="00E84B6D" w:rsidRPr="00FA0D37" w:rsidRDefault="00E84B6D" w:rsidP="00FA0D37">
      <w:pPr>
        <w:pStyle w:val="PL"/>
      </w:pPr>
      <w:r w:rsidRPr="00FA0D37">
        <w:t xml:space="preserve">    </w:t>
      </w:r>
      <w:r w:rsidRPr="00FA0D37">
        <w:rPr>
          <w:rFonts w:eastAsia="等线"/>
        </w:rPr>
        <w:t>}</w:t>
      </w:r>
      <w:r w:rsidRPr="00FA0D37">
        <w:t xml:space="preserve">                                                           </w:t>
      </w:r>
      <w:r w:rsidRPr="00FA0D37">
        <w:rPr>
          <w:rFonts w:eastAsia="等线"/>
          <w:color w:val="993366"/>
        </w:rPr>
        <w:t>OPTIONAL</w:t>
      </w:r>
      <w:r w:rsidRPr="00FA0D37">
        <w:t>,</w:t>
      </w:r>
    </w:p>
    <w:p w14:paraId="71A3FEE8" w14:textId="3E29A9AE" w:rsidR="00E84B6D" w:rsidRPr="00FA0D37" w:rsidRDefault="00E84B6D" w:rsidP="00FA0D37">
      <w:pPr>
        <w:pStyle w:val="PL"/>
      </w:pPr>
      <w:r w:rsidRPr="00FA0D37">
        <w:t xml:space="preserve">    failedPSCellId-r17                 </w:t>
      </w:r>
      <w:r w:rsidRPr="00FA0D37">
        <w:rPr>
          <w:color w:val="993366"/>
        </w:rPr>
        <w:t>SEQUENCE</w:t>
      </w:r>
      <w:r w:rsidRPr="00FA0D37">
        <w:t xml:space="preserve"> {</w:t>
      </w:r>
    </w:p>
    <w:p w14:paraId="3B76F594" w14:textId="27437162" w:rsidR="00E84B6D" w:rsidRPr="00FA0D37" w:rsidRDefault="00E84B6D" w:rsidP="00FA0D37">
      <w:pPr>
        <w:pStyle w:val="PL"/>
      </w:pPr>
      <w:r w:rsidRPr="00FA0D37">
        <w:t xml:space="preserve">        physCellId-r17                     PhysCellId,</w:t>
      </w:r>
    </w:p>
    <w:p w14:paraId="5DB80CCD" w14:textId="6A4A9B14" w:rsidR="00E84B6D" w:rsidRPr="00FA0D37" w:rsidRDefault="00E84B6D" w:rsidP="00FA0D37">
      <w:pPr>
        <w:pStyle w:val="PL"/>
      </w:pPr>
      <w:r w:rsidRPr="00FA0D37">
        <w:t xml:space="preserve">        carrierFreq-r17                    ARFCN-ValueNR</w:t>
      </w:r>
    </w:p>
    <w:p w14:paraId="78CFECBC" w14:textId="44F52F80" w:rsidR="00E84B6D" w:rsidRPr="00FA0D37" w:rsidRDefault="00E84B6D" w:rsidP="00FA0D37">
      <w:pPr>
        <w:pStyle w:val="PL"/>
      </w:pPr>
      <w:r w:rsidRPr="00FA0D37">
        <w:t xml:space="preserve">     </w:t>
      </w:r>
      <w:r w:rsidRPr="00FA0D37">
        <w:rPr>
          <w:rFonts w:eastAsia="等线"/>
        </w:rPr>
        <w:t>}</w:t>
      </w:r>
      <w:r w:rsidRPr="00FA0D37">
        <w:t xml:space="preserve">                                                          </w:t>
      </w:r>
      <w:r w:rsidRPr="00FA0D37">
        <w:rPr>
          <w:rFonts w:eastAsia="等线"/>
          <w:color w:val="993366"/>
        </w:rPr>
        <w:t>OPTIONAL</w:t>
      </w:r>
      <w:r w:rsidRPr="00FA0D37">
        <w:t>,</w:t>
      </w:r>
    </w:p>
    <w:p w14:paraId="5BB9E773" w14:textId="5C94694D" w:rsidR="00E84B6D" w:rsidRPr="00FA0D37" w:rsidRDefault="00E84B6D" w:rsidP="00FA0D37">
      <w:pPr>
        <w:pStyle w:val="PL"/>
      </w:pPr>
      <w:r w:rsidRPr="00FA0D37">
        <w:t xml:space="preserve">    timeSCGFailure-r17                 </w:t>
      </w:r>
      <w:r w:rsidRPr="00FA0D37">
        <w:rPr>
          <w:color w:val="993366"/>
        </w:rPr>
        <w:t>INTEGER</w:t>
      </w:r>
      <w:r w:rsidRPr="00FA0D37">
        <w:t xml:space="preserve"> (0..1023)        </w:t>
      </w:r>
      <w:r w:rsidRPr="00FA0D37">
        <w:rPr>
          <w:color w:val="993366"/>
        </w:rPr>
        <w:t>OPTIONAL</w:t>
      </w:r>
      <w:r w:rsidRPr="00FA0D37">
        <w:t>,</w:t>
      </w:r>
    </w:p>
    <w:p w14:paraId="05F10A10" w14:textId="0AD3716C" w:rsidR="00E84B6D" w:rsidRPr="00FA0D37" w:rsidRDefault="00E84B6D" w:rsidP="00FA0D37">
      <w:pPr>
        <w:pStyle w:val="PL"/>
        <w:rPr>
          <w:rFonts w:eastAsia="Malgun Gothic"/>
        </w:rPr>
      </w:pPr>
      <w:r w:rsidRPr="00FA0D37">
        <w:t xml:space="preserve">    </w:t>
      </w:r>
      <w:r w:rsidRPr="00FA0D37">
        <w:rPr>
          <w:rFonts w:eastAsia="等线"/>
        </w:rPr>
        <w:t>perRAInfoList-r17</w:t>
      </w:r>
      <w:r w:rsidRPr="00FA0D37">
        <w:t xml:space="preserve">                  </w:t>
      </w:r>
      <w:r w:rsidRPr="00FA0D37">
        <w:rPr>
          <w:rFonts w:eastAsia="等线"/>
        </w:rPr>
        <w:t>PerRAInfoList-r16</w:t>
      </w:r>
      <w:r w:rsidRPr="00FA0D37">
        <w:rPr>
          <w:rFonts w:eastAsia="Malgun Gothic"/>
        </w:rPr>
        <w:t xml:space="preserve">       </w:t>
      </w:r>
      <w:r w:rsidRPr="00FA0D37">
        <w:t xml:space="preserve">   </w:t>
      </w:r>
      <w:r w:rsidRPr="00FA0D37">
        <w:rPr>
          <w:color w:val="993366"/>
        </w:rPr>
        <w:t>OPTIONAL</w:t>
      </w:r>
    </w:p>
    <w:p w14:paraId="22B60BB1" w14:textId="28D4AFAE" w:rsidR="00394471" w:rsidRPr="00FA0D37" w:rsidRDefault="00E84B6D" w:rsidP="00FA0D37">
      <w:pPr>
        <w:pStyle w:val="PL"/>
        <w:rPr>
          <w:rFonts w:eastAsia="Malgun Gothic"/>
        </w:rPr>
      </w:pPr>
      <w:r w:rsidRPr="00FA0D37">
        <w:t xml:space="preserve">    </w:t>
      </w:r>
      <w:r w:rsidRPr="00FA0D37">
        <w:rPr>
          <w:rFonts w:eastAsia="Malgun Gothic"/>
        </w:rPr>
        <w:t>]]</w:t>
      </w:r>
    </w:p>
    <w:p w14:paraId="3CEB49B6" w14:textId="77777777" w:rsidR="00394471" w:rsidRPr="00FA0D37" w:rsidRDefault="00394471" w:rsidP="00FA0D37">
      <w:pPr>
        <w:pStyle w:val="PL"/>
        <w:rPr>
          <w:rFonts w:eastAsia="Malgun Gothic"/>
        </w:rPr>
      </w:pPr>
      <w:r w:rsidRPr="00FA0D37">
        <w:rPr>
          <w:rFonts w:eastAsia="Malgun Gothic"/>
        </w:rPr>
        <w:t>}</w:t>
      </w:r>
    </w:p>
    <w:p w14:paraId="29779EBD" w14:textId="77777777" w:rsidR="00394471" w:rsidRPr="00FA0D37" w:rsidRDefault="00394471" w:rsidP="00FA0D37">
      <w:pPr>
        <w:pStyle w:val="PL"/>
        <w:rPr>
          <w:rFonts w:eastAsia="Malgun Gothic"/>
        </w:rPr>
      </w:pPr>
    </w:p>
    <w:p w14:paraId="6D118768" w14:textId="77777777" w:rsidR="00394471" w:rsidRPr="00FA0D37" w:rsidRDefault="00394471" w:rsidP="00FA0D37">
      <w:pPr>
        <w:pStyle w:val="PL"/>
        <w:rPr>
          <w:rFonts w:eastAsia="Malgun Gothic"/>
        </w:rPr>
      </w:pPr>
      <w:r w:rsidRPr="00FA0D37">
        <w:rPr>
          <w:rFonts w:eastAsia="Malgun Gothic"/>
        </w:rPr>
        <w:t xml:space="preserve">MeasResultFreqList ::=               </w:t>
      </w:r>
      <w:r w:rsidRPr="00FA0D37">
        <w:t xml:space="preserve">    </w:t>
      </w:r>
      <w:r w:rsidRPr="00FA0D37">
        <w:rPr>
          <w:color w:val="993366"/>
        </w:rPr>
        <w:t>SEQUENCE</w:t>
      </w:r>
      <w:r w:rsidRPr="00FA0D37">
        <w:rPr>
          <w:rFonts w:eastAsia="Malgun Gothic"/>
        </w:rPr>
        <w:t xml:space="preserve"> (</w:t>
      </w:r>
      <w:r w:rsidRPr="00FA0D37">
        <w:rPr>
          <w:color w:val="993366"/>
        </w:rPr>
        <w:t>SIZE</w:t>
      </w:r>
      <w:r w:rsidRPr="00FA0D37">
        <w:rPr>
          <w:rFonts w:eastAsia="Malgun Gothic"/>
        </w:rPr>
        <w:t xml:space="preserve"> (1..maxFreq))</w:t>
      </w:r>
      <w:r w:rsidRPr="00FA0D37">
        <w:rPr>
          <w:rFonts w:eastAsia="Malgun Gothic"/>
          <w:color w:val="993366"/>
        </w:rPr>
        <w:t xml:space="preserve"> </w:t>
      </w:r>
      <w:r w:rsidRPr="00FA0D37">
        <w:rPr>
          <w:color w:val="993366"/>
        </w:rPr>
        <w:t>OF</w:t>
      </w:r>
      <w:r w:rsidRPr="00FA0D37">
        <w:rPr>
          <w:rFonts w:eastAsia="Malgun Gothic"/>
        </w:rPr>
        <w:t xml:space="preserve"> MeasResult2NR</w:t>
      </w:r>
    </w:p>
    <w:p w14:paraId="54849D50" w14:textId="77777777" w:rsidR="00394471" w:rsidRPr="00FA0D37" w:rsidRDefault="00394471" w:rsidP="00FA0D37">
      <w:pPr>
        <w:pStyle w:val="PL"/>
        <w:rPr>
          <w:rFonts w:eastAsia="Malgun Gothic"/>
        </w:rPr>
      </w:pPr>
    </w:p>
    <w:p w14:paraId="7E93DBB4" w14:textId="77777777" w:rsidR="00394471" w:rsidRPr="00FA0D37" w:rsidRDefault="00394471" w:rsidP="00FA0D37">
      <w:pPr>
        <w:pStyle w:val="PL"/>
        <w:rPr>
          <w:rFonts w:eastAsia="Malgun Gothic"/>
        </w:rPr>
      </w:pPr>
    </w:p>
    <w:p w14:paraId="096079D6" w14:textId="77777777" w:rsidR="00394471" w:rsidRPr="00FA0D37" w:rsidRDefault="00394471" w:rsidP="00FA0D37">
      <w:pPr>
        <w:pStyle w:val="PL"/>
        <w:rPr>
          <w:color w:val="808080"/>
        </w:rPr>
      </w:pPr>
      <w:r w:rsidRPr="00FA0D37">
        <w:rPr>
          <w:color w:val="808080"/>
        </w:rPr>
        <w:t>-- TAG-SCGFAILUREINFORMATION-STOP</w:t>
      </w:r>
    </w:p>
    <w:p w14:paraId="552EBA84" w14:textId="77777777" w:rsidR="00394471" w:rsidRPr="00FA0D37" w:rsidRDefault="00394471" w:rsidP="00FA0D37">
      <w:pPr>
        <w:pStyle w:val="PL"/>
        <w:rPr>
          <w:color w:val="808080"/>
        </w:rPr>
      </w:pPr>
      <w:r w:rsidRPr="00FA0D37">
        <w:rPr>
          <w:color w:val="808080"/>
        </w:rPr>
        <w:t>-- ASN1STOP</w:t>
      </w:r>
    </w:p>
    <w:p w14:paraId="7CB6477F" w14:textId="77777777" w:rsidR="00394471" w:rsidRPr="00FA0D37" w:rsidRDefault="00394471" w:rsidP="00394471">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5C7FF4" w:rsidRPr="00FA0D37" w14:paraId="2AEBDF9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E1C267" w14:textId="77777777" w:rsidR="00394471" w:rsidRPr="00FA0D37" w:rsidRDefault="00394471" w:rsidP="00964CC4">
            <w:pPr>
              <w:pStyle w:val="TAH"/>
              <w:rPr>
                <w:rFonts w:eastAsia="Malgun Gothic"/>
                <w:lang w:eastAsia="en-GB"/>
              </w:rPr>
            </w:pPr>
            <w:r w:rsidRPr="00FA0D37">
              <w:rPr>
                <w:rFonts w:eastAsia="Malgun Gothic"/>
                <w:i/>
                <w:noProof/>
                <w:lang w:eastAsia="sv-SE"/>
              </w:rPr>
              <w:lastRenderedPageBreak/>
              <w:t>SCGFailureInformation</w:t>
            </w:r>
            <w:r w:rsidRPr="00FA0D37">
              <w:rPr>
                <w:rFonts w:eastAsia="Malgun Gothic"/>
                <w:i/>
                <w:iCs/>
                <w:noProof/>
                <w:lang w:eastAsia="en-GB"/>
              </w:rPr>
              <w:t xml:space="preserve"> field descriptions</w:t>
            </w:r>
          </w:p>
        </w:tc>
      </w:tr>
      <w:tr w:rsidR="005C7FF4" w:rsidRPr="00FA0D37" w14:paraId="31AE726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5ED1BD7" w14:textId="77777777" w:rsidR="00394471" w:rsidRPr="00FA0D37" w:rsidRDefault="00394471" w:rsidP="00964CC4">
            <w:pPr>
              <w:pStyle w:val="TAL"/>
              <w:rPr>
                <w:rFonts w:eastAsia="Malgun Gothic"/>
                <w:b/>
                <w:i/>
                <w:lang w:eastAsia="sv-SE"/>
              </w:rPr>
            </w:pPr>
            <w:r w:rsidRPr="00FA0D37">
              <w:rPr>
                <w:rFonts w:eastAsia="Malgun Gothic"/>
                <w:b/>
                <w:i/>
                <w:lang w:eastAsia="sv-SE"/>
              </w:rPr>
              <w:t>measResultFreqList</w:t>
            </w:r>
          </w:p>
          <w:p w14:paraId="6451D03C" w14:textId="77777777" w:rsidR="00394471" w:rsidRPr="00FA0D37" w:rsidRDefault="00394471" w:rsidP="00964CC4">
            <w:pPr>
              <w:pStyle w:val="TAL"/>
              <w:rPr>
                <w:rFonts w:eastAsia="Malgun Gothic"/>
                <w:noProof/>
                <w:lang w:eastAsia="en-GB"/>
              </w:rPr>
            </w:pPr>
            <w:r w:rsidRPr="00FA0D37">
              <w:rPr>
                <w:rFonts w:eastAsia="Malgun Gothic"/>
                <w:lang w:eastAsia="en-GB"/>
              </w:rPr>
              <w:t xml:space="preserve">The field contains available results of measurements on NR frequencies the UE is configured to measure by </w:t>
            </w:r>
            <w:r w:rsidRPr="00FA0D37">
              <w:rPr>
                <w:rFonts w:eastAsia="Malgun Gothic"/>
                <w:i/>
                <w:lang w:eastAsia="en-GB"/>
              </w:rPr>
              <w:t>measConfig</w:t>
            </w:r>
            <w:r w:rsidRPr="00FA0D37">
              <w:rPr>
                <w:rFonts w:eastAsia="Malgun Gothic"/>
                <w:lang w:eastAsia="en-GB"/>
              </w:rPr>
              <w:t>.</w:t>
            </w:r>
          </w:p>
        </w:tc>
      </w:tr>
      <w:tr w:rsidR="005C7FF4" w:rsidRPr="00FA0D37" w14:paraId="79D2B6F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689744" w14:textId="77777777" w:rsidR="00394471" w:rsidRPr="00FA0D37" w:rsidRDefault="00394471" w:rsidP="00964CC4">
            <w:pPr>
              <w:pStyle w:val="TAL"/>
              <w:rPr>
                <w:rFonts w:eastAsia="Malgun Gothic"/>
                <w:b/>
                <w:i/>
                <w:lang w:eastAsia="sv-SE"/>
              </w:rPr>
            </w:pPr>
            <w:r w:rsidRPr="00FA0D37">
              <w:rPr>
                <w:rFonts w:eastAsia="Malgun Gothic"/>
                <w:b/>
                <w:i/>
                <w:lang w:eastAsia="sv-SE"/>
              </w:rPr>
              <w:t>measResultSCG-Failure</w:t>
            </w:r>
          </w:p>
          <w:p w14:paraId="237FD31D" w14:textId="77777777" w:rsidR="00394471" w:rsidRPr="00FA0D37" w:rsidRDefault="00394471" w:rsidP="00964CC4">
            <w:pPr>
              <w:pStyle w:val="TAL"/>
              <w:rPr>
                <w:rFonts w:eastAsia="Malgun Gothic"/>
                <w:lang w:eastAsia="sv-SE"/>
              </w:rPr>
            </w:pPr>
            <w:r w:rsidRPr="00FA0D37">
              <w:rPr>
                <w:rFonts w:eastAsia="Malgun Gothic"/>
                <w:lang w:eastAsia="sv-SE"/>
              </w:rPr>
              <w:t xml:space="preserve">The field contains </w:t>
            </w:r>
            <w:r w:rsidRPr="00FA0D37">
              <w:rPr>
                <w:lang w:eastAsia="sv-SE"/>
              </w:rPr>
              <w:t xml:space="preserve">the </w:t>
            </w:r>
            <w:r w:rsidRPr="00FA0D37">
              <w:rPr>
                <w:i/>
                <w:lang w:eastAsia="sv-SE"/>
              </w:rPr>
              <w:t>MeasResultSCG-Failure</w:t>
            </w:r>
            <w:r w:rsidRPr="00FA0D37">
              <w:rPr>
                <w:lang w:eastAsia="sv-SE"/>
              </w:rPr>
              <w:t xml:space="preserve"> IE which includes</w:t>
            </w:r>
            <w:r w:rsidRPr="00FA0D37">
              <w:rPr>
                <w:rFonts w:eastAsia="Malgun Gothic"/>
                <w:lang w:eastAsia="sv-SE"/>
              </w:rPr>
              <w:t xml:space="preserve"> available results of measurements on NR frequencies the UE is configured to measure by the NR SCG </w:t>
            </w:r>
            <w:r w:rsidRPr="00FA0D37">
              <w:rPr>
                <w:rFonts w:eastAsia="Malgun Gothic"/>
                <w:i/>
                <w:lang w:eastAsia="sv-SE"/>
              </w:rPr>
              <w:t>RRCReconfiguration</w:t>
            </w:r>
            <w:r w:rsidRPr="00FA0D37">
              <w:rPr>
                <w:rFonts w:eastAsia="Malgun Gothic"/>
                <w:lang w:eastAsia="sv-SE"/>
              </w:rPr>
              <w:t xml:space="preserve"> message.</w:t>
            </w:r>
            <w:r w:rsidRPr="00FA0D37">
              <w:rPr>
                <w:rFonts w:ascii="Times New Roman" w:hAnsi="Times New Roman"/>
                <w:lang w:eastAsia="sv-SE"/>
              </w:rPr>
              <w:t xml:space="preserve"> </w:t>
            </w:r>
          </w:p>
        </w:tc>
      </w:tr>
      <w:tr w:rsidR="005C7FF4" w:rsidRPr="00FA0D37" w14:paraId="62DF5DF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64E823" w14:textId="77777777" w:rsidR="00E84B6D" w:rsidRPr="00FA0D37" w:rsidRDefault="00E84B6D" w:rsidP="00E84B6D">
            <w:pPr>
              <w:pStyle w:val="TAL"/>
              <w:rPr>
                <w:rFonts w:eastAsia="Malgun Gothic"/>
                <w:b/>
                <w:i/>
                <w:lang w:eastAsia="sv-SE"/>
              </w:rPr>
            </w:pPr>
            <w:r w:rsidRPr="00FA0D37">
              <w:rPr>
                <w:rFonts w:eastAsia="Malgun Gothic"/>
                <w:b/>
                <w:i/>
                <w:lang w:eastAsia="sv-SE"/>
              </w:rPr>
              <w:t>previousPSCellId</w:t>
            </w:r>
          </w:p>
          <w:p w14:paraId="175CEC3B" w14:textId="115325C3" w:rsidR="00E84B6D" w:rsidRPr="00FA0D37" w:rsidRDefault="00E84B6D" w:rsidP="00E84B6D">
            <w:pPr>
              <w:pStyle w:val="TAL"/>
              <w:rPr>
                <w:rFonts w:eastAsia="Malgun Gothic"/>
                <w:bCs/>
                <w:iCs/>
                <w:lang w:eastAsia="sv-SE"/>
              </w:rPr>
            </w:pPr>
            <w:r w:rsidRPr="00FA0D37">
              <w:rPr>
                <w:rFonts w:eastAsia="Malgun Gothic"/>
                <w:bCs/>
                <w:iCs/>
                <w:lang w:eastAsia="sv-SE"/>
              </w:rPr>
              <w:t xml:space="preserve">This field indicates the physical cell id and carrier frequency of the cell that is the source PSCell of the last </w:t>
            </w:r>
            <w:r w:rsidR="00E12E00" w:rsidRPr="00FA0D37">
              <w:rPr>
                <w:rFonts w:eastAsia="Malgun Gothic"/>
                <w:bCs/>
                <w:iCs/>
                <w:lang w:eastAsia="sv-SE"/>
              </w:rPr>
              <w:t>PSCell</w:t>
            </w:r>
            <w:r w:rsidRPr="00FA0D37">
              <w:rPr>
                <w:rFonts w:eastAsia="Malgun Gothic"/>
                <w:bCs/>
                <w:iCs/>
                <w:lang w:eastAsia="sv-SE"/>
              </w:rPr>
              <w:t xml:space="preserve"> change.</w:t>
            </w:r>
          </w:p>
        </w:tc>
      </w:tr>
      <w:tr w:rsidR="005C7FF4" w:rsidRPr="00FA0D37" w14:paraId="53FDF83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B7BD914" w14:textId="77777777" w:rsidR="00E84B6D" w:rsidRPr="00FA0D37" w:rsidRDefault="00E84B6D" w:rsidP="00E84B6D">
            <w:pPr>
              <w:pStyle w:val="TAL"/>
              <w:rPr>
                <w:rFonts w:eastAsia="Malgun Gothic"/>
                <w:b/>
                <w:i/>
                <w:lang w:eastAsia="sv-SE"/>
              </w:rPr>
            </w:pPr>
            <w:r w:rsidRPr="00FA0D37">
              <w:rPr>
                <w:rFonts w:eastAsia="Malgun Gothic"/>
                <w:b/>
                <w:i/>
                <w:lang w:eastAsia="sv-SE"/>
              </w:rPr>
              <w:t>failedPSCellId</w:t>
            </w:r>
          </w:p>
          <w:p w14:paraId="69FAC254" w14:textId="082857DF" w:rsidR="00E84B6D" w:rsidRPr="00FA0D37" w:rsidRDefault="00E84B6D" w:rsidP="00E84B6D">
            <w:pPr>
              <w:pStyle w:val="TAL"/>
              <w:rPr>
                <w:rFonts w:eastAsia="Malgun Gothic"/>
                <w:bCs/>
                <w:iCs/>
                <w:lang w:eastAsia="sv-SE"/>
              </w:rPr>
            </w:pPr>
            <w:r w:rsidRPr="00FA0D37">
              <w:rPr>
                <w:rFonts w:eastAsia="Malgun Gothic"/>
                <w:bCs/>
                <w:iCs/>
                <w:lang w:eastAsia="sv-SE"/>
              </w:rPr>
              <w:t>This field indicates the physical cell id and carrier frequency of the cell in which SCG failure is detected or the target PSCell of the failed PSCell change</w:t>
            </w:r>
            <w:r w:rsidR="00E12E00" w:rsidRPr="00FA0D37">
              <w:rPr>
                <w:rFonts w:eastAsia="Malgun Gothic"/>
                <w:bCs/>
                <w:iCs/>
                <w:lang w:eastAsia="sv-SE"/>
              </w:rPr>
              <w:t xml:space="preserve"> or failed PSCell addition</w:t>
            </w:r>
            <w:r w:rsidRPr="00FA0D37">
              <w:rPr>
                <w:rFonts w:eastAsia="Malgun Gothic"/>
                <w:bCs/>
                <w:iCs/>
                <w:lang w:eastAsia="sv-SE"/>
              </w:rPr>
              <w:t>.</w:t>
            </w:r>
          </w:p>
        </w:tc>
      </w:tr>
      <w:tr w:rsidR="000830BB" w:rsidRPr="00FA0D37" w14:paraId="501B62C2"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3D772C7" w14:textId="77777777" w:rsidR="00E84B6D" w:rsidRPr="00FA0D37" w:rsidRDefault="00E84B6D" w:rsidP="00E84B6D">
            <w:pPr>
              <w:pStyle w:val="TAL"/>
              <w:rPr>
                <w:rFonts w:eastAsia="Malgun Gothic"/>
                <w:b/>
                <w:i/>
                <w:lang w:eastAsia="sv-SE"/>
              </w:rPr>
            </w:pPr>
            <w:r w:rsidRPr="00FA0D37">
              <w:rPr>
                <w:rFonts w:eastAsia="Malgun Gothic"/>
                <w:b/>
                <w:i/>
                <w:lang w:eastAsia="sv-SE"/>
              </w:rPr>
              <w:t>timeSCGFailure</w:t>
            </w:r>
          </w:p>
          <w:p w14:paraId="07653127" w14:textId="6B5AF9CF" w:rsidR="00E84B6D" w:rsidRPr="00FA0D37" w:rsidRDefault="00E84B6D" w:rsidP="00E84B6D">
            <w:pPr>
              <w:pStyle w:val="TAL"/>
              <w:rPr>
                <w:rFonts w:eastAsia="Malgun Gothic"/>
                <w:bCs/>
                <w:iCs/>
                <w:lang w:eastAsia="sv-SE"/>
              </w:rPr>
            </w:pPr>
            <w:r w:rsidRPr="00FA0D37">
              <w:rPr>
                <w:rFonts w:eastAsia="Malgun Gothic"/>
                <w:bCs/>
                <w:iCs/>
                <w:lang w:eastAsia="sv-SE"/>
              </w:rPr>
              <w:t xml:space="preserve">This field is used to indicate the time elapsed since the last execution of </w:t>
            </w:r>
            <w:r w:rsidRPr="00FA0D37">
              <w:rPr>
                <w:rFonts w:eastAsia="Malgun Gothic"/>
                <w:bCs/>
                <w:i/>
                <w:lang w:eastAsia="sv-SE"/>
              </w:rPr>
              <w:t>RRCReconfiguration</w:t>
            </w:r>
            <w:r w:rsidRPr="00FA0D37">
              <w:rPr>
                <w:rFonts w:eastAsia="Malgun Gothic"/>
                <w:bCs/>
                <w:iCs/>
                <w:lang w:eastAsia="sv-SE"/>
              </w:rPr>
              <w:t xml:space="preserve"> with </w:t>
            </w:r>
            <w:r w:rsidRPr="00FA0D37">
              <w:rPr>
                <w:rFonts w:eastAsia="Malgun Gothic"/>
                <w:bCs/>
                <w:i/>
                <w:lang w:eastAsia="sv-SE"/>
              </w:rPr>
              <w:t>reconfigurationWithSync</w:t>
            </w:r>
            <w:r w:rsidRPr="00FA0D37">
              <w:rPr>
                <w:rFonts w:eastAsia="Malgun Gothic"/>
                <w:bCs/>
                <w:iCs/>
                <w:lang w:eastAsia="sv-SE"/>
              </w:rPr>
              <w:t xml:space="preserve"> for the SCG until the SCG failure. Actual value = field value * 100ms. The maximum value 1023 means 102.3s or longer.</w:t>
            </w:r>
          </w:p>
        </w:tc>
      </w:tr>
    </w:tbl>
    <w:p w14:paraId="23C2A4E9" w14:textId="77777777" w:rsidR="00394471" w:rsidRPr="00FA0D37" w:rsidRDefault="00394471" w:rsidP="00394471"/>
    <w:p w14:paraId="7D3D3D82" w14:textId="77777777" w:rsidR="00394471" w:rsidRPr="00FA0D37" w:rsidRDefault="00394471" w:rsidP="00394471">
      <w:pPr>
        <w:pStyle w:val="4"/>
        <w:rPr>
          <w:i/>
          <w:iCs/>
        </w:rPr>
      </w:pPr>
      <w:bookmarkStart w:id="698" w:name="_Toc60777121"/>
      <w:bookmarkStart w:id="699" w:name="_Toc146781158"/>
      <w:r w:rsidRPr="00FA0D37">
        <w:rPr>
          <w:i/>
          <w:iCs/>
        </w:rPr>
        <w:t>–</w:t>
      </w:r>
      <w:r w:rsidRPr="00FA0D37">
        <w:rPr>
          <w:i/>
          <w:iCs/>
        </w:rPr>
        <w:tab/>
        <w:t>SCGFailureInformationEUTRA</w:t>
      </w:r>
      <w:bookmarkEnd w:id="698"/>
      <w:bookmarkEnd w:id="699"/>
    </w:p>
    <w:p w14:paraId="316D8D47" w14:textId="77777777" w:rsidR="00394471" w:rsidRPr="00FA0D37" w:rsidRDefault="00394471" w:rsidP="00394471">
      <w:r w:rsidRPr="00FA0D37">
        <w:t xml:space="preserve">The </w:t>
      </w:r>
      <w:r w:rsidRPr="00FA0D37">
        <w:rPr>
          <w:i/>
        </w:rPr>
        <w:t>SCGFailureInformationEUTRA</w:t>
      </w:r>
      <w:r w:rsidRPr="00FA0D37">
        <w:t xml:space="preserve"> message is used to provide information regarding E-UTRA SCG failures detected by the UE.</w:t>
      </w:r>
    </w:p>
    <w:p w14:paraId="52D1A9BE" w14:textId="77777777" w:rsidR="00394471" w:rsidRPr="00FA0D37" w:rsidRDefault="00394471" w:rsidP="00394471">
      <w:pPr>
        <w:pStyle w:val="B1"/>
      </w:pPr>
      <w:r w:rsidRPr="00FA0D37">
        <w:t>Signalling radio bearer: SRB1</w:t>
      </w:r>
    </w:p>
    <w:p w14:paraId="5069CCC4" w14:textId="77777777" w:rsidR="00394471" w:rsidRPr="00FA0D37" w:rsidRDefault="00394471" w:rsidP="00394471">
      <w:pPr>
        <w:pStyle w:val="B1"/>
      </w:pPr>
      <w:r w:rsidRPr="00FA0D37">
        <w:t>RLC-SAP: AM</w:t>
      </w:r>
    </w:p>
    <w:p w14:paraId="05E166E1" w14:textId="77777777" w:rsidR="00394471" w:rsidRPr="00FA0D37" w:rsidRDefault="00394471" w:rsidP="00394471">
      <w:pPr>
        <w:pStyle w:val="B1"/>
      </w:pPr>
      <w:r w:rsidRPr="00FA0D37">
        <w:t>Logical channel: DCCH</w:t>
      </w:r>
    </w:p>
    <w:p w14:paraId="333479E4" w14:textId="77777777" w:rsidR="00394471" w:rsidRPr="00FA0D37" w:rsidRDefault="00394471" w:rsidP="00394471">
      <w:pPr>
        <w:pStyle w:val="B1"/>
      </w:pPr>
      <w:r w:rsidRPr="00FA0D37">
        <w:t>Direction: UE to Network</w:t>
      </w:r>
    </w:p>
    <w:p w14:paraId="7F34E37C" w14:textId="77777777" w:rsidR="00394471" w:rsidRPr="00FA0D37" w:rsidRDefault="00394471" w:rsidP="00394471">
      <w:pPr>
        <w:pStyle w:val="TH"/>
      </w:pPr>
      <w:r w:rsidRPr="00FA0D37">
        <w:rPr>
          <w:bCs/>
          <w:i/>
          <w:iCs/>
        </w:rPr>
        <w:t>SCGFailureInformationEUTRA</w:t>
      </w:r>
      <w:r w:rsidRPr="00FA0D37">
        <w:t xml:space="preserve"> message</w:t>
      </w:r>
    </w:p>
    <w:p w14:paraId="2B080D13" w14:textId="77777777" w:rsidR="00394471" w:rsidRPr="00FA0D37" w:rsidRDefault="00394471" w:rsidP="00FA0D37">
      <w:pPr>
        <w:pStyle w:val="PL"/>
        <w:rPr>
          <w:color w:val="808080"/>
        </w:rPr>
      </w:pPr>
      <w:r w:rsidRPr="00FA0D37">
        <w:rPr>
          <w:color w:val="808080"/>
        </w:rPr>
        <w:t>-- ASN1START</w:t>
      </w:r>
    </w:p>
    <w:p w14:paraId="6EEA63A6" w14:textId="77777777" w:rsidR="00394471" w:rsidRPr="00FA0D37" w:rsidRDefault="00394471" w:rsidP="00FA0D37">
      <w:pPr>
        <w:pStyle w:val="PL"/>
        <w:rPr>
          <w:color w:val="808080"/>
        </w:rPr>
      </w:pPr>
      <w:r w:rsidRPr="00FA0D37">
        <w:rPr>
          <w:color w:val="808080"/>
        </w:rPr>
        <w:t>-- TAG-SCGFAILUREINFORMATIONEUTRA-START</w:t>
      </w:r>
    </w:p>
    <w:p w14:paraId="30FDB7AA" w14:textId="77777777" w:rsidR="00394471" w:rsidRPr="00FA0D37" w:rsidRDefault="00394471" w:rsidP="00FA0D37">
      <w:pPr>
        <w:pStyle w:val="PL"/>
        <w:rPr>
          <w:rFonts w:eastAsia="Malgun Gothic"/>
        </w:rPr>
      </w:pPr>
    </w:p>
    <w:p w14:paraId="107BBF04" w14:textId="77777777" w:rsidR="00394471" w:rsidRPr="00FA0D37" w:rsidRDefault="00394471" w:rsidP="00FA0D37">
      <w:pPr>
        <w:pStyle w:val="PL"/>
        <w:rPr>
          <w:rFonts w:eastAsia="Malgun Gothic"/>
        </w:rPr>
      </w:pPr>
      <w:r w:rsidRPr="00FA0D37">
        <w:rPr>
          <w:rFonts w:eastAsia="Malgun Gothic"/>
        </w:rPr>
        <w:t xml:space="preserve">SCGFailureInformationEUTRA ::=                </w:t>
      </w:r>
      <w:r w:rsidRPr="00FA0D37">
        <w:rPr>
          <w:color w:val="993366"/>
        </w:rPr>
        <w:t>SEQUENCE</w:t>
      </w:r>
      <w:r w:rsidRPr="00FA0D37">
        <w:rPr>
          <w:rFonts w:eastAsia="Malgun Gothic"/>
        </w:rPr>
        <w:t xml:space="preserve"> {</w:t>
      </w:r>
    </w:p>
    <w:p w14:paraId="765BB027" w14:textId="77777777" w:rsidR="00394471" w:rsidRPr="00FA0D37" w:rsidRDefault="00394471" w:rsidP="00FA0D37">
      <w:pPr>
        <w:pStyle w:val="PL"/>
        <w:rPr>
          <w:rFonts w:eastAsia="Malgun Gothic"/>
        </w:rPr>
      </w:pPr>
      <w:r w:rsidRPr="00FA0D37">
        <w:rPr>
          <w:rFonts w:eastAsia="Malgun Gothic"/>
        </w:rPr>
        <w:t xml:space="preserve">    criticalExtensions                                </w:t>
      </w:r>
      <w:r w:rsidRPr="00FA0D37">
        <w:rPr>
          <w:color w:val="993366"/>
        </w:rPr>
        <w:t>CHOICE</w:t>
      </w:r>
      <w:r w:rsidRPr="00FA0D37">
        <w:rPr>
          <w:rFonts w:eastAsia="Malgun Gothic"/>
        </w:rPr>
        <w:t xml:space="preserve"> {</w:t>
      </w:r>
    </w:p>
    <w:p w14:paraId="3681AEBF" w14:textId="77777777" w:rsidR="00394471" w:rsidRPr="00FA0D37" w:rsidRDefault="00394471" w:rsidP="00FA0D37">
      <w:pPr>
        <w:pStyle w:val="PL"/>
        <w:rPr>
          <w:rFonts w:eastAsia="Malgun Gothic"/>
        </w:rPr>
      </w:pPr>
      <w:r w:rsidRPr="00FA0D37">
        <w:rPr>
          <w:rFonts w:eastAsia="Malgun Gothic"/>
        </w:rPr>
        <w:t xml:space="preserve">        scgFailureInformationEUTRA                       SCGFailureInformationEUTRA-IEs,</w:t>
      </w:r>
    </w:p>
    <w:p w14:paraId="2819A27D" w14:textId="77777777" w:rsidR="00394471" w:rsidRPr="00FA0D37" w:rsidRDefault="00394471" w:rsidP="00FA0D37">
      <w:pPr>
        <w:pStyle w:val="PL"/>
        <w:rPr>
          <w:rFonts w:eastAsia="Malgun Gothic"/>
        </w:rPr>
      </w:pPr>
      <w:r w:rsidRPr="00FA0D37">
        <w:rPr>
          <w:rFonts w:eastAsia="Malgun Gothic"/>
        </w:rPr>
        <w:t xml:space="preserve">        criticalExtensionsFuture                          </w:t>
      </w:r>
      <w:r w:rsidRPr="00FA0D37">
        <w:rPr>
          <w:color w:val="993366"/>
        </w:rPr>
        <w:t>SEQUENCE</w:t>
      </w:r>
      <w:r w:rsidRPr="00FA0D37">
        <w:rPr>
          <w:rFonts w:eastAsia="Malgun Gothic"/>
        </w:rPr>
        <w:t xml:space="preserve"> {}</w:t>
      </w:r>
    </w:p>
    <w:p w14:paraId="7A7B6BB9" w14:textId="77777777" w:rsidR="00394471" w:rsidRPr="00FA0D37" w:rsidRDefault="00394471" w:rsidP="00FA0D37">
      <w:pPr>
        <w:pStyle w:val="PL"/>
        <w:rPr>
          <w:rFonts w:eastAsia="Malgun Gothic"/>
        </w:rPr>
      </w:pPr>
      <w:r w:rsidRPr="00FA0D37">
        <w:rPr>
          <w:rFonts w:eastAsia="Malgun Gothic"/>
        </w:rPr>
        <w:t xml:space="preserve">    }</w:t>
      </w:r>
    </w:p>
    <w:p w14:paraId="6BE0A1FF" w14:textId="77777777" w:rsidR="00394471" w:rsidRPr="00FA0D37" w:rsidRDefault="00394471" w:rsidP="00FA0D37">
      <w:pPr>
        <w:pStyle w:val="PL"/>
        <w:rPr>
          <w:rFonts w:eastAsia="Malgun Gothic"/>
        </w:rPr>
      </w:pPr>
      <w:r w:rsidRPr="00FA0D37">
        <w:rPr>
          <w:rFonts w:eastAsia="Malgun Gothic"/>
        </w:rPr>
        <w:t>}</w:t>
      </w:r>
    </w:p>
    <w:p w14:paraId="23B3B557" w14:textId="77777777" w:rsidR="00394471" w:rsidRPr="00FA0D37" w:rsidRDefault="00394471" w:rsidP="00FA0D37">
      <w:pPr>
        <w:pStyle w:val="PL"/>
        <w:rPr>
          <w:rFonts w:eastAsia="Malgun Gothic"/>
        </w:rPr>
      </w:pPr>
    </w:p>
    <w:p w14:paraId="40408E44" w14:textId="77777777" w:rsidR="00394471" w:rsidRPr="00FA0D37" w:rsidRDefault="00394471" w:rsidP="00FA0D37">
      <w:pPr>
        <w:pStyle w:val="PL"/>
        <w:rPr>
          <w:rFonts w:eastAsia="Malgun Gothic"/>
        </w:rPr>
      </w:pPr>
      <w:r w:rsidRPr="00FA0D37">
        <w:rPr>
          <w:rFonts w:eastAsia="Malgun Gothic"/>
        </w:rPr>
        <w:t xml:space="preserve">SCGFailureInformationEUTRA-IEs ::=           </w:t>
      </w:r>
      <w:r w:rsidRPr="00FA0D37">
        <w:rPr>
          <w:color w:val="993366"/>
        </w:rPr>
        <w:t>SEQUENCE</w:t>
      </w:r>
      <w:r w:rsidRPr="00FA0D37">
        <w:rPr>
          <w:rFonts w:eastAsia="Malgun Gothic"/>
        </w:rPr>
        <w:t xml:space="preserve"> {</w:t>
      </w:r>
    </w:p>
    <w:p w14:paraId="079EA15F" w14:textId="77777777" w:rsidR="00394471" w:rsidRPr="00FA0D37" w:rsidRDefault="00394471" w:rsidP="00FA0D37">
      <w:pPr>
        <w:pStyle w:val="PL"/>
        <w:rPr>
          <w:rFonts w:eastAsia="Malgun Gothic"/>
        </w:rPr>
      </w:pPr>
      <w:r w:rsidRPr="00FA0D37">
        <w:rPr>
          <w:rFonts w:eastAsia="Malgun Gothic"/>
        </w:rPr>
        <w:t xml:space="preserve">    failureReportSCG-EUTRA                           FailureReportSCG-EUTRA                      </w:t>
      </w:r>
      <w:r w:rsidRPr="00FA0D37">
        <w:rPr>
          <w:color w:val="993366"/>
        </w:rPr>
        <w:t>OPTIONAL</w:t>
      </w:r>
      <w:r w:rsidRPr="00FA0D37">
        <w:rPr>
          <w:rFonts w:eastAsia="Malgun Gothic"/>
        </w:rPr>
        <w:t>,</w:t>
      </w:r>
    </w:p>
    <w:p w14:paraId="6BA164BE" w14:textId="77777777" w:rsidR="00394471" w:rsidRPr="00FA0D37" w:rsidRDefault="00394471" w:rsidP="00FA0D37">
      <w:pPr>
        <w:pStyle w:val="PL"/>
        <w:rPr>
          <w:rFonts w:eastAsia="Malgun Gothic"/>
        </w:rPr>
      </w:pPr>
      <w:r w:rsidRPr="00FA0D37">
        <w:rPr>
          <w:rFonts w:eastAsia="Malgun Gothic"/>
        </w:rPr>
        <w:t xml:space="preserve">    nonCriticalExtension                              SCGFailureInformationEUTRA-v1590-IEs                                    </w:t>
      </w:r>
      <w:r w:rsidRPr="00FA0D37">
        <w:rPr>
          <w:color w:val="993366"/>
        </w:rPr>
        <w:t>OPTIONAL</w:t>
      </w:r>
    </w:p>
    <w:p w14:paraId="29A2C5CF" w14:textId="77777777" w:rsidR="00394471" w:rsidRPr="00FA0D37" w:rsidRDefault="00394471" w:rsidP="00FA0D37">
      <w:pPr>
        <w:pStyle w:val="PL"/>
        <w:rPr>
          <w:rFonts w:eastAsia="Malgun Gothic"/>
        </w:rPr>
      </w:pPr>
      <w:r w:rsidRPr="00FA0D37">
        <w:rPr>
          <w:rFonts w:eastAsia="Malgun Gothic"/>
        </w:rPr>
        <w:t>}</w:t>
      </w:r>
    </w:p>
    <w:p w14:paraId="648B688B" w14:textId="77777777" w:rsidR="00394471" w:rsidRPr="00FA0D37" w:rsidRDefault="00394471" w:rsidP="00FA0D37">
      <w:pPr>
        <w:pStyle w:val="PL"/>
        <w:rPr>
          <w:rFonts w:eastAsia="Malgun Gothic"/>
        </w:rPr>
      </w:pPr>
    </w:p>
    <w:p w14:paraId="53368E3D" w14:textId="77777777" w:rsidR="00394471" w:rsidRPr="00FA0D37" w:rsidRDefault="00394471" w:rsidP="00FA0D37">
      <w:pPr>
        <w:pStyle w:val="PL"/>
        <w:rPr>
          <w:rFonts w:eastAsia="Malgun Gothic"/>
        </w:rPr>
      </w:pPr>
      <w:r w:rsidRPr="00FA0D37">
        <w:rPr>
          <w:rFonts w:eastAsia="Malgun Gothic"/>
        </w:rPr>
        <w:t xml:space="preserve">SCGFailureInformationEUTRA-v1590-IEs ::=  </w:t>
      </w:r>
      <w:r w:rsidRPr="00FA0D37">
        <w:rPr>
          <w:color w:val="993366"/>
        </w:rPr>
        <w:t>SEQUENCE</w:t>
      </w:r>
      <w:r w:rsidRPr="00FA0D37">
        <w:rPr>
          <w:rFonts w:eastAsia="Malgun Gothic"/>
        </w:rPr>
        <w:t xml:space="preserve"> {</w:t>
      </w:r>
    </w:p>
    <w:p w14:paraId="6EFB89A8" w14:textId="77777777" w:rsidR="00394471" w:rsidRPr="00FA0D37" w:rsidRDefault="00394471" w:rsidP="00FA0D37">
      <w:pPr>
        <w:pStyle w:val="PL"/>
        <w:rPr>
          <w:rFonts w:eastAsia="Malgun Gothic"/>
        </w:rPr>
      </w:pPr>
      <w:r w:rsidRPr="00FA0D37">
        <w:rPr>
          <w:rFonts w:eastAsia="Malgun Gothic"/>
        </w:rPr>
        <w:lastRenderedPageBreak/>
        <w:t xml:space="preserve">    </w:t>
      </w:r>
      <w:r w:rsidRPr="00FA0D37">
        <w:t xml:space="preserve">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2DCE785" w14:textId="77777777" w:rsidR="00394471" w:rsidRPr="00FA0D37" w:rsidRDefault="00394471" w:rsidP="00FA0D37">
      <w:pPr>
        <w:pStyle w:val="PL"/>
        <w:rPr>
          <w:rFonts w:eastAsia="Malgun Gothic"/>
        </w:rPr>
      </w:pPr>
      <w:r w:rsidRPr="00FA0D37">
        <w:rPr>
          <w:rFonts w:eastAsia="Malgun Gothic"/>
        </w:rPr>
        <w:t xml:space="preserve">    nonCriticalExtension                               </w:t>
      </w:r>
      <w:r w:rsidRPr="00FA0D37">
        <w:rPr>
          <w:color w:val="993366"/>
        </w:rPr>
        <w:t>SEQUENCE</w:t>
      </w:r>
      <w:r w:rsidRPr="00FA0D37">
        <w:rPr>
          <w:rFonts w:eastAsia="Malgun Gothic"/>
        </w:rPr>
        <w:t xml:space="preserve"> {}                  </w:t>
      </w:r>
      <w:r w:rsidRPr="00FA0D37">
        <w:rPr>
          <w:color w:val="993366"/>
        </w:rPr>
        <w:t>OPTIONAL</w:t>
      </w:r>
    </w:p>
    <w:p w14:paraId="2FAAABF7" w14:textId="77777777" w:rsidR="00394471" w:rsidRPr="00FA0D37" w:rsidRDefault="00394471" w:rsidP="00FA0D37">
      <w:pPr>
        <w:pStyle w:val="PL"/>
        <w:rPr>
          <w:rFonts w:eastAsia="Malgun Gothic"/>
        </w:rPr>
      </w:pPr>
      <w:r w:rsidRPr="00FA0D37">
        <w:rPr>
          <w:rFonts w:eastAsia="Malgun Gothic"/>
        </w:rPr>
        <w:t>}</w:t>
      </w:r>
    </w:p>
    <w:p w14:paraId="4193E39E" w14:textId="77777777" w:rsidR="00394471" w:rsidRPr="00FA0D37" w:rsidRDefault="00394471" w:rsidP="00FA0D37">
      <w:pPr>
        <w:pStyle w:val="PL"/>
        <w:rPr>
          <w:rFonts w:eastAsia="Malgun Gothic"/>
        </w:rPr>
      </w:pPr>
    </w:p>
    <w:p w14:paraId="619009C6" w14:textId="77777777" w:rsidR="00394471" w:rsidRPr="00FA0D37" w:rsidRDefault="00394471" w:rsidP="00FA0D37">
      <w:pPr>
        <w:pStyle w:val="PL"/>
        <w:rPr>
          <w:rFonts w:eastAsia="Malgun Gothic"/>
        </w:rPr>
      </w:pPr>
      <w:r w:rsidRPr="00FA0D37">
        <w:rPr>
          <w:rFonts w:eastAsia="Malgun Gothic"/>
        </w:rPr>
        <w:t xml:space="preserve">FailureReportSCG-EUTRA ::=                     </w:t>
      </w:r>
      <w:r w:rsidRPr="00FA0D37">
        <w:t xml:space="preserve">  </w:t>
      </w:r>
      <w:r w:rsidRPr="00FA0D37">
        <w:rPr>
          <w:color w:val="993366"/>
        </w:rPr>
        <w:t>SEQUENCE</w:t>
      </w:r>
      <w:r w:rsidRPr="00FA0D37">
        <w:rPr>
          <w:rFonts w:eastAsia="Malgun Gothic"/>
        </w:rPr>
        <w:t xml:space="preserve"> {</w:t>
      </w:r>
    </w:p>
    <w:p w14:paraId="6DD3E7EA" w14:textId="77777777" w:rsidR="00394471" w:rsidRPr="00FA0D37" w:rsidRDefault="00394471" w:rsidP="00FA0D37">
      <w:pPr>
        <w:pStyle w:val="PL"/>
        <w:rPr>
          <w:rFonts w:eastAsia="Malgun Gothic"/>
        </w:rPr>
      </w:pPr>
      <w:r w:rsidRPr="00FA0D37">
        <w:rPr>
          <w:rFonts w:eastAsia="Malgun Gothic"/>
        </w:rPr>
        <w:t xml:space="preserve">    failureType                                    </w:t>
      </w:r>
      <w:r w:rsidRPr="00FA0D37">
        <w:t xml:space="preserve">       </w:t>
      </w:r>
      <w:r w:rsidRPr="00FA0D37">
        <w:rPr>
          <w:color w:val="993366"/>
        </w:rPr>
        <w:t>ENUMERATED</w:t>
      </w:r>
      <w:r w:rsidRPr="00FA0D37">
        <w:rPr>
          <w:rFonts w:eastAsia="Malgun Gothic"/>
        </w:rPr>
        <w:t xml:space="preserve"> {</w:t>
      </w:r>
    </w:p>
    <w:p w14:paraId="7574E6ED" w14:textId="77777777" w:rsidR="00394471" w:rsidRPr="00FA0D37" w:rsidRDefault="00394471" w:rsidP="00FA0D37">
      <w:pPr>
        <w:pStyle w:val="PL"/>
        <w:rPr>
          <w:rFonts w:eastAsia="Malgun Gothic"/>
        </w:rPr>
      </w:pPr>
      <w:r w:rsidRPr="00FA0D37">
        <w:rPr>
          <w:rFonts w:eastAsia="Malgun Gothic"/>
        </w:rPr>
        <w:t xml:space="preserve">                                                         </w:t>
      </w:r>
      <w:r w:rsidRPr="00FA0D37">
        <w:t xml:space="preserve">              </w:t>
      </w:r>
      <w:r w:rsidRPr="00FA0D37">
        <w:rPr>
          <w:rFonts w:eastAsia="Malgun Gothic"/>
        </w:rPr>
        <w:t>t31</w:t>
      </w:r>
      <w:r w:rsidRPr="00FA0D37">
        <w:rPr>
          <w:rFonts w:eastAsia="MS Mincho"/>
        </w:rPr>
        <w:t>3</w:t>
      </w:r>
      <w:r w:rsidRPr="00FA0D37">
        <w:rPr>
          <w:rFonts w:eastAsia="Malgun Gothic"/>
        </w:rPr>
        <w:t>-Expiry, randomAccessProblem,rlc-MaxNumRetx,</w:t>
      </w:r>
    </w:p>
    <w:p w14:paraId="20CC1A18" w14:textId="2FB44E10" w:rsidR="00394471" w:rsidRPr="00FA0D37" w:rsidRDefault="00394471" w:rsidP="00FA0D37">
      <w:pPr>
        <w:pStyle w:val="PL"/>
        <w:rPr>
          <w:rFonts w:eastAsia="Malgun Gothic"/>
        </w:rPr>
      </w:pPr>
      <w:r w:rsidRPr="00FA0D37">
        <w:rPr>
          <w:rFonts w:eastAsia="Malgun Gothic"/>
        </w:rPr>
        <w:t xml:space="preserve">                                                                          scg-ChangeFailure,</w:t>
      </w:r>
      <w:r w:rsidR="00836CAD" w:rsidRPr="00FA0D37">
        <w:rPr>
          <w:rFonts w:eastAsia="Malgun Gothic"/>
        </w:rPr>
        <w:t xml:space="preserve"> spare4</w:t>
      </w:r>
      <w:r w:rsidRPr="00FA0D37">
        <w:rPr>
          <w:rFonts w:eastAsia="Malgun Gothic"/>
        </w:rPr>
        <w:t>,</w:t>
      </w:r>
    </w:p>
    <w:p w14:paraId="5111D845" w14:textId="016F4096" w:rsidR="00394471" w:rsidRPr="00FA0D37" w:rsidRDefault="00394471" w:rsidP="00FA0D37">
      <w:pPr>
        <w:pStyle w:val="PL"/>
        <w:rPr>
          <w:rFonts w:eastAsia="Malgun Gothic"/>
        </w:rPr>
      </w:pPr>
      <w:r w:rsidRPr="00FA0D37">
        <w:rPr>
          <w:rFonts w:eastAsia="Malgun Gothic"/>
        </w:rPr>
        <w:t xml:space="preserve">                                                                          </w:t>
      </w:r>
      <w:r w:rsidR="00836CAD" w:rsidRPr="00FA0D37">
        <w:rPr>
          <w:rFonts w:eastAsia="Malgun Gothic"/>
        </w:rPr>
        <w:t>spare3</w:t>
      </w:r>
      <w:r w:rsidRPr="00FA0D37">
        <w:rPr>
          <w:rFonts w:eastAsia="Malgun Gothic"/>
        </w:rPr>
        <w:t xml:space="preserve">, </w:t>
      </w:r>
      <w:r w:rsidR="00836CAD" w:rsidRPr="00FA0D37">
        <w:t>spare2</w:t>
      </w:r>
      <w:r w:rsidRPr="00FA0D37">
        <w:t xml:space="preserve">, </w:t>
      </w:r>
      <w:r w:rsidRPr="00FA0D37">
        <w:rPr>
          <w:rFonts w:eastAsia="Malgun Gothic"/>
        </w:rPr>
        <w:t>spare</w:t>
      </w:r>
      <w:r w:rsidR="00836CAD" w:rsidRPr="00FA0D37">
        <w:rPr>
          <w:rFonts w:eastAsia="Malgun Gothic"/>
        </w:rPr>
        <w:t>1</w:t>
      </w:r>
      <w:r w:rsidRPr="00FA0D37">
        <w:rPr>
          <w:rFonts w:eastAsia="Malgun Gothic"/>
        </w:rPr>
        <w:t>},</w:t>
      </w:r>
    </w:p>
    <w:p w14:paraId="34A2A8D5" w14:textId="77777777" w:rsidR="00394471" w:rsidRPr="00FA0D37" w:rsidRDefault="00394471" w:rsidP="00FA0D37">
      <w:pPr>
        <w:pStyle w:val="PL"/>
        <w:rPr>
          <w:rFonts w:eastAsia="Malgun Gothic"/>
        </w:rPr>
      </w:pPr>
      <w:r w:rsidRPr="00FA0D37">
        <w:rPr>
          <w:rFonts w:eastAsia="Malgun Gothic"/>
        </w:rPr>
        <w:t xml:space="preserve">    measResultFreqListMRDC                             MeasResultFreqListFailMRDC                           </w:t>
      </w:r>
      <w:r w:rsidRPr="00FA0D37">
        <w:t xml:space="preserve">                        </w:t>
      </w:r>
      <w:r w:rsidRPr="00FA0D37">
        <w:rPr>
          <w:color w:val="993366"/>
        </w:rPr>
        <w:t>OPTIONAL</w:t>
      </w:r>
      <w:r w:rsidRPr="00FA0D37">
        <w:rPr>
          <w:rFonts w:eastAsia="Malgun Gothic"/>
        </w:rPr>
        <w:t>,</w:t>
      </w:r>
    </w:p>
    <w:p w14:paraId="5F33BE15" w14:textId="77777777" w:rsidR="00394471" w:rsidRPr="00FA0D37" w:rsidRDefault="00394471" w:rsidP="00FA0D37">
      <w:pPr>
        <w:pStyle w:val="PL"/>
        <w:rPr>
          <w:rFonts w:eastAsia="Malgun Gothic"/>
        </w:rPr>
      </w:pPr>
      <w:r w:rsidRPr="00FA0D37">
        <w:rPr>
          <w:rFonts w:eastAsia="Malgun Gothic"/>
        </w:rPr>
        <w:t xml:space="preserve">    measResultSCG-FailureMRDC                         </w:t>
      </w:r>
      <w:r w:rsidRPr="00FA0D37">
        <w:rPr>
          <w:color w:val="993366"/>
        </w:rPr>
        <w:t>OCTET</w:t>
      </w:r>
      <w:r w:rsidRPr="00FA0D37">
        <w:rPr>
          <w:rFonts w:eastAsia="Malgun Gothic"/>
        </w:rPr>
        <w:t xml:space="preserve"> </w:t>
      </w:r>
      <w:r w:rsidRPr="00FA0D37">
        <w:rPr>
          <w:color w:val="993366"/>
        </w:rPr>
        <w:t>STRING</w:t>
      </w:r>
      <w:r w:rsidRPr="00FA0D37">
        <w:t xml:space="preserve">                                                         </w:t>
      </w:r>
      <w:r w:rsidRPr="00FA0D37">
        <w:rPr>
          <w:color w:val="993366"/>
        </w:rPr>
        <w:t>OPTIONAL</w:t>
      </w:r>
      <w:r w:rsidRPr="00FA0D37">
        <w:rPr>
          <w:rFonts w:eastAsia="Malgun Gothic"/>
        </w:rPr>
        <w:t>,</w:t>
      </w:r>
    </w:p>
    <w:p w14:paraId="5F100923" w14:textId="77777777" w:rsidR="00394471" w:rsidRPr="00FA0D37" w:rsidRDefault="00394471" w:rsidP="00FA0D37">
      <w:pPr>
        <w:pStyle w:val="PL"/>
        <w:rPr>
          <w:rFonts w:eastAsia="Malgun Gothic"/>
        </w:rPr>
      </w:pPr>
      <w:r w:rsidRPr="00FA0D37">
        <w:rPr>
          <w:rFonts w:eastAsia="Malgun Gothic"/>
        </w:rPr>
        <w:t xml:space="preserve">    ...,</w:t>
      </w:r>
    </w:p>
    <w:p w14:paraId="053B77EF" w14:textId="77777777" w:rsidR="00394471" w:rsidRPr="00FA0D37" w:rsidRDefault="00394471" w:rsidP="00FA0D37">
      <w:pPr>
        <w:pStyle w:val="PL"/>
        <w:rPr>
          <w:rFonts w:eastAsia="Malgun Gothic"/>
        </w:rPr>
      </w:pPr>
      <w:r w:rsidRPr="00FA0D37">
        <w:rPr>
          <w:rFonts w:eastAsia="Malgun Gothic"/>
        </w:rPr>
        <w:t xml:space="preserve">    [[</w:t>
      </w:r>
    </w:p>
    <w:p w14:paraId="5574B4BC" w14:textId="77777777" w:rsidR="00394471" w:rsidRPr="00FA0D37" w:rsidRDefault="00394471" w:rsidP="00FA0D37">
      <w:pPr>
        <w:pStyle w:val="PL"/>
        <w:rPr>
          <w:rFonts w:eastAsia="Malgun Gothic"/>
        </w:rPr>
      </w:pPr>
      <w:r w:rsidRPr="00FA0D37">
        <w:rPr>
          <w:rFonts w:eastAsia="Malgun Gothic"/>
        </w:rPr>
        <w:t xml:space="preserve">    locationInfo-r16                               </w:t>
      </w:r>
      <w:r w:rsidRPr="00FA0D37">
        <w:t xml:space="preserve">     </w:t>
      </w:r>
      <w:r w:rsidRPr="00FA0D37">
        <w:rPr>
          <w:rFonts w:eastAsia="Malgun Gothic"/>
        </w:rPr>
        <w:t xml:space="preserve">LocationInfo-r16    </w:t>
      </w:r>
      <w:r w:rsidRPr="00FA0D37">
        <w:t xml:space="preserve">                                         </w:t>
      </w:r>
      <w:r w:rsidRPr="00FA0D37">
        <w:rPr>
          <w:rFonts w:eastAsia="Malgun Gothic"/>
        </w:rPr>
        <w:t xml:space="preserve">            </w:t>
      </w:r>
      <w:r w:rsidRPr="00FA0D37">
        <w:rPr>
          <w:color w:val="993366"/>
        </w:rPr>
        <w:t>OPTIONAL</w:t>
      </w:r>
    </w:p>
    <w:p w14:paraId="794670E0" w14:textId="77777777" w:rsidR="00394471" w:rsidRPr="00FA0D37" w:rsidRDefault="00394471" w:rsidP="00FA0D37">
      <w:pPr>
        <w:pStyle w:val="PL"/>
        <w:rPr>
          <w:rFonts w:eastAsia="Malgun Gothic"/>
        </w:rPr>
      </w:pPr>
      <w:r w:rsidRPr="00FA0D37">
        <w:rPr>
          <w:rFonts w:eastAsia="Malgun Gothic"/>
        </w:rPr>
        <w:t xml:space="preserve">    ]]</w:t>
      </w:r>
    </w:p>
    <w:p w14:paraId="1E6546C0" w14:textId="77777777" w:rsidR="00394471" w:rsidRPr="00FA0D37" w:rsidRDefault="00394471" w:rsidP="00FA0D37">
      <w:pPr>
        <w:pStyle w:val="PL"/>
        <w:rPr>
          <w:rFonts w:eastAsia="Malgun Gothic"/>
        </w:rPr>
      </w:pPr>
      <w:r w:rsidRPr="00FA0D37">
        <w:rPr>
          <w:rFonts w:eastAsia="Malgun Gothic"/>
        </w:rPr>
        <w:t>}</w:t>
      </w:r>
    </w:p>
    <w:p w14:paraId="2E57F384" w14:textId="77777777" w:rsidR="00394471" w:rsidRPr="00FA0D37" w:rsidRDefault="00394471" w:rsidP="00FA0D37">
      <w:pPr>
        <w:pStyle w:val="PL"/>
        <w:rPr>
          <w:rFonts w:eastAsia="Malgun Gothic"/>
        </w:rPr>
      </w:pPr>
    </w:p>
    <w:p w14:paraId="7F25D887" w14:textId="77777777" w:rsidR="00394471" w:rsidRPr="00FA0D37" w:rsidRDefault="00394471" w:rsidP="00FA0D37">
      <w:pPr>
        <w:pStyle w:val="PL"/>
        <w:rPr>
          <w:rFonts w:eastAsia="Malgun Gothic"/>
        </w:rPr>
      </w:pPr>
      <w:r w:rsidRPr="00FA0D37">
        <w:rPr>
          <w:rFonts w:eastAsia="Malgun Gothic"/>
        </w:rPr>
        <w:t xml:space="preserve">MeasResultFreqListFailMRDC ::=      </w:t>
      </w:r>
      <w:r w:rsidRPr="00FA0D37">
        <w:rPr>
          <w:color w:val="993366"/>
        </w:rPr>
        <w:t>SEQUENCE</w:t>
      </w:r>
      <w:r w:rsidRPr="00FA0D37">
        <w:rPr>
          <w:rFonts w:eastAsia="Malgun Gothic"/>
        </w:rPr>
        <w:t xml:space="preserve"> (</w:t>
      </w:r>
      <w:r w:rsidRPr="00FA0D37">
        <w:rPr>
          <w:color w:val="993366"/>
        </w:rPr>
        <w:t>SIZE</w:t>
      </w:r>
      <w:r w:rsidRPr="00FA0D37">
        <w:rPr>
          <w:rFonts w:eastAsia="Malgun Gothic"/>
        </w:rPr>
        <w:t xml:space="preserve"> (1.. maxFreq))</w:t>
      </w:r>
      <w:r w:rsidRPr="00FA0D37">
        <w:rPr>
          <w:rFonts w:eastAsia="Malgun Gothic"/>
          <w:color w:val="993366"/>
        </w:rPr>
        <w:t xml:space="preserve"> OF</w:t>
      </w:r>
      <w:r w:rsidRPr="00FA0D37">
        <w:rPr>
          <w:rFonts w:eastAsia="Malgun Gothic"/>
        </w:rPr>
        <w:t xml:space="preserve"> MeasResult2EUTRA</w:t>
      </w:r>
    </w:p>
    <w:p w14:paraId="69F0C17B" w14:textId="77777777" w:rsidR="00394471" w:rsidRPr="00FA0D37" w:rsidRDefault="00394471" w:rsidP="00FA0D37">
      <w:pPr>
        <w:pStyle w:val="PL"/>
        <w:rPr>
          <w:rFonts w:eastAsia="Malgun Gothic"/>
        </w:rPr>
      </w:pPr>
    </w:p>
    <w:p w14:paraId="543B7110" w14:textId="77777777" w:rsidR="00394471" w:rsidRPr="00FA0D37" w:rsidRDefault="00394471" w:rsidP="00FA0D37">
      <w:pPr>
        <w:pStyle w:val="PL"/>
        <w:rPr>
          <w:color w:val="808080"/>
        </w:rPr>
      </w:pPr>
      <w:r w:rsidRPr="00FA0D37">
        <w:rPr>
          <w:color w:val="808080"/>
        </w:rPr>
        <w:t>-- TAG-SCGFAILUREINFORMATIONEUTRA-STOP</w:t>
      </w:r>
    </w:p>
    <w:p w14:paraId="076D4370" w14:textId="77777777" w:rsidR="00394471" w:rsidRPr="00FA0D37" w:rsidRDefault="00394471" w:rsidP="00FA0D37">
      <w:pPr>
        <w:pStyle w:val="PL"/>
        <w:rPr>
          <w:color w:val="808080"/>
        </w:rPr>
      </w:pPr>
      <w:r w:rsidRPr="00FA0D37">
        <w:rPr>
          <w:color w:val="808080"/>
        </w:rPr>
        <w:t>-- ASN1STOP</w:t>
      </w:r>
    </w:p>
    <w:p w14:paraId="05C0E440" w14:textId="77777777" w:rsidR="00394471" w:rsidRPr="00FA0D37" w:rsidRDefault="00394471" w:rsidP="00394471">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4B2CA9E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012671" w14:textId="77777777" w:rsidR="00394471" w:rsidRPr="00FA0D37" w:rsidRDefault="00394471" w:rsidP="00964CC4">
            <w:pPr>
              <w:pStyle w:val="TAH"/>
              <w:rPr>
                <w:rFonts w:eastAsia="Malgun Gothic"/>
                <w:i/>
                <w:lang w:eastAsia="en-GB"/>
              </w:rPr>
            </w:pPr>
            <w:r w:rsidRPr="00FA0D37">
              <w:rPr>
                <w:rFonts w:eastAsia="Malgun Gothic"/>
                <w:i/>
                <w:noProof/>
                <w:lang w:eastAsia="sv-SE"/>
              </w:rPr>
              <w:t>SCGFailureInformationEUTRA</w:t>
            </w:r>
            <w:r w:rsidRPr="00FA0D37">
              <w:rPr>
                <w:rFonts w:eastAsia="Malgun Gothic"/>
                <w:i/>
                <w:iCs/>
                <w:noProof/>
                <w:lang w:eastAsia="en-GB"/>
              </w:rPr>
              <w:t xml:space="preserve"> field descriptions</w:t>
            </w:r>
          </w:p>
        </w:tc>
      </w:tr>
      <w:tr w:rsidR="005C7FF4" w:rsidRPr="00FA0D37" w14:paraId="7791E18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B7F99A8" w14:textId="77777777" w:rsidR="00394471" w:rsidRPr="00FA0D37" w:rsidRDefault="00394471" w:rsidP="00964CC4">
            <w:pPr>
              <w:pStyle w:val="TAL"/>
              <w:rPr>
                <w:rFonts w:eastAsia="Malgun Gothic"/>
                <w:b/>
                <w:i/>
                <w:lang w:eastAsia="sv-SE"/>
              </w:rPr>
            </w:pPr>
            <w:r w:rsidRPr="00FA0D37">
              <w:rPr>
                <w:rFonts w:eastAsia="Malgun Gothic"/>
                <w:b/>
                <w:i/>
                <w:lang w:eastAsia="sv-SE"/>
              </w:rPr>
              <w:t>measResultFreqListMRDC</w:t>
            </w:r>
          </w:p>
          <w:p w14:paraId="39366A1E" w14:textId="77777777" w:rsidR="00394471" w:rsidRPr="00FA0D37" w:rsidRDefault="00394471" w:rsidP="00964CC4">
            <w:pPr>
              <w:pStyle w:val="TAL"/>
              <w:rPr>
                <w:rFonts w:eastAsia="Malgun Gothic"/>
                <w:noProof/>
                <w:lang w:eastAsia="en-GB"/>
              </w:rPr>
            </w:pPr>
            <w:r w:rsidRPr="00FA0D37">
              <w:rPr>
                <w:rFonts w:eastAsia="Malgun Gothic"/>
                <w:lang w:eastAsia="en-GB"/>
              </w:rPr>
              <w:t xml:space="preserve">The field contains available results of measurements on E-UTRA frequencies the UE is configured to measure by </w:t>
            </w:r>
            <w:r w:rsidRPr="00FA0D37">
              <w:rPr>
                <w:rFonts w:eastAsia="Malgun Gothic"/>
                <w:i/>
                <w:lang w:eastAsia="en-GB"/>
              </w:rPr>
              <w:t>measConfig</w:t>
            </w:r>
            <w:r w:rsidRPr="00FA0D37">
              <w:rPr>
                <w:rFonts w:eastAsia="Malgun Gothic"/>
                <w:lang w:eastAsia="en-GB"/>
              </w:rPr>
              <w:t>.</w:t>
            </w:r>
          </w:p>
        </w:tc>
      </w:tr>
      <w:tr w:rsidR="00394471" w:rsidRPr="00FA0D37" w14:paraId="70D48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286EA91" w14:textId="77777777" w:rsidR="00394471" w:rsidRPr="00FA0D37" w:rsidRDefault="00394471" w:rsidP="00964CC4">
            <w:pPr>
              <w:pStyle w:val="TAL"/>
              <w:rPr>
                <w:rFonts w:eastAsia="Malgun Gothic"/>
                <w:b/>
                <w:i/>
                <w:lang w:eastAsia="sv-SE"/>
              </w:rPr>
            </w:pPr>
            <w:r w:rsidRPr="00FA0D37">
              <w:rPr>
                <w:rFonts w:eastAsia="Malgun Gothic"/>
                <w:b/>
                <w:i/>
                <w:lang w:eastAsia="sv-SE"/>
              </w:rPr>
              <w:t>measResultSCG-FailureMRDC</w:t>
            </w:r>
          </w:p>
          <w:p w14:paraId="7CE17864" w14:textId="77777777" w:rsidR="00394471" w:rsidRPr="00FA0D37" w:rsidRDefault="00394471" w:rsidP="00964CC4">
            <w:pPr>
              <w:pStyle w:val="TAL"/>
              <w:rPr>
                <w:rFonts w:eastAsia="Malgun Gothic"/>
                <w:lang w:eastAsia="sv-SE"/>
              </w:rPr>
            </w:pPr>
            <w:r w:rsidRPr="00FA0D37">
              <w:rPr>
                <w:rFonts w:eastAsia="Malgun Gothic"/>
                <w:bCs/>
                <w:noProof/>
                <w:lang w:eastAsia="en-GB"/>
              </w:rPr>
              <w:t xml:space="preserve">Includes the E-UTRA </w:t>
            </w:r>
            <w:r w:rsidRPr="00FA0D37">
              <w:rPr>
                <w:rFonts w:eastAsia="Malgun Gothic"/>
                <w:bCs/>
                <w:i/>
                <w:noProof/>
                <w:lang w:eastAsia="en-GB"/>
              </w:rPr>
              <w:t>MeasResultSCG-FailureMRDC</w:t>
            </w:r>
            <w:r w:rsidRPr="00FA0D37">
              <w:rPr>
                <w:rFonts w:eastAsia="Malgun Gothic"/>
                <w:bCs/>
                <w:noProof/>
                <w:lang w:eastAsia="en-GB"/>
              </w:rPr>
              <w:t xml:space="preserve"> IE as specified in TS 36.331 [10]. </w:t>
            </w:r>
            <w:r w:rsidRPr="00FA0D37">
              <w:rPr>
                <w:rFonts w:eastAsia="Malgun Gothic"/>
                <w:lang w:eastAsia="sv-SE"/>
              </w:rPr>
              <w:t xml:space="preserve">The field contains available results of measurements on E-UTRA frequencies the UE is configured to measure by the E-UTRA </w:t>
            </w:r>
            <w:r w:rsidRPr="00FA0D37">
              <w:rPr>
                <w:rFonts w:eastAsia="Malgun Gothic"/>
                <w:i/>
                <w:lang w:eastAsia="sv-SE"/>
              </w:rPr>
              <w:t>RRCConnectionReconfiguration</w:t>
            </w:r>
            <w:r w:rsidRPr="00FA0D37">
              <w:rPr>
                <w:rFonts w:eastAsia="Malgun Gothic"/>
                <w:lang w:eastAsia="sv-SE"/>
              </w:rPr>
              <w:t xml:space="preserve"> message.</w:t>
            </w:r>
          </w:p>
        </w:tc>
      </w:tr>
    </w:tbl>
    <w:p w14:paraId="24FCE678" w14:textId="77777777" w:rsidR="00394471" w:rsidRPr="00FA0D37" w:rsidRDefault="00394471" w:rsidP="00394471">
      <w:pPr>
        <w:rPr>
          <w:rFonts w:eastAsia="Arial Unicode MS"/>
          <w:lang w:eastAsia="zh-CN"/>
        </w:rPr>
      </w:pPr>
    </w:p>
    <w:p w14:paraId="15225ABE" w14:textId="77777777" w:rsidR="00394471" w:rsidRPr="00FA0D37" w:rsidRDefault="00394471" w:rsidP="00394471">
      <w:pPr>
        <w:pStyle w:val="4"/>
      </w:pPr>
      <w:bookmarkStart w:id="700" w:name="_Toc60777122"/>
      <w:bookmarkStart w:id="701" w:name="_Toc146781159"/>
      <w:r w:rsidRPr="00FA0D37">
        <w:t>–</w:t>
      </w:r>
      <w:r w:rsidRPr="00FA0D37">
        <w:tab/>
      </w:r>
      <w:r w:rsidRPr="00FA0D37">
        <w:rPr>
          <w:i/>
          <w:noProof/>
        </w:rPr>
        <w:t>SecurityModeCommand</w:t>
      </w:r>
      <w:bookmarkEnd w:id="700"/>
      <w:bookmarkEnd w:id="701"/>
    </w:p>
    <w:p w14:paraId="61FFF9FF" w14:textId="77777777" w:rsidR="00394471" w:rsidRPr="00FA0D37" w:rsidRDefault="00394471" w:rsidP="00394471">
      <w:r w:rsidRPr="00FA0D37">
        <w:t xml:space="preserve">The </w:t>
      </w:r>
      <w:r w:rsidRPr="00FA0D37">
        <w:rPr>
          <w:i/>
          <w:noProof/>
        </w:rPr>
        <w:t>SecurityModeCommand</w:t>
      </w:r>
      <w:r w:rsidRPr="00FA0D37">
        <w:t xml:space="preserve"> message is used to command the activation of AS security.</w:t>
      </w:r>
    </w:p>
    <w:p w14:paraId="342696B6" w14:textId="77777777" w:rsidR="00394471" w:rsidRPr="00FA0D37" w:rsidRDefault="00394471" w:rsidP="00394471">
      <w:pPr>
        <w:pStyle w:val="B1"/>
      </w:pPr>
      <w:r w:rsidRPr="00FA0D37">
        <w:t>Signalling radio bearer: SRB1</w:t>
      </w:r>
    </w:p>
    <w:p w14:paraId="47708D3F" w14:textId="77777777" w:rsidR="00394471" w:rsidRPr="00FA0D37" w:rsidRDefault="00394471" w:rsidP="00394471">
      <w:pPr>
        <w:pStyle w:val="B1"/>
      </w:pPr>
      <w:r w:rsidRPr="00FA0D37">
        <w:t>RLC-SAP: AM</w:t>
      </w:r>
    </w:p>
    <w:p w14:paraId="43E78E84" w14:textId="77777777" w:rsidR="00394471" w:rsidRPr="00FA0D37" w:rsidRDefault="00394471" w:rsidP="00394471">
      <w:pPr>
        <w:pStyle w:val="B1"/>
      </w:pPr>
      <w:r w:rsidRPr="00FA0D37">
        <w:t>Logical channel: DCCH</w:t>
      </w:r>
    </w:p>
    <w:p w14:paraId="2553359F" w14:textId="77777777" w:rsidR="00394471" w:rsidRPr="00FA0D37" w:rsidRDefault="00394471" w:rsidP="00394471">
      <w:pPr>
        <w:pStyle w:val="B1"/>
      </w:pPr>
      <w:r w:rsidRPr="00FA0D37">
        <w:t>Direction: Network to UE</w:t>
      </w:r>
    </w:p>
    <w:p w14:paraId="043CDC2C" w14:textId="77777777" w:rsidR="00394471" w:rsidRPr="00FA0D37" w:rsidRDefault="00394471" w:rsidP="00394471">
      <w:pPr>
        <w:pStyle w:val="TH"/>
      </w:pPr>
      <w:r w:rsidRPr="00FA0D37">
        <w:rPr>
          <w:i/>
          <w:noProof/>
        </w:rPr>
        <w:t>SecurityModeCommand</w:t>
      </w:r>
      <w:r w:rsidRPr="00FA0D37">
        <w:rPr>
          <w:noProof/>
        </w:rPr>
        <w:t xml:space="preserve"> message</w:t>
      </w:r>
    </w:p>
    <w:p w14:paraId="2DD73B6F" w14:textId="77777777" w:rsidR="00394471" w:rsidRPr="00FA0D37" w:rsidRDefault="00394471" w:rsidP="00FA0D37">
      <w:pPr>
        <w:pStyle w:val="PL"/>
        <w:rPr>
          <w:color w:val="808080"/>
        </w:rPr>
      </w:pPr>
      <w:r w:rsidRPr="00FA0D37">
        <w:rPr>
          <w:color w:val="808080"/>
        </w:rPr>
        <w:t>-- ASN1START</w:t>
      </w:r>
    </w:p>
    <w:p w14:paraId="350FD4B0" w14:textId="77777777" w:rsidR="00394471" w:rsidRPr="00FA0D37" w:rsidRDefault="00394471" w:rsidP="00FA0D37">
      <w:pPr>
        <w:pStyle w:val="PL"/>
        <w:rPr>
          <w:color w:val="808080"/>
        </w:rPr>
      </w:pPr>
      <w:r w:rsidRPr="00FA0D37">
        <w:rPr>
          <w:color w:val="808080"/>
        </w:rPr>
        <w:t>-- TAG-SECURITYMODECOMMAND-START</w:t>
      </w:r>
    </w:p>
    <w:p w14:paraId="3B5F22BA" w14:textId="77777777" w:rsidR="00394471" w:rsidRPr="00FA0D37" w:rsidRDefault="00394471" w:rsidP="00FA0D37">
      <w:pPr>
        <w:pStyle w:val="PL"/>
      </w:pPr>
    </w:p>
    <w:p w14:paraId="4BC41BA7" w14:textId="77777777" w:rsidR="00394471" w:rsidRPr="00FA0D37" w:rsidRDefault="00394471" w:rsidP="00FA0D37">
      <w:pPr>
        <w:pStyle w:val="PL"/>
      </w:pPr>
      <w:r w:rsidRPr="00FA0D37">
        <w:t xml:space="preserve">SecurityModeCommand ::=             </w:t>
      </w:r>
      <w:r w:rsidRPr="00FA0D37">
        <w:rPr>
          <w:color w:val="993366"/>
        </w:rPr>
        <w:t>SEQUENCE</w:t>
      </w:r>
      <w:r w:rsidRPr="00FA0D37">
        <w:t xml:space="preserve"> {</w:t>
      </w:r>
    </w:p>
    <w:p w14:paraId="3D65A697" w14:textId="77777777" w:rsidR="00394471" w:rsidRPr="00FA0D37" w:rsidRDefault="00394471" w:rsidP="00FA0D37">
      <w:pPr>
        <w:pStyle w:val="PL"/>
      </w:pPr>
      <w:r w:rsidRPr="00FA0D37">
        <w:t xml:space="preserve">    rrc-TransactionIdentifier           RRC-TransactionIdentifier,</w:t>
      </w:r>
    </w:p>
    <w:p w14:paraId="7FB4CF49"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56811AF4" w14:textId="77777777" w:rsidR="00394471" w:rsidRPr="00FA0D37" w:rsidRDefault="00394471" w:rsidP="00FA0D37">
      <w:pPr>
        <w:pStyle w:val="PL"/>
      </w:pPr>
      <w:r w:rsidRPr="00FA0D37">
        <w:t xml:space="preserve">        securityModeCommand                 SecurityModeCommand-IEs,</w:t>
      </w:r>
    </w:p>
    <w:p w14:paraId="31F3F129"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767788A9" w14:textId="77777777" w:rsidR="00394471" w:rsidRPr="00FA0D37" w:rsidRDefault="00394471" w:rsidP="00FA0D37">
      <w:pPr>
        <w:pStyle w:val="PL"/>
      </w:pPr>
      <w:r w:rsidRPr="00FA0D37">
        <w:t xml:space="preserve">    }</w:t>
      </w:r>
    </w:p>
    <w:p w14:paraId="62C2A245" w14:textId="77777777" w:rsidR="00394471" w:rsidRPr="00FA0D37" w:rsidRDefault="00394471" w:rsidP="00FA0D37">
      <w:pPr>
        <w:pStyle w:val="PL"/>
      </w:pPr>
      <w:r w:rsidRPr="00FA0D37">
        <w:t>}</w:t>
      </w:r>
    </w:p>
    <w:p w14:paraId="5FD81A0A" w14:textId="77777777" w:rsidR="00394471" w:rsidRPr="00FA0D37" w:rsidRDefault="00394471" w:rsidP="00FA0D37">
      <w:pPr>
        <w:pStyle w:val="PL"/>
      </w:pPr>
    </w:p>
    <w:p w14:paraId="006BDDD5" w14:textId="77777777" w:rsidR="00394471" w:rsidRPr="00FA0D37" w:rsidRDefault="00394471" w:rsidP="00FA0D37">
      <w:pPr>
        <w:pStyle w:val="PL"/>
      </w:pPr>
      <w:r w:rsidRPr="00FA0D37">
        <w:t xml:space="preserve">SecurityModeCommand-IEs ::=         </w:t>
      </w:r>
      <w:r w:rsidRPr="00FA0D37">
        <w:rPr>
          <w:color w:val="993366"/>
        </w:rPr>
        <w:t>SEQUENCE</w:t>
      </w:r>
      <w:r w:rsidRPr="00FA0D37">
        <w:t xml:space="preserve"> {</w:t>
      </w:r>
    </w:p>
    <w:p w14:paraId="4529F2F2" w14:textId="77777777" w:rsidR="00394471" w:rsidRPr="00FA0D37" w:rsidRDefault="00394471" w:rsidP="00FA0D37">
      <w:pPr>
        <w:pStyle w:val="PL"/>
      </w:pPr>
      <w:r w:rsidRPr="00FA0D37">
        <w:t xml:space="preserve">    securityConfigSMC                   SecurityConfigSMC,</w:t>
      </w:r>
    </w:p>
    <w:p w14:paraId="7559FB17" w14:textId="77777777" w:rsidR="00394471" w:rsidRPr="00FA0D37" w:rsidRDefault="00394471" w:rsidP="00FA0D37">
      <w:pPr>
        <w:pStyle w:val="PL"/>
      </w:pPr>
    </w:p>
    <w:p w14:paraId="18028A1C"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4790540"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21CB411E" w14:textId="77777777" w:rsidR="00394471" w:rsidRPr="00FA0D37" w:rsidRDefault="00394471" w:rsidP="00FA0D37">
      <w:pPr>
        <w:pStyle w:val="PL"/>
      </w:pPr>
      <w:r w:rsidRPr="00FA0D37">
        <w:t>}</w:t>
      </w:r>
    </w:p>
    <w:p w14:paraId="0D8DDFB6" w14:textId="77777777" w:rsidR="00394471" w:rsidRPr="00FA0D37" w:rsidRDefault="00394471" w:rsidP="00FA0D37">
      <w:pPr>
        <w:pStyle w:val="PL"/>
      </w:pPr>
    </w:p>
    <w:p w14:paraId="16CC0B5B" w14:textId="77777777" w:rsidR="00394471" w:rsidRPr="00FA0D37" w:rsidRDefault="00394471" w:rsidP="00FA0D37">
      <w:pPr>
        <w:pStyle w:val="PL"/>
      </w:pPr>
      <w:r w:rsidRPr="00FA0D37">
        <w:t xml:space="preserve">SecurityConfigSMC ::=               </w:t>
      </w:r>
      <w:r w:rsidRPr="00FA0D37">
        <w:rPr>
          <w:color w:val="993366"/>
        </w:rPr>
        <w:t>SEQUENCE</w:t>
      </w:r>
      <w:r w:rsidRPr="00FA0D37">
        <w:t xml:space="preserve"> {</w:t>
      </w:r>
    </w:p>
    <w:p w14:paraId="2CDC6B6A" w14:textId="77777777" w:rsidR="00394471" w:rsidRPr="00FA0D37" w:rsidRDefault="00394471" w:rsidP="00FA0D37">
      <w:pPr>
        <w:pStyle w:val="PL"/>
      </w:pPr>
      <w:r w:rsidRPr="00FA0D37">
        <w:t xml:space="preserve">    securityAlgorithmConfig             SecurityAlgorithmConfig,</w:t>
      </w:r>
    </w:p>
    <w:p w14:paraId="1F1194AE" w14:textId="77777777" w:rsidR="00394471" w:rsidRPr="00FA0D37" w:rsidRDefault="00394471" w:rsidP="00FA0D37">
      <w:pPr>
        <w:pStyle w:val="PL"/>
      </w:pPr>
      <w:r w:rsidRPr="00FA0D37">
        <w:t xml:space="preserve">    ...</w:t>
      </w:r>
    </w:p>
    <w:p w14:paraId="0081A285" w14:textId="77777777" w:rsidR="00394471" w:rsidRPr="00FA0D37" w:rsidRDefault="00394471" w:rsidP="00FA0D37">
      <w:pPr>
        <w:pStyle w:val="PL"/>
      </w:pPr>
      <w:r w:rsidRPr="00FA0D37">
        <w:t>}</w:t>
      </w:r>
    </w:p>
    <w:p w14:paraId="08446A7D" w14:textId="77777777" w:rsidR="00394471" w:rsidRPr="00FA0D37" w:rsidRDefault="00394471" w:rsidP="00FA0D37">
      <w:pPr>
        <w:pStyle w:val="PL"/>
      </w:pPr>
    </w:p>
    <w:p w14:paraId="43B5EA4B" w14:textId="77777777" w:rsidR="00394471" w:rsidRPr="00FA0D37" w:rsidRDefault="00394471" w:rsidP="00FA0D37">
      <w:pPr>
        <w:pStyle w:val="PL"/>
        <w:rPr>
          <w:color w:val="808080"/>
        </w:rPr>
      </w:pPr>
      <w:r w:rsidRPr="00FA0D37">
        <w:rPr>
          <w:color w:val="808080"/>
        </w:rPr>
        <w:t>-- TAG-SECURITYMODECOMMAND-STOP</w:t>
      </w:r>
    </w:p>
    <w:p w14:paraId="34EA1D05" w14:textId="77777777" w:rsidR="00394471" w:rsidRPr="00FA0D37" w:rsidRDefault="00394471" w:rsidP="00FA0D37">
      <w:pPr>
        <w:pStyle w:val="PL"/>
        <w:rPr>
          <w:color w:val="808080"/>
        </w:rPr>
      </w:pPr>
      <w:r w:rsidRPr="00FA0D37">
        <w:rPr>
          <w:color w:val="808080"/>
        </w:rPr>
        <w:t>-- ASN1STOP</w:t>
      </w:r>
    </w:p>
    <w:p w14:paraId="14681BD7" w14:textId="77777777" w:rsidR="00394471" w:rsidRPr="00FA0D37" w:rsidRDefault="00394471" w:rsidP="00394471"/>
    <w:p w14:paraId="7900C478" w14:textId="77777777" w:rsidR="00394471" w:rsidRPr="00FA0D37" w:rsidRDefault="00394471" w:rsidP="00394471">
      <w:pPr>
        <w:pStyle w:val="4"/>
      </w:pPr>
      <w:bookmarkStart w:id="702" w:name="_Toc60777123"/>
      <w:bookmarkStart w:id="703" w:name="_Toc146781160"/>
      <w:r w:rsidRPr="00FA0D37">
        <w:t>–</w:t>
      </w:r>
      <w:r w:rsidRPr="00FA0D37">
        <w:tab/>
      </w:r>
      <w:r w:rsidRPr="00FA0D37">
        <w:rPr>
          <w:i/>
          <w:noProof/>
        </w:rPr>
        <w:t>SecurityModeComplete</w:t>
      </w:r>
      <w:bookmarkEnd w:id="702"/>
      <w:bookmarkEnd w:id="703"/>
    </w:p>
    <w:p w14:paraId="2D7E26BB" w14:textId="77777777" w:rsidR="00394471" w:rsidRPr="00FA0D37" w:rsidRDefault="00394471" w:rsidP="00394471">
      <w:r w:rsidRPr="00FA0D37">
        <w:t xml:space="preserve">The </w:t>
      </w:r>
      <w:r w:rsidRPr="00FA0D37">
        <w:rPr>
          <w:i/>
          <w:noProof/>
        </w:rPr>
        <w:t>SecurityModeComplete</w:t>
      </w:r>
      <w:r w:rsidRPr="00FA0D37">
        <w:t xml:space="preserve"> message is used to confirm the successful completion of a security mode command.</w:t>
      </w:r>
    </w:p>
    <w:p w14:paraId="5BA0A694" w14:textId="77777777" w:rsidR="00394471" w:rsidRPr="00FA0D37" w:rsidRDefault="00394471" w:rsidP="00394471">
      <w:pPr>
        <w:pStyle w:val="B1"/>
      </w:pPr>
      <w:r w:rsidRPr="00FA0D37">
        <w:t>Signalling radio bearer: SRB1</w:t>
      </w:r>
    </w:p>
    <w:p w14:paraId="3D236304" w14:textId="77777777" w:rsidR="00394471" w:rsidRPr="00FA0D37" w:rsidRDefault="00394471" w:rsidP="00394471">
      <w:pPr>
        <w:pStyle w:val="B1"/>
      </w:pPr>
      <w:r w:rsidRPr="00FA0D37">
        <w:t>RLC-SAP: AM</w:t>
      </w:r>
    </w:p>
    <w:p w14:paraId="119A75D6" w14:textId="77777777" w:rsidR="00394471" w:rsidRPr="00FA0D37" w:rsidRDefault="00394471" w:rsidP="00394471">
      <w:pPr>
        <w:pStyle w:val="B1"/>
      </w:pPr>
      <w:r w:rsidRPr="00FA0D37">
        <w:t>Logical channel: DCCH</w:t>
      </w:r>
    </w:p>
    <w:p w14:paraId="6DA73D00" w14:textId="77777777" w:rsidR="00394471" w:rsidRPr="00FA0D37" w:rsidRDefault="00394471" w:rsidP="00394471">
      <w:pPr>
        <w:pStyle w:val="B1"/>
      </w:pPr>
      <w:r w:rsidRPr="00FA0D37">
        <w:t>Direction: UE to Network</w:t>
      </w:r>
    </w:p>
    <w:p w14:paraId="43DC13EC" w14:textId="77777777" w:rsidR="00394471" w:rsidRPr="00FA0D37" w:rsidRDefault="00394471" w:rsidP="00394471">
      <w:pPr>
        <w:pStyle w:val="TH"/>
      </w:pPr>
      <w:r w:rsidRPr="00FA0D37">
        <w:rPr>
          <w:i/>
          <w:noProof/>
        </w:rPr>
        <w:t>SecurityModeComplete</w:t>
      </w:r>
      <w:r w:rsidRPr="00FA0D37">
        <w:rPr>
          <w:noProof/>
        </w:rPr>
        <w:t xml:space="preserve"> message</w:t>
      </w:r>
    </w:p>
    <w:p w14:paraId="6CF5265D" w14:textId="77777777" w:rsidR="00394471" w:rsidRPr="00FA0D37" w:rsidRDefault="00394471" w:rsidP="00FA0D37">
      <w:pPr>
        <w:pStyle w:val="PL"/>
        <w:rPr>
          <w:color w:val="808080"/>
        </w:rPr>
      </w:pPr>
      <w:r w:rsidRPr="00FA0D37">
        <w:rPr>
          <w:color w:val="808080"/>
        </w:rPr>
        <w:t>-- ASN1START</w:t>
      </w:r>
    </w:p>
    <w:p w14:paraId="13CDB1A1" w14:textId="77777777" w:rsidR="00394471" w:rsidRPr="00FA0D37" w:rsidRDefault="00394471" w:rsidP="00FA0D37">
      <w:pPr>
        <w:pStyle w:val="PL"/>
        <w:rPr>
          <w:color w:val="808080"/>
        </w:rPr>
      </w:pPr>
      <w:r w:rsidRPr="00FA0D37">
        <w:rPr>
          <w:color w:val="808080"/>
        </w:rPr>
        <w:t>-- TAG-SECURITYMODECOMPLETE-START</w:t>
      </w:r>
    </w:p>
    <w:p w14:paraId="55241A12" w14:textId="77777777" w:rsidR="00394471" w:rsidRPr="00FA0D37" w:rsidRDefault="00394471" w:rsidP="00FA0D37">
      <w:pPr>
        <w:pStyle w:val="PL"/>
      </w:pPr>
    </w:p>
    <w:p w14:paraId="6509014C" w14:textId="77777777" w:rsidR="00394471" w:rsidRPr="00FA0D37" w:rsidRDefault="00394471" w:rsidP="00FA0D37">
      <w:pPr>
        <w:pStyle w:val="PL"/>
      </w:pPr>
      <w:r w:rsidRPr="00FA0D37">
        <w:t xml:space="preserve">SecurityModeComplete ::=            </w:t>
      </w:r>
      <w:r w:rsidRPr="00FA0D37">
        <w:rPr>
          <w:color w:val="993366"/>
        </w:rPr>
        <w:t>SEQUENCE</w:t>
      </w:r>
      <w:r w:rsidRPr="00FA0D37">
        <w:t xml:space="preserve"> {</w:t>
      </w:r>
    </w:p>
    <w:p w14:paraId="2583BBDE" w14:textId="77777777" w:rsidR="00394471" w:rsidRPr="00FA0D37" w:rsidRDefault="00394471" w:rsidP="00FA0D37">
      <w:pPr>
        <w:pStyle w:val="PL"/>
      </w:pPr>
      <w:r w:rsidRPr="00FA0D37">
        <w:t xml:space="preserve">    rrc-TransactionIdentifier           RRC-TransactionIdentifier,</w:t>
      </w:r>
    </w:p>
    <w:p w14:paraId="49CB05C5"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0CA93368" w14:textId="77777777" w:rsidR="00394471" w:rsidRPr="00FA0D37" w:rsidRDefault="00394471" w:rsidP="00FA0D37">
      <w:pPr>
        <w:pStyle w:val="PL"/>
      </w:pPr>
      <w:r w:rsidRPr="00FA0D37">
        <w:t xml:space="preserve">        securityModeComplete                SecurityModeComplete-IEs,</w:t>
      </w:r>
    </w:p>
    <w:p w14:paraId="5225D247"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1000E229" w14:textId="77777777" w:rsidR="00394471" w:rsidRPr="00FA0D37" w:rsidRDefault="00394471" w:rsidP="00FA0D37">
      <w:pPr>
        <w:pStyle w:val="PL"/>
      </w:pPr>
      <w:r w:rsidRPr="00FA0D37">
        <w:t xml:space="preserve">    }</w:t>
      </w:r>
    </w:p>
    <w:p w14:paraId="0CF0F5BF" w14:textId="77777777" w:rsidR="00394471" w:rsidRPr="00FA0D37" w:rsidRDefault="00394471" w:rsidP="00FA0D37">
      <w:pPr>
        <w:pStyle w:val="PL"/>
      </w:pPr>
      <w:r w:rsidRPr="00FA0D37">
        <w:lastRenderedPageBreak/>
        <w:t>}</w:t>
      </w:r>
    </w:p>
    <w:p w14:paraId="1310525E" w14:textId="77777777" w:rsidR="00394471" w:rsidRPr="00FA0D37" w:rsidRDefault="00394471" w:rsidP="00FA0D37">
      <w:pPr>
        <w:pStyle w:val="PL"/>
      </w:pPr>
    </w:p>
    <w:p w14:paraId="7434998A" w14:textId="77777777" w:rsidR="00394471" w:rsidRPr="00FA0D37" w:rsidRDefault="00394471" w:rsidP="00FA0D37">
      <w:pPr>
        <w:pStyle w:val="PL"/>
      </w:pPr>
      <w:r w:rsidRPr="00FA0D37">
        <w:t xml:space="preserve">SecurityModeComplete-IEs ::=        </w:t>
      </w:r>
      <w:r w:rsidRPr="00FA0D37">
        <w:rPr>
          <w:color w:val="993366"/>
        </w:rPr>
        <w:t>SEQUENCE</w:t>
      </w:r>
      <w:r w:rsidRPr="00FA0D37">
        <w:t xml:space="preserve"> {</w:t>
      </w:r>
    </w:p>
    <w:p w14:paraId="20F34895"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03442F0"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5FF8BD9D" w14:textId="77777777" w:rsidR="00394471" w:rsidRPr="00FA0D37" w:rsidRDefault="00394471" w:rsidP="00FA0D37">
      <w:pPr>
        <w:pStyle w:val="PL"/>
      </w:pPr>
      <w:r w:rsidRPr="00FA0D37">
        <w:t>}</w:t>
      </w:r>
    </w:p>
    <w:p w14:paraId="648F145D" w14:textId="77777777" w:rsidR="00394471" w:rsidRPr="00FA0D37" w:rsidRDefault="00394471" w:rsidP="00FA0D37">
      <w:pPr>
        <w:pStyle w:val="PL"/>
      </w:pPr>
    </w:p>
    <w:p w14:paraId="600D15F1" w14:textId="77777777" w:rsidR="00394471" w:rsidRPr="00FA0D37" w:rsidRDefault="00394471" w:rsidP="00FA0D37">
      <w:pPr>
        <w:pStyle w:val="PL"/>
        <w:rPr>
          <w:color w:val="808080"/>
        </w:rPr>
      </w:pPr>
      <w:r w:rsidRPr="00FA0D37">
        <w:rPr>
          <w:color w:val="808080"/>
        </w:rPr>
        <w:t>-- TAG-SECURITYMODECOMPLETE-STOP</w:t>
      </w:r>
    </w:p>
    <w:p w14:paraId="710F9670" w14:textId="77777777" w:rsidR="00394471" w:rsidRPr="00FA0D37" w:rsidRDefault="00394471" w:rsidP="00FA0D37">
      <w:pPr>
        <w:pStyle w:val="PL"/>
        <w:rPr>
          <w:color w:val="808080"/>
        </w:rPr>
      </w:pPr>
      <w:r w:rsidRPr="00FA0D37">
        <w:rPr>
          <w:color w:val="808080"/>
        </w:rPr>
        <w:t>-- ASN1STOP</w:t>
      </w:r>
    </w:p>
    <w:p w14:paraId="7E0B495C" w14:textId="77777777" w:rsidR="00394471" w:rsidRPr="00FA0D37" w:rsidRDefault="00394471" w:rsidP="00394471"/>
    <w:p w14:paraId="120A463C" w14:textId="77777777" w:rsidR="00394471" w:rsidRPr="00FA0D37" w:rsidRDefault="00394471" w:rsidP="00394471">
      <w:pPr>
        <w:pStyle w:val="4"/>
      </w:pPr>
      <w:bookmarkStart w:id="704" w:name="_Toc60777124"/>
      <w:bookmarkStart w:id="705" w:name="_Toc146781161"/>
      <w:r w:rsidRPr="00FA0D37">
        <w:t>–</w:t>
      </w:r>
      <w:r w:rsidRPr="00FA0D37">
        <w:tab/>
      </w:r>
      <w:r w:rsidRPr="00FA0D37">
        <w:rPr>
          <w:i/>
          <w:noProof/>
        </w:rPr>
        <w:t>SecurityModeFailure</w:t>
      </w:r>
      <w:bookmarkEnd w:id="704"/>
      <w:bookmarkEnd w:id="705"/>
    </w:p>
    <w:p w14:paraId="2F35305C" w14:textId="77777777" w:rsidR="00394471" w:rsidRPr="00FA0D37" w:rsidRDefault="00394471" w:rsidP="00394471">
      <w:r w:rsidRPr="00FA0D37">
        <w:t xml:space="preserve">The </w:t>
      </w:r>
      <w:r w:rsidRPr="00FA0D37">
        <w:rPr>
          <w:i/>
          <w:noProof/>
        </w:rPr>
        <w:t>SecurityModeFailure</w:t>
      </w:r>
      <w:r w:rsidRPr="00FA0D37">
        <w:t xml:space="preserve"> message is used to indicate an unsuccessful completion of a security mode command.</w:t>
      </w:r>
    </w:p>
    <w:p w14:paraId="268CF49E" w14:textId="77777777" w:rsidR="00394471" w:rsidRPr="00FA0D37" w:rsidRDefault="00394471" w:rsidP="00394471">
      <w:pPr>
        <w:pStyle w:val="B1"/>
      </w:pPr>
      <w:r w:rsidRPr="00FA0D37">
        <w:t>Signalling radio bearer: SRB1</w:t>
      </w:r>
    </w:p>
    <w:p w14:paraId="089117E9" w14:textId="77777777" w:rsidR="00394471" w:rsidRPr="00FA0D37" w:rsidRDefault="00394471" w:rsidP="00394471">
      <w:pPr>
        <w:pStyle w:val="B1"/>
      </w:pPr>
      <w:r w:rsidRPr="00FA0D37">
        <w:t>RLC-SAP: AM</w:t>
      </w:r>
    </w:p>
    <w:p w14:paraId="414EF633" w14:textId="77777777" w:rsidR="00394471" w:rsidRPr="00FA0D37" w:rsidRDefault="00394471" w:rsidP="00394471">
      <w:pPr>
        <w:pStyle w:val="B1"/>
      </w:pPr>
      <w:r w:rsidRPr="00FA0D37">
        <w:t>Logical channel: DCCH</w:t>
      </w:r>
    </w:p>
    <w:p w14:paraId="0D47D0FB" w14:textId="77777777" w:rsidR="00394471" w:rsidRPr="00FA0D37" w:rsidRDefault="00394471" w:rsidP="00394471">
      <w:pPr>
        <w:pStyle w:val="B1"/>
      </w:pPr>
      <w:r w:rsidRPr="00FA0D37">
        <w:t>Direction: UE to Network</w:t>
      </w:r>
    </w:p>
    <w:p w14:paraId="1728E77B" w14:textId="77777777" w:rsidR="00394471" w:rsidRPr="00FA0D37" w:rsidRDefault="00394471" w:rsidP="00394471">
      <w:pPr>
        <w:pStyle w:val="TH"/>
      </w:pPr>
      <w:r w:rsidRPr="00FA0D37">
        <w:rPr>
          <w:i/>
          <w:noProof/>
        </w:rPr>
        <w:t>SecurityModeFailure</w:t>
      </w:r>
      <w:r w:rsidRPr="00FA0D37">
        <w:rPr>
          <w:noProof/>
        </w:rPr>
        <w:t xml:space="preserve"> message</w:t>
      </w:r>
    </w:p>
    <w:p w14:paraId="1745194D" w14:textId="77777777" w:rsidR="00394471" w:rsidRPr="00FA0D37" w:rsidRDefault="00394471" w:rsidP="00FA0D37">
      <w:pPr>
        <w:pStyle w:val="PL"/>
        <w:rPr>
          <w:color w:val="808080"/>
        </w:rPr>
      </w:pPr>
      <w:r w:rsidRPr="00FA0D37">
        <w:rPr>
          <w:color w:val="808080"/>
        </w:rPr>
        <w:t>-- ASN1START</w:t>
      </w:r>
    </w:p>
    <w:p w14:paraId="50E85A9D" w14:textId="77777777" w:rsidR="00394471" w:rsidRPr="00FA0D37" w:rsidRDefault="00394471" w:rsidP="00FA0D37">
      <w:pPr>
        <w:pStyle w:val="PL"/>
        <w:rPr>
          <w:color w:val="808080"/>
        </w:rPr>
      </w:pPr>
      <w:r w:rsidRPr="00FA0D37">
        <w:rPr>
          <w:color w:val="808080"/>
        </w:rPr>
        <w:t>-- TAG-SECURITYMODEFAILURE-START</w:t>
      </w:r>
    </w:p>
    <w:p w14:paraId="7CE92959" w14:textId="77777777" w:rsidR="00394471" w:rsidRPr="00FA0D37" w:rsidRDefault="00394471" w:rsidP="00FA0D37">
      <w:pPr>
        <w:pStyle w:val="PL"/>
      </w:pPr>
    </w:p>
    <w:p w14:paraId="17E44640" w14:textId="77777777" w:rsidR="00394471" w:rsidRPr="00FA0D37" w:rsidRDefault="00394471" w:rsidP="00FA0D37">
      <w:pPr>
        <w:pStyle w:val="PL"/>
      </w:pPr>
      <w:r w:rsidRPr="00FA0D37">
        <w:t xml:space="preserve">SecurityModeFailure ::=             </w:t>
      </w:r>
      <w:r w:rsidRPr="00FA0D37">
        <w:rPr>
          <w:color w:val="993366"/>
        </w:rPr>
        <w:t>SEQUENCE</w:t>
      </w:r>
      <w:r w:rsidRPr="00FA0D37">
        <w:t xml:space="preserve"> {</w:t>
      </w:r>
    </w:p>
    <w:p w14:paraId="2B67D619" w14:textId="77777777" w:rsidR="00394471" w:rsidRPr="00FA0D37" w:rsidRDefault="00394471" w:rsidP="00FA0D37">
      <w:pPr>
        <w:pStyle w:val="PL"/>
      </w:pPr>
      <w:r w:rsidRPr="00FA0D37">
        <w:t xml:space="preserve">    rrc-TransactionIdentifier           RRC-TransactionIdentifier,</w:t>
      </w:r>
    </w:p>
    <w:p w14:paraId="498D568C"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4E3E0E0D" w14:textId="77777777" w:rsidR="00394471" w:rsidRPr="00FA0D37" w:rsidRDefault="00394471" w:rsidP="00FA0D37">
      <w:pPr>
        <w:pStyle w:val="PL"/>
      </w:pPr>
      <w:r w:rsidRPr="00FA0D37">
        <w:t xml:space="preserve">        securityModeFailure                 SecurityModeFailure-IEs,</w:t>
      </w:r>
    </w:p>
    <w:p w14:paraId="3DADF6B8"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55DEBD32" w14:textId="77777777" w:rsidR="00394471" w:rsidRPr="00FA0D37" w:rsidRDefault="00394471" w:rsidP="00FA0D37">
      <w:pPr>
        <w:pStyle w:val="PL"/>
      </w:pPr>
      <w:r w:rsidRPr="00FA0D37">
        <w:t xml:space="preserve">    }</w:t>
      </w:r>
    </w:p>
    <w:p w14:paraId="5D0D0486" w14:textId="77777777" w:rsidR="00394471" w:rsidRPr="00FA0D37" w:rsidRDefault="00394471" w:rsidP="00FA0D37">
      <w:pPr>
        <w:pStyle w:val="PL"/>
      </w:pPr>
      <w:r w:rsidRPr="00FA0D37">
        <w:t>}</w:t>
      </w:r>
    </w:p>
    <w:p w14:paraId="57736EF5" w14:textId="77777777" w:rsidR="00394471" w:rsidRPr="00FA0D37" w:rsidRDefault="00394471" w:rsidP="00FA0D37">
      <w:pPr>
        <w:pStyle w:val="PL"/>
      </w:pPr>
    </w:p>
    <w:p w14:paraId="02748486" w14:textId="77777777" w:rsidR="00394471" w:rsidRPr="00FA0D37" w:rsidRDefault="00394471" w:rsidP="00FA0D37">
      <w:pPr>
        <w:pStyle w:val="PL"/>
      </w:pPr>
      <w:r w:rsidRPr="00FA0D37">
        <w:t xml:space="preserve">SecurityModeFailure-IEs ::=         </w:t>
      </w:r>
      <w:r w:rsidRPr="00FA0D37">
        <w:rPr>
          <w:color w:val="993366"/>
        </w:rPr>
        <w:t>SEQUENCE</w:t>
      </w:r>
      <w:r w:rsidRPr="00FA0D37">
        <w:t xml:space="preserve"> {</w:t>
      </w:r>
    </w:p>
    <w:p w14:paraId="4B0CC226"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38111DC"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4996FE89" w14:textId="77777777" w:rsidR="00394471" w:rsidRPr="00FA0D37" w:rsidRDefault="00394471" w:rsidP="00FA0D37">
      <w:pPr>
        <w:pStyle w:val="PL"/>
      </w:pPr>
      <w:r w:rsidRPr="00FA0D37">
        <w:t>}</w:t>
      </w:r>
    </w:p>
    <w:p w14:paraId="40AFB0E6" w14:textId="77777777" w:rsidR="00394471" w:rsidRPr="00FA0D37" w:rsidRDefault="00394471" w:rsidP="00FA0D37">
      <w:pPr>
        <w:pStyle w:val="PL"/>
      </w:pPr>
    </w:p>
    <w:p w14:paraId="2F224D4F" w14:textId="77777777" w:rsidR="00394471" w:rsidRPr="00FA0D37" w:rsidRDefault="00394471" w:rsidP="00FA0D37">
      <w:pPr>
        <w:pStyle w:val="PL"/>
        <w:rPr>
          <w:color w:val="808080"/>
        </w:rPr>
      </w:pPr>
      <w:r w:rsidRPr="00FA0D37">
        <w:rPr>
          <w:color w:val="808080"/>
        </w:rPr>
        <w:t>-- TAG-SECURITYMODEFAILURE-STOP</w:t>
      </w:r>
    </w:p>
    <w:p w14:paraId="51FC9CCD" w14:textId="77777777" w:rsidR="00394471" w:rsidRPr="00FA0D37" w:rsidRDefault="00394471" w:rsidP="00FA0D37">
      <w:pPr>
        <w:pStyle w:val="PL"/>
        <w:rPr>
          <w:color w:val="808080"/>
        </w:rPr>
      </w:pPr>
      <w:r w:rsidRPr="00FA0D37">
        <w:rPr>
          <w:color w:val="808080"/>
        </w:rPr>
        <w:t>-- ASN1STOP</w:t>
      </w:r>
    </w:p>
    <w:p w14:paraId="17458854" w14:textId="77777777" w:rsidR="00EF781F" w:rsidRDefault="00EF781F" w:rsidP="00EF781F">
      <w:bookmarkStart w:id="706" w:name="_Toc60777126"/>
      <w:bookmarkStart w:id="707" w:name="_Toc146781163"/>
    </w:p>
    <w:p w14:paraId="618BC3E6" w14:textId="77777777" w:rsidR="00EF781F" w:rsidRDefault="00EF781F" w:rsidP="00EF781F">
      <w:pPr>
        <w:keepNext/>
        <w:keepLines/>
        <w:spacing w:before="120"/>
        <w:ind w:left="1418" w:hanging="1418"/>
        <w:outlineLvl w:val="3"/>
        <w:rPr>
          <w:rFonts w:ascii="Arial" w:hAnsi="Arial"/>
          <w:i/>
          <w:noProof/>
          <w:sz w:val="24"/>
        </w:rPr>
      </w:pPr>
      <w:bookmarkStart w:id="708" w:name="_Toc146781162"/>
      <w:r>
        <w:rPr>
          <w:rFonts w:ascii="Arial" w:hAnsi="Arial"/>
          <w:sz w:val="24"/>
        </w:rPr>
        <w:lastRenderedPageBreak/>
        <w:t>–</w:t>
      </w:r>
      <w:r w:rsidRPr="00EF781F">
        <w:rPr>
          <w:rStyle w:val="40"/>
        </w:rPr>
        <w:tab/>
      </w:r>
      <w:r w:rsidRPr="00EF781F">
        <w:rPr>
          <w:rStyle w:val="40"/>
          <w:i/>
        </w:rPr>
        <w:t>SIB1</w:t>
      </w:r>
    </w:p>
    <w:p w14:paraId="49E73009" w14:textId="77777777" w:rsidR="00EF781F" w:rsidRDefault="00EF781F" w:rsidP="00EF781F">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52AAF2C" w14:textId="77777777" w:rsidR="00EF781F" w:rsidRDefault="00EF781F" w:rsidP="00EF781F">
      <w:pPr>
        <w:pStyle w:val="B1"/>
      </w:pPr>
      <w:r>
        <w:t>Signalling radio bearer: N/A</w:t>
      </w:r>
    </w:p>
    <w:p w14:paraId="118F0607" w14:textId="77777777" w:rsidR="00EF781F" w:rsidRDefault="00EF781F" w:rsidP="00EF781F">
      <w:pPr>
        <w:pStyle w:val="B1"/>
      </w:pPr>
      <w:r>
        <w:t>RLC-SAP: TM</w:t>
      </w:r>
    </w:p>
    <w:p w14:paraId="36E6E241" w14:textId="77777777" w:rsidR="00EF781F" w:rsidRDefault="00EF781F" w:rsidP="00EF781F">
      <w:pPr>
        <w:pStyle w:val="B1"/>
      </w:pPr>
      <w:r>
        <w:t>Logical channels: BCCH</w:t>
      </w:r>
    </w:p>
    <w:p w14:paraId="5282BBCB" w14:textId="77777777" w:rsidR="00EF781F" w:rsidRDefault="00EF781F" w:rsidP="00EF781F">
      <w:pPr>
        <w:pStyle w:val="B1"/>
      </w:pPr>
      <w:r>
        <w:t>Direction: Network to UE</w:t>
      </w:r>
    </w:p>
    <w:p w14:paraId="7C6B2EF6" w14:textId="77777777" w:rsidR="00EF781F" w:rsidRPr="00EF781F" w:rsidRDefault="00EF781F" w:rsidP="00EF781F">
      <w:pPr>
        <w:pStyle w:val="TH"/>
        <w:rPr>
          <w:i/>
          <w:noProof/>
        </w:rPr>
      </w:pPr>
      <w:r w:rsidRPr="00EF781F">
        <w:rPr>
          <w:i/>
          <w:noProof/>
        </w:rPr>
        <w:t>SIB1 message</w:t>
      </w:r>
    </w:p>
    <w:p w14:paraId="36F599DD" w14:textId="77777777" w:rsidR="00EF781F" w:rsidRPr="008D7C7E" w:rsidRDefault="00EF781F" w:rsidP="00EF781F">
      <w:pPr>
        <w:pStyle w:val="PL"/>
        <w:rPr>
          <w:color w:val="808080"/>
        </w:rPr>
      </w:pPr>
      <w:r w:rsidRPr="008D7C7E">
        <w:rPr>
          <w:color w:val="808080"/>
        </w:rPr>
        <w:t>-- ASN1START</w:t>
      </w:r>
    </w:p>
    <w:p w14:paraId="071C8EED" w14:textId="77777777" w:rsidR="00EF781F" w:rsidRPr="008D7C7E" w:rsidRDefault="00EF781F" w:rsidP="00EF781F">
      <w:pPr>
        <w:pStyle w:val="PL"/>
        <w:rPr>
          <w:color w:val="808080"/>
        </w:rPr>
      </w:pPr>
      <w:r w:rsidRPr="008D7C7E">
        <w:rPr>
          <w:color w:val="808080"/>
        </w:rPr>
        <w:t>-- TAG-SIB1-START</w:t>
      </w:r>
    </w:p>
    <w:p w14:paraId="6DA3D331" w14:textId="77777777" w:rsidR="00EF781F" w:rsidRDefault="00EF781F" w:rsidP="00EF781F">
      <w:pPr>
        <w:pStyle w:val="PL"/>
      </w:pPr>
    </w:p>
    <w:p w14:paraId="40E9E860" w14:textId="77777777" w:rsidR="00EF781F" w:rsidRDefault="00EF781F" w:rsidP="00EF781F">
      <w:pPr>
        <w:pStyle w:val="PL"/>
      </w:pPr>
      <w:r>
        <w:t xml:space="preserve">SIB1 ::=        </w:t>
      </w:r>
      <w:r>
        <w:rPr>
          <w:color w:val="993366"/>
        </w:rPr>
        <w:t>SEQUENCE</w:t>
      </w:r>
      <w:r>
        <w:t xml:space="preserve"> {</w:t>
      </w:r>
    </w:p>
    <w:p w14:paraId="6884822A" w14:textId="77777777" w:rsidR="00EF781F" w:rsidRDefault="00EF781F" w:rsidP="00EF781F">
      <w:pPr>
        <w:pStyle w:val="PL"/>
      </w:pPr>
      <w:r>
        <w:t xml:space="preserve">    cellSelectionInfo                   </w:t>
      </w:r>
      <w:r>
        <w:rPr>
          <w:color w:val="993366"/>
        </w:rPr>
        <w:t>SEQUENCE</w:t>
      </w:r>
      <w:r>
        <w:t xml:space="preserve"> {</w:t>
      </w:r>
    </w:p>
    <w:p w14:paraId="3E82768D" w14:textId="77777777" w:rsidR="00EF781F" w:rsidRDefault="00EF781F" w:rsidP="00EF781F">
      <w:pPr>
        <w:pStyle w:val="PL"/>
      </w:pPr>
      <w:r>
        <w:t xml:space="preserve">        q-RxLevMin                          Q-RxLevMin,</w:t>
      </w:r>
    </w:p>
    <w:p w14:paraId="2E0ACB47" w14:textId="77777777" w:rsidR="00EF781F" w:rsidRDefault="00EF781F" w:rsidP="00EF781F">
      <w:pPr>
        <w:pStyle w:val="PL"/>
      </w:pPr>
      <w:r>
        <w:t xml:space="preserve">        q-RxLevMinOffset                    </w:t>
      </w:r>
      <w:r>
        <w:rPr>
          <w:color w:val="993366"/>
        </w:rPr>
        <w:t>INTEGER</w:t>
      </w:r>
      <w:r>
        <w:t xml:space="preserve"> (1..8)                                              </w:t>
      </w:r>
      <w:r>
        <w:rPr>
          <w:color w:val="993366"/>
        </w:rPr>
        <w:t>OPTIONAL</w:t>
      </w:r>
      <w:r>
        <w:t>,   -- Need S</w:t>
      </w:r>
    </w:p>
    <w:p w14:paraId="6F252447" w14:textId="77777777" w:rsidR="00EF781F" w:rsidRDefault="00EF781F" w:rsidP="00EF781F">
      <w:pPr>
        <w:pStyle w:val="PL"/>
      </w:pPr>
      <w:r>
        <w:t xml:space="preserve">        q-RxLevMinSUL                       Q-RxLevMin                                                  </w:t>
      </w:r>
      <w:r>
        <w:rPr>
          <w:color w:val="993366"/>
        </w:rPr>
        <w:t>OPTIONAL</w:t>
      </w:r>
      <w:r>
        <w:t>,   -- Need R</w:t>
      </w:r>
    </w:p>
    <w:p w14:paraId="7EEDAE8D" w14:textId="77777777" w:rsidR="00EF781F" w:rsidRDefault="00EF781F" w:rsidP="00EF781F">
      <w:pPr>
        <w:pStyle w:val="PL"/>
      </w:pPr>
      <w:r>
        <w:t xml:space="preserve">        q-QualMin                           Q-QualMin                                                   </w:t>
      </w:r>
      <w:r>
        <w:rPr>
          <w:color w:val="993366"/>
        </w:rPr>
        <w:t>OPTIONAL</w:t>
      </w:r>
      <w:r>
        <w:t>,   -- Need S</w:t>
      </w:r>
    </w:p>
    <w:p w14:paraId="7F4E53AD" w14:textId="77777777" w:rsidR="00EF781F" w:rsidRDefault="00EF781F" w:rsidP="00EF781F">
      <w:pPr>
        <w:pStyle w:val="PL"/>
      </w:pPr>
      <w:r>
        <w:t xml:space="preserve">        q-QualMinOffset                     </w:t>
      </w:r>
      <w:r>
        <w:rPr>
          <w:color w:val="993366"/>
        </w:rPr>
        <w:t>INTEGER</w:t>
      </w:r>
      <w:r>
        <w:t xml:space="preserve"> (1..8)                                              </w:t>
      </w:r>
      <w:r>
        <w:rPr>
          <w:color w:val="993366"/>
        </w:rPr>
        <w:t>OPTIONAL</w:t>
      </w:r>
      <w:r>
        <w:t xml:space="preserve">    -- Need S</w:t>
      </w:r>
    </w:p>
    <w:p w14:paraId="7AED08CF" w14:textId="77777777" w:rsidR="00EF781F" w:rsidRDefault="00EF781F" w:rsidP="00EF781F">
      <w:pPr>
        <w:pStyle w:val="PL"/>
      </w:pPr>
      <w:r>
        <w:t xml:space="preserve">    }                                                                                                   </w:t>
      </w:r>
      <w:r>
        <w:rPr>
          <w:color w:val="993366"/>
        </w:rPr>
        <w:t>OPTIONAL</w:t>
      </w:r>
      <w:r>
        <w:t>,   -- Cond Standalone</w:t>
      </w:r>
    </w:p>
    <w:p w14:paraId="7277DBDE" w14:textId="77777777" w:rsidR="00EF781F" w:rsidRDefault="00EF781F" w:rsidP="00EF781F">
      <w:pPr>
        <w:pStyle w:val="PL"/>
      </w:pPr>
      <w:r>
        <w:t xml:space="preserve">    cellAccessRelatedInfo               CellAccessRelatedInfo,</w:t>
      </w:r>
    </w:p>
    <w:p w14:paraId="7B3AB86C" w14:textId="77777777" w:rsidR="00EF781F" w:rsidRDefault="00EF781F" w:rsidP="00EF781F">
      <w:pPr>
        <w:pStyle w:val="PL"/>
      </w:pPr>
      <w:r>
        <w:t xml:space="preserve">    connEstFailureControl               ConnEstFailureControl                                           </w:t>
      </w:r>
      <w:r>
        <w:rPr>
          <w:color w:val="993366"/>
        </w:rPr>
        <w:t>OPTIONAL</w:t>
      </w:r>
      <w:r>
        <w:t>,   -- Need R</w:t>
      </w:r>
    </w:p>
    <w:p w14:paraId="16C21347" w14:textId="77777777" w:rsidR="00EF781F" w:rsidRDefault="00EF781F" w:rsidP="00EF781F">
      <w:pPr>
        <w:pStyle w:val="PL"/>
      </w:pPr>
      <w:r>
        <w:t xml:space="preserve">    si-SchedulingInfo                   SI-SchedulingInfo                                               </w:t>
      </w:r>
      <w:r>
        <w:rPr>
          <w:color w:val="993366"/>
        </w:rPr>
        <w:t>OPTIONAL</w:t>
      </w:r>
      <w:r>
        <w:t>,   -- Need R</w:t>
      </w:r>
    </w:p>
    <w:p w14:paraId="2E6A5101" w14:textId="77777777" w:rsidR="00EF781F" w:rsidRDefault="00EF781F" w:rsidP="00EF781F">
      <w:pPr>
        <w:pStyle w:val="PL"/>
      </w:pPr>
      <w:r>
        <w:t xml:space="preserve">    servingCellConfigCommon             ServingCellConfigCommonSIB                                      </w:t>
      </w:r>
      <w:r>
        <w:rPr>
          <w:color w:val="993366"/>
        </w:rPr>
        <w:t>OPTIONAL</w:t>
      </w:r>
      <w:r>
        <w:t>,   -- Need R</w:t>
      </w:r>
    </w:p>
    <w:p w14:paraId="3FB24E68" w14:textId="77777777" w:rsidR="00EF781F" w:rsidRDefault="00EF781F" w:rsidP="00EF781F">
      <w:pPr>
        <w:pStyle w:val="PL"/>
      </w:pPr>
      <w:r>
        <w:t xml:space="preserve">    ims-EmergencySupport                </w:t>
      </w:r>
      <w:r>
        <w:rPr>
          <w:color w:val="993366"/>
        </w:rPr>
        <w:t>ENUMERATED</w:t>
      </w:r>
      <w:r>
        <w:t xml:space="preserve"> {true}                                               </w:t>
      </w:r>
      <w:r>
        <w:rPr>
          <w:color w:val="993366"/>
        </w:rPr>
        <w:t>OPTIONAL</w:t>
      </w:r>
      <w:r>
        <w:t>,   -- Need R</w:t>
      </w:r>
    </w:p>
    <w:p w14:paraId="3676CAB7" w14:textId="77777777" w:rsidR="00EF781F" w:rsidRDefault="00EF781F" w:rsidP="00EF781F">
      <w:pPr>
        <w:pStyle w:val="PL"/>
      </w:pPr>
      <w:r>
        <w:t xml:space="preserve">    eCallOverIMS-Support                </w:t>
      </w:r>
      <w:r>
        <w:rPr>
          <w:color w:val="993366"/>
        </w:rPr>
        <w:t>ENUMERATED</w:t>
      </w:r>
      <w:r>
        <w:t xml:space="preserve"> {true}                                               </w:t>
      </w:r>
      <w:r>
        <w:rPr>
          <w:color w:val="993366"/>
        </w:rPr>
        <w:t>OPTIONAL</w:t>
      </w:r>
      <w:r>
        <w:t>,   -- Need R</w:t>
      </w:r>
    </w:p>
    <w:p w14:paraId="064BADA5" w14:textId="77777777" w:rsidR="00EF781F" w:rsidRDefault="00EF781F" w:rsidP="00EF781F">
      <w:pPr>
        <w:pStyle w:val="PL"/>
      </w:pPr>
      <w:r>
        <w:t xml:space="preserve">    ue-TimersAndConstants               UE-TimersAndConstants                                           </w:t>
      </w:r>
      <w:r>
        <w:rPr>
          <w:color w:val="993366"/>
        </w:rPr>
        <w:t>OPTIONAL</w:t>
      </w:r>
      <w:r>
        <w:t>,   -- Need R</w:t>
      </w:r>
    </w:p>
    <w:p w14:paraId="20513A48" w14:textId="77777777" w:rsidR="00EF781F" w:rsidRDefault="00EF781F" w:rsidP="00EF781F">
      <w:pPr>
        <w:pStyle w:val="PL"/>
      </w:pPr>
      <w:r>
        <w:t xml:space="preserve">    uac-BarringInfo                     </w:t>
      </w:r>
      <w:r>
        <w:rPr>
          <w:color w:val="993366"/>
        </w:rPr>
        <w:t>SEQUENCE</w:t>
      </w:r>
      <w:r>
        <w:t xml:space="preserve"> {</w:t>
      </w:r>
    </w:p>
    <w:p w14:paraId="67359D7E" w14:textId="77777777" w:rsidR="00EF781F" w:rsidRDefault="00EF781F" w:rsidP="00EF781F">
      <w:pPr>
        <w:pStyle w:val="PL"/>
      </w:pPr>
      <w:r>
        <w:t xml:space="preserve">        uac-BarringForCommon                UAC-BarringPerCatList                                           </w:t>
      </w:r>
      <w:r>
        <w:rPr>
          <w:color w:val="993366"/>
        </w:rPr>
        <w:t>OPTIONAL</w:t>
      </w:r>
      <w:r>
        <w:t>,   -- Need S</w:t>
      </w:r>
    </w:p>
    <w:p w14:paraId="0EE7D39A" w14:textId="77777777" w:rsidR="00EF781F" w:rsidRDefault="00EF781F" w:rsidP="00EF781F">
      <w:pPr>
        <w:pStyle w:val="PL"/>
      </w:pPr>
      <w:r>
        <w:t xml:space="preserve">        uac-BarringPerPLMN-List             UAC-BarringPerPLMN-List                                         </w:t>
      </w:r>
      <w:r>
        <w:rPr>
          <w:color w:val="993366"/>
        </w:rPr>
        <w:t>OPTIONAL</w:t>
      </w:r>
      <w:r>
        <w:t>,   -- Need S</w:t>
      </w:r>
    </w:p>
    <w:p w14:paraId="6EAD72D7" w14:textId="77777777" w:rsidR="00EF781F" w:rsidRDefault="00EF781F" w:rsidP="00EF781F">
      <w:pPr>
        <w:pStyle w:val="PL"/>
      </w:pPr>
      <w:r>
        <w:t xml:space="preserve">        uac-BarringInfoSetList              UAC-BarringInfoSetList,</w:t>
      </w:r>
    </w:p>
    <w:p w14:paraId="0F1B8F48" w14:textId="77777777" w:rsidR="00EF781F" w:rsidRDefault="00EF781F" w:rsidP="00EF781F">
      <w:pPr>
        <w:pStyle w:val="PL"/>
      </w:pPr>
      <w:r>
        <w:t xml:space="preserve">        uac-AccessCategory1-SelectionAssistanceInfo </w:t>
      </w:r>
      <w:r>
        <w:rPr>
          <w:color w:val="993366"/>
        </w:rPr>
        <w:t>CHOICE</w:t>
      </w:r>
      <w:r>
        <w:t xml:space="preserve"> {</w:t>
      </w:r>
    </w:p>
    <w:p w14:paraId="2F54634C" w14:textId="77777777" w:rsidR="00EF781F" w:rsidRDefault="00EF781F" w:rsidP="00EF781F">
      <w:pPr>
        <w:pStyle w:val="PL"/>
      </w:pPr>
      <w:r>
        <w:t xml:space="preserve">            plmnCommon                           UAC-AccessCategory1-SelectionAssistanceInfo,</w:t>
      </w:r>
    </w:p>
    <w:p w14:paraId="53721F8B" w14:textId="77777777" w:rsidR="00EF781F" w:rsidRDefault="00EF781F" w:rsidP="00EF781F">
      <w:pPr>
        <w:pStyle w:val="PL"/>
      </w:pPr>
      <w:r>
        <w:t xml:space="preserve">            individualPLMNList                   </w:t>
      </w:r>
      <w:r>
        <w:rPr>
          <w:color w:val="993366"/>
        </w:rPr>
        <w:t>SEQUENCE</w:t>
      </w:r>
      <w:r>
        <w:t xml:space="preserve"> (</w:t>
      </w:r>
      <w:r>
        <w:rPr>
          <w:color w:val="993366"/>
        </w:rPr>
        <w:t>SIZE</w:t>
      </w:r>
      <w:r>
        <w:t xml:space="preserve"> (2..maxPLMN))</w:t>
      </w:r>
      <w:r>
        <w:rPr>
          <w:color w:val="993366"/>
        </w:rPr>
        <w:t xml:space="preserve"> OF</w:t>
      </w:r>
      <w:r>
        <w:t xml:space="preserve"> UAC-AccessCategory1-SelectionAssistanceInfo</w:t>
      </w:r>
    </w:p>
    <w:p w14:paraId="5C30F588" w14:textId="77777777" w:rsidR="00EF781F" w:rsidRDefault="00EF781F" w:rsidP="00EF781F">
      <w:pPr>
        <w:pStyle w:val="PL"/>
      </w:pPr>
      <w:r>
        <w:t xml:space="preserve">        }                                                                                                   </w:t>
      </w:r>
      <w:r>
        <w:rPr>
          <w:color w:val="993366"/>
        </w:rPr>
        <w:t>OPTIONAL</w:t>
      </w:r>
      <w:r>
        <w:t xml:space="preserve">    -- Need S</w:t>
      </w:r>
    </w:p>
    <w:p w14:paraId="5D483AAC" w14:textId="77777777" w:rsidR="00EF781F" w:rsidRDefault="00EF781F" w:rsidP="00EF781F">
      <w:pPr>
        <w:pStyle w:val="PL"/>
      </w:pPr>
      <w:r>
        <w:t xml:space="preserve">    }                                                                                                   </w:t>
      </w:r>
      <w:r>
        <w:rPr>
          <w:color w:val="993366"/>
        </w:rPr>
        <w:t>OPTIONAL</w:t>
      </w:r>
      <w:r>
        <w:t>,   -- Need R</w:t>
      </w:r>
    </w:p>
    <w:p w14:paraId="36FFB146" w14:textId="77777777" w:rsidR="00EF781F" w:rsidRDefault="00EF781F" w:rsidP="00EF781F">
      <w:pPr>
        <w:pStyle w:val="PL"/>
      </w:pPr>
      <w:r>
        <w:t xml:space="preserve">    useFullResumeID                     </w:t>
      </w:r>
      <w:r>
        <w:rPr>
          <w:color w:val="993366"/>
        </w:rPr>
        <w:t>ENUMERATED</w:t>
      </w:r>
      <w:r>
        <w:t xml:space="preserve"> {true}                                               </w:t>
      </w:r>
      <w:r>
        <w:rPr>
          <w:color w:val="993366"/>
        </w:rPr>
        <w:t>OPTIONAL</w:t>
      </w:r>
      <w:r>
        <w:t>,   -- Need R</w:t>
      </w:r>
    </w:p>
    <w:p w14:paraId="0A40ADA3" w14:textId="77777777" w:rsidR="00EF781F" w:rsidRDefault="00EF781F" w:rsidP="00EF781F">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E520C92" w14:textId="77777777" w:rsidR="00EF781F" w:rsidRDefault="00EF781F" w:rsidP="00EF781F">
      <w:pPr>
        <w:pStyle w:val="PL"/>
      </w:pPr>
      <w:r>
        <w:t xml:space="preserve">    nonCriticalExtension                SIB1-v1610-IEs                                                  </w:t>
      </w:r>
      <w:r>
        <w:rPr>
          <w:color w:val="993366"/>
        </w:rPr>
        <w:t>OPTIONAL</w:t>
      </w:r>
    </w:p>
    <w:p w14:paraId="5CB92C62" w14:textId="77777777" w:rsidR="00EF781F" w:rsidRDefault="00EF781F" w:rsidP="00EF781F">
      <w:pPr>
        <w:pStyle w:val="PL"/>
      </w:pPr>
      <w:r>
        <w:t>}</w:t>
      </w:r>
    </w:p>
    <w:p w14:paraId="46E88271" w14:textId="77777777" w:rsidR="00EF781F" w:rsidRDefault="00EF781F" w:rsidP="00EF781F">
      <w:pPr>
        <w:pStyle w:val="PL"/>
      </w:pPr>
    </w:p>
    <w:p w14:paraId="60E116E5" w14:textId="77777777" w:rsidR="00EF781F" w:rsidRDefault="00EF781F" w:rsidP="00EF781F">
      <w:pPr>
        <w:pStyle w:val="PL"/>
      </w:pPr>
      <w:r>
        <w:t xml:space="preserve">SIB1-v1610-IEs ::=               </w:t>
      </w:r>
      <w:r>
        <w:rPr>
          <w:color w:val="993366"/>
        </w:rPr>
        <w:t>SEQUENCE</w:t>
      </w:r>
      <w:r>
        <w:t xml:space="preserve"> {</w:t>
      </w:r>
    </w:p>
    <w:p w14:paraId="363833F9" w14:textId="77777777" w:rsidR="00EF781F" w:rsidRDefault="00EF781F" w:rsidP="00EF781F">
      <w:pPr>
        <w:pStyle w:val="PL"/>
      </w:pPr>
      <w:r>
        <w:lastRenderedPageBreak/>
        <w:t xml:space="preserve">    idleModeMeasurementsEUTRA-r16    </w:t>
      </w:r>
      <w:r>
        <w:rPr>
          <w:color w:val="993366"/>
        </w:rPr>
        <w:t>ENUMERATED</w:t>
      </w:r>
      <w:r>
        <w:t xml:space="preserve">{true}                                                   </w:t>
      </w:r>
      <w:r>
        <w:rPr>
          <w:color w:val="993366"/>
        </w:rPr>
        <w:t>OPTIONAL</w:t>
      </w:r>
      <w:r>
        <w:t>,  -- Need R</w:t>
      </w:r>
    </w:p>
    <w:p w14:paraId="252E96B3" w14:textId="77777777" w:rsidR="00EF781F" w:rsidRDefault="00EF781F" w:rsidP="00EF781F">
      <w:pPr>
        <w:pStyle w:val="PL"/>
      </w:pPr>
      <w:r>
        <w:t xml:space="preserve">    idleModeMeasurementsNR-r16       </w:t>
      </w:r>
      <w:r>
        <w:rPr>
          <w:color w:val="993366"/>
        </w:rPr>
        <w:t>ENUMERATED</w:t>
      </w:r>
      <w:r>
        <w:t xml:space="preserve">{true}                                                   </w:t>
      </w:r>
      <w:r>
        <w:rPr>
          <w:color w:val="993366"/>
        </w:rPr>
        <w:t>OPTIONAL</w:t>
      </w:r>
      <w:r>
        <w:t>,  -- Need R</w:t>
      </w:r>
    </w:p>
    <w:p w14:paraId="07581032" w14:textId="77777777" w:rsidR="00EF781F" w:rsidRDefault="00EF781F" w:rsidP="00EF781F">
      <w:pPr>
        <w:pStyle w:val="PL"/>
      </w:pPr>
      <w:r>
        <w:t xml:space="preserve">    posSI-SchedulingInfo-r16         PosSI-SchedulingInfo-r16                                           </w:t>
      </w:r>
      <w:r>
        <w:rPr>
          <w:color w:val="993366"/>
        </w:rPr>
        <w:t>OPTIONAL</w:t>
      </w:r>
      <w:r>
        <w:t>,  -- Need R</w:t>
      </w:r>
    </w:p>
    <w:p w14:paraId="5872065C" w14:textId="77777777" w:rsidR="00EF781F" w:rsidRDefault="00EF781F" w:rsidP="00EF781F">
      <w:pPr>
        <w:pStyle w:val="PL"/>
      </w:pPr>
      <w:r>
        <w:t xml:space="preserve">    nonCriticalExtension             SIB1-v1630-IEs                                                     </w:t>
      </w:r>
      <w:r>
        <w:rPr>
          <w:color w:val="993366"/>
        </w:rPr>
        <w:t>OPTIONAL</w:t>
      </w:r>
    </w:p>
    <w:p w14:paraId="296ADA1B" w14:textId="77777777" w:rsidR="00EF781F" w:rsidRDefault="00EF781F" w:rsidP="00EF781F">
      <w:pPr>
        <w:pStyle w:val="PL"/>
      </w:pPr>
      <w:r>
        <w:t>}</w:t>
      </w:r>
    </w:p>
    <w:p w14:paraId="033DF9C1" w14:textId="77777777" w:rsidR="00EF781F" w:rsidRDefault="00EF781F" w:rsidP="00EF781F">
      <w:pPr>
        <w:pStyle w:val="PL"/>
      </w:pPr>
    </w:p>
    <w:p w14:paraId="7BA32093" w14:textId="77777777" w:rsidR="00EF781F" w:rsidRDefault="00EF781F" w:rsidP="00EF781F">
      <w:pPr>
        <w:pStyle w:val="PL"/>
      </w:pPr>
      <w:r>
        <w:t xml:space="preserve">SIB1-v1630-IEs ::=               </w:t>
      </w:r>
      <w:r>
        <w:rPr>
          <w:color w:val="993366"/>
        </w:rPr>
        <w:t>SEQUENCE</w:t>
      </w:r>
      <w:r>
        <w:t xml:space="preserve"> {</w:t>
      </w:r>
    </w:p>
    <w:p w14:paraId="3C25A1D7" w14:textId="77777777" w:rsidR="00EF781F" w:rsidRDefault="00EF781F" w:rsidP="00EF781F">
      <w:pPr>
        <w:pStyle w:val="PL"/>
      </w:pPr>
      <w:r>
        <w:t xml:space="preserve">    uac-BarringInfo-v1630            </w:t>
      </w:r>
      <w:r>
        <w:rPr>
          <w:color w:val="993366"/>
        </w:rPr>
        <w:t>SEQUENCE</w:t>
      </w:r>
      <w:r>
        <w:t xml:space="preserve"> {</w:t>
      </w:r>
    </w:p>
    <w:p w14:paraId="0ABE7805" w14:textId="77777777" w:rsidR="00EF781F" w:rsidRDefault="00EF781F" w:rsidP="00EF781F">
      <w:pPr>
        <w:pStyle w:val="PL"/>
      </w:pPr>
      <w:r>
        <w:t xml:space="preserve">        uac-AC1-SelectAssistInfo-r16     </w:t>
      </w:r>
      <w:r>
        <w:rPr>
          <w:color w:val="993366"/>
        </w:rPr>
        <w:t>SEQUENCE</w:t>
      </w:r>
      <w:r>
        <w:t xml:space="preserve"> (</w:t>
      </w:r>
      <w:r>
        <w:rPr>
          <w:color w:val="993366"/>
        </w:rPr>
        <w:t>SIZE</w:t>
      </w:r>
      <w:r>
        <w:t xml:space="preserve"> (2..maxPLMN))</w:t>
      </w:r>
      <w:r>
        <w:rPr>
          <w:color w:val="993366"/>
        </w:rPr>
        <w:t xml:space="preserve"> OF</w:t>
      </w:r>
      <w:r>
        <w:t xml:space="preserve"> UAC-AC1-SelectAssistInfo-r16</w:t>
      </w:r>
    </w:p>
    <w:p w14:paraId="480F1329" w14:textId="77777777" w:rsidR="00EF781F" w:rsidRDefault="00EF781F" w:rsidP="00EF781F">
      <w:pPr>
        <w:pStyle w:val="PL"/>
      </w:pPr>
      <w:r>
        <w:t xml:space="preserve">    }                                                                                                   </w:t>
      </w:r>
      <w:r>
        <w:rPr>
          <w:color w:val="993366"/>
        </w:rPr>
        <w:t>OPTIONAL</w:t>
      </w:r>
      <w:r>
        <w:t>,  -- Need R</w:t>
      </w:r>
    </w:p>
    <w:p w14:paraId="055EE058" w14:textId="77777777" w:rsidR="00EF781F" w:rsidRDefault="00EF781F" w:rsidP="00EF781F">
      <w:pPr>
        <w:pStyle w:val="PL"/>
      </w:pPr>
      <w:r>
        <w:t xml:space="preserve">    nonCriticalExtension             SIB1-v1700-IEs                                                     </w:t>
      </w:r>
      <w:r>
        <w:rPr>
          <w:color w:val="993366"/>
        </w:rPr>
        <w:t>OPTIONAL</w:t>
      </w:r>
    </w:p>
    <w:p w14:paraId="23D13848" w14:textId="77777777" w:rsidR="00EF781F" w:rsidRDefault="00EF781F" w:rsidP="00EF781F">
      <w:pPr>
        <w:pStyle w:val="PL"/>
      </w:pPr>
      <w:r>
        <w:t>}</w:t>
      </w:r>
    </w:p>
    <w:p w14:paraId="2C68F15B" w14:textId="77777777" w:rsidR="00EF781F" w:rsidRDefault="00EF781F" w:rsidP="00EF781F">
      <w:pPr>
        <w:pStyle w:val="PL"/>
      </w:pPr>
    </w:p>
    <w:p w14:paraId="510009AC" w14:textId="77777777" w:rsidR="00EF781F" w:rsidRDefault="00EF781F" w:rsidP="00EF781F">
      <w:pPr>
        <w:pStyle w:val="PL"/>
      </w:pPr>
      <w:r>
        <w:t xml:space="preserve">SIB1-v1700-IEs ::=               </w:t>
      </w:r>
      <w:r>
        <w:rPr>
          <w:color w:val="993366"/>
        </w:rPr>
        <w:t>SEQUENCE</w:t>
      </w:r>
      <w:r>
        <w:t xml:space="preserve"> {</w:t>
      </w:r>
    </w:p>
    <w:p w14:paraId="097FEE9E" w14:textId="77777777" w:rsidR="00EF781F" w:rsidRDefault="00EF781F" w:rsidP="00EF781F">
      <w:pPr>
        <w:pStyle w:val="PL"/>
      </w:pPr>
      <w:r>
        <w:t xml:space="preserve">    hsdn-Cell-r17                        </w:t>
      </w:r>
      <w:r>
        <w:rPr>
          <w:color w:val="993366"/>
        </w:rPr>
        <w:t>ENUMERATED</w:t>
      </w:r>
      <w:r>
        <w:t xml:space="preserve"> {true}                                              </w:t>
      </w:r>
      <w:r>
        <w:rPr>
          <w:color w:val="993366"/>
        </w:rPr>
        <w:t>OPTIONAL</w:t>
      </w:r>
      <w:r>
        <w:t>,  -- Need R</w:t>
      </w:r>
    </w:p>
    <w:p w14:paraId="0BF1E2CB" w14:textId="77777777" w:rsidR="00EF781F" w:rsidRDefault="00EF781F" w:rsidP="00EF781F">
      <w:pPr>
        <w:pStyle w:val="PL"/>
      </w:pPr>
      <w:r>
        <w:t xml:space="preserve">    uac-BarringInfo-v1700                </w:t>
      </w:r>
      <w:r>
        <w:rPr>
          <w:color w:val="993366"/>
        </w:rPr>
        <w:t>SEQUENCE</w:t>
      </w:r>
      <w:r>
        <w:t xml:space="preserve"> {</w:t>
      </w:r>
    </w:p>
    <w:p w14:paraId="59962C7C" w14:textId="77777777" w:rsidR="00EF781F" w:rsidRDefault="00EF781F" w:rsidP="00EF781F">
      <w:pPr>
        <w:pStyle w:val="PL"/>
      </w:pPr>
      <w:r>
        <w:t xml:space="preserve">        uac-BarringInfoSetList-v1700         UAC-BarringInfoSetList-v1700</w:t>
      </w:r>
    </w:p>
    <w:p w14:paraId="7135675D" w14:textId="77777777" w:rsidR="00EF781F" w:rsidRDefault="00EF781F" w:rsidP="00EF781F">
      <w:pPr>
        <w:pStyle w:val="PL"/>
      </w:pPr>
      <w:r>
        <w:t xml:space="preserve">    }                                                                                                   </w:t>
      </w:r>
      <w:r>
        <w:rPr>
          <w:color w:val="993366"/>
        </w:rPr>
        <w:t>OPTIONAL</w:t>
      </w:r>
      <w:r>
        <w:t>,  -- Cond MINT</w:t>
      </w:r>
    </w:p>
    <w:p w14:paraId="28CB3E37" w14:textId="77777777" w:rsidR="00EF781F" w:rsidRDefault="00EF781F" w:rsidP="00EF781F">
      <w:pPr>
        <w:pStyle w:val="PL"/>
      </w:pPr>
      <w:r>
        <w:t xml:space="preserve">    </w:t>
      </w:r>
      <w:r>
        <w:rPr>
          <w:rFonts w:eastAsia="宋体"/>
        </w:rPr>
        <w:t>sdt</w:t>
      </w:r>
      <w:r>
        <w:t>-</w:t>
      </w:r>
      <w:r>
        <w:rPr>
          <w:rFonts w:eastAsia="宋体"/>
        </w:rPr>
        <w:t>ConfigCommon-r17</w:t>
      </w:r>
      <w:r>
        <w:t xml:space="preserve">                 </w:t>
      </w:r>
      <w:r>
        <w:rPr>
          <w:rFonts w:eastAsia="宋体"/>
        </w:rPr>
        <w:t>SDT</w:t>
      </w:r>
      <w:r>
        <w:t>-</w:t>
      </w:r>
      <w:r>
        <w:rPr>
          <w:rFonts w:eastAsia="宋体"/>
        </w:rPr>
        <w:t>ConfigCommonSIB-r17</w:t>
      </w:r>
      <w:r>
        <w:t xml:space="preserve">                                        </w:t>
      </w:r>
      <w:r>
        <w:rPr>
          <w:color w:val="993366"/>
        </w:rPr>
        <w:t>OPTIONAL</w:t>
      </w:r>
      <w:r>
        <w:t>,  -- Need R</w:t>
      </w:r>
    </w:p>
    <w:p w14:paraId="181E9F52" w14:textId="77777777" w:rsidR="00EF781F" w:rsidRDefault="00EF781F" w:rsidP="00EF781F">
      <w:pPr>
        <w:pStyle w:val="PL"/>
      </w:pPr>
      <w:r>
        <w:t xml:space="preserve">    redCap-ConfigCommon-r17              RedCap-ConfigCommonSIB-r17                                     </w:t>
      </w:r>
      <w:r>
        <w:rPr>
          <w:color w:val="993366"/>
        </w:rPr>
        <w:t>OPTIONAL</w:t>
      </w:r>
      <w:r>
        <w:t>,  -- Need R</w:t>
      </w:r>
    </w:p>
    <w:p w14:paraId="69D2D05F" w14:textId="77777777" w:rsidR="00EF781F" w:rsidRDefault="00EF781F" w:rsidP="00EF781F">
      <w:pPr>
        <w:pStyle w:val="PL"/>
      </w:pPr>
      <w:r>
        <w:t xml:space="preserve">    featurePriorities-r17        </w:t>
      </w:r>
      <w:r>
        <w:rPr>
          <w:color w:val="993366"/>
        </w:rPr>
        <w:t>SEQUENCE</w:t>
      </w:r>
      <w:r>
        <w:t xml:space="preserve"> {</w:t>
      </w:r>
    </w:p>
    <w:p w14:paraId="5790C692" w14:textId="77777777" w:rsidR="00EF781F" w:rsidRDefault="00EF781F" w:rsidP="00EF781F">
      <w:pPr>
        <w:pStyle w:val="PL"/>
      </w:pPr>
      <w:r>
        <w:t xml:space="preserve">        redCapPriority-r17           FeaturePriority-r17                                                </w:t>
      </w:r>
      <w:r>
        <w:rPr>
          <w:color w:val="993366"/>
        </w:rPr>
        <w:t>OPTIONAL</w:t>
      </w:r>
      <w:r>
        <w:t>,  -- Need R</w:t>
      </w:r>
    </w:p>
    <w:p w14:paraId="681EA4C1" w14:textId="77777777" w:rsidR="00EF781F" w:rsidRDefault="00EF781F" w:rsidP="00EF781F">
      <w:pPr>
        <w:pStyle w:val="PL"/>
      </w:pPr>
      <w:r>
        <w:t xml:space="preserve">        slicingPriority-r17          FeaturePriority-r17                                                </w:t>
      </w:r>
      <w:r>
        <w:rPr>
          <w:color w:val="993366"/>
        </w:rPr>
        <w:t>OPTIONAL</w:t>
      </w:r>
      <w:r>
        <w:t>,  -- Need R</w:t>
      </w:r>
    </w:p>
    <w:p w14:paraId="7AA37885" w14:textId="77777777" w:rsidR="00EF781F" w:rsidRDefault="00EF781F" w:rsidP="00EF781F">
      <w:pPr>
        <w:pStyle w:val="PL"/>
      </w:pPr>
      <w:r>
        <w:t xml:space="preserve">        msg3-Repetitions-Priority-r17 FeaturePriority-r17                                               </w:t>
      </w:r>
      <w:r>
        <w:rPr>
          <w:color w:val="993366"/>
        </w:rPr>
        <w:t>OPTIONAL</w:t>
      </w:r>
      <w:r>
        <w:t>,  -- Need R</w:t>
      </w:r>
    </w:p>
    <w:p w14:paraId="6C53828C" w14:textId="77777777" w:rsidR="00EF781F" w:rsidRDefault="00EF781F" w:rsidP="00EF781F">
      <w:pPr>
        <w:pStyle w:val="PL"/>
      </w:pPr>
      <w:r>
        <w:t xml:space="preserve">        sdt-Priority-r17             FeaturePriority-r17                                                </w:t>
      </w:r>
      <w:r>
        <w:rPr>
          <w:color w:val="993366"/>
        </w:rPr>
        <w:t>OPTIONAL</w:t>
      </w:r>
      <w:r>
        <w:t xml:space="preserve">   -- Need R</w:t>
      </w:r>
    </w:p>
    <w:p w14:paraId="5AC414FE" w14:textId="77777777" w:rsidR="00EF781F" w:rsidRDefault="00EF781F" w:rsidP="00EF781F">
      <w:pPr>
        <w:pStyle w:val="PL"/>
      </w:pPr>
      <w:r>
        <w:t xml:space="preserve">    }                                                                                                   </w:t>
      </w:r>
      <w:r>
        <w:rPr>
          <w:color w:val="993366"/>
        </w:rPr>
        <w:t>OPTIONAL</w:t>
      </w:r>
      <w:r>
        <w:t>,  -- Need R</w:t>
      </w:r>
    </w:p>
    <w:p w14:paraId="2F662FE9" w14:textId="77777777" w:rsidR="00EF781F" w:rsidRDefault="00EF781F" w:rsidP="00EF781F">
      <w:pPr>
        <w:pStyle w:val="PL"/>
      </w:pPr>
      <w:r>
        <w:t xml:space="preserve">    si-SchedulingInfo-v1700      SI-SchedulingInfo-v1700                                                </w:t>
      </w:r>
      <w:r>
        <w:rPr>
          <w:color w:val="993366"/>
        </w:rPr>
        <w:t>OPTIONAL</w:t>
      </w:r>
      <w:r>
        <w:t>,  -- Need R</w:t>
      </w:r>
    </w:p>
    <w:p w14:paraId="7E48DD1A" w14:textId="77777777" w:rsidR="00EF781F" w:rsidRDefault="00EF781F" w:rsidP="00EF781F">
      <w:pPr>
        <w:pStyle w:val="PL"/>
      </w:pPr>
      <w:r>
        <w:t xml:space="preserve">    hyperSFN-r17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 Need R</w:t>
      </w:r>
    </w:p>
    <w:p w14:paraId="4C571805" w14:textId="77777777" w:rsidR="00EF781F" w:rsidRDefault="00EF781F" w:rsidP="00EF781F">
      <w:pPr>
        <w:pStyle w:val="PL"/>
      </w:pPr>
      <w:r>
        <w:t xml:space="preserve">    eDRX-AllowedIdle-r17         </w:t>
      </w:r>
      <w:r>
        <w:rPr>
          <w:color w:val="993366"/>
        </w:rPr>
        <w:t>ENUMERATED</w:t>
      </w:r>
      <w:r>
        <w:t xml:space="preserve"> {true}                                                      </w:t>
      </w:r>
      <w:r>
        <w:rPr>
          <w:color w:val="993366"/>
        </w:rPr>
        <w:t>OPTIONAL</w:t>
      </w:r>
      <w:r>
        <w:t>,  -- Need R</w:t>
      </w:r>
    </w:p>
    <w:p w14:paraId="44414F1C" w14:textId="77777777" w:rsidR="00EF781F" w:rsidRDefault="00EF781F" w:rsidP="00EF781F">
      <w:pPr>
        <w:pStyle w:val="PL"/>
      </w:pPr>
      <w:r>
        <w:t xml:space="preserve">    eDRX-AllowedInactive-r17     </w:t>
      </w:r>
      <w:r>
        <w:rPr>
          <w:color w:val="993366"/>
        </w:rPr>
        <w:t>ENUMERATED</w:t>
      </w:r>
      <w:r>
        <w:t xml:space="preserve"> {true}                                                      </w:t>
      </w:r>
      <w:r>
        <w:rPr>
          <w:color w:val="993366"/>
        </w:rPr>
        <w:t>OPTIONAL</w:t>
      </w:r>
      <w:r>
        <w:t>,  -- Cond EDRX-RC</w:t>
      </w:r>
    </w:p>
    <w:p w14:paraId="1884B01A" w14:textId="77777777" w:rsidR="00EF781F" w:rsidRDefault="00EF781F" w:rsidP="00EF781F">
      <w:pPr>
        <w:pStyle w:val="PL"/>
      </w:pPr>
      <w:r>
        <w:t xml:space="preserve">    intraFreqReselectionRedCap-r17 </w:t>
      </w:r>
      <w:r>
        <w:rPr>
          <w:color w:val="993366"/>
        </w:rPr>
        <w:t>ENUMERATED</w:t>
      </w:r>
      <w:r>
        <w:t xml:space="preserve"> {allowed, notAllowed}                                     </w:t>
      </w:r>
      <w:r>
        <w:rPr>
          <w:color w:val="993366"/>
        </w:rPr>
        <w:t>OPTIONAL</w:t>
      </w:r>
      <w:r>
        <w:t>,  -- Need S</w:t>
      </w:r>
    </w:p>
    <w:p w14:paraId="3564A180" w14:textId="77777777" w:rsidR="00EF781F" w:rsidRDefault="00EF781F" w:rsidP="00EF781F">
      <w:pPr>
        <w:pStyle w:val="PL"/>
      </w:pPr>
      <w:r>
        <w:t xml:space="preserve">    cellBarredNTN-r17            </w:t>
      </w:r>
      <w:r>
        <w:rPr>
          <w:color w:val="993366"/>
        </w:rPr>
        <w:t>ENUMERATED</w:t>
      </w:r>
      <w:r>
        <w:t xml:space="preserve"> {barred, notBarred}                                         </w:t>
      </w:r>
      <w:r>
        <w:rPr>
          <w:color w:val="993366"/>
        </w:rPr>
        <w:t>OPTIONAL</w:t>
      </w:r>
      <w:r>
        <w:t>,  -- Need S</w:t>
      </w:r>
    </w:p>
    <w:p w14:paraId="70946CFC" w14:textId="77777777" w:rsidR="00EF781F" w:rsidRDefault="00EF781F" w:rsidP="00EF781F">
      <w:pPr>
        <w:pStyle w:val="PL"/>
      </w:pPr>
      <w:r>
        <w:t xml:space="preserve">    nonCriticalExtension         SIB1-v1740-IEs                                                         </w:t>
      </w:r>
      <w:r>
        <w:rPr>
          <w:color w:val="993366"/>
        </w:rPr>
        <w:t>OPTIONAL</w:t>
      </w:r>
    </w:p>
    <w:p w14:paraId="0925F650" w14:textId="77777777" w:rsidR="00EF781F" w:rsidRDefault="00EF781F" w:rsidP="00EF781F">
      <w:pPr>
        <w:pStyle w:val="PL"/>
      </w:pPr>
      <w:r>
        <w:t>}</w:t>
      </w:r>
    </w:p>
    <w:p w14:paraId="10670ACC" w14:textId="77777777" w:rsidR="00EF781F" w:rsidRDefault="00EF781F" w:rsidP="00EF781F">
      <w:pPr>
        <w:pStyle w:val="PL"/>
      </w:pPr>
    </w:p>
    <w:p w14:paraId="5C15DC45" w14:textId="77777777" w:rsidR="00EF781F" w:rsidRDefault="00EF781F" w:rsidP="00EF781F">
      <w:pPr>
        <w:pStyle w:val="PL"/>
      </w:pPr>
      <w:r>
        <w:t xml:space="preserve">SIB1-v1740-IEs ::=               </w:t>
      </w:r>
      <w:r>
        <w:rPr>
          <w:color w:val="993366"/>
        </w:rPr>
        <w:t>SEQUENCE</w:t>
      </w:r>
      <w:r>
        <w:t xml:space="preserve"> {</w:t>
      </w:r>
    </w:p>
    <w:p w14:paraId="4DB02AB1" w14:textId="77777777" w:rsidR="00EF781F" w:rsidRDefault="00EF781F" w:rsidP="00EF781F">
      <w:pPr>
        <w:pStyle w:val="PL"/>
      </w:pPr>
      <w:r>
        <w:t xml:space="preserve">    si-SchedulingInfo-v1740          SI-SchedulingInfo-v1740                                            </w:t>
      </w:r>
      <w:r>
        <w:rPr>
          <w:color w:val="993366"/>
        </w:rPr>
        <w:t>OPTIONAL</w:t>
      </w:r>
      <w:r>
        <w:t>,  -- Need R</w:t>
      </w:r>
    </w:p>
    <w:p w14:paraId="7A62AA27" w14:textId="77777777" w:rsidR="00EF781F" w:rsidRDefault="00EF781F" w:rsidP="00EF781F">
      <w:pPr>
        <w:pStyle w:val="PL"/>
        <w:rPr>
          <w:ins w:id="709" w:author="Huawei, HiSilicon" w:date="2023-11-02T14:40:00Z"/>
        </w:rPr>
      </w:pPr>
      <w:r>
        <w:t xml:space="preserve">    nonCriticalExtension</w:t>
      </w:r>
      <w:ins w:id="710" w:author="Huawei, HiSilicon" w:date="2023-11-02T14:40:00Z">
        <w:r>
          <w:t xml:space="preserve">             SIB1-v18xy-IEs                                                     </w:t>
        </w:r>
        <w:r>
          <w:rPr>
            <w:color w:val="993366"/>
          </w:rPr>
          <w:t>OPTIONAL</w:t>
        </w:r>
      </w:ins>
    </w:p>
    <w:p w14:paraId="3626A2EA" w14:textId="77777777" w:rsidR="00EF781F" w:rsidRDefault="00EF781F" w:rsidP="00EF781F">
      <w:pPr>
        <w:pStyle w:val="PL"/>
        <w:rPr>
          <w:ins w:id="711" w:author="Huawei, HiSilicon" w:date="2023-11-02T14:40:00Z"/>
        </w:rPr>
      </w:pPr>
      <w:ins w:id="712" w:author="Huawei, HiSilicon" w:date="2023-11-02T14:40:00Z">
        <w:r>
          <w:t>}</w:t>
        </w:r>
      </w:ins>
    </w:p>
    <w:p w14:paraId="0344B185" w14:textId="77777777" w:rsidR="00EF781F" w:rsidRDefault="00EF781F" w:rsidP="00EF781F">
      <w:pPr>
        <w:pStyle w:val="PL"/>
        <w:rPr>
          <w:ins w:id="713" w:author="Huawei, HiSilicon" w:date="2023-11-02T14:40:00Z"/>
        </w:rPr>
      </w:pPr>
    </w:p>
    <w:p w14:paraId="7D5AEBDE" w14:textId="77777777" w:rsidR="00EF781F" w:rsidRDefault="00EF781F" w:rsidP="00EF781F">
      <w:pPr>
        <w:pStyle w:val="PL"/>
        <w:rPr>
          <w:ins w:id="714" w:author="Huawei, HiSilicon" w:date="2023-11-02T14:40:00Z"/>
        </w:rPr>
      </w:pPr>
      <w:ins w:id="715" w:author="Huawei, HiSilicon" w:date="2023-11-02T14:40:00Z">
        <w:r>
          <w:t xml:space="preserve">SIB1-v18xy-IEs ::=               </w:t>
        </w:r>
        <w:r>
          <w:rPr>
            <w:color w:val="993366"/>
          </w:rPr>
          <w:t>SEQUENCE</w:t>
        </w:r>
        <w:r>
          <w:t xml:space="preserve"> {</w:t>
        </w:r>
      </w:ins>
    </w:p>
    <w:p w14:paraId="24179877" w14:textId="77777777" w:rsidR="00EF781F" w:rsidRDefault="00EF781F" w:rsidP="00EF781F">
      <w:pPr>
        <w:pStyle w:val="PL"/>
        <w:rPr>
          <w:ins w:id="716" w:author="Huawei, HiSilicon" w:date="2023-11-02T14:40:00Z"/>
        </w:rPr>
      </w:pPr>
      <w:r>
        <w:t xml:space="preserve">    </w:t>
      </w:r>
      <w:ins w:id="717" w:author="Huawei, HiSilicon" w:date="2023-11-02T14:40:00Z">
        <w:r>
          <w:t xml:space="preserve">nonServingCellMII-r18                </w:t>
        </w:r>
        <w:r>
          <w:rPr>
            <w:color w:val="993366"/>
          </w:rPr>
          <w:t>ENUMERATED</w:t>
        </w:r>
        <w:r>
          <w:t xml:space="preserve"> {true}                                                  </w:t>
        </w:r>
        <w:r>
          <w:rPr>
            <w:color w:val="993366"/>
          </w:rPr>
          <w:t xml:space="preserve">OPTIONAL,  </w:t>
        </w:r>
        <w:r>
          <w:t xml:space="preserve">-- Need R </w:t>
        </w:r>
      </w:ins>
    </w:p>
    <w:p w14:paraId="3840DE87" w14:textId="77777777" w:rsidR="00EF781F" w:rsidRDefault="00EF781F" w:rsidP="00EF781F">
      <w:pPr>
        <w:pStyle w:val="PL"/>
      </w:pPr>
      <w:r>
        <w:t xml:space="preserve">    </w:t>
      </w:r>
      <w:ins w:id="718" w:author="Huawei, HiSilicon" w:date="2023-11-02T14:40:00Z">
        <w:r>
          <w:t xml:space="preserve">nonCriticalExtension    </w:t>
        </w:r>
      </w:ins>
      <w:r>
        <w:t xml:space="preserve">             </w:t>
      </w:r>
      <w:r>
        <w:rPr>
          <w:color w:val="993366"/>
        </w:rPr>
        <w:t>SEQUENCE</w:t>
      </w:r>
      <w:r>
        <w:t xml:space="preserve"> {}                                                        </w:t>
      </w:r>
      <w:r>
        <w:rPr>
          <w:color w:val="993366"/>
        </w:rPr>
        <w:t>OPTIONAL</w:t>
      </w:r>
    </w:p>
    <w:p w14:paraId="2BA5BDF5" w14:textId="77777777" w:rsidR="00EF781F" w:rsidRDefault="00EF781F" w:rsidP="00EF781F">
      <w:pPr>
        <w:pStyle w:val="PL"/>
      </w:pPr>
      <w:r>
        <w:t>}</w:t>
      </w:r>
    </w:p>
    <w:p w14:paraId="10751C79" w14:textId="77777777" w:rsidR="00EF781F" w:rsidRDefault="00EF781F" w:rsidP="00EF781F">
      <w:pPr>
        <w:pStyle w:val="PL"/>
      </w:pPr>
    </w:p>
    <w:p w14:paraId="77D217D5" w14:textId="77777777" w:rsidR="00EF781F" w:rsidRDefault="00EF781F" w:rsidP="00EF781F">
      <w:pPr>
        <w:pStyle w:val="PL"/>
      </w:pPr>
      <w:r>
        <w:t xml:space="preserve">UAC-AccessCategory1-SelectionAssistanceInfo ::=    </w:t>
      </w:r>
      <w:r>
        <w:rPr>
          <w:color w:val="993366"/>
        </w:rPr>
        <w:t>ENUMERATED</w:t>
      </w:r>
      <w:r>
        <w:t xml:space="preserve"> {a, b, c}</w:t>
      </w:r>
    </w:p>
    <w:p w14:paraId="51E94A54" w14:textId="77777777" w:rsidR="00EF781F" w:rsidRDefault="00EF781F" w:rsidP="00EF781F">
      <w:pPr>
        <w:pStyle w:val="PL"/>
      </w:pPr>
    </w:p>
    <w:p w14:paraId="7DD54D68" w14:textId="77777777" w:rsidR="00EF781F" w:rsidRDefault="00EF781F" w:rsidP="00EF781F">
      <w:pPr>
        <w:pStyle w:val="PL"/>
      </w:pPr>
      <w:r>
        <w:t xml:space="preserve">UAC-AC1-SelectAssistInfo-r16 ::=     </w:t>
      </w:r>
      <w:r>
        <w:rPr>
          <w:color w:val="993366"/>
        </w:rPr>
        <w:t>ENUMERATED</w:t>
      </w:r>
      <w:r>
        <w:t xml:space="preserve"> {a, b, c, notConfigured}</w:t>
      </w:r>
    </w:p>
    <w:p w14:paraId="7B078743" w14:textId="77777777" w:rsidR="00EF781F" w:rsidRDefault="00EF781F" w:rsidP="00EF781F">
      <w:pPr>
        <w:pStyle w:val="PL"/>
      </w:pPr>
    </w:p>
    <w:p w14:paraId="6ADD1889" w14:textId="77777777" w:rsidR="00EF781F" w:rsidRDefault="00EF781F" w:rsidP="00EF781F">
      <w:pPr>
        <w:pStyle w:val="PL"/>
      </w:pPr>
      <w:r>
        <w:t xml:space="preserve">SDT-ConfigCommonSIB-r17 ::=          </w:t>
      </w:r>
      <w:r>
        <w:rPr>
          <w:color w:val="993366"/>
        </w:rPr>
        <w:t>SEQUENCE</w:t>
      </w:r>
      <w:r>
        <w:t xml:space="preserve"> {</w:t>
      </w:r>
    </w:p>
    <w:p w14:paraId="3F034212" w14:textId="77777777" w:rsidR="00EF781F" w:rsidRDefault="00EF781F" w:rsidP="00EF781F">
      <w:pPr>
        <w:pStyle w:val="PL"/>
      </w:pPr>
      <w:r>
        <w:t xml:space="preserve">    sdt-RSRP-Threshold-r17               RSRP-Range                                                            </w:t>
      </w:r>
      <w:r>
        <w:rPr>
          <w:color w:val="993366"/>
        </w:rPr>
        <w:t>OPTIONAL</w:t>
      </w:r>
      <w:r>
        <w:t>, -- Need R</w:t>
      </w:r>
    </w:p>
    <w:p w14:paraId="7B0A8194" w14:textId="77777777" w:rsidR="00EF781F" w:rsidRDefault="00EF781F" w:rsidP="00EF781F">
      <w:pPr>
        <w:pStyle w:val="PL"/>
      </w:pPr>
      <w:r>
        <w:lastRenderedPageBreak/>
        <w:t xml:space="preserve">    sdt-LogicalChannelSR-DelayTimer-r17  </w:t>
      </w:r>
      <w:r>
        <w:rPr>
          <w:color w:val="993366"/>
        </w:rPr>
        <w:t>ENUMERATED</w:t>
      </w:r>
      <w:r>
        <w:t xml:space="preserve"> { sf20, sf40, sf64, sf128, sf512, sf1024, sf2560, spare1}  </w:t>
      </w:r>
      <w:r>
        <w:rPr>
          <w:color w:val="993366"/>
        </w:rPr>
        <w:t>OPTIONAL</w:t>
      </w:r>
      <w:r>
        <w:t>, -- Need R</w:t>
      </w:r>
    </w:p>
    <w:p w14:paraId="5D1A112F" w14:textId="77777777" w:rsidR="00EF781F" w:rsidRDefault="00EF781F" w:rsidP="00EF781F">
      <w:pPr>
        <w:pStyle w:val="PL"/>
        <w:rPr>
          <w:lang w:val="pl-PL"/>
        </w:rPr>
      </w:pPr>
      <w:r>
        <w:t xml:space="preserve">    </w:t>
      </w:r>
      <w:r>
        <w:rPr>
          <w:lang w:val="pl-PL"/>
        </w:rPr>
        <w:t xml:space="preserve">sdt-DataVolumeThreshold-r17          </w:t>
      </w:r>
      <w:r>
        <w:rPr>
          <w:color w:val="993366"/>
          <w:lang w:val="pl-PL"/>
        </w:rPr>
        <w:t>ENUMERATED</w:t>
      </w:r>
      <w:r>
        <w:rPr>
          <w:lang w:val="pl-PL"/>
        </w:rPr>
        <w:t xml:space="preserve"> {byte32, byte100, byte200, byte400, byte600, byte800, byte1000, byte2000, byte4000,</w:t>
      </w:r>
    </w:p>
    <w:p w14:paraId="4C12332E" w14:textId="77777777" w:rsidR="00EF781F" w:rsidRDefault="00EF781F" w:rsidP="00EF781F">
      <w:pPr>
        <w:pStyle w:val="PL"/>
        <w:rPr>
          <w:lang w:val="pl-PL"/>
        </w:rPr>
      </w:pPr>
      <w:r>
        <w:rPr>
          <w:lang w:val="pl-PL"/>
        </w:rPr>
        <w:t xml:space="preserve">                                                     byte8000, byte9000, byte10000, byte12000, byte24000, byte48000, byte96000},</w:t>
      </w:r>
    </w:p>
    <w:p w14:paraId="71425642" w14:textId="77777777" w:rsidR="00EF781F" w:rsidRDefault="00EF781F" w:rsidP="00EF781F">
      <w:pPr>
        <w:pStyle w:val="PL"/>
      </w:pPr>
      <w:r>
        <w:rPr>
          <w:lang w:val="pl-PL"/>
        </w:rPr>
        <w:t xml:space="preserve">    </w:t>
      </w:r>
      <w:r>
        <w:t xml:space="preserve">t319a-r17                            </w:t>
      </w:r>
      <w:r>
        <w:rPr>
          <w:color w:val="993366"/>
        </w:rPr>
        <w:t>ENUMERATED</w:t>
      </w:r>
      <w:r>
        <w:t xml:space="preserve"> { ms100, ms200, ms300, ms400, ms600, ms1000, ms2000,</w:t>
      </w:r>
    </w:p>
    <w:p w14:paraId="18F4070F" w14:textId="77777777" w:rsidR="00EF781F" w:rsidRDefault="00EF781F" w:rsidP="00EF781F">
      <w:pPr>
        <w:pStyle w:val="PL"/>
      </w:pPr>
      <w:r>
        <w:t xml:space="preserve">                                                      ms3000, ms4000, spare7, spare6, spare5, spare4, spare3, spare2, spare1}</w:t>
      </w:r>
    </w:p>
    <w:p w14:paraId="64BF7F46" w14:textId="77777777" w:rsidR="00EF781F" w:rsidRDefault="00EF781F" w:rsidP="00EF781F">
      <w:pPr>
        <w:pStyle w:val="PL"/>
      </w:pPr>
      <w:r>
        <w:t>}</w:t>
      </w:r>
    </w:p>
    <w:p w14:paraId="21827C72" w14:textId="77777777" w:rsidR="00EF781F" w:rsidRDefault="00EF781F" w:rsidP="00EF781F">
      <w:pPr>
        <w:pStyle w:val="PL"/>
      </w:pPr>
    </w:p>
    <w:p w14:paraId="25ECD6FD" w14:textId="77777777" w:rsidR="00EF781F" w:rsidRDefault="00EF781F" w:rsidP="00EF781F">
      <w:pPr>
        <w:pStyle w:val="PL"/>
      </w:pPr>
      <w:r>
        <w:t xml:space="preserve">RedCap-ConfigCommonSIB-r17 ::= </w:t>
      </w:r>
      <w:r>
        <w:rPr>
          <w:color w:val="993366"/>
        </w:rPr>
        <w:t>SEQUENCE</w:t>
      </w:r>
      <w:r>
        <w:t xml:space="preserve"> {</w:t>
      </w:r>
    </w:p>
    <w:p w14:paraId="0A007CE2" w14:textId="77777777" w:rsidR="00EF781F" w:rsidRDefault="00EF781F" w:rsidP="00EF781F">
      <w:pPr>
        <w:pStyle w:val="PL"/>
      </w:pPr>
      <w:r>
        <w:t xml:space="preserve">    halfDuplexRedCapAllowed-r17    </w:t>
      </w:r>
      <w:r>
        <w:rPr>
          <w:color w:val="993366"/>
        </w:rPr>
        <w:t>ENUMERATED</w:t>
      </w:r>
      <w:r>
        <w:t xml:space="preserve"> {true}                                                    </w:t>
      </w:r>
      <w:r>
        <w:rPr>
          <w:color w:val="993366"/>
        </w:rPr>
        <w:t>OPTIONAL</w:t>
      </w:r>
      <w:r>
        <w:t>,  -- Need R</w:t>
      </w:r>
    </w:p>
    <w:p w14:paraId="4FC39CD4" w14:textId="77777777" w:rsidR="00EF781F" w:rsidRDefault="00EF781F" w:rsidP="00EF781F">
      <w:pPr>
        <w:pStyle w:val="PL"/>
      </w:pPr>
      <w:r>
        <w:t xml:space="preserve">    cellBarredRedCap-r17           </w:t>
      </w:r>
      <w:r>
        <w:rPr>
          <w:color w:val="993366"/>
        </w:rPr>
        <w:t>SEQUENCE</w:t>
      </w:r>
      <w:r>
        <w:t xml:space="preserve"> {</w:t>
      </w:r>
    </w:p>
    <w:p w14:paraId="1E6449BC" w14:textId="77777777" w:rsidR="00EF781F" w:rsidRDefault="00EF781F" w:rsidP="00EF781F">
      <w:pPr>
        <w:pStyle w:val="PL"/>
      </w:pPr>
      <w:r>
        <w:t xml:space="preserve">        cellBarredRedCap1Rx-r17        </w:t>
      </w:r>
      <w:r>
        <w:rPr>
          <w:color w:val="993366"/>
        </w:rPr>
        <w:t>ENUMERATED</w:t>
      </w:r>
      <w:r>
        <w:t xml:space="preserve"> {barred, notBarred},</w:t>
      </w:r>
    </w:p>
    <w:p w14:paraId="086D672D" w14:textId="77777777" w:rsidR="00EF781F" w:rsidRDefault="00EF781F" w:rsidP="00EF781F">
      <w:pPr>
        <w:pStyle w:val="PL"/>
      </w:pPr>
      <w:r>
        <w:t xml:space="preserve">        cellBarredRedCap2Rx-r17        </w:t>
      </w:r>
      <w:r>
        <w:rPr>
          <w:color w:val="993366"/>
        </w:rPr>
        <w:t>ENUMERATED</w:t>
      </w:r>
      <w:r>
        <w:t xml:space="preserve"> {barred, notBarred}</w:t>
      </w:r>
    </w:p>
    <w:p w14:paraId="681BCD76" w14:textId="77777777" w:rsidR="00EF781F" w:rsidRDefault="00EF781F" w:rsidP="00EF781F">
      <w:pPr>
        <w:pStyle w:val="PL"/>
      </w:pPr>
      <w:r>
        <w:t xml:space="preserve">    }                                                                                                   </w:t>
      </w:r>
      <w:r>
        <w:rPr>
          <w:color w:val="993366"/>
        </w:rPr>
        <w:t>OPTIONAL</w:t>
      </w:r>
      <w:r>
        <w:t>,  -- Need R</w:t>
      </w:r>
    </w:p>
    <w:p w14:paraId="0DA616D7" w14:textId="77777777" w:rsidR="00EF781F" w:rsidRDefault="00EF781F" w:rsidP="00EF781F">
      <w:pPr>
        <w:pStyle w:val="PL"/>
      </w:pPr>
      <w:r>
        <w:t xml:space="preserve">    ...</w:t>
      </w:r>
    </w:p>
    <w:p w14:paraId="37C6E9F5" w14:textId="77777777" w:rsidR="00EF781F" w:rsidRDefault="00EF781F" w:rsidP="00EF781F">
      <w:pPr>
        <w:pStyle w:val="PL"/>
      </w:pPr>
      <w:r>
        <w:t>}</w:t>
      </w:r>
    </w:p>
    <w:p w14:paraId="650A2A27" w14:textId="77777777" w:rsidR="00EF781F" w:rsidRDefault="00EF781F" w:rsidP="00EF781F">
      <w:pPr>
        <w:pStyle w:val="PL"/>
      </w:pPr>
    </w:p>
    <w:p w14:paraId="52000551" w14:textId="77777777" w:rsidR="00EF781F" w:rsidRDefault="00EF781F" w:rsidP="00EF781F">
      <w:pPr>
        <w:pStyle w:val="PL"/>
      </w:pPr>
      <w:r>
        <w:t xml:space="preserve">FeaturePriority-r17 ::= </w:t>
      </w:r>
      <w:r>
        <w:rPr>
          <w:color w:val="993366"/>
        </w:rPr>
        <w:t>INTEGER</w:t>
      </w:r>
      <w:r>
        <w:t xml:space="preserve"> (0..7)</w:t>
      </w:r>
    </w:p>
    <w:p w14:paraId="65D8C486" w14:textId="77777777" w:rsidR="00EF781F" w:rsidRDefault="00EF781F" w:rsidP="00EF781F">
      <w:pPr>
        <w:pStyle w:val="PL"/>
      </w:pPr>
    </w:p>
    <w:p w14:paraId="47F82930" w14:textId="77777777" w:rsidR="00EF781F" w:rsidRPr="008D7C7E" w:rsidRDefault="00EF781F" w:rsidP="00EF781F">
      <w:pPr>
        <w:pStyle w:val="PL"/>
        <w:rPr>
          <w:color w:val="808080"/>
        </w:rPr>
      </w:pPr>
      <w:r w:rsidRPr="008D7C7E">
        <w:rPr>
          <w:color w:val="808080"/>
        </w:rPr>
        <w:t>-- TAG-SIB1-STOP</w:t>
      </w:r>
    </w:p>
    <w:p w14:paraId="1650EE7B" w14:textId="77777777" w:rsidR="00EF781F" w:rsidRPr="008D7C7E" w:rsidRDefault="00EF781F" w:rsidP="00EF781F">
      <w:pPr>
        <w:pStyle w:val="PL"/>
        <w:rPr>
          <w:color w:val="808080"/>
        </w:rPr>
      </w:pPr>
      <w:r w:rsidRPr="008D7C7E">
        <w:rPr>
          <w:color w:val="808080"/>
        </w:rPr>
        <w:t>-- ASN1STOP</w:t>
      </w:r>
    </w:p>
    <w:p w14:paraId="39D9A892" w14:textId="77777777" w:rsidR="00EF781F" w:rsidRDefault="00EF781F" w:rsidP="00EF781F"/>
    <w:tbl>
      <w:tblPr>
        <w:tblW w:w="140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tblGrid>
      <w:tr w:rsidR="00EF781F" w14:paraId="10D6E020"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6E24B23E" w14:textId="77777777" w:rsidR="00EF781F" w:rsidRDefault="00EF781F">
            <w:pPr>
              <w:keepNext/>
              <w:keepLines/>
              <w:spacing w:after="0"/>
              <w:jc w:val="center"/>
              <w:rPr>
                <w:rFonts w:ascii="Arial" w:hAnsi="Arial"/>
                <w:b/>
                <w:sz w:val="18"/>
                <w:szCs w:val="22"/>
                <w:lang w:eastAsia="sv-SE"/>
              </w:rPr>
            </w:pPr>
            <w:r>
              <w:rPr>
                <w:rFonts w:ascii="Arial" w:hAnsi="Arial"/>
                <w:b/>
                <w:i/>
                <w:sz w:val="18"/>
                <w:szCs w:val="22"/>
                <w:lang w:eastAsia="sv-SE"/>
              </w:rPr>
              <w:lastRenderedPageBreak/>
              <w:t xml:space="preserve">SIB1 </w:t>
            </w:r>
            <w:r>
              <w:rPr>
                <w:rFonts w:ascii="Arial" w:hAnsi="Arial"/>
                <w:b/>
                <w:sz w:val="18"/>
                <w:szCs w:val="22"/>
                <w:lang w:eastAsia="sv-SE"/>
              </w:rPr>
              <w:t>field descriptions</w:t>
            </w:r>
          </w:p>
        </w:tc>
      </w:tr>
      <w:tr w:rsidR="00EF781F" w14:paraId="7BE52B78"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1E60D8CF" w14:textId="77777777" w:rsidR="00EF781F" w:rsidRDefault="00EF781F">
            <w:pPr>
              <w:keepNext/>
              <w:keepLines/>
              <w:spacing w:after="0"/>
              <w:rPr>
                <w:rFonts w:ascii="Arial" w:hAnsi="Arial"/>
                <w:b/>
                <w:bCs/>
                <w:i/>
                <w:iCs/>
                <w:sz w:val="18"/>
                <w:lang w:eastAsia="sv-SE"/>
              </w:rPr>
            </w:pPr>
            <w:r>
              <w:rPr>
                <w:rFonts w:ascii="Arial" w:hAnsi="Arial"/>
                <w:b/>
                <w:bCs/>
                <w:i/>
                <w:iCs/>
                <w:sz w:val="18"/>
                <w:lang w:eastAsia="sv-SE"/>
              </w:rPr>
              <w:t>cellBarredNTN</w:t>
            </w:r>
          </w:p>
          <w:p w14:paraId="046A44FC" w14:textId="77777777" w:rsidR="00EF781F" w:rsidRDefault="00EF781F">
            <w:pPr>
              <w:keepNext/>
              <w:keepLines/>
              <w:spacing w:after="0"/>
              <w:rPr>
                <w:rFonts w:ascii="Arial" w:hAnsi="Arial"/>
                <w:sz w:val="18"/>
                <w:lang w:eastAsia="sv-SE"/>
              </w:rPr>
            </w:pPr>
            <w:r>
              <w:rPr>
                <w:rFonts w:ascii="Arial" w:hAnsi="Arial"/>
                <w:sz w:val="18"/>
                <w:lang w:eastAsia="sv-SE"/>
              </w:rPr>
              <w:t xml:space="preserve">Value </w:t>
            </w:r>
            <w:r>
              <w:rPr>
                <w:rFonts w:ascii="Arial" w:hAnsi="Arial"/>
                <w:i/>
                <w:iCs/>
                <w:sz w:val="18"/>
                <w:lang w:eastAsia="sv-SE"/>
              </w:rPr>
              <w:t>barred</w:t>
            </w:r>
            <w:r>
              <w:rPr>
                <w:rFonts w:ascii="Arial" w:hAnsi="Arial"/>
                <w:sz w:val="18"/>
                <w:lang w:eastAsia="sv-SE"/>
              </w:rPr>
              <w:t xml:space="preserve"> means that the cell is barred for connectivity to NTN, as defined in TS 38.304 [20]. Value </w:t>
            </w:r>
            <w:r>
              <w:rPr>
                <w:rFonts w:ascii="Arial" w:hAnsi="Arial"/>
                <w:i/>
                <w:iCs/>
                <w:sz w:val="18"/>
                <w:lang w:eastAsia="sv-SE"/>
              </w:rPr>
              <w:t>notBarred</w:t>
            </w:r>
            <w:r>
              <w:rPr>
                <w:rFonts w:ascii="Arial" w:hAnsi="Arial"/>
                <w:sz w:val="18"/>
                <w:lang w:eastAsia="sv-SE"/>
              </w:rPr>
              <w:t xml:space="preserve"> means that the cell is allowed for connectivity to NTN. If not present, the UE considers the cell is not allowed for connectivity to NTN, as defined in TS 38.304 [20]. This field is only applicable to NTN-capable UEs.</w:t>
            </w:r>
          </w:p>
        </w:tc>
      </w:tr>
      <w:tr w:rsidR="00EF781F" w14:paraId="1CFFA3F0"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21C19614"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cellBarredRedCap1Rx</w:t>
            </w:r>
          </w:p>
          <w:p w14:paraId="1AA73DEE" w14:textId="77777777" w:rsidR="00EF781F" w:rsidRDefault="00EF781F">
            <w:pPr>
              <w:keepNext/>
              <w:keepLines/>
              <w:spacing w:after="0"/>
              <w:rPr>
                <w:rFonts w:ascii="Arial" w:hAnsi="Arial"/>
                <w:bCs/>
                <w:sz w:val="18"/>
                <w:szCs w:val="22"/>
                <w:lang w:eastAsia="en-GB"/>
              </w:rPr>
            </w:pPr>
            <w:r>
              <w:rPr>
                <w:rFonts w:ascii="Arial" w:hAnsi="Arial"/>
                <w:iCs/>
                <w:sz w:val="18"/>
                <w:szCs w:val="22"/>
                <w:lang w:eastAsia="en-GB"/>
              </w:rPr>
              <w:t xml:space="preserve">Value </w:t>
            </w:r>
            <w:r>
              <w:rPr>
                <w:rFonts w:ascii="Arial" w:hAnsi="Arial"/>
                <w:i/>
                <w:sz w:val="18"/>
                <w:szCs w:val="22"/>
                <w:lang w:eastAsia="en-GB"/>
              </w:rPr>
              <w:t>barred</w:t>
            </w:r>
            <w:r>
              <w:rPr>
                <w:rFonts w:ascii="Arial" w:hAnsi="Arial"/>
                <w:iCs/>
                <w:sz w:val="18"/>
                <w:szCs w:val="22"/>
                <w:lang w:eastAsia="en-GB"/>
              </w:rPr>
              <w:t xml:space="preserve"> means that the cell is barred for a RedCap UE with 1 Rx branch, </w:t>
            </w:r>
            <w:r>
              <w:rPr>
                <w:rFonts w:ascii="Arial" w:hAnsi="Arial"/>
                <w:sz w:val="18"/>
                <w:szCs w:val="22"/>
                <w:lang w:eastAsia="sv-SE"/>
              </w:rPr>
              <w:t xml:space="preserve">as defined </w:t>
            </w:r>
            <w:r>
              <w:rPr>
                <w:rFonts w:ascii="Arial" w:hAnsi="Arial"/>
                <w:sz w:val="18"/>
                <w:szCs w:val="22"/>
                <w:lang w:eastAsia="en-GB"/>
              </w:rPr>
              <w:t>in TS 38.304 [20]. This field is ignored by non-RedCap UEs.</w:t>
            </w:r>
          </w:p>
        </w:tc>
      </w:tr>
      <w:tr w:rsidR="00EF781F" w14:paraId="7CC39CC1"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1640E4D0"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cellBarredRedCap2Rx</w:t>
            </w:r>
          </w:p>
          <w:p w14:paraId="5296C2FF" w14:textId="77777777" w:rsidR="00EF781F" w:rsidRDefault="00EF781F">
            <w:pPr>
              <w:keepNext/>
              <w:keepLines/>
              <w:spacing w:after="0"/>
              <w:rPr>
                <w:rFonts w:ascii="Arial" w:hAnsi="Arial"/>
                <w:bCs/>
                <w:sz w:val="18"/>
                <w:szCs w:val="22"/>
                <w:lang w:eastAsia="en-GB"/>
              </w:rPr>
            </w:pPr>
            <w:r>
              <w:rPr>
                <w:rFonts w:ascii="Arial" w:hAnsi="Arial"/>
                <w:iCs/>
                <w:sz w:val="18"/>
                <w:szCs w:val="22"/>
                <w:lang w:eastAsia="en-GB"/>
              </w:rPr>
              <w:t xml:space="preserve">Value </w:t>
            </w:r>
            <w:r>
              <w:rPr>
                <w:rFonts w:ascii="Arial" w:hAnsi="Arial"/>
                <w:i/>
                <w:sz w:val="18"/>
                <w:szCs w:val="22"/>
                <w:lang w:eastAsia="en-GB"/>
              </w:rPr>
              <w:t>barred</w:t>
            </w:r>
            <w:r>
              <w:rPr>
                <w:rFonts w:ascii="Arial" w:hAnsi="Arial"/>
                <w:iCs/>
                <w:sz w:val="18"/>
                <w:szCs w:val="22"/>
                <w:lang w:eastAsia="en-GB"/>
              </w:rPr>
              <w:t xml:space="preserve"> means that the cell is barred for a RedCap UE with 2 Rx branches, </w:t>
            </w:r>
            <w:r>
              <w:rPr>
                <w:rFonts w:ascii="Arial" w:hAnsi="Arial"/>
                <w:sz w:val="18"/>
                <w:szCs w:val="22"/>
                <w:lang w:eastAsia="sv-SE"/>
              </w:rPr>
              <w:t xml:space="preserve">as defined </w:t>
            </w:r>
            <w:r>
              <w:rPr>
                <w:rFonts w:ascii="Arial" w:hAnsi="Arial"/>
                <w:sz w:val="18"/>
                <w:szCs w:val="22"/>
                <w:lang w:eastAsia="en-GB"/>
              </w:rPr>
              <w:t>in TS 38.304 [20]. This field is ignored by non-RedCap UEs.</w:t>
            </w:r>
          </w:p>
        </w:tc>
      </w:tr>
      <w:tr w:rsidR="00EF781F" w14:paraId="097E7147"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77619C6F"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cellSelectionInfo</w:t>
            </w:r>
          </w:p>
          <w:p w14:paraId="76BB4622" w14:textId="77777777" w:rsidR="00EF781F" w:rsidRDefault="00EF781F">
            <w:pPr>
              <w:keepNext/>
              <w:keepLines/>
              <w:spacing w:after="0"/>
              <w:rPr>
                <w:rFonts w:ascii="Arial" w:hAnsi="Arial"/>
                <w:bCs/>
                <w:sz w:val="18"/>
                <w:szCs w:val="22"/>
                <w:lang w:eastAsia="en-GB"/>
              </w:rPr>
            </w:pPr>
            <w:r>
              <w:rPr>
                <w:rFonts w:ascii="Arial" w:hAnsi="Arial"/>
                <w:bCs/>
                <w:sz w:val="18"/>
                <w:szCs w:val="22"/>
                <w:lang w:eastAsia="en-GB"/>
              </w:rPr>
              <w:t>Parameters for cell selection related to the serving cell.</w:t>
            </w:r>
          </w:p>
        </w:tc>
      </w:tr>
      <w:tr w:rsidR="00EF781F" w14:paraId="336C3CAE"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52CC6C0F"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eCallOverIMS-Support</w:t>
            </w:r>
          </w:p>
          <w:p w14:paraId="075A6F4B" w14:textId="77777777" w:rsidR="00EF781F" w:rsidRDefault="00EF781F">
            <w:pPr>
              <w:keepNext/>
              <w:keepLines/>
              <w:spacing w:after="0"/>
              <w:rPr>
                <w:rFonts w:ascii="Arial" w:hAnsi="Arial"/>
                <w:b/>
                <w:bCs/>
                <w:i/>
                <w:sz w:val="18"/>
                <w:szCs w:val="22"/>
                <w:lang w:eastAsia="en-GB"/>
              </w:rPr>
            </w:pPr>
            <w:r>
              <w:rPr>
                <w:rFonts w:ascii="Arial" w:hAnsi="Arial"/>
                <w:sz w:val="18"/>
                <w:szCs w:val="22"/>
                <w:lang w:eastAsia="en-GB"/>
              </w:rPr>
              <w:t>Indicates whether the cell supports eCall over IMS services as defined in TS 23.501 [32]. If absent, eCall over IMS is not supported by the network in the cell.</w:t>
            </w:r>
          </w:p>
        </w:tc>
      </w:tr>
      <w:tr w:rsidR="00EF781F" w14:paraId="33A8A328"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5A60AE09"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eDRX-AllowedIdle</w:t>
            </w:r>
          </w:p>
          <w:p w14:paraId="4A016C68" w14:textId="77777777" w:rsidR="00EF781F" w:rsidRDefault="00EF781F">
            <w:pPr>
              <w:keepNext/>
              <w:keepLines/>
              <w:spacing w:after="0"/>
              <w:rPr>
                <w:rFonts w:ascii="Arial" w:hAnsi="Arial"/>
                <w:b/>
                <w:bCs/>
                <w:i/>
                <w:sz w:val="18"/>
                <w:szCs w:val="22"/>
                <w:lang w:eastAsia="en-GB"/>
              </w:rPr>
            </w:pPr>
            <w:r>
              <w:rPr>
                <w:rFonts w:ascii="Arial" w:hAnsi="Arial"/>
                <w:iCs/>
                <w:sz w:val="18"/>
                <w:szCs w:val="22"/>
                <w:lang w:eastAsia="en-GB"/>
              </w:rPr>
              <w:t xml:space="preserve">The presence of this field indicates that extended DRX for CN paging is allowed in the cell for UEs in RRC_IDLE or RRC_INACTIVE. </w:t>
            </w:r>
            <w:r>
              <w:rPr>
                <w:rFonts w:ascii="Arial" w:hAnsi="Arial"/>
                <w:sz w:val="18"/>
                <w:lang w:eastAsia="en-GB"/>
              </w:rPr>
              <w:t xml:space="preserve">The UE shall stop using extended DRX for CN paging in RRC_IDLE or RRC_INACTIVE if </w:t>
            </w:r>
            <w:r>
              <w:rPr>
                <w:rFonts w:ascii="Arial" w:hAnsi="Arial"/>
                <w:i/>
                <w:sz w:val="18"/>
                <w:lang w:eastAsia="en-GB"/>
              </w:rPr>
              <w:t>eDRX-AllowedIdle</w:t>
            </w:r>
            <w:r>
              <w:rPr>
                <w:rFonts w:ascii="Arial" w:hAnsi="Arial"/>
                <w:sz w:val="18"/>
                <w:lang w:eastAsia="en-GB"/>
              </w:rPr>
              <w:t xml:space="preserve"> is not present.</w:t>
            </w:r>
          </w:p>
        </w:tc>
      </w:tr>
      <w:tr w:rsidR="00EF781F" w14:paraId="11EA66CC"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6787F30C"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eDRX-AllowedInactive</w:t>
            </w:r>
          </w:p>
          <w:p w14:paraId="6583F211" w14:textId="77777777" w:rsidR="00EF781F" w:rsidRDefault="00EF781F">
            <w:pPr>
              <w:keepNext/>
              <w:keepLines/>
              <w:spacing w:after="0"/>
              <w:rPr>
                <w:rFonts w:ascii="Arial" w:hAnsi="Arial"/>
                <w:b/>
                <w:bCs/>
                <w:i/>
                <w:sz w:val="18"/>
                <w:szCs w:val="22"/>
                <w:lang w:eastAsia="en-GB"/>
              </w:rPr>
            </w:pPr>
            <w:r>
              <w:rPr>
                <w:rFonts w:ascii="Arial" w:hAnsi="Arial"/>
                <w:iCs/>
                <w:sz w:val="18"/>
                <w:szCs w:val="22"/>
                <w:lang w:eastAsia="en-GB"/>
              </w:rPr>
              <w:t xml:space="preserve">The presence of this field indicates that extended DRX for RAN paging is allowed in the cell for UEs in RRC_INACTIVE. The UE shall stop using extended DRX for RAN paging in RRC_INACTIVE if </w:t>
            </w:r>
            <w:r>
              <w:rPr>
                <w:rFonts w:ascii="Arial" w:hAnsi="Arial"/>
                <w:i/>
                <w:sz w:val="18"/>
                <w:szCs w:val="22"/>
                <w:lang w:eastAsia="en-GB"/>
              </w:rPr>
              <w:t>eDRX-AllowedInactive</w:t>
            </w:r>
            <w:r>
              <w:rPr>
                <w:rFonts w:ascii="Arial" w:hAnsi="Arial"/>
                <w:iCs/>
                <w:sz w:val="18"/>
                <w:szCs w:val="22"/>
                <w:lang w:eastAsia="en-GB"/>
              </w:rPr>
              <w:t xml:space="preserve"> is not present.</w:t>
            </w:r>
          </w:p>
        </w:tc>
      </w:tr>
      <w:tr w:rsidR="00EF781F" w14:paraId="4C2F2952"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687653CF" w14:textId="77777777" w:rsidR="00EF781F" w:rsidRDefault="00EF781F">
            <w:pPr>
              <w:keepNext/>
              <w:keepLines/>
              <w:spacing w:after="0"/>
              <w:rPr>
                <w:rFonts w:ascii="Arial" w:hAnsi="Arial"/>
                <w:sz w:val="18"/>
                <w:szCs w:val="22"/>
              </w:rPr>
            </w:pPr>
            <w:r>
              <w:rPr>
                <w:rFonts w:ascii="Arial" w:hAnsi="Arial"/>
                <w:b/>
                <w:i/>
                <w:sz w:val="18"/>
                <w:szCs w:val="22"/>
              </w:rPr>
              <w:t>featurePriorities</w:t>
            </w:r>
          </w:p>
          <w:p w14:paraId="1E7A12C7" w14:textId="77777777" w:rsidR="00EF781F" w:rsidRDefault="00EF781F">
            <w:pPr>
              <w:keepNext/>
              <w:keepLines/>
              <w:spacing w:after="0"/>
              <w:rPr>
                <w:rFonts w:ascii="Arial" w:hAnsi="Arial"/>
                <w:b/>
                <w:i/>
                <w:sz w:val="18"/>
                <w:szCs w:val="22"/>
                <w:lang w:eastAsia="sv-SE"/>
              </w:rPr>
            </w:pPr>
            <w:r>
              <w:rPr>
                <w:rFonts w:ascii="Arial" w:hAnsi="Arial"/>
                <w:sz w:val="18"/>
                <w:szCs w:val="22"/>
              </w:rPr>
              <w:t xml:space="preserve">Indicates priorities for features, such as RedCap, Slicing, SDT and MSG3-Repetitions for Coverage Enhancements. These priorities are used to determine which </w:t>
            </w:r>
            <w:r>
              <w:rPr>
                <w:rFonts w:ascii="Arial" w:hAnsi="Arial"/>
                <w:i/>
                <w:iCs/>
                <w:sz w:val="18"/>
                <w:szCs w:val="22"/>
              </w:rPr>
              <w:t>FeatureCombinationPreambles</w:t>
            </w:r>
            <w:r>
              <w:rPr>
                <w:rFonts w:ascii="Arial" w:hAnsi="Arial"/>
                <w:sz w:val="18"/>
                <w:szCs w:val="22"/>
              </w:rPr>
              <w:t xml:space="preserve"> the UE shall use when a feature maps to more than one </w:t>
            </w:r>
            <w:r>
              <w:rPr>
                <w:rFonts w:ascii="Arial" w:hAnsi="Arial"/>
                <w:i/>
                <w:iCs/>
                <w:sz w:val="18"/>
                <w:szCs w:val="22"/>
              </w:rPr>
              <w:t>FeatureCombinationPreambles</w:t>
            </w:r>
            <w:r>
              <w:rPr>
                <w:rFonts w:ascii="Arial" w:hAnsi="Arial"/>
                <w:sz w:val="18"/>
                <w:szCs w:val="22"/>
              </w:rPr>
              <w:t xml:space="preserve">, as specified in TS 38.321 [3]. A lower value means a higher priority. The network does not signal the same priority for more than one feature. The network signals a priority for all feature that map to at least one </w:t>
            </w:r>
            <w:r>
              <w:rPr>
                <w:rFonts w:ascii="Arial" w:hAnsi="Arial"/>
                <w:i/>
                <w:iCs/>
                <w:sz w:val="18"/>
                <w:szCs w:val="22"/>
              </w:rPr>
              <w:t>FeatureCombinationPreambles</w:t>
            </w:r>
            <w:r>
              <w:rPr>
                <w:rFonts w:ascii="Arial" w:hAnsi="Arial"/>
                <w:sz w:val="18"/>
                <w:szCs w:val="22"/>
              </w:rPr>
              <w:t>.</w:t>
            </w:r>
          </w:p>
        </w:tc>
      </w:tr>
      <w:tr w:rsidR="00EF781F" w14:paraId="37704798"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4850FE23"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halfDuplexRedCap-Allowed</w:t>
            </w:r>
          </w:p>
          <w:p w14:paraId="66326C44" w14:textId="77777777" w:rsidR="00EF781F" w:rsidRDefault="00EF781F">
            <w:pPr>
              <w:keepNext/>
              <w:keepLines/>
              <w:spacing w:after="0"/>
              <w:rPr>
                <w:rFonts w:ascii="Arial" w:hAnsi="Arial"/>
                <w:iCs/>
                <w:sz w:val="18"/>
                <w:szCs w:val="22"/>
                <w:lang w:eastAsia="en-GB"/>
              </w:rPr>
            </w:pPr>
            <w:r>
              <w:rPr>
                <w:rFonts w:ascii="Arial" w:hAnsi="Arial"/>
                <w:iCs/>
                <w:sz w:val="18"/>
                <w:szCs w:val="22"/>
                <w:lang w:eastAsia="en-GB"/>
              </w:rPr>
              <w:t>The presence of this field indicates that the cell supports half-duplex FDD RedCap UEs.</w:t>
            </w:r>
          </w:p>
        </w:tc>
      </w:tr>
      <w:tr w:rsidR="00EF781F" w14:paraId="79389727"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6977525B" w14:textId="77777777" w:rsidR="00EF781F" w:rsidRDefault="00EF781F">
            <w:pPr>
              <w:keepNext/>
              <w:keepLines/>
              <w:spacing w:after="0"/>
              <w:rPr>
                <w:rFonts w:ascii="Arial" w:hAnsi="Arial"/>
                <w:b/>
                <w:i/>
                <w:sz w:val="18"/>
                <w:lang w:eastAsia="en-GB"/>
              </w:rPr>
            </w:pPr>
            <w:r>
              <w:rPr>
                <w:rFonts w:ascii="Arial" w:hAnsi="Arial"/>
                <w:b/>
                <w:i/>
                <w:sz w:val="18"/>
                <w:lang w:eastAsia="zh-CN"/>
              </w:rPr>
              <w:t>hsdn-</w:t>
            </w:r>
            <w:r>
              <w:rPr>
                <w:rFonts w:ascii="Arial" w:hAnsi="Arial"/>
                <w:b/>
                <w:i/>
                <w:sz w:val="18"/>
                <w:lang w:eastAsia="en-GB"/>
              </w:rPr>
              <w:t>Cell</w:t>
            </w:r>
          </w:p>
          <w:p w14:paraId="219F597B" w14:textId="77777777" w:rsidR="00EF781F" w:rsidRDefault="00EF781F">
            <w:pPr>
              <w:keepNext/>
              <w:keepLines/>
              <w:spacing w:after="0"/>
              <w:rPr>
                <w:rFonts w:ascii="Arial" w:hAnsi="Arial"/>
                <w:b/>
                <w:bCs/>
                <w:i/>
                <w:sz w:val="18"/>
                <w:szCs w:val="22"/>
                <w:lang w:eastAsia="en-GB"/>
              </w:rPr>
            </w:pPr>
            <w:r>
              <w:rPr>
                <w:rFonts w:ascii="Arial" w:hAnsi="Arial"/>
                <w:sz w:val="18"/>
              </w:rPr>
              <w:t>This field indicates this is a HSDN cell as specified in TS 38.304 [20].</w:t>
            </w:r>
          </w:p>
        </w:tc>
      </w:tr>
      <w:tr w:rsidR="00EF781F" w14:paraId="74773DDA"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0B0B9A59"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hyperSFN</w:t>
            </w:r>
          </w:p>
          <w:p w14:paraId="572D0074" w14:textId="77777777" w:rsidR="00EF781F" w:rsidRDefault="00EF781F">
            <w:pPr>
              <w:keepNext/>
              <w:keepLines/>
              <w:spacing w:after="0"/>
              <w:rPr>
                <w:rFonts w:ascii="Arial" w:hAnsi="Arial"/>
                <w:b/>
                <w:bCs/>
                <w:i/>
                <w:sz w:val="18"/>
                <w:szCs w:val="22"/>
                <w:lang w:eastAsia="en-GB"/>
              </w:rPr>
            </w:pPr>
            <w:r>
              <w:rPr>
                <w:rFonts w:ascii="Arial" w:hAnsi="Arial"/>
                <w:bCs/>
                <w:iCs/>
                <w:sz w:val="18"/>
                <w:szCs w:val="22"/>
                <w:lang w:eastAsia="en-GB"/>
              </w:rPr>
              <w:t>Indicates hyper SFN which increments by one when the SFN wraps around. This field is excluded when determining changes in system information, i.e. changes of hyper SFN should not result in system information change notifications.</w:t>
            </w:r>
          </w:p>
        </w:tc>
      </w:tr>
      <w:tr w:rsidR="00EF781F" w14:paraId="49B53471"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1D8CBAA0" w14:textId="77777777" w:rsidR="00EF781F" w:rsidRDefault="00EF781F">
            <w:pPr>
              <w:keepNext/>
              <w:keepLines/>
              <w:spacing w:after="0"/>
              <w:rPr>
                <w:rFonts w:ascii="Arial" w:hAnsi="Arial"/>
                <w:sz w:val="18"/>
                <w:lang w:eastAsia="en-GB"/>
              </w:rPr>
            </w:pPr>
            <w:r>
              <w:rPr>
                <w:rFonts w:ascii="Arial" w:hAnsi="Arial"/>
                <w:b/>
                <w:i/>
                <w:sz w:val="18"/>
                <w:lang w:eastAsia="sv-SE"/>
              </w:rPr>
              <w:t>idleModeMeasurements</w:t>
            </w:r>
            <w:r>
              <w:rPr>
                <w:rFonts w:ascii="Arial" w:hAnsi="Arial"/>
                <w:b/>
                <w:i/>
                <w:sz w:val="18"/>
              </w:rPr>
              <w:t>EUTRA</w:t>
            </w:r>
          </w:p>
          <w:p w14:paraId="3AE04B4A" w14:textId="77777777" w:rsidR="00EF781F" w:rsidRDefault="00EF781F">
            <w:pPr>
              <w:keepNext/>
              <w:keepLines/>
              <w:spacing w:after="0"/>
              <w:rPr>
                <w:rFonts w:ascii="Arial" w:hAnsi="Arial"/>
                <w:b/>
                <w:bCs/>
                <w:i/>
                <w:sz w:val="18"/>
                <w:szCs w:val="22"/>
                <w:lang w:eastAsia="en-GB"/>
              </w:rPr>
            </w:pPr>
            <w:r>
              <w:rPr>
                <w:rFonts w:ascii="Arial" w:hAnsi="Arial"/>
                <w:sz w:val="18"/>
              </w:rP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EF781F" w14:paraId="25426EFD"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47A9B5BB" w14:textId="77777777" w:rsidR="00EF781F" w:rsidRDefault="00EF781F">
            <w:pPr>
              <w:keepNext/>
              <w:keepLines/>
              <w:spacing w:after="0"/>
              <w:rPr>
                <w:rFonts w:ascii="Arial" w:hAnsi="Arial"/>
                <w:sz w:val="18"/>
                <w:lang w:eastAsia="en-GB"/>
              </w:rPr>
            </w:pPr>
            <w:r>
              <w:rPr>
                <w:rFonts w:ascii="Arial" w:hAnsi="Arial"/>
                <w:b/>
                <w:i/>
                <w:sz w:val="18"/>
              </w:rPr>
              <w:t>idleModeMeasurementsNR</w:t>
            </w:r>
          </w:p>
          <w:p w14:paraId="54ADA93D" w14:textId="77777777" w:rsidR="00EF781F" w:rsidRDefault="00EF781F">
            <w:pPr>
              <w:keepNext/>
              <w:keepLines/>
              <w:spacing w:after="0"/>
              <w:rPr>
                <w:rFonts w:ascii="Arial" w:hAnsi="Arial"/>
                <w:b/>
                <w:i/>
                <w:sz w:val="18"/>
                <w:lang w:eastAsia="sv-SE"/>
              </w:rPr>
            </w:pPr>
            <w:r>
              <w:rPr>
                <w:rFonts w:ascii="Arial" w:hAnsi="Arial"/>
                <w:sz w:val="18"/>
              </w:rP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EF781F" w14:paraId="16834B0C"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00A8B3FC"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ims-EmergencySupport</w:t>
            </w:r>
          </w:p>
          <w:p w14:paraId="630D7661" w14:textId="77777777" w:rsidR="00EF781F" w:rsidRDefault="00EF781F">
            <w:pPr>
              <w:keepNext/>
              <w:keepLines/>
              <w:spacing w:after="0"/>
              <w:rPr>
                <w:rFonts w:ascii="Arial" w:hAnsi="Arial"/>
                <w:b/>
                <w:bCs/>
                <w:i/>
                <w:sz w:val="18"/>
                <w:szCs w:val="22"/>
                <w:lang w:eastAsia="en-GB"/>
              </w:rPr>
            </w:pPr>
            <w:r>
              <w:rPr>
                <w:rFonts w:ascii="Arial" w:hAnsi="Arial"/>
                <w:sz w:val="18"/>
                <w:szCs w:val="22"/>
                <w:lang w:eastAsia="en-GB"/>
              </w:rPr>
              <w:t>Indicates whether the cell supports IMS emergency bearer services for UEs in limited service mode. If absent, IMS emergency call is not supported by the network in the cell for UEs in limited service mode.</w:t>
            </w:r>
          </w:p>
        </w:tc>
      </w:tr>
      <w:tr w:rsidR="00EF781F" w14:paraId="03CC153C"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45E2C833" w14:textId="77777777" w:rsidR="00EF781F" w:rsidRDefault="00EF781F">
            <w:pPr>
              <w:keepNext/>
              <w:keepLines/>
              <w:spacing w:after="0"/>
              <w:rPr>
                <w:rFonts w:ascii="Arial" w:hAnsi="Arial"/>
                <w:b/>
                <w:bCs/>
                <w:i/>
                <w:iCs/>
                <w:sz w:val="18"/>
              </w:rPr>
            </w:pPr>
            <w:r>
              <w:rPr>
                <w:rFonts w:ascii="Arial" w:hAnsi="Arial"/>
                <w:b/>
                <w:bCs/>
                <w:i/>
                <w:iCs/>
                <w:sz w:val="18"/>
              </w:rPr>
              <w:t>intraFreqReselectionRedCap</w:t>
            </w:r>
          </w:p>
          <w:p w14:paraId="28273940" w14:textId="77777777" w:rsidR="00EF781F" w:rsidRDefault="00EF781F">
            <w:pPr>
              <w:keepNext/>
              <w:keepLines/>
              <w:spacing w:after="0"/>
              <w:rPr>
                <w:rFonts w:ascii="Arial" w:hAnsi="Arial"/>
                <w:b/>
                <w:bCs/>
                <w:i/>
                <w:sz w:val="18"/>
                <w:szCs w:val="22"/>
                <w:lang w:eastAsia="en-GB"/>
              </w:rPr>
            </w:pPr>
            <w:r>
              <w:rPr>
                <w:rFonts w:ascii="Arial" w:hAnsi="Arial"/>
                <w:sz w:val="18"/>
                <w:szCs w:val="22"/>
                <w:lang w:eastAsia="sv-SE"/>
              </w:rPr>
              <w:t>Controls cell selection/reselection to intra-frequency cells for RedCap UEs when this cell is barred, or treated as barred by the RedCap UE, as specified in TS 38.304 [20]. If not present, a RedCap UE treats the cell as barred, i.e.,the UE considers that the cell does not support RedCap.</w:t>
            </w:r>
          </w:p>
        </w:tc>
      </w:tr>
      <w:tr w:rsidR="00EF781F" w14:paraId="79CE746C" w14:textId="77777777" w:rsidTr="00EF781F">
        <w:trPr>
          <w:ins w:id="719" w:author="Huawei, HiSilicon" w:date="2023-12-01T18:01:00Z"/>
        </w:trPr>
        <w:tc>
          <w:tcPr>
            <w:tcW w:w="14061" w:type="dxa"/>
            <w:tcBorders>
              <w:top w:val="single" w:sz="4" w:space="0" w:color="auto"/>
              <w:left w:val="single" w:sz="4" w:space="0" w:color="auto"/>
              <w:bottom w:val="single" w:sz="4" w:space="0" w:color="auto"/>
              <w:right w:val="single" w:sz="4" w:space="0" w:color="auto"/>
            </w:tcBorders>
            <w:hideMark/>
          </w:tcPr>
          <w:p w14:paraId="47574F20" w14:textId="77777777" w:rsidR="00EF781F" w:rsidRDefault="00EF781F">
            <w:pPr>
              <w:keepNext/>
              <w:keepLines/>
              <w:spacing w:after="0"/>
              <w:rPr>
                <w:ins w:id="720" w:author="Huawei, HiSilicon" w:date="2023-12-01T18:02:00Z"/>
                <w:rFonts w:ascii="Arial" w:hAnsi="Arial"/>
                <w:b/>
                <w:bCs/>
                <w:i/>
                <w:sz w:val="18"/>
                <w:szCs w:val="22"/>
                <w:lang w:eastAsia="en-GB"/>
              </w:rPr>
            </w:pPr>
            <w:ins w:id="721" w:author="Huawei, HiSilicon" w:date="2023-12-01T18:02:00Z">
              <w:r>
                <w:rPr>
                  <w:rFonts w:ascii="Arial" w:hAnsi="Arial"/>
                  <w:b/>
                  <w:bCs/>
                  <w:i/>
                  <w:sz w:val="18"/>
                  <w:szCs w:val="22"/>
                  <w:lang w:eastAsia="en-GB"/>
                </w:rPr>
                <w:t>nonServingCellMII</w:t>
              </w:r>
            </w:ins>
          </w:p>
          <w:p w14:paraId="7B835E88" w14:textId="77777777" w:rsidR="00EF781F" w:rsidRDefault="00EF781F">
            <w:pPr>
              <w:keepNext/>
              <w:keepLines/>
              <w:spacing w:after="0"/>
              <w:rPr>
                <w:ins w:id="722" w:author="Huawei, HiSilicon" w:date="2023-12-01T18:01:00Z"/>
                <w:rFonts w:ascii="Arial" w:hAnsi="Arial"/>
                <w:b/>
                <w:bCs/>
                <w:i/>
                <w:iCs/>
                <w:sz w:val="18"/>
              </w:rPr>
            </w:pPr>
            <w:ins w:id="723" w:author="Huawei, HiSilicon" w:date="2023-12-01T18:02:00Z">
              <w:r>
                <w:rPr>
                  <w:rFonts w:ascii="Arial" w:hAnsi="Arial" w:cs="Arial"/>
                  <w:sz w:val="18"/>
                  <w:szCs w:val="18"/>
                  <w:lang w:eastAsia="sv-SE"/>
                </w:rPr>
                <w:t xml:space="preserve">Indicates whether the </w:t>
              </w:r>
              <w:r>
                <w:rPr>
                  <w:rFonts w:ascii="Arial" w:hAnsi="Arial" w:cs="Arial"/>
                  <w:i/>
                  <w:iCs/>
                  <w:sz w:val="18"/>
                  <w:szCs w:val="18"/>
                </w:rPr>
                <w:t>MBSInterestIndication</w:t>
              </w:r>
              <w:r>
                <w:rPr>
                  <w:rFonts w:ascii="Arial" w:hAnsi="Arial" w:cs="Arial"/>
                  <w:sz w:val="18"/>
                  <w:szCs w:val="18"/>
                </w:rPr>
                <w:t xml:space="preserve"> message</w:t>
              </w:r>
              <w:r>
                <w:rPr>
                  <w:rFonts w:ascii="Arial" w:hAnsi="Arial" w:cs="Arial"/>
                  <w:sz w:val="18"/>
                  <w:szCs w:val="18"/>
                  <w:lang w:eastAsia="sv-SE"/>
                </w:rPr>
                <w:t xml:space="preserve"> for MBS broadcast reception on a non-serving cell is allowed to be transmitted to the serving gNB</w:t>
              </w:r>
              <w:r>
                <w:rPr>
                  <w:rFonts w:ascii="Arial" w:hAnsi="Arial"/>
                  <w:sz w:val="18"/>
                  <w:szCs w:val="22"/>
                  <w:lang w:eastAsia="sv-SE"/>
                </w:rPr>
                <w:t>.</w:t>
              </w:r>
            </w:ins>
          </w:p>
        </w:tc>
      </w:tr>
      <w:tr w:rsidR="00EF781F" w14:paraId="48B4D780"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00555E88"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lastRenderedPageBreak/>
              <w:t>q-QualMin</w:t>
            </w:r>
          </w:p>
          <w:p w14:paraId="66182E4B" w14:textId="77777777" w:rsidR="00EF781F" w:rsidRDefault="00EF781F">
            <w:pPr>
              <w:keepNext/>
              <w:keepLines/>
              <w:spacing w:after="0"/>
              <w:rPr>
                <w:rFonts w:ascii="Arial" w:hAnsi="Arial"/>
                <w:b/>
                <w:bCs/>
                <w:i/>
                <w:sz w:val="18"/>
                <w:szCs w:val="22"/>
                <w:lang w:eastAsia="en-GB"/>
              </w:rPr>
            </w:pPr>
            <w:r>
              <w:rPr>
                <w:rFonts w:ascii="Arial" w:hAnsi="Arial"/>
                <w:sz w:val="18"/>
                <w:szCs w:val="22"/>
                <w:lang w:eastAsia="en-GB"/>
              </w:rPr>
              <w:t>Parameter "Q</w:t>
            </w:r>
            <w:r>
              <w:rPr>
                <w:rFonts w:ascii="Arial" w:hAnsi="Arial"/>
                <w:sz w:val="18"/>
                <w:szCs w:val="22"/>
                <w:vertAlign w:val="subscript"/>
                <w:lang w:eastAsia="en-GB"/>
              </w:rPr>
              <w:t>qualmin</w:t>
            </w:r>
            <w:r>
              <w:rPr>
                <w:rFonts w:ascii="Arial" w:hAnsi="Arial"/>
                <w:sz w:val="18"/>
                <w:szCs w:val="22"/>
                <w:lang w:eastAsia="en-GB"/>
              </w:rPr>
              <w:t>" in TS 38.304 [20], applicable for serving cell. If the field is absent, the UE applies the (default) value of negative infinity for Q</w:t>
            </w:r>
            <w:r>
              <w:rPr>
                <w:rFonts w:ascii="Arial" w:hAnsi="Arial"/>
                <w:sz w:val="18"/>
                <w:szCs w:val="22"/>
                <w:vertAlign w:val="subscript"/>
                <w:lang w:eastAsia="en-GB"/>
              </w:rPr>
              <w:t>qualmin</w:t>
            </w:r>
            <w:r>
              <w:rPr>
                <w:rFonts w:ascii="Arial" w:hAnsi="Arial"/>
                <w:sz w:val="18"/>
                <w:szCs w:val="22"/>
                <w:lang w:eastAsia="en-GB"/>
              </w:rPr>
              <w:t xml:space="preserve">.  </w:t>
            </w:r>
          </w:p>
        </w:tc>
      </w:tr>
      <w:tr w:rsidR="00EF781F" w14:paraId="124F643A"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5CBC3313"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q-QualMinOffset</w:t>
            </w:r>
          </w:p>
          <w:p w14:paraId="3B00371F" w14:textId="77777777" w:rsidR="00EF781F" w:rsidRDefault="00EF781F">
            <w:pPr>
              <w:keepNext/>
              <w:keepLines/>
              <w:spacing w:after="0"/>
              <w:rPr>
                <w:rFonts w:ascii="Arial" w:hAnsi="Arial"/>
                <w:sz w:val="18"/>
                <w:lang w:eastAsia="sv-SE"/>
              </w:rPr>
            </w:pPr>
            <w:r>
              <w:rPr>
                <w:rFonts w:ascii="Arial" w:hAnsi="Arial"/>
                <w:sz w:val="18"/>
                <w:lang w:eastAsia="en-GB"/>
              </w:rPr>
              <w:t>Parameter "Q</w:t>
            </w:r>
            <w:r>
              <w:rPr>
                <w:rFonts w:ascii="Arial" w:hAnsi="Arial"/>
                <w:sz w:val="18"/>
                <w:vertAlign w:val="subscript"/>
                <w:lang w:eastAsia="en-GB"/>
              </w:rPr>
              <w:t>qualminoffset</w:t>
            </w:r>
            <w:r>
              <w:rPr>
                <w:rFonts w:ascii="Arial" w:hAnsi="Arial"/>
                <w:sz w:val="18"/>
                <w:lang w:eastAsia="en-GB"/>
              </w:rPr>
              <w:t>" in TS 38.304 [20]. Actual value Q</w:t>
            </w:r>
            <w:r>
              <w:rPr>
                <w:rFonts w:ascii="Arial" w:hAnsi="Arial"/>
                <w:sz w:val="18"/>
                <w:vertAlign w:val="subscript"/>
                <w:lang w:eastAsia="en-GB"/>
              </w:rPr>
              <w:t>qualminoffset</w:t>
            </w:r>
            <w:r>
              <w:rPr>
                <w:rFonts w:ascii="Arial" w:hAnsi="Arial"/>
                <w:sz w:val="18"/>
                <w:lang w:eastAsia="en-GB"/>
              </w:rPr>
              <w:t xml:space="preserve"> = field value [dB]. If the field is </w:t>
            </w:r>
            <w:r>
              <w:rPr>
                <w:rFonts w:ascii="Arial" w:hAnsi="Arial"/>
                <w:sz w:val="18"/>
                <w:szCs w:val="22"/>
                <w:lang w:eastAsia="en-GB"/>
              </w:rPr>
              <w:t>absent</w:t>
            </w:r>
            <w:r>
              <w:rPr>
                <w:rFonts w:ascii="Arial" w:hAnsi="Arial"/>
                <w:sz w:val="18"/>
                <w:lang w:eastAsia="en-GB"/>
              </w:rPr>
              <w:t>, the UE applies the (default) value of 0 dB for Q</w:t>
            </w:r>
            <w:r>
              <w:rPr>
                <w:rFonts w:ascii="Arial" w:hAnsi="Arial"/>
                <w:sz w:val="18"/>
                <w:vertAlign w:val="subscript"/>
                <w:lang w:eastAsia="en-GB"/>
              </w:rPr>
              <w:t>qualminoffset</w:t>
            </w:r>
            <w:r>
              <w:rPr>
                <w:rFonts w:ascii="Arial" w:hAnsi="Arial"/>
                <w:sz w:val="18"/>
                <w:lang w:eastAsia="en-GB"/>
              </w:rPr>
              <w:t>.</w:t>
            </w:r>
            <w:r>
              <w:rPr>
                <w:rFonts w:ascii="Arial" w:hAnsi="Arial"/>
                <w:i/>
                <w:noProof/>
                <w:sz w:val="18"/>
                <w:lang w:eastAsia="en-GB"/>
              </w:rPr>
              <w:t xml:space="preserve"> </w:t>
            </w:r>
            <w:r>
              <w:rPr>
                <w:rFonts w:ascii="Arial" w:hAnsi="Arial"/>
                <w:sz w:val="18"/>
                <w:lang w:eastAsia="en-GB"/>
              </w:rPr>
              <w:t>Affects the minimum required quality level in the cell.</w:t>
            </w:r>
          </w:p>
        </w:tc>
      </w:tr>
      <w:tr w:rsidR="00EF781F" w14:paraId="618172E6"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0AC4AEE2"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q-RxLevMin</w:t>
            </w:r>
          </w:p>
          <w:p w14:paraId="3675D537" w14:textId="77777777" w:rsidR="00EF781F" w:rsidRDefault="00EF781F">
            <w:pPr>
              <w:keepNext/>
              <w:keepLines/>
              <w:spacing w:after="0"/>
              <w:rPr>
                <w:rFonts w:ascii="Arial" w:hAnsi="Arial"/>
                <w:b/>
                <w:bCs/>
                <w:i/>
                <w:sz w:val="18"/>
                <w:szCs w:val="22"/>
                <w:lang w:eastAsia="en-GB"/>
              </w:rPr>
            </w:pPr>
            <w:r>
              <w:rPr>
                <w:rFonts w:ascii="Arial" w:hAnsi="Arial"/>
                <w:sz w:val="18"/>
                <w:szCs w:val="22"/>
                <w:lang w:eastAsia="en-GB"/>
              </w:rPr>
              <w:t>Parameter "Q</w:t>
            </w:r>
            <w:r>
              <w:rPr>
                <w:rFonts w:ascii="Arial" w:hAnsi="Arial"/>
                <w:sz w:val="18"/>
                <w:szCs w:val="22"/>
                <w:vertAlign w:val="subscript"/>
                <w:lang w:eastAsia="en-GB"/>
              </w:rPr>
              <w:t>rxlevmin</w:t>
            </w:r>
            <w:r>
              <w:rPr>
                <w:rFonts w:ascii="Arial" w:hAnsi="Arial"/>
                <w:sz w:val="18"/>
                <w:szCs w:val="22"/>
                <w:lang w:eastAsia="en-GB"/>
              </w:rPr>
              <w:t>" in TS 38.304 [20], applicable for serving cell.</w:t>
            </w:r>
          </w:p>
        </w:tc>
      </w:tr>
      <w:tr w:rsidR="00EF781F" w14:paraId="4CA1E7AF"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3E21CC2E"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q-RxLevMinOffset</w:t>
            </w:r>
          </w:p>
          <w:p w14:paraId="31A2C665" w14:textId="77777777" w:rsidR="00EF781F" w:rsidRDefault="00EF781F">
            <w:pPr>
              <w:keepNext/>
              <w:keepLines/>
              <w:spacing w:after="0"/>
              <w:rPr>
                <w:rFonts w:ascii="Arial" w:hAnsi="Arial"/>
                <w:b/>
                <w:bCs/>
                <w:i/>
                <w:sz w:val="18"/>
                <w:szCs w:val="22"/>
                <w:lang w:eastAsia="en-GB"/>
              </w:rPr>
            </w:pPr>
            <w:r>
              <w:rPr>
                <w:rFonts w:ascii="Arial" w:hAnsi="Arial"/>
                <w:sz w:val="18"/>
                <w:lang w:eastAsia="en-GB"/>
              </w:rPr>
              <w:t>Parameter "Q</w:t>
            </w:r>
            <w:r>
              <w:rPr>
                <w:rFonts w:ascii="Arial" w:hAnsi="Arial"/>
                <w:sz w:val="18"/>
                <w:vertAlign w:val="subscript"/>
                <w:lang w:eastAsia="en-GB"/>
              </w:rPr>
              <w:t>rxlevminoffset</w:t>
            </w:r>
            <w:r>
              <w:rPr>
                <w:rFonts w:ascii="Arial" w:hAnsi="Arial"/>
                <w:sz w:val="18"/>
                <w:lang w:eastAsia="en-GB"/>
              </w:rPr>
              <w:t>" in TS 38.304 [20]. Actual value Q</w:t>
            </w:r>
            <w:r>
              <w:rPr>
                <w:rFonts w:ascii="Arial" w:hAnsi="Arial"/>
                <w:sz w:val="18"/>
                <w:vertAlign w:val="subscript"/>
                <w:lang w:eastAsia="en-GB"/>
              </w:rPr>
              <w:t>rxlevminoffset</w:t>
            </w:r>
            <w:r>
              <w:rPr>
                <w:rFonts w:ascii="Arial" w:hAnsi="Arial"/>
                <w:sz w:val="18"/>
                <w:lang w:eastAsia="en-GB"/>
              </w:rPr>
              <w:t xml:space="preserve"> = field value * 2 [dB]. If absent, the UE applies the (default) value of 0 dB for Q</w:t>
            </w:r>
            <w:r>
              <w:rPr>
                <w:rFonts w:ascii="Arial" w:hAnsi="Arial"/>
                <w:sz w:val="18"/>
                <w:vertAlign w:val="subscript"/>
                <w:lang w:eastAsia="en-GB"/>
              </w:rPr>
              <w:t>rxlevminoffset</w:t>
            </w:r>
            <w:r>
              <w:rPr>
                <w:rFonts w:ascii="Arial" w:hAnsi="Arial"/>
                <w:i/>
                <w:noProof/>
                <w:sz w:val="18"/>
                <w:lang w:eastAsia="en-GB"/>
              </w:rPr>
              <w:t xml:space="preserve">. </w:t>
            </w:r>
            <w:r>
              <w:rPr>
                <w:rFonts w:ascii="Arial" w:hAnsi="Arial"/>
                <w:sz w:val="18"/>
                <w:lang w:eastAsia="en-GB"/>
              </w:rPr>
              <w:t>Affects the minimum required Rx level in the cell</w:t>
            </w:r>
            <w:r>
              <w:rPr>
                <w:rFonts w:ascii="Arial" w:hAnsi="Arial"/>
                <w:sz w:val="18"/>
                <w:szCs w:val="22"/>
                <w:lang w:eastAsia="en-GB"/>
              </w:rPr>
              <w:t>.</w:t>
            </w:r>
          </w:p>
        </w:tc>
      </w:tr>
      <w:tr w:rsidR="00EF781F" w14:paraId="055528A1"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7A41F9FD" w14:textId="77777777" w:rsidR="00EF781F" w:rsidRDefault="00EF781F">
            <w:pPr>
              <w:keepNext/>
              <w:keepLines/>
              <w:spacing w:after="0"/>
              <w:rPr>
                <w:rFonts w:ascii="Arial" w:hAnsi="Arial"/>
                <w:b/>
                <w:bCs/>
                <w:i/>
                <w:sz w:val="18"/>
                <w:szCs w:val="22"/>
                <w:lang w:eastAsia="en-GB"/>
              </w:rPr>
            </w:pPr>
            <w:r>
              <w:rPr>
                <w:rFonts w:ascii="Arial" w:hAnsi="Arial"/>
                <w:b/>
                <w:bCs/>
                <w:i/>
                <w:sz w:val="18"/>
                <w:szCs w:val="22"/>
                <w:lang w:eastAsia="en-GB"/>
              </w:rPr>
              <w:t>q-RxLevMinSUL</w:t>
            </w:r>
          </w:p>
          <w:p w14:paraId="502061CF" w14:textId="77777777" w:rsidR="00EF781F" w:rsidRDefault="00EF781F">
            <w:pPr>
              <w:keepNext/>
              <w:keepLines/>
              <w:spacing w:after="0"/>
              <w:rPr>
                <w:rFonts w:ascii="Arial" w:hAnsi="Arial"/>
                <w:b/>
                <w:bCs/>
                <w:i/>
                <w:sz w:val="18"/>
                <w:szCs w:val="22"/>
                <w:lang w:eastAsia="en-GB"/>
              </w:rPr>
            </w:pPr>
            <w:r>
              <w:rPr>
                <w:rFonts w:ascii="Arial" w:hAnsi="Arial"/>
                <w:sz w:val="18"/>
                <w:szCs w:val="22"/>
                <w:lang w:eastAsia="en-GB"/>
              </w:rPr>
              <w:t>Parameter "Q</w:t>
            </w:r>
            <w:r>
              <w:rPr>
                <w:rFonts w:ascii="Arial" w:hAnsi="Arial"/>
                <w:sz w:val="18"/>
                <w:szCs w:val="22"/>
                <w:vertAlign w:val="subscript"/>
                <w:lang w:eastAsia="en-GB"/>
              </w:rPr>
              <w:t>rxlevmin</w:t>
            </w:r>
            <w:r>
              <w:rPr>
                <w:rFonts w:ascii="Arial" w:hAnsi="Arial"/>
                <w:sz w:val="18"/>
                <w:szCs w:val="22"/>
                <w:lang w:eastAsia="en-GB"/>
              </w:rPr>
              <w:t>" in TS 38.304 [20], applicable for serving cell.</w:t>
            </w:r>
          </w:p>
        </w:tc>
      </w:tr>
      <w:tr w:rsidR="00EF781F" w14:paraId="2D1139DD"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2F046794" w14:textId="77777777" w:rsidR="00EF781F" w:rsidRDefault="00EF781F">
            <w:pPr>
              <w:keepNext/>
              <w:keepLines/>
              <w:spacing w:after="0"/>
              <w:rPr>
                <w:rFonts w:ascii="Arial" w:hAnsi="Arial"/>
                <w:b/>
                <w:i/>
                <w:sz w:val="18"/>
                <w:lang w:eastAsia="sv-SE"/>
              </w:rPr>
            </w:pPr>
            <w:r>
              <w:rPr>
                <w:rFonts w:ascii="Arial" w:hAnsi="Arial"/>
                <w:b/>
                <w:i/>
                <w:sz w:val="18"/>
                <w:lang w:eastAsia="sv-SE"/>
              </w:rPr>
              <w:t>sdt-RSRP-Threshold</w:t>
            </w:r>
          </w:p>
          <w:p w14:paraId="5706705B" w14:textId="77777777" w:rsidR="00EF781F" w:rsidRDefault="00EF781F">
            <w:pPr>
              <w:keepNext/>
              <w:keepLines/>
              <w:spacing w:after="0"/>
              <w:rPr>
                <w:rFonts w:ascii="Arial" w:hAnsi="Arial"/>
                <w:b/>
                <w:i/>
                <w:sz w:val="18"/>
                <w:lang w:eastAsia="sv-SE"/>
              </w:rPr>
            </w:pPr>
            <w:r>
              <w:rPr>
                <w:rFonts w:ascii="Arial" w:hAnsi="Arial" w:cs="Arial"/>
                <w:sz w:val="18"/>
                <w:lang w:eastAsia="sv-SE"/>
              </w:rPr>
              <w:t>RSRP threshold used to determine whether SDT procedure can be initiated, as specified in TS 38.321 [3].</w:t>
            </w:r>
          </w:p>
        </w:tc>
      </w:tr>
      <w:tr w:rsidR="00EF781F" w14:paraId="26BAFF2C"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08E58EDB" w14:textId="77777777" w:rsidR="00EF781F" w:rsidRDefault="00EF781F">
            <w:pPr>
              <w:keepNext/>
              <w:keepLines/>
              <w:spacing w:after="0"/>
              <w:rPr>
                <w:rFonts w:ascii="Arial" w:hAnsi="Arial"/>
                <w:b/>
                <w:i/>
                <w:sz w:val="18"/>
                <w:lang w:eastAsia="sv-SE"/>
              </w:rPr>
            </w:pPr>
            <w:r>
              <w:rPr>
                <w:rFonts w:ascii="Arial" w:hAnsi="Arial"/>
                <w:b/>
                <w:i/>
                <w:sz w:val="18"/>
                <w:lang w:eastAsia="sv-SE"/>
              </w:rPr>
              <w:t>sdt-DataVolumeThreshold</w:t>
            </w:r>
          </w:p>
          <w:p w14:paraId="69A62A8B" w14:textId="77777777" w:rsidR="00EF781F" w:rsidRDefault="00EF781F">
            <w:pPr>
              <w:keepNext/>
              <w:keepLines/>
              <w:spacing w:after="0"/>
              <w:rPr>
                <w:rFonts w:ascii="Arial" w:hAnsi="Arial"/>
                <w:b/>
                <w:sz w:val="18"/>
                <w:lang w:eastAsia="sv-SE"/>
              </w:rPr>
            </w:pPr>
            <w:r>
              <w:rPr>
                <w:rFonts w:ascii="Arial" w:hAnsi="Arial" w:cs="Arial"/>
                <w:sz w:val="18"/>
                <w:lang w:eastAsia="sv-SE"/>
              </w:rPr>
              <w:t xml:space="preserve">Data volume threshold used to determine whether SDT can be initiated, as specified in TS 38.321 [3]. Value </w:t>
            </w:r>
            <w:r>
              <w:rPr>
                <w:rFonts w:ascii="Arial" w:hAnsi="Arial"/>
                <w:i/>
                <w:iCs/>
                <w:sz w:val="18"/>
                <w:lang w:eastAsia="zh-CN"/>
              </w:rPr>
              <w:t xml:space="preserve">byte32 </w:t>
            </w:r>
            <w:r>
              <w:rPr>
                <w:rFonts w:ascii="Arial" w:hAnsi="Arial"/>
                <w:sz w:val="18"/>
                <w:lang w:eastAsia="zh-CN"/>
              </w:rPr>
              <w:t xml:space="preserve">corresponds to 32 bytes, value </w:t>
            </w:r>
            <w:r>
              <w:rPr>
                <w:rFonts w:ascii="Arial" w:hAnsi="Arial"/>
                <w:i/>
                <w:iCs/>
                <w:sz w:val="18"/>
                <w:lang w:eastAsia="zh-CN"/>
              </w:rPr>
              <w:t xml:space="preserve">byte100 </w:t>
            </w:r>
            <w:r>
              <w:rPr>
                <w:rFonts w:ascii="Arial" w:hAnsi="Arial"/>
                <w:sz w:val="18"/>
                <w:lang w:eastAsia="zh-CN"/>
              </w:rPr>
              <w:t>corresponds to 100 bytes, and so on.</w:t>
            </w:r>
          </w:p>
        </w:tc>
      </w:tr>
      <w:tr w:rsidR="00EF781F" w14:paraId="4F7F2580"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6EDC0B4E" w14:textId="77777777" w:rsidR="00EF781F" w:rsidRDefault="00EF781F">
            <w:pPr>
              <w:keepNext/>
              <w:keepLines/>
              <w:spacing w:after="0"/>
              <w:rPr>
                <w:rFonts w:ascii="Arial" w:hAnsi="Arial"/>
                <w:b/>
                <w:i/>
                <w:sz w:val="18"/>
                <w:lang w:eastAsia="sv-SE"/>
              </w:rPr>
            </w:pPr>
            <w:r>
              <w:rPr>
                <w:rFonts w:ascii="Arial" w:hAnsi="Arial"/>
                <w:b/>
                <w:i/>
                <w:sz w:val="18"/>
                <w:lang w:eastAsia="sv-SE"/>
              </w:rPr>
              <w:t>sdt-LogicalChannelSR-DelayTimer</w:t>
            </w:r>
          </w:p>
          <w:p w14:paraId="0AAAA4C1" w14:textId="77777777" w:rsidR="00EF781F" w:rsidRDefault="00EF781F">
            <w:pPr>
              <w:keepNext/>
              <w:keepLines/>
              <w:spacing w:after="0"/>
              <w:rPr>
                <w:rFonts w:ascii="Arial" w:hAnsi="Arial"/>
                <w:b/>
                <w:i/>
                <w:sz w:val="18"/>
                <w:lang w:eastAsia="sv-SE"/>
              </w:rPr>
            </w:pPr>
            <w:r>
              <w:rPr>
                <w:rFonts w:ascii="Arial" w:hAnsi="Arial"/>
                <w:sz w:val="18"/>
                <w:szCs w:val="22"/>
                <w:lang w:eastAsia="sv-SE"/>
              </w:rPr>
              <w:t xml:space="preserve">The value of </w:t>
            </w:r>
            <w:r>
              <w:rPr>
                <w:rFonts w:ascii="Arial" w:hAnsi="Arial"/>
                <w:i/>
                <w:iCs/>
                <w:sz w:val="18"/>
                <w:szCs w:val="22"/>
                <w:lang w:eastAsia="sv-SE"/>
              </w:rPr>
              <w:t>logicalChannelSR-DelayTimer</w:t>
            </w:r>
            <w:r>
              <w:rPr>
                <w:rFonts w:ascii="Arial" w:hAnsi="Arial"/>
                <w:sz w:val="18"/>
                <w:szCs w:val="22"/>
                <w:lang w:eastAsia="sv-SE"/>
              </w:rPr>
              <w:t xml:space="preserve"> applied during SDT for logical channels configured with SDT, as specified in TS 38.321 [3]. Value in number of subframes. Value </w:t>
            </w:r>
            <w:r>
              <w:rPr>
                <w:rFonts w:ascii="Arial" w:hAnsi="Arial"/>
                <w:i/>
                <w:sz w:val="18"/>
                <w:lang w:eastAsia="sv-SE"/>
              </w:rPr>
              <w:t>sf20</w:t>
            </w:r>
            <w:r>
              <w:rPr>
                <w:rFonts w:ascii="Arial" w:hAnsi="Arial"/>
                <w:sz w:val="18"/>
                <w:szCs w:val="22"/>
                <w:lang w:eastAsia="sv-SE"/>
              </w:rPr>
              <w:t xml:space="preserve"> corresponds to 20 subframes, </w:t>
            </w:r>
            <w:r>
              <w:rPr>
                <w:rFonts w:ascii="Arial" w:hAnsi="Arial"/>
                <w:i/>
                <w:sz w:val="18"/>
                <w:lang w:eastAsia="sv-SE"/>
              </w:rPr>
              <w:t>sf40</w:t>
            </w:r>
            <w:r>
              <w:rPr>
                <w:rFonts w:ascii="Arial" w:hAnsi="Arial"/>
                <w:sz w:val="18"/>
                <w:szCs w:val="22"/>
                <w:lang w:eastAsia="sv-SE"/>
              </w:rPr>
              <w:t xml:space="preserve"> corresponds to 40 subframes, and so on</w:t>
            </w:r>
            <w:r>
              <w:rPr>
                <w:rFonts w:ascii="Arial" w:hAnsi="Arial" w:cs="Arial"/>
                <w:sz w:val="18"/>
                <w:lang w:eastAsia="sv-SE"/>
              </w:rPr>
              <w:t xml:space="preserve">. If this field is not configured, then </w:t>
            </w:r>
            <w:r>
              <w:rPr>
                <w:rFonts w:ascii="Arial" w:hAnsi="Arial"/>
                <w:sz w:val="18"/>
                <w:szCs w:val="22"/>
                <w:lang w:eastAsia="sv-SE"/>
              </w:rPr>
              <w:t>logicalChannelSR-DelayTimer is not applied for SDT logical channels.</w:t>
            </w:r>
          </w:p>
        </w:tc>
      </w:tr>
      <w:tr w:rsidR="00EF781F" w14:paraId="71614F6D"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5BCE91D7" w14:textId="77777777" w:rsidR="00EF781F" w:rsidRDefault="00EF781F">
            <w:pPr>
              <w:keepNext/>
              <w:keepLines/>
              <w:spacing w:after="0"/>
              <w:rPr>
                <w:rFonts w:ascii="Arial" w:eastAsia="Calibri" w:hAnsi="Arial"/>
                <w:b/>
                <w:i/>
                <w:sz w:val="18"/>
                <w:szCs w:val="22"/>
                <w:lang w:eastAsia="sv-SE"/>
              </w:rPr>
            </w:pPr>
            <w:r>
              <w:rPr>
                <w:rFonts w:ascii="Arial" w:eastAsia="Calibri" w:hAnsi="Arial"/>
                <w:b/>
                <w:i/>
                <w:sz w:val="18"/>
                <w:szCs w:val="22"/>
                <w:lang w:eastAsia="sv-SE"/>
              </w:rPr>
              <w:t>servingCellConfigCommon</w:t>
            </w:r>
          </w:p>
          <w:p w14:paraId="1EBDC5FD" w14:textId="77777777" w:rsidR="00EF781F" w:rsidRDefault="00EF781F">
            <w:pPr>
              <w:keepNext/>
              <w:keepLines/>
              <w:spacing w:after="0"/>
              <w:rPr>
                <w:rFonts w:ascii="Arial" w:eastAsia="Calibri" w:hAnsi="Arial"/>
                <w:sz w:val="18"/>
                <w:szCs w:val="22"/>
                <w:lang w:eastAsia="sv-SE"/>
              </w:rPr>
            </w:pPr>
            <w:r>
              <w:rPr>
                <w:rFonts w:ascii="Arial" w:eastAsia="Calibri" w:hAnsi="Arial"/>
                <w:sz w:val="18"/>
                <w:szCs w:val="22"/>
                <w:lang w:eastAsia="sv-SE"/>
              </w:rPr>
              <w:t>Configuration of the serving cell.</w:t>
            </w:r>
          </w:p>
        </w:tc>
      </w:tr>
      <w:tr w:rsidR="00EF781F" w14:paraId="076284D4"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3D31049B" w14:textId="77777777" w:rsidR="00EF781F" w:rsidRDefault="00EF781F">
            <w:pPr>
              <w:keepNext/>
              <w:keepLines/>
              <w:spacing w:after="0"/>
              <w:rPr>
                <w:rFonts w:ascii="Arial" w:hAnsi="Arial"/>
                <w:b/>
                <w:i/>
                <w:sz w:val="18"/>
                <w:lang w:eastAsia="sv-SE"/>
              </w:rPr>
            </w:pPr>
            <w:r>
              <w:rPr>
                <w:rFonts w:ascii="Arial" w:hAnsi="Arial"/>
                <w:b/>
                <w:i/>
                <w:sz w:val="18"/>
                <w:lang w:eastAsia="sv-SE"/>
              </w:rPr>
              <w:t>t319a</w:t>
            </w:r>
          </w:p>
          <w:p w14:paraId="1C8A7977" w14:textId="77777777" w:rsidR="00EF781F" w:rsidRDefault="00EF781F">
            <w:pPr>
              <w:keepNext/>
              <w:keepLines/>
              <w:spacing w:after="0"/>
              <w:rPr>
                <w:rFonts w:ascii="Arial" w:hAnsi="Arial"/>
                <w:b/>
                <w:i/>
                <w:sz w:val="18"/>
                <w:lang w:eastAsia="sv-SE"/>
              </w:rPr>
            </w:pPr>
            <w:r>
              <w:rPr>
                <w:rFonts w:ascii="Arial" w:hAnsi="Arial" w:cs="Arial"/>
                <w:sz w:val="18"/>
                <w:lang w:eastAsia="sv-SE"/>
              </w:rPr>
              <w:t xml:space="preserve">Initial value of the timer T319a used for detection of SDT failure. Value </w:t>
            </w:r>
            <w:r>
              <w:rPr>
                <w:rFonts w:ascii="Arial" w:hAnsi="Arial"/>
                <w:i/>
                <w:iCs/>
                <w:sz w:val="18"/>
              </w:rPr>
              <w:t>ms100</w:t>
            </w:r>
            <w:r>
              <w:rPr>
                <w:rFonts w:ascii="Arial" w:hAnsi="Arial"/>
                <w:sz w:val="18"/>
              </w:rPr>
              <w:t xml:space="preserve"> corresponds to 100 milliseconds, value </w:t>
            </w:r>
            <w:r>
              <w:rPr>
                <w:rFonts w:ascii="Arial" w:hAnsi="Arial"/>
                <w:i/>
                <w:iCs/>
                <w:sz w:val="18"/>
              </w:rPr>
              <w:t>ms200</w:t>
            </w:r>
            <w:r>
              <w:rPr>
                <w:rFonts w:ascii="Arial" w:hAnsi="Arial"/>
                <w:sz w:val="18"/>
              </w:rPr>
              <w:t xml:space="preserve"> corresponds to 200 milliseconds and so on.</w:t>
            </w:r>
          </w:p>
        </w:tc>
      </w:tr>
      <w:tr w:rsidR="00EF781F" w14:paraId="3ECFDB66"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698E6E23" w14:textId="77777777" w:rsidR="00EF781F" w:rsidRDefault="00EF781F">
            <w:pPr>
              <w:keepNext/>
              <w:keepLines/>
              <w:spacing w:after="0"/>
              <w:rPr>
                <w:rFonts w:ascii="Arial" w:hAnsi="Arial"/>
                <w:b/>
                <w:i/>
                <w:sz w:val="18"/>
                <w:lang w:eastAsia="sv-SE"/>
              </w:rPr>
            </w:pPr>
            <w:r>
              <w:rPr>
                <w:rFonts w:ascii="Arial" w:hAnsi="Arial"/>
                <w:b/>
                <w:i/>
                <w:sz w:val="18"/>
                <w:lang w:eastAsia="sv-SE"/>
              </w:rPr>
              <w:t>uac-AccessCategory1-SelectionAssistanceInfo</w:t>
            </w:r>
          </w:p>
          <w:p w14:paraId="18242C9A" w14:textId="77777777" w:rsidR="00EF781F" w:rsidRDefault="00EF781F">
            <w:pPr>
              <w:keepNext/>
              <w:keepLines/>
              <w:spacing w:after="0"/>
              <w:rPr>
                <w:rFonts w:ascii="Arial" w:hAnsi="Arial"/>
                <w:b/>
                <w:i/>
                <w:sz w:val="18"/>
                <w:lang w:eastAsia="sv-SE"/>
              </w:rPr>
            </w:pPr>
            <w:r>
              <w:rPr>
                <w:rFonts w:ascii="Arial" w:hAnsi="Arial"/>
                <w:sz w:val="18"/>
                <w:lang w:eastAsia="sv-SE"/>
              </w:rPr>
              <w:t>Information used to determine whether Access Category 1 applies to the UE, as defined in TS 22.261 [25].</w:t>
            </w:r>
            <w:r>
              <w:rPr>
                <w:rFonts w:ascii="Arial" w:hAnsi="Arial"/>
                <w:sz w:val="18"/>
              </w:rPr>
              <w:t xml:space="preserve"> If</w:t>
            </w:r>
            <w:r>
              <w:rPr>
                <w:rFonts w:ascii="Arial" w:hAnsi="Arial"/>
                <w:i/>
                <w:sz w:val="18"/>
              </w:rPr>
              <w:t xml:space="preserve"> plmnCommon</w:t>
            </w:r>
            <w:r>
              <w:rPr>
                <w:rFonts w:ascii="Arial" w:hAnsi="Arial"/>
                <w:sz w:val="18"/>
              </w:rPr>
              <w:t xml:space="preserve"> is chosen,</w:t>
            </w:r>
            <w:r>
              <w:rPr>
                <w:rFonts w:ascii="Yu Mincho" w:hAnsi="Yu Mincho" w:hint="eastAsia"/>
                <w:sz w:val="18"/>
                <w:lang w:eastAsia="zh-CN"/>
              </w:rPr>
              <w:t xml:space="preserve"> </w:t>
            </w:r>
            <w:r>
              <w:rPr>
                <w:rFonts w:ascii="Arial" w:hAnsi="Arial"/>
                <w:sz w:val="18"/>
              </w:rPr>
              <w:t xml:space="preserve">the </w:t>
            </w:r>
            <w:r>
              <w:rPr>
                <w:rFonts w:ascii="Arial" w:hAnsi="Arial"/>
                <w:i/>
                <w:sz w:val="18"/>
              </w:rPr>
              <w:t>UAC-AccessCategory1-SelectionAssistanceInfo</w:t>
            </w:r>
            <w:r>
              <w:rPr>
                <w:rFonts w:ascii="Arial" w:hAnsi="Arial"/>
                <w:sz w:val="18"/>
              </w:rPr>
              <w:t xml:space="preserve"> is applicable to all the PLMNs and SNPNs in</w:t>
            </w:r>
            <w:r>
              <w:rPr>
                <w:rFonts w:ascii="Arial" w:hAnsi="Arial"/>
                <w:i/>
                <w:sz w:val="18"/>
                <w:lang w:eastAsia="sv-SE"/>
              </w:rPr>
              <w:t xml:space="preserve"> plmn-IdentityInfoList </w:t>
            </w:r>
            <w:r>
              <w:rPr>
                <w:rFonts w:ascii="Arial" w:hAnsi="Arial"/>
                <w:iCs/>
                <w:sz w:val="18"/>
                <w:lang w:eastAsia="sv-SE"/>
              </w:rPr>
              <w:t>and</w:t>
            </w:r>
            <w:r>
              <w:rPr>
                <w:rFonts w:ascii="Arial" w:hAnsi="Arial"/>
                <w:i/>
                <w:sz w:val="18"/>
                <w:lang w:eastAsia="sv-SE"/>
              </w:rPr>
              <w:t xml:space="preserve"> npn-IdentityInfoList</w:t>
            </w:r>
            <w:r>
              <w:rPr>
                <w:rFonts w:ascii="Arial" w:hAnsi="Arial"/>
                <w:sz w:val="18"/>
                <w:lang w:eastAsia="sv-SE"/>
              </w:rPr>
              <w:t>.</w:t>
            </w:r>
            <w:r>
              <w:rPr>
                <w:rFonts w:ascii="Arial" w:hAnsi="Arial"/>
                <w:sz w:val="18"/>
              </w:rPr>
              <w:t xml:space="preserve"> </w:t>
            </w:r>
            <w:r>
              <w:rPr>
                <w:rFonts w:ascii="Arial" w:hAnsi="Arial"/>
                <w:sz w:val="18"/>
                <w:lang w:eastAsia="sv-SE"/>
              </w:rPr>
              <w:t xml:space="preserve">If </w:t>
            </w:r>
            <w:r>
              <w:rPr>
                <w:rFonts w:ascii="Arial" w:hAnsi="Arial"/>
                <w:i/>
                <w:sz w:val="18"/>
                <w:lang w:eastAsia="sv-SE"/>
              </w:rPr>
              <w:t>individualPLMNList</w:t>
            </w:r>
            <w:r>
              <w:rPr>
                <w:rFonts w:ascii="Arial" w:hAnsi="Arial"/>
                <w:sz w:val="18"/>
                <w:lang w:eastAsia="sv-SE"/>
              </w:rPr>
              <w:t xml:space="preserve"> is chosen, the 1</w:t>
            </w:r>
            <w:r>
              <w:rPr>
                <w:rFonts w:ascii="Arial" w:hAnsi="Arial"/>
                <w:sz w:val="18"/>
                <w:vertAlign w:val="superscript"/>
                <w:lang w:eastAsia="sv-SE"/>
              </w:rPr>
              <w:t>st</w:t>
            </w:r>
            <w:r>
              <w:rPr>
                <w:rFonts w:ascii="Arial" w:hAnsi="Arial"/>
                <w:sz w:val="18"/>
                <w:lang w:eastAsia="sv-SE"/>
              </w:rPr>
              <w:t xml:space="preserve"> entry in the list corresponds to the first network within all of the PLMNs and SNPNs across the </w:t>
            </w:r>
            <w:r>
              <w:rPr>
                <w:rFonts w:ascii="Arial" w:hAnsi="Arial"/>
                <w:i/>
                <w:sz w:val="18"/>
                <w:lang w:eastAsia="sv-SE"/>
              </w:rPr>
              <w:t xml:space="preserve">plmn-IdentityList </w:t>
            </w:r>
            <w:r>
              <w:rPr>
                <w:rFonts w:ascii="Arial" w:hAnsi="Arial"/>
                <w:iCs/>
                <w:sz w:val="18"/>
                <w:lang w:eastAsia="sv-SE"/>
              </w:rPr>
              <w:t>and the</w:t>
            </w:r>
            <w:r>
              <w:rPr>
                <w:rFonts w:ascii="Arial" w:hAnsi="Arial"/>
                <w:i/>
                <w:sz w:val="18"/>
                <w:lang w:eastAsia="sv-SE"/>
              </w:rPr>
              <w:t xml:space="preserve"> npn-IdentityInfoList</w:t>
            </w:r>
            <w:r>
              <w:rPr>
                <w:rFonts w:ascii="Arial" w:hAnsi="Arial"/>
                <w:sz w:val="18"/>
                <w:lang w:eastAsia="sv-SE"/>
              </w:rPr>
              <w:t>, the 2</w:t>
            </w:r>
            <w:r>
              <w:rPr>
                <w:rFonts w:ascii="Arial" w:hAnsi="Arial"/>
                <w:sz w:val="18"/>
                <w:vertAlign w:val="superscript"/>
                <w:lang w:eastAsia="sv-SE"/>
              </w:rPr>
              <w:t>nd</w:t>
            </w:r>
            <w:r>
              <w:rPr>
                <w:rFonts w:ascii="Arial" w:hAnsi="Arial"/>
                <w:sz w:val="18"/>
                <w:lang w:eastAsia="sv-SE"/>
              </w:rPr>
              <w:t xml:space="preserve"> entry in the list corresponds to the second network within all of the PLMNs and SNPNs across the </w:t>
            </w:r>
            <w:r>
              <w:rPr>
                <w:rFonts w:ascii="Arial" w:hAnsi="Arial"/>
                <w:i/>
                <w:sz w:val="18"/>
                <w:lang w:eastAsia="sv-SE"/>
              </w:rPr>
              <w:t>plmn-IdentityList</w:t>
            </w:r>
            <w:r>
              <w:rPr>
                <w:rFonts w:ascii="Arial" w:hAnsi="Arial"/>
                <w:sz w:val="18"/>
                <w:lang w:eastAsia="sv-SE"/>
              </w:rPr>
              <w:t xml:space="preserve"> </w:t>
            </w:r>
            <w:r>
              <w:rPr>
                <w:rFonts w:ascii="Arial" w:hAnsi="Arial"/>
                <w:iCs/>
                <w:sz w:val="18"/>
                <w:lang w:eastAsia="sv-SE"/>
              </w:rPr>
              <w:t>and the</w:t>
            </w:r>
            <w:r>
              <w:rPr>
                <w:rFonts w:ascii="Arial" w:hAnsi="Arial"/>
                <w:i/>
                <w:sz w:val="18"/>
                <w:lang w:eastAsia="sv-SE"/>
              </w:rPr>
              <w:t xml:space="preserve"> npn-IdentityInfoList</w:t>
            </w:r>
            <w:r>
              <w:rPr>
                <w:rFonts w:ascii="Arial" w:hAnsi="Arial"/>
                <w:sz w:val="18"/>
                <w:lang w:eastAsia="sv-SE"/>
              </w:rPr>
              <w:t xml:space="preserve"> and so on.</w:t>
            </w:r>
            <w:r>
              <w:rPr>
                <w:rFonts w:ascii="Arial" w:hAnsi="Arial"/>
                <w:sz w:val="18"/>
              </w:rPr>
              <w:t xml:space="preserve"> </w:t>
            </w:r>
            <w:r>
              <w:rPr>
                <w:rFonts w:ascii="Arial" w:hAnsi="Arial"/>
                <w:sz w:val="18"/>
                <w:lang w:eastAsia="sv-SE"/>
              </w:rPr>
              <w:t>If</w:t>
            </w:r>
            <w:r>
              <w:rPr>
                <w:rFonts w:ascii="Arial" w:hAnsi="Arial"/>
                <w:i/>
                <w:sz w:val="18"/>
                <w:lang w:eastAsia="sv-SE"/>
              </w:rPr>
              <w:t xml:space="preserve"> uac-AC1-SelectAssistInfo-r16</w:t>
            </w:r>
            <w:r>
              <w:rPr>
                <w:rFonts w:ascii="Arial" w:hAnsi="Arial"/>
                <w:sz w:val="18"/>
                <w:lang w:eastAsia="sv-SE"/>
              </w:rPr>
              <w:t xml:space="preserve"> is present, the UE shall ignore the </w:t>
            </w:r>
            <w:r>
              <w:rPr>
                <w:rFonts w:ascii="Arial" w:hAnsi="Arial"/>
                <w:i/>
                <w:sz w:val="18"/>
                <w:lang w:eastAsia="sv-SE"/>
              </w:rPr>
              <w:t>uac-AccessCategory1-SelectionAssistanceInfo</w:t>
            </w:r>
            <w:r>
              <w:rPr>
                <w:rFonts w:ascii="Arial" w:hAnsi="Arial"/>
                <w:sz w:val="18"/>
                <w:lang w:eastAsia="sv-SE"/>
              </w:rPr>
              <w:t>.</w:t>
            </w:r>
          </w:p>
        </w:tc>
      </w:tr>
      <w:tr w:rsidR="00EF781F" w14:paraId="2250AD99"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4720AE86" w14:textId="77777777" w:rsidR="00EF781F" w:rsidRDefault="00EF781F">
            <w:pPr>
              <w:keepNext/>
              <w:keepLines/>
              <w:spacing w:after="0"/>
              <w:rPr>
                <w:rFonts w:ascii="Arial" w:hAnsi="Arial"/>
                <w:b/>
                <w:bCs/>
                <w:i/>
                <w:iCs/>
                <w:sz w:val="18"/>
                <w:lang w:eastAsia="sv-SE"/>
              </w:rPr>
            </w:pPr>
            <w:r>
              <w:rPr>
                <w:rFonts w:ascii="Arial" w:hAnsi="Arial"/>
                <w:b/>
                <w:bCs/>
                <w:i/>
                <w:iCs/>
                <w:sz w:val="18"/>
                <w:lang w:eastAsia="sv-SE"/>
              </w:rPr>
              <w:t>uac-AC1-SelectAssistInfo</w:t>
            </w:r>
          </w:p>
          <w:p w14:paraId="4BD415AF" w14:textId="77777777" w:rsidR="00EF781F" w:rsidRDefault="00EF781F">
            <w:pPr>
              <w:keepNext/>
              <w:keepLines/>
              <w:spacing w:after="0"/>
              <w:rPr>
                <w:rFonts w:ascii="Arial" w:hAnsi="Arial"/>
                <w:b/>
                <w:i/>
                <w:sz w:val="18"/>
                <w:lang w:eastAsia="sv-SE"/>
              </w:rPr>
            </w:pPr>
            <w:r>
              <w:rPr>
                <w:rFonts w:ascii="Arial" w:hAnsi="Arial"/>
                <w:sz w:val="18"/>
                <w:lang w:eastAsia="sv-SE"/>
              </w:rPr>
              <w:t>Information used to determine whether Access Category 1 applies to the UE, as defined in TS 22.261 [25]. The 1</w:t>
            </w:r>
            <w:r>
              <w:rPr>
                <w:rFonts w:ascii="Arial" w:hAnsi="Arial"/>
                <w:sz w:val="18"/>
                <w:vertAlign w:val="superscript"/>
                <w:lang w:eastAsia="sv-SE"/>
              </w:rPr>
              <w:t>st</w:t>
            </w:r>
            <w:r>
              <w:rPr>
                <w:rFonts w:ascii="Arial" w:hAnsi="Arial"/>
                <w:sz w:val="18"/>
                <w:lang w:eastAsia="sv-SE"/>
              </w:rPr>
              <w:t xml:space="preserve"> entry in the list corresponds to the first network within all of the PLMNs and SNPNs across the </w:t>
            </w:r>
            <w:r>
              <w:rPr>
                <w:rFonts w:ascii="Arial" w:hAnsi="Arial"/>
                <w:i/>
                <w:sz w:val="18"/>
                <w:lang w:eastAsia="sv-SE"/>
              </w:rPr>
              <w:t xml:space="preserve">plmn-IdentityList </w:t>
            </w:r>
            <w:r>
              <w:rPr>
                <w:rFonts w:ascii="Arial" w:hAnsi="Arial"/>
                <w:iCs/>
                <w:sz w:val="18"/>
                <w:lang w:eastAsia="sv-SE"/>
              </w:rPr>
              <w:t>and</w:t>
            </w:r>
            <w:r>
              <w:rPr>
                <w:rFonts w:ascii="Arial" w:hAnsi="Arial"/>
                <w:i/>
                <w:sz w:val="18"/>
                <w:lang w:eastAsia="sv-SE"/>
              </w:rPr>
              <w:t xml:space="preserve"> npn-IdentityInfoList</w:t>
            </w:r>
            <w:r>
              <w:rPr>
                <w:rFonts w:ascii="Arial" w:hAnsi="Arial"/>
                <w:sz w:val="18"/>
                <w:lang w:eastAsia="sv-SE"/>
              </w:rPr>
              <w:t>, the 2</w:t>
            </w:r>
            <w:r>
              <w:rPr>
                <w:rFonts w:ascii="Arial" w:hAnsi="Arial"/>
                <w:sz w:val="18"/>
                <w:vertAlign w:val="superscript"/>
                <w:lang w:eastAsia="sv-SE"/>
              </w:rPr>
              <w:t>nd</w:t>
            </w:r>
            <w:r>
              <w:rPr>
                <w:rFonts w:ascii="Arial" w:hAnsi="Arial"/>
                <w:sz w:val="18"/>
                <w:lang w:eastAsia="sv-SE"/>
              </w:rPr>
              <w:t xml:space="preserve"> entry in the list corresponds to the second network within all of the PLMNs and SNPNs across the </w:t>
            </w:r>
            <w:r>
              <w:rPr>
                <w:rFonts w:ascii="Arial" w:hAnsi="Arial"/>
                <w:i/>
                <w:sz w:val="18"/>
                <w:lang w:eastAsia="sv-SE"/>
              </w:rPr>
              <w:t>plmn-IdentityList</w:t>
            </w:r>
            <w:r>
              <w:rPr>
                <w:rFonts w:ascii="Arial" w:hAnsi="Arial"/>
                <w:sz w:val="18"/>
                <w:lang w:eastAsia="sv-SE"/>
              </w:rPr>
              <w:t xml:space="preserve"> </w:t>
            </w:r>
            <w:r>
              <w:rPr>
                <w:rFonts w:ascii="Arial" w:hAnsi="Arial"/>
                <w:iCs/>
                <w:sz w:val="18"/>
                <w:lang w:eastAsia="sv-SE"/>
              </w:rPr>
              <w:t xml:space="preserve">and the </w:t>
            </w:r>
            <w:r>
              <w:rPr>
                <w:rFonts w:ascii="Arial" w:hAnsi="Arial"/>
                <w:i/>
                <w:sz w:val="18"/>
                <w:lang w:eastAsia="sv-SE"/>
              </w:rPr>
              <w:t>npn-IdentityInfoList</w:t>
            </w:r>
            <w:r>
              <w:rPr>
                <w:rFonts w:ascii="Arial" w:hAnsi="Arial"/>
                <w:sz w:val="18"/>
                <w:lang w:eastAsia="sv-SE"/>
              </w:rPr>
              <w:t xml:space="preserve"> and so on.</w:t>
            </w:r>
            <w:r>
              <w:rPr>
                <w:rFonts w:ascii="Yu Mincho" w:hAnsi="Yu Mincho" w:hint="eastAsia"/>
                <w:sz w:val="18"/>
                <w:lang w:eastAsia="zh-CN"/>
              </w:rPr>
              <w:t xml:space="preserve"> </w:t>
            </w:r>
            <w:r>
              <w:rPr>
                <w:rFonts w:ascii="Arial" w:hAnsi="Arial"/>
                <w:sz w:val="18"/>
                <w:lang w:eastAsia="sv-SE"/>
              </w:rPr>
              <w:t xml:space="preserve">Value </w:t>
            </w:r>
            <w:r>
              <w:rPr>
                <w:rFonts w:ascii="Arial" w:hAnsi="Arial"/>
                <w:i/>
                <w:sz w:val="18"/>
                <w:lang w:eastAsia="sv-SE"/>
              </w:rPr>
              <w:t>notConfigured</w:t>
            </w:r>
            <w:r>
              <w:rPr>
                <w:rFonts w:ascii="Arial" w:hAnsi="Arial"/>
                <w:sz w:val="18"/>
                <w:lang w:eastAsia="sv-SE"/>
              </w:rPr>
              <w:t xml:space="preserve"> indicates that Access Category1 is</w:t>
            </w:r>
            <w:r>
              <w:rPr>
                <w:rFonts w:ascii="Yu Mincho" w:hAnsi="Yu Mincho" w:hint="eastAsia"/>
                <w:sz w:val="18"/>
                <w:lang w:eastAsia="zh-CN"/>
              </w:rPr>
              <w:t xml:space="preserve"> </w:t>
            </w:r>
            <w:r>
              <w:rPr>
                <w:rFonts w:ascii="Arial" w:hAnsi="Arial"/>
                <w:sz w:val="18"/>
                <w:lang w:eastAsia="sv-SE"/>
              </w:rPr>
              <w:t>not configured for the corresponding PLMN/SNPN.</w:t>
            </w:r>
          </w:p>
        </w:tc>
      </w:tr>
      <w:tr w:rsidR="00EF781F" w14:paraId="0DF10F39"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0C2083F4" w14:textId="77777777" w:rsidR="00EF781F" w:rsidRDefault="00EF781F">
            <w:pPr>
              <w:keepNext/>
              <w:keepLines/>
              <w:spacing w:after="0"/>
              <w:rPr>
                <w:rFonts w:ascii="Arial" w:eastAsia="Calibri" w:hAnsi="Arial"/>
                <w:b/>
                <w:i/>
                <w:sz w:val="18"/>
                <w:szCs w:val="22"/>
                <w:lang w:eastAsia="sv-SE"/>
              </w:rPr>
            </w:pPr>
            <w:r>
              <w:rPr>
                <w:rFonts w:ascii="Arial" w:eastAsia="Calibri" w:hAnsi="Arial"/>
                <w:b/>
                <w:i/>
                <w:sz w:val="18"/>
                <w:szCs w:val="22"/>
                <w:lang w:eastAsia="sv-SE"/>
              </w:rPr>
              <w:t>uac-BarringForCommon</w:t>
            </w:r>
          </w:p>
          <w:p w14:paraId="5672D20D" w14:textId="77777777" w:rsidR="00EF781F" w:rsidRDefault="00EF781F">
            <w:pPr>
              <w:keepNext/>
              <w:keepLines/>
              <w:spacing w:after="0"/>
              <w:rPr>
                <w:rFonts w:ascii="Arial" w:hAnsi="Arial"/>
                <w:b/>
                <w:bCs/>
                <w:i/>
                <w:sz w:val="18"/>
                <w:szCs w:val="22"/>
                <w:lang w:eastAsia="en-GB"/>
              </w:rPr>
            </w:pPr>
            <w:r>
              <w:rPr>
                <w:rFonts w:ascii="Arial" w:eastAsia="Calibri" w:hAnsi="Arial"/>
                <w:sz w:val="18"/>
                <w:szCs w:val="22"/>
                <w:lang w:eastAsia="sv-SE"/>
              </w:rPr>
              <w:t xml:space="preserve">Common access control parameters for each access category. Common values are used for all PLMNs/SNPNs, unless overwritten by the PLMN/SNPN specific configuration provided in </w:t>
            </w:r>
            <w:r>
              <w:rPr>
                <w:rFonts w:ascii="Arial" w:eastAsia="Calibri" w:hAnsi="Arial"/>
                <w:i/>
                <w:sz w:val="18"/>
                <w:szCs w:val="22"/>
                <w:lang w:eastAsia="sv-SE"/>
              </w:rPr>
              <w:t>uac-BarringPerPLMN-List</w:t>
            </w:r>
            <w:r>
              <w:rPr>
                <w:rFonts w:ascii="Arial" w:eastAsia="Calibri" w:hAnsi="Arial"/>
                <w:sz w:val="18"/>
                <w:szCs w:val="22"/>
                <w:lang w:eastAsia="sv-SE"/>
              </w:rPr>
              <w:t>. The parameters are specified by providing an index to the set of configurations (</w:t>
            </w:r>
            <w:r>
              <w:rPr>
                <w:rFonts w:ascii="Arial" w:eastAsia="Calibri" w:hAnsi="Arial"/>
                <w:i/>
                <w:sz w:val="18"/>
                <w:szCs w:val="22"/>
                <w:lang w:eastAsia="sv-SE"/>
              </w:rPr>
              <w:t>uac-BarringInfoSetList</w:t>
            </w:r>
            <w:r>
              <w:rPr>
                <w:rFonts w:ascii="Arial" w:eastAsia="Calibri" w:hAnsi="Arial"/>
                <w:sz w:val="18"/>
                <w:szCs w:val="22"/>
                <w:lang w:eastAsia="sv-SE"/>
              </w:rPr>
              <w:t>). UE behaviour upon absence of this field is specified in clause 5.3.14.2.</w:t>
            </w:r>
          </w:p>
        </w:tc>
      </w:tr>
      <w:tr w:rsidR="00EF781F" w14:paraId="0AFC789F"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73E1B0A8" w14:textId="77777777" w:rsidR="00EF781F" w:rsidRDefault="00EF781F">
            <w:pPr>
              <w:keepNext/>
              <w:keepLines/>
              <w:spacing w:after="0"/>
              <w:rPr>
                <w:rFonts w:ascii="Arial" w:hAnsi="Arial"/>
                <w:b/>
                <w:i/>
                <w:sz w:val="18"/>
                <w:lang w:eastAsia="sv-SE"/>
              </w:rPr>
            </w:pPr>
            <w:r>
              <w:rPr>
                <w:rFonts w:ascii="Arial" w:hAnsi="Arial"/>
                <w:b/>
                <w:i/>
                <w:sz w:val="18"/>
                <w:lang w:eastAsia="sv-SE"/>
              </w:rPr>
              <w:t>ue-TimersAndConstants</w:t>
            </w:r>
          </w:p>
          <w:p w14:paraId="34430AA7" w14:textId="77777777" w:rsidR="00EF781F" w:rsidRDefault="00EF781F">
            <w:pPr>
              <w:keepNext/>
              <w:keepLines/>
              <w:spacing w:after="0"/>
              <w:rPr>
                <w:rFonts w:ascii="Arial" w:hAnsi="Arial"/>
                <w:sz w:val="18"/>
                <w:lang w:eastAsia="sv-SE"/>
              </w:rPr>
            </w:pPr>
            <w:r>
              <w:rPr>
                <w:rFonts w:ascii="Arial" w:hAnsi="Arial"/>
                <w:sz w:val="18"/>
                <w:lang w:eastAsia="sv-SE"/>
              </w:rPr>
              <w:t>Timer and constant values to be used by the UE.</w:t>
            </w:r>
            <w:r>
              <w:rPr>
                <w:rFonts w:ascii="Arial" w:eastAsia="Calibri" w:hAnsi="Arial"/>
                <w:sz w:val="18"/>
                <w:szCs w:val="22"/>
                <w:lang w:eastAsia="sv-SE"/>
              </w:rPr>
              <w:t xml:space="preserve"> Th</w:t>
            </w:r>
            <w:r>
              <w:rPr>
                <w:rFonts w:ascii="Arial" w:eastAsia="Calibri" w:hAnsi="Arial" w:cs="Arial"/>
                <w:sz w:val="18"/>
                <w:szCs w:val="22"/>
                <w:lang w:eastAsia="sv-SE"/>
              </w:rPr>
              <w:t>e cell operating as PCell always provides th</w:t>
            </w:r>
            <w:r>
              <w:rPr>
                <w:rFonts w:ascii="Arial" w:eastAsia="Calibri" w:hAnsi="Arial"/>
                <w:sz w:val="18"/>
                <w:szCs w:val="22"/>
                <w:lang w:eastAsia="sv-SE"/>
              </w:rPr>
              <w:t>is field.</w:t>
            </w:r>
          </w:p>
        </w:tc>
      </w:tr>
      <w:tr w:rsidR="00EF781F" w14:paraId="48DDFD60" w14:textId="77777777" w:rsidTr="00EF781F">
        <w:tc>
          <w:tcPr>
            <w:tcW w:w="14061" w:type="dxa"/>
            <w:tcBorders>
              <w:top w:val="single" w:sz="4" w:space="0" w:color="auto"/>
              <w:left w:val="single" w:sz="4" w:space="0" w:color="auto"/>
              <w:bottom w:val="single" w:sz="4" w:space="0" w:color="auto"/>
              <w:right w:val="single" w:sz="4" w:space="0" w:color="auto"/>
            </w:tcBorders>
            <w:hideMark/>
          </w:tcPr>
          <w:p w14:paraId="12AC17F9" w14:textId="77777777" w:rsidR="00EF781F" w:rsidRDefault="00EF781F">
            <w:pPr>
              <w:keepNext/>
              <w:keepLines/>
              <w:spacing w:after="0"/>
              <w:rPr>
                <w:rFonts w:ascii="Arial" w:hAnsi="Arial"/>
                <w:b/>
                <w:i/>
                <w:sz w:val="18"/>
                <w:lang w:eastAsia="sv-SE"/>
              </w:rPr>
            </w:pPr>
            <w:r>
              <w:rPr>
                <w:rFonts w:ascii="Arial" w:hAnsi="Arial"/>
                <w:b/>
                <w:i/>
                <w:sz w:val="18"/>
                <w:lang w:eastAsia="sv-SE"/>
              </w:rPr>
              <w:lastRenderedPageBreak/>
              <w:t>useFullResumeID</w:t>
            </w:r>
          </w:p>
          <w:p w14:paraId="6F206560" w14:textId="77777777" w:rsidR="00EF781F" w:rsidRDefault="00EF781F">
            <w:pPr>
              <w:keepNext/>
              <w:keepLines/>
              <w:spacing w:after="0"/>
              <w:rPr>
                <w:rFonts w:ascii="Arial" w:eastAsia="Calibri" w:hAnsi="Arial"/>
                <w:b/>
                <w:i/>
                <w:sz w:val="18"/>
                <w:szCs w:val="22"/>
                <w:lang w:eastAsia="sv-SE"/>
              </w:rPr>
            </w:pPr>
            <w:r>
              <w:rPr>
                <w:rFonts w:ascii="Arial" w:hAnsi="Arial"/>
                <w:sz w:val="18"/>
                <w:lang w:eastAsia="sv-SE"/>
              </w:rPr>
              <w:t xml:space="preserve">Indicates which resume identifier and Resume request message should be used. UE uses </w:t>
            </w:r>
            <w:r>
              <w:rPr>
                <w:rFonts w:ascii="Arial" w:hAnsi="Arial"/>
                <w:i/>
                <w:sz w:val="18"/>
                <w:lang w:eastAsia="sv-SE"/>
              </w:rPr>
              <w:t>fullI-RNTI</w:t>
            </w:r>
            <w:r>
              <w:rPr>
                <w:rFonts w:ascii="Arial" w:hAnsi="Arial"/>
                <w:sz w:val="18"/>
                <w:lang w:eastAsia="sv-SE"/>
              </w:rPr>
              <w:t xml:space="preserve"> and </w:t>
            </w:r>
            <w:r>
              <w:rPr>
                <w:rFonts w:ascii="Arial" w:hAnsi="Arial"/>
                <w:i/>
                <w:sz w:val="18"/>
                <w:lang w:eastAsia="sv-SE"/>
              </w:rPr>
              <w:t>RRCResumeRequest1</w:t>
            </w:r>
            <w:r>
              <w:rPr>
                <w:rFonts w:ascii="Arial" w:hAnsi="Arial"/>
                <w:sz w:val="18"/>
                <w:lang w:eastAsia="sv-SE"/>
              </w:rPr>
              <w:t xml:space="preserve"> if the field is present, or </w:t>
            </w:r>
            <w:r>
              <w:rPr>
                <w:rFonts w:ascii="Arial" w:hAnsi="Arial"/>
                <w:i/>
                <w:sz w:val="18"/>
                <w:lang w:eastAsia="sv-SE"/>
              </w:rPr>
              <w:t>shortI-RNTI</w:t>
            </w:r>
            <w:r>
              <w:rPr>
                <w:rFonts w:ascii="Arial" w:hAnsi="Arial"/>
                <w:sz w:val="18"/>
                <w:lang w:eastAsia="sv-SE"/>
              </w:rPr>
              <w:t xml:space="preserve"> and </w:t>
            </w:r>
            <w:r>
              <w:rPr>
                <w:rFonts w:ascii="Arial" w:hAnsi="Arial"/>
                <w:i/>
                <w:sz w:val="18"/>
                <w:lang w:eastAsia="sv-SE"/>
              </w:rPr>
              <w:t>RRCResumeRequest</w:t>
            </w:r>
            <w:r>
              <w:rPr>
                <w:rFonts w:ascii="Arial" w:hAnsi="Arial"/>
                <w:sz w:val="18"/>
                <w:lang w:eastAsia="sv-SE"/>
              </w:rPr>
              <w:t xml:space="preserve"> if the field is absent.</w:t>
            </w:r>
          </w:p>
        </w:tc>
      </w:tr>
    </w:tbl>
    <w:p w14:paraId="074E1C21" w14:textId="77777777" w:rsidR="00EF781F" w:rsidRDefault="00EF781F" w:rsidP="00EF781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781F" w14:paraId="0BD7D639" w14:textId="77777777" w:rsidTr="00EF781F">
        <w:tc>
          <w:tcPr>
            <w:tcW w:w="4027" w:type="dxa"/>
            <w:tcBorders>
              <w:top w:val="single" w:sz="4" w:space="0" w:color="auto"/>
              <w:left w:val="single" w:sz="4" w:space="0" w:color="auto"/>
              <w:bottom w:val="single" w:sz="4" w:space="0" w:color="auto"/>
              <w:right w:val="single" w:sz="4" w:space="0" w:color="auto"/>
            </w:tcBorders>
            <w:hideMark/>
          </w:tcPr>
          <w:p w14:paraId="5A99BFB4" w14:textId="77777777" w:rsidR="00EF781F" w:rsidRDefault="00EF781F">
            <w:pPr>
              <w:keepNext/>
              <w:keepLines/>
              <w:spacing w:after="0"/>
              <w:jc w:val="center"/>
              <w:rPr>
                <w:rFonts w:ascii="Arial" w:hAnsi="Arial"/>
                <w:b/>
                <w:sz w:val="18"/>
                <w:szCs w:val="22"/>
                <w:lang w:eastAsia="sv-SE"/>
              </w:rPr>
            </w:pPr>
            <w:r>
              <w:rPr>
                <w:rFonts w:ascii="Arial" w:hAnsi="Arial"/>
                <w:b/>
                <w:sz w:val="18"/>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5C528D" w14:textId="77777777" w:rsidR="00EF781F" w:rsidRDefault="00EF781F">
            <w:pPr>
              <w:keepNext/>
              <w:keepLines/>
              <w:spacing w:after="0"/>
              <w:jc w:val="center"/>
              <w:rPr>
                <w:rFonts w:ascii="Arial" w:hAnsi="Arial"/>
                <w:b/>
                <w:sz w:val="18"/>
                <w:szCs w:val="22"/>
                <w:lang w:eastAsia="sv-SE"/>
              </w:rPr>
            </w:pPr>
            <w:r>
              <w:rPr>
                <w:rFonts w:ascii="Arial" w:hAnsi="Arial"/>
                <w:b/>
                <w:sz w:val="18"/>
                <w:szCs w:val="22"/>
                <w:lang w:eastAsia="sv-SE"/>
              </w:rPr>
              <w:t>Explanation</w:t>
            </w:r>
          </w:p>
        </w:tc>
      </w:tr>
      <w:tr w:rsidR="00EF781F" w14:paraId="42CC537F" w14:textId="77777777" w:rsidTr="00EF781F">
        <w:tc>
          <w:tcPr>
            <w:tcW w:w="4027" w:type="dxa"/>
            <w:tcBorders>
              <w:top w:val="single" w:sz="4" w:space="0" w:color="auto"/>
              <w:left w:val="single" w:sz="4" w:space="0" w:color="auto"/>
              <w:bottom w:val="single" w:sz="4" w:space="0" w:color="auto"/>
              <w:right w:val="single" w:sz="4" w:space="0" w:color="auto"/>
            </w:tcBorders>
            <w:hideMark/>
          </w:tcPr>
          <w:p w14:paraId="72420ADE" w14:textId="77777777" w:rsidR="00EF781F" w:rsidRDefault="00EF781F">
            <w:pPr>
              <w:keepNext/>
              <w:keepLines/>
              <w:spacing w:after="0"/>
              <w:rPr>
                <w:rFonts w:ascii="Arial" w:hAnsi="Arial"/>
                <w:i/>
                <w:sz w:val="18"/>
                <w:szCs w:val="22"/>
                <w:lang w:eastAsia="sv-SE"/>
              </w:rPr>
            </w:pPr>
            <w:r>
              <w:rPr>
                <w:rFonts w:ascii="Arial" w:hAnsi="Arial"/>
                <w:i/>
                <w:sz w:val="18"/>
                <w:szCs w:val="22"/>
                <w:lang w:eastAsia="sv-SE"/>
              </w:rPr>
              <w:t>EDRX-RC</w:t>
            </w:r>
          </w:p>
        </w:tc>
        <w:tc>
          <w:tcPr>
            <w:tcW w:w="10146" w:type="dxa"/>
            <w:tcBorders>
              <w:top w:val="single" w:sz="4" w:space="0" w:color="auto"/>
              <w:left w:val="single" w:sz="4" w:space="0" w:color="auto"/>
              <w:bottom w:val="single" w:sz="4" w:space="0" w:color="auto"/>
              <w:right w:val="single" w:sz="4" w:space="0" w:color="auto"/>
            </w:tcBorders>
            <w:hideMark/>
          </w:tcPr>
          <w:p w14:paraId="6AA7CF65"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 xml:space="preserve">The field is optionally present, Need R, in a cell that enables </w:t>
            </w:r>
            <w:r>
              <w:rPr>
                <w:rFonts w:ascii="Arial" w:hAnsi="Arial"/>
                <w:i/>
                <w:iCs/>
                <w:sz w:val="18"/>
                <w:szCs w:val="22"/>
                <w:lang w:eastAsia="sv-SE"/>
              </w:rPr>
              <w:t>eDRX-AllowedIdle</w:t>
            </w:r>
            <w:r>
              <w:rPr>
                <w:rFonts w:ascii="Arial" w:hAnsi="Arial"/>
                <w:sz w:val="18"/>
                <w:szCs w:val="22"/>
                <w:lang w:eastAsia="sv-SE"/>
              </w:rPr>
              <w:t>, otherwise it is absent.</w:t>
            </w:r>
          </w:p>
        </w:tc>
      </w:tr>
      <w:tr w:rsidR="00EF781F" w14:paraId="657ACA95" w14:textId="77777777" w:rsidTr="00EF781F">
        <w:tc>
          <w:tcPr>
            <w:tcW w:w="4027" w:type="dxa"/>
            <w:tcBorders>
              <w:top w:val="single" w:sz="4" w:space="0" w:color="auto"/>
              <w:left w:val="single" w:sz="4" w:space="0" w:color="auto"/>
              <w:bottom w:val="single" w:sz="4" w:space="0" w:color="auto"/>
              <w:right w:val="single" w:sz="4" w:space="0" w:color="auto"/>
            </w:tcBorders>
            <w:hideMark/>
          </w:tcPr>
          <w:p w14:paraId="33AC0801" w14:textId="77777777" w:rsidR="00EF781F" w:rsidRDefault="00EF781F">
            <w:pPr>
              <w:keepNext/>
              <w:keepLines/>
              <w:spacing w:after="0"/>
              <w:rPr>
                <w:rFonts w:ascii="Arial" w:hAnsi="Arial"/>
                <w:i/>
                <w:sz w:val="18"/>
                <w:szCs w:val="22"/>
                <w:lang w:eastAsia="sv-SE"/>
              </w:rPr>
            </w:pPr>
            <w:r>
              <w:rPr>
                <w:rFonts w:ascii="Arial" w:hAnsi="Arial"/>
                <w:i/>
                <w:sz w:val="18"/>
                <w:szCs w:val="22"/>
                <w:lang w:eastAsia="sv-SE"/>
              </w:rPr>
              <w:t>MINT</w:t>
            </w:r>
          </w:p>
        </w:tc>
        <w:tc>
          <w:tcPr>
            <w:tcW w:w="10146" w:type="dxa"/>
            <w:tcBorders>
              <w:top w:val="single" w:sz="4" w:space="0" w:color="auto"/>
              <w:left w:val="single" w:sz="4" w:space="0" w:color="auto"/>
              <w:bottom w:val="single" w:sz="4" w:space="0" w:color="auto"/>
              <w:right w:val="single" w:sz="4" w:space="0" w:color="auto"/>
            </w:tcBorders>
            <w:hideMark/>
          </w:tcPr>
          <w:p w14:paraId="69BBD22C"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 xml:space="preserve">The field is optionally present, Need R, in a cell that provides a configuration for disaster roaming, otherwise it is </w:t>
            </w:r>
            <w:r>
              <w:rPr>
                <w:rFonts w:ascii="Arial" w:hAnsi="Arial"/>
                <w:sz w:val="18"/>
                <w:szCs w:val="22"/>
                <w:lang w:eastAsia="en-GB"/>
              </w:rPr>
              <w:t>absent, Need R</w:t>
            </w:r>
            <w:r>
              <w:rPr>
                <w:rFonts w:ascii="Arial" w:hAnsi="Arial"/>
                <w:sz w:val="18"/>
                <w:szCs w:val="22"/>
                <w:lang w:eastAsia="sv-SE"/>
              </w:rPr>
              <w:t>.</w:t>
            </w:r>
          </w:p>
        </w:tc>
      </w:tr>
      <w:tr w:rsidR="00EF781F" w14:paraId="70F276AA" w14:textId="77777777" w:rsidTr="00EF781F">
        <w:tc>
          <w:tcPr>
            <w:tcW w:w="4027" w:type="dxa"/>
            <w:tcBorders>
              <w:top w:val="single" w:sz="4" w:space="0" w:color="auto"/>
              <w:left w:val="single" w:sz="4" w:space="0" w:color="auto"/>
              <w:bottom w:val="single" w:sz="4" w:space="0" w:color="auto"/>
              <w:right w:val="single" w:sz="4" w:space="0" w:color="auto"/>
            </w:tcBorders>
            <w:hideMark/>
          </w:tcPr>
          <w:p w14:paraId="32BAA5D9" w14:textId="77777777" w:rsidR="00EF781F" w:rsidRDefault="00EF781F">
            <w:pPr>
              <w:keepNext/>
              <w:keepLines/>
              <w:spacing w:after="0"/>
              <w:rPr>
                <w:rFonts w:ascii="Arial" w:hAnsi="Arial"/>
                <w:i/>
                <w:sz w:val="18"/>
                <w:szCs w:val="22"/>
                <w:lang w:eastAsia="sv-SE"/>
              </w:rPr>
            </w:pPr>
            <w:r>
              <w:rPr>
                <w:rFonts w:ascii="Arial" w:hAnsi="Arial"/>
                <w:i/>
                <w:sz w:val="18"/>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3D794901" w14:textId="77777777" w:rsidR="00EF781F" w:rsidRDefault="00EF781F">
            <w:pPr>
              <w:keepNext/>
              <w:keepLines/>
              <w:spacing w:after="0"/>
              <w:rPr>
                <w:rFonts w:ascii="Arial" w:hAnsi="Arial"/>
                <w:sz w:val="18"/>
                <w:szCs w:val="22"/>
                <w:lang w:eastAsia="sv-SE"/>
              </w:rPr>
            </w:pPr>
            <w:r>
              <w:rPr>
                <w:rFonts w:ascii="Arial" w:hAnsi="Arial"/>
                <w:sz w:val="18"/>
                <w:szCs w:val="22"/>
                <w:lang w:eastAsia="sv-SE"/>
              </w:rPr>
              <w:t xml:space="preserve">The field is mandatory present in a cell that supports standalone operation, otherwise it is </w:t>
            </w:r>
            <w:r>
              <w:rPr>
                <w:rFonts w:ascii="Arial" w:hAnsi="Arial"/>
                <w:sz w:val="18"/>
                <w:szCs w:val="22"/>
                <w:lang w:eastAsia="en-GB"/>
              </w:rPr>
              <w:t>absent</w:t>
            </w:r>
            <w:r>
              <w:rPr>
                <w:rFonts w:ascii="Arial" w:hAnsi="Arial"/>
                <w:sz w:val="18"/>
                <w:szCs w:val="22"/>
                <w:lang w:eastAsia="sv-SE"/>
              </w:rPr>
              <w:t>.</w:t>
            </w:r>
          </w:p>
        </w:tc>
      </w:tr>
      <w:bookmarkEnd w:id="708"/>
    </w:tbl>
    <w:p w14:paraId="20BF46A7" w14:textId="77777777" w:rsidR="00EF781F" w:rsidRDefault="00EF781F" w:rsidP="00EF781F"/>
    <w:p w14:paraId="2F42FDB9" w14:textId="77777777" w:rsidR="00394471" w:rsidRPr="00FA0D37" w:rsidRDefault="00394471" w:rsidP="00394471">
      <w:pPr>
        <w:pStyle w:val="4"/>
      </w:pPr>
      <w:r w:rsidRPr="00FA0D37">
        <w:t>–</w:t>
      </w:r>
      <w:r w:rsidRPr="00FA0D37">
        <w:tab/>
      </w:r>
      <w:r w:rsidRPr="00FA0D37">
        <w:rPr>
          <w:i/>
          <w:iCs/>
        </w:rPr>
        <w:t>SidelinkUEInformation</w:t>
      </w:r>
      <w:r w:rsidRPr="00FA0D37">
        <w:rPr>
          <w:i/>
          <w:iCs/>
          <w:noProof/>
        </w:rPr>
        <w:t>NR</w:t>
      </w:r>
      <w:bookmarkEnd w:id="706"/>
      <w:bookmarkEnd w:id="707"/>
    </w:p>
    <w:p w14:paraId="380C71EE" w14:textId="77777777" w:rsidR="00394471" w:rsidRPr="00FA0D37" w:rsidRDefault="00394471" w:rsidP="00394471">
      <w:r w:rsidRPr="00FA0D37">
        <w:t xml:space="preserve">The </w:t>
      </w:r>
      <w:r w:rsidRPr="00FA0D37">
        <w:rPr>
          <w:i/>
        </w:rPr>
        <w:t>SidelinkUEinformation</w:t>
      </w:r>
      <w:r w:rsidRPr="00FA0D37">
        <w:rPr>
          <w:i/>
          <w:noProof/>
        </w:rPr>
        <w:t xml:space="preserve">NR </w:t>
      </w:r>
      <w:r w:rsidRPr="00FA0D37">
        <w:t xml:space="preserve">message is used for the indication of NR sidelink UE information to the </w:t>
      </w:r>
      <w:r w:rsidRPr="00FA0D37">
        <w:rPr>
          <w:lang w:eastAsia="zh-CN"/>
        </w:rPr>
        <w:t>network</w:t>
      </w:r>
      <w:r w:rsidRPr="00FA0D37">
        <w:t>.</w:t>
      </w:r>
    </w:p>
    <w:p w14:paraId="507B9B7D" w14:textId="77777777" w:rsidR="00394471" w:rsidRPr="00FA0D37" w:rsidRDefault="00394471" w:rsidP="00394471">
      <w:pPr>
        <w:pStyle w:val="B1"/>
      </w:pPr>
      <w:r w:rsidRPr="00FA0D37">
        <w:t>Signalling radio bearer: SRB1</w:t>
      </w:r>
    </w:p>
    <w:p w14:paraId="3108F70F" w14:textId="77777777" w:rsidR="00394471" w:rsidRPr="00FA0D37" w:rsidRDefault="00394471" w:rsidP="00394471">
      <w:pPr>
        <w:pStyle w:val="B1"/>
      </w:pPr>
      <w:r w:rsidRPr="00FA0D37">
        <w:t>RLC-SAP: AM</w:t>
      </w:r>
    </w:p>
    <w:p w14:paraId="3FFABC76" w14:textId="77777777" w:rsidR="00394471" w:rsidRPr="00FA0D37" w:rsidRDefault="00394471" w:rsidP="00394471">
      <w:pPr>
        <w:pStyle w:val="B1"/>
      </w:pPr>
      <w:r w:rsidRPr="00FA0D37">
        <w:t>Logical channel: DCCH</w:t>
      </w:r>
    </w:p>
    <w:p w14:paraId="111CD5AF" w14:textId="77777777" w:rsidR="00394471" w:rsidRPr="00FA0D37" w:rsidRDefault="00394471" w:rsidP="00394471">
      <w:pPr>
        <w:pStyle w:val="B1"/>
      </w:pPr>
      <w:r w:rsidRPr="00FA0D37">
        <w:t>Direction: UE to Network</w:t>
      </w:r>
    </w:p>
    <w:p w14:paraId="1A3E53BF" w14:textId="77777777" w:rsidR="00394471" w:rsidRPr="00FA0D37" w:rsidRDefault="00394471" w:rsidP="00394471">
      <w:pPr>
        <w:pStyle w:val="TH"/>
      </w:pPr>
      <w:r w:rsidRPr="00FA0D37">
        <w:rPr>
          <w:i/>
          <w:iCs/>
          <w:noProof/>
        </w:rPr>
        <w:t>SidelinkUEInformationNR</w:t>
      </w:r>
      <w:r w:rsidRPr="00FA0D37">
        <w:rPr>
          <w:noProof/>
        </w:rPr>
        <w:t xml:space="preserve"> message</w:t>
      </w:r>
    </w:p>
    <w:p w14:paraId="641F9090" w14:textId="77777777" w:rsidR="00394471" w:rsidRPr="00FA0D37" w:rsidRDefault="00394471" w:rsidP="00FA0D37">
      <w:pPr>
        <w:pStyle w:val="PL"/>
        <w:rPr>
          <w:color w:val="808080"/>
        </w:rPr>
      </w:pPr>
      <w:r w:rsidRPr="00FA0D37">
        <w:rPr>
          <w:color w:val="808080"/>
        </w:rPr>
        <w:t>-- ASN1START</w:t>
      </w:r>
    </w:p>
    <w:p w14:paraId="29F9DDC6" w14:textId="77777777" w:rsidR="00394471" w:rsidRPr="00FA0D37" w:rsidRDefault="00394471" w:rsidP="00FA0D37">
      <w:pPr>
        <w:pStyle w:val="PL"/>
        <w:rPr>
          <w:color w:val="808080"/>
        </w:rPr>
      </w:pPr>
      <w:r w:rsidRPr="00FA0D37">
        <w:rPr>
          <w:color w:val="808080"/>
        </w:rPr>
        <w:t>-- TAG-SIDELINKUEINFORMATIONNR-START</w:t>
      </w:r>
    </w:p>
    <w:p w14:paraId="71BDB943" w14:textId="77777777" w:rsidR="00394471" w:rsidRPr="00FA0D37" w:rsidRDefault="00394471" w:rsidP="00FA0D37">
      <w:pPr>
        <w:pStyle w:val="PL"/>
      </w:pPr>
    </w:p>
    <w:p w14:paraId="1679325C" w14:textId="77777777" w:rsidR="00394471" w:rsidRPr="00FA0D37" w:rsidRDefault="00394471" w:rsidP="00FA0D37">
      <w:pPr>
        <w:pStyle w:val="PL"/>
      </w:pPr>
      <w:r w:rsidRPr="00FA0D37">
        <w:t xml:space="preserve">SidelinkUEInformationNR-r16::=         </w:t>
      </w:r>
      <w:r w:rsidRPr="00FA0D37">
        <w:rPr>
          <w:color w:val="993366"/>
        </w:rPr>
        <w:t>SEQUENCE</w:t>
      </w:r>
      <w:r w:rsidRPr="00FA0D37">
        <w:t xml:space="preserve"> {</w:t>
      </w:r>
    </w:p>
    <w:p w14:paraId="428DA001"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4E402320" w14:textId="77777777" w:rsidR="00394471" w:rsidRPr="00FA0D37" w:rsidRDefault="00394471" w:rsidP="00FA0D37">
      <w:pPr>
        <w:pStyle w:val="PL"/>
      </w:pPr>
      <w:r w:rsidRPr="00FA0D37">
        <w:t xml:space="preserve">        sidelinkUEInformationNR-r16         SidelinkUEInformationNR-r16-IEs,</w:t>
      </w:r>
    </w:p>
    <w:p w14:paraId="0D905786"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757A5B6F" w14:textId="77777777" w:rsidR="00394471" w:rsidRPr="00FA0D37" w:rsidRDefault="00394471" w:rsidP="00FA0D37">
      <w:pPr>
        <w:pStyle w:val="PL"/>
      </w:pPr>
      <w:r w:rsidRPr="00FA0D37">
        <w:t xml:space="preserve">    }</w:t>
      </w:r>
    </w:p>
    <w:p w14:paraId="7212B485" w14:textId="77777777" w:rsidR="00394471" w:rsidRPr="00FA0D37" w:rsidRDefault="00394471" w:rsidP="00FA0D37">
      <w:pPr>
        <w:pStyle w:val="PL"/>
      </w:pPr>
      <w:r w:rsidRPr="00FA0D37">
        <w:t>}</w:t>
      </w:r>
    </w:p>
    <w:p w14:paraId="52A4549E" w14:textId="77777777" w:rsidR="00394471" w:rsidRPr="00FA0D37" w:rsidRDefault="00394471" w:rsidP="00FA0D37">
      <w:pPr>
        <w:pStyle w:val="PL"/>
      </w:pPr>
    </w:p>
    <w:p w14:paraId="054F0672" w14:textId="77777777" w:rsidR="00394471" w:rsidRPr="00FA0D37" w:rsidRDefault="00394471" w:rsidP="00FA0D37">
      <w:pPr>
        <w:pStyle w:val="PL"/>
      </w:pPr>
      <w:r w:rsidRPr="00FA0D37">
        <w:t xml:space="preserve">SidelinkUEInformationNR-r16-IEs ::=    </w:t>
      </w:r>
      <w:r w:rsidRPr="00FA0D37">
        <w:rPr>
          <w:color w:val="993366"/>
        </w:rPr>
        <w:t>SEQUENCE</w:t>
      </w:r>
      <w:r w:rsidRPr="00FA0D37">
        <w:t xml:space="preserve"> {</w:t>
      </w:r>
    </w:p>
    <w:p w14:paraId="43B6FD1C" w14:textId="77777777" w:rsidR="00394471" w:rsidRPr="00FA0D37" w:rsidRDefault="00394471" w:rsidP="00FA0D37">
      <w:pPr>
        <w:pStyle w:val="PL"/>
      </w:pPr>
      <w:r w:rsidRPr="00FA0D37">
        <w:t xml:space="preserve">    sl-RxInterestedFreqList-r16            SL-InterestedFreqList-r16           </w:t>
      </w:r>
      <w:r w:rsidRPr="00FA0D37">
        <w:rPr>
          <w:color w:val="993366"/>
        </w:rPr>
        <w:t>OPTIONAL</w:t>
      </w:r>
      <w:r w:rsidRPr="00FA0D37">
        <w:t>,</w:t>
      </w:r>
    </w:p>
    <w:p w14:paraId="5E18EFC4" w14:textId="77777777" w:rsidR="00394471" w:rsidRPr="00FA0D37" w:rsidRDefault="00394471" w:rsidP="00FA0D37">
      <w:pPr>
        <w:pStyle w:val="PL"/>
        <w:rPr>
          <w:rFonts w:eastAsia="Yu Mincho"/>
        </w:rPr>
      </w:pPr>
      <w:r w:rsidRPr="00FA0D37">
        <w:t xml:space="preserve">    s</w:t>
      </w:r>
      <w:r w:rsidRPr="00FA0D37">
        <w:rPr>
          <w:rFonts w:eastAsia="Yu Mincho"/>
        </w:rPr>
        <w:t>l-TxResourceReqList-r16</w:t>
      </w:r>
      <w:r w:rsidRPr="00FA0D37">
        <w:t xml:space="preserve">               </w:t>
      </w:r>
      <w:r w:rsidRPr="00FA0D37">
        <w:rPr>
          <w:rFonts w:eastAsia="Yu Mincho"/>
        </w:rPr>
        <w:t>SL-TxResourceReqList-r16</w:t>
      </w:r>
      <w:r w:rsidRPr="00FA0D37">
        <w:t xml:space="preserve">            </w:t>
      </w:r>
      <w:r w:rsidRPr="00FA0D37">
        <w:rPr>
          <w:rFonts w:eastAsia="Yu Mincho"/>
          <w:color w:val="993366"/>
        </w:rPr>
        <w:t>OPTIONAL</w:t>
      </w:r>
      <w:r w:rsidRPr="00FA0D37">
        <w:rPr>
          <w:rFonts w:eastAsia="Yu Mincho"/>
        </w:rPr>
        <w:t>,</w:t>
      </w:r>
    </w:p>
    <w:p w14:paraId="7DB30ED0" w14:textId="77777777" w:rsidR="00394471" w:rsidRPr="00FA0D37" w:rsidRDefault="00394471" w:rsidP="00FA0D37">
      <w:pPr>
        <w:pStyle w:val="PL"/>
      </w:pPr>
      <w:r w:rsidRPr="00FA0D37">
        <w:t xml:space="preserve">    sl-FailureList-r16                     SL-FailureList-r16                  </w:t>
      </w:r>
      <w:r w:rsidRPr="00FA0D37">
        <w:rPr>
          <w:color w:val="993366"/>
        </w:rPr>
        <w:t>OPTIONAL</w:t>
      </w:r>
      <w:r w:rsidRPr="00FA0D37">
        <w:t>,</w:t>
      </w:r>
    </w:p>
    <w:p w14:paraId="594C2EE2"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AAF6E8A" w14:textId="0D9FC5FC" w:rsidR="00394471" w:rsidRPr="00FA0D37" w:rsidRDefault="00394471" w:rsidP="00FA0D37">
      <w:pPr>
        <w:pStyle w:val="PL"/>
      </w:pPr>
      <w:r w:rsidRPr="00FA0D37">
        <w:t xml:space="preserve">    nonCriticalExtension                   </w:t>
      </w:r>
      <w:r w:rsidR="00C26E98" w:rsidRPr="00FA0D37">
        <w:t>SidelinkUEInformationNR-v1700-IEs</w:t>
      </w:r>
      <w:r w:rsidRPr="00FA0D37">
        <w:t xml:space="preserve">   </w:t>
      </w:r>
      <w:r w:rsidRPr="00FA0D37">
        <w:rPr>
          <w:color w:val="993366"/>
        </w:rPr>
        <w:t>OPTIONAL</w:t>
      </w:r>
    </w:p>
    <w:p w14:paraId="17308731" w14:textId="77777777" w:rsidR="00394471" w:rsidRPr="00FA0D37" w:rsidRDefault="00394471" w:rsidP="00FA0D37">
      <w:pPr>
        <w:pStyle w:val="PL"/>
      </w:pPr>
      <w:r w:rsidRPr="00FA0D37">
        <w:t>}</w:t>
      </w:r>
    </w:p>
    <w:p w14:paraId="3BBF1B39" w14:textId="1B833524" w:rsidR="00394471" w:rsidRPr="00FA0D37" w:rsidRDefault="00394471" w:rsidP="00FA0D37">
      <w:pPr>
        <w:pStyle w:val="PL"/>
      </w:pPr>
    </w:p>
    <w:p w14:paraId="26CBA755" w14:textId="77777777" w:rsidR="00482CE2" w:rsidRPr="00FA0D37" w:rsidRDefault="00482CE2" w:rsidP="00FA0D37">
      <w:pPr>
        <w:pStyle w:val="PL"/>
      </w:pPr>
      <w:r w:rsidRPr="00FA0D37">
        <w:t xml:space="preserve">SidelinkUEInformationNR-v1700-IEs ::=  </w:t>
      </w:r>
      <w:r w:rsidRPr="00FA0D37">
        <w:rPr>
          <w:color w:val="993366"/>
        </w:rPr>
        <w:t>SEQUENCE</w:t>
      </w:r>
      <w:r w:rsidRPr="00FA0D37">
        <w:t xml:space="preserve"> {</w:t>
      </w:r>
    </w:p>
    <w:p w14:paraId="6DDF3474" w14:textId="77777777" w:rsidR="00482CE2" w:rsidRPr="00FA0D37" w:rsidRDefault="00482CE2" w:rsidP="00FA0D37">
      <w:pPr>
        <w:pStyle w:val="PL"/>
      </w:pPr>
      <w:r w:rsidRPr="00FA0D37">
        <w:t xml:space="preserve">    sl-TxResourceReqList-v1700             SL-TxResourceReqList-v1700                                                 </w:t>
      </w:r>
      <w:r w:rsidRPr="00FA0D37">
        <w:rPr>
          <w:color w:val="993366"/>
        </w:rPr>
        <w:t>OPTIONAL</w:t>
      </w:r>
      <w:r w:rsidRPr="00FA0D37">
        <w:t>,</w:t>
      </w:r>
    </w:p>
    <w:p w14:paraId="26EC3868" w14:textId="77777777" w:rsidR="00482CE2" w:rsidRPr="00FA0D37" w:rsidRDefault="00482CE2" w:rsidP="00FA0D37">
      <w:pPr>
        <w:pStyle w:val="PL"/>
      </w:pPr>
      <w:r w:rsidRPr="00FA0D37">
        <w:t xml:space="preserve">    sl-RxDRX-ReportList-v1700              SL-RxDRX-ReportList-v1700                                                  </w:t>
      </w:r>
      <w:r w:rsidRPr="00FA0D37">
        <w:rPr>
          <w:color w:val="993366"/>
        </w:rPr>
        <w:t>OPTIONAL</w:t>
      </w:r>
      <w:r w:rsidRPr="00FA0D37">
        <w:t>,</w:t>
      </w:r>
    </w:p>
    <w:p w14:paraId="16C2675E" w14:textId="77777777" w:rsidR="00A159D0" w:rsidRPr="00FA0D37" w:rsidRDefault="00A159D0" w:rsidP="00FA0D37">
      <w:pPr>
        <w:pStyle w:val="PL"/>
      </w:pPr>
      <w:r w:rsidRPr="00FA0D37">
        <w:lastRenderedPageBreak/>
        <w:t xml:space="preserve">    sl-RxInterestedGC-BC-DestList-r17      SL-RxInterestedGC-BC-DestList-r17                                          </w:t>
      </w:r>
      <w:r w:rsidRPr="00FA0D37">
        <w:rPr>
          <w:color w:val="993366"/>
        </w:rPr>
        <w:t>OPTIONAL</w:t>
      </w:r>
      <w:r w:rsidRPr="00FA0D37">
        <w:t>,</w:t>
      </w:r>
    </w:p>
    <w:p w14:paraId="4F3CC7C5" w14:textId="77777777" w:rsidR="00482CE2" w:rsidRPr="00FA0D37" w:rsidRDefault="00482CE2" w:rsidP="00FA0D37">
      <w:pPr>
        <w:pStyle w:val="PL"/>
      </w:pPr>
      <w:r w:rsidRPr="00FA0D37">
        <w:t xml:space="preserve">    sl-RxInterestedFreqListDisc-r17        SL-InterestedFreqList-r16                                                  </w:t>
      </w:r>
      <w:r w:rsidRPr="00FA0D37">
        <w:rPr>
          <w:color w:val="993366"/>
        </w:rPr>
        <w:t>OPTIONAL</w:t>
      </w:r>
      <w:r w:rsidRPr="00FA0D37">
        <w:t>,</w:t>
      </w:r>
    </w:p>
    <w:p w14:paraId="69C8B02C" w14:textId="77777777" w:rsidR="00482CE2" w:rsidRPr="00FA0D37" w:rsidRDefault="00482CE2" w:rsidP="00FA0D37">
      <w:pPr>
        <w:pStyle w:val="PL"/>
      </w:pPr>
      <w:r w:rsidRPr="00FA0D37">
        <w:t xml:space="preserve">    sl-TxResourceReqListDisc-r17           SL-TxResourceReqListDisc-r17                                               </w:t>
      </w:r>
      <w:r w:rsidRPr="00FA0D37">
        <w:rPr>
          <w:color w:val="993366"/>
        </w:rPr>
        <w:t>OPTIONAL</w:t>
      </w:r>
      <w:r w:rsidRPr="00FA0D37">
        <w:t>,</w:t>
      </w:r>
    </w:p>
    <w:p w14:paraId="531B7F7F" w14:textId="77777777" w:rsidR="00482CE2" w:rsidRPr="00FA0D37" w:rsidRDefault="00482CE2" w:rsidP="00FA0D37">
      <w:pPr>
        <w:pStyle w:val="PL"/>
      </w:pPr>
      <w:r w:rsidRPr="00FA0D37">
        <w:t xml:space="preserve">    sl-TxResourceReqListCommRelay-r17      SL-TxResourceReqListCommRelay-r17                                          </w:t>
      </w:r>
      <w:r w:rsidRPr="00FA0D37">
        <w:rPr>
          <w:color w:val="993366"/>
        </w:rPr>
        <w:t>OPTIONAL</w:t>
      </w:r>
      <w:r w:rsidRPr="00FA0D37">
        <w:t>,</w:t>
      </w:r>
    </w:p>
    <w:p w14:paraId="60F6FA1C" w14:textId="77777777" w:rsidR="00482CE2" w:rsidRPr="00FA0D37" w:rsidRDefault="00482CE2" w:rsidP="00FA0D37">
      <w:pPr>
        <w:pStyle w:val="PL"/>
      </w:pPr>
      <w:r w:rsidRPr="00FA0D37">
        <w:t xml:space="preserve">    ue-Type-r17                            </w:t>
      </w:r>
      <w:r w:rsidRPr="00FA0D37">
        <w:rPr>
          <w:color w:val="993366"/>
        </w:rPr>
        <w:t>ENUMERATED</w:t>
      </w:r>
      <w:r w:rsidRPr="00FA0D37">
        <w:t xml:space="preserve"> {relayUE, remoteUE}                                             </w:t>
      </w:r>
      <w:r w:rsidRPr="00FA0D37">
        <w:rPr>
          <w:color w:val="993366"/>
        </w:rPr>
        <w:t>OPTIONAL</w:t>
      </w:r>
      <w:r w:rsidRPr="00FA0D37">
        <w:t>,</w:t>
      </w:r>
    </w:p>
    <w:p w14:paraId="7DE5EF3E" w14:textId="1D09CD84" w:rsidR="00482CE2" w:rsidRPr="00FA0D37" w:rsidRDefault="00482CE2" w:rsidP="00FA0D37">
      <w:pPr>
        <w:pStyle w:val="PL"/>
      </w:pPr>
      <w:r w:rsidRPr="00FA0D37">
        <w:t xml:space="preserve">    sl-SourceIdentityRemoteUE-r17         </w:t>
      </w:r>
      <w:r w:rsidR="00CC30D0" w:rsidRPr="00FA0D37">
        <w:t xml:space="preserve"> </w:t>
      </w:r>
      <w:r w:rsidRPr="00FA0D37">
        <w:t xml:space="preserve">SL-SourceIdentity-r17                                                      </w:t>
      </w:r>
      <w:r w:rsidRPr="00FA0D37">
        <w:rPr>
          <w:color w:val="993366"/>
        </w:rPr>
        <w:t>OPTIONAL</w:t>
      </w:r>
      <w:r w:rsidRPr="00FA0D37">
        <w:t>,</w:t>
      </w:r>
    </w:p>
    <w:p w14:paraId="79180D03" w14:textId="23A8975B" w:rsidR="00482CE2" w:rsidRPr="00FA0D37" w:rsidRDefault="00482CE2" w:rsidP="00FA0D37">
      <w:pPr>
        <w:pStyle w:val="PL"/>
      </w:pPr>
      <w:r w:rsidRPr="00FA0D37">
        <w:t xml:space="preserve">    nonCriticalExtension                   </w:t>
      </w:r>
      <w:r w:rsidRPr="00FA0D37">
        <w:rPr>
          <w:color w:val="993366"/>
        </w:rPr>
        <w:t>SEQUENCE</w:t>
      </w:r>
      <w:r w:rsidR="006876BA" w:rsidRPr="00FA0D37">
        <w:t xml:space="preserve"> </w:t>
      </w:r>
      <w:r w:rsidRPr="00FA0D37">
        <w:t xml:space="preserve">{}                                                                </w:t>
      </w:r>
      <w:r w:rsidRPr="00FA0D37">
        <w:rPr>
          <w:color w:val="993366"/>
        </w:rPr>
        <w:t>OPTIONAL</w:t>
      </w:r>
    </w:p>
    <w:p w14:paraId="2AB83715" w14:textId="77777777" w:rsidR="00482CE2" w:rsidRPr="00FA0D37" w:rsidRDefault="00482CE2" w:rsidP="00FA0D37">
      <w:pPr>
        <w:pStyle w:val="PL"/>
      </w:pPr>
      <w:r w:rsidRPr="00FA0D37">
        <w:t>}</w:t>
      </w:r>
    </w:p>
    <w:p w14:paraId="139A701C" w14:textId="77777777" w:rsidR="00482CE2" w:rsidRPr="00FA0D37" w:rsidRDefault="00482CE2" w:rsidP="00FA0D37">
      <w:pPr>
        <w:pStyle w:val="PL"/>
      </w:pPr>
    </w:p>
    <w:p w14:paraId="2D842AEE" w14:textId="77777777" w:rsidR="00394471" w:rsidRPr="00FA0D37" w:rsidRDefault="00394471" w:rsidP="00FA0D37">
      <w:pPr>
        <w:pStyle w:val="PL"/>
      </w:pPr>
      <w:r w:rsidRPr="00FA0D37">
        <w:t xml:space="preserve">SL-InterestedFreqList-r16 ::=          </w:t>
      </w:r>
      <w:r w:rsidRPr="00FA0D37">
        <w:rPr>
          <w:color w:val="993366"/>
        </w:rPr>
        <w:t>SEQUENCE</w:t>
      </w:r>
      <w:r w:rsidRPr="00FA0D37">
        <w:t xml:space="preserve"> (</w:t>
      </w:r>
      <w:r w:rsidRPr="00FA0D37">
        <w:rPr>
          <w:color w:val="993366"/>
        </w:rPr>
        <w:t>SIZE</w:t>
      </w:r>
      <w:r w:rsidRPr="00FA0D37">
        <w:t xml:space="preserve"> (1..maxNrofFreqSL-r16))</w:t>
      </w:r>
      <w:r w:rsidRPr="00FA0D37">
        <w:rPr>
          <w:color w:val="993366"/>
        </w:rPr>
        <w:t xml:space="preserve"> OF</w:t>
      </w:r>
      <w:r w:rsidRPr="00FA0D37">
        <w:t xml:space="preserve"> </w:t>
      </w:r>
      <w:r w:rsidRPr="00FA0D37">
        <w:rPr>
          <w:color w:val="993366"/>
        </w:rPr>
        <w:t>INTEGER</w:t>
      </w:r>
      <w:r w:rsidRPr="00FA0D37">
        <w:t xml:space="preserve"> (1..maxNrofFreqSL-r16)</w:t>
      </w:r>
    </w:p>
    <w:p w14:paraId="426FC267" w14:textId="77777777" w:rsidR="00394471" w:rsidRPr="00FA0D37" w:rsidRDefault="00394471" w:rsidP="00FA0D37">
      <w:pPr>
        <w:pStyle w:val="PL"/>
      </w:pPr>
    </w:p>
    <w:p w14:paraId="5481D05E" w14:textId="77777777" w:rsidR="00394471" w:rsidRPr="00FA0D37" w:rsidRDefault="00394471" w:rsidP="00FA0D37">
      <w:pPr>
        <w:pStyle w:val="PL"/>
        <w:rPr>
          <w:rFonts w:eastAsia="Yu Mincho"/>
        </w:rPr>
      </w:pPr>
      <w:r w:rsidRPr="00FA0D37">
        <w:rPr>
          <w:rFonts w:eastAsia="Yu Mincho"/>
        </w:rPr>
        <w:t>SL-TxResourceReqList-r16</w:t>
      </w:r>
      <w:r w:rsidRPr="00FA0D37">
        <w:t xml:space="preserve"> ::=           </w:t>
      </w:r>
      <w:r w:rsidRPr="00FA0D37">
        <w:rPr>
          <w:color w:val="993366"/>
        </w:rPr>
        <w:t>SEQUENCE</w:t>
      </w:r>
      <w:r w:rsidRPr="00FA0D37">
        <w:t xml:space="preserve"> (</w:t>
      </w:r>
      <w:r w:rsidRPr="00FA0D37">
        <w:rPr>
          <w:color w:val="993366"/>
        </w:rPr>
        <w:t>SIZE</w:t>
      </w:r>
      <w:r w:rsidRPr="00FA0D37">
        <w:t xml:space="preserve"> (1..maxNrofSL-Dest-r16))</w:t>
      </w:r>
      <w:r w:rsidRPr="00FA0D37">
        <w:rPr>
          <w:color w:val="993366"/>
        </w:rPr>
        <w:t xml:space="preserve"> OF</w:t>
      </w:r>
      <w:r w:rsidRPr="00FA0D37">
        <w:t xml:space="preserve"> </w:t>
      </w:r>
      <w:r w:rsidRPr="00FA0D37">
        <w:rPr>
          <w:rFonts w:eastAsia="Yu Mincho"/>
        </w:rPr>
        <w:t>SL-TxResourceReq-r16</w:t>
      </w:r>
    </w:p>
    <w:p w14:paraId="13239605" w14:textId="77777777" w:rsidR="00394471" w:rsidRPr="00FA0D37" w:rsidRDefault="00394471" w:rsidP="00FA0D37">
      <w:pPr>
        <w:pStyle w:val="PL"/>
        <w:rPr>
          <w:rFonts w:eastAsia="Yu Mincho"/>
        </w:rPr>
      </w:pPr>
    </w:p>
    <w:p w14:paraId="573EF88F" w14:textId="77777777" w:rsidR="00394471" w:rsidRPr="00FA0D37" w:rsidRDefault="00394471" w:rsidP="00FA0D37">
      <w:pPr>
        <w:pStyle w:val="PL"/>
        <w:rPr>
          <w:rFonts w:eastAsia="Yu Mincho"/>
        </w:rPr>
      </w:pPr>
      <w:r w:rsidRPr="00FA0D37">
        <w:rPr>
          <w:rFonts w:eastAsia="Yu Mincho"/>
        </w:rPr>
        <w:t xml:space="preserve">SL-TxResourceReq-r16 </w:t>
      </w:r>
      <w:r w:rsidRPr="00FA0D37">
        <w:t xml:space="preserve">::=               </w:t>
      </w:r>
      <w:r w:rsidRPr="00FA0D37">
        <w:rPr>
          <w:color w:val="993366"/>
        </w:rPr>
        <w:t>SEQUENCE</w:t>
      </w:r>
      <w:r w:rsidRPr="00FA0D37">
        <w:t xml:space="preserve"> {</w:t>
      </w:r>
    </w:p>
    <w:p w14:paraId="25D26F60" w14:textId="77777777" w:rsidR="00394471" w:rsidRPr="00FA0D37" w:rsidRDefault="00394471" w:rsidP="00FA0D37">
      <w:pPr>
        <w:pStyle w:val="PL"/>
        <w:rPr>
          <w:rFonts w:eastAsia="Yu Mincho"/>
        </w:rPr>
      </w:pPr>
      <w:r w:rsidRPr="00FA0D37">
        <w:t xml:space="preserve">    </w:t>
      </w:r>
      <w:r w:rsidRPr="00FA0D37">
        <w:rPr>
          <w:rFonts w:eastAsia="Yu Mincho"/>
        </w:rPr>
        <w:t>sl</w:t>
      </w:r>
      <w:r w:rsidRPr="00FA0D37">
        <w:t>-DestinationIdentity-r16             SL-DestinationIdentity</w:t>
      </w:r>
      <w:r w:rsidRPr="00FA0D37">
        <w:rPr>
          <w:rFonts w:eastAsia="Yu Mincho"/>
        </w:rPr>
        <w:t>-r16</w:t>
      </w:r>
      <w:r w:rsidRPr="00FA0D37">
        <w:t>,</w:t>
      </w:r>
    </w:p>
    <w:p w14:paraId="15077F28" w14:textId="77777777" w:rsidR="00394471" w:rsidRPr="00FA0D37" w:rsidRDefault="00394471" w:rsidP="00FA0D37">
      <w:pPr>
        <w:pStyle w:val="PL"/>
      </w:pPr>
      <w:r w:rsidRPr="00FA0D37">
        <w:t xml:space="preserve">    sl-CastType-r16                        </w:t>
      </w:r>
      <w:r w:rsidRPr="00FA0D37">
        <w:rPr>
          <w:color w:val="993366"/>
        </w:rPr>
        <w:t>ENUMERATED</w:t>
      </w:r>
      <w:r w:rsidRPr="00FA0D37">
        <w:t xml:space="preserve"> {broadcast, groupcast, unicast, spare1},</w:t>
      </w:r>
    </w:p>
    <w:p w14:paraId="5BA5EDBB" w14:textId="77777777" w:rsidR="00394471" w:rsidRPr="00FA0D37" w:rsidRDefault="00394471" w:rsidP="00FA0D37">
      <w:pPr>
        <w:pStyle w:val="PL"/>
        <w:rPr>
          <w:rFonts w:eastAsiaTheme="minorEastAsia"/>
        </w:rPr>
      </w:pPr>
      <w:r w:rsidRPr="00FA0D37">
        <w:t xml:space="preserve">    sl</w:t>
      </w:r>
      <w:r w:rsidRPr="00FA0D37">
        <w:rPr>
          <w:rFonts w:eastAsiaTheme="minorEastAsia"/>
        </w:rPr>
        <w:t>-RLC-ModeIndicationList-r16</w:t>
      </w:r>
      <w:r w:rsidRPr="00FA0D37">
        <w:t xml:space="preserve">          </w:t>
      </w:r>
      <w:r w:rsidRPr="00FA0D37">
        <w:rPr>
          <w:color w:val="993366"/>
        </w:rPr>
        <w:t>SEQUENCE</w:t>
      </w:r>
      <w:r w:rsidRPr="00FA0D37">
        <w:t xml:space="preserve"> (</w:t>
      </w:r>
      <w:r w:rsidRPr="00FA0D37">
        <w:rPr>
          <w:color w:val="993366"/>
        </w:rPr>
        <w:t>SIZE</w:t>
      </w:r>
      <w:r w:rsidRPr="00FA0D37">
        <w:t xml:space="preserve"> (1.. maxNrofSLRB-r16))</w:t>
      </w:r>
      <w:r w:rsidRPr="00FA0D37">
        <w:rPr>
          <w:color w:val="993366"/>
        </w:rPr>
        <w:t xml:space="preserve"> OF</w:t>
      </w:r>
      <w:r w:rsidRPr="00FA0D37">
        <w:rPr>
          <w:rFonts w:eastAsiaTheme="minorEastAsia"/>
        </w:rPr>
        <w:t xml:space="preserve"> SL-RLC-ModeIndication-r16</w:t>
      </w:r>
      <w:r w:rsidRPr="00FA0D37">
        <w:t xml:space="preserve">         </w:t>
      </w:r>
      <w:r w:rsidRPr="00FA0D37">
        <w:rPr>
          <w:color w:val="993366"/>
        </w:rPr>
        <w:t>OPTIONAL</w:t>
      </w:r>
      <w:r w:rsidRPr="00FA0D37">
        <w:t>,</w:t>
      </w:r>
    </w:p>
    <w:p w14:paraId="079E14BA" w14:textId="77777777" w:rsidR="00394471" w:rsidRPr="00FA0D37" w:rsidRDefault="00394471" w:rsidP="00FA0D37">
      <w:pPr>
        <w:pStyle w:val="PL"/>
      </w:pPr>
      <w:r w:rsidRPr="00FA0D37">
        <w:t xml:space="preserve">    sl-QoS-InfoList-r16                    </w:t>
      </w:r>
      <w:r w:rsidRPr="00FA0D37">
        <w:rPr>
          <w:color w:val="993366"/>
        </w:rPr>
        <w:t>SEQUENCE</w:t>
      </w:r>
      <w:r w:rsidRPr="00FA0D37">
        <w:t xml:space="preserve"> (</w:t>
      </w:r>
      <w:r w:rsidRPr="00FA0D37">
        <w:rPr>
          <w:color w:val="993366"/>
        </w:rPr>
        <w:t>SIZE</w:t>
      </w:r>
      <w:r w:rsidRPr="00FA0D37">
        <w:t xml:space="preserve"> (1..maxNrofSL-QFIsPerDest-r16))</w:t>
      </w:r>
      <w:r w:rsidRPr="00FA0D37">
        <w:rPr>
          <w:color w:val="993366"/>
        </w:rPr>
        <w:t xml:space="preserve"> OF</w:t>
      </w:r>
      <w:r w:rsidRPr="00FA0D37">
        <w:t xml:space="preserve"> SL-QoS-Info-r16          </w:t>
      </w:r>
      <w:r w:rsidRPr="00FA0D37">
        <w:rPr>
          <w:color w:val="993366"/>
        </w:rPr>
        <w:t>OPTIONAL</w:t>
      </w:r>
      <w:r w:rsidRPr="00FA0D37">
        <w:t>,</w:t>
      </w:r>
    </w:p>
    <w:p w14:paraId="568DC55D" w14:textId="77777777" w:rsidR="00394471" w:rsidRPr="00FA0D37" w:rsidRDefault="00394471" w:rsidP="00FA0D37">
      <w:pPr>
        <w:pStyle w:val="PL"/>
      </w:pPr>
      <w:r w:rsidRPr="00FA0D37">
        <w:t xml:space="preserve">    sl-TypeTxSyncList-r16                  </w:t>
      </w:r>
      <w:r w:rsidRPr="00FA0D37">
        <w:rPr>
          <w:color w:val="993366"/>
        </w:rPr>
        <w:t>SEQUENCE</w:t>
      </w:r>
      <w:r w:rsidRPr="00FA0D37">
        <w:t xml:space="preserve"> (</w:t>
      </w:r>
      <w:r w:rsidRPr="00FA0D37">
        <w:rPr>
          <w:color w:val="993366"/>
        </w:rPr>
        <w:t>SIZE</w:t>
      </w:r>
      <w:r w:rsidRPr="00FA0D37">
        <w:t xml:space="preserve"> (1..maxNrofFreqSL-r16))</w:t>
      </w:r>
      <w:r w:rsidRPr="00FA0D37">
        <w:rPr>
          <w:color w:val="993366"/>
        </w:rPr>
        <w:t xml:space="preserve"> OF</w:t>
      </w:r>
      <w:r w:rsidRPr="00FA0D37">
        <w:t xml:space="preserve"> SL-TypeTxSync-r16                </w:t>
      </w:r>
      <w:r w:rsidRPr="00FA0D37">
        <w:rPr>
          <w:color w:val="993366"/>
        </w:rPr>
        <w:t>OPTIONAL</w:t>
      </w:r>
      <w:r w:rsidRPr="00FA0D37">
        <w:t>,</w:t>
      </w:r>
    </w:p>
    <w:p w14:paraId="17D9578E" w14:textId="77777777" w:rsidR="00394471" w:rsidRPr="00FA0D37" w:rsidRDefault="00394471" w:rsidP="00FA0D37">
      <w:pPr>
        <w:pStyle w:val="PL"/>
      </w:pPr>
      <w:r w:rsidRPr="00FA0D37">
        <w:t xml:space="preserve">    sl-TxInterestedFreqList-r16            SL-TxInterestedFreqList-r16                                                </w:t>
      </w:r>
      <w:r w:rsidRPr="00FA0D37">
        <w:rPr>
          <w:color w:val="993366"/>
        </w:rPr>
        <w:t>OPTIONAL</w:t>
      </w:r>
      <w:r w:rsidRPr="00FA0D37">
        <w:t>,</w:t>
      </w:r>
    </w:p>
    <w:p w14:paraId="0800A31A" w14:textId="77777777" w:rsidR="00394471" w:rsidRPr="00FA0D37" w:rsidRDefault="00394471" w:rsidP="00FA0D37">
      <w:pPr>
        <w:pStyle w:val="PL"/>
      </w:pPr>
      <w:r w:rsidRPr="00FA0D37">
        <w:t xml:space="preserve">    sl-CapabilityInformationSidelink-r16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p>
    <w:p w14:paraId="1B7DDEFC" w14:textId="77777777" w:rsidR="00394471" w:rsidRPr="00FA0D37" w:rsidRDefault="00394471" w:rsidP="00FA0D37">
      <w:pPr>
        <w:pStyle w:val="PL"/>
        <w:rPr>
          <w:rFonts w:eastAsia="Yu Mincho"/>
        </w:rPr>
      </w:pPr>
      <w:r w:rsidRPr="00FA0D37">
        <w:rPr>
          <w:rFonts w:eastAsia="Yu Mincho"/>
        </w:rPr>
        <w:t>}</w:t>
      </w:r>
    </w:p>
    <w:p w14:paraId="44634CAF" w14:textId="77777777" w:rsidR="00C26E98" w:rsidRPr="00FA0D37" w:rsidRDefault="00C26E98" w:rsidP="00FA0D37">
      <w:pPr>
        <w:pStyle w:val="PL"/>
      </w:pPr>
    </w:p>
    <w:p w14:paraId="4954B48E" w14:textId="320B7A57" w:rsidR="00C26E98" w:rsidRPr="00FA0D37" w:rsidRDefault="00C26E98" w:rsidP="00FA0D37">
      <w:pPr>
        <w:pStyle w:val="PL"/>
      </w:pPr>
      <w:r w:rsidRPr="00FA0D37">
        <w:t xml:space="preserve">SL-TxResourceReqList-v1700 ::=         </w:t>
      </w:r>
      <w:r w:rsidRPr="00FA0D37">
        <w:rPr>
          <w:color w:val="993366"/>
        </w:rPr>
        <w:t>SEQUENCE</w:t>
      </w:r>
      <w:r w:rsidRPr="00FA0D37">
        <w:t xml:space="preserve"> (</w:t>
      </w:r>
      <w:r w:rsidRPr="00FA0D37">
        <w:rPr>
          <w:color w:val="993366"/>
        </w:rPr>
        <w:t>SIZE</w:t>
      </w:r>
      <w:r w:rsidRPr="00FA0D37">
        <w:t xml:space="preserve"> (1..maxNrofSL-Dest-r16))</w:t>
      </w:r>
      <w:r w:rsidRPr="00FA0D37">
        <w:rPr>
          <w:color w:val="993366"/>
        </w:rPr>
        <w:t xml:space="preserve"> OF</w:t>
      </w:r>
      <w:r w:rsidRPr="00FA0D37">
        <w:t xml:space="preserve"> SL-TxResourceReq-v1700</w:t>
      </w:r>
    </w:p>
    <w:p w14:paraId="519F7DC8" w14:textId="77777777" w:rsidR="00C26E98" w:rsidRPr="00FA0D37" w:rsidRDefault="00C26E98" w:rsidP="00FA0D37">
      <w:pPr>
        <w:pStyle w:val="PL"/>
      </w:pPr>
    </w:p>
    <w:p w14:paraId="6EA94575" w14:textId="39346D64" w:rsidR="00C26E98" w:rsidRPr="00FA0D37" w:rsidRDefault="00C26E98" w:rsidP="00FA0D37">
      <w:pPr>
        <w:pStyle w:val="PL"/>
      </w:pPr>
      <w:r w:rsidRPr="00FA0D37">
        <w:t xml:space="preserve">SL-RxDRX-ReportList-v1700 ::=          </w:t>
      </w:r>
      <w:r w:rsidRPr="00FA0D37">
        <w:rPr>
          <w:color w:val="993366"/>
        </w:rPr>
        <w:t>SEQUENCE</w:t>
      </w:r>
      <w:r w:rsidRPr="00FA0D37">
        <w:t xml:space="preserve"> (</w:t>
      </w:r>
      <w:r w:rsidRPr="00FA0D37">
        <w:rPr>
          <w:color w:val="993366"/>
        </w:rPr>
        <w:t>SIZE</w:t>
      </w:r>
      <w:r w:rsidRPr="00FA0D37">
        <w:t xml:space="preserve"> (1..maxNrofSL-Dest-r16))</w:t>
      </w:r>
      <w:r w:rsidRPr="00FA0D37">
        <w:rPr>
          <w:color w:val="993366"/>
        </w:rPr>
        <w:t xml:space="preserve"> OF</w:t>
      </w:r>
      <w:r w:rsidRPr="00FA0D37">
        <w:t xml:space="preserve"> SL-RxDRX-Report-v1700</w:t>
      </w:r>
    </w:p>
    <w:p w14:paraId="6EDA979B" w14:textId="77777777" w:rsidR="00C26E98" w:rsidRPr="00FA0D37" w:rsidRDefault="00C26E98" w:rsidP="00FA0D37">
      <w:pPr>
        <w:pStyle w:val="PL"/>
      </w:pPr>
    </w:p>
    <w:p w14:paraId="52F70A1F" w14:textId="69704702" w:rsidR="00C26E98" w:rsidRPr="00FA0D37" w:rsidRDefault="00C26E98" w:rsidP="00FA0D37">
      <w:pPr>
        <w:pStyle w:val="PL"/>
      </w:pPr>
      <w:r w:rsidRPr="00FA0D37">
        <w:t xml:space="preserve">SL-TxResourceReq-v1700 ::=             </w:t>
      </w:r>
      <w:r w:rsidRPr="00FA0D37">
        <w:rPr>
          <w:color w:val="993366"/>
        </w:rPr>
        <w:t>SEQUENCE</w:t>
      </w:r>
      <w:r w:rsidRPr="00FA0D37">
        <w:t xml:space="preserve"> {</w:t>
      </w:r>
    </w:p>
    <w:p w14:paraId="3FF89A79" w14:textId="482AC41C" w:rsidR="00A159D0" w:rsidRPr="00FA0D37" w:rsidRDefault="00C26E98" w:rsidP="00FA0D37">
      <w:pPr>
        <w:pStyle w:val="PL"/>
      </w:pPr>
      <w:r w:rsidRPr="00FA0D37">
        <w:t xml:space="preserve">    sl-DRX-InfoFromRxList-r17             </w:t>
      </w:r>
      <w:r w:rsidR="00A159D0" w:rsidRPr="00FA0D37">
        <w:t xml:space="preserve"> </w:t>
      </w:r>
      <w:r w:rsidRPr="00FA0D37">
        <w:rPr>
          <w:color w:val="993366"/>
        </w:rPr>
        <w:t>SEQUENCE</w:t>
      </w:r>
      <w:r w:rsidRPr="00FA0D37">
        <w:t xml:space="preserve"> (</w:t>
      </w:r>
      <w:r w:rsidRPr="00FA0D37">
        <w:rPr>
          <w:color w:val="993366"/>
        </w:rPr>
        <w:t>SIZE</w:t>
      </w:r>
      <w:r w:rsidRPr="00FA0D37">
        <w:t xml:space="preserve"> (1..maxNrofSL-RxInfoSet-r17))</w:t>
      </w:r>
      <w:r w:rsidRPr="00FA0D37">
        <w:rPr>
          <w:color w:val="993366"/>
        </w:rPr>
        <w:t xml:space="preserve"> OF</w:t>
      </w:r>
      <w:r w:rsidRPr="00FA0D37">
        <w:t xml:space="preserve"> SL-DRX-ConfigUC-SemiStatic-r17   </w:t>
      </w:r>
      <w:r w:rsidRPr="00FA0D37">
        <w:rPr>
          <w:color w:val="993366"/>
        </w:rPr>
        <w:t>OPTIONAL</w:t>
      </w:r>
      <w:r w:rsidR="00A159D0" w:rsidRPr="00FA0D37">
        <w:t>,</w:t>
      </w:r>
    </w:p>
    <w:p w14:paraId="6A4C27FE" w14:textId="35B033B1" w:rsidR="00C26E98" w:rsidRPr="00FA0D37" w:rsidRDefault="00A159D0" w:rsidP="00FA0D37">
      <w:pPr>
        <w:pStyle w:val="PL"/>
      </w:pPr>
      <w:r w:rsidRPr="00FA0D37">
        <w:t xml:space="preserve">    sl-DRX-Indication-r17                  </w:t>
      </w:r>
      <w:r w:rsidRPr="00FA0D37">
        <w:rPr>
          <w:color w:val="993366"/>
        </w:rPr>
        <w:t>ENUMERATED</w:t>
      </w:r>
      <w:r w:rsidRPr="00FA0D37">
        <w:t xml:space="preserve"> {on, off}                                                             </w:t>
      </w:r>
      <w:r w:rsidRPr="00FA0D37">
        <w:rPr>
          <w:color w:val="993366"/>
        </w:rPr>
        <w:t>OPTIONAL</w:t>
      </w:r>
      <w:r w:rsidRPr="00FA0D37">
        <w:t>,</w:t>
      </w:r>
    </w:p>
    <w:p w14:paraId="0BA81152" w14:textId="77777777" w:rsidR="00A159D0" w:rsidRPr="00FA0D37" w:rsidRDefault="00A159D0" w:rsidP="00FA0D37">
      <w:pPr>
        <w:pStyle w:val="PL"/>
      </w:pPr>
      <w:r w:rsidRPr="00FA0D37">
        <w:t xml:space="preserve">    </w:t>
      </w:r>
      <w:r w:rsidRPr="00FA0D37">
        <w:rPr>
          <w:rFonts w:eastAsia="Yu Mincho"/>
        </w:rPr>
        <w:t>...</w:t>
      </w:r>
    </w:p>
    <w:p w14:paraId="55BECA3A" w14:textId="77777777" w:rsidR="00C26E98" w:rsidRPr="00FA0D37" w:rsidRDefault="00C26E98" w:rsidP="00FA0D37">
      <w:pPr>
        <w:pStyle w:val="PL"/>
      </w:pPr>
      <w:r w:rsidRPr="00FA0D37">
        <w:t>}</w:t>
      </w:r>
    </w:p>
    <w:p w14:paraId="136103C4" w14:textId="77777777" w:rsidR="00C26E98" w:rsidRPr="00FA0D37" w:rsidRDefault="00C26E98" w:rsidP="00FA0D37">
      <w:pPr>
        <w:pStyle w:val="PL"/>
      </w:pPr>
    </w:p>
    <w:p w14:paraId="0BDA30E0" w14:textId="0E31E1AF" w:rsidR="00C26E98" w:rsidRPr="00FA0D37" w:rsidRDefault="00C26E98" w:rsidP="00FA0D37">
      <w:pPr>
        <w:pStyle w:val="PL"/>
      </w:pPr>
      <w:r w:rsidRPr="00FA0D37">
        <w:t xml:space="preserve">SL-RxDRX-Report-v1700 ::=              </w:t>
      </w:r>
      <w:r w:rsidRPr="00FA0D37">
        <w:rPr>
          <w:color w:val="993366"/>
        </w:rPr>
        <w:t>SEQUENCE</w:t>
      </w:r>
      <w:r w:rsidRPr="00FA0D37">
        <w:t xml:space="preserve"> {</w:t>
      </w:r>
    </w:p>
    <w:p w14:paraId="4C91BD78" w14:textId="7151391F" w:rsidR="00C26E98" w:rsidRPr="00FA0D37" w:rsidRDefault="00C26E98" w:rsidP="00FA0D37">
      <w:pPr>
        <w:pStyle w:val="PL"/>
      </w:pPr>
      <w:r w:rsidRPr="00FA0D37">
        <w:t xml:space="preserve">    sl-DRX-ConfigFromTx-r17                SL-DRX-ConfigUC-SemiStatic-r17,</w:t>
      </w:r>
    </w:p>
    <w:p w14:paraId="358D6A1C" w14:textId="2BF8556A" w:rsidR="00C26E98" w:rsidRPr="00FA0D37" w:rsidRDefault="00A159D0" w:rsidP="00FA0D37">
      <w:pPr>
        <w:pStyle w:val="PL"/>
      </w:pPr>
      <w:r w:rsidRPr="00FA0D37">
        <w:t xml:space="preserve">    </w:t>
      </w:r>
      <w:r w:rsidRPr="00FA0D37">
        <w:rPr>
          <w:rFonts w:eastAsia="Yu Mincho"/>
        </w:rPr>
        <w:t>...</w:t>
      </w:r>
      <w:r w:rsidR="00C26E98" w:rsidRPr="00FA0D37">
        <w:t>}</w:t>
      </w:r>
    </w:p>
    <w:p w14:paraId="56B42263" w14:textId="21217227" w:rsidR="00360CB9" w:rsidRPr="00FA0D37" w:rsidRDefault="00360CB9" w:rsidP="00FA0D37">
      <w:pPr>
        <w:pStyle w:val="PL"/>
        <w:rPr>
          <w:rFonts w:eastAsia="Yu Mincho"/>
        </w:rPr>
      </w:pPr>
    </w:p>
    <w:p w14:paraId="08D9039E" w14:textId="1344D01F" w:rsidR="00A159D0" w:rsidRPr="00FA0D37" w:rsidRDefault="00A159D0" w:rsidP="00FA0D37">
      <w:pPr>
        <w:pStyle w:val="PL"/>
        <w:rPr>
          <w:rFonts w:eastAsia="Yu Mincho"/>
        </w:rPr>
      </w:pPr>
      <w:r w:rsidRPr="00FA0D37">
        <w:rPr>
          <w:rFonts w:eastAsia="Yu Mincho"/>
        </w:rPr>
        <w:t>SL-RxInterestedGC-BC-DestList-r17 ::=</w:t>
      </w:r>
      <w:r w:rsidRPr="00FA0D37">
        <w:t xml:space="preserve">  </w:t>
      </w:r>
      <w:r w:rsidRPr="00FA0D37">
        <w:rPr>
          <w:rFonts w:eastAsia="Yu Mincho"/>
          <w:color w:val="993366"/>
        </w:rPr>
        <w:t>SEQUENCE</w:t>
      </w:r>
      <w:r w:rsidRPr="00FA0D37">
        <w:rPr>
          <w:rFonts w:eastAsia="Yu Mincho"/>
        </w:rPr>
        <w:t xml:space="preserve"> (</w:t>
      </w:r>
      <w:r w:rsidRPr="00FA0D37">
        <w:rPr>
          <w:rFonts w:eastAsia="Yu Mincho"/>
          <w:color w:val="993366"/>
        </w:rPr>
        <w:t>SIZE</w:t>
      </w:r>
      <w:r w:rsidRPr="00FA0D37">
        <w:rPr>
          <w:rFonts w:eastAsia="Yu Mincho"/>
        </w:rPr>
        <w:t xml:space="preserve"> (1..maxNrofSL-Dest-r16))</w:t>
      </w:r>
      <w:r w:rsidRPr="00FA0D37">
        <w:rPr>
          <w:rFonts w:eastAsia="Yu Mincho"/>
          <w:color w:val="993366"/>
        </w:rPr>
        <w:t xml:space="preserve"> OF</w:t>
      </w:r>
      <w:r w:rsidRPr="00FA0D37">
        <w:rPr>
          <w:rFonts w:eastAsia="Yu Mincho"/>
        </w:rPr>
        <w:t xml:space="preserve"> SL-RxInterestedGC-BC-Dest-r17</w:t>
      </w:r>
    </w:p>
    <w:p w14:paraId="086C75A1" w14:textId="77777777" w:rsidR="00A159D0" w:rsidRPr="00FA0D37" w:rsidRDefault="00A159D0" w:rsidP="00FA0D37">
      <w:pPr>
        <w:pStyle w:val="PL"/>
        <w:rPr>
          <w:rFonts w:eastAsia="Yu Mincho"/>
        </w:rPr>
      </w:pPr>
    </w:p>
    <w:p w14:paraId="43E961ED" w14:textId="2592C480" w:rsidR="00A159D0" w:rsidRPr="00FA0D37" w:rsidRDefault="00A159D0" w:rsidP="00FA0D37">
      <w:pPr>
        <w:pStyle w:val="PL"/>
        <w:rPr>
          <w:rFonts w:eastAsia="Yu Mincho"/>
        </w:rPr>
      </w:pPr>
      <w:r w:rsidRPr="00FA0D37">
        <w:rPr>
          <w:rFonts w:eastAsia="Yu Mincho"/>
        </w:rPr>
        <w:t>SL-RxInterestedGC-BC-Dest-r17 ::=</w:t>
      </w:r>
      <w:r w:rsidRPr="00FA0D37">
        <w:t xml:space="preserve">      </w:t>
      </w:r>
      <w:r w:rsidRPr="00FA0D37">
        <w:rPr>
          <w:rFonts w:eastAsia="Yu Mincho"/>
          <w:color w:val="993366"/>
        </w:rPr>
        <w:t>SEQUENCE</w:t>
      </w:r>
      <w:r w:rsidRPr="00FA0D37">
        <w:rPr>
          <w:rFonts w:eastAsia="Yu Mincho"/>
        </w:rPr>
        <w:t xml:space="preserve"> {</w:t>
      </w:r>
    </w:p>
    <w:p w14:paraId="6B5EA307" w14:textId="5CE1A44D" w:rsidR="00A159D0" w:rsidRPr="00FA0D37" w:rsidRDefault="00A159D0" w:rsidP="00FA0D37">
      <w:pPr>
        <w:pStyle w:val="PL"/>
        <w:rPr>
          <w:rFonts w:eastAsia="Yu Mincho"/>
        </w:rPr>
      </w:pPr>
      <w:r w:rsidRPr="00FA0D37">
        <w:t xml:space="preserve">    </w:t>
      </w:r>
      <w:r w:rsidRPr="00FA0D37">
        <w:rPr>
          <w:rFonts w:eastAsia="Yu Mincho"/>
        </w:rPr>
        <w:t>sl-RxInterestedQoS-InfoList-r17</w:t>
      </w:r>
      <w:r w:rsidRPr="00FA0D37">
        <w:t xml:space="preserve">        </w:t>
      </w:r>
      <w:r w:rsidRPr="00FA0D37">
        <w:rPr>
          <w:rFonts w:eastAsia="Yu Mincho"/>
          <w:color w:val="993366"/>
        </w:rPr>
        <w:t>SEQUENCE</w:t>
      </w:r>
      <w:r w:rsidRPr="00FA0D37">
        <w:rPr>
          <w:rFonts w:eastAsia="Yu Mincho"/>
        </w:rPr>
        <w:t xml:space="preserve"> (</w:t>
      </w:r>
      <w:r w:rsidRPr="00FA0D37">
        <w:rPr>
          <w:rFonts w:eastAsia="Yu Mincho"/>
          <w:color w:val="993366"/>
        </w:rPr>
        <w:t>SIZE</w:t>
      </w:r>
      <w:r w:rsidRPr="00FA0D37">
        <w:rPr>
          <w:rFonts w:eastAsia="Yu Mincho"/>
        </w:rPr>
        <w:t xml:space="preserve"> (1..maxNrofSL-QFIsPerDest-r16))</w:t>
      </w:r>
      <w:r w:rsidRPr="00FA0D37">
        <w:rPr>
          <w:rFonts w:eastAsia="Yu Mincho"/>
          <w:color w:val="993366"/>
        </w:rPr>
        <w:t xml:space="preserve"> OF</w:t>
      </w:r>
      <w:r w:rsidRPr="00FA0D37">
        <w:rPr>
          <w:rFonts w:eastAsia="Yu Mincho"/>
        </w:rPr>
        <w:t xml:space="preserve"> SL-QoS-Info-r16,</w:t>
      </w:r>
    </w:p>
    <w:p w14:paraId="28A12CE5" w14:textId="5768F4E3" w:rsidR="00A159D0" w:rsidRPr="00FA0D37" w:rsidRDefault="00A159D0" w:rsidP="00FA0D37">
      <w:pPr>
        <w:pStyle w:val="PL"/>
        <w:rPr>
          <w:rFonts w:eastAsia="Yu Mincho"/>
        </w:rPr>
      </w:pPr>
      <w:r w:rsidRPr="00FA0D37">
        <w:t xml:space="preserve">    </w:t>
      </w:r>
      <w:r w:rsidRPr="00FA0D37">
        <w:rPr>
          <w:rFonts w:eastAsia="Yu Mincho"/>
        </w:rPr>
        <w:t>sl-DestinationIdentity-r16</w:t>
      </w:r>
      <w:r w:rsidRPr="00FA0D37">
        <w:t xml:space="preserve">             </w:t>
      </w:r>
      <w:r w:rsidRPr="00FA0D37">
        <w:rPr>
          <w:rFonts w:eastAsia="Yu Mincho"/>
        </w:rPr>
        <w:t>SL-DestinationIdentity-r16</w:t>
      </w:r>
    </w:p>
    <w:p w14:paraId="4A440FA7" w14:textId="77777777" w:rsidR="00A159D0" w:rsidRPr="00FA0D37" w:rsidRDefault="00A159D0" w:rsidP="00FA0D37">
      <w:pPr>
        <w:pStyle w:val="PL"/>
        <w:rPr>
          <w:rFonts w:eastAsia="Yu Mincho"/>
        </w:rPr>
      </w:pPr>
      <w:r w:rsidRPr="00FA0D37">
        <w:rPr>
          <w:rFonts w:eastAsia="Yu Mincho"/>
        </w:rPr>
        <w:t>}</w:t>
      </w:r>
    </w:p>
    <w:p w14:paraId="1B250D8C" w14:textId="77777777" w:rsidR="00A159D0" w:rsidRPr="00FA0D37" w:rsidRDefault="00A159D0" w:rsidP="00FA0D37">
      <w:pPr>
        <w:pStyle w:val="PL"/>
        <w:rPr>
          <w:rFonts w:eastAsia="Yu Mincho"/>
        </w:rPr>
      </w:pPr>
    </w:p>
    <w:p w14:paraId="0C781C67" w14:textId="53B14E0C" w:rsidR="00360CB9" w:rsidRPr="00FA0D37" w:rsidRDefault="00360CB9" w:rsidP="00FA0D37">
      <w:pPr>
        <w:pStyle w:val="PL"/>
        <w:rPr>
          <w:rFonts w:eastAsia="Yu Mincho"/>
        </w:rPr>
      </w:pPr>
      <w:r w:rsidRPr="00FA0D37">
        <w:rPr>
          <w:rFonts w:eastAsia="Yu Mincho"/>
        </w:rPr>
        <w:t>SL-TxResourceReqListDisc-r17 ::=</w:t>
      </w:r>
      <w:r w:rsidRPr="00FA0D37">
        <w:t xml:space="preserve">       </w:t>
      </w:r>
      <w:r w:rsidRPr="00FA0D37">
        <w:rPr>
          <w:rFonts w:eastAsia="Yu Mincho"/>
          <w:color w:val="993366"/>
        </w:rPr>
        <w:t>SEQUENCE</w:t>
      </w:r>
      <w:r w:rsidRPr="00FA0D37">
        <w:rPr>
          <w:rFonts w:eastAsia="Yu Mincho"/>
        </w:rPr>
        <w:t xml:space="preserve"> (</w:t>
      </w:r>
      <w:r w:rsidRPr="00FA0D37">
        <w:rPr>
          <w:rFonts w:eastAsia="Yu Mincho"/>
          <w:color w:val="993366"/>
        </w:rPr>
        <w:t>SIZE</w:t>
      </w:r>
      <w:r w:rsidRPr="00FA0D37">
        <w:rPr>
          <w:rFonts w:eastAsia="Yu Mincho"/>
        </w:rPr>
        <w:t xml:space="preserve"> (1..maxNrofSL-Dest-r16))</w:t>
      </w:r>
      <w:r w:rsidRPr="00FA0D37">
        <w:rPr>
          <w:rFonts w:eastAsia="Yu Mincho"/>
          <w:color w:val="993366"/>
        </w:rPr>
        <w:t xml:space="preserve"> OF</w:t>
      </w:r>
      <w:r w:rsidRPr="00FA0D37">
        <w:rPr>
          <w:rFonts w:eastAsia="Yu Mincho"/>
        </w:rPr>
        <w:t xml:space="preserve"> SL-TxResourceReqDisc-r17</w:t>
      </w:r>
    </w:p>
    <w:p w14:paraId="76E65FE6" w14:textId="77777777" w:rsidR="00360CB9" w:rsidRPr="00FA0D37" w:rsidRDefault="00360CB9" w:rsidP="00FA0D37">
      <w:pPr>
        <w:pStyle w:val="PL"/>
        <w:rPr>
          <w:rFonts w:eastAsia="Yu Mincho"/>
        </w:rPr>
      </w:pPr>
    </w:p>
    <w:p w14:paraId="7EF9FB81" w14:textId="6BB35272" w:rsidR="00360CB9" w:rsidRPr="00FA0D37" w:rsidRDefault="00360CB9" w:rsidP="00FA0D37">
      <w:pPr>
        <w:pStyle w:val="PL"/>
        <w:rPr>
          <w:rFonts w:eastAsia="Yu Mincho"/>
        </w:rPr>
      </w:pPr>
      <w:r w:rsidRPr="00FA0D37">
        <w:rPr>
          <w:rFonts w:eastAsia="Yu Mincho"/>
        </w:rPr>
        <w:t>SL-TxResourceReqDisc-r17 ::=</w:t>
      </w:r>
      <w:r w:rsidRPr="00FA0D37">
        <w:t xml:space="preserve">           </w:t>
      </w:r>
      <w:r w:rsidRPr="00FA0D37">
        <w:rPr>
          <w:rFonts w:eastAsia="Yu Mincho"/>
          <w:color w:val="993366"/>
        </w:rPr>
        <w:t>SEQUENCE</w:t>
      </w:r>
      <w:r w:rsidRPr="00FA0D37">
        <w:rPr>
          <w:rFonts w:eastAsia="Yu Mincho"/>
        </w:rPr>
        <w:t xml:space="preserve"> {</w:t>
      </w:r>
    </w:p>
    <w:p w14:paraId="573274EE" w14:textId="46D8E48C" w:rsidR="00360CB9" w:rsidRPr="00FA0D37" w:rsidRDefault="00360CB9" w:rsidP="00FA0D37">
      <w:pPr>
        <w:pStyle w:val="PL"/>
        <w:rPr>
          <w:rFonts w:eastAsia="Yu Mincho"/>
        </w:rPr>
      </w:pPr>
      <w:r w:rsidRPr="00FA0D37">
        <w:t xml:space="preserve">    </w:t>
      </w:r>
      <w:r w:rsidRPr="00FA0D37">
        <w:rPr>
          <w:rFonts w:eastAsia="Yu Mincho"/>
        </w:rPr>
        <w:t>sl-DestinationIdentityDisc-r17</w:t>
      </w:r>
      <w:r w:rsidRPr="00FA0D37">
        <w:t xml:space="preserve">         </w:t>
      </w:r>
      <w:r w:rsidRPr="00FA0D37">
        <w:rPr>
          <w:rFonts w:eastAsia="Yu Mincho"/>
        </w:rPr>
        <w:t>SL-DestinationIdentity-r16,</w:t>
      </w:r>
    </w:p>
    <w:p w14:paraId="45BCAC0C" w14:textId="70F19866" w:rsidR="00360CB9" w:rsidRPr="00FA0D37" w:rsidRDefault="00360CB9" w:rsidP="00FA0D37">
      <w:pPr>
        <w:pStyle w:val="PL"/>
        <w:rPr>
          <w:rFonts w:eastAsia="Yu Mincho"/>
        </w:rPr>
      </w:pPr>
      <w:r w:rsidRPr="00FA0D37">
        <w:t xml:space="preserve">    </w:t>
      </w:r>
      <w:r w:rsidRPr="00FA0D37">
        <w:rPr>
          <w:rFonts w:eastAsia="Yu Mincho"/>
        </w:rPr>
        <w:t>sl-SourceIdentityRelayUE-r17</w:t>
      </w:r>
      <w:r w:rsidRPr="00FA0D37">
        <w:t xml:space="preserve">          </w:t>
      </w:r>
      <w:r w:rsidR="00CC30D0" w:rsidRPr="00FA0D37">
        <w:t xml:space="preserve"> </w:t>
      </w:r>
      <w:r w:rsidRPr="00FA0D37">
        <w:rPr>
          <w:rFonts w:eastAsia="Yu Mincho"/>
        </w:rPr>
        <w:t>SL-SourceIdentity-r17</w:t>
      </w:r>
      <w:r w:rsidRPr="00FA0D37">
        <w:t xml:space="preserve">                                                      </w:t>
      </w:r>
      <w:r w:rsidRPr="00FA0D37">
        <w:rPr>
          <w:rFonts w:eastAsia="Yu Mincho"/>
          <w:color w:val="993366"/>
        </w:rPr>
        <w:t>OPTIONAL</w:t>
      </w:r>
      <w:r w:rsidRPr="00FA0D37">
        <w:rPr>
          <w:rFonts w:eastAsia="Yu Mincho"/>
        </w:rPr>
        <w:t>,</w:t>
      </w:r>
    </w:p>
    <w:p w14:paraId="72211D2D" w14:textId="17F11FA2" w:rsidR="00360CB9" w:rsidRPr="00FA0D37" w:rsidRDefault="00360CB9" w:rsidP="00FA0D37">
      <w:pPr>
        <w:pStyle w:val="PL"/>
        <w:rPr>
          <w:rFonts w:eastAsia="Yu Mincho"/>
        </w:rPr>
      </w:pPr>
      <w:r w:rsidRPr="00FA0D37">
        <w:t xml:space="preserve">    </w:t>
      </w:r>
      <w:r w:rsidRPr="00FA0D37">
        <w:rPr>
          <w:rFonts w:eastAsia="Yu Mincho"/>
        </w:rPr>
        <w:t>sl-CastTypeDisc-r17</w:t>
      </w:r>
      <w:r w:rsidRPr="00FA0D37">
        <w:t xml:space="preserve">                    </w:t>
      </w:r>
      <w:r w:rsidRPr="00FA0D37">
        <w:rPr>
          <w:rFonts w:eastAsia="Yu Mincho"/>
          <w:color w:val="993366"/>
        </w:rPr>
        <w:t>ENUMERATED</w:t>
      </w:r>
      <w:r w:rsidRPr="00FA0D37">
        <w:rPr>
          <w:rFonts w:eastAsia="Yu Mincho"/>
        </w:rPr>
        <w:t xml:space="preserve"> {broadcast, groupcast, unicast, spare1},</w:t>
      </w:r>
    </w:p>
    <w:p w14:paraId="7B6938DC" w14:textId="5757A2CE" w:rsidR="00360CB9" w:rsidRPr="00FA0D37" w:rsidRDefault="00360CB9" w:rsidP="00FA0D37">
      <w:pPr>
        <w:pStyle w:val="PL"/>
        <w:rPr>
          <w:rFonts w:eastAsia="Yu Mincho"/>
        </w:rPr>
      </w:pPr>
      <w:r w:rsidRPr="00FA0D37">
        <w:t xml:space="preserve">    </w:t>
      </w:r>
      <w:r w:rsidRPr="00FA0D37">
        <w:rPr>
          <w:rFonts w:eastAsia="Yu Mincho"/>
        </w:rPr>
        <w:t>sl-TxInterestedFreqListDisc-r17</w:t>
      </w:r>
      <w:r w:rsidRPr="00FA0D37">
        <w:t xml:space="preserve">        </w:t>
      </w:r>
      <w:r w:rsidRPr="00FA0D37">
        <w:rPr>
          <w:rFonts w:eastAsia="Yu Mincho"/>
        </w:rPr>
        <w:t>SL-TxInterestedFreqList-r16,</w:t>
      </w:r>
    </w:p>
    <w:p w14:paraId="0EB75752" w14:textId="7F707989" w:rsidR="00360CB9" w:rsidRPr="00FA0D37" w:rsidRDefault="00360CB9" w:rsidP="00FA0D37">
      <w:pPr>
        <w:pStyle w:val="PL"/>
        <w:rPr>
          <w:rFonts w:eastAsia="Yu Mincho"/>
        </w:rPr>
      </w:pPr>
      <w:r w:rsidRPr="00FA0D37">
        <w:lastRenderedPageBreak/>
        <w:t xml:space="preserve">    </w:t>
      </w:r>
      <w:r w:rsidRPr="00FA0D37">
        <w:rPr>
          <w:rFonts w:eastAsia="Yu Mincho"/>
        </w:rPr>
        <w:t>sl-TypeTxSyncListDis</w:t>
      </w:r>
      <w:r w:rsidR="00CC30D0" w:rsidRPr="00FA0D37">
        <w:rPr>
          <w:rFonts w:eastAsia="Yu Mincho"/>
        </w:rPr>
        <w:t>c</w:t>
      </w:r>
      <w:r w:rsidRPr="00FA0D37">
        <w:rPr>
          <w:rFonts w:eastAsia="Yu Mincho"/>
        </w:rPr>
        <w:t>-r17</w:t>
      </w:r>
      <w:r w:rsidRPr="00FA0D37">
        <w:t xml:space="preserve">              </w:t>
      </w:r>
      <w:r w:rsidRPr="00FA0D37">
        <w:rPr>
          <w:rFonts w:eastAsia="Yu Mincho"/>
          <w:color w:val="993366"/>
        </w:rPr>
        <w:t>SEQUENCE</w:t>
      </w:r>
      <w:r w:rsidRPr="00FA0D37">
        <w:rPr>
          <w:rFonts w:eastAsia="Yu Mincho"/>
        </w:rPr>
        <w:t xml:space="preserve"> (</w:t>
      </w:r>
      <w:r w:rsidRPr="00FA0D37">
        <w:rPr>
          <w:rFonts w:eastAsia="Yu Mincho"/>
          <w:color w:val="993366"/>
        </w:rPr>
        <w:t>SIZE</w:t>
      </w:r>
      <w:r w:rsidRPr="00FA0D37">
        <w:rPr>
          <w:rFonts w:eastAsia="Yu Mincho"/>
        </w:rPr>
        <w:t xml:space="preserve"> (1..maxNrofFreqSL-r16))</w:t>
      </w:r>
      <w:r w:rsidRPr="00FA0D37">
        <w:rPr>
          <w:rFonts w:eastAsia="Yu Mincho"/>
          <w:color w:val="993366"/>
        </w:rPr>
        <w:t xml:space="preserve"> OF</w:t>
      </w:r>
      <w:r w:rsidRPr="00FA0D37">
        <w:rPr>
          <w:rFonts w:eastAsia="Yu Mincho"/>
        </w:rPr>
        <w:t xml:space="preserve"> SL-TypeTxSync-r16,</w:t>
      </w:r>
    </w:p>
    <w:p w14:paraId="2A9DA0F5" w14:textId="52C99B75" w:rsidR="00360CB9" w:rsidRPr="00FA0D37" w:rsidRDefault="00360CB9" w:rsidP="00FA0D37">
      <w:pPr>
        <w:pStyle w:val="PL"/>
        <w:rPr>
          <w:rFonts w:eastAsia="Yu Mincho"/>
        </w:rPr>
      </w:pPr>
      <w:r w:rsidRPr="00FA0D37">
        <w:t xml:space="preserve">    </w:t>
      </w:r>
      <w:r w:rsidRPr="00FA0D37">
        <w:rPr>
          <w:rFonts w:eastAsia="Yu Mincho"/>
        </w:rPr>
        <w:t>sl-DiscoveryType-r17</w:t>
      </w:r>
      <w:r w:rsidRPr="00FA0D37">
        <w:t xml:space="preserve">                   </w:t>
      </w:r>
      <w:r w:rsidRPr="00FA0D37">
        <w:rPr>
          <w:rFonts w:eastAsia="Yu Mincho"/>
          <w:color w:val="993366"/>
        </w:rPr>
        <w:t>ENUMERATED</w:t>
      </w:r>
      <w:r w:rsidRPr="00FA0D37">
        <w:rPr>
          <w:rFonts w:eastAsia="Yu Mincho"/>
        </w:rPr>
        <w:t xml:space="preserve"> {relay, non-Relay},</w:t>
      </w:r>
    </w:p>
    <w:p w14:paraId="7C34AB5F" w14:textId="1295D54D" w:rsidR="00360CB9" w:rsidRPr="00FA0D37" w:rsidRDefault="00360CB9" w:rsidP="00FA0D37">
      <w:pPr>
        <w:pStyle w:val="PL"/>
        <w:rPr>
          <w:rFonts w:eastAsia="Yu Mincho"/>
        </w:rPr>
      </w:pPr>
      <w:r w:rsidRPr="00FA0D37">
        <w:t xml:space="preserve">    </w:t>
      </w:r>
      <w:r w:rsidRPr="00FA0D37">
        <w:rPr>
          <w:rFonts w:eastAsia="Yu Mincho"/>
        </w:rPr>
        <w:t>...</w:t>
      </w:r>
    </w:p>
    <w:p w14:paraId="0B9F4996" w14:textId="77777777" w:rsidR="00360CB9" w:rsidRPr="00FA0D37" w:rsidRDefault="00360CB9" w:rsidP="00FA0D37">
      <w:pPr>
        <w:pStyle w:val="PL"/>
        <w:rPr>
          <w:rFonts w:eastAsia="Yu Mincho"/>
        </w:rPr>
      </w:pPr>
      <w:r w:rsidRPr="00FA0D37">
        <w:rPr>
          <w:rFonts w:eastAsia="Yu Mincho"/>
        </w:rPr>
        <w:t>}</w:t>
      </w:r>
    </w:p>
    <w:p w14:paraId="78D6AC85" w14:textId="77777777" w:rsidR="00360CB9" w:rsidRPr="00FA0D37" w:rsidRDefault="00360CB9" w:rsidP="00FA0D37">
      <w:pPr>
        <w:pStyle w:val="PL"/>
        <w:rPr>
          <w:rFonts w:eastAsia="Yu Mincho"/>
        </w:rPr>
      </w:pPr>
    </w:p>
    <w:p w14:paraId="5EA570E3" w14:textId="18F37FF9" w:rsidR="00360CB9" w:rsidRPr="00FA0D37" w:rsidRDefault="00360CB9" w:rsidP="00FA0D37">
      <w:pPr>
        <w:pStyle w:val="PL"/>
        <w:rPr>
          <w:rFonts w:eastAsia="Yu Mincho"/>
        </w:rPr>
      </w:pPr>
      <w:r w:rsidRPr="00FA0D37">
        <w:rPr>
          <w:rFonts w:eastAsia="Yu Mincho"/>
        </w:rPr>
        <w:t>SL-TxResourceReqListCommRelay-r17 ::=</w:t>
      </w:r>
      <w:r w:rsidRPr="00FA0D37">
        <w:t xml:space="preserve">  </w:t>
      </w:r>
      <w:r w:rsidRPr="00FA0D37">
        <w:rPr>
          <w:rFonts w:eastAsia="Yu Mincho"/>
          <w:color w:val="993366"/>
        </w:rPr>
        <w:t>SEQUENCE</w:t>
      </w:r>
      <w:r w:rsidRPr="00FA0D37">
        <w:rPr>
          <w:rFonts w:eastAsia="Yu Mincho"/>
        </w:rPr>
        <w:t xml:space="preserve"> (</w:t>
      </w:r>
      <w:r w:rsidRPr="00FA0D37">
        <w:rPr>
          <w:rFonts w:eastAsia="Yu Mincho"/>
          <w:color w:val="993366"/>
        </w:rPr>
        <w:t>SIZE</w:t>
      </w:r>
      <w:r w:rsidRPr="00FA0D37">
        <w:rPr>
          <w:rFonts w:eastAsia="Yu Mincho"/>
        </w:rPr>
        <w:t xml:space="preserve"> (1..maxNrofSL-Dest-r16))</w:t>
      </w:r>
      <w:r w:rsidRPr="00FA0D37">
        <w:rPr>
          <w:rFonts w:eastAsia="Yu Mincho"/>
          <w:color w:val="993366"/>
        </w:rPr>
        <w:t xml:space="preserve"> OF</w:t>
      </w:r>
      <w:r w:rsidRPr="00FA0D37">
        <w:rPr>
          <w:rFonts w:eastAsia="Yu Mincho"/>
        </w:rPr>
        <w:t xml:space="preserve"> </w:t>
      </w:r>
      <w:r w:rsidR="0085671C" w:rsidRPr="00FA0D37">
        <w:rPr>
          <w:rFonts w:eastAsia="Yu Mincho"/>
        </w:rPr>
        <w:t>SL-TxResourceReqCommRelayInfo-r17</w:t>
      </w:r>
    </w:p>
    <w:p w14:paraId="3211CDB1" w14:textId="77777777" w:rsidR="0085671C" w:rsidRPr="00FA0D37" w:rsidRDefault="0085671C" w:rsidP="00FA0D37">
      <w:pPr>
        <w:pStyle w:val="PL"/>
        <w:rPr>
          <w:rFonts w:eastAsia="Yu Mincho"/>
        </w:rPr>
      </w:pPr>
    </w:p>
    <w:p w14:paraId="700CCC53" w14:textId="77777777" w:rsidR="0085671C" w:rsidRPr="00FA0D37" w:rsidRDefault="0085671C" w:rsidP="00FA0D37">
      <w:pPr>
        <w:pStyle w:val="PL"/>
        <w:rPr>
          <w:rFonts w:eastAsia="Yu Mincho"/>
        </w:rPr>
      </w:pPr>
      <w:r w:rsidRPr="00FA0D37">
        <w:rPr>
          <w:rFonts w:eastAsia="Yu Mincho"/>
        </w:rPr>
        <w:t xml:space="preserve">SL-TxResourceReqCommRelayInfo-r17 ::=  </w:t>
      </w:r>
      <w:r w:rsidRPr="00FA0D37">
        <w:rPr>
          <w:rFonts w:eastAsia="Yu Mincho"/>
          <w:color w:val="993366"/>
        </w:rPr>
        <w:t>SEQUENCE</w:t>
      </w:r>
      <w:r w:rsidRPr="00FA0D37">
        <w:rPr>
          <w:rFonts w:eastAsia="Yu Mincho"/>
        </w:rPr>
        <w:t xml:space="preserve"> {</w:t>
      </w:r>
    </w:p>
    <w:p w14:paraId="360781DE" w14:textId="6B3A871C" w:rsidR="0085671C" w:rsidRPr="00FA0D37" w:rsidRDefault="0085671C" w:rsidP="00FA0D37">
      <w:pPr>
        <w:pStyle w:val="PL"/>
        <w:rPr>
          <w:rFonts w:eastAsia="Yu Mincho"/>
        </w:rPr>
      </w:pPr>
      <w:r w:rsidRPr="00FA0D37">
        <w:t xml:space="preserve">    </w:t>
      </w:r>
      <w:r w:rsidRPr="00FA0D37">
        <w:rPr>
          <w:rFonts w:eastAsia="Yu Mincho"/>
        </w:rPr>
        <w:t>sl-RelayDRXConfig-r17</w:t>
      </w:r>
      <w:r w:rsidRPr="00FA0D37">
        <w:t xml:space="preserve">                 SL-TxResourceReq-v1700                                                       </w:t>
      </w:r>
      <w:r w:rsidRPr="00FA0D37">
        <w:rPr>
          <w:rFonts w:eastAsia="Yu Mincho"/>
          <w:color w:val="993366"/>
        </w:rPr>
        <w:t>OPTIONAL</w:t>
      </w:r>
      <w:r w:rsidRPr="00FA0D37">
        <w:rPr>
          <w:rFonts w:eastAsia="Yu Mincho"/>
        </w:rPr>
        <w:t>,</w:t>
      </w:r>
    </w:p>
    <w:p w14:paraId="590DE2E9" w14:textId="77777777" w:rsidR="0085671C" w:rsidRPr="00FA0D37" w:rsidRDefault="0085671C" w:rsidP="00FA0D37">
      <w:pPr>
        <w:pStyle w:val="PL"/>
        <w:rPr>
          <w:rFonts w:eastAsia="Yu Mincho"/>
        </w:rPr>
      </w:pPr>
      <w:r w:rsidRPr="00FA0D37">
        <w:t xml:space="preserve">    </w:t>
      </w:r>
      <w:r w:rsidRPr="00FA0D37">
        <w:rPr>
          <w:rFonts w:eastAsia="Yu Mincho"/>
        </w:rPr>
        <w:t>sl-TxResourceReqCommRelay-r17</w:t>
      </w:r>
      <w:r w:rsidRPr="00FA0D37">
        <w:t xml:space="preserve">         </w:t>
      </w:r>
      <w:r w:rsidRPr="00FA0D37">
        <w:rPr>
          <w:rFonts w:eastAsia="Yu Mincho"/>
        </w:rPr>
        <w:t>SL-TxResourceReqCommRelay-r17</w:t>
      </w:r>
    </w:p>
    <w:p w14:paraId="04C6E681" w14:textId="77777777" w:rsidR="0085671C" w:rsidRPr="00FA0D37" w:rsidRDefault="0085671C" w:rsidP="00FA0D37">
      <w:pPr>
        <w:pStyle w:val="PL"/>
        <w:rPr>
          <w:rFonts w:eastAsia="Yu Mincho"/>
        </w:rPr>
      </w:pPr>
      <w:r w:rsidRPr="00FA0D37">
        <w:rPr>
          <w:rFonts w:eastAsia="Yu Mincho"/>
        </w:rPr>
        <w:t>}</w:t>
      </w:r>
    </w:p>
    <w:p w14:paraId="4AB237C1" w14:textId="77777777" w:rsidR="0085671C" w:rsidRPr="00FA0D37" w:rsidRDefault="0085671C" w:rsidP="00FA0D37">
      <w:pPr>
        <w:pStyle w:val="PL"/>
        <w:rPr>
          <w:rFonts w:eastAsia="Yu Mincho"/>
        </w:rPr>
      </w:pPr>
    </w:p>
    <w:p w14:paraId="74F58901" w14:textId="63B82A31" w:rsidR="00360CB9" w:rsidRPr="00FA0D37" w:rsidRDefault="00360CB9" w:rsidP="00FA0D37">
      <w:pPr>
        <w:pStyle w:val="PL"/>
        <w:rPr>
          <w:rFonts w:eastAsia="Yu Mincho"/>
        </w:rPr>
      </w:pPr>
      <w:r w:rsidRPr="00FA0D37">
        <w:rPr>
          <w:rFonts w:eastAsia="Yu Mincho"/>
        </w:rPr>
        <w:t>SL-TxResourceReqCommRelay-r17 ::=</w:t>
      </w:r>
      <w:r w:rsidRPr="00FA0D37">
        <w:t xml:space="preserve">      </w:t>
      </w:r>
      <w:r w:rsidRPr="00FA0D37">
        <w:rPr>
          <w:rFonts w:eastAsia="Yu Mincho"/>
          <w:color w:val="993366"/>
        </w:rPr>
        <w:t>CHOICE</w:t>
      </w:r>
      <w:r w:rsidRPr="00FA0D37">
        <w:rPr>
          <w:rFonts w:eastAsia="Yu Mincho"/>
        </w:rPr>
        <w:t xml:space="preserve"> {</w:t>
      </w:r>
    </w:p>
    <w:p w14:paraId="0A95D970" w14:textId="1B1029F5" w:rsidR="00360CB9" w:rsidRPr="00FA0D37" w:rsidRDefault="00360CB9" w:rsidP="00FA0D37">
      <w:pPr>
        <w:pStyle w:val="PL"/>
        <w:rPr>
          <w:rFonts w:eastAsia="Yu Mincho"/>
        </w:rPr>
      </w:pPr>
      <w:r w:rsidRPr="00FA0D37">
        <w:t xml:space="preserve">    </w:t>
      </w:r>
      <w:r w:rsidRPr="00FA0D37">
        <w:rPr>
          <w:rFonts w:eastAsia="Yu Mincho"/>
        </w:rPr>
        <w:t>sl-TxResourceReqL2U2N-Relay-r17</w:t>
      </w:r>
      <w:r w:rsidRPr="00FA0D37">
        <w:t xml:space="preserve">        </w:t>
      </w:r>
      <w:r w:rsidRPr="00FA0D37">
        <w:rPr>
          <w:rFonts w:eastAsia="Yu Mincho"/>
        </w:rPr>
        <w:t>SL-TxResourceReqL2U2N-Relay-r17,</w:t>
      </w:r>
    </w:p>
    <w:p w14:paraId="31C34AB8" w14:textId="48E618B8" w:rsidR="00360CB9" w:rsidRPr="00FA0D37" w:rsidRDefault="00360CB9" w:rsidP="00FA0D37">
      <w:pPr>
        <w:pStyle w:val="PL"/>
        <w:rPr>
          <w:rFonts w:eastAsia="Yu Mincho"/>
        </w:rPr>
      </w:pPr>
      <w:r w:rsidRPr="00FA0D37">
        <w:t xml:space="preserve">    </w:t>
      </w:r>
      <w:r w:rsidRPr="00FA0D37">
        <w:rPr>
          <w:rFonts w:eastAsia="Yu Mincho"/>
        </w:rPr>
        <w:t>sl-TxResourceReqL3U2N-Relay-r17</w:t>
      </w:r>
      <w:r w:rsidRPr="00FA0D37">
        <w:t xml:space="preserve">        </w:t>
      </w:r>
      <w:r w:rsidRPr="00FA0D37">
        <w:rPr>
          <w:rFonts w:eastAsia="Yu Mincho"/>
        </w:rPr>
        <w:t>SL-TxResourceReq-r16</w:t>
      </w:r>
    </w:p>
    <w:p w14:paraId="2C16550E" w14:textId="77777777" w:rsidR="00360CB9" w:rsidRPr="00FA0D37" w:rsidRDefault="00360CB9" w:rsidP="00FA0D37">
      <w:pPr>
        <w:pStyle w:val="PL"/>
        <w:rPr>
          <w:rFonts w:eastAsia="Yu Mincho"/>
        </w:rPr>
      </w:pPr>
      <w:r w:rsidRPr="00FA0D37">
        <w:rPr>
          <w:rFonts w:eastAsia="Yu Mincho"/>
        </w:rPr>
        <w:t>}</w:t>
      </w:r>
    </w:p>
    <w:p w14:paraId="6FC9B640" w14:textId="77777777" w:rsidR="00360CB9" w:rsidRPr="00FA0D37" w:rsidRDefault="00360CB9" w:rsidP="00FA0D37">
      <w:pPr>
        <w:pStyle w:val="PL"/>
        <w:rPr>
          <w:rFonts w:eastAsia="Yu Mincho"/>
        </w:rPr>
      </w:pPr>
    </w:p>
    <w:p w14:paraId="2861AFFC" w14:textId="2EB1BB3D" w:rsidR="00360CB9" w:rsidRPr="00FA0D37" w:rsidRDefault="00360CB9" w:rsidP="00FA0D37">
      <w:pPr>
        <w:pStyle w:val="PL"/>
        <w:rPr>
          <w:rFonts w:eastAsia="Yu Mincho"/>
        </w:rPr>
      </w:pPr>
      <w:r w:rsidRPr="00FA0D37">
        <w:rPr>
          <w:rFonts w:eastAsia="Yu Mincho"/>
        </w:rPr>
        <w:t>SL-TxResourceReqL2U2N-Relay-r17 ::=</w:t>
      </w:r>
      <w:r w:rsidRPr="00FA0D37">
        <w:t xml:space="preserve">    </w:t>
      </w:r>
      <w:r w:rsidRPr="00FA0D37">
        <w:rPr>
          <w:rFonts w:eastAsia="Yu Mincho"/>
          <w:color w:val="993366"/>
        </w:rPr>
        <w:t>SEQUENCE</w:t>
      </w:r>
      <w:r w:rsidRPr="00FA0D37">
        <w:rPr>
          <w:rFonts w:eastAsia="Yu Mincho"/>
        </w:rPr>
        <w:t xml:space="preserve"> {</w:t>
      </w:r>
    </w:p>
    <w:p w14:paraId="46A91E67" w14:textId="591344FE" w:rsidR="00360CB9" w:rsidRPr="00FA0D37" w:rsidRDefault="00360CB9" w:rsidP="00FA0D37">
      <w:pPr>
        <w:pStyle w:val="PL"/>
        <w:rPr>
          <w:rFonts w:eastAsia="Yu Mincho"/>
        </w:rPr>
      </w:pPr>
      <w:r w:rsidRPr="00FA0D37">
        <w:t xml:space="preserve">    </w:t>
      </w:r>
      <w:r w:rsidRPr="00FA0D37">
        <w:rPr>
          <w:rFonts w:eastAsia="Yu Mincho"/>
        </w:rPr>
        <w:t>sl-DestinationIdentityL2U2N-r17</w:t>
      </w:r>
      <w:r w:rsidRPr="00FA0D37">
        <w:t xml:space="preserve">        </w:t>
      </w:r>
      <w:r w:rsidRPr="00FA0D37">
        <w:rPr>
          <w:rFonts w:eastAsia="Yu Mincho"/>
        </w:rPr>
        <w:t>SL-DestinationIdentity-r16</w:t>
      </w:r>
      <w:r w:rsidRPr="00FA0D37">
        <w:t xml:space="preserve">                                                 </w:t>
      </w:r>
      <w:r w:rsidRPr="00FA0D37">
        <w:rPr>
          <w:rFonts w:eastAsia="Yu Mincho"/>
          <w:color w:val="993366"/>
        </w:rPr>
        <w:t>OPTIONAL</w:t>
      </w:r>
      <w:r w:rsidRPr="00FA0D37">
        <w:rPr>
          <w:rFonts w:eastAsia="Yu Mincho"/>
        </w:rPr>
        <w:t>,</w:t>
      </w:r>
    </w:p>
    <w:p w14:paraId="610036AC" w14:textId="7F55A789" w:rsidR="00360CB9" w:rsidRPr="00FA0D37" w:rsidRDefault="00360CB9" w:rsidP="00FA0D37">
      <w:pPr>
        <w:pStyle w:val="PL"/>
        <w:rPr>
          <w:rFonts w:eastAsia="Yu Mincho"/>
        </w:rPr>
      </w:pPr>
      <w:r w:rsidRPr="00FA0D37">
        <w:t xml:space="preserve">    </w:t>
      </w:r>
      <w:r w:rsidRPr="00FA0D37">
        <w:rPr>
          <w:rFonts w:eastAsia="Yu Mincho"/>
        </w:rPr>
        <w:t>sl-TxInterestedFreqListL2U2N-r17</w:t>
      </w:r>
      <w:r w:rsidRPr="00FA0D37">
        <w:t xml:space="preserve">       </w:t>
      </w:r>
      <w:r w:rsidRPr="00FA0D37">
        <w:rPr>
          <w:rFonts w:eastAsia="Yu Mincho"/>
        </w:rPr>
        <w:t>SL-TxInterestedFreqList-r16,</w:t>
      </w:r>
    </w:p>
    <w:p w14:paraId="603E5BD8" w14:textId="3B66F84B" w:rsidR="00360CB9" w:rsidRPr="00FA0D37" w:rsidRDefault="00360CB9" w:rsidP="00FA0D37">
      <w:pPr>
        <w:pStyle w:val="PL"/>
        <w:rPr>
          <w:rFonts w:eastAsia="Yu Mincho"/>
        </w:rPr>
      </w:pPr>
      <w:r w:rsidRPr="00FA0D37">
        <w:t xml:space="preserve">    </w:t>
      </w:r>
      <w:r w:rsidRPr="00FA0D37">
        <w:rPr>
          <w:rFonts w:eastAsia="Yu Mincho"/>
        </w:rPr>
        <w:t>sl-TypeTxSyncListL2U2N-r17</w:t>
      </w:r>
      <w:r w:rsidRPr="00FA0D37">
        <w:t xml:space="preserve">             </w:t>
      </w:r>
      <w:r w:rsidRPr="00FA0D37">
        <w:rPr>
          <w:rFonts w:eastAsia="Yu Mincho"/>
          <w:color w:val="993366"/>
        </w:rPr>
        <w:t>SEQUENCE</w:t>
      </w:r>
      <w:r w:rsidRPr="00FA0D37">
        <w:rPr>
          <w:rFonts w:eastAsia="Yu Mincho"/>
        </w:rPr>
        <w:t xml:space="preserve"> (</w:t>
      </w:r>
      <w:r w:rsidRPr="00FA0D37">
        <w:rPr>
          <w:rFonts w:eastAsia="Yu Mincho"/>
          <w:color w:val="993366"/>
        </w:rPr>
        <w:t>SIZE</w:t>
      </w:r>
      <w:r w:rsidRPr="00FA0D37">
        <w:rPr>
          <w:rFonts w:eastAsia="Yu Mincho"/>
        </w:rPr>
        <w:t xml:space="preserve"> (1..maxNrofFreqSL-r16))</w:t>
      </w:r>
      <w:r w:rsidRPr="00FA0D37">
        <w:rPr>
          <w:rFonts w:eastAsia="Yu Mincho"/>
          <w:color w:val="993366"/>
        </w:rPr>
        <w:t xml:space="preserve"> OF</w:t>
      </w:r>
      <w:r w:rsidRPr="00FA0D37">
        <w:rPr>
          <w:rFonts w:eastAsia="Yu Mincho"/>
        </w:rPr>
        <w:t xml:space="preserve"> SL-TypeTxSync-r16,</w:t>
      </w:r>
    </w:p>
    <w:p w14:paraId="535654DE" w14:textId="32790A99" w:rsidR="00360CB9" w:rsidRPr="00FA0D37" w:rsidRDefault="00360CB9" w:rsidP="00FA0D37">
      <w:pPr>
        <w:pStyle w:val="PL"/>
        <w:rPr>
          <w:rFonts w:eastAsia="Yu Mincho"/>
        </w:rPr>
      </w:pPr>
      <w:r w:rsidRPr="00FA0D37">
        <w:t xml:space="preserve">    </w:t>
      </w:r>
      <w:r w:rsidRPr="00FA0D37">
        <w:rPr>
          <w:rFonts w:eastAsia="Yu Mincho"/>
        </w:rPr>
        <w:t>sl-LocalID-Request-r17</w:t>
      </w:r>
      <w:r w:rsidRPr="00FA0D37">
        <w:t xml:space="preserve">                 </w:t>
      </w:r>
      <w:r w:rsidRPr="00FA0D37">
        <w:rPr>
          <w:rFonts w:eastAsia="Yu Mincho"/>
          <w:color w:val="993366"/>
        </w:rPr>
        <w:t>ENUMERATED</w:t>
      </w:r>
      <w:r w:rsidRPr="00FA0D37">
        <w:rPr>
          <w:rFonts w:eastAsia="Yu Mincho"/>
        </w:rPr>
        <w:t xml:space="preserve"> {true}</w:t>
      </w:r>
      <w:r w:rsidRPr="00FA0D37">
        <w:t xml:space="preserve">                                                          </w:t>
      </w:r>
      <w:r w:rsidRPr="00FA0D37">
        <w:rPr>
          <w:rFonts w:eastAsia="Yu Mincho"/>
          <w:color w:val="993366"/>
        </w:rPr>
        <w:t>OPTIONAL</w:t>
      </w:r>
      <w:r w:rsidRPr="00FA0D37">
        <w:rPr>
          <w:rFonts w:eastAsia="Yu Mincho"/>
        </w:rPr>
        <w:t>,</w:t>
      </w:r>
    </w:p>
    <w:p w14:paraId="3202BBF7" w14:textId="060FECE1" w:rsidR="00360CB9" w:rsidRPr="00FA0D37" w:rsidRDefault="00360CB9" w:rsidP="00FA0D37">
      <w:pPr>
        <w:pStyle w:val="PL"/>
        <w:rPr>
          <w:rFonts w:eastAsia="Yu Mincho"/>
        </w:rPr>
      </w:pPr>
      <w:r w:rsidRPr="00FA0D37">
        <w:t xml:space="preserve">    </w:t>
      </w:r>
      <w:r w:rsidRPr="00FA0D37">
        <w:rPr>
          <w:rFonts w:eastAsia="Yu Mincho"/>
        </w:rPr>
        <w:t>sl-PagingIdentityRemoteUE-</w:t>
      </w:r>
      <w:r w:rsidR="00B16130" w:rsidRPr="00FA0D37">
        <w:rPr>
          <w:rFonts w:eastAsia="Yu Mincho"/>
        </w:rPr>
        <w:t>r</w:t>
      </w:r>
      <w:r w:rsidRPr="00FA0D37">
        <w:rPr>
          <w:rFonts w:eastAsia="Yu Mincho"/>
        </w:rPr>
        <w:t>17</w:t>
      </w:r>
      <w:r w:rsidRPr="00FA0D37">
        <w:t xml:space="preserve">         </w:t>
      </w:r>
      <w:r w:rsidR="00CC30D0" w:rsidRPr="00FA0D37">
        <w:t xml:space="preserve"> </w:t>
      </w:r>
      <w:r w:rsidRPr="00FA0D37">
        <w:rPr>
          <w:rFonts w:eastAsia="Yu Mincho"/>
        </w:rPr>
        <w:t>SL-PagingIdentityRemoteUE-</w:t>
      </w:r>
      <w:r w:rsidR="00B16130" w:rsidRPr="00FA0D37">
        <w:rPr>
          <w:rFonts w:eastAsia="Yu Mincho"/>
        </w:rPr>
        <w:t>r</w:t>
      </w:r>
      <w:r w:rsidRPr="00FA0D37">
        <w:rPr>
          <w:rFonts w:eastAsia="Yu Mincho"/>
        </w:rPr>
        <w:t>17</w:t>
      </w:r>
      <w:r w:rsidRPr="00FA0D37">
        <w:t xml:space="preserve">                                             </w:t>
      </w:r>
      <w:r w:rsidR="00CC30D0" w:rsidRPr="00FA0D37">
        <w:t xml:space="preserve"> </w:t>
      </w:r>
      <w:r w:rsidRPr="00FA0D37">
        <w:rPr>
          <w:rFonts w:eastAsia="Yu Mincho"/>
          <w:color w:val="993366"/>
        </w:rPr>
        <w:t>OPTIONAL</w:t>
      </w:r>
      <w:r w:rsidRPr="00FA0D37">
        <w:rPr>
          <w:rFonts w:eastAsia="Yu Mincho"/>
        </w:rPr>
        <w:t>,</w:t>
      </w:r>
    </w:p>
    <w:p w14:paraId="2DF1BB1D" w14:textId="3219486D" w:rsidR="00360CB9" w:rsidRPr="00FA0D37" w:rsidRDefault="00360CB9" w:rsidP="00FA0D37">
      <w:pPr>
        <w:pStyle w:val="PL"/>
        <w:rPr>
          <w:rFonts w:eastAsia="Yu Mincho"/>
        </w:rPr>
      </w:pPr>
      <w:r w:rsidRPr="00FA0D37">
        <w:t xml:space="preserve">    </w:t>
      </w:r>
      <w:r w:rsidRPr="00FA0D37">
        <w:rPr>
          <w:rFonts w:eastAsia="Yu Mincho"/>
        </w:rPr>
        <w:t>sl-CapabilityInformationSidelink-r1</w:t>
      </w:r>
      <w:r w:rsidR="00B16130" w:rsidRPr="00FA0D37">
        <w:rPr>
          <w:rFonts w:eastAsia="Yu Mincho"/>
        </w:rPr>
        <w:t>7</w:t>
      </w:r>
      <w:r w:rsidRPr="00FA0D37">
        <w:t xml:space="preserve">   </w:t>
      </w:r>
      <w:r w:rsidRPr="00FA0D37">
        <w:rPr>
          <w:rFonts w:eastAsia="Yu Mincho"/>
          <w:color w:val="993366"/>
        </w:rPr>
        <w:t>OCTET</w:t>
      </w:r>
      <w:r w:rsidRPr="00FA0D37">
        <w:rPr>
          <w:rFonts w:eastAsia="Yu Mincho"/>
        </w:rPr>
        <w:t xml:space="preserve"> </w:t>
      </w:r>
      <w:r w:rsidRPr="00FA0D37">
        <w:rPr>
          <w:rFonts w:eastAsia="Yu Mincho"/>
          <w:color w:val="993366"/>
        </w:rPr>
        <w:t>STRING</w:t>
      </w:r>
      <w:r w:rsidRPr="00FA0D37">
        <w:t xml:space="preserve">                                                               </w:t>
      </w:r>
      <w:r w:rsidRPr="00FA0D37">
        <w:rPr>
          <w:rFonts w:eastAsia="Yu Mincho"/>
          <w:color w:val="993366"/>
        </w:rPr>
        <w:t>OPTIONAL</w:t>
      </w:r>
      <w:r w:rsidR="00FB193E" w:rsidRPr="00FA0D37">
        <w:rPr>
          <w:rFonts w:eastAsia="Yu Mincho"/>
        </w:rPr>
        <w:t>,</w:t>
      </w:r>
    </w:p>
    <w:p w14:paraId="2DA40CD8" w14:textId="69311FA8" w:rsidR="00360CB9" w:rsidRPr="00FA0D37" w:rsidRDefault="00360CB9" w:rsidP="00FA0D37">
      <w:pPr>
        <w:pStyle w:val="PL"/>
        <w:rPr>
          <w:rFonts w:eastAsia="Yu Mincho"/>
        </w:rPr>
      </w:pPr>
      <w:r w:rsidRPr="00FA0D37">
        <w:t xml:space="preserve">    </w:t>
      </w:r>
      <w:r w:rsidRPr="00FA0D37">
        <w:rPr>
          <w:rFonts w:eastAsia="Yu Mincho"/>
        </w:rPr>
        <w:t>...</w:t>
      </w:r>
    </w:p>
    <w:p w14:paraId="46E02869" w14:textId="17994B36" w:rsidR="00394471" w:rsidRPr="00FA0D37" w:rsidRDefault="00360CB9" w:rsidP="00FA0D37">
      <w:pPr>
        <w:pStyle w:val="PL"/>
        <w:rPr>
          <w:rFonts w:eastAsia="Yu Mincho"/>
        </w:rPr>
      </w:pPr>
      <w:r w:rsidRPr="00FA0D37">
        <w:rPr>
          <w:rFonts w:eastAsia="Yu Mincho"/>
        </w:rPr>
        <w:t>}</w:t>
      </w:r>
    </w:p>
    <w:p w14:paraId="6EE70AEA" w14:textId="77777777" w:rsidR="00360CB9" w:rsidRPr="00FA0D37" w:rsidRDefault="00360CB9" w:rsidP="00FA0D37">
      <w:pPr>
        <w:pStyle w:val="PL"/>
        <w:rPr>
          <w:rFonts w:eastAsia="Yu Mincho"/>
        </w:rPr>
      </w:pPr>
    </w:p>
    <w:p w14:paraId="207B2D32" w14:textId="77777777" w:rsidR="00394471" w:rsidRPr="00FA0D37" w:rsidRDefault="00394471" w:rsidP="00FA0D37">
      <w:pPr>
        <w:pStyle w:val="PL"/>
        <w:rPr>
          <w:rFonts w:eastAsia="Yu Mincho"/>
        </w:rPr>
      </w:pPr>
      <w:r w:rsidRPr="00FA0D37">
        <w:t xml:space="preserve">SL-TxInterestedFreqList-r16 ::=        </w:t>
      </w:r>
      <w:r w:rsidRPr="00FA0D37">
        <w:rPr>
          <w:color w:val="993366"/>
        </w:rPr>
        <w:t>SEQUENCE</w:t>
      </w:r>
      <w:r w:rsidRPr="00FA0D37">
        <w:t xml:space="preserve"> (</w:t>
      </w:r>
      <w:r w:rsidRPr="00FA0D37">
        <w:rPr>
          <w:color w:val="993366"/>
        </w:rPr>
        <w:t>SIZE</w:t>
      </w:r>
      <w:r w:rsidRPr="00FA0D37">
        <w:t xml:space="preserve"> (1..maxNrofFreqSL-r16))</w:t>
      </w:r>
      <w:r w:rsidRPr="00FA0D37">
        <w:rPr>
          <w:color w:val="993366"/>
        </w:rPr>
        <w:t xml:space="preserve"> OF</w:t>
      </w:r>
      <w:r w:rsidRPr="00FA0D37">
        <w:t xml:space="preserve"> </w:t>
      </w:r>
      <w:r w:rsidRPr="00FA0D37">
        <w:rPr>
          <w:color w:val="993366"/>
        </w:rPr>
        <w:t>INTEGER</w:t>
      </w:r>
      <w:r w:rsidRPr="00FA0D37">
        <w:t xml:space="preserve"> (1..maxNrofFreqSL-r16)</w:t>
      </w:r>
    </w:p>
    <w:p w14:paraId="3081A3F8" w14:textId="77777777" w:rsidR="00394471" w:rsidRPr="00FA0D37" w:rsidRDefault="00394471" w:rsidP="00FA0D37">
      <w:pPr>
        <w:pStyle w:val="PL"/>
        <w:rPr>
          <w:rFonts w:eastAsia="Yu Mincho"/>
        </w:rPr>
      </w:pPr>
    </w:p>
    <w:p w14:paraId="787C1B89" w14:textId="77777777" w:rsidR="00394471" w:rsidRPr="00FA0D37" w:rsidRDefault="00394471" w:rsidP="00FA0D37">
      <w:pPr>
        <w:pStyle w:val="PL"/>
      </w:pPr>
      <w:r w:rsidRPr="00FA0D37">
        <w:t xml:space="preserve">SL-QoS-Info-r16 ::=                    </w:t>
      </w:r>
      <w:r w:rsidRPr="00FA0D37">
        <w:rPr>
          <w:color w:val="993366"/>
        </w:rPr>
        <w:t>SEQUENCE</w:t>
      </w:r>
      <w:r w:rsidRPr="00FA0D37">
        <w:t xml:space="preserve"> {</w:t>
      </w:r>
    </w:p>
    <w:p w14:paraId="4C394AAF" w14:textId="77777777" w:rsidR="00394471" w:rsidRPr="00FA0D37" w:rsidRDefault="00394471" w:rsidP="00FA0D37">
      <w:pPr>
        <w:pStyle w:val="PL"/>
      </w:pPr>
      <w:r w:rsidRPr="00FA0D37">
        <w:t xml:space="preserve">    sl-QoS-FlowIdentity-r16               SL-QoS-FlowIdentity-r16,</w:t>
      </w:r>
    </w:p>
    <w:p w14:paraId="4CF2F56A" w14:textId="77777777" w:rsidR="00394471" w:rsidRPr="00FA0D37" w:rsidRDefault="00394471" w:rsidP="00FA0D37">
      <w:pPr>
        <w:pStyle w:val="PL"/>
      </w:pPr>
      <w:r w:rsidRPr="00FA0D37">
        <w:t xml:space="preserve">    sl-QoS-Profile-r16                    SL-QoS-Profile-r16                                                          </w:t>
      </w:r>
      <w:r w:rsidRPr="00FA0D37">
        <w:rPr>
          <w:color w:val="993366"/>
        </w:rPr>
        <w:t>OPTIONAL</w:t>
      </w:r>
    </w:p>
    <w:p w14:paraId="1FBDB52F" w14:textId="77777777" w:rsidR="00394471" w:rsidRPr="00FA0D37" w:rsidRDefault="00394471" w:rsidP="00FA0D37">
      <w:pPr>
        <w:pStyle w:val="PL"/>
      </w:pPr>
      <w:r w:rsidRPr="00FA0D37">
        <w:t>}</w:t>
      </w:r>
    </w:p>
    <w:p w14:paraId="4BDC7F1A" w14:textId="77777777" w:rsidR="00394471" w:rsidRPr="00FA0D37" w:rsidRDefault="00394471" w:rsidP="00FA0D37">
      <w:pPr>
        <w:pStyle w:val="PL"/>
      </w:pPr>
    </w:p>
    <w:p w14:paraId="6504D6AB" w14:textId="77777777" w:rsidR="00394471" w:rsidRPr="00FA0D37" w:rsidRDefault="00394471" w:rsidP="00FA0D37">
      <w:pPr>
        <w:pStyle w:val="PL"/>
        <w:rPr>
          <w:rFonts w:eastAsiaTheme="minorEastAsia"/>
        </w:rPr>
      </w:pPr>
      <w:r w:rsidRPr="00FA0D37">
        <w:rPr>
          <w:rFonts w:eastAsiaTheme="minorEastAsia"/>
        </w:rPr>
        <w:t>SL-RLC-ModeIndication-r16 ::=</w:t>
      </w:r>
      <w:r w:rsidRPr="00FA0D37">
        <w:t xml:space="preserve">          </w:t>
      </w:r>
      <w:r w:rsidRPr="00FA0D37">
        <w:rPr>
          <w:rFonts w:eastAsiaTheme="minorEastAsia"/>
          <w:color w:val="993366"/>
        </w:rPr>
        <w:t>SEQUENCE</w:t>
      </w:r>
      <w:r w:rsidRPr="00FA0D37">
        <w:rPr>
          <w:rFonts w:eastAsiaTheme="minorEastAsia"/>
        </w:rPr>
        <w:t xml:space="preserve"> {</w:t>
      </w:r>
    </w:p>
    <w:p w14:paraId="05AC503E" w14:textId="77777777" w:rsidR="00394471" w:rsidRPr="00FA0D37" w:rsidRDefault="00394471" w:rsidP="00FA0D37">
      <w:pPr>
        <w:pStyle w:val="PL"/>
      </w:pPr>
      <w:r w:rsidRPr="00FA0D37">
        <w:t xml:space="preserve">    sl-Mode-r16                            </w:t>
      </w:r>
      <w:r w:rsidRPr="00FA0D37">
        <w:rPr>
          <w:rFonts w:eastAsia="Yu Mincho"/>
          <w:color w:val="993366"/>
        </w:rPr>
        <w:t>CHOICE</w:t>
      </w:r>
      <w:r w:rsidRPr="00FA0D37">
        <w:rPr>
          <w:rFonts w:eastAsia="Yu Mincho"/>
        </w:rPr>
        <w:t xml:space="preserve"> </w:t>
      </w:r>
      <w:r w:rsidRPr="00FA0D37">
        <w:t xml:space="preserve"> {</w:t>
      </w:r>
    </w:p>
    <w:p w14:paraId="3E8F0023" w14:textId="77777777" w:rsidR="00394471" w:rsidRPr="00FA0D37" w:rsidRDefault="00394471" w:rsidP="00FA0D37">
      <w:pPr>
        <w:pStyle w:val="PL"/>
      </w:pPr>
      <w:r w:rsidRPr="00FA0D37">
        <w:t xml:space="preserve">        sl-AM-Mode-r16                         </w:t>
      </w:r>
      <w:r w:rsidRPr="00FA0D37">
        <w:rPr>
          <w:color w:val="993366"/>
        </w:rPr>
        <w:t>NULL</w:t>
      </w:r>
      <w:r w:rsidRPr="00FA0D37">
        <w:t>,</w:t>
      </w:r>
    </w:p>
    <w:p w14:paraId="0F051F9A" w14:textId="77777777" w:rsidR="00394471" w:rsidRPr="00FA0D37" w:rsidRDefault="00394471" w:rsidP="00FA0D37">
      <w:pPr>
        <w:pStyle w:val="PL"/>
        <w:rPr>
          <w:rFonts w:eastAsiaTheme="minorEastAsia"/>
        </w:rPr>
      </w:pPr>
      <w:r w:rsidRPr="00FA0D37">
        <w:t xml:space="preserve">        sl-UM-Mode-r16                         </w:t>
      </w:r>
      <w:r w:rsidRPr="00FA0D37">
        <w:rPr>
          <w:color w:val="993366"/>
        </w:rPr>
        <w:t>NULL</w:t>
      </w:r>
    </w:p>
    <w:p w14:paraId="529A051A" w14:textId="77777777" w:rsidR="00394471" w:rsidRPr="00FA0D37" w:rsidRDefault="00394471" w:rsidP="00FA0D37">
      <w:pPr>
        <w:pStyle w:val="PL"/>
        <w:rPr>
          <w:rFonts w:eastAsiaTheme="minorEastAsia"/>
        </w:rPr>
      </w:pPr>
      <w:r w:rsidRPr="00FA0D37">
        <w:t xml:space="preserve">    },</w:t>
      </w:r>
    </w:p>
    <w:p w14:paraId="79C28C16" w14:textId="77777777" w:rsidR="00394471" w:rsidRPr="00FA0D37" w:rsidRDefault="00394471" w:rsidP="00FA0D37">
      <w:pPr>
        <w:pStyle w:val="PL"/>
      </w:pPr>
      <w:r w:rsidRPr="00FA0D37">
        <w:t xml:space="preserve">    sl-QoS-InfoList-r16                </w:t>
      </w:r>
      <w:r w:rsidRPr="00FA0D37">
        <w:rPr>
          <w:color w:val="993366"/>
        </w:rPr>
        <w:t>SEQUENCE</w:t>
      </w:r>
      <w:r w:rsidRPr="00FA0D37">
        <w:t xml:space="preserve"> (</w:t>
      </w:r>
      <w:r w:rsidRPr="00FA0D37">
        <w:rPr>
          <w:color w:val="993366"/>
        </w:rPr>
        <w:t>SIZE</w:t>
      </w:r>
      <w:r w:rsidRPr="00FA0D37">
        <w:t xml:space="preserve"> (1..maxNrofSL-QFIsPerDest-r16))</w:t>
      </w:r>
      <w:r w:rsidRPr="00FA0D37">
        <w:rPr>
          <w:color w:val="993366"/>
        </w:rPr>
        <w:t xml:space="preserve"> OF</w:t>
      </w:r>
      <w:r w:rsidRPr="00FA0D37">
        <w:t xml:space="preserve"> SL-QoS-Info-r16</w:t>
      </w:r>
    </w:p>
    <w:p w14:paraId="3785196F" w14:textId="77777777" w:rsidR="00394471" w:rsidRPr="00FA0D37" w:rsidRDefault="00394471" w:rsidP="00FA0D37">
      <w:pPr>
        <w:pStyle w:val="PL"/>
      </w:pPr>
      <w:r w:rsidRPr="00FA0D37">
        <w:rPr>
          <w:rFonts w:eastAsiaTheme="minorEastAsia"/>
        </w:rPr>
        <w:t>}</w:t>
      </w:r>
    </w:p>
    <w:p w14:paraId="082D9177" w14:textId="77777777" w:rsidR="00394471" w:rsidRPr="00FA0D37" w:rsidRDefault="00394471" w:rsidP="00FA0D37">
      <w:pPr>
        <w:pStyle w:val="PL"/>
      </w:pPr>
    </w:p>
    <w:p w14:paraId="57324969" w14:textId="77777777" w:rsidR="00394471" w:rsidRPr="00FA0D37" w:rsidRDefault="00394471" w:rsidP="00FA0D37">
      <w:pPr>
        <w:pStyle w:val="PL"/>
      </w:pPr>
      <w:r w:rsidRPr="00FA0D37">
        <w:t xml:space="preserve">SL-FailureList-r16 ::=                 </w:t>
      </w:r>
      <w:r w:rsidRPr="00FA0D37">
        <w:rPr>
          <w:color w:val="993366"/>
        </w:rPr>
        <w:t>SEQUENCE</w:t>
      </w:r>
      <w:r w:rsidRPr="00FA0D37">
        <w:t xml:space="preserve"> (</w:t>
      </w:r>
      <w:r w:rsidRPr="00FA0D37">
        <w:rPr>
          <w:color w:val="993366"/>
        </w:rPr>
        <w:t>SIZE</w:t>
      </w:r>
      <w:r w:rsidRPr="00FA0D37">
        <w:t xml:space="preserve"> (1..maxNrofSL-Dest-r16))</w:t>
      </w:r>
      <w:r w:rsidRPr="00FA0D37">
        <w:rPr>
          <w:color w:val="993366"/>
        </w:rPr>
        <w:t xml:space="preserve"> OF</w:t>
      </w:r>
      <w:r w:rsidRPr="00FA0D37">
        <w:t xml:space="preserve"> SL-Failure-r16</w:t>
      </w:r>
    </w:p>
    <w:p w14:paraId="3F37306A" w14:textId="77777777" w:rsidR="00394471" w:rsidRPr="00FA0D37" w:rsidRDefault="00394471" w:rsidP="00FA0D37">
      <w:pPr>
        <w:pStyle w:val="PL"/>
      </w:pPr>
    </w:p>
    <w:p w14:paraId="4349223B" w14:textId="77777777" w:rsidR="00394471" w:rsidRPr="00FA0D37" w:rsidRDefault="00394471" w:rsidP="00FA0D37">
      <w:pPr>
        <w:pStyle w:val="PL"/>
      </w:pPr>
      <w:r w:rsidRPr="00FA0D37">
        <w:t xml:space="preserve">SL-Failure-r16 ::=                     </w:t>
      </w:r>
      <w:r w:rsidRPr="00FA0D37">
        <w:rPr>
          <w:color w:val="993366"/>
        </w:rPr>
        <w:t>SEQUENCE</w:t>
      </w:r>
      <w:r w:rsidRPr="00FA0D37">
        <w:t xml:space="preserve"> {</w:t>
      </w:r>
    </w:p>
    <w:p w14:paraId="67B31576" w14:textId="77777777" w:rsidR="00394471" w:rsidRPr="00FA0D37" w:rsidRDefault="00394471" w:rsidP="00FA0D37">
      <w:pPr>
        <w:pStyle w:val="PL"/>
      </w:pPr>
      <w:r w:rsidRPr="00FA0D37">
        <w:t xml:space="preserve">    sl-DestinationIdentity-r16             SL-DestinationIdentity-r16,</w:t>
      </w:r>
    </w:p>
    <w:p w14:paraId="5C4B3C83" w14:textId="2BFF2677" w:rsidR="00394471" w:rsidRPr="00FA0D37" w:rsidRDefault="00394471" w:rsidP="00FA0D37">
      <w:pPr>
        <w:pStyle w:val="PL"/>
      </w:pPr>
      <w:r w:rsidRPr="00FA0D37">
        <w:t xml:space="preserve">    sl-Failure-r16                         </w:t>
      </w:r>
      <w:r w:rsidRPr="00FA0D37">
        <w:rPr>
          <w:color w:val="993366"/>
        </w:rPr>
        <w:t>ENUMERATED</w:t>
      </w:r>
      <w:r w:rsidRPr="00FA0D37">
        <w:t xml:space="preserve"> {rlf,configFailure, </w:t>
      </w:r>
      <w:r w:rsidR="00A159D0" w:rsidRPr="00FA0D37">
        <w:t>drxReject</w:t>
      </w:r>
      <w:r w:rsidR="00867B26" w:rsidRPr="00FA0D37">
        <w:t>-v1710</w:t>
      </w:r>
      <w:r w:rsidRPr="00FA0D37">
        <w:t>, spare5, spare4, spare3, spare2, spare1}</w:t>
      </w:r>
    </w:p>
    <w:p w14:paraId="4D5D55F7" w14:textId="77777777" w:rsidR="00394471" w:rsidRPr="00FA0D37" w:rsidRDefault="00394471" w:rsidP="00FA0D37">
      <w:pPr>
        <w:pStyle w:val="PL"/>
      </w:pPr>
      <w:r w:rsidRPr="00FA0D37">
        <w:t>}</w:t>
      </w:r>
    </w:p>
    <w:p w14:paraId="10B7BF8C" w14:textId="77777777" w:rsidR="00394471" w:rsidRPr="00FA0D37" w:rsidRDefault="00394471" w:rsidP="00FA0D37">
      <w:pPr>
        <w:pStyle w:val="PL"/>
      </w:pPr>
    </w:p>
    <w:p w14:paraId="743C1707" w14:textId="77777777" w:rsidR="00394471" w:rsidRPr="00FA0D37" w:rsidRDefault="00394471" w:rsidP="00FA0D37">
      <w:pPr>
        <w:pStyle w:val="PL"/>
        <w:rPr>
          <w:color w:val="808080"/>
        </w:rPr>
      </w:pPr>
      <w:r w:rsidRPr="00FA0D37">
        <w:rPr>
          <w:color w:val="808080"/>
        </w:rPr>
        <w:t>-- TAG-SIDELINKUEINFORMATIONNR-STOP</w:t>
      </w:r>
    </w:p>
    <w:p w14:paraId="404C5816" w14:textId="77777777" w:rsidR="00394471" w:rsidRPr="00FA0D37" w:rsidRDefault="00394471" w:rsidP="00FA0D37">
      <w:pPr>
        <w:pStyle w:val="PL"/>
        <w:rPr>
          <w:color w:val="808080"/>
        </w:rPr>
      </w:pPr>
      <w:r w:rsidRPr="00FA0D37">
        <w:rPr>
          <w:color w:val="808080"/>
        </w:rPr>
        <w:t>-- ASN1STOP</w:t>
      </w:r>
    </w:p>
    <w:p w14:paraId="4BDC173D" w14:textId="77777777" w:rsidR="00394471" w:rsidRPr="00FA0D37"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391BA6E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64D3BB" w14:textId="77777777" w:rsidR="00394471" w:rsidRPr="00FA0D37" w:rsidRDefault="00394471" w:rsidP="00964CC4">
            <w:pPr>
              <w:pStyle w:val="TAH"/>
              <w:rPr>
                <w:lang w:eastAsia="en-GB"/>
              </w:rPr>
            </w:pPr>
            <w:r w:rsidRPr="00FA0D37">
              <w:rPr>
                <w:i/>
                <w:iCs/>
                <w:lang w:eastAsia="sv-SE"/>
              </w:rPr>
              <w:t>SidelinkUEinformationNR</w:t>
            </w:r>
            <w:r w:rsidRPr="00FA0D37">
              <w:rPr>
                <w:iCs/>
                <w:lang w:eastAsia="en-GB"/>
              </w:rPr>
              <w:t xml:space="preserve"> field descriptions</w:t>
            </w:r>
          </w:p>
        </w:tc>
      </w:tr>
      <w:tr w:rsidR="005C7FF4" w:rsidRPr="00FA0D37" w14:paraId="7ADE5221"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06B8981F" w14:textId="77777777" w:rsidR="00C26E98" w:rsidRPr="00FA0D37" w:rsidRDefault="00C26E98" w:rsidP="00771058">
            <w:pPr>
              <w:pStyle w:val="TAL"/>
              <w:rPr>
                <w:b/>
                <w:i/>
                <w:lang w:eastAsia="sv-SE"/>
              </w:rPr>
            </w:pPr>
            <w:r w:rsidRPr="00FA0D37">
              <w:rPr>
                <w:b/>
                <w:i/>
                <w:lang w:eastAsia="sv-SE"/>
              </w:rPr>
              <w:t>sl-RxDRX-ReportList</w:t>
            </w:r>
          </w:p>
          <w:p w14:paraId="72B09202" w14:textId="027D1EF2" w:rsidR="00C26E98" w:rsidRPr="00FA0D37" w:rsidRDefault="00A159D0" w:rsidP="00771058">
            <w:pPr>
              <w:pStyle w:val="TAL"/>
              <w:rPr>
                <w:rFonts w:eastAsia="Yu Mincho"/>
                <w:b/>
                <w:bCs/>
                <w:i/>
                <w:lang w:eastAsia="zh-CN"/>
              </w:rPr>
            </w:pPr>
            <w:r w:rsidRPr="00FA0D37">
              <w:rPr>
                <w:lang w:eastAsia="sv-SE"/>
              </w:rPr>
              <w:t>Indicates the accepted DRX configuration that is received from the peer UE and reported to the network for NR sidelink unicast communication</w:t>
            </w:r>
            <w:r w:rsidR="00C26E98" w:rsidRPr="00FA0D37">
              <w:rPr>
                <w:lang w:eastAsia="sv-SE"/>
              </w:rPr>
              <w:t>.</w:t>
            </w:r>
          </w:p>
        </w:tc>
      </w:tr>
      <w:tr w:rsidR="005C7FF4" w:rsidRPr="00FA0D37" w14:paraId="5915F49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DF541E" w14:textId="77777777" w:rsidR="00394471" w:rsidRPr="00FA0D37" w:rsidRDefault="00394471" w:rsidP="00964CC4">
            <w:pPr>
              <w:pStyle w:val="TAL"/>
              <w:rPr>
                <w:rFonts w:eastAsia="Yu Mincho"/>
                <w:b/>
                <w:bCs/>
                <w:i/>
                <w:iCs/>
                <w:lang w:eastAsia="zh-CN"/>
              </w:rPr>
            </w:pPr>
            <w:r w:rsidRPr="00FA0D37">
              <w:rPr>
                <w:rFonts w:eastAsia="Yu Mincho"/>
                <w:b/>
                <w:bCs/>
                <w:i/>
                <w:iCs/>
                <w:lang w:eastAsia="zh-CN"/>
              </w:rPr>
              <w:t>sl-RxInterestedFreqList</w:t>
            </w:r>
          </w:p>
          <w:p w14:paraId="36AAFF6E" w14:textId="77777777" w:rsidR="00394471" w:rsidRPr="00FA0D37" w:rsidRDefault="00394471" w:rsidP="00964CC4">
            <w:pPr>
              <w:pStyle w:val="TAL"/>
              <w:rPr>
                <w:lang w:eastAsia="en-GB"/>
              </w:rPr>
            </w:pPr>
            <w:r w:rsidRPr="00FA0D37">
              <w:rPr>
                <w:lang w:eastAsia="sv-SE"/>
              </w:rPr>
              <w:t xml:space="preserve">Indicates the index of frequency on which the UE is interested to receive NR sidelink communication. The value 1 corresponds to the frequency of first entry in </w:t>
            </w:r>
            <w:r w:rsidRPr="00FA0D37">
              <w:rPr>
                <w:i/>
                <w:iCs/>
                <w:lang w:eastAsia="sv-SE"/>
              </w:rPr>
              <w:t>sl-FreqInfoList</w:t>
            </w:r>
            <w:r w:rsidRPr="00FA0D37">
              <w:rPr>
                <w:lang w:eastAsia="sv-SE"/>
              </w:rPr>
              <w:t xml:space="preserve"> broadcast in </w:t>
            </w:r>
            <w:r w:rsidRPr="00FA0D37">
              <w:rPr>
                <w:i/>
                <w:iCs/>
                <w:lang w:eastAsia="sv-SE"/>
              </w:rPr>
              <w:t>SIB12</w:t>
            </w:r>
            <w:r w:rsidRPr="00FA0D37">
              <w:rPr>
                <w:lang w:eastAsia="sv-SE"/>
              </w:rPr>
              <w:t xml:space="preserve">, the value 2 corresponds to the frequency of second entry in </w:t>
            </w:r>
            <w:r w:rsidRPr="00FA0D37">
              <w:rPr>
                <w:i/>
                <w:iCs/>
                <w:lang w:eastAsia="sv-SE"/>
              </w:rPr>
              <w:t>sl-FreqInfoList</w:t>
            </w:r>
            <w:r w:rsidRPr="00FA0D37">
              <w:rPr>
                <w:lang w:eastAsia="sv-SE"/>
              </w:rPr>
              <w:t xml:space="preserve"> broadcast in </w:t>
            </w:r>
            <w:r w:rsidRPr="00FA0D37">
              <w:rPr>
                <w:i/>
                <w:iCs/>
                <w:lang w:eastAsia="sv-SE"/>
              </w:rPr>
              <w:t>SIB12</w:t>
            </w:r>
            <w:r w:rsidRPr="00FA0D37">
              <w:rPr>
                <w:lang w:eastAsia="sv-SE"/>
              </w:rPr>
              <w:t xml:space="preserve"> and so on. In this release, only value 1 can be included in the interested frequency list. </w:t>
            </w:r>
          </w:p>
        </w:tc>
      </w:tr>
      <w:tr w:rsidR="005C7FF4" w:rsidRPr="00FA0D37" w14:paraId="48C5CD9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76CE7EE" w14:textId="77777777" w:rsidR="00A159D0" w:rsidRPr="00FA0D37" w:rsidRDefault="00A159D0" w:rsidP="00A159D0">
            <w:pPr>
              <w:pStyle w:val="TAL"/>
              <w:rPr>
                <w:rFonts w:eastAsia="Yu Mincho"/>
                <w:b/>
                <w:bCs/>
                <w:i/>
                <w:iCs/>
                <w:lang w:eastAsia="zh-CN"/>
              </w:rPr>
            </w:pPr>
            <w:r w:rsidRPr="00FA0D37">
              <w:rPr>
                <w:rFonts w:eastAsia="Yu Mincho"/>
                <w:b/>
                <w:bCs/>
                <w:i/>
                <w:iCs/>
                <w:lang w:eastAsia="zh-CN"/>
              </w:rPr>
              <w:t>sl-RxInterestedGC-BC-DestList</w:t>
            </w:r>
          </w:p>
          <w:p w14:paraId="5050D9F1" w14:textId="069E2291" w:rsidR="00A159D0" w:rsidRPr="00FA0D37" w:rsidRDefault="00A159D0" w:rsidP="00A159D0">
            <w:pPr>
              <w:pStyle w:val="TAL"/>
              <w:rPr>
                <w:rFonts w:eastAsia="Yu Mincho"/>
                <w:b/>
                <w:bCs/>
                <w:i/>
                <w:iCs/>
                <w:lang w:eastAsia="zh-CN"/>
              </w:rPr>
            </w:pPr>
            <w:r w:rsidRPr="00FA0D37">
              <w:rPr>
                <w:rFonts w:eastAsia="Yu Mincho"/>
                <w:bCs/>
                <w:iCs/>
                <w:lang w:eastAsia="zh-CN"/>
              </w:rPr>
              <w:t>Indicates the reported QoS profile and associated destination for which UE is interested in reception to the network for NR sidelink groupcast and broadcast communication</w:t>
            </w:r>
            <w:r w:rsidR="0039645C" w:rsidRPr="00FA0D37">
              <w:rPr>
                <w:rFonts w:eastAsia="Yu Mincho" w:cs="Arial"/>
                <w:bCs/>
                <w:iCs/>
                <w:lang w:eastAsia="zh-CN"/>
              </w:rPr>
              <w:t xml:space="preserve">, or </w:t>
            </w:r>
            <w:r w:rsidR="00750AB7" w:rsidRPr="00FA0D37">
              <w:rPr>
                <w:rFonts w:cs="Arial"/>
                <w:lang w:eastAsia="zh-CN"/>
              </w:rPr>
              <w:t xml:space="preserve">for </w:t>
            </w:r>
            <w:r w:rsidR="0039645C" w:rsidRPr="00FA0D37">
              <w:rPr>
                <w:rFonts w:eastAsia="Yu Mincho" w:cs="Arial"/>
                <w:bCs/>
                <w:iCs/>
                <w:lang w:eastAsia="zh-CN"/>
              </w:rPr>
              <w:t>NR sidelink discovery</w:t>
            </w:r>
            <w:r w:rsidR="00750AB7" w:rsidRPr="00FA0D37">
              <w:t xml:space="preserve"> </w:t>
            </w:r>
            <w:r w:rsidR="00750AB7" w:rsidRPr="00FA0D37">
              <w:rPr>
                <w:rFonts w:cs="Arial"/>
                <w:lang w:eastAsia="zh-CN"/>
              </w:rPr>
              <w:t>or ProSe Direct Link Establishment Request as described in TS 24.554 [72], or for Direct Link Establishment Request (TS 24.587 [57])</w:t>
            </w:r>
            <w:r w:rsidRPr="00FA0D37">
              <w:rPr>
                <w:rFonts w:eastAsia="Yu Mincho"/>
                <w:bCs/>
                <w:iCs/>
                <w:lang w:eastAsia="zh-CN"/>
              </w:rPr>
              <w:t>.</w:t>
            </w:r>
          </w:p>
        </w:tc>
      </w:tr>
      <w:tr w:rsidR="005C7FF4" w:rsidRPr="00FA0D37" w14:paraId="3BFA3AC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45AECD" w14:textId="1518E5EF" w:rsidR="00360CB9" w:rsidRPr="00FA0D37" w:rsidRDefault="00360CB9" w:rsidP="00771058">
            <w:pPr>
              <w:pStyle w:val="TAL"/>
              <w:rPr>
                <w:rFonts w:eastAsia="Yu Mincho"/>
                <w:b/>
                <w:bCs/>
                <w:i/>
                <w:iCs/>
                <w:lang w:eastAsia="zh-CN"/>
              </w:rPr>
            </w:pPr>
            <w:r w:rsidRPr="00FA0D37">
              <w:rPr>
                <w:rFonts w:eastAsia="Yu Mincho"/>
                <w:b/>
                <w:bCs/>
                <w:i/>
                <w:iCs/>
                <w:lang w:eastAsia="zh-CN"/>
              </w:rPr>
              <w:t>sl-SourceIdentityRemoteUE</w:t>
            </w:r>
          </w:p>
          <w:p w14:paraId="534FEB14" w14:textId="3A8D791E" w:rsidR="00360CB9" w:rsidRPr="00FA0D37" w:rsidRDefault="00360CB9" w:rsidP="00771058">
            <w:pPr>
              <w:pStyle w:val="TAL"/>
              <w:rPr>
                <w:rFonts w:eastAsia="Yu Mincho"/>
                <w:lang w:eastAsia="zh-CN"/>
              </w:rPr>
            </w:pPr>
            <w:r w:rsidRPr="00FA0D37">
              <w:rPr>
                <w:lang w:eastAsia="zh-CN"/>
              </w:rPr>
              <w:t xml:space="preserve">This field is used to indicate the Source Layer-2 ID to be used to establish PC5 link with </w:t>
            </w:r>
            <w:r w:rsidR="00CC30D0" w:rsidRPr="00FA0D37">
              <w:rPr>
                <w:lang w:eastAsia="zh-CN"/>
              </w:rPr>
              <w:t xml:space="preserve">the target </w:t>
            </w:r>
            <w:r w:rsidRPr="00FA0D37">
              <w:rPr>
                <w:lang w:eastAsia="zh-CN"/>
              </w:rPr>
              <w:t>L2 U2N Relay UE</w:t>
            </w:r>
            <w:r w:rsidR="00CC30D0" w:rsidRPr="00FA0D37">
              <w:rPr>
                <w:lang w:eastAsia="zh-CN"/>
              </w:rPr>
              <w:t xml:space="preserve"> for path switch</w:t>
            </w:r>
            <w:r w:rsidRPr="00FA0D37">
              <w:rPr>
                <w:lang w:eastAsia="zh-CN"/>
              </w:rPr>
              <w:t>.</w:t>
            </w:r>
          </w:p>
        </w:tc>
      </w:tr>
      <w:tr w:rsidR="005C7FF4" w:rsidRPr="00FA0D37" w14:paraId="3240B4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55A963" w14:textId="77777777" w:rsidR="00394471" w:rsidRPr="00FA0D37" w:rsidRDefault="00394471" w:rsidP="00964CC4">
            <w:pPr>
              <w:pStyle w:val="TAL"/>
              <w:rPr>
                <w:rFonts w:eastAsia="Yu Mincho"/>
                <w:b/>
                <w:bCs/>
                <w:i/>
                <w:iCs/>
                <w:lang w:eastAsia="zh-CN"/>
              </w:rPr>
            </w:pPr>
            <w:r w:rsidRPr="00FA0D37">
              <w:rPr>
                <w:rFonts w:eastAsia="Yu Mincho"/>
                <w:b/>
                <w:bCs/>
                <w:i/>
                <w:iCs/>
                <w:lang w:eastAsia="zh-CN"/>
              </w:rPr>
              <w:t>sl-TxResourceReq</w:t>
            </w:r>
          </w:p>
          <w:p w14:paraId="035014F5" w14:textId="5727B578" w:rsidR="00394471" w:rsidRPr="00FA0D37" w:rsidRDefault="00394471" w:rsidP="00964CC4">
            <w:pPr>
              <w:pStyle w:val="TAL"/>
              <w:rPr>
                <w:rFonts w:eastAsia="Yu Mincho"/>
                <w:lang w:eastAsia="zh-CN"/>
              </w:rPr>
            </w:pPr>
            <w:r w:rsidRPr="00FA0D37">
              <w:rPr>
                <w:lang w:eastAsia="zh-CN"/>
              </w:rPr>
              <w:t>Param</w:t>
            </w:r>
            <w:r w:rsidR="00E75029" w:rsidRPr="00FA0D37">
              <w:rPr>
                <w:lang w:eastAsia="zh-CN"/>
              </w:rPr>
              <w:t>e</w:t>
            </w:r>
            <w:r w:rsidRPr="00FA0D37">
              <w:rPr>
                <w:lang w:eastAsia="zh-CN"/>
              </w:rPr>
              <w:t>ters t</w:t>
            </w:r>
            <w:r w:rsidRPr="00FA0D37">
              <w:rPr>
                <w:lang w:eastAsia="sv-SE"/>
              </w:rPr>
              <w:t xml:space="preserve">o request the </w:t>
            </w:r>
            <w:r w:rsidRPr="00FA0D37">
              <w:rPr>
                <w:lang w:eastAsia="zh-CN"/>
              </w:rPr>
              <w:t>transmiss</w:t>
            </w:r>
            <w:r w:rsidR="00E75029" w:rsidRPr="00FA0D37">
              <w:rPr>
                <w:lang w:eastAsia="zh-CN"/>
              </w:rPr>
              <w:t>i</w:t>
            </w:r>
            <w:r w:rsidRPr="00FA0D37">
              <w:rPr>
                <w:lang w:eastAsia="zh-CN"/>
              </w:rPr>
              <w:t>on</w:t>
            </w:r>
            <w:r w:rsidRPr="00FA0D37">
              <w:rPr>
                <w:lang w:eastAsia="sv-SE"/>
              </w:rPr>
              <w:t xml:space="preserve"> resou</w:t>
            </w:r>
            <w:r w:rsidR="00E75029" w:rsidRPr="00FA0D37">
              <w:rPr>
                <w:lang w:eastAsia="sv-SE"/>
              </w:rPr>
              <w:t>r</w:t>
            </w:r>
            <w:r w:rsidRPr="00FA0D37">
              <w:rPr>
                <w:lang w:eastAsia="sv-SE"/>
              </w:rPr>
              <w:t>ce</w:t>
            </w:r>
            <w:r w:rsidRPr="00FA0D37">
              <w:rPr>
                <w:lang w:eastAsia="zh-CN"/>
              </w:rPr>
              <w:t>s</w:t>
            </w:r>
            <w:r w:rsidRPr="00FA0D37">
              <w:rPr>
                <w:lang w:eastAsia="sv-SE"/>
              </w:rPr>
              <w:t xml:space="preserve"> for NR sidelink communication to the network in the Sidelink UE Information report.</w:t>
            </w:r>
          </w:p>
        </w:tc>
      </w:tr>
      <w:tr w:rsidR="005C7FF4" w:rsidRPr="00FA0D37" w14:paraId="7D22E6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F0A6007" w14:textId="77777777" w:rsidR="00A159D0" w:rsidRPr="00FA0D37" w:rsidRDefault="00A159D0" w:rsidP="00A159D0">
            <w:pPr>
              <w:pStyle w:val="TAL"/>
              <w:rPr>
                <w:rFonts w:eastAsia="Yu Mincho"/>
                <w:b/>
                <w:bCs/>
                <w:i/>
                <w:iCs/>
                <w:lang w:eastAsia="zh-CN"/>
              </w:rPr>
            </w:pPr>
            <w:r w:rsidRPr="00FA0D37">
              <w:rPr>
                <w:rFonts w:eastAsia="Yu Mincho"/>
                <w:b/>
                <w:bCs/>
                <w:i/>
                <w:iCs/>
                <w:lang w:eastAsia="zh-CN"/>
              </w:rPr>
              <w:t>sl-TxResourceReqList</w:t>
            </w:r>
          </w:p>
          <w:p w14:paraId="46BA88E7" w14:textId="0A280363" w:rsidR="00A159D0" w:rsidRPr="00FA0D37" w:rsidRDefault="00A159D0" w:rsidP="00A159D0">
            <w:pPr>
              <w:pStyle w:val="TAL"/>
              <w:rPr>
                <w:rFonts w:eastAsia="Yu Mincho"/>
                <w:b/>
                <w:bCs/>
                <w:i/>
                <w:iCs/>
                <w:lang w:eastAsia="zh-CN"/>
              </w:rPr>
            </w:pPr>
            <w:r w:rsidRPr="00FA0D37">
              <w:rPr>
                <w:rFonts w:eastAsia="Yu Mincho"/>
                <w:bCs/>
                <w:iCs/>
                <w:lang w:eastAsia="zh-CN"/>
              </w:rPr>
              <w:t xml:space="preserve">List of parameters to request the transmission resources for NR sidelink communication for the associated destination. If </w:t>
            </w:r>
            <w:r w:rsidRPr="00FA0D37">
              <w:rPr>
                <w:rFonts w:eastAsia="Yu Mincho"/>
                <w:bCs/>
                <w:i/>
                <w:lang w:eastAsia="zh-CN"/>
              </w:rPr>
              <w:t>sl-TxResourceReqList-v1700</w:t>
            </w:r>
            <w:r w:rsidRPr="00FA0D37">
              <w:rPr>
                <w:rFonts w:eastAsia="Yu Mincho"/>
                <w:bCs/>
                <w:iCs/>
                <w:lang w:eastAsia="zh-CN"/>
              </w:rPr>
              <w:t xml:space="preserve"> is present, it shall contain the same number of entries, listed in the same order as in</w:t>
            </w:r>
            <w:r w:rsidRPr="00FA0D37">
              <w:rPr>
                <w:rFonts w:eastAsia="Yu Mincho"/>
                <w:bCs/>
                <w:i/>
                <w:lang w:eastAsia="zh-CN"/>
              </w:rPr>
              <w:t xml:space="preserve"> sl-TxResourceReqList</w:t>
            </w:r>
            <w:r w:rsidR="00692909" w:rsidRPr="00FA0D37">
              <w:rPr>
                <w:rFonts w:eastAsia="Yu Mincho"/>
                <w:bCs/>
                <w:i/>
                <w:lang w:eastAsia="zh-CN"/>
              </w:rPr>
              <w:t>-r16</w:t>
            </w:r>
            <w:r w:rsidRPr="00FA0D37">
              <w:rPr>
                <w:rFonts w:eastAsia="Yu Mincho"/>
                <w:bCs/>
                <w:iCs/>
                <w:lang w:eastAsia="zh-CN"/>
              </w:rPr>
              <w:t>.</w:t>
            </w:r>
          </w:p>
        </w:tc>
      </w:tr>
      <w:tr w:rsidR="00375B89" w:rsidRPr="00FA0D37" w14:paraId="5702A2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A5580CC" w14:textId="77777777" w:rsidR="00360CB9" w:rsidRPr="00FA0D37" w:rsidRDefault="00360CB9" w:rsidP="00360CB9">
            <w:pPr>
              <w:pStyle w:val="TAL"/>
              <w:rPr>
                <w:rFonts w:eastAsia="Yu Mincho"/>
                <w:b/>
                <w:bCs/>
                <w:i/>
                <w:iCs/>
                <w:lang w:eastAsia="zh-CN"/>
              </w:rPr>
            </w:pPr>
            <w:r w:rsidRPr="00FA0D37">
              <w:rPr>
                <w:rFonts w:eastAsia="Yu Mincho"/>
                <w:b/>
                <w:bCs/>
                <w:i/>
                <w:iCs/>
                <w:lang w:eastAsia="zh-CN"/>
              </w:rPr>
              <w:t>ue-Type</w:t>
            </w:r>
          </w:p>
          <w:p w14:paraId="1D40B8EA" w14:textId="3D3AFA1C" w:rsidR="00360CB9" w:rsidRPr="00FA0D37" w:rsidRDefault="00360CB9" w:rsidP="00360CB9">
            <w:pPr>
              <w:pStyle w:val="TAL"/>
              <w:rPr>
                <w:rFonts w:eastAsia="Yu Mincho"/>
                <w:lang w:eastAsia="zh-CN"/>
              </w:rPr>
            </w:pPr>
            <w:r w:rsidRPr="00FA0D37">
              <w:rPr>
                <w:rFonts w:eastAsia="Yu Mincho"/>
                <w:lang w:eastAsia="zh-CN"/>
              </w:rPr>
              <w:t>Indicates the UE is acting as U2N Relay UE or U2N Remote UE.</w:t>
            </w:r>
          </w:p>
        </w:tc>
      </w:tr>
    </w:tbl>
    <w:p w14:paraId="774FCC66" w14:textId="77777777" w:rsidR="00394471" w:rsidRPr="00FA0D37"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6E8853F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614B08" w14:textId="77777777" w:rsidR="00394471" w:rsidRPr="00FA0D37" w:rsidRDefault="00394471" w:rsidP="00964CC4">
            <w:pPr>
              <w:pStyle w:val="TAH"/>
              <w:rPr>
                <w:b w:val="0"/>
                <w:lang w:eastAsia="en-GB"/>
              </w:rPr>
            </w:pPr>
            <w:r w:rsidRPr="00FA0D37">
              <w:rPr>
                <w:i/>
                <w:lang w:eastAsia="sv-SE"/>
              </w:rPr>
              <w:lastRenderedPageBreak/>
              <w:t>SL-TxResourceReq</w:t>
            </w:r>
            <w:r w:rsidRPr="00FA0D37">
              <w:rPr>
                <w:lang w:eastAsia="en-GB"/>
              </w:rPr>
              <w:t xml:space="preserve"> field descriptions</w:t>
            </w:r>
          </w:p>
        </w:tc>
      </w:tr>
      <w:tr w:rsidR="005C7FF4" w:rsidRPr="00FA0D37" w14:paraId="473B64B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0AE1D4" w14:textId="77777777" w:rsidR="00394471" w:rsidRPr="00FA0D37" w:rsidRDefault="00394471" w:rsidP="00964CC4">
            <w:pPr>
              <w:pStyle w:val="TAL"/>
              <w:rPr>
                <w:rFonts w:eastAsia="Yu Mincho"/>
                <w:b/>
                <w:bCs/>
                <w:i/>
                <w:iCs/>
                <w:lang w:eastAsia="zh-CN"/>
              </w:rPr>
            </w:pPr>
            <w:r w:rsidRPr="00FA0D37">
              <w:rPr>
                <w:b/>
                <w:bCs/>
                <w:i/>
                <w:iCs/>
                <w:lang w:eastAsia="zh-CN"/>
              </w:rPr>
              <w:t>sl-CapabilityInformationSidelink</w:t>
            </w:r>
          </w:p>
          <w:p w14:paraId="5F8688CF" w14:textId="77777777" w:rsidR="00394471" w:rsidRPr="00FA0D37" w:rsidRDefault="00394471" w:rsidP="00964CC4">
            <w:pPr>
              <w:pStyle w:val="TAL"/>
              <w:rPr>
                <w:lang w:eastAsia="sv-SE"/>
              </w:rPr>
            </w:pPr>
            <w:r w:rsidRPr="00FA0D37">
              <w:rPr>
                <w:rFonts w:eastAsia="Yu Mincho"/>
                <w:lang w:eastAsia="zh-CN"/>
              </w:rPr>
              <w:t xml:space="preserve">Includes the </w:t>
            </w:r>
            <w:r w:rsidRPr="00FA0D37">
              <w:rPr>
                <w:rFonts w:eastAsia="Yu Mincho"/>
                <w:i/>
                <w:iCs/>
                <w:lang w:eastAsia="zh-CN"/>
              </w:rPr>
              <w:t>UECapabilityInformationSidelink</w:t>
            </w:r>
            <w:r w:rsidRPr="00FA0D37">
              <w:rPr>
                <w:rFonts w:eastAsia="Yu Mincho"/>
                <w:lang w:eastAsia="zh-CN"/>
              </w:rPr>
              <w:t xml:space="preserve"> message (which can be also included in </w:t>
            </w:r>
            <w:r w:rsidRPr="00FA0D37">
              <w:rPr>
                <w:rFonts w:eastAsia="Yu Mincho"/>
                <w:i/>
                <w:iCs/>
                <w:lang w:eastAsia="zh-CN"/>
              </w:rPr>
              <w:t>ueCapabilityInformationSidelink-r16</w:t>
            </w:r>
            <w:r w:rsidRPr="00FA0D37">
              <w:rPr>
                <w:rFonts w:eastAsia="Yu Mincho"/>
                <w:lang w:eastAsia="zh-CN"/>
              </w:rPr>
              <w:t xml:space="preserve"> in </w:t>
            </w:r>
            <w:r w:rsidRPr="00FA0D37">
              <w:rPr>
                <w:rFonts w:eastAsia="Yu Mincho"/>
                <w:i/>
                <w:iCs/>
                <w:lang w:eastAsia="zh-CN"/>
              </w:rPr>
              <w:t>UECapabilityEnquirySidelink</w:t>
            </w:r>
            <w:r w:rsidRPr="00FA0D37">
              <w:rPr>
                <w:rFonts w:eastAsia="Yu Mincho"/>
                <w:lang w:eastAsia="zh-CN"/>
              </w:rPr>
              <w:t xml:space="preserve"> from peer UE) received from the peer UE.</w:t>
            </w:r>
          </w:p>
        </w:tc>
      </w:tr>
      <w:tr w:rsidR="005C7FF4" w:rsidRPr="00FA0D37" w14:paraId="291F7F1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936917" w14:textId="77777777" w:rsidR="00394471" w:rsidRPr="00FA0D37" w:rsidRDefault="00394471" w:rsidP="00964CC4">
            <w:pPr>
              <w:pStyle w:val="TAL"/>
              <w:rPr>
                <w:rFonts w:eastAsia="Yu Mincho"/>
                <w:b/>
                <w:bCs/>
                <w:i/>
                <w:iCs/>
                <w:lang w:eastAsia="zh-CN"/>
              </w:rPr>
            </w:pPr>
            <w:r w:rsidRPr="00FA0D37">
              <w:rPr>
                <w:b/>
                <w:bCs/>
                <w:i/>
                <w:iCs/>
                <w:lang w:eastAsia="zh-CN"/>
              </w:rPr>
              <w:t>sl-CastType</w:t>
            </w:r>
          </w:p>
          <w:p w14:paraId="4E33826D" w14:textId="010B0653" w:rsidR="00394471" w:rsidRPr="00FA0D37" w:rsidRDefault="00394471" w:rsidP="00964CC4">
            <w:pPr>
              <w:pStyle w:val="TAL"/>
              <w:rPr>
                <w:rFonts w:eastAsia="Yu Mincho"/>
                <w:lang w:eastAsia="zh-CN"/>
              </w:rPr>
            </w:pPr>
            <w:r w:rsidRPr="00FA0D37">
              <w:rPr>
                <w:rFonts w:eastAsia="Yu Mincho"/>
                <w:lang w:eastAsia="zh-CN"/>
              </w:rPr>
              <w:t>Indicates the cast type for the corre</w:t>
            </w:r>
            <w:r w:rsidR="00E75029" w:rsidRPr="00FA0D37">
              <w:rPr>
                <w:rFonts w:eastAsia="Yu Mincho"/>
                <w:lang w:eastAsia="zh-CN"/>
              </w:rPr>
              <w:t>s</w:t>
            </w:r>
            <w:r w:rsidRPr="00FA0D37">
              <w:rPr>
                <w:rFonts w:eastAsia="Yu Mincho"/>
                <w:lang w:eastAsia="zh-CN"/>
              </w:rPr>
              <w:t>ponding destination</w:t>
            </w:r>
            <w:r w:rsidRPr="00FA0D37">
              <w:rPr>
                <w:lang w:eastAsia="sv-SE"/>
              </w:rPr>
              <w:t xml:space="preserve"> for which to request the resource.</w:t>
            </w:r>
          </w:p>
        </w:tc>
      </w:tr>
      <w:tr w:rsidR="005C7FF4" w:rsidRPr="00FA0D37" w14:paraId="0EA055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B79FC" w14:textId="77777777" w:rsidR="00394471" w:rsidRPr="00FA0D37" w:rsidRDefault="00394471" w:rsidP="00964CC4">
            <w:pPr>
              <w:pStyle w:val="TAL"/>
              <w:rPr>
                <w:rFonts w:eastAsia="Yu Mincho"/>
                <w:b/>
                <w:bCs/>
                <w:i/>
                <w:iCs/>
                <w:lang w:eastAsia="zh-CN"/>
              </w:rPr>
            </w:pPr>
            <w:r w:rsidRPr="00FA0D37">
              <w:rPr>
                <w:rFonts w:eastAsia="Yu Mincho"/>
                <w:b/>
                <w:bCs/>
                <w:i/>
                <w:iCs/>
                <w:lang w:eastAsia="zh-CN"/>
              </w:rPr>
              <w:t>sl-DestinationIdentity</w:t>
            </w:r>
          </w:p>
          <w:p w14:paraId="28639037" w14:textId="77777777" w:rsidR="00394471" w:rsidRPr="00FA0D37" w:rsidRDefault="00394471" w:rsidP="00964CC4">
            <w:pPr>
              <w:pStyle w:val="TAL"/>
              <w:rPr>
                <w:lang w:eastAsia="en-GB"/>
              </w:rPr>
            </w:pPr>
            <w:r w:rsidRPr="00FA0D37">
              <w:rPr>
                <w:rFonts w:eastAsia="Yu Mincho"/>
                <w:lang w:eastAsia="zh-CN"/>
              </w:rPr>
              <w:t xml:space="preserve">Indicates the </w:t>
            </w:r>
            <w:r w:rsidRPr="00FA0D37">
              <w:rPr>
                <w:lang w:eastAsia="sv-SE"/>
              </w:rPr>
              <w:t>destination for which the TX resource request and allocation from the network are concerned.</w:t>
            </w:r>
          </w:p>
        </w:tc>
      </w:tr>
      <w:tr w:rsidR="005C7FF4" w:rsidRPr="00FA0D37" w14:paraId="77F404A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4E8B85A" w14:textId="77777777" w:rsidR="00A159D0" w:rsidRPr="00FA0D37" w:rsidRDefault="00A159D0" w:rsidP="00A159D0">
            <w:pPr>
              <w:pStyle w:val="TAL"/>
              <w:rPr>
                <w:rFonts w:eastAsia="Yu Mincho"/>
                <w:b/>
                <w:bCs/>
                <w:i/>
                <w:iCs/>
                <w:lang w:eastAsia="zh-CN"/>
              </w:rPr>
            </w:pPr>
            <w:r w:rsidRPr="00FA0D37">
              <w:rPr>
                <w:rFonts w:eastAsia="Yu Mincho"/>
                <w:b/>
                <w:bCs/>
                <w:i/>
                <w:iCs/>
                <w:lang w:eastAsia="zh-CN"/>
              </w:rPr>
              <w:t>sl-DRX-Indication</w:t>
            </w:r>
          </w:p>
          <w:p w14:paraId="37775491" w14:textId="5EF52132" w:rsidR="00A159D0" w:rsidRPr="00FA0D37" w:rsidRDefault="00A159D0" w:rsidP="00A159D0">
            <w:pPr>
              <w:pStyle w:val="TAL"/>
              <w:rPr>
                <w:rFonts w:eastAsia="Yu Mincho"/>
                <w:b/>
                <w:bCs/>
                <w:i/>
                <w:iCs/>
                <w:lang w:eastAsia="zh-CN"/>
              </w:rPr>
            </w:pPr>
            <w:r w:rsidRPr="00FA0D37">
              <w:rPr>
                <w:rFonts w:eastAsia="Yu Mincho"/>
                <w:bCs/>
                <w:iCs/>
                <w:lang w:eastAsia="zh-CN"/>
              </w:rPr>
              <w:t xml:space="preserve">Indicates the sidelink DRX is applied (value </w:t>
            </w:r>
            <w:r w:rsidRPr="00FA0D37">
              <w:rPr>
                <w:rFonts w:eastAsia="Yu Mincho"/>
                <w:bCs/>
                <w:i/>
                <w:iCs/>
                <w:lang w:eastAsia="zh-CN"/>
              </w:rPr>
              <w:t>on</w:t>
            </w:r>
            <w:r w:rsidRPr="00FA0D37">
              <w:rPr>
                <w:rFonts w:eastAsia="Yu Mincho"/>
                <w:bCs/>
                <w:iCs/>
                <w:lang w:eastAsia="zh-CN"/>
              </w:rPr>
              <w:t xml:space="preserve">) or not applied (value </w:t>
            </w:r>
            <w:r w:rsidRPr="00FA0D37">
              <w:rPr>
                <w:rFonts w:eastAsia="Yu Mincho"/>
                <w:bCs/>
                <w:i/>
                <w:iCs/>
                <w:lang w:eastAsia="zh-CN"/>
              </w:rPr>
              <w:t>off</w:t>
            </w:r>
            <w:r w:rsidRPr="00FA0D37">
              <w:rPr>
                <w:rFonts w:eastAsia="Yu Mincho"/>
                <w:bCs/>
                <w:iCs/>
                <w:lang w:eastAsia="zh-CN"/>
              </w:rPr>
              <w:t>) for the associated destination. This field is only valid for NR sidelink groupcast communication.</w:t>
            </w:r>
          </w:p>
        </w:tc>
      </w:tr>
      <w:tr w:rsidR="005C7FF4" w:rsidRPr="00FA0D37" w14:paraId="1E5D6882"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E8357E1" w14:textId="7739C842" w:rsidR="00A159D0" w:rsidRPr="00FA0D37" w:rsidRDefault="00A159D0" w:rsidP="00A159D0">
            <w:pPr>
              <w:pStyle w:val="TAL"/>
              <w:rPr>
                <w:rFonts w:eastAsia="Yu Mincho"/>
                <w:b/>
                <w:bCs/>
                <w:i/>
                <w:iCs/>
                <w:lang w:eastAsia="zh-CN"/>
              </w:rPr>
            </w:pPr>
            <w:r w:rsidRPr="00FA0D37">
              <w:rPr>
                <w:rFonts w:eastAsia="Yu Mincho"/>
                <w:b/>
                <w:bCs/>
                <w:i/>
                <w:iCs/>
                <w:lang w:eastAsia="zh-CN"/>
              </w:rPr>
              <w:t>sl-DRX-InfoFromRxList</w:t>
            </w:r>
          </w:p>
          <w:p w14:paraId="0FCF4A2D" w14:textId="4ED61745" w:rsidR="00A159D0" w:rsidRPr="00FA0D37" w:rsidRDefault="00A159D0" w:rsidP="00A159D0">
            <w:pPr>
              <w:pStyle w:val="TAL"/>
              <w:rPr>
                <w:rFonts w:eastAsia="Yu Mincho"/>
                <w:lang w:eastAsia="zh-CN"/>
              </w:rPr>
            </w:pPr>
            <w:r w:rsidRPr="00FA0D37">
              <w:rPr>
                <w:rFonts w:eastAsia="Yu Mincho"/>
                <w:lang w:eastAsia="zh-CN"/>
              </w:rPr>
              <w:t>Indicates list of the sidelink DRX configurations as assistance information received from the peer UE for NR sidelink unicast communication.</w:t>
            </w:r>
          </w:p>
        </w:tc>
      </w:tr>
      <w:tr w:rsidR="005C7FF4" w:rsidRPr="00FA0D37" w14:paraId="2F2C40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894C7" w14:textId="77777777" w:rsidR="00A159D0" w:rsidRPr="00FA0D37" w:rsidRDefault="00A159D0" w:rsidP="00A159D0">
            <w:pPr>
              <w:pStyle w:val="TAL"/>
              <w:rPr>
                <w:rFonts w:eastAsia="Yu Mincho"/>
                <w:b/>
                <w:bCs/>
                <w:i/>
                <w:iCs/>
                <w:lang w:eastAsia="zh-CN"/>
              </w:rPr>
            </w:pPr>
            <w:r w:rsidRPr="00FA0D37">
              <w:rPr>
                <w:rFonts w:eastAsia="Yu Mincho"/>
                <w:b/>
                <w:bCs/>
                <w:i/>
                <w:iCs/>
                <w:lang w:eastAsia="zh-CN"/>
              </w:rPr>
              <w:t>sl-QoS-InfoList</w:t>
            </w:r>
          </w:p>
          <w:p w14:paraId="567059A7" w14:textId="67CB9C68" w:rsidR="00A159D0" w:rsidRPr="00FA0D37" w:rsidRDefault="00A159D0" w:rsidP="00A159D0">
            <w:pPr>
              <w:pStyle w:val="TAL"/>
              <w:rPr>
                <w:rFonts w:eastAsia="Yu Mincho"/>
                <w:lang w:eastAsia="zh-CN"/>
              </w:rPr>
            </w:pPr>
            <w:r w:rsidRPr="00FA0D37">
              <w:rPr>
                <w:rFonts w:eastAsia="Yu Mincho"/>
                <w:lang w:eastAsia="zh-CN"/>
              </w:rPr>
              <w:t>Includes the QoS profile of the sidelink QoS flow as specified in TS 23.287 [55].</w:t>
            </w:r>
          </w:p>
        </w:tc>
      </w:tr>
      <w:tr w:rsidR="005C7FF4" w:rsidRPr="00FA0D37" w14:paraId="700125C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F9A5F" w14:textId="77777777" w:rsidR="00A159D0" w:rsidRPr="00FA0D37" w:rsidRDefault="00A159D0" w:rsidP="00A159D0">
            <w:pPr>
              <w:pStyle w:val="TAL"/>
              <w:rPr>
                <w:b/>
                <w:bCs/>
                <w:i/>
                <w:iCs/>
                <w:lang w:eastAsia="zh-CN"/>
              </w:rPr>
            </w:pPr>
            <w:r w:rsidRPr="00FA0D37">
              <w:rPr>
                <w:b/>
                <w:bCs/>
                <w:i/>
                <w:iCs/>
                <w:lang w:eastAsia="zh-CN"/>
              </w:rPr>
              <w:t>sl-QoS-FlowIdentity</w:t>
            </w:r>
          </w:p>
          <w:p w14:paraId="0491FF70" w14:textId="77777777" w:rsidR="00A159D0" w:rsidRPr="00FA0D37" w:rsidRDefault="00A159D0" w:rsidP="00A159D0">
            <w:pPr>
              <w:pStyle w:val="TAL"/>
              <w:rPr>
                <w:lang w:eastAsia="zh-CN"/>
              </w:rPr>
            </w:pPr>
            <w:r w:rsidRPr="00FA0D37">
              <w:rPr>
                <w:lang w:eastAsia="zh-CN"/>
              </w:rPr>
              <w:t>This identity uniquely identifies one sidelink QoS flow between the UE and the network in the scope of UE, which is unique for different destination and cast type.</w:t>
            </w:r>
          </w:p>
        </w:tc>
      </w:tr>
      <w:tr w:rsidR="005C7FF4" w:rsidRPr="00FA0D37" w14:paraId="306AF9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2548C" w14:textId="77777777" w:rsidR="00A159D0" w:rsidRPr="00FA0D37" w:rsidRDefault="00A159D0" w:rsidP="00A159D0">
            <w:pPr>
              <w:pStyle w:val="TAL"/>
              <w:rPr>
                <w:b/>
                <w:bCs/>
                <w:i/>
                <w:iCs/>
                <w:lang w:eastAsia="zh-CN"/>
              </w:rPr>
            </w:pPr>
            <w:r w:rsidRPr="00FA0D37">
              <w:rPr>
                <w:b/>
                <w:bCs/>
                <w:i/>
                <w:iCs/>
                <w:lang w:eastAsia="zh-CN"/>
              </w:rPr>
              <w:t>sl-RLC-ModeIndication</w:t>
            </w:r>
          </w:p>
          <w:p w14:paraId="15426D62" w14:textId="77777777" w:rsidR="00A159D0" w:rsidRPr="00FA0D37" w:rsidRDefault="00A159D0" w:rsidP="00A159D0">
            <w:pPr>
              <w:pStyle w:val="TAL"/>
              <w:rPr>
                <w:lang w:eastAsia="zh-CN"/>
              </w:rPr>
            </w:pPr>
            <w:r w:rsidRPr="00FA0D37">
              <w:rPr>
                <w:lang w:eastAsia="zh-CN"/>
              </w:rPr>
              <w:t xml:space="preserve">This field indicates the RLC mode and optionally the related QoS </w:t>
            </w:r>
            <w:r w:rsidRPr="00FA0D37">
              <w:rPr>
                <w:rFonts w:eastAsia="Yu Mincho"/>
                <w:lang w:eastAsia="zh-CN"/>
              </w:rPr>
              <w:t xml:space="preserve">profiles for the sidelink radio bearer, which has not been configured by the network and is initiated by another UE in unicast. The </w:t>
            </w:r>
            <w:r w:rsidRPr="00FA0D37">
              <w:rPr>
                <w:lang w:eastAsia="zh-CN"/>
              </w:rPr>
              <w:t xml:space="preserve">RLC mode for one sidelink radio bearer is aligned between UE and NW by the </w:t>
            </w:r>
            <w:r w:rsidRPr="00FA0D37">
              <w:rPr>
                <w:i/>
                <w:iCs/>
                <w:lang w:eastAsia="zh-CN"/>
              </w:rPr>
              <w:t>sl-QoS-FlowIdentity</w:t>
            </w:r>
            <w:r w:rsidRPr="00FA0D37">
              <w:rPr>
                <w:lang w:eastAsia="zh-CN"/>
              </w:rPr>
              <w:t>.</w:t>
            </w:r>
          </w:p>
        </w:tc>
      </w:tr>
      <w:tr w:rsidR="005C7FF4" w:rsidRPr="00FA0D37" w14:paraId="0DC33FE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E2621D" w14:textId="77777777" w:rsidR="00A159D0" w:rsidRPr="00FA0D37" w:rsidRDefault="00A159D0" w:rsidP="00A159D0">
            <w:pPr>
              <w:pStyle w:val="TAL"/>
              <w:rPr>
                <w:rFonts w:eastAsia="Yu Mincho"/>
                <w:b/>
                <w:bCs/>
                <w:i/>
                <w:iCs/>
                <w:lang w:eastAsia="zh-CN"/>
              </w:rPr>
            </w:pPr>
            <w:r w:rsidRPr="00FA0D37">
              <w:rPr>
                <w:rFonts w:eastAsia="Yu Mincho"/>
                <w:b/>
                <w:bCs/>
                <w:i/>
                <w:iCs/>
                <w:lang w:eastAsia="zh-CN"/>
              </w:rPr>
              <w:t>sl-TxInterestedFreqList</w:t>
            </w:r>
          </w:p>
          <w:p w14:paraId="11DAB0F4" w14:textId="56FCF899" w:rsidR="00A159D0" w:rsidRPr="00FA0D37" w:rsidRDefault="00A159D0" w:rsidP="00A159D0">
            <w:pPr>
              <w:pStyle w:val="TAL"/>
              <w:rPr>
                <w:lang w:eastAsia="zh-CN"/>
              </w:rPr>
            </w:pPr>
            <w:r w:rsidRPr="00FA0D37">
              <w:rPr>
                <w:lang w:eastAsia="zh-CN"/>
              </w:rPr>
              <w:t>Each entry of this field i</w:t>
            </w:r>
            <w:r w:rsidRPr="00FA0D37">
              <w:rPr>
                <w:lang w:eastAsia="sv-SE"/>
              </w:rPr>
              <w:t xml:space="preserve">ndicates the index of frequency on which the UE is interested to transmit NR sidelink communication. The value 1 corresponds to the frequency of first entry in </w:t>
            </w:r>
            <w:r w:rsidRPr="00FA0D37">
              <w:rPr>
                <w:i/>
                <w:iCs/>
                <w:lang w:eastAsia="sv-SE"/>
              </w:rPr>
              <w:t>sl-FreqInfoList</w:t>
            </w:r>
            <w:r w:rsidRPr="00FA0D37">
              <w:rPr>
                <w:lang w:eastAsia="sv-SE"/>
              </w:rPr>
              <w:t xml:space="preserve"> broadcast in </w:t>
            </w:r>
            <w:r w:rsidRPr="00FA0D37">
              <w:rPr>
                <w:i/>
                <w:iCs/>
                <w:lang w:eastAsia="sv-SE"/>
              </w:rPr>
              <w:t>SIB12</w:t>
            </w:r>
            <w:r w:rsidRPr="00FA0D37">
              <w:rPr>
                <w:lang w:eastAsia="sv-SE"/>
              </w:rPr>
              <w:t xml:space="preserve">, the value 2 corresponds to the frequency of second entry in </w:t>
            </w:r>
            <w:r w:rsidRPr="00FA0D37">
              <w:rPr>
                <w:i/>
                <w:iCs/>
                <w:lang w:eastAsia="sv-SE"/>
              </w:rPr>
              <w:t>sl-FreqInfoList broadcast</w:t>
            </w:r>
            <w:r w:rsidRPr="00FA0D37">
              <w:rPr>
                <w:lang w:eastAsia="sv-SE"/>
              </w:rPr>
              <w:t xml:space="preserve"> in </w:t>
            </w:r>
            <w:r w:rsidRPr="00FA0D37">
              <w:rPr>
                <w:i/>
                <w:iCs/>
                <w:lang w:eastAsia="sv-SE"/>
              </w:rPr>
              <w:t>SIB12</w:t>
            </w:r>
            <w:r w:rsidRPr="00FA0D37">
              <w:rPr>
                <w:lang w:eastAsia="sv-SE"/>
              </w:rPr>
              <w:t xml:space="preserve"> and so on. In this release, only value 1 can be included in the interested frequency list. </w:t>
            </w:r>
            <w:r w:rsidRPr="00FA0D37">
              <w:rPr>
                <w:lang w:eastAsia="en-GB"/>
              </w:rPr>
              <w:t xml:space="preserve">In this release, only one </w:t>
            </w:r>
            <w:r w:rsidRPr="00FA0D37">
              <w:rPr>
                <w:lang w:eastAsia="sv-SE"/>
              </w:rPr>
              <w:t>entry can be included in the list.</w:t>
            </w:r>
          </w:p>
        </w:tc>
      </w:tr>
      <w:tr w:rsidR="00375B89" w:rsidRPr="00FA0D37" w14:paraId="7E3BE004" w14:textId="77777777" w:rsidTr="00964CC4">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16768045" w14:textId="77777777" w:rsidR="00A159D0" w:rsidRPr="00FA0D37" w:rsidRDefault="00A159D0" w:rsidP="00A159D0">
            <w:pPr>
              <w:pStyle w:val="TAL"/>
              <w:rPr>
                <w:b/>
                <w:bCs/>
                <w:i/>
                <w:iCs/>
                <w:lang w:eastAsia="zh-CN"/>
              </w:rPr>
            </w:pPr>
            <w:r w:rsidRPr="00FA0D37">
              <w:rPr>
                <w:b/>
                <w:bCs/>
                <w:i/>
                <w:iCs/>
                <w:lang w:eastAsia="zh-CN"/>
              </w:rPr>
              <w:t>sl-TypeTxSync</w:t>
            </w:r>
            <w:r w:rsidRPr="00FA0D37">
              <w:rPr>
                <w:rFonts w:eastAsia="Yu Mincho"/>
                <w:b/>
                <w:bCs/>
                <w:i/>
                <w:iCs/>
                <w:lang w:eastAsia="zh-CN"/>
              </w:rPr>
              <w:t>List</w:t>
            </w:r>
          </w:p>
          <w:p w14:paraId="5B238F43" w14:textId="29699A68" w:rsidR="00A159D0" w:rsidRPr="00FA0D37" w:rsidRDefault="00A159D0" w:rsidP="00A159D0">
            <w:pPr>
              <w:pStyle w:val="TAL"/>
              <w:rPr>
                <w:lang w:eastAsia="zh-CN"/>
              </w:rPr>
            </w:pPr>
            <w:r w:rsidRPr="00FA0D37">
              <w:rPr>
                <w:lang w:eastAsia="zh-CN"/>
              </w:rPr>
              <w:t xml:space="preserve">A list of synchronization reference used by the UE. The UE shall include the same number of entries, listed in the same order, as in </w:t>
            </w:r>
            <w:r w:rsidRPr="00FA0D37">
              <w:rPr>
                <w:i/>
                <w:iCs/>
                <w:lang w:eastAsia="zh-CN"/>
              </w:rPr>
              <w:t>sl-TxInterestedFreqList</w:t>
            </w:r>
            <w:r w:rsidRPr="00FA0D37">
              <w:rPr>
                <w:lang w:eastAsia="zh-CN"/>
              </w:rPr>
              <w:t xml:space="preserve">, i.e. one for each carrier frequency included in </w:t>
            </w:r>
            <w:r w:rsidRPr="00FA0D37">
              <w:rPr>
                <w:i/>
                <w:iCs/>
                <w:lang w:eastAsia="zh-CN"/>
              </w:rPr>
              <w:t>sl-TxInterestedFreqList</w:t>
            </w:r>
            <w:r w:rsidRPr="00FA0D37">
              <w:rPr>
                <w:lang w:eastAsia="zh-CN"/>
              </w:rPr>
              <w:t>.</w:t>
            </w:r>
          </w:p>
        </w:tc>
      </w:tr>
    </w:tbl>
    <w:p w14:paraId="5A0E021F" w14:textId="77777777" w:rsidR="00394471" w:rsidRPr="00FA0D37" w:rsidRDefault="00394471" w:rsidP="00394471">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158B57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744516" w14:textId="77777777" w:rsidR="00394471" w:rsidRPr="00FA0D37" w:rsidRDefault="00394471" w:rsidP="00964CC4">
            <w:pPr>
              <w:pStyle w:val="TAH"/>
              <w:rPr>
                <w:lang w:eastAsia="en-GB"/>
              </w:rPr>
            </w:pPr>
            <w:r w:rsidRPr="00FA0D37">
              <w:rPr>
                <w:i/>
              </w:rPr>
              <w:t>SL-Failure</w:t>
            </w:r>
            <w:r w:rsidRPr="00FA0D37">
              <w:rPr>
                <w:lang w:eastAsia="en-GB"/>
              </w:rPr>
              <w:t xml:space="preserve"> field descriptions</w:t>
            </w:r>
          </w:p>
        </w:tc>
      </w:tr>
      <w:tr w:rsidR="005C7FF4" w:rsidRPr="00FA0D37" w14:paraId="4CF6FDF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5C2CC" w14:textId="77777777" w:rsidR="00394471" w:rsidRPr="00FA0D37" w:rsidRDefault="00394471" w:rsidP="00964CC4">
            <w:pPr>
              <w:pStyle w:val="TAL"/>
              <w:rPr>
                <w:rFonts w:eastAsia="Yu Mincho"/>
                <w:b/>
                <w:bCs/>
                <w:i/>
                <w:iCs/>
                <w:lang w:eastAsia="zh-CN"/>
              </w:rPr>
            </w:pPr>
            <w:r w:rsidRPr="00FA0D37">
              <w:rPr>
                <w:rFonts w:eastAsia="Yu Mincho"/>
                <w:b/>
                <w:bCs/>
                <w:i/>
                <w:iCs/>
                <w:lang w:eastAsia="zh-CN"/>
              </w:rPr>
              <w:t>sl-DestinationIdentity</w:t>
            </w:r>
          </w:p>
          <w:p w14:paraId="7B2EC98C" w14:textId="77777777" w:rsidR="00394471" w:rsidRPr="00FA0D37" w:rsidRDefault="00394471" w:rsidP="00964CC4">
            <w:pPr>
              <w:pStyle w:val="TAL"/>
              <w:rPr>
                <w:lang w:eastAsia="en-GB"/>
              </w:rPr>
            </w:pPr>
            <w:r w:rsidRPr="00FA0D37">
              <w:rPr>
                <w:rFonts w:eastAsia="Yu Mincho"/>
                <w:lang w:eastAsia="zh-CN"/>
              </w:rPr>
              <w:t xml:space="preserve">Indicates the </w:t>
            </w:r>
            <w:r w:rsidRPr="00FA0D37">
              <w:t>destination for which the SL failure is reporting for unicast.</w:t>
            </w:r>
          </w:p>
        </w:tc>
      </w:tr>
      <w:tr w:rsidR="00375B89" w:rsidRPr="00FA0D37" w14:paraId="2E2A602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79BB2E" w14:textId="77777777" w:rsidR="00394471" w:rsidRPr="00FA0D37" w:rsidRDefault="00394471" w:rsidP="00964CC4">
            <w:pPr>
              <w:pStyle w:val="TAL"/>
              <w:rPr>
                <w:b/>
                <w:bCs/>
                <w:i/>
                <w:iCs/>
              </w:rPr>
            </w:pPr>
            <w:r w:rsidRPr="00FA0D37">
              <w:rPr>
                <w:b/>
                <w:bCs/>
                <w:i/>
                <w:iCs/>
              </w:rPr>
              <w:t>sl-Failure</w:t>
            </w:r>
          </w:p>
          <w:p w14:paraId="6B0EB45E" w14:textId="22DBA9DB" w:rsidR="00394471" w:rsidRPr="00FA0D37" w:rsidRDefault="00394471" w:rsidP="00964CC4">
            <w:pPr>
              <w:pStyle w:val="TAL"/>
              <w:rPr>
                <w:rFonts w:eastAsia="Yu Mincho"/>
                <w:lang w:eastAsia="zh-CN"/>
              </w:rPr>
            </w:pPr>
            <w:r w:rsidRPr="00FA0D37">
              <w:rPr>
                <w:rFonts w:eastAsia="Yu Mincho"/>
                <w:lang w:eastAsia="zh-CN"/>
              </w:rPr>
              <w:t xml:space="preserve">Indicates the </w:t>
            </w:r>
            <w:r w:rsidRPr="00FA0D37">
              <w:t xml:space="preserve">sidelink </w:t>
            </w:r>
            <w:r w:rsidR="008D2002" w:rsidRPr="00FA0D37">
              <w:t xml:space="preserve">cause for the sidelink </w:t>
            </w:r>
            <w:r w:rsidRPr="00FA0D37">
              <w:t xml:space="preserve">RLF (value </w:t>
            </w:r>
            <w:r w:rsidRPr="00FA0D37">
              <w:rPr>
                <w:i/>
                <w:iCs/>
              </w:rPr>
              <w:t>rlf</w:t>
            </w:r>
            <w:r w:rsidRPr="00FA0D37">
              <w:t>)</w:t>
            </w:r>
            <w:r w:rsidR="00A159D0" w:rsidRPr="00FA0D37">
              <w:t>,</w:t>
            </w:r>
            <w:r w:rsidRPr="00FA0D37">
              <w:t xml:space="preserve"> </w:t>
            </w:r>
            <w:r w:rsidR="008D2002" w:rsidRPr="00FA0D37">
              <w:t xml:space="preserve">sidelink AS configuration failure (value </w:t>
            </w:r>
            <w:r w:rsidR="008D2002" w:rsidRPr="00FA0D37">
              <w:rPr>
                <w:i/>
                <w:iCs/>
              </w:rPr>
              <w:t>configFailure</w:t>
            </w:r>
            <w:r w:rsidR="008D2002" w:rsidRPr="00FA0D37">
              <w:t xml:space="preserve">) </w:t>
            </w:r>
            <w:r w:rsidR="00A159D0" w:rsidRPr="00FA0D37">
              <w:t xml:space="preserve">and the rejection of sidelink DRX configuration (value </w:t>
            </w:r>
            <w:r w:rsidR="00A159D0" w:rsidRPr="00FA0D37">
              <w:rPr>
                <w:i/>
              </w:rPr>
              <w:t>drxReject</w:t>
            </w:r>
            <w:r w:rsidR="0007748F" w:rsidRPr="00FA0D37">
              <w:rPr>
                <w:i/>
              </w:rPr>
              <w:t>-v1710</w:t>
            </w:r>
            <w:r w:rsidR="00A159D0" w:rsidRPr="00FA0D37">
              <w:t xml:space="preserve">) </w:t>
            </w:r>
            <w:r w:rsidRPr="00FA0D37">
              <w:t>for the associated destination for unicast.</w:t>
            </w:r>
          </w:p>
        </w:tc>
      </w:tr>
    </w:tbl>
    <w:p w14:paraId="2AB68DB5" w14:textId="72CC9B21" w:rsidR="00394471" w:rsidRPr="00FA0D3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419D3E6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D5C2C1" w14:textId="77777777" w:rsidR="00C26E98" w:rsidRPr="00FA0D37" w:rsidRDefault="00C26E98" w:rsidP="000830BB">
            <w:pPr>
              <w:pStyle w:val="TAH"/>
              <w:rPr>
                <w:lang w:eastAsia="en-GB"/>
              </w:rPr>
            </w:pPr>
            <w:r w:rsidRPr="00FA0D37">
              <w:rPr>
                <w:i/>
              </w:rPr>
              <w:t>SL-RxDRX-Report</w:t>
            </w:r>
            <w:r w:rsidRPr="00FA0D37">
              <w:rPr>
                <w:lang w:eastAsia="en-GB"/>
              </w:rPr>
              <w:t xml:space="preserve"> field descriptions</w:t>
            </w:r>
          </w:p>
        </w:tc>
      </w:tr>
      <w:tr w:rsidR="00375B89" w:rsidRPr="00FA0D37" w14:paraId="590F871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6EE807" w14:textId="77777777" w:rsidR="00C26E98" w:rsidRPr="00FA0D37" w:rsidRDefault="00C26E98" w:rsidP="000830BB">
            <w:pPr>
              <w:pStyle w:val="TAL"/>
              <w:rPr>
                <w:b/>
                <w:bCs/>
                <w:i/>
                <w:iCs/>
                <w:lang w:eastAsia="en-GB"/>
              </w:rPr>
            </w:pPr>
            <w:r w:rsidRPr="00FA0D37">
              <w:rPr>
                <w:b/>
                <w:bCs/>
                <w:i/>
                <w:iCs/>
                <w:lang w:eastAsia="en-GB"/>
              </w:rPr>
              <w:t>sl-DRX-ConfigFromTx</w:t>
            </w:r>
          </w:p>
          <w:p w14:paraId="61C837BF" w14:textId="3CAE5771" w:rsidR="00C26E98" w:rsidRPr="00FA0D37" w:rsidRDefault="00C26E98" w:rsidP="000830BB">
            <w:pPr>
              <w:pStyle w:val="TAL"/>
              <w:rPr>
                <w:lang w:eastAsia="en-GB"/>
              </w:rPr>
            </w:pPr>
            <w:r w:rsidRPr="00FA0D37">
              <w:rPr>
                <w:lang w:eastAsia="en-GB"/>
              </w:rPr>
              <w:t xml:space="preserve">Indicates the sidelink DRX configuration received from </w:t>
            </w:r>
            <w:r w:rsidR="00A159D0" w:rsidRPr="00FA0D37">
              <w:rPr>
                <w:lang w:eastAsia="en-GB"/>
              </w:rPr>
              <w:t xml:space="preserve">the </w:t>
            </w:r>
            <w:r w:rsidRPr="00FA0D37">
              <w:rPr>
                <w:lang w:eastAsia="en-GB"/>
              </w:rPr>
              <w:t>peer UE for NR sidelink unicast communication.</w:t>
            </w:r>
          </w:p>
        </w:tc>
      </w:tr>
    </w:tbl>
    <w:p w14:paraId="7B633307" w14:textId="77777777" w:rsidR="0007748F" w:rsidRPr="00FA0D37" w:rsidRDefault="0007748F" w:rsidP="0007748F">
      <w:pPr>
        <w:rPr>
          <w:rFonts w:eastAsia="等线"/>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318CE194"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A9A0DC" w14:textId="77777777" w:rsidR="0007748F" w:rsidRPr="00FA0D37" w:rsidRDefault="0007748F" w:rsidP="0071565C">
            <w:pPr>
              <w:pStyle w:val="TAH"/>
              <w:rPr>
                <w:lang w:eastAsia="en-GB"/>
              </w:rPr>
            </w:pPr>
            <w:r w:rsidRPr="00FA0D37">
              <w:rPr>
                <w:i/>
              </w:rPr>
              <w:lastRenderedPageBreak/>
              <w:t>SL-RxInterestedGC-BC-Dest</w:t>
            </w:r>
            <w:r w:rsidRPr="00FA0D37">
              <w:t xml:space="preserve"> </w:t>
            </w:r>
            <w:r w:rsidRPr="00FA0D37">
              <w:rPr>
                <w:lang w:eastAsia="en-GB"/>
              </w:rPr>
              <w:t>field descriptions</w:t>
            </w:r>
          </w:p>
        </w:tc>
      </w:tr>
      <w:tr w:rsidR="00375B89" w:rsidRPr="00FA0D37" w14:paraId="0A23A09D"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04B6B373" w14:textId="77777777" w:rsidR="0007748F" w:rsidRPr="00FA0D37" w:rsidRDefault="0007748F" w:rsidP="0071565C">
            <w:pPr>
              <w:pStyle w:val="TAL"/>
              <w:rPr>
                <w:b/>
                <w:i/>
                <w:lang w:eastAsia="en-GB"/>
              </w:rPr>
            </w:pPr>
            <w:r w:rsidRPr="00FA0D37">
              <w:rPr>
                <w:b/>
                <w:i/>
                <w:lang w:eastAsia="en-GB"/>
              </w:rPr>
              <w:t>sl-RxInterestedQoS-InfoList</w:t>
            </w:r>
          </w:p>
          <w:p w14:paraId="700EFD98" w14:textId="77777777" w:rsidR="0007748F" w:rsidRPr="00FA0D37" w:rsidRDefault="0007748F" w:rsidP="0071565C">
            <w:pPr>
              <w:pStyle w:val="TAL"/>
              <w:rPr>
                <w:lang w:eastAsia="en-GB"/>
              </w:rPr>
            </w:pPr>
            <w:r w:rsidRPr="00FA0D37">
              <w:rPr>
                <w:lang w:eastAsia="en-GB"/>
              </w:rPr>
              <w:t>Indicates the QoS profile for which UE reports its interested service to which SL DRX is applied to the network, for NR sidelink groupcast or broadcast reception.</w:t>
            </w:r>
          </w:p>
        </w:tc>
      </w:tr>
    </w:tbl>
    <w:p w14:paraId="75BF5285" w14:textId="5F2964D5" w:rsidR="00360CB9" w:rsidRPr="00FA0D37" w:rsidRDefault="00360CB9" w:rsidP="00360CB9">
      <w:pPr>
        <w:rPr>
          <w:rFonts w:eastAsia="等线"/>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71C6122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3CEFBE" w14:textId="77777777" w:rsidR="00CC30D0" w:rsidRPr="00FA0D37" w:rsidRDefault="00CC30D0" w:rsidP="0071565C">
            <w:pPr>
              <w:pStyle w:val="TAH"/>
              <w:rPr>
                <w:b w:val="0"/>
                <w:lang w:eastAsia="en-GB"/>
              </w:rPr>
            </w:pPr>
            <w:bookmarkStart w:id="724" w:name="_Hlk107231069"/>
            <w:r w:rsidRPr="00FA0D37">
              <w:rPr>
                <w:i/>
                <w:lang w:eastAsia="sv-SE"/>
              </w:rPr>
              <w:t xml:space="preserve">SL-TxResourceReqDisc </w:t>
            </w:r>
            <w:r w:rsidRPr="00FA0D37">
              <w:rPr>
                <w:lang w:eastAsia="en-GB"/>
              </w:rPr>
              <w:t>field descriptions</w:t>
            </w:r>
          </w:p>
        </w:tc>
      </w:tr>
      <w:tr w:rsidR="005C7FF4" w:rsidRPr="00FA0D37" w14:paraId="37A4CBB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BE6F5A" w14:textId="77777777" w:rsidR="00984519" w:rsidRPr="00FA0D37" w:rsidRDefault="00984519" w:rsidP="00A12BD9">
            <w:pPr>
              <w:pStyle w:val="TAL"/>
              <w:rPr>
                <w:rFonts w:eastAsia="Yu Mincho"/>
                <w:b/>
                <w:bCs/>
                <w:i/>
                <w:iCs/>
                <w:lang w:eastAsia="zh-CN"/>
              </w:rPr>
            </w:pPr>
            <w:r w:rsidRPr="00FA0D37">
              <w:rPr>
                <w:b/>
                <w:bCs/>
                <w:i/>
                <w:iCs/>
                <w:lang w:eastAsia="zh-CN"/>
              </w:rPr>
              <w:t>sl-CastTypeDisc</w:t>
            </w:r>
          </w:p>
          <w:p w14:paraId="4EBCAF7A" w14:textId="29C29B60" w:rsidR="00984519" w:rsidRPr="00FA0D37" w:rsidRDefault="00984519" w:rsidP="00A12BD9">
            <w:pPr>
              <w:pStyle w:val="TAL"/>
              <w:rPr>
                <w:lang w:eastAsia="sv-SE"/>
              </w:rPr>
            </w:pPr>
            <w:r w:rsidRPr="00FA0D37">
              <w:rPr>
                <w:rFonts w:eastAsia="Yu Mincho" w:cs="Arial"/>
                <w:lang w:eastAsia="zh-CN"/>
              </w:rPr>
              <w:t xml:space="preserve">Indicates the cast type for the NR sidelink discovery messages. </w:t>
            </w:r>
            <w:r w:rsidRPr="00FA0D37">
              <w:rPr>
                <w:rFonts w:cs="Arial"/>
                <w:lang w:eastAsia="sv-SE"/>
              </w:rPr>
              <w:t xml:space="preserve">Only value </w:t>
            </w:r>
            <w:r w:rsidRPr="00FA0D37">
              <w:rPr>
                <w:rFonts w:cs="Arial"/>
                <w:i/>
                <w:lang w:eastAsia="sv-SE"/>
              </w:rPr>
              <w:t>broadcast</w:t>
            </w:r>
            <w:r w:rsidRPr="00FA0D37">
              <w:rPr>
                <w:rFonts w:cs="Arial"/>
                <w:lang w:eastAsia="sv-SE"/>
              </w:rPr>
              <w:t xml:space="preserve"> can be set in this release.</w:t>
            </w:r>
          </w:p>
        </w:tc>
      </w:tr>
      <w:tr w:rsidR="005C7FF4" w:rsidRPr="00FA0D37" w14:paraId="0A641B7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6B362F8" w14:textId="77777777" w:rsidR="00CC30D0" w:rsidRPr="00FA0D37" w:rsidRDefault="00CC30D0" w:rsidP="0071565C">
            <w:pPr>
              <w:pStyle w:val="TAL"/>
              <w:rPr>
                <w:rFonts w:eastAsia="宋体"/>
                <w:b/>
                <w:bCs/>
                <w:i/>
                <w:iCs/>
                <w:lang w:eastAsia="zh-CN"/>
              </w:rPr>
            </w:pPr>
            <w:r w:rsidRPr="00FA0D37">
              <w:rPr>
                <w:rFonts w:eastAsia="宋体"/>
                <w:b/>
                <w:bCs/>
                <w:i/>
                <w:iCs/>
                <w:lang w:eastAsia="zh-CN"/>
              </w:rPr>
              <w:t>sl-DestinationIdentityDisc</w:t>
            </w:r>
          </w:p>
          <w:p w14:paraId="3AE8A739" w14:textId="4B4AEDA7" w:rsidR="00CC30D0" w:rsidRPr="00FA0D37" w:rsidRDefault="00CC30D0" w:rsidP="0071565C">
            <w:pPr>
              <w:pStyle w:val="TAL"/>
              <w:rPr>
                <w:lang w:eastAsia="sv-SE"/>
              </w:rPr>
            </w:pPr>
            <w:r w:rsidRPr="00FA0D37">
              <w:rPr>
                <w:lang w:eastAsia="sv-SE"/>
              </w:rPr>
              <w:t>This field is used to indicate the destination L2 ID for which the TX resource request and allocation from the network are concerned for relay discovery and non-relay discovery.</w:t>
            </w:r>
          </w:p>
        </w:tc>
      </w:tr>
      <w:tr w:rsidR="005C7FF4" w:rsidRPr="00FA0D37" w14:paraId="2310B994"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D7E4AF8" w14:textId="77777777" w:rsidR="00CC30D0" w:rsidRPr="00FA0D37" w:rsidRDefault="00CC30D0" w:rsidP="0071565C">
            <w:pPr>
              <w:pStyle w:val="TAL"/>
              <w:rPr>
                <w:b/>
                <w:bCs/>
                <w:i/>
                <w:iCs/>
                <w:lang w:eastAsia="zh-CN"/>
              </w:rPr>
            </w:pPr>
            <w:r w:rsidRPr="00FA0D37">
              <w:rPr>
                <w:b/>
                <w:bCs/>
                <w:i/>
                <w:iCs/>
                <w:lang w:eastAsia="zh-CN"/>
              </w:rPr>
              <w:t>sl-SourceIdentityRelayUE</w:t>
            </w:r>
          </w:p>
          <w:p w14:paraId="310EE26A" w14:textId="77777777" w:rsidR="00CC30D0" w:rsidRPr="00FA0D37" w:rsidRDefault="00CC30D0" w:rsidP="0071565C">
            <w:pPr>
              <w:pStyle w:val="TAL"/>
              <w:rPr>
                <w:rFonts w:eastAsia="宋体"/>
                <w:b/>
                <w:bCs/>
                <w:i/>
                <w:iCs/>
                <w:lang w:eastAsia="zh-CN"/>
              </w:rPr>
            </w:pPr>
            <w:r w:rsidRPr="00FA0D37">
              <w:rPr>
                <w:lang w:eastAsia="sv-SE"/>
              </w:rPr>
              <w:t>This field is used to indicate the source L2 ID of relay-related discovery transmission by L2 U2N Relay UE.</w:t>
            </w:r>
          </w:p>
        </w:tc>
      </w:tr>
      <w:tr w:rsidR="00375B89" w:rsidRPr="00FA0D37" w14:paraId="11D9A57B"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3AC17AA" w14:textId="77777777" w:rsidR="00CC30D0" w:rsidRPr="00FA0D37" w:rsidRDefault="00CC30D0" w:rsidP="0071565C">
            <w:pPr>
              <w:pStyle w:val="TAL"/>
              <w:rPr>
                <w:rFonts w:eastAsia="Yu Mincho"/>
                <w:b/>
                <w:bCs/>
                <w:i/>
                <w:iCs/>
                <w:lang w:eastAsia="zh-CN"/>
              </w:rPr>
            </w:pPr>
            <w:r w:rsidRPr="00FA0D37">
              <w:rPr>
                <w:rFonts w:eastAsia="Yu Mincho"/>
                <w:b/>
                <w:bCs/>
                <w:i/>
                <w:iCs/>
                <w:lang w:eastAsia="zh-CN"/>
              </w:rPr>
              <w:t>sl-TxInterestedFreqListDisc</w:t>
            </w:r>
          </w:p>
          <w:p w14:paraId="0C14B7BE" w14:textId="77777777" w:rsidR="00CC30D0" w:rsidRPr="00FA0D37" w:rsidRDefault="00CC30D0" w:rsidP="0071565C">
            <w:pPr>
              <w:pStyle w:val="TAL"/>
              <w:rPr>
                <w:b/>
                <w:bCs/>
                <w:i/>
                <w:iCs/>
                <w:lang w:eastAsia="zh-CN"/>
              </w:rPr>
            </w:pPr>
            <w:r w:rsidRPr="00FA0D37">
              <w:rPr>
                <w:lang w:eastAsia="zh-CN"/>
              </w:rPr>
              <w:t>Each entry of this field i</w:t>
            </w:r>
            <w:r w:rsidRPr="00FA0D37">
              <w:rPr>
                <w:lang w:eastAsia="sv-SE"/>
              </w:rPr>
              <w:t xml:space="preserve">ndicates the index of frequency on which the UE is interested to transmit NR sidelink discovery. The value 1 corresponds to the frequency of first entry in </w:t>
            </w:r>
            <w:r w:rsidRPr="00FA0D37">
              <w:rPr>
                <w:i/>
                <w:iCs/>
                <w:lang w:eastAsia="sv-SE"/>
              </w:rPr>
              <w:t>sl-FreqInfoList</w:t>
            </w:r>
            <w:r w:rsidRPr="00FA0D37">
              <w:rPr>
                <w:lang w:eastAsia="sv-SE"/>
              </w:rPr>
              <w:t xml:space="preserve"> broadcast in </w:t>
            </w:r>
            <w:r w:rsidRPr="00FA0D37">
              <w:rPr>
                <w:i/>
                <w:iCs/>
                <w:lang w:eastAsia="sv-SE"/>
              </w:rPr>
              <w:t>SIB12</w:t>
            </w:r>
            <w:r w:rsidRPr="00FA0D37">
              <w:rPr>
                <w:lang w:eastAsia="sv-SE"/>
              </w:rPr>
              <w:t xml:space="preserve">, the value 2 corresponds to the frequency of second entry in </w:t>
            </w:r>
            <w:r w:rsidRPr="00FA0D37">
              <w:rPr>
                <w:i/>
                <w:iCs/>
                <w:lang w:eastAsia="sv-SE"/>
              </w:rPr>
              <w:t>sl-FreqInfoList broadcast</w:t>
            </w:r>
            <w:r w:rsidRPr="00FA0D37">
              <w:rPr>
                <w:lang w:eastAsia="sv-SE"/>
              </w:rPr>
              <w:t xml:space="preserve"> in </w:t>
            </w:r>
            <w:r w:rsidRPr="00FA0D37">
              <w:rPr>
                <w:i/>
                <w:iCs/>
                <w:lang w:eastAsia="sv-SE"/>
              </w:rPr>
              <w:t>SIB12</w:t>
            </w:r>
            <w:r w:rsidRPr="00FA0D37">
              <w:rPr>
                <w:lang w:eastAsia="sv-SE"/>
              </w:rPr>
              <w:t xml:space="preserve"> and so on. In this release, only value 1 can be included in the interested frequency list. </w:t>
            </w:r>
            <w:r w:rsidRPr="00FA0D37">
              <w:rPr>
                <w:lang w:eastAsia="en-GB"/>
              </w:rPr>
              <w:t xml:space="preserve">In this release, only one </w:t>
            </w:r>
            <w:r w:rsidRPr="00FA0D37">
              <w:rPr>
                <w:lang w:eastAsia="sv-SE"/>
              </w:rPr>
              <w:t>entry can be included in the list.</w:t>
            </w:r>
          </w:p>
        </w:tc>
      </w:tr>
      <w:bookmarkEnd w:id="724"/>
    </w:tbl>
    <w:p w14:paraId="66208D46" w14:textId="77777777" w:rsidR="00CC30D0" w:rsidRPr="00FA0D37" w:rsidRDefault="00CC30D0" w:rsidP="00360CB9">
      <w:pPr>
        <w:rPr>
          <w:rFonts w:eastAsia="等线"/>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376F379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7CDA63C" w14:textId="148C07D2" w:rsidR="00360CB9" w:rsidRPr="00FA0D37" w:rsidRDefault="000F5FE2" w:rsidP="00771058">
            <w:pPr>
              <w:pStyle w:val="TAH"/>
              <w:rPr>
                <w:b w:val="0"/>
                <w:lang w:eastAsia="en-GB"/>
              </w:rPr>
            </w:pPr>
            <w:r w:rsidRPr="00FA0D37">
              <w:rPr>
                <w:i/>
                <w:lang w:eastAsia="sv-SE"/>
              </w:rPr>
              <w:t>SL-TxResourceReqCommRelayInfo</w:t>
            </w:r>
            <w:r w:rsidR="00360CB9" w:rsidRPr="00FA0D37">
              <w:rPr>
                <w:i/>
                <w:lang w:eastAsia="sv-SE"/>
              </w:rPr>
              <w:t xml:space="preserve"> </w:t>
            </w:r>
            <w:r w:rsidR="00360CB9" w:rsidRPr="00FA0D37">
              <w:rPr>
                <w:lang w:eastAsia="en-GB"/>
              </w:rPr>
              <w:t>field descriptions</w:t>
            </w:r>
          </w:p>
        </w:tc>
      </w:tr>
      <w:tr w:rsidR="005C7FF4" w:rsidRPr="00FA0D37" w14:paraId="3405080C"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C52A6C" w14:textId="4CC45454" w:rsidR="000F5FE2" w:rsidRPr="00FA0D37" w:rsidRDefault="000F5FE2" w:rsidP="000F5FE2">
            <w:pPr>
              <w:pStyle w:val="TAL"/>
              <w:rPr>
                <w:rFonts w:eastAsia="宋体"/>
                <w:b/>
                <w:bCs/>
                <w:i/>
                <w:iCs/>
                <w:lang w:eastAsia="zh-CN"/>
              </w:rPr>
            </w:pPr>
            <w:r w:rsidRPr="00FA0D37">
              <w:rPr>
                <w:rFonts w:eastAsia="宋体"/>
                <w:b/>
                <w:bCs/>
                <w:i/>
                <w:iCs/>
                <w:lang w:eastAsia="zh-CN"/>
              </w:rPr>
              <w:t>sl-RelayDRXConfig</w:t>
            </w:r>
          </w:p>
          <w:p w14:paraId="3D31A147" w14:textId="3DF92C6E" w:rsidR="000F5FE2" w:rsidRPr="00FA0D37" w:rsidRDefault="000F5FE2" w:rsidP="00F747EB">
            <w:pPr>
              <w:pStyle w:val="TAL"/>
              <w:rPr>
                <w:lang w:eastAsia="sv-SE"/>
              </w:rPr>
            </w:pPr>
            <w:r w:rsidRPr="00FA0D37">
              <w:rPr>
                <w:lang w:eastAsia="sv-SE"/>
              </w:rPr>
              <w:t>This field is used to indicate the applied sidelink DRX configuration for the relay related communication</w:t>
            </w:r>
            <w:r w:rsidRPr="00FA0D37">
              <w:t>.</w:t>
            </w:r>
          </w:p>
        </w:tc>
      </w:tr>
      <w:tr w:rsidR="005C7FF4" w:rsidRPr="00FA0D37" w14:paraId="01A4807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0B590D9" w14:textId="77777777" w:rsidR="00360CB9" w:rsidRPr="00FA0D37" w:rsidRDefault="00360CB9" w:rsidP="000830BB">
            <w:pPr>
              <w:pStyle w:val="TAL"/>
              <w:rPr>
                <w:rFonts w:eastAsia="宋体"/>
                <w:b/>
                <w:bCs/>
                <w:i/>
                <w:iCs/>
                <w:lang w:eastAsia="zh-CN"/>
              </w:rPr>
            </w:pPr>
            <w:r w:rsidRPr="00FA0D37">
              <w:rPr>
                <w:rFonts w:eastAsia="宋体"/>
                <w:b/>
                <w:bCs/>
                <w:i/>
                <w:iCs/>
                <w:lang w:eastAsia="zh-CN"/>
              </w:rPr>
              <w:t>sl-DestinationIdentityL2U2N</w:t>
            </w:r>
          </w:p>
          <w:p w14:paraId="1082B69E" w14:textId="7F48B00E" w:rsidR="00360CB9" w:rsidRPr="00FA0D37" w:rsidRDefault="00360CB9" w:rsidP="00771058">
            <w:pPr>
              <w:pStyle w:val="TAL"/>
              <w:rPr>
                <w:lang w:eastAsia="sv-SE"/>
              </w:rPr>
            </w:pPr>
            <w:r w:rsidRPr="00FA0D37">
              <w:rPr>
                <w:lang w:eastAsia="sv-SE"/>
              </w:rPr>
              <w:t>This field is used to indicate the destination L2 ID for which the TX resource request and allocation from the network are concerned for the established PC5 link for relay by</w:t>
            </w:r>
            <w:r w:rsidRPr="00FA0D37">
              <w:t xml:space="preserve"> L2 U2N Relay UE, or L3 U2N Relay UE.</w:t>
            </w:r>
          </w:p>
        </w:tc>
      </w:tr>
      <w:tr w:rsidR="005C7FF4" w:rsidRPr="00FA0D37" w14:paraId="396555BC"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EE08655" w14:textId="77777777" w:rsidR="00360CB9" w:rsidRPr="00FA0D37" w:rsidRDefault="00360CB9" w:rsidP="000830BB">
            <w:pPr>
              <w:pStyle w:val="TAL"/>
              <w:rPr>
                <w:rFonts w:eastAsia="宋体"/>
                <w:b/>
                <w:bCs/>
                <w:i/>
                <w:iCs/>
                <w:lang w:eastAsia="zh-CN"/>
              </w:rPr>
            </w:pPr>
            <w:r w:rsidRPr="00FA0D37">
              <w:rPr>
                <w:rFonts w:eastAsia="宋体"/>
                <w:b/>
                <w:bCs/>
                <w:i/>
                <w:iCs/>
                <w:lang w:eastAsia="zh-CN"/>
              </w:rPr>
              <w:t>sl-LocalID-Request</w:t>
            </w:r>
          </w:p>
          <w:p w14:paraId="268E3A75" w14:textId="1922A961" w:rsidR="00360CB9" w:rsidRPr="00FA0D37" w:rsidRDefault="00360CB9" w:rsidP="00771058">
            <w:pPr>
              <w:pStyle w:val="TAL"/>
              <w:rPr>
                <w:b/>
                <w:bCs/>
                <w:i/>
                <w:iCs/>
                <w:lang w:eastAsia="zh-CN"/>
              </w:rPr>
            </w:pPr>
            <w:r w:rsidRPr="00FA0D37">
              <w:rPr>
                <w:lang w:eastAsia="sv-SE"/>
              </w:rPr>
              <w:t xml:space="preserve">This field is used to request local UE ID for </w:t>
            </w:r>
            <w:r w:rsidRPr="00FA0D37">
              <w:rPr>
                <w:rFonts w:eastAsia="Yu Mincho"/>
                <w:lang w:eastAsia="zh-CN"/>
              </w:rPr>
              <w:t>the corresponding destination</w:t>
            </w:r>
            <w:r w:rsidRPr="00FA0D37">
              <w:rPr>
                <w:lang w:eastAsia="sv-SE"/>
              </w:rPr>
              <w:t xml:space="preserve"> by the L2 U2N Relay UE.</w:t>
            </w:r>
          </w:p>
        </w:tc>
      </w:tr>
      <w:tr w:rsidR="005C7FF4" w:rsidRPr="00FA0D37" w14:paraId="394DD68E"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96EA77" w14:textId="77777777" w:rsidR="00360CB9" w:rsidRPr="00FA0D37" w:rsidRDefault="00360CB9" w:rsidP="00771058">
            <w:pPr>
              <w:pStyle w:val="TAL"/>
              <w:rPr>
                <w:rFonts w:eastAsia="Yu Mincho"/>
                <w:b/>
                <w:bCs/>
                <w:i/>
                <w:iCs/>
                <w:lang w:eastAsia="zh-CN"/>
              </w:rPr>
            </w:pPr>
            <w:r w:rsidRPr="00FA0D37">
              <w:rPr>
                <w:rFonts w:eastAsia="Yu Mincho"/>
                <w:b/>
                <w:bCs/>
                <w:i/>
                <w:iCs/>
                <w:lang w:eastAsia="zh-CN"/>
              </w:rPr>
              <w:t>sl-TxInterestedFreqListL2U2N</w:t>
            </w:r>
          </w:p>
          <w:p w14:paraId="5BADE598" w14:textId="77777777" w:rsidR="00360CB9" w:rsidRPr="00FA0D37" w:rsidRDefault="00360CB9" w:rsidP="00771058">
            <w:pPr>
              <w:pStyle w:val="TAL"/>
              <w:rPr>
                <w:rFonts w:eastAsia="宋体"/>
                <w:b/>
                <w:bCs/>
                <w:i/>
                <w:iCs/>
                <w:lang w:eastAsia="zh-CN"/>
              </w:rPr>
            </w:pPr>
            <w:r w:rsidRPr="00FA0D37">
              <w:rPr>
                <w:lang w:eastAsia="sv-SE"/>
              </w:rPr>
              <w:t>Each entry of this field indicates the index of frequency on which the UE is interested to transmit NR sidelink communication for established PC5 link for relay. The value 1 corresponds to the frequency of first entry in</w:t>
            </w:r>
            <w:r w:rsidRPr="00FA0D37">
              <w:rPr>
                <w:i/>
                <w:lang w:eastAsia="sv-SE"/>
              </w:rPr>
              <w:t xml:space="preserve"> sl-FreqInfoList</w:t>
            </w:r>
            <w:r w:rsidRPr="00FA0D37">
              <w:rPr>
                <w:lang w:eastAsia="sv-SE"/>
              </w:rPr>
              <w:t xml:space="preserve"> broadcast in SIB12, the value 2 corresponds to the frequency of second entry in </w:t>
            </w:r>
            <w:r w:rsidRPr="00FA0D37">
              <w:rPr>
                <w:i/>
                <w:lang w:eastAsia="sv-SE"/>
              </w:rPr>
              <w:t>sl-FreqInfoList</w:t>
            </w:r>
            <w:r w:rsidRPr="00FA0D37">
              <w:rPr>
                <w:lang w:eastAsia="sv-SE"/>
              </w:rPr>
              <w:t xml:space="preserve"> broadcast in </w:t>
            </w:r>
            <w:r w:rsidRPr="00FA0D37">
              <w:rPr>
                <w:i/>
                <w:lang w:eastAsia="sv-SE"/>
              </w:rPr>
              <w:t>SIB12</w:t>
            </w:r>
            <w:r w:rsidRPr="00FA0D37">
              <w:rPr>
                <w:lang w:eastAsia="sv-SE"/>
              </w:rPr>
              <w:t xml:space="preserve"> and so on. In this release, only value 1 can be included in the interested frequency list. In this release, only one entry can be included in the list.</w:t>
            </w:r>
          </w:p>
        </w:tc>
      </w:tr>
      <w:tr w:rsidR="00375B89" w:rsidRPr="00FA0D37" w14:paraId="5D0DDA2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2CD35C" w14:textId="5B14C932" w:rsidR="00360CB9" w:rsidRPr="00FA0D37" w:rsidRDefault="00360CB9" w:rsidP="00771058">
            <w:pPr>
              <w:pStyle w:val="TAL"/>
              <w:rPr>
                <w:rFonts w:eastAsia="Yu Mincho"/>
                <w:b/>
                <w:bCs/>
                <w:i/>
                <w:iCs/>
                <w:lang w:eastAsia="zh-CN"/>
              </w:rPr>
            </w:pPr>
            <w:r w:rsidRPr="00FA0D37">
              <w:rPr>
                <w:rFonts w:eastAsia="Yu Mincho"/>
                <w:b/>
                <w:bCs/>
                <w:i/>
                <w:iCs/>
                <w:lang w:eastAsia="zh-CN"/>
              </w:rPr>
              <w:t>sl-PagingIdentityRemoteUE</w:t>
            </w:r>
          </w:p>
          <w:p w14:paraId="24B55F18" w14:textId="7D0F602E" w:rsidR="00360CB9" w:rsidRPr="00FA0D37" w:rsidRDefault="00360CB9" w:rsidP="00771058">
            <w:pPr>
              <w:pStyle w:val="TAL"/>
              <w:rPr>
                <w:rFonts w:eastAsia="Yu Mincho"/>
                <w:b/>
                <w:bCs/>
                <w:i/>
                <w:iCs/>
                <w:lang w:eastAsia="zh-CN"/>
              </w:rPr>
            </w:pPr>
            <w:r w:rsidRPr="00FA0D37">
              <w:rPr>
                <w:lang w:eastAsia="sv-SE"/>
              </w:rPr>
              <w:t>This field is used to indicate the paging UE ID</w:t>
            </w:r>
            <w:r w:rsidR="005D44A8" w:rsidRPr="00FA0D37">
              <w:rPr>
                <w:lang w:eastAsia="sv-SE"/>
              </w:rPr>
              <w:t>(s)</w:t>
            </w:r>
            <w:r w:rsidRPr="00FA0D37">
              <w:rPr>
                <w:lang w:eastAsia="sv-SE"/>
              </w:rPr>
              <w:t xml:space="preserve"> for the </w:t>
            </w:r>
            <w:r w:rsidRPr="00FA0D37">
              <w:rPr>
                <w:rFonts w:eastAsia="Yu Mincho"/>
                <w:lang w:eastAsia="zh-CN"/>
              </w:rPr>
              <w:t>corresponding destination</w:t>
            </w:r>
            <w:r w:rsidR="005D44A8" w:rsidRPr="00FA0D37">
              <w:rPr>
                <w:rFonts w:eastAsia="Yu Mincho"/>
                <w:lang w:eastAsia="zh-CN"/>
              </w:rPr>
              <w:t>(s)</w:t>
            </w:r>
            <w:r w:rsidRPr="00FA0D37">
              <w:rPr>
                <w:lang w:eastAsia="sv-SE"/>
              </w:rPr>
              <w:t xml:space="preserve"> by the L2 U2N Relay UE.</w:t>
            </w:r>
          </w:p>
        </w:tc>
      </w:tr>
    </w:tbl>
    <w:p w14:paraId="2E6827F1" w14:textId="77777777" w:rsidR="00C26E98" w:rsidRPr="00FA0D37" w:rsidRDefault="00C26E98" w:rsidP="00394471"/>
    <w:p w14:paraId="2B5372CC" w14:textId="77777777" w:rsidR="00EF781F" w:rsidRDefault="00EF781F" w:rsidP="00EF781F">
      <w:bookmarkStart w:id="725" w:name="_Toc60777128"/>
      <w:bookmarkStart w:id="726" w:name="_Toc146781165"/>
    </w:p>
    <w:p w14:paraId="3B67BA9A" w14:textId="77777777" w:rsidR="00EF781F" w:rsidRDefault="00EF781F" w:rsidP="00EF781F">
      <w:pPr>
        <w:pStyle w:val="4"/>
      </w:pPr>
      <w:r>
        <w:t>–</w:t>
      </w:r>
      <w:r w:rsidRPr="00EF781F">
        <w:rPr>
          <w:i/>
        </w:rPr>
        <w:tab/>
        <w:t>SystemInformation</w:t>
      </w:r>
    </w:p>
    <w:p w14:paraId="156E6C28" w14:textId="77777777" w:rsidR="00EF781F" w:rsidRDefault="00EF781F" w:rsidP="00EF781F">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4837F593" w14:textId="77777777" w:rsidR="00EF781F" w:rsidRDefault="00EF781F" w:rsidP="00EF781F">
      <w:pPr>
        <w:pStyle w:val="B1"/>
      </w:pPr>
      <w:r>
        <w:t>Signalling radio bearer: N/A</w:t>
      </w:r>
    </w:p>
    <w:p w14:paraId="25D4E757" w14:textId="77777777" w:rsidR="00EF781F" w:rsidRDefault="00EF781F" w:rsidP="00EF781F">
      <w:pPr>
        <w:pStyle w:val="B1"/>
      </w:pPr>
      <w:r>
        <w:lastRenderedPageBreak/>
        <w:t>RLC-SAP: TM</w:t>
      </w:r>
    </w:p>
    <w:p w14:paraId="73BBAD66" w14:textId="77777777" w:rsidR="00EF781F" w:rsidRDefault="00EF781F" w:rsidP="00EF781F">
      <w:pPr>
        <w:pStyle w:val="B1"/>
      </w:pPr>
      <w:r>
        <w:t>Logical channels: BCCH</w:t>
      </w:r>
    </w:p>
    <w:p w14:paraId="01F8161F" w14:textId="77777777" w:rsidR="00EF781F" w:rsidRDefault="00EF781F" w:rsidP="00EF781F">
      <w:pPr>
        <w:pStyle w:val="B1"/>
      </w:pPr>
      <w:r>
        <w:t>Direction: Network to UE</w:t>
      </w:r>
    </w:p>
    <w:p w14:paraId="257564AD" w14:textId="77777777" w:rsidR="00EF781F" w:rsidRPr="00EF781F" w:rsidRDefault="00EF781F" w:rsidP="00EF781F">
      <w:pPr>
        <w:pStyle w:val="TH"/>
        <w:rPr>
          <w:bCs/>
          <w:i/>
          <w:iCs/>
        </w:rPr>
      </w:pPr>
      <w:r w:rsidRPr="00EF781F">
        <w:rPr>
          <w:bCs/>
          <w:i/>
          <w:iCs/>
        </w:rPr>
        <w:t>SystemInformation message</w:t>
      </w:r>
    </w:p>
    <w:p w14:paraId="23A40A48" w14:textId="77777777" w:rsidR="00EF781F" w:rsidRPr="008D7C7E" w:rsidRDefault="00EF781F" w:rsidP="00EF781F">
      <w:pPr>
        <w:pStyle w:val="PL"/>
        <w:rPr>
          <w:color w:val="808080"/>
        </w:rPr>
      </w:pPr>
      <w:r w:rsidRPr="008D7C7E">
        <w:rPr>
          <w:color w:val="808080"/>
        </w:rPr>
        <w:t>-- ASN1START</w:t>
      </w:r>
    </w:p>
    <w:p w14:paraId="672B36EF" w14:textId="77777777" w:rsidR="00EF781F" w:rsidRPr="008D7C7E" w:rsidRDefault="00EF781F" w:rsidP="00EF781F">
      <w:pPr>
        <w:pStyle w:val="PL"/>
        <w:rPr>
          <w:color w:val="808080"/>
        </w:rPr>
      </w:pPr>
      <w:r w:rsidRPr="008D7C7E">
        <w:rPr>
          <w:color w:val="808080"/>
        </w:rPr>
        <w:t>-- TAG-SYSTEMINFORMATION-START</w:t>
      </w:r>
    </w:p>
    <w:p w14:paraId="7FE7534D" w14:textId="77777777" w:rsidR="00EF781F" w:rsidRDefault="00EF781F" w:rsidP="00EF781F">
      <w:pPr>
        <w:pStyle w:val="PL"/>
      </w:pPr>
    </w:p>
    <w:p w14:paraId="6873A110" w14:textId="77777777" w:rsidR="00EF781F" w:rsidRDefault="00EF781F" w:rsidP="00EF781F">
      <w:pPr>
        <w:pStyle w:val="PL"/>
      </w:pPr>
      <w:r>
        <w:t xml:space="preserve">SystemInformation ::=               </w:t>
      </w:r>
      <w:r>
        <w:rPr>
          <w:color w:val="993366"/>
        </w:rPr>
        <w:t>SEQUENCE</w:t>
      </w:r>
      <w:r>
        <w:t xml:space="preserve"> {</w:t>
      </w:r>
    </w:p>
    <w:p w14:paraId="36F6D8D3" w14:textId="77777777" w:rsidR="00EF781F" w:rsidRDefault="00EF781F" w:rsidP="00EF781F">
      <w:pPr>
        <w:pStyle w:val="PL"/>
      </w:pPr>
      <w:r>
        <w:t xml:space="preserve">    criticalExtensions                  </w:t>
      </w:r>
      <w:r>
        <w:rPr>
          <w:color w:val="993366"/>
        </w:rPr>
        <w:t>CHOICE</w:t>
      </w:r>
      <w:r>
        <w:t xml:space="preserve"> {</w:t>
      </w:r>
    </w:p>
    <w:p w14:paraId="36E8F3B7" w14:textId="77777777" w:rsidR="00EF781F" w:rsidRDefault="00EF781F" w:rsidP="00EF781F">
      <w:pPr>
        <w:pStyle w:val="PL"/>
      </w:pPr>
      <w:r>
        <w:t xml:space="preserve">        systemInformation                   SystemInformation-IEs,</w:t>
      </w:r>
    </w:p>
    <w:p w14:paraId="21DA7DE3" w14:textId="77777777" w:rsidR="00EF781F" w:rsidRDefault="00EF781F" w:rsidP="00EF781F">
      <w:pPr>
        <w:pStyle w:val="PL"/>
      </w:pPr>
      <w:r>
        <w:t xml:space="preserve">        criticalExtensionsFuture-r16    </w:t>
      </w:r>
      <w:r>
        <w:rPr>
          <w:color w:val="993366"/>
        </w:rPr>
        <w:t>CHOICE</w:t>
      </w:r>
      <w:r>
        <w:t xml:space="preserve"> {</w:t>
      </w:r>
    </w:p>
    <w:p w14:paraId="561C2F1A" w14:textId="77777777" w:rsidR="00EF781F" w:rsidRDefault="00EF781F" w:rsidP="00EF781F">
      <w:pPr>
        <w:pStyle w:val="PL"/>
      </w:pPr>
      <w:r>
        <w:t xml:space="preserve">            posSystemInformation-r16        PosSystemInformation-r16-IEs,</w:t>
      </w:r>
    </w:p>
    <w:p w14:paraId="1247D6C8" w14:textId="77777777" w:rsidR="00EF781F" w:rsidRDefault="00EF781F" w:rsidP="00EF781F">
      <w:pPr>
        <w:pStyle w:val="PL"/>
      </w:pPr>
      <w:r>
        <w:t xml:space="preserve">            criticalExtensionsFuture        </w:t>
      </w:r>
      <w:r>
        <w:rPr>
          <w:color w:val="993366"/>
        </w:rPr>
        <w:t>SEQUENCE</w:t>
      </w:r>
      <w:r>
        <w:t xml:space="preserve"> {}</w:t>
      </w:r>
    </w:p>
    <w:p w14:paraId="6907846E" w14:textId="77777777" w:rsidR="00EF781F" w:rsidRDefault="00EF781F" w:rsidP="00EF781F">
      <w:pPr>
        <w:pStyle w:val="PL"/>
      </w:pPr>
      <w:r>
        <w:t xml:space="preserve">        }</w:t>
      </w:r>
    </w:p>
    <w:p w14:paraId="60705EA1" w14:textId="77777777" w:rsidR="00EF781F" w:rsidRDefault="00EF781F" w:rsidP="00EF781F">
      <w:pPr>
        <w:pStyle w:val="PL"/>
      </w:pPr>
      <w:r>
        <w:t xml:space="preserve">    }</w:t>
      </w:r>
    </w:p>
    <w:p w14:paraId="51EB2B31" w14:textId="77777777" w:rsidR="00EF781F" w:rsidRDefault="00EF781F" w:rsidP="00EF781F">
      <w:pPr>
        <w:pStyle w:val="PL"/>
      </w:pPr>
      <w:r>
        <w:t>}</w:t>
      </w:r>
    </w:p>
    <w:p w14:paraId="45E4D56F" w14:textId="77777777" w:rsidR="00EF781F" w:rsidRDefault="00EF781F" w:rsidP="00EF781F">
      <w:pPr>
        <w:pStyle w:val="PL"/>
      </w:pPr>
    </w:p>
    <w:p w14:paraId="76DCECF8" w14:textId="77777777" w:rsidR="00EF781F" w:rsidRDefault="00EF781F" w:rsidP="00EF781F">
      <w:pPr>
        <w:pStyle w:val="PL"/>
      </w:pPr>
      <w:r>
        <w:t xml:space="preserve">SystemInformation-IEs ::=           </w:t>
      </w:r>
      <w:r>
        <w:rPr>
          <w:color w:val="993366"/>
        </w:rPr>
        <w:t>SEQUENCE</w:t>
      </w:r>
      <w:r>
        <w:t xml:space="preserve"> {</w:t>
      </w:r>
    </w:p>
    <w:p w14:paraId="147BEAA5" w14:textId="77777777" w:rsidR="00EF781F" w:rsidRDefault="00EF781F" w:rsidP="00EF781F">
      <w:pPr>
        <w:pStyle w:val="PL"/>
      </w:pPr>
      <w:r>
        <w:t xml:space="preserve">    sib-TypeAndInfo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14:paraId="70E57BDA" w14:textId="77777777" w:rsidR="00EF781F" w:rsidRDefault="00EF781F" w:rsidP="00EF781F">
      <w:pPr>
        <w:pStyle w:val="PL"/>
        <w:rPr>
          <w:lang w:val="de-DE"/>
        </w:rPr>
      </w:pPr>
      <w:r>
        <w:t xml:space="preserve">        </w:t>
      </w:r>
      <w:r>
        <w:rPr>
          <w:lang w:val="de-DE"/>
        </w:rPr>
        <w:t>sib2                                SIB2,</w:t>
      </w:r>
    </w:p>
    <w:p w14:paraId="2ECD5814" w14:textId="77777777" w:rsidR="00EF781F" w:rsidRDefault="00EF781F" w:rsidP="00EF781F">
      <w:pPr>
        <w:pStyle w:val="PL"/>
        <w:rPr>
          <w:lang w:val="de-DE"/>
        </w:rPr>
      </w:pPr>
      <w:r>
        <w:rPr>
          <w:lang w:val="de-DE"/>
        </w:rPr>
        <w:t xml:space="preserve">        sib3                                SIB3,</w:t>
      </w:r>
    </w:p>
    <w:p w14:paraId="16B8B0BD" w14:textId="77777777" w:rsidR="00EF781F" w:rsidRDefault="00EF781F" w:rsidP="00EF781F">
      <w:pPr>
        <w:pStyle w:val="PL"/>
        <w:rPr>
          <w:lang w:val="de-DE"/>
        </w:rPr>
      </w:pPr>
      <w:r>
        <w:rPr>
          <w:lang w:val="de-DE"/>
        </w:rPr>
        <w:t xml:space="preserve">        sib4                                SIB4,</w:t>
      </w:r>
    </w:p>
    <w:p w14:paraId="46610259" w14:textId="77777777" w:rsidR="00EF781F" w:rsidRDefault="00EF781F" w:rsidP="00EF781F">
      <w:pPr>
        <w:pStyle w:val="PL"/>
        <w:rPr>
          <w:lang w:val="de-DE"/>
        </w:rPr>
      </w:pPr>
      <w:r>
        <w:rPr>
          <w:lang w:val="de-DE"/>
        </w:rPr>
        <w:t xml:space="preserve">        sib5                                SIB5,</w:t>
      </w:r>
    </w:p>
    <w:p w14:paraId="12A3F94F" w14:textId="77777777" w:rsidR="00EF781F" w:rsidRDefault="00EF781F" w:rsidP="00EF781F">
      <w:pPr>
        <w:pStyle w:val="PL"/>
        <w:rPr>
          <w:lang w:val="de-DE"/>
        </w:rPr>
      </w:pPr>
      <w:r>
        <w:rPr>
          <w:lang w:val="de-DE"/>
        </w:rPr>
        <w:t xml:space="preserve">        sib6                                SIB6,</w:t>
      </w:r>
    </w:p>
    <w:p w14:paraId="37A01189" w14:textId="77777777" w:rsidR="00EF781F" w:rsidRDefault="00EF781F" w:rsidP="00EF781F">
      <w:pPr>
        <w:pStyle w:val="PL"/>
        <w:rPr>
          <w:lang w:val="de-DE"/>
        </w:rPr>
      </w:pPr>
      <w:r>
        <w:rPr>
          <w:lang w:val="de-DE"/>
        </w:rPr>
        <w:t xml:space="preserve">        sib7                                SIB7,</w:t>
      </w:r>
    </w:p>
    <w:p w14:paraId="12CD7356" w14:textId="77777777" w:rsidR="00EF781F" w:rsidRDefault="00EF781F" w:rsidP="00EF781F">
      <w:pPr>
        <w:pStyle w:val="PL"/>
        <w:rPr>
          <w:lang w:val="de-DE"/>
        </w:rPr>
      </w:pPr>
      <w:r>
        <w:rPr>
          <w:lang w:val="de-DE"/>
        </w:rPr>
        <w:t xml:space="preserve">        sib8                                SIB8,</w:t>
      </w:r>
    </w:p>
    <w:p w14:paraId="6ECE776A" w14:textId="77777777" w:rsidR="00EF781F" w:rsidRDefault="00EF781F" w:rsidP="00EF781F">
      <w:pPr>
        <w:pStyle w:val="PL"/>
        <w:rPr>
          <w:lang w:val="de-DE"/>
        </w:rPr>
      </w:pPr>
      <w:r>
        <w:rPr>
          <w:lang w:val="de-DE"/>
        </w:rPr>
        <w:t xml:space="preserve">        sib9                                SIB9,</w:t>
      </w:r>
    </w:p>
    <w:p w14:paraId="01C82129" w14:textId="77777777" w:rsidR="00EF781F" w:rsidRDefault="00EF781F" w:rsidP="00EF781F">
      <w:pPr>
        <w:pStyle w:val="PL"/>
        <w:rPr>
          <w:lang w:val="de-DE"/>
        </w:rPr>
      </w:pPr>
      <w:r>
        <w:rPr>
          <w:lang w:val="de-DE"/>
        </w:rPr>
        <w:t xml:space="preserve">        ...,</w:t>
      </w:r>
    </w:p>
    <w:p w14:paraId="75ACDAE9" w14:textId="77777777" w:rsidR="00EF781F" w:rsidRDefault="00EF781F" w:rsidP="00EF781F">
      <w:pPr>
        <w:pStyle w:val="PL"/>
        <w:rPr>
          <w:lang w:val="de-DE"/>
        </w:rPr>
      </w:pPr>
      <w:r>
        <w:rPr>
          <w:lang w:val="de-DE"/>
        </w:rPr>
        <w:t xml:space="preserve">        sib10-v1610                         SIB10-r16,</w:t>
      </w:r>
    </w:p>
    <w:p w14:paraId="0357259F" w14:textId="77777777" w:rsidR="00EF781F" w:rsidRDefault="00EF781F" w:rsidP="00EF781F">
      <w:pPr>
        <w:pStyle w:val="PL"/>
        <w:rPr>
          <w:lang w:val="de-DE"/>
        </w:rPr>
      </w:pPr>
      <w:r>
        <w:rPr>
          <w:lang w:val="de-DE"/>
        </w:rPr>
        <w:t xml:space="preserve">        sib11-v1610                         SIB11-r16,</w:t>
      </w:r>
    </w:p>
    <w:p w14:paraId="414AEA73" w14:textId="77777777" w:rsidR="00EF781F" w:rsidRDefault="00EF781F" w:rsidP="00EF781F">
      <w:pPr>
        <w:pStyle w:val="PL"/>
        <w:rPr>
          <w:lang w:val="de-DE"/>
        </w:rPr>
      </w:pPr>
      <w:r>
        <w:rPr>
          <w:lang w:val="de-DE"/>
        </w:rPr>
        <w:t xml:space="preserve">        sib12-v1610                         SIB12-r16,</w:t>
      </w:r>
    </w:p>
    <w:p w14:paraId="721125A0" w14:textId="77777777" w:rsidR="00EF781F" w:rsidRDefault="00EF781F" w:rsidP="00EF781F">
      <w:pPr>
        <w:pStyle w:val="PL"/>
        <w:rPr>
          <w:lang w:val="de-DE"/>
        </w:rPr>
      </w:pPr>
      <w:r>
        <w:rPr>
          <w:lang w:val="de-DE"/>
        </w:rPr>
        <w:t xml:space="preserve">        sib13-v1610                         SIB13-r16,</w:t>
      </w:r>
    </w:p>
    <w:p w14:paraId="16DD61E4" w14:textId="77777777" w:rsidR="00EF781F" w:rsidRDefault="00EF781F" w:rsidP="00EF781F">
      <w:pPr>
        <w:pStyle w:val="PL"/>
        <w:rPr>
          <w:lang w:val="de-DE"/>
        </w:rPr>
      </w:pPr>
      <w:r>
        <w:rPr>
          <w:lang w:val="de-DE"/>
        </w:rPr>
        <w:t xml:space="preserve">        sib14-v1610                         SIB14-r16,</w:t>
      </w:r>
    </w:p>
    <w:p w14:paraId="4601178F" w14:textId="77777777" w:rsidR="00EF781F" w:rsidRDefault="00EF781F" w:rsidP="00EF781F">
      <w:pPr>
        <w:pStyle w:val="PL"/>
        <w:rPr>
          <w:lang w:val="de-DE"/>
        </w:rPr>
      </w:pPr>
      <w:r>
        <w:rPr>
          <w:lang w:val="de-DE"/>
        </w:rPr>
        <w:t xml:space="preserve">        sib15-v1700                         SIB15-r17,</w:t>
      </w:r>
    </w:p>
    <w:p w14:paraId="32F1977A" w14:textId="77777777" w:rsidR="00EF781F" w:rsidRDefault="00EF781F" w:rsidP="00EF781F">
      <w:pPr>
        <w:pStyle w:val="PL"/>
        <w:rPr>
          <w:lang w:val="de-DE"/>
        </w:rPr>
      </w:pPr>
      <w:r>
        <w:rPr>
          <w:lang w:val="de-DE"/>
        </w:rPr>
        <w:t xml:space="preserve">        sib16-v1700                         SIB16-r17,</w:t>
      </w:r>
    </w:p>
    <w:p w14:paraId="794CE494" w14:textId="77777777" w:rsidR="00EF781F" w:rsidRDefault="00EF781F" w:rsidP="00EF781F">
      <w:pPr>
        <w:pStyle w:val="PL"/>
        <w:rPr>
          <w:lang w:val="de-DE"/>
        </w:rPr>
      </w:pPr>
      <w:r>
        <w:rPr>
          <w:lang w:val="de-DE"/>
        </w:rPr>
        <w:t xml:space="preserve">        sib17-v1700                         SIB17-r17,</w:t>
      </w:r>
    </w:p>
    <w:p w14:paraId="15EA09FD" w14:textId="77777777" w:rsidR="00EF781F" w:rsidRDefault="00EF781F" w:rsidP="00EF781F">
      <w:pPr>
        <w:pStyle w:val="PL"/>
        <w:rPr>
          <w:lang w:val="de-DE"/>
        </w:rPr>
      </w:pPr>
      <w:r>
        <w:rPr>
          <w:lang w:val="de-DE"/>
        </w:rPr>
        <w:t xml:space="preserve">        sib18-v1700                         SIB18-r17,</w:t>
      </w:r>
    </w:p>
    <w:p w14:paraId="4E8DEB14" w14:textId="77777777" w:rsidR="00EF781F" w:rsidRDefault="00EF781F" w:rsidP="00EF781F">
      <w:pPr>
        <w:pStyle w:val="PL"/>
        <w:rPr>
          <w:lang w:val="de-DE"/>
        </w:rPr>
      </w:pPr>
      <w:r>
        <w:rPr>
          <w:lang w:val="de-DE"/>
        </w:rPr>
        <w:t xml:space="preserve">        sib19-v1700                         SIB19-r17,</w:t>
      </w:r>
    </w:p>
    <w:p w14:paraId="358032A3" w14:textId="77777777" w:rsidR="00EF781F" w:rsidRDefault="00EF781F" w:rsidP="00EF781F">
      <w:pPr>
        <w:pStyle w:val="PL"/>
        <w:rPr>
          <w:lang w:val="de-DE"/>
        </w:rPr>
      </w:pPr>
      <w:r>
        <w:rPr>
          <w:lang w:val="de-DE"/>
        </w:rPr>
        <w:t xml:space="preserve">        sib20-v1700                         SIB20-r17,</w:t>
      </w:r>
    </w:p>
    <w:p w14:paraId="12235EED" w14:textId="77777777" w:rsidR="00EF781F" w:rsidRDefault="00EF781F" w:rsidP="00EF781F">
      <w:pPr>
        <w:pStyle w:val="PL"/>
        <w:rPr>
          <w:lang w:val="de-DE"/>
        </w:rPr>
      </w:pPr>
      <w:r>
        <w:rPr>
          <w:lang w:val="de-DE"/>
        </w:rPr>
        <w:t xml:space="preserve">        sib21-v1700                         SIB21-r17</w:t>
      </w:r>
      <w:ins w:id="727" w:author="Huawei, HiSilicon" w:date="2023-11-02T14:40:00Z">
        <w:r>
          <w:rPr>
            <w:lang w:val="de-DE"/>
          </w:rPr>
          <w:t>,</w:t>
        </w:r>
      </w:ins>
    </w:p>
    <w:p w14:paraId="71FD570D" w14:textId="77777777" w:rsidR="00EF781F" w:rsidRDefault="00EF781F" w:rsidP="00EF781F">
      <w:pPr>
        <w:pStyle w:val="PL"/>
        <w:rPr>
          <w:ins w:id="728" w:author="Huawei, HiSilicon" w:date="2023-11-02T14:40:00Z"/>
          <w:lang w:val="de-DE"/>
        </w:rPr>
      </w:pPr>
      <w:ins w:id="729" w:author="Huawei, HiSilicon" w:date="2023-11-02T14:40:00Z">
        <w:r>
          <w:rPr>
            <w:lang w:val="de-DE"/>
          </w:rPr>
          <w:t xml:space="preserve">        sibx-v1800                          SIBx-r18</w:t>
        </w:r>
      </w:ins>
    </w:p>
    <w:p w14:paraId="1F018D54" w14:textId="77777777" w:rsidR="00EF781F" w:rsidRDefault="00EF781F" w:rsidP="00EF781F">
      <w:pPr>
        <w:pStyle w:val="PL"/>
      </w:pPr>
      <w:r>
        <w:rPr>
          <w:lang w:val="de-DE"/>
        </w:rPr>
        <w:t xml:space="preserve">    </w:t>
      </w:r>
      <w:r>
        <w:t>},</w:t>
      </w:r>
    </w:p>
    <w:p w14:paraId="19978FE2" w14:textId="77777777" w:rsidR="00EF781F" w:rsidRDefault="00EF781F" w:rsidP="00EF781F">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67785B3" w14:textId="77777777" w:rsidR="00EF781F" w:rsidRDefault="00EF781F" w:rsidP="00EF781F">
      <w:pPr>
        <w:pStyle w:val="PL"/>
      </w:pPr>
      <w:r>
        <w:t xml:space="preserve">    nonCriticalExtension                </w:t>
      </w:r>
      <w:r>
        <w:rPr>
          <w:color w:val="993366"/>
        </w:rPr>
        <w:t>SEQUENCE</w:t>
      </w:r>
      <w:r>
        <w:t xml:space="preserve"> {}                         </w:t>
      </w:r>
      <w:r>
        <w:rPr>
          <w:color w:val="993366"/>
        </w:rPr>
        <w:t>OPTIONAL</w:t>
      </w:r>
    </w:p>
    <w:p w14:paraId="12511180" w14:textId="77777777" w:rsidR="00EF781F" w:rsidRDefault="00EF781F" w:rsidP="00EF781F">
      <w:pPr>
        <w:pStyle w:val="PL"/>
      </w:pPr>
      <w:r>
        <w:t>}</w:t>
      </w:r>
    </w:p>
    <w:p w14:paraId="4B191D70" w14:textId="77777777" w:rsidR="00EF781F" w:rsidRDefault="00EF781F" w:rsidP="00EF781F">
      <w:pPr>
        <w:pStyle w:val="PL"/>
      </w:pPr>
    </w:p>
    <w:p w14:paraId="1D8B2589" w14:textId="77777777" w:rsidR="00EF781F" w:rsidRPr="008D7C7E" w:rsidRDefault="00EF781F" w:rsidP="00EF781F">
      <w:pPr>
        <w:pStyle w:val="PL"/>
        <w:rPr>
          <w:color w:val="808080"/>
        </w:rPr>
      </w:pPr>
      <w:r w:rsidRPr="008D7C7E">
        <w:rPr>
          <w:color w:val="808080"/>
        </w:rPr>
        <w:lastRenderedPageBreak/>
        <w:t>-- TAG-SYSTEMINFORMATION-STOP</w:t>
      </w:r>
    </w:p>
    <w:p w14:paraId="7E2BB60F" w14:textId="77777777" w:rsidR="00EF781F" w:rsidRPr="008D7C7E" w:rsidRDefault="00EF781F" w:rsidP="00EF781F">
      <w:pPr>
        <w:pStyle w:val="PL"/>
        <w:rPr>
          <w:color w:val="808080"/>
        </w:rPr>
      </w:pPr>
      <w:r w:rsidRPr="008D7C7E">
        <w:rPr>
          <w:color w:val="808080"/>
        </w:rPr>
        <w:t>-- ASN1STOP</w:t>
      </w:r>
    </w:p>
    <w:p w14:paraId="6DF44D9D" w14:textId="77777777" w:rsidR="00EF781F" w:rsidRDefault="00EF781F" w:rsidP="00EF781F"/>
    <w:p w14:paraId="7F40EF89" w14:textId="77777777" w:rsidR="00394471" w:rsidRPr="00FA0D37" w:rsidRDefault="00394471" w:rsidP="00394471">
      <w:pPr>
        <w:pStyle w:val="4"/>
      </w:pPr>
      <w:r w:rsidRPr="00FA0D37">
        <w:t>–</w:t>
      </w:r>
      <w:r w:rsidRPr="00FA0D37">
        <w:tab/>
      </w:r>
      <w:r w:rsidRPr="00FA0D37">
        <w:rPr>
          <w:i/>
          <w:noProof/>
        </w:rPr>
        <w:t>UEAssistanceInformation</w:t>
      </w:r>
      <w:bookmarkEnd w:id="725"/>
      <w:bookmarkEnd w:id="726"/>
    </w:p>
    <w:p w14:paraId="79325F04" w14:textId="77777777" w:rsidR="00394471" w:rsidRPr="00FA0D37" w:rsidRDefault="00394471" w:rsidP="00394471">
      <w:r w:rsidRPr="00FA0D37">
        <w:t xml:space="preserve">The </w:t>
      </w:r>
      <w:r w:rsidRPr="00FA0D37">
        <w:rPr>
          <w:i/>
          <w:noProof/>
        </w:rPr>
        <w:t xml:space="preserve">UEAssistanceInformation </w:t>
      </w:r>
      <w:r w:rsidRPr="00FA0D37">
        <w:t xml:space="preserve">message is used for the indication of UE assistance information to the </w:t>
      </w:r>
      <w:r w:rsidRPr="00FA0D37">
        <w:rPr>
          <w:lang w:eastAsia="zh-CN"/>
        </w:rPr>
        <w:t>network</w:t>
      </w:r>
      <w:r w:rsidRPr="00FA0D37">
        <w:t>.</w:t>
      </w:r>
    </w:p>
    <w:p w14:paraId="1C740D39" w14:textId="77777777" w:rsidR="00394471" w:rsidRPr="00FA0D37" w:rsidRDefault="00394471" w:rsidP="00394471">
      <w:pPr>
        <w:pStyle w:val="B1"/>
      </w:pPr>
      <w:r w:rsidRPr="00FA0D37">
        <w:t>Signalling radio bearer: SRB1, SRB3</w:t>
      </w:r>
    </w:p>
    <w:p w14:paraId="2B2C056C" w14:textId="77777777" w:rsidR="00394471" w:rsidRPr="00FA0D37" w:rsidRDefault="00394471" w:rsidP="00394471">
      <w:pPr>
        <w:pStyle w:val="B1"/>
      </w:pPr>
      <w:r w:rsidRPr="00FA0D37">
        <w:t>RLC-SAP: AM</w:t>
      </w:r>
    </w:p>
    <w:p w14:paraId="52D8BF2C" w14:textId="77777777" w:rsidR="00394471" w:rsidRPr="00FA0D37" w:rsidRDefault="00394471" w:rsidP="00394471">
      <w:pPr>
        <w:pStyle w:val="B1"/>
      </w:pPr>
      <w:r w:rsidRPr="00FA0D37">
        <w:t>Logical channel: DCCH</w:t>
      </w:r>
    </w:p>
    <w:p w14:paraId="602AEB00" w14:textId="77777777" w:rsidR="00394471" w:rsidRPr="00FA0D37" w:rsidRDefault="00394471" w:rsidP="00394471">
      <w:pPr>
        <w:pStyle w:val="B1"/>
      </w:pPr>
      <w:r w:rsidRPr="00FA0D37">
        <w:t>Direction: UE to Network</w:t>
      </w:r>
    </w:p>
    <w:p w14:paraId="69864E0B" w14:textId="77777777" w:rsidR="00394471" w:rsidRPr="00FA0D37" w:rsidRDefault="00394471" w:rsidP="00394471">
      <w:pPr>
        <w:pStyle w:val="TH"/>
        <w:rPr>
          <w:bCs/>
          <w:i/>
          <w:iCs/>
        </w:rPr>
      </w:pPr>
      <w:r w:rsidRPr="00FA0D37">
        <w:rPr>
          <w:bCs/>
          <w:i/>
          <w:iCs/>
          <w:noProof/>
        </w:rPr>
        <w:t>UEAssistanceInformation message</w:t>
      </w:r>
    </w:p>
    <w:p w14:paraId="606CDD2D" w14:textId="77777777" w:rsidR="00394471" w:rsidRPr="00FA0D37" w:rsidRDefault="00394471" w:rsidP="00FA0D37">
      <w:pPr>
        <w:pStyle w:val="PL"/>
        <w:rPr>
          <w:color w:val="808080"/>
        </w:rPr>
      </w:pPr>
      <w:r w:rsidRPr="00FA0D37">
        <w:rPr>
          <w:color w:val="808080"/>
        </w:rPr>
        <w:t>-- ASN1START</w:t>
      </w:r>
    </w:p>
    <w:p w14:paraId="4B6DF7BD" w14:textId="77777777" w:rsidR="00394471" w:rsidRPr="00FA0D37" w:rsidRDefault="00394471" w:rsidP="00FA0D37">
      <w:pPr>
        <w:pStyle w:val="PL"/>
        <w:rPr>
          <w:color w:val="808080"/>
        </w:rPr>
      </w:pPr>
      <w:r w:rsidRPr="00FA0D37">
        <w:rPr>
          <w:color w:val="808080"/>
        </w:rPr>
        <w:t>-- TAG-UEASSISTANCEINFORMATION-START</w:t>
      </w:r>
    </w:p>
    <w:p w14:paraId="54C5F92E" w14:textId="77777777" w:rsidR="00394471" w:rsidRPr="00FA0D37" w:rsidRDefault="00394471" w:rsidP="00FA0D37">
      <w:pPr>
        <w:pStyle w:val="PL"/>
      </w:pPr>
    </w:p>
    <w:p w14:paraId="49F54CA7" w14:textId="77777777" w:rsidR="00394471" w:rsidRPr="00FA0D37" w:rsidRDefault="00394471" w:rsidP="00FA0D37">
      <w:pPr>
        <w:pStyle w:val="PL"/>
      </w:pPr>
      <w:r w:rsidRPr="00FA0D37">
        <w:t xml:space="preserve">UEAssistanceInformation ::=         </w:t>
      </w:r>
      <w:r w:rsidRPr="00FA0D37">
        <w:rPr>
          <w:color w:val="993366"/>
        </w:rPr>
        <w:t>SEQUENCE</w:t>
      </w:r>
      <w:r w:rsidRPr="00FA0D37">
        <w:t xml:space="preserve"> {</w:t>
      </w:r>
    </w:p>
    <w:p w14:paraId="628A6E92"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73C0B0F3" w14:textId="77777777" w:rsidR="00394471" w:rsidRPr="00FA0D37" w:rsidRDefault="00394471" w:rsidP="00FA0D37">
      <w:pPr>
        <w:pStyle w:val="PL"/>
      </w:pPr>
      <w:r w:rsidRPr="00FA0D37">
        <w:t xml:space="preserve">        ueAssistanceInformation             UEAssistanceInformation-IEs,</w:t>
      </w:r>
    </w:p>
    <w:p w14:paraId="42515948"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45DAF480" w14:textId="77777777" w:rsidR="00394471" w:rsidRPr="00FA0D37" w:rsidRDefault="00394471" w:rsidP="00FA0D37">
      <w:pPr>
        <w:pStyle w:val="PL"/>
      </w:pPr>
      <w:r w:rsidRPr="00FA0D37">
        <w:t xml:space="preserve">    }</w:t>
      </w:r>
    </w:p>
    <w:p w14:paraId="7BE2A811" w14:textId="77777777" w:rsidR="00394471" w:rsidRPr="00FA0D37" w:rsidRDefault="00394471" w:rsidP="00FA0D37">
      <w:pPr>
        <w:pStyle w:val="PL"/>
      </w:pPr>
      <w:r w:rsidRPr="00FA0D37">
        <w:t>}</w:t>
      </w:r>
    </w:p>
    <w:p w14:paraId="41567EA6" w14:textId="77777777" w:rsidR="00394471" w:rsidRPr="00FA0D37" w:rsidRDefault="00394471" w:rsidP="00FA0D37">
      <w:pPr>
        <w:pStyle w:val="PL"/>
      </w:pPr>
    </w:p>
    <w:p w14:paraId="2E45847E" w14:textId="77777777" w:rsidR="00394471" w:rsidRPr="00FA0D37" w:rsidRDefault="00394471" w:rsidP="00FA0D37">
      <w:pPr>
        <w:pStyle w:val="PL"/>
      </w:pPr>
      <w:r w:rsidRPr="00FA0D37">
        <w:t xml:space="preserve">UEAssistanceInformation-IEs ::=     </w:t>
      </w:r>
      <w:r w:rsidRPr="00FA0D37">
        <w:rPr>
          <w:color w:val="993366"/>
        </w:rPr>
        <w:t>SEQUENCE</w:t>
      </w:r>
      <w:r w:rsidRPr="00FA0D37">
        <w:t xml:space="preserve"> {</w:t>
      </w:r>
    </w:p>
    <w:p w14:paraId="3BF8959D" w14:textId="77777777" w:rsidR="00394471" w:rsidRPr="00FA0D37" w:rsidRDefault="00394471" w:rsidP="00FA0D37">
      <w:pPr>
        <w:pStyle w:val="PL"/>
      </w:pPr>
      <w:r w:rsidRPr="00FA0D37">
        <w:t xml:space="preserve">    delayBudgetReport                   DelayBudgetReport                   </w:t>
      </w:r>
      <w:r w:rsidRPr="00FA0D37">
        <w:rPr>
          <w:color w:val="993366"/>
        </w:rPr>
        <w:t>OPTIONAL</w:t>
      </w:r>
      <w:r w:rsidRPr="00FA0D37">
        <w:t>,</w:t>
      </w:r>
    </w:p>
    <w:p w14:paraId="4A907895"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36ED016" w14:textId="77777777" w:rsidR="00394471" w:rsidRPr="00FA0D37" w:rsidRDefault="00394471" w:rsidP="00FA0D37">
      <w:pPr>
        <w:pStyle w:val="PL"/>
      </w:pPr>
      <w:r w:rsidRPr="00FA0D37">
        <w:t xml:space="preserve">    nonCriticalExtension                UEAssistanceInformation-v1540-IEs   </w:t>
      </w:r>
      <w:r w:rsidRPr="00FA0D37">
        <w:rPr>
          <w:color w:val="993366"/>
        </w:rPr>
        <w:t>OPTIONAL</w:t>
      </w:r>
    </w:p>
    <w:p w14:paraId="6D319B4E" w14:textId="77777777" w:rsidR="00394471" w:rsidRPr="00FA0D37" w:rsidRDefault="00394471" w:rsidP="00FA0D37">
      <w:pPr>
        <w:pStyle w:val="PL"/>
      </w:pPr>
      <w:r w:rsidRPr="00FA0D37">
        <w:t>}</w:t>
      </w:r>
    </w:p>
    <w:p w14:paraId="231FEBD6" w14:textId="77777777" w:rsidR="00394471" w:rsidRPr="00FA0D37" w:rsidRDefault="00394471" w:rsidP="00FA0D37">
      <w:pPr>
        <w:pStyle w:val="PL"/>
      </w:pPr>
    </w:p>
    <w:p w14:paraId="1AA724D2" w14:textId="77777777" w:rsidR="00394471" w:rsidRPr="00FA0D37" w:rsidRDefault="00394471" w:rsidP="00FA0D37">
      <w:pPr>
        <w:pStyle w:val="PL"/>
      </w:pPr>
      <w:r w:rsidRPr="00FA0D37">
        <w:t xml:space="preserve">DelayBudgetReport::=                </w:t>
      </w:r>
      <w:r w:rsidRPr="00FA0D37">
        <w:rPr>
          <w:color w:val="993366"/>
        </w:rPr>
        <w:t>CHOICE</w:t>
      </w:r>
      <w:r w:rsidRPr="00FA0D37">
        <w:t xml:space="preserve"> {</w:t>
      </w:r>
    </w:p>
    <w:p w14:paraId="193C48FC" w14:textId="77777777" w:rsidR="00394471" w:rsidRPr="00FA0D37" w:rsidRDefault="00394471" w:rsidP="00FA0D37">
      <w:pPr>
        <w:pStyle w:val="PL"/>
      </w:pPr>
      <w:r w:rsidRPr="00FA0D37">
        <w:t xml:space="preserve">    type1                               </w:t>
      </w:r>
      <w:r w:rsidRPr="00FA0D37">
        <w:rPr>
          <w:color w:val="993366"/>
        </w:rPr>
        <w:t>ENUMERATED</w:t>
      </w:r>
      <w:r w:rsidRPr="00FA0D37">
        <w:t xml:space="preserve"> {</w:t>
      </w:r>
    </w:p>
    <w:p w14:paraId="38C8A3F8" w14:textId="77777777" w:rsidR="00394471" w:rsidRPr="00FA0D37" w:rsidRDefault="00394471" w:rsidP="00FA0D37">
      <w:pPr>
        <w:pStyle w:val="PL"/>
      </w:pPr>
      <w:r w:rsidRPr="00FA0D37">
        <w:t xml:space="preserve">                                            msMinus1280, msMinus640, msMinus320, msMinus160,msMinus80, msMinus60, msMinus40,</w:t>
      </w:r>
    </w:p>
    <w:p w14:paraId="04473252" w14:textId="77777777" w:rsidR="00394471" w:rsidRPr="00FA0D37" w:rsidRDefault="00394471" w:rsidP="00FA0D37">
      <w:pPr>
        <w:pStyle w:val="PL"/>
      </w:pPr>
      <w:r w:rsidRPr="00FA0D37">
        <w:t xml:space="preserve">                                            msMinus20, ms0, ms20,ms40, ms60, ms80, ms160, ms320, ms640, ms1280},</w:t>
      </w:r>
    </w:p>
    <w:p w14:paraId="3A62235F" w14:textId="77777777" w:rsidR="00394471" w:rsidRPr="00FA0D37" w:rsidRDefault="00394471" w:rsidP="00FA0D37">
      <w:pPr>
        <w:pStyle w:val="PL"/>
      </w:pPr>
      <w:r w:rsidRPr="00FA0D37">
        <w:t xml:space="preserve">    ...</w:t>
      </w:r>
    </w:p>
    <w:p w14:paraId="61F3B419" w14:textId="77777777" w:rsidR="00394471" w:rsidRPr="00FA0D37" w:rsidRDefault="00394471" w:rsidP="00FA0D37">
      <w:pPr>
        <w:pStyle w:val="PL"/>
      </w:pPr>
      <w:r w:rsidRPr="00FA0D37">
        <w:t>}</w:t>
      </w:r>
    </w:p>
    <w:p w14:paraId="5D5112F3" w14:textId="77777777" w:rsidR="00394471" w:rsidRPr="00FA0D37" w:rsidRDefault="00394471" w:rsidP="00FA0D37">
      <w:pPr>
        <w:pStyle w:val="PL"/>
      </w:pPr>
    </w:p>
    <w:p w14:paraId="0A50D563" w14:textId="77777777" w:rsidR="00394471" w:rsidRPr="00FA0D37" w:rsidRDefault="00394471" w:rsidP="00FA0D37">
      <w:pPr>
        <w:pStyle w:val="PL"/>
      </w:pPr>
      <w:r w:rsidRPr="00FA0D37">
        <w:t xml:space="preserve">UEAssistanceInformation-v1540-IEs ::= </w:t>
      </w:r>
      <w:r w:rsidRPr="00FA0D37">
        <w:rPr>
          <w:color w:val="993366"/>
        </w:rPr>
        <w:t>SEQUENCE</w:t>
      </w:r>
      <w:r w:rsidRPr="00FA0D37">
        <w:t xml:space="preserve"> {</w:t>
      </w:r>
    </w:p>
    <w:p w14:paraId="5A16FA06" w14:textId="77777777" w:rsidR="00394471" w:rsidRPr="00FA0D37" w:rsidRDefault="00394471" w:rsidP="00FA0D37">
      <w:pPr>
        <w:pStyle w:val="PL"/>
      </w:pPr>
      <w:r w:rsidRPr="00FA0D37">
        <w:t xml:space="preserve">    overheatingAssistance               OverheatingAssistance               </w:t>
      </w:r>
      <w:r w:rsidRPr="00FA0D37">
        <w:rPr>
          <w:color w:val="993366"/>
        </w:rPr>
        <w:t>OPTIONAL</w:t>
      </w:r>
      <w:r w:rsidRPr="00FA0D37">
        <w:t>,</w:t>
      </w:r>
    </w:p>
    <w:p w14:paraId="3E82A7D3" w14:textId="77777777" w:rsidR="00394471" w:rsidRPr="00FA0D37" w:rsidRDefault="00394471" w:rsidP="00FA0D37">
      <w:pPr>
        <w:pStyle w:val="PL"/>
      </w:pPr>
      <w:r w:rsidRPr="00FA0D37">
        <w:t xml:space="preserve">    nonCriticalExtension                UEAssistanceInformation-v1610-IEs   </w:t>
      </w:r>
      <w:r w:rsidRPr="00FA0D37">
        <w:rPr>
          <w:color w:val="993366"/>
        </w:rPr>
        <w:t>OPTIONAL</w:t>
      </w:r>
    </w:p>
    <w:p w14:paraId="356D15DB" w14:textId="77777777" w:rsidR="00394471" w:rsidRPr="00FA0D37" w:rsidRDefault="00394471" w:rsidP="00FA0D37">
      <w:pPr>
        <w:pStyle w:val="PL"/>
      </w:pPr>
      <w:r w:rsidRPr="00FA0D37">
        <w:t>}</w:t>
      </w:r>
    </w:p>
    <w:p w14:paraId="34EC41FC" w14:textId="77777777" w:rsidR="00394471" w:rsidRPr="00FA0D37" w:rsidRDefault="00394471" w:rsidP="00FA0D37">
      <w:pPr>
        <w:pStyle w:val="PL"/>
      </w:pPr>
    </w:p>
    <w:p w14:paraId="66AC28B3" w14:textId="77777777" w:rsidR="00394471" w:rsidRPr="00FA0D37" w:rsidRDefault="00394471" w:rsidP="00FA0D37">
      <w:pPr>
        <w:pStyle w:val="PL"/>
      </w:pPr>
      <w:r w:rsidRPr="00FA0D37">
        <w:t xml:space="preserve">OverheatingAssistance ::=           </w:t>
      </w:r>
      <w:r w:rsidRPr="00FA0D37">
        <w:rPr>
          <w:color w:val="993366"/>
        </w:rPr>
        <w:t>SEQUENCE</w:t>
      </w:r>
      <w:r w:rsidRPr="00FA0D37">
        <w:t xml:space="preserve"> {</w:t>
      </w:r>
    </w:p>
    <w:p w14:paraId="75A25828" w14:textId="77777777" w:rsidR="00394471" w:rsidRPr="00FA0D37" w:rsidRDefault="00394471" w:rsidP="00FA0D37">
      <w:pPr>
        <w:pStyle w:val="PL"/>
      </w:pPr>
      <w:r w:rsidRPr="00FA0D37">
        <w:t xml:space="preserve">    reducedMaxCCs                       ReducedMaxCCs-r16                   </w:t>
      </w:r>
      <w:r w:rsidRPr="00FA0D37">
        <w:rPr>
          <w:color w:val="993366"/>
        </w:rPr>
        <w:t>OPTIONAL</w:t>
      </w:r>
      <w:r w:rsidRPr="00FA0D37">
        <w:t>,</w:t>
      </w:r>
    </w:p>
    <w:p w14:paraId="701CDD68" w14:textId="77777777" w:rsidR="00394471" w:rsidRPr="00FA0D37" w:rsidRDefault="00394471" w:rsidP="00FA0D37">
      <w:pPr>
        <w:pStyle w:val="PL"/>
      </w:pPr>
      <w:r w:rsidRPr="00FA0D37">
        <w:lastRenderedPageBreak/>
        <w:t xml:space="preserve">    reducedMaxBW-FR1                    ReducedMaxBW-FRx-r16                </w:t>
      </w:r>
      <w:r w:rsidRPr="00FA0D37">
        <w:rPr>
          <w:color w:val="993366"/>
        </w:rPr>
        <w:t>OPTIONAL</w:t>
      </w:r>
      <w:r w:rsidRPr="00FA0D37">
        <w:t>,</w:t>
      </w:r>
    </w:p>
    <w:p w14:paraId="1E66C7C2" w14:textId="77777777" w:rsidR="00394471" w:rsidRPr="00FA0D37" w:rsidRDefault="00394471" w:rsidP="00FA0D37">
      <w:pPr>
        <w:pStyle w:val="PL"/>
      </w:pPr>
      <w:r w:rsidRPr="00FA0D37">
        <w:t xml:space="preserve">    reducedMaxBW-FR2                    ReducedMaxBW-FRx-r16                </w:t>
      </w:r>
      <w:r w:rsidRPr="00FA0D37">
        <w:rPr>
          <w:color w:val="993366"/>
        </w:rPr>
        <w:t>OPTIONAL</w:t>
      </w:r>
      <w:r w:rsidRPr="00FA0D37">
        <w:t>,</w:t>
      </w:r>
    </w:p>
    <w:p w14:paraId="680A2362" w14:textId="77777777" w:rsidR="00394471" w:rsidRPr="00FA0D37" w:rsidRDefault="00394471" w:rsidP="00FA0D37">
      <w:pPr>
        <w:pStyle w:val="PL"/>
      </w:pPr>
      <w:r w:rsidRPr="00FA0D37">
        <w:t xml:space="preserve">    reducedMaxMIMO-LayersFR1            </w:t>
      </w:r>
      <w:r w:rsidRPr="00FA0D37">
        <w:rPr>
          <w:color w:val="993366"/>
        </w:rPr>
        <w:t>SEQUENCE</w:t>
      </w:r>
      <w:r w:rsidRPr="00FA0D37">
        <w:t xml:space="preserve"> {</w:t>
      </w:r>
    </w:p>
    <w:p w14:paraId="67FC527F" w14:textId="77777777" w:rsidR="00394471" w:rsidRPr="00FA0D37" w:rsidRDefault="00394471" w:rsidP="00FA0D37">
      <w:pPr>
        <w:pStyle w:val="PL"/>
      </w:pPr>
      <w:r w:rsidRPr="00FA0D37">
        <w:t xml:space="preserve">        reducedMIMO-LayersFR1-DL            MIMO-LayersDL,</w:t>
      </w:r>
    </w:p>
    <w:p w14:paraId="55F5C18E" w14:textId="77777777" w:rsidR="00394471" w:rsidRPr="00FA0D37" w:rsidRDefault="00394471" w:rsidP="00FA0D37">
      <w:pPr>
        <w:pStyle w:val="PL"/>
      </w:pPr>
      <w:r w:rsidRPr="00FA0D37">
        <w:t xml:space="preserve">        reducedMIMO-LayersFR1-UL            MIMO-LayersUL</w:t>
      </w:r>
    </w:p>
    <w:p w14:paraId="500F423F" w14:textId="77777777" w:rsidR="00394471" w:rsidRPr="00FA0D37" w:rsidRDefault="00394471" w:rsidP="00FA0D37">
      <w:pPr>
        <w:pStyle w:val="PL"/>
      </w:pPr>
      <w:r w:rsidRPr="00FA0D37">
        <w:t xml:space="preserve">    } </w:t>
      </w:r>
      <w:r w:rsidRPr="00FA0D37">
        <w:rPr>
          <w:color w:val="993366"/>
        </w:rPr>
        <w:t>OPTIONAL</w:t>
      </w:r>
      <w:r w:rsidRPr="00FA0D37">
        <w:t>,</w:t>
      </w:r>
    </w:p>
    <w:p w14:paraId="746D46AC" w14:textId="77777777" w:rsidR="00394471" w:rsidRPr="00FA0D37" w:rsidRDefault="00394471" w:rsidP="00FA0D37">
      <w:pPr>
        <w:pStyle w:val="PL"/>
      </w:pPr>
      <w:r w:rsidRPr="00FA0D37">
        <w:t xml:space="preserve">    reducedMaxMIMO-LayersFR2            </w:t>
      </w:r>
      <w:r w:rsidRPr="00FA0D37">
        <w:rPr>
          <w:color w:val="993366"/>
        </w:rPr>
        <w:t>SEQUENCE</w:t>
      </w:r>
      <w:r w:rsidRPr="00FA0D37">
        <w:t xml:space="preserve"> {</w:t>
      </w:r>
    </w:p>
    <w:p w14:paraId="1F3D21E2" w14:textId="77777777" w:rsidR="00394471" w:rsidRPr="00FA0D37" w:rsidRDefault="00394471" w:rsidP="00FA0D37">
      <w:pPr>
        <w:pStyle w:val="PL"/>
      </w:pPr>
      <w:r w:rsidRPr="00FA0D37">
        <w:t xml:space="preserve">        reducedMIMO-LayersFR2-DL            MIMO-LayersDL,</w:t>
      </w:r>
    </w:p>
    <w:p w14:paraId="07499613" w14:textId="77777777" w:rsidR="00394471" w:rsidRPr="00FA0D37" w:rsidRDefault="00394471" w:rsidP="00FA0D37">
      <w:pPr>
        <w:pStyle w:val="PL"/>
      </w:pPr>
      <w:r w:rsidRPr="00FA0D37">
        <w:t xml:space="preserve">        reducedMIMO-LayersFR2-UL            MIMO-LayersUL</w:t>
      </w:r>
    </w:p>
    <w:p w14:paraId="2D0F0882" w14:textId="77777777" w:rsidR="00394471" w:rsidRPr="00FA0D37" w:rsidRDefault="00394471" w:rsidP="00FA0D37">
      <w:pPr>
        <w:pStyle w:val="PL"/>
      </w:pPr>
      <w:r w:rsidRPr="00FA0D37">
        <w:t xml:space="preserve">    } </w:t>
      </w:r>
      <w:r w:rsidRPr="00FA0D37">
        <w:rPr>
          <w:color w:val="993366"/>
        </w:rPr>
        <w:t>OPTIONAL</w:t>
      </w:r>
    </w:p>
    <w:p w14:paraId="34C62025" w14:textId="77777777" w:rsidR="00394471" w:rsidRPr="00FA0D37" w:rsidRDefault="00394471" w:rsidP="00FA0D37">
      <w:pPr>
        <w:pStyle w:val="PL"/>
      </w:pPr>
      <w:r w:rsidRPr="00FA0D37">
        <w:t>}</w:t>
      </w:r>
    </w:p>
    <w:p w14:paraId="4AC6D9C2" w14:textId="1CD9AD84" w:rsidR="001538BE" w:rsidRPr="00FA0D37" w:rsidRDefault="001538BE" w:rsidP="00FA0D37">
      <w:pPr>
        <w:pStyle w:val="PL"/>
      </w:pPr>
      <w:r w:rsidRPr="00FA0D37">
        <w:t xml:space="preserve">OverheatingAssistance-r17 ::=       </w:t>
      </w:r>
      <w:r w:rsidRPr="00FA0D37">
        <w:rPr>
          <w:color w:val="993366"/>
        </w:rPr>
        <w:t>SEQUENCE</w:t>
      </w:r>
      <w:r w:rsidRPr="00FA0D37">
        <w:t xml:space="preserve"> {</w:t>
      </w:r>
    </w:p>
    <w:p w14:paraId="499CB254" w14:textId="7E072168" w:rsidR="001538BE" w:rsidRPr="00FA0D37" w:rsidRDefault="001538BE" w:rsidP="00FA0D37">
      <w:pPr>
        <w:pStyle w:val="PL"/>
      </w:pPr>
      <w:r w:rsidRPr="00FA0D37">
        <w:t xml:space="preserve">    reducedMaxBW-FR2-2-r17              </w:t>
      </w:r>
      <w:r w:rsidRPr="00FA0D37">
        <w:rPr>
          <w:color w:val="993366"/>
        </w:rPr>
        <w:t>SEQUENCE</w:t>
      </w:r>
      <w:r w:rsidRPr="00FA0D37">
        <w:t xml:space="preserve"> {</w:t>
      </w:r>
    </w:p>
    <w:p w14:paraId="1B722BF7" w14:textId="4BEC81DE" w:rsidR="001538BE" w:rsidRPr="00FA0D37" w:rsidRDefault="001538BE" w:rsidP="00FA0D37">
      <w:pPr>
        <w:pStyle w:val="PL"/>
      </w:pPr>
      <w:r w:rsidRPr="00FA0D37">
        <w:t xml:space="preserve">        reducedBW-FR2-2-DL-r17              ReducedAggregatedBandwidth-r17,</w:t>
      </w:r>
    </w:p>
    <w:p w14:paraId="060D6858" w14:textId="4AD5557C" w:rsidR="001538BE" w:rsidRPr="00FA0D37" w:rsidRDefault="001538BE" w:rsidP="00FA0D37">
      <w:pPr>
        <w:pStyle w:val="PL"/>
      </w:pPr>
      <w:r w:rsidRPr="00FA0D37">
        <w:t xml:space="preserve">        reducedBW-FR2-2-UL-r17              ReducedAggregatedBandwidth-r17</w:t>
      </w:r>
    </w:p>
    <w:p w14:paraId="4B68A1A1" w14:textId="77777777" w:rsidR="001538BE" w:rsidRPr="00FA0D37" w:rsidRDefault="001538BE" w:rsidP="00FA0D37">
      <w:pPr>
        <w:pStyle w:val="PL"/>
      </w:pPr>
      <w:r w:rsidRPr="00FA0D37">
        <w:t xml:space="preserve">    } </w:t>
      </w:r>
      <w:r w:rsidRPr="00FA0D37">
        <w:rPr>
          <w:color w:val="993366"/>
        </w:rPr>
        <w:t>OPTIONAL</w:t>
      </w:r>
      <w:r w:rsidRPr="00FA0D37">
        <w:t>,</w:t>
      </w:r>
    </w:p>
    <w:p w14:paraId="080D7708" w14:textId="14E15F52" w:rsidR="001538BE" w:rsidRPr="00FA0D37" w:rsidRDefault="001538BE" w:rsidP="00FA0D37">
      <w:pPr>
        <w:pStyle w:val="PL"/>
      </w:pPr>
      <w:r w:rsidRPr="00FA0D37">
        <w:t xml:space="preserve">    reducedMaxMIMO-LayersFR2-2          </w:t>
      </w:r>
      <w:r w:rsidRPr="00FA0D37">
        <w:rPr>
          <w:color w:val="993366"/>
        </w:rPr>
        <w:t>SEQUENCE</w:t>
      </w:r>
      <w:r w:rsidRPr="00FA0D37">
        <w:t xml:space="preserve"> {</w:t>
      </w:r>
    </w:p>
    <w:p w14:paraId="079C23B5" w14:textId="367ACAD4" w:rsidR="001538BE" w:rsidRPr="00FA0D37" w:rsidRDefault="001538BE" w:rsidP="00FA0D37">
      <w:pPr>
        <w:pStyle w:val="PL"/>
      </w:pPr>
      <w:r w:rsidRPr="00FA0D37">
        <w:t xml:space="preserve">        reducedMIMO-LayersFR2-2-DL          MIMO-LayersDL,</w:t>
      </w:r>
    </w:p>
    <w:p w14:paraId="0C129A45" w14:textId="625428D1" w:rsidR="001538BE" w:rsidRPr="00FA0D37" w:rsidRDefault="001538BE" w:rsidP="00FA0D37">
      <w:pPr>
        <w:pStyle w:val="PL"/>
      </w:pPr>
      <w:r w:rsidRPr="00FA0D37">
        <w:t xml:space="preserve">        reducedMIMO-LayersFR2-2-UL          MIMO-LayersUL</w:t>
      </w:r>
    </w:p>
    <w:p w14:paraId="40B4EF6E" w14:textId="77777777" w:rsidR="001538BE" w:rsidRPr="00FA0D37" w:rsidRDefault="001538BE" w:rsidP="00FA0D37">
      <w:pPr>
        <w:pStyle w:val="PL"/>
      </w:pPr>
      <w:r w:rsidRPr="00FA0D37">
        <w:t xml:space="preserve">    } </w:t>
      </w:r>
      <w:r w:rsidRPr="00FA0D37">
        <w:rPr>
          <w:color w:val="993366"/>
        </w:rPr>
        <w:t>OPTIONAL</w:t>
      </w:r>
    </w:p>
    <w:p w14:paraId="785228CC" w14:textId="77777777" w:rsidR="001538BE" w:rsidRPr="00FA0D37" w:rsidRDefault="001538BE" w:rsidP="00FA0D37">
      <w:pPr>
        <w:pStyle w:val="PL"/>
      </w:pPr>
      <w:r w:rsidRPr="00FA0D37">
        <w:t>}</w:t>
      </w:r>
    </w:p>
    <w:p w14:paraId="2FCBF8C5" w14:textId="77777777" w:rsidR="00394471" w:rsidRPr="00FA0D37" w:rsidRDefault="00394471" w:rsidP="00FA0D37">
      <w:pPr>
        <w:pStyle w:val="PL"/>
      </w:pPr>
    </w:p>
    <w:p w14:paraId="3F13626D" w14:textId="77777777" w:rsidR="00394471" w:rsidRPr="00FA0D37" w:rsidRDefault="00394471" w:rsidP="00FA0D37">
      <w:pPr>
        <w:pStyle w:val="PL"/>
      </w:pPr>
      <w:r w:rsidRPr="00FA0D37">
        <w:t xml:space="preserve">ReducedAggregatedBandwidth ::= </w:t>
      </w:r>
      <w:r w:rsidRPr="00FA0D37">
        <w:rPr>
          <w:color w:val="993366"/>
        </w:rPr>
        <w:t>ENUMERATED</w:t>
      </w:r>
      <w:r w:rsidRPr="00FA0D37">
        <w:t xml:space="preserve"> {mhz0, mhz10, mhz20, mhz30, mhz40, mhz50, mhz60, mhz80, mhz100, mhz200, mhz300, mhz400}</w:t>
      </w:r>
    </w:p>
    <w:p w14:paraId="65B3C6AA" w14:textId="4AFC8177" w:rsidR="00394471" w:rsidRPr="00FA0D37" w:rsidRDefault="00394471" w:rsidP="00FA0D37">
      <w:pPr>
        <w:pStyle w:val="PL"/>
      </w:pPr>
    </w:p>
    <w:p w14:paraId="53FF9A61" w14:textId="39FD1930" w:rsidR="001538BE" w:rsidRPr="00FA0D37" w:rsidRDefault="001538BE" w:rsidP="00FA0D37">
      <w:pPr>
        <w:pStyle w:val="PL"/>
      </w:pPr>
      <w:r w:rsidRPr="00FA0D37">
        <w:t xml:space="preserve">ReducedAggregatedBandwidth-r17 ::= </w:t>
      </w:r>
      <w:r w:rsidRPr="00FA0D37">
        <w:rPr>
          <w:color w:val="993366"/>
        </w:rPr>
        <w:t>ENUMERATED</w:t>
      </w:r>
      <w:r w:rsidRPr="00FA0D37">
        <w:t xml:space="preserve"> {mhz0, mhz100, mhz200, mhz400, mhz800, mhz1200, mhz1600, mhz2000}</w:t>
      </w:r>
    </w:p>
    <w:p w14:paraId="3DBC22C0" w14:textId="77777777" w:rsidR="001538BE" w:rsidRPr="00FA0D37" w:rsidRDefault="001538BE" w:rsidP="00FA0D37">
      <w:pPr>
        <w:pStyle w:val="PL"/>
      </w:pPr>
    </w:p>
    <w:p w14:paraId="3CD94425" w14:textId="77777777" w:rsidR="00394471" w:rsidRPr="00FA0D37" w:rsidRDefault="00394471" w:rsidP="00FA0D37">
      <w:pPr>
        <w:pStyle w:val="PL"/>
      </w:pPr>
      <w:r w:rsidRPr="00FA0D37">
        <w:t xml:space="preserve">UEAssistanceInformation-v1610-IEs ::= </w:t>
      </w:r>
      <w:r w:rsidRPr="00FA0D37">
        <w:rPr>
          <w:color w:val="993366"/>
        </w:rPr>
        <w:t>SEQUENCE</w:t>
      </w:r>
      <w:r w:rsidRPr="00FA0D37">
        <w:t xml:space="preserve"> {</w:t>
      </w:r>
    </w:p>
    <w:p w14:paraId="761817DB" w14:textId="77777777" w:rsidR="00394471" w:rsidRPr="00FA0D37" w:rsidRDefault="00394471" w:rsidP="00FA0D37">
      <w:pPr>
        <w:pStyle w:val="PL"/>
      </w:pPr>
      <w:r w:rsidRPr="00FA0D37">
        <w:t xml:space="preserve">    idc-Assistance-r16                  IDC-Assistance-r16                  </w:t>
      </w:r>
      <w:r w:rsidRPr="00FA0D37">
        <w:rPr>
          <w:color w:val="993366"/>
        </w:rPr>
        <w:t>OPTIONAL</w:t>
      </w:r>
      <w:r w:rsidRPr="00FA0D37">
        <w:t>,</w:t>
      </w:r>
    </w:p>
    <w:p w14:paraId="1558134A" w14:textId="77777777" w:rsidR="00394471" w:rsidRPr="00FA0D37" w:rsidRDefault="00394471" w:rsidP="00FA0D37">
      <w:pPr>
        <w:pStyle w:val="PL"/>
      </w:pPr>
      <w:r w:rsidRPr="00FA0D37">
        <w:t xml:space="preserve">    drx-Preference-r16                  DRX-Preference-r16                  </w:t>
      </w:r>
      <w:r w:rsidRPr="00FA0D37">
        <w:rPr>
          <w:color w:val="993366"/>
        </w:rPr>
        <w:t>OPTIONAL</w:t>
      </w:r>
      <w:r w:rsidRPr="00FA0D37">
        <w:t>,</w:t>
      </w:r>
    </w:p>
    <w:p w14:paraId="6EE8B28E" w14:textId="77777777" w:rsidR="00394471" w:rsidRPr="00FA0D37" w:rsidRDefault="00394471" w:rsidP="00FA0D37">
      <w:pPr>
        <w:pStyle w:val="PL"/>
      </w:pPr>
      <w:r w:rsidRPr="00FA0D37">
        <w:t xml:space="preserve">    maxBW-Preference-r16                MaxBW-Preference-r16                </w:t>
      </w:r>
      <w:r w:rsidRPr="00FA0D37">
        <w:rPr>
          <w:color w:val="993366"/>
        </w:rPr>
        <w:t>OPTIONAL</w:t>
      </w:r>
      <w:r w:rsidRPr="00FA0D37">
        <w:t>,</w:t>
      </w:r>
    </w:p>
    <w:p w14:paraId="7016E606" w14:textId="77777777" w:rsidR="00394471" w:rsidRPr="00FA0D37" w:rsidRDefault="00394471" w:rsidP="00FA0D37">
      <w:pPr>
        <w:pStyle w:val="PL"/>
      </w:pPr>
      <w:r w:rsidRPr="00FA0D37">
        <w:t xml:space="preserve">    maxCC-Preference-r16                MaxCC-Preference-r16                </w:t>
      </w:r>
      <w:r w:rsidRPr="00FA0D37">
        <w:rPr>
          <w:color w:val="993366"/>
        </w:rPr>
        <w:t>OPTIONAL</w:t>
      </w:r>
      <w:r w:rsidRPr="00FA0D37">
        <w:t>,</w:t>
      </w:r>
    </w:p>
    <w:p w14:paraId="39835882" w14:textId="77777777" w:rsidR="00394471" w:rsidRPr="00FA0D37" w:rsidRDefault="00394471" w:rsidP="00FA0D37">
      <w:pPr>
        <w:pStyle w:val="PL"/>
      </w:pPr>
      <w:r w:rsidRPr="00FA0D37">
        <w:t xml:space="preserve">    maxMIMO-LayerPreference-r16         MaxMIMO-LayerPreference-r16         </w:t>
      </w:r>
      <w:r w:rsidRPr="00FA0D37">
        <w:rPr>
          <w:color w:val="993366"/>
        </w:rPr>
        <w:t>OPTIONAL</w:t>
      </w:r>
      <w:r w:rsidRPr="00FA0D37">
        <w:t>,</w:t>
      </w:r>
    </w:p>
    <w:p w14:paraId="7EE75574" w14:textId="77777777" w:rsidR="00394471" w:rsidRPr="00FA0D37" w:rsidRDefault="00394471" w:rsidP="00FA0D37">
      <w:pPr>
        <w:pStyle w:val="PL"/>
      </w:pPr>
      <w:r w:rsidRPr="00FA0D37">
        <w:t xml:space="preserve">    minSchedulingOffsetPreference-r16   MinSchedulingOffsetPreference-r16   </w:t>
      </w:r>
      <w:r w:rsidRPr="00FA0D37">
        <w:rPr>
          <w:color w:val="993366"/>
        </w:rPr>
        <w:t>OPTIONAL</w:t>
      </w:r>
      <w:r w:rsidRPr="00FA0D37">
        <w:t>,</w:t>
      </w:r>
    </w:p>
    <w:p w14:paraId="0BC6485E" w14:textId="77777777" w:rsidR="00394471" w:rsidRPr="00FA0D37" w:rsidRDefault="00394471" w:rsidP="00FA0D37">
      <w:pPr>
        <w:pStyle w:val="PL"/>
      </w:pPr>
      <w:r w:rsidRPr="00FA0D37">
        <w:t xml:space="preserve">    releasePreference-r16               ReleasePreference-r16               </w:t>
      </w:r>
      <w:r w:rsidRPr="00FA0D37">
        <w:rPr>
          <w:color w:val="993366"/>
        </w:rPr>
        <w:t>OPTIONAL</w:t>
      </w:r>
      <w:r w:rsidRPr="00FA0D37">
        <w:t>,</w:t>
      </w:r>
    </w:p>
    <w:p w14:paraId="50D2F020" w14:textId="77777777" w:rsidR="00394471" w:rsidRPr="00FA0D37" w:rsidRDefault="00394471" w:rsidP="00FA0D37">
      <w:pPr>
        <w:pStyle w:val="PL"/>
      </w:pPr>
      <w:r w:rsidRPr="00FA0D37">
        <w:t xml:space="preserve">    sl-UE-AssistanceInformationNR-r16   SL-UE-AssistanceInformationNR-r16   </w:t>
      </w:r>
      <w:r w:rsidRPr="00FA0D37">
        <w:rPr>
          <w:color w:val="993366"/>
        </w:rPr>
        <w:t>OPTIONAL</w:t>
      </w:r>
      <w:r w:rsidRPr="00FA0D37">
        <w:t>,</w:t>
      </w:r>
    </w:p>
    <w:p w14:paraId="4752DB62" w14:textId="77777777" w:rsidR="00394471" w:rsidRPr="00FA0D37" w:rsidRDefault="00394471" w:rsidP="00FA0D37">
      <w:pPr>
        <w:pStyle w:val="PL"/>
      </w:pPr>
      <w:r w:rsidRPr="00FA0D37">
        <w:t xml:space="preserve">    referenceTimeInfoPreference-r16     </w:t>
      </w:r>
      <w:r w:rsidRPr="00FA0D37">
        <w:rPr>
          <w:color w:val="993366"/>
        </w:rPr>
        <w:t>BOOLEAN</w:t>
      </w:r>
      <w:r w:rsidRPr="00FA0D37">
        <w:t xml:space="preserve">                             </w:t>
      </w:r>
      <w:r w:rsidRPr="00FA0D37">
        <w:rPr>
          <w:color w:val="993366"/>
        </w:rPr>
        <w:t>OPTIONAL</w:t>
      </w:r>
      <w:r w:rsidRPr="00FA0D37">
        <w:t>,</w:t>
      </w:r>
    </w:p>
    <w:p w14:paraId="50B71DAF" w14:textId="02BE8956" w:rsidR="00394471" w:rsidRPr="00FA0D37" w:rsidRDefault="00394471" w:rsidP="00FA0D37">
      <w:pPr>
        <w:pStyle w:val="PL"/>
      </w:pPr>
      <w:r w:rsidRPr="00FA0D37">
        <w:t xml:space="preserve">    nonCriticalExtension                </w:t>
      </w:r>
      <w:r w:rsidR="00B001B7" w:rsidRPr="00FA0D37">
        <w:t>UEAssistanceInformation-v1700-IEs</w:t>
      </w:r>
      <w:r w:rsidRPr="00FA0D37">
        <w:t xml:space="preserve">   </w:t>
      </w:r>
      <w:r w:rsidRPr="00FA0D37">
        <w:rPr>
          <w:color w:val="993366"/>
        </w:rPr>
        <w:t>OPTIONAL</w:t>
      </w:r>
    </w:p>
    <w:p w14:paraId="6DC15ACB" w14:textId="77777777" w:rsidR="00B001B7" w:rsidRPr="00FA0D37" w:rsidRDefault="00394471" w:rsidP="00FA0D37">
      <w:pPr>
        <w:pStyle w:val="PL"/>
      </w:pPr>
      <w:r w:rsidRPr="00FA0D37">
        <w:t>}</w:t>
      </w:r>
    </w:p>
    <w:p w14:paraId="2DC522E5" w14:textId="77777777" w:rsidR="00B001B7" w:rsidRPr="00FA0D37" w:rsidRDefault="00B001B7" w:rsidP="00FA0D37">
      <w:pPr>
        <w:pStyle w:val="PL"/>
      </w:pPr>
    </w:p>
    <w:p w14:paraId="7ED87C7C" w14:textId="4CEC7DD0" w:rsidR="00B001B7" w:rsidRPr="00FA0D37" w:rsidRDefault="00B001B7" w:rsidP="00FA0D37">
      <w:pPr>
        <w:pStyle w:val="PL"/>
      </w:pPr>
      <w:r w:rsidRPr="00FA0D37">
        <w:t xml:space="preserve">UEAssistanceInformation-v1700-IEs ::= </w:t>
      </w:r>
      <w:r w:rsidRPr="00FA0D37">
        <w:rPr>
          <w:color w:val="993366"/>
        </w:rPr>
        <w:t>SEQUENCE</w:t>
      </w:r>
      <w:r w:rsidRPr="00FA0D37">
        <w:t xml:space="preserve"> {</w:t>
      </w:r>
    </w:p>
    <w:p w14:paraId="522CA452" w14:textId="22E08718" w:rsidR="00B001B7" w:rsidRPr="00FA0D37" w:rsidRDefault="00B001B7" w:rsidP="00FA0D37">
      <w:pPr>
        <w:pStyle w:val="PL"/>
      </w:pPr>
      <w:r w:rsidRPr="00FA0D37">
        <w:t xml:space="preserve">    ul-GapFR2-Preference-r17              UL-GapFR2-Preference-r17          </w:t>
      </w:r>
      <w:r w:rsidR="006C501F" w:rsidRPr="00FA0D37">
        <w:t xml:space="preserve">    </w:t>
      </w:r>
      <w:r w:rsidRPr="00FA0D37">
        <w:rPr>
          <w:color w:val="993366"/>
        </w:rPr>
        <w:t>OPTIONAL</w:t>
      </w:r>
      <w:r w:rsidRPr="00FA0D37">
        <w:t>,</w:t>
      </w:r>
    </w:p>
    <w:p w14:paraId="44F8132E" w14:textId="4702D945" w:rsidR="000F54BC" w:rsidRPr="00FA0D37" w:rsidRDefault="000F54BC" w:rsidP="00FA0D37">
      <w:pPr>
        <w:pStyle w:val="PL"/>
      </w:pPr>
      <w:r w:rsidRPr="00FA0D37">
        <w:t xml:space="preserve">    musim-Assistance-r17                  MUSIM-Assistance-r17              </w:t>
      </w:r>
      <w:r w:rsidR="006C501F" w:rsidRPr="00FA0D37">
        <w:t xml:space="preserve">    </w:t>
      </w:r>
      <w:r w:rsidRPr="00FA0D37">
        <w:rPr>
          <w:color w:val="993366"/>
        </w:rPr>
        <w:t>OPTIONAL</w:t>
      </w:r>
      <w:r w:rsidRPr="00FA0D37">
        <w:t>,</w:t>
      </w:r>
    </w:p>
    <w:p w14:paraId="2705DC2C" w14:textId="062BC667" w:rsidR="006C501F" w:rsidRPr="00FA0D37" w:rsidRDefault="006C501F" w:rsidP="00FA0D37">
      <w:pPr>
        <w:pStyle w:val="PL"/>
      </w:pPr>
      <w:r w:rsidRPr="00FA0D37">
        <w:t xml:space="preserve">    overheatingAssistance-r17             OverheatingAssistance-r17             </w:t>
      </w:r>
      <w:r w:rsidRPr="00FA0D37">
        <w:rPr>
          <w:color w:val="993366"/>
        </w:rPr>
        <w:t>OPTIONAL</w:t>
      </w:r>
      <w:r w:rsidRPr="00FA0D37">
        <w:t>,</w:t>
      </w:r>
    </w:p>
    <w:p w14:paraId="26DC54C2" w14:textId="1D4C06CB" w:rsidR="006C501F" w:rsidRPr="00FA0D37" w:rsidRDefault="006C501F" w:rsidP="00FA0D37">
      <w:pPr>
        <w:pStyle w:val="PL"/>
      </w:pPr>
      <w:r w:rsidRPr="00FA0D37">
        <w:t xml:space="preserve">    maxBW-PreferenceFR2-2-r17             MaxBW-PreferenceFR2-2-r17             </w:t>
      </w:r>
      <w:r w:rsidRPr="00FA0D37">
        <w:rPr>
          <w:color w:val="993366"/>
        </w:rPr>
        <w:t>OPTIONAL</w:t>
      </w:r>
      <w:r w:rsidRPr="00FA0D37">
        <w:t>,</w:t>
      </w:r>
    </w:p>
    <w:p w14:paraId="6DAC68F8" w14:textId="173D80F0" w:rsidR="006C501F" w:rsidRPr="00FA0D37" w:rsidRDefault="006C501F" w:rsidP="00FA0D37">
      <w:pPr>
        <w:pStyle w:val="PL"/>
      </w:pPr>
      <w:r w:rsidRPr="00FA0D37">
        <w:t xml:space="preserve">    maxMIMO-LayerPreferenceFR2-2-r17      MaxMIMO-LayerPreferenceFR2-2-r17      </w:t>
      </w:r>
      <w:r w:rsidRPr="00FA0D37">
        <w:rPr>
          <w:color w:val="993366"/>
        </w:rPr>
        <w:t>OPTIONAL</w:t>
      </w:r>
      <w:r w:rsidRPr="00FA0D37">
        <w:t>,</w:t>
      </w:r>
    </w:p>
    <w:p w14:paraId="0A831D43" w14:textId="03CBFEDD" w:rsidR="006C501F" w:rsidRPr="00FA0D37" w:rsidRDefault="006C501F" w:rsidP="00FA0D37">
      <w:pPr>
        <w:pStyle w:val="PL"/>
      </w:pPr>
      <w:r w:rsidRPr="00FA0D37">
        <w:t xml:space="preserve">    minSchedulingOffsetPreferenceExt-r17  MinSchedulingOffsetPreferenceExt-r17  </w:t>
      </w:r>
      <w:r w:rsidRPr="00FA0D37">
        <w:rPr>
          <w:color w:val="993366"/>
        </w:rPr>
        <w:t>OPTIONAL</w:t>
      </w:r>
      <w:r w:rsidRPr="00FA0D37">
        <w:t>,</w:t>
      </w:r>
    </w:p>
    <w:p w14:paraId="3B57F40B" w14:textId="0BF2C661" w:rsidR="00B623BD" w:rsidRPr="00FA0D37" w:rsidRDefault="00B623BD" w:rsidP="00FA0D37">
      <w:pPr>
        <w:pStyle w:val="PL"/>
      </w:pPr>
      <w:r w:rsidRPr="00FA0D37">
        <w:t xml:space="preserve">    rlm-MeasRelaxationState-r17           </w:t>
      </w:r>
      <w:r w:rsidRPr="00FA0D37">
        <w:rPr>
          <w:color w:val="993366"/>
        </w:rPr>
        <w:t>BOOLEAN</w:t>
      </w:r>
      <w:r w:rsidRPr="00FA0D37">
        <w:t xml:space="preserve">                               </w:t>
      </w:r>
      <w:r w:rsidRPr="00FA0D37">
        <w:rPr>
          <w:color w:val="993366"/>
        </w:rPr>
        <w:t>OPTIONAL</w:t>
      </w:r>
      <w:r w:rsidRPr="00FA0D37">
        <w:t>,</w:t>
      </w:r>
    </w:p>
    <w:p w14:paraId="2EEC4832" w14:textId="4F1CC762" w:rsidR="00B623BD" w:rsidRPr="00FA0D37" w:rsidRDefault="00B623BD" w:rsidP="00FA0D37">
      <w:pPr>
        <w:pStyle w:val="PL"/>
      </w:pPr>
      <w:r w:rsidRPr="00FA0D37">
        <w:t xml:space="preserve">    bfd-MeasRelaxationState-r17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w:t>
      </w:r>
      <w:r w:rsidR="003A3480" w:rsidRPr="00FA0D37">
        <w:t>1..maxNrofServingCells</w:t>
      </w:r>
      <w:r w:rsidRPr="00FA0D37">
        <w:t xml:space="preserve">)) </w:t>
      </w:r>
      <w:r w:rsidRPr="00FA0D37">
        <w:rPr>
          <w:color w:val="993366"/>
        </w:rPr>
        <w:t>OPTIONAL</w:t>
      </w:r>
      <w:r w:rsidRPr="00FA0D37">
        <w:t>,</w:t>
      </w:r>
    </w:p>
    <w:p w14:paraId="1C9FBB25" w14:textId="30899BD9" w:rsidR="0070235D" w:rsidRPr="00FA0D37" w:rsidRDefault="0070235D" w:rsidP="00FA0D37">
      <w:pPr>
        <w:pStyle w:val="PL"/>
      </w:pPr>
      <w:r w:rsidRPr="00FA0D37">
        <w:t xml:space="preserve">    nonSDT-DataIndication-r17             </w:t>
      </w:r>
      <w:r w:rsidRPr="00FA0D37">
        <w:rPr>
          <w:color w:val="993366"/>
        </w:rPr>
        <w:t>SEQUENCE</w:t>
      </w:r>
      <w:r w:rsidRPr="00FA0D37">
        <w:t xml:space="preserve"> {</w:t>
      </w:r>
    </w:p>
    <w:p w14:paraId="36DB47D8" w14:textId="0BF59C14" w:rsidR="0070235D" w:rsidRPr="00FA0D37" w:rsidRDefault="0070235D" w:rsidP="00FA0D37">
      <w:pPr>
        <w:pStyle w:val="PL"/>
      </w:pPr>
      <w:r w:rsidRPr="00FA0D37">
        <w:t xml:space="preserve">        resumeCause-r17                       ResumeCause                       </w:t>
      </w:r>
      <w:r w:rsidRPr="00FA0D37">
        <w:rPr>
          <w:color w:val="993366"/>
        </w:rPr>
        <w:t>OPTIONAL</w:t>
      </w:r>
    </w:p>
    <w:p w14:paraId="557ED91C" w14:textId="77777777" w:rsidR="0070235D" w:rsidRPr="00FA0D37" w:rsidRDefault="0070235D" w:rsidP="00FA0D37">
      <w:pPr>
        <w:pStyle w:val="PL"/>
      </w:pPr>
      <w:r w:rsidRPr="00FA0D37">
        <w:t xml:space="preserve">    }                                                                           </w:t>
      </w:r>
      <w:r w:rsidRPr="00FA0D37">
        <w:rPr>
          <w:color w:val="993366"/>
        </w:rPr>
        <w:t>OPTIONAL</w:t>
      </w:r>
      <w:r w:rsidRPr="00FA0D37">
        <w:t>,</w:t>
      </w:r>
    </w:p>
    <w:p w14:paraId="4CB8C1AD" w14:textId="1EA5B7BD" w:rsidR="00DB6B82" w:rsidRPr="00FA0D37" w:rsidRDefault="00DB6B82" w:rsidP="00FA0D37">
      <w:pPr>
        <w:pStyle w:val="PL"/>
      </w:pPr>
      <w:r w:rsidRPr="00FA0D37">
        <w:lastRenderedPageBreak/>
        <w:t xml:space="preserve">    scg-DeactivationPreference</w:t>
      </w:r>
      <w:r w:rsidR="00D7654A" w:rsidRPr="00FA0D37">
        <w:t>-r17</w:t>
      </w:r>
      <w:r w:rsidRPr="00FA0D37">
        <w:t xml:space="preserve">        </w:t>
      </w:r>
      <w:r w:rsidRPr="00FA0D37">
        <w:rPr>
          <w:color w:val="993366"/>
        </w:rPr>
        <w:t>ENUMERATED</w:t>
      </w:r>
      <w:r w:rsidRPr="00FA0D37">
        <w:t xml:space="preserve"> { scgDeactivationPreferred, noPreference }    </w:t>
      </w:r>
      <w:r w:rsidRPr="00FA0D37">
        <w:rPr>
          <w:color w:val="993366"/>
        </w:rPr>
        <w:t>OPTIONAL</w:t>
      </w:r>
      <w:r w:rsidRPr="00FA0D37">
        <w:t>,</w:t>
      </w:r>
    </w:p>
    <w:p w14:paraId="66EAD7B2" w14:textId="3C559231" w:rsidR="00DB6B82" w:rsidRPr="00FA0D37" w:rsidRDefault="00DB6B82" w:rsidP="00FA0D37">
      <w:pPr>
        <w:pStyle w:val="PL"/>
      </w:pPr>
      <w:r w:rsidRPr="00FA0D37">
        <w:t xml:space="preserve">    uplinkData-r17                        </w:t>
      </w:r>
      <w:r w:rsidRPr="00FA0D37">
        <w:rPr>
          <w:color w:val="993366"/>
        </w:rPr>
        <w:t>ENUMERATED</w:t>
      </w:r>
      <w:r w:rsidRPr="00FA0D37">
        <w:t xml:space="preserve"> { true }                   </w:t>
      </w:r>
      <w:r w:rsidRPr="00FA0D37">
        <w:rPr>
          <w:color w:val="993366"/>
        </w:rPr>
        <w:t>OPTIONAL</w:t>
      </w:r>
      <w:r w:rsidRPr="00FA0D37">
        <w:t>,</w:t>
      </w:r>
    </w:p>
    <w:p w14:paraId="460EE445" w14:textId="7A9CEA4F" w:rsidR="00CD6E06" w:rsidRPr="00FA0D37" w:rsidRDefault="00CD6E06" w:rsidP="00FA0D37">
      <w:pPr>
        <w:pStyle w:val="PL"/>
      </w:pPr>
      <w:r w:rsidRPr="00FA0D37">
        <w:t xml:space="preserve">    rrm-MeasRelaxationFulfilment-r17      </w:t>
      </w:r>
      <w:r w:rsidRPr="00FA0D37">
        <w:rPr>
          <w:color w:val="993366"/>
        </w:rPr>
        <w:t>BOOLEAN</w:t>
      </w:r>
      <w:r w:rsidRPr="00FA0D37">
        <w:t xml:space="preserve">                               </w:t>
      </w:r>
      <w:r w:rsidRPr="00FA0D37">
        <w:rPr>
          <w:color w:val="993366"/>
        </w:rPr>
        <w:t>OPTIONAL</w:t>
      </w:r>
      <w:r w:rsidRPr="00FA0D37">
        <w:t>,</w:t>
      </w:r>
    </w:p>
    <w:p w14:paraId="76FB46B1" w14:textId="77777777" w:rsidR="00150266" w:rsidRPr="00FA0D37" w:rsidRDefault="00150266" w:rsidP="00FA0D37">
      <w:pPr>
        <w:pStyle w:val="PL"/>
      </w:pPr>
      <w:r w:rsidRPr="00FA0D37">
        <w:t xml:space="preserve">    propagationDelayDifference-r17        PropagationDelayDifference-r17        </w:t>
      </w:r>
      <w:r w:rsidRPr="00FA0D37">
        <w:rPr>
          <w:color w:val="993366"/>
        </w:rPr>
        <w:t>OPTIONAL</w:t>
      </w:r>
      <w:r w:rsidRPr="00FA0D37">
        <w:t>,</w:t>
      </w:r>
    </w:p>
    <w:p w14:paraId="15A8C09F" w14:textId="5949958E" w:rsidR="00B001B7" w:rsidRPr="00FA0D37" w:rsidRDefault="00B001B7" w:rsidP="00FA0D37">
      <w:pPr>
        <w:pStyle w:val="PL"/>
      </w:pPr>
      <w:r w:rsidRPr="00FA0D37">
        <w:t xml:space="preserve">    nonCriticalExtension                  </w:t>
      </w:r>
      <w:r w:rsidRPr="00FA0D37">
        <w:rPr>
          <w:color w:val="993366"/>
        </w:rPr>
        <w:t>SEQUENCE</w:t>
      </w:r>
      <w:r w:rsidRPr="00FA0D37">
        <w:t xml:space="preserve"> {}</w:t>
      </w:r>
      <w:r w:rsidR="005D3C7B" w:rsidRPr="00FA0D37">
        <w:t xml:space="preserve">                           </w:t>
      </w:r>
      <w:r w:rsidR="005D3C7B" w:rsidRPr="00FA0D37">
        <w:rPr>
          <w:color w:val="993366"/>
        </w:rPr>
        <w:t>OPTIONAL</w:t>
      </w:r>
    </w:p>
    <w:p w14:paraId="1BFAAFAC" w14:textId="05F25DA5" w:rsidR="00394471" w:rsidRPr="00FA0D37" w:rsidRDefault="00B001B7" w:rsidP="00FA0D37">
      <w:pPr>
        <w:pStyle w:val="PL"/>
      </w:pPr>
      <w:r w:rsidRPr="00FA0D37">
        <w:t>}</w:t>
      </w:r>
    </w:p>
    <w:p w14:paraId="7B321EF1" w14:textId="77777777" w:rsidR="00394471" w:rsidRPr="00FA0D37" w:rsidRDefault="00394471" w:rsidP="00FA0D37">
      <w:pPr>
        <w:pStyle w:val="PL"/>
      </w:pPr>
    </w:p>
    <w:p w14:paraId="4CD9EC00" w14:textId="77777777" w:rsidR="00394471" w:rsidRPr="00FA0D37" w:rsidRDefault="00394471" w:rsidP="00FA0D37">
      <w:pPr>
        <w:pStyle w:val="PL"/>
      </w:pPr>
      <w:r w:rsidRPr="00FA0D37">
        <w:t xml:space="preserve">IDC-Assistance-r16 ::=                  </w:t>
      </w:r>
      <w:r w:rsidRPr="00FA0D37">
        <w:rPr>
          <w:color w:val="993366"/>
        </w:rPr>
        <w:t>SEQUENCE</w:t>
      </w:r>
      <w:r w:rsidRPr="00FA0D37">
        <w:t xml:space="preserve"> {</w:t>
      </w:r>
    </w:p>
    <w:p w14:paraId="5F3F9DEE" w14:textId="77777777" w:rsidR="00394471" w:rsidRPr="00FA0D37" w:rsidRDefault="00394471" w:rsidP="00FA0D37">
      <w:pPr>
        <w:pStyle w:val="PL"/>
      </w:pPr>
      <w:r w:rsidRPr="00FA0D37">
        <w:t xml:space="preserve">    affectedCarrierFreqList-r16             AffectedCarrierFreqList-r16               </w:t>
      </w:r>
      <w:r w:rsidRPr="00FA0D37">
        <w:rPr>
          <w:color w:val="993366"/>
        </w:rPr>
        <w:t>OPTIONAL</w:t>
      </w:r>
      <w:r w:rsidRPr="00FA0D37">
        <w:t>,</w:t>
      </w:r>
    </w:p>
    <w:p w14:paraId="269A9CD0" w14:textId="77777777" w:rsidR="00394471" w:rsidRPr="00FA0D37" w:rsidRDefault="00394471" w:rsidP="00FA0D37">
      <w:pPr>
        <w:pStyle w:val="PL"/>
      </w:pPr>
      <w:r w:rsidRPr="00FA0D37">
        <w:t xml:space="preserve">    affectedCarrierFreqCombList-r16         AffectedCarrierFreqCombList-r16           </w:t>
      </w:r>
      <w:r w:rsidRPr="00FA0D37">
        <w:rPr>
          <w:color w:val="993366"/>
        </w:rPr>
        <w:t>OPTIONAL</w:t>
      </w:r>
      <w:r w:rsidRPr="00FA0D37">
        <w:t>,</w:t>
      </w:r>
    </w:p>
    <w:p w14:paraId="147E99E1" w14:textId="77777777" w:rsidR="00394471" w:rsidRPr="00FA0D37" w:rsidRDefault="00394471" w:rsidP="00FA0D37">
      <w:pPr>
        <w:pStyle w:val="PL"/>
      </w:pPr>
      <w:r w:rsidRPr="00FA0D37">
        <w:t xml:space="preserve">    ...</w:t>
      </w:r>
    </w:p>
    <w:p w14:paraId="57E1F6B2" w14:textId="77777777" w:rsidR="00394471" w:rsidRPr="00FA0D37" w:rsidRDefault="00394471" w:rsidP="00FA0D37">
      <w:pPr>
        <w:pStyle w:val="PL"/>
      </w:pPr>
      <w:r w:rsidRPr="00FA0D37">
        <w:t>}</w:t>
      </w:r>
    </w:p>
    <w:p w14:paraId="12C20014" w14:textId="77777777" w:rsidR="00394471" w:rsidRPr="00FA0D37" w:rsidRDefault="00394471" w:rsidP="00FA0D37">
      <w:pPr>
        <w:pStyle w:val="PL"/>
      </w:pPr>
    </w:p>
    <w:p w14:paraId="3789CAF2" w14:textId="77777777" w:rsidR="00394471" w:rsidRPr="00FA0D37" w:rsidRDefault="00394471" w:rsidP="00FA0D37">
      <w:pPr>
        <w:pStyle w:val="PL"/>
      </w:pPr>
      <w:r w:rsidRPr="00FA0D37">
        <w:t xml:space="preserve">AffectedCarrierFreqList-r16 ::= </w:t>
      </w:r>
      <w:r w:rsidRPr="00FA0D37">
        <w:rPr>
          <w:color w:val="993366"/>
        </w:rPr>
        <w:t>SEQUENCE</w:t>
      </w:r>
      <w:r w:rsidRPr="00FA0D37">
        <w:t xml:space="preserve"> (</w:t>
      </w:r>
      <w:r w:rsidRPr="00FA0D37">
        <w:rPr>
          <w:color w:val="993366"/>
        </w:rPr>
        <w:t>SIZE</w:t>
      </w:r>
      <w:r w:rsidRPr="00FA0D37">
        <w:t xml:space="preserve"> (1.. maxFreqIDC-r16))</w:t>
      </w:r>
      <w:r w:rsidRPr="00FA0D37">
        <w:rPr>
          <w:color w:val="993366"/>
        </w:rPr>
        <w:t xml:space="preserve"> OF</w:t>
      </w:r>
      <w:r w:rsidRPr="00FA0D37">
        <w:t xml:space="preserve"> AffectedCarrierFreq-r16</w:t>
      </w:r>
    </w:p>
    <w:p w14:paraId="3C3B6AEC" w14:textId="77777777" w:rsidR="00394471" w:rsidRPr="00FA0D37" w:rsidRDefault="00394471" w:rsidP="00FA0D37">
      <w:pPr>
        <w:pStyle w:val="PL"/>
      </w:pPr>
    </w:p>
    <w:p w14:paraId="4E81C4BD" w14:textId="77777777" w:rsidR="00394471" w:rsidRPr="00FA0D37" w:rsidRDefault="00394471" w:rsidP="00FA0D37">
      <w:pPr>
        <w:pStyle w:val="PL"/>
      </w:pPr>
      <w:r w:rsidRPr="00FA0D37">
        <w:t xml:space="preserve">AffectedCarrierFreq-r16 ::=     </w:t>
      </w:r>
      <w:r w:rsidRPr="00FA0D37">
        <w:rPr>
          <w:color w:val="993366"/>
        </w:rPr>
        <w:t>SEQUENCE</w:t>
      </w:r>
      <w:r w:rsidRPr="00FA0D37">
        <w:t xml:space="preserve"> {</w:t>
      </w:r>
    </w:p>
    <w:p w14:paraId="63655ACE" w14:textId="77777777" w:rsidR="00394471" w:rsidRPr="00FA0D37" w:rsidRDefault="00394471" w:rsidP="00FA0D37">
      <w:pPr>
        <w:pStyle w:val="PL"/>
      </w:pPr>
      <w:r w:rsidRPr="00FA0D37">
        <w:t xml:space="preserve">    carrierFreq-r16                 ARFCN-ValueNR,</w:t>
      </w:r>
    </w:p>
    <w:p w14:paraId="42596A00" w14:textId="77777777" w:rsidR="00394471" w:rsidRPr="00FA0D37" w:rsidRDefault="00394471" w:rsidP="00FA0D37">
      <w:pPr>
        <w:pStyle w:val="PL"/>
      </w:pPr>
      <w:r w:rsidRPr="00FA0D37">
        <w:t xml:space="preserve">    interferenceDirection-r16       </w:t>
      </w:r>
      <w:r w:rsidRPr="00FA0D37">
        <w:rPr>
          <w:color w:val="993366"/>
        </w:rPr>
        <w:t>ENUMERATED</w:t>
      </w:r>
      <w:r w:rsidRPr="00FA0D37">
        <w:t xml:space="preserve"> {nr, other, both, spare}</w:t>
      </w:r>
    </w:p>
    <w:p w14:paraId="7B4461AE" w14:textId="77777777" w:rsidR="00394471" w:rsidRPr="00FA0D37" w:rsidRDefault="00394471" w:rsidP="00FA0D37">
      <w:pPr>
        <w:pStyle w:val="PL"/>
      </w:pPr>
      <w:r w:rsidRPr="00FA0D37">
        <w:t>}</w:t>
      </w:r>
    </w:p>
    <w:p w14:paraId="09644EB2" w14:textId="77777777" w:rsidR="00394471" w:rsidRPr="00FA0D37" w:rsidRDefault="00394471" w:rsidP="00FA0D37">
      <w:pPr>
        <w:pStyle w:val="PL"/>
      </w:pPr>
    </w:p>
    <w:p w14:paraId="682BA727" w14:textId="77777777" w:rsidR="00394471" w:rsidRPr="00FA0D37" w:rsidRDefault="00394471" w:rsidP="00FA0D37">
      <w:pPr>
        <w:pStyle w:val="PL"/>
      </w:pPr>
      <w:r w:rsidRPr="00FA0D37">
        <w:t xml:space="preserve">AffectedCarrierFreqCombList-r16 ::= </w:t>
      </w:r>
      <w:r w:rsidRPr="00FA0D37">
        <w:rPr>
          <w:color w:val="993366"/>
        </w:rPr>
        <w:t>SEQUENCE</w:t>
      </w:r>
      <w:r w:rsidRPr="00FA0D37">
        <w:t xml:space="preserve"> (</w:t>
      </w:r>
      <w:r w:rsidRPr="00FA0D37">
        <w:rPr>
          <w:color w:val="993366"/>
        </w:rPr>
        <w:t>SIZE</w:t>
      </w:r>
      <w:r w:rsidRPr="00FA0D37">
        <w:t xml:space="preserve"> (1..maxCombIDC-r16))</w:t>
      </w:r>
      <w:r w:rsidRPr="00FA0D37">
        <w:rPr>
          <w:color w:val="993366"/>
        </w:rPr>
        <w:t xml:space="preserve"> OF</w:t>
      </w:r>
      <w:r w:rsidRPr="00FA0D37">
        <w:t xml:space="preserve"> AffectedCarrierFreqComb-r16</w:t>
      </w:r>
    </w:p>
    <w:p w14:paraId="6DB86E9D" w14:textId="77777777" w:rsidR="00394471" w:rsidRPr="00FA0D37" w:rsidRDefault="00394471" w:rsidP="00FA0D37">
      <w:pPr>
        <w:pStyle w:val="PL"/>
      </w:pPr>
    </w:p>
    <w:p w14:paraId="57786901" w14:textId="77777777" w:rsidR="00394471" w:rsidRPr="00FA0D37" w:rsidRDefault="00394471" w:rsidP="00FA0D37">
      <w:pPr>
        <w:pStyle w:val="PL"/>
      </w:pPr>
      <w:r w:rsidRPr="00FA0D37">
        <w:t xml:space="preserve">AffectedCarrierFreqComb-r16 ::=     </w:t>
      </w:r>
      <w:r w:rsidRPr="00FA0D37">
        <w:rPr>
          <w:color w:val="993366"/>
        </w:rPr>
        <w:t>SEQUENCE</w:t>
      </w:r>
      <w:r w:rsidRPr="00FA0D37">
        <w:t xml:space="preserve"> {</w:t>
      </w:r>
    </w:p>
    <w:p w14:paraId="416141D3" w14:textId="77777777" w:rsidR="00394471" w:rsidRPr="00FA0D37" w:rsidRDefault="00394471" w:rsidP="00FA0D37">
      <w:pPr>
        <w:pStyle w:val="PL"/>
      </w:pPr>
      <w:r w:rsidRPr="00FA0D37">
        <w:t xml:space="preserve">    affectedCarrierFreqComb-r16         </w:t>
      </w:r>
      <w:r w:rsidRPr="00FA0D37">
        <w:rPr>
          <w:color w:val="993366"/>
        </w:rPr>
        <w:t>SEQUENCE</w:t>
      </w:r>
      <w:r w:rsidRPr="00FA0D37">
        <w:t xml:space="preserve"> (</w:t>
      </w:r>
      <w:r w:rsidRPr="00FA0D37">
        <w:rPr>
          <w:color w:val="993366"/>
        </w:rPr>
        <w:t>SIZE</w:t>
      </w:r>
      <w:r w:rsidRPr="00FA0D37">
        <w:t xml:space="preserve"> (2..maxNrofServingCells))</w:t>
      </w:r>
      <w:r w:rsidRPr="00FA0D37">
        <w:rPr>
          <w:color w:val="993366"/>
        </w:rPr>
        <w:t xml:space="preserve"> OF</w:t>
      </w:r>
      <w:r w:rsidRPr="00FA0D37">
        <w:t xml:space="preserve">  ARFCN-ValueNR    </w:t>
      </w:r>
      <w:r w:rsidRPr="00FA0D37">
        <w:rPr>
          <w:color w:val="993366"/>
        </w:rPr>
        <w:t>OPTIONAL</w:t>
      </w:r>
      <w:r w:rsidRPr="00FA0D37">
        <w:t>,</w:t>
      </w:r>
    </w:p>
    <w:p w14:paraId="4B271C29" w14:textId="77777777" w:rsidR="00394471" w:rsidRPr="00FA0D37" w:rsidRDefault="00394471" w:rsidP="00FA0D37">
      <w:pPr>
        <w:pStyle w:val="PL"/>
      </w:pPr>
      <w:r w:rsidRPr="00FA0D37">
        <w:t xml:space="preserve">    victimSystemType-r16                VictimSystemType-r16</w:t>
      </w:r>
    </w:p>
    <w:p w14:paraId="367028F0" w14:textId="77777777" w:rsidR="00394471" w:rsidRPr="00FA0D37" w:rsidRDefault="00394471" w:rsidP="00FA0D37">
      <w:pPr>
        <w:pStyle w:val="PL"/>
      </w:pPr>
      <w:r w:rsidRPr="00FA0D37">
        <w:t>}</w:t>
      </w:r>
    </w:p>
    <w:p w14:paraId="07DF4314" w14:textId="77777777" w:rsidR="00394471" w:rsidRPr="00FA0D37" w:rsidRDefault="00394471" w:rsidP="00FA0D37">
      <w:pPr>
        <w:pStyle w:val="PL"/>
      </w:pPr>
    </w:p>
    <w:p w14:paraId="1B1CF91C" w14:textId="77777777" w:rsidR="00394471" w:rsidRPr="00FA0D37" w:rsidRDefault="00394471" w:rsidP="00FA0D37">
      <w:pPr>
        <w:pStyle w:val="PL"/>
      </w:pPr>
      <w:r w:rsidRPr="00FA0D37">
        <w:t xml:space="preserve">VictimSystemType-r16 ::=    </w:t>
      </w:r>
      <w:r w:rsidRPr="00FA0D37">
        <w:rPr>
          <w:color w:val="993366"/>
        </w:rPr>
        <w:t>SEQUENCE</w:t>
      </w:r>
      <w:r w:rsidRPr="00FA0D37">
        <w:t xml:space="preserve"> {</w:t>
      </w:r>
    </w:p>
    <w:p w14:paraId="418D6C68" w14:textId="77777777" w:rsidR="00394471" w:rsidRPr="00FA0D37" w:rsidRDefault="00394471" w:rsidP="00FA0D37">
      <w:pPr>
        <w:pStyle w:val="PL"/>
      </w:pPr>
      <w:r w:rsidRPr="00FA0D37">
        <w:t xml:space="preserve">    gps-r16                     </w:t>
      </w:r>
      <w:r w:rsidRPr="00FA0D37">
        <w:rPr>
          <w:color w:val="993366"/>
        </w:rPr>
        <w:t>ENUMERATED</w:t>
      </w:r>
      <w:r w:rsidRPr="00FA0D37">
        <w:t xml:space="preserve"> {true}        </w:t>
      </w:r>
      <w:r w:rsidRPr="00FA0D37">
        <w:rPr>
          <w:color w:val="993366"/>
        </w:rPr>
        <w:t>OPTIONAL</w:t>
      </w:r>
      <w:r w:rsidRPr="00FA0D37">
        <w:t>,</w:t>
      </w:r>
    </w:p>
    <w:p w14:paraId="6984A553" w14:textId="77777777" w:rsidR="00394471" w:rsidRPr="00FA0D37" w:rsidRDefault="00394471" w:rsidP="00FA0D37">
      <w:pPr>
        <w:pStyle w:val="PL"/>
      </w:pPr>
      <w:r w:rsidRPr="00FA0D37">
        <w:t xml:space="preserve">    glonass-r16                 </w:t>
      </w:r>
      <w:r w:rsidRPr="00FA0D37">
        <w:rPr>
          <w:color w:val="993366"/>
        </w:rPr>
        <w:t>ENUMERATED</w:t>
      </w:r>
      <w:r w:rsidRPr="00FA0D37">
        <w:t xml:space="preserve"> {true}        </w:t>
      </w:r>
      <w:r w:rsidRPr="00FA0D37">
        <w:rPr>
          <w:color w:val="993366"/>
        </w:rPr>
        <w:t>OPTIONAL</w:t>
      </w:r>
      <w:r w:rsidRPr="00FA0D37">
        <w:t>,</w:t>
      </w:r>
    </w:p>
    <w:p w14:paraId="20C74F4D" w14:textId="77777777" w:rsidR="00394471" w:rsidRPr="00FA0D37" w:rsidRDefault="00394471" w:rsidP="00FA0D37">
      <w:pPr>
        <w:pStyle w:val="PL"/>
      </w:pPr>
      <w:r w:rsidRPr="00FA0D37">
        <w:t xml:space="preserve">    bds-r16                     </w:t>
      </w:r>
      <w:r w:rsidRPr="00FA0D37">
        <w:rPr>
          <w:color w:val="993366"/>
        </w:rPr>
        <w:t>ENUMERATED</w:t>
      </w:r>
      <w:r w:rsidRPr="00FA0D37">
        <w:t xml:space="preserve"> {true}        </w:t>
      </w:r>
      <w:r w:rsidRPr="00FA0D37">
        <w:rPr>
          <w:color w:val="993366"/>
        </w:rPr>
        <w:t>OPTIONAL</w:t>
      </w:r>
      <w:r w:rsidRPr="00FA0D37">
        <w:t>,</w:t>
      </w:r>
    </w:p>
    <w:p w14:paraId="1939F0E7" w14:textId="77777777" w:rsidR="00394471" w:rsidRPr="00FA0D37" w:rsidRDefault="00394471" w:rsidP="00FA0D37">
      <w:pPr>
        <w:pStyle w:val="PL"/>
      </w:pPr>
      <w:r w:rsidRPr="00FA0D37">
        <w:t xml:space="preserve">    galileo-r16                 </w:t>
      </w:r>
      <w:r w:rsidRPr="00FA0D37">
        <w:rPr>
          <w:color w:val="993366"/>
        </w:rPr>
        <w:t>ENUMERATED</w:t>
      </w:r>
      <w:r w:rsidRPr="00FA0D37">
        <w:t xml:space="preserve"> {true}        </w:t>
      </w:r>
      <w:r w:rsidRPr="00FA0D37">
        <w:rPr>
          <w:color w:val="993366"/>
        </w:rPr>
        <w:t>OPTIONAL</w:t>
      </w:r>
      <w:r w:rsidRPr="00FA0D37">
        <w:t>,</w:t>
      </w:r>
    </w:p>
    <w:p w14:paraId="5EDB7CAC" w14:textId="77777777" w:rsidR="00394471" w:rsidRPr="00FA0D37" w:rsidRDefault="00394471" w:rsidP="00FA0D37">
      <w:pPr>
        <w:pStyle w:val="PL"/>
      </w:pPr>
      <w:r w:rsidRPr="00FA0D37">
        <w:t xml:space="preserve">    navIC-r16                   </w:t>
      </w:r>
      <w:r w:rsidRPr="00FA0D37">
        <w:rPr>
          <w:color w:val="993366"/>
        </w:rPr>
        <w:t>ENUMERATED</w:t>
      </w:r>
      <w:r w:rsidRPr="00FA0D37">
        <w:t xml:space="preserve"> {true}        </w:t>
      </w:r>
      <w:r w:rsidRPr="00FA0D37">
        <w:rPr>
          <w:color w:val="993366"/>
        </w:rPr>
        <w:t>OPTIONAL</w:t>
      </w:r>
      <w:r w:rsidRPr="00FA0D37">
        <w:t>,</w:t>
      </w:r>
    </w:p>
    <w:p w14:paraId="254AB983" w14:textId="77777777" w:rsidR="00394471" w:rsidRPr="00FA0D37" w:rsidRDefault="00394471" w:rsidP="00FA0D37">
      <w:pPr>
        <w:pStyle w:val="PL"/>
      </w:pPr>
      <w:r w:rsidRPr="00FA0D37">
        <w:t xml:space="preserve">    wlan-r16                    </w:t>
      </w:r>
      <w:r w:rsidRPr="00FA0D37">
        <w:rPr>
          <w:color w:val="993366"/>
        </w:rPr>
        <w:t>ENUMERATED</w:t>
      </w:r>
      <w:r w:rsidRPr="00FA0D37">
        <w:t xml:space="preserve"> {true}        </w:t>
      </w:r>
      <w:r w:rsidRPr="00FA0D37">
        <w:rPr>
          <w:color w:val="993366"/>
        </w:rPr>
        <w:t>OPTIONAL</w:t>
      </w:r>
      <w:r w:rsidRPr="00FA0D37">
        <w:t>,</w:t>
      </w:r>
    </w:p>
    <w:p w14:paraId="3EBBA710" w14:textId="77777777" w:rsidR="00394471" w:rsidRPr="00FA0D37" w:rsidRDefault="00394471" w:rsidP="00FA0D37">
      <w:pPr>
        <w:pStyle w:val="PL"/>
      </w:pPr>
      <w:r w:rsidRPr="00FA0D37">
        <w:t xml:space="preserve">    bluetooth-r16               </w:t>
      </w:r>
      <w:r w:rsidRPr="00FA0D37">
        <w:rPr>
          <w:color w:val="993366"/>
        </w:rPr>
        <w:t>ENUMERATED</w:t>
      </w:r>
      <w:r w:rsidRPr="00FA0D37">
        <w:t xml:space="preserve"> {true}        </w:t>
      </w:r>
      <w:r w:rsidRPr="00FA0D37">
        <w:rPr>
          <w:color w:val="993366"/>
        </w:rPr>
        <w:t>OPTIONAL</w:t>
      </w:r>
      <w:r w:rsidRPr="00FA0D37">
        <w:t>,</w:t>
      </w:r>
    </w:p>
    <w:p w14:paraId="4004EDCD" w14:textId="77777777" w:rsidR="00394471" w:rsidRPr="00FA0D37" w:rsidRDefault="00394471" w:rsidP="00FA0D37">
      <w:pPr>
        <w:pStyle w:val="PL"/>
      </w:pPr>
      <w:r w:rsidRPr="00FA0D37">
        <w:t xml:space="preserve">    ...</w:t>
      </w:r>
    </w:p>
    <w:p w14:paraId="182394E9" w14:textId="77777777" w:rsidR="00394471" w:rsidRPr="00FA0D37" w:rsidRDefault="00394471" w:rsidP="00FA0D37">
      <w:pPr>
        <w:pStyle w:val="PL"/>
      </w:pPr>
      <w:r w:rsidRPr="00FA0D37">
        <w:t>}</w:t>
      </w:r>
    </w:p>
    <w:p w14:paraId="28147468" w14:textId="77777777" w:rsidR="00394471" w:rsidRPr="00FA0D37" w:rsidRDefault="00394471" w:rsidP="00FA0D37">
      <w:pPr>
        <w:pStyle w:val="PL"/>
      </w:pPr>
    </w:p>
    <w:p w14:paraId="33C27161" w14:textId="77777777" w:rsidR="00394471" w:rsidRPr="00FA0D37" w:rsidRDefault="00394471" w:rsidP="00FA0D37">
      <w:pPr>
        <w:pStyle w:val="PL"/>
      </w:pPr>
      <w:r w:rsidRPr="00FA0D37">
        <w:t xml:space="preserve">DRX-Preference-r16 ::=              </w:t>
      </w:r>
      <w:r w:rsidRPr="00FA0D37">
        <w:rPr>
          <w:color w:val="993366"/>
        </w:rPr>
        <w:t>SEQUENCE</w:t>
      </w:r>
      <w:r w:rsidRPr="00FA0D37">
        <w:t xml:space="preserve"> {</w:t>
      </w:r>
    </w:p>
    <w:p w14:paraId="45846789" w14:textId="77777777" w:rsidR="00394471" w:rsidRPr="00FA0D37" w:rsidRDefault="00394471" w:rsidP="00FA0D37">
      <w:pPr>
        <w:pStyle w:val="PL"/>
      </w:pPr>
      <w:r w:rsidRPr="00FA0D37">
        <w:t xml:space="preserve">    preferredDRX-InactivityTimer-r16    </w:t>
      </w:r>
      <w:r w:rsidRPr="00FA0D37">
        <w:rPr>
          <w:color w:val="993366"/>
        </w:rPr>
        <w:t>ENUMERATED</w:t>
      </w:r>
      <w:r w:rsidRPr="00FA0D37">
        <w:t xml:space="preserve"> {</w:t>
      </w:r>
    </w:p>
    <w:p w14:paraId="0384CFAF" w14:textId="77777777" w:rsidR="00394471" w:rsidRPr="00FA0D37" w:rsidRDefault="00394471" w:rsidP="00FA0D37">
      <w:pPr>
        <w:pStyle w:val="PL"/>
      </w:pPr>
      <w:r w:rsidRPr="00FA0D37">
        <w:t xml:space="preserve">                                            ms0, ms1, ms2, ms3, ms4, ms5, ms6, ms8, ms10, ms20, ms30, ms40, ms50, ms60, ms80,</w:t>
      </w:r>
    </w:p>
    <w:p w14:paraId="1920290B" w14:textId="77777777" w:rsidR="00394471" w:rsidRPr="00FA0D37" w:rsidRDefault="00394471" w:rsidP="00FA0D37">
      <w:pPr>
        <w:pStyle w:val="PL"/>
      </w:pPr>
      <w:r w:rsidRPr="00FA0D37">
        <w:t xml:space="preserve">                                            ms100, ms200, ms300, ms500, ms750, ms1280, ms1920, ms2560, spare9, spare8,</w:t>
      </w:r>
    </w:p>
    <w:p w14:paraId="01D354E1" w14:textId="77777777" w:rsidR="00394471" w:rsidRPr="00FA0D37" w:rsidRDefault="00394471" w:rsidP="00FA0D37">
      <w:pPr>
        <w:pStyle w:val="PL"/>
      </w:pPr>
      <w:r w:rsidRPr="00FA0D37">
        <w:t xml:space="preserve">                                            spare7, spare6, spare5, spare4, spare3, spare2, spare1} </w:t>
      </w:r>
      <w:r w:rsidRPr="00FA0D37">
        <w:rPr>
          <w:color w:val="993366"/>
        </w:rPr>
        <w:t>OPTIONAL</w:t>
      </w:r>
      <w:r w:rsidRPr="00FA0D37">
        <w:t>,</w:t>
      </w:r>
    </w:p>
    <w:p w14:paraId="236BF2F6" w14:textId="77777777" w:rsidR="00394471" w:rsidRPr="00FA0D37" w:rsidRDefault="00394471" w:rsidP="00FA0D37">
      <w:pPr>
        <w:pStyle w:val="PL"/>
      </w:pPr>
      <w:r w:rsidRPr="00FA0D37">
        <w:t xml:space="preserve">    preferredDRX-LongCycle-r16          </w:t>
      </w:r>
      <w:r w:rsidRPr="00FA0D37">
        <w:rPr>
          <w:color w:val="993366"/>
        </w:rPr>
        <w:t>ENUMERATED</w:t>
      </w:r>
      <w:r w:rsidRPr="00FA0D37">
        <w:t xml:space="preserve"> {</w:t>
      </w:r>
    </w:p>
    <w:p w14:paraId="7F549C2F" w14:textId="77777777" w:rsidR="00394471" w:rsidRPr="00FA0D37" w:rsidRDefault="00394471" w:rsidP="00FA0D37">
      <w:pPr>
        <w:pStyle w:val="PL"/>
      </w:pPr>
      <w:r w:rsidRPr="00FA0D37">
        <w:t xml:space="preserve">                                            ms10, ms20, ms32, ms40, ms60, ms64, ms70, ms80, ms128, ms160, ms256, ms320, ms512,</w:t>
      </w:r>
    </w:p>
    <w:p w14:paraId="6BF8BF97" w14:textId="77777777" w:rsidR="00394471" w:rsidRPr="00FA0D37" w:rsidRDefault="00394471" w:rsidP="00FA0D37">
      <w:pPr>
        <w:pStyle w:val="PL"/>
      </w:pPr>
      <w:r w:rsidRPr="00FA0D37">
        <w:t xml:space="preserve">                                            ms640, ms1024, ms1280, ms2048, ms2560, ms5120, ms10240, spare12, spare11, spare10,</w:t>
      </w:r>
    </w:p>
    <w:p w14:paraId="40DB0243" w14:textId="77777777" w:rsidR="00394471" w:rsidRPr="00FA0D37" w:rsidRDefault="00394471" w:rsidP="00FA0D37">
      <w:pPr>
        <w:pStyle w:val="PL"/>
      </w:pPr>
      <w:r w:rsidRPr="00FA0D37">
        <w:t xml:space="preserve">                                            spare9, spare8, spare7, spare6, spare5, spare4, spare3, spare2, spare1 } </w:t>
      </w:r>
      <w:r w:rsidRPr="00FA0D37">
        <w:rPr>
          <w:color w:val="993366"/>
        </w:rPr>
        <w:t>OPTIONAL</w:t>
      </w:r>
      <w:r w:rsidRPr="00FA0D37">
        <w:t>,</w:t>
      </w:r>
    </w:p>
    <w:p w14:paraId="2CF2884D" w14:textId="77777777" w:rsidR="00394471" w:rsidRPr="00FA0D37" w:rsidRDefault="00394471" w:rsidP="00FA0D37">
      <w:pPr>
        <w:pStyle w:val="PL"/>
      </w:pPr>
      <w:r w:rsidRPr="00FA0D37">
        <w:t xml:space="preserve">    preferredDRX-ShortCycle-r16         </w:t>
      </w:r>
      <w:r w:rsidRPr="00FA0D37">
        <w:rPr>
          <w:color w:val="993366"/>
        </w:rPr>
        <w:t>ENUMERATED</w:t>
      </w:r>
      <w:r w:rsidRPr="00FA0D37">
        <w:t xml:space="preserve"> {</w:t>
      </w:r>
    </w:p>
    <w:p w14:paraId="6F63C225" w14:textId="77777777" w:rsidR="00394471" w:rsidRPr="00FA0D37" w:rsidRDefault="00394471" w:rsidP="00FA0D37">
      <w:pPr>
        <w:pStyle w:val="PL"/>
      </w:pPr>
      <w:r w:rsidRPr="00FA0D37">
        <w:t xml:space="preserve">                                            ms2, ms3, ms4, ms5, ms6, ms7, ms8, ms10, ms14, ms16, ms20, ms30, ms32,</w:t>
      </w:r>
    </w:p>
    <w:p w14:paraId="611BECEA" w14:textId="77777777" w:rsidR="00394471" w:rsidRPr="00FA0D37" w:rsidRDefault="00394471" w:rsidP="00FA0D37">
      <w:pPr>
        <w:pStyle w:val="PL"/>
      </w:pPr>
      <w:r w:rsidRPr="00FA0D37">
        <w:t xml:space="preserve">                                            ms35, ms40, ms64, ms80, ms128, ms160, ms256, ms320, ms512, ms640, spare9,</w:t>
      </w:r>
    </w:p>
    <w:p w14:paraId="075CC75F" w14:textId="77777777" w:rsidR="00394471" w:rsidRPr="00FA0D37" w:rsidRDefault="00394471" w:rsidP="00FA0D37">
      <w:pPr>
        <w:pStyle w:val="PL"/>
      </w:pPr>
      <w:r w:rsidRPr="00FA0D37">
        <w:t xml:space="preserve">                                            spare8, spare7, spare6, spare5, spare4, spare3, spare2, spare1 } </w:t>
      </w:r>
      <w:r w:rsidRPr="00FA0D37">
        <w:rPr>
          <w:color w:val="993366"/>
        </w:rPr>
        <w:t>OPTIONAL</w:t>
      </w:r>
      <w:r w:rsidRPr="00FA0D37">
        <w:t>,</w:t>
      </w:r>
    </w:p>
    <w:p w14:paraId="0D592C61" w14:textId="77777777" w:rsidR="00394471" w:rsidRPr="00FA0D37" w:rsidRDefault="00394471" w:rsidP="00FA0D37">
      <w:pPr>
        <w:pStyle w:val="PL"/>
      </w:pPr>
      <w:r w:rsidRPr="00FA0D37">
        <w:lastRenderedPageBreak/>
        <w:t xml:space="preserve">    preferredDRX-ShortCycleTimer-r16    </w:t>
      </w:r>
      <w:r w:rsidRPr="00FA0D37">
        <w:rPr>
          <w:color w:val="993366"/>
        </w:rPr>
        <w:t>INTEGER</w:t>
      </w:r>
      <w:r w:rsidRPr="00FA0D37">
        <w:t xml:space="preserve"> (1..16)    </w:t>
      </w:r>
      <w:r w:rsidRPr="00FA0D37">
        <w:rPr>
          <w:color w:val="993366"/>
        </w:rPr>
        <w:t>OPTIONAL</w:t>
      </w:r>
    </w:p>
    <w:p w14:paraId="310846CD" w14:textId="77777777" w:rsidR="00394471" w:rsidRPr="00FA0D37" w:rsidRDefault="00394471" w:rsidP="00FA0D37">
      <w:pPr>
        <w:pStyle w:val="PL"/>
      </w:pPr>
      <w:r w:rsidRPr="00FA0D37">
        <w:t>}</w:t>
      </w:r>
    </w:p>
    <w:p w14:paraId="2590FDD7" w14:textId="77777777" w:rsidR="00394471" w:rsidRPr="00FA0D37" w:rsidRDefault="00394471" w:rsidP="00FA0D37">
      <w:pPr>
        <w:pStyle w:val="PL"/>
      </w:pPr>
    </w:p>
    <w:p w14:paraId="4666F301" w14:textId="77777777" w:rsidR="00394471" w:rsidRPr="00FA0D37" w:rsidRDefault="00394471" w:rsidP="00FA0D37">
      <w:pPr>
        <w:pStyle w:val="PL"/>
      </w:pPr>
      <w:r w:rsidRPr="00FA0D37">
        <w:t xml:space="preserve">MaxBW-Preference-r16 ::=            </w:t>
      </w:r>
      <w:r w:rsidRPr="00FA0D37">
        <w:rPr>
          <w:color w:val="993366"/>
        </w:rPr>
        <w:t>SEQUENCE</w:t>
      </w:r>
      <w:r w:rsidRPr="00FA0D37">
        <w:t xml:space="preserve"> {</w:t>
      </w:r>
    </w:p>
    <w:p w14:paraId="7685354B" w14:textId="77777777" w:rsidR="00394471" w:rsidRPr="00FA0D37" w:rsidRDefault="00394471" w:rsidP="00FA0D37">
      <w:pPr>
        <w:pStyle w:val="PL"/>
      </w:pPr>
      <w:r w:rsidRPr="00FA0D37">
        <w:t xml:space="preserve">    reducedMaxBW-FR1-r16                ReducedMaxBW-FRx-r16                     </w:t>
      </w:r>
      <w:r w:rsidRPr="00FA0D37">
        <w:rPr>
          <w:color w:val="993366"/>
        </w:rPr>
        <w:t>OPTIONAL</w:t>
      </w:r>
      <w:r w:rsidRPr="00FA0D37">
        <w:t>,</w:t>
      </w:r>
    </w:p>
    <w:p w14:paraId="6F5A6678" w14:textId="77777777" w:rsidR="00394471" w:rsidRPr="00FA0D37" w:rsidRDefault="00394471" w:rsidP="00FA0D37">
      <w:pPr>
        <w:pStyle w:val="PL"/>
      </w:pPr>
      <w:r w:rsidRPr="00FA0D37">
        <w:t xml:space="preserve">    reducedMaxBW-FR2-r16                ReducedMaxBW-FRx-r16                     </w:t>
      </w:r>
      <w:r w:rsidRPr="00FA0D37">
        <w:rPr>
          <w:color w:val="993366"/>
        </w:rPr>
        <w:t>OPTIONAL</w:t>
      </w:r>
    </w:p>
    <w:p w14:paraId="7A19FCE8" w14:textId="77777777" w:rsidR="00394471" w:rsidRPr="00FA0D37" w:rsidRDefault="00394471" w:rsidP="00FA0D37">
      <w:pPr>
        <w:pStyle w:val="PL"/>
      </w:pPr>
      <w:r w:rsidRPr="00FA0D37">
        <w:t>}</w:t>
      </w:r>
    </w:p>
    <w:p w14:paraId="2EF529BE" w14:textId="77777777" w:rsidR="006C501F" w:rsidRPr="00FA0D37" w:rsidRDefault="006C501F" w:rsidP="00FA0D37">
      <w:pPr>
        <w:pStyle w:val="PL"/>
      </w:pPr>
    </w:p>
    <w:p w14:paraId="0E4F3ADD" w14:textId="0CC122D5" w:rsidR="006C501F" w:rsidRPr="00FA0D37" w:rsidRDefault="006C501F" w:rsidP="00FA0D37">
      <w:pPr>
        <w:pStyle w:val="PL"/>
      </w:pPr>
      <w:r w:rsidRPr="00FA0D37">
        <w:t xml:space="preserve">MaxBW-PreferenceFR2-2-r17 ::=       </w:t>
      </w:r>
      <w:r w:rsidRPr="00FA0D37">
        <w:rPr>
          <w:color w:val="993366"/>
        </w:rPr>
        <w:t>SEQUENCE</w:t>
      </w:r>
      <w:r w:rsidRPr="00FA0D37">
        <w:t xml:space="preserve"> {</w:t>
      </w:r>
    </w:p>
    <w:p w14:paraId="1091E5CA" w14:textId="6E0D605C" w:rsidR="006C501F" w:rsidRPr="00FA0D37" w:rsidRDefault="006C501F" w:rsidP="00FA0D37">
      <w:pPr>
        <w:pStyle w:val="PL"/>
      </w:pPr>
      <w:r w:rsidRPr="00FA0D37">
        <w:t xml:space="preserve">    reducedMaxBW-FR2-2-r17              </w:t>
      </w:r>
      <w:r w:rsidRPr="00FA0D37">
        <w:rPr>
          <w:color w:val="993366"/>
        </w:rPr>
        <w:t>SEQUENCE</w:t>
      </w:r>
      <w:r w:rsidRPr="00FA0D37">
        <w:t xml:space="preserve"> {</w:t>
      </w:r>
    </w:p>
    <w:p w14:paraId="48291E05" w14:textId="603E9605" w:rsidR="006C501F" w:rsidRPr="00FA0D37" w:rsidRDefault="006C501F" w:rsidP="00FA0D37">
      <w:pPr>
        <w:pStyle w:val="PL"/>
      </w:pPr>
      <w:r w:rsidRPr="00FA0D37">
        <w:t xml:space="preserve">        reducedBW-FR2-2-DL-r17              ReducedAggregatedBandwidth-r17       </w:t>
      </w:r>
      <w:r w:rsidRPr="00FA0D37">
        <w:rPr>
          <w:color w:val="993366"/>
        </w:rPr>
        <w:t>OPTIONAL</w:t>
      </w:r>
      <w:r w:rsidRPr="00FA0D37">
        <w:t>,</w:t>
      </w:r>
    </w:p>
    <w:p w14:paraId="6C718306" w14:textId="7D09D5C0" w:rsidR="006C501F" w:rsidRPr="00FA0D37" w:rsidRDefault="006C501F" w:rsidP="00FA0D37">
      <w:pPr>
        <w:pStyle w:val="PL"/>
      </w:pPr>
      <w:r w:rsidRPr="00FA0D37">
        <w:t xml:space="preserve">        reducedBW-FR2-2-UL-r17              ReducedAggregatedBandwidth-r17       </w:t>
      </w:r>
      <w:r w:rsidRPr="00FA0D37">
        <w:rPr>
          <w:color w:val="993366"/>
        </w:rPr>
        <w:t>OPTIONAL</w:t>
      </w:r>
    </w:p>
    <w:p w14:paraId="59BC7BE2" w14:textId="77777777" w:rsidR="006C501F" w:rsidRPr="00FA0D37" w:rsidRDefault="006C501F" w:rsidP="00FA0D37">
      <w:pPr>
        <w:pStyle w:val="PL"/>
      </w:pPr>
      <w:r w:rsidRPr="00FA0D37">
        <w:t xml:space="preserve">    } </w:t>
      </w:r>
      <w:r w:rsidRPr="00FA0D37">
        <w:rPr>
          <w:color w:val="993366"/>
        </w:rPr>
        <w:t>OPTIONAL</w:t>
      </w:r>
    </w:p>
    <w:p w14:paraId="52083F19" w14:textId="6EFC6759" w:rsidR="00394471" w:rsidRPr="00FA0D37" w:rsidRDefault="006C501F" w:rsidP="00FA0D37">
      <w:pPr>
        <w:pStyle w:val="PL"/>
      </w:pPr>
      <w:r w:rsidRPr="00FA0D37">
        <w:t>}</w:t>
      </w:r>
    </w:p>
    <w:p w14:paraId="6415A1C3" w14:textId="77777777" w:rsidR="006C501F" w:rsidRPr="00FA0D37" w:rsidRDefault="006C501F" w:rsidP="00FA0D37">
      <w:pPr>
        <w:pStyle w:val="PL"/>
      </w:pPr>
    </w:p>
    <w:p w14:paraId="216994CD" w14:textId="77777777" w:rsidR="00394471" w:rsidRPr="00FA0D37" w:rsidRDefault="00394471" w:rsidP="00FA0D37">
      <w:pPr>
        <w:pStyle w:val="PL"/>
      </w:pPr>
      <w:r w:rsidRPr="00FA0D37">
        <w:t xml:space="preserve">MaxCC-Preference-r16 ::=            </w:t>
      </w:r>
      <w:r w:rsidRPr="00FA0D37">
        <w:rPr>
          <w:color w:val="993366"/>
        </w:rPr>
        <w:t>SEQUENCE</w:t>
      </w:r>
      <w:r w:rsidRPr="00FA0D37">
        <w:t xml:space="preserve"> {</w:t>
      </w:r>
    </w:p>
    <w:p w14:paraId="6A7E3378" w14:textId="77777777" w:rsidR="00394471" w:rsidRPr="00FA0D37" w:rsidRDefault="00394471" w:rsidP="00FA0D37">
      <w:pPr>
        <w:pStyle w:val="PL"/>
      </w:pPr>
      <w:r w:rsidRPr="00FA0D37">
        <w:t xml:space="preserve">    reducedMaxCCs-r16                   ReducedMaxCCs-r16                        </w:t>
      </w:r>
      <w:r w:rsidRPr="00FA0D37">
        <w:rPr>
          <w:color w:val="993366"/>
        </w:rPr>
        <w:t>OPTIONAL</w:t>
      </w:r>
    </w:p>
    <w:p w14:paraId="068968E0" w14:textId="77777777" w:rsidR="00394471" w:rsidRPr="00FA0D37" w:rsidRDefault="00394471" w:rsidP="00FA0D37">
      <w:pPr>
        <w:pStyle w:val="PL"/>
      </w:pPr>
      <w:r w:rsidRPr="00FA0D37">
        <w:t>}</w:t>
      </w:r>
    </w:p>
    <w:p w14:paraId="60890A87" w14:textId="77777777" w:rsidR="00394471" w:rsidRPr="00FA0D37" w:rsidRDefault="00394471" w:rsidP="00FA0D37">
      <w:pPr>
        <w:pStyle w:val="PL"/>
      </w:pPr>
    </w:p>
    <w:p w14:paraId="0465BCE1" w14:textId="77777777" w:rsidR="00394471" w:rsidRPr="00FA0D37" w:rsidRDefault="00394471" w:rsidP="00FA0D37">
      <w:pPr>
        <w:pStyle w:val="PL"/>
      </w:pPr>
      <w:r w:rsidRPr="00FA0D37">
        <w:t xml:space="preserve">MaxMIMO-LayerPreference-r16 ::=     </w:t>
      </w:r>
      <w:r w:rsidRPr="00FA0D37">
        <w:rPr>
          <w:color w:val="993366"/>
        </w:rPr>
        <w:t>SEQUENCE</w:t>
      </w:r>
      <w:r w:rsidRPr="00FA0D37">
        <w:t xml:space="preserve"> {</w:t>
      </w:r>
    </w:p>
    <w:p w14:paraId="4E0BC36D" w14:textId="77777777" w:rsidR="00394471" w:rsidRPr="00FA0D37" w:rsidRDefault="00394471" w:rsidP="00FA0D37">
      <w:pPr>
        <w:pStyle w:val="PL"/>
      </w:pPr>
      <w:r w:rsidRPr="00FA0D37">
        <w:t xml:space="preserve">    reducedMaxMIMO-LayersFR1-r16        </w:t>
      </w:r>
      <w:r w:rsidRPr="00FA0D37">
        <w:rPr>
          <w:color w:val="993366"/>
        </w:rPr>
        <w:t>SEQUENCE</w:t>
      </w:r>
      <w:r w:rsidRPr="00FA0D37">
        <w:t xml:space="preserve"> {</w:t>
      </w:r>
    </w:p>
    <w:p w14:paraId="34551593" w14:textId="77777777" w:rsidR="00394471" w:rsidRPr="00FA0D37" w:rsidRDefault="00394471" w:rsidP="00FA0D37">
      <w:pPr>
        <w:pStyle w:val="PL"/>
      </w:pPr>
      <w:r w:rsidRPr="00FA0D37">
        <w:t xml:space="preserve">        reducedMIMO-LayersFR1-DL-r16        </w:t>
      </w:r>
      <w:r w:rsidRPr="00FA0D37">
        <w:rPr>
          <w:color w:val="993366"/>
        </w:rPr>
        <w:t>INTEGER</w:t>
      </w:r>
      <w:r w:rsidRPr="00FA0D37">
        <w:t xml:space="preserve"> (1..8),</w:t>
      </w:r>
    </w:p>
    <w:p w14:paraId="3F296E3C" w14:textId="77777777" w:rsidR="00394471" w:rsidRPr="00FA0D37" w:rsidRDefault="00394471" w:rsidP="00FA0D37">
      <w:pPr>
        <w:pStyle w:val="PL"/>
      </w:pPr>
      <w:r w:rsidRPr="00FA0D37">
        <w:t xml:space="preserve">        reducedMIMO-LayersFR1-UL-r16        </w:t>
      </w:r>
      <w:r w:rsidRPr="00FA0D37">
        <w:rPr>
          <w:color w:val="993366"/>
        </w:rPr>
        <w:t>INTEGER</w:t>
      </w:r>
      <w:r w:rsidRPr="00FA0D37">
        <w:t xml:space="preserve"> (1..4)</w:t>
      </w:r>
    </w:p>
    <w:p w14:paraId="3376D8BA" w14:textId="77777777" w:rsidR="00394471" w:rsidRPr="00FA0D37" w:rsidRDefault="00394471" w:rsidP="00FA0D37">
      <w:pPr>
        <w:pStyle w:val="PL"/>
      </w:pPr>
      <w:r w:rsidRPr="00FA0D37">
        <w:t xml:space="preserve">    } </w:t>
      </w:r>
      <w:r w:rsidRPr="00FA0D37">
        <w:rPr>
          <w:color w:val="993366"/>
        </w:rPr>
        <w:t>OPTIONAL</w:t>
      </w:r>
      <w:r w:rsidRPr="00FA0D37">
        <w:t>,</w:t>
      </w:r>
    </w:p>
    <w:p w14:paraId="716524BE" w14:textId="77777777" w:rsidR="00394471" w:rsidRPr="00FA0D37" w:rsidRDefault="00394471" w:rsidP="00FA0D37">
      <w:pPr>
        <w:pStyle w:val="PL"/>
      </w:pPr>
      <w:r w:rsidRPr="00FA0D37">
        <w:t xml:space="preserve">    reducedMaxMIMO-LayersFR2-r16        </w:t>
      </w:r>
      <w:r w:rsidRPr="00FA0D37">
        <w:rPr>
          <w:color w:val="993366"/>
        </w:rPr>
        <w:t>SEQUENCE</w:t>
      </w:r>
      <w:r w:rsidRPr="00FA0D37">
        <w:t xml:space="preserve"> {</w:t>
      </w:r>
    </w:p>
    <w:p w14:paraId="503F90AC" w14:textId="77777777" w:rsidR="00394471" w:rsidRPr="00FA0D37" w:rsidRDefault="00394471" w:rsidP="00FA0D37">
      <w:pPr>
        <w:pStyle w:val="PL"/>
      </w:pPr>
      <w:r w:rsidRPr="00FA0D37">
        <w:t xml:space="preserve">        reducedMIMO-LayersFR2-DL-r16        </w:t>
      </w:r>
      <w:r w:rsidRPr="00FA0D37">
        <w:rPr>
          <w:color w:val="993366"/>
        </w:rPr>
        <w:t>INTEGER</w:t>
      </w:r>
      <w:r w:rsidRPr="00FA0D37">
        <w:t xml:space="preserve"> (1..8),</w:t>
      </w:r>
    </w:p>
    <w:p w14:paraId="319DF5DF" w14:textId="77777777" w:rsidR="00394471" w:rsidRPr="00FA0D37" w:rsidRDefault="00394471" w:rsidP="00FA0D37">
      <w:pPr>
        <w:pStyle w:val="PL"/>
      </w:pPr>
      <w:r w:rsidRPr="00FA0D37">
        <w:t xml:space="preserve">        reducedMIMO-LayersFR2-UL-r16        </w:t>
      </w:r>
      <w:r w:rsidRPr="00FA0D37">
        <w:rPr>
          <w:color w:val="993366"/>
        </w:rPr>
        <w:t>INTEGER</w:t>
      </w:r>
      <w:r w:rsidRPr="00FA0D37">
        <w:t xml:space="preserve"> (1..4)</w:t>
      </w:r>
    </w:p>
    <w:p w14:paraId="13EE2842" w14:textId="77777777" w:rsidR="00394471" w:rsidRPr="00FA0D37" w:rsidRDefault="00394471" w:rsidP="00FA0D37">
      <w:pPr>
        <w:pStyle w:val="PL"/>
      </w:pPr>
      <w:r w:rsidRPr="00FA0D37">
        <w:t xml:space="preserve">    } </w:t>
      </w:r>
      <w:r w:rsidRPr="00FA0D37">
        <w:rPr>
          <w:color w:val="993366"/>
        </w:rPr>
        <w:t>OPTIONAL</w:t>
      </w:r>
    </w:p>
    <w:p w14:paraId="5270029E" w14:textId="77777777" w:rsidR="006C501F" w:rsidRPr="00FA0D37" w:rsidRDefault="00394471" w:rsidP="00FA0D37">
      <w:pPr>
        <w:pStyle w:val="PL"/>
      </w:pPr>
      <w:r w:rsidRPr="00FA0D37">
        <w:t>}</w:t>
      </w:r>
    </w:p>
    <w:p w14:paraId="2E21479C" w14:textId="77777777" w:rsidR="006C501F" w:rsidRPr="00FA0D37" w:rsidRDefault="006C501F" w:rsidP="00FA0D37">
      <w:pPr>
        <w:pStyle w:val="PL"/>
      </w:pPr>
    </w:p>
    <w:p w14:paraId="4DC4E7D7" w14:textId="08D312E5" w:rsidR="006C501F" w:rsidRPr="00FA0D37" w:rsidRDefault="006C501F" w:rsidP="00FA0D37">
      <w:pPr>
        <w:pStyle w:val="PL"/>
      </w:pPr>
      <w:r w:rsidRPr="00FA0D37">
        <w:t xml:space="preserve">MaxMIMO-LayerPreferenceFR2-2-r17 ::=    </w:t>
      </w:r>
      <w:r w:rsidRPr="00FA0D37">
        <w:rPr>
          <w:color w:val="993366"/>
        </w:rPr>
        <w:t>SEQUENCE</w:t>
      </w:r>
      <w:r w:rsidRPr="00FA0D37">
        <w:t xml:space="preserve"> {</w:t>
      </w:r>
    </w:p>
    <w:p w14:paraId="15FEF77A" w14:textId="59514B58" w:rsidR="006C501F" w:rsidRPr="00FA0D37" w:rsidRDefault="006C501F" w:rsidP="00FA0D37">
      <w:pPr>
        <w:pStyle w:val="PL"/>
      </w:pPr>
      <w:r w:rsidRPr="00FA0D37">
        <w:t xml:space="preserve">    reducedMaxMIMO-LayersFR2-2-r17          </w:t>
      </w:r>
      <w:r w:rsidRPr="00FA0D37">
        <w:rPr>
          <w:color w:val="993366"/>
        </w:rPr>
        <w:t>SEQUENCE</w:t>
      </w:r>
      <w:r w:rsidRPr="00FA0D37">
        <w:t xml:space="preserve"> {</w:t>
      </w:r>
    </w:p>
    <w:p w14:paraId="7168CB06" w14:textId="1B5FCDBE" w:rsidR="006C501F" w:rsidRPr="00FA0D37" w:rsidRDefault="006C501F" w:rsidP="00FA0D37">
      <w:pPr>
        <w:pStyle w:val="PL"/>
      </w:pPr>
      <w:r w:rsidRPr="00FA0D37">
        <w:t xml:space="preserve">        reducedMIMO-LayersFR2-2-DL-r17          </w:t>
      </w:r>
      <w:r w:rsidRPr="00FA0D37">
        <w:rPr>
          <w:color w:val="993366"/>
        </w:rPr>
        <w:t>INTEGER</w:t>
      </w:r>
      <w:r w:rsidRPr="00FA0D37">
        <w:t xml:space="preserve"> (1..8),</w:t>
      </w:r>
    </w:p>
    <w:p w14:paraId="5C419EDD" w14:textId="42E746EF" w:rsidR="006C501F" w:rsidRPr="00FA0D37" w:rsidRDefault="006C501F" w:rsidP="00FA0D37">
      <w:pPr>
        <w:pStyle w:val="PL"/>
      </w:pPr>
      <w:r w:rsidRPr="00FA0D37">
        <w:t xml:space="preserve">        reducedMIMO-LayersFR2-2-UL-r17          </w:t>
      </w:r>
      <w:r w:rsidRPr="00FA0D37">
        <w:rPr>
          <w:color w:val="993366"/>
        </w:rPr>
        <w:t>INTEGER</w:t>
      </w:r>
      <w:r w:rsidRPr="00FA0D37">
        <w:t xml:space="preserve"> (1..4)</w:t>
      </w:r>
    </w:p>
    <w:p w14:paraId="5C785D86" w14:textId="77777777" w:rsidR="006C501F" w:rsidRPr="00FA0D37" w:rsidRDefault="006C501F" w:rsidP="00FA0D37">
      <w:pPr>
        <w:pStyle w:val="PL"/>
      </w:pPr>
      <w:r w:rsidRPr="00FA0D37">
        <w:t xml:space="preserve">    } </w:t>
      </w:r>
      <w:r w:rsidRPr="00FA0D37">
        <w:rPr>
          <w:color w:val="993366"/>
        </w:rPr>
        <w:t>OPTIONAL</w:t>
      </w:r>
    </w:p>
    <w:p w14:paraId="328B20F4" w14:textId="10A8C456" w:rsidR="00394471" w:rsidRPr="00FA0D37" w:rsidRDefault="006C501F" w:rsidP="00FA0D37">
      <w:pPr>
        <w:pStyle w:val="PL"/>
      </w:pPr>
      <w:r w:rsidRPr="00FA0D37">
        <w:t>}</w:t>
      </w:r>
    </w:p>
    <w:p w14:paraId="1E7BF43A" w14:textId="77777777" w:rsidR="00394471" w:rsidRPr="00FA0D37" w:rsidRDefault="00394471" w:rsidP="00FA0D37">
      <w:pPr>
        <w:pStyle w:val="PL"/>
      </w:pPr>
    </w:p>
    <w:p w14:paraId="145528C5" w14:textId="77777777" w:rsidR="00394471" w:rsidRPr="00FA0D37" w:rsidRDefault="00394471" w:rsidP="00FA0D37">
      <w:pPr>
        <w:pStyle w:val="PL"/>
      </w:pPr>
      <w:r w:rsidRPr="00FA0D37">
        <w:t xml:space="preserve">MinSchedulingOffsetPreference-r16 ::= </w:t>
      </w:r>
      <w:r w:rsidRPr="00FA0D37">
        <w:rPr>
          <w:color w:val="993366"/>
        </w:rPr>
        <w:t>SEQUENCE</w:t>
      </w:r>
      <w:r w:rsidRPr="00FA0D37">
        <w:t xml:space="preserve"> {</w:t>
      </w:r>
    </w:p>
    <w:p w14:paraId="2209BCEC" w14:textId="77777777" w:rsidR="00394471" w:rsidRPr="00FA0D37" w:rsidRDefault="00394471" w:rsidP="00FA0D37">
      <w:pPr>
        <w:pStyle w:val="PL"/>
      </w:pPr>
      <w:r w:rsidRPr="00FA0D37">
        <w:t xml:space="preserve">    preferredK0-r16                       </w:t>
      </w:r>
      <w:r w:rsidRPr="00FA0D37">
        <w:rPr>
          <w:color w:val="993366"/>
        </w:rPr>
        <w:t>SEQUENCE</w:t>
      </w:r>
      <w:r w:rsidRPr="00FA0D37">
        <w:t xml:space="preserve"> {</w:t>
      </w:r>
    </w:p>
    <w:p w14:paraId="6AA17BC7" w14:textId="77777777" w:rsidR="00394471" w:rsidRPr="00FA0D37" w:rsidRDefault="00394471" w:rsidP="00FA0D37">
      <w:pPr>
        <w:pStyle w:val="PL"/>
      </w:pPr>
      <w:r w:rsidRPr="00FA0D37">
        <w:t xml:space="preserve">        preferredK0-SCS-15kHz-r16             </w:t>
      </w:r>
      <w:r w:rsidRPr="00FA0D37">
        <w:rPr>
          <w:color w:val="993366"/>
        </w:rPr>
        <w:t>ENUMERATED</w:t>
      </w:r>
      <w:r w:rsidRPr="00FA0D37">
        <w:t xml:space="preserve"> {sl1, sl2, sl4, sl6}              </w:t>
      </w:r>
      <w:r w:rsidRPr="00FA0D37">
        <w:rPr>
          <w:color w:val="993366"/>
        </w:rPr>
        <w:t>OPTIONAL</w:t>
      </w:r>
      <w:r w:rsidRPr="00FA0D37">
        <w:t>,</w:t>
      </w:r>
    </w:p>
    <w:p w14:paraId="50167D86" w14:textId="77777777" w:rsidR="00394471" w:rsidRPr="00FA0D37" w:rsidRDefault="00394471" w:rsidP="00FA0D37">
      <w:pPr>
        <w:pStyle w:val="PL"/>
      </w:pPr>
      <w:r w:rsidRPr="00FA0D37">
        <w:t xml:space="preserve">        preferredK0-SCS-30kHz-r16             </w:t>
      </w:r>
      <w:r w:rsidRPr="00FA0D37">
        <w:rPr>
          <w:color w:val="993366"/>
        </w:rPr>
        <w:t>ENUMERATED</w:t>
      </w:r>
      <w:r w:rsidRPr="00FA0D37">
        <w:t xml:space="preserve"> {sl1, sl2, sl4, sl6}              </w:t>
      </w:r>
      <w:r w:rsidRPr="00FA0D37">
        <w:rPr>
          <w:color w:val="993366"/>
        </w:rPr>
        <w:t>OPTIONAL</w:t>
      </w:r>
      <w:r w:rsidRPr="00FA0D37">
        <w:t>,</w:t>
      </w:r>
    </w:p>
    <w:p w14:paraId="09DA5DAB" w14:textId="77777777" w:rsidR="00394471" w:rsidRPr="00FA0D37" w:rsidRDefault="00394471" w:rsidP="00FA0D37">
      <w:pPr>
        <w:pStyle w:val="PL"/>
      </w:pPr>
      <w:r w:rsidRPr="00FA0D37">
        <w:t xml:space="preserve">        preferredK0-SCS-60kHz-r16             </w:t>
      </w:r>
      <w:r w:rsidRPr="00FA0D37">
        <w:rPr>
          <w:color w:val="993366"/>
        </w:rPr>
        <w:t>ENUMERATED</w:t>
      </w:r>
      <w:r w:rsidRPr="00FA0D37">
        <w:t xml:space="preserve"> {sl2, sl4, sl8, sl12}             </w:t>
      </w:r>
      <w:r w:rsidRPr="00FA0D37">
        <w:rPr>
          <w:color w:val="993366"/>
        </w:rPr>
        <w:t>OPTIONAL</w:t>
      </w:r>
      <w:r w:rsidRPr="00FA0D37">
        <w:t>,</w:t>
      </w:r>
    </w:p>
    <w:p w14:paraId="19481063" w14:textId="77777777" w:rsidR="00394471" w:rsidRPr="00FA0D37" w:rsidRDefault="00394471" w:rsidP="00FA0D37">
      <w:pPr>
        <w:pStyle w:val="PL"/>
      </w:pPr>
      <w:r w:rsidRPr="00FA0D37">
        <w:t xml:space="preserve">        preferredK0-SCS-120kHz-r16            </w:t>
      </w:r>
      <w:r w:rsidRPr="00FA0D37">
        <w:rPr>
          <w:color w:val="993366"/>
        </w:rPr>
        <w:t>ENUMERATED</w:t>
      </w:r>
      <w:r w:rsidRPr="00FA0D37">
        <w:t xml:space="preserve"> {sl2, sl4, sl8, sl12}             </w:t>
      </w:r>
      <w:r w:rsidRPr="00FA0D37">
        <w:rPr>
          <w:color w:val="993366"/>
        </w:rPr>
        <w:t>OPTIONAL</w:t>
      </w:r>
    </w:p>
    <w:p w14:paraId="7CA96055" w14:textId="77777777" w:rsidR="00394471" w:rsidRPr="00FA0D37" w:rsidRDefault="00394471" w:rsidP="00FA0D37">
      <w:pPr>
        <w:pStyle w:val="PL"/>
      </w:pPr>
      <w:r w:rsidRPr="00FA0D37">
        <w:t xml:space="preserve">    }                                                                                  </w:t>
      </w:r>
      <w:r w:rsidRPr="00FA0D37">
        <w:rPr>
          <w:color w:val="993366"/>
        </w:rPr>
        <w:t>OPTIONAL</w:t>
      </w:r>
      <w:r w:rsidRPr="00FA0D37">
        <w:t>,</w:t>
      </w:r>
    </w:p>
    <w:p w14:paraId="08E189D4" w14:textId="77777777" w:rsidR="00394471" w:rsidRPr="00FA0D37" w:rsidRDefault="00394471" w:rsidP="00FA0D37">
      <w:pPr>
        <w:pStyle w:val="PL"/>
      </w:pPr>
      <w:r w:rsidRPr="00FA0D37">
        <w:t xml:space="preserve">    preferredK2-r16                       </w:t>
      </w:r>
      <w:r w:rsidRPr="00FA0D37">
        <w:rPr>
          <w:color w:val="993366"/>
        </w:rPr>
        <w:t>SEQUENCE</w:t>
      </w:r>
      <w:r w:rsidRPr="00FA0D37">
        <w:t xml:space="preserve"> {</w:t>
      </w:r>
    </w:p>
    <w:p w14:paraId="4F7141B0" w14:textId="77777777" w:rsidR="00394471" w:rsidRPr="00FA0D37" w:rsidRDefault="00394471" w:rsidP="00FA0D37">
      <w:pPr>
        <w:pStyle w:val="PL"/>
      </w:pPr>
      <w:r w:rsidRPr="00FA0D37">
        <w:t xml:space="preserve">        preferredK2-SCS-15kHz-r16             </w:t>
      </w:r>
      <w:r w:rsidRPr="00FA0D37">
        <w:rPr>
          <w:color w:val="993366"/>
        </w:rPr>
        <w:t>ENUMERATED</w:t>
      </w:r>
      <w:r w:rsidRPr="00FA0D37">
        <w:t xml:space="preserve"> {sl1, sl2, sl4, sl6}             </w:t>
      </w:r>
      <w:r w:rsidRPr="00FA0D37">
        <w:rPr>
          <w:color w:val="993366"/>
        </w:rPr>
        <w:t>OPTIONAL</w:t>
      </w:r>
      <w:r w:rsidRPr="00FA0D37">
        <w:t>,</w:t>
      </w:r>
    </w:p>
    <w:p w14:paraId="46F1D534" w14:textId="77777777" w:rsidR="00394471" w:rsidRPr="00FA0D37" w:rsidRDefault="00394471" w:rsidP="00FA0D37">
      <w:pPr>
        <w:pStyle w:val="PL"/>
      </w:pPr>
      <w:r w:rsidRPr="00FA0D37">
        <w:t xml:space="preserve">        preferredK2-SCS-30kHz-r16             </w:t>
      </w:r>
      <w:r w:rsidRPr="00FA0D37">
        <w:rPr>
          <w:color w:val="993366"/>
        </w:rPr>
        <w:t>ENUMERATED</w:t>
      </w:r>
      <w:r w:rsidRPr="00FA0D37">
        <w:t xml:space="preserve"> {sl1, sl2, sl4, sl6}             </w:t>
      </w:r>
      <w:r w:rsidRPr="00FA0D37">
        <w:rPr>
          <w:color w:val="993366"/>
        </w:rPr>
        <w:t>OPTIONAL</w:t>
      </w:r>
      <w:r w:rsidRPr="00FA0D37">
        <w:t>,</w:t>
      </w:r>
    </w:p>
    <w:p w14:paraId="468D04AE" w14:textId="77777777" w:rsidR="00394471" w:rsidRPr="00FA0D37" w:rsidRDefault="00394471" w:rsidP="00FA0D37">
      <w:pPr>
        <w:pStyle w:val="PL"/>
      </w:pPr>
      <w:r w:rsidRPr="00FA0D37">
        <w:t xml:space="preserve">        preferredK2-SCS-60kHz-r16             </w:t>
      </w:r>
      <w:r w:rsidRPr="00FA0D37">
        <w:rPr>
          <w:color w:val="993366"/>
        </w:rPr>
        <w:t>ENUMERATED</w:t>
      </w:r>
      <w:r w:rsidRPr="00FA0D37">
        <w:t xml:space="preserve"> {sl2, sl4, sl8, sl12}            </w:t>
      </w:r>
      <w:r w:rsidRPr="00FA0D37">
        <w:rPr>
          <w:color w:val="993366"/>
        </w:rPr>
        <w:t>OPTIONAL</w:t>
      </w:r>
      <w:r w:rsidRPr="00FA0D37">
        <w:t>,</w:t>
      </w:r>
    </w:p>
    <w:p w14:paraId="2AF96A6B" w14:textId="77777777" w:rsidR="00394471" w:rsidRPr="00FA0D37" w:rsidRDefault="00394471" w:rsidP="00FA0D37">
      <w:pPr>
        <w:pStyle w:val="PL"/>
      </w:pPr>
      <w:r w:rsidRPr="00FA0D37">
        <w:t xml:space="preserve">        preferredK2-SCS-120kHz-r16            </w:t>
      </w:r>
      <w:r w:rsidRPr="00FA0D37">
        <w:rPr>
          <w:color w:val="993366"/>
        </w:rPr>
        <w:t>ENUMERATED</w:t>
      </w:r>
      <w:r w:rsidRPr="00FA0D37">
        <w:t xml:space="preserve"> {sl2, sl4, sl8, sl12}            </w:t>
      </w:r>
      <w:r w:rsidRPr="00FA0D37">
        <w:rPr>
          <w:color w:val="993366"/>
        </w:rPr>
        <w:t>OPTIONAL</w:t>
      </w:r>
    </w:p>
    <w:p w14:paraId="3D74513B" w14:textId="77777777" w:rsidR="00394471" w:rsidRPr="00FA0D37" w:rsidRDefault="00394471" w:rsidP="00FA0D37">
      <w:pPr>
        <w:pStyle w:val="PL"/>
      </w:pPr>
      <w:r w:rsidRPr="00FA0D37">
        <w:t xml:space="preserve">    }                                                                                 </w:t>
      </w:r>
      <w:r w:rsidRPr="00FA0D37">
        <w:rPr>
          <w:color w:val="993366"/>
        </w:rPr>
        <w:t>OPTIONAL</w:t>
      </w:r>
    </w:p>
    <w:p w14:paraId="325D0D6A" w14:textId="77777777" w:rsidR="00394471" w:rsidRPr="00FA0D37" w:rsidRDefault="00394471" w:rsidP="00FA0D37">
      <w:pPr>
        <w:pStyle w:val="PL"/>
      </w:pPr>
      <w:r w:rsidRPr="00FA0D37">
        <w:t>}</w:t>
      </w:r>
    </w:p>
    <w:p w14:paraId="36D87233" w14:textId="3ACF96EF" w:rsidR="00394471" w:rsidRPr="00FA0D37" w:rsidRDefault="00394471" w:rsidP="00FA0D37">
      <w:pPr>
        <w:pStyle w:val="PL"/>
      </w:pPr>
    </w:p>
    <w:p w14:paraId="7B8BB2FE" w14:textId="7D87A30B" w:rsidR="006C501F" w:rsidRPr="00FA0D37" w:rsidRDefault="006C501F" w:rsidP="00FA0D37">
      <w:pPr>
        <w:pStyle w:val="PL"/>
      </w:pPr>
      <w:r w:rsidRPr="00FA0D37">
        <w:t xml:space="preserve">MinSchedulingOffsetPreferenceExt-r17 ::=  </w:t>
      </w:r>
      <w:r w:rsidRPr="00FA0D37">
        <w:rPr>
          <w:color w:val="993366"/>
        </w:rPr>
        <w:t>SEQUENCE</w:t>
      </w:r>
      <w:r w:rsidRPr="00FA0D37">
        <w:t xml:space="preserve"> {</w:t>
      </w:r>
    </w:p>
    <w:p w14:paraId="395EC1D2" w14:textId="101C765C" w:rsidR="006C501F" w:rsidRPr="00FA0D37" w:rsidRDefault="006C501F" w:rsidP="00FA0D37">
      <w:pPr>
        <w:pStyle w:val="PL"/>
      </w:pPr>
      <w:r w:rsidRPr="00FA0D37">
        <w:t xml:space="preserve">    preferredK0-r17                           </w:t>
      </w:r>
      <w:r w:rsidRPr="00FA0D37">
        <w:rPr>
          <w:color w:val="993366"/>
        </w:rPr>
        <w:t>SEQUENCE</w:t>
      </w:r>
      <w:r w:rsidRPr="00FA0D37">
        <w:t xml:space="preserve"> {</w:t>
      </w:r>
    </w:p>
    <w:p w14:paraId="033E5F66" w14:textId="244C6E4D" w:rsidR="006C501F" w:rsidRPr="00FA0D37" w:rsidRDefault="006C501F" w:rsidP="00FA0D37">
      <w:pPr>
        <w:pStyle w:val="PL"/>
      </w:pPr>
      <w:r w:rsidRPr="00FA0D37">
        <w:t xml:space="preserve">        preferredK0-SCS-480kHz-r17                </w:t>
      </w:r>
      <w:r w:rsidRPr="00FA0D37">
        <w:rPr>
          <w:color w:val="993366"/>
        </w:rPr>
        <w:t>ENUMERATED</w:t>
      </w:r>
      <w:r w:rsidRPr="00FA0D37">
        <w:t xml:space="preserve"> {sl8, sl16, sl32, sl48}      </w:t>
      </w:r>
      <w:r w:rsidRPr="00FA0D37">
        <w:rPr>
          <w:color w:val="993366"/>
        </w:rPr>
        <w:t>OPTIONAL</w:t>
      </w:r>
      <w:r w:rsidRPr="00FA0D37">
        <w:t>,</w:t>
      </w:r>
    </w:p>
    <w:p w14:paraId="0ADE71D2" w14:textId="01EF5B9D" w:rsidR="006C501F" w:rsidRPr="00FA0D37" w:rsidRDefault="006C501F" w:rsidP="00FA0D37">
      <w:pPr>
        <w:pStyle w:val="PL"/>
      </w:pPr>
      <w:r w:rsidRPr="00FA0D37">
        <w:t xml:space="preserve">        preferredK0-SCS-960kHz-r17                </w:t>
      </w:r>
      <w:r w:rsidRPr="00FA0D37">
        <w:rPr>
          <w:color w:val="993366"/>
        </w:rPr>
        <w:t>ENUMERATED</w:t>
      </w:r>
      <w:r w:rsidRPr="00FA0D37">
        <w:t xml:space="preserve"> {sl8, sl16, sl32, sl48}      </w:t>
      </w:r>
      <w:r w:rsidRPr="00FA0D37">
        <w:rPr>
          <w:color w:val="993366"/>
        </w:rPr>
        <w:t>OPTIONAL</w:t>
      </w:r>
    </w:p>
    <w:p w14:paraId="12C14DC0" w14:textId="457807F6" w:rsidR="006C501F" w:rsidRPr="00FA0D37" w:rsidRDefault="006C501F" w:rsidP="00FA0D37">
      <w:pPr>
        <w:pStyle w:val="PL"/>
      </w:pPr>
      <w:r w:rsidRPr="00FA0D37">
        <w:t xml:space="preserve">    }                                                                                     </w:t>
      </w:r>
      <w:r w:rsidRPr="00FA0D37">
        <w:rPr>
          <w:color w:val="993366"/>
        </w:rPr>
        <w:t>OPTIONAL</w:t>
      </w:r>
      <w:r w:rsidRPr="00FA0D37">
        <w:t>,</w:t>
      </w:r>
    </w:p>
    <w:p w14:paraId="1CD07BA9" w14:textId="67E4A776" w:rsidR="006C501F" w:rsidRPr="00FA0D37" w:rsidRDefault="006C501F" w:rsidP="00FA0D37">
      <w:pPr>
        <w:pStyle w:val="PL"/>
      </w:pPr>
      <w:r w:rsidRPr="00FA0D37">
        <w:t xml:space="preserve">    preferredK2-r17                           </w:t>
      </w:r>
      <w:r w:rsidRPr="00FA0D37">
        <w:rPr>
          <w:color w:val="993366"/>
        </w:rPr>
        <w:t>SEQUENCE</w:t>
      </w:r>
      <w:r w:rsidRPr="00FA0D37">
        <w:t xml:space="preserve"> {</w:t>
      </w:r>
    </w:p>
    <w:p w14:paraId="0524C07A" w14:textId="511DF4F7" w:rsidR="006C501F" w:rsidRPr="00FA0D37" w:rsidRDefault="006C501F" w:rsidP="00FA0D37">
      <w:pPr>
        <w:pStyle w:val="PL"/>
      </w:pPr>
      <w:r w:rsidRPr="00FA0D37">
        <w:t xml:space="preserve">        preferredK2-SCS-480kHz-r17                </w:t>
      </w:r>
      <w:r w:rsidRPr="00FA0D37">
        <w:rPr>
          <w:color w:val="993366"/>
        </w:rPr>
        <w:t>ENUMERATED</w:t>
      </w:r>
      <w:r w:rsidRPr="00FA0D37">
        <w:t xml:space="preserve"> {sl8, sl16, sl32, sl48}      </w:t>
      </w:r>
      <w:r w:rsidRPr="00FA0D37">
        <w:rPr>
          <w:color w:val="993366"/>
        </w:rPr>
        <w:t>OPTIONAL</w:t>
      </w:r>
      <w:r w:rsidRPr="00FA0D37">
        <w:t>,</w:t>
      </w:r>
    </w:p>
    <w:p w14:paraId="6DF8BB62" w14:textId="0AC33379" w:rsidR="006C501F" w:rsidRPr="00FA0D37" w:rsidRDefault="006C501F" w:rsidP="00FA0D37">
      <w:pPr>
        <w:pStyle w:val="PL"/>
      </w:pPr>
      <w:r w:rsidRPr="00FA0D37">
        <w:t xml:space="preserve">        preferredK2-SCS-960kHz-r17                </w:t>
      </w:r>
      <w:r w:rsidRPr="00FA0D37">
        <w:rPr>
          <w:color w:val="993366"/>
        </w:rPr>
        <w:t>ENUMERATED</w:t>
      </w:r>
      <w:r w:rsidRPr="00FA0D37">
        <w:t xml:space="preserve"> {sl8, sl16, sl32, sl48}      </w:t>
      </w:r>
      <w:r w:rsidRPr="00FA0D37">
        <w:rPr>
          <w:color w:val="993366"/>
        </w:rPr>
        <w:t>OPTIONAL</w:t>
      </w:r>
    </w:p>
    <w:p w14:paraId="7A39837D" w14:textId="69DA4222" w:rsidR="006C501F" w:rsidRPr="00FA0D37" w:rsidRDefault="006C501F" w:rsidP="00FA0D37">
      <w:pPr>
        <w:pStyle w:val="PL"/>
      </w:pPr>
      <w:r w:rsidRPr="00FA0D37">
        <w:t xml:space="preserve">    }                                                                                     </w:t>
      </w:r>
      <w:r w:rsidRPr="00FA0D37">
        <w:rPr>
          <w:color w:val="993366"/>
        </w:rPr>
        <w:t>OPTIONAL</w:t>
      </w:r>
    </w:p>
    <w:p w14:paraId="0B7655C3" w14:textId="77777777" w:rsidR="006C501F" w:rsidRPr="00FA0D37" w:rsidRDefault="006C501F" w:rsidP="00FA0D37">
      <w:pPr>
        <w:pStyle w:val="PL"/>
      </w:pPr>
      <w:r w:rsidRPr="00FA0D37">
        <w:t>}</w:t>
      </w:r>
    </w:p>
    <w:p w14:paraId="48DE1CE6" w14:textId="77777777" w:rsidR="006C501F" w:rsidRPr="00FA0D37" w:rsidRDefault="006C501F" w:rsidP="00FA0D37">
      <w:pPr>
        <w:pStyle w:val="PL"/>
      </w:pPr>
    </w:p>
    <w:p w14:paraId="7D139FE4" w14:textId="179EBC7C" w:rsidR="00D21E0F" w:rsidRPr="00FA0D37" w:rsidRDefault="00D21E0F" w:rsidP="00FA0D37">
      <w:pPr>
        <w:pStyle w:val="PL"/>
      </w:pPr>
      <w:r w:rsidRPr="00FA0D37">
        <w:t xml:space="preserve">MUSIM-Assistance-r17 ::=              </w:t>
      </w:r>
      <w:r w:rsidRPr="00FA0D37">
        <w:rPr>
          <w:color w:val="993366"/>
        </w:rPr>
        <w:t>SEQUENCE</w:t>
      </w:r>
      <w:r w:rsidRPr="00FA0D37">
        <w:t xml:space="preserve"> {</w:t>
      </w:r>
    </w:p>
    <w:p w14:paraId="74E9E736" w14:textId="71F41574" w:rsidR="00D21E0F" w:rsidRPr="00FA0D37" w:rsidRDefault="00D21E0F" w:rsidP="00FA0D37">
      <w:pPr>
        <w:pStyle w:val="PL"/>
      </w:pPr>
      <w:r w:rsidRPr="00FA0D37">
        <w:t xml:space="preserve">    musim-PreferredRRC-State-r17          </w:t>
      </w:r>
      <w:r w:rsidRPr="00FA0D37">
        <w:rPr>
          <w:color w:val="993366"/>
        </w:rPr>
        <w:t>ENUMERATED</w:t>
      </w:r>
      <w:r w:rsidRPr="00FA0D37">
        <w:t xml:space="preserve"> {</w:t>
      </w:r>
      <w:r w:rsidR="00FB193E" w:rsidRPr="00FA0D37">
        <w:t>idle</w:t>
      </w:r>
      <w:r w:rsidRPr="00FA0D37">
        <w:t xml:space="preserve">, </w:t>
      </w:r>
      <w:r w:rsidR="00FB193E" w:rsidRPr="00FA0D37">
        <w:t>inactive</w:t>
      </w:r>
      <w:r w:rsidRPr="00FA0D37">
        <w:t xml:space="preserve">, outOfConnected}     </w:t>
      </w:r>
      <w:r w:rsidRPr="00FA0D37">
        <w:rPr>
          <w:color w:val="993366"/>
        </w:rPr>
        <w:t>OPTIONAL</w:t>
      </w:r>
      <w:r w:rsidRPr="00FA0D37">
        <w:t>,</w:t>
      </w:r>
    </w:p>
    <w:p w14:paraId="4C57E659" w14:textId="1E19D2A5" w:rsidR="00D21E0F" w:rsidRPr="00FA0D37" w:rsidRDefault="00D21E0F" w:rsidP="00FA0D37">
      <w:pPr>
        <w:pStyle w:val="PL"/>
      </w:pPr>
      <w:r w:rsidRPr="00FA0D37">
        <w:t xml:space="preserve">    musim-GapPreferenceList-r17           MUSIM-GapPreferenceList-r17                     </w:t>
      </w:r>
      <w:r w:rsidRPr="00FA0D37">
        <w:rPr>
          <w:color w:val="993366"/>
        </w:rPr>
        <w:t>OPTIONAL</w:t>
      </w:r>
    </w:p>
    <w:p w14:paraId="452F7F2D" w14:textId="77777777" w:rsidR="00D21E0F" w:rsidRPr="00FA0D37" w:rsidRDefault="00D21E0F" w:rsidP="00FA0D37">
      <w:pPr>
        <w:pStyle w:val="PL"/>
      </w:pPr>
      <w:r w:rsidRPr="00FA0D37">
        <w:t>}</w:t>
      </w:r>
    </w:p>
    <w:p w14:paraId="4A2EB68A" w14:textId="77777777" w:rsidR="00D21E0F" w:rsidRPr="00FA0D37" w:rsidRDefault="00D21E0F" w:rsidP="00FA0D37">
      <w:pPr>
        <w:pStyle w:val="PL"/>
      </w:pPr>
    </w:p>
    <w:p w14:paraId="7D1DBA20" w14:textId="30A224F1" w:rsidR="00D21E0F" w:rsidRPr="00FA0D37" w:rsidRDefault="00D21E0F" w:rsidP="00FA0D37">
      <w:pPr>
        <w:pStyle w:val="PL"/>
      </w:pPr>
      <w:r w:rsidRPr="00FA0D37">
        <w:t xml:space="preserve">MUSIM-GapPreferenceList-r17 ::= </w:t>
      </w:r>
      <w:r w:rsidRPr="00FA0D37">
        <w:rPr>
          <w:color w:val="993366"/>
        </w:rPr>
        <w:t>SEQUENCE</w:t>
      </w:r>
      <w:r w:rsidRPr="00FA0D37">
        <w:t xml:space="preserve"> (</w:t>
      </w:r>
      <w:r w:rsidRPr="00FA0D37">
        <w:rPr>
          <w:color w:val="993366"/>
        </w:rPr>
        <w:t>SIZE</w:t>
      </w:r>
      <w:r w:rsidRPr="00FA0D37">
        <w:t xml:space="preserve"> (1..</w:t>
      </w:r>
      <w:r w:rsidR="0005611B" w:rsidRPr="00FA0D37">
        <w:t>4</w:t>
      </w:r>
      <w:r w:rsidRPr="00FA0D37">
        <w:t>))</w:t>
      </w:r>
      <w:r w:rsidRPr="00FA0D37">
        <w:rPr>
          <w:color w:val="993366"/>
        </w:rPr>
        <w:t xml:space="preserve"> OF</w:t>
      </w:r>
      <w:r w:rsidRPr="00FA0D37">
        <w:t xml:space="preserve"> MUSIM-</w:t>
      </w:r>
      <w:r w:rsidR="00187BB6" w:rsidRPr="00FA0D37">
        <w:t>GapInfo</w:t>
      </w:r>
      <w:r w:rsidRPr="00FA0D37">
        <w:t>-r17</w:t>
      </w:r>
    </w:p>
    <w:p w14:paraId="787A5056" w14:textId="77777777" w:rsidR="00D21E0F" w:rsidRPr="00FA0D37" w:rsidRDefault="00D21E0F" w:rsidP="00FA0D37">
      <w:pPr>
        <w:pStyle w:val="PL"/>
      </w:pPr>
    </w:p>
    <w:p w14:paraId="28A1EE70" w14:textId="77777777" w:rsidR="00394471" w:rsidRPr="00FA0D37" w:rsidRDefault="00394471" w:rsidP="00FA0D37">
      <w:pPr>
        <w:pStyle w:val="PL"/>
      </w:pPr>
      <w:r w:rsidRPr="00FA0D37">
        <w:t xml:space="preserve">ReleasePreference-r16 ::=           </w:t>
      </w:r>
      <w:r w:rsidRPr="00FA0D37">
        <w:rPr>
          <w:color w:val="993366"/>
        </w:rPr>
        <w:t>SEQUENCE</w:t>
      </w:r>
      <w:r w:rsidRPr="00FA0D37">
        <w:t xml:space="preserve"> {</w:t>
      </w:r>
    </w:p>
    <w:p w14:paraId="67450558" w14:textId="77777777" w:rsidR="00394471" w:rsidRPr="00FA0D37" w:rsidRDefault="00394471" w:rsidP="00FA0D37">
      <w:pPr>
        <w:pStyle w:val="PL"/>
      </w:pPr>
      <w:r w:rsidRPr="00FA0D37">
        <w:t xml:space="preserve">    preferredRRC-State-r16              </w:t>
      </w:r>
      <w:r w:rsidRPr="00FA0D37">
        <w:rPr>
          <w:color w:val="993366"/>
        </w:rPr>
        <w:t>ENUMERATED</w:t>
      </w:r>
      <w:r w:rsidRPr="00FA0D37">
        <w:t xml:space="preserve"> {idle, inactive, connected, outOfConnected}</w:t>
      </w:r>
    </w:p>
    <w:p w14:paraId="5DEAE5D2" w14:textId="77777777" w:rsidR="00394471" w:rsidRPr="00FA0D37" w:rsidRDefault="00394471" w:rsidP="00FA0D37">
      <w:pPr>
        <w:pStyle w:val="PL"/>
      </w:pPr>
      <w:r w:rsidRPr="00FA0D37">
        <w:t>}</w:t>
      </w:r>
    </w:p>
    <w:p w14:paraId="177F95DD" w14:textId="77777777" w:rsidR="00394471" w:rsidRPr="00FA0D37" w:rsidRDefault="00394471" w:rsidP="00FA0D37">
      <w:pPr>
        <w:pStyle w:val="PL"/>
      </w:pPr>
    </w:p>
    <w:p w14:paraId="14A4FA55" w14:textId="77777777" w:rsidR="00394471" w:rsidRPr="00FA0D37" w:rsidRDefault="00394471" w:rsidP="00FA0D37">
      <w:pPr>
        <w:pStyle w:val="PL"/>
      </w:pPr>
      <w:r w:rsidRPr="00FA0D37">
        <w:t xml:space="preserve">ReducedMaxBW-FRx-r16 ::=            </w:t>
      </w:r>
      <w:r w:rsidRPr="00FA0D37">
        <w:rPr>
          <w:color w:val="993366"/>
        </w:rPr>
        <w:t>SEQUENCE</w:t>
      </w:r>
      <w:r w:rsidRPr="00FA0D37">
        <w:t xml:space="preserve"> {</w:t>
      </w:r>
    </w:p>
    <w:p w14:paraId="18244774" w14:textId="77777777" w:rsidR="00394471" w:rsidRPr="00FA0D37" w:rsidRDefault="00394471" w:rsidP="00FA0D37">
      <w:pPr>
        <w:pStyle w:val="PL"/>
      </w:pPr>
      <w:r w:rsidRPr="00FA0D37">
        <w:t xml:space="preserve">    reducedBW-DL-r16                    ReducedAggregatedBandwidth,</w:t>
      </w:r>
    </w:p>
    <w:p w14:paraId="42D5E5F0" w14:textId="77777777" w:rsidR="00394471" w:rsidRPr="00FA0D37" w:rsidRDefault="00394471" w:rsidP="00FA0D37">
      <w:pPr>
        <w:pStyle w:val="PL"/>
      </w:pPr>
      <w:r w:rsidRPr="00FA0D37">
        <w:t xml:space="preserve">    reducedBW-UL-r16                    ReducedAggregatedBandwidth</w:t>
      </w:r>
    </w:p>
    <w:p w14:paraId="22E2F5E4" w14:textId="77777777" w:rsidR="00394471" w:rsidRPr="00FA0D37" w:rsidRDefault="00394471" w:rsidP="00FA0D37">
      <w:pPr>
        <w:pStyle w:val="PL"/>
      </w:pPr>
      <w:r w:rsidRPr="00FA0D37">
        <w:t>}</w:t>
      </w:r>
    </w:p>
    <w:p w14:paraId="77FFED2A" w14:textId="77777777" w:rsidR="00394471" w:rsidRPr="00FA0D37" w:rsidRDefault="00394471" w:rsidP="00FA0D37">
      <w:pPr>
        <w:pStyle w:val="PL"/>
      </w:pPr>
    </w:p>
    <w:p w14:paraId="303A4D15" w14:textId="77777777" w:rsidR="00394471" w:rsidRPr="00FA0D37" w:rsidRDefault="00394471" w:rsidP="00FA0D37">
      <w:pPr>
        <w:pStyle w:val="PL"/>
      </w:pPr>
      <w:r w:rsidRPr="00FA0D37">
        <w:t xml:space="preserve">ReducedMaxCCs-r16 ::=               </w:t>
      </w:r>
      <w:r w:rsidRPr="00FA0D37">
        <w:rPr>
          <w:color w:val="993366"/>
        </w:rPr>
        <w:t>SEQUENCE</w:t>
      </w:r>
      <w:r w:rsidRPr="00FA0D37">
        <w:t xml:space="preserve"> {</w:t>
      </w:r>
    </w:p>
    <w:p w14:paraId="47ABFCF7" w14:textId="77777777" w:rsidR="00394471" w:rsidRPr="00FA0D37" w:rsidRDefault="00394471" w:rsidP="00FA0D37">
      <w:pPr>
        <w:pStyle w:val="PL"/>
      </w:pPr>
      <w:r w:rsidRPr="00FA0D37">
        <w:t xml:space="preserve">    reducedCCsDL-r16                    </w:t>
      </w:r>
      <w:r w:rsidRPr="00FA0D37">
        <w:rPr>
          <w:color w:val="993366"/>
        </w:rPr>
        <w:t>INTEGER</w:t>
      </w:r>
      <w:r w:rsidRPr="00FA0D37">
        <w:t xml:space="preserve"> (0..31),</w:t>
      </w:r>
    </w:p>
    <w:p w14:paraId="2C145D82" w14:textId="77777777" w:rsidR="00394471" w:rsidRPr="00FA0D37" w:rsidRDefault="00394471" w:rsidP="00FA0D37">
      <w:pPr>
        <w:pStyle w:val="PL"/>
      </w:pPr>
      <w:r w:rsidRPr="00FA0D37">
        <w:t xml:space="preserve">    reducedCCsUL-r16                    </w:t>
      </w:r>
      <w:r w:rsidRPr="00FA0D37">
        <w:rPr>
          <w:color w:val="993366"/>
        </w:rPr>
        <w:t>INTEGER</w:t>
      </w:r>
      <w:r w:rsidRPr="00FA0D37">
        <w:t xml:space="preserve"> (0..31)</w:t>
      </w:r>
    </w:p>
    <w:p w14:paraId="24540C89" w14:textId="77777777" w:rsidR="00394471" w:rsidRPr="00FA0D37" w:rsidRDefault="00394471" w:rsidP="00FA0D37">
      <w:pPr>
        <w:pStyle w:val="PL"/>
      </w:pPr>
      <w:r w:rsidRPr="00FA0D37">
        <w:t>}</w:t>
      </w:r>
    </w:p>
    <w:p w14:paraId="4771A21C" w14:textId="77777777" w:rsidR="00394471" w:rsidRPr="00FA0D37" w:rsidRDefault="00394471" w:rsidP="00FA0D37">
      <w:pPr>
        <w:pStyle w:val="PL"/>
      </w:pPr>
    </w:p>
    <w:p w14:paraId="6D64EACE" w14:textId="77777777" w:rsidR="00394471" w:rsidRPr="00FA0D37" w:rsidRDefault="00394471" w:rsidP="00FA0D37">
      <w:pPr>
        <w:pStyle w:val="PL"/>
      </w:pPr>
      <w:r w:rsidRPr="00FA0D37">
        <w:t xml:space="preserve">SL-UE-AssistanceInformationNR-r16 ::= </w:t>
      </w:r>
      <w:r w:rsidRPr="00FA0D37">
        <w:rPr>
          <w:color w:val="993366"/>
        </w:rPr>
        <w:t>SEQUENCE</w:t>
      </w:r>
      <w:r w:rsidRPr="00FA0D37">
        <w:t xml:space="preserve"> (</w:t>
      </w:r>
      <w:r w:rsidRPr="00FA0D37">
        <w:rPr>
          <w:color w:val="993366"/>
        </w:rPr>
        <w:t>SIZE</w:t>
      </w:r>
      <w:r w:rsidRPr="00FA0D37">
        <w:t xml:space="preserve"> (1..maxNrofTrafficPattern-r16))</w:t>
      </w:r>
      <w:r w:rsidRPr="00FA0D37">
        <w:rPr>
          <w:color w:val="993366"/>
        </w:rPr>
        <w:t xml:space="preserve"> OF</w:t>
      </w:r>
      <w:r w:rsidRPr="00FA0D37">
        <w:t xml:space="preserve"> SL-TrafficPatternInfo-r16</w:t>
      </w:r>
    </w:p>
    <w:p w14:paraId="5390CA7C" w14:textId="77777777" w:rsidR="00394471" w:rsidRPr="00FA0D37" w:rsidRDefault="00394471" w:rsidP="00FA0D37">
      <w:pPr>
        <w:pStyle w:val="PL"/>
      </w:pPr>
    </w:p>
    <w:p w14:paraId="74B4D561" w14:textId="77777777" w:rsidR="00394471" w:rsidRPr="00FA0D37" w:rsidRDefault="00394471" w:rsidP="00FA0D37">
      <w:pPr>
        <w:pStyle w:val="PL"/>
      </w:pPr>
      <w:r w:rsidRPr="00FA0D37">
        <w:t xml:space="preserve">SL-TrafficPatternInfo-r16::=          </w:t>
      </w:r>
      <w:r w:rsidRPr="00FA0D37">
        <w:rPr>
          <w:color w:val="993366"/>
        </w:rPr>
        <w:t>SEQUENCE</w:t>
      </w:r>
      <w:r w:rsidRPr="00FA0D37">
        <w:t xml:space="preserve"> {</w:t>
      </w:r>
    </w:p>
    <w:p w14:paraId="586ADE60" w14:textId="0DAE38C8" w:rsidR="00394471" w:rsidRPr="00FA0D37" w:rsidRDefault="00394471" w:rsidP="00FA0D37">
      <w:pPr>
        <w:pStyle w:val="PL"/>
      </w:pPr>
      <w:r w:rsidRPr="00FA0D37">
        <w:t xml:space="preserve">    trafficPeriodicity-r16                </w:t>
      </w:r>
      <w:r w:rsidRPr="00FA0D37">
        <w:rPr>
          <w:color w:val="993366"/>
        </w:rPr>
        <w:t>ENUMERATED</w:t>
      </w:r>
      <w:r w:rsidRPr="00FA0D37">
        <w:t xml:space="preserve"> {ms20,</w:t>
      </w:r>
      <w:r w:rsidR="008D2002" w:rsidRPr="00FA0D37">
        <w:t xml:space="preserve"> </w:t>
      </w:r>
      <w:r w:rsidRPr="00FA0D37">
        <w:t>ms50, ms100, ms200, ms300, ms400, ms500, ms600, ms700, ms800, ms900, ms1000},</w:t>
      </w:r>
    </w:p>
    <w:p w14:paraId="16E1F7B2" w14:textId="77777777" w:rsidR="00394471" w:rsidRPr="00FA0D37" w:rsidRDefault="00394471" w:rsidP="00FA0D37">
      <w:pPr>
        <w:pStyle w:val="PL"/>
      </w:pPr>
      <w:r w:rsidRPr="00FA0D37">
        <w:t xml:space="preserve">    timingOffset-r16                      </w:t>
      </w:r>
      <w:r w:rsidRPr="00FA0D37">
        <w:rPr>
          <w:color w:val="993366"/>
        </w:rPr>
        <w:t>INTEGER</w:t>
      </w:r>
      <w:r w:rsidRPr="00FA0D37">
        <w:t xml:space="preserve"> (0..10239),</w:t>
      </w:r>
    </w:p>
    <w:p w14:paraId="75E833F0" w14:textId="77777777" w:rsidR="00394471" w:rsidRPr="00FA0D37" w:rsidRDefault="00394471" w:rsidP="00FA0D37">
      <w:pPr>
        <w:pStyle w:val="PL"/>
      </w:pPr>
      <w:r w:rsidRPr="00FA0D37">
        <w:t xml:space="preserve">    messageSize-r16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681D7AF1" w14:textId="77777777" w:rsidR="00394471" w:rsidRPr="00FA0D37" w:rsidRDefault="00394471" w:rsidP="00FA0D37">
      <w:pPr>
        <w:pStyle w:val="PL"/>
      </w:pPr>
      <w:r w:rsidRPr="00FA0D37">
        <w:t xml:space="preserve">    sl-QoS-FlowIdentity-r16               SL-QoS-FlowIdentity-r16</w:t>
      </w:r>
    </w:p>
    <w:p w14:paraId="4E025A06" w14:textId="77777777" w:rsidR="00394471" w:rsidRPr="00FA0D37" w:rsidRDefault="00394471" w:rsidP="00FA0D37">
      <w:pPr>
        <w:pStyle w:val="PL"/>
      </w:pPr>
      <w:r w:rsidRPr="00FA0D37">
        <w:t>}</w:t>
      </w:r>
    </w:p>
    <w:p w14:paraId="48F79B70" w14:textId="77777777" w:rsidR="00243878" w:rsidRPr="00FA0D37" w:rsidRDefault="00243878" w:rsidP="00FA0D37">
      <w:pPr>
        <w:pStyle w:val="PL"/>
      </w:pPr>
    </w:p>
    <w:p w14:paraId="19EDA104" w14:textId="0CDAECE9" w:rsidR="00243878" w:rsidRPr="00FA0D37" w:rsidRDefault="00243878" w:rsidP="00FA0D37">
      <w:pPr>
        <w:pStyle w:val="PL"/>
      </w:pPr>
      <w:r w:rsidRPr="00FA0D37">
        <w:t xml:space="preserve">UL-GapFR2-Preference-r17::=           </w:t>
      </w:r>
      <w:r w:rsidRPr="00FA0D37">
        <w:rPr>
          <w:color w:val="993366"/>
        </w:rPr>
        <w:t>SEQUENCE</w:t>
      </w:r>
      <w:r w:rsidRPr="00FA0D37">
        <w:t xml:space="preserve"> {</w:t>
      </w:r>
    </w:p>
    <w:p w14:paraId="4C46DBFC" w14:textId="3A3B817E" w:rsidR="00243878" w:rsidRPr="00FA0D37" w:rsidRDefault="00243878" w:rsidP="00FA0D37">
      <w:pPr>
        <w:pStyle w:val="PL"/>
      </w:pPr>
      <w:r w:rsidRPr="00FA0D37">
        <w:t xml:space="preserve">    ul-GapFR2-PatternPreference-r17       </w:t>
      </w:r>
      <w:r w:rsidR="001212B2" w:rsidRPr="00FA0D37">
        <w:rPr>
          <w:color w:val="993366"/>
        </w:rPr>
        <w:t>INTEGER</w:t>
      </w:r>
      <w:r w:rsidR="001212B2" w:rsidRPr="00FA0D37">
        <w:t xml:space="preserve"> (0..3)</w:t>
      </w:r>
      <w:r w:rsidRPr="00FA0D37">
        <w:t xml:space="preserve">                     </w:t>
      </w:r>
      <w:r w:rsidRPr="00FA0D37">
        <w:rPr>
          <w:color w:val="993366"/>
        </w:rPr>
        <w:t>OPTIONAL</w:t>
      </w:r>
    </w:p>
    <w:p w14:paraId="4B44764A" w14:textId="02259A37" w:rsidR="00394471" w:rsidRPr="00FA0D37" w:rsidRDefault="00243878" w:rsidP="00FA0D37">
      <w:pPr>
        <w:pStyle w:val="PL"/>
      </w:pPr>
      <w:r w:rsidRPr="00FA0D37">
        <w:t>}</w:t>
      </w:r>
    </w:p>
    <w:p w14:paraId="7799E208" w14:textId="2ABB0BF8" w:rsidR="00243878" w:rsidRPr="00FA0D37" w:rsidRDefault="00243878" w:rsidP="00FA0D37">
      <w:pPr>
        <w:pStyle w:val="PL"/>
      </w:pPr>
    </w:p>
    <w:p w14:paraId="64C6ED20" w14:textId="0D117F47" w:rsidR="00150266" w:rsidRPr="00FA0D37" w:rsidRDefault="00150266" w:rsidP="00FA0D37">
      <w:pPr>
        <w:pStyle w:val="PL"/>
      </w:pPr>
      <w:r w:rsidRPr="00FA0D37">
        <w:t xml:space="preserve">PropagationDelayDifference-r17 ::=  </w:t>
      </w:r>
      <w:r w:rsidRPr="00FA0D37">
        <w:rPr>
          <w:color w:val="993366"/>
        </w:rPr>
        <w:t>SEQUENCE</w:t>
      </w:r>
      <w:r w:rsidRPr="00FA0D37">
        <w:t xml:space="preserve"> (</w:t>
      </w:r>
      <w:r w:rsidRPr="00FA0D37">
        <w:rPr>
          <w:color w:val="993366"/>
        </w:rPr>
        <w:t>SIZE</w:t>
      </w:r>
      <w:r w:rsidRPr="00FA0D37">
        <w:t xml:space="preserve"> (1..4))</w:t>
      </w:r>
      <w:r w:rsidRPr="00FA0D37">
        <w:rPr>
          <w:color w:val="993366"/>
        </w:rPr>
        <w:t xml:space="preserve"> OF</w:t>
      </w:r>
      <w:r w:rsidRPr="00FA0D37">
        <w:t xml:space="preserve"> </w:t>
      </w:r>
      <w:r w:rsidRPr="00FA0D37">
        <w:rPr>
          <w:color w:val="993366"/>
        </w:rPr>
        <w:t>INTEGER</w:t>
      </w:r>
      <w:r w:rsidRPr="00FA0D37">
        <w:t xml:space="preserve"> (-270..270)</w:t>
      </w:r>
    </w:p>
    <w:p w14:paraId="734C6DFA" w14:textId="77777777" w:rsidR="00150266" w:rsidRPr="00FA0D37" w:rsidRDefault="00150266" w:rsidP="00FA0D37">
      <w:pPr>
        <w:pStyle w:val="PL"/>
      </w:pPr>
    </w:p>
    <w:p w14:paraId="1C7AD41F" w14:textId="77777777" w:rsidR="00394471" w:rsidRPr="00FA0D37" w:rsidRDefault="00394471" w:rsidP="00FA0D37">
      <w:pPr>
        <w:pStyle w:val="PL"/>
        <w:rPr>
          <w:color w:val="808080"/>
        </w:rPr>
      </w:pPr>
      <w:r w:rsidRPr="00FA0D37">
        <w:rPr>
          <w:color w:val="808080"/>
        </w:rPr>
        <w:t>-- TAG-UEASSISTANCEINFORMATION-STOP</w:t>
      </w:r>
    </w:p>
    <w:p w14:paraId="2F285792" w14:textId="77777777" w:rsidR="00394471" w:rsidRPr="00FA0D37" w:rsidRDefault="00394471" w:rsidP="00FA0D37">
      <w:pPr>
        <w:pStyle w:val="PL"/>
        <w:rPr>
          <w:color w:val="808080"/>
        </w:rPr>
      </w:pPr>
      <w:r w:rsidRPr="00FA0D37">
        <w:rPr>
          <w:color w:val="808080"/>
        </w:rPr>
        <w:t>-- ASN1STOP</w:t>
      </w:r>
    </w:p>
    <w:p w14:paraId="0B270184" w14:textId="77777777" w:rsidR="005F5A31" w:rsidRPr="00FA0D37" w:rsidRDefault="005F5A3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32A0154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055BD0" w14:textId="77777777" w:rsidR="00394471" w:rsidRPr="00FA0D37" w:rsidRDefault="00394471" w:rsidP="00964CC4">
            <w:pPr>
              <w:pStyle w:val="TAH"/>
              <w:rPr>
                <w:lang w:eastAsia="en-GB"/>
              </w:rPr>
            </w:pPr>
            <w:r w:rsidRPr="00FA0D37">
              <w:rPr>
                <w:i/>
                <w:noProof/>
                <w:lang w:eastAsia="en-GB"/>
              </w:rPr>
              <w:lastRenderedPageBreak/>
              <w:t>UEAssistanceInformation</w:t>
            </w:r>
            <w:r w:rsidRPr="00FA0D37">
              <w:rPr>
                <w:iCs/>
                <w:noProof/>
                <w:lang w:eastAsia="en-GB"/>
              </w:rPr>
              <w:t xml:space="preserve"> field descriptions</w:t>
            </w:r>
          </w:p>
        </w:tc>
      </w:tr>
      <w:tr w:rsidR="005C7FF4" w:rsidRPr="00FA0D37" w14:paraId="2FB6DC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5E038A" w14:textId="77777777" w:rsidR="00394471" w:rsidRPr="00FA0D37" w:rsidRDefault="00394471" w:rsidP="00964CC4">
            <w:pPr>
              <w:pStyle w:val="TAL"/>
              <w:rPr>
                <w:b/>
                <w:bCs/>
                <w:i/>
                <w:iCs/>
                <w:lang w:eastAsia="zh-CN"/>
              </w:rPr>
            </w:pPr>
            <w:r w:rsidRPr="00FA0D37">
              <w:rPr>
                <w:b/>
                <w:bCs/>
                <w:i/>
                <w:iCs/>
                <w:lang w:eastAsia="zh-CN"/>
              </w:rPr>
              <w:t>affectedCarrierFreqList</w:t>
            </w:r>
          </w:p>
          <w:p w14:paraId="2BBA936F" w14:textId="77777777" w:rsidR="00394471" w:rsidRPr="00FA0D37" w:rsidRDefault="00394471" w:rsidP="00964CC4">
            <w:pPr>
              <w:pStyle w:val="TAL"/>
              <w:rPr>
                <w:b/>
                <w:i/>
                <w:noProof/>
                <w:lang w:eastAsia="en-GB"/>
              </w:rPr>
            </w:pPr>
            <w:r w:rsidRPr="00FA0D37">
              <w:rPr>
                <w:lang w:eastAsia="en-GB"/>
              </w:rPr>
              <w:t>Indicates a list of NR carrier frequencies that are affected by IDC problem.</w:t>
            </w:r>
          </w:p>
        </w:tc>
      </w:tr>
      <w:tr w:rsidR="005C7FF4" w:rsidRPr="00FA0D37" w14:paraId="2084B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248038" w14:textId="77777777" w:rsidR="00394471" w:rsidRPr="00FA0D37" w:rsidRDefault="00394471" w:rsidP="00964CC4">
            <w:pPr>
              <w:pStyle w:val="TAL"/>
              <w:rPr>
                <w:b/>
                <w:bCs/>
                <w:i/>
                <w:iCs/>
                <w:lang w:eastAsia="zh-CN"/>
              </w:rPr>
            </w:pPr>
            <w:r w:rsidRPr="00FA0D37">
              <w:rPr>
                <w:b/>
                <w:bCs/>
                <w:i/>
                <w:iCs/>
                <w:lang w:eastAsia="zh-CN"/>
              </w:rPr>
              <w:t>affectedCarrierFreqCombList</w:t>
            </w:r>
          </w:p>
          <w:p w14:paraId="34579F3D" w14:textId="77777777" w:rsidR="00394471" w:rsidRPr="00FA0D37" w:rsidRDefault="00394471" w:rsidP="00964CC4">
            <w:pPr>
              <w:pStyle w:val="TAL"/>
              <w:rPr>
                <w:b/>
                <w:bCs/>
                <w:i/>
                <w:iCs/>
                <w:lang w:eastAsia="zh-CN"/>
              </w:rPr>
            </w:pPr>
            <w:r w:rsidRPr="00FA0D37">
              <w:rPr>
                <w:lang w:eastAsia="en-GB"/>
              </w:rPr>
              <w:t>Indicates a list of NR carrier frequencie combinations that are affected by IDC problems due to Inter-Modulation Distortion and harmonics from NR when configured with UL CA.</w:t>
            </w:r>
          </w:p>
        </w:tc>
      </w:tr>
      <w:tr w:rsidR="005C7FF4" w:rsidRPr="00FA0D37" w14:paraId="619F393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EA2A8F8" w14:textId="77777777" w:rsidR="00B623BD" w:rsidRPr="00FA0D37" w:rsidRDefault="00B623BD" w:rsidP="00B623BD">
            <w:pPr>
              <w:pStyle w:val="TAL"/>
              <w:rPr>
                <w:b/>
                <w:bCs/>
                <w:i/>
                <w:iCs/>
                <w:lang w:eastAsia="zh-CN"/>
              </w:rPr>
            </w:pPr>
            <w:r w:rsidRPr="00FA0D37">
              <w:rPr>
                <w:b/>
                <w:bCs/>
                <w:i/>
                <w:iCs/>
                <w:lang w:eastAsia="zh-CN"/>
              </w:rPr>
              <w:t>bfd-MeasRelaxationState</w:t>
            </w:r>
          </w:p>
          <w:p w14:paraId="2E287863" w14:textId="6A461FDD" w:rsidR="00B623BD" w:rsidRPr="00FA0D37" w:rsidRDefault="00B623BD" w:rsidP="00B623BD">
            <w:pPr>
              <w:pStyle w:val="TAL"/>
              <w:rPr>
                <w:b/>
                <w:bCs/>
                <w:i/>
                <w:iCs/>
                <w:lang w:eastAsia="zh-CN"/>
              </w:rPr>
            </w:pPr>
            <w:r w:rsidRPr="00FA0D37">
              <w:rPr>
                <w:lang w:eastAsia="en-GB"/>
              </w:rPr>
              <w:t>Indicates the relaxation state of BFD measurements. Each bit corresponds to a serving cell of the cell group. A serving cell is mapped to the (</w:t>
            </w:r>
            <w:r w:rsidRPr="00FA0D37">
              <w:rPr>
                <w:i/>
                <w:lang w:eastAsia="en-GB"/>
              </w:rPr>
              <w:t>servCellIndex</w:t>
            </w:r>
            <w:r w:rsidRPr="00FA0D37">
              <w:rPr>
                <w:lang w:eastAsia="en-GB"/>
              </w:rPr>
              <w:t xml:space="preserve">+1)-th bit, starting from MSB. A bit that is set to 1 indicates that the UE </w:t>
            </w:r>
            <w:r w:rsidR="003A3480" w:rsidRPr="00FA0D37">
              <w:rPr>
                <w:rFonts w:eastAsia="等线"/>
                <w:lang w:eastAsia="zh-CN"/>
              </w:rPr>
              <w:t xml:space="preserve">is </w:t>
            </w:r>
            <w:r w:rsidRPr="00FA0D37">
              <w:rPr>
                <w:lang w:eastAsia="en-GB"/>
              </w:rPr>
              <w:t>perform</w:t>
            </w:r>
            <w:r w:rsidR="003A3480" w:rsidRPr="00FA0D37">
              <w:rPr>
                <w:lang w:eastAsia="en-GB"/>
              </w:rPr>
              <w:t>ing</w:t>
            </w:r>
            <w:r w:rsidRPr="00FA0D37">
              <w:rPr>
                <w:lang w:eastAsia="en-GB"/>
              </w:rPr>
              <w:t xml:space="preserve"> BFD measurements relaxation on the serving cell mapped on the bit. A bit that is set to 0 indicates that the UE </w:t>
            </w:r>
            <w:r w:rsidR="003A3480" w:rsidRPr="00FA0D37">
              <w:rPr>
                <w:rFonts w:eastAsia="等线"/>
                <w:lang w:eastAsia="zh-CN"/>
              </w:rPr>
              <w:t>is</w:t>
            </w:r>
            <w:r w:rsidR="003A3480" w:rsidRPr="00FA0D37">
              <w:rPr>
                <w:lang w:eastAsia="en-GB"/>
              </w:rPr>
              <w:t xml:space="preserve"> </w:t>
            </w:r>
            <w:r w:rsidRPr="00FA0D37">
              <w:rPr>
                <w:lang w:eastAsia="en-GB"/>
              </w:rPr>
              <w:t>not perform</w:t>
            </w:r>
            <w:r w:rsidR="003A3480" w:rsidRPr="00FA0D37">
              <w:rPr>
                <w:lang w:eastAsia="en-GB"/>
              </w:rPr>
              <w:t>ing</w:t>
            </w:r>
            <w:r w:rsidRPr="00FA0D37">
              <w:rPr>
                <w:lang w:eastAsia="en-GB"/>
              </w:rPr>
              <w:t xml:space="preserve"> BFD measurements relaxation on the serving cell mapped on the bit.</w:t>
            </w:r>
            <w:r w:rsidR="003A3480" w:rsidRPr="00FA0D37">
              <w:rPr>
                <w:rFonts w:eastAsia="等线"/>
                <w:lang w:eastAsia="zh-CN"/>
              </w:rPr>
              <w:t xml:space="preserve"> </w:t>
            </w:r>
            <w:r w:rsidR="00967A72" w:rsidRPr="00FA0D37">
              <w:rPr>
                <w:rFonts w:eastAsia="等线"/>
                <w:lang w:eastAsia="zh-CN"/>
              </w:rPr>
              <w:t>I</w:t>
            </w:r>
            <w:r w:rsidR="003A3480" w:rsidRPr="00FA0D37">
              <w:rPr>
                <w:rFonts w:eastAsia="等线"/>
                <w:lang w:eastAsia="zh-CN"/>
              </w:rPr>
              <w:t>f a serving cell is not configured to the UE, the corresponding bit is set to 0.</w:t>
            </w:r>
          </w:p>
        </w:tc>
      </w:tr>
      <w:tr w:rsidR="005C7FF4" w:rsidRPr="00FA0D37" w14:paraId="3D6008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99BDEF" w14:textId="77777777" w:rsidR="00394471" w:rsidRPr="00FA0D37" w:rsidRDefault="00394471" w:rsidP="00964CC4">
            <w:pPr>
              <w:pStyle w:val="TAL"/>
              <w:rPr>
                <w:szCs w:val="18"/>
                <w:lang w:eastAsia="ko-KR"/>
              </w:rPr>
            </w:pPr>
            <w:r w:rsidRPr="00FA0D37">
              <w:rPr>
                <w:b/>
                <w:bCs/>
                <w:i/>
                <w:iCs/>
                <w:lang w:eastAsia="zh-CN"/>
              </w:rPr>
              <w:t>delay</w:t>
            </w:r>
            <w:r w:rsidRPr="00FA0D37">
              <w:rPr>
                <w:b/>
                <w:bCs/>
                <w:i/>
                <w:iCs/>
                <w:lang w:eastAsia="ko-KR"/>
              </w:rPr>
              <w:t>Budget</w:t>
            </w:r>
            <w:r w:rsidRPr="00FA0D37">
              <w:rPr>
                <w:b/>
                <w:bCs/>
                <w:i/>
                <w:iCs/>
                <w:lang w:eastAsia="zh-CN"/>
              </w:rPr>
              <w:t>Report</w:t>
            </w:r>
          </w:p>
          <w:p w14:paraId="0B1846C7" w14:textId="77777777" w:rsidR="00394471" w:rsidRPr="00FA0D37" w:rsidRDefault="00394471" w:rsidP="00964CC4">
            <w:pPr>
              <w:pStyle w:val="TAL"/>
              <w:rPr>
                <w:b/>
                <w:i/>
                <w:noProof/>
                <w:lang w:eastAsia="en-GB"/>
              </w:rPr>
            </w:pPr>
            <w:r w:rsidRPr="00FA0D37">
              <w:rPr>
                <w:lang w:eastAsia="en-GB"/>
              </w:rPr>
              <w:t>Indicates the UE-preferred adjustment to connected mode DRX.</w:t>
            </w:r>
          </w:p>
        </w:tc>
      </w:tr>
      <w:tr w:rsidR="005C7FF4" w:rsidRPr="00FA0D37" w14:paraId="3F094F0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99A28" w14:textId="77777777" w:rsidR="00394471" w:rsidRPr="00FA0D37" w:rsidRDefault="00394471" w:rsidP="00964CC4">
            <w:pPr>
              <w:pStyle w:val="TAL"/>
              <w:rPr>
                <w:b/>
                <w:i/>
                <w:lang w:eastAsia="en-GB"/>
              </w:rPr>
            </w:pPr>
            <w:r w:rsidRPr="00FA0D37">
              <w:rPr>
                <w:b/>
                <w:i/>
                <w:lang w:eastAsia="zh-CN"/>
              </w:rPr>
              <w:t>interferenceDirection</w:t>
            </w:r>
          </w:p>
          <w:p w14:paraId="44DBCB0B" w14:textId="77777777" w:rsidR="00394471" w:rsidRPr="00FA0D37" w:rsidRDefault="00394471" w:rsidP="00964CC4">
            <w:pPr>
              <w:pStyle w:val="TAL"/>
              <w:rPr>
                <w:b/>
                <w:bCs/>
                <w:i/>
                <w:iCs/>
                <w:lang w:eastAsia="zh-CN"/>
              </w:rPr>
            </w:pPr>
            <w:r w:rsidRPr="00FA0D37">
              <w:rPr>
                <w:lang w:eastAsia="zh-CN"/>
              </w:rPr>
              <w:t xml:space="preserve">Indicates the direction of IDC interference. Value </w:t>
            </w:r>
            <w:r w:rsidRPr="00FA0D37">
              <w:rPr>
                <w:i/>
                <w:lang w:eastAsia="zh-CN"/>
              </w:rPr>
              <w:t>nr</w:t>
            </w:r>
            <w:r w:rsidRPr="00FA0D37">
              <w:rPr>
                <w:lang w:eastAsia="zh-CN"/>
              </w:rPr>
              <w:t xml:space="preserve"> indicates that only NR is victim of IDC interference, value </w:t>
            </w:r>
            <w:r w:rsidRPr="00FA0D37">
              <w:rPr>
                <w:i/>
                <w:lang w:eastAsia="zh-CN"/>
              </w:rPr>
              <w:t>other</w:t>
            </w:r>
            <w:r w:rsidRPr="00FA0D37">
              <w:rPr>
                <w:lang w:eastAsia="zh-CN"/>
              </w:rPr>
              <w:t xml:space="preserve"> indicates that only another radio is victim of IDC interference and value </w:t>
            </w:r>
            <w:r w:rsidRPr="00FA0D37">
              <w:rPr>
                <w:i/>
                <w:iCs/>
                <w:lang w:eastAsia="zh-CN"/>
              </w:rPr>
              <w:t>both</w:t>
            </w:r>
            <w:r w:rsidRPr="00FA0D37">
              <w:rPr>
                <w:lang w:eastAsia="zh-CN"/>
              </w:rPr>
              <w:t xml:space="preserve"> indicates that both NR and another radio are victims of IDC interference. The other radio refers to either the ISM radio or GNSS (see TR 36.816 [44]).</w:t>
            </w:r>
          </w:p>
        </w:tc>
      </w:tr>
      <w:tr w:rsidR="005C7FF4" w:rsidRPr="00FA0D37" w14:paraId="5D782C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9E6D1D" w14:textId="77777777" w:rsidR="00394471" w:rsidRPr="00FA0D37" w:rsidRDefault="00394471" w:rsidP="00964CC4">
            <w:pPr>
              <w:pStyle w:val="TAL"/>
              <w:rPr>
                <w:b/>
                <w:i/>
                <w:lang w:eastAsia="sv-SE"/>
              </w:rPr>
            </w:pPr>
            <w:r w:rsidRPr="00FA0D37">
              <w:rPr>
                <w:b/>
                <w:i/>
                <w:lang w:eastAsia="sv-SE"/>
              </w:rPr>
              <w:t>minSchedulingOffsetPreference</w:t>
            </w:r>
          </w:p>
          <w:p w14:paraId="24CCBCEA" w14:textId="77777777" w:rsidR="00394471" w:rsidRPr="00FA0D37" w:rsidRDefault="00394471" w:rsidP="00964CC4">
            <w:pPr>
              <w:pStyle w:val="TAL"/>
              <w:rPr>
                <w:b/>
                <w:bCs/>
                <w:i/>
                <w:iCs/>
                <w:lang w:eastAsia="zh-CN"/>
              </w:rPr>
            </w:pPr>
            <w:r w:rsidRPr="00FA0D37">
              <w:rPr>
                <w:lang w:eastAsia="sv-SE"/>
              </w:rPr>
              <w:t xml:space="preserve">Indicates the UE's preferences on </w:t>
            </w:r>
            <w:r w:rsidRPr="00FA0D37">
              <w:rPr>
                <w:i/>
                <w:lang w:eastAsia="sv-SE"/>
              </w:rPr>
              <w:t>minimumSchedulingOffset</w:t>
            </w:r>
            <w:r w:rsidRPr="00FA0D37">
              <w:rPr>
                <w:lang w:eastAsia="sv-SE"/>
              </w:rPr>
              <w:t xml:space="preserve"> of cross-slot scheduling for power saving.</w:t>
            </w:r>
          </w:p>
        </w:tc>
      </w:tr>
      <w:tr w:rsidR="005C7FF4" w:rsidRPr="00FA0D37" w14:paraId="1540FA35"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C96B3B" w14:textId="77777777" w:rsidR="006C501F" w:rsidRPr="00FA0D37" w:rsidRDefault="006C501F" w:rsidP="000830BB">
            <w:pPr>
              <w:pStyle w:val="TAL"/>
              <w:rPr>
                <w:b/>
                <w:bCs/>
                <w:i/>
                <w:iCs/>
                <w:lang w:eastAsia="sv-SE"/>
              </w:rPr>
            </w:pPr>
            <w:r w:rsidRPr="00FA0D37">
              <w:rPr>
                <w:b/>
                <w:bCs/>
                <w:i/>
                <w:iCs/>
                <w:lang w:eastAsia="sv-SE"/>
              </w:rPr>
              <w:t>minSchedulingOffsetPreferenceExt</w:t>
            </w:r>
          </w:p>
          <w:p w14:paraId="27236E08" w14:textId="77777777" w:rsidR="006C501F" w:rsidRPr="00FA0D37" w:rsidRDefault="006C501F" w:rsidP="000830BB">
            <w:pPr>
              <w:pStyle w:val="TAL"/>
              <w:rPr>
                <w:bCs/>
                <w:iCs/>
                <w:lang w:eastAsia="zh-CN"/>
              </w:rPr>
            </w:pPr>
            <w:r w:rsidRPr="00FA0D37">
              <w:rPr>
                <w:lang w:eastAsia="sv-SE"/>
              </w:rPr>
              <w:t xml:space="preserve">Indicates the UE's preferences on </w:t>
            </w:r>
            <w:r w:rsidRPr="00FA0D37">
              <w:rPr>
                <w:i/>
                <w:iCs/>
                <w:lang w:eastAsia="sv-SE"/>
              </w:rPr>
              <w:t>minimumSchedulingOffset</w:t>
            </w:r>
            <w:r w:rsidRPr="00FA0D37">
              <w:rPr>
                <w:lang w:eastAsia="sv-SE"/>
              </w:rPr>
              <w:t xml:space="preserve"> of cross-slot scheduling for power saving for SCS 480 kHz and/or 960 kHz.</w:t>
            </w:r>
          </w:p>
        </w:tc>
      </w:tr>
      <w:tr w:rsidR="005C7FF4" w:rsidRPr="00FA0D37" w14:paraId="7408669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27F1B5E0" w14:textId="77777777" w:rsidR="003E1312" w:rsidRPr="00FA0D37" w:rsidRDefault="003E1312" w:rsidP="003E1312">
            <w:pPr>
              <w:pStyle w:val="TAL"/>
              <w:rPr>
                <w:b/>
                <w:i/>
                <w:lang w:eastAsia="sv-SE"/>
              </w:rPr>
            </w:pPr>
            <w:r w:rsidRPr="00FA0D37">
              <w:rPr>
                <w:b/>
                <w:i/>
                <w:lang w:eastAsia="sv-SE"/>
              </w:rPr>
              <w:t>musim-GapPreferenceList</w:t>
            </w:r>
          </w:p>
          <w:p w14:paraId="540F8FB1" w14:textId="4E6741D2" w:rsidR="00D21E0F" w:rsidRPr="00FA0D37" w:rsidRDefault="0005611B" w:rsidP="003E1312">
            <w:pPr>
              <w:pStyle w:val="TAL"/>
              <w:rPr>
                <w:bCs/>
                <w:iCs/>
                <w:lang w:eastAsia="sv-SE"/>
              </w:rPr>
            </w:pPr>
            <w:r w:rsidRPr="00FA0D37">
              <w:rPr>
                <w:bCs/>
                <w:iCs/>
                <w:lang w:eastAsia="sv-SE"/>
              </w:rPr>
              <w:t>Indicates the UE</w:t>
            </w:r>
            <w:r w:rsidR="005A5831" w:rsidRPr="00FA0D37">
              <w:rPr>
                <w:bCs/>
                <w:iCs/>
                <w:lang w:eastAsia="sv-SE"/>
              </w:rPr>
              <w:t>'s</w:t>
            </w:r>
            <w:r w:rsidRPr="00FA0D37">
              <w:rPr>
                <w:bCs/>
                <w:iCs/>
                <w:lang w:eastAsia="sv-SE"/>
              </w:rPr>
              <w:t xml:space="preserve"> MUSIM gap preference and related MUSIM gap configuration, as defined in TS 38.133 [14] </w:t>
            </w:r>
            <w:r w:rsidR="00FF79B1" w:rsidRPr="00FA0D37">
              <w:t>clause</w:t>
            </w:r>
            <w:r w:rsidRPr="00FA0D37">
              <w:t xml:space="preserve"> 9.1.</w:t>
            </w:r>
            <w:r w:rsidR="005A5831" w:rsidRPr="00FA0D37">
              <w:t>10</w:t>
            </w:r>
            <w:r w:rsidRPr="00FA0D37">
              <w:rPr>
                <w:bCs/>
                <w:iCs/>
                <w:lang w:eastAsia="sv-SE"/>
              </w:rPr>
              <w:t>.</w:t>
            </w:r>
          </w:p>
        </w:tc>
      </w:tr>
      <w:tr w:rsidR="005C7FF4" w:rsidRPr="00FA0D37" w14:paraId="5B009F5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16E1D72E" w14:textId="6C5718EA" w:rsidR="003E1312" w:rsidRPr="00FA0D37" w:rsidRDefault="003E1312" w:rsidP="003E1312">
            <w:pPr>
              <w:pStyle w:val="TAL"/>
              <w:rPr>
                <w:b/>
                <w:i/>
                <w:lang w:eastAsia="sv-SE"/>
              </w:rPr>
            </w:pPr>
            <w:r w:rsidRPr="00FA0D37">
              <w:rPr>
                <w:b/>
                <w:i/>
                <w:lang w:eastAsia="sv-SE"/>
              </w:rPr>
              <w:t>musim-PreferredRRC-State</w:t>
            </w:r>
          </w:p>
          <w:p w14:paraId="75230195" w14:textId="17451660" w:rsidR="00D21E0F" w:rsidRPr="00FA0D37" w:rsidRDefault="003E1312" w:rsidP="003E1312">
            <w:pPr>
              <w:pStyle w:val="TAL"/>
              <w:rPr>
                <w:bCs/>
                <w:iCs/>
                <w:lang w:eastAsia="sv-SE"/>
              </w:rPr>
            </w:pPr>
            <w:r w:rsidRPr="00FA0D37">
              <w:rPr>
                <w:bCs/>
                <w:iCs/>
                <w:lang w:eastAsia="sv-SE"/>
              </w:rPr>
              <w:t>Indicates the UE</w:t>
            </w:r>
            <w:r w:rsidR="00D537E2" w:rsidRPr="00FA0D37">
              <w:rPr>
                <w:bCs/>
                <w:iCs/>
                <w:lang w:eastAsia="sv-SE"/>
              </w:rPr>
              <w:t>'</w:t>
            </w:r>
            <w:r w:rsidRPr="00FA0D37">
              <w:rPr>
                <w:bCs/>
                <w:iCs/>
                <w:lang w:eastAsia="sv-SE"/>
              </w:rPr>
              <w:t>s preferred RRC state when leaving RRC_CONNECTED.</w:t>
            </w:r>
          </w:p>
        </w:tc>
      </w:tr>
      <w:tr w:rsidR="005C7FF4" w:rsidRPr="00FA0D37" w:rsidDel="0005611B" w14:paraId="1DF632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20D6EB58" w14:textId="77777777" w:rsidR="00337B3E" w:rsidRPr="00FA0D37" w:rsidRDefault="00337B3E" w:rsidP="00337B3E">
            <w:pPr>
              <w:pStyle w:val="TAL"/>
              <w:rPr>
                <w:b/>
                <w:i/>
                <w:lang w:eastAsia="zh-CN"/>
              </w:rPr>
            </w:pPr>
            <w:r w:rsidRPr="00FA0D37">
              <w:rPr>
                <w:b/>
                <w:i/>
                <w:lang w:eastAsia="zh-CN"/>
              </w:rPr>
              <w:t>nonSDT-DataIndication</w:t>
            </w:r>
          </w:p>
          <w:p w14:paraId="0B1E2175" w14:textId="561EE567" w:rsidR="00337B3E" w:rsidRPr="00FA0D37" w:rsidDel="0005611B" w:rsidRDefault="00337B3E" w:rsidP="00337B3E">
            <w:pPr>
              <w:pStyle w:val="TAL"/>
              <w:rPr>
                <w:b/>
                <w:i/>
                <w:lang w:eastAsia="sv-SE"/>
              </w:rPr>
            </w:pPr>
            <w:r w:rsidRPr="00FA0D37">
              <w:t xml:space="preserve">Informs the network about the arrival of data and/or signaling mapped to radio bearers not configured for SDT while </w:t>
            </w:r>
            <w:r w:rsidR="007D3EDC" w:rsidRPr="00FA0D37">
              <w:t>SDT procedure is ongoing</w:t>
            </w:r>
            <w:r w:rsidRPr="00FA0D37">
              <w:t>.</w:t>
            </w:r>
          </w:p>
        </w:tc>
      </w:tr>
      <w:tr w:rsidR="005C7FF4" w:rsidRPr="00FA0D37" w14:paraId="2E1799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504659" w14:textId="77777777" w:rsidR="00394471" w:rsidRPr="00FA0D37" w:rsidRDefault="00394471" w:rsidP="00964CC4">
            <w:pPr>
              <w:pStyle w:val="TAL"/>
              <w:rPr>
                <w:szCs w:val="18"/>
                <w:lang w:eastAsia="sv-SE"/>
              </w:rPr>
            </w:pPr>
            <w:r w:rsidRPr="00FA0D37">
              <w:rPr>
                <w:b/>
                <w:bCs/>
                <w:i/>
                <w:iCs/>
                <w:lang w:eastAsia="zh-CN"/>
              </w:rPr>
              <w:t>preferredDRX-InactivityTimer</w:t>
            </w:r>
          </w:p>
          <w:p w14:paraId="30A7BD58" w14:textId="3238FA86" w:rsidR="00394471" w:rsidRPr="00FA0D37" w:rsidRDefault="00394471" w:rsidP="00964CC4">
            <w:pPr>
              <w:pStyle w:val="TAL"/>
              <w:rPr>
                <w:b/>
                <w:i/>
                <w:lang w:eastAsia="sv-SE"/>
              </w:rPr>
            </w:pPr>
            <w:r w:rsidRPr="00FA0D37">
              <w:rPr>
                <w:lang w:eastAsia="en-GB"/>
              </w:rPr>
              <w:t xml:space="preserve">Indicates the UE's preferred </w:t>
            </w:r>
            <w:r w:rsidRPr="00FA0D37">
              <w:rPr>
                <w:lang w:eastAsia="ko-KR"/>
              </w:rPr>
              <w:t>DRX inactivity timer length for power saving</w:t>
            </w:r>
            <w:r w:rsidRPr="00FA0D37">
              <w:rPr>
                <w:lang w:eastAsia="en-GB"/>
              </w:rPr>
              <w:t xml:space="preserve">. Value in ms (milliSecond). </w:t>
            </w:r>
            <w:r w:rsidRPr="00FA0D37">
              <w:rPr>
                <w:i/>
                <w:lang w:eastAsia="en-GB"/>
              </w:rPr>
              <w:t>ms0</w:t>
            </w:r>
            <w:r w:rsidRPr="00FA0D37">
              <w:rPr>
                <w:lang w:eastAsia="en-GB"/>
              </w:rPr>
              <w:t xml:space="preserve"> corresponds to 0, </w:t>
            </w:r>
            <w:r w:rsidRPr="00FA0D37">
              <w:rPr>
                <w:i/>
                <w:lang w:eastAsia="en-GB"/>
              </w:rPr>
              <w:t>ms1</w:t>
            </w:r>
            <w:r w:rsidRPr="00FA0D37">
              <w:rPr>
                <w:lang w:eastAsia="en-GB"/>
              </w:rPr>
              <w:t xml:space="preserve"> corresponds to 1 ms, </w:t>
            </w:r>
            <w:r w:rsidRPr="00FA0D37">
              <w:rPr>
                <w:i/>
                <w:lang w:eastAsia="en-GB"/>
              </w:rPr>
              <w:t>ms2</w:t>
            </w:r>
            <w:r w:rsidRPr="00FA0D37">
              <w:rPr>
                <w:lang w:eastAsia="en-GB"/>
              </w:rPr>
              <w:t xml:space="preserve"> corresponds to 2 ms, and so on. If the field is absent from the </w:t>
            </w:r>
            <w:r w:rsidRPr="00FA0D37">
              <w:rPr>
                <w:i/>
              </w:rPr>
              <w:t>DRX-Preference</w:t>
            </w:r>
            <w:r w:rsidRPr="00FA0D37">
              <w:t xml:space="preserve"> IE</w:t>
            </w:r>
            <w:r w:rsidRPr="00FA0D37">
              <w:rPr>
                <w:lang w:eastAsia="en-GB"/>
              </w:rPr>
              <w:t>, it is interpreted as the UE having no preference for the DRX inactivity timer.</w:t>
            </w:r>
            <w:r w:rsidR="00261BA1" w:rsidRPr="00FA0D37">
              <w:rPr>
                <w:lang w:eastAsia="en-GB"/>
              </w:rPr>
              <w:t xml:space="preserve"> If secondary DRX group is configured</w:t>
            </w:r>
            <w:r w:rsidR="00261BA1" w:rsidRPr="00FA0D37">
              <w:rPr>
                <w:rFonts w:eastAsiaTheme="minorEastAsia"/>
                <w:lang w:eastAsia="zh-CN"/>
              </w:rPr>
              <w:t>,</w:t>
            </w:r>
            <w:r w:rsidR="00261BA1" w:rsidRPr="00FA0D37">
              <w:rPr>
                <w:lang w:eastAsia="en-GB"/>
              </w:rPr>
              <w:t xml:space="preserve"> the </w:t>
            </w:r>
            <w:r w:rsidR="00261BA1" w:rsidRPr="00FA0D37">
              <w:rPr>
                <w:i/>
                <w:lang w:eastAsia="en-GB"/>
              </w:rPr>
              <w:t>preferredDRX-InactivityTimer</w:t>
            </w:r>
            <w:r w:rsidR="00261BA1" w:rsidRPr="00FA0D37">
              <w:rPr>
                <w:lang w:eastAsia="en-GB"/>
              </w:rPr>
              <w:t xml:space="preserve"> only applies to </w:t>
            </w:r>
            <w:r w:rsidR="00261BA1" w:rsidRPr="00FA0D37">
              <w:rPr>
                <w:rFonts w:eastAsiaTheme="minorEastAsia"/>
                <w:lang w:eastAsia="zh-CN"/>
              </w:rPr>
              <w:t xml:space="preserve">the </w:t>
            </w:r>
            <w:r w:rsidR="00261BA1" w:rsidRPr="00FA0D37">
              <w:rPr>
                <w:lang w:eastAsia="en-GB"/>
              </w:rPr>
              <w:t>default DRX group.</w:t>
            </w:r>
          </w:p>
        </w:tc>
      </w:tr>
      <w:tr w:rsidR="005C7FF4" w:rsidRPr="00FA0D37" w14:paraId="0AAE1E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764BEF" w14:textId="77777777" w:rsidR="00394471" w:rsidRPr="00FA0D37" w:rsidRDefault="00394471" w:rsidP="00964CC4">
            <w:pPr>
              <w:pStyle w:val="TAL"/>
              <w:rPr>
                <w:szCs w:val="18"/>
                <w:lang w:eastAsia="sv-SE"/>
              </w:rPr>
            </w:pPr>
            <w:r w:rsidRPr="00FA0D37">
              <w:rPr>
                <w:b/>
                <w:bCs/>
                <w:i/>
                <w:iCs/>
                <w:lang w:eastAsia="zh-CN"/>
              </w:rPr>
              <w:t>preferredDRX-LongCycle</w:t>
            </w:r>
          </w:p>
          <w:p w14:paraId="074C06D0" w14:textId="77777777" w:rsidR="00394471" w:rsidRPr="00FA0D37" w:rsidRDefault="00394471" w:rsidP="00964CC4">
            <w:pPr>
              <w:pStyle w:val="TAL"/>
              <w:rPr>
                <w:b/>
                <w:i/>
                <w:lang w:eastAsia="sv-SE"/>
              </w:rPr>
            </w:pPr>
            <w:r w:rsidRPr="00FA0D37">
              <w:rPr>
                <w:lang w:eastAsia="en-GB"/>
              </w:rPr>
              <w:t xml:space="preserve">Indicates the UE's preferred </w:t>
            </w:r>
            <w:r w:rsidRPr="00FA0D37">
              <w:rPr>
                <w:lang w:eastAsia="ko-KR"/>
              </w:rPr>
              <w:t>long DRX cycle length for power saving</w:t>
            </w:r>
            <w:r w:rsidRPr="00FA0D37">
              <w:rPr>
                <w:lang w:eastAsia="en-GB"/>
              </w:rPr>
              <w:t xml:space="preserve">. Value in ms. </w:t>
            </w:r>
            <w:r w:rsidRPr="00FA0D37">
              <w:rPr>
                <w:i/>
                <w:lang w:eastAsia="en-GB"/>
              </w:rPr>
              <w:t>ms10</w:t>
            </w:r>
            <w:r w:rsidRPr="00FA0D37">
              <w:rPr>
                <w:lang w:eastAsia="en-GB"/>
              </w:rPr>
              <w:t xml:space="preserve"> corresponds to 10ms, </w:t>
            </w:r>
            <w:r w:rsidRPr="00FA0D37">
              <w:rPr>
                <w:i/>
                <w:lang w:eastAsia="en-GB"/>
              </w:rPr>
              <w:t>ms20</w:t>
            </w:r>
            <w:r w:rsidRPr="00FA0D37">
              <w:rPr>
                <w:lang w:eastAsia="en-GB"/>
              </w:rPr>
              <w:t xml:space="preserve"> corresponds to 20 ms, </w:t>
            </w:r>
            <w:r w:rsidRPr="00FA0D37">
              <w:rPr>
                <w:i/>
                <w:lang w:eastAsia="en-GB"/>
              </w:rPr>
              <w:t>ms32</w:t>
            </w:r>
            <w:r w:rsidRPr="00FA0D37">
              <w:rPr>
                <w:lang w:eastAsia="en-GB"/>
              </w:rPr>
              <w:t xml:space="preserve"> corresponds to 32 ms, and so on. </w:t>
            </w:r>
            <w:r w:rsidRPr="00FA0D37">
              <w:rPr>
                <w:szCs w:val="22"/>
                <w:lang w:eastAsia="sv-SE"/>
              </w:rPr>
              <w:t xml:space="preserve">If </w:t>
            </w:r>
            <w:r w:rsidRPr="00FA0D37">
              <w:rPr>
                <w:i/>
                <w:lang w:eastAsia="en-GB"/>
              </w:rPr>
              <w:t>preferredDRX-ShortCycle</w:t>
            </w:r>
            <w:r w:rsidRPr="00FA0D37">
              <w:rPr>
                <w:lang w:eastAsia="en-GB"/>
              </w:rPr>
              <w:t xml:space="preserve"> </w:t>
            </w:r>
            <w:r w:rsidRPr="00FA0D37">
              <w:rPr>
                <w:szCs w:val="22"/>
                <w:lang w:eastAsia="sv-SE"/>
              </w:rPr>
              <w:t xml:space="preserve">is provided, the value of </w:t>
            </w:r>
            <w:r w:rsidRPr="00FA0D37">
              <w:rPr>
                <w:i/>
                <w:lang w:eastAsia="en-GB"/>
              </w:rPr>
              <w:t>preferredDRX-LongCycle</w:t>
            </w:r>
            <w:r w:rsidRPr="00FA0D37">
              <w:rPr>
                <w:lang w:eastAsia="en-GB"/>
              </w:rPr>
              <w:t xml:space="preserve"> </w:t>
            </w:r>
            <w:r w:rsidRPr="00FA0D37">
              <w:rPr>
                <w:szCs w:val="22"/>
                <w:lang w:eastAsia="sv-SE"/>
              </w:rPr>
              <w:t xml:space="preserve">shall be a multiple of the </w:t>
            </w:r>
            <w:r w:rsidRPr="00FA0D37">
              <w:rPr>
                <w:i/>
                <w:lang w:eastAsia="en-GB"/>
              </w:rPr>
              <w:t>preferredDRX-ShortCycle</w:t>
            </w:r>
            <w:r w:rsidRPr="00FA0D37">
              <w:rPr>
                <w:lang w:eastAsia="en-GB"/>
              </w:rPr>
              <w:t xml:space="preserve"> </w:t>
            </w:r>
            <w:r w:rsidRPr="00FA0D37">
              <w:rPr>
                <w:szCs w:val="22"/>
                <w:lang w:eastAsia="sv-SE"/>
              </w:rPr>
              <w:t>value.</w:t>
            </w:r>
            <w:r w:rsidRPr="00FA0D37">
              <w:rPr>
                <w:lang w:eastAsia="en-GB"/>
              </w:rPr>
              <w:t xml:space="preserve"> If the field is absent from the </w:t>
            </w:r>
            <w:r w:rsidRPr="00FA0D37">
              <w:rPr>
                <w:i/>
              </w:rPr>
              <w:t>DRX-Preference</w:t>
            </w:r>
            <w:r w:rsidRPr="00FA0D37">
              <w:t xml:space="preserve"> IE</w:t>
            </w:r>
            <w:r w:rsidRPr="00FA0D37">
              <w:rPr>
                <w:lang w:eastAsia="en-GB"/>
              </w:rPr>
              <w:t>, it is interpreted as the UE having no preference for the long DRX cycle.</w:t>
            </w:r>
          </w:p>
        </w:tc>
      </w:tr>
      <w:tr w:rsidR="005C7FF4" w:rsidRPr="00FA0D37" w14:paraId="2CF8BB0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C66CD1" w14:textId="77777777" w:rsidR="00394471" w:rsidRPr="00FA0D37" w:rsidRDefault="00394471" w:rsidP="00964CC4">
            <w:pPr>
              <w:pStyle w:val="TAL"/>
              <w:rPr>
                <w:szCs w:val="18"/>
                <w:lang w:eastAsia="sv-SE"/>
              </w:rPr>
            </w:pPr>
            <w:r w:rsidRPr="00FA0D37">
              <w:rPr>
                <w:b/>
                <w:bCs/>
                <w:i/>
                <w:iCs/>
                <w:lang w:eastAsia="zh-CN"/>
              </w:rPr>
              <w:t>preferredDRX-ShortCycle</w:t>
            </w:r>
          </w:p>
          <w:p w14:paraId="5B497ACC" w14:textId="77777777" w:rsidR="00394471" w:rsidRPr="00FA0D37" w:rsidRDefault="00394471" w:rsidP="00964CC4">
            <w:pPr>
              <w:pStyle w:val="TAL"/>
              <w:rPr>
                <w:b/>
                <w:i/>
                <w:lang w:eastAsia="sv-SE"/>
              </w:rPr>
            </w:pPr>
            <w:r w:rsidRPr="00FA0D37">
              <w:rPr>
                <w:lang w:eastAsia="en-GB"/>
              </w:rPr>
              <w:t xml:space="preserve">Indicates the UE's preferred </w:t>
            </w:r>
            <w:r w:rsidRPr="00FA0D37">
              <w:rPr>
                <w:lang w:eastAsia="ko-KR"/>
              </w:rPr>
              <w:t>short DRX cycle length for power saving</w:t>
            </w:r>
            <w:r w:rsidRPr="00FA0D37">
              <w:rPr>
                <w:lang w:eastAsia="en-GB"/>
              </w:rPr>
              <w:t xml:space="preserve">. Value in ms. </w:t>
            </w:r>
            <w:r w:rsidRPr="00FA0D37">
              <w:rPr>
                <w:i/>
                <w:lang w:eastAsia="en-GB"/>
              </w:rPr>
              <w:t>ms2</w:t>
            </w:r>
            <w:r w:rsidRPr="00FA0D37">
              <w:rPr>
                <w:lang w:eastAsia="en-GB"/>
              </w:rPr>
              <w:t xml:space="preserve"> corresponds to 2ms, </w:t>
            </w:r>
            <w:r w:rsidRPr="00FA0D37">
              <w:rPr>
                <w:i/>
                <w:lang w:eastAsia="en-GB"/>
              </w:rPr>
              <w:t>ms3</w:t>
            </w:r>
            <w:r w:rsidRPr="00FA0D37">
              <w:rPr>
                <w:lang w:eastAsia="en-GB"/>
              </w:rPr>
              <w:t xml:space="preserve"> corresponds to 3 ms, </w:t>
            </w:r>
            <w:r w:rsidRPr="00FA0D37">
              <w:rPr>
                <w:i/>
                <w:lang w:eastAsia="en-GB"/>
              </w:rPr>
              <w:t>ms4</w:t>
            </w:r>
            <w:r w:rsidRPr="00FA0D37">
              <w:rPr>
                <w:lang w:eastAsia="en-GB"/>
              </w:rPr>
              <w:t xml:space="preserve"> corresponds to 4 ms, and so on. If the field is absent from the </w:t>
            </w:r>
            <w:r w:rsidRPr="00FA0D37">
              <w:rPr>
                <w:i/>
              </w:rPr>
              <w:t>DRX-Preference</w:t>
            </w:r>
            <w:r w:rsidRPr="00FA0D37">
              <w:t xml:space="preserve"> IE</w:t>
            </w:r>
            <w:r w:rsidRPr="00FA0D37">
              <w:rPr>
                <w:lang w:eastAsia="en-GB"/>
              </w:rPr>
              <w:t>, it is interpreted as the UE having no preference for the short DRX cycle.</w:t>
            </w:r>
          </w:p>
        </w:tc>
      </w:tr>
      <w:tr w:rsidR="005C7FF4" w:rsidRPr="00FA0D37" w14:paraId="7E17916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BC9FE" w14:textId="77777777" w:rsidR="00394471" w:rsidRPr="00FA0D37" w:rsidRDefault="00394471" w:rsidP="00964CC4">
            <w:pPr>
              <w:pStyle w:val="TAL"/>
              <w:rPr>
                <w:szCs w:val="18"/>
                <w:lang w:eastAsia="sv-SE"/>
              </w:rPr>
            </w:pPr>
            <w:r w:rsidRPr="00FA0D37">
              <w:rPr>
                <w:b/>
                <w:bCs/>
                <w:i/>
                <w:iCs/>
                <w:lang w:eastAsia="zh-CN"/>
              </w:rPr>
              <w:t>preferredDRX-ShortCycleTimer</w:t>
            </w:r>
          </w:p>
          <w:p w14:paraId="73F0F5EE" w14:textId="77777777" w:rsidR="00394471" w:rsidRPr="00FA0D37" w:rsidRDefault="00394471" w:rsidP="00964CC4">
            <w:pPr>
              <w:pStyle w:val="TAL"/>
              <w:rPr>
                <w:b/>
                <w:i/>
                <w:lang w:eastAsia="sv-SE"/>
              </w:rPr>
            </w:pPr>
            <w:r w:rsidRPr="00FA0D37">
              <w:rPr>
                <w:lang w:eastAsia="en-GB"/>
              </w:rPr>
              <w:t xml:space="preserve">Indicates the UE's preferred </w:t>
            </w:r>
            <w:r w:rsidRPr="00FA0D37">
              <w:rPr>
                <w:lang w:eastAsia="ko-KR"/>
              </w:rPr>
              <w:t>short DRX cycle timer for power saving</w:t>
            </w:r>
            <w:r w:rsidRPr="00FA0D37">
              <w:rPr>
                <w:lang w:eastAsia="en-GB"/>
              </w:rPr>
              <w:t xml:space="preserve">. Value in multiples of </w:t>
            </w:r>
            <w:r w:rsidRPr="00FA0D37">
              <w:rPr>
                <w:i/>
                <w:lang w:eastAsia="en-GB"/>
              </w:rPr>
              <w:t>preferredDRX-ShortCycle</w:t>
            </w:r>
            <w:r w:rsidRPr="00FA0D37">
              <w:rPr>
                <w:lang w:eastAsia="en-GB"/>
              </w:rPr>
              <w:t xml:space="preserve">. A value of 1 corresponds to </w:t>
            </w:r>
            <w:r w:rsidRPr="00FA0D37">
              <w:rPr>
                <w:i/>
                <w:lang w:eastAsia="en-GB"/>
              </w:rPr>
              <w:t>preferredDRX-ShortCycle</w:t>
            </w:r>
            <w:r w:rsidRPr="00FA0D37">
              <w:rPr>
                <w:lang w:eastAsia="en-GB"/>
              </w:rPr>
              <w:t xml:space="preserve">, a value of 2 corresponds to 2 * </w:t>
            </w:r>
            <w:r w:rsidRPr="00FA0D37">
              <w:rPr>
                <w:i/>
                <w:lang w:eastAsia="en-GB"/>
              </w:rPr>
              <w:t>preferredDRX-ShortCycle</w:t>
            </w:r>
            <w:r w:rsidRPr="00FA0D37">
              <w:rPr>
                <w:lang w:eastAsia="en-GB"/>
              </w:rPr>
              <w:t xml:space="preserve"> and so on. If the field is absent from the </w:t>
            </w:r>
            <w:r w:rsidRPr="00FA0D37">
              <w:rPr>
                <w:i/>
              </w:rPr>
              <w:t>DRX-Preference</w:t>
            </w:r>
            <w:r w:rsidRPr="00FA0D37">
              <w:t xml:space="preserve"> IE</w:t>
            </w:r>
            <w:r w:rsidRPr="00FA0D37">
              <w:rPr>
                <w:lang w:eastAsia="en-GB"/>
              </w:rPr>
              <w:t>, it is interpreted as the UE having no preference for the short DRX cycle timer. A preference for the short DRX cycle is indicated when a preference for the short DRX cycle timer is indicated.</w:t>
            </w:r>
          </w:p>
        </w:tc>
      </w:tr>
      <w:tr w:rsidR="005C7FF4" w:rsidRPr="00FA0D37" w14:paraId="2BD208B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357C4" w14:textId="77777777" w:rsidR="00394471" w:rsidRPr="00FA0D37" w:rsidRDefault="00394471" w:rsidP="00964CC4">
            <w:pPr>
              <w:pStyle w:val="TAL"/>
              <w:rPr>
                <w:szCs w:val="18"/>
                <w:lang w:eastAsia="sv-SE"/>
              </w:rPr>
            </w:pPr>
            <w:r w:rsidRPr="00FA0D37">
              <w:rPr>
                <w:b/>
                <w:bCs/>
                <w:i/>
                <w:iCs/>
                <w:lang w:eastAsia="zh-CN"/>
              </w:rPr>
              <w:lastRenderedPageBreak/>
              <w:t>preferredK0</w:t>
            </w:r>
          </w:p>
          <w:p w14:paraId="71BAF190" w14:textId="77777777" w:rsidR="00394471" w:rsidRPr="00FA0D37" w:rsidRDefault="00394471" w:rsidP="00964CC4">
            <w:pPr>
              <w:pStyle w:val="TAL"/>
              <w:rPr>
                <w:b/>
                <w:bCs/>
                <w:i/>
                <w:iCs/>
                <w:lang w:eastAsia="zh-CN"/>
              </w:rPr>
            </w:pPr>
            <w:r w:rsidRPr="00FA0D37">
              <w:rPr>
                <w:lang w:eastAsia="en-GB"/>
              </w:rPr>
              <w:t xml:space="preserve">Indicates the UE's preferred value of </w:t>
            </w:r>
            <w:r w:rsidRPr="00FA0D37">
              <w:rPr>
                <w:i/>
                <w:lang w:eastAsia="en-GB"/>
              </w:rPr>
              <w:t>k0</w:t>
            </w:r>
            <w:r w:rsidRPr="00FA0D37">
              <w:rPr>
                <w:lang w:eastAsia="en-GB"/>
              </w:rPr>
              <w:t xml:space="preserve"> (</w:t>
            </w:r>
            <w:r w:rsidRPr="00FA0D37">
              <w:rPr>
                <w:szCs w:val="22"/>
                <w:lang w:eastAsia="sv-SE"/>
              </w:rPr>
              <w:t>slot offset between DCI and its scheduled PDSCH - see TS 38.214 [19], clause 5.1.2.1</w:t>
            </w:r>
            <w:r w:rsidRPr="00FA0D37">
              <w:rPr>
                <w:lang w:eastAsia="en-GB"/>
              </w:rPr>
              <w:t>) for cross-slot scheduling</w:t>
            </w:r>
            <w:r w:rsidRPr="00FA0D37">
              <w:rPr>
                <w:lang w:eastAsia="ko-KR"/>
              </w:rPr>
              <w:t xml:space="preserve"> for power saving</w:t>
            </w:r>
            <w:r w:rsidRPr="00FA0D37">
              <w:rPr>
                <w:lang w:eastAsia="en-GB"/>
              </w:rPr>
              <w:t>.</w:t>
            </w:r>
            <w:r w:rsidRPr="00FA0D37">
              <w:rPr>
                <w:lang w:eastAsia="sv-SE"/>
              </w:rPr>
              <w:t xml:space="preserve"> Value is defined for each subcarrier spacing (numerology) in units of slots. </w:t>
            </w:r>
            <w:r w:rsidRPr="00FA0D37">
              <w:rPr>
                <w:i/>
                <w:lang w:eastAsia="sv-SE"/>
              </w:rPr>
              <w:t>sl1</w:t>
            </w:r>
            <w:r w:rsidRPr="00FA0D37">
              <w:rPr>
                <w:lang w:eastAsia="sv-SE"/>
              </w:rPr>
              <w:t xml:space="preserve"> corresponds to 1 slot, </w:t>
            </w:r>
            <w:r w:rsidRPr="00FA0D37">
              <w:rPr>
                <w:i/>
                <w:lang w:eastAsia="sv-SE"/>
              </w:rPr>
              <w:t>sl2</w:t>
            </w:r>
            <w:r w:rsidRPr="00FA0D37">
              <w:rPr>
                <w:lang w:eastAsia="sv-SE"/>
              </w:rPr>
              <w:t xml:space="preserve"> corresponds to 2 slots, </w:t>
            </w:r>
            <w:r w:rsidRPr="00FA0D37">
              <w:rPr>
                <w:i/>
                <w:lang w:eastAsia="sv-SE"/>
              </w:rPr>
              <w:t>sl4</w:t>
            </w:r>
            <w:r w:rsidRPr="00FA0D37">
              <w:rPr>
                <w:lang w:eastAsia="sv-SE"/>
              </w:rPr>
              <w:t xml:space="preserve"> corresponds to 4 slots, and so on.</w:t>
            </w:r>
            <w:r w:rsidRPr="00FA0D37">
              <w:rPr>
                <w:lang w:eastAsia="en-GB"/>
              </w:rPr>
              <w:t xml:space="preserve"> If a value for a subcarrier spacing is absent, it is interpreted as the UE having no preference on </w:t>
            </w:r>
            <w:r w:rsidRPr="00FA0D37">
              <w:rPr>
                <w:i/>
                <w:lang w:eastAsia="en-GB"/>
              </w:rPr>
              <w:t>k0</w:t>
            </w:r>
            <w:r w:rsidRPr="00FA0D37">
              <w:rPr>
                <w:lang w:eastAsia="en-GB"/>
              </w:rPr>
              <w:t xml:space="preserve"> for cross-slot scheduling for that subcarrier spacing. If the field is absent from the </w:t>
            </w:r>
            <w:r w:rsidRPr="00FA0D37">
              <w:rPr>
                <w:i/>
              </w:rPr>
              <w:t xml:space="preserve">MinSchedulingOffsetPreference </w:t>
            </w:r>
            <w:r w:rsidRPr="00FA0D37">
              <w:t>IE</w:t>
            </w:r>
            <w:r w:rsidRPr="00FA0D37">
              <w:rPr>
                <w:lang w:eastAsia="en-GB"/>
              </w:rPr>
              <w:t xml:space="preserve">, it is interpreted as the UE having no preference on </w:t>
            </w:r>
            <w:r w:rsidRPr="00FA0D37">
              <w:rPr>
                <w:i/>
                <w:lang w:eastAsia="en-GB"/>
              </w:rPr>
              <w:t>k0</w:t>
            </w:r>
            <w:r w:rsidRPr="00FA0D37">
              <w:rPr>
                <w:lang w:eastAsia="en-GB"/>
              </w:rPr>
              <w:t xml:space="preserve"> for cross-slot scheduling.</w:t>
            </w:r>
          </w:p>
        </w:tc>
      </w:tr>
      <w:tr w:rsidR="005C7FF4" w:rsidRPr="00FA0D37" w14:paraId="6797500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A5216F" w14:textId="77777777" w:rsidR="00394471" w:rsidRPr="00FA0D37" w:rsidRDefault="00394471" w:rsidP="00964CC4">
            <w:pPr>
              <w:pStyle w:val="TAL"/>
              <w:rPr>
                <w:szCs w:val="18"/>
                <w:lang w:eastAsia="sv-SE"/>
              </w:rPr>
            </w:pPr>
            <w:r w:rsidRPr="00FA0D37">
              <w:rPr>
                <w:b/>
                <w:bCs/>
                <w:i/>
                <w:iCs/>
                <w:lang w:eastAsia="zh-CN"/>
              </w:rPr>
              <w:t>preferredK2</w:t>
            </w:r>
          </w:p>
          <w:p w14:paraId="610067B4" w14:textId="77777777" w:rsidR="00394471" w:rsidRPr="00FA0D37" w:rsidRDefault="00394471" w:rsidP="00964CC4">
            <w:pPr>
              <w:pStyle w:val="TAL"/>
              <w:rPr>
                <w:b/>
                <w:bCs/>
                <w:i/>
                <w:iCs/>
                <w:lang w:eastAsia="zh-CN"/>
              </w:rPr>
            </w:pPr>
            <w:r w:rsidRPr="00FA0D37">
              <w:rPr>
                <w:lang w:eastAsia="en-GB"/>
              </w:rPr>
              <w:t xml:space="preserve">Indicates the UE's preferred value of </w:t>
            </w:r>
            <w:r w:rsidRPr="00FA0D37">
              <w:rPr>
                <w:i/>
                <w:lang w:eastAsia="en-GB"/>
              </w:rPr>
              <w:t>k2</w:t>
            </w:r>
            <w:r w:rsidRPr="00FA0D37">
              <w:rPr>
                <w:lang w:eastAsia="en-GB"/>
              </w:rPr>
              <w:t xml:space="preserve"> (</w:t>
            </w:r>
            <w:r w:rsidRPr="00FA0D37">
              <w:rPr>
                <w:szCs w:val="22"/>
                <w:lang w:eastAsia="sv-SE"/>
              </w:rPr>
              <w:t>slot offset between DCI and its scheduled PUSCH - see TS 38.214 [19], clause 6.1.2.1</w:t>
            </w:r>
            <w:r w:rsidRPr="00FA0D37">
              <w:rPr>
                <w:lang w:eastAsia="en-GB"/>
              </w:rPr>
              <w:t>) for cross-slot scheduling</w:t>
            </w:r>
            <w:r w:rsidRPr="00FA0D37">
              <w:rPr>
                <w:lang w:eastAsia="ko-KR"/>
              </w:rPr>
              <w:t xml:space="preserve"> for power saving</w:t>
            </w:r>
            <w:r w:rsidRPr="00FA0D37">
              <w:rPr>
                <w:lang w:eastAsia="en-GB"/>
              </w:rPr>
              <w:t>.</w:t>
            </w:r>
            <w:r w:rsidRPr="00FA0D37">
              <w:rPr>
                <w:lang w:eastAsia="sv-SE"/>
              </w:rPr>
              <w:t xml:space="preserve"> Value is defined for each subcarrier spacing (numerology) in units of slots. </w:t>
            </w:r>
            <w:r w:rsidRPr="00FA0D37">
              <w:rPr>
                <w:i/>
                <w:lang w:eastAsia="sv-SE"/>
              </w:rPr>
              <w:t>sl1</w:t>
            </w:r>
            <w:r w:rsidRPr="00FA0D37">
              <w:rPr>
                <w:lang w:eastAsia="sv-SE"/>
              </w:rPr>
              <w:t xml:space="preserve"> corresponds to 1 slot, </w:t>
            </w:r>
            <w:r w:rsidRPr="00FA0D37">
              <w:rPr>
                <w:i/>
                <w:lang w:eastAsia="sv-SE"/>
              </w:rPr>
              <w:t>sl2</w:t>
            </w:r>
            <w:r w:rsidRPr="00FA0D37">
              <w:rPr>
                <w:lang w:eastAsia="sv-SE"/>
              </w:rPr>
              <w:t xml:space="preserve"> corresponds to 2 slots, </w:t>
            </w:r>
            <w:r w:rsidRPr="00FA0D37">
              <w:rPr>
                <w:i/>
                <w:lang w:eastAsia="sv-SE"/>
              </w:rPr>
              <w:t>sl4</w:t>
            </w:r>
            <w:r w:rsidRPr="00FA0D37">
              <w:rPr>
                <w:lang w:eastAsia="sv-SE"/>
              </w:rPr>
              <w:t xml:space="preserve"> corresponds to 4 slots, and so on.</w:t>
            </w:r>
            <w:r w:rsidRPr="00FA0D37">
              <w:rPr>
                <w:lang w:eastAsia="en-GB"/>
              </w:rPr>
              <w:t xml:space="preserve"> If a value for a subcarrier spacing is absent, it is interpreted as the UE having no preference on </w:t>
            </w:r>
            <w:r w:rsidRPr="00FA0D37">
              <w:rPr>
                <w:i/>
                <w:lang w:eastAsia="en-GB"/>
              </w:rPr>
              <w:t>k2</w:t>
            </w:r>
            <w:r w:rsidRPr="00FA0D37">
              <w:rPr>
                <w:lang w:eastAsia="en-GB"/>
              </w:rPr>
              <w:t xml:space="preserve"> for cross-slot scheduling for that subcarrier spacing. If the field is absent from the </w:t>
            </w:r>
            <w:r w:rsidRPr="00FA0D37">
              <w:rPr>
                <w:i/>
              </w:rPr>
              <w:t xml:space="preserve">MinSchedulingOffsetPreference </w:t>
            </w:r>
            <w:r w:rsidRPr="00FA0D37">
              <w:t>IE</w:t>
            </w:r>
            <w:r w:rsidRPr="00FA0D37">
              <w:rPr>
                <w:lang w:eastAsia="en-GB"/>
              </w:rPr>
              <w:t xml:space="preserve">, it is interpreted as the UE having no preference on </w:t>
            </w:r>
            <w:r w:rsidRPr="00FA0D37">
              <w:rPr>
                <w:i/>
                <w:lang w:eastAsia="en-GB"/>
              </w:rPr>
              <w:t>k2</w:t>
            </w:r>
            <w:r w:rsidRPr="00FA0D37">
              <w:rPr>
                <w:lang w:eastAsia="en-GB"/>
              </w:rPr>
              <w:t xml:space="preserve"> for cross-slot scheduling.</w:t>
            </w:r>
          </w:p>
        </w:tc>
      </w:tr>
      <w:tr w:rsidR="005C7FF4" w:rsidRPr="00FA0D37" w14:paraId="24531B0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E75054" w14:textId="77777777" w:rsidR="00394471" w:rsidRPr="00FA0D37" w:rsidRDefault="00394471" w:rsidP="00964CC4">
            <w:pPr>
              <w:pStyle w:val="TAL"/>
              <w:rPr>
                <w:rFonts w:eastAsia="MS Mincho"/>
                <w:b/>
                <w:bCs/>
                <w:i/>
                <w:iCs/>
                <w:noProof/>
                <w:lang w:eastAsia="sv-SE"/>
              </w:rPr>
            </w:pPr>
            <w:r w:rsidRPr="00FA0D37">
              <w:rPr>
                <w:rFonts w:eastAsia="MS Mincho"/>
                <w:b/>
                <w:bCs/>
                <w:i/>
                <w:iCs/>
                <w:noProof/>
                <w:lang w:eastAsia="sv-SE"/>
              </w:rPr>
              <w:t>preferredRRC-State</w:t>
            </w:r>
          </w:p>
          <w:p w14:paraId="6F016A2C" w14:textId="77777777" w:rsidR="00394471" w:rsidRPr="00FA0D37" w:rsidRDefault="00394471" w:rsidP="00964CC4">
            <w:pPr>
              <w:pStyle w:val="TAL"/>
              <w:rPr>
                <w:rFonts w:eastAsia="MS Mincho"/>
                <w:noProof/>
                <w:lang w:eastAsia="en-GB"/>
              </w:rPr>
            </w:pPr>
            <w:r w:rsidRPr="00FA0D37">
              <w:rPr>
                <w:lang w:eastAsia="en-GB"/>
              </w:rPr>
              <w:t xml:space="preserve">Indicates the UE's preferred RRC state. The value </w:t>
            </w:r>
            <w:r w:rsidRPr="00FA0D37">
              <w:rPr>
                <w:i/>
              </w:rPr>
              <w:t>idle</w:t>
            </w:r>
            <w:r w:rsidRPr="00FA0D37">
              <w:t xml:space="preserve"> is indicated if the UE prefers to be released from RRC_CONNECTED and transition to RRC_IDLE. </w:t>
            </w:r>
            <w:r w:rsidRPr="00FA0D37">
              <w:rPr>
                <w:lang w:eastAsia="en-GB"/>
              </w:rPr>
              <w:t xml:space="preserve">The value </w:t>
            </w:r>
            <w:r w:rsidRPr="00FA0D37">
              <w:rPr>
                <w:i/>
              </w:rPr>
              <w:t>inactive</w:t>
            </w:r>
            <w:r w:rsidRPr="00FA0D37">
              <w:t xml:space="preserve"> is indicated if the UE prefers to be released from RRC_CONNECTED and transition to RRC_INACTIVE.</w:t>
            </w:r>
            <w:r w:rsidRPr="00FA0D37">
              <w:rPr>
                <w:lang w:eastAsia="en-GB"/>
              </w:rPr>
              <w:t xml:space="preserve"> The value </w:t>
            </w:r>
            <w:r w:rsidRPr="00FA0D37">
              <w:rPr>
                <w:i/>
                <w:lang w:eastAsia="sv-SE"/>
              </w:rPr>
              <w:t>connected</w:t>
            </w:r>
            <w:r w:rsidRPr="00FA0D37">
              <w:rPr>
                <w:lang w:eastAsia="sv-SE"/>
              </w:rPr>
              <w:t xml:space="preserve"> is indicated if the UE prefers to </w:t>
            </w:r>
            <w:r w:rsidRPr="00FA0D37">
              <w:t xml:space="preserve">revert an earlier indication to leave </w:t>
            </w:r>
            <w:r w:rsidRPr="00FA0D37">
              <w:rPr>
                <w:lang w:eastAsia="en-GB"/>
              </w:rPr>
              <w:t>RRC_CONNECTED state</w:t>
            </w:r>
            <w:r w:rsidRPr="00FA0D37">
              <w:rPr>
                <w:lang w:eastAsia="sv-SE"/>
              </w:rPr>
              <w:t xml:space="preserve">. </w:t>
            </w:r>
            <w:r w:rsidRPr="00FA0D37">
              <w:rPr>
                <w:lang w:eastAsia="en-GB"/>
              </w:rPr>
              <w:t xml:space="preserve">The value </w:t>
            </w:r>
            <w:r w:rsidRPr="00FA0D37">
              <w:rPr>
                <w:i/>
              </w:rPr>
              <w:t>outOfConnected</w:t>
            </w:r>
            <w:r w:rsidRPr="00FA0D37">
              <w:t xml:space="preserve"> is indicated if the UE prefers to be released from RRC_CONNECTED and has no preferred RRC state to transition to</w:t>
            </w:r>
            <w:r w:rsidRPr="00FA0D37">
              <w:rPr>
                <w:lang w:eastAsia="sv-SE"/>
              </w:rPr>
              <w:t>.</w:t>
            </w:r>
            <w:r w:rsidRPr="00FA0D37">
              <w:t xml:space="preserve"> </w:t>
            </w:r>
            <w:r w:rsidRPr="00FA0D37">
              <w:rPr>
                <w:lang w:eastAsia="en-GB"/>
              </w:rPr>
              <w:t xml:space="preserve">The value </w:t>
            </w:r>
            <w:r w:rsidRPr="00FA0D37">
              <w:rPr>
                <w:i/>
              </w:rPr>
              <w:t>connected</w:t>
            </w:r>
            <w:r w:rsidRPr="00FA0D37">
              <w:t xml:space="preserve"> can only be indicated if the UE is configured with </w:t>
            </w:r>
            <w:r w:rsidRPr="00FA0D37">
              <w:rPr>
                <w:i/>
              </w:rPr>
              <w:t>connectedReporting</w:t>
            </w:r>
            <w:r w:rsidRPr="00FA0D37">
              <w:t>.</w:t>
            </w:r>
          </w:p>
        </w:tc>
      </w:tr>
      <w:tr w:rsidR="005C7FF4" w:rsidRPr="00FA0D37" w14:paraId="598DE22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BAFA299" w14:textId="77777777" w:rsidR="00150266" w:rsidRPr="00FA0D37" w:rsidRDefault="00150266" w:rsidP="00150266">
            <w:pPr>
              <w:pStyle w:val="TAL"/>
              <w:rPr>
                <w:b/>
                <w:i/>
                <w:szCs w:val="18"/>
                <w:lang w:eastAsia="sv-SE"/>
              </w:rPr>
            </w:pPr>
            <w:r w:rsidRPr="00FA0D37">
              <w:rPr>
                <w:b/>
                <w:i/>
                <w:szCs w:val="18"/>
                <w:lang w:eastAsia="sv-SE"/>
              </w:rPr>
              <w:t>propagationDelayDifference</w:t>
            </w:r>
          </w:p>
          <w:p w14:paraId="32AE08A1" w14:textId="4515357E" w:rsidR="00150266" w:rsidRPr="00FA0D37" w:rsidRDefault="00150266" w:rsidP="00150266">
            <w:pPr>
              <w:pStyle w:val="TAL"/>
              <w:rPr>
                <w:rFonts w:eastAsia="MS Mincho"/>
                <w:b/>
                <w:bCs/>
                <w:i/>
                <w:iCs/>
                <w:noProof/>
                <w:lang w:eastAsia="sv-SE"/>
              </w:rPr>
            </w:pPr>
            <w:r w:rsidRPr="00FA0D37">
              <w:rPr>
                <w:szCs w:val="18"/>
                <w:lang w:eastAsia="sv-SE"/>
              </w:rPr>
              <w:t xml:space="preserve">Indicates the </w:t>
            </w:r>
            <w:r w:rsidR="007311BD" w:rsidRPr="00FA0D37">
              <w:rPr>
                <w:szCs w:val="18"/>
                <w:lang w:eastAsia="sv-SE"/>
              </w:rPr>
              <w:t xml:space="preserve">one-way </w:t>
            </w:r>
            <w:r w:rsidRPr="00FA0D37">
              <w:rPr>
                <w:szCs w:val="18"/>
                <w:lang w:eastAsia="sv-SE"/>
              </w:rPr>
              <w:t xml:space="preserve">service link propagation delay difference between serving cell and each neighbour cell included in </w:t>
            </w:r>
            <w:r w:rsidRPr="00FA0D37">
              <w:rPr>
                <w:i/>
                <w:szCs w:val="18"/>
                <w:lang w:eastAsia="sv-SE"/>
              </w:rPr>
              <w:t xml:space="preserve">neighCellInfoList, </w:t>
            </w:r>
            <w:r w:rsidRPr="00FA0D37">
              <w:rPr>
                <w:szCs w:val="18"/>
                <w:lang w:eastAsia="sv-SE"/>
              </w:rPr>
              <w:t>defined as neighbour cell</w:t>
            </w:r>
            <w:r w:rsidR="00743BF8" w:rsidRPr="00FA0D37">
              <w:rPr>
                <w:szCs w:val="18"/>
                <w:lang w:eastAsia="sv-SE"/>
              </w:rPr>
              <w:t>'</w:t>
            </w:r>
            <w:r w:rsidRPr="00FA0D37">
              <w:rPr>
                <w:szCs w:val="18"/>
                <w:lang w:eastAsia="sv-SE"/>
              </w:rPr>
              <w:t>s service link propagation delay minus serving cell</w:t>
            </w:r>
            <w:r w:rsidR="00743BF8" w:rsidRPr="00FA0D37">
              <w:rPr>
                <w:szCs w:val="18"/>
                <w:lang w:eastAsia="sv-SE"/>
              </w:rPr>
              <w:t>'</w:t>
            </w:r>
            <w:r w:rsidRPr="00FA0D37">
              <w:rPr>
                <w:szCs w:val="18"/>
                <w:lang w:eastAsia="sv-SE"/>
              </w:rPr>
              <w:t xml:space="preserve">s service link propagation delay, in number of ms. First entry in </w:t>
            </w:r>
            <w:r w:rsidRPr="00FA0D37">
              <w:rPr>
                <w:i/>
                <w:szCs w:val="18"/>
                <w:lang w:eastAsia="sv-SE"/>
              </w:rPr>
              <w:t>propagationDelayDifference</w:t>
            </w:r>
            <w:r w:rsidRPr="00FA0D37">
              <w:rPr>
                <w:szCs w:val="18"/>
                <w:lang w:eastAsia="sv-SE"/>
              </w:rPr>
              <w:t xml:space="preserve"> corresponds to first entry in </w:t>
            </w:r>
            <w:r w:rsidRPr="00FA0D37">
              <w:rPr>
                <w:i/>
                <w:szCs w:val="18"/>
                <w:lang w:eastAsia="sv-SE"/>
              </w:rPr>
              <w:t>neighCellInfoList</w:t>
            </w:r>
            <w:r w:rsidRPr="00FA0D37">
              <w:rPr>
                <w:szCs w:val="18"/>
                <w:lang w:eastAsia="sv-SE"/>
              </w:rPr>
              <w:t xml:space="preserve">, second entry in </w:t>
            </w:r>
            <w:r w:rsidRPr="00FA0D37">
              <w:rPr>
                <w:i/>
                <w:szCs w:val="18"/>
                <w:lang w:eastAsia="sv-SE"/>
              </w:rPr>
              <w:t>propagationDelayDifference</w:t>
            </w:r>
            <w:r w:rsidRPr="00FA0D37">
              <w:rPr>
                <w:szCs w:val="18"/>
                <w:lang w:eastAsia="sv-SE"/>
              </w:rPr>
              <w:t xml:space="preserve"> corresponds to second entry in </w:t>
            </w:r>
            <w:r w:rsidRPr="00FA0D37">
              <w:rPr>
                <w:i/>
                <w:szCs w:val="18"/>
                <w:lang w:eastAsia="sv-SE"/>
              </w:rPr>
              <w:t>neighCellInfoList</w:t>
            </w:r>
            <w:r w:rsidRPr="00FA0D37">
              <w:rPr>
                <w:szCs w:val="18"/>
                <w:lang w:eastAsia="sv-SE"/>
              </w:rPr>
              <w:t>, and so on.</w:t>
            </w:r>
          </w:p>
        </w:tc>
      </w:tr>
      <w:tr w:rsidR="005C7FF4" w:rsidRPr="00FA0D37" w14:paraId="2BCFE20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4013D7" w14:textId="066C199A" w:rsidR="00394471" w:rsidRPr="00FA0D37" w:rsidRDefault="00394471" w:rsidP="00964CC4">
            <w:pPr>
              <w:pStyle w:val="TAL"/>
              <w:rPr>
                <w:b/>
                <w:i/>
                <w:lang w:eastAsia="sv-SE"/>
              </w:rPr>
            </w:pPr>
            <w:r w:rsidRPr="00FA0D37">
              <w:rPr>
                <w:b/>
                <w:i/>
                <w:lang w:eastAsia="sv-SE"/>
              </w:rPr>
              <w:t>reduced</w:t>
            </w:r>
            <w:r w:rsidR="00654402" w:rsidRPr="00FA0D37">
              <w:rPr>
                <w:b/>
                <w:i/>
                <w:lang w:eastAsia="sv-SE"/>
              </w:rPr>
              <w:t>Max</w:t>
            </w:r>
            <w:r w:rsidRPr="00FA0D37">
              <w:rPr>
                <w:b/>
                <w:i/>
                <w:lang w:eastAsia="sv-SE"/>
              </w:rPr>
              <w:t>BW-FR1</w:t>
            </w:r>
          </w:p>
          <w:p w14:paraId="6C45D919" w14:textId="77777777" w:rsidR="00394471" w:rsidRPr="00FA0D37" w:rsidRDefault="00394471" w:rsidP="00964CC4">
            <w:pPr>
              <w:pStyle w:val="TAL"/>
              <w:rPr>
                <w:lang w:eastAsia="en-GB"/>
              </w:rPr>
            </w:pPr>
            <w:r w:rsidRPr="00FA0D37">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sidRPr="00FA0D37">
              <w:rPr>
                <w:noProof/>
                <w:lang w:eastAsia="sv-SE"/>
              </w:rPr>
              <w:t xml:space="preserve">activated </w:t>
            </w:r>
            <w:r w:rsidRPr="00FA0D37">
              <w:rPr>
                <w:lang w:eastAsia="en-GB"/>
              </w:rPr>
              <w:t xml:space="preserve">downlink carrier(s) of FR1. The aggregated bandwidth across all uplink carrier(s) of FR1 is the sum of bandwidth of active uplink BWP(s) across all </w:t>
            </w:r>
            <w:r w:rsidRPr="00FA0D37">
              <w:rPr>
                <w:noProof/>
              </w:rPr>
              <w:t xml:space="preserve">activated </w:t>
            </w:r>
            <w:r w:rsidRPr="00FA0D37">
              <w:rPr>
                <w:lang w:eastAsia="en-GB"/>
              </w:rPr>
              <w:t xml:space="preserve">uplink carrier(s) of FR1. If the field is absent from the </w:t>
            </w:r>
            <w:r w:rsidRPr="00FA0D37">
              <w:rPr>
                <w:i/>
              </w:rPr>
              <w:t xml:space="preserve">MaxBW-Preference </w:t>
            </w:r>
            <w:r w:rsidRPr="00FA0D37">
              <w:t xml:space="preserve">IE or the </w:t>
            </w:r>
            <w:r w:rsidRPr="00FA0D37">
              <w:rPr>
                <w:i/>
              </w:rPr>
              <w:t>OverheatingAssistance</w:t>
            </w:r>
            <w:r w:rsidRPr="00FA0D37">
              <w:t xml:space="preserve"> IE</w:t>
            </w:r>
            <w:r w:rsidRPr="00FA0D37">
              <w:rPr>
                <w:lang w:eastAsia="en-GB"/>
              </w:rPr>
              <w:t>, it is interpreted as the UE having no preference on the maximum aggregated bandwidth of FR1.</w:t>
            </w:r>
          </w:p>
          <w:p w14:paraId="4EA6848D" w14:textId="77777777" w:rsidR="00394471" w:rsidRPr="00FA0D37" w:rsidRDefault="00394471" w:rsidP="00964CC4">
            <w:pPr>
              <w:pStyle w:val="TAL"/>
              <w:rPr>
                <w:lang w:eastAsia="en-GB"/>
              </w:rPr>
            </w:pPr>
            <w:r w:rsidRPr="00FA0D37">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sidRPr="00FA0D37">
              <w:rPr>
                <w:i/>
                <w:lang w:eastAsia="en-GB"/>
              </w:rPr>
              <w:t>mhz0</w:t>
            </w:r>
            <w:r w:rsidRPr="00FA0D37">
              <w:rPr>
                <w:lang w:eastAsia="en-GB"/>
              </w:rPr>
              <w:t xml:space="preserve"> is not used when indicated to address overheating.</w:t>
            </w:r>
          </w:p>
          <w:p w14:paraId="6537E16C" w14:textId="77777777" w:rsidR="00394471" w:rsidRPr="00FA0D37" w:rsidRDefault="00394471" w:rsidP="00964CC4">
            <w:pPr>
              <w:pStyle w:val="TAL"/>
              <w:rPr>
                <w:lang w:eastAsia="sv-SE"/>
              </w:rPr>
            </w:pPr>
            <w:r w:rsidRPr="00FA0D37">
              <w:rPr>
                <w:lang w:eastAsia="en-GB"/>
              </w:rPr>
              <w:t xml:space="preserve">When indicated to address power saving, this maximum aggregated bandwidth includes carrier(s) of FR1 of the cell group that </w:t>
            </w:r>
            <w:r w:rsidRPr="00FA0D37">
              <w:t>this UE assistance information is associated with</w:t>
            </w:r>
            <w:r w:rsidRPr="00FA0D37">
              <w:rPr>
                <w:lang w:eastAsia="en-GB"/>
              </w:rPr>
              <w:t>. The aggregated bandwidth can only range up to the current active configuration when indicated to address power savings.</w:t>
            </w:r>
          </w:p>
        </w:tc>
      </w:tr>
      <w:tr w:rsidR="005C7FF4" w:rsidRPr="00FA0D37" w14:paraId="7318A4A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1EC855" w14:textId="68C612C9" w:rsidR="00394471" w:rsidRPr="00FA0D37" w:rsidRDefault="00394471" w:rsidP="00964CC4">
            <w:pPr>
              <w:pStyle w:val="TAL"/>
              <w:rPr>
                <w:b/>
                <w:i/>
                <w:lang w:eastAsia="sv-SE"/>
              </w:rPr>
            </w:pPr>
            <w:r w:rsidRPr="00FA0D37">
              <w:rPr>
                <w:b/>
                <w:i/>
                <w:lang w:eastAsia="sv-SE"/>
              </w:rPr>
              <w:t>reduced</w:t>
            </w:r>
            <w:r w:rsidR="00654402" w:rsidRPr="00FA0D37">
              <w:rPr>
                <w:b/>
                <w:i/>
                <w:lang w:eastAsia="sv-SE"/>
              </w:rPr>
              <w:t>Max</w:t>
            </w:r>
            <w:r w:rsidRPr="00FA0D37">
              <w:rPr>
                <w:b/>
                <w:i/>
                <w:lang w:eastAsia="sv-SE"/>
              </w:rPr>
              <w:t>BW-FR2</w:t>
            </w:r>
          </w:p>
          <w:p w14:paraId="74F86202" w14:textId="0A05022C" w:rsidR="00394471" w:rsidRPr="00FA0D37" w:rsidRDefault="00394471" w:rsidP="00964CC4">
            <w:pPr>
              <w:pStyle w:val="TAL"/>
              <w:rPr>
                <w:lang w:eastAsia="en-GB"/>
              </w:rPr>
            </w:pPr>
            <w:r w:rsidRPr="00FA0D37">
              <w:rPr>
                <w:lang w:eastAsia="en-GB"/>
              </w:rPr>
              <w:t>Indicates the UE's preference on reduced configuration corresponding to the maximum aggregated bandwidth across all downlink carrier(s) and across all uplink carrier(s) of FR2</w:t>
            </w:r>
            <w:r w:rsidR="006C501F" w:rsidRPr="00FA0D37">
              <w:rPr>
                <w:lang w:eastAsia="en-GB"/>
              </w:rPr>
              <w:t>-1</w:t>
            </w:r>
            <w:r w:rsidRPr="00FA0D37">
              <w:rPr>
                <w:lang w:eastAsia="en-GB"/>
              </w:rPr>
              <w:t>, to address overheating or power saving. This field is allowed to be reported only when UE is configured with serving cell(s) operating on FR2</w:t>
            </w:r>
            <w:r w:rsidR="006C501F" w:rsidRPr="00FA0D37">
              <w:rPr>
                <w:lang w:eastAsia="en-GB"/>
              </w:rPr>
              <w:t>-1</w:t>
            </w:r>
            <w:r w:rsidRPr="00FA0D37">
              <w:rPr>
                <w:lang w:eastAsia="en-GB"/>
              </w:rPr>
              <w:t>.</w:t>
            </w:r>
            <w:r w:rsidRPr="00FA0D37">
              <w:rPr>
                <w:lang w:eastAsia="sv-SE"/>
              </w:rPr>
              <w:t xml:space="preserve"> </w:t>
            </w:r>
            <w:r w:rsidRPr="00FA0D37">
              <w:rPr>
                <w:lang w:eastAsia="en-GB"/>
              </w:rPr>
              <w:t>The aggregated bandwidth across all downlink carrier(s) of FR2</w:t>
            </w:r>
            <w:r w:rsidR="006C501F" w:rsidRPr="00FA0D37">
              <w:rPr>
                <w:lang w:eastAsia="en-GB"/>
              </w:rPr>
              <w:t>-1</w:t>
            </w:r>
            <w:r w:rsidRPr="00FA0D37">
              <w:rPr>
                <w:lang w:eastAsia="en-GB"/>
              </w:rPr>
              <w:t xml:space="preserve"> is the sum of bandwidth of active downlink BWP(s) across all </w:t>
            </w:r>
            <w:r w:rsidRPr="00FA0D37">
              <w:rPr>
                <w:noProof/>
                <w:lang w:eastAsia="sv-SE"/>
              </w:rPr>
              <w:t xml:space="preserve">activated </w:t>
            </w:r>
            <w:r w:rsidRPr="00FA0D37">
              <w:rPr>
                <w:lang w:eastAsia="en-GB"/>
              </w:rPr>
              <w:t>downlink carrier(s) of FR2</w:t>
            </w:r>
            <w:r w:rsidR="006C501F" w:rsidRPr="00FA0D37">
              <w:rPr>
                <w:lang w:eastAsia="en-GB"/>
              </w:rPr>
              <w:t>-1</w:t>
            </w:r>
            <w:r w:rsidRPr="00FA0D37">
              <w:rPr>
                <w:lang w:eastAsia="en-GB"/>
              </w:rPr>
              <w:t>. The aggregated bandwidth across all uplink carrier(s) of FR2</w:t>
            </w:r>
            <w:r w:rsidR="008D68AB" w:rsidRPr="00FA0D37">
              <w:rPr>
                <w:lang w:eastAsia="en-GB"/>
              </w:rPr>
              <w:t>-1</w:t>
            </w:r>
            <w:r w:rsidRPr="00FA0D37">
              <w:rPr>
                <w:lang w:eastAsia="en-GB"/>
              </w:rPr>
              <w:t xml:space="preserve"> is the sum of bandwidth of active uplink BWP(s) across all </w:t>
            </w:r>
            <w:r w:rsidRPr="00FA0D37">
              <w:rPr>
                <w:noProof/>
              </w:rPr>
              <w:t xml:space="preserve">activated </w:t>
            </w:r>
            <w:r w:rsidRPr="00FA0D37">
              <w:rPr>
                <w:lang w:eastAsia="en-GB"/>
              </w:rPr>
              <w:t>uplink carrier(s) of FR2</w:t>
            </w:r>
            <w:r w:rsidR="006C501F" w:rsidRPr="00FA0D37">
              <w:rPr>
                <w:lang w:eastAsia="en-GB"/>
              </w:rPr>
              <w:t>-1</w:t>
            </w:r>
            <w:r w:rsidRPr="00FA0D37">
              <w:rPr>
                <w:lang w:eastAsia="en-GB"/>
              </w:rPr>
              <w:t xml:space="preserve">. If the field is absent from the </w:t>
            </w:r>
            <w:r w:rsidRPr="00FA0D37">
              <w:rPr>
                <w:i/>
              </w:rPr>
              <w:t xml:space="preserve">MaxBW-Preference </w:t>
            </w:r>
            <w:r w:rsidRPr="00FA0D37">
              <w:t xml:space="preserve">IE or the </w:t>
            </w:r>
            <w:r w:rsidRPr="00FA0D37">
              <w:rPr>
                <w:i/>
              </w:rPr>
              <w:t>OverheatingAssistance</w:t>
            </w:r>
            <w:r w:rsidRPr="00FA0D37">
              <w:t xml:space="preserve"> IE</w:t>
            </w:r>
            <w:r w:rsidRPr="00FA0D37">
              <w:rPr>
                <w:lang w:eastAsia="en-GB"/>
              </w:rPr>
              <w:t>, it is interpreted as the UE having no preference on the maximum aggregated bandwidth of FR2</w:t>
            </w:r>
            <w:r w:rsidR="006C501F" w:rsidRPr="00FA0D37">
              <w:rPr>
                <w:lang w:eastAsia="en-GB"/>
              </w:rPr>
              <w:t>-1</w:t>
            </w:r>
            <w:r w:rsidRPr="00FA0D37">
              <w:rPr>
                <w:lang w:eastAsia="en-GB"/>
              </w:rPr>
              <w:t>.</w:t>
            </w:r>
          </w:p>
          <w:p w14:paraId="77D4CD9A" w14:textId="02F2CE23" w:rsidR="00394471" w:rsidRPr="00FA0D37" w:rsidRDefault="00394471" w:rsidP="00964CC4">
            <w:pPr>
              <w:pStyle w:val="TAL"/>
              <w:rPr>
                <w:lang w:eastAsia="en-GB"/>
              </w:rPr>
            </w:pPr>
            <w:r w:rsidRPr="00FA0D37">
              <w:rPr>
                <w:lang w:eastAsia="en-GB"/>
              </w:rPr>
              <w:t>When indicated to address overheating, this maximum aggregated bandwidth includes carrier(s)</w:t>
            </w:r>
            <w:r w:rsidRPr="00FA0D37">
              <w:t xml:space="preserve"> </w:t>
            </w:r>
            <w:r w:rsidRPr="00FA0D37">
              <w:rPr>
                <w:lang w:eastAsia="en-GB"/>
              </w:rPr>
              <w:t>of FR2</w:t>
            </w:r>
            <w:r w:rsidR="008D68AB" w:rsidRPr="00FA0D37">
              <w:rPr>
                <w:lang w:eastAsia="en-GB"/>
              </w:rPr>
              <w:t>-1</w:t>
            </w:r>
            <w:r w:rsidRPr="00FA0D37">
              <w:rPr>
                <w:lang w:eastAsia="en-GB"/>
              </w:rPr>
              <w:t xml:space="preserve"> of both the NR MCG and the NR SCG. This maximum aggregated bandwidth only includes carriers of FR2</w:t>
            </w:r>
            <w:r w:rsidR="006C501F" w:rsidRPr="00FA0D37">
              <w:rPr>
                <w:lang w:eastAsia="en-GB"/>
              </w:rPr>
              <w:t>-1</w:t>
            </w:r>
            <w:r w:rsidRPr="00FA0D37">
              <w:rPr>
                <w:lang w:eastAsia="en-GB"/>
              </w:rPr>
              <w:t xml:space="preserve"> of the SCG in (NG)EN-DC.</w:t>
            </w:r>
          </w:p>
          <w:p w14:paraId="39E075EC" w14:textId="57E8D371" w:rsidR="00394471" w:rsidRPr="00FA0D37" w:rsidRDefault="00394471" w:rsidP="00964CC4">
            <w:pPr>
              <w:pStyle w:val="TAL"/>
              <w:rPr>
                <w:lang w:eastAsia="sv-SE"/>
              </w:rPr>
            </w:pPr>
            <w:r w:rsidRPr="00FA0D37">
              <w:rPr>
                <w:lang w:eastAsia="en-GB"/>
              </w:rPr>
              <w:t>When indicated to address power saving, this maximum aggregated bandwidth includes carrier(s) of FR2</w:t>
            </w:r>
            <w:r w:rsidR="006C501F" w:rsidRPr="00FA0D37">
              <w:rPr>
                <w:lang w:eastAsia="en-GB"/>
              </w:rPr>
              <w:t>-1</w:t>
            </w:r>
            <w:r w:rsidRPr="00FA0D37">
              <w:rPr>
                <w:lang w:eastAsia="en-GB"/>
              </w:rPr>
              <w:t xml:space="preserve"> of the cell group that </w:t>
            </w:r>
            <w:r w:rsidRPr="00FA0D37">
              <w:t>this UE assistance information is associated with</w:t>
            </w:r>
            <w:r w:rsidRPr="00FA0D37">
              <w:rPr>
                <w:lang w:eastAsia="en-GB"/>
              </w:rPr>
              <w:t>. The aggregated bandwidth can only range up to the current active configuration when indicated to address power savings.</w:t>
            </w:r>
          </w:p>
        </w:tc>
      </w:tr>
      <w:tr w:rsidR="005C7FF4" w:rsidRPr="00FA0D37" w14:paraId="550BCBD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9077588" w14:textId="77777777" w:rsidR="006C501F" w:rsidRPr="00FA0D37" w:rsidRDefault="006C501F" w:rsidP="000830BB">
            <w:pPr>
              <w:pStyle w:val="TAL"/>
              <w:rPr>
                <w:b/>
                <w:bCs/>
                <w:i/>
                <w:iCs/>
                <w:lang w:eastAsia="sv-SE"/>
              </w:rPr>
            </w:pPr>
            <w:r w:rsidRPr="00FA0D37">
              <w:rPr>
                <w:b/>
                <w:bCs/>
                <w:i/>
                <w:iCs/>
                <w:lang w:eastAsia="sv-SE"/>
              </w:rPr>
              <w:lastRenderedPageBreak/>
              <w:t>reducedMaxBW-FR2-2</w:t>
            </w:r>
          </w:p>
          <w:p w14:paraId="2E34DDE4" w14:textId="6463C623" w:rsidR="006C501F" w:rsidRPr="00FA0D37" w:rsidRDefault="006C501F" w:rsidP="000830BB">
            <w:pPr>
              <w:pStyle w:val="TAL"/>
              <w:rPr>
                <w:lang w:eastAsia="en-GB"/>
              </w:rPr>
            </w:pPr>
            <w:r w:rsidRPr="00FA0D37">
              <w:rPr>
                <w:lang w:eastAsia="en-GB"/>
              </w:rPr>
              <w:t>Indicates the UE's preference on reduced configuration corresponding to the maximum aggregated bandwidth across all downlink carrier(s) and across all uplink carrier(s) of FR2-2, to address overheating or power saving. This field is allowed to be reported only when UE is configured with serving cell(s) operating on FR2-2.</w:t>
            </w:r>
            <w:r w:rsidRPr="00FA0D37">
              <w:rPr>
                <w:lang w:eastAsia="sv-SE"/>
              </w:rPr>
              <w:t xml:space="preserve"> </w:t>
            </w:r>
            <w:r w:rsidRPr="00FA0D37">
              <w:rPr>
                <w:lang w:eastAsia="en-GB"/>
              </w:rPr>
              <w:t xml:space="preserve">The aggregated bandwidth across all downlink carrier(s) of FR2-2 is the sum of bandwidth of active downlink BWP(s) across all </w:t>
            </w:r>
            <w:r w:rsidRPr="00FA0D37">
              <w:rPr>
                <w:noProof/>
                <w:lang w:eastAsia="sv-SE"/>
              </w:rPr>
              <w:t xml:space="preserve">activated </w:t>
            </w:r>
            <w:r w:rsidRPr="00FA0D37">
              <w:rPr>
                <w:lang w:eastAsia="en-GB"/>
              </w:rPr>
              <w:t xml:space="preserve">downlink carrier(s) of FR2-2. The aggregated bandwidth across all uplink carrier(s) of FR2-2 is the sum of bandwidth of active uplink BWP(s) across all </w:t>
            </w:r>
            <w:r w:rsidRPr="00FA0D37">
              <w:rPr>
                <w:noProof/>
              </w:rPr>
              <w:t xml:space="preserve">activated </w:t>
            </w:r>
            <w:r w:rsidRPr="00FA0D37">
              <w:rPr>
                <w:lang w:eastAsia="en-GB"/>
              </w:rPr>
              <w:t xml:space="preserve">uplink carrier(s) of FR2-2. If the field is absent from the </w:t>
            </w:r>
            <w:r w:rsidRPr="00FA0D37">
              <w:rPr>
                <w:i/>
                <w:iCs/>
              </w:rPr>
              <w:t>MaxBW-PreferenceFR2-2</w:t>
            </w:r>
            <w:r w:rsidRPr="00FA0D37">
              <w:t xml:space="preserve"> IE or the </w:t>
            </w:r>
            <w:r w:rsidRPr="00FA0D37">
              <w:rPr>
                <w:i/>
                <w:iCs/>
              </w:rPr>
              <w:t>OverheatingAssistance</w:t>
            </w:r>
            <w:r w:rsidRPr="00FA0D37">
              <w:t xml:space="preserve"> IE</w:t>
            </w:r>
            <w:r w:rsidRPr="00FA0D37">
              <w:rPr>
                <w:lang w:eastAsia="en-GB"/>
              </w:rPr>
              <w:t>, it is interpreted as the UE having no preference on the maximum aggregated bandwidth of FR2-2.</w:t>
            </w:r>
          </w:p>
          <w:p w14:paraId="3D31347E" w14:textId="14EE6C15" w:rsidR="006C501F" w:rsidRPr="00FA0D37" w:rsidRDefault="006C501F" w:rsidP="000830BB">
            <w:pPr>
              <w:pStyle w:val="TAL"/>
              <w:rPr>
                <w:lang w:eastAsia="en-GB"/>
              </w:rPr>
            </w:pPr>
            <w:r w:rsidRPr="00FA0D37">
              <w:rPr>
                <w:lang w:eastAsia="en-GB"/>
              </w:rPr>
              <w:t>When indicated to address overheating, this maximum aggregated bandwidth includes carrier(s)</w:t>
            </w:r>
            <w:r w:rsidRPr="00FA0D37">
              <w:t xml:space="preserve"> </w:t>
            </w:r>
            <w:r w:rsidRPr="00FA0D37">
              <w:rPr>
                <w:lang w:eastAsia="en-GB"/>
              </w:rPr>
              <w:t xml:space="preserve">of FR2-2 of both the NR MCG and the NR SCG. </w:t>
            </w:r>
            <w:r w:rsidR="002B7DAE" w:rsidRPr="00FA0D37">
              <w:rPr>
                <w:lang w:eastAsia="en-GB"/>
              </w:rPr>
              <w:t>This maximum aggregated bandwidth only includes carriers of FR2-</w:t>
            </w:r>
            <w:r w:rsidR="002B7DAE" w:rsidRPr="00FA0D37">
              <w:rPr>
                <w:lang w:eastAsia="zh-CN"/>
              </w:rPr>
              <w:t>2</w:t>
            </w:r>
            <w:r w:rsidR="002B7DAE" w:rsidRPr="00FA0D37">
              <w:rPr>
                <w:lang w:eastAsia="en-GB"/>
              </w:rPr>
              <w:t xml:space="preserve"> of the SCG in (NG)EN-DC.</w:t>
            </w:r>
          </w:p>
          <w:p w14:paraId="23B79640" w14:textId="77777777" w:rsidR="006C501F" w:rsidRPr="00FA0D37" w:rsidRDefault="006C501F" w:rsidP="000830BB">
            <w:pPr>
              <w:pStyle w:val="TAL"/>
              <w:rPr>
                <w:lang w:eastAsia="sv-SE"/>
              </w:rPr>
            </w:pPr>
            <w:r w:rsidRPr="00FA0D37">
              <w:rPr>
                <w:lang w:eastAsia="en-GB"/>
              </w:rPr>
              <w:t xml:space="preserve">When indicated to address power saving, this maximum aggregated bandwidth includes carrier(s) of FR2-2 of the cell group that </w:t>
            </w:r>
            <w:r w:rsidRPr="00FA0D37">
              <w:t>this UE assistance information is associated with</w:t>
            </w:r>
            <w:r w:rsidRPr="00FA0D37">
              <w:rPr>
                <w:lang w:eastAsia="en-GB"/>
              </w:rPr>
              <w:t>. The aggregated bandwidth can only range up to the current active configuration when indicated to address power savings.</w:t>
            </w:r>
          </w:p>
        </w:tc>
      </w:tr>
      <w:tr w:rsidR="005C7FF4" w:rsidRPr="00FA0D37" w14:paraId="1F7903C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71137A" w14:textId="77777777" w:rsidR="00394471" w:rsidRPr="00FA0D37" w:rsidRDefault="00394471" w:rsidP="00964CC4">
            <w:pPr>
              <w:pStyle w:val="TAL"/>
              <w:rPr>
                <w:rFonts w:eastAsia="MS Mincho"/>
                <w:b/>
                <w:i/>
                <w:noProof/>
                <w:lang w:eastAsia="en-GB"/>
              </w:rPr>
            </w:pPr>
            <w:r w:rsidRPr="00FA0D37">
              <w:rPr>
                <w:rFonts w:eastAsia="MS Mincho"/>
                <w:b/>
                <w:i/>
                <w:noProof/>
                <w:lang w:eastAsia="en-GB"/>
              </w:rPr>
              <w:t>reducedCCsDL</w:t>
            </w:r>
          </w:p>
          <w:p w14:paraId="7404F85F" w14:textId="77777777" w:rsidR="00394471" w:rsidRPr="00FA0D37" w:rsidRDefault="00394471" w:rsidP="00964CC4">
            <w:pPr>
              <w:pStyle w:val="TAL"/>
              <w:rPr>
                <w:lang w:eastAsia="en-GB"/>
              </w:rPr>
            </w:pPr>
            <w:r w:rsidRPr="00FA0D37">
              <w:rPr>
                <w:lang w:eastAsia="en-GB"/>
              </w:rPr>
              <w:t xml:space="preserve">Indicates the UE's preference on reduced configuration corresponding to the maximum number of downlink </w:t>
            </w:r>
            <w:r w:rsidRPr="00FA0D37">
              <w:rPr>
                <w:lang w:eastAsia="zh-CN"/>
              </w:rPr>
              <w:t>SCells</w:t>
            </w:r>
            <w:r w:rsidRPr="00FA0D37">
              <w:rPr>
                <w:lang w:eastAsia="en-GB"/>
              </w:rPr>
              <w:t xml:space="preserve"> indicated by the field, to address overheating or power saving.</w:t>
            </w:r>
          </w:p>
          <w:p w14:paraId="7DB95888" w14:textId="77777777" w:rsidR="00394471" w:rsidRPr="00FA0D37" w:rsidRDefault="00394471" w:rsidP="00964CC4">
            <w:pPr>
              <w:pStyle w:val="TAL"/>
              <w:rPr>
                <w:lang w:eastAsia="en-GB"/>
              </w:rPr>
            </w:pPr>
            <w:r w:rsidRPr="00FA0D37">
              <w:rPr>
                <w:lang w:eastAsia="en-GB"/>
              </w:rPr>
              <w:t>When indicated to address overheating, this maximum number includes both SCells of the NR MCG and PSCell/SCells of the SCG. This maximum number only includes PSCell/SCells of the SCG in (NG)EN-DC.</w:t>
            </w:r>
          </w:p>
          <w:p w14:paraId="4A865BB5" w14:textId="77777777" w:rsidR="00394471" w:rsidRPr="00FA0D37" w:rsidRDefault="00394471" w:rsidP="00964CC4">
            <w:pPr>
              <w:pStyle w:val="TAL"/>
              <w:rPr>
                <w:lang w:eastAsia="sv-SE"/>
              </w:rPr>
            </w:pPr>
            <w:r w:rsidRPr="00FA0D37">
              <w:rPr>
                <w:lang w:eastAsia="en-GB"/>
              </w:rPr>
              <w:t xml:space="preserve">When indicated to address power saving, this maximum number includes PSCell/SCells of the cell group that </w:t>
            </w:r>
            <w:r w:rsidRPr="00FA0D37">
              <w:t>this UE assistance information is associated with</w:t>
            </w:r>
            <w:r w:rsidRPr="00FA0D37">
              <w:rPr>
                <w:lang w:eastAsia="en-GB"/>
              </w:rPr>
              <w:t xml:space="preserve">. The maximum number of downlink </w:t>
            </w:r>
            <w:r w:rsidRPr="00FA0D37">
              <w:rPr>
                <w:lang w:eastAsia="zh-CN"/>
              </w:rPr>
              <w:t>SCells</w:t>
            </w:r>
            <w:r w:rsidRPr="00FA0D37">
              <w:rPr>
                <w:lang w:eastAsia="en-GB"/>
              </w:rPr>
              <w:t xml:space="preserve"> can only range up to the current active configuration when indicated to address power savings.</w:t>
            </w:r>
          </w:p>
        </w:tc>
      </w:tr>
      <w:tr w:rsidR="005C7FF4" w:rsidRPr="00FA0D37" w14:paraId="3A2F9B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93892C" w14:textId="77777777" w:rsidR="00394471" w:rsidRPr="00FA0D37" w:rsidRDefault="00394471" w:rsidP="00964CC4">
            <w:pPr>
              <w:pStyle w:val="TAL"/>
              <w:rPr>
                <w:b/>
                <w:i/>
                <w:noProof/>
                <w:lang w:eastAsia="en-GB"/>
              </w:rPr>
            </w:pPr>
            <w:r w:rsidRPr="00FA0D37">
              <w:rPr>
                <w:b/>
                <w:i/>
                <w:lang w:eastAsia="sv-SE"/>
              </w:rPr>
              <w:t>reducedCCsUL</w:t>
            </w:r>
          </w:p>
          <w:p w14:paraId="37020B37" w14:textId="77777777" w:rsidR="00394471" w:rsidRPr="00FA0D37" w:rsidRDefault="00394471" w:rsidP="00964CC4">
            <w:pPr>
              <w:pStyle w:val="TAL"/>
              <w:rPr>
                <w:lang w:eastAsia="zh-CN"/>
              </w:rPr>
            </w:pPr>
            <w:r w:rsidRPr="00FA0D37">
              <w:rPr>
                <w:lang w:eastAsia="en-GB"/>
              </w:rPr>
              <w:t xml:space="preserve">Indicates the UE's preference on reduced configuration corresponding to the maximum number of uplink </w:t>
            </w:r>
            <w:r w:rsidRPr="00FA0D37">
              <w:rPr>
                <w:lang w:eastAsia="zh-CN"/>
              </w:rPr>
              <w:t>SCells</w:t>
            </w:r>
            <w:r w:rsidRPr="00FA0D37">
              <w:rPr>
                <w:lang w:eastAsia="en-GB"/>
              </w:rPr>
              <w:t xml:space="preserve"> indicated by the field, to address overheating or power saving</w:t>
            </w:r>
            <w:r w:rsidRPr="00FA0D37">
              <w:rPr>
                <w:lang w:eastAsia="zh-CN"/>
              </w:rPr>
              <w:t>.</w:t>
            </w:r>
          </w:p>
          <w:p w14:paraId="64751997" w14:textId="77777777" w:rsidR="00394471" w:rsidRPr="00FA0D37" w:rsidRDefault="00394471" w:rsidP="00964CC4">
            <w:pPr>
              <w:pStyle w:val="TAL"/>
              <w:rPr>
                <w:lang w:eastAsia="en-GB"/>
              </w:rPr>
            </w:pPr>
            <w:r w:rsidRPr="00FA0D37">
              <w:rPr>
                <w:lang w:eastAsia="en-GB"/>
              </w:rPr>
              <w:t>When indicated to address overheating, this maximum number includes both SCells of the NR MCG and PSCell/SCells of the SCG. This maximum number only includes PSCell/SCells of the SCG in (NG)EN-DC.</w:t>
            </w:r>
          </w:p>
          <w:p w14:paraId="7B63AEA3" w14:textId="77777777" w:rsidR="00394471" w:rsidRPr="00FA0D37" w:rsidRDefault="00394471" w:rsidP="00964CC4">
            <w:pPr>
              <w:pStyle w:val="TAL"/>
              <w:rPr>
                <w:lang w:eastAsia="sv-SE"/>
              </w:rPr>
            </w:pPr>
            <w:r w:rsidRPr="00FA0D37">
              <w:rPr>
                <w:lang w:eastAsia="en-GB"/>
              </w:rPr>
              <w:t xml:space="preserve">When indicated to address power saving, this maximum number includes PSCell/SCells of the cell group that </w:t>
            </w:r>
            <w:r w:rsidRPr="00FA0D37">
              <w:t>this UE assistance information is associated with</w:t>
            </w:r>
            <w:r w:rsidRPr="00FA0D37">
              <w:rPr>
                <w:lang w:eastAsia="en-GB"/>
              </w:rPr>
              <w:t xml:space="preserve">. The maximum number of uplink </w:t>
            </w:r>
            <w:r w:rsidRPr="00FA0D37">
              <w:rPr>
                <w:lang w:eastAsia="zh-CN"/>
              </w:rPr>
              <w:t>SCells</w:t>
            </w:r>
            <w:r w:rsidRPr="00FA0D37">
              <w:rPr>
                <w:lang w:eastAsia="en-GB"/>
              </w:rPr>
              <w:t xml:space="preserve"> can only range up to the current active configuration when indicated to address power savings.</w:t>
            </w:r>
          </w:p>
        </w:tc>
      </w:tr>
      <w:tr w:rsidR="005C7FF4" w:rsidRPr="00FA0D37" w14:paraId="0A6F1A4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7D9E8D" w14:textId="77777777" w:rsidR="00394471" w:rsidRPr="00FA0D37" w:rsidRDefault="00394471" w:rsidP="00964CC4">
            <w:pPr>
              <w:pStyle w:val="TAL"/>
              <w:rPr>
                <w:rFonts w:eastAsia="MS Mincho"/>
                <w:b/>
                <w:i/>
                <w:noProof/>
                <w:lang w:eastAsia="en-GB"/>
              </w:rPr>
            </w:pPr>
            <w:r w:rsidRPr="00FA0D37">
              <w:rPr>
                <w:rFonts w:eastAsia="MS Mincho"/>
                <w:b/>
                <w:i/>
                <w:noProof/>
                <w:lang w:eastAsia="en-GB"/>
              </w:rPr>
              <w:t>reducedMIMO-LayersFR1-DL</w:t>
            </w:r>
          </w:p>
          <w:p w14:paraId="21385DB1" w14:textId="77777777" w:rsidR="00394471" w:rsidRPr="00FA0D37" w:rsidRDefault="00394471" w:rsidP="00964CC4">
            <w:pPr>
              <w:pStyle w:val="TAL"/>
              <w:rPr>
                <w:lang w:eastAsia="sv-SE"/>
              </w:rPr>
            </w:pPr>
            <w:r w:rsidRPr="00FA0D37">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FA0D37">
              <w:rPr>
                <w:bCs/>
                <w:iCs/>
                <w:lang w:eastAsia="sv-SE"/>
              </w:rPr>
              <w:t>MIMO layers</w:t>
            </w:r>
            <w:r w:rsidRPr="00FA0D37">
              <w:rPr>
                <w:lang w:eastAsia="en-GB"/>
              </w:rPr>
              <w:t xml:space="preserve"> can only range up to the maximum number of MIMO layers configured across all activated downlink carrier(s) of FR1 in the cell group when indicated to address power savings.</w:t>
            </w:r>
          </w:p>
        </w:tc>
      </w:tr>
      <w:tr w:rsidR="005C7FF4" w:rsidRPr="00FA0D37" w14:paraId="6E23212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50F55B" w14:textId="77777777" w:rsidR="00394471" w:rsidRPr="00FA0D37" w:rsidRDefault="00394471" w:rsidP="00964CC4">
            <w:pPr>
              <w:pStyle w:val="TAL"/>
              <w:rPr>
                <w:rFonts w:eastAsia="MS Mincho"/>
                <w:b/>
                <w:i/>
                <w:noProof/>
                <w:lang w:eastAsia="en-GB"/>
              </w:rPr>
            </w:pPr>
            <w:r w:rsidRPr="00FA0D37">
              <w:rPr>
                <w:rFonts w:eastAsia="MS Mincho"/>
                <w:b/>
                <w:i/>
                <w:noProof/>
                <w:lang w:eastAsia="en-GB"/>
              </w:rPr>
              <w:t>reducedMIMO-LayersFR1-UL</w:t>
            </w:r>
          </w:p>
          <w:p w14:paraId="33E187CA" w14:textId="4A5AACE6" w:rsidR="00394471" w:rsidRPr="00FA0D37" w:rsidRDefault="00394471" w:rsidP="00964CC4">
            <w:pPr>
              <w:pStyle w:val="TAL"/>
              <w:rPr>
                <w:lang w:eastAsia="sv-SE"/>
              </w:rPr>
            </w:pPr>
            <w:r w:rsidRPr="00FA0D37">
              <w:rPr>
                <w:lang w:eastAsia="en-GB"/>
              </w:rPr>
              <w:t>Indicates the UE's preference on reduced configuration corresponding to the maximum number of uplink MIMO layers of each serving cell operating on FR1 indicated by the field, to address overheating or power saving</w:t>
            </w:r>
            <w:r w:rsidR="00B84F10" w:rsidRPr="00FA0D37">
              <w:rPr>
                <w:lang w:eastAsia="en-GB"/>
              </w:rPr>
              <w:t xml:space="preserve"> (see NOTE 1)</w:t>
            </w:r>
            <w:r w:rsidRPr="00FA0D37">
              <w:rPr>
                <w:lang w:eastAsia="en-GB"/>
              </w:rPr>
              <w:t xml:space="preserve">. This field is allowed to be reported only when UE is configured with serving cells operating on FR1. The maximum number of </w:t>
            </w:r>
            <w:r w:rsidRPr="00FA0D37">
              <w:rPr>
                <w:bCs/>
                <w:iCs/>
                <w:lang w:eastAsia="sv-SE"/>
              </w:rPr>
              <w:t>uplink MIMO layers</w:t>
            </w:r>
            <w:r w:rsidRPr="00FA0D37">
              <w:rPr>
                <w:bCs/>
                <w:iCs/>
                <w:lang w:eastAsia="en-GB"/>
              </w:rPr>
              <w:t xml:space="preserve"> </w:t>
            </w:r>
            <w:r w:rsidRPr="00FA0D37">
              <w:rPr>
                <w:lang w:eastAsia="en-GB"/>
              </w:rPr>
              <w:t>can only range up to the maximum number of MIMO layers configured across all activated uplink carrier(s) of FR1 in the cell group when indicated to address power savings.</w:t>
            </w:r>
          </w:p>
        </w:tc>
      </w:tr>
      <w:tr w:rsidR="005C7FF4" w:rsidRPr="00FA0D37" w14:paraId="5FC58E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BCE07" w14:textId="77777777" w:rsidR="00394471" w:rsidRPr="00FA0D37" w:rsidRDefault="00394471" w:rsidP="00964CC4">
            <w:pPr>
              <w:pStyle w:val="TAL"/>
              <w:rPr>
                <w:rFonts w:eastAsia="MS Mincho"/>
                <w:b/>
                <w:i/>
                <w:noProof/>
                <w:lang w:eastAsia="en-GB"/>
              </w:rPr>
            </w:pPr>
            <w:r w:rsidRPr="00FA0D37">
              <w:rPr>
                <w:rFonts w:eastAsia="MS Mincho"/>
                <w:b/>
                <w:i/>
                <w:noProof/>
                <w:lang w:eastAsia="en-GB"/>
              </w:rPr>
              <w:t>reducedMIMO-LayersFR2-DL</w:t>
            </w:r>
          </w:p>
          <w:p w14:paraId="43DBBBEF" w14:textId="1FBEE1A8" w:rsidR="00394471" w:rsidRPr="00FA0D37" w:rsidRDefault="00394471" w:rsidP="00964CC4">
            <w:pPr>
              <w:pStyle w:val="TAL"/>
              <w:rPr>
                <w:rFonts w:eastAsia="MS Mincho"/>
                <w:noProof/>
                <w:lang w:eastAsia="en-GB"/>
              </w:rPr>
            </w:pPr>
            <w:r w:rsidRPr="00FA0D37">
              <w:rPr>
                <w:lang w:eastAsia="en-GB"/>
              </w:rPr>
              <w:t>Indicates the UE's preference on reduced configuration corresponding to the maximum number of downlink MIMO layers of each serving cell operating on FR2</w:t>
            </w:r>
            <w:r w:rsidR="006C501F" w:rsidRPr="00FA0D37">
              <w:rPr>
                <w:lang w:eastAsia="en-GB"/>
              </w:rPr>
              <w:t>-1</w:t>
            </w:r>
            <w:r w:rsidRPr="00FA0D37">
              <w:rPr>
                <w:lang w:eastAsia="en-GB"/>
              </w:rPr>
              <w:t xml:space="preserve"> indicated by the field, to address overheating or power saving. This field is allowed to be reported only when UE is configured with serving cells operating on FR2</w:t>
            </w:r>
            <w:r w:rsidR="006C501F" w:rsidRPr="00FA0D37">
              <w:rPr>
                <w:lang w:eastAsia="en-GB"/>
              </w:rPr>
              <w:t>-1</w:t>
            </w:r>
            <w:r w:rsidRPr="00FA0D37">
              <w:rPr>
                <w:lang w:eastAsia="en-GB"/>
              </w:rPr>
              <w:t xml:space="preserve">. The maximum number of downlink </w:t>
            </w:r>
            <w:r w:rsidRPr="00FA0D37">
              <w:rPr>
                <w:bCs/>
                <w:iCs/>
                <w:lang w:eastAsia="sv-SE"/>
              </w:rPr>
              <w:t>MIMO layers</w:t>
            </w:r>
            <w:r w:rsidRPr="00FA0D37">
              <w:rPr>
                <w:lang w:eastAsia="en-GB"/>
              </w:rPr>
              <w:t xml:space="preserve"> can only range up to the maximum number of MIMO layers configured across all activated downlink carrier(s) of FR2</w:t>
            </w:r>
            <w:r w:rsidR="006C501F" w:rsidRPr="00FA0D37">
              <w:rPr>
                <w:lang w:eastAsia="en-GB"/>
              </w:rPr>
              <w:t>-1</w:t>
            </w:r>
            <w:r w:rsidRPr="00FA0D37">
              <w:rPr>
                <w:lang w:eastAsia="en-GB"/>
              </w:rPr>
              <w:t xml:space="preserve"> in the cell group when indicated to address power savings.</w:t>
            </w:r>
          </w:p>
        </w:tc>
      </w:tr>
      <w:tr w:rsidR="005C7FF4" w:rsidRPr="00FA0D37" w14:paraId="34FF7C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E7547A" w14:textId="77777777" w:rsidR="00394471" w:rsidRPr="00FA0D37" w:rsidRDefault="00394471" w:rsidP="00964CC4">
            <w:pPr>
              <w:pStyle w:val="TAL"/>
              <w:rPr>
                <w:rFonts w:eastAsia="MS Mincho"/>
                <w:b/>
                <w:i/>
                <w:noProof/>
                <w:lang w:eastAsia="en-GB"/>
              </w:rPr>
            </w:pPr>
            <w:r w:rsidRPr="00FA0D37">
              <w:rPr>
                <w:rFonts w:eastAsia="MS Mincho"/>
                <w:b/>
                <w:i/>
                <w:noProof/>
                <w:lang w:eastAsia="en-GB"/>
              </w:rPr>
              <w:t>reducedMIMO-LayersFR2-UL</w:t>
            </w:r>
          </w:p>
          <w:p w14:paraId="1DA0984D" w14:textId="07A77F0C" w:rsidR="00394471" w:rsidRPr="00FA0D37" w:rsidRDefault="00394471" w:rsidP="00964CC4">
            <w:pPr>
              <w:pStyle w:val="TAL"/>
              <w:rPr>
                <w:rFonts w:eastAsia="MS Mincho"/>
                <w:noProof/>
                <w:lang w:eastAsia="en-GB"/>
              </w:rPr>
            </w:pPr>
            <w:r w:rsidRPr="00FA0D37">
              <w:rPr>
                <w:lang w:eastAsia="en-GB"/>
              </w:rPr>
              <w:t>Indicates the UE's preference on reduced configuration corresponding to the maximum number of uplink MIMO layers of each serving cell operating on FR2</w:t>
            </w:r>
            <w:r w:rsidR="006C501F" w:rsidRPr="00FA0D37">
              <w:rPr>
                <w:lang w:eastAsia="en-GB"/>
              </w:rPr>
              <w:t>-1</w:t>
            </w:r>
            <w:r w:rsidRPr="00FA0D37">
              <w:rPr>
                <w:lang w:eastAsia="en-GB"/>
              </w:rPr>
              <w:t xml:space="preserve"> indicated by the field, to address overheating or power saving</w:t>
            </w:r>
            <w:r w:rsidR="00B84F10" w:rsidRPr="00FA0D37">
              <w:rPr>
                <w:lang w:eastAsia="en-GB"/>
              </w:rPr>
              <w:t xml:space="preserve"> (see NOTE 1)</w:t>
            </w:r>
            <w:r w:rsidRPr="00FA0D37">
              <w:rPr>
                <w:lang w:eastAsia="en-GB"/>
              </w:rPr>
              <w:t>. This field is allowed to be reported only when UE is configured with serving cells operating on FR2</w:t>
            </w:r>
            <w:r w:rsidR="006C501F" w:rsidRPr="00FA0D37">
              <w:rPr>
                <w:lang w:eastAsia="en-GB"/>
              </w:rPr>
              <w:t>-1</w:t>
            </w:r>
            <w:r w:rsidRPr="00FA0D37">
              <w:rPr>
                <w:lang w:eastAsia="en-GB"/>
              </w:rPr>
              <w:t xml:space="preserve">. The maximum number of </w:t>
            </w:r>
            <w:r w:rsidRPr="00FA0D37">
              <w:rPr>
                <w:bCs/>
                <w:iCs/>
                <w:lang w:eastAsia="sv-SE"/>
              </w:rPr>
              <w:t>uplink MIMO layers</w:t>
            </w:r>
            <w:r w:rsidRPr="00FA0D37">
              <w:rPr>
                <w:lang w:eastAsia="en-GB"/>
              </w:rPr>
              <w:t xml:space="preserve"> can only range up to the maximum number of MIMO layers configured across all activated uplink carrier(s) of FR2</w:t>
            </w:r>
            <w:r w:rsidR="006C501F" w:rsidRPr="00FA0D37">
              <w:rPr>
                <w:lang w:eastAsia="en-GB"/>
              </w:rPr>
              <w:t>-1</w:t>
            </w:r>
            <w:r w:rsidRPr="00FA0D37">
              <w:rPr>
                <w:lang w:eastAsia="en-GB"/>
              </w:rPr>
              <w:t xml:space="preserve"> in the cell group when indicated to address power savings.</w:t>
            </w:r>
          </w:p>
        </w:tc>
      </w:tr>
      <w:tr w:rsidR="005C7FF4" w:rsidRPr="00FA0D37" w14:paraId="1CA52093"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26D47F0" w14:textId="77777777" w:rsidR="006C501F" w:rsidRPr="00FA0D37" w:rsidRDefault="006C501F" w:rsidP="000830BB">
            <w:pPr>
              <w:pStyle w:val="TAL"/>
              <w:rPr>
                <w:rFonts w:eastAsia="MS Mincho"/>
                <w:b/>
                <w:bCs/>
                <w:i/>
                <w:iCs/>
                <w:noProof/>
                <w:lang w:eastAsia="en-GB"/>
              </w:rPr>
            </w:pPr>
            <w:r w:rsidRPr="00FA0D37">
              <w:rPr>
                <w:rFonts w:eastAsia="MS Mincho"/>
                <w:b/>
                <w:bCs/>
                <w:i/>
                <w:iCs/>
                <w:noProof/>
                <w:lang w:eastAsia="en-GB"/>
              </w:rPr>
              <w:lastRenderedPageBreak/>
              <w:t>reducedMIMO-LayersFR2-2-DL</w:t>
            </w:r>
          </w:p>
          <w:p w14:paraId="456DB427" w14:textId="62B513BD" w:rsidR="006C501F" w:rsidRPr="00FA0D37" w:rsidRDefault="006C501F" w:rsidP="000830BB">
            <w:pPr>
              <w:pStyle w:val="TAL"/>
              <w:rPr>
                <w:rFonts w:eastAsia="MS Mincho"/>
                <w:noProof/>
                <w:lang w:eastAsia="en-GB"/>
              </w:rPr>
            </w:pPr>
            <w:r w:rsidRPr="00FA0D37">
              <w:rPr>
                <w:lang w:eastAsia="en-GB"/>
              </w:rPr>
              <w:t xml:space="preserve">Indicates the UE's preference on reduced configuration corresponding to the maximum number of downlink MIMO layers of each serving cell operating on FR2-2 indicated by the field, to address overheating or power saving. This field is allowed to be reported only when UE is configured with serving cells operating on FR2-2. The maximum number of downlink </w:t>
            </w:r>
            <w:r w:rsidRPr="00FA0D37">
              <w:rPr>
                <w:bCs/>
                <w:iCs/>
                <w:lang w:eastAsia="sv-SE"/>
              </w:rPr>
              <w:t>MIMO layers</w:t>
            </w:r>
            <w:r w:rsidRPr="00FA0D37">
              <w:rPr>
                <w:lang w:eastAsia="en-GB"/>
              </w:rPr>
              <w:t xml:space="preserve"> can only range up to the maximum number of MIMO layers configured across all activated downlink carrier(s) of FR2-2 in the cell group when indicated to address power savings.</w:t>
            </w:r>
          </w:p>
        </w:tc>
      </w:tr>
      <w:tr w:rsidR="005C7FF4" w:rsidRPr="00FA0D37" w14:paraId="6B46663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05DF6A2B" w14:textId="77777777" w:rsidR="006C501F" w:rsidRPr="00FA0D37" w:rsidRDefault="006C501F" w:rsidP="000830BB">
            <w:pPr>
              <w:pStyle w:val="TAL"/>
              <w:rPr>
                <w:rFonts w:eastAsia="MS Mincho"/>
                <w:b/>
                <w:bCs/>
                <w:i/>
                <w:iCs/>
                <w:noProof/>
                <w:lang w:eastAsia="en-GB"/>
              </w:rPr>
            </w:pPr>
            <w:r w:rsidRPr="00FA0D37">
              <w:rPr>
                <w:rFonts w:eastAsia="MS Mincho"/>
                <w:b/>
                <w:bCs/>
                <w:i/>
                <w:iCs/>
                <w:noProof/>
                <w:lang w:eastAsia="en-GB"/>
              </w:rPr>
              <w:t>reducedMIMO-LayersFR2-2-UL</w:t>
            </w:r>
          </w:p>
          <w:p w14:paraId="66F8A107" w14:textId="5F5D9977" w:rsidR="006C501F" w:rsidRPr="00FA0D37" w:rsidRDefault="006C501F" w:rsidP="000830BB">
            <w:pPr>
              <w:pStyle w:val="TAL"/>
              <w:rPr>
                <w:rFonts w:eastAsia="MS Mincho"/>
                <w:noProof/>
                <w:lang w:eastAsia="en-GB"/>
              </w:rPr>
            </w:pPr>
            <w:r w:rsidRPr="00FA0D37">
              <w:rPr>
                <w:lang w:eastAsia="en-GB"/>
              </w:rPr>
              <w:t>Indicates the UE's preference on reduced configuration corresponding to the maximum number of uplink MIMO layers of each serving cell operating on FR2-2 indicated by the field, to address overheating or power saving</w:t>
            </w:r>
            <w:r w:rsidR="00B84F10" w:rsidRPr="00FA0D37">
              <w:rPr>
                <w:lang w:eastAsia="en-GB"/>
              </w:rPr>
              <w:t xml:space="preserve"> (see NOTE 1)</w:t>
            </w:r>
            <w:r w:rsidRPr="00FA0D37">
              <w:rPr>
                <w:lang w:eastAsia="en-GB"/>
              </w:rPr>
              <w:t xml:space="preserve">. This field is allowed to be reported only when UE is configured with serving cells operating on FR2-2. The maximum number of </w:t>
            </w:r>
            <w:r w:rsidRPr="00FA0D37">
              <w:rPr>
                <w:bCs/>
                <w:iCs/>
                <w:lang w:eastAsia="sv-SE"/>
              </w:rPr>
              <w:t>uplink MIMO layers</w:t>
            </w:r>
            <w:r w:rsidRPr="00FA0D37">
              <w:rPr>
                <w:lang w:eastAsia="en-GB"/>
              </w:rPr>
              <w:t xml:space="preserve"> can only range up to the maximum number of MIMO layers configured across all activated uplink carrier(s) of FR2-2 in the cell group when indicated to address power savings.</w:t>
            </w:r>
          </w:p>
        </w:tc>
      </w:tr>
      <w:tr w:rsidR="005C7FF4" w:rsidRPr="00FA0D37" w14:paraId="5ABAD1E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857C24B" w14:textId="77777777" w:rsidR="00394471" w:rsidRPr="00FA0D37" w:rsidRDefault="00394471" w:rsidP="00964CC4">
            <w:pPr>
              <w:pStyle w:val="TAL"/>
              <w:rPr>
                <w:rFonts w:eastAsia="MS Mincho"/>
                <w:b/>
                <w:i/>
                <w:noProof/>
                <w:lang w:eastAsia="en-GB"/>
              </w:rPr>
            </w:pPr>
            <w:r w:rsidRPr="00FA0D37">
              <w:rPr>
                <w:rFonts w:eastAsia="MS Mincho"/>
                <w:b/>
                <w:i/>
                <w:noProof/>
                <w:lang w:eastAsia="en-GB"/>
              </w:rPr>
              <w:t>referenceTimeInfoPreference</w:t>
            </w:r>
          </w:p>
          <w:p w14:paraId="69C58CE3" w14:textId="77777777" w:rsidR="00394471" w:rsidRPr="00FA0D37" w:rsidRDefault="00394471" w:rsidP="00964CC4">
            <w:pPr>
              <w:pStyle w:val="TAL"/>
              <w:rPr>
                <w:rFonts w:eastAsia="MS Mincho"/>
                <w:b/>
                <w:i/>
                <w:noProof/>
                <w:lang w:eastAsia="en-GB"/>
              </w:rPr>
            </w:pPr>
            <w:r w:rsidRPr="00FA0D37">
              <w:rPr>
                <w:rFonts w:eastAsia="MS Mincho"/>
                <w:bCs/>
                <w:iCs/>
                <w:noProof/>
                <w:lang w:eastAsia="en-GB"/>
              </w:rPr>
              <w:t xml:space="preserve">Indicates </w:t>
            </w:r>
            <w:r w:rsidRPr="00FA0D37">
              <w:t xml:space="preserve">whether the UE prefers being provisioned with the timing information specified in the IE </w:t>
            </w:r>
            <w:r w:rsidRPr="00FA0D37">
              <w:rPr>
                <w:i/>
                <w:iCs/>
              </w:rPr>
              <w:t>ReferenceTimeInfo</w:t>
            </w:r>
            <w:r w:rsidRPr="00FA0D37">
              <w:t>.</w:t>
            </w:r>
          </w:p>
        </w:tc>
      </w:tr>
      <w:tr w:rsidR="005C7FF4" w:rsidRPr="00FA0D37" w14:paraId="1830452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2E563B1D" w14:textId="77777777" w:rsidR="00337B3E" w:rsidRPr="00FA0D37" w:rsidRDefault="00337B3E" w:rsidP="00337B3E">
            <w:pPr>
              <w:pStyle w:val="TAL"/>
              <w:rPr>
                <w:b/>
                <w:i/>
                <w:noProof/>
                <w:lang w:eastAsia="en-GB"/>
              </w:rPr>
            </w:pPr>
            <w:r w:rsidRPr="00FA0D37">
              <w:rPr>
                <w:b/>
                <w:i/>
                <w:lang w:eastAsia="zh-CN"/>
              </w:rPr>
              <w:t>resumeCause</w:t>
            </w:r>
          </w:p>
          <w:p w14:paraId="054DE3FE" w14:textId="3D26A39F" w:rsidR="00337B3E" w:rsidRPr="00FA0D37" w:rsidRDefault="00337B3E" w:rsidP="00337B3E">
            <w:pPr>
              <w:pStyle w:val="TAL"/>
              <w:rPr>
                <w:rFonts w:eastAsia="MS Mincho"/>
                <w:b/>
                <w:i/>
                <w:noProof/>
                <w:lang w:eastAsia="en-GB"/>
              </w:rPr>
            </w:pPr>
            <w:r w:rsidRPr="00FA0D37">
              <w:rPr>
                <w:lang w:eastAsia="sv-SE"/>
              </w:rPr>
              <w:t>Provides the resume cause based on the information received from the upper layers.</w:t>
            </w:r>
          </w:p>
        </w:tc>
      </w:tr>
      <w:tr w:rsidR="005C7FF4" w:rsidRPr="00FA0D37" w14:paraId="0D2995D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FD1EEAF" w14:textId="77777777" w:rsidR="00B623BD" w:rsidRPr="00FA0D37" w:rsidRDefault="00B623BD" w:rsidP="00B623BD">
            <w:pPr>
              <w:pStyle w:val="TAL"/>
              <w:rPr>
                <w:b/>
                <w:bCs/>
                <w:i/>
                <w:iCs/>
                <w:lang w:eastAsia="zh-CN"/>
              </w:rPr>
            </w:pPr>
            <w:r w:rsidRPr="00FA0D37">
              <w:rPr>
                <w:b/>
                <w:bCs/>
                <w:i/>
                <w:iCs/>
                <w:lang w:eastAsia="zh-CN"/>
              </w:rPr>
              <w:t>rlm-MeasRelaxationState</w:t>
            </w:r>
          </w:p>
          <w:p w14:paraId="14F4C4AB" w14:textId="04567010" w:rsidR="00B623BD" w:rsidRPr="00FA0D37" w:rsidRDefault="00B623BD" w:rsidP="00B623BD">
            <w:pPr>
              <w:pStyle w:val="TAL"/>
              <w:rPr>
                <w:rFonts w:eastAsia="MS Mincho"/>
                <w:b/>
                <w:i/>
                <w:noProof/>
                <w:lang w:eastAsia="en-GB"/>
              </w:rPr>
            </w:pPr>
            <w:r w:rsidRPr="00FA0D37">
              <w:rPr>
                <w:lang w:eastAsia="en-GB"/>
              </w:rPr>
              <w:t xml:space="preserve">Indicates the relaxation state of RLM measurements. Value </w:t>
            </w:r>
            <w:r w:rsidRPr="00FA0D37">
              <w:rPr>
                <w:i/>
                <w:lang w:eastAsia="en-GB"/>
              </w:rPr>
              <w:t>true</w:t>
            </w:r>
            <w:r w:rsidRPr="00FA0D37">
              <w:rPr>
                <w:lang w:eastAsia="en-GB"/>
              </w:rPr>
              <w:t xml:space="preserve"> indicates that the UE </w:t>
            </w:r>
            <w:r w:rsidR="00827A1B" w:rsidRPr="00FA0D37">
              <w:rPr>
                <w:rFonts w:eastAsia="等线"/>
                <w:lang w:eastAsia="zh-CN"/>
              </w:rPr>
              <w:t xml:space="preserve">is </w:t>
            </w:r>
            <w:r w:rsidRPr="00FA0D37">
              <w:rPr>
                <w:lang w:eastAsia="en-GB"/>
              </w:rPr>
              <w:t>perform</w:t>
            </w:r>
            <w:r w:rsidR="00827A1B" w:rsidRPr="00FA0D37">
              <w:rPr>
                <w:lang w:eastAsia="en-GB"/>
              </w:rPr>
              <w:t>ing</w:t>
            </w:r>
            <w:r w:rsidRPr="00FA0D37">
              <w:rPr>
                <w:lang w:eastAsia="en-GB"/>
              </w:rPr>
              <w:t xml:space="preserve"> relaxation of RLM measurements, and value </w:t>
            </w:r>
            <w:r w:rsidRPr="00FA0D37">
              <w:rPr>
                <w:i/>
                <w:lang w:eastAsia="en-GB"/>
              </w:rPr>
              <w:t>false</w:t>
            </w:r>
            <w:r w:rsidRPr="00FA0D37">
              <w:rPr>
                <w:lang w:eastAsia="en-GB"/>
              </w:rPr>
              <w:t xml:space="preserve"> indicates that the UE </w:t>
            </w:r>
            <w:r w:rsidR="00827A1B" w:rsidRPr="00FA0D37">
              <w:rPr>
                <w:rFonts w:eastAsia="等线"/>
                <w:lang w:eastAsia="zh-CN"/>
              </w:rPr>
              <w:t>is</w:t>
            </w:r>
            <w:r w:rsidR="00827A1B" w:rsidRPr="00FA0D37">
              <w:rPr>
                <w:lang w:eastAsia="en-GB"/>
              </w:rPr>
              <w:t xml:space="preserve"> </w:t>
            </w:r>
            <w:r w:rsidRPr="00FA0D37">
              <w:rPr>
                <w:lang w:eastAsia="en-GB"/>
              </w:rPr>
              <w:t>not perform</w:t>
            </w:r>
            <w:r w:rsidR="00827A1B" w:rsidRPr="00FA0D37">
              <w:rPr>
                <w:rFonts w:eastAsia="等线"/>
                <w:lang w:eastAsia="zh-CN"/>
              </w:rPr>
              <w:t>ing</w:t>
            </w:r>
            <w:r w:rsidRPr="00FA0D37">
              <w:rPr>
                <w:lang w:eastAsia="en-GB"/>
              </w:rPr>
              <w:t xml:space="preserve"> relaxation of RLM measurements</w:t>
            </w:r>
            <w:r w:rsidRPr="00FA0D37">
              <w:rPr>
                <w:rFonts w:cs="Arial"/>
                <w:lang w:eastAsia="zh-CN"/>
              </w:rPr>
              <w:t>.</w:t>
            </w:r>
          </w:p>
        </w:tc>
      </w:tr>
      <w:tr w:rsidR="005C7FF4" w:rsidRPr="00FA0D37" w:rsidDel="008A4482" w14:paraId="5794775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110272B" w14:textId="77777777" w:rsidR="00CD6E06" w:rsidRPr="00FA0D37" w:rsidRDefault="00CD6E06" w:rsidP="00771058">
            <w:pPr>
              <w:pStyle w:val="TAL"/>
              <w:rPr>
                <w:b/>
                <w:bCs/>
                <w:i/>
                <w:iCs/>
                <w:lang w:eastAsia="zh-CN"/>
              </w:rPr>
            </w:pPr>
            <w:r w:rsidRPr="00FA0D37">
              <w:rPr>
                <w:b/>
                <w:bCs/>
                <w:i/>
                <w:iCs/>
                <w:lang w:eastAsia="zh-CN"/>
              </w:rPr>
              <w:t>rrm-MeasRelaxationFulfilment</w:t>
            </w:r>
          </w:p>
          <w:p w14:paraId="53BB6813" w14:textId="04A22460" w:rsidR="00CD6E06" w:rsidRPr="00FA0D37" w:rsidDel="008A4482" w:rsidRDefault="00CD6E06" w:rsidP="00771058">
            <w:pPr>
              <w:pStyle w:val="TAL"/>
              <w:rPr>
                <w:b/>
                <w:bCs/>
                <w:i/>
                <w:iCs/>
                <w:lang w:eastAsia="en-GB"/>
              </w:rPr>
            </w:pPr>
            <w:r w:rsidRPr="00FA0D37">
              <w:rPr>
                <w:lang w:eastAsia="en-GB"/>
              </w:rPr>
              <w:t xml:space="preserve">Indicates whether the UE fulfils the relaxed measurement criterion for stationary UE in </w:t>
            </w:r>
            <w:r w:rsidR="00C85859" w:rsidRPr="00FA0D37">
              <w:rPr>
                <w:lang w:eastAsia="en-GB"/>
              </w:rPr>
              <w:t>5.7.4.4</w:t>
            </w:r>
            <w:r w:rsidRPr="00FA0D37">
              <w:rPr>
                <w:lang w:eastAsia="en-GB"/>
              </w:rPr>
              <w:t>. Value true indicates that the UE fulfils the criterion, and value false indicates that the UE does not fulfil the criterion</w:t>
            </w:r>
            <w:r w:rsidRPr="00FA0D37">
              <w:rPr>
                <w:rFonts w:cs="Arial"/>
                <w:lang w:eastAsia="zh-CN"/>
              </w:rPr>
              <w:t>.</w:t>
            </w:r>
          </w:p>
        </w:tc>
      </w:tr>
      <w:tr w:rsidR="005C7FF4" w:rsidRPr="00FA0D37" w:rsidDel="008A4482" w14:paraId="42907E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C138B45" w14:textId="77777777" w:rsidR="00394471" w:rsidRPr="00FA0D37" w:rsidRDefault="00394471" w:rsidP="00964CC4">
            <w:pPr>
              <w:pStyle w:val="TAL"/>
              <w:rPr>
                <w:b/>
                <w:bCs/>
                <w:i/>
                <w:iCs/>
                <w:lang w:eastAsia="zh-CN"/>
              </w:rPr>
            </w:pPr>
            <w:r w:rsidRPr="00FA0D37">
              <w:rPr>
                <w:b/>
                <w:bCs/>
                <w:i/>
                <w:iCs/>
                <w:lang w:eastAsia="zh-CN"/>
              </w:rPr>
              <w:t>sl-QoS-FlowIdentity</w:t>
            </w:r>
          </w:p>
          <w:p w14:paraId="24D2B5AD" w14:textId="77777777" w:rsidR="00394471" w:rsidRPr="00FA0D37" w:rsidDel="008A4482" w:rsidRDefault="00394471" w:rsidP="00964CC4">
            <w:pPr>
              <w:pStyle w:val="TAL"/>
              <w:rPr>
                <w:b/>
                <w:bCs/>
                <w:i/>
                <w:iCs/>
                <w:lang w:eastAsia="en-GB"/>
              </w:rPr>
            </w:pPr>
            <w:r w:rsidRPr="00FA0D37">
              <w:rPr>
                <w:rFonts w:cs="Arial"/>
                <w:lang w:eastAsia="zh-CN"/>
              </w:rPr>
              <w:t>This identity uniquely identifies one sidelink QoS flow between the UE and the network in the scope of UE, which is unique for different destination and cast type.</w:t>
            </w:r>
          </w:p>
        </w:tc>
      </w:tr>
      <w:tr w:rsidR="005C7FF4" w:rsidRPr="00FA0D37" w14:paraId="247D0A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4CB9D" w14:textId="77777777" w:rsidR="00394471" w:rsidRPr="00FA0D37" w:rsidRDefault="00394471" w:rsidP="00964CC4">
            <w:pPr>
              <w:pStyle w:val="TAL"/>
              <w:rPr>
                <w:b/>
                <w:bCs/>
                <w:i/>
                <w:iCs/>
                <w:lang w:eastAsia="en-GB"/>
              </w:rPr>
            </w:pPr>
            <w:r w:rsidRPr="00FA0D37">
              <w:rPr>
                <w:b/>
                <w:bCs/>
                <w:i/>
                <w:iCs/>
                <w:lang w:eastAsia="en-GB"/>
              </w:rPr>
              <w:t>sl-UE-AssistanceInformationNR</w:t>
            </w:r>
          </w:p>
          <w:p w14:paraId="01E40AC0" w14:textId="4B97090B" w:rsidR="00394471" w:rsidRPr="00FA0D37" w:rsidRDefault="008D2002" w:rsidP="00964CC4">
            <w:pPr>
              <w:pStyle w:val="TAL"/>
              <w:rPr>
                <w:noProof/>
                <w:lang w:eastAsia="en-GB"/>
              </w:rPr>
            </w:pPr>
            <w:r w:rsidRPr="00FA0D37">
              <w:rPr>
                <w:lang w:eastAsia="en-GB"/>
              </w:rPr>
              <w:t>I</w:t>
            </w:r>
            <w:r w:rsidR="00394471" w:rsidRPr="00FA0D37">
              <w:rPr>
                <w:lang w:eastAsia="en-GB"/>
              </w:rPr>
              <w:t>ndicates the traffic characteristic of sidelink logical channel(s)</w:t>
            </w:r>
            <w:r w:rsidRPr="00FA0D37">
              <w:rPr>
                <w:rFonts w:cs="Arial"/>
                <w:lang w:eastAsia="en-GB"/>
              </w:rPr>
              <w:t xml:space="preserve">, specified in the IE </w:t>
            </w:r>
            <w:r w:rsidRPr="00FA0D37">
              <w:rPr>
                <w:rFonts w:cs="Arial"/>
                <w:i/>
                <w:iCs/>
                <w:lang w:eastAsia="en-GB"/>
              </w:rPr>
              <w:t>SL-TrafficPatternInfo,</w:t>
            </w:r>
            <w:r w:rsidR="00394471" w:rsidRPr="00FA0D37">
              <w:rPr>
                <w:lang w:eastAsia="en-GB"/>
              </w:rPr>
              <w:t xml:space="preserve"> that are setup for NR sidelink communication</w:t>
            </w:r>
            <w:r w:rsidRPr="00FA0D37">
              <w:rPr>
                <w:lang w:eastAsia="en-GB"/>
              </w:rPr>
              <w:t>.</w:t>
            </w:r>
          </w:p>
        </w:tc>
      </w:tr>
      <w:tr w:rsidR="005C7FF4" w:rsidRPr="00FA0D37" w14:paraId="0AC9F16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5C0F5" w14:textId="77777777" w:rsidR="00394471" w:rsidRPr="00FA0D37" w:rsidRDefault="00394471" w:rsidP="00964CC4">
            <w:pPr>
              <w:pStyle w:val="TAL"/>
              <w:rPr>
                <w:szCs w:val="18"/>
                <w:lang w:eastAsia="sv-SE"/>
              </w:rPr>
            </w:pPr>
            <w:r w:rsidRPr="00FA0D37">
              <w:rPr>
                <w:b/>
                <w:bCs/>
                <w:i/>
                <w:iCs/>
                <w:lang w:eastAsia="zh-CN"/>
              </w:rPr>
              <w:t>type1</w:t>
            </w:r>
          </w:p>
          <w:p w14:paraId="16385963" w14:textId="77777777" w:rsidR="00394471" w:rsidRPr="00FA0D37" w:rsidRDefault="00394471" w:rsidP="00964CC4">
            <w:pPr>
              <w:pStyle w:val="TAL"/>
              <w:rPr>
                <w:sz w:val="20"/>
                <w:lang w:eastAsia="ko-KR"/>
              </w:rPr>
            </w:pPr>
            <w:r w:rsidRPr="00FA0D37">
              <w:rPr>
                <w:lang w:eastAsia="en-GB"/>
              </w:rPr>
              <w:t xml:space="preserve">Indicates the preferred amount of increment/decrement to the </w:t>
            </w:r>
            <w:r w:rsidRPr="00FA0D37">
              <w:rPr>
                <w:lang w:eastAsia="ko-KR"/>
              </w:rPr>
              <w:t xml:space="preserve">long DRX cycle length </w:t>
            </w:r>
            <w:r w:rsidRPr="00FA0D37">
              <w:rPr>
                <w:lang w:eastAsia="en-GB"/>
              </w:rPr>
              <w:t xml:space="preserve">with respect to the current configuration. Value in number of milliseconds. Value </w:t>
            </w:r>
            <w:r w:rsidRPr="00FA0D37">
              <w:rPr>
                <w:i/>
                <w:lang w:eastAsia="sv-SE"/>
              </w:rPr>
              <w:t>ms40</w:t>
            </w:r>
            <w:r w:rsidRPr="00FA0D37">
              <w:rPr>
                <w:lang w:eastAsia="en-GB"/>
              </w:rPr>
              <w:t xml:space="preserve"> corresponds to 40 milliseconds, </w:t>
            </w:r>
            <w:r w:rsidRPr="00FA0D37">
              <w:rPr>
                <w:i/>
                <w:lang w:eastAsia="sv-SE"/>
              </w:rPr>
              <w:t>msMinus40</w:t>
            </w:r>
            <w:r w:rsidRPr="00FA0D37">
              <w:rPr>
                <w:lang w:eastAsia="en-GB"/>
              </w:rPr>
              <w:t xml:space="preserve"> corresponds to -40 milliseconds and so on.</w:t>
            </w:r>
          </w:p>
        </w:tc>
      </w:tr>
      <w:tr w:rsidR="005C7FF4" w:rsidRPr="00FA0D37" w14:paraId="69DEB4A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F6A9494" w14:textId="77777777" w:rsidR="00243878" w:rsidRPr="00FA0D37" w:rsidRDefault="00243878" w:rsidP="00243878">
            <w:pPr>
              <w:pStyle w:val="TAL"/>
              <w:rPr>
                <w:b/>
                <w:bCs/>
                <w:i/>
                <w:iCs/>
                <w:lang w:eastAsia="zh-CN"/>
              </w:rPr>
            </w:pPr>
            <w:r w:rsidRPr="00FA0D37">
              <w:rPr>
                <w:b/>
                <w:bCs/>
                <w:i/>
                <w:iCs/>
                <w:lang w:eastAsia="zh-CN"/>
              </w:rPr>
              <w:t>ul-GapFR2-PatternPreference</w:t>
            </w:r>
          </w:p>
          <w:p w14:paraId="042DBE00" w14:textId="1B744D9D" w:rsidR="00243878" w:rsidRPr="00FA0D37" w:rsidRDefault="00243878" w:rsidP="00243878">
            <w:pPr>
              <w:pStyle w:val="TAL"/>
              <w:rPr>
                <w:lang w:eastAsia="zh-CN"/>
              </w:rPr>
            </w:pPr>
            <w:r w:rsidRPr="00FA0D37">
              <w:rPr>
                <w:lang w:eastAsia="zh-CN"/>
              </w:rPr>
              <w:t>Indicates the UE</w:t>
            </w:r>
            <w:r w:rsidR="00D537E2" w:rsidRPr="00FA0D37">
              <w:rPr>
                <w:lang w:eastAsia="zh-CN"/>
              </w:rPr>
              <w:t>'</w:t>
            </w:r>
            <w:r w:rsidRPr="00FA0D37">
              <w:rPr>
                <w:lang w:eastAsia="zh-CN"/>
              </w:rPr>
              <w:t>s preference on FR2 UL gap pattern</w:t>
            </w:r>
            <w:r w:rsidR="001212B2" w:rsidRPr="00FA0D37">
              <w:rPr>
                <w:lang w:eastAsia="zh-CN"/>
              </w:rPr>
              <w:t xml:space="preserve"> </w:t>
            </w:r>
            <w:r w:rsidR="001212B2" w:rsidRPr="00FA0D37">
              <w:t>as defined in TS 38.133 [14]</w:t>
            </w:r>
            <w:r w:rsidRPr="00FA0D37">
              <w:rPr>
                <w:lang w:eastAsia="zh-CN"/>
              </w:rPr>
              <w:t>.</w:t>
            </w:r>
          </w:p>
        </w:tc>
      </w:tr>
      <w:tr w:rsidR="005C7FF4" w:rsidRPr="00FA0D37" w14:paraId="27751F1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3EA602" w14:textId="77777777" w:rsidR="00394471" w:rsidRPr="00FA0D37" w:rsidRDefault="00394471" w:rsidP="00964CC4">
            <w:pPr>
              <w:pStyle w:val="TAL"/>
              <w:rPr>
                <w:b/>
                <w:i/>
                <w:lang w:eastAsia="sv-SE"/>
              </w:rPr>
            </w:pPr>
            <w:r w:rsidRPr="00FA0D37">
              <w:rPr>
                <w:b/>
                <w:i/>
                <w:lang w:eastAsia="sv-SE"/>
              </w:rPr>
              <w:t>victimSystemType</w:t>
            </w:r>
          </w:p>
          <w:p w14:paraId="7E7346EE" w14:textId="77777777" w:rsidR="00394471" w:rsidRPr="00FA0D37" w:rsidRDefault="00394471" w:rsidP="00964CC4">
            <w:pPr>
              <w:pStyle w:val="TAL"/>
              <w:rPr>
                <w:b/>
                <w:bCs/>
                <w:i/>
                <w:iCs/>
                <w:lang w:eastAsia="zh-CN"/>
              </w:rPr>
            </w:pPr>
            <w:r w:rsidRPr="00FA0D37">
              <w:rPr>
                <w:lang w:eastAsia="sv-SE"/>
              </w:rPr>
              <w:t xml:space="preserve">Indicate the list of victim system types to which IDC interference is caused from NR when configured with UL CA. </w:t>
            </w:r>
            <w:r w:rsidRPr="00FA0D37">
              <w:rPr>
                <w:lang w:eastAsia="zh-CN"/>
              </w:rPr>
              <w:t xml:space="preserve">Value </w:t>
            </w:r>
            <w:r w:rsidRPr="00FA0D37">
              <w:rPr>
                <w:i/>
                <w:lang w:eastAsia="sv-SE"/>
              </w:rPr>
              <w:t>gps</w:t>
            </w:r>
            <w:r w:rsidRPr="00FA0D37">
              <w:rPr>
                <w:lang w:eastAsia="sv-SE"/>
              </w:rPr>
              <w:t xml:space="preserve">, </w:t>
            </w:r>
            <w:r w:rsidRPr="00FA0D37">
              <w:rPr>
                <w:i/>
                <w:lang w:eastAsia="sv-SE"/>
              </w:rPr>
              <w:t>glonass</w:t>
            </w:r>
            <w:r w:rsidRPr="00FA0D37">
              <w:rPr>
                <w:lang w:eastAsia="sv-SE"/>
              </w:rPr>
              <w:t xml:space="preserve">, </w:t>
            </w:r>
            <w:r w:rsidRPr="00FA0D37">
              <w:rPr>
                <w:i/>
                <w:lang w:eastAsia="sv-SE"/>
              </w:rPr>
              <w:t>bds</w:t>
            </w:r>
            <w:r w:rsidRPr="00FA0D37">
              <w:rPr>
                <w:lang w:eastAsia="sv-SE"/>
              </w:rPr>
              <w:t xml:space="preserve">, </w:t>
            </w:r>
            <w:r w:rsidRPr="00FA0D37">
              <w:rPr>
                <w:i/>
                <w:lang w:eastAsia="sv-SE"/>
              </w:rPr>
              <w:t>galileo</w:t>
            </w:r>
            <w:r w:rsidRPr="00FA0D37">
              <w:rPr>
                <w:lang w:eastAsia="zh-CN"/>
              </w:rPr>
              <w:t xml:space="preserve"> and </w:t>
            </w:r>
            <w:r w:rsidRPr="00FA0D37">
              <w:rPr>
                <w:i/>
                <w:lang w:eastAsia="zh-CN"/>
              </w:rPr>
              <w:t>navIC</w:t>
            </w:r>
            <w:r w:rsidRPr="00FA0D37">
              <w:rPr>
                <w:lang w:eastAsia="zh-CN"/>
              </w:rPr>
              <w:t xml:space="preserve"> indicates </w:t>
            </w:r>
            <w:r w:rsidRPr="00FA0D37">
              <w:rPr>
                <w:lang w:eastAsia="sv-SE"/>
              </w:rPr>
              <w:t>the type of GNSS. V</w:t>
            </w:r>
            <w:r w:rsidRPr="00FA0D37">
              <w:rPr>
                <w:lang w:eastAsia="zh-CN"/>
              </w:rPr>
              <w:t xml:space="preserve">alue </w:t>
            </w:r>
            <w:r w:rsidRPr="00FA0D37">
              <w:rPr>
                <w:i/>
                <w:lang w:eastAsia="sv-SE"/>
              </w:rPr>
              <w:t>wlan</w:t>
            </w:r>
            <w:r w:rsidRPr="00FA0D37">
              <w:rPr>
                <w:lang w:eastAsia="zh-CN"/>
              </w:rPr>
              <w:t xml:space="preserve"> indicates </w:t>
            </w:r>
            <w:r w:rsidRPr="00FA0D37">
              <w:rPr>
                <w:lang w:eastAsia="sv-SE"/>
              </w:rPr>
              <w:t xml:space="preserve">WLAN </w:t>
            </w:r>
            <w:r w:rsidRPr="00FA0D37">
              <w:rPr>
                <w:lang w:eastAsia="zh-CN"/>
              </w:rPr>
              <w:t xml:space="preserve">and value </w:t>
            </w:r>
            <w:r w:rsidRPr="00FA0D37">
              <w:rPr>
                <w:i/>
                <w:iCs/>
                <w:lang w:eastAsia="zh-CN"/>
              </w:rPr>
              <w:t>b</w:t>
            </w:r>
            <w:r w:rsidRPr="00FA0D37">
              <w:rPr>
                <w:i/>
                <w:iCs/>
                <w:lang w:eastAsia="sv-SE"/>
              </w:rPr>
              <w:t>lueto</w:t>
            </w:r>
            <w:r w:rsidRPr="00FA0D37">
              <w:rPr>
                <w:i/>
                <w:iCs/>
                <w:lang w:eastAsia="zh-CN"/>
              </w:rPr>
              <w:t>oth</w:t>
            </w:r>
            <w:r w:rsidRPr="00FA0D37">
              <w:rPr>
                <w:lang w:eastAsia="zh-CN"/>
              </w:rPr>
              <w:t xml:space="preserve"> indicates </w:t>
            </w:r>
            <w:r w:rsidRPr="00FA0D37">
              <w:rPr>
                <w:lang w:eastAsia="sv-SE"/>
              </w:rPr>
              <w:t>Bluetooth</w:t>
            </w:r>
            <w:r w:rsidRPr="00FA0D37">
              <w:rPr>
                <w:lang w:eastAsia="zh-CN"/>
              </w:rPr>
              <w:t>.</w:t>
            </w:r>
          </w:p>
        </w:tc>
      </w:tr>
    </w:tbl>
    <w:p w14:paraId="71A17B3E" w14:textId="77777777" w:rsidR="00B84F10" w:rsidRPr="00FA0D37" w:rsidRDefault="00B84F10" w:rsidP="00B84F10">
      <w:pPr>
        <w:rPr>
          <w:rFonts w:eastAsia="MS Mincho"/>
        </w:rPr>
      </w:pPr>
    </w:p>
    <w:p w14:paraId="5B0200D8" w14:textId="7738D6EE" w:rsidR="00B84F10" w:rsidRPr="00FA0D37" w:rsidRDefault="00B84F10" w:rsidP="005C7FF4">
      <w:pPr>
        <w:pStyle w:val="NO"/>
        <w:rPr>
          <w:rFonts w:eastAsia="宋体"/>
        </w:rPr>
      </w:pPr>
      <w:r w:rsidRPr="00FA0D37">
        <w:rPr>
          <w:rFonts w:eastAsia="宋体"/>
        </w:rPr>
        <w:t>NOTE 1:</w:t>
      </w:r>
      <w:r w:rsidRPr="00FA0D37">
        <w:rPr>
          <w:rFonts w:eastAsia="宋体"/>
        </w:rPr>
        <w:tab/>
        <w:t>The field may also indicate the UE</w:t>
      </w:r>
      <w:r w:rsidR="00375B89" w:rsidRPr="00FA0D37">
        <w:rPr>
          <w:rFonts w:eastAsia="宋体"/>
        </w:rPr>
        <w:t>'</w:t>
      </w:r>
      <w:r w:rsidRPr="00FA0D37">
        <w:rPr>
          <w:rFonts w:eastAsia="宋体"/>
        </w:rPr>
        <w:t xml:space="preserve">s preference on reduced configuration corresponding to the maximum number of SRS ports (i.e. </w:t>
      </w:r>
      <w:r w:rsidRPr="00FA0D37">
        <w:rPr>
          <w:rFonts w:eastAsia="宋体"/>
          <w:i/>
        </w:rPr>
        <w:t>nrofSRS-Ports</w:t>
      </w:r>
      <w:r w:rsidRPr="00FA0D37">
        <w:rPr>
          <w:rFonts w:eastAsia="宋体"/>
        </w:rPr>
        <w:t xml:space="preserve">) of each serving cell operating on the associated </w:t>
      </w:r>
      <w:r w:rsidRPr="00FA0D37">
        <w:rPr>
          <w:szCs w:val="22"/>
          <w:lang w:eastAsia="sv-SE"/>
        </w:rPr>
        <w:t>frequency range</w:t>
      </w:r>
      <w:r w:rsidRPr="00FA0D37">
        <w:rPr>
          <w:rFonts w:eastAsia="宋体"/>
        </w:rPr>
        <w:t>.</w:t>
      </w:r>
    </w:p>
    <w:p w14:paraId="58C9DEDC" w14:textId="77777777" w:rsidR="0070235D" w:rsidRPr="00FA0D37" w:rsidRDefault="0070235D" w:rsidP="0070235D"/>
    <w:tbl>
      <w:tblPr>
        <w:tblStyle w:val="af8"/>
        <w:tblW w:w="14173" w:type="dxa"/>
        <w:tblInd w:w="0" w:type="dxa"/>
        <w:tblLook w:val="04A0" w:firstRow="1" w:lastRow="0" w:firstColumn="1" w:lastColumn="0" w:noHBand="0" w:noVBand="1"/>
      </w:tblPr>
      <w:tblGrid>
        <w:gridCol w:w="14173"/>
      </w:tblGrid>
      <w:tr w:rsidR="005C7FF4" w:rsidRPr="00FA0D37" w14:paraId="3EB624B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8137D2F" w14:textId="77777777" w:rsidR="008D2002" w:rsidRPr="00FA0D37" w:rsidRDefault="008D2002" w:rsidP="003B657B">
            <w:pPr>
              <w:pStyle w:val="TAH"/>
            </w:pPr>
            <w:r w:rsidRPr="00FA0D37">
              <w:rPr>
                <w:i/>
              </w:rPr>
              <w:lastRenderedPageBreak/>
              <w:t>SL-TrafficPatternInfo field descriptions</w:t>
            </w:r>
          </w:p>
        </w:tc>
      </w:tr>
      <w:tr w:rsidR="005C7FF4" w:rsidRPr="00FA0D37" w14:paraId="168541BA"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CAAE2CE" w14:textId="77777777" w:rsidR="008D2002" w:rsidRPr="00FA0D37" w:rsidRDefault="008D2002" w:rsidP="003B657B">
            <w:pPr>
              <w:pStyle w:val="TAL"/>
              <w:rPr>
                <w:b/>
                <w:i/>
                <w:noProof/>
                <w:lang w:eastAsia="en-GB"/>
              </w:rPr>
            </w:pPr>
            <w:r w:rsidRPr="00FA0D37">
              <w:rPr>
                <w:b/>
                <w:i/>
                <w:lang w:eastAsia="zh-CN"/>
              </w:rPr>
              <w:t>m</w:t>
            </w:r>
            <w:r w:rsidRPr="00FA0D37">
              <w:rPr>
                <w:b/>
                <w:i/>
              </w:rPr>
              <w:t>essageSize</w:t>
            </w:r>
          </w:p>
          <w:p w14:paraId="72CBFBBC" w14:textId="77777777" w:rsidR="008D2002" w:rsidRPr="00FA0D37" w:rsidRDefault="008D2002" w:rsidP="003B657B">
            <w:pPr>
              <w:pStyle w:val="TAL"/>
              <w:rPr>
                <w:b/>
                <w:i/>
                <w:noProof/>
                <w:lang w:eastAsia="en-GB"/>
              </w:rPr>
            </w:pPr>
            <w:r w:rsidRPr="00FA0D37">
              <w:rPr>
                <w:lang w:eastAsia="zh-CN"/>
              </w:rPr>
              <w:t>Indicates the maximum TB size based on the observed traffic pattern</w:t>
            </w:r>
            <w:r w:rsidRPr="00FA0D37">
              <w:rPr>
                <w:lang w:eastAsia="en-GB"/>
              </w:rPr>
              <w:t>. The value refers to the index of TS 38.321 [3], table 6.1.3.1-2.</w:t>
            </w:r>
          </w:p>
        </w:tc>
      </w:tr>
      <w:tr w:rsidR="005C7FF4" w:rsidRPr="00FA0D37" w14:paraId="607EA93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1373BBD" w14:textId="77777777" w:rsidR="008D2002" w:rsidRPr="00FA0D37" w:rsidRDefault="008D2002" w:rsidP="003B657B">
            <w:pPr>
              <w:pStyle w:val="TAL"/>
              <w:rPr>
                <w:b/>
                <w:i/>
                <w:noProof/>
                <w:lang w:eastAsia="en-GB"/>
              </w:rPr>
            </w:pPr>
            <w:r w:rsidRPr="00FA0D37">
              <w:rPr>
                <w:b/>
                <w:i/>
                <w:noProof/>
                <w:lang w:eastAsia="en-GB"/>
              </w:rPr>
              <w:t>timingOffset</w:t>
            </w:r>
          </w:p>
          <w:p w14:paraId="0EFB79DC" w14:textId="77777777" w:rsidR="008D2002" w:rsidRPr="00FA0D37" w:rsidRDefault="008D2002" w:rsidP="003B657B">
            <w:pPr>
              <w:pStyle w:val="TAL"/>
              <w:rPr>
                <w:b/>
                <w:i/>
              </w:rPr>
            </w:pPr>
            <w:r w:rsidRPr="00FA0D37">
              <w:rPr>
                <w:noProof/>
                <w:lang w:eastAsia="en-GB"/>
              </w:rPr>
              <w:t>This field indicates the estimated timing for a packet arrival in a sidelink logical channel. Specifically, the value indicates the timing offset with respect to subframe#0 of SFN#0 in milliseconds.</w:t>
            </w:r>
          </w:p>
        </w:tc>
      </w:tr>
      <w:tr w:rsidR="008D2002" w:rsidRPr="00FA0D37" w14:paraId="2735059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62F6B77" w14:textId="77777777" w:rsidR="008D2002" w:rsidRPr="00FA0D37" w:rsidRDefault="008D2002" w:rsidP="003B657B">
            <w:pPr>
              <w:pStyle w:val="TAL"/>
              <w:rPr>
                <w:b/>
                <w:i/>
                <w:noProof/>
                <w:lang w:eastAsia="en-GB"/>
              </w:rPr>
            </w:pPr>
            <w:r w:rsidRPr="00FA0D37">
              <w:rPr>
                <w:b/>
                <w:i/>
                <w:noProof/>
                <w:lang w:eastAsia="en-GB"/>
              </w:rPr>
              <w:t>trafficPeriodicity</w:t>
            </w:r>
          </w:p>
          <w:p w14:paraId="143A9A10" w14:textId="77777777" w:rsidR="008D2002" w:rsidRPr="00FA0D37" w:rsidRDefault="008D2002" w:rsidP="003B657B">
            <w:pPr>
              <w:pStyle w:val="TAL"/>
              <w:rPr>
                <w:b/>
                <w:i/>
                <w:noProof/>
                <w:lang w:eastAsia="en-GB"/>
              </w:rPr>
            </w:pPr>
            <w:r w:rsidRPr="00FA0D37">
              <w:rPr>
                <w:noProof/>
                <w:lang w:eastAsia="en-GB"/>
              </w:rPr>
              <w:t>This field indicates the estimated data arrival periodicity in a sidelink logical channel. Value ms20 corresponds to 20 ms, ms50 corresponds to 50 ms and so on.</w:t>
            </w:r>
          </w:p>
        </w:tc>
      </w:tr>
    </w:tbl>
    <w:p w14:paraId="67753F8A" w14:textId="77777777" w:rsidR="008D2002" w:rsidRPr="00FA0D37" w:rsidRDefault="008D2002" w:rsidP="00394471"/>
    <w:p w14:paraId="0AA2C5FE" w14:textId="77777777" w:rsidR="00394471" w:rsidRPr="00FA0D37" w:rsidRDefault="00394471" w:rsidP="00394471">
      <w:pPr>
        <w:pStyle w:val="4"/>
      </w:pPr>
      <w:bookmarkStart w:id="730" w:name="_Toc60777129"/>
      <w:bookmarkStart w:id="731" w:name="_Toc146781166"/>
      <w:r w:rsidRPr="00FA0D37">
        <w:t>–</w:t>
      </w:r>
      <w:r w:rsidRPr="00FA0D37">
        <w:tab/>
      </w:r>
      <w:r w:rsidRPr="00FA0D37">
        <w:rPr>
          <w:i/>
        </w:rPr>
        <w:t>UECapabilityEnquiry</w:t>
      </w:r>
      <w:bookmarkEnd w:id="730"/>
      <w:bookmarkEnd w:id="731"/>
    </w:p>
    <w:p w14:paraId="21924D42" w14:textId="77777777" w:rsidR="00394471" w:rsidRPr="00FA0D37" w:rsidRDefault="00394471" w:rsidP="00394471">
      <w:r w:rsidRPr="00FA0D37">
        <w:t xml:space="preserve">The </w:t>
      </w:r>
      <w:r w:rsidRPr="00FA0D37">
        <w:rPr>
          <w:i/>
        </w:rPr>
        <w:t>UECapabilityEnquiry</w:t>
      </w:r>
      <w:r w:rsidRPr="00FA0D37">
        <w:t xml:space="preserve"> message is used to request UE radio access capabilities for NR as well as for other RATs.</w:t>
      </w:r>
    </w:p>
    <w:p w14:paraId="04AAA85C" w14:textId="77777777" w:rsidR="00394471" w:rsidRPr="00FA0D37" w:rsidRDefault="00394471" w:rsidP="00394471">
      <w:pPr>
        <w:pStyle w:val="B1"/>
      </w:pPr>
      <w:r w:rsidRPr="00FA0D37">
        <w:t>Signalling radio bearer: SRB1</w:t>
      </w:r>
    </w:p>
    <w:p w14:paraId="22097A8F" w14:textId="77777777" w:rsidR="00394471" w:rsidRPr="00FA0D37" w:rsidRDefault="00394471" w:rsidP="00394471">
      <w:pPr>
        <w:pStyle w:val="B1"/>
      </w:pPr>
      <w:r w:rsidRPr="00FA0D37">
        <w:t>RLC-SAP: AM</w:t>
      </w:r>
    </w:p>
    <w:p w14:paraId="60AF8F12" w14:textId="77777777" w:rsidR="00394471" w:rsidRPr="00FA0D37" w:rsidRDefault="00394471" w:rsidP="00394471">
      <w:pPr>
        <w:pStyle w:val="B1"/>
      </w:pPr>
      <w:r w:rsidRPr="00FA0D37">
        <w:t>Logical channel: DCCH</w:t>
      </w:r>
    </w:p>
    <w:p w14:paraId="4A109E8C" w14:textId="77777777" w:rsidR="00394471" w:rsidRPr="00FA0D37" w:rsidRDefault="00394471" w:rsidP="00394471">
      <w:pPr>
        <w:pStyle w:val="B1"/>
      </w:pPr>
      <w:r w:rsidRPr="00FA0D37">
        <w:t>Direction: Network to UE</w:t>
      </w:r>
    </w:p>
    <w:p w14:paraId="7A9F481B" w14:textId="77777777" w:rsidR="00394471" w:rsidRPr="00FA0D37" w:rsidRDefault="00394471" w:rsidP="00394471">
      <w:pPr>
        <w:pStyle w:val="TH"/>
      </w:pPr>
      <w:r w:rsidRPr="00FA0D37">
        <w:rPr>
          <w:i/>
        </w:rPr>
        <w:t>UECapabilityEnquiry</w:t>
      </w:r>
      <w:r w:rsidRPr="00FA0D37">
        <w:t xml:space="preserve"> message</w:t>
      </w:r>
    </w:p>
    <w:p w14:paraId="4B9E3F8D" w14:textId="77777777" w:rsidR="00394471" w:rsidRPr="00FA0D37" w:rsidRDefault="00394471" w:rsidP="00FA0D37">
      <w:pPr>
        <w:pStyle w:val="PL"/>
        <w:rPr>
          <w:color w:val="808080"/>
        </w:rPr>
      </w:pPr>
      <w:r w:rsidRPr="00FA0D37">
        <w:rPr>
          <w:color w:val="808080"/>
        </w:rPr>
        <w:t>-- ASN1START</w:t>
      </w:r>
    </w:p>
    <w:p w14:paraId="10F8D4EC" w14:textId="77777777" w:rsidR="00394471" w:rsidRPr="00FA0D37" w:rsidRDefault="00394471" w:rsidP="00FA0D37">
      <w:pPr>
        <w:pStyle w:val="PL"/>
        <w:rPr>
          <w:color w:val="808080"/>
        </w:rPr>
      </w:pPr>
      <w:r w:rsidRPr="00FA0D37">
        <w:rPr>
          <w:color w:val="808080"/>
        </w:rPr>
        <w:t>-- TAG-UECAPABILITYENQUIRY-START</w:t>
      </w:r>
    </w:p>
    <w:p w14:paraId="350D2D43" w14:textId="77777777" w:rsidR="00394471" w:rsidRPr="00FA0D37" w:rsidRDefault="00394471" w:rsidP="00FA0D37">
      <w:pPr>
        <w:pStyle w:val="PL"/>
      </w:pPr>
    </w:p>
    <w:p w14:paraId="558E40C6" w14:textId="77777777" w:rsidR="00394471" w:rsidRPr="00FA0D37" w:rsidRDefault="00394471" w:rsidP="00FA0D37">
      <w:pPr>
        <w:pStyle w:val="PL"/>
      </w:pPr>
      <w:r w:rsidRPr="00FA0D37">
        <w:t xml:space="preserve">UECapabilityEnquiry ::=             </w:t>
      </w:r>
      <w:r w:rsidRPr="00FA0D37">
        <w:rPr>
          <w:color w:val="993366"/>
        </w:rPr>
        <w:t>SEQUENCE</w:t>
      </w:r>
      <w:r w:rsidRPr="00FA0D37">
        <w:t xml:space="preserve"> {</w:t>
      </w:r>
    </w:p>
    <w:p w14:paraId="4D57D92D" w14:textId="77777777" w:rsidR="00394471" w:rsidRPr="00FA0D37" w:rsidRDefault="00394471" w:rsidP="00FA0D37">
      <w:pPr>
        <w:pStyle w:val="PL"/>
      </w:pPr>
      <w:r w:rsidRPr="00FA0D37">
        <w:t xml:space="preserve">    rrc-TransactionIdentifier           RRC-TransactionIdentifier,</w:t>
      </w:r>
    </w:p>
    <w:p w14:paraId="3E3366BE"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54F9673B" w14:textId="77777777" w:rsidR="00394471" w:rsidRPr="00FA0D37" w:rsidRDefault="00394471" w:rsidP="00FA0D37">
      <w:pPr>
        <w:pStyle w:val="PL"/>
      </w:pPr>
      <w:r w:rsidRPr="00FA0D37">
        <w:t xml:space="preserve">        ueCapabilityEnquiry                 UECapabilityEnquiry-IEs,</w:t>
      </w:r>
    </w:p>
    <w:p w14:paraId="7EFA24F6"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5D68EC19" w14:textId="77777777" w:rsidR="00394471" w:rsidRPr="00FA0D37" w:rsidRDefault="00394471" w:rsidP="00FA0D37">
      <w:pPr>
        <w:pStyle w:val="PL"/>
      </w:pPr>
      <w:r w:rsidRPr="00FA0D37">
        <w:t xml:space="preserve">    }</w:t>
      </w:r>
    </w:p>
    <w:p w14:paraId="1D36694E" w14:textId="77777777" w:rsidR="00394471" w:rsidRPr="00FA0D37" w:rsidRDefault="00394471" w:rsidP="00FA0D37">
      <w:pPr>
        <w:pStyle w:val="PL"/>
      </w:pPr>
      <w:r w:rsidRPr="00FA0D37">
        <w:t>}</w:t>
      </w:r>
    </w:p>
    <w:p w14:paraId="4B72903B" w14:textId="77777777" w:rsidR="00394471" w:rsidRPr="00FA0D37" w:rsidRDefault="00394471" w:rsidP="00FA0D37">
      <w:pPr>
        <w:pStyle w:val="PL"/>
      </w:pPr>
    </w:p>
    <w:p w14:paraId="0513F86F" w14:textId="77777777" w:rsidR="00394471" w:rsidRPr="00FA0D37" w:rsidRDefault="00394471" w:rsidP="00FA0D37">
      <w:pPr>
        <w:pStyle w:val="PL"/>
      </w:pPr>
      <w:r w:rsidRPr="00FA0D37">
        <w:t xml:space="preserve">UECapabilityEnquiry-IEs ::=         </w:t>
      </w:r>
      <w:r w:rsidRPr="00FA0D37">
        <w:rPr>
          <w:color w:val="993366"/>
        </w:rPr>
        <w:t>SEQUENCE</w:t>
      </w:r>
      <w:r w:rsidRPr="00FA0D37">
        <w:t xml:space="preserve"> {</w:t>
      </w:r>
    </w:p>
    <w:p w14:paraId="6A2E7B5C" w14:textId="77777777" w:rsidR="00394471" w:rsidRPr="00FA0D37" w:rsidRDefault="00394471" w:rsidP="00FA0D37">
      <w:pPr>
        <w:pStyle w:val="PL"/>
      </w:pPr>
      <w:r w:rsidRPr="00FA0D37">
        <w:t xml:space="preserve">    ue-CapabilityRAT-RequestList        UE-CapabilityRAT-RequestList,</w:t>
      </w:r>
    </w:p>
    <w:p w14:paraId="143F6BBD"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014FA0A" w14:textId="3E20EC80" w:rsidR="00394471" w:rsidRPr="00FA0D37" w:rsidRDefault="00394471" w:rsidP="00FA0D37">
      <w:pPr>
        <w:pStyle w:val="PL"/>
        <w:rPr>
          <w:color w:val="808080"/>
        </w:rPr>
      </w:pPr>
      <w:r w:rsidRPr="00FA0D37">
        <w:t xml:space="preserve">    ue-CapabilityEnquiryExt             </w:t>
      </w:r>
      <w:r w:rsidRPr="00FA0D37">
        <w:rPr>
          <w:color w:val="993366"/>
        </w:rPr>
        <w:t>OCTET</w:t>
      </w:r>
      <w:r w:rsidRPr="00FA0D37">
        <w:t xml:space="preserve"> </w:t>
      </w:r>
      <w:r w:rsidRPr="00FA0D37">
        <w:rPr>
          <w:color w:val="993366"/>
        </w:rPr>
        <w:t>STRING</w:t>
      </w:r>
      <w:r w:rsidRPr="00FA0D37">
        <w:t xml:space="preserve"> (CONTAINING UECapabilityEnquiry-v1560-IEs)                 </w:t>
      </w:r>
      <w:r w:rsidRPr="00FA0D37">
        <w:rPr>
          <w:color w:val="993366"/>
        </w:rPr>
        <w:t>OPTIONAL</w:t>
      </w:r>
      <w:r w:rsidR="00835C66" w:rsidRPr="00FA0D37">
        <w:rPr>
          <w:rFonts w:eastAsia="宋体"/>
        </w:rPr>
        <w:t xml:space="preserve"> </w:t>
      </w:r>
      <w:r w:rsidR="00835C66" w:rsidRPr="00FA0D37">
        <w:rPr>
          <w:rFonts w:eastAsia="宋体"/>
          <w:color w:val="808080"/>
        </w:rPr>
        <w:t>--  Need N</w:t>
      </w:r>
    </w:p>
    <w:p w14:paraId="1FC93D4F" w14:textId="77777777" w:rsidR="00394471" w:rsidRPr="00FA0D37" w:rsidRDefault="00394471" w:rsidP="00FA0D37">
      <w:pPr>
        <w:pStyle w:val="PL"/>
      </w:pPr>
      <w:r w:rsidRPr="00FA0D37">
        <w:t>}</w:t>
      </w:r>
    </w:p>
    <w:p w14:paraId="0641B3DA" w14:textId="77777777" w:rsidR="00394471" w:rsidRPr="00FA0D37" w:rsidRDefault="00394471" w:rsidP="00FA0D37">
      <w:pPr>
        <w:pStyle w:val="PL"/>
      </w:pPr>
    </w:p>
    <w:p w14:paraId="219D75DC" w14:textId="77777777" w:rsidR="00394471" w:rsidRPr="00FA0D37" w:rsidRDefault="00394471" w:rsidP="00FA0D37">
      <w:pPr>
        <w:pStyle w:val="PL"/>
      </w:pPr>
      <w:r w:rsidRPr="00FA0D37">
        <w:t xml:space="preserve">UECapabilityEnquiry-v1560-IEs ::=   </w:t>
      </w:r>
      <w:r w:rsidRPr="00FA0D37">
        <w:rPr>
          <w:color w:val="993366"/>
        </w:rPr>
        <w:t>SEQUENCE</w:t>
      </w:r>
      <w:r w:rsidRPr="00FA0D37">
        <w:t xml:space="preserve"> {</w:t>
      </w:r>
    </w:p>
    <w:p w14:paraId="30BF2D39" w14:textId="77777777" w:rsidR="00394471" w:rsidRPr="00FA0D37" w:rsidRDefault="00394471" w:rsidP="00FA0D37">
      <w:pPr>
        <w:pStyle w:val="PL"/>
        <w:rPr>
          <w:color w:val="808080"/>
        </w:rPr>
      </w:pPr>
      <w:r w:rsidRPr="00FA0D37">
        <w:t xml:space="preserve">    capabilityRequestFilterCommon       UE-CapabilityRequestFilterCommon                                        </w:t>
      </w:r>
      <w:r w:rsidRPr="00FA0D37">
        <w:rPr>
          <w:color w:val="993366"/>
        </w:rPr>
        <w:t>OPTIONAL</w:t>
      </w:r>
      <w:r w:rsidRPr="00FA0D37">
        <w:t xml:space="preserve">, </w:t>
      </w:r>
      <w:r w:rsidRPr="00FA0D37">
        <w:rPr>
          <w:color w:val="808080"/>
        </w:rPr>
        <w:t>-- Need N</w:t>
      </w:r>
    </w:p>
    <w:p w14:paraId="3136B54E" w14:textId="77777777" w:rsidR="00394471" w:rsidRPr="00FA0D37" w:rsidRDefault="00394471" w:rsidP="00FA0D37">
      <w:pPr>
        <w:pStyle w:val="PL"/>
      </w:pPr>
      <w:r w:rsidRPr="00FA0D37">
        <w:t xml:space="preserve">    nonCriticalExtension                UECapabilityEnquiry-v1610-IEs                                           </w:t>
      </w:r>
      <w:r w:rsidRPr="00FA0D37">
        <w:rPr>
          <w:color w:val="993366"/>
        </w:rPr>
        <w:t>OPTIONAL</w:t>
      </w:r>
    </w:p>
    <w:p w14:paraId="1AD643C2" w14:textId="77777777" w:rsidR="00394471" w:rsidRPr="00FA0D37" w:rsidRDefault="00394471" w:rsidP="00FA0D37">
      <w:pPr>
        <w:pStyle w:val="PL"/>
      </w:pPr>
      <w:r w:rsidRPr="00FA0D37">
        <w:t>}</w:t>
      </w:r>
    </w:p>
    <w:p w14:paraId="28F23BD3" w14:textId="77777777" w:rsidR="00394471" w:rsidRPr="00FA0D37" w:rsidRDefault="00394471" w:rsidP="00FA0D37">
      <w:pPr>
        <w:pStyle w:val="PL"/>
      </w:pPr>
    </w:p>
    <w:p w14:paraId="6FEDD907" w14:textId="77777777" w:rsidR="00394471" w:rsidRPr="00FA0D37" w:rsidRDefault="00394471" w:rsidP="00FA0D37">
      <w:pPr>
        <w:pStyle w:val="PL"/>
      </w:pPr>
      <w:r w:rsidRPr="00FA0D37">
        <w:t xml:space="preserve">UECapabilityEnquiry-v1610-IEs ::=   </w:t>
      </w:r>
      <w:r w:rsidRPr="00FA0D37">
        <w:rPr>
          <w:color w:val="993366"/>
        </w:rPr>
        <w:t>SEQUENCE</w:t>
      </w:r>
      <w:r w:rsidRPr="00FA0D37">
        <w:t xml:space="preserve"> {</w:t>
      </w:r>
    </w:p>
    <w:p w14:paraId="12ABD769" w14:textId="78954DFF" w:rsidR="00394471" w:rsidRPr="00FA0D37" w:rsidRDefault="00394471" w:rsidP="00FA0D37">
      <w:pPr>
        <w:pStyle w:val="PL"/>
        <w:rPr>
          <w:rFonts w:eastAsia="宋体"/>
          <w:color w:val="808080"/>
        </w:rPr>
      </w:pPr>
      <w:r w:rsidRPr="00FA0D37">
        <w:lastRenderedPageBreak/>
        <w:t xml:space="preserve">    </w:t>
      </w:r>
      <w:r w:rsidRPr="00FA0D37">
        <w:rPr>
          <w:rFonts w:eastAsia="宋体"/>
        </w:rPr>
        <w:t>rrc-SegAllowed-r16</w:t>
      </w:r>
      <w:r w:rsidRPr="00FA0D37">
        <w:t xml:space="preserve">           </w:t>
      </w:r>
      <w:r w:rsidR="00424A58" w:rsidRPr="00FA0D37">
        <w:t xml:space="preserve">       </w:t>
      </w:r>
      <w:r w:rsidRPr="00FA0D37">
        <w:rPr>
          <w:color w:val="993366"/>
        </w:rPr>
        <w:t>ENUMERATED</w:t>
      </w:r>
      <w:r w:rsidRPr="00FA0D37">
        <w:t xml:space="preserve"> {enabled}           </w:t>
      </w:r>
      <w:r w:rsidRPr="00FA0D37">
        <w:rPr>
          <w:color w:val="993366"/>
        </w:rPr>
        <w:t>OPTIONAL</w:t>
      </w:r>
      <w:r w:rsidRPr="00FA0D37">
        <w:t>,</w:t>
      </w:r>
      <w:r w:rsidRPr="00FA0D37">
        <w:rPr>
          <w:rFonts w:eastAsia="宋体"/>
        </w:rPr>
        <w:t xml:space="preserve"> </w:t>
      </w:r>
      <w:r w:rsidRPr="00FA0D37">
        <w:rPr>
          <w:rFonts w:eastAsia="宋体"/>
          <w:color w:val="808080"/>
        </w:rPr>
        <w:t>-- Need N</w:t>
      </w:r>
    </w:p>
    <w:p w14:paraId="65737FFA"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1B0199CD" w14:textId="77777777" w:rsidR="00394471" w:rsidRPr="00FA0D37" w:rsidRDefault="00394471" w:rsidP="00FA0D37">
      <w:pPr>
        <w:pStyle w:val="PL"/>
      </w:pPr>
      <w:r w:rsidRPr="00FA0D37">
        <w:t>}</w:t>
      </w:r>
    </w:p>
    <w:p w14:paraId="27760A3E" w14:textId="77777777" w:rsidR="00394471" w:rsidRPr="00FA0D37" w:rsidRDefault="00394471" w:rsidP="00FA0D37">
      <w:pPr>
        <w:pStyle w:val="PL"/>
      </w:pPr>
    </w:p>
    <w:p w14:paraId="7673ABE9" w14:textId="77777777" w:rsidR="00394471" w:rsidRPr="00FA0D37" w:rsidRDefault="00394471" w:rsidP="00FA0D37">
      <w:pPr>
        <w:pStyle w:val="PL"/>
        <w:rPr>
          <w:color w:val="808080"/>
        </w:rPr>
      </w:pPr>
      <w:r w:rsidRPr="00FA0D37">
        <w:rPr>
          <w:color w:val="808080"/>
        </w:rPr>
        <w:t>-- TAG-UECAPABILITYENQUIRY-STOP</w:t>
      </w:r>
    </w:p>
    <w:p w14:paraId="4E96FD1C" w14:textId="77777777" w:rsidR="00394471" w:rsidRPr="00FA0D37" w:rsidRDefault="00394471" w:rsidP="00FA0D37">
      <w:pPr>
        <w:pStyle w:val="PL"/>
        <w:rPr>
          <w:color w:val="808080"/>
        </w:rPr>
      </w:pPr>
      <w:r w:rsidRPr="00FA0D37">
        <w:rPr>
          <w:color w:val="808080"/>
        </w:rPr>
        <w:t>-- ASN1STOP</w:t>
      </w:r>
    </w:p>
    <w:p w14:paraId="1178F191" w14:textId="77777777" w:rsidR="00394471" w:rsidRPr="00FA0D37" w:rsidRDefault="00394471" w:rsidP="00394471"/>
    <w:p w14:paraId="67D80BB5" w14:textId="77777777" w:rsidR="00394471" w:rsidRPr="00FA0D37" w:rsidRDefault="00394471" w:rsidP="00394471">
      <w:pPr>
        <w:pStyle w:val="4"/>
      </w:pPr>
      <w:bookmarkStart w:id="732" w:name="_Toc60777130"/>
      <w:bookmarkStart w:id="733" w:name="_Toc146781167"/>
      <w:r w:rsidRPr="00FA0D37">
        <w:t>–</w:t>
      </w:r>
      <w:r w:rsidRPr="00FA0D37">
        <w:tab/>
      </w:r>
      <w:r w:rsidRPr="00FA0D37">
        <w:rPr>
          <w:i/>
        </w:rPr>
        <w:t>UECapabilityInformation</w:t>
      </w:r>
      <w:bookmarkEnd w:id="732"/>
      <w:bookmarkEnd w:id="733"/>
    </w:p>
    <w:p w14:paraId="66461C42" w14:textId="77777777" w:rsidR="00394471" w:rsidRPr="00FA0D37" w:rsidRDefault="00394471" w:rsidP="00394471">
      <w:r w:rsidRPr="00FA0D37">
        <w:t xml:space="preserve">The IE </w:t>
      </w:r>
      <w:r w:rsidRPr="00FA0D37">
        <w:rPr>
          <w:i/>
        </w:rPr>
        <w:t>UECapabilityInformation</w:t>
      </w:r>
      <w:r w:rsidRPr="00FA0D37">
        <w:t xml:space="preserve"> message is used to transfer UE radio access capabilities requested by the network.</w:t>
      </w:r>
    </w:p>
    <w:p w14:paraId="2AB6F355" w14:textId="77777777" w:rsidR="00394471" w:rsidRPr="00FA0D37" w:rsidRDefault="00394471" w:rsidP="00394471">
      <w:pPr>
        <w:pStyle w:val="B1"/>
      </w:pPr>
      <w:r w:rsidRPr="00FA0D37">
        <w:t>Signalling radio bearer: SRB1</w:t>
      </w:r>
    </w:p>
    <w:p w14:paraId="47A1D82C" w14:textId="77777777" w:rsidR="00394471" w:rsidRPr="00FA0D37" w:rsidRDefault="00394471" w:rsidP="00394471">
      <w:pPr>
        <w:pStyle w:val="B1"/>
      </w:pPr>
      <w:r w:rsidRPr="00FA0D37">
        <w:t>RLC-SAP: AM</w:t>
      </w:r>
    </w:p>
    <w:p w14:paraId="26EEF716" w14:textId="77777777" w:rsidR="00394471" w:rsidRPr="00FA0D37" w:rsidRDefault="00394471" w:rsidP="00394471">
      <w:pPr>
        <w:pStyle w:val="B1"/>
      </w:pPr>
      <w:r w:rsidRPr="00FA0D37">
        <w:t>Logical channel: DCCH</w:t>
      </w:r>
    </w:p>
    <w:p w14:paraId="3889DE6F" w14:textId="77777777" w:rsidR="00394471" w:rsidRPr="00FA0D37" w:rsidRDefault="00394471" w:rsidP="00394471">
      <w:pPr>
        <w:pStyle w:val="B1"/>
      </w:pPr>
      <w:r w:rsidRPr="00FA0D37">
        <w:t>Direction: UE to Network</w:t>
      </w:r>
    </w:p>
    <w:p w14:paraId="1C272131" w14:textId="77777777" w:rsidR="00394471" w:rsidRPr="00FA0D37" w:rsidRDefault="00394471" w:rsidP="00394471">
      <w:pPr>
        <w:pStyle w:val="TH"/>
      </w:pPr>
      <w:r w:rsidRPr="00FA0D37">
        <w:rPr>
          <w:i/>
        </w:rPr>
        <w:t>UECapabilityInformation</w:t>
      </w:r>
      <w:r w:rsidRPr="00FA0D37">
        <w:t xml:space="preserve"> message</w:t>
      </w:r>
    </w:p>
    <w:p w14:paraId="2431189D" w14:textId="77777777" w:rsidR="00394471" w:rsidRPr="00FA0D37" w:rsidRDefault="00394471" w:rsidP="00FA0D37">
      <w:pPr>
        <w:pStyle w:val="PL"/>
        <w:rPr>
          <w:color w:val="808080"/>
        </w:rPr>
      </w:pPr>
      <w:r w:rsidRPr="00FA0D37">
        <w:rPr>
          <w:color w:val="808080"/>
        </w:rPr>
        <w:t>-- ASN1START</w:t>
      </w:r>
    </w:p>
    <w:p w14:paraId="0A8A0146" w14:textId="77777777" w:rsidR="00394471" w:rsidRPr="00FA0D37" w:rsidRDefault="00394471" w:rsidP="00FA0D37">
      <w:pPr>
        <w:pStyle w:val="PL"/>
        <w:rPr>
          <w:color w:val="808080"/>
        </w:rPr>
      </w:pPr>
      <w:r w:rsidRPr="00FA0D37">
        <w:rPr>
          <w:color w:val="808080"/>
        </w:rPr>
        <w:t>-- TAG-UECAPABILITYINFORMATION-START</w:t>
      </w:r>
    </w:p>
    <w:p w14:paraId="6B5FA3C8" w14:textId="77777777" w:rsidR="00394471" w:rsidRPr="00FA0D37" w:rsidRDefault="00394471" w:rsidP="00FA0D37">
      <w:pPr>
        <w:pStyle w:val="PL"/>
      </w:pPr>
    </w:p>
    <w:p w14:paraId="4F1B2930" w14:textId="77777777" w:rsidR="00394471" w:rsidRPr="00FA0D37" w:rsidRDefault="00394471" w:rsidP="00FA0D37">
      <w:pPr>
        <w:pStyle w:val="PL"/>
      </w:pPr>
      <w:r w:rsidRPr="00FA0D37">
        <w:t xml:space="preserve">UECapabilityInformation ::=         </w:t>
      </w:r>
      <w:r w:rsidRPr="00FA0D37">
        <w:rPr>
          <w:color w:val="993366"/>
        </w:rPr>
        <w:t>SEQUENCE</w:t>
      </w:r>
      <w:r w:rsidRPr="00FA0D37">
        <w:t xml:space="preserve"> {</w:t>
      </w:r>
    </w:p>
    <w:p w14:paraId="60080840" w14:textId="77777777" w:rsidR="00394471" w:rsidRPr="00FA0D37" w:rsidRDefault="00394471" w:rsidP="00FA0D37">
      <w:pPr>
        <w:pStyle w:val="PL"/>
      </w:pPr>
      <w:r w:rsidRPr="00FA0D37">
        <w:t xml:space="preserve">    rrc-TransactionIdentifier           RRC-TransactionIdentifier,</w:t>
      </w:r>
    </w:p>
    <w:p w14:paraId="2F317C15"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1871FCA3" w14:textId="77777777" w:rsidR="00394471" w:rsidRPr="00FA0D37" w:rsidRDefault="00394471" w:rsidP="00FA0D37">
      <w:pPr>
        <w:pStyle w:val="PL"/>
      </w:pPr>
      <w:r w:rsidRPr="00FA0D37">
        <w:t xml:space="preserve">        ueCapabilityInformation             UECapabilityInformation-IEs,</w:t>
      </w:r>
    </w:p>
    <w:p w14:paraId="67F5A5DF"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55E93FBE" w14:textId="77777777" w:rsidR="00394471" w:rsidRPr="00FA0D37" w:rsidRDefault="00394471" w:rsidP="00FA0D37">
      <w:pPr>
        <w:pStyle w:val="PL"/>
      </w:pPr>
      <w:r w:rsidRPr="00FA0D37">
        <w:t xml:space="preserve">    }</w:t>
      </w:r>
    </w:p>
    <w:p w14:paraId="703F2CCB" w14:textId="77777777" w:rsidR="00394471" w:rsidRPr="00FA0D37" w:rsidRDefault="00394471" w:rsidP="00FA0D37">
      <w:pPr>
        <w:pStyle w:val="PL"/>
      </w:pPr>
      <w:r w:rsidRPr="00FA0D37">
        <w:t>}</w:t>
      </w:r>
    </w:p>
    <w:p w14:paraId="42A6609B" w14:textId="77777777" w:rsidR="00394471" w:rsidRPr="00FA0D37" w:rsidRDefault="00394471" w:rsidP="00FA0D37">
      <w:pPr>
        <w:pStyle w:val="PL"/>
      </w:pPr>
    </w:p>
    <w:p w14:paraId="03D4F3B4" w14:textId="77777777" w:rsidR="00394471" w:rsidRPr="00FA0D37" w:rsidRDefault="00394471" w:rsidP="00FA0D37">
      <w:pPr>
        <w:pStyle w:val="PL"/>
      </w:pPr>
      <w:r w:rsidRPr="00FA0D37">
        <w:t xml:space="preserve">UECapabilityInformation-IEs ::=     </w:t>
      </w:r>
      <w:r w:rsidRPr="00FA0D37">
        <w:rPr>
          <w:color w:val="993366"/>
        </w:rPr>
        <w:t>SEQUENCE</w:t>
      </w:r>
      <w:r w:rsidRPr="00FA0D37">
        <w:t xml:space="preserve"> {</w:t>
      </w:r>
    </w:p>
    <w:p w14:paraId="1B95E841" w14:textId="77777777" w:rsidR="00394471" w:rsidRPr="00FA0D37" w:rsidRDefault="00394471" w:rsidP="00FA0D37">
      <w:pPr>
        <w:pStyle w:val="PL"/>
      </w:pPr>
      <w:r w:rsidRPr="00FA0D37">
        <w:t xml:space="preserve">    ue-CapabilityRAT-ContainerList      UE-CapabilityRAT-ContainerList                                          </w:t>
      </w:r>
      <w:r w:rsidRPr="00FA0D37">
        <w:rPr>
          <w:color w:val="993366"/>
        </w:rPr>
        <w:t>OPTIONAL</w:t>
      </w:r>
      <w:r w:rsidRPr="00FA0D37">
        <w:t>,</w:t>
      </w:r>
    </w:p>
    <w:p w14:paraId="379BCF20"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F65DF81"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323C52BF" w14:textId="77777777" w:rsidR="00394471" w:rsidRPr="00FA0D37" w:rsidRDefault="00394471" w:rsidP="00FA0D37">
      <w:pPr>
        <w:pStyle w:val="PL"/>
      </w:pPr>
      <w:r w:rsidRPr="00FA0D37">
        <w:t>}</w:t>
      </w:r>
    </w:p>
    <w:p w14:paraId="4F3F3F07" w14:textId="77777777" w:rsidR="00394471" w:rsidRPr="00FA0D37" w:rsidRDefault="00394471" w:rsidP="00FA0D37">
      <w:pPr>
        <w:pStyle w:val="PL"/>
      </w:pPr>
    </w:p>
    <w:p w14:paraId="4861E0FC" w14:textId="77777777" w:rsidR="00394471" w:rsidRPr="00FA0D37" w:rsidRDefault="00394471" w:rsidP="00FA0D37">
      <w:pPr>
        <w:pStyle w:val="PL"/>
        <w:rPr>
          <w:color w:val="808080"/>
        </w:rPr>
      </w:pPr>
      <w:r w:rsidRPr="00FA0D37">
        <w:rPr>
          <w:color w:val="808080"/>
        </w:rPr>
        <w:t>-- TAG-UECAPABILITYINFORMATION-STOP</w:t>
      </w:r>
    </w:p>
    <w:p w14:paraId="6E00FD89" w14:textId="77777777" w:rsidR="00394471" w:rsidRPr="00FA0D37" w:rsidRDefault="00394471" w:rsidP="00FA0D37">
      <w:pPr>
        <w:pStyle w:val="PL"/>
        <w:rPr>
          <w:color w:val="808080"/>
        </w:rPr>
      </w:pPr>
      <w:r w:rsidRPr="00FA0D37">
        <w:rPr>
          <w:color w:val="808080"/>
        </w:rPr>
        <w:t>-- ASN1STOP</w:t>
      </w:r>
    </w:p>
    <w:p w14:paraId="370B5061" w14:textId="77777777" w:rsidR="00394471" w:rsidRPr="00FA0D37" w:rsidRDefault="00394471" w:rsidP="00394471"/>
    <w:p w14:paraId="48176A63" w14:textId="77777777" w:rsidR="00394471" w:rsidRPr="00FA0D37" w:rsidRDefault="00394471" w:rsidP="00394471">
      <w:pPr>
        <w:pStyle w:val="4"/>
      </w:pPr>
      <w:bookmarkStart w:id="734" w:name="_Toc60777131"/>
      <w:bookmarkStart w:id="735" w:name="_Toc146781168"/>
      <w:r w:rsidRPr="00FA0D37">
        <w:t>–</w:t>
      </w:r>
      <w:r w:rsidRPr="00FA0D37">
        <w:tab/>
      </w:r>
      <w:r w:rsidRPr="00FA0D37">
        <w:rPr>
          <w:i/>
        </w:rPr>
        <w:t>UEInformationRequest</w:t>
      </w:r>
      <w:bookmarkEnd w:id="734"/>
      <w:bookmarkEnd w:id="735"/>
    </w:p>
    <w:p w14:paraId="455926F0" w14:textId="77777777" w:rsidR="00394471" w:rsidRPr="00FA0D37" w:rsidRDefault="00394471" w:rsidP="00394471">
      <w:r w:rsidRPr="00FA0D37">
        <w:t xml:space="preserve">The </w:t>
      </w:r>
      <w:r w:rsidRPr="00FA0D37">
        <w:rPr>
          <w:i/>
        </w:rPr>
        <w:t>UEInformationRequest</w:t>
      </w:r>
      <w:r w:rsidRPr="00FA0D37">
        <w:t xml:space="preserve"> message is used by the network </w:t>
      </w:r>
      <w:r w:rsidRPr="00FA0D37">
        <w:rPr>
          <w:rFonts w:eastAsia="Malgun Gothic"/>
          <w:lang w:eastAsia="ko-KR"/>
        </w:rPr>
        <w:t>to retrieve information from the UE</w:t>
      </w:r>
      <w:r w:rsidRPr="00FA0D37">
        <w:t>.</w:t>
      </w:r>
    </w:p>
    <w:p w14:paraId="0837B044" w14:textId="77777777" w:rsidR="00394471" w:rsidRPr="00FA0D37" w:rsidRDefault="00394471" w:rsidP="00394471">
      <w:pPr>
        <w:pStyle w:val="B1"/>
      </w:pPr>
      <w:r w:rsidRPr="00FA0D37">
        <w:lastRenderedPageBreak/>
        <w:t>Signalling radio bearer: SRB1</w:t>
      </w:r>
    </w:p>
    <w:p w14:paraId="5B71C378" w14:textId="77777777" w:rsidR="00394471" w:rsidRPr="00FA0D37" w:rsidRDefault="00394471" w:rsidP="00394471">
      <w:pPr>
        <w:pStyle w:val="B1"/>
      </w:pPr>
      <w:r w:rsidRPr="00FA0D37">
        <w:t>RLC-SAP: AM</w:t>
      </w:r>
    </w:p>
    <w:p w14:paraId="3664B739" w14:textId="77777777" w:rsidR="00394471" w:rsidRPr="00FA0D37" w:rsidRDefault="00394471" w:rsidP="00394471">
      <w:pPr>
        <w:pStyle w:val="B1"/>
      </w:pPr>
      <w:r w:rsidRPr="00FA0D37">
        <w:t>Logical channel: DCCH</w:t>
      </w:r>
    </w:p>
    <w:p w14:paraId="50D5DD5F" w14:textId="77777777" w:rsidR="00394471" w:rsidRPr="00FA0D37" w:rsidRDefault="00394471" w:rsidP="00394471">
      <w:pPr>
        <w:pStyle w:val="B1"/>
      </w:pPr>
      <w:r w:rsidRPr="00FA0D37">
        <w:t>Direction: Network to UE</w:t>
      </w:r>
    </w:p>
    <w:p w14:paraId="379A7348" w14:textId="77777777" w:rsidR="00394471" w:rsidRPr="00FA0D37" w:rsidRDefault="00394471" w:rsidP="00394471">
      <w:pPr>
        <w:pStyle w:val="TH"/>
        <w:rPr>
          <w:bCs/>
          <w:i/>
          <w:iCs/>
        </w:rPr>
      </w:pPr>
      <w:r w:rsidRPr="00FA0D37">
        <w:rPr>
          <w:bCs/>
          <w:i/>
          <w:iCs/>
        </w:rPr>
        <w:t>UEInformationRequest message</w:t>
      </w:r>
    </w:p>
    <w:p w14:paraId="3B456EF8" w14:textId="77777777" w:rsidR="00394471" w:rsidRPr="00FA0D37" w:rsidRDefault="00394471" w:rsidP="00FA0D37">
      <w:pPr>
        <w:pStyle w:val="PL"/>
        <w:rPr>
          <w:color w:val="808080"/>
        </w:rPr>
      </w:pPr>
      <w:r w:rsidRPr="00FA0D37">
        <w:rPr>
          <w:color w:val="808080"/>
        </w:rPr>
        <w:t>-- ASN1START</w:t>
      </w:r>
    </w:p>
    <w:p w14:paraId="71BEE374" w14:textId="77777777" w:rsidR="00394471" w:rsidRPr="00FA0D37" w:rsidRDefault="00394471" w:rsidP="00FA0D37">
      <w:pPr>
        <w:pStyle w:val="PL"/>
        <w:rPr>
          <w:color w:val="808080"/>
        </w:rPr>
      </w:pPr>
      <w:r w:rsidRPr="00FA0D37">
        <w:rPr>
          <w:color w:val="808080"/>
        </w:rPr>
        <w:t>-- TAG-UEINFORMATIONREQUEST-START</w:t>
      </w:r>
    </w:p>
    <w:p w14:paraId="4328BE4B" w14:textId="77777777" w:rsidR="00394471" w:rsidRPr="00FA0D37" w:rsidRDefault="00394471" w:rsidP="00FA0D37">
      <w:pPr>
        <w:pStyle w:val="PL"/>
      </w:pPr>
    </w:p>
    <w:p w14:paraId="0D19257B" w14:textId="77777777" w:rsidR="00394471" w:rsidRPr="00FA0D37" w:rsidRDefault="00394471" w:rsidP="00FA0D37">
      <w:pPr>
        <w:pStyle w:val="PL"/>
      </w:pPr>
      <w:r w:rsidRPr="00FA0D37">
        <w:t xml:space="preserve">UEInformationRequest-r16 ::=     </w:t>
      </w:r>
      <w:r w:rsidRPr="00FA0D37">
        <w:rPr>
          <w:color w:val="993366"/>
        </w:rPr>
        <w:t>SEQUENCE</w:t>
      </w:r>
      <w:r w:rsidRPr="00FA0D37">
        <w:t xml:space="preserve"> {</w:t>
      </w:r>
    </w:p>
    <w:p w14:paraId="18BF982F" w14:textId="77777777" w:rsidR="00394471" w:rsidRPr="00FA0D37" w:rsidRDefault="00394471" w:rsidP="00FA0D37">
      <w:pPr>
        <w:pStyle w:val="PL"/>
      </w:pPr>
      <w:r w:rsidRPr="00FA0D37">
        <w:t xml:space="preserve">    rrc-TransactionIdentifier        RRC-TransactionIdentifier,</w:t>
      </w:r>
    </w:p>
    <w:p w14:paraId="093DF4E8"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28E913BE" w14:textId="77777777" w:rsidR="00394471" w:rsidRPr="00FA0D37" w:rsidRDefault="00394471" w:rsidP="00FA0D37">
      <w:pPr>
        <w:pStyle w:val="PL"/>
      </w:pPr>
      <w:r w:rsidRPr="00FA0D37">
        <w:t xml:space="preserve">        ueInformationRequest-r16         UEInformationRequest-r16-IEs,</w:t>
      </w:r>
    </w:p>
    <w:p w14:paraId="10A720FD"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76A94FE4" w14:textId="77777777" w:rsidR="00394471" w:rsidRPr="00FA0D37" w:rsidRDefault="00394471" w:rsidP="00FA0D37">
      <w:pPr>
        <w:pStyle w:val="PL"/>
      </w:pPr>
      <w:r w:rsidRPr="00FA0D37">
        <w:t xml:space="preserve">    }</w:t>
      </w:r>
    </w:p>
    <w:p w14:paraId="586AD0B1" w14:textId="77777777" w:rsidR="00394471" w:rsidRPr="00FA0D37" w:rsidRDefault="00394471" w:rsidP="00FA0D37">
      <w:pPr>
        <w:pStyle w:val="PL"/>
      </w:pPr>
      <w:r w:rsidRPr="00FA0D37">
        <w:t>}</w:t>
      </w:r>
    </w:p>
    <w:p w14:paraId="14D501AD" w14:textId="77777777" w:rsidR="00394471" w:rsidRPr="00FA0D37" w:rsidRDefault="00394471" w:rsidP="00FA0D37">
      <w:pPr>
        <w:pStyle w:val="PL"/>
      </w:pPr>
    </w:p>
    <w:p w14:paraId="4AAE087D" w14:textId="77777777" w:rsidR="00394471" w:rsidRPr="00FA0D37" w:rsidRDefault="00394471" w:rsidP="00FA0D37">
      <w:pPr>
        <w:pStyle w:val="PL"/>
      </w:pPr>
      <w:r w:rsidRPr="00FA0D37">
        <w:t xml:space="preserve">UEInformationRequest-r16-IEs ::= </w:t>
      </w:r>
      <w:r w:rsidRPr="00FA0D37">
        <w:rPr>
          <w:color w:val="993366"/>
        </w:rPr>
        <w:t>SEQUENCE</w:t>
      </w:r>
      <w:r w:rsidRPr="00FA0D37">
        <w:t xml:space="preserve"> {</w:t>
      </w:r>
    </w:p>
    <w:p w14:paraId="1188778F" w14:textId="77777777" w:rsidR="00394471" w:rsidRPr="00FA0D37" w:rsidRDefault="00394471" w:rsidP="00FA0D37">
      <w:pPr>
        <w:pStyle w:val="PL"/>
        <w:rPr>
          <w:color w:val="808080"/>
        </w:rPr>
      </w:pPr>
      <w:r w:rsidRPr="00FA0D37">
        <w:t xml:space="preserve">    idleModeMeasurementReq-r16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N</w:t>
      </w:r>
    </w:p>
    <w:p w14:paraId="3B5F5BC0" w14:textId="77777777" w:rsidR="00394471" w:rsidRPr="00FA0D37" w:rsidRDefault="00394471" w:rsidP="00FA0D37">
      <w:pPr>
        <w:pStyle w:val="PL"/>
        <w:rPr>
          <w:color w:val="808080"/>
        </w:rPr>
      </w:pPr>
      <w:r w:rsidRPr="00FA0D37">
        <w:t xml:space="preserve">    logMeasReportReq-r16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544FB46F" w14:textId="77777777" w:rsidR="00394471" w:rsidRPr="00FA0D37" w:rsidRDefault="00394471" w:rsidP="00FA0D37">
      <w:pPr>
        <w:pStyle w:val="PL"/>
        <w:rPr>
          <w:color w:val="808080"/>
        </w:rPr>
      </w:pPr>
      <w:r w:rsidRPr="00FA0D37">
        <w:t xml:space="preserve">    connEstFailReportReq-r16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10C9DE71" w14:textId="77777777" w:rsidR="00394471" w:rsidRPr="00FA0D37" w:rsidRDefault="00394471" w:rsidP="00FA0D37">
      <w:pPr>
        <w:pStyle w:val="PL"/>
        <w:rPr>
          <w:color w:val="808080"/>
        </w:rPr>
      </w:pPr>
      <w:r w:rsidRPr="00FA0D37">
        <w:t xml:space="preserve">    ra-ReportReq-r16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2B675FE8" w14:textId="77777777" w:rsidR="00394471" w:rsidRPr="00FA0D37" w:rsidRDefault="00394471" w:rsidP="00FA0D37">
      <w:pPr>
        <w:pStyle w:val="PL"/>
        <w:rPr>
          <w:color w:val="808080"/>
        </w:rPr>
      </w:pPr>
      <w:r w:rsidRPr="00FA0D37">
        <w:t xml:space="preserve">    rlf-ReportReq-r16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37D70C5E" w14:textId="77777777" w:rsidR="00394471" w:rsidRPr="00FA0D37" w:rsidRDefault="00394471" w:rsidP="00FA0D37">
      <w:pPr>
        <w:pStyle w:val="PL"/>
        <w:rPr>
          <w:rFonts w:eastAsia="等线"/>
          <w:color w:val="808080"/>
        </w:rPr>
      </w:pPr>
      <w:r w:rsidRPr="00FA0D37">
        <w:t xml:space="preserve">    mobilityHistoryReportReq-</w:t>
      </w:r>
      <w:r w:rsidRPr="00FA0D37">
        <w:rPr>
          <w:rFonts w:eastAsia="等线"/>
        </w:rPr>
        <w:t xml:space="preserve">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500237C2"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0021DD81" w14:textId="675DF4A7" w:rsidR="00394471" w:rsidRPr="00FA0D37" w:rsidRDefault="00394471" w:rsidP="00FA0D37">
      <w:pPr>
        <w:pStyle w:val="PL"/>
      </w:pPr>
      <w:r w:rsidRPr="00FA0D37">
        <w:t xml:space="preserve">    nonCriticalExtension             </w:t>
      </w:r>
      <w:r w:rsidR="00E84B6D" w:rsidRPr="00FA0D37">
        <w:t>UEInformationRequest-v1700-IEs</w:t>
      </w:r>
      <w:r w:rsidRPr="00FA0D37">
        <w:t xml:space="preserve">           </w:t>
      </w:r>
      <w:r w:rsidRPr="00FA0D37">
        <w:rPr>
          <w:color w:val="993366"/>
        </w:rPr>
        <w:t>OPTIONAL</w:t>
      </w:r>
    </w:p>
    <w:p w14:paraId="2E3B510A" w14:textId="77777777" w:rsidR="00394471" w:rsidRPr="00FA0D37" w:rsidRDefault="00394471" w:rsidP="00FA0D37">
      <w:pPr>
        <w:pStyle w:val="PL"/>
      </w:pPr>
      <w:r w:rsidRPr="00FA0D37">
        <w:t>}</w:t>
      </w:r>
    </w:p>
    <w:p w14:paraId="08507B35" w14:textId="008D7340" w:rsidR="00E84B6D" w:rsidRPr="00FA0D37" w:rsidRDefault="00E84B6D" w:rsidP="00FA0D37">
      <w:pPr>
        <w:pStyle w:val="PL"/>
      </w:pPr>
    </w:p>
    <w:p w14:paraId="129351A2" w14:textId="1A7F8A34" w:rsidR="00E84B6D" w:rsidRPr="00FA0D37" w:rsidRDefault="00E84B6D" w:rsidP="00FA0D37">
      <w:pPr>
        <w:pStyle w:val="PL"/>
      </w:pPr>
      <w:r w:rsidRPr="00FA0D37">
        <w:t>UEInformationRequest-</w:t>
      </w:r>
      <w:r w:rsidR="00C11704" w:rsidRPr="00FA0D37">
        <w:t>v1700</w:t>
      </w:r>
      <w:r w:rsidRPr="00FA0D37">
        <w:t xml:space="preserve">-IEs ::= </w:t>
      </w:r>
      <w:r w:rsidRPr="00FA0D37">
        <w:rPr>
          <w:color w:val="993366"/>
        </w:rPr>
        <w:t>SEQUENCE</w:t>
      </w:r>
      <w:r w:rsidRPr="00FA0D37">
        <w:t xml:space="preserve"> {</w:t>
      </w:r>
    </w:p>
    <w:p w14:paraId="38AF823A" w14:textId="3C899444" w:rsidR="00E84B6D" w:rsidRPr="00FA0D37" w:rsidRDefault="00E84B6D" w:rsidP="00FA0D37">
      <w:pPr>
        <w:pStyle w:val="PL"/>
        <w:rPr>
          <w:color w:val="808080"/>
        </w:rPr>
      </w:pPr>
      <w:r w:rsidRPr="00FA0D37">
        <w:t xml:space="preserve">    successHO-ReportReq-r17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22DC1592" w14:textId="223215DF" w:rsidR="00150266" w:rsidRPr="00FA0D37" w:rsidRDefault="00150266" w:rsidP="00FA0D37">
      <w:pPr>
        <w:pStyle w:val="PL"/>
        <w:rPr>
          <w:color w:val="808080"/>
        </w:rPr>
      </w:pPr>
      <w:r w:rsidRPr="00FA0D37">
        <w:t xml:space="preserve">    coarseLocationRequest-r17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4023C4C3" w14:textId="76AB40A6" w:rsidR="00E84B6D" w:rsidRPr="00FA0D37" w:rsidRDefault="00E84B6D"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37403093" w14:textId="77777777" w:rsidR="00E84B6D" w:rsidRPr="00FA0D37" w:rsidRDefault="00E84B6D" w:rsidP="00FA0D37">
      <w:pPr>
        <w:pStyle w:val="PL"/>
      </w:pPr>
      <w:r w:rsidRPr="00FA0D37">
        <w:t>}</w:t>
      </w:r>
    </w:p>
    <w:p w14:paraId="34A0C8CC" w14:textId="77777777" w:rsidR="00394471" w:rsidRPr="00FA0D37" w:rsidRDefault="00394471" w:rsidP="00FA0D37">
      <w:pPr>
        <w:pStyle w:val="PL"/>
      </w:pPr>
    </w:p>
    <w:p w14:paraId="17440C02" w14:textId="77777777" w:rsidR="00394471" w:rsidRPr="00FA0D37" w:rsidRDefault="00394471" w:rsidP="00FA0D37">
      <w:pPr>
        <w:pStyle w:val="PL"/>
        <w:rPr>
          <w:color w:val="808080"/>
        </w:rPr>
      </w:pPr>
      <w:r w:rsidRPr="00FA0D37">
        <w:rPr>
          <w:color w:val="808080"/>
        </w:rPr>
        <w:t>-- TAG-UEINFORMATIONREQUEST-STOP</w:t>
      </w:r>
    </w:p>
    <w:p w14:paraId="288D70A9" w14:textId="77777777" w:rsidR="00394471" w:rsidRPr="00FA0D37" w:rsidRDefault="00394471" w:rsidP="00FA0D37">
      <w:pPr>
        <w:pStyle w:val="PL"/>
        <w:rPr>
          <w:color w:val="808080"/>
        </w:rPr>
      </w:pPr>
      <w:r w:rsidRPr="00FA0D37">
        <w:rPr>
          <w:color w:val="808080"/>
        </w:rPr>
        <w:t>-- ASN1STOP</w:t>
      </w:r>
    </w:p>
    <w:p w14:paraId="5527C54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43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741DA" w14:textId="77777777" w:rsidR="00394471" w:rsidRPr="00FA0D37" w:rsidRDefault="00394471" w:rsidP="00964CC4">
            <w:pPr>
              <w:pStyle w:val="TAH"/>
              <w:rPr>
                <w:szCs w:val="22"/>
                <w:lang w:eastAsia="sv-SE"/>
              </w:rPr>
            </w:pPr>
            <w:r w:rsidRPr="00FA0D37">
              <w:rPr>
                <w:i/>
                <w:szCs w:val="22"/>
                <w:lang w:eastAsia="sv-SE"/>
              </w:rPr>
              <w:lastRenderedPageBreak/>
              <w:t xml:space="preserve">UEInformationRequest-IEs </w:t>
            </w:r>
            <w:r w:rsidRPr="00FA0D37">
              <w:rPr>
                <w:szCs w:val="22"/>
                <w:lang w:eastAsia="sv-SE"/>
              </w:rPr>
              <w:t>field descriptions</w:t>
            </w:r>
          </w:p>
        </w:tc>
      </w:tr>
      <w:tr w:rsidR="005C7FF4" w:rsidRPr="00FA0D37" w14:paraId="188B9474" w14:textId="77777777" w:rsidTr="00964CC4">
        <w:tc>
          <w:tcPr>
            <w:tcW w:w="14173" w:type="dxa"/>
            <w:tcBorders>
              <w:top w:val="single" w:sz="4" w:space="0" w:color="auto"/>
              <w:left w:val="single" w:sz="4" w:space="0" w:color="auto"/>
              <w:bottom w:val="single" w:sz="4" w:space="0" w:color="auto"/>
              <w:right w:val="single" w:sz="4" w:space="0" w:color="auto"/>
            </w:tcBorders>
          </w:tcPr>
          <w:p w14:paraId="379272AB" w14:textId="77777777" w:rsidR="00150266" w:rsidRPr="00FA0D37" w:rsidRDefault="00150266" w:rsidP="00150266">
            <w:pPr>
              <w:keepNext/>
              <w:keepLines/>
              <w:spacing w:after="0"/>
              <w:rPr>
                <w:rFonts w:ascii="Arial" w:hAnsi="Arial"/>
                <w:b/>
                <w:i/>
                <w:sz w:val="18"/>
                <w:lang w:eastAsia="ko-KR"/>
              </w:rPr>
            </w:pPr>
            <w:r w:rsidRPr="00FA0D37">
              <w:rPr>
                <w:rFonts w:ascii="Arial" w:hAnsi="Arial"/>
                <w:b/>
                <w:i/>
                <w:sz w:val="18"/>
                <w:lang w:eastAsia="ko-KR"/>
              </w:rPr>
              <w:t>coarseLocationRequest</w:t>
            </w:r>
          </w:p>
          <w:p w14:paraId="797BAC3D" w14:textId="0845CB3D" w:rsidR="00150266" w:rsidRPr="00FA0D37" w:rsidRDefault="00150266" w:rsidP="00F747EB">
            <w:pPr>
              <w:pStyle w:val="TAL"/>
              <w:rPr>
                <w:lang w:eastAsia="sv-SE"/>
              </w:rPr>
            </w:pPr>
            <w:r w:rsidRPr="00FA0D37">
              <w:rPr>
                <w:lang w:eastAsia="ko-KR"/>
              </w:rPr>
              <w:t>This field is used to request UE to report coarse location information.</w:t>
            </w:r>
          </w:p>
        </w:tc>
      </w:tr>
      <w:tr w:rsidR="005C7FF4" w:rsidRPr="00FA0D37" w14:paraId="02F69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DB2CF7" w14:textId="77777777" w:rsidR="00150266" w:rsidRPr="00FA0D37" w:rsidRDefault="00150266" w:rsidP="00150266">
            <w:pPr>
              <w:pStyle w:val="TAL"/>
              <w:rPr>
                <w:b/>
                <w:i/>
                <w:lang w:eastAsia="ko-KR"/>
              </w:rPr>
            </w:pPr>
            <w:r w:rsidRPr="00FA0D37">
              <w:rPr>
                <w:b/>
                <w:i/>
                <w:lang w:eastAsia="ko-KR"/>
              </w:rPr>
              <w:t>connEstFailReportReq</w:t>
            </w:r>
          </w:p>
          <w:p w14:paraId="4C58BA79" w14:textId="77777777" w:rsidR="00150266" w:rsidRPr="00FA0D37" w:rsidRDefault="00150266" w:rsidP="00150266">
            <w:pPr>
              <w:pStyle w:val="TAL"/>
              <w:rPr>
                <w:b/>
                <w:lang w:eastAsia="sv-SE"/>
              </w:rPr>
            </w:pPr>
            <w:r w:rsidRPr="00FA0D37">
              <w:rPr>
                <w:lang w:eastAsia="ko-KR"/>
              </w:rPr>
              <w:t>This field is used to indicate whether the UE shall report information about the connection failure.</w:t>
            </w:r>
          </w:p>
        </w:tc>
      </w:tr>
      <w:tr w:rsidR="005C7FF4" w:rsidRPr="00FA0D37" w14:paraId="20EAA1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081E2" w14:textId="77777777" w:rsidR="00150266" w:rsidRPr="00FA0D37" w:rsidRDefault="00150266" w:rsidP="00150266">
            <w:pPr>
              <w:pStyle w:val="TAL"/>
              <w:rPr>
                <w:b/>
                <w:bCs/>
                <w:i/>
                <w:iCs/>
                <w:noProof/>
                <w:lang w:eastAsia="ko-KR"/>
              </w:rPr>
            </w:pPr>
            <w:r w:rsidRPr="00FA0D37">
              <w:rPr>
                <w:b/>
                <w:i/>
                <w:lang w:eastAsia="sv-SE"/>
              </w:rPr>
              <w:t>idleModeMeasurementReq</w:t>
            </w:r>
          </w:p>
          <w:p w14:paraId="1083874F" w14:textId="77777777" w:rsidR="00150266" w:rsidRPr="00FA0D37" w:rsidRDefault="00150266" w:rsidP="00150266">
            <w:pPr>
              <w:pStyle w:val="TAL"/>
              <w:rPr>
                <w:szCs w:val="22"/>
                <w:lang w:eastAsia="sv-SE"/>
              </w:rPr>
            </w:pPr>
            <w:r w:rsidRPr="00FA0D37">
              <w:rPr>
                <w:bCs/>
                <w:iCs/>
                <w:noProof/>
                <w:lang w:eastAsia="ko-KR"/>
              </w:rPr>
              <w:t xml:space="preserve">This field indicates that the UE shall report the idle/inactive measurement information, if available, to the network in the </w:t>
            </w:r>
            <w:r w:rsidRPr="00FA0D37">
              <w:rPr>
                <w:bCs/>
                <w:i/>
                <w:iCs/>
                <w:noProof/>
                <w:lang w:eastAsia="ko-KR"/>
              </w:rPr>
              <w:t>UEInformationResponse</w:t>
            </w:r>
            <w:r w:rsidRPr="00FA0D37">
              <w:rPr>
                <w:bCs/>
                <w:iCs/>
                <w:noProof/>
                <w:lang w:eastAsia="ko-KR"/>
              </w:rPr>
              <w:t xml:space="preserve"> message.  </w:t>
            </w:r>
          </w:p>
        </w:tc>
      </w:tr>
      <w:tr w:rsidR="005C7FF4" w:rsidRPr="00FA0D37" w14:paraId="7978EF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C9B4A" w14:textId="77777777" w:rsidR="00150266" w:rsidRPr="00FA0D37" w:rsidRDefault="00150266" w:rsidP="00150266">
            <w:pPr>
              <w:pStyle w:val="TAL"/>
              <w:rPr>
                <w:b/>
                <w:i/>
                <w:lang w:eastAsia="ko-KR"/>
              </w:rPr>
            </w:pPr>
            <w:r w:rsidRPr="00FA0D37">
              <w:rPr>
                <w:b/>
                <w:i/>
                <w:lang w:eastAsia="ko-KR"/>
              </w:rPr>
              <w:t>logMeasReportReq</w:t>
            </w:r>
          </w:p>
          <w:p w14:paraId="69EE63D6" w14:textId="77777777" w:rsidR="00150266" w:rsidRPr="00FA0D37" w:rsidRDefault="00150266" w:rsidP="00150266">
            <w:pPr>
              <w:pStyle w:val="TAL"/>
              <w:rPr>
                <w:b/>
                <w:i/>
                <w:lang w:eastAsia="sv-SE"/>
              </w:rPr>
            </w:pPr>
            <w:r w:rsidRPr="00FA0D37">
              <w:rPr>
                <w:lang w:eastAsia="ko-KR"/>
              </w:rPr>
              <w:t>This field is used to indicate whether the UE shall report information about logged measurements.</w:t>
            </w:r>
          </w:p>
        </w:tc>
      </w:tr>
      <w:tr w:rsidR="005C7FF4" w:rsidRPr="00FA0D37" w14:paraId="1DF223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8A896E" w14:textId="77777777" w:rsidR="00150266" w:rsidRPr="00FA0D37" w:rsidRDefault="00150266" w:rsidP="00150266">
            <w:pPr>
              <w:pStyle w:val="TAL"/>
              <w:rPr>
                <w:b/>
                <w:i/>
                <w:lang w:eastAsia="ko-KR"/>
              </w:rPr>
            </w:pPr>
            <w:r w:rsidRPr="00FA0D37">
              <w:rPr>
                <w:b/>
                <w:i/>
                <w:lang w:eastAsia="ko-KR"/>
              </w:rPr>
              <w:t>mobilityHistoryReportReq</w:t>
            </w:r>
          </w:p>
          <w:p w14:paraId="70C70405" w14:textId="77777777" w:rsidR="00150266" w:rsidRPr="00FA0D37" w:rsidRDefault="00150266" w:rsidP="00150266">
            <w:pPr>
              <w:pStyle w:val="TAL"/>
              <w:rPr>
                <w:b/>
                <w:i/>
                <w:lang w:eastAsia="sv-SE"/>
              </w:rPr>
            </w:pPr>
            <w:r w:rsidRPr="00FA0D37">
              <w:rPr>
                <w:lang w:eastAsia="ko-KR"/>
              </w:rPr>
              <w:t>This field is used to indicate whether the UE shall report information about mobility history information.</w:t>
            </w:r>
          </w:p>
        </w:tc>
      </w:tr>
      <w:tr w:rsidR="005C7FF4" w:rsidRPr="00FA0D37" w14:paraId="4456BE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473237" w14:textId="77777777" w:rsidR="00150266" w:rsidRPr="00FA0D37" w:rsidRDefault="00150266" w:rsidP="00150266">
            <w:pPr>
              <w:pStyle w:val="TAL"/>
              <w:rPr>
                <w:b/>
                <w:i/>
                <w:lang w:eastAsia="ko-KR"/>
              </w:rPr>
            </w:pPr>
            <w:r w:rsidRPr="00FA0D37">
              <w:rPr>
                <w:b/>
                <w:i/>
                <w:lang w:eastAsia="ko-KR"/>
              </w:rPr>
              <w:t>ra-ReportReq</w:t>
            </w:r>
          </w:p>
          <w:p w14:paraId="5F5E6BB4" w14:textId="77777777" w:rsidR="00150266" w:rsidRPr="00FA0D37" w:rsidRDefault="00150266" w:rsidP="00150266">
            <w:pPr>
              <w:pStyle w:val="TAL"/>
              <w:rPr>
                <w:b/>
                <w:i/>
                <w:lang w:eastAsia="sv-SE"/>
              </w:rPr>
            </w:pPr>
            <w:r w:rsidRPr="00FA0D37">
              <w:rPr>
                <w:lang w:eastAsia="ko-KR"/>
              </w:rPr>
              <w:t>This field is used to indicate whether the UE shall report information about the random access procedure.</w:t>
            </w:r>
          </w:p>
        </w:tc>
      </w:tr>
      <w:tr w:rsidR="005C7FF4" w:rsidRPr="00FA0D37" w14:paraId="3BD27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33D61" w14:textId="77777777" w:rsidR="00150266" w:rsidRPr="00FA0D37" w:rsidRDefault="00150266" w:rsidP="00150266">
            <w:pPr>
              <w:pStyle w:val="TAL"/>
              <w:rPr>
                <w:b/>
                <w:i/>
                <w:lang w:eastAsia="ko-KR"/>
              </w:rPr>
            </w:pPr>
            <w:r w:rsidRPr="00FA0D37">
              <w:rPr>
                <w:b/>
                <w:i/>
                <w:lang w:eastAsia="ko-KR"/>
              </w:rPr>
              <w:t>rlf-ReportReq</w:t>
            </w:r>
          </w:p>
          <w:p w14:paraId="7EB689D3" w14:textId="77777777" w:rsidR="00150266" w:rsidRPr="00FA0D37" w:rsidRDefault="00150266" w:rsidP="00150266">
            <w:pPr>
              <w:pStyle w:val="TAL"/>
              <w:rPr>
                <w:b/>
                <w:i/>
                <w:lang w:eastAsia="sv-SE"/>
              </w:rPr>
            </w:pPr>
            <w:r w:rsidRPr="00FA0D37">
              <w:rPr>
                <w:lang w:eastAsia="ko-KR"/>
              </w:rPr>
              <w:t>This field is used to indicate whether the UE shall report information about the radio link failure.</w:t>
            </w:r>
          </w:p>
        </w:tc>
      </w:tr>
      <w:tr w:rsidR="00150266" w:rsidRPr="00FA0D37" w14:paraId="6367F884" w14:textId="77777777" w:rsidTr="00E84B6D">
        <w:tc>
          <w:tcPr>
            <w:tcW w:w="14173" w:type="dxa"/>
            <w:tcBorders>
              <w:top w:val="single" w:sz="4" w:space="0" w:color="auto"/>
              <w:left w:val="single" w:sz="4" w:space="0" w:color="auto"/>
              <w:bottom w:val="single" w:sz="4" w:space="0" w:color="auto"/>
              <w:right w:val="single" w:sz="4" w:space="0" w:color="auto"/>
            </w:tcBorders>
            <w:hideMark/>
          </w:tcPr>
          <w:p w14:paraId="469DCDFC" w14:textId="77777777" w:rsidR="00150266" w:rsidRPr="00FA0D37" w:rsidRDefault="00150266" w:rsidP="00150266">
            <w:pPr>
              <w:pStyle w:val="TAL"/>
              <w:rPr>
                <w:b/>
                <w:i/>
                <w:lang w:eastAsia="ko-KR"/>
              </w:rPr>
            </w:pPr>
            <w:r w:rsidRPr="00FA0D37">
              <w:rPr>
                <w:b/>
                <w:i/>
                <w:lang w:eastAsia="ko-KR"/>
              </w:rPr>
              <w:t>successHO-ReportReq</w:t>
            </w:r>
          </w:p>
          <w:p w14:paraId="2EF40B73" w14:textId="77777777" w:rsidR="00150266" w:rsidRPr="00FA0D37" w:rsidRDefault="00150266" w:rsidP="00150266">
            <w:pPr>
              <w:pStyle w:val="TAL"/>
              <w:rPr>
                <w:bCs/>
                <w:iCs/>
                <w:lang w:eastAsia="ko-KR"/>
              </w:rPr>
            </w:pPr>
            <w:r w:rsidRPr="00FA0D37">
              <w:rPr>
                <w:bCs/>
                <w:iCs/>
                <w:lang w:eastAsia="ko-KR"/>
              </w:rPr>
              <w:t>This field is used to indicate whether the UE shall report information about the successful handover report.</w:t>
            </w:r>
          </w:p>
        </w:tc>
      </w:tr>
    </w:tbl>
    <w:p w14:paraId="133EE3DC" w14:textId="77777777" w:rsidR="00394471" w:rsidRPr="00FA0D37" w:rsidRDefault="00394471" w:rsidP="00394471"/>
    <w:p w14:paraId="6EB831E8" w14:textId="77777777" w:rsidR="00394471" w:rsidRPr="00FA0D37" w:rsidRDefault="00394471" w:rsidP="00394471">
      <w:pPr>
        <w:pStyle w:val="4"/>
      </w:pPr>
      <w:bookmarkStart w:id="736" w:name="_Toc60777132"/>
      <w:bookmarkStart w:id="737" w:name="_Toc146781169"/>
      <w:r w:rsidRPr="00FA0D37">
        <w:t>–</w:t>
      </w:r>
      <w:r w:rsidRPr="00FA0D37">
        <w:tab/>
      </w:r>
      <w:r w:rsidRPr="00FA0D37">
        <w:rPr>
          <w:i/>
        </w:rPr>
        <w:t>UEInformationResponse</w:t>
      </w:r>
      <w:bookmarkEnd w:id="736"/>
      <w:bookmarkEnd w:id="737"/>
    </w:p>
    <w:p w14:paraId="2B5F79F5" w14:textId="77777777" w:rsidR="00394471" w:rsidRPr="00FA0D37" w:rsidRDefault="00394471" w:rsidP="00394471">
      <w:r w:rsidRPr="00FA0D37">
        <w:t xml:space="preserve">The </w:t>
      </w:r>
      <w:r w:rsidRPr="00FA0D37">
        <w:rPr>
          <w:i/>
        </w:rPr>
        <w:t>UEInformationResponse</w:t>
      </w:r>
      <w:r w:rsidRPr="00FA0D37">
        <w:t xml:space="preserve"> message is used by the UE to transfer information requested by the network.</w:t>
      </w:r>
    </w:p>
    <w:p w14:paraId="08D67C68" w14:textId="77777777" w:rsidR="00394471" w:rsidRPr="00FA0D37" w:rsidRDefault="00394471" w:rsidP="00394471">
      <w:pPr>
        <w:pStyle w:val="B1"/>
      </w:pPr>
      <w:r w:rsidRPr="00FA0D37">
        <w:t>Signalling radio bearer: SRB1</w:t>
      </w:r>
      <w:r w:rsidRPr="00FA0D37">
        <w:rPr>
          <w:rFonts w:eastAsia="Malgun Gothic"/>
        </w:rPr>
        <w:t xml:space="preserve"> or SRB2 (when logged measurement information is included)</w:t>
      </w:r>
    </w:p>
    <w:p w14:paraId="276F5170" w14:textId="77777777" w:rsidR="00394471" w:rsidRPr="00FA0D37" w:rsidRDefault="00394471" w:rsidP="00394471">
      <w:pPr>
        <w:pStyle w:val="B1"/>
      </w:pPr>
      <w:r w:rsidRPr="00FA0D37">
        <w:t>RLC-SAP: AM</w:t>
      </w:r>
    </w:p>
    <w:p w14:paraId="7493FD3E" w14:textId="77777777" w:rsidR="00394471" w:rsidRPr="00FA0D37" w:rsidRDefault="00394471" w:rsidP="00394471">
      <w:pPr>
        <w:pStyle w:val="B1"/>
      </w:pPr>
      <w:r w:rsidRPr="00FA0D37">
        <w:t>Logical channel: DCCH</w:t>
      </w:r>
    </w:p>
    <w:p w14:paraId="6C671F45" w14:textId="77777777" w:rsidR="00394471" w:rsidRPr="00FA0D37" w:rsidRDefault="00394471" w:rsidP="00394471">
      <w:pPr>
        <w:pStyle w:val="B1"/>
      </w:pPr>
      <w:r w:rsidRPr="00FA0D37">
        <w:t>Direction: UE to network</w:t>
      </w:r>
    </w:p>
    <w:p w14:paraId="4B277BB3" w14:textId="77777777" w:rsidR="00394471" w:rsidRPr="00FA0D37" w:rsidRDefault="00394471" w:rsidP="00394471">
      <w:pPr>
        <w:pStyle w:val="TH"/>
        <w:rPr>
          <w:bCs/>
          <w:i/>
          <w:iCs/>
        </w:rPr>
      </w:pPr>
      <w:r w:rsidRPr="00FA0D37">
        <w:rPr>
          <w:bCs/>
          <w:i/>
          <w:iCs/>
        </w:rPr>
        <w:t>UEInformationResponse message</w:t>
      </w:r>
    </w:p>
    <w:p w14:paraId="44C14F94" w14:textId="77777777" w:rsidR="00394471" w:rsidRPr="00FA0D37" w:rsidRDefault="00394471" w:rsidP="00FA0D37">
      <w:pPr>
        <w:pStyle w:val="PL"/>
        <w:rPr>
          <w:color w:val="808080"/>
        </w:rPr>
      </w:pPr>
      <w:r w:rsidRPr="00FA0D37">
        <w:rPr>
          <w:color w:val="808080"/>
        </w:rPr>
        <w:t>-- ASN1START</w:t>
      </w:r>
    </w:p>
    <w:p w14:paraId="4716BA88" w14:textId="77777777" w:rsidR="00394471" w:rsidRPr="00FA0D37" w:rsidRDefault="00394471" w:rsidP="00FA0D37">
      <w:pPr>
        <w:pStyle w:val="PL"/>
        <w:rPr>
          <w:color w:val="808080"/>
        </w:rPr>
      </w:pPr>
      <w:r w:rsidRPr="00FA0D37">
        <w:rPr>
          <w:color w:val="808080"/>
        </w:rPr>
        <w:t>-- TAG-UEINFORMATIONRESPONSE-START</w:t>
      </w:r>
    </w:p>
    <w:p w14:paraId="4DFEBE1C" w14:textId="77777777" w:rsidR="00394471" w:rsidRPr="00FA0D37" w:rsidRDefault="00394471" w:rsidP="00FA0D37">
      <w:pPr>
        <w:pStyle w:val="PL"/>
      </w:pPr>
    </w:p>
    <w:p w14:paraId="40D015AF" w14:textId="77777777" w:rsidR="00394471" w:rsidRPr="00FA0D37" w:rsidRDefault="00394471" w:rsidP="00FA0D37">
      <w:pPr>
        <w:pStyle w:val="PL"/>
      </w:pPr>
      <w:r w:rsidRPr="00FA0D37">
        <w:t xml:space="preserve">UEInformationResponse-r16 ::=        </w:t>
      </w:r>
      <w:r w:rsidRPr="00FA0D37">
        <w:rPr>
          <w:color w:val="993366"/>
        </w:rPr>
        <w:t>SEQUENCE</w:t>
      </w:r>
      <w:r w:rsidRPr="00FA0D37">
        <w:t xml:space="preserve"> {</w:t>
      </w:r>
    </w:p>
    <w:p w14:paraId="09DCA86E" w14:textId="77777777" w:rsidR="00394471" w:rsidRPr="00FA0D37" w:rsidRDefault="00394471" w:rsidP="00FA0D37">
      <w:pPr>
        <w:pStyle w:val="PL"/>
      </w:pPr>
      <w:r w:rsidRPr="00FA0D37">
        <w:t xml:space="preserve">    rrc-TransactionIdentifier            RRC-TransactionIdentifier,</w:t>
      </w:r>
    </w:p>
    <w:p w14:paraId="71362CDE"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46644798" w14:textId="77777777" w:rsidR="00394471" w:rsidRPr="00FA0D37" w:rsidRDefault="00394471" w:rsidP="00FA0D37">
      <w:pPr>
        <w:pStyle w:val="PL"/>
      </w:pPr>
      <w:r w:rsidRPr="00FA0D37">
        <w:t xml:space="preserve">        ueInformationResponse-r16            UEInformationResponse-r16-IEs,</w:t>
      </w:r>
    </w:p>
    <w:p w14:paraId="101B714E"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07D68412" w14:textId="77777777" w:rsidR="00394471" w:rsidRPr="00FA0D37" w:rsidRDefault="00394471" w:rsidP="00FA0D37">
      <w:pPr>
        <w:pStyle w:val="PL"/>
      </w:pPr>
      <w:r w:rsidRPr="00FA0D37">
        <w:t xml:space="preserve">    }</w:t>
      </w:r>
    </w:p>
    <w:p w14:paraId="4B956BFF" w14:textId="77777777" w:rsidR="00394471" w:rsidRPr="00FA0D37" w:rsidRDefault="00394471" w:rsidP="00FA0D37">
      <w:pPr>
        <w:pStyle w:val="PL"/>
      </w:pPr>
      <w:r w:rsidRPr="00FA0D37">
        <w:t>}</w:t>
      </w:r>
    </w:p>
    <w:p w14:paraId="3E5CFE16" w14:textId="77777777" w:rsidR="00394471" w:rsidRPr="00FA0D37" w:rsidRDefault="00394471" w:rsidP="00FA0D37">
      <w:pPr>
        <w:pStyle w:val="PL"/>
      </w:pPr>
    </w:p>
    <w:p w14:paraId="108C73C7" w14:textId="77777777" w:rsidR="00394471" w:rsidRPr="00FA0D37" w:rsidRDefault="00394471" w:rsidP="00FA0D37">
      <w:pPr>
        <w:pStyle w:val="PL"/>
      </w:pPr>
      <w:r w:rsidRPr="00FA0D37">
        <w:t xml:space="preserve">UEInformationResponse-r16-IEs ::=    </w:t>
      </w:r>
      <w:r w:rsidRPr="00FA0D37">
        <w:rPr>
          <w:color w:val="993366"/>
        </w:rPr>
        <w:t>SEQUENCE</w:t>
      </w:r>
      <w:r w:rsidRPr="00FA0D37">
        <w:t xml:space="preserve"> {</w:t>
      </w:r>
    </w:p>
    <w:p w14:paraId="77424E57" w14:textId="77777777" w:rsidR="00394471" w:rsidRPr="00FA0D37" w:rsidRDefault="00394471" w:rsidP="00FA0D37">
      <w:pPr>
        <w:pStyle w:val="PL"/>
      </w:pPr>
      <w:r w:rsidRPr="00FA0D37">
        <w:t xml:space="preserve">    measResultIdleEUTRA-r16              MeasResultIdleEUTRA-r16             </w:t>
      </w:r>
      <w:r w:rsidRPr="00FA0D37">
        <w:rPr>
          <w:color w:val="993366"/>
        </w:rPr>
        <w:t>OPTIONAL</w:t>
      </w:r>
      <w:r w:rsidRPr="00FA0D37">
        <w:t>,</w:t>
      </w:r>
    </w:p>
    <w:p w14:paraId="45C45086" w14:textId="77777777" w:rsidR="00394471" w:rsidRPr="00FA0D37" w:rsidRDefault="00394471" w:rsidP="00FA0D37">
      <w:pPr>
        <w:pStyle w:val="PL"/>
      </w:pPr>
      <w:r w:rsidRPr="00FA0D37">
        <w:lastRenderedPageBreak/>
        <w:t xml:space="preserve">    measResultIdleNR-r16                 MeasResultIdleNR-r16                </w:t>
      </w:r>
      <w:r w:rsidRPr="00FA0D37">
        <w:rPr>
          <w:color w:val="993366"/>
        </w:rPr>
        <w:t>OPTIONAL</w:t>
      </w:r>
      <w:r w:rsidRPr="00FA0D37">
        <w:t>,</w:t>
      </w:r>
    </w:p>
    <w:p w14:paraId="1751F455" w14:textId="77777777" w:rsidR="00394471" w:rsidRPr="00FA0D37" w:rsidRDefault="00394471" w:rsidP="00FA0D37">
      <w:pPr>
        <w:pStyle w:val="PL"/>
      </w:pPr>
      <w:r w:rsidRPr="00FA0D37">
        <w:t xml:space="preserve">    logMeasReport-r16                    LogMeasReport-r16                   </w:t>
      </w:r>
      <w:r w:rsidRPr="00FA0D37">
        <w:rPr>
          <w:color w:val="993366"/>
        </w:rPr>
        <w:t>OPTIONAL</w:t>
      </w:r>
      <w:r w:rsidRPr="00FA0D37">
        <w:t>,</w:t>
      </w:r>
    </w:p>
    <w:p w14:paraId="3E171794" w14:textId="77777777" w:rsidR="00394471" w:rsidRPr="00FA0D37" w:rsidRDefault="00394471" w:rsidP="00FA0D37">
      <w:pPr>
        <w:pStyle w:val="PL"/>
      </w:pPr>
      <w:r w:rsidRPr="00FA0D37">
        <w:t xml:space="preserve">    connEstFailReport-r16                ConnEstFailReport-r16               </w:t>
      </w:r>
      <w:r w:rsidRPr="00FA0D37">
        <w:rPr>
          <w:color w:val="993366"/>
        </w:rPr>
        <w:t>OPTIONAL</w:t>
      </w:r>
      <w:r w:rsidRPr="00FA0D37">
        <w:t>,</w:t>
      </w:r>
    </w:p>
    <w:p w14:paraId="16F0532C" w14:textId="77777777" w:rsidR="00394471" w:rsidRPr="00FA0D37" w:rsidRDefault="00394471" w:rsidP="00FA0D37">
      <w:pPr>
        <w:pStyle w:val="PL"/>
      </w:pPr>
      <w:r w:rsidRPr="00FA0D37">
        <w:t xml:space="preserve">    ra-ReportList-r16                    RA-ReportList-r16                   </w:t>
      </w:r>
      <w:r w:rsidRPr="00FA0D37">
        <w:rPr>
          <w:color w:val="993366"/>
        </w:rPr>
        <w:t>OPTIONAL</w:t>
      </w:r>
      <w:r w:rsidRPr="00FA0D37">
        <w:t>,</w:t>
      </w:r>
    </w:p>
    <w:p w14:paraId="1CB380A0" w14:textId="77777777" w:rsidR="00394471" w:rsidRPr="00FA0D37" w:rsidRDefault="00394471" w:rsidP="00FA0D37">
      <w:pPr>
        <w:pStyle w:val="PL"/>
      </w:pPr>
      <w:r w:rsidRPr="00FA0D37">
        <w:t xml:space="preserve">    rlf-Report-r16                       RLF-Report-r16                      </w:t>
      </w:r>
      <w:r w:rsidRPr="00FA0D37">
        <w:rPr>
          <w:color w:val="993366"/>
        </w:rPr>
        <w:t>OPTIONAL</w:t>
      </w:r>
      <w:r w:rsidRPr="00FA0D37">
        <w:t>,</w:t>
      </w:r>
    </w:p>
    <w:p w14:paraId="2D5A3219" w14:textId="77777777" w:rsidR="00394471" w:rsidRPr="00FA0D37" w:rsidRDefault="00394471" w:rsidP="00FA0D37">
      <w:pPr>
        <w:pStyle w:val="PL"/>
      </w:pPr>
      <w:r w:rsidRPr="00FA0D37">
        <w:t xml:space="preserve">    mobilityHistoryReport-r16            MobilityHistoryReport-r16           </w:t>
      </w:r>
      <w:r w:rsidRPr="00FA0D37">
        <w:rPr>
          <w:color w:val="993366"/>
        </w:rPr>
        <w:t>OPTIONAL</w:t>
      </w:r>
      <w:r w:rsidRPr="00FA0D37">
        <w:t>,</w:t>
      </w:r>
    </w:p>
    <w:p w14:paraId="7840B6DB"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5B3DE3A" w14:textId="29E5B712" w:rsidR="00394471" w:rsidRPr="00FA0D37" w:rsidRDefault="00394471" w:rsidP="00FA0D37">
      <w:pPr>
        <w:pStyle w:val="PL"/>
      </w:pPr>
      <w:r w:rsidRPr="00FA0D37">
        <w:t xml:space="preserve">    nonCriticalExtension                 </w:t>
      </w:r>
      <w:r w:rsidR="00E84B6D" w:rsidRPr="00FA0D37">
        <w:t>UEInformationResponse-v1700-IEs</w:t>
      </w:r>
      <w:r w:rsidRPr="00FA0D37">
        <w:t xml:space="preserve">     </w:t>
      </w:r>
      <w:r w:rsidRPr="00FA0D37">
        <w:rPr>
          <w:color w:val="993366"/>
        </w:rPr>
        <w:t>OPTIONAL</w:t>
      </w:r>
    </w:p>
    <w:p w14:paraId="40613BD9" w14:textId="77777777" w:rsidR="00394471" w:rsidRPr="00FA0D37" w:rsidRDefault="00394471" w:rsidP="00FA0D37">
      <w:pPr>
        <w:pStyle w:val="PL"/>
      </w:pPr>
      <w:r w:rsidRPr="00FA0D37">
        <w:t>}</w:t>
      </w:r>
    </w:p>
    <w:p w14:paraId="6D41D96F" w14:textId="6A840F5C" w:rsidR="00394471" w:rsidRPr="00FA0D37" w:rsidRDefault="00394471" w:rsidP="00FA0D37">
      <w:pPr>
        <w:pStyle w:val="PL"/>
      </w:pPr>
    </w:p>
    <w:p w14:paraId="235D9011" w14:textId="1CCD364D" w:rsidR="00E84B6D" w:rsidRPr="00FA0D37" w:rsidRDefault="00E84B6D" w:rsidP="00FA0D37">
      <w:pPr>
        <w:pStyle w:val="PL"/>
      </w:pPr>
      <w:r w:rsidRPr="00FA0D37">
        <w:t xml:space="preserve">UEInformationResponse-v1700-IEs ::=    </w:t>
      </w:r>
      <w:r w:rsidRPr="00FA0D37">
        <w:rPr>
          <w:color w:val="993366"/>
        </w:rPr>
        <w:t>SEQUENCE</w:t>
      </w:r>
      <w:r w:rsidRPr="00FA0D37">
        <w:t xml:space="preserve"> {</w:t>
      </w:r>
    </w:p>
    <w:p w14:paraId="576CA5AE" w14:textId="45A08EA6" w:rsidR="00E84B6D" w:rsidRPr="00FA0D37" w:rsidRDefault="00E84B6D" w:rsidP="00FA0D37">
      <w:pPr>
        <w:pStyle w:val="PL"/>
      </w:pPr>
      <w:r w:rsidRPr="00FA0D37">
        <w:t xml:space="preserve">    successHO-Report-r17                 SuccessHO-Report-r17                </w:t>
      </w:r>
      <w:r w:rsidRPr="00FA0D37">
        <w:rPr>
          <w:color w:val="993366"/>
        </w:rPr>
        <w:t>OPTIONAL</w:t>
      </w:r>
      <w:r w:rsidRPr="00FA0D37">
        <w:t>,</w:t>
      </w:r>
    </w:p>
    <w:p w14:paraId="7E1CE551" w14:textId="13D5DC36" w:rsidR="00E84B6D" w:rsidRPr="00FA0D37" w:rsidRDefault="00E84B6D" w:rsidP="00FA0D37">
      <w:pPr>
        <w:pStyle w:val="PL"/>
      </w:pPr>
      <w:r w:rsidRPr="00FA0D37">
        <w:t xml:space="preserve">    connEstFailReportList-r17            ConnEstFailReportList-r17           </w:t>
      </w:r>
      <w:r w:rsidRPr="00FA0D37">
        <w:rPr>
          <w:color w:val="993366"/>
        </w:rPr>
        <w:t>OPTIONAL</w:t>
      </w:r>
      <w:r w:rsidRPr="00FA0D37">
        <w:t>,</w:t>
      </w:r>
    </w:p>
    <w:p w14:paraId="30D55034" w14:textId="5AE99136" w:rsidR="00150266" w:rsidRPr="00FA0D37" w:rsidRDefault="00150266" w:rsidP="00FA0D37">
      <w:pPr>
        <w:pStyle w:val="PL"/>
      </w:pPr>
      <w:r w:rsidRPr="00FA0D37">
        <w:t xml:space="preserve">    coarseLocationInfo-r17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5963DDA" w14:textId="56951862" w:rsidR="00E84B6D" w:rsidRPr="00FA0D37" w:rsidRDefault="00E84B6D"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5FCF9D8C" w14:textId="77777777" w:rsidR="00E84B6D" w:rsidRPr="00FA0D37" w:rsidRDefault="00E84B6D" w:rsidP="00FA0D37">
      <w:pPr>
        <w:pStyle w:val="PL"/>
      </w:pPr>
      <w:r w:rsidRPr="00FA0D37">
        <w:t>}</w:t>
      </w:r>
    </w:p>
    <w:p w14:paraId="674E2937" w14:textId="77777777" w:rsidR="00E84B6D" w:rsidRPr="00FA0D37" w:rsidRDefault="00E84B6D" w:rsidP="00FA0D37">
      <w:pPr>
        <w:pStyle w:val="PL"/>
      </w:pPr>
    </w:p>
    <w:p w14:paraId="123F5CDB" w14:textId="77777777" w:rsidR="00394471" w:rsidRPr="00FA0D37" w:rsidRDefault="00394471" w:rsidP="00FA0D37">
      <w:pPr>
        <w:pStyle w:val="PL"/>
      </w:pPr>
      <w:r w:rsidRPr="00FA0D37">
        <w:t xml:space="preserve">LogMeasReport-r16 ::=                </w:t>
      </w:r>
      <w:r w:rsidRPr="00FA0D37">
        <w:rPr>
          <w:color w:val="993366"/>
        </w:rPr>
        <w:t>SEQUENCE</w:t>
      </w:r>
      <w:r w:rsidRPr="00FA0D37">
        <w:t xml:space="preserve"> {</w:t>
      </w:r>
    </w:p>
    <w:p w14:paraId="23D9F5D5" w14:textId="77777777" w:rsidR="00394471" w:rsidRPr="00FA0D37" w:rsidRDefault="00394471" w:rsidP="00FA0D37">
      <w:pPr>
        <w:pStyle w:val="PL"/>
      </w:pPr>
      <w:r w:rsidRPr="00FA0D37">
        <w:t xml:space="preserve">    absoluteTimeStamp-r16                AbsoluteTimeInfo-r16,</w:t>
      </w:r>
    </w:p>
    <w:p w14:paraId="7BB8AFA9" w14:textId="77777777" w:rsidR="00394471" w:rsidRPr="00FA0D37" w:rsidRDefault="00394471" w:rsidP="00FA0D37">
      <w:pPr>
        <w:pStyle w:val="PL"/>
      </w:pPr>
      <w:r w:rsidRPr="00FA0D37">
        <w:t xml:space="preserve">    traceReference-r16                   TraceReference-r16,</w:t>
      </w:r>
    </w:p>
    <w:p w14:paraId="7737EAF1" w14:textId="77777777" w:rsidR="00394471" w:rsidRPr="00FA0D37" w:rsidRDefault="00394471" w:rsidP="00FA0D37">
      <w:pPr>
        <w:pStyle w:val="PL"/>
      </w:pPr>
      <w:r w:rsidRPr="00FA0D37">
        <w:t xml:space="preserve">    traceRecordingSessionRef-r16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373D05D4" w14:textId="77777777" w:rsidR="00394471" w:rsidRPr="00FA0D37" w:rsidRDefault="00394471" w:rsidP="00FA0D37">
      <w:pPr>
        <w:pStyle w:val="PL"/>
      </w:pPr>
      <w:r w:rsidRPr="00FA0D37">
        <w:t xml:space="preserve">    tce-Id-r16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(1)),</w:t>
      </w:r>
    </w:p>
    <w:p w14:paraId="3B156D9C" w14:textId="77777777" w:rsidR="00394471" w:rsidRPr="00FA0D37" w:rsidRDefault="00394471" w:rsidP="00FA0D37">
      <w:pPr>
        <w:pStyle w:val="PL"/>
      </w:pPr>
      <w:r w:rsidRPr="00FA0D37">
        <w:t xml:space="preserve">    logMeasInfoList-r16                  LogMeasInfoList-r16,</w:t>
      </w:r>
    </w:p>
    <w:p w14:paraId="401ABA1C" w14:textId="77777777" w:rsidR="00394471" w:rsidRPr="00FA0D37" w:rsidRDefault="00394471" w:rsidP="00FA0D37">
      <w:pPr>
        <w:pStyle w:val="PL"/>
      </w:pPr>
      <w:r w:rsidRPr="00FA0D37">
        <w:t xml:space="preserve">    logMeasAvailable-r16                 </w:t>
      </w:r>
      <w:r w:rsidRPr="00FA0D37">
        <w:rPr>
          <w:color w:val="993366"/>
        </w:rPr>
        <w:t>ENUMERATED</w:t>
      </w:r>
      <w:r w:rsidRPr="00FA0D37">
        <w:t xml:space="preserve"> {true}                   </w:t>
      </w:r>
      <w:r w:rsidRPr="00FA0D37">
        <w:rPr>
          <w:color w:val="993366"/>
        </w:rPr>
        <w:t>OPTIONAL</w:t>
      </w:r>
      <w:r w:rsidRPr="00FA0D37">
        <w:t>,</w:t>
      </w:r>
    </w:p>
    <w:p w14:paraId="5C62A61A" w14:textId="77777777" w:rsidR="00394471" w:rsidRPr="00FA0D37" w:rsidRDefault="00394471" w:rsidP="00FA0D37">
      <w:pPr>
        <w:pStyle w:val="PL"/>
      </w:pPr>
      <w:r w:rsidRPr="00FA0D37">
        <w:t xml:space="preserve">    logMeasAvailableBT-r16               </w:t>
      </w:r>
      <w:r w:rsidRPr="00FA0D37">
        <w:rPr>
          <w:color w:val="993366"/>
        </w:rPr>
        <w:t>ENUMERATED</w:t>
      </w:r>
      <w:r w:rsidRPr="00FA0D37">
        <w:t xml:space="preserve"> {true}                   </w:t>
      </w:r>
      <w:r w:rsidRPr="00FA0D37">
        <w:rPr>
          <w:color w:val="993366"/>
        </w:rPr>
        <w:t>OPTIONAL</w:t>
      </w:r>
      <w:r w:rsidRPr="00FA0D37">
        <w:t>,</w:t>
      </w:r>
    </w:p>
    <w:p w14:paraId="4F8B1CCB" w14:textId="77777777" w:rsidR="00394471" w:rsidRPr="00FA0D37" w:rsidRDefault="00394471" w:rsidP="00FA0D37">
      <w:pPr>
        <w:pStyle w:val="PL"/>
      </w:pPr>
      <w:r w:rsidRPr="00FA0D37">
        <w:t xml:space="preserve">    logMeasAvailableWLAN-r16             </w:t>
      </w:r>
      <w:r w:rsidRPr="00FA0D37">
        <w:rPr>
          <w:color w:val="993366"/>
        </w:rPr>
        <w:t>ENUMERATED</w:t>
      </w:r>
      <w:r w:rsidRPr="00FA0D37">
        <w:t xml:space="preserve"> {true}                   </w:t>
      </w:r>
      <w:r w:rsidRPr="00FA0D37">
        <w:rPr>
          <w:color w:val="993366"/>
        </w:rPr>
        <w:t>OPTIONAL</w:t>
      </w:r>
      <w:r w:rsidRPr="00FA0D37">
        <w:t>,</w:t>
      </w:r>
    </w:p>
    <w:p w14:paraId="26DC806C" w14:textId="77777777" w:rsidR="00394471" w:rsidRPr="00FA0D37" w:rsidRDefault="00394471" w:rsidP="00FA0D37">
      <w:pPr>
        <w:pStyle w:val="PL"/>
      </w:pPr>
      <w:r w:rsidRPr="00FA0D37">
        <w:t xml:space="preserve">    ...</w:t>
      </w:r>
    </w:p>
    <w:p w14:paraId="74377F8E" w14:textId="77777777" w:rsidR="00394471" w:rsidRPr="00FA0D37" w:rsidRDefault="00394471" w:rsidP="00FA0D37">
      <w:pPr>
        <w:pStyle w:val="PL"/>
      </w:pPr>
      <w:r w:rsidRPr="00FA0D37">
        <w:t>}</w:t>
      </w:r>
    </w:p>
    <w:p w14:paraId="10256000" w14:textId="77777777" w:rsidR="00394471" w:rsidRPr="00FA0D37" w:rsidRDefault="00394471" w:rsidP="00FA0D37">
      <w:pPr>
        <w:pStyle w:val="PL"/>
      </w:pPr>
    </w:p>
    <w:p w14:paraId="04E0ABC2" w14:textId="77777777" w:rsidR="00394471" w:rsidRPr="00FA0D37" w:rsidRDefault="00394471" w:rsidP="00FA0D37">
      <w:pPr>
        <w:pStyle w:val="PL"/>
      </w:pPr>
      <w:r w:rsidRPr="00FA0D37">
        <w:t xml:space="preserve">LogMeasInfoList-r16 ::=              </w:t>
      </w:r>
      <w:r w:rsidRPr="00FA0D37">
        <w:rPr>
          <w:color w:val="993366"/>
        </w:rPr>
        <w:t>SEQUENCE</w:t>
      </w:r>
      <w:r w:rsidRPr="00FA0D37">
        <w:t xml:space="preserve"> (</w:t>
      </w:r>
      <w:r w:rsidRPr="00FA0D37">
        <w:rPr>
          <w:color w:val="993366"/>
        </w:rPr>
        <w:t>SIZE</w:t>
      </w:r>
      <w:r w:rsidRPr="00FA0D37">
        <w:t xml:space="preserve"> (1..maxLogMeasReport-r16))</w:t>
      </w:r>
      <w:r w:rsidRPr="00FA0D37">
        <w:rPr>
          <w:color w:val="993366"/>
        </w:rPr>
        <w:t xml:space="preserve"> OF</w:t>
      </w:r>
      <w:r w:rsidRPr="00FA0D37">
        <w:t xml:space="preserve"> LogMeasInfo-r16</w:t>
      </w:r>
    </w:p>
    <w:p w14:paraId="3A29D717" w14:textId="77777777" w:rsidR="00394471" w:rsidRPr="00FA0D37" w:rsidRDefault="00394471" w:rsidP="00FA0D37">
      <w:pPr>
        <w:pStyle w:val="PL"/>
      </w:pPr>
    </w:p>
    <w:p w14:paraId="722D6E3C" w14:textId="77777777" w:rsidR="00394471" w:rsidRPr="00FA0D37" w:rsidRDefault="00394471" w:rsidP="00FA0D37">
      <w:pPr>
        <w:pStyle w:val="PL"/>
      </w:pPr>
      <w:r w:rsidRPr="00FA0D37">
        <w:t xml:space="preserve">LogMeasInfo-r16 ::=                  </w:t>
      </w:r>
      <w:r w:rsidRPr="00FA0D37">
        <w:rPr>
          <w:color w:val="993366"/>
        </w:rPr>
        <w:t>SEQUENCE</w:t>
      </w:r>
      <w:r w:rsidRPr="00FA0D37">
        <w:t xml:space="preserve"> {</w:t>
      </w:r>
    </w:p>
    <w:p w14:paraId="53EAEEAE" w14:textId="77777777" w:rsidR="00394471" w:rsidRPr="00FA0D37" w:rsidRDefault="00394471" w:rsidP="00FA0D37">
      <w:pPr>
        <w:pStyle w:val="PL"/>
      </w:pPr>
      <w:r w:rsidRPr="00FA0D37">
        <w:t xml:space="preserve">    locationInfo-r16                     LocationInfo-r16                    </w:t>
      </w:r>
      <w:r w:rsidRPr="00FA0D37">
        <w:rPr>
          <w:color w:val="993366"/>
        </w:rPr>
        <w:t>OPTIONAL</w:t>
      </w:r>
      <w:r w:rsidRPr="00FA0D37">
        <w:t>,</w:t>
      </w:r>
    </w:p>
    <w:p w14:paraId="76D35EDA" w14:textId="77777777" w:rsidR="00394471" w:rsidRPr="00FA0D37" w:rsidRDefault="00394471" w:rsidP="00FA0D37">
      <w:pPr>
        <w:pStyle w:val="PL"/>
      </w:pPr>
      <w:r w:rsidRPr="00FA0D37">
        <w:t xml:space="preserve">    relativeTimeStamp-r16                </w:t>
      </w:r>
      <w:r w:rsidRPr="00FA0D37">
        <w:rPr>
          <w:color w:val="993366"/>
        </w:rPr>
        <w:t>INTEGER</w:t>
      </w:r>
      <w:r w:rsidRPr="00FA0D37">
        <w:t xml:space="preserve"> (0..7200),</w:t>
      </w:r>
    </w:p>
    <w:p w14:paraId="25EAC2A4" w14:textId="77777777" w:rsidR="00394471" w:rsidRPr="00FA0D37" w:rsidRDefault="00394471" w:rsidP="00FA0D37">
      <w:pPr>
        <w:pStyle w:val="PL"/>
      </w:pPr>
      <w:r w:rsidRPr="00FA0D37">
        <w:t xml:space="preserve">    servCellIdentity-r16                 CGI-Info-Logging-r16                </w:t>
      </w:r>
      <w:r w:rsidRPr="00FA0D37">
        <w:rPr>
          <w:color w:val="993366"/>
        </w:rPr>
        <w:t>OPTIONAL</w:t>
      </w:r>
      <w:r w:rsidRPr="00FA0D37">
        <w:t>,</w:t>
      </w:r>
    </w:p>
    <w:p w14:paraId="3A39C15B" w14:textId="77777777" w:rsidR="00394471" w:rsidRPr="00FA0D37" w:rsidRDefault="00394471" w:rsidP="00FA0D37">
      <w:pPr>
        <w:pStyle w:val="PL"/>
      </w:pPr>
      <w:r w:rsidRPr="00FA0D37">
        <w:t xml:space="preserve">    measResultServingCell-r16            MeasResultServingCell-r16           </w:t>
      </w:r>
      <w:r w:rsidRPr="00FA0D37">
        <w:rPr>
          <w:color w:val="993366"/>
        </w:rPr>
        <w:t>OPTIONAL</w:t>
      </w:r>
      <w:r w:rsidRPr="00FA0D37">
        <w:t>,</w:t>
      </w:r>
    </w:p>
    <w:p w14:paraId="54BB873D" w14:textId="77777777" w:rsidR="00394471" w:rsidRPr="00FA0D37" w:rsidRDefault="00394471" w:rsidP="00FA0D37">
      <w:pPr>
        <w:pStyle w:val="PL"/>
      </w:pPr>
      <w:r w:rsidRPr="00FA0D37">
        <w:t xml:space="preserve">    measResultNeighCells-r16             </w:t>
      </w:r>
      <w:r w:rsidRPr="00FA0D37">
        <w:rPr>
          <w:color w:val="993366"/>
        </w:rPr>
        <w:t>SEQUENCE</w:t>
      </w:r>
      <w:r w:rsidRPr="00FA0D37">
        <w:t xml:space="preserve"> {</w:t>
      </w:r>
    </w:p>
    <w:p w14:paraId="39401E6E" w14:textId="6CAD00A2" w:rsidR="00394471" w:rsidRPr="00FA0D37" w:rsidRDefault="00394471" w:rsidP="00FA0D37">
      <w:pPr>
        <w:pStyle w:val="PL"/>
      </w:pPr>
      <w:r w:rsidRPr="00FA0D37">
        <w:t xml:space="preserve">        measResultNeighCellListNR            MeasResultListLogging2NR-r16    </w:t>
      </w:r>
      <w:r w:rsidRPr="00FA0D37">
        <w:rPr>
          <w:color w:val="993366"/>
        </w:rPr>
        <w:t>OPTIONAL</w:t>
      </w:r>
      <w:r w:rsidRPr="00FA0D37">
        <w:t>,</w:t>
      </w:r>
    </w:p>
    <w:p w14:paraId="6BDC31AF" w14:textId="09BFBAE1" w:rsidR="00394471" w:rsidRPr="00FA0D37" w:rsidRDefault="00394471" w:rsidP="00FA0D37">
      <w:pPr>
        <w:pStyle w:val="PL"/>
      </w:pPr>
      <w:r w:rsidRPr="00FA0D37">
        <w:t xml:space="preserve">        measResultNeighCellListEUTRA         MeasResultList2EUTRA-r16        </w:t>
      </w:r>
      <w:r w:rsidRPr="00FA0D37">
        <w:rPr>
          <w:color w:val="993366"/>
        </w:rPr>
        <w:t>OPTIONAL</w:t>
      </w:r>
    </w:p>
    <w:p w14:paraId="796AEA9A" w14:textId="77777777" w:rsidR="00394471" w:rsidRPr="00FA0D37" w:rsidRDefault="00394471" w:rsidP="00FA0D37">
      <w:pPr>
        <w:pStyle w:val="PL"/>
      </w:pPr>
      <w:r w:rsidRPr="00FA0D37">
        <w:t xml:space="preserve">    },</w:t>
      </w:r>
    </w:p>
    <w:p w14:paraId="4A48C9F1" w14:textId="77777777" w:rsidR="00A10112" w:rsidRPr="00FA0D37" w:rsidRDefault="00394471" w:rsidP="00FA0D37">
      <w:pPr>
        <w:pStyle w:val="PL"/>
      </w:pPr>
      <w:r w:rsidRPr="00FA0D37">
        <w:t xml:space="preserve">    </w:t>
      </w:r>
      <w:r w:rsidRPr="00FA0D37">
        <w:rPr>
          <w:rFonts w:eastAsia="Malgun Gothic"/>
        </w:rPr>
        <w:t>anyCellSelection</w:t>
      </w:r>
      <w:r w:rsidRPr="00FA0D37">
        <w:t xml:space="preserve">Detected-r16         </w:t>
      </w:r>
      <w:r w:rsidRPr="00FA0D37">
        <w:rPr>
          <w:color w:val="993366"/>
        </w:rPr>
        <w:t>ENUMERATED</w:t>
      </w:r>
      <w:r w:rsidRPr="00FA0D37">
        <w:t xml:space="preserve"> {true}                   </w:t>
      </w:r>
      <w:r w:rsidRPr="00FA0D37">
        <w:rPr>
          <w:color w:val="993366"/>
        </w:rPr>
        <w:t>OPTIONAL</w:t>
      </w:r>
      <w:r w:rsidR="00A10112" w:rsidRPr="00FA0D37">
        <w:t>,</w:t>
      </w:r>
    </w:p>
    <w:p w14:paraId="318705FD" w14:textId="70CA3DEE" w:rsidR="00E84B6D" w:rsidRPr="00FA0D37" w:rsidRDefault="00A10112" w:rsidP="00FA0D37">
      <w:pPr>
        <w:pStyle w:val="PL"/>
      </w:pPr>
      <w:r w:rsidRPr="00FA0D37">
        <w:t xml:space="preserve">    ...</w:t>
      </w:r>
      <w:r w:rsidR="00E84B6D" w:rsidRPr="00FA0D37">
        <w:t>,</w:t>
      </w:r>
    </w:p>
    <w:p w14:paraId="23FD8863" w14:textId="77777777" w:rsidR="00E84B6D" w:rsidRPr="00FA0D37" w:rsidRDefault="00E84B6D" w:rsidP="00FA0D37">
      <w:pPr>
        <w:pStyle w:val="PL"/>
      </w:pPr>
      <w:r w:rsidRPr="00FA0D37">
        <w:t xml:space="preserve">    [[</w:t>
      </w:r>
    </w:p>
    <w:p w14:paraId="506610C3" w14:textId="32B9A82F" w:rsidR="00E84B6D" w:rsidRPr="00FA0D37" w:rsidRDefault="00E84B6D" w:rsidP="00FA0D37">
      <w:pPr>
        <w:pStyle w:val="PL"/>
      </w:pPr>
      <w:r w:rsidRPr="00FA0D37">
        <w:t xml:space="preserve">    inDeviceCoexDetected-r17             </w:t>
      </w:r>
      <w:r w:rsidRPr="00FA0D37">
        <w:rPr>
          <w:color w:val="993366"/>
        </w:rPr>
        <w:t>ENUMERATED</w:t>
      </w:r>
      <w:r w:rsidRPr="00FA0D37">
        <w:t xml:space="preserve"> {true}                   </w:t>
      </w:r>
      <w:r w:rsidRPr="00FA0D37">
        <w:rPr>
          <w:color w:val="993366"/>
        </w:rPr>
        <w:t>OPTIONAL</w:t>
      </w:r>
    </w:p>
    <w:p w14:paraId="15B702AB" w14:textId="769DD7A9" w:rsidR="00394471" w:rsidRPr="00FA0D37" w:rsidRDefault="00E84B6D" w:rsidP="00FA0D37">
      <w:pPr>
        <w:pStyle w:val="PL"/>
      </w:pPr>
      <w:r w:rsidRPr="00FA0D37">
        <w:t xml:space="preserve">    ]]</w:t>
      </w:r>
    </w:p>
    <w:p w14:paraId="28EE232E" w14:textId="77777777" w:rsidR="00394471" w:rsidRPr="00FA0D37" w:rsidRDefault="00394471" w:rsidP="00FA0D37">
      <w:pPr>
        <w:pStyle w:val="PL"/>
      </w:pPr>
      <w:r w:rsidRPr="00FA0D37">
        <w:t>}</w:t>
      </w:r>
    </w:p>
    <w:p w14:paraId="52C85302" w14:textId="77777777" w:rsidR="00394471" w:rsidRPr="00FA0D37" w:rsidRDefault="00394471" w:rsidP="00FA0D37">
      <w:pPr>
        <w:pStyle w:val="PL"/>
      </w:pPr>
    </w:p>
    <w:p w14:paraId="6A254F83" w14:textId="77777777" w:rsidR="00394471" w:rsidRPr="00FA0D37" w:rsidRDefault="00394471" w:rsidP="00FA0D37">
      <w:pPr>
        <w:pStyle w:val="PL"/>
      </w:pPr>
      <w:r w:rsidRPr="00FA0D37">
        <w:t xml:space="preserve">ConnEstFailReport-r16 ::=            </w:t>
      </w:r>
      <w:r w:rsidRPr="00FA0D37">
        <w:rPr>
          <w:color w:val="993366"/>
        </w:rPr>
        <w:t>SEQUENCE</w:t>
      </w:r>
      <w:r w:rsidRPr="00FA0D37">
        <w:t xml:space="preserve"> {</w:t>
      </w:r>
    </w:p>
    <w:p w14:paraId="346841FC" w14:textId="77777777" w:rsidR="00394471" w:rsidRPr="00FA0D37" w:rsidRDefault="00394471" w:rsidP="00FA0D37">
      <w:pPr>
        <w:pStyle w:val="PL"/>
      </w:pPr>
      <w:r w:rsidRPr="00FA0D37">
        <w:t xml:space="preserve">    measResultFailedCell-r16             MeasResultFailedCell-r16,</w:t>
      </w:r>
    </w:p>
    <w:p w14:paraId="1EB841E2" w14:textId="77777777" w:rsidR="00394471" w:rsidRPr="00FA0D37" w:rsidRDefault="00394471" w:rsidP="00FA0D37">
      <w:pPr>
        <w:pStyle w:val="PL"/>
      </w:pPr>
      <w:r w:rsidRPr="00FA0D37">
        <w:t xml:space="preserve">    locationInfo-r16                     LocationInfo-r16                    </w:t>
      </w:r>
      <w:r w:rsidRPr="00FA0D37">
        <w:rPr>
          <w:color w:val="993366"/>
        </w:rPr>
        <w:t>OPTIONAL</w:t>
      </w:r>
      <w:r w:rsidRPr="00FA0D37">
        <w:t>,</w:t>
      </w:r>
    </w:p>
    <w:p w14:paraId="1DC42CB5" w14:textId="77777777" w:rsidR="00394471" w:rsidRPr="00FA0D37" w:rsidRDefault="00394471" w:rsidP="00FA0D37">
      <w:pPr>
        <w:pStyle w:val="PL"/>
      </w:pPr>
      <w:r w:rsidRPr="00FA0D37">
        <w:t xml:space="preserve">    measResultNeighCells-r16             </w:t>
      </w:r>
      <w:r w:rsidRPr="00FA0D37">
        <w:rPr>
          <w:color w:val="993366"/>
        </w:rPr>
        <w:t>SEQUENCE</w:t>
      </w:r>
      <w:r w:rsidRPr="00FA0D37">
        <w:t xml:space="preserve"> {</w:t>
      </w:r>
    </w:p>
    <w:p w14:paraId="09F3D8AD" w14:textId="77777777" w:rsidR="00394471" w:rsidRPr="00FA0D37" w:rsidRDefault="00394471" w:rsidP="00FA0D37">
      <w:pPr>
        <w:pStyle w:val="PL"/>
      </w:pPr>
      <w:r w:rsidRPr="00FA0D37">
        <w:lastRenderedPageBreak/>
        <w:t xml:space="preserve">        measResultNeighCellListNR            MeasResultList2NR-r16               </w:t>
      </w:r>
      <w:r w:rsidRPr="00FA0D37">
        <w:rPr>
          <w:color w:val="993366"/>
        </w:rPr>
        <w:t>OPTIONAL</w:t>
      </w:r>
      <w:r w:rsidRPr="00FA0D37">
        <w:t>,</w:t>
      </w:r>
    </w:p>
    <w:p w14:paraId="6ACC0BCF" w14:textId="77777777" w:rsidR="00394471" w:rsidRPr="00FA0D37" w:rsidRDefault="00394471" w:rsidP="00FA0D37">
      <w:pPr>
        <w:pStyle w:val="PL"/>
      </w:pPr>
      <w:r w:rsidRPr="00FA0D37">
        <w:t xml:space="preserve">        measResultNeighCellListEUTRA         MeasResultList2EUTRA-r16            </w:t>
      </w:r>
      <w:r w:rsidRPr="00FA0D37">
        <w:rPr>
          <w:color w:val="993366"/>
        </w:rPr>
        <w:t>OPTIONAL</w:t>
      </w:r>
    </w:p>
    <w:p w14:paraId="30EDEF6C" w14:textId="77777777" w:rsidR="00394471" w:rsidRPr="00FA0D37" w:rsidRDefault="00394471" w:rsidP="00FA0D37">
      <w:pPr>
        <w:pStyle w:val="PL"/>
      </w:pPr>
      <w:r w:rsidRPr="00FA0D37">
        <w:t xml:space="preserve">    },</w:t>
      </w:r>
    </w:p>
    <w:p w14:paraId="3306D961" w14:textId="77777777" w:rsidR="00394471" w:rsidRPr="00FA0D37" w:rsidRDefault="00394471" w:rsidP="00FA0D37">
      <w:pPr>
        <w:pStyle w:val="PL"/>
      </w:pPr>
      <w:r w:rsidRPr="00FA0D37">
        <w:t xml:space="preserve">    numberOfConnFail-r16                 </w:t>
      </w:r>
      <w:r w:rsidRPr="00FA0D37">
        <w:rPr>
          <w:color w:val="993366"/>
        </w:rPr>
        <w:t>INTEGER</w:t>
      </w:r>
      <w:r w:rsidRPr="00FA0D37">
        <w:t xml:space="preserve"> (1..8),</w:t>
      </w:r>
    </w:p>
    <w:p w14:paraId="28CE1B3B" w14:textId="77777777" w:rsidR="00394471" w:rsidRPr="00FA0D37" w:rsidRDefault="00394471" w:rsidP="00FA0D37">
      <w:pPr>
        <w:pStyle w:val="PL"/>
      </w:pPr>
      <w:r w:rsidRPr="00FA0D37">
        <w:t xml:space="preserve">    </w:t>
      </w:r>
      <w:r w:rsidRPr="00FA0D37">
        <w:rPr>
          <w:rFonts w:eastAsia="等线"/>
        </w:rPr>
        <w:t>perRAInfoList-r16                            PerRAInfoList-r16</w:t>
      </w:r>
      <w:r w:rsidRPr="00FA0D37">
        <w:t>,</w:t>
      </w:r>
    </w:p>
    <w:p w14:paraId="05F77ABB" w14:textId="77777777" w:rsidR="00394471" w:rsidRPr="00FA0D37" w:rsidRDefault="00394471" w:rsidP="00FA0D37">
      <w:pPr>
        <w:pStyle w:val="PL"/>
      </w:pPr>
      <w:r w:rsidRPr="00FA0D37">
        <w:t xml:space="preserve">    timeSinceFailure-r16                 TimeSinceFailure-r16,</w:t>
      </w:r>
    </w:p>
    <w:p w14:paraId="022C18AD" w14:textId="77777777" w:rsidR="00394471" w:rsidRPr="00FA0D37" w:rsidRDefault="00394471" w:rsidP="00FA0D37">
      <w:pPr>
        <w:pStyle w:val="PL"/>
      </w:pPr>
      <w:r w:rsidRPr="00FA0D37">
        <w:t xml:space="preserve">    ...</w:t>
      </w:r>
    </w:p>
    <w:p w14:paraId="70BB55EC" w14:textId="77777777" w:rsidR="00394471" w:rsidRPr="00FA0D37" w:rsidRDefault="00394471" w:rsidP="00FA0D37">
      <w:pPr>
        <w:pStyle w:val="PL"/>
      </w:pPr>
      <w:r w:rsidRPr="00FA0D37">
        <w:t>}</w:t>
      </w:r>
    </w:p>
    <w:p w14:paraId="6D10C7EA" w14:textId="77777777" w:rsidR="00E84B6D" w:rsidRPr="00FA0D37" w:rsidRDefault="00E84B6D" w:rsidP="00FA0D37">
      <w:pPr>
        <w:pStyle w:val="PL"/>
      </w:pPr>
    </w:p>
    <w:p w14:paraId="5DDC3DF7" w14:textId="3D0E6A4C" w:rsidR="00394471" w:rsidRPr="00FA0D37" w:rsidRDefault="00E84B6D" w:rsidP="00FA0D37">
      <w:pPr>
        <w:pStyle w:val="PL"/>
      </w:pPr>
      <w:r w:rsidRPr="00FA0D37">
        <w:t xml:space="preserve">ConnEstFailReportList-r17 </w:t>
      </w:r>
      <w:r w:rsidRPr="00FA0D37">
        <w:rPr>
          <w:rFonts w:eastAsia="等线"/>
        </w:rPr>
        <w:t xml:space="preserve">::= </w:t>
      </w:r>
      <w:r w:rsidRPr="00FA0D37">
        <w:rPr>
          <w:color w:val="993366"/>
        </w:rPr>
        <w:t>SEQUENCE</w:t>
      </w:r>
      <w:r w:rsidRPr="00FA0D37">
        <w:t xml:space="preserve"> </w:t>
      </w:r>
      <w:r w:rsidRPr="00FA0D37">
        <w:rPr>
          <w:rFonts w:eastAsia="等线"/>
        </w:rPr>
        <w:t>(</w:t>
      </w:r>
      <w:r w:rsidRPr="00FA0D37">
        <w:rPr>
          <w:color w:val="993366"/>
        </w:rPr>
        <w:t>SIZE</w:t>
      </w:r>
      <w:r w:rsidRPr="00FA0D37">
        <w:t xml:space="preserve"> </w:t>
      </w:r>
      <w:r w:rsidRPr="00FA0D37">
        <w:rPr>
          <w:rFonts w:eastAsia="等线"/>
        </w:rPr>
        <w:t>(1..</w:t>
      </w:r>
      <w:bookmarkStart w:id="738" w:name="OLE_LINK19"/>
      <w:r w:rsidRPr="00FA0D37">
        <w:rPr>
          <w:rFonts w:eastAsia="等线"/>
        </w:rPr>
        <w:t>maxCEFReport-r17</w:t>
      </w:r>
      <w:bookmarkEnd w:id="738"/>
      <w:r w:rsidRPr="00FA0D37">
        <w:rPr>
          <w:rFonts w:eastAsia="等线"/>
        </w:rPr>
        <w:t>))</w:t>
      </w:r>
      <w:r w:rsidRPr="00FA0D37">
        <w:rPr>
          <w:rFonts w:eastAsia="等线"/>
          <w:color w:val="993366"/>
        </w:rPr>
        <w:t xml:space="preserve"> </w:t>
      </w:r>
      <w:r w:rsidRPr="00FA0D37">
        <w:rPr>
          <w:color w:val="993366"/>
        </w:rPr>
        <w:t>OF</w:t>
      </w:r>
      <w:r w:rsidRPr="00FA0D37">
        <w:t xml:space="preserve"> ConnEstFailReport-r16</w:t>
      </w:r>
    </w:p>
    <w:p w14:paraId="111A2B25" w14:textId="77777777" w:rsidR="00E84B6D" w:rsidRPr="00FA0D37" w:rsidRDefault="00E84B6D" w:rsidP="00FA0D37">
      <w:pPr>
        <w:pStyle w:val="PL"/>
      </w:pPr>
    </w:p>
    <w:p w14:paraId="6542079E" w14:textId="77777777" w:rsidR="00394471" w:rsidRPr="00FA0D37" w:rsidRDefault="00394471" w:rsidP="00FA0D37">
      <w:pPr>
        <w:pStyle w:val="PL"/>
      </w:pPr>
      <w:r w:rsidRPr="00FA0D37">
        <w:t xml:space="preserve">MeasResultServingCell-r16 ::=        </w:t>
      </w:r>
      <w:r w:rsidRPr="00FA0D37">
        <w:rPr>
          <w:color w:val="993366"/>
        </w:rPr>
        <w:t>SEQUENCE</w:t>
      </w:r>
      <w:r w:rsidRPr="00FA0D37">
        <w:t xml:space="preserve"> {</w:t>
      </w:r>
    </w:p>
    <w:p w14:paraId="312B1EE7" w14:textId="77777777" w:rsidR="00394471" w:rsidRPr="00FA0D37" w:rsidRDefault="00394471" w:rsidP="00FA0D37">
      <w:pPr>
        <w:pStyle w:val="PL"/>
      </w:pPr>
      <w:r w:rsidRPr="00FA0D37">
        <w:t xml:space="preserve">    resultsSSB-Cell                      MeasQuantityResults,</w:t>
      </w:r>
    </w:p>
    <w:p w14:paraId="5E4D49F9" w14:textId="77777777" w:rsidR="00394471" w:rsidRPr="00FA0D37" w:rsidRDefault="00394471" w:rsidP="00FA0D37">
      <w:pPr>
        <w:pStyle w:val="PL"/>
      </w:pPr>
      <w:r w:rsidRPr="00FA0D37">
        <w:t xml:space="preserve">    resultsSSB                           </w:t>
      </w:r>
      <w:r w:rsidRPr="00FA0D37">
        <w:rPr>
          <w:color w:val="993366"/>
        </w:rPr>
        <w:t>SEQUENCE</w:t>
      </w:r>
      <w:r w:rsidRPr="00FA0D37">
        <w:t>{</w:t>
      </w:r>
    </w:p>
    <w:p w14:paraId="561BCF4A" w14:textId="77777777" w:rsidR="00394471" w:rsidRPr="00FA0D37" w:rsidRDefault="00394471" w:rsidP="00FA0D37">
      <w:pPr>
        <w:pStyle w:val="PL"/>
      </w:pPr>
      <w:r w:rsidRPr="00FA0D37">
        <w:t xml:space="preserve">        best-ssb-Index                       SSB-Index,</w:t>
      </w:r>
    </w:p>
    <w:p w14:paraId="03EC3110" w14:textId="77777777" w:rsidR="00394471" w:rsidRPr="00FA0D37" w:rsidRDefault="00394471" w:rsidP="00FA0D37">
      <w:pPr>
        <w:pStyle w:val="PL"/>
      </w:pPr>
      <w:r w:rsidRPr="00FA0D37">
        <w:t xml:space="preserve">        best-ssb-Results                     MeasQuantityResults,</w:t>
      </w:r>
    </w:p>
    <w:p w14:paraId="1722EADD" w14:textId="77777777" w:rsidR="00394471" w:rsidRPr="00FA0D37" w:rsidRDefault="00394471" w:rsidP="00FA0D37">
      <w:pPr>
        <w:pStyle w:val="PL"/>
      </w:pPr>
      <w:r w:rsidRPr="00FA0D37">
        <w:t xml:space="preserve">        numberOfGoodSSB                      </w:t>
      </w:r>
      <w:r w:rsidRPr="00FA0D37">
        <w:rPr>
          <w:color w:val="993366"/>
        </w:rPr>
        <w:t>INTEGER</w:t>
      </w:r>
      <w:r w:rsidRPr="00FA0D37">
        <w:t xml:space="preserve"> (1..maxNrofSSBs-r16)</w:t>
      </w:r>
    </w:p>
    <w:p w14:paraId="3198CEAB" w14:textId="77777777" w:rsidR="00394471" w:rsidRPr="00FA0D37" w:rsidRDefault="00394471" w:rsidP="00FA0D37">
      <w:pPr>
        <w:pStyle w:val="PL"/>
      </w:pPr>
      <w:r w:rsidRPr="00FA0D37">
        <w:t xml:space="preserve">    }                                                                        </w:t>
      </w:r>
      <w:r w:rsidRPr="00FA0D37">
        <w:rPr>
          <w:color w:val="993366"/>
        </w:rPr>
        <w:t>OPTIONAL</w:t>
      </w:r>
    </w:p>
    <w:p w14:paraId="4E3D3A4E" w14:textId="77777777" w:rsidR="00394471" w:rsidRPr="00FA0D37" w:rsidRDefault="00394471" w:rsidP="00FA0D37">
      <w:pPr>
        <w:pStyle w:val="PL"/>
      </w:pPr>
      <w:r w:rsidRPr="00FA0D37">
        <w:t>}</w:t>
      </w:r>
    </w:p>
    <w:p w14:paraId="1DF2A76B" w14:textId="77777777" w:rsidR="00394471" w:rsidRPr="00FA0D37" w:rsidRDefault="00394471" w:rsidP="00FA0D37">
      <w:pPr>
        <w:pStyle w:val="PL"/>
      </w:pPr>
    </w:p>
    <w:p w14:paraId="010D68A0" w14:textId="77777777" w:rsidR="00394471" w:rsidRPr="00FA0D37" w:rsidRDefault="00394471" w:rsidP="00FA0D37">
      <w:pPr>
        <w:pStyle w:val="PL"/>
      </w:pPr>
      <w:r w:rsidRPr="00FA0D37">
        <w:t xml:space="preserve">MeasResultFailedCell-r16 ::=         </w:t>
      </w:r>
      <w:r w:rsidRPr="00FA0D37">
        <w:rPr>
          <w:color w:val="993366"/>
        </w:rPr>
        <w:t>SEQUENCE</w:t>
      </w:r>
      <w:r w:rsidRPr="00FA0D37">
        <w:t xml:space="preserve"> {</w:t>
      </w:r>
    </w:p>
    <w:p w14:paraId="7A7370CD" w14:textId="77777777" w:rsidR="00394471" w:rsidRPr="00FA0D37" w:rsidRDefault="00394471" w:rsidP="00FA0D37">
      <w:pPr>
        <w:pStyle w:val="PL"/>
      </w:pPr>
      <w:r w:rsidRPr="00FA0D37">
        <w:t xml:space="preserve">    cgi-Info                             CGI-Info-Logging-r16,</w:t>
      </w:r>
    </w:p>
    <w:p w14:paraId="39BB6EE5" w14:textId="77777777" w:rsidR="00394471" w:rsidRPr="00FA0D37" w:rsidRDefault="00394471" w:rsidP="00FA0D37">
      <w:pPr>
        <w:pStyle w:val="PL"/>
      </w:pPr>
      <w:r w:rsidRPr="00FA0D37">
        <w:t xml:space="preserve">    measResult-r16                       </w:t>
      </w:r>
      <w:r w:rsidRPr="00FA0D37">
        <w:rPr>
          <w:color w:val="993366"/>
        </w:rPr>
        <w:t>SEQUENCE</w:t>
      </w:r>
      <w:r w:rsidRPr="00FA0D37">
        <w:t xml:space="preserve"> {</w:t>
      </w:r>
    </w:p>
    <w:p w14:paraId="669A2753" w14:textId="77777777" w:rsidR="00394471" w:rsidRPr="00FA0D37" w:rsidRDefault="00394471" w:rsidP="00FA0D37">
      <w:pPr>
        <w:pStyle w:val="PL"/>
      </w:pPr>
      <w:r w:rsidRPr="00FA0D37">
        <w:t xml:space="preserve">        cellResults-r16                      </w:t>
      </w:r>
      <w:r w:rsidRPr="00FA0D37">
        <w:rPr>
          <w:color w:val="993366"/>
        </w:rPr>
        <w:t>SEQUENCE</w:t>
      </w:r>
      <w:r w:rsidRPr="00FA0D37">
        <w:t>{</w:t>
      </w:r>
    </w:p>
    <w:p w14:paraId="42E376B7" w14:textId="77777777" w:rsidR="00394471" w:rsidRPr="00FA0D37" w:rsidRDefault="00394471" w:rsidP="00FA0D37">
      <w:pPr>
        <w:pStyle w:val="PL"/>
      </w:pPr>
      <w:r w:rsidRPr="00FA0D37">
        <w:t xml:space="preserve">            resultsSSB-Cell-r16                  MeasQuantityResults</w:t>
      </w:r>
    </w:p>
    <w:p w14:paraId="2B4E22F9" w14:textId="77777777" w:rsidR="00394471" w:rsidRPr="00FA0D37" w:rsidRDefault="00394471" w:rsidP="00FA0D37">
      <w:pPr>
        <w:pStyle w:val="PL"/>
      </w:pPr>
      <w:r w:rsidRPr="00FA0D37">
        <w:t xml:space="preserve">        },</w:t>
      </w:r>
    </w:p>
    <w:p w14:paraId="6FA071C9" w14:textId="77777777" w:rsidR="00394471" w:rsidRPr="00FA0D37" w:rsidRDefault="00394471" w:rsidP="00FA0D37">
      <w:pPr>
        <w:pStyle w:val="PL"/>
      </w:pPr>
      <w:r w:rsidRPr="00FA0D37">
        <w:t xml:space="preserve">        rsIndexResults-r16                   </w:t>
      </w:r>
      <w:r w:rsidRPr="00FA0D37">
        <w:rPr>
          <w:color w:val="993366"/>
        </w:rPr>
        <w:t>SEQUENCE</w:t>
      </w:r>
      <w:r w:rsidRPr="00FA0D37">
        <w:t>{</w:t>
      </w:r>
    </w:p>
    <w:p w14:paraId="793A2939" w14:textId="77777777" w:rsidR="00394471" w:rsidRPr="00FA0D37" w:rsidRDefault="00394471" w:rsidP="00FA0D37">
      <w:pPr>
        <w:pStyle w:val="PL"/>
      </w:pPr>
      <w:r w:rsidRPr="00FA0D37">
        <w:t xml:space="preserve">            resultsSSB-Indexes-r16               ResultsPerSSB-IndexList</w:t>
      </w:r>
    </w:p>
    <w:p w14:paraId="474C5DA0" w14:textId="77777777" w:rsidR="00394471" w:rsidRPr="00FA0D37" w:rsidRDefault="00394471" w:rsidP="00FA0D37">
      <w:pPr>
        <w:pStyle w:val="PL"/>
      </w:pPr>
      <w:r w:rsidRPr="00FA0D37">
        <w:t xml:space="preserve">        }</w:t>
      </w:r>
    </w:p>
    <w:p w14:paraId="57B0AEF2" w14:textId="77777777" w:rsidR="00394471" w:rsidRPr="00FA0D37" w:rsidRDefault="00394471" w:rsidP="00FA0D37">
      <w:pPr>
        <w:pStyle w:val="PL"/>
      </w:pPr>
      <w:r w:rsidRPr="00FA0D37">
        <w:t xml:space="preserve">    }</w:t>
      </w:r>
    </w:p>
    <w:p w14:paraId="3034625E" w14:textId="77777777" w:rsidR="00394471" w:rsidRPr="00FA0D37" w:rsidRDefault="00394471" w:rsidP="00FA0D37">
      <w:pPr>
        <w:pStyle w:val="PL"/>
      </w:pPr>
      <w:r w:rsidRPr="00FA0D37">
        <w:t>}</w:t>
      </w:r>
    </w:p>
    <w:p w14:paraId="64AE6B91" w14:textId="77777777" w:rsidR="00394471" w:rsidRPr="00FA0D37" w:rsidRDefault="00394471" w:rsidP="00FA0D37">
      <w:pPr>
        <w:pStyle w:val="PL"/>
        <w:rPr>
          <w:rFonts w:eastAsia="等线"/>
        </w:rPr>
      </w:pPr>
    </w:p>
    <w:p w14:paraId="12617517" w14:textId="77777777" w:rsidR="00394471" w:rsidRPr="00FA0D37" w:rsidRDefault="00394471" w:rsidP="00FA0D37">
      <w:pPr>
        <w:pStyle w:val="PL"/>
        <w:rPr>
          <w:rFonts w:eastAsia="等线"/>
        </w:rPr>
      </w:pPr>
      <w:r w:rsidRPr="00FA0D37">
        <w:t>RA-ReportList</w:t>
      </w:r>
      <w:r w:rsidRPr="00FA0D37">
        <w:rPr>
          <w:rFonts w:eastAsia="等线"/>
        </w:rPr>
        <w:t xml:space="preserve">-r16 ::= </w:t>
      </w:r>
      <w:r w:rsidRPr="00FA0D37">
        <w:rPr>
          <w:color w:val="993366"/>
        </w:rPr>
        <w:t>SEQUENCE</w:t>
      </w:r>
      <w:r w:rsidRPr="00FA0D37">
        <w:t xml:space="preserve"> </w:t>
      </w:r>
      <w:r w:rsidRPr="00FA0D37">
        <w:rPr>
          <w:rFonts w:eastAsia="等线"/>
        </w:rPr>
        <w:t>(</w:t>
      </w:r>
      <w:r w:rsidRPr="00FA0D37">
        <w:rPr>
          <w:color w:val="993366"/>
        </w:rPr>
        <w:t>SIZE</w:t>
      </w:r>
      <w:r w:rsidRPr="00FA0D37">
        <w:t xml:space="preserve"> </w:t>
      </w:r>
      <w:r w:rsidRPr="00FA0D37">
        <w:rPr>
          <w:rFonts w:eastAsia="等线"/>
        </w:rPr>
        <w:t>(1..maxRAReport-r16))</w:t>
      </w:r>
      <w:r w:rsidRPr="00FA0D37">
        <w:rPr>
          <w:rFonts w:eastAsia="等线"/>
          <w:color w:val="993366"/>
        </w:rPr>
        <w:t xml:space="preserve"> </w:t>
      </w:r>
      <w:r w:rsidRPr="00FA0D37">
        <w:rPr>
          <w:color w:val="993366"/>
        </w:rPr>
        <w:t>OF</w:t>
      </w:r>
      <w:r w:rsidRPr="00FA0D37">
        <w:t xml:space="preserve"> RA-Report-r16</w:t>
      </w:r>
    </w:p>
    <w:p w14:paraId="3FD5BDE9" w14:textId="77777777" w:rsidR="00394471" w:rsidRPr="00FA0D37" w:rsidRDefault="00394471" w:rsidP="00FA0D37">
      <w:pPr>
        <w:pStyle w:val="PL"/>
      </w:pPr>
    </w:p>
    <w:p w14:paraId="05E36339" w14:textId="77777777" w:rsidR="00394471" w:rsidRPr="00FA0D37" w:rsidRDefault="00394471" w:rsidP="00FA0D37">
      <w:pPr>
        <w:pStyle w:val="PL"/>
      </w:pPr>
      <w:r w:rsidRPr="00FA0D37">
        <w:t xml:space="preserve">RA-Report-r16 ::=                    </w:t>
      </w:r>
      <w:r w:rsidRPr="00FA0D37">
        <w:rPr>
          <w:color w:val="993366"/>
        </w:rPr>
        <w:t>SEQUENCE</w:t>
      </w:r>
      <w:r w:rsidRPr="00FA0D37">
        <w:t xml:space="preserve"> {</w:t>
      </w:r>
    </w:p>
    <w:p w14:paraId="7F62316F" w14:textId="77777777" w:rsidR="00394471" w:rsidRPr="00FA0D37" w:rsidRDefault="00394471" w:rsidP="00FA0D37">
      <w:pPr>
        <w:pStyle w:val="PL"/>
      </w:pPr>
      <w:r w:rsidRPr="00FA0D37">
        <w:t xml:space="preserve">    cellId-r16                           </w:t>
      </w:r>
      <w:r w:rsidRPr="00FA0D37">
        <w:rPr>
          <w:color w:val="993366"/>
        </w:rPr>
        <w:t>CHOICE</w:t>
      </w:r>
      <w:r w:rsidRPr="00FA0D37">
        <w:t xml:space="preserve"> {</w:t>
      </w:r>
    </w:p>
    <w:p w14:paraId="750F6436" w14:textId="77777777" w:rsidR="00394471" w:rsidRPr="00FA0D37" w:rsidRDefault="00394471" w:rsidP="00FA0D37">
      <w:pPr>
        <w:pStyle w:val="PL"/>
      </w:pPr>
      <w:r w:rsidRPr="00FA0D37">
        <w:t xml:space="preserve">        cellGlobalId-r16                     CGI-Info-Logging-r16,</w:t>
      </w:r>
    </w:p>
    <w:p w14:paraId="49950E3C" w14:textId="0EE89FEA" w:rsidR="00394471" w:rsidRPr="00FA0D37" w:rsidRDefault="00394471" w:rsidP="00FA0D37">
      <w:pPr>
        <w:pStyle w:val="PL"/>
      </w:pPr>
      <w:r w:rsidRPr="00FA0D37">
        <w:t xml:space="preserve">        pci-arfcn-r16                        </w:t>
      </w:r>
      <w:r w:rsidR="000C6A30" w:rsidRPr="00FA0D37">
        <w:t>PCI-ARFCN-NR-r16</w:t>
      </w:r>
    </w:p>
    <w:p w14:paraId="764FF221" w14:textId="77777777" w:rsidR="00394471" w:rsidRPr="00FA0D37" w:rsidRDefault="00394471" w:rsidP="00FA0D37">
      <w:pPr>
        <w:pStyle w:val="PL"/>
      </w:pPr>
      <w:r w:rsidRPr="00FA0D37">
        <w:t xml:space="preserve">    },</w:t>
      </w:r>
    </w:p>
    <w:p w14:paraId="7408D020" w14:textId="5E3F4A5B" w:rsidR="00394471" w:rsidRPr="00FA0D37" w:rsidRDefault="00394471" w:rsidP="00FA0D37">
      <w:pPr>
        <w:pStyle w:val="PL"/>
      </w:pPr>
      <w:r w:rsidRPr="00FA0D37">
        <w:t xml:space="preserve">    </w:t>
      </w:r>
      <w:r w:rsidRPr="00FA0D37">
        <w:rPr>
          <w:rFonts w:eastAsia="宋体"/>
        </w:rPr>
        <w:t>ra-InformationCommon-r16</w:t>
      </w:r>
      <w:r w:rsidRPr="00FA0D37">
        <w:t xml:space="preserve">             </w:t>
      </w:r>
      <w:r w:rsidRPr="00FA0D37">
        <w:rPr>
          <w:rFonts w:eastAsia="等线"/>
        </w:rPr>
        <w:t>RA-InformationCommon-r16</w:t>
      </w:r>
      <w:r w:rsidR="00A10112" w:rsidRPr="00FA0D37">
        <w:t xml:space="preserve">                         </w:t>
      </w:r>
      <w:r w:rsidR="00A10112" w:rsidRPr="00FA0D37">
        <w:rPr>
          <w:rFonts w:eastAsia="等线"/>
          <w:color w:val="993366"/>
        </w:rPr>
        <w:t>OPTIONAL</w:t>
      </w:r>
      <w:r w:rsidRPr="00FA0D37">
        <w:rPr>
          <w:rFonts w:eastAsia="等线"/>
        </w:rPr>
        <w:t>,</w:t>
      </w:r>
    </w:p>
    <w:p w14:paraId="11254A72" w14:textId="77777777" w:rsidR="00394471" w:rsidRPr="00FA0D37" w:rsidRDefault="00394471" w:rsidP="00FA0D37">
      <w:pPr>
        <w:pStyle w:val="PL"/>
      </w:pPr>
      <w:r w:rsidRPr="00FA0D37">
        <w:t xml:space="preserve">    raPurpose-r16                        </w:t>
      </w:r>
      <w:r w:rsidRPr="00FA0D37">
        <w:rPr>
          <w:color w:val="993366"/>
        </w:rPr>
        <w:t>ENUMERATED</w:t>
      </w:r>
      <w:r w:rsidRPr="00FA0D37">
        <w:t xml:space="preserve"> {accessRelated, beamFailureRecovery, reconfigurationWithSync, ulUnSynchronized,</w:t>
      </w:r>
    </w:p>
    <w:p w14:paraId="5EA5C3C4" w14:textId="77777777" w:rsidR="00394471" w:rsidRPr="00FA0D37" w:rsidRDefault="00394471" w:rsidP="00FA0D37">
      <w:pPr>
        <w:pStyle w:val="PL"/>
      </w:pPr>
      <w:r w:rsidRPr="00FA0D37">
        <w:t xml:space="preserve">                                                    schedulingRequestFailure, noPUCCHResourceAvailable, requestForOtherSI,</w:t>
      </w:r>
    </w:p>
    <w:p w14:paraId="718CC24D" w14:textId="52A1A454" w:rsidR="00E84B6D" w:rsidRPr="00FA0D37" w:rsidRDefault="00394471" w:rsidP="00FA0D37">
      <w:pPr>
        <w:pStyle w:val="PL"/>
      </w:pPr>
      <w:r w:rsidRPr="00FA0D37">
        <w:t xml:space="preserve">                                                    </w:t>
      </w:r>
      <w:r w:rsidR="00E84B6D" w:rsidRPr="00FA0D37">
        <w:t>msg3RequestForOtherSI-r17</w:t>
      </w:r>
      <w:r w:rsidRPr="00FA0D37">
        <w:t>, spare8, spare7, spare6, spare5, spare4, spare3,</w:t>
      </w:r>
    </w:p>
    <w:p w14:paraId="2B397A3B" w14:textId="40F1BC49" w:rsidR="00A10112" w:rsidRPr="00FA0D37" w:rsidRDefault="00E84B6D" w:rsidP="00FA0D37">
      <w:pPr>
        <w:pStyle w:val="PL"/>
      </w:pPr>
      <w:r w:rsidRPr="00FA0D37">
        <w:t xml:space="preserve">                                                   </w:t>
      </w:r>
      <w:r w:rsidR="00394471" w:rsidRPr="00FA0D37">
        <w:t xml:space="preserve"> spare2, spare1}</w:t>
      </w:r>
      <w:r w:rsidR="00A10112" w:rsidRPr="00FA0D37">
        <w:t>,</w:t>
      </w:r>
    </w:p>
    <w:p w14:paraId="1BA26F5C" w14:textId="50DBE1BB" w:rsidR="00E84B6D" w:rsidRPr="00FA0D37" w:rsidRDefault="00A10112" w:rsidP="00FA0D37">
      <w:pPr>
        <w:pStyle w:val="PL"/>
      </w:pPr>
      <w:r w:rsidRPr="00FA0D37">
        <w:t xml:space="preserve">    ...</w:t>
      </w:r>
      <w:r w:rsidR="00E84B6D" w:rsidRPr="00FA0D37">
        <w:t>,</w:t>
      </w:r>
    </w:p>
    <w:p w14:paraId="4196E40E" w14:textId="77777777" w:rsidR="00E84B6D" w:rsidRPr="00FA0D37" w:rsidRDefault="00E84B6D" w:rsidP="00FA0D37">
      <w:pPr>
        <w:pStyle w:val="PL"/>
      </w:pPr>
      <w:r w:rsidRPr="00FA0D37">
        <w:t xml:space="preserve">    [[</w:t>
      </w:r>
    </w:p>
    <w:p w14:paraId="54B7B970" w14:textId="27E10BB1" w:rsidR="00E84B6D" w:rsidRPr="00FA0D37" w:rsidRDefault="00E84B6D" w:rsidP="00FA0D37">
      <w:pPr>
        <w:pStyle w:val="PL"/>
      </w:pPr>
      <w:r w:rsidRPr="00FA0D37">
        <w:t xml:space="preserve">    spCellID-r17                         CGI-Info-Logging-r16                             </w:t>
      </w:r>
      <w:r w:rsidRPr="00FA0D37">
        <w:rPr>
          <w:color w:val="993366"/>
        </w:rPr>
        <w:t>OPTIONAL</w:t>
      </w:r>
    </w:p>
    <w:p w14:paraId="18541391" w14:textId="1E6FA2C5" w:rsidR="00394471" w:rsidRPr="00FA0D37" w:rsidRDefault="00E84B6D" w:rsidP="00FA0D37">
      <w:pPr>
        <w:pStyle w:val="PL"/>
      </w:pPr>
      <w:r w:rsidRPr="00FA0D37">
        <w:t xml:space="preserve">    ]]</w:t>
      </w:r>
    </w:p>
    <w:p w14:paraId="6C7F6196" w14:textId="77777777" w:rsidR="00394471" w:rsidRPr="00FA0D37" w:rsidRDefault="00394471" w:rsidP="00FA0D37">
      <w:pPr>
        <w:pStyle w:val="PL"/>
      </w:pPr>
      <w:r w:rsidRPr="00FA0D37">
        <w:t>}</w:t>
      </w:r>
    </w:p>
    <w:p w14:paraId="6DCFB55F" w14:textId="77777777" w:rsidR="00394471" w:rsidRPr="00FA0D37" w:rsidRDefault="00394471" w:rsidP="00FA0D37">
      <w:pPr>
        <w:pStyle w:val="PL"/>
        <w:rPr>
          <w:rFonts w:eastAsia="等线"/>
        </w:rPr>
      </w:pPr>
    </w:p>
    <w:p w14:paraId="546DDD58" w14:textId="77777777" w:rsidR="00394471" w:rsidRPr="00FA0D37" w:rsidRDefault="00394471" w:rsidP="00FA0D37">
      <w:pPr>
        <w:pStyle w:val="PL"/>
        <w:rPr>
          <w:rFonts w:eastAsia="等线"/>
        </w:rPr>
      </w:pPr>
      <w:r w:rsidRPr="00FA0D37">
        <w:rPr>
          <w:rFonts w:eastAsia="等线"/>
        </w:rPr>
        <w:t>RA-InformationCommon-r16 ::=</w:t>
      </w:r>
      <w:r w:rsidRPr="00FA0D37">
        <w:t xml:space="preserve">         </w:t>
      </w:r>
      <w:r w:rsidRPr="00FA0D37">
        <w:rPr>
          <w:rFonts w:eastAsia="等线"/>
          <w:color w:val="993366"/>
        </w:rPr>
        <w:t>SEQUENCE</w:t>
      </w:r>
      <w:r w:rsidRPr="00FA0D37">
        <w:rPr>
          <w:rFonts w:eastAsia="等线"/>
        </w:rPr>
        <w:t xml:space="preserve"> {</w:t>
      </w:r>
    </w:p>
    <w:p w14:paraId="15D15F19" w14:textId="77777777" w:rsidR="00394471" w:rsidRPr="00FA0D37" w:rsidRDefault="00394471" w:rsidP="00FA0D37">
      <w:pPr>
        <w:pStyle w:val="PL"/>
        <w:rPr>
          <w:rFonts w:eastAsia="等线"/>
        </w:rPr>
      </w:pPr>
      <w:r w:rsidRPr="00FA0D37">
        <w:lastRenderedPageBreak/>
        <w:t xml:space="preserve">    </w:t>
      </w:r>
      <w:r w:rsidRPr="00FA0D37">
        <w:rPr>
          <w:rFonts w:eastAsia="等线"/>
        </w:rPr>
        <w:t>absoluteFrequencyPointA-r16</w:t>
      </w:r>
      <w:r w:rsidRPr="00FA0D37">
        <w:t xml:space="preserve">          </w:t>
      </w:r>
      <w:r w:rsidRPr="00FA0D37">
        <w:rPr>
          <w:rFonts w:eastAsia="等线"/>
        </w:rPr>
        <w:t>ARFCN-ValueNR,</w:t>
      </w:r>
    </w:p>
    <w:p w14:paraId="1C3A0BAA" w14:textId="77777777" w:rsidR="00394471" w:rsidRPr="00FA0D37" w:rsidRDefault="00394471" w:rsidP="00FA0D37">
      <w:pPr>
        <w:pStyle w:val="PL"/>
        <w:rPr>
          <w:rFonts w:eastAsia="等线"/>
        </w:rPr>
      </w:pPr>
      <w:r w:rsidRPr="00FA0D37">
        <w:t xml:space="preserve">    </w:t>
      </w:r>
      <w:r w:rsidRPr="00FA0D37">
        <w:rPr>
          <w:rFonts w:eastAsia="等线"/>
        </w:rPr>
        <w:t>locationAndBandwidth-r16</w:t>
      </w:r>
      <w:r w:rsidRPr="00FA0D37">
        <w:t xml:space="preserve">             </w:t>
      </w:r>
      <w:r w:rsidRPr="00FA0D37">
        <w:rPr>
          <w:rFonts w:eastAsia="等线"/>
          <w:color w:val="993366"/>
        </w:rPr>
        <w:t>INTEGER</w:t>
      </w:r>
      <w:r w:rsidRPr="00FA0D37">
        <w:rPr>
          <w:rFonts w:eastAsia="等线"/>
        </w:rPr>
        <w:t xml:space="preserve"> (0..37949),</w:t>
      </w:r>
    </w:p>
    <w:p w14:paraId="79DE3A77" w14:textId="77777777" w:rsidR="00394471" w:rsidRPr="00FA0D37" w:rsidRDefault="00394471" w:rsidP="00FA0D37">
      <w:pPr>
        <w:pStyle w:val="PL"/>
        <w:rPr>
          <w:rFonts w:eastAsia="等线"/>
        </w:rPr>
      </w:pPr>
      <w:r w:rsidRPr="00FA0D37">
        <w:t xml:space="preserve">    </w:t>
      </w:r>
      <w:r w:rsidRPr="00FA0D37">
        <w:rPr>
          <w:rFonts w:eastAsia="等线"/>
        </w:rPr>
        <w:t>subcarrierSpacing-r16</w:t>
      </w:r>
      <w:r w:rsidRPr="00FA0D37">
        <w:t xml:space="preserve">                </w:t>
      </w:r>
      <w:r w:rsidRPr="00FA0D37">
        <w:rPr>
          <w:rFonts w:eastAsia="等线"/>
        </w:rPr>
        <w:t>SubcarrierSpacing,</w:t>
      </w:r>
    </w:p>
    <w:p w14:paraId="5D75F2E5" w14:textId="77777777" w:rsidR="00394471" w:rsidRPr="00FA0D37" w:rsidRDefault="00394471" w:rsidP="00FA0D37">
      <w:pPr>
        <w:pStyle w:val="PL"/>
        <w:rPr>
          <w:rFonts w:eastAsia="等线"/>
        </w:rPr>
      </w:pPr>
      <w:r w:rsidRPr="00FA0D37">
        <w:t xml:space="preserve">    </w:t>
      </w:r>
      <w:r w:rsidRPr="00FA0D37">
        <w:rPr>
          <w:rFonts w:eastAsia="等线"/>
        </w:rPr>
        <w:t>msg1-FrequencyStart-r16</w:t>
      </w:r>
      <w:r w:rsidRPr="00FA0D37">
        <w:t xml:space="preserve">              </w:t>
      </w:r>
      <w:r w:rsidRPr="00FA0D37">
        <w:rPr>
          <w:rFonts w:eastAsia="等线"/>
          <w:color w:val="993366"/>
        </w:rPr>
        <w:t>INTEGER</w:t>
      </w:r>
      <w:r w:rsidRPr="00FA0D37">
        <w:rPr>
          <w:rFonts w:eastAsia="等线"/>
        </w:rPr>
        <w:t xml:space="preserve"> (0..maxNrofPhysicalResourceBlocks-1)</w:t>
      </w:r>
      <w:r w:rsidRPr="00FA0D37">
        <w:t xml:space="preserve">     </w:t>
      </w:r>
      <w:r w:rsidRPr="00FA0D37">
        <w:rPr>
          <w:rFonts w:eastAsia="等线"/>
          <w:color w:val="993366"/>
        </w:rPr>
        <w:t>OPTIONAL</w:t>
      </w:r>
      <w:r w:rsidRPr="00FA0D37">
        <w:rPr>
          <w:rFonts w:eastAsia="等线"/>
        </w:rPr>
        <w:t>,</w:t>
      </w:r>
    </w:p>
    <w:p w14:paraId="10F42B36" w14:textId="77777777" w:rsidR="00394471" w:rsidRPr="00FA0D37" w:rsidRDefault="00394471" w:rsidP="00FA0D37">
      <w:pPr>
        <w:pStyle w:val="PL"/>
        <w:rPr>
          <w:rFonts w:eastAsia="等线"/>
        </w:rPr>
      </w:pPr>
      <w:r w:rsidRPr="00FA0D37">
        <w:t xml:space="preserve">    </w:t>
      </w:r>
      <w:r w:rsidRPr="00FA0D37">
        <w:rPr>
          <w:rFonts w:eastAsia="等线"/>
        </w:rPr>
        <w:t>msg1-FrequencyStartCFRA-r16</w:t>
      </w:r>
      <w:r w:rsidRPr="00FA0D37">
        <w:t xml:space="preserve">          </w:t>
      </w:r>
      <w:r w:rsidRPr="00FA0D37">
        <w:rPr>
          <w:rFonts w:eastAsia="等线"/>
          <w:color w:val="993366"/>
        </w:rPr>
        <w:t>INTEGER</w:t>
      </w:r>
      <w:r w:rsidRPr="00FA0D37">
        <w:rPr>
          <w:rFonts w:eastAsia="等线"/>
        </w:rPr>
        <w:t xml:space="preserve"> (0..maxNrofPhysicalResourceBlocks-1)</w:t>
      </w:r>
      <w:r w:rsidRPr="00FA0D37">
        <w:t xml:space="preserve">     </w:t>
      </w:r>
      <w:r w:rsidRPr="00FA0D37">
        <w:rPr>
          <w:rFonts w:eastAsia="等线"/>
          <w:color w:val="993366"/>
        </w:rPr>
        <w:t>OPTIONAL</w:t>
      </w:r>
      <w:r w:rsidRPr="00FA0D37">
        <w:rPr>
          <w:rFonts w:eastAsia="等线"/>
        </w:rPr>
        <w:t>,</w:t>
      </w:r>
    </w:p>
    <w:p w14:paraId="022A7F4D" w14:textId="77777777" w:rsidR="00394471" w:rsidRPr="00FA0D37" w:rsidRDefault="00394471" w:rsidP="00FA0D37">
      <w:pPr>
        <w:pStyle w:val="PL"/>
        <w:rPr>
          <w:rFonts w:eastAsia="等线"/>
        </w:rPr>
      </w:pPr>
      <w:r w:rsidRPr="00FA0D37">
        <w:t xml:space="preserve">    </w:t>
      </w:r>
      <w:r w:rsidRPr="00FA0D37">
        <w:rPr>
          <w:rFonts w:eastAsia="等线"/>
        </w:rPr>
        <w:t>msg1-SubcarrierSpacing-r16</w:t>
      </w:r>
      <w:r w:rsidRPr="00FA0D37">
        <w:t xml:space="preserve">           </w:t>
      </w:r>
      <w:r w:rsidRPr="00FA0D37">
        <w:rPr>
          <w:rFonts w:eastAsia="等线"/>
        </w:rPr>
        <w:t>SubcarrierSpacing</w:t>
      </w:r>
      <w:r w:rsidRPr="00FA0D37">
        <w:t xml:space="preserve">                                </w:t>
      </w:r>
      <w:r w:rsidRPr="00FA0D37">
        <w:rPr>
          <w:rFonts w:eastAsia="等线"/>
          <w:color w:val="993366"/>
        </w:rPr>
        <w:t>OPTIONAL</w:t>
      </w:r>
      <w:r w:rsidRPr="00FA0D37">
        <w:rPr>
          <w:rFonts w:eastAsia="等线"/>
        </w:rPr>
        <w:t>,</w:t>
      </w:r>
    </w:p>
    <w:p w14:paraId="336267CB" w14:textId="77777777" w:rsidR="00394471" w:rsidRPr="00FA0D37" w:rsidRDefault="00394471" w:rsidP="00FA0D37">
      <w:pPr>
        <w:pStyle w:val="PL"/>
        <w:rPr>
          <w:rFonts w:eastAsia="等线"/>
        </w:rPr>
      </w:pPr>
      <w:r w:rsidRPr="00FA0D37">
        <w:t xml:space="preserve">    </w:t>
      </w:r>
      <w:r w:rsidRPr="00FA0D37">
        <w:rPr>
          <w:rFonts w:eastAsia="等线"/>
        </w:rPr>
        <w:t>msg1-SubcarrierSpacingCFRA-r16</w:t>
      </w:r>
      <w:r w:rsidRPr="00FA0D37">
        <w:t xml:space="preserve">       </w:t>
      </w:r>
      <w:r w:rsidRPr="00FA0D37">
        <w:rPr>
          <w:rFonts w:eastAsia="等线"/>
        </w:rPr>
        <w:t>SubcarrierSpacing</w:t>
      </w:r>
      <w:r w:rsidRPr="00FA0D37">
        <w:t xml:space="preserve">                                </w:t>
      </w:r>
      <w:r w:rsidRPr="00FA0D37">
        <w:rPr>
          <w:rFonts w:eastAsia="等线"/>
          <w:color w:val="993366"/>
        </w:rPr>
        <w:t>OPTIONAL</w:t>
      </w:r>
      <w:r w:rsidRPr="00FA0D37">
        <w:rPr>
          <w:rFonts w:eastAsia="等线"/>
        </w:rPr>
        <w:t>,</w:t>
      </w:r>
    </w:p>
    <w:p w14:paraId="6134A0C7" w14:textId="77777777" w:rsidR="00394471" w:rsidRPr="00FA0D37" w:rsidRDefault="00394471" w:rsidP="00FA0D37">
      <w:pPr>
        <w:pStyle w:val="PL"/>
        <w:rPr>
          <w:rFonts w:eastAsia="等线"/>
        </w:rPr>
      </w:pPr>
      <w:r w:rsidRPr="00FA0D37">
        <w:t xml:space="preserve">    </w:t>
      </w:r>
      <w:r w:rsidRPr="00FA0D37">
        <w:rPr>
          <w:rFonts w:eastAsia="等线"/>
        </w:rPr>
        <w:t>msg1-FDM-r16</w:t>
      </w:r>
      <w:r w:rsidRPr="00FA0D37">
        <w:t xml:space="preserve">                         </w:t>
      </w:r>
      <w:r w:rsidRPr="00FA0D37">
        <w:rPr>
          <w:rFonts w:eastAsia="等线"/>
          <w:color w:val="993366"/>
        </w:rPr>
        <w:t>ENUMERATED</w:t>
      </w:r>
      <w:r w:rsidRPr="00FA0D37">
        <w:rPr>
          <w:rFonts w:eastAsia="等线"/>
        </w:rPr>
        <w:t xml:space="preserve"> {one, two, four, eight}</w:t>
      </w:r>
      <w:r w:rsidRPr="00FA0D37">
        <w:t xml:space="preserve">               </w:t>
      </w:r>
      <w:r w:rsidRPr="00FA0D37">
        <w:rPr>
          <w:rFonts w:eastAsia="等线"/>
          <w:color w:val="993366"/>
        </w:rPr>
        <w:t>OPTIONAL</w:t>
      </w:r>
      <w:r w:rsidRPr="00FA0D37">
        <w:rPr>
          <w:rFonts w:eastAsia="等线"/>
        </w:rPr>
        <w:t>,</w:t>
      </w:r>
    </w:p>
    <w:p w14:paraId="3B08CE75" w14:textId="77777777" w:rsidR="00394471" w:rsidRPr="00FA0D37" w:rsidRDefault="00394471" w:rsidP="00FA0D37">
      <w:pPr>
        <w:pStyle w:val="PL"/>
        <w:rPr>
          <w:rFonts w:eastAsia="等线"/>
        </w:rPr>
      </w:pPr>
      <w:r w:rsidRPr="00FA0D37">
        <w:t xml:space="preserve">    </w:t>
      </w:r>
      <w:r w:rsidRPr="00FA0D37">
        <w:rPr>
          <w:rFonts w:eastAsia="等线"/>
        </w:rPr>
        <w:t>msg1-FDMCFRA-r16</w:t>
      </w:r>
      <w:r w:rsidRPr="00FA0D37">
        <w:t xml:space="preserve">                     </w:t>
      </w:r>
      <w:r w:rsidRPr="00FA0D37">
        <w:rPr>
          <w:rFonts w:eastAsia="等线"/>
          <w:color w:val="993366"/>
        </w:rPr>
        <w:t>ENUMERATED</w:t>
      </w:r>
      <w:r w:rsidRPr="00FA0D37">
        <w:rPr>
          <w:rFonts w:eastAsia="等线"/>
        </w:rPr>
        <w:t xml:space="preserve"> {one, two, four, eight}</w:t>
      </w:r>
      <w:r w:rsidRPr="00FA0D37">
        <w:t xml:space="preserve">               </w:t>
      </w:r>
      <w:r w:rsidRPr="00FA0D37">
        <w:rPr>
          <w:rFonts w:eastAsia="等线"/>
          <w:color w:val="993366"/>
        </w:rPr>
        <w:t>OPTIONAL</w:t>
      </w:r>
      <w:r w:rsidRPr="00FA0D37">
        <w:rPr>
          <w:rFonts w:eastAsia="等线"/>
        </w:rPr>
        <w:t>,</w:t>
      </w:r>
    </w:p>
    <w:p w14:paraId="4FF9BED3" w14:textId="77777777" w:rsidR="00371A5F" w:rsidRPr="00FA0D37" w:rsidRDefault="00394471" w:rsidP="00FA0D37">
      <w:pPr>
        <w:pStyle w:val="PL"/>
        <w:rPr>
          <w:rFonts w:eastAsia="等线"/>
        </w:rPr>
      </w:pPr>
      <w:r w:rsidRPr="00FA0D37">
        <w:t xml:space="preserve">    </w:t>
      </w:r>
      <w:r w:rsidRPr="00FA0D37">
        <w:rPr>
          <w:rFonts w:eastAsia="等线"/>
        </w:rPr>
        <w:t>perRAInfoList-r16</w:t>
      </w:r>
      <w:r w:rsidRPr="00FA0D37">
        <w:t xml:space="preserve">                    </w:t>
      </w:r>
      <w:r w:rsidRPr="00FA0D37">
        <w:rPr>
          <w:rFonts w:eastAsia="等线"/>
        </w:rPr>
        <w:t>PerRAInfoList-r16</w:t>
      </w:r>
      <w:r w:rsidR="00371A5F" w:rsidRPr="00FA0D37">
        <w:rPr>
          <w:rFonts w:eastAsia="等线"/>
        </w:rPr>
        <w:t>,</w:t>
      </w:r>
    </w:p>
    <w:p w14:paraId="5BE52203" w14:textId="04C249C4" w:rsidR="00394471" w:rsidRPr="00FA0D37" w:rsidRDefault="00371A5F" w:rsidP="00FA0D37">
      <w:pPr>
        <w:pStyle w:val="PL"/>
        <w:rPr>
          <w:rFonts w:eastAsia="等线"/>
        </w:rPr>
      </w:pPr>
      <w:r w:rsidRPr="00FA0D37">
        <w:t xml:space="preserve">    </w:t>
      </w:r>
      <w:r w:rsidRPr="00FA0D37">
        <w:rPr>
          <w:rFonts w:eastAsia="等线"/>
        </w:rPr>
        <w:t>...</w:t>
      </w:r>
      <w:r w:rsidR="00443A38" w:rsidRPr="00FA0D37">
        <w:rPr>
          <w:rFonts w:eastAsia="等线"/>
        </w:rPr>
        <w:t>,</w:t>
      </w:r>
    </w:p>
    <w:p w14:paraId="00E8A9E3" w14:textId="726A8C9F" w:rsidR="00443A38" w:rsidRPr="00FA0D37" w:rsidRDefault="00443A38" w:rsidP="00FA0D37">
      <w:pPr>
        <w:pStyle w:val="PL"/>
        <w:rPr>
          <w:rFonts w:eastAsia="等线"/>
        </w:rPr>
      </w:pPr>
      <w:r w:rsidRPr="00FA0D37">
        <w:t xml:space="preserve">    </w:t>
      </w:r>
      <w:r w:rsidRPr="00FA0D37">
        <w:rPr>
          <w:rFonts w:eastAsia="等线"/>
        </w:rPr>
        <w:t>[[</w:t>
      </w:r>
    </w:p>
    <w:p w14:paraId="78CA15D2" w14:textId="0A30893C" w:rsidR="00443A38" w:rsidRPr="00FA0D37" w:rsidRDefault="00443A38" w:rsidP="00FA0D37">
      <w:pPr>
        <w:pStyle w:val="PL"/>
        <w:rPr>
          <w:rFonts w:eastAsia="等线"/>
        </w:rPr>
      </w:pPr>
      <w:r w:rsidRPr="00FA0D37">
        <w:t xml:space="preserve">    </w:t>
      </w:r>
      <w:r w:rsidRPr="00FA0D37">
        <w:rPr>
          <w:rFonts w:eastAsia="等线"/>
        </w:rPr>
        <w:t>perRAInfoList-v16</w:t>
      </w:r>
      <w:r w:rsidR="0057317B" w:rsidRPr="00FA0D37">
        <w:rPr>
          <w:rFonts w:eastAsia="等线"/>
        </w:rPr>
        <w:t>60</w:t>
      </w:r>
      <w:r w:rsidRPr="00FA0D37">
        <w:t xml:space="preserve">               </w:t>
      </w:r>
      <w:r w:rsidRPr="00FA0D37">
        <w:rPr>
          <w:rFonts w:eastAsia="等线"/>
        </w:rPr>
        <w:t>PerRAInfoList-v16</w:t>
      </w:r>
      <w:r w:rsidR="0057317B" w:rsidRPr="00FA0D37">
        <w:rPr>
          <w:rFonts w:eastAsia="等线"/>
        </w:rPr>
        <w:t>60</w:t>
      </w:r>
      <w:r w:rsidRPr="00FA0D37">
        <w:t xml:space="preserve">                         </w:t>
      </w:r>
      <w:r w:rsidR="00DA748E" w:rsidRPr="00FA0D37">
        <w:t xml:space="preserve">  </w:t>
      </w:r>
      <w:r w:rsidRPr="00FA0D37">
        <w:rPr>
          <w:rFonts w:eastAsia="等线"/>
          <w:color w:val="993366"/>
        </w:rPr>
        <w:t>OPTIONAL</w:t>
      </w:r>
    </w:p>
    <w:p w14:paraId="734EDCA2" w14:textId="0FEC0B9F" w:rsidR="007B1DEE" w:rsidRPr="00FA0D37" w:rsidRDefault="00443A38" w:rsidP="00FA0D37">
      <w:pPr>
        <w:pStyle w:val="PL"/>
        <w:rPr>
          <w:rFonts w:eastAsia="等线"/>
        </w:rPr>
      </w:pPr>
      <w:r w:rsidRPr="00FA0D37">
        <w:t xml:space="preserve">    </w:t>
      </w:r>
      <w:r w:rsidRPr="00FA0D37">
        <w:rPr>
          <w:rFonts w:eastAsia="等线"/>
        </w:rPr>
        <w:t>]]</w:t>
      </w:r>
      <w:r w:rsidR="007B1DEE" w:rsidRPr="00FA0D37">
        <w:rPr>
          <w:rFonts w:eastAsia="等线"/>
        </w:rPr>
        <w:t>,</w:t>
      </w:r>
    </w:p>
    <w:p w14:paraId="33731B74" w14:textId="3E29787B" w:rsidR="007B1DEE" w:rsidRPr="00FA0D37" w:rsidRDefault="007B1DEE" w:rsidP="00FA0D37">
      <w:pPr>
        <w:pStyle w:val="PL"/>
        <w:rPr>
          <w:rFonts w:eastAsia="等线"/>
        </w:rPr>
      </w:pPr>
      <w:r w:rsidRPr="00FA0D37">
        <w:t xml:space="preserve">    </w:t>
      </w:r>
      <w:r w:rsidRPr="00FA0D37">
        <w:rPr>
          <w:rFonts w:eastAsia="等线"/>
        </w:rPr>
        <w:t>[[</w:t>
      </w:r>
    </w:p>
    <w:p w14:paraId="61F0FA7E" w14:textId="37BB5EE0" w:rsidR="007B1DEE" w:rsidRPr="00FA0D37" w:rsidRDefault="007B1DEE" w:rsidP="00FA0D37">
      <w:pPr>
        <w:pStyle w:val="PL"/>
        <w:rPr>
          <w:rFonts w:eastAsia="等线"/>
        </w:rPr>
      </w:pPr>
      <w:r w:rsidRPr="00FA0D37">
        <w:t xml:space="preserve">    </w:t>
      </w:r>
      <w:r w:rsidRPr="00FA0D37">
        <w:rPr>
          <w:rFonts w:eastAsia="等线"/>
        </w:rPr>
        <w:t>msg1-SCS-From-prach-ConfigurationIndex-</w:t>
      </w:r>
      <w:r w:rsidR="002372B3" w:rsidRPr="00FA0D37">
        <w:rPr>
          <w:rFonts w:eastAsia="等线"/>
        </w:rPr>
        <w:t>r</w:t>
      </w:r>
      <w:r w:rsidRPr="00FA0D37">
        <w:rPr>
          <w:rFonts w:eastAsia="等线"/>
        </w:rPr>
        <w:t>16</w:t>
      </w:r>
      <w:r w:rsidRPr="00FA0D37">
        <w:t xml:space="preserve">  </w:t>
      </w:r>
      <w:r w:rsidRPr="00FA0D37">
        <w:rPr>
          <w:rFonts w:eastAsia="等线"/>
          <w:color w:val="993366"/>
        </w:rPr>
        <w:t>ENUMERATED</w:t>
      </w:r>
      <w:r w:rsidRPr="00FA0D37">
        <w:rPr>
          <w:rFonts w:eastAsia="等线"/>
        </w:rPr>
        <w:t xml:space="preserve"> {kHz1dot25, kHz5, spare2, spare1}</w:t>
      </w:r>
      <w:r w:rsidRPr="00FA0D37">
        <w:t xml:space="preserve">  </w:t>
      </w:r>
      <w:r w:rsidRPr="00FA0D37">
        <w:rPr>
          <w:rFonts w:eastAsia="等线"/>
          <w:color w:val="993366"/>
        </w:rPr>
        <w:t>OPTIONAL</w:t>
      </w:r>
    </w:p>
    <w:p w14:paraId="34F4FFB7" w14:textId="66177A42" w:rsidR="00E12E00" w:rsidRPr="00FA0D37" w:rsidRDefault="007B1DEE" w:rsidP="00FA0D37">
      <w:pPr>
        <w:pStyle w:val="PL"/>
        <w:rPr>
          <w:rFonts w:eastAsia="等线"/>
        </w:rPr>
      </w:pPr>
      <w:r w:rsidRPr="00FA0D37">
        <w:t xml:space="preserve">    </w:t>
      </w:r>
      <w:r w:rsidRPr="00FA0D37">
        <w:rPr>
          <w:rFonts w:eastAsia="等线"/>
        </w:rPr>
        <w:t>]]</w:t>
      </w:r>
      <w:r w:rsidR="006B0443" w:rsidRPr="00FA0D37">
        <w:rPr>
          <w:rFonts w:eastAsia="等线"/>
        </w:rPr>
        <w:t>,</w:t>
      </w:r>
    </w:p>
    <w:p w14:paraId="3602D132" w14:textId="7814FC7F" w:rsidR="00E12E00" w:rsidRPr="00FA0D37" w:rsidRDefault="00E12E00" w:rsidP="00FA0D37">
      <w:pPr>
        <w:pStyle w:val="PL"/>
        <w:rPr>
          <w:rFonts w:eastAsia="等线"/>
        </w:rPr>
      </w:pPr>
      <w:r w:rsidRPr="00FA0D37">
        <w:t xml:space="preserve">   </w:t>
      </w:r>
      <w:r w:rsidRPr="00FA0D37">
        <w:rPr>
          <w:rFonts w:eastAsia="等线"/>
        </w:rPr>
        <w:t xml:space="preserve"> [</w:t>
      </w:r>
      <w:r w:rsidR="006B0443" w:rsidRPr="00FA0D37">
        <w:rPr>
          <w:rFonts w:eastAsia="等线"/>
        </w:rPr>
        <w:t>[</w:t>
      </w:r>
    </w:p>
    <w:p w14:paraId="25202A1B" w14:textId="11FE8878" w:rsidR="00E12E00" w:rsidRPr="00FA0D37" w:rsidRDefault="00E12E00" w:rsidP="00FA0D37">
      <w:pPr>
        <w:pStyle w:val="PL"/>
        <w:rPr>
          <w:rFonts w:eastAsia="等线"/>
        </w:rPr>
      </w:pPr>
      <w:r w:rsidRPr="00FA0D37">
        <w:t xml:space="preserve">    </w:t>
      </w:r>
      <w:r w:rsidRPr="00FA0D37">
        <w:rPr>
          <w:rFonts w:eastAsia="等线"/>
        </w:rPr>
        <w:t xml:space="preserve">msg1-SCS-From-prach-ConfigurationIndexCFRA-r16  </w:t>
      </w:r>
      <w:r w:rsidRPr="00FA0D37">
        <w:rPr>
          <w:rFonts w:eastAsia="等线"/>
          <w:color w:val="993366"/>
        </w:rPr>
        <w:t>ENUMERATED</w:t>
      </w:r>
      <w:r w:rsidRPr="00FA0D37">
        <w:rPr>
          <w:rFonts w:eastAsia="等线"/>
        </w:rPr>
        <w:t xml:space="preserve"> {kHz1dot25, kHz5, spare2, spare1}</w:t>
      </w:r>
      <w:r w:rsidRPr="00FA0D37">
        <w:t xml:space="preserve"> </w:t>
      </w:r>
      <w:r w:rsidRPr="00FA0D37">
        <w:rPr>
          <w:rFonts w:eastAsia="等线"/>
          <w:color w:val="993366"/>
        </w:rPr>
        <w:t>OPTIONAL</w:t>
      </w:r>
    </w:p>
    <w:p w14:paraId="76E13DD7" w14:textId="6DE2FF01" w:rsidR="00E84B6D" w:rsidRPr="00FA0D37" w:rsidRDefault="00E12E00" w:rsidP="00FA0D37">
      <w:pPr>
        <w:pStyle w:val="PL"/>
        <w:rPr>
          <w:rFonts w:eastAsia="等线"/>
        </w:rPr>
      </w:pPr>
      <w:r w:rsidRPr="00FA0D37">
        <w:t xml:space="preserve">    </w:t>
      </w:r>
      <w:r w:rsidRPr="00FA0D37">
        <w:rPr>
          <w:rFonts w:eastAsia="等线"/>
        </w:rPr>
        <w:t>]]</w:t>
      </w:r>
      <w:r w:rsidR="00E84B6D" w:rsidRPr="00FA0D37">
        <w:rPr>
          <w:rFonts w:eastAsia="等线"/>
        </w:rPr>
        <w:t>,</w:t>
      </w:r>
    </w:p>
    <w:p w14:paraId="3A0E631B" w14:textId="65ACE995" w:rsidR="00E84B6D" w:rsidRPr="00FA0D37" w:rsidRDefault="00E84B6D" w:rsidP="00FA0D37">
      <w:pPr>
        <w:pStyle w:val="PL"/>
        <w:rPr>
          <w:rFonts w:eastAsia="等线"/>
        </w:rPr>
      </w:pPr>
      <w:r w:rsidRPr="00FA0D37">
        <w:t xml:space="preserve">    </w:t>
      </w:r>
      <w:r w:rsidRPr="00FA0D37">
        <w:rPr>
          <w:rFonts w:eastAsia="等线"/>
        </w:rPr>
        <w:t>[[</w:t>
      </w:r>
    </w:p>
    <w:p w14:paraId="54FCE257" w14:textId="3475B156" w:rsidR="00E84B6D" w:rsidRPr="00FA0D37" w:rsidRDefault="00E84B6D" w:rsidP="00FA0D37">
      <w:pPr>
        <w:pStyle w:val="PL"/>
        <w:rPr>
          <w:rFonts w:eastAsia="等线"/>
        </w:rPr>
      </w:pPr>
      <w:r w:rsidRPr="00FA0D37">
        <w:t xml:space="preserve">    </w:t>
      </w:r>
      <w:r w:rsidRPr="00FA0D37">
        <w:rPr>
          <w:rFonts w:eastAsia="等线"/>
        </w:rPr>
        <w:t>msgA-RO-FrequencyStart-r17</w:t>
      </w:r>
      <w:r w:rsidRPr="00FA0D37">
        <w:t xml:space="preserve">           </w:t>
      </w:r>
      <w:r w:rsidRPr="00FA0D37">
        <w:rPr>
          <w:rFonts w:eastAsia="等线"/>
          <w:color w:val="993366"/>
        </w:rPr>
        <w:t>INTEGER</w:t>
      </w:r>
      <w:r w:rsidRPr="00FA0D37">
        <w:rPr>
          <w:rFonts w:eastAsia="等线"/>
        </w:rPr>
        <w:t xml:space="preserve"> (0..maxNrofPhysicalResourceBlocks-1)</w:t>
      </w:r>
      <w:r w:rsidRPr="00FA0D37">
        <w:t xml:space="preserve">     </w:t>
      </w:r>
      <w:r w:rsidRPr="00FA0D37">
        <w:rPr>
          <w:rFonts w:eastAsia="等线"/>
          <w:color w:val="993366"/>
        </w:rPr>
        <w:t>OPTIONAL</w:t>
      </w:r>
      <w:r w:rsidRPr="00FA0D37">
        <w:rPr>
          <w:rFonts w:eastAsia="等线"/>
        </w:rPr>
        <w:t>,</w:t>
      </w:r>
    </w:p>
    <w:p w14:paraId="04841427" w14:textId="77777777" w:rsidR="00E84B6D" w:rsidRPr="00FA0D37" w:rsidRDefault="00E84B6D" w:rsidP="00FA0D37">
      <w:pPr>
        <w:pStyle w:val="PL"/>
        <w:rPr>
          <w:rFonts w:eastAsia="等线"/>
        </w:rPr>
      </w:pPr>
      <w:r w:rsidRPr="00FA0D37">
        <w:t xml:space="preserve">    </w:t>
      </w:r>
      <w:r w:rsidRPr="00FA0D37">
        <w:rPr>
          <w:rFonts w:eastAsia="等线"/>
        </w:rPr>
        <w:t>msgA-RO-FrequencyStartCFRA-r17</w:t>
      </w:r>
      <w:r w:rsidRPr="00FA0D37">
        <w:t xml:space="preserve">       </w:t>
      </w:r>
      <w:r w:rsidRPr="00FA0D37">
        <w:rPr>
          <w:rFonts w:eastAsia="等线"/>
          <w:color w:val="993366"/>
        </w:rPr>
        <w:t>INTEGER</w:t>
      </w:r>
      <w:r w:rsidRPr="00FA0D37">
        <w:rPr>
          <w:rFonts w:eastAsia="等线"/>
        </w:rPr>
        <w:t xml:space="preserve"> (0..maxNrofPhysicalResourceBlocks-1)</w:t>
      </w:r>
      <w:r w:rsidRPr="00FA0D37">
        <w:t xml:space="preserve">     </w:t>
      </w:r>
      <w:r w:rsidRPr="00FA0D37">
        <w:rPr>
          <w:rFonts w:eastAsia="等线"/>
          <w:color w:val="993366"/>
        </w:rPr>
        <w:t>OPTIONAL</w:t>
      </w:r>
      <w:r w:rsidRPr="00FA0D37">
        <w:rPr>
          <w:rFonts w:eastAsia="等线"/>
        </w:rPr>
        <w:t>,</w:t>
      </w:r>
    </w:p>
    <w:p w14:paraId="5A05C8E6" w14:textId="77777777" w:rsidR="00E84B6D" w:rsidRPr="00FA0D37" w:rsidRDefault="00E84B6D" w:rsidP="00FA0D37">
      <w:pPr>
        <w:pStyle w:val="PL"/>
        <w:rPr>
          <w:rFonts w:eastAsia="等线"/>
        </w:rPr>
      </w:pPr>
      <w:r w:rsidRPr="00FA0D37">
        <w:t xml:space="preserve">    </w:t>
      </w:r>
      <w:r w:rsidRPr="00FA0D37">
        <w:rPr>
          <w:rFonts w:eastAsia="等线"/>
        </w:rPr>
        <w:t>msgA-SubcarrierSpacing-r17</w:t>
      </w:r>
      <w:r w:rsidRPr="00FA0D37">
        <w:t xml:space="preserve">           </w:t>
      </w:r>
      <w:r w:rsidRPr="00FA0D37">
        <w:rPr>
          <w:rFonts w:eastAsia="等线"/>
        </w:rPr>
        <w:t>SubcarrierSpacing</w:t>
      </w:r>
      <w:r w:rsidRPr="00FA0D37">
        <w:t xml:space="preserve">                                </w:t>
      </w:r>
      <w:r w:rsidRPr="00FA0D37">
        <w:rPr>
          <w:rFonts w:eastAsia="等线"/>
          <w:color w:val="993366"/>
        </w:rPr>
        <w:t>OPTIONAL</w:t>
      </w:r>
      <w:r w:rsidRPr="00FA0D37">
        <w:rPr>
          <w:rFonts w:eastAsia="等线"/>
        </w:rPr>
        <w:t>,</w:t>
      </w:r>
    </w:p>
    <w:p w14:paraId="2AF90A41" w14:textId="77777777" w:rsidR="00E84B6D" w:rsidRPr="00FA0D37" w:rsidRDefault="00E84B6D" w:rsidP="00FA0D37">
      <w:pPr>
        <w:pStyle w:val="PL"/>
        <w:rPr>
          <w:rFonts w:eastAsia="等线"/>
        </w:rPr>
      </w:pPr>
      <w:r w:rsidRPr="00FA0D37">
        <w:t xml:space="preserve">    </w:t>
      </w:r>
      <w:r w:rsidRPr="00FA0D37">
        <w:rPr>
          <w:rFonts w:eastAsia="等线"/>
        </w:rPr>
        <w:t>msgA-RO-FDM-r17</w:t>
      </w:r>
      <w:r w:rsidRPr="00FA0D37">
        <w:t xml:space="preserve">                      </w:t>
      </w:r>
      <w:r w:rsidRPr="00FA0D37">
        <w:rPr>
          <w:rFonts w:eastAsia="等线"/>
          <w:color w:val="993366"/>
        </w:rPr>
        <w:t>ENUMERATED</w:t>
      </w:r>
      <w:r w:rsidRPr="00FA0D37">
        <w:rPr>
          <w:rFonts w:eastAsia="等线"/>
        </w:rPr>
        <w:t xml:space="preserve"> {one, two, four, eight}</w:t>
      </w:r>
      <w:r w:rsidRPr="00FA0D37">
        <w:t xml:space="preserve">               </w:t>
      </w:r>
      <w:r w:rsidRPr="00FA0D37">
        <w:rPr>
          <w:rFonts w:eastAsia="等线"/>
          <w:color w:val="993366"/>
        </w:rPr>
        <w:t>OPTIONAL</w:t>
      </w:r>
      <w:r w:rsidRPr="00FA0D37">
        <w:rPr>
          <w:rFonts w:eastAsia="等线"/>
        </w:rPr>
        <w:t>,</w:t>
      </w:r>
    </w:p>
    <w:p w14:paraId="2F0B2C44" w14:textId="77777777" w:rsidR="00E84B6D" w:rsidRPr="00FA0D37" w:rsidRDefault="00E84B6D" w:rsidP="00FA0D37">
      <w:pPr>
        <w:pStyle w:val="PL"/>
        <w:rPr>
          <w:rFonts w:eastAsia="等线"/>
        </w:rPr>
      </w:pPr>
      <w:r w:rsidRPr="00FA0D37">
        <w:t xml:space="preserve">    </w:t>
      </w:r>
      <w:r w:rsidRPr="00FA0D37">
        <w:rPr>
          <w:rFonts w:eastAsia="等线"/>
        </w:rPr>
        <w:t>msgA-RO-FDMCFRA-r17</w:t>
      </w:r>
      <w:r w:rsidRPr="00FA0D37">
        <w:t xml:space="preserve">                  </w:t>
      </w:r>
      <w:r w:rsidRPr="00FA0D37">
        <w:rPr>
          <w:rFonts w:eastAsia="等线"/>
          <w:color w:val="993366"/>
        </w:rPr>
        <w:t>ENUMERATED</w:t>
      </w:r>
      <w:r w:rsidRPr="00FA0D37">
        <w:rPr>
          <w:rFonts w:eastAsia="等线"/>
        </w:rPr>
        <w:t xml:space="preserve"> {one, two, four, eight}</w:t>
      </w:r>
      <w:r w:rsidRPr="00FA0D37">
        <w:t xml:space="preserve">               </w:t>
      </w:r>
      <w:r w:rsidRPr="00FA0D37">
        <w:rPr>
          <w:rFonts w:eastAsia="等线"/>
          <w:color w:val="993366"/>
        </w:rPr>
        <w:t>OPTIONAL</w:t>
      </w:r>
      <w:r w:rsidRPr="00FA0D37">
        <w:rPr>
          <w:rFonts w:eastAsia="等线"/>
        </w:rPr>
        <w:t>,</w:t>
      </w:r>
    </w:p>
    <w:p w14:paraId="5AADFF93" w14:textId="03C581E4" w:rsidR="00E84B6D" w:rsidRPr="00FA0D37" w:rsidRDefault="00E84B6D" w:rsidP="00FA0D37">
      <w:pPr>
        <w:pStyle w:val="PL"/>
        <w:rPr>
          <w:rFonts w:eastAsia="等线"/>
        </w:rPr>
      </w:pPr>
      <w:r w:rsidRPr="00FA0D37">
        <w:t xml:space="preserve">    </w:t>
      </w:r>
      <w:r w:rsidRPr="00FA0D37">
        <w:rPr>
          <w:rFonts w:eastAsia="等线"/>
        </w:rPr>
        <w:t>msgA-SCS-From-prach-ConfigurationIndex-r17</w:t>
      </w:r>
      <w:r w:rsidRPr="00FA0D37">
        <w:t xml:space="preserve">  </w:t>
      </w:r>
      <w:r w:rsidRPr="00FA0D37">
        <w:rPr>
          <w:rFonts w:eastAsia="等线"/>
          <w:color w:val="993366"/>
        </w:rPr>
        <w:t>ENUMERATED</w:t>
      </w:r>
      <w:r w:rsidRPr="00FA0D37">
        <w:rPr>
          <w:rFonts w:eastAsia="等线"/>
        </w:rPr>
        <w:t xml:space="preserve"> {kHz1dot25, kHz5, spare2, spare1}</w:t>
      </w:r>
      <w:r w:rsidRPr="00FA0D37">
        <w:t xml:space="preserve">  </w:t>
      </w:r>
      <w:r w:rsidRPr="00FA0D37">
        <w:rPr>
          <w:rFonts w:eastAsia="等线"/>
          <w:color w:val="993366"/>
        </w:rPr>
        <w:t>OPTIONAL</w:t>
      </w:r>
      <w:r w:rsidRPr="00FA0D37">
        <w:rPr>
          <w:rFonts w:eastAsia="等线"/>
        </w:rPr>
        <w:t>,</w:t>
      </w:r>
    </w:p>
    <w:p w14:paraId="60328032" w14:textId="4461255A" w:rsidR="00E84B6D" w:rsidRPr="00FA0D37" w:rsidRDefault="00E84B6D" w:rsidP="00FA0D37">
      <w:pPr>
        <w:pStyle w:val="PL"/>
        <w:rPr>
          <w:rFonts w:eastAsia="等线"/>
        </w:rPr>
      </w:pPr>
      <w:r w:rsidRPr="00FA0D37">
        <w:t xml:space="preserve">    </w:t>
      </w:r>
      <w:r w:rsidRPr="00FA0D37">
        <w:rPr>
          <w:rFonts w:eastAsia="等线"/>
        </w:rPr>
        <w:t>msgA-TransMax-r17</w:t>
      </w:r>
      <w:r w:rsidRPr="00FA0D37">
        <w:t xml:space="preserve">                    </w:t>
      </w:r>
      <w:r w:rsidRPr="00FA0D37">
        <w:rPr>
          <w:color w:val="993366"/>
        </w:rPr>
        <w:t>ENUMERATED</w:t>
      </w:r>
      <w:r w:rsidRPr="00FA0D37">
        <w:t xml:space="preserve"> {n1, n2, n4, n6, n8, n10, n20, n50, n100, n200}  </w:t>
      </w:r>
      <w:r w:rsidRPr="00FA0D37">
        <w:rPr>
          <w:color w:val="993366"/>
        </w:rPr>
        <w:t>OPTIONAL</w:t>
      </w:r>
      <w:r w:rsidRPr="00FA0D37">
        <w:rPr>
          <w:rFonts w:eastAsia="等线"/>
        </w:rPr>
        <w:t>,</w:t>
      </w:r>
    </w:p>
    <w:p w14:paraId="0C6CD72F" w14:textId="77777777" w:rsidR="00E84B6D" w:rsidRPr="00FA0D37" w:rsidRDefault="00E84B6D" w:rsidP="00FA0D37">
      <w:pPr>
        <w:pStyle w:val="PL"/>
      </w:pPr>
      <w:r w:rsidRPr="00FA0D37">
        <w:t xml:space="preserve">    msgA-MCS-r17                         </w:t>
      </w:r>
      <w:r w:rsidRPr="00FA0D37">
        <w:rPr>
          <w:color w:val="993366"/>
        </w:rPr>
        <w:t>INTEGER</w:t>
      </w:r>
      <w:r w:rsidRPr="00FA0D37">
        <w:t xml:space="preserve"> (0..15)                                   </w:t>
      </w:r>
      <w:r w:rsidRPr="00FA0D37">
        <w:rPr>
          <w:color w:val="993366"/>
        </w:rPr>
        <w:t>OPTIONAL</w:t>
      </w:r>
      <w:r w:rsidRPr="00FA0D37">
        <w:t>,</w:t>
      </w:r>
    </w:p>
    <w:p w14:paraId="4687D175" w14:textId="77777777" w:rsidR="00E84B6D" w:rsidRPr="00FA0D37" w:rsidRDefault="00E84B6D" w:rsidP="00FA0D37">
      <w:pPr>
        <w:pStyle w:val="PL"/>
      </w:pPr>
      <w:r w:rsidRPr="00FA0D37">
        <w:t xml:space="preserve">    nrofPRBs-PerMsgA-PO-r17              </w:t>
      </w:r>
      <w:r w:rsidRPr="00FA0D37">
        <w:rPr>
          <w:color w:val="993366"/>
        </w:rPr>
        <w:t>INTEGER</w:t>
      </w:r>
      <w:r w:rsidRPr="00FA0D37">
        <w:t xml:space="preserve"> (1..32)                                  </w:t>
      </w:r>
      <w:r w:rsidRPr="00FA0D37">
        <w:rPr>
          <w:color w:val="993366"/>
        </w:rPr>
        <w:t>OPTIONAL</w:t>
      </w:r>
      <w:r w:rsidRPr="00FA0D37">
        <w:t>,</w:t>
      </w:r>
    </w:p>
    <w:p w14:paraId="637B55DC" w14:textId="77777777" w:rsidR="00E84B6D" w:rsidRPr="00FA0D37" w:rsidRDefault="00E84B6D" w:rsidP="00FA0D37">
      <w:pPr>
        <w:pStyle w:val="PL"/>
      </w:pPr>
      <w:r w:rsidRPr="00FA0D37">
        <w:t xml:space="preserve">    msgA-PUSCH-TimeDomainAllocation-r17  </w:t>
      </w:r>
      <w:r w:rsidRPr="00FA0D37">
        <w:rPr>
          <w:color w:val="993366"/>
        </w:rPr>
        <w:t>INTEGER</w:t>
      </w:r>
      <w:r w:rsidRPr="00FA0D37">
        <w:t xml:space="preserve"> (1..maxNrofUL-Allocations)               </w:t>
      </w:r>
      <w:r w:rsidRPr="00FA0D37">
        <w:rPr>
          <w:color w:val="993366"/>
        </w:rPr>
        <w:t>OPTIONAL</w:t>
      </w:r>
      <w:r w:rsidRPr="00FA0D37">
        <w:t>,</w:t>
      </w:r>
    </w:p>
    <w:p w14:paraId="0D99C965" w14:textId="77777777" w:rsidR="00E84B6D" w:rsidRPr="00FA0D37" w:rsidRDefault="00E84B6D" w:rsidP="00FA0D37">
      <w:pPr>
        <w:pStyle w:val="PL"/>
      </w:pPr>
      <w:r w:rsidRPr="00FA0D37">
        <w:t xml:space="preserve">    frequencyStartMsgA-PUSCH-r17         </w:t>
      </w:r>
      <w:r w:rsidRPr="00FA0D37">
        <w:rPr>
          <w:color w:val="993366"/>
        </w:rPr>
        <w:t>INTEGER</w:t>
      </w:r>
      <w:r w:rsidRPr="00FA0D37">
        <w:t xml:space="preserve"> (0..maxNrofPhysicalResourceBlocks-1)     </w:t>
      </w:r>
      <w:r w:rsidRPr="00FA0D37">
        <w:rPr>
          <w:color w:val="993366"/>
        </w:rPr>
        <w:t>OPTIONAL</w:t>
      </w:r>
      <w:r w:rsidRPr="00FA0D37">
        <w:t>,</w:t>
      </w:r>
    </w:p>
    <w:p w14:paraId="5FCFCD74" w14:textId="77777777" w:rsidR="00E84B6D" w:rsidRPr="00FA0D37" w:rsidRDefault="00E84B6D" w:rsidP="00FA0D37">
      <w:pPr>
        <w:pStyle w:val="PL"/>
        <w:rPr>
          <w:rFonts w:eastAsia="等线"/>
        </w:rPr>
      </w:pPr>
      <w:r w:rsidRPr="00FA0D37">
        <w:t xml:space="preserve">    nrofMsgA-PO-FDM-r17                  </w:t>
      </w:r>
      <w:r w:rsidRPr="00FA0D37">
        <w:rPr>
          <w:color w:val="993366"/>
        </w:rPr>
        <w:t>ENUMERATED</w:t>
      </w:r>
      <w:r w:rsidRPr="00FA0D37">
        <w:t xml:space="preserve"> {one, two, four, eight}               </w:t>
      </w:r>
      <w:r w:rsidRPr="00FA0D37">
        <w:rPr>
          <w:color w:val="993366"/>
        </w:rPr>
        <w:t>OPTIONAL</w:t>
      </w:r>
      <w:r w:rsidRPr="00FA0D37">
        <w:t>,</w:t>
      </w:r>
    </w:p>
    <w:p w14:paraId="4209C9F6" w14:textId="007A2AFF" w:rsidR="00E84B6D" w:rsidRPr="00FA0D37" w:rsidRDefault="00E84B6D" w:rsidP="00FA0D37">
      <w:pPr>
        <w:pStyle w:val="PL"/>
        <w:rPr>
          <w:rFonts w:eastAsia="等线"/>
        </w:rPr>
      </w:pPr>
      <w:r w:rsidRPr="00FA0D37">
        <w:t xml:space="preserve">    dlPathlossRSRP-r</w:t>
      </w:r>
      <w:r w:rsidRPr="00FA0D37">
        <w:rPr>
          <w:rFonts w:eastAsia="等线"/>
        </w:rPr>
        <w:t>17</w:t>
      </w:r>
      <w:r w:rsidRPr="00FA0D37">
        <w:t xml:space="preserve">                   </w:t>
      </w:r>
      <w:r w:rsidRPr="00FA0D37">
        <w:rPr>
          <w:rFonts w:eastAsia="等线"/>
        </w:rPr>
        <w:t>RSRP-Range</w:t>
      </w:r>
      <w:r w:rsidRPr="00FA0D37">
        <w:t xml:space="preserve">                                       </w:t>
      </w:r>
      <w:r w:rsidRPr="00FA0D37">
        <w:rPr>
          <w:rFonts w:eastAsia="等线"/>
          <w:color w:val="993366"/>
        </w:rPr>
        <w:t>OPTIONAL</w:t>
      </w:r>
      <w:r w:rsidRPr="00FA0D37">
        <w:rPr>
          <w:rFonts w:eastAsia="等线"/>
        </w:rPr>
        <w:t>,</w:t>
      </w:r>
    </w:p>
    <w:p w14:paraId="0C95AEA6" w14:textId="77777777" w:rsidR="00E84B6D" w:rsidRPr="00FA0D37" w:rsidRDefault="00E84B6D" w:rsidP="00FA0D37">
      <w:pPr>
        <w:pStyle w:val="PL"/>
        <w:rPr>
          <w:rFonts w:eastAsia="等线"/>
        </w:rPr>
      </w:pPr>
      <w:r w:rsidRPr="00FA0D37">
        <w:t xml:space="preserve">    intendedSIBs</w:t>
      </w:r>
      <w:r w:rsidRPr="00FA0D37">
        <w:rPr>
          <w:rFonts w:eastAsia="等线"/>
        </w:rPr>
        <w:t>-r17</w:t>
      </w:r>
      <w:r w:rsidRPr="00FA0D37">
        <w:t xml:space="preserve">                     </w:t>
      </w:r>
      <w:r w:rsidRPr="00FA0D37">
        <w:rPr>
          <w:color w:val="993366"/>
        </w:rPr>
        <w:t>SEQUENCE</w:t>
      </w:r>
      <w:r w:rsidRPr="00FA0D37">
        <w:t xml:space="preserve"> (</w:t>
      </w:r>
      <w:r w:rsidRPr="00FA0D37">
        <w:rPr>
          <w:color w:val="993366"/>
        </w:rPr>
        <w:t>SIZE</w:t>
      </w:r>
      <w:r w:rsidRPr="00FA0D37">
        <w:t xml:space="preserve"> (1..maxSIB))</w:t>
      </w:r>
      <w:r w:rsidRPr="00FA0D37">
        <w:rPr>
          <w:color w:val="993366"/>
        </w:rPr>
        <w:t xml:space="preserve"> OF</w:t>
      </w:r>
      <w:r w:rsidRPr="00FA0D37">
        <w:t xml:space="preserve"> SIB-Type-r17      </w:t>
      </w:r>
      <w:r w:rsidRPr="00FA0D37">
        <w:rPr>
          <w:rFonts w:eastAsia="等线"/>
          <w:color w:val="993366"/>
        </w:rPr>
        <w:t>OPTIONAL</w:t>
      </w:r>
      <w:r w:rsidRPr="00FA0D37">
        <w:rPr>
          <w:rFonts w:eastAsia="等线"/>
        </w:rPr>
        <w:t>,</w:t>
      </w:r>
    </w:p>
    <w:p w14:paraId="6559C655" w14:textId="03B385C6" w:rsidR="00E84B6D" w:rsidRPr="00FA0D37" w:rsidRDefault="00E84B6D" w:rsidP="00FA0D37">
      <w:pPr>
        <w:pStyle w:val="PL"/>
      </w:pPr>
      <w:r w:rsidRPr="00FA0D37">
        <w:t xml:space="preserve">    ssbsForSI-Acquisition-r17            </w:t>
      </w:r>
      <w:r w:rsidRPr="00FA0D37">
        <w:rPr>
          <w:rFonts w:eastAsia="等线"/>
          <w:color w:val="993366"/>
        </w:rPr>
        <w:t>SEQUENCE</w:t>
      </w:r>
      <w:r w:rsidRPr="00FA0D37">
        <w:rPr>
          <w:rFonts w:eastAsia="等线"/>
        </w:rPr>
        <w:t xml:space="preserve"> </w:t>
      </w:r>
      <w:r w:rsidRPr="00FA0D37">
        <w:t>(</w:t>
      </w:r>
      <w:r w:rsidRPr="00FA0D37">
        <w:rPr>
          <w:color w:val="993366"/>
        </w:rPr>
        <w:t>SIZE</w:t>
      </w:r>
      <w:r w:rsidRPr="00FA0D37">
        <w:t xml:space="preserve"> (1..maxNrofSSBs</w:t>
      </w:r>
      <w:r w:rsidR="005F5A31" w:rsidRPr="00FA0D37">
        <w:t>-r16</w:t>
      </w:r>
      <w:r w:rsidRPr="00FA0D37">
        <w:t>))</w:t>
      </w:r>
      <w:r w:rsidRPr="00FA0D37">
        <w:rPr>
          <w:color w:val="993366"/>
        </w:rPr>
        <w:t xml:space="preserve"> OF</w:t>
      </w:r>
      <w:r w:rsidRPr="00FA0D37">
        <w:t xml:space="preserve"> SSB-Index    </w:t>
      </w:r>
      <w:r w:rsidRPr="00FA0D37">
        <w:rPr>
          <w:rFonts w:eastAsia="等线"/>
          <w:color w:val="993366"/>
        </w:rPr>
        <w:t>OPTIONAL</w:t>
      </w:r>
      <w:r w:rsidRPr="00FA0D37">
        <w:rPr>
          <w:rFonts w:eastAsia="等线"/>
        </w:rPr>
        <w:t>,</w:t>
      </w:r>
    </w:p>
    <w:p w14:paraId="401A9547" w14:textId="0D4B7E0C" w:rsidR="00E84B6D" w:rsidRPr="00FA0D37" w:rsidRDefault="00E84B6D" w:rsidP="00FA0D37">
      <w:pPr>
        <w:pStyle w:val="PL"/>
      </w:pPr>
      <w:r w:rsidRPr="00FA0D37" w:rsidDel="00621C6C">
        <w:t xml:space="preserve">    msgA-PUSCH-PayloadSize-r17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w:t>
      </w:r>
      <w:r w:rsidR="00E12E00" w:rsidRPr="00FA0D37">
        <w:t>5</w:t>
      </w:r>
      <w:r w:rsidRPr="00FA0D37">
        <w:t>))</w:t>
      </w:r>
      <w:r w:rsidRPr="00FA0D37" w:rsidDel="00621C6C">
        <w:t xml:space="preserve">    </w:t>
      </w:r>
      <w:r w:rsidRPr="00FA0D37">
        <w:t xml:space="preserve">                        </w:t>
      </w:r>
      <w:r w:rsidRPr="00FA0D37" w:rsidDel="00621C6C">
        <w:rPr>
          <w:color w:val="993366"/>
        </w:rPr>
        <w:t>OPTIONAL</w:t>
      </w:r>
      <w:r w:rsidRPr="00FA0D37">
        <w:t>,</w:t>
      </w:r>
    </w:p>
    <w:p w14:paraId="56DD9BEF" w14:textId="68D6CE70" w:rsidR="00E84B6D" w:rsidRPr="00FA0D37" w:rsidRDefault="00E84B6D" w:rsidP="00FA0D37">
      <w:pPr>
        <w:pStyle w:val="PL"/>
      </w:pPr>
      <w:r w:rsidRPr="00FA0D37">
        <w:t xml:space="preserve">    onDemandSISuccess-r17                </w:t>
      </w:r>
      <w:r w:rsidR="00E12E00" w:rsidRPr="00FA0D37">
        <w:rPr>
          <w:color w:val="993366"/>
        </w:rPr>
        <w:t>ENUMERATED</w:t>
      </w:r>
      <w:r w:rsidR="00E12E00" w:rsidRPr="00FA0D37">
        <w:t xml:space="preserve"> {true</w:t>
      </w:r>
      <w:r w:rsidR="00E12E00" w:rsidRPr="00FA0D37">
        <w:rPr>
          <w:rFonts w:eastAsia="等线"/>
        </w:rPr>
        <w:t>}</w:t>
      </w:r>
      <w:r w:rsidRPr="00FA0D37">
        <w:t xml:space="preserve">                                </w:t>
      </w:r>
      <w:r w:rsidRPr="00FA0D37">
        <w:rPr>
          <w:color w:val="993366"/>
        </w:rPr>
        <w:t>OPTIONAL</w:t>
      </w:r>
    </w:p>
    <w:p w14:paraId="5BCE5034" w14:textId="57E0DA5B" w:rsidR="00443A38" w:rsidRPr="00FA0D37" w:rsidRDefault="00E84B6D" w:rsidP="00FA0D37">
      <w:pPr>
        <w:pStyle w:val="PL"/>
        <w:rPr>
          <w:rFonts w:eastAsia="等线"/>
        </w:rPr>
      </w:pPr>
      <w:r w:rsidRPr="00FA0D37">
        <w:t xml:space="preserve">    ]]</w:t>
      </w:r>
    </w:p>
    <w:p w14:paraId="0056C02F" w14:textId="15BBAC51" w:rsidR="00394471" w:rsidRPr="00FA0D37" w:rsidRDefault="00394471" w:rsidP="00FA0D37">
      <w:pPr>
        <w:pStyle w:val="PL"/>
        <w:rPr>
          <w:rFonts w:eastAsia="等线"/>
        </w:rPr>
      </w:pPr>
      <w:r w:rsidRPr="00FA0D37">
        <w:rPr>
          <w:rFonts w:eastAsia="等线"/>
        </w:rPr>
        <w:t>}</w:t>
      </w:r>
    </w:p>
    <w:p w14:paraId="1B177E8D" w14:textId="77777777" w:rsidR="00394471" w:rsidRPr="00FA0D37" w:rsidRDefault="00394471" w:rsidP="00FA0D37">
      <w:pPr>
        <w:pStyle w:val="PL"/>
        <w:rPr>
          <w:rFonts w:eastAsia="等线"/>
        </w:rPr>
      </w:pPr>
    </w:p>
    <w:p w14:paraId="6F5EB8E5" w14:textId="77777777" w:rsidR="00394471" w:rsidRPr="00FA0D37" w:rsidRDefault="00394471" w:rsidP="00FA0D37">
      <w:pPr>
        <w:pStyle w:val="PL"/>
        <w:rPr>
          <w:rFonts w:eastAsia="等线"/>
        </w:rPr>
      </w:pPr>
      <w:r w:rsidRPr="00FA0D37">
        <w:rPr>
          <w:rFonts w:eastAsia="等线"/>
        </w:rPr>
        <w:t xml:space="preserve">PerRAInfoList-r16 ::= </w:t>
      </w:r>
      <w:r w:rsidRPr="00FA0D37">
        <w:rPr>
          <w:color w:val="993366"/>
        </w:rPr>
        <w:t>SEQUENCE</w:t>
      </w:r>
      <w:r w:rsidRPr="00FA0D37">
        <w:t xml:space="preserve"> </w:t>
      </w:r>
      <w:r w:rsidRPr="00FA0D37">
        <w:rPr>
          <w:rFonts w:eastAsia="等线"/>
        </w:rPr>
        <w:t>(</w:t>
      </w:r>
      <w:r w:rsidRPr="00FA0D37">
        <w:rPr>
          <w:color w:val="993366"/>
        </w:rPr>
        <w:t>SIZE</w:t>
      </w:r>
      <w:r w:rsidRPr="00FA0D37">
        <w:t xml:space="preserve"> </w:t>
      </w:r>
      <w:r w:rsidRPr="00FA0D37">
        <w:rPr>
          <w:rFonts w:eastAsia="等线"/>
        </w:rPr>
        <w:t>(1..200))</w:t>
      </w:r>
      <w:r w:rsidRPr="00FA0D37">
        <w:rPr>
          <w:rFonts w:eastAsia="等线"/>
          <w:color w:val="993366"/>
        </w:rPr>
        <w:t xml:space="preserve"> </w:t>
      </w:r>
      <w:r w:rsidRPr="00FA0D37">
        <w:rPr>
          <w:color w:val="993366"/>
        </w:rPr>
        <w:t>OF</w:t>
      </w:r>
      <w:r w:rsidRPr="00FA0D37">
        <w:t xml:space="preserve"> </w:t>
      </w:r>
      <w:r w:rsidRPr="00FA0D37">
        <w:rPr>
          <w:rFonts w:eastAsia="等线"/>
        </w:rPr>
        <w:t>PerRAInfo-r16</w:t>
      </w:r>
    </w:p>
    <w:p w14:paraId="1FE810F8" w14:textId="77777777" w:rsidR="00394471" w:rsidRPr="00FA0D37" w:rsidRDefault="00394471" w:rsidP="00FA0D37">
      <w:pPr>
        <w:pStyle w:val="PL"/>
        <w:rPr>
          <w:rFonts w:eastAsia="等线"/>
        </w:rPr>
      </w:pPr>
    </w:p>
    <w:p w14:paraId="1DA2EE3E" w14:textId="1853C847" w:rsidR="00443A38" w:rsidRPr="00FA0D37" w:rsidRDefault="00443A38" w:rsidP="00FA0D37">
      <w:pPr>
        <w:pStyle w:val="PL"/>
        <w:rPr>
          <w:rFonts w:eastAsia="等线"/>
        </w:rPr>
      </w:pPr>
      <w:r w:rsidRPr="00FA0D37">
        <w:rPr>
          <w:rFonts w:eastAsia="等线"/>
        </w:rPr>
        <w:t>PerRAInfoList-v16</w:t>
      </w:r>
      <w:r w:rsidR="0057317B" w:rsidRPr="00FA0D37">
        <w:rPr>
          <w:rFonts w:eastAsia="等线"/>
        </w:rPr>
        <w:t>60</w:t>
      </w:r>
      <w:r w:rsidRPr="00FA0D37">
        <w:rPr>
          <w:rFonts w:eastAsia="等线"/>
        </w:rPr>
        <w:t xml:space="preserve"> ::= </w:t>
      </w:r>
      <w:r w:rsidRPr="00FA0D37">
        <w:rPr>
          <w:rFonts w:eastAsia="等线"/>
          <w:color w:val="993366"/>
        </w:rPr>
        <w:t>SEQUENCE</w:t>
      </w:r>
      <w:r w:rsidRPr="00FA0D37">
        <w:rPr>
          <w:rFonts w:eastAsia="等线"/>
        </w:rPr>
        <w:t xml:space="preserve"> (</w:t>
      </w:r>
      <w:r w:rsidRPr="00FA0D37">
        <w:rPr>
          <w:rFonts w:eastAsia="等线"/>
          <w:color w:val="993366"/>
        </w:rPr>
        <w:t>SIZE</w:t>
      </w:r>
      <w:r w:rsidRPr="00FA0D37">
        <w:rPr>
          <w:rFonts w:eastAsia="等线"/>
        </w:rPr>
        <w:t xml:space="preserve"> (1..200))</w:t>
      </w:r>
      <w:r w:rsidRPr="00FA0D37">
        <w:rPr>
          <w:rFonts w:eastAsia="等线"/>
          <w:color w:val="993366"/>
        </w:rPr>
        <w:t xml:space="preserve"> OF</w:t>
      </w:r>
      <w:r w:rsidRPr="00FA0D37">
        <w:rPr>
          <w:rFonts w:eastAsia="等线"/>
        </w:rPr>
        <w:t xml:space="preserve"> PerRACSI-RSInfo-v16</w:t>
      </w:r>
      <w:r w:rsidR="0057317B" w:rsidRPr="00FA0D37">
        <w:rPr>
          <w:rFonts w:eastAsia="等线"/>
        </w:rPr>
        <w:t>60</w:t>
      </w:r>
    </w:p>
    <w:p w14:paraId="0AF9FFFA" w14:textId="77777777" w:rsidR="00443A38" w:rsidRPr="00FA0D37" w:rsidRDefault="00443A38" w:rsidP="00FA0D37">
      <w:pPr>
        <w:pStyle w:val="PL"/>
        <w:rPr>
          <w:rFonts w:eastAsia="等线"/>
        </w:rPr>
      </w:pPr>
    </w:p>
    <w:p w14:paraId="24DFC39A" w14:textId="2560BB31" w:rsidR="00394471" w:rsidRPr="00FA0D37" w:rsidRDefault="00394471" w:rsidP="00FA0D37">
      <w:pPr>
        <w:pStyle w:val="PL"/>
      </w:pPr>
      <w:r w:rsidRPr="00FA0D37">
        <w:rPr>
          <w:rFonts w:eastAsia="等线"/>
        </w:rPr>
        <w:t xml:space="preserve">PerRAInfo-r16 </w:t>
      </w:r>
      <w:r w:rsidRPr="00FA0D37">
        <w:t xml:space="preserve">::=                    </w:t>
      </w:r>
      <w:r w:rsidRPr="00FA0D37">
        <w:rPr>
          <w:color w:val="993366"/>
        </w:rPr>
        <w:t>CHOICE</w:t>
      </w:r>
      <w:r w:rsidRPr="00FA0D37">
        <w:t xml:space="preserve"> {</w:t>
      </w:r>
    </w:p>
    <w:p w14:paraId="375FA5B1" w14:textId="77777777" w:rsidR="00394471" w:rsidRPr="00FA0D37" w:rsidRDefault="00394471" w:rsidP="00FA0D37">
      <w:pPr>
        <w:pStyle w:val="PL"/>
      </w:pPr>
      <w:r w:rsidRPr="00FA0D37">
        <w:t xml:space="preserve">    </w:t>
      </w:r>
      <w:r w:rsidRPr="00FA0D37">
        <w:rPr>
          <w:rFonts w:eastAsia="等线"/>
        </w:rPr>
        <w:t>perRASSBInfoList-r16</w:t>
      </w:r>
      <w:r w:rsidRPr="00FA0D37">
        <w:t xml:space="preserve">                 </w:t>
      </w:r>
      <w:r w:rsidRPr="00FA0D37">
        <w:rPr>
          <w:rFonts w:eastAsia="等线"/>
        </w:rPr>
        <w:t>PerRASSBInfo-r16,</w:t>
      </w:r>
    </w:p>
    <w:p w14:paraId="6B643A5C" w14:textId="77777777" w:rsidR="00394471" w:rsidRPr="00FA0D37" w:rsidRDefault="00394471" w:rsidP="00FA0D37">
      <w:pPr>
        <w:pStyle w:val="PL"/>
        <w:rPr>
          <w:rFonts w:eastAsia="等线"/>
        </w:rPr>
      </w:pPr>
      <w:r w:rsidRPr="00FA0D37">
        <w:t xml:space="preserve">    </w:t>
      </w:r>
      <w:r w:rsidRPr="00FA0D37">
        <w:rPr>
          <w:rFonts w:eastAsia="等线"/>
        </w:rPr>
        <w:t>perRACSI-RSInfoList-r16</w:t>
      </w:r>
      <w:r w:rsidRPr="00FA0D37">
        <w:t xml:space="preserve">              </w:t>
      </w:r>
      <w:r w:rsidRPr="00FA0D37">
        <w:rPr>
          <w:rFonts w:eastAsia="等线"/>
        </w:rPr>
        <w:t>PerRACSI-RSInfo-r16</w:t>
      </w:r>
    </w:p>
    <w:p w14:paraId="7F1FCB10" w14:textId="77777777" w:rsidR="00394471" w:rsidRPr="00FA0D37" w:rsidRDefault="00394471" w:rsidP="00FA0D37">
      <w:pPr>
        <w:pStyle w:val="PL"/>
      </w:pPr>
      <w:r w:rsidRPr="00FA0D37">
        <w:t>}</w:t>
      </w:r>
    </w:p>
    <w:p w14:paraId="01BE1788" w14:textId="77777777" w:rsidR="00394471" w:rsidRPr="00FA0D37" w:rsidRDefault="00394471" w:rsidP="00FA0D37">
      <w:pPr>
        <w:pStyle w:val="PL"/>
      </w:pPr>
    </w:p>
    <w:p w14:paraId="7499737A" w14:textId="77777777" w:rsidR="00394471" w:rsidRPr="00FA0D37" w:rsidRDefault="00394471" w:rsidP="00FA0D37">
      <w:pPr>
        <w:pStyle w:val="PL"/>
        <w:rPr>
          <w:rFonts w:eastAsia="等线"/>
        </w:rPr>
      </w:pPr>
      <w:r w:rsidRPr="00FA0D37">
        <w:rPr>
          <w:rFonts w:eastAsia="等线"/>
        </w:rPr>
        <w:t>PerRASSBInfo-r16 ::=</w:t>
      </w:r>
      <w:r w:rsidRPr="00FA0D37">
        <w:t xml:space="preserve">                 </w:t>
      </w:r>
      <w:r w:rsidRPr="00FA0D37">
        <w:rPr>
          <w:color w:val="993366"/>
        </w:rPr>
        <w:t>SEQUENCE</w:t>
      </w:r>
      <w:r w:rsidRPr="00FA0D37">
        <w:t xml:space="preserve"> </w:t>
      </w:r>
      <w:r w:rsidRPr="00FA0D37">
        <w:rPr>
          <w:rFonts w:eastAsia="等线"/>
        </w:rPr>
        <w:t>{</w:t>
      </w:r>
    </w:p>
    <w:p w14:paraId="3DEFFC92" w14:textId="77777777" w:rsidR="00394471" w:rsidRPr="00FA0D37" w:rsidRDefault="00394471" w:rsidP="00FA0D37">
      <w:pPr>
        <w:pStyle w:val="PL"/>
        <w:rPr>
          <w:rFonts w:eastAsia="等线"/>
        </w:rPr>
      </w:pPr>
      <w:r w:rsidRPr="00FA0D37">
        <w:lastRenderedPageBreak/>
        <w:t xml:space="preserve">    </w:t>
      </w:r>
      <w:r w:rsidRPr="00FA0D37">
        <w:rPr>
          <w:rFonts w:eastAsia="等线"/>
        </w:rPr>
        <w:t>ssb-Index-r16</w:t>
      </w:r>
      <w:r w:rsidRPr="00FA0D37">
        <w:t xml:space="preserve">                        </w:t>
      </w:r>
      <w:r w:rsidRPr="00FA0D37">
        <w:rPr>
          <w:rFonts w:eastAsia="等线"/>
        </w:rPr>
        <w:t>SSB-Index,</w:t>
      </w:r>
    </w:p>
    <w:p w14:paraId="3AB93126" w14:textId="77777777" w:rsidR="00394471" w:rsidRPr="00FA0D37" w:rsidRDefault="00394471" w:rsidP="00FA0D37">
      <w:pPr>
        <w:pStyle w:val="PL"/>
      </w:pPr>
      <w:r w:rsidRPr="00FA0D37">
        <w:t xml:space="preserve">    </w:t>
      </w:r>
      <w:r w:rsidRPr="00FA0D37">
        <w:rPr>
          <w:rFonts w:eastAsia="等线"/>
        </w:rPr>
        <w:t>numberOfPreamblesSentOnSSB-r16</w:t>
      </w:r>
      <w:r w:rsidRPr="00FA0D37">
        <w:t xml:space="preserve">       </w:t>
      </w:r>
      <w:r w:rsidRPr="00FA0D37">
        <w:rPr>
          <w:color w:val="993366"/>
        </w:rPr>
        <w:t>INTEGER</w:t>
      </w:r>
      <w:r w:rsidRPr="00FA0D37">
        <w:t xml:space="preserve"> (1..200),</w:t>
      </w:r>
    </w:p>
    <w:p w14:paraId="6D9F5CEA" w14:textId="77777777" w:rsidR="00394471" w:rsidRPr="00FA0D37" w:rsidRDefault="00394471" w:rsidP="00FA0D37">
      <w:pPr>
        <w:pStyle w:val="PL"/>
      </w:pPr>
      <w:r w:rsidRPr="00FA0D37">
        <w:t xml:space="preserve">    perRAAttemptInfoList-r16             PerRAAttemptInfoList-r16</w:t>
      </w:r>
    </w:p>
    <w:p w14:paraId="15BC5C3F" w14:textId="77777777" w:rsidR="00394471" w:rsidRPr="00FA0D37" w:rsidRDefault="00394471" w:rsidP="00FA0D37">
      <w:pPr>
        <w:pStyle w:val="PL"/>
        <w:rPr>
          <w:rFonts w:eastAsia="等线"/>
        </w:rPr>
      </w:pPr>
      <w:r w:rsidRPr="00FA0D37">
        <w:rPr>
          <w:rFonts w:eastAsia="等线"/>
        </w:rPr>
        <w:t>}</w:t>
      </w:r>
    </w:p>
    <w:p w14:paraId="762B8B44" w14:textId="77777777" w:rsidR="00394471" w:rsidRPr="00FA0D37" w:rsidRDefault="00394471" w:rsidP="00FA0D37">
      <w:pPr>
        <w:pStyle w:val="PL"/>
      </w:pPr>
    </w:p>
    <w:p w14:paraId="7F8A9A3F" w14:textId="77777777" w:rsidR="00394471" w:rsidRPr="00FA0D37" w:rsidRDefault="00394471" w:rsidP="00FA0D37">
      <w:pPr>
        <w:pStyle w:val="PL"/>
        <w:rPr>
          <w:rFonts w:eastAsia="等线"/>
        </w:rPr>
      </w:pPr>
      <w:r w:rsidRPr="00FA0D37">
        <w:rPr>
          <w:rFonts w:eastAsia="等线"/>
        </w:rPr>
        <w:t>PerRACSI-RSInfo-r16 ::=</w:t>
      </w:r>
      <w:r w:rsidRPr="00FA0D37">
        <w:t xml:space="preserve">              </w:t>
      </w:r>
      <w:r w:rsidRPr="00FA0D37">
        <w:rPr>
          <w:color w:val="993366"/>
        </w:rPr>
        <w:t>SEQUENCE</w:t>
      </w:r>
      <w:r w:rsidRPr="00FA0D37">
        <w:t xml:space="preserve"> </w:t>
      </w:r>
      <w:r w:rsidRPr="00FA0D37">
        <w:rPr>
          <w:rFonts w:eastAsia="等线"/>
        </w:rPr>
        <w:t>{</w:t>
      </w:r>
    </w:p>
    <w:p w14:paraId="034C6E7B" w14:textId="77777777" w:rsidR="00394471" w:rsidRPr="00FA0D37" w:rsidRDefault="00394471" w:rsidP="00FA0D37">
      <w:pPr>
        <w:pStyle w:val="PL"/>
        <w:rPr>
          <w:rFonts w:eastAsia="等线"/>
        </w:rPr>
      </w:pPr>
      <w:r w:rsidRPr="00FA0D37">
        <w:t xml:space="preserve">    </w:t>
      </w:r>
      <w:r w:rsidRPr="00FA0D37">
        <w:rPr>
          <w:rFonts w:eastAsia="等线"/>
        </w:rPr>
        <w:t>csi-RS-Index-r16</w:t>
      </w:r>
      <w:r w:rsidRPr="00FA0D37">
        <w:t xml:space="preserve">                     CSI-RS-Index</w:t>
      </w:r>
      <w:r w:rsidRPr="00FA0D37">
        <w:rPr>
          <w:rFonts w:eastAsia="等线"/>
        </w:rPr>
        <w:t>,</w:t>
      </w:r>
    </w:p>
    <w:p w14:paraId="26372772" w14:textId="77777777" w:rsidR="00394471" w:rsidRPr="00FA0D37" w:rsidRDefault="00394471" w:rsidP="00FA0D37">
      <w:pPr>
        <w:pStyle w:val="PL"/>
      </w:pPr>
      <w:r w:rsidRPr="00FA0D37">
        <w:t xml:space="preserve">    </w:t>
      </w:r>
      <w:r w:rsidRPr="00FA0D37">
        <w:rPr>
          <w:rFonts w:eastAsia="等线"/>
        </w:rPr>
        <w:t>numberOfPreamblesSentOnCSI-RS-r16</w:t>
      </w:r>
      <w:r w:rsidRPr="00FA0D37">
        <w:t xml:space="preserve">    </w:t>
      </w:r>
      <w:r w:rsidRPr="00FA0D37">
        <w:rPr>
          <w:color w:val="993366"/>
        </w:rPr>
        <w:t>INTEGER</w:t>
      </w:r>
      <w:r w:rsidRPr="00FA0D37">
        <w:t xml:space="preserve"> (1..200)</w:t>
      </w:r>
    </w:p>
    <w:p w14:paraId="2CF11430" w14:textId="77777777" w:rsidR="00394471" w:rsidRPr="00FA0D37" w:rsidRDefault="00394471" w:rsidP="00FA0D37">
      <w:pPr>
        <w:pStyle w:val="PL"/>
        <w:rPr>
          <w:rFonts w:eastAsia="等线"/>
        </w:rPr>
      </w:pPr>
      <w:r w:rsidRPr="00FA0D37">
        <w:rPr>
          <w:rFonts w:eastAsia="等线"/>
        </w:rPr>
        <w:t>}</w:t>
      </w:r>
    </w:p>
    <w:p w14:paraId="36B71BEE" w14:textId="77777777" w:rsidR="00443A38" w:rsidRPr="00FA0D37" w:rsidRDefault="00443A38" w:rsidP="00FA0D37">
      <w:pPr>
        <w:pStyle w:val="PL"/>
      </w:pPr>
    </w:p>
    <w:p w14:paraId="29B74896" w14:textId="61370ABB" w:rsidR="00443A38" w:rsidRPr="00FA0D37" w:rsidRDefault="00443A38" w:rsidP="00FA0D37">
      <w:pPr>
        <w:pStyle w:val="PL"/>
      </w:pPr>
      <w:r w:rsidRPr="00FA0D37">
        <w:t>PerRACSI-RSInfo-v16</w:t>
      </w:r>
      <w:r w:rsidR="0057317B" w:rsidRPr="00FA0D37">
        <w:t>60</w:t>
      </w:r>
      <w:r w:rsidRPr="00FA0D37">
        <w:t xml:space="preserve"> ::=         </w:t>
      </w:r>
      <w:r w:rsidRPr="00FA0D37">
        <w:rPr>
          <w:color w:val="993366"/>
        </w:rPr>
        <w:t>SEQUENCE</w:t>
      </w:r>
      <w:r w:rsidRPr="00FA0D37">
        <w:t xml:space="preserve"> {</w:t>
      </w:r>
    </w:p>
    <w:p w14:paraId="77687523" w14:textId="311A9D39" w:rsidR="00443A38" w:rsidRPr="00FA0D37" w:rsidRDefault="00443A38" w:rsidP="00FA0D37">
      <w:pPr>
        <w:pStyle w:val="PL"/>
      </w:pPr>
      <w:r w:rsidRPr="00FA0D37">
        <w:t xml:space="preserve">    csi-RS-Index-v16</w:t>
      </w:r>
      <w:r w:rsidR="0057317B" w:rsidRPr="00FA0D37">
        <w:t>60</w:t>
      </w:r>
      <w:r w:rsidRPr="00FA0D37">
        <w:t xml:space="preserve">                   </w:t>
      </w:r>
      <w:r w:rsidRPr="00FA0D37">
        <w:rPr>
          <w:color w:val="993366"/>
        </w:rPr>
        <w:t>INTEGER</w:t>
      </w:r>
      <w:r w:rsidRPr="00FA0D37">
        <w:t xml:space="preserve"> (1..96)                     </w:t>
      </w:r>
      <w:r w:rsidRPr="00FA0D37">
        <w:rPr>
          <w:color w:val="993366"/>
        </w:rPr>
        <w:t>OPTIONAL</w:t>
      </w:r>
    </w:p>
    <w:p w14:paraId="37A042C4" w14:textId="331826FE" w:rsidR="00394471" w:rsidRPr="00FA0D37" w:rsidRDefault="00443A38" w:rsidP="00FA0D37">
      <w:pPr>
        <w:pStyle w:val="PL"/>
      </w:pPr>
      <w:r w:rsidRPr="00FA0D37">
        <w:t>}</w:t>
      </w:r>
    </w:p>
    <w:p w14:paraId="409C9BDD" w14:textId="77777777" w:rsidR="00443A38" w:rsidRPr="00FA0D37" w:rsidRDefault="00443A38" w:rsidP="00FA0D37">
      <w:pPr>
        <w:pStyle w:val="PL"/>
      </w:pPr>
    </w:p>
    <w:p w14:paraId="1A2E1E11" w14:textId="77777777" w:rsidR="00394471" w:rsidRPr="00FA0D37" w:rsidRDefault="00394471" w:rsidP="00FA0D37">
      <w:pPr>
        <w:pStyle w:val="PL"/>
      </w:pPr>
      <w:r w:rsidRPr="00FA0D37">
        <w:t xml:space="preserve">PerRAAttemptInfoList-r16 ::=         </w:t>
      </w:r>
      <w:r w:rsidRPr="00FA0D37">
        <w:rPr>
          <w:color w:val="993366"/>
        </w:rPr>
        <w:t>SEQUENCE</w:t>
      </w:r>
      <w:r w:rsidRPr="00FA0D37">
        <w:t xml:space="preserve"> (</w:t>
      </w:r>
      <w:r w:rsidRPr="00FA0D37">
        <w:rPr>
          <w:color w:val="993366"/>
        </w:rPr>
        <w:t>SIZE</w:t>
      </w:r>
      <w:r w:rsidRPr="00FA0D37">
        <w:t xml:space="preserve"> (1..200))</w:t>
      </w:r>
      <w:r w:rsidRPr="00FA0D37">
        <w:rPr>
          <w:color w:val="993366"/>
        </w:rPr>
        <w:t xml:space="preserve"> OF</w:t>
      </w:r>
      <w:r w:rsidRPr="00FA0D37">
        <w:t xml:space="preserve"> PerRAAttemptInfo-r16</w:t>
      </w:r>
    </w:p>
    <w:p w14:paraId="764422E0" w14:textId="77777777" w:rsidR="00394471" w:rsidRPr="00FA0D37" w:rsidRDefault="00394471" w:rsidP="00FA0D37">
      <w:pPr>
        <w:pStyle w:val="PL"/>
      </w:pPr>
    </w:p>
    <w:p w14:paraId="2EFAEE20" w14:textId="77777777" w:rsidR="00394471" w:rsidRPr="00FA0D37" w:rsidRDefault="00394471" w:rsidP="00FA0D37">
      <w:pPr>
        <w:pStyle w:val="PL"/>
      </w:pPr>
      <w:r w:rsidRPr="00FA0D37">
        <w:t xml:space="preserve">PerRAAttemptInfo-r16 ::=             </w:t>
      </w:r>
      <w:r w:rsidRPr="00FA0D37">
        <w:rPr>
          <w:color w:val="993366"/>
        </w:rPr>
        <w:t>SEQUENCE</w:t>
      </w:r>
      <w:r w:rsidRPr="00FA0D37">
        <w:t xml:space="preserve"> {</w:t>
      </w:r>
    </w:p>
    <w:p w14:paraId="6B8E1A1D" w14:textId="77777777" w:rsidR="00394471" w:rsidRPr="00FA0D37" w:rsidRDefault="00394471" w:rsidP="00FA0D37">
      <w:pPr>
        <w:pStyle w:val="PL"/>
      </w:pPr>
      <w:r w:rsidRPr="00FA0D37">
        <w:t xml:space="preserve">    contentionDetected-r16               </w:t>
      </w:r>
      <w:r w:rsidRPr="00FA0D37">
        <w:rPr>
          <w:color w:val="993366"/>
        </w:rPr>
        <w:t>BOOLEAN</w:t>
      </w:r>
      <w:r w:rsidRPr="00FA0D37">
        <w:t xml:space="preserve">                </w:t>
      </w:r>
      <w:r w:rsidRPr="00FA0D37">
        <w:rPr>
          <w:color w:val="993366"/>
        </w:rPr>
        <w:t>OPTIONAL</w:t>
      </w:r>
      <w:r w:rsidRPr="00FA0D37">
        <w:t>,</w:t>
      </w:r>
    </w:p>
    <w:p w14:paraId="458CB83B" w14:textId="77777777" w:rsidR="00394471" w:rsidRPr="00FA0D37" w:rsidRDefault="00394471" w:rsidP="00FA0D37">
      <w:pPr>
        <w:pStyle w:val="PL"/>
      </w:pPr>
      <w:r w:rsidRPr="00FA0D37">
        <w:t xml:space="preserve">    dlRSRPAboveThreshold-r16             </w:t>
      </w:r>
      <w:r w:rsidRPr="00FA0D37">
        <w:rPr>
          <w:color w:val="993366"/>
        </w:rPr>
        <w:t>BOOLEAN</w:t>
      </w:r>
      <w:r w:rsidRPr="00FA0D37">
        <w:t xml:space="preserve">                </w:t>
      </w:r>
      <w:r w:rsidRPr="00FA0D37">
        <w:rPr>
          <w:color w:val="993366"/>
        </w:rPr>
        <w:t>OPTIONAL</w:t>
      </w:r>
      <w:r w:rsidRPr="00FA0D37">
        <w:t>,</w:t>
      </w:r>
    </w:p>
    <w:p w14:paraId="07685CD7" w14:textId="6F7B2ED8" w:rsidR="00E84B6D" w:rsidRPr="00FA0D37" w:rsidRDefault="00394471" w:rsidP="00FA0D37">
      <w:pPr>
        <w:pStyle w:val="PL"/>
      </w:pPr>
      <w:r w:rsidRPr="00FA0D37">
        <w:t xml:space="preserve">    ...</w:t>
      </w:r>
      <w:r w:rsidR="00E84B6D" w:rsidRPr="00FA0D37">
        <w:t>,</w:t>
      </w:r>
    </w:p>
    <w:p w14:paraId="49BE47EC" w14:textId="77777777" w:rsidR="00E84B6D" w:rsidRPr="00FA0D37" w:rsidRDefault="00E84B6D" w:rsidP="00FA0D37">
      <w:pPr>
        <w:pStyle w:val="PL"/>
      </w:pPr>
      <w:r w:rsidRPr="00FA0D37">
        <w:t xml:space="preserve">    [[</w:t>
      </w:r>
    </w:p>
    <w:p w14:paraId="23D9FBD5" w14:textId="75804FC3" w:rsidR="00E84B6D" w:rsidRPr="00FA0D37" w:rsidRDefault="00E84B6D" w:rsidP="00FA0D37">
      <w:pPr>
        <w:pStyle w:val="PL"/>
      </w:pPr>
      <w:r w:rsidRPr="00FA0D37">
        <w:t xml:space="preserve">    fallbackToFourStepRA-r17             </w:t>
      </w:r>
      <w:r w:rsidR="004B0FA9" w:rsidRPr="00FA0D37">
        <w:rPr>
          <w:color w:val="993366"/>
        </w:rPr>
        <w:t>ENUMERATED</w:t>
      </w:r>
      <w:r w:rsidR="004B0FA9" w:rsidRPr="00FA0D37">
        <w:t xml:space="preserve"> {true</w:t>
      </w:r>
      <w:r w:rsidR="004B0FA9" w:rsidRPr="00FA0D37">
        <w:rPr>
          <w:rFonts w:eastAsia="等线"/>
        </w:rPr>
        <w:t>}</w:t>
      </w:r>
      <w:r w:rsidRPr="00FA0D37">
        <w:t xml:space="preserve">      </w:t>
      </w:r>
      <w:r w:rsidRPr="00FA0D37">
        <w:rPr>
          <w:color w:val="993366"/>
        </w:rPr>
        <w:t>OPTIONAL</w:t>
      </w:r>
    </w:p>
    <w:p w14:paraId="42848647" w14:textId="7C9EDEB6" w:rsidR="00394471" w:rsidRPr="00FA0D37" w:rsidRDefault="00E84B6D" w:rsidP="00FA0D37">
      <w:pPr>
        <w:pStyle w:val="PL"/>
      </w:pPr>
      <w:r w:rsidRPr="00FA0D37">
        <w:t xml:space="preserve">    ]]</w:t>
      </w:r>
    </w:p>
    <w:p w14:paraId="71201946" w14:textId="77777777" w:rsidR="00394471" w:rsidRPr="00FA0D37" w:rsidRDefault="00394471" w:rsidP="00FA0D37">
      <w:pPr>
        <w:pStyle w:val="PL"/>
      </w:pPr>
      <w:r w:rsidRPr="00FA0D37">
        <w:t>}</w:t>
      </w:r>
    </w:p>
    <w:p w14:paraId="77767735" w14:textId="783CA783" w:rsidR="00394471" w:rsidRPr="00FA0D37" w:rsidRDefault="00394471" w:rsidP="00FA0D37">
      <w:pPr>
        <w:pStyle w:val="PL"/>
        <w:rPr>
          <w:rFonts w:eastAsia="等线"/>
        </w:rPr>
      </w:pPr>
    </w:p>
    <w:p w14:paraId="5E170A2C" w14:textId="77777777" w:rsidR="00E84B6D" w:rsidRPr="00FA0D37" w:rsidRDefault="00E84B6D" w:rsidP="00FA0D37">
      <w:pPr>
        <w:pStyle w:val="PL"/>
      </w:pPr>
      <w:r w:rsidRPr="00FA0D37">
        <w:t>SIB-Type-r17</w:t>
      </w:r>
      <w:r w:rsidRPr="00FA0D37">
        <w:rPr>
          <w:rFonts w:eastAsia="等线"/>
        </w:rPr>
        <w:t xml:space="preserve"> ::=</w:t>
      </w:r>
      <w:r w:rsidRPr="00FA0D37">
        <w:t xml:space="preserve"> </w:t>
      </w:r>
      <w:r w:rsidRPr="00FA0D37">
        <w:rPr>
          <w:color w:val="993366"/>
        </w:rPr>
        <w:t>ENUMERATED</w:t>
      </w:r>
      <w:r w:rsidRPr="00FA0D37">
        <w:t xml:space="preserve"> {sibType2, sibType3, sibType4, sibType5, sibType9, sibType10-v1610, sibType11-v1610, sibType12-v1610,</w:t>
      </w:r>
    </w:p>
    <w:p w14:paraId="2990B9F2" w14:textId="4D96B1DE" w:rsidR="00E84B6D" w:rsidRPr="00FA0D37" w:rsidRDefault="00E84B6D" w:rsidP="00FA0D37">
      <w:pPr>
        <w:pStyle w:val="PL"/>
      </w:pPr>
      <w:r w:rsidRPr="00FA0D37">
        <w:t xml:space="preserve">                             sibType13-v1610, sibType14-v1610, spare6, spare5, spare4, spare3, spare2, spare1</w:t>
      </w:r>
      <w:r w:rsidRPr="00FA0D37">
        <w:rPr>
          <w:rFonts w:eastAsia="等线"/>
        </w:rPr>
        <w:t>}</w:t>
      </w:r>
    </w:p>
    <w:p w14:paraId="49F341ED" w14:textId="77777777" w:rsidR="00E84B6D" w:rsidRPr="00FA0D37" w:rsidRDefault="00E84B6D" w:rsidP="00FA0D37">
      <w:pPr>
        <w:pStyle w:val="PL"/>
        <w:rPr>
          <w:rFonts w:eastAsia="等线"/>
        </w:rPr>
      </w:pPr>
    </w:p>
    <w:p w14:paraId="16C811EF" w14:textId="77777777" w:rsidR="00394471" w:rsidRPr="00FA0D37" w:rsidRDefault="00394471" w:rsidP="00FA0D37">
      <w:pPr>
        <w:pStyle w:val="PL"/>
      </w:pPr>
      <w:r w:rsidRPr="00FA0D37">
        <w:t xml:space="preserve">RLF-Report-r16 ::=                   </w:t>
      </w:r>
      <w:r w:rsidRPr="00FA0D37">
        <w:rPr>
          <w:color w:val="993366"/>
        </w:rPr>
        <w:t>CHOICE</w:t>
      </w:r>
      <w:r w:rsidRPr="00FA0D37">
        <w:t xml:space="preserve"> {</w:t>
      </w:r>
    </w:p>
    <w:p w14:paraId="1464C409" w14:textId="77777777" w:rsidR="00394471" w:rsidRPr="00FA0D37" w:rsidRDefault="00394471" w:rsidP="00FA0D37">
      <w:pPr>
        <w:pStyle w:val="PL"/>
      </w:pPr>
      <w:r w:rsidRPr="00FA0D37">
        <w:t xml:space="preserve">    nr-RLF-Report-r16                    </w:t>
      </w:r>
      <w:r w:rsidRPr="00FA0D37">
        <w:rPr>
          <w:color w:val="993366"/>
        </w:rPr>
        <w:t>SEQUENCE</w:t>
      </w:r>
      <w:r w:rsidRPr="00FA0D37">
        <w:t xml:space="preserve"> {</w:t>
      </w:r>
    </w:p>
    <w:p w14:paraId="78C1484F" w14:textId="77777777" w:rsidR="00394471" w:rsidRPr="00FA0D37" w:rsidRDefault="00394471" w:rsidP="00FA0D37">
      <w:pPr>
        <w:pStyle w:val="PL"/>
      </w:pPr>
      <w:r w:rsidRPr="00FA0D37">
        <w:t xml:space="preserve">        measResultLastServCell-r16           MeasResultRLFNR-r16,</w:t>
      </w:r>
    </w:p>
    <w:p w14:paraId="2A000400" w14:textId="77777777" w:rsidR="00394471" w:rsidRPr="00FA0D37" w:rsidRDefault="00394471" w:rsidP="00FA0D37">
      <w:pPr>
        <w:pStyle w:val="PL"/>
      </w:pPr>
      <w:r w:rsidRPr="00FA0D37">
        <w:t xml:space="preserve">        measResultNeighCells-r16             </w:t>
      </w:r>
      <w:r w:rsidRPr="00FA0D37">
        <w:rPr>
          <w:color w:val="993366"/>
        </w:rPr>
        <w:t>SEQUENCE</w:t>
      </w:r>
      <w:r w:rsidRPr="00FA0D37">
        <w:t xml:space="preserve"> {</w:t>
      </w:r>
    </w:p>
    <w:p w14:paraId="5DA62CDE" w14:textId="77777777" w:rsidR="00394471" w:rsidRPr="00FA0D37" w:rsidRDefault="00394471" w:rsidP="00FA0D37">
      <w:pPr>
        <w:pStyle w:val="PL"/>
      </w:pPr>
      <w:r w:rsidRPr="00FA0D37">
        <w:t xml:space="preserve">            measResultListNR-r16                 MeasResultList2NR-r16       </w:t>
      </w:r>
      <w:r w:rsidRPr="00FA0D37">
        <w:rPr>
          <w:color w:val="993366"/>
        </w:rPr>
        <w:t>OPTIONAL</w:t>
      </w:r>
      <w:r w:rsidRPr="00FA0D37">
        <w:t>,</w:t>
      </w:r>
    </w:p>
    <w:p w14:paraId="4B143BAE" w14:textId="77777777" w:rsidR="00394471" w:rsidRPr="00FA0D37" w:rsidRDefault="00394471" w:rsidP="00FA0D37">
      <w:pPr>
        <w:pStyle w:val="PL"/>
      </w:pPr>
      <w:r w:rsidRPr="00FA0D37">
        <w:t xml:space="preserve">            measResultListEUTRA-r16              MeasResultList2EUTRA-r16    </w:t>
      </w:r>
      <w:r w:rsidRPr="00FA0D37">
        <w:rPr>
          <w:color w:val="993366"/>
        </w:rPr>
        <w:t>OPTIONAL</w:t>
      </w:r>
    </w:p>
    <w:p w14:paraId="624265CA" w14:textId="77777777" w:rsidR="00394471" w:rsidRPr="00FA0D37" w:rsidRDefault="00394471" w:rsidP="00FA0D37">
      <w:pPr>
        <w:pStyle w:val="PL"/>
      </w:pPr>
      <w:r w:rsidRPr="00FA0D37">
        <w:t xml:space="preserve">        }                                                </w:t>
      </w:r>
      <w:r w:rsidRPr="00FA0D37">
        <w:rPr>
          <w:color w:val="993366"/>
        </w:rPr>
        <w:t>OPTIONAL</w:t>
      </w:r>
      <w:r w:rsidRPr="00FA0D37">
        <w:t>,</w:t>
      </w:r>
    </w:p>
    <w:p w14:paraId="2847DF95" w14:textId="77777777" w:rsidR="00394471" w:rsidRPr="00FA0D37" w:rsidRDefault="00394471" w:rsidP="00FA0D37">
      <w:pPr>
        <w:pStyle w:val="PL"/>
      </w:pPr>
      <w:r w:rsidRPr="00FA0D37">
        <w:t xml:space="preserve">        c-RNTI-r16                           RNTI-Value,</w:t>
      </w:r>
    </w:p>
    <w:p w14:paraId="685931DD" w14:textId="77777777" w:rsidR="00394471" w:rsidRPr="00FA0D37" w:rsidRDefault="00394471" w:rsidP="00FA0D37">
      <w:pPr>
        <w:pStyle w:val="PL"/>
      </w:pPr>
      <w:r w:rsidRPr="00FA0D37">
        <w:t xml:space="preserve">        previousPCellId-r16                  </w:t>
      </w:r>
      <w:r w:rsidRPr="00FA0D37">
        <w:rPr>
          <w:color w:val="993366"/>
        </w:rPr>
        <w:t>CHOICE</w:t>
      </w:r>
      <w:r w:rsidRPr="00FA0D37">
        <w:t xml:space="preserve"> {</w:t>
      </w:r>
    </w:p>
    <w:p w14:paraId="40DAEA37" w14:textId="77777777" w:rsidR="00394471" w:rsidRPr="00FA0D37" w:rsidRDefault="00394471" w:rsidP="00FA0D37">
      <w:pPr>
        <w:pStyle w:val="PL"/>
      </w:pPr>
      <w:r w:rsidRPr="00FA0D37">
        <w:t xml:space="preserve">            nrPreviousCell-r16                   CGI-Info-Logging-r16,</w:t>
      </w:r>
    </w:p>
    <w:p w14:paraId="29580E48" w14:textId="77777777" w:rsidR="00394471" w:rsidRPr="00FA0D37" w:rsidRDefault="00394471" w:rsidP="00FA0D37">
      <w:pPr>
        <w:pStyle w:val="PL"/>
      </w:pPr>
      <w:r w:rsidRPr="00FA0D37">
        <w:t xml:space="preserve">            eutraPreviousCell-r16                CGI-InfoEUTRALogging</w:t>
      </w:r>
    </w:p>
    <w:p w14:paraId="3228B2E1" w14:textId="77777777" w:rsidR="00394471" w:rsidRPr="00FA0D37" w:rsidRDefault="00394471" w:rsidP="00FA0D37">
      <w:pPr>
        <w:pStyle w:val="PL"/>
      </w:pPr>
      <w:r w:rsidRPr="00FA0D37">
        <w:t xml:space="preserve">        }                                                                    </w:t>
      </w:r>
      <w:r w:rsidRPr="00FA0D37">
        <w:rPr>
          <w:color w:val="993366"/>
        </w:rPr>
        <w:t>OPTIONAL</w:t>
      </w:r>
      <w:r w:rsidRPr="00FA0D37">
        <w:t>,</w:t>
      </w:r>
    </w:p>
    <w:p w14:paraId="5E632998" w14:textId="77777777" w:rsidR="00394471" w:rsidRPr="00FA0D37" w:rsidRDefault="00394471" w:rsidP="00FA0D37">
      <w:pPr>
        <w:pStyle w:val="PL"/>
      </w:pPr>
      <w:r w:rsidRPr="00FA0D37">
        <w:t xml:space="preserve">        failedPCellId-r16                    </w:t>
      </w:r>
      <w:r w:rsidRPr="00FA0D37">
        <w:rPr>
          <w:color w:val="993366"/>
        </w:rPr>
        <w:t>CHOICE</w:t>
      </w:r>
      <w:r w:rsidRPr="00FA0D37">
        <w:t xml:space="preserve"> {</w:t>
      </w:r>
    </w:p>
    <w:p w14:paraId="1D3F8D7A" w14:textId="77777777" w:rsidR="00394471" w:rsidRPr="00FA0D37" w:rsidRDefault="00394471" w:rsidP="00FA0D37">
      <w:pPr>
        <w:pStyle w:val="PL"/>
      </w:pPr>
      <w:r w:rsidRPr="00FA0D37">
        <w:t xml:space="preserve">            nrFailedPCellId-r16                  </w:t>
      </w:r>
      <w:r w:rsidRPr="00FA0D37">
        <w:rPr>
          <w:color w:val="993366"/>
        </w:rPr>
        <w:t>CHOICE</w:t>
      </w:r>
      <w:r w:rsidRPr="00FA0D37">
        <w:t xml:space="preserve"> {</w:t>
      </w:r>
    </w:p>
    <w:p w14:paraId="2A235252" w14:textId="77777777" w:rsidR="00394471" w:rsidRPr="00FA0D37" w:rsidRDefault="00394471" w:rsidP="00FA0D37">
      <w:pPr>
        <w:pStyle w:val="PL"/>
      </w:pPr>
      <w:r w:rsidRPr="00FA0D37">
        <w:t xml:space="preserve">                cellGlobalId-r16                     CGI-Info-Logging-r16,</w:t>
      </w:r>
    </w:p>
    <w:p w14:paraId="045BF4A3" w14:textId="5CB3446A" w:rsidR="00394471" w:rsidRPr="00FA0D37" w:rsidRDefault="00394471" w:rsidP="00FA0D37">
      <w:pPr>
        <w:pStyle w:val="PL"/>
      </w:pPr>
      <w:r w:rsidRPr="00FA0D37">
        <w:t xml:space="preserve">                pci-arfcn-r16                        </w:t>
      </w:r>
      <w:r w:rsidR="000C6A30" w:rsidRPr="00FA0D37">
        <w:t>PCI-ARFCN-NR-r16</w:t>
      </w:r>
    </w:p>
    <w:p w14:paraId="56C4B601" w14:textId="77777777" w:rsidR="00394471" w:rsidRPr="00FA0D37" w:rsidRDefault="00394471" w:rsidP="00FA0D37">
      <w:pPr>
        <w:pStyle w:val="PL"/>
      </w:pPr>
      <w:r w:rsidRPr="00FA0D37">
        <w:t xml:space="preserve">            </w:t>
      </w:r>
      <w:r w:rsidRPr="00FA0D37">
        <w:rPr>
          <w:rFonts w:eastAsia="等线"/>
        </w:rPr>
        <w:t>}</w:t>
      </w:r>
      <w:r w:rsidRPr="00FA0D37">
        <w:t>,</w:t>
      </w:r>
    </w:p>
    <w:p w14:paraId="53872552" w14:textId="77777777" w:rsidR="00394471" w:rsidRPr="00FA0D37" w:rsidRDefault="00394471" w:rsidP="00FA0D37">
      <w:pPr>
        <w:pStyle w:val="PL"/>
      </w:pPr>
      <w:r w:rsidRPr="00FA0D37">
        <w:t xml:space="preserve">            eutraFailedPCellId-r16           </w:t>
      </w:r>
      <w:r w:rsidRPr="00FA0D37">
        <w:rPr>
          <w:color w:val="993366"/>
        </w:rPr>
        <w:t>CHOICE</w:t>
      </w:r>
      <w:r w:rsidRPr="00FA0D37">
        <w:t xml:space="preserve"> {</w:t>
      </w:r>
    </w:p>
    <w:p w14:paraId="02AF9648" w14:textId="77777777" w:rsidR="00394471" w:rsidRPr="00FA0D37" w:rsidRDefault="00394471" w:rsidP="00FA0D37">
      <w:pPr>
        <w:pStyle w:val="PL"/>
      </w:pPr>
      <w:r w:rsidRPr="00FA0D37">
        <w:t xml:space="preserve">                cellGlobalId-r16                 CGI-InfoEUTRALogging,</w:t>
      </w:r>
    </w:p>
    <w:p w14:paraId="085E678F" w14:textId="047BA042" w:rsidR="00394471" w:rsidRPr="00FA0D37" w:rsidRDefault="00394471" w:rsidP="00FA0D37">
      <w:pPr>
        <w:pStyle w:val="PL"/>
      </w:pPr>
      <w:r w:rsidRPr="00FA0D37">
        <w:t xml:space="preserve">                pci-arfcn-r16                    </w:t>
      </w:r>
      <w:r w:rsidR="000C6A30" w:rsidRPr="00FA0D37">
        <w:t>PCI-ARFCN-EUTRA-r16</w:t>
      </w:r>
    </w:p>
    <w:p w14:paraId="28B7866F" w14:textId="77777777" w:rsidR="00394471" w:rsidRPr="00FA0D37" w:rsidRDefault="00394471" w:rsidP="00FA0D37">
      <w:pPr>
        <w:pStyle w:val="PL"/>
      </w:pPr>
      <w:r w:rsidRPr="00FA0D37">
        <w:t xml:space="preserve">            }</w:t>
      </w:r>
    </w:p>
    <w:p w14:paraId="23AD0D9E" w14:textId="77777777" w:rsidR="00394471" w:rsidRPr="00FA0D37" w:rsidRDefault="00394471" w:rsidP="00FA0D37">
      <w:pPr>
        <w:pStyle w:val="PL"/>
      </w:pPr>
      <w:r w:rsidRPr="00FA0D37">
        <w:t xml:space="preserve">        },</w:t>
      </w:r>
    </w:p>
    <w:p w14:paraId="40F03034" w14:textId="77777777" w:rsidR="00394471" w:rsidRPr="00FA0D37" w:rsidRDefault="00394471" w:rsidP="00FA0D37">
      <w:pPr>
        <w:pStyle w:val="PL"/>
      </w:pPr>
      <w:r w:rsidRPr="00FA0D37">
        <w:t xml:space="preserve">        reconnectCellId-r16                  </w:t>
      </w:r>
      <w:r w:rsidRPr="00FA0D37">
        <w:rPr>
          <w:color w:val="993366"/>
        </w:rPr>
        <w:t>CHOICE</w:t>
      </w:r>
      <w:r w:rsidRPr="00FA0D37">
        <w:t xml:space="preserve"> {</w:t>
      </w:r>
    </w:p>
    <w:p w14:paraId="59761182" w14:textId="77777777" w:rsidR="00394471" w:rsidRPr="00FA0D37" w:rsidRDefault="00394471" w:rsidP="00FA0D37">
      <w:pPr>
        <w:pStyle w:val="PL"/>
      </w:pPr>
      <w:r w:rsidRPr="00FA0D37">
        <w:lastRenderedPageBreak/>
        <w:t xml:space="preserve">            nrReconnectCellId-r16                CGI-Info-Logging-r16,</w:t>
      </w:r>
    </w:p>
    <w:p w14:paraId="218A812B" w14:textId="77777777" w:rsidR="00394471" w:rsidRPr="00FA0D37" w:rsidRDefault="00394471" w:rsidP="00FA0D37">
      <w:pPr>
        <w:pStyle w:val="PL"/>
      </w:pPr>
      <w:r w:rsidRPr="00FA0D37">
        <w:t xml:space="preserve">            eutraReconnectCellId-r16             CGI-InfoEUTRALogging</w:t>
      </w:r>
    </w:p>
    <w:p w14:paraId="598A1966" w14:textId="77777777" w:rsidR="00394471" w:rsidRPr="00FA0D37" w:rsidRDefault="00394471" w:rsidP="00FA0D37">
      <w:pPr>
        <w:pStyle w:val="PL"/>
      </w:pPr>
      <w:r w:rsidRPr="00FA0D37">
        <w:t xml:space="preserve">        }                                                                                        </w:t>
      </w:r>
      <w:r w:rsidRPr="00FA0D37">
        <w:rPr>
          <w:color w:val="993366"/>
        </w:rPr>
        <w:t>OPTIONAL</w:t>
      </w:r>
      <w:r w:rsidRPr="00FA0D37">
        <w:t>,</w:t>
      </w:r>
    </w:p>
    <w:p w14:paraId="21FD4289" w14:textId="186ED5B1" w:rsidR="00394471" w:rsidRPr="00FA0D37" w:rsidRDefault="00394471" w:rsidP="00FA0D37">
      <w:pPr>
        <w:pStyle w:val="PL"/>
      </w:pPr>
      <w:r w:rsidRPr="00FA0D37">
        <w:t xml:space="preserve">        timeUntilReconnection-</w:t>
      </w:r>
      <w:r w:rsidR="00835C66" w:rsidRPr="00FA0D37">
        <w:t>r</w:t>
      </w:r>
      <w:r w:rsidRPr="00FA0D37">
        <w:t>16            TimeUntilReconnection-</w:t>
      </w:r>
      <w:r w:rsidR="00835C66" w:rsidRPr="00FA0D37">
        <w:t>r</w:t>
      </w:r>
      <w:r w:rsidRPr="00FA0D37">
        <w:t xml:space="preserve">16                           </w:t>
      </w:r>
      <w:r w:rsidRPr="00FA0D37">
        <w:rPr>
          <w:color w:val="993366"/>
        </w:rPr>
        <w:t>OPTIONAL</w:t>
      </w:r>
      <w:r w:rsidRPr="00FA0D37">
        <w:t>,</w:t>
      </w:r>
    </w:p>
    <w:p w14:paraId="0BEE4B81" w14:textId="77777777" w:rsidR="00394471" w:rsidRPr="00FA0D37" w:rsidRDefault="00394471" w:rsidP="00FA0D37">
      <w:pPr>
        <w:pStyle w:val="PL"/>
      </w:pPr>
      <w:r w:rsidRPr="00FA0D37">
        <w:t xml:space="preserve">        reestablishmentCellId-r16            CGI-Info-Logging-r16                                </w:t>
      </w:r>
      <w:r w:rsidRPr="00FA0D37">
        <w:rPr>
          <w:color w:val="993366"/>
        </w:rPr>
        <w:t>OPTIONAL</w:t>
      </w:r>
      <w:r w:rsidRPr="00FA0D37">
        <w:t>,</w:t>
      </w:r>
    </w:p>
    <w:p w14:paraId="4FD33D26" w14:textId="77777777" w:rsidR="00394471" w:rsidRPr="00FA0D37" w:rsidRDefault="00394471" w:rsidP="00FA0D37">
      <w:pPr>
        <w:pStyle w:val="PL"/>
      </w:pPr>
      <w:r w:rsidRPr="00FA0D37">
        <w:t xml:space="preserve">        timeConnFailure-r16                  </w:t>
      </w:r>
      <w:r w:rsidRPr="00FA0D37">
        <w:rPr>
          <w:color w:val="993366"/>
        </w:rPr>
        <w:t>INTEGER</w:t>
      </w:r>
      <w:r w:rsidRPr="00FA0D37">
        <w:t xml:space="preserve"> (0..1023)                                   </w:t>
      </w:r>
      <w:r w:rsidRPr="00FA0D37">
        <w:rPr>
          <w:color w:val="993366"/>
        </w:rPr>
        <w:t>OPTIONAL</w:t>
      </w:r>
      <w:r w:rsidRPr="00FA0D37">
        <w:t>,</w:t>
      </w:r>
    </w:p>
    <w:p w14:paraId="75DDB7DD" w14:textId="77777777" w:rsidR="00394471" w:rsidRPr="00FA0D37" w:rsidRDefault="00394471" w:rsidP="00FA0D37">
      <w:pPr>
        <w:pStyle w:val="PL"/>
      </w:pPr>
      <w:r w:rsidRPr="00FA0D37">
        <w:t xml:space="preserve">        timeSinceFailure-r16                 TimeSinceFailure-r16,</w:t>
      </w:r>
    </w:p>
    <w:p w14:paraId="55E38A0D" w14:textId="77777777" w:rsidR="00394471" w:rsidRPr="00FA0D37" w:rsidRDefault="00394471" w:rsidP="00FA0D37">
      <w:pPr>
        <w:pStyle w:val="PL"/>
      </w:pPr>
      <w:r w:rsidRPr="00FA0D37">
        <w:t xml:space="preserve">        connectionFailureType-r16            </w:t>
      </w:r>
      <w:r w:rsidRPr="00FA0D37">
        <w:rPr>
          <w:color w:val="993366"/>
        </w:rPr>
        <w:t>ENUMERATED</w:t>
      </w:r>
      <w:r w:rsidRPr="00FA0D37">
        <w:t xml:space="preserve"> {rlf, hof},</w:t>
      </w:r>
    </w:p>
    <w:p w14:paraId="1533FCCD" w14:textId="77777777" w:rsidR="00394471" w:rsidRPr="00FA0D37" w:rsidRDefault="00394471" w:rsidP="00FA0D37">
      <w:pPr>
        <w:pStyle w:val="PL"/>
      </w:pPr>
      <w:r w:rsidRPr="00FA0D37">
        <w:t xml:space="preserve">        rlf-Cause-r16                        </w:t>
      </w:r>
      <w:r w:rsidRPr="00FA0D37">
        <w:rPr>
          <w:color w:val="993366"/>
        </w:rPr>
        <w:t>ENUMERATED</w:t>
      </w:r>
      <w:r w:rsidRPr="00FA0D37">
        <w:t xml:space="preserve"> {t310-Expiry, randomAccessProblem, rlc-MaxNumRetx,</w:t>
      </w:r>
    </w:p>
    <w:p w14:paraId="0676036B" w14:textId="77777777" w:rsidR="00394471" w:rsidRPr="00FA0D37" w:rsidRDefault="00394471" w:rsidP="00FA0D37">
      <w:pPr>
        <w:pStyle w:val="PL"/>
      </w:pPr>
      <w:r w:rsidRPr="00FA0D37">
        <w:t xml:space="preserve">                                                         beamFailureRecoveryFailure, lbtFailure-r16,</w:t>
      </w:r>
    </w:p>
    <w:p w14:paraId="786DC329" w14:textId="1E29F9F1" w:rsidR="00394471" w:rsidRPr="00FA0D37" w:rsidRDefault="00394471" w:rsidP="00FA0D37">
      <w:pPr>
        <w:pStyle w:val="PL"/>
      </w:pPr>
      <w:r w:rsidRPr="00FA0D37">
        <w:t xml:space="preserve">                                                         bh-rlfRecoveryFailure, </w:t>
      </w:r>
      <w:r w:rsidR="00E84B6D" w:rsidRPr="00FA0D37">
        <w:t>t312-expiry-r17</w:t>
      </w:r>
      <w:r w:rsidRPr="00FA0D37">
        <w:t>, spare1},</w:t>
      </w:r>
    </w:p>
    <w:p w14:paraId="25E4EAF1" w14:textId="77777777" w:rsidR="00394471" w:rsidRPr="00FA0D37" w:rsidRDefault="00394471" w:rsidP="00FA0D37">
      <w:pPr>
        <w:pStyle w:val="PL"/>
      </w:pPr>
      <w:r w:rsidRPr="00FA0D37">
        <w:t xml:space="preserve">        locationInfo-r16                     LocationInfo-r16                                    </w:t>
      </w:r>
      <w:r w:rsidRPr="00FA0D37">
        <w:rPr>
          <w:color w:val="993366"/>
        </w:rPr>
        <w:t>OPTIONAL</w:t>
      </w:r>
      <w:r w:rsidRPr="00FA0D37">
        <w:rPr>
          <w:rFonts w:eastAsia="等线"/>
        </w:rPr>
        <w:t>,</w:t>
      </w:r>
    </w:p>
    <w:p w14:paraId="5A15DA85" w14:textId="77777777" w:rsidR="00394471" w:rsidRPr="00FA0D37" w:rsidRDefault="00394471" w:rsidP="00FA0D37">
      <w:pPr>
        <w:pStyle w:val="PL"/>
      </w:pPr>
      <w:r w:rsidRPr="00FA0D37">
        <w:t xml:space="preserve">        noSuitableCellFound-r16              </w:t>
      </w:r>
      <w:r w:rsidRPr="00FA0D37">
        <w:rPr>
          <w:color w:val="993366"/>
        </w:rPr>
        <w:t>ENUMERATED</w:t>
      </w:r>
      <w:r w:rsidRPr="00FA0D37">
        <w:t xml:space="preserve"> {true}                                   </w:t>
      </w:r>
      <w:r w:rsidRPr="00FA0D37">
        <w:rPr>
          <w:color w:val="993366"/>
        </w:rPr>
        <w:t>OPTIONAL</w:t>
      </w:r>
      <w:r w:rsidRPr="00FA0D37">
        <w:t>,</w:t>
      </w:r>
    </w:p>
    <w:p w14:paraId="136CF849" w14:textId="77777777" w:rsidR="00394471" w:rsidRPr="00FA0D37" w:rsidRDefault="00394471" w:rsidP="00FA0D37">
      <w:pPr>
        <w:pStyle w:val="PL"/>
      </w:pPr>
      <w:r w:rsidRPr="00FA0D37">
        <w:t xml:space="preserve">        ra-InformationCommon-r16             RA-InformationCommon-r16                            </w:t>
      </w:r>
      <w:r w:rsidRPr="00FA0D37">
        <w:rPr>
          <w:color w:val="993366"/>
        </w:rPr>
        <w:t>OPTIONAL</w:t>
      </w:r>
      <w:r w:rsidRPr="00FA0D37">
        <w:t>,</w:t>
      </w:r>
    </w:p>
    <w:p w14:paraId="567DC56F" w14:textId="40BE6248" w:rsidR="00394471" w:rsidRPr="00FA0D37" w:rsidRDefault="00394471" w:rsidP="00FA0D37">
      <w:pPr>
        <w:pStyle w:val="PL"/>
      </w:pPr>
      <w:r w:rsidRPr="00FA0D37">
        <w:t xml:space="preserve">        ...</w:t>
      </w:r>
      <w:r w:rsidR="00FE090E" w:rsidRPr="00FA0D37">
        <w:t>,</w:t>
      </w:r>
    </w:p>
    <w:p w14:paraId="20B3DC18" w14:textId="77777777" w:rsidR="00FE090E" w:rsidRPr="00FA0D37" w:rsidRDefault="00FE090E" w:rsidP="00FA0D37">
      <w:pPr>
        <w:pStyle w:val="PL"/>
      </w:pPr>
      <w:r w:rsidRPr="00FA0D37">
        <w:t xml:space="preserve">        [[</w:t>
      </w:r>
    </w:p>
    <w:p w14:paraId="5AA09247" w14:textId="34FCBE30" w:rsidR="00FE090E" w:rsidRPr="00FA0D37" w:rsidRDefault="00FE090E" w:rsidP="00FA0D37">
      <w:pPr>
        <w:pStyle w:val="PL"/>
      </w:pPr>
      <w:r w:rsidRPr="00FA0D37">
        <w:t xml:space="preserve">        csi-rsRLMConfigBitmap-v16</w:t>
      </w:r>
      <w:r w:rsidR="001F631E" w:rsidRPr="00FA0D37">
        <w:t>50</w:t>
      </w:r>
      <w:r w:rsidRPr="00FA0D37">
        <w:t xml:space="preserv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(96))                              </w:t>
      </w:r>
      <w:r w:rsidRPr="00FA0D37">
        <w:rPr>
          <w:color w:val="993366"/>
        </w:rPr>
        <w:t>OPTIONAL</w:t>
      </w:r>
    </w:p>
    <w:p w14:paraId="3724DF8D" w14:textId="6A05AF39" w:rsidR="00E84B6D" w:rsidRPr="00FA0D37" w:rsidRDefault="00FE090E" w:rsidP="00FA0D37">
      <w:pPr>
        <w:pStyle w:val="PL"/>
      </w:pPr>
      <w:r w:rsidRPr="00FA0D37">
        <w:t xml:space="preserve">        ]]</w:t>
      </w:r>
      <w:r w:rsidR="00E84B6D" w:rsidRPr="00FA0D37">
        <w:t>,</w:t>
      </w:r>
    </w:p>
    <w:p w14:paraId="63E6E406" w14:textId="4FDC5FDF" w:rsidR="00E84B6D" w:rsidRPr="00FA0D37" w:rsidRDefault="00E84B6D" w:rsidP="00FA0D37">
      <w:pPr>
        <w:pStyle w:val="PL"/>
      </w:pPr>
      <w:r w:rsidRPr="00FA0D37">
        <w:t xml:space="preserve">        [[</w:t>
      </w:r>
    </w:p>
    <w:p w14:paraId="2BC69405" w14:textId="4B665AB5" w:rsidR="00E84B6D" w:rsidRPr="00FA0D37" w:rsidRDefault="00E84B6D" w:rsidP="00FA0D37">
      <w:pPr>
        <w:pStyle w:val="PL"/>
      </w:pPr>
      <w:r w:rsidRPr="00FA0D37">
        <w:t xml:space="preserve">        lastHO</w:t>
      </w:r>
      <w:r w:rsidR="00015613" w:rsidRPr="00FA0D37">
        <w:t>-</w:t>
      </w:r>
      <w:r w:rsidRPr="00FA0D37">
        <w:t xml:space="preserve">Type-r17                      </w:t>
      </w:r>
      <w:r w:rsidRPr="00FA0D37">
        <w:rPr>
          <w:color w:val="993366"/>
        </w:rPr>
        <w:t>ENUMERATED</w:t>
      </w:r>
      <w:r w:rsidRPr="00FA0D37">
        <w:t xml:space="preserve"> {cho, daps, spare2, spare1}              </w:t>
      </w:r>
      <w:r w:rsidRPr="00FA0D37">
        <w:rPr>
          <w:color w:val="993366"/>
        </w:rPr>
        <w:t>OPTIONAL</w:t>
      </w:r>
      <w:r w:rsidRPr="00FA0D37">
        <w:t>,</w:t>
      </w:r>
    </w:p>
    <w:p w14:paraId="7C29557C" w14:textId="50F7DD31" w:rsidR="00E84B6D" w:rsidRPr="00FA0D37" w:rsidRDefault="00E84B6D" w:rsidP="00FA0D37">
      <w:pPr>
        <w:pStyle w:val="PL"/>
      </w:pPr>
      <w:r w:rsidRPr="00FA0D37">
        <w:t xml:space="preserve">        timeConnSourceDAPS</w:t>
      </w:r>
      <w:r w:rsidR="00E46ADC" w:rsidRPr="00FA0D37">
        <w:t>-</w:t>
      </w:r>
      <w:r w:rsidRPr="00FA0D37">
        <w:t>Failure-r17       TimeConnSourceDAPS</w:t>
      </w:r>
      <w:r w:rsidR="00E46ADC" w:rsidRPr="00FA0D37">
        <w:t>-</w:t>
      </w:r>
      <w:r w:rsidRPr="00FA0D37">
        <w:t xml:space="preserve">Failure-r17                      </w:t>
      </w:r>
      <w:r w:rsidRPr="00FA0D37">
        <w:rPr>
          <w:color w:val="993366"/>
        </w:rPr>
        <w:t>OPTIONAL</w:t>
      </w:r>
      <w:r w:rsidRPr="00FA0D37">
        <w:t>,</w:t>
      </w:r>
    </w:p>
    <w:p w14:paraId="58C175CC" w14:textId="66C87D41" w:rsidR="00E84B6D" w:rsidRPr="00FA0D37" w:rsidRDefault="00E84B6D" w:rsidP="00FA0D37">
      <w:pPr>
        <w:pStyle w:val="PL"/>
      </w:pPr>
      <w:r w:rsidRPr="00FA0D37">
        <w:t xml:space="preserve">        timeSinceCHO</w:t>
      </w:r>
      <w:r w:rsidR="00E46ADC" w:rsidRPr="00FA0D37">
        <w:t>-</w:t>
      </w:r>
      <w:r w:rsidRPr="00FA0D37">
        <w:t>Reconfig-r17            TimeSinceCHO</w:t>
      </w:r>
      <w:r w:rsidR="00E46ADC" w:rsidRPr="00FA0D37">
        <w:t>-</w:t>
      </w:r>
      <w:r w:rsidRPr="00FA0D37">
        <w:t xml:space="preserve">Reconfig-r17                           </w:t>
      </w:r>
      <w:r w:rsidRPr="00FA0D37">
        <w:rPr>
          <w:color w:val="993366"/>
        </w:rPr>
        <w:t>OPTIONAL</w:t>
      </w:r>
      <w:r w:rsidRPr="00FA0D37">
        <w:t>,</w:t>
      </w:r>
    </w:p>
    <w:p w14:paraId="10D107C7" w14:textId="77777777" w:rsidR="00E84B6D" w:rsidRPr="00FA0D37" w:rsidRDefault="00E84B6D" w:rsidP="00FA0D37">
      <w:pPr>
        <w:pStyle w:val="PL"/>
      </w:pPr>
      <w:r w:rsidRPr="00FA0D37">
        <w:t xml:space="preserve">        choCellId-r17                        </w:t>
      </w:r>
      <w:r w:rsidRPr="00FA0D37">
        <w:rPr>
          <w:color w:val="993366"/>
        </w:rPr>
        <w:t>CHOICE</w:t>
      </w:r>
      <w:r w:rsidRPr="00FA0D37">
        <w:t xml:space="preserve"> {</w:t>
      </w:r>
    </w:p>
    <w:p w14:paraId="3E2409A7" w14:textId="77777777" w:rsidR="00E84B6D" w:rsidRPr="00FA0D37" w:rsidRDefault="00E84B6D" w:rsidP="00FA0D37">
      <w:pPr>
        <w:pStyle w:val="PL"/>
      </w:pPr>
      <w:r w:rsidRPr="00FA0D37">
        <w:t xml:space="preserve">            cellGlobalId-r17                     CGI-Info-Logging-r16,</w:t>
      </w:r>
    </w:p>
    <w:p w14:paraId="5BF55679" w14:textId="53F37413" w:rsidR="00E84B6D" w:rsidRPr="00FA0D37" w:rsidRDefault="00E84B6D" w:rsidP="00FA0D37">
      <w:pPr>
        <w:pStyle w:val="PL"/>
      </w:pPr>
      <w:r w:rsidRPr="00FA0D37">
        <w:t xml:space="preserve">            pci-arfcn-r17                        </w:t>
      </w:r>
      <w:r w:rsidR="000C6A30" w:rsidRPr="00FA0D37">
        <w:t>PCI-ARFCN-NR-r16</w:t>
      </w:r>
    </w:p>
    <w:p w14:paraId="6E035345" w14:textId="31E1C9DF" w:rsidR="00E84B6D" w:rsidRPr="00FA0D37" w:rsidRDefault="00E84B6D" w:rsidP="00FA0D37">
      <w:pPr>
        <w:pStyle w:val="PL"/>
      </w:pPr>
      <w:r w:rsidRPr="00FA0D37">
        <w:t xml:space="preserve">        }                                                                                        </w:t>
      </w:r>
      <w:r w:rsidRPr="00FA0D37">
        <w:rPr>
          <w:color w:val="993366"/>
        </w:rPr>
        <w:t>OPTIONAL</w:t>
      </w:r>
      <w:r w:rsidRPr="00FA0D37">
        <w:t>,</w:t>
      </w:r>
    </w:p>
    <w:p w14:paraId="109E6CD0" w14:textId="4669B3A1" w:rsidR="00E84B6D" w:rsidRPr="00FA0D37" w:rsidRDefault="00E84B6D" w:rsidP="00FA0D37">
      <w:pPr>
        <w:pStyle w:val="PL"/>
      </w:pPr>
      <w:r w:rsidRPr="00FA0D37">
        <w:t xml:space="preserve">        choCandidateCellList-r17             ChoCandidateCellList-r17                            </w:t>
      </w:r>
      <w:r w:rsidRPr="00FA0D37">
        <w:rPr>
          <w:color w:val="993366"/>
        </w:rPr>
        <w:t>OPTIONAL</w:t>
      </w:r>
    </w:p>
    <w:p w14:paraId="1B2362B6" w14:textId="28C12D06" w:rsidR="00FE090E" w:rsidRPr="00FA0D37" w:rsidRDefault="00E84B6D" w:rsidP="00FA0D37">
      <w:pPr>
        <w:pStyle w:val="PL"/>
      </w:pPr>
      <w:r w:rsidRPr="00FA0D37">
        <w:t xml:space="preserve">        ]]</w:t>
      </w:r>
    </w:p>
    <w:p w14:paraId="320C2704" w14:textId="4EBF4769" w:rsidR="00394471" w:rsidRPr="00FA0D37" w:rsidRDefault="00394471" w:rsidP="00FA0D37">
      <w:pPr>
        <w:pStyle w:val="PL"/>
      </w:pPr>
      <w:r w:rsidRPr="00FA0D37">
        <w:t xml:space="preserve">    },</w:t>
      </w:r>
    </w:p>
    <w:p w14:paraId="17418951" w14:textId="77777777" w:rsidR="00394471" w:rsidRPr="00FA0D37" w:rsidRDefault="00394471" w:rsidP="00FA0D37">
      <w:pPr>
        <w:pStyle w:val="PL"/>
      </w:pPr>
      <w:r w:rsidRPr="00FA0D37">
        <w:t xml:space="preserve">    eutra-RLF-Report-r16                 </w:t>
      </w:r>
      <w:r w:rsidRPr="00FA0D37">
        <w:rPr>
          <w:color w:val="993366"/>
        </w:rPr>
        <w:t>SEQUENCE</w:t>
      </w:r>
      <w:r w:rsidRPr="00FA0D37">
        <w:t xml:space="preserve"> {</w:t>
      </w:r>
    </w:p>
    <w:p w14:paraId="483D9921" w14:textId="77777777" w:rsidR="00394471" w:rsidRPr="00FA0D37" w:rsidRDefault="00394471" w:rsidP="00FA0D37">
      <w:pPr>
        <w:pStyle w:val="PL"/>
      </w:pPr>
      <w:r w:rsidRPr="00FA0D37">
        <w:t xml:space="preserve">        failedPCellId-EUTRA                  CGI-InfoEUTRALogging,</w:t>
      </w:r>
    </w:p>
    <w:p w14:paraId="7E28635F" w14:textId="77777777" w:rsidR="00394471" w:rsidRPr="00FA0D37" w:rsidRDefault="00394471" w:rsidP="00FA0D37">
      <w:pPr>
        <w:pStyle w:val="PL"/>
        <w:rPr>
          <w:rFonts w:eastAsia="Malgun Gothic"/>
        </w:rPr>
      </w:pPr>
      <w:r w:rsidRPr="00FA0D37">
        <w:t xml:space="preserve">        measResult-RLF-Report-EUTRA-r16      </w:t>
      </w:r>
      <w:r w:rsidRPr="00FA0D37">
        <w:rPr>
          <w:color w:val="993366"/>
        </w:rPr>
        <w:t>OCTET</w:t>
      </w:r>
      <w:r w:rsidRPr="00FA0D37">
        <w:rPr>
          <w:rFonts w:eastAsia="Malgun Gothic"/>
        </w:rPr>
        <w:t xml:space="preserve"> </w:t>
      </w:r>
      <w:r w:rsidRPr="00FA0D37">
        <w:rPr>
          <w:color w:val="993366"/>
        </w:rPr>
        <w:t>STRING</w:t>
      </w:r>
      <w:r w:rsidRPr="00FA0D37">
        <w:t>,</w:t>
      </w:r>
    </w:p>
    <w:p w14:paraId="50EF01DC" w14:textId="136B3185" w:rsidR="004B0FA9" w:rsidRPr="00FA0D37" w:rsidRDefault="00394471" w:rsidP="00FA0D37">
      <w:pPr>
        <w:pStyle w:val="PL"/>
      </w:pPr>
      <w:r w:rsidRPr="00FA0D37">
        <w:t xml:space="preserve">        ...</w:t>
      </w:r>
      <w:r w:rsidR="004B0FA9" w:rsidRPr="00FA0D37">
        <w:t>,</w:t>
      </w:r>
    </w:p>
    <w:p w14:paraId="7C274157" w14:textId="77777777" w:rsidR="004B0FA9" w:rsidRPr="00FA0D37" w:rsidRDefault="004B0FA9" w:rsidP="00FA0D37">
      <w:pPr>
        <w:pStyle w:val="PL"/>
      </w:pPr>
      <w:r w:rsidRPr="00FA0D37">
        <w:t xml:space="preserve">        [[</w:t>
      </w:r>
    </w:p>
    <w:p w14:paraId="0902A071" w14:textId="00985920" w:rsidR="004B0FA9" w:rsidRPr="00FA0D37" w:rsidRDefault="004B0FA9" w:rsidP="00FA0D37">
      <w:pPr>
        <w:pStyle w:val="PL"/>
      </w:pPr>
      <w:r w:rsidRPr="00FA0D37">
        <w:t xml:space="preserve">        measResult-RLF-Report-EUTRA-v1690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p>
    <w:p w14:paraId="6E79324A" w14:textId="44D1D003" w:rsidR="00394471" w:rsidRPr="00FA0D37" w:rsidRDefault="004B0FA9" w:rsidP="00FA0D37">
      <w:pPr>
        <w:pStyle w:val="PL"/>
      </w:pPr>
      <w:r w:rsidRPr="00FA0D37">
        <w:t xml:space="preserve">        ]]</w:t>
      </w:r>
    </w:p>
    <w:p w14:paraId="3A8B279C" w14:textId="77777777" w:rsidR="00394471" w:rsidRPr="00FA0D37" w:rsidRDefault="00394471" w:rsidP="00FA0D37">
      <w:pPr>
        <w:pStyle w:val="PL"/>
      </w:pPr>
      <w:r w:rsidRPr="00FA0D37">
        <w:t xml:space="preserve">    }</w:t>
      </w:r>
    </w:p>
    <w:p w14:paraId="077B66B7" w14:textId="77777777" w:rsidR="00394471" w:rsidRPr="00FA0D37" w:rsidRDefault="00394471" w:rsidP="00FA0D37">
      <w:pPr>
        <w:pStyle w:val="PL"/>
        <w:rPr>
          <w:rFonts w:eastAsia="Malgun Gothic"/>
        </w:rPr>
      </w:pPr>
      <w:r w:rsidRPr="00FA0D37">
        <w:t>}</w:t>
      </w:r>
    </w:p>
    <w:p w14:paraId="24202232" w14:textId="7A4293D1" w:rsidR="00394471" w:rsidRPr="00FA0D37" w:rsidRDefault="00394471" w:rsidP="00FA0D37">
      <w:pPr>
        <w:pStyle w:val="PL"/>
      </w:pPr>
    </w:p>
    <w:p w14:paraId="2D0F4EB9" w14:textId="1C677207" w:rsidR="00E84B6D" w:rsidRPr="00FA0D37" w:rsidRDefault="00E84B6D" w:rsidP="00FA0D37">
      <w:pPr>
        <w:pStyle w:val="PL"/>
      </w:pPr>
      <w:r w:rsidRPr="00FA0D37">
        <w:t xml:space="preserve">SuccessHO-Report-r17 ::=                 </w:t>
      </w:r>
      <w:r w:rsidRPr="00FA0D37">
        <w:rPr>
          <w:color w:val="993366"/>
        </w:rPr>
        <w:t>SEQUENCE</w:t>
      </w:r>
      <w:r w:rsidRPr="00FA0D37">
        <w:t xml:space="preserve"> {</w:t>
      </w:r>
    </w:p>
    <w:p w14:paraId="3F4BE500" w14:textId="63D0CC56" w:rsidR="00E84B6D" w:rsidRPr="00FA0D37" w:rsidRDefault="00E84B6D" w:rsidP="00FA0D37">
      <w:pPr>
        <w:pStyle w:val="PL"/>
      </w:pPr>
      <w:r w:rsidRPr="00FA0D37">
        <w:t xml:space="preserve">    sourceCellInfo-r17                       </w:t>
      </w:r>
      <w:r w:rsidRPr="00FA0D37">
        <w:rPr>
          <w:color w:val="993366"/>
        </w:rPr>
        <w:t>SEQUENCE</w:t>
      </w:r>
      <w:r w:rsidRPr="00FA0D37">
        <w:t xml:space="preserve"> {</w:t>
      </w:r>
    </w:p>
    <w:p w14:paraId="5D9D0A03" w14:textId="275842C6" w:rsidR="00E84B6D" w:rsidRPr="00FA0D37" w:rsidRDefault="00E84B6D" w:rsidP="00FA0D37">
      <w:pPr>
        <w:pStyle w:val="PL"/>
      </w:pPr>
      <w:r w:rsidRPr="00FA0D37">
        <w:t xml:space="preserve">        sourcePCellId-r17                        CGI-Info-Logging-r16,</w:t>
      </w:r>
    </w:p>
    <w:p w14:paraId="6C960D33" w14:textId="074CFE80" w:rsidR="00E84B6D" w:rsidRPr="00FA0D37" w:rsidRDefault="00E84B6D" w:rsidP="00FA0D37">
      <w:pPr>
        <w:pStyle w:val="PL"/>
      </w:pPr>
      <w:r w:rsidRPr="00FA0D37">
        <w:t xml:space="preserve">        sourceCellMeas-r17                       MeasResultSuccessHONR-r17                       </w:t>
      </w:r>
      <w:r w:rsidRPr="00FA0D37">
        <w:rPr>
          <w:color w:val="993366"/>
        </w:rPr>
        <w:t>OPTIONAL</w:t>
      </w:r>
      <w:r w:rsidRPr="00FA0D37">
        <w:t>,</w:t>
      </w:r>
    </w:p>
    <w:p w14:paraId="53853DE2" w14:textId="347A0FAA" w:rsidR="00E84B6D" w:rsidRPr="00FA0D37" w:rsidRDefault="00E84B6D" w:rsidP="00FA0D37">
      <w:pPr>
        <w:pStyle w:val="PL"/>
      </w:pPr>
      <w:r w:rsidRPr="00FA0D37">
        <w:t xml:space="preserve">        </w:t>
      </w:r>
      <w:r w:rsidRPr="00FA0D37">
        <w:rPr>
          <w:rFonts w:eastAsia="等线"/>
        </w:rPr>
        <w:t>rlf</w:t>
      </w:r>
      <w:r w:rsidR="00015613" w:rsidRPr="00FA0D37">
        <w:rPr>
          <w:rFonts w:eastAsia="等线"/>
        </w:rPr>
        <w:t>-</w:t>
      </w:r>
      <w:r w:rsidRPr="00FA0D37">
        <w:rPr>
          <w:rFonts w:eastAsia="等线"/>
        </w:rPr>
        <w:t>InSourceDAPS-r17</w:t>
      </w:r>
      <w:r w:rsidRPr="00FA0D37">
        <w:t xml:space="preserve">                     </w:t>
      </w:r>
      <w:r w:rsidRPr="00FA0D37">
        <w:rPr>
          <w:color w:val="993366"/>
        </w:rPr>
        <w:t>ENUMERATED</w:t>
      </w:r>
      <w:r w:rsidRPr="00FA0D37">
        <w:t xml:space="preserve"> {true}                               </w:t>
      </w:r>
      <w:r w:rsidRPr="00FA0D37">
        <w:rPr>
          <w:color w:val="993366"/>
        </w:rPr>
        <w:t>OPTIONAL</w:t>
      </w:r>
    </w:p>
    <w:p w14:paraId="39A3F7B8" w14:textId="77777777" w:rsidR="00E84B6D" w:rsidRPr="00FA0D37" w:rsidRDefault="00E84B6D" w:rsidP="00FA0D37">
      <w:pPr>
        <w:pStyle w:val="PL"/>
      </w:pPr>
      <w:r w:rsidRPr="00FA0D37">
        <w:t xml:space="preserve">    },</w:t>
      </w:r>
    </w:p>
    <w:p w14:paraId="626327E8" w14:textId="39322E83" w:rsidR="00E84B6D" w:rsidRPr="00FA0D37" w:rsidRDefault="00E84B6D" w:rsidP="00FA0D37">
      <w:pPr>
        <w:pStyle w:val="PL"/>
      </w:pPr>
      <w:r w:rsidRPr="00FA0D37">
        <w:t xml:space="preserve">    targetCellInfo-r17                       </w:t>
      </w:r>
      <w:r w:rsidRPr="00FA0D37">
        <w:rPr>
          <w:color w:val="993366"/>
        </w:rPr>
        <w:t>SEQUENCE</w:t>
      </w:r>
      <w:r w:rsidRPr="00FA0D37">
        <w:t xml:space="preserve"> {</w:t>
      </w:r>
    </w:p>
    <w:p w14:paraId="10FED5DC" w14:textId="7062AEB9" w:rsidR="00E84B6D" w:rsidRPr="00FA0D37" w:rsidRDefault="00E84B6D" w:rsidP="00FA0D37">
      <w:pPr>
        <w:pStyle w:val="PL"/>
      </w:pPr>
      <w:r w:rsidRPr="00FA0D37">
        <w:t xml:space="preserve">        targetPCellId-r17                        CGI-Info-Logging-r16,</w:t>
      </w:r>
    </w:p>
    <w:p w14:paraId="1B5F25F3" w14:textId="4BF3E47A" w:rsidR="00E84B6D" w:rsidRPr="00FA0D37" w:rsidRDefault="00E84B6D" w:rsidP="00FA0D37">
      <w:pPr>
        <w:pStyle w:val="PL"/>
      </w:pPr>
      <w:r w:rsidRPr="00FA0D37">
        <w:t xml:space="preserve">        targetCellMeas-r17                       MeasResultSuccessHONR-r17                       </w:t>
      </w:r>
      <w:r w:rsidRPr="00FA0D37">
        <w:rPr>
          <w:color w:val="993366"/>
        </w:rPr>
        <w:t>OPTIONAL</w:t>
      </w:r>
    </w:p>
    <w:p w14:paraId="2C3FAAA1" w14:textId="77777777" w:rsidR="00E84B6D" w:rsidRPr="00FA0D37" w:rsidRDefault="00E84B6D" w:rsidP="00FA0D37">
      <w:pPr>
        <w:pStyle w:val="PL"/>
      </w:pPr>
      <w:r w:rsidRPr="00FA0D37">
        <w:t xml:space="preserve">    },</w:t>
      </w:r>
    </w:p>
    <w:p w14:paraId="2181A3AE" w14:textId="464FF70C" w:rsidR="00E84B6D" w:rsidRPr="00FA0D37" w:rsidRDefault="00E84B6D" w:rsidP="00FA0D37">
      <w:pPr>
        <w:pStyle w:val="PL"/>
      </w:pPr>
      <w:r w:rsidRPr="00FA0D37">
        <w:t xml:space="preserve">    measResultNeighCells-r17                 </w:t>
      </w:r>
      <w:r w:rsidRPr="00FA0D37">
        <w:rPr>
          <w:color w:val="993366"/>
        </w:rPr>
        <w:t>SEQUENCE</w:t>
      </w:r>
      <w:r w:rsidRPr="00FA0D37">
        <w:t xml:space="preserve"> {</w:t>
      </w:r>
    </w:p>
    <w:p w14:paraId="0570FEBD" w14:textId="6155DC7C" w:rsidR="00E84B6D" w:rsidRPr="00FA0D37" w:rsidRDefault="00E84B6D" w:rsidP="00FA0D37">
      <w:pPr>
        <w:pStyle w:val="PL"/>
      </w:pPr>
      <w:r w:rsidRPr="00FA0D37">
        <w:t xml:space="preserve">        measResultListNR-r17                     MeasResultList2NR-r16                           </w:t>
      </w:r>
      <w:r w:rsidRPr="00FA0D37">
        <w:rPr>
          <w:color w:val="993366"/>
        </w:rPr>
        <w:t>OPTIONAL</w:t>
      </w:r>
      <w:r w:rsidRPr="00FA0D37">
        <w:t>,</w:t>
      </w:r>
    </w:p>
    <w:p w14:paraId="5AE958CC" w14:textId="113EBFBE" w:rsidR="00E84B6D" w:rsidRPr="00FA0D37" w:rsidRDefault="00E84B6D" w:rsidP="00FA0D37">
      <w:pPr>
        <w:pStyle w:val="PL"/>
      </w:pPr>
      <w:r w:rsidRPr="00FA0D37">
        <w:lastRenderedPageBreak/>
        <w:t xml:space="preserve">        measResultListEUTRA-r17                  MeasResultList2EUTRA-r16                        </w:t>
      </w:r>
      <w:r w:rsidRPr="00FA0D37">
        <w:rPr>
          <w:color w:val="993366"/>
        </w:rPr>
        <w:t>OPTIONAL</w:t>
      </w:r>
    </w:p>
    <w:p w14:paraId="45007688" w14:textId="067DB72E" w:rsidR="00E84B6D" w:rsidRPr="00FA0D37" w:rsidRDefault="00E84B6D" w:rsidP="00FA0D37">
      <w:pPr>
        <w:pStyle w:val="PL"/>
      </w:pPr>
      <w:r w:rsidRPr="00FA0D37">
        <w:t xml:space="preserve">    }                                                                                            </w:t>
      </w:r>
      <w:r w:rsidRPr="00FA0D37">
        <w:rPr>
          <w:color w:val="993366"/>
        </w:rPr>
        <w:t>OPTIONAL</w:t>
      </w:r>
      <w:r w:rsidRPr="00FA0D37">
        <w:t>,</w:t>
      </w:r>
    </w:p>
    <w:p w14:paraId="3DD012E0" w14:textId="4B43D766" w:rsidR="00E84B6D" w:rsidRPr="00FA0D37" w:rsidRDefault="00E84B6D" w:rsidP="00FA0D37">
      <w:pPr>
        <w:pStyle w:val="PL"/>
        <w:rPr>
          <w:rFonts w:eastAsia="等线"/>
        </w:rPr>
      </w:pPr>
      <w:r w:rsidRPr="00FA0D37">
        <w:t xml:space="preserve">    locationInfo-r17                         LocationInfo-r16                                    </w:t>
      </w:r>
      <w:r w:rsidRPr="00FA0D37">
        <w:rPr>
          <w:color w:val="993366"/>
        </w:rPr>
        <w:t>OPTIONAL</w:t>
      </w:r>
      <w:r w:rsidRPr="00FA0D37">
        <w:rPr>
          <w:rFonts w:eastAsia="等线"/>
        </w:rPr>
        <w:t>,</w:t>
      </w:r>
    </w:p>
    <w:p w14:paraId="7271028C" w14:textId="285683C2" w:rsidR="00E84B6D" w:rsidRPr="00FA0D37" w:rsidRDefault="00E84B6D" w:rsidP="00FA0D37">
      <w:pPr>
        <w:pStyle w:val="PL"/>
      </w:pPr>
      <w:r w:rsidRPr="00FA0D37">
        <w:t xml:space="preserve">    timeSinceCHO</w:t>
      </w:r>
      <w:r w:rsidR="00015613" w:rsidRPr="00FA0D37">
        <w:t>-</w:t>
      </w:r>
      <w:r w:rsidRPr="00FA0D37">
        <w:t>Reconfig-r17                TimeSinceCHO</w:t>
      </w:r>
      <w:r w:rsidR="00015613" w:rsidRPr="00FA0D37">
        <w:t>-</w:t>
      </w:r>
      <w:r w:rsidRPr="00FA0D37">
        <w:t xml:space="preserve">Reconfig-r17                           </w:t>
      </w:r>
      <w:r w:rsidRPr="00FA0D37">
        <w:rPr>
          <w:color w:val="993366"/>
        </w:rPr>
        <w:t>OPTIONAL</w:t>
      </w:r>
      <w:r w:rsidRPr="00FA0D37">
        <w:t>,</w:t>
      </w:r>
    </w:p>
    <w:p w14:paraId="747BB9A1" w14:textId="2912071C" w:rsidR="00E84B6D" w:rsidRPr="00FA0D37" w:rsidRDefault="00E84B6D" w:rsidP="00FA0D37">
      <w:pPr>
        <w:pStyle w:val="PL"/>
      </w:pPr>
      <w:r w:rsidRPr="00FA0D37">
        <w:t xml:space="preserve">    shr-Cause-r17                            SHR-Cause-r17                                       </w:t>
      </w:r>
      <w:r w:rsidRPr="00FA0D37">
        <w:rPr>
          <w:color w:val="993366"/>
        </w:rPr>
        <w:t>OPTIONAL</w:t>
      </w:r>
      <w:r w:rsidRPr="00FA0D37">
        <w:t>,</w:t>
      </w:r>
    </w:p>
    <w:p w14:paraId="498D5098" w14:textId="6ADF5A9B" w:rsidR="00E84B6D" w:rsidRPr="00FA0D37" w:rsidRDefault="00E84B6D" w:rsidP="00FA0D37">
      <w:pPr>
        <w:pStyle w:val="PL"/>
        <w:rPr>
          <w:rFonts w:eastAsia="等线"/>
        </w:rPr>
      </w:pPr>
      <w:r w:rsidRPr="00FA0D37">
        <w:t xml:space="preserve">    </w:t>
      </w:r>
      <w:r w:rsidRPr="00FA0D37">
        <w:rPr>
          <w:rFonts w:eastAsia="宋体"/>
        </w:rPr>
        <w:t>ra-InformationCommon-r17</w:t>
      </w:r>
      <w:r w:rsidRPr="00FA0D37">
        <w:t xml:space="preserve">                 </w:t>
      </w:r>
      <w:r w:rsidRPr="00FA0D37">
        <w:rPr>
          <w:rFonts w:eastAsia="等线"/>
        </w:rPr>
        <w:t>RA-InformationCommon-r16</w:t>
      </w:r>
      <w:r w:rsidRPr="00FA0D37">
        <w:t xml:space="preserve">                            </w:t>
      </w:r>
      <w:r w:rsidRPr="00FA0D37">
        <w:rPr>
          <w:rFonts w:eastAsia="等线"/>
          <w:color w:val="993366"/>
        </w:rPr>
        <w:t>OPTIONAL</w:t>
      </w:r>
      <w:r w:rsidRPr="00FA0D37">
        <w:rPr>
          <w:rFonts w:eastAsia="等线"/>
        </w:rPr>
        <w:t>,</w:t>
      </w:r>
    </w:p>
    <w:p w14:paraId="4D59C1D7" w14:textId="01331464" w:rsidR="00E84B6D" w:rsidRPr="00FA0D37" w:rsidRDefault="00E84B6D" w:rsidP="00FA0D37">
      <w:pPr>
        <w:pStyle w:val="PL"/>
      </w:pPr>
      <w:r w:rsidRPr="00FA0D37">
        <w:t xml:space="preserve">    </w:t>
      </w:r>
      <w:r w:rsidRPr="00FA0D37">
        <w:rPr>
          <w:rFonts w:eastAsia="等线"/>
        </w:rPr>
        <w:t>upInterruptionTimeAtHO-r17</w:t>
      </w:r>
      <w:r w:rsidRPr="00FA0D37">
        <w:t xml:space="preserve">               </w:t>
      </w:r>
      <w:r w:rsidRPr="00FA0D37">
        <w:rPr>
          <w:rFonts w:eastAsia="等线"/>
        </w:rPr>
        <w:t>UPInterruptionTimeAtHO-r17</w:t>
      </w:r>
      <w:r w:rsidRPr="00FA0D37">
        <w:t xml:space="preserve">                          </w:t>
      </w:r>
      <w:r w:rsidRPr="00FA0D37">
        <w:rPr>
          <w:rFonts w:eastAsia="等线"/>
          <w:color w:val="993366"/>
        </w:rPr>
        <w:t>OPTIONAL</w:t>
      </w:r>
      <w:r w:rsidRPr="00FA0D37">
        <w:rPr>
          <w:rFonts w:eastAsia="等线"/>
        </w:rPr>
        <w:t>,</w:t>
      </w:r>
    </w:p>
    <w:p w14:paraId="076E4128" w14:textId="0AD7F547" w:rsidR="00E84B6D" w:rsidRPr="00FA0D37" w:rsidRDefault="00E84B6D" w:rsidP="00FA0D37">
      <w:pPr>
        <w:pStyle w:val="PL"/>
      </w:pPr>
      <w:r w:rsidRPr="00FA0D37">
        <w:t xml:space="preserve">    c-RNTI-r17                               RNTI-Value                                          </w:t>
      </w:r>
      <w:r w:rsidRPr="00FA0D37">
        <w:rPr>
          <w:rFonts w:eastAsia="等线"/>
          <w:color w:val="993366"/>
        </w:rPr>
        <w:t>OPTIONAL</w:t>
      </w:r>
      <w:r w:rsidRPr="00FA0D37">
        <w:t>,</w:t>
      </w:r>
    </w:p>
    <w:p w14:paraId="2BC64C29" w14:textId="77777777" w:rsidR="00E84B6D" w:rsidRPr="00FA0D37" w:rsidRDefault="00E84B6D" w:rsidP="00FA0D37">
      <w:pPr>
        <w:pStyle w:val="PL"/>
      </w:pPr>
      <w:r w:rsidRPr="00FA0D37">
        <w:t xml:space="preserve">    ...</w:t>
      </w:r>
    </w:p>
    <w:p w14:paraId="7164964F" w14:textId="77777777" w:rsidR="00E84B6D" w:rsidRPr="00FA0D37" w:rsidRDefault="00E84B6D" w:rsidP="00FA0D37">
      <w:pPr>
        <w:pStyle w:val="PL"/>
      </w:pPr>
      <w:r w:rsidRPr="00FA0D37">
        <w:t>}</w:t>
      </w:r>
    </w:p>
    <w:p w14:paraId="672DAF29" w14:textId="77777777" w:rsidR="00E84B6D" w:rsidRPr="00FA0D37" w:rsidRDefault="00E84B6D" w:rsidP="00FA0D37">
      <w:pPr>
        <w:pStyle w:val="PL"/>
      </w:pPr>
    </w:p>
    <w:p w14:paraId="7FCC95FA" w14:textId="77777777" w:rsidR="00394471" w:rsidRPr="00FA0D37" w:rsidRDefault="00394471" w:rsidP="00FA0D37">
      <w:pPr>
        <w:pStyle w:val="PL"/>
      </w:pPr>
      <w:r w:rsidRPr="00FA0D37">
        <w:t xml:space="preserve">MeasResultList2NR-r16 ::=            </w:t>
      </w:r>
      <w:r w:rsidRPr="00FA0D37">
        <w:rPr>
          <w:color w:val="993366"/>
        </w:rPr>
        <w:t>SEQUENCE</w:t>
      </w:r>
      <w:r w:rsidRPr="00FA0D37">
        <w:t>(</w:t>
      </w:r>
      <w:r w:rsidRPr="00FA0D37">
        <w:rPr>
          <w:color w:val="993366"/>
        </w:rPr>
        <w:t>SIZE</w:t>
      </w:r>
      <w:r w:rsidRPr="00FA0D37">
        <w:t xml:space="preserve"> (1..maxFreq))</w:t>
      </w:r>
      <w:r w:rsidRPr="00FA0D37">
        <w:rPr>
          <w:color w:val="993366"/>
        </w:rPr>
        <w:t xml:space="preserve"> OF</w:t>
      </w:r>
      <w:r w:rsidRPr="00FA0D37">
        <w:t xml:space="preserve"> MeasResult2NR-r16</w:t>
      </w:r>
    </w:p>
    <w:p w14:paraId="66A29267" w14:textId="77777777" w:rsidR="00394471" w:rsidRPr="00FA0D37" w:rsidRDefault="00394471" w:rsidP="00FA0D37">
      <w:pPr>
        <w:pStyle w:val="PL"/>
        <w:rPr>
          <w:rFonts w:eastAsiaTheme="minorEastAsia"/>
        </w:rPr>
      </w:pPr>
      <w:r w:rsidRPr="00FA0D37">
        <w:t xml:space="preserve">MeasResultList2EUTRA-r16 ::=         </w:t>
      </w:r>
      <w:r w:rsidRPr="00FA0D37">
        <w:rPr>
          <w:color w:val="993366"/>
        </w:rPr>
        <w:t>SEQUENCE</w:t>
      </w:r>
      <w:r w:rsidRPr="00FA0D37">
        <w:t>(</w:t>
      </w:r>
      <w:r w:rsidRPr="00FA0D37">
        <w:rPr>
          <w:color w:val="993366"/>
        </w:rPr>
        <w:t>SIZE</w:t>
      </w:r>
      <w:r w:rsidRPr="00FA0D37">
        <w:t xml:space="preserve"> (1..maxFreq))</w:t>
      </w:r>
      <w:r w:rsidRPr="00FA0D37">
        <w:rPr>
          <w:color w:val="993366"/>
        </w:rPr>
        <w:t xml:space="preserve"> OF</w:t>
      </w:r>
      <w:r w:rsidRPr="00FA0D37">
        <w:t xml:space="preserve"> MeasResult2EUTRA-r16</w:t>
      </w:r>
    </w:p>
    <w:p w14:paraId="05D7598E" w14:textId="77777777" w:rsidR="00394471" w:rsidRPr="00FA0D37" w:rsidRDefault="00394471" w:rsidP="00FA0D37">
      <w:pPr>
        <w:pStyle w:val="PL"/>
        <w:rPr>
          <w:rFonts w:eastAsiaTheme="minorEastAsia"/>
        </w:rPr>
      </w:pPr>
    </w:p>
    <w:p w14:paraId="319351C9" w14:textId="77777777" w:rsidR="00394471" w:rsidRPr="00FA0D37" w:rsidRDefault="00394471" w:rsidP="00FA0D37">
      <w:pPr>
        <w:pStyle w:val="PL"/>
        <w:rPr>
          <w:rFonts w:eastAsiaTheme="minorEastAsia"/>
        </w:rPr>
      </w:pPr>
      <w:r w:rsidRPr="00FA0D37">
        <w:t xml:space="preserve">MeasResult2NR-r16 ::=                </w:t>
      </w:r>
      <w:r w:rsidRPr="00FA0D37">
        <w:rPr>
          <w:color w:val="993366"/>
        </w:rPr>
        <w:t>SEQUENCE</w:t>
      </w:r>
      <w:r w:rsidRPr="00FA0D37">
        <w:t xml:space="preserve"> {</w:t>
      </w:r>
    </w:p>
    <w:p w14:paraId="7BB56482" w14:textId="77777777" w:rsidR="00394471" w:rsidRPr="00FA0D37" w:rsidRDefault="00394471" w:rsidP="00FA0D37">
      <w:pPr>
        <w:pStyle w:val="PL"/>
      </w:pPr>
      <w:r w:rsidRPr="00FA0D37">
        <w:t xml:space="preserve">    ssbFrequency-r16                     ARFCN-ValueNR                                           </w:t>
      </w:r>
      <w:r w:rsidRPr="00FA0D37">
        <w:rPr>
          <w:color w:val="993366"/>
        </w:rPr>
        <w:t>OPTIONAL</w:t>
      </w:r>
      <w:r w:rsidRPr="00FA0D37">
        <w:t>,</w:t>
      </w:r>
    </w:p>
    <w:p w14:paraId="78DDBCEB" w14:textId="77777777" w:rsidR="00394471" w:rsidRPr="00FA0D37" w:rsidRDefault="00394471" w:rsidP="00FA0D37">
      <w:pPr>
        <w:pStyle w:val="PL"/>
      </w:pPr>
      <w:r w:rsidRPr="00FA0D37">
        <w:t xml:space="preserve">    refFreqCSI-RS-r16                    ARFCN-ValueNR                                           </w:t>
      </w:r>
      <w:r w:rsidRPr="00FA0D37">
        <w:rPr>
          <w:color w:val="993366"/>
        </w:rPr>
        <w:t>OPTIONAL</w:t>
      </w:r>
      <w:r w:rsidRPr="00FA0D37">
        <w:t>,</w:t>
      </w:r>
    </w:p>
    <w:p w14:paraId="6DA58093" w14:textId="77777777" w:rsidR="00394471" w:rsidRPr="00FA0D37" w:rsidRDefault="00394471" w:rsidP="00FA0D37">
      <w:pPr>
        <w:pStyle w:val="PL"/>
        <w:rPr>
          <w:rFonts w:eastAsiaTheme="minorEastAsia"/>
        </w:rPr>
      </w:pPr>
      <w:r w:rsidRPr="00FA0D37">
        <w:t xml:space="preserve">    measResultList-r16                   MeasResultListNR</w:t>
      </w:r>
    </w:p>
    <w:p w14:paraId="01427554" w14:textId="77777777" w:rsidR="00394471" w:rsidRPr="00FA0D37" w:rsidRDefault="00394471" w:rsidP="00FA0D37">
      <w:pPr>
        <w:pStyle w:val="PL"/>
        <w:rPr>
          <w:rFonts w:eastAsiaTheme="minorEastAsia"/>
        </w:rPr>
      </w:pPr>
      <w:r w:rsidRPr="00FA0D37">
        <w:rPr>
          <w:rFonts w:eastAsiaTheme="minorEastAsia"/>
        </w:rPr>
        <w:t>}</w:t>
      </w:r>
    </w:p>
    <w:p w14:paraId="6D9BB69C" w14:textId="77777777" w:rsidR="00394471" w:rsidRPr="00FA0D37" w:rsidRDefault="00394471" w:rsidP="00FA0D37">
      <w:pPr>
        <w:pStyle w:val="PL"/>
        <w:rPr>
          <w:rFonts w:eastAsiaTheme="minorEastAsia"/>
        </w:rPr>
      </w:pPr>
    </w:p>
    <w:p w14:paraId="09B96720" w14:textId="77777777" w:rsidR="00394471" w:rsidRPr="00FA0D37" w:rsidRDefault="00394471" w:rsidP="00FA0D37">
      <w:pPr>
        <w:pStyle w:val="PL"/>
      </w:pPr>
      <w:r w:rsidRPr="00FA0D37">
        <w:t xml:space="preserve">MeasResultListLogging2NR-r16 ::=     </w:t>
      </w:r>
      <w:r w:rsidRPr="00FA0D37">
        <w:rPr>
          <w:color w:val="993366"/>
        </w:rPr>
        <w:t>SEQUENCE</w:t>
      </w:r>
      <w:r w:rsidRPr="00FA0D37">
        <w:t>(</w:t>
      </w:r>
      <w:r w:rsidRPr="00FA0D37">
        <w:rPr>
          <w:color w:val="993366"/>
        </w:rPr>
        <w:t>SIZE</w:t>
      </w:r>
      <w:r w:rsidRPr="00FA0D37">
        <w:t xml:space="preserve"> (1..maxFreq))</w:t>
      </w:r>
      <w:r w:rsidRPr="00FA0D37">
        <w:rPr>
          <w:color w:val="993366"/>
        </w:rPr>
        <w:t xml:space="preserve"> OF</w:t>
      </w:r>
      <w:r w:rsidRPr="00FA0D37">
        <w:t xml:space="preserve"> MeasResultLogging2NR-r16</w:t>
      </w:r>
    </w:p>
    <w:p w14:paraId="28B5FD95" w14:textId="77777777" w:rsidR="00394471" w:rsidRPr="00FA0D37" w:rsidRDefault="00394471" w:rsidP="00FA0D37">
      <w:pPr>
        <w:pStyle w:val="PL"/>
      </w:pPr>
    </w:p>
    <w:p w14:paraId="68CE177E" w14:textId="77777777" w:rsidR="00394471" w:rsidRPr="00FA0D37" w:rsidRDefault="00394471" w:rsidP="00FA0D37">
      <w:pPr>
        <w:pStyle w:val="PL"/>
      </w:pPr>
      <w:r w:rsidRPr="00FA0D37">
        <w:t xml:space="preserve">MeasResultLogging2NR-r16 ::=         </w:t>
      </w:r>
      <w:r w:rsidRPr="00FA0D37">
        <w:rPr>
          <w:color w:val="993366"/>
        </w:rPr>
        <w:t>SEQUENCE</w:t>
      </w:r>
      <w:r w:rsidRPr="00FA0D37">
        <w:t xml:space="preserve"> {</w:t>
      </w:r>
    </w:p>
    <w:p w14:paraId="456818DC" w14:textId="77777777" w:rsidR="00394471" w:rsidRPr="00FA0D37" w:rsidRDefault="00394471" w:rsidP="00FA0D37">
      <w:pPr>
        <w:pStyle w:val="PL"/>
      </w:pPr>
      <w:r w:rsidRPr="00FA0D37">
        <w:t xml:space="preserve">    carrierFreq-r16                      ARFCN-ValueNR,</w:t>
      </w:r>
    </w:p>
    <w:p w14:paraId="458E92D4" w14:textId="77777777" w:rsidR="00394471" w:rsidRPr="00FA0D37" w:rsidRDefault="00394471" w:rsidP="00FA0D37">
      <w:pPr>
        <w:pStyle w:val="PL"/>
      </w:pPr>
      <w:r w:rsidRPr="00FA0D37">
        <w:t xml:space="preserve">    measResultListLoggingNR-r16          MeasResultListLoggingNR-r16</w:t>
      </w:r>
    </w:p>
    <w:p w14:paraId="09A39FDE" w14:textId="77777777" w:rsidR="00394471" w:rsidRPr="00FA0D37" w:rsidRDefault="00394471" w:rsidP="00FA0D37">
      <w:pPr>
        <w:pStyle w:val="PL"/>
      </w:pPr>
      <w:r w:rsidRPr="00FA0D37">
        <w:t>}</w:t>
      </w:r>
    </w:p>
    <w:p w14:paraId="6538BABF" w14:textId="77777777" w:rsidR="00394471" w:rsidRPr="00FA0D37" w:rsidRDefault="00394471" w:rsidP="00FA0D37">
      <w:pPr>
        <w:pStyle w:val="PL"/>
      </w:pPr>
    </w:p>
    <w:p w14:paraId="4C612CF1" w14:textId="77777777" w:rsidR="00394471" w:rsidRPr="00FA0D37" w:rsidRDefault="00394471" w:rsidP="00FA0D37">
      <w:pPr>
        <w:pStyle w:val="PL"/>
      </w:pPr>
      <w:r w:rsidRPr="00FA0D37">
        <w:t xml:space="preserve">MeasResultListLoggingNR-r16 ::=      </w:t>
      </w:r>
      <w:r w:rsidRPr="00FA0D37">
        <w:rPr>
          <w:color w:val="993366"/>
        </w:rPr>
        <w:t>SEQUENCE</w:t>
      </w:r>
      <w:r w:rsidRPr="00FA0D37">
        <w:t xml:space="preserve"> (</w:t>
      </w:r>
      <w:r w:rsidRPr="00FA0D37">
        <w:rPr>
          <w:color w:val="993366"/>
        </w:rPr>
        <w:t>SIZE</w:t>
      </w:r>
      <w:r w:rsidRPr="00FA0D37">
        <w:t xml:space="preserve"> (1..maxCellReport))</w:t>
      </w:r>
      <w:r w:rsidRPr="00FA0D37">
        <w:rPr>
          <w:color w:val="993366"/>
        </w:rPr>
        <w:t xml:space="preserve"> OF</w:t>
      </w:r>
      <w:r w:rsidRPr="00FA0D37">
        <w:t xml:space="preserve"> MeasResultLoggingNR-r16</w:t>
      </w:r>
    </w:p>
    <w:p w14:paraId="4706078C" w14:textId="77777777" w:rsidR="00394471" w:rsidRPr="00FA0D37" w:rsidRDefault="00394471" w:rsidP="00FA0D37">
      <w:pPr>
        <w:pStyle w:val="PL"/>
      </w:pPr>
    </w:p>
    <w:p w14:paraId="4D5C5236" w14:textId="77777777" w:rsidR="00394471" w:rsidRPr="00FA0D37" w:rsidRDefault="00394471" w:rsidP="00FA0D37">
      <w:pPr>
        <w:pStyle w:val="PL"/>
      </w:pPr>
      <w:r w:rsidRPr="00FA0D37">
        <w:t xml:space="preserve">MeasResultLoggingNR-r16 ::=          </w:t>
      </w:r>
      <w:r w:rsidRPr="00FA0D37">
        <w:rPr>
          <w:color w:val="993366"/>
        </w:rPr>
        <w:t>SEQUENCE</w:t>
      </w:r>
      <w:r w:rsidRPr="00FA0D37">
        <w:t xml:space="preserve"> {</w:t>
      </w:r>
    </w:p>
    <w:p w14:paraId="69CABEFA" w14:textId="77777777" w:rsidR="00394471" w:rsidRPr="00FA0D37" w:rsidRDefault="00394471" w:rsidP="00FA0D37">
      <w:pPr>
        <w:pStyle w:val="PL"/>
      </w:pPr>
      <w:r w:rsidRPr="00FA0D37">
        <w:t xml:space="preserve">    physCellId-r16                       PhysCellId,</w:t>
      </w:r>
    </w:p>
    <w:p w14:paraId="220D6319" w14:textId="77777777" w:rsidR="00394471" w:rsidRPr="00FA0D37" w:rsidRDefault="00394471" w:rsidP="00FA0D37">
      <w:pPr>
        <w:pStyle w:val="PL"/>
      </w:pPr>
      <w:r w:rsidRPr="00FA0D37">
        <w:t xml:space="preserve">    resultsSSB-Cell-r16                  MeasQuantityResults,</w:t>
      </w:r>
    </w:p>
    <w:p w14:paraId="769F8D98" w14:textId="77777777" w:rsidR="00394471" w:rsidRPr="00FA0D37" w:rsidRDefault="00394471" w:rsidP="00FA0D37">
      <w:pPr>
        <w:pStyle w:val="PL"/>
      </w:pPr>
      <w:r w:rsidRPr="00FA0D37">
        <w:t xml:space="preserve">    numberOfGoodSSB-r16                  </w:t>
      </w:r>
      <w:r w:rsidRPr="00FA0D37">
        <w:rPr>
          <w:color w:val="993366"/>
        </w:rPr>
        <w:t>INTEGER</w:t>
      </w:r>
      <w:r w:rsidRPr="00FA0D37">
        <w:t xml:space="preserve"> (1..maxNrofSSBs-r16) </w:t>
      </w:r>
      <w:r w:rsidRPr="00FA0D37">
        <w:rPr>
          <w:color w:val="993366"/>
        </w:rPr>
        <w:t>OPTIONAL</w:t>
      </w:r>
    </w:p>
    <w:p w14:paraId="6208066A" w14:textId="77777777" w:rsidR="00394471" w:rsidRPr="00FA0D37" w:rsidRDefault="00394471" w:rsidP="00FA0D37">
      <w:pPr>
        <w:pStyle w:val="PL"/>
      </w:pPr>
      <w:r w:rsidRPr="00FA0D37">
        <w:t>}</w:t>
      </w:r>
    </w:p>
    <w:p w14:paraId="68EAF6A2" w14:textId="77777777" w:rsidR="00394471" w:rsidRPr="00FA0D37" w:rsidRDefault="00394471" w:rsidP="00FA0D37">
      <w:pPr>
        <w:pStyle w:val="PL"/>
      </w:pPr>
    </w:p>
    <w:p w14:paraId="190494CC" w14:textId="77777777" w:rsidR="00394471" w:rsidRPr="00FA0D37" w:rsidRDefault="00394471" w:rsidP="00FA0D37">
      <w:pPr>
        <w:pStyle w:val="PL"/>
      </w:pPr>
      <w:r w:rsidRPr="00FA0D37">
        <w:t xml:space="preserve">MeasResult2EUTRA-r16 ::=             </w:t>
      </w:r>
      <w:r w:rsidRPr="00FA0D37">
        <w:rPr>
          <w:color w:val="993366"/>
        </w:rPr>
        <w:t>SEQUENCE</w:t>
      </w:r>
      <w:r w:rsidRPr="00FA0D37">
        <w:t xml:space="preserve"> {</w:t>
      </w:r>
    </w:p>
    <w:p w14:paraId="5FCD17D2" w14:textId="77777777" w:rsidR="00394471" w:rsidRPr="00FA0D37" w:rsidRDefault="00394471" w:rsidP="00FA0D37">
      <w:pPr>
        <w:pStyle w:val="PL"/>
      </w:pPr>
      <w:r w:rsidRPr="00FA0D37">
        <w:t xml:space="preserve">    carrierFreq-r16                      ARFCN-ValueEUTRA,</w:t>
      </w:r>
    </w:p>
    <w:p w14:paraId="5A17B897" w14:textId="77777777" w:rsidR="00394471" w:rsidRPr="00FA0D37" w:rsidRDefault="00394471" w:rsidP="00FA0D37">
      <w:pPr>
        <w:pStyle w:val="PL"/>
      </w:pPr>
      <w:r w:rsidRPr="00FA0D37">
        <w:t xml:space="preserve">    measResultList-r16                   MeasResultListEUTRA</w:t>
      </w:r>
    </w:p>
    <w:p w14:paraId="5B1168DF" w14:textId="77777777" w:rsidR="00394471" w:rsidRPr="00FA0D37" w:rsidRDefault="00394471" w:rsidP="00FA0D37">
      <w:pPr>
        <w:pStyle w:val="PL"/>
      </w:pPr>
      <w:r w:rsidRPr="00FA0D37">
        <w:t>}</w:t>
      </w:r>
    </w:p>
    <w:p w14:paraId="45F1220E" w14:textId="77777777" w:rsidR="00394471" w:rsidRPr="00FA0D37" w:rsidRDefault="00394471" w:rsidP="00FA0D37">
      <w:pPr>
        <w:pStyle w:val="PL"/>
      </w:pPr>
    </w:p>
    <w:p w14:paraId="4EB45444" w14:textId="77777777" w:rsidR="00394471" w:rsidRPr="00FA0D37" w:rsidRDefault="00394471" w:rsidP="00FA0D37">
      <w:pPr>
        <w:pStyle w:val="PL"/>
      </w:pPr>
      <w:r w:rsidRPr="00FA0D37">
        <w:t xml:space="preserve">MeasResultRLFNR-r16 ::=              </w:t>
      </w:r>
      <w:r w:rsidRPr="00FA0D37">
        <w:rPr>
          <w:color w:val="993366"/>
        </w:rPr>
        <w:t>SEQUENCE</w:t>
      </w:r>
      <w:r w:rsidRPr="00FA0D37">
        <w:t xml:space="preserve"> {</w:t>
      </w:r>
    </w:p>
    <w:p w14:paraId="7711A518" w14:textId="77777777" w:rsidR="00394471" w:rsidRPr="00FA0D37" w:rsidRDefault="00394471" w:rsidP="00FA0D37">
      <w:pPr>
        <w:pStyle w:val="PL"/>
      </w:pPr>
      <w:r w:rsidRPr="00FA0D37">
        <w:t xml:space="preserve">    measResult-r16                       </w:t>
      </w:r>
      <w:r w:rsidRPr="00FA0D37">
        <w:rPr>
          <w:color w:val="993366"/>
        </w:rPr>
        <w:t>SEQUENCE</w:t>
      </w:r>
      <w:r w:rsidRPr="00FA0D37">
        <w:t xml:space="preserve"> {</w:t>
      </w:r>
    </w:p>
    <w:p w14:paraId="7AF7753D" w14:textId="77777777" w:rsidR="00394471" w:rsidRPr="00FA0D37" w:rsidRDefault="00394471" w:rsidP="00FA0D37">
      <w:pPr>
        <w:pStyle w:val="PL"/>
      </w:pPr>
      <w:r w:rsidRPr="00FA0D37">
        <w:t xml:space="preserve">        cellResults-r16                      </w:t>
      </w:r>
      <w:r w:rsidRPr="00FA0D37">
        <w:rPr>
          <w:color w:val="993366"/>
        </w:rPr>
        <w:t>SEQUENCE</w:t>
      </w:r>
      <w:r w:rsidRPr="00FA0D37">
        <w:t>{</w:t>
      </w:r>
    </w:p>
    <w:p w14:paraId="0259982E" w14:textId="77777777" w:rsidR="00394471" w:rsidRPr="00FA0D37" w:rsidRDefault="00394471" w:rsidP="00FA0D37">
      <w:pPr>
        <w:pStyle w:val="PL"/>
      </w:pPr>
      <w:r w:rsidRPr="00FA0D37">
        <w:t xml:space="preserve">            resultsSSB-Cell-r16                  MeasQuantityResults                             </w:t>
      </w:r>
      <w:r w:rsidRPr="00FA0D37">
        <w:rPr>
          <w:color w:val="993366"/>
        </w:rPr>
        <w:t>OPTIONAL</w:t>
      </w:r>
      <w:r w:rsidRPr="00FA0D37">
        <w:t>,</w:t>
      </w:r>
    </w:p>
    <w:p w14:paraId="422FC94B" w14:textId="77777777" w:rsidR="00394471" w:rsidRPr="00FA0D37" w:rsidRDefault="00394471" w:rsidP="00FA0D37">
      <w:pPr>
        <w:pStyle w:val="PL"/>
      </w:pPr>
      <w:r w:rsidRPr="00FA0D37">
        <w:t xml:space="preserve">            resultsCSI-RS-Cell-r16               MeasQuantityResults                             </w:t>
      </w:r>
      <w:r w:rsidRPr="00FA0D37">
        <w:rPr>
          <w:color w:val="993366"/>
        </w:rPr>
        <w:t>OPTIONAL</w:t>
      </w:r>
    </w:p>
    <w:p w14:paraId="3E4A1F03" w14:textId="77777777" w:rsidR="00394471" w:rsidRPr="00FA0D37" w:rsidRDefault="00394471" w:rsidP="00FA0D37">
      <w:pPr>
        <w:pStyle w:val="PL"/>
      </w:pPr>
      <w:r w:rsidRPr="00FA0D37">
        <w:t xml:space="preserve">        },</w:t>
      </w:r>
    </w:p>
    <w:p w14:paraId="3C947BA0" w14:textId="77777777" w:rsidR="00394471" w:rsidRPr="00FA0D37" w:rsidRDefault="00394471" w:rsidP="00FA0D37">
      <w:pPr>
        <w:pStyle w:val="PL"/>
      </w:pPr>
      <w:r w:rsidRPr="00FA0D37">
        <w:t xml:space="preserve">        rsIndexResults-r16                   </w:t>
      </w:r>
      <w:r w:rsidRPr="00FA0D37">
        <w:rPr>
          <w:color w:val="993366"/>
        </w:rPr>
        <w:t>SEQUENCE</w:t>
      </w:r>
      <w:r w:rsidRPr="00FA0D37">
        <w:t>{</w:t>
      </w:r>
    </w:p>
    <w:p w14:paraId="2757722F" w14:textId="77777777" w:rsidR="00394471" w:rsidRPr="00FA0D37" w:rsidRDefault="00394471" w:rsidP="00FA0D37">
      <w:pPr>
        <w:pStyle w:val="PL"/>
      </w:pPr>
      <w:r w:rsidRPr="00FA0D37">
        <w:t xml:space="preserve">            resultsSSB-Indexes-r16               ResultsPerSSB-IndexList                         </w:t>
      </w:r>
      <w:r w:rsidRPr="00FA0D37">
        <w:rPr>
          <w:color w:val="993366"/>
        </w:rPr>
        <w:t>OPTIONAL</w:t>
      </w:r>
      <w:r w:rsidRPr="00FA0D37">
        <w:t>,</w:t>
      </w:r>
    </w:p>
    <w:p w14:paraId="60C42C5F" w14:textId="77777777" w:rsidR="00394471" w:rsidRPr="00FA0D37" w:rsidRDefault="00394471" w:rsidP="00FA0D37">
      <w:pPr>
        <w:pStyle w:val="PL"/>
      </w:pPr>
      <w:r w:rsidRPr="00FA0D37">
        <w:t xml:space="preserve">            ssbRLMConfigBitmap-r16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                          </w:t>
      </w:r>
      <w:r w:rsidRPr="00FA0D37">
        <w:rPr>
          <w:color w:val="993366"/>
        </w:rPr>
        <w:t>OPTIONAL</w:t>
      </w:r>
      <w:r w:rsidRPr="00FA0D37">
        <w:t>,</w:t>
      </w:r>
    </w:p>
    <w:p w14:paraId="60E7144C" w14:textId="77777777" w:rsidR="00394471" w:rsidRPr="00FA0D37" w:rsidRDefault="00394471" w:rsidP="00FA0D37">
      <w:pPr>
        <w:pStyle w:val="PL"/>
      </w:pPr>
      <w:r w:rsidRPr="00FA0D37">
        <w:t xml:space="preserve">            resultsCSI-RS-Indexes-r16            ResultsPerCSI-RS-IndexList                      </w:t>
      </w:r>
      <w:r w:rsidRPr="00FA0D37">
        <w:rPr>
          <w:color w:val="993366"/>
        </w:rPr>
        <w:t>OPTIONAL</w:t>
      </w:r>
      <w:r w:rsidRPr="00FA0D37">
        <w:t>,</w:t>
      </w:r>
    </w:p>
    <w:p w14:paraId="1C029502" w14:textId="77777777" w:rsidR="00394471" w:rsidRPr="00FA0D37" w:rsidRDefault="00394471" w:rsidP="00FA0D37">
      <w:pPr>
        <w:pStyle w:val="PL"/>
      </w:pPr>
      <w:r w:rsidRPr="00FA0D37">
        <w:t xml:space="preserve">            csi-rsRLMConfigBitmap-r16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(96))                          </w:t>
      </w:r>
      <w:r w:rsidRPr="00FA0D37">
        <w:rPr>
          <w:color w:val="993366"/>
        </w:rPr>
        <w:t>OPTIONAL</w:t>
      </w:r>
    </w:p>
    <w:p w14:paraId="2A1B28B2" w14:textId="77777777" w:rsidR="00394471" w:rsidRPr="00FA0D37" w:rsidRDefault="00394471" w:rsidP="00FA0D37">
      <w:pPr>
        <w:pStyle w:val="PL"/>
      </w:pPr>
      <w:r w:rsidRPr="00FA0D37">
        <w:lastRenderedPageBreak/>
        <w:t xml:space="preserve">        }                                                                                    </w:t>
      </w:r>
      <w:r w:rsidRPr="00FA0D37">
        <w:rPr>
          <w:color w:val="993366"/>
        </w:rPr>
        <w:t>OPTIONAL</w:t>
      </w:r>
    </w:p>
    <w:p w14:paraId="6EF50CA1" w14:textId="77777777" w:rsidR="00394471" w:rsidRPr="00FA0D37" w:rsidRDefault="00394471" w:rsidP="00FA0D37">
      <w:pPr>
        <w:pStyle w:val="PL"/>
      </w:pPr>
      <w:r w:rsidRPr="00FA0D37">
        <w:t xml:space="preserve">    }</w:t>
      </w:r>
    </w:p>
    <w:p w14:paraId="49F25FC5" w14:textId="77777777" w:rsidR="00394471" w:rsidRPr="00FA0D37" w:rsidRDefault="00394471" w:rsidP="00FA0D37">
      <w:pPr>
        <w:pStyle w:val="PL"/>
      </w:pPr>
      <w:r w:rsidRPr="00FA0D37">
        <w:t>}</w:t>
      </w:r>
    </w:p>
    <w:p w14:paraId="7250D5F7" w14:textId="22148495" w:rsidR="00394471" w:rsidRPr="00FA0D37" w:rsidRDefault="00394471" w:rsidP="00FA0D37">
      <w:pPr>
        <w:pStyle w:val="PL"/>
      </w:pPr>
    </w:p>
    <w:p w14:paraId="12C1CBCC" w14:textId="6A782B81" w:rsidR="00E84B6D" w:rsidRPr="00FA0D37" w:rsidRDefault="00E84B6D" w:rsidP="00FA0D37">
      <w:pPr>
        <w:pStyle w:val="PL"/>
      </w:pPr>
      <w:r w:rsidRPr="00FA0D37">
        <w:t xml:space="preserve">MeasResultSuccessHONR-r17::=         </w:t>
      </w:r>
      <w:r w:rsidRPr="00FA0D37">
        <w:rPr>
          <w:color w:val="993366"/>
        </w:rPr>
        <w:t>SEQUENCE</w:t>
      </w:r>
      <w:r w:rsidRPr="00FA0D37">
        <w:t xml:space="preserve"> {</w:t>
      </w:r>
    </w:p>
    <w:p w14:paraId="2FB4149F" w14:textId="77777777" w:rsidR="00E84B6D" w:rsidRPr="00FA0D37" w:rsidRDefault="00E84B6D" w:rsidP="00FA0D37">
      <w:pPr>
        <w:pStyle w:val="PL"/>
      </w:pPr>
      <w:r w:rsidRPr="00FA0D37">
        <w:t xml:space="preserve">    measResult-r17                       </w:t>
      </w:r>
      <w:r w:rsidRPr="00FA0D37">
        <w:rPr>
          <w:color w:val="993366"/>
        </w:rPr>
        <w:t>SEQUENCE</w:t>
      </w:r>
      <w:r w:rsidRPr="00FA0D37">
        <w:t xml:space="preserve"> {</w:t>
      </w:r>
    </w:p>
    <w:p w14:paraId="2A87E47D" w14:textId="77777777" w:rsidR="00E84B6D" w:rsidRPr="00FA0D37" w:rsidRDefault="00E84B6D" w:rsidP="00FA0D37">
      <w:pPr>
        <w:pStyle w:val="PL"/>
      </w:pPr>
      <w:r w:rsidRPr="00FA0D37">
        <w:t xml:space="preserve">        cellResults-r17                      </w:t>
      </w:r>
      <w:r w:rsidRPr="00FA0D37">
        <w:rPr>
          <w:color w:val="993366"/>
        </w:rPr>
        <w:t>SEQUENCE</w:t>
      </w:r>
      <w:r w:rsidRPr="00FA0D37">
        <w:t>{</w:t>
      </w:r>
    </w:p>
    <w:p w14:paraId="3A556940" w14:textId="77777777" w:rsidR="00E84B6D" w:rsidRPr="00FA0D37" w:rsidRDefault="00E84B6D" w:rsidP="00FA0D37">
      <w:pPr>
        <w:pStyle w:val="PL"/>
      </w:pPr>
      <w:r w:rsidRPr="00FA0D37">
        <w:t xml:space="preserve">            resultsSSB-Cell-r17                  MeasQuantityResults                             </w:t>
      </w:r>
      <w:r w:rsidRPr="00FA0D37">
        <w:rPr>
          <w:color w:val="993366"/>
        </w:rPr>
        <w:t>OPTIONAL</w:t>
      </w:r>
      <w:r w:rsidRPr="00FA0D37">
        <w:t>,</w:t>
      </w:r>
    </w:p>
    <w:p w14:paraId="79B38DEB" w14:textId="77777777" w:rsidR="00E84B6D" w:rsidRPr="00FA0D37" w:rsidRDefault="00E84B6D" w:rsidP="00FA0D37">
      <w:pPr>
        <w:pStyle w:val="PL"/>
      </w:pPr>
      <w:r w:rsidRPr="00FA0D37">
        <w:t xml:space="preserve">            resultsCSI-RS-Cell-r17               MeasQuantityResults                             </w:t>
      </w:r>
      <w:r w:rsidRPr="00FA0D37">
        <w:rPr>
          <w:color w:val="993366"/>
        </w:rPr>
        <w:t>OPTIONAL</w:t>
      </w:r>
    </w:p>
    <w:p w14:paraId="7858701F" w14:textId="77777777" w:rsidR="00E84B6D" w:rsidRPr="00FA0D37" w:rsidRDefault="00E84B6D" w:rsidP="00FA0D37">
      <w:pPr>
        <w:pStyle w:val="PL"/>
      </w:pPr>
      <w:r w:rsidRPr="00FA0D37">
        <w:t xml:space="preserve">        },</w:t>
      </w:r>
    </w:p>
    <w:p w14:paraId="73D249EC" w14:textId="77777777" w:rsidR="00E84B6D" w:rsidRPr="00FA0D37" w:rsidRDefault="00E84B6D" w:rsidP="00FA0D37">
      <w:pPr>
        <w:pStyle w:val="PL"/>
      </w:pPr>
      <w:r w:rsidRPr="00FA0D37">
        <w:t xml:space="preserve">        rsIndexResults-r17                   </w:t>
      </w:r>
      <w:r w:rsidRPr="00FA0D37">
        <w:rPr>
          <w:color w:val="993366"/>
        </w:rPr>
        <w:t>SEQUENCE</w:t>
      </w:r>
      <w:r w:rsidRPr="00FA0D37">
        <w:t>{</w:t>
      </w:r>
    </w:p>
    <w:p w14:paraId="656ADBE4" w14:textId="77777777" w:rsidR="00E84B6D" w:rsidRPr="00FA0D37" w:rsidRDefault="00E84B6D" w:rsidP="00FA0D37">
      <w:pPr>
        <w:pStyle w:val="PL"/>
      </w:pPr>
      <w:r w:rsidRPr="00FA0D37">
        <w:t xml:space="preserve">            resultsSSB-Indexes-r17               ResultsPerSSB-IndexList                         </w:t>
      </w:r>
      <w:r w:rsidRPr="00FA0D37">
        <w:rPr>
          <w:color w:val="993366"/>
        </w:rPr>
        <w:t>OPTIONAL</w:t>
      </w:r>
      <w:r w:rsidRPr="00FA0D37">
        <w:t>,</w:t>
      </w:r>
    </w:p>
    <w:p w14:paraId="4F82AF17" w14:textId="77777777" w:rsidR="00E84B6D" w:rsidRPr="00FA0D37" w:rsidRDefault="00E84B6D" w:rsidP="00FA0D37">
      <w:pPr>
        <w:pStyle w:val="PL"/>
      </w:pPr>
      <w:r w:rsidRPr="00FA0D37">
        <w:t xml:space="preserve">            resultsCSI-RS-Indexes-r17            ResultsPerCSI-RS-IndexList                      </w:t>
      </w:r>
      <w:r w:rsidRPr="00FA0D37">
        <w:rPr>
          <w:color w:val="993366"/>
        </w:rPr>
        <w:t>OPTIONAL</w:t>
      </w:r>
    </w:p>
    <w:p w14:paraId="6383E975" w14:textId="77777777" w:rsidR="00E84B6D" w:rsidRPr="00FA0D37" w:rsidRDefault="00E84B6D" w:rsidP="00FA0D37">
      <w:pPr>
        <w:pStyle w:val="PL"/>
      </w:pPr>
      <w:r w:rsidRPr="00FA0D37">
        <w:t xml:space="preserve">        }</w:t>
      </w:r>
    </w:p>
    <w:p w14:paraId="56A0211E" w14:textId="77777777" w:rsidR="00E84B6D" w:rsidRPr="00FA0D37" w:rsidRDefault="00E84B6D" w:rsidP="00FA0D37">
      <w:pPr>
        <w:pStyle w:val="PL"/>
      </w:pPr>
      <w:r w:rsidRPr="00FA0D37">
        <w:t xml:space="preserve">    }</w:t>
      </w:r>
    </w:p>
    <w:p w14:paraId="58236027" w14:textId="77777777" w:rsidR="00E84B6D" w:rsidRPr="00FA0D37" w:rsidRDefault="00E84B6D" w:rsidP="00FA0D37">
      <w:pPr>
        <w:pStyle w:val="PL"/>
      </w:pPr>
      <w:r w:rsidRPr="00FA0D37">
        <w:t>}</w:t>
      </w:r>
    </w:p>
    <w:p w14:paraId="291DE612" w14:textId="77777777" w:rsidR="00E84B6D" w:rsidRPr="00FA0D37" w:rsidRDefault="00E84B6D" w:rsidP="00FA0D37">
      <w:pPr>
        <w:pStyle w:val="PL"/>
      </w:pPr>
    </w:p>
    <w:p w14:paraId="7B101C79" w14:textId="4CC84BB4" w:rsidR="00E84B6D" w:rsidRPr="00FA0D37" w:rsidRDefault="00E84B6D" w:rsidP="00FA0D37">
      <w:pPr>
        <w:pStyle w:val="PL"/>
      </w:pPr>
      <w:r w:rsidRPr="00FA0D37">
        <w:t xml:space="preserve">ChoCandidateCellList-r17 </w:t>
      </w:r>
      <w:r w:rsidR="00FB193E" w:rsidRPr="00FA0D37">
        <w:t>::=</w:t>
      </w:r>
      <w:r w:rsidRPr="00FA0D37">
        <w:t xml:space="preserve">         </w:t>
      </w:r>
      <w:r w:rsidRPr="00FA0D37">
        <w:rPr>
          <w:color w:val="993366"/>
        </w:rPr>
        <w:t>SEQUENCE</w:t>
      </w:r>
      <w:r w:rsidRPr="00FA0D37">
        <w:t>(</w:t>
      </w:r>
      <w:r w:rsidRPr="00FA0D37">
        <w:rPr>
          <w:color w:val="993366"/>
        </w:rPr>
        <w:t>SIZE</w:t>
      </w:r>
      <w:r w:rsidRPr="00FA0D37">
        <w:t xml:space="preserve"> (1..maxNrofCondCells-r16)</w:t>
      </w:r>
      <w:r w:rsidR="00FB193E" w:rsidRPr="00FA0D37">
        <w:t>)</w:t>
      </w:r>
      <w:r w:rsidRPr="00FA0D37">
        <w:rPr>
          <w:color w:val="993366"/>
        </w:rPr>
        <w:t xml:space="preserve"> </w:t>
      </w:r>
      <w:r w:rsidR="00FB193E" w:rsidRPr="00FA0D37">
        <w:rPr>
          <w:color w:val="993366"/>
        </w:rPr>
        <w:t>OF</w:t>
      </w:r>
      <w:r w:rsidRPr="00FA0D37">
        <w:t xml:space="preserve"> ChoCandidate</w:t>
      </w:r>
      <w:r w:rsidR="004B0FA9" w:rsidRPr="00FA0D37">
        <w:t>Cell</w:t>
      </w:r>
      <w:r w:rsidRPr="00FA0D37">
        <w:t>-r17</w:t>
      </w:r>
    </w:p>
    <w:p w14:paraId="3421494A" w14:textId="77777777" w:rsidR="00E84B6D" w:rsidRPr="00FA0D37" w:rsidRDefault="00E84B6D" w:rsidP="00FA0D37">
      <w:pPr>
        <w:pStyle w:val="PL"/>
        <w:rPr>
          <w:rFonts w:eastAsia="等线"/>
        </w:rPr>
      </w:pPr>
    </w:p>
    <w:p w14:paraId="7C05751E" w14:textId="3DB8E427" w:rsidR="00E84B6D" w:rsidRPr="00FA0D37" w:rsidRDefault="00E84B6D" w:rsidP="00FA0D37">
      <w:pPr>
        <w:pStyle w:val="PL"/>
      </w:pPr>
      <w:r w:rsidRPr="00FA0D37">
        <w:rPr>
          <w:rFonts w:eastAsia="等线"/>
        </w:rPr>
        <w:t>ChoCandidate</w:t>
      </w:r>
      <w:r w:rsidR="004B0FA9" w:rsidRPr="00FA0D37">
        <w:rPr>
          <w:rFonts w:eastAsia="等线"/>
        </w:rPr>
        <w:t>Cell</w:t>
      </w:r>
      <w:r w:rsidRPr="00FA0D37">
        <w:rPr>
          <w:rFonts w:eastAsia="等线"/>
        </w:rPr>
        <w:t>-r17 ::=</w:t>
      </w:r>
      <w:r w:rsidRPr="00FA0D37">
        <w:t xml:space="preserve">             </w:t>
      </w:r>
      <w:r w:rsidRPr="00FA0D37">
        <w:rPr>
          <w:rFonts w:eastAsia="等线"/>
          <w:color w:val="993366"/>
        </w:rPr>
        <w:t>CHOICE</w:t>
      </w:r>
      <w:r w:rsidRPr="00FA0D37">
        <w:rPr>
          <w:rFonts w:eastAsia="等线"/>
        </w:rPr>
        <w:t xml:space="preserve"> {</w:t>
      </w:r>
    </w:p>
    <w:p w14:paraId="786B0CE9" w14:textId="4E3AFD84" w:rsidR="00E84B6D" w:rsidRPr="00FA0D37" w:rsidRDefault="00E84B6D" w:rsidP="00FA0D37">
      <w:pPr>
        <w:pStyle w:val="PL"/>
      </w:pPr>
      <w:r w:rsidRPr="00FA0D37">
        <w:t xml:space="preserve">    cellGlobalId-r17                     CGI-Info-Logging-r16,</w:t>
      </w:r>
    </w:p>
    <w:p w14:paraId="5F48C051" w14:textId="677CCFBA" w:rsidR="00E84B6D" w:rsidRPr="00FA0D37" w:rsidRDefault="00E84B6D" w:rsidP="00FA0D37">
      <w:pPr>
        <w:pStyle w:val="PL"/>
      </w:pPr>
      <w:r w:rsidRPr="00FA0D37">
        <w:t xml:space="preserve">    pci-arfcn-r17                        </w:t>
      </w:r>
      <w:r w:rsidR="000C6A30" w:rsidRPr="00FA0D37">
        <w:t>PCI-ARFCN-NR-r16</w:t>
      </w:r>
    </w:p>
    <w:p w14:paraId="0506D505" w14:textId="77777777" w:rsidR="00E84B6D" w:rsidRPr="00FA0D37" w:rsidRDefault="00E84B6D" w:rsidP="00FA0D37">
      <w:pPr>
        <w:pStyle w:val="PL"/>
      </w:pPr>
      <w:r w:rsidRPr="00FA0D37">
        <w:t>}</w:t>
      </w:r>
    </w:p>
    <w:p w14:paraId="7226E260" w14:textId="77777777" w:rsidR="00E84B6D" w:rsidRPr="00FA0D37" w:rsidRDefault="00E84B6D" w:rsidP="00FA0D37">
      <w:pPr>
        <w:pStyle w:val="PL"/>
      </w:pPr>
    </w:p>
    <w:p w14:paraId="58C77A9A" w14:textId="190ED58F" w:rsidR="00E84B6D" w:rsidRPr="00FA0D37" w:rsidRDefault="00E84B6D" w:rsidP="00FA0D37">
      <w:pPr>
        <w:pStyle w:val="PL"/>
      </w:pPr>
      <w:r w:rsidRPr="00FA0D37">
        <w:rPr>
          <w:rFonts w:eastAsia="等线"/>
        </w:rPr>
        <w:t>SHR-Cause-r17 ::=</w:t>
      </w:r>
      <w:r w:rsidRPr="00FA0D37">
        <w:t xml:space="preserve">                    </w:t>
      </w:r>
      <w:r w:rsidRPr="00FA0D37">
        <w:rPr>
          <w:rFonts w:eastAsia="等线"/>
          <w:color w:val="993366"/>
        </w:rPr>
        <w:t>SEQUENCE</w:t>
      </w:r>
      <w:r w:rsidRPr="00FA0D37">
        <w:rPr>
          <w:rFonts w:eastAsia="等线"/>
        </w:rPr>
        <w:t xml:space="preserve"> {</w:t>
      </w:r>
    </w:p>
    <w:p w14:paraId="77B75E5A" w14:textId="36929E67" w:rsidR="00E84B6D" w:rsidRPr="00FA0D37" w:rsidRDefault="00E84B6D" w:rsidP="00FA0D37">
      <w:pPr>
        <w:pStyle w:val="PL"/>
      </w:pPr>
      <w:r w:rsidRPr="00FA0D37">
        <w:t xml:space="preserve">    t304-cause</w:t>
      </w:r>
      <w:r w:rsidR="00015613" w:rsidRPr="00FA0D37">
        <w:t>-r17</w:t>
      </w:r>
      <w:r w:rsidRPr="00FA0D37">
        <w:t xml:space="preserve">                       </w:t>
      </w:r>
      <w:r w:rsidRPr="00FA0D37">
        <w:rPr>
          <w:color w:val="993366"/>
        </w:rPr>
        <w:t>ENUMERATED</w:t>
      </w:r>
      <w:r w:rsidRPr="00FA0D37">
        <w:t xml:space="preserve"> {true}                                       </w:t>
      </w:r>
      <w:r w:rsidRPr="00FA0D37">
        <w:rPr>
          <w:color w:val="993366"/>
        </w:rPr>
        <w:t>OPTIONAL</w:t>
      </w:r>
      <w:r w:rsidRPr="00FA0D37">
        <w:t>,</w:t>
      </w:r>
    </w:p>
    <w:p w14:paraId="50AB9EED" w14:textId="2187022F" w:rsidR="00E84B6D" w:rsidRPr="00FA0D37" w:rsidRDefault="00E84B6D" w:rsidP="00FA0D37">
      <w:pPr>
        <w:pStyle w:val="PL"/>
      </w:pPr>
      <w:r w:rsidRPr="00FA0D37">
        <w:t xml:space="preserve">    t310-cause</w:t>
      </w:r>
      <w:r w:rsidR="00015613" w:rsidRPr="00FA0D37">
        <w:t>-r17</w:t>
      </w:r>
      <w:r w:rsidRPr="00FA0D37">
        <w:t xml:space="preserve">                       </w:t>
      </w:r>
      <w:r w:rsidRPr="00FA0D37">
        <w:rPr>
          <w:color w:val="993366"/>
        </w:rPr>
        <w:t>ENUMERATED</w:t>
      </w:r>
      <w:r w:rsidRPr="00FA0D37">
        <w:t xml:space="preserve"> {true}                                       </w:t>
      </w:r>
      <w:r w:rsidRPr="00FA0D37">
        <w:rPr>
          <w:color w:val="993366"/>
        </w:rPr>
        <w:t>OPTIONAL</w:t>
      </w:r>
      <w:r w:rsidRPr="00FA0D37">
        <w:t>,</w:t>
      </w:r>
    </w:p>
    <w:p w14:paraId="62FCCA3B" w14:textId="7E540207" w:rsidR="00E84B6D" w:rsidRPr="00FA0D37" w:rsidRDefault="00E84B6D" w:rsidP="00FA0D37">
      <w:pPr>
        <w:pStyle w:val="PL"/>
      </w:pPr>
      <w:r w:rsidRPr="00FA0D37">
        <w:t xml:space="preserve">    t312-cause</w:t>
      </w:r>
      <w:r w:rsidR="00015613" w:rsidRPr="00FA0D37">
        <w:t>-r17</w:t>
      </w:r>
      <w:r w:rsidRPr="00FA0D37">
        <w:t xml:space="preserve">                       </w:t>
      </w:r>
      <w:r w:rsidRPr="00FA0D37">
        <w:rPr>
          <w:color w:val="993366"/>
        </w:rPr>
        <w:t>ENUMERATED</w:t>
      </w:r>
      <w:r w:rsidRPr="00FA0D37">
        <w:t xml:space="preserve"> {true}                                       </w:t>
      </w:r>
      <w:r w:rsidRPr="00FA0D37">
        <w:rPr>
          <w:color w:val="993366"/>
        </w:rPr>
        <w:t>OPTIONAL</w:t>
      </w:r>
      <w:r w:rsidRPr="00FA0D37">
        <w:t>,</w:t>
      </w:r>
    </w:p>
    <w:p w14:paraId="16E71500" w14:textId="1F72B20D" w:rsidR="00E84B6D" w:rsidRPr="00FA0D37" w:rsidRDefault="00E84B6D" w:rsidP="00FA0D37">
      <w:pPr>
        <w:pStyle w:val="PL"/>
      </w:pPr>
      <w:r w:rsidRPr="00FA0D37">
        <w:t xml:space="preserve">    sourceDAPS</w:t>
      </w:r>
      <w:r w:rsidR="00E46ADC" w:rsidRPr="00FA0D37">
        <w:t>-</w:t>
      </w:r>
      <w:r w:rsidRPr="00FA0D37">
        <w:t>Failure</w:t>
      </w:r>
      <w:r w:rsidR="00015613" w:rsidRPr="00FA0D37">
        <w:t>-r17</w:t>
      </w:r>
      <w:r w:rsidRPr="00FA0D37">
        <w:t xml:space="preserve">               </w:t>
      </w:r>
      <w:r w:rsidRPr="00FA0D37">
        <w:rPr>
          <w:color w:val="993366"/>
        </w:rPr>
        <w:t>ENUMERATED</w:t>
      </w:r>
      <w:r w:rsidRPr="00FA0D37">
        <w:t xml:space="preserve"> {true}                                       </w:t>
      </w:r>
      <w:r w:rsidRPr="00FA0D37">
        <w:rPr>
          <w:color w:val="993366"/>
        </w:rPr>
        <w:t>OPTIONAL</w:t>
      </w:r>
      <w:r w:rsidRPr="00FA0D37">
        <w:t>,</w:t>
      </w:r>
    </w:p>
    <w:p w14:paraId="3A1D5321" w14:textId="77777777" w:rsidR="00E84B6D" w:rsidRPr="00FA0D37" w:rsidRDefault="00E84B6D" w:rsidP="00FA0D37">
      <w:pPr>
        <w:pStyle w:val="PL"/>
      </w:pPr>
      <w:r w:rsidRPr="00FA0D37">
        <w:t xml:space="preserve">    ...</w:t>
      </w:r>
    </w:p>
    <w:p w14:paraId="120AE053" w14:textId="77777777" w:rsidR="00E84B6D" w:rsidRPr="00FA0D37" w:rsidRDefault="00E84B6D" w:rsidP="00FA0D37">
      <w:pPr>
        <w:pStyle w:val="PL"/>
      </w:pPr>
      <w:r w:rsidRPr="00FA0D37">
        <w:t>}</w:t>
      </w:r>
    </w:p>
    <w:p w14:paraId="082F0174" w14:textId="77777777" w:rsidR="00E84B6D" w:rsidRPr="00FA0D37" w:rsidRDefault="00E84B6D" w:rsidP="00FA0D37">
      <w:pPr>
        <w:pStyle w:val="PL"/>
      </w:pPr>
    </w:p>
    <w:p w14:paraId="222D56EC" w14:textId="77777777" w:rsidR="00394471" w:rsidRPr="00FA0D37" w:rsidRDefault="00394471" w:rsidP="00FA0D37">
      <w:pPr>
        <w:pStyle w:val="PL"/>
      </w:pPr>
      <w:r w:rsidRPr="00FA0D37">
        <w:t xml:space="preserve">TimeSinceFailure-r16 ::= </w:t>
      </w:r>
      <w:r w:rsidRPr="00FA0D37">
        <w:rPr>
          <w:color w:val="993366"/>
        </w:rPr>
        <w:t>INTEGER</w:t>
      </w:r>
      <w:r w:rsidRPr="00FA0D37">
        <w:t xml:space="preserve"> (0..172800)</w:t>
      </w:r>
    </w:p>
    <w:p w14:paraId="406C6EAE" w14:textId="77777777" w:rsidR="00394471" w:rsidRPr="00FA0D37" w:rsidRDefault="00394471" w:rsidP="00FA0D37">
      <w:pPr>
        <w:pStyle w:val="PL"/>
        <w:rPr>
          <w:rFonts w:eastAsia="等线"/>
        </w:rPr>
      </w:pPr>
    </w:p>
    <w:p w14:paraId="1ADEE5FA" w14:textId="77777777" w:rsidR="00394471" w:rsidRPr="00FA0D37" w:rsidRDefault="00394471" w:rsidP="00FA0D37">
      <w:pPr>
        <w:pStyle w:val="PL"/>
        <w:rPr>
          <w:rFonts w:eastAsia="等线"/>
        </w:rPr>
      </w:pPr>
      <w:r w:rsidRPr="00FA0D37">
        <w:t>MobilityHistoryReport-r16 ::= VisitedCellInfoList-r16</w:t>
      </w:r>
    </w:p>
    <w:p w14:paraId="74295659" w14:textId="77777777" w:rsidR="00394471" w:rsidRPr="00FA0D37" w:rsidRDefault="00394471" w:rsidP="00FA0D37">
      <w:pPr>
        <w:pStyle w:val="PL"/>
      </w:pPr>
    </w:p>
    <w:p w14:paraId="70E28CD0" w14:textId="04E2F842" w:rsidR="00394471" w:rsidRPr="00FA0D37" w:rsidRDefault="00394471" w:rsidP="00FA0D37">
      <w:pPr>
        <w:pStyle w:val="PL"/>
      </w:pPr>
      <w:r w:rsidRPr="00FA0D37">
        <w:t>TimeUntilReconnection-</w:t>
      </w:r>
      <w:r w:rsidR="00835C66" w:rsidRPr="00FA0D37">
        <w:t>r</w:t>
      </w:r>
      <w:r w:rsidRPr="00FA0D37">
        <w:t xml:space="preserve">16 ::= </w:t>
      </w:r>
      <w:r w:rsidRPr="00FA0D37">
        <w:rPr>
          <w:color w:val="993366"/>
        </w:rPr>
        <w:t>INTEGER</w:t>
      </w:r>
      <w:r w:rsidRPr="00FA0D37">
        <w:t xml:space="preserve"> (0..172800)</w:t>
      </w:r>
    </w:p>
    <w:p w14:paraId="3E410AC3" w14:textId="66B8A220" w:rsidR="00394471" w:rsidRPr="00FA0D37" w:rsidRDefault="00394471" w:rsidP="00FA0D37">
      <w:pPr>
        <w:pStyle w:val="PL"/>
      </w:pPr>
    </w:p>
    <w:p w14:paraId="1ED4B115" w14:textId="7A1CEA24" w:rsidR="00E84B6D" w:rsidRPr="00FA0D37" w:rsidRDefault="00E84B6D" w:rsidP="00FA0D37">
      <w:pPr>
        <w:pStyle w:val="PL"/>
      </w:pPr>
      <w:r w:rsidRPr="00FA0D37">
        <w:t>TimeSinceCHO</w:t>
      </w:r>
      <w:r w:rsidR="00015613" w:rsidRPr="00FA0D37">
        <w:t>-</w:t>
      </w:r>
      <w:r w:rsidRPr="00FA0D37">
        <w:t xml:space="preserve">Reconfig-r17 ::= </w:t>
      </w:r>
      <w:r w:rsidRPr="00FA0D37">
        <w:rPr>
          <w:color w:val="993366"/>
        </w:rPr>
        <w:t>INTEGER</w:t>
      </w:r>
      <w:r w:rsidRPr="00FA0D37">
        <w:t xml:space="preserve"> (0..1023)</w:t>
      </w:r>
    </w:p>
    <w:p w14:paraId="609A3996" w14:textId="77777777" w:rsidR="00E84B6D" w:rsidRPr="00FA0D37" w:rsidRDefault="00E84B6D" w:rsidP="00FA0D37">
      <w:pPr>
        <w:pStyle w:val="PL"/>
      </w:pPr>
    </w:p>
    <w:p w14:paraId="17A009DC" w14:textId="00484ABC" w:rsidR="00E84B6D" w:rsidRPr="00FA0D37" w:rsidRDefault="00E84B6D" w:rsidP="00FA0D37">
      <w:pPr>
        <w:pStyle w:val="PL"/>
      </w:pPr>
      <w:r w:rsidRPr="00FA0D37">
        <w:t>TimeConnSourceDAPS</w:t>
      </w:r>
      <w:r w:rsidR="00015613" w:rsidRPr="00FA0D37">
        <w:t>-</w:t>
      </w:r>
      <w:r w:rsidRPr="00FA0D37">
        <w:t xml:space="preserve">Failure-r17 ::= </w:t>
      </w:r>
      <w:r w:rsidRPr="00FA0D37">
        <w:rPr>
          <w:color w:val="993366"/>
        </w:rPr>
        <w:t>INTEGER</w:t>
      </w:r>
      <w:r w:rsidRPr="00FA0D37">
        <w:t xml:space="preserve"> (0..1023)</w:t>
      </w:r>
    </w:p>
    <w:p w14:paraId="71A6F2A5" w14:textId="77777777" w:rsidR="00E84B6D" w:rsidRPr="00FA0D37" w:rsidRDefault="00E84B6D" w:rsidP="00FA0D37">
      <w:pPr>
        <w:pStyle w:val="PL"/>
      </w:pPr>
    </w:p>
    <w:p w14:paraId="2CB786D9" w14:textId="77777777" w:rsidR="00E84B6D" w:rsidRPr="00FA0D37" w:rsidRDefault="00E84B6D" w:rsidP="00FA0D37">
      <w:pPr>
        <w:pStyle w:val="PL"/>
      </w:pPr>
      <w:r w:rsidRPr="00FA0D37">
        <w:t xml:space="preserve">UPInterruptionTimeAtHO-r17 ::= </w:t>
      </w:r>
      <w:r w:rsidRPr="00FA0D37">
        <w:rPr>
          <w:color w:val="993366"/>
        </w:rPr>
        <w:t>INTEGER</w:t>
      </w:r>
      <w:r w:rsidRPr="00FA0D37">
        <w:t xml:space="preserve"> (0..1023)</w:t>
      </w:r>
    </w:p>
    <w:p w14:paraId="5430A454" w14:textId="77777777" w:rsidR="00E84B6D" w:rsidRPr="00FA0D37" w:rsidRDefault="00E84B6D" w:rsidP="00FA0D37">
      <w:pPr>
        <w:pStyle w:val="PL"/>
      </w:pPr>
    </w:p>
    <w:p w14:paraId="6046B6C6" w14:textId="77777777" w:rsidR="00394471" w:rsidRPr="00FA0D37" w:rsidRDefault="00394471" w:rsidP="00FA0D37">
      <w:pPr>
        <w:pStyle w:val="PL"/>
        <w:rPr>
          <w:color w:val="808080"/>
        </w:rPr>
      </w:pPr>
      <w:r w:rsidRPr="00FA0D37">
        <w:rPr>
          <w:color w:val="808080"/>
        </w:rPr>
        <w:t>-- TAG-UEINFORMATIONRESPONSE-STOP</w:t>
      </w:r>
    </w:p>
    <w:p w14:paraId="13DEC544" w14:textId="77777777" w:rsidR="00394471" w:rsidRPr="00FA0D37" w:rsidRDefault="00394471" w:rsidP="00FA0D37">
      <w:pPr>
        <w:pStyle w:val="PL"/>
        <w:rPr>
          <w:color w:val="808080"/>
        </w:rPr>
      </w:pPr>
      <w:r w:rsidRPr="00FA0D37">
        <w:rPr>
          <w:color w:val="808080"/>
        </w:rPr>
        <w:t>-- ASN1STOP</w:t>
      </w:r>
    </w:p>
    <w:p w14:paraId="6442746D" w14:textId="77777777" w:rsidR="00394471" w:rsidRPr="00FA0D37" w:rsidRDefault="00394471" w:rsidP="00394471">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3176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78AD" w14:textId="77777777" w:rsidR="00394471" w:rsidRPr="00FA0D37" w:rsidRDefault="00394471" w:rsidP="00964CC4">
            <w:pPr>
              <w:pStyle w:val="TAH"/>
              <w:rPr>
                <w:szCs w:val="22"/>
                <w:lang w:eastAsia="sv-SE"/>
              </w:rPr>
            </w:pPr>
            <w:r w:rsidRPr="00FA0D37">
              <w:rPr>
                <w:i/>
                <w:szCs w:val="22"/>
                <w:lang w:eastAsia="sv-SE"/>
              </w:rPr>
              <w:lastRenderedPageBreak/>
              <w:t xml:space="preserve">UEInformationResponse-IEs </w:t>
            </w:r>
            <w:r w:rsidRPr="00FA0D37">
              <w:rPr>
                <w:szCs w:val="22"/>
                <w:lang w:eastAsia="sv-SE"/>
              </w:rPr>
              <w:t>field descriptions</w:t>
            </w:r>
          </w:p>
        </w:tc>
      </w:tr>
      <w:tr w:rsidR="005C7FF4" w:rsidRPr="00FA0D37" w14:paraId="59330627" w14:textId="77777777" w:rsidTr="00964CC4">
        <w:tc>
          <w:tcPr>
            <w:tcW w:w="14173" w:type="dxa"/>
            <w:tcBorders>
              <w:top w:val="single" w:sz="4" w:space="0" w:color="auto"/>
              <w:left w:val="single" w:sz="4" w:space="0" w:color="auto"/>
              <w:bottom w:val="single" w:sz="4" w:space="0" w:color="auto"/>
              <w:right w:val="single" w:sz="4" w:space="0" w:color="auto"/>
            </w:tcBorders>
          </w:tcPr>
          <w:p w14:paraId="65117029" w14:textId="77777777" w:rsidR="00150266" w:rsidRPr="00FA0D37" w:rsidRDefault="00150266" w:rsidP="00F747EB">
            <w:pPr>
              <w:pStyle w:val="TAL"/>
              <w:rPr>
                <w:b/>
                <w:bCs/>
                <w:i/>
                <w:iCs/>
                <w:lang w:eastAsia="sv-SE"/>
              </w:rPr>
            </w:pPr>
            <w:r w:rsidRPr="00FA0D37">
              <w:rPr>
                <w:b/>
                <w:bCs/>
                <w:i/>
                <w:iCs/>
                <w:lang w:eastAsia="sv-SE"/>
              </w:rPr>
              <w:t>coarseLocationInfo</w:t>
            </w:r>
          </w:p>
          <w:p w14:paraId="6908BDA4" w14:textId="77777777" w:rsidR="00150266" w:rsidRPr="00FA0D37" w:rsidRDefault="00150266" w:rsidP="00F747EB">
            <w:pPr>
              <w:pStyle w:val="TAL"/>
              <w:rPr>
                <w:rFonts w:cs="Arial"/>
                <w:szCs w:val="18"/>
                <w:lang w:eastAsia="ko-KR"/>
              </w:rPr>
            </w:pPr>
            <w:r w:rsidRPr="00FA0D37">
              <w:rPr>
                <w:lang w:eastAsia="sv-SE"/>
              </w:rPr>
              <w:t xml:space="preserve">Parameter type Ellipsoid-Point defined in TS 37.355 [49]. The first/leftmost bit of the first octet contains the most significant bit. </w:t>
            </w:r>
            <w:r w:rsidRPr="00FA0D37">
              <w:rPr>
                <w:rFonts w:cs="Arial"/>
                <w:iCs/>
                <w:szCs w:val="18"/>
              </w:rPr>
              <w:t xml:space="preserve">The least significant bits of </w:t>
            </w:r>
            <w:r w:rsidRPr="00FA0D37">
              <w:rPr>
                <w:rFonts w:cs="Arial"/>
                <w:i/>
                <w:szCs w:val="18"/>
              </w:rPr>
              <w:t>degreesLatitude</w:t>
            </w:r>
            <w:r w:rsidRPr="00FA0D37">
              <w:rPr>
                <w:rFonts w:cs="Arial"/>
                <w:iCs/>
                <w:szCs w:val="18"/>
              </w:rPr>
              <w:t xml:space="preserve"> and </w:t>
            </w:r>
            <w:r w:rsidRPr="00FA0D37">
              <w:rPr>
                <w:rFonts w:cs="Arial"/>
                <w:i/>
                <w:szCs w:val="18"/>
              </w:rPr>
              <w:t>degreesLongitude</w:t>
            </w:r>
            <w:r w:rsidRPr="00FA0D37">
              <w:rPr>
                <w:rFonts w:cs="Arial"/>
                <w:iCs/>
                <w:szCs w:val="18"/>
              </w:rPr>
              <w:t xml:space="preserve"> are set to 0 to meet the accuracy requirement corresponds to a granularity of approximately 2 km</w:t>
            </w:r>
            <w:r w:rsidRPr="00FA0D37">
              <w:rPr>
                <w:rFonts w:cs="Arial"/>
                <w:szCs w:val="18"/>
                <w:lang w:eastAsia="ko-KR"/>
              </w:rPr>
              <w:t>.</w:t>
            </w:r>
          </w:p>
          <w:p w14:paraId="6E79FEDB" w14:textId="0F603A3C" w:rsidR="00150266" w:rsidRPr="00FA0D37" w:rsidRDefault="00150266" w:rsidP="00F747EB">
            <w:pPr>
              <w:pStyle w:val="TAL"/>
              <w:rPr>
                <w:lang w:eastAsia="sv-SE"/>
              </w:rPr>
            </w:pPr>
            <w:r w:rsidRPr="00FA0D37">
              <w:rPr>
                <w:rFonts w:cs="Arial"/>
                <w:iCs/>
                <w:szCs w:val="18"/>
              </w:rPr>
              <w:t>It is up to UE implementation how many LSBs are set to 0 to meet the accuracy requirement.</w:t>
            </w:r>
          </w:p>
        </w:tc>
      </w:tr>
      <w:tr w:rsidR="005C7FF4" w:rsidRPr="00FA0D37" w14:paraId="1A3D17C7" w14:textId="77777777" w:rsidTr="00964CC4">
        <w:tc>
          <w:tcPr>
            <w:tcW w:w="14173" w:type="dxa"/>
            <w:tcBorders>
              <w:top w:val="single" w:sz="4" w:space="0" w:color="auto"/>
              <w:left w:val="single" w:sz="4" w:space="0" w:color="auto"/>
              <w:bottom w:val="single" w:sz="4" w:space="0" w:color="auto"/>
              <w:right w:val="single" w:sz="4" w:space="0" w:color="auto"/>
            </w:tcBorders>
          </w:tcPr>
          <w:p w14:paraId="2CFDA70D" w14:textId="77777777" w:rsidR="004B0FA9" w:rsidRPr="00FA0D37" w:rsidRDefault="004B0FA9" w:rsidP="004B0FA9">
            <w:pPr>
              <w:pStyle w:val="TAL"/>
              <w:rPr>
                <w:b/>
                <w:i/>
                <w:lang w:eastAsia="sv-SE"/>
              </w:rPr>
            </w:pPr>
            <w:r w:rsidRPr="00FA0D37">
              <w:rPr>
                <w:b/>
                <w:i/>
                <w:lang w:eastAsia="sv-SE"/>
              </w:rPr>
              <w:t>connEstFailReport</w:t>
            </w:r>
          </w:p>
          <w:p w14:paraId="6A996824" w14:textId="19FE7BC3" w:rsidR="004B0FA9" w:rsidRPr="00FA0D37" w:rsidRDefault="004B0FA9" w:rsidP="004B0FA9">
            <w:pPr>
              <w:pStyle w:val="TAL"/>
              <w:rPr>
                <w:b/>
                <w:bCs/>
                <w:i/>
                <w:iCs/>
                <w:lang w:eastAsia="sv-SE"/>
              </w:rPr>
            </w:pPr>
            <w:r w:rsidRPr="00FA0D37">
              <w:rPr>
                <w:lang w:eastAsia="sv-SE"/>
              </w:rPr>
              <w:t>T</w:t>
            </w:r>
            <w:r w:rsidRPr="00FA0D37">
              <w:rPr>
                <w:lang w:eastAsia="en-GB"/>
              </w:rPr>
              <w:t>his fie</w:t>
            </w:r>
            <w:r w:rsidRPr="00FA0D37">
              <w:rPr>
                <w:lang w:eastAsia="sv-SE"/>
              </w:rPr>
              <w:t>l</w:t>
            </w:r>
            <w:r w:rsidRPr="00FA0D37">
              <w:rPr>
                <w:lang w:eastAsia="en-GB"/>
              </w:rPr>
              <w:t>d is used to provide connection establishment failure or connection resume failure information</w:t>
            </w:r>
            <w:r w:rsidRPr="00FA0D37">
              <w:rPr>
                <w:i/>
                <w:iCs/>
                <w:lang w:eastAsia="en-GB"/>
              </w:rPr>
              <w:t>.</w:t>
            </w:r>
          </w:p>
        </w:tc>
      </w:tr>
      <w:tr w:rsidR="005C7FF4" w:rsidRPr="00FA0D37" w14:paraId="7DB3249A" w14:textId="77777777" w:rsidTr="00964CC4">
        <w:tc>
          <w:tcPr>
            <w:tcW w:w="14173" w:type="dxa"/>
            <w:tcBorders>
              <w:top w:val="single" w:sz="4" w:space="0" w:color="auto"/>
              <w:left w:val="single" w:sz="4" w:space="0" w:color="auto"/>
              <w:bottom w:val="single" w:sz="4" w:space="0" w:color="auto"/>
              <w:right w:val="single" w:sz="4" w:space="0" w:color="auto"/>
            </w:tcBorders>
          </w:tcPr>
          <w:p w14:paraId="52DE99BE" w14:textId="77777777" w:rsidR="004B0FA9" w:rsidRPr="00FA0D37" w:rsidRDefault="004B0FA9" w:rsidP="004B0FA9">
            <w:pPr>
              <w:pStyle w:val="TAL"/>
              <w:rPr>
                <w:b/>
                <w:i/>
                <w:lang w:eastAsia="sv-SE"/>
              </w:rPr>
            </w:pPr>
            <w:r w:rsidRPr="00FA0D37">
              <w:rPr>
                <w:b/>
                <w:i/>
                <w:lang w:eastAsia="sv-SE"/>
              </w:rPr>
              <w:t>connEstFailReportList</w:t>
            </w:r>
          </w:p>
          <w:p w14:paraId="0B4F566C" w14:textId="40BCE6D0" w:rsidR="004B0FA9" w:rsidRPr="00FA0D37" w:rsidRDefault="004B0FA9" w:rsidP="004B0FA9">
            <w:pPr>
              <w:pStyle w:val="TAL"/>
              <w:rPr>
                <w:b/>
                <w:bCs/>
                <w:i/>
                <w:iCs/>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provide the list of </w:t>
            </w:r>
            <w:r w:rsidRPr="00FA0D37">
              <w:rPr>
                <w:i/>
                <w:iCs/>
                <w:lang w:eastAsia="en-GB"/>
              </w:rPr>
              <w:t>connEstFailReport</w:t>
            </w:r>
            <w:r w:rsidRPr="00FA0D37">
              <w:rPr>
                <w:lang w:eastAsia="en-GB"/>
              </w:rPr>
              <w:t xml:space="preserve"> that are stored by the UE for the past up to </w:t>
            </w:r>
            <w:r w:rsidRPr="00FA0D37">
              <w:rPr>
                <w:i/>
                <w:iCs/>
                <w:lang w:eastAsia="en-GB"/>
              </w:rPr>
              <w:t>maxCEFReport-r17.</w:t>
            </w:r>
          </w:p>
        </w:tc>
      </w:tr>
      <w:tr w:rsidR="005C7FF4" w:rsidRPr="00FA0D37" w14:paraId="7C359B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45378" w14:textId="77777777" w:rsidR="00394471" w:rsidRPr="00FA0D37" w:rsidRDefault="00394471" w:rsidP="00964CC4">
            <w:pPr>
              <w:pStyle w:val="TAL"/>
              <w:rPr>
                <w:b/>
                <w:i/>
                <w:lang w:eastAsia="sv-SE"/>
              </w:rPr>
            </w:pPr>
            <w:r w:rsidRPr="00FA0D37">
              <w:rPr>
                <w:b/>
                <w:i/>
                <w:lang w:eastAsia="sv-SE"/>
              </w:rPr>
              <w:t>logMeasReport</w:t>
            </w:r>
          </w:p>
          <w:p w14:paraId="02331191" w14:textId="77777777" w:rsidR="00394471" w:rsidRPr="00FA0D37" w:rsidRDefault="00394471" w:rsidP="00964CC4">
            <w:pPr>
              <w:pStyle w:val="TAL"/>
              <w:rPr>
                <w:szCs w:val="22"/>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provide the measurement results stored by the UE associated to logged MDT. </w:t>
            </w:r>
          </w:p>
        </w:tc>
      </w:tr>
      <w:tr w:rsidR="005C7FF4" w:rsidRPr="00FA0D37" w14:paraId="6D84C4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C5832" w14:textId="77777777" w:rsidR="00394471" w:rsidRPr="00FA0D37" w:rsidRDefault="00394471" w:rsidP="00964CC4">
            <w:pPr>
              <w:pStyle w:val="TAL"/>
              <w:rPr>
                <w:szCs w:val="22"/>
                <w:lang w:eastAsia="sv-SE"/>
              </w:rPr>
            </w:pPr>
            <w:r w:rsidRPr="00FA0D37">
              <w:rPr>
                <w:b/>
                <w:i/>
                <w:szCs w:val="22"/>
                <w:lang w:eastAsia="sv-SE"/>
              </w:rPr>
              <w:t>measResultIdleEUTRA</w:t>
            </w:r>
          </w:p>
          <w:p w14:paraId="1BF051F4" w14:textId="77777777" w:rsidR="00394471" w:rsidRPr="00FA0D37" w:rsidRDefault="00394471" w:rsidP="00964CC4">
            <w:pPr>
              <w:pStyle w:val="TAL"/>
              <w:rPr>
                <w:b/>
                <w:i/>
                <w:szCs w:val="22"/>
                <w:lang w:eastAsia="sv-SE"/>
              </w:rPr>
            </w:pPr>
            <w:r w:rsidRPr="00FA0D37">
              <w:rPr>
                <w:bCs/>
                <w:iCs/>
                <w:noProof/>
                <w:lang w:eastAsia="ko-KR"/>
              </w:rPr>
              <w:t>EUTRA measurement results performed during RRC_INACTIVE or RRC_IDLE.</w:t>
            </w:r>
          </w:p>
        </w:tc>
      </w:tr>
      <w:tr w:rsidR="005C7FF4" w:rsidRPr="00FA0D37" w14:paraId="64AEC5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9DBD2" w14:textId="77777777" w:rsidR="00394471" w:rsidRPr="00FA0D37" w:rsidRDefault="00394471" w:rsidP="00964CC4">
            <w:pPr>
              <w:pStyle w:val="TAL"/>
              <w:rPr>
                <w:szCs w:val="22"/>
                <w:lang w:eastAsia="sv-SE"/>
              </w:rPr>
            </w:pPr>
            <w:r w:rsidRPr="00FA0D37">
              <w:rPr>
                <w:b/>
                <w:i/>
                <w:szCs w:val="22"/>
                <w:lang w:eastAsia="sv-SE"/>
              </w:rPr>
              <w:t>measResultIdleNR</w:t>
            </w:r>
          </w:p>
          <w:p w14:paraId="72F2B8F7" w14:textId="77777777" w:rsidR="00394471" w:rsidRPr="00FA0D37" w:rsidRDefault="00394471" w:rsidP="00964CC4">
            <w:pPr>
              <w:pStyle w:val="TAL"/>
              <w:rPr>
                <w:b/>
                <w:i/>
                <w:szCs w:val="22"/>
                <w:lang w:eastAsia="sv-SE"/>
              </w:rPr>
            </w:pPr>
            <w:r w:rsidRPr="00FA0D37">
              <w:rPr>
                <w:bCs/>
                <w:iCs/>
                <w:noProof/>
                <w:lang w:eastAsia="ko-KR"/>
              </w:rPr>
              <w:t>NR measurement results performed during RRC_INACTIVE or RRC_IDLE.</w:t>
            </w:r>
          </w:p>
        </w:tc>
      </w:tr>
      <w:tr w:rsidR="005C7FF4" w:rsidRPr="00FA0D37" w14:paraId="799C47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EDF78A" w14:textId="5C339732" w:rsidR="00394471" w:rsidRPr="00FA0D37" w:rsidRDefault="00394471" w:rsidP="00964CC4">
            <w:pPr>
              <w:pStyle w:val="TAL"/>
              <w:rPr>
                <w:b/>
                <w:i/>
                <w:lang w:eastAsia="sv-SE"/>
              </w:rPr>
            </w:pPr>
            <w:r w:rsidRPr="00FA0D37">
              <w:rPr>
                <w:b/>
                <w:i/>
                <w:lang w:eastAsia="sv-SE"/>
              </w:rPr>
              <w:t>ra-Report</w:t>
            </w:r>
            <w:r w:rsidR="00835C66" w:rsidRPr="00FA0D37">
              <w:rPr>
                <w:b/>
                <w:i/>
                <w:lang w:eastAsia="sv-SE"/>
              </w:rPr>
              <w:t>List</w:t>
            </w:r>
          </w:p>
          <w:p w14:paraId="073E3C4F" w14:textId="226F70BA" w:rsidR="00394471" w:rsidRPr="00FA0D37" w:rsidRDefault="00394471" w:rsidP="00964CC4">
            <w:pPr>
              <w:pStyle w:val="TAL"/>
              <w:rPr>
                <w:szCs w:val="22"/>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provide the list of RA reports that is stored by the UE for the past upto </w:t>
            </w:r>
            <w:r w:rsidRPr="00FA0D37">
              <w:rPr>
                <w:rFonts w:eastAsia="等线"/>
                <w:i/>
                <w:lang w:eastAsia="sv-SE"/>
              </w:rPr>
              <w:t>maxRAReport-r16</w:t>
            </w:r>
            <w:r w:rsidRPr="00FA0D37">
              <w:rPr>
                <w:lang w:eastAsia="en-GB"/>
              </w:rPr>
              <w:t xml:space="preserve"> number of successful random access procedu</w:t>
            </w:r>
            <w:r w:rsidR="00835C66" w:rsidRPr="00FA0D37">
              <w:rPr>
                <w:lang w:eastAsia="en-GB"/>
              </w:rPr>
              <w:t>r</w:t>
            </w:r>
            <w:r w:rsidRPr="00FA0D37">
              <w:rPr>
                <w:lang w:eastAsia="en-GB"/>
              </w:rPr>
              <w:t>es</w:t>
            </w:r>
            <w:r w:rsidR="004B0FA9" w:rsidRPr="00FA0D37">
              <w:rPr>
                <w:lang w:eastAsia="en-GB"/>
              </w:rPr>
              <w:t>, or failed or successful completion of on-demand system information request procedure</w:t>
            </w:r>
            <w:r w:rsidRPr="00FA0D37">
              <w:rPr>
                <w:lang w:eastAsia="sv-SE"/>
              </w:rPr>
              <w:t>.</w:t>
            </w:r>
          </w:p>
        </w:tc>
      </w:tr>
      <w:tr w:rsidR="005C7FF4" w:rsidRPr="00FA0D37" w14:paraId="7CD04B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75271B" w14:textId="77777777" w:rsidR="00394471" w:rsidRPr="00FA0D37" w:rsidRDefault="00394471" w:rsidP="00964CC4">
            <w:pPr>
              <w:pStyle w:val="TAL"/>
              <w:rPr>
                <w:b/>
                <w:i/>
                <w:lang w:eastAsia="sv-SE"/>
              </w:rPr>
            </w:pPr>
            <w:r w:rsidRPr="00FA0D37">
              <w:rPr>
                <w:b/>
                <w:i/>
                <w:lang w:eastAsia="sv-SE"/>
              </w:rPr>
              <w:t>rlf-Report</w:t>
            </w:r>
          </w:p>
          <w:p w14:paraId="586A306B" w14:textId="77777777" w:rsidR="00394471" w:rsidRPr="00FA0D37" w:rsidRDefault="00394471" w:rsidP="00964CC4">
            <w:pPr>
              <w:pStyle w:val="TAL"/>
              <w:rPr>
                <w:szCs w:val="22"/>
                <w:lang w:eastAsia="sv-SE"/>
              </w:rPr>
            </w:pPr>
            <w:r w:rsidRPr="00FA0D37">
              <w:rPr>
                <w:lang w:eastAsia="sv-SE"/>
              </w:rPr>
              <w:t>T</w:t>
            </w:r>
            <w:r w:rsidRPr="00FA0D37">
              <w:rPr>
                <w:lang w:eastAsia="en-GB"/>
              </w:rPr>
              <w:t>his fie</w:t>
            </w:r>
            <w:r w:rsidRPr="00FA0D37">
              <w:rPr>
                <w:lang w:eastAsia="sv-SE"/>
              </w:rPr>
              <w:t>l</w:t>
            </w:r>
            <w:r w:rsidRPr="00FA0D37">
              <w:rPr>
                <w:lang w:eastAsia="en-GB"/>
              </w:rPr>
              <w:t>d is used to indicate the RLF report related contents</w:t>
            </w:r>
            <w:r w:rsidRPr="00FA0D37">
              <w:rPr>
                <w:lang w:eastAsia="sv-SE"/>
              </w:rPr>
              <w:t>.</w:t>
            </w:r>
          </w:p>
        </w:tc>
      </w:tr>
      <w:tr w:rsidR="00F747EB" w:rsidRPr="00FA0D37" w14:paraId="3AE1F4C3" w14:textId="77777777" w:rsidTr="004B0FA9">
        <w:tc>
          <w:tcPr>
            <w:tcW w:w="14173" w:type="dxa"/>
            <w:tcBorders>
              <w:top w:val="single" w:sz="4" w:space="0" w:color="auto"/>
              <w:left w:val="single" w:sz="4" w:space="0" w:color="auto"/>
              <w:bottom w:val="single" w:sz="4" w:space="0" w:color="auto"/>
              <w:right w:val="single" w:sz="4" w:space="0" w:color="auto"/>
            </w:tcBorders>
            <w:hideMark/>
          </w:tcPr>
          <w:p w14:paraId="0F2942EC" w14:textId="77777777" w:rsidR="004B0FA9" w:rsidRPr="00FA0D37" w:rsidRDefault="004B0FA9" w:rsidP="0071565C">
            <w:pPr>
              <w:pStyle w:val="TAL"/>
              <w:rPr>
                <w:b/>
                <w:i/>
                <w:lang w:eastAsia="sv-SE"/>
              </w:rPr>
            </w:pPr>
            <w:r w:rsidRPr="00FA0D37">
              <w:rPr>
                <w:b/>
                <w:i/>
                <w:lang w:eastAsia="sv-SE"/>
              </w:rPr>
              <w:t>successHO-Report</w:t>
            </w:r>
          </w:p>
          <w:p w14:paraId="3CF91686" w14:textId="77777777" w:rsidR="004B0FA9" w:rsidRPr="00FA0D37" w:rsidRDefault="004B0FA9" w:rsidP="0071565C">
            <w:pPr>
              <w:pStyle w:val="TAL"/>
              <w:rPr>
                <w:bCs/>
                <w:iCs/>
                <w:lang w:eastAsia="sv-SE"/>
              </w:rPr>
            </w:pPr>
            <w:r w:rsidRPr="00FA0D37">
              <w:rPr>
                <w:bCs/>
                <w:iCs/>
                <w:lang w:eastAsia="sv-SE"/>
              </w:rPr>
              <w:t>This field is used to provide the successful handover report if triggered based on the successful handover configuration.</w:t>
            </w:r>
          </w:p>
        </w:tc>
      </w:tr>
    </w:tbl>
    <w:p w14:paraId="5DE26EB8"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7115749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2BE7EDB" w14:textId="77777777" w:rsidR="00394471" w:rsidRPr="00FA0D37" w:rsidRDefault="00394471" w:rsidP="00964CC4">
            <w:pPr>
              <w:pStyle w:val="TAH"/>
              <w:rPr>
                <w:szCs w:val="22"/>
                <w:lang w:eastAsia="sv-SE"/>
              </w:rPr>
            </w:pPr>
            <w:r w:rsidRPr="00FA0D37">
              <w:rPr>
                <w:i/>
                <w:iCs/>
                <w:lang w:eastAsia="ko-KR"/>
              </w:rPr>
              <w:lastRenderedPageBreak/>
              <w:t>LogMeasReport</w:t>
            </w:r>
            <w:r w:rsidRPr="00FA0D37">
              <w:rPr>
                <w:iCs/>
                <w:lang w:eastAsia="en-GB"/>
              </w:rPr>
              <w:t xml:space="preserve"> field descriptions</w:t>
            </w:r>
          </w:p>
        </w:tc>
      </w:tr>
      <w:tr w:rsidR="005C7FF4" w:rsidRPr="00FA0D37" w14:paraId="19167B2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F27C22A" w14:textId="77777777" w:rsidR="00394471" w:rsidRPr="00FA0D37" w:rsidRDefault="00394471" w:rsidP="00964CC4">
            <w:pPr>
              <w:pStyle w:val="TAL"/>
              <w:rPr>
                <w:b/>
                <w:i/>
                <w:lang w:eastAsia="ko-KR"/>
              </w:rPr>
            </w:pPr>
            <w:r w:rsidRPr="00FA0D37">
              <w:rPr>
                <w:b/>
                <w:i/>
                <w:lang w:eastAsia="ko-KR"/>
              </w:rPr>
              <w:t>absoluteTimeStamp</w:t>
            </w:r>
          </w:p>
          <w:p w14:paraId="1350AD56" w14:textId="77777777" w:rsidR="00394471" w:rsidRPr="00FA0D37" w:rsidRDefault="00394471" w:rsidP="00964CC4">
            <w:pPr>
              <w:pStyle w:val="TAL"/>
              <w:rPr>
                <w:szCs w:val="22"/>
                <w:lang w:eastAsia="sv-SE"/>
              </w:rPr>
            </w:pPr>
            <w:r w:rsidRPr="00FA0D37">
              <w:rPr>
                <w:bCs/>
                <w:iCs/>
                <w:lang w:eastAsia="ko-KR"/>
              </w:rPr>
              <w:t>Indicates the absolute time when the logged measurement configuration logging is provided, as indicated by NR within</w:t>
            </w:r>
            <w:r w:rsidRPr="00FA0D37">
              <w:rPr>
                <w:bCs/>
                <w:i/>
                <w:lang w:eastAsia="ko-KR"/>
              </w:rPr>
              <w:t xml:space="preserve"> absoluteTimeInfo</w:t>
            </w:r>
            <w:r w:rsidRPr="00FA0D37">
              <w:rPr>
                <w:bCs/>
                <w:iCs/>
                <w:lang w:eastAsia="ko-KR"/>
              </w:rPr>
              <w:t>.</w:t>
            </w:r>
          </w:p>
        </w:tc>
      </w:tr>
      <w:tr w:rsidR="005C7FF4" w:rsidRPr="00FA0D37" w14:paraId="08291939" w14:textId="77777777" w:rsidTr="00964CC4">
        <w:tc>
          <w:tcPr>
            <w:tcW w:w="14175" w:type="dxa"/>
            <w:tcBorders>
              <w:top w:val="single" w:sz="4" w:space="0" w:color="auto"/>
              <w:left w:val="single" w:sz="4" w:space="0" w:color="auto"/>
              <w:bottom w:val="single" w:sz="4" w:space="0" w:color="auto"/>
              <w:right w:val="single" w:sz="4" w:space="0" w:color="auto"/>
            </w:tcBorders>
          </w:tcPr>
          <w:p w14:paraId="0E8083BB" w14:textId="77777777" w:rsidR="00394471" w:rsidRPr="00FA0D37" w:rsidRDefault="00394471" w:rsidP="00964CC4">
            <w:pPr>
              <w:pStyle w:val="TAL"/>
              <w:rPr>
                <w:b/>
                <w:i/>
                <w:lang w:eastAsia="ko-KR"/>
              </w:rPr>
            </w:pPr>
            <w:r w:rsidRPr="00FA0D37">
              <w:rPr>
                <w:b/>
                <w:i/>
                <w:lang w:eastAsia="ko-KR"/>
              </w:rPr>
              <w:t>anyCellSelectionDetected</w:t>
            </w:r>
          </w:p>
          <w:p w14:paraId="734A659C" w14:textId="77777777" w:rsidR="00394471" w:rsidRPr="00FA0D37" w:rsidRDefault="00394471" w:rsidP="00964CC4">
            <w:pPr>
              <w:pStyle w:val="TAL"/>
              <w:rPr>
                <w:bCs/>
                <w:iCs/>
                <w:lang w:eastAsia="ko-KR"/>
              </w:rPr>
            </w:pPr>
            <w:r w:rsidRPr="00FA0D37">
              <w:rPr>
                <w:bCs/>
                <w:iCs/>
                <w:lang w:eastAsia="ko-KR"/>
              </w:rPr>
              <w:t xml:space="preserve">This field is used to indicate the detection of </w:t>
            </w:r>
            <w:r w:rsidRPr="00FA0D37">
              <w:rPr>
                <w:bCs/>
                <w:i/>
                <w:lang w:eastAsia="ko-KR"/>
              </w:rPr>
              <w:t>any cell selection</w:t>
            </w:r>
            <w:r w:rsidRPr="00FA0D37">
              <w:rPr>
                <w:bCs/>
                <w:iCs/>
                <w:lang w:eastAsia="ko-KR"/>
              </w:rPr>
              <w:t xml:space="preserve"> state, as defined in TS 38.304 [20]. The UE sets this field when performing the logging of measurement results in RRC_IDLE or RRC_INACTIVE and there is no suitable cell or no acceptable cell.</w:t>
            </w:r>
          </w:p>
        </w:tc>
      </w:tr>
      <w:tr w:rsidR="005C7FF4" w:rsidRPr="00FA0D37" w14:paraId="6F1A5A68" w14:textId="77777777" w:rsidTr="00771058">
        <w:tc>
          <w:tcPr>
            <w:tcW w:w="14175" w:type="dxa"/>
            <w:tcBorders>
              <w:top w:val="single" w:sz="4" w:space="0" w:color="auto"/>
              <w:left w:val="single" w:sz="4" w:space="0" w:color="auto"/>
              <w:bottom w:val="single" w:sz="4" w:space="0" w:color="auto"/>
              <w:right w:val="single" w:sz="4" w:space="0" w:color="auto"/>
            </w:tcBorders>
          </w:tcPr>
          <w:p w14:paraId="283896AB" w14:textId="77777777" w:rsidR="00E84B6D" w:rsidRPr="00FA0D37" w:rsidRDefault="00E84B6D" w:rsidP="00771058">
            <w:pPr>
              <w:pStyle w:val="TAL"/>
              <w:rPr>
                <w:b/>
                <w:i/>
                <w:lang w:eastAsia="ko-KR"/>
              </w:rPr>
            </w:pPr>
            <w:r w:rsidRPr="00FA0D37">
              <w:rPr>
                <w:b/>
                <w:i/>
                <w:lang w:eastAsia="ko-KR"/>
              </w:rPr>
              <w:t>inDeviceCoexDetected</w:t>
            </w:r>
          </w:p>
          <w:p w14:paraId="1DF8DBF0" w14:textId="77777777" w:rsidR="00E84B6D" w:rsidRPr="00FA0D37" w:rsidRDefault="00E84B6D" w:rsidP="00771058">
            <w:pPr>
              <w:pStyle w:val="TAL"/>
              <w:rPr>
                <w:b/>
                <w:i/>
                <w:lang w:eastAsia="ko-KR"/>
              </w:rPr>
            </w:pPr>
            <w:r w:rsidRPr="00FA0D37">
              <w:rPr>
                <w:lang w:eastAsia="en-GB"/>
              </w:rPr>
              <w:t>Indicates that measurement logging is suspended due to IDC problem detection.</w:t>
            </w:r>
          </w:p>
        </w:tc>
      </w:tr>
      <w:tr w:rsidR="005C7FF4" w:rsidRPr="00FA0D37" w14:paraId="020EB2B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B94373" w14:textId="77777777" w:rsidR="00394471" w:rsidRPr="00FA0D37" w:rsidRDefault="00394471" w:rsidP="00964CC4">
            <w:pPr>
              <w:pStyle w:val="TAL"/>
              <w:rPr>
                <w:b/>
                <w:i/>
                <w:lang w:eastAsia="ko-KR"/>
              </w:rPr>
            </w:pPr>
            <w:r w:rsidRPr="00FA0D37">
              <w:rPr>
                <w:b/>
                <w:i/>
                <w:lang w:eastAsia="ko-KR"/>
              </w:rPr>
              <w:t>measResultServingCell</w:t>
            </w:r>
          </w:p>
          <w:p w14:paraId="7D5D5EE7" w14:textId="77777777" w:rsidR="00394471" w:rsidRPr="00FA0D37" w:rsidRDefault="00394471" w:rsidP="00964CC4">
            <w:pPr>
              <w:pStyle w:val="TAL"/>
              <w:rPr>
                <w:b/>
                <w:i/>
                <w:szCs w:val="22"/>
                <w:lang w:eastAsia="sv-SE"/>
              </w:rPr>
            </w:pPr>
            <w:r w:rsidRPr="00FA0D37">
              <w:rPr>
                <w:bCs/>
                <w:iCs/>
                <w:lang w:eastAsia="ko-KR"/>
              </w:rPr>
              <w:t>This field refers to the log measurement results taken in the Serving cell.</w:t>
            </w:r>
          </w:p>
        </w:tc>
      </w:tr>
      <w:tr w:rsidR="005C7FF4" w:rsidRPr="00FA0D37" w14:paraId="4410A8FB" w14:textId="77777777" w:rsidTr="003B657B">
        <w:tc>
          <w:tcPr>
            <w:tcW w:w="14175" w:type="dxa"/>
            <w:tcBorders>
              <w:top w:val="single" w:sz="4" w:space="0" w:color="auto"/>
              <w:left w:val="single" w:sz="4" w:space="0" w:color="auto"/>
              <w:bottom w:val="single" w:sz="4" w:space="0" w:color="auto"/>
              <w:right w:val="single" w:sz="4" w:space="0" w:color="auto"/>
            </w:tcBorders>
          </w:tcPr>
          <w:p w14:paraId="5E3A07D9" w14:textId="77777777" w:rsidR="00424C1A" w:rsidRPr="00FA0D37" w:rsidRDefault="00424C1A" w:rsidP="00255542">
            <w:pPr>
              <w:pStyle w:val="TAL"/>
              <w:rPr>
                <w:b/>
                <w:bCs/>
                <w:i/>
                <w:iCs/>
                <w:lang w:eastAsia="ko-KR"/>
              </w:rPr>
            </w:pPr>
            <w:r w:rsidRPr="00FA0D37">
              <w:rPr>
                <w:b/>
                <w:bCs/>
                <w:i/>
                <w:iCs/>
              </w:rPr>
              <w:t>numberOfGoodSSB</w:t>
            </w:r>
          </w:p>
          <w:p w14:paraId="734BF55B" w14:textId="77777777" w:rsidR="00424C1A" w:rsidRPr="00FA0D37" w:rsidRDefault="00424C1A" w:rsidP="003B657B">
            <w:pPr>
              <w:pStyle w:val="TAL"/>
              <w:rPr>
                <w:b/>
                <w:i/>
                <w:lang w:eastAsia="ko-KR"/>
              </w:rPr>
            </w:pPr>
            <w:r w:rsidRPr="00FA0D37">
              <w:rPr>
                <w:rFonts w:cs="Arial"/>
                <w:szCs w:val="18"/>
              </w:rPr>
              <w:t xml:space="preserve">Indicates the number of good beams (beams that are above </w:t>
            </w:r>
            <w:r w:rsidRPr="00FA0D37">
              <w:rPr>
                <w:rFonts w:cs="Arial"/>
                <w:i/>
                <w:iCs/>
                <w:szCs w:val="18"/>
              </w:rPr>
              <w:t>absThreshSS-BlocksConsolidation,</w:t>
            </w:r>
            <w:r w:rsidRPr="00FA0D37">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sidRPr="00FA0D37">
              <w:rPr>
                <w:rFonts w:cs="Arial"/>
                <w:i/>
                <w:iCs/>
                <w:szCs w:val="18"/>
              </w:rPr>
              <w:t>absThreshSS-BlocksConsolidation</w:t>
            </w:r>
            <w:r w:rsidRPr="00FA0D37">
              <w:rPr>
                <w:rFonts w:cs="Arial"/>
                <w:szCs w:val="18"/>
              </w:rPr>
              <w:t xml:space="preserve"> or if the network has not configured the </w:t>
            </w:r>
            <w:r w:rsidRPr="00FA0D37">
              <w:rPr>
                <w:rFonts w:cs="Arial"/>
                <w:i/>
                <w:iCs/>
                <w:szCs w:val="18"/>
              </w:rPr>
              <w:t>absThreshSS-BlocksConsolidation</w:t>
            </w:r>
            <w:r w:rsidRPr="00FA0D37">
              <w:rPr>
                <w:rFonts w:cs="Arial"/>
                <w:szCs w:val="18"/>
              </w:rPr>
              <w:t xml:space="preserve">, then the UE does not include </w:t>
            </w:r>
            <w:r w:rsidRPr="00FA0D37">
              <w:rPr>
                <w:rFonts w:cs="Arial"/>
                <w:i/>
                <w:iCs/>
                <w:szCs w:val="18"/>
              </w:rPr>
              <w:t>numberOfGoodSSB</w:t>
            </w:r>
            <w:r w:rsidRPr="00FA0D37">
              <w:rPr>
                <w:rFonts w:cs="Arial"/>
                <w:szCs w:val="18"/>
              </w:rPr>
              <w:t xml:space="preserve"> for the corresponding neighbour cell. If the UE has no SSB of the serving cell whose measurement quantity is above the </w:t>
            </w:r>
            <w:r w:rsidRPr="00FA0D37">
              <w:rPr>
                <w:rFonts w:cs="Arial"/>
                <w:i/>
                <w:iCs/>
                <w:szCs w:val="18"/>
              </w:rPr>
              <w:t>absThreshSS-BlocksConsolidation</w:t>
            </w:r>
            <w:r w:rsidRPr="00FA0D37">
              <w:rPr>
                <w:rFonts w:cs="Arial"/>
                <w:szCs w:val="18"/>
              </w:rPr>
              <w:t xml:space="preserve"> or if the network has not configured the </w:t>
            </w:r>
            <w:r w:rsidRPr="00FA0D37">
              <w:rPr>
                <w:rFonts w:cs="Arial"/>
                <w:i/>
                <w:iCs/>
                <w:szCs w:val="18"/>
              </w:rPr>
              <w:t>absThreshSS-BlocksConsolidation</w:t>
            </w:r>
            <w:r w:rsidRPr="00FA0D37">
              <w:rPr>
                <w:rFonts w:cs="Arial"/>
                <w:szCs w:val="18"/>
              </w:rPr>
              <w:t xml:space="preserve">, then the UE shall set the </w:t>
            </w:r>
            <w:r w:rsidRPr="00FA0D37">
              <w:rPr>
                <w:rFonts w:cs="Arial"/>
                <w:i/>
                <w:iCs/>
                <w:szCs w:val="18"/>
              </w:rPr>
              <w:t>numberOfGoodSSB</w:t>
            </w:r>
            <w:r w:rsidRPr="00FA0D37">
              <w:rPr>
                <w:rFonts w:cs="Arial"/>
                <w:szCs w:val="18"/>
              </w:rPr>
              <w:t xml:space="preserve"> for the serving cell to one.</w:t>
            </w:r>
          </w:p>
        </w:tc>
      </w:tr>
      <w:tr w:rsidR="005C7FF4" w:rsidRPr="00FA0D37" w14:paraId="745A1A0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8EBC904" w14:textId="77777777" w:rsidR="00394471" w:rsidRPr="00FA0D37" w:rsidRDefault="00394471" w:rsidP="00964CC4">
            <w:pPr>
              <w:pStyle w:val="TAL"/>
              <w:rPr>
                <w:b/>
                <w:i/>
                <w:lang w:eastAsia="ko-KR"/>
              </w:rPr>
            </w:pPr>
            <w:r w:rsidRPr="00FA0D37">
              <w:rPr>
                <w:b/>
                <w:i/>
                <w:lang w:eastAsia="ko-KR"/>
              </w:rPr>
              <w:t>relativeTimeStamp</w:t>
            </w:r>
          </w:p>
          <w:p w14:paraId="588B5574" w14:textId="77777777" w:rsidR="00394471" w:rsidRPr="00FA0D37" w:rsidRDefault="00394471" w:rsidP="00964CC4">
            <w:pPr>
              <w:pStyle w:val="TAL"/>
              <w:rPr>
                <w:b/>
                <w:i/>
                <w:szCs w:val="22"/>
                <w:lang w:eastAsia="sv-SE"/>
              </w:rPr>
            </w:pPr>
            <w:r w:rsidRPr="00FA0D37">
              <w:rPr>
                <w:bCs/>
                <w:iCs/>
                <w:lang w:eastAsia="ko-KR"/>
              </w:rPr>
              <w:t xml:space="preserve">Indicates the time of logging measurement results, measured relative to the </w:t>
            </w:r>
            <w:r w:rsidRPr="00FA0D37">
              <w:rPr>
                <w:bCs/>
                <w:i/>
                <w:lang w:eastAsia="ko-KR"/>
              </w:rPr>
              <w:t>absoluteTimeStamp</w:t>
            </w:r>
            <w:r w:rsidRPr="00FA0D37">
              <w:rPr>
                <w:bCs/>
                <w:iCs/>
                <w:lang w:eastAsia="ko-KR"/>
              </w:rPr>
              <w:t>. Value in seconds.</w:t>
            </w:r>
          </w:p>
        </w:tc>
      </w:tr>
      <w:tr w:rsidR="005C7FF4" w:rsidRPr="00FA0D37" w14:paraId="2F139AB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FA623E3" w14:textId="77777777" w:rsidR="00394471" w:rsidRPr="00FA0D37" w:rsidRDefault="00394471" w:rsidP="00964CC4">
            <w:pPr>
              <w:pStyle w:val="TAL"/>
              <w:rPr>
                <w:b/>
                <w:i/>
                <w:lang w:eastAsia="sv-SE"/>
              </w:rPr>
            </w:pPr>
            <w:r w:rsidRPr="00FA0D37">
              <w:rPr>
                <w:b/>
                <w:i/>
                <w:lang w:eastAsia="sv-SE"/>
              </w:rPr>
              <w:t>tce-Id</w:t>
            </w:r>
          </w:p>
          <w:p w14:paraId="63BB9A19" w14:textId="77777777" w:rsidR="00394471" w:rsidRPr="00FA0D37" w:rsidRDefault="00394471" w:rsidP="00964CC4">
            <w:pPr>
              <w:pStyle w:val="TAL"/>
              <w:rPr>
                <w:b/>
                <w:i/>
                <w:szCs w:val="22"/>
                <w:lang w:eastAsia="sv-SE"/>
              </w:rPr>
            </w:pPr>
            <w:r w:rsidRPr="00FA0D37">
              <w:rPr>
                <w:bCs/>
                <w:iCs/>
                <w:lang w:eastAsia="sv-SE"/>
              </w:rPr>
              <w:t>P</w:t>
            </w:r>
            <w:r w:rsidRPr="00FA0D37">
              <w:rPr>
                <w:bCs/>
                <w:iCs/>
                <w:lang w:eastAsia="en-GB"/>
              </w:rPr>
              <w:t>arameter Trace Collection Entity Id: See TS 32.422 [52].</w:t>
            </w:r>
          </w:p>
        </w:tc>
      </w:tr>
      <w:tr w:rsidR="00394471" w:rsidRPr="00FA0D37" w14:paraId="5451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3F303A" w14:textId="77777777" w:rsidR="00394471" w:rsidRPr="00FA0D37" w:rsidRDefault="00394471" w:rsidP="00964CC4">
            <w:pPr>
              <w:pStyle w:val="TAL"/>
              <w:rPr>
                <w:b/>
                <w:i/>
                <w:lang w:eastAsia="ko-KR"/>
              </w:rPr>
            </w:pPr>
            <w:r w:rsidRPr="00FA0D37">
              <w:rPr>
                <w:b/>
                <w:i/>
                <w:lang w:eastAsia="ko-KR"/>
              </w:rPr>
              <w:t>traceRecordingSessionRef</w:t>
            </w:r>
          </w:p>
          <w:p w14:paraId="512A06BF" w14:textId="77777777" w:rsidR="00394471" w:rsidRPr="00FA0D37" w:rsidRDefault="00394471" w:rsidP="00964CC4">
            <w:pPr>
              <w:pStyle w:val="TAL"/>
              <w:rPr>
                <w:b/>
                <w:i/>
                <w:szCs w:val="22"/>
                <w:lang w:eastAsia="sv-SE"/>
              </w:rPr>
            </w:pPr>
            <w:r w:rsidRPr="00FA0D37">
              <w:rPr>
                <w:bCs/>
                <w:iCs/>
                <w:lang w:eastAsia="en-GB"/>
              </w:rPr>
              <w:t>Parameter Trace Recording Session Reference: See TS 32.422 [52]</w:t>
            </w:r>
            <w:r w:rsidRPr="00FA0D37">
              <w:rPr>
                <w:bCs/>
                <w:iCs/>
                <w:lang w:eastAsia="ko-KR"/>
              </w:rPr>
              <w:t>.</w:t>
            </w:r>
          </w:p>
        </w:tc>
      </w:tr>
    </w:tbl>
    <w:p w14:paraId="5E54ED8A" w14:textId="77777777" w:rsidR="00394471" w:rsidRPr="00FA0D37"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0872D23A"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7B29AA2F" w14:textId="77777777" w:rsidR="00394471" w:rsidRPr="00FA0D37" w:rsidRDefault="00394471" w:rsidP="00964CC4">
            <w:pPr>
              <w:pStyle w:val="TAH"/>
              <w:rPr>
                <w:szCs w:val="22"/>
                <w:lang w:eastAsia="sv-SE"/>
              </w:rPr>
            </w:pPr>
            <w:r w:rsidRPr="00FA0D37">
              <w:rPr>
                <w:i/>
                <w:lang w:eastAsia="sv-SE"/>
              </w:rPr>
              <w:t>ConnEstFailReport</w:t>
            </w:r>
            <w:r w:rsidRPr="00FA0D37">
              <w:rPr>
                <w:iCs/>
                <w:lang w:eastAsia="en-GB"/>
              </w:rPr>
              <w:t xml:space="preserve"> field descriptions</w:t>
            </w:r>
          </w:p>
        </w:tc>
      </w:tr>
      <w:tr w:rsidR="005C7FF4" w:rsidRPr="00FA0D37" w14:paraId="7E42CD42"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7F7A601" w14:textId="77777777" w:rsidR="00394471" w:rsidRPr="00FA0D37" w:rsidRDefault="00394471" w:rsidP="00964CC4">
            <w:pPr>
              <w:pStyle w:val="TAL"/>
              <w:rPr>
                <w:b/>
                <w:i/>
                <w:lang w:eastAsia="ko-KR"/>
              </w:rPr>
            </w:pPr>
            <w:r w:rsidRPr="00FA0D37">
              <w:rPr>
                <w:b/>
                <w:i/>
                <w:lang w:eastAsia="ko-KR"/>
              </w:rPr>
              <w:t>measResultFailedCell</w:t>
            </w:r>
          </w:p>
          <w:p w14:paraId="32A85147" w14:textId="77777777" w:rsidR="00394471" w:rsidRPr="00FA0D37" w:rsidRDefault="00394471" w:rsidP="00964CC4">
            <w:pPr>
              <w:pStyle w:val="TAL"/>
              <w:rPr>
                <w:szCs w:val="22"/>
                <w:lang w:eastAsia="sv-SE"/>
              </w:rPr>
            </w:pPr>
            <w:r w:rsidRPr="00FA0D37">
              <w:rPr>
                <w:bCs/>
                <w:iCs/>
                <w:lang w:eastAsia="ko-KR"/>
              </w:rPr>
              <w:t>This field refers to the last measurement results taken in the cell, where connection establishment failure or connection resume failure happened.</w:t>
            </w:r>
          </w:p>
        </w:tc>
      </w:tr>
      <w:tr w:rsidR="005C7FF4" w:rsidRPr="00FA0D37" w14:paraId="037B5106"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63C94D38" w14:textId="77777777" w:rsidR="00394471" w:rsidRPr="00FA0D37" w:rsidRDefault="00394471" w:rsidP="00964CC4">
            <w:pPr>
              <w:pStyle w:val="TAL"/>
              <w:rPr>
                <w:b/>
                <w:i/>
                <w:lang w:eastAsia="sv-SE"/>
              </w:rPr>
            </w:pPr>
            <w:r w:rsidRPr="00FA0D37">
              <w:rPr>
                <w:b/>
                <w:i/>
                <w:lang w:eastAsia="sv-SE"/>
              </w:rPr>
              <w:t>measResultNeighCells</w:t>
            </w:r>
          </w:p>
          <w:p w14:paraId="3CA43B14" w14:textId="77777777" w:rsidR="00394471" w:rsidRPr="00FA0D37" w:rsidRDefault="00394471" w:rsidP="00964CC4">
            <w:pPr>
              <w:pStyle w:val="TAL"/>
              <w:rPr>
                <w:szCs w:val="22"/>
                <w:lang w:eastAsia="sv-SE"/>
              </w:rPr>
            </w:pPr>
            <w:r w:rsidRPr="00FA0D37">
              <w:rPr>
                <w:lang w:eastAsia="en-GB"/>
              </w:rPr>
              <w:t xml:space="preserve">This field refers to the neighbour cell measurements when </w:t>
            </w:r>
            <w:r w:rsidRPr="00FA0D37">
              <w:rPr>
                <w:bCs/>
                <w:iCs/>
                <w:lang w:eastAsia="ko-KR"/>
              </w:rPr>
              <w:t>connection establishment failure or connection resume failure happened.</w:t>
            </w:r>
          </w:p>
        </w:tc>
      </w:tr>
      <w:tr w:rsidR="005C7FF4" w:rsidRPr="00FA0D37" w14:paraId="72A50441"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2CE01618" w14:textId="77777777" w:rsidR="00394471" w:rsidRPr="00FA0D37" w:rsidRDefault="00394471" w:rsidP="00964CC4">
            <w:pPr>
              <w:pStyle w:val="TAL"/>
              <w:rPr>
                <w:b/>
                <w:i/>
                <w:lang w:eastAsia="ko-KR"/>
              </w:rPr>
            </w:pPr>
            <w:r w:rsidRPr="00FA0D37">
              <w:rPr>
                <w:b/>
                <w:i/>
                <w:lang w:eastAsia="ko-KR"/>
              </w:rPr>
              <w:t>numberOfConnFail</w:t>
            </w:r>
          </w:p>
          <w:p w14:paraId="2BBC5210" w14:textId="77777777" w:rsidR="00394471" w:rsidRPr="00FA0D37" w:rsidRDefault="00394471" w:rsidP="00964CC4">
            <w:pPr>
              <w:pStyle w:val="TAL"/>
              <w:rPr>
                <w:b/>
                <w:i/>
                <w:lang w:eastAsia="sv-SE"/>
              </w:rPr>
            </w:pPr>
            <w:r w:rsidRPr="00FA0D37">
              <w:t>This field is used to indicate the latest number of consecutive failed RRCSetup or RRCResume procedures in the same cell independent of RRC state transition.</w:t>
            </w:r>
          </w:p>
        </w:tc>
      </w:tr>
      <w:tr w:rsidR="00D27132" w:rsidRPr="00FA0D37" w14:paraId="7D2FCA93"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6586475" w14:textId="77777777" w:rsidR="00394471" w:rsidRPr="00FA0D37" w:rsidRDefault="00394471" w:rsidP="00964CC4">
            <w:pPr>
              <w:pStyle w:val="TAL"/>
              <w:rPr>
                <w:b/>
                <w:i/>
                <w:lang w:eastAsia="sv-SE"/>
              </w:rPr>
            </w:pPr>
            <w:r w:rsidRPr="00FA0D37">
              <w:rPr>
                <w:b/>
                <w:i/>
                <w:lang w:eastAsia="sv-SE"/>
              </w:rPr>
              <w:t>timeSinceFailure</w:t>
            </w:r>
          </w:p>
          <w:p w14:paraId="78129D77" w14:textId="77777777" w:rsidR="00394471" w:rsidRPr="00FA0D37" w:rsidRDefault="00394471" w:rsidP="00964CC4">
            <w:pPr>
              <w:pStyle w:val="TAL"/>
              <w:rPr>
                <w:b/>
                <w:i/>
                <w:szCs w:val="22"/>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the </w:t>
            </w:r>
            <w:r w:rsidRPr="00FA0D37">
              <w:rPr>
                <w:lang w:eastAsia="sv-SE"/>
              </w:rPr>
              <w:t xml:space="preserve">time that </w:t>
            </w:r>
            <w:r w:rsidRPr="00FA0D37">
              <w:rPr>
                <w:lang w:eastAsia="en-GB"/>
              </w:rPr>
              <w:t>elapsed since the connection (establishment or resume) failure.</w:t>
            </w:r>
            <w:r w:rsidRPr="00FA0D37">
              <w:rPr>
                <w:lang w:eastAsia="sv-SE"/>
              </w:rPr>
              <w:t xml:space="preserve"> </w:t>
            </w:r>
            <w:r w:rsidRPr="00FA0D37">
              <w:rPr>
                <w:bCs/>
                <w:iCs/>
                <w:lang w:eastAsia="ko-KR"/>
              </w:rPr>
              <w:t>Value in seconds. The maximum value 172800 means 172800s or longer.</w:t>
            </w:r>
          </w:p>
        </w:tc>
      </w:tr>
    </w:tbl>
    <w:p w14:paraId="6BED608D" w14:textId="77777777" w:rsidR="00847EEE" w:rsidRPr="00FA0D37" w:rsidRDefault="00847EEE" w:rsidP="00847EE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20B891AA" w14:textId="77777777" w:rsidTr="00AF0F64">
        <w:tc>
          <w:tcPr>
            <w:tcW w:w="14175" w:type="dxa"/>
            <w:shd w:val="clear" w:color="auto" w:fill="auto"/>
            <w:hideMark/>
          </w:tcPr>
          <w:p w14:paraId="0C9DE721" w14:textId="77777777" w:rsidR="00847EEE" w:rsidRPr="00FA0D37" w:rsidRDefault="00847EEE" w:rsidP="00AF0F64">
            <w:pPr>
              <w:pStyle w:val="TAH"/>
              <w:rPr>
                <w:szCs w:val="22"/>
                <w:lang w:eastAsia="sv-SE"/>
              </w:rPr>
            </w:pPr>
            <w:r w:rsidRPr="00FA0D37">
              <w:rPr>
                <w:i/>
                <w:iCs/>
                <w:lang w:eastAsia="ko-KR"/>
              </w:rPr>
              <w:lastRenderedPageBreak/>
              <w:t>RA-InformationCommon</w:t>
            </w:r>
            <w:r w:rsidRPr="00FA0D37">
              <w:rPr>
                <w:iCs/>
                <w:lang w:eastAsia="en-GB"/>
              </w:rPr>
              <w:t xml:space="preserve"> field descriptions</w:t>
            </w:r>
          </w:p>
        </w:tc>
      </w:tr>
      <w:tr w:rsidR="005C7FF4" w:rsidRPr="00FA0D37" w14:paraId="057F092C" w14:textId="77777777" w:rsidTr="00AF0F64">
        <w:tc>
          <w:tcPr>
            <w:tcW w:w="14175" w:type="dxa"/>
            <w:shd w:val="clear" w:color="auto" w:fill="auto"/>
            <w:hideMark/>
          </w:tcPr>
          <w:p w14:paraId="63B8F4D5" w14:textId="77777777" w:rsidR="00847EEE" w:rsidRPr="00FA0D37" w:rsidRDefault="00847EEE" w:rsidP="00AF0F64">
            <w:pPr>
              <w:pStyle w:val="TAL"/>
              <w:rPr>
                <w:b/>
                <w:i/>
                <w:lang w:eastAsia="en-GB"/>
              </w:rPr>
            </w:pPr>
            <w:r w:rsidRPr="00FA0D37">
              <w:rPr>
                <w:b/>
                <w:i/>
                <w:lang w:eastAsia="en-GB"/>
              </w:rPr>
              <w:t>absoluteFrequencyPointA</w:t>
            </w:r>
          </w:p>
          <w:p w14:paraId="4995738F" w14:textId="77777777" w:rsidR="00847EEE" w:rsidRPr="00FA0D37" w:rsidRDefault="00847EEE" w:rsidP="00AF0F64">
            <w:pPr>
              <w:pStyle w:val="TAL"/>
              <w:rPr>
                <w:szCs w:val="22"/>
                <w:lang w:eastAsia="sv-SE"/>
              </w:rPr>
            </w:pPr>
            <w:r w:rsidRPr="00FA0D37">
              <w:rPr>
                <w:lang w:eastAsia="en-GB"/>
              </w:rPr>
              <w:t xml:space="preserve">This field indicates the </w:t>
            </w:r>
            <w:r w:rsidRPr="00FA0D37">
              <w:rPr>
                <w:lang w:eastAsia="sv-SE"/>
              </w:rPr>
              <w:t>a</w:t>
            </w:r>
            <w:r w:rsidRPr="00FA0D37">
              <w:rPr>
                <w:szCs w:val="22"/>
                <w:lang w:eastAsia="sv-SE"/>
              </w:rPr>
              <w:t>bsolute frequency position of the reference resource block (Common RB 0)</w:t>
            </w:r>
            <w:r w:rsidRPr="00FA0D37">
              <w:rPr>
                <w:lang w:eastAsia="en-GB"/>
              </w:rPr>
              <w:t>.</w:t>
            </w:r>
          </w:p>
        </w:tc>
      </w:tr>
      <w:tr w:rsidR="005C7FF4" w:rsidRPr="00FA0D37" w14:paraId="6658D67C" w14:textId="77777777" w:rsidTr="00AF0F64">
        <w:tc>
          <w:tcPr>
            <w:tcW w:w="14175" w:type="dxa"/>
            <w:shd w:val="clear" w:color="auto" w:fill="auto"/>
            <w:hideMark/>
          </w:tcPr>
          <w:p w14:paraId="758F96C0" w14:textId="77777777" w:rsidR="00847EEE" w:rsidRPr="00FA0D37" w:rsidRDefault="00847EEE" w:rsidP="00AF0F64">
            <w:pPr>
              <w:pStyle w:val="TAL"/>
              <w:rPr>
                <w:b/>
                <w:i/>
                <w:lang w:eastAsia="en-GB"/>
              </w:rPr>
            </w:pPr>
            <w:r w:rsidRPr="00FA0D37">
              <w:rPr>
                <w:b/>
                <w:i/>
                <w:lang w:eastAsia="en-GB"/>
              </w:rPr>
              <w:t>locationAndBandwidth</w:t>
            </w:r>
          </w:p>
          <w:p w14:paraId="209745AE" w14:textId="77777777" w:rsidR="00847EEE" w:rsidRPr="00FA0D37" w:rsidRDefault="00847EEE" w:rsidP="00AF0F64">
            <w:pPr>
              <w:pStyle w:val="TAL"/>
              <w:rPr>
                <w:bCs/>
                <w:iCs/>
                <w:lang w:eastAsia="en-GB"/>
              </w:rPr>
            </w:pPr>
            <w:r w:rsidRPr="00FA0D37">
              <w:rPr>
                <w:bCs/>
                <w:iCs/>
                <w:lang w:eastAsia="en-GB"/>
              </w:rPr>
              <w:t>Frequency domain location and bandwidth of the bandwidth part associated to the random-access resources used by the UE.</w:t>
            </w:r>
          </w:p>
        </w:tc>
      </w:tr>
      <w:tr w:rsidR="005C7FF4" w:rsidRPr="00FA0D37" w14:paraId="7A2F6629" w14:textId="77777777" w:rsidTr="00AF0F64">
        <w:tc>
          <w:tcPr>
            <w:tcW w:w="14175" w:type="dxa"/>
            <w:shd w:val="clear" w:color="auto" w:fill="auto"/>
            <w:hideMark/>
          </w:tcPr>
          <w:p w14:paraId="51999F5A" w14:textId="77777777" w:rsidR="00847EEE" w:rsidRPr="00FA0D37" w:rsidRDefault="00847EEE" w:rsidP="00AF0F64">
            <w:pPr>
              <w:pStyle w:val="TAL"/>
              <w:rPr>
                <w:b/>
                <w:i/>
                <w:lang w:eastAsia="en-GB"/>
              </w:rPr>
            </w:pPr>
            <w:r w:rsidRPr="00FA0D37">
              <w:rPr>
                <w:b/>
                <w:i/>
                <w:lang w:eastAsia="en-GB"/>
              </w:rPr>
              <w:t>perRAInfoList, perRAInfoList-v1660</w:t>
            </w:r>
          </w:p>
          <w:p w14:paraId="0D831E55" w14:textId="77777777" w:rsidR="00847EEE" w:rsidRPr="00FA0D37" w:rsidRDefault="00847EEE" w:rsidP="00AF0F64">
            <w:pPr>
              <w:pStyle w:val="TAL"/>
            </w:pPr>
            <w:r w:rsidRPr="00FA0D37">
              <w:t>This field provides detailed information about each of the random access attempts in the chronological order of the random access attempts. If</w:t>
            </w:r>
            <w:r w:rsidRPr="00FA0D37">
              <w:rPr>
                <w:rStyle w:val="afa"/>
                <w:i w:val="0"/>
                <w:iCs w:val="0"/>
              </w:rPr>
              <w:t xml:space="preserve"> </w:t>
            </w:r>
            <w:r w:rsidRPr="00FA0D37">
              <w:rPr>
                <w:rStyle w:val="afa"/>
              </w:rPr>
              <w:t>perRAInfoList-v1660</w:t>
            </w:r>
            <w:r w:rsidRPr="00FA0D37">
              <w:t xml:space="preserve"> is present, it shall contain the same number of entries, listed in the same order as in </w:t>
            </w:r>
            <w:r w:rsidRPr="00FA0D37">
              <w:rPr>
                <w:rStyle w:val="afa"/>
              </w:rPr>
              <w:t>perRAInfoList-r16</w:t>
            </w:r>
            <w:r w:rsidRPr="00FA0D37">
              <w:t>.</w:t>
            </w:r>
          </w:p>
        </w:tc>
      </w:tr>
      <w:tr w:rsidR="00D27132" w:rsidRPr="00FA0D37" w14:paraId="32D736C3" w14:textId="77777777" w:rsidTr="00847EEE">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3C38C25" w14:textId="77777777" w:rsidR="00847EEE" w:rsidRPr="00FA0D37" w:rsidRDefault="00847EEE" w:rsidP="00AF0F64">
            <w:pPr>
              <w:pStyle w:val="TAL"/>
              <w:rPr>
                <w:b/>
                <w:i/>
                <w:lang w:eastAsia="en-GB"/>
              </w:rPr>
            </w:pPr>
            <w:r w:rsidRPr="00FA0D37">
              <w:rPr>
                <w:b/>
                <w:i/>
                <w:lang w:eastAsia="en-GB"/>
              </w:rPr>
              <w:t>subcarrierSpacing</w:t>
            </w:r>
          </w:p>
          <w:p w14:paraId="3FE4427B" w14:textId="77777777" w:rsidR="00847EEE" w:rsidRPr="00FA0D37" w:rsidRDefault="00847EEE" w:rsidP="00AF0F64">
            <w:pPr>
              <w:pStyle w:val="TAL"/>
              <w:rPr>
                <w:bCs/>
                <w:iCs/>
                <w:lang w:eastAsia="en-GB"/>
              </w:rPr>
            </w:pPr>
            <w:r w:rsidRPr="00FA0D37">
              <w:rPr>
                <w:bCs/>
                <w:iCs/>
                <w:lang w:eastAsia="en-GB"/>
              </w:rPr>
              <w:t>Subcarrier spacing used in the BWP associated to the random-access resources used by the UE.</w:t>
            </w:r>
          </w:p>
        </w:tc>
      </w:tr>
    </w:tbl>
    <w:p w14:paraId="2D7B5C6B" w14:textId="77777777" w:rsidR="00394471" w:rsidRPr="00FA0D37" w:rsidRDefault="00394471" w:rsidP="00394471">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5C7FF4" w:rsidRPr="00FA0D37" w14:paraId="29F0F9B0"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709547D0" w14:textId="77777777" w:rsidR="00394471" w:rsidRPr="00FA0D37" w:rsidRDefault="00394471" w:rsidP="00964CC4">
            <w:pPr>
              <w:pStyle w:val="TAH"/>
              <w:rPr>
                <w:szCs w:val="22"/>
                <w:lang w:eastAsia="sv-SE"/>
              </w:rPr>
            </w:pPr>
            <w:r w:rsidRPr="00FA0D37">
              <w:rPr>
                <w:i/>
                <w:iCs/>
                <w:lang w:eastAsia="ko-KR"/>
              </w:rPr>
              <w:lastRenderedPageBreak/>
              <w:t>RA-Report</w:t>
            </w:r>
            <w:r w:rsidRPr="00FA0D37">
              <w:rPr>
                <w:iCs/>
                <w:lang w:eastAsia="en-GB"/>
              </w:rPr>
              <w:t xml:space="preserve"> field descriptions</w:t>
            </w:r>
          </w:p>
        </w:tc>
      </w:tr>
      <w:tr w:rsidR="005C7FF4" w:rsidRPr="00FA0D37" w14:paraId="41A42D4C"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74F01082" w14:textId="77777777" w:rsidR="00394471" w:rsidRPr="00FA0D37" w:rsidRDefault="00394471" w:rsidP="00964CC4">
            <w:pPr>
              <w:pStyle w:val="TAL"/>
              <w:rPr>
                <w:b/>
                <w:i/>
                <w:lang w:eastAsia="en-GB"/>
              </w:rPr>
            </w:pPr>
            <w:r w:rsidRPr="00FA0D37">
              <w:rPr>
                <w:b/>
                <w:i/>
                <w:lang w:eastAsia="en-GB"/>
              </w:rPr>
              <w:t>cellID</w:t>
            </w:r>
          </w:p>
          <w:p w14:paraId="38B6388C" w14:textId="77777777" w:rsidR="00394471" w:rsidRPr="00FA0D37" w:rsidRDefault="00394471" w:rsidP="00964CC4">
            <w:pPr>
              <w:pStyle w:val="TAL"/>
              <w:rPr>
                <w:b/>
                <w:i/>
                <w:lang w:eastAsia="en-GB"/>
              </w:rPr>
            </w:pPr>
            <w:r w:rsidRPr="00FA0D37">
              <w:rPr>
                <w:lang w:eastAsia="en-GB"/>
              </w:rPr>
              <w:t>This field indicates the CGI of the cell in which the associated random access procedure was performed.</w:t>
            </w:r>
          </w:p>
        </w:tc>
      </w:tr>
      <w:tr w:rsidR="005C7FF4" w:rsidRPr="00FA0D37" w14:paraId="373974B8"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526A9FAA" w14:textId="77777777" w:rsidR="00394471" w:rsidRPr="00FA0D37" w:rsidRDefault="00394471" w:rsidP="00964CC4">
            <w:pPr>
              <w:pStyle w:val="TAL"/>
              <w:rPr>
                <w:b/>
                <w:i/>
                <w:lang w:eastAsia="ko-KR"/>
              </w:rPr>
            </w:pPr>
            <w:r w:rsidRPr="00FA0D37">
              <w:rPr>
                <w:b/>
                <w:i/>
                <w:lang w:eastAsia="ko-KR"/>
              </w:rPr>
              <w:t>contentionDetected</w:t>
            </w:r>
          </w:p>
          <w:p w14:paraId="5F7C1B8A" w14:textId="5D00F4DD" w:rsidR="00394471" w:rsidRPr="00FA0D37" w:rsidRDefault="00394471" w:rsidP="00964CC4">
            <w:pPr>
              <w:pStyle w:val="TAL"/>
              <w:rPr>
                <w:szCs w:val="22"/>
                <w:lang w:eastAsia="sv-SE"/>
              </w:rPr>
            </w:pPr>
            <w:r w:rsidRPr="00FA0D37">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sidRPr="00FA0D37">
              <w:rPr>
                <w:bCs/>
                <w:i/>
                <w:iCs/>
                <w:lang w:eastAsia="en-GB"/>
              </w:rPr>
              <w:t>raPurpose</w:t>
            </w:r>
            <w:r w:rsidRPr="00FA0D37">
              <w:rPr>
                <w:bCs/>
                <w:lang w:eastAsia="en-GB"/>
              </w:rPr>
              <w:t xml:space="preserve"> is set to </w:t>
            </w:r>
            <w:r w:rsidRPr="00FA0D37">
              <w:rPr>
                <w:bCs/>
                <w:i/>
                <w:iCs/>
                <w:lang w:eastAsia="en-GB"/>
              </w:rPr>
              <w:t>requestForOtherSI</w:t>
            </w:r>
            <w:r w:rsidR="00E84B6D" w:rsidRPr="00FA0D37">
              <w:rPr>
                <w:bCs/>
                <w:lang w:eastAsia="en-GB"/>
              </w:rPr>
              <w:t xml:space="preserve"> or when the RA attempt is a 2-step RA attempt and fallback to 4-step RA did not occur (i.e. </w:t>
            </w:r>
            <w:r w:rsidR="00E84B6D" w:rsidRPr="00FA0D37">
              <w:rPr>
                <w:bCs/>
                <w:i/>
                <w:iCs/>
                <w:lang w:eastAsia="en-GB"/>
              </w:rPr>
              <w:t>fallbackToFourStepRA</w:t>
            </w:r>
            <w:r w:rsidR="00E84B6D" w:rsidRPr="00FA0D37">
              <w:rPr>
                <w:bCs/>
                <w:lang w:eastAsia="en-GB"/>
              </w:rPr>
              <w:t xml:space="preserve"> is not included)</w:t>
            </w:r>
            <w:r w:rsidRPr="00FA0D37">
              <w:rPr>
                <w:bCs/>
                <w:lang w:eastAsia="en-GB"/>
              </w:rPr>
              <w:t>.</w:t>
            </w:r>
          </w:p>
        </w:tc>
      </w:tr>
      <w:tr w:rsidR="005C7FF4" w:rsidRPr="00FA0D37" w14:paraId="2ED1D6F7"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323F8CCA" w14:textId="59AF7CF2" w:rsidR="00394471" w:rsidRPr="00FA0D37" w:rsidRDefault="00394471" w:rsidP="00964CC4">
            <w:pPr>
              <w:pStyle w:val="TAL"/>
              <w:rPr>
                <w:b/>
                <w:i/>
                <w:lang w:eastAsia="ko-KR"/>
              </w:rPr>
            </w:pPr>
            <w:r w:rsidRPr="00FA0D37">
              <w:rPr>
                <w:b/>
                <w:i/>
                <w:lang w:eastAsia="ko-KR"/>
              </w:rPr>
              <w:t>csi-RS-Index</w:t>
            </w:r>
            <w:r w:rsidR="00443A38" w:rsidRPr="00FA0D37">
              <w:rPr>
                <w:b/>
                <w:i/>
                <w:lang w:eastAsia="ko-KR"/>
              </w:rPr>
              <w:t>, csi-RS-Index-v16</w:t>
            </w:r>
            <w:r w:rsidR="0057317B" w:rsidRPr="00FA0D37">
              <w:rPr>
                <w:b/>
                <w:i/>
                <w:lang w:eastAsia="ko-KR"/>
              </w:rPr>
              <w:t>60</w:t>
            </w:r>
          </w:p>
          <w:p w14:paraId="51905863" w14:textId="77777777" w:rsidR="00892E82" w:rsidRPr="00FA0D37" w:rsidRDefault="00394471" w:rsidP="00964CC4">
            <w:pPr>
              <w:pStyle w:val="TAL"/>
              <w:rPr>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w:t>
            </w:r>
            <w:r w:rsidRPr="00FA0D37">
              <w:rPr>
                <w:lang w:eastAsia="sv-SE"/>
              </w:rPr>
              <w:t>the CSI-RS index corresponding to the random access attempt.</w:t>
            </w:r>
          </w:p>
          <w:p w14:paraId="4B08E1F8" w14:textId="759526D7" w:rsidR="00394471" w:rsidRPr="00FA0D37" w:rsidRDefault="00892E82" w:rsidP="00964CC4">
            <w:pPr>
              <w:pStyle w:val="TAL"/>
              <w:rPr>
                <w:b/>
                <w:i/>
                <w:lang w:eastAsia="ko-KR"/>
              </w:rPr>
            </w:pPr>
            <w:r w:rsidRPr="00FA0D37">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5C7FF4" w:rsidRPr="00FA0D37" w14:paraId="05DD7EA7" w14:textId="77777777" w:rsidTr="00771058">
        <w:tc>
          <w:tcPr>
            <w:tcW w:w="14178" w:type="dxa"/>
            <w:tcBorders>
              <w:top w:val="single" w:sz="4" w:space="0" w:color="auto"/>
              <w:left w:val="single" w:sz="4" w:space="0" w:color="auto"/>
              <w:bottom w:val="single" w:sz="4" w:space="0" w:color="auto"/>
              <w:right w:val="single" w:sz="4" w:space="0" w:color="auto"/>
            </w:tcBorders>
          </w:tcPr>
          <w:p w14:paraId="522AD654" w14:textId="77777777" w:rsidR="00E84B6D" w:rsidRPr="00FA0D37" w:rsidRDefault="00E84B6D" w:rsidP="00771058">
            <w:pPr>
              <w:pStyle w:val="TAL"/>
              <w:rPr>
                <w:b/>
                <w:i/>
                <w:lang w:eastAsia="ko-KR"/>
              </w:rPr>
            </w:pPr>
            <w:r w:rsidRPr="00FA0D37">
              <w:rPr>
                <w:b/>
                <w:i/>
                <w:lang w:eastAsia="ko-KR"/>
              </w:rPr>
              <w:t>dlPathlossRSRP</w:t>
            </w:r>
          </w:p>
          <w:p w14:paraId="506D22D1" w14:textId="77777777" w:rsidR="00E84B6D" w:rsidRPr="00FA0D37" w:rsidRDefault="00E84B6D" w:rsidP="00771058">
            <w:pPr>
              <w:pStyle w:val="TAL"/>
              <w:rPr>
                <w:b/>
                <w:i/>
                <w:lang w:eastAsia="ko-KR"/>
              </w:rPr>
            </w:pPr>
            <w:r w:rsidRPr="00FA0D37">
              <w:rPr>
                <w:lang w:eastAsia="en-GB"/>
              </w:rPr>
              <w:t xml:space="preserve">Measeured RSRP of the DL pathloss reference obtained at the time of </w:t>
            </w:r>
            <w:r w:rsidRPr="00FA0D37">
              <w:rPr>
                <w:i/>
                <w:iCs/>
                <w:lang w:eastAsia="en-GB"/>
              </w:rPr>
              <w:t>RA_Type</w:t>
            </w:r>
            <w:r w:rsidRPr="00FA0D37">
              <w:rPr>
                <w:lang w:eastAsia="en-GB"/>
              </w:rPr>
              <w:t xml:space="preserve"> selection stage of the RA procedure as captured in TS 38.321 [3].</w:t>
            </w:r>
          </w:p>
        </w:tc>
      </w:tr>
      <w:tr w:rsidR="005C7FF4" w:rsidRPr="00FA0D37" w14:paraId="21A1D3E2"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43307C79" w14:textId="77777777" w:rsidR="00394471" w:rsidRPr="00FA0D37" w:rsidRDefault="00394471" w:rsidP="00964CC4">
            <w:pPr>
              <w:pStyle w:val="TAL"/>
              <w:rPr>
                <w:b/>
                <w:i/>
                <w:lang w:eastAsia="ko-KR"/>
              </w:rPr>
            </w:pPr>
            <w:r w:rsidRPr="00FA0D37">
              <w:rPr>
                <w:b/>
                <w:i/>
                <w:lang w:eastAsia="ko-KR"/>
              </w:rPr>
              <w:t>dlRSRPAboveThreshold</w:t>
            </w:r>
          </w:p>
          <w:p w14:paraId="7D9E5FB4" w14:textId="4D147190" w:rsidR="00E84B6D" w:rsidRPr="00FA0D37" w:rsidRDefault="00E84B6D" w:rsidP="00E84B6D">
            <w:pPr>
              <w:pStyle w:val="TAL"/>
              <w:rPr>
                <w:lang w:eastAsia="sv-SE"/>
              </w:rPr>
            </w:pPr>
            <w:r w:rsidRPr="00FA0D37">
              <w:rPr>
                <w:lang w:eastAsia="sv-SE"/>
              </w:rPr>
              <w:t>In 4 step random access procedure,</w:t>
            </w:r>
            <w:r w:rsidRPr="00FA0D37">
              <w:rPr>
                <w:lang w:eastAsia="en-GB"/>
              </w:rPr>
              <w:t xml:space="preserve"> </w:t>
            </w:r>
            <w:r w:rsidRPr="00FA0D37">
              <w:rPr>
                <w:lang w:eastAsia="sv-SE"/>
              </w:rPr>
              <w:t>t</w:t>
            </w:r>
            <w:r w:rsidRPr="00FA0D37">
              <w:rPr>
                <w:lang w:eastAsia="en-GB"/>
              </w:rPr>
              <w:t xml:space="preserve">his </w:t>
            </w:r>
            <w:r w:rsidR="00394471" w:rsidRPr="00FA0D37">
              <w:rPr>
                <w:lang w:eastAsia="en-GB"/>
              </w:rPr>
              <w:t>fie</w:t>
            </w:r>
            <w:r w:rsidR="00394471" w:rsidRPr="00FA0D37">
              <w:rPr>
                <w:lang w:eastAsia="sv-SE"/>
              </w:rPr>
              <w:t>l</w:t>
            </w:r>
            <w:r w:rsidR="00394471" w:rsidRPr="00FA0D37">
              <w:rPr>
                <w:lang w:eastAsia="en-GB"/>
              </w:rPr>
              <w:t xml:space="preserve">d is used to indicate </w:t>
            </w:r>
            <w:r w:rsidR="00394471" w:rsidRPr="00FA0D37">
              <w:rPr>
                <w:lang w:eastAsia="sv-SE"/>
              </w:rPr>
              <w:t xml:space="preserve">whether the DL beam (SSB) quality associated to the random access attempt was above or below the threshold </w:t>
            </w:r>
            <w:r w:rsidR="00394471" w:rsidRPr="00FA0D37">
              <w:rPr>
                <w:i/>
                <w:lang w:eastAsia="sv-SE"/>
              </w:rPr>
              <w:t>rsrp-ThresholdSSB</w:t>
            </w:r>
            <w:r w:rsidR="00394471" w:rsidRPr="00FA0D37">
              <w:rPr>
                <w:lang w:eastAsia="sv-SE"/>
              </w:rPr>
              <w:t xml:space="preserve"> </w:t>
            </w:r>
            <w:r w:rsidR="00394471" w:rsidRPr="00FA0D37">
              <w:rPr>
                <w:rFonts w:eastAsia="Malgun Gothic"/>
                <w:lang w:eastAsia="ko-KR"/>
              </w:rPr>
              <w:t xml:space="preserve">in </w:t>
            </w:r>
            <w:r w:rsidR="00394471" w:rsidRPr="00FA0D37">
              <w:rPr>
                <w:rFonts w:eastAsia="Malgun Gothic"/>
                <w:i/>
                <w:lang w:eastAsia="ko-KR"/>
              </w:rPr>
              <w:t>beamFailureRecoveryConfig</w:t>
            </w:r>
            <w:r w:rsidR="00394471" w:rsidRPr="00FA0D37">
              <w:rPr>
                <w:rFonts w:eastAsia="Malgun Gothic"/>
                <w:lang w:eastAsia="ko-KR"/>
              </w:rPr>
              <w:t xml:space="preserve"> in UL BWP configuration of UL BWP selected for random access procedure initiated for beam failure recovery; </w:t>
            </w:r>
            <w:r w:rsidR="00394471" w:rsidRPr="00FA0D37">
              <w:t xml:space="preserve">Otherwise, </w:t>
            </w:r>
            <w:r w:rsidR="00394471" w:rsidRPr="00FA0D37">
              <w:rPr>
                <w:i/>
              </w:rPr>
              <w:t>rsrp-ThresholdSSB</w:t>
            </w:r>
            <w:r w:rsidR="00394471" w:rsidRPr="00FA0D37">
              <w:rPr>
                <w:rFonts w:eastAsia="Malgun Gothic"/>
                <w:lang w:eastAsia="ko-KR"/>
              </w:rPr>
              <w:t xml:space="preserve"> in </w:t>
            </w:r>
            <w:r w:rsidR="00394471" w:rsidRPr="00FA0D37">
              <w:rPr>
                <w:i/>
              </w:rPr>
              <w:t>rach-ConfigCommon</w:t>
            </w:r>
            <w:r w:rsidR="00394471" w:rsidRPr="00FA0D37">
              <w:rPr>
                <w:rFonts w:eastAsia="Malgun Gothic"/>
                <w:lang w:eastAsia="ko-KR"/>
              </w:rPr>
              <w:t xml:space="preserve"> in UL BWP configuration of UL BWP selected for random access procedure</w:t>
            </w:r>
            <w:r w:rsidR="00394471" w:rsidRPr="00FA0D37">
              <w:rPr>
                <w:lang w:eastAsia="sv-SE"/>
              </w:rPr>
              <w:t>.</w:t>
            </w:r>
          </w:p>
          <w:p w14:paraId="36241762" w14:textId="3FCA6943" w:rsidR="00394471" w:rsidRPr="00FA0D37" w:rsidRDefault="00E84B6D" w:rsidP="00E84B6D">
            <w:pPr>
              <w:pStyle w:val="TAL"/>
              <w:rPr>
                <w:b/>
                <w:i/>
                <w:lang w:eastAsia="ko-KR"/>
              </w:rPr>
            </w:pPr>
            <w:r w:rsidRPr="00FA0D37">
              <w:rPr>
                <w:lang w:eastAsia="sv-SE"/>
              </w:rPr>
              <w:t>In 2 step random access procedure, t</w:t>
            </w:r>
            <w:r w:rsidRPr="00FA0D37">
              <w:rPr>
                <w:lang w:eastAsia="en-GB"/>
              </w:rPr>
              <w:t>his fie</w:t>
            </w:r>
            <w:r w:rsidRPr="00FA0D37">
              <w:rPr>
                <w:lang w:eastAsia="sv-SE"/>
              </w:rPr>
              <w:t>l</w:t>
            </w:r>
            <w:r w:rsidRPr="00FA0D37">
              <w:rPr>
                <w:lang w:eastAsia="en-GB"/>
              </w:rPr>
              <w:t xml:space="preserve">d is used to indicate </w:t>
            </w:r>
            <w:r w:rsidRPr="00FA0D37">
              <w:rPr>
                <w:lang w:eastAsia="sv-SE"/>
              </w:rPr>
              <w:t xml:space="preserve">whether the DL beam (SSB) quality associated to the random access attempt was above or below the threshold </w:t>
            </w:r>
            <w:r w:rsidRPr="00FA0D37">
              <w:rPr>
                <w:i/>
                <w:iCs/>
              </w:rPr>
              <w:t xml:space="preserve">msgA-RSRP-ThresholdSSB </w:t>
            </w:r>
            <w:r w:rsidRPr="00FA0D37">
              <w:rPr>
                <w:rFonts w:eastAsia="Malgun Gothic"/>
                <w:lang w:eastAsia="ko-KR"/>
              </w:rPr>
              <w:t xml:space="preserve">in </w:t>
            </w:r>
            <w:r w:rsidRPr="00FA0D37">
              <w:rPr>
                <w:i/>
              </w:rPr>
              <w:t>rach-ConfigCommonTwoStepRA</w:t>
            </w:r>
            <w:r w:rsidRPr="00FA0D37">
              <w:rPr>
                <w:rFonts w:eastAsia="Malgun Gothic"/>
                <w:lang w:eastAsia="ko-KR"/>
              </w:rPr>
              <w:t xml:space="preserve"> in UL BWP configuration of UL BWP selected for random access procedure</w:t>
            </w:r>
            <w:r w:rsidRPr="00FA0D37">
              <w:rPr>
                <w:lang w:eastAsia="sv-SE"/>
              </w:rPr>
              <w:t>.</w:t>
            </w:r>
          </w:p>
        </w:tc>
      </w:tr>
      <w:tr w:rsidR="005C7FF4" w:rsidRPr="00FA0D37" w14:paraId="2E691AF3" w14:textId="77777777" w:rsidTr="00771058">
        <w:tc>
          <w:tcPr>
            <w:tcW w:w="14178" w:type="dxa"/>
            <w:tcBorders>
              <w:top w:val="single" w:sz="4" w:space="0" w:color="auto"/>
              <w:left w:val="single" w:sz="4" w:space="0" w:color="auto"/>
              <w:bottom w:val="single" w:sz="4" w:space="0" w:color="auto"/>
              <w:right w:val="single" w:sz="4" w:space="0" w:color="auto"/>
            </w:tcBorders>
          </w:tcPr>
          <w:p w14:paraId="353AFB4D" w14:textId="77777777" w:rsidR="00E84B6D" w:rsidRPr="00FA0D37" w:rsidRDefault="00E84B6D" w:rsidP="00771058">
            <w:pPr>
              <w:pStyle w:val="TAL"/>
              <w:rPr>
                <w:b/>
                <w:i/>
                <w:lang w:eastAsia="ko-KR"/>
              </w:rPr>
            </w:pPr>
            <w:r w:rsidRPr="00FA0D37">
              <w:rPr>
                <w:b/>
                <w:i/>
                <w:lang w:eastAsia="ko-KR"/>
              </w:rPr>
              <w:t>fallbackToFourStepRA</w:t>
            </w:r>
          </w:p>
          <w:p w14:paraId="32C799EE" w14:textId="77777777" w:rsidR="00E84B6D" w:rsidRPr="00FA0D37" w:rsidRDefault="00E84B6D" w:rsidP="00771058">
            <w:pPr>
              <w:pStyle w:val="TAL"/>
              <w:rPr>
                <w:b/>
                <w:i/>
                <w:lang w:eastAsia="ko-KR"/>
              </w:rPr>
            </w:pPr>
            <w:r w:rsidRPr="00FA0D37">
              <w:rPr>
                <w:bCs/>
                <w:iCs/>
                <w:lang w:eastAsia="ko-KR"/>
              </w:rPr>
              <w:t>This field indicates if a fallback indication in MsgB is received (according to TS 38.321 [3]) for the 2-step random access attempt.</w:t>
            </w:r>
          </w:p>
        </w:tc>
      </w:tr>
      <w:tr w:rsidR="005C7FF4" w:rsidRPr="00FA0D37" w14:paraId="1904C691" w14:textId="77777777" w:rsidTr="00771058">
        <w:tc>
          <w:tcPr>
            <w:tcW w:w="14178" w:type="dxa"/>
            <w:tcBorders>
              <w:top w:val="single" w:sz="4" w:space="0" w:color="auto"/>
              <w:left w:val="single" w:sz="4" w:space="0" w:color="auto"/>
              <w:bottom w:val="single" w:sz="4" w:space="0" w:color="auto"/>
              <w:right w:val="single" w:sz="4" w:space="0" w:color="auto"/>
            </w:tcBorders>
          </w:tcPr>
          <w:p w14:paraId="113BADCD" w14:textId="77777777" w:rsidR="00E84B6D" w:rsidRPr="00FA0D37" w:rsidRDefault="00E84B6D" w:rsidP="00771058">
            <w:pPr>
              <w:pStyle w:val="TAL"/>
              <w:rPr>
                <w:b/>
                <w:bCs/>
                <w:i/>
                <w:iCs/>
              </w:rPr>
            </w:pPr>
            <w:r w:rsidRPr="00FA0D37">
              <w:rPr>
                <w:b/>
                <w:bCs/>
                <w:i/>
                <w:iCs/>
              </w:rPr>
              <w:t>intendedSIBs</w:t>
            </w:r>
          </w:p>
          <w:p w14:paraId="39875CED" w14:textId="77777777" w:rsidR="00E84B6D" w:rsidRPr="00FA0D37" w:rsidRDefault="00E84B6D" w:rsidP="00771058">
            <w:pPr>
              <w:pStyle w:val="TAL"/>
              <w:rPr>
                <w:b/>
                <w:i/>
                <w:lang w:eastAsia="ko-KR"/>
              </w:rPr>
            </w:pPr>
            <w:r w:rsidRPr="00FA0D37">
              <w:t>This field indicates the SIB(s) the UE wanted to receive as a result of the on demand SI request (when the RA procedure is a used as a SI request) initiated by the UE. That is, it indicates the one(s) of the SIB(s) in the SI message(s) requested to be broadcast that the UE was interested in.</w:t>
            </w:r>
          </w:p>
        </w:tc>
      </w:tr>
      <w:tr w:rsidR="005C7FF4" w:rsidRPr="00FA0D37" w14:paraId="51A1C259" w14:textId="77777777" w:rsidTr="00E84B6D">
        <w:tc>
          <w:tcPr>
            <w:tcW w:w="14178" w:type="dxa"/>
            <w:tcBorders>
              <w:top w:val="single" w:sz="4" w:space="0" w:color="auto"/>
              <w:left w:val="single" w:sz="4" w:space="0" w:color="auto"/>
              <w:bottom w:val="single" w:sz="4" w:space="0" w:color="auto"/>
              <w:right w:val="single" w:sz="4" w:space="0" w:color="auto"/>
            </w:tcBorders>
          </w:tcPr>
          <w:p w14:paraId="68680A63" w14:textId="77777777" w:rsidR="007B1DEE" w:rsidRPr="00FA0D37" w:rsidRDefault="007B1DEE" w:rsidP="00201FDD">
            <w:pPr>
              <w:pStyle w:val="TAL"/>
              <w:rPr>
                <w:b/>
                <w:bCs/>
                <w:i/>
                <w:iCs/>
                <w:lang w:eastAsia="ko-KR"/>
              </w:rPr>
            </w:pPr>
            <w:r w:rsidRPr="00FA0D37">
              <w:rPr>
                <w:b/>
                <w:bCs/>
                <w:i/>
                <w:iCs/>
                <w:lang w:eastAsia="ko-KR"/>
              </w:rPr>
              <w:t>msg1-SCS-From-prach-ConfigurationIndex</w:t>
            </w:r>
          </w:p>
          <w:p w14:paraId="7A636189" w14:textId="1DEB9B73" w:rsidR="007B1DEE" w:rsidRPr="00FA0D37" w:rsidRDefault="007B1DEE" w:rsidP="00201FDD">
            <w:pPr>
              <w:pStyle w:val="TAL"/>
              <w:rPr>
                <w:lang w:eastAsia="ko-KR"/>
              </w:rPr>
            </w:pPr>
            <w:r w:rsidRPr="00FA0D37">
              <w:rPr>
                <w:szCs w:val="22"/>
                <w:lang w:eastAsia="sv-SE"/>
              </w:rPr>
              <w:t xml:space="preserve">This field is set by the UE with the corresponding SCS </w:t>
            </w:r>
            <w:r w:rsidR="004B0FA9" w:rsidRPr="00FA0D37">
              <w:rPr>
                <w:szCs w:val="22"/>
                <w:lang w:eastAsia="sv-SE"/>
              </w:rPr>
              <w:t xml:space="preserve">for CBRA </w:t>
            </w:r>
            <w:r w:rsidRPr="00FA0D37">
              <w:rPr>
                <w:szCs w:val="22"/>
                <w:lang w:eastAsia="sv-SE"/>
              </w:rPr>
              <w:t xml:space="preserve">as derived from the </w:t>
            </w:r>
            <w:r w:rsidRPr="00FA0D37">
              <w:rPr>
                <w:i/>
                <w:szCs w:val="22"/>
                <w:lang w:eastAsia="sv-SE"/>
              </w:rPr>
              <w:t>prach-ConfigurationIndex</w:t>
            </w:r>
            <w:r w:rsidRPr="00FA0D37">
              <w:rPr>
                <w:szCs w:val="22"/>
                <w:lang w:eastAsia="sv-SE"/>
              </w:rPr>
              <w:t xml:space="preserve"> in </w:t>
            </w:r>
            <w:r w:rsidRPr="00FA0D37">
              <w:rPr>
                <w:i/>
                <w:szCs w:val="22"/>
                <w:lang w:eastAsia="sv-SE"/>
              </w:rPr>
              <w:t>RACH-ConfigGeneric</w:t>
            </w:r>
            <w:r w:rsidRPr="00FA0D37" w:rsidDel="007D582A">
              <w:rPr>
                <w:szCs w:val="22"/>
                <w:lang w:eastAsia="sv-SE"/>
              </w:rPr>
              <w:t xml:space="preserve"> </w:t>
            </w:r>
            <w:r w:rsidRPr="00FA0D37">
              <w:rPr>
                <w:szCs w:val="22"/>
                <w:lang w:eastAsia="sv-SE"/>
              </w:rPr>
              <w:t xml:space="preserve">when the </w:t>
            </w:r>
            <w:r w:rsidRPr="00FA0D37">
              <w:rPr>
                <w:i/>
                <w:szCs w:val="22"/>
                <w:lang w:eastAsia="sv-SE"/>
              </w:rPr>
              <w:t>msg1-SubcarrierSpacing</w:t>
            </w:r>
            <w:r w:rsidRPr="00FA0D37">
              <w:rPr>
                <w:szCs w:val="22"/>
                <w:lang w:eastAsia="sv-SE"/>
              </w:rPr>
              <w:t xml:space="preserve"> is absent; otherwise, this field is absent.</w:t>
            </w:r>
          </w:p>
        </w:tc>
      </w:tr>
      <w:tr w:rsidR="005C7FF4" w:rsidRPr="00FA0D37" w14:paraId="72B2BC6F" w14:textId="77777777" w:rsidTr="00E84B6D">
        <w:tc>
          <w:tcPr>
            <w:tcW w:w="14178" w:type="dxa"/>
            <w:tcBorders>
              <w:top w:val="single" w:sz="4" w:space="0" w:color="auto"/>
              <w:left w:val="single" w:sz="4" w:space="0" w:color="auto"/>
              <w:bottom w:val="single" w:sz="4" w:space="0" w:color="auto"/>
              <w:right w:val="single" w:sz="4" w:space="0" w:color="auto"/>
            </w:tcBorders>
          </w:tcPr>
          <w:p w14:paraId="1E24D2F5" w14:textId="77777777" w:rsidR="004B0FA9" w:rsidRPr="00FA0D37" w:rsidRDefault="004B0FA9" w:rsidP="004B0FA9">
            <w:pPr>
              <w:keepNext/>
              <w:keepLines/>
              <w:spacing w:after="0"/>
              <w:rPr>
                <w:rFonts w:ascii="Arial" w:hAnsi="Arial"/>
                <w:b/>
                <w:i/>
                <w:sz w:val="18"/>
                <w:lang w:eastAsia="ko-KR"/>
              </w:rPr>
            </w:pPr>
            <w:r w:rsidRPr="00FA0D37">
              <w:rPr>
                <w:rFonts w:ascii="Arial" w:hAnsi="Arial"/>
                <w:b/>
                <w:i/>
                <w:sz w:val="18"/>
                <w:lang w:eastAsia="ko-KR"/>
              </w:rPr>
              <w:t>msg1-SCS-From-prach-ConfigurationIndexCFRA</w:t>
            </w:r>
          </w:p>
          <w:p w14:paraId="4E8C2D4D" w14:textId="05BDB190" w:rsidR="004B0FA9" w:rsidRPr="00FA0D37" w:rsidRDefault="004B0FA9" w:rsidP="004B0FA9">
            <w:pPr>
              <w:pStyle w:val="TAL"/>
              <w:rPr>
                <w:b/>
                <w:bCs/>
                <w:i/>
                <w:iCs/>
                <w:lang w:eastAsia="ko-KR"/>
              </w:rPr>
            </w:pPr>
            <w:r w:rsidRPr="00FA0D37">
              <w:rPr>
                <w:szCs w:val="22"/>
                <w:lang w:eastAsia="sv-SE"/>
              </w:rPr>
              <w:t xml:space="preserve">This field is set by the UE with the corresponding SCS for CFRA as derived from the </w:t>
            </w:r>
            <w:r w:rsidRPr="00FA0D37">
              <w:rPr>
                <w:i/>
                <w:szCs w:val="22"/>
                <w:lang w:eastAsia="sv-SE"/>
              </w:rPr>
              <w:t>prach-ConfigurationIndex</w:t>
            </w:r>
            <w:r w:rsidRPr="00FA0D37">
              <w:rPr>
                <w:szCs w:val="22"/>
                <w:lang w:eastAsia="sv-SE"/>
              </w:rPr>
              <w:t xml:space="preserve"> in </w:t>
            </w:r>
            <w:r w:rsidRPr="00FA0D37">
              <w:rPr>
                <w:i/>
                <w:szCs w:val="22"/>
                <w:lang w:eastAsia="sv-SE"/>
              </w:rPr>
              <w:t>RACH-ConfigGeneric</w:t>
            </w:r>
            <w:r w:rsidRPr="00FA0D37">
              <w:rPr>
                <w:szCs w:val="22"/>
                <w:lang w:eastAsia="sv-SE"/>
              </w:rPr>
              <w:t xml:space="preserve"> when the </w:t>
            </w:r>
            <w:r w:rsidRPr="00FA0D37">
              <w:rPr>
                <w:i/>
                <w:szCs w:val="22"/>
                <w:lang w:eastAsia="sv-SE"/>
              </w:rPr>
              <w:t>msg1-SubcarrierSpacing</w:t>
            </w:r>
            <w:r w:rsidRPr="00FA0D37">
              <w:rPr>
                <w:szCs w:val="22"/>
                <w:lang w:eastAsia="sv-SE"/>
              </w:rPr>
              <w:t xml:space="preserve"> is absent; otherwise, this field is absent.</w:t>
            </w:r>
          </w:p>
        </w:tc>
      </w:tr>
      <w:tr w:rsidR="005C7FF4" w:rsidRPr="00FA0D37" w14:paraId="10331A0B" w14:textId="77777777" w:rsidTr="00771058">
        <w:tc>
          <w:tcPr>
            <w:tcW w:w="14178" w:type="dxa"/>
            <w:tcBorders>
              <w:top w:val="single" w:sz="4" w:space="0" w:color="auto"/>
              <w:left w:val="single" w:sz="4" w:space="0" w:color="auto"/>
              <w:bottom w:val="single" w:sz="4" w:space="0" w:color="auto"/>
              <w:right w:val="single" w:sz="4" w:space="0" w:color="auto"/>
            </w:tcBorders>
          </w:tcPr>
          <w:p w14:paraId="4C880037" w14:textId="77777777" w:rsidR="00E84B6D" w:rsidRPr="00FA0D37" w:rsidRDefault="00E84B6D" w:rsidP="000830BB">
            <w:pPr>
              <w:pStyle w:val="TAL"/>
              <w:rPr>
                <w:b/>
                <w:bCs/>
                <w:i/>
                <w:iCs/>
                <w:lang w:eastAsia="ko-KR"/>
              </w:rPr>
            </w:pPr>
            <w:r w:rsidRPr="00FA0D37">
              <w:rPr>
                <w:b/>
                <w:bCs/>
                <w:i/>
                <w:iCs/>
                <w:lang w:eastAsia="ko-KR"/>
              </w:rPr>
              <w:t>msgA-PUSCH-PayloadSize</w:t>
            </w:r>
          </w:p>
          <w:p w14:paraId="187D0B9C" w14:textId="77777777" w:rsidR="00E84B6D" w:rsidRPr="00FA0D37" w:rsidRDefault="00E84B6D" w:rsidP="00771058">
            <w:pPr>
              <w:pStyle w:val="TAL"/>
              <w:rPr>
                <w:rFonts w:cs="Arial"/>
                <w:szCs w:val="18"/>
              </w:rPr>
            </w:pPr>
            <w:r w:rsidRPr="00FA0D37">
              <w:rPr>
                <w:rFonts w:cs="Arial"/>
                <w:szCs w:val="18"/>
              </w:rPr>
              <w:t>This field indicates the size of the overall payload available in the UE buffer at the time of initiating the 2 step RA procedure.</w:t>
            </w:r>
            <w:r w:rsidRPr="00FA0D37">
              <w:rPr>
                <w:lang w:eastAsia="en-GB"/>
              </w:rPr>
              <w:t xml:space="preserve"> The value refers to the index of TS 38.321 [3], table 6.1.3.1-1, corresponding to the UE buffer size</w:t>
            </w:r>
            <w:r w:rsidRPr="00FA0D37">
              <w:rPr>
                <w:rFonts w:cs="Arial"/>
                <w:szCs w:val="18"/>
              </w:rPr>
              <w:t>.</w:t>
            </w:r>
          </w:p>
        </w:tc>
      </w:tr>
      <w:tr w:rsidR="005C7FF4" w:rsidRPr="00FA0D37" w14:paraId="4DE11DFF" w14:textId="77777777" w:rsidTr="00771058">
        <w:tc>
          <w:tcPr>
            <w:tcW w:w="14178" w:type="dxa"/>
            <w:tcBorders>
              <w:top w:val="single" w:sz="4" w:space="0" w:color="auto"/>
              <w:left w:val="single" w:sz="4" w:space="0" w:color="auto"/>
              <w:bottom w:val="single" w:sz="4" w:space="0" w:color="auto"/>
              <w:right w:val="single" w:sz="4" w:space="0" w:color="auto"/>
            </w:tcBorders>
          </w:tcPr>
          <w:p w14:paraId="137ADE95" w14:textId="77777777" w:rsidR="00E84B6D" w:rsidRPr="00FA0D37" w:rsidRDefault="00E84B6D" w:rsidP="00771058">
            <w:pPr>
              <w:pStyle w:val="TAL"/>
              <w:rPr>
                <w:b/>
                <w:i/>
                <w:lang w:eastAsia="sv-SE"/>
              </w:rPr>
            </w:pPr>
            <w:r w:rsidRPr="00FA0D37">
              <w:rPr>
                <w:b/>
                <w:i/>
                <w:lang w:eastAsia="sv-SE"/>
              </w:rPr>
              <w:t>msgA-RO-FDM</w:t>
            </w:r>
          </w:p>
          <w:p w14:paraId="6BB9B1A6" w14:textId="77777777" w:rsidR="00E84B6D" w:rsidRPr="00FA0D37" w:rsidRDefault="00E84B6D" w:rsidP="00771058">
            <w:pPr>
              <w:pStyle w:val="TAL"/>
              <w:rPr>
                <w:b/>
                <w:i/>
                <w:lang w:eastAsia="ko-KR"/>
              </w:rPr>
            </w:pPr>
            <w:r w:rsidRPr="00FA0D37">
              <w:rPr>
                <w:bCs/>
                <w:iCs/>
                <w:lang w:eastAsia="sv-SE"/>
              </w:rPr>
              <w:t xml:space="preserve">This field indicates the </w:t>
            </w:r>
            <w:r w:rsidRPr="00FA0D37">
              <w:rPr>
                <w:lang w:eastAsia="sv-SE"/>
              </w:rPr>
              <w:t>number of msgA PRACH transmission occasions Frequency-Division Multiplexed in one time instance for the PRACH resources configured for 2-step CBRA..</w:t>
            </w:r>
          </w:p>
        </w:tc>
      </w:tr>
      <w:tr w:rsidR="005C7FF4" w:rsidRPr="00FA0D37" w14:paraId="3691D52B" w14:textId="77777777" w:rsidTr="00771058">
        <w:tc>
          <w:tcPr>
            <w:tcW w:w="14178" w:type="dxa"/>
            <w:tcBorders>
              <w:top w:val="single" w:sz="4" w:space="0" w:color="auto"/>
              <w:left w:val="single" w:sz="4" w:space="0" w:color="auto"/>
              <w:bottom w:val="single" w:sz="4" w:space="0" w:color="auto"/>
              <w:right w:val="single" w:sz="4" w:space="0" w:color="auto"/>
            </w:tcBorders>
          </w:tcPr>
          <w:p w14:paraId="5048A0AB" w14:textId="77777777" w:rsidR="00E84B6D" w:rsidRPr="00FA0D37" w:rsidRDefault="00E84B6D" w:rsidP="00771058">
            <w:pPr>
              <w:pStyle w:val="TAL"/>
              <w:rPr>
                <w:b/>
                <w:i/>
                <w:lang w:eastAsia="sv-SE"/>
              </w:rPr>
            </w:pPr>
            <w:r w:rsidRPr="00FA0D37">
              <w:rPr>
                <w:b/>
                <w:i/>
                <w:lang w:eastAsia="sv-SE"/>
              </w:rPr>
              <w:t>msgA-RO-FDMCFRA</w:t>
            </w:r>
          </w:p>
          <w:p w14:paraId="0D48A295" w14:textId="77777777" w:rsidR="00E84B6D" w:rsidRPr="00FA0D37" w:rsidRDefault="00E84B6D" w:rsidP="00771058">
            <w:pPr>
              <w:pStyle w:val="TAL"/>
              <w:rPr>
                <w:b/>
                <w:i/>
                <w:lang w:eastAsia="ko-KR"/>
              </w:rPr>
            </w:pPr>
            <w:r w:rsidRPr="00FA0D37">
              <w:rPr>
                <w:bCs/>
                <w:iCs/>
                <w:lang w:eastAsia="sv-SE"/>
              </w:rPr>
              <w:t xml:space="preserve">This field indicates the </w:t>
            </w:r>
            <w:r w:rsidRPr="00FA0D37">
              <w:rPr>
                <w:lang w:eastAsia="sv-SE"/>
              </w:rPr>
              <w:t>number of msgA PRACH transmission occasions Frequency-Division Multiplexed in one time instance for the PRACH resources configured for 2-step CFRA.</w:t>
            </w:r>
          </w:p>
        </w:tc>
      </w:tr>
      <w:tr w:rsidR="005C7FF4" w:rsidRPr="00FA0D37" w14:paraId="728CB9F7" w14:textId="77777777" w:rsidTr="00771058">
        <w:tc>
          <w:tcPr>
            <w:tcW w:w="14178" w:type="dxa"/>
            <w:tcBorders>
              <w:top w:val="single" w:sz="4" w:space="0" w:color="auto"/>
              <w:left w:val="single" w:sz="4" w:space="0" w:color="auto"/>
              <w:bottom w:val="single" w:sz="4" w:space="0" w:color="auto"/>
              <w:right w:val="single" w:sz="4" w:space="0" w:color="auto"/>
            </w:tcBorders>
          </w:tcPr>
          <w:p w14:paraId="13AB9E74" w14:textId="77777777" w:rsidR="00E84B6D" w:rsidRPr="00FA0D37" w:rsidRDefault="00E84B6D" w:rsidP="00771058">
            <w:pPr>
              <w:pStyle w:val="TAL"/>
              <w:rPr>
                <w:b/>
                <w:i/>
                <w:lang w:eastAsia="sv-SE"/>
              </w:rPr>
            </w:pPr>
            <w:r w:rsidRPr="00FA0D37">
              <w:rPr>
                <w:b/>
                <w:i/>
                <w:lang w:eastAsia="sv-SE"/>
              </w:rPr>
              <w:t>msgA-RO-FrequencyStart</w:t>
            </w:r>
          </w:p>
          <w:p w14:paraId="39EA74B9" w14:textId="16D6A280" w:rsidR="00E84B6D" w:rsidRPr="00FA0D37" w:rsidRDefault="00E84B6D" w:rsidP="00771058">
            <w:pPr>
              <w:pStyle w:val="TAL"/>
              <w:rPr>
                <w:b/>
                <w:i/>
                <w:lang w:eastAsia="ko-KR"/>
              </w:rPr>
            </w:pPr>
            <w:r w:rsidRPr="00FA0D37">
              <w:rPr>
                <w:lang w:eastAsia="ko-KR"/>
              </w:rPr>
              <w:t>This field indicates the lowest resource block of the contention based random-access resources for 2-step CBRA</w:t>
            </w:r>
            <w:r w:rsidRPr="00FA0D37">
              <w:t xml:space="preserve"> in the random-access procedure. The indication has the form of the o</w:t>
            </w:r>
            <w:r w:rsidRPr="00FA0D37">
              <w:rPr>
                <w:lang w:eastAsia="sv-SE"/>
              </w:rPr>
              <w:t>ffset of the lowest PRACH transmissions occasion with respect to PRB 0 in the frequency domain.</w:t>
            </w:r>
          </w:p>
        </w:tc>
      </w:tr>
      <w:tr w:rsidR="005C7FF4" w:rsidRPr="00FA0D37" w14:paraId="7175469C" w14:textId="77777777" w:rsidTr="00771058">
        <w:tc>
          <w:tcPr>
            <w:tcW w:w="14178" w:type="dxa"/>
            <w:tcBorders>
              <w:top w:val="single" w:sz="4" w:space="0" w:color="auto"/>
              <w:left w:val="single" w:sz="4" w:space="0" w:color="auto"/>
              <w:bottom w:val="single" w:sz="4" w:space="0" w:color="auto"/>
              <w:right w:val="single" w:sz="4" w:space="0" w:color="auto"/>
            </w:tcBorders>
          </w:tcPr>
          <w:p w14:paraId="1BC733FD" w14:textId="77777777" w:rsidR="00E84B6D" w:rsidRPr="00FA0D37" w:rsidRDefault="00E84B6D" w:rsidP="00771058">
            <w:pPr>
              <w:pStyle w:val="TAL"/>
              <w:rPr>
                <w:b/>
                <w:i/>
                <w:lang w:eastAsia="sv-SE"/>
              </w:rPr>
            </w:pPr>
            <w:r w:rsidRPr="00FA0D37">
              <w:rPr>
                <w:b/>
                <w:i/>
                <w:lang w:eastAsia="sv-SE"/>
              </w:rPr>
              <w:lastRenderedPageBreak/>
              <w:t>msgA-RO-FrequencyStartCFRA</w:t>
            </w:r>
          </w:p>
          <w:p w14:paraId="4422431B" w14:textId="4324D933" w:rsidR="00E84B6D" w:rsidRPr="00FA0D37" w:rsidRDefault="00E84B6D" w:rsidP="00771058">
            <w:pPr>
              <w:pStyle w:val="TAL"/>
              <w:rPr>
                <w:b/>
                <w:i/>
                <w:lang w:eastAsia="ko-KR"/>
              </w:rPr>
            </w:pPr>
            <w:r w:rsidRPr="00FA0D37">
              <w:rPr>
                <w:lang w:eastAsia="ko-KR"/>
              </w:rPr>
              <w:t xml:space="preserve">This field indicates the lowest resource block of the contention free random-access resources for the 2-step CFRA in </w:t>
            </w:r>
            <w:r w:rsidRPr="00FA0D37">
              <w:t>the random-access procedure. The indication has the form of the o</w:t>
            </w:r>
            <w:r w:rsidRPr="00FA0D37">
              <w:rPr>
                <w:lang w:eastAsia="sv-SE"/>
              </w:rPr>
              <w:t>ffset of the lowest PRACH transmissions occasion with respect to PRB 0 in the frequency domain.</w:t>
            </w:r>
          </w:p>
        </w:tc>
      </w:tr>
      <w:tr w:rsidR="005C7FF4" w:rsidRPr="00FA0D37" w14:paraId="2053A5AF" w14:textId="77777777" w:rsidTr="00771058">
        <w:tc>
          <w:tcPr>
            <w:tcW w:w="14178" w:type="dxa"/>
            <w:tcBorders>
              <w:top w:val="single" w:sz="4" w:space="0" w:color="auto"/>
              <w:left w:val="single" w:sz="4" w:space="0" w:color="auto"/>
              <w:bottom w:val="single" w:sz="4" w:space="0" w:color="auto"/>
              <w:right w:val="single" w:sz="4" w:space="0" w:color="auto"/>
            </w:tcBorders>
          </w:tcPr>
          <w:p w14:paraId="3B22CCC7" w14:textId="77777777" w:rsidR="00E84B6D" w:rsidRPr="00FA0D37" w:rsidRDefault="00E84B6D" w:rsidP="00771058">
            <w:pPr>
              <w:pStyle w:val="TAL"/>
              <w:rPr>
                <w:b/>
                <w:bCs/>
                <w:i/>
                <w:iCs/>
                <w:lang w:eastAsia="ko-KR"/>
              </w:rPr>
            </w:pPr>
            <w:r w:rsidRPr="00FA0D37">
              <w:rPr>
                <w:b/>
                <w:bCs/>
                <w:i/>
                <w:iCs/>
                <w:lang w:eastAsia="ko-KR"/>
              </w:rPr>
              <w:t>msgA-SCS-From-prach-ConfigurationIndex</w:t>
            </w:r>
          </w:p>
          <w:p w14:paraId="4116BCBE" w14:textId="77AD450D" w:rsidR="00E84B6D" w:rsidRPr="00FA0D37" w:rsidRDefault="00E84B6D" w:rsidP="00771058">
            <w:pPr>
              <w:pStyle w:val="TAL"/>
              <w:rPr>
                <w:lang w:eastAsia="ko-KR"/>
              </w:rPr>
            </w:pPr>
            <w:r w:rsidRPr="00FA0D37">
              <w:rPr>
                <w:szCs w:val="22"/>
                <w:lang w:eastAsia="sv-SE"/>
              </w:rPr>
              <w:t xml:space="preserve">This field is set by the UE with the corresponding SCS as derived from the </w:t>
            </w:r>
            <w:r w:rsidRPr="00FA0D37">
              <w:rPr>
                <w:i/>
                <w:szCs w:val="22"/>
                <w:lang w:eastAsia="sv-SE"/>
              </w:rPr>
              <w:t>msgA-</w:t>
            </w:r>
            <w:r w:rsidRPr="00FA0D37">
              <w:rPr>
                <w:i/>
                <w:lang w:eastAsia="sv-SE"/>
              </w:rPr>
              <w:t>PRACH-ConfigurationIndex</w:t>
            </w:r>
            <w:r w:rsidRPr="00FA0D37">
              <w:rPr>
                <w:lang w:eastAsia="sv-SE"/>
              </w:rPr>
              <w:t xml:space="preserve"> in </w:t>
            </w:r>
            <w:r w:rsidRPr="00FA0D37">
              <w:rPr>
                <w:i/>
                <w:lang w:eastAsia="sv-SE"/>
              </w:rPr>
              <w:t>RACH-ConfigGeneric</w:t>
            </w:r>
            <w:r w:rsidRPr="00FA0D37">
              <w:rPr>
                <w:i/>
                <w:szCs w:val="22"/>
                <w:lang w:eastAsia="sv-SE"/>
              </w:rPr>
              <w:t>TwoStepRA</w:t>
            </w:r>
            <w:r w:rsidRPr="00FA0D37" w:rsidDel="007D582A">
              <w:rPr>
                <w:szCs w:val="22"/>
                <w:lang w:eastAsia="sv-SE"/>
              </w:rPr>
              <w:t xml:space="preserve"> </w:t>
            </w:r>
            <w:r w:rsidR="004B0FA9" w:rsidRPr="00FA0D37">
              <w:rPr>
                <w:szCs w:val="22"/>
                <w:lang w:eastAsia="zh-CN"/>
              </w:rPr>
              <w:t>(</w:t>
            </w:r>
            <w:r w:rsidR="004B0FA9" w:rsidRPr="00FA0D37">
              <w:rPr>
                <w:lang w:eastAsia="sv-SE"/>
              </w:rPr>
              <w:t>see tables Table 6.3.3.1-1, Table 6.3.3.1-2, Table 6.3.3.2-2 and Table 6.3.3.2-3, TS 38.211 [16]</w:t>
            </w:r>
            <w:r w:rsidR="004B0FA9" w:rsidRPr="00FA0D37">
              <w:rPr>
                <w:szCs w:val="22"/>
                <w:lang w:eastAsia="zh-CN"/>
              </w:rPr>
              <w:t xml:space="preserve">) </w:t>
            </w:r>
            <w:r w:rsidRPr="00FA0D37">
              <w:rPr>
                <w:szCs w:val="22"/>
                <w:lang w:eastAsia="sv-SE"/>
              </w:rPr>
              <w:t xml:space="preserve">when the </w:t>
            </w:r>
            <w:r w:rsidRPr="00FA0D37">
              <w:rPr>
                <w:i/>
                <w:szCs w:val="22"/>
                <w:lang w:eastAsia="sv-SE"/>
              </w:rPr>
              <w:t>msgA-SubcarrierSpacing</w:t>
            </w:r>
            <w:r w:rsidRPr="00FA0D37">
              <w:rPr>
                <w:szCs w:val="22"/>
                <w:lang w:eastAsia="sv-SE"/>
              </w:rPr>
              <w:t xml:space="preserve"> is absent</w:t>
            </w:r>
            <w:r w:rsidR="00425CBF" w:rsidRPr="00FA0D37">
              <w:rPr>
                <w:szCs w:val="22"/>
                <w:lang w:eastAsia="sv-SE"/>
              </w:rPr>
              <w:t xml:space="preserve"> and when only 2-step random-access resources are available in the UL BWP used in the random-access procedure</w:t>
            </w:r>
            <w:r w:rsidRPr="00FA0D37">
              <w:rPr>
                <w:szCs w:val="22"/>
                <w:lang w:eastAsia="sv-SE"/>
              </w:rPr>
              <w:t>; otherwise, this field is absent.</w:t>
            </w:r>
          </w:p>
        </w:tc>
      </w:tr>
      <w:tr w:rsidR="005C7FF4" w:rsidRPr="00FA0D37" w14:paraId="78094525"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5E2F5967" w14:textId="77777777" w:rsidR="00394471" w:rsidRPr="00FA0D37" w:rsidRDefault="00394471" w:rsidP="00964CC4">
            <w:pPr>
              <w:pStyle w:val="TAL"/>
              <w:rPr>
                <w:rFonts w:eastAsia="等线"/>
                <w:b/>
                <w:i/>
                <w:iCs/>
                <w:lang w:eastAsia="sv-SE"/>
              </w:rPr>
            </w:pPr>
            <w:r w:rsidRPr="00FA0D37">
              <w:rPr>
                <w:rFonts w:eastAsia="等线"/>
                <w:b/>
                <w:i/>
                <w:iCs/>
                <w:lang w:eastAsia="sv-SE"/>
              </w:rPr>
              <w:t>numberOfPreamblesSentOnCSI-RS</w:t>
            </w:r>
          </w:p>
          <w:p w14:paraId="5985AB4B" w14:textId="77777777" w:rsidR="00394471" w:rsidRPr="00FA0D37" w:rsidRDefault="00394471" w:rsidP="00964CC4">
            <w:pPr>
              <w:pStyle w:val="TAL"/>
              <w:rPr>
                <w:b/>
                <w:i/>
                <w:szCs w:val="22"/>
                <w:lang w:eastAsia="sv-SE"/>
              </w:rPr>
            </w:pPr>
            <w:r w:rsidRPr="00FA0D37">
              <w:rPr>
                <w:rFonts w:eastAsia="等线"/>
                <w:lang w:eastAsia="sv-SE"/>
              </w:rPr>
              <w:t>This field is used to indicate the total number of successive RA preambles that were transmitted on the corresponding CSI-RS.</w:t>
            </w:r>
          </w:p>
        </w:tc>
      </w:tr>
      <w:tr w:rsidR="005C7FF4" w:rsidRPr="00FA0D37" w14:paraId="13AC52A9"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16AE81AC" w14:textId="77777777" w:rsidR="00394471" w:rsidRPr="00FA0D37" w:rsidRDefault="00394471" w:rsidP="00964CC4">
            <w:pPr>
              <w:pStyle w:val="TAL"/>
              <w:rPr>
                <w:rFonts w:eastAsia="等线"/>
                <w:b/>
                <w:i/>
                <w:iCs/>
                <w:lang w:eastAsia="sv-SE"/>
              </w:rPr>
            </w:pPr>
            <w:r w:rsidRPr="00FA0D37">
              <w:rPr>
                <w:rFonts w:eastAsia="等线"/>
                <w:b/>
                <w:i/>
                <w:iCs/>
                <w:lang w:eastAsia="sv-SE"/>
              </w:rPr>
              <w:t>numberOfPreamblesSentOnSSB</w:t>
            </w:r>
          </w:p>
          <w:p w14:paraId="3FB1663F" w14:textId="2946AEC0" w:rsidR="00394471" w:rsidRPr="00FA0D37" w:rsidRDefault="00394471" w:rsidP="00964CC4">
            <w:pPr>
              <w:pStyle w:val="TAL"/>
              <w:rPr>
                <w:b/>
                <w:i/>
                <w:szCs w:val="22"/>
                <w:lang w:eastAsia="sv-SE"/>
              </w:rPr>
            </w:pPr>
            <w:r w:rsidRPr="00FA0D37">
              <w:rPr>
                <w:rFonts w:eastAsia="等线"/>
                <w:lang w:eastAsia="sv-SE"/>
              </w:rPr>
              <w:t>This field is used to indicate the total number of successive RA preambles that were transmitted on the corresponding SS/PBCH block.</w:t>
            </w:r>
          </w:p>
        </w:tc>
      </w:tr>
      <w:tr w:rsidR="005C7FF4" w:rsidRPr="00FA0D37" w14:paraId="1474228A" w14:textId="77777777" w:rsidTr="00771058">
        <w:tc>
          <w:tcPr>
            <w:tcW w:w="14178" w:type="dxa"/>
            <w:tcBorders>
              <w:top w:val="single" w:sz="4" w:space="0" w:color="auto"/>
              <w:left w:val="single" w:sz="4" w:space="0" w:color="auto"/>
              <w:bottom w:val="single" w:sz="4" w:space="0" w:color="auto"/>
              <w:right w:val="single" w:sz="4" w:space="0" w:color="auto"/>
            </w:tcBorders>
          </w:tcPr>
          <w:p w14:paraId="44D621C8" w14:textId="77777777" w:rsidR="00E84B6D" w:rsidRPr="00FA0D37" w:rsidRDefault="00E84B6D" w:rsidP="00771058">
            <w:pPr>
              <w:pStyle w:val="TAL"/>
              <w:rPr>
                <w:rFonts w:eastAsia="等线"/>
                <w:b/>
                <w:i/>
                <w:iCs/>
                <w:lang w:eastAsia="sv-SE"/>
              </w:rPr>
            </w:pPr>
            <w:r w:rsidRPr="00FA0D37">
              <w:rPr>
                <w:rFonts w:eastAsia="等线"/>
                <w:b/>
                <w:i/>
                <w:iCs/>
                <w:lang w:eastAsia="sv-SE"/>
              </w:rPr>
              <w:t>onDemandSISuccess</w:t>
            </w:r>
          </w:p>
          <w:p w14:paraId="65DAC2E8" w14:textId="59838709" w:rsidR="00E84B6D" w:rsidRPr="00FA0D37" w:rsidRDefault="00E84B6D" w:rsidP="00771058">
            <w:pPr>
              <w:pStyle w:val="TAL"/>
              <w:rPr>
                <w:b/>
                <w:i/>
                <w:lang w:eastAsia="en-GB"/>
              </w:rPr>
            </w:pPr>
            <w:r w:rsidRPr="00FA0D37">
              <w:rPr>
                <w:rFonts w:eastAsia="等线"/>
                <w:lang w:eastAsia="sv-SE"/>
              </w:rPr>
              <w:t xml:space="preserve">This field is set to </w:t>
            </w:r>
            <w:r w:rsidRPr="00FA0D37">
              <w:rPr>
                <w:rFonts w:eastAsia="等线"/>
                <w:i/>
                <w:iCs/>
                <w:lang w:eastAsia="sv-SE"/>
              </w:rPr>
              <w:t>true</w:t>
            </w:r>
            <w:r w:rsidRPr="00FA0D37">
              <w:rPr>
                <w:rFonts w:eastAsia="等线"/>
                <w:lang w:eastAsia="sv-SE"/>
              </w:rPr>
              <w:t xml:space="preserve"> when the RA report entry is included because of either msg1 based on demand SI request or msg3 based on demand SI request and if the on-demand SI request is successful. Otherwise, the field is absent.</w:t>
            </w:r>
          </w:p>
        </w:tc>
      </w:tr>
      <w:tr w:rsidR="005C7FF4" w:rsidRPr="00FA0D37" w14:paraId="2C04E6CF"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54EBD3B7" w14:textId="77777777" w:rsidR="00394471" w:rsidRPr="00FA0D37" w:rsidRDefault="00394471" w:rsidP="00964CC4">
            <w:pPr>
              <w:pStyle w:val="TAL"/>
              <w:rPr>
                <w:b/>
                <w:i/>
                <w:lang w:eastAsia="en-GB"/>
              </w:rPr>
            </w:pPr>
            <w:r w:rsidRPr="00FA0D37">
              <w:rPr>
                <w:b/>
                <w:i/>
                <w:lang w:eastAsia="en-GB"/>
              </w:rPr>
              <w:t>perRAAttemptInfoList</w:t>
            </w:r>
          </w:p>
          <w:p w14:paraId="762607C4" w14:textId="77777777" w:rsidR="00394471" w:rsidRPr="00FA0D37" w:rsidRDefault="00394471" w:rsidP="00964CC4">
            <w:pPr>
              <w:pStyle w:val="TAL"/>
              <w:rPr>
                <w:rFonts w:eastAsia="等线"/>
                <w:b/>
                <w:i/>
                <w:iCs/>
                <w:lang w:eastAsia="sv-SE"/>
              </w:rPr>
            </w:pPr>
            <w:r w:rsidRPr="00FA0D37">
              <w:rPr>
                <w:lang w:eastAsia="en-GB"/>
              </w:rPr>
              <w:t>This field provides detailed information about a random access attempt.</w:t>
            </w:r>
          </w:p>
        </w:tc>
      </w:tr>
      <w:tr w:rsidR="005C7FF4" w:rsidRPr="00FA0D37" w14:paraId="534CA7E5"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10CB7419" w14:textId="77777777" w:rsidR="00394471" w:rsidRPr="00FA0D37" w:rsidRDefault="00394471" w:rsidP="00964CC4">
            <w:pPr>
              <w:pStyle w:val="TAL"/>
              <w:rPr>
                <w:rFonts w:eastAsia="等线"/>
                <w:b/>
                <w:i/>
                <w:lang w:eastAsia="sv-SE"/>
              </w:rPr>
            </w:pPr>
            <w:r w:rsidRPr="00FA0D37">
              <w:rPr>
                <w:rFonts w:eastAsia="等线"/>
                <w:b/>
                <w:i/>
                <w:lang w:eastAsia="sv-SE"/>
              </w:rPr>
              <w:t>perRACSI-RSInfoList</w:t>
            </w:r>
          </w:p>
          <w:p w14:paraId="6831A325" w14:textId="53DB86A7" w:rsidR="00394471" w:rsidRPr="00FA0D37" w:rsidRDefault="00394471" w:rsidP="00964CC4">
            <w:pPr>
              <w:pStyle w:val="TAL"/>
              <w:rPr>
                <w:b/>
                <w:i/>
                <w:szCs w:val="22"/>
                <w:lang w:eastAsia="sv-SE"/>
              </w:rPr>
            </w:pPr>
            <w:r w:rsidRPr="00FA0D37">
              <w:rPr>
                <w:rFonts w:eastAsia="等线"/>
                <w:lang w:eastAsia="sv-SE"/>
              </w:rPr>
              <w:t>This field provides detailed information about the successive random ac</w:t>
            </w:r>
            <w:r w:rsidR="00424C1A" w:rsidRPr="00FA0D37">
              <w:rPr>
                <w:rFonts w:eastAsia="等线"/>
                <w:lang w:eastAsia="sv-SE"/>
              </w:rPr>
              <w:t>c</w:t>
            </w:r>
            <w:r w:rsidRPr="00FA0D37">
              <w:rPr>
                <w:rFonts w:eastAsia="等线"/>
                <w:lang w:eastAsia="sv-SE"/>
              </w:rPr>
              <w:t>ess attempts associated to the same CSI-RS.</w:t>
            </w:r>
          </w:p>
        </w:tc>
      </w:tr>
      <w:tr w:rsidR="005C7FF4" w:rsidRPr="00FA0D37" w14:paraId="7F51186F"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3ED1D3C8" w14:textId="77777777" w:rsidR="00394471" w:rsidRPr="00FA0D37" w:rsidRDefault="00394471" w:rsidP="00964CC4">
            <w:pPr>
              <w:pStyle w:val="TAL"/>
              <w:rPr>
                <w:rFonts w:eastAsia="等线"/>
                <w:b/>
                <w:i/>
                <w:lang w:eastAsia="sv-SE"/>
              </w:rPr>
            </w:pPr>
            <w:r w:rsidRPr="00FA0D37">
              <w:rPr>
                <w:rFonts w:eastAsia="等线"/>
                <w:b/>
                <w:i/>
                <w:lang w:eastAsia="sv-SE"/>
              </w:rPr>
              <w:t>perRASSBInfoList</w:t>
            </w:r>
          </w:p>
          <w:p w14:paraId="12B68676" w14:textId="77777777" w:rsidR="00394471" w:rsidRPr="00FA0D37" w:rsidRDefault="00394471" w:rsidP="00964CC4">
            <w:pPr>
              <w:pStyle w:val="TAL"/>
              <w:rPr>
                <w:b/>
                <w:i/>
                <w:szCs w:val="22"/>
                <w:lang w:eastAsia="sv-SE"/>
              </w:rPr>
            </w:pPr>
            <w:r w:rsidRPr="00FA0D37">
              <w:rPr>
                <w:rFonts w:eastAsia="等线"/>
                <w:lang w:eastAsia="sv-SE"/>
              </w:rPr>
              <w:t>This field provides detailed information about the successive random access attempts associated to the same SS/PBCH block.</w:t>
            </w:r>
          </w:p>
        </w:tc>
      </w:tr>
      <w:tr w:rsidR="005C7FF4" w:rsidRPr="00FA0D37" w14:paraId="788EE570" w14:textId="77777777" w:rsidTr="00E84B6D">
        <w:tc>
          <w:tcPr>
            <w:tcW w:w="14178" w:type="dxa"/>
            <w:tcBorders>
              <w:top w:val="single" w:sz="4" w:space="0" w:color="auto"/>
              <w:left w:val="single" w:sz="4" w:space="0" w:color="auto"/>
              <w:bottom w:val="single" w:sz="4" w:space="0" w:color="auto"/>
              <w:right w:val="single" w:sz="4" w:space="0" w:color="auto"/>
            </w:tcBorders>
          </w:tcPr>
          <w:p w14:paraId="57C8A28F" w14:textId="77777777" w:rsidR="00847EEE" w:rsidRPr="00FA0D37" w:rsidRDefault="00847EEE" w:rsidP="00AF0F64">
            <w:pPr>
              <w:pStyle w:val="TAL"/>
              <w:rPr>
                <w:b/>
                <w:i/>
                <w:lang w:eastAsia="sv-SE"/>
              </w:rPr>
            </w:pPr>
            <w:r w:rsidRPr="00FA0D37">
              <w:rPr>
                <w:b/>
                <w:i/>
                <w:lang w:eastAsia="sv-SE"/>
              </w:rPr>
              <w:t>ra-InformationCommon</w:t>
            </w:r>
          </w:p>
          <w:p w14:paraId="47112A41" w14:textId="77777777" w:rsidR="00847EEE" w:rsidRPr="00FA0D37" w:rsidRDefault="00847EEE" w:rsidP="00AF0F64">
            <w:pPr>
              <w:pStyle w:val="TAL"/>
              <w:rPr>
                <w:bCs/>
                <w:iCs/>
                <w:lang w:eastAsia="sv-SE"/>
              </w:rPr>
            </w:pPr>
            <w:r w:rsidRPr="00FA0D37">
              <w:t>This field is used to provide information on random access attempts</w:t>
            </w:r>
            <w:r w:rsidRPr="00FA0D37">
              <w:rPr>
                <w:bCs/>
                <w:iCs/>
                <w:lang w:eastAsia="sv-SE"/>
              </w:rPr>
              <w:t>. This field is mandatory present.</w:t>
            </w:r>
          </w:p>
        </w:tc>
      </w:tr>
      <w:tr w:rsidR="005C7FF4" w:rsidRPr="00FA0D37" w14:paraId="2446E2F6"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652343AC" w14:textId="77777777" w:rsidR="00394471" w:rsidRPr="00FA0D37" w:rsidRDefault="00394471" w:rsidP="00964CC4">
            <w:pPr>
              <w:pStyle w:val="TAL"/>
              <w:rPr>
                <w:b/>
                <w:i/>
                <w:lang w:eastAsia="sv-SE"/>
              </w:rPr>
            </w:pPr>
            <w:r w:rsidRPr="00FA0D37">
              <w:rPr>
                <w:b/>
                <w:i/>
                <w:lang w:eastAsia="sv-SE"/>
              </w:rPr>
              <w:t>raPurpose</w:t>
            </w:r>
          </w:p>
          <w:p w14:paraId="14E80650" w14:textId="19AC2F9F" w:rsidR="00394471" w:rsidRPr="00FA0D37" w:rsidRDefault="00394471" w:rsidP="00964CC4">
            <w:pPr>
              <w:pStyle w:val="TAL"/>
              <w:rPr>
                <w:b/>
                <w:i/>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w:t>
            </w:r>
            <w:r w:rsidRPr="00FA0D37">
              <w:rPr>
                <w:lang w:eastAsia="sv-SE"/>
              </w:rPr>
              <w:t xml:space="preserve">the RA scenario for which the RA report entry is triggered. The RA accesses associated to Initial access from RRC_IDLE, </w:t>
            </w:r>
            <w:r w:rsidR="00FE090E" w:rsidRPr="00FA0D37">
              <w:rPr>
                <w:lang w:eastAsia="sv-SE"/>
              </w:rPr>
              <w:t xml:space="preserve">RRC re-establishment procedure, </w:t>
            </w:r>
            <w:r w:rsidRPr="00FA0D37">
              <w:rPr>
                <w:lang w:eastAsia="sv-SE"/>
              </w:rPr>
              <w:t>transition from RRC-INACTIVE.</w:t>
            </w:r>
            <w:r w:rsidRPr="00FA0D37">
              <w:t xml:space="preserve"> The indicator </w:t>
            </w:r>
            <w:r w:rsidRPr="00FA0D37">
              <w:rPr>
                <w:i/>
                <w:iCs/>
              </w:rPr>
              <w:t>beamFailureRecovery</w:t>
            </w:r>
            <w:r w:rsidRPr="00FA0D37">
              <w:t xml:space="preserve"> is used </w:t>
            </w:r>
            <w:r w:rsidRPr="00FA0D37">
              <w:rPr>
                <w:lang w:eastAsia="zh-CN"/>
              </w:rPr>
              <w:t xml:space="preserve">in case of </w:t>
            </w:r>
            <w:r w:rsidR="00511C9F" w:rsidRPr="00FA0D37">
              <w:rPr>
                <w:rFonts w:cs="Arial"/>
                <w:lang w:eastAsia="sv-SE"/>
              </w:rPr>
              <w:t xml:space="preserve">successful </w:t>
            </w:r>
            <w:r w:rsidRPr="00FA0D37">
              <w:rPr>
                <w:lang w:eastAsia="zh-CN"/>
              </w:rPr>
              <w:t xml:space="preserve">beam failure recovery </w:t>
            </w:r>
            <w:r w:rsidR="00511C9F" w:rsidRPr="00FA0D37">
              <w:rPr>
                <w:rFonts w:cs="Arial"/>
                <w:lang w:eastAsia="sv-SE"/>
              </w:rPr>
              <w:t xml:space="preserve">related RA procedure </w:t>
            </w:r>
            <w:r w:rsidRPr="00FA0D37">
              <w:rPr>
                <w:lang w:eastAsia="zh-CN"/>
              </w:rPr>
              <w:t xml:space="preserve">in the SpCell [3]. The indicator </w:t>
            </w:r>
            <w:r w:rsidRPr="00FA0D37">
              <w:rPr>
                <w:i/>
                <w:iCs/>
              </w:rPr>
              <w:t>reconfigurationWithSync</w:t>
            </w:r>
            <w:r w:rsidRPr="00FA0D37">
              <w:rPr>
                <w:lang w:eastAsia="zh-CN"/>
              </w:rPr>
              <w:t xml:space="preserve"> is used if the UE </w:t>
            </w:r>
            <w:r w:rsidRPr="00FA0D37">
              <w:t xml:space="preserve">executes a reconfiguration with sync. The indicator </w:t>
            </w:r>
            <w:r w:rsidRPr="00FA0D37">
              <w:rPr>
                <w:i/>
                <w:iCs/>
              </w:rPr>
              <w:t>ulUnSynchronized</w:t>
            </w:r>
            <w:r w:rsidRPr="00FA0D37">
              <w:t xml:space="preserve"> is used if the r</w:t>
            </w:r>
            <w:r w:rsidRPr="00FA0D37">
              <w:rPr>
                <w:lang w:eastAsia="ko-KR"/>
              </w:rPr>
              <w:t xml:space="preserve">andom access procedure is initiated in a SpCell by DL or UL data arrival during RRC_CONNECTED when the timeAlignmentTimer is not running in the PTAG or </w:t>
            </w:r>
            <w:r w:rsidR="00511C9F" w:rsidRPr="00FA0D37">
              <w:rPr>
                <w:rFonts w:cs="Arial"/>
                <w:lang w:eastAsia="sv-SE"/>
              </w:rPr>
              <w:t>if the RA procedure is initiated</w:t>
            </w:r>
            <w:r w:rsidR="00511C9F" w:rsidRPr="00FA0D37">
              <w:rPr>
                <w:lang w:eastAsia="ko-KR"/>
              </w:rPr>
              <w:t xml:space="preserve"> </w:t>
            </w:r>
            <w:r w:rsidRPr="00FA0D37">
              <w:rPr>
                <w:lang w:eastAsia="ko-KR"/>
              </w:rPr>
              <w:t xml:space="preserve">in a serving cell by a PDCCH order </w:t>
            </w:r>
            <w:r w:rsidRPr="00FA0D37">
              <w:rPr>
                <w:lang w:eastAsia="zh-CN"/>
              </w:rPr>
              <w:t>[3]</w:t>
            </w:r>
            <w:r w:rsidRPr="00FA0D37">
              <w:rPr>
                <w:lang w:eastAsia="ko-KR"/>
              </w:rPr>
              <w:t xml:space="preserve">. The indicator </w:t>
            </w:r>
            <w:r w:rsidRPr="00FA0D37">
              <w:rPr>
                <w:i/>
                <w:iCs/>
              </w:rPr>
              <w:t>schedulingRequestFailure</w:t>
            </w:r>
            <w:r w:rsidRPr="00FA0D37">
              <w:t xml:space="preserve"> is used in case of SR failures </w:t>
            </w:r>
            <w:r w:rsidRPr="00FA0D37">
              <w:rPr>
                <w:lang w:eastAsia="zh-CN"/>
              </w:rPr>
              <w:t>[3]</w:t>
            </w:r>
            <w:r w:rsidRPr="00FA0D37">
              <w:t xml:space="preserve">. The indicator </w:t>
            </w:r>
            <w:r w:rsidRPr="00FA0D37">
              <w:rPr>
                <w:i/>
                <w:iCs/>
              </w:rPr>
              <w:t>noPUCCHResourceAvailable</w:t>
            </w:r>
            <w:r w:rsidRPr="00FA0D37">
              <w:t xml:space="preserve"> is used when the UE has no valid SR PUCCH resources configured </w:t>
            </w:r>
            <w:r w:rsidRPr="00FA0D37">
              <w:rPr>
                <w:lang w:eastAsia="zh-CN"/>
              </w:rPr>
              <w:t>[3]</w:t>
            </w:r>
            <w:r w:rsidRPr="00FA0D37">
              <w:t xml:space="preserve">. The indicator </w:t>
            </w:r>
            <w:r w:rsidRPr="00FA0D37">
              <w:rPr>
                <w:i/>
                <w:iCs/>
              </w:rPr>
              <w:t>requestForOtherSI</w:t>
            </w:r>
            <w:r w:rsidRPr="00FA0D37">
              <w:rPr>
                <w:noProof/>
              </w:rPr>
              <w:t xml:space="preserve"> is used for MSG1 based on demand SI request.</w:t>
            </w:r>
            <w:r w:rsidR="00E84B6D" w:rsidRPr="00FA0D37">
              <w:t xml:space="preserve"> The indicator </w:t>
            </w:r>
            <w:r w:rsidR="00E84B6D" w:rsidRPr="00FA0D37">
              <w:rPr>
                <w:i/>
              </w:rPr>
              <w:t>msg3RequestForOtherSI</w:t>
            </w:r>
            <w:r w:rsidR="00E84B6D" w:rsidRPr="00FA0D37">
              <w:t xml:space="preserve"> is used in case of MSG3 based SI request.</w:t>
            </w:r>
            <w:r w:rsidR="004B0FA9" w:rsidRPr="00FA0D37">
              <w:t xml:space="preserve"> The field can also be used for the SCG-related RA-Report when the </w:t>
            </w:r>
            <w:r w:rsidR="004B0FA9" w:rsidRPr="00FA0D37">
              <w:rPr>
                <w:i/>
                <w:iCs/>
              </w:rPr>
              <w:t>raPurpose</w:t>
            </w:r>
            <w:r w:rsidR="004B0FA9" w:rsidRPr="00FA0D37">
              <w:t xml:space="preserve"> is set to </w:t>
            </w:r>
            <w:r w:rsidR="004B0FA9" w:rsidRPr="00FA0D37">
              <w:rPr>
                <w:i/>
                <w:iCs/>
              </w:rPr>
              <w:t>beamFailureRecovery</w:t>
            </w:r>
            <w:r w:rsidR="004B0FA9" w:rsidRPr="00FA0D37">
              <w:t xml:space="preserve">, </w:t>
            </w:r>
            <w:r w:rsidR="004B0FA9" w:rsidRPr="00FA0D37">
              <w:rPr>
                <w:i/>
                <w:iCs/>
              </w:rPr>
              <w:t>reconfigurationWithSync</w:t>
            </w:r>
            <w:r w:rsidR="004B0FA9" w:rsidRPr="00FA0D37">
              <w:t xml:space="preserve">, </w:t>
            </w:r>
            <w:r w:rsidR="004B0FA9" w:rsidRPr="00FA0D37">
              <w:rPr>
                <w:i/>
                <w:iCs/>
              </w:rPr>
              <w:t>ulUnSynchronized</w:t>
            </w:r>
            <w:r w:rsidR="004B0FA9" w:rsidRPr="00FA0D37">
              <w:t xml:space="preserve">, </w:t>
            </w:r>
            <w:r w:rsidR="004B0FA9" w:rsidRPr="00FA0D37">
              <w:rPr>
                <w:i/>
                <w:iCs/>
              </w:rPr>
              <w:t>schedulingRequestFailure</w:t>
            </w:r>
            <w:r w:rsidR="004B0FA9" w:rsidRPr="00FA0D37">
              <w:t xml:space="preserve"> and </w:t>
            </w:r>
            <w:r w:rsidR="004B0FA9" w:rsidRPr="00FA0D37">
              <w:rPr>
                <w:i/>
                <w:iCs/>
              </w:rPr>
              <w:t>noPUCCHResourceAvailable</w:t>
            </w:r>
            <w:r w:rsidR="004B0FA9" w:rsidRPr="00FA0D37">
              <w:t>.</w:t>
            </w:r>
          </w:p>
        </w:tc>
      </w:tr>
      <w:tr w:rsidR="005C7FF4" w:rsidRPr="00FA0D37" w14:paraId="0A703CDD" w14:textId="77777777" w:rsidTr="00771058">
        <w:tc>
          <w:tcPr>
            <w:tcW w:w="14178" w:type="dxa"/>
            <w:tcBorders>
              <w:top w:val="single" w:sz="4" w:space="0" w:color="auto"/>
              <w:left w:val="single" w:sz="4" w:space="0" w:color="auto"/>
              <w:bottom w:val="single" w:sz="4" w:space="0" w:color="auto"/>
              <w:right w:val="single" w:sz="4" w:space="0" w:color="auto"/>
            </w:tcBorders>
          </w:tcPr>
          <w:p w14:paraId="59069E87" w14:textId="77777777" w:rsidR="00E84B6D" w:rsidRPr="00FA0D37" w:rsidRDefault="00E84B6D" w:rsidP="00771058">
            <w:pPr>
              <w:pStyle w:val="TAL"/>
              <w:rPr>
                <w:b/>
                <w:i/>
                <w:lang w:eastAsia="sv-SE"/>
              </w:rPr>
            </w:pPr>
            <w:r w:rsidRPr="00FA0D37">
              <w:rPr>
                <w:b/>
                <w:i/>
                <w:lang w:eastAsia="sv-SE"/>
              </w:rPr>
              <w:t>spCellID</w:t>
            </w:r>
          </w:p>
          <w:p w14:paraId="6DFC7DBA" w14:textId="4A7A2B40" w:rsidR="00E84B6D" w:rsidRPr="00FA0D37" w:rsidRDefault="00E84B6D" w:rsidP="00771058">
            <w:pPr>
              <w:pStyle w:val="TAL"/>
              <w:rPr>
                <w:b/>
                <w:i/>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w:t>
            </w:r>
            <w:r w:rsidRPr="00FA0D37">
              <w:rPr>
                <w:lang w:eastAsia="sv-SE"/>
              </w:rPr>
              <w:t xml:space="preserve">the </w:t>
            </w:r>
            <w:r w:rsidRPr="00FA0D37">
              <w:rPr>
                <w:lang w:eastAsia="en-GB"/>
              </w:rPr>
              <w:t>CGI of the SpCell of the cell group associated to the SCell in which the associated random access procedure was performed</w:t>
            </w:r>
            <w:r w:rsidRPr="00FA0D37">
              <w:rPr>
                <w:lang w:eastAsia="sv-SE"/>
              </w:rPr>
              <w:t xml:space="preserve">. If the UE performs RA procedure on a SCell associated to the MCG, then this field is set to the CGI of the PCell and if the UE performs RA procedure on a SCell associated to the SCG, then this field is set to the CGI of the PSCell. </w:t>
            </w:r>
            <w:r w:rsidR="008C5759" w:rsidRPr="00FA0D37">
              <w:rPr>
                <w:lang w:eastAsia="sv-SE"/>
              </w:rPr>
              <w:t xml:space="preserve">If the CGI of the PSCell is not available at the UE for the RA procedure performed on a SCell associated to the SCG or for the RA procedure on the PSCell, this field is set to the CGI of the PCell. </w:t>
            </w:r>
            <w:r w:rsidRPr="00FA0D37">
              <w:rPr>
                <w:lang w:eastAsia="sv-SE"/>
              </w:rPr>
              <w:t>Otherwise, the field is absent.</w:t>
            </w:r>
          </w:p>
        </w:tc>
      </w:tr>
      <w:tr w:rsidR="005C7FF4" w:rsidRPr="00FA0D37" w14:paraId="3F092CD6"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4F0B2622" w14:textId="77777777" w:rsidR="00394471" w:rsidRPr="00FA0D37" w:rsidRDefault="00394471" w:rsidP="00964CC4">
            <w:pPr>
              <w:pStyle w:val="TAL"/>
              <w:rPr>
                <w:b/>
                <w:i/>
                <w:lang w:eastAsia="sv-SE"/>
              </w:rPr>
            </w:pPr>
            <w:r w:rsidRPr="00FA0D37">
              <w:rPr>
                <w:b/>
                <w:i/>
                <w:lang w:eastAsia="sv-SE"/>
              </w:rPr>
              <w:t>ssb-Index</w:t>
            </w:r>
          </w:p>
          <w:p w14:paraId="79C2BE3D" w14:textId="77777777" w:rsidR="00394471" w:rsidRPr="00FA0D37" w:rsidRDefault="00394471" w:rsidP="00964CC4">
            <w:pPr>
              <w:pStyle w:val="TAL"/>
              <w:rPr>
                <w:b/>
                <w:i/>
                <w:lang w:eastAsia="ko-KR"/>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w:t>
            </w:r>
            <w:r w:rsidRPr="00FA0D37">
              <w:rPr>
                <w:lang w:eastAsia="sv-SE"/>
              </w:rPr>
              <w:t>the SS/PBCH index of the SS/PBCH block corresponding to the random access attempt.</w:t>
            </w:r>
          </w:p>
        </w:tc>
      </w:tr>
      <w:tr w:rsidR="000830BB" w:rsidRPr="00FA0D37" w14:paraId="1A8BA54A" w14:textId="77777777" w:rsidTr="00E84B6D">
        <w:tc>
          <w:tcPr>
            <w:tcW w:w="14178" w:type="dxa"/>
            <w:tcBorders>
              <w:top w:val="single" w:sz="4" w:space="0" w:color="auto"/>
              <w:left w:val="single" w:sz="4" w:space="0" w:color="auto"/>
              <w:bottom w:val="single" w:sz="4" w:space="0" w:color="auto"/>
              <w:right w:val="single" w:sz="4" w:space="0" w:color="auto"/>
            </w:tcBorders>
            <w:hideMark/>
          </w:tcPr>
          <w:p w14:paraId="247B6C83" w14:textId="77777777" w:rsidR="00E84B6D" w:rsidRPr="00FA0D37" w:rsidRDefault="00E84B6D" w:rsidP="00771058">
            <w:pPr>
              <w:pStyle w:val="TAL"/>
              <w:rPr>
                <w:b/>
                <w:i/>
                <w:lang w:eastAsia="sv-SE"/>
              </w:rPr>
            </w:pPr>
            <w:r w:rsidRPr="00FA0D37">
              <w:rPr>
                <w:b/>
                <w:i/>
                <w:lang w:eastAsia="sv-SE"/>
              </w:rPr>
              <w:t>ssbsForSI-Acquisition</w:t>
            </w:r>
          </w:p>
          <w:p w14:paraId="2DFE944A" w14:textId="77777777" w:rsidR="00E84B6D" w:rsidRPr="00FA0D37" w:rsidRDefault="00E84B6D" w:rsidP="00771058">
            <w:pPr>
              <w:pStyle w:val="TAL"/>
              <w:rPr>
                <w:bCs/>
                <w:iCs/>
                <w:lang w:eastAsia="sv-SE"/>
              </w:rPr>
            </w:pPr>
            <w:r w:rsidRPr="00FA0D37">
              <w:rPr>
                <w:bCs/>
                <w:iCs/>
                <w:lang w:eastAsia="sv-SE"/>
              </w:rPr>
              <w:t xml:space="preserve">This field indicates the SSB(s) (in the form of SSB index(es)) that the UE used to receive the requested SI message(s). The field is present if the purpose of the random access procedure was to request on-demand SI (i.e. if the </w:t>
            </w:r>
            <w:r w:rsidRPr="00FA0D37">
              <w:rPr>
                <w:bCs/>
                <w:i/>
                <w:lang w:eastAsia="sv-SE"/>
              </w:rPr>
              <w:t>raPurpose</w:t>
            </w:r>
            <w:r w:rsidRPr="00FA0D37">
              <w:rPr>
                <w:bCs/>
                <w:iCs/>
                <w:lang w:eastAsia="sv-SE"/>
              </w:rPr>
              <w:t xml:space="preserve"> is set to </w:t>
            </w:r>
            <w:r w:rsidRPr="00FA0D37">
              <w:rPr>
                <w:bCs/>
                <w:i/>
                <w:lang w:eastAsia="sv-SE"/>
              </w:rPr>
              <w:t>requestForOtherSI</w:t>
            </w:r>
            <w:r w:rsidRPr="00FA0D37">
              <w:rPr>
                <w:bCs/>
                <w:iCs/>
                <w:lang w:eastAsia="sv-SE"/>
              </w:rPr>
              <w:t xml:space="preserve"> or </w:t>
            </w:r>
            <w:r w:rsidRPr="00FA0D37">
              <w:rPr>
                <w:bCs/>
                <w:i/>
                <w:lang w:eastAsia="sv-SE"/>
              </w:rPr>
              <w:t>msg3RequestForOtherSI</w:t>
            </w:r>
            <w:r w:rsidRPr="00FA0D37">
              <w:rPr>
                <w:bCs/>
                <w:iCs/>
                <w:lang w:eastAsia="sv-SE"/>
              </w:rPr>
              <w:t>). Otherwise, the field is absent.</w:t>
            </w:r>
          </w:p>
        </w:tc>
      </w:tr>
    </w:tbl>
    <w:p w14:paraId="53B712CD" w14:textId="77777777" w:rsidR="00394471" w:rsidRPr="00FA0D37"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4221806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1591904" w14:textId="77777777" w:rsidR="00394471" w:rsidRPr="00FA0D37" w:rsidRDefault="00394471" w:rsidP="00964CC4">
            <w:pPr>
              <w:pStyle w:val="TAH"/>
              <w:rPr>
                <w:szCs w:val="22"/>
                <w:lang w:eastAsia="sv-SE"/>
              </w:rPr>
            </w:pPr>
            <w:r w:rsidRPr="00FA0D37">
              <w:rPr>
                <w:i/>
                <w:iCs/>
                <w:lang w:eastAsia="ko-KR"/>
              </w:rPr>
              <w:lastRenderedPageBreak/>
              <w:t>RLF-Report</w:t>
            </w:r>
            <w:r w:rsidRPr="00FA0D37">
              <w:rPr>
                <w:iCs/>
                <w:lang w:eastAsia="en-GB"/>
              </w:rPr>
              <w:t xml:space="preserve"> field descriptions</w:t>
            </w:r>
          </w:p>
        </w:tc>
      </w:tr>
      <w:tr w:rsidR="005C7FF4" w:rsidRPr="00FA0D37" w14:paraId="77CB1849" w14:textId="77777777" w:rsidTr="00771058">
        <w:tc>
          <w:tcPr>
            <w:tcW w:w="14175" w:type="dxa"/>
            <w:tcBorders>
              <w:top w:val="single" w:sz="4" w:space="0" w:color="auto"/>
              <w:left w:val="single" w:sz="4" w:space="0" w:color="auto"/>
              <w:bottom w:val="single" w:sz="4" w:space="0" w:color="auto"/>
              <w:right w:val="single" w:sz="4" w:space="0" w:color="auto"/>
            </w:tcBorders>
          </w:tcPr>
          <w:p w14:paraId="016EC191" w14:textId="337C2762" w:rsidR="00E84B6D" w:rsidRPr="00FA0D37" w:rsidRDefault="00E84B6D" w:rsidP="00771058">
            <w:pPr>
              <w:pStyle w:val="TAL"/>
              <w:rPr>
                <w:b/>
                <w:i/>
              </w:rPr>
            </w:pPr>
            <w:r w:rsidRPr="00FA0D37">
              <w:rPr>
                <w:b/>
                <w:i/>
              </w:rPr>
              <w:t>choCandidateCellList</w:t>
            </w:r>
          </w:p>
          <w:p w14:paraId="110494BF" w14:textId="4EFC8061" w:rsidR="00E84B6D" w:rsidRPr="00FA0D37" w:rsidRDefault="00E84B6D" w:rsidP="00771058">
            <w:pPr>
              <w:pStyle w:val="TAL"/>
            </w:pPr>
            <w:r w:rsidRPr="00FA0D37">
              <w:rPr>
                <w:lang w:eastAsia="ko-KR"/>
              </w:rPr>
              <w:t xml:space="preserve">This field is used to indicate the list of candidate target cells </w:t>
            </w:r>
            <w:r w:rsidRPr="00FA0D37">
              <w:rPr>
                <w:lang w:eastAsia="en-GB"/>
              </w:rPr>
              <w:t>for conditional handover</w:t>
            </w:r>
            <w:r w:rsidRPr="00FA0D37">
              <w:t xml:space="preserve"> included in </w:t>
            </w:r>
            <w:r w:rsidRPr="00FA0D37">
              <w:rPr>
                <w:i/>
              </w:rPr>
              <w:t>condRRCReconfig</w:t>
            </w:r>
            <w:r w:rsidRPr="00FA0D37">
              <w:t xml:space="preserve"> at the time of connection failure. The field does not include the candidate target cells included in </w:t>
            </w:r>
            <w:r w:rsidRPr="00FA0D37">
              <w:rPr>
                <w:i/>
                <w:iCs/>
              </w:rPr>
              <w:t>measResul</w:t>
            </w:r>
            <w:r w:rsidR="00654402" w:rsidRPr="00FA0D37">
              <w:rPr>
                <w:i/>
                <w:iCs/>
              </w:rPr>
              <w:t>t</w:t>
            </w:r>
            <w:r w:rsidRPr="00FA0D37">
              <w:rPr>
                <w:i/>
                <w:iCs/>
              </w:rPr>
              <w:t>NeighCells</w:t>
            </w:r>
            <w:r w:rsidRPr="00FA0D37">
              <w:t>.</w:t>
            </w:r>
          </w:p>
        </w:tc>
      </w:tr>
      <w:tr w:rsidR="005C7FF4" w:rsidRPr="00FA0D37" w14:paraId="40428392" w14:textId="77777777" w:rsidTr="00771058">
        <w:tc>
          <w:tcPr>
            <w:tcW w:w="14175" w:type="dxa"/>
            <w:tcBorders>
              <w:top w:val="single" w:sz="4" w:space="0" w:color="auto"/>
              <w:left w:val="single" w:sz="4" w:space="0" w:color="auto"/>
              <w:bottom w:val="single" w:sz="4" w:space="0" w:color="auto"/>
              <w:right w:val="single" w:sz="4" w:space="0" w:color="auto"/>
            </w:tcBorders>
          </w:tcPr>
          <w:p w14:paraId="5EBFF8EA" w14:textId="77777777" w:rsidR="00E84B6D" w:rsidRPr="00FA0D37" w:rsidRDefault="00E84B6D" w:rsidP="00771058">
            <w:pPr>
              <w:pStyle w:val="TAL"/>
              <w:rPr>
                <w:b/>
                <w:i/>
              </w:rPr>
            </w:pPr>
            <w:r w:rsidRPr="00FA0D37">
              <w:rPr>
                <w:b/>
                <w:i/>
              </w:rPr>
              <w:t>choCellId</w:t>
            </w:r>
          </w:p>
          <w:p w14:paraId="05BD0A58" w14:textId="77777777" w:rsidR="00E84B6D" w:rsidRPr="00FA0D37" w:rsidRDefault="00E84B6D" w:rsidP="00771058">
            <w:pPr>
              <w:pStyle w:val="TAL"/>
              <w:rPr>
                <w:b/>
                <w:i/>
              </w:rPr>
            </w:pPr>
            <w:r w:rsidRPr="00FA0D37">
              <w:rPr>
                <w:lang w:eastAsia="en-GB"/>
              </w:rPr>
              <w:t xml:space="preserve">This field is used to indicate </w:t>
            </w:r>
            <w:r w:rsidRPr="00FA0D37">
              <w:t xml:space="preserve">the </w:t>
            </w:r>
            <w:r w:rsidRPr="00FA0D37">
              <w:rPr>
                <w:lang w:eastAsia="en-GB"/>
              </w:rPr>
              <w:t>candidate target cell for conditional handover</w:t>
            </w:r>
            <w:r w:rsidRPr="00FA0D37">
              <w:t xml:space="preserve"> included in </w:t>
            </w:r>
            <w:r w:rsidRPr="00FA0D37">
              <w:rPr>
                <w:i/>
              </w:rPr>
              <w:t>condRRCReconfig</w:t>
            </w:r>
            <w:r w:rsidRPr="00FA0D37">
              <w:t xml:space="preserve"> that the UE selected for CHO based recovery while T311 is running.</w:t>
            </w:r>
          </w:p>
        </w:tc>
      </w:tr>
      <w:tr w:rsidR="005C7FF4" w:rsidRPr="00FA0D37" w14:paraId="52D397C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48A480" w14:textId="77777777" w:rsidR="00394471" w:rsidRPr="00FA0D37" w:rsidRDefault="00394471" w:rsidP="00964CC4">
            <w:pPr>
              <w:pStyle w:val="TAL"/>
              <w:rPr>
                <w:b/>
                <w:i/>
                <w:lang w:eastAsia="sv-SE"/>
              </w:rPr>
            </w:pPr>
            <w:r w:rsidRPr="00FA0D37">
              <w:rPr>
                <w:b/>
                <w:i/>
                <w:lang w:eastAsia="sv-SE"/>
              </w:rPr>
              <w:t>connectionFailureType</w:t>
            </w:r>
          </w:p>
          <w:p w14:paraId="6FDB803D" w14:textId="77777777" w:rsidR="00394471" w:rsidRPr="00FA0D37" w:rsidRDefault="00394471" w:rsidP="00964CC4">
            <w:pPr>
              <w:pStyle w:val="TAL"/>
              <w:rPr>
                <w:szCs w:val="22"/>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w:t>
            </w:r>
            <w:r w:rsidRPr="00FA0D37">
              <w:rPr>
                <w:lang w:eastAsia="sv-SE"/>
              </w:rPr>
              <w:t>whether the connection failure is due to radio link failure or handover failure.</w:t>
            </w:r>
          </w:p>
        </w:tc>
      </w:tr>
      <w:tr w:rsidR="005C7FF4" w:rsidRPr="00FA0D37" w14:paraId="6590E13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726B43" w14:textId="66070AB0" w:rsidR="00394471" w:rsidRPr="00FA0D37" w:rsidRDefault="00394471" w:rsidP="00964CC4">
            <w:pPr>
              <w:pStyle w:val="TAL"/>
              <w:rPr>
                <w:b/>
                <w:i/>
                <w:lang w:eastAsia="sv-SE"/>
              </w:rPr>
            </w:pPr>
            <w:r w:rsidRPr="00FA0D37">
              <w:rPr>
                <w:b/>
                <w:i/>
                <w:lang w:eastAsia="sv-SE"/>
              </w:rPr>
              <w:t>csi-rsRLMConfigBitmap</w:t>
            </w:r>
            <w:r w:rsidR="00FE090E" w:rsidRPr="00FA0D37">
              <w:rPr>
                <w:rFonts w:ascii="宋体" w:eastAsia="宋体" w:hAnsi="宋体" w:cs="宋体"/>
                <w:b/>
                <w:i/>
              </w:rPr>
              <w:t>,</w:t>
            </w:r>
            <w:r w:rsidR="00FE090E" w:rsidRPr="00FA0D37">
              <w:rPr>
                <w:b/>
                <w:i/>
                <w:lang w:eastAsia="sv-SE"/>
              </w:rPr>
              <w:t>csi-rsRLMConfigBitmap-v16</w:t>
            </w:r>
            <w:r w:rsidR="001F631E" w:rsidRPr="00FA0D37">
              <w:rPr>
                <w:b/>
                <w:i/>
                <w:lang w:eastAsia="sv-SE"/>
              </w:rPr>
              <w:t>50</w:t>
            </w:r>
          </w:p>
          <w:p w14:paraId="3289A522" w14:textId="464A23FF" w:rsidR="00394471" w:rsidRPr="00FA0D37" w:rsidRDefault="00FE090E" w:rsidP="00964CC4">
            <w:pPr>
              <w:pStyle w:val="TAL"/>
              <w:rPr>
                <w:b/>
                <w:i/>
                <w:lang w:eastAsia="sv-SE"/>
              </w:rPr>
            </w:pPr>
            <w:r w:rsidRPr="00FA0D37">
              <w:rPr>
                <w:lang w:eastAsia="sv-SE"/>
              </w:rPr>
              <w:t>T</w:t>
            </w:r>
            <w:r w:rsidRPr="00FA0D37">
              <w:rPr>
                <w:lang w:eastAsia="en-GB"/>
              </w:rPr>
              <w:t xml:space="preserve">hese </w:t>
            </w:r>
            <w:r w:rsidR="00394471" w:rsidRPr="00FA0D37">
              <w:rPr>
                <w:lang w:eastAsia="en-GB"/>
              </w:rPr>
              <w:t>fie</w:t>
            </w:r>
            <w:r w:rsidR="00394471" w:rsidRPr="00FA0D37">
              <w:rPr>
                <w:lang w:eastAsia="sv-SE"/>
              </w:rPr>
              <w:t>l</w:t>
            </w:r>
            <w:r w:rsidR="00394471" w:rsidRPr="00FA0D37">
              <w:rPr>
                <w:lang w:eastAsia="en-GB"/>
              </w:rPr>
              <w:t>d</w:t>
            </w:r>
            <w:r w:rsidRPr="00FA0D37">
              <w:rPr>
                <w:lang w:eastAsia="en-GB"/>
              </w:rPr>
              <w:t>s</w:t>
            </w:r>
            <w:r w:rsidR="00394471" w:rsidRPr="00FA0D37">
              <w:rPr>
                <w:lang w:eastAsia="en-GB"/>
              </w:rPr>
              <w:t xml:space="preserve"> </w:t>
            </w:r>
            <w:r w:rsidRPr="00FA0D37">
              <w:rPr>
                <w:lang w:eastAsia="en-GB"/>
              </w:rPr>
              <w:t xml:space="preserve">are </w:t>
            </w:r>
            <w:r w:rsidR="00394471" w:rsidRPr="00FA0D37">
              <w:rPr>
                <w:lang w:eastAsia="en-GB"/>
              </w:rPr>
              <w:t xml:space="preserve">used to indicate the CSI-RS indexes </w:t>
            </w:r>
            <w:r w:rsidRPr="00FA0D37">
              <w:rPr>
                <w:lang w:eastAsia="en-GB"/>
              </w:rPr>
              <w:t>configured in</w:t>
            </w:r>
            <w:r w:rsidR="00394471" w:rsidRPr="00FA0D37">
              <w:rPr>
                <w:lang w:eastAsia="en-GB"/>
              </w:rPr>
              <w:t xml:space="preserve"> the </w:t>
            </w:r>
            <w:r w:rsidR="00394471" w:rsidRPr="00FA0D37">
              <w:rPr>
                <w:lang w:eastAsia="sv-SE"/>
              </w:rPr>
              <w:t>RLM configurations</w:t>
            </w:r>
            <w:r w:rsidRPr="00FA0D37">
              <w:rPr>
                <w:lang w:eastAsia="sv-SE"/>
              </w:rPr>
              <w:t xml:space="preserve"> for the active BWP when the UE declares RLF or HOF. The UE first fills in the </w:t>
            </w:r>
            <w:r w:rsidRPr="00FA0D37">
              <w:rPr>
                <w:i/>
                <w:lang w:eastAsia="sv-SE"/>
              </w:rPr>
              <w:t>csi-rsRLMConfigBitmap-r16</w:t>
            </w:r>
            <w:r w:rsidRPr="00FA0D37">
              <w:rPr>
                <w:lang w:eastAsia="sv-SE"/>
              </w:rPr>
              <w:t xml:space="preserve"> to indicate the first 96 CSI-RS indexes and then </w:t>
            </w:r>
            <w:r w:rsidRPr="00FA0D37">
              <w:rPr>
                <w:i/>
                <w:lang w:eastAsia="sv-SE"/>
              </w:rPr>
              <w:t>csi-rsRLMConfigBitmap-v16</w:t>
            </w:r>
            <w:r w:rsidR="001F631E" w:rsidRPr="00FA0D37">
              <w:rPr>
                <w:i/>
                <w:lang w:eastAsia="sv-SE"/>
              </w:rPr>
              <w:t>50</w:t>
            </w:r>
            <w:r w:rsidRPr="00FA0D37">
              <w:rPr>
                <w:lang w:eastAsia="sv-SE"/>
              </w:rPr>
              <w:t xml:space="preserve"> to indicate the latter 96 CSI-RS indexes. The first/leftmost bit in </w:t>
            </w:r>
            <w:r w:rsidRPr="00FA0D37">
              <w:rPr>
                <w:i/>
                <w:lang w:eastAsia="sv-SE"/>
              </w:rPr>
              <w:t xml:space="preserve">csi-rsRLMConfigBitmap-r16 </w:t>
            </w:r>
            <w:r w:rsidRPr="00FA0D37">
              <w:rPr>
                <w:lang w:eastAsia="sv-SE"/>
              </w:rPr>
              <w:t xml:space="preserve">corresponds to CSI-RS index 0, the second bit corresponds to CSI-RS index 1. The first/leftmost bit in </w:t>
            </w:r>
            <w:r w:rsidRPr="00FA0D37">
              <w:rPr>
                <w:i/>
                <w:lang w:eastAsia="sv-SE"/>
              </w:rPr>
              <w:t>csi-rsRLMConfigBitmap-v16</w:t>
            </w:r>
            <w:r w:rsidR="001F631E" w:rsidRPr="00FA0D37">
              <w:rPr>
                <w:i/>
                <w:lang w:eastAsia="sv-SE"/>
              </w:rPr>
              <w:t>50</w:t>
            </w:r>
            <w:r w:rsidRPr="00FA0D37">
              <w:rPr>
                <w:i/>
                <w:lang w:eastAsia="sv-SE"/>
              </w:rPr>
              <w:t xml:space="preserve"> </w:t>
            </w:r>
            <w:r w:rsidRPr="00FA0D37">
              <w:rPr>
                <w:lang w:eastAsia="sv-SE"/>
              </w:rPr>
              <w:t xml:space="preserve">corresponds to CSI-RS index 96, the second bit corresponds to CSI-RS index 97. These fields are included only if the </w:t>
            </w:r>
            <w:r w:rsidRPr="00FA0D37">
              <w:rPr>
                <w:i/>
                <w:lang w:eastAsia="sv-SE"/>
              </w:rPr>
              <w:t>RadioLinkMonitoringConfig</w:t>
            </w:r>
            <w:r w:rsidRPr="00FA0D37">
              <w:rPr>
                <w:lang w:eastAsia="sv-SE"/>
              </w:rPr>
              <w:t xml:space="preserve"> for the respective BWP is configured</w:t>
            </w:r>
            <w:r w:rsidR="00394471" w:rsidRPr="00FA0D37">
              <w:rPr>
                <w:lang w:eastAsia="sv-SE"/>
              </w:rPr>
              <w:t>.</w:t>
            </w:r>
          </w:p>
        </w:tc>
      </w:tr>
      <w:tr w:rsidR="005C7FF4" w:rsidRPr="00FA0D37" w14:paraId="3B22CE4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1DE3D7" w14:textId="77777777" w:rsidR="00394471" w:rsidRPr="00FA0D37" w:rsidRDefault="00394471" w:rsidP="00964CC4">
            <w:pPr>
              <w:pStyle w:val="TAL"/>
              <w:rPr>
                <w:b/>
                <w:i/>
                <w:lang w:eastAsia="en-GB"/>
              </w:rPr>
            </w:pPr>
            <w:r w:rsidRPr="00FA0D37">
              <w:rPr>
                <w:b/>
                <w:i/>
                <w:lang w:eastAsia="en-GB"/>
              </w:rPr>
              <w:t>c-RNTI</w:t>
            </w:r>
          </w:p>
          <w:p w14:paraId="4FBA5A30" w14:textId="77777777" w:rsidR="00394471" w:rsidRPr="00FA0D37" w:rsidRDefault="00394471" w:rsidP="00964CC4">
            <w:pPr>
              <w:pStyle w:val="TAL"/>
              <w:rPr>
                <w:szCs w:val="22"/>
                <w:lang w:eastAsia="sv-SE"/>
              </w:rPr>
            </w:pPr>
            <w:r w:rsidRPr="00FA0D37">
              <w:rPr>
                <w:lang w:eastAsia="en-GB"/>
              </w:rPr>
              <w:t>This field indicates the C-RNTI used in the PCell upon detecting radio link failure or the C-RNTI used in the source PCell upon handover failure.</w:t>
            </w:r>
          </w:p>
        </w:tc>
      </w:tr>
      <w:tr w:rsidR="005C7FF4" w:rsidRPr="00FA0D37" w14:paraId="225B807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150B81C" w14:textId="77777777" w:rsidR="00394471" w:rsidRPr="00FA0D37" w:rsidRDefault="00394471" w:rsidP="00964CC4">
            <w:pPr>
              <w:pStyle w:val="TAL"/>
              <w:rPr>
                <w:b/>
                <w:i/>
                <w:lang w:eastAsia="en-GB"/>
              </w:rPr>
            </w:pPr>
            <w:r w:rsidRPr="00FA0D37">
              <w:rPr>
                <w:b/>
                <w:i/>
                <w:lang w:eastAsia="en-GB"/>
              </w:rPr>
              <w:t>failedPCellId</w:t>
            </w:r>
          </w:p>
          <w:p w14:paraId="50B3F219" w14:textId="77777777" w:rsidR="00394471" w:rsidRPr="00FA0D37" w:rsidRDefault="00394471" w:rsidP="00964CC4">
            <w:pPr>
              <w:pStyle w:val="TAL"/>
              <w:rPr>
                <w:b/>
                <w:i/>
                <w:szCs w:val="22"/>
                <w:lang w:eastAsia="sv-SE"/>
              </w:rPr>
            </w:pPr>
            <w:r w:rsidRPr="00FA0D37">
              <w:rPr>
                <w:lang w:eastAsia="en-GB"/>
              </w:rPr>
              <w:t xml:space="preserve">This field is used to indicate the PCell in which RLF is detected or the target PCell of the failed handover. For intra-NR handover </w:t>
            </w:r>
            <w:r w:rsidRPr="00FA0D37">
              <w:rPr>
                <w:i/>
                <w:iCs/>
              </w:rPr>
              <w:t>nrFailedPCellId</w:t>
            </w:r>
            <w:r w:rsidRPr="00FA0D37">
              <w:t xml:space="preserve"> is included and for the handover from NR to EUTRA </w:t>
            </w:r>
            <w:r w:rsidRPr="00FA0D37">
              <w:rPr>
                <w:i/>
                <w:iCs/>
              </w:rPr>
              <w:t>eutraFailedPCellId</w:t>
            </w:r>
            <w:r w:rsidRPr="00FA0D37">
              <w:t xml:space="preserve"> is included.</w:t>
            </w:r>
            <w:r w:rsidRPr="00FA0D37">
              <w:rPr>
                <w:lang w:eastAsia="en-GB"/>
              </w:rPr>
              <w:t xml:space="preserve"> The UE sets the ARFCN according to the frequency band used for transmission/ reception when the failure occurred.</w:t>
            </w:r>
          </w:p>
        </w:tc>
      </w:tr>
      <w:tr w:rsidR="005C7FF4" w:rsidRPr="00FA0D37" w14:paraId="0BECD38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5B8DAD" w14:textId="77777777" w:rsidR="00394471" w:rsidRPr="00FA0D37" w:rsidRDefault="00394471" w:rsidP="00964CC4">
            <w:pPr>
              <w:pStyle w:val="TAL"/>
              <w:rPr>
                <w:b/>
                <w:i/>
                <w:lang w:eastAsia="en-GB"/>
              </w:rPr>
            </w:pPr>
            <w:r w:rsidRPr="00FA0D37">
              <w:rPr>
                <w:b/>
                <w:i/>
                <w:lang w:eastAsia="en-GB"/>
              </w:rPr>
              <w:t>failedPCellId-EUTRA</w:t>
            </w:r>
          </w:p>
          <w:p w14:paraId="7256EDC7" w14:textId="77777777" w:rsidR="00394471" w:rsidRPr="00FA0D37" w:rsidRDefault="00394471" w:rsidP="00964CC4">
            <w:pPr>
              <w:pStyle w:val="TAL"/>
              <w:rPr>
                <w:b/>
                <w:i/>
                <w:lang w:eastAsia="en-GB"/>
              </w:rPr>
            </w:pPr>
            <w:r w:rsidRPr="00FA0D37">
              <w:rPr>
                <w:lang w:eastAsia="en-GB"/>
              </w:rPr>
              <w:t>This field is used to indicate the PCell in which RLF is detected or the source PCell of the failed handover in an E-UTRA RLF report.</w:t>
            </w:r>
          </w:p>
        </w:tc>
      </w:tr>
      <w:tr w:rsidR="005C7FF4" w:rsidRPr="00FA0D37" w14:paraId="67365E8C" w14:textId="77777777" w:rsidTr="00771058">
        <w:tc>
          <w:tcPr>
            <w:tcW w:w="14175" w:type="dxa"/>
            <w:tcBorders>
              <w:top w:val="single" w:sz="4" w:space="0" w:color="auto"/>
              <w:left w:val="single" w:sz="4" w:space="0" w:color="auto"/>
              <w:bottom w:val="single" w:sz="4" w:space="0" w:color="auto"/>
              <w:right w:val="single" w:sz="4" w:space="0" w:color="auto"/>
            </w:tcBorders>
          </w:tcPr>
          <w:p w14:paraId="04451A24" w14:textId="539CC1C8" w:rsidR="00E84B6D" w:rsidRPr="00FA0D37" w:rsidRDefault="00E84B6D" w:rsidP="00771058">
            <w:pPr>
              <w:pStyle w:val="TAL"/>
              <w:rPr>
                <w:b/>
                <w:i/>
                <w:lang w:eastAsia="ko-KR"/>
              </w:rPr>
            </w:pPr>
            <w:r w:rsidRPr="00FA0D37">
              <w:rPr>
                <w:b/>
                <w:i/>
                <w:lang w:eastAsia="ko-KR"/>
              </w:rPr>
              <w:t>lastHO</w:t>
            </w:r>
            <w:r w:rsidR="00015613" w:rsidRPr="00FA0D37">
              <w:rPr>
                <w:b/>
                <w:i/>
                <w:lang w:eastAsia="ko-KR"/>
              </w:rPr>
              <w:t>-</w:t>
            </w:r>
            <w:r w:rsidRPr="00FA0D37">
              <w:rPr>
                <w:b/>
                <w:i/>
                <w:lang w:eastAsia="ko-KR"/>
              </w:rPr>
              <w:t>Type</w:t>
            </w:r>
          </w:p>
          <w:p w14:paraId="6A089B30" w14:textId="77777777" w:rsidR="00E84B6D" w:rsidRPr="00FA0D37" w:rsidRDefault="00E84B6D" w:rsidP="00771058">
            <w:pPr>
              <w:pStyle w:val="TAL"/>
              <w:rPr>
                <w:bCs/>
                <w:iCs/>
                <w:lang w:eastAsia="ko-KR"/>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w:t>
            </w:r>
            <w:r w:rsidRPr="00FA0D37">
              <w:rPr>
                <w:lang w:eastAsia="sv-SE"/>
              </w:rPr>
              <w:t xml:space="preserve">the type of the last executed handover before the last detected connection failure. The field is set to </w:t>
            </w:r>
            <w:r w:rsidRPr="00FA0D37">
              <w:rPr>
                <w:i/>
                <w:iCs/>
                <w:lang w:eastAsia="sv-SE"/>
              </w:rPr>
              <w:t>cho</w:t>
            </w:r>
            <w:r w:rsidRPr="00FA0D37">
              <w:rPr>
                <w:lang w:eastAsia="sv-SE"/>
              </w:rPr>
              <w:t xml:space="preserve"> if the last executed handover was initiated by a conditional reconfiguration execution. The field is set to </w:t>
            </w:r>
            <w:r w:rsidRPr="00FA0D37">
              <w:rPr>
                <w:i/>
                <w:iCs/>
                <w:lang w:eastAsia="sv-SE"/>
              </w:rPr>
              <w:t>daps</w:t>
            </w:r>
            <w:r w:rsidRPr="00FA0D37">
              <w:rPr>
                <w:lang w:eastAsia="sv-SE"/>
              </w:rPr>
              <w:t xml:space="preserve"> if the last executed handover was a DAPS handover.</w:t>
            </w:r>
          </w:p>
        </w:tc>
      </w:tr>
      <w:tr w:rsidR="005C7FF4" w:rsidRPr="00FA0D37" w14:paraId="065836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77B6245" w14:textId="77777777" w:rsidR="00394471" w:rsidRPr="00FA0D37" w:rsidRDefault="00394471" w:rsidP="00964CC4">
            <w:pPr>
              <w:pStyle w:val="TAL"/>
              <w:rPr>
                <w:b/>
                <w:i/>
                <w:lang w:eastAsia="ko-KR"/>
              </w:rPr>
            </w:pPr>
            <w:r w:rsidRPr="00FA0D37">
              <w:rPr>
                <w:b/>
                <w:i/>
                <w:lang w:eastAsia="ko-KR"/>
              </w:rPr>
              <w:t>measResultListEUTRA</w:t>
            </w:r>
          </w:p>
          <w:p w14:paraId="7375B972" w14:textId="3BDB9E1B" w:rsidR="00394471" w:rsidRPr="00FA0D37" w:rsidRDefault="00394471" w:rsidP="00964CC4">
            <w:pPr>
              <w:pStyle w:val="TAL"/>
              <w:rPr>
                <w:b/>
                <w:i/>
                <w:szCs w:val="22"/>
                <w:lang w:eastAsia="sv-SE"/>
              </w:rPr>
            </w:pPr>
            <w:r w:rsidRPr="00FA0D37">
              <w:rPr>
                <w:bCs/>
                <w:iCs/>
                <w:lang w:eastAsia="ko-KR"/>
              </w:rPr>
              <w:t>This field refers to the last measurement results taken in the neighboring EUTRA Cells, when the radio link failure or handover failure happened.</w:t>
            </w:r>
          </w:p>
        </w:tc>
      </w:tr>
      <w:tr w:rsidR="005C7FF4" w:rsidRPr="00FA0D37" w14:paraId="3F04B3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1FC496" w14:textId="77777777" w:rsidR="00394471" w:rsidRPr="00FA0D37" w:rsidRDefault="00394471" w:rsidP="00964CC4">
            <w:pPr>
              <w:pStyle w:val="TAL"/>
              <w:rPr>
                <w:b/>
                <w:i/>
                <w:lang w:eastAsia="ko-KR"/>
              </w:rPr>
            </w:pPr>
            <w:r w:rsidRPr="00FA0D37">
              <w:rPr>
                <w:b/>
                <w:i/>
                <w:lang w:eastAsia="ko-KR"/>
              </w:rPr>
              <w:t>measResultListNR</w:t>
            </w:r>
          </w:p>
          <w:p w14:paraId="3AC552C2" w14:textId="183DABE3" w:rsidR="00394471" w:rsidRPr="00FA0D37" w:rsidRDefault="00394471" w:rsidP="00964CC4">
            <w:pPr>
              <w:pStyle w:val="TAL"/>
              <w:rPr>
                <w:b/>
                <w:i/>
                <w:lang w:eastAsia="ko-KR"/>
              </w:rPr>
            </w:pPr>
            <w:r w:rsidRPr="00FA0D37">
              <w:rPr>
                <w:bCs/>
                <w:iCs/>
                <w:lang w:eastAsia="ko-KR"/>
              </w:rPr>
              <w:t>This field refers to the last measurement results taken in the neighboring NR Cells, when the radio link failure or handover failure happened.</w:t>
            </w:r>
          </w:p>
        </w:tc>
      </w:tr>
      <w:tr w:rsidR="005C7FF4" w:rsidRPr="00FA0D37" w14:paraId="276E938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254A441" w14:textId="7CF515C5" w:rsidR="00394471" w:rsidRPr="00FA0D37" w:rsidRDefault="00394471" w:rsidP="00964CC4">
            <w:pPr>
              <w:pStyle w:val="TAL"/>
              <w:rPr>
                <w:b/>
                <w:i/>
                <w:lang w:eastAsia="ko-KR"/>
              </w:rPr>
            </w:pPr>
            <w:r w:rsidRPr="00FA0D37">
              <w:rPr>
                <w:b/>
                <w:i/>
                <w:lang w:eastAsia="ko-KR"/>
              </w:rPr>
              <w:t>measResult</w:t>
            </w:r>
            <w:r w:rsidR="00424C1A" w:rsidRPr="00FA0D37">
              <w:rPr>
                <w:b/>
                <w:i/>
                <w:lang w:eastAsia="ko-KR"/>
              </w:rPr>
              <w:t>Last</w:t>
            </w:r>
            <w:r w:rsidRPr="00FA0D37">
              <w:rPr>
                <w:b/>
                <w:i/>
                <w:lang w:eastAsia="ko-KR"/>
              </w:rPr>
              <w:t>ServCell</w:t>
            </w:r>
          </w:p>
          <w:p w14:paraId="742E187E" w14:textId="17AACDA6" w:rsidR="00394471" w:rsidRPr="00FA0D37" w:rsidRDefault="00394471" w:rsidP="00964CC4">
            <w:pPr>
              <w:pStyle w:val="TAL"/>
              <w:rPr>
                <w:b/>
                <w:i/>
                <w:szCs w:val="22"/>
                <w:lang w:eastAsia="sv-SE"/>
              </w:rPr>
            </w:pPr>
            <w:r w:rsidRPr="00FA0D37">
              <w:rPr>
                <w:bCs/>
                <w:iCs/>
                <w:lang w:eastAsia="ko-KR"/>
              </w:rPr>
              <w:t xml:space="preserve">This field refers to the log measurement results taken in the </w:t>
            </w:r>
            <w:r w:rsidR="00424C1A" w:rsidRPr="00FA0D37">
              <w:rPr>
                <w:bCs/>
                <w:iCs/>
                <w:lang w:eastAsia="ko-KR"/>
              </w:rPr>
              <w:t>PCell upon detecting radio link failure or the source PCell upon handover failure.</w:t>
            </w:r>
          </w:p>
        </w:tc>
      </w:tr>
      <w:tr w:rsidR="005C7FF4" w:rsidRPr="00FA0D37" w14:paraId="775305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81EA8B0" w14:textId="77777777" w:rsidR="00394471" w:rsidRPr="00FA0D37" w:rsidRDefault="00394471" w:rsidP="00964CC4">
            <w:pPr>
              <w:pStyle w:val="TAL"/>
              <w:rPr>
                <w:b/>
                <w:i/>
                <w:lang w:eastAsia="ko-KR"/>
              </w:rPr>
            </w:pPr>
            <w:r w:rsidRPr="00FA0D37">
              <w:rPr>
                <w:b/>
                <w:i/>
                <w:lang w:eastAsia="ko-KR"/>
              </w:rPr>
              <w:t>measResult-RLF-Report-EUTRA</w:t>
            </w:r>
          </w:p>
          <w:p w14:paraId="2B3A5170" w14:textId="77777777" w:rsidR="00394471" w:rsidRPr="00FA0D37" w:rsidRDefault="00394471" w:rsidP="00964CC4">
            <w:pPr>
              <w:pStyle w:val="TAL"/>
              <w:rPr>
                <w:b/>
                <w:i/>
                <w:lang w:eastAsia="ko-KR"/>
              </w:rPr>
            </w:pPr>
            <w:r w:rsidRPr="00FA0D37">
              <w:rPr>
                <w:bCs/>
                <w:iCs/>
                <w:lang w:eastAsia="ko-KR"/>
              </w:rPr>
              <w:t xml:space="preserve">Includes the E-UTRA </w:t>
            </w:r>
            <w:r w:rsidRPr="00FA0D37">
              <w:rPr>
                <w:bCs/>
                <w:i/>
                <w:iCs/>
                <w:lang w:eastAsia="ko-KR"/>
              </w:rPr>
              <w:t>RLF-Report-r9</w:t>
            </w:r>
            <w:r w:rsidRPr="00FA0D37">
              <w:rPr>
                <w:bCs/>
                <w:iCs/>
                <w:lang w:eastAsia="ko-KR"/>
              </w:rPr>
              <w:t xml:space="preserve"> IE as specified in TS 36.331 [10].</w:t>
            </w:r>
          </w:p>
        </w:tc>
      </w:tr>
      <w:tr w:rsidR="005C7FF4" w:rsidRPr="00FA0D37" w14:paraId="3C5B86E5" w14:textId="77777777" w:rsidTr="00964CC4">
        <w:tc>
          <w:tcPr>
            <w:tcW w:w="14175" w:type="dxa"/>
            <w:tcBorders>
              <w:top w:val="single" w:sz="4" w:space="0" w:color="auto"/>
              <w:left w:val="single" w:sz="4" w:space="0" w:color="auto"/>
              <w:bottom w:val="single" w:sz="4" w:space="0" w:color="auto"/>
              <w:right w:val="single" w:sz="4" w:space="0" w:color="auto"/>
            </w:tcBorders>
          </w:tcPr>
          <w:p w14:paraId="1C0C0314" w14:textId="35334455" w:rsidR="004B0FA9" w:rsidRPr="00FA0D37" w:rsidRDefault="004B0FA9" w:rsidP="004B0FA9">
            <w:pPr>
              <w:pStyle w:val="TAL"/>
              <w:rPr>
                <w:b/>
                <w:i/>
                <w:lang w:eastAsia="ko-KR"/>
              </w:rPr>
            </w:pPr>
            <w:r w:rsidRPr="00FA0D37">
              <w:rPr>
                <w:b/>
                <w:i/>
                <w:lang w:eastAsia="ko-KR"/>
              </w:rPr>
              <w:t>measResult-RLF-Report-EUTRA-v1690</w:t>
            </w:r>
          </w:p>
          <w:p w14:paraId="1794A3C5" w14:textId="13DED0B6" w:rsidR="004B0FA9" w:rsidRPr="00FA0D37" w:rsidRDefault="004B0FA9" w:rsidP="004B0FA9">
            <w:pPr>
              <w:pStyle w:val="TAL"/>
              <w:rPr>
                <w:b/>
                <w:i/>
                <w:lang w:eastAsia="ko-KR"/>
              </w:rPr>
            </w:pPr>
            <w:r w:rsidRPr="00FA0D37">
              <w:rPr>
                <w:rFonts w:cs="Arial"/>
                <w:bCs/>
                <w:iCs/>
                <w:szCs w:val="18"/>
                <w:lang w:eastAsia="ko-KR"/>
              </w:rPr>
              <w:t xml:space="preserve">Includes the E-UTRA </w:t>
            </w:r>
            <w:r w:rsidRPr="00FA0D37">
              <w:rPr>
                <w:rFonts w:cs="Arial"/>
                <w:bCs/>
                <w:i/>
                <w:iCs/>
                <w:szCs w:val="18"/>
                <w:lang w:eastAsia="ko-KR"/>
              </w:rPr>
              <w:t>RLF-Report-v9e0</w:t>
            </w:r>
            <w:r w:rsidRPr="00FA0D37">
              <w:rPr>
                <w:rFonts w:cs="Arial"/>
                <w:bCs/>
                <w:iCs/>
                <w:szCs w:val="18"/>
                <w:lang w:eastAsia="ko-KR"/>
              </w:rPr>
              <w:t xml:space="preserve"> IE as specified in TS 36.331 [10]</w:t>
            </w:r>
            <w:r w:rsidRPr="00FA0D37">
              <w:rPr>
                <w:bCs/>
                <w:iCs/>
                <w:lang w:eastAsia="ko-KR"/>
              </w:rPr>
              <w:t>.</w:t>
            </w:r>
          </w:p>
        </w:tc>
      </w:tr>
      <w:tr w:rsidR="005C7FF4" w:rsidRPr="00FA0D37" w14:paraId="0910A70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7179045" w14:textId="77777777" w:rsidR="00394471" w:rsidRPr="00FA0D37" w:rsidRDefault="00394471" w:rsidP="00964CC4">
            <w:pPr>
              <w:pStyle w:val="TAL"/>
              <w:rPr>
                <w:b/>
                <w:i/>
                <w:lang w:eastAsia="ko-KR"/>
              </w:rPr>
            </w:pPr>
            <w:r w:rsidRPr="00FA0D37">
              <w:rPr>
                <w:b/>
                <w:i/>
                <w:lang w:eastAsia="ko-KR"/>
              </w:rPr>
              <w:t>noSuitableCellFound</w:t>
            </w:r>
          </w:p>
          <w:p w14:paraId="6E067703" w14:textId="77777777" w:rsidR="00394471" w:rsidRPr="00FA0D37" w:rsidRDefault="00394471" w:rsidP="00964CC4">
            <w:pPr>
              <w:pStyle w:val="TAL"/>
              <w:rPr>
                <w:b/>
                <w:i/>
                <w:lang w:eastAsia="ko-KR"/>
              </w:rPr>
            </w:pPr>
            <w:r w:rsidRPr="00FA0D37">
              <w:rPr>
                <w:bCs/>
                <w:iCs/>
                <w:lang w:eastAsia="ko-KR"/>
              </w:rPr>
              <w:t>This field is set by the UE when the T311 expires.</w:t>
            </w:r>
          </w:p>
        </w:tc>
      </w:tr>
      <w:tr w:rsidR="005C7FF4" w:rsidRPr="00FA0D37" w14:paraId="541EAB2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EE4719C" w14:textId="77777777" w:rsidR="00394471" w:rsidRPr="00FA0D37" w:rsidRDefault="00394471" w:rsidP="00964CC4">
            <w:pPr>
              <w:pStyle w:val="TAL"/>
              <w:rPr>
                <w:b/>
                <w:i/>
                <w:lang w:eastAsia="en-GB"/>
              </w:rPr>
            </w:pPr>
            <w:r w:rsidRPr="00FA0D37">
              <w:rPr>
                <w:b/>
                <w:i/>
                <w:lang w:eastAsia="en-GB"/>
              </w:rPr>
              <w:t>previousPCellId</w:t>
            </w:r>
          </w:p>
          <w:p w14:paraId="7CE7651B" w14:textId="68C9CABD" w:rsidR="00394471" w:rsidRPr="00FA0D37" w:rsidRDefault="00394471" w:rsidP="00964CC4">
            <w:pPr>
              <w:pStyle w:val="TAL"/>
              <w:rPr>
                <w:b/>
                <w:i/>
                <w:szCs w:val="22"/>
                <w:lang w:eastAsia="sv-SE"/>
              </w:rPr>
            </w:pPr>
            <w:r w:rsidRPr="00FA0D37">
              <w:rPr>
                <w:lang w:eastAsia="en-GB"/>
              </w:rPr>
              <w:t xml:space="preserve">This field is used to indicate the source PCell of the last handover (source PCell when the last </w:t>
            </w:r>
            <w:r w:rsidR="00E84B6D" w:rsidRPr="00FA0D37">
              <w:rPr>
                <w:lang w:eastAsia="en-GB"/>
              </w:rPr>
              <w:t xml:space="preserve">executed </w:t>
            </w:r>
            <w:r w:rsidRPr="00FA0D37">
              <w:rPr>
                <w:i/>
                <w:lang w:eastAsia="en-GB"/>
              </w:rPr>
              <w:t>RRCReconfiguration</w:t>
            </w:r>
            <w:r w:rsidRPr="00FA0D37">
              <w:rPr>
                <w:lang w:eastAsia="en-GB"/>
              </w:rPr>
              <w:t xml:space="preserve"> message including </w:t>
            </w:r>
            <w:r w:rsidRPr="00FA0D37">
              <w:rPr>
                <w:i/>
                <w:lang w:eastAsia="sv-SE"/>
              </w:rPr>
              <w:t>reconfigurationWithSync</w:t>
            </w:r>
            <w:r w:rsidRPr="00FA0D37">
              <w:rPr>
                <w:lang w:eastAsia="en-GB"/>
              </w:rPr>
              <w:t xml:space="preserve"> was received). For intra-NR handover </w:t>
            </w:r>
            <w:r w:rsidRPr="00FA0D37">
              <w:rPr>
                <w:i/>
                <w:iCs/>
              </w:rPr>
              <w:t>nrPreviousCell</w:t>
            </w:r>
            <w:r w:rsidRPr="00FA0D37">
              <w:t xml:space="preserve"> is included and for the handover from EUTRA to NR </w:t>
            </w:r>
            <w:r w:rsidRPr="00FA0D37">
              <w:rPr>
                <w:i/>
                <w:iCs/>
              </w:rPr>
              <w:t>eutraPreviousCell</w:t>
            </w:r>
            <w:r w:rsidRPr="00FA0D37">
              <w:t xml:space="preserve"> is included.</w:t>
            </w:r>
          </w:p>
        </w:tc>
      </w:tr>
      <w:tr w:rsidR="005C7FF4" w:rsidRPr="00FA0D37" w14:paraId="52062244" w14:textId="77777777" w:rsidTr="00AF0F64">
        <w:tc>
          <w:tcPr>
            <w:tcW w:w="14175" w:type="dxa"/>
            <w:tcBorders>
              <w:top w:val="single" w:sz="4" w:space="0" w:color="auto"/>
              <w:left w:val="single" w:sz="4" w:space="0" w:color="auto"/>
              <w:bottom w:val="single" w:sz="4" w:space="0" w:color="auto"/>
              <w:right w:val="single" w:sz="4" w:space="0" w:color="auto"/>
            </w:tcBorders>
          </w:tcPr>
          <w:p w14:paraId="10B2710F" w14:textId="77777777" w:rsidR="00847EEE" w:rsidRPr="00FA0D37" w:rsidRDefault="00847EEE" w:rsidP="00AF0F64">
            <w:pPr>
              <w:pStyle w:val="TAL"/>
              <w:rPr>
                <w:b/>
                <w:i/>
                <w:lang w:eastAsia="sv-SE"/>
              </w:rPr>
            </w:pPr>
            <w:r w:rsidRPr="00FA0D37">
              <w:rPr>
                <w:b/>
                <w:i/>
                <w:lang w:eastAsia="sv-SE"/>
              </w:rPr>
              <w:t>ra-InformationCommon</w:t>
            </w:r>
          </w:p>
          <w:p w14:paraId="28A80CF7" w14:textId="77777777" w:rsidR="00847EEE" w:rsidRPr="00FA0D37" w:rsidRDefault="00847EEE" w:rsidP="00AF0F64">
            <w:pPr>
              <w:pStyle w:val="TAL"/>
              <w:rPr>
                <w:b/>
                <w:i/>
                <w:lang w:eastAsia="en-GB"/>
              </w:rPr>
            </w:pPr>
            <w:r w:rsidRPr="00FA0D37">
              <w:rPr>
                <w:bCs/>
                <w:iCs/>
                <w:lang w:eastAsia="sv-SE"/>
              </w:rPr>
              <w:t>This field is optionally included when c</w:t>
            </w:r>
            <w:r w:rsidRPr="00FA0D37">
              <w:rPr>
                <w:bCs/>
                <w:i/>
                <w:lang w:eastAsia="sv-SE"/>
              </w:rPr>
              <w:t>onnectionFailureType</w:t>
            </w:r>
            <w:r w:rsidRPr="00FA0D37">
              <w:rPr>
                <w:bCs/>
                <w:iCs/>
                <w:lang w:eastAsia="sv-SE"/>
              </w:rPr>
              <w:t xml:space="preserve"> is set to 'hof' or when </w:t>
            </w:r>
            <w:r w:rsidRPr="00FA0D37">
              <w:rPr>
                <w:bCs/>
                <w:i/>
                <w:lang w:eastAsia="sv-SE"/>
              </w:rPr>
              <w:t>connectionFailureType</w:t>
            </w:r>
            <w:r w:rsidRPr="00FA0D37">
              <w:rPr>
                <w:bCs/>
                <w:iCs/>
                <w:lang w:eastAsia="sv-SE"/>
              </w:rPr>
              <w:t xml:space="preserve"> is set to 'rlf' and the </w:t>
            </w:r>
            <w:r w:rsidRPr="00FA0D37">
              <w:rPr>
                <w:bCs/>
                <w:i/>
                <w:lang w:eastAsia="sv-SE"/>
              </w:rPr>
              <w:t>rlf-Cause</w:t>
            </w:r>
            <w:r w:rsidRPr="00FA0D37">
              <w:rPr>
                <w:bCs/>
                <w:iCs/>
                <w:lang w:eastAsia="sv-SE"/>
              </w:rPr>
              <w:t xml:space="preserve"> equals to 'randomAccessProblem' or 'beamRecoveryFailure'; otherwise this field is absent.</w:t>
            </w:r>
          </w:p>
        </w:tc>
      </w:tr>
      <w:tr w:rsidR="005C7FF4" w:rsidRPr="00FA0D37" w14:paraId="493E1E4A" w14:textId="77777777" w:rsidTr="00964CC4">
        <w:tc>
          <w:tcPr>
            <w:tcW w:w="14175" w:type="dxa"/>
            <w:tcBorders>
              <w:top w:val="single" w:sz="4" w:space="0" w:color="auto"/>
              <w:left w:val="single" w:sz="4" w:space="0" w:color="auto"/>
              <w:bottom w:val="single" w:sz="4" w:space="0" w:color="auto"/>
              <w:right w:val="single" w:sz="4" w:space="0" w:color="auto"/>
            </w:tcBorders>
          </w:tcPr>
          <w:p w14:paraId="3799CC9E" w14:textId="77777777" w:rsidR="00394471" w:rsidRPr="00FA0D37" w:rsidRDefault="00394471" w:rsidP="00964CC4">
            <w:pPr>
              <w:pStyle w:val="TAL"/>
              <w:rPr>
                <w:b/>
                <w:i/>
                <w:lang w:eastAsia="en-GB"/>
              </w:rPr>
            </w:pPr>
            <w:r w:rsidRPr="00FA0D37">
              <w:rPr>
                <w:b/>
                <w:i/>
                <w:lang w:eastAsia="en-GB"/>
              </w:rPr>
              <w:lastRenderedPageBreak/>
              <w:t>reconnectCellId</w:t>
            </w:r>
          </w:p>
          <w:p w14:paraId="224B9920" w14:textId="77777777" w:rsidR="00394471" w:rsidRPr="00FA0D37" w:rsidRDefault="00394471" w:rsidP="00964CC4">
            <w:pPr>
              <w:pStyle w:val="TAL"/>
              <w:rPr>
                <w:bCs/>
                <w:iCs/>
                <w:lang w:eastAsia="en-GB"/>
              </w:rPr>
            </w:pPr>
            <w:r w:rsidRPr="00FA0D37">
              <w:rPr>
                <w:bCs/>
                <w:iCs/>
                <w:lang w:eastAsia="en-GB"/>
              </w:rPr>
              <w:t xml:space="preserve">This field is used to indicate the cell in which the UE comes back to connected after connection failure and after failing to perform reestablishment. If the UE comes back to RRC CONNECTED in an NR cell then </w:t>
            </w:r>
            <w:r w:rsidRPr="00FA0D37">
              <w:rPr>
                <w:bCs/>
                <w:i/>
                <w:lang w:eastAsia="en-GB"/>
              </w:rPr>
              <w:t>nrReconnectCellID</w:t>
            </w:r>
            <w:r w:rsidRPr="00FA0D37">
              <w:rPr>
                <w:bCs/>
                <w:iCs/>
                <w:lang w:eastAsia="en-GB"/>
              </w:rPr>
              <w:t xml:space="preserve"> is included and if the UE comes back to RRC CONNECTED in an LTE cell then </w:t>
            </w:r>
            <w:r w:rsidRPr="00FA0D37">
              <w:rPr>
                <w:bCs/>
                <w:i/>
                <w:lang w:eastAsia="en-GB"/>
              </w:rPr>
              <w:t>eutraReconnectCellID</w:t>
            </w:r>
            <w:r w:rsidRPr="00FA0D37">
              <w:rPr>
                <w:bCs/>
                <w:iCs/>
                <w:lang w:eastAsia="en-GB"/>
              </w:rPr>
              <w:t xml:space="preserve"> is included</w:t>
            </w:r>
          </w:p>
        </w:tc>
      </w:tr>
      <w:tr w:rsidR="005C7FF4" w:rsidRPr="00FA0D37" w14:paraId="4E108B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F1CE987" w14:textId="77777777" w:rsidR="00394471" w:rsidRPr="00FA0D37" w:rsidRDefault="00394471" w:rsidP="00964CC4">
            <w:pPr>
              <w:pStyle w:val="TAL"/>
              <w:rPr>
                <w:b/>
                <w:i/>
                <w:lang w:eastAsia="sv-SE"/>
              </w:rPr>
            </w:pPr>
            <w:r w:rsidRPr="00FA0D37">
              <w:rPr>
                <w:b/>
                <w:i/>
                <w:lang w:eastAsia="sv-SE"/>
              </w:rPr>
              <w:t>reestablishmentCellId</w:t>
            </w:r>
          </w:p>
          <w:p w14:paraId="4337C86B" w14:textId="734D4B6C" w:rsidR="00394471" w:rsidRPr="00FA0D37" w:rsidRDefault="00E84B6D" w:rsidP="00964CC4">
            <w:pPr>
              <w:pStyle w:val="TAL"/>
              <w:rPr>
                <w:b/>
                <w:i/>
                <w:lang w:eastAsia="ko-KR"/>
              </w:rPr>
            </w:pPr>
            <w:r w:rsidRPr="00FA0D37">
              <w:rPr>
                <w:lang w:eastAsia="sv-SE"/>
              </w:rPr>
              <w:t>If the UE was not</w:t>
            </w:r>
            <w:r w:rsidRPr="00FA0D37">
              <w:t xml:space="preserve"> configured with </w:t>
            </w:r>
            <w:r w:rsidRPr="00FA0D37">
              <w:rPr>
                <w:i/>
                <w:iCs/>
              </w:rPr>
              <w:t>conditionalReconfiguration</w:t>
            </w:r>
            <w:r w:rsidRPr="00FA0D37">
              <w:t xml:space="preserve"> at the time of re-establishment attempt</w:t>
            </w:r>
            <w:r w:rsidRPr="00FA0D37">
              <w:rPr>
                <w:lang w:eastAsia="sv-SE"/>
              </w:rPr>
              <w:t xml:space="preserve">, or if </w:t>
            </w:r>
            <w:r w:rsidRPr="00FA0D37">
              <w:t xml:space="preserve">the cell selected for the re-establishment attempt is not </w:t>
            </w:r>
            <w:r w:rsidRPr="00FA0D37">
              <w:rPr>
                <w:bCs/>
                <w:iCs/>
                <w:lang w:eastAsia="ko-KR"/>
              </w:rPr>
              <w:t xml:space="preserve">a candidate target cell for conditional reconfiguration, </w:t>
            </w:r>
            <w:r w:rsidRPr="00FA0D37">
              <w:rPr>
                <w:lang w:eastAsia="sv-SE"/>
              </w:rPr>
              <w:t>t</w:t>
            </w:r>
            <w:r w:rsidR="00394471" w:rsidRPr="00FA0D37">
              <w:rPr>
                <w:lang w:eastAsia="en-GB"/>
              </w:rPr>
              <w:t>his fie</w:t>
            </w:r>
            <w:r w:rsidR="00394471" w:rsidRPr="00FA0D37">
              <w:rPr>
                <w:lang w:eastAsia="sv-SE"/>
              </w:rPr>
              <w:t>l</w:t>
            </w:r>
            <w:r w:rsidR="00394471" w:rsidRPr="00FA0D37">
              <w:rPr>
                <w:lang w:eastAsia="en-GB"/>
              </w:rPr>
              <w:t xml:space="preserve">d is used to indicate the cell in which the re-establishment attempt was made </w:t>
            </w:r>
            <w:r w:rsidR="00394471" w:rsidRPr="00FA0D37">
              <w:rPr>
                <w:lang w:eastAsia="sv-SE"/>
              </w:rPr>
              <w:t>after connection failure.</w:t>
            </w:r>
          </w:p>
        </w:tc>
      </w:tr>
      <w:tr w:rsidR="005C7FF4" w:rsidRPr="00FA0D37" w14:paraId="530C841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BCE77FA" w14:textId="77777777" w:rsidR="00394471" w:rsidRPr="00FA0D37" w:rsidRDefault="00394471" w:rsidP="00964CC4">
            <w:pPr>
              <w:pStyle w:val="TAL"/>
              <w:rPr>
                <w:b/>
                <w:i/>
                <w:lang w:eastAsia="sv-SE"/>
              </w:rPr>
            </w:pPr>
            <w:r w:rsidRPr="00FA0D37">
              <w:rPr>
                <w:b/>
                <w:i/>
                <w:lang w:eastAsia="sv-SE"/>
              </w:rPr>
              <w:t>rlf-Cause</w:t>
            </w:r>
          </w:p>
          <w:p w14:paraId="6ADD9E3D" w14:textId="63C54E2B" w:rsidR="00394471" w:rsidRPr="00FA0D37" w:rsidRDefault="00394471" w:rsidP="00964CC4">
            <w:pPr>
              <w:pStyle w:val="TAL"/>
              <w:rPr>
                <w:b/>
                <w:i/>
                <w:lang w:eastAsia="ko-KR"/>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w:t>
            </w:r>
            <w:r w:rsidRPr="00FA0D37">
              <w:rPr>
                <w:lang w:eastAsia="sv-SE"/>
              </w:rPr>
              <w:t xml:space="preserve">the cause of the last radio link failure that was detected. In case of handover failure information reporting (i.e., the </w:t>
            </w:r>
            <w:r w:rsidRPr="00FA0D37">
              <w:rPr>
                <w:i/>
                <w:iCs/>
                <w:lang w:eastAsia="sv-SE"/>
              </w:rPr>
              <w:t>connectionFailureType</w:t>
            </w:r>
            <w:r w:rsidRPr="00FA0D37">
              <w:rPr>
                <w:lang w:eastAsia="sv-SE"/>
              </w:rPr>
              <w:t xml:space="preserve"> is set to '</w:t>
            </w:r>
            <w:r w:rsidRPr="00FA0D37">
              <w:rPr>
                <w:i/>
                <w:iCs/>
                <w:lang w:eastAsia="sv-SE"/>
              </w:rPr>
              <w:t>hof</w:t>
            </w:r>
            <w:r w:rsidRPr="00FA0D37">
              <w:rPr>
                <w:lang w:eastAsia="sv-SE"/>
              </w:rPr>
              <w:t>'), the UE is allowed to set this field to any value</w:t>
            </w:r>
            <w:r w:rsidR="004B0FA9" w:rsidRPr="00FA0D37">
              <w:rPr>
                <w:lang w:eastAsia="sv-SE"/>
              </w:rPr>
              <w:t xml:space="preserve">, except for the case in which </w:t>
            </w:r>
            <w:r w:rsidR="004B0FA9" w:rsidRPr="00FA0D37">
              <w:t>a radio link failure was detected in the source PCell while performing a DAPS handover.</w:t>
            </w:r>
            <w:r w:rsidRPr="00FA0D37">
              <w:rPr>
                <w:lang w:eastAsia="sv-SE"/>
              </w:rPr>
              <w:t>.</w:t>
            </w:r>
          </w:p>
        </w:tc>
      </w:tr>
      <w:tr w:rsidR="005C7FF4" w:rsidRPr="00FA0D37" w14:paraId="0167B04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2336E66" w14:textId="77777777" w:rsidR="00394471" w:rsidRPr="00FA0D37" w:rsidRDefault="00394471" w:rsidP="00964CC4">
            <w:pPr>
              <w:pStyle w:val="TAL"/>
              <w:rPr>
                <w:b/>
                <w:i/>
                <w:lang w:eastAsia="sv-SE"/>
              </w:rPr>
            </w:pPr>
            <w:r w:rsidRPr="00FA0D37">
              <w:rPr>
                <w:b/>
                <w:i/>
                <w:lang w:eastAsia="sv-SE"/>
              </w:rPr>
              <w:t>ssbRLMConfigBitmap</w:t>
            </w:r>
          </w:p>
          <w:p w14:paraId="2A1EF9F3" w14:textId="51A76CCC" w:rsidR="00394471" w:rsidRPr="00FA0D37" w:rsidRDefault="00394471" w:rsidP="00964CC4">
            <w:pPr>
              <w:pStyle w:val="TAL"/>
              <w:rPr>
                <w:b/>
                <w:i/>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the SS/PBCH block indexes </w:t>
            </w:r>
            <w:r w:rsidR="00FE090E" w:rsidRPr="00FA0D37">
              <w:rPr>
                <w:lang w:eastAsia="en-GB"/>
              </w:rPr>
              <w:t>configured in</w:t>
            </w:r>
            <w:r w:rsidRPr="00FA0D37">
              <w:rPr>
                <w:lang w:eastAsia="en-GB"/>
              </w:rPr>
              <w:t xml:space="preserve"> the </w:t>
            </w:r>
            <w:r w:rsidRPr="00FA0D37">
              <w:rPr>
                <w:lang w:eastAsia="sv-SE"/>
              </w:rPr>
              <w:t>RLM configurations</w:t>
            </w:r>
            <w:r w:rsidR="00FE090E" w:rsidRPr="00FA0D37">
              <w:rPr>
                <w:lang w:eastAsia="sv-SE"/>
              </w:rPr>
              <w:t xml:space="preserve"> for the active BWP when the UE declares RLF or HOF.The first/leftmost bit corresponds to SSB index 0, the second bit corresponds to SSB index 1. This field is included only if the </w:t>
            </w:r>
            <w:r w:rsidR="00FE090E" w:rsidRPr="00FA0D37">
              <w:rPr>
                <w:i/>
                <w:lang w:eastAsia="sv-SE"/>
              </w:rPr>
              <w:t>RadioLinkMonitoringConfig</w:t>
            </w:r>
            <w:r w:rsidR="00FE090E" w:rsidRPr="00FA0D37">
              <w:rPr>
                <w:lang w:eastAsia="sv-SE"/>
              </w:rPr>
              <w:t xml:space="preserve"> for the respective BWP is configured</w:t>
            </w:r>
            <w:r w:rsidRPr="00FA0D37">
              <w:rPr>
                <w:lang w:eastAsia="sv-SE"/>
              </w:rPr>
              <w:t>.</w:t>
            </w:r>
          </w:p>
        </w:tc>
      </w:tr>
      <w:tr w:rsidR="005C7FF4" w:rsidRPr="00FA0D37" w14:paraId="5C605C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E254D6" w14:textId="77777777" w:rsidR="00394471" w:rsidRPr="00FA0D37" w:rsidRDefault="00394471" w:rsidP="00964CC4">
            <w:pPr>
              <w:pStyle w:val="TAL"/>
              <w:rPr>
                <w:b/>
                <w:i/>
                <w:lang w:eastAsia="sv-SE"/>
              </w:rPr>
            </w:pPr>
            <w:r w:rsidRPr="00FA0D37">
              <w:rPr>
                <w:b/>
                <w:i/>
                <w:lang w:eastAsia="sv-SE"/>
              </w:rPr>
              <w:t>timeConnFailure</w:t>
            </w:r>
          </w:p>
          <w:p w14:paraId="62DD3C54" w14:textId="541D0EC0" w:rsidR="00394471" w:rsidRPr="00FA0D37" w:rsidRDefault="00394471" w:rsidP="00964CC4">
            <w:pPr>
              <w:pStyle w:val="TAL"/>
              <w:rPr>
                <w:b/>
                <w:i/>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the </w:t>
            </w:r>
            <w:r w:rsidRPr="00FA0D37">
              <w:rPr>
                <w:lang w:eastAsia="sv-SE"/>
              </w:rPr>
              <w:t xml:space="preserve">time </w:t>
            </w:r>
            <w:r w:rsidRPr="00FA0D37">
              <w:rPr>
                <w:lang w:eastAsia="en-GB"/>
              </w:rPr>
              <w:t xml:space="preserve">elapsed since the last HO </w:t>
            </w:r>
            <w:r w:rsidR="00E84B6D" w:rsidRPr="00FA0D37">
              <w:rPr>
                <w:lang w:eastAsia="sv-SE"/>
              </w:rPr>
              <w:t>execution</w:t>
            </w:r>
            <w:r w:rsidR="00E84B6D" w:rsidRPr="00FA0D37">
              <w:rPr>
                <w:lang w:eastAsia="en-GB"/>
              </w:rPr>
              <w:t xml:space="preserve"> </w:t>
            </w:r>
            <w:r w:rsidRPr="00FA0D37">
              <w:rPr>
                <w:lang w:eastAsia="en-GB"/>
              </w:rPr>
              <w:t>until connection failure.</w:t>
            </w:r>
            <w:r w:rsidRPr="00FA0D37">
              <w:rPr>
                <w:lang w:eastAsia="sv-SE"/>
              </w:rPr>
              <w:t xml:space="preserve"> Actual value = field value * 100ms. The maximum value 1023 means 102.3s or longer.</w:t>
            </w:r>
          </w:p>
        </w:tc>
      </w:tr>
      <w:tr w:rsidR="005C7FF4" w:rsidRPr="00FA0D37" w14:paraId="012D82AF" w14:textId="77777777" w:rsidTr="00771058">
        <w:tc>
          <w:tcPr>
            <w:tcW w:w="14175" w:type="dxa"/>
            <w:tcBorders>
              <w:top w:val="single" w:sz="4" w:space="0" w:color="auto"/>
              <w:left w:val="single" w:sz="4" w:space="0" w:color="auto"/>
              <w:bottom w:val="single" w:sz="4" w:space="0" w:color="auto"/>
              <w:right w:val="single" w:sz="4" w:space="0" w:color="auto"/>
            </w:tcBorders>
          </w:tcPr>
          <w:p w14:paraId="1ABBF175" w14:textId="1A0EE0BA" w:rsidR="00E84B6D" w:rsidRPr="00FA0D37" w:rsidRDefault="00E84B6D" w:rsidP="00771058">
            <w:pPr>
              <w:pStyle w:val="TAL"/>
              <w:rPr>
                <w:b/>
                <w:i/>
              </w:rPr>
            </w:pPr>
            <w:r w:rsidRPr="00FA0D37">
              <w:rPr>
                <w:b/>
                <w:i/>
              </w:rPr>
              <w:t>timeConnSourceDAPS</w:t>
            </w:r>
            <w:r w:rsidR="00015613" w:rsidRPr="00FA0D37">
              <w:rPr>
                <w:b/>
                <w:i/>
              </w:rPr>
              <w:t>-</w:t>
            </w:r>
            <w:r w:rsidRPr="00FA0D37">
              <w:rPr>
                <w:b/>
                <w:i/>
              </w:rPr>
              <w:t>Failure</w:t>
            </w:r>
          </w:p>
          <w:p w14:paraId="372AD4AB" w14:textId="77777777" w:rsidR="00E84B6D" w:rsidRPr="00FA0D37" w:rsidRDefault="00E84B6D" w:rsidP="00771058">
            <w:pPr>
              <w:pStyle w:val="TAL"/>
            </w:pPr>
            <w:r w:rsidRPr="00FA0D37">
              <w:t>T</w:t>
            </w:r>
            <w:r w:rsidRPr="00FA0D37">
              <w:rPr>
                <w:lang w:eastAsia="en-GB"/>
              </w:rPr>
              <w:t>his fie</w:t>
            </w:r>
            <w:r w:rsidRPr="00FA0D37">
              <w:t>l</w:t>
            </w:r>
            <w:r w:rsidRPr="00FA0D37">
              <w:rPr>
                <w:lang w:eastAsia="en-GB"/>
              </w:rPr>
              <w:t xml:space="preserve">d is used to indicate the </w:t>
            </w:r>
            <w:r w:rsidRPr="00FA0D37">
              <w:t>time that elapsed between the last DAPS handover execution and the radio link failure detected in the source cell while T304 is running.</w:t>
            </w:r>
            <w:r w:rsidRPr="00FA0D37">
              <w:rPr>
                <w:bCs/>
                <w:iCs/>
                <w:lang w:eastAsia="ko-KR"/>
              </w:rPr>
              <w:t xml:space="preserve"> Value in milliseconds. </w:t>
            </w:r>
            <w:r w:rsidRPr="00FA0D37">
              <w:rPr>
                <w:lang w:eastAsia="sv-SE"/>
              </w:rPr>
              <w:t>The maximum value 1023 means 1023ms or longer</w:t>
            </w:r>
            <w:r w:rsidRPr="00FA0D37">
              <w:rPr>
                <w:bCs/>
                <w:iCs/>
                <w:lang w:eastAsia="ko-KR"/>
              </w:rPr>
              <w:t>.</w:t>
            </w:r>
          </w:p>
        </w:tc>
      </w:tr>
      <w:tr w:rsidR="005C7FF4" w:rsidRPr="00FA0D37" w14:paraId="215639A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7D361D4" w14:textId="77777777" w:rsidR="00394471" w:rsidRPr="00FA0D37" w:rsidRDefault="00394471" w:rsidP="00964CC4">
            <w:pPr>
              <w:pStyle w:val="TAL"/>
              <w:rPr>
                <w:b/>
                <w:i/>
                <w:lang w:eastAsia="sv-SE"/>
              </w:rPr>
            </w:pPr>
            <w:r w:rsidRPr="00FA0D37">
              <w:rPr>
                <w:b/>
                <w:i/>
                <w:lang w:eastAsia="sv-SE"/>
              </w:rPr>
              <w:t>timeSinceFailure</w:t>
            </w:r>
          </w:p>
          <w:p w14:paraId="035CFCAD" w14:textId="7E992C19" w:rsidR="00394471" w:rsidRPr="00FA0D37" w:rsidRDefault="00394471" w:rsidP="00964CC4">
            <w:pPr>
              <w:pStyle w:val="TAL"/>
              <w:rPr>
                <w:b/>
                <w:i/>
                <w:lang w:eastAsia="sv-SE"/>
              </w:rPr>
            </w:pPr>
            <w:r w:rsidRPr="00FA0D37">
              <w:rPr>
                <w:lang w:eastAsia="sv-SE"/>
              </w:rPr>
              <w:t>T</w:t>
            </w:r>
            <w:r w:rsidRPr="00FA0D37">
              <w:rPr>
                <w:lang w:eastAsia="en-GB"/>
              </w:rPr>
              <w:t>his fie</w:t>
            </w:r>
            <w:r w:rsidRPr="00FA0D37">
              <w:rPr>
                <w:lang w:eastAsia="sv-SE"/>
              </w:rPr>
              <w:t>l</w:t>
            </w:r>
            <w:r w:rsidRPr="00FA0D37">
              <w:rPr>
                <w:lang w:eastAsia="en-GB"/>
              </w:rPr>
              <w:t xml:space="preserve">d is used to indicate the </w:t>
            </w:r>
            <w:r w:rsidRPr="00FA0D37">
              <w:rPr>
                <w:lang w:eastAsia="sv-SE"/>
              </w:rPr>
              <w:t xml:space="preserve">time that </w:t>
            </w:r>
            <w:r w:rsidRPr="00FA0D37">
              <w:rPr>
                <w:lang w:eastAsia="en-GB"/>
              </w:rPr>
              <w:t>elapsed since the connection (radio link or handover) failure.</w:t>
            </w:r>
            <w:r w:rsidRPr="00FA0D37">
              <w:rPr>
                <w:lang w:eastAsia="sv-SE"/>
              </w:rPr>
              <w:t xml:space="preserve"> </w:t>
            </w:r>
            <w:r w:rsidRPr="00FA0D37">
              <w:rPr>
                <w:bCs/>
                <w:iCs/>
                <w:lang w:eastAsia="ko-KR"/>
              </w:rPr>
              <w:t>Value in seconds. The maximum value 172800 means 172800s or longer.</w:t>
            </w:r>
            <w:r w:rsidR="00E84B6D" w:rsidRPr="00FA0D37">
              <w:rPr>
                <w:bCs/>
                <w:iCs/>
                <w:lang w:eastAsia="ko-KR"/>
              </w:rPr>
              <w:t xml:space="preserve"> In the case of failure(s) (either at source or at target or at both) associated to DAPS handover, this field indicates the time elapsed since the latest connection (radio link or handover) failure.</w:t>
            </w:r>
          </w:p>
        </w:tc>
      </w:tr>
      <w:tr w:rsidR="005C7FF4" w:rsidRPr="00FA0D37" w14:paraId="05795726" w14:textId="77777777" w:rsidTr="00771058">
        <w:tc>
          <w:tcPr>
            <w:tcW w:w="14175" w:type="dxa"/>
            <w:tcBorders>
              <w:top w:val="single" w:sz="4" w:space="0" w:color="auto"/>
              <w:left w:val="single" w:sz="4" w:space="0" w:color="auto"/>
              <w:bottom w:val="single" w:sz="4" w:space="0" w:color="auto"/>
              <w:right w:val="single" w:sz="4" w:space="0" w:color="auto"/>
            </w:tcBorders>
          </w:tcPr>
          <w:p w14:paraId="706B4215" w14:textId="62D5BAA4" w:rsidR="00E84B6D" w:rsidRPr="00FA0D37" w:rsidRDefault="00E84B6D" w:rsidP="00771058">
            <w:pPr>
              <w:pStyle w:val="TAH"/>
              <w:jc w:val="left"/>
              <w:rPr>
                <w:i/>
              </w:rPr>
            </w:pPr>
            <w:r w:rsidRPr="00FA0D37">
              <w:rPr>
                <w:i/>
                <w:lang w:eastAsia="sv-SE"/>
              </w:rPr>
              <w:t>timeSinceCHO</w:t>
            </w:r>
            <w:r w:rsidR="00015613" w:rsidRPr="00FA0D37">
              <w:rPr>
                <w:i/>
                <w:lang w:eastAsia="sv-SE"/>
              </w:rPr>
              <w:t>-</w:t>
            </w:r>
            <w:r w:rsidRPr="00FA0D37">
              <w:rPr>
                <w:i/>
                <w:lang w:eastAsia="sv-SE"/>
              </w:rPr>
              <w:t>Reconfig</w:t>
            </w:r>
          </w:p>
          <w:p w14:paraId="5DD3127E" w14:textId="229709E4" w:rsidR="00E84B6D" w:rsidRPr="00FA0D37" w:rsidRDefault="00E84B6D" w:rsidP="00771058">
            <w:pPr>
              <w:pStyle w:val="TAH"/>
              <w:jc w:val="left"/>
              <w:rPr>
                <w:b w:val="0"/>
                <w:bCs/>
                <w:lang w:eastAsia="ko-KR"/>
              </w:rPr>
            </w:pPr>
            <w:r w:rsidRPr="00FA0D37">
              <w:rPr>
                <w:b w:val="0"/>
                <w:bCs/>
                <w:lang w:eastAsia="ko-KR"/>
              </w:rPr>
              <w:t xml:space="preserve">In case of handover failure, this field is used to indicate the time elapsed between the initiation of the last </w:t>
            </w:r>
            <w:r w:rsidR="00D17867" w:rsidRPr="00FA0D37">
              <w:rPr>
                <w:b w:val="0"/>
                <w:lang w:eastAsia="zh-CN"/>
              </w:rPr>
              <w:t>handover</w:t>
            </w:r>
            <w:r w:rsidRPr="00FA0D37">
              <w:rPr>
                <w:b w:val="0"/>
                <w:bCs/>
                <w:lang w:eastAsia="ko-KR"/>
              </w:rPr>
              <w:t xml:space="preserve"> execution towards the target cell and the reception of the latest conditional reconfiguration.</w:t>
            </w:r>
            <w:r w:rsidRPr="00FA0D37">
              <w:rPr>
                <w:b w:val="0"/>
                <w:bCs/>
              </w:rPr>
              <w:t xml:space="preserve"> </w:t>
            </w:r>
            <w:r w:rsidRPr="00FA0D37">
              <w:rPr>
                <w:b w:val="0"/>
                <w:bCs/>
                <w:lang w:eastAsia="ko-KR"/>
              </w:rPr>
              <w:t xml:space="preserve">In case of radio link failure, this field is used to indicate the time elapsed between the radio link failure and the reception of the latest conditional reconfiguration while connected to the source PCell. </w:t>
            </w:r>
            <w:r w:rsidRPr="00FA0D37">
              <w:rPr>
                <w:b w:val="0"/>
                <w:bCs/>
                <w:lang w:eastAsia="sv-SE"/>
              </w:rPr>
              <w:t>Actual value = field value * 100ms</w:t>
            </w:r>
            <w:r w:rsidRPr="00FA0D37">
              <w:rPr>
                <w:b w:val="0"/>
                <w:bCs/>
                <w:lang w:eastAsia="ko-KR"/>
              </w:rPr>
              <w:t xml:space="preserve">. </w:t>
            </w:r>
            <w:r w:rsidRPr="00FA0D37">
              <w:rPr>
                <w:b w:val="0"/>
                <w:bCs/>
                <w:lang w:eastAsia="sv-SE"/>
              </w:rPr>
              <w:t>The maximum value 1023 means 102.3s or longer</w:t>
            </w:r>
            <w:r w:rsidRPr="00FA0D37">
              <w:rPr>
                <w:b w:val="0"/>
                <w:bCs/>
                <w:lang w:eastAsia="ko-KR"/>
              </w:rPr>
              <w:t>.</w:t>
            </w:r>
          </w:p>
        </w:tc>
      </w:tr>
      <w:tr w:rsidR="000830BB" w:rsidRPr="00FA0D37" w14:paraId="06F5B551" w14:textId="77777777" w:rsidTr="00964CC4">
        <w:tc>
          <w:tcPr>
            <w:tcW w:w="14175" w:type="dxa"/>
            <w:tcBorders>
              <w:top w:val="single" w:sz="4" w:space="0" w:color="auto"/>
              <w:left w:val="single" w:sz="4" w:space="0" w:color="auto"/>
              <w:bottom w:val="single" w:sz="4" w:space="0" w:color="auto"/>
              <w:right w:val="single" w:sz="4" w:space="0" w:color="auto"/>
            </w:tcBorders>
          </w:tcPr>
          <w:p w14:paraId="03EEE6CF" w14:textId="77777777" w:rsidR="00394471" w:rsidRPr="00FA0D37" w:rsidRDefault="00394471" w:rsidP="00964CC4">
            <w:pPr>
              <w:pStyle w:val="TAL"/>
              <w:rPr>
                <w:b/>
                <w:i/>
              </w:rPr>
            </w:pPr>
            <w:r w:rsidRPr="00FA0D37">
              <w:rPr>
                <w:b/>
                <w:i/>
              </w:rPr>
              <w:t>timeUntilReconnection</w:t>
            </w:r>
          </w:p>
          <w:p w14:paraId="7F194194" w14:textId="1DB441C9" w:rsidR="00394471" w:rsidRPr="00FA0D37" w:rsidRDefault="00394471" w:rsidP="00964CC4">
            <w:pPr>
              <w:pStyle w:val="TAL"/>
              <w:rPr>
                <w:b/>
                <w:i/>
                <w:lang w:eastAsia="sv-SE"/>
              </w:rPr>
            </w:pPr>
            <w:r w:rsidRPr="00FA0D37">
              <w:t>T</w:t>
            </w:r>
            <w:r w:rsidRPr="00FA0D37">
              <w:rPr>
                <w:lang w:eastAsia="en-GB"/>
              </w:rPr>
              <w:t>his fie</w:t>
            </w:r>
            <w:r w:rsidRPr="00FA0D37">
              <w:t>l</w:t>
            </w:r>
            <w:r w:rsidRPr="00FA0D37">
              <w:rPr>
                <w:lang w:eastAsia="en-GB"/>
              </w:rPr>
              <w:t xml:space="preserve">d is used to indicate the </w:t>
            </w:r>
            <w:r w:rsidRPr="00FA0D37">
              <w:t xml:space="preserve">time that </w:t>
            </w:r>
            <w:r w:rsidRPr="00FA0D37">
              <w:rPr>
                <w:lang w:eastAsia="en-GB"/>
              </w:rPr>
              <w:t>elapsed between the connection (radio link or handover) failure and the next time the UE comes to RRC CONNECTED in an NR or EUTRA cell</w:t>
            </w:r>
            <w:r w:rsidR="00FE090E" w:rsidRPr="00FA0D37">
              <w:rPr>
                <w:lang w:eastAsia="en-GB"/>
              </w:rPr>
              <w:t>, after failing to perform reestablishment</w:t>
            </w:r>
            <w:r w:rsidRPr="00FA0D37">
              <w:rPr>
                <w:lang w:eastAsia="en-GB"/>
              </w:rPr>
              <w:t>.</w:t>
            </w:r>
            <w:r w:rsidRPr="00FA0D37">
              <w:t xml:space="preserve"> </w:t>
            </w:r>
            <w:r w:rsidRPr="00FA0D37">
              <w:rPr>
                <w:bCs/>
                <w:iCs/>
                <w:lang w:eastAsia="ko-KR"/>
              </w:rPr>
              <w:t>Value in seconds. The maximum value 172800 means 172800s or longer.</w:t>
            </w:r>
          </w:p>
        </w:tc>
      </w:tr>
    </w:tbl>
    <w:p w14:paraId="1B39A34B" w14:textId="1904EF94"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315230D7"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7AB29D87" w14:textId="77777777" w:rsidR="00E84B6D" w:rsidRPr="00FA0D37" w:rsidRDefault="00E84B6D" w:rsidP="00771058">
            <w:pPr>
              <w:pStyle w:val="TAH"/>
              <w:rPr>
                <w:szCs w:val="22"/>
                <w:lang w:eastAsia="sv-SE"/>
              </w:rPr>
            </w:pPr>
            <w:r w:rsidRPr="00FA0D37">
              <w:rPr>
                <w:i/>
                <w:iCs/>
                <w:lang w:eastAsia="ko-KR"/>
              </w:rPr>
              <w:lastRenderedPageBreak/>
              <w:t>SuccessHO-Report</w:t>
            </w:r>
            <w:r w:rsidRPr="00FA0D37">
              <w:rPr>
                <w:iCs/>
                <w:lang w:eastAsia="en-GB"/>
              </w:rPr>
              <w:t xml:space="preserve"> field descriptions</w:t>
            </w:r>
          </w:p>
        </w:tc>
      </w:tr>
      <w:tr w:rsidR="005C7FF4" w:rsidRPr="00FA0D37" w14:paraId="6FD1A450" w14:textId="77777777" w:rsidTr="00771058">
        <w:tc>
          <w:tcPr>
            <w:tcW w:w="14175" w:type="dxa"/>
            <w:tcBorders>
              <w:top w:val="single" w:sz="4" w:space="0" w:color="auto"/>
              <w:left w:val="single" w:sz="4" w:space="0" w:color="auto"/>
              <w:bottom w:val="single" w:sz="4" w:space="0" w:color="auto"/>
              <w:right w:val="single" w:sz="4" w:space="0" w:color="auto"/>
            </w:tcBorders>
          </w:tcPr>
          <w:p w14:paraId="3928780E" w14:textId="77777777" w:rsidR="00E84B6D" w:rsidRPr="00FA0D37" w:rsidRDefault="00E84B6D" w:rsidP="00771058">
            <w:pPr>
              <w:pStyle w:val="TAL"/>
              <w:rPr>
                <w:b/>
                <w:i/>
              </w:rPr>
            </w:pPr>
            <w:r w:rsidRPr="00FA0D37">
              <w:rPr>
                <w:b/>
                <w:i/>
              </w:rPr>
              <w:t>c-RNTI</w:t>
            </w:r>
          </w:p>
          <w:p w14:paraId="609283A8" w14:textId="77777777" w:rsidR="00E84B6D" w:rsidRPr="00FA0D37" w:rsidRDefault="00E84B6D" w:rsidP="00771058">
            <w:pPr>
              <w:pStyle w:val="TAL"/>
              <w:rPr>
                <w:b/>
                <w:i/>
              </w:rPr>
            </w:pPr>
            <w:r w:rsidRPr="00FA0D37">
              <w:rPr>
                <w:lang w:eastAsia="en-GB"/>
              </w:rPr>
              <w:t>This field indicates the C-RNTI assigned by the target PCell of the handover for which the successful HO report was generated</w:t>
            </w:r>
            <w:r w:rsidRPr="00FA0D37">
              <w:t>.</w:t>
            </w:r>
          </w:p>
        </w:tc>
      </w:tr>
      <w:tr w:rsidR="005C7FF4" w:rsidRPr="00FA0D37" w14:paraId="799A6045" w14:textId="77777777" w:rsidTr="0071565C">
        <w:tc>
          <w:tcPr>
            <w:tcW w:w="14175" w:type="dxa"/>
            <w:tcBorders>
              <w:top w:val="single" w:sz="4" w:space="0" w:color="auto"/>
              <w:left w:val="single" w:sz="4" w:space="0" w:color="auto"/>
              <w:bottom w:val="single" w:sz="4" w:space="0" w:color="auto"/>
              <w:right w:val="single" w:sz="4" w:space="0" w:color="auto"/>
            </w:tcBorders>
          </w:tcPr>
          <w:p w14:paraId="793F8871" w14:textId="77777777" w:rsidR="003F2067" w:rsidRPr="00FA0D37" w:rsidRDefault="003F2067" w:rsidP="00DD246F">
            <w:pPr>
              <w:pStyle w:val="TAL"/>
              <w:rPr>
                <w:b/>
                <w:bCs/>
                <w:i/>
                <w:iCs/>
                <w:lang w:eastAsia="ko-KR"/>
              </w:rPr>
            </w:pPr>
            <w:r w:rsidRPr="00FA0D37">
              <w:rPr>
                <w:b/>
                <w:bCs/>
                <w:i/>
                <w:iCs/>
                <w:lang w:eastAsia="ko-KR"/>
              </w:rPr>
              <w:t>measResultListNR</w:t>
            </w:r>
          </w:p>
          <w:p w14:paraId="15625D1A" w14:textId="77777777" w:rsidR="003F2067" w:rsidRPr="00FA0D37" w:rsidRDefault="003F2067" w:rsidP="00DD246F">
            <w:pPr>
              <w:pStyle w:val="TAL"/>
            </w:pPr>
            <w:r w:rsidRPr="00FA0D37">
              <w:rPr>
                <w:bCs/>
                <w:iCs/>
                <w:lang w:eastAsia="ko-KR"/>
              </w:rPr>
              <w:t>This field refers to the last measurement results taken in the neighboring NR Cells when a successful handover is executed.</w:t>
            </w:r>
          </w:p>
        </w:tc>
      </w:tr>
      <w:tr w:rsidR="005C7FF4" w:rsidRPr="00FA0D37" w14:paraId="770B7A64" w14:textId="77777777" w:rsidTr="00771058">
        <w:tc>
          <w:tcPr>
            <w:tcW w:w="14175" w:type="dxa"/>
            <w:tcBorders>
              <w:top w:val="single" w:sz="4" w:space="0" w:color="auto"/>
              <w:left w:val="single" w:sz="4" w:space="0" w:color="auto"/>
              <w:bottom w:val="single" w:sz="4" w:space="0" w:color="auto"/>
              <w:right w:val="single" w:sz="4" w:space="0" w:color="auto"/>
            </w:tcBorders>
          </w:tcPr>
          <w:p w14:paraId="58997A8F" w14:textId="79CBBE94" w:rsidR="00E84B6D" w:rsidRPr="00FA0D37" w:rsidRDefault="00E84B6D" w:rsidP="00771058">
            <w:pPr>
              <w:pStyle w:val="TAH"/>
              <w:jc w:val="left"/>
              <w:rPr>
                <w:i/>
                <w:iCs/>
                <w:lang w:eastAsia="ko-KR"/>
              </w:rPr>
            </w:pPr>
            <w:r w:rsidRPr="00FA0D37">
              <w:rPr>
                <w:i/>
                <w:iCs/>
                <w:lang w:eastAsia="ko-KR"/>
              </w:rPr>
              <w:t>rlf</w:t>
            </w:r>
            <w:r w:rsidR="00015613" w:rsidRPr="00FA0D37">
              <w:rPr>
                <w:i/>
                <w:iCs/>
                <w:lang w:eastAsia="ko-KR"/>
              </w:rPr>
              <w:t>-</w:t>
            </w:r>
            <w:r w:rsidRPr="00FA0D37">
              <w:rPr>
                <w:i/>
                <w:iCs/>
                <w:lang w:eastAsia="ko-KR"/>
              </w:rPr>
              <w:t>InSourceDAPS</w:t>
            </w:r>
          </w:p>
          <w:p w14:paraId="12FFB690" w14:textId="3E3E5594" w:rsidR="00E84B6D" w:rsidRPr="00FA0D37" w:rsidRDefault="00E84B6D" w:rsidP="00771058">
            <w:pPr>
              <w:pStyle w:val="TAL"/>
              <w:rPr>
                <w:i/>
                <w:iCs/>
                <w:lang w:eastAsia="ko-KR"/>
              </w:rPr>
            </w:pPr>
            <w:r w:rsidRPr="00FA0D37">
              <w:rPr>
                <w:lang w:eastAsia="en-GB"/>
              </w:rPr>
              <w:t>This field indicates whether a radio link failure occurred at the source cell while T304 was running.</w:t>
            </w:r>
          </w:p>
        </w:tc>
      </w:tr>
      <w:tr w:rsidR="005C7FF4" w:rsidRPr="00FA0D37" w14:paraId="7967102C" w14:textId="77777777" w:rsidTr="00771058">
        <w:tc>
          <w:tcPr>
            <w:tcW w:w="14175" w:type="dxa"/>
            <w:tcBorders>
              <w:top w:val="single" w:sz="4" w:space="0" w:color="auto"/>
              <w:left w:val="single" w:sz="4" w:space="0" w:color="auto"/>
              <w:bottom w:val="single" w:sz="4" w:space="0" w:color="auto"/>
              <w:right w:val="single" w:sz="4" w:space="0" w:color="auto"/>
            </w:tcBorders>
          </w:tcPr>
          <w:p w14:paraId="0E63447E" w14:textId="77777777" w:rsidR="00E84B6D" w:rsidRPr="00FA0D37" w:rsidRDefault="00E84B6D" w:rsidP="00771058">
            <w:pPr>
              <w:pStyle w:val="TAL"/>
              <w:rPr>
                <w:b/>
                <w:i/>
              </w:rPr>
            </w:pPr>
            <w:r w:rsidRPr="00FA0D37">
              <w:rPr>
                <w:b/>
                <w:i/>
              </w:rPr>
              <w:t>shr-Cause</w:t>
            </w:r>
          </w:p>
          <w:p w14:paraId="11475A7C" w14:textId="77777777" w:rsidR="00E84B6D" w:rsidRPr="00FA0D37" w:rsidRDefault="00E84B6D" w:rsidP="00771058">
            <w:pPr>
              <w:pStyle w:val="TAL"/>
              <w:rPr>
                <w:b/>
                <w:i/>
              </w:rPr>
            </w:pPr>
            <w:r w:rsidRPr="00FA0D37">
              <w:rPr>
                <w:lang w:eastAsia="en-GB"/>
              </w:rPr>
              <w:t xml:space="preserve">This field is used to indicate </w:t>
            </w:r>
            <w:r w:rsidRPr="00FA0D37">
              <w:t>the cause of the successful HO report.</w:t>
            </w:r>
          </w:p>
        </w:tc>
      </w:tr>
      <w:tr w:rsidR="005C7FF4" w:rsidRPr="00FA0D37" w14:paraId="46A65BDE" w14:textId="77777777" w:rsidTr="00771058">
        <w:tc>
          <w:tcPr>
            <w:tcW w:w="14175" w:type="dxa"/>
            <w:tcBorders>
              <w:top w:val="single" w:sz="4" w:space="0" w:color="auto"/>
              <w:left w:val="single" w:sz="4" w:space="0" w:color="auto"/>
              <w:bottom w:val="single" w:sz="4" w:space="0" w:color="auto"/>
              <w:right w:val="single" w:sz="4" w:space="0" w:color="auto"/>
            </w:tcBorders>
          </w:tcPr>
          <w:p w14:paraId="74987A78" w14:textId="77777777" w:rsidR="004B0FA9" w:rsidRPr="00FA0D37" w:rsidRDefault="004B0FA9" w:rsidP="004B0FA9">
            <w:pPr>
              <w:pStyle w:val="TAL"/>
              <w:rPr>
                <w:b/>
                <w:i/>
              </w:rPr>
            </w:pPr>
            <w:r w:rsidRPr="00FA0D37">
              <w:rPr>
                <w:b/>
                <w:i/>
              </w:rPr>
              <w:t>sourceCellMeas</w:t>
            </w:r>
          </w:p>
          <w:p w14:paraId="51EB303C" w14:textId="189F4209" w:rsidR="004B0FA9" w:rsidRPr="00FA0D37" w:rsidRDefault="004B0FA9" w:rsidP="004B0FA9">
            <w:pPr>
              <w:pStyle w:val="TAL"/>
              <w:rPr>
                <w:b/>
                <w:i/>
              </w:rPr>
            </w:pPr>
            <w:r w:rsidRPr="00FA0D37">
              <w:rPr>
                <w:bCs/>
                <w:iCs/>
                <w:lang w:eastAsia="ko-KR"/>
              </w:rPr>
              <w:t xml:space="preserve">This field refers to the last measurement results taken in the source PCell of a handover </w:t>
            </w:r>
            <w:r w:rsidRPr="00FA0D37">
              <w:rPr>
                <w:lang w:eastAsia="en-GB"/>
              </w:rPr>
              <w:t xml:space="preserve">in which the successful handover triggers the </w:t>
            </w:r>
            <w:r w:rsidRPr="00FA0D37">
              <w:rPr>
                <w:i/>
                <w:iCs/>
                <w:lang w:eastAsia="en-GB"/>
              </w:rPr>
              <w:t>SuccessHO-Report</w:t>
            </w:r>
            <w:r w:rsidRPr="00FA0D37">
              <w:rPr>
                <w:bCs/>
                <w:iCs/>
                <w:lang w:eastAsia="ko-KR"/>
              </w:rPr>
              <w:t>.</w:t>
            </w:r>
          </w:p>
        </w:tc>
      </w:tr>
      <w:tr w:rsidR="005C7FF4" w:rsidRPr="00FA0D37" w14:paraId="5C6A85D5" w14:textId="77777777" w:rsidTr="00771058">
        <w:tc>
          <w:tcPr>
            <w:tcW w:w="14175" w:type="dxa"/>
            <w:tcBorders>
              <w:top w:val="single" w:sz="4" w:space="0" w:color="auto"/>
              <w:left w:val="single" w:sz="4" w:space="0" w:color="auto"/>
              <w:bottom w:val="single" w:sz="4" w:space="0" w:color="auto"/>
              <w:right w:val="single" w:sz="4" w:space="0" w:color="auto"/>
            </w:tcBorders>
          </w:tcPr>
          <w:p w14:paraId="537FEADE" w14:textId="77777777" w:rsidR="004B0FA9" w:rsidRPr="00FA0D37" w:rsidRDefault="004B0FA9" w:rsidP="004B0FA9">
            <w:pPr>
              <w:pStyle w:val="TAL"/>
              <w:rPr>
                <w:b/>
                <w:i/>
              </w:rPr>
            </w:pPr>
            <w:r w:rsidRPr="00FA0D37">
              <w:rPr>
                <w:b/>
                <w:i/>
              </w:rPr>
              <w:t>sourcePCellId</w:t>
            </w:r>
          </w:p>
          <w:p w14:paraId="1BC129BA" w14:textId="6D6224C2" w:rsidR="004B0FA9" w:rsidRPr="00FA0D37" w:rsidRDefault="004B0FA9" w:rsidP="004B0FA9">
            <w:pPr>
              <w:pStyle w:val="TAL"/>
              <w:rPr>
                <w:b/>
                <w:i/>
              </w:rPr>
            </w:pPr>
            <w:r w:rsidRPr="00FA0D37">
              <w:rPr>
                <w:lang w:eastAsia="en-GB"/>
              </w:rPr>
              <w:t xml:space="preserve">This field is used to indicate the source PCell of a handover in which the successful handover triggers the </w:t>
            </w:r>
            <w:r w:rsidRPr="00FA0D37">
              <w:rPr>
                <w:i/>
                <w:iCs/>
                <w:lang w:eastAsia="en-GB"/>
              </w:rPr>
              <w:t>SuccessHO-Report</w:t>
            </w:r>
            <w:r w:rsidRPr="00FA0D37">
              <w:rPr>
                <w:lang w:eastAsia="en-GB"/>
              </w:rPr>
              <w:t>.</w:t>
            </w:r>
          </w:p>
        </w:tc>
      </w:tr>
      <w:tr w:rsidR="005C7FF4" w:rsidRPr="00FA0D37" w14:paraId="57B67E00" w14:textId="77777777" w:rsidTr="00771058">
        <w:tc>
          <w:tcPr>
            <w:tcW w:w="14175" w:type="dxa"/>
            <w:tcBorders>
              <w:top w:val="single" w:sz="4" w:space="0" w:color="auto"/>
              <w:left w:val="single" w:sz="4" w:space="0" w:color="auto"/>
              <w:bottom w:val="single" w:sz="4" w:space="0" w:color="auto"/>
              <w:right w:val="single" w:sz="4" w:space="0" w:color="auto"/>
            </w:tcBorders>
          </w:tcPr>
          <w:p w14:paraId="5739F900" w14:textId="39F5ADC7" w:rsidR="004B0FA9" w:rsidRPr="00FA0D37" w:rsidRDefault="004B0FA9" w:rsidP="004B0FA9">
            <w:pPr>
              <w:pStyle w:val="TAL"/>
              <w:rPr>
                <w:b/>
                <w:i/>
              </w:rPr>
            </w:pPr>
            <w:r w:rsidRPr="00FA0D37">
              <w:rPr>
                <w:b/>
                <w:i/>
              </w:rPr>
              <w:t>target</w:t>
            </w:r>
            <w:r w:rsidR="00AB6DE4" w:rsidRPr="00FA0D37">
              <w:rPr>
                <w:b/>
                <w:i/>
              </w:rPr>
              <w:t>P</w:t>
            </w:r>
            <w:r w:rsidRPr="00FA0D37">
              <w:rPr>
                <w:b/>
                <w:i/>
              </w:rPr>
              <w:t>CellId</w:t>
            </w:r>
          </w:p>
          <w:p w14:paraId="7D699CEF" w14:textId="66124AF1" w:rsidR="004B0FA9" w:rsidRPr="00FA0D37" w:rsidRDefault="004B0FA9" w:rsidP="004B0FA9">
            <w:pPr>
              <w:pStyle w:val="TAL"/>
              <w:rPr>
                <w:b/>
                <w:i/>
              </w:rPr>
            </w:pPr>
            <w:r w:rsidRPr="00FA0D37">
              <w:rPr>
                <w:lang w:eastAsia="en-GB"/>
              </w:rPr>
              <w:t xml:space="preserve">This field is used to indicate the target PCell of a handover in which the successful handover triggers the </w:t>
            </w:r>
            <w:r w:rsidRPr="00FA0D37">
              <w:rPr>
                <w:i/>
                <w:iCs/>
                <w:lang w:eastAsia="en-GB"/>
              </w:rPr>
              <w:t>SuccessHO-Report</w:t>
            </w:r>
            <w:r w:rsidRPr="00FA0D37">
              <w:rPr>
                <w:lang w:eastAsia="en-GB"/>
              </w:rPr>
              <w:t>.</w:t>
            </w:r>
          </w:p>
        </w:tc>
      </w:tr>
      <w:tr w:rsidR="005C7FF4" w:rsidRPr="00FA0D37" w14:paraId="725C7031" w14:textId="77777777" w:rsidTr="00771058">
        <w:tc>
          <w:tcPr>
            <w:tcW w:w="14175" w:type="dxa"/>
            <w:tcBorders>
              <w:top w:val="single" w:sz="4" w:space="0" w:color="auto"/>
              <w:left w:val="single" w:sz="4" w:space="0" w:color="auto"/>
              <w:bottom w:val="single" w:sz="4" w:space="0" w:color="auto"/>
              <w:right w:val="single" w:sz="4" w:space="0" w:color="auto"/>
            </w:tcBorders>
          </w:tcPr>
          <w:p w14:paraId="66D1E680" w14:textId="77777777" w:rsidR="004B0FA9" w:rsidRPr="00FA0D37" w:rsidRDefault="004B0FA9" w:rsidP="004B0FA9">
            <w:pPr>
              <w:pStyle w:val="TAL"/>
              <w:rPr>
                <w:b/>
                <w:i/>
              </w:rPr>
            </w:pPr>
            <w:r w:rsidRPr="00FA0D37">
              <w:rPr>
                <w:b/>
                <w:i/>
              </w:rPr>
              <w:t>targetCellMeas</w:t>
            </w:r>
          </w:p>
          <w:p w14:paraId="01BAB272" w14:textId="1D84AC5F" w:rsidR="004B0FA9" w:rsidRPr="00FA0D37" w:rsidRDefault="004B0FA9" w:rsidP="004B0FA9">
            <w:pPr>
              <w:pStyle w:val="TAL"/>
              <w:rPr>
                <w:b/>
                <w:i/>
              </w:rPr>
            </w:pPr>
            <w:r w:rsidRPr="00FA0D37">
              <w:rPr>
                <w:bCs/>
                <w:iCs/>
                <w:lang w:eastAsia="ko-KR"/>
              </w:rPr>
              <w:t xml:space="preserve">This field refers to the last measurement results taken in the target PCell of a handover </w:t>
            </w:r>
            <w:r w:rsidRPr="00FA0D37">
              <w:rPr>
                <w:lang w:eastAsia="en-GB"/>
              </w:rPr>
              <w:t xml:space="preserve">in which the successful handover triggers the </w:t>
            </w:r>
            <w:r w:rsidRPr="00FA0D37">
              <w:rPr>
                <w:i/>
                <w:iCs/>
                <w:lang w:eastAsia="en-GB"/>
              </w:rPr>
              <w:t>SuccessHO-Report</w:t>
            </w:r>
            <w:r w:rsidRPr="00FA0D37">
              <w:rPr>
                <w:bCs/>
                <w:iCs/>
                <w:lang w:eastAsia="ko-KR"/>
              </w:rPr>
              <w:t>.</w:t>
            </w:r>
          </w:p>
        </w:tc>
      </w:tr>
      <w:tr w:rsidR="005C7FF4" w:rsidRPr="00FA0D37" w14:paraId="26843AB1" w14:textId="77777777" w:rsidTr="00771058">
        <w:tc>
          <w:tcPr>
            <w:tcW w:w="14175" w:type="dxa"/>
            <w:tcBorders>
              <w:top w:val="single" w:sz="4" w:space="0" w:color="auto"/>
              <w:left w:val="single" w:sz="4" w:space="0" w:color="auto"/>
              <w:bottom w:val="single" w:sz="4" w:space="0" w:color="auto"/>
              <w:right w:val="single" w:sz="4" w:space="0" w:color="auto"/>
            </w:tcBorders>
          </w:tcPr>
          <w:p w14:paraId="01E472FB" w14:textId="6F0AB0AE" w:rsidR="004B0FA9" w:rsidRPr="00FA0D37" w:rsidRDefault="004B0FA9" w:rsidP="004B0FA9">
            <w:pPr>
              <w:pStyle w:val="TAL"/>
              <w:rPr>
                <w:bCs/>
                <w:i/>
                <w:iCs/>
              </w:rPr>
            </w:pPr>
            <w:r w:rsidRPr="00FA0D37">
              <w:rPr>
                <w:b/>
                <w:bCs/>
                <w:i/>
                <w:iCs/>
                <w:lang w:eastAsia="sv-SE"/>
              </w:rPr>
              <w:t>timeSinceCHO-Reconfig</w:t>
            </w:r>
          </w:p>
          <w:p w14:paraId="341BB890" w14:textId="77777777" w:rsidR="004B0FA9" w:rsidRPr="00FA0D37" w:rsidRDefault="004B0FA9" w:rsidP="004B0FA9">
            <w:pPr>
              <w:pStyle w:val="TAL"/>
              <w:rPr>
                <w:bCs/>
                <w:lang w:eastAsia="ko-KR"/>
              </w:rPr>
            </w:pPr>
            <w:r w:rsidRPr="00FA0D37">
              <w:rPr>
                <w:bCs/>
                <w:lang w:eastAsia="ko-KR"/>
              </w:rPr>
              <w:t>This field is used to indicate the time elapsed between the initiation of the last conditional reconfiguration execution towards the target cell and the reception of the latest conditional reconfiguration for this target cell.</w:t>
            </w:r>
            <w:r w:rsidRPr="00FA0D37">
              <w:t xml:space="preserve"> </w:t>
            </w:r>
            <w:r w:rsidRPr="00FA0D37">
              <w:rPr>
                <w:bCs/>
                <w:lang w:eastAsia="sv-SE"/>
              </w:rPr>
              <w:t>Actual value = field value * 100ms</w:t>
            </w:r>
            <w:r w:rsidRPr="00FA0D37">
              <w:rPr>
                <w:bCs/>
                <w:lang w:eastAsia="ko-KR"/>
              </w:rPr>
              <w:t xml:space="preserve">. </w:t>
            </w:r>
            <w:r w:rsidRPr="00FA0D37">
              <w:rPr>
                <w:bCs/>
                <w:lang w:eastAsia="sv-SE"/>
              </w:rPr>
              <w:t>The maximum value 1023 means 102.3s or longer</w:t>
            </w:r>
            <w:r w:rsidRPr="00FA0D37">
              <w:rPr>
                <w:bCs/>
                <w:lang w:eastAsia="ko-KR"/>
              </w:rPr>
              <w:t>.</w:t>
            </w:r>
          </w:p>
        </w:tc>
      </w:tr>
      <w:tr w:rsidR="004B0FA9" w:rsidRPr="00FA0D37" w14:paraId="598B1FC5" w14:textId="77777777" w:rsidTr="00771058">
        <w:tc>
          <w:tcPr>
            <w:tcW w:w="14175" w:type="dxa"/>
            <w:tcBorders>
              <w:top w:val="single" w:sz="4" w:space="0" w:color="auto"/>
              <w:left w:val="single" w:sz="4" w:space="0" w:color="auto"/>
              <w:bottom w:val="single" w:sz="4" w:space="0" w:color="auto"/>
              <w:right w:val="single" w:sz="4" w:space="0" w:color="auto"/>
            </w:tcBorders>
          </w:tcPr>
          <w:p w14:paraId="39CC62A1" w14:textId="226FC201" w:rsidR="004B0FA9" w:rsidRPr="00FA0D37" w:rsidRDefault="004B0FA9" w:rsidP="004B0FA9">
            <w:pPr>
              <w:pStyle w:val="TAL"/>
              <w:rPr>
                <w:b/>
                <w:i/>
              </w:rPr>
            </w:pPr>
            <w:r w:rsidRPr="00FA0D37">
              <w:rPr>
                <w:b/>
                <w:i/>
              </w:rPr>
              <w:t>upInterruptionTimeAtHO</w:t>
            </w:r>
          </w:p>
          <w:p w14:paraId="70F09B85" w14:textId="1978064C" w:rsidR="004B0FA9" w:rsidRPr="00FA0D37" w:rsidRDefault="004B0FA9" w:rsidP="004B0FA9">
            <w:pPr>
              <w:pStyle w:val="TAL"/>
            </w:pPr>
            <w:r w:rsidRPr="00FA0D37">
              <w:t>This field is used to indicate the time elapsed between the time of arrival of the last PDCP PDU received from the source cell for any data radio bearer and the time of arrival of the first non-duplicate PDCP PDU received from the target cell for any data radio bearer, and it is measured at the time of arrival of the first non-duplicate PDCP PDU received from the target cell for any data radio bearer. The field is set only in case of DAPS handover.</w:t>
            </w:r>
            <w:r w:rsidRPr="00FA0D37">
              <w:br/>
            </w:r>
            <w:r w:rsidRPr="00FA0D37">
              <w:rPr>
                <w:bCs/>
                <w:iCs/>
                <w:lang w:eastAsia="ko-KR"/>
              </w:rPr>
              <w:t xml:space="preserve">Value in milliseconds. </w:t>
            </w:r>
            <w:r w:rsidRPr="00FA0D37">
              <w:rPr>
                <w:lang w:eastAsia="sv-SE"/>
              </w:rPr>
              <w:t>The maximum value 1023 means 1023ms or longer</w:t>
            </w:r>
            <w:r w:rsidRPr="00FA0D37">
              <w:rPr>
                <w:bCs/>
                <w:iCs/>
                <w:lang w:eastAsia="ko-KR"/>
              </w:rPr>
              <w:t>.</w:t>
            </w:r>
          </w:p>
        </w:tc>
      </w:tr>
    </w:tbl>
    <w:p w14:paraId="6D67BD3B" w14:textId="4004A749" w:rsidR="00E84B6D" w:rsidRPr="00FA0D37" w:rsidRDefault="00E84B6D" w:rsidP="00394471"/>
    <w:p w14:paraId="53B772AF" w14:textId="77777777" w:rsidR="0064192E" w:rsidRPr="00FA0D37" w:rsidRDefault="0064192E" w:rsidP="0064192E">
      <w:pPr>
        <w:pStyle w:val="4"/>
      </w:pPr>
      <w:bookmarkStart w:id="739" w:name="_Toc146781170"/>
      <w:r w:rsidRPr="00FA0D37">
        <w:t>–</w:t>
      </w:r>
      <w:r w:rsidRPr="00FA0D37">
        <w:tab/>
      </w:r>
      <w:r w:rsidRPr="00FA0D37">
        <w:rPr>
          <w:i/>
        </w:rPr>
        <w:t>UEPositioningAssistanceInfo</w:t>
      </w:r>
      <w:bookmarkEnd w:id="739"/>
    </w:p>
    <w:p w14:paraId="3FB782CF" w14:textId="77777777" w:rsidR="0064192E" w:rsidRPr="00FA0D37" w:rsidRDefault="0064192E" w:rsidP="0064192E">
      <w:pPr>
        <w:rPr>
          <w:lang w:eastAsia="en-US"/>
        </w:rPr>
      </w:pPr>
      <w:r w:rsidRPr="00FA0D37">
        <w:rPr>
          <w:lang w:eastAsia="en-US"/>
        </w:rPr>
        <w:t xml:space="preserve">The </w:t>
      </w:r>
      <w:r w:rsidRPr="00FA0D37">
        <w:rPr>
          <w:i/>
          <w:lang w:eastAsia="en-US"/>
        </w:rPr>
        <w:t xml:space="preserve">UEPositioningAssistanceInfo </w:t>
      </w:r>
      <w:r w:rsidRPr="00FA0D37">
        <w:rPr>
          <w:lang w:eastAsia="en-US"/>
        </w:rPr>
        <w:t>message is used to provide positioning assistance information as requested by the Network.</w:t>
      </w:r>
    </w:p>
    <w:p w14:paraId="7E2213DD" w14:textId="77777777" w:rsidR="0064192E" w:rsidRPr="00FA0D37" w:rsidRDefault="0064192E" w:rsidP="0064192E">
      <w:pPr>
        <w:pStyle w:val="B1"/>
      </w:pPr>
      <w:r w:rsidRPr="00FA0D37">
        <w:t>Signalling radio bearer: SRB1</w:t>
      </w:r>
    </w:p>
    <w:p w14:paraId="7C610F3A" w14:textId="77777777" w:rsidR="0064192E" w:rsidRPr="00FA0D37" w:rsidRDefault="0064192E" w:rsidP="0064192E">
      <w:pPr>
        <w:pStyle w:val="B1"/>
      </w:pPr>
      <w:r w:rsidRPr="00FA0D37">
        <w:t>RLC-SAP: AM</w:t>
      </w:r>
    </w:p>
    <w:p w14:paraId="32920D59" w14:textId="77777777" w:rsidR="0064192E" w:rsidRPr="00FA0D37" w:rsidRDefault="0064192E" w:rsidP="0064192E">
      <w:pPr>
        <w:pStyle w:val="B1"/>
      </w:pPr>
      <w:r w:rsidRPr="00FA0D37">
        <w:t>Logical channel: DCCH</w:t>
      </w:r>
    </w:p>
    <w:p w14:paraId="2816CAC1" w14:textId="77777777" w:rsidR="0064192E" w:rsidRPr="00FA0D37" w:rsidRDefault="0064192E" w:rsidP="0064192E">
      <w:pPr>
        <w:pStyle w:val="B1"/>
      </w:pPr>
      <w:r w:rsidRPr="00FA0D37">
        <w:t>Direction: UE to Network</w:t>
      </w:r>
    </w:p>
    <w:p w14:paraId="0D6D032A" w14:textId="77777777" w:rsidR="0064192E" w:rsidRPr="00FA0D37" w:rsidRDefault="0064192E" w:rsidP="0064192E">
      <w:pPr>
        <w:pStyle w:val="TH"/>
        <w:rPr>
          <w:bCs/>
          <w:i/>
          <w:iCs/>
        </w:rPr>
      </w:pPr>
      <w:r w:rsidRPr="00FA0D37">
        <w:rPr>
          <w:bCs/>
          <w:i/>
          <w:iCs/>
        </w:rPr>
        <w:t>UEPositioningAssistanceInfo</w:t>
      </w:r>
      <w:r w:rsidRPr="00FA0D37">
        <w:rPr>
          <w:i/>
        </w:rPr>
        <w:t xml:space="preserve"> </w:t>
      </w:r>
      <w:r w:rsidRPr="00FA0D37">
        <w:rPr>
          <w:bCs/>
          <w:i/>
          <w:iCs/>
        </w:rPr>
        <w:t>message</w:t>
      </w:r>
    </w:p>
    <w:p w14:paraId="2A1F2CD0" w14:textId="77777777" w:rsidR="0064192E" w:rsidRPr="00FA0D37" w:rsidRDefault="0064192E" w:rsidP="00FA0D37">
      <w:pPr>
        <w:pStyle w:val="PL"/>
        <w:rPr>
          <w:color w:val="808080"/>
        </w:rPr>
      </w:pPr>
      <w:r w:rsidRPr="00FA0D37">
        <w:rPr>
          <w:color w:val="808080"/>
        </w:rPr>
        <w:t>-- ASN1START</w:t>
      </w:r>
    </w:p>
    <w:p w14:paraId="0906F724" w14:textId="77777777" w:rsidR="0064192E" w:rsidRPr="00FA0D37" w:rsidRDefault="0064192E" w:rsidP="00FA0D37">
      <w:pPr>
        <w:pStyle w:val="PL"/>
        <w:rPr>
          <w:color w:val="808080"/>
        </w:rPr>
      </w:pPr>
      <w:r w:rsidRPr="00FA0D37">
        <w:rPr>
          <w:color w:val="808080"/>
        </w:rPr>
        <w:t>-- TAG-UEPOSITIONINGASSISTANCEINFO-START</w:t>
      </w:r>
    </w:p>
    <w:p w14:paraId="6B43CFCE" w14:textId="77777777" w:rsidR="0064192E" w:rsidRPr="00FA0D37" w:rsidRDefault="0064192E" w:rsidP="00FA0D37">
      <w:pPr>
        <w:pStyle w:val="PL"/>
      </w:pPr>
    </w:p>
    <w:p w14:paraId="238806BA" w14:textId="185B2403" w:rsidR="0064192E" w:rsidRPr="00FA0D37" w:rsidRDefault="0064192E" w:rsidP="00FA0D37">
      <w:pPr>
        <w:pStyle w:val="PL"/>
      </w:pPr>
      <w:r w:rsidRPr="00FA0D37">
        <w:lastRenderedPageBreak/>
        <w:t>UEPositioningAssistanceInfo-r17 ::</w:t>
      </w:r>
      <w:r w:rsidR="00FB193E" w:rsidRPr="00FA0D37">
        <w:t>=</w:t>
      </w:r>
      <w:r w:rsidRPr="00FA0D37">
        <w:t xml:space="preserve"> </w:t>
      </w:r>
      <w:r w:rsidRPr="00FA0D37">
        <w:rPr>
          <w:color w:val="993366"/>
        </w:rPr>
        <w:t>SEQUENCE</w:t>
      </w:r>
      <w:r w:rsidRPr="00FA0D37">
        <w:t xml:space="preserve"> {</w:t>
      </w:r>
    </w:p>
    <w:p w14:paraId="3476CED5" w14:textId="7E0AF029" w:rsidR="0064192E" w:rsidRPr="00FA0D37" w:rsidRDefault="0064192E" w:rsidP="00FA0D37">
      <w:pPr>
        <w:pStyle w:val="PL"/>
      </w:pPr>
      <w:r w:rsidRPr="00FA0D37">
        <w:t xml:space="preserve">    criticalExtensions                  </w:t>
      </w:r>
      <w:r w:rsidRPr="00FA0D37">
        <w:rPr>
          <w:color w:val="993366"/>
        </w:rPr>
        <w:t>CHOICE</w:t>
      </w:r>
      <w:r w:rsidRPr="00FA0D37">
        <w:t xml:space="preserve"> {</w:t>
      </w:r>
    </w:p>
    <w:p w14:paraId="4CE9A33C" w14:textId="2C9644C9" w:rsidR="0064192E" w:rsidRPr="00FA0D37" w:rsidRDefault="0064192E" w:rsidP="00FA0D37">
      <w:pPr>
        <w:pStyle w:val="PL"/>
      </w:pPr>
      <w:r w:rsidRPr="00FA0D37">
        <w:t xml:space="preserve">        uePositioningAssistanceInfo-r17     UEPositioningAssistanceInfo-r17</w:t>
      </w:r>
      <w:r w:rsidR="00425CBF" w:rsidRPr="00FA0D37">
        <w:t>-IEs</w:t>
      </w:r>
      <w:r w:rsidRPr="00FA0D37">
        <w:t>,</w:t>
      </w:r>
    </w:p>
    <w:p w14:paraId="3A28172E" w14:textId="08130722" w:rsidR="0064192E" w:rsidRPr="00FA0D37" w:rsidRDefault="0064192E" w:rsidP="00FA0D37">
      <w:pPr>
        <w:pStyle w:val="PL"/>
      </w:pPr>
      <w:r w:rsidRPr="00FA0D37">
        <w:t xml:space="preserve">        criticalExtensionsFuture            </w:t>
      </w:r>
      <w:r w:rsidRPr="00FA0D37">
        <w:rPr>
          <w:color w:val="993366"/>
        </w:rPr>
        <w:t>SEQUENCE</w:t>
      </w:r>
      <w:r w:rsidRPr="00FA0D37">
        <w:t xml:space="preserve"> {}</w:t>
      </w:r>
    </w:p>
    <w:p w14:paraId="2F0E0625" w14:textId="77777777" w:rsidR="0064192E" w:rsidRPr="00FA0D37" w:rsidRDefault="0064192E" w:rsidP="00FA0D37">
      <w:pPr>
        <w:pStyle w:val="PL"/>
      </w:pPr>
      <w:r w:rsidRPr="00FA0D37">
        <w:t xml:space="preserve">    }</w:t>
      </w:r>
    </w:p>
    <w:p w14:paraId="480E8964" w14:textId="77777777" w:rsidR="0064192E" w:rsidRPr="00FA0D37" w:rsidRDefault="0064192E" w:rsidP="00FA0D37">
      <w:pPr>
        <w:pStyle w:val="PL"/>
      </w:pPr>
      <w:r w:rsidRPr="00FA0D37">
        <w:t>}</w:t>
      </w:r>
    </w:p>
    <w:p w14:paraId="70B993E5" w14:textId="77777777" w:rsidR="0064192E" w:rsidRPr="00FA0D37" w:rsidRDefault="0064192E" w:rsidP="00FA0D37">
      <w:pPr>
        <w:pStyle w:val="PL"/>
      </w:pPr>
    </w:p>
    <w:p w14:paraId="1A6BBED7" w14:textId="1BD9AF2F" w:rsidR="0064192E" w:rsidRPr="00FA0D37" w:rsidRDefault="0064192E" w:rsidP="00FA0D37">
      <w:pPr>
        <w:pStyle w:val="PL"/>
      </w:pPr>
      <w:r w:rsidRPr="00FA0D37">
        <w:t>UEPositioningAssistanceInfo</w:t>
      </w:r>
      <w:r w:rsidR="00425CBF" w:rsidRPr="00FA0D37">
        <w:t>-r17</w:t>
      </w:r>
      <w:r w:rsidRPr="00FA0D37">
        <w:t>-IE</w:t>
      </w:r>
      <w:r w:rsidR="000347BD" w:rsidRPr="00FA0D37">
        <w:t>s</w:t>
      </w:r>
      <w:r w:rsidRPr="00FA0D37">
        <w:t xml:space="preserve"> ::= </w:t>
      </w:r>
      <w:r w:rsidRPr="00FA0D37">
        <w:rPr>
          <w:color w:val="993366"/>
        </w:rPr>
        <w:t>SEQUENCE</w:t>
      </w:r>
      <w:r w:rsidRPr="00FA0D37">
        <w:t xml:space="preserve"> {</w:t>
      </w:r>
    </w:p>
    <w:p w14:paraId="32850151" w14:textId="15BDFDDF" w:rsidR="0064192E" w:rsidRPr="00FA0D37" w:rsidRDefault="0064192E" w:rsidP="00FA0D37">
      <w:pPr>
        <w:pStyle w:val="PL"/>
      </w:pPr>
      <w:r w:rsidRPr="00FA0D37">
        <w:t xml:space="preserve">    ue-TxTEG</w:t>
      </w:r>
      <w:r w:rsidRPr="00FA0D37">
        <w:rPr>
          <w:rFonts w:eastAsia="等线"/>
        </w:rPr>
        <w:t>-Association</w:t>
      </w:r>
      <w:r w:rsidRPr="00FA0D37">
        <w:t>List-r17            UE-TxTEG</w:t>
      </w:r>
      <w:r w:rsidRPr="00FA0D37">
        <w:rPr>
          <w:rFonts w:eastAsia="等线"/>
        </w:rPr>
        <w:t>-Association</w:t>
      </w:r>
      <w:r w:rsidRPr="00FA0D37">
        <w:t>List</w:t>
      </w:r>
      <w:r w:rsidRPr="00FA0D37">
        <w:rPr>
          <w:rFonts w:eastAsia="等线"/>
        </w:rPr>
        <w:t>-r17</w:t>
      </w:r>
      <w:r w:rsidRPr="00FA0D37">
        <w:t xml:space="preserve">        </w:t>
      </w:r>
      <w:r w:rsidR="007D4907" w:rsidRPr="00FA0D37">
        <w:t xml:space="preserve">  </w:t>
      </w:r>
      <w:r w:rsidRPr="00FA0D37">
        <w:rPr>
          <w:rFonts w:eastAsia="等线"/>
          <w:color w:val="993366"/>
        </w:rPr>
        <w:t>OPTIONAL</w:t>
      </w:r>
      <w:r w:rsidRPr="00FA0D37">
        <w:rPr>
          <w:rFonts w:eastAsia="等线"/>
        </w:rPr>
        <w:t>,</w:t>
      </w:r>
    </w:p>
    <w:p w14:paraId="339057A5" w14:textId="261543C0" w:rsidR="0064192E" w:rsidRPr="00FA0D37" w:rsidRDefault="0064192E"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007D4907" w:rsidRPr="00FA0D37">
        <w:t xml:space="preserve">  </w:t>
      </w:r>
      <w:r w:rsidRPr="00FA0D37">
        <w:rPr>
          <w:color w:val="993366"/>
        </w:rPr>
        <w:t>OPTIONAL</w:t>
      </w:r>
      <w:r w:rsidRPr="00FA0D37">
        <w:t>,</w:t>
      </w:r>
    </w:p>
    <w:p w14:paraId="437F18E7" w14:textId="1025BFE8" w:rsidR="0064192E" w:rsidRPr="00FA0D37" w:rsidRDefault="0064192E" w:rsidP="00FA0D37">
      <w:pPr>
        <w:pStyle w:val="PL"/>
      </w:pPr>
      <w:r w:rsidRPr="00FA0D37">
        <w:t xml:space="preserve">    nonCriticalExtension                    </w:t>
      </w:r>
      <w:r w:rsidR="007D4907" w:rsidRPr="00FA0D37">
        <w:t>UEPositioningAssistanceInfo-v1720-IEs</w:t>
      </w:r>
      <w:r w:rsidRPr="00FA0D37">
        <w:t xml:space="preserve"> </w:t>
      </w:r>
      <w:r w:rsidRPr="00FA0D37">
        <w:rPr>
          <w:color w:val="993366"/>
        </w:rPr>
        <w:t>OPTIONAL</w:t>
      </w:r>
    </w:p>
    <w:p w14:paraId="7DEB2616" w14:textId="77777777" w:rsidR="0064192E" w:rsidRPr="00FA0D37" w:rsidRDefault="0064192E" w:rsidP="00FA0D37">
      <w:pPr>
        <w:pStyle w:val="PL"/>
      </w:pPr>
      <w:r w:rsidRPr="00FA0D37">
        <w:t>}</w:t>
      </w:r>
    </w:p>
    <w:p w14:paraId="271A5201" w14:textId="77777777" w:rsidR="007D4907" w:rsidRPr="00FA0D37" w:rsidRDefault="007D4907" w:rsidP="00FA0D37">
      <w:pPr>
        <w:pStyle w:val="PL"/>
      </w:pPr>
    </w:p>
    <w:p w14:paraId="37C8C987" w14:textId="77EF9D99" w:rsidR="007D4907" w:rsidRPr="00FA0D37" w:rsidRDefault="007D4907" w:rsidP="00FA0D37">
      <w:pPr>
        <w:pStyle w:val="PL"/>
      </w:pPr>
      <w:r w:rsidRPr="00FA0D37">
        <w:t xml:space="preserve">UEPositioningAssistanceInfo-v1720-IEs::=    </w:t>
      </w:r>
      <w:r w:rsidRPr="00FA0D37">
        <w:rPr>
          <w:color w:val="993366"/>
        </w:rPr>
        <w:t>SEQUENCE</w:t>
      </w:r>
      <w:r w:rsidRPr="00FA0D37">
        <w:t xml:space="preserve"> {</w:t>
      </w:r>
    </w:p>
    <w:p w14:paraId="2CE81FBA" w14:textId="325A6EC9" w:rsidR="007D4907" w:rsidRPr="00FA0D37" w:rsidRDefault="007D4907" w:rsidP="00FA0D37">
      <w:pPr>
        <w:pStyle w:val="PL"/>
      </w:pPr>
      <w:r w:rsidRPr="00FA0D37">
        <w:t xml:space="preserve">    ue-TxTEG-TimingErrorMarginValue-r17         </w:t>
      </w:r>
      <w:r w:rsidRPr="00FA0D37">
        <w:rPr>
          <w:color w:val="993366"/>
        </w:rPr>
        <w:t>ENUMERATED</w:t>
      </w:r>
      <w:r w:rsidRPr="00FA0D37">
        <w:t xml:space="preserve"> {tc0, tc2, tc4, tc6, tc8, tc12, tc16, tc20, tc24, tc32, tc40, tc48, tc56,</w:t>
      </w:r>
    </w:p>
    <w:p w14:paraId="6015FAAF" w14:textId="6411C700" w:rsidR="007D4907" w:rsidRPr="00FA0D37" w:rsidRDefault="007D4907" w:rsidP="00FA0D37">
      <w:pPr>
        <w:pStyle w:val="PL"/>
      </w:pPr>
      <w:r w:rsidRPr="00FA0D37">
        <w:t xml:space="preserve">                                                            tc64, tc72, tc80}                                      </w:t>
      </w:r>
      <w:r w:rsidRPr="00FA0D37">
        <w:rPr>
          <w:color w:val="993366"/>
        </w:rPr>
        <w:t>OPTIONAL</w:t>
      </w:r>
      <w:r w:rsidRPr="00FA0D37">
        <w:t>,</w:t>
      </w:r>
    </w:p>
    <w:p w14:paraId="463EFCCA" w14:textId="53BFD7F9" w:rsidR="007D4907" w:rsidRPr="00FA0D37" w:rsidRDefault="007D4907"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412127D5" w14:textId="7D79A12D" w:rsidR="0064192E" w:rsidRPr="00FA0D37" w:rsidRDefault="007D4907" w:rsidP="00FA0D37">
      <w:pPr>
        <w:pStyle w:val="PL"/>
      </w:pPr>
      <w:r w:rsidRPr="00FA0D37">
        <w:t>}</w:t>
      </w:r>
    </w:p>
    <w:p w14:paraId="3E292453" w14:textId="77777777" w:rsidR="007D4907" w:rsidRPr="00FA0D37" w:rsidRDefault="007D4907" w:rsidP="00FA0D37">
      <w:pPr>
        <w:pStyle w:val="PL"/>
      </w:pPr>
    </w:p>
    <w:p w14:paraId="3001EA60" w14:textId="09226197" w:rsidR="0064192E" w:rsidRPr="00FA0D37" w:rsidRDefault="0064192E" w:rsidP="00FA0D37">
      <w:pPr>
        <w:pStyle w:val="PL"/>
      </w:pPr>
      <w:r w:rsidRPr="00FA0D37">
        <w:t xml:space="preserve">UE-TxTEG-AssociationList-r17 ::= </w:t>
      </w:r>
      <w:r w:rsidRPr="00FA0D37">
        <w:rPr>
          <w:color w:val="993366"/>
        </w:rPr>
        <w:t>SEQUENCE</w:t>
      </w:r>
      <w:r w:rsidRPr="00FA0D37">
        <w:t xml:space="preserve"> (</w:t>
      </w:r>
      <w:r w:rsidRPr="00FA0D37">
        <w:rPr>
          <w:color w:val="993366"/>
        </w:rPr>
        <w:t>SIZE</w:t>
      </w:r>
      <w:r w:rsidRPr="00FA0D37">
        <w:t xml:space="preserve"> (1..</w:t>
      </w:r>
      <w:bookmarkStart w:id="740" w:name="_Hlk95214035"/>
      <w:r w:rsidR="00893D04" w:rsidRPr="00FA0D37">
        <w:t>maxNrOfTxTEGReport</w:t>
      </w:r>
      <w:r w:rsidRPr="00FA0D37">
        <w:t>-r17</w:t>
      </w:r>
      <w:bookmarkEnd w:id="740"/>
      <w:r w:rsidRPr="00FA0D37">
        <w:t>))</w:t>
      </w:r>
      <w:r w:rsidRPr="00FA0D37">
        <w:rPr>
          <w:color w:val="993366"/>
        </w:rPr>
        <w:t xml:space="preserve"> OF</w:t>
      </w:r>
      <w:r w:rsidRPr="00FA0D37">
        <w:t xml:space="preserve"> UE-TxTEG-Association-r17</w:t>
      </w:r>
    </w:p>
    <w:p w14:paraId="5489301A" w14:textId="77777777" w:rsidR="0064192E" w:rsidRPr="00FA0D37" w:rsidRDefault="0064192E" w:rsidP="00FA0D37">
      <w:pPr>
        <w:pStyle w:val="PL"/>
      </w:pPr>
    </w:p>
    <w:p w14:paraId="2E073D5F" w14:textId="360FD7A3" w:rsidR="0064192E" w:rsidRPr="00FA0D37" w:rsidRDefault="0064192E" w:rsidP="00FA0D37">
      <w:pPr>
        <w:pStyle w:val="PL"/>
      </w:pPr>
      <w:r w:rsidRPr="00FA0D37">
        <w:t xml:space="preserve">UE-TxTEG-Association-r17 ::=        </w:t>
      </w:r>
      <w:r w:rsidRPr="00FA0D37">
        <w:rPr>
          <w:color w:val="993366"/>
        </w:rPr>
        <w:t>SEQUENCE</w:t>
      </w:r>
      <w:r w:rsidRPr="00FA0D37">
        <w:t xml:space="preserve"> {</w:t>
      </w:r>
    </w:p>
    <w:p w14:paraId="66CA3CE0" w14:textId="1EBCA6C7" w:rsidR="0064192E" w:rsidRPr="00FA0D37" w:rsidRDefault="0064192E" w:rsidP="00FA0D37">
      <w:pPr>
        <w:pStyle w:val="PL"/>
      </w:pPr>
      <w:r w:rsidRPr="00FA0D37">
        <w:t xml:space="preserve">    ue-TxTEG-ID-r17                     </w:t>
      </w:r>
      <w:r w:rsidRPr="00FA0D37">
        <w:rPr>
          <w:color w:val="993366"/>
        </w:rPr>
        <w:t>INTEGER</w:t>
      </w:r>
      <w:r w:rsidRPr="00FA0D37">
        <w:t xml:space="preserve"> (</w:t>
      </w:r>
      <w:r w:rsidR="005D0D1E" w:rsidRPr="00FA0D37">
        <w:t>0</w:t>
      </w:r>
      <w:r w:rsidRPr="00FA0D37">
        <w:t>..</w:t>
      </w:r>
      <w:r w:rsidR="005D0D1E" w:rsidRPr="00FA0D37">
        <w:t>maxNrOfTxTEG-ID-1-r17</w:t>
      </w:r>
      <w:r w:rsidRPr="00FA0D37">
        <w:t>),</w:t>
      </w:r>
    </w:p>
    <w:p w14:paraId="778E55A2" w14:textId="7D2DBE6C" w:rsidR="0064192E" w:rsidRPr="00FA0D37" w:rsidRDefault="0064192E" w:rsidP="00FA0D37">
      <w:pPr>
        <w:pStyle w:val="PL"/>
        <w:rPr>
          <w:rFonts w:eastAsia="宋体"/>
        </w:rPr>
      </w:pPr>
      <w:r w:rsidRPr="00FA0D37">
        <w:t xml:space="preserve">    nr-TimeStamp-r1</w:t>
      </w:r>
      <w:r w:rsidRPr="00FA0D37">
        <w:rPr>
          <w:rFonts w:eastAsia="等线"/>
        </w:rPr>
        <w:t>7</w:t>
      </w:r>
      <w:r w:rsidRPr="00FA0D37">
        <w:t xml:space="preserve">                    NR-TimeStamp-r1</w:t>
      </w:r>
      <w:r w:rsidRPr="00FA0D37">
        <w:rPr>
          <w:rFonts w:eastAsia="等线"/>
        </w:rPr>
        <w:t>7,</w:t>
      </w:r>
    </w:p>
    <w:p w14:paraId="421F5450" w14:textId="32E51AA3" w:rsidR="005D0D1E" w:rsidRPr="00FA0D37" w:rsidRDefault="005D0D1E" w:rsidP="00FA0D37">
      <w:pPr>
        <w:pStyle w:val="PL"/>
        <w:rPr>
          <w:rFonts w:eastAsia="宋体"/>
        </w:rPr>
      </w:pPr>
      <w:r w:rsidRPr="00FA0D37">
        <w:t xml:space="preserve">    associatedSRS-PosResourceIdList-r17 </w:t>
      </w:r>
      <w:r w:rsidRPr="00FA0D37">
        <w:rPr>
          <w:color w:val="993366"/>
        </w:rPr>
        <w:t>SEQUENCE</w:t>
      </w:r>
      <w:r w:rsidRPr="00FA0D37">
        <w:t xml:space="preserve"> (</w:t>
      </w:r>
      <w:r w:rsidRPr="00FA0D37">
        <w:rPr>
          <w:color w:val="993366"/>
        </w:rPr>
        <w:t>SIZE</w:t>
      </w:r>
      <w:r w:rsidRPr="00FA0D37">
        <w:t>(1..maxNrofSRS-PosResources-r16))</w:t>
      </w:r>
      <w:r w:rsidRPr="00FA0D37">
        <w:rPr>
          <w:color w:val="993366"/>
        </w:rPr>
        <w:t xml:space="preserve"> OF</w:t>
      </w:r>
      <w:r w:rsidRPr="00FA0D37">
        <w:t xml:space="preserve"> SRS-PosResourceId-r16,</w:t>
      </w:r>
    </w:p>
    <w:p w14:paraId="2F4E4B56" w14:textId="77777777" w:rsidR="005D0D1E" w:rsidRPr="00FA0D37" w:rsidRDefault="005D0D1E" w:rsidP="00FA0D37">
      <w:pPr>
        <w:pStyle w:val="PL"/>
      </w:pPr>
      <w:r w:rsidRPr="00FA0D37">
        <w:t xml:space="preserve">    servCellId-r17                      ServCellIndex                            </w:t>
      </w:r>
      <w:r w:rsidRPr="00FA0D37">
        <w:rPr>
          <w:color w:val="993366"/>
        </w:rPr>
        <w:t>OPTIONAL</w:t>
      </w:r>
    </w:p>
    <w:p w14:paraId="5BF671AA" w14:textId="77777777" w:rsidR="0064192E" w:rsidRPr="00FA0D37" w:rsidRDefault="0064192E" w:rsidP="00FA0D37">
      <w:pPr>
        <w:pStyle w:val="PL"/>
      </w:pPr>
      <w:r w:rsidRPr="00FA0D37">
        <w:t>}</w:t>
      </w:r>
    </w:p>
    <w:p w14:paraId="18737A00" w14:textId="77777777" w:rsidR="0064192E" w:rsidRPr="00FA0D37" w:rsidRDefault="0064192E" w:rsidP="00FA0D37">
      <w:pPr>
        <w:pStyle w:val="PL"/>
      </w:pPr>
    </w:p>
    <w:p w14:paraId="372A4E43" w14:textId="77777777" w:rsidR="0064192E" w:rsidRPr="00FA0D37" w:rsidRDefault="0064192E" w:rsidP="00FA0D37">
      <w:pPr>
        <w:pStyle w:val="PL"/>
      </w:pPr>
      <w:r w:rsidRPr="00FA0D37">
        <w:t>NR-TimeStamp-r1</w:t>
      </w:r>
      <w:r w:rsidRPr="00FA0D37">
        <w:rPr>
          <w:rFonts w:eastAsia="等线"/>
        </w:rPr>
        <w:t>7</w:t>
      </w:r>
      <w:r w:rsidRPr="00FA0D37">
        <w:t xml:space="preserve"> ::= </w:t>
      </w:r>
      <w:r w:rsidRPr="00FA0D37">
        <w:rPr>
          <w:color w:val="993366"/>
        </w:rPr>
        <w:t>SEQUENCE</w:t>
      </w:r>
      <w:r w:rsidRPr="00FA0D37">
        <w:t xml:space="preserve"> {</w:t>
      </w:r>
    </w:p>
    <w:p w14:paraId="6D092AE4" w14:textId="45F83C0A" w:rsidR="0064192E" w:rsidRPr="00FA0D37" w:rsidRDefault="0064192E" w:rsidP="00FA0D37">
      <w:pPr>
        <w:pStyle w:val="PL"/>
      </w:pPr>
      <w:r w:rsidRPr="00FA0D37">
        <w:t xml:space="preserve">    nr-SFN-r1</w:t>
      </w:r>
      <w:r w:rsidRPr="00FA0D37">
        <w:rPr>
          <w:rFonts w:eastAsia="等线"/>
        </w:rPr>
        <w:t>7</w:t>
      </w:r>
      <w:r w:rsidRPr="00FA0D37">
        <w:t xml:space="preserve">           </w:t>
      </w:r>
      <w:r w:rsidRPr="00FA0D37">
        <w:rPr>
          <w:color w:val="993366"/>
        </w:rPr>
        <w:t>INTEGER</w:t>
      </w:r>
      <w:r w:rsidRPr="00FA0D37">
        <w:t xml:space="preserve"> (0..1023),</w:t>
      </w:r>
    </w:p>
    <w:p w14:paraId="13BF62C5" w14:textId="490456AC" w:rsidR="0064192E" w:rsidRPr="00FA0D37" w:rsidRDefault="0064192E" w:rsidP="00FA0D37">
      <w:pPr>
        <w:pStyle w:val="PL"/>
      </w:pPr>
      <w:r w:rsidRPr="00FA0D37">
        <w:t xml:space="preserve">    nr-Slot-r1</w:t>
      </w:r>
      <w:r w:rsidRPr="00FA0D37">
        <w:rPr>
          <w:rFonts w:eastAsia="等线"/>
        </w:rPr>
        <w:t>7</w:t>
      </w:r>
      <w:r w:rsidRPr="00FA0D37">
        <w:t xml:space="preserve">          </w:t>
      </w:r>
      <w:r w:rsidRPr="00FA0D37">
        <w:rPr>
          <w:color w:val="993366"/>
        </w:rPr>
        <w:t>CHOICE</w:t>
      </w:r>
      <w:r w:rsidRPr="00FA0D37">
        <w:t xml:space="preserve"> {</w:t>
      </w:r>
    </w:p>
    <w:p w14:paraId="303CCF72" w14:textId="5B68674B" w:rsidR="0064192E" w:rsidRPr="00FA0D37" w:rsidRDefault="0064192E" w:rsidP="00FA0D37">
      <w:pPr>
        <w:pStyle w:val="PL"/>
      </w:pPr>
      <w:r w:rsidRPr="00FA0D37">
        <w:t xml:space="preserve">        scs15-r1</w:t>
      </w:r>
      <w:r w:rsidRPr="00FA0D37">
        <w:rPr>
          <w:rFonts w:eastAsia="宋体"/>
        </w:rPr>
        <w:t>7</w:t>
      </w:r>
      <w:r w:rsidRPr="00FA0D37">
        <w:t xml:space="preserve">            </w:t>
      </w:r>
      <w:r w:rsidRPr="00FA0D37">
        <w:rPr>
          <w:color w:val="993366"/>
        </w:rPr>
        <w:t>INTEGER</w:t>
      </w:r>
      <w:r w:rsidRPr="00FA0D37">
        <w:t xml:space="preserve"> (0..9),</w:t>
      </w:r>
    </w:p>
    <w:p w14:paraId="27EF24E1" w14:textId="779909B4" w:rsidR="0064192E" w:rsidRPr="00FA0D37" w:rsidRDefault="0064192E" w:rsidP="00FA0D37">
      <w:pPr>
        <w:pStyle w:val="PL"/>
      </w:pPr>
      <w:r w:rsidRPr="00FA0D37">
        <w:t xml:space="preserve">        scs30-r1</w:t>
      </w:r>
      <w:r w:rsidRPr="00FA0D37">
        <w:rPr>
          <w:rFonts w:eastAsia="宋体"/>
        </w:rPr>
        <w:t>7</w:t>
      </w:r>
      <w:r w:rsidRPr="00FA0D37">
        <w:t xml:space="preserve">            </w:t>
      </w:r>
      <w:r w:rsidRPr="00FA0D37">
        <w:rPr>
          <w:color w:val="993366"/>
        </w:rPr>
        <w:t>INTEGER</w:t>
      </w:r>
      <w:r w:rsidRPr="00FA0D37">
        <w:t xml:space="preserve"> (0..19),</w:t>
      </w:r>
    </w:p>
    <w:p w14:paraId="1C6684C3" w14:textId="0CD952CA" w:rsidR="0064192E" w:rsidRPr="00FA0D37" w:rsidRDefault="0064192E" w:rsidP="00FA0D37">
      <w:pPr>
        <w:pStyle w:val="PL"/>
      </w:pPr>
      <w:r w:rsidRPr="00FA0D37">
        <w:t xml:space="preserve">        scs60-r1</w:t>
      </w:r>
      <w:r w:rsidRPr="00FA0D37">
        <w:rPr>
          <w:rFonts w:eastAsia="宋体"/>
        </w:rPr>
        <w:t>7</w:t>
      </w:r>
      <w:r w:rsidRPr="00FA0D37">
        <w:t xml:space="preserve">            </w:t>
      </w:r>
      <w:r w:rsidRPr="00FA0D37">
        <w:rPr>
          <w:color w:val="993366"/>
        </w:rPr>
        <w:t>INTEGER</w:t>
      </w:r>
      <w:r w:rsidRPr="00FA0D37">
        <w:t xml:space="preserve"> (0..39),</w:t>
      </w:r>
    </w:p>
    <w:p w14:paraId="23FFE916" w14:textId="5102FF7E" w:rsidR="0064192E" w:rsidRPr="00FA0D37" w:rsidRDefault="0064192E" w:rsidP="00FA0D37">
      <w:pPr>
        <w:pStyle w:val="PL"/>
      </w:pPr>
      <w:r w:rsidRPr="00FA0D37">
        <w:t xml:space="preserve">        scs120-r1</w:t>
      </w:r>
      <w:r w:rsidRPr="00FA0D37">
        <w:rPr>
          <w:rFonts w:eastAsia="宋体"/>
        </w:rPr>
        <w:t>7</w:t>
      </w:r>
      <w:r w:rsidRPr="00FA0D37">
        <w:t xml:space="preserve">           </w:t>
      </w:r>
      <w:r w:rsidRPr="00FA0D37">
        <w:rPr>
          <w:color w:val="993366"/>
        </w:rPr>
        <w:t>INTEGER</w:t>
      </w:r>
      <w:r w:rsidRPr="00FA0D37">
        <w:t xml:space="preserve"> (0..79)</w:t>
      </w:r>
    </w:p>
    <w:p w14:paraId="2B9DA5F8" w14:textId="77777777" w:rsidR="0064192E" w:rsidRPr="00FA0D37" w:rsidRDefault="0064192E" w:rsidP="00FA0D37">
      <w:pPr>
        <w:pStyle w:val="PL"/>
      </w:pPr>
      <w:r w:rsidRPr="00FA0D37">
        <w:t xml:space="preserve">    },</w:t>
      </w:r>
    </w:p>
    <w:p w14:paraId="59F4DEAE" w14:textId="77777777" w:rsidR="0064192E" w:rsidRPr="00FA0D37" w:rsidRDefault="0064192E" w:rsidP="00FA0D37">
      <w:pPr>
        <w:pStyle w:val="PL"/>
      </w:pPr>
      <w:r w:rsidRPr="00FA0D37">
        <w:t xml:space="preserve">    ...</w:t>
      </w:r>
    </w:p>
    <w:p w14:paraId="220F8CE8" w14:textId="77777777" w:rsidR="0064192E" w:rsidRPr="00FA0D37" w:rsidRDefault="0064192E" w:rsidP="00FA0D37">
      <w:pPr>
        <w:pStyle w:val="PL"/>
      </w:pPr>
      <w:r w:rsidRPr="00FA0D37">
        <w:t>}</w:t>
      </w:r>
    </w:p>
    <w:p w14:paraId="499D7600" w14:textId="77777777" w:rsidR="0064192E" w:rsidRPr="00FA0D37" w:rsidRDefault="0064192E" w:rsidP="00FA0D37">
      <w:pPr>
        <w:pStyle w:val="PL"/>
        <w:rPr>
          <w:rFonts w:eastAsia="等线"/>
        </w:rPr>
      </w:pPr>
    </w:p>
    <w:p w14:paraId="64D935C9" w14:textId="77777777" w:rsidR="0064192E" w:rsidRPr="00FA0D37" w:rsidRDefault="0064192E" w:rsidP="00FA0D37">
      <w:pPr>
        <w:pStyle w:val="PL"/>
        <w:rPr>
          <w:color w:val="808080"/>
        </w:rPr>
      </w:pPr>
      <w:r w:rsidRPr="00FA0D37">
        <w:rPr>
          <w:color w:val="808080"/>
        </w:rPr>
        <w:t>-- TAG-UEPOSITIONINGASSISTANCEINFO-STOP</w:t>
      </w:r>
    </w:p>
    <w:p w14:paraId="7BF147B8" w14:textId="77777777" w:rsidR="0064192E" w:rsidRPr="00FA0D37" w:rsidRDefault="0064192E" w:rsidP="00FA0D37">
      <w:pPr>
        <w:pStyle w:val="PL"/>
        <w:rPr>
          <w:color w:val="808080"/>
        </w:rPr>
      </w:pPr>
      <w:r w:rsidRPr="00FA0D37">
        <w:rPr>
          <w:color w:val="808080"/>
        </w:rPr>
        <w:t>-- ASN1STOP</w:t>
      </w:r>
    </w:p>
    <w:p w14:paraId="725946AA" w14:textId="77777777" w:rsidR="0064192E" w:rsidRPr="00FA0D37" w:rsidRDefault="0064192E" w:rsidP="0064192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1994125B" w14:textId="77777777" w:rsidTr="00771058">
        <w:trPr>
          <w:trHeight w:val="187"/>
        </w:trPr>
        <w:tc>
          <w:tcPr>
            <w:tcW w:w="14175" w:type="dxa"/>
            <w:tcBorders>
              <w:top w:val="single" w:sz="4" w:space="0" w:color="auto"/>
              <w:left w:val="single" w:sz="4" w:space="0" w:color="auto"/>
              <w:bottom w:val="single" w:sz="4" w:space="0" w:color="auto"/>
              <w:right w:val="single" w:sz="4" w:space="0" w:color="auto"/>
            </w:tcBorders>
            <w:hideMark/>
          </w:tcPr>
          <w:p w14:paraId="65F8EC74" w14:textId="77777777" w:rsidR="0064192E" w:rsidRPr="00FA0D37" w:rsidRDefault="0064192E" w:rsidP="00771058">
            <w:pPr>
              <w:pStyle w:val="TAH"/>
              <w:rPr>
                <w:szCs w:val="22"/>
                <w:lang w:eastAsia="sv-SE"/>
              </w:rPr>
            </w:pPr>
            <w:r w:rsidRPr="00FA0D37">
              <w:rPr>
                <w:bCs/>
                <w:i/>
                <w:iCs/>
              </w:rPr>
              <w:lastRenderedPageBreak/>
              <w:t>UEPositioningAssistanceInfo</w:t>
            </w:r>
            <w:r w:rsidRPr="00FA0D37">
              <w:rPr>
                <w:szCs w:val="22"/>
                <w:lang w:eastAsia="sv-SE"/>
              </w:rPr>
              <w:t xml:space="preserve"> field descriptions</w:t>
            </w:r>
          </w:p>
        </w:tc>
      </w:tr>
      <w:tr w:rsidR="005C7FF4" w:rsidRPr="00FA0D37" w14:paraId="5BDD9994" w14:textId="77777777" w:rsidTr="00771058">
        <w:trPr>
          <w:trHeight w:val="387"/>
        </w:trPr>
        <w:tc>
          <w:tcPr>
            <w:tcW w:w="14175" w:type="dxa"/>
            <w:tcBorders>
              <w:top w:val="single" w:sz="4" w:space="0" w:color="auto"/>
              <w:left w:val="single" w:sz="4" w:space="0" w:color="auto"/>
              <w:bottom w:val="single" w:sz="4" w:space="0" w:color="auto"/>
              <w:right w:val="single" w:sz="4" w:space="0" w:color="auto"/>
            </w:tcBorders>
          </w:tcPr>
          <w:p w14:paraId="02A7BEEF" w14:textId="67BE1BF8" w:rsidR="0064192E" w:rsidRPr="00FA0D37" w:rsidRDefault="0064192E" w:rsidP="00771058">
            <w:pPr>
              <w:pStyle w:val="TAL"/>
              <w:rPr>
                <w:szCs w:val="22"/>
                <w:lang w:eastAsia="sv-SE"/>
              </w:rPr>
            </w:pPr>
            <w:r w:rsidRPr="00FA0D37">
              <w:rPr>
                <w:b/>
                <w:i/>
              </w:rPr>
              <w:t>nr-TimeS</w:t>
            </w:r>
            <w:r w:rsidR="00B01B84" w:rsidRPr="00FA0D37">
              <w:rPr>
                <w:b/>
                <w:i/>
              </w:rPr>
              <w:t>t</w:t>
            </w:r>
            <w:r w:rsidRPr="00FA0D37">
              <w:rPr>
                <w:b/>
                <w:i/>
              </w:rPr>
              <w:t>amp</w:t>
            </w:r>
          </w:p>
          <w:p w14:paraId="78547A1D" w14:textId="77777777" w:rsidR="0064192E" w:rsidRPr="00FA0D37" w:rsidRDefault="0064192E" w:rsidP="00771058">
            <w:pPr>
              <w:pStyle w:val="TAL"/>
              <w:rPr>
                <w:b/>
                <w:i/>
              </w:rPr>
            </w:pPr>
            <w:r w:rsidRPr="00FA0D37">
              <w:rPr>
                <w:noProof/>
                <w:lang w:eastAsia="zh-CN"/>
              </w:rPr>
              <w:t>This field specifies the latest time instance at which the association is valid prior to the reporting.</w:t>
            </w:r>
          </w:p>
        </w:tc>
      </w:tr>
      <w:tr w:rsidR="005C7FF4" w:rsidRPr="00FA0D37" w14:paraId="343A2073" w14:textId="77777777" w:rsidTr="0071565C">
        <w:trPr>
          <w:trHeight w:val="387"/>
        </w:trPr>
        <w:tc>
          <w:tcPr>
            <w:tcW w:w="14175" w:type="dxa"/>
            <w:tcBorders>
              <w:top w:val="single" w:sz="4" w:space="0" w:color="auto"/>
              <w:left w:val="single" w:sz="4" w:space="0" w:color="auto"/>
              <w:bottom w:val="single" w:sz="4" w:space="0" w:color="auto"/>
              <w:right w:val="single" w:sz="4" w:space="0" w:color="auto"/>
            </w:tcBorders>
          </w:tcPr>
          <w:p w14:paraId="5B180BEF" w14:textId="77777777" w:rsidR="005D0D1E" w:rsidRPr="00FA0D37" w:rsidRDefault="005D0D1E" w:rsidP="0071565C">
            <w:pPr>
              <w:pStyle w:val="TAL"/>
              <w:rPr>
                <w:szCs w:val="22"/>
                <w:lang w:eastAsia="sv-SE"/>
              </w:rPr>
            </w:pPr>
            <w:r w:rsidRPr="00FA0D37">
              <w:rPr>
                <w:b/>
                <w:i/>
              </w:rPr>
              <w:t>servCellID</w:t>
            </w:r>
          </w:p>
          <w:p w14:paraId="448EC576" w14:textId="0343EF7C" w:rsidR="005D0D1E" w:rsidRPr="00FA0D37" w:rsidRDefault="005D0D1E" w:rsidP="0071565C">
            <w:pPr>
              <w:pStyle w:val="TAL"/>
              <w:rPr>
                <w:b/>
                <w:i/>
              </w:rPr>
            </w:pPr>
            <w:r w:rsidRPr="00FA0D37">
              <w:rPr>
                <w:noProof/>
                <w:lang w:eastAsia="zh-CN"/>
              </w:rPr>
              <w:t xml:space="preserve">This field indicates the </w:t>
            </w:r>
            <w:r w:rsidRPr="00FA0D37">
              <w:rPr>
                <w:szCs w:val="22"/>
                <w:lang w:eastAsia="sv-SE"/>
              </w:rPr>
              <w:t xml:space="preserve">serving cell </w:t>
            </w:r>
            <w:r w:rsidRPr="00FA0D37">
              <w:rPr>
                <w:noProof/>
                <w:lang w:eastAsia="zh-CN"/>
              </w:rPr>
              <w:t>information of SRS for positioning resources associated to the UE Tx TEG report.</w:t>
            </w:r>
          </w:p>
        </w:tc>
      </w:tr>
      <w:tr w:rsidR="005C7FF4" w:rsidRPr="00FA0D37" w14:paraId="1E1FE12F" w14:textId="77777777" w:rsidTr="00771058">
        <w:trPr>
          <w:trHeight w:val="387"/>
        </w:trPr>
        <w:tc>
          <w:tcPr>
            <w:tcW w:w="14175" w:type="dxa"/>
            <w:tcBorders>
              <w:top w:val="single" w:sz="4" w:space="0" w:color="auto"/>
              <w:left w:val="single" w:sz="4" w:space="0" w:color="auto"/>
              <w:bottom w:val="single" w:sz="4" w:space="0" w:color="auto"/>
              <w:right w:val="single" w:sz="4" w:space="0" w:color="auto"/>
            </w:tcBorders>
            <w:hideMark/>
          </w:tcPr>
          <w:p w14:paraId="5F59BB06" w14:textId="3F4701B4" w:rsidR="0064192E" w:rsidRPr="00FA0D37" w:rsidRDefault="0064192E" w:rsidP="00771058">
            <w:pPr>
              <w:pStyle w:val="TAL"/>
              <w:rPr>
                <w:szCs w:val="22"/>
                <w:lang w:eastAsia="sv-SE"/>
              </w:rPr>
            </w:pPr>
            <w:r w:rsidRPr="00FA0D37">
              <w:rPr>
                <w:b/>
                <w:i/>
              </w:rPr>
              <w:t>ue</w:t>
            </w:r>
            <w:r w:rsidR="005D0D1E" w:rsidRPr="00FA0D37">
              <w:rPr>
                <w:b/>
                <w:i/>
              </w:rPr>
              <w:t>-</w:t>
            </w:r>
            <w:r w:rsidRPr="00FA0D37">
              <w:rPr>
                <w:b/>
                <w:i/>
              </w:rPr>
              <w:t>TxTEG-ID</w:t>
            </w:r>
          </w:p>
          <w:p w14:paraId="1068C37A" w14:textId="52CCC761" w:rsidR="0064192E" w:rsidRPr="00FA0D37" w:rsidRDefault="0064192E" w:rsidP="00771058">
            <w:pPr>
              <w:pStyle w:val="TAL"/>
              <w:rPr>
                <w:b/>
                <w:i/>
                <w:szCs w:val="22"/>
                <w:lang w:eastAsia="sv-SE"/>
              </w:rPr>
            </w:pPr>
            <w:r w:rsidRPr="00FA0D37">
              <w:rPr>
                <w:szCs w:val="22"/>
                <w:lang w:eastAsia="sv-SE"/>
              </w:rPr>
              <w:t>Identifies the ID of UE Tx TEG.</w:t>
            </w:r>
          </w:p>
        </w:tc>
      </w:tr>
      <w:tr w:rsidR="007D4907" w:rsidRPr="00FA0D37" w14:paraId="013FC77E" w14:textId="77777777" w:rsidTr="007D4907">
        <w:trPr>
          <w:trHeight w:val="387"/>
        </w:trPr>
        <w:tc>
          <w:tcPr>
            <w:tcW w:w="14175" w:type="dxa"/>
            <w:tcBorders>
              <w:top w:val="single" w:sz="4" w:space="0" w:color="auto"/>
              <w:left w:val="single" w:sz="4" w:space="0" w:color="auto"/>
              <w:bottom w:val="single" w:sz="4" w:space="0" w:color="auto"/>
              <w:right w:val="single" w:sz="4" w:space="0" w:color="auto"/>
            </w:tcBorders>
            <w:hideMark/>
          </w:tcPr>
          <w:p w14:paraId="6DF0A52F" w14:textId="77777777" w:rsidR="007D4907" w:rsidRPr="00FA0D37" w:rsidRDefault="007D4907" w:rsidP="007D4907">
            <w:pPr>
              <w:pStyle w:val="TAL"/>
              <w:rPr>
                <w:b/>
                <w:i/>
              </w:rPr>
            </w:pPr>
            <w:r w:rsidRPr="00FA0D37">
              <w:rPr>
                <w:b/>
                <w:i/>
              </w:rPr>
              <w:t>ue-TxTEG-TimingErrorMarginValue</w:t>
            </w:r>
          </w:p>
          <w:p w14:paraId="43FDF8D4" w14:textId="561758E9" w:rsidR="007D4907" w:rsidRPr="00FA0D37" w:rsidRDefault="007D4907" w:rsidP="0071565C">
            <w:pPr>
              <w:pStyle w:val="TAL"/>
              <w:rPr>
                <w:bCs/>
                <w:iCs/>
              </w:rPr>
            </w:pPr>
            <w:r w:rsidRPr="00FA0D37">
              <w:rPr>
                <w:bCs/>
                <w:iCs/>
              </w:rPr>
              <w:t xml:space="preserve">This field specifies the UE Tx TEG timing error margin value of all the UE Tx TEGs within one </w:t>
            </w:r>
            <w:r w:rsidRPr="00FA0D37">
              <w:rPr>
                <w:bCs/>
                <w:i/>
              </w:rPr>
              <w:t>UEPositioningAssistanceInfo</w:t>
            </w:r>
            <w:r w:rsidRPr="00FA0D37">
              <w:rPr>
                <w:bCs/>
                <w:iCs/>
              </w:rPr>
              <w:t xml:space="preserve">. Value </w:t>
            </w:r>
            <w:r w:rsidRPr="00FA0D37">
              <w:rPr>
                <w:bCs/>
                <w:i/>
              </w:rPr>
              <w:t>tc0</w:t>
            </w:r>
            <w:r w:rsidRPr="00FA0D37">
              <w:rPr>
                <w:bCs/>
                <w:iCs/>
              </w:rPr>
              <w:t xml:space="preserve"> corresponds to 0 Tc, </w:t>
            </w:r>
            <w:r w:rsidRPr="00FA0D37">
              <w:rPr>
                <w:bCs/>
                <w:i/>
              </w:rPr>
              <w:t>tc2</w:t>
            </w:r>
            <w:r w:rsidRPr="00FA0D37">
              <w:rPr>
                <w:bCs/>
                <w:iCs/>
              </w:rPr>
              <w:t xml:space="preserve"> corresponds to 2 Tc and so on (see TS 37.355 [49]).</w:t>
            </w:r>
          </w:p>
        </w:tc>
      </w:tr>
    </w:tbl>
    <w:p w14:paraId="0D926FF8" w14:textId="77777777" w:rsidR="0064192E" w:rsidRPr="00FA0D37" w:rsidRDefault="0064192E" w:rsidP="00394471"/>
    <w:p w14:paraId="0D3A36F0" w14:textId="77777777" w:rsidR="00394471" w:rsidRPr="00FA0D37" w:rsidRDefault="00394471" w:rsidP="00394471">
      <w:pPr>
        <w:pStyle w:val="4"/>
      </w:pPr>
      <w:bookmarkStart w:id="741" w:name="_Toc60777133"/>
      <w:bookmarkStart w:id="742" w:name="_Toc146781171"/>
      <w:r w:rsidRPr="00FA0D37">
        <w:t>–</w:t>
      </w:r>
      <w:r w:rsidRPr="00FA0D37">
        <w:tab/>
      </w:r>
      <w:r w:rsidRPr="00FA0D37">
        <w:rPr>
          <w:i/>
        </w:rPr>
        <w:t>ULDedicatedMessageSegment</w:t>
      </w:r>
      <w:bookmarkEnd w:id="741"/>
      <w:bookmarkEnd w:id="742"/>
    </w:p>
    <w:p w14:paraId="0D5A3BA1" w14:textId="6F1A6A20" w:rsidR="00394471" w:rsidRPr="00FA0D37" w:rsidRDefault="00394471" w:rsidP="00394471">
      <w:pPr>
        <w:rPr>
          <w:lang w:eastAsia="en-US"/>
        </w:rPr>
      </w:pPr>
      <w:r w:rsidRPr="00FA0D37">
        <w:rPr>
          <w:lang w:eastAsia="en-US"/>
        </w:rPr>
        <w:t xml:space="preserve">The </w:t>
      </w:r>
      <w:r w:rsidRPr="00FA0D37">
        <w:rPr>
          <w:i/>
          <w:lang w:eastAsia="en-US"/>
        </w:rPr>
        <w:t>ULDedicatedMessageSegment</w:t>
      </w:r>
      <w:r w:rsidRPr="00FA0D37">
        <w:rPr>
          <w:lang w:eastAsia="en-US"/>
        </w:rPr>
        <w:t xml:space="preserve"> message is used to transfer segments of the </w:t>
      </w:r>
      <w:r w:rsidRPr="00FA0D37">
        <w:rPr>
          <w:i/>
          <w:lang w:eastAsia="en-US"/>
        </w:rPr>
        <w:t>UECapabilityInformation</w:t>
      </w:r>
      <w:r w:rsidRPr="00FA0D37">
        <w:rPr>
          <w:lang w:eastAsia="en-US"/>
        </w:rPr>
        <w:t xml:space="preserve"> </w:t>
      </w:r>
      <w:r w:rsidR="0046275D" w:rsidRPr="00FA0D37">
        <w:rPr>
          <w:lang w:eastAsia="en-US"/>
        </w:rPr>
        <w:t xml:space="preserve">or </w:t>
      </w:r>
      <w:r w:rsidR="0046275D" w:rsidRPr="00FA0D37">
        <w:rPr>
          <w:i/>
          <w:lang w:eastAsia="en-US"/>
        </w:rPr>
        <w:t>MeasurementReportAppLayer</w:t>
      </w:r>
      <w:r w:rsidR="0046275D" w:rsidRPr="00FA0D37">
        <w:rPr>
          <w:lang w:eastAsia="en-US"/>
        </w:rPr>
        <w:t xml:space="preserve"> </w:t>
      </w:r>
      <w:r w:rsidRPr="00FA0D37">
        <w:rPr>
          <w:lang w:eastAsia="en-US"/>
        </w:rPr>
        <w:t>message.</w:t>
      </w:r>
      <w:r w:rsidR="0046275D" w:rsidRPr="00FA0D37">
        <w:rPr>
          <w:lang w:eastAsia="en-US"/>
        </w:rPr>
        <w:t xml:space="preserve"> SRB1 is used at transfer of segments of </w:t>
      </w:r>
      <w:r w:rsidR="0046275D" w:rsidRPr="00FA0D37">
        <w:rPr>
          <w:i/>
          <w:lang w:eastAsia="en-US"/>
        </w:rPr>
        <w:t>UECapabilityInformation</w:t>
      </w:r>
      <w:r w:rsidR="0046275D" w:rsidRPr="00FA0D37">
        <w:rPr>
          <w:lang w:eastAsia="en-US"/>
        </w:rPr>
        <w:t xml:space="preserve"> and SRB4 is used at transfer of segments of </w:t>
      </w:r>
      <w:r w:rsidR="0046275D" w:rsidRPr="00FA0D37">
        <w:rPr>
          <w:i/>
          <w:lang w:eastAsia="en-US"/>
        </w:rPr>
        <w:t>MeasurementReportAppLayer</w:t>
      </w:r>
      <w:r w:rsidR="0046275D" w:rsidRPr="00FA0D37">
        <w:rPr>
          <w:lang w:eastAsia="en-US"/>
        </w:rPr>
        <w:t>.</w:t>
      </w:r>
    </w:p>
    <w:p w14:paraId="59AE49EE" w14:textId="3604C7AE" w:rsidR="00394471" w:rsidRPr="00FA0D37" w:rsidRDefault="00394471" w:rsidP="00394471">
      <w:pPr>
        <w:pStyle w:val="B1"/>
      </w:pPr>
      <w:r w:rsidRPr="00FA0D37">
        <w:t>Signalling radio bearer: SRB1</w:t>
      </w:r>
      <w:r w:rsidR="0046275D" w:rsidRPr="00FA0D37">
        <w:t xml:space="preserve"> or SRB4</w:t>
      </w:r>
    </w:p>
    <w:p w14:paraId="0E572361" w14:textId="77777777" w:rsidR="00394471" w:rsidRPr="00FA0D37" w:rsidRDefault="00394471" w:rsidP="00394471">
      <w:pPr>
        <w:pStyle w:val="B1"/>
      </w:pPr>
      <w:r w:rsidRPr="00FA0D37">
        <w:t>RLC-SAP: AM</w:t>
      </w:r>
    </w:p>
    <w:p w14:paraId="3FF4F3A4" w14:textId="77777777" w:rsidR="00394471" w:rsidRPr="00FA0D37" w:rsidRDefault="00394471" w:rsidP="00394471">
      <w:pPr>
        <w:pStyle w:val="B1"/>
      </w:pPr>
      <w:r w:rsidRPr="00FA0D37">
        <w:t>Logical channel: DCCH</w:t>
      </w:r>
    </w:p>
    <w:p w14:paraId="3333A548" w14:textId="77777777" w:rsidR="00394471" w:rsidRPr="00FA0D37" w:rsidRDefault="00394471" w:rsidP="00394471">
      <w:pPr>
        <w:pStyle w:val="B1"/>
      </w:pPr>
      <w:r w:rsidRPr="00FA0D37">
        <w:t>Direction: UE to Network</w:t>
      </w:r>
    </w:p>
    <w:p w14:paraId="5F5898AA" w14:textId="77777777" w:rsidR="00394471" w:rsidRPr="00FA0D37" w:rsidRDefault="00394471" w:rsidP="00394471">
      <w:pPr>
        <w:pStyle w:val="TH"/>
        <w:rPr>
          <w:bCs/>
          <w:i/>
          <w:iCs/>
        </w:rPr>
      </w:pPr>
      <w:r w:rsidRPr="00FA0D37">
        <w:rPr>
          <w:bCs/>
          <w:i/>
          <w:iCs/>
        </w:rPr>
        <w:t>UL</w:t>
      </w:r>
      <w:r w:rsidRPr="00FA0D37">
        <w:rPr>
          <w:i/>
        </w:rPr>
        <w:t xml:space="preserve">DedicatedMessageSegment </w:t>
      </w:r>
      <w:r w:rsidRPr="00FA0D37">
        <w:rPr>
          <w:bCs/>
          <w:i/>
          <w:iCs/>
        </w:rPr>
        <w:t>message</w:t>
      </w:r>
    </w:p>
    <w:p w14:paraId="64E5A5F8" w14:textId="77777777" w:rsidR="00394471" w:rsidRPr="00FA0D37" w:rsidRDefault="00394471" w:rsidP="00FA0D37">
      <w:pPr>
        <w:pStyle w:val="PL"/>
        <w:rPr>
          <w:color w:val="808080"/>
        </w:rPr>
      </w:pPr>
      <w:r w:rsidRPr="00FA0D37">
        <w:rPr>
          <w:color w:val="808080"/>
        </w:rPr>
        <w:t>-- ASN1START</w:t>
      </w:r>
    </w:p>
    <w:p w14:paraId="591D10BB" w14:textId="77777777" w:rsidR="00394471" w:rsidRPr="00FA0D37" w:rsidRDefault="00394471" w:rsidP="00FA0D37">
      <w:pPr>
        <w:pStyle w:val="PL"/>
        <w:rPr>
          <w:color w:val="808080"/>
        </w:rPr>
      </w:pPr>
      <w:r w:rsidRPr="00FA0D37">
        <w:rPr>
          <w:color w:val="808080"/>
        </w:rPr>
        <w:t>-- TAG-ULDEDICATEDMESSAGESEGMENT-START</w:t>
      </w:r>
    </w:p>
    <w:p w14:paraId="4B17B684" w14:textId="77777777" w:rsidR="00394471" w:rsidRPr="00FA0D37" w:rsidRDefault="00394471" w:rsidP="00FA0D37">
      <w:pPr>
        <w:pStyle w:val="PL"/>
      </w:pPr>
    </w:p>
    <w:p w14:paraId="67C1C4F6" w14:textId="77777777" w:rsidR="00394471" w:rsidRPr="00FA0D37" w:rsidRDefault="00394471" w:rsidP="00FA0D37">
      <w:pPr>
        <w:pStyle w:val="PL"/>
      </w:pPr>
      <w:r w:rsidRPr="00FA0D37">
        <w:t xml:space="preserve">ULDedicatedMessageSegment-r16 ::=       </w:t>
      </w:r>
      <w:r w:rsidRPr="00FA0D37">
        <w:rPr>
          <w:color w:val="993366"/>
        </w:rPr>
        <w:t>SEQUENCE</w:t>
      </w:r>
      <w:r w:rsidRPr="00FA0D37">
        <w:t xml:space="preserve"> {</w:t>
      </w:r>
    </w:p>
    <w:p w14:paraId="0FADF77F"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1FFC8CB8" w14:textId="77777777" w:rsidR="00394471" w:rsidRPr="00FA0D37" w:rsidRDefault="00394471" w:rsidP="00FA0D37">
      <w:pPr>
        <w:pStyle w:val="PL"/>
      </w:pPr>
      <w:r w:rsidRPr="00FA0D37">
        <w:t xml:space="preserve">        ulDedicatedMessageSegment-r16           ULDedicatedMessageSegment-r16-IEs,</w:t>
      </w:r>
    </w:p>
    <w:p w14:paraId="36AF308F"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79E69CE3" w14:textId="77777777" w:rsidR="00394471" w:rsidRPr="00FA0D37" w:rsidRDefault="00394471" w:rsidP="00FA0D37">
      <w:pPr>
        <w:pStyle w:val="PL"/>
      </w:pPr>
      <w:r w:rsidRPr="00FA0D37">
        <w:t xml:space="preserve">    }</w:t>
      </w:r>
    </w:p>
    <w:p w14:paraId="1F1DA07C" w14:textId="77777777" w:rsidR="00394471" w:rsidRPr="00FA0D37" w:rsidRDefault="00394471" w:rsidP="00FA0D37">
      <w:pPr>
        <w:pStyle w:val="PL"/>
      </w:pPr>
      <w:r w:rsidRPr="00FA0D37">
        <w:t>}</w:t>
      </w:r>
    </w:p>
    <w:p w14:paraId="4EA27DCD" w14:textId="77777777" w:rsidR="00394471" w:rsidRPr="00FA0D37" w:rsidRDefault="00394471" w:rsidP="00FA0D37">
      <w:pPr>
        <w:pStyle w:val="PL"/>
      </w:pPr>
    </w:p>
    <w:p w14:paraId="4AC1099F" w14:textId="77777777" w:rsidR="00394471" w:rsidRPr="00FA0D37" w:rsidRDefault="00394471" w:rsidP="00FA0D37">
      <w:pPr>
        <w:pStyle w:val="PL"/>
      </w:pPr>
      <w:r w:rsidRPr="00FA0D37">
        <w:t xml:space="preserve">ULDedicatedMessageSegment-r16-IEs ::=     </w:t>
      </w:r>
      <w:r w:rsidRPr="00FA0D37">
        <w:rPr>
          <w:color w:val="993366"/>
        </w:rPr>
        <w:t>SEQUENCE</w:t>
      </w:r>
      <w:r w:rsidRPr="00FA0D37">
        <w:t xml:space="preserve"> {</w:t>
      </w:r>
    </w:p>
    <w:p w14:paraId="6A9B0508" w14:textId="77777777" w:rsidR="00394471" w:rsidRPr="00FA0D37" w:rsidRDefault="00394471" w:rsidP="00FA0D37">
      <w:pPr>
        <w:pStyle w:val="PL"/>
      </w:pPr>
      <w:r w:rsidRPr="00FA0D37">
        <w:t xml:space="preserve">    segmentNumber-r16                         </w:t>
      </w:r>
      <w:r w:rsidRPr="00FA0D37">
        <w:rPr>
          <w:color w:val="993366"/>
        </w:rPr>
        <w:t>INTEGER</w:t>
      </w:r>
      <w:r w:rsidRPr="00FA0D37">
        <w:t xml:space="preserve"> (0..15),</w:t>
      </w:r>
    </w:p>
    <w:p w14:paraId="581CEFCD" w14:textId="77777777" w:rsidR="00394471" w:rsidRPr="00FA0D37" w:rsidRDefault="00394471" w:rsidP="00FA0D37">
      <w:pPr>
        <w:pStyle w:val="PL"/>
      </w:pPr>
      <w:r w:rsidRPr="00FA0D37">
        <w:t xml:space="preserve">    rrc-MessageSegmentContainer-r16           </w:t>
      </w:r>
      <w:r w:rsidRPr="00FA0D37">
        <w:rPr>
          <w:color w:val="993366"/>
        </w:rPr>
        <w:t>OCTET</w:t>
      </w:r>
      <w:r w:rsidRPr="00FA0D37">
        <w:t xml:space="preserve"> </w:t>
      </w:r>
      <w:r w:rsidRPr="00FA0D37">
        <w:rPr>
          <w:color w:val="993366"/>
        </w:rPr>
        <w:t>STRING</w:t>
      </w:r>
      <w:r w:rsidRPr="00FA0D37">
        <w:t>,</w:t>
      </w:r>
    </w:p>
    <w:p w14:paraId="69287AE4" w14:textId="77777777" w:rsidR="00394471" w:rsidRPr="00FA0D37" w:rsidRDefault="00394471" w:rsidP="00FA0D37">
      <w:pPr>
        <w:pStyle w:val="PL"/>
      </w:pPr>
      <w:r w:rsidRPr="00FA0D37">
        <w:t xml:space="preserve">    rrc-MessageSegmentType-r16                </w:t>
      </w:r>
      <w:r w:rsidRPr="00FA0D37">
        <w:rPr>
          <w:color w:val="993366"/>
        </w:rPr>
        <w:t>ENUMERATED</w:t>
      </w:r>
      <w:r w:rsidRPr="00FA0D37">
        <w:t xml:space="preserve"> {notLastSegment, lastSegment}</w:t>
      </w:r>
      <w:r w:rsidRPr="00FA0D37">
        <w:rPr>
          <w:rFonts w:eastAsia="宋体"/>
        </w:rPr>
        <w:t>,</w:t>
      </w:r>
    </w:p>
    <w:p w14:paraId="50FF5A7D"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F3F4932"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69E7F08F" w14:textId="77777777" w:rsidR="00394471" w:rsidRPr="00FA0D37" w:rsidRDefault="00394471" w:rsidP="00FA0D37">
      <w:pPr>
        <w:pStyle w:val="PL"/>
      </w:pPr>
      <w:r w:rsidRPr="00FA0D37">
        <w:t>}</w:t>
      </w:r>
    </w:p>
    <w:p w14:paraId="02047F49" w14:textId="77777777" w:rsidR="00394471" w:rsidRPr="00FA0D37" w:rsidRDefault="00394471" w:rsidP="00FA0D37">
      <w:pPr>
        <w:pStyle w:val="PL"/>
      </w:pPr>
    </w:p>
    <w:p w14:paraId="0193C520" w14:textId="77777777" w:rsidR="00394471" w:rsidRPr="00FA0D37" w:rsidRDefault="00394471" w:rsidP="00FA0D37">
      <w:pPr>
        <w:pStyle w:val="PL"/>
        <w:rPr>
          <w:color w:val="808080"/>
        </w:rPr>
      </w:pPr>
      <w:r w:rsidRPr="00FA0D37">
        <w:rPr>
          <w:color w:val="808080"/>
        </w:rPr>
        <w:t>-- TAG-ULDEDICATEDMESSAGESEGMENT-STOP</w:t>
      </w:r>
    </w:p>
    <w:p w14:paraId="1CFE198C" w14:textId="77777777" w:rsidR="00394471" w:rsidRPr="00FA0D37" w:rsidRDefault="00394471" w:rsidP="00FA0D37">
      <w:pPr>
        <w:pStyle w:val="PL"/>
        <w:rPr>
          <w:color w:val="808080"/>
        </w:rPr>
      </w:pPr>
      <w:r w:rsidRPr="00FA0D37">
        <w:rPr>
          <w:color w:val="808080"/>
        </w:rPr>
        <w:lastRenderedPageBreak/>
        <w:t>-- ASN1STOP</w:t>
      </w:r>
    </w:p>
    <w:p w14:paraId="5B26CDD1"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36882563" w14:textId="77777777" w:rsidTr="00964CC4">
        <w:trPr>
          <w:trHeight w:val="187"/>
        </w:trPr>
        <w:tc>
          <w:tcPr>
            <w:tcW w:w="14170" w:type="dxa"/>
            <w:tcBorders>
              <w:top w:val="single" w:sz="4" w:space="0" w:color="auto"/>
              <w:left w:val="single" w:sz="4" w:space="0" w:color="auto"/>
              <w:bottom w:val="single" w:sz="4" w:space="0" w:color="auto"/>
              <w:right w:val="single" w:sz="4" w:space="0" w:color="auto"/>
            </w:tcBorders>
            <w:hideMark/>
          </w:tcPr>
          <w:p w14:paraId="7AB2C04C" w14:textId="77777777" w:rsidR="00394471" w:rsidRPr="00FA0D37" w:rsidRDefault="00394471" w:rsidP="00964CC4">
            <w:pPr>
              <w:pStyle w:val="TAH"/>
              <w:rPr>
                <w:szCs w:val="22"/>
                <w:lang w:eastAsia="sv-SE"/>
              </w:rPr>
            </w:pPr>
            <w:r w:rsidRPr="00FA0D37">
              <w:rPr>
                <w:i/>
                <w:szCs w:val="22"/>
                <w:lang w:eastAsia="sv-SE"/>
              </w:rPr>
              <w:t xml:space="preserve">ULDedicatedMessageSegment </w:t>
            </w:r>
            <w:r w:rsidRPr="00FA0D37">
              <w:rPr>
                <w:szCs w:val="22"/>
                <w:lang w:eastAsia="sv-SE"/>
              </w:rPr>
              <w:t>field descriptions</w:t>
            </w:r>
          </w:p>
        </w:tc>
      </w:tr>
      <w:tr w:rsidR="005C7FF4" w:rsidRPr="00FA0D37" w14:paraId="4C8302EC"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200F1185" w14:textId="77777777" w:rsidR="00394471" w:rsidRPr="00FA0D37" w:rsidRDefault="00394471" w:rsidP="00964CC4">
            <w:pPr>
              <w:pStyle w:val="TAL"/>
              <w:rPr>
                <w:szCs w:val="22"/>
                <w:lang w:eastAsia="sv-SE"/>
              </w:rPr>
            </w:pPr>
            <w:r w:rsidRPr="00FA0D37">
              <w:rPr>
                <w:b/>
                <w:i/>
                <w:szCs w:val="22"/>
                <w:lang w:eastAsia="sv-SE"/>
              </w:rPr>
              <w:t>segmentNumber</w:t>
            </w:r>
          </w:p>
          <w:p w14:paraId="7D1FEAE3" w14:textId="77777777" w:rsidR="00394471" w:rsidRPr="00FA0D37" w:rsidRDefault="00394471" w:rsidP="00964CC4">
            <w:pPr>
              <w:pStyle w:val="TAL"/>
              <w:rPr>
                <w:szCs w:val="22"/>
                <w:lang w:eastAsia="sv-SE"/>
              </w:rPr>
            </w:pPr>
            <w:r w:rsidRPr="00FA0D37">
              <w:rPr>
                <w:szCs w:val="22"/>
                <w:lang w:eastAsia="sv-SE"/>
              </w:rPr>
              <w:t xml:space="preserve">Identifies the sequence number of a segment within the encoded UL DCCH message. </w:t>
            </w:r>
          </w:p>
        </w:tc>
      </w:tr>
      <w:tr w:rsidR="005C7FF4" w:rsidRPr="00FA0D37" w14:paraId="7E41B4B0" w14:textId="77777777" w:rsidTr="00964CC4">
        <w:trPr>
          <w:trHeight w:val="601"/>
        </w:trPr>
        <w:tc>
          <w:tcPr>
            <w:tcW w:w="14170" w:type="dxa"/>
            <w:tcBorders>
              <w:top w:val="single" w:sz="4" w:space="0" w:color="auto"/>
              <w:left w:val="single" w:sz="4" w:space="0" w:color="auto"/>
              <w:bottom w:val="single" w:sz="4" w:space="0" w:color="auto"/>
              <w:right w:val="single" w:sz="4" w:space="0" w:color="auto"/>
            </w:tcBorders>
            <w:hideMark/>
          </w:tcPr>
          <w:p w14:paraId="5913E655" w14:textId="77777777" w:rsidR="00394471" w:rsidRPr="00FA0D37" w:rsidRDefault="00394471" w:rsidP="00964CC4">
            <w:pPr>
              <w:pStyle w:val="TAL"/>
              <w:rPr>
                <w:b/>
                <w:i/>
                <w:szCs w:val="22"/>
                <w:lang w:eastAsia="sv-SE"/>
              </w:rPr>
            </w:pPr>
            <w:r w:rsidRPr="00FA0D37">
              <w:rPr>
                <w:b/>
                <w:i/>
                <w:szCs w:val="22"/>
                <w:lang w:eastAsia="sv-SE"/>
              </w:rPr>
              <w:t>rrc-MessageSegmentContainer</w:t>
            </w:r>
          </w:p>
          <w:p w14:paraId="6B783979" w14:textId="77777777" w:rsidR="00394471" w:rsidRPr="00FA0D37" w:rsidRDefault="00394471" w:rsidP="00964CC4">
            <w:pPr>
              <w:pStyle w:val="TAL"/>
              <w:rPr>
                <w:rFonts w:eastAsia="宋体"/>
                <w:szCs w:val="22"/>
                <w:lang w:eastAsia="zh-CN"/>
              </w:rPr>
            </w:pPr>
            <w:r w:rsidRPr="00FA0D37">
              <w:rPr>
                <w:szCs w:val="22"/>
                <w:lang w:eastAsia="sv-SE"/>
              </w:rPr>
              <w:t>Includes a segment of the encoded UL DCCH message.</w:t>
            </w:r>
            <w:r w:rsidRPr="00FA0D37">
              <w:rPr>
                <w:rFonts w:eastAsia="宋体"/>
                <w:szCs w:val="22"/>
                <w:lang w:eastAsia="zh-CN"/>
              </w:rPr>
              <w:t xml:space="preserve"> The size of the included segment in this container should be </w:t>
            </w:r>
            <w:r w:rsidRPr="00FA0D37">
              <w:rPr>
                <w:lang w:eastAsia="en-GB"/>
              </w:rPr>
              <w:t>small enough that the resulting encoded RRC message PDU is less than or equal to the PDCP SDU size limit</w:t>
            </w:r>
            <w:r w:rsidRPr="00FA0D37">
              <w:rPr>
                <w:rFonts w:eastAsia="宋体"/>
                <w:szCs w:val="22"/>
                <w:lang w:eastAsia="zh-CN"/>
              </w:rPr>
              <w:t>.</w:t>
            </w:r>
          </w:p>
        </w:tc>
      </w:tr>
      <w:tr w:rsidR="00394471" w:rsidRPr="00FA0D37" w14:paraId="0182A3E5"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9BDCD22" w14:textId="77777777" w:rsidR="00394471" w:rsidRPr="00FA0D37" w:rsidRDefault="00394471" w:rsidP="00964CC4">
            <w:pPr>
              <w:pStyle w:val="TAL"/>
              <w:rPr>
                <w:b/>
                <w:i/>
                <w:szCs w:val="22"/>
              </w:rPr>
            </w:pPr>
            <w:r w:rsidRPr="00FA0D37">
              <w:rPr>
                <w:b/>
                <w:i/>
                <w:szCs w:val="22"/>
              </w:rPr>
              <w:t>rrc-MessageSegmentType</w:t>
            </w:r>
          </w:p>
          <w:p w14:paraId="41735B4E" w14:textId="77777777" w:rsidR="00394471" w:rsidRPr="00FA0D37" w:rsidRDefault="00394471" w:rsidP="00964CC4">
            <w:pPr>
              <w:pStyle w:val="TAL"/>
              <w:rPr>
                <w:b/>
                <w:i/>
                <w:szCs w:val="22"/>
                <w:lang w:eastAsia="sv-SE"/>
              </w:rPr>
            </w:pPr>
            <w:r w:rsidRPr="00FA0D37">
              <w:rPr>
                <w:szCs w:val="22"/>
                <w:lang w:eastAsia="sv-SE"/>
              </w:rPr>
              <w:t>Indicates whether the included UL DCCH message segment is the last segment or not.</w:t>
            </w:r>
          </w:p>
        </w:tc>
      </w:tr>
    </w:tbl>
    <w:p w14:paraId="0BD63288" w14:textId="77777777" w:rsidR="00394471" w:rsidRPr="00FA0D37" w:rsidRDefault="00394471" w:rsidP="00394471"/>
    <w:p w14:paraId="335D3093" w14:textId="77777777" w:rsidR="00394471" w:rsidRPr="00FA0D37" w:rsidRDefault="00394471" w:rsidP="00394471">
      <w:pPr>
        <w:pStyle w:val="4"/>
      </w:pPr>
      <w:bookmarkStart w:id="743" w:name="_Toc60777134"/>
      <w:bookmarkStart w:id="744" w:name="_Toc146781172"/>
      <w:r w:rsidRPr="00FA0D37">
        <w:t>–</w:t>
      </w:r>
      <w:r w:rsidRPr="00FA0D37">
        <w:tab/>
      </w:r>
      <w:r w:rsidRPr="00FA0D37">
        <w:rPr>
          <w:i/>
        </w:rPr>
        <w:t>ULInformationTransfer</w:t>
      </w:r>
      <w:bookmarkEnd w:id="743"/>
      <w:bookmarkEnd w:id="744"/>
    </w:p>
    <w:p w14:paraId="191D39FB" w14:textId="057EB8D8" w:rsidR="00394471" w:rsidRPr="00FA0D37" w:rsidRDefault="00394471" w:rsidP="00394471">
      <w:r w:rsidRPr="00FA0D37">
        <w:t xml:space="preserve">The </w:t>
      </w:r>
      <w:r w:rsidRPr="00FA0D37">
        <w:rPr>
          <w:i/>
        </w:rPr>
        <w:t>ULInformationTransfer</w:t>
      </w:r>
      <w:r w:rsidRPr="00FA0D37">
        <w:t xml:space="preserve"> message is used for the uplink transfer of NAS or non-3GPP dedicated information</w:t>
      </w:r>
      <w:r w:rsidR="00A66715" w:rsidRPr="00FA0D37">
        <w:t>, or IAB-DU specific F1-C related information</w:t>
      </w:r>
      <w:r w:rsidRPr="00FA0D37">
        <w:t>.</w:t>
      </w:r>
    </w:p>
    <w:p w14:paraId="1146015B" w14:textId="0482279E" w:rsidR="00394471" w:rsidRPr="00FA0D37" w:rsidRDefault="00394471" w:rsidP="00394471">
      <w:pPr>
        <w:pStyle w:val="B1"/>
      </w:pPr>
      <w:r w:rsidRPr="00FA0D37">
        <w:t>Signalling radio bearer: SRB2 or SRB1 (only if SRB2 not established yet). If SRB2 is suspended, the UE does not send this message until SRB2 is resumed</w:t>
      </w:r>
      <w:r w:rsidR="003B3F65" w:rsidRPr="00FA0D37">
        <w:t xml:space="preserve">. If only </w:t>
      </w:r>
      <w:r w:rsidR="003B3F65" w:rsidRPr="00FA0D37">
        <w:rPr>
          <w:i/>
          <w:iCs/>
        </w:rPr>
        <w:t>dedicatedInfoF1c</w:t>
      </w:r>
      <w:r w:rsidR="003B3F65" w:rsidRPr="00FA0D37">
        <w:t xml:space="preserve"> is included, SRB2 is used.</w:t>
      </w:r>
    </w:p>
    <w:p w14:paraId="45AEAD81" w14:textId="77777777" w:rsidR="00394471" w:rsidRPr="00FA0D37" w:rsidRDefault="00394471" w:rsidP="00394471">
      <w:pPr>
        <w:pStyle w:val="B1"/>
      </w:pPr>
      <w:r w:rsidRPr="00FA0D37">
        <w:t>RLC-SAP: AM</w:t>
      </w:r>
    </w:p>
    <w:p w14:paraId="5942FADA" w14:textId="77777777" w:rsidR="00394471" w:rsidRPr="00FA0D37" w:rsidRDefault="00394471" w:rsidP="00394471">
      <w:pPr>
        <w:pStyle w:val="B1"/>
      </w:pPr>
      <w:r w:rsidRPr="00FA0D37">
        <w:t>Logical channel: DCCH</w:t>
      </w:r>
    </w:p>
    <w:p w14:paraId="799E5C34" w14:textId="77777777" w:rsidR="00394471" w:rsidRPr="00FA0D37" w:rsidRDefault="00394471" w:rsidP="00394471">
      <w:pPr>
        <w:pStyle w:val="B1"/>
      </w:pPr>
      <w:r w:rsidRPr="00FA0D37">
        <w:t>Direction: UE to network</w:t>
      </w:r>
    </w:p>
    <w:p w14:paraId="4B441D04" w14:textId="77777777" w:rsidR="00394471" w:rsidRPr="00FA0D37" w:rsidRDefault="00394471" w:rsidP="00394471">
      <w:pPr>
        <w:pStyle w:val="TH"/>
        <w:rPr>
          <w:bCs/>
          <w:i/>
          <w:iCs/>
        </w:rPr>
      </w:pPr>
      <w:r w:rsidRPr="00FA0D37">
        <w:rPr>
          <w:bCs/>
          <w:i/>
          <w:iCs/>
        </w:rPr>
        <w:t>ULInformationTransfer message</w:t>
      </w:r>
    </w:p>
    <w:p w14:paraId="0F1A1279" w14:textId="77777777" w:rsidR="00394471" w:rsidRPr="00FA0D37" w:rsidRDefault="00394471" w:rsidP="00FA0D37">
      <w:pPr>
        <w:pStyle w:val="PL"/>
        <w:rPr>
          <w:color w:val="808080"/>
        </w:rPr>
      </w:pPr>
      <w:r w:rsidRPr="00FA0D37">
        <w:rPr>
          <w:color w:val="808080"/>
        </w:rPr>
        <w:t>-- ASN1START</w:t>
      </w:r>
    </w:p>
    <w:p w14:paraId="764374A2" w14:textId="77777777" w:rsidR="00394471" w:rsidRPr="00FA0D37" w:rsidRDefault="00394471" w:rsidP="00FA0D37">
      <w:pPr>
        <w:pStyle w:val="PL"/>
        <w:rPr>
          <w:color w:val="808080"/>
        </w:rPr>
      </w:pPr>
      <w:r w:rsidRPr="00FA0D37">
        <w:rPr>
          <w:color w:val="808080"/>
        </w:rPr>
        <w:t>-- TAG-ULINFORMATIONTRANSFER-START</w:t>
      </w:r>
    </w:p>
    <w:p w14:paraId="14DE7266" w14:textId="77777777" w:rsidR="00394471" w:rsidRPr="00FA0D37" w:rsidRDefault="00394471" w:rsidP="00FA0D37">
      <w:pPr>
        <w:pStyle w:val="PL"/>
      </w:pPr>
    </w:p>
    <w:p w14:paraId="34D77D29" w14:textId="77777777" w:rsidR="00394471" w:rsidRPr="00FA0D37" w:rsidRDefault="00394471" w:rsidP="00FA0D37">
      <w:pPr>
        <w:pStyle w:val="PL"/>
      </w:pPr>
      <w:r w:rsidRPr="00FA0D37">
        <w:t xml:space="preserve">ULInformationTransfer ::=           </w:t>
      </w:r>
      <w:r w:rsidRPr="00FA0D37">
        <w:rPr>
          <w:color w:val="993366"/>
        </w:rPr>
        <w:t>SEQUENCE</w:t>
      </w:r>
      <w:r w:rsidRPr="00FA0D37">
        <w:t xml:space="preserve"> {</w:t>
      </w:r>
    </w:p>
    <w:p w14:paraId="49E95A05"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182F60A3" w14:textId="77777777" w:rsidR="00394471" w:rsidRPr="00FA0D37" w:rsidRDefault="00394471" w:rsidP="00FA0D37">
      <w:pPr>
        <w:pStyle w:val="PL"/>
      </w:pPr>
      <w:r w:rsidRPr="00FA0D37">
        <w:t xml:space="preserve">        ulInformationTransfer               ULInformationTransfer-IEs,</w:t>
      </w:r>
    </w:p>
    <w:p w14:paraId="6C9B197D"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152DCD2B" w14:textId="77777777" w:rsidR="00394471" w:rsidRPr="00FA0D37" w:rsidRDefault="00394471" w:rsidP="00FA0D37">
      <w:pPr>
        <w:pStyle w:val="PL"/>
      </w:pPr>
      <w:r w:rsidRPr="00FA0D37">
        <w:t xml:space="preserve">    }</w:t>
      </w:r>
    </w:p>
    <w:p w14:paraId="1924AEBC" w14:textId="77777777" w:rsidR="00394471" w:rsidRPr="00FA0D37" w:rsidRDefault="00394471" w:rsidP="00FA0D37">
      <w:pPr>
        <w:pStyle w:val="PL"/>
      </w:pPr>
      <w:r w:rsidRPr="00FA0D37">
        <w:t>}</w:t>
      </w:r>
    </w:p>
    <w:p w14:paraId="2F501A0B" w14:textId="77777777" w:rsidR="00394471" w:rsidRPr="00FA0D37" w:rsidRDefault="00394471" w:rsidP="00FA0D37">
      <w:pPr>
        <w:pStyle w:val="PL"/>
      </w:pPr>
    </w:p>
    <w:p w14:paraId="2F03F73B" w14:textId="77777777" w:rsidR="00394471" w:rsidRPr="00FA0D37" w:rsidRDefault="00394471" w:rsidP="00FA0D37">
      <w:pPr>
        <w:pStyle w:val="PL"/>
      </w:pPr>
      <w:r w:rsidRPr="00FA0D37">
        <w:t xml:space="preserve">ULInformationTransfer-IEs ::=       </w:t>
      </w:r>
      <w:r w:rsidRPr="00FA0D37">
        <w:rPr>
          <w:color w:val="993366"/>
        </w:rPr>
        <w:t>SEQUENCE</w:t>
      </w:r>
      <w:r w:rsidRPr="00FA0D37">
        <w:t xml:space="preserve"> {</w:t>
      </w:r>
    </w:p>
    <w:p w14:paraId="4630671A" w14:textId="77777777" w:rsidR="00394471" w:rsidRPr="00FA0D37" w:rsidRDefault="00394471" w:rsidP="00FA0D37">
      <w:pPr>
        <w:pStyle w:val="PL"/>
      </w:pPr>
      <w:r w:rsidRPr="00FA0D37">
        <w:t xml:space="preserve">    dedicatedNAS-Message                DedicatedNAS-Message                </w:t>
      </w:r>
      <w:r w:rsidRPr="00FA0D37">
        <w:rPr>
          <w:color w:val="993366"/>
        </w:rPr>
        <w:t>OPTIONAL</w:t>
      </w:r>
      <w:r w:rsidRPr="00FA0D37">
        <w:t>,</w:t>
      </w:r>
    </w:p>
    <w:p w14:paraId="49F03406"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F08B362" w14:textId="565EBF69" w:rsidR="00394471" w:rsidRPr="00FA0D37" w:rsidRDefault="00394471" w:rsidP="00FA0D37">
      <w:pPr>
        <w:pStyle w:val="PL"/>
      </w:pPr>
      <w:r w:rsidRPr="00FA0D37">
        <w:t xml:space="preserve">    nonCriticalExtension                </w:t>
      </w:r>
      <w:r w:rsidR="00A66715" w:rsidRPr="00FA0D37">
        <w:t>ULInformationTransfer-</w:t>
      </w:r>
      <w:r w:rsidR="000347BD" w:rsidRPr="00FA0D37">
        <w:t>v</w:t>
      </w:r>
      <w:r w:rsidR="00A66715" w:rsidRPr="00FA0D37">
        <w:t>17</w:t>
      </w:r>
      <w:r w:rsidR="000347BD" w:rsidRPr="00FA0D37">
        <w:t>00</w:t>
      </w:r>
      <w:r w:rsidR="00A66715" w:rsidRPr="00FA0D37">
        <w:t>-IEs</w:t>
      </w:r>
      <w:r w:rsidRPr="00FA0D37">
        <w:t xml:space="preserve">     </w:t>
      </w:r>
      <w:r w:rsidRPr="00FA0D37">
        <w:rPr>
          <w:color w:val="993366"/>
        </w:rPr>
        <w:t>OPTIONAL</w:t>
      </w:r>
    </w:p>
    <w:p w14:paraId="2BD66AFA" w14:textId="77777777" w:rsidR="00394471" w:rsidRPr="00FA0D37" w:rsidRDefault="00394471" w:rsidP="00FA0D37">
      <w:pPr>
        <w:pStyle w:val="PL"/>
      </w:pPr>
      <w:r w:rsidRPr="00FA0D37">
        <w:t>}</w:t>
      </w:r>
    </w:p>
    <w:p w14:paraId="5BD2D162" w14:textId="0CA45988" w:rsidR="00394471" w:rsidRPr="00FA0D37" w:rsidRDefault="00394471" w:rsidP="00FA0D37">
      <w:pPr>
        <w:pStyle w:val="PL"/>
      </w:pPr>
    </w:p>
    <w:p w14:paraId="43A30BFA" w14:textId="0BE21636" w:rsidR="00A66715" w:rsidRPr="00FA0D37" w:rsidRDefault="00A66715" w:rsidP="00FA0D37">
      <w:pPr>
        <w:pStyle w:val="PL"/>
      </w:pPr>
      <w:r w:rsidRPr="00FA0D37">
        <w:t>ULInformationTransfer-</w:t>
      </w:r>
      <w:r w:rsidR="00C11704" w:rsidRPr="00FA0D37">
        <w:t>v1700</w:t>
      </w:r>
      <w:r w:rsidRPr="00FA0D37">
        <w:t xml:space="preserve">-IEs ::=       </w:t>
      </w:r>
      <w:r w:rsidRPr="00FA0D37">
        <w:rPr>
          <w:color w:val="993366"/>
        </w:rPr>
        <w:t>SEQUENCE</w:t>
      </w:r>
      <w:r w:rsidRPr="00FA0D37">
        <w:t xml:space="preserve"> {</w:t>
      </w:r>
    </w:p>
    <w:p w14:paraId="610F40D2" w14:textId="3B5DD6B1" w:rsidR="00A66715" w:rsidRPr="00FA0D37" w:rsidRDefault="00A66715" w:rsidP="00FA0D37">
      <w:pPr>
        <w:pStyle w:val="PL"/>
      </w:pPr>
      <w:r w:rsidRPr="00FA0D37">
        <w:t xml:space="preserve">    dedicatedInfoF1c-r17                </w:t>
      </w:r>
      <w:r w:rsidR="000E770B" w:rsidRPr="00FA0D37">
        <w:t xml:space="preserve">      </w:t>
      </w:r>
      <w:r w:rsidRPr="00FA0D37">
        <w:t xml:space="preserve">DedicatedInfoF1c-r17                </w:t>
      </w:r>
      <w:r w:rsidRPr="00FA0D37">
        <w:rPr>
          <w:color w:val="993366"/>
        </w:rPr>
        <w:t>OPTIONAL</w:t>
      </w:r>
      <w:r w:rsidRPr="00FA0D37">
        <w:t>,</w:t>
      </w:r>
    </w:p>
    <w:p w14:paraId="2136B1AD" w14:textId="03283D44" w:rsidR="00A66715" w:rsidRPr="00FA0D37" w:rsidRDefault="00A66715" w:rsidP="00FA0D37">
      <w:pPr>
        <w:pStyle w:val="PL"/>
      </w:pPr>
      <w:r w:rsidRPr="00FA0D37">
        <w:t xml:space="preserve">    nonCriticalExtension                </w:t>
      </w:r>
      <w:r w:rsidR="000E770B" w:rsidRPr="00FA0D37">
        <w:t xml:space="preserve">      </w:t>
      </w:r>
      <w:r w:rsidRPr="00FA0D37">
        <w:rPr>
          <w:color w:val="993366"/>
        </w:rPr>
        <w:t>SEQUENCE</w:t>
      </w:r>
      <w:r w:rsidRPr="00FA0D37">
        <w:t xml:space="preserve"> {}                         </w:t>
      </w:r>
      <w:r w:rsidRPr="00FA0D37">
        <w:rPr>
          <w:color w:val="993366"/>
        </w:rPr>
        <w:t>OPTIONAL</w:t>
      </w:r>
    </w:p>
    <w:p w14:paraId="4A4AF737" w14:textId="77777777" w:rsidR="00A66715" w:rsidRPr="00FA0D37" w:rsidRDefault="00A66715" w:rsidP="00FA0D37">
      <w:pPr>
        <w:pStyle w:val="PL"/>
      </w:pPr>
      <w:r w:rsidRPr="00FA0D37">
        <w:lastRenderedPageBreak/>
        <w:t>}</w:t>
      </w:r>
    </w:p>
    <w:p w14:paraId="180B7C2B" w14:textId="77777777" w:rsidR="00A66715" w:rsidRPr="00FA0D37" w:rsidRDefault="00A66715" w:rsidP="00FA0D37">
      <w:pPr>
        <w:pStyle w:val="PL"/>
      </w:pPr>
    </w:p>
    <w:p w14:paraId="41B79144" w14:textId="77777777" w:rsidR="00394471" w:rsidRPr="00FA0D37" w:rsidRDefault="00394471" w:rsidP="00FA0D37">
      <w:pPr>
        <w:pStyle w:val="PL"/>
        <w:rPr>
          <w:color w:val="808080"/>
        </w:rPr>
      </w:pPr>
      <w:r w:rsidRPr="00FA0D37">
        <w:rPr>
          <w:color w:val="808080"/>
        </w:rPr>
        <w:t>-- TAG-ULINFORMATIONTRANSFER-STOP</w:t>
      </w:r>
    </w:p>
    <w:p w14:paraId="3A4CB06D" w14:textId="77777777" w:rsidR="00394471" w:rsidRPr="00FA0D37" w:rsidRDefault="00394471" w:rsidP="00FA0D37">
      <w:pPr>
        <w:pStyle w:val="PL"/>
        <w:rPr>
          <w:color w:val="808080"/>
        </w:rPr>
      </w:pPr>
      <w:r w:rsidRPr="00FA0D37">
        <w:rPr>
          <w:color w:val="808080"/>
        </w:rPr>
        <w:t>-- ASN1STOP</w:t>
      </w:r>
    </w:p>
    <w:p w14:paraId="2B190D75" w14:textId="77777777" w:rsidR="00394471" w:rsidRPr="00FA0D37" w:rsidRDefault="00394471" w:rsidP="00394471">
      <w:pPr>
        <w:rPr>
          <w:rFonts w:eastAsia="MS Mincho"/>
          <w:noProof/>
        </w:rPr>
      </w:pPr>
    </w:p>
    <w:p w14:paraId="7B25FC65" w14:textId="77777777" w:rsidR="00394471" w:rsidRPr="00FA0D37" w:rsidRDefault="00394471" w:rsidP="00394471">
      <w:pPr>
        <w:pStyle w:val="4"/>
        <w:rPr>
          <w:rFonts w:eastAsia="宋体"/>
        </w:rPr>
      </w:pPr>
      <w:bookmarkStart w:id="745" w:name="_Toc60777135"/>
      <w:bookmarkStart w:id="746" w:name="_Toc146781173"/>
      <w:r w:rsidRPr="00FA0D37">
        <w:rPr>
          <w:rFonts w:eastAsia="宋体"/>
        </w:rPr>
        <w:t>–</w:t>
      </w:r>
      <w:r w:rsidRPr="00FA0D37">
        <w:rPr>
          <w:rFonts w:eastAsia="宋体"/>
        </w:rPr>
        <w:tab/>
      </w:r>
      <w:r w:rsidRPr="00FA0D37">
        <w:rPr>
          <w:rFonts w:eastAsia="宋体"/>
          <w:i/>
          <w:iCs/>
          <w:noProof/>
        </w:rPr>
        <w:t>ULInformationTransferIRAT</w:t>
      </w:r>
      <w:bookmarkEnd w:id="745"/>
      <w:bookmarkEnd w:id="746"/>
    </w:p>
    <w:p w14:paraId="7B50A60D" w14:textId="0EA0213D" w:rsidR="00394471" w:rsidRPr="00FA0D37" w:rsidRDefault="00394471" w:rsidP="00394471">
      <w:pPr>
        <w:rPr>
          <w:rFonts w:eastAsia="宋体"/>
        </w:rPr>
      </w:pPr>
      <w:r w:rsidRPr="00FA0D37">
        <w:rPr>
          <w:rFonts w:eastAsia="宋体"/>
        </w:rPr>
        <w:t xml:space="preserve">The </w:t>
      </w:r>
      <w:r w:rsidRPr="00FA0D37">
        <w:rPr>
          <w:rFonts w:eastAsia="宋体"/>
          <w:i/>
          <w:noProof/>
        </w:rPr>
        <w:t>ULInformationTransferIRAT</w:t>
      </w:r>
      <w:r w:rsidRPr="00FA0D37">
        <w:rPr>
          <w:rFonts w:eastAsia="宋体"/>
        </w:rPr>
        <w:t xml:space="preserve"> message is used for the uplink transfer of information terminated at NR MCG but specified by another RAT. In this version of the specification, the message is used for V2X sidelink communication </w:t>
      </w:r>
      <w:r w:rsidR="008D2002" w:rsidRPr="00FA0D37">
        <w:rPr>
          <w:rFonts w:eastAsia="宋体"/>
        </w:rPr>
        <w:t xml:space="preserve">messages </w:t>
      </w:r>
      <w:r w:rsidRPr="00FA0D37">
        <w:rPr>
          <w:rFonts w:eastAsia="宋体"/>
        </w:rPr>
        <w:t>specified in TS 36.331 [10].</w:t>
      </w:r>
    </w:p>
    <w:p w14:paraId="5FFF2832" w14:textId="77777777" w:rsidR="00394471" w:rsidRPr="00FA0D37" w:rsidRDefault="00394471" w:rsidP="00394471">
      <w:pPr>
        <w:pStyle w:val="B1"/>
        <w:rPr>
          <w:rFonts w:eastAsia="宋体"/>
        </w:rPr>
      </w:pPr>
      <w:r w:rsidRPr="00FA0D37">
        <w:rPr>
          <w:rFonts w:eastAsia="宋体"/>
        </w:rPr>
        <w:t>Signalling radio bearer: SRB1</w:t>
      </w:r>
    </w:p>
    <w:p w14:paraId="5AB60085" w14:textId="77777777" w:rsidR="00394471" w:rsidRPr="00FA0D37" w:rsidRDefault="00394471" w:rsidP="00394471">
      <w:pPr>
        <w:pStyle w:val="B1"/>
        <w:rPr>
          <w:rFonts w:eastAsia="宋体"/>
        </w:rPr>
      </w:pPr>
      <w:r w:rsidRPr="00FA0D37">
        <w:rPr>
          <w:rFonts w:eastAsia="宋体"/>
        </w:rPr>
        <w:t>RLC-SAP: AM</w:t>
      </w:r>
    </w:p>
    <w:p w14:paraId="133EDFE9" w14:textId="77777777" w:rsidR="00394471" w:rsidRPr="00FA0D37" w:rsidRDefault="00394471" w:rsidP="00394471">
      <w:pPr>
        <w:pStyle w:val="B1"/>
        <w:rPr>
          <w:rFonts w:eastAsia="宋体"/>
        </w:rPr>
      </w:pPr>
      <w:r w:rsidRPr="00FA0D37">
        <w:rPr>
          <w:rFonts w:eastAsia="宋体"/>
        </w:rPr>
        <w:t>Logical channel: DCCH</w:t>
      </w:r>
    </w:p>
    <w:p w14:paraId="6E20AF34" w14:textId="77777777" w:rsidR="00394471" w:rsidRPr="00FA0D37" w:rsidRDefault="00394471" w:rsidP="00394471">
      <w:pPr>
        <w:pStyle w:val="B1"/>
        <w:rPr>
          <w:rFonts w:eastAsia="宋体"/>
        </w:rPr>
      </w:pPr>
      <w:r w:rsidRPr="00FA0D37">
        <w:rPr>
          <w:rFonts w:eastAsia="宋体"/>
        </w:rPr>
        <w:t>Direction: UE to network</w:t>
      </w:r>
    </w:p>
    <w:p w14:paraId="76EE5B9E" w14:textId="77777777" w:rsidR="00394471" w:rsidRPr="00FA0D37" w:rsidRDefault="00394471" w:rsidP="00394471">
      <w:pPr>
        <w:pStyle w:val="TH"/>
        <w:rPr>
          <w:rFonts w:eastAsia="宋体"/>
        </w:rPr>
      </w:pPr>
      <w:r w:rsidRPr="00FA0D37">
        <w:rPr>
          <w:rFonts w:eastAsia="宋体"/>
          <w:i/>
          <w:iCs/>
          <w:noProof/>
        </w:rPr>
        <w:t>ULInformationTransferIRAT</w:t>
      </w:r>
      <w:r w:rsidRPr="00FA0D37">
        <w:rPr>
          <w:rFonts w:eastAsia="宋体"/>
          <w:noProof/>
        </w:rPr>
        <w:t xml:space="preserve"> message</w:t>
      </w:r>
    </w:p>
    <w:p w14:paraId="313DB4CF" w14:textId="77777777" w:rsidR="00394471" w:rsidRPr="00FA0D37" w:rsidRDefault="00394471" w:rsidP="00FA0D37">
      <w:pPr>
        <w:pStyle w:val="PL"/>
        <w:rPr>
          <w:rFonts w:eastAsia="宋体"/>
          <w:color w:val="808080"/>
        </w:rPr>
      </w:pPr>
      <w:r w:rsidRPr="00FA0D37">
        <w:rPr>
          <w:rFonts w:eastAsia="宋体"/>
          <w:color w:val="808080"/>
        </w:rPr>
        <w:t>-- ASN1START</w:t>
      </w:r>
    </w:p>
    <w:p w14:paraId="274E3F25" w14:textId="77777777" w:rsidR="00394471" w:rsidRPr="00FA0D37" w:rsidRDefault="00394471" w:rsidP="00FA0D37">
      <w:pPr>
        <w:pStyle w:val="PL"/>
        <w:rPr>
          <w:color w:val="808080"/>
        </w:rPr>
      </w:pPr>
      <w:r w:rsidRPr="00FA0D37">
        <w:rPr>
          <w:color w:val="808080"/>
        </w:rPr>
        <w:t>-- TAG-ULINFORMATIONTRANSFERIRAT-START</w:t>
      </w:r>
    </w:p>
    <w:p w14:paraId="7FD92F07" w14:textId="77777777" w:rsidR="00394471" w:rsidRPr="00FA0D37" w:rsidRDefault="00394471" w:rsidP="00FA0D37">
      <w:pPr>
        <w:pStyle w:val="PL"/>
        <w:rPr>
          <w:rFonts w:eastAsia="宋体"/>
        </w:rPr>
      </w:pPr>
    </w:p>
    <w:p w14:paraId="49EE0F69" w14:textId="77777777" w:rsidR="00394471" w:rsidRPr="00FA0D37" w:rsidRDefault="00394471" w:rsidP="00FA0D37">
      <w:pPr>
        <w:pStyle w:val="PL"/>
        <w:rPr>
          <w:rFonts w:eastAsia="宋体"/>
        </w:rPr>
      </w:pPr>
      <w:r w:rsidRPr="00FA0D37">
        <w:rPr>
          <w:rFonts w:eastAsia="宋体"/>
        </w:rPr>
        <w:t xml:space="preserve">ULInformationTransferIRAT-r16 ::=  </w:t>
      </w:r>
      <w:r w:rsidRPr="00FA0D37">
        <w:t xml:space="preserve">            </w:t>
      </w:r>
      <w:r w:rsidRPr="00FA0D37">
        <w:rPr>
          <w:rFonts w:eastAsia="宋体"/>
          <w:color w:val="993366"/>
        </w:rPr>
        <w:t>SEQUENCE</w:t>
      </w:r>
      <w:r w:rsidRPr="00FA0D37">
        <w:rPr>
          <w:rFonts w:eastAsia="宋体"/>
        </w:rPr>
        <w:t xml:space="preserve"> {</w:t>
      </w:r>
    </w:p>
    <w:p w14:paraId="4CD21053" w14:textId="77777777" w:rsidR="00394471" w:rsidRPr="00FA0D37" w:rsidRDefault="00394471" w:rsidP="00FA0D37">
      <w:pPr>
        <w:pStyle w:val="PL"/>
        <w:rPr>
          <w:rFonts w:eastAsia="宋体"/>
        </w:rPr>
      </w:pPr>
      <w:r w:rsidRPr="00FA0D37">
        <w:rPr>
          <w:rFonts w:eastAsia="宋体"/>
        </w:rPr>
        <w:t xml:space="preserve">    criticalExtensions                     </w:t>
      </w:r>
      <w:r w:rsidRPr="00FA0D37">
        <w:t xml:space="preserve">        </w:t>
      </w:r>
      <w:r w:rsidRPr="00FA0D37">
        <w:rPr>
          <w:rFonts w:eastAsia="宋体"/>
        </w:rPr>
        <w:t xml:space="preserve">   </w:t>
      </w:r>
      <w:r w:rsidRPr="00FA0D37">
        <w:rPr>
          <w:rFonts w:eastAsia="宋体"/>
          <w:color w:val="993366"/>
        </w:rPr>
        <w:t>CHOICE</w:t>
      </w:r>
      <w:r w:rsidRPr="00FA0D37">
        <w:rPr>
          <w:rFonts w:eastAsia="宋体"/>
        </w:rPr>
        <w:t xml:space="preserve"> {</w:t>
      </w:r>
    </w:p>
    <w:p w14:paraId="31C9308C" w14:textId="77777777" w:rsidR="00394471" w:rsidRPr="00FA0D37" w:rsidRDefault="00394471" w:rsidP="00FA0D37">
      <w:pPr>
        <w:pStyle w:val="PL"/>
        <w:rPr>
          <w:rFonts w:eastAsia="宋体"/>
        </w:rPr>
      </w:pPr>
      <w:r w:rsidRPr="00FA0D37">
        <w:rPr>
          <w:rFonts w:eastAsia="宋体"/>
        </w:rPr>
        <w:t xml:space="preserve">        c1                                         </w:t>
      </w:r>
      <w:r w:rsidRPr="00FA0D37">
        <w:t xml:space="preserve">    </w:t>
      </w:r>
      <w:r w:rsidRPr="00FA0D37">
        <w:rPr>
          <w:rFonts w:eastAsia="宋体"/>
        </w:rPr>
        <w:t xml:space="preserve">      </w:t>
      </w:r>
      <w:r w:rsidRPr="00FA0D37">
        <w:rPr>
          <w:rFonts w:eastAsia="宋体"/>
          <w:color w:val="993366"/>
        </w:rPr>
        <w:t>CHOICE</w:t>
      </w:r>
      <w:r w:rsidRPr="00FA0D37">
        <w:rPr>
          <w:rFonts w:eastAsia="宋体"/>
        </w:rPr>
        <w:t xml:space="preserve"> {</w:t>
      </w:r>
    </w:p>
    <w:p w14:paraId="0E583006" w14:textId="77777777" w:rsidR="00394471" w:rsidRPr="00FA0D37" w:rsidRDefault="00394471" w:rsidP="00FA0D37">
      <w:pPr>
        <w:pStyle w:val="PL"/>
        <w:rPr>
          <w:rFonts w:eastAsia="宋体"/>
        </w:rPr>
      </w:pPr>
      <w:r w:rsidRPr="00FA0D37">
        <w:rPr>
          <w:rFonts w:eastAsia="宋体"/>
        </w:rPr>
        <w:t xml:space="preserve">            ulInformationTransferIRAT-r16        </w:t>
      </w:r>
      <w:r w:rsidRPr="00FA0D37">
        <w:t xml:space="preserve">            </w:t>
      </w:r>
      <w:r w:rsidRPr="00FA0D37">
        <w:rPr>
          <w:rFonts w:eastAsia="宋体"/>
        </w:rPr>
        <w:t>ULInformationTransferIRAT-r16-IEs,</w:t>
      </w:r>
    </w:p>
    <w:p w14:paraId="6836FC64" w14:textId="77777777" w:rsidR="00394471" w:rsidRPr="00FA0D37" w:rsidRDefault="00394471" w:rsidP="00FA0D37">
      <w:pPr>
        <w:pStyle w:val="PL"/>
        <w:rPr>
          <w:rFonts w:eastAsia="宋体"/>
        </w:rPr>
      </w:pPr>
      <w:r w:rsidRPr="00FA0D37">
        <w:rPr>
          <w:rFonts w:eastAsia="宋体"/>
        </w:rPr>
        <w:t xml:space="preserve">            spare3 </w:t>
      </w:r>
      <w:r w:rsidRPr="00FA0D37">
        <w:rPr>
          <w:rFonts w:eastAsia="宋体"/>
          <w:color w:val="993366"/>
        </w:rPr>
        <w:t>NULL</w:t>
      </w:r>
      <w:r w:rsidRPr="00FA0D37">
        <w:rPr>
          <w:rFonts w:eastAsia="宋体"/>
        </w:rPr>
        <w:t xml:space="preserve">, spare2 </w:t>
      </w:r>
      <w:r w:rsidRPr="00FA0D37">
        <w:rPr>
          <w:rFonts w:eastAsia="宋体"/>
          <w:color w:val="993366"/>
        </w:rPr>
        <w:t>NULL</w:t>
      </w:r>
      <w:r w:rsidRPr="00FA0D37">
        <w:rPr>
          <w:rFonts w:eastAsia="宋体"/>
        </w:rPr>
        <w:t xml:space="preserve">, spare1 </w:t>
      </w:r>
      <w:r w:rsidRPr="00FA0D37">
        <w:rPr>
          <w:rFonts w:eastAsia="宋体"/>
          <w:color w:val="993366"/>
        </w:rPr>
        <w:t>NULL</w:t>
      </w:r>
    </w:p>
    <w:p w14:paraId="207D7A99" w14:textId="77777777" w:rsidR="00394471" w:rsidRPr="00FA0D37" w:rsidRDefault="00394471" w:rsidP="00FA0D37">
      <w:pPr>
        <w:pStyle w:val="PL"/>
        <w:rPr>
          <w:rFonts w:eastAsia="宋体"/>
        </w:rPr>
      </w:pPr>
      <w:r w:rsidRPr="00FA0D37">
        <w:rPr>
          <w:rFonts w:eastAsia="宋体"/>
        </w:rPr>
        <w:t xml:space="preserve">        },</w:t>
      </w:r>
    </w:p>
    <w:p w14:paraId="08D4F323" w14:textId="77777777" w:rsidR="00394471" w:rsidRPr="00FA0D37" w:rsidRDefault="00394471" w:rsidP="00FA0D37">
      <w:pPr>
        <w:pStyle w:val="PL"/>
        <w:rPr>
          <w:rFonts w:eastAsia="宋体"/>
        </w:rPr>
      </w:pPr>
      <w:r w:rsidRPr="00FA0D37">
        <w:rPr>
          <w:rFonts w:eastAsia="宋体"/>
        </w:rPr>
        <w:t xml:space="preserve">        criticalExtensionsFuture                </w:t>
      </w:r>
      <w:r w:rsidRPr="00FA0D37">
        <w:t xml:space="preserve">     </w:t>
      </w:r>
      <w:r w:rsidRPr="00FA0D37">
        <w:rPr>
          <w:rFonts w:eastAsia="宋体"/>
          <w:color w:val="993366"/>
        </w:rPr>
        <w:t>SEQUENCE</w:t>
      </w:r>
      <w:r w:rsidRPr="00FA0D37">
        <w:rPr>
          <w:rFonts w:eastAsia="宋体"/>
        </w:rPr>
        <w:t xml:space="preserve"> {}</w:t>
      </w:r>
    </w:p>
    <w:p w14:paraId="6C8037FD" w14:textId="77777777" w:rsidR="00394471" w:rsidRPr="00FA0D37" w:rsidRDefault="00394471" w:rsidP="00FA0D37">
      <w:pPr>
        <w:pStyle w:val="PL"/>
        <w:rPr>
          <w:rFonts w:eastAsia="宋体"/>
        </w:rPr>
      </w:pPr>
      <w:r w:rsidRPr="00FA0D37">
        <w:rPr>
          <w:rFonts w:eastAsia="宋体"/>
        </w:rPr>
        <w:t xml:space="preserve">    }</w:t>
      </w:r>
    </w:p>
    <w:p w14:paraId="0DF0E08C" w14:textId="77777777" w:rsidR="00394471" w:rsidRPr="00FA0D37" w:rsidRDefault="00394471" w:rsidP="00FA0D37">
      <w:pPr>
        <w:pStyle w:val="PL"/>
        <w:rPr>
          <w:rFonts w:eastAsia="宋体"/>
        </w:rPr>
      </w:pPr>
      <w:r w:rsidRPr="00FA0D37">
        <w:rPr>
          <w:rFonts w:eastAsia="宋体"/>
        </w:rPr>
        <w:t>}</w:t>
      </w:r>
    </w:p>
    <w:p w14:paraId="6CE3033E" w14:textId="77777777" w:rsidR="00394471" w:rsidRPr="00FA0D37" w:rsidRDefault="00394471" w:rsidP="00FA0D37">
      <w:pPr>
        <w:pStyle w:val="PL"/>
        <w:rPr>
          <w:rFonts w:eastAsia="宋体"/>
        </w:rPr>
      </w:pPr>
    </w:p>
    <w:p w14:paraId="5C005E0E" w14:textId="77777777" w:rsidR="00394471" w:rsidRPr="00FA0D37" w:rsidRDefault="00394471" w:rsidP="00FA0D37">
      <w:pPr>
        <w:pStyle w:val="PL"/>
        <w:rPr>
          <w:rFonts w:eastAsia="宋体"/>
        </w:rPr>
      </w:pPr>
      <w:r w:rsidRPr="00FA0D37">
        <w:rPr>
          <w:rFonts w:eastAsia="宋体"/>
        </w:rPr>
        <w:t>ULInformationTransferIRAT-r16-IEs ::=</w:t>
      </w:r>
      <w:r w:rsidRPr="00FA0D37">
        <w:t xml:space="preserve">        </w:t>
      </w:r>
      <w:r w:rsidRPr="00FA0D37">
        <w:rPr>
          <w:rFonts w:eastAsia="宋体"/>
          <w:color w:val="993366"/>
        </w:rPr>
        <w:t>SEQUENCE</w:t>
      </w:r>
      <w:r w:rsidRPr="00FA0D37">
        <w:rPr>
          <w:rFonts w:eastAsia="宋体"/>
        </w:rPr>
        <w:t xml:space="preserve"> {</w:t>
      </w:r>
    </w:p>
    <w:p w14:paraId="152514BB" w14:textId="77777777" w:rsidR="00394471" w:rsidRPr="00FA0D37" w:rsidRDefault="00394471" w:rsidP="00FA0D37">
      <w:pPr>
        <w:pStyle w:val="PL"/>
        <w:rPr>
          <w:rFonts w:eastAsia="宋体"/>
        </w:rPr>
      </w:pPr>
      <w:r w:rsidRPr="00FA0D37">
        <w:rPr>
          <w:rFonts w:eastAsia="宋体"/>
        </w:rPr>
        <w:t xml:space="preserve">    ul-DCCH-MessageEUTRA-r16               </w:t>
      </w:r>
      <w:r w:rsidRPr="00FA0D37">
        <w:t xml:space="preserve">    </w:t>
      </w:r>
      <w:r w:rsidRPr="00FA0D37">
        <w:rPr>
          <w:rFonts w:eastAsia="宋体"/>
        </w:rPr>
        <w:t xml:space="preserve">        </w:t>
      </w:r>
      <w:r w:rsidRPr="00FA0D37">
        <w:rPr>
          <w:rFonts w:eastAsia="宋体"/>
          <w:color w:val="993366"/>
        </w:rPr>
        <w:t>OCTET</w:t>
      </w:r>
      <w:r w:rsidRPr="00FA0D37">
        <w:rPr>
          <w:rFonts w:eastAsia="宋体"/>
        </w:rPr>
        <w:t xml:space="preserve"> </w:t>
      </w:r>
      <w:r w:rsidRPr="00FA0D37">
        <w:rPr>
          <w:rFonts w:eastAsia="宋体"/>
          <w:color w:val="993366"/>
        </w:rPr>
        <w:t>STRING</w:t>
      </w:r>
      <w:r w:rsidRPr="00FA0D37">
        <w:rPr>
          <w:rFonts w:eastAsia="宋体"/>
        </w:rPr>
        <w:t xml:space="preserve">       </w:t>
      </w:r>
      <w:r w:rsidRPr="00FA0D37">
        <w:t xml:space="preserve">    </w:t>
      </w:r>
      <w:r w:rsidRPr="00FA0D37">
        <w:rPr>
          <w:rFonts w:eastAsia="宋体"/>
        </w:rPr>
        <w:t xml:space="preserve">  </w:t>
      </w:r>
      <w:r w:rsidRPr="00FA0D37">
        <w:rPr>
          <w:rFonts w:eastAsia="宋体"/>
          <w:color w:val="993366"/>
        </w:rPr>
        <w:t>OPTIONAL</w:t>
      </w:r>
      <w:r w:rsidRPr="00FA0D37">
        <w:rPr>
          <w:rFonts w:eastAsia="宋体"/>
        </w:rPr>
        <w:t>,</w:t>
      </w:r>
    </w:p>
    <w:p w14:paraId="4A991503" w14:textId="77777777" w:rsidR="00394471" w:rsidRPr="00FA0D37" w:rsidRDefault="00394471" w:rsidP="00FA0D37">
      <w:pPr>
        <w:pStyle w:val="PL"/>
        <w:rPr>
          <w:rFonts w:eastAsia="宋体"/>
        </w:rPr>
      </w:pPr>
      <w:r w:rsidRPr="00FA0D37">
        <w:rPr>
          <w:rFonts w:eastAsia="宋体"/>
        </w:rPr>
        <w:t xml:space="preserve">    lateNonCriticalExtension                </w:t>
      </w:r>
      <w:r w:rsidRPr="00FA0D37">
        <w:t xml:space="preserve">    </w:t>
      </w:r>
      <w:r w:rsidRPr="00FA0D37">
        <w:rPr>
          <w:rFonts w:eastAsia="宋体"/>
        </w:rPr>
        <w:t xml:space="preserve">       </w:t>
      </w:r>
      <w:r w:rsidRPr="00FA0D37">
        <w:rPr>
          <w:rFonts w:eastAsia="宋体"/>
          <w:color w:val="993366"/>
        </w:rPr>
        <w:t>OCTET</w:t>
      </w:r>
      <w:r w:rsidRPr="00FA0D37">
        <w:rPr>
          <w:rFonts w:eastAsia="宋体"/>
        </w:rPr>
        <w:t xml:space="preserve"> </w:t>
      </w:r>
      <w:r w:rsidRPr="00FA0D37">
        <w:rPr>
          <w:rFonts w:eastAsia="宋体"/>
          <w:color w:val="993366"/>
        </w:rPr>
        <w:t>STRING</w:t>
      </w:r>
      <w:r w:rsidRPr="00FA0D37">
        <w:rPr>
          <w:rFonts w:eastAsia="宋体"/>
        </w:rPr>
        <w:t xml:space="preserve">              </w:t>
      </w:r>
      <w:r w:rsidRPr="00FA0D37">
        <w:rPr>
          <w:rFonts w:eastAsia="宋体"/>
          <w:color w:val="993366"/>
        </w:rPr>
        <w:t>OPTIONAL</w:t>
      </w:r>
      <w:r w:rsidRPr="00FA0D37">
        <w:rPr>
          <w:rFonts w:eastAsia="宋体"/>
        </w:rPr>
        <w:t>,</w:t>
      </w:r>
    </w:p>
    <w:p w14:paraId="6DC7EE14" w14:textId="07FB0365" w:rsidR="00394471" w:rsidRPr="00FA0D37" w:rsidRDefault="00394471" w:rsidP="00FA0D37">
      <w:pPr>
        <w:pStyle w:val="PL"/>
        <w:rPr>
          <w:rFonts w:eastAsia="宋体"/>
        </w:rPr>
      </w:pPr>
      <w:r w:rsidRPr="00FA0D37">
        <w:rPr>
          <w:rFonts w:eastAsia="宋体"/>
        </w:rPr>
        <w:t xml:space="preserve">    nonCriticalExtension                    </w:t>
      </w:r>
      <w:r w:rsidRPr="00FA0D37">
        <w:t xml:space="preserve">    </w:t>
      </w:r>
      <w:r w:rsidRPr="00FA0D37">
        <w:rPr>
          <w:rFonts w:eastAsia="宋体"/>
        </w:rPr>
        <w:t xml:space="preserve">        </w:t>
      </w:r>
      <w:r w:rsidRPr="00FA0D37">
        <w:rPr>
          <w:rFonts w:eastAsia="宋体"/>
          <w:color w:val="993366"/>
        </w:rPr>
        <w:t>SEQUENCE</w:t>
      </w:r>
      <w:r w:rsidRPr="00FA0D37">
        <w:rPr>
          <w:rFonts w:eastAsia="宋体"/>
        </w:rPr>
        <w:t xml:space="preserve"> {}               </w:t>
      </w:r>
      <w:r w:rsidRPr="00FA0D37">
        <w:rPr>
          <w:rFonts w:eastAsia="宋体"/>
          <w:color w:val="993366"/>
        </w:rPr>
        <w:t>OPTIONAL</w:t>
      </w:r>
    </w:p>
    <w:p w14:paraId="2A0554E0" w14:textId="77777777" w:rsidR="00394471" w:rsidRPr="00FA0D37" w:rsidRDefault="00394471" w:rsidP="00FA0D37">
      <w:pPr>
        <w:pStyle w:val="PL"/>
        <w:rPr>
          <w:rFonts w:eastAsia="宋体"/>
        </w:rPr>
      </w:pPr>
      <w:r w:rsidRPr="00FA0D37">
        <w:rPr>
          <w:rFonts w:eastAsia="宋体"/>
        </w:rPr>
        <w:t>}</w:t>
      </w:r>
    </w:p>
    <w:p w14:paraId="2995E686" w14:textId="77777777" w:rsidR="00394471" w:rsidRPr="00FA0D37" w:rsidRDefault="00394471" w:rsidP="00FA0D37">
      <w:pPr>
        <w:pStyle w:val="PL"/>
        <w:rPr>
          <w:rFonts w:eastAsia="宋体"/>
        </w:rPr>
      </w:pPr>
    </w:p>
    <w:p w14:paraId="76B971A7" w14:textId="77777777" w:rsidR="00394471" w:rsidRPr="00FA0D37" w:rsidRDefault="00394471" w:rsidP="00FA0D37">
      <w:pPr>
        <w:pStyle w:val="PL"/>
        <w:rPr>
          <w:color w:val="808080"/>
        </w:rPr>
      </w:pPr>
      <w:r w:rsidRPr="00FA0D37">
        <w:rPr>
          <w:color w:val="808080"/>
        </w:rPr>
        <w:t>-- TAG-ULINFORMATIONTRANSFERIRAT-STOP</w:t>
      </w:r>
    </w:p>
    <w:p w14:paraId="4349FEBE" w14:textId="77777777" w:rsidR="00394471" w:rsidRPr="00FA0D37" w:rsidRDefault="00394471" w:rsidP="00FA0D37">
      <w:pPr>
        <w:pStyle w:val="PL"/>
        <w:rPr>
          <w:rFonts w:eastAsia="宋体"/>
          <w:color w:val="808080"/>
        </w:rPr>
      </w:pPr>
      <w:r w:rsidRPr="00FA0D37">
        <w:rPr>
          <w:rFonts w:eastAsia="宋体"/>
          <w:color w:val="808080"/>
        </w:rPr>
        <w:t>-- ASN1STOP</w:t>
      </w:r>
    </w:p>
    <w:p w14:paraId="08BE883B" w14:textId="77777777" w:rsidR="00394471" w:rsidRPr="00FA0D37" w:rsidRDefault="00394471" w:rsidP="00394471">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5C7FF4" w:rsidRPr="00FA0D37" w14:paraId="2728E7AB" w14:textId="77777777" w:rsidTr="00964CC4">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107D04AC" w14:textId="77777777" w:rsidR="00394471" w:rsidRPr="00FA0D37" w:rsidRDefault="00394471" w:rsidP="00964CC4">
            <w:pPr>
              <w:pStyle w:val="TAH"/>
              <w:rPr>
                <w:rFonts w:eastAsia="宋体"/>
                <w:lang w:eastAsia="en-GB"/>
              </w:rPr>
            </w:pPr>
            <w:r w:rsidRPr="00FA0D37">
              <w:rPr>
                <w:rFonts w:eastAsia="宋体"/>
                <w:i/>
                <w:iCs/>
                <w:noProof/>
                <w:lang w:eastAsia="en-GB"/>
              </w:rPr>
              <w:lastRenderedPageBreak/>
              <w:t>ULInformationTransferIRAT</w:t>
            </w:r>
            <w:r w:rsidRPr="00FA0D37">
              <w:rPr>
                <w:rFonts w:eastAsia="宋体"/>
                <w:iCs/>
                <w:noProof/>
                <w:lang w:eastAsia="en-GB"/>
              </w:rPr>
              <w:t xml:space="preserve"> field descriptions</w:t>
            </w:r>
          </w:p>
        </w:tc>
      </w:tr>
      <w:tr w:rsidR="00394471" w:rsidRPr="00FA0D37" w14:paraId="2899C060" w14:textId="77777777" w:rsidTr="00964CC4">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674C52E6" w14:textId="77777777" w:rsidR="00394471" w:rsidRPr="00FA0D37" w:rsidRDefault="00394471" w:rsidP="00964CC4">
            <w:pPr>
              <w:pStyle w:val="TAL"/>
              <w:rPr>
                <w:rFonts w:eastAsia="宋体"/>
                <w:b/>
                <w:bCs/>
                <w:i/>
                <w:iCs/>
                <w:noProof/>
                <w:lang w:eastAsia="en-GB"/>
              </w:rPr>
            </w:pPr>
            <w:r w:rsidRPr="00FA0D37">
              <w:rPr>
                <w:rFonts w:eastAsia="宋体"/>
                <w:b/>
                <w:bCs/>
                <w:i/>
                <w:iCs/>
                <w:noProof/>
                <w:lang w:eastAsia="en-GB"/>
              </w:rPr>
              <w:t>ul-DCCH-MessageEUTRA</w:t>
            </w:r>
          </w:p>
          <w:p w14:paraId="76154234" w14:textId="77777777" w:rsidR="00394471" w:rsidRPr="00FA0D37" w:rsidRDefault="00394471" w:rsidP="00964CC4">
            <w:pPr>
              <w:pStyle w:val="TAL"/>
              <w:rPr>
                <w:rFonts w:eastAsia="宋体"/>
                <w:noProof/>
                <w:lang w:eastAsia="en-GB"/>
              </w:rPr>
            </w:pPr>
            <w:r w:rsidRPr="00FA0D37">
              <w:rPr>
                <w:rFonts w:eastAsia="宋体"/>
                <w:noProof/>
                <w:lang w:eastAsia="en-GB"/>
              </w:rPr>
              <w:t xml:space="preserve">Includes the </w:t>
            </w:r>
            <w:r w:rsidRPr="00FA0D37">
              <w:rPr>
                <w:rFonts w:eastAsia="宋体"/>
                <w:i/>
                <w:iCs/>
                <w:noProof/>
                <w:lang w:eastAsia="en-GB"/>
              </w:rPr>
              <w:t>UL-DCCH-Message</w:t>
            </w:r>
            <w:r w:rsidRPr="00FA0D37">
              <w:rPr>
                <w:rFonts w:eastAsia="宋体"/>
                <w:noProof/>
                <w:lang w:eastAsia="en-GB"/>
              </w:rPr>
              <w:t xml:space="preserve"> as defined in TS 36.331 [</w:t>
            </w:r>
            <w:r w:rsidRPr="00FA0D37">
              <w:rPr>
                <w:rFonts w:eastAsia="MS Mincho"/>
              </w:rPr>
              <w:t>10</w:t>
            </w:r>
            <w:r w:rsidRPr="00FA0D37">
              <w:rPr>
                <w:rFonts w:eastAsia="宋体"/>
                <w:noProof/>
                <w:lang w:eastAsia="en-GB"/>
              </w:rPr>
              <w:t>].</w:t>
            </w:r>
            <w:r w:rsidRPr="00FA0D37">
              <w:rPr>
                <w:rFonts w:eastAsia="宋体"/>
                <w:lang w:eastAsia="zh-CN"/>
              </w:rPr>
              <w:t xml:space="preserve"> In this version of the specification, the field is only used to transfer the E-UTRA RRC </w:t>
            </w:r>
            <w:r w:rsidRPr="00FA0D37">
              <w:rPr>
                <w:rFonts w:eastAsia="宋体"/>
                <w:i/>
                <w:lang w:eastAsia="zh-CN"/>
              </w:rPr>
              <w:t>MeasurementReport</w:t>
            </w:r>
            <w:r w:rsidRPr="00FA0D37">
              <w:rPr>
                <w:rFonts w:eastAsia="宋体"/>
                <w:lang w:eastAsia="zh-CN"/>
              </w:rPr>
              <w:t xml:space="preserve">, E-UTRA RRC </w:t>
            </w:r>
            <w:r w:rsidRPr="00FA0D37">
              <w:rPr>
                <w:rFonts w:eastAsia="宋体"/>
                <w:i/>
                <w:lang w:eastAsia="zh-CN"/>
              </w:rPr>
              <w:t>SidelinkUEInformation</w:t>
            </w:r>
            <w:r w:rsidRPr="00FA0D37">
              <w:rPr>
                <w:rFonts w:eastAsia="宋体"/>
                <w:lang w:eastAsia="zh-CN"/>
              </w:rPr>
              <w:t xml:space="preserve"> and the E-UTRA RRC </w:t>
            </w:r>
            <w:r w:rsidRPr="00FA0D37">
              <w:rPr>
                <w:rFonts w:eastAsia="宋体"/>
                <w:i/>
                <w:lang w:eastAsia="zh-CN"/>
              </w:rPr>
              <w:t>UEAssistanceInformation messages</w:t>
            </w:r>
            <w:r w:rsidRPr="00FA0D37">
              <w:rPr>
                <w:rFonts w:eastAsia="宋体"/>
                <w:bCs/>
                <w:noProof/>
                <w:kern w:val="2"/>
                <w:lang w:eastAsia="zh-CN"/>
              </w:rPr>
              <w:t>.</w:t>
            </w:r>
          </w:p>
        </w:tc>
      </w:tr>
    </w:tbl>
    <w:p w14:paraId="2D75E38A" w14:textId="77777777" w:rsidR="00394471" w:rsidRPr="00FA0D37" w:rsidRDefault="00394471" w:rsidP="00394471">
      <w:pPr>
        <w:rPr>
          <w:noProof/>
        </w:rPr>
      </w:pPr>
    </w:p>
    <w:p w14:paraId="1EA6F59C" w14:textId="77777777" w:rsidR="00394471" w:rsidRPr="00FA0D37" w:rsidRDefault="00394471" w:rsidP="00394471">
      <w:pPr>
        <w:pStyle w:val="4"/>
        <w:rPr>
          <w:i/>
          <w:iCs/>
        </w:rPr>
      </w:pPr>
      <w:bookmarkStart w:id="747" w:name="_Toc60777136"/>
      <w:bookmarkStart w:id="748" w:name="_Toc146781174"/>
      <w:r w:rsidRPr="00FA0D37">
        <w:rPr>
          <w:i/>
          <w:iCs/>
        </w:rPr>
        <w:t>–</w:t>
      </w:r>
      <w:r w:rsidRPr="00FA0D37">
        <w:rPr>
          <w:i/>
          <w:iCs/>
        </w:rPr>
        <w:tab/>
      </w:r>
      <w:r w:rsidRPr="00FA0D37">
        <w:rPr>
          <w:i/>
          <w:iCs/>
          <w:noProof/>
        </w:rPr>
        <w:t>ULInformationTransferMRDC</w:t>
      </w:r>
      <w:bookmarkEnd w:id="747"/>
      <w:bookmarkEnd w:id="748"/>
    </w:p>
    <w:p w14:paraId="0629184C" w14:textId="35D25BD0" w:rsidR="00394471" w:rsidRPr="00FA0D37" w:rsidRDefault="00394471" w:rsidP="00394471">
      <w:r w:rsidRPr="00FA0D37">
        <w:t xml:space="preserve">The </w:t>
      </w:r>
      <w:r w:rsidRPr="00FA0D37">
        <w:rPr>
          <w:i/>
          <w:noProof/>
        </w:rPr>
        <w:t>ULInformationTransferMRDC</w:t>
      </w:r>
      <w:r w:rsidRPr="00FA0D37">
        <w:t xml:space="preserve"> message is used for the uplink transfer of MR-DC dedicated information (e.g. for transferring the NR or E-UTRA RRC </w:t>
      </w:r>
      <w:r w:rsidRPr="00FA0D37">
        <w:rPr>
          <w:i/>
        </w:rPr>
        <w:t>MeasurementReport</w:t>
      </w:r>
      <w:r w:rsidRPr="00FA0D37">
        <w:t xml:space="preserve"> message, the </w:t>
      </w:r>
      <w:r w:rsidRPr="00FA0D37">
        <w:rPr>
          <w:i/>
        </w:rPr>
        <w:t>FailureInformation</w:t>
      </w:r>
      <w:r w:rsidRPr="00FA0D37">
        <w:t xml:space="preserve"> message, the </w:t>
      </w:r>
      <w:r w:rsidRPr="00FA0D37">
        <w:rPr>
          <w:i/>
        </w:rPr>
        <w:t>UEAssistanceInformation</w:t>
      </w:r>
      <w:r w:rsidRPr="00FA0D37">
        <w:t xml:space="preserve"> message, the </w:t>
      </w:r>
      <w:r w:rsidRPr="00FA0D37">
        <w:rPr>
          <w:i/>
          <w:lang w:eastAsia="zh-CN"/>
        </w:rPr>
        <w:t xml:space="preserve">RRCReconfigurationComplete </w:t>
      </w:r>
      <w:r w:rsidRPr="00FA0D37">
        <w:rPr>
          <w:lang w:eastAsia="zh-CN"/>
        </w:rPr>
        <w:t>message</w:t>
      </w:r>
      <w:r w:rsidR="00B822E7" w:rsidRPr="00FA0D37">
        <w:rPr>
          <w:lang w:eastAsia="zh-CN"/>
        </w:rPr>
        <w:t xml:space="preserve">, the </w:t>
      </w:r>
      <w:r w:rsidR="00B822E7" w:rsidRPr="00FA0D37">
        <w:rPr>
          <w:i/>
          <w:lang w:eastAsia="zh-CN"/>
        </w:rPr>
        <w:t>IABOtherInformation</w:t>
      </w:r>
      <w:r w:rsidR="00B822E7" w:rsidRPr="00FA0D37">
        <w:rPr>
          <w:lang w:eastAsia="zh-CN"/>
        </w:rPr>
        <w:t xml:space="preserve"> message</w:t>
      </w:r>
      <w:r w:rsidRPr="00FA0D37">
        <w:rPr>
          <w:lang w:eastAsia="zh-CN"/>
        </w:rPr>
        <w:t xml:space="preserve"> </w:t>
      </w:r>
      <w:r w:rsidRPr="00FA0D37">
        <w:t xml:space="preserve">or the </w:t>
      </w:r>
      <w:r w:rsidR="00CC2C66" w:rsidRPr="00FA0D37">
        <w:t>NR or E-UTRA RRC</w:t>
      </w:r>
      <w:r w:rsidR="00CC2C66" w:rsidRPr="00FA0D37">
        <w:rPr>
          <w:i/>
        </w:rPr>
        <w:t xml:space="preserve"> </w:t>
      </w:r>
      <w:r w:rsidRPr="00FA0D37">
        <w:rPr>
          <w:i/>
        </w:rPr>
        <w:t>MCGFailureInformation</w:t>
      </w:r>
      <w:r w:rsidRPr="00FA0D37">
        <w:t xml:space="preserve"> message).</w:t>
      </w:r>
    </w:p>
    <w:p w14:paraId="7195DF0B" w14:textId="77777777" w:rsidR="00394471" w:rsidRPr="00FA0D37" w:rsidRDefault="00394471" w:rsidP="00394471">
      <w:pPr>
        <w:pStyle w:val="B1"/>
      </w:pPr>
      <w:r w:rsidRPr="00FA0D37">
        <w:t>Signalling radio bearer: SRB1, SRB3</w:t>
      </w:r>
    </w:p>
    <w:p w14:paraId="1D9A951F" w14:textId="77777777" w:rsidR="00394471" w:rsidRPr="00FA0D37" w:rsidRDefault="00394471" w:rsidP="00394471">
      <w:pPr>
        <w:pStyle w:val="B1"/>
      </w:pPr>
      <w:r w:rsidRPr="00FA0D37">
        <w:t>RLC-SAP: AM</w:t>
      </w:r>
    </w:p>
    <w:p w14:paraId="4E577DEF" w14:textId="77777777" w:rsidR="00394471" w:rsidRPr="00FA0D37" w:rsidRDefault="00394471" w:rsidP="00394471">
      <w:pPr>
        <w:pStyle w:val="B1"/>
      </w:pPr>
      <w:r w:rsidRPr="00FA0D37">
        <w:t>Logical channel: DCCH</w:t>
      </w:r>
    </w:p>
    <w:p w14:paraId="0D871218" w14:textId="77777777" w:rsidR="00394471" w:rsidRPr="00FA0D37" w:rsidRDefault="00394471" w:rsidP="00394471">
      <w:pPr>
        <w:pStyle w:val="B1"/>
      </w:pPr>
      <w:r w:rsidRPr="00FA0D37">
        <w:t>Direction: UE to Network</w:t>
      </w:r>
    </w:p>
    <w:p w14:paraId="11CDD526" w14:textId="77777777" w:rsidR="00394471" w:rsidRPr="00FA0D37" w:rsidRDefault="00394471" w:rsidP="00394471">
      <w:pPr>
        <w:pStyle w:val="TH"/>
        <w:rPr>
          <w:rFonts w:cs="Arial"/>
          <w:bCs/>
          <w:i/>
          <w:iCs/>
        </w:rPr>
      </w:pPr>
      <w:r w:rsidRPr="00FA0D37">
        <w:rPr>
          <w:bCs/>
          <w:i/>
          <w:iCs/>
        </w:rPr>
        <w:t>ULInformationTransferMRDC</w:t>
      </w:r>
      <w:r w:rsidRPr="00FA0D37">
        <w:rPr>
          <w:rFonts w:cs="Arial"/>
          <w:bCs/>
          <w:i/>
          <w:iCs/>
          <w:noProof/>
        </w:rPr>
        <w:t xml:space="preserve"> message</w:t>
      </w:r>
    </w:p>
    <w:p w14:paraId="2076CFA6" w14:textId="77777777" w:rsidR="00394471" w:rsidRPr="00FA0D37" w:rsidRDefault="00394471" w:rsidP="00FA0D37">
      <w:pPr>
        <w:pStyle w:val="PL"/>
        <w:rPr>
          <w:color w:val="808080"/>
        </w:rPr>
      </w:pPr>
      <w:r w:rsidRPr="00FA0D37">
        <w:rPr>
          <w:color w:val="808080"/>
        </w:rPr>
        <w:t>-- ASN1START</w:t>
      </w:r>
    </w:p>
    <w:p w14:paraId="0908D9AB" w14:textId="77777777" w:rsidR="00394471" w:rsidRPr="00FA0D37" w:rsidRDefault="00394471" w:rsidP="00FA0D37">
      <w:pPr>
        <w:pStyle w:val="PL"/>
        <w:rPr>
          <w:color w:val="808080"/>
        </w:rPr>
      </w:pPr>
      <w:r w:rsidRPr="00FA0D37">
        <w:rPr>
          <w:color w:val="808080"/>
        </w:rPr>
        <w:t>-- TAG-ULINFORMATIONTRANSFERMRDC-START</w:t>
      </w:r>
    </w:p>
    <w:p w14:paraId="339317BD" w14:textId="77777777" w:rsidR="00394471" w:rsidRPr="00FA0D37" w:rsidRDefault="00394471" w:rsidP="00FA0D37">
      <w:pPr>
        <w:pStyle w:val="PL"/>
      </w:pPr>
    </w:p>
    <w:p w14:paraId="2D02845B" w14:textId="77777777" w:rsidR="00394471" w:rsidRPr="00FA0D37" w:rsidRDefault="00394471" w:rsidP="00FA0D37">
      <w:pPr>
        <w:pStyle w:val="PL"/>
      </w:pPr>
      <w:r w:rsidRPr="00FA0D37">
        <w:t xml:space="preserve">ULInformationTransferMRDC ::=               </w:t>
      </w:r>
      <w:r w:rsidRPr="00FA0D37">
        <w:rPr>
          <w:color w:val="993366"/>
        </w:rPr>
        <w:t>SEQUENCE</w:t>
      </w:r>
      <w:r w:rsidRPr="00FA0D37">
        <w:t xml:space="preserve"> {</w:t>
      </w:r>
    </w:p>
    <w:p w14:paraId="549C509A"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0BCD10F8"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5510B895" w14:textId="77777777" w:rsidR="00394471" w:rsidRPr="00FA0D37" w:rsidRDefault="00394471" w:rsidP="00FA0D37">
      <w:pPr>
        <w:pStyle w:val="PL"/>
      </w:pPr>
      <w:r w:rsidRPr="00FA0D37">
        <w:t xml:space="preserve">            ulInformationTransferMRDC                   ULInformationTransferMRDC-IEs,</w:t>
      </w:r>
    </w:p>
    <w:p w14:paraId="7D8618B2" w14:textId="77777777" w:rsidR="00394471" w:rsidRPr="00FA0D37" w:rsidRDefault="00394471" w:rsidP="00FA0D37">
      <w:pPr>
        <w:pStyle w:val="PL"/>
      </w:pPr>
      <w:r w:rsidRPr="00FA0D37">
        <w:t xml:space="preserve">            spare3 </w:t>
      </w:r>
      <w:r w:rsidRPr="00FA0D37">
        <w:rPr>
          <w:color w:val="993366"/>
        </w:rPr>
        <w:t>NULL</w:t>
      </w:r>
      <w:r w:rsidRPr="00FA0D37">
        <w:t xml:space="preserve">, spare2 </w:t>
      </w:r>
      <w:r w:rsidRPr="00FA0D37">
        <w:rPr>
          <w:color w:val="993366"/>
        </w:rPr>
        <w:t>NULL</w:t>
      </w:r>
      <w:r w:rsidRPr="00FA0D37">
        <w:t xml:space="preserve">, spare1 </w:t>
      </w:r>
      <w:r w:rsidRPr="00FA0D37">
        <w:rPr>
          <w:color w:val="993366"/>
        </w:rPr>
        <w:t>NULL</w:t>
      </w:r>
    </w:p>
    <w:p w14:paraId="1C6E6C70" w14:textId="77777777" w:rsidR="00394471" w:rsidRPr="00FA0D37" w:rsidRDefault="00394471" w:rsidP="00FA0D37">
      <w:pPr>
        <w:pStyle w:val="PL"/>
      </w:pPr>
      <w:r w:rsidRPr="00FA0D37">
        <w:t xml:space="preserve">        },</w:t>
      </w:r>
    </w:p>
    <w:p w14:paraId="5342BD42"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42636C23" w14:textId="77777777" w:rsidR="00394471" w:rsidRPr="00FA0D37" w:rsidRDefault="00394471" w:rsidP="00FA0D37">
      <w:pPr>
        <w:pStyle w:val="PL"/>
      </w:pPr>
      <w:r w:rsidRPr="00FA0D37">
        <w:t xml:space="preserve">    }</w:t>
      </w:r>
    </w:p>
    <w:p w14:paraId="7B38486A" w14:textId="77777777" w:rsidR="00394471" w:rsidRPr="00FA0D37" w:rsidRDefault="00394471" w:rsidP="00FA0D37">
      <w:pPr>
        <w:pStyle w:val="PL"/>
      </w:pPr>
      <w:r w:rsidRPr="00FA0D37">
        <w:t>}</w:t>
      </w:r>
    </w:p>
    <w:p w14:paraId="393EF236" w14:textId="77777777" w:rsidR="00394471" w:rsidRPr="00FA0D37" w:rsidRDefault="00394471" w:rsidP="00FA0D37">
      <w:pPr>
        <w:pStyle w:val="PL"/>
      </w:pPr>
    </w:p>
    <w:p w14:paraId="3EDEC414" w14:textId="77777777" w:rsidR="00394471" w:rsidRPr="00FA0D37" w:rsidRDefault="00394471" w:rsidP="00FA0D37">
      <w:pPr>
        <w:pStyle w:val="PL"/>
      </w:pPr>
      <w:r w:rsidRPr="00FA0D37">
        <w:t xml:space="preserve">ULInformationTransferMRDC-IEs::=           </w:t>
      </w:r>
      <w:r w:rsidRPr="00FA0D37">
        <w:rPr>
          <w:color w:val="993366"/>
        </w:rPr>
        <w:t>SEQUENCE</w:t>
      </w:r>
      <w:r w:rsidRPr="00FA0D37">
        <w:t xml:space="preserve"> {</w:t>
      </w:r>
    </w:p>
    <w:p w14:paraId="03151188" w14:textId="77777777" w:rsidR="00394471" w:rsidRPr="00FA0D37" w:rsidRDefault="00394471" w:rsidP="00FA0D37">
      <w:pPr>
        <w:pStyle w:val="PL"/>
      </w:pPr>
      <w:r w:rsidRPr="00FA0D37">
        <w:t xml:space="preserve">    ul-DCCH-MessageNR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A4E2ED9" w14:textId="77777777" w:rsidR="00394471" w:rsidRPr="00FA0D37" w:rsidRDefault="00394471" w:rsidP="00FA0D37">
      <w:pPr>
        <w:pStyle w:val="PL"/>
      </w:pPr>
      <w:r w:rsidRPr="00FA0D37">
        <w:t xml:space="preserve">    ul-DCCH-MessageEUTRA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04682DA1"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BAB2818"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602DF9CF" w14:textId="77777777" w:rsidR="00394471" w:rsidRPr="00FA0D37" w:rsidRDefault="00394471" w:rsidP="00FA0D37">
      <w:pPr>
        <w:pStyle w:val="PL"/>
      </w:pPr>
      <w:r w:rsidRPr="00FA0D37">
        <w:t>}</w:t>
      </w:r>
    </w:p>
    <w:p w14:paraId="5ED552EA" w14:textId="77777777" w:rsidR="00394471" w:rsidRPr="00FA0D37" w:rsidRDefault="00394471" w:rsidP="00FA0D37">
      <w:pPr>
        <w:pStyle w:val="PL"/>
      </w:pPr>
    </w:p>
    <w:p w14:paraId="38DAB73F" w14:textId="77777777" w:rsidR="00394471" w:rsidRPr="00FA0D37" w:rsidRDefault="00394471" w:rsidP="00FA0D37">
      <w:pPr>
        <w:pStyle w:val="PL"/>
        <w:rPr>
          <w:color w:val="808080"/>
        </w:rPr>
      </w:pPr>
      <w:r w:rsidRPr="00FA0D37">
        <w:rPr>
          <w:color w:val="808080"/>
        </w:rPr>
        <w:t>-- TAG-ULINFORMATIONTRANSFERMRDC-STOP</w:t>
      </w:r>
    </w:p>
    <w:p w14:paraId="39B4B65E" w14:textId="77777777" w:rsidR="00394471" w:rsidRPr="00FA0D37" w:rsidRDefault="00394471" w:rsidP="00FA0D37">
      <w:pPr>
        <w:pStyle w:val="PL"/>
        <w:rPr>
          <w:rFonts w:cs="Courier New"/>
          <w:color w:val="808080"/>
        </w:rPr>
      </w:pPr>
      <w:r w:rsidRPr="00FA0D37">
        <w:rPr>
          <w:color w:val="808080"/>
        </w:rPr>
        <w:t>-- ASN1STOP</w:t>
      </w:r>
    </w:p>
    <w:p w14:paraId="64C4FCC1" w14:textId="77777777" w:rsidR="00394471" w:rsidRPr="00FA0D3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3D602EA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4215253" w14:textId="77777777" w:rsidR="00394471" w:rsidRPr="00FA0D37" w:rsidRDefault="00394471" w:rsidP="00964CC4">
            <w:pPr>
              <w:pStyle w:val="TAH"/>
              <w:rPr>
                <w:lang w:eastAsia="en-GB"/>
              </w:rPr>
            </w:pPr>
            <w:r w:rsidRPr="00FA0D37">
              <w:rPr>
                <w:i/>
                <w:noProof/>
                <w:lang w:eastAsia="en-GB"/>
              </w:rPr>
              <w:lastRenderedPageBreak/>
              <w:t xml:space="preserve">ULInformationTransferMRDC </w:t>
            </w:r>
            <w:r w:rsidRPr="00FA0D37">
              <w:rPr>
                <w:iCs/>
                <w:noProof/>
                <w:lang w:eastAsia="en-GB"/>
              </w:rPr>
              <w:t>field descriptions</w:t>
            </w:r>
          </w:p>
        </w:tc>
      </w:tr>
      <w:tr w:rsidR="005C7FF4" w:rsidRPr="00FA0D37" w14:paraId="7F6C01A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EB1AFB" w14:textId="77777777" w:rsidR="00394471" w:rsidRPr="00FA0D37" w:rsidRDefault="00394471" w:rsidP="00964CC4">
            <w:pPr>
              <w:pStyle w:val="TAL"/>
              <w:rPr>
                <w:b/>
                <w:bCs/>
                <w:i/>
                <w:noProof/>
                <w:lang w:eastAsia="en-GB"/>
              </w:rPr>
            </w:pPr>
            <w:r w:rsidRPr="00FA0D37">
              <w:rPr>
                <w:b/>
                <w:bCs/>
                <w:i/>
                <w:noProof/>
                <w:lang w:eastAsia="en-GB"/>
              </w:rPr>
              <w:t>ul-DCCH-MessageNR</w:t>
            </w:r>
          </w:p>
          <w:p w14:paraId="2F76E640" w14:textId="60471B39" w:rsidR="00394471" w:rsidRPr="00FA0D37" w:rsidRDefault="00394471" w:rsidP="00964CC4">
            <w:pPr>
              <w:pStyle w:val="TAL"/>
              <w:rPr>
                <w:lang w:eastAsia="en-GB"/>
              </w:rPr>
            </w:pPr>
            <w:r w:rsidRPr="00FA0D37">
              <w:rPr>
                <w:lang w:eastAsia="en-GB"/>
              </w:rPr>
              <w:t xml:space="preserve">Includes the </w:t>
            </w:r>
            <w:r w:rsidRPr="00FA0D37">
              <w:rPr>
                <w:i/>
                <w:lang w:eastAsia="en-GB"/>
              </w:rPr>
              <w:t>UL-DCCH-Message</w:t>
            </w:r>
            <w:r w:rsidRPr="00FA0D37">
              <w:rPr>
                <w:lang w:eastAsia="en-GB"/>
              </w:rPr>
              <w:t xml:space="preserve">. In this version of the specification, the field is only used to transfer the NR RRC </w:t>
            </w:r>
            <w:r w:rsidRPr="00FA0D37">
              <w:rPr>
                <w:i/>
                <w:lang w:eastAsia="en-GB"/>
              </w:rPr>
              <w:t>MeasurementReport</w:t>
            </w:r>
            <w:r w:rsidRPr="00FA0D37">
              <w:rPr>
                <w:lang w:eastAsia="zh-CN"/>
              </w:rPr>
              <w:t>,</w:t>
            </w:r>
            <w:r w:rsidRPr="00FA0D37">
              <w:rPr>
                <w:i/>
                <w:lang w:eastAsia="zh-CN"/>
              </w:rPr>
              <w:t xml:space="preserve"> RRCReconfigurationComplete</w:t>
            </w:r>
            <w:r w:rsidRPr="00FA0D37">
              <w:rPr>
                <w:i/>
                <w:lang w:eastAsia="en-GB"/>
              </w:rPr>
              <w:t xml:space="preserve">, </w:t>
            </w:r>
            <w:r w:rsidRPr="00FA0D37">
              <w:rPr>
                <w:i/>
              </w:rPr>
              <w:t>UEAssistanceInformation</w:t>
            </w:r>
            <w:r w:rsidR="003B3F65" w:rsidRPr="00FA0D37">
              <w:rPr>
                <w:i/>
              </w:rPr>
              <w:t>,</w:t>
            </w:r>
            <w:r w:rsidRPr="00FA0D37">
              <w:rPr>
                <w:lang w:eastAsia="en-GB"/>
              </w:rPr>
              <w:t xml:space="preserve"> </w:t>
            </w:r>
            <w:r w:rsidRPr="00FA0D37">
              <w:rPr>
                <w:i/>
                <w:lang w:eastAsia="en-GB"/>
              </w:rPr>
              <w:t>FailureInformation</w:t>
            </w:r>
            <w:r w:rsidR="003B3F65" w:rsidRPr="00FA0D37">
              <w:rPr>
                <w:iCs/>
                <w:lang w:eastAsia="en-GB"/>
              </w:rPr>
              <w:t xml:space="preserve">, and </w:t>
            </w:r>
            <w:r w:rsidR="003B3F65" w:rsidRPr="00FA0D37">
              <w:rPr>
                <w:i/>
                <w:lang w:eastAsia="en-GB"/>
              </w:rPr>
              <w:t>IABOtherInformation</w:t>
            </w:r>
            <w:r w:rsidRPr="00FA0D37">
              <w:rPr>
                <w:lang w:eastAsia="en-GB"/>
              </w:rPr>
              <w:t xml:space="preserve"> messages when sent via SRB1 and to transfer the NR </w:t>
            </w:r>
            <w:r w:rsidRPr="00FA0D37">
              <w:rPr>
                <w:i/>
                <w:lang w:eastAsia="en-GB"/>
              </w:rPr>
              <w:t>MCGFailureInformation</w:t>
            </w:r>
            <w:r w:rsidRPr="00FA0D37">
              <w:rPr>
                <w:lang w:eastAsia="en-GB"/>
              </w:rPr>
              <w:t xml:space="preserve"> message when sent via SRB3.</w:t>
            </w:r>
          </w:p>
        </w:tc>
      </w:tr>
      <w:tr w:rsidR="00394471" w:rsidRPr="00FA0D37" w14:paraId="76AAD60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87A2A1" w14:textId="77777777" w:rsidR="00394471" w:rsidRPr="00FA0D37" w:rsidRDefault="00394471" w:rsidP="00964CC4">
            <w:pPr>
              <w:pStyle w:val="TAL"/>
              <w:rPr>
                <w:b/>
                <w:bCs/>
                <w:i/>
                <w:noProof/>
                <w:lang w:eastAsia="en-GB"/>
              </w:rPr>
            </w:pPr>
            <w:r w:rsidRPr="00FA0D37">
              <w:rPr>
                <w:b/>
                <w:bCs/>
                <w:i/>
                <w:noProof/>
                <w:lang w:eastAsia="en-GB"/>
              </w:rPr>
              <w:t>ul-DCCH-MessageEUTRA</w:t>
            </w:r>
          </w:p>
          <w:p w14:paraId="0776E138" w14:textId="77777777" w:rsidR="00394471" w:rsidRPr="00FA0D37" w:rsidRDefault="00394471" w:rsidP="00964CC4">
            <w:pPr>
              <w:pStyle w:val="TAL"/>
              <w:rPr>
                <w:bCs/>
                <w:noProof/>
                <w:lang w:eastAsia="en-GB"/>
              </w:rPr>
            </w:pPr>
            <w:r w:rsidRPr="00FA0D37">
              <w:rPr>
                <w:bCs/>
                <w:noProof/>
                <w:lang w:eastAsia="en-GB"/>
              </w:rPr>
              <w:t xml:space="preserve">Includes the </w:t>
            </w:r>
            <w:r w:rsidRPr="00FA0D37">
              <w:rPr>
                <w:bCs/>
                <w:i/>
                <w:noProof/>
                <w:lang w:eastAsia="en-GB"/>
              </w:rPr>
              <w:t>UL-DCCH-Message</w:t>
            </w:r>
            <w:r w:rsidRPr="00FA0D37">
              <w:rPr>
                <w:bCs/>
                <w:noProof/>
                <w:lang w:eastAsia="en-GB"/>
              </w:rPr>
              <w:t xml:space="preserve">. In this version of the specification, the field is only used to transfer the E-UTRA RRC </w:t>
            </w:r>
            <w:r w:rsidRPr="00FA0D37">
              <w:rPr>
                <w:bCs/>
                <w:i/>
                <w:noProof/>
                <w:lang w:eastAsia="en-GB"/>
              </w:rPr>
              <w:t>MeasurementReport</w:t>
            </w:r>
            <w:r w:rsidRPr="00FA0D37">
              <w:rPr>
                <w:bCs/>
                <w:noProof/>
                <w:lang w:eastAsia="en-GB"/>
              </w:rPr>
              <w:t xml:space="preserve"> message when sent via SRB1 and to transfer the E-UTRA </w:t>
            </w:r>
            <w:r w:rsidRPr="00FA0D37">
              <w:rPr>
                <w:bCs/>
                <w:i/>
                <w:noProof/>
                <w:lang w:eastAsia="en-GB"/>
              </w:rPr>
              <w:t>MCGFailureInformation</w:t>
            </w:r>
            <w:r w:rsidRPr="00FA0D37">
              <w:rPr>
                <w:bCs/>
                <w:noProof/>
                <w:lang w:eastAsia="en-GB"/>
              </w:rPr>
              <w:t xml:space="preserve"> message when sent via SRB3.</w:t>
            </w:r>
          </w:p>
        </w:tc>
      </w:tr>
    </w:tbl>
    <w:p w14:paraId="12E14BE5" w14:textId="77777777" w:rsidR="00394471" w:rsidRPr="00FA0D37" w:rsidRDefault="00394471" w:rsidP="00394471"/>
    <w:p w14:paraId="68294E28" w14:textId="77777777" w:rsidR="00394471" w:rsidRPr="00FA0D37" w:rsidRDefault="00394471" w:rsidP="00394471">
      <w:pPr>
        <w:pStyle w:val="2"/>
      </w:pPr>
      <w:bookmarkStart w:id="749" w:name="_Toc60777137"/>
      <w:bookmarkStart w:id="750" w:name="_Toc146781175"/>
      <w:r w:rsidRPr="00FA0D37">
        <w:t>6.3</w:t>
      </w:r>
      <w:r w:rsidRPr="00FA0D37">
        <w:tab/>
        <w:t>RRC information elements</w:t>
      </w:r>
      <w:bookmarkEnd w:id="749"/>
      <w:bookmarkEnd w:id="750"/>
    </w:p>
    <w:p w14:paraId="13A836B1" w14:textId="77777777" w:rsidR="00394471" w:rsidRPr="00FA0D37" w:rsidRDefault="00394471" w:rsidP="00394471">
      <w:pPr>
        <w:pStyle w:val="3"/>
      </w:pPr>
      <w:bookmarkStart w:id="751" w:name="_Toc60777138"/>
      <w:bookmarkStart w:id="752" w:name="_Toc146781176"/>
      <w:r w:rsidRPr="00FA0D37">
        <w:t>6.3.0</w:t>
      </w:r>
      <w:r w:rsidRPr="00FA0D37">
        <w:tab/>
        <w:t>Parameterized types</w:t>
      </w:r>
      <w:bookmarkEnd w:id="751"/>
      <w:bookmarkEnd w:id="752"/>
    </w:p>
    <w:p w14:paraId="3746D5D4" w14:textId="77777777" w:rsidR="00394471" w:rsidRPr="00FA0D37" w:rsidRDefault="00394471" w:rsidP="00394471">
      <w:pPr>
        <w:pStyle w:val="4"/>
      </w:pPr>
      <w:bookmarkStart w:id="753" w:name="_Toc60777139"/>
      <w:bookmarkStart w:id="754" w:name="_Toc146781177"/>
      <w:r w:rsidRPr="00FA0D37">
        <w:t>–</w:t>
      </w:r>
      <w:r w:rsidRPr="00FA0D37">
        <w:tab/>
      </w:r>
      <w:r w:rsidRPr="00FA0D37">
        <w:rPr>
          <w:i/>
        </w:rPr>
        <w:t>SetupRelease</w:t>
      </w:r>
      <w:bookmarkEnd w:id="753"/>
      <w:bookmarkEnd w:id="754"/>
    </w:p>
    <w:p w14:paraId="33860254" w14:textId="77777777" w:rsidR="00394471" w:rsidRPr="00FA0D37" w:rsidRDefault="00394471" w:rsidP="00394471">
      <w:r w:rsidRPr="00FA0D37">
        <w:rPr>
          <w:i/>
        </w:rPr>
        <w:t>SetupRelease</w:t>
      </w:r>
      <w:r w:rsidRPr="00FA0D37">
        <w:t xml:space="preserve"> allows the </w:t>
      </w:r>
      <w:r w:rsidRPr="00FA0D37">
        <w:rPr>
          <w:i/>
        </w:rPr>
        <w:t>ElementTypeParam</w:t>
      </w:r>
      <w:r w:rsidRPr="00FA0D37">
        <w:t xml:space="preserve"> to be used as the referenced data type for the setup and release entries. See A.3.8 for guidelines.</w:t>
      </w:r>
    </w:p>
    <w:p w14:paraId="371421F7" w14:textId="77777777" w:rsidR="00394471" w:rsidRPr="00FA0D37" w:rsidRDefault="00394471" w:rsidP="00FA0D37">
      <w:pPr>
        <w:pStyle w:val="PL"/>
        <w:rPr>
          <w:color w:val="808080"/>
        </w:rPr>
      </w:pPr>
      <w:r w:rsidRPr="00FA0D37">
        <w:rPr>
          <w:color w:val="808080"/>
        </w:rPr>
        <w:t>-- ASN1START</w:t>
      </w:r>
    </w:p>
    <w:p w14:paraId="1A67C538" w14:textId="77777777" w:rsidR="00394471" w:rsidRPr="00FA0D37" w:rsidRDefault="00394471" w:rsidP="00FA0D37">
      <w:pPr>
        <w:pStyle w:val="PL"/>
        <w:rPr>
          <w:color w:val="808080"/>
        </w:rPr>
      </w:pPr>
      <w:r w:rsidRPr="00FA0D37">
        <w:rPr>
          <w:color w:val="808080"/>
        </w:rPr>
        <w:t>-- TAG-SETUPRELEASE-START</w:t>
      </w:r>
    </w:p>
    <w:p w14:paraId="1A05A992" w14:textId="77777777" w:rsidR="00394471" w:rsidRPr="00FA0D37" w:rsidRDefault="00394471" w:rsidP="00FA0D37">
      <w:pPr>
        <w:pStyle w:val="PL"/>
      </w:pPr>
    </w:p>
    <w:p w14:paraId="664710AA" w14:textId="77777777" w:rsidR="00394471" w:rsidRPr="00FA0D37" w:rsidRDefault="00394471" w:rsidP="00FA0D37">
      <w:pPr>
        <w:pStyle w:val="PL"/>
      </w:pPr>
      <w:r w:rsidRPr="00FA0D37">
        <w:t xml:space="preserve">SetupRelease { ElementTypeParam } ::= </w:t>
      </w:r>
      <w:r w:rsidRPr="00FA0D37">
        <w:rPr>
          <w:color w:val="993366"/>
        </w:rPr>
        <w:t>CHOICE</w:t>
      </w:r>
      <w:r w:rsidRPr="00FA0D37">
        <w:t xml:space="preserve"> {</w:t>
      </w:r>
    </w:p>
    <w:p w14:paraId="4F5746AA" w14:textId="77777777" w:rsidR="00394471" w:rsidRPr="00FA0D37" w:rsidRDefault="00394471" w:rsidP="00FA0D37">
      <w:pPr>
        <w:pStyle w:val="PL"/>
      </w:pPr>
      <w:r w:rsidRPr="00FA0D37">
        <w:t xml:space="preserve">    release         </w:t>
      </w:r>
      <w:r w:rsidRPr="00FA0D37">
        <w:rPr>
          <w:color w:val="993366"/>
        </w:rPr>
        <w:t>NULL</w:t>
      </w:r>
      <w:r w:rsidRPr="00FA0D37">
        <w:t>,</w:t>
      </w:r>
    </w:p>
    <w:p w14:paraId="623EB9BA" w14:textId="77777777" w:rsidR="00394471" w:rsidRPr="00FA0D37" w:rsidRDefault="00394471" w:rsidP="00FA0D37">
      <w:pPr>
        <w:pStyle w:val="PL"/>
      </w:pPr>
      <w:r w:rsidRPr="00FA0D37">
        <w:t xml:space="preserve">    setup           ElementTypeParam</w:t>
      </w:r>
    </w:p>
    <w:p w14:paraId="1B6809D6" w14:textId="77777777" w:rsidR="00394471" w:rsidRPr="00FA0D37" w:rsidRDefault="00394471" w:rsidP="00FA0D37">
      <w:pPr>
        <w:pStyle w:val="PL"/>
      </w:pPr>
      <w:r w:rsidRPr="00FA0D37">
        <w:t>}</w:t>
      </w:r>
    </w:p>
    <w:p w14:paraId="014E147D" w14:textId="77777777" w:rsidR="00394471" w:rsidRPr="00FA0D37" w:rsidRDefault="00394471" w:rsidP="00FA0D37">
      <w:pPr>
        <w:pStyle w:val="PL"/>
      </w:pPr>
    </w:p>
    <w:p w14:paraId="2B74A64D" w14:textId="77777777" w:rsidR="00394471" w:rsidRPr="00FA0D37" w:rsidRDefault="00394471" w:rsidP="00FA0D37">
      <w:pPr>
        <w:pStyle w:val="PL"/>
        <w:rPr>
          <w:color w:val="808080"/>
        </w:rPr>
      </w:pPr>
      <w:r w:rsidRPr="00FA0D37">
        <w:rPr>
          <w:color w:val="808080"/>
        </w:rPr>
        <w:t>-- TAG-SETUPRELEASE-STOP</w:t>
      </w:r>
    </w:p>
    <w:p w14:paraId="351C95DE" w14:textId="77777777" w:rsidR="00394471" w:rsidRPr="00FA0D37" w:rsidRDefault="00394471" w:rsidP="00FA0D37">
      <w:pPr>
        <w:pStyle w:val="PL"/>
        <w:rPr>
          <w:color w:val="808080"/>
        </w:rPr>
      </w:pPr>
      <w:r w:rsidRPr="00FA0D37">
        <w:rPr>
          <w:color w:val="808080"/>
        </w:rPr>
        <w:t>-- ASN1STOP</w:t>
      </w:r>
    </w:p>
    <w:p w14:paraId="24AE25FA" w14:textId="77777777" w:rsidR="00394471" w:rsidRPr="00FA0D37" w:rsidRDefault="00394471" w:rsidP="00394471"/>
    <w:p w14:paraId="47F3AC1E" w14:textId="77777777" w:rsidR="00394471" w:rsidRPr="00FA0D37" w:rsidRDefault="00394471" w:rsidP="00394471">
      <w:pPr>
        <w:pStyle w:val="3"/>
      </w:pPr>
      <w:bookmarkStart w:id="755" w:name="_Toc60777140"/>
      <w:bookmarkStart w:id="756" w:name="_Toc146781178"/>
      <w:r w:rsidRPr="00FA0D37">
        <w:t>6.3.1</w:t>
      </w:r>
      <w:r w:rsidRPr="00FA0D37">
        <w:tab/>
        <w:t>System information blocks</w:t>
      </w:r>
      <w:bookmarkEnd w:id="755"/>
      <w:bookmarkEnd w:id="756"/>
    </w:p>
    <w:p w14:paraId="6A1ED73F" w14:textId="77777777" w:rsidR="00394471" w:rsidRPr="00FA0D37" w:rsidRDefault="00394471" w:rsidP="00394471">
      <w:pPr>
        <w:pStyle w:val="4"/>
        <w:rPr>
          <w:rFonts w:eastAsia="宋体"/>
          <w:i/>
        </w:rPr>
      </w:pPr>
      <w:bookmarkStart w:id="757" w:name="_Toc60777141"/>
      <w:bookmarkStart w:id="758" w:name="_Toc146781179"/>
      <w:r w:rsidRPr="00FA0D37">
        <w:rPr>
          <w:rFonts w:eastAsia="宋体"/>
        </w:rPr>
        <w:t>–</w:t>
      </w:r>
      <w:r w:rsidRPr="00FA0D37">
        <w:rPr>
          <w:rFonts w:eastAsia="宋体"/>
        </w:rPr>
        <w:tab/>
      </w:r>
      <w:r w:rsidRPr="00FA0D37">
        <w:rPr>
          <w:rFonts w:eastAsia="宋体"/>
          <w:i/>
        </w:rPr>
        <w:t>SIB2</w:t>
      </w:r>
      <w:bookmarkEnd w:id="757"/>
      <w:bookmarkEnd w:id="758"/>
    </w:p>
    <w:p w14:paraId="3C34740A" w14:textId="77777777" w:rsidR="00394471" w:rsidRPr="00FA0D37" w:rsidRDefault="00394471" w:rsidP="00394471">
      <w:pPr>
        <w:rPr>
          <w:rFonts w:eastAsia="宋体"/>
        </w:rPr>
      </w:pPr>
      <w:r w:rsidRPr="00FA0D37">
        <w:rPr>
          <w:i/>
          <w:noProof/>
        </w:rPr>
        <w:t>SIB2</w:t>
      </w:r>
      <w:r w:rsidRPr="00FA0D37">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354698B" w14:textId="77777777" w:rsidR="00394471" w:rsidRPr="00FA0D37" w:rsidRDefault="00394471" w:rsidP="00394471">
      <w:pPr>
        <w:pStyle w:val="TH"/>
        <w:rPr>
          <w:bCs/>
          <w:i/>
          <w:iCs/>
        </w:rPr>
      </w:pPr>
      <w:r w:rsidRPr="00FA0D37">
        <w:rPr>
          <w:bCs/>
          <w:i/>
          <w:iCs/>
          <w:noProof/>
        </w:rPr>
        <w:t xml:space="preserve">SIB2 </w:t>
      </w:r>
      <w:r w:rsidRPr="00FA0D37">
        <w:rPr>
          <w:bCs/>
          <w:iCs/>
          <w:noProof/>
        </w:rPr>
        <w:t>information element</w:t>
      </w:r>
    </w:p>
    <w:p w14:paraId="1861BF08" w14:textId="77777777" w:rsidR="00394471" w:rsidRPr="00FA0D37" w:rsidRDefault="00394471" w:rsidP="00FA0D37">
      <w:pPr>
        <w:pStyle w:val="PL"/>
        <w:rPr>
          <w:color w:val="808080"/>
        </w:rPr>
      </w:pPr>
      <w:r w:rsidRPr="00FA0D37">
        <w:rPr>
          <w:color w:val="808080"/>
        </w:rPr>
        <w:t>-- ASN1START</w:t>
      </w:r>
    </w:p>
    <w:p w14:paraId="78EA5EF5" w14:textId="77777777" w:rsidR="00394471" w:rsidRPr="00FA0D37" w:rsidRDefault="00394471" w:rsidP="00FA0D37">
      <w:pPr>
        <w:pStyle w:val="PL"/>
        <w:rPr>
          <w:color w:val="808080"/>
        </w:rPr>
      </w:pPr>
      <w:r w:rsidRPr="00FA0D37">
        <w:rPr>
          <w:color w:val="808080"/>
        </w:rPr>
        <w:t>-- TAG-SIB2-START</w:t>
      </w:r>
    </w:p>
    <w:p w14:paraId="5249E107" w14:textId="77777777" w:rsidR="00394471" w:rsidRPr="00FA0D37" w:rsidRDefault="00394471" w:rsidP="00FA0D37">
      <w:pPr>
        <w:pStyle w:val="PL"/>
      </w:pPr>
    </w:p>
    <w:p w14:paraId="774AA57A" w14:textId="77777777" w:rsidR="00394471" w:rsidRPr="00FA0D37" w:rsidRDefault="00394471" w:rsidP="00FA0D37">
      <w:pPr>
        <w:pStyle w:val="PL"/>
      </w:pPr>
      <w:r w:rsidRPr="00FA0D37">
        <w:t xml:space="preserve">SIB2 ::=                            </w:t>
      </w:r>
      <w:r w:rsidRPr="00FA0D37">
        <w:rPr>
          <w:color w:val="993366"/>
        </w:rPr>
        <w:t>SEQUENCE</w:t>
      </w:r>
      <w:r w:rsidRPr="00FA0D37">
        <w:t xml:space="preserve"> {</w:t>
      </w:r>
    </w:p>
    <w:p w14:paraId="05BB34A8" w14:textId="77777777" w:rsidR="00394471" w:rsidRPr="00FA0D37" w:rsidRDefault="00394471" w:rsidP="00FA0D37">
      <w:pPr>
        <w:pStyle w:val="PL"/>
      </w:pPr>
      <w:r w:rsidRPr="00FA0D37">
        <w:t xml:space="preserve">    cellReselectionInfoCommon           </w:t>
      </w:r>
      <w:r w:rsidRPr="00FA0D37">
        <w:rPr>
          <w:color w:val="993366"/>
        </w:rPr>
        <w:t>SEQUENCE</w:t>
      </w:r>
      <w:r w:rsidRPr="00FA0D37">
        <w:t xml:space="preserve"> {</w:t>
      </w:r>
    </w:p>
    <w:p w14:paraId="79DFC3E8" w14:textId="77777777" w:rsidR="00394471" w:rsidRPr="00FA0D37" w:rsidRDefault="00394471" w:rsidP="00FA0D37">
      <w:pPr>
        <w:pStyle w:val="PL"/>
        <w:rPr>
          <w:color w:val="808080"/>
        </w:rPr>
      </w:pPr>
      <w:r w:rsidRPr="00FA0D37">
        <w:lastRenderedPageBreak/>
        <w:t xml:space="preserve">        nrofSS-BlocksToAverage              </w:t>
      </w:r>
      <w:r w:rsidRPr="00FA0D37">
        <w:rPr>
          <w:color w:val="993366"/>
        </w:rPr>
        <w:t>INTEGER</w:t>
      </w:r>
      <w:r w:rsidRPr="00FA0D37">
        <w:t xml:space="preserve"> (2..maxNrofSS-BlocksToAverage)          </w:t>
      </w:r>
      <w:r w:rsidRPr="00FA0D37">
        <w:rPr>
          <w:color w:val="993366"/>
        </w:rPr>
        <w:t>OPTIONAL</w:t>
      </w:r>
      <w:r w:rsidRPr="00FA0D37">
        <w:t xml:space="preserve">,       </w:t>
      </w:r>
      <w:r w:rsidRPr="00FA0D37">
        <w:rPr>
          <w:color w:val="808080"/>
        </w:rPr>
        <w:t>-- Need S</w:t>
      </w:r>
    </w:p>
    <w:p w14:paraId="186B81F0" w14:textId="77777777" w:rsidR="00394471" w:rsidRPr="00FA0D37" w:rsidRDefault="00394471" w:rsidP="00FA0D37">
      <w:pPr>
        <w:pStyle w:val="PL"/>
        <w:rPr>
          <w:color w:val="808080"/>
        </w:rPr>
      </w:pPr>
      <w:r w:rsidRPr="00FA0D37">
        <w:t xml:space="preserve">        absThreshSS-BlocksConsolidation     ThresholdNR                                     </w:t>
      </w:r>
      <w:r w:rsidRPr="00FA0D37">
        <w:rPr>
          <w:color w:val="993366"/>
        </w:rPr>
        <w:t>OPTIONAL</w:t>
      </w:r>
      <w:r w:rsidRPr="00FA0D37">
        <w:t xml:space="preserve">,       </w:t>
      </w:r>
      <w:r w:rsidRPr="00FA0D37">
        <w:rPr>
          <w:color w:val="808080"/>
        </w:rPr>
        <w:t>-- Need S</w:t>
      </w:r>
    </w:p>
    <w:p w14:paraId="6F6481F7" w14:textId="77777777" w:rsidR="00394471" w:rsidRPr="00FA0D37" w:rsidRDefault="00394471" w:rsidP="00FA0D37">
      <w:pPr>
        <w:pStyle w:val="PL"/>
        <w:rPr>
          <w:color w:val="808080"/>
        </w:rPr>
      </w:pPr>
      <w:r w:rsidRPr="00FA0D37">
        <w:t xml:space="preserve">        rangeToBestCell                     RangeToBestCell                                 </w:t>
      </w:r>
      <w:r w:rsidRPr="00FA0D37">
        <w:rPr>
          <w:color w:val="993366"/>
        </w:rPr>
        <w:t>OPTIONAL</w:t>
      </w:r>
      <w:r w:rsidRPr="00FA0D37">
        <w:t xml:space="preserve">,       </w:t>
      </w:r>
      <w:r w:rsidRPr="00FA0D37">
        <w:rPr>
          <w:color w:val="808080"/>
        </w:rPr>
        <w:t>-- Need R</w:t>
      </w:r>
    </w:p>
    <w:p w14:paraId="7DDAE041" w14:textId="77777777" w:rsidR="00394471" w:rsidRPr="00FA0D37" w:rsidRDefault="00394471" w:rsidP="00FA0D37">
      <w:pPr>
        <w:pStyle w:val="PL"/>
      </w:pPr>
      <w:r w:rsidRPr="00FA0D37">
        <w:t xml:space="preserve">        q-Hyst                              </w:t>
      </w:r>
      <w:r w:rsidRPr="00FA0D37">
        <w:rPr>
          <w:color w:val="993366"/>
        </w:rPr>
        <w:t>ENUMERATED</w:t>
      </w:r>
      <w:r w:rsidRPr="00FA0D37">
        <w:t xml:space="preserve"> {</w:t>
      </w:r>
    </w:p>
    <w:p w14:paraId="50DA23CF" w14:textId="77777777" w:rsidR="00394471" w:rsidRPr="00FA0D37" w:rsidRDefault="00394471" w:rsidP="00FA0D37">
      <w:pPr>
        <w:pStyle w:val="PL"/>
      </w:pPr>
      <w:r w:rsidRPr="00FA0D37">
        <w:t xml:space="preserve">                                                dB0, dB1, dB2, dB3, dB4, dB5, dB6, dB8, dB10,</w:t>
      </w:r>
    </w:p>
    <w:p w14:paraId="5B9CA253" w14:textId="77777777" w:rsidR="00394471" w:rsidRPr="00FA0D37" w:rsidRDefault="00394471" w:rsidP="00FA0D37">
      <w:pPr>
        <w:pStyle w:val="PL"/>
      </w:pPr>
      <w:r w:rsidRPr="00FA0D37">
        <w:t xml:space="preserve">                                                dB12, dB14, dB16, dB18, dB20, dB22, dB24},</w:t>
      </w:r>
    </w:p>
    <w:p w14:paraId="230C3A19" w14:textId="77777777" w:rsidR="00394471" w:rsidRPr="00FA0D37" w:rsidRDefault="00394471" w:rsidP="00FA0D37">
      <w:pPr>
        <w:pStyle w:val="PL"/>
      </w:pPr>
      <w:r w:rsidRPr="00FA0D37">
        <w:t xml:space="preserve">        speedStateReselectionPars           </w:t>
      </w:r>
      <w:r w:rsidRPr="00FA0D37">
        <w:rPr>
          <w:color w:val="993366"/>
        </w:rPr>
        <w:t>SEQUENCE</w:t>
      </w:r>
      <w:r w:rsidRPr="00FA0D37">
        <w:t xml:space="preserve"> {</w:t>
      </w:r>
    </w:p>
    <w:p w14:paraId="271D92CC" w14:textId="77777777" w:rsidR="00394471" w:rsidRPr="00FA0D37" w:rsidRDefault="00394471" w:rsidP="00FA0D37">
      <w:pPr>
        <w:pStyle w:val="PL"/>
      </w:pPr>
      <w:r w:rsidRPr="00FA0D37">
        <w:t xml:space="preserve">            mobilityStateParameters             MobilityStateParameters,</w:t>
      </w:r>
    </w:p>
    <w:p w14:paraId="34955B0D" w14:textId="77777777" w:rsidR="00394471" w:rsidRPr="00FA0D37" w:rsidRDefault="00394471" w:rsidP="00FA0D37">
      <w:pPr>
        <w:pStyle w:val="PL"/>
      </w:pPr>
      <w:r w:rsidRPr="00FA0D37">
        <w:t xml:space="preserve">            q-HystSF                        </w:t>
      </w:r>
      <w:r w:rsidRPr="00FA0D37">
        <w:rPr>
          <w:color w:val="993366"/>
        </w:rPr>
        <w:t>SEQUENCE</w:t>
      </w:r>
      <w:r w:rsidRPr="00FA0D37">
        <w:t xml:space="preserve"> {</w:t>
      </w:r>
    </w:p>
    <w:p w14:paraId="60D2CB60" w14:textId="77777777" w:rsidR="00394471" w:rsidRPr="00FA0D37" w:rsidRDefault="00394471" w:rsidP="00FA0D37">
      <w:pPr>
        <w:pStyle w:val="PL"/>
      </w:pPr>
      <w:r w:rsidRPr="00FA0D37">
        <w:t xml:space="preserve">                sf-Medium                       </w:t>
      </w:r>
      <w:r w:rsidRPr="00FA0D37">
        <w:rPr>
          <w:color w:val="993366"/>
        </w:rPr>
        <w:t>ENUMERATED</w:t>
      </w:r>
      <w:r w:rsidRPr="00FA0D37">
        <w:t xml:space="preserve"> {dB-6, dB-4, dB-2, dB0},</w:t>
      </w:r>
    </w:p>
    <w:p w14:paraId="11D110EC" w14:textId="77777777" w:rsidR="00394471" w:rsidRPr="00FA0D37" w:rsidRDefault="00394471" w:rsidP="00FA0D37">
      <w:pPr>
        <w:pStyle w:val="PL"/>
      </w:pPr>
      <w:r w:rsidRPr="00FA0D37">
        <w:t xml:space="preserve">                sf-High                         </w:t>
      </w:r>
      <w:r w:rsidRPr="00FA0D37">
        <w:rPr>
          <w:color w:val="993366"/>
        </w:rPr>
        <w:t>ENUMERATED</w:t>
      </w:r>
      <w:r w:rsidRPr="00FA0D37">
        <w:t xml:space="preserve"> {dB-6, dB-4, dB-2, dB0}</w:t>
      </w:r>
    </w:p>
    <w:p w14:paraId="1C82E88E" w14:textId="77777777" w:rsidR="00394471" w:rsidRPr="00FA0D37" w:rsidRDefault="00394471" w:rsidP="00FA0D37">
      <w:pPr>
        <w:pStyle w:val="PL"/>
      </w:pPr>
      <w:r w:rsidRPr="00FA0D37">
        <w:t xml:space="preserve">            }</w:t>
      </w:r>
    </w:p>
    <w:p w14:paraId="6520599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251AC78F" w14:textId="77777777" w:rsidR="00394471" w:rsidRPr="00FA0D37" w:rsidRDefault="00394471" w:rsidP="00FA0D37">
      <w:pPr>
        <w:pStyle w:val="PL"/>
      </w:pPr>
      <w:r w:rsidRPr="00FA0D37">
        <w:t xml:space="preserve">    ...</w:t>
      </w:r>
    </w:p>
    <w:p w14:paraId="0F668587" w14:textId="77777777" w:rsidR="00394471" w:rsidRPr="00FA0D37" w:rsidRDefault="00394471" w:rsidP="00FA0D37">
      <w:pPr>
        <w:pStyle w:val="PL"/>
      </w:pPr>
      <w:r w:rsidRPr="00FA0D37">
        <w:t xml:space="preserve">    },</w:t>
      </w:r>
    </w:p>
    <w:p w14:paraId="6B1D57F1" w14:textId="77777777" w:rsidR="00394471" w:rsidRPr="00FA0D37" w:rsidRDefault="00394471" w:rsidP="00FA0D37">
      <w:pPr>
        <w:pStyle w:val="PL"/>
      </w:pPr>
      <w:r w:rsidRPr="00FA0D37">
        <w:t xml:space="preserve">    cellReselectionServingFreqInfo      </w:t>
      </w:r>
      <w:r w:rsidRPr="00FA0D37">
        <w:rPr>
          <w:color w:val="993366"/>
        </w:rPr>
        <w:t>SEQUENCE</w:t>
      </w:r>
      <w:r w:rsidRPr="00FA0D37">
        <w:t xml:space="preserve"> {</w:t>
      </w:r>
    </w:p>
    <w:p w14:paraId="5FC3B8D4" w14:textId="77777777" w:rsidR="00394471" w:rsidRPr="00FA0D37" w:rsidRDefault="00394471" w:rsidP="00FA0D37">
      <w:pPr>
        <w:pStyle w:val="PL"/>
        <w:rPr>
          <w:color w:val="808080"/>
        </w:rPr>
      </w:pPr>
      <w:r w:rsidRPr="00FA0D37">
        <w:t xml:space="preserve">        s-NonIntraSearchP                   ReselectionThreshold                            </w:t>
      </w:r>
      <w:r w:rsidRPr="00FA0D37">
        <w:rPr>
          <w:color w:val="993366"/>
        </w:rPr>
        <w:t>OPTIONAL</w:t>
      </w:r>
      <w:r w:rsidRPr="00FA0D37">
        <w:t xml:space="preserve">,       </w:t>
      </w:r>
      <w:r w:rsidRPr="00FA0D37">
        <w:rPr>
          <w:color w:val="808080"/>
        </w:rPr>
        <w:t>-- Need S</w:t>
      </w:r>
    </w:p>
    <w:p w14:paraId="729675A7" w14:textId="77777777" w:rsidR="00394471" w:rsidRPr="00FA0D37" w:rsidRDefault="00394471" w:rsidP="00FA0D37">
      <w:pPr>
        <w:pStyle w:val="PL"/>
        <w:rPr>
          <w:color w:val="808080"/>
        </w:rPr>
      </w:pPr>
      <w:r w:rsidRPr="00FA0D37">
        <w:t xml:space="preserve">        s-NonIntraSearchQ                   ReselectionThresholdQ                           </w:t>
      </w:r>
      <w:r w:rsidRPr="00FA0D37">
        <w:rPr>
          <w:color w:val="993366"/>
        </w:rPr>
        <w:t>OPTIONAL</w:t>
      </w:r>
      <w:r w:rsidRPr="00FA0D37">
        <w:t xml:space="preserve">,       </w:t>
      </w:r>
      <w:r w:rsidRPr="00FA0D37">
        <w:rPr>
          <w:color w:val="808080"/>
        </w:rPr>
        <w:t>-- Need S</w:t>
      </w:r>
    </w:p>
    <w:p w14:paraId="112C834E" w14:textId="77777777" w:rsidR="00394471" w:rsidRPr="00FA0D37" w:rsidRDefault="00394471" w:rsidP="00FA0D37">
      <w:pPr>
        <w:pStyle w:val="PL"/>
      </w:pPr>
      <w:r w:rsidRPr="00FA0D37">
        <w:t xml:space="preserve">        threshServingLowP                   ReselectionThreshold,</w:t>
      </w:r>
    </w:p>
    <w:p w14:paraId="73B5EFB8" w14:textId="77777777" w:rsidR="00394471" w:rsidRPr="00FA0D37" w:rsidRDefault="00394471" w:rsidP="00FA0D37">
      <w:pPr>
        <w:pStyle w:val="PL"/>
        <w:rPr>
          <w:color w:val="808080"/>
        </w:rPr>
      </w:pPr>
      <w:r w:rsidRPr="00FA0D37">
        <w:t xml:space="preserve">        threshServingLowQ                   ReselectionThresholdQ                           </w:t>
      </w:r>
      <w:r w:rsidRPr="00FA0D37">
        <w:rPr>
          <w:color w:val="993366"/>
        </w:rPr>
        <w:t>OPTIONAL</w:t>
      </w:r>
      <w:r w:rsidRPr="00FA0D37">
        <w:t xml:space="preserve">,       </w:t>
      </w:r>
      <w:r w:rsidRPr="00FA0D37">
        <w:rPr>
          <w:color w:val="808080"/>
        </w:rPr>
        <w:t>-- Need R</w:t>
      </w:r>
    </w:p>
    <w:p w14:paraId="25BA6260" w14:textId="77777777" w:rsidR="00394471" w:rsidRPr="00FA0D37" w:rsidRDefault="00394471" w:rsidP="00FA0D37">
      <w:pPr>
        <w:pStyle w:val="PL"/>
      </w:pPr>
      <w:r w:rsidRPr="00FA0D37">
        <w:t xml:space="preserve">        cellReselectionPriority             CellReselectionPriority,</w:t>
      </w:r>
    </w:p>
    <w:p w14:paraId="7A5CD284" w14:textId="77777777" w:rsidR="00394471" w:rsidRPr="00FA0D37" w:rsidRDefault="00394471" w:rsidP="00FA0D37">
      <w:pPr>
        <w:pStyle w:val="PL"/>
        <w:rPr>
          <w:color w:val="808080"/>
        </w:rPr>
      </w:pPr>
      <w:r w:rsidRPr="00FA0D37">
        <w:t xml:space="preserve">        cellReselectionSubPriority          CellReselectionSubPriority                      </w:t>
      </w:r>
      <w:r w:rsidRPr="00FA0D37">
        <w:rPr>
          <w:color w:val="993366"/>
        </w:rPr>
        <w:t>OPTIONAL</w:t>
      </w:r>
      <w:r w:rsidRPr="00FA0D37">
        <w:t xml:space="preserve">,       </w:t>
      </w:r>
      <w:r w:rsidRPr="00FA0D37">
        <w:rPr>
          <w:color w:val="808080"/>
        </w:rPr>
        <w:t>-- Need R</w:t>
      </w:r>
    </w:p>
    <w:p w14:paraId="56050365" w14:textId="77777777" w:rsidR="00394471" w:rsidRPr="00FA0D37" w:rsidRDefault="00394471" w:rsidP="00FA0D37">
      <w:pPr>
        <w:pStyle w:val="PL"/>
      </w:pPr>
      <w:r w:rsidRPr="00FA0D37">
        <w:t xml:space="preserve">        ...</w:t>
      </w:r>
    </w:p>
    <w:p w14:paraId="196013D5" w14:textId="77777777" w:rsidR="00394471" w:rsidRPr="00FA0D37" w:rsidRDefault="00394471" w:rsidP="00FA0D37">
      <w:pPr>
        <w:pStyle w:val="PL"/>
      </w:pPr>
      <w:r w:rsidRPr="00FA0D37">
        <w:t xml:space="preserve">    },</w:t>
      </w:r>
    </w:p>
    <w:p w14:paraId="15E59990" w14:textId="77777777" w:rsidR="00394471" w:rsidRPr="00FA0D37" w:rsidRDefault="00394471" w:rsidP="00FA0D37">
      <w:pPr>
        <w:pStyle w:val="PL"/>
      </w:pPr>
      <w:r w:rsidRPr="00FA0D37">
        <w:t xml:space="preserve">    intraFreqCellReselectionInfo        </w:t>
      </w:r>
      <w:r w:rsidRPr="00FA0D37">
        <w:rPr>
          <w:color w:val="993366"/>
        </w:rPr>
        <w:t>SEQUENCE</w:t>
      </w:r>
      <w:r w:rsidRPr="00FA0D37">
        <w:t xml:space="preserve"> {</w:t>
      </w:r>
    </w:p>
    <w:p w14:paraId="2440F238" w14:textId="77777777" w:rsidR="00394471" w:rsidRPr="00FA0D37" w:rsidRDefault="00394471" w:rsidP="00FA0D37">
      <w:pPr>
        <w:pStyle w:val="PL"/>
      </w:pPr>
      <w:r w:rsidRPr="00FA0D37">
        <w:t xml:space="preserve">        q-RxLevMin                          Q-RxLevMin,</w:t>
      </w:r>
    </w:p>
    <w:p w14:paraId="6A991E11" w14:textId="77777777" w:rsidR="00394471" w:rsidRPr="00FA0D37" w:rsidRDefault="00394471" w:rsidP="00FA0D37">
      <w:pPr>
        <w:pStyle w:val="PL"/>
        <w:rPr>
          <w:color w:val="808080"/>
        </w:rPr>
      </w:pPr>
      <w:r w:rsidRPr="00FA0D37">
        <w:t xml:space="preserve">        q-RxLevMinSUL                       Q-RxLevMin                                      </w:t>
      </w:r>
      <w:r w:rsidRPr="00FA0D37">
        <w:rPr>
          <w:color w:val="993366"/>
        </w:rPr>
        <w:t>OPTIONAL</w:t>
      </w:r>
      <w:r w:rsidRPr="00FA0D37">
        <w:t xml:space="preserve">,       </w:t>
      </w:r>
      <w:r w:rsidRPr="00FA0D37">
        <w:rPr>
          <w:color w:val="808080"/>
        </w:rPr>
        <w:t>-- Need R</w:t>
      </w:r>
    </w:p>
    <w:p w14:paraId="0F235635" w14:textId="77777777" w:rsidR="00394471" w:rsidRPr="00FA0D37" w:rsidRDefault="00394471" w:rsidP="00FA0D37">
      <w:pPr>
        <w:pStyle w:val="PL"/>
        <w:rPr>
          <w:color w:val="808080"/>
        </w:rPr>
      </w:pPr>
      <w:r w:rsidRPr="00FA0D37">
        <w:t xml:space="preserve">        q-QualMin                           Q-QualMin                                       </w:t>
      </w:r>
      <w:r w:rsidRPr="00FA0D37">
        <w:rPr>
          <w:color w:val="993366"/>
        </w:rPr>
        <w:t>OPTIONAL</w:t>
      </w:r>
      <w:r w:rsidRPr="00FA0D37">
        <w:t xml:space="preserve">,       </w:t>
      </w:r>
      <w:r w:rsidRPr="00FA0D37">
        <w:rPr>
          <w:color w:val="808080"/>
        </w:rPr>
        <w:t>-- Need S</w:t>
      </w:r>
    </w:p>
    <w:p w14:paraId="59AEF589" w14:textId="77777777" w:rsidR="00394471" w:rsidRPr="00FA0D37" w:rsidRDefault="00394471" w:rsidP="00FA0D37">
      <w:pPr>
        <w:pStyle w:val="PL"/>
      </w:pPr>
      <w:r w:rsidRPr="00FA0D37">
        <w:t xml:space="preserve">        s-IntraSearchP                      ReselectionThreshold,</w:t>
      </w:r>
    </w:p>
    <w:p w14:paraId="280E7125" w14:textId="77777777" w:rsidR="00394471" w:rsidRPr="00FA0D37" w:rsidRDefault="00394471" w:rsidP="00FA0D37">
      <w:pPr>
        <w:pStyle w:val="PL"/>
        <w:rPr>
          <w:color w:val="808080"/>
        </w:rPr>
      </w:pPr>
      <w:r w:rsidRPr="00FA0D37">
        <w:t xml:space="preserve">        s-IntraSearchQ                      ReselectionThresholdQ                           </w:t>
      </w:r>
      <w:r w:rsidRPr="00FA0D37">
        <w:rPr>
          <w:color w:val="993366"/>
        </w:rPr>
        <w:t>OPTIONAL</w:t>
      </w:r>
      <w:r w:rsidRPr="00FA0D37">
        <w:t xml:space="preserve">,       </w:t>
      </w:r>
      <w:r w:rsidRPr="00FA0D37">
        <w:rPr>
          <w:color w:val="808080"/>
        </w:rPr>
        <w:t>-- Need S</w:t>
      </w:r>
    </w:p>
    <w:p w14:paraId="4D177341" w14:textId="77777777" w:rsidR="00394471" w:rsidRPr="00FA0D37" w:rsidRDefault="00394471" w:rsidP="00FA0D37">
      <w:pPr>
        <w:pStyle w:val="PL"/>
      </w:pPr>
      <w:r w:rsidRPr="00FA0D37">
        <w:t xml:space="preserve">        t-ReselectionNR                     T-Reselection,</w:t>
      </w:r>
    </w:p>
    <w:p w14:paraId="17AD6426" w14:textId="77777777" w:rsidR="00394471" w:rsidRPr="00FA0D37" w:rsidRDefault="00394471" w:rsidP="00FA0D37">
      <w:pPr>
        <w:pStyle w:val="PL"/>
        <w:rPr>
          <w:color w:val="808080"/>
        </w:rPr>
      </w:pPr>
      <w:r w:rsidRPr="00FA0D37">
        <w:t xml:space="preserve">        frequencyBandList                   MultiFrequencyBandListNR-SIB                    </w:t>
      </w:r>
      <w:r w:rsidRPr="00FA0D37">
        <w:rPr>
          <w:color w:val="993366"/>
        </w:rPr>
        <w:t>OPTIONAL</w:t>
      </w:r>
      <w:r w:rsidRPr="00FA0D37">
        <w:t xml:space="preserve">,       </w:t>
      </w:r>
      <w:r w:rsidRPr="00FA0D37">
        <w:rPr>
          <w:color w:val="808080"/>
        </w:rPr>
        <w:t>-- Need S</w:t>
      </w:r>
    </w:p>
    <w:p w14:paraId="71E7CFFB" w14:textId="77777777" w:rsidR="00394471" w:rsidRPr="00FA0D37" w:rsidRDefault="00394471" w:rsidP="00FA0D37">
      <w:pPr>
        <w:pStyle w:val="PL"/>
        <w:rPr>
          <w:color w:val="808080"/>
        </w:rPr>
      </w:pPr>
      <w:r w:rsidRPr="00FA0D37">
        <w:t xml:space="preserve">        frequencyBandListSUL                MultiFrequencyBandListNR-SIB                    </w:t>
      </w:r>
      <w:r w:rsidRPr="00FA0D37">
        <w:rPr>
          <w:color w:val="993366"/>
        </w:rPr>
        <w:t>OPTIONAL</w:t>
      </w:r>
      <w:r w:rsidRPr="00FA0D37">
        <w:t xml:space="preserve">,       </w:t>
      </w:r>
      <w:r w:rsidRPr="00FA0D37">
        <w:rPr>
          <w:color w:val="808080"/>
        </w:rPr>
        <w:t>-- Need R</w:t>
      </w:r>
    </w:p>
    <w:p w14:paraId="6522C9A4" w14:textId="77777777" w:rsidR="00394471" w:rsidRPr="00FA0D37" w:rsidRDefault="00394471" w:rsidP="00FA0D37">
      <w:pPr>
        <w:pStyle w:val="PL"/>
        <w:rPr>
          <w:color w:val="808080"/>
        </w:rPr>
      </w:pPr>
      <w:r w:rsidRPr="00FA0D37">
        <w:t xml:space="preserve">        p-Max                               P-Max                                           </w:t>
      </w:r>
      <w:r w:rsidRPr="00FA0D37">
        <w:rPr>
          <w:color w:val="993366"/>
        </w:rPr>
        <w:t>OPTIONAL</w:t>
      </w:r>
      <w:r w:rsidRPr="00FA0D37">
        <w:t xml:space="preserve">,       </w:t>
      </w:r>
      <w:r w:rsidRPr="00FA0D37">
        <w:rPr>
          <w:color w:val="808080"/>
        </w:rPr>
        <w:t>-- Need S</w:t>
      </w:r>
    </w:p>
    <w:p w14:paraId="029E835B" w14:textId="77777777" w:rsidR="00394471" w:rsidRPr="00FA0D37" w:rsidRDefault="00394471" w:rsidP="00FA0D37">
      <w:pPr>
        <w:pStyle w:val="PL"/>
        <w:rPr>
          <w:color w:val="808080"/>
        </w:rPr>
      </w:pPr>
      <w:r w:rsidRPr="00FA0D37">
        <w:t xml:space="preserve">        smtc                                SSB-MTC                                         </w:t>
      </w:r>
      <w:r w:rsidRPr="00FA0D37">
        <w:rPr>
          <w:color w:val="993366"/>
        </w:rPr>
        <w:t>OPTIONAL</w:t>
      </w:r>
      <w:r w:rsidRPr="00FA0D37">
        <w:t xml:space="preserve">,       </w:t>
      </w:r>
      <w:r w:rsidRPr="00FA0D37">
        <w:rPr>
          <w:color w:val="808080"/>
        </w:rPr>
        <w:t>-- Need S</w:t>
      </w:r>
    </w:p>
    <w:p w14:paraId="1621E751" w14:textId="77777777" w:rsidR="00394471" w:rsidRPr="00FA0D37" w:rsidRDefault="00394471" w:rsidP="00FA0D37">
      <w:pPr>
        <w:pStyle w:val="PL"/>
        <w:rPr>
          <w:color w:val="808080"/>
        </w:rPr>
      </w:pPr>
      <w:r w:rsidRPr="00FA0D37">
        <w:t xml:space="preserve">        ss-RSSI-Measurement                 SS-RSSI-Measurement                             </w:t>
      </w:r>
      <w:r w:rsidRPr="00FA0D37">
        <w:rPr>
          <w:color w:val="993366"/>
        </w:rPr>
        <w:t>OPTIONAL</w:t>
      </w:r>
      <w:r w:rsidRPr="00FA0D37">
        <w:t xml:space="preserve">,       </w:t>
      </w:r>
      <w:r w:rsidRPr="00FA0D37">
        <w:rPr>
          <w:color w:val="808080"/>
        </w:rPr>
        <w:t>-- Need R</w:t>
      </w:r>
    </w:p>
    <w:p w14:paraId="2DB3DD2E" w14:textId="77777777" w:rsidR="00394471" w:rsidRPr="00FA0D37" w:rsidRDefault="00394471" w:rsidP="00FA0D37">
      <w:pPr>
        <w:pStyle w:val="PL"/>
        <w:rPr>
          <w:color w:val="808080"/>
        </w:rPr>
      </w:pPr>
      <w:r w:rsidRPr="00FA0D37">
        <w:t xml:space="preserve">        ssb-ToMeasure                       SSB-ToMeasure                                   </w:t>
      </w:r>
      <w:r w:rsidRPr="00FA0D37">
        <w:rPr>
          <w:color w:val="993366"/>
        </w:rPr>
        <w:t>OPTIONAL</w:t>
      </w:r>
      <w:r w:rsidRPr="00FA0D37">
        <w:t xml:space="preserve">,       </w:t>
      </w:r>
      <w:r w:rsidRPr="00FA0D37">
        <w:rPr>
          <w:color w:val="808080"/>
        </w:rPr>
        <w:t>-- Need S</w:t>
      </w:r>
    </w:p>
    <w:p w14:paraId="6838F484" w14:textId="77777777" w:rsidR="00394471" w:rsidRPr="00FA0D37" w:rsidRDefault="00394471" w:rsidP="00FA0D37">
      <w:pPr>
        <w:pStyle w:val="PL"/>
      </w:pPr>
      <w:r w:rsidRPr="00FA0D37">
        <w:t xml:space="preserve">        deriveSSB-IndexFromCell             </w:t>
      </w:r>
      <w:r w:rsidRPr="00FA0D37">
        <w:rPr>
          <w:color w:val="993366"/>
        </w:rPr>
        <w:t>BOOLEAN</w:t>
      </w:r>
      <w:r w:rsidRPr="00FA0D37">
        <w:t>,</w:t>
      </w:r>
    </w:p>
    <w:p w14:paraId="6C095EBE" w14:textId="77777777" w:rsidR="00394471" w:rsidRPr="00FA0D37" w:rsidRDefault="00394471" w:rsidP="00FA0D37">
      <w:pPr>
        <w:pStyle w:val="PL"/>
      </w:pPr>
      <w:r w:rsidRPr="00FA0D37">
        <w:t xml:space="preserve">        ...,</w:t>
      </w:r>
    </w:p>
    <w:p w14:paraId="3E84835A" w14:textId="77777777" w:rsidR="00394471" w:rsidRPr="00FA0D37" w:rsidRDefault="00394471" w:rsidP="00FA0D37">
      <w:pPr>
        <w:pStyle w:val="PL"/>
      </w:pPr>
      <w:r w:rsidRPr="00FA0D37">
        <w:t xml:space="preserve">        [[</w:t>
      </w:r>
    </w:p>
    <w:p w14:paraId="7CAFF5EC" w14:textId="77777777" w:rsidR="00394471" w:rsidRPr="00FA0D37" w:rsidRDefault="00394471" w:rsidP="00FA0D37">
      <w:pPr>
        <w:pStyle w:val="PL"/>
        <w:rPr>
          <w:color w:val="808080"/>
        </w:rPr>
      </w:pPr>
      <w:r w:rsidRPr="00FA0D37">
        <w:t xml:space="preserve">        t-ReselectionNR-SF                  SpeedStateScaleFactors                          </w:t>
      </w:r>
      <w:r w:rsidRPr="00FA0D37">
        <w:rPr>
          <w:color w:val="993366"/>
        </w:rPr>
        <w:t>OPTIONAL</w:t>
      </w:r>
      <w:r w:rsidRPr="00FA0D37">
        <w:t xml:space="preserve">        </w:t>
      </w:r>
      <w:r w:rsidRPr="00FA0D37">
        <w:rPr>
          <w:color w:val="808080"/>
        </w:rPr>
        <w:t>-- Need N</w:t>
      </w:r>
    </w:p>
    <w:p w14:paraId="057A63F6" w14:textId="77777777" w:rsidR="00394471" w:rsidRPr="00FA0D37" w:rsidRDefault="00394471" w:rsidP="00FA0D37">
      <w:pPr>
        <w:pStyle w:val="PL"/>
      </w:pPr>
      <w:r w:rsidRPr="00FA0D37">
        <w:t xml:space="preserve">        ]],</w:t>
      </w:r>
    </w:p>
    <w:p w14:paraId="43598658" w14:textId="77777777" w:rsidR="00394471" w:rsidRPr="00FA0D37" w:rsidRDefault="00394471" w:rsidP="00FA0D37">
      <w:pPr>
        <w:pStyle w:val="PL"/>
      </w:pPr>
      <w:r w:rsidRPr="00FA0D37">
        <w:t xml:space="preserve">        [[</w:t>
      </w:r>
    </w:p>
    <w:p w14:paraId="5C83BDBA" w14:textId="77777777" w:rsidR="00394471" w:rsidRPr="00FA0D37" w:rsidRDefault="00394471" w:rsidP="00FA0D37">
      <w:pPr>
        <w:pStyle w:val="PL"/>
        <w:rPr>
          <w:color w:val="808080"/>
        </w:rPr>
      </w:pPr>
      <w:r w:rsidRPr="00FA0D37">
        <w:t xml:space="preserve">        smtc2-LP-r16                        SSB-MTC2-LP-r16                                 </w:t>
      </w:r>
      <w:r w:rsidRPr="00FA0D37">
        <w:rPr>
          <w:color w:val="993366"/>
        </w:rPr>
        <w:t>OPTIONAL</w:t>
      </w:r>
      <w:r w:rsidRPr="00FA0D37">
        <w:t xml:space="preserve">,        </w:t>
      </w:r>
      <w:r w:rsidRPr="00FA0D37">
        <w:rPr>
          <w:color w:val="808080"/>
        </w:rPr>
        <w:t>-- Need R</w:t>
      </w:r>
    </w:p>
    <w:p w14:paraId="451267A8" w14:textId="77777777" w:rsidR="00394471" w:rsidRPr="00FA0D37" w:rsidRDefault="00394471" w:rsidP="00FA0D37">
      <w:pPr>
        <w:pStyle w:val="PL"/>
        <w:rPr>
          <w:color w:val="808080"/>
        </w:rPr>
      </w:pPr>
      <w:r w:rsidRPr="00FA0D37">
        <w:t xml:space="preserve">        ssb-PositionQCL-Common-r16          SSB-PositionQCL-Relation-r16                    </w:t>
      </w:r>
      <w:r w:rsidRPr="00FA0D37">
        <w:rPr>
          <w:color w:val="993366"/>
        </w:rPr>
        <w:t>OPTIONAL</w:t>
      </w:r>
      <w:r w:rsidRPr="00FA0D37">
        <w:t xml:space="preserve">         </w:t>
      </w:r>
      <w:r w:rsidRPr="00FA0D37">
        <w:rPr>
          <w:color w:val="808080"/>
        </w:rPr>
        <w:t>-- Cond SharedSpectrum</w:t>
      </w:r>
    </w:p>
    <w:p w14:paraId="284E6661" w14:textId="47E088D4" w:rsidR="002B7DAE" w:rsidRPr="00FA0D37" w:rsidRDefault="00394471" w:rsidP="00FA0D37">
      <w:pPr>
        <w:pStyle w:val="PL"/>
      </w:pPr>
      <w:r w:rsidRPr="00FA0D37">
        <w:t xml:space="preserve">        ]]</w:t>
      </w:r>
      <w:r w:rsidR="002B7DAE" w:rsidRPr="00FA0D37">
        <w:t>,</w:t>
      </w:r>
    </w:p>
    <w:p w14:paraId="62BA4CBC" w14:textId="77777777" w:rsidR="002B7DAE" w:rsidRPr="00FA0D37" w:rsidRDefault="002B7DAE" w:rsidP="00FA0D37">
      <w:pPr>
        <w:pStyle w:val="PL"/>
      </w:pPr>
      <w:r w:rsidRPr="00FA0D37">
        <w:t xml:space="preserve">        [[</w:t>
      </w:r>
    </w:p>
    <w:p w14:paraId="201EBCAA" w14:textId="77777777" w:rsidR="002B7DAE" w:rsidRPr="00FA0D37" w:rsidRDefault="002B7DAE" w:rsidP="00FA0D37">
      <w:pPr>
        <w:pStyle w:val="PL"/>
        <w:rPr>
          <w:color w:val="808080"/>
        </w:rPr>
      </w:pPr>
      <w:r w:rsidRPr="00FA0D37">
        <w:t xml:space="preserve">        ssb-PositionQCL-Common-r17          SSB-PositionQCL-Relation-r17                    </w:t>
      </w:r>
      <w:r w:rsidRPr="00FA0D37">
        <w:rPr>
          <w:color w:val="993366"/>
        </w:rPr>
        <w:t>OPTIONAL</w:t>
      </w:r>
      <w:r w:rsidRPr="00FA0D37">
        <w:t xml:space="preserve">         </w:t>
      </w:r>
      <w:r w:rsidRPr="00FA0D37">
        <w:rPr>
          <w:color w:val="808080"/>
        </w:rPr>
        <w:t>-- Cond SharedSpectrum2</w:t>
      </w:r>
    </w:p>
    <w:p w14:paraId="5D470BCC" w14:textId="2F1478C6" w:rsidR="001163BA" w:rsidRPr="00FA0D37" w:rsidRDefault="002B7DAE" w:rsidP="00FA0D37">
      <w:pPr>
        <w:pStyle w:val="PL"/>
      </w:pPr>
      <w:r w:rsidRPr="00FA0D37">
        <w:t xml:space="preserve">        ]]</w:t>
      </w:r>
      <w:r w:rsidR="001163BA" w:rsidRPr="00FA0D37">
        <w:t>,</w:t>
      </w:r>
    </w:p>
    <w:p w14:paraId="099C6781" w14:textId="77777777" w:rsidR="001163BA" w:rsidRPr="00FA0D37" w:rsidRDefault="001163BA" w:rsidP="00FA0D37">
      <w:pPr>
        <w:pStyle w:val="PL"/>
      </w:pPr>
      <w:r w:rsidRPr="00FA0D37">
        <w:t xml:space="preserve">        [[</w:t>
      </w:r>
    </w:p>
    <w:p w14:paraId="503B83E6" w14:textId="33A239AF" w:rsidR="001163BA" w:rsidRPr="00FA0D37" w:rsidRDefault="001163BA" w:rsidP="00FA0D37">
      <w:pPr>
        <w:pStyle w:val="PL"/>
        <w:rPr>
          <w:color w:val="808080"/>
        </w:rPr>
      </w:pPr>
      <w:r w:rsidRPr="00FA0D37">
        <w:t xml:space="preserve">        smtc4list-r17                       SSB-MTC4List-r17                                </w:t>
      </w:r>
      <w:r w:rsidRPr="00FA0D37">
        <w:rPr>
          <w:color w:val="993366"/>
        </w:rPr>
        <w:t>OPTIONAL</w:t>
      </w:r>
      <w:r w:rsidRPr="00FA0D37">
        <w:t xml:space="preserve">         </w:t>
      </w:r>
      <w:r w:rsidRPr="00FA0D37">
        <w:rPr>
          <w:color w:val="808080"/>
        </w:rPr>
        <w:t>-- Need R</w:t>
      </w:r>
    </w:p>
    <w:p w14:paraId="54C26DF0" w14:textId="3AB58FD5" w:rsidR="005431A1" w:rsidRPr="00FA0D37" w:rsidRDefault="001163BA" w:rsidP="00FA0D37">
      <w:pPr>
        <w:pStyle w:val="PL"/>
      </w:pPr>
      <w:r w:rsidRPr="00FA0D37">
        <w:lastRenderedPageBreak/>
        <w:t xml:space="preserve">        ]]</w:t>
      </w:r>
      <w:r w:rsidR="005431A1" w:rsidRPr="00FA0D37">
        <w:t>,</w:t>
      </w:r>
    </w:p>
    <w:p w14:paraId="4200641B" w14:textId="4129B3BA" w:rsidR="005431A1" w:rsidRPr="00FA0D37" w:rsidRDefault="005431A1" w:rsidP="00FA0D37">
      <w:pPr>
        <w:pStyle w:val="PL"/>
      </w:pPr>
      <w:r w:rsidRPr="00FA0D37">
        <w:t xml:space="preserve">        [[</w:t>
      </w:r>
    </w:p>
    <w:p w14:paraId="240D4A6F" w14:textId="6C456D46" w:rsidR="005431A1" w:rsidRPr="00FA0D37" w:rsidRDefault="005431A1" w:rsidP="00FA0D37">
      <w:pPr>
        <w:pStyle w:val="PL"/>
        <w:rPr>
          <w:color w:val="808080"/>
        </w:rPr>
      </w:pPr>
      <w:r w:rsidRPr="00FA0D37">
        <w:t xml:space="preserve">        frequencyBandList-v1760             MultiFrequencyBandListNR-SIB-v1760              </w:t>
      </w:r>
      <w:r w:rsidRPr="00FA0D37">
        <w:rPr>
          <w:color w:val="993366"/>
        </w:rPr>
        <w:t>OPTIONAL</w:t>
      </w:r>
      <w:r w:rsidRPr="00FA0D37">
        <w:t xml:space="preserve">,       </w:t>
      </w:r>
      <w:r w:rsidRPr="00FA0D37">
        <w:rPr>
          <w:color w:val="808080"/>
        </w:rPr>
        <w:t>-- Need R</w:t>
      </w:r>
    </w:p>
    <w:p w14:paraId="2CED4A02" w14:textId="285FDE67" w:rsidR="005431A1" w:rsidRPr="00FA0D37" w:rsidRDefault="005431A1" w:rsidP="00FA0D37">
      <w:pPr>
        <w:pStyle w:val="PL"/>
        <w:rPr>
          <w:color w:val="808080"/>
        </w:rPr>
      </w:pPr>
      <w:r w:rsidRPr="00FA0D37">
        <w:t xml:space="preserve">        frequencyBandListSUL-v1760          MultiFrequencyBandListNR-SIB-v1760              </w:t>
      </w:r>
      <w:r w:rsidRPr="00FA0D37">
        <w:rPr>
          <w:color w:val="993366"/>
        </w:rPr>
        <w:t>OPTIONAL</w:t>
      </w:r>
      <w:r w:rsidRPr="00FA0D37">
        <w:t xml:space="preserve">        </w:t>
      </w:r>
      <w:r w:rsidRPr="00FA0D37">
        <w:rPr>
          <w:color w:val="808080"/>
        </w:rPr>
        <w:t>-- Need R</w:t>
      </w:r>
    </w:p>
    <w:p w14:paraId="6E1F5EC3" w14:textId="5CD0FFE1" w:rsidR="00394471" w:rsidRPr="00FA0D37" w:rsidRDefault="005431A1" w:rsidP="00FA0D37">
      <w:pPr>
        <w:pStyle w:val="PL"/>
      </w:pPr>
      <w:r w:rsidRPr="00FA0D37">
        <w:t xml:space="preserve">        ]]</w:t>
      </w:r>
    </w:p>
    <w:p w14:paraId="44834AA9" w14:textId="77777777" w:rsidR="00394471" w:rsidRPr="00FA0D37" w:rsidRDefault="00394471" w:rsidP="00FA0D37">
      <w:pPr>
        <w:pStyle w:val="PL"/>
      </w:pPr>
      <w:r w:rsidRPr="00FA0D37">
        <w:t xml:space="preserve">    },</w:t>
      </w:r>
    </w:p>
    <w:p w14:paraId="7BD41DEB" w14:textId="77777777" w:rsidR="00394471" w:rsidRPr="00FA0D37" w:rsidRDefault="00394471" w:rsidP="00FA0D37">
      <w:pPr>
        <w:pStyle w:val="PL"/>
      </w:pPr>
      <w:r w:rsidRPr="00FA0D37">
        <w:t xml:space="preserve">    ...,</w:t>
      </w:r>
    </w:p>
    <w:p w14:paraId="138CA920" w14:textId="77777777" w:rsidR="00394471" w:rsidRPr="00FA0D37" w:rsidRDefault="00394471" w:rsidP="00FA0D37">
      <w:pPr>
        <w:pStyle w:val="PL"/>
      </w:pPr>
      <w:r w:rsidRPr="00FA0D37">
        <w:t xml:space="preserve">    [[</w:t>
      </w:r>
    </w:p>
    <w:p w14:paraId="1640E1B5" w14:textId="77777777" w:rsidR="00394471" w:rsidRPr="00FA0D37" w:rsidRDefault="00394471" w:rsidP="00FA0D37">
      <w:pPr>
        <w:pStyle w:val="PL"/>
      </w:pPr>
      <w:r w:rsidRPr="00FA0D37">
        <w:t xml:space="preserve">    relaxedMeasurement-r16              </w:t>
      </w:r>
      <w:r w:rsidRPr="00FA0D37">
        <w:rPr>
          <w:color w:val="993366"/>
        </w:rPr>
        <w:t>SEQUENCE</w:t>
      </w:r>
      <w:r w:rsidRPr="00FA0D37">
        <w:t xml:space="preserve"> {</w:t>
      </w:r>
    </w:p>
    <w:p w14:paraId="521F8F41" w14:textId="77777777" w:rsidR="00394471" w:rsidRPr="00FA0D37" w:rsidRDefault="00394471" w:rsidP="00FA0D37">
      <w:pPr>
        <w:pStyle w:val="PL"/>
      </w:pPr>
      <w:r w:rsidRPr="00FA0D37">
        <w:t xml:space="preserve">        lowMobilityEvaluation-r16           </w:t>
      </w:r>
      <w:r w:rsidRPr="00FA0D37">
        <w:rPr>
          <w:color w:val="993366"/>
        </w:rPr>
        <w:t>SEQUENCE</w:t>
      </w:r>
      <w:r w:rsidRPr="00FA0D37">
        <w:t xml:space="preserve"> {</w:t>
      </w:r>
    </w:p>
    <w:p w14:paraId="1FC79ACA" w14:textId="77777777" w:rsidR="00394471" w:rsidRPr="00FA0D37" w:rsidRDefault="00394471" w:rsidP="00FA0D37">
      <w:pPr>
        <w:pStyle w:val="PL"/>
      </w:pPr>
      <w:r w:rsidRPr="00FA0D37">
        <w:t xml:space="preserve">            s-SearchDeltaP-r16                  </w:t>
      </w:r>
      <w:r w:rsidRPr="00FA0D37">
        <w:rPr>
          <w:color w:val="993366"/>
        </w:rPr>
        <w:t>ENUMERATED</w:t>
      </w:r>
      <w:r w:rsidRPr="00FA0D37">
        <w:t xml:space="preserve"> {</w:t>
      </w:r>
    </w:p>
    <w:p w14:paraId="4789F99F" w14:textId="77777777" w:rsidR="00394471" w:rsidRPr="00FA0D37" w:rsidRDefault="00394471" w:rsidP="00FA0D37">
      <w:pPr>
        <w:pStyle w:val="PL"/>
      </w:pPr>
      <w:r w:rsidRPr="00FA0D37">
        <w:t xml:space="preserve">                                                    dB3, dB6, dB9, dB12, dB15,</w:t>
      </w:r>
    </w:p>
    <w:p w14:paraId="133A121F" w14:textId="77777777" w:rsidR="00394471" w:rsidRPr="00FA0D37" w:rsidRDefault="00394471" w:rsidP="00FA0D37">
      <w:pPr>
        <w:pStyle w:val="PL"/>
      </w:pPr>
      <w:r w:rsidRPr="00FA0D37">
        <w:t xml:space="preserve">                                                    spare3, spare2, spare1},</w:t>
      </w:r>
    </w:p>
    <w:p w14:paraId="35D5DC12" w14:textId="77777777" w:rsidR="00394471" w:rsidRPr="00FA0D37" w:rsidRDefault="00394471" w:rsidP="00FA0D37">
      <w:pPr>
        <w:pStyle w:val="PL"/>
      </w:pPr>
      <w:r w:rsidRPr="00FA0D37">
        <w:t xml:space="preserve">            t-SearchDeltaP-r16                  </w:t>
      </w:r>
      <w:r w:rsidRPr="00FA0D37">
        <w:rPr>
          <w:color w:val="993366"/>
        </w:rPr>
        <w:t>ENUMERATED</w:t>
      </w:r>
      <w:r w:rsidRPr="00FA0D37">
        <w:t xml:space="preserve"> {</w:t>
      </w:r>
    </w:p>
    <w:p w14:paraId="686869D7" w14:textId="77777777" w:rsidR="00394471" w:rsidRPr="00FA0D37" w:rsidRDefault="00394471" w:rsidP="00FA0D37">
      <w:pPr>
        <w:pStyle w:val="PL"/>
      </w:pPr>
      <w:r w:rsidRPr="00FA0D37">
        <w:t xml:space="preserve">                                                    s5, s10, s20, s30, s60, s120, s180,</w:t>
      </w:r>
    </w:p>
    <w:p w14:paraId="08B14C01" w14:textId="77777777" w:rsidR="00394471" w:rsidRPr="00FA0D37" w:rsidRDefault="00394471" w:rsidP="00FA0D37">
      <w:pPr>
        <w:pStyle w:val="PL"/>
      </w:pPr>
      <w:r w:rsidRPr="00FA0D37">
        <w:t xml:space="preserve">                                                    s240, s300, spare7, spare6, spare5,</w:t>
      </w:r>
    </w:p>
    <w:p w14:paraId="14BD6F40" w14:textId="77777777" w:rsidR="00394471" w:rsidRPr="00FA0D37" w:rsidRDefault="00394471" w:rsidP="00FA0D37">
      <w:pPr>
        <w:pStyle w:val="PL"/>
      </w:pPr>
      <w:r w:rsidRPr="00FA0D37">
        <w:t xml:space="preserve">                                                    spare4, spare3, spare2, spare1}</w:t>
      </w:r>
    </w:p>
    <w:p w14:paraId="42619628"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4CA674E" w14:textId="77777777" w:rsidR="00394471" w:rsidRPr="00FA0D37" w:rsidRDefault="00394471" w:rsidP="00FA0D37">
      <w:pPr>
        <w:pStyle w:val="PL"/>
      </w:pPr>
      <w:r w:rsidRPr="00FA0D37">
        <w:t xml:space="preserve">        cellEdgeEvaluation-r16              </w:t>
      </w:r>
      <w:r w:rsidRPr="00FA0D37">
        <w:rPr>
          <w:color w:val="993366"/>
        </w:rPr>
        <w:t>SEQUENCE</w:t>
      </w:r>
      <w:r w:rsidRPr="00FA0D37">
        <w:t xml:space="preserve"> {</w:t>
      </w:r>
    </w:p>
    <w:p w14:paraId="53E9EEF4" w14:textId="77777777" w:rsidR="00394471" w:rsidRPr="00FA0D37" w:rsidRDefault="00394471" w:rsidP="00FA0D37">
      <w:pPr>
        <w:pStyle w:val="PL"/>
      </w:pPr>
      <w:r w:rsidRPr="00FA0D37">
        <w:t xml:space="preserve">            s-SearchThresholdP-r16              ReselectionThreshold,</w:t>
      </w:r>
    </w:p>
    <w:p w14:paraId="5080FBC1" w14:textId="77777777" w:rsidR="00394471" w:rsidRPr="00FA0D37" w:rsidRDefault="00394471" w:rsidP="00FA0D37">
      <w:pPr>
        <w:pStyle w:val="PL"/>
        <w:rPr>
          <w:color w:val="808080"/>
        </w:rPr>
      </w:pPr>
      <w:r w:rsidRPr="00FA0D37">
        <w:t xml:space="preserve">            s-SearchThresholdQ-r16              ReselectionThresholdQ                       </w:t>
      </w:r>
      <w:r w:rsidRPr="00FA0D37">
        <w:rPr>
          <w:color w:val="993366"/>
        </w:rPr>
        <w:t>OPTIONAL</w:t>
      </w:r>
      <w:r w:rsidRPr="00FA0D37">
        <w:t xml:space="preserve">        </w:t>
      </w:r>
      <w:r w:rsidRPr="00FA0D37">
        <w:rPr>
          <w:color w:val="808080"/>
        </w:rPr>
        <w:t>-- Need R</w:t>
      </w:r>
    </w:p>
    <w:p w14:paraId="7F46F147"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5FA32CA6" w14:textId="77777777" w:rsidR="00394471" w:rsidRPr="00FA0D37" w:rsidRDefault="00394471" w:rsidP="00FA0D37">
      <w:pPr>
        <w:pStyle w:val="PL"/>
        <w:rPr>
          <w:color w:val="808080"/>
        </w:rPr>
      </w:pPr>
      <w:r w:rsidRPr="00FA0D37">
        <w:t xml:space="preserve">        combineRelaxedMeasCondition-r16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11F4BFE3" w14:textId="77777777" w:rsidR="00394471" w:rsidRPr="00FA0D37" w:rsidRDefault="00394471" w:rsidP="00FA0D37">
      <w:pPr>
        <w:pStyle w:val="PL"/>
        <w:rPr>
          <w:color w:val="808080"/>
        </w:rPr>
      </w:pPr>
      <w:r w:rsidRPr="00FA0D37">
        <w:t xml:space="preserve">        highPriorityMeasRelax-r16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75722A4C"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127A28A6" w14:textId="2920381D" w:rsidR="005A0DA3" w:rsidRPr="00FA0D37" w:rsidRDefault="00394471" w:rsidP="00FA0D37">
      <w:pPr>
        <w:pStyle w:val="PL"/>
      </w:pPr>
      <w:r w:rsidRPr="00FA0D37">
        <w:t xml:space="preserve">    ]]</w:t>
      </w:r>
      <w:r w:rsidR="005A0DA3" w:rsidRPr="00FA0D37">
        <w:t>,</w:t>
      </w:r>
    </w:p>
    <w:p w14:paraId="7376108A" w14:textId="24658A5C" w:rsidR="005A0DA3" w:rsidRPr="00FA0D37" w:rsidRDefault="005A0DA3" w:rsidP="00FA0D37">
      <w:pPr>
        <w:pStyle w:val="PL"/>
      </w:pPr>
      <w:r w:rsidRPr="00FA0D37">
        <w:t xml:space="preserve">    [[</w:t>
      </w:r>
    </w:p>
    <w:p w14:paraId="13656CBB" w14:textId="644EC5CF" w:rsidR="005A0DA3" w:rsidRPr="00FA0D37" w:rsidRDefault="005A0DA3" w:rsidP="00FA0D37">
      <w:pPr>
        <w:pStyle w:val="PL"/>
        <w:rPr>
          <w:color w:val="808080"/>
        </w:rPr>
      </w:pPr>
      <w:r w:rsidRPr="00FA0D37">
        <w:t xml:space="preserve">    cellEquivalentSize-r17                  </w:t>
      </w:r>
      <w:r w:rsidRPr="00FA0D37">
        <w:rPr>
          <w:color w:val="993366"/>
        </w:rPr>
        <w:t>INTEGER</w:t>
      </w:r>
      <w:r w:rsidRPr="00FA0D37">
        <w:t xml:space="preserve">(2..16)                                  </w:t>
      </w:r>
      <w:r w:rsidRPr="00FA0D37">
        <w:rPr>
          <w:color w:val="993366"/>
        </w:rPr>
        <w:t>OPTIONAL</w:t>
      </w:r>
      <w:r w:rsidR="00CD6E06" w:rsidRPr="00FA0D37">
        <w:t>,</w:t>
      </w:r>
      <w:r w:rsidRPr="00FA0D37">
        <w:t xml:space="preserve">       </w:t>
      </w:r>
      <w:r w:rsidRPr="00FA0D37">
        <w:rPr>
          <w:color w:val="808080"/>
        </w:rPr>
        <w:t>-- Cond HSDN</w:t>
      </w:r>
    </w:p>
    <w:p w14:paraId="345BA057" w14:textId="16FDAD8E" w:rsidR="00CD6E06" w:rsidRPr="00FA0D37" w:rsidRDefault="00CD6E06" w:rsidP="00FA0D37">
      <w:pPr>
        <w:pStyle w:val="PL"/>
      </w:pPr>
      <w:r w:rsidRPr="00FA0D37">
        <w:t xml:space="preserve">    relaxedMeasurement-r17                  </w:t>
      </w:r>
      <w:r w:rsidRPr="00FA0D37">
        <w:rPr>
          <w:color w:val="993366"/>
        </w:rPr>
        <w:t>SEQUENCE</w:t>
      </w:r>
      <w:r w:rsidRPr="00FA0D37">
        <w:t xml:space="preserve"> {</w:t>
      </w:r>
    </w:p>
    <w:p w14:paraId="3A23059E" w14:textId="7B7ABAC7" w:rsidR="00CD6E06" w:rsidRPr="00FA0D37" w:rsidRDefault="00CD6E06" w:rsidP="00FA0D37">
      <w:pPr>
        <w:pStyle w:val="PL"/>
      </w:pPr>
      <w:r w:rsidRPr="00FA0D37">
        <w:t xml:space="preserve">        stationaryMobilityEvaluation-r17       </w:t>
      </w:r>
      <w:r w:rsidR="00FB193E" w:rsidRPr="00FA0D37">
        <w:t xml:space="preserve"> </w:t>
      </w:r>
      <w:r w:rsidRPr="00FA0D37">
        <w:rPr>
          <w:color w:val="993366"/>
        </w:rPr>
        <w:t>SEQUENCE</w:t>
      </w:r>
      <w:r w:rsidRPr="00FA0D37">
        <w:t xml:space="preserve"> {</w:t>
      </w:r>
    </w:p>
    <w:p w14:paraId="1EE56A37" w14:textId="22EC35E0" w:rsidR="00CD6E06" w:rsidRPr="00FA0D37" w:rsidRDefault="00CD6E06" w:rsidP="00FA0D37">
      <w:pPr>
        <w:pStyle w:val="PL"/>
      </w:pPr>
      <w:r w:rsidRPr="00FA0D37">
        <w:t xml:space="preserve">            s-SearchDeltaP-Stationary-r17          </w:t>
      </w:r>
      <w:r w:rsidR="00FB193E" w:rsidRPr="00FA0D37">
        <w:t xml:space="preserve"> </w:t>
      </w:r>
      <w:r w:rsidRPr="00FA0D37">
        <w:rPr>
          <w:color w:val="993366"/>
        </w:rPr>
        <w:t>ENUMERATED</w:t>
      </w:r>
      <w:r w:rsidRPr="00FA0D37">
        <w:t xml:space="preserve"> {</w:t>
      </w:r>
      <w:r w:rsidR="00AE678F" w:rsidRPr="00FA0D37">
        <w:t xml:space="preserve">dB2, </w:t>
      </w:r>
      <w:r w:rsidRPr="00FA0D37">
        <w:t>dB3, dB6, dB9, dB12, dB15, spare2, spare1},</w:t>
      </w:r>
    </w:p>
    <w:p w14:paraId="44CB2236" w14:textId="2A1227AD" w:rsidR="00CD6E06" w:rsidRPr="00FA0D37" w:rsidRDefault="00CD6E06" w:rsidP="00FA0D37">
      <w:pPr>
        <w:pStyle w:val="PL"/>
      </w:pPr>
      <w:r w:rsidRPr="00FA0D37">
        <w:t xml:space="preserve">            t-SearchDeltaP-Stationary-r17          </w:t>
      </w:r>
      <w:r w:rsidR="00FB193E" w:rsidRPr="00FA0D37">
        <w:t xml:space="preserve"> </w:t>
      </w:r>
      <w:r w:rsidRPr="00FA0D37">
        <w:rPr>
          <w:color w:val="993366"/>
        </w:rPr>
        <w:t>ENUMERATED</w:t>
      </w:r>
      <w:r w:rsidRPr="00FA0D37">
        <w:t xml:space="preserve"> {s5, s10, s20, s30, s60, s120, s180, s240, s300, spare7, spare6, spare5,</w:t>
      </w:r>
    </w:p>
    <w:p w14:paraId="3FEC459D" w14:textId="0C244DED" w:rsidR="00CD6E06" w:rsidRPr="00FA0D37" w:rsidRDefault="00CD6E06" w:rsidP="00FA0D37">
      <w:pPr>
        <w:pStyle w:val="PL"/>
      </w:pPr>
      <w:r w:rsidRPr="00FA0D37">
        <w:t xml:space="preserve">                                                                spare4, spare3, spare2, spare1}</w:t>
      </w:r>
    </w:p>
    <w:p w14:paraId="66376343" w14:textId="77777777" w:rsidR="00CD6E06" w:rsidRPr="00FA0D37" w:rsidRDefault="00CD6E06" w:rsidP="00FA0D37">
      <w:pPr>
        <w:pStyle w:val="PL"/>
      </w:pPr>
      <w:r w:rsidRPr="00FA0D37">
        <w:t xml:space="preserve">        },</w:t>
      </w:r>
    </w:p>
    <w:p w14:paraId="75E7E943" w14:textId="2F893EC7" w:rsidR="00CD6E06" w:rsidRPr="00FA0D37" w:rsidRDefault="00CD6E06" w:rsidP="00FA0D37">
      <w:pPr>
        <w:pStyle w:val="PL"/>
      </w:pPr>
      <w:r w:rsidRPr="00FA0D37">
        <w:t xml:space="preserve">        cellEdgeEvaluationWhileStationary-r17   </w:t>
      </w:r>
      <w:r w:rsidRPr="00FA0D37">
        <w:rPr>
          <w:color w:val="993366"/>
        </w:rPr>
        <w:t>SEQUENCE</w:t>
      </w:r>
      <w:r w:rsidRPr="00FA0D37">
        <w:t xml:space="preserve"> {</w:t>
      </w:r>
    </w:p>
    <w:p w14:paraId="5CECAD11" w14:textId="1021BF7C" w:rsidR="00CD6E06" w:rsidRPr="00FA0D37" w:rsidRDefault="00CD6E06" w:rsidP="00FA0D37">
      <w:pPr>
        <w:pStyle w:val="PL"/>
      </w:pPr>
      <w:r w:rsidRPr="00FA0D37">
        <w:t xml:space="preserve">            s-SearchThresholdP2-r17                 ReselectionThreshold,</w:t>
      </w:r>
    </w:p>
    <w:p w14:paraId="7EB85D95" w14:textId="127CE3DA" w:rsidR="00CD6E06" w:rsidRPr="00FA0D37" w:rsidRDefault="00CD6E06" w:rsidP="00FA0D37">
      <w:pPr>
        <w:pStyle w:val="PL"/>
        <w:rPr>
          <w:color w:val="808080"/>
        </w:rPr>
      </w:pPr>
      <w:r w:rsidRPr="00FA0D37">
        <w:t xml:space="preserve">            s-SearchThresholdQ2-r17                 ReselectionThresholdQ                   </w:t>
      </w:r>
      <w:r w:rsidRPr="00FA0D37">
        <w:rPr>
          <w:color w:val="993366"/>
        </w:rPr>
        <w:t>OPTIONAL</w:t>
      </w:r>
      <w:r w:rsidRPr="00FA0D37">
        <w:t xml:space="preserve">        </w:t>
      </w:r>
      <w:r w:rsidRPr="00FA0D37">
        <w:rPr>
          <w:color w:val="808080"/>
        </w:rPr>
        <w:t>-- Need R</w:t>
      </w:r>
    </w:p>
    <w:p w14:paraId="01EB195D" w14:textId="25ADA276" w:rsidR="00CD6E06" w:rsidRPr="00FA0D37" w:rsidRDefault="00CD6E06"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338BE8E" w14:textId="5726F633" w:rsidR="00CD6E06" w:rsidRPr="00FA0D37" w:rsidRDefault="00CD6E06" w:rsidP="00FA0D37">
      <w:pPr>
        <w:pStyle w:val="PL"/>
        <w:rPr>
          <w:color w:val="808080"/>
        </w:rPr>
      </w:pPr>
      <w:r w:rsidRPr="00FA0D37">
        <w:t xml:space="preserve">        combineRelaxedMeasCondition2-r17        </w:t>
      </w:r>
      <w:r w:rsidRPr="00FA0D37">
        <w:rPr>
          <w:color w:val="993366"/>
        </w:rPr>
        <w:t>ENUMERATED</w:t>
      </w:r>
      <w:r w:rsidRPr="00FA0D37">
        <w:t xml:space="preserve"> {true}                           </w:t>
      </w:r>
      <w:r w:rsidRPr="00FA0D37">
        <w:rPr>
          <w:color w:val="993366"/>
        </w:rPr>
        <w:t>OPTIONAL</w:t>
      </w:r>
      <w:r w:rsidR="00AE678F" w:rsidRPr="00FA0D37">
        <w:t xml:space="preserve">        </w:t>
      </w:r>
      <w:r w:rsidR="00AE678F" w:rsidRPr="00FA0D37">
        <w:rPr>
          <w:color w:val="808080"/>
        </w:rPr>
        <w:t>-- Need R</w:t>
      </w:r>
    </w:p>
    <w:p w14:paraId="22F32927" w14:textId="704BFD80" w:rsidR="00CD6E06" w:rsidRPr="00FA0D37" w:rsidRDefault="00CD6E06"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7CDA6B6" w14:textId="7463F408" w:rsidR="00394471" w:rsidRPr="00FA0D37" w:rsidRDefault="005A0DA3" w:rsidP="00FA0D37">
      <w:pPr>
        <w:pStyle w:val="PL"/>
      </w:pPr>
      <w:r w:rsidRPr="00FA0D37">
        <w:t xml:space="preserve">    ]]</w:t>
      </w:r>
    </w:p>
    <w:p w14:paraId="67816CC1" w14:textId="77777777" w:rsidR="00394471" w:rsidRPr="00FA0D37" w:rsidRDefault="00394471" w:rsidP="00FA0D37">
      <w:pPr>
        <w:pStyle w:val="PL"/>
      </w:pPr>
      <w:r w:rsidRPr="00FA0D37">
        <w:t>}</w:t>
      </w:r>
    </w:p>
    <w:p w14:paraId="6B3623BE" w14:textId="77777777" w:rsidR="00394471" w:rsidRPr="00FA0D37" w:rsidRDefault="00394471" w:rsidP="00FA0D37">
      <w:pPr>
        <w:pStyle w:val="PL"/>
      </w:pPr>
    </w:p>
    <w:p w14:paraId="170624FD" w14:textId="77777777" w:rsidR="00394471" w:rsidRPr="00FA0D37" w:rsidRDefault="00394471" w:rsidP="00FA0D37">
      <w:pPr>
        <w:pStyle w:val="PL"/>
      </w:pPr>
      <w:r w:rsidRPr="00FA0D37">
        <w:t>RangeToBestCell    ::= Q-OffsetRange</w:t>
      </w:r>
    </w:p>
    <w:p w14:paraId="61C5C637" w14:textId="77777777" w:rsidR="00394471" w:rsidRPr="00FA0D37" w:rsidRDefault="00394471" w:rsidP="00FA0D37">
      <w:pPr>
        <w:pStyle w:val="PL"/>
      </w:pPr>
    </w:p>
    <w:p w14:paraId="7B5210AE" w14:textId="77777777" w:rsidR="00394471" w:rsidRPr="00FA0D37" w:rsidRDefault="00394471" w:rsidP="00FA0D37">
      <w:pPr>
        <w:pStyle w:val="PL"/>
        <w:rPr>
          <w:color w:val="808080"/>
        </w:rPr>
      </w:pPr>
      <w:r w:rsidRPr="00FA0D37">
        <w:rPr>
          <w:color w:val="808080"/>
        </w:rPr>
        <w:t>-- TAG-SIB2-STOP</w:t>
      </w:r>
    </w:p>
    <w:p w14:paraId="1656E836" w14:textId="77777777" w:rsidR="00394471" w:rsidRPr="00FA0D37" w:rsidRDefault="00394471" w:rsidP="00FA0D37">
      <w:pPr>
        <w:pStyle w:val="PL"/>
        <w:rPr>
          <w:color w:val="808080"/>
        </w:rPr>
      </w:pPr>
      <w:r w:rsidRPr="00FA0D37">
        <w:rPr>
          <w:color w:val="808080"/>
        </w:rPr>
        <w:t>-- ASN1STOP</w:t>
      </w:r>
    </w:p>
    <w:p w14:paraId="1F1722FB" w14:textId="77777777" w:rsidR="00394471" w:rsidRPr="00FA0D3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5142F3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5B5F9" w14:textId="77777777" w:rsidR="00394471" w:rsidRPr="00FA0D37" w:rsidRDefault="00394471" w:rsidP="00964CC4">
            <w:pPr>
              <w:pStyle w:val="TAH"/>
              <w:rPr>
                <w:lang w:eastAsia="en-GB"/>
              </w:rPr>
            </w:pPr>
            <w:r w:rsidRPr="00FA0D37">
              <w:rPr>
                <w:i/>
                <w:noProof/>
                <w:lang w:eastAsia="en-GB"/>
              </w:rPr>
              <w:lastRenderedPageBreak/>
              <w:t>SIB2</w:t>
            </w:r>
            <w:r w:rsidRPr="00FA0D37">
              <w:rPr>
                <w:iCs/>
                <w:noProof/>
                <w:lang w:eastAsia="en-GB"/>
              </w:rPr>
              <w:t xml:space="preserve"> field descriptions</w:t>
            </w:r>
          </w:p>
        </w:tc>
      </w:tr>
      <w:tr w:rsidR="005C7FF4" w:rsidRPr="00FA0D37" w14:paraId="1EBDAA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85C60F" w14:textId="77777777" w:rsidR="00394471" w:rsidRPr="00FA0D37" w:rsidRDefault="00394471" w:rsidP="00964CC4">
            <w:pPr>
              <w:pStyle w:val="TAL"/>
              <w:rPr>
                <w:b/>
                <w:bCs/>
                <w:i/>
                <w:noProof/>
                <w:lang w:eastAsia="en-GB"/>
              </w:rPr>
            </w:pPr>
            <w:r w:rsidRPr="00FA0D37">
              <w:rPr>
                <w:b/>
                <w:bCs/>
                <w:i/>
                <w:noProof/>
                <w:lang w:eastAsia="en-GB"/>
              </w:rPr>
              <w:t>absThreshSS-BlocksConsolidation</w:t>
            </w:r>
          </w:p>
          <w:p w14:paraId="770BE784" w14:textId="77777777" w:rsidR="00394471" w:rsidRPr="00FA0D37" w:rsidRDefault="00394471" w:rsidP="00964CC4">
            <w:pPr>
              <w:pStyle w:val="TAL"/>
              <w:rPr>
                <w:lang w:eastAsia="en-GB"/>
              </w:rPr>
            </w:pPr>
            <w:r w:rsidRPr="00FA0D37">
              <w:rPr>
                <w:lang w:eastAsia="en-GB"/>
              </w:rPr>
              <w:t>Threshold for consolidation of L1 measurements per RS index. If the field is absent, the UE uses the measurement quantity as specified in TS 38.304 [20].</w:t>
            </w:r>
          </w:p>
        </w:tc>
      </w:tr>
      <w:tr w:rsidR="005C7FF4" w:rsidRPr="00FA0D37" w14:paraId="087D279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3E867B" w14:textId="77777777" w:rsidR="00394471" w:rsidRPr="00FA0D37" w:rsidRDefault="00394471" w:rsidP="00964CC4">
            <w:pPr>
              <w:pStyle w:val="TAL"/>
              <w:rPr>
                <w:b/>
                <w:bCs/>
                <w:i/>
                <w:noProof/>
                <w:lang w:eastAsia="en-GB"/>
              </w:rPr>
            </w:pPr>
            <w:r w:rsidRPr="00FA0D37">
              <w:rPr>
                <w:b/>
                <w:bCs/>
                <w:i/>
                <w:noProof/>
                <w:lang w:eastAsia="en-GB"/>
              </w:rPr>
              <w:t>cellEdgeEvaluation</w:t>
            </w:r>
          </w:p>
          <w:p w14:paraId="12BA19D1" w14:textId="5ADB8686" w:rsidR="00394471" w:rsidRPr="00FA0D37" w:rsidRDefault="00394471" w:rsidP="00964CC4">
            <w:pPr>
              <w:pStyle w:val="TAL"/>
              <w:rPr>
                <w:lang w:eastAsia="en-GB"/>
              </w:rPr>
            </w:pPr>
            <w:r w:rsidRPr="00FA0D37">
              <w:rPr>
                <w:bCs/>
                <w:lang w:eastAsia="zh-CN"/>
              </w:rPr>
              <w:t xml:space="preserve">Indicates the criteria for a UE to detect that it is not at cell edge, in order to relax measurement requirements for cell reselection </w:t>
            </w:r>
            <w:r w:rsidRPr="00FA0D37">
              <w:rPr>
                <w:szCs w:val="22"/>
                <w:lang w:eastAsia="sv-SE"/>
              </w:rPr>
              <w:t>(see TS 38.304 [20], clause 5.2.4.9.2)</w:t>
            </w:r>
            <w:r w:rsidRPr="00FA0D37">
              <w:rPr>
                <w:bCs/>
                <w:lang w:eastAsia="zh-CN"/>
              </w:rPr>
              <w:t>.</w:t>
            </w:r>
          </w:p>
        </w:tc>
      </w:tr>
      <w:tr w:rsidR="005C7FF4" w:rsidRPr="00FA0D37" w14:paraId="103257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B9DD581" w14:textId="77777777" w:rsidR="00CD6E06" w:rsidRPr="00FA0D37" w:rsidRDefault="00CD6E06" w:rsidP="00771058">
            <w:pPr>
              <w:pStyle w:val="TAL"/>
              <w:rPr>
                <w:b/>
                <w:bCs/>
                <w:i/>
                <w:lang w:eastAsia="en-GB"/>
              </w:rPr>
            </w:pPr>
            <w:r w:rsidRPr="00FA0D37">
              <w:rPr>
                <w:b/>
                <w:bCs/>
                <w:i/>
                <w:lang w:eastAsia="en-GB"/>
              </w:rPr>
              <w:t>cellEdgeEvaluationWhileStationary</w:t>
            </w:r>
          </w:p>
          <w:p w14:paraId="0114A609" w14:textId="32C4ACB4" w:rsidR="00CD6E06" w:rsidRPr="00FA0D37" w:rsidRDefault="00CD6E06" w:rsidP="00771058">
            <w:pPr>
              <w:pStyle w:val="TAL"/>
              <w:rPr>
                <w:b/>
                <w:bCs/>
                <w:i/>
                <w:noProof/>
                <w:lang w:eastAsia="en-GB"/>
              </w:rPr>
            </w:pPr>
            <w:r w:rsidRPr="00FA0D37">
              <w:rPr>
                <w:bCs/>
                <w:lang w:eastAsia="zh-CN"/>
              </w:rPr>
              <w:t xml:space="preserve">Indicates the criteria for a UE to detect that it is not at cell edge while stationary, in order to relax measurement requirements for cell reselection </w:t>
            </w:r>
            <w:r w:rsidRPr="00FA0D37">
              <w:rPr>
                <w:szCs w:val="22"/>
                <w:lang w:eastAsia="sv-SE"/>
              </w:rPr>
              <w:t>(see TS 38.304 [20], clause 5.2.4.9.</w:t>
            </w:r>
            <w:r w:rsidR="00AE678F" w:rsidRPr="00FA0D37">
              <w:rPr>
                <w:szCs w:val="22"/>
                <w:lang w:eastAsia="sv-SE"/>
              </w:rPr>
              <w:t>4</w:t>
            </w:r>
            <w:r w:rsidRPr="00FA0D37">
              <w:rPr>
                <w:szCs w:val="22"/>
                <w:lang w:eastAsia="sv-SE"/>
              </w:rPr>
              <w:t>)</w:t>
            </w:r>
            <w:r w:rsidRPr="00FA0D37">
              <w:rPr>
                <w:bCs/>
                <w:lang w:eastAsia="zh-CN"/>
              </w:rPr>
              <w:t>.</w:t>
            </w:r>
          </w:p>
        </w:tc>
      </w:tr>
      <w:tr w:rsidR="005C7FF4" w:rsidRPr="00FA0D37" w14:paraId="1A9F80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DF11906" w14:textId="77777777" w:rsidR="005A0DA3" w:rsidRPr="00FA0D37" w:rsidRDefault="005A0DA3" w:rsidP="005A0DA3">
            <w:pPr>
              <w:pStyle w:val="TAL"/>
              <w:rPr>
                <w:b/>
                <w:bCs/>
                <w:i/>
                <w:noProof/>
                <w:lang w:eastAsia="en-GB"/>
              </w:rPr>
            </w:pPr>
            <w:r w:rsidRPr="00FA0D37">
              <w:rPr>
                <w:b/>
                <w:bCs/>
                <w:i/>
                <w:noProof/>
                <w:lang w:eastAsia="en-GB"/>
              </w:rPr>
              <w:t>cellEquivalentSize</w:t>
            </w:r>
          </w:p>
          <w:p w14:paraId="13D2D76F" w14:textId="6559DB89" w:rsidR="005A0DA3" w:rsidRPr="00FA0D37" w:rsidRDefault="005A0DA3" w:rsidP="005A0DA3">
            <w:pPr>
              <w:pStyle w:val="TAL"/>
              <w:rPr>
                <w:iCs/>
                <w:noProof/>
                <w:lang w:eastAsia="en-GB"/>
              </w:rPr>
            </w:pPr>
            <w:r w:rsidRPr="00FA0D37">
              <w:rPr>
                <w:iCs/>
                <w:noProof/>
                <w:lang w:eastAsia="en-GB"/>
              </w:rPr>
              <w:t>The number of cell count used for mobility state estimation for this cell as specified in TS 38.304 [20].</w:t>
            </w:r>
          </w:p>
        </w:tc>
      </w:tr>
      <w:tr w:rsidR="005C7FF4" w:rsidRPr="00FA0D37" w14:paraId="189B5B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649C54" w14:textId="77777777" w:rsidR="00394471" w:rsidRPr="00FA0D37" w:rsidRDefault="00394471" w:rsidP="00964CC4">
            <w:pPr>
              <w:pStyle w:val="TAL"/>
              <w:rPr>
                <w:b/>
                <w:bCs/>
                <w:i/>
                <w:noProof/>
                <w:lang w:eastAsia="en-GB"/>
              </w:rPr>
            </w:pPr>
            <w:r w:rsidRPr="00FA0D37">
              <w:rPr>
                <w:b/>
                <w:bCs/>
                <w:i/>
                <w:noProof/>
                <w:lang w:eastAsia="en-GB"/>
              </w:rPr>
              <w:t>cellReselectionInfoCommon</w:t>
            </w:r>
          </w:p>
          <w:p w14:paraId="62CE1F80" w14:textId="77777777" w:rsidR="00394471" w:rsidRPr="00FA0D37" w:rsidRDefault="00394471" w:rsidP="00964CC4">
            <w:pPr>
              <w:pStyle w:val="TAL"/>
              <w:rPr>
                <w:lang w:eastAsia="en-GB"/>
              </w:rPr>
            </w:pPr>
            <w:r w:rsidRPr="00FA0D37">
              <w:rPr>
                <w:lang w:eastAsia="en-GB"/>
              </w:rPr>
              <w:t>Cell re-selection information common for intra-frequency, inter-frequency and/ or inter-RAT cell re-selection.</w:t>
            </w:r>
          </w:p>
        </w:tc>
      </w:tr>
      <w:tr w:rsidR="005C7FF4" w:rsidRPr="00FA0D37" w14:paraId="0F4567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0A5EBC" w14:textId="77777777" w:rsidR="00394471" w:rsidRPr="00FA0D37" w:rsidRDefault="00394471" w:rsidP="00964CC4">
            <w:pPr>
              <w:pStyle w:val="TAL"/>
              <w:rPr>
                <w:b/>
                <w:bCs/>
                <w:i/>
                <w:noProof/>
                <w:lang w:eastAsia="en-GB"/>
              </w:rPr>
            </w:pPr>
            <w:r w:rsidRPr="00FA0D37">
              <w:rPr>
                <w:b/>
                <w:bCs/>
                <w:i/>
                <w:noProof/>
                <w:lang w:eastAsia="en-GB"/>
              </w:rPr>
              <w:t>cellReselectionServingFreqInfo</w:t>
            </w:r>
          </w:p>
          <w:p w14:paraId="77E109E4" w14:textId="77777777" w:rsidR="00394471" w:rsidRPr="00FA0D37" w:rsidRDefault="00394471" w:rsidP="00964CC4">
            <w:pPr>
              <w:pStyle w:val="TAL"/>
              <w:rPr>
                <w:lang w:eastAsia="en-GB"/>
              </w:rPr>
            </w:pPr>
            <w:r w:rsidRPr="00FA0D37">
              <w:rPr>
                <w:lang w:eastAsia="en-GB"/>
              </w:rPr>
              <w:t>Information common for non-intra-frequency cell re-selection i.e. cell re-selection to inter-frequency and inter-RAT cells.</w:t>
            </w:r>
          </w:p>
        </w:tc>
      </w:tr>
      <w:tr w:rsidR="005C7FF4" w:rsidRPr="00FA0D37" w14:paraId="0EF15E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4A00365" w14:textId="77777777" w:rsidR="00394471" w:rsidRPr="00FA0D37" w:rsidRDefault="00394471" w:rsidP="00964CC4">
            <w:pPr>
              <w:pStyle w:val="TAL"/>
              <w:rPr>
                <w:b/>
                <w:bCs/>
                <w:i/>
                <w:noProof/>
                <w:lang w:eastAsia="en-GB"/>
              </w:rPr>
            </w:pPr>
            <w:r w:rsidRPr="00FA0D37">
              <w:rPr>
                <w:b/>
                <w:bCs/>
                <w:i/>
                <w:noProof/>
                <w:lang w:eastAsia="en-GB"/>
              </w:rPr>
              <w:t>combineRelaxedMeasCondition</w:t>
            </w:r>
          </w:p>
          <w:p w14:paraId="39AF237E" w14:textId="77777777" w:rsidR="00394471" w:rsidRPr="00FA0D37" w:rsidRDefault="00394471" w:rsidP="00964CC4">
            <w:pPr>
              <w:pStyle w:val="TAL"/>
              <w:rPr>
                <w:iCs/>
                <w:noProof/>
                <w:lang w:eastAsia="en-GB"/>
              </w:rPr>
            </w:pPr>
            <w:r w:rsidRPr="00FA0D37">
              <w:rPr>
                <w:iCs/>
                <w:noProof/>
                <w:lang w:eastAsia="en-GB"/>
              </w:rPr>
              <w:t xml:space="preserve">When both </w:t>
            </w:r>
            <w:r w:rsidRPr="00FA0D37">
              <w:rPr>
                <w:i/>
                <w:noProof/>
                <w:lang w:eastAsia="en-GB"/>
              </w:rPr>
              <w:t>lowMobilityEvalutation</w:t>
            </w:r>
            <w:r w:rsidRPr="00FA0D37">
              <w:rPr>
                <w:iCs/>
                <w:noProof/>
                <w:lang w:eastAsia="en-GB"/>
              </w:rPr>
              <w:t xml:space="preserve"> and </w:t>
            </w:r>
            <w:r w:rsidRPr="00FA0D37">
              <w:rPr>
                <w:i/>
                <w:noProof/>
                <w:lang w:eastAsia="en-GB"/>
              </w:rPr>
              <w:t>cellEdgeEvalutation</w:t>
            </w:r>
            <w:r w:rsidRPr="00FA0D37">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5C7FF4" w:rsidRPr="00FA0D37" w14:paraId="0107FB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8E7A432" w14:textId="77777777" w:rsidR="00CD6E06" w:rsidRPr="00FA0D37" w:rsidRDefault="00CD6E06" w:rsidP="00771058">
            <w:pPr>
              <w:pStyle w:val="TAL"/>
              <w:rPr>
                <w:b/>
                <w:bCs/>
                <w:i/>
                <w:noProof/>
                <w:lang w:eastAsia="en-GB"/>
              </w:rPr>
            </w:pPr>
            <w:r w:rsidRPr="00FA0D37">
              <w:rPr>
                <w:b/>
                <w:bCs/>
                <w:i/>
                <w:noProof/>
                <w:lang w:eastAsia="en-GB"/>
              </w:rPr>
              <w:t>combineRelaxedMeasCondition2</w:t>
            </w:r>
          </w:p>
          <w:p w14:paraId="2992D527" w14:textId="77777777" w:rsidR="00CD6E06" w:rsidRPr="00FA0D37" w:rsidRDefault="00CD6E06" w:rsidP="00771058">
            <w:pPr>
              <w:pStyle w:val="TAL"/>
              <w:rPr>
                <w:iCs/>
                <w:noProof/>
                <w:lang w:eastAsia="en-GB"/>
              </w:rPr>
            </w:pPr>
            <w:r w:rsidRPr="00FA0D37">
              <w:rPr>
                <w:iCs/>
                <w:noProof/>
                <w:lang w:eastAsia="en-GB"/>
              </w:rPr>
              <w:t xml:space="preserve">When both </w:t>
            </w:r>
            <w:r w:rsidRPr="00FA0D37">
              <w:rPr>
                <w:i/>
                <w:noProof/>
                <w:lang w:eastAsia="en-GB"/>
              </w:rPr>
              <w:t xml:space="preserve">stationaryMobilityEvaluation </w:t>
            </w:r>
            <w:r w:rsidRPr="00FA0D37">
              <w:rPr>
                <w:iCs/>
                <w:noProof/>
                <w:lang w:eastAsia="en-GB"/>
              </w:rPr>
              <w:t xml:space="preserve">and </w:t>
            </w:r>
            <w:r w:rsidRPr="00FA0D37">
              <w:rPr>
                <w:i/>
                <w:noProof/>
                <w:lang w:eastAsia="en-GB"/>
              </w:rPr>
              <w:t xml:space="preserve">cellEdgeEvaluationWhileStationary </w:t>
            </w:r>
            <w:r w:rsidRPr="00FA0D37">
              <w:rPr>
                <w:iCs/>
                <w:noProof/>
                <w:lang w:eastAsia="en-GB"/>
              </w:rPr>
              <w:t>criteria are present in SIB2, this parameter configures the UE to fulfil both criteria in order to relax measurement requirements for cell reselection. If the field is absent, the UE is allowed to relax measurement requirements for cell reselection when only the stationary criteria is met. (See TS 38.304 [20], clause 5.2.4.9.0)</w:t>
            </w:r>
          </w:p>
        </w:tc>
      </w:tr>
      <w:tr w:rsidR="005C7FF4" w:rsidRPr="00FA0D37" w14:paraId="21F22A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4655D" w14:textId="77777777" w:rsidR="00394471" w:rsidRPr="00FA0D37" w:rsidRDefault="00394471" w:rsidP="00964CC4">
            <w:pPr>
              <w:pStyle w:val="TAL"/>
              <w:rPr>
                <w:b/>
                <w:bCs/>
                <w:i/>
                <w:iCs/>
                <w:lang w:eastAsia="sv-SE"/>
              </w:rPr>
            </w:pPr>
            <w:r w:rsidRPr="00FA0D37">
              <w:rPr>
                <w:b/>
                <w:bCs/>
                <w:i/>
                <w:iCs/>
                <w:lang w:eastAsia="sv-SE"/>
              </w:rPr>
              <w:t>deriveSSB-IndexFromCell</w:t>
            </w:r>
          </w:p>
          <w:p w14:paraId="75719871" w14:textId="77777777" w:rsidR="00394471" w:rsidRPr="00FA0D37" w:rsidRDefault="00394471" w:rsidP="00964CC4">
            <w:pPr>
              <w:pStyle w:val="TAL"/>
              <w:rPr>
                <w:b/>
                <w:bCs/>
                <w:i/>
                <w:noProof/>
                <w:lang w:eastAsia="en-GB"/>
              </w:rPr>
            </w:pPr>
            <w:r w:rsidRPr="00FA0D37">
              <w:rPr>
                <w:szCs w:val="22"/>
                <w:lang w:eastAsia="sv-SE"/>
              </w:rPr>
              <w:t xml:space="preserve">This field indicates whether the UE can utilize serving cell timing to derive the index of SS block transmitted by neighbour cell. </w:t>
            </w:r>
            <w:r w:rsidRPr="00FA0D37">
              <w:rPr>
                <w:lang w:eastAsia="sv-SE"/>
              </w:rPr>
              <w:t xml:space="preserve">If this field is set to </w:t>
            </w:r>
            <w:r w:rsidRPr="00FA0D37">
              <w:rPr>
                <w:i/>
                <w:lang w:eastAsia="sv-SE"/>
              </w:rPr>
              <w:t>true</w:t>
            </w:r>
            <w:r w:rsidRPr="00FA0D37">
              <w:rPr>
                <w:lang w:eastAsia="sv-SE"/>
              </w:rPr>
              <w:t>, the UE assumes SFN and frame boundary alignment across cells on the serving frequency as specified in TS 38.133 [14].</w:t>
            </w:r>
          </w:p>
        </w:tc>
      </w:tr>
      <w:tr w:rsidR="005C7FF4" w:rsidRPr="00FA0D37" w14:paraId="1C5EA03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4E94FB" w14:textId="77777777" w:rsidR="00394471" w:rsidRPr="00FA0D37" w:rsidRDefault="00394471" w:rsidP="00964CC4">
            <w:pPr>
              <w:pStyle w:val="TAL"/>
              <w:rPr>
                <w:b/>
                <w:bCs/>
                <w:i/>
                <w:noProof/>
                <w:lang w:eastAsia="en-GB"/>
              </w:rPr>
            </w:pPr>
            <w:r w:rsidRPr="00FA0D37">
              <w:rPr>
                <w:b/>
                <w:bCs/>
                <w:i/>
                <w:noProof/>
                <w:lang w:eastAsia="en-GB"/>
              </w:rPr>
              <w:t>frequencyBandList</w:t>
            </w:r>
          </w:p>
          <w:p w14:paraId="7BB6516C" w14:textId="64E33506" w:rsidR="00394471" w:rsidRPr="00FA0D37" w:rsidRDefault="00394471" w:rsidP="00964CC4">
            <w:pPr>
              <w:pStyle w:val="TAL"/>
              <w:rPr>
                <w:bCs/>
                <w:noProof/>
                <w:lang w:eastAsia="en-GB"/>
              </w:rPr>
            </w:pPr>
            <w:r w:rsidRPr="00FA0D37">
              <w:rPr>
                <w:bCs/>
                <w:noProof/>
                <w:lang w:eastAsia="en-GB"/>
              </w:rPr>
              <w:t xml:space="preserve">Indicates the list of frequency bands for which the NR cell reselection parameters apply. The UE behaviour in case the field is absent is described in </w:t>
            </w:r>
            <w:r w:rsidR="009C7196" w:rsidRPr="00FA0D37">
              <w:rPr>
                <w:bCs/>
                <w:noProof/>
                <w:lang w:eastAsia="en-GB"/>
              </w:rPr>
              <w:t>clause</w:t>
            </w:r>
            <w:r w:rsidRPr="00FA0D37">
              <w:rPr>
                <w:bCs/>
                <w:noProof/>
                <w:lang w:eastAsia="en-GB"/>
              </w:rPr>
              <w:t xml:space="preserve"> 5.2.2.4.3.</w:t>
            </w:r>
          </w:p>
        </w:tc>
      </w:tr>
      <w:tr w:rsidR="005C7FF4" w:rsidRPr="00FA0D37" w14:paraId="11BBDD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33FFF7" w14:textId="77777777" w:rsidR="00394471" w:rsidRPr="00FA0D37" w:rsidRDefault="00394471" w:rsidP="00964CC4">
            <w:pPr>
              <w:pStyle w:val="TAL"/>
              <w:rPr>
                <w:b/>
                <w:bCs/>
                <w:i/>
                <w:noProof/>
                <w:lang w:eastAsia="en-GB"/>
              </w:rPr>
            </w:pPr>
            <w:r w:rsidRPr="00FA0D37">
              <w:rPr>
                <w:b/>
                <w:bCs/>
                <w:i/>
                <w:noProof/>
                <w:lang w:eastAsia="en-GB"/>
              </w:rPr>
              <w:t>highPriorityMeasRelax</w:t>
            </w:r>
          </w:p>
          <w:p w14:paraId="66EF9F37" w14:textId="10A751FC" w:rsidR="00394471" w:rsidRPr="00FA0D37" w:rsidRDefault="00394471" w:rsidP="00964CC4">
            <w:pPr>
              <w:pStyle w:val="TAL"/>
              <w:rPr>
                <w:b/>
                <w:bCs/>
                <w:i/>
                <w:noProof/>
                <w:lang w:eastAsia="en-GB"/>
              </w:rPr>
            </w:pPr>
            <w:r w:rsidRPr="00FA0D37">
              <w:rPr>
                <w:bCs/>
                <w:noProof/>
                <w:lang w:eastAsia="en-GB"/>
              </w:rPr>
              <w:t xml:space="preserve">Indicates whether measurements can be relaxed on high priority frequencies. </w:t>
            </w:r>
            <w:r w:rsidRPr="00FA0D37">
              <w:rPr>
                <w:lang w:eastAsia="en-GB"/>
              </w:rPr>
              <w:t xml:space="preserve">If the field is absent, the UE shall not </w:t>
            </w:r>
            <w:r w:rsidRPr="00FA0D37">
              <w:rPr>
                <w:bCs/>
                <w:noProof/>
                <w:lang w:eastAsia="en-GB"/>
              </w:rPr>
              <w:t>relax measurements on high priority frequencies</w:t>
            </w:r>
            <w:r w:rsidRPr="00FA0D37">
              <w:t xml:space="preserve"> </w:t>
            </w:r>
            <w:r w:rsidRPr="00FA0D37">
              <w:rPr>
                <w:bCs/>
                <w:noProof/>
                <w:lang w:eastAsia="en-GB"/>
              </w:rPr>
              <w:t>beyond "T</w:t>
            </w:r>
            <w:r w:rsidRPr="00FA0D37">
              <w:rPr>
                <w:bCs/>
                <w:noProof/>
                <w:vertAlign w:val="subscript"/>
                <w:lang w:eastAsia="en-GB"/>
              </w:rPr>
              <w:t>higher_priority_search</w:t>
            </w:r>
            <w:r w:rsidRPr="00FA0D37">
              <w:rPr>
                <w:bCs/>
                <w:noProof/>
                <w:lang w:eastAsia="en-GB"/>
              </w:rPr>
              <w:t xml:space="preserve">" </w:t>
            </w:r>
            <w:r w:rsidR="00F04E24" w:rsidRPr="00FA0D37">
              <w:rPr>
                <w:bCs/>
                <w:noProof/>
                <w:lang w:eastAsia="en-GB"/>
              </w:rPr>
              <w:t xml:space="preserve">unless both low mobility and not at cell edge criteria are fulfilled </w:t>
            </w:r>
            <w:r w:rsidRPr="00FA0D37">
              <w:rPr>
                <w:bCs/>
                <w:noProof/>
                <w:lang w:eastAsia="en-GB"/>
              </w:rPr>
              <w:t>(see TS 38.133 [14], clause</w:t>
            </w:r>
            <w:r w:rsidR="00812831" w:rsidRPr="00FA0D37">
              <w:rPr>
                <w:bCs/>
                <w:noProof/>
                <w:lang w:eastAsia="en-GB"/>
              </w:rPr>
              <w:t>s</w:t>
            </w:r>
            <w:r w:rsidRPr="00FA0D37">
              <w:rPr>
                <w:bCs/>
                <w:noProof/>
                <w:lang w:eastAsia="en-GB"/>
              </w:rPr>
              <w:t xml:space="preserve"> 4.2.2.7</w:t>
            </w:r>
            <w:r w:rsidR="00F04E24" w:rsidRPr="00FA0D37">
              <w:rPr>
                <w:bCs/>
                <w:noProof/>
                <w:lang w:eastAsia="en-GB"/>
              </w:rPr>
              <w:t xml:space="preserve">, </w:t>
            </w:r>
            <w:r w:rsidR="00812831" w:rsidRPr="00FA0D37">
              <w:rPr>
                <w:bCs/>
                <w:noProof/>
                <w:lang w:eastAsia="en-GB"/>
              </w:rPr>
              <w:t>4.2.2.10 and 4.2.2.11</w:t>
            </w:r>
            <w:r w:rsidRPr="00FA0D37">
              <w:rPr>
                <w:bCs/>
                <w:noProof/>
                <w:lang w:eastAsia="en-GB"/>
              </w:rPr>
              <w:t>).</w:t>
            </w:r>
          </w:p>
        </w:tc>
      </w:tr>
      <w:tr w:rsidR="005C7FF4" w:rsidRPr="00FA0D37" w14:paraId="28CF19E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976C9" w14:textId="77777777" w:rsidR="00394471" w:rsidRPr="00FA0D37" w:rsidRDefault="00394471" w:rsidP="00964CC4">
            <w:pPr>
              <w:pStyle w:val="TAL"/>
              <w:rPr>
                <w:b/>
                <w:bCs/>
                <w:i/>
                <w:noProof/>
                <w:lang w:eastAsia="en-GB"/>
              </w:rPr>
            </w:pPr>
            <w:r w:rsidRPr="00FA0D37">
              <w:rPr>
                <w:b/>
                <w:bCs/>
                <w:i/>
                <w:noProof/>
                <w:lang w:eastAsia="en-GB"/>
              </w:rPr>
              <w:t>intraFreqCellReselectionInfo</w:t>
            </w:r>
          </w:p>
          <w:p w14:paraId="0A8EF163" w14:textId="77777777" w:rsidR="00394471" w:rsidRPr="00FA0D37" w:rsidRDefault="00394471" w:rsidP="00964CC4">
            <w:pPr>
              <w:pStyle w:val="TAL"/>
              <w:rPr>
                <w:lang w:eastAsia="en-GB"/>
              </w:rPr>
            </w:pPr>
            <w:r w:rsidRPr="00FA0D37">
              <w:rPr>
                <w:lang w:eastAsia="en-GB"/>
              </w:rPr>
              <w:t>Cell re-selection information common for intra-frequency cells.</w:t>
            </w:r>
          </w:p>
        </w:tc>
      </w:tr>
      <w:tr w:rsidR="005C7FF4" w:rsidRPr="00FA0D37" w14:paraId="4E9A5D2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20F8C6" w14:textId="77777777" w:rsidR="00394471" w:rsidRPr="00FA0D37" w:rsidRDefault="00394471" w:rsidP="00964CC4">
            <w:pPr>
              <w:pStyle w:val="TAL"/>
              <w:rPr>
                <w:b/>
                <w:bCs/>
                <w:i/>
                <w:noProof/>
                <w:lang w:eastAsia="en-GB"/>
              </w:rPr>
            </w:pPr>
            <w:r w:rsidRPr="00FA0D37">
              <w:rPr>
                <w:b/>
                <w:bCs/>
                <w:i/>
                <w:noProof/>
                <w:lang w:eastAsia="en-GB"/>
              </w:rPr>
              <w:t>lowMobilityEvaluation</w:t>
            </w:r>
          </w:p>
          <w:p w14:paraId="07F49F92" w14:textId="77777777" w:rsidR="00394471" w:rsidRPr="00FA0D37" w:rsidRDefault="00394471" w:rsidP="00964CC4">
            <w:pPr>
              <w:pStyle w:val="TAL"/>
              <w:rPr>
                <w:lang w:eastAsia="en-GB"/>
              </w:rPr>
            </w:pPr>
            <w:r w:rsidRPr="00FA0D37">
              <w:rPr>
                <w:bCs/>
                <w:lang w:eastAsia="zh-CN"/>
              </w:rPr>
              <w:t xml:space="preserve">Indicates the criteria for a UE to detect low mobility, in order to relax measurement requirements for cell reselection </w:t>
            </w:r>
            <w:r w:rsidRPr="00FA0D37">
              <w:rPr>
                <w:szCs w:val="22"/>
                <w:lang w:eastAsia="sv-SE"/>
              </w:rPr>
              <w:t>(see TS 38.304 [20], clause 5.2.4.9.1)</w:t>
            </w:r>
            <w:r w:rsidRPr="00FA0D37">
              <w:rPr>
                <w:bCs/>
                <w:lang w:eastAsia="zh-CN"/>
              </w:rPr>
              <w:t>.</w:t>
            </w:r>
          </w:p>
        </w:tc>
      </w:tr>
      <w:tr w:rsidR="005C7FF4" w:rsidRPr="00FA0D37" w14:paraId="3CB790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3CAEE" w14:textId="77777777" w:rsidR="00394471" w:rsidRPr="00FA0D37" w:rsidRDefault="00394471" w:rsidP="00964CC4">
            <w:pPr>
              <w:pStyle w:val="TAL"/>
              <w:rPr>
                <w:b/>
                <w:bCs/>
                <w:i/>
                <w:noProof/>
                <w:lang w:eastAsia="en-GB"/>
              </w:rPr>
            </w:pPr>
            <w:r w:rsidRPr="00FA0D37">
              <w:rPr>
                <w:b/>
                <w:bCs/>
                <w:i/>
                <w:noProof/>
                <w:lang w:eastAsia="en-GB"/>
              </w:rPr>
              <w:t>nrofSS-BlocksToAverage</w:t>
            </w:r>
          </w:p>
          <w:p w14:paraId="2DBCBD51" w14:textId="77777777" w:rsidR="00394471" w:rsidRPr="00FA0D37" w:rsidRDefault="00394471" w:rsidP="00964CC4">
            <w:pPr>
              <w:pStyle w:val="TAL"/>
              <w:rPr>
                <w:lang w:eastAsia="en-GB"/>
              </w:rPr>
            </w:pPr>
            <w:r w:rsidRPr="00FA0D37">
              <w:rPr>
                <w:lang w:eastAsia="en-GB"/>
              </w:rPr>
              <w:t>Number of SS blocks to average for cell measurement derivation. If the field is absent the UE uses the measurement quantity as specified in TS 38.304 [20].</w:t>
            </w:r>
          </w:p>
        </w:tc>
      </w:tr>
      <w:tr w:rsidR="005C7FF4" w:rsidRPr="00FA0D37" w14:paraId="76A91FB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2AF623" w14:textId="77777777" w:rsidR="00394471" w:rsidRPr="00FA0D37" w:rsidRDefault="00394471" w:rsidP="00964CC4">
            <w:pPr>
              <w:pStyle w:val="TAL"/>
              <w:rPr>
                <w:b/>
                <w:bCs/>
                <w:i/>
                <w:noProof/>
                <w:lang w:eastAsia="en-GB"/>
              </w:rPr>
            </w:pPr>
            <w:r w:rsidRPr="00FA0D37">
              <w:rPr>
                <w:b/>
                <w:bCs/>
                <w:i/>
                <w:noProof/>
                <w:lang w:eastAsia="en-GB"/>
              </w:rPr>
              <w:t>p-Max</w:t>
            </w:r>
          </w:p>
          <w:p w14:paraId="30318431" w14:textId="17632C99" w:rsidR="00394471" w:rsidRPr="00FA0D37" w:rsidRDefault="00394471" w:rsidP="00964CC4">
            <w:pPr>
              <w:pStyle w:val="TAL"/>
              <w:rPr>
                <w:iCs/>
                <w:lang w:eastAsia="en-GB"/>
              </w:rPr>
            </w:pPr>
            <w:r w:rsidRPr="00FA0D37">
              <w:rPr>
                <w:iCs/>
                <w:lang w:eastAsia="en-GB"/>
              </w:rPr>
              <w:t>Value in dBm applicable for the intra-frequency neighbouring NR cells. If absent the UE applies the maximum power according to TS 38.101-1 [15] in case of an FR1 cell</w:t>
            </w:r>
            <w:r w:rsidR="00862D3D" w:rsidRPr="00FA0D37">
              <w:rPr>
                <w:iCs/>
                <w:lang w:eastAsia="en-GB"/>
              </w:rPr>
              <w:t>,</w:t>
            </w:r>
            <w:r w:rsidRPr="00FA0D37">
              <w:rPr>
                <w:iCs/>
                <w:lang w:eastAsia="en-GB"/>
              </w:rPr>
              <w:t xml:space="preserve"> TS 38.101-2 [39] in case of an FR2 cell</w:t>
            </w:r>
            <w:r w:rsidR="00862D3D" w:rsidRPr="00FA0D37">
              <w:rPr>
                <w:iCs/>
                <w:lang w:eastAsia="en-GB"/>
              </w:rPr>
              <w:t xml:space="preserve"> or TS 38.101-5 [75] in case of an NTN cell</w:t>
            </w:r>
            <w:r w:rsidRPr="00FA0D37">
              <w:rPr>
                <w:iCs/>
                <w:lang w:eastAsia="en-GB"/>
              </w:rPr>
              <w:t xml:space="preserve">. In this release of the specification, if </w:t>
            </w:r>
            <w:r w:rsidRPr="00FA0D37">
              <w:rPr>
                <w:i/>
                <w:iCs/>
                <w:lang w:eastAsia="en-GB"/>
              </w:rPr>
              <w:t>p-Max</w:t>
            </w:r>
            <w:r w:rsidRPr="00FA0D37">
              <w:rPr>
                <w:iCs/>
                <w:lang w:eastAsia="en-GB"/>
              </w:rPr>
              <w:t xml:space="preserve"> is present on a carrier frequency in FR2, the UE shall ignore the field and applies the maximum power according to TS 38.101-2 [39]. </w:t>
            </w:r>
            <w:r w:rsidR="00D027C1" w:rsidRPr="00FA0D37">
              <w:rPr>
                <w:szCs w:val="22"/>
                <w:lang w:eastAsia="en-GB"/>
              </w:rPr>
              <w:t>This field is ignored by IAB-MT</w:t>
            </w:r>
            <w:r w:rsidR="00D027C1" w:rsidRPr="00FA0D37">
              <w:rPr>
                <w:szCs w:val="22"/>
                <w:lang w:eastAsia="sv-SE"/>
              </w:rPr>
              <w:t>.</w:t>
            </w:r>
            <w:r w:rsidR="00D027C1" w:rsidRPr="00FA0D37">
              <w:rPr>
                <w:szCs w:val="22"/>
                <w:lang w:eastAsia="en-GB"/>
              </w:rPr>
              <w:t xml:space="preserve"> The IAB-MT applies output power and emissions requirements, as specified in TS 38.174 [63]</w:t>
            </w:r>
            <w:r w:rsidR="00D027C1" w:rsidRPr="00FA0D37">
              <w:rPr>
                <w:szCs w:val="22"/>
                <w:lang w:eastAsia="sv-SE"/>
              </w:rPr>
              <w:t>.</w:t>
            </w:r>
          </w:p>
        </w:tc>
      </w:tr>
      <w:tr w:rsidR="005C7FF4" w:rsidRPr="00FA0D37" w14:paraId="7E8537A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2C077" w14:textId="77777777" w:rsidR="00394471" w:rsidRPr="00FA0D37" w:rsidRDefault="00394471" w:rsidP="00964CC4">
            <w:pPr>
              <w:pStyle w:val="TAL"/>
              <w:rPr>
                <w:b/>
                <w:bCs/>
                <w:i/>
                <w:noProof/>
                <w:lang w:eastAsia="en-GB"/>
              </w:rPr>
            </w:pPr>
            <w:r w:rsidRPr="00FA0D37">
              <w:rPr>
                <w:b/>
                <w:bCs/>
                <w:i/>
                <w:noProof/>
                <w:lang w:eastAsia="en-GB"/>
              </w:rPr>
              <w:t>q-Hyst</w:t>
            </w:r>
          </w:p>
          <w:p w14:paraId="230E815B" w14:textId="77777777" w:rsidR="00394471" w:rsidRPr="00FA0D37" w:rsidRDefault="00394471" w:rsidP="00964CC4">
            <w:pPr>
              <w:pStyle w:val="TAL"/>
              <w:rPr>
                <w:lang w:eastAsia="en-GB"/>
              </w:rPr>
            </w:pPr>
            <w:r w:rsidRPr="00FA0D37">
              <w:rPr>
                <w:lang w:eastAsia="en-GB"/>
              </w:rPr>
              <w:t>Parameter "</w:t>
            </w:r>
            <w:r w:rsidRPr="00FA0D37">
              <w:rPr>
                <w:i/>
                <w:noProof/>
                <w:lang w:eastAsia="en-GB"/>
              </w:rPr>
              <w:t>Q</w:t>
            </w:r>
            <w:r w:rsidRPr="00FA0D37">
              <w:rPr>
                <w:i/>
                <w:noProof/>
                <w:vertAlign w:val="subscript"/>
                <w:lang w:eastAsia="en-GB"/>
              </w:rPr>
              <w:t>hyst</w:t>
            </w:r>
            <w:r w:rsidRPr="00FA0D37">
              <w:rPr>
                <w:lang w:eastAsia="en-GB"/>
              </w:rPr>
              <w:t xml:space="preserve">" in TS 38.304 [20], Value in dB. Value </w:t>
            </w:r>
            <w:r w:rsidRPr="00FA0D37">
              <w:rPr>
                <w:i/>
                <w:lang w:eastAsia="sv-SE"/>
              </w:rPr>
              <w:t>dB1</w:t>
            </w:r>
            <w:r w:rsidRPr="00FA0D37">
              <w:rPr>
                <w:lang w:eastAsia="en-GB"/>
              </w:rPr>
              <w:t xml:space="preserve"> corresponds to 1 dB, </w:t>
            </w:r>
            <w:r w:rsidRPr="00FA0D37">
              <w:rPr>
                <w:i/>
                <w:lang w:eastAsia="sv-SE"/>
              </w:rPr>
              <w:t>dB2</w:t>
            </w:r>
            <w:r w:rsidRPr="00FA0D37">
              <w:rPr>
                <w:lang w:eastAsia="en-GB"/>
              </w:rPr>
              <w:t xml:space="preserve"> corresponds to 2 dB and so on.</w:t>
            </w:r>
          </w:p>
        </w:tc>
      </w:tr>
      <w:tr w:rsidR="005C7FF4" w:rsidRPr="00FA0D37" w14:paraId="7A5D604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4F954" w14:textId="77777777" w:rsidR="00394471" w:rsidRPr="00FA0D37" w:rsidRDefault="00394471" w:rsidP="00964CC4">
            <w:pPr>
              <w:pStyle w:val="TAL"/>
              <w:rPr>
                <w:b/>
                <w:bCs/>
                <w:i/>
                <w:noProof/>
                <w:lang w:eastAsia="en-GB"/>
              </w:rPr>
            </w:pPr>
            <w:r w:rsidRPr="00FA0D37">
              <w:rPr>
                <w:b/>
                <w:bCs/>
                <w:i/>
                <w:noProof/>
                <w:lang w:eastAsia="en-GB"/>
              </w:rPr>
              <w:lastRenderedPageBreak/>
              <w:t>q-HystSF</w:t>
            </w:r>
          </w:p>
          <w:p w14:paraId="54CDE880" w14:textId="77777777" w:rsidR="00394471" w:rsidRPr="00FA0D37" w:rsidRDefault="00394471" w:rsidP="00964CC4">
            <w:pPr>
              <w:pStyle w:val="TAL"/>
              <w:rPr>
                <w:bCs/>
                <w:noProof/>
                <w:lang w:eastAsia="en-GB"/>
              </w:rPr>
            </w:pPr>
            <w:r w:rsidRPr="00FA0D37">
              <w:rPr>
                <w:bCs/>
                <w:noProof/>
                <w:lang w:eastAsia="en-GB"/>
              </w:rPr>
              <w:t xml:space="preserve">Parameter "Speed dependent ScalingFactor for Qhyst" in TS 38.304 [20]. The </w:t>
            </w:r>
            <w:r w:rsidRPr="00FA0D37">
              <w:rPr>
                <w:i/>
                <w:lang w:eastAsia="sv-SE"/>
              </w:rPr>
              <w:t>sf-Medium</w:t>
            </w:r>
            <w:r w:rsidRPr="00FA0D37">
              <w:rPr>
                <w:bCs/>
                <w:noProof/>
                <w:lang w:eastAsia="en-GB"/>
              </w:rPr>
              <w:t xml:space="preserve"> and </w:t>
            </w:r>
            <w:r w:rsidRPr="00FA0D37">
              <w:rPr>
                <w:i/>
                <w:lang w:eastAsia="sv-SE"/>
              </w:rPr>
              <w:t>sf-High</w:t>
            </w:r>
            <w:r w:rsidRPr="00FA0D37">
              <w:rPr>
                <w:bCs/>
                <w:noProof/>
                <w:lang w:eastAsia="en-GB"/>
              </w:rPr>
              <w:t xml:space="preserve"> concern the additional hysteresis to be applied, in Medium and High Mobility state respectively, to Qhyst as defined in TS 38.304 [20]. In dB. Value </w:t>
            </w:r>
            <w:r w:rsidRPr="00FA0D37">
              <w:rPr>
                <w:i/>
                <w:lang w:eastAsia="sv-SE"/>
              </w:rPr>
              <w:t>dB-6</w:t>
            </w:r>
            <w:r w:rsidRPr="00FA0D37">
              <w:rPr>
                <w:bCs/>
                <w:noProof/>
                <w:lang w:eastAsia="en-GB"/>
              </w:rPr>
              <w:t xml:space="preserve"> corresponds to -6dB, </w:t>
            </w:r>
            <w:r w:rsidRPr="00FA0D37">
              <w:rPr>
                <w:i/>
                <w:lang w:eastAsia="sv-SE"/>
              </w:rPr>
              <w:t>dB-4</w:t>
            </w:r>
            <w:r w:rsidRPr="00FA0D37">
              <w:rPr>
                <w:bCs/>
                <w:noProof/>
                <w:lang w:eastAsia="en-GB"/>
              </w:rPr>
              <w:t xml:space="preserve"> corresponds to -4dB and so on.</w:t>
            </w:r>
          </w:p>
        </w:tc>
      </w:tr>
      <w:tr w:rsidR="005C7FF4" w:rsidRPr="00FA0D37" w14:paraId="2AFA607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442FBB" w14:textId="77777777" w:rsidR="00394471" w:rsidRPr="00FA0D37" w:rsidRDefault="00394471" w:rsidP="00964CC4">
            <w:pPr>
              <w:pStyle w:val="TAL"/>
              <w:rPr>
                <w:b/>
                <w:bCs/>
                <w:i/>
                <w:noProof/>
                <w:lang w:eastAsia="en-GB"/>
              </w:rPr>
            </w:pPr>
            <w:r w:rsidRPr="00FA0D37">
              <w:rPr>
                <w:b/>
                <w:bCs/>
                <w:i/>
                <w:noProof/>
                <w:lang w:eastAsia="en-GB"/>
              </w:rPr>
              <w:t>q-QualMin</w:t>
            </w:r>
          </w:p>
          <w:p w14:paraId="31E7F6F8" w14:textId="77777777" w:rsidR="00394471" w:rsidRPr="00FA0D37" w:rsidRDefault="00394471" w:rsidP="00964CC4">
            <w:pPr>
              <w:pStyle w:val="TAL"/>
              <w:rPr>
                <w:b/>
                <w:bCs/>
                <w:i/>
                <w:noProof/>
                <w:lang w:eastAsia="en-GB"/>
              </w:rPr>
            </w:pPr>
            <w:r w:rsidRPr="00FA0D37">
              <w:rPr>
                <w:lang w:eastAsia="en-GB"/>
              </w:rPr>
              <w:t>Parameter "Q</w:t>
            </w:r>
            <w:r w:rsidRPr="00FA0D37">
              <w:rPr>
                <w:vertAlign w:val="subscript"/>
                <w:lang w:eastAsia="en-GB"/>
              </w:rPr>
              <w:t>qualmin</w:t>
            </w:r>
            <w:r w:rsidRPr="00FA0D37">
              <w:rPr>
                <w:lang w:eastAsia="en-GB"/>
              </w:rPr>
              <w:t>" in TS 38.304 [20], applicable for intra-frequency neighbour cells. If the field is absent, the UE applies the (default) value of negative infinity for Q</w:t>
            </w:r>
            <w:r w:rsidRPr="00FA0D37">
              <w:rPr>
                <w:vertAlign w:val="subscript"/>
                <w:lang w:eastAsia="en-GB"/>
              </w:rPr>
              <w:t>qualmin</w:t>
            </w:r>
            <w:r w:rsidRPr="00FA0D37">
              <w:rPr>
                <w:lang w:eastAsia="en-GB"/>
              </w:rPr>
              <w:t xml:space="preserve">.  </w:t>
            </w:r>
          </w:p>
        </w:tc>
      </w:tr>
      <w:tr w:rsidR="005C7FF4" w:rsidRPr="00FA0D37" w14:paraId="739A9936"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2526215" w14:textId="77777777" w:rsidR="00394471" w:rsidRPr="00FA0D37" w:rsidRDefault="00394471" w:rsidP="00964CC4">
            <w:pPr>
              <w:pStyle w:val="TAL"/>
              <w:rPr>
                <w:b/>
                <w:bCs/>
                <w:i/>
                <w:noProof/>
                <w:lang w:eastAsia="en-GB"/>
              </w:rPr>
            </w:pPr>
            <w:r w:rsidRPr="00FA0D37">
              <w:rPr>
                <w:b/>
                <w:bCs/>
                <w:i/>
                <w:noProof/>
                <w:lang w:eastAsia="en-GB"/>
              </w:rPr>
              <w:t>q-RxLevMin</w:t>
            </w:r>
          </w:p>
          <w:p w14:paraId="0D899EB7" w14:textId="77777777" w:rsidR="00394471" w:rsidRPr="00FA0D37" w:rsidRDefault="00394471" w:rsidP="00964CC4">
            <w:pPr>
              <w:pStyle w:val="TAL"/>
              <w:rPr>
                <w:b/>
                <w:bCs/>
                <w:i/>
                <w:noProof/>
                <w:lang w:eastAsia="en-GB"/>
              </w:rPr>
            </w:pPr>
            <w:r w:rsidRPr="00FA0D37">
              <w:rPr>
                <w:lang w:eastAsia="en-GB"/>
              </w:rPr>
              <w:t>Parameter "Q</w:t>
            </w:r>
            <w:r w:rsidRPr="00FA0D37">
              <w:rPr>
                <w:vertAlign w:val="subscript"/>
                <w:lang w:eastAsia="en-GB"/>
              </w:rPr>
              <w:t>rxlevmin</w:t>
            </w:r>
            <w:r w:rsidRPr="00FA0D37">
              <w:rPr>
                <w:lang w:eastAsia="en-GB"/>
              </w:rPr>
              <w:t>" in TS 38.304 [20], applicable for intra-frequency neighbour cells.</w:t>
            </w:r>
          </w:p>
        </w:tc>
      </w:tr>
      <w:tr w:rsidR="005C7FF4" w:rsidRPr="00FA0D37" w14:paraId="0567A55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CF49871" w14:textId="77777777" w:rsidR="00394471" w:rsidRPr="00FA0D37" w:rsidRDefault="00394471" w:rsidP="00964CC4">
            <w:pPr>
              <w:pStyle w:val="TAL"/>
              <w:rPr>
                <w:b/>
                <w:bCs/>
                <w:i/>
                <w:noProof/>
                <w:lang w:eastAsia="en-GB"/>
              </w:rPr>
            </w:pPr>
            <w:r w:rsidRPr="00FA0D37">
              <w:rPr>
                <w:b/>
                <w:bCs/>
                <w:i/>
                <w:noProof/>
                <w:lang w:eastAsia="en-GB"/>
              </w:rPr>
              <w:t>q-RxLevMinSUL</w:t>
            </w:r>
          </w:p>
          <w:p w14:paraId="1E88E937" w14:textId="77777777" w:rsidR="00394471" w:rsidRPr="00FA0D37" w:rsidRDefault="00394471" w:rsidP="00964CC4">
            <w:pPr>
              <w:pStyle w:val="TAL"/>
              <w:rPr>
                <w:b/>
                <w:bCs/>
                <w:i/>
                <w:noProof/>
                <w:lang w:eastAsia="en-GB"/>
              </w:rPr>
            </w:pPr>
            <w:r w:rsidRPr="00FA0D37">
              <w:rPr>
                <w:lang w:eastAsia="en-GB"/>
              </w:rPr>
              <w:t>Parameter "Q</w:t>
            </w:r>
            <w:r w:rsidRPr="00FA0D37">
              <w:rPr>
                <w:vertAlign w:val="subscript"/>
                <w:lang w:eastAsia="en-GB"/>
              </w:rPr>
              <w:t>rxlevmin</w:t>
            </w:r>
            <w:r w:rsidRPr="00FA0D37">
              <w:rPr>
                <w:lang w:eastAsia="en-GB"/>
              </w:rPr>
              <w:t>" in TS 38.304 [20], applicable for intra-frequency neighbour cells.</w:t>
            </w:r>
          </w:p>
        </w:tc>
      </w:tr>
      <w:tr w:rsidR="005C7FF4" w:rsidRPr="00FA0D37" w14:paraId="6D7FEC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3FDE70" w14:textId="77777777" w:rsidR="00394471" w:rsidRPr="00FA0D37" w:rsidRDefault="00394471" w:rsidP="00964CC4">
            <w:pPr>
              <w:pStyle w:val="TAL"/>
              <w:rPr>
                <w:b/>
                <w:bCs/>
                <w:i/>
                <w:iCs/>
                <w:lang w:eastAsia="sv-SE"/>
              </w:rPr>
            </w:pPr>
            <w:r w:rsidRPr="00FA0D37">
              <w:rPr>
                <w:b/>
                <w:bCs/>
                <w:i/>
                <w:iCs/>
                <w:lang w:eastAsia="sv-SE"/>
              </w:rPr>
              <w:t>rangeToBestCell</w:t>
            </w:r>
          </w:p>
          <w:p w14:paraId="51455FFA" w14:textId="77777777" w:rsidR="00394471" w:rsidRPr="00FA0D37" w:rsidRDefault="00394471" w:rsidP="00964CC4">
            <w:pPr>
              <w:pStyle w:val="TAL"/>
              <w:rPr>
                <w:b/>
                <w:bCs/>
                <w:i/>
                <w:noProof/>
                <w:lang w:eastAsia="en-GB"/>
              </w:rPr>
            </w:pPr>
            <w:r w:rsidRPr="00FA0D37">
              <w:rPr>
                <w:bCs/>
                <w:lang w:eastAsia="zh-CN"/>
              </w:rPr>
              <w:t>Parameter "</w:t>
            </w:r>
            <w:r w:rsidRPr="00FA0D37">
              <w:rPr>
                <w:lang w:eastAsia="zh-CN"/>
              </w:rPr>
              <w:t>rangeToBestCell</w:t>
            </w:r>
            <w:r w:rsidRPr="00FA0D37">
              <w:rPr>
                <w:bCs/>
                <w:lang w:eastAsia="zh-CN"/>
              </w:rPr>
              <w:t xml:space="preserve">" in </w:t>
            </w:r>
            <w:r w:rsidRPr="00FA0D37">
              <w:rPr>
                <w:lang w:eastAsia="zh-CN"/>
              </w:rPr>
              <w:t>TS 38.304 [20]</w:t>
            </w:r>
            <w:r w:rsidRPr="00FA0D37">
              <w:rPr>
                <w:bCs/>
                <w:lang w:eastAsia="zh-CN"/>
              </w:rPr>
              <w:t>. The network configures only non-negative (in dB) values.</w:t>
            </w:r>
          </w:p>
        </w:tc>
      </w:tr>
      <w:tr w:rsidR="005C7FF4" w:rsidRPr="00FA0D37" w14:paraId="711FE82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6A1A5" w14:textId="77777777" w:rsidR="00394471" w:rsidRPr="00FA0D37" w:rsidRDefault="00394471" w:rsidP="00964CC4">
            <w:pPr>
              <w:pStyle w:val="TAL"/>
              <w:rPr>
                <w:b/>
                <w:bCs/>
                <w:i/>
                <w:iCs/>
                <w:lang w:eastAsia="sv-SE"/>
              </w:rPr>
            </w:pPr>
            <w:r w:rsidRPr="00FA0D37">
              <w:rPr>
                <w:b/>
                <w:bCs/>
                <w:i/>
                <w:iCs/>
                <w:lang w:eastAsia="sv-SE"/>
              </w:rPr>
              <w:t>relaxedMeasurement</w:t>
            </w:r>
          </w:p>
          <w:p w14:paraId="30C42DDB" w14:textId="33952230" w:rsidR="00394471" w:rsidRPr="00FA0D37" w:rsidRDefault="00394471" w:rsidP="00964CC4">
            <w:pPr>
              <w:pStyle w:val="TAL"/>
              <w:rPr>
                <w:b/>
                <w:bCs/>
                <w:i/>
                <w:iCs/>
                <w:lang w:eastAsia="sv-SE"/>
              </w:rPr>
            </w:pPr>
            <w:r w:rsidRPr="00FA0D37">
              <w:rPr>
                <w:bCs/>
                <w:lang w:eastAsia="zh-CN"/>
              </w:rPr>
              <w:t xml:space="preserve">Configuration to allow relaxation of RRM measurement requirements for cell reselection </w:t>
            </w:r>
            <w:r w:rsidRPr="00FA0D37">
              <w:rPr>
                <w:szCs w:val="22"/>
                <w:lang w:eastAsia="sv-SE"/>
              </w:rPr>
              <w:t>(see TS 38.304 [20], clause 5.2.4.9)</w:t>
            </w:r>
            <w:r w:rsidRPr="00FA0D37">
              <w:rPr>
                <w:bCs/>
                <w:lang w:eastAsia="zh-CN"/>
              </w:rPr>
              <w:t>.</w:t>
            </w:r>
            <w:r w:rsidR="004821D3" w:rsidRPr="00FA0D37">
              <w:rPr>
                <w:bCs/>
                <w:lang w:eastAsia="zh-CN"/>
              </w:rPr>
              <w:t xml:space="preserve"> In NTN, this field is only applicable for GSO neighbour cells.</w:t>
            </w:r>
          </w:p>
        </w:tc>
      </w:tr>
      <w:tr w:rsidR="005C7FF4" w:rsidRPr="00FA0D37" w14:paraId="1BEFC51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9DF7B" w14:textId="77777777" w:rsidR="00394471" w:rsidRPr="00FA0D37" w:rsidRDefault="00394471" w:rsidP="00964CC4">
            <w:pPr>
              <w:pStyle w:val="TAL"/>
              <w:rPr>
                <w:b/>
                <w:bCs/>
                <w:i/>
                <w:noProof/>
                <w:lang w:eastAsia="en-GB"/>
              </w:rPr>
            </w:pPr>
            <w:r w:rsidRPr="00FA0D37">
              <w:rPr>
                <w:b/>
                <w:bCs/>
                <w:i/>
                <w:noProof/>
                <w:lang w:eastAsia="en-GB"/>
              </w:rPr>
              <w:t>s-IntraSearchP</w:t>
            </w:r>
          </w:p>
          <w:p w14:paraId="2B9F5E42" w14:textId="77777777" w:rsidR="00394471" w:rsidRPr="00FA0D37" w:rsidRDefault="00394471" w:rsidP="00964CC4">
            <w:pPr>
              <w:pStyle w:val="TAL"/>
              <w:rPr>
                <w:b/>
                <w:bCs/>
                <w:i/>
                <w:noProof/>
                <w:lang w:eastAsia="en-GB"/>
              </w:rPr>
            </w:pPr>
            <w:r w:rsidRPr="00FA0D37">
              <w:rPr>
                <w:lang w:eastAsia="en-GB"/>
              </w:rPr>
              <w:t>Parameter "S</w:t>
            </w:r>
            <w:r w:rsidRPr="00FA0D37">
              <w:rPr>
                <w:vertAlign w:val="subscript"/>
                <w:lang w:eastAsia="en-GB"/>
              </w:rPr>
              <w:t>IntraSearchP</w:t>
            </w:r>
            <w:r w:rsidRPr="00FA0D37">
              <w:rPr>
                <w:lang w:eastAsia="en-GB"/>
              </w:rPr>
              <w:t>" in TS 38.304 [20].</w:t>
            </w:r>
          </w:p>
        </w:tc>
      </w:tr>
      <w:tr w:rsidR="005C7FF4" w:rsidRPr="00FA0D37" w14:paraId="14E2838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690F9F" w14:textId="77777777" w:rsidR="00394471" w:rsidRPr="00FA0D37" w:rsidRDefault="00394471" w:rsidP="00964CC4">
            <w:pPr>
              <w:pStyle w:val="TAL"/>
              <w:rPr>
                <w:b/>
                <w:bCs/>
                <w:i/>
                <w:noProof/>
                <w:lang w:eastAsia="en-GB"/>
              </w:rPr>
            </w:pPr>
            <w:r w:rsidRPr="00FA0D37">
              <w:rPr>
                <w:b/>
                <w:bCs/>
                <w:i/>
                <w:noProof/>
                <w:lang w:eastAsia="en-GB"/>
              </w:rPr>
              <w:t>s-IntraSearchQ</w:t>
            </w:r>
          </w:p>
          <w:p w14:paraId="518921CD" w14:textId="77777777" w:rsidR="00394471" w:rsidRPr="00FA0D37" w:rsidRDefault="00394471" w:rsidP="00964CC4">
            <w:pPr>
              <w:pStyle w:val="TAL"/>
              <w:rPr>
                <w:b/>
                <w:bCs/>
                <w:i/>
                <w:noProof/>
                <w:lang w:eastAsia="en-GB"/>
              </w:rPr>
            </w:pPr>
            <w:r w:rsidRPr="00FA0D37">
              <w:rPr>
                <w:lang w:eastAsia="en-GB"/>
              </w:rPr>
              <w:t>Parameter "S</w:t>
            </w:r>
            <w:r w:rsidRPr="00FA0D37">
              <w:rPr>
                <w:vertAlign w:val="subscript"/>
                <w:lang w:eastAsia="en-GB"/>
              </w:rPr>
              <w:t>IntraSearchQ</w:t>
            </w:r>
            <w:r w:rsidRPr="00FA0D37">
              <w:rPr>
                <w:lang w:eastAsia="en-GB"/>
              </w:rPr>
              <w:t xml:space="preserve">" in TS 38.304 [20]. </w:t>
            </w:r>
            <w:r w:rsidRPr="00FA0D37">
              <w:rPr>
                <w:iCs/>
                <w:noProof/>
                <w:lang w:eastAsia="en-GB"/>
              </w:rPr>
              <w:t xml:space="preserve">If the </w:t>
            </w:r>
            <w:r w:rsidRPr="00FA0D37">
              <w:rPr>
                <w:lang w:eastAsia="en-GB"/>
              </w:rPr>
              <w:t>field</w:t>
            </w:r>
            <w:r w:rsidRPr="00FA0D37">
              <w:rPr>
                <w:iCs/>
                <w:noProof/>
                <w:lang w:eastAsia="en-GB"/>
              </w:rPr>
              <w:t xml:space="preserve"> is </w:t>
            </w:r>
            <w:r w:rsidRPr="00FA0D37">
              <w:rPr>
                <w:lang w:eastAsia="en-GB"/>
              </w:rPr>
              <w:t>absent</w:t>
            </w:r>
            <w:r w:rsidRPr="00FA0D37">
              <w:rPr>
                <w:iCs/>
                <w:noProof/>
                <w:lang w:eastAsia="en-GB"/>
              </w:rPr>
              <w:t>, the UE applies the (default) value of 0 dB for S</w:t>
            </w:r>
            <w:r w:rsidRPr="00FA0D37">
              <w:rPr>
                <w:iCs/>
                <w:noProof/>
                <w:vertAlign w:val="subscript"/>
                <w:lang w:eastAsia="en-GB"/>
              </w:rPr>
              <w:t>IntraSearchQ</w:t>
            </w:r>
            <w:r w:rsidRPr="00FA0D37">
              <w:rPr>
                <w:iCs/>
                <w:noProof/>
                <w:lang w:eastAsia="en-GB"/>
              </w:rPr>
              <w:t>.</w:t>
            </w:r>
          </w:p>
        </w:tc>
      </w:tr>
      <w:tr w:rsidR="005C7FF4" w:rsidRPr="00FA0D37" w14:paraId="17B358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D760A" w14:textId="77777777" w:rsidR="00394471" w:rsidRPr="00FA0D37" w:rsidRDefault="00394471" w:rsidP="00964CC4">
            <w:pPr>
              <w:pStyle w:val="TAL"/>
              <w:rPr>
                <w:b/>
                <w:bCs/>
                <w:i/>
                <w:noProof/>
                <w:lang w:eastAsia="en-GB"/>
              </w:rPr>
            </w:pPr>
            <w:r w:rsidRPr="00FA0D37">
              <w:rPr>
                <w:b/>
                <w:bCs/>
                <w:i/>
                <w:noProof/>
                <w:lang w:eastAsia="en-GB"/>
              </w:rPr>
              <w:t>s-NonIntraSearchP</w:t>
            </w:r>
          </w:p>
          <w:p w14:paraId="5B0631DA" w14:textId="77777777" w:rsidR="00394471" w:rsidRPr="00FA0D37" w:rsidRDefault="00394471" w:rsidP="00964CC4">
            <w:pPr>
              <w:pStyle w:val="TAL"/>
              <w:rPr>
                <w:b/>
                <w:bCs/>
                <w:i/>
                <w:noProof/>
                <w:lang w:eastAsia="en-GB"/>
              </w:rPr>
            </w:pPr>
            <w:r w:rsidRPr="00FA0D37">
              <w:rPr>
                <w:lang w:eastAsia="en-GB"/>
              </w:rPr>
              <w:t>Parameter "S</w:t>
            </w:r>
            <w:r w:rsidRPr="00FA0D37">
              <w:rPr>
                <w:vertAlign w:val="subscript"/>
                <w:lang w:eastAsia="en-GB"/>
              </w:rPr>
              <w:t>nonIntraSearchP</w:t>
            </w:r>
            <w:r w:rsidRPr="00FA0D37">
              <w:rPr>
                <w:lang w:eastAsia="en-GB"/>
              </w:rPr>
              <w:t xml:space="preserve">" in TS 38.304 [20]. </w:t>
            </w:r>
            <w:r w:rsidRPr="00FA0D37">
              <w:rPr>
                <w:lang w:eastAsia="sv-SE"/>
              </w:rPr>
              <w:t xml:space="preserve">If this field is </w:t>
            </w:r>
            <w:r w:rsidRPr="00FA0D37">
              <w:rPr>
                <w:lang w:eastAsia="en-GB"/>
              </w:rPr>
              <w:t>absent</w:t>
            </w:r>
            <w:r w:rsidRPr="00FA0D37">
              <w:rPr>
                <w:lang w:eastAsia="sv-SE"/>
              </w:rPr>
              <w:t xml:space="preserve">, the UE applies the (default) value of infinity for </w:t>
            </w:r>
            <w:r w:rsidRPr="00FA0D37">
              <w:rPr>
                <w:lang w:eastAsia="en-GB"/>
              </w:rPr>
              <w:t>S</w:t>
            </w:r>
            <w:r w:rsidRPr="00FA0D37">
              <w:rPr>
                <w:vertAlign w:val="subscript"/>
                <w:lang w:eastAsia="en-GB"/>
              </w:rPr>
              <w:t>nonIntraSearchP</w:t>
            </w:r>
            <w:r w:rsidRPr="00FA0D37">
              <w:rPr>
                <w:lang w:eastAsia="sv-SE"/>
              </w:rPr>
              <w:t>.</w:t>
            </w:r>
          </w:p>
        </w:tc>
      </w:tr>
      <w:tr w:rsidR="005C7FF4" w:rsidRPr="00FA0D37" w14:paraId="033A2E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506A14" w14:textId="77777777" w:rsidR="00394471" w:rsidRPr="00FA0D37" w:rsidRDefault="00394471" w:rsidP="00964CC4">
            <w:pPr>
              <w:pStyle w:val="TAL"/>
              <w:rPr>
                <w:b/>
                <w:bCs/>
                <w:i/>
                <w:noProof/>
                <w:lang w:eastAsia="en-GB"/>
              </w:rPr>
            </w:pPr>
            <w:r w:rsidRPr="00FA0D37">
              <w:rPr>
                <w:b/>
                <w:bCs/>
                <w:i/>
                <w:noProof/>
                <w:lang w:eastAsia="en-GB"/>
              </w:rPr>
              <w:t>s-NonIntraSearchQ</w:t>
            </w:r>
          </w:p>
          <w:p w14:paraId="660259C1" w14:textId="77777777" w:rsidR="00394471" w:rsidRPr="00FA0D37" w:rsidRDefault="00394471" w:rsidP="00964CC4">
            <w:pPr>
              <w:pStyle w:val="TAL"/>
              <w:rPr>
                <w:iCs/>
                <w:noProof/>
                <w:lang w:eastAsia="en-GB"/>
              </w:rPr>
            </w:pPr>
            <w:r w:rsidRPr="00FA0D37">
              <w:rPr>
                <w:lang w:eastAsia="en-GB"/>
              </w:rPr>
              <w:t>Parameter "S</w:t>
            </w:r>
            <w:r w:rsidRPr="00FA0D37">
              <w:rPr>
                <w:vertAlign w:val="subscript"/>
                <w:lang w:eastAsia="en-GB"/>
              </w:rPr>
              <w:t>nonIntraSearchQ</w:t>
            </w:r>
            <w:r w:rsidRPr="00FA0D37">
              <w:rPr>
                <w:lang w:eastAsia="en-GB"/>
              </w:rPr>
              <w:t xml:space="preserve">" in TS 38.304 [20]. </w:t>
            </w:r>
            <w:r w:rsidRPr="00FA0D37">
              <w:rPr>
                <w:iCs/>
                <w:noProof/>
                <w:lang w:eastAsia="en-GB"/>
              </w:rPr>
              <w:t xml:space="preserve">If the </w:t>
            </w:r>
            <w:r w:rsidRPr="00FA0D37">
              <w:rPr>
                <w:lang w:eastAsia="en-GB"/>
              </w:rPr>
              <w:t>field</w:t>
            </w:r>
            <w:r w:rsidRPr="00FA0D37">
              <w:rPr>
                <w:iCs/>
                <w:noProof/>
                <w:lang w:eastAsia="en-GB"/>
              </w:rPr>
              <w:t xml:space="preserve"> is </w:t>
            </w:r>
            <w:r w:rsidRPr="00FA0D37">
              <w:rPr>
                <w:lang w:eastAsia="en-GB"/>
              </w:rPr>
              <w:t>absent</w:t>
            </w:r>
            <w:r w:rsidRPr="00FA0D37">
              <w:rPr>
                <w:iCs/>
                <w:noProof/>
                <w:lang w:eastAsia="en-GB"/>
              </w:rPr>
              <w:t>, the UE applies the (default) value of 0 dB for S</w:t>
            </w:r>
            <w:r w:rsidRPr="00FA0D37">
              <w:rPr>
                <w:iCs/>
                <w:noProof/>
                <w:vertAlign w:val="subscript"/>
                <w:lang w:eastAsia="en-GB"/>
              </w:rPr>
              <w:t>nonIntraSearchQ</w:t>
            </w:r>
            <w:r w:rsidRPr="00FA0D37">
              <w:rPr>
                <w:iCs/>
                <w:noProof/>
                <w:lang w:eastAsia="en-GB"/>
              </w:rPr>
              <w:t>.</w:t>
            </w:r>
          </w:p>
        </w:tc>
      </w:tr>
      <w:tr w:rsidR="005C7FF4" w:rsidRPr="00FA0D37" w14:paraId="5C797F1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22920A" w14:textId="77777777" w:rsidR="00394471" w:rsidRPr="00FA0D37" w:rsidRDefault="00394471" w:rsidP="00964CC4">
            <w:pPr>
              <w:pStyle w:val="TAL"/>
              <w:rPr>
                <w:b/>
                <w:i/>
                <w:noProof/>
                <w:lang w:eastAsia="sv-SE"/>
              </w:rPr>
            </w:pPr>
            <w:r w:rsidRPr="00FA0D37">
              <w:rPr>
                <w:b/>
                <w:i/>
                <w:noProof/>
                <w:lang w:eastAsia="sv-SE"/>
              </w:rPr>
              <w:t>s-SearchDeltaP</w:t>
            </w:r>
          </w:p>
          <w:p w14:paraId="4B49777B" w14:textId="77777777" w:rsidR="00394471" w:rsidRPr="00FA0D37" w:rsidRDefault="00394471" w:rsidP="00964CC4">
            <w:pPr>
              <w:pStyle w:val="TAL"/>
              <w:rPr>
                <w:noProof/>
                <w:lang w:eastAsia="sv-SE"/>
              </w:rPr>
            </w:pPr>
            <w:r w:rsidRPr="00FA0D37">
              <w:rPr>
                <w:lang w:eastAsia="sv-SE"/>
              </w:rPr>
              <w:t>Parameter "S</w:t>
            </w:r>
            <w:r w:rsidRPr="00FA0D37">
              <w:rPr>
                <w:vertAlign w:val="subscript"/>
                <w:lang w:eastAsia="sv-SE"/>
              </w:rPr>
              <w:t>SearchDeltaP</w:t>
            </w:r>
            <w:r w:rsidRPr="00FA0D37">
              <w:rPr>
                <w:lang w:eastAsia="sv-SE"/>
              </w:rPr>
              <w:t>" in TS 38.304 [20]. Value dB3 corresponds to 3 dB, dB6 corresponds to 6 dB and so on.</w:t>
            </w:r>
          </w:p>
        </w:tc>
      </w:tr>
      <w:tr w:rsidR="005C7FF4" w:rsidRPr="00FA0D37" w14:paraId="329A822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52E34BB" w14:textId="77777777" w:rsidR="00CD6E06" w:rsidRPr="00FA0D37" w:rsidRDefault="00CD6E06" w:rsidP="00771058">
            <w:pPr>
              <w:pStyle w:val="TAL"/>
              <w:rPr>
                <w:b/>
                <w:i/>
                <w:lang w:eastAsia="sv-SE"/>
              </w:rPr>
            </w:pPr>
            <w:r w:rsidRPr="00FA0D37">
              <w:rPr>
                <w:b/>
                <w:i/>
                <w:lang w:eastAsia="sv-SE"/>
              </w:rPr>
              <w:t>s-SearchDeltaP-Stationary</w:t>
            </w:r>
          </w:p>
          <w:p w14:paraId="48A9BBE8" w14:textId="56B26058" w:rsidR="00CD6E06" w:rsidRPr="00FA0D37" w:rsidRDefault="00CD6E06" w:rsidP="00771058">
            <w:pPr>
              <w:pStyle w:val="TAL"/>
              <w:rPr>
                <w:b/>
                <w:i/>
                <w:noProof/>
                <w:lang w:eastAsia="sv-SE"/>
              </w:rPr>
            </w:pPr>
            <w:r w:rsidRPr="00FA0D37">
              <w:rPr>
                <w:lang w:eastAsia="sv-SE"/>
              </w:rPr>
              <w:t>Parameter "S</w:t>
            </w:r>
            <w:r w:rsidRPr="00FA0D37">
              <w:rPr>
                <w:vertAlign w:val="subscript"/>
                <w:lang w:eastAsia="sv-SE"/>
              </w:rPr>
              <w:t>SearchDeltaP-Stationary</w:t>
            </w:r>
            <w:r w:rsidRPr="00FA0D37">
              <w:rPr>
                <w:lang w:eastAsia="sv-SE"/>
              </w:rPr>
              <w:t xml:space="preserve">" in TS 38.304 [20]. Value </w:t>
            </w:r>
            <w:r w:rsidRPr="00FA0D37">
              <w:rPr>
                <w:i/>
                <w:iCs/>
                <w:lang w:eastAsia="sv-SE"/>
              </w:rPr>
              <w:t>dB</w:t>
            </w:r>
            <w:r w:rsidR="00AE678F" w:rsidRPr="00FA0D37">
              <w:rPr>
                <w:i/>
                <w:iCs/>
                <w:lang w:eastAsia="sv-SE"/>
              </w:rPr>
              <w:t>2</w:t>
            </w:r>
            <w:r w:rsidRPr="00FA0D37">
              <w:rPr>
                <w:lang w:eastAsia="sv-SE"/>
              </w:rPr>
              <w:t xml:space="preserve"> corresponds to </w:t>
            </w:r>
            <w:r w:rsidR="00AE678F" w:rsidRPr="00FA0D37">
              <w:rPr>
                <w:lang w:eastAsia="sv-SE"/>
              </w:rPr>
              <w:t>2</w:t>
            </w:r>
            <w:r w:rsidRPr="00FA0D37">
              <w:rPr>
                <w:lang w:eastAsia="sv-SE"/>
              </w:rPr>
              <w:t xml:space="preserve"> dB, </w:t>
            </w:r>
            <w:r w:rsidRPr="00FA0D37">
              <w:rPr>
                <w:i/>
                <w:iCs/>
                <w:lang w:eastAsia="sv-SE"/>
              </w:rPr>
              <w:t>dB</w:t>
            </w:r>
            <w:r w:rsidR="00AE678F" w:rsidRPr="00FA0D37">
              <w:rPr>
                <w:i/>
                <w:iCs/>
                <w:lang w:eastAsia="sv-SE"/>
              </w:rPr>
              <w:t>3</w:t>
            </w:r>
            <w:r w:rsidRPr="00FA0D37">
              <w:rPr>
                <w:lang w:eastAsia="sv-SE"/>
              </w:rPr>
              <w:t xml:space="preserve"> corresponds to </w:t>
            </w:r>
            <w:r w:rsidR="00AE678F" w:rsidRPr="00FA0D37">
              <w:rPr>
                <w:lang w:eastAsia="sv-SE"/>
              </w:rPr>
              <w:t>3</w:t>
            </w:r>
            <w:r w:rsidRPr="00FA0D37">
              <w:rPr>
                <w:lang w:eastAsia="sv-SE"/>
              </w:rPr>
              <w:t xml:space="preserve"> dB and so on.</w:t>
            </w:r>
          </w:p>
        </w:tc>
      </w:tr>
      <w:tr w:rsidR="005C7FF4" w:rsidRPr="00FA0D37" w14:paraId="0029014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DE4FB" w14:textId="72D568CC" w:rsidR="00394471" w:rsidRPr="00FA0D37" w:rsidRDefault="00394471" w:rsidP="00964CC4">
            <w:pPr>
              <w:pStyle w:val="TAL"/>
              <w:rPr>
                <w:b/>
                <w:i/>
                <w:noProof/>
                <w:lang w:eastAsia="sv-SE"/>
              </w:rPr>
            </w:pPr>
            <w:r w:rsidRPr="00FA0D37">
              <w:rPr>
                <w:b/>
                <w:i/>
                <w:noProof/>
                <w:lang w:eastAsia="sv-SE"/>
              </w:rPr>
              <w:t>s-SearchThresholdP</w:t>
            </w:r>
            <w:r w:rsidR="00CD6E06" w:rsidRPr="00FA0D37">
              <w:rPr>
                <w:b/>
                <w:i/>
                <w:lang w:eastAsia="sv-SE"/>
              </w:rPr>
              <w:t>, s-SearchThresholdP2</w:t>
            </w:r>
          </w:p>
          <w:p w14:paraId="7C165788" w14:textId="236390BA" w:rsidR="00394471" w:rsidRPr="00FA0D37" w:rsidRDefault="00394471" w:rsidP="00964CC4">
            <w:pPr>
              <w:pStyle w:val="TAL"/>
              <w:rPr>
                <w:noProof/>
                <w:lang w:eastAsia="sv-SE"/>
              </w:rPr>
            </w:pPr>
            <w:r w:rsidRPr="00FA0D37">
              <w:rPr>
                <w:lang w:eastAsia="sv-SE"/>
              </w:rPr>
              <w:t>Parameter</w:t>
            </w:r>
            <w:r w:rsidR="00CD6E06" w:rsidRPr="00FA0D37">
              <w:rPr>
                <w:lang w:eastAsia="sv-SE"/>
              </w:rPr>
              <w:t>s</w:t>
            </w:r>
            <w:r w:rsidRPr="00FA0D37">
              <w:rPr>
                <w:lang w:eastAsia="sv-SE"/>
              </w:rPr>
              <w:t xml:space="preserve"> "S</w:t>
            </w:r>
            <w:r w:rsidRPr="00FA0D37">
              <w:rPr>
                <w:vertAlign w:val="subscript"/>
                <w:lang w:eastAsia="sv-SE"/>
              </w:rPr>
              <w:t>SearchThresholdP</w:t>
            </w:r>
            <w:r w:rsidRPr="00FA0D37">
              <w:rPr>
                <w:lang w:eastAsia="sv-SE"/>
              </w:rPr>
              <w:t>"</w:t>
            </w:r>
            <w:r w:rsidR="00CD6E06" w:rsidRPr="00FA0D37">
              <w:rPr>
                <w:lang w:eastAsia="sv-SE"/>
              </w:rPr>
              <w:t xml:space="preserve"> and "S</w:t>
            </w:r>
            <w:r w:rsidR="00CD6E06" w:rsidRPr="00FA0D37">
              <w:rPr>
                <w:vertAlign w:val="subscript"/>
                <w:lang w:eastAsia="sv-SE"/>
              </w:rPr>
              <w:t>SearchThresholdP2</w:t>
            </w:r>
            <w:r w:rsidR="00CD6E06" w:rsidRPr="00FA0D37">
              <w:rPr>
                <w:lang w:eastAsia="sv-SE"/>
              </w:rPr>
              <w:t>"</w:t>
            </w:r>
            <w:r w:rsidRPr="00FA0D37">
              <w:rPr>
                <w:lang w:eastAsia="sv-SE"/>
              </w:rPr>
              <w:t xml:space="preserve"> in TS 38.304 [20].</w:t>
            </w:r>
            <w:r w:rsidRPr="00FA0D37">
              <w:t xml:space="preserve"> The network configures </w:t>
            </w:r>
            <w:r w:rsidRPr="00FA0D37">
              <w:rPr>
                <w:i/>
              </w:rPr>
              <w:t>s-SearchThresholdP</w:t>
            </w:r>
            <w:r w:rsidRPr="00FA0D37">
              <w:t xml:space="preserve"> </w:t>
            </w:r>
            <w:r w:rsidR="00CD6E06" w:rsidRPr="00FA0D37">
              <w:t xml:space="preserve">and </w:t>
            </w:r>
            <w:r w:rsidR="00CD6E06" w:rsidRPr="00FA0D37">
              <w:rPr>
                <w:i/>
                <w:iCs/>
              </w:rPr>
              <w:t>s-</w:t>
            </w:r>
            <w:r w:rsidR="00CD6E06" w:rsidRPr="00FA0D37">
              <w:rPr>
                <w:i/>
              </w:rPr>
              <w:t xml:space="preserve">SearchThresholdP2 </w:t>
            </w:r>
            <w:r w:rsidRPr="00FA0D37">
              <w:rPr>
                <w:rFonts w:cs="Arial"/>
              </w:rPr>
              <w:t xml:space="preserve">to be less than or equal to </w:t>
            </w:r>
            <w:r w:rsidRPr="00FA0D37">
              <w:rPr>
                <w:rFonts w:cs="Arial"/>
                <w:i/>
              </w:rPr>
              <w:t xml:space="preserve">s-IntraSearchP </w:t>
            </w:r>
            <w:r w:rsidRPr="00FA0D37">
              <w:rPr>
                <w:rFonts w:cs="Arial"/>
              </w:rPr>
              <w:t>and</w:t>
            </w:r>
            <w:r w:rsidRPr="00FA0D37">
              <w:rPr>
                <w:rFonts w:cs="Arial"/>
                <w:i/>
              </w:rPr>
              <w:t xml:space="preserve"> s-NonIntraSearchP</w:t>
            </w:r>
            <w:r w:rsidRPr="00FA0D37">
              <w:rPr>
                <w:rFonts w:cs="Arial"/>
              </w:rPr>
              <w:t>.</w:t>
            </w:r>
          </w:p>
        </w:tc>
      </w:tr>
      <w:tr w:rsidR="005C7FF4" w:rsidRPr="00FA0D37" w14:paraId="1BA9EF7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1F667" w14:textId="074AF787" w:rsidR="00394471" w:rsidRPr="00FA0D37" w:rsidRDefault="00394471" w:rsidP="00964CC4">
            <w:pPr>
              <w:pStyle w:val="TAL"/>
              <w:rPr>
                <w:b/>
                <w:i/>
                <w:noProof/>
                <w:lang w:eastAsia="sv-SE"/>
              </w:rPr>
            </w:pPr>
            <w:r w:rsidRPr="00FA0D37">
              <w:rPr>
                <w:b/>
                <w:i/>
                <w:noProof/>
                <w:lang w:eastAsia="sv-SE"/>
              </w:rPr>
              <w:t>s-SearchThresholdQ</w:t>
            </w:r>
            <w:r w:rsidR="00CD6E06" w:rsidRPr="00FA0D37">
              <w:rPr>
                <w:b/>
                <w:i/>
                <w:lang w:eastAsia="sv-SE"/>
              </w:rPr>
              <w:t>, s-SearchThresholdQ2</w:t>
            </w:r>
          </w:p>
          <w:p w14:paraId="71F69473" w14:textId="318FF719" w:rsidR="00394471" w:rsidRPr="00FA0D37" w:rsidRDefault="00394471" w:rsidP="00964CC4">
            <w:pPr>
              <w:pStyle w:val="TAL"/>
              <w:rPr>
                <w:noProof/>
                <w:lang w:eastAsia="sv-SE"/>
              </w:rPr>
            </w:pPr>
            <w:r w:rsidRPr="00FA0D37">
              <w:rPr>
                <w:lang w:eastAsia="sv-SE"/>
              </w:rPr>
              <w:t>Parameter</w:t>
            </w:r>
            <w:r w:rsidR="00CD6E06" w:rsidRPr="00FA0D37">
              <w:rPr>
                <w:lang w:eastAsia="sv-SE"/>
              </w:rPr>
              <w:t>s</w:t>
            </w:r>
            <w:r w:rsidRPr="00FA0D37">
              <w:rPr>
                <w:lang w:eastAsia="sv-SE"/>
              </w:rPr>
              <w:t xml:space="preserve"> "S</w:t>
            </w:r>
            <w:r w:rsidRPr="00FA0D37">
              <w:rPr>
                <w:vertAlign w:val="subscript"/>
                <w:lang w:eastAsia="sv-SE"/>
              </w:rPr>
              <w:t>SearchThresholdQ</w:t>
            </w:r>
            <w:r w:rsidRPr="00FA0D37">
              <w:rPr>
                <w:lang w:eastAsia="sv-SE"/>
              </w:rPr>
              <w:t xml:space="preserve">" </w:t>
            </w:r>
            <w:r w:rsidR="00CD6E06" w:rsidRPr="00FA0D37">
              <w:rPr>
                <w:lang w:eastAsia="sv-SE"/>
              </w:rPr>
              <w:t>and "S</w:t>
            </w:r>
            <w:r w:rsidR="00CD6E06" w:rsidRPr="00FA0D37">
              <w:rPr>
                <w:vertAlign w:val="subscript"/>
                <w:lang w:eastAsia="sv-SE"/>
              </w:rPr>
              <w:t>SearchThresholdQ2</w:t>
            </w:r>
            <w:r w:rsidR="00CD6E06" w:rsidRPr="00FA0D37">
              <w:rPr>
                <w:lang w:eastAsia="sv-SE"/>
              </w:rPr>
              <w:t xml:space="preserve">" </w:t>
            </w:r>
            <w:r w:rsidRPr="00FA0D37">
              <w:rPr>
                <w:lang w:eastAsia="sv-SE"/>
              </w:rPr>
              <w:t>in TS 38.304 [20].</w:t>
            </w:r>
            <w:r w:rsidRPr="00FA0D37">
              <w:t xml:space="preserve"> The network configures </w:t>
            </w:r>
            <w:r w:rsidRPr="00FA0D37">
              <w:rPr>
                <w:i/>
              </w:rPr>
              <w:t>s-SearchThresholdQ</w:t>
            </w:r>
            <w:r w:rsidRPr="00FA0D37">
              <w:t xml:space="preserve"> </w:t>
            </w:r>
            <w:r w:rsidR="00CD6E06" w:rsidRPr="00FA0D37">
              <w:t xml:space="preserve">and </w:t>
            </w:r>
            <w:r w:rsidR="00CD6E06" w:rsidRPr="00FA0D37">
              <w:rPr>
                <w:i/>
              </w:rPr>
              <w:t>s-SearchThresholdQ2</w:t>
            </w:r>
            <w:r w:rsidR="00CD6E06" w:rsidRPr="00FA0D37">
              <w:t xml:space="preserve"> </w:t>
            </w:r>
            <w:r w:rsidRPr="00FA0D37">
              <w:rPr>
                <w:rFonts w:cs="Arial"/>
              </w:rPr>
              <w:t xml:space="preserve">to be less than or equal to </w:t>
            </w:r>
            <w:r w:rsidRPr="00FA0D37">
              <w:rPr>
                <w:rFonts w:cs="Arial"/>
                <w:i/>
              </w:rPr>
              <w:t xml:space="preserve">s-IntraSearchQ </w:t>
            </w:r>
            <w:r w:rsidRPr="00FA0D37">
              <w:rPr>
                <w:rFonts w:cs="Arial"/>
              </w:rPr>
              <w:t>and</w:t>
            </w:r>
            <w:r w:rsidRPr="00FA0D37">
              <w:rPr>
                <w:rFonts w:cs="Arial"/>
                <w:i/>
              </w:rPr>
              <w:t xml:space="preserve"> s-NonIntraSearchQ</w:t>
            </w:r>
            <w:r w:rsidRPr="00FA0D37">
              <w:rPr>
                <w:rFonts w:cs="Arial"/>
              </w:rPr>
              <w:t>.</w:t>
            </w:r>
          </w:p>
        </w:tc>
      </w:tr>
      <w:tr w:rsidR="005C7FF4" w:rsidRPr="00FA0D37" w14:paraId="090DD0C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55AE61" w14:textId="77777777" w:rsidR="00394471" w:rsidRPr="00FA0D37" w:rsidRDefault="00394471" w:rsidP="00964CC4">
            <w:pPr>
              <w:pStyle w:val="TAL"/>
              <w:rPr>
                <w:b/>
                <w:bCs/>
                <w:i/>
                <w:iCs/>
                <w:noProof/>
                <w:lang w:eastAsia="sv-SE"/>
              </w:rPr>
            </w:pPr>
            <w:r w:rsidRPr="00FA0D37">
              <w:rPr>
                <w:b/>
                <w:bCs/>
                <w:i/>
                <w:iCs/>
                <w:noProof/>
                <w:lang w:eastAsia="sv-SE"/>
              </w:rPr>
              <w:t>smtc</w:t>
            </w:r>
          </w:p>
          <w:p w14:paraId="2F0FB7E0" w14:textId="52B2A8F8" w:rsidR="00394471" w:rsidRPr="00FA0D37" w:rsidRDefault="00394471" w:rsidP="00964CC4">
            <w:pPr>
              <w:pStyle w:val="TAL"/>
              <w:rPr>
                <w:b/>
                <w:bCs/>
                <w:i/>
                <w:noProof/>
                <w:lang w:eastAsia="en-GB"/>
              </w:rPr>
            </w:pPr>
            <w:r w:rsidRPr="00FA0D37">
              <w:rPr>
                <w:szCs w:val="22"/>
                <w:lang w:eastAsia="sv-SE"/>
              </w:rPr>
              <w:t>Measurement timing configuration for intra-frequency measurement. If this field is absent, the UE assumes that SSB periodicity is 5 ms for the intra-frequnecy cells.</w:t>
            </w:r>
            <w:r w:rsidR="001163BA" w:rsidRPr="00FA0D37">
              <w:rPr>
                <w:szCs w:val="22"/>
                <w:lang w:eastAsia="sv-SE"/>
              </w:rPr>
              <w:t xml:space="preserve"> If the field is broadcast by an NTN cell, the </w:t>
            </w:r>
            <w:r w:rsidR="001163BA" w:rsidRPr="00FA0D37">
              <w:rPr>
                <w:i/>
                <w:iCs/>
                <w:szCs w:val="22"/>
                <w:lang w:eastAsia="sv-SE"/>
              </w:rPr>
              <w:t>offset</w:t>
            </w:r>
            <w:r w:rsidR="001163BA" w:rsidRPr="00FA0D37">
              <w:rPr>
                <w:szCs w:val="22"/>
                <w:lang w:eastAsia="sv-SE"/>
              </w:rPr>
              <w:t xml:space="preserve"> (derived from parameter </w:t>
            </w:r>
            <w:r w:rsidR="001163BA" w:rsidRPr="00FA0D37">
              <w:rPr>
                <w:i/>
                <w:iCs/>
                <w:szCs w:val="22"/>
                <w:lang w:eastAsia="sv-SE"/>
              </w:rPr>
              <w:t>periodicityAndOffset</w:t>
            </w:r>
            <w:r w:rsidR="001163BA" w:rsidRPr="00FA0D37">
              <w:rPr>
                <w:szCs w:val="22"/>
                <w:lang w:eastAsia="sv-SE"/>
              </w:rPr>
              <w:t xml:space="preserve">) is based on the assumption that </w:t>
            </w:r>
            <w:r w:rsidR="007311BD" w:rsidRPr="00FA0D37">
              <w:rPr>
                <w:szCs w:val="22"/>
                <w:lang w:eastAsia="sv-SE"/>
              </w:rPr>
              <w:t>the gNB-UE</w:t>
            </w:r>
            <w:r w:rsidR="001163BA" w:rsidRPr="00FA0D37">
              <w:rPr>
                <w:szCs w:val="22"/>
                <w:lang w:eastAsia="sv-SE"/>
              </w:rPr>
              <w:t xml:space="preserve"> propagation delay difference between the serving cell and neighbour cells equals to 0 ms, and UE can adjust the actual </w:t>
            </w:r>
            <w:r w:rsidR="001163BA" w:rsidRPr="00FA0D37">
              <w:rPr>
                <w:i/>
                <w:iCs/>
                <w:szCs w:val="22"/>
                <w:lang w:eastAsia="sv-SE"/>
              </w:rPr>
              <w:t>offset</w:t>
            </w:r>
            <w:r w:rsidR="001163BA" w:rsidRPr="00FA0D37">
              <w:rPr>
                <w:szCs w:val="22"/>
                <w:lang w:eastAsia="sv-SE"/>
              </w:rPr>
              <w:t xml:space="preserve"> based on the actual propagation delay difference.</w:t>
            </w:r>
          </w:p>
        </w:tc>
      </w:tr>
      <w:tr w:rsidR="005C7FF4" w:rsidRPr="00FA0D37" w14:paraId="036118C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0F82A3" w14:textId="3027E306" w:rsidR="00394471" w:rsidRPr="00FA0D37" w:rsidRDefault="00394471" w:rsidP="00964CC4">
            <w:pPr>
              <w:pStyle w:val="TAL"/>
              <w:rPr>
                <w:b/>
                <w:bCs/>
                <w:i/>
                <w:iCs/>
                <w:noProof/>
                <w:lang w:eastAsia="sv-SE"/>
              </w:rPr>
            </w:pPr>
            <w:r w:rsidRPr="00FA0D37">
              <w:rPr>
                <w:b/>
                <w:bCs/>
                <w:i/>
                <w:iCs/>
                <w:noProof/>
                <w:lang w:eastAsia="sv-SE"/>
              </w:rPr>
              <w:t>smtc2-LP</w:t>
            </w:r>
          </w:p>
          <w:p w14:paraId="58139C54" w14:textId="1DE8039F" w:rsidR="00394471" w:rsidRPr="00FA0D37" w:rsidRDefault="00394471" w:rsidP="00964CC4">
            <w:pPr>
              <w:pStyle w:val="TAL"/>
              <w:rPr>
                <w:b/>
                <w:bCs/>
                <w:i/>
                <w:iCs/>
                <w:noProof/>
                <w:lang w:eastAsia="sv-SE"/>
              </w:rPr>
            </w:pPr>
            <w:r w:rsidRPr="00FA0D37">
              <w:rPr>
                <w:bCs/>
                <w:iCs/>
                <w:noProof/>
                <w:lang w:eastAsia="sv-SE"/>
              </w:rPr>
              <w:t xml:space="preserve">Measurement timing configuration for intra-frequency neighbour cells with a Long Periodicity (LP) indicated by periodicity in </w:t>
            </w:r>
            <w:r w:rsidRPr="00FA0D37">
              <w:rPr>
                <w:bCs/>
                <w:i/>
                <w:iCs/>
                <w:noProof/>
                <w:lang w:eastAsia="sv-SE"/>
              </w:rPr>
              <w:t>smtc2-LP</w:t>
            </w:r>
            <w:r w:rsidRPr="00FA0D37">
              <w:rPr>
                <w:bCs/>
                <w:iCs/>
                <w:noProof/>
                <w:lang w:eastAsia="sv-SE"/>
              </w:rPr>
              <w:t xml:space="preserve">. The timing offset and duration are equal to the offset and duration indicated in </w:t>
            </w:r>
            <w:r w:rsidRPr="00FA0D37">
              <w:rPr>
                <w:bCs/>
                <w:i/>
                <w:iCs/>
                <w:noProof/>
                <w:lang w:eastAsia="sv-SE"/>
              </w:rPr>
              <w:t>smtc</w:t>
            </w:r>
            <w:r w:rsidRPr="00FA0D37">
              <w:rPr>
                <w:bCs/>
                <w:iCs/>
                <w:noProof/>
                <w:lang w:eastAsia="sv-SE"/>
              </w:rPr>
              <w:t xml:space="preserve"> in </w:t>
            </w:r>
            <w:r w:rsidRPr="00FA0D37">
              <w:rPr>
                <w:bCs/>
                <w:i/>
                <w:iCs/>
                <w:noProof/>
                <w:lang w:eastAsia="sv-SE"/>
              </w:rPr>
              <w:t>intraFreqCellReselectionInfo</w:t>
            </w:r>
            <w:r w:rsidRPr="00FA0D37">
              <w:rPr>
                <w:bCs/>
                <w:iCs/>
                <w:noProof/>
                <w:lang w:eastAsia="sv-SE"/>
              </w:rPr>
              <w:t xml:space="preserve">. The periodicity in </w:t>
            </w:r>
            <w:r w:rsidRPr="00FA0D37">
              <w:rPr>
                <w:bCs/>
                <w:i/>
                <w:iCs/>
                <w:noProof/>
                <w:lang w:eastAsia="sv-SE"/>
              </w:rPr>
              <w:t>smtc2-LP</w:t>
            </w:r>
            <w:r w:rsidRPr="00FA0D37">
              <w:rPr>
                <w:bCs/>
                <w:iCs/>
                <w:noProof/>
                <w:lang w:eastAsia="sv-SE"/>
              </w:rPr>
              <w:t xml:space="preserve"> can only be set to a value strictly larger than the periodicity in </w:t>
            </w:r>
            <w:r w:rsidRPr="00FA0D37">
              <w:rPr>
                <w:bCs/>
                <w:i/>
                <w:iCs/>
                <w:noProof/>
                <w:lang w:eastAsia="sv-SE"/>
              </w:rPr>
              <w:t>smtc</w:t>
            </w:r>
            <w:r w:rsidRPr="00FA0D37">
              <w:rPr>
                <w:bCs/>
                <w:iCs/>
                <w:noProof/>
                <w:lang w:eastAsia="sv-SE"/>
              </w:rPr>
              <w:t xml:space="preserve"> in </w:t>
            </w:r>
            <w:r w:rsidRPr="00FA0D37">
              <w:rPr>
                <w:bCs/>
                <w:i/>
                <w:iCs/>
                <w:noProof/>
                <w:lang w:eastAsia="sv-SE"/>
              </w:rPr>
              <w:t>intraFreqCellReselectionInfo</w:t>
            </w:r>
            <w:r w:rsidRPr="00FA0D37">
              <w:rPr>
                <w:bCs/>
                <w:iCs/>
                <w:noProof/>
                <w:lang w:eastAsia="sv-SE"/>
              </w:rPr>
              <w:t xml:space="preserve"> (e.g. if </w:t>
            </w:r>
            <w:r w:rsidRPr="00FA0D37">
              <w:rPr>
                <w:bCs/>
                <w:i/>
                <w:iCs/>
                <w:noProof/>
                <w:lang w:eastAsia="sv-SE"/>
              </w:rPr>
              <w:t>smtc</w:t>
            </w:r>
            <w:r w:rsidRPr="00FA0D37">
              <w:rPr>
                <w:bCs/>
                <w:iCs/>
                <w:noProof/>
                <w:lang w:eastAsia="sv-SE"/>
              </w:rPr>
              <w:t xml:space="preserve"> indicates sf20 the Long Periodicity can only be set to sf40, sf80 or sf160, if </w:t>
            </w:r>
            <w:r w:rsidRPr="00FA0D37">
              <w:rPr>
                <w:bCs/>
                <w:i/>
                <w:iCs/>
                <w:noProof/>
                <w:lang w:eastAsia="sv-SE"/>
              </w:rPr>
              <w:t>smtc</w:t>
            </w:r>
            <w:r w:rsidRPr="00FA0D37">
              <w:rPr>
                <w:bCs/>
                <w:iCs/>
                <w:noProof/>
                <w:lang w:eastAsia="sv-SE"/>
              </w:rPr>
              <w:t xml:space="preserve"> indicates sf160, </w:t>
            </w:r>
            <w:r w:rsidRPr="00FA0D37">
              <w:rPr>
                <w:bCs/>
                <w:i/>
                <w:iCs/>
                <w:noProof/>
                <w:lang w:eastAsia="sv-SE"/>
              </w:rPr>
              <w:t>smtc2-LP</w:t>
            </w:r>
            <w:r w:rsidRPr="00FA0D37">
              <w:rPr>
                <w:bCs/>
                <w:iCs/>
                <w:noProof/>
                <w:lang w:eastAsia="sv-SE"/>
              </w:rPr>
              <w:t xml:space="preserve"> cannot be configured). The </w:t>
            </w:r>
            <w:r w:rsidRPr="00FA0D37">
              <w:rPr>
                <w:bCs/>
                <w:i/>
                <w:iCs/>
                <w:noProof/>
                <w:lang w:eastAsia="sv-SE"/>
              </w:rPr>
              <w:t>pci-List</w:t>
            </w:r>
            <w:r w:rsidRPr="00FA0D37">
              <w:rPr>
                <w:bCs/>
                <w:iCs/>
                <w:noProof/>
                <w:lang w:eastAsia="sv-SE"/>
              </w:rPr>
              <w:t xml:space="preserve">, if present, includes the physical cell identities of the intra-frequency neighbour cells with Long Periodicity. If </w:t>
            </w:r>
            <w:r w:rsidRPr="00FA0D37">
              <w:rPr>
                <w:bCs/>
                <w:i/>
                <w:iCs/>
                <w:noProof/>
                <w:lang w:eastAsia="sv-SE"/>
              </w:rPr>
              <w:t>smtc2-LP</w:t>
            </w:r>
            <w:r w:rsidRPr="00FA0D37">
              <w:rPr>
                <w:bCs/>
                <w:iCs/>
                <w:noProof/>
                <w:lang w:eastAsia="sv-SE"/>
              </w:rPr>
              <w:t xml:space="preserve"> is absent, the UE assumes that there are no intra-frequency neighbour cells with a Long Periodicity.</w:t>
            </w:r>
          </w:p>
        </w:tc>
      </w:tr>
      <w:tr w:rsidR="005C7FF4" w:rsidRPr="00FA0D37" w14:paraId="5B0FDFCB" w14:textId="77777777" w:rsidTr="0071565C">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A03322E" w14:textId="77777777" w:rsidR="001163BA" w:rsidRPr="00FA0D37" w:rsidRDefault="001163BA" w:rsidP="0071565C">
            <w:pPr>
              <w:pStyle w:val="TAL"/>
              <w:rPr>
                <w:b/>
                <w:i/>
                <w:szCs w:val="22"/>
                <w:lang w:eastAsia="en-GB"/>
              </w:rPr>
            </w:pPr>
            <w:r w:rsidRPr="00FA0D37">
              <w:rPr>
                <w:b/>
                <w:i/>
                <w:szCs w:val="22"/>
                <w:lang w:eastAsia="en-GB"/>
              </w:rPr>
              <w:lastRenderedPageBreak/>
              <w:t>smtc4list</w:t>
            </w:r>
          </w:p>
          <w:p w14:paraId="67A90ACA" w14:textId="2B09258F" w:rsidR="001163BA" w:rsidRPr="00FA0D37" w:rsidRDefault="001163BA" w:rsidP="0071565C">
            <w:pPr>
              <w:pStyle w:val="TAL"/>
              <w:rPr>
                <w:b/>
                <w:bCs/>
                <w:i/>
                <w:iCs/>
                <w:lang w:eastAsia="sv-SE"/>
              </w:rPr>
            </w:pPr>
            <w:r w:rsidRPr="00FA0D37">
              <w:rPr>
                <w:bCs/>
                <w:iCs/>
                <w:szCs w:val="22"/>
                <w:lang w:eastAsia="en-GB"/>
              </w:rPr>
              <w:t xml:space="preserve">Measurement timing configuration list for NTN deployments, see clause 5.5.2.10. The offset of each SSB-MTC4 in </w:t>
            </w:r>
            <w:r w:rsidRPr="00FA0D37">
              <w:rPr>
                <w:bCs/>
                <w:i/>
                <w:szCs w:val="22"/>
                <w:lang w:eastAsia="en-GB"/>
              </w:rPr>
              <w:t>smtc4list</w:t>
            </w:r>
            <w:r w:rsidRPr="00FA0D37">
              <w:rPr>
                <w:bCs/>
                <w:iCs/>
                <w:szCs w:val="22"/>
                <w:lang w:eastAsia="en-GB"/>
              </w:rPr>
              <w:t xml:space="preserve"> is based on the assumption that </w:t>
            </w:r>
            <w:r w:rsidR="007311BD" w:rsidRPr="00FA0D37">
              <w:rPr>
                <w:bCs/>
                <w:iCs/>
                <w:szCs w:val="22"/>
                <w:lang w:eastAsia="en-GB"/>
              </w:rPr>
              <w:t>the gNB-UE</w:t>
            </w:r>
            <w:r w:rsidRPr="00FA0D37">
              <w:rPr>
                <w:bCs/>
                <w:iCs/>
                <w:szCs w:val="22"/>
                <w:lang w:eastAsia="en-GB"/>
              </w:rPr>
              <w:t xml:space="preserve"> propagation delay difference between the serving cell and neighbour cells equals to 0 ms, and UE can adjust the actual </w:t>
            </w:r>
            <w:r w:rsidRPr="00FA0D37">
              <w:rPr>
                <w:bCs/>
                <w:i/>
                <w:szCs w:val="22"/>
                <w:lang w:eastAsia="en-GB"/>
              </w:rPr>
              <w:t>offset</w:t>
            </w:r>
            <w:r w:rsidRPr="00FA0D37">
              <w:rPr>
                <w:bCs/>
                <w:iCs/>
                <w:szCs w:val="22"/>
                <w:lang w:eastAsia="en-GB"/>
              </w:rPr>
              <w:t xml:space="preserve"> based on the actual propagation delay difference. For a UE that supports less SMTCs than what is included in this list, it is up to the UE to select which SMTCs to consider.</w:t>
            </w:r>
          </w:p>
        </w:tc>
      </w:tr>
      <w:tr w:rsidR="005C7FF4" w:rsidRPr="00FA0D37" w14:paraId="49EBD7A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FA6F0" w14:textId="77777777" w:rsidR="00394471" w:rsidRPr="00FA0D37" w:rsidRDefault="00394471" w:rsidP="00964CC4">
            <w:pPr>
              <w:pStyle w:val="TAL"/>
              <w:rPr>
                <w:b/>
                <w:bCs/>
                <w:i/>
                <w:iCs/>
                <w:lang w:eastAsia="x-none"/>
              </w:rPr>
            </w:pPr>
            <w:r w:rsidRPr="00FA0D37">
              <w:rPr>
                <w:b/>
                <w:bCs/>
                <w:i/>
                <w:iCs/>
                <w:lang w:eastAsia="x-none"/>
              </w:rPr>
              <w:t>ssb-PositionQCL-Common</w:t>
            </w:r>
          </w:p>
          <w:p w14:paraId="70B42492" w14:textId="68DFB1F1" w:rsidR="00394471" w:rsidRPr="00FA0D37" w:rsidRDefault="00394471" w:rsidP="00964CC4">
            <w:pPr>
              <w:pStyle w:val="TAL"/>
              <w:rPr>
                <w:iCs/>
                <w:noProof/>
                <w:lang w:eastAsia="sv-SE"/>
              </w:rPr>
            </w:pPr>
            <w:r w:rsidRPr="00FA0D37">
              <w:rPr>
                <w:lang w:eastAsia="sv-SE"/>
              </w:rPr>
              <w:t>Indicates the QCL relation between SS/PBCH blocks for intra-frequency neighbor cells as specified in TS 38.213 [13], clause 4.1.</w:t>
            </w:r>
          </w:p>
        </w:tc>
      </w:tr>
      <w:tr w:rsidR="005C7FF4" w:rsidRPr="00FA0D37" w14:paraId="12BBB5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BCB047" w14:textId="77777777" w:rsidR="00394471" w:rsidRPr="00FA0D37" w:rsidRDefault="00394471" w:rsidP="00964CC4">
            <w:pPr>
              <w:pStyle w:val="TAL"/>
              <w:rPr>
                <w:b/>
                <w:bCs/>
                <w:i/>
                <w:iCs/>
                <w:lang w:eastAsia="sv-SE"/>
              </w:rPr>
            </w:pPr>
            <w:r w:rsidRPr="00FA0D37">
              <w:rPr>
                <w:b/>
                <w:bCs/>
                <w:i/>
                <w:iCs/>
                <w:lang w:eastAsia="sv-SE"/>
              </w:rPr>
              <w:t>ssb-ToMeasure</w:t>
            </w:r>
          </w:p>
          <w:p w14:paraId="1CC37DBE" w14:textId="77777777" w:rsidR="00394471" w:rsidRPr="00FA0D37" w:rsidRDefault="00394471" w:rsidP="00964CC4">
            <w:pPr>
              <w:pStyle w:val="TAL"/>
              <w:rPr>
                <w:b/>
                <w:bCs/>
                <w:i/>
                <w:noProof/>
                <w:lang w:eastAsia="en-GB"/>
              </w:rPr>
            </w:pPr>
            <w:r w:rsidRPr="00FA0D37">
              <w:rPr>
                <w:szCs w:val="22"/>
                <w:lang w:eastAsia="sv-SE"/>
              </w:rPr>
              <w:t>The set of SS blocks to be measured within the SMTC measurement duration (see TS 38.215 [9]). When the field is absent the UE measures on all SS-blocks.</w:t>
            </w:r>
          </w:p>
        </w:tc>
      </w:tr>
      <w:tr w:rsidR="005C7FF4" w:rsidRPr="00FA0D37" w14:paraId="44746E8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5CF1874" w14:textId="77777777" w:rsidR="00CD6E06" w:rsidRPr="00FA0D37" w:rsidRDefault="00CD6E06" w:rsidP="00771058">
            <w:pPr>
              <w:pStyle w:val="TAL"/>
              <w:rPr>
                <w:b/>
                <w:bCs/>
                <w:i/>
                <w:iCs/>
                <w:lang w:eastAsia="sv-SE"/>
              </w:rPr>
            </w:pPr>
            <w:r w:rsidRPr="00FA0D37">
              <w:rPr>
                <w:b/>
                <w:bCs/>
                <w:i/>
                <w:iCs/>
                <w:lang w:eastAsia="sv-SE"/>
              </w:rPr>
              <w:t>stationaryMobilityEvaluation</w:t>
            </w:r>
          </w:p>
          <w:p w14:paraId="24EA1D58" w14:textId="183BEB93" w:rsidR="00CD6E06" w:rsidRPr="00FA0D37" w:rsidRDefault="00CD6E06" w:rsidP="00771058">
            <w:pPr>
              <w:pStyle w:val="TAL"/>
              <w:rPr>
                <w:b/>
                <w:bCs/>
                <w:i/>
                <w:iCs/>
                <w:lang w:eastAsia="sv-SE"/>
              </w:rPr>
            </w:pPr>
            <w:r w:rsidRPr="00FA0D37">
              <w:rPr>
                <w:bCs/>
                <w:lang w:eastAsia="zh-CN"/>
              </w:rPr>
              <w:t xml:space="preserve">Indicates the criteria for a UE to detect stationary mobility, in order to relax measurement requirements for cell reselection </w:t>
            </w:r>
            <w:r w:rsidRPr="00FA0D37">
              <w:rPr>
                <w:szCs w:val="22"/>
                <w:lang w:eastAsia="sv-SE"/>
              </w:rPr>
              <w:t>(see TS 38.304 [20], clause 5.2.4.9.</w:t>
            </w:r>
            <w:r w:rsidR="00052DEB" w:rsidRPr="00FA0D37">
              <w:rPr>
                <w:szCs w:val="22"/>
                <w:lang w:eastAsia="sv-SE"/>
              </w:rPr>
              <w:t>0</w:t>
            </w:r>
            <w:r w:rsidRPr="00FA0D37">
              <w:rPr>
                <w:szCs w:val="22"/>
                <w:lang w:eastAsia="sv-SE"/>
              </w:rPr>
              <w:t>)</w:t>
            </w:r>
            <w:r w:rsidRPr="00FA0D37">
              <w:rPr>
                <w:bCs/>
                <w:lang w:eastAsia="zh-CN"/>
              </w:rPr>
              <w:t>.</w:t>
            </w:r>
          </w:p>
        </w:tc>
      </w:tr>
      <w:tr w:rsidR="005C7FF4" w:rsidRPr="00FA0D37" w14:paraId="09EA7EB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3CE94E" w14:textId="77777777" w:rsidR="00394471" w:rsidRPr="00FA0D37" w:rsidRDefault="00394471" w:rsidP="00964CC4">
            <w:pPr>
              <w:pStyle w:val="TAL"/>
              <w:rPr>
                <w:b/>
                <w:bCs/>
                <w:i/>
                <w:noProof/>
                <w:lang w:eastAsia="en-GB"/>
              </w:rPr>
            </w:pPr>
            <w:r w:rsidRPr="00FA0D37">
              <w:rPr>
                <w:b/>
                <w:bCs/>
                <w:i/>
                <w:noProof/>
                <w:lang w:eastAsia="en-GB"/>
              </w:rPr>
              <w:t>t-ReselectionNR</w:t>
            </w:r>
          </w:p>
          <w:p w14:paraId="29CF1F24" w14:textId="77777777" w:rsidR="00394471" w:rsidRPr="00FA0D37" w:rsidRDefault="00394471" w:rsidP="00964CC4">
            <w:pPr>
              <w:pStyle w:val="TAL"/>
              <w:rPr>
                <w:lang w:eastAsia="en-GB"/>
              </w:rPr>
            </w:pPr>
            <w:r w:rsidRPr="00FA0D37">
              <w:rPr>
                <w:lang w:eastAsia="en-GB"/>
              </w:rPr>
              <w:t>Parameter "Treselection</w:t>
            </w:r>
            <w:r w:rsidRPr="00FA0D37">
              <w:rPr>
                <w:vertAlign w:val="subscript"/>
                <w:lang w:eastAsia="en-GB"/>
              </w:rPr>
              <w:t>NR</w:t>
            </w:r>
            <w:r w:rsidRPr="00FA0D37">
              <w:rPr>
                <w:lang w:eastAsia="en-GB"/>
              </w:rPr>
              <w:t>" in TS 38.304 [20].</w:t>
            </w:r>
          </w:p>
        </w:tc>
      </w:tr>
      <w:tr w:rsidR="005C7FF4" w:rsidRPr="00FA0D37" w14:paraId="4820E4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B4B9C" w14:textId="77777777" w:rsidR="00394471" w:rsidRPr="00FA0D37" w:rsidRDefault="00394471" w:rsidP="00964CC4">
            <w:pPr>
              <w:pStyle w:val="TAL"/>
              <w:rPr>
                <w:b/>
                <w:bCs/>
                <w:i/>
                <w:noProof/>
                <w:lang w:eastAsia="en-GB"/>
              </w:rPr>
            </w:pPr>
            <w:r w:rsidRPr="00FA0D37">
              <w:rPr>
                <w:b/>
                <w:bCs/>
                <w:i/>
                <w:noProof/>
                <w:lang w:eastAsia="en-GB"/>
              </w:rPr>
              <w:t>t-ReselectionNR-SF</w:t>
            </w:r>
          </w:p>
          <w:p w14:paraId="40604416" w14:textId="77777777" w:rsidR="00394471" w:rsidRPr="00FA0D37" w:rsidRDefault="00394471" w:rsidP="00964CC4">
            <w:pPr>
              <w:pStyle w:val="TAL"/>
              <w:rPr>
                <w:bCs/>
                <w:noProof/>
                <w:lang w:eastAsia="en-GB"/>
              </w:rPr>
            </w:pPr>
            <w:r w:rsidRPr="00FA0D37">
              <w:rPr>
                <w:bCs/>
                <w:noProof/>
                <w:lang w:eastAsia="en-GB"/>
              </w:rPr>
              <w:t>Parameter "Speed dependent ScalingFactor for Treselection</w:t>
            </w:r>
            <w:r w:rsidRPr="00FA0D37">
              <w:rPr>
                <w:bCs/>
                <w:noProof/>
                <w:vertAlign w:val="subscript"/>
                <w:lang w:eastAsia="en-GB"/>
              </w:rPr>
              <w:t>NR</w:t>
            </w:r>
            <w:r w:rsidRPr="00FA0D37">
              <w:rPr>
                <w:bCs/>
                <w:noProof/>
                <w:lang w:eastAsia="en-GB"/>
              </w:rPr>
              <w:t xml:space="preserve">" in TS 38.304 [20]. If the field is </w:t>
            </w:r>
            <w:r w:rsidRPr="00FA0D37">
              <w:rPr>
                <w:lang w:eastAsia="en-GB"/>
              </w:rPr>
              <w:t>absent</w:t>
            </w:r>
            <w:r w:rsidRPr="00FA0D37">
              <w:rPr>
                <w:bCs/>
                <w:noProof/>
                <w:lang w:eastAsia="en-GB"/>
              </w:rPr>
              <w:t>, the UE behaviour is specified in TS 38.304 [20].</w:t>
            </w:r>
          </w:p>
        </w:tc>
      </w:tr>
      <w:tr w:rsidR="005C7FF4" w:rsidRPr="00FA0D37" w14:paraId="43E3618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9BFB0" w14:textId="77777777" w:rsidR="00394471" w:rsidRPr="00FA0D37" w:rsidRDefault="00394471" w:rsidP="00964CC4">
            <w:pPr>
              <w:pStyle w:val="TAL"/>
              <w:rPr>
                <w:b/>
                <w:bCs/>
                <w:i/>
                <w:noProof/>
                <w:lang w:eastAsia="en-GB"/>
              </w:rPr>
            </w:pPr>
            <w:r w:rsidRPr="00FA0D37">
              <w:rPr>
                <w:b/>
                <w:bCs/>
                <w:i/>
                <w:noProof/>
                <w:lang w:eastAsia="en-GB"/>
              </w:rPr>
              <w:t>threshServingLowP</w:t>
            </w:r>
          </w:p>
          <w:p w14:paraId="126B9297" w14:textId="77777777" w:rsidR="00394471" w:rsidRPr="00FA0D37" w:rsidRDefault="00394471" w:rsidP="00964CC4">
            <w:pPr>
              <w:pStyle w:val="TAL"/>
              <w:rPr>
                <w:b/>
                <w:bCs/>
                <w:i/>
                <w:noProof/>
                <w:lang w:eastAsia="en-GB"/>
              </w:rPr>
            </w:pPr>
            <w:r w:rsidRPr="00FA0D37">
              <w:rPr>
                <w:lang w:eastAsia="en-GB"/>
              </w:rPr>
              <w:t>Parameter "Thresh</w:t>
            </w:r>
            <w:r w:rsidRPr="00FA0D37">
              <w:rPr>
                <w:vertAlign w:val="subscript"/>
                <w:lang w:eastAsia="en-GB"/>
              </w:rPr>
              <w:t>Serving, LowP</w:t>
            </w:r>
            <w:r w:rsidRPr="00FA0D37">
              <w:rPr>
                <w:lang w:eastAsia="en-GB"/>
              </w:rPr>
              <w:t>" in</w:t>
            </w:r>
            <w:r w:rsidRPr="00FA0D37">
              <w:rPr>
                <w:iCs/>
                <w:noProof/>
                <w:lang w:eastAsia="en-GB"/>
              </w:rPr>
              <w:t xml:space="preserve"> </w:t>
            </w:r>
            <w:r w:rsidRPr="00FA0D37">
              <w:rPr>
                <w:lang w:eastAsia="en-GB"/>
              </w:rPr>
              <w:t>TS 38.304</w:t>
            </w:r>
            <w:r w:rsidRPr="00FA0D37">
              <w:rPr>
                <w:iCs/>
                <w:noProof/>
                <w:lang w:eastAsia="en-GB"/>
              </w:rPr>
              <w:t xml:space="preserve"> [20].</w:t>
            </w:r>
          </w:p>
        </w:tc>
      </w:tr>
      <w:tr w:rsidR="005C7FF4" w:rsidRPr="00FA0D37" w14:paraId="1530F3FB"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224EFE" w14:textId="77777777" w:rsidR="00394471" w:rsidRPr="00FA0D37" w:rsidRDefault="00394471" w:rsidP="00964CC4">
            <w:pPr>
              <w:pStyle w:val="TAL"/>
              <w:rPr>
                <w:b/>
                <w:bCs/>
                <w:i/>
                <w:noProof/>
                <w:lang w:eastAsia="en-GB"/>
              </w:rPr>
            </w:pPr>
            <w:r w:rsidRPr="00FA0D37">
              <w:rPr>
                <w:b/>
                <w:bCs/>
                <w:i/>
                <w:noProof/>
                <w:lang w:eastAsia="en-GB"/>
              </w:rPr>
              <w:t>threshServingLowQ</w:t>
            </w:r>
          </w:p>
          <w:p w14:paraId="103D27EA" w14:textId="77777777" w:rsidR="00394471" w:rsidRPr="00FA0D37" w:rsidRDefault="00394471" w:rsidP="00964CC4">
            <w:pPr>
              <w:pStyle w:val="TAL"/>
              <w:rPr>
                <w:b/>
                <w:bCs/>
                <w:i/>
                <w:noProof/>
                <w:lang w:eastAsia="en-GB"/>
              </w:rPr>
            </w:pPr>
            <w:r w:rsidRPr="00FA0D37">
              <w:rPr>
                <w:lang w:eastAsia="en-GB"/>
              </w:rPr>
              <w:t>Parameter "Thresh</w:t>
            </w:r>
            <w:r w:rsidRPr="00FA0D37">
              <w:rPr>
                <w:vertAlign w:val="subscript"/>
                <w:lang w:eastAsia="en-GB"/>
              </w:rPr>
              <w:t>Serving, LowQ</w:t>
            </w:r>
            <w:r w:rsidRPr="00FA0D37">
              <w:rPr>
                <w:lang w:eastAsia="en-GB"/>
              </w:rPr>
              <w:t>" in</w:t>
            </w:r>
            <w:r w:rsidRPr="00FA0D37">
              <w:rPr>
                <w:iCs/>
                <w:noProof/>
                <w:lang w:eastAsia="en-GB"/>
              </w:rPr>
              <w:t xml:space="preserve"> </w:t>
            </w:r>
            <w:r w:rsidRPr="00FA0D37">
              <w:rPr>
                <w:lang w:eastAsia="en-GB"/>
              </w:rPr>
              <w:t>TS 38.304</w:t>
            </w:r>
            <w:r w:rsidRPr="00FA0D37">
              <w:rPr>
                <w:iCs/>
                <w:noProof/>
                <w:lang w:eastAsia="en-GB"/>
              </w:rPr>
              <w:t xml:space="preserve"> [20].</w:t>
            </w:r>
          </w:p>
        </w:tc>
      </w:tr>
      <w:tr w:rsidR="005C7FF4" w:rsidRPr="00FA0D37" w14:paraId="7451952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20CB1F6" w14:textId="77777777" w:rsidR="00394471" w:rsidRPr="00FA0D37" w:rsidRDefault="00394471" w:rsidP="00964CC4">
            <w:pPr>
              <w:pStyle w:val="TAL"/>
              <w:rPr>
                <w:b/>
                <w:bCs/>
                <w:i/>
                <w:noProof/>
                <w:lang w:eastAsia="en-GB"/>
              </w:rPr>
            </w:pPr>
            <w:r w:rsidRPr="00FA0D37">
              <w:rPr>
                <w:b/>
                <w:bCs/>
                <w:i/>
                <w:noProof/>
                <w:lang w:eastAsia="en-GB"/>
              </w:rPr>
              <w:t>t-SearchDeltaP</w:t>
            </w:r>
          </w:p>
          <w:p w14:paraId="0C13F2AD" w14:textId="77777777" w:rsidR="00394471" w:rsidRPr="00FA0D37" w:rsidRDefault="00394471" w:rsidP="00964CC4">
            <w:pPr>
              <w:pStyle w:val="TAL"/>
              <w:rPr>
                <w:bCs/>
                <w:noProof/>
                <w:lang w:eastAsia="en-GB"/>
              </w:rPr>
            </w:pPr>
            <w:r w:rsidRPr="00FA0D37">
              <w:rPr>
                <w:bCs/>
                <w:noProof/>
                <w:lang w:eastAsia="en-GB"/>
              </w:rPr>
              <w:t>Parameter "T</w:t>
            </w:r>
            <w:r w:rsidRPr="00FA0D37">
              <w:rPr>
                <w:bCs/>
                <w:noProof/>
                <w:vertAlign w:val="subscript"/>
                <w:lang w:eastAsia="en-GB"/>
              </w:rPr>
              <w:t>SearchDeltaP</w:t>
            </w:r>
            <w:r w:rsidRPr="00FA0D37">
              <w:rPr>
                <w:bCs/>
                <w:noProof/>
                <w:lang w:eastAsia="en-GB"/>
              </w:rPr>
              <w:t xml:space="preserve">" in TS 38.304 [20]. </w:t>
            </w:r>
            <w:r w:rsidRPr="00FA0D37">
              <w:rPr>
                <w:lang w:eastAsia="sv-SE"/>
              </w:rPr>
              <w:t xml:space="preserve">Value </w:t>
            </w:r>
            <w:r w:rsidRPr="00FA0D37">
              <w:rPr>
                <w:noProof/>
                <w:lang w:eastAsia="sv-SE"/>
              </w:rPr>
              <w:t xml:space="preserve">in seconds. Value </w:t>
            </w:r>
            <w:r w:rsidRPr="00FA0D37">
              <w:rPr>
                <w:i/>
                <w:lang w:eastAsia="sv-SE"/>
              </w:rPr>
              <w:t>s5</w:t>
            </w:r>
            <w:r w:rsidRPr="00FA0D37">
              <w:rPr>
                <w:noProof/>
                <w:lang w:eastAsia="sv-SE"/>
              </w:rPr>
              <w:t xml:space="preserve"> means 5 seconds, value </w:t>
            </w:r>
            <w:r w:rsidRPr="00FA0D37">
              <w:rPr>
                <w:i/>
                <w:lang w:eastAsia="sv-SE"/>
              </w:rPr>
              <w:t xml:space="preserve">s10 </w:t>
            </w:r>
            <w:r w:rsidRPr="00FA0D37">
              <w:rPr>
                <w:noProof/>
                <w:lang w:eastAsia="sv-SE"/>
              </w:rPr>
              <w:t>means 10 seconds and so on.</w:t>
            </w:r>
          </w:p>
        </w:tc>
      </w:tr>
      <w:tr w:rsidR="000830BB" w:rsidRPr="00FA0D37" w14:paraId="383C4EA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80AA8C9" w14:textId="77777777" w:rsidR="00CD6E06" w:rsidRPr="00FA0D37" w:rsidRDefault="00CD6E06" w:rsidP="00CD6E06">
            <w:pPr>
              <w:pStyle w:val="TAL"/>
              <w:rPr>
                <w:b/>
                <w:bCs/>
                <w:i/>
                <w:lang w:eastAsia="en-GB"/>
              </w:rPr>
            </w:pPr>
            <w:r w:rsidRPr="00FA0D37">
              <w:rPr>
                <w:b/>
                <w:bCs/>
                <w:i/>
                <w:lang w:eastAsia="en-GB"/>
              </w:rPr>
              <w:t>t-SearchDeltaP-Stationary</w:t>
            </w:r>
          </w:p>
          <w:p w14:paraId="4B9BEF68" w14:textId="4BFA3250" w:rsidR="00CD6E06" w:rsidRPr="00FA0D37" w:rsidRDefault="00CD6E06" w:rsidP="00CD6E06">
            <w:pPr>
              <w:pStyle w:val="TAL"/>
              <w:rPr>
                <w:b/>
                <w:bCs/>
                <w:i/>
                <w:noProof/>
                <w:lang w:eastAsia="en-GB"/>
              </w:rPr>
            </w:pPr>
            <w:r w:rsidRPr="00FA0D37">
              <w:rPr>
                <w:iCs/>
                <w:lang w:eastAsia="en-GB"/>
              </w:rPr>
              <w:t>Parameter "</w:t>
            </w:r>
            <w:r w:rsidRPr="00FA0D37">
              <w:rPr>
                <w:rFonts w:eastAsia="Malgun Gothic"/>
                <w:lang w:eastAsia="ko-KR"/>
              </w:rPr>
              <w:t>T</w:t>
            </w:r>
            <w:r w:rsidRPr="00FA0D37">
              <w:rPr>
                <w:rFonts w:eastAsia="Malgun Gothic"/>
                <w:vertAlign w:val="subscript"/>
                <w:lang w:eastAsia="ko-KR"/>
              </w:rPr>
              <w:t>SearchDeltaP-Stationary</w:t>
            </w:r>
            <w:r w:rsidRPr="00FA0D37">
              <w:rPr>
                <w:iCs/>
                <w:lang w:eastAsia="en-GB"/>
              </w:rPr>
              <w:t xml:space="preserve">" in TS 38.304 [20]. Value in seconds. Value </w:t>
            </w:r>
            <w:r w:rsidRPr="00FA0D37">
              <w:rPr>
                <w:i/>
                <w:lang w:eastAsia="en-GB"/>
              </w:rPr>
              <w:t>s5</w:t>
            </w:r>
            <w:r w:rsidRPr="00FA0D37">
              <w:rPr>
                <w:iCs/>
                <w:lang w:eastAsia="en-GB"/>
              </w:rPr>
              <w:t xml:space="preserve"> means 5 seconds, value </w:t>
            </w:r>
            <w:r w:rsidRPr="00FA0D37">
              <w:rPr>
                <w:i/>
                <w:lang w:eastAsia="en-GB"/>
              </w:rPr>
              <w:t>s10</w:t>
            </w:r>
            <w:r w:rsidRPr="00FA0D37">
              <w:rPr>
                <w:iCs/>
                <w:lang w:eastAsia="en-GB"/>
              </w:rPr>
              <w:t xml:space="preserve"> means 10 seconds and so on.</w:t>
            </w:r>
          </w:p>
        </w:tc>
      </w:tr>
    </w:tbl>
    <w:p w14:paraId="78D53112" w14:textId="77777777" w:rsidR="00394471" w:rsidRPr="00FA0D3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0D0E7B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5C86944" w14:textId="77777777" w:rsidR="00394471" w:rsidRPr="00FA0D37" w:rsidRDefault="00394471" w:rsidP="00964CC4">
            <w:pPr>
              <w:pStyle w:val="TAH"/>
              <w:rPr>
                <w:szCs w:val="22"/>
                <w:lang w:eastAsia="en-US"/>
              </w:rPr>
            </w:pPr>
            <w:r w:rsidRPr="00FA0D3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B1492" w14:textId="77777777" w:rsidR="00394471" w:rsidRPr="00FA0D37" w:rsidRDefault="00394471" w:rsidP="00964CC4">
            <w:pPr>
              <w:pStyle w:val="TAH"/>
              <w:rPr>
                <w:szCs w:val="22"/>
                <w:lang w:eastAsia="en-US"/>
              </w:rPr>
            </w:pPr>
            <w:r w:rsidRPr="00FA0D37">
              <w:rPr>
                <w:szCs w:val="22"/>
                <w:lang w:eastAsia="en-US"/>
              </w:rPr>
              <w:t>Explanation</w:t>
            </w:r>
          </w:p>
        </w:tc>
      </w:tr>
      <w:tr w:rsidR="005C7FF4" w:rsidRPr="00FA0D37" w14:paraId="58DB9518" w14:textId="77777777" w:rsidTr="00964CC4">
        <w:tc>
          <w:tcPr>
            <w:tcW w:w="4027" w:type="dxa"/>
            <w:tcBorders>
              <w:top w:val="single" w:sz="4" w:space="0" w:color="auto"/>
              <w:left w:val="single" w:sz="4" w:space="0" w:color="auto"/>
              <w:bottom w:val="single" w:sz="4" w:space="0" w:color="auto"/>
              <w:right w:val="single" w:sz="4" w:space="0" w:color="auto"/>
            </w:tcBorders>
          </w:tcPr>
          <w:p w14:paraId="6CB2F937" w14:textId="464447AA" w:rsidR="005A0DA3" w:rsidRPr="00FA0D37" w:rsidRDefault="005A0DA3" w:rsidP="000830BB">
            <w:pPr>
              <w:pStyle w:val="TAL"/>
              <w:rPr>
                <w:i/>
                <w:iCs/>
                <w:lang w:eastAsia="en-US"/>
              </w:rPr>
            </w:pPr>
            <w:r w:rsidRPr="00FA0D37">
              <w:rPr>
                <w:i/>
                <w:iCs/>
                <w:lang w:eastAsia="en-US"/>
              </w:rPr>
              <w:t>HSDN</w:t>
            </w:r>
          </w:p>
        </w:tc>
        <w:tc>
          <w:tcPr>
            <w:tcW w:w="10146" w:type="dxa"/>
            <w:tcBorders>
              <w:top w:val="single" w:sz="4" w:space="0" w:color="auto"/>
              <w:left w:val="single" w:sz="4" w:space="0" w:color="auto"/>
              <w:bottom w:val="single" w:sz="4" w:space="0" w:color="auto"/>
              <w:right w:val="single" w:sz="4" w:space="0" w:color="auto"/>
            </w:tcBorders>
          </w:tcPr>
          <w:p w14:paraId="290FA938" w14:textId="3441E925" w:rsidR="005A0DA3" w:rsidRPr="00FA0D37" w:rsidRDefault="005A0DA3" w:rsidP="000830BB">
            <w:pPr>
              <w:pStyle w:val="TAL"/>
              <w:rPr>
                <w:lang w:eastAsia="en-US"/>
              </w:rPr>
            </w:pPr>
            <w:r w:rsidRPr="00FA0D37">
              <w:rPr>
                <w:lang w:eastAsia="en-US"/>
              </w:rPr>
              <w:t xml:space="preserve">The field is optionally present, Need R, if </w:t>
            </w:r>
            <w:r w:rsidRPr="00FA0D37">
              <w:rPr>
                <w:i/>
                <w:iCs/>
                <w:lang w:eastAsia="en-US"/>
              </w:rPr>
              <w:t>speedStateReselectionPars</w:t>
            </w:r>
            <w:r w:rsidRPr="00FA0D37">
              <w:rPr>
                <w:lang w:eastAsia="en-US"/>
              </w:rPr>
              <w:t xml:space="preserve"> is present; otherwise the field is not present.</w:t>
            </w:r>
          </w:p>
        </w:tc>
      </w:tr>
      <w:tr w:rsidR="005C7FF4" w:rsidRPr="00FA0D37" w14:paraId="55B82F5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956975E" w14:textId="77777777" w:rsidR="00394471" w:rsidRPr="00FA0D37" w:rsidRDefault="00394471" w:rsidP="00964CC4">
            <w:pPr>
              <w:pStyle w:val="TAL"/>
              <w:rPr>
                <w:i/>
                <w:szCs w:val="22"/>
                <w:lang w:eastAsia="en-US"/>
              </w:rPr>
            </w:pPr>
            <w:r w:rsidRPr="00FA0D3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09F9F853" w14:textId="3A4494D0" w:rsidR="00394471" w:rsidRPr="00FA0D37" w:rsidRDefault="00394471" w:rsidP="00964CC4">
            <w:pPr>
              <w:pStyle w:val="TAL"/>
              <w:rPr>
                <w:lang w:eastAsia="x-none"/>
              </w:rPr>
            </w:pPr>
            <w:r w:rsidRPr="00FA0D37">
              <w:rPr>
                <w:szCs w:val="22"/>
              </w:rPr>
              <w:t>This field is mandatory present if this intra-frequency operates with shared spectrum channel access</w:t>
            </w:r>
            <w:r w:rsidR="002B7DAE" w:rsidRPr="00FA0D37">
              <w:rPr>
                <w:szCs w:val="22"/>
              </w:rPr>
              <w:t xml:space="preserve"> in FR1</w:t>
            </w:r>
            <w:r w:rsidRPr="00FA0D37">
              <w:rPr>
                <w:szCs w:val="22"/>
              </w:rPr>
              <w:t>. Otherwise, it is absent, Need R.</w:t>
            </w:r>
          </w:p>
        </w:tc>
      </w:tr>
      <w:tr w:rsidR="00F747EB" w:rsidRPr="00FA0D37" w14:paraId="252CC783" w14:textId="77777777" w:rsidTr="002B7DAE">
        <w:tc>
          <w:tcPr>
            <w:tcW w:w="4027" w:type="dxa"/>
            <w:tcBorders>
              <w:top w:val="single" w:sz="4" w:space="0" w:color="auto"/>
              <w:left w:val="single" w:sz="4" w:space="0" w:color="auto"/>
              <w:bottom w:val="single" w:sz="4" w:space="0" w:color="auto"/>
              <w:right w:val="single" w:sz="4" w:space="0" w:color="auto"/>
            </w:tcBorders>
            <w:hideMark/>
          </w:tcPr>
          <w:p w14:paraId="5C7A5EFE" w14:textId="77777777" w:rsidR="002B7DAE" w:rsidRPr="00FA0D37" w:rsidRDefault="002B7DAE" w:rsidP="00771058">
            <w:pPr>
              <w:pStyle w:val="TAL"/>
              <w:rPr>
                <w:i/>
                <w:iCs/>
              </w:rPr>
            </w:pPr>
            <w:r w:rsidRPr="00FA0D3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D9B2D7C" w14:textId="06480042" w:rsidR="002B7DAE" w:rsidRPr="00FA0D37" w:rsidRDefault="002B7DAE" w:rsidP="00771058">
            <w:pPr>
              <w:pStyle w:val="TAL"/>
              <w:rPr>
                <w:szCs w:val="22"/>
              </w:rPr>
            </w:pPr>
            <w:r w:rsidRPr="00FA0D37">
              <w:rPr>
                <w:szCs w:val="22"/>
              </w:rPr>
              <w:t>This field is optionally present if this intra-frequency operates with shared spectrum channel access in FR2-2</w:t>
            </w:r>
            <w:r w:rsidR="008D68AB" w:rsidRPr="00FA0D37">
              <w:rPr>
                <w:szCs w:val="22"/>
              </w:rPr>
              <w:t>, Need R</w:t>
            </w:r>
            <w:r w:rsidRPr="00FA0D37">
              <w:rPr>
                <w:szCs w:val="22"/>
              </w:rPr>
              <w:t>. Otherwise, it is absent, Need R.</w:t>
            </w:r>
          </w:p>
        </w:tc>
      </w:tr>
    </w:tbl>
    <w:p w14:paraId="15FCF65F" w14:textId="77777777" w:rsidR="00394471" w:rsidRPr="00FA0D37" w:rsidRDefault="00394471" w:rsidP="00394471">
      <w:pPr>
        <w:rPr>
          <w:noProof/>
          <w:lang w:eastAsia="en-US"/>
        </w:rPr>
      </w:pPr>
    </w:p>
    <w:p w14:paraId="24846538" w14:textId="77777777" w:rsidR="00394471" w:rsidRPr="00FA0D37" w:rsidRDefault="00394471" w:rsidP="00394471">
      <w:pPr>
        <w:pStyle w:val="4"/>
        <w:rPr>
          <w:rFonts w:eastAsia="宋体"/>
          <w:i/>
        </w:rPr>
      </w:pPr>
      <w:bookmarkStart w:id="759" w:name="_Toc60777142"/>
      <w:bookmarkStart w:id="760" w:name="_Toc146781180"/>
      <w:r w:rsidRPr="00FA0D37">
        <w:rPr>
          <w:rFonts w:eastAsia="宋体"/>
        </w:rPr>
        <w:t>–</w:t>
      </w:r>
      <w:r w:rsidRPr="00FA0D37">
        <w:rPr>
          <w:rFonts w:eastAsia="宋体"/>
        </w:rPr>
        <w:tab/>
      </w:r>
      <w:r w:rsidRPr="00FA0D37">
        <w:rPr>
          <w:rFonts w:eastAsia="宋体"/>
          <w:i/>
        </w:rPr>
        <w:t>SIB3</w:t>
      </w:r>
      <w:bookmarkEnd w:id="759"/>
      <w:bookmarkEnd w:id="760"/>
    </w:p>
    <w:p w14:paraId="062BCC7F" w14:textId="1588F237" w:rsidR="00394471" w:rsidRPr="00FA0D37" w:rsidRDefault="00394471" w:rsidP="00394471">
      <w:pPr>
        <w:rPr>
          <w:rFonts w:eastAsia="宋体"/>
          <w:iCs/>
        </w:rPr>
      </w:pPr>
      <w:r w:rsidRPr="00FA0D37">
        <w:rPr>
          <w:i/>
          <w:noProof/>
        </w:rPr>
        <w:t>SIB3</w:t>
      </w:r>
      <w:r w:rsidRPr="00FA0D37">
        <w:rPr>
          <w:iCs/>
        </w:rPr>
        <w:t xml:space="preserve"> contains neighbouring cell related information relevant only for intra-frequency cell re-selection. </w:t>
      </w:r>
      <w:r w:rsidRPr="00FA0D37">
        <w:t xml:space="preserve">The IE includes cells with specific re-selection parameters as well as </w:t>
      </w:r>
      <w:r w:rsidR="00214979" w:rsidRPr="00FA0D37">
        <w:t>exclude-</w:t>
      </w:r>
      <w:r w:rsidRPr="00FA0D37">
        <w:t>listed cells.</w:t>
      </w:r>
    </w:p>
    <w:p w14:paraId="5950CB9F" w14:textId="77777777" w:rsidR="00394471" w:rsidRPr="00FA0D37" w:rsidRDefault="00394471" w:rsidP="00394471">
      <w:pPr>
        <w:pStyle w:val="TH"/>
        <w:rPr>
          <w:bCs/>
          <w:i/>
          <w:iCs/>
        </w:rPr>
      </w:pPr>
      <w:r w:rsidRPr="00FA0D37">
        <w:rPr>
          <w:bCs/>
          <w:i/>
          <w:iCs/>
          <w:noProof/>
        </w:rPr>
        <w:t xml:space="preserve">SIB3 </w:t>
      </w:r>
      <w:r w:rsidRPr="00FA0D37">
        <w:rPr>
          <w:bCs/>
          <w:iCs/>
          <w:noProof/>
        </w:rPr>
        <w:t>information element</w:t>
      </w:r>
    </w:p>
    <w:p w14:paraId="0BA08867" w14:textId="77777777" w:rsidR="00394471" w:rsidRPr="00FA0D37" w:rsidRDefault="00394471" w:rsidP="00FA0D37">
      <w:pPr>
        <w:pStyle w:val="PL"/>
        <w:rPr>
          <w:color w:val="808080"/>
        </w:rPr>
      </w:pPr>
      <w:r w:rsidRPr="00FA0D37">
        <w:rPr>
          <w:color w:val="808080"/>
        </w:rPr>
        <w:t>-- ASN1START</w:t>
      </w:r>
    </w:p>
    <w:p w14:paraId="289D91A4" w14:textId="77777777" w:rsidR="00394471" w:rsidRPr="00FA0D37" w:rsidRDefault="00394471" w:rsidP="00FA0D37">
      <w:pPr>
        <w:pStyle w:val="PL"/>
        <w:rPr>
          <w:color w:val="808080"/>
        </w:rPr>
      </w:pPr>
      <w:r w:rsidRPr="00FA0D37">
        <w:rPr>
          <w:color w:val="808080"/>
        </w:rPr>
        <w:t>-- TAG-SIB3-START</w:t>
      </w:r>
    </w:p>
    <w:p w14:paraId="3FE8F939" w14:textId="77777777" w:rsidR="00394471" w:rsidRPr="00FA0D37" w:rsidRDefault="00394471" w:rsidP="00FA0D37">
      <w:pPr>
        <w:pStyle w:val="PL"/>
      </w:pPr>
    </w:p>
    <w:p w14:paraId="67ADE5D5" w14:textId="77777777" w:rsidR="00394471" w:rsidRPr="00FA0D37" w:rsidRDefault="00394471" w:rsidP="00FA0D37">
      <w:pPr>
        <w:pStyle w:val="PL"/>
      </w:pPr>
      <w:r w:rsidRPr="00FA0D37">
        <w:t xml:space="preserve">SIB3 ::=                            </w:t>
      </w:r>
      <w:r w:rsidRPr="00FA0D37">
        <w:rPr>
          <w:color w:val="993366"/>
        </w:rPr>
        <w:t>SEQUENCE</w:t>
      </w:r>
      <w:r w:rsidRPr="00FA0D37">
        <w:t xml:space="preserve"> {</w:t>
      </w:r>
    </w:p>
    <w:p w14:paraId="15570C53" w14:textId="77777777" w:rsidR="00394471" w:rsidRPr="00FA0D37" w:rsidRDefault="00394471" w:rsidP="00FA0D37">
      <w:pPr>
        <w:pStyle w:val="PL"/>
        <w:rPr>
          <w:color w:val="808080"/>
        </w:rPr>
      </w:pPr>
      <w:r w:rsidRPr="00FA0D37">
        <w:lastRenderedPageBreak/>
        <w:t xml:space="preserve">    intraFreqNeighCellList              IntraFreqNeighCellList                                          </w:t>
      </w:r>
      <w:r w:rsidRPr="00FA0D37">
        <w:rPr>
          <w:color w:val="993366"/>
        </w:rPr>
        <w:t>OPTIONAL</w:t>
      </w:r>
      <w:r w:rsidRPr="00FA0D37">
        <w:t xml:space="preserve">,   </w:t>
      </w:r>
      <w:r w:rsidRPr="00FA0D37">
        <w:rPr>
          <w:color w:val="808080"/>
        </w:rPr>
        <w:t>-- Need R</w:t>
      </w:r>
    </w:p>
    <w:p w14:paraId="47808DDD" w14:textId="0AC552F9" w:rsidR="00394471" w:rsidRPr="00FA0D37" w:rsidRDefault="00394471" w:rsidP="00FA0D37">
      <w:pPr>
        <w:pStyle w:val="PL"/>
        <w:rPr>
          <w:color w:val="808080"/>
        </w:rPr>
      </w:pPr>
      <w:r w:rsidRPr="00FA0D37">
        <w:t xml:space="preserve">    intraFreq</w:t>
      </w:r>
      <w:r w:rsidR="00214979" w:rsidRPr="00FA0D37">
        <w:t>Excluded</w:t>
      </w:r>
      <w:r w:rsidRPr="00FA0D37">
        <w:t>CellList           IntraFreq</w:t>
      </w:r>
      <w:r w:rsidR="00214979" w:rsidRPr="00FA0D37">
        <w:t>Excluded</w:t>
      </w:r>
      <w:r w:rsidRPr="00FA0D37">
        <w:t xml:space="preserve">CellList                                       </w:t>
      </w:r>
      <w:r w:rsidRPr="00FA0D37">
        <w:rPr>
          <w:color w:val="993366"/>
        </w:rPr>
        <w:t>OPTIONAL</w:t>
      </w:r>
      <w:r w:rsidRPr="00FA0D37">
        <w:t xml:space="preserve">,   </w:t>
      </w:r>
      <w:r w:rsidRPr="00FA0D37">
        <w:rPr>
          <w:color w:val="808080"/>
        </w:rPr>
        <w:t>-- Need R</w:t>
      </w:r>
    </w:p>
    <w:p w14:paraId="29CF3C97"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0E543683" w14:textId="77777777" w:rsidR="00394471" w:rsidRPr="00FA0D37" w:rsidRDefault="00394471" w:rsidP="00FA0D37">
      <w:pPr>
        <w:pStyle w:val="PL"/>
      </w:pPr>
      <w:r w:rsidRPr="00FA0D37">
        <w:t xml:space="preserve">    ...,</w:t>
      </w:r>
    </w:p>
    <w:p w14:paraId="4FBC0845" w14:textId="77777777" w:rsidR="00394471" w:rsidRPr="00FA0D37" w:rsidRDefault="00394471" w:rsidP="00FA0D37">
      <w:pPr>
        <w:pStyle w:val="PL"/>
        <w:rPr>
          <w:rFonts w:eastAsia="Malgun Gothic"/>
        </w:rPr>
      </w:pPr>
      <w:r w:rsidRPr="00FA0D37">
        <w:rPr>
          <w:rFonts w:eastAsia="Malgun Gothic"/>
        </w:rPr>
        <w:t xml:space="preserve">    [[</w:t>
      </w:r>
    </w:p>
    <w:p w14:paraId="7B96203F" w14:textId="77777777" w:rsidR="00394471" w:rsidRPr="00FA0D37" w:rsidRDefault="00394471" w:rsidP="00FA0D37">
      <w:pPr>
        <w:pStyle w:val="PL"/>
        <w:rPr>
          <w:color w:val="808080"/>
        </w:rPr>
      </w:pPr>
      <w:r w:rsidRPr="00FA0D37">
        <w:t xml:space="preserve">    intraFreqNeighCellList-v1610        IntraFreqNeighCellList-v1610                                    </w:t>
      </w:r>
      <w:r w:rsidRPr="00FA0D37">
        <w:rPr>
          <w:color w:val="993366"/>
        </w:rPr>
        <w:t>OPTIONAL</w:t>
      </w:r>
      <w:r w:rsidRPr="00FA0D37">
        <w:t xml:space="preserve">,   </w:t>
      </w:r>
      <w:r w:rsidRPr="00FA0D37">
        <w:rPr>
          <w:color w:val="808080"/>
        </w:rPr>
        <w:t>-- Need R</w:t>
      </w:r>
    </w:p>
    <w:p w14:paraId="49600147" w14:textId="05D18CB3" w:rsidR="00394471" w:rsidRPr="00FA0D37" w:rsidRDefault="00394471" w:rsidP="00FA0D37">
      <w:pPr>
        <w:pStyle w:val="PL"/>
        <w:rPr>
          <w:color w:val="808080"/>
        </w:rPr>
      </w:pPr>
      <w:r w:rsidRPr="00FA0D37">
        <w:t xml:space="preserve">    intraFreq</w:t>
      </w:r>
      <w:r w:rsidR="00214979" w:rsidRPr="00FA0D37">
        <w:t>Allowed</w:t>
      </w:r>
      <w:r w:rsidRPr="00FA0D37">
        <w:t>CellList-r16        IntraFreq</w:t>
      </w:r>
      <w:r w:rsidR="00214979" w:rsidRPr="00FA0D37">
        <w:t>Allowed</w:t>
      </w:r>
      <w:r w:rsidRPr="00FA0D37">
        <w:t xml:space="preserve">CellList-r16                                    </w:t>
      </w:r>
      <w:r w:rsidRPr="00FA0D37">
        <w:rPr>
          <w:color w:val="993366"/>
        </w:rPr>
        <w:t>OPTIONAL</w:t>
      </w:r>
      <w:r w:rsidRPr="00FA0D37">
        <w:t xml:space="preserve">,   </w:t>
      </w:r>
      <w:r w:rsidRPr="00FA0D37">
        <w:rPr>
          <w:color w:val="808080"/>
        </w:rPr>
        <w:t>-- Cond SharedSpectrum2</w:t>
      </w:r>
    </w:p>
    <w:p w14:paraId="031DEC52" w14:textId="77777777" w:rsidR="00394471" w:rsidRPr="00FA0D37" w:rsidRDefault="00394471" w:rsidP="00FA0D37">
      <w:pPr>
        <w:pStyle w:val="PL"/>
        <w:rPr>
          <w:color w:val="808080"/>
        </w:rPr>
      </w:pPr>
      <w:r w:rsidRPr="00FA0D37">
        <w:t xml:space="preserve">    intraFreqCAG-CellList-r16           </w:t>
      </w:r>
      <w:r w:rsidRPr="00FA0D37">
        <w:rPr>
          <w:color w:val="993366"/>
        </w:rPr>
        <w:t>SEQUENCE</w:t>
      </w:r>
      <w:r w:rsidRPr="00FA0D37">
        <w:t xml:space="preserve"> (</w:t>
      </w:r>
      <w:r w:rsidRPr="00FA0D37">
        <w:rPr>
          <w:color w:val="993366"/>
        </w:rPr>
        <w:t>SIZE</w:t>
      </w:r>
      <w:r w:rsidRPr="00FA0D37">
        <w:t xml:space="preserve"> (1..maxPLMN))</w:t>
      </w:r>
      <w:r w:rsidRPr="00FA0D37">
        <w:rPr>
          <w:color w:val="993366"/>
        </w:rPr>
        <w:t xml:space="preserve"> OF</w:t>
      </w:r>
      <w:r w:rsidRPr="00FA0D37">
        <w:t xml:space="preserve"> IntraFreqCAG-CellListPerPLMN-r16    </w:t>
      </w:r>
      <w:r w:rsidRPr="00FA0D37">
        <w:rPr>
          <w:color w:val="993366"/>
        </w:rPr>
        <w:t>OPTIONAL</w:t>
      </w:r>
      <w:r w:rsidRPr="00FA0D37">
        <w:t xml:space="preserve">    </w:t>
      </w:r>
      <w:r w:rsidRPr="00FA0D37">
        <w:rPr>
          <w:color w:val="808080"/>
        </w:rPr>
        <w:t>-- Need R</w:t>
      </w:r>
    </w:p>
    <w:p w14:paraId="756F720C" w14:textId="530F6F17" w:rsidR="005A0DA3" w:rsidRPr="00FA0D37" w:rsidRDefault="005A0DA3" w:rsidP="00FA0D37">
      <w:pPr>
        <w:pStyle w:val="PL"/>
        <w:rPr>
          <w:rFonts w:eastAsia="Malgun Gothic"/>
        </w:rPr>
      </w:pPr>
      <w:r w:rsidRPr="00FA0D37">
        <w:t xml:space="preserve">    </w:t>
      </w:r>
      <w:r w:rsidR="00394471" w:rsidRPr="00FA0D37">
        <w:rPr>
          <w:rFonts w:eastAsia="Malgun Gothic"/>
        </w:rPr>
        <w:t>]]</w:t>
      </w:r>
      <w:r w:rsidRPr="00FA0D37">
        <w:rPr>
          <w:rFonts w:eastAsia="Malgun Gothic"/>
        </w:rPr>
        <w:t>,</w:t>
      </w:r>
    </w:p>
    <w:p w14:paraId="4F771C30" w14:textId="4464CD5C" w:rsidR="005A0DA3" w:rsidRPr="00FA0D37" w:rsidRDefault="005A0DA3" w:rsidP="00FA0D37">
      <w:pPr>
        <w:pStyle w:val="PL"/>
        <w:rPr>
          <w:rFonts w:eastAsia="Malgun Gothic"/>
        </w:rPr>
      </w:pPr>
      <w:r w:rsidRPr="00FA0D37">
        <w:t xml:space="preserve">    </w:t>
      </w:r>
      <w:r w:rsidRPr="00FA0D37">
        <w:rPr>
          <w:rFonts w:eastAsia="Malgun Gothic"/>
        </w:rPr>
        <w:t>[[</w:t>
      </w:r>
    </w:p>
    <w:p w14:paraId="27813195" w14:textId="5EA0F1F5" w:rsidR="005A0DA3" w:rsidRPr="00FA0D37" w:rsidRDefault="005A0DA3" w:rsidP="00FA0D37">
      <w:pPr>
        <w:pStyle w:val="PL"/>
        <w:rPr>
          <w:rFonts w:eastAsia="Malgun Gothic"/>
          <w:color w:val="808080"/>
        </w:rPr>
      </w:pPr>
      <w:r w:rsidRPr="00FA0D37">
        <w:t xml:space="preserve">    </w:t>
      </w:r>
      <w:r w:rsidRPr="00FA0D37">
        <w:rPr>
          <w:rFonts w:eastAsia="Malgun Gothic"/>
        </w:rPr>
        <w:t>intraFreqNeighHSDN-CellList-r17</w:t>
      </w:r>
      <w:r w:rsidRPr="00FA0D37">
        <w:t xml:space="preserve">     </w:t>
      </w:r>
      <w:r w:rsidRPr="00FA0D37">
        <w:rPr>
          <w:rFonts w:eastAsia="Malgun Gothic"/>
        </w:rPr>
        <w:t>IntraFreqNeighHSDN-CellList-r17</w:t>
      </w:r>
      <w:r w:rsidRPr="00FA0D37">
        <w:t xml:space="preserve">                                 </w:t>
      </w:r>
      <w:r w:rsidRPr="00FA0D37">
        <w:rPr>
          <w:rFonts w:eastAsia="Malgun Gothic"/>
          <w:color w:val="993366"/>
        </w:rPr>
        <w:t>OPTIONAL</w:t>
      </w:r>
      <w:r w:rsidR="00DD2009" w:rsidRPr="00FA0D37">
        <w:rPr>
          <w:rFonts w:eastAsia="Malgun Gothic"/>
        </w:rPr>
        <w:t>,</w:t>
      </w:r>
      <w:r w:rsidRPr="00FA0D37">
        <w:t xml:space="preserve">    </w:t>
      </w:r>
      <w:r w:rsidRPr="00FA0D37">
        <w:rPr>
          <w:rFonts w:eastAsia="Malgun Gothic"/>
          <w:color w:val="808080"/>
        </w:rPr>
        <w:t>-- Need R</w:t>
      </w:r>
    </w:p>
    <w:p w14:paraId="063B1403" w14:textId="4D19824C" w:rsidR="00DD2009" w:rsidRPr="00FA0D37" w:rsidRDefault="00DD2009" w:rsidP="00FA0D37">
      <w:pPr>
        <w:pStyle w:val="PL"/>
        <w:rPr>
          <w:color w:val="808080"/>
        </w:rPr>
      </w:pPr>
      <w:r w:rsidRPr="00FA0D37">
        <w:t xml:space="preserve">    intraFreqNeighCellList-v1710        IntraFreqNeighCellList-v1710                                    </w:t>
      </w:r>
      <w:r w:rsidRPr="00FA0D37">
        <w:rPr>
          <w:color w:val="993366"/>
        </w:rPr>
        <w:t>OPTIONAL</w:t>
      </w:r>
      <w:r w:rsidRPr="00FA0D37">
        <w:t xml:space="preserve">     </w:t>
      </w:r>
      <w:r w:rsidRPr="00FA0D37">
        <w:rPr>
          <w:color w:val="808080"/>
        </w:rPr>
        <w:t>-- Need R</w:t>
      </w:r>
    </w:p>
    <w:p w14:paraId="2B4C4111" w14:textId="005D2DDB" w:rsidR="00775C81" w:rsidRPr="00FA0D37" w:rsidRDefault="005A0DA3" w:rsidP="00FA0D37">
      <w:pPr>
        <w:pStyle w:val="PL"/>
        <w:rPr>
          <w:rFonts w:eastAsia="Malgun Gothic"/>
        </w:rPr>
      </w:pPr>
      <w:r w:rsidRPr="00FA0D37">
        <w:t xml:space="preserve">    </w:t>
      </w:r>
      <w:r w:rsidRPr="00FA0D37">
        <w:rPr>
          <w:rFonts w:eastAsia="Malgun Gothic"/>
        </w:rPr>
        <w:t>]]</w:t>
      </w:r>
      <w:r w:rsidR="00775C81" w:rsidRPr="00FA0D37">
        <w:rPr>
          <w:rFonts w:eastAsia="Malgun Gothic"/>
        </w:rPr>
        <w:t>,</w:t>
      </w:r>
    </w:p>
    <w:p w14:paraId="2768F2D5" w14:textId="33B02AEE" w:rsidR="00775C81" w:rsidRPr="00FA0D37" w:rsidRDefault="00775C81" w:rsidP="00FA0D37">
      <w:pPr>
        <w:pStyle w:val="PL"/>
        <w:rPr>
          <w:rFonts w:eastAsia="Malgun Gothic"/>
        </w:rPr>
      </w:pPr>
      <w:r w:rsidRPr="00FA0D37">
        <w:t xml:space="preserve">    </w:t>
      </w:r>
      <w:r w:rsidRPr="00FA0D37">
        <w:rPr>
          <w:rFonts w:eastAsia="Malgun Gothic"/>
        </w:rPr>
        <w:t>[[</w:t>
      </w:r>
    </w:p>
    <w:p w14:paraId="00389E10" w14:textId="78C04744" w:rsidR="00775C81" w:rsidRPr="00FA0D37" w:rsidRDefault="00775C81" w:rsidP="00FA0D37">
      <w:pPr>
        <w:pStyle w:val="PL"/>
        <w:rPr>
          <w:rFonts w:eastAsia="Malgun Gothic"/>
          <w:color w:val="808080"/>
        </w:rPr>
      </w:pPr>
      <w:r w:rsidRPr="00FA0D37">
        <w:t xml:space="preserve">    </w:t>
      </w:r>
      <w:r w:rsidRPr="00FA0D37">
        <w:rPr>
          <w:rFonts w:eastAsia="Malgun Gothic"/>
        </w:rPr>
        <w:t>channelAccessMode2-r17</w:t>
      </w:r>
      <w:r w:rsidRPr="00FA0D37">
        <w:t xml:space="preserve">              </w:t>
      </w:r>
      <w:r w:rsidRPr="00FA0D37">
        <w:rPr>
          <w:rFonts w:eastAsia="Malgun Gothic"/>
          <w:color w:val="993366"/>
        </w:rPr>
        <w:t>ENUMERATED</w:t>
      </w:r>
      <w:r w:rsidRPr="00FA0D37">
        <w:rPr>
          <w:rFonts w:eastAsia="Malgun Gothic"/>
        </w:rPr>
        <w:t xml:space="preserve"> {enabled}</w:t>
      </w:r>
      <w:r w:rsidRPr="00FA0D37">
        <w:t xml:space="preserve">                                            </w:t>
      </w:r>
      <w:r w:rsidRPr="00FA0D37">
        <w:rPr>
          <w:rFonts w:eastAsia="Malgun Gothic"/>
          <w:color w:val="993366"/>
        </w:rPr>
        <w:t>OPTIONAL</w:t>
      </w:r>
      <w:r w:rsidRPr="00FA0D37">
        <w:t xml:space="preserve">     </w:t>
      </w:r>
      <w:r w:rsidRPr="00FA0D37">
        <w:rPr>
          <w:rFonts w:eastAsia="Malgun Gothic"/>
          <w:color w:val="808080"/>
        </w:rPr>
        <w:t>--</w:t>
      </w:r>
      <w:r w:rsidRPr="00FA0D37">
        <w:rPr>
          <w:color w:val="808080"/>
        </w:rPr>
        <w:t xml:space="preserve"> </w:t>
      </w:r>
      <w:r w:rsidRPr="00FA0D37">
        <w:rPr>
          <w:rFonts w:eastAsia="Malgun Gothic"/>
          <w:color w:val="808080"/>
        </w:rPr>
        <w:t>Need R</w:t>
      </w:r>
    </w:p>
    <w:p w14:paraId="2DFFAC01" w14:textId="5CDF59F9" w:rsidR="00394471" w:rsidRPr="00FA0D37" w:rsidRDefault="00775C81" w:rsidP="00FA0D37">
      <w:pPr>
        <w:pStyle w:val="PL"/>
        <w:rPr>
          <w:rFonts w:eastAsia="Malgun Gothic"/>
        </w:rPr>
      </w:pPr>
      <w:r w:rsidRPr="00FA0D37">
        <w:t xml:space="preserve">    </w:t>
      </w:r>
      <w:r w:rsidRPr="00FA0D37">
        <w:rPr>
          <w:rFonts w:eastAsia="Malgun Gothic"/>
        </w:rPr>
        <w:t>]]</w:t>
      </w:r>
    </w:p>
    <w:p w14:paraId="44766E45" w14:textId="77777777" w:rsidR="00394471" w:rsidRPr="00FA0D37" w:rsidRDefault="00394471" w:rsidP="00FA0D37">
      <w:pPr>
        <w:pStyle w:val="PL"/>
      </w:pPr>
      <w:r w:rsidRPr="00FA0D37">
        <w:t>}</w:t>
      </w:r>
    </w:p>
    <w:p w14:paraId="519D9769" w14:textId="77777777" w:rsidR="005B7637" w:rsidRPr="00FA0D37" w:rsidRDefault="005B7637" w:rsidP="00FA0D37">
      <w:pPr>
        <w:pStyle w:val="PL"/>
      </w:pPr>
    </w:p>
    <w:p w14:paraId="6560FF55" w14:textId="77777777" w:rsidR="00394471" w:rsidRPr="00FA0D37" w:rsidRDefault="00394471" w:rsidP="00FA0D37">
      <w:pPr>
        <w:pStyle w:val="PL"/>
      </w:pPr>
      <w:r w:rsidRPr="00FA0D37">
        <w:t xml:space="preserve">IntraFreqNeighCellList ::=          </w:t>
      </w:r>
      <w:r w:rsidRPr="00FA0D37">
        <w:rPr>
          <w:color w:val="993366"/>
        </w:rPr>
        <w:t>SEQUENCE</w:t>
      </w:r>
      <w:r w:rsidRPr="00FA0D37">
        <w:t xml:space="preserve"> (</w:t>
      </w:r>
      <w:r w:rsidRPr="00FA0D37">
        <w:rPr>
          <w:color w:val="993366"/>
        </w:rPr>
        <w:t>SIZE</w:t>
      </w:r>
      <w:r w:rsidRPr="00FA0D37">
        <w:t xml:space="preserve"> (1..maxCellIntra))</w:t>
      </w:r>
      <w:r w:rsidRPr="00FA0D37">
        <w:rPr>
          <w:color w:val="993366"/>
        </w:rPr>
        <w:t xml:space="preserve"> OF</w:t>
      </w:r>
      <w:r w:rsidRPr="00FA0D37">
        <w:t xml:space="preserve"> IntraFreqNeighCellInfo</w:t>
      </w:r>
    </w:p>
    <w:p w14:paraId="553054C4" w14:textId="77777777" w:rsidR="00394471" w:rsidRPr="00FA0D37" w:rsidRDefault="00394471" w:rsidP="00FA0D37">
      <w:pPr>
        <w:pStyle w:val="PL"/>
      </w:pPr>
    </w:p>
    <w:p w14:paraId="3A30CAD4" w14:textId="77777777" w:rsidR="00394471" w:rsidRPr="00FA0D37" w:rsidRDefault="00394471" w:rsidP="00FA0D37">
      <w:pPr>
        <w:pStyle w:val="PL"/>
      </w:pPr>
      <w:r w:rsidRPr="00FA0D37">
        <w:t xml:space="preserve">IntraFreqNeighCellList-v1610::=     </w:t>
      </w:r>
      <w:r w:rsidRPr="00FA0D37">
        <w:rPr>
          <w:color w:val="993366"/>
        </w:rPr>
        <w:t>SEQUENCE</w:t>
      </w:r>
      <w:r w:rsidRPr="00FA0D37">
        <w:t xml:space="preserve"> (</w:t>
      </w:r>
      <w:r w:rsidRPr="00FA0D37">
        <w:rPr>
          <w:color w:val="993366"/>
        </w:rPr>
        <w:t>SIZE</w:t>
      </w:r>
      <w:r w:rsidRPr="00FA0D37">
        <w:t xml:space="preserve"> (1..maxCellIntra))</w:t>
      </w:r>
      <w:r w:rsidRPr="00FA0D37">
        <w:rPr>
          <w:color w:val="993366"/>
        </w:rPr>
        <w:t xml:space="preserve"> OF</w:t>
      </w:r>
      <w:r w:rsidRPr="00FA0D37">
        <w:t xml:space="preserve"> IntraFreqNeighCellInfo-v1610</w:t>
      </w:r>
    </w:p>
    <w:p w14:paraId="50C091FC" w14:textId="77777777" w:rsidR="00DD2009" w:rsidRPr="00FA0D37" w:rsidRDefault="00DD2009" w:rsidP="00FA0D37">
      <w:pPr>
        <w:pStyle w:val="PL"/>
      </w:pPr>
    </w:p>
    <w:p w14:paraId="06AD478B" w14:textId="040C7DB6" w:rsidR="00DD2009" w:rsidRPr="00FA0D37" w:rsidRDefault="00DD2009" w:rsidP="00FA0D37">
      <w:pPr>
        <w:pStyle w:val="PL"/>
      </w:pPr>
      <w:r w:rsidRPr="00FA0D37">
        <w:t xml:space="preserve">IntraFreqNeighCellList-v1710 ::=     </w:t>
      </w:r>
      <w:r w:rsidRPr="00FA0D37">
        <w:rPr>
          <w:color w:val="993366"/>
        </w:rPr>
        <w:t>SEQUENCE</w:t>
      </w:r>
      <w:r w:rsidRPr="00FA0D37">
        <w:t xml:space="preserve"> (</w:t>
      </w:r>
      <w:r w:rsidRPr="00FA0D37">
        <w:rPr>
          <w:color w:val="993366"/>
        </w:rPr>
        <w:t>SIZE</w:t>
      </w:r>
      <w:r w:rsidRPr="00FA0D37">
        <w:t xml:space="preserve"> (1..maxCellIntra))</w:t>
      </w:r>
      <w:r w:rsidRPr="00FA0D37">
        <w:rPr>
          <w:color w:val="993366"/>
        </w:rPr>
        <w:t xml:space="preserve"> OF</w:t>
      </w:r>
      <w:r w:rsidRPr="00FA0D37">
        <w:t xml:space="preserve"> IntraFreqNeighCellInfo-v1710</w:t>
      </w:r>
    </w:p>
    <w:p w14:paraId="7CE208DE" w14:textId="77777777" w:rsidR="00394471" w:rsidRPr="00FA0D37" w:rsidRDefault="00394471" w:rsidP="00FA0D37">
      <w:pPr>
        <w:pStyle w:val="PL"/>
      </w:pPr>
    </w:p>
    <w:p w14:paraId="067B3565" w14:textId="77777777" w:rsidR="00394471" w:rsidRPr="00FA0D37" w:rsidRDefault="00394471" w:rsidP="00FA0D37">
      <w:pPr>
        <w:pStyle w:val="PL"/>
      </w:pPr>
      <w:r w:rsidRPr="00FA0D37">
        <w:t xml:space="preserve">IntraFreqNeighCellInfo ::=          </w:t>
      </w:r>
      <w:r w:rsidRPr="00FA0D37">
        <w:rPr>
          <w:color w:val="993366"/>
        </w:rPr>
        <w:t>SEQUENCE</w:t>
      </w:r>
      <w:r w:rsidRPr="00FA0D37">
        <w:t xml:space="preserve"> {</w:t>
      </w:r>
    </w:p>
    <w:p w14:paraId="3FBC2A33" w14:textId="77777777" w:rsidR="00394471" w:rsidRPr="00FA0D37" w:rsidRDefault="00394471" w:rsidP="00FA0D37">
      <w:pPr>
        <w:pStyle w:val="PL"/>
      </w:pPr>
      <w:r w:rsidRPr="00FA0D37">
        <w:t xml:space="preserve">    physCellId                          PhysCellId,</w:t>
      </w:r>
    </w:p>
    <w:p w14:paraId="30ABBD72" w14:textId="77777777" w:rsidR="00394471" w:rsidRPr="00FA0D37" w:rsidRDefault="00394471" w:rsidP="00FA0D37">
      <w:pPr>
        <w:pStyle w:val="PL"/>
      </w:pPr>
      <w:r w:rsidRPr="00FA0D37">
        <w:t xml:space="preserve">    q-OffsetCell                        Q-OffsetRange,</w:t>
      </w:r>
    </w:p>
    <w:p w14:paraId="478F8CDD" w14:textId="77777777" w:rsidR="00394471" w:rsidRPr="00FA0D37" w:rsidRDefault="00394471" w:rsidP="00FA0D37">
      <w:pPr>
        <w:pStyle w:val="PL"/>
        <w:rPr>
          <w:color w:val="808080"/>
        </w:rPr>
      </w:pPr>
      <w:r w:rsidRPr="00FA0D37">
        <w:t xml:space="preserve">    q-RxLevMinOffsetCell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691BDAF1" w14:textId="77777777" w:rsidR="00394471" w:rsidRPr="00FA0D37" w:rsidRDefault="00394471" w:rsidP="00FA0D37">
      <w:pPr>
        <w:pStyle w:val="PL"/>
        <w:rPr>
          <w:color w:val="808080"/>
        </w:rPr>
      </w:pPr>
      <w:r w:rsidRPr="00FA0D37">
        <w:t xml:space="preserve">    q-RxLevMinOffsetCellSUL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6CAB3587" w14:textId="77777777" w:rsidR="00394471" w:rsidRPr="00FA0D37" w:rsidRDefault="00394471" w:rsidP="00FA0D37">
      <w:pPr>
        <w:pStyle w:val="PL"/>
        <w:rPr>
          <w:color w:val="808080"/>
        </w:rPr>
      </w:pPr>
      <w:r w:rsidRPr="00FA0D37">
        <w:t xml:space="preserve">    q-QualMinOffsetCell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7F315E0C" w14:textId="77777777" w:rsidR="00394471" w:rsidRPr="00FA0D37" w:rsidRDefault="00394471" w:rsidP="00FA0D37">
      <w:pPr>
        <w:pStyle w:val="PL"/>
      </w:pPr>
      <w:r w:rsidRPr="00FA0D37">
        <w:t xml:space="preserve">    ...</w:t>
      </w:r>
    </w:p>
    <w:p w14:paraId="23F1E2AE" w14:textId="77777777" w:rsidR="00394471" w:rsidRPr="00FA0D37" w:rsidRDefault="00394471" w:rsidP="00FA0D37">
      <w:pPr>
        <w:pStyle w:val="PL"/>
      </w:pPr>
      <w:r w:rsidRPr="00FA0D37">
        <w:t>}</w:t>
      </w:r>
    </w:p>
    <w:p w14:paraId="1191EB7B" w14:textId="77777777" w:rsidR="00394471" w:rsidRPr="00FA0D37" w:rsidRDefault="00394471" w:rsidP="00FA0D37">
      <w:pPr>
        <w:pStyle w:val="PL"/>
      </w:pPr>
    </w:p>
    <w:p w14:paraId="26037EFD" w14:textId="77777777" w:rsidR="00394471" w:rsidRPr="00FA0D37" w:rsidRDefault="00394471" w:rsidP="00FA0D37">
      <w:pPr>
        <w:pStyle w:val="PL"/>
      </w:pPr>
      <w:r w:rsidRPr="00FA0D37">
        <w:t xml:space="preserve">IntraFreqNeighCellInfo-v1610 ::=     </w:t>
      </w:r>
      <w:r w:rsidRPr="00FA0D37">
        <w:rPr>
          <w:color w:val="993366"/>
        </w:rPr>
        <w:t>SEQUENCE</w:t>
      </w:r>
      <w:r w:rsidRPr="00FA0D37">
        <w:t xml:space="preserve"> {</w:t>
      </w:r>
    </w:p>
    <w:p w14:paraId="6F2B7750" w14:textId="77777777" w:rsidR="00394471" w:rsidRPr="00FA0D37" w:rsidRDefault="00394471" w:rsidP="00FA0D37">
      <w:pPr>
        <w:pStyle w:val="PL"/>
        <w:rPr>
          <w:color w:val="808080"/>
        </w:rPr>
      </w:pPr>
      <w:r w:rsidRPr="00FA0D37">
        <w:t xml:space="preserve">    ssb-PositionQCL-r16                 SSB-PositionQCL-Relation-r16                    </w:t>
      </w:r>
      <w:r w:rsidRPr="00FA0D37">
        <w:rPr>
          <w:color w:val="993366"/>
        </w:rPr>
        <w:t>OPTIONAL</w:t>
      </w:r>
      <w:r w:rsidRPr="00FA0D37">
        <w:t xml:space="preserve">   </w:t>
      </w:r>
      <w:r w:rsidRPr="00FA0D37">
        <w:rPr>
          <w:color w:val="808080"/>
        </w:rPr>
        <w:t>-- Cond SharedSpectrum2</w:t>
      </w:r>
    </w:p>
    <w:p w14:paraId="40D7DBF8" w14:textId="77777777" w:rsidR="00DD2009" w:rsidRPr="00FA0D37" w:rsidRDefault="00394471" w:rsidP="00FA0D37">
      <w:pPr>
        <w:pStyle w:val="PL"/>
      </w:pPr>
      <w:r w:rsidRPr="00FA0D37">
        <w:t>}</w:t>
      </w:r>
    </w:p>
    <w:p w14:paraId="341E92DC" w14:textId="77777777" w:rsidR="00DD2009" w:rsidRPr="00FA0D37" w:rsidRDefault="00DD2009" w:rsidP="00FA0D37">
      <w:pPr>
        <w:pStyle w:val="PL"/>
      </w:pPr>
    </w:p>
    <w:p w14:paraId="13F4CCA1" w14:textId="5EF32EE7" w:rsidR="00DD2009" w:rsidRPr="00FA0D37" w:rsidRDefault="00DD2009" w:rsidP="00FA0D37">
      <w:pPr>
        <w:pStyle w:val="PL"/>
      </w:pPr>
      <w:r w:rsidRPr="00FA0D37">
        <w:t xml:space="preserve">IntraFreqNeighCellInfo-v1710 ::=     </w:t>
      </w:r>
      <w:r w:rsidRPr="00FA0D37">
        <w:rPr>
          <w:color w:val="993366"/>
        </w:rPr>
        <w:t>SEQUENCE</w:t>
      </w:r>
      <w:r w:rsidRPr="00FA0D37">
        <w:t xml:space="preserve"> {</w:t>
      </w:r>
    </w:p>
    <w:p w14:paraId="315AF3A3" w14:textId="77777777" w:rsidR="00DD2009" w:rsidRPr="00FA0D37" w:rsidRDefault="00DD2009" w:rsidP="00FA0D37">
      <w:pPr>
        <w:pStyle w:val="PL"/>
        <w:rPr>
          <w:color w:val="808080"/>
        </w:rPr>
      </w:pPr>
      <w:r w:rsidRPr="00FA0D37">
        <w:t xml:space="preserve">    ssb-PositionQCL-r17                 SSB-PositionQCL-Relation-r17                    </w:t>
      </w:r>
      <w:r w:rsidRPr="00FA0D37">
        <w:rPr>
          <w:color w:val="993366"/>
        </w:rPr>
        <w:t>OPTIONAL</w:t>
      </w:r>
      <w:r w:rsidRPr="00FA0D37">
        <w:t xml:space="preserve">   </w:t>
      </w:r>
      <w:r w:rsidRPr="00FA0D37">
        <w:rPr>
          <w:color w:val="808080"/>
        </w:rPr>
        <w:t>-- Cond SharedSpectrum2</w:t>
      </w:r>
    </w:p>
    <w:p w14:paraId="718D3C3C" w14:textId="09418212" w:rsidR="00394471" w:rsidRPr="00FA0D37" w:rsidRDefault="00DD2009" w:rsidP="00FA0D37">
      <w:pPr>
        <w:pStyle w:val="PL"/>
      </w:pPr>
      <w:r w:rsidRPr="00FA0D37">
        <w:t>}</w:t>
      </w:r>
    </w:p>
    <w:p w14:paraId="524CB385" w14:textId="77777777" w:rsidR="00394471" w:rsidRPr="00FA0D37" w:rsidRDefault="00394471" w:rsidP="00FA0D37">
      <w:pPr>
        <w:pStyle w:val="PL"/>
      </w:pPr>
    </w:p>
    <w:p w14:paraId="638FDA8B" w14:textId="60D6922F" w:rsidR="00394471" w:rsidRPr="00FA0D37" w:rsidRDefault="00394471" w:rsidP="00FA0D37">
      <w:pPr>
        <w:pStyle w:val="PL"/>
      </w:pPr>
      <w:r w:rsidRPr="00FA0D37">
        <w:t>IntraFreq</w:t>
      </w:r>
      <w:r w:rsidR="00214979" w:rsidRPr="00FA0D37">
        <w:t>Excluded</w:t>
      </w:r>
      <w:r w:rsidRPr="00FA0D37">
        <w:t xml:space="preserve">CellList ::=       </w:t>
      </w:r>
      <w:r w:rsidRPr="00FA0D37">
        <w:rPr>
          <w:color w:val="993366"/>
        </w:rPr>
        <w:t>SEQUENCE</w:t>
      </w:r>
      <w:r w:rsidRPr="00FA0D37">
        <w:t xml:space="preserve"> (</w:t>
      </w:r>
      <w:r w:rsidRPr="00FA0D37">
        <w:rPr>
          <w:color w:val="993366"/>
        </w:rPr>
        <w:t>SIZE</w:t>
      </w:r>
      <w:r w:rsidRPr="00FA0D37">
        <w:t xml:space="preserve"> (1..maxCell</w:t>
      </w:r>
      <w:r w:rsidR="00214979" w:rsidRPr="00FA0D37">
        <w:t>Excluded</w:t>
      </w:r>
      <w:r w:rsidRPr="00FA0D37">
        <w:t>))</w:t>
      </w:r>
      <w:r w:rsidRPr="00FA0D37">
        <w:rPr>
          <w:color w:val="993366"/>
        </w:rPr>
        <w:t xml:space="preserve"> OF</w:t>
      </w:r>
      <w:r w:rsidRPr="00FA0D37">
        <w:t xml:space="preserve"> PCI-Range</w:t>
      </w:r>
    </w:p>
    <w:p w14:paraId="20BFEF8C" w14:textId="77777777" w:rsidR="00394471" w:rsidRPr="00FA0D37" w:rsidRDefault="00394471" w:rsidP="00FA0D37">
      <w:pPr>
        <w:pStyle w:val="PL"/>
      </w:pPr>
    </w:p>
    <w:p w14:paraId="7E559AA8" w14:textId="06FF90CC" w:rsidR="00394471" w:rsidRPr="00FA0D37" w:rsidRDefault="00394471" w:rsidP="00FA0D37">
      <w:pPr>
        <w:pStyle w:val="PL"/>
      </w:pPr>
      <w:r w:rsidRPr="00FA0D37">
        <w:t>IntraFreq</w:t>
      </w:r>
      <w:r w:rsidR="00214979" w:rsidRPr="00FA0D37">
        <w:t>Allowed</w:t>
      </w:r>
      <w:r w:rsidRPr="00FA0D37">
        <w:t xml:space="preserve">CellList-r16 ::=    </w:t>
      </w:r>
      <w:r w:rsidRPr="00FA0D37">
        <w:rPr>
          <w:color w:val="993366"/>
        </w:rPr>
        <w:t>SEQUENCE</w:t>
      </w:r>
      <w:r w:rsidRPr="00FA0D37">
        <w:t xml:space="preserve"> (</w:t>
      </w:r>
      <w:r w:rsidRPr="00FA0D37">
        <w:rPr>
          <w:color w:val="993366"/>
        </w:rPr>
        <w:t>SIZE</w:t>
      </w:r>
      <w:r w:rsidRPr="00FA0D37">
        <w:t xml:space="preserve"> (1..maxCell</w:t>
      </w:r>
      <w:r w:rsidR="00214979" w:rsidRPr="00FA0D37">
        <w:t>Allowed</w:t>
      </w:r>
      <w:r w:rsidRPr="00FA0D37">
        <w:t>))</w:t>
      </w:r>
      <w:r w:rsidRPr="00FA0D37">
        <w:rPr>
          <w:color w:val="993366"/>
        </w:rPr>
        <w:t xml:space="preserve"> OF</w:t>
      </w:r>
      <w:r w:rsidRPr="00FA0D37">
        <w:t xml:space="preserve"> PCI-Range</w:t>
      </w:r>
    </w:p>
    <w:p w14:paraId="351B2634" w14:textId="77777777" w:rsidR="00394471" w:rsidRPr="00FA0D37" w:rsidRDefault="00394471" w:rsidP="00FA0D37">
      <w:pPr>
        <w:pStyle w:val="PL"/>
      </w:pPr>
    </w:p>
    <w:p w14:paraId="6D956670" w14:textId="77777777" w:rsidR="00394471" w:rsidRPr="00FA0D37" w:rsidRDefault="00394471" w:rsidP="00FA0D37">
      <w:pPr>
        <w:pStyle w:val="PL"/>
      </w:pPr>
      <w:r w:rsidRPr="00FA0D37">
        <w:t xml:space="preserve">IntraFreqCAG-CellListPerPLMN-r16 ::= </w:t>
      </w:r>
      <w:r w:rsidRPr="00FA0D37">
        <w:rPr>
          <w:color w:val="993366"/>
        </w:rPr>
        <w:t>SEQUENCE</w:t>
      </w:r>
      <w:r w:rsidRPr="00FA0D37">
        <w:t xml:space="preserve"> {</w:t>
      </w:r>
    </w:p>
    <w:p w14:paraId="1787D6D1" w14:textId="77777777" w:rsidR="00394471" w:rsidRPr="00FA0D37" w:rsidRDefault="00394471" w:rsidP="00FA0D37">
      <w:pPr>
        <w:pStyle w:val="PL"/>
      </w:pPr>
      <w:r w:rsidRPr="00FA0D37">
        <w:t xml:space="preserve">    plmn-IdentityIndex-r16               </w:t>
      </w:r>
      <w:r w:rsidRPr="00FA0D37">
        <w:rPr>
          <w:color w:val="993366"/>
        </w:rPr>
        <w:t>INTEGER</w:t>
      </w:r>
      <w:r w:rsidRPr="00FA0D37">
        <w:t xml:space="preserve"> (1..maxPLMN),</w:t>
      </w:r>
    </w:p>
    <w:p w14:paraId="5148DAC7" w14:textId="77777777" w:rsidR="00394471" w:rsidRPr="00FA0D37" w:rsidRDefault="00394471" w:rsidP="00FA0D37">
      <w:pPr>
        <w:pStyle w:val="PL"/>
      </w:pPr>
      <w:r w:rsidRPr="00FA0D37">
        <w:t xml:space="preserve">    cag-CellList-r16                     </w:t>
      </w:r>
      <w:r w:rsidRPr="00FA0D37">
        <w:rPr>
          <w:color w:val="993366"/>
        </w:rPr>
        <w:t>SEQUENCE</w:t>
      </w:r>
      <w:r w:rsidRPr="00FA0D37">
        <w:t xml:space="preserve"> (</w:t>
      </w:r>
      <w:r w:rsidRPr="00FA0D37">
        <w:rPr>
          <w:color w:val="993366"/>
        </w:rPr>
        <w:t>SIZE</w:t>
      </w:r>
      <w:r w:rsidRPr="00FA0D37">
        <w:t xml:space="preserve"> (1..maxCAG-Cell-r16))</w:t>
      </w:r>
      <w:r w:rsidRPr="00FA0D37">
        <w:rPr>
          <w:color w:val="993366"/>
        </w:rPr>
        <w:t xml:space="preserve"> OF</w:t>
      </w:r>
      <w:r w:rsidRPr="00FA0D37">
        <w:t xml:space="preserve"> PCI-Range</w:t>
      </w:r>
    </w:p>
    <w:p w14:paraId="72FDEFBD" w14:textId="77777777" w:rsidR="00394471" w:rsidRPr="00FA0D37" w:rsidRDefault="00394471" w:rsidP="00FA0D37">
      <w:pPr>
        <w:pStyle w:val="PL"/>
      </w:pPr>
      <w:r w:rsidRPr="00FA0D37">
        <w:t>}</w:t>
      </w:r>
    </w:p>
    <w:p w14:paraId="12E311A3" w14:textId="0BC5077C" w:rsidR="00394471" w:rsidRPr="00FA0D37" w:rsidRDefault="00394471" w:rsidP="00FA0D37">
      <w:pPr>
        <w:pStyle w:val="PL"/>
      </w:pPr>
    </w:p>
    <w:p w14:paraId="20BCD253" w14:textId="2780E7D9" w:rsidR="005A0DA3" w:rsidRPr="00FA0D37" w:rsidRDefault="005A0DA3" w:rsidP="00FA0D37">
      <w:pPr>
        <w:pStyle w:val="PL"/>
      </w:pPr>
      <w:r w:rsidRPr="00FA0D37">
        <w:t xml:space="preserve">IntraFreqNeighHSDN-CellList-r17 ::= </w:t>
      </w:r>
      <w:r w:rsidRPr="00FA0D37">
        <w:rPr>
          <w:color w:val="993366"/>
        </w:rPr>
        <w:t>SEQUENCE</w:t>
      </w:r>
      <w:r w:rsidRPr="00FA0D37">
        <w:t xml:space="preserve"> (</w:t>
      </w:r>
      <w:r w:rsidRPr="00FA0D37">
        <w:rPr>
          <w:color w:val="993366"/>
        </w:rPr>
        <w:t>SIZE</w:t>
      </w:r>
      <w:r w:rsidRPr="00FA0D37">
        <w:t xml:space="preserve"> (1..maxCellIntra))</w:t>
      </w:r>
      <w:r w:rsidRPr="00FA0D37">
        <w:rPr>
          <w:color w:val="993366"/>
        </w:rPr>
        <w:t xml:space="preserve"> OF</w:t>
      </w:r>
      <w:r w:rsidRPr="00FA0D37">
        <w:t xml:space="preserve"> PCI-Range</w:t>
      </w:r>
    </w:p>
    <w:p w14:paraId="174B46C0" w14:textId="77777777" w:rsidR="005A0DA3" w:rsidRPr="00FA0D37" w:rsidRDefault="005A0DA3" w:rsidP="00FA0D37">
      <w:pPr>
        <w:pStyle w:val="PL"/>
      </w:pPr>
    </w:p>
    <w:p w14:paraId="2C2843F4" w14:textId="77777777" w:rsidR="00394471" w:rsidRPr="00FA0D37" w:rsidRDefault="00394471" w:rsidP="00FA0D37">
      <w:pPr>
        <w:pStyle w:val="PL"/>
        <w:rPr>
          <w:color w:val="808080"/>
        </w:rPr>
      </w:pPr>
      <w:r w:rsidRPr="00FA0D37">
        <w:rPr>
          <w:color w:val="808080"/>
        </w:rPr>
        <w:t>-- TAG-SIB3-STOP</w:t>
      </w:r>
    </w:p>
    <w:p w14:paraId="1FC3A1CA" w14:textId="77777777" w:rsidR="00394471" w:rsidRPr="00FA0D37" w:rsidRDefault="00394471" w:rsidP="00FA0D37">
      <w:pPr>
        <w:pStyle w:val="PL"/>
        <w:rPr>
          <w:color w:val="808080"/>
        </w:rPr>
      </w:pPr>
      <w:r w:rsidRPr="00FA0D37">
        <w:rPr>
          <w:color w:val="808080"/>
        </w:rPr>
        <w:t>-- ASN1STOP</w:t>
      </w:r>
    </w:p>
    <w:p w14:paraId="2F227410" w14:textId="77777777" w:rsidR="00394471" w:rsidRPr="00FA0D3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2D70953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CB4DB2" w14:textId="77777777" w:rsidR="00394471" w:rsidRPr="00FA0D37" w:rsidRDefault="00394471" w:rsidP="00964CC4">
            <w:pPr>
              <w:pStyle w:val="TAH"/>
              <w:rPr>
                <w:lang w:eastAsia="en-GB"/>
              </w:rPr>
            </w:pPr>
            <w:r w:rsidRPr="00FA0D37">
              <w:rPr>
                <w:i/>
                <w:lang w:eastAsia="sv-SE"/>
              </w:rPr>
              <w:t>SIB3</w:t>
            </w:r>
            <w:r w:rsidRPr="00FA0D37">
              <w:rPr>
                <w:i/>
                <w:noProof/>
                <w:lang w:eastAsia="en-GB"/>
              </w:rPr>
              <w:t xml:space="preserve"> </w:t>
            </w:r>
            <w:r w:rsidRPr="00FA0D37">
              <w:rPr>
                <w:iCs/>
                <w:noProof/>
                <w:lang w:eastAsia="en-GB"/>
              </w:rPr>
              <w:t>field descriptions</w:t>
            </w:r>
          </w:p>
        </w:tc>
      </w:tr>
      <w:tr w:rsidR="005C7FF4" w:rsidRPr="00FA0D37" w14:paraId="0501C7EF"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BDCAC6" w14:textId="77777777" w:rsidR="00775C81" w:rsidRPr="00FA0D37" w:rsidRDefault="00775C81" w:rsidP="00A12BD9">
            <w:pPr>
              <w:pStyle w:val="TAL"/>
              <w:rPr>
                <w:b/>
                <w:bCs/>
                <w:i/>
                <w:iCs/>
                <w:lang w:eastAsia="sv-SE"/>
              </w:rPr>
            </w:pPr>
            <w:r w:rsidRPr="00FA0D37">
              <w:rPr>
                <w:b/>
                <w:bCs/>
                <w:i/>
                <w:iCs/>
                <w:lang w:eastAsia="en-GB"/>
              </w:rPr>
              <w:t>channelAccessMode2</w:t>
            </w:r>
          </w:p>
          <w:p w14:paraId="7B18E478" w14:textId="75C94682" w:rsidR="00775C81" w:rsidRPr="00FA0D37" w:rsidRDefault="00775C81" w:rsidP="00A12BD9">
            <w:pPr>
              <w:pStyle w:val="TAL"/>
              <w:rPr>
                <w:noProof/>
                <w:lang w:eastAsia="en-GB"/>
              </w:rPr>
            </w:pPr>
            <w:r w:rsidRPr="00FA0D37">
              <w:t xml:space="preserve">If present, this field </w:t>
            </w:r>
            <w:r w:rsidRPr="00FA0D37">
              <w:rPr>
                <w:lang w:eastAsia="sv-SE"/>
              </w:rPr>
              <w:t xml:space="preserve">indicates that intra-frequency neighbor cells apply channel access mode procedures for operation with shared spectrum channel access in accordance with TS 37.213 [48], clause 4.4 for FR2-2. If absent, the </w:t>
            </w:r>
            <w:r w:rsidR="00B822E7" w:rsidRPr="00FA0D37">
              <w:rPr>
                <w:lang w:eastAsia="sv-SE"/>
              </w:rPr>
              <w:t xml:space="preserve">intra-frequency </w:t>
            </w:r>
            <w:r w:rsidRPr="00FA0D37">
              <w:rPr>
                <w:lang w:eastAsia="sv-SE"/>
              </w:rPr>
              <w:t>neighbor cell</w:t>
            </w:r>
            <w:r w:rsidR="00B822E7" w:rsidRPr="00FA0D37">
              <w:rPr>
                <w:lang w:eastAsia="sv-SE"/>
              </w:rPr>
              <w:t>s</w:t>
            </w:r>
            <w:r w:rsidRPr="00FA0D37">
              <w:rPr>
                <w:lang w:eastAsia="sv-SE"/>
              </w:rPr>
              <w:t xml:space="preserve"> do not apply any channel access procedure.</w:t>
            </w:r>
          </w:p>
        </w:tc>
      </w:tr>
      <w:tr w:rsidR="005C7FF4" w:rsidRPr="00FA0D37" w14:paraId="7BA6D962"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BF639A4" w14:textId="77777777" w:rsidR="00214979" w:rsidRPr="00FA0D37" w:rsidRDefault="00214979" w:rsidP="00771058">
            <w:pPr>
              <w:pStyle w:val="TAL"/>
              <w:rPr>
                <w:b/>
                <w:bCs/>
                <w:i/>
                <w:noProof/>
                <w:lang w:eastAsia="en-GB"/>
              </w:rPr>
            </w:pPr>
            <w:r w:rsidRPr="00FA0D37">
              <w:rPr>
                <w:b/>
                <w:bCs/>
                <w:i/>
                <w:noProof/>
                <w:lang w:eastAsia="en-GB"/>
              </w:rPr>
              <w:t>intraFreqAllowedCellList</w:t>
            </w:r>
          </w:p>
          <w:p w14:paraId="400E3227" w14:textId="77777777" w:rsidR="00214979" w:rsidRPr="00FA0D37" w:rsidRDefault="00214979" w:rsidP="00771058">
            <w:pPr>
              <w:pStyle w:val="TAL"/>
              <w:rPr>
                <w:b/>
                <w:bCs/>
                <w:i/>
                <w:iCs/>
                <w:noProof/>
                <w:lang w:eastAsia="en-GB"/>
              </w:rPr>
            </w:pPr>
            <w:r w:rsidRPr="00FA0D37">
              <w:rPr>
                <w:rFonts w:cs="Arial"/>
                <w:lang w:eastAsia="en-GB"/>
              </w:rPr>
              <w:t xml:space="preserve">List of allow-listed intra-frequency neighbouring cells, </w:t>
            </w:r>
            <w:r w:rsidRPr="00FA0D37">
              <w:rPr>
                <w:rFonts w:cs="Arial"/>
                <w:szCs w:val="22"/>
                <w:lang w:eastAsia="sv-SE"/>
              </w:rPr>
              <w:t>see TS 38.304 [20], clause 5.2.4</w:t>
            </w:r>
            <w:r w:rsidRPr="00FA0D37">
              <w:rPr>
                <w:lang w:eastAsia="en-GB"/>
              </w:rPr>
              <w:t>.</w:t>
            </w:r>
          </w:p>
        </w:tc>
      </w:tr>
      <w:tr w:rsidR="005C7FF4" w:rsidRPr="00FA0D37" w14:paraId="7AF1D8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74D4706" w14:textId="77777777" w:rsidR="00394471" w:rsidRPr="00FA0D37" w:rsidRDefault="00394471" w:rsidP="00964CC4">
            <w:pPr>
              <w:pStyle w:val="TAL"/>
              <w:rPr>
                <w:b/>
                <w:bCs/>
                <w:i/>
                <w:iCs/>
                <w:noProof/>
                <w:lang w:eastAsia="en-GB"/>
              </w:rPr>
            </w:pPr>
            <w:r w:rsidRPr="00FA0D37">
              <w:rPr>
                <w:b/>
                <w:bCs/>
                <w:i/>
                <w:iCs/>
                <w:noProof/>
                <w:lang w:eastAsia="en-GB"/>
              </w:rPr>
              <w:t>intraFreqCAG-CellList</w:t>
            </w:r>
          </w:p>
          <w:p w14:paraId="7AAA865F" w14:textId="77777777" w:rsidR="00394471" w:rsidRPr="00FA0D37" w:rsidRDefault="00394471" w:rsidP="00964CC4">
            <w:pPr>
              <w:pStyle w:val="TAL"/>
              <w:rPr>
                <w:b/>
                <w:bCs/>
                <w:i/>
                <w:noProof/>
                <w:lang w:eastAsia="en-GB"/>
              </w:rPr>
            </w:pPr>
            <w:r w:rsidRPr="00FA0D37">
              <w:rPr>
                <w:rFonts w:cs="Arial"/>
                <w:lang w:eastAsia="en-GB"/>
              </w:rPr>
              <w:t>List of intra-frequency neighbouring CAG cells (as defined in TS 38.304 [20]) per PLMN.</w:t>
            </w:r>
          </w:p>
        </w:tc>
      </w:tr>
      <w:tr w:rsidR="005C7FF4" w:rsidRPr="00FA0D37" w14:paraId="575E666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A6D1313" w14:textId="77777777" w:rsidR="00214979" w:rsidRPr="00FA0D37" w:rsidRDefault="00214979" w:rsidP="00771058">
            <w:pPr>
              <w:pStyle w:val="TAL"/>
              <w:rPr>
                <w:b/>
                <w:bCs/>
                <w:i/>
                <w:noProof/>
                <w:lang w:eastAsia="en-GB"/>
              </w:rPr>
            </w:pPr>
            <w:r w:rsidRPr="00FA0D37">
              <w:rPr>
                <w:b/>
                <w:bCs/>
                <w:i/>
                <w:noProof/>
                <w:lang w:eastAsia="en-GB"/>
              </w:rPr>
              <w:t>intraFreqExcludedCellList</w:t>
            </w:r>
          </w:p>
          <w:p w14:paraId="058195D9" w14:textId="77777777" w:rsidR="00214979" w:rsidRPr="00FA0D37" w:rsidRDefault="00214979" w:rsidP="00771058">
            <w:pPr>
              <w:pStyle w:val="TAL"/>
              <w:rPr>
                <w:b/>
                <w:bCs/>
                <w:i/>
                <w:noProof/>
                <w:lang w:eastAsia="en-GB"/>
              </w:rPr>
            </w:pPr>
            <w:r w:rsidRPr="00FA0D37">
              <w:rPr>
                <w:lang w:eastAsia="en-GB"/>
              </w:rPr>
              <w:t>List of exclude-listed intra-frequency neighbouring cells.</w:t>
            </w:r>
          </w:p>
        </w:tc>
      </w:tr>
      <w:tr w:rsidR="005C7FF4" w:rsidRPr="00FA0D37" w14:paraId="23AD87C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0BBF95" w14:textId="77777777" w:rsidR="00394471" w:rsidRPr="00FA0D37" w:rsidRDefault="00394471" w:rsidP="00964CC4">
            <w:pPr>
              <w:pStyle w:val="TAL"/>
              <w:rPr>
                <w:b/>
                <w:bCs/>
                <w:i/>
                <w:noProof/>
                <w:lang w:eastAsia="en-GB"/>
              </w:rPr>
            </w:pPr>
            <w:r w:rsidRPr="00FA0D37">
              <w:rPr>
                <w:b/>
                <w:bCs/>
                <w:i/>
                <w:noProof/>
                <w:lang w:eastAsia="en-GB"/>
              </w:rPr>
              <w:t>intraFreqNeighCellList</w:t>
            </w:r>
          </w:p>
          <w:p w14:paraId="7CC16E33" w14:textId="77777777" w:rsidR="00394471" w:rsidRPr="00FA0D37" w:rsidRDefault="00394471" w:rsidP="00964CC4">
            <w:pPr>
              <w:pStyle w:val="TAL"/>
              <w:rPr>
                <w:lang w:eastAsia="en-GB"/>
              </w:rPr>
            </w:pPr>
            <w:r w:rsidRPr="00FA0D37">
              <w:rPr>
                <w:lang w:eastAsia="en-GB"/>
              </w:rPr>
              <w:t>List of intra-frequency neighbouring cells with specific cell re-selection parameters.</w:t>
            </w:r>
            <w:r w:rsidRPr="00FA0D37">
              <w:rPr>
                <w:szCs w:val="22"/>
                <w:lang w:eastAsia="sv-SE"/>
              </w:rPr>
              <w:t xml:space="preserve"> If </w:t>
            </w:r>
            <w:r w:rsidRPr="00FA0D37">
              <w:rPr>
                <w:i/>
                <w:szCs w:val="22"/>
                <w:lang w:eastAsia="sv-SE"/>
              </w:rPr>
              <w:t xml:space="preserve">intraFreqNeighCellList-v1610 </w:t>
            </w:r>
            <w:r w:rsidRPr="00FA0D37">
              <w:rPr>
                <w:szCs w:val="22"/>
                <w:lang w:eastAsia="sv-SE"/>
              </w:rPr>
              <w:t xml:space="preserve">is present, it shall contain the same number of entries, listed in the same order as in </w:t>
            </w:r>
            <w:r w:rsidRPr="00FA0D37">
              <w:rPr>
                <w:i/>
                <w:szCs w:val="22"/>
                <w:lang w:eastAsia="sv-SE"/>
              </w:rPr>
              <w:t xml:space="preserve">intraFreqNeighCellList </w:t>
            </w:r>
            <w:r w:rsidRPr="00FA0D37">
              <w:rPr>
                <w:szCs w:val="22"/>
                <w:lang w:eastAsia="sv-SE"/>
              </w:rPr>
              <w:t>(without suffix).</w:t>
            </w:r>
          </w:p>
        </w:tc>
      </w:tr>
      <w:tr w:rsidR="005C7FF4" w:rsidRPr="00FA0D37" w14:paraId="2103C2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A9DA6DA" w14:textId="77777777" w:rsidR="002E44EF" w:rsidRPr="00FA0D37" w:rsidRDefault="002E44EF" w:rsidP="00771058">
            <w:pPr>
              <w:pStyle w:val="TAL"/>
              <w:rPr>
                <w:b/>
                <w:bCs/>
                <w:i/>
                <w:noProof/>
                <w:lang w:eastAsia="en-GB"/>
              </w:rPr>
            </w:pPr>
            <w:r w:rsidRPr="00FA0D37">
              <w:rPr>
                <w:b/>
                <w:bCs/>
                <w:i/>
                <w:noProof/>
                <w:lang w:eastAsia="en-GB"/>
              </w:rPr>
              <w:t>intraFreqNeighHSDN-CellList</w:t>
            </w:r>
          </w:p>
          <w:p w14:paraId="6D16DC06" w14:textId="77777777" w:rsidR="002E44EF" w:rsidRPr="00FA0D37" w:rsidRDefault="002E44EF" w:rsidP="00771058">
            <w:pPr>
              <w:pStyle w:val="TAL"/>
              <w:rPr>
                <w:iCs/>
                <w:noProof/>
                <w:lang w:eastAsia="en-GB"/>
              </w:rPr>
            </w:pPr>
            <w:r w:rsidRPr="00FA0D37">
              <w:rPr>
                <w:iCs/>
                <w:noProof/>
                <w:lang w:eastAsia="en-GB"/>
              </w:rPr>
              <w:t>List of intra-frequency neighbouring HSDN cells as specified in TS 38.304 [20].</w:t>
            </w:r>
          </w:p>
        </w:tc>
      </w:tr>
      <w:tr w:rsidR="005C7FF4" w:rsidRPr="00FA0D37" w14:paraId="09F0B33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A66A" w14:textId="77777777" w:rsidR="00394471" w:rsidRPr="00FA0D37" w:rsidRDefault="00394471" w:rsidP="00964CC4">
            <w:pPr>
              <w:pStyle w:val="TAL"/>
              <w:rPr>
                <w:b/>
                <w:bCs/>
                <w:i/>
                <w:noProof/>
                <w:lang w:eastAsia="en-GB"/>
              </w:rPr>
            </w:pPr>
            <w:r w:rsidRPr="00FA0D37">
              <w:rPr>
                <w:b/>
                <w:bCs/>
                <w:i/>
                <w:noProof/>
                <w:lang w:eastAsia="en-GB"/>
              </w:rPr>
              <w:t>q-OffsetCell</w:t>
            </w:r>
          </w:p>
          <w:p w14:paraId="0901178A" w14:textId="77777777" w:rsidR="00394471" w:rsidRPr="00FA0D37" w:rsidRDefault="00394471" w:rsidP="00964CC4">
            <w:pPr>
              <w:pStyle w:val="TAL"/>
              <w:rPr>
                <w:b/>
                <w:bCs/>
                <w:i/>
                <w:noProof/>
                <w:lang w:eastAsia="en-GB"/>
              </w:rPr>
            </w:pPr>
            <w:r w:rsidRPr="00FA0D37">
              <w:rPr>
                <w:lang w:eastAsia="en-GB"/>
              </w:rPr>
              <w:t>Parameter "</w:t>
            </w:r>
            <w:r w:rsidRPr="00FA0D37">
              <w:rPr>
                <w:bCs/>
                <w:lang w:eastAsia="en-GB"/>
              </w:rPr>
              <w:t>Qoffset</w:t>
            </w:r>
            <w:r w:rsidRPr="00FA0D37">
              <w:rPr>
                <w:bCs/>
                <w:vertAlign w:val="subscript"/>
                <w:lang w:eastAsia="en-GB"/>
              </w:rPr>
              <w:t>s,n</w:t>
            </w:r>
            <w:r w:rsidRPr="00FA0D37">
              <w:rPr>
                <w:lang w:eastAsia="en-GB"/>
              </w:rPr>
              <w:t>" in TS 38.304 [20].</w:t>
            </w:r>
          </w:p>
        </w:tc>
      </w:tr>
      <w:tr w:rsidR="005C7FF4" w:rsidRPr="00FA0D37" w14:paraId="438BA1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92E82" w14:textId="77777777" w:rsidR="00394471" w:rsidRPr="00FA0D37" w:rsidRDefault="00394471" w:rsidP="00964CC4">
            <w:pPr>
              <w:pStyle w:val="TAL"/>
              <w:rPr>
                <w:b/>
                <w:bCs/>
                <w:i/>
                <w:lang w:eastAsia="en-GB"/>
              </w:rPr>
            </w:pPr>
            <w:r w:rsidRPr="00FA0D37">
              <w:rPr>
                <w:b/>
                <w:bCs/>
                <w:i/>
                <w:lang w:eastAsia="en-GB"/>
              </w:rPr>
              <w:t>q-QualMinOffsetCell</w:t>
            </w:r>
          </w:p>
          <w:p w14:paraId="4B1A1B06" w14:textId="77777777" w:rsidR="00394471" w:rsidRPr="00FA0D37" w:rsidRDefault="00394471" w:rsidP="00964CC4">
            <w:pPr>
              <w:pStyle w:val="TAL"/>
              <w:rPr>
                <w:b/>
                <w:bCs/>
                <w:i/>
                <w:noProof/>
                <w:lang w:eastAsia="en-GB"/>
              </w:rPr>
            </w:pPr>
            <w:r w:rsidRPr="00FA0D37">
              <w:rPr>
                <w:lang w:eastAsia="sv-SE"/>
              </w:rPr>
              <w:t>Parameter "Q</w:t>
            </w:r>
            <w:r w:rsidRPr="00FA0D37">
              <w:rPr>
                <w:vertAlign w:val="subscript"/>
                <w:lang w:eastAsia="sv-SE"/>
              </w:rPr>
              <w:t>qualminoffsetcell</w:t>
            </w:r>
            <w:r w:rsidRPr="00FA0D37">
              <w:rPr>
                <w:lang w:eastAsia="sv-SE"/>
              </w:rPr>
              <w:t>" in TS</w:t>
            </w:r>
            <w:r w:rsidRPr="00FA0D37">
              <w:rPr>
                <w:lang w:eastAsia="en-GB"/>
              </w:rPr>
              <w:t xml:space="preserve"> 38.304 [20]. Actual value Q</w:t>
            </w:r>
            <w:r w:rsidRPr="00FA0D37">
              <w:rPr>
                <w:vertAlign w:val="subscript"/>
                <w:lang w:eastAsia="en-GB"/>
              </w:rPr>
              <w:t>qualminoffsetcell</w:t>
            </w:r>
            <w:r w:rsidRPr="00FA0D37">
              <w:rPr>
                <w:lang w:eastAsia="en-GB"/>
              </w:rPr>
              <w:t xml:space="preserve"> = field value [dB].</w:t>
            </w:r>
          </w:p>
        </w:tc>
      </w:tr>
      <w:tr w:rsidR="005C7FF4" w:rsidRPr="00FA0D37" w14:paraId="717E60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B7E4EE" w14:textId="77777777" w:rsidR="00394471" w:rsidRPr="00FA0D37" w:rsidRDefault="00394471" w:rsidP="00964CC4">
            <w:pPr>
              <w:pStyle w:val="TAL"/>
              <w:rPr>
                <w:b/>
                <w:bCs/>
                <w:i/>
                <w:lang w:eastAsia="en-GB"/>
              </w:rPr>
            </w:pPr>
            <w:r w:rsidRPr="00FA0D37">
              <w:rPr>
                <w:b/>
                <w:bCs/>
                <w:i/>
                <w:lang w:eastAsia="en-GB"/>
              </w:rPr>
              <w:t>q-RxLevMinOffsetCell</w:t>
            </w:r>
          </w:p>
          <w:p w14:paraId="4FD6761F" w14:textId="77777777" w:rsidR="00394471" w:rsidRPr="00FA0D37" w:rsidRDefault="00394471" w:rsidP="00964CC4">
            <w:pPr>
              <w:pStyle w:val="TAL"/>
              <w:rPr>
                <w:b/>
                <w:bCs/>
                <w:i/>
                <w:noProof/>
                <w:lang w:eastAsia="en-GB"/>
              </w:rPr>
            </w:pPr>
            <w:r w:rsidRPr="00FA0D37">
              <w:rPr>
                <w:lang w:eastAsia="en-GB"/>
              </w:rPr>
              <w:t>Parame</w:t>
            </w:r>
            <w:r w:rsidRPr="00FA0D37">
              <w:rPr>
                <w:lang w:eastAsia="sv-SE"/>
              </w:rPr>
              <w:t>ter "Q</w:t>
            </w:r>
            <w:r w:rsidRPr="00FA0D37">
              <w:rPr>
                <w:vertAlign w:val="subscript"/>
                <w:lang w:eastAsia="sv-SE"/>
              </w:rPr>
              <w:t>rxlevminoffsetcell</w:t>
            </w:r>
            <w:r w:rsidRPr="00FA0D37">
              <w:rPr>
                <w:lang w:eastAsia="sv-SE"/>
              </w:rPr>
              <w:t>" in TS</w:t>
            </w:r>
            <w:r w:rsidRPr="00FA0D37">
              <w:rPr>
                <w:lang w:eastAsia="en-GB"/>
              </w:rPr>
              <w:t xml:space="preserve"> 38.304 [20]. Actual value Q</w:t>
            </w:r>
            <w:r w:rsidRPr="00FA0D37">
              <w:rPr>
                <w:vertAlign w:val="subscript"/>
                <w:lang w:eastAsia="en-GB"/>
              </w:rPr>
              <w:t>rxlevminoffsetcell</w:t>
            </w:r>
            <w:r w:rsidRPr="00FA0D37">
              <w:rPr>
                <w:lang w:eastAsia="en-GB"/>
              </w:rPr>
              <w:t xml:space="preserve"> = field value * 2 [dB].</w:t>
            </w:r>
          </w:p>
        </w:tc>
      </w:tr>
      <w:tr w:rsidR="005C7FF4" w:rsidRPr="00FA0D37" w14:paraId="420B154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C5AD1" w14:textId="77777777" w:rsidR="00394471" w:rsidRPr="00FA0D37" w:rsidRDefault="00394471" w:rsidP="00964CC4">
            <w:pPr>
              <w:pStyle w:val="TAL"/>
              <w:rPr>
                <w:b/>
                <w:bCs/>
                <w:i/>
                <w:lang w:eastAsia="en-GB"/>
              </w:rPr>
            </w:pPr>
            <w:r w:rsidRPr="00FA0D37">
              <w:rPr>
                <w:b/>
                <w:bCs/>
                <w:i/>
                <w:lang w:eastAsia="en-GB"/>
              </w:rPr>
              <w:t>q-RxLevMinOffsetCellSUL</w:t>
            </w:r>
          </w:p>
          <w:p w14:paraId="5E74CDE1" w14:textId="77777777" w:rsidR="00394471" w:rsidRPr="00FA0D37" w:rsidRDefault="00394471" w:rsidP="00964CC4">
            <w:pPr>
              <w:pStyle w:val="TAL"/>
              <w:rPr>
                <w:b/>
                <w:bCs/>
                <w:i/>
                <w:noProof/>
                <w:lang w:eastAsia="en-GB"/>
              </w:rPr>
            </w:pPr>
            <w:r w:rsidRPr="00FA0D37">
              <w:rPr>
                <w:lang w:eastAsia="en-GB"/>
              </w:rPr>
              <w:t>Paramete</w:t>
            </w:r>
            <w:r w:rsidRPr="00FA0D37">
              <w:rPr>
                <w:lang w:eastAsia="sv-SE"/>
              </w:rPr>
              <w:t>r "Q</w:t>
            </w:r>
            <w:r w:rsidRPr="00FA0D37">
              <w:rPr>
                <w:vertAlign w:val="subscript"/>
                <w:lang w:eastAsia="sv-SE"/>
              </w:rPr>
              <w:t>rxlevminoffsetcellSUL</w:t>
            </w:r>
            <w:r w:rsidRPr="00FA0D37">
              <w:rPr>
                <w:lang w:eastAsia="sv-SE"/>
              </w:rPr>
              <w:t>" i</w:t>
            </w:r>
            <w:r w:rsidRPr="00FA0D37">
              <w:rPr>
                <w:lang w:eastAsia="en-GB"/>
              </w:rPr>
              <w:t>n TS 38.304 [20]. Actual value Q</w:t>
            </w:r>
            <w:r w:rsidRPr="00FA0D37">
              <w:rPr>
                <w:vertAlign w:val="subscript"/>
                <w:lang w:eastAsia="en-GB"/>
              </w:rPr>
              <w:t>rxlevminoffsetcellSUL</w:t>
            </w:r>
            <w:r w:rsidRPr="00FA0D37">
              <w:rPr>
                <w:lang w:eastAsia="en-GB"/>
              </w:rPr>
              <w:t xml:space="preserve"> = field value * 2 [dB].</w:t>
            </w:r>
          </w:p>
        </w:tc>
      </w:tr>
      <w:tr w:rsidR="00394471" w:rsidRPr="00FA0D37" w14:paraId="4044DD7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3CAEF2" w14:textId="77777777" w:rsidR="00394471" w:rsidRPr="00FA0D37" w:rsidRDefault="00394471" w:rsidP="00964CC4">
            <w:pPr>
              <w:pStyle w:val="TAL"/>
              <w:rPr>
                <w:b/>
                <w:bCs/>
                <w:i/>
                <w:iCs/>
                <w:lang w:eastAsia="sv-SE"/>
              </w:rPr>
            </w:pPr>
            <w:r w:rsidRPr="00FA0D37">
              <w:rPr>
                <w:b/>
                <w:bCs/>
                <w:i/>
                <w:iCs/>
                <w:lang w:eastAsia="sv-SE"/>
              </w:rPr>
              <w:t>ssb-PositionQCL</w:t>
            </w:r>
          </w:p>
          <w:p w14:paraId="39104571" w14:textId="68BA59D1" w:rsidR="00394471" w:rsidRPr="00FA0D37" w:rsidRDefault="00394471" w:rsidP="00964CC4">
            <w:pPr>
              <w:pStyle w:val="TAL"/>
              <w:rPr>
                <w:b/>
                <w:bCs/>
                <w:i/>
                <w:lang w:eastAsia="en-GB"/>
              </w:rPr>
            </w:pPr>
            <w:r w:rsidRPr="00FA0D37">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sidRPr="00FA0D37">
              <w:rPr>
                <w:rFonts w:cs="Courier New"/>
                <w:i/>
                <w:iCs/>
                <w:lang w:eastAsia="sv-SE"/>
              </w:rPr>
              <w:t>ssb-PositionQCL-Common</w:t>
            </w:r>
            <w:r w:rsidRPr="00FA0D37">
              <w:rPr>
                <w:rFonts w:cs="Courier New"/>
                <w:lang w:eastAsia="sv-SE"/>
              </w:rPr>
              <w:t xml:space="preserve"> in </w:t>
            </w:r>
            <w:r w:rsidRPr="00FA0D37">
              <w:rPr>
                <w:rFonts w:cs="Courier New"/>
                <w:i/>
                <w:iCs/>
                <w:lang w:eastAsia="sv-SE"/>
              </w:rPr>
              <w:t>SIB2</w:t>
            </w:r>
            <w:r w:rsidRPr="00FA0D37">
              <w:rPr>
                <w:rFonts w:cs="Courier New"/>
                <w:lang w:eastAsia="sv-SE"/>
              </w:rPr>
              <w:t xml:space="preserve"> for the indicated cell</w:t>
            </w:r>
            <w:r w:rsidRPr="00FA0D37">
              <w:rPr>
                <w:lang w:eastAsia="en-GB"/>
              </w:rPr>
              <w:t>.</w:t>
            </w:r>
          </w:p>
        </w:tc>
      </w:tr>
    </w:tbl>
    <w:p w14:paraId="2CF1CB4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18DD4F8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310CFA4" w14:textId="77777777" w:rsidR="00394471" w:rsidRPr="00FA0D37" w:rsidRDefault="00394471" w:rsidP="00964CC4">
            <w:pPr>
              <w:pStyle w:val="TAH"/>
              <w:rPr>
                <w:szCs w:val="22"/>
                <w:lang w:eastAsia="en-US"/>
              </w:rPr>
            </w:pPr>
            <w:r w:rsidRPr="00FA0D3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FAA6C9" w14:textId="77777777" w:rsidR="00394471" w:rsidRPr="00FA0D37" w:rsidRDefault="00394471" w:rsidP="00964CC4">
            <w:pPr>
              <w:pStyle w:val="TAH"/>
              <w:rPr>
                <w:szCs w:val="22"/>
                <w:lang w:eastAsia="en-US"/>
              </w:rPr>
            </w:pPr>
            <w:r w:rsidRPr="00FA0D37">
              <w:rPr>
                <w:szCs w:val="22"/>
                <w:lang w:eastAsia="en-US"/>
              </w:rPr>
              <w:t>Explanation</w:t>
            </w:r>
          </w:p>
        </w:tc>
      </w:tr>
      <w:tr w:rsidR="00394471" w:rsidRPr="00FA0D37" w14:paraId="67C3D5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41A897" w14:textId="77777777" w:rsidR="00394471" w:rsidRPr="00FA0D37" w:rsidRDefault="00394471" w:rsidP="00964CC4">
            <w:pPr>
              <w:pStyle w:val="TAL"/>
              <w:rPr>
                <w:i/>
                <w:iCs/>
                <w:lang w:eastAsia="x-none"/>
              </w:rPr>
            </w:pPr>
            <w:r w:rsidRPr="00FA0D3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AED96EC" w14:textId="77777777" w:rsidR="00394471" w:rsidRPr="00FA0D37" w:rsidRDefault="00394471" w:rsidP="00964CC4">
            <w:pPr>
              <w:pStyle w:val="TAL"/>
              <w:rPr>
                <w:szCs w:val="22"/>
              </w:rPr>
            </w:pPr>
            <w:r w:rsidRPr="00FA0D37">
              <w:rPr>
                <w:szCs w:val="22"/>
              </w:rPr>
              <w:t>The field is optional present, Need R, if this intra-frequency or neighbor cell operates with shared spectrum channel access. Otherwise, it is absent, Need R.</w:t>
            </w:r>
          </w:p>
        </w:tc>
      </w:tr>
    </w:tbl>
    <w:p w14:paraId="5EE222FB" w14:textId="77777777" w:rsidR="00394471" w:rsidRPr="00FA0D37" w:rsidRDefault="00394471" w:rsidP="00394471"/>
    <w:p w14:paraId="2464D9B7" w14:textId="77777777" w:rsidR="00394471" w:rsidRPr="00FA0D37" w:rsidRDefault="00394471" w:rsidP="00394471">
      <w:pPr>
        <w:pStyle w:val="4"/>
        <w:rPr>
          <w:rFonts w:eastAsia="宋体"/>
          <w:i/>
          <w:noProof/>
        </w:rPr>
      </w:pPr>
      <w:bookmarkStart w:id="761" w:name="_Toc60777143"/>
      <w:bookmarkStart w:id="762" w:name="_Toc146781181"/>
      <w:r w:rsidRPr="00FA0D37">
        <w:rPr>
          <w:rFonts w:eastAsia="宋体"/>
        </w:rPr>
        <w:t>–</w:t>
      </w:r>
      <w:r w:rsidRPr="00FA0D37">
        <w:rPr>
          <w:rFonts w:eastAsia="宋体"/>
        </w:rPr>
        <w:tab/>
      </w:r>
      <w:r w:rsidRPr="00FA0D37">
        <w:rPr>
          <w:rFonts w:eastAsia="宋体"/>
          <w:i/>
          <w:noProof/>
        </w:rPr>
        <w:t>SIB4</w:t>
      </w:r>
      <w:bookmarkEnd w:id="761"/>
      <w:bookmarkEnd w:id="762"/>
    </w:p>
    <w:p w14:paraId="4C0115D9" w14:textId="77777777" w:rsidR="00394471" w:rsidRPr="00FA0D37" w:rsidRDefault="00394471" w:rsidP="00394471">
      <w:pPr>
        <w:rPr>
          <w:rFonts w:eastAsia="宋体"/>
          <w:iCs/>
        </w:rPr>
      </w:pPr>
      <w:r w:rsidRPr="00FA0D37">
        <w:rPr>
          <w:i/>
          <w:noProof/>
        </w:rPr>
        <w:t>SIB4</w:t>
      </w:r>
      <w:r w:rsidRPr="00FA0D37">
        <w:rPr>
          <w:iCs/>
        </w:rPr>
        <w:t xml:space="preserve"> contains information relevant for inter-frequency cell re-selection (i.e. information about </w:t>
      </w:r>
      <w:r w:rsidRPr="00FA0D37">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0B013E6" w14:textId="77777777" w:rsidR="00394471" w:rsidRPr="00FA0D37" w:rsidRDefault="00394471" w:rsidP="00394471">
      <w:pPr>
        <w:pStyle w:val="TH"/>
        <w:rPr>
          <w:bCs/>
          <w:i/>
          <w:iCs/>
        </w:rPr>
      </w:pPr>
      <w:r w:rsidRPr="00FA0D37">
        <w:rPr>
          <w:bCs/>
          <w:i/>
          <w:iCs/>
          <w:noProof/>
        </w:rPr>
        <w:lastRenderedPageBreak/>
        <w:t xml:space="preserve">SIB4 </w:t>
      </w:r>
      <w:r w:rsidRPr="00FA0D37">
        <w:rPr>
          <w:bCs/>
          <w:iCs/>
          <w:noProof/>
        </w:rPr>
        <w:t>information element</w:t>
      </w:r>
    </w:p>
    <w:p w14:paraId="5DF8583D" w14:textId="77777777" w:rsidR="00394471" w:rsidRPr="00FA0D37" w:rsidRDefault="00394471" w:rsidP="00FA0D37">
      <w:pPr>
        <w:pStyle w:val="PL"/>
        <w:rPr>
          <w:color w:val="808080"/>
        </w:rPr>
      </w:pPr>
      <w:r w:rsidRPr="00FA0D37">
        <w:rPr>
          <w:color w:val="808080"/>
        </w:rPr>
        <w:t>-- ASN1START</w:t>
      </w:r>
    </w:p>
    <w:p w14:paraId="1B5DF567" w14:textId="77777777" w:rsidR="00394471" w:rsidRPr="00FA0D37" w:rsidRDefault="00394471" w:rsidP="00FA0D37">
      <w:pPr>
        <w:pStyle w:val="PL"/>
        <w:rPr>
          <w:color w:val="808080"/>
        </w:rPr>
      </w:pPr>
      <w:r w:rsidRPr="00FA0D37">
        <w:rPr>
          <w:color w:val="808080"/>
        </w:rPr>
        <w:t>-- TAG-SIB4-START</w:t>
      </w:r>
    </w:p>
    <w:p w14:paraId="7E9C30B4" w14:textId="77777777" w:rsidR="00394471" w:rsidRPr="00FA0D37" w:rsidRDefault="00394471" w:rsidP="00FA0D37">
      <w:pPr>
        <w:pStyle w:val="PL"/>
      </w:pPr>
    </w:p>
    <w:p w14:paraId="490563C0" w14:textId="77777777" w:rsidR="00394471" w:rsidRPr="00FA0D37" w:rsidRDefault="00394471" w:rsidP="00FA0D37">
      <w:pPr>
        <w:pStyle w:val="PL"/>
      </w:pPr>
      <w:r w:rsidRPr="00FA0D37">
        <w:t xml:space="preserve">SIB4 ::=                            </w:t>
      </w:r>
      <w:r w:rsidRPr="00FA0D37">
        <w:rPr>
          <w:color w:val="993366"/>
        </w:rPr>
        <w:t>SEQUENCE</w:t>
      </w:r>
      <w:r w:rsidRPr="00FA0D37">
        <w:t xml:space="preserve"> {</w:t>
      </w:r>
    </w:p>
    <w:p w14:paraId="6ED0880D" w14:textId="77777777" w:rsidR="00394471" w:rsidRPr="00FA0D37" w:rsidRDefault="00394471" w:rsidP="00FA0D37">
      <w:pPr>
        <w:pStyle w:val="PL"/>
      </w:pPr>
      <w:r w:rsidRPr="00FA0D37">
        <w:t xml:space="preserve">    interFreqCarrierFreqList            InterFreqCarrierFreqList,</w:t>
      </w:r>
    </w:p>
    <w:p w14:paraId="5100499E"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31505A6" w14:textId="77777777" w:rsidR="00394471" w:rsidRPr="00FA0D37" w:rsidRDefault="00394471" w:rsidP="00FA0D37">
      <w:pPr>
        <w:pStyle w:val="PL"/>
      </w:pPr>
      <w:r w:rsidRPr="00FA0D37">
        <w:t xml:space="preserve">    ...,</w:t>
      </w:r>
    </w:p>
    <w:p w14:paraId="28865D37" w14:textId="77777777" w:rsidR="00394471" w:rsidRPr="00FA0D37" w:rsidRDefault="00394471" w:rsidP="00FA0D37">
      <w:pPr>
        <w:pStyle w:val="PL"/>
      </w:pPr>
      <w:r w:rsidRPr="00FA0D37">
        <w:t xml:space="preserve">    [[</w:t>
      </w:r>
    </w:p>
    <w:p w14:paraId="45B2CB64" w14:textId="77777777" w:rsidR="00394471" w:rsidRPr="00FA0D37" w:rsidRDefault="00394471" w:rsidP="00FA0D37">
      <w:pPr>
        <w:pStyle w:val="PL"/>
        <w:rPr>
          <w:color w:val="808080"/>
        </w:rPr>
      </w:pPr>
      <w:r w:rsidRPr="00FA0D37">
        <w:t xml:space="preserve">    interFreqCarrierFreqList-v1610      InterFreqCarrierFreqList-v1610              </w:t>
      </w:r>
      <w:r w:rsidRPr="00FA0D37">
        <w:rPr>
          <w:color w:val="993366"/>
        </w:rPr>
        <w:t>OPTIONAL</w:t>
      </w:r>
      <w:r w:rsidRPr="00FA0D37">
        <w:t xml:space="preserve">   </w:t>
      </w:r>
      <w:r w:rsidRPr="00FA0D37">
        <w:rPr>
          <w:color w:val="808080"/>
        </w:rPr>
        <w:t>-- Need R</w:t>
      </w:r>
    </w:p>
    <w:p w14:paraId="606A831D" w14:textId="2852958A" w:rsidR="002E44EF" w:rsidRPr="00FA0D37" w:rsidRDefault="00394471" w:rsidP="00FA0D37">
      <w:pPr>
        <w:pStyle w:val="PL"/>
      </w:pPr>
      <w:r w:rsidRPr="00FA0D37">
        <w:t xml:space="preserve">    ]]</w:t>
      </w:r>
      <w:r w:rsidR="002E44EF" w:rsidRPr="00FA0D37">
        <w:t>,</w:t>
      </w:r>
    </w:p>
    <w:p w14:paraId="675EF45C" w14:textId="1D793E9C" w:rsidR="002E44EF" w:rsidRPr="00FA0D37" w:rsidRDefault="002E44EF" w:rsidP="00FA0D37">
      <w:pPr>
        <w:pStyle w:val="PL"/>
      </w:pPr>
      <w:r w:rsidRPr="00FA0D37">
        <w:t xml:space="preserve">    [[</w:t>
      </w:r>
    </w:p>
    <w:p w14:paraId="7134D9B5" w14:textId="11BE5458" w:rsidR="002E44EF" w:rsidRPr="00FA0D37" w:rsidRDefault="002E44EF" w:rsidP="00FA0D37">
      <w:pPr>
        <w:pStyle w:val="PL"/>
        <w:rPr>
          <w:color w:val="808080"/>
        </w:rPr>
      </w:pPr>
      <w:r w:rsidRPr="00FA0D37">
        <w:t xml:space="preserve">    interFreqCarrierFreqList-v1700      InterFreqCarrierFreqList-v1700              </w:t>
      </w:r>
      <w:r w:rsidRPr="00FA0D37">
        <w:rPr>
          <w:color w:val="993366"/>
        </w:rPr>
        <w:t>OPTIONAL</w:t>
      </w:r>
      <w:r w:rsidRPr="00FA0D37">
        <w:t xml:space="preserve">   </w:t>
      </w:r>
      <w:r w:rsidRPr="00FA0D37">
        <w:rPr>
          <w:color w:val="808080"/>
        </w:rPr>
        <w:t>-- Need R</w:t>
      </w:r>
    </w:p>
    <w:p w14:paraId="29C88168" w14:textId="6DB61294" w:rsidR="001163BA" w:rsidRPr="00FA0D37" w:rsidRDefault="002E44EF" w:rsidP="00FA0D37">
      <w:pPr>
        <w:pStyle w:val="PL"/>
      </w:pPr>
      <w:r w:rsidRPr="00FA0D37">
        <w:t xml:space="preserve">    ]]</w:t>
      </w:r>
      <w:r w:rsidR="001163BA" w:rsidRPr="00FA0D37">
        <w:t>,</w:t>
      </w:r>
    </w:p>
    <w:p w14:paraId="0C194249" w14:textId="77777777" w:rsidR="001163BA" w:rsidRPr="00FA0D37" w:rsidRDefault="001163BA" w:rsidP="00FA0D37">
      <w:pPr>
        <w:pStyle w:val="PL"/>
      </w:pPr>
      <w:r w:rsidRPr="00FA0D37">
        <w:t xml:space="preserve">    [[</w:t>
      </w:r>
    </w:p>
    <w:p w14:paraId="40109348" w14:textId="31F0CE29" w:rsidR="001163BA" w:rsidRPr="00FA0D37" w:rsidRDefault="001163BA" w:rsidP="00FA0D37">
      <w:pPr>
        <w:pStyle w:val="PL"/>
        <w:rPr>
          <w:color w:val="808080"/>
        </w:rPr>
      </w:pPr>
      <w:r w:rsidRPr="00FA0D37">
        <w:t xml:space="preserve">    interFreqCarrierFreqList-v1720      InterFreqCarrierFreqList-v1720              </w:t>
      </w:r>
      <w:r w:rsidRPr="00FA0D37">
        <w:rPr>
          <w:color w:val="993366"/>
        </w:rPr>
        <w:t>OPTIONAL</w:t>
      </w:r>
      <w:r w:rsidRPr="00FA0D37">
        <w:t xml:space="preserve">   </w:t>
      </w:r>
      <w:r w:rsidRPr="00FA0D37">
        <w:rPr>
          <w:color w:val="808080"/>
        </w:rPr>
        <w:t>-- Need R</w:t>
      </w:r>
    </w:p>
    <w:p w14:paraId="4CD67BF2" w14:textId="29D6987E" w:rsidR="00775C81" w:rsidRPr="00FA0D37" w:rsidRDefault="001163BA" w:rsidP="00FA0D37">
      <w:pPr>
        <w:pStyle w:val="PL"/>
      </w:pPr>
      <w:r w:rsidRPr="00FA0D37">
        <w:t xml:space="preserve">    ]]</w:t>
      </w:r>
      <w:r w:rsidR="00775C81" w:rsidRPr="00FA0D37">
        <w:t>,</w:t>
      </w:r>
    </w:p>
    <w:p w14:paraId="5B5DC782" w14:textId="77777777" w:rsidR="00775C81" w:rsidRPr="00FA0D37" w:rsidRDefault="00775C81" w:rsidP="00FA0D37">
      <w:pPr>
        <w:pStyle w:val="PL"/>
      </w:pPr>
      <w:r w:rsidRPr="00FA0D37">
        <w:t xml:space="preserve">    [[</w:t>
      </w:r>
    </w:p>
    <w:p w14:paraId="37BBA2D7" w14:textId="45F4ACEB" w:rsidR="00775C81" w:rsidRPr="00FA0D37" w:rsidRDefault="00775C81" w:rsidP="00FA0D37">
      <w:pPr>
        <w:pStyle w:val="PL"/>
        <w:rPr>
          <w:color w:val="808080"/>
        </w:rPr>
      </w:pPr>
      <w:r w:rsidRPr="00FA0D37">
        <w:t xml:space="preserve">    interFreqCarrierFreqList-v1730      InterFreqCarrierFreqList-v1730              </w:t>
      </w:r>
      <w:r w:rsidRPr="00FA0D37">
        <w:rPr>
          <w:color w:val="993366"/>
        </w:rPr>
        <w:t>OPTIONAL</w:t>
      </w:r>
      <w:r w:rsidRPr="00FA0D37">
        <w:t xml:space="preserve">   </w:t>
      </w:r>
      <w:r w:rsidRPr="00FA0D37">
        <w:rPr>
          <w:color w:val="808080"/>
        </w:rPr>
        <w:t>-- Need R</w:t>
      </w:r>
    </w:p>
    <w:p w14:paraId="31524D11" w14:textId="3E078226" w:rsidR="005431A1" w:rsidRPr="00FA0D37" w:rsidRDefault="00775C81" w:rsidP="00FA0D37">
      <w:pPr>
        <w:pStyle w:val="PL"/>
      </w:pPr>
      <w:r w:rsidRPr="00FA0D37">
        <w:t xml:space="preserve">    ]]</w:t>
      </w:r>
      <w:r w:rsidR="005431A1" w:rsidRPr="00FA0D37">
        <w:t>,</w:t>
      </w:r>
    </w:p>
    <w:p w14:paraId="3D634923" w14:textId="73032F33" w:rsidR="005431A1" w:rsidRPr="00FA0D37" w:rsidRDefault="005431A1" w:rsidP="00FA0D37">
      <w:pPr>
        <w:pStyle w:val="PL"/>
      </w:pPr>
      <w:r w:rsidRPr="00FA0D37">
        <w:t xml:space="preserve">    [[</w:t>
      </w:r>
    </w:p>
    <w:p w14:paraId="24F993E4" w14:textId="6E6732A8" w:rsidR="005431A1" w:rsidRPr="00FA0D37" w:rsidRDefault="005431A1" w:rsidP="00FA0D37">
      <w:pPr>
        <w:pStyle w:val="PL"/>
        <w:rPr>
          <w:color w:val="808080"/>
        </w:rPr>
      </w:pPr>
      <w:r w:rsidRPr="00FA0D37">
        <w:t xml:space="preserve">    interFreqCarrierFreqList-v1760      InterFreqCarrierFreqList-v1760              </w:t>
      </w:r>
      <w:r w:rsidRPr="00FA0D37">
        <w:rPr>
          <w:color w:val="993366"/>
        </w:rPr>
        <w:t>OPTIONAL</w:t>
      </w:r>
      <w:r w:rsidRPr="00FA0D37">
        <w:t xml:space="preserve">   </w:t>
      </w:r>
      <w:r w:rsidRPr="00FA0D37">
        <w:rPr>
          <w:color w:val="808080"/>
        </w:rPr>
        <w:t>-- Need R</w:t>
      </w:r>
    </w:p>
    <w:p w14:paraId="77318EF2" w14:textId="15AB52F2" w:rsidR="00394471" w:rsidRPr="00FA0D37" w:rsidRDefault="005431A1" w:rsidP="00FA0D37">
      <w:pPr>
        <w:pStyle w:val="PL"/>
      </w:pPr>
      <w:r w:rsidRPr="00FA0D37">
        <w:t xml:space="preserve">    ]]</w:t>
      </w:r>
    </w:p>
    <w:p w14:paraId="4345CF07" w14:textId="77777777" w:rsidR="00394471" w:rsidRPr="00FA0D37" w:rsidRDefault="00394471" w:rsidP="00FA0D37">
      <w:pPr>
        <w:pStyle w:val="PL"/>
      </w:pPr>
      <w:r w:rsidRPr="00FA0D37">
        <w:t>}</w:t>
      </w:r>
    </w:p>
    <w:p w14:paraId="682415C9" w14:textId="77777777" w:rsidR="00394471" w:rsidRPr="00FA0D37" w:rsidRDefault="00394471" w:rsidP="00FA0D37">
      <w:pPr>
        <w:pStyle w:val="PL"/>
      </w:pPr>
    </w:p>
    <w:p w14:paraId="4B649C7B" w14:textId="77777777" w:rsidR="00394471" w:rsidRPr="00FA0D37" w:rsidRDefault="00394471" w:rsidP="00FA0D37">
      <w:pPr>
        <w:pStyle w:val="PL"/>
      </w:pPr>
      <w:r w:rsidRPr="00FA0D37">
        <w:t xml:space="preserve">InterFreqCarrierFreqList ::=        </w:t>
      </w:r>
      <w:r w:rsidRPr="00FA0D37">
        <w:rPr>
          <w:color w:val="993366"/>
        </w:rPr>
        <w:t>SEQUENCE</w:t>
      </w:r>
      <w:r w:rsidRPr="00FA0D37">
        <w:t xml:space="preserve"> (</w:t>
      </w:r>
      <w:r w:rsidRPr="00FA0D37">
        <w:rPr>
          <w:color w:val="993366"/>
        </w:rPr>
        <w:t>SIZE</w:t>
      </w:r>
      <w:r w:rsidRPr="00FA0D37">
        <w:t xml:space="preserve"> (1..maxFreq))</w:t>
      </w:r>
      <w:r w:rsidRPr="00FA0D37">
        <w:rPr>
          <w:color w:val="993366"/>
        </w:rPr>
        <w:t xml:space="preserve"> OF</w:t>
      </w:r>
      <w:r w:rsidRPr="00FA0D37">
        <w:t xml:space="preserve"> InterFreqCarrierFreqInfo</w:t>
      </w:r>
    </w:p>
    <w:p w14:paraId="6DD3FA11" w14:textId="77777777" w:rsidR="00394471" w:rsidRPr="00FA0D37" w:rsidRDefault="00394471" w:rsidP="00FA0D37">
      <w:pPr>
        <w:pStyle w:val="PL"/>
      </w:pPr>
    </w:p>
    <w:p w14:paraId="782D40C7" w14:textId="77777777" w:rsidR="00394471" w:rsidRPr="00FA0D37" w:rsidRDefault="00394471" w:rsidP="00FA0D37">
      <w:pPr>
        <w:pStyle w:val="PL"/>
      </w:pPr>
      <w:r w:rsidRPr="00FA0D37">
        <w:t xml:space="preserve">InterFreqCarrierFreqList-v1610 ::=  </w:t>
      </w:r>
      <w:r w:rsidRPr="00FA0D37">
        <w:rPr>
          <w:color w:val="993366"/>
        </w:rPr>
        <w:t>SEQUENCE</w:t>
      </w:r>
      <w:r w:rsidRPr="00FA0D37">
        <w:t xml:space="preserve"> (</w:t>
      </w:r>
      <w:r w:rsidRPr="00FA0D37">
        <w:rPr>
          <w:color w:val="993366"/>
        </w:rPr>
        <w:t>SIZE</w:t>
      </w:r>
      <w:r w:rsidRPr="00FA0D37">
        <w:t xml:space="preserve"> (1..maxFreq))</w:t>
      </w:r>
      <w:r w:rsidRPr="00FA0D37">
        <w:rPr>
          <w:color w:val="993366"/>
        </w:rPr>
        <w:t xml:space="preserve"> OF</w:t>
      </w:r>
      <w:r w:rsidRPr="00FA0D37">
        <w:t xml:space="preserve"> InterFreqCarrierFreqInfo-v1610</w:t>
      </w:r>
    </w:p>
    <w:p w14:paraId="5E77F256" w14:textId="77777777" w:rsidR="002E44EF" w:rsidRPr="00FA0D37" w:rsidRDefault="002E44EF" w:rsidP="00FA0D37">
      <w:pPr>
        <w:pStyle w:val="PL"/>
      </w:pPr>
    </w:p>
    <w:p w14:paraId="05C9F7ED" w14:textId="77777777" w:rsidR="001163BA" w:rsidRPr="00FA0D37" w:rsidRDefault="002E44EF" w:rsidP="00FA0D37">
      <w:pPr>
        <w:pStyle w:val="PL"/>
      </w:pPr>
      <w:r w:rsidRPr="00FA0D37">
        <w:t xml:space="preserve">InterFreqCarrierFreqList-v1700 ::=  </w:t>
      </w:r>
      <w:r w:rsidRPr="00FA0D37">
        <w:rPr>
          <w:color w:val="993366"/>
        </w:rPr>
        <w:t>SEQUENCE</w:t>
      </w:r>
      <w:r w:rsidRPr="00FA0D37">
        <w:t xml:space="preserve"> (</w:t>
      </w:r>
      <w:r w:rsidRPr="00FA0D37">
        <w:rPr>
          <w:color w:val="993366"/>
        </w:rPr>
        <w:t>SIZE</w:t>
      </w:r>
      <w:r w:rsidRPr="00FA0D37">
        <w:t xml:space="preserve"> (1..maxFreq))</w:t>
      </w:r>
      <w:r w:rsidRPr="00FA0D37">
        <w:rPr>
          <w:color w:val="993366"/>
        </w:rPr>
        <w:t xml:space="preserve"> OF</w:t>
      </w:r>
      <w:r w:rsidRPr="00FA0D37">
        <w:t xml:space="preserve"> InterFreqCarrierFreqInfo-v1700</w:t>
      </w:r>
    </w:p>
    <w:p w14:paraId="3038E264" w14:textId="77777777" w:rsidR="001163BA" w:rsidRPr="00FA0D37" w:rsidRDefault="001163BA" w:rsidP="00FA0D37">
      <w:pPr>
        <w:pStyle w:val="PL"/>
      </w:pPr>
    </w:p>
    <w:p w14:paraId="7B1B13FE" w14:textId="5BB855CE" w:rsidR="00394471" w:rsidRPr="00FA0D37" w:rsidRDefault="001163BA" w:rsidP="00FA0D37">
      <w:pPr>
        <w:pStyle w:val="PL"/>
      </w:pPr>
      <w:r w:rsidRPr="00FA0D37">
        <w:t xml:space="preserve">InterFreqCarrierFreqList-v1720 ::=  </w:t>
      </w:r>
      <w:r w:rsidRPr="00FA0D37">
        <w:rPr>
          <w:color w:val="993366"/>
        </w:rPr>
        <w:t>SEQUENCE</w:t>
      </w:r>
      <w:r w:rsidRPr="00FA0D37">
        <w:t xml:space="preserve"> (</w:t>
      </w:r>
      <w:r w:rsidRPr="00FA0D37">
        <w:rPr>
          <w:color w:val="993366"/>
        </w:rPr>
        <w:t>SIZE</w:t>
      </w:r>
      <w:r w:rsidRPr="00FA0D37">
        <w:t xml:space="preserve"> (1..maxFreq))</w:t>
      </w:r>
      <w:r w:rsidRPr="00FA0D37">
        <w:rPr>
          <w:color w:val="993366"/>
        </w:rPr>
        <w:t xml:space="preserve"> OF</w:t>
      </w:r>
      <w:r w:rsidRPr="00FA0D37">
        <w:t xml:space="preserve"> InterFreqCarrierFreqInfo-v1720</w:t>
      </w:r>
    </w:p>
    <w:p w14:paraId="0FB1C113" w14:textId="77777777" w:rsidR="00775C81" w:rsidRPr="00FA0D37" w:rsidRDefault="00775C81" w:rsidP="00FA0D37">
      <w:pPr>
        <w:pStyle w:val="PL"/>
      </w:pPr>
    </w:p>
    <w:p w14:paraId="77EEB624" w14:textId="288FB7C3" w:rsidR="002E44EF" w:rsidRPr="00FA0D37" w:rsidRDefault="00775C81" w:rsidP="00FA0D37">
      <w:pPr>
        <w:pStyle w:val="PL"/>
      </w:pPr>
      <w:r w:rsidRPr="00FA0D37">
        <w:t xml:space="preserve">InterFreqCarrierFreqList-v1730 ::=  </w:t>
      </w:r>
      <w:r w:rsidRPr="00FA0D37">
        <w:rPr>
          <w:color w:val="993366"/>
        </w:rPr>
        <w:t>SEQUENCE</w:t>
      </w:r>
      <w:r w:rsidRPr="00FA0D37">
        <w:t xml:space="preserve"> (</w:t>
      </w:r>
      <w:r w:rsidRPr="00FA0D37">
        <w:rPr>
          <w:color w:val="993366"/>
        </w:rPr>
        <w:t>SIZE</w:t>
      </w:r>
      <w:r w:rsidRPr="00FA0D37">
        <w:t xml:space="preserve"> (1..maxFreq))</w:t>
      </w:r>
      <w:r w:rsidRPr="00FA0D37">
        <w:rPr>
          <w:color w:val="993366"/>
        </w:rPr>
        <w:t xml:space="preserve"> OF</w:t>
      </w:r>
      <w:r w:rsidRPr="00FA0D37">
        <w:t xml:space="preserve"> InterFreqCarrierFreqInfo-v1730</w:t>
      </w:r>
    </w:p>
    <w:p w14:paraId="4544D91B" w14:textId="77777777" w:rsidR="005431A1" w:rsidRPr="00FA0D37" w:rsidRDefault="005431A1" w:rsidP="00FA0D37">
      <w:pPr>
        <w:pStyle w:val="PL"/>
      </w:pPr>
    </w:p>
    <w:p w14:paraId="370FDDCE" w14:textId="77D0B0E3" w:rsidR="00775C81" w:rsidRPr="00FA0D37" w:rsidRDefault="005431A1" w:rsidP="00FA0D37">
      <w:pPr>
        <w:pStyle w:val="PL"/>
      </w:pPr>
      <w:r w:rsidRPr="00FA0D37">
        <w:t xml:space="preserve">InterFreqCarrierFreqList-v1760 ::=  </w:t>
      </w:r>
      <w:r w:rsidRPr="00FA0D37">
        <w:rPr>
          <w:color w:val="993366"/>
        </w:rPr>
        <w:t>SEQUENCE</w:t>
      </w:r>
      <w:r w:rsidRPr="00FA0D37">
        <w:t xml:space="preserve"> (</w:t>
      </w:r>
      <w:r w:rsidRPr="00FA0D37">
        <w:rPr>
          <w:color w:val="993366"/>
        </w:rPr>
        <w:t>SIZE</w:t>
      </w:r>
      <w:r w:rsidRPr="00FA0D37">
        <w:t xml:space="preserve"> (1..maxFreq))</w:t>
      </w:r>
      <w:r w:rsidRPr="00FA0D37">
        <w:rPr>
          <w:color w:val="993366"/>
        </w:rPr>
        <w:t xml:space="preserve"> OF</w:t>
      </w:r>
      <w:r w:rsidRPr="00FA0D37">
        <w:t xml:space="preserve"> InterFreqCarrierFreqInfo-v1760</w:t>
      </w:r>
    </w:p>
    <w:p w14:paraId="2857866B" w14:textId="77777777" w:rsidR="005431A1" w:rsidRPr="00FA0D37" w:rsidRDefault="005431A1" w:rsidP="00FA0D37">
      <w:pPr>
        <w:pStyle w:val="PL"/>
      </w:pPr>
    </w:p>
    <w:p w14:paraId="58DAE14C" w14:textId="77777777" w:rsidR="00394471" w:rsidRPr="00FA0D37" w:rsidRDefault="00394471" w:rsidP="00FA0D37">
      <w:pPr>
        <w:pStyle w:val="PL"/>
      </w:pPr>
      <w:r w:rsidRPr="00FA0D37">
        <w:t xml:space="preserve">InterFreqCarrierFreqInfo ::=        </w:t>
      </w:r>
      <w:r w:rsidRPr="00FA0D37">
        <w:rPr>
          <w:color w:val="993366"/>
        </w:rPr>
        <w:t>SEQUENCE</w:t>
      </w:r>
      <w:r w:rsidRPr="00FA0D37">
        <w:t xml:space="preserve"> {</w:t>
      </w:r>
    </w:p>
    <w:p w14:paraId="6001FB59" w14:textId="77777777" w:rsidR="00394471" w:rsidRPr="00FA0D37" w:rsidRDefault="00394471" w:rsidP="00FA0D37">
      <w:pPr>
        <w:pStyle w:val="PL"/>
      </w:pPr>
      <w:r w:rsidRPr="00FA0D37">
        <w:t xml:space="preserve">    dl-CarrierFreq                      ARFCN-ValueNR,</w:t>
      </w:r>
    </w:p>
    <w:p w14:paraId="47145DE6" w14:textId="77777777" w:rsidR="00394471" w:rsidRPr="00FA0D37" w:rsidRDefault="00394471" w:rsidP="00FA0D37">
      <w:pPr>
        <w:pStyle w:val="PL"/>
        <w:rPr>
          <w:color w:val="808080"/>
        </w:rPr>
      </w:pPr>
      <w:r w:rsidRPr="00FA0D37">
        <w:t xml:space="preserve">    frequencyBandList                   MultiFrequencyBandListNR-SIB                                </w:t>
      </w:r>
      <w:r w:rsidRPr="00FA0D37">
        <w:rPr>
          <w:color w:val="993366"/>
        </w:rPr>
        <w:t>OPTIONAL</w:t>
      </w:r>
      <w:r w:rsidRPr="00FA0D37">
        <w:t xml:space="preserve">,   </w:t>
      </w:r>
      <w:r w:rsidRPr="00FA0D37">
        <w:rPr>
          <w:color w:val="808080"/>
        </w:rPr>
        <w:t>-- Cond Mandatory</w:t>
      </w:r>
    </w:p>
    <w:p w14:paraId="73630EDA" w14:textId="77777777" w:rsidR="00394471" w:rsidRPr="00FA0D37" w:rsidRDefault="00394471" w:rsidP="00FA0D37">
      <w:pPr>
        <w:pStyle w:val="PL"/>
        <w:rPr>
          <w:color w:val="808080"/>
        </w:rPr>
      </w:pPr>
      <w:r w:rsidRPr="00FA0D37">
        <w:t xml:space="preserve">    frequencyBandListSUL                MultiFrequencyBandListNR-SIB                                </w:t>
      </w:r>
      <w:r w:rsidRPr="00FA0D37">
        <w:rPr>
          <w:color w:val="993366"/>
        </w:rPr>
        <w:t>OPTIONAL</w:t>
      </w:r>
      <w:r w:rsidRPr="00FA0D37">
        <w:t xml:space="preserve">,   </w:t>
      </w:r>
      <w:r w:rsidRPr="00FA0D37">
        <w:rPr>
          <w:color w:val="808080"/>
        </w:rPr>
        <w:t>-- Need R</w:t>
      </w:r>
    </w:p>
    <w:p w14:paraId="3A3DBA48" w14:textId="77777777" w:rsidR="00394471" w:rsidRPr="00FA0D37" w:rsidRDefault="00394471" w:rsidP="00FA0D37">
      <w:pPr>
        <w:pStyle w:val="PL"/>
        <w:rPr>
          <w:color w:val="808080"/>
        </w:rPr>
      </w:pPr>
      <w:r w:rsidRPr="00FA0D37">
        <w:t xml:space="preserve">    nrofSS-BlocksToAverage              </w:t>
      </w:r>
      <w:r w:rsidRPr="00FA0D37">
        <w:rPr>
          <w:color w:val="993366"/>
        </w:rPr>
        <w:t>INTEGER</w:t>
      </w:r>
      <w:r w:rsidRPr="00FA0D37">
        <w:t xml:space="preserve"> (2..maxNrofSS-BlocksToAverage)                      </w:t>
      </w:r>
      <w:r w:rsidRPr="00FA0D37">
        <w:rPr>
          <w:color w:val="993366"/>
        </w:rPr>
        <w:t>OPTIONAL</w:t>
      </w:r>
      <w:r w:rsidRPr="00FA0D37">
        <w:t xml:space="preserve">,   </w:t>
      </w:r>
      <w:r w:rsidRPr="00FA0D37">
        <w:rPr>
          <w:color w:val="808080"/>
        </w:rPr>
        <w:t>-- Need S</w:t>
      </w:r>
    </w:p>
    <w:p w14:paraId="6D202403" w14:textId="77777777" w:rsidR="00394471" w:rsidRPr="00FA0D37" w:rsidRDefault="00394471" w:rsidP="00FA0D37">
      <w:pPr>
        <w:pStyle w:val="PL"/>
        <w:rPr>
          <w:color w:val="808080"/>
        </w:rPr>
      </w:pPr>
      <w:r w:rsidRPr="00FA0D37">
        <w:t xml:space="preserve">    absThreshSS-BlocksConsolidation     ThresholdNR                                                 </w:t>
      </w:r>
      <w:r w:rsidRPr="00FA0D37">
        <w:rPr>
          <w:color w:val="993366"/>
        </w:rPr>
        <w:t>OPTIONAL</w:t>
      </w:r>
      <w:r w:rsidRPr="00FA0D37">
        <w:t xml:space="preserve">,   </w:t>
      </w:r>
      <w:r w:rsidRPr="00FA0D37">
        <w:rPr>
          <w:color w:val="808080"/>
        </w:rPr>
        <w:t>-- Need S</w:t>
      </w:r>
    </w:p>
    <w:p w14:paraId="0512685A" w14:textId="77777777" w:rsidR="00394471" w:rsidRPr="00FA0D37" w:rsidRDefault="00394471" w:rsidP="00FA0D37">
      <w:pPr>
        <w:pStyle w:val="PL"/>
        <w:rPr>
          <w:color w:val="808080"/>
        </w:rPr>
      </w:pPr>
      <w:r w:rsidRPr="00FA0D37">
        <w:t xml:space="preserve">    smtc                                SSB-MTC                                                     </w:t>
      </w:r>
      <w:r w:rsidRPr="00FA0D37">
        <w:rPr>
          <w:color w:val="993366"/>
        </w:rPr>
        <w:t>OPTIONAL</w:t>
      </w:r>
      <w:r w:rsidRPr="00FA0D37">
        <w:t xml:space="preserve">,   </w:t>
      </w:r>
      <w:r w:rsidRPr="00FA0D37">
        <w:rPr>
          <w:color w:val="808080"/>
        </w:rPr>
        <w:t>-- Need S</w:t>
      </w:r>
    </w:p>
    <w:p w14:paraId="2E39EF7B" w14:textId="77777777" w:rsidR="00394471" w:rsidRPr="00FA0D37" w:rsidRDefault="00394471" w:rsidP="00FA0D37">
      <w:pPr>
        <w:pStyle w:val="PL"/>
      </w:pPr>
      <w:r w:rsidRPr="00FA0D37">
        <w:t xml:space="preserve">    ssbSubcarrierSpacing                SubcarrierSpacing,</w:t>
      </w:r>
    </w:p>
    <w:p w14:paraId="7FA510A8" w14:textId="77777777" w:rsidR="00394471" w:rsidRPr="00FA0D37" w:rsidRDefault="00394471" w:rsidP="00FA0D37">
      <w:pPr>
        <w:pStyle w:val="PL"/>
        <w:rPr>
          <w:color w:val="808080"/>
        </w:rPr>
      </w:pPr>
      <w:r w:rsidRPr="00FA0D37">
        <w:t xml:space="preserve">    ssb-ToMeasure                       SSB-ToMeasure                                               </w:t>
      </w:r>
      <w:r w:rsidRPr="00FA0D37">
        <w:rPr>
          <w:color w:val="993366"/>
        </w:rPr>
        <w:t>OPTIONAL</w:t>
      </w:r>
      <w:r w:rsidRPr="00FA0D37">
        <w:t xml:space="preserve">,   </w:t>
      </w:r>
      <w:r w:rsidRPr="00FA0D37">
        <w:rPr>
          <w:color w:val="808080"/>
        </w:rPr>
        <w:t>-- Need S</w:t>
      </w:r>
    </w:p>
    <w:p w14:paraId="7A7CE81A" w14:textId="77777777" w:rsidR="00394471" w:rsidRPr="00FA0D37" w:rsidRDefault="00394471" w:rsidP="00FA0D37">
      <w:pPr>
        <w:pStyle w:val="PL"/>
      </w:pPr>
      <w:r w:rsidRPr="00FA0D37">
        <w:t xml:space="preserve">    deriveSSB-IndexFromCell             </w:t>
      </w:r>
      <w:r w:rsidRPr="00FA0D37">
        <w:rPr>
          <w:color w:val="993366"/>
        </w:rPr>
        <w:t>BOOLEAN</w:t>
      </w:r>
      <w:r w:rsidRPr="00FA0D37">
        <w:t>,</w:t>
      </w:r>
    </w:p>
    <w:p w14:paraId="24E11D04" w14:textId="51E71055" w:rsidR="00394471" w:rsidRPr="00FA0D37" w:rsidRDefault="00394471" w:rsidP="00FA0D37">
      <w:pPr>
        <w:pStyle w:val="PL"/>
        <w:rPr>
          <w:color w:val="808080"/>
        </w:rPr>
      </w:pPr>
      <w:r w:rsidRPr="00FA0D37">
        <w:t xml:space="preserve">    ss-RSSI-Measurement                 SS-RSSI-Measurement                                         </w:t>
      </w:r>
      <w:r w:rsidRPr="00FA0D37">
        <w:rPr>
          <w:color w:val="993366"/>
        </w:rPr>
        <w:t>OPTIONAL</w:t>
      </w:r>
      <w:r w:rsidRPr="00FA0D37">
        <w:t>,</w:t>
      </w:r>
      <w:r w:rsidR="00847EEE" w:rsidRPr="00FA0D37">
        <w:t xml:space="preserve">   </w:t>
      </w:r>
      <w:r w:rsidR="00847EEE" w:rsidRPr="00FA0D37">
        <w:rPr>
          <w:color w:val="808080"/>
        </w:rPr>
        <w:t>-- Need R</w:t>
      </w:r>
    </w:p>
    <w:p w14:paraId="6B22E7C2" w14:textId="77777777" w:rsidR="00394471" w:rsidRPr="00FA0D37" w:rsidRDefault="00394471" w:rsidP="00FA0D37">
      <w:pPr>
        <w:pStyle w:val="PL"/>
      </w:pPr>
      <w:r w:rsidRPr="00FA0D37">
        <w:t xml:space="preserve">    q-RxLevMin                          Q-RxLevMin,</w:t>
      </w:r>
    </w:p>
    <w:p w14:paraId="3521FE5B" w14:textId="77777777" w:rsidR="00394471" w:rsidRPr="00FA0D37" w:rsidRDefault="00394471" w:rsidP="00FA0D37">
      <w:pPr>
        <w:pStyle w:val="PL"/>
        <w:rPr>
          <w:color w:val="808080"/>
        </w:rPr>
      </w:pPr>
      <w:r w:rsidRPr="00FA0D37">
        <w:t xml:space="preserve">    q-RxLevMinSUL                       Q-RxLevMin                                                  </w:t>
      </w:r>
      <w:r w:rsidRPr="00FA0D37">
        <w:rPr>
          <w:color w:val="993366"/>
        </w:rPr>
        <w:t>OPTIONAL</w:t>
      </w:r>
      <w:r w:rsidRPr="00FA0D37">
        <w:t xml:space="preserve">,   </w:t>
      </w:r>
      <w:r w:rsidRPr="00FA0D37">
        <w:rPr>
          <w:color w:val="808080"/>
        </w:rPr>
        <w:t>-- Need R</w:t>
      </w:r>
    </w:p>
    <w:p w14:paraId="7427ACB7" w14:textId="77777777" w:rsidR="00394471" w:rsidRPr="00FA0D37" w:rsidRDefault="00394471" w:rsidP="00FA0D37">
      <w:pPr>
        <w:pStyle w:val="PL"/>
        <w:rPr>
          <w:color w:val="808080"/>
        </w:rPr>
      </w:pPr>
      <w:r w:rsidRPr="00FA0D37">
        <w:lastRenderedPageBreak/>
        <w:t xml:space="preserve">    q-QualMin                           Q-QualMin                                                   </w:t>
      </w:r>
      <w:r w:rsidRPr="00FA0D37">
        <w:rPr>
          <w:color w:val="993366"/>
        </w:rPr>
        <w:t>OPTIONAL</w:t>
      </w:r>
      <w:r w:rsidRPr="00FA0D37">
        <w:t xml:space="preserve">,   </w:t>
      </w:r>
      <w:r w:rsidRPr="00FA0D37">
        <w:rPr>
          <w:color w:val="808080"/>
        </w:rPr>
        <w:t>-- Need S</w:t>
      </w:r>
    </w:p>
    <w:p w14:paraId="3119E982" w14:textId="77777777" w:rsidR="00394471" w:rsidRPr="00FA0D37" w:rsidRDefault="00394471" w:rsidP="00FA0D37">
      <w:pPr>
        <w:pStyle w:val="PL"/>
        <w:rPr>
          <w:color w:val="808080"/>
        </w:rPr>
      </w:pPr>
      <w:r w:rsidRPr="00FA0D37">
        <w:t xml:space="preserve">    p-Max                               P-Max                                                       </w:t>
      </w:r>
      <w:r w:rsidRPr="00FA0D37">
        <w:rPr>
          <w:color w:val="993366"/>
        </w:rPr>
        <w:t>OPTIONAL</w:t>
      </w:r>
      <w:r w:rsidRPr="00FA0D37">
        <w:t xml:space="preserve">,   </w:t>
      </w:r>
      <w:r w:rsidRPr="00FA0D37">
        <w:rPr>
          <w:color w:val="808080"/>
        </w:rPr>
        <w:t>-- Need S</w:t>
      </w:r>
    </w:p>
    <w:p w14:paraId="4A1FF1F9" w14:textId="77777777" w:rsidR="00394471" w:rsidRPr="00FA0D37" w:rsidRDefault="00394471" w:rsidP="00FA0D37">
      <w:pPr>
        <w:pStyle w:val="PL"/>
      </w:pPr>
      <w:r w:rsidRPr="00FA0D37">
        <w:t xml:space="preserve">    t-ReselectionNR                     T-Reselection,</w:t>
      </w:r>
    </w:p>
    <w:p w14:paraId="4692BDD1" w14:textId="77777777" w:rsidR="00394471" w:rsidRPr="00FA0D37" w:rsidRDefault="00394471" w:rsidP="00FA0D37">
      <w:pPr>
        <w:pStyle w:val="PL"/>
        <w:rPr>
          <w:color w:val="808080"/>
        </w:rPr>
      </w:pPr>
      <w:r w:rsidRPr="00FA0D37">
        <w:t xml:space="preserve">    t-ReselectionNR-SF                  SpeedStateScaleFactors                                      </w:t>
      </w:r>
      <w:r w:rsidRPr="00FA0D37">
        <w:rPr>
          <w:color w:val="993366"/>
        </w:rPr>
        <w:t>OPTIONAL</w:t>
      </w:r>
      <w:r w:rsidRPr="00FA0D37">
        <w:t xml:space="preserve">,   </w:t>
      </w:r>
      <w:r w:rsidRPr="00FA0D37">
        <w:rPr>
          <w:color w:val="808080"/>
        </w:rPr>
        <w:t>-- Need S</w:t>
      </w:r>
    </w:p>
    <w:p w14:paraId="0688C509" w14:textId="77777777" w:rsidR="00394471" w:rsidRPr="00FA0D37" w:rsidRDefault="00394471" w:rsidP="00FA0D37">
      <w:pPr>
        <w:pStyle w:val="PL"/>
      </w:pPr>
      <w:r w:rsidRPr="00FA0D37">
        <w:t xml:space="preserve">    threshX-HighP                       ReselectionThreshold,</w:t>
      </w:r>
    </w:p>
    <w:p w14:paraId="47FB9009" w14:textId="77777777" w:rsidR="00394471" w:rsidRPr="00FA0D37" w:rsidRDefault="00394471" w:rsidP="00FA0D37">
      <w:pPr>
        <w:pStyle w:val="PL"/>
      </w:pPr>
      <w:r w:rsidRPr="00FA0D37">
        <w:t xml:space="preserve">    threshX-LowP                        ReselectionThreshold,</w:t>
      </w:r>
    </w:p>
    <w:p w14:paraId="18D171BA" w14:textId="77777777" w:rsidR="00394471" w:rsidRPr="00FA0D37" w:rsidRDefault="00394471" w:rsidP="00FA0D37">
      <w:pPr>
        <w:pStyle w:val="PL"/>
      </w:pPr>
      <w:r w:rsidRPr="00FA0D37">
        <w:t xml:space="preserve">    threshX-Q                           </w:t>
      </w:r>
      <w:r w:rsidRPr="00FA0D37">
        <w:rPr>
          <w:color w:val="993366"/>
        </w:rPr>
        <w:t>SEQUENCE</w:t>
      </w:r>
      <w:r w:rsidRPr="00FA0D37">
        <w:t xml:space="preserve"> {</w:t>
      </w:r>
    </w:p>
    <w:p w14:paraId="3604B8D9" w14:textId="77777777" w:rsidR="00394471" w:rsidRPr="00FA0D37" w:rsidRDefault="00394471" w:rsidP="00FA0D37">
      <w:pPr>
        <w:pStyle w:val="PL"/>
      </w:pPr>
      <w:r w:rsidRPr="00FA0D37">
        <w:t xml:space="preserve">        threshX-HighQ                       ReselectionThresholdQ,</w:t>
      </w:r>
    </w:p>
    <w:p w14:paraId="6E343339" w14:textId="77777777" w:rsidR="00394471" w:rsidRPr="00FA0D37" w:rsidRDefault="00394471" w:rsidP="00FA0D37">
      <w:pPr>
        <w:pStyle w:val="PL"/>
      </w:pPr>
      <w:r w:rsidRPr="00FA0D37">
        <w:t xml:space="preserve">        threshX-LowQ                        ReselectionThresholdQ</w:t>
      </w:r>
    </w:p>
    <w:p w14:paraId="639DFC1A"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RSRQ</w:t>
      </w:r>
    </w:p>
    <w:p w14:paraId="3EDD6EF3" w14:textId="77777777" w:rsidR="00394471" w:rsidRPr="00FA0D37" w:rsidRDefault="00394471" w:rsidP="00FA0D37">
      <w:pPr>
        <w:pStyle w:val="PL"/>
        <w:rPr>
          <w:color w:val="808080"/>
        </w:rPr>
      </w:pPr>
      <w:r w:rsidRPr="00FA0D37">
        <w:t xml:space="preserve">    cellReselectionPriority             CellReselectionPriority                                     </w:t>
      </w:r>
      <w:r w:rsidRPr="00FA0D37">
        <w:rPr>
          <w:color w:val="993366"/>
        </w:rPr>
        <w:t>OPTIONAL</w:t>
      </w:r>
      <w:r w:rsidRPr="00FA0D37">
        <w:t xml:space="preserve">,   </w:t>
      </w:r>
      <w:r w:rsidRPr="00FA0D37">
        <w:rPr>
          <w:color w:val="808080"/>
        </w:rPr>
        <w:t>-- Need R</w:t>
      </w:r>
    </w:p>
    <w:p w14:paraId="4FF643A2" w14:textId="77777777" w:rsidR="00394471" w:rsidRPr="00FA0D37" w:rsidRDefault="00394471" w:rsidP="00FA0D37">
      <w:pPr>
        <w:pStyle w:val="PL"/>
        <w:rPr>
          <w:color w:val="808080"/>
        </w:rPr>
      </w:pPr>
      <w:r w:rsidRPr="00FA0D37">
        <w:t xml:space="preserve">    cellReselectionSubPriority          CellReselectionSubPriority                                  </w:t>
      </w:r>
      <w:r w:rsidRPr="00FA0D37">
        <w:rPr>
          <w:color w:val="993366"/>
        </w:rPr>
        <w:t>OPTIONAL</w:t>
      </w:r>
      <w:r w:rsidRPr="00FA0D37">
        <w:t xml:space="preserve">,   </w:t>
      </w:r>
      <w:r w:rsidRPr="00FA0D37">
        <w:rPr>
          <w:color w:val="808080"/>
        </w:rPr>
        <w:t>-- Need R</w:t>
      </w:r>
    </w:p>
    <w:p w14:paraId="358D7226" w14:textId="77777777" w:rsidR="00394471" w:rsidRPr="00FA0D37" w:rsidRDefault="00394471" w:rsidP="00FA0D37">
      <w:pPr>
        <w:pStyle w:val="PL"/>
      </w:pPr>
      <w:r w:rsidRPr="00FA0D37">
        <w:t xml:space="preserve">    q-OffsetFreq                        Q-OffsetRange                                               DEFAULT dB0,</w:t>
      </w:r>
    </w:p>
    <w:p w14:paraId="0E60DC8C" w14:textId="77777777" w:rsidR="00394471" w:rsidRPr="00FA0D37" w:rsidRDefault="00394471" w:rsidP="00FA0D37">
      <w:pPr>
        <w:pStyle w:val="PL"/>
        <w:rPr>
          <w:color w:val="808080"/>
        </w:rPr>
      </w:pPr>
      <w:r w:rsidRPr="00FA0D37">
        <w:t xml:space="preserve">    interFreqNeighCellList              InterFreqNeighCellList                                      </w:t>
      </w:r>
      <w:r w:rsidRPr="00FA0D37">
        <w:rPr>
          <w:color w:val="993366"/>
        </w:rPr>
        <w:t>OPTIONAL</w:t>
      </w:r>
      <w:r w:rsidRPr="00FA0D37">
        <w:t xml:space="preserve">,   </w:t>
      </w:r>
      <w:r w:rsidRPr="00FA0D37">
        <w:rPr>
          <w:color w:val="808080"/>
        </w:rPr>
        <w:t>-- Need R</w:t>
      </w:r>
    </w:p>
    <w:p w14:paraId="34F997F0" w14:textId="75BD8DC7" w:rsidR="00394471" w:rsidRPr="00FA0D37" w:rsidRDefault="00394471" w:rsidP="00FA0D37">
      <w:pPr>
        <w:pStyle w:val="PL"/>
        <w:rPr>
          <w:color w:val="808080"/>
        </w:rPr>
      </w:pPr>
      <w:r w:rsidRPr="00FA0D37">
        <w:t xml:space="preserve">    interFreq</w:t>
      </w:r>
      <w:r w:rsidR="00214979" w:rsidRPr="00FA0D37">
        <w:t>Excluded</w:t>
      </w:r>
      <w:r w:rsidRPr="00FA0D37">
        <w:t>CellList           InterFreq</w:t>
      </w:r>
      <w:r w:rsidR="00214979" w:rsidRPr="00FA0D37">
        <w:t>Excluded</w:t>
      </w:r>
      <w:r w:rsidRPr="00FA0D37">
        <w:t xml:space="preserve">CellList                                   </w:t>
      </w:r>
      <w:r w:rsidRPr="00FA0D37">
        <w:rPr>
          <w:color w:val="993366"/>
        </w:rPr>
        <w:t>OPTIONAL</w:t>
      </w:r>
      <w:r w:rsidRPr="00FA0D37">
        <w:t xml:space="preserve">,   </w:t>
      </w:r>
      <w:r w:rsidRPr="00FA0D37">
        <w:rPr>
          <w:color w:val="808080"/>
        </w:rPr>
        <w:t>-- Need R</w:t>
      </w:r>
    </w:p>
    <w:p w14:paraId="6646AB0D" w14:textId="77777777" w:rsidR="00394471" w:rsidRPr="00FA0D37" w:rsidRDefault="00394471" w:rsidP="00FA0D37">
      <w:pPr>
        <w:pStyle w:val="PL"/>
      </w:pPr>
      <w:r w:rsidRPr="00FA0D37">
        <w:t xml:space="preserve">    ...</w:t>
      </w:r>
    </w:p>
    <w:p w14:paraId="401CFBE5" w14:textId="77777777" w:rsidR="00394471" w:rsidRPr="00FA0D37" w:rsidRDefault="00394471" w:rsidP="00FA0D37">
      <w:pPr>
        <w:pStyle w:val="PL"/>
      </w:pPr>
      <w:r w:rsidRPr="00FA0D37">
        <w:t>}</w:t>
      </w:r>
    </w:p>
    <w:p w14:paraId="32F868CB" w14:textId="77777777" w:rsidR="00394471" w:rsidRPr="00FA0D37" w:rsidRDefault="00394471" w:rsidP="00FA0D37">
      <w:pPr>
        <w:pStyle w:val="PL"/>
      </w:pPr>
    </w:p>
    <w:p w14:paraId="7ED8FD19" w14:textId="77777777" w:rsidR="00394471" w:rsidRPr="00FA0D37" w:rsidRDefault="00394471" w:rsidP="00FA0D37">
      <w:pPr>
        <w:pStyle w:val="PL"/>
      </w:pPr>
      <w:r w:rsidRPr="00FA0D37">
        <w:t xml:space="preserve">InterFreqCarrierFreqInfo-v1610 ::=  </w:t>
      </w:r>
      <w:r w:rsidRPr="00FA0D37">
        <w:rPr>
          <w:color w:val="993366"/>
        </w:rPr>
        <w:t>SEQUENCE</w:t>
      </w:r>
      <w:r w:rsidRPr="00FA0D37">
        <w:t xml:space="preserve"> {</w:t>
      </w:r>
    </w:p>
    <w:p w14:paraId="6572A19D" w14:textId="77777777" w:rsidR="00394471" w:rsidRPr="00FA0D37" w:rsidRDefault="00394471" w:rsidP="00FA0D37">
      <w:pPr>
        <w:pStyle w:val="PL"/>
        <w:rPr>
          <w:color w:val="808080"/>
        </w:rPr>
      </w:pPr>
      <w:r w:rsidRPr="00FA0D37">
        <w:t xml:space="preserve">    interFreqNeighCellList-v1610        InterFreqNeighCellList-v1610                                </w:t>
      </w:r>
      <w:r w:rsidRPr="00FA0D37">
        <w:rPr>
          <w:color w:val="993366"/>
        </w:rPr>
        <w:t>OPTIONAL</w:t>
      </w:r>
      <w:r w:rsidRPr="00FA0D37">
        <w:t xml:space="preserve">,    </w:t>
      </w:r>
      <w:r w:rsidRPr="00FA0D37">
        <w:rPr>
          <w:color w:val="808080"/>
        </w:rPr>
        <w:t>-- Need R</w:t>
      </w:r>
    </w:p>
    <w:p w14:paraId="79AEF5D9" w14:textId="77777777" w:rsidR="00394471" w:rsidRPr="00FA0D37" w:rsidRDefault="00394471" w:rsidP="00FA0D37">
      <w:pPr>
        <w:pStyle w:val="PL"/>
        <w:rPr>
          <w:color w:val="808080"/>
        </w:rPr>
      </w:pPr>
      <w:r w:rsidRPr="00FA0D37">
        <w:t xml:space="preserve">    smtc2-LP-r16                        SSB-MTC2-LP-r16                                             </w:t>
      </w:r>
      <w:r w:rsidRPr="00FA0D37">
        <w:rPr>
          <w:color w:val="993366"/>
        </w:rPr>
        <w:t>OPTIONAL</w:t>
      </w:r>
      <w:r w:rsidRPr="00FA0D37">
        <w:t xml:space="preserve">,    </w:t>
      </w:r>
      <w:r w:rsidRPr="00FA0D37">
        <w:rPr>
          <w:color w:val="808080"/>
        </w:rPr>
        <w:t>-- Need R</w:t>
      </w:r>
    </w:p>
    <w:p w14:paraId="481A82AA" w14:textId="024B4C65" w:rsidR="00394471" w:rsidRPr="00FA0D37" w:rsidRDefault="00394471" w:rsidP="00FA0D37">
      <w:pPr>
        <w:pStyle w:val="PL"/>
        <w:rPr>
          <w:color w:val="808080"/>
        </w:rPr>
      </w:pPr>
      <w:r w:rsidRPr="00FA0D37">
        <w:t xml:space="preserve">    interFreq</w:t>
      </w:r>
      <w:r w:rsidR="00214979" w:rsidRPr="00FA0D37">
        <w:t>Allowed</w:t>
      </w:r>
      <w:r w:rsidRPr="00FA0D37">
        <w:t>CellList-r16        InterFreq</w:t>
      </w:r>
      <w:r w:rsidR="00214979" w:rsidRPr="00FA0D37">
        <w:t>Allowed</w:t>
      </w:r>
      <w:r w:rsidRPr="00FA0D37">
        <w:t xml:space="preserve">CellList-r16                                </w:t>
      </w:r>
      <w:r w:rsidRPr="00FA0D37">
        <w:rPr>
          <w:color w:val="993366"/>
        </w:rPr>
        <w:t>OPTIONAL</w:t>
      </w:r>
      <w:r w:rsidRPr="00FA0D37">
        <w:t xml:space="preserve">,    </w:t>
      </w:r>
      <w:r w:rsidRPr="00FA0D37">
        <w:rPr>
          <w:color w:val="808080"/>
        </w:rPr>
        <w:t>-- Cond SharedSpectrum2</w:t>
      </w:r>
    </w:p>
    <w:p w14:paraId="3C137EE9" w14:textId="77777777" w:rsidR="00394471" w:rsidRPr="00FA0D37" w:rsidRDefault="00394471" w:rsidP="00FA0D37">
      <w:pPr>
        <w:pStyle w:val="PL"/>
        <w:rPr>
          <w:color w:val="808080"/>
        </w:rPr>
      </w:pPr>
      <w:r w:rsidRPr="00FA0D37">
        <w:t xml:space="preserve">    ssb-PositionQCL-Common-r16          SSB-PositionQCL-Relation-r16                                </w:t>
      </w:r>
      <w:r w:rsidRPr="00FA0D37">
        <w:rPr>
          <w:color w:val="993366"/>
        </w:rPr>
        <w:t>OPTIONAL</w:t>
      </w:r>
      <w:r w:rsidRPr="00FA0D37">
        <w:t xml:space="preserve">,    </w:t>
      </w:r>
      <w:r w:rsidRPr="00FA0D37">
        <w:rPr>
          <w:color w:val="808080"/>
        </w:rPr>
        <w:t>-- Cond SharedSpectrum</w:t>
      </w:r>
    </w:p>
    <w:p w14:paraId="52F8919A" w14:textId="77777777" w:rsidR="00394471" w:rsidRPr="00FA0D37" w:rsidRDefault="00394471" w:rsidP="00FA0D37">
      <w:pPr>
        <w:pStyle w:val="PL"/>
        <w:rPr>
          <w:color w:val="808080"/>
        </w:rPr>
      </w:pPr>
      <w:r w:rsidRPr="00FA0D37">
        <w:t xml:space="preserve">    interFreqCAG-CellList-r16           </w:t>
      </w:r>
      <w:r w:rsidRPr="00FA0D37">
        <w:rPr>
          <w:color w:val="993366"/>
        </w:rPr>
        <w:t>SEQUENCE</w:t>
      </w:r>
      <w:r w:rsidRPr="00FA0D37">
        <w:t xml:space="preserve"> (</w:t>
      </w:r>
      <w:r w:rsidRPr="00FA0D37">
        <w:rPr>
          <w:color w:val="993366"/>
        </w:rPr>
        <w:t>SIZE</w:t>
      </w:r>
      <w:r w:rsidRPr="00FA0D37">
        <w:t xml:space="preserve"> (1..maxPLMN))</w:t>
      </w:r>
      <w:r w:rsidRPr="00FA0D37">
        <w:rPr>
          <w:color w:val="993366"/>
        </w:rPr>
        <w:t xml:space="preserve"> OF</w:t>
      </w:r>
      <w:r w:rsidRPr="00FA0D37">
        <w:t xml:space="preserve"> InterFreqCAG-CellListPerPLMN-r16   </w:t>
      </w:r>
      <w:r w:rsidRPr="00FA0D37">
        <w:rPr>
          <w:color w:val="993366"/>
        </w:rPr>
        <w:t>OPTIONAL</w:t>
      </w:r>
      <w:r w:rsidRPr="00FA0D37">
        <w:t xml:space="preserve">     </w:t>
      </w:r>
      <w:r w:rsidRPr="00FA0D37">
        <w:rPr>
          <w:color w:val="808080"/>
        </w:rPr>
        <w:t>-- Need R</w:t>
      </w:r>
    </w:p>
    <w:p w14:paraId="24F69C6F" w14:textId="77777777" w:rsidR="00394471" w:rsidRPr="00FA0D37" w:rsidRDefault="00394471" w:rsidP="00FA0D37">
      <w:pPr>
        <w:pStyle w:val="PL"/>
      </w:pPr>
      <w:r w:rsidRPr="00FA0D37">
        <w:t>}</w:t>
      </w:r>
    </w:p>
    <w:p w14:paraId="6DB5D125" w14:textId="77777777" w:rsidR="002E44EF" w:rsidRPr="00FA0D37" w:rsidRDefault="002E44EF" w:rsidP="00FA0D37">
      <w:pPr>
        <w:pStyle w:val="PL"/>
      </w:pPr>
    </w:p>
    <w:p w14:paraId="732565C2" w14:textId="3FEDA85E" w:rsidR="002E44EF" w:rsidRPr="00FA0D37" w:rsidRDefault="002E44EF" w:rsidP="00FA0D37">
      <w:pPr>
        <w:pStyle w:val="PL"/>
      </w:pPr>
      <w:r w:rsidRPr="00FA0D37">
        <w:t>InterFreqCarrierFreqInfo-v17</w:t>
      </w:r>
      <w:r w:rsidR="00F51935" w:rsidRPr="00FA0D37">
        <w:t>00</w:t>
      </w:r>
      <w:r w:rsidRPr="00FA0D37">
        <w:t xml:space="preserve"> ::=  </w:t>
      </w:r>
      <w:r w:rsidRPr="00FA0D37">
        <w:rPr>
          <w:color w:val="993366"/>
        </w:rPr>
        <w:t>SEQUENCE</w:t>
      </w:r>
      <w:r w:rsidRPr="00FA0D37">
        <w:t xml:space="preserve"> {</w:t>
      </w:r>
    </w:p>
    <w:p w14:paraId="7CBDC446" w14:textId="4BC1ED75" w:rsidR="002E44EF" w:rsidRPr="00FA0D37" w:rsidRDefault="002E44EF" w:rsidP="00FA0D37">
      <w:pPr>
        <w:pStyle w:val="PL"/>
        <w:rPr>
          <w:color w:val="808080"/>
        </w:rPr>
      </w:pPr>
      <w:r w:rsidRPr="00FA0D37">
        <w:t xml:space="preserve">    interFreqNeighHSDN-CellList-r17     InterFreqNeighHSDN-CellList-r17                             </w:t>
      </w:r>
      <w:r w:rsidRPr="00FA0D37">
        <w:rPr>
          <w:color w:val="993366"/>
        </w:rPr>
        <w:t>OPTIONAL</w:t>
      </w:r>
      <w:r w:rsidR="00F53531" w:rsidRPr="00FA0D37">
        <w:t>,</w:t>
      </w:r>
      <w:r w:rsidRPr="00FA0D37">
        <w:t xml:space="preserve">    </w:t>
      </w:r>
      <w:r w:rsidRPr="00FA0D37">
        <w:rPr>
          <w:color w:val="808080"/>
        </w:rPr>
        <w:t>-- Need R</w:t>
      </w:r>
    </w:p>
    <w:p w14:paraId="0DD71DC1" w14:textId="23F37441" w:rsidR="00F53531" w:rsidRPr="00FA0D37" w:rsidRDefault="00F53531" w:rsidP="00FA0D37">
      <w:pPr>
        <w:pStyle w:val="PL"/>
        <w:rPr>
          <w:color w:val="808080"/>
        </w:rPr>
      </w:pPr>
      <w:r w:rsidRPr="00FA0D37">
        <w:t xml:space="preserve">    highSpeedMeasInterFreq-r17          </w:t>
      </w:r>
      <w:r w:rsidRPr="00FA0D37">
        <w:rPr>
          <w:color w:val="993366"/>
        </w:rPr>
        <w:t>ENUMERATED</w:t>
      </w:r>
      <w:r w:rsidRPr="00FA0D37">
        <w:t xml:space="preserve"> {true}                                           </w:t>
      </w:r>
      <w:r w:rsidRPr="00FA0D37">
        <w:rPr>
          <w:color w:val="993366"/>
        </w:rPr>
        <w:t>OPTIONAL</w:t>
      </w:r>
      <w:r w:rsidR="00B37B2F" w:rsidRPr="00FA0D37">
        <w:t>,</w:t>
      </w:r>
      <w:r w:rsidRPr="00FA0D37">
        <w:t xml:space="preserve">    </w:t>
      </w:r>
      <w:r w:rsidRPr="00FA0D37">
        <w:rPr>
          <w:color w:val="808080"/>
        </w:rPr>
        <w:t>-- Need R</w:t>
      </w:r>
    </w:p>
    <w:p w14:paraId="14F03977" w14:textId="212A63B5" w:rsidR="00B37B2F" w:rsidRPr="00FA0D37" w:rsidRDefault="00B37B2F" w:rsidP="00FA0D37">
      <w:pPr>
        <w:pStyle w:val="PL"/>
        <w:rPr>
          <w:color w:val="808080"/>
        </w:rPr>
      </w:pPr>
      <w:r w:rsidRPr="00FA0D37">
        <w:t xml:space="preserve">    red</w:t>
      </w:r>
      <w:r w:rsidR="00AE678F" w:rsidRPr="00FA0D37">
        <w:t>C</w:t>
      </w:r>
      <w:r w:rsidRPr="00FA0D37">
        <w:t>apAccess</w:t>
      </w:r>
      <w:r w:rsidR="00AE678F" w:rsidRPr="00FA0D37">
        <w:t>Allowed</w:t>
      </w:r>
      <w:r w:rsidRPr="00FA0D37">
        <w:t xml:space="preserve">-r17            </w:t>
      </w:r>
      <w:r w:rsidR="00AE678F" w:rsidRPr="00FA0D37">
        <w:t xml:space="preserve"> </w:t>
      </w:r>
      <w:r w:rsidRPr="00FA0D37">
        <w:rPr>
          <w:color w:val="993366"/>
        </w:rPr>
        <w:t>ENUMERATED</w:t>
      </w:r>
      <w:r w:rsidR="00015613" w:rsidRPr="00FA0D37">
        <w:t xml:space="preserve"> </w:t>
      </w:r>
      <w:r w:rsidRPr="00FA0D37">
        <w:t xml:space="preserve">{true}                                           </w:t>
      </w:r>
      <w:r w:rsidRPr="00FA0D37">
        <w:rPr>
          <w:color w:val="993366"/>
        </w:rPr>
        <w:t>OPTIONAL</w:t>
      </w:r>
      <w:r w:rsidR="00DD2009" w:rsidRPr="00FA0D37">
        <w:t>,</w:t>
      </w:r>
      <w:r w:rsidRPr="00FA0D37">
        <w:t xml:space="preserve">    </w:t>
      </w:r>
      <w:r w:rsidRPr="00FA0D37">
        <w:rPr>
          <w:color w:val="808080"/>
        </w:rPr>
        <w:t>-- Need R</w:t>
      </w:r>
    </w:p>
    <w:p w14:paraId="76944A22" w14:textId="77777777" w:rsidR="00F747EB" w:rsidRPr="00FA0D37" w:rsidRDefault="00DD2009" w:rsidP="00FA0D37">
      <w:pPr>
        <w:pStyle w:val="PL"/>
        <w:rPr>
          <w:color w:val="808080"/>
        </w:rPr>
      </w:pPr>
      <w:r w:rsidRPr="00FA0D37">
        <w:t xml:space="preserve">    ssb-PositionQCL-Common-r17          SSB-PositionQCL-Relation-r17                                </w:t>
      </w:r>
      <w:r w:rsidRPr="00FA0D37">
        <w:rPr>
          <w:color w:val="993366"/>
        </w:rPr>
        <w:t>OPTIONAL</w:t>
      </w:r>
      <w:r w:rsidRPr="00FA0D37">
        <w:t xml:space="preserve">,    </w:t>
      </w:r>
      <w:r w:rsidRPr="00FA0D37">
        <w:rPr>
          <w:color w:val="808080"/>
        </w:rPr>
        <w:t>-- Cond SharedSpectrum</w:t>
      </w:r>
    </w:p>
    <w:p w14:paraId="1DE0C012" w14:textId="31ECE74C" w:rsidR="00DD2009" w:rsidRPr="00FA0D37" w:rsidRDefault="00DD2009" w:rsidP="00FA0D37">
      <w:pPr>
        <w:pStyle w:val="PL"/>
        <w:rPr>
          <w:color w:val="808080"/>
        </w:rPr>
      </w:pPr>
      <w:r w:rsidRPr="00FA0D37">
        <w:t xml:space="preserve">    interFreqNeighCellList-v1710        InterFreqNeighCellList-v1710                                </w:t>
      </w:r>
      <w:r w:rsidRPr="00FA0D37">
        <w:rPr>
          <w:color w:val="993366"/>
        </w:rPr>
        <w:t>OPTIONAL</w:t>
      </w:r>
      <w:r w:rsidRPr="00FA0D37">
        <w:t xml:space="preserve">     </w:t>
      </w:r>
      <w:r w:rsidRPr="00FA0D37">
        <w:rPr>
          <w:color w:val="808080"/>
        </w:rPr>
        <w:t>-- Cond SharedSpectrum2</w:t>
      </w:r>
    </w:p>
    <w:p w14:paraId="171FBAED" w14:textId="6D7F06E5" w:rsidR="002E44EF" w:rsidRPr="00FA0D37" w:rsidRDefault="002E44EF" w:rsidP="00FA0D37">
      <w:pPr>
        <w:pStyle w:val="PL"/>
      </w:pPr>
      <w:r w:rsidRPr="00FA0D37">
        <w:t>}</w:t>
      </w:r>
    </w:p>
    <w:p w14:paraId="2AC3B978" w14:textId="77777777" w:rsidR="001163BA" w:rsidRPr="00FA0D37" w:rsidRDefault="001163BA" w:rsidP="00FA0D37">
      <w:pPr>
        <w:pStyle w:val="PL"/>
      </w:pPr>
    </w:p>
    <w:p w14:paraId="31AF050A" w14:textId="7842BA78" w:rsidR="001163BA" w:rsidRPr="00FA0D37" w:rsidRDefault="001163BA" w:rsidP="00FA0D37">
      <w:pPr>
        <w:pStyle w:val="PL"/>
      </w:pPr>
      <w:r w:rsidRPr="00FA0D37">
        <w:t xml:space="preserve">InterFreqCarrierFreqInfo-v1720 ::=  </w:t>
      </w:r>
      <w:r w:rsidRPr="00FA0D37">
        <w:rPr>
          <w:color w:val="993366"/>
        </w:rPr>
        <w:t>SEQUENCE</w:t>
      </w:r>
      <w:r w:rsidRPr="00FA0D37">
        <w:t xml:space="preserve"> {</w:t>
      </w:r>
    </w:p>
    <w:p w14:paraId="22611F4F" w14:textId="60790552" w:rsidR="001163BA" w:rsidRPr="00FA0D37" w:rsidRDefault="001163BA" w:rsidP="00FA0D37">
      <w:pPr>
        <w:pStyle w:val="PL"/>
        <w:rPr>
          <w:color w:val="808080"/>
        </w:rPr>
      </w:pPr>
      <w:r w:rsidRPr="00FA0D37">
        <w:t xml:space="preserve">    smtc4list-r17                       SSB-MTC4List-r17                                            </w:t>
      </w:r>
      <w:r w:rsidRPr="00FA0D37">
        <w:rPr>
          <w:color w:val="993366"/>
        </w:rPr>
        <w:t>OPTIONAL</w:t>
      </w:r>
      <w:r w:rsidRPr="00FA0D37">
        <w:t xml:space="preserve">     </w:t>
      </w:r>
      <w:r w:rsidRPr="00FA0D37">
        <w:rPr>
          <w:color w:val="808080"/>
        </w:rPr>
        <w:t>-- Need R</w:t>
      </w:r>
    </w:p>
    <w:p w14:paraId="2A7506E7" w14:textId="77777777" w:rsidR="00775C81" w:rsidRPr="00FA0D37" w:rsidRDefault="001163BA" w:rsidP="00FA0D37">
      <w:pPr>
        <w:pStyle w:val="PL"/>
      </w:pPr>
      <w:r w:rsidRPr="00FA0D37">
        <w:t>}</w:t>
      </w:r>
    </w:p>
    <w:p w14:paraId="66968D41" w14:textId="77777777" w:rsidR="00775C81" w:rsidRPr="00FA0D37" w:rsidRDefault="00775C81" w:rsidP="00FA0D37">
      <w:pPr>
        <w:pStyle w:val="PL"/>
      </w:pPr>
    </w:p>
    <w:p w14:paraId="38B5DF70" w14:textId="51AF6519" w:rsidR="00775C81" w:rsidRPr="00FA0D37" w:rsidRDefault="00775C81" w:rsidP="00FA0D37">
      <w:pPr>
        <w:pStyle w:val="PL"/>
      </w:pPr>
      <w:r w:rsidRPr="00FA0D37">
        <w:t xml:space="preserve">InterFreqCarrierFreqInfo-v1730 ::=  </w:t>
      </w:r>
      <w:r w:rsidRPr="00FA0D37">
        <w:rPr>
          <w:color w:val="993366"/>
        </w:rPr>
        <w:t>SEQUENCE</w:t>
      </w:r>
      <w:r w:rsidRPr="00FA0D37">
        <w:t xml:space="preserve"> {</w:t>
      </w:r>
    </w:p>
    <w:p w14:paraId="3449A9F3" w14:textId="61ED2423" w:rsidR="00775C81" w:rsidRPr="00FA0D37" w:rsidRDefault="00775C81" w:rsidP="00FA0D37">
      <w:pPr>
        <w:pStyle w:val="PL"/>
        <w:rPr>
          <w:color w:val="808080"/>
        </w:rPr>
      </w:pPr>
      <w:r w:rsidRPr="00FA0D37">
        <w:t xml:space="preserve">    channelAccessMode2-r17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02FAE8E7" w14:textId="09099617" w:rsidR="001163BA" w:rsidRPr="00FA0D37" w:rsidRDefault="00775C81" w:rsidP="00FA0D37">
      <w:pPr>
        <w:pStyle w:val="PL"/>
      </w:pPr>
      <w:r w:rsidRPr="00FA0D37">
        <w:t>}</w:t>
      </w:r>
    </w:p>
    <w:p w14:paraId="3B5F1AA5" w14:textId="77777777" w:rsidR="005431A1" w:rsidRPr="00FA0D37" w:rsidRDefault="005431A1" w:rsidP="00FA0D37">
      <w:pPr>
        <w:pStyle w:val="PL"/>
      </w:pPr>
    </w:p>
    <w:p w14:paraId="4A8E0EEC" w14:textId="59D3ACDA" w:rsidR="005431A1" w:rsidRPr="00FA0D37" w:rsidRDefault="005431A1" w:rsidP="00FA0D37">
      <w:pPr>
        <w:pStyle w:val="PL"/>
      </w:pPr>
      <w:r w:rsidRPr="00FA0D37">
        <w:t xml:space="preserve">InterFreqCarrierFreqInfo-v1760 ::=  </w:t>
      </w:r>
      <w:r w:rsidRPr="00FA0D37">
        <w:rPr>
          <w:color w:val="993366"/>
        </w:rPr>
        <w:t>SEQUENCE</w:t>
      </w:r>
      <w:r w:rsidRPr="00FA0D37">
        <w:t xml:space="preserve"> {</w:t>
      </w:r>
    </w:p>
    <w:p w14:paraId="46DF4B8D" w14:textId="19E392CE" w:rsidR="005431A1" w:rsidRPr="00FA0D37" w:rsidRDefault="005431A1" w:rsidP="00FA0D37">
      <w:pPr>
        <w:pStyle w:val="PL"/>
        <w:rPr>
          <w:color w:val="808080"/>
        </w:rPr>
      </w:pPr>
      <w:r w:rsidRPr="00FA0D37">
        <w:t xml:space="preserve">    frequencyBandList-v1760             MultiFrequencyBandListNR-SIB-v1760                          </w:t>
      </w:r>
      <w:r w:rsidRPr="00FA0D37">
        <w:rPr>
          <w:color w:val="993366"/>
        </w:rPr>
        <w:t>OPTIONAL</w:t>
      </w:r>
      <w:r w:rsidRPr="00FA0D37">
        <w:t xml:space="preserve">,    </w:t>
      </w:r>
      <w:r w:rsidRPr="00FA0D37">
        <w:rPr>
          <w:color w:val="808080"/>
        </w:rPr>
        <w:t>-- Need R</w:t>
      </w:r>
    </w:p>
    <w:p w14:paraId="7F623590" w14:textId="7A802340" w:rsidR="005431A1" w:rsidRPr="00FA0D37" w:rsidRDefault="005431A1" w:rsidP="00FA0D37">
      <w:pPr>
        <w:pStyle w:val="PL"/>
        <w:rPr>
          <w:color w:val="808080"/>
        </w:rPr>
      </w:pPr>
      <w:r w:rsidRPr="00FA0D37">
        <w:t xml:space="preserve">    frequencyBandListSUL-v1760          MultiFrequencyBandListNR-SIB-v1760                          </w:t>
      </w:r>
      <w:r w:rsidRPr="00FA0D37">
        <w:rPr>
          <w:color w:val="993366"/>
        </w:rPr>
        <w:t>OPTIONAL</w:t>
      </w:r>
      <w:r w:rsidRPr="00FA0D37">
        <w:t xml:space="preserve">     </w:t>
      </w:r>
      <w:r w:rsidRPr="00FA0D37">
        <w:rPr>
          <w:color w:val="808080"/>
        </w:rPr>
        <w:t>-- Need R</w:t>
      </w:r>
    </w:p>
    <w:p w14:paraId="236855B7" w14:textId="75ADD13E" w:rsidR="001163BA" w:rsidRPr="00FA0D37" w:rsidRDefault="005431A1" w:rsidP="00FA0D37">
      <w:pPr>
        <w:pStyle w:val="PL"/>
      </w:pPr>
      <w:r w:rsidRPr="00FA0D37">
        <w:t>}</w:t>
      </w:r>
    </w:p>
    <w:p w14:paraId="1DD2ECDE" w14:textId="77777777" w:rsidR="005431A1" w:rsidRPr="00FA0D37" w:rsidRDefault="005431A1" w:rsidP="00FA0D37">
      <w:pPr>
        <w:pStyle w:val="PL"/>
      </w:pPr>
    </w:p>
    <w:p w14:paraId="23DC1FD9" w14:textId="052FC798" w:rsidR="00394471" w:rsidRPr="00FA0D37" w:rsidRDefault="002E44EF" w:rsidP="00FA0D37">
      <w:pPr>
        <w:pStyle w:val="PL"/>
      </w:pPr>
      <w:r w:rsidRPr="00FA0D37">
        <w:t xml:space="preserve">InterFreqNeighHSDN-CellList-r17 ::= </w:t>
      </w:r>
      <w:r w:rsidRPr="00FA0D37">
        <w:rPr>
          <w:color w:val="993366"/>
        </w:rPr>
        <w:t>SEQUENCE</w:t>
      </w:r>
      <w:r w:rsidRPr="00FA0D37">
        <w:t xml:space="preserve"> (</w:t>
      </w:r>
      <w:r w:rsidRPr="00FA0D37">
        <w:rPr>
          <w:color w:val="993366"/>
        </w:rPr>
        <w:t>SIZE</w:t>
      </w:r>
      <w:r w:rsidRPr="00FA0D37">
        <w:t xml:space="preserve"> (1..maxCellInter))</w:t>
      </w:r>
      <w:r w:rsidRPr="00FA0D37">
        <w:rPr>
          <w:color w:val="993366"/>
        </w:rPr>
        <w:t xml:space="preserve"> OF</w:t>
      </w:r>
      <w:r w:rsidRPr="00FA0D37">
        <w:t xml:space="preserve"> PCI-Range</w:t>
      </w:r>
    </w:p>
    <w:p w14:paraId="1508D1C3" w14:textId="77777777" w:rsidR="002E44EF" w:rsidRPr="00FA0D37" w:rsidRDefault="002E44EF" w:rsidP="00FA0D37">
      <w:pPr>
        <w:pStyle w:val="PL"/>
      </w:pPr>
    </w:p>
    <w:p w14:paraId="4EBE9349" w14:textId="77777777" w:rsidR="00394471" w:rsidRPr="00FA0D37" w:rsidRDefault="00394471" w:rsidP="00FA0D37">
      <w:pPr>
        <w:pStyle w:val="PL"/>
      </w:pPr>
      <w:r w:rsidRPr="00FA0D37">
        <w:t xml:space="preserve">InterFreqNeighCellList ::=          </w:t>
      </w:r>
      <w:r w:rsidRPr="00FA0D37">
        <w:rPr>
          <w:color w:val="993366"/>
        </w:rPr>
        <w:t>SEQUENCE</w:t>
      </w:r>
      <w:r w:rsidRPr="00FA0D37">
        <w:t xml:space="preserve"> (</w:t>
      </w:r>
      <w:r w:rsidRPr="00FA0D37">
        <w:rPr>
          <w:color w:val="993366"/>
        </w:rPr>
        <w:t>SIZE</w:t>
      </w:r>
      <w:r w:rsidRPr="00FA0D37">
        <w:t xml:space="preserve"> (1..maxCellInter))</w:t>
      </w:r>
      <w:r w:rsidRPr="00FA0D37">
        <w:rPr>
          <w:color w:val="993366"/>
        </w:rPr>
        <w:t xml:space="preserve"> OF</w:t>
      </w:r>
      <w:r w:rsidRPr="00FA0D37">
        <w:t xml:space="preserve"> InterFreqNeighCellInfo</w:t>
      </w:r>
    </w:p>
    <w:p w14:paraId="39F8D61E" w14:textId="77777777" w:rsidR="006C3439" w:rsidRPr="00FA0D37" w:rsidRDefault="006C3439" w:rsidP="00FA0D37">
      <w:pPr>
        <w:pStyle w:val="PL"/>
      </w:pPr>
    </w:p>
    <w:p w14:paraId="5FFDD42A" w14:textId="77777777" w:rsidR="006C3439" w:rsidRPr="00FA0D37" w:rsidRDefault="00394471" w:rsidP="00FA0D37">
      <w:pPr>
        <w:pStyle w:val="PL"/>
      </w:pPr>
      <w:r w:rsidRPr="00FA0D37">
        <w:lastRenderedPageBreak/>
        <w:t xml:space="preserve">InterFreqNeighCellList-v1610 ::=    </w:t>
      </w:r>
      <w:r w:rsidRPr="00FA0D37">
        <w:rPr>
          <w:color w:val="993366"/>
        </w:rPr>
        <w:t>SEQUENCE</w:t>
      </w:r>
      <w:r w:rsidRPr="00FA0D37">
        <w:t xml:space="preserve"> (</w:t>
      </w:r>
      <w:r w:rsidRPr="00FA0D37">
        <w:rPr>
          <w:color w:val="993366"/>
        </w:rPr>
        <w:t>SIZE</w:t>
      </w:r>
      <w:r w:rsidRPr="00FA0D37">
        <w:t xml:space="preserve"> (1..maxCellInter))</w:t>
      </w:r>
      <w:r w:rsidRPr="00FA0D37">
        <w:rPr>
          <w:color w:val="993366"/>
        </w:rPr>
        <w:t xml:space="preserve"> OF</w:t>
      </w:r>
      <w:r w:rsidRPr="00FA0D37">
        <w:t xml:space="preserve"> InterFreqNeighCellInfo-v1610</w:t>
      </w:r>
    </w:p>
    <w:p w14:paraId="27C14413" w14:textId="77777777" w:rsidR="006C3439" w:rsidRPr="00FA0D37" w:rsidRDefault="006C3439" w:rsidP="00FA0D37">
      <w:pPr>
        <w:pStyle w:val="PL"/>
      </w:pPr>
    </w:p>
    <w:p w14:paraId="2D620DEA" w14:textId="22DD28ED" w:rsidR="00394471" w:rsidRPr="00FA0D37" w:rsidRDefault="006C3439" w:rsidP="00FA0D37">
      <w:pPr>
        <w:pStyle w:val="PL"/>
      </w:pPr>
      <w:r w:rsidRPr="00FA0D37">
        <w:t xml:space="preserve">InterFreqNeighCellList-v1710 ::=    </w:t>
      </w:r>
      <w:r w:rsidRPr="00FA0D37">
        <w:rPr>
          <w:color w:val="993366"/>
        </w:rPr>
        <w:t>SEQUENCE</w:t>
      </w:r>
      <w:r w:rsidRPr="00FA0D37">
        <w:t xml:space="preserve"> (</w:t>
      </w:r>
      <w:r w:rsidRPr="00FA0D37">
        <w:rPr>
          <w:color w:val="993366"/>
        </w:rPr>
        <w:t>SIZE</w:t>
      </w:r>
      <w:r w:rsidRPr="00FA0D37">
        <w:t xml:space="preserve"> (1..maxCellInter))</w:t>
      </w:r>
      <w:r w:rsidRPr="00FA0D37">
        <w:rPr>
          <w:color w:val="993366"/>
        </w:rPr>
        <w:t xml:space="preserve"> OF</w:t>
      </w:r>
      <w:r w:rsidRPr="00FA0D37">
        <w:t xml:space="preserve"> InterFreqNeighCellInfo-v1710</w:t>
      </w:r>
    </w:p>
    <w:p w14:paraId="25BC9D08" w14:textId="77777777" w:rsidR="00394471" w:rsidRPr="00FA0D37" w:rsidRDefault="00394471" w:rsidP="00FA0D37">
      <w:pPr>
        <w:pStyle w:val="PL"/>
      </w:pPr>
    </w:p>
    <w:p w14:paraId="4FE107A8" w14:textId="77777777" w:rsidR="00394471" w:rsidRPr="00FA0D37" w:rsidRDefault="00394471" w:rsidP="00FA0D37">
      <w:pPr>
        <w:pStyle w:val="PL"/>
      </w:pPr>
      <w:r w:rsidRPr="00FA0D37">
        <w:t xml:space="preserve">InterFreqNeighCellInfo ::=          </w:t>
      </w:r>
      <w:r w:rsidRPr="00FA0D37">
        <w:rPr>
          <w:color w:val="993366"/>
        </w:rPr>
        <w:t>SEQUENCE</w:t>
      </w:r>
      <w:r w:rsidRPr="00FA0D37">
        <w:t xml:space="preserve"> {</w:t>
      </w:r>
    </w:p>
    <w:p w14:paraId="06EFAA60" w14:textId="77777777" w:rsidR="00394471" w:rsidRPr="00FA0D37" w:rsidRDefault="00394471" w:rsidP="00FA0D37">
      <w:pPr>
        <w:pStyle w:val="PL"/>
      </w:pPr>
      <w:r w:rsidRPr="00FA0D37">
        <w:t xml:space="preserve">    physCellId                          PhysCellId,</w:t>
      </w:r>
    </w:p>
    <w:p w14:paraId="3367DF65" w14:textId="77777777" w:rsidR="00394471" w:rsidRPr="00FA0D37" w:rsidRDefault="00394471" w:rsidP="00FA0D37">
      <w:pPr>
        <w:pStyle w:val="PL"/>
      </w:pPr>
      <w:r w:rsidRPr="00FA0D37">
        <w:t xml:space="preserve">    q-OffsetCell                        Q-OffsetRange,</w:t>
      </w:r>
    </w:p>
    <w:p w14:paraId="32F1FA36" w14:textId="77777777" w:rsidR="00394471" w:rsidRPr="00FA0D37" w:rsidRDefault="00394471" w:rsidP="00FA0D37">
      <w:pPr>
        <w:pStyle w:val="PL"/>
        <w:rPr>
          <w:color w:val="808080"/>
        </w:rPr>
      </w:pPr>
      <w:r w:rsidRPr="00FA0D37">
        <w:t xml:space="preserve">    q-RxLevMinOffsetCell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0818BF44" w14:textId="77777777" w:rsidR="00394471" w:rsidRPr="00FA0D37" w:rsidRDefault="00394471" w:rsidP="00FA0D37">
      <w:pPr>
        <w:pStyle w:val="PL"/>
        <w:rPr>
          <w:color w:val="808080"/>
        </w:rPr>
      </w:pPr>
      <w:r w:rsidRPr="00FA0D37">
        <w:t xml:space="preserve">    q-RxLevMinOffsetCellSUL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386E386B" w14:textId="77777777" w:rsidR="00394471" w:rsidRPr="00FA0D37" w:rsidRDefault="00394471" w:rsidP="00FA0D37">
      <w:pPr>
        <w:pStyle w:val="PL"/>
        <w:rPr>
          <w:color w:val="808080"/>
        </w:rPr>
      </w:pPr>
      <w:r w:rsidRPr="00FA0D37">
        <w:t xml:space="preserve">    q-QualMinOffsetCell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77773ADB" w14:textId="77777777" w:rsidR="00394471" w:rsidRPr="00FA0D37" w:rsidRDefault="00394471" w:rsidP="00FA0D37">
      <w:pPr>
        <w:pStyle w:val="PL"/>
      </w:pPr>
      <w:r w:rsidRPr="00FA0D37">
        <w:t xml:space="preserve">    ...</w:t>
      </w:r>
    </w:p>
    <w:p w14:paraId="3419E988" w14:textId="77777777" w:rsidR="00394471" w:rsidRPr="00FA0D37" w:rsidRDefault="00394471" w:rsidP="00FA0D37">
      <w:pPr>
        <w:pStyle w:val="PL"/>
      </w:pPr>
      <w:r w:rsidRPr="00FA0D37">
        <w:t>}</w:t>
      </w:r>
    </w:p>
    <w:p w14:paraId="6120D78D" w14:textId="77777777" w:rsidR="00394471" w:rsidRPr="00FA0D37" w:rsidRDefault="00394471" w:rsidP="00FA0D37">
      <w:pPr>
        <w:pStyle w:val="PL"/>
      </w:pPr>
    </w:p>
    <w:p w14:paraId="43FA318F" w14:textId="77777777" w:rsidR="00394471" w:rsidRPr="00FA0D37" w:rsidRDefault="00394471" w:rsidP="00FA0D37">
      <w:pPr>
        <w:pStyle w:val="PL"/>
      </w:pPr>
      <w:r w:rsidRPr="00FA0D37">
        <w:t xml:space="preserve">InterFreqNeighCellInfo-v1610 ::=    </w:t>
      </w:r>
      <w:r w:rsidRPr="00FA0D37">
        <w:rPr>
          <w:color w:val="993366"/>
        </w:rPr>
        <w:t>SEQUENCE</w:t>
      </w:r>
      <w:r w:rsidRPr="00FA0D37">
        <w:t xml:space="preserve"> {</w:t>
      </w:r>
    </w:p>
    <w:p w14:paraId="704C2605" w14:textId="77777777" w:rsidR="00394471" w:rsidRPr="00FA0D37" w:rsidRDefault="00394471" w:rsidP="00FA0D37">
      <w:pPr>
        <w:pStyle w:val="PL"/>
        <w:rPr>
          <w:color w:val="808080"/>
        </w:rPr>
      </w:pPr>
      <w:r w:rsidRPr="00FA0D37">
        <w:t xml:space="preserve">    ssb-PositionQCL-r16                 SSB-PositionQCL-Relation-r16                                </w:t>
      </w:r>
      <w:r w:rsidRPr="00FA0D37">
        <w:rPr>
          <w:color w:val="993366"/>
        </w:rPr>
        <w:t>OPTIONAL</w:t>
      </w:r>
      <w:r w:rsidRPr="00FA0D37">
        <w:t xml:space="preserve">    </w:t>
      </w:r>
      <w:r w:rsidRPr="00FA0D37">
        <w:rPr>
          <w:color w:val="808080"/>
        </w:rPr>
        <w:t>-- Cond SharedSpectrum2</w:t>
      </w:r>
    </w:p>
    <w:p w14:paraId="345B7D50" w14:textId="77777777" w:rsidR="00394471" w:rsidRPr="00FA0D37" w:rsidRDefault="00394471" w:rsidP="00FA0D37">
      <w:pPr>
        <w:pStyle w:val="PL"/>
      </w:pPr>
      <w:r w:rsidRPr="00FA0D37">
        <w:t>}</w:t>
      </w:r>
    </w:p>
    <w:p w14:paraId="11C77358" w14:textId="77777777" w:rsidR="006C3439" w:rsidRPr="00FA0D37" w:rsidRDefault="006C3439" w:rsidP="00FA0D37">
      <w:pPr>
        <w:pStyle w:val="PL"/>
      </w:pPr>
    </w:p>
    <w:p w14:paraId="2BA0A20E" w14:textId="54E39CC3" w:rsidR="006C3439" w:rsidRPr="00FA0D37" w:rsidRDefault="006C3439" w:rsidP="00FA0D37">
      <w:pPr>
        <w:pStyle w:val="PL"/>
      </w:pPr>
      <w:r w:rsidRPr="00FA0D37">
        <w:t xml:space="preserve">InterFreqNeighCellInfo-v1710 ::=    </w:t>
      </w:r>
      <w:r w:rsidRPr="00FA0D37">
        <w:rPr>
          <w:color w:val="993366"/>
        </w:rPr>
        <w:t>SEQUENCE</w:t>
      </w:r>
      <w:r w:rsidRPr="00FA0D37">
        <w:t xml:space="preserve"> {</w:t>
      </w:r>
    </w:p>
    <w:p w14:paraId="4C75B792" w14:textId="77777777" w:rsidR="006C3439" w:rsidRPr="00FA0D37" w:rsidRDefault="006C3439" w:rsidP="00FA0D37">
      <w:pPr>
        <w:pStyle w:val="PL"/>
        <w:rPr>
          <w:color w:val="808080"/>
        </w:rPr>
      </w:pPr>
      <w:r w:rsidRPr="00FA0D37">
        <w:t xml:space="preserve">    ssb-PositionQCL-r17                 SSB-PositionQCL-Relation-r17                                </w:t>
      </w:r>
      <w:r w:rsidRPr="00FA0D37">
        <w:rPr>
          <w:color w:val="993366"/>
        </w:rPr>
        <w:t>OPTIONAL</w:t>
      </w:r>
      <w:r w:rsidRPr="00FA0D37">
        <w:t xml:space="preserve">    </w:t>
      </w:r>
      <w:r w:rsidRPr="00FA0D37">
        <w:rPr>
          <w:color w:val="808080"/>
        </w:rPr>
        <w:t>-- Cond SharedSpectrum2</w:t>
      </w:r>
    </w:p>
    <w:p w14:paraId="5B1036A0" w14:textId="77777777" w:rsidR="006C3439" w:rsidRPr="00FA0D37" w:rsidRDefault="006C3439" w:rsidP="00FA0D37">
      <w:pPr>
        <w:pStyle w:val="PL"/>
      </w:pPr>
      <w:r w:rsidRPr="00FA0D37">
        <w:t>}</w:t>
      </w:r>
    </w:p>
    <w:p w14:paraId="34E32454" w14:textId="77777777" w:rsidR="00394471" w:rsidRPr="00FA0D37" w:rsidRDefault="00394471" w:rsidP="00FA0D37">
      <w:pPr>
        <w:pStyle w:val="PL"/>
      </w:pPr>
    </w:p>
    <w:p w14:paraId="08F5822F" w14:textId="510DFEA0" w:rsidR="00394471" w:rsidRPr="00FA0D37" w:rsidRDefault="00394471" w:rsidP="00FA0D37">
      <w:pPr>
        <w:pStyle w:val="PL"/>
      </w:pPr>
      <w:r w:rsidRPr="00FA0D37">
        <w:t>InterFreq</w:t>
      </w:r>
      <w:r w:rsidR="00214979" w:rsidRPr="00FA0D37">
        <w:t>Excluded</w:t>
      </w:r>
      <w:r w:rsidRPr="00FA0D37">
        <w:t xml:space="preserve">CellList ::=       </w:t>
      </w:r>
      <w:r w:rsidRPr="00FA0D37">
        <w:rPr>
          <w:color w:val="993366"/>
        </w:rPr>
        <w:t>SEQUENCE</w:t>
      </w:r>
      <w:r w:rsidRPr="00FA0D37">
        <w:t xml:space="preserve"> (</w:t>
      </w:r>
      <w:r w:rsidRPr="00FA0D37">
        <w:rPr>
          <w:color w:val="993366"/>
        </w:rPr>
        <w:t>SIZE</w:t>
      </w:r>
      <w:r w:rsidRPr="00FA0D37">
        <w:t xml:space="preserve"> (1..maxCell</w:t>
      </w:r>
      <w:r w:rsidR="00214979" w:rsidRPr="00FA0D37">
        <w:t>Excluded</w:t>
      </w:r>
      <w:r w:rsidRPr="00FA0D37">
        <w:t>))</w:t>
      </w:r>
      <w:r w:rsidRPr="00FA0D37">
        <w:rPr>
          <w:color w:val="993366"/>
        </w:rPr>
        <w:t xml:space="preserve"> OF</w:t>
      </w:r>
      <w:r w:rsidRPr="00FA0D37">
        <w:t xml:space="preserve"> PCI-Range</w:t>
      </w:r>
    </w:p>
    <w:p w14:paraId="4D900C7B" w14:textId="77777777" w:rsidR="00394471" w:rsidRPr="00FA0D37" w:rsidRDefault="00394471" w:rsidP="00FA0D37">
      <w:pPr>
        <w:pStyle w:val="PL"/>
      </w:pPr>
    </w:p>
    <w:p w14:paraId="2A3BA87F" w14:textId="1C2A5E8D" w:rsidR="00394471" w:rsidRPr="00FA0D37" w:rsidRDefault="00394471" w:rsidP="00FA0D37">
      <w:pPr>
        <w:pStyle w:val="PL"/>
      </w:pPr>
      <w:r w:rsidRPr="00FA0D37">
        <w:t>InterFreq</w:t>
      </w:r>
      <w:r w:rsidR="00214979" w:rsidRPr="00FA0D37">
        <w:t>Allowed</w:t>
      </w:r>
      <w:r w:rsidRPr="00FA0D37">
        <w:t xml:space="preserve">CellList-r16 ::=    </w:t>
      </w:r>
      <w:r w:rsidRPr="00FA0D37">
        <w:rPr>
          <w:color w:val="993366"/>
        </w:rPr>
        <w:t>SEQUENCE</w:t>
      </w:r>
      <w:r w:rsidRPr="00FA0D37">
        <w:t xml:space="preserve"> (</w:t>
      </w:r>
      <w:r w:rsidRPr="00FA0D37">
        <w:rPr>
          <w:color w:val="993366"/>
        </w:rPr>
        <w:t>SIZE</w:t>
      </w:r>
      <w:r w:rsidRPr="00FA0D37">
        <w:t xml:space="preserve"> (1..maxCell</w:t>
      </w:r>
      <w:r w:rsidR="00214979" w:rsidRPr="00FA0D37">
        <w:t>Allowed</w:t>
      </w:r>
      <w:r w:rsidRPr="00FA0D37">
        <w:t>))</w:t>
      </w:r>
      <w:r w:rsidRPr="00FA0D37">
        <w:rPr>
          <w:color w:val="993366"/>
        </w:rPr>
        <w:t xml:space="preserve"> OF</w:t>
      </w:r>
      <w:r w:rsidRPr="00FA0D37">
        <w:t xml:space="preserve"> PCI-Range</w:t>
      </w:r>
    </w:p>
    <w:p w14:paraId="4DBBD37F" w14:textId="77777777" w:rsidR="00394471" w:rsidRPr="00FA0D37" w:rsidRDefault="00394471" w:rsidP="00FA0D37">
      <w:pPr>
        <w:pStyle w:val="PL"/>
      </w:pPr>
    </w:p>
    <w:p w14:paraId="39AD944A" w14:textId="77777777" w:rsidR="00394471" w:rsidRPr="00FA0D37" w:rsidRDefault="00394471" w:rsidP="00FA0D37">
      <w:pPr>
        <w:pStyle w:val="PL"/>
      </w:pPr>
      <w:r w:rsidRPr="00FA0D37">
        <w:t xml:space="preserve">InterFreqCAG-CellListPerPLMN-r16 ::= </w:t>
      </w:r>
      <w:r w:rsidRPr="00FA0D37">
        <w:rPr>
          <w:color w:val="993366"/>
        </w:rPr>
        <w:t>SEQUENCE</w:t>
      </w:r>
      <w:r w:rsidRPr="00FA0D37">
        <w:t xml:space="preserve"> {</w:t>
      </w:r>
    </w:p>
    <w:p w14:paraId="531EBCF7" w14:textId="77777777" w:rsidR="00394471" w:rsidRPr="00FA0D37" w:rsidRDefault="00394471" w:rsidP="00FA0D37">
      <w:pPr>
        <w:pStyle w:val="PL"/>
      </w:pPr>
      <w:r w:rsidRPr="00FA0D37">
        <w:t xml:space="preserve">    plmn-IdentityIndex-r16              </w:t>
      </w:r>
      <w:r w:rsidRPr="00FA0D37">
        <w:rPr>
          <w:color w:val="993366"/>
        </w:rPr>
        <w:t>INTEGER</w:t>
      </w:r>
      <w:r w:rsidRPr="00FA0D37">
        <w:t xml:space="preserve"> (1..maxPLMN),</w:t>
      </w:r>
    </w:p>
    <w:p w14:paraId="5D4420A7" w14:textId="77777777" w:rsidR="00394471" w:rsidRPr="00FA0D37" w:rsidRDefault="00394471" w:rsidP="00FA0D37">
      <w:pPr>
        <w:pStyle w:val="PL"/>
      </w:pPr>
      <w:r w:rsidRPr="00FA0D37">
        <w:t xml:space="preserve">    cag-CellList-r16                    </w:t>
      </w:r>
      <w:r w:rsidRPr="00FA0D37">
        <w:rPr>
          <w:color w:val="993366"/>
        </w:rPr>
        <w:t>SEQUENCE</w:t>
      </w:r>
      <w:r w:rsidRPr="00FA0D37">
        <w:t xml:space="preserve"> (</w:t>
      </w:r>
      <w:r w:rsidRPr="00FA0D37">
        <w:rPr>
          <w:color w:val="993366"/>
        </w:rPr>
        <w:t>SIZE</w:t>
      </w:r>
      <w:r w:rsidRPr="00FA0D37">
        <w:t xml:space="preserve"> (1..maxCAG-Cell-r16))</w:t>
      </w:r>
      <w:r w:rsidRPr="00FA0D37">
        <w:rPr>
          <w:color w:val="993366"/>
        </w:rPr>
        <w:t xml:space="preserve"> OF</w:t>
      </w:r>
      <w:r w:rsidRPr="00FA0D37">
        <w:t xml:space="preserve"> PCI-Range</w:t>
      </w:r>
    </w:p>
    <w:p w14:paraId="19A5871A" w14:textId="77777777" w:rsidR="00394471" w:rsidRPr="00FA0D37" w:rsidRDefault="00394471" w:rsidP="00FA0D37">
      <w:pPr>
        <w:pStyle w:val="PL"/>
      </w:pPr>
      <w:r w:rsidRPr="00FA0D37">
        <w:t>}</w:t>
      </w:r>
    </w:p>
    <w:p w14:paraId="7E3CC184" w14:textId="77777777" w:rsidR="00394471" w:rsidRPr="00FA0D37" w:rsidRDefault="00394471" w:rsidP="00FA0D37">
      <w:pPr>
        <w:pStyle w:val="PL"/>
      </w:pPr>
    </w:p>
    <w:p w14:paraId="7BD8D352" w14:textId="77777777" w:rsidR="00394471" w:rsidRPr="00FA0D37" w:rsidRDefault="00394471" w:rsidP="00FA0D37">
      <w:pPr>
        <w:pStyle w:val="PL"/>
        <w:rPr>
          <w:color w:val="808080"/>
        </w:rPr>
      </w:pPr>
      <w:r w:rsidRPr="00FA0D37">
        <w:rPr>
          <w:color w:val="808080"/>
        </w:rPr>
        <w:t>-- TAG-SIB4-STOP</w:t>
      </w:r>
    </w:p>
    <w:p w14:paraId="482FE00F" w14:textId="77777777" w:rsidR="00394471" w:rsidRPr="00FA0D37" w:rsidRDefault="00394471" w:rsidP="00FA0D37">
      <w:pPr>
        <w:pStyle w:val="PL"/>
        <w:rPr>
          <w:color w:val="808080"/>
        </w:rPr>
      </w:pPr>
      <w:r w:rsidRPr="00FA0D37">
        <w:rPr>
          <w:color w:val="808080"/>
        </w:rPr>
        <w:t>-- ASN1STOP</w:t>
      </w:r>
    </w:p>
    <w:p w14:paraId="6FB36F3F" w14:textId="77777777" w:rsidR="00394471" w:rsidRPr="00FA0D3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41A4FCA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BFAEE2" w14:textId="77777777" w:rsidR="00394471" w:rsidRPr="00FA0D37" w:rsidRDefault="00394471" w:rsidP="00964CC4">
            <w:pPr>
              <w:pStyle w:val="TAH"/>
              <w:rPr>
                <w:lang w:eastAsia="en-GB"/>
              </w:rPr>
            </w:pPr>
            <w:r w:rsidRPr="00FA0D37">
              <w:rPr>
                <w:i/>
                <w:noProof/>
                <w:lang w:eastAsia="en-GB"/>
              </w:rPr>
              <w:lastRenderedPageBreak/>
              <w:t>SIB4</w:t>
            </w:r>
            <w:r w:rsidRPr="00FA0D37">
              <w:rPr>
                <w:iCs/>
                <w:noProof/>
                <w:lang w:eastAsia="en-GB"/>
              </w:rPr>
              <w:t xml:space="preserve"> field descriptions</w:t>
            </w:r>
          </w:p>
        </w:tc>
      </w:tr>
      <w:tr w:rsidR="005C7FF4" w:rsidRPr="00FA0D37" w14:paraId="685A911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C6EDF" w14:textId="77777777" w:rsidR="00394471" w:rsidRPr="00FA0D37" w:rsidRDefault="00394471" w:rsidP="00964CC4">
            <w:pPr>
              <w:pStyle w:val="TAL"/>
              <w:rPr>
                <w:b/>
                <w:bCs/>
                <w:i/>
                <w:noProof/>
                <w:lang w:eastAsia="en-GB"/>
              </w:rPr>
            </w:pPr>
            <w:r w:rsidRPr="00FA0D37">
              <w:rPr>
                <w:b/>
                <w:bCs/>
                <w:i/>
                <w:noProof/>
                <w:lang w:eastAsia="en-GB"/>
              </w:rPr>
              <w:t>absThreshSS-BlocksConsolidation</w:t>
            </w:r>
          </w:p>
          <w:p w14:paraId="4DB65EAA" w14:textId="77777777" w:rsidR="00394471" w:rsidRPr="00FA0D37" w:rsidRDefault="00394471" w:rsidP="00964CC4">
            <w:pPr>
              <w:pStyle w:val="TAL"/>
              <w:rPr>
                <w:lang w:eastAsia="en-GB"/>
              </w:rPr>
            </w:pPr>
            <w:r w:rsidRPr="00FA0D37">
              <w:rPr>
                <w:lang w:eastAsia="en-GB"/>
              </w:rPr>
              <w:t>Threshold for consolidation of L1 measurements per RS index. If the field is absent, the UE uses the measurement quantity as specified in TS 38.304 [20].</w:t>
            </w:r>
          </w:p>
        </w:tc>
      </w:tr>
      <w:tr w:rsidR="005C7FF4" w:rsidRPr="00FA0D37" w14:paraId="750ECB6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105FE" w14:textId="77777777" w:rsidR="00775C81" w:rsidRPr="00FA0D37" w:rsidRDefault="00775C81" w:rsidP="00A12BD9">
            <w:pPr>
              <w:pStyle w:val="TAL"/>
              <w:rPr>
                <w:b/>
                <w:bCs/>
                <w:i/>
                <w:iCs/>
                <w:lang w:eastAsia="sv-SE"/>
              </w:rPr>
            </w:pPr>
            <w:r w:rsidRPr="00FA0D37">
              <w:rPr>
                <w:b/>
                <w:bCs/>
                <w:i/>
                <w:iCs/>
                <w:lang w:eastAsia="en-GB"/>
              </w:rPr>
              <w:t>channelAccessMode2</w:t>
            </w:r>
          </w:p>
          <w:p w14:paraId="206F9E0B" w14:textId="045A2FF8" w:rsidR="00775C81" w:rsidRPr="00FA0D37" w:rsidRDefault="00775C81" w:rsidP="00A12BD9">
            <w:pPr>
              <w:pStyle w:val="TAL"/>
              <w:rPr>
                <w:noProof/>
                <w:lang w:eastAsia="en-GB"/>
              </w:rPr>
            </w:pPr>
            <w:r w:rsidRPr="00FA0D37">
              <w:t xml:space="preserve">If present, this field </w:t>
            </w:r>
            <w:r w:rsidRPr="00FA0D37">
              <w:rPr>
                <w:lang w:eastAsia="sv-SE"/>
              </w:rPr>
              <w:t>indicates that the neighbor cells on the inter-frequency apply channel access mode procedures for operation with shared spectrum channel access in accordance with TS 37.213 [48], clause 4.4 for FR2-2. If absent, the neighbor cell</w:t>
            </w:r>
            <w:r w:rsidR="00B822E7" w:rsidRPr="00FA0D37">
              <w:rPr>
                <w:lang w:eastAsia="sv-SE"/>
              </w:rPr>
              <w:t>s</w:t>
            </w:r>
            <w:r w:rsidRPr="00FA0D37">
              <w:rPr>
                <w:lang w:eastAsia="sv-SE"/>
              </w:rPr>
              <w:t xml:space="preserve"> </w:t>
            </w:r>
            <w:r w:rsidR="00B822E7" w:rsidRPr="00FA0D37">
              <w:rPr>
                <w:rFonts w:cs="Arial"/>
                <w:lang w:eastAsia="sv-SE"/>
              </w:rPr>
              <w:t xml:space="preserve">on the inter-frequency </w:t>
            </w:r>
            <w:r w:rsidRPr="00FA0D37">
              <w:rPr>
                <w:lang w:eastAsia="sv-SE"/>
              </w:rPr>
              <w:t>do not apply any channel access procedure.</w:t>
            </w:r>
          </w:p>
        </w:tc>
      </w:tr>
      <w:tr w:rsidR="005C7FF4" w:rsidRPr="00FA0D37" w14:paraId="7FA683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E4BA5" w14:textId="77777777" w:rsidR="00394471" w:rsidRPr="00FA0D37" w:rsidRDefault="00394471" w:rsidP="00964CC4">
            <w:pPr>
              <w:pStyle w:val="TAL"/>
              <w:rPr>
                <w:b/>
                <w:bCs/>
                <w:i/>
                <w:iCs/>
                <w:lang w:eastAsia="sv-SE"/>
              </w:rPr>
            </w:pPr>
            <w:r w:rsidRPr="00FA0D37">
              <w:rPr>
                <w:b/>
                <w:bCs/>
                <w:i/>
                <w:iCs/>
                <w:lang w:eastAsia="sv-SE"/>
              </w:rPr>
              <w:t>deriveSSB-IndexFromCell</w:t>
            </w:r>
          </w:p>
          <w:p w14:paraId="0928DCAD" w14:textId="77777777" w:rsidR="00394471" w:rsidRPr="00FA0D37" w:rsidRDefault="00394471" w:rsidP="00964CC4">
            <w:pPr>
              <w:pStyle w:val="TAL"/>
              <w:rPr>
                <w:b/>
                <w:bCs/>
                <w:i/>
                <w:noProof/>
                <w:lang w:eastAsia="en-GB"/>
              </w:rPr>
            </w:pPr>
            <w:r w:rsidRPr="00FA0D37">
              <w:rPr>
                <w:szCs w:val="22"/>
                <w:lang w:eastAsia="sv-SE"/>
              </w:rPr>
              <w:t xml:space="preserve">This field indicates whether the UE may use the timing of any detected cell on that frequency to derive the SSB index of all neighbour cells on that frequency. </w:t>
            </w:r>
            <w:r w:rsidRPr="00FA0D37">
              <w:rPr>
                <w:lang w:eastAsia="sv-SE"/>
              </w:rPr>
              <w:t xml:space="preserve">If this field is set to </w:t>
            </w:r>
            <w:r w:rsidRPr="00FA0D37">
              <w:rPr>
                <w:i/>
                <w:lang w:eastAsia="sv-SE"/>
              </w:rPr>
              <w:t>true</w:t>
            </w:r>
            <w:r w:rsidRPr="00FA0D37">
              <w:rPr>
                <w:lang w:eastAsia="sv-SE"/>
              </w:rPr>
              <w:t>, the UE assumes SFN and frame boundary alignment across cells on the neighbor frequency as specified in TS 38.133 [14].</w:t>
            </w:r>
          </w:p>
        </w:tc>
      </w:tr>
      <w:tr w:rsidR="005C7FF4" w:rsidRPr="00FA0D37" w14:paraId="72B7F8A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092D58" w14:textId="77777777" w:rsidR="00394471" w:rsidRPr="00FA0D37" w:rsidRDefault="00394471" w:rsidP="00964CC4">
            <w:pPr>
              <w:pStyle w:val="TAL"/>
              <w:rPr>
                <w:b/>
                <w:bCs/>
                <w:i/>
                <w:iCs/>
                <w:lang w:eastAsia="sv-SE"/>
              </w:rPr>
            </w:pPr>
            <w:r w:rsidRPr="00FA0D37">
              <w:rPr>
                <w:b/>
                <w:bCs/>
                <w:i/>
                <w:iCs/>
                <w:lang w:eastAsia="sv-SE"/>
              </w:rPr>
              <w:t>dl-CarrierFreq</w:t>
            </w:r>
          </w:p>
          <w:p w14:paraId="251D5E50" w14:textId="758F5C38" w:rsidR="00394471" w:rsidRPr="00FA0D37" w:rsidRDefault="00394471" w:rsidP="00964CC4">
            <w:pPr>
              <w:pStyle w:val="TAL"/>
              <w:rPr>
                <w:lang w:eastAsia="sv-SE"/>
              </w:rPr>
            </w:pPr>
            <w:r w:rsidRPr="00FA0D37">
              <w:rPr>
                <w:lang w:eastAsia="sv-SE"/>
              </w:rPr>
              <w:t>This field indicates center frequency of the SS block of the neighbour cells, where the frequency corresponds to a GSCN value as specified in TS 38.101-1 [15]</w:t>
            </w:r>
            <w:r w:rsidR="00862D3D" w:rsidRPr="00FA0D37">
              <w:rPr>
                <w:lang w:eastAsia="sv-SE"/>
              </w:rPr>
              <w:t xml:space="preserve"> or TS 38.101-5 [75]</w:t>
            </w:r>
            <w:r w:rsidRPr="00FA0D37">
              <w:rPr>
                <w:lang w:eastAsia="sv-SE"/>
              </w:rPr>
              <w:t>.</w:t>
            </w:r>
          </w:p>
        </w:tc>
      </w:tr>
      <w:tr w:rsidR="005C7FF4" w:rsidRPr="00FA0D37" w14:paraId="5BC3A86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CA22F7" w14:textId="77777777" w:rsidR="00394471" w:rsidRPr="00FA0D37" w:rsidRDefault="00394471" w:rsidP="00964CC4">
            <w:pPr>
              <w:pStyle w:val="TAL"/>
              <w:rPr>
                <w:b/>
                <w:bCs/>
                <w:i/>
                <w:noProof/>
                <w:lang w:eastAsia="en-GB"/>
              </w:rPr>
            </w:pPr>
            <w:r w:rsidRPr="00FA0D37">
              <w:rPr>
                <w:b/>
                <w:bCs/>
                <w:i/>
                <w:noProof/>
                <w:lang w:eastAsia="en-GB"/>
              </w:rPr>
              <w:t>frequencyBandList</w:t>
            </w:r>
          </w:p>
          <w:p w14:paraId="63AC158D" w14:textId="77777777" w:rsidR="00394471" w:rsidRPr="00FA0D37" w:rsidRDefault="00394471" w:rsidP="00964CC4">
            <w:pPr>
              <w:pStyle w:val="TAL"/>
              <w:rPr>
                <w:bCs/>
                <w:noProof/>
                <w:lang w:eastAsia="en-GB"/>
              </w:rPr>
            </w:pPr>
            <w:r w:rsidRPr="00FA0D37">
              <w:rPr>
                <w:bCs/>
                <w:noProof/>
                <w:lang w:eastAsia="en-GB"/>
              </w:rPr>
              <w:t>Indicates the list of frequency bands for which the NR cell reselection parameters apply.</w:t>
            </w:r>
          </w:p>
        </w:tc>
      </w:tr>
      <w:tr w:rsidR="005C7FF4" w:rsidRPr="00FA0D37" w14:paraId="1462CCA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2BFA396D" w14:textId="77777777" w:rsidR="00F53531" w:rsidRPr="00FA0D37" w:rsidRDefault="00F53531" w:rsidP="00771058">
            <w:pPr>
              <w:pStyle w:val="TAL"/>
              <w:rPr>
                <w:b/>
                <w:bCs/>
                <w:i/>
                <w:iCs/>
              </w:rPr>
            </w:pPr>
            <w:r w:rsidRPr="00FA0D37">
              <w:rPr>
                <w:b/>
                <w:bCs/>
                <w:i/>
                <w:iCs/>
              </w:rPr>
              <w:t>highSpeedMeasInterFreq</w:t>
            </w:r>
          </w:p>
          <w:p w14:paraId="3979E569" w14:textId="77777777" w:rsidR="00F53531" w:rsidRPr="00FA0D37" w:rsidRDefault="00F53531" w:rsidP="00771058">
            <w:pPr>
              <w:pStyle w:val="TAL"/>
              <w:rPr>
                <w:b/>
                <w:bCs/>
                <w:i/>
                <w:noProof/>
                <w:lang w:eastAsia="en-GB"/>
              </w:rPr>
            </w:pPr>
            <w:r w:rsidRPr="00FA0D37">
              <w:t xml:space="preserve">If the field is set to </w:t>
            </w:r>
            <w:r w:rsidRPr="00FA0D37">
              <w:rPr>
                <w:i/>
                <w:iCs/>
              </w:rPr>
              <w:t>true</w:t>
            </w:r>
            <w:r w:rsidRPr="00FA0D37">
              <w:t xml:space="preserve"> </w:t>
            </w:r>
            <w:r w:rsidRPr="00FA0D37">
              <w:rPr>
                <w:rFonts w:cs="Arial"/>
                <w:szCs w:val="18"/>
              </w:rPr>
              <w:t>and</w:t>
            </w:r>
            <w:r w:rsidRPr="00FA0D37">
              <w:rPr>
                <w:rFonts w:eastAsia="TimesNewRomanPSMT" w:cs="Arial"/>
                <w:szCs w:val="18"/>
              </w:rPr>
              <w:t xml:space="preserve"> </w:t>
            </w:r>
            <w:r w:rsidRPr="00FA0D37">
              <w:rPr>
                <w:rFonts w:cs="Arial"/>
                <w:szCs w:val="18"/>
              </w:rPr>
              <w:t>UE supports</w:t>
            </w:r>
            <w:r w:rsidRPr="00FA0D37">
              <w:rPr>
                <w:rFonts w:eastAsia="TimesNewRomanPSMT" w:cs="Arial"/>
                <w:szCs w:val="18"/>
              </w:rPr>
              <w:t xml:space="preserve"> </w:t>
            </w:r>
            <w:r w:rsidRPr="00FA0D37">
              <w:t>high speed inter-frequency IDLE/INACTIVE measurements, the UE shall apply the enhanced inter-frequency RRM requirements on the inter-frequency carrier to support high speed up to 500 km/h in RRC_IDLE/RRC_INACTIVE as specified in TS 38.133 [14].</w:t>
            </w:r>
          </w:p>
        </w:tc>
      </w:tr>
      <w:tr w:rsidR="005C7FF4" w:rsidRPr="00FA0D37" w:rsidDel="00214979" w14:paraId="3D53D04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1B4E93B6" w14:textId="77777777" w:rsidR="00214979" w:rsidRPr="00FA0D37" w:rsidRDefault="00214979" w:rsidP="00214979">
            <w:pPr>
              <w:pStyle w:val="TAL"/>
              <w:rPr>
                <w:b/>
                <w:bCs/>
                <w:i/>
                <w:noProof/>
                <w:lang w:eastAsia="en-GB"/>
              </w:rPr>
            </w:pPr>
            <w:r w:rsidRPr="00FA0D37">
              <w:rPr>
                <w:b/>
                <w:bCs/>
                <w:i/>
                <w:noProof/>
                <w:lang w:eastAsia="en-GB"/>
              </w:rPr>
              <w:t>interFreqAllowedCellList</w:t>
            </w:r>
          </w:p>
          <w:p w14:paraId="6F26C4AB" w14:textId="308563BE" w:rsidR="00214979" w:rsidRPr="00FA0D37" w:rsidDel="00214979" w:rsidRDefault="00214979" w:rsidP="00214979">
            <w:pPr>
              <w:pStyle w:val="TAL"/>
              <w:rPr>
                <w:b/>
                <w:bCs/>
                <w:i/>
                <w:noProof/>
                <w:lang w:eastAsia="en-GB"/>
              </w:rPr>
            </w:pPr>
            <w:r w:rsidRPr="00FA0D37">
              <w:rPr>
                <w:rFonts w:cs="Arial"/>
                <w:lang w:eastAsia="en-GB"/>
              </w:rPr>
              <w:t xml:space="preserve">List of allow-listed inter-frequency neighbouring cells, </w:t>
            </w:r>
            <w:r w:rsidRPr="00FA0D37">
              <w:rPr>
                <w:rFonts w:cs="Arial"/>
                <w:szCs w:val="22"/>
                <w:lang w:eastAsia="sv-SE"/>
              </w:rPr>
              <w:t>see TS 38.304 [20], clause 5.2.4.</w:t>
            </w:r>
          </w:p>
        </w:tc>
      </w:tr>
      <w:tr w:rsidR="005C7FF4" w:rsidRPr="00FA0D37" w14:paraId="40087F7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81B764" w14:textId="77777777" w:rsidR="00394471" w:rsidRPr="00FA0D37" w:rsidRDefault="00394471" w:rsidP="00964CC4">
            <w:pPr>
              <w:pStyle w:val="TAL"/>
              <w:rPr>
                <w:b/>
                <w:bCs/>
                <w:i/>
                <w:iCs/>
                <w:noProof/>
                <w:lang w:eastAsia="en-GB"/>
              </w:rPr>
            </w:pPr>
            <w:r w:rsidRPr="00FA0D37">
              <w:rPr>
                <w:b/>
                <w:bCs/>
                <w:i/>
                <w:iCs/>
                <w:noProof/>
                <w:lang w:eastAsia="en-GB"/>
              </w:rPr>
              <w:t>interFreqCAG-CellList</w:t>
            </w:r>
          </w:p>
          <w:p w14:paraId="21652350" w14:textId="77777777" w:rsidR="00394471" w:rsidRPr="00FA0D37" w:rsidRDefault="00394471" w:rsidP="00964CC4">
            <w:pPr>
              <w:pStyle w:val="TAL"/>
              <w:rPr>
                <w:b/>
                <w:bCs/>
                <w:i/>
                <w:noProof/>
                <w:lang w:eastAsia="en-GB"/>
              </w:rPr>
            </w:pPr>
            <w:r w:rsidRPr="00FA0D37">
              <w:rPr>
                <w:rFonts w:cs="Arial"/>
                <w:lang w:eastAsia="en-GB"/>
              </w:rPr>
              <w:t>List of inter-frequency neighbouring CAG cells (as defined in TS 38.304 [20] per PLMN.</w:t>
            </w:r>
          </w:p>
        </w:tc>
      </w:tr>
      <w:tr w:rsidR="005C7FF4" w:rsidRPr="00FA0D37" w14:paraId="121101F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DE18D" w14:textId="77777777" w:rsidR="00394471" w:rsidRPr="00FA0D37" w:rsidRDefault="00394471" w:rsidP="00964CC4">
            <w:pPr>
              <w:pStyle w:val="TAL"/>
              <w:rPr>
                <w:b/>
                <w:i/>
                <w:noProof/>
                <w:lang w:eastAsia="sv-SE"/>
              </w:rPr>
            </w:pPr>
            <w:r w:rsidRPr="00FA0D37">
              <w:rPr>
                <w:b/>
                <w:i/>
                <w:noProof/>
                <w:lang w:eastAsia="sv-SE"/>
              </w:rPr>
              <w:t>interFreqCarrierFreqList</w:t>
            </w:r>
          </w:p>
          <w:p w14:paraId="2C92AD59" w14:textId="5D6980D6" w:rsidR="00394471" w:rsidRPr="00FA0D37" w:rsidRDefault="00394471" w:rsidP="00964CC4">
            <w:pPr>
              <w:pStyle w:val="TAL"/>
              <w:rPr>
                <w:noProof/>
                <w:lang w:eastAsia="en-US"/>
              </w:rPr>
            </w:pPr>
            <w:r w:rsidRPr="00FA0D37">
              <w:rPr>
                <w:noProof/>
                <w:lang w:eastAsia="sv-SE"/>
              </w:rPr>
              <w:t xml:space="preserve">List of neighbouring carrier frequencies and frequency specific cell re-selection information. </w:t>
            </w:r>
            <w:r w:rsidRPr="00FA0D37">
              <w:rPr>
                <w:szCs w:val="22"/>
                <w:lang w:eastAsia="sv-SE"/>
              </w:rPr>
              <w:t xml:space="preserve">If </w:t>
            </w:r>
            <w:r w:rsidRPr="00FA0D37">
              <w:rPr>
                <w:i/>
                <w:szCs w:val="22"/>
                <w:lang w:eastAsia="sv-SE"/>
              </w:rPr>
              <w:t>interFreqCarrierFreqList-v1610</w:t>
            </w:r>
            <w:r w:rsidR="00775C81" w:rsidRPr="00FA0D37">
              <w:rPr>
                <w:i/>
                <w:szCs w:val="22"/>
                <w:lang w:eastAsia="sv-SE"/>
              </w:rPr>
              <w:t>,</w:t>
            </w:r>
            <w:r w:rsidR="000347BD" w:rsidRPr="00FA0D37">
              <w:rPr>
                <w:i/>
                <w:szCs w:val="22"/>
                <w:lang w:eastAsia="sv-SE"/>
              </w:rPr>
              <w:t xml:space="preserve"> </w:t>
            </w:r>
            <w:r w:rsidR="002E44EF" w:rsidRPr="00FA0D37">
              <w:rPr>
                <w:i/>
                <w:szCs w:val="22"/>
                <w:lang w:eastAsia="sv-SE"/>
              </w:rPr>
              <w:t>interFreqCarrierFreqList-v1700</w:t>
            </w:r>
            <w:r w:rsidR="006D1637" w:rsidRPr="00FA0D37">
              <w:rPr>
                <w:i/>
                <w:szCs w:val="22"/>
                <w:lang w:eastAsia="sv-SE"/>
              </w:rPr>
              <w:t xml:space="preserve">, </w:t>
            </w:r>
            <w:r w:rsidR="006D1637" w:rsidRPr="00FA0D37">
              <w:rPr>
                <w:rFonts w:cs="Arial"/>
                <w:i/>
                <w:szCs w:val="22"/>
                <w:lang w:eastAsia="sv-SE"/>
              </w:rPr>
              <w:t>interFreqCarrierFreqList-v1720</w:t>
            </w:r>
            <w:r w:rsidR="005431A1" w:rsidRPr="00FA0D37">
              <w:rPr>
                <w:rFonts w:cs="Arial"/>
                <w:iCs/>
                <w:szCs w:val="22"/>
                <w:lang w:eastAsia="sv-SE"/>
              </w:rPr>
              <w:t>,</w:t>
            </w:r>
            <w:r w:rsidR="00775C81" w:rsidRPr="00FA0D37">
              <w:rPr>
                <w:iCs/>
                <w:szCs w:val="22"/>
                <w:lang w:eastAsia="sv-SE"/>
              </w:rPr>
              <w:t xml:space="preserve"> </w:t>
            </w:r>
            <w:r w:rsidR="00775C81" w:rsidRPr="00FA0D37">
              <w:rPr>
                <w:rFonts w:cs="Arial"/>
                <w:i/>
                <w:szCs w:val="22"/>
                <w:lang w:eastAsia="sv-SE"/>
              </w:rPr>
              <w:t>interFreqCarrierFreqList-v1730</w:t>
            </w:r>
            <w:r w:rsidR="005431A1" w:rsidRPr="00FA0D37">
              <w:rPr>
                <w:iCs/>
                <w:szCs w:val="22"/>
                <w:lang w:eastAsia="sv-SE"/>
              </w:rPr>
              <w:t xml:space="preserve"> or </w:t>
            </w:r>
            <w:r w:rsidR="005431A1" w:rsidRPr="00FA0D37">
              <w:rPr>
                <w:rFonts w:cs="Arial"/>
                <w:i/>
                <w:szCs w:val="22"/>
                <w:lang w:eastAsia="sv-SE"/>
              </w:rPr>
              <w:t>interFreqCarrierFreqList-v1760</w:t>
            </w:r>
            <w:r w:rsidR="00775C81" w:rsidRPr="00FA0D37">
              <w:rPr>
                <w:iCs/>
                <w:szCs w:val="22"/>
                <w:lang w:eastAsia="sv-SE"/>
              </w:rPr>
              <w:t xml:space="preserve"> </w:t>
            </w:r>
            <w:r w:rsidR="00F53531" w:rsidRPr="00FA0D37">
              <w:rPr>
                <w:szCs w:val="22"/>
                <w:lang w:eastAsia="sv-SE"/>
              </w:rPr>
              <w:t>are</w:t>
            </w:r>
            <w:r w:rsidRPr="00FA0D37">
              <w:rPr>
                <w:szCs w:val="22"/>
                <w:lang w:eastAsia="sv-SE"/>
              </w:rPr>
              <w:t xml:space="preserve"> present, </w:t>
            </w:r>
            <w:r w:rsidR="00F53531" w:rsidRPr="00FA0D37">
              <w:rPr>
                <w:szCs w:val="22"/>
                <w:lang w:eastAsia="sv-SE"/>
              </w:rPr>
              <w:t>they</w:t>
            </w:r>
            <w:r w:rsidRPr="00FA0D37">
              <w:rPr>
                <w:szCs w:val="22"/>
                <w:lang w:eastAsia="sv-SE"/>
              </w:rPr>
              <w:t xml:space="preserve"> shall contain the same number of entries, listed in the same order as in </w:t>
            </w:r>
            <w:r w:rsidRPr="00FA0D37">
              <w:rPr>
                <w:i/>
                <w:szCs w:val="22"/>
                <w:lang w:eastAsia="sv-SE"/>
              </w:rPr>
              <w:t xml:space="preserve">interFreqCarrierFreqList </w:t>
            </w:r>
            <w:r w:rsidRPr="00FA0D37">
              <w:rPr>
                <w:szCs w:val="22"/>
                <w:lang w:eastAsia="sv-SE"/>
              </w:rPr>
              <w:t>(without suffix).</w:t>
            </w:r>
          </w:p>
        </w:tc>
      </w:tr>
      <w:tr w:rsidR="005C7FF4" w:rsidRPr="00FA0D37" w14:paraId="4BBA29E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76BD960" w14:textId="77777777" w:rsidR="00214979" w:rsidRPr="00FA0D37" w:rsidRDefault="00214979" w:rsidP="00771058">
            <w:pPr>
              <w:pStyle w:val="TAL"/>
              <w:rPr>
                <w:b/>
                <w:bCs/>
                <w:i/>
                <w:noProof/>
                <w:lang w:eastAsia="en-GB"/>
              </w:rPr>
            </w:pPr>
            <w:r w:rsidRPr="00FA0D37">
              <w:rPr>
                <w:b/>
                <w:bCs/>
                <w:i/>
                <w:noProof/>
                <w:lang w:eastAsia="en-GB"/>
              </w:rPr>
              <w:t>interFreqExcludedCellList</w:t>
            </w:r>
          </w:p>
          <w:p w14:paraId="7F7F24F8" w14:textId="77777777" w:rsidR="00214979" w:rsidRPr="00FA0D37" w:rsidRDefault="00214979" w:rsidP="00771058">
            <w:pPr>
              <w:pStyle w:val="TAL"/>
              <w:rPr>
                <w:b/>
                <w:bCs/>
                <w:i/>
                <w:noProof/>
                <w:lang w:eastAsia="en-GB"/>
              </w:rPr>
            </w:pPr>
            <w:r w:rsidRPr="00FA0D37">
              <w:rPr>
                <w:lang w:eastAsia="en-GB"/>
              </w:rPr>
              <w:t>List of exclude-listed inter-frequency neighbouring cells.</w:t>
            </w:r>
          </w:p>
        </w:tc>
      </w:tr>
      <w:tr w:rsidR="005C7FF4" w:rsidRPr="00FA0D37" w14:paraId="6252B5F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5BB13" w14:textId="77777777" w:rsidR="00394471" w:rsidRPr="00FA0D37" w:rsidRDefault="00394471" w:rsidP="00964CC4">
            <w:pPr>
              <w:pStyle w:val="TAL"/>
              <w:rPr>
                <w:b/>
                <w:bCs/>
                <w:i/>
                <w:noProof/>
                <w:lang w:eastAsia="en-GB"/>
              </w:rPr>
            </w:pPr>
            <w:r w:rsidRPr="00FA0D37">
              <w:rPr>
                <w:b/>
                <w:bCs/>
                <w:i/>
                <w:noProof/>
                <w:lang w:eastAsia="en-GB"/>
              </w:rPr>
              <w:t>interFreqNeighCellList</w:t>
            </w:r>
          </w:p>
          <w:p w14:paraId="726686EA" w14:textId="77777777" w:rsidR="00394471" w:rsidRPr="00FA0D37" w:rsidRDefault="00394471" w:rsidP="00964CC4">
            <w:pPr>
              <w:pStyle w:val="TAL"/>
              <w:rPr>
                <w:lang w:eastAsia="en-GB"/>
              </w:rPr>
            </w:pPr>
            <w:r w:rsidRPr="00FA0D37">
              <w:rPr>
                <w:lang w:eastAsia="en-GB"/>
              </w:rPr>
              <w:t>List of inter-frequency neighbouring cells with specific cell re-selection parameters.</w:t>
            </w:r>
            <w:r w:rsidRPr="00FA0D37">
              <w:rPr>
                <w:szCs w:val="22"/>
                <w:lang w:eastAsia="sv-SE"/>
              </w:rPr>
              <w:t xml:space="preserve"> If </w:t>
            </w:r>
            <w:r w:rsidRPr="00FA0D37">
              <w:rPr>
                <w:i/>
                <w:szCs w:val="22"/>
                <w:lang w:eastAsia="sv-SE"/>
              </w:rPr>
              <w:t xml:space="preserve">interFreqNeighCellList-v1610 </w:t>
            </w:r>
            <w:r w:rsidRPr="00FA0D37">
              <w:rPr>
                <w:szCs w:val="22"/>
                <w:lang w:eastAsia="sv-SE"/>
              </w:rPr>
              <w:t xml:space="preserve">is present, it shall contain the same number of entries, listed in the same order as in </w:t>
            </w:r>
            <w:r w:rsidRPr="00FA0D37">
              <w:rPr>
                <w:i/>
                <w:szCs w:val="22"/>
                <w:lang w:eastAsia="sv-SE"/>
              </w:rPr>
              <w:t xml:space="preserve">interFreqNeighCellList </w:t>
            </w:r>
            <w:r w:rsidRPr="00FA0D37">
              <w:rPr>
                <w:szCs w:val="22"/>
                <w:lang w:eastAsia="sv-SE"/>
              </w:rPr>
              <w:t>(without suffix).</w:t>
            </w:r>
          </w:p>
        </w:tc>
      </w:tr>
      <w:tr w:rsidR="005C7FF4" w:rsidRPr="00FA0D37" w14:paraId="48CB330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CC54B35" w14:textId="76580A3B" w:rsidR="002E44EF" w:rsidRPr="00FA0D37" w:rsidRDefault="00345BEA" w:rsidP="002E44EF">
            <w:pPr>
              <w:pStyle w:val="TAL"/>
              <w:rPr>
                <w:b/>
                <w:bCs/>
                <w:i/>
                <w:noProof/>
                <w:lang w:eastAsia="en-GB"/>
              </w:rPr>
            </w:pPr>
            <w:r w:rsidRPr="00FA0D37">
              <w:rPr>
                <w:b/>
                <w:bCs/>
                <w:i/>
                <w:noProof/>
                <w:lang w:eastAsia="en-GB"/>
              </w:rPr>
              <w:t>i</w:t>
            </w:r>
            <w:r w:rsidR="002E44EF" w:rsidRPr="00FA0D37">
              <w:rPr>
                <w:b/>
                <w:bCs/>
                <w:i/>
                <w:noProof/>
                <w:lang w:eastAsia="en-GB"/>
              </w:rPr>
              <w:t>nterFreqNeighHSDN-CellList</w:t>
            </w:r>
          </w:p>
          <w:p w14:paraId="5BFE608F" w14:textId="37E32691" w:rsidR="002E44EF" w:rsidRPr="00FA0D37" w:rsidRDefault="002E44EF" w:rsidP="002E44EF">
            <w:pPr>
              <w:pStyle w:val="TAL"/>
              <w:rPr>
                <w:iCs/>
                <w:noProof/>
                <w:lang w:eastAsia="en-GB"/>
              </w:rPr>
            </w:pPr>
            <w:r w:rsidRPr="00FA0D37">
              <w:rPr>
                <w:iCs/>
                <w:noProof/>
                <w:lang w:eastAsia="en-GB"/>
              </w:rPr>
              <w:t>List of inter-frequency neighbouring HSDN cells as specified in TS 38.304 [20].</w:t>
            </w:r>
          </w:p>
        </w:tc>
      </w:tr>
      <w:tr w:rsidR="005C7FF4" w:rsidRPr="00FA0D37" w14:paraId="3D5941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9A966" w14:textId="77777777" w:rsidR="00394471" w:rsidRPr="00FA0D37" w:rsidRDefault="00394471" w:rsidP="00964CC4">
            <w:pPr>
              <w:pStyle w:val="TAL"/>
              <w:rPr>
                <w:b/>
                <w:bCs/>
                <w:i/>
                <w:noProof/>
                <w:lang w:eastAsia="en-GB"/>
              </w:rPr>
            </w:pPr>
            <w:r w:rsidRPr="00FA0D37">
              <w:rPr>
                <w:b/>
                <w:bCs/>
                <w:i/>
                <w:noProof/>
                <w:lang w:eastAsia="en-GB"/>
              </w:rPr>
              <w:t>nrofSS-BlocksToAverage</w:t>
            </w:r>
          </w:p>
          <w:p w14:paraId="0BF47C82" w14:textId="77777777" w:rsidR="00394471" w:rsidRPr="00FA0D37" w:rsidRDefault="00394471" w:rsidP="00964CC4">
            <w:pPr>
              <w:pStyle w:val="TAL"/>
              <w:rPr>
                <w:lang w:eastAsia="en-GB"/>
              </w:rPr>
            </w:pPr>
            <w:r w:rsidRPr="00FA0D37">
              <w:rPr>
                <w:lang w:eastAsia="en-GB"/>
              </w:rPr>
              <w:t>Number of SS blocks to average for cell measurement derivation. If the field is absent, the UE uses the measurement quantity as specified in TS 38.304 [20].</w:t>
            </w:r>
          </w:p>
        </w:tc>
      </w:tr>
      <w:tr w:rsidR="005C7FF4" w:rsidRPr="00FA0D37" w14:paraId="3D44839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3714C" w14:textId="77777777" w:rsidR="00394471" w:rsidRPr="00FA0D37" w:rsidRDefault="00394471" w:rsidP="00964CC4">
            <w:pPr>
              <w:pStyle w:val="TAL"/>
              <w:rPr>
                <w:b/>
                <w:bCs/>
                <w:i/>
                <w:noProof/>
                <w:lang w:eastAsia="en-GB"/>
              </w:rPr>
            </w:pPr>
            <w:r w:rsidRPr="00FA0D37">
              <w:rPr>
                <w:b/>
                <w:bCs/>
                <w:i/>
                <w:noProof/>
                <w:lang w:eastAsia="en-GB"/>
              </w:rPr>
              <w:t>p-Max</w:t>
            </w:r>
          </w:p>
          <w:p w14:paraId="648E2C40" w14:textId="18F2B545" w:rsidR="00394471" w:rsidRPr="00FA0D37" w:rsidRDefault="00394471" w:rsidP="00964CC4">
            <w:pPr>
              <w:pStyle w:val="TAL"/>
              <w:rPr>
                <w:lang w:eastAsia="en-GB"/>
              </w:rPr>
            </w:pPr>
            <w:r w:rsidRPr="00FA0D37">
              <w:rPr>
                <w:iCs/>
                <w:lang w:eastAsia="en-GB"/>
              </w:rPr>
              <w:t xml:space="preserve">Value in dBm applicable for the </w:t>
            </w:r>
            <w:r w:rsidRPr="00FA0D37">
              <w:rPr>
                <w:lang w:eastAsia="en-GB"/>
              </w:rPr>
              <w:t>neighbouring NR cells on this carrier frequency. If absent the UE applies the maximum power according to TS 38.101-1 [15]</w:t>
            </w:r>
            <w:r w:rsidRPr="00FA0D37">
              <w:rPr>
                <w:iCs/>
                <w:lang w:eastAsia="en-GB"/>
              </w:rPr>
              <w:t xml:space="preserve"> in case of an FR1 cell</w:t>
            </w:r>
            <w:r w:rsidR="00862D3D" w:rsidRPr="00FA0D37">
              <w:rPr>
                <w:iCs/>
                <w:lang w:eastAsia="en-GB"/>
              </w:rPr>
              <w:t>,</w:t>
            </w:r>
            <w:r w:rsidRPr="00FA0D37">
              <w:rPr>
                <w:iCs/>
                <w:lang w:eastAsia="en-GB"/>
              </w:rPr>
              <w:t xml:space="preserve"> TS 38.101-2 [39] in case of an FR2 cell</w:t>
            </w:r>
            <w:r w:rsidR="00862D3D" w:rsidRPr="00FA0D37">
              <w:rPr>
                <w:iCs/>
                <w:lang w:eastAsia="en-GB"/>
              </w:rPr>
              <w:t xml:space="preserve"> or TS 38.101-5 [75] in case of an NTN cell</w:t>
            </w:r>
            <w:r w:rsidRPr="00FA0D37">
              <w:rPr>
                <w:iCs/>
                <w:lang w:eastAsia="en-GB"/>
              </w:rPr>
              <w:t xml:space="preserve">. In this release of the specification, if </w:t>
            </w:r>
            <w:r w:rsidRPr="00FA0D37">
              <w:rPr>
                <w:i/>
                <w:iCs/>
                <w:lang w:eastAsia="en-GB"/>
              </w:rPr>
              <w:t>p-Max</w:t>
            </w:r>
            <w:r w:rsidRPr="00FA0D37">
              <w:rPr>
                <w:iCs/>
                <w:lang w:eastAsia="en-GB"/>
              </w:rPr>
              <w:t xml:space="preserve"> is present on a carrier frequency in FR2, the UE shall ignore the field and applies the maximum power according to TS 38.101-2 [39]</w:t>
            </w:r>
            <w:r w:rsidRPr="00FA0D37">
              <w:rPr>
                <w:lang w:eastAsia="en-GB"/>
              </w:rPr>
              <w:t>.</w:t>
            </w:r>
            <w:r w:rsidR="00D027C1" w:rsidRPr="00FA0D37">
              <w:rPr>
                <w:lang w:eastAsia="en-GB"/>
              </w:rPr>
              <w:t xml:space="preserve"> </w:t>
            </w:r>
            <w:r w:rsidR="00D027C1" w:rsidRPr="00FA0D37">
              <w:rPr>
                <w:szCs w:val="22"/>
                <w:lang w:eastAsia="en-GB"/>
              </w:rPr>
              <w:t>This field is ignored by IAB-MT</w:t>
            </w:r>
            <w:r w:rsidR="00D027C1" w:rsidRPr="00FA0D37">
              <w:rPr>
                <w:szCs w:val="22"/>
                <w:lang w:eastAsia="sv-SE"/>
              </w:rPr>
              <w:t>.</w:t>
            </w:r>
            <w:r w:rsidR="00D027C1" w:rsidRPr="00FA0D37">
              <w:rPr>
                <w:szCs w:val="22"/>
                <w:lang w:eastAsia="en-GB"/>
              </w:rPr>
              <w:t xml:space="preserve"> The IAB-MT applies output power and emissions requirements, as specified in TS 38.174 [63]</w:t>
            </w:r>
            <w:r w:rsidR="00D027C1" w:rsidRPr="00FA0D37">
              <w:rPr>
                <w:szCs w:val="22"/>
                <w:lang w:eastAsia="sv-SE"/>
              </w:rPr>
              <w:t>.</w:t>
            </w:r>
          </w:p>
        </w:tc>
      </w:tr>
      <w:tr w:rsidR="005C7FF4" w:rsidRPr="00FA0D37" w14:paraId="592051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363C" w14:textId="77777777" w:rsidR="00394471" w:rsidRPr="00FA0D37" w:rsidRDefault="00394471" w:rsidP="00964CC4">
            <w:pPr>
              <w:pStyle w:val="TAL"/>
              <w:rPr>
                <w:b/>
                <w:bCs/>
                <w:i/>
                <w:noProof/>
                <w:lang w:eastAsia="en-GB"/>
              </w:rPr>
            </w:pPr>
            <w:r w:rsidRPr="00FA0D37">
              <w:rPr>
                <w:b/>
                <w:bCs/>
                <w:i/>
                <w:noProof/>
                <w:lang w:eastAsia="en-GB"/>
              </w:rPr>
              <w:t>q-OffsetCell</w:t>
            </w:r>
          </w:p>
          <w:p w14:paraId="06C54623" w14:textId="77777777" w:rsidR="00394471" w:rsidRPr="00FA0D37" w:rsidRDefault="00394471" w:rsidP="00964CC4">
            <w:pPr>
              <w:pStyle w:val="TAL"/>
              <w:rPr>
                <w:lang w:eastAsia="en-GB"/>
              </w:rPr>
            </w:pPr>
            <w:r w:rsidRPr="00FA0D37">
              <w:rPr>
                <w:lang w:eastAsia="en-GB"/>
              </w:rPr>
              <w:t>Parameter "</w:t>
            </w:r>
            <w:r w:rsidRPr="00FA0D37">
              <w:rPr>
                <w:bCs/>
                <w:lang w:eastAsia="en-GB"/>
              </w:rPr>
              <w:t>Qoffset</w:t>
            </w:r>
            <w:r w:rsidRPr="00FA0D37">
              <w:rPr>
                <w:bCs/>
                <w:vertAlign w:val="subscript"/>
                <w:lang w:eastAsia="en-GB"/>
              </w:rPr>
              <w:t>s,n</w:t>
            </w:r>
            <w:r w:rsidRPr="00FA0D37">
              <w:rPr>
                <w:lang w:eastAsia="en-GB"/>
              </w:rPr>
              <w:t>" in TS 38.304 [20].</w:t>
            </w:r>
          </w:p>
        </w:tc>
      </w:tr>
      <w:tr w:rsidR="005C7FF4" w:rsidRPr="00FA0D37" w14:paraId="7D688D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F2022C" w14:textId="77777777" w:rsidR="00394471" w:rsidRPr="00FA0D37" w:rsidRDefault="00394471" w:rsidP="00964CC4">
            <w:pPr>
              <w:pStyle w:val="TAL"/>
              <w:rPr>
                <w:b/>
                <w:bCs/>
                <w:i/>
                <w:noProof/>
                <w:lang w:eastAsia="en-GB"/>
              </w:rPr>
            </w:pPr>
            <w:r w:rsidRPr="00FA0D37">
              <w:rPr>
                <w:b/>
                <w:bCs/>
                <w:i/>
                <w:noProof/>
                <w:lang w:eastAsia="en-GB"/>
              </w:rPr>
              <w:t>q-OffsetFreq</w:t>
            </w:r>
          </w:p>
          <w:p w14:paraId="2A4A3F3B" w14:textId="77777777" w:rsidR="00394471" w:rsidRPr="00FA0D37" w:rsidRDefault="00394471" w:rsidP="00964CC4">
            <w:pPr>
              <w:pStyle w:val="TAL"/>
              <w:rPr>
                <w:noProof/>
                <w:lang w:eastAsia="en-GB"/>
              </w:rPr>
            </w:pPr>
            <w:r w:rsidRPr="00FA0D37">
              <w:rPr>
                <w:lang w:eastAsia="en-GB"/>
              </w:rPr>
              <w:t>Parameter "</w:t>
            </w:r>
            <w:r w:rsidRPr="00FA0D37">
              <w:rPr>
                <w:bCs/>
                <w:lang w:eastAsia="en-GB"/>
              </w:rPr>
              <w:t>Qoffset</w:t>
            </w:r>
            <w:r w:rsidRPr="00FA0D37">
              <w:rPr>
                <w:bCs/>
                <w:vertAlign w:val="subscript"/>
                <w:lang w:eastAsia="en-GB"/>
              </w:rPr>
              <w:t>frequency</w:t>
            </w:r>
            <w:r w:rsidRPr="00FA0D37">
              <w:rPr>
                <w:lang w:eastAsia="en-GB"/>
              </w:rPr>
              <w:t>" in TS 38.304 [20].</w:t>
            </w:r>
          </w:p>
        </w:tc>
      </w:tr>
      <w:tr w:rsidR="005C7FF4" w:rsidRPr="00FA0D37" w14:paraId="5F1DDF8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5DE3A" w14:textId="77777777" w:rsidR="00394471" w:rsidRPr="00FA0D37" w:rsidRDefault="00394471" w:rsidP="00964CC4">
            <w:pPr>
              <w:pStyle w:val="TAL"/>
              <w:rPr>
                <w:b/>
                <w:bCs/>
                <w:i/>
                <w:noProof/>
                <w:lang w:eastAsia="en-GB"/>
              </w:rPr>
            </w:pPr>
            <w:r w:rsidRPr="00FA0D37">
              <w:rPr>
                <w:b/>
                <w:bCs/>
                <w:i/>
                <w:noProof/>
                <w:lang w:eastAsia="en-GB"/>
              </w:rPr>
              <w:lastRenderedPageBreak/>
              <w:t>q-QualMin</w:t>
            </w:r>
          </w:p>
          <w:p w14:paraId="74FB133C" w14:textId="77777777" w:rsidR="00394471" w:rsidRPr="00FA0D37" w:rsidRDefault="00394471" w:rsidP="00964CC4">
            <w:pPr>
              <w:pStyle w:val="TAL"/>
              <w:rPr>
                <w:b/>
                <w:bCs/>
                <w:i/>
                <w:noProof/>
                <w:lang w:eastAsia="en-GB"/>
              </w:rPr>
            </w:pPr>
            <w:r w:rsidRPr="00FA0D37">
              <w:rPr>
                <w:lang w:eastAsia="en-GB"/>
              </w:rPr>
              <w:t>Parameter "</w:t>
            </w:r>
            <w:r w:rsidRPr="00FA0D37">
              <w:rPr>
                <w:bCs/>
                <w:lang w:eastAsia="en-GB"/>
              </w:rPr>
              <w:t>Q</w:t>
            </w:r>
            <w:r w:rsidRPr="00FA0D37">
              <w:rPr>
                <w:bCs/>
                <w:vertAlign w:val="subscript"/>
                <w:lang w:eastAsia="en-GB"/>
              </w:rPr>
              <w:t>qualmin</w:t>
            </w:r>
            <w:r w:rsidRPr="00FA0D37">
              <w:rPr>
                <w:lang w:eastAsia="en-GB"/>
              </w:rPr>
              <w:t>" in TS 38.304 [20]. If the field is absent, the UE applies the (default) value of negative infinity for Q</w:t>
            </w:r>
            <w:r w:rsidRPr="00FA0D37">
              <w:rPr>
                <w:vertAlign w:val="subscript"/>
                <w:lang w:eastAsia="en-GB"/>
              </w:rPr>
              <w:t>qualmin</w:t>
            </w:r>
            <w:r w:rsidRPr="00FA0D37">
              <w:rPr>
                <w:lang w:eastAsia="en-GB"/>
              </w:rPr>
              <w:t>.</w:t>
            </w:r>
          </w:p>
        </w:tc>
      </w:tr>
      <w:tr w:rsidR="005C7FF4" w:rsidRPr="00FA0D37" w14:paraId="3774A9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52C44" w14:textId="77777777" w:rsidR="00394471" w:rsidRPr="00FA0D37" w:rsidRDefault="00394471" w:rsidP="00964CC4">
            <w:pPr>
              <w:pStyle w:val="TAL"/>
              <w:rPr>
                <w:b/>
                <w:bCs/>
                <w:i/>
                <w:lang w:eastAsia="en-GB"/>
              </w:rPr>
            </w:pPr>
            <w:r w:rsidRPr="00FA0D37">
              <w:rPr>
                <w:b/>
                <w:bCs/>
                <w:i/>
                <w:lang w:eastAsia="en-GB"/>
              </w:rPr>
              <w:t>q-QualMinOffsetCell</w:t>
            </w:r>
          </w:p>
          <w:p w14:paraId="7F4FE798" w14:textId="77777777" w:rsidR="00394471" w:rsidRPr="00FA0D37" w:rsidRDefault="00394471" w:rsidP="00964CC4">
            <w:pPr>
              <w:pStyle w:val="TAL"/>
              <w:rPr>
                <w:b/>
                <w:bCs/>
                <w:i/>
                <w:noProof/>
                <w:lang w:eastAsia="en-GB"/>
              </w:rPr>
            </w:pPr>
            <w:r w:rsidRPr="00FA0D37">
              <w:rPr>
                <w:lang w:eastAsia="sv-SE"/>
              </w:rPr>
              <w:t>Parameter "Q</w:t>
            </w:r>
            <w:r w:rsidRPr="00FA0D37">
              <w:rPr>
                <w:vertAlign w:val="subscript"/>
                <w:lang w:eastAsia="sv-SE"/>
              </w:rPr>
              <w:t>qualminoffsetcell</w:t>
            </w:r>
            <w:r w:rsidRPr="00FA0D37">
              <w:rPr>
                <w:lang w:eastAsia="sv-SE"/>
              </w:rPr>
              <w:t>" in TS</w:t>
            </w:r>
            <w:r w:rsidRPr="00FA0D37">
              <w:rPr>
                <w:lang w:eastAsia="en-GB"/>
              </w:rPr>
              <w:t xml:space="preserve"> 38.304 [20]. Actual value Q</w:t>
            </w:r>
            <w:r w:rsidRPr="00FA0D37">
              <w:rPr>
                <w:vertAlign w:val="subscript"/>
                <w:lang w:eastAsia="en-GB"/>
              </w:rPr>
              <w:t>qualminoffsetcell</w:t>
            </w:r>
            <w:r w:rsidRPr="00FA0D37">
              <w:rPr>
                <w:lang w:eastAsia="en-GB"/>
              </w:rPr>
              <w:t xml:space="preserve"> = field value [dB].</w:t>
            </w:r>
          </w:p>
        </w:tc>
      </w:tr>
      <w:tr w:rsidR="005C7FF4" w:rsidRPr="00FA0D37" w14:paraId="1EF689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A7A3F" w14:textId="77777777" w:rsidR="00394471" w:rsidRPr="00FA0D37" w:rsidRDefault="00394471" w:rsidP="00964CC4">
            <w:pPr>
              <w:pStyle w:val="TAL"/>
              <w:rPr>
                <w:b/>
                <w:bCs/>
                <w:i/>
                <w:lang w:eastAsia="en-GB"/>
              </w:rPr>
            </w:pPr>
            <w:r w:rsidRPr="00FA0D37">
              <w:rPr>
                <w:b/>
                <w:bCs/>
                <w:i/>
                <w:lang w:eastAsia="en-GB"/>
              </w:rPr>
              <w:t>q-RxLevMin</w:t>
            </w:r>
          </w:p>
          <w:p w14:paraId="6E507071" w14:textId="77777777" w:rsidR="00394471" w:rsidRPr="00FA0D37" w:rsidRDefault="00394471" w:rsidP="00964CC4">
            <w:pPr>
              <w:pStyle w:val="TAL"/>
              <w:rPr>
                <w:b/>
                <w:bCs/>
                <w:i/>
                <w:lang w:eastAsia="en-GB"/>
              </w:rPr>
            </w:pPr>
            <w:r w:rsidRPr="00FA0D37">
              <w:rPr>
                <w:bCs/>
                <w:lang w:eastAsia="en-GB"/>
              </w:rPr>
              <w:t>Parameter "Q</w:t>
            </w:r>
            <w:r w:rsidRPr="00FA0D37">
              <w:rPr>
                <w:bCs/>
                <w:vertAlign w:val="subscript"/>
                <w:lang w:eastAsia="en-GB"/>
              </w:rPr>
              <w:t>rxlevmin</w:t>
            </w:r>
            <w:r w:rsidRPr="00FA0D37">
              <w:rPr>
                <w:bCs/>
                <w:lang w:eastAsia="en-GB"/>
              </w:rPr>
              <w:t>" in TS 38.304 [20].</w:t>
            </w:r>
          </w:p>
        </w:tc>
      </w:tr>
      <w:tr w:rsidR="005C7FF4" w:rsidRPr="00FA0D37" w14:paraId="24684F8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C779A" w14:textId="77777777" w:rsidR="00394471" w:rsidRPr="00FA0D37" w:rsidRDefault="00394471" w:rsidP="00964CC4">
            <w:pPr>
              <w:pStyle w:val="TAL"/>
              <w:rPr>
                <w:b/>
                <w:bCs/>
                <w:i/>
                <w:lang w:eastAsia="en-GB"/>
              </w:rPr>
            </w:pPr>
            <w:r w:rsidRPr="00FA0D37">
              <w:rPr>
                <w:b/>
                <w:bCs/>
                <w:i/>
                <w:lang w:eastAsia="en-GB"/>
              </w:rPr>
              <w:t>q-RxLevMinOffsetCell</w:t>
            </w:r>
          </w:p>
          <w:p w14:paraId="40555345" w14:textId="77777777" w:rsidR="00394471" w:rsidRPr="00FA0D37" w:rsidRDefault="00394471" w:rsidP="00964CC4">
            <w:pPr>
              <w:pStyle w:val="TAL"/>
              <w:rPr>
                <w:b/>
                <w:bCs/>
                <w:i/>
                <w:noProof/>
                <w:lang w:eastAsia="en-GB"/>
              </w:rPr>
            </w:pPr>
            <w:r w:rsidRPr="00FA0D37">
              <w:rPr>
                <w:lang w:eastAsia="sv-SE"/>
              </w:rPr>
              <w:t>Parameter "Q</w:t>
            </w:r>
            <w:r w:rsidRPr="00FA0D37">
              <w:rPr>
                <w:vertAlign w:val="subscript"/>
                <w:lang w:eastAsia="sv-SE"/>
              </w:rPr>
              <w:t>rxlevminoffsetcell</w:t>
            </w:r>
            <w:r w:rsidRPr="00FA0D37">
              <w:rPr>
                <w:lang w:eastAsia="sv-SE"/>
              </w:rPr>
              <w:t>" in TS</w:t>
            </w:r>
            <w:r w:rsidRPr="00FA0D37">
              <w:rPr>
                <w:lang w:eastAsia="en-GB"/>
              </w:rPr>
              <w:t xml:space="preserve"> 38.304 [20]. Actual value Q</w:t>
            </w:r>
            <w:r w:rsidRPr="00FA0D37">
              <w:rPr>
                <w:vertAlign w:val="subscript"/>
                <w:lang w:eastAsia="en-GB"/>
              </w:rPr>
              <w:t>rxlevminoffsetcell</w:t>
            </w:r>
            <w:r w:rsidRPr="00FA0D37">
              <w:rPr>
                <w:lang w:eastAsia="en-GB"/>
              </w:rPr>
              <w:t xml:space="preserve"> = field value * 2 [dB].</w:t>
            </w:r>
          </w:p>
        </w:tc>
      </w:tr>
      <w:tr w:rsidR="005C7FF4" w:rsidRPr="00FA0D37" w14:paraId="73B91C6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F3F70" w14:textId="77777777" w:rsidR="00394471" w:rsidRPr="00FA0D37" w:rsidRDefault="00394471" w:rsidP="00964CC4">
            <w:pPr>
              <w:pStyle w:val="TAL"/>
              <w:rPr>
                <w:b/>
                <w:bCs/>
                <w:i/>
                <w:lang w:eastAsia="en-GB"/>
              </w:rPr>
            </w:pPr>
            <w:r w:rsidRPr="00FA0D37">
              <w:rPr>
                <w:b/>
                <w:bCs/>
                <w:i/>
                <w:lang w:eastAsia="en-GB"/>
              </w:rPr>
              <w:t>q-RxLevMinOffsetCellSUL</w:t>
            </w:r>
          </w:p>
          <w:p w14:paraId="53F18646" w14:textId="77777777" w:rsidR="00394471" w:rsidRPr="00FA0D37" w:rsidRDefault="00394471" w:rsidP="00964CC4">
            <w:pPr>
              <w:pStyle w:val="TAL"/>
              <w:rPr>
                <w:b/>
                <w:bCs/>
                <w:i/>
                <w:noProof/>
                <w:lang w:eastAsia="en-GB"/>
              </w:rPr>
            </w:pPr>
            <w:r w:rsidRPr="00FA0D37">
              <w:rPr>
                <w:lang w:eastAsia="sv-SE"/>
              </w:rPr>
              <w:t>Parameter "Q</w:t>
            </w:r>
            <w:r w:rsidRPr="00FA0D37">
              <w:rPr>
                <w:vertAlign w:val="subscript"/>
                <w:lang w:eastAsia="sv-SE"/>
              </w:rPr>
              <w:t>rxlevminoffsetcellSUL</w:t>
            </w:r>
            <w:r w:rsidRPr="00FA0D37">
              <w:rPr>
                <w:lang w:eastAsia="sv-SE"/>
              </w:rPr>
              <w:t>" in TS</w:t>
            </w:r>
            <w:r w:rsidRPr="00FA0D37">
              <w:rPr>
                <w:lang w:eastAsia="en-GB"/>
              </w:rPr>
              <w:t xml:space="preserve"> 38.304 [20]. Actual value Q</w:t>
            </w:r>
            <w:r w:rsidRPr="00FA0D37">
              <w:rPr>
                <w:vertAlign w:val="subscript"/>
                <w:lang w:eastAsia="en-GB"/>
              </w:rPr>
              <w:t>rxlevminoffsetcellSUL</w:t>
            </w:r>
            <w:r w:rsidRPr="00FA0D37">
              <w:rPr>
                <w:lang w:eastAsia="en-GB"/>
              </w:rPr>
              <w:t xml:space="preserve"> = field value * 2 [dB].</w:t>
            </w:r>
          </w:p>
        </w:tc>
      </w:tr>
      <w:tr w:rsidR="005C7FF4" w:rsidRPr="00FA0D37" w14:paraId="33E6EC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8431C7" w14:textId="77777777" w:rsidR="00394471" w:rsidRPr="00FA0D37" w:rsidRDefault="00394471" w:rsidP="00964CC4">
            <w:pPr>
              <w:pStyle w:val="TAL"/>
              <w:rPr>
                <w:b/>
                <w:bCs/>
                <w:i/>
                <w:lang w:eastAsia="en-GB"/>
              </w:rPr>
            </w:pPr>
            <w:r w:rsidRPr="00FA0D37">
              <w:rPr>
                <w:b/>
                <w:bCs/>
                <w:i/>
                <w:lang w:eastAsia="en-GB"/>
              </w:rPr>
              <w:t>q-RxLevMinSUL</w:t>
            </w:r>
          </w:p>
          <w:p w14:paraId="2D767157" w14:textId="77777777" w:rsidR="00394471" w:rsidRPr="00FA0D37" w:rsidRDefault="00394471" w:rsidP="00964CC4">
            <w:pPr>
              <w:pStyle w:val="TAL"/>
              <w:rPr>
                <w:b/>
                <w:bCs/>
                <w:i/>
                <w:lang w:eastAsia="en-GB"/>
              </w:rPr>
            </w:pPr>
            <w:r w:rsidRPr="00FA0D37">
              <w:rPr>
                <w:bCs/>
                <w:lang w:eastAsia="en-GB"/>
              </w:rPr>
              <w:t>Parameter "Q</w:t>
            </w:r>
            <w:r w:rsidRPr="00FA0D37">
              <w:rPr>
                <w:bCs/>
                <w:vertAlign w:val="subscript"/>
                <w:lang w:eastAsia="en-GB"/>
              </w:rPr>
              <w:t>rxlevmin</w:t>
            </w:r>
            <w:r w:rsidRPr="00FA0D37">
              <w:rPr>
                <w:bCs/>
                <w:lang w:eastAsia="en-GB"/>
              </w:rPr>
              <w:t>" in TS 38.304 [20].</w:t>
            </w:r>
          </w:p>
        </w:tc>
      </w:tr>
      <w:tr w:rsidR="005C7FF4" w:rsidRPr="00FA0D37" w14:paraId="0F13C915"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000633B" w14:textId="6643FFD0" w:rsidR="00B37B2F" w:rsidRPr="00FA0D37" w:rsidRDefault="00B37B2F" w:rsidP="00771058">
            <w:pPr>
              <w:pStyle w:val="TAL"/>
              <w:rPr>
                <w:b/>
                <w:bCs/>
                <w:i/>
                <w:lang w:eastAsia="en-GB"/>
              </w:rPr>
            </w:pPr>
            <w:r w:rsidRPr="00FA0D37">
              <w:rPr>
                <w:b/>
                <w:bCs/>
                <w:i/>
                <w:lang w:eastAsia="en-GB"/>
              </w:rPr>
              <w:t>red</w:t>
            </w:r>
            <w:r w:rsidR="00AE678F" w:rsidRPr="00FA0D37">
              <w:rPr>
                <w:b/>
                <w:bCs/>
                <w:i/>
                <w:lang w:eastAsia="en-GB"/>
              </w:rPr>
              <w:t>C</w:t>
            </w:r>
            <w:r w:rsidRPr="00FA0D37">
              <w:rPr>
                <w:b/>
                <w:bCs/>
                <w:i/>
                <w:lang w:eastAsia="en-GB"/>
              </w:rPr>
              <w:t>apAccess</w:t>
            </w:r>
            <w:r w:rsidR="00AE678F" w:rsidRPr="00FA0D37">
              <w:rPr>
                <w:b/>
                <w:bCs/>
                <w:i/>
                <w:lang w:eastAsia="en-GB"/>
              </w:rPr>
              <w:t>Allowed</w:t>
            </w:r>
          </w:p>
          <w:p w14:paraId="69EB9DDB" w14:textId="59B9CD44" w:rsidR="00B37B2F" w:rsidRPr="00FA0D37" w:rsidRDefault="00B37B2F" w:rsidP="00771058">
            <w:pPr>
              <w:pStyle w:val="TAL"/>
              <w:rPr>
                <w:b/>
                <w:bCs/>
                <w:i/>
                <w:lang w:eastAsia="en-GB"/>
              </w:rPr>
            </w:pPr>
            <w:r w:rsidRPr="00FA0D37">
              <w:rPr>
                <w:iCs/>
                <w:lang w:eastAsia="en-GB"/>
              </w:rPr>
              <w:t>Indicates whether RedCap UEs are allowed to access the frequency.</w:t>
            </w:r>
          </w:p>
        </w:tc>
      </w:tr>
      <w:tr w:rsidR="005C7FF4" w:rsidRPr="00FA0D37" w14:paraId="1CB263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ABDF1" w14:textId="77777777" w:rsidR="00394471" w:rsidRPr="00FA0D37" w:rsidRDefault="00394471" w:rsidP="00964CC4">
            <w:pPr>
              <w:pStyle w:val="TAL"/>
              <w:rPr>
                <w:b/>
                <w:bCs/>
                <w:i/>
                <w:iCs/>
                <w:noProof/>
                <w:lang w:eastAsia="sv-SE"/>
              </w:rPr>
            </w:pPr>
            <w:r w:rsidRPr="00FA0D37">
              <w:rPr>
                <w:b/>
                <w:bCs/>
                <w:i/>
                <w:iCs/>
                <w:noProof/>
                <w:lang w:eastAsia="sv-SE"/>
              </w:rPr>
              <w:t>smtc</w:t>
            </w:r>
          </w:p>
          <w:p w14:paraId="6025942D" w14:textId="3220D522" w:rsidR="00394471" w:rsidRPr="00FA0D37" w:rsidRDefault="00394471" w:rsidP="00964CC4">
            <w:pPr>
              <w:pStyle w:val="TAL"/>
              <w:rPr>
                <w:b/>
                <w:bCs/>
                <w:i/>
                <w:noProof/>
                <w:lang w:eastAsia="en-GB"/>
              </w:rPr>
            </w:pPr>
            <w:r w:rsidRPr="00FA0D37">
              <w:rPr>
                <w:szCs w:val="22"/>
                <w:lang w:eastAsia="sv-SE"/>
              </w:rPr>
              <w:t>Measurement timing configuration for inter-frequency measurement. If this field is absent, the UE assumes that SSB periodicity is 5 ms in this frequency.</w:t>
            </w:r>
            <w:r w:rsidR="001163BA" w:rsidRPr="00FA0D37">
              <w:rPr>
                <w:szCs w:val="22"/>
                <w:lang w:eastAsia="sv-SE"/>
              </w:rPr>
              <w:t xml:space="preserve"> If the field is broadcast by an NTN cell, the o</w:t>
            </w:r>
            <w:r w:rsidR="001163BA" w:rsidRPr="00FA0D37">
              <w:rPr>
                <w:i/>
                <w:iCs/>
                <w:szCs w:val="22"/>
                <w:lang w:eastAsia="sv-SE"/>
              </w:rPr>
              <w:t>ffset</w:t>
            </w:r>
            <w:r w:rsidR="001163BA" w:rsidRPr="00FA0D37">
              <w:rPr>
                <w:szCs w:val="22"/>
                <w:lang w:eastAsia="sv-SE"/>
              </w:rPr>
              <w:t xml:space="preserve"> (derived from parameter </w:t>
            </w:r>
            <w:r w:rsidR="001163BA" w:rsidRPr="00FA0D37">
              <w:rPr>
                <w:i/>
                <w:iCs/>
                <w:szCs w:val="22"/>
                <w:lang w:eastAsia="sv-SE"/>
              </w:rPr>
              <w:t>periodicityAndOffset</w:t>
            </w:r>
            <w:r w:rsidR="001163BA" w:rsidRPr="00FA0D37">
              <w:rPr>
                <w:szCs w:val="22"/>
                <w:lang w:eastAsia="sv-SE"/>
              </w:rPr>
              <w:t xml:space="preserve">) is based on the assumption that </w:t>
            </w:r>
            <w:r w:rsidR="007311BD" w:rsidRPr="00FA0D37">
              <w:rPr>
                <w:szCs w:val="22"/>
                <w:lang w:eastAsia="sv-SE"/>
              </w:rPr>
              <w:t>the gNB-UE</w:t>
            </w:r>
            <w:r w:rsidR="001163BA" w:rsidRPr="00FA0D37">
              <w:rPr>
                <w:szCs w:val="22"/>
                <w:lang w:eastAsia="sv-SE"/>
              </w:rPr>
              <w:t xml:space="preserve"> propagation delay difference between the serving cell and neighbour cells equals to 0 ms, and UE can adjust the actual o</w:t>
            </w:r>
            <w:r w:rsidR="001163BA" w:rsidRPr="00FA0D37">
              <w:rPr>
                <w:i/>
                <w:iCs/>
                <w:szCs w:val="22"/>
                <w:lang w:eastAsia="sv-SE"/>
              </w:rPr>
              <w:t>ffset</w:t>
            </w:r>
            <w:r w:rsidR="001163BA" w:rsidRPr="00FA0D37">
              <w:rPr>
                <w:szCs w:val="22"/>
                <w:lang w:eastAsia="sv-SE"/>
              </w:rPr>
              <w:t xml:space="preserve"> based on the actual propagation delay difference.</w:t>
            </w:r>
          </w:p>
        </w:tc>
      </w:tr>
      <w:tr w:rsidR="005C7FF4" w:rsidRPr="00FA0D37" w14:paraId="28AB5B3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FE337" w14:textId="50149D03" w:rsidR="00394471" w:rsidRPr="00FA0D37" w:rsidRDefault="00394471" w:rsidP="00964CC4">
            <w:pPr>
              <w:pStyle w:val="TAL"/>
              <w:rPr>
                <w:b/>
                <w:bCs/>
                <w:i/>
                <w:iCs/>
                <w:noProof/>
                <w:lang w:eastAsia="sv-SE"/>
              </w:rPr>
            </w:pPr>
            <w:r w:rsidRPr="00FA0D37">
              <w:rPr>
                <w:b/>
                <w:bCs/>
                <w:i/>
                <w:iCs/>
                <w:noProof/>
                <w:lang w:eastAsia="sv-SE"/>
              </w:rPr>
              <w:t>smtc2-LP</w:t>
            </w:r>
          </w:p>
          <w:p w14:paraId="650C6C80" w14:textId="5E3D74D3" w:rsidR="00394471" w:rsidRPr="00FA0D37" w:rsidRDefault="00394471" w:rsidP="00964CC4">
            <w:pPr>
              <w:pStyle w:val="TAL"/>
              <w:rPr>
                <w:b/>
                <w:bCs/>
                <w:i/>
                <w:iCs/>
                <w:noProof/>
                <w:lang w:eastAsia="sv-SE"/>
              </w:rPr>
            </w:pPr>
            <w:r w:rsidRPr="00FA0D37">
              <w:rPr>
                <w:bCs/>
                <w:iCs/>
                <w:noProof/>
                <w:lang w:eastAsia="sv-SE"/>
              </w:rPr>
              <w:t xml:space="preserve">Measurement timing configuration for inter-frequency neighbour cells with a Long Periodicity (LP) indicated by periodicity in </w:t>
            </w:r>
            <w:r w:rsidRPr="00FA0D37">
              <w:rPr>
                <w:bCs/>
                <w:i/>
                <w:iCs/>
                <w:noProof/>
                <w:lang w:eastAsia="sv-SE"/>
              </w:rPr>
              <w:t>smtc2-LP</w:t>
            </w:r>
            <w:r w:rsidRPr="00FA0D37">
              <w:rPr>
                <w:bCs/>
                <w:iCs/>
                <w:noProof/>
                <w:lang w:eastAsia="sv-SE"/>
              </w:rPr>
              <w:t xml:space="preserve">. The timing offset and duration are equal to the offset and duration indicated in </w:t>
            </w:r>
            <w:r w:rsidRPr="00FA0D37">
              <w:rPr>
                <w:bCs/>
                <w:i/>
                <w:iCs/>
                <w:noProof/>
                <w:lang w:eastAsia="sv-SE"/>
              </w:rPr>
              <w:t>smtc</w:t>
            </w:r>
            <w:r w:rsidRPr="00FA0D37">
              <w:rPr>
                <w:bCs/>
                <w:iCs/>
                <w:noProof/>
                <w:lang w:eastAsia="sv-SE"/>
              </w:rPr>
              <w:t xml:space="preserve"> in </w:t>
            </w:r>
            <w:r w:rsidRPr="00FA0D37">
              <w:rPr>
                <w:bCs/>
                <w:i/>
                <w:iCs/>
                <w:noProof/>
                <w:lang w:eastAsia="sv-SE"/>
              </w:rPr>
              <w:t>InterFreqCarrierFreqInfo</w:t>
            </w:r>
            <w:r w:rsidRPr="00FA0D37">
              <w:rPr>
                <w:bCs/>
                <w:iCs/>
                <w:noProof/>
                <w:lang w:eastAsia="sv-SE"/>
              </w:rPr>
              <w:t xml:space="preserve">. The periodicity in </w:t>
            </w:r>
            <w:r w:rsidRPr="00FA0D37">
              <w:rPr>
                <w:bCs/>
                <w:i/>
                <w:iCs/>
                <w:noProof/>
                <w:lang w:eastAsia="sv-SE"/>
              </w:rPr>
              <w:t>smtc2-LP</w:t>
            </w:r>
            <w:r w:rsidRPr="00FA0D37">
              <w:rPr>
                <w:bCs/>
                <w:iCs/>
                <w:noProof/>
                <w:lang w:eastAsia="sv-SE"/>
              </w:rPr>
              <w:t xml:space="preserve"> can only be set to a value strictly larger than the periodicity in </w:t>
            </w:r>
            <w:r w:rsidRPr="00FA0D37">
              <w:rPr>
                <w:bCs/>
                <w:i/>
                <w:iCs/>
                <w:noProof/>
                <w:lang w:eastAsia="sv-SE"/>
              </w:rPr>
              <w:t>smtc</w:t>
            </w:r>
            <w:r w:rsidRPr="00FA0D37">
              <w:rPr>
                <w:bCs/>
                <w:iCs/>
                <w:noProof/>
                <w:lang w:eastAsia="sv-SE"/>
              </w:rPr>
              <w:t xml:space="preserve"> in </w:t>
            </w:r>
            <w:r w:rsidRPr="00FA0D37">
              <w:rPr>
                <w:bCs/>
                <w:i/>
                <w:iCs/>
                <w:noProof/>
                <w:lang w:eastAsia="sv-SE"/>
              </w:rPr>
              <w:t>InterFreqCarrierFreqInfo</w:t>
            </w:r>
            <w:r w:rsidRPr="00FA0D37">
              <w:rPr>
                <w:bCs/>
                <w:iCs/>
                <w:noProof/>
                <w:lang w:eastAsia="sv-SE"/>
              </w:rPr>
              <w:t xml:space="preserve"> (e.g. if </w:t>
            </w:r>
            <w:r w:rsidRPr="00FA0D37">
              <w:rPr>
                <w:bCs/>
                <w:i/>
                <w:iCs/>
                <w:noProof/>
                <w:lang w:eastAsia="sv-SE"/>
              </w:rPr>
              <w:t>smtc</w:t>
            </w:r>
            <w:r w:rsidRPr="00FA0D37">
              <w:rPr>
                <w:bCs/>
                <w:iCs/>
                <w:noProof/>
                <w:lang w:eastAsia="sv-SE"/>
              </w:rPr>
              <w:t xml:space="preserve"> indicates sf20 the Long Periodicity can only be set to sf40, sf80 or sf160, if </w:t>
            </w:r>
            <w:r w:rsidRPr="00FA0D37">
              <w:rPr>
                <w:bCs/>
                <w:i/>
                <w:iCs/>
                <w:noProof/>
                <w:lang w:eastAsia="sv-SE"/>
              </w:rPr>
              <w:t>smtc</w:t>
            </w:r>
            <w:r w:rsidRPr="00FA0D37">
              <w:rPr>
                <w:bCs/>
                <w:iCs/>
                <w:noProof/>
                <w:lang w:eastAsia="sv-SE"/>
              </w:rPr>
              <w:t xml:space="preserve"> indicates sf160, </w:t>
            </w:r>
            <w:r w:rsidRPr="00FA0D37">
              <w:rPr>
                <w:bCs/>
                <w:i/>
                <w:iCs/>
                <w:noProof/>
                <w:lang w:eastAsia="sv-SE"/>
              </w:rPr>
              <w:t>smtc2-LP</w:t>
            </w:r>
            <w:r w:rsidRPr="00FA0D37">
              <w:rPr>
                <w:bCs/>
                <w:iCs/>
                <w:noProof/>
                <w:lang w:eastAsia="sv-SE"/>
              </w:rPr>
              <w:t xml:space="preserve"> cannot be configured). The </w:t>
            </w:r>
            <w:r w:rsidRPr="00FA0D37">
              <w:rPr>
                <w:bCs/>
                <w:i/>
                <w:iCs/>
                <w:noProof/>
                <w:lang w:eastAsia="sv-SE"/>
              </w:rPr>
              <w:t>pci-List</w:t>
            </w:r>
            <w:r w:rsidRPr="00FA0D37">
              <w:rPr>
                <w:bCs/>
                <w:iCs/>
                <w:noProof/>
                <w:lang w:eastAsia="sv-SE"/>
              </w:rPr>
              <w:t xml:space="preserve">, if present, includes the physical cell identities of the inter-frequency neighbour cells with Long Periodicity. If </w:t>
            </w:r>
            <w:r w:rsidRPr="00FA0D37">
              <w:rPr>
                <w:bCs/>
                <w:i/>
                <w:iCs/>
                <w:noProof/>
                <w:lang w:eastAsia="sv-SE"/>
              </w:rPr>
              <w:t>smtc2-LP</w:t>
            </w:r>
            <w:r w:rsidRPr="00FA0D37">
              <w:rPr>
                <w:bCs/>
                <w:iCs/>
                <w:noProof/>
                <w:lang w:eastAsia="sv-SE"/>
              </w:rPr>
              <w:t xml:space="preserve"> is absent, the UE assumes that there are no inter-frequency neighbour cells with a Long Periodicity.</w:t>
            </w:r>
          </w:p>
        </w:tc>
      </w:tr>
      <w:tr w:rsidR="005C7FF4" w:rsidRPr="00FA0D37" w14:paraId="6EBB001A" w14:textId="77777777" w:rsidTr="0071565C">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67EB7AA1" w14:textId="77777777" w:rsidR="001163BA" w:rsidRPr="00FA0D37" w:rsidRDefault="001163BA" w:rsidP="0071565C">
            <w:pPr>
              <w:pStyle w:val="TAL"/>
              <w:rPr>
                <w:b/>
                <w:i/>
                <w:szCs w:val="22"/>
                <w:lang w:eastAsia="en-GB"/>
              </w:rPr>
            </w:pPr>
            <w:r w:rsidRPr="00FA0D37">
              <w:rPr>
                <w:b/>
                <w:i/>
                <w:szCs w:val="22"/>
                <w:lang w:eastAsia="en-GB"/>
              </w:rPr>
              <w:t>smtc4list</w:t>
            </w:r>
          </w:p>
          <w:p w14:paraId="4FCC613B" w14:textId="309D549E" w:rsidR="001163BA" w:rsidRPr="00FA0D37" w:rsidRDefault="001163BA" w:rsidP="0071565C">
            <w:pPr>
              <w:pStyle w:val="TAL"/>
              <w:rPr>
                <w:b/>
                <w:bCs/>
                <w:i/>
                <w:iCs/>
                <w:lang w:eastAsia="sv-SE"/>
              </w:rPr>
            </w:pPr>
            <w:r w:rsidRPr="00FA0D37">
              <w:rPr>
                <w:bCs/>
                <w:iCs/>
                <w:szCs w:val="22"/>
                <w:lang w:eastAsia="en-GB"/>
              </w:rPr>
              <w:t xml:space="preserve">Measurement timing configuration list for NTN deployments, see clause 5.5.2.10. The offset of each SSB-MTC4 in </w:t>
            </w:r>
            <w:r w:rsidRPr="00FA0D37">
              <w:rPr>
                <w:bCs/>
                <w:i/>
                <w:szCs w:val="22"/>
                <w:lang w:eastAsia="en-GB"/>
              </w:rPr>
              <w:t>smtc4list</w:t>
            </w:r>
            <w:r w:rsidRPr="00FA0D37">
              <w:rPr>
                <w:bCs/>
                <w:iCs/>
                <w:szCs w:val="22"/>
                <w:lang w:eastAsia="en-GB"/>
              </w:rPr>
              <w:t xml:space="preserve"> is based on the assumption that </w:t>
            </w:r>
            <w:r w:rsidR="007311BD" w:rsidRPr="00FA0D37">
              <w:rPr>
                <w:bCs/>
                <w:iCs/>
                <w:szCs w:val="22"/>
                <w:lang w:eastAsia="en-GB"/>
              </w:rPr>
              <w:t>the gNB-UE</w:t>
            </w:r>
            <w:r w:rsidRPr="00FA0D37">
              <w:rPr>
                <w:bCs/>
                <w:iCs/>
                <w:szCs w:val="22"/>
                <w:lang w:eastAsia="en-GB"/>
              </w:rPr>
              <w:t xml:space="preserve"> propagation delay difference between the serving cell and neighbour cells equals to 0 ms, and UE can adjust the actual </w:t>
            </w:r>
            <w:r w:rsidRPr="00FA0D37">
              <w:rPr>
                <w:bCs/>
                <w:i/>
                <w:szCs w:val="22"/>
                <w:lang w:eastAsia="en-GB"/>
              </w:rPr>
              <w:t>offset</w:t>
            </w:r>
            <w:r w:rsidRPr="00FA0D37">
              <w:rPr>
                <w:bCs/>
                <w:iCs/>
                <w:szCs w:val="22"/>
                <w:lang w:eastAsia="en-GB"/>
              </w:rPr>
              <w:t xml:space="preserve"> based on the actual propagation delay difference. For a UE that supports less SMTCs than what is included in this list, it is up to the UE to select which SMTCs to consider.</w:t>
            </w:r>
          </w:p>
        </w:tc>
      </w:tr>
      <w:tr w:rsidR="005C7FF4" w:rsidRPr="00FA0D37" w14:paraId="02FB13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65ED6" w14:textId="77777777" w:rsidR="00394471" w:rsidRPr="00FA0D37" w:rsidRDefault="00394471" w:rsidP="00964CC4">
            <w:pPr>
              <w:pStyle w:val="TAL"/>
              <w:rPr>
                <w:b/>
                <w:bCs/>
                <w:i/>
                <w:iCs/>
                <w:lang w:eastAsia="sv-SE"/>
              </w:rPr>
            </w:pPr>
            <w:r w:rsidRPr="00FA0D37">
              <w:rPr>
                <w:b/>
                <w:bCs/>
                <w:i/>
                <w:iCs/>
                <w:lang w:eastAsia="sv-SE"/>
              </w:rPr>
              <w:t>ssb-</w:t>
            </w:r>
            <w:r w:rsidRPr="00FA0D37">
              <w:rPr>
                <w:rFonts w:cs="Arial"/>
                <w:b/>
                <w:bCs/>
                <w:i/>
                <w:lang w:eastAsia="en-GB"/>
              </w:rPr>
              <w:t>PositionQCL</w:t>
            </w:r>
          </w:p>
          <w:p w14:paraId="4B011122" w14:textId="76B7A22F" w:rsidR="00394471" w:rsidRPr="00FA0D37" w:rsidRDefault="00394471" w:rsidP="00964CC4">
            <w:pPr>
              <w:pStyle w:val="TAL"/>
              <w:rPr>
                <w:b/>
                <w:bCs/>
                <w:i/>
                <w:iCs/>
                <w:lang w:eastAsia="sv-SE"/>
              </w:rPr>
            </w:pPr>
            <w:r w:rsidRPr="00FA0D37">
              <w:rPr>
                <w:rFonts w:cs="Arial"/>
                <w:bCs/>
                <w:lang w:eastAsia="en-GB"/>
              </w:rPr>
              <w:t xml:space="preserve">Indicates the QCL relation between SS/PBCH blocks for a specific neighbor cell as specified in TS 38.213 [13], clause 4.1. If provided, the cell specific value overwrites the common value signalled by </w:t>
            </w:r>
            <w:r w:rsidRPr="00FA0D37">
              <w:rPr>
                <w:rFonts w:cs="Courier New"/>
                <w:i/>
                <w:iCs/>
                <w:lang w:eastAsia="sv-SE"/>
              </w:rPr>
              <w:t>ssb-PositionQCL-Common</w:t>
            </w:r>
            <w:r w:rsidRPr="00FA0D37">
              <w:rPr>
                <w:rFonts w:cs="Courier New"/>
                <w:lang w:eastAsia="sv-SE"/>
              </w:rPr>
              <w:t xml:space="preserve"> in </w:t>
            </w:r>
            <w:r w:rsidRPr="00FA0D37">
              <w:rPr>
                <w:rFonts w:cs="Courier New"/>
                <w:i/>
                <w:iCs/>
                <w:lang w:eastAsia="sv-SE"/>
              </w:rPr>
              <w:t xml:space="preserve">SIB4 </w:t>
            </w:r>
            <w:r w:rsidRPr="00FA0D37">
              <w:rPr>
                <w:rFonts w:cs="Courier New"/>
                <w:lang w:eastAsia="sv-SE"/>
              </w:rPr>
              <w:t>for the indicated cell.</w:t>
            </w:r>
          </w:p>
        </w:tc>
      </w:tr>
      <w:tr w:rsidR="005C7FF4" w:rsidRPr="00FA0D37" w14:paraId="17A1A73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2AE084" w14:textId="77777777" w:rsidR="00394471" w:rsidRPr="00FA0D37" w:rsidRDefault="00394471" w:rsidP="00964CC4">
            <w:pPr>
              <w:pStyle w:val="TAL"/>
              <w:rPr>
                <w:b/>
                <w:bCs/>
                <w:i/>
                <w:iCs/>
                <w:lang w:eastAsia="sv-SE"/>
              </w:rPr>
            </w:pPr>
            <w:r w:rsidRPr="00FA0D37">
              <w:rPr>
                <w:b/>
                <w:bCs/>
                <w:i/>
                <w:iCs/>
                <w:lang w:eastAsia="sv-SE"/>
              </w:rPr>
              <w:t>ssb-</w:t>
            </w:r>
            <w:r w:rsidRPr="00FA0D37">
              <w:rPr>
                <w:rFonts w:cs="Arial"/>
                <w:b/>
                <w:bCs/>
                <w:i/>
                <w:lang w:eastAsia="en-GB"/>
              </w:rPr>
              <w:t>PositionQCL-Common</w:t>
            </w:r>
          </w:p>
          <w:p w14:paraId="08F41A4D" w14:textId="7DD5D59D" w:rsidR="00394471" w:rsidRPr="00FA0D37" w:rsidRDefault="00394471" w:rsidP="00964CC4">
            <w:pPr>
              <w:pStyle w:val="TAL"/>
              <w:rPr>
                <w:b/>
                <w:bCs/>
                <w:i/>
                <w:iCs/>
                <w:lang w:eastAsia="sv-SE"/>
              </w:rPr>
            </w:pPr>
            <w:r w:rsidRPr="00FA0D37">
              <w:rPr>
                <w:rFonts w:cs="Arial"/>
                <w:bCs/>
                <w:lang w:eastAsia="en-GB"/>
              </w:rPr>
              <w:t>Indicates the QCL relation between SS/PBCH blocks for inter-frequency neighbor cells as specified in TS 38.213 [13], clause 4.1</w:t>
            </w:r>
            <w:r w:rsidRPr="00FA0D37">
              <w:rPr>
                <w:rFonts w:cs="Courier New"/>
                <w:lang w:eastAsia="sv-SE"/>
              </w:rPr>
              <w:t>.</w:t>
            </w:r>
          </w:p>
        </w:tc>
      </w:tr>
      <w:tr w:rsidR="005C7FF4" w:rsidRPr="00FA0D37" w14:paraId="32660A8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986EAD" w14:textId="77777777" w:rsidR="00394471" w:rsidRPr="00FA0D37" w:rsidRDefault="00394471" w:rsidP="00964CC4">
            <w:pPr>
              <w:pStyle w:val="TAL"/>
              <w:rPr>
                <w:b/>
                <w:bCs/>
                <w:i/>
                <w:iCs/>
                <w:lang w:eastAsia="sv-SE"/>
              </w:rPr>
            </w:pPr>
            <w:r w:rsidRPr="00FA0D37">
              <w:rPr>
                <w:b/>
                <w:bCs/>
                <w:i/>
                <w:iCs/>
                <w:lang w:eastAsia="sv-SE"/>
              </w:rPr>
              <w:t>ssb-ToMeasure</w:t>
            </w:r>
          </w:p>
          <w:p w14:paraId="05DAB533" w14:textId="77777777" w:rsidR="00394471" w:rsidRPr="00FA0D37" w:rsidRDefault="00394471" w:rsidP="00964CC4">
            <w:pPr>
              <w:pStyle w:val="TAL"/>
              <w:rPr>
                <w:b/>
                <w:bCs/>
                <w:i/>
                <w:noProof/>
                <w:lang w:eastAsia="en-GB"/>
              </w:rPr>
            </w:pPr>
            <w:r w:rsidRPr="00FA0D37">
              <w:rPr>
                <w:szCs w:val="22"/>
                <w:lang w:eastAsia="sv-SE"/>
              </w:rPr>
              <w:t>The set of SS blocks to be measured within the SMTC measurement duration (see TS 38.215 [9]). When the field is absent the UE measures on all SS-blocks.</w:t>
            </w:r>
          </w:p>
        </w:tc>
      </w:tr>
      <w:tr w:rsidR="005C7FF4" w:rsidRPr="00FA0D37" w14:paraId="40FF097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AF4600" w14:textId="77777777" w:rsidR="00394471" w:rsidRPr="00FA0D37" w:rsidRDefault="00394471" w:rsidP="00964CC4">
            <w:pPr>
              <w:pStyle w:val="TAL"/>
              <w:rPr>
                <w:b/>
                <w:bCs/>
                <w:i/>
                <w:iCs/>
                <w:lang w:eastAsia="sv-SE"/>
              </w:rPr>
            </w:pPr>
            <w:r w:rsidRPr="00FA0D37">
              <w:rPr>
                <w:b/>
                <w:bCs/>
                <w:i/>
                <w:iCs/>
                <w:lang w:eastAsia="sv-SE"/>
              </w:rPr>
              <w:t>ssbSubcarrierSpacing</w:t>
            </w:r>
          </w:p>
          <w:p w14:paraId="30A65FD3" w14:textId="74089B28" w:rsidR="00394471" w:rsidRPr="00FA0D37" w:rsidRDefault="00394471" w:rsidP="00964CC4">
            <w:pPr>
              <w:pStyle w:val="TAL"/>
              <w:rPr>
                <w:szCs w:val="22"/>
                <w:lang w:eastAsia="sv-SE"/>
              </w:rPr>
            </w:pPr>
            <w:r w:rsidRPr="00FA0D37">
              <w:rPr>
                <w:szCs w:val="22"/>
                <w:lang w:eastAsia="sv-SE"/>
              </w:rPr>
              <w:t>Subcarrier spacing of SSB.</w:t>
            </w:r>
          </w:p>
          <w:p w14:paraId="741501E9" w14:textId="77777777" w:rsidR="006C501F" w:rsidRPr="00FA0D37" w:rsidRDefault="006C501F" w:rsidP="006C501F">
            <w:pPr>
              <w:pStyle w:val="TAL"/>
              <w:rPr>
                <w:iCs/>
                <w:noProof/>
                <w:lang w:eastAsia="en-GB"/>
              </w:rPr>
            </w:pPr>
            <w:r w:rsidRPr="00FA0D37">
              <w:rPr>
                <w:iCs/>
                <w:noProof/>
                <w:lang w:eastAsia="en-GB"/>
              </w:rPr>
              <w:t>Only the following values are applicable depending on the used frequency:</w:t>
            </w:r>
          </w:p>
          <w:p w14:paraId="64F74D51" w14:textId="77777777" w:rsidR="006C501F" w:rsidRPr="00FA0D37" w:rsidRDefault="006C501F" w:rsidP="006C501F">
            <w:pPr>
              <w:pStyle w:val="TAL"/>
              <w:rPr>
                <w:iCs/>
                <w:noProof/>
                <w:lang w:eastAsia="en-GB"/>
              </w:rPr>
            </w:pPr>
            <w:r w:rsidRPr="00FA0D37">
              <w:rPr>
                <w:iCs/>
                <w:noProof/>
                <w:lang w:eastAsia="en-GB"/>
              </w:rPr>
              <w:t>FR1:    15 or 30 kHz</w:t>
            </w:r>
          </w:p>
          <w:p w14:paraId="7E5DF80F" w14:textId="77777777" w:rsidR="006C501F" w:rsidRPr="00FA0D37" w:rsidRDefault="006C501F" w:rsidP="006C501F">
            <w:pPr>
              <w:pStyle w:val="TAL"/>
              <w:rPr>
                <w:iCs/>
                <w:noProof/>
                <w:lang w:eastAsia="en-GB"/>
              </w:rPr>
            </w:pPr>
            <w:r w:rsidRPr="00FA0D37">
              <w:rPr>
                <w:iCs/>
                <w:noProof/>
                <w:lang w:eastAsia="en-GB"/>
              </w:rPr>
              <w:t>FR2-1:  120 or 240 kHz</w:t>
            </w:r>
          </w:p>
          <w:p w14:paraId="521D16C3" w14:textId="76025D45" w:rsidR="006C501F" w:rsidRPr="00FA0D37" w:rsidRDefault="006C501F" w:rsidP="006C501F">
            <w:pPr>
              <w:pStyle w:val="TAL"/>
              <w:rPr>
                <w:b/>
                <w:bCs/>
                <w:i/>
                <w:noProof/>
                <w:lang w:eastAsia="en-GB"/>
              </w:rPr>
            </w:pPr>
            <w:r w:rsidRPr="00FA0D37">
              <w:rPr>
                <w:iCs/>
                <w:noProof/>
                <w:lang w:eastAsia="en-GB"/>
              </w:rPr>
              <w:t>FR2-2:  120, 480, or 960 kHz</w:t>
            </w:r>
          </w:p>
        </w:tc>
      </w:tr>
      <w:tr w:rsidR="005C7FF4" w:rsidRPr="00FA0D37" w14:paraId="0AFC6B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BC14D" w14:textId="77777777" w:rsidR="00394471" w:rsidRPr="00FA0D37" w:rsidRDefault="00394471" w:rsidP="00964CC4">
            <w:pPr>
              <w:pStyle w:val="TAL"/>
              <w:rPr>
                <w:b/>
                <w:bCs/>
                <w:i/>
                <w:noProof/>
                <w:lang w:eastAsia="en-GB"/>
              </w:rPr>
            </w:pPr>
            <w:r w:rsidRPr="00FA0D37">
              <w:rPr>
                <w:b/>
                <w:bCs/>
                <w:i/>
                <w:noProof/>
                <w:lang w:eastAsia="en-GB"/>
              </w:rPr>
              <w:t>threshX-HighP</w:t>
            </w:r>
          </w:p>
          <w:p w14:paraId="2AD365FD" w14:textId="77777777" w:rsidR="00394471" w:rsidRPr="00FA0D37" w:rsidRDefault="00394471" w:rsidP="00964CC4">
            <w:pPr>
              <w:pStyle w:val="TAL"/>
              <w:rPr>
                <w:lang w:eastAsia="en-GB"/>
              </w:rPr>
            </w:pPr>
            <w:r w:rsidRPr="00FA0D37">
              <w:rPr>
                <w:lang w:eastAsia="en-GB"/>
              </w:rPr>
              <w:t>Parameter "Thresh</w:t>
            </w:r>
            <w:r w:rsidRPr="00FA0D37">
              <w:rPr>
                <w:vertAlign w:val="subscript"/>
                <w:lang w:eastAsia="en-GB"/>
              </w:rPr>
              <w:t>X, HighP</w:t>
            </w:r>
            <w:r w:rsidRPr="00FA0D37">
              <w:rPr>
                <w:lang w:eastAsia="en-GB"/>
              </w:rPr>
              <w:t>" in TS 38.304 [20].</w:t>
            </w:r>
          </w:p>
        </w:tc>
      </w:tr>
      <w:tr w:rsidR="005C7FF4" w:rsidRPr="00FA0D37" w14:paraId="6CE6FA6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B62B55" w14:textId="77777777" w:rsidR="00394471" w:rsidRPr="00FA0D37" w:rsidRDefault="00394471" w:rsidP="00964CC4">
            <w:pPr>
              <w:pStyle w:val="TAL"/>
              <w:rPr>
                <w:b/>
                <w:bCs/>
                <w:i/>
                <w:noProof/>
                <w:lang w:eastAsia="en-GB"/>
              </w:rPr>
            </w:pPr>
            <w:r w:rsidRPr="00FA0D37">
              <w:rPr>
                <w:b/>
                <w:bCs/>
                <w:i/>
                <w:noProof/>
                <w:lang w:eastAsia="en-GB"/>
              </w:rPr>
              <w:lastRenderedPageBreak/>
              <w:t>threshX-HighQ</w:t>
            </w:r>
          </w:p>
          <w:p w14:paraId="37A91713" w14:textId="77777777" w:rsidR="00394471" w:rsidRPr="00FA0D37" w:rsidRDefault="00394471" w:rsidP="00964CC4">
            <w:pPr>
              <w:pStyle w:val="TAL"/>
              <w:rPr>
                <w:b/>
                <w:bCs/>
                <w:i/>
                <w:noProof/>
                <w:lang w:eastAsia="en-GB"/>
              </w:rPr>
            </w:pPr>
            <w:r w:rsidRPr="00FA0D37">
              <w:rPr>
                <w:lang w:eastAsia="en-GB"/>
              </w:rPr>
              <w:t>Parameter "Thresh</w:t>
            </w:r>
            <w:r w:rsidRPr="00FA0D37">
              <w:rPr>
                <w:vertAlign w:val="subscript"/>
                <w:lang w:eastAsia="en-GB"/>
              </w:rPr>
              <w:t>X, HighQ</w:t>
            </w:r>
            <w:r w:rsidRPr="00FA0D37">
              <w:rPr>
                <w:lang w:eastAsia="en-GB"/>
              </w:rPr>
              <w:t>" in TS 38.304 [20].</w:t>
            </w:r>
          </w:p>
        </w:tc>
      </w:tr>
      <w:tr w:rsidR="005C7FF4" w:rsidRPr="00FA0D37" w14:paraId="621E1C1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1650F" w14:textId="77777777" w:rsidR="00394471" w:rsidRPr="00FA0D37" w:rsidRDefault="00394471" w:rsidP="00964CC4">
            <w:pPr>
              <w:pStyle w:val="TAL"/>
              <w:rPr>
                <w:b/>
                <w:bCs/>
                <w:i/>
                <w:noProof/>
                <w:lang w:eastAsia="en-GB"/>
              </w:rPr>
            </w:pPr>
            <w:r w:rsidRPr="00FA0D37">
              <w:rPr>
                <w:b/>
                <w:bCs/>
                <w:i/>
                <w:noProof/>
                <w:lang w:eastAsia="en-GB"/>
              </w:rPr>
              <w:t>threshX-LowP</w:t>
            </w:r>
          </w:p>
          <w:p w14:paraId="402EE543" w14:textId="77777777" w:rsidR="00394471" w:rsidRPr="00FA0D37" w:rsidRDefault="00394471" w:rsidP="00964CC4">
            <w:pPr>
              <w:pStyle w:val="TAL"/>
              <w:rPr>
                <w:noProof/>
                <w:lang w:eastAsia="en-GB"/>
              </w:rPr>
            </w:pPr>
            <w:r w:rsidRPr="00FA0D37">
              <w:rPr>
                <w:lang w:eastAsia="en-GB"/>
              </w:rPr>
              <w:t>Parameter "Thresh</w:t>
            </w:r>
            <w:r w:rsidRPr="00FA0D37">
              <w:rPr>
                <w:vertAlign w:val="subscript"/>
                <w:lang w:eastAsia="en-GB"/>
              </w:rPr>
              <w:t>X, LowP</w:t>
            </w:r>
            <w:r w:rsidRPr="00FA0D37">
              <w:rPr>
                <w:lang w:eastAsia="en-GB"/>
              </w:rPr>
              <w:t>" in TS 38.304 [20].</w:t>
            </w:r>
          </w:p>
        </w:tc>
      </w:tr>
      <w:tr w:rsidR="005C7FF4" w:rsidRPr="00FA0D37" w14:paraId="0DA6682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7CB7C" w14:textId="77777777" w:rsidR="00394471" w:rsidRPr="00FA0D37" w:rsidRDefault="00394471" w:rsidP="00964CC4">
            <w:pPr>
              <w:pStyle w:val="TAL"/>
              <w:rPr>
                <w:b/>
                <w:bCs/>
                <w:i/>
                <w:noProof/>
                <w:lang w:eastAsia="en-GB"/>
              </w:rPr>
            </w:pPr>
            <w:r w:rsidRPr="00FA0D37">
              <w:rPr>
                <w:b/>
                <w:bCs/>
                <w:i/>
                <w:noProof/>
                <w:lang w:eastAsia="en-GB"/>
              </w:rPr>
              <w:t>threshX-LowQ</w:t>
            </w:r>
          </w:p>
          <w:p w14:paraId="69B631EE" w14:textId="77777777" w:rsidR="00394471" w:rsidRPr="00FA0D37" w:rsidRDefault="00394471" w:rsidP="00964CC4">
            <w:pPr>
              <w:pStyle w:val="TAL"/>
              <w:rPr>
                <w:b/>
                <w:bCs/>
                <w:i/>
                <w:noProof/>
                <w:lang w:eastAsia="en-GB"/>
              </w:rPr>
            </w:pPr>
            <w:r w:rsidRPr="00FA0D37">
              <w:rPr>
                <w:lang w:eastAsia="en-GB"/>
              </w:rPr>
              <w:t>Parameter "Thresh</w:t>
            </w:r>
            <w:r w:rsidRPr="00FA0D37">
              <w:rPr>
                <w:vertAlign w:val="subscript"/>
                <w:lang w:eastAsia="en-GB"/>
              </w:rPr>
              <w:t>X, LowQ</w:t>
            </w:r>
            <w:r w:rsidRPr="00FA0D37">
              <w:rPr>
                <w:lang w:eastAsia="en-GB"/>
              </w:rPr>
              <w:t>" in TS 38.304 [20].</w:t>
            </w:r>
          </w:p>
        </w:tc>
      </w:tr>
      <w:tr w:rsidR="005C7FF4" w:rsidRPr="00FA0D37" w14:paraId="165387F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F68133" w14:textId="77777777" w:rsidR="00394471" w:rsidRPr="00FA0D37" w:rsidRDefault="00394471" w:rsidP="00964CC4">
            <w:pPr>
              <w:pStyle w:val="TAL"/>
              <w:rPr>
                <w:b/>
                <w:bCs/>
                <w:i/>
                <w:noProof/>
                <w:lang w:eastAsia="en-GB"/>
              </w:rPr>
            </w:pPr>
            <w:r w:rsidRPr="00FA0D37">
              <w:rPr>
                <w:b/>
                <w:bCs/>
                <w:i/>
                <w:noProof/>
                <w:lang w:eastAsia="en-GB"/>
              </w:rPr>
              <w:t>t-ReselectionNR</w:t>
            </w:r>
          </w:p>
          <w:p w14:paraId="62C763FB" w14:textId="77777777" w:rsidR="00394471" w:rsidRPr="00FA0D37" w:rsidRDefault="00394471" w:rsidP="00964CC4">
            <w:pPr>
              <w:pStyle w:val="TAL"/>
              <w:rPr>
                <w:b/>
                <w:bCs/>
                <w:i/>
                <w:noProof/>
                <w:lang w:eastAsia="en-GB"/>
              </w:rPr>
            </w:pPr>
            <w:r w:rsidRPr="00FA0D37">
              <w:rPr>
                <w:lang w:eastAsia="en-GB"/>
              </w:rPr>
              <w:t>Parameter "Treselection</w:t>
            </w:r>
            <w:r w:rsidRPr="00FA0D37">
              <w:rPr>
                <w:vertAlign w:val="subscript"/>
                <w:lang w:eastAsia="en-GB"/>
              </w:rPr>
              <w:t>NR</w:t>
            </w:r>
            <w:r w:rsidRPr="00FA0D37">
              <w:rPr>
                <w:lang w:eastAsia="en-GB"/>
              </w:rPr>
              <w:t>" in TS 38.304 [20].</w:t>
            </w:r>
          </w:p>
        </w:tc>
      </w:tr>
      <w:tr w:rsidR="00394471" w:rsidRPr="00FA0D37" w14:paraId="5FD977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3411B" w14:textId="77777777" w:rsidR="00394471" w:rsidRPr="00FA0D37" w:rsidRDefault="00394471" w:rsidP="00964CC4">
            <w:pPr>
              <w:pStyle w:val="TAL"/>
              <w:rPr>
                <w:b/>
                <w:bCs/>
                <w:i/>
                <w:iCs/>
                <w:lang w:eastAsia="sv-SE"/>
              </w:rPr>
            </w:pPr>
            <w:r w:rsidRPr="00FA0D37">
              <w:rPr>
                <w:b/>
                <w:bCs/>
                <w:i/>
                <w:iCs/>
                <w:lang w:eastAsia="sv-SE"/>
              </w:rPr>
              <w:t>t-ReselectionNR-SF</w:t>
            </w:r>
          </w:p>
          <w:p w14:paraId="35357BC1" w14:textId="77777777" w:rsidR="00394471" w:rsidRPr="00FA0D37" w:rsidRDefault="00394471" w:rsidP="00964CC4">
            <w:pPr>
              <w:pStyle w:val="TAL"/>
              <w:rPr>
                <w:b/>
                <w:bCs/>
                <w:i/>
                <w:noProof/>
                <w:lang w:eastAsia="en-GB"/>
              </w:rPr>
            </w:pPr>
            <w:r w:rsidRPr="00FA0D37">
              <w:rPr>
                <w:lang w:eastAsia="sv-SE"/>
              </w:rPr>
              <w:t>Parameter "Speed dependent ScalingFactor for Treselection</w:t>
            </w:r>
            <w:r w:rsidRPr="00FA0D37">
              <w:rPr>
                <w:vertAlign w:val="subscript"/>
                <w:lang w:eastAsia="sv-SE"/>
              </w:rPr>
              <w:t>NR</w:t>
            </w:r>
            <w:r w:rsidRPr="00FA0D37">
              <w:rPr>
                <w:lang w:eastAsia="sv-SE"/>
              </w:rPr>
              <w:t>" in TS 38.304 [20]. If the field is absent, the UE behaviour is specified in TS 38.304 [20].</w:t>
            </w:r>
          </w:p>
        </w:tc>
      </w:tr>
    </w:tbl>
    <w:p w14:paraId="34D8A145" w14:textId="77777777" w:rsidR="00394471" w:rsidRPr="00FA0D3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44FF7C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AFA62F" w14:textId="77777777" w:rsidR="00394471" w:rsidRPr="00FA0D37" w:rsidRDefault="00394471" w:rsidP="00964CC4">
            <w:pPr>
              <w:pStyle w:val="TAH"/>
              <w:rPr>
                <w:szCs w:val="22"/>
                <w:lang w:eastAsia="en-US"/>
              </w:rPr>
            </w:pPr>
            <w:r w:rsidRPr="00FA0D3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EBC55E" w14:textId="77777777" w:rsidR="00394471" w:rsidRPr="00FA0D37" w:rsidRDefault="00394471" w:rsidP="00964CC4">
            <w:pPr>
              <w:pStyle w:val="TAH"/>
              <w:rPr>
                <w:szCs w:val="22"/>
                <w:lang w:eastAsia="en-US"/>
              </w:rPr>
            </w:pPr>
            <w:r w:rsidRPr="00FA0D37">
              <w:rPr>
                <w:szCs w:val="22"/>
                <w:lang w:eastAsia="en-US"/>
              </w:rPr>
              <w:t>Explanation</w:t>
            </w:r>
          </w:p>
        </w:tc>
      </w:tr>
      <w:tr w:rsidR="005C7FF4" w:rsidRPr="00FA0D37" w14:paraId="25635B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4C43DD" w14:textId="77777777" w:rsidR="00394471" w:rsidRPr="00FA0D37" w:rsidRDefault="00394471" w:rsidP="00964CC4">
            <w:pPr>
              <w:pStyle w:val="TAL"/>
              <w:rPr>
                <w:i/>
                <w:szCs w:val="22"/>
                <w:lang w:eastAsia="en-US"/>
              </w:rPr>
            </w:pPr>
            <w:r w:rsidRPr="00FA0D37">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40D42384" w14:textId="77777777" w:rsidR="00394471" w:rsidRPr="00FA0D37" w:rsidRDefault="00394471" w:rsidP="00964CC4">
            <w:pPr>
              <w:pStyle w:val="TAL"/>
              <w:rPr>
                <w:szCs w:val="22"/>
                <w:lang w:eastAsia="en-US"/>
              </w:rPr>
            </w:pPr>
            <w:r w:rsidRPr="00FA0D37">
              <w:rPr>
                <w:szCs w:val="22"/>
                <w:lang w:eastAsia="en-US"/>
              </w:rPr>
              <w:t>The field is mandatory present in SIB4.</w:t>
            </w:r>
          </w:p>
        </w:tc>
      </w:tr>
      <w:tr w:rsidR="005C7FF4" w:rsidRPr="00FA0D37" w14:paraId="5BD5273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BC90A1" w14:textId="77777777" w:rsidR="00394471" w:rsidRPr="00FA0D37" w:rsidRDefault="00394471" w:rsidP="00964CC4">
            <w:pPr>
              <w:pStyle w:val="TAL"/>
              <w:rPr>
                <w:i/>
                <w:szCs w:val="22"/>
                <w:lang w:eastAsia="en-US"/>
              </w:rPr>
            </w:pPr>
            <w:r w:rsidRPr="00FA0D3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30057137" w14:textId="77777777" w:rsidR="00394471" w:rsidRPr="00FA0D37" w:rsidRDefault="00394471" w:rsidP="00964CC4">
            <w:pPr>
              <w:pStyle w:val="TAL"/>
              <w:rPr>
                <w:szCs w:val="22"/>
                <w:lang w:eastAsia="en-US"/>
              </w:rPr>
            </w:pPr>
            <w:r w:rsidRPr="00FA0D37">
              <w:rPr>
                <w:szCs w:val="22"/>
                <w:lang w:eastAsia="en-US"/>
              </w:rPr>
              <w:t xml:space="preserve">The field is mandatory present if </w:t>
            </w:r>
            <w:r w:rsidRPr="00FA0D37">
              <w:rPr>
                <w:i/>
                <w:lang w:eastAsia="sv-SE"/>
              </w:rPr>
              <w:t>threshServingLowQ</w:t>
            </w:r>
            <w:r w:rsidRPr="00FA0D37">
              <w:rPr>
                <w:szCs w:val="22"/>
                <w:lang w:eastAsia="en-US"/>
              </w:rPr>
              <w:t xml:space="preserve"> is present in </w:t>
            </w:r>
            <w:r w:rsidRPr="00FA0D37">
              <w:rPr>
                <w:i/>
                <w:lang w:eastAsia="sv-SE"/>
              </w:rPr>
              <w:t>SIB2</w:t>
            </w:r>
            <w:r w:rsidRPr="00FA0D37">
              <w:rPr>
                <w:szCs w:val="22"/>
                <w:lang w:eastAsia="en-US"/>
              </w:rPr>
              <w:t>; otherwise it is absent.</w:t>
            </w:r>
          </w:p>
        </w:tc>
      </w:tr>
      <w:tr w:rsidR="005C7FF4" w:rsidRPr="00FA0D37" w14:paraId="40BB0A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B4E59D3" w14:textId="77777777" w:rsidR="00394471" w:rsidRPr="00FA0D37" w:rsidRDefault="00394471" w:rsidP="00964CC4">
            <w:pPr>
              <w:pStyle w:val="TAL"/>
              <w:rPr>
                <w:i/>
                <w:szCs w:val="22"/>
                <w:lang w:eastAsia="en-US"/>
              </w:rPr>
            </w:pPr>
            <w:r w:rsidRPr="00FA0D3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7D8BC42" w14:textId="77777777" w:rsidR="00394471" w:rsidRPr="00FA0D37" w:rsidRDefault="00394471" w:rsidP="00964CC4">
            <w:pPr>
              <w:pStyle w:val="TAL"/>
              <w:rPr>
                <w:szCs w:val="22"/>
                <w:lang w:eastAsia="en-US"/>
              </w:rPr>
            </w:pPr>
            <w:r w:rsidRPr="00FA0D37">
              <w:rPr>
                <w:szCs w:val="22"/>
              </w:rPr>
              <w:t>This field is mandatory present if this inter-frequency operates with shared spectrum channel access. Otherwise, it is absent, Need R.</w:t>
            </w:r>
          </w:p>
        </w:tc>
      </w:tr>
      <w:tr w:rsidR="00394471" w:rsidRPr="00FA0D37" w14:paraId="2D4045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C7F3" w14:textId="77777777" w:rsidR="00394471" w:rsidRPr="00FA0D37" w:rsidRDefault="00394471" w:rsidP="00964CC4">
            <w:pPr>
              <w:pStyle w:val="TAL"/>
              <w:rPr>
                <w:i/>
                <w:iCs/>
                <w:lang w:eastAsia="x-none"/>
              </w:rPr>
            </w:pPr>
            <w:r w:rsidRPr="00FA0D3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E3DA06D" w14:textId="77777777" w:rsidR="00394471" w:rsidRPr="00FA0D37" w:rsidRDefault="00394471" w:rsidP="00964CC4">
            <w:pPr>
              <w:pStyle w:val="TAL"/>
              <w:rPr>
                <w:szCs w:val="22"/>
              </w:rPr>
            </w:pPr>
            <w:r w:rsidRPr="00FA0D37">
              <w:rPr>
                <w:szCs w:val="22"/>
              </w:rPr>
              <w:t>The field is optional present, Need R, if this inter-frequency or neighbor cell operates with shared spectrum channel access. Otherwise, it is absent, Need R.</w:t>
            </w:r>
          </w:p>
        </w:tc>
      </w:tr>
    </w:tbl>
    <w:p w14:paraId="15BE9E2D" w14:textId="77777777" w:rsidR="00394471" w:rsidRPr="00FA0D37" w:rsidRDefault="00394471" w:rsidP="00394471"/>
    <w:p w14:paraId="4CC6D606" w14:textId="77777777" w:rsidR="00394471" w:rsidRPr="00FA0D37" w:rsidRDefault="00394471" w:rsidP="00394471">
      <w:pPr>
        <w:pStyle w:val="4"/>
        <w:rPr>
          <w:rFonts w:eastAsia="宋体"/>
          <w:i/>
          <w:noProof/>
        </w:rPr>
      </w:pPr>
      <w:bookmarkStart w:id="763" w:name="_Toc60777144"/>
      <w:bookmarkStart w:id="764" w:name="_Toc146781182"/>
      <w:r w:rsidRPr="00FA0D37">
        <w:rPr>
          <w:rFonts w:eastAsia="宋体"/>
        </w:rPr>
        <w:t>–</w:t>
      </w:r>
      <w:r w:rsidRPr="00FA0D37">
        <w:rPr>
          <w:rFonts w:eastAsia="宋体"/>
        </w:rPr>
        <w:tab/>
      </w:r>
      <w:r w:rsidRPr="00FA0D37">
        <w:rPr>
          <w:rFonts w:eastAsia="宋体"/>
          <w:i/>
          <w:noProof/>
        </w:rPr>
        <w:t>SIB5</w:t>
      </w:r>
      <w:bookmarkEnd w:id="763"/>
      <w:bookmarkEnd w:id="764"/>
    </w:p>
    <w:p w14:paraId="030D8E6F" w14:textId="77777777" w:rsidR="00394471" w:rsidRPr="00FA0D37" w:rsidRDefault="00394471" w:rsidP="00394471">
      <w:pPr>
        <w:rPr>
          <w:rFonts w:eastAsia="宋体"/>
        </w:rPr>
      </w:pPr>
      <w:r w:rsidRPr="00FA0D37">
        <w:rPr>
          <w:i/>
          <w:noProof/>
        </w:rPr>
        <w:t>SIB5</w:t>
      </w:r>
      <w:r w:rsidRPr="00FA0D37">
        <w:rPr>
          <w:iCs/>
        </w:rPr>
        <w:t xml:space="preserve"> contains information relevant only for inter-RAT cell re-selection i.e. information about </w:t>
      </w:r>
      <w:r w:rsidRPr="00FA0D37">
        <w:t>E-UTRA frequencies and E-UTRAs neighbouring cells relevant for cell re-selection. The IE includes cell re-selection parameters common for a frequency.</w:t>
      </w:r>
    </w:p>
    <w:p w14:paraId="3A1DDB2B" w14:textId="77777777" w:rsidR="00394471" w:rsidRPr="00FA0D37" w:rsidRDefault="00394471" w:rsidP="00394471">
      <w:pPr>
        <w:pStyle w:val="TH"/>
        <w:rPr>
          <w:bCs/>
          <w:i/>
          <w:iCs/>
        </w:rPr>
      </w:pPr>
      <w:r w:rsidRPr="00FA0D37">
        <w:rPr>
          <w:bCs/>
          <w:i/>
          <w:iCs/>
          <w:noProof/>
        </w:rPr>
        <w:t xml:space="preserve">SIB5 </w:t>
      </w:r>
      <w:r w:rsidRPr="00FA0D37">
        <w:rPr>
          <w:bCs/>
          <w:iCs/>
          <w:noProof/>
        </w:rPr>
        <w:t>information element</w:t>
      </w:r>
    </w:p>
    <w:p w14:paraId="266DC5DC" w14:textId="77777777" w:rsidR="00394471" w:rsidRPr="00FA0D37" w:rsidRDefault="00394471" w:rsidP="00FA0D37">
      <w:pPr>
        <w:pStyle w:val="PL"/>
        <w:rPr>
          <w:color w:val="808080"/>
        </w:rPr>
      </w:pPr>
      <w:r w:rsidRPr="00FA0D37">
        <w:rPr>
          <w:color w:val="808080"/>
        </w:rPr>
        <w:t>-- ASN1START</w:t>
      </w:r>
    </w:p>
    <w:p w14:paraId="5C4C4D1B" w14:textId="77777777" w:rsidR="00394471" w:rsidRPr="00FA0D37" w:rsidRDefault="00394471" w:rsidP="00FA0D37">
      <w:pPr>
        <w:pStyle w:val="PL"/>
        <w:rPr>
          <w:color w:val="808080"/>
        </w:rPr>
      </w:pPr>
      <w:r w:rsidRPr="00FA0D37">
        <w:rPr>
          <w:color w:val="808080"/>
        </w:rPr>
        <w:t>-- TAG-SIB5-START</w:t>
      </w:r>
    </w:p>
    <w:p w14:paraId="7636E9E2" w14:textId="77777777" w:rsidR="00394471" w:rsidRPr="00FA0D37" w:rsidRDefault="00394471" w:rsidP="00FA0D37">
      <w:pPr>
        <w:pStyle w:val="PL"/>
      </w:pPr>
    </w:p>
    <w:p w14:paraId="33B78494" w14:textId="77777777" w:rsidR="00394471" w:rsidRPr="00FA0D37" w:rsidRDefault="00394471" w:rsidP="00FA0D37">
      <w:pPr>
        <w:pStyle w:val="PL"/>
      </w:pPr>
      <w:r w:rsidRPr="00FA0D37">
        <w:t xml:space="preserve">SIB5 ::=                            </w:t>
      </w:r>
      <w:r w:rsidRPr="00FA0D37">
        <w:rPr>
          <w:color w:val="993366"/>
        </w:rPr>
        <w:t>SEQUENCE</w:t>
      </w:r>
      <w:r w:rsidRPr="00FA0D37">
        <w:t xml:space="preserve"> {</w:t>
      </w:r>
    </w:p>
    <w:p w14:paraId="2265F6D0" w14:textId="77777777" w:rsidR="00394471" w:rsidRPr="00FA0D37" w:rsidRDefault="00394471" w:rsidP="00FA0D37">
      <w:pPr>
        <w:pStyle w:val="PL"/>
        <w:rPr>
          <w:color w:val="808080"/>
        </w:rPr>
      </w:pPr>
      <w:r w:rsidRPr="00FA0D37">
        <w:t xml:space="preserve">    carrierFreqListEUTRA                CarrierFreqListEUTRA                        </w:t>
      </w:r>
      <w:r w:rsidRPr="00FA0D37">
        <w:rPr>
          <w:color w:val="993366"/>
        </w:rPr>
        <w:t>OPTIONAL</w:t>
      </w:r>
      <w:r w:rsidRPr="00FA0D37">
        <w:t xml:space="preserve">,       </w:t>
      </w:r>
      <w:r w:rsidRPr="00FA0D37">
        <w:rPr>
          <w:color w:val="808080"/>
        </w:rPr>
        <w:t>-- Need R</w:t>
      </w:r>
    </w:p>
    <w:p w14:paraId="3CBA4342" w14:textId="77777777" w:rsidR="00394471" w:rsidRPr="00FA0D37" w:rsidRDefault="00394471" w:rsidP="00FA0D37">
      <w:pPr>
        <w:pStyle w:val="PL"/>
      </w:pPr>
      <w:r w:rsidRPr="00FA0D37">
        <w:t xml:space="preserve">    t-ReselectionEUTRA                  T-Reselection,</w:t>
      </w:r>
    </w:p>
    <w:p w14:paraId="50B30F92" w14:textId="77777777" w:rsidR="00394471" w:rsidRPr="00FA0D37" w:rsidRDefault="00394471" w:rsidP="00FA0D37">
      <w:pPr>
        <w:pStyle w:val="PL"/>
        <w:rPr>
          <w:color w:val="808080"/>
        </w:rPr>
      </w:pPr>
      <w:r w:rsidRPr="00FA0D37">
        <w:t xml:space="preserve">    t-ReselectionEUTRA-SF               SpeedStateScaleFactors                      </w:t>
      </w:r>
      <w:r w:rsidRPr="00FA0D37">
        <w:rPr>
          <w:color w:val="993366"/>
        </w:rPr>
        <w:t>OPTIONAL</w:t>
      </w:r>
      <w:r w:rsidRPr="00FA0D37">
        <w:t xml:space="preserve">,       </w:t>
      </w:r>
      <w:r w:rsidRPr="00FA0D37">
        <w:rPr>
          <w:color w:val="808080"/>
        </w:rPr>
        <w:t>-- Need S</w:t>
      </w:r>
    </w:p>
    <w:p w14:paraId="006930A8"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E7C3DA0" w14:textId="77777777" w:rsidR="00394471" w:rsidRPr="00FA0D37" w:rsidRDefault="00394471" w:rsidP="00FA0D37">
      <w:pPr>
        <w:pStyle w:val="PL"/>
      </w:pPr>
      <w:r w:rsidRPr="00FA0D37">
        <w:t xml:space="preserve">    ...,</w:t>
      </w:r>
    </w:p>
    <w:p w14:paraId="5F54FD7D" w14:textId="77777777" w:rsidR="00394471" w:rsidRPr="00FA0D37" w:rsidRDefault="00394471" w:rsidP="00FA0D37">
      <w:pPr>
        <w:pStyle w:val="PL"/>
      </w:pPr>
      <w:r w:rsidRPr="00FA0D37">
        <w:t xml:space="preserve">    [[</w:t>
      </w:r>
    </w:p>
    <w:p w14:paraId="5A8D8EE2" w14:textId="77777777" w:rsidR="00394471" w:rsidRPr="00FA0D37" w:rsidRDefault="00394471" w:rsidP="00FA0D37">
      <w:pPr>
        <w:pStyle w:val="PL"/>
        <w:rPr>
          <w:color w:val="808080"/>
        </w:rPr>
      </w:pPr>
      <w:r w:rsidRPr="00FA0D37">
        <w:t xml:space="preserve">    carrierFreqListEUTRA-v1610      CarrierFreqListEUTRA-v1610                      </w:t>
      </w:r>
      <w:r w:rsidRPr="00FA0D37">
        <w:rPr>
          <w:color w:val="993366"/>
        </w:rPr>
        <w:t>OPTIONAL</w:t>
      </w:r>
      <w:r w:rsidRPr="00FA0D37">
        <w:t xml:space="preserve">        </w:t>
      </w:r>
      <w:r w:rsidRPr="00FA0D37">
        <w:rPr>
          <w:color w:val="808080"/>
        </w:rPr>
        <w:t>-- Need R</w:t>
      </w:r>
    </w:p>
    <w:p w14:paraId="2C4D1840" w14:textId="694CEB8A" w:rsidR="002E44EF" w:rsidRPr="00FA0D37" w:rsidRDefault="00394471" w:rsidP="00FA0D37">
      <w:pPr>
        <w:pStyle w:val="PL"/>
      </w:pPr>
      <w:r w:rsidRPr="00FA0D37">
        <w:t xml:space="preserve">    ]]</w:t>
      </w:r>
      <w:r w:rsidR="002E44EF" w:rsidRPr="00FA0D37">
        <w:t>,</w:t>
      </w:r>
    </w:p>
    <w:p w14:paraId="2778FB96" w14:textId="77777777" w:rsidR="002E44EF" w:rsidRPr="00FA0D37" w:rsidRDefault="002E44EF" w:rsidP="00FA0D37">
      <w:pPr>
        <w:pStyle w:val="PL"/>
      </w:pPr>
      <w:r w:rsidRPr="00FA0D37">
        <w:t xml:space="preserve">    [[</w:t>
      </w:r>
    </w:p>
    <w:p w14:paraId="24A81E9A" w14:textId="48048976" w:rsidR="002E44EF" w:rsidRPr="00FA0D37" w:rsidRDefault="002E44EF" w:rsidP="00FA0D37">
      <w:pPr>
        <w:pStyle w:val="PL"/>
        <w:rPr>
          <w:color w:val="808080"/>
        </w:rPr>
      </w:pPr>
      <w:r w:rsidRPr="00FA0D37">
        <w:t xml:space="preserve">    carrierFreqListEUTRA-v1700      CarrierFreqListEUTRA-v1700                      </w:t>
      </w:r>
      <w:r w:rsidRPr="00FA0D37">
        <w:rPr>
          <w:color w:val="993366"/>
        </w:rPr>
        <w:t>OPTIONAL</w:t>
      </w:r>
      <w:r w:rsidR="00425CBF" w:rsidRPr="00FA0D37">
        <w:t>,</w:t>
      </w:r>
      <w:r w:rsidRPr="00FA0D37">
        <w:t xml:space="preserve">       </w:t>
      </w:r>
      <w:r w:rsidRPr="00FA0D37">
        <w:rPr>
          <w:color w:val="808080"/>
        </w:rPr>
        <w:t>-- Need R</w:t>
      </w:r>
    </w:p>
    <w:p w14:paraId="6CA67D01" w14:textId="652C764C" w:rsidR="006733C4" w:rsidRPr="00FA0D37" w:rsidRDefault="006733C4" w:rsidP="00FA0D37">
      <w:pPr>
        <w:pStyle w:val="PL"/>
        <w:rPr>
          <w:color w:val="808080"/>
        </w:rPr>
      </w:pPr>
      <w:r w:rsidRPr="00FA0D37">
        <w:t xml:space="preserve">    idleModeMeasVoiceFallback-</w:t>
      </w:r>
      <w:r w:rsidR="001C0233" w:rsidRPr="00FA0D37">
        <w:t>r</w:t>
      </w:r>
      <w:r w:rsidRPr="00FA0D37">
        <w:t xml:space="preserve">17 </w:t>
      </w:r>
      <w:r w:rsidR="001C0233" w:rsidRPr="00FA0D37">
        <w:t xml:space="preserve">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R</w:t>
      </w:r>
    </w:p>
    <w:p w14:paraId="03AF5237" w14:textId="4A169303" w:rsidR="00394471" w:rsidRPr="00FA0D37" w:rsidRDefault="006733C4" w:rsidP="00FA0D37">
      <w:pPr>
        <w:pStyle w:val="PL"/>
      </w:pPr>
      <w:r w:rsidRPr="00FA0D37">
        <w:t xml:space="preserve">    ]]</w:t>
      </w:r>
    </w:p>
    <w:p w14:paraId="77F1C0D9" w14:textId="77777777" w:rsidR="00394471" w:rsidRPr="00FA0D37" w:rsidRDefault="00394471" w:rsidP="00FA0D37">
      <w:pPr>
        <w:pStyle w:val="PL"/>
      </w:pPr>
      <w:r w:rsidRPr="00FA0D37">
        <w:t>}</w:t>
      </w:r>
    </w:p>
    <w:p w14:paraId="10803FDE" w14:textId="77777777" w:rsidR="00394471" w:rsidRPr="00FA0D37" w:rsidRDefault="00394471" w:rsidP="00FA0D37">
      <w:pPr>
        <w:pStyle w:val="PL"/>
      </w:pPr>
    </w:p>
    <w:p w14:paraId="231EE504" w14:textId="77777777" w:rsidR="00394471" w:rsidRPr="00FA0D37" w:rsidRDefault="00394471" w:rsidP="00FA0D37">
      <w:pPr>
        <w:pStyle w:val="PL"/>
      </w:pPr>
      <w:r w:rsidRPr="00FA0D37">
        <w:t xml:space="preserve">CarrierFreqListEUTRA ::=            </w:t>
      </w:r>
      <w:r w:rsidRPr="00FA0D37">
        <w:rPr>
          <w:color w:val="993366"/>
        </w:rPr>
        <w:t>SEQUENCE</w:t>
      </w:r>
      <w:r w:rsidRPr="00FA0D37">
        <w:t xml:space="preserve"> (</w:t>
      </w:r>
      <w:r w:rsidRPr="00FA0D37">
        <w:rPr>
          <w:color w:val="993366"/>
        </w:rPr>
        <w:t>SIZE</w:t>
      </w:r>
      <w:r w:rsidRPr="00FA0D37">
        <w:t xml:space="preserve"> (1..maxEUTRA-Carrier))</w:t>
      </w:r>
      <w:r w:rsidRPr="00FA0D37">
        <w:rPr>
          <w:color w:val="993366"/>
        </w:rPr>
        <w:t xml:space="preserve"> OF</w:t>
      </w:r>
      <w:r w:rsidRPr="00FA0D37">
        <w:t xml:space="preserve"> CarrierFreqEUTRA</w:t>
      </w:r>
    </w:p>
    <w:p w14:paraId="73449B39" w14:textId="77777777" w:rsidR="00394471" w:rsidRPr="00FA0D37" w:rsidRDefault="00394471" w:rsidP="00FA0D37">
      <w:pPr>
        <w:pStyle w:val="PL"/>
      </w:pPr>
    </w:p>
    <w:p w14:paraId="2A03D291" w14:textId="77777777" w:rsidR="00394471" w:rsidRPr="00FA0D37" w:rsidRDefault="00394471" w:rsidP="00FA0D37">
      <w:pPr>
        <w:pStyle w:val="PL"/>
      </w:pPr>
      <w:r w:rsidRPr="00FA0D37">
        <w:t xml:space="preserve">CarrierFreqListEUTRA-v1610 ::=      </w:t>
      </w:r>
      <w:r w:rsidRPr="00FA0D37">
        <w:rPr>
          <w:color w:val="993366"/>
        </w:rPr>
        <w:t>SEQUENCE</w:t>
      </w:r>
      <w:r w:rsidRPr="00FA0D37">
        <w:t xml:space="preserve"> (</w:t>
      </w:r>
      <w:r w:rsidRPr="00FA0D37">
        <w:rPr>
          <w:color w:val="993366"/>
        </w:rPr>
        <w:t>SIZE</w:t>
      </w:r>
      <w:r w:rsidRPr="00FA0D37">
        <w:t xml:space="preserve"> (1..maxEUTRA-Carrier))</w:t>
      </w:r>
      <w:r w:rsidRPr="00FA0D37">
        <w:rPr>
          <w:color w:val="993366"/>
        </w:rPr>
        <w:t xml:space="preserve"> OF</w:t>
      </w:r>
      <w:r w:rsidRPr="00FA0D37">
        <w:t xml:space="preserve"> CarrierFreqEUTRA-v1610</w:t>
      </w:r>
    </w:p>
    <w:p w14:paraId="37F2A51B" w14:textId="77777777" w:rsidR="002E44EF" w:rsidRPr="00FA0D37" w:rsidRDefault="002E44EF" w:rsidP="00FA0D37">
      <w:pPr>
        <w:pStyle w:val="PL"/>
      </w:pPr>
    </w:p>
    <w:p w14:paraId="6FB1DE10" w14:textId="0826F5EC" w:rsidR="00394471" w:rsidRPr="00FA0D37" w:rsidRDefault="002E44EF" w:rsidP="00FA0D37">
      <w:pPr>
        <w:pStyle w:val="PL"/>
      </w:pPr>
      <w:r w:rsidRPr="00FA0D37">
        <w:t xml:space="preserve">CarrierFreqListEUTRA-v1700 ::=      </w:t>
      </w:r>
      <w:r w:rsidRPr="00FA0D37">
        <w:rPr>
          <w:color w:val="993366"/>
        </w:rPr>
        <w:t>SEQUENCE</w:t>
      </w:r>
      <w:r w:rsidRPr="00FA0D37">
        <w:t xml:space="preserve"> (</w:t>
      </w:r>
      <w:r w:rsidRPr="00FA0D37">
        <w:rPr>
          <w:color w:val="993366"/>
        </w:rPr>
        <w:t>SIZE</w:t>
      </w:r>
      <w:r w:rsidRPr="00FA0D37">
        <w:t xml:space="preserve"> (1..maxEUTRA-Carrier))</w:t>
      </w:r>
      <w:r w:rsidRPr="00FA0D37">
        <w:rPr>
          <w:color w:val="993366"/>
        </w:rPr>
        <w:t xml:space="preserve"> OF</w:t>
      </w:r>
      <w:r w:rsidRPr="00FA0D37">
        <w:t xml:space="preserve"> CarrierFreqEUTRA-v1700</w:t>
      </w:r>
    </w:p>
    <w:p w14:paraId="663F884F" w14:textId="77777777" w:rsidR="002E44EF" w:rsidRPr="00FA0D37" w:rsidRDefault="002E44EF" w:rsidP="00FA0D37">
      <w:pPr>
        <w:pStyle w:val="PL"/>
      </w:pPr>
    </w:p>
    <w:p w14:paraId="15A10067" w14:textId="77777777" w:rsidR="00394471" w:rsidRPr="00FA0D37" w:rsidRDefault="00394471" w:rsidP="00FA0D37">
      <w:pPr>
        <w:pStyle w:val="PL"/>
      </w:pPr>
      <w:r w:rsidRPr="00FA0D37">
        <w:t xml:space="preserve">CarrierFreqEUTRA ::=                </w:t>
      </w:r>
      <w:r w:rsidRPr="00FA0D37">
        <w:rPr>
          <w:color w:val="993366"/>
        </w:rPr>
        <w:t>SEQUENCE</w:t>
      </w:r>
      <w:r w:rsidRPr="00FA0D37">
        <w:t xml:space="preserve"> {</w:t>
      </w:r>
    </w:p>
    <w:p w14:paraId="5C993B2B" w14:textId="77777777" w:rsidR="00394471" w:rsidRPr="00FA0D37" w:rsidRDefault="00394471" w:rsidP="00FA0D37">
      <w:pPr>
        <w:pStyle w:val="PL"/>
      </w:pPr>
      <w:r w:rsidRPr="00FA0D37">
        <w:t xml:space="preserve">    carrierFreq                         ARFCN-ValueEUTRA,</w:t>
      </w:r>
    </w:p>
    <w:p w14:paraId="7D7FD2F5" w14:textId="77777777" w:rsidR="00394471" w:rsidRPr="00FA0D37" w:rsidRDefault="00394471" w:rsidP="00FA0D37">
      <w:pPr>
        <w:pStyle w:val="PL"/>
        <w:rPr>
          <w:color w:val="808080"/>
        </w:rPr>
      </w:pPr>
      <w:r w:rsidRPr="00FA0D37">
        <w:t xml:space="preserve">    eutra-multiBandInfoList             EUTRA-MultiBandInfoList                     </w:t>
      </w:r>
      <w:r w:rsidRPr="00FA0D37">
        <w:rPr>
          <w:color w:val="993366"/>
        </w:rPr>
        <w:t>OPTIONAL</w:t>
      </w:r>
      <w:r w:rsidRPr="00FA0D37">
        <w:t xml:space="preserve">,       </w:t>
      </w:r>
      <w:r w:rsidRPr="00FA0D37">
        <w:rPr>
          <w:color w:val="808080"/>
        </w:rPr>
        <w:t>-- Need R</w:t>
      </w:r>
    </w:p>
    <w:p w14:paraId="2BCD0840" w14:textId="77777777" w:rsidR="00394471" w:rsidRPr="00FA0D37" w:rsidRDefault="00394471" w:rsidP="00FA0D37">
      <w:pPr>
        <w:pStyle w:val="PL"/>
        <w:rPr>
          <w:color w:val="808080"/>
        </w:rPr>
      </w:pPr>
      <w:r w:rsidRPr="00FA0D37">
        <w:t xml:space="preserve">    eutra-FreqNeighCellList             EUTRA-FreqNeighCellList                     </w:t>
      </w:r>
      <w:r w:rsidRPr="00FA0D37">
        <w:rPr>
          <w:color w:val="993366"/>
        </w:rPr>
        <w:t>OPTIONAL</w:t>
      </w:r>
      <w:r w:rsidRPr="00FA0D37">
        <w:t xml:space="preserve">,       </w:t>
      </w:r>
      <w:r w:rsidRPr="00FA0D37">
        <w:rPr>
          <w:color w:val="808080"/>
        </w:rPr>
        <w:t>-- Need R</w:t>
      </w:r>
    </w:p>
    <w:p w14:paraId="73C253D7" w14:textId="5D5EE00F" w:rsidR="00394471" w:rsidRPr="00FA0D37" w:rsidRDefault="00394471" w:rsidP="00FA0D37">
      <w:pPr>
        <w:pStyle w:val="PL"/>
        <w:rPr>
          <w:color w:val="808080"/>
        </w:rPr>
      </w:pPr>
      <w:r w:rsidRPr="00FA0D37">
        <w:t xml:space="preserve">    eutra-</w:t>
      </w:r>
      <w:r w:rsidR="00214979" w:rsidRPr="00FA0D37">
        <w:t>Excluded</w:t>
      </w:r>
      <w:r w:rsidRPr="00FA0D37">
        <w:t>CellList              EUTRA-Freq</w:t>
      </w:r>
      <w:r w:rsidR="00214979" w:rsidRPr="00FA0D37">
        <w:t>Excluded</w:t>
      </w:r>
      <w:r w:rsidRPr="00FA0D37">
        <w:t xml:space="preserve">CellList                  </w:t>
      </w:r>
      <w:r w:rsidRPr="00FA0D37">
        <w:rPr>
          <w:color w:val="993366"/>
        </w:rPr>
        <w:t>OPTIONAL</w:t>
      </w:r>
      <w:r w:rsidRPr="00FA0D37">
        <w:t xml:space="preserve">,       </w:t>
      </w:r>
      <w:r w:rsidRPr="00FA0D37">
        <w:rPr>
          <w:color w:val="808080"/>
        </w:rPr>
        <w:t>-- Need R</w:t>
      </w:r>
    </w:p>
    <w:p w14:paraId="01176216" w14:textId="77777777" w:rsidR="00394471" w:rsidRPr="00FA0D37" w:rsidRDefault="00394471" w:rsidP="00FA0D37">
      <w:pPr>
        <w:pStyle w:val="PL"/>
      </w:pPr>
      <w:r w:rsidRPr="00FA0D37">
        <w:t xml:space="preserve">    allowedMeasBandwidth                EUTRA-AllowedMeasBandwidth,</w:t>
      </w:r>
    </w:p>
    <w:p w14:paraId="791A8695" w14:textId="77777777" w:rsidR="00394471" w:rsidRPr="00FA0D37" w:rsidRDefault="00394471" w:rsidP="00FA0D37">
      <w:pPr>
        <w:pStyle w:val="PL"/>
      </w:pPr>
      <w:r w:rsidRPr="00FA0D37">
        <w:t xml:space="preserve">    presenceAntennaPort1                EUTRA-PresenceAntennaPort1,</w:t>
      </w:r>
    </w:p>
    <w:p w14:paraId="09AA02DC" w14:textId="77777777" w:rsidR="00394471" w:rsidRPr="00FA0D37" w:rsidRDefault="00394471" w:rsidP="00FA0D37">
      <w:pPr>
        <w:pStyle w:val="PL"/>
        <w:rPr>
          <w:color w:val="808080"/>
        </w:rPr>
      </w:pPr>
      <w:r w:rsidRPr="00FA0D37">
        <w:t xml:space="preserve">    cellReselectionPriority             CellReselectionPriority                     </w:t>
      </w:r>
      <w:r w:rsidRPr="00FA0D37">
        <w:rPr>
          <w:color w:val="993366"/>
        </w:rPr>
        <w:t>OPTIONAL</w:t>
      </w:r>
      <w:r w:rsidRPr="00FA0D37">
        <w:t xml:space="preserve">,       </w:t>
      </w:r>
      <w:r w:rsidRPr="00FA0D37">
        <w:rPr>
          <w:color w:val="808080"/>
        </w:rPr>
        <w:t>-- Need R</w:t>
      </w:r>
    </w:p>
    <w:p w14:paraId="5A3C732F" w14:textId="77777777" w:rsidR="00394471" w:rsidRPr="00FA0D37" w:rsidRDefault="00394471" w:rsidP="00FA0D37">
      <w:pPr>
        <w:pStyle w:val="PL"/>
        <w:rPr>
          <w:color w:val="808080"/>
        </w:rPr>
      </w:pPr>
      <w:r w:rsidRPr="00FA0D37">
        <w:t xml:space="preserve">    cellReselectionSubPriority          CellReselectionSubPriority                  </w:t>
      </w:r>
      <w:r w:rsidRPr="00FA0D37">
        <w:rPr>
          <w:color w:val="993366"/>
        </w:rPr>
        <w:t>OPTIONAL</w:t>
      </w:r>
      <w:r w:rsidRPr="00FA0D37">
        <w:t xml:space="preserve">,       </w:t>
      </w:r>
      <w:r w:rsidRPr="00FA0D37">
        <w:rPr>
          <w:color w:val="808080"/>
        </w:rPr>
        <w:t>-- Need R</w:t>
      </w:r>
    </w:p>
    <w:p w14:paraId="5C1BB3EE" w14:textId="77777777" w:rsidR="00394471" w:rsidRPr="00FA0D37" w:rsidRDefault="00394471" w:rsidP="00FA0D37">
      <w:pPr>
        <w:pStyle w:val="PL"/>
      </w:pPr>
      <w:r w:rsidRPr="00FA0D37">
        <w:t xml:space="preserve">    threshX-High                        ReselectionThreshold,</w:t>
      </w:r>
    </w:p>
    <w:p w14:paraId="2DD293D8" w14:textId="77777777" w:rsidR="00394471" w:rsidRPr="00FA0D37" w:rsidRDefault="00394471" w:rsidP="00FA0D37">
      <w:pPr>
        <w:pStyle w:val="PL"/>
      </w:pPr>
      <w:r w:rsidRPr="00FA0D37">
        <w:t xml:space="preserve">    threshX-Low                         ReselectionThreshold,</w:t>
      </w:r>
    </w:p>
    <w:p w14:paraId="027E8BE8" w14:textId="77777777" w:rsidR="00394471" w:rsidRPr="00FA0D37" w:rsidRDefault="00394471" w:rsidP="00FA0D37">
      <w:pPr>
        <w:pStyle w:val="PL"/>
      </w:pPr>
      <w:r w:rsidRPr="00FA0D37">
        <w:t xml:space="preserve">    q-RxLevMin                          </w:t>
      </w:r>
      <w:r w:rsidRPr="00FA0D37">
        <w:rPr>
          <w:color w:val="993366"/>
        </w:rPr>
        <w:t>INTEGER</w:t>
      </w:r>
      <w:r w:rsidRPr="00FA0D37">
        <w:t xml:space="preserve"> (-70..-22),</w:t>
      </w:r>
    </w:p>
    <w:p w14:paraId="4BC9ECDE" w14:textId="77777777" w:rsidR="00394471" w:rsidRPr="00FA0D37" w:rsidRDefault="00394471" w:rsidP="00FA0D37">
      <w:pPr>
        <w:pStyle w:val="PL"/>
      </w:pPr>
      <w:r w:rsidRPr="00FA0D37">
        <w:t xml:space="preserve">    q-QualMin                           </w:t>
      </w:r>
      <w:r w:rsidRPr="00FA0D37">
        <w:rPr>
          <w:color w:val="993366"/>
        </w:rPr>
        <w:t>INTEGER</w:t>
      </w:r>
      <w:r w:rsidRPr="00FA0D37">
        <w:t xml:space="preserve"> (-34..-3),</w:t>
      </w:r>
    </w:p>
    <w:p w14:paraId="1C90D339" w14:textId="77777777" w:rsidR="00394471" w:rsidRPr="00FA0D37" w:rsidRDefault="00394471" w:rsidP="00FA0D37">
      <w:pPr>
        <w:pStyle w:val="PL"/>
      </w:pPr>
      <w:r w:rsidRPr="00FA0D37">
        <w:t xml:space="preserve">    p-MaxEUTRA                          </w:t>
      </w:r>
      <w:r w:rsidRPr="00FA0D37">
        <w:rPr>
          <w:color w:val="993366"/>
        </w:rPr>
        <w:t>INTEGER</w:t>
      </w:r>
      <w:r w:rsidRPr="00FA0D37">
        <w:t xml:space="preserve"> (-30..33),</w:t>
      </w:r>
    </w:p>
    <w:p w14:paraId="7B0402A0" w14:textId="77777777" w:rsidR="00394471" w:rsidRPr="00FA0D37" w:rsidRDefault="00394471" w:rsidP="00FA0D37">
      <w:pPr>
        <w:pStyle w:val="PL"/>
      </w:pPr>
      <w:r w:rsidRPr="00FA0D37">
        <w:t xml:space="preserve">    threshX-Q                           </w:t>
      </w:r>
      <w:r w:rsidRPr="00FA0D37">
        <w:rPr>
          <w:color w:val="993366"/>
        </w:rPr>
        <w:t>SEQUENCE</w:t>
      </w:r>
      <w:r w:rsidRPr="00FA0D37">
        <w:t xml:space="preserve"> {</w:t>
      </w:r>
    </w:p>
    <w:p w14:paraId="63E5BAEB" w14:textId="77777777" w:rsidR="00394471" w:rsidRPr="00FA0D37" w:rsidRDefault="00394471" w:rsidP="00FA0D37">
      <w:pPr>
        <w:pStyle w:val="PL"/>
      </w:pPr>
      <w:r w:rsidRPr="00FA0D37">
        <w:t xml:space="preserve">        threshX-HighQ                       ReselectionThresholdQ,</w:t>
      </w:r>
    </w:p>
    <w:p w14:paraId="7F40C0E1" w14:textId="77777777" w:rsidR="00394471" w:rsidRPr="00FA0D37" w:rsidRDefault="00394471" w:rsidP="00FA0D37">
      <w:pPr>
        <w:pStyle w:val="PL"/>
      </w:pPr>
      <w:r w:rsidRPr="00FA0D37">
        <w:t xml:space="preserve">        threshX-LowQ                        ReselectionThresholdQ</w:t>
      </w:r>
    </w:p>
    <w:p w14:paraId="72346D13"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RSRQ</w:t>
      </w:r>
    </w:p>
    <w:p w14:paraId="60495D20" w14:textId="77777777" w:rsidR="00394471" w:rsidRPr="00FA0D37" w:rsidRDefault="00394471" w:rsidP="00FA0D37">
      <w:pPr>
        <w:pStyle w:val="PL"/>
      </w:pPr>
      <w:r w:rsidRPr="00FA0D37">
        <w:t>}</w:t>
      </w:r>
    </w:p>
    <w:p w14:paraId="79866BC3" w14:textId="77777777" w:rsidR="00394471" w:rsidRPr="00FA0D37" w:rsidRDefault="00394471" w:rsidP="00FA0D37">
      <w:pPr>
        <w:pStyle w:val="PL"/>
      </w:pPr>
    </w:p>
    <w:p w14:paraId="34E1218F" w14:textId="77777777" w:rsidR="00394471" w:rsidRPr="00FA0D37" w:rsidRDefault="00394471" w:rsidP="00FA0D37">
      <w:pPr>
        <w:pStyle w:val="PL"/>
      </w:pPr>
      <w:r w:rsidRPr="00FA0D37">
        <w:t xml:space="preserve">CarrierFreqEUTRA-v1610 ::= </w:t>
      </w:r>
      <w:r w:rsidRPr="00FA0D37">
        <w:rPr>
          <w:color w:val="993366"/>
        </w:rPr>
        <w:t>SEQUENCE</w:t>
      </w:r>
      <w:r w:rsidRPr="00FA0D37">
        <w:t xml:space="preserve"> {</w:t>
      </w:r>
    </w:p>
    <w:p w14:paraId="3BD13F65" w14:textId="77777777" w:rsidR="00394471" w:rsidRPr="00FA0D37" w:rsidRDefault="00394471" w:rsidP="00FA0D37">
      <w:pPr>
        <w:pStyle w:val="PL"/>
        <w:rPr>
          <w:color w:val="808080"/>
        </w:rPr>
      </w:pPr>
      <w:r w:rsidRPr="00FA0D37">
        <w:t xml:space="preserve">    highSpeedEUTRACarrier-r16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6579D45D" w14:textId="77777777" w:rsidR="00394471" w:rsidRPr="00FA0D37" w:rsidRDefault="00394471" w:rsidP="00FA0D37">
      <w:pPr>
        <w:pStyle w:val="PL"/>
      </w:pPr>
      <w:r w:rsidRPr="00FA0D37">
        <w:t>}</w:t>
      </w:r>
    </w:p>
    <w:p w14:paraId="0DD4E95A" w14:textId="51A2404D" w:rsidR="00394471" w:rsidRPr="00FA0D37" w:rsidRDefault="00394471" w:rsidP="00FA0D37">
      <w:pPr>
        <w:pStyle w:val="PL"/>
      </w:pPr>
    </w:p>
    <w:p w14:paraId="2BB76CAA" w14:textId="4BE326FA" w:rsidR="002E44EF" w:rsidRPr="00FA0D37" w:rsidRDefault="002E44EF" w:rsidP="00FA0D37">
      <w:pPr>
        <w:pStyle w:val="PL"/>
      </w:pPr>
      <w:r w:rsidRPr="00FA0D37">
        <w:t xml:space="preserve">CarrierFreqEUTRA-v1700 ::=          </w:t>
      </w:r>
      <w:r w:rsidRPr="00FA0D37">
        <w:rPr>
          <w:color w:val="993366"/>
        </w:rPr>
        <w:t>SEQUENCE</w:t>
      </w:r>
      <w:r w:rsidRPr="00FA0D37">
        <w:t xml:space="preserve"> {</w:t>
      </w:r>
    </w:p>
    <w:p w14:paraId="36D08435" w14:textId="4014E656" w:rsidR="002E44EF" w:rsidRPr="00FA0D37" w:rsidRDefault="002E44EF" w:rsidP="00FA0D37">
      <w:pPr>
        <w:pStyle w:val="PL"/>
        <w:rPr>
          <w:color w:val="808080"/>
        </w:rPr>
      </w:pPr>
      <w:r w:rsidRPr="00FA0D37">
        <w:t xml:space="preserve">    eutra-FreqNeighHSDN-CellList-r17    EUTRA-FreqNeighHSDN-CellList-r17            </w:t>
      </w:r>
      <w:r w:rsidRPr="00FA0D37">
        <w:rPr>
          <w:color w:val="993366"/>
        </w:rPr>
        <w:t>OPTIONAL</w:t>
      </w:r>
      <w:r w:rsidRPr="00FA0D37">
        <w:t xml:space="preserve">        </w:t>
      </w:r>
      <w:r w:rsidRPr="00FA0D37">
        <w:rPr>
          <w:color w:val="808080"/>
        </w:rPr>
        <w:t>-- Need R</w:t>
      </w:r>
    </w:p>
    <w:p w14:paraId="786CC5E9" w14:textId="77777777" w:rsidR="002E44EF" w:rsidRPr="00FA0D37" w:rsidRDefault="002E44EF" w:rsidP="00FA0D37">
      <w:pPr>
        <w:pStyle w:val="PL"/>
      </w:pPr>
      <w:r w:rsidRPr="00FA0D37">
        <w:t>}</w:t>
      </w:r>
    </w:p>
    <w:p w14:paraId="7FF1619E" w14:textId="77777777" w:rsidR="002E44EF" w:rsidRPr="00FA0D37" w:rsidRDefault="002E44EF" w:rsidP="00FA0D37">
      <w:pPr>
        <w:pStyle w:val="PL"/>
      </w:pPr>
    </w:p>
    <w:p w14:paraId="5889A2C3" w14:textId="5E67643E" w:rsidR="002E44EF" w:rsidRPr="00FA0D37" w:rsidRDefault="002E44EF" w:rsidP="00FA0D37">
      <w:pPr>
        <w:pStyle w:val="PL"/>
      </w:pPr>
      <w:r w:rsidRPr="00FA0D37">
        <w:t xml:space="preserve">EUTRA-FreqNeighHSDN-CellList-r17 ::= </w:t>
      </w:r>
      <w:r w:rsidRPr="00FA0D37">
        <w:rPr>
          <w:color w:val="993366"/>
        </w:rPr>
        <w:t>SEQUENCE</w:t>
      </w:r>
      <w:r w:rsidRPr="00FA0D37">
        <w:t xml:space="preserve"> (</w:t>
      </w:r>
      <w:r w:rsidRPr="00FA0D37">
        <w:rPr>
          <w:color w:val="993366"/>
        </w:rPr>
        <w:t>SIZE</w:t>
      </w:r>
      <w:r w:rsidRPr="00FA0D37">
        <w:t xml:space="preserve"> (1..maxCellEUTRA))</w:t>
      </w:r>
      <w:r w:rsidRPr="00FA0D37">
        <w:rPr>
          <w:color w:val="993366"/>
        </w:rPr>
        <w:t xml:space="preserve"> OF</w:t>
      </w:r>
      <w:r w:rsidRPr="00FA0D37">
        <w:t xml:space="preserve"> EUTRA-PhysCellIdRange</w:t>
      </w:r>
    </w:p>
    <w:p w14:paraId="3F7D7464" w14:textId="77777777" w:rsidR="002E44EF" w:rsidRPr="00FA0D37" w:rsidRDefault="002E44EF" w:rsidP="00FA0D37">
      <w:pPr>
        <w:pStyle w:val="PL"/>
      </w:pPr>
    </w:p>
    <w:p w14:paraId="3C08D4F2" w14:textId="4903B331" w:rsidR="00394471" w:rsidRPr="00FA0D37" w:rsidRDefault="00394471" w:rsidP="00FA0D37">
      <w:pPr>
        <w:pStyle w:val="PL"/>
      </w:pPr>
      <w:r w:rsidRPr="00FA0D37">
        <w:t>EUTRA-Freq</w:t>
      </w:r>
      <w:r w:rsidR="00214979" w:rsidRPr="00FA0D37">
        <w:t>Excluded</w:t>
      </w:r>
      <w:r w:rsidRPr="00FA0D37">
        <w:t xml:space="preserve">CellList ::=      </w:t>
      </w:r>
      <w:r w:rsidRPr="00FA0D37">
        <w:rPr>
          <w:color w:val="993366"/>
        </w:rPr>
        <w:t>SEQUENCE</w:t>
      </w:r>
      <w:r w:rsidRPr="00FA0D37">
        <w:t xml:space="preserve"> (</w:t>
      </w:r>
      <w:r w:rsidRPr="00FA0D37">
        <w:rPr>
          <w:color w:val="993366"/>
        </w:rPr>
        <w:t>SIZE</w:t>
      </w:r>
      <w:r w:rsidRPr="00FA0D37">
        <w:t xml:space="preserve"> (1..maxEUTRA-Cell</w:t>
      </w:r>
      <w:r w:rsidR="00214979" w:rsidRPr="00FA0D37">
        <w:t>Excluded</w:t>
      </w:r>
      <w:r w:rsidRPr="00FA0D37">
        <w:t>))</w:t>
      </w:r>
      <w:r w:rsidRPr="00FA0D37">
        <w:rPr>
          <w:color w:val="993366"/>
        </w:rPr>
        <w:t xml:space="preserve"> OF</w:t>
      </w:r>
      <w:r w:rsidRPr="00FA0D37">
        <w:t xml:space="preserve"> EUTRA-PhysCellIdRange</w:t>
      </w:r>
    </w:p>
    <w:p w14:paraId="39DE2B0B" w14:textId="77777777" w:rsidR="00394471" w:rsidRPr="00FA0D37" w:rsidRDefault="00394471" w:rsidP="00FA0D37">
      <w:pPr>
        <w:pStyle w:val="PL"/>
      </w:pPr>
    </w:p>
    <w:p w14:paraId="1B262AC0" w14:textId="77777777" w:rsidR="00394471" w:rsidRPr="00FA0D37" w:rsidRDefault="00394471" w:rsidP="00FA0D37">
      <w:pPr>
        <w:pStyle w:val="PL"/>
      </w:pPr>
      <w:r w:rsidRPr="00FA0D37">
        <w:t xml:space="preserve">EUTRA-FreqNeighCellList ::=         </w:t>
      </w:r>
      <w:r w:rsidRPr="00FA0D37">
        <w:rPr>
          <w:color w:val="993366"/>
        </w:rPr>
        <w:t>SEQUENCE</w:t>
      </w:r>
      <w:r w:rsidRPr="00FA0D37">
        <w:t xml:space="preserve"> (</w:t>
      </w:r>
      <w:r w:rsidRPr="00FA0D37">
        <w:rPr>
          <w:color w:val="993366"/>
        </w:rPr>
        <w:t>SIZE</w:t>
      </w:r>
      <w:r w:rsidRPr="00FA0D37">
        <w:t xml:space="preserve"> (1..maxCellEUTRA))</w:t>
      </w:r>
      <w:r w:rsidRPr="00FA0D37">
        <w:rPr>
          <w:color w:val="993366"/>
        </w:rPr>
        <w:t xml:space="preserve"> OF</w:t>
      </w:r>
      <w:r w:rsidRPr="00FA0D37">
        <w:t xml:space="preserve"> EUTRA-FreqNeighCellInfo</w:t>
      </w:r>
    </w:p>
    <w:p w14:paraId="2242D4DA" w14:textId="77777777" w:rsidR="00394471" w:rsidRPr="00FA0D37" w:rsidRDefault="00394471" w:rsidP="00FA0D37">
      <w:pPr>
        <w:pStyle w:val="PL"/>
      </w:pPr>
    </w:p>
    <w:p w14:paraId="78EC8582" w14:textId="77777777" w:rsidR="00394471" w:rsidRPr="00FA0D37" w:rsidRDefault="00394471" w:rsidP="00FA0D37">
      <w:pPr>
        <w:pStyle w:val="PL"/>
      </w:pPr>
      <w:r w:rsidRPr="00FA0D37">
        <w:t xml:space="preserve">EUTRA-FreqNeighCellInfo ::=         </w:t>
      </w:r>
      <w:r w:rsidRPr="00FA0D37">
        <w:rPr>
          <w:color w:val="993366"/>
        </w:rPr>
        <w:t>SEQUENCE</w:t>
      </w:r>
      <w:r w:rsidRPr="00FA0D37">
        <w:t xml:space="preserve"> {</w:t>
      </w:r>
    </w:p>
    <w:p w14:paraId="24CAD606" w14:textId="77777777" w:rsidR="00394471" w:rsidRPr="00FA0D37" w:rsidRDefault="00394471" w:rsidP="00FA0D37">
      <w:pPr>
        <w:pStyle w:val="PL"/>
      </w:pPr>
      <w:r w:rsidRPr="00FA0D37">
        <w:t xml:space="preserve">    physCellId                          EUTRA-PhysCellId,</w:t>
      </w:r>
    </w:p>
    <w:p w14:paraId="14815928" w14:textId="77777777" w:rsidR="00394471" w:rsidRPr="00FA0D37" w:rsidRDefault="00394471" w:rsidP="00FA0D37">
      <w:pPr>
        <w:pStyle w:val="PL"/>
      </w:pPr>
      <w:r w:rsidRPr="00FA0D37">
        <w:t xml:space="preserve">    dummy                               EUTRA-Q-OffsetRange,</w:t>
      </w:r>
    </w:p>
    <w:p w14:paraId="4146171E" w14:textId="77777777" w:rsidR="00394471" w:rsidRPr="00FA0D37" w:rsidRDefault="00394471" w:rsidP="00FA0D37">
      <w:pPr>
        <w:pStyle w:val="PL"/>
        <w:rPr>
          <w:color w:val="808080"/>
        </w:rPr>
      </w:pPr>
      <w:r w:rsidRPr="00FA0D37">
        <w:t xml:space="preserve">    q-RxLevMinOffsetCell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38F1AD98" w14:textId="77777777" w:rsidR="00394471" w:rsidRPr="00FA0D37" w:rsidRDefault="00394471" w:rsidP="00FA0D37">
      <w:pPr>
        <w:pStyle w:val="PL"/>
        <w:rPr>
          <w:color w:val="808080"/>
        </w:rPr>
      </w:pPr>
      <w:r w:rsidRPr="00FA0D37">
        <w:t xml:space="preserve">    q-QualMinOffsetCell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2A9D75F0" w14:textId="77777777" w:rsidR="00394471" w:rsidRPr="00FA0D37" w:rsidRDefault="00394471" w:rsidP="00FA0D37">
      <w:pPr>
        <w:pStyle w:val="PL"/>
      </w:pPr>
      <w:r w:rsidRPr="00FA0D37">
        <w:t>}</w:t>
      </w:r>
    </w:p>
    <w:p w14:paraId="75C24A3B" w14:textId="77777777" w:rsidR="00394471" w:rsidRPr="00FA0D37" w:rsidRDefault="00394471" w:rsidP="00FA0D37">
      <w:pPr>
        <w:pStyle w:val="PL"/>
      </w:pPr>
    </w:p>
    <w:p w14:paraId="39A6B5AA" w14:textId="77777777" w:rsidR="00394471" w:rsidRPr="00FA0D37" w:rsidRDefault="00394471" w:rsidP="00FA0D37">
      <w:pPr>
        <w:pStyle w:val="PL"/>
        <w:rPr>
          <w:color w:val="808080"/>
        </w:rPr>
      </w:pPr>
      <w:r w:rsidRPr="00FA0D37">
        <w:rPr>
          <w:color w:val="808080"/>
        </w:rPr>
        <w:t>-- TAG-SIB5-STOP</w:t>
      </w:r>
    </w:p>
    <w:p w14:paraId="4B941AE4" w14:textId="77777777" w:rsidR="00394471" w:rsidRPr="00FA0D37" w:rsidRDefault="00394471" w:rsidP="00FA0D37">
      <w:pPr>
        <w:pStyle w:val="PL"/>
        <w:rPr>
          <w:color w:val="808080"/>
        </w:rPr>
      </w:pPr>
      <w:r w:rsidRPr="00FA0D37">
        <w:rPr>
          <w:color w:val="808080"/>
        </w:rPr>
        <w:t>-- ASN1STOP</w:t>
      </w:r>
    </w:p>
    <w:p w14:paraId="0BD87865" w14:textId="77777777" w:rsidR="00394471" w:rsidRPr="00FA0D3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3B4E7B9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8F6CD2" w14:textId="77777777" w:rsidR="00394471" w:rsidRPr="00FA0D37" w:rsidRDefault="00394471" w:rsidP="00964CC4">
            <w:pPr>
              <w:pStyle w:val="TAH"/>
              <w:rPr>
                <w:lang w:eastAsia="en-GB"/>
              </w:rPr>
            </w:pPr>
            <w:r w:rsidRPr="00FA0D37">
              <w:rPr>
                <w:i/>
                <w:noProof/>
                <w:lang w:eastAsia="en-GB"/>
              </w:rPr>
              <w:lastRenderedPageBreak/>
              <w:t>SIB5</w:t>
            </w:r>
            <w:r w:rsidRPr="00FA0D37">
              <w:rPr>
                <w:iCs/>
                <w:noProof/>
                <w:lang w:eastAsia="en-GB"/>
              </w:rPr>
              <w:t xml:space="preserve"> field descriptions</w:t>
            </w:r>
          </w:p>
        </w:tc>
      </w:tr>
      <w:tr w:rsidR="005C7FF4" w:rsidRPr="00FA0D37" w14:paraId="60516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E9599A" w14:textId="77777777" w:rsidR="00394471" w:rsidRPr="00FA0D37" w:rsidRDefault="00394471" w:rsidP="00964CC4">
            <w:pPr>
              <w:pStyle w:val="TAL"/>
              <w:rPr>
                <w:b/>
                <w:bCs/>
                <w:i/>
                <w:noProof/>
                <w:lang w:eastAsia="en-GB"/>
              </w:rPr>
            </w:pPr>
            <w:r w:rsidRPr="00FA0D37">
              <w:rPr>
                <w:b/>
                <w:bCs/>
                <w:i/>
                <w:noProof/>
                <w:lang w:eastAsia="en-GB"/>
              </w:rPr>
              <w:t>carrierFreqListEUTRA</w:t>
            </w:r>
          </w:p>
          <w:p w14:paraId="2F1F56CB" w14:textId="604C74A8" w:rsidR="00394471" w:rsidRPr="00FA0D37" w:rsidRDefault="00394471" w:rsidP="00964CC4">
            <w:pPr>
              <w:pStyle w:val="TAL"/>
              <w:rPr>
                <w:lang w:eastAsia="zh-CN"/>
              </w:rPr>
            </w:pPr>
            <w:r w:rsidRPr="00FA0D37">
              <w:rPr>
                <w:lang w:eastAsia="en-GB"/>
              </w:rPr>
              <w:t xml:space="preserve">List of carrier frequencies </w:t>
            </w:r>
            <w:r w:rsidRPr="00FA0D37">
              <w:rPr>
                <w:lang w:eastAsia="zh-CN"/>
              </w:rPr>
              <w:t>of E-UTRA</w:t>
            </w:r>
            <w:r w:rsidRPr="00FA0D37">
              <w:rPr>
                <w:bCs/>
                <w:noProof/>
                <w:lang w:eastAsia="ko-KR"/>
              </w:rPr>
              <w:t xml:space="preserve">. If the </w:t>
            </w:r>
            <w:r w:rsidRPr="00FA0D37">
              <w:rPr>
                <w:bCs/>
                <w:i/>
                <w:iCs/>
                <w:noProof/>
                <w:lang w:eastAsia="ko-KR"/>
              </w:rPr>
              <w:t>carrierFreqListEUTRA-v1610</w:t>
            </w:r>
            <w:r w:rsidR="00C01259" w:rsidRPr="00FA0D37">
              <w:rPr>
                <w:bCs/>
                <w:i/>
                <w:iCs/>
                <w:noProof/>
                <w:lang w:eastAsia="ko-KR"/>
              </w:rPr>
              <w:t>/ carrierFreqListEUTRA-v1700</w:t>
            </w:r>
            <w:r w:rsidRPr="00FA0D37">
              <w:rPr>
                <w:bCs/>
                <w:noProof/>
                <w:lang w:eastAsia="ko-KR"/>
              </w:rPr>
              <w:t xml:space="preserve"> is present, it shall contain the same number of entries, listed in the same order as in the </w:t>
            </w:r>
            <w:r w:rsidRPr="00FA0D37">
              <w:rPr>
                <w:bCs/>
                <w:i/>
                <w:iCs/>
                <w:noProof/>
                <w:lang w:eastAsia="ko-KR"/>
              </w:rPr>
              <w:t>carrierFreqListEUTRA</w:t>
            </w:r>
            <w:r w:rsidRPr="00FA0D37">
              <w:rPr>
                <w:bCs/>
                <w:noProof/>
                <w:lang w:eastAsia="ko-KR"/>
              </w:rPr>
              <w:t xml:space="preserve"> (without suffix).</w:t>
            </w:r>
          </w:p>
        </w:tc>
      </w:tr>
      <w:tr w:rsidR="005C7FF4" w:rsidRPr="00FA0D37" w14:paraId="2C19535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5D280" w14:textId="77777777" w:rsidR="00394471" w:rsidRPr="00FA0D37" w:rsidRDefault="00394471" w:rsidP="00964CC4">
            <w:pPr>
              <w:pStyle w:val="TAL"/>
              <w:rPr>
                <w:b/>
                <w:bCs/>
                <w:i/>
                <w:noProof/>
                <w:lang w:eastAsia="en-GB"/>
              </w:rPr>
            </w:pPr>
            <w:r w:rsidRPr="00FA0D37">
              <w:rPr>
                <w:b/>
                <w:bCs/>
                <w:i/>
                <w:noProof/>
                <w:lang w:eastAsia="en-GB"/>
              </w:rPr>
              <w:t>dummy</w:t>
            </w:r>
          </w:p>
          <w:p w14:paraId="163937AB" w14:textId="77777777" w:rsidR="00394471" w:rsidRPr="00FA0D37" w:rsidRDefault="00394471" w:rsidP="00964CC4">
            <w:pPr>
              <w:pStyle w:val="TAL"/>
              <w:rPr>
                <w:lang w:eastAsia="sv-SE"/>
              </w:rPr>
            </w:pPr>
            <w:r w:rsidRPr="00FA0D37">
              <w:rPr>
                <w:lang w:eastAsia="sv-SE"/>
              </w:rPr>
              <w:t>This field is not used in the specification. If received it shall be ignored by the UE.</w:t>
            </w:r>
          </w:p>
        </w:tc>
      </w:tr>
      <w:tr w:rsidR="005C7FF4" w:rsidRPr="00FA0D37" w14:paraId="3BF609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9E2D1B" w14:textId="2DFE45AE" w:rsidR="00394471" w:rsidRPr="00FA0D37" w:rsidRDefault="00394471" w:rsidP="00964CC4">
            <w:pPr>
              <w:pStyle w:val="TAL"/>
              <w:rPr>
                <w:b/>
                <w:bCs/>
                <w:i/>
                <w:noProof/>
                <w:lang w:eastAsia="en-GB"/>
              </w:rPr>
            </w:pPr>
            <w:r w:rsidRPr="00FA0D37">
              <w:rPr>
                <w:b/>
                <w:bCs/>
                <w:i/>
                <w:noProof/>
                <w:lang w:eastAsia="en-GB"/>
              </w:rPr>
              <w:t>eutra-</w:t>
            </w:r>
            <w:r w:rsidR="00214979" w:rsidRPr="00FA0D37">
              <w:rPr>
                <w:b/>
                <w:bCs/>
                <w:i/>
                <w:noProof/>
                <w:lang w:eastAsia="en-GB"/>
              </w:rPr>
              <w:t>Excluded</w:t>
            </w:r>
            <w:r w:rsidRPr="00FA0D37">
              <w:rPr>
                <w:b/>
                <w:bCs/>
                <w:i/>
                <w:noProof/>
                <w:lang w:eastAsia="en-GB"/>
              </w:rPr>
              <w:t>CellList</w:t>
            </w:r>
          </w:p>
          <w:p w14:paraId="6935471D" w14:textId="0EC3E6C0" w:rsidR="00394471" w:rsidRPr="00FA0D37" w:rsidRDefault="00394471" w:rsidP="00964CC4">
            <w:pPr>
              <w:pStyle w:val="TAL"/>
              <w:rPr>
                <w:b/>
                <w:bCs/>
                <w:i/>
                <w:noProof/>
                <w:lang w:eastAsia="en-GB"/>
              </w:rPr>
            </w:pPr>
            <w:r w:rsidRPr="00FA0D37">
              <w:rPr>
                <w:lang w:eastAsia="en-GB"/>
              </w:rPr>
              <w:t xml:space="preserve">List of </w:t>
            </w:r>
            <w:r w:rsidR="00214979" w:rsidRPr="00FA0D37">
              <w:rPr>
                <w:lang w:eastAsia="en-GB"/>
              </w:rPr>
              <w:t>exclude-</w:t>
            </w:r>
            <w:r w:rsidRPr="00FA0D37">
              <w:rPr>
                <w:lang w:eastAsia="en-GB"/>
              </w:rPr>
              <w:t>listed E-UTRA neighbouring cells.</w:t>
            </w:r>
          </w:p>
        </w:tc>
      </w:tr>
      <w:tr w:rsidR="005C7FF4" w:rsidRPr="00FA0D37" w14:paraId="5E0723C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5958C46" w14:textId="77777777" w:rsidR="00C01259" w:rsidRPr="00FA0D37" w:rsidRDefault="00C01259" w:rsidP="00C01259">
            <w:pPr>
              <w:pStyle w:val="TAL"/>
              <w:rPr>
                <w:b/>
                <w:bCs/>
                <w:i/>
                <w:noProof/>
                <w:lang w:eastAsia="en-GB"/>
              </w:rPr>
            </w:pPr>
            <w:r w:rsidRPr="00FA0D37">
              <w:rPr>
                <w:b/>
                <w:bCs/>
                <w:i/>
                <w:noProof/>
                <w:lang w:eastAsia="en-GB"/>
              </w:rPr>
              <w:t>eutra-FreqNeighHSDN-CellList</w:t>
            </w:r>
          </w:p>
          <w:p w14:paraId="009E9001" w14:textId="353346FA" w:rsidR="00C01259" w:rsidRPr="00FA0D37" w:rsidRDefault="00C01259" w:rsidP="00C01259">
            <w:pPr>
              <w:pStyle w:val="TAL"/>
              <w:rPr>
                <w:iCs/>
                <w:noProof/>
                <w:lang w:eastAsia="en-GB"/>
              </w:rPr>
            </w:pPr>
            <w:r w:rsidRPr="00FA0D37">
              <w:rPr>
                <w:iCs/>
                <w:noProof/>
                <w:lang w:eastAsia="en-GB"/>
              </w:rPr>
              <w:t>List of neighbouring EUTRA HSDN cells as specified in TS 36.304 [27].</w:t>
            </w:r>
          </w:p>
        </w:tc>
      </w:tr>
      <w:tr w:rsidR="005C7FF4" w:rsidRPr="00FA0D37" w14:paraId="15C04E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208DA" w14:textId="77777777" w:rsidR="00394471" w:rsidRPr="00FA0D37" w:rsidRDefault="00394471" w:rsidP="00964CC4">
            <w:pPr>
              <w:pStyle w:val="TAL"/>
              <w:rPr>
                <w:b/>
                <w:bCs/>
                <w:i/>
                <w:lang w:eastAsia="en-GB"/>
              </w:rPr>
            </w:pPr>
            <w:r w:rsidRPr="00FA0D37">
              <w:rPr>
                <w:b/>
                <w:bCs/>
                <w:i/>
                <w:noProof/>
                <w:lang w:eastAsia="en-GB"/>
              </w:rPr>
              <w:t>eutra</w:t>
            </w:r>
            <w:r w:rsidRPr="00FA0D37">
              <w:rPr>
                <w:b/>
                <w:bCs/>
                <w:i/>
                <w:lang w:eastAsia="en-GB"/>
              </w:rPr>
              <w:t>-multiBandInfoList</w:t>
            </w:r>
          </w:p>
          <w:p w14:paraId="5CAA8BC1" w14:textId="77777777" w:rsidR="00394471" w:rsidRPr="00FA0D37" w:rsidRDefault="00394471" w:rsidP="00964CC4">
            <w:pPr>
              <w:pStyle w:val="TAL"/>
              <w:rPr>
                <w:noProof/>
                <w:lang w:eastAsia="en-GB"/>
              </w:rPr>
            </w:pPr>
            <w:r w:rsidRPr="00FA0D37">
              <w:rPr>
                <w:iCs/>
                <w:noProof/>
                <w:lang w:eastAsia="en-GB"/>
              </w:rPr>
              <w:t xml:space="preserve">Indicates the list of frequency bands in addition to the band represented by </w:t>
            </w:r>
            <w:r w:rsidRPr="00FA0D37">
              <w:rPr>
                <w:i/>
                <w:iCs/>
                <w:noProof/>
                <w:lang w:eastAsia="en-GB"/>
              </w:rPr>
              <w:t>carrierFreq</w:t>
            </w:r>
            <w:r w:rsidRPr="00FA0D37">
              <w:rPr>
                <w:iCs/>
                <w:noProof/>
                <w:lang w:eastAsia="en-GB"/>
              </w:rPr>
              <w:t xml:space="preserve"> for which cell reselection parameters are common, and a list of </w:t>
            </w:r>
            <w:r w:rsidRPr="00FA0D37">
              <w:rPr>
                <w:i/>
                <w:lang w:eastAsia="sv-SE"/>
              </w:rPr>
              <w:t>additionalPmax</w:t>
            </w:r>
            <w:r w:rsidRPr="00FA0D37">
              <w:rPr>
                <w:iCs/>
                <w:noProof/>
                <w:lang w:eastAsia="en-GB"/>
              </w:rPr>
              <w:t xml:space="preserve"> and </w:t>
            </w:r>
            <w:r w:rsidRPr="00FA0D37">
              <w:rPr>
                <w:i/>
                <w:lang w:eastAsia="sv-SE"/>
              </w:rPr>
              <w:t>additionalSpectrumEmission</w:t>
            </w:r>
            <w:r w:rsidRPr="00FA0D37">
              <w:rPr>
                <w:iCs/>
                <w:noProof/>
                <w:lang w:eastAsia="en-GB"/>
              </w:rPr>
              <w:t xml:space="preserve"> values, as defined in TS 36.101 [22], table 6.2.4-1, for the frequency bands in </w:t>
            </w:r>
            <w:r w:rsidRPr="00FA0D37">
              <w:rPr>
                <w:i/>
                <w:iCs/>
                <w:noProof/>
                <w:lang w:eastAsia="en-GB"/>
              </w:rPr>
              <w:t>eutra-multiBandInfoList</w:t>
            </w:r>
          </w:p>
        </w:tc>
      </w:tr>
      <w:tr w:rsidR="005C7FF4" w:rsidRPr="00FA0D37" w14:paraId="748EDF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DA0651E" w14:textId="77777777" w:rsidR="00394471" w:rsidRPr="00FA0D37" w:rsidRDefault="00394471" w:rsidP="00964CC4">
            <w:pPr>
              <w:pStyle w:val="TAL"/>
              <w:rPr>
                <w:b/>
                <w:bCs/>
                <w:i/>
                <w:noProof/>
                <w:lang w:eastAsia="en-GB"/>
              </w:rPr>
            </w:pPr>
            <w:r w:rsidRPr="00FA0D37">
              <w:rPr>
                <w:b/>
                <w:bCs/>
                <w:i/>
                <w:noProof/>
                <w:lang w:eastAsia="en-GB"/>
              </w:rPr>
              <w:t>highSpeedEUTRACarrier</w:t>
            </w:r>
          </w:p>
          <w:p w14:paraId="5D53D7E9" w14:textId="77777777" w:rsidR="00394471" w:rsidRPr="00FA0D37" w:rsidRDefault="00394471" w:rsidP="00964CC4">
            <w:pPr>
              <w:pStyle w:val="TAL"/>
              <w:rPr>
                <w:iCs/>
                <w:noProof/>
                <w:lang w:eastAsia="en-GB"/>
              </w:rPr>
            </w:pPr>
            <w:r w:rsidRPr="00FA0D37">
              <w:rPr>
                <w:iCs/>
                <w:noProof/>
                <w:lang w:eastAsia="en-GB"/>
              </w:rPr>
              <w:t>If the field is present, the UE shall apply the enhanced NR-EUTRA inter-RAT measurement requirements to support high speed up to 500 km/h as specified in TS 38.133 [14] to the E-UTRA carrier.</w:t>
            </w:r>
          </w:p>
        </w:tc>
      </w:tr>
      <w:tr w:rsidR="005C7FF4" w:rsidRPr="00FA0D37" w14:paraId="22680C13"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08372D19" w14:textId="77777777" w:rsidR="00425CBF" w:rsidRPr="00FA0D37" w:rsidRDefault="00425CBF" w:rsidP="0071565C">
            <w:pPr>
              <w:pStyle w:val="TAL"/>
              <w:rPr>
                <w:b/>
                <w:bCs/>
                <w:i/>
                <w:iCs/>
                <w:noProof/>
                <w:lang w:eastAsia="en-GB"/>
              </w:rPr>
            </w:pPr>
            <w:r w:rsidRPr="00FA0D37">
              <w:rPr>
                <w:b/>
                <w:bCs/>
                <w:i/>
                <w:iCs/>
                <w:noProof/>
                <w:lang w:eastAsia="en-GB"/>
              </w:rPr>
              <w:t>idleModeMeasVoiceFallback</w:t>
            </w:r>
          </w:p>
          <w:p w14:paraId="47C9C3C4" w14:textId="75C31D05" w:rsidR="00425CBF" w:rsidRPr="00FA0D37" w:rsidRDefault="00B01B84" w:rsidP="0071565C">
            <w:pPr>
              <w:pStyle w:val="TAL"/>
              <w:rPr>
                <w:b/>
                <w:bCs/>
                <w:i/>
                <w:noProof/>
                <w:lang w:eastAsia="en-GB"/>
              </w:rPr>
            </w:pPr>
            <w:r w:rsidRPr="00FA0D37">
              <w:rPr>
                <w:lang w:eastAsia="sv-SE"/>
              </w:rPr>
              <w:t>I</w:t>
            </w:r>
            <w:r w:rsidR="00425CBF" w:rsidRPr="00FA0D37">
              <w:rPr>
                <w:lang w:eastAsia="sv-SE"/>
              </w:rPr>
              <w:t>ndicates whether E-UTRA idle/inactive measurements and reporting for EPS fallback can be used.</w:t>
            </w:r>
          </w:p>
        </w:tc>
      </w:tr>
      <w:tr w:rsidR="005C7FF4" w:rsidRPr="00FA0D37" w14:paraId="382BD89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AA9FB" w14:textId="77777777" w:rsidR="00394471" w:rsidRPr="00FA0D37" w:rsidRDefault="00394471" w:rsidP="00964CC4">
            <w:pPr>
              <w:pStyle w:val="TAL"/>
              <w:rPr>
                <w:b/>
                <w:bCs/>
                <w:i/>
                <w:noProof/>
                <w:lang w:eastAsia="en-GB"/>
              </w:rPr>
            </w:pPr>
            <w:r w:rsidRPr="00FA0D37">
              <w:rPr>
                <w:b/>
                <w:bCs/>
                <w:i/>
                <w:noProof/>
                <w:lang w:eastAsia="en-GB"/>
              </w:rPr>
              <w:t>p-MaxEUTRA</w:t>
            </w:r>
          </w:p>
          <w:p w14:paraId="21F7BD74" w14:textId="77777777" w:rsidR="00394471" w:rsidRPr="00FA0D37" w:rsidRDefault="00394471" w:rsidP="00964CC4">
            <w:pPr>
              <w:pStyle w:val="TAL"/>
              <w:rPr>
                <w:b/>
                <w:bCs/>
                <w:i/>
                <w:noProof/>
                <w:lang w:eastAsia="en-GB"/>
              </w:rPr>
            </w:pPr>
            <w:r w:rsidRPr="00FA0D37">
              <w:rPr>
                <w:lang w:eastAsia="en-GB"/>
              </w:rPr>
              <w:t>The maximum allowed transmission power in dBm on the (uplink) carrier frequency, see TS 36.304 [27].</w:t>
            </w:r>
          </w:p>
        </w:tc>
      </w:tr>
      <w:tr w:rsidR="005C7FF4" w:rsidRPr="00FA0D37" w14:paraId="189E1B0C"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521F833" w14:textId="77777777" w:rsidR="00394471" w:rsidRPr="00FA0D37" w:rsidRDefault="00394471" w:rsidP="00964CC4">
            <w:pPr>
              <w:pStyle w:val="TAL"/>
              <w:rPr>
                <w:b/>
                <w:bCs/>
                <w:i/>
                <w:noProof/>
                <w:lang w:eastAsia="en-GB"/>
              </w:rPr>
            </w:pPr>
            <w:r w:rsidRPr="00FA0D37">
              <w:rPr>
                <w:b/>
                <w:bCs/>
                <w:i/>
                <w:noProof/>
                <w:lang w:eastAsia="en-GB"/>
              </w:rPr>
              <w:t>q-QualMin</w:t>
            </w:r>
          </w:p>
          <w:p w14:paraId="033B64FE" w14:textId="77777777" w:rsidR="00394471" w:rsidRPr="00FA0D37" w:rsidRDefault="00394471" w:rsidP="00964CC4">
            <w:pPr>
              <w:pStyle w:val="TAL"/>
              <w:rPr>
                <w:b/>
                <w:bCs/>
                <w:i/>
                <w:noProof/>
                <w:lang w:eastAsia="en-GB"/>
              </w:rPr>
            </w:pPr>
            <w:r w:rsidRPr="00FA0D37">
              <w:rPr>
                <w:lang w:eastAsia="en-GB"/>
              </w:rPr>
              <w:t>Parameter "Q</w:t>
            </w:r>
            <w:r w:rsidRPr="00FA0D37">
              <w:rPr>
                <w:i/>
                <w:iCs/>
                <w:vertAlign w:val="subscript"/>
                <w:lang w:eastAsia="sv-SE"/>
              </w:rPr>
              <w:t>qualmin</w:t>
            </w:r>
            <w:r w:rsidRPr="00FA0D37">
              <w:rPr>
                <w:lang w:eastAsia="en-GB"/>
              </w:rPr>
              <w:t xml:space="preserve">" in TS 36.304 [27]. </w:t>
            </w:r>
            <w:r w:rsidRPr="00FA0D37">
              <w:rPr>
                <w:lang w:eastAsia="en-US"/>
              </w:rPr>
              <w:t>Actual value Q</w:t>
            </w:r>
            <w:r w:rsidRPr="00FA0D37">
              <w:rPr>
                <w:vertAlign w:val="subscript"/>
                <w:lang w:eastAsia="en-US"/>
              </w:rPr>
              <w:t>qualmin</w:t>
            </w:r>
            <w:r w:rsidRPr="00FA0D37">
              <w:rPr>
                <w:lang w:eastAsia="en-US"/>
              </w:rPr>
              <w:t xml:space="preserve"> = field value [dB].</w:t>
            </w:r>
          </w:p>
        </w:tc>
      </w:tr>
      <w:tr w:rsidR="005C7FF4" w:rsidRPr="00FA0D37" w14:paraId="7BA1F391"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806CBD" w14:textId="77777777" w:rsidR="00394471" w:rsidRPr="00FA0D37" w:rsidRDefault="00394471" w:rsidP="00964CC4">
            <w:pPr>
              <w:pStyle w:val="TAL"/>
              <w:rPr>
                <w:b/>
                <w:bCs/>
                <w:i/>
                <w:lang w:eastAsia="en-GB"/>
              </w:rPr>
            </w:pPr>
            <w:r w:rsidRPr="00FA0D37">
              <w:rPr>
                <w:b/>
                <w:bCs/>
                <w:i/>
                <w:lang w:eastAsia="en-GB"/>
              </w:rPr>
              <w:t>q-QualMinOffsetCell</w:t>
            </w:r>
          </w:p>
          <w:p w14:paraId="4DD83CD1" w14:textId="77777777" w:rsidR="00394471" w:rsidRPr="00FA0D37" w:rsidRDefault="00394471" w:rsidP="00964CC4">
            <w:pPr>
              <w:pStyle w:val="TAL"/>
              <w:rPr>
                <w:b/>
                <w:bCs/>
                <w:i/>
                <w:noProof/>
                <w:lang w:eastAsia="en-GB"/>
              </w:rPr>
            </w:pPr>
            <w:r w:rsidRPr="00FA0D37">
              <w:rPr>
                <w:lang w:eastAsia="en-GB"/>
              </w:rPr>
              <w:t>Parameter "</w:t>
            </w:r>
            <w:r w:rsidRPr="00FA0D37">
              <w:rPr>
                <w:i/>
                <w:lang w:eastAsia="sv-SE"/>
              </w:rPr>
              <w:t>Q</w:t>
            </w:r>
            <w:r w:rsidRPr="00FA0D37">
              <w:rPr>
                <w:i/>
                <w:iCs/>
                <w:vertAlign w:val="subscript"/>
                <w:lang w:eastAsia="sv-SE"/>
              </w:rPr>
              <w:t>qualminoffsetcell</w:t>
            </w:r>
            <w:r w:rsidRPr="00FA0D37">
              <w:rPr>
                <w:lang w:eastAsia="en-GB"/>
              </w:rPr>
              <w:t>" in TS 36.304 [27]. Actual value Q</w:t>
            </w:r>
            <w:r w:rsidRPr="00FA0D37">
              <w:rPr>
                <w:vertAlign w:val="subscript"/>
                <w:lang w:eastAsia="en-GB"/>
              </w:rPr>
              <w:t>qualminoffsetcell</w:t>
            </w:r>
            <w:r w:rsidRPr="00FA0D37">
              <w:rPr>
                <w:lang w:eastAsia="en-GB"/>
              </w:rPr>
              <w:t xml:space="preserve"> = field value [dB].</w:t>
            </w:r>
          </w:p>
        </w:tc>
      </w:tr>
      <w:tr w:rsidR="005C7FF4" w:rsidRPr="00FA0D37" w14:paraId="77C866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09F31F" w14:textId="77777777" w:rsidR="00394471" w:rsidRPr="00FA0D37" w:rsidRDefault="00394471" w:rsidP="00964CC4">
            <w:pPr>
              <w:pStyle w:val="TAL"/>
              <w:rPr>
                <w:b/>
                <w:bCs/>
                <w:i/>
                <w:noProof/>
                <w:lang w:eastAsia="en-GB"/>
              </w:rPr>
            </w:pPr>
            <w:r w:rsidRPr="00FA0D37">
              <w:rPr>
                <w:b/>
                <w:bCs/>
                <w:i/>
                <w:noProof/>
                <w:lang w:eastAsia="en-GB"/>
              </w:rPr>
              <w:t>q-RxLevMin</w:t>
            </w:r>
          </w:p>
          <w:p w14:paraId="0BC0A00A" w14:textId="77777777" w:rsidR="00394471" w:rsidRPr="00FA0D37" w:rsidRDefault="00394471" w:rsidP="00964CC4">
            <w:pPr>
              <w:pStyle w:val="TAL"/>
              <w:rPr>
                <w:b/>
                <w:bCs/>
                <w:i/>
                <w:noProof/>
                <w:lang w:eastAsia="en-GB"/>
              </w:rPr>
            </w:pPr>
            <w:r w:rsidRPr="00FA0D37">
              <w:rPr>
                <w:lang w:eastAsia="en-GB"/>
              </w:rPr>
              <w:t>Parameter "Q</w:t>
            </w:r>
            <w:r w:rsidRPr="00FA0D37">
              <w:rPr>
                <w:i/>
                <w:iCs/>
                <w:vertAlign w:val="subscript"/>
                <w:lang w:eastAsia="sv-SE"/>
              </w:rPr>
              <w:t>rxlevmin</w:t>
            </w:r>
            <w:r w:rsidRPr="00FA0D37">
              <w:rPr>
                <w:lang w:eastAsia="en-GB"/>
              </w:rPr>
              <w:t xml:space="preserve">" in TS 36.304 [27]. </w:t>
            </w:r>
            <w:r w:rsidRPr="00FA0D37">
              <w:rPr>
                <w:lang w:eastAsia="en-US"/>
              </w:rPr>
              <w:t>Actual value Q</w:t>
            </w:r>
            <w:r w:rsidRPr="00FA0D37">
              <w:rPr>
                <w:vertAlign w:val="subscript"/>
                <w:lang w:eastAsia="en-US"/>
              </w:rPr>
              <w:t>rxlevmin</w:t>
            </w:r>
            <w:r w:rsidRPr="00FA0D37">
              <w:rPr>
                <w:lang w:eastAsia="en-US"/>
              </w:rPr>
              <w:t xml:space="preserve"> = field value * 2 [dBm].</w:t>
            </w:r>
          </w:p>
        </w:tc>
      </w:tr>
      <w:tr w:rsidR="005C7FF4" w:rsidRPr="00FA0D37" w14:paraId="6182005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1D28D4" w14:textId="77777777" w:rsidR="00394471" w:rsidRPr="00FA0D37" w:rsidRDefault="00394471" w:rsidP="00964CC4">
            <w:pPr>
              <w:pStyle w:val="TAL"/>
              <w:rPr>
                <w:b/>
                <w:bCs/>
                <w:i/>
                <w:lang w:eastAsia="en-GB"/>
              </w:rPr>
            </w:pPr>
            <w:r w:rsidRPr="00FA0D37">
              <w:rPr>
                <w:b/>
                <w:bCs/>
                <w:i/>
                <w:lang w:eastAsia="en-GB"/>
              </w:rPr>
              <w:t>q-RxLevMinOffsetCell</w:t>
            </w:r>
          </w:p>
          <w:p w14:paraId="1FB4432E" w14:textId="77777777" w:rsidR="00394471" w:rsidRPr="00FA0D37" w:rsidRDefault="00394471" w:rsidP="00964CC4">
            <w:pPr>
              <w:pStyle w:val="TAL"/>
              <w:rPr>
                <w:b/>
                <w:bCs/>
                <w:i/>
                <w:noProof/>
                <w:lang w:eastAsia="en-GB"/>
              </w:rPr>
            </w:pPr>
            <w:r w:rsidRPr="00FA0D37">
              <w:rPr>
                <w:lang w:eastAsia="en-GB"/>
              </w:rPr>
              <w:t>Parameter "</w:t>
            </w:r>
            <w:r w:rsidRPr="00FA0D37">
              <w:rPr>
                <w:i/>
                <w:lang w:eastAsia="sv-SE"/>
              </w:rPr>
              <w:t>Q</w:t>
            </w:r>
            <w:r w:rsidRPr="00FA0D37">
              <w:rPr>
                <w:i/>
                <w:iCs/>
                <w:vertAlign w:val="subscript"/>
                <w:lang w:eastAsia="sv-SE"/>
              </w:rPr>
              <w:t>rxlevminoffsetcell</w:t>
            </w:r>
            <w:r w:rsidRPr="00FA0D37">
              <w:rPr>
                <w:lang w:eastAsia="en-GB"/>
              </w:rPr>
              <w:t>" in TS 36.304 [27]. Actual value Q</w:t>
            </w:r>
            <w:r w:rsidRPr="00FA0D37">
              <w:rPr>
                <w:vertAlign w:val="subscript"/>
                <w:lang w:eastAsia="en-GB"/>
              </w:rPr>
              <w:t>rxlevminoffsetcell</w:t>
            </w:r>
            <w:r w:rsidRPr="00FA0D37">
              <w:rPr>
                <w:lang w:eastAsia="en-GB"/>
              </w:rPr>
              <w:t xml:space="preserve"> = field value * 2 [dB].</w:t>
            </w:r>
          </w:p>
        </w:tc>
      </w:tr>
      <w:tr w:rsidR="005C7FF4" w:rsidRPr="00FA0D37" w14:paraId="186825F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54187E" w14:textId="77777777" w:rsidR="00394471" w:rsidRPr="00FA0D37" w:rsidRDefault="00394471" w:rsidP="00964CC4">
            <w:pPr>
              <w:pStyle w:val="TAL"/>
              <w:rPr>
                <w:b/>
                <w:bCs/>
                <w:i/>
                <w:noProof/>
                <w:lang w:eastAsia="en-GB"/>
              </w:rPr>
            </w:pPr>
            <w:r w:rsidRPr="00FA0D37">
              <w:rPr>
                <w:b/>
                <w:bCs/>
                <w:i/>
                <w:noProof/>
                <w:lang w:eastAsia="en-GB"/>
              </w:rPr>
              <w:t>t-ReselectionEUTRA</w:t>
            </w:r>
          </w:p>
          <w:p w14:paraId="5C3C8286" w14:textId="77777777" w:rsidR="00394471" w:rsidRPr="00FA0D37" w:rsidRDefault="00394471" w:rsidP="00964CC4">
            <w:pPr>
              <w:pStyle w:val="TAL"/>
              <w:rPr>
                <w:lang w:eastAsia="en-GB"/>
              </w:rPr>
            </w:pPr>
            <w:r w:rsidRPr="00FA0D37">
              <w:rPr>
                <w:lang w:eastAsia="en-GB"/>
              </w:rPr>
              <w:t>Parameter "Treselection</w:t>
            </w:r>
            <w:r w:rsidRPr="00FA0D37">
              <w:rPr>
                <w:vertAlign w:val="subscript"/>
                <w:lang w:eastAsia="en-GB"/>
              </w:rPr>
              <w:t>EUTRA</w:t>
            </w:r>
            <w:r w:rsidRPr="00FA0D37">
              <w:rPr>
                <w:lang w:eastAsia="en-GB"/>
              </w:rPr>
              <w:t>" in TS 38.304 [20].</w:t>
            </w:r>
          </w:p>
        </w:tc>
      </w:tr>
      <w:tr w:rsidR="005C7FF4" w:rsidRPr="00FA0D37" w14:paraId="615A476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58C62" w14:textId="77777777" w:rsidR="00394471" w:rsidRPr="00FA0D37" w:rsidRDefault="00394471" w:rsidP="00964CC4">
            <w:pPr>
              <w:pStyle w:val="TAL"/>
              <w:rPr>
                <w:b/>
                <w:bCs/>
                <w:i/>
                <w:noProof/>
                <w:lang w:eastAsia="en-GB"/>
              </w:rPr>
            </w:pPr>
            <w:r w:rsidRPr="00FA0D37">
              <w:rPr>
                <w:b/>
                <w:bCs/>
                <w:i/>
                <w:noProof/>
                <w:lang w:eastAsia="en-GB"/>
              </w:rPr>
              <w:t>threshX-High</w:t>
            </w:r>
          </w:p>
          <w:p w14:paraId="14677E05" w14:textId="77777777" w:rsidR="00394471" w:rsidRPr="00FA0D37" w:rsidRDefault="00394471" w:rsidP="00964CC4">
            <w:pPr>
              <w:pStyle w:val="TAL"/>
              <w:rPr>
                <w:lang w:eastAsia="en-GB"/>
              </w:rPr>
            </w:pPr>
            <w:r w:rsidRPr="00FA0D37">
              <w:rPr>
                <w:lang w:eastAsia="en-GB"/>
              </w:rPr>
              <w:t>Parameter "Thresh</w:t>
            </w:r>
            <w:r w:rsidRPr="00FA0D37">
              <w:rPr>
                <w:vertAlign w:val="subscript"/>
                <w:lang w:eastAsia="en-GB"/>
              </w:rPr>
              <w:t>X, HighP</w:t>
            </w:r>
            <w:r w:rsidRPr="00FA0D37">
              <w:rPr>
                <w:lang w:eastAsia="en-GB"/>
              </w:rPr>
              <w:t>" in TS 38.304 [20].</w:t>
            </w:r>
          </w:p>
        </w:tc>
      </w:tr>
      <w:tr w:rsidR="005C7FF4" w:rsidRPr="00FA0D37" w14:paraId="628ED8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12B9A" w14:textId="77777777" w:rsidR="00394471" w:rsidRPr="00FA0D37" w:rsidRDefault="00394471" w:rsidP="00964CC4">
            <w:pPr>
              <w:pStyle w:val="TAL"/>
              <w:rPr>
                <w:b/>
                <w:bCs/>
                <w:i/>
                <w:noProof/>
                <w:lang w:eastAsia="en-GB"/>
              </w:rPr>
            </w:pPr>
            <w:r w:rsidRPr="00FA0D37">
              <w:rPr>
                <w:b/>
                <w:bCs/>
                <w:i/>
                <w:noProof/>
                <w:lang w:eastAsia="en-GB"/>
              </w:rPr>
              <w:t>threshX-HighQ</w:t>
            </w:r>
          </w:p>
          <w:p w14:paraId="13A2AB35" w14:textId="77777777" w:rsidR="00394471" w:rsidRPr="00FA0D37" w:rsidRDefault="00394471" w:rsidP="00964CC4">
            <w:pPr>
              <w:pStyle w:val="TAL"/>
              <w:rPr>
                <w:b/>
                <w:bCs/>
                <w:i/>
                <w:noProof/>
                <w:lang w:eastAsia="en-GB"/>
              </w:rPr>
            </w:pPr>
            <w:r w:rsidRPr="00FA0D37">
              <w:rPr>
                <w:lang w:eastAsia="en-GB"/>
              </w:rPr>
              <w:t>Parameter "Thresh</w:t>
            </w:r>
            <w:r w:rsidRPr="00FA0D37">
              <w:rPr>
                <w:vertAlign w:val="subscript"/>
                <w:lang w:eastAsia="en-GB"/>
              </w:rPr>
              <w:t>X, HighQ</w:t>
            </w:r>
            <w:r w:rsidRPr="00FA0D37">
              <w:rPr>
                <w:lang w:eastAsia="en-GB"/>
              </w:rPr>
              <w:t>" in TS 38.304 [20].</w:t>
            </w:r>
          </w:p>
        </w:tc>
      </w:tr>
      <w:tr w:rsidR="005C7FF4" w:rsidRPr="00FA0D37" w14:paraId="6763AD9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86B4D" w14:textId="77777777" w:rsidR="00394471" w:rsidRPr="00FA0D37" w:rsidRDefault="00394471" w:rsidP="00964CC4">
            <w:pPr>
              <w:pStyle w:val="TAL"/>
              <w:rPr>
                <w:b/>
                <w:bCs/>
                <w:i/>
                <w:noProof/>
                <w:lang w:eastAsia="en-GB"/>
              </w:rPr>
            </w:pPr>
            <w:r w:rsidRPr="00FA0D37">
              <w:rPr>
                <w:b/>
                <w:bCs/>
                <w:i/>
                <w:noProof/>
                <w:lang w:eastAsia="en-GB"/>
              </w:rPr>
              <w:t>threshX-Low</w:t>
            </w:r>
          </w:p>
          <w:p w14:paraId="670935D9" w14:textId="77777777" w:rsidR="00394471" w:rsidRPr="00FA0D37" w:rsidRDefault="00394471" w:rsidP="00964CC4">
            <w:pPr>
              <w:pStyle w:val="TAL"/>
              <w:rPr>
                <w:b/>
                <w:bCs/>
                <w:i/>
                <w:noProof/>
                <w:lang w:eastAsia="en-GB"/>
              </w:rPr>
            </w:pPr>
            <w:r w:rsidRPr="00FA0D37">
              <w:rPr>
                <w:lang w:eastAsia="en-GB"/>
              </w:rPr>
              <w:t>Parameter "Thresh</w:t>
            </w:r>
            <w:r w:rsidRPr="00FA0D37">
              <w:rPr>
                <w:vertAlign w:val="subscript"/>
                <w:lang w:eastAsia="en-GB"/>
              </w:rPr>
              <w:t>X, LowP</w:t>
            </w:r>
            <w:r w:rsidRPr="00FA0D37">
              <w:rPr>
                <w:lang w:eastAsia="en-GB"/>
              </w:rPr>
              <w:t>" in TS 38.304 [20].</w:t>
            </w:r>
          </w:p>
        </w:tc>
      </w:tr>
      <w:tr w:rsidR="005C7FF4" w:rsidRPr="00FA0D37" w14:paraId="4013FF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080319" w14:textId="77777777" w:rsidR="00394471" w:rsidRPr="00FA0D37" w:rsidRDefault="00394471" w:rsidP="00964CC4">
            <w:pPr>
              <w:pStyle w:val="TAL"/>
              <w:rPr>
                <w:b/>
                <w:bCs/>
                <w:i/>
                <w:noProof/>
                <w:lang w:eastAsia="en-GB"/>
              </w:rPr>
            </w:pPr>
            <w:r w:rsidRPr="00FA0D37">
              <w:rPr>
                <w:b/>
                <w:bCs/>
                <w:i/>
                <w:noProof/>
                <w:lang w:eastAsia="en-GB"/>
              </w:rPr>
              <w:t>threshX-LowQ</w:t>
            </w:r>
          </w:p>
          <w:p w14:paraId="2C6BD696" w14:textId="77777777" w:rsidR="00394471" w:rsidRPr="00FA0D37" w:rsidRDefault="00394471" w:rsidP="00964CC4">
            <w:pPr>
              <w:pStyle w:val="TAL"/>
              <w:rPr>
                <w:b/>
                <w:bCs/>
                <w:i/>
                <w:noProof/>
                <w:lang w:eastAsia="en-GB"/>
              </w:rPr>
            </w:pPr>
            <w:r w:rsidRPr="00FA0D37">
              <w:rPr>
                <w:lang w:eastAsia="en-GB"/>
              </w:rPr>
              <w:t>Parameter "Thresh</w:t>
            </w:r>
            <w:r w:rsidRPr="00FA0D37">
              <w:rPr>
                <w:vertAlign w:val="subscript"/>
                <w:lang w:eastAsia="en-GB"/>
              </w:rPr>
              <w:t>X, LowQ</w:t>
            </w:r>
            <w:r w:rsidRPr="00FA0D37">
              <w:rPr>
                <w:lang w:eastAsia="en-GB"/>
              </w:rPr>
              <w:t>" in TS 38.304 [20].</w:t>
            </w:r>
          </w:p>
        </w:tc>
      </w:tr>
      <w:tr w:rsidR="00394471" w:rsidRPr="00FA0D37" w14:paraId="2B054CF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7389F" w14:textId="77777777" w:rsidR="00394471" w:rsidRPr="00FA0D37" w:rsidRDefault="00394471" w:rsidP="00964CC4">
            <w:pPr>
              <w:pStyle w:val="TAL"/>
              <w:rPr>
                <w:b/>
                <w:bCs/>
                <w:i/>
                <w:iCs/>
                <w:lang w:eastAsia="en-GB"/>
              </w:rPr>
            </w:pPr>
            <w:r w:rsidRPr="00FA0D37">
              <w:rPr>
                <w:b/>
                <w:bCs/>
                <w:i/>
                <w:iCs/>
                <w:lang w:eastAsia="en-GB"/>
              </w:rPr>
              <w:t>t-ReselectionEUTRA-SF</w:t>
            </w:r>
          </w:p>
          <w:p w14:paraId="79541DB9" w14:textId="77777777" w:rsidR="00394471" w:rsidRPr="00FA0D37" w:rsidRDefault="00394471" w:rsidP="00964CC4">
            <w:pPr>
              <w:pStyle w:val="TAL"/>
              <w:rPr>
                <w:b/>
                <w:bCs/>
                <w:i/>
                <w:noProof/>
                <w:lang w:eastAsia="en-GB"/>
              </w:rPr>
            </w:pPr>
            <w:r w:rsidRPr="00FA0D37">
              <w:rPr>
                <w:lang w:eastAsia="sv-SE"/>
              </w:rPr>
              <w:t>Parameter "Speed dependent ScalingFactor for Treselection</w:t>
            </w:r>
            <w:r w:rsidRPr="00FA0D37">
              <w:rPr>
                <w:vertAlign w:val="subscript"/>
                <w:lang w:eastAsia="sv-SE"/>
              </w:rPr>
              <w:t>EUTRA</w:t>
            </w:r>
            <w:r w:rsidRPr="00FA0D37">
              <w:rPr>
                <w:lang w:eastAsia="sv-SE"/>
              </w:rPr>
              <w:t>" in TS 38.304 [20]. If the field is absent, the UE behaviour is specified in TS 38.304 [20].</w:t>
            </w:r>
          </w:p>
        </w:tc>
      </w:tr>
    </w:tbl>
    <w:p w14:paraId="0566D596" w14:textId="77777777" w:rsidR="00394471" w:rsidRPr="00FA0D3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D8E6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1C88E6" w14:textId="77777777" w:rsidR="00394471" w:rsidRPr="00FA0D37" w:rsidRDefault="00394471" w:rsidP="00964CC4">
            <w:pPr>
              <w:pStyle w:val="TAH"/>
              <w:rPr>
                <w:szCs w:val="22"/>
                <w:lang w:eastAsia="en-US"/>
              </w:rPr>
            </w:pPr>
            <w:r w:rsidRPr="00FA0D37">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BCBC3E" w14:textId="77777777" w:rsidR="00394471" w:rsidRPr="00FA0D37" w:rsidRDefault="00394471" w:rsidP="00964CC4">
            <w:pPr>
              <w:pStyle w:val="TAH"/>
              <w:rPr>
                <w:szCs w:val="22"/>
                <w:lang w:eastAsia="en-US"/>
              </w:rPr>
            </w:pPr>
            <w:r w:rsidRPr="00FA0D37">
              <w:rPr>
                <w:szCs w:val="22"/>
                <w:lang w:eastAsia="en-US"/>
              </w:rPr>
              <w:t>Explanation</w:t>
            </w:r>
          </w:p>
        </w:tc>
      </w:tr>
      <w:tr w:rsidR="00394471" w:rsidRPr="00FA0D37" w14:paraId="5DFF452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B06605" w14:textId="77777777" w:rsidR="00394471" w:rsidRPr="00FA0D37" w:rsidRDefault="00394471" w:rsidP="00964CC4">
            <w:pPr>
              <w:pStyle w:val="TAL"/>
              <w:rPr>
                <w:i/>
                <w:szCs w:val="22"/>
                <w:lang w:eastAsia="en-US"/>
              </w:rPr>
            </w:pPr>
            <w:r w:rsidRPr="00FA0D3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C46AA48" w14:textId="77777777" w:rsidR="00394471" w:rsidRPr="00FA0D37" w:rsidRDefault="00394471" w:rsidP="00964CC4">
            <w:pPr>
              <w:pStyle w:val="TAL"/>
              <w:rPr>
                <w:szCs w:val="22"/>
                <w:lang w:eastAsia="en-US"/>
              </w:rPr>
            </w:pPr>
            <w:r w:rsidRPr="00FA0D37">
              <w:rPr>
                <w:szCs w:val="22"/>
                <w:lang w:eastAsia="en-US"/>
              </w:rPr>
              <w:t xml:space="preserve">The field is mandatory present if the </w:t>
            </w:r>
            <w:r w:rsidRPr="00FA0D37">
              <w:rPr>
                <w:i/>
                <w:lang w:eastAsia="sv-SE"/>
              </w:rPr>
              <w:t>threshServingLowQ</w:t>
            </w:r>
            <w:r w:rsidRPr="00FA0D37">
              <w:rPr>
                <w:szCs w:val="22"/>
                <w:lang w:eastAsia="en-US"/>
              </w:rPr>
              <w:t xml:space="preserve"> is present in </w:t>
            </w:r>
            <w:r w:rsidRPr="00FA0D37">
              <w:rPr>
                <w:i/>
                <w:lang w:eastAsia="sv-SE"/>
              </w:rPr>
              <w:t>SIB2</w:t>
            </w:r>
            <w:r w:rsidRPr="00FA0D37">
              <w:rPr>
                <w:szCs w:val="22"/>
                <w:lang w:eastAsia="en-US"/>
              </w:rPr>
              <w:t>; otherwise it is absent.</w:t>
            </w:r>
          </w:p>
        </w:tc>
      </w:tr>
    </w:tbl>
    <w:p w14:paraId="250DB1F5" w14:textId="77777777" w:rsidR="00394471" w:rsidRPr="00FA0D37" w:rsidRDefault="00394471" w:rsidP="00394471"/>
    <w:p w14:paraId="1970B8FB" w14:textId="77777777" w:rsidR="00394471" w:rsidRPr="00FA0D37" w:rsidRDefault="00394471" w:rsidP="00394471">
      <w:pPr>
        <w:pStyle w:val="4"/>
        <w:rPr>
          <w:rFonts w:eastAsia="宋体"/>
          <w:i/>
          <w:noProof/>
        </w:rPr>
      </w:pPr>
      <w:bookmarkStart w:id="765" w:name="_Toc60777145"/>
      <w:bookmarkStart w:id="766" w:name="_Toc146781183"/>
      <w:r w:rsidRPr="00FA0D37">
        <w:rPr>
          <w:rFonts w:eastAsia="宋体"/>
          <w:i/>
        </w:rPr>
        <w:t>–</w:t>
      </w:r>
      <w:r w:rsidRPr="00FA0D37">
        <w:rPr>
          <w:rFonts w:eastAsia="宋体"/>
          <w:i/>
        </w:rPr>
        <w:tab/>
      </w:r>
      <w:r w:rsidRPr="00FA0D37">
        <w:rPr>
          <w:rFonts w:eastAsia="宋体"/>
          <w:i/>
          <w:noProof/>
        </w:rPr>
        <w:t>SIB6</w:t>
      </w:r>
      <w:bookmarkEnd w:id="765"/>
      <w:bookmarkEnd w:id="766"/>
    </w:p>
    <w:p w14:paraId="147538C6" w14:textId="77777777" w:rsidR="00394471" w:rsidRPr="00FA0D37" w:rsidRDefault="00394471" w:rsidP="00394471">
      <w:pPr>
        <w:rPr>
          <w:rFonts w:eastAsia="宋体"/>
        </w:rPr>
      </w:pPr>
      <w:r w:rsidRPr="00FA0D37">
        <w:rPr>
          <w:i/>
          <w:noProof/>
        </w:rPr>
        <w:t>SIB6</w:t>
      </w:r>
      <w:r w:rsidRPr="00FA0D37">
        <w:t xml:space="preserve"> contains an ETWS primary notification.</w:t>
      </w:r>
    </w:p>
    <w:p w14:paraId="700FB142" w14:textId="77777777" w:rsidR="00394471" w:rsidRPr="00FA0D37" w:rsidRDefault="00394471" w:rsidP="00394471">
      <w:pPr>
        <w:pStyle w:val="TH"/>
        <w:rPr>
          <w:bCs/>
          <w:i/>
          <w:iCs/>
        </w:rPr>
      </w:pPr>
      <w:r w:rsidRPr="00FA0D37">
        <w:rPr>
          <w:bCs/>
          <w:i/>
          <w:iCs/>
          <w:noProof/>
        </w:rPr>
        <w:t xml:space="preserve">SIB6 </w:t>
      </w:r>
      <w:r w:rsidRPr="00FA0D37">
        <w:rPr>
          <w:bCs/>
          <w:iCs/>
          <w:noProof/>
        </w:rPr>
        <w:t>information element</w:t>
      </w:r>
    </w:p>
    <w:p w14:paraId="25102D0F" w14:textId="77777777" w:rsidR="00394471" w:rsidRPr="00FA0D37" w:rsidRDefault="00394471" w:rsidP="00FA0D37">
      <w:pPr>
        <w:pStyle w:val="PL"/>
        <w:rPr>
          <w:color w:val="808080"/>
        </w:rPr>
      </w:pPr>
      <w:r w:rsidRPr="00FA0D37">
        <w:rPr>
          <w:color w:val="808080"/>
        </w:rPr>
        <w:t>-- ASN1START</w:t>
      </w:r>
    </w:p>
    <w:p w14:paraId="789D6A7E" w14:textId="77777777" w:rsidR="00394471" w:rsidRPr="00FA0D37" w:rsidRDefault="00394471" w:rsidP="00FA0D37">
      <w:pPr>
        <w:pStyle w:val="PL"/>
        <w:rPr>
          <w:color w:val="808080"/>
        </w:rPr>
      </w:pPr>
      <w:r w:rsidRPr="00FA0D37">
        <w:rPr>
          <w:color w:val="808080"/>
        </w:rPr>
        <w:t>-- TAG-SIB6-START</w:t>
      </w:r>
    </w:p>
    <w:p w14:paraId="4A0B6001" w14:textId="77777777" w:rsidR="00394471" w:rsidRPr="00FA0D37" w:rsidRDefault="00394471" w:rsidP="00FA0D37">
      <w:pPr>
        <w:pStyle w:val="PL"/>
      </w:pPr>
    </w:p>
    <w:p w14:paraId="316EE67F" w14:textId="77777777" w:rsidR="00394471" w:rsidRPr="00FA0D37" w:rsidRDefault="00394471" w:rsidP="00FA0D37">
      <w:pPr>
        <w:pStyle w:val="PL"/>
      </w:pPr>
      <w:r w:rsidRPr="00FA0D37">
        <w:t xml:space="preserve">SIB6 ::=                            </w:t>
      </w:r>
      <w:r w:rsidRPr="00FA0D37">
        <w:rPr>
          <w:color w:val="993366"/>
        </w:rPr>
        <w:t>SEQUENCE</w:t>
      </w:r>
      <w:r w:rsidRPr="00FA0D37">
        <w:t xml:space="preserve"> {</w:t>
      </w:r>
    </w:p>
    <w:p w14:paraId="068D71B4" w14:textId="77777777" w:rsidR="00394471" w:rsidRPr="00FA0D37" w:rsidRDefault="00394471" w:rsidP="00FA0D37">
      <w:pPr>
        <w:pStyle w:val="PL"/>
      </w:pPr>
      <w:r w:rsidRPr="00FA0D37">
        <w:t xml:space="preserve">    messageIdentifier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7B4FB884" w14:textId="77777777" w:rsidR="00394471" w:rsidRPr="00FA0D37" w:rsidRDefault="00394471" w:rsidP="00FA0D37">
      <w:pPr>
        <w:pStyle w:val="PL"/>
      </w:pPr>
      <w:r w:rsidRPr="00FA0D37">
        <w:t xml:space="preserve">    serialNumber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3C668DA6" w14:textId="77777777" w:rsidR="00394471" w:rsidRPr="00FA0D37" w:rsidRDefault="00394471" w:rsidP="00FA0D37">
      <w:pPr>
        <w:pStyle w:val="PL"/>
      </w:pPr>
      <w:r w:rsidRPr="00FA0D37">
        <w:t xml:space="preserve">    warningType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4554F026"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68DA949" w14:textId="77777777" w:rsidR="00394471" w:rsidRPr="00FA0D37" w:rsidRDefault="00394471" w:rsidP="00FA0D37">
      <w:pPr>
        <w:pStyle w:val="PL"/>
      </w:pPr>
      <w:r w:rsidRPr="00FA0D37">
        <w:t xml:space="preserve">    ...</w:t>
      </w:r>
    </w:p>
    <w:p w14:paraId="63A43A4C" w14:textId="77777777" w:rsidR="00394471" w:rsidRPr="00FA0D37" w:rsidRDefault="00394471" w:rsidP="00FA0D37">
      <w:pPr>
        <w:pStyle w:val="PL"/>
      </w:pPr>
      <w:r w:rsidRPr="00FA0D37">
        <w:t>}</w:t>
      </w:r>
    </w:p>
    <w:p w14:paraId="2E5D5B37" w14:textId="77777777" w:rsidR="00394471" w:rsidRPr="00FA0D37" w:rsidRDefault="00394471" w:rsidP="00FA0D37">
      <w:pPr>
        <w:pStyle w:val="PL"/>
      </w:pPr>
    </w:p>
    <w:p w14:paraId="4E810C25" w14:textId="77777777" w:rsidR="00394471" w:rsidRPr="00FA0D37" w:rsidRDefault="00394471" w:rsidP="00FA0D37">
      <w:pPr>
        <w:pStyle w:val="PL"/>
        <w:rPr>
          <w:color w:val="808080"/>
        </w:rPr>
      </w:pPr>
      <w:r w:rsidRPr="00FA0D37">
        <w:rPr>
          <w:color w:val="808080"/>
        </w:rPr>
        <w:t>-- TAG-SIB6-STOP</w:t>
      </w:r>
    </w:p>
    <w:p w14:paraId="47BBC600" w14:textId="77777777" w:rsidR="00394471" w:rsidRPr="00FA0D37" w:rsidRDefault="00394471" w:rsidP="00FA0D37">
      <w:pPr>
        <w:pStyle w:val="PL"/>
        <w:rPr>
          <w:color w:val="808080"/>
        </w:rPr>
      </w:pPr>
      <w:r w:rsidRPr="00FA0D37">
        <w:rPr>
          <w:color w:val="808080"/>
        </w:rPr>
        <w:t>-- ASN1STOP</w:t>
      </w:r>
    </w:p>
    <w:p w14:paraId="09A7D0AF"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9F7FE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D8585" w14:textId="77777777" w:rsidR="00394471" w:rsidRPr="00FA0D37" w:rsidRDefault="00394471" w:rsidP="00964CC4">
            <w:pPr>
              <w:pStyle w:val="TAH"/>
              <w:rPr>
                <w:rFonts w:eastAsia="宋体"/>
                <w:szCs w:val="22"/>
                <w:lang w:eastAsia="sv-SE"/>
              </w:rPr>
            </w:pPr>
            <w:r w:rsidRPr="00FA0D37">
              <w:rPr>
                <w:rFonts w:eastAsia="宋体"/>
                <w:i/>
                <w:szCs w:val="22"/>
                <w:lang w:eastAsia="sv-SE"/>
              </w:rPr>
              <w:t xml:space="preserve">SIB6 </w:t>
            </w:r>
            <w:r w:rsidRPr="00FA0D37">
              <w:rPr>
                <w:rFonts w:eastAsia="宋体"/>
                <w:szCs w:val="22"/>
                <w:lang w:eastAsia="sv-SE"/>
              </w:rPr>
              <w:t>field descriptions</w:t>
            </w:r>
          </w:p>
        </w:tc>
      </w:tr>
      <w:tr w:rsidR="005C7FF4" w:rsidRPr="00FA0D37" w14:paraId="4EB6B2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F612B9" w14:textId="77777777" w:rsidR="00394471" w:rsidRPr="00FA0D37" w:rsidRDefault="00394471" w:rsidP="00964CC4">
            <w:pPr>
              <w:pStyle w:val="TAL"/>
              <w:rPr>
                <w:rFonts w:eastAsia="宋体"/>
                <w:szCs w:val="22"/>
                <w:lang w:eastAsia="sv-SE"/>
              </w:rPr>
            </w:pPr>
            <w:r w:rsidRPr="00FA0D37">
              <w:rPr>
                <w:rFonts w:eastAsia="宋体"/>
                <w:b/>
                <w:i/>
                <w:szCs w:val="22"/>
                <w:lang w:eastAsia="sv-SE"/>
              </w:rPr>
              <w:t>messageIdentifier</w:t>
            </w:r>
          </w:p>
          <w:p w14:paraId="20393BC5" w14:textId="77777777" w:rsidR="00394471" w:rsidRPr="00FA0D37" w:rsidRDefault="00394471" w:rsidP="00964CC4">
            <w:pPr>
              <w:pStyle w:val="TAL"/>
              <w:rPr>
                <w:rFonts w:eastAsia="宋体"/>
                <w:szCs w:val="22"/>
                <w:lang w:eastAsia="sv-SE"/>
              </w:rPr>
            </w:pPr>
            <w:r w:rsidRPr="00FA0D37">
              <w:rPr>
                <w:rFonts w:eastAsia="宋体"/>
                <w:szCs w:val="22"/>
                <w:lang w:eastAsia="sv-SE"/>
              </w:rPr>
              <w:t>Identifies the source and type of ETWS notification.</w:t>
            </w:r>
          </w:p>
        </w:tc>
      </w:tr>
      <w:tr w:rsidR="005C7FF4" w:rsidRPr="00FA0D37" w14:paraId="4EBDC6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D7CE78" w14:textId="77777777" w:rsidR="00394471" w:rsidRPr="00FA0D37" w:rsidRDefault="00394471" w:rsidP="00964CC4">
            <w:pPr>
              <w:pStyle w:val="TAL"/>
              <w:rPr>
                <w:rFonts w:eastAsia="宋体"/>
                <w:szCs w:val="22"/>
                <w:lang w:eastAsia="sv-SE"/>
              </w:rPr>
            </w:pPr>
            <w:r w:rsidRPr="00FA0D37">
              <w:rPr>
                <w:rFonts w:eastAsia="宋体"/>
                <w:b/>
                <w:i/>
                <w:szCs w:val="22"/>
                <w:lang w:eastAsia="sv-SE"/>
              </w:rPr>
              <w:t>serialNumber</w:t>
            </w:r>
          </w:p>
          <w:p w14:paraId="5F189FF8" w14:textId="77777777" w:rsidR="00394471" w:rsidRPr="00FA0D37" w:rsidRDefault="00394471" w:rsidP="00964CC4">
            <w:pPr>
              <w:pStyle w:val="TAL"/>
              <w:rPr>
                <w:rFonts w:eastAsia="宋体"/>
                <w:szCs w:val="22"/>
                <w:lang w:eastAsia="sv-SE"/>
              </w:rPr>
            </w:pPr>
            <w:r w:rsidRPr="00FA0D37">
              <w:rPr>
                <w:rFonts w:eastAsia="宋体"/>
                <w:szCs w:val="22"/>
                <w:lang w:eastAsia="sv-SE"/>
              </w:rPr>
              <w:t>Identifies variations of an ETWS notification.</w:t>
            </w:r>
          </w:p>
        </w:tc>
      </w:tr>
      <w:tr w:rsidR="00394471" w:rsidRPr="00FA0D37" w14:paraId="47B135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7FD0C1" w14:textId="77777777" w:rsidR="00394471" w:rsidRPr="00FA0D37" w:rsidRDefault="00394471" w:rsidP="00964CC4">
            <w:pPr>
              <w:pStyle w:val="TAL"/>
              <w:rPr>
                <w:rFonts w:eastAsia="宋体"/>
                <w:szCs w:val="22"/>
                <w:lang w:eastAsia="sv-SE"/>
              </w:rPr>
            </w:pPr>
            <w:r w:rsidRPr="00FA0D37">
              <w:rPr>
                <w:rFonts w:eastAsia="宋体"/>
                <w:b/>
                <w:i/>
                <w:szCs w:val="22"/>
                <w:lang w:eastAsia="sv-SE"/>
              </w:rPr>
              <w:t>warningType</w:t>
            </w:r>
          </w:p>
          <w:p w14:paraId="7F785DBE" w14:textId="77777777" w:rsidR="00394471" w:rsidRPr="00FA0D37" w:rsidRDefault="00394471" w:rsidP="00964CC4">
            <w:pPr>
              <w:pStyle w:val="TAL"/>
              <w:rPr>
                <w:rFonts w:eastAsia="宋体"/>
                <w:szCs w:val="22"/>
                <w:lang w:eastAsia="sv-SE"/>
              </w:rPr>
            </w:pPr>
            <w:r w:rsidRPr="00FA0D37">
              <w:rPr>
                <w:rFonts w:eastAsia="宋体"/>
                <w:szCs w:val="22"/>
                <w:lang w:eastAsia="sv-SE"/>
              </w:rPr>
              <w:t>Identifies the warning type of the ETWS primary notification and provides information on emergency user alert and UE popup.</w:t>
            </w:r>
          </w:p>
        </w:tc>
      </w:tr>
    </w:tbl>
    <w:p w14:paraId="746C323A" w14:textId="77777777" w:rsidR="00394471" w:rsidRPr="00FA0D37" w:rsidRDefault="00394471" w:rsidP="00394471"/>
    <w:p w14:paraId="75CFDE31" w14:textId="77777777" w:rsidR="00394471" w:rsidRPr="00FA0D37" w:rsidRDefault="00394471" w:rsidP="00394471">
      <w:pPr>
        <w:pStyle w:val="4"/>
        <w:rPr>
          <w:rFonts w:eastAsia="宋体"/>
          <w:i/>
          <w:noProof/>
        </w:rPr>
      </w:pPr>
      <w:bookmarkStart w:id="767" w:name="_Toc60777146"/>
      <w:bookmarkStart w:id="768" w:name="_Toc146781184"/>
      <w:r w:rsidRPr="00FA0D37">
        <w:rPr>
          <w:rFonts w:eastAsia="宋体"/>
          <w:i/>
        </w:rPr>
        <w:t>–</w:t>
      </w:r>
      <w:r w:rsidRPr="00FA0D37">
        <w:rPr>
          <w:rFonts w:eastAsia="宋体"/>
          <w:i/>
        </w:rPr>
        <w:tab/>
      </w:r>
      <w:r w:rsidRPr="00FA0D37">
        <w:rPr>
          <w:rFonts w:eastAsia="宋体"/>
          <w:i/>
          <w:noProof/>
        </w:rPr>
        <w:t>SIB7</w:t>
      </w:r>
      <w:bookmarkEnd w:id="767"/>
      <w:bookmarkEnd w:id="768"/>
    </w:p>
    <w:p w14:paraId="428BF935" w14:textId="77777777" w:rsidR="00394471" w:rsidRPr="00FA0D37" w:rsidRDefault="00394471" w:rsidP="00394471">
      <w:pPr>
        <w:rPr>
          <w:rFonts w:eastAsia="宋体"/>
        </w:rPr>
      </w:pPr>
      <w:r w:rsidRPr="00FA0D37">
        <w:rPr>
          <w:i/>
          <w:noProof/>
        </w:rPr>
        <w:t>SIB7</w:t>
      </w:r>
      <w:r w:rsidRPr="00FA0D37">
        <w:t xml:space="preserve"> contains an ETWS secondary notification.</w:t>
      </w:r>
    </w:p>
    <w:p w14:paraId="0EE44664" w14:textId="77777777" w:rsidR="00394471" w:rsidRPr="00FA0D37" w:rsidRDefault="00394471" w:rsidP="00394471">
      <w:pPr>
        <w:pStyle w:val="TH"/>
        <w:rPr>
          <w:bCs/>
          <w:i/>
          <w:iCs/>
        </w:rPr>
      </w:pPr>
      <w:r w:rsidRPr="00FA0D37">
        <w:rPr>
          <w:bCs/>
          <w:i/>
          <w:iCs/>
          <w:noProof/>
        </w:rPr>
        <w:t xml:space="preserve">SIB7 </w:t>
      </w:r>
      <w:r w:rsidRPr="00FA0D37">
        <w:rPr>
          <w:bCs/>
          <w:iCs/>
          <w:noProof/>
        </w:rPr>
        <w:t>information element</w:t>
      </w:r>
    </w:p>
    <w:p w14:paraId="666D1F86" w14:textId="77777777" w:rsidR="00394471" w:rsidRPr="00FA0D37" w:rsidRDefault="00394471" w:rsidP="00FA0D37">
      <w:pPr>
        <w:pStyle w:val="PL"/>
        <w:rPr>
          <w:color w:val="808080"/>
        </w:rPr>
      </w:pPr>
      <w:r w:rsidRPr="00FA0D37">
        <w:rPr>
          <w:color w:val="808080"/>
        </w:rPr>
        <w:t>-- ASN1START</w:t>
      </w:r>
    </w:p>
    <w:p w14:paraId="035F568A" w14:textId="77777777" w:rsidR="00394471" w:rsidRPr="00FA0D37" w:rsidRDefault="00394471" w:rsidP="00FA0D37">
      <w:pPr>
        <w:pStyle w:val="PL"/>
        <w:rPr>
          <w:color w:val="808080"/>
        </w:rPr>
      </w:pPr>
      <w:r w:rsidRPr="00FA0D37">
        <w:rPr>
          <w:color w:val="808080"/>
        </w:rPr>
        <w:t>-- TAG-SIB7-START</w:t>
      </w:r>
    </w:p>
    <w:p w14:paraId="7B878D19" w14:textId="77777777" w:rsidR="00394471" w:rsidRPr="00FA0D37" w:rsidRDefault="00394471" w:rsidP="00FA0D37">
      <w:pPr>
        <w:pStyle w:val="PL"/>
      </w:pPr>
    </w:p>
    <w:p w14:paraId="1A3CF54A" w14:textId="77777777" w:rsidR="00394471" w:rsidRPr="00FA0D37" w:rsidRDefault="00394471" w:rsidP="00FA0D37">
      <w:pPr>
        <w:pStyle w:val="PL"/>
      </w:pPr>
      <w:r w:rsidRPr="00FA0D37">
        <w:t xml:space="preserve">SIB7 ::=                            </w:t>
      </w:r>
      <w:r w:rsidRPr="00FA0D37">
        <w:rPr>
          <w:color w:val="993366"/>
        </w:rPr>
        <w:t>SEQUENCE</w:t>
      </w:r>
      <w:r w:rsidRPr="00FA0D37">
        <w:t xml:space="preserve"> {</w:t>
      </w:r>
    </w:p>
    <w:p w14:paraId="2F9ADF71" w14:textId="77777777" w:rsidR="00394471" w:rsidRPr="00FA0D37" w:rsidRDefault="00394471" w:rsidP="00FA0D37">
      <w:pPr>
        <w:pStyle w:val="PL"/>
      </w:pPr>
      <w:r w:rsidRPr="00FA0D37">
        <w:t xml:space="preserve">    messageIdentifier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637AB76F" w14:textId="77777777" w:rsidR="00394471" w:rsidRPr="00FA0D37" w:rsidRDefault="00394471" w:rsidP="00FA0D37">
      <w:pPr>
        <w:pStyle w:val="PL"/>
      </w:pPr>
      <w:r w:rsidRPr="00FA0D37">
        <w:t xml:space="preserve">    serialNumber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75DBFECE" w14:textId="77777777" w:rsidR="00394471" w:rsidRPr="00FA0D37" w:rsidRDefault="00394471" w:rsidP="00FA0D37">
      <w:pPr>
        <w:pStyle w:val="PL"/>
      </w:pPr>
      <w:r w:rsidRPr="00FA0D37">
        <w:lastRenderedPageBreak/>
        <w:t xml:space="preserve">    warningMessageSegmentType           </w:t>
      </w:r>
      <w:r w:rsidRPr="00FA0D37">
        <w:rPr>
          <w:color w:val="993366"/>
        </w:rPr>
        <w:t>ENUMERATED</w:t>
      </w:r>
      <w:r w:rsidRPr="00FA0D37">
        <w:t xml:space="preserve"> {notLastSegment, lastSegment},</w:t>
      </w:r>
    </w:p>
    <w:p w14:paraId="13CB0ABE" w14:textId="77777777" w:rsidR="00394471" w:rsidRPr="00FA0D37" w:rsidRDefault="00394471" w:rsidP="00FA0D37">
      <w:pPr>
        <w:pStyle w:val="PL"/>
      </w:pPr>
      <w:r w:rsidRPr="00FA0D37">
        <w:t xml:space="preserve">    warningMessageSegmentNumber         </w:t>
      </w:r>
      <w:r w:rsidRPr="00FA0D37">
        <w:rPr>
          <w:color w:val="993366"/>
        </w:rPr>
        <w:t>INTEGER</w:t>
      </w:r>
      <w:r w:rsidRPr="00FA0D37">
        <w:t xml:space="preserve"> (0..63),</w:t>
      </w:r>
    </w:p>
    <w:p w14:paraId="6F67CFB2" w14:textId="77777777" w:rsidR="00394471" w:rsidRPr="00FA0D37" w:rsidRDefault="00394471" w:rsidP="00FA0D37">
      <w:pPr>
        <w:pStyle w:val="PL"/>
      </w:pPr>
      <w:r w:rsidRPr="00FA0D37">
        <w:t xml:space="preserve">    warningMessageSegment               </w:t>
      </w:r>
      <w:r w:rsidRPr="00FA0D37">
        <w:rPr>
          <w:color w:val="993366"/>
        </w:rPr>
        <w:t>OCTET</w:t>
      </w:r>
      <w:r w:rsidRPr="00FA0D37">
        <w:t xml:space="preserve"> </w:t>
      </w:r>
      <w:r w:rsidRPr="00FA0D37">
        <w:rPr>
          <w:color w:val="993366"/>
        </w:rPr>
        <w:t>STRING</w:t>
      </w:r>
      <w:r w:rsidRPr="00FA0D37">
        <w:t>,</w:t>
      </w:r>
    </w:p>
    <w:p w14:paraId="7C97D419" w14:textId="77777777" w:rsidR="00394471" w:rsidRPr="00FA0D37" w:rsidRDefault="00394471" w:rsidP="00FA0D37">
      <w:pPr>
        <w:pStyle w:val="PL"/>
        <w:rPr>
          <w:color w:val="808080"/>
        </w:rPr>
      </w:pPr>
      <w:r w:rsidRPr="00FA0D37">
        <w:t xml:space="preserve">    dataCodingScheme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(1))                     </w:t>
      </w:r>
      <w:r w:rsidRPr="00FA0D37">
        <w:rPr>
          <w:color w:val="993366"/>
        </w:rPr>
        <w:t>OPTIONAL</w:t>
      </w:r>
      <w:r w:rsidRPr="00FA0D37">
        <w:t xml:space="preserve">,   </w:t>
      </w:r>
      <w:r w:rsidRPr="00FA0D37">
        <w:rPr>
          <w:color w:val="808080"/>
        </w:rPr>
        <w:t>-- Cond Segment1</w:t>
      </w:r>
    </w:p>
    <w:p w14:paraId="67B0CDC6"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04D3072A" w14:textId="77777777" w:rsidR="00394471" w:rsidRPr="00FA0D37" w:rsidRDefault="00394471" w:rsidP="00FA0D37">
      <w:pPr>
        <w:pStyle w:val="PL"/>
      </w:pPr>
      <w:r w:rsidRPr="00FA0D37">
        <w:t xml:space="preserve">    ...</w:t>
      </w:r>
    </w:p>
    <w:p w14:paraId="2EC68EC1" w14:textId="77777777" w:rsidR="00394471" w:rsidRPr="00FA0D37" w:rsidRDefault="00394471" w:rsidP="00FA0D37">
      <w:pPr>
        <w:pStyle w:val="PL"/>
      </w:pPr>
      <w:r w:rsidRPr="00FA0D37">
        <w:t>}</w:t>
      </w:r>
    </w:p>
    <w:p w14:paraId="125F5A4F" w14:textId="77777777" w:rsidR="00394471" w:rsidRPr="00FA0D37" w:rsidRDefault="00394471" w:rsidP="00FA0D37">
      <w:pPr>
        <w:pStyle w:val="PL"/>
      </w:pPr>
    </w:p>
    <w:p w14:paraId="6F183428" w14:textId="77777777" w:rsidR="00394471" w:rsidRPr="00FA0D37" w:rsidRDefault="00394471" w:rsidP="00FA0D37">
      <w:pPr>
        <w:pStyle w:val="PL"/>
        <w:rPr>
          <w:color w:val="808080"/>
        </w:rPr>
      </w:pPr>
      <w:r w:rsidRPr="00FA0D37">
        <w:rPr>
          <w:color w:val="808080"/>
        </w:rPr>
        <w:t>-- TAG-SIB7-STOP</w:t>
      </w:r>
    </w:p>
    <w:p w14:paraId="0E95C9DC" w14:textId="77777777" w:rsidR="00394471" w:rsidRPr="00FA0D37" w:rsidRDefault="00394471" w:rsidP="00FA0D37">
      <w:pPr>
        <w:pStyle w:val="PL"/>
        <w:rPr>
          <w:color w:val="808080"/>
        </w:rPr>
      </w:pPr>
      <w:r w:rsidRPr="00FA0D37">
        <w:rPr>
          <w:color w:val="808080"/>
        </w:rPr>
        <w:t>-- ASN1STOP</w:t>
      </w:r>
    </w:p>
    <w:p w14:paraId="236DC2FB" w14:textId="77777777" w:rsidR="00394471" w:rsidRPr="00FA0D37" w:rsidRDefault="00394471" w:rsidP="00394471">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07FEF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4DDEAA7" w14:textId="77777777" w:rsidR="00394471" w:rsidRPr="00FA0D37" w:rsidRDefault="00394471" w:rsidP="00964CC4">
            <w:pPr>
              <w:pStyle w:val="TAH"/>
              <w:rPr>
                <w:szCs w:val="22"/>
                <w:lang w:eastAsia="en-US"/>
              </w:rPr>
            </w:pPr>
            <w:r w:rsidRPr="00FA0D37">
              <w:rPr>
                <w:i/>
                <w:szCs w:val="22"/>
                <w:lang w:eastAsia="en-US"/>
              </w:rPr>
              <w:t xml:space="preserve">SIB7 </w:t>
            </w:r>
            <w:r w:rsidRPr="00FA0D37">
              <w:rPr>
                <w:szCs w:val="22"/>
                <w:lang w:eastAsia="en-US"/>
              </w:rPr>
              <w:t>field descriptions</w:t>
            </w:r>
          </w:p>
        </w:tc>
      </w:tr>
      <w:tr w:rsidR="005C7FF4" w:rsidRPr="00FA0D37" w14:paraId="25D7FC3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210FE2" w14:textId="77777777" w:rsidR="00394471" w:rsidRPr="00FA0D37" w:rsidRDefault="00394471" w:rsidP="00964CC4">
            <w:pPr>
              <w:pStyle w:val="TAL"/>
              <w:rPr>
                <w:szCs w:val="22"/>
                <w:lang w:eastAsia="en-US"/>
              </w:rPr>
            </w:pPr>
            <w:r w:rsidRPr="00FA0D37">
              <w:rPr>
                <w:b/>
                <w:i/>
                <w:szCs w:val="22"/>
                <w:lang w:eastAsia="en-US"/>
              </w:rPr>
              <w:t>dataCodingScheme</w:t>
            </w:r>
          </w:p>
          <w:p w14:paraId="6A6AFF7B" w14:textId="77777777" w:rsidR="00394471" w:rsidRPr="00FA0D37" w:rsidRDefault="00394471" w:rsidP="00964CC4">
            <w:pPr>
              <w:pStyle w:val="TAL"/>
              <w:rPr>
                <w:szCs w:val="22"/>
                <w:lang w:eastAsia="en-US"/>
              </w:rPr>
            </w:pPr>
            <w:r w:rsidRPr="00FA0D37">
              <w:rPr>
                <w:szCs w:val="22"/>
                <w:lang w:eastAsia="en-US"/>
              </w:rPr>
              <w:t>Identifies the alphabet/coding and the language applied variations of an ETWS notification.</w:t>
            </w:r>
          </w:p>
        </w:tc>
      </w:tr>
      <w:tr w:rsidR="005C7FF4" w:rsidRPr="00FA0D37" w14:paraId="0A51627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F44882" w14:textId="77777777" w:rsidR="00394471" w:rsidRPr="00FA0D37" w:rsidRDefault="00394471" w:rsidP="00964CC4">
            <w:pPr>
              <w:pStyle w:val="TAL"/>
              <w:rPr>
                <w:szCs w:val="22"/>
                <w:lang w:eastAsia="en-US"/>
              </w:rPr>
            </w:pPr>
            <w:r w:rsidRPr="00FA0D37">
              <w:rPr>
                <w:b/>
                <w:i/>
                <w:szCs w:val="22"/>
                <w:lang w:eastAsia="en-US"/>
              </w:rPr>
              <w:t>messageIdentifier</w:t>
            </w:r>
          </w:p>
          <w:p w14:paraId="5B8EA4B4" w14:textId="77777777" w:rsidR="00394471" w:rsidRPr="00FA0D37" w:rsidRDefault="00394471" w:rsidP="00964CC4">
            <w:pPr>
              <w:pStyle w:val="TAL"/>
              <w:rPr>
                <w:szCs w:val="22"/>
                <w:lang w:eastAsia="en-US"/>
              </w:rPr>
            </w:pPr>
            <w:r w:rsidRPr="00FA0D37">
              <w:rPr>
                <w:szCs w:val="22"/>
                <w:lang w:eastAsia="en-US"/>
              </w:rPr>
              <w:t>Identifies the source and type of ETWS notification.</w:t>
            </w:r>
          </w:p>
        </w:tc>
      </w:tr>
      <w:tr w:rsidR="005C7FF4" w:rsidRPr="00FA0D37" w14:paraId="28F74AD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F3A1C61" w14:textId="77777777" w:rsidR="00394471" w:rsidRPr="00FA0D37" w:rsidRDefault="00394471" w:rsidP="00964CC4">
            <w:pPr>
              <w:pStyle w:val="TAL"/>
              <w:rPr>
                <w:szCs w:val="22"/>
                <w:lang w:eastAsia="en-US"/>
              </w:rPr>
            </w:pPr>
            <w:r w:rsidRPr="00FA0D37">
              <w:rPr>
                <w:b/>
                <w:i/>
                <w:szCs w:val="22"/>
                <w:lang w:eastAsia="en-US"/>
              </w:rPr>
              <w:t>serialNumber</w:t>
            </w:r>
          </w:p>
          <w:p w14:paraId="235FB033" w14:textId="77777777" w:rsidR="00394471" w:rsidRPr="00FA0D37" w:rsidRDefault="00394471" w:rsidP="00964CC4">
            <w:pPr>
              <w:pStyle w:val="TAL"/>
              <w:rPr>
                <w:szCs w:val="22"/>
                <w:lang w:eastAsia="en-US"/>
              </w:rPr>
            </w:pPr>
            <w:r w:rsidRPr="00FA0D37">
              <w:rPr>
                <w:szCs w:val="22"/>
                <w:lang w:eastAsia="en-US"/>
              </w:rPr>
              <w:t>Identifies variations of an ETWS notification.</w:t>
            </w:r>
          </w:p>
        </w:tc>
      </w:tr>
      <w:tr w:rsidR="005C7FF4" w:rsidRPr="00FA0D37" w14:paraId="3569535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F5B1F" w14:textId="77777777" w:rsidR="00394471" w:rsidRPr="00FA0D37" w:rsidRDefault="00394471" w:rsidP="00964CC4">
            <w:pPr>
              <w:pStyle w:val="TAL"/>
              <w:rPr>
                <w:szCs w:val="22"/>
                <w:lang w:eastAsia="en-US"/>
              </w:rPr>
            </w:pPr>
            <w:r w:rsidRPr="00FA0D37">
              <w:rPr>
                <w:b/>
                <w:i/>
                <w:szCs w:val="22"/>
                <w:lang w:eastAsia="en-US"/>
              </w:rPr>
              <w:t>warningMessageSegment</w:t>
            </w:r>
          </w:p>
          <w:p w14:paraId="2C578A81" w14:textId="77777777" w:rsidR="00394471" w:rsidRPr="00FA0D37" w:rsidRDefault="00394471" w:rsidP="00964CC4">
            <w:pPr>
              <w:pStyle w:val="TAL"/>
              <w:rPr>
                <w:b/>
                <w:i/>
                <w:szCs w:val="22"/>
                <w:lang w:eastAsia="en-US"/>
              </w:rPr>
            </w:pPr>
            <w:r w:rsidRPr="00FA0D37">
              <w:rPr>
                <w:szCs w:val="22"/>
                <w:lang w:eastAsia="en-US"/>
              </w:rPr>
              <w:t>Carries a segment of the Warning Message Contents IE.</w:t>
            </w:r>
          </w:p>
        </w:tc>
      </w:tr>
      <w:tr w:rsidR="005C7FF4" w:rsidRPr="00FA0D37" w14:paraId="1013663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4AE768A" w14:textId="77777777" w:rsidR="00394471" w:rsidRPr="00FA0D37" w:rsidRDefault="00394471" w:rsidP="00964CC4">
            <w:pPr>
              <w:pStyle w:val="TAL"/>
              <w:rPr>
                <w:szCs w:val="22"/>
                <w:lang w:eastAsia="en-US"/>
              </w:rPr>
            </w:pPr>
            <w:r w:rsidRPr="00FA0D37">
              <w:rPr>
                <w:b/>
                <w:i/>
                <w:szCs w:val="22"/>
                <w:lang w:eastAsia="en-US"/>
              </w:rPr>
              <w:t>warningMessageSegmentNumber</w:t>
            </w:r>
          </w:p>
          <w:p w14:paraId="54064860" w14:textId="77777777" w:rsidR="00394471" w:rsidRPr="00FA0D37" w:rsidRDefault="00394471" w:rsidP="00964CC4">
            <w:pPr>
              <w:pStyle w:val="TAL"/>
              <w:rPr>
                <w:szCs w:val="22"/>
                <w:lang w:eastAsia="en-US"/>
              </w:rPr>
            </w:pPr>
            <w:r w:rsidRPr="00FA0D37">
              <w:rPr>
                <w:szCs w:val="22"/>
                <w:lang w:eastAsia="en-US"/>
              </w:rPr>
              <w:t>Segment number of the ETWS warning message segment contained in the SIB. A segment number of zero corresponds to the first segment, A segment number of one corresponds to the second segment, and so on.</w:t>
            </w:r>
          </w:p>
        </w:tc>
      </w:tr>
      <w:tr w:rsidR="00394471" w:rsidRPr="00FA0D37" w14:paraId="26086F3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450F91" w14:textId="77777777" w:rsidR="00394471" w:rsidRPr="00FA0D37" w:rsidRDefault="00394471" w:rsidP="00964CC4">
            <w:pPr>
              <w:pStyle w:val="TAL"/>
              <w:rPr>
                <w:szCs w:val="22"/>
                <w:lang w:eastAsia="en-US"/>
              </w:rPr>
            </w:pPr>
            <w:r w:rsidRPr="00FA0D37">
              <w:rPr>
                <w:b/>
                <w:i/>
                <w:szCs w:val="22"/>
                <w:lang w:eastAsia="en-US"/>
              </w:rPr>
              <w:t>warningMessageSegmentType</w:t>
            </w:r>
          </w:p>
          <w:p w14:paraId="1B730160" w14:textId="77777777" w:rsidR="00394471" w:rsidRPr="00FA0D37" w:rsidRDefault="00394471" w:rsidP="00964CC4">
            <w:pPr>
              <w:pStyle w:val="TAL"/>
              <w:rPr>
                <w:szCs w:val="22"/>
                <w:lang w:eastAsia="en-US"/>
              </w:rPr>
            </w:pPr>
            <w:r w:rsidRPr="00FA0D37">
              <w:rPr>
                <w:szCs w:val="22"/>
                <w:lang w:eastAsia="en-US"/>
              </w:rPr>
              <w:t>Indicates whether the included ETWS warning message segment is the last segment or not.</w:t>
            </w:r>
          </w:p>
        </w:tc>
      </w:tr>
    </w:tbl>
    <w:p w14:paraId="2C9FFC7B" w14:textId="77777777" w:rsidR="00394471" w:rsidRPr="00FA0D3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2F556B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0A5D08E" w14:textId="77777777" w:rsidR="00394471" w:rsidRPr="00FA0D37" w:rsidRDefault="00394471" w:rsidP="00964CC4">
            <w:pPr>
              <w:pStyle w:val="TAH"/>
              <w:rPr>
                <w:szCs w:val="22"/>
                <w:lang w:eastAsia="en-US"/>
              </w:rPr>
            </w:pPr>
            <w:r w:rsidRPr="00FA0D3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3E9135" w14:textId="77777777" w:rsidR="00394471" w:rsidRPr="00FA0D37" w:rsidRDefault="00394471" w:rsidP="00964CC4">
            <w:pPr>
              <w:pStyle w:val="TAH"/>
              <w:rPr>
                <w:szCs w:val="22"/>
                <w:lang w:eastAsia="en-US"/>
              </w:rPr>
            </w:pPr>
            <w:r w:rsidRPr="00FA0D37">
              <w:rPr>
                <w:szCs w:val="22"/>
                <w:lang w:eastAsia="en-US"/>
              </w:rPr>
              <w:t>Explanation</w:t>
            </w:r>
          </w:p>
        </w:tc>
      </w:tr>
      <w:tr w:rsidR="00394471" w:rsidRPr="00FA0D37" w14:paraId="0ADC43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187778" w14:textId="77777777" w:rsidR="00394471" w:rsidRPr="00FA0D37" w:rsidRDefault="00394471" w:rsidP="00964CC4">
            <w:pPr>
              <w:pStyle w:val="TAL"/>
              <w:rPr>
                <w:i/>
                <w:szCs w:val="22"/>
                <w:lang w:eastAsia="en-US"/>
              </w:rPr>
            </w:pPr>
            <w:r w:rsidRPr="00FA0D3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4AC2389" w14:textId="77777777" w:rsidR="00394471" w:rsidRPr="00FA0D37" w:rsidRDefault="00394471" w:rsidP="00964CC4">
            <w:pPr>
              <w:pStyle w:val="TAL"/>
              <w:rPr>
                <w:szCs w:val="22"/>
                <w:lang w:eastAsia="en-US"/>
              </w:rPr>
            </w:pPr>
            <w:r w:rsidRPr="00FA0D37">
              <w:rPr>
                <w:szCs w:val="22"/>
                <w:lang w:eastAsia="en-US"/>
              </w:rPr>
              <w:t xml:space="preserve">The field is mandatory present in the first segment of </w:t>
            </w:r>
            <w:r w:rsidRPr="00FA0D37">
              <w:rPr>
                <w:i/>
                <w:lang w:eastAsia="sv-SE"/>
              </w:rPr>
              <w:t>SIB7</w:t>
            </w:r>
            <w:r w:rsidRPr="00FA0D37">
              <w:rPr>
                <w:szCs w:val="22"/>
                <w:lang w:eastAsia="en-US"/>
              </w:rPr>
              <w:t>, otherwise it is absent.</w:t>
            </w:r>
          </w:p>
        </w:tc>
      </w:tr>
    </w:tbl>
    <w:p w14:paraId="3F09A0F6" w14:textId="77777777" w:rsidR="00394471" w:rsidRPr="00FA0D37" w:rsidRDefault="00394471" w:rsidP="00394471"/>
    <w:p w14:paraId="6F70DD1F" w14:textId="77777777" w:rsidR="00394471" w:rsidRPr="00FA0D37" w:rsidRDefault="00394471" w:rsidP="00394471">
      <w:pPr>
        <w:pStyle w:val="4"/>
        <w:rPr>
          <w:rFonts w:eastAsia="宋体"/>
          <w:i/>
          <w:noProof/>
        </w:rPr>
      </w:pPr>
      <w:bookmarkStart w:id="769" w:name="_Toc60777147"/>
      <w:bookmarkStart w:id="770" w:name="_Toc146781185"/>
      <w:r w:rsidRPr="00FA0D37">
        <w:rPr>
          <w:rFonts w:eastAsia="宋体"/>
          <w:i/>
        </w:rPr>
        <w:t>–</w:t>
      </w:r>
      <w:r w:rsidRPr="00FA0D37">
        <w:rPr>
          <w:rFonts w:eastAsia="宋体"/>
          <w:i/>
        </w:rPr>
        <w:tab/>
      </w:r>
      <w:r w:rsidRPr="00FA0D37">
        <w:rPr>
          <w:rFonts w:eastAsia="宋体"/>
          <w:i/>
          <w:noProof/>
        </w:rPr>
        <w:t>SIB8</w:t>
      </w:r>
      <w:bookmarkEnd w:id="769"/>
      <w:bookmarkEnd w:id="770"/>
    </w:p>
    <w:p w14:paraId="57DFF3B5" w14:textId="77777777" w:rsidR="00394471" w:rsidRPr="00FA0D37" w:rsidRDefault="00394471" w:rsidP="00394471">
      <w:pPr>
        <w:rPr>
          <w:rFonts w:eastAsia="宋体"/>
        </w:rPr>
      </w:pPr>
      <w:r w:rsidRPr="00FA0D37">
        <w:rPr>
          <w:i/>
          <w:noProof/>
        </w:rPr>
        <w:t>SIB8</w:t>
      </w:r>
      <w:r w:rsidRPr="00FA0D37">
        <w:t xml:space="preserve"> contains a CMAS notification.</w:t>
      </w:r>
    </w:p>
    <w:p w14:paraId="459553ED" w14:textId="77777777" w:rsidR="00394471" w:rsidRPr="00FA0D37" w:rsidRDefault="00394471" w:rsidP="00394471">
      <w:pPr>
        <w:pStyle w:val="TH"/>
        <w:rPr>
          <w:bCs/>
          <w:i/>
          <w:iCs/>
        </w:rPr>
      </w:pPr>
      <w:r w:rsidRPr="00FA0D37">
        <w:rPr>
          <w:bCs/>
          <w:i/>
          <w:iCs/>
          <w:noProof/>
        </w:rPr>
        <w:t xml:space="preserve">SIB8 </w:t>
      </w:r>
      <w:r w:rsidRPr="00FA0D37">
        <w:rPr>
          <w:bCs/>
          <w:iCs/>
          <w:noProof/>
        </w:rPr>
        <w:t>information element</w:t>
      </w:r>
    </w:p>
    <w:p w14:paraId="0CC17787" w14:textId="77777777" w:rsidR="00394471" w:rsidRPr="00FA0D37" w:rsidRDefault="00394471" w:rsidP="00FA0D37">
      <w:pPr>
        <w:pStyle w:val="PL"/>
        <w:rPr>
          <w:color w:val="808080"/>
        </w:rPr>
      </w:pPr>
      <w:r w:rsidRPr="00FA0D37">
        <w:rPr>
          <w:color w:val="808080"/>
        </w:rPr>
        <w:t>-- ASN1START</w:t>
      </w:r>
    </w:p>
    <w:p w14:paraId="75133401" w14:textId="77777777" w:rsidR="00394471" w:rsidRPr="00FA0D37" w:rsidRDefault="00394471" w:rsidP="00FA0D37">
      <w:pPr>
        <w:pStyle w:val="PL"/>
        <w:rPr>
          <w:color w:val="808080"/>
        </w:rPr>
      </w:pPr>
      <w:r w:rsidRPr="00FA0D37">
        <w:rPr>
          <w:color w:val="808080"/>
        </w:rPr>
        <w:t>-- TAG-SIB8-START</w:t>
      </w:r>
    </w:p>
    <w:p w14:paraId="7CBF12E1" w14:textId="77777777" w:rsidR="00394471" w:rsidRPr="00FA0D37" w:rsidRDefault="00394471" w:rsidP="00FA0D37">
      <w:pPr>
        <w:pStyle w:val="PL"/>
      </w:pPr>
    </w:p>
    <w:p w14:paraId="49444024" w14:textId="77777777" w:rsidR="00394471" w:rsidRPr="00FA0D37" w:rsidRDefault="00394471" w:rsidP="00FA0D37">
      <w:pPr>
        <w:pStyle w:val="PL"/>
      </w:pPr>
      <w:r w:rsidRPr="00FA0D37">
        <w:t xml:space="preserve">SIB8 ::=                        </w:t>
      </w:r>
      <w:r w:rsidRPr="00FA0D37">
        <w:rPr>
          <w:color w:val="993366"/>
        </w:rPr>
        <w:t>SEQUENCE</w:t>
      </w:r>
      <w:r w:rsidRPr="00FA0D37">
        <w:t xml:space="preserve"> {</w:t>
      </w:r>
    </w:p>
    <w:p w14:paraId="5A5D8F66" w14:textId="77777777" w:rsidR="00394471" w:rsidRPr="00FA0D37" w:rsidRDefault="00394471" w:rsidP="00FA0D37">
      <w:pPr>
        <w:pStyle w:val="PL"/>
      </w:pPr>
      <w:r w:rsidRPr="00FA0D37">
        <w:t xml:space="preserve">    messageIdentifier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52533297" w14:textId="77777777" w:rsidR="00394471" w:rsidRPr="00FA0D37" w:rsidRDefault="00394471" w:rsidP="00FA0D37">
      <w:pPr>
        <w:pStyle w:val="PL"/>
      </w:pPr>
      <w:r w:rsidRPr="00FA0D37">
        <w:t xml:space="preserve">    serialNumber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5CC8B254" w14:textId="77777777" w:rsidR="00394471" w:rsidRPr="00FA0D37" w:rsidRDefault="00394471" w:rsidP="00FA0D37">
      <w:pPr>
        <w:pStyle w:val="PL"/>
      </w:pPr>
      <w:r w:rsidRPr="00FA0D37">
        <w:t xml:space="preserve">    warningMessageSegmentType       </w:t>
      </w:r>
      <w:r w:rsidRPr="00FA0D37">
        <w:rPr>
          <w:color w:val="993366"/>
        </w:rPr>
        <w:t>ENUMERATED</w:t>
      </w:r>
      <w:r w:rsidRPr="00FA0D37">
        <w:t xml:space="preserve"> {notLastSegment, lastSegment},</w:t>
      </w:r>
    </w:p>
    <w:p w14:paraId="1A6E3ACD" w14:textId="77777777" w:rsidR="00394471" w:rsidRPr="00FA0D37" w:rsidRDefault="00394471" w:rsidP="00FA0D37">
      <w:pPr>
        <w:pStyle w:val="PL"/>
      </w:pPr>
      <w:r w:rsidRPr="00FA0D37">
        <w:t xml:space="preserve">    warningMessageSegmentNumber     </w:t>
      </w:r>
      <w:r w:rsidRPr="00FA0D37">
        <w:rPr>
          <w:color w:val="993366"/>
        </w:rPr>
        <w:t>INTEGER</w:t>
      </w:r>
      <w:r w:rsidRPr="00FA0D37">
        <w:t xml:space="preserve"> (0..63),</w:t>
      </w:r>
    </w:p>
    <w:p w14:paraId="11D28EBC" w14:textId="77777777" w:rsidR="00394471" w:rsidRPr="00FA0D37" w:rsidRDefault="00394471" w:rsidP="00FA0D37">
      <w:pPr>
        <w:pStyle w:val="PL"/>
      </w:pPr>
      <w:r w:rsidRPr="00FA0D37">
        <w:lastRenderedPageBreak/>
        <w:t xml:space="preserve">    warningMessageSegment           </w:t>
      </w:r>
      <w:r w:rsidRPr="00FA0D37">
        <w:rPr>
          <w:color w:val="993366"/>
        </w:rPr>
        <w:t>OCTET</w:t>
      </w:r>
      <w:r w:rsidRPr="00FA0D37">
        <w:t xml:space="preserve"> </w:t>
      </w:r>
      <w:r w:rsidRPr="00FA0D37">
        <w:rPr>
          <w:color w:val="993366"/>
        </w:rPr>
        <w:t>STRING</w:t>
      </w:r>
      <w:r w:rsidRPr="00FA0D37">
        <w:t>,</w:t>
      </w:r>
    </w:p>
    <w:p w14:paraId="55BA87FB" w14:textId="77777777" w:rsidR="00394471" w:rsidRPr="00FA0D37" w:rsidRDefault="00394471" w:rsidP="00FA0D37">
      <w:pPr>
        <w:pStyle w:val="PL"/>
        <w:rPr>
          <w:color w:val="808080"/>
        </w:rPr>
      </w:pPr>
      <w:r w:rsidRPr="00FA0D37">
        <w:t xml:space="preserve">    dataCodingScheme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(1))                         </w:t>
      </w:r>
      <w:r w:rsidRPr="00FA0D37">
        <w:rPr>
          <w:color w:val="993366"/>
        </w:rPr>
        <w:t>OPTIONAL</w:t>
      </w:r>
      <w:r w:rsidRPr="00FA0D37">
        <w:t xml:space="preserve">,   </w:t>
      </w:r>
      <w:r w:rsidRPr="00FA0D37">
        <w:rPr>
          <w:color w:val="808080"/>
        </w:rPr>
        <w:t>-- Cond Segment1</w:t>
      </w:r>
    </w:p>
    <w:p w14:paraId="6FFF7F2C" w14:textId="77777777" w:rsidR="00394471" w:rsidRPr="00FA0D37" w:rsidRDefault="00394471" w:rsidP="00FA0D37">
      <w:pPr>
        <w:pStyle w:val="PL"/>
        <w:rPr>
          <w:color w:val="808080"/>
        </w:rPr>
      </w:pPr>
      <w:r w:rsidRPr="00FA0D37">
        <w:t xml:space="preserve">    warningAreaCoordinatesSegment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 xml:space="preserve">,   </w:t>
      </w:r>
      <w:r w:rsidRPr="00FA0D37">
        <w:rPr>
          <w:color w:val="808080"/>
        </w:rPr>
        <w:t>-- Need R</w:t>
      </w:r>
    </w:p>
    <w:p w14:paraId="37BEB6C4"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A7659BE" w14:textId="77777777" w:rsidR="00394471" w:rsidRPr="00FA0D37" w:rsidRDefault="00394471" w:rsidP="00FA0D37">
      <w:pPr>
        <w:pStyle w:val="PL"/>
      </w:pPr>
      <w:r w:rsidRPr="00FA0D37">
        <w:t xml:space="preserve">    ...</w:t>
      </w:r>
    </w:p>
    <w:p w14:paraId="195D8E04" w14:textId="77777777" w:rsidR="00394471" w:rsidRPr="00FA0D37" w:rsidRDefault="00394471" w:rsidP="00FA0D37">
      <w:pPr>
        <w:pStyle w:val="PL"/>
      </w:pPr>
      <w:r w:rsidRPr="00FA0D37">
        <w:t>}</w:t>
      </w:r>
    </w:p>
    <w:p w14:paraId="351DE793" w14:textId="77777777" w:rsidR="00394471" w:rsidRPr="00FA0D37" w:rsidRDefault="00394471" w:rsidP="00FA0D37">
      <w:pPr>
        <w:pStyle w:val="PL"/>
      </w:pPr>
    </w:p>
    <w:p w14:paraId="5749CE1D" w14:textId="77777777" w:rsidR="00394471" w:rsidRPr="00FA0D37" w:rsidRDefault="00394471" w:rsidP="00FA0D37">
      <w:pPr>
        <w:pStyle w:val="PL"/>
        <w:rPr>
          <w:color w:val="808080"/>
        </w:rPr>
      </w:pPr>
      <w:r w:rsidRPr="00FA0D37">
        <w:rPr>
          <w:color w:val="808080"/>
        </w:rPr>
        <w:t>-- TAG-SIB8-STOP</w:t>
      </w:r>
    </w:p>
    <w:p w14:paraId="457514F6" w14:textId="77777777" w:rsidR="00394471" w:rsidRPr="00FA0D37" w:rsidRDefault="00394471" w:rsidP="00FA0D37">
      <w:pPr>
        <w:pStyle w:val="PL"/>
        <w:rPr>
          <w:color w:val="808080"/>
        </w:rPr>
      </w:pPr>
      <w:r w:rsidRPr="00FA0D37">
        <w:rPr>
          <w:color w:val="808080"/>
        </w:rPr>
        <w:t>-- ASN1STOP</w:t>
      </w:r>
    </w:p>
    <w:p w14:paraId="37B206D2" w14:textId="77777777" w:rsidR="00394471" w:rsidRPr="00FA0D3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1360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BC7DE1" w14:textId="77777777" w:rsidR="00394471" w:rsidRPr="00FA0D37" w:rsidRDefault="00394471" w:rsidP="00964CC4">
            <w:pPr>
              <w:pStyle w:val="TAH"/>
              <w:rPr>
                <w:szCs w:val="22"/>
                <w:lang w:eastAsia="en-US"/>
              </w:rPr>
            </w:pPr>
            <w:r w:rsidRPr="00FA0D37">
              <w:rPr>
                <w:i/>
                <w:szCs w:val="22"/>
                <w:lang w:eastAsia="en-US"/>
              </w:rPr>
              <w:t xml:space="preserve">SIB8 </w:t>
            </w:r>
            <w:r w:rsidRPr="00FA0D37">
              <w:rPr>
                <w:szCs w:val="22"/>
                <w:lang w:eastAsia="en-US"/>
              </w:rPr>
              <w:t>field descriptions</w:t>
            </w:r>
          </w:p>
        </w:tc>
      </w:tr>
      <w:tr w:rsidR="005C7FF4" w:rsidRPr="00FA0D37" w14:paraId="2A8CF3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1B11" w14:textId="77777777" w:rsidR="00394471" w:rsidRPr="00FA0D37" w:rsidRDefault="00394471" w:rsidP="00964CC4">
            <w:pPr>
              <w:pStyle w:val="TAL"/>
              <w:rPr>
                <w:szCs w:val="22"/>
                <w:lang w:eastAsia="en-US"/>
              </w:rPr>
            </w:pPr>
            <w:r w:rsidRPr="00FA0D37">
              <w:rPr>
                <w:b/>
                <w:i/>
                <w:szCs w:val="22"/>
                <w:lang w:eastAsia="en-US"/>
              </w:rPr>
              <w:t>dataCodingScheme</w:t>
            </w:r>
          </w:p>
          <w:p w14:paraId="31371E2A" w14:textId="77777777" w:rsidR="00394471" w:rsidRPr="00FA0D37" w:rsidRDefault="00394471" w:rsidP="00964CC4">
            <w:pPr>
              <w:pStyle w:val="TAL"/>
              <w:rPr>
                <w:szCs w:val="22"/>
                <w:lang w:eastAsia="en-US"/>
              </w:rPr>
            </w:pPr>
            <w:r w:rsidRPr="00FA0D37">
              <w:rPr>
                <w:szCs w:val="22"/>
                <w:lang w:eastAsia="en-US"/>
              </w:rPr>
              <w:t>Identifies the alphabet/coding and the language applied variations of a CMAS notification.</w:t>
            </w:r>
          </w:p>
        </w:tc>
      </w:tr>
      <w:tr w:rsidR="005C7FF4" w:rsidRPr="00FA0D37" w14:paraId="40D319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6903DC" w14:textId="77777777" w:rsidR="00394471" w:rsidRPr="00FA0D37" w:rsidRDefault="00394471" w:rsidP="00964CC4">
            <w:pPr>
              <w:pStyle w:val="TAL"/>
              <w:rPr>
                <w:szCs w:val="22"/>
                <w:lang w:eastAsia="en-US"/>
              </w:rPr>
            </w:pPr>
            <w:r w:rsidRPr="00FA0D37">
              <w:rPr>
                <w:b/>
                <w:i/>
                <w:szCs w:val="22"/>
                <w:lang w:eastAsia="en-US"/>
              </w:rPr>
              <w:t>messageIdentifier</w:t>
            </w:r>
          </w:p>
          <w:p w14:paraId="63C612FB" w14:textId="77777777" w:rsidR="00394471" w:rsidRPr="00FA0D37" w:rsidRDefault="00394471" w:rsidP="00964CC4">
            <w:pPr>
              <w:pStyle w:val="TAL"/>
              <w:rPr>
                <w:szCs w:val="22"/>
                <w:lang w:eastAsia="en-US"/>
              </w:rPr>
            </w:pPr>
            <w:r w:rsidRPr="00FA0D37">
              <w:rPr>
                <w:szCs w:val="22"/>
                <w:lang w:eastAsia="en-US"/>
              </w:rPr>
              <w:t>Identifies the source and type of CMAS notification.</w:t>
            </w:r>
          </w:p>
        </w:tc>
      </w:tr>
      <w:tr w:rsidR="005C7FF4" w:rsidRPr="00FA0D37" w14:paraId="536A53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8FAA2C" w14:textId="77777777" w:rsidR="00394471" w:rsidRPr="00FA0D37" w:rsidRDefault="00394471" w:rsidP="00964CC4">
            <w:pPr>
              <w:pStyle w:val="TAL"/>
              <w:rPr>
                <w:szCs w:val="22"/>
                <w:lang w:eastAsia="en-US"/>
              </w:rPr>
            </w:pPr>
            <w:r w:rsidRPr="00FA0D37">
              <w:rPr>
                <w:b/>
                <w:i/>
                <w:szCs w:val="22"/>
                <w:lang w:eastAsia="en-US"/>
              </w:rPr>
              <w:t>serialNumber</w:t>
            </w:r>
          </w:p>
          <w:p w14:paraId="0B804882" w14:textId="77777777" w:rsidR="00394471" w:rsidRPr="00FA0D37" w:rsidRDefault="00394471" w:rsidP="00964CC4">
            <w:pPr>
              <w:pStyle w:val="TAL"/>
              <w:rPr>
                <w:szCs w:val="22"/>
                <w:lang w:eastAsia="en-US"/>
              </w:rPr>
            </w:pPr>
            <w:r w:rsidRPr="00FA0D37">
              <w:rPr>
                <w:szCs w:val="22"/>
                <w:lang w:eastAsia="en-US"/>
              </w:rPr>
              <w:t>Identifies variations of a CMAS notification.</w:t>
            </w:r>
          </w:p>
        </w:tc>
      </w:tr>
      <w:tr w:rsidR="005C7FF4" w:rsidRPr="00FA0D37" w14:paraId="6D6D0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A0E3D" w14:textId="77777777" w:rsidR="00394471" w:rsidRPr="00FA0D37" w:rsidRDefault="00394471" w:rsidP="00964CC4">
            <w:pPr>
              <w:pStyle w:val="TAL"/>
              <w:rPr>
                <w:szCs w:val="22"/>
                <w:lang w:eastAsia="en-US"/>
              </w:rPr>
            </w:pPr>
            <w:r w:rsidRPr="00FA0D37">
              <w:rPr>
                <w:b/>
                <w:i/>
                <w:szCs w:val="22"/>
                <w:lang w:eastAsia="en-US"/>
              </w:rPr>
              <w:t>warningAreaCoordinatesSegment</w:t>
            </w:r>
          </w:p>
          <w:p w14:paraId="4FA0F893" w14:textId="77777777" w:rsidR="00394471" w:rsidRPr="00FA0D37" w:rsidRDefault="00394471" w:rsidP="00964CC4">
            <w:pPr>
              <w:pStyle w:val="TAL"/>
              <w:rPr>
                <w:szCs w:val="22"/>
                <w:lang w:eastAsia="en-US"/>
              </w:rPr>
            </w:pPr>
            <w:r w:rsidRPr="00FA0D37">
              <w:rPr>
                <w:szCs w:val="22"/>
                <w:lang w:eastAsia="sv-SE"/>
              </w:rPr>
              <w:t xml:space="preserve">If present, </w:t>
            </w:r>
            <w:r w:rsidRPr="00FA0D37">
              <w:rPr>
                <w:szCs w:val="22"/>
                <w:lang w:eastAsia="en-US"/>
              </w:rPr>
              <w:t>carries a segment</w:t>
            </w:r>
            <w:r w:rsidRPr="00FA0D37">
              <w:rPr>
                <w:szCs w:val="22"/>
                <w:lang w:eastAsia="sv-SE"/>
              </w:rPr>
              <w:t>, with one or more octets,</w:t>
            </w:r>
            <w:r w:rsidRPr="00FA0D37">
              <w:rPr>
                <w:szCs w:val="22"/>
                <w:lang w:eastAsia="en-US"/>
              </w:rPr>
              <w:t xml:space="preserve"> of the geographical area where the CMAS warning message is valid as defined in [28]. The first octet of the first </w:t>
            </w:r>
            <w:r w:rsidRPr="00FA0D37">
              <w:rPr>
                <w:i/>
                <w:lang w:eastAsia="sv-SE"/>
              </w:rPr>
              <w:t>warningAreaCoordinatesSegment</w:t>
            </w:r>
            <w:r w:rsidRPr="00FA0D37">
              <w:rPr>
                <w:szCs w:val="22"/>
                <w:lang w:eastAsia="en-US"/>
              </w:rPr>
              <w:t xml:space="preserve"> is equivalent to the first octet of Warning Area Coordinates IE defined in and encoded according to TS 23.041 [29] and so on.</w:t>
            </w:r>
          </w:p>
        </w:tc>
      </w:tr>
      <w:tr w:rsidR="005C7FF4" w:rsidRPr="00FA0D37" w14:paraId="77F099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65DCE5" w14:textId="77777777" w:rsidR="00394471" w:rsidRPr="00FA0D37" w:rsidRDefault="00394471" w:rsidP="00964CC4">
            <w:pPr>
              <w:pStyle w:val="TAL"/>
              <w:rPr>
                <w:szCs w:val="22"/>
                <w:lang w:eastAsia="en-US"/>
              </w:rPr>
            </w:pPr>
            <w:r w:rsidRPr="00FA0D37">
              <w:rPr>
                <w:b/>
                <w:i/>
                <w:szCs w:val="22"/>
                <w:lang w:eastAsia="en-US"/>
              </w:rPr>
              <w:t>warningMessageSegment</w:t>
            </w:r>
          </w:p>
          <w:p w14:paraId="00D7F577" w14:textId="77777777" w:rsidR="00394471" w:rsidRPr="00FA0D37" w:rsidRDefault="00394471" w:rsidP="00964CC4">
            <w:pPr>
              <w:pStyle w:val="TAL"/>
              <w:rPr>
                <w:b/>
                <w:i/>
                <w:szCs w:val="22"/>
                <w:lang w:eastAsia="en-US"/>
              </w:rPr>
            </w:pPr>
            <w:r w:rsidRPr="00FA0D37">
              <w:rPr>
                <w:szCs w:val="22"/>
                <w:lang w:eastAsia="en-US"/>
              </w:rPr>
              <w:t>Carries a segment</w:t>
            </w:r>
            <w:r w:rsidRPr="00FA0D37">
              <w:rPr>
                <w:szCs w:val="22"/>
                <w:lang w:eastAsia="sv-SE"/>
              </w:rPr>
              <w:t>, with one or more octets,</w:t>
            </w:r>
            <w:r w:rsidRPr="00FA0D37">
              <w:rPr>
                <w:szCs w:val="22"/>
                <w:lang w:eastAsia="en-US"/>
              </w:rPr>
              <w:t xml:space="preserve"> of the </w:t>
            </w:r>
            <w:r w:rsidRPr="00FA0D37">
              <w:rPr>
                <w:i/>
                <w:szCs w:val="22"/>
                <w:lang w:eastAsia="en-US"/>
              </w:rPr>
              <w:t>Warning Message Contents</w:t>
            </w:r>
            <w:r w:rsidRPr="00FA0D37">
              <w:rPr>
                <w:szCs w:val="22"/>
                <w:lang w:eastAsia="en-US"/>
              </w:rPr>
              <w:t xml:space="preserve"> IE</w:t>
            </w:r>
            <w:r w:rsidRPr="00FA0D37">
              <w:rPr>
                <w:szCs w:val="22"/>
                <w:lang w:eastAsia="sv-SE"/>
              </w:rPr>
              <w:t xml:space="preserve"> defined in TS 38.413 [42]. The first octet of the </w:t>
            </w:r>
            <w:r w:rsidRPr="00FA0D37">
              <w:rPr>
                <w:i/>
                <w:szCs w:val="22"/>
                <w:lang w:eastAsia="sv-SE"/>
              </w:rPr>
              <w:t>Warning Message Contents</w:t>
            </w:r>
            <w:r w:rsidRPr="00FA0D37">
              <w:rPr>
                <w:szCs w:val="22"/>
                <w:lang w:eastAsia="sv-SE"/>
              </w:rPr>
              <w:t xml:space="preserve"> IE is equivalent to the first octet of the </w:t>
            </w:r>
            <w:r w:rsidRPr="00FA0D37">
              <w:rPr>
                <w:i/>
                <w:szCs w:val="22"/>
                <w:lang w:eastAsia="sv-SE"/>
              </w:rPr>
              <w:t>CB data</w:t>
            </w:r>
            <w:r w:rsidRPr="00FA0D37">
              <w:rPr>
                <w:szCs w:val="22"/>
                <w:lang w:eastAsia="sv-SE"/>
              </w:rPr>
              <w:t xml:space="preserve"> IE defined in and encoded according to TS 23.041 [29], clause 9.4.2.2.5, and so on</w:t>
            </w:r>
            <w:r w:rsidRPr="00FA0D37">
              <w:rPr>
                <w:szCs w:val="22"/>
                <w:lang w:eastAsia="en-US"/>
              </w:rPr>
              <w:t>.</w:t>
            </w:r>
          </w:p>
        </w:tc>
      </w:tr>
      <w:tr w:rsidR="005C7FF4" w:rsidRPr="00FA0D37" w14:paraId="4F47FA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3E3B23" w14:textId="77777777" w:rsidR="00394471" w:rsidRPr="00FA0D37" w:rsidRDefault="00394471" w:rsidP="00964CC4">
            <w:pPr>
              <w:pStyle w:val="TAL"/>
              <w:rPr>
                <w:szCs w:val="22"/>
                <w:lang w:eastAsia="en-US"/>
              </w:rPr>
            </w:pPr>
            <w:r w:rsidRPr="00FA0D37">
              <w:rPr>
                <w:b/>
                <w:i/>
                <w:szCs w:val="22"/>
                <w:lang w:eastAsia="en-US"/>
              </w:rPr>
              <w:t>warningMessageSegmentNumber</w:t>
            </w:r>
          </w:p>
          <w:p w14:paraId="426F9F88" w14:textId="77777777" w:rsidR="00394471" w:rsidRPr="00FA0D37" w:rsidRDefault="00394471" w:rsidP="00964CC4">
            <w:pPr>
              <w:pStyle w:val="TAL"/>
              <w:rPr>
                <w:szCs w:val="22"/>
                <w:lang w:eastAsia="en-US"/>
              </w:rPr>
            </w:pPr>
            <w:r w:rsidRPr="00FA0D37">
              <w:rPr>
                <w:szCs w:val="22"/>
                <w:lang w:eastAsia="en-US"/>
              </w:rPr>
              <w:t>Segment number of the CMAS warning message segment contained in the SIB. A segment number of zero corresponds to the first segment, one corresponds to the second segment, and so on.</w:t>
            </w:r>
            <w:r w:rsidRPr="00FA0D37">
              <w:rPr>
                <w:szCs w:val="22"/>
                <w:lang w:eastAsia="sv-SE"/>
              </w:rPr>
              <w:t xml:space="preserve"> If warning area coordinates are provided for the warning message, then this field applies to both warning message segment and warning area coordinates segment.</w:t>
            </w:r>
          </w:p>
        </w:tc>
      </w:tr>
      <w:tr w:rsidR="00394471" w:rsidRPr="00FA0D37" w14:paraId="0EB951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702E62" w14:textId="77777777" w:rsidR="00394471" w:rsidRPr="00FA0D37" w:rsidRDefault="00394471" w:rsidP="00964CC4">
            <w:pPr>
              <w:pStyle w:val="TAL"/>
              <w:rPr>
                <w:szCs w:val="22"/>
                <w:lang w:eastAsia="en-US"/>
              </w:rPr>
            </w:pPr>
            <w:r w:rsidRPr="00FA0D37">
              <w:rPr>
                <w:b/>
                <w:i/>
                <w:szCs w:val="22"/>
                <w:lang w:eastAsia="en-US"/>
              </w:rPr>
              <w:t>warningMessageSegmentType</w:t>
            </w:r>
          </w:p>
          <w:p w14:paraId="45B01242" w14:textId="77777777" w:rsidR="00394471" w:rsidRPr="00FA0D37" w:rsidRDefault="00394471" w:rsidP="00964CC4">
            <w:pPr>
              <w:pStyle w:val="TAL"/>
              <w:rPr>
                <w:szCs w:val="22"/>
                <w:lang w:eastAsia="en-US"/>
              </w:rPr>
            </w:pPr>
            <w:r w:rsidRPr="00FA0D37">
              <w:rPr>
                <w:szCs w:val="22"/>
                <w:lang w:eastAsia="en-US"/>
              </w:rPr>
              <w:t>Indicates whether the included CMAS warning message segment is the last segment or not.</w:t>
            </w:r>
            <w:r w:rsidRPr="00FA0D37">
              <w:rPr>
                <w:szCs w:val="22"/>
                <w:lang w:eastAsia="sv-SE"/>
              </w:rPr>
              <w:t xml:space="preserve"> If warning area coordinates are provided for the warning message, then this field applies to both warning message segment and warning area coordinates segment.</w:t>
            </w:r>
          </w:p>
        </w:tc>
      </w:tr>
    </w:tbl>
    <w:p w14:paraId="76805D86" w14:textId="77777777" w:rsidR="00394471" w:rsidRPr="00FA0D3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170EF3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90D68A" w14:textId="77777777" w:rsidR="00394471" w:rsidRPr="00FA0D37" w:rsidRDefault="00394471" w:rsidP="00964CC4">
            <w:pPr>
              <w:pStyle w:val="TAH"/>
              <w:rPr>
                <w:szCs w:val="22"/>
                <w:lang w:eastAsia="en-US"/>
              </w:rPr>
            </w:pPr>
            <w:r w:rsidRPr="00FA0D3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834587" w14:textId="77777777" w:rsidR="00394471" w:rsidRPr="00FA0D37" w:rsidRDefault="00394471" w:rsidP="00964CC4">
            <w:pPr>
              <w:pStyle w:val="TAH"/>
              <w:rPr>
                <w:szCs w:val="22"/>
                <w:lang w:eastAsia="en-US"/>
              </w:rPr>
            </w:pPr>
            <w:r w:rsidRPr="00FA0D37">
              <w:rPr>
                <w:szCs w:val="22"/>
                <w:lang w:eastAsia="en-US"/>
              </w:rPr>
              <w:t>Explanation</w:t>
            </w:r>
          </w:p>
        </w:tc>
      </w:tr>
      <w:tr w:rsidR="00394471" w:rsidRPr="00FA0D37" w14:paraId="588291C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AFD709" w14:textId="77777777" w:rsidR="00394471" w:rsidRPr="00FA0D37" w:rsidRDefault="00394471" w:rsidP="00964CC4">
            <w:pPr>
              <w:pStyle w:val="TAL"/>
              <w:rPr>
                <w:i/>
                <w:szCs w:val="22"/>
                <w:lang w:eastAsia="en-US"/>
              </w:rPr>
            </w:pPr>
            <w:r w:rsidRPr="00FA0D3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BD9403E" w14:textId="77777777" w:rsidR="00394471" w:rsidRPr="00FA0D37" w:rsidRDefault="00394471" w:rsidP="00964CC4">
            <w:pPr>
              <w:pStyle w:val="TAL"/>
              <w:rPr>
                <w:szCs w:val="22"/>
                <w:lang w:eastAsia="en-US"/>
              </w:rPr>
            </w:pPr>
            <w:r w:rsidRPr="00FA0D37">
              <w:rPr>
                <w:szCs w:val="22"/>
                <w:lang w:eastAsia="en-US"/>
              </w:rPr>
              <w:t xml:space="preserve">The field is mandatory present in the first segment of </w:t>
            </w:r>
            <w:r w:rsidRPr="00FA0D37">
              <w:rPr>
                <w:i/>
                <w:lang w:eastAsia="sv-SE"/>
              </w:rPr>
              <w:t>SIB8</w:t>
            </w:r>
            <w:r w:rsidRPr="00FA0D37">
              <w:rPr>
                <w:szCs w:val="22"/>
                <w:lang w:eastAsia="en-US"/>
              </w:rPr>
              <w:t>, otherwise it is absent.</w:t>
            </w:r>
          </w:p>
        </w:tc>
      </w:tr>
    </w:tbl>
    <w:p w14:paraId="241F072A" w14:textId="77777777" w:rsidR="00394471" w:rsidRPr="00FA0D37" w:rsidRDefault="00394471" w:rsidP="00394471"/>
    <w:p w14:paraId="55628C81" w14:textId="77777777" w:rsidR="00394471" w:rsidRPr="00FA0D37" w:rsidRDefault="00394471" w:rsidP="00394471">
      <w:pPr>
        <w:pStyle w:val="4"/>
        <w:rPr>
          <w:rFonts w:eastAsia="宋体"/>
          <w:i/>
          <w:noProof/>
        </w:rPr>
      </w:pPr>
      <w:bookmarkStart w:id="771" w:name="_Toc60777148"/>
      <w:bookmarkStart w:id="772" w:name="_Toc146781186"/>
      <w:r w:rsidRPr="00FA0D37">
        <w:rPr>
          <w:rFonts w:eastAsia="宋体"/>
        </w:rPr>
        <w:t>–</w:t>
      </w:r>
      <w:r w:rsidRPr="00FA0D37">
        <w:rPr>
          <w:rFonts w:eastAsia="宋体"/>
        </w:rPr>
        <w:tab/>
      </w:r>
      <w:r w:rsidRPr="00FA0D37">
        <w:rPr>
          <w:rFonts w:eastAsia="宋体"/>
          <w:i/>
          <w:noProof/>
        </w:rPr>
        <w:t>SIB9</w:t>
      </w:r>
      <w:bookmarkEnd w:id="771"/>
      <w:bookmarkEnd w:id="772"/>
    </w:p>
    <w:p w14:paraId="40B51E2F" w14:textId="77777777" w:rsidR="00394471" w:rsidRPr="00FA0D37" w:rsidRDefault="00394471" w:rsidP="00394471">
      <w:pPr>
        <w:rPr>
          <w:rFonts w:eastAsia="宋体"/>
        </w:rPr>
      </w:pPr>
      <w:r w:rsidRPr="00FA0D37">
        <w:rPr>
          <w:i/>
          <w:noProof/>
        </w:rPr>
        <w:t>SIB9</w:t>
      </w:r>
      <w:r w:rsidRPr="00FA0D37">
        <w:t xml:space="preserve"> contains</w:t>
      </w:r>
      <w:r w:rsidRPr="00FA0D37">
        <w:rPr>
          <w:noProof/>
        </w:rPr>
        <w:t xml:space="preserve"> information related to GPS time and Coordinated Universal Time (UTC). The UE may use the parameters provided in this system information block to obtain the UTC, the GPS and the local time.</w:t>
      </w:r>
    </w:p>
    <w:p w14:paraId="7F53CB6F" w14:textId="77777777" w:rsidR="00394471" w:rsidRPr="00FA0D37" w:rsidRDefault="00394471" w:rsidP="00394471">
      <w:pPr>
        <w:pStyle w:val="NO"/>
      </w:pPr>
      <w:r w:rsidRPr="00FA0D37">
        <w:rPr>
          <w:noProof/>
        </w:rPr>
        <w:t>NOTE:</w:t>
      </w:r>
      <w:r w:rsidRPr="00FA0D37">
        <w:rPr>
          <w:noProof/>
        </w:rPr>
        <w:tab/>
        <w:t>The UE may use the time information for numerous purposes, possibly involving upper layers e.g. to assist GPS initialisation, to synchronise the UE clock.</w:t>
      </w:r>
    </w:p>
    <w:p w14:paraId="4CB063C6" w14:textId="77777777" w:rsidR="00394471" w:rsidRPr="00FA0D37" w:rsidRDefault="00394471" w:rsidP="00394471">
      <w:pPr>
        <w:pStyle w:val="TH"/>
        <w:rPr>
          <w:bCs/>
          <w:i/>
          <w:iCs/>
        </w:rPr>
      </w:pPr>
      <w:r w:rsidRPr="00FA0D37">
        <w:rPr>
          <w:bCs/>
          <w:i/>
          <w:iCs/>
          <w:noProof/>
        </w:rPr>
        <w:lastRenderedPageBreak/>
        <w:t xml:space="preserve">SIB9 </w:t>
      </w:r>
      <w:r w:rsidRPr="00FA0D37">
        <w:rPr>
          <w:bCs/>
          <w:iCs/>
          <w:noProof/>
        </w:rPr>
        <w:t>information element</w:t>
      </w:r>
    </w:p>
    <w:p w14:paraId="25F085E9" w14:textId="77777777" w:rsidR="00394471" w:rsidRPr="00FA0D37" w:rsidRDefault="00394471" w:rsidP="00FA0D37">
      <w:pPr>
        <w:pStyle w:val="PL"/>
        <w:rPr>
          <w:color w:val="808080"/>
        </w:rPr>
      </w:pPr>
      <w:r w:rsidRPr="00FA0D37">
        <w:rPr>
          <w:color w:val="808080"/>
        </w:rPr>
        <w:t>-- ASN1START</w:t>
      </w:r>
    </w:p>
    <w:p w14:paraId="174E1377" w14:textId="77777777" w:rsidR="00394471" w:rsidRPr="00FA0D37" w:rsidRDefault="00394471" w:rsidP="00FA0D37">
      <w:pPr>
        <w:pStyle w:val="PL"/>
        <w:rPr>
          <w:color w:val="808080"/>
        </w:rPr>
      </w:pPr>
      <w:r w:rsidRPr="00FA0D37">
        <w:rPr>
          <w:color w:val="808080"/>
        </w:rPr>
        <w:t>-- TAG-SIB9-START</w:t>
      </w:r>
    </w:p>
    <w:p w14:paraId="294D6B36" w14:textId="77777777" w:rsidR="00394471" w:rsidRPr="00FA0D37" w:rsidRDefault="00394471" w:rsidP="00FA0D37">
      <w:pPr>
        <w:pStyle w:val="PL"/>
      </w:pPr>
    </w:p>
    <w:p w14:paraId="1A16CC30" w14:textId="77777777" w:rsidR="00394471" w:rsidRPr="00FA0D37" w:rsidRDefault="00394471" w:rsidP="00FA0D37">
      <w:pPr>
        <w:pStyle w:val="PL"/>
      </w:pPr>
      <w:r w:rsidRPr="00FA0D37">
        <w:t xml:space="preserve">SIB9 ::=                            </w:t>
      </w:r>
      <w:r w:rsidRPr="00FA0D37">
        <w:rPr>
          <w:color w:val="993366"/>
        </w:rPr>
        <w:t>SEQUENCE</w:t>
      </w:r>
      <w:r w:rsidRPr="00FA0D37">
        <w:t xml:space="preserve"> {</w:t>
      </w:r>
    </w:p>
    <w:p w14:paraId="77A4118B" w14:textId="77777777" w:rsidR="00394471" w:rsidRPr="00FA0D37" w:rsidRDefault="00394471" w:rsidP="00FA0D37">
      <w:pPr>
        <w:pStyle w:val="PL"/>
      </w:pPr>
      <w:r w:rsidRPr="00FA0D37">
        <w:t xml:space="preserve">    timeInfo                            </w:t>
      </w:r>
      <w:r w:rsidRPr="00FA0D37">
        <w:rPr>
          <w:color w:val="993366"/>
        </w:rPr>
        <w:t>SEQUENCE</w:t>
      </w:r>
      <w:r w:rsidRPr="00FA0D37">
        <w:t xml:space="preserve"> {</w:t>
      </w:r>
    </w:p>
    <w:p w14:paraId="6C4205F8" w14:textId="77777777" w:rsidR="00394471" w:rsidRPr="00FA0D37" w:rsidRDefault="00394471" w:rsidP="00FA0D37">
      <w:pPr>
        <w:pStyle w:val="PL"/>
      </w:pPr>
      <w:r w:rsidRPr="00FA0D37">
        <w:t xml:space="preserve">        timeInfoUTC                         </w:t>
      </w:r>
      <w:r w:rsidRPr="00FA0D37">
        <w:rPr>
          <w:color w:val="993366"/>
        </w:rPr>
        <w:t>INTEGER</w:t>
      </w:r>
      <w:r w:rsidRPr="00FA0D37">
        <w:t xml:space="preserve"> (0..549755813887),</w:t>
      </w:r>
    </w:p>
    <w:p w14:paraId="3BEBDA54" w14:textId="77777777" w:rsidR="00394471" w:rsidRPr="00FA0D37" w:rsidRDefault="00394471" w:rsidP="00FA0D37">
      <w:pPr>
        <w:pStyle w:val="PL"/>
        <w:rPr>
          <w:color w:val="808080"/>
        </w:rPr>
      </w:pPr>
      <w:r w:rsidRPr="00FA0D37">
        <w:t xml:space="preserve">        dayLightSavingTime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                   </w:t>
      </w:r>
      <w:r w:rsidRPr="00FA0D37">
        <w:rPr>
          <w:color w:val="993366"/>
        </w:rPr>
        <w:t>OPTIONAL</w:t>
      </w:r>
      <w:r w:rsidRPr="00FA0D37">
        <w:t xml:space="preserve">,   </w:t>
      </w:r>
      <w:r w:rsidRPr="00FA0D37">
        <w:rPr>
          <w:color w:val="808080"/>
        </w:rPr>
        <w:t>-- Need R</w:t>
      </w:r>
    </w:p>
    <w:p w14:paraId="62239D42" w14:textId="77777777" w:rsidR="00394471" w:rsidRPr="00FA0D37" w:rsidRDefault="00394471" w:rsidP="00FA0D37">
      <w:pPr>
        <w:pStyle w:val="PL"/>
        <w:rPr>
          <w:color w:val="808080"/>
        </w:rPr>
      </w:pPr>
      <w:r w:rsidRPr="00FA0D37">
        <w:t xml:space="preserve">        leapSeconds                         </w:t>
      </w:r>
      <w:r w:rsidRPr="00FA0D37">
        <w:rPr>
          <w:color w:val="993366"/>
        </w:rPr>
        <w:t>INTEGER</w:t>
      </w:r>
      <w:r w:rsidRPr="00FA0D37">
        <w:t xml:space="preserve"> (-127..128)                     </w:t>
      </w:r>
      <w:r w:rsidRPr="00FA0D37">
        <w:rPr>
          <w:color w:val="993366"/>
        </w:rPr>
        <w:t>OPTIONAL</w:t>
      </w:r>
      <w:r w:rsidRPr="00FA0D37">
        <w:t xml:space="preserve">,   </w:t>
      </w:r>
      <w:r w:rsidRPr="00FA0D37">
        <w:rPr>
          <w:color w:val="808080"/>
        </w:rPr>
        <w:t>-- Need R</w:t>
      </w:r>
    </w:p>
    <w:p w14:paraId="0B54D787" w14:textId="77777777" w:rsidR="00394471" w:rsidRPr="00FA0D37" w:rsidRDefault="00394471" w:rsidP="00FA0D37">
      <w:pPr>
        <w:pStyle w:val="PL"/>
        <w:rPr>
          <w:color w:val="808080"/>
        </w:rPr>
      </w:pPr>
      <w:r w:rsidRPr="00FA0D37">
        <w:t xml:space="preserve">        localTimeOffset                     </w:t>
      </w:r>
      <w:r w:rsidRPr="00FA0D37">
        <w:rPr>
          <w:color w:val="993366"/>
        </w:rPr>
        <w:t>INTEGER</w:t>
      </w:r>
      <w:r w:rsidRPr="00FA0D37">
        <w:t xml:space="preserve"> (-63..64)                       </w:t>
      </w:r>
      <w:r w:rsidRPr="00FA0D37">
        <w:rPr>
          <w:color w:val="993366"/>
        </w:rPr>
        <w:t>OPTIONAL</w:t>
      </w:r>
      <w:r w:rsidRPr="00FA0D37">
        <w:t xml:space="preserve">    </w:t>
      </w:r>
      <w:r w:rsidRPr="00FA0D37">
        <w:rPr>
          <w:color w:val="808080"/>
        </w:rPr>
        <w:t>-- Need R</w:t>
      </w:r>
    </w:p>
    <w:p w14:paraId="50DD14C2"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4C723197"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3E542E6" w14:textId="77777777" w:rsidR="00394471" w:rsidRPr="00FA0D37" w:rsidRDefault="00394471" w:rsidP="00FA0D37">
      <w:pPr>
        <w:pStyle w:val="PL"/>
      </w:pPr>
      <w:r w:rsidRPr="00FA0D37">
        <w:t xml:space="preserve">    ...,</w:t>
      </w:r>
    </w:p>
    <w:p w14:paraId="1D44519D" w14:textId="77777777" w:rsidR="00394471" w:rsidRPr="00FA0D37" w:rsidRDefault="00394471" w:rsidP="00FA0D37">
      <w:pPr>
        <w:pStyle w:val="PL"/>
      </w:pPr>
      <w:r w:rsidRPr="00FA0D37">
        <w:t xml:space="preserve">     [[</w:t>
      </w:r>
    </w:p>
    <w:p w14:paraId="60FBC8A1" w14:textId="77777777" w:rsidR="00394471" w:rsidRPr="00FA0D37" w:rsidRDefault="00394471" w:rsidP="00FA0D37">
      <w:pPr>
        <w:pStyle w:val="PL"/>
        <w:rPr>
          <w:color w:val="808080"/>
        </w:rPr>
      </w:pPr>
      <w:r w:rsidRPr="00FA0D37">
        <w:t xml:space="preserve">    referenceTimeInfo-r16           ReferenceTimeInfo-r16                           </w:t>
      </w:r>
      <w:r w:rsidRPr="00FA0D37">
        <w:rPr>
          <w:color w:val="993366"/>
        </w:rPr>
        <w:t>OPTIONAL</w:t>
      </w:r>
      <w:r w:rsidRPr="00FA0D37">
        <w:t xml:space="preserve">    </w:t>
      </w:r>
      <w:r w:rsidRPr="00FA0D37">
        <w:rPr>
          <w:color w:val="808080"/>
        </w:rPr>
        <w:t>-- Need R</w:t>
      </w:r>
    </w:p>
    <w:p w14:paraId="364CA51A" w14:textId="77777777" w:rsidR="00394471" w:rsidRPr="00FA0D37" w:rsidRDefault="00394471" w:rsidP="00FA0D37">
      <w:pPr>
        <w:pStyle w:val="PL"/>
      </w:pPr>
      <w:r w:rsidRPr="00FA0D37">
        <w:t xml:space="preserve">    ]]</w:t>
      </w:r>
    </w:p>
    <w:p w14:paraId="35669D67" w14:textId="77777777" w:rsidR="00394471" w:rsidRPr="00FA0D37" w:rsidRDefault="00394471" w:rsidP="00FA0D37">
      <w:pPr>
        <w:pStyle w:val="PL"/>
      </w:pPr>
      <w:r w:rsidRPr="00FA0D37">
        <w:t>}</w:t>
      </w:r>
    </w:p>
    <w:p w14:paraId="3CB152C8" w14:textId="77777777" w:rsidR="00394471" w:rsidRPr="00FA0D37" w:rsidRDefault="00394471" w:rsidP="00FA0D37">
      <w:pPr>
        <w:pStyle w:val="PL"/>
      </w:pPr>
    </w:p>
    <w:p w14:paraId="79C19EBD" w14:textId="77777777" w:rsidR="00394471" w:rsidRPr="00FA0D37" w:rsidRDefault="00394471" w:rsidP="00FA0D37">
      <w:pPr>
        <w:pStyle w:val="PL"/>
        <w:rPr>
          <w:color w:val="808080"/>
        </w:rPr>
      </w:pPr>
      <w:r w:rsidRPr="00FA0D37">
        <w:rPr>
          <w:color w:val="808080"/>
        </w:rPr>
        <w:t>-- TAG-SIB9-STOP</w:t>
      </w:r>
    </w:p>
    <w:p w14:paraId="13F3C1EF" w14:textId="77777777" w:rsidR="00394471" w:rsidRPr="00FA0D37" w:rsidRDefault="00394471" w:rsidP="00FA0D37">
      <w:pPr>
        <w:pStyle w:val="PL"/>
        <w:rPr>
          <w:color w:val="808080"/>
        </w:rPr>
      </w:pPr>
      <w:r w:rsidRPr="00FA0D37">
        <w:rPr>
          <w:color w:val="808080"/>
        </w:rPr>
        <w:t>-- ASN1STOP</w:t>
      </w:r>
    </w:p>
    <w:p w14:paraId="09639850" w14:textId="77777777" w:rsidR="00394471" w:rsidRPr="00FA0D3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B95687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D6E82A" w14:textId="77777777" w:rsidR="00394471" w:rsidRPr="00FA0D37" w:rsidRDefault="00394471" w:rsidP="00964CC4">
            <w:pPr>
              <w:pStyle w:val="TAH"/>
              <w:rPr>
                <w:szCs w:val="22"/>
                <w:lang w:eastAsia="en-US"/>
              </w:rPr>
            </w:pPr>
            <w:r w:rsidRPr="00FA0D37">
              <w:rPr>
                <w:i/>
                <w:szCs w:val="22"/>
                <w:lang w:eastAsia="en-US"/>
              </w:rPr>
              <w:t xml:space="preserve">SIB9 </w:t>
            </w:r>
            <w:r w:rsidRPr="00FA0D37">
              <w:rPr>
                <w:szCs w:val="22"/>
                <w:lang w:eastAsia="en-US"/>
              </w:rPr>
              <w:t>field descriptions</w:t>
            </w:r>
          </w:p>
        </w:tc>
      </w:tr>
      <w:tr w:rsidR="005C7FF4" w:rsidRPr="00FA0D37" w14:paraId="78737884"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D4F1C5" w14:textId="77777777" w:rsidR="00394471" w:rsidRPr="00FA0D37" w:rsidRDefault="00394471" w:rsidP="00964CC4">
            <w:pPr>
              <w:pStyle w:val="TAL"/>
              <w:rPr>
                <w:szCs w:val="22"/>
                <w:lang w:eastAsia="en-US"/>
              </w:rPr>
            </w:pPr>
            <w:r w:rsidRPr="00FA0D37">
              <w:rPr>
                <w:b/>
                <w:i/>
                <w:szCs w:val="22"/>
                <w:lang w:eastAsia="en-US"/>
              </w:rPr>
              <w:t>dayLightSavingTime</w:t>
            </w:r>
          </w:p>
          <w:p w14:paraId="4D4C0548" w14:textId="77777777" w:rsidR="00394471" w:rsidRPr="00FA0D37" w:rsidRDefault="00394471" w:rsidP="00964CC4">
            <w:pPr>
              <w:pStyle w:val="TAL"/>
              <w:rPr>
                <w:szCs w:val="22"/>
                <w:lang w:eastAsia="en-US"/>
              </w:rPr>
            </w:pPr>
            <w:r w:rsidRPr="00FA0D37">
              <w:rPr>
                <w:szCs w:val="22"/>
                <w:lang w:eastAsia="en-US"/>
              </w:rPr>
              <w:t>Indicates if and how daylight-saving time (DST) is applied to obtain the local time.</w:t>
            </w:r>
            <w:r w:rsidRPr="00FA0D37">
              <w:rPr>
                <w:szCs w:val="22"/>
                <w:lang w:eastAsia="sv-SE"/>
              </w:rPr>
              <w:t xml:space="preserve"> </w:t>
            </w:r>
            <w:r w:rsidRPr="00FA0D37">
              <w:rPr>
                <w:lang w:eastAsia="sv-SE"/>
              </w:rPr>
              <w:t>The semantics are the same as the semantics of the</w:t>
            </w:r>
            <w:r w:rsidRPr="00FA0D37">
              <w:rPr>
                <w:bCs/>
                <w:i/>
                <w:kern w:val="2"/>
                <w:lang w:eastAsia="sv-SE"/>
              </w:rPr>
              <w:t xml:space="preserve"> Daylight Saving Time</w:t>
            </w:r>
            <w:r w:rsidRPr="00FA0D37">
              <w:rPr>
                <w:lang w:eastAsia="sv-SE"/>
              </w:rPr>
              <w:t xml:space="preserve"> IE in </w:t>
            </w:r>
            <w:r w:rsidRPr="00FA0D37">
              <w:rPr>
                <w:lang w:eastAsia="ko-KR"/>
              </w:rPr>
              <w:t>TS 24.501 [23]</w:t>
            </w:r>
            <w:r w:rsidRPr="00FA0D37">
              <w:rPr>
                <w:lang w:eastAsia="sv-SE"/>
              </w:rPr>
              <w:t xml:space="preserve"> and TS 24.008 [38]. </w:t>
            </w:r>
            <w:r w:rsidRPr="00FA0D37">
              <w:rPr>
                <w:iCs/>
                <w:noProof/>
                <w:lang w:eastAsia="sv-SE"/>
              </w:rPr>
              <w:t>The first/leftmost bit of the bit string contains the b2 of octet 3 and the second bit of the bit string contains b1 of octet 3 in the value part of the</w:t>
            </w:r>
            <w:r w:rsidRPr="00FA0D37">
              <w:rPr>
                <w:lang w:eastAsia="sv-SE"/>
              </w:rPr>
              <w:t xml:space="preserve"> </w:t>
            </w:r>
            <w:r w:rsidRPr="00FA0D37">
              <w:rPr>
                <w:i/>
                <w:iCs/>
                <w:noProof/>
                <w:lang w:eastAsia="sv-SE"/>
              </w:rPr>
              <w:t>Daylight Saving Time</w:t>
            </w:r>
            <w:r w:rsidRPr="00FA0D37">
              <w:rPr>
                <w:iCs/>
                <w:noProof/>
                <w:lang w:eastAsia="sv-SE"/>
              </w:rPr>
              <w:t xml:space="preserve"> IE in </w:t>
            </w:r>
            <w:r w:rsidRPr="00FA0D37">
              <w:rPr>
                <w:lang w:eastAsia="sv-SE"/>
              </w:rPr>
              <w:t>TS 24.008 [38].</w:t>
            </w:r>
          </w:p>
        </w:tc>
      </w:tr>
      <w:tr w:rsidR="005C7FF4" w:rsidRPr="00FA0D37" w14:paraId="610855F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E3463C" w14:textId="77777777" w:rsidR="00394471" w:rsidRPr="00FA0D37" w:rsidRDefault="00394471" w:rsidP="00964CC4">
            <w:pPr>
              <w:pStyle w:val="TAL"/>
              <w:rPr>
                <w:szCs w:val="22"/>
                <w:lang w:eastAsia="en-US"/>
              </w:rPr>
            </w:pPr>
            <w:r w:rsidRPr="00FA0D37">
              <w:rPr>
                <w:b/>
                <w:i/>
                <w:szCs w:val="22"/>
                <w:lang w:eastAsia="en-US"/>
              </w:rPr>
              <w:t>leapSeconds</w:t>
            </w:r>
          </w:p>
          <w:p w14:paraId="2A0A1D07" w14:textId="77777777" w:rsidR="00394471" w:rsidRPr="00FA0D37" w:rsidRDefault="00394471" w:rsidP="00964CC4">
            <w:pPr>
              <w:pStyle w:val="TAL"/>
              <w:rPr>
                <w:szCs w:val="22"/>
                <w:lang w:eastAsia="en-US"/>
              </w:rPr>
            </w:pPr>
            <w:r w:rsidRPr="00FA0D37">
              <w:rPr>
                <w:szCs w:val="22"/>
                <w:lang w:eastAsia="en-US"/>
              </w:rPr>
              <w:t>Number of leap seconds offset between GPS Time and UTC. UTC and GPS time are related i.e. GPS time -leapSeconds = UTC time.</w:t>
            </w:r>
          </w:p>
        </w:tc>
      </w:tr>
      <w:tr w:rsidR="005C7FF4" w:rsidRPr="00FA0D37" w14:paraId="794DB1E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D76B9F" w14:textId="77777777" w:rsidR="00394471" w:rsidRPr="00FA0D37" w:rsidRDefault="00394471" w:rsidP="00964CC4">
            <w:pPr>
              <w:pStyle w:val="TAL"/>
              <w:rPr>
                <w:szCs w:val="22"/>
                <w:lang w:eastAsia="en-US"/>
              </w:rPr>
            </w:pPr>
            <w:r w:rsidRPr="00FA0D37">
              <w:rPr>
                <w:b/>
                <w:i/>
                <w:szCs w:val="22"/>
                <w:lang w:eastAsia="en-US"/>
              </w:rPr>
              <w:t>localTimeOffset</w:t>
            </w:r>
          </w:p>
          <w:p w14:paraId="3E485E12" w14:textId="77777777" w:rsidR="00394471" w:rsidRPr="00FA0D37" w:rsidRDefault="00394471" w:rsidP="00964CC4">
            <w:pPr>
              <w:pStyle w:val="TAL"/>
              <w:rPr>
                <w:szCs w:val="22"/>
                <w:lang w:eastAsia="en-US"/>
              </w:rPr>
            </w:pPr>
            <w:r w:rsidRPr="00FA0D37">
              <w:rPr>
                <w:szCs w:val="22"/>
                <w:lang w:eastAsia="en-US"/>
              </w:rPr>
              <w:t>Offset between UTC and local time in units of 15 minutes. Actual value = field value * 15 minutes. Local time of the day is calculated as UTC time + localTimeOffset.</w:t>
            </w:r>
          </w:p>
        </w:tc>
      </w:tr>
      <w:tr w:rsidR="00394471" w:rsidRPr="00FA0D37" w14:paraId="66369E4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4AFC5B0" w14:textId="77777777" w:rsidR="00394471" w:rsidRPr="00FA0D37" w:rsidRDefault="00394471" w:rsidP="00964CC4">
            <w:pPr>
              <w:pStyle w:val="TAL"/>
              <w:rPr>
                <w:szCs w:val="22"/>
                <w:lang w:eastAsia="en-US"/>
              </w:rPr>
            </w:pPr>
            <w:r w:rsidRPr="00FA0D37">
              <w:rPr>
                <w:b/>
                <w:i/>
                <w:szCs w:val="22"/>
                <w:lang w:eastAsia="en-US"/>
              </w:rPr>
              <w:t>timeInfoUTC</w:t>
            </w:r>
          </w:p>
          <w:p w14:paraId="563FBCB0" w14:textId="77777777" w:rsidR="00394471" w:rsidRPr="00FA0D37" w:rsidRDefault="00394471" w:rsidP="00964CC4">
            <w:pPr>
              <w:pStyle w:val="TAL"/>
              <w:rPr>
                <w:szCs w:val="22"/>
                <w:lang w:eastAsia="en-US"/>
              </w:rPr>
            </w:pPr>
            <w:r w:rsidRPr="00FA0D37">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A0D37">
              <w:rPr>
                <w:i/>
                <w:lang w:eastAsia="sv-SE"/>
              </w:rPr>
              <w:t>timeInfoUTC</w:t>
            </w:r>
            <w:r w:rsidRPr="00FA0D37">
              <w:rPr>
                <w:szCs w:val="22"/>
                <w:lang w:eastAsia="en-US"/>
              </w:rPr>
              <w:t xml:space="preserve"> should neither result in system information change notifications nor in a modification of </w:t>
            </w:r>
            <w:r w:rsidRPr="00FA0D37">
              <w:rPr>
                <w:i/>
                <w:lang w:eastAsia="sv-SE"/>
              </w:rPr>
              <w:t>valueTag</w:t>
            </w:r>
            <w:r w:rsidRPr="00FA0D37">
              <w:rPr>
                <w:szCs w:val="22"/>
                <w:lang w:eastAsia="en-US"/>
              </w:rPr>
              <w:t xml:space="preserve"> in </w:t>
            </w:r>
            <w:r w:rsidRPr="00FA0D37">
              <w:rPr>
                <w:i/>
                <w:lang w:eastAsia="sv-SE"/>
              </w:rPr>
              <w:t>SIB1</w:t>
            </w:r>
            <w:r w:rsidRPr="00FA0D37">
              <w:rPr>
                <w:szCs w:val="22"/>
                <w:lang w:eastAsia="en-US"/>
              </w:rPr>
              <w:t>.</w:t>
            </w:r>
          </w:p>
        </w:tc>
      </w:tr>
    </w:tbl>
    <w:p w14:paraId="5862EAAD" w14:textId="77777777" w:rsidR="00394471" w:rsidRPr="00FA0D37" w:rsidRDefault="00394471" w:rsidP="00394471">
      <w:pPr>
        <w:rPr>
          <w:lang w:eastAsia="en-US"/>
        </w:rPr>
      </w:pPr>
    </w:p>
    <w:p w14:paraId="65D1C35D" w14:textId="77777777" w:rsidR="00394471" w:rsidRPr="00FA0D37" w:rsidRDefault="00394471" w:rsidP="00394471">
      <w:pPr>
        <w:pStyle w:val="NO"/>
      </w:pPr>
      <w:r w:rsidRPr="00FA0D37">
        <w:t>NOTE 1:</w:t>
      </w:r>
      <w:r w:rsidRPr="00FA0D37">
        <w:tab/>
        <w:t xml:space="preserve">The UE may use this field together with the </w:t>
      </w:r>
      <w:r w:rsidRPr="00FA0D37">
        <w:rPr>
          <w:i/>
        </w:rPr>
        <w:t>leapSeconds</w:t>
      </w:r>
      <w:r w:rsidRPr="00FA0D37">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B40C2CB" w14:textId="77777777" w:rsidR="00394471" w:rsidRPr="00FA0D37" w:rsidRDefault="00394471" w:rsidP="00394471">
      <w:pPr>
        <w:pStyle w:val="4"/>
      </w:pPr>
      <w:bookmarkStart w:id="773" w:name="_Toc60777149"/>
      <w:bookmarkStart w:id="774" w:name="_Toc146781187"/>
      <w:r w:rsidRPr="00FA0D37">
        <w:t>–</w:t>
      </w:r>
      <w:r w:rsidRPr="00FA0D37">
        <w:tab/>
      </w:r>
      <w:r w:rsidRPr="00FA0D37">
        <w:rPr>
          <w:i/>
          <w:iCs/>
          <w:lang w:eastAsia="x-none"/>
        </w:rPr>
        <w:t>SIB10</w:t>
      </w:r>
      <w:bookmarkEnd w:id="773"/>
      <w:bookmarkEnd w:id="774"/>
    </w:p>
    <w:p w14:paraId="3E7DB0D3" w14:textId="77777777" w:rsidR="00394471" w:rsidRPr="00FA0D37" w:rsidRDefault="00394471" w:rsidP="00394471">
      <w:r w:rsidRPr="00FA0D37">
        <w:rPr>
          <w:i/>
          <w:noProof/>
        </w:rPr>
        <w:t>SIB10</w:t>
      </w:r>
      <w:r w:rsidRPr="00FA0D37">
        <w:t xml:space="preserve"> contains</w:t>
      </w:r>
      <w:r w:rsidRPr="00FA0D37">
        <w:rPr>
          <w:noProof/>
        </w:rPr>
        <w:t xml:space="preserve"> the HRNNs of the NPNs listed in SIB1.</w:t>
      </w:r>
    </w:p>
    <w:p w14:paraId="76F568A3" w14:textId="77777777" w:rsidR="00394471" w:rsidRPr="00FA0D37" w:rsidRDefault="00394471" w:rsidP="00394471">
      <w:pPr>
        <w:keepNext/>
        <w:keepLines/>
        <w:spacing w:before="60"/>
        <w:jc w:val="center"/>
        <w:rPr>
          <w:rFonts w:ascii="Arial" w:hAnsi="Arial"/>
          <w:b/>
          <w:bCs/>
          <w:i/>
          <w:iCs/>
          <w:lang w:eastAsia="x-none"/>
        </w:rPr>
      </w:pPr>
      <w:r w:rsidRPr="00FA0D37">
        <w:rPr>
          <w:rFonts w:ascii="Arial" w:hAnsi="Arial"/>
          <w:b/>
          <w:bCs/>
          <w:i/>
          <w:iCs/>
          <w:noProof/>
          <w:lang w:eastAsia="x-none"/>
        </w:rPr>
        <w:lastRenderedPageBreak/>
        <w:t xml:space="preserve">SIB10 </w:t>
      </w:r>
      <w:r w:rsidRPr="00FA0D37">
        <w:rPr>
          <w:rFonts w:ascii="Arial" w:hAnsi="Arial"/>
          <w:b/>
          <w:bCs/>
          <w:iCs/>
          <w:noProof/>
          <w:lang w:eastAsia="x-none"/>
        </w:rPr>
        <w:t>information element</w:t>
      </w:r>
    </w:p>
    <w:p w14:paraId="3FBC3B30" w14:textId="77777777" w:rsidR="00394471" w:rsidRPr="00FA0D37" w:rsidRDefault="00394471" w:rsidP="00FA0D37">
      <w:pPr>
        <w:pStyle w:val="PL"/>
        <w:rPr>
          <w:color w:val="808080"/>
        </w:rPr>
      </w:pPr>
      <w:r w:rsidRPr="00FA0D37">
        <w:rPr>
          <w:color w:val="808080"/>
        </w:rPr>
        <w:t>-- ASN1START</w:t>
      </w:r>
    </w:p>
    <w:p w14:paraId="33377196" w14:textId="77777777" w:rsidR="00394471" w:rsidRPr="00FA0D37" w:rsidRDefault="00394471" w:rsidP="00FA0D37">
      <w:pPr>
        <w:pStyle w:val="PL"/>
        <w:rPr>
          <w:color w:val="808080"/>
        </w:rPr>
      </w:pPr>
      <w:r w:rsidRPr="00FA0D37">
        <w:rPr>
          <w:color w:val="808080"/>
        </w:rPr>
        <w:t>-- TAG-SIB10-START</w:t>
      </w:r>
    </w:p>
    <w:p w14:paraId="710D5677" w14:textId="77777777" w:rsidR="00394471" w:rsidRPr="00FA0D37" w:rsidRDefault="00394471" w:rsidP="00FA0D37">
      <w:pPr>
        <w:pStyle w:val="PL"/>
      </w:pPr>
    </w:p>
    <w:p w14:paraId="27BAFE4E" w14:textId="77777777" w:rsidR="00394471" w:rsidRPr="00FA0D37" w:rsidRDefault="00394471" w:rsidP="00FA0D37">
      <w:pPr>
        <w:pStyle w:val="PL"/>
      </w:pPr>
      <w:r w:rsidRPr="00FA0D37">
        <w:t xml:space="preserve">SIB10-r16 ::=               </w:t>
      </w:r>
      <w:r w:rsidRPr="00FA0D37">
        <w:rPr>
          <w:color w:val="993366"/>
        </w:rPr>
        <w:t>SEQUENCE</w:t>
      </w:r>
      <w:r w:rsidRPr="00FA0D37">
        <w:t xml:space="preserve"> {</w:t>
      </w:r>
    </w:p>
    <w:p w14:paraId="4BBABF8A" w14:textId="77777777" w:rsidR="00394471" w:rsidRPr="00FA0D37" w:rsidRDefault="00394471" w:rsidP="00FA0D37">
      <w:pPr>
        <w:pStyle w:val="PL"/>
        <w:rPr>
          <w:color w:val="808080"/>
        </w:rPr>
      </w:pPr>
      <w:r w:rsidRPr="00FA0D37">
        <w:t xml:space="preserve">    hrnn-List-r16               HRNN-List-r16                                   </w:t>
      </w:r>
      <w:r w:rsidRPr="00FA0D37">
        <w:rPr>
          <w:color w:val="993366"/>
        </w:rPr>
        <w:t>OPTIONAL</w:t>
      </w:r>
      <w:r w:rsidRPr="00FA0D37">
        <w:t xml:space="preserve">,   </w:t>
      </w:r>
      <w:r w:rsidRPr="00FA0D37">
        <w:rPr>
          <w:color w:val="808080"/>
        </w:rPr>
        <w:t>-- Need R</w:t>
      </w:r>
    </w:p>
    <w:p w14:paraId="5652FCBB"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8B6657A" w14:textId="77777777" w:rsidR="00394471" w:rsidRPr="00FA0D37" w:rsidRDefault="00394471" w:rsidP="00FA0D37">
      <w:pPr>
        <w:pStyle w:val="PL"/>
      </w:pPr>
      <w:r w:rsidRPr="00FA0D37">
        <w:t xml:space="preserve">    ...</w:t>
      </w:r>
    </w:p>
    <w:p w14:paraId="185FE778" w14:textId="77777777" w:rsidR="00394471" w:rsidRPr="00FA0D37" w:rsidRDefault="00394471" w:rsidP="00FA0D37">
      <w:pPr>
        <w:pStyle w:val="PL"/>
      </w:pPr>
      <w:r w:rsidRPr="00FA0D37">
        <w:t>}</w:t>
      </w:r>
    </w:p>
    <w:p w14:paraId="323F9A85" w14:textId="77777777" w:rsidR="00394471" w:rsidRPr="00FA0D37" w:rsidRDefault="00394471" w:rsidP="00FA0D37">
      <w:pPr>
        <w:pStyle w:val="PL"/>
      </w:pPr>
    </w:p>
    <w:p w14:paraId="4D17B56F" w14:textId="77777777" w:rsidR="00394471" w:rsidRPr="00FA0D37" w:rsidRDefault="00394471" w:rsidP="00FA0D37">
      <w:pPr>
        <w:pStyle w:val="PL"/>
      </w:pPr>
      <w:r w:rsidRPr="00FA0D37">
        <w:t xml:space="preserve">HRNN-List-r16 ::=           </w:t>
      </w:r>
      <w:r w:rsidRPr="00FA0D37">
        <w:rPr>
          <w:color w:val="993366"/>
        </w:rPr>
        <w:t>SEQUENCE</w:t>
      </w:r>
      <w:r w:rsidRPr="00FA0D37">
        <w:t xml:space="preserve"> (</w:t>
      </w:r>
      <w:r w:rsidRPr="00FA0D37">
        <w:rPr>
          <w:color w:val="993366"/>
        </w:rPr>
        <w:t>SIZE</w:t>
      </w:r>
      <w:r w:rsidRPr="00FA0D37">
        <w:t xml:space="preserve"> (1..maxNPN-r16))</w:t>
      </w:r>
      <w:r w:rsidRPr="00FA0D37">
        <w:rPr>
          <w:color w:val="993366"/>
        </w:rPr>
        <w:t xml:space="preserve"> OF</w:t>
      </w:r>
      <w:r w:rsidRPr="00FA0D37">
        <w:t xml:space="preserve"> HRNN-r16</w:t>
      </w:r>
    </w:p>
    <w:p w14:paraId="21984A5A" w14:textId="77777777" w:rsidR="00394471" w:rsidRPr="00FA0D37" w:rsidRDefault="00394471" w:rsidP="00FA0D37">
      <w:pPr>
        <w:pStyle w:val="PL"/>
      </w:pPr>
    </w:p>
    <w:p w14:paraId="6A692F2B" w14:textId="77777777" w:rsidR="00394471" w:rsidRPr="00FA0D37" w:rsidRDefault="00394471" w:rsidP="00FA0D37">
      <w:pPr>
        <w:pStyle w:val="PL"/>
      </w:pPr>
      <w:r w:rsidRPr="00FA0D37">
        <w:t xml:space="preserve">HRNN-r16 ::=                </w:t>
      </w:r>
      <w:r w:rsidRPr="00FA0D37">
        <w:rPr>
          <w:color w:val="993366"/>
        </w:rPr>
        <w:t>SEQUENCE</w:t>
      </w:r>
      <w:r w:rsidRPr="00FA0D37">
        <w:t xml:space="preserve"> {</w:t>
      </w:r>
    </w:p>
    <w:p w14:paraId="6043619B" w14:textId="77777777" w:rsidR="00394471" w:rsidRPr="00FA0D37" w:rsidRDefault="00394471" w:rsidP="00FA0D37">
      <w:pPr>
        <w:pStyle w:val="PL"/>
        <w:rPr>
          <w:color w:val="808080"/>
        </w:rPr>
      </w:pPr>
      <w:r w:rsidRPr="00FA0D37">
        <w:t xml:space="preserve">    hrnn-r16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(1.. maxHRNN-Len-r16))        </w:t>
      </w:r>
      <w:r w:rsidRPr="00FA0D37">
        <w:rPr>
          <w:color w:val="993366"/>
        </w:rPr>
        <w:t>OPTIONAL</w:t>
      </w:r>
      <w:r w:rsidRPr="00FA0D37">
        <w:t xml:space="preserve">   </w:t>
      </w:r>
      <w:r w:rsidRPr="00FA0D37">
        <w:rPr>
          <w:color w:val="808080"/>
        </w:rPr>
        <w:t>-- Need R</w:t>
      </w:r>
    </w:p>
    <w:p w14:paraId="1404611C" w14:textId="77777777" w:rsidR="00394471" w:rsidRPr="00FA0D37" w:rsidRDefault="00394471" w:rsidP="00FA0D37">
      <w:pPr>
        <w:pStyle w:val="PL"/>
      </w:pPr>
      <w:r w:rsidRPr="00FA0D37">
        <w:t>}</w:t>
      </w:r>
    </w:p>
    <w:p w14:paraId="070E34EF" w14:textId="77777777" w:rsidR="00394471" w:rsidRPr="00FA0D37" w:rsidRDefault="00394471" w:rsidP="00FA0D37">
      <w:pPr>
        <w:pStyle w:val="PL"/>
      </w:pPr>
    </w:p>
    <w:p w14:paraId="47116C6C" w14:textId="77777777" w:rsidR="00394471" w:rsidRPr="00FA0D37" w:rsidRDefault="00394471" w:rsidP="00FA0D37">
      <w:pPr>
        <w:pStyle w:val="PL"/>
        <w:rPr>
          <w:color w:val="808080"/>
        </w:rPr>
      </w:pPr>
      <w:r w:rsidRPr="00FA0D37">
        <w:rPr>
          <w:color w:val="808080"/>
        </w:rPr>
        <w:t>-- TAG-SIB10-STOP</w:t>
      </w:r>
    </w:p>
    <w:p w14:paraId="02793C89" w14:textId="77777777" w:rsidR="00394471" w:rsidRPr="00FA0D37" w:rsidRDefault="00394471" w:rsidP="00FA0D37">
      <w:pPr>
        <w:pStyle w:val="PL"/>
        <w:rPr>
          <w:color w:val="808080"/>
        </w:rPr>
      </w:pPr>
      <w:r w:rsidRPr="00FA0D37">
        <w:rPr>
          <w:color w:val="808080"/>
        </w:rPr>
        <w:t>-- ASN1STOP</w:t>
      </w:r>
    </w:p>
    <w:p w14:paraId="00140A52" w14:textId="77777777" w:rsidR="00394471" w:rsidRPr="00FA0D3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5C7FF4" w:rsidRPr="00FA0D37" w14:paraId="7B2FCCDA"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BDCA843" w14:textId="77777777" w:rsidR="00394471" w:rsidRPr="00FA0D37" w:rsidRDefault="00394471" w:rsidP="00964CC4">
            <w:pPr>
              <w:pStyle w:val="TAH"/>
              <w:rPr>
                <w:lang w:eastAsia="sv-SE"/>
              </w:rPr>
            </w:pPr>
            <w:r w:rsidRPr="00FA0D37">
              <w:rPr>
                <w:i/>
                <w:lang w:eastAsia="sv-SE"/>
              </w:rPr>
              <w:t xml:space="preserve">SIB10 </w:t>
            </w:r>
            <w:r w:rsidRPr="00FA0D37">
              <w:rPr>
                <w:lang w:eastAsia="sv-SE"/>
              </w:rPr>
              <w:t>field descriptions</w:t>
            </w:r>
          </w:p>
        </w:tc>
      </w:tr>
      <w:tr w:rsidR="00394471" w:rsidRPr="00FA0D37" w14:paraId="7FD0CB7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3D2B11B" w14:textId="77777777" w:rsidR="00394471" w:rsidRPr="00FA0D37" w:rsidRDefault="00394471" w:rsidP="00964CC4">
            <w:pPr>
              <w:pStyle w:val="TAL"/>
              <w:rPr>
                <w:b/>
                <w:bCs/>
                <w:i/>
                <w:iCs/>
                <w:lang w:eastAsia="x-none"/>
              </w:rPr>
            </w:pPr>
            <w:r w:rsidRPr="00FA0D37">
              <w:rPr>
                <w:b/>
                <w:bCs/>
                <w:i/>
                <w:iCs/>
                <w:lang w:eastAsia="x-none"/>
              </w:rPr>
              <w:t>HRNN-List</w:t>
            </w:r>
          </w:p>
          <w:p w14:paraId="74E13C3C" w14:textId="6F46124D" w:rsidR="00394471" w:rsidRPr="00FA0D37" w:rsidRDefault="00394471" w:rsidP="00964CC4">
            <w:pPr>
              <w:pStyle w:val="TAL"/>
              <w:rPr>
                <w:lang w:eastAsia="sv-SE"/>
              </w:rPr>
            </w:pPr>
            <w:r w:rsidRPr="00FA0D37">
              <w:rPr>
                <w:lang w:eastAsia="sv-SE"/>
              </w:rPr>
              <w:t xml:space="preserve">The same amount of HRNN </w:t>
            </w:r>
            <w:r w:rsidR="00FB04AA" w:rsidRPr="00FA0D37">
              <w:rPr>
                <w:lang w:eastAsia="sv-SE"/>
              </w:rPr>
              <w:t>(</w:t>
            </w:r>
            <w:r w:rsidR="00FB04AA" w:rsidRPr="00FA0D37">
              <w:t>see TS 23.003</w:t>
            </w:r>
            <w:r w:rsidR="00FB04AA" w:rsidRPr="00FA0D37">
              <w:rPr>
                <w:rFonts w:cs="Arial"/>
                <w:lang w:eastAsia="sv-SE"/>
              </w:rPr>
              <w:t xml:space="preserve"> [21]) </w:t>
            </w:r>
            <w:r w:rsidRPr="00FA0D37">
              <w:rPr>
                <w:lang w:eastAsia="sv-SE"/>
              </w:rPr>
              <w:t xml:space="preserve">elements as the number of NPNs in SIB 1 are included. The </w:t>
            </w:r>
            <w:r w:rsidRPr="00FA0D37">
              <w:rPr>
                <w:iCs/>
                <w:lang w:eastAsia="sv-SE"/>
              </w:rPr>
              <w:t>n</w:t>
            </w:r>
            <w:r w:rsidRPr="00FA0D37">
              <w:rPr>
                <w:lang w:eastAsia="sv-SE"/>
              </w:rPr>
              <w:t xml:space="preserve">-th entry of </w:t>
            </w:r>
            <w:r w:rsidRPr="00FA0D37">
              <w:rPr>
                <w:i/>
                <w:lang w:eastAsia="x-none"/>
              </w:rPr>
              <w:t>HRNN-List</w:t>
            </w:r>
            <w:r w:rsidRPr="00FA0D37">
              <w:rPr>
                <w:lang w:eastAsia="sv-SE"/>
              </w:rPr>
              <w:t xml:space="preserve"> contains the human readable network name of the </w:t>
            </w:r>
            <w:r w:rsidRPr="00FA0D37">
              <w:rPr>
                <w:iCs/>
                <w:lang w:eastAsia="sv-SE"/>
              </w:rPr>
              <w:t>n-</w:t>
            </w:r>
            <w:r w:rsidRPr="00FA0D37">
              <w:rPr>
                <w:lang w:eastAsia="sv-SE"/>
              </w:rPr>
              <w:t xml:space="preserve">th NPN of SIB1. The </w:t>
            </w:r>
            <w:r w:rsidRPr="00FA0D37">
              <w:rPr>
                <w:i/>
                <w:iCs/>
              </w:rPr>
              <w:t>hrnn</w:t>
            </w:r>
            <w:r w:rsidRPr="00FA0D37">
              <w:t xml:space="preserve"> in the </w:t>
            </w:r>
            <w:r w:rsidRPr="00FA0D37">
              <w:rPr>
                <w:lang w:eastAsia="sv-SE"/>
              </w:rPr>
              <w:t xml:space="preserve">corresponding entry in </w:t>
            </w:r>
            <w:r w:rsidRPr="00FA0D37">
              <w:rPr>
                <w:i/>
                <w:lang w:eastAsia="x-none"/>
              </w:rPr>
              <w:t>HRNN-List</w:t>
            </w:r>
            <w:r w:rsidRPr="00FA0D37">
              <w:rPr>
                <w:lang w:eastAsia="sv-SE"/>
              </w:rPr>
              <w:t xml:space="preserve"> is absent if there is no HRNN associated with the given NPN.</w:t>
            </w:r>
          </w:p>
        </w:tc>
      </w:tr>
    </w:tbl>
    <w:p w14:paraId="081BB12A" w14:textId="77777777" w:rsidR="00394471" w:rsidRPr="00FA0D37" w:rsidRDefault="00394471" w:rsidP="00394471"/>
    <w:p w14:paraId="29684CA2" w14:textId="77777777" w:rsidR="00394471" w:rsidRPr="00FA0D37" w:rsidRDefault="00394471" w:rsidP="00394471">
      <w:pPr>
        <w:pStyle w:val="4"/>
        <w:rPr>
          <w:rFonts w:eastAsia="宋体"/>
          <w:noProof/>
        </w:rPr>
      </w:pPr>
      <w:bookmarkStart w:id="775" w:name="_Toc60777150"/>
      <w:bookmarkStart w:id="776" w:name="_Toc146781188"/>
      <w:r w:rsidRPr="00FA0D37">
        <w:rPr>
          <w:rFonts w:eastAsia="宋体"/>
        </w:rPr>
        <w:t>–</w:t>
      </w:r>
      <w:r w:rsidRPr="00FA0D37">
        <w:rPr>
          <w:rFonts w:eastAsia="宋体"/>
        </w:rPr>
        <w:tab/>
      </w:r>
      <w:r w:rsidRPr="00FA0D37">
        <w:rPr>
          <w:rFonts w:eastAsia="宋体"/>
          <w:i/>
          <w:iCs/>
          <w:noProof/>
          <w:lang w:eastAsia="x-none"/>
        </w:rPr>
        <w:t>SIB11</w:t>
      </w:r>
      <w:bookmarkEnd w:id="775"/>
      <w:bookmarkEnd w:id="776"/>
    </w:p>
    <w:p w14:paraId="2150BB6B" w14:textId="77777777" w:rsidR="00394471" w:rsidRPr="00FA0D37" w:rsidRDefault="00394471" w:rsidP="00394471">
      <w:pPr>
        <w:rPr>
          <w:rFonts w:eastAsia="宋体"/>
        </w:rPr>
      </w:pPr>
      <w:r w:rsidRPr="00FA0D37">
        <w:rPr>
          <w:i/>
          <w:noProof/>
        </w:rPr>
        <w:t>SIB11</w:t>
      </w:r>
      <w:r w:rsidRPr="00FA0D37">
        <w:t xml:space="preserve"> contains</w:t>
      </w:r>
      <w:r w:rsidRPr="00FA0D37">
        <w:rPr>
          <w:noProof/>
        </w:rPr>
        <w:t xml:space="preserve"> information related to idle/inactive measurements.</w:t>
      </w:r>
    </w:p>
    <w:p w14:paraId="3132C62C" w14:textId="77777777" w:rsidR="00394471" w:rsidRPr="00FA0D37" w:rsidRDefault="00394471" w:rsidP="00394471">
      <w:pPr>
        <w:pStyle w:val="TH"/>
        <w:rPr>
          <w:i/>
        </w:rPr>
      </w:pPr>
      <w:r w:rsidRPr="00FA0D37">
        <w:rPr>
          <w:i/>
          <w:noProof/>
        </w:rPr>
        <w:t xml:space="preserve">SIB11 </w:t>
      </w:r>
      <w:r w:rsidRPr="00FA0D37">
        <w:rPr>
          <w:noProof/>
        </w:rPr>
        <w:t>information element</w:t>
      </w:r>
    </w:p>
    <w:p w14:paraId="03E958B6" w14:textId="77777777" w:rsidR="00394471" w:rsidRPr="00FA0D37" w:rsidRDefault="00394471" w:rsidP="00FA0D37">
      <w:pPr>
        <w:pStyle w:val="PL"/>
        <w:rPr>
          <w:color w:val="808080"/>
        </w:rPr>
      </w:pPr>
      <w:r w:rsidRPr="00FA0D37">
        <w:rPr>
          <w:color w:val="808080"/>
        </w:rPr>
        <w:t>-- ASN1START</w:t>
      </w:r>
    </w:p>
    <w:p w14:paraId="29FCDF9D" w14:textId="77777777" w:rsidR="00394471" w:rsidRPr="00FA0D37" w:rsidRDefault="00394471" w:rsidP="00FA0D37">
      <w:pPr>
        <w:pStyle w:val="PL"/>
        <w:rPr>
          <w:color w:val="808080"/>
        </w:rPr>
      </w:pPr>
      <w:r w:rsidRPr="00FA0D37">
        <w:rPr>
          <w:color w:val="808080"/>
        </w:rPr>
        <w:t>-- TAG-SIB11-START</w:t>
      </w:r>
    </w:p>
    <w:p w14:paraId="651B44ED" w14:textId="77777777" w:rsidR="00394471" w:rsidRPr="00FA0D37" w:rsidRDefault="00394471" w:rsidP="00FA0D37">
      <w:pPr>
        <w:pStyle w:val="PL"/>
      </w:pPr>
    </w:p>
    <w:p w14:paraId="62302F75" w14:textId="77777777" w:rsidR="00394471" w:rsidRPr="00FA0D37" w:rsidRDefault="00394471" w:rsidP="00FA0D37">
      <w:pPr>
        <w:pStyle w:val="PL"/>
      </w:pPr>
      <w:r w:rsidRPr="00FA0D37">
        <w:t xml:space="preserve">SIB11-r16 ::=                    </w:t>
      </w:r>
      <w:r w:rsidRPr="00FA0D37">
        <w:rPr>
          <w:color w:val="993366"/>
        </w:rPr>
        <w:t>SEQUENCE</w:t>
      </w:r>
      <w:r w:rsidRPr="00FA0D37">
        <w:t xml:space="preserve"> {</w:t>
      </w:r>
    </w:p>
    <w:p w14:paraId="6D9982E7" w14:textId="77777777" w:rsidR="00394471" w:rsidRPr="00FA0D37" w:rsidRDefault="00394471" w:rsidP="00FA0D37">
      <w:pPr>
        <w:pStyle w:val="PL"/>
        <w:rPr>
          <w:color w:val="808080"/>
        </w:rPr>
      </w:pPr>
      <w:r w:rsidRPr="00FA0D37">
        <w:t xml:space="preserve">    measIdleConfigSIB-r16            MeasIdleConfigSIB-r16                       </w:t>
      </w:r>
      <w:r w:rsidRPr="00FA0D37">
        <w:rPr>
          <w:color w:val="993366"/>
        </w:rPr>
        <w:t>OPTIONAL</w:t>
      </w:r>
      <w:r w:rsidRPr="00FA0D37">
        <w:t xml:space="preserve">, </w:t>
      </w:r>
      <w:r w:rsidRPr="00FA0D37">
        <w:rPr>
          <w:color w:val="808080"/>
        </w:rPr>
        <w:t>-- Need S</w:t>
      </w:r>
    </w:p>
    <w:p w14:paraId="353FCB3C"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B648540" w14:textId="77777777" w:rsidR="00394471" w:rsidRPr="00FA0D37" w:rsidRDefault="00394471" w:rsidP="00FA0D37">
      <w:pPr>
        <w:pStyle w:val="PL"/>
      </w:pPr>
      <w:r w:rsidRPr="00FA0D37">
        <w:t xml:space="preserve">    ...</w:t>
      </w:r>
    </w:p>
    <w:p w14:paraId="0A58DAE5" w14:textId="77777777" w:rsidR="00394471" w:rsidRPr="00FA0D37" w:rsidRDefault="00394471" w:rsidP="00FA0D37">
      <w:pPr>
        <w:pStyle w:val="PL"/>
      </w:pPr>
      <w:r w:rsidRPr="00FA0D37">
        <w:t>}</w:t>
      </w:r>
    </w:p>
    <w:p w14:paraId="0DD23360" w14:textId="77777777" w:rsidR="00394471" w:rsidRPr="00FA0D37" w:rsidRDefault="00394471" w:rsidP="00FA0D37">
      <w:pPr>
        <w:pStyle w:val="PL"/>
      </w:pPr>
    </w:p>
    <w:p w14:paraId="5409957B" w14:textId="77777777" w:rsidR="00394471" w:rsidRPr="00FA0D37" w:rsidRDefault="00394471" w:rsidP="00FA0D37">
      <w:pPr>
        <w:pStyle w:val="PL"/>
        <w:rPr>
          <w:color w:val="808080"/>
        </w:rPr>
      </w:pPr>
      <w:r w:rsidRPr="00FA0D37">
        <w:rPr>
          <w:color w:val="808080"/>
        </w:rPr>
        <w:t>-- TAG-SIB11-STOP</w:t>
      </w:r>
    </w:p>
    <w:p w14:paraId="0EB884F3" w14:textId="77777777" w:rsidR="00394471" w:rsidRPr="00FA0D37" w:rsidRDefault="00394471" w:rsidP="00FA0D37">
      <w:pPr>
        <w:pStyle w:val="PL"/>
        <w:rPr>
          <w:color w:val="808080"/>
        </w:rPr>
      </w:pPr>
      <w:r w:rsidRPr="00FA0D37">
        <w:rPr>
          <w:color w:val="808080"/>
        </w:rPr>
        <w:t>-- ASN1STOP</w:t>
      </w:r>
    </w:p>
    <w:p w14:paraId="57D11C04" w14:textId="77777777" w:rsidR="00394471" w:rsidRPr="00FA0D3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2AC4A5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2CB912" w14:textId="77777777" w:rsidR="00394471" w:rsidRPr="00FA0D37" w:rsidRDefault="00394471" w:rsidP="00964CC4">
            <w:pPr>
              <w:pStyle w:val="TAH"/>
              <w:rPr>
                <w:lang w:eastAsia="en-GB"/>
              </w:rPr>
            </w:pPr>
            <w:r w:rsidRPr="00FA0D37">
              <w:rPr>
                <w:i/>
                <w:noProof/>
                <w:lang w:eastAsia="en-GB"/>
              </w:rPr>
              <w:lastRenderedPageBreak/>
              <w:t>SIB11</w:t>
            </w:r>
            <w:r w:rsidRPr="00FA0D37">
              <w:rPr>
                <w:iCs/>
                <w:noProof/>
                <w:lang w:eastAsia="en-GB"/>
              </w:rPr>
              <w:t xml:space="preserve"> field descriptions</w:t>
            </w:r>
          </w:p>
        </w:tc>
      </w:tr>
      <w:tr w:rsidR="00394471" w:rsidRPr="00FA0D37" w14:paraId="03DAEED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B4826" w14:textId="77777777" w:rsidR="00394471" w:rsidRPr="00FA0D37" w:rsidRDefault="00394471" w:rsidP="00964CC4">
            <w:pPr>
              <w:pStyle w:val="TAL"/>
              <w:rPr>
                <w:b/>
                <w:bCs/>
                <w:i/>
                <w:noProof/>
                <w:lang w:eastAsia="en-GB"/>
              </w:rPr>
            </w:pPr>
            <w:r w:rsidRPr="00FA0D37">
              <w:rPr>
                <w:b/>
                <w:bCs/>
                <w:i/>
                <w:noProof/>
                <w:lang w:eastAsia="en-GB"/>
              </w:rPr>
              <w:t>measIdleConfigSIB</w:t>
            </w:r>
          </w:p>
          <w:p w14:paraId="2CDBB5D1" w14:textId="77777777" w:rsidR="00394471" w:rsidRPr="00FA0D37" w:rsidRDefault="00394471" w:rsidP="00964CC4">
            <w:pPr>
              <w:pStyle w:val="TAL"/>
              <w:rPr>
                <w:lang w:eastAsia="en-GB"/>
              </w:rPr>
            </w:pPr>
            <w:r w:rsidRPr="00FA0D37">
              <w:rPr>
                <w:bCs/>
                <w:noProof/>
                <w:lang w:eastAsia="en-GB"/>
              </w:rPr>
              <w:t>Indicates measurement configuration to be stored and used by the UE while in RRC_IDLE or RRC_INACTIVE.</w:t>
            </w:r>
          </w:p>
        </w:tc>
      </w:tr>
    </w:tbl>
    <w:p w14:paraId="010A6942" w14:textId="77777777" w:rsidR="00394471" w:rsidRPr="00FA0D37" w:rsidRDefault="00394471" w:rsidP="00394471"/>
    <w:p w14:paraId="0774BBB5" w14:textId="77777777" w:rsidR="00394471" w:rsidRPr="00FA0D37" w:rsidRDefault="00394471" w:rsidP="00394471">
      <w:pPr>
        <w:pStyle w:val="4"/>
        <w:rPr>
          <w:noProof/>
          <w:lang w:eastAsia="zh-CN"/>
        </w:rPr>
      </w:pPr>
      <w:bookmarkStart w:id="777" w:name="_Toc60777151"/>
      <w:bookmarkStart w:id="778" w:name="_Toc146781189"/>
      <w:r w:rsidRPr="00FA0D37">
        <w:t>–</w:t>
      </w:r>
      <w:r w:rsidRPr="00FA0D37">
        <w:tab/>
      </w:r>
      <w:r w:rsidRPr="00FA0D37">
        <w:rPr>
          <w:i/>
          <w:iCs/>
          <w:noProof/>
        </w:rPr>
        <w:t>SIB</w:t>
      </w:r>
      <w:r w:rsidRPr="00FA0D37">
        <w:rPr>
          <w:i/>
          <w:iCs/>
          <w:noProof/>
          <w:lang w:eastAsia="zh-CN"/>
        </w:rPr>
        <w:t>12</w:t>
      </w:r>
      <w:bookmarkEnd w:id="777"/>
      <w:bookmarkEnd w:id="778"/>
    </w:p>
    <w:p w14:paraId="2451C11C" w14:textId="51ACE2B5" w:rsidR="00394471" w:rsidRPr="00FA0D37" w:rsidRDefault="00394471" w:rsidP="00394471">
      <w:r w:rsidRPr="00FA0D37">
        <w:t xml:space="preserve">SIB12 </w:t>
      </w:r>
      <w:r w:rsidRPr="00FA0D37">
        <w:rPr>
          <w:lang w:eastAsia="zh-CN"/>
        </w:rPr>
        <w:t>contains NR sidelink communication</w:t>
      </w:r>
      <w:r w:rsidR="005D44A8" w:rsidRPr="00FA0D37">
        <w:rPr>
          <w:lang w:eastAsia="zh-CN"/>
        </w:rPr>
        <w:t>/discovery</w:t>
      </w:r>
      <w:r w:rsidRPr="00FA0D37">
        <w:rPr>
          <w:lang w:eastAsia="zh-CN"/>
        </w:rPr>
        <w:t xml:space="preserve"> configuration</w:t>
      </w:r>
      <w:r w:rsidRPr="00FA0D37">
        <w:rPr>
          <w:noProof/>
        </w:rPr>
        <w:t>.</w:t>
      </w:r>
    </w:p>
    <w:p w14:paraId="6F6A108B" w14:textId="77777777" w:rsidR="00394471" w:rsidRPr="00FA0D37" w:rsidRDefault="00394471" w:rsidP="00394471">
      <w:pPr>
        <w:pStyle w:val="TH"/>
        <w:rPr>
          <w:i/>
        </w:rPr>
      </w:pPr>
      <w:r w:rsidRPr="00FA0D37">
        <w:rPr>
          <w:i/>
          <w:noProof/>
        </w:rPr>
        <w:t xml:space="preserve">SIB12 </w:t>
      </w:r>
      <w:r w:rsidRPr="00FA0D37">
        <w:rPr>
          <w:noProof/>
        </w:rPr>
        <w:t>information element</w:t>
      </w:r>
    </w:p>
    <w:p w14:paraId="5309A3FC" w14:textId="77777777" w:rsidR="00394471" w:rsidRPr="00FA0D37" w:rsidRDefault="00394471" w:rsidP="00FA0D37">
      <w:pPr>
        <w:pStyle w:val="PL"/>
        <w:rPr>
          <w:color w:val="808080"/>
        </w:rPr>
      </w:pPr>
      <w:r w:rsidRPr="00FA0D37">
        <w:rPr>
          <w:color w:val="808080"/>
        </w:rPr>
        <w:t>-- ASN1START</w:t>
      </w:r>
    </w:p>
    <w:p w14:paraId="33E4E9F7" w14:textId="77777777" w:rsidR="00394471" w:rsidRPr="00FA0D37" w:rsidRDefault="00394471" w:rsidP="00FA0D37">
      <w:pPr>
        <w:pStyle w:val="PL"/>
        <w:rPr>
          <w:color w:val="808080"/>
        </w:rPr>
      </w:pPr>
      <w:r w:rsidRPr="00FA0D37">
        <w:rPr>
          <w:color w:val="808080"/>
        </w:rPr>
        <w:t>-- TAG-SIB12-START</w:t>
      </w:r>
    </w:p>
    <w:p w14:paraId="6FF08663" w14:textId="77777777" w:rsidR="00394471" w:rsidRPr="00FA0D37" w:rsidRDefault="00394471" w:rsidP="00FA0D37">
      <w:pPr>
        <w:pStyle w:val="PL"/>
      </w:pPr>
    </w:p>
    <w:p w14:paraId="7960861D" w14:textId="77777777" w:rsidR="00394471" w:rsidRPr="00FA0D37" w:rsidRDefault="00394471" w:rsidP="00FA0D37">
      <w:pPr>
        <w:pStyle w:val="PL"/>
      </w:pPr>
      <w:r w:rsidRPr="00FA0D37">
        <w:t>SIB12</w:t>
      </w:r>
      <w:r w:rsidRPr="00FA0D37">
        <w:rPr>
          <w:rFonts w:eastAsia="等线"/>
        </w:rPr>
        <w:t>-</w:t>
      </w:r>
      <w:r w:rsidRPr="00FA0D37">
        <w:t xml:space="preserve">r16 ::=                 </w:t>
      </w:r>
      <w:r w:rsidRPr="00FA0D37">
        <w:rPr>
          <w:color w:val="993366"/>
        </w:rPr>
        <w:t>SEQUENCE</w:t>
      </w:r>
      <w:r w:rsidRPr="00FA0D37">
        <w:t xml:space="preserve"> {</w:t>
      </w:r>
    </w:p>
    <w:p w14:paraId="0705F402" w14:textId="77777777" w:rsidR="00394471" w:rsidRPr="00FA0D37" w:rsidRDefault="00394471" w:rsidP="00FA0D37">
      <w:pPr>
        <w:pStyle w:val="PL"/>
      </w:pPr>
      <w:r w:rsidRPr="00FA0D37">
        <w:t xml:space="preserve">    segmentNumber-r16             </w:t>
      </w:r>
      <w:r w:rsidRPr="00FA0D37">
        <w:rPr>
          <w:color w:val="993366"/>
        </w:rPr>
        <w:t>INTEGER</w:t>
      </w:r>
      <w:r w:rsidRPr="00FA0D37">
        <w:t xml:space="preserve"> (0..63),</w:t>
      </w:r>
    </w:p>
    <w:p w14:paraId="0A6EB2BE" w14:textId="77777777" w:rsidR="00394471" w:rsidRPr="00FA0D37" w:rsidRDefault="00394471" w:rsidP="00FA0D37">
      <w:pPr>
        <w:pStyle w:val="PL"/>
      </w:pPr>
      <w:r w:rsidRPr="00FA0D37">
        <w:t xml:space="preserve">    segmentType-r16               </w:t>
      </w:r>
      <w:r w:rsidRPr="00FA0D37">
        <w:rPr>
          <w:color w:val="993366"/>
        </w:rPr>
        <w:t>ENUMERATED</w:t>
      </w:r>
      <w:r w:rsidRPr="00FA0D37">
        <w:t xml:space="preserve"> {notLastSegment, lastSegment},</w:t>
      </w:r>
    </w:p>
    <w:p w14:paraId="53CBD779" w14:textId="77777777" w:rsidR="00394471" w:rsidRPr="00FA0D37" w:rsidRDefault="00394471" w:rsidP="00FA0D37">
      <w:pPr>
        <w:pStyle w:val="PL"/>
      </w:pPr>
      <w:r w:rsidRPr="00FA0D37">
        <w:t xml:space="preserve">    segmentContainer-r16          </w:t>
      </w:r>
      <w:r w:rsidRPr="00FA0D37">
        <w:rPr>
          <w:color w:val="993366"/>
        </w:rPr>
        <w:t>OCTET</w:t>
      </w:r>
      <w:r w:rsidRPr="00FA0D37">
        <w:t xml:space="preserve"> </w:t>
      </w:r>
      <w:r w:rsidRPr="00FA0D37">
        <w:rPr>
          <w:color w:val="993366"/>
        </w:rPr>
        <w:t>STRING</w:t>
      </w:r>
    </w:p>
    <w:p w14:paraId="4E161C7D" w14:textId="77777777" w:rsidR="00394471" w:rsidRPr="00FA0D37" w:rsidRDefault="00394471" w:rsidP="00FA0D37">
      <w:pPr>
        <w:pStyle w:val="PL"/>
      </w:pPr>
      <w:r w:rsidRPr="00FA0D37">
        <w:t>}</w:t>
      </w:r>
    </w:p>
    <w:p w14:paraId="414FD7F4" w14:textId="77777777" w:rsidR="00394471" w:rsidRPr="00FA0D37" w:rsidRDefault="00394471" w:rsidP="00FA0D37">
      <w:pPr>
        <w:pStyle w:val="PL"/>
      </w:pPr>
    </w:p>
    <w:p w14:paraId="2F1C7EBD" w14:textId="77777777" w:rsidR="00394471" w:rsidRPr="00FA0D37" w:rsidRDefault="00394471" w:rsidP="00FA0D37">
      <w:pPr>
        <w:pStyle w:val="PL"/>
      </w:pPr>
      <w:r w:rsidRPr="00FA0D37">
        <w:t xml:space="preserve">SIB12-IEs-r16 ::=             </w:t>
      </w:r>
      <w:r w:rsidRPr="00FA0D37">
        <w:rPr>
          <w:color w:val="993366"/>
        </w:rPr>
        <w:t>SEQUENCE</w:t>
      </w:r>
      <w:r w:rsidRPr="00FA0D37">
        <w:t xml:space="preserve"> {</w:t>
      </w:r>
    </w:p>
    <w:p w14:paraId="7336DCFE" w14:textId="77777777" w:rsidR="00394471" w:rsidRPr="00FA0D37" w:rsidRDefault="00394471" w:rsidP="00FA0D37">
      <w:pPr>
        <w:pStyle w:val="PL"/>
      </w:pPr>
      <w:r w:rsidRPr="00FA0D37">
        <w:t xml:space="preserve">    sl-ConfigCommonNR-r16         SL-ConfigCommonNR-r16,</w:t>
      </w:r>
    </w:p>
    <w:p w14:paraId="1AC8EF4A"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73A69EB9" w14:textId="720FFA20" w:rsidR="00C26E98" w:rsidRPr="00FA0D37" w:rsidRDefault="00394471" w:rsidP="00FA0D37">
      <w:pPr>
        <w:pStyle w:val="PL"/>
      </w:pPr>
      <w:r w:rsidRPr="00FA0D37">
        <w:t xml:space="preserve">    ...</w:t>
      </w:r>
      <w:r w:rsidR="00C26E98" w:rsidRPr="00FA0D37">
        <w:t>,</w:t>
      </w:r>
    </w:p>
    <w:p w14:paraId="5A241BD0" w14:textId="77777777" w:rsidR="00C26E98" w:rsidRPr="00FA0D37" w:rsidRDefault="00C26E98" w:rsidP="00FA0D37">
      <w:pPr>
        <w:pStyle w:val="PL"/>
      </w:pPr>
      <w:r w:rsidRPr="00FA0D37">
        <w:t xml:space="preserve">    [[</w:t>
      </w:r>
    </w:p>
    <w:p w14:paraId="364BD71A" w14:textId="133FD7D6" w:rsidR="00C26E98" w:rsidRPr="00FA0D37" w:rsidRDefault="00C26E98" w:rsidP="00FA0D37">
      <w:pPr>
        <w:pStyle w:val="PL"/>
        <w:rPr>
          <w:color w:val="808080"/>
        </w:rPr>
      </w:pPr>
      <w:r w:rsidRPr="00FA0D37">
        <w:t xml:space="preserve">    sl-DRX-ConfigCommonGC-BC-r17        </w:t>
      </w:r>
      <w:r w:rsidR="002714C6" w:rsidRPr="00FA0D37">
        <w:t xml:space="preserve"> </w:t>
      </w:r>
      <w:r w:rsidRPr="00FA0D37">
        <w:t xml:space="preserve">SL-DRX-ConfigGC-BC-r17                                                </w:t>
      </w:r>
      <w:r w:rsidR="0007748F" w:rsidRPr="00FA0D37">
        <w:t xml:space="preserve"> </w:t>
      </w:r>
      <w:r w:rsidRPr="00FA0D37">
        <w:rPr>
          <w:color w:val="993366"/>
        </w:rPr>
        <w:t>OPTIONAL</w:t>
      </w:r>
      <w:r w:rsidR="00360CB9" w:rsidRPr="00FA0D37">
        <w:t>,</w:t>
      </w:r>
      <w:r w:rsidRPr="00FA0D37">
        <w:t xml:space="preserve">    </w:t>
      </w:r>
      <w:r w:rsidRPr="00FA0D37">
        <w:rPr>
          <w:color w:val="808080"/>
        </w:rPr>
        <w:t>-- Need R</w:t>
      </w:r>
    </w:p>
    <w:p w14:paraId="7853274E" w14:textId="1DDD1470" w:rsidR="00360CB9" w:rsidRPr="00FA0D37" w:rsidRDefault="00360CB9" w:rsidP="00FA0D37">
      <w:pPr>
        <w:pStyle w:val="PL"/>
        <w:rPr>
          <w:color w:val="808080"/>
        </w:rPr>
      </w:pPr>
      <w:r w:rsidRPr="00FA0D37">
        <w:t xml:space="preserve">    sl-D</w:t>
      </w:r>
      <w:r w:rsidRPr="00FA0D37">
        <w:rPr>
          <w:rFonts w:eastAsia="等线"/>
        </w:rPr>
        <w:t>iscConfigCommon-r17</w:t>
      </w:r>
      <w:r w:rsidRPr="00FA0D37">
        <w:t xml:space="preserve">              </w:t>
      </w:r>
      <w:r w:rsidRPr="00FA0D37">
        <w:rPr>
          <w:rFonts w:eastAsia="等线"/>
        </w:rPr>
        <w:t>SL-DiscConfigCommon-r17</w:t>
      </w:r>
      <w:r w:rsidRPr="00FA0D37">
        <w:t xml:space="preserve">                                                </w:t>
      </w:r>
      <w:r w:rsidRPr="00FA0D37">
        <w:rPr>
          <w:color w:val="993366"/>
        </w:rPr>
        <w:t>OPTIONAL</w:t>
      </w:r>
      <w:r w:rsidRPr="00FA0D37">
        <w:t xml:space="preserve">,    </w:t>
      </w:r>
      <w:r w:rsidRPr="00FA0D37">
        <w:rPr>
          <w:color w:val="808080"/>
        </w:rPr>
        <w:t>-- Need R</w:t>
      </w:r>
    </w:p>
    <w:p w14:paraId="2917CEF4" w14:textId="597D10F9" w:rsidR="00360CB9" w:rsidRPr="00FA0D37" w:rsidRDefault="00360CB9" w:rsidP="00FA0D37">
      <w:pPr>
        <w:pStyle w:val="PL"/>
        <w:rPr>
          <w:color w:val="808080"/>
        </w:rPr>
      </w:pPr>
      <w:r w:rsidRPr="00FA0D37">
        <w:t xml:space="preserve">    sl-L2U2N-Relay</w:t>
      </w:r>
      <w:r w:rsidR="005D44A8" w:rsidRPr="00FA0D37">
        <w:rPr>
          <w:rFonts w:eastAsia="等线"/>
        </w:rPr>
        <w:t>-r17</w:t>
      </w:r>
      <w:r w:rsidRPr="00FA0D37">
        <w:t xml:space="preserve">                   </w:t>
      </w:r>
      <w:r w:rsidRPr="00FA0D37">
        <w:rPr>
          <w:color w:val="993366"/>
        </w:rPr>
        <w:t>ENUMERATED</w:t>
      </w:r>
      <w:r w:rsidRPr="00FA0D37">
        <w:t xml:space="preserve"> {</w:t>
      </w:r>
      <w:r w:rsidR="005D44A8" w:rsidRPr="00FA0D37">
        <w:t>enabled</w:t>
      </w:r>
      <w:r w:rsidRPr="00FA0D37">
        <w:t xml:space="preserve">}                                                   </w:t>
      </w:r>
      <w:r w:rsidRPr="00FA0D37">
        <w:rPr>
          <w:color w:val="993366"/>
        </w:rPr>
        <w:t>OPTIONAL</w:t>
      </w:r>
      <w:r w:rsidRPr="00FA0D37">
        <w:t xml:space="preserve">,    </w:t>
      </w:r>
      <w:r w:rsidRPr="00FA0D37">
        <w:rPr>
          <w:color w:val="808080"/>
        </w:rPr>
        <w:t>-- Need R</w:t>
      </w:r>
    </w:p>
    <w:p w14:paraId="116B249C" w14:textId="79FE9FB4" w:rsidR="00360CB9" w:rsidRPr="00FA0D37" w:rsidRDefault="00360CB9" w:rsidP="00FA0D37">
      <w:pPr>
        <w:pStyle w:val="PL"/>
        <w:rPr>
          <w:color w:val="808080"/>
        </w:rPr>
      </w:pPr>
      <w:r w:rsidRPr="00FA0D37">
        <w:t xml:space="preserve">    sl-NonRelayDiscovery</w:t>
      </w:r>
      <w:r w:rsidR="005D44A8" w:rsidRPr="00FA0D37">
        <w:rPr>
          <w:rFonts w:eastAsia="等线"/>
        </w:rPr>
        <w:t>-r17</w:t>
      </w:r>
      <w:r w:rsidRPr="00FA0D37">
        <w:t xml:space="preserve">             </w:t>
      </w:r>
      <w:r w:rsidRPr="00FA0D37">
        <w:rPr>
          <w:color w:val="993366"/>
        </w:rPr>
        <w:t>ENUMERATED</w:t>
      </w:r>
      <w:r w:rsidRPr="00FA0D37">
        <w:t xml:space="preserve"> {</w:t>
      </w:r>
      <w:r w:rsidR="005D44A8" w:rsidRPr="00FA0D37">
        <w:t>enabled</w:t>
      </w:r>
      <w:r w:rsidRPr="00FA0D37">
        <w:t xml:space="preserve">}                                                   </w:t>
      </w:r>
      <w:r w:rsidRPr="00FA0D37">
        <w:rPr>
          <w:color w:val="993366"/>
        </w:rPr>
        <w:t>OPTIONAL</w:t>
      </w:r>
      <w:r w:rsidRPr="00FA0D37">
        <w:t xml:space="preserve">,    </w:t>
      </w:r>
      <w:r w:rsidRPr="00FA0D37">
        <w:rPr>
          <w:color w:val="808080"/>
        </w:rPr>
        <w:t>-- Need R</w:t>
      </w:r>
    </w:p>
    <w:p w14:paraId="56683077" w14:textId="0F998988" w:rsidR="00360CB9" w:rsidRPr="00FA0D37" w:rsidRDefault="00360CB9" w:rsidP="00FA0D37">
      <w:pPr>
        <w:pStyle w:val="PL"/>
        <w:rPr>
          <w:color w:val="808080"/>
        </w:rPr>
      </w:pPr>
      <w:r w:rsidRPr="00FA0D37">
        <w:t xml:space="preserve">    sl-L3U2N-RelayDiscovery</w:t>
      </w:r>
      <w:r w:rsidR="005D44A8" w:rsidRPr="00FA0D37">
        <w:rPr>
          <w:rFonts w:eastAsia="等线"/>
        </w:rPr>
        <w:t>-r17</w:t>
      </w:r>
      <w:r w:rsidRPr="00FA0D37">
        <w:t xml:space="preserve">          </w:t>
      </w:r>
      <w:r w:rsidRPr="00FA0D37">
        <w:rPr>
          <w:color w:val="993366"/>
        </w:rPr>
        <w:t>ENUMERATED</w:t>
      </w:r>
      <w:r w:rsidRPr="00FA0D37">
        <w:t xml:space="preserve"> {</w:t>
      </w:r>
      <w:r w:rsidR="005D44A8" w:rsidRPr="00FA0D37">
        <w:t>enabled</w:t>
      </w:r>
      <w:r w:rsidRPr="00FA0D37">
        <w:t xml:space="preserve">}                                                   </w:t>
      </w:r>
      <w:r w:rsidRPr="00FA0D37">
        <w:rPr>
          <w:color w:val="993366"/>
        </w:rPr>
        <w:t>OPTIONAL</w:t>
      </w:r>
      <w:r w:rsidR="005D44A8" w:rsidRPr="00FA0D37">
        <w:t>,</w:t>
      </w:r>
      <w:r w:rsidRPr="00FA0D37">
        <w:t xml:space="preserve">    </w:t>
      </w:r>
      <w:r w:rsidRPr="00FA0D37">
        <w:rPr>
          <w:color w:val="808080"/>
        </w:rPr>
        <w:t>-- Need R</w:t>
      </w:r>
    </w:p>
    <w:p w14:paraId="70F26353" w14:textId="38C122DE" w:rsidR="005D44A8" w:rsidRPr="00FA0D37" w:rsidRDefault="005D44A8" w:rsidP="00FA0D37">
      <w:pPr>
        <w:pStyle w:val="PL"/>
        <w:rPr>
          <w:color w:val="808080"/>
        </w:rPr>
      </w:pPr>
      <w:r w:rsidRPr="00FA0D37">
        <w:t xml:space="preserve">    sl-TimersAndConstantsRemoteUE-r17    UE-TimersAndConstantsRemoteUE-r17                                      </w:t>
      </w:r>
      <w:r w:rsidRPr="00FA0D37">
        <w:rPr>
          <w:color w:val="993366"/>
        </w:rPr>
        <w:t>OPTIONAL</w:t>
      </w:r>
      <w:r w:rsidRPr="00FA0D37">
        <w:t xml:space="preserve">     </w:t>
      </w:r>
      <w:r w:rsidRPr="00FA0D37">
        <w:rPr>
          <w:color w:val="808080"/>
        </w:rPr>
        <w:t>-- Need R</w:t>
      </w:r>
    </w:p>
    <w:p w14:paraId="2990BCD5" w14:textId="1687C070" w:rsidR="00394471" w:rsidRPr="00FA0D37" w:rsidRDefault="00C26E98" w:rsidP="00FA0D37">
      <w:pPr>
        <w:pStyle w:val="PL"/>
      </w:pPr>
      <w:r w:rsidRPr="00FA0D37">
        <w:t xml:space="preserve">    ]]</w:t>
      </w:r>
    </w:p>
    <w:p w14:paraId="30A8EDC7" w14:textId="77777777" w:rsidR="00394471" w:rsidRPr="00FA0D37" w:rsidRDefault="00394471" w:rsidP="00FA0D37">
      <w:pPr>
        <w:pStyle w:val="PL"/>
      </w:pPr>
      <w:r w:rsidRPr="00FA0D37">
        <w:t>}</w:t>
      </w:r>
    </w:p>
    <w:p w14:paraId="5BB6C02F" w14:textId="77777777" w:rsidR="00394471" w:rsidRPr="00FA0D37" w:rsidRDefault="00394471" w:rsidP="00FA0D37">
      <w:pPr>
        <w:pStyle w:val="PL"/>
      </w:pPr>
    </w:p>
    <w:p w14:paraId="0CF7C390" w14:textId="77777777" w:rsidR="00394471" w:rsidRPr="00FA0D37" w:rsidRDefault="00394471" w:rsidP="00FA0D37">
      <w:pPr>
        <w:pStyle w:val="PL"/>
      </w:pPr>
      <w:r w:rsidRPr="00FA0D37">
        <w:t xml:space="preserve">SL-ConfigCommonNR-r16 ::=        </w:t>
      </w:r>
      <w:r w:rsidRPr="00FA0D37">
        <w:rPr>
          <w:color w:val="993366"/>
        </w:rPr>
        <w:t>SEQUENCE</w:t>
      </w:r>
      <w:r w:rsidRPr="00FA0D37">
        <w:t xml:space="preserve"> {</w:t>
      </w:r>
    </w:p>
    <w:p w14:paraId="181621CA" w14:textId="77777777" w:rsidR="00394471" w:rsidRPr="00FA0D37" w:rsidRDefault="00394471" w:rsidP="00FA0D37">
      <w:pPr>
        <w:pStyle w:val="PL"/>
        <w:rPr>
          <w:color w:val="808080"/>
        </w:rPr>
      </w:pPr>
      <w:r w:rsidRPr="00FA0D37">
        <w:t xml:space="preserve">    sl-FreqInfoList-r16                  </w:t>
      </w:r>
      <w:r w:rsidRPr="00FA0D37">
        <w:rPr>
          <w:color w:val="993366"/>
        </w:rPr>
        <w:t>SEQUENCE</w:t>
      </w:r>
      <w:r w:rsidRPr="00FA0D37">
        <w:t xml:space="preserve"> (</w:t>
      </w:r>
      <w:r w:rsidRPr="00FA0D37">
        <w:rPr>
          <w:color w:val="993366"/>
        </w:rPr>
        <w:t>SIZE</w:t>
      </w:r>
      <w:r w:rsidRPr="00FA0D37">
        <w:t xml:space="preserve"> (1..maxNrofFreqSL-r16))</w:t>
      </w:r>
      <w:r w:rsidRPr="00FA0D37">
        <w:rPr>
          <w:color w:val="993366"/>
        </w:rPr>
        <w:t xml:space="preserve"> OF</w:t>
      </w:r>
      <w:r w:rsidRPr="00FA0D37">
        <w:t xml:space="preserve"> SL-FreqConfigCommon-r16      </w:t>
      </w:r>
      <w:r w:rsidRPr="00FA0D37">
        <w:rPr>
          <w:color w:val="993366"/>
        </w:rPr>
        <w:t>OPTIONAL</w:t>
      </w:r>
      <w:r w:rsidRPr="00FA0D37">
        <w:t xml:space="preserve">,    </w:t>
      </w:r>
      <w:r w:rsidRPr="00FA0D37">
        <w:rPr>
          <w:color w:val="808080"/>
        </w:rPr>
        <w:t>-- Need R</w:t>
      </w:r>
    </w:p>
    <w:p w14:paraId="241AF7E2" w14:textId="77777777" w:rsidR="00394471" w:rsidRPr="00FA0D37" w:rsidRDefault="00394471" w:rsidP="00FA0D37">
      <w:pPr>
        <w:pStyle w:val="PL"/>
        <w:rPr>
          <w:color w:val="808080"/>
        </w:rPr>
      </w:pPr>
      <w:r w:rsidRPr="00FA0D37">
        <w:t xml:space="preserve">    sl-UE-SelectedConfig-r16             SL-UE-SelectedConfig-r16                                               </w:t>
      </w:r>
      <w:r w:rsidRPr="00FA0D37">
        <w:rPr>
          <w:color w:val="993366"/>
        </w:rPr>
        <w:t>OPTIONAL</w:t>
      </w:r>
      <w:r w:rsidRPr="00FA0D37">
        <w:t xml:space="preserve">,    </w:t>
      </w:r>
      <w:r w:rsidRPr="00FA0D37">
        <w:rPr>
          <w:color w:val="808080"/>
        </w:rPr>
        <w:t>-- Need R</w:t>
      </w:r>
    </w:p>
    <w:p w14:paraId="39A4671A" w14:textId="77777777" w:rsidR="00394471" w:rsidRPr="00FA0D37" w:rsidRDefault="00394471" w:rsidP="00FA0D37">
      <w:pPr>
        <w:pStyle w:val="PL"/>
        <w:rPr>
          <w:color w:val="808080"/>
        </w:rPr>
      </w:pPr>
      <w:r w:rsidRPr="00FA0D37">
        <w:t xml:space="preserve">    sl-NR-AnchorCarrierFreqList-r16      SL-NR-AnchorCarrierFreqList-r16                                        </w:t>
      </w:r>
      <w:r w:rsidRPr="00FA0D37">
        <w:rPr>
          <w:color w:val="993366"/>
        </w:rPr>
        <w:t>OPTIONAL</w:t>
      </w:r>
      <w:r w:rsidRPr="00FA0D37">
        <w:t xml:space="preserve">,    </w:t>
      </w:r>
      <w:r w:rsidRPr="00FA0D37">
        <w:rPr>
          <w:color w:val="808080"/>
        </w:rPr>
        <w:t>-- Need R</w:t>
      </w:r>
    </w:p>
    <w:p w14:paraId="73142DA7" w14:textId="77777777" w:rsidR="00394471" w:rsidRPr="00FA0D37" w:rsidRDefault="00394471" w:rsidP="00FA0D37">
      <w:pPr>
        <w:pStyle w:val="PL"/>
        <w:rPr>
          <w:color w:val="808080"/>
        </w:rPr>
      </w:pPr>
      <w:r w:rsidRPr="00FA0D37">
        <w:t xml:space="preserve">    sl-EUTRA-AnchorCarrierFreqList-r16   SL-EUTRA-AnchorCarrierFreqList-r16                                     </w:t>
      </w:r>
      <w:r w:rsidRPr="00FA0D37">
        <w:rPr>
          <w:color w:val="993366"/>
        </w:rPr>
        <w:t>OPTIONAL</w:t>
      </w:r>
      <w:r w:rsidRPr="00FA0D37">
        <w:t xml:space="preserve">,    </w:t>
      </w:r>
      <w:r w:rsidRPr="00FA0D37">
        <w:rPr>
          <w:color w:val="808080"/>
        </w:rPr>
        <w:t>-- Need R</w:t>
      </w:r>
    </w:p>
    <w:p w14:paraId="68285E5F" w14:textId="77777777" w:rsidR="00394471" w:rsidRPr="00FA0D37" w:rsidRDefault="00394471" w:rsidP="00FA0D37">
      <w:pPr>
        <w:pStyle w:val="PL"/>
        <w:rPr>
          <w:color w:val="808080"/>
        </w:rPr>
      </w:pPr>
      <w:r w:rsidRPr="00FA0D37">
        <w:t xml:space="preserve">    sl-RadioBearerConfigList-r16         </w:t>
      </w:r>
      <w:r w:rsidRPr="00FA0D37">
        <w:rPr>
          <w:color w:val="993366"/>
        </w:rPr>
        <w:t>SEQUENCE</w:t>
      </w:r>
      <w:r w:rsidRPr="00FA0D37">
        <w:t xml:space="preserve"> (</w:t>
      </w:r>
      <w:r w:rsidRPr="00FA0D37">
        <w:rPr>
          <w:color w:val="993366"/>
        </w:rPr>
        <w:t>SIZE</w:t>
      </w:r>
      <w:r w:rsidRPr="00FA0D37">
        <w:t xml:space="preserve"> (1..maxNrofSLRB-r16))</w:t>
      </w:r>
      <w:r w:rsidRPr="00FA0D37">
        <w:rPr>
          <w:color w:val="993366"/>
        </w:rPr>
        <w:t xml:space="preserve"> OF</w:t>
      </w:r>
      <w:r w:rsidRPr="00FA0D37">
        <w:t xml:space="preserve"> SL-RadioBearerConfig-r16       </w:t>
      </w:r>
      <w:r w:rsidRPr="00FA0D37">
        <w:rPr>
          <w:color w:val="993366"/>
        </w:rPr>
        <w:t>OPTIONAL</w:t>
      </w:r>
      <w:r w:rsidRPr="00FA0D37">
        <w:t xml:space="preserve">,    </w:t>
      </w:r>
      <w:r w:rsidRPr="00FA0D37">
        <w:rPr>
          <w:color w:val="808080"/>
        </w:rPr>
        <w:t>-- Need R</w:t>
      </w:r>
    </w:p>
    <w:p w14:paraId="6FB94258" w14:textId="77777777" w:rsidR="00394471" w:rsidRPr="00FA0D37" w:rsidRDefault="00394471" w:rsidP="00FA0D37">
      <w:pPr>
        <w:pStyle w:val="PL"/>
        <w:rPr>
          <w:color w:val="808080"/>
        </w:rPr>
      </w:pPr>
      <w:r w:rsidRPr="00FA0D37">
        <w:t xml:space="preserve">    sl-RLC-BearerConfigList-r16          </w:t>
      </w:r>
      <w:r w:rsidRPr="00FA0D37">
        <w:rPr>
          <w:color w:val="993366"/>
        </w:rPr>
        <w:t>SEQUENCE</w:t>
      </w:r>
      <w:r w:rsidRPr="00FA0D37">
        <w:t xml:space="preserve"> (</w:t>
      </w:r>
      <w:r w:rsidRPr="00FA0D37">
        <w:rPr>
          <w:color w:val="993366"/>
        </w:rPr>
        <w:t>SIZE</w:t>
      </w:r>
      <w:r w:rsidRPr="00FA0D37">
        <w:t xml:space="preserve"> (1..maxSL-LCID-r16))</w:t>
      </w:r>
      <w:r w:rsidRPr="00FA0D37">
        <w:rPr>
          <w:color w:val="993366"/>
        </w:rPr>
        <w:t xml:space="preserve"> OF</w:t>
      </w:r>
      <w:r w:rsidRPr="00FA0D37">
        <w:t xml:space="preserve"> SL-RLC-BearerConfig-r16         </w:t>
      </w:r>
      <w:r w:rsidRPr="00FA0D37">
        <w:rPr>
          <w:color w:val="993366"/>
        </w:rPr>
        <w:t>OPTIONAL</w:t>
      </w:r>
      <w:r w:rsidRPr="00FA0D37">
        <w:t xml:space="preserve">,    </w:t>
      </w:r>
      <w:r w:rsidRPr="00FA0D37">
        <w:rPr>
          <w:color w:val="808080"/>
        </w:rPr>
        <w:t>-- Need R</w:t>
      </w:r>
    </w:p>
    <w:p w14:paraId="31331006" w14:textId="77777777" w:rsidR="00394471" w:rsidRPr="00FA0D37" w:rsidRDefault="00394471" w:rsidP="00FA0D37">
      <w:pPr>
        <w:pStyle w:val="PL"/>
        <w:rPr>
          <w:color w:val="808080"/>
        </w:rPr>
      </w:pPr>
      <w:r w:rsidRPr="00FA0D37">
        <w:t xml:space="preserve">    sl-MeasConfigCommon-r16              SL-MeasConfigCommon-r16                                                </w:t>
      </w:r>
      <w:r w:rsidRPr="00FA0D37">
        <w:rPr>
          <w:color w:val="993366"/>
        </w:rPr>
        <w:t>OPTIONAL</w:t>
      </w:r>
      <w:r w:rsidRPr="00FA0D37">
        <w:t xml:space="preserve">,    </w:t>
      </w:r>
      <w:r w:rsidRPr="00FA0D37">
        <w:rPr>
          <w:color w:val="808080"/>
        </w:rPr>
        <w:t>-- Need R</w:t>
      </w:r>
    </w:p>
    <w:p w14:paraId="0EFA78F2" w14:textId="77777777" w:rsidR="00394471" w:rsidRPr="00FA0D37" w:rsidRDefault="00394471" w:rsidP="00FA0D37">
      <w:pPr>
        <w:pStyle w:val="PL"/>
        <w:rPr>
          <w:color w:val="808080"/>
        </w:rPr>
      </w:pPr>
      <w:r w:rsidRPr="00FA0D37">
        <w:t xml:space="preserve">    sl-CSI-Acquisition-r16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39FE8952" w14:textId="77777777" w:rsidR="00394471" w:rsidRPr="00FA0D37" w:rsidRDefault="00394471" w:rsidP="00FA0D37">
      <w:pPr>
        <w:pStyle w:val="PL"/>
        <w:rPr>
          <w:color w:val="808080"/>
        </w:rPr>
      </w:pPr>
      <w:r w:rsidRPr="00FA0D37">
        <w:t xml:space="preserve">    sl-OffsetDFN-r16                     </w:t>
      </w:r>
      <w:r w:rsidRPr="00FA0D37">
        <w:rPr>
          <w:color w:val="993366"/>
        </w:rPr>
        <w:t>INTEGER</w:t>
      </w:r>
      <w:r w:rsidRPr="00FA0D37">
        <w:t xml:space="preserve"> (1..1000)                                                      </w:t>
      </w:r>
      <w:r w:rsidRPr="00FA0D37">
        <w:rPr>
          <w:color w:val="993366"/>
        </w:rPr>
        <w:t>OPTIONAL</w:t>
      </w:r>
      <w:r w:rsidRPr="00FA0D37">
        <w:t xml:space="preserve">,    </w:t>
      </w:r>
      <w:r w:rsidRPr="00FA0D37">
        <w:rPr>
          <w:color w:val="808080"/>
        </w:rPr>
        <w:t>-- Need R</w:t>
      </w:r>
    </w:p>
    <w:p w14:paraId="74E6EB79" w14:textId="77777777" w:rsidR="00394471" w:rsidRPr="00FA0D37" w:rsidRDefault="00394471" w:rsidP="00FA0D37">
      <w:pPr>
        <w:pStyle w:val="PL"/>
        <w:rPr>
          <w:color w:val="808080"/>
        </w:rPr>
      </w:pPr>
      <w:r w:rsidRPr="00FA0D37">
        <w:t xml:space="preserve">    t400-r16                             </w:t>
      </w:r>
      <w:r w:rsidRPr="00FA0D37">
        <w:rPr>
          <w:color w:val="993366"/>
        </w:rPr>
        <w:t>ENUMERATED</w:t>
      </w:r>
      <w:r w:rsidRPr="00FA0D37">
        <w:t xml:space="preserve"> {ms100, ms200, ms300, ms400, ms600, ms1000, ms1500, ms2000} </w:t>
      </w:r>
      <w:r w:rsidRPr="00FA0D37">
        <w:rPr>
          <w:color w:val="993366"/>
        </w:rPr>
        <w:t>OPTIONAL</w:t>
      </w:r>
      <w:r w:rsidRPr="00FA0D37">
        <w:t xml:space="preserve">,    </w:t>
      </w:r>
      <w:r w:rsidRPr="00FA0D37">
        <w:rPr>
          <w:color w:val="808080"/>
        </w:rPr>
        <w:t>-- Need R</w:t>
      </w:r>
    </w:p>
    <w:p w14:paraId="59E4753F" w14:textId="77777777" w:rsidR="00394471" w:rsidRPr="00FA0D37" w:rsidRDefault="00394471" w:rsidP="00FA0D37">
      <w:pPr>
        <w:pStyle w:val="PL"/>
        <w:rPr>
          <w:color w:val="808080"/>
        </w:rPr>
      </w:pPr>
      <w:r w:rsidRPr="00FA0D37">
        <w:t xml:space="preserve">    sl-MaxNumConsecutiveDTX-r16          </w:t>
      </w:r>
      <w:r w:rsidRPr="00FA0D37">
        <w:rPr>
          <w:color w:val="993366"/>
        </w:rPr>
        <w:t>ENUMERATED</w:t>
      </w:r>
      <w:r w:rsidRPr="00FA0D37">
        <w:t xml:space="preserve"> {n1, n2, n3, n4, n6, n8, n16, n32}                          </w:t>
      </w:r>
      <w:r w:rsidRPr="00FA0D37">
        <w:rPr>
          <w:color w:val="993366"/>
        </w:rPr>
        <w:t>OPTIONAL</w:t>
      </w:r>
      <w:r w:rsidRPr="00FA0D37">
        <w:t xml:space="preserve">,    </w:t>
      </w:r>
      <w:r w:rsidRPr="00FA0D37">
        <w:rPr>
          <w:color w:val="808080"/>
        </w:rPr>
        <w:t>-- Need R</w:t>
      </w:r>
    </w:p>
    <w:p w14:paraId="2C72C821" w14:textId="77777777" w:rsidR="00394471" w:rsidRPr="00FA0D37" w:rsidRDefault="00394471" w:rsidP="00FA0D37">
      <w:pPr>
        <w:pStyle w:val="PL"/>
        <w:rPr>
          <w:color w:val="808080"/>
        </w:rPr>
      </w:pPr>
      <w:r w:rsidRPr="00FA0D37">
        <w:t xml:space="preserve">    sl-SSB-PriorityNR-r16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4A747673" w14:textId="77777777" w:rsidR="00394471" w:rsidRPr="00FA0D37" w:rsidRDefault="00394471" w:rsidP="00FA0D37">
      <w:pPr>
        <w:pStyle w:val="PL"/>
      </w:pPr>
      <w:r w:rsidRPr="00FA0D37">
        <w:t>}</w:t>
      </w:r>
    </w:p>
    <w:p w14:paraId="70F0F929" w14:textId="77777777" w:rsidR="00394471" w:rsidRPr="00FA0D37" w:rsidRDefault="00394471" w:rsidP="00FA0D37">
      <w:pPr>
        <w:pStyle w:val="PL"/>
      </w:pPr>
    </w:p>
    <w:p w14:paraId="67937C80" w14:textId="77777777" w:rsidR="00394471" w:rsidRPr="00FA0D37" w:rsidRDefault="00394471" w:rsidP="00FA0D37">
      <w:pPr>
        <w:pStyle w:val="PL"/>
      </w:pPr>
      <w:r w:rsidRPr="00FA0D37">
        <w:lastRenderedPageBreak/>
        <w:t xml:space="preserve">SL-NR-AnchorCarrierFreqList-r16 ::=  </w:t>
      </w:r>
      <w:r w:rsidRPr="00FA0D37">
        <w:rPr>
          <w:color w:val="993366"/>
        </w:rPr>
        <w:t>SEQUENCE</w:t>
      </w:r>
      <w:r w:rsidRPr="00FA0D37">
        <w:t xml:space="preserve"> (</w:t>
      </w:r>
      <w:r w:rsidRPr="00FA0D37">
        <w:rPr>
          <w:color w:val="993366"/>
        </w:rPr>
        <w:t>SIZE</w:t>
      </w:r>
      <w:r w:rsidRPr="00FA0D37">
        <w:t xml:space="preserve"> (1..maxFreqSL-NR-r16))</w:t>
      </w:r>
      <w:r w:rsidRPr="00FA0D37">
        <w:rPr>
          <w:color w:val="993366"/>
        </w:rPr>
        <w:t xml:space="preserve"> OF</w:t>
      </w:r>
      <w:r w:rsidRPr="00FA0D37">
        <w:t xml:space="preserve"> ARFCN-ValueNR</w:t>
      </w:r>
    </w:p>
    <w:p w14:paraId="201C15D7" w14:textId="77777777" w:rsidR="00394471" w:rsidRPr="00FA0D37" w:rsidRDefault="00394471" w:rsidP="00FA0D37">
      <w:pPr>
        <w:pStyle w:val="PL"/>
      </w:pPr>
    </w:p>
    <w:p w14:paraId="707E9CB0" w14:textId="77777777" w:rsidR="00394471" w:rsidRPr="00FA0D37" w:rsidRDefault="00394471" w:rsidP="00FA0D37">
      <w:pPr>
        <w:pStyle w:val="PL"/>
      </w:pPr>
      <w:r w:rsidRPr="00FA0D37">
        <w:t xml:space="preserve">SL-EUTRA-AnchorCarrierFreqList-r16 ::= </w:t>
      </w:r>
      <w:r w:rsidRPr="00FA0D37">
        <w:rPr>
          <w:color w:val="993366"/>
        </w:rPr>
        <w:t>SEQUENCE</w:t>
      </w:r>
      <w:r w:rsidRPr="00FA0D37">
        <w:t xml:space="preserve"> (</w:t>
      </w:r>
      <w:r w:rsidRPr="00FA0D37">
        <w:rPr>
          <w:color w:val="993366"/>
        </w:rPr>
        <w:t>SIZE</w:t>
      </w:r>
      <w:r w:rsidRPr="00FA0D37">
        <w:t xml:space="preserve"> (1..maxFreqSL-EUTRA-r16))</w:t>
      </w:r>
      <w:r w:rsidRPr="00FA0D37">
        <w:rPr>
          <w:color w:val="993366"/>
        </w:rPr>
        <w:t xml:space="preserve"> OF</w:t>
      </w:r>
      <w:r w:rsidRPr="00FA0D37">
        <w:t xml:space="preserve"> ARFCN-ValueEUTRA</w:t>
      </w:r>
    </w:p>
    <w:p w14:paraId="78AE5487" w14:textId="77777777" w:rsidR="00360CB9" w:rsidRPr="00FA0D37" w:rsidRDefault="00360CB9" w:rsidP="00FA0D37">
      <w:pPr>
        <w:pStyle w:val="PL"/>
      </w:pPr>
    </w:p>
    <w:p w14:paraId="7164E27D" w14:textId="6159A031" w:rsidR="00360CB9" w:rsidRPr="00FA0D37" w:rsidRDefault="00360CB9" w:rsidP="00FA0D37">
      <w:pPr>
        <w:pStyle w:val="PL"/>
      </w:pPr>
      <w:r w:rsidRPr="00FA0D37">
        <w:t xml:space="preserve">SL-DiscConfigCommon-r17 ::=   </w:t>
      </w:r>
      <w:r w:rsidRPr="00FA0D37">
        <w:rPr>
          <w:color w:val="993366"/>
        </w:rPr>
        <w:t>SEQUENCE</w:t>
      </w:r>
      <w:r w:rsidRPr="00FA0D37">
        <w:t xml:space="preserve"> {</w:t>
      </w:r>
    </w:p>
    <w:p w14:paraId="4651D217" w14:textId="3F74CEA1" w:rsidR="00360CB9" w:rsidRPr="00FA0D37" w:rsidRDefault="00360CB9" w:rsidP="00FA0D37">
      <w:pPr>
        <w:pStyle w:val="PL"/>
      </w:pPr>
      <w:r w:rsidRPr="00FA0D37">
        <w:t xml:space="preserve">    sl-RelayUE-ConfigCommon-r17   SL-RelayUE-Config-r17,</w:t>
      </w:r>
    </w:p>
    <w:p w14:paraId="4BF59FC9" w14:textId="7E1B215F" w:rsidR="00360CB9" w:rsidRPr="00FA0D37" w:rsidRDefault="00360CB9" w:rsidP="00FA0D37">
      <w:pPr>
        <w:pStyle w:val="PL"/>
      </w:pPr>
      <w:r w:rsidRPr="00FA0D37">
        <w:t xml:space="preserve">    sl-RemoteUE-ConfigCommon-r17  SL-RemoteUE-Config-r17</w:t>
      </w:r>
    </w:p>
    <w:p w14:paraId="28FFBD49" w14:textId="77777777" w:rsidR="00360CB9" w:rsidRPr="00FA0D37" w:rsidRDefault="00360CB9" w:rsidP="00FA0D37">
      <w:pPr>
        <w:pStyle w:val="PL"/>
      </w:pPr>
      <w:r w:rsidRPr="00FA0D37">
        <w:t>}</w:t>
      </w:r>
    </w:p>
    <w:p w14:paraId="444E05FF" w14:textId="77777777" w:rsidR="00394471" w:rsidRPr="00FA0D37" w:rsidRDefault="00394471" w:rsidP="00FA0D37">
      <w:pPr>
        <w:pStyle w:val="PL"/>
      </w:pPr>
    </w:p>
    <w:p w14:paraId="0048DD6F" w14:textId="77777777" w:rsidR="00394471" w:rsidRPr="00FA0D37" w:rsidRDefault="00394471" w:rsidP="00FA0D37">
      <w:pPr>
        <w:pStyle w:val="PL"/>
        <w:rPr>
          <w:color w:val="808080"/>
        </w:rPr>
      </w:pPr>
      <w:r w:rsidRPr="00FA0D37">
        <w:rPr>
          <w:color w:val="808080"/>
        </w:rPr>
        <w:t>-- TAG-SIB12-STOP</w:t>
      </w:r>
    </w:p>
    <w:p w14:paraId="06639DFB" w14:textId="77777777" w:rsidR="00394471" w:rsidRPr="00FA0D37" w:rsidRDefault="00394471" w:rsidP="00FA0D37">
      <w:pPr>
        <w:pStyle w:val="PL"/>
        <w:rPr>
          <w:color w:val="808080"/>
        </w:rPr>
      </w:pPr>
      <w:r w:rsidRPr="00FA0D37">
        <w:rPr>
          <w:color w:val="808080"/>
        </w:rPr>
        <w:t>-- ASN1STOP</w:t>
      </w:r>
    </w:p>
    <w:p w14:paraId="36B05192" w14:textId="77777777" w:rsidR="00394471" w:rsidRPr="00FA0D3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FA0D37" w:rsidRDefault="00394471" w:rsidP="00964CC4">
            <w:pPr>
              <w:pStyle w:val="TAH"/>
              <w:rPr>
                <w:lang w:eastAsia="en-GB"/>
              </w:rPr>
            </w:pPr>
            <w:r w:rsidRPr="00FA0D37">
              <w:rPr>
                <w:bCs/>
                <w:i/>
                <w:noProof/>
                <w:lang w:eastAsia="sv-SE"/>
              </w:rPr>
              <w:lastRenderedPageBreak/>
              <w:t>SIB12</w:t>
            </w:r>
            <w:r w:rsidRPr="00FA0D37">
              <w:rPr>
                <w:i/>
                <w:noProof/>
                <w:lang w:eastAsia="en-GB"/>
              </w:rPr>
              <w:t xml:space="preserve"> </w:t>
            </w:r>
            <w:r w:rsidRPr="00FA0D37">
              <w:rPr>
                <w:noProof/>
                <w:lang w:eastAsia="en-GB"/>
              </w:rPr>
              <w:t>field descriptions</w:t>
            </w:r>
          </w:p>
        </w:tc>
      </w:tr>
      <w:tr w:rsidR="005C7FF4" w:rsidRPr="00FA0D37"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FA0D37" w:rsidRDefault="00394471" w:rsidP="00964CC4">
            <w:pPr>
              <w:pStyle w:val="TAL"/>
              <w:rPr>
                <w:rFonts w:cs="Arial"/>
                <w:b/>
                <w:bCs/>
                <w:i/>
                <w:iCs/>
                <w:noProof/>
              </w:rPr>
            </w:pPr>
            <w:r w:rsidRPr="00FA0D37">
              <w:rPr>
                <w:rFonts w:cs="Arial"/>
                <w:b/>
                <w:bCs/>
                <w:i/>
                <w:iCs/>
                <w:noProof/>
              </w:rPr>
              <w:t>segmentContainer</w:t>
            </w:r>
          </w:p>
          <w:p w14:paraId="41024B0A" w14:textId="43C159A0" w:rsidR="00394471" w:rsidRPr="00FA0D37" w:rsidRDefault="00394471" w:rsidP="00964CC4">
            <w:pPr>
              <w:pStyle w:val="TAL"/>
              <w:rPr>
                <w:noProof/>
                <w:lang w:eastAsia="sv-SE"/>
              </w:rPr>
            </w:pPr>
            <w:r w:rsidRPr="00FA0D37">
              <w:rPr>
                <w:rFonts w:cs="Arial"/>
                <w:noProof/>
              </w:rPr>
              <w:t xml:space="preserve">This field includes a segment of the encoded </w:t>
            </w:r>
            <w:r w:rsidRPr="00FA0D37">
              <w:rPr>
                <w:rFonts w:cs="Arial"/>
                <w:i/>
                <w:iCs/>
                <w:noProof/>
              </w:rPr>
              <w:t>SIB12-IEs</w:t>
            </w:r>
            <w:r w:rsidRPr="00FA0D37">
              <w:rPr>
                <w:rFonts w:cs="Arial"/>
                <w:noProof/>
              </w:rPr>
              <w:t xml:space="preserve">. The size of the included segment in this container should be </w:t>
            </w:r>
            <w:r w:rsidR="008D2002" w:rsidRPr="00FA0D37">
              <w:rPr>
                <w:rFonts w:cs="Arial"/>
                <w:noProof/>
              </w:rPr>
              <w:t xml:space="preserve">small enough that the SIB message size is </w:t>
            </w:r>
            <w:r w:rsidRPr="00FA0D37">
              <w:rPr>
                <w:rFonts w:cs="Arial"/>
                <w:noProof/>
              </w:rPr>
              <w:t xml:space="preserve">less than </w:t>
            </w:r>
            <w:r w:rsidR="008D2002" w:rsidRPr="00FA0D37">
              <w:rPr>
                <w:rFonts w:cs="Arial"/>
                <w:noProof/>
              </w:rPr>
              <w:t xml:space="preserve">or equal to </w:t>
            </w:r>
            <w:r w:rsidRPr="00FA0D37">
              <w:rPr>
                <w:rFonts w:cs="Arial"/>
                <w:noProof/>
              </w:rPr>
              <w:t>the maximum size of a NR SI, i.e. 2976 bits when SIB12 is broadcast.</w:t>
            </w:r>
          </w:p>
        </w:tc>
      </w:tr>
      <w:tr w:rsidR="005C7FF4" w:rsidRPr="00FA0D37"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FA0D37" w:rsidRDefault="00394471" w:rsidP="00964CC4">
            <w:pPr>
              <w:pStyle w:val="TAL"/>
              <w:rPr>
                <w:rFonts w:eastAsia="DotumChe"/>
                <w:b/>
                <w:bCs/>
                <w:i/>
                <w:iCs/>
                <w:lang w:eastAsia="en-US"/>
              </w:rPr>
            </w:pPr>
            <w:r w:rsidRPr="00FA0D37">
              <w:rPr>
                <w:b/>
                <w:bCs/>
                <w:i/>
                <w:iCs/>
              </w:rPr>
              <w:t>segmentNumber</w:t>
            </w:r>
          </w:p>
          <w:p w14:paraId="251EB279" w14:textId="77777777" w:rsidR="00394471" w:rsidRPr="00FA0D37" w:rsidRDefault="00394471" w:rsidP="00964CC4">
            <w:pPr>
              <w:pStyle w:val="TAL"/>
              <w:rPr>
                <w:noProof/>
                <w:lang w:eastAsia="sv-SE"/>
              </w:rPr>
            </w:pPr>
            <w:r w:rsidRPr="00FA0D37">
              <w:rPr>
                <w:rFonts w:cs="Arial"/>
                <w:noProof/>
              </w:rPr>
              <w:t xml:space="preserve">This field identifies the sequence number of a segment of </w:t>
            </w:r>
            <w:r w:rsidRPr="00FA0D37">
              <w:rPr>
                <w:rFonts w:cs="Arial"/>
                <w:i/>
                <w:noProof/>
              </w:rPr>
              <w:t>SIB12-IEs</w:t>
            </w:r>
            <w:r w:rsidRPr="00FA0D37">
              <w:rPr>
                <w:rFonts w:cs="Arial"/>
                <w:noProof/>
              </w:rPr>
              <w:t>. A segment number of zero corresponds to the first segment, A segment number of one corresponds to the second segment, and so on.</w:t>
            </w:r>
          </w:p>
        </w:tc>
      </w:tr>
      <w:tr w:rsidR="005C7FF4" w:rsidRPr="00FA0D37"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FA0D37" w:rsidRDefault="00394471" w:rsidP="00964CC4">
            <w:pPr>
              <w:pStyle w:val="TAL"/>
              <w:rPr>
                <w:rFonts w:eastAsia="DotumChe"/>
                <w:b/>
                <w:bCs/>
                <w:i/>
                <w:iCs/>
                <w:noProof/>
                <w:lang w:eastAsia="en-US"/>
              </w:rPr>
            </w:pPr>
            <w:r w:rsidRPr="00FA0D37">
              <w:rPr>
                <w:b/>
                <w:bCs/>
                <w:i/>
                <w:iCs/>
              </w:rPr>
              <w:t>segmentType</w:t>
            </w:r>
          </w:p>
          <w:p w14:paraId="628AB8F7" w14:textId="77777777" w:rsidR="00394471" w:rsidRPr="00FA0D37" w:rsidRDefault="00394471" w:rsidP="00964CC4">
            <w:pPr>
              <w:pStyle w:val="TAL"/>
              <w:rPr>
                <w:noProof/>
                <w:lang w:eastAsia="sv-SE"/>
              </w:rPr>
            </w:pPr>
            <w:r w:rsidRPr="00FA0D37">
              <w:rPr>
                <w:rFonts w:cs="Arial"/>
                <w:noProof/>
              </w:rPr>
              <w:t>This field indicates whether the included segment is the last segment or not.</w:t>
            </w:r>
          </w:p>
        </w:tc>
      </w:tr>
      <w:tr w:rsidR="005C7FF4" w:rsidRPr="00FA0D37"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FA0D37" w:rsidRDefault="00394471" w:rsidP="00964CC4">
            <w:pPr>
              <w:pStyle w:val="TAL"/>
              <w:rPr>
                <w:b/>
                <w:bCs/>
                <w:i/>
                <w:iCs/>
                <w:noProof/>
                <w:lang w:eastAsia="sv-SE"/>
              </w:rPr>
            </w:pPr>
            <w:r w:rsidRPr="00FA0D37">
              <w:rPr>
                <w:b/>
                <w:bCs/>
                <w:i/>
                <w:iCs/>
                <w:noProof/>
                <w:lang w:eastAsia="sv-SE"/>
              </w:rPr>
              <w:t>sl-CSI-Acquisition</w:t>
            </w:r>
          </w:p>
          <w:p w14:paraId="7B428039" w14:textId="77777777" w:rsidR="00394471" w:rsidRPr="00FA0D37" w:rsidRDefault="00394471" w:rsidP="00964CC4">
            <w:pPr>
              <w:pStyle w:val="TAL"/>
              <w:rPr>
                <w:noProof/>
                <w:lang w:eastAsia="sv-SE"/>
              </w:rPr>
            </w:pPr>
            <w:r w:rsidRPr="00FA0D37">
              <w:rPr>
                <w:noProof/>
                <w:lang w:eastAsia="sv-SE"/>
              </w:rPr>
              <w:t>This field</w:t>
            </w:r>
            <w:r w:rsidRPr="00FA0D37">
              <w:rPr>
                <w:lang w:eastAsia="sv-SE"/>
              </w:rPr>
              <w:t xml:space="preserve"> i</w:t>
            </w:r>
            <w:r w:rsidRPr="00FA0D37">
              <w:rPr>
                <w:noProof/>
                <w:lang w:eastAsia="sv-SE"/>
              </w:rPr>
              <w:t>ndicates whether CSI reporting is enabled in sidelink unicast. If not set, SL CSI reporting is disabled.</w:t>
            </w:r>
          </w:p>
        </w:tc>
      </w:tr>
      <w:tr w:rsidR="005C7FF4" w:rsidRPr="00FA0D37" w14:paraId="549DB01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7B8CA98" w14:textId="103DE0A1" w:rsidR="00C26E98" w:rsidRPr="00FA0D37" w:rsidRDefault="00C26E98" w:rsidP="00771058">
            <w:pPr>
              <w:pStyle w:val="TAL"/>
              <w:rPr>
                <w:b/>
                <w:bCs/>
                <w:i/>
                <w:iCs/>
                <w:lang w:eastAsia="zh-CN"/>
              </w:rPr>
            </w:pPr>
            <w:r w:rsidRPr="00FA0D37">
              <w:rPr>
                <w:b/>
                <w:bCs/>
                <w:i/>
                <w:iCs/>
                <w:lang w:eastAsia="zh-CN"/>
              </w:rPr>
              <w:t>sl-DRX-ConfigCommonGC-BC</w:t>
            </w:r>
          </w:p>
          <w:p w14:paraId="3741065B" w14:textId="0C68D28B" w:rsidR="00C26E98" w:rsidRPr="00FA0D37" w:rsidRDefault="00C26E98" w:rsidP="00771058">
            <w:pPr>
              <w:pStyle w:val="TAL"/>
              <w:rPr>
                <w:bCs/>
                <w:iCs/>
                <w:lang w:eastAsia="zh-CN"/>
              </w:rPr>
            </w:pPr>
            <w:r w:rsidRPr="00FA0D37">
              <w:rPr>
                <w:bCs/>
                <w:iCs/>
                <w:lang w:eastAsia="zh-CN"/>
              </w:rPr>
              <w:t>This field indicates the sidelink DRX configuration for groupcast and broadcast communication, as specified in TS 38.321 [</w:t>
            </w:r>
            <w:r w:rsidR="005F190C" w:rsidRPr="00FA0D37">
              <w:rPr>
                <w:bCs/>
                <w:iCs/>
                <w:lang w:eastAsia="zh-CN"/>
              </w:rPr>
              <w:t>3</w:t>
            </w:r>
            <w:r w:rsidRPr="00FA0D37">
              <w:rPr>
                <w:bCs/>
                <w:iCs/>
                <w:lang w:eastAsia="zh-CN"/>
              </w:rPr>
              <w:t>].</w:t>
            </w:r>
            <w:r w:rsidR="002714C6" w:rsidRPr="00FA0D37">
              <w:t xml:space="preserve"> </w:t>
            </w:r>
            <w:r w:rsidR="002714C6" w:rsidRPr="00FA0D37">
              <w:rPr>
                <w:bCs/>
                <w:iCs/>
                <w:lang w:eastAsia="zh-CN"/>
              </w:rPr>
              <w:t>This field, if present, also indicates the gNB is capable of sidelink DRX.</w:t>
            </w:r>
          </w:p>
        </w:tc>
      </w:tr>
      <w:tr w:rsidR="005C7FF4" w:rsidRPr="00FA0D37"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FA0D37" w:rsidRDefault="00394471" w:rsidP="00964CC4">
            <w:pPr>
              <w:pStyle w:val="TAL"/>
              <w:rPr>
                <w:b/>
                <w:bCs/>
                <w:i/>
                <w:iCs/>
                <w:lang w:eastAsia="en-GB"/>
              </w:rPr>
            </w:pPr>
            <w:r w:rsidRPr="00FA0D37">
              <w:rPr>
                <w:b/>
                <w:bCs/>
                <w:i/>
                <w:iCs/>
                <w:lang w:eastAsia="zh-CN"/>
              </w:rPr>
              <w:t>sl-EUTRA-AnchorCarrierFreqList</w:t>
            </w:r>
          </w:p>
          <w:p w14:paraId="0B21AEFD" w14:textId="77777777" w:rsidR="00394471" w:rsidRPr="00FA0D37" w:rsidRDefault="00394471" w:rsidP="00964CC4">
            <w:pPr>
              <w:pStyle w:val="TAL"/>
              <w:rPr>
                <w:lang w:eastAsia="en-GB"/>
              </w:rPr>
            </w:pPr>
            <w:r w:rsidRPr="00FA0D37">
              <w:rPr>
                <w:lang w:eastAsia="en-GB"/>
              </w:rPr>
              <w:t>This field indicates the EUTRA anchor carrier frequency list, which can provide the NR sidelink communication configurations.</w:t>
            </w:r>
          </w:p>
        </w:tc>
      </w:tr>
      <w:tr w:rsidR="005C7FF4" w:rsidRPr="00FA0D37"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7777777" w:rsidR="00394471" w:rsidRPr="00FA0D37" w:rsidRDefault="00394471" w:rsidP="00964CC4">
            <w:pPr>
              <w:pStyle w:val="TAL"/>
              <w:rPr>
                <w:b/>
                <w:bCs/>
                <w:i/>
                <w:iCs/>
                <w:lang w:eastAsia="en-GB"/>
              </w:rPr>
            </w:pPr>
            <w:r w:rsidRPr="00FA0D37">
              <w:rPr>
                <w:b/>
                <w:bCs/>
                <w:i/>
                <w:iCs/>
                <w:lang w:eastAsia="zh-CN"/>
              </w:rPr>
              <w:t>sl-FreqInfoList</w:t>
            </w:r>
          </w:p>
          <w:p w14:paraId="0AE8794B" w14:textId="3A2A9895" w:rsidR="00394471" w:rsidRPr="00FA0D37" w:rsidRDefault="00394471" w:rsidP="00964CC4">
            <w:pPr>
              <w:pStyle w:val="TAL"/>
              <w:rPr>
                <w:lang w:eastAsia="zh-CN"/>
              </w:rPr>
            </w:pPr>
            <w:r w:rsidRPr="00FA0D37">
              <w:rPr>
                <w:lang w:eastAsia="en-GB"/>
              </w:rPr>
              <w:t>This field indicates the NR sidelink communication</w:t>
            </w:r>
            <w:r w:rsidR="0039645C" w:rsidRPr="00FA0D37">
              <w:rPr>
                <w:lang w:eastAsia="en-GB"/>
              </w:rPr>
              <w:t>/discovery</w:t>
            </w:r>
            <w:r w:rsidRPr="00FA0D37">
              <w:rPr>
                <w:lang w:eastAsia="en-GB"/>
              </w:rPr>
              <w:t xml:space="preserve"> configuration on some carrier frequency (ies). In this release, only one </w:t>
            </w:r>
            <w:r w:rsidRPr="00FA0D37">
              <w:rPr>
                <w:lang w:eastAsia="sv-SE"/>
              </w:rPr>
              <w:t>entry can be configured in the list.</w:t>
            </w:r>
          </w:p>
        </w:tc>
      </w:tr>
      <w:tr w:rsidR="005C7FF4" w:rsidRPr="00FA0D37" w14:paraId="62E70FB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FCB747C" w14:textId="77777777" w:rsidR="00360CB9" w:rsidRPr="00FA0D37" w:rsidRDefault="00360CB9" w:rsidP="00360CB9">
            <w:pPr>
              <w:pStyle w:val="TAL"/>
              <w:rPr>
                <w:b/>
                <w:bCs/>
                <w:i/>
                <w:iCs/>
                <w:lang w:eastAsia="zh-CN"/>
              </w:rPr>
            </w:pPr>
            <w:r w:rsidRPr="00FA0D37">
              <w:rPr>
                <w:b/>
                <w:bCs/>
                <w:i/>
                <w:iCs/>
                <w:lang w:eastAsia="zh-CN"/>
              </w:rPr>
              <w:t>sl-L2U2N-Relay</w:t>
            </w:r>
          </w:p>
          <w:p w14:paraId="3B951F85" w14:textId="3B40B6C7" w:rsidR="00360CB9" w:rsidRPr="00FA0D37" w:rsidRDefault="00360CB9" w:rsidP="00360CB9">
            <w:pPr>
              <w:pStyle w:val="TAL"/>
              <w:rPr>
                <w:lang w:eastAsia="zh-CN"/>
              </w:rPr>
            </w:pPr>
            <w:r w:rsidRPr="00FA0D37">
              <w:rPr>
                <w:lang w:eastAsia="zh-CN"/>
              </w:rPr>
              <w:t>This field indicates the support of NR sidelink Layer-2 relay.</w:t>
            </w:r>
          </w:p>
        </w:tc>
      </w:tr>
      <w:tr w:rsidR="005C7FF4" w:rsidRPr="00FA0D37" w14:paraId="5AF6C7B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53EDC7BF" w14:textId="77777777" w:rsidR="00360CB9" w:rsidRPr="00FA0D37" w:rsidRDefault="00360CB9" w:rsidP="00360CB9">
            <w:pPr>
              <w:pStyle w:val="TAL"/>
              <w:rPr>
                <w:b/>
                <w:bCs/>
                <w:i/>
                <w:iCs/>
                <w:lang w:eastAsia="zh-CN"/>
              </w:rPr>
            </w:pPr>
            <w:r w:rsidRPr="00FA0D37">
              <w:rPr>
                <w:b/>
                <w:bCs/>
                <w:i/>
                <w:iCs/>
                <w:lang w:eastAsia="zh-CN"/>
              </w:rPr>
              <w:t>sl-L3U2N-RelayDiscovery</w:t>
            </w:r>
          </w:p>
          <w:p w14:paraId="62AE7CCE" w14:textId="6414D6F5" w:rsidR="00360CB9" w:rsidRPr="00FA0D37" w:rsidRDefault="00360CB9" w:rsidP="00360CB9">
            <w:pPr>
              <w:pStyle w:val="TAL"/>
              <w:rPr>
                <w:lang w:eastAsia="zh-CN"/>
              </w:rPr>
            </w:pPr>
            <w:r w:rsidRPr="00FA0D37">
              <w:rPr>
                <w:lang w:eastAsia="zh-CN"/>
              </w:rPr>
              <w:t>This field indicates the support of L3 U2N relay AS-layer capability, i.e. NR sidelink relay discovery.</w:t>
            </w:r>
          </w:p>
        </w:tc>
      </w:tr>
      <w:tr w:rsidR="005C7FF4" w:rsidRPr="00FA0D37"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394471" w:rsidRPr="00FA0D37" w:rsidRDefault="00394471" w:rsidP="00964CC4">
            <w:pPr>
              <w:pStyle w:val="TAL"/>
              <w:rPr>
                <w:b/>
                <w:bCs/>
                <w:i/>
                <w:iCs/>
                <w:lang w:eastAsia="zh-CN"/>
              </w:rPr>
            </w:pPr>
            <w:r w:rsidRPr="00FA0D37">
              <w:rPr>
                <w:b/>
                <w:bCs/>
                <w:i/>
                <w:iCs/>
                <w:lang w:eastAsia="zh-CN"/>
              </w:rPr>
              <w:t>sl-MaxNumConsecutiveDTX</w:t>
            </w:r>
          </w:p>
          <w:p w14:paraId="22B5A2FB" w14:textId="77777777" w:rsidR="00394471" w:rsidRPr="00FA0D37" w:rsidRDefault="00394471" w:rsidP="00964CC4">
            <w:pPr>
              <w:pStyle w:val="TAL"/>
              <w:rPr>
                <w:b/>
                <w:bCs/>
                <w:i/>
                <w:iCs/>
                <w:lang w:eastAsia="zh-CN"/>
              </w:rPr>
            </w:pPr>
            <w:r w:rsidRPr="00FA0D37">
              <w:t>This field indicates the maximum number of consecutive HARQ DTX before triggering sidelink RLF. Value n1 corresponds to 1, value n2 corresponds to 2, and so on.</w:t>
            </w:r>
          </w:p>
        </w:tc>
      </w:tr>
      <w:tr w:rsidR="005C7FF4" w:rsidRPr="00FA0D37"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394471" w:rsidRPr="00FA0D37" w:rsidRDefault="00394471" w:rsidP="00964CC4">
            <w:pPr>
              <w:pStyle w:val="TAL"/>
              <w:rPr>
                <w:b/>
                <w:bCs/>
                <w:i/>
                <w:iCs/>
                <w:lang w:eastAsia="zh-CN"/>
              </w:rPr>
            </w:pPr>
            <w:r w:rsidRPr="00FA0D37">
              <w:rPr>
                <w:b/>
                <w:bCs/>
                <w:i/>
                <w:iCs/>
                <w:lang w:eastAsia="zh-CN"/>
              </w:rPr>
              <w:t>sl-MeasConfigCommon</w:t>
            </w:r>
          </w:p>
          <w:p w14:paraId="683603A5" w14:textId="77777777" w:rsidR="00394471" w:rsidRPr="00FA0D37" w:rsidRDefault="00394471" w:rsidP="00964CC4">
            <w:pPr>
              <w:pStyle w:val="TAL"/>
              <w:rPr>
                <w:lang w:eastAsia="zh-CN"/>
              </w:rPr>
            </w:pPr>
            <w:r w:rsidRPr="00FA0D37">
              <w:rPr>
                <w:lang w:eastAsia="en-GB"/>
              </w:rPr>
              <w:t>This field indicates the measurement configurations (e.g. RSRP) for NR sidelink communication.</w:t>
            </w:r>
          </w:p>
        </w:tc>
      </w:tr>
      <w:tr w:rsidR="005C7FF4" w:rsidRPr="00FA0D37" w14:paraId="7B2A8694"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3BAE7CE3" w14:textId="77777777" w:rsidR="00360CB9" w:rsidRPr="00FA0D37" w:rsidRDefault="00360CB9" w:rsidP="00360CB9">
            <w:pPr>
              <w:pStyle w:val="TAL"/>
              <w:rPr>
                <w:b/>
                <w:bCs/>
                <w:i/>
                <w:iCs/>
                <w:lang w:eastAsia="zh-CN"/>
              </w:rPr>
            </w:pPr>
            <w:r w:rsidRPr="00FA0D37">
              <w:rPr>
                <w:b/>
                <w:bCs/>
                <w:i/>
                <w:iCs/>
                <w:lang w:eastAsia="zh-CN"/>
              </w:rPr>
              <w:t>sl-NonRelayDiscovery</w:t>
            </w:r>
          </w:p>
          <w:p w14:paraId="711985AF" w14:textId="2FF9E98E" w:rsidR="00360CB9" w:rsidRPr="00FA0D37" w:rsidRDefault="00360CB9" w:rsidP="00360CB9">
            <w:pPr>
              <w:pStyle w:val="TAL"/>
              <w:rPr>
                <w:lang w:eastAsia="zh-CN"/>
              </w:rPr>
            </w:pPr>
            <w:r w:rsidRPr="00FA0D37">
              <w:rPr>
                <w:lang w:eastAsia="zh-CN"/>
              </w:rPr>
              <w:t>This field indicates the support of NR sidelink non-relay discovery.</w:t>
            </w:r>
          </w:p>
        </w:tc>
      </w:tr>
      <w:tr w:rsidR="005C7FF4" w:rsidRPr="00FA0D37"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394471" w:rsidRPr="00FA0D37" w:rsidRDefault="00394471" w:rsidP="00964CC4">
            <w:pPr>
              <w:pStyle w:val="TAL"/>
              <w:rPr>
                <w:b/>
                <w:bCs/>
                <w:i/>
                <w:iCs/>
                <w:lang w:eastAsia="zh-CN"/>
              </w:rPr>
            </w:pPr>
            <w:r w:rsidRPr="00FA0D37">
              <w:rPr>
                <w:b/>
                <w:bCs/>
                <w:i/>
                <w:iCs/>
                <w:lang w:eastAsia="zh-CN"/>
              </w:rPr>
              <w:t>sl-NR-AnchorCarrierFreqList</w:t>
            </w:r>
          </w:p>
          <w:p w14:paraId="3CBE0E41" w14:textId="6A2EEBEE" w:rsidR="00394471" w:rsidRPr="00FA0D37" w:rsidRDefault="00394471" w:rsidP="00964CC4">
            <w:pPr>
              <w:pStyle w:val="TAL"/>
              <w:rPr>
                <w:lang w:eastAsia="zh-CN"/>
              </w:rPr>
            </w:pPr>
            <w:r w:rsidRPr="00FA0D37">
              <w:rPr>
                <w:lang w:eastAsia="en-GB"/>
              </w:rPr>
              <w:t>This field indicates the NR anchor carrier frequency list, which can provide the NR sidelink communication</w:t>
            </w:r>
            <w:r w:rsidR="0039645C" w:rsidRPr="00FA0D37">
              <w:rPr>
                <w:lang w:eastAsia="en-GB"/>
              </w:rPr>
              <w:t>/discovery</w:t>
            </w:r>
            <w:r w:rsidRPr="00FA0D37">
              <w:rPr>
                <w:lang w:eastAsia="en-GB"/>
              </w:rPr>
              <w:t xml:space="preserve"> configurations.</w:t>
            </w:r>
          </w:p>
        </w:tc>
      </w:tr>
      <w:tr w:rsidR="005C7FF4" w:rsidRPr="00FA0D37"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394471" w:rsidRPr="00FA0D37" w:rsidRDefault="00394471" w:rsidP="00964CC4">
            <w:pPr>
              <w:pStyle w:val="TAL"/>
              <w:rPr>
                <w:b/>
                <w:bCs/>
                <w:i/>
                <w:iCs/>
                <w:lang w:eastAsia="zh-CN"/>
              </w:rPr>
            </w:pPr>
            <w:r w:rsidRPr="00FA0D37">
              <w:rPr>
                <w:b/>
                <w:bCs/>
                <w:i/>
                <w:iCs/>
                <w:lang w:eastAsia="zh-CN"/>
              </w:rPr>
              <w:t>sl-OffsetDFN</w:t>
            </w:r>
          </w:p>
          <w:p w14:paraId="409460F4" w14:textId="77777777" w:rsidR="00394471" w:rsidRPr="00FA0D37" w:rsidRDefault="00394471" w:rsidP="00964CC4">
            <w:pPr>
              <w:pStyle w:val="TAL"/>
              <w:rPr>
                <w:lang w:eastAsia="zh-CN"/>
              </w:rPr>
            </w:pPr>
            <w:r w:rsidRPr="00FA0D37">
              <w:rPr>
                <w:lang w:eastAsia="zh-CN"/>
              </w:rPr>
              <w:t>Indicates the timing offset for the UE to determine DFN timing when GNSS is used for timing reference. Value 1 corresponds to 0.001 milliseconds, value 2 corresponds to 0.002 milliseconds, and so on.</w:t>
            </w:r>
          </w:p>
        </w:tc>
      </w:tr>
      <w:tr w:rsidR="005C7FF4" w:rsidRPr="00FA0D37"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394471" w:rsidRPr="00FA0D37" w:rsidRDefault="00394471" w:rsidP="00964CC4">
            <w:pPr>
              <w:pStyle w:val="TAL"/>
              <w:rPr>
                <w:b/>
                <w:bCs/>
                <w:i/>
                <w:iCs/>
                <w:lang w:eastAsia="zh-CN"/>
              </w:rPr>
            </w:pPr>
            <w:r w:rsidRPr="00FA0D37">
              <w:rPr>
                <w:b/>
                <w:bCs/>
                <w:i/>
                <w:iCs/>
                <w:lang w:eastAsia="zh-CN"/>
              </w:rPr>
              <w:t>sl-RadioBearerConfigList</w:t>
            </w:r>
          </w:p>
          <w:p w14:paraId="0D46B966" w14:textId="77777777" w:rsidR="00394471" w:rsidRPr="00FA0D37" w:rsidRDefault="00394471" w:rsidP="00964CC4">
            <w:pPr>
              <w:pStyle w:val="TAL"/>
              <w:rPr>
                <w:rFonts w:cs="Courier New"/>
                <w:lang w:eastAsia="zh-CN"/>
              </w:rPr>
            </w:pPr>
            <w:r w:rsidRPr="00FA0D37">
              <w:rPr>
                <w:lang w:eastAsia="en-GB"/>
              </w:rPr>
              <w:t>This field indicates one or multiple sidelink radio bearer configurations.</w:t>
            </w:r>
          </w:p>
        </w:tc>
      </w:tr>
      <w:tr w:rsidR="005C7FF4" w:rsidRPr="00FA0D37"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77777777" w:rsidR="00394471" w:rsidRPr="00FA0D37" w:rsidRDefault="00394471" w:rsidP="00964CC4">
            <w:pPr>
              <w:pStyle w:val="TAL"/>
              <w:rPr>
                <w:b/>
                <w:bCs/>
                <w:i/>
                <w:iCs/>
                <w:lang w:eastAsia="zh-CN"/>
              </w:rPr>
            </w:pPr>
            <w:r w:rsidRPr="00FA0D37">
              <w:rPr>
                <w:b/>
                <w:bCs/>
                <w:i/>
                <w:iCs/>
                <w:lang w:eastAsia="zh-CN"/>
              </w:rPr>
              <w:t>sl-RLC-BearerConfigList</w:t>
            </w:r>
          </w:p>
          <w:p w14:paraId="557ABA60" w14:textId="77777777" w:rsidR="00394471" w:rsidRPr="00FA0D37" w:rsidRDefault="00394471" w:rsidP="00964CC4">
            <w:pPr>
              <w:pStyle w:val="TAL"/>
              <w:rPr>
                <w:lang w:eastAsia="zh-CN"/>
              </w:rPr>
            </w:pPr>
            <w:r w:rsidRPr="00FA0D37">
              <w:rPr>
                <w:lang w:eastAsia="en-GB"/>
              </w:rPr>
              <w:t>This field indicates one or multiple sidelink RLC bearer configurations.</w:t>
            </w:r>
          </w:p>
        </w:tc>
      </w:tr>
      <w:tr w:rsidR="005C7FF4" w:rsidRPr="00FA0D37"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394471" w:rsidRPr="00FA0D37" w:rsidRDefault="00394471" w:rsidP="00964CC4">
            <w:pPr>
              <w:pStyle w:val="TAL"/>
              <w:rPr>
                <w:b/>
                <w:bCs/>
                <w:i/>
                <w:iCs/>
                <w:lang w:eastAsia="zh-CN"/>
              </w:rPr>
            </w:pPr>
            <w:r w:rsidRPr="00FA0D37">
              <w:rPr>
                <w:b/>
                <w:bCs/>
                <w:i/>
                <w:iCs/>
                <w:lang w:eastAsia="zh-CN"/>
              </w:rPr>
              <w:t>sl-SSB-PriorityNR</w:t>
            </w:r>
          </w:p>
          <w:p w14:paraId="24ED411E" w14:textId="77777777" w:rsidR="00394471" w:rsidRPr="00FA0D37" w:rsidRDefault="00394471" w:rsidP="00964CC4">
            <w:pPr>
              <w:pStyle w:val="TAL"/>
              <w:rPr>
                <w:lang w:eastAsia="zh-CN"/>
              </w:rPr>
            </w:pPr>
            <w:r w:rsidRPr="00FA0D37">
              <w:rPr>
                <w:lang w:eastAsia="zh-CN"/>
              </w:rPr>
              <w:t>This field indicates the priority of NR sidelink SSB transmission and reception.</w:t>
            </w:r>
          </w:p>
        </w:tc>
      </w:tr>
      <w:tr w:rsidR="008D2002" w:rsidRPr="00FA0D37"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8D2002" w:rsidRPr="00FA0D37" w:rsidRDefault="008D2002" w:rsidP="008D2002">
            <w:pPr>
              <w:pStyle w:val="TAL"/>
              <w:rPr>
                <w:b/>
                <w:bCs/>
                <w:i/>
                <w:iCs/>
                <w:lang w:eastAsia="zh-CN"/>
              </w:rPr>
            </w:pPr>
            <w:r w:rsidRPr="00FA0D37">
              <w:rPr>
                <w:b/>
                <w:bCs/>
                <w:i/>
                <w:iCs/>
                <w:lang w:eastAsia="zh-CN"/>
              </w:rPr>
              <w:t>t400</w:t>
            </w:r>
          </w:p>
          <w:p w14:paraId="20291175" w14:textId="77777777" w:rsidR="008D2002" w:rsidRPr="00FA0D37" w:rsidRDefault="008D2002" w:rsidP="00255542">
            <w:pPr>
              <w:pStyle w:val="TAL"/>
              <w:rPr>
                <w:lang w:eastAsia="zh-CN"/>
              </w:rPr>
            </w:pPr>
            <w:r w:rsidRPr="00FA0D37">
              <w:rPr>
                <w:lang w:eastAsia="zh-CN"/>
              </w:rPr>
              <w:t>Indicates the value for timer T400 as described in clause 7.1. Value ms100 corresponds to 100 ms, value ms200 corresponds to 200 ms and so on.</w:t>
            </w:r>
          </w:p>
        </w:tc>
      </w:tr>
    </w:tbl>
    <w:p w14:paraId="287DBFD6" w14:textId="77777777" w:rsidR="00394471" w:rsidRPr="00FA0D37" w:rsidRDefault="00394471" w:rsidP="00394471">
      <w:pPr>
        <w:rPr>
          <w:rFonts w:eastAsia="Yu Mincho"/>
          <w:iCs/>
        </w:rPr>
      </w:pPr>
    </w:p>
    <w:p w14:paraId="7B35480F" w14:textId="77777777" w:rsidR="00394471" w:rsidRPr="00FA0D37" w:rsidRDefault="00394471" w:rsidP="00394471">
      <w:pPr>
        <w:pStyle w:val="4"/>
        <w:rPr>
          <w:noProof/>
          <w:lang w:eastAsia="zh-CN"/>
        </w:rPr>
      </w:pPr>
      <w:bookmarkStart w:id="779" w:name="_Toc60777152"/>
      <w:bookmarkStart w:id="780" w:name="_Toc146781190"/>
      <w:r w:rsidRPr="00FA0D37">
        <w:lastRenderedPageBreak/>
        <w:t>–</w:t>
      </w:r>
      <w:r w:rsidRPr="00FA0D37">
        <w:tab/>
      </w:r>
      <w:r w:rsidRPr="00FA0D37">
        <w:rPr>
          <w:i/>
          <w:iCs/>
          <w:noProof/>
        </w:rPr>
        <w:t>SIB</w:t>
      </w:r>
      <w:r w:rsidRPr="00FA0D37">
        <w:rPr>
          <w:i/>
          <w:iCs/>
          <w:noProof/>
          <w:lang w:eastAsia="zh-CN"/>
        </w:rPr>
        <w:t>13</w:t>
      </w:r>
      <w:bookmarkEnd w:id="779"/>
      <w:bookmarkEnd w:id="780"/>
    </w:p>
    <w:p w14:paraId="461A670D" w14:textId="77777777" w:rsidR="00394471" w:rsidRPr="00FA0D37" w:rsidRDefault="00394471" w:rsidP="00394471">
      <w:pPr>
        <w:rPr>
          <w:rFonts w:eastAsia="Yu Mincho"/>
          <w:iCs/>
        </w:rPr>
      </w:pPr>
      <w:r w:rsidRPr="00FA0D37">
        <w:t xml:space="preserve">SIB13 </w:t>
      </w:r>
      <w:r w:rsidRPr="00FA0D37">
        <w:rPr>
          <w:lang w:eastAsia="zh-CN"/>
        </w:rPr>
        <w:t>contains configurations of V2X sidelink communication defined in TS 36.331 [10]</w:t>
      </w:r>
      <w:r w:rsidRPr="00FA0D37">
        <w:rPr>
          <w:noProof/>
        </w:rPr>
        <w:t>.</w:t>
      </w:r>
    </w:p>
    <w:p w14:paraId="7DF04472" w14:textId="77777777" w:rsidR="00394471" w:rsidRPr="00FA0D37" w:rsidRDefault="00394471" w:rsidP="00394471">
      <w:pPr>
        <w:pStyle w:val="TH"/>
        <w:rPr>
          <w:i/>
        </w:rPr>
      </w:pPr>
      <w:r w:rsidRPr="00FA0D37">
        <w:rPr>
          <w:i/>
          <w:noProof/>
        </w:rPr>
        <w:t xml:space="preserve">SIB13 </w:t>
      </w:r>
      <w:r w:rsidRPr="00FA0D37">
        <w:rPr>
          <w:noProof/>
        </w:rPr>
        <w:t>information element</w:t>
      </w:r>
    </w:p>
    <w:p w14:paraId="057ECABF" w14:textId="77777777" w:rsidR="00394471" w:rsidRPr="00FA0D37" w:rsidRDefault="00394471" w:rsidP="00FA0D37">
      <w:pPr>
        <w:pStyle w:val="PL"/>
        <w:rPr>
          <w:color w:val="808080"/>
        </w:rPr>
      </w:pPr>
      <w:r w:rsidRPr="00FA0D37">
        <w:rPr>
          <w:color w:val="808080"/>
        </w:rPr>
        <w:t>-- ASN1START</w:t>
      </w:r>
    </w:p>
    <w:p w14:paraId="6C34A247" w14:textId="77777777" w:rsidR="00394471" w:rsidRPr="00FA0D37" w:rsidRDefault="00394471" w:rsidP="00FA0D37">
      <w:pPr>
        <w:pStyle w:val="PL"/>
        <w:rPr>
          <w:color w:val="808080"/>
        </w:rPr>
      </w:pPr>
      <w:r w:rsidRPr="00FA0D37">
        <w:rPr>
          <w:color w:val="808080"/>
        </w:rPr>
        <w:t>-- TAG-SIB13-START</w:t>
      </w:r>
    </w:p>
    <w:p w14:paraId="3A427408" w14:textId="77777777" w:rsidR="00394471" w:rsidRPr="00FA0D37" w:rsidRDefault="00394471" w:rsidP="00FA0D37">
      <w:pPr>
        <w:pStyle w:val="PL"/>
      </w:pPr>
    </w:p>
    <w:p w14:paraId="226A22A9" w14:textId="77777777" w:rsidR="00394471" w:rsidRPr="00FA0D37" w:rsidRDefault="00394471" w:rsidP="00FA0D37">
      <w:pPr>
        <w:pStyle w:val="PL"/>
      </w:pPr>
      <w:r w:rsidRPr="00FA0D37">
        <w:t>SIB13</w:t>
      </w:r>
      <w:r w:rsidRPr="00FA0D37">
        <w:rPr>
          <w:rFonts w:eastAsia="等线"/>
        </w:rPr>
        <w:t>-</w:t>
      </w:r>
      <w:r w:rsidRPr="00FA0D37">
        <w:t xml:space="preserve">r16 ::=                       </w:t>
      </w:r>
      <w:r w:rsidRPr="00FA0D37">
        <w:rPr>
          <w:color w:val="993366"/>
        </w:rPr>
        <w:t>SEQUENCE</w:t>
      </w:r>
      <w:r w:rsidRPr="00FA0D37">
        <w:t xml:space="preserve"> {</w:t>
      </w:r>
    </w:p>
    <w:p w14:paraId="5CC0795F" w14:textId="77777777" w:rsidR="00394471" w:rsidRPr="00FA0D37" w:rsidRDefault="00394471" w:rsidP="00FA0D37">
      <w:pPr>
        <w:pStyle w:val="PL"/>
      </w:pPr>
      <w:r w:rsidRPr="00FA0D37">
        <w:t xml:space="preserve">    sl-V2X-ConfigCommon-r16             </w:t>
      </w:r>
      <w:r w:rsidRPr="00FA0D37">
        <w:rPr>
          <w:color w:val="993366"/>
        </w:rPr>
        <w:t>OCTET</w:t>
      </w:r>
      <w:r w:rsidRPr="00FA0D37">
        <w:t xml:space="preserve"> </w:t>
      </w:r>
      <w:r w:rsidRPr="00FA0D37">
        <w:rPr>
          <w:color w:val="993366"/>
        </w:rPr>
        <w:t>STRING</w:t>
      </w:r>
      <w:r w:rsidRPr="00FA0D37">
        <w:t>,</w:t>
      </w:r>
    </w:p>
    <w:p w14:paraId="5EFD1264" w14:textId="0F70E1A6" w:rsidR="00394471" w:rsidRPr="00FA0D37" w:rsidRDefault="00394471" w:rsidP="00FA0D37">
      <w:pPr>
        <w:pStyle w:val="PL"/>
      </w:pPr>
      <w:r w:rsidRPr="00FA0D37">
        <w:t xml:space="preserve">    </w:t>
      </w:r>
      <w:r w:rsidR="00A105BD" w:rsidRPr="00FA0D37">
        <w:t>dummy</w:t>
      </w:r>
      <w:r w:rsidRPr="00FA0D37">
        <w:t xml:space="preserve">                    </w:t>
      </w:r>
      <w:r w:rsidR="00A105BD" w:rsidRPr="00FA0D37">
        <w:t xml:space="preserve">           </w:t>
      </w:r>
      <w:r w:rsidRPr="00FA0D37">
        <w:rPr>
          <w:color w:val="993366"/>
        </w:rPr>
        <w:t>OCTET</w:t>
      </w:r>
      <w:r w:rsidRPr="00FA0D37">
        <w:t xml:space="preserve"> </w:t>
      </w:r>
      <w:r w:rsidRPr="00FA0D37">
        <w:rPr>
          <w:color w:val="993366"/>
        </w:rPr>
        <w:t>STRING</w:t>
      </w:r>
      <w:r w:rsidRPr="00FA0D37">
        <w:t>,</w:t>
      </w:r>
    </w:p>
    <w:p w14:paraId="2DB78136" w14:textId="77777777" w:rsidR="00394471" w:rsidRPr="00FA0D37" w:rsidRDefault="00394471" w:rsidP="00FA0D37">
      <w:pPr>
        <w:pStyle w:val="PL"/>
      </w:pPr>
      <w:r w:rsidRPr="00FA0D37">
        <w:t xml:space="preserve">    tdd-Config-r16                      </w:t>
      </w:r>
      <w:r w:rsidRPr="00FA0D37">
        <w:rPr>
          <w:color w:val="993366"/>
        </w:rPr>
        <w:t>OCTET</w:t>
      </w:r>
      <w:r w:rsidRPr="00FA0D37">
        <w:t xml:space="preserve"> </w:t>
      </w:r>
      <w:r w:rsidRPr="00FA0D37">
        <w:rPr>
          <w:color w:val="993366"/>
        </w:rPr>
        <w:t>STRING</w:t>
      </w:r>
      <w:r w:rsidRPr="00FA0D37">
        <w:t>,</w:t>
      </w:r>
    </w:p>
    <w:p w14:paraId="73E4CA42"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B30376B" w14:textId="77777777" w:rsidR="00394471" w:rsidRPr="00FA0D37" w:rsidRDefault="00394471" w:rsidP="00FA0D37">
      <w:pPr>
        <w:pStyle w:val="PL"/>
      </w:pPr>
      <w:r w:rsidRPr="00FA0D37">
        <w:t xml:space="preserve">    ...</w:t>
      </w:r>
    </w:p>
    <w:p w14:paraId="73CADE02" w14:textId="77777777" w:rsidR="00394471" w:rsidRPr="00FA0D37" w:rsidRDefault="00394471" w:rsidP="00FA0D37">
      <w:pPr>
        <w:pStyle w:val="PL"/>
      </w:pPr>
      <w:r w:rsidRPr="00FA0D37">
        <w:t>}</w:t>
      </w:r>
    </w:p>
    <w:p w14:paraId="48B3E046" w14:textId="77777777" w:rsidR="00394471" w:rsidRPr="00FA0D37" w:rsidRDefault="00394471" w:rsidP="00FA0D37">
      <w:pPr>
        <w:pStyle w:val="PL"/>
      </w:pPr>
    </w:p>
    <w:p w14:paraId="37AFA67C" w14:textId="77777777" w:rsidR="00394471" w:rsidRPr="00FA0D37" w:rsidRDefault="00394471" w:rsidP="00FA0D37">
      <w:pPr>
        <w:pStyle w:val="PL"/>
        <w:rPr>
          <w:color w:val="808080"/>
        </w:rPr>
      </w:pPr>
      <w:r w:rsidRPr="00FA0D37">
        <w:rPr>
          <w:color w:val="808080"/>
        </w:rPr>
        <w:t>-- TAG-SIB13-STOP</w:t>
      </w:r>
    </w:p>
    <w:p w14:paraId="6892C0B5" w14:textId="77777777" w:rsidR="00394471" w:rsidRPr="00FA0D37" w:rsidRDefault="00394471" w:rsidP="00FA0D37">
      <w:pPr>
        <w:pStyle w:val="PL"/>
        <w:rPr>
          <w:color w:val="808080"/>
        </w:rPr>
      </w:pPr>
      <w:r w:rsidRPr="00FA0D37">
        <w:rPr>
          <w:color w:val="808080"/>
        </w:rPr>
        <w:t>-- ASN1STOP</w:t>
      </w:r>
    </w:p>
    <w:p w14:paraId="60F7BB8A" w14:textId="77777777" w:rsidR="00394471" w:rsidRPr="00FA0D3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7FE93E5F" w14:textId="77777777" w:rsidTr="00A105B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E28A88" w14:textId="77777777" w:rsidR="00394471" w:rsidRPr="00FA0D37" w:rsidRDefault="00394471" w:rsidP="00964CC4">
            <w:pPr>
              <w:pStyle w:val="TAH"/>
              <w:rPr>
                <w:lang w:eastAsia="en-GB"/>
              </w:rPr>
            </w:pPr>
            <w:r w:rsidRPr="00FA0D37">
              <w:rPr>
                <w:bCs/>
                <w:i/>
                <w:noProof/>
                <w:lang w:eastAsia="sv-SE"/>
              </w:rPr>
              <w:t>SIB13</w:t>
            </w:r>
            <w:r w:rsidRPr="00FA0D37">
              <w:rPr>
                <w:i/>
                <w:noProof/>
                <w:lang w:eastAsia="en-GB"/>
              </w:rPr>
              <w:t xml:space="preserve"> </w:t>
            </w:r>
            <w:r w:rsidRPr="00FA0D37">
              <w:rPr>
                <w:noProof/>
                <w:lang w:eastAsia="en-GB"/>
              </w:rPr>
              <w:t>field descriptions</w:t>
            </w:r>
          </w:p>
        </w:tc>
      </w:tr>
      <w:tr w:rsidR="005C7FF4" w:rsidRPr="00FA0D37" w14:paraId="5310BEB4" w14:textId="77777777" w:rsidTr="003B657B">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F8B107" w14:textId="77777777" w:rsidR="00A105BD" w:rsidRPr="00FA0D37" w:rsidRDefault="00A105BD" w:rsidP="00255542">
            <w:pPr>
              <w:pStyle w:val="TAL"/>
              <w:rPr>
                <w:rFonts w:eastAsiaTheme="minorEastAsia"/>
                <w:b/>
                <w:bCs/>
                <w:i/>
                <w:iCs/>
                <w:lang w:eastAsia="zh-CN"/>
              </w:rPr>
            </w:pPr>
            <w:r w:rsidRPr="00FA0D37">
              <w:rPr>
                <w:rFonts w:eastAsiaTheme="minorEastAsia"/>
                <w:b/>
                <w:bCs/>
                <w:i/>
                <w:iCs/>
                <w:lang w:eastAsia="zh-CN"/>
              </w:rPr>
              <w:t>dummy</w:t>
            </w:r>
          </w:p>
          <w:p w14:paraId="7DAC38EC" w14:textId="788D4949" w:rsidR="00A105BD" w:rsidRPr="00FA0D37" w:rsidRDefault="00A105BD" w:rsidP="00255542">
            <w:pPr>
              <w:pStyle w:val="TAL"/>
              <w:rPr>
                <w:noProof/>
                <w:lang w:eastAsia="sv-SE"/>
              </w:rPr>
            </w:pPr>
            <w:r w:rsidRPr="00FA0D37">
              <w:rPr>
                <w:lang w:eastAsia="sv-SE"/>
              </w:rPr>
              <w:t>This field is not used in the specification</w:t>
            </w:r>
            <w:r w:rsidR="00CD0A6C" w:rsidRPr="00FA0D37">
              <w:rPr>
                <w:lang w:eastAsia="sv-SE"/>
              </w:rPr>
              <w:t xml:space="preserve"> and the UE ignores the received value</w:t>
            </w:r>
            <w:r w:rsidRPr="00FA0D37">
              <w:rPr>
                <w:lang w:eastAsia="sv-SE"/>
              </w:rPr>
              <w:t>.</w:t>
            </w:r>
          </w:p>
        </w:tc>
      </w:tr>
      <w:tr w:rsidR="005C7FF4" w:rsidRPr="00FA0D37" w14:paraId="62F7C27F" w14:textId="77777777" w:rsidTr="00A105B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6FFFE3" w14:textId="77777777" w:rsidR="00394471" w:rsidRPr="00FA0D37" w:rsidRDefault="00394471" w:rsidP="00964CC4">
            <w:pPr>
              <w:pStyle w:val="TAL"/>
              <w:rPr>
                <w:b/>
                <w:bCs/>
                <w:i/>
                <w:iCs/>
                <w:lang w:eastAsia="zh-CN"/>
              </w:rPr>
            </w:pPr>
            <w:r w:rsidRPr="00FA0D37">
              <w:rPr>
                <w:b/>
                <w:bCs/>
                <w:i/>
                <w:iCs/>
                <w:lang w:eastAsia="zh-CN"/>
              </w:rPr>
              <w:t>sl-V2X-ConfigCommon</w:t>
            </w:r>
          </w:p>
          <w:p w14:paraId="0AB87F49" w14:textId="77777777" w:rsidR="00394471" w:rsidRPr="00FA0D37" w:rsidRDefault="00394471" w:rsidP="00964CC4">
            <w:pPr>
              <w:pStyle w:val="TAL"/>
              <w:rPr>
                <w:noProof/>
                <w:lang w:eastAsia="en-GB"/>
              </w:rPr>
            </w:pPr>
            <w:r w:rsidRPr="00FA0D37">
              <w:rPr>
                <w:lang w:eastAsia="sv-SE"/>
              </w:rPr>
              <w:t xml:space="preserve">This field includes the </w:t>
            </w:r>
            <w:r w:rsidRPr="00FA0D37">
              <w:rPr>
                <w:noProof/>
                <w:lang w:eastAsia="en-GB"/>
              </w:rPr>
              <w:t xml:space="preserve">E-UTRA </w:t>
            </w:r>
            <w:r w:rsidRPr="00FA0D37">
              <w:rPr>
                <w:i/>
                <w:iCs/>
                <w:noProof/>
                <w:lang w:eastAsia="en-GB"/>
              </w:rPr>
              <w:t>SystemInformationBlockType21</w:t>
            </w:r>
            <w:r w:rsidRPr="00FA0D37">
              <w:rPr>
                <w:noProof/>
                <w:lang w:eastAsia="en-GB"/>
              </w:rPr>
              <w:t xml:space="preserve"> message as specified in TS 36.331 [10].</w:t>
            </w:r>
          </w:p>
        </w:tc>
      </w:tr>
      <w:tr w:rsidR="00394471" w:rsidRPr="00FA0D37" w14:paraId="0AC58A6B" w14:textId="77777777" w:rsidTr="00A105BD">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55ED7E11" w14:textId="77777777" w:rsidR="00394471" w:rsidRPr="00FA0D37" w:rsidRDefault="00394471" w:rsidP="00964CC4">
            <w:pPr>
              <w:pStyle w:val="TAL"/>
              <w:rPr>
                <w:b/>
                <w:bCs/>
                <w:i/>
                <w:iCs/>
                <w:noProof/>
                <w:lang w:eastAsia="sv-SE"/>
              </w:rPr>
            </w:pPr>
            <w:r w:rsidRPr="00FA0D37">
              <w:rPr>
                <w:b/>
                <w:bCs/>
                <w:i/>
                <w:iCs/>
                <w:noProof/>
                <w:lang w:eastAsia="sv-SE"/>
              </w:rPr>
              <w:t>tdd-Config</w:t>
            </w:r>
          </w:p>
          <w:p w14:paraId="130A3CA7" w14:textId="77777777" w:rsidR="00394471" w:rsidRPr="00FA0D37" w:rsidRDefault="00394471" w:rsidP="00964CC4">
            <w:pPr>
              <w:pStyle w:val="TAL"/>
              <w:rPr>
                <w:lang w:eastAsia="zh-CN"/>
              </w:rPr>
            </w:pPr>
            <w:r w:rsidRPr="00FA0D37">
              <w:rPr>
                <w:lang w:eastAsia="sv-SE"/>
              </w:rPr>
              <w:t xml:space="preserve">This field includes the </w:t>
            </w:r>
            <w:r w:rsidRPr="00FA0D37">
              <w:rPr>
                <w:i/>
                <w:iCs/>
                <w:lang w:eastAsia="sv-SE"/>
              </w:rPr>
              <w:t>tdd-Config</w:t>
            </w:r>
            <w:r w:rsidRPr="00FA0D37">
              <w:rPr>
                <w:lang w:eastAsia="sv-SE"/>
              </w:rPr>
              <w:t xml:space="preserve"> in </w:t>
            </w:r>
            <w:r w:rsidRPr="00FA0D37">
              <w:rPr>
                <w:noProof/>
                <w:lang w:eastAsia="en-GB"/>
              </w:rPr>
              <w:t xml:space="preserve">E-UTRA </w:t>
            </w:r>
            <w:r w:rsidRPr="00FA0D37">
              <w:rPr>
                <w:i/>
                <w:iCs/>
                <w:noProof/>
                <w:lang w:eastAsia="en-GB"/>
              </w:rPr>
              <w:t>SystemInformationBlockType1</w:t>
            </w:r>
            <w:r w:rsidRPr="00FA0D37">
              <w:rPr>
                <w:noProof/>
                <w:lang w:eastAsia="en-GB"/>
              </w:rPr>
              <w:t xml:space="preserve"> message as specified in TS 36.331 [10].</w:t>
            </w:r>
          </w:p>
        </w:tc>
      </w:tr>
    </w:tbl>
    <w:p w14:paraId="575BE3BE" w14:textId="77777777" w:rsidR="00394471" w:rsidRPr="00FA0D37" w:rsidRDefault="00394471" w:rsidP="00394471">
      <w:pPr>
        <w:rPr>
          <w:rFonts w:eastAsia="Yu Mincho"/>
        </w:rPr>
      </w:pPr>
    </w:p>
    <w:p w14:paraId="7B3CC4B0" w14:textId="77777777" w:rsidR="00394471" w:rsidRPr="00FA0D37" w:rsidRDefault="00394471" w:rsidP="00394471">
      <w:pPr>
        <w:pStyle w:val="4"/>
        <w:rPr>
          <w:noProof/>
          <w:lang w:eastAsia="zh-CN"/>
        </w:rPr>
      </w:pPr>
      <w:bookmarkStart w:id="781" w:name="_Toc60777153"/>
      <w:bookmarkStart w:id="782" w:name="_Toc146781191"/>
      <w:r w:rsidRPr="00FA0D37">
        <w:t>–</w:t>
      </w:r>
      <w:r w:rsidRPr="00FA0D37">
        <w:tab/>
      </w:r>
      <w:r w:rsidRPr="00FA0D37">
        <w:rPr>
          <w:i/>
          <w:iCs/>
          <w:noProof/>
        </w:rPr>
        <w:t>SIB</w:t>
      </w:r>
      <w:r w:rsidRPr="00FA0D37">
        <w:rPr>
          <w:i/>
          <w:iCs/>
          <w:noProof/>
          <w:lang w:eastAsia="zh-CN"/>
        </w:rPr>
        <w:t>14</w:t>
      </w:r>
      <w:bookmarkEnd w:id="781"/>
      <w:bookmarkEnd w:id="782"/>
    </w:p>
    <w:p w14:paraId="65529DE1" w14:textId="77777777" w:rsidR="00394471" w:rsidRPr="00FA0D37" w:rsidRDefault="00394471" w:rsidP="00394471">
      <w:pPr>
        <w:rPr>
          <w:rFonts w:eastAsia="Yu Mincho"/>
          <w:iCs/>
        </w:rPr>
      </w:pPr>
      <w:r w:rsidRPr="00FA0D37">
        <w:t xml:space="preserve">SIB14 </w:t>
      </w:r>
      <w:r w:rsidRPr="00FA0D37">
        <w:rPr>
          <w:lang w:eastAsia="zh-CN"/>
        </w:rPr>
        <w:t xml:space="preserve">contains configurations of V2X sidelink communication defined in TS 36.331 [10], which can be used jointly with that included in </w:t>
      </w:r>
      <w:r w:rsidRPr="00FA0D37">
        <w:rPr>
          <w:i/>
          <w:lang w:eastAsia="zh-CN"/>
        </w:rPr>
        <w:t>SIB13</w:t>
      </w:r>
      <w:r w:rsidRPr="00FA0D37">
        <w:rPr>
          <w:noProof/>
        </w:rPr>
        <w:t>.</w:t>
      </w:r>
    </w:p>
    <w:p w14:paraId="2D7FAA04" w14:textId="77777777" w:rsidR="00394471" w:rsidRPr="00FA0D37" w:rsidRDefault="00394471" w:rsidP="00394471">
      <w:pPr>
        <w:pStyle w:val="TH"/>
        <w:rPr>
          <w:i/>
        </w:rPr>
      </w:pPr>
      <w:r w:rsidRPr="00FA0D37">
        <w:rPr>
          <w:i/>
          <w:noProof/>
        </w:rPr>
        <w:t xml:space="preserve">SIB14 </w:t>
      </w:r>
      <w:r w:rsidRPr="00FA0D37">
        <w:rPr>
          <w:noProof/>
        </w:rPr>
        <w:t>information element</w:t>
      </w:r>
    </w:p>
    <w:p w14:paraId="15AA16CD" w14:textId="77777777" w:rsidR="00394471" w:rsidRPr="00FA0D37" w:rsidRDefault="00394471" w:rsidP="00FA0D37">
      <w:pPr>
        <w:pStyle w:val="PL"/>
        <w:rPr>
          <w:color w:val="808080"/>
        </w:rPr>
      </w:pPr>
      <w:r w:rsidRPr="00FA0D37">
        <w:rPr>
          <w:color w:val="808080"/>
        </w:rPr>
        <w:t>-- ASN1START</w:t>
      </w:r>
    </w:p>
    <w:p w14:paraId="3939648E" w14:textId="77777777" w:rsidR="00394471" w:rsidRPr="00FA0D37" w:rsidRDefault="00394471" w:rsidP="00FA0D37">
      <w:pPr>
        <w:pStyle w:val="PL"/>
        <w:rPr>
          <w:color w:val="808080"/>
        </w:rPr>
      </w:pPr>
      <w:r w:rsidRPr="00FA0D37">
        <w:rPr>
          <w:color w:val="808080"/>
        </w:rPr>
        <w:t>-- TAG-SIB14-START</w:t>
      </w:r>
    </w:p>
    <w:p w14:paraId="69D36A42" w14:textId="77777777" w:rsidR="00394471" w:rsidRPr="00FA0D37" w:rsidRDefault="00394471" w:rsidP="00FA0D37">
      <w:pPr>
        <w:pStyle w:val="PL"/>
      </w:pPr>
    </w:p>
    <w:p w14:paraId="6EA05B89" w14:textId="77777777" w:rsidR="00394471" w:rsidRPr="00FA0D37" w:rsidRDefault="00394471" w:rsidP="00FA0D37">
      <w:pPr>
        <w:pStyle w:val="PL"/>
      </w:pPr>
      <w:r w:rsidRPr="00FA0D37">
        <w:t>SIB14</w:t>
      </w:r>
      <w:r w:rsidRPr="00FA0D37">
        <w:rPr>
          <w:rFonts w:eastAsia="等线"/>
        </w:rPr>
        <w:t>-</w:t>
      </w:r>
      <w:r w:rsidRPr="00FA0D37">
        <w:t xml:space="preserve">r16 ::=                      </w:t>
      </w:r>
      <w:r w:rsidRPr="00FA0D37">
        <w:rPr>
          <w:color w:val="993366"/>
        </w:rPr>
        <w:t>SEQUENCE</w:t>
      </w:r>
      <w:r w:rsidRPr="00FA0D37">
        <w:t xml:space="preserve"> {</w:t>
      </w:r>
    </w:p>
    <w:p w14:paraId="18E496C0" w14:textId="77777777" w:rsidR="00394471" w:rsidRPr="00FA0D37" w:rsidRDefault="00394471" w:rsidP="00FA0D37">
      <w:pPr>
        <w:pStyle w:val="PL"/>
      </w:pPr>
      <w:r w:rsidRPr="00FA0D37">
        <w:t xml:space="preserve">    sl-V2X-ConfigCommonExt-r16         </w:t>
      </w:r>
      <w:r w:rsidRPr="00FA0D37">
        <w:rPr>
          <w:color w:val="993366"/>
        </w:rPr>
        <w:t>OCTET</w:t>
      </w:r>
      <w:r w:rsidRPr="00FA0D37">
        <w:t xml:space="preserve"> </w:t>
      </w:r>
      <w:r w:rsidRPr="00FA0D37">
        <w:rPr>
          <w:color w:val="993366"/>
        </w:rPr>
        <w:t>STRING</w:t>
      </w:r>
      <w:r w:rsidRPr="00FA0D37">
        <w:t>,</w:t>
      </w:r>
    </w:p>
    <w:p w14:paraId="14780085"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AB8ADB4" w14:textId="77777777" w:rsidR="00394471" w:rsidRPr="00FA0D37" w:rsidRDefault="00394471" w:rsidP="00FA0D37">
      <w:pPr>
        <w:pStyle w:val="PL"/>
      </w:pPr>
      <w:r w:rsidRPr="00FA0D37">
        <w:t xml:space="preserve">    ...</w:t>
      </w:r>
    </w:p>
    <w:p w14:paraId="79ECC5DA" w14:textId="77777777" w:rsidR="00394471" w:rsidRPr="00FA0D37" w:rsidRDefault="00394471" w:rsidP="00FA0D37">
      <w:pPr>
        <w:pStyle w:val="PL"/>
      </w:pPr>
      <w:r w:rsidRPr="00FA0D37">
        <w:t>}</w:t>
      </w:r>
    </w:p>
    <w:p w14:paraId="0B6F38E1" w14:textId="77777777" w:rsidR="00394471" w:rsidRPr="00FA0D37" w:rsidRDefault="00394471" w:rsidP="00FA0D37">
      <w:pPr>
        <w:pStyle w:val="PL"/>
      </w:pPr>
    </w:p>
    <w:p w14:paraId="44E5CCCE" w14:textId="77777777" w:rsidR="00394471" w:rsidRPr="00FA0D37" w:rsidRDefault="00394471" w:rsidP="00FA0D37">
      <w:pPr>
        <w:pStyle w:val="PL"/>
        <w:rPr>
          <w:color w:val="808080"/>
        </w:rPr>
      </w:pPr>
      <w:r w:rsidRPr="00FA0D37">
        <w:rPr>
          <w:color w:val="808080"/>
        </w:rPr>
        <w:t>-- TAG-SIB14-STOP</w:t>
      </w:r>
    </w:p>
    <w:p w14:paraId="3EEED619" w14:textId="77777777" w:rsidR="00394471" w:rsidRPr="00FA0D37" w:rsidRDefault="00394471" w:rsidP="00FA0D37">
      <w:pPr>
        <w:pStyle w:val="PL"/>
        <w:rPr>
          <w:color w:val="808080"/>
        </w:rPr>
      </w:pPr>
      <w:r w:rsidRPr="00FA0D37">
        <w:rPr>
          <w:color w:val="808080"/>
        </w:rPr>
        <w:t>-- ASN1STOP</w:t>
      </w:r>
    </w:p>
    <w:p w14:paraId="6B98600F" w14:textId="77777777" w:rsidR="00394471" w:rsidRPr="00FA0D3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4C3F7ED5"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FAA1DA1" w14:textId="77777777" w:rsidR="00394471" w:rsidRPr="00FA0D37" w:rsidRDefault="00394471" w:rsidP="00964CC4">
            <w:pPr>
              <w:pStyle w:val="TAH"/>
              <w:rPr>
                <w:lang w:eastAsia="en-GB"/>
              </w:rPr>
            </w:pPr>
            <w:r w:rsidRPr="00FA0D37">
              <w:rPr>
                <w:bCs/>
                <w:i/>
                <w:noProof/>
                <w:lang w:eastAsia="sv-SE"/>
              </w:rPr>
              <w:t>SIB14</w:t>
            </w:r>
            <w:r w:rsidRPr="00FA0D37">
              <w:rPr>
                <w:i/>
                <w:noProof/>
                <w:lang w:eastAsia="en-GB"/>
              </w:rPr>
              <w:t xml:space="preserve"> </w:t>
            </w:r>
            <w:r w:rsidRPr="00FA0D37">
              <w:rPr>
                <w:noProof/>
                <w:lang w:eastAsia="en-GB"/>
              </w:rPr>
              <w:t>field descriptions</w:t>
            </w:r>
          </w:p>
        </w:tc>
      </w:tr>
      <w:tr w:rsidR="000830BB" w:rsidRPr="00FA0D37" w14:paraId="5A5DA01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F186F3" w14:textId="77777777" w:rsidR="00394471" w:rsidRPr="00FA0D37" w:rsidRDefault="00394471" w:rsidP="00964CC4">
            <w:pPr>
              <w:pStyle w:val="TAL"/>
              <w:rPr>
                <w:b/>
                <w:bCs/>
                <w:i/>
                <w:iCs/>
                <w:lang w:eastAsia="zh-CN"/>
              </w:rPr>
            </w:pPr>
            <w:r w:rsidRPr="00FA0D37">
              <w:rPr>
                <w:b/>
                <w:bCs/>
                <w:i/>
                <w:iCs/>
                <w:lang w:eastAsia="zh-CN"/>
              </w:rPr>
              <w:t>sl-V2X-ConfigCommonExt</w:t>
            </w:r>
          </w:p>
          <w:p w14:paraId="5ED2DC63" w14:textId="77777777" w:rsidR="00394471" w:rsidRPr="00FA0D37" w:rsidRDefault="00394471" w:rsidP="00964CC4">
            <w:pPr>
              <w:pStyle w:val="TAL"/>
              <w:rPr>
                <w:bCs/>
                <w:noProof/>
                <w:lang w:eastAsia="en-GB"/>
              </w:rPr>
            </w:pPr>
            <w:r w:rsidRPr="00FA0D37">
              <w:rPr>
                <w:lang w:eastAsia="sv-SE"/>
              </w:rPr>
              <w:t xml:space="preserve">This field includes the </w:t>
            </w:r>
            <w:r w:rsidRPr="00FA0D37">
              <w:rPr>
                <w:bCs/>
                <w:noProof/>
                <w:lang w:eastAsia="en-GB"/>
              </w:rPr>
              <w:t xml:space="preserve">E-UTRA </w:t>
            </w:r>
            <w:r w:rsidRPr="00FA0D37">
              <w:rPr>
                <w:bCs/>
                <w:i/>
                <w:iCs/>
                <w:noProof/>
                <w:lang w:eastAsia="en-GB"/>
              </w:rPr>
              <w:t>SystemInformationBlockType26</w:t>
            </w:r>
            <w:r w:rsidRPr="00FA0D37">
              <w:rPr>
                <w:bCs/>
                <w:noProof/>
                <w:lang w:eastAsia="en-GB"/>
              </w:rPr>
              <w:t xml:space="preserve"> message as specified in TS 36.331 [10].</w:t>
            </w:r>
          </w:p>
        </w:tc>
      </w:tr>
    </w:tbl>
    <w:p w14:paraId="54D2D823" w14:textId="30EFFF1A" w:rsidR="00394471" w:rsidRPr="00FA0D37" w:rsidRDefault="00394471" w:rsidP="00394471"/>
    <w:p w14:paraId="24744857" w14:textId="5F96C542" w:rsidR="00E84B6D" w:rsidRPr="00FA0D37" w:rsidRDefault="00E84B6D" w:rsidP="00E84B6D">
      <w:pPr>
        <w:pStyle w:val="4"/>
        <w:rPr>
          <w:noProof/>
          <w:lang w:eastAsia="zh-CN"/>
        </w:rPr>
      </w:pPr>
      <w:bookmarkStart w:id="783" w:name="_Toc146781192"/>
      <w:r w:rsidRPr="00FA0D37">
        <w:t>–</w:t>
      </w:r>
      <w:r w:rsidRPr="00FA0D37">
        <w:tab/>
      </w:r>
      <w:r w:rsidRPr="00FA0D37">
        <w:rPr>
          <w:i/>
          <w:iCs/>
          <w:noProof/>
        </w:rPr>
        <w:t>SIB</w:t>
      </w:r>
      <w:r w:rsidRPr="00FA0D37">
        <w:rPr>
          <w:i/>
          <w:iCs/>
          <w:noProof/>
          <w:lang w:eastAsia="zh-CN"/>
        </w:rPr>
        <w:t>15</w:t>
      </w:r>
      <w:bookmarkEnd w:id="783"/>
    </w:p>
    <w:p w14:paraId="1C07F066" w14:textId="28E8886E" w:rsidR="00E84B6D" w:rsidRPr="00FA0D37" w:rsidRDefault="00E84B6D" w:rsidP="00E84B6D">
      <w:pPr>
        <w:rPr>
          <w:rFonts w:eastAsia="Yu Mincho"/>
          <w:iCs/>
        </w:rPr>
      </w:pPr>
      <w:r w:rsidRPr="00FA0D37">
        <w:rPr>
          <w:i/>
          <w:iCs/>
        </w:rPr>
        <w:t>SIB15</w:t>
      </w:r>
      <w:r w:rsidRPr="00FA0D37">
        <w:t xml:space="preserve"> </w:t>
      </w:r>
      <w:r w:rsidRPr="00FA0D37">
        <w:rPr>
          <w:lang w:eastAsia="zh-CN"/>
        </w:rPr>
        <w:t>contains configurations of disaster roaming information</w:t>
      </w:r>
      <w:r w:rsidRPr="00FA0D37">
        <w:rPr>
          <w:noProof/>
        </w:rPr>
        <w:t>.</w:t>
      </w:r>
    </w:p>
    <w:p w14:paraId="779E34C5" w14:textId="44452AC7" w:rsidR="00E84B6D" w:rsidRPr="00FA0D37" w:rsidRDefault="00E84B6D" w:rsidP="00E84B6D">
      <w:pPr>
        <w:pStyle w:val="TH"/>
        <w:rPr>
          <w:i/>
        </w:rPr>
      </w:pPr>
      <w:r w:rsidRPr="00FA0D37">
        <w:rPr>
          <w:i/>
          <w:noProof/>
        </w:rPr>
        <w:t xml:space="preserve">SIB15 </w:t>
      </w:r>
      <w:r w:rsidRPr="00FA0D37">
        <w:rPr>
          <w:noProof/>
        </w:rPr>
        <w:t>information element</w:t>
      </w:r>
    </w:p>
    <w:p w14:paraId="0B5B60DB" w14:textId="77777777" w:rsidR="00E84B6D" w:rsidRPr="00FA0D37" w:rsidRDefault="00E84B6D" w:rsidP="00FA0D37">
      <w:pPr>
        <w:pStyle w:val="PL"/>
        <w:rPr>
          <w:color w:val="808080"/>
        </w:rPr>
      </w:pPr>
      <w:r w:rsidRPr="00FA0D37">
        <w:rPr>
          <w:color w:val="808080"/>
        </w:rPr>
        <w:t>-- ASN1START</w:t>
      </w:r>
    </w:p>
    <w:p w14:paraId="4B9F6BA1" w14:textId="54D3620F" w:rsidR="00E84B6D" w:rsidRPr="00FA0D37" w:rsidRDefault="00E84B6D" w:rsidP="00FA0D37">
      <w:pPr>
        <w:pStyle w:val="PL"/>
        <w:rPr>
          <w:color w:val="808080"/>
        </w:rPr>
      </w:pPr>
      <w:r w:rsidRPr="00FA0D37">
        <w:rPr>
          <w:color w:val="808080"/>
        </w:rPr>
        <w:t>-- TAG-SIB15-START</w:t>
      </w:r>
    </w:p>
    <w:p w14:paraId="3DF0D090" w14:textId="77777777" w:rsidR="00E84B6D" w:rsidRPr="00FA0D37" w:rsidRDefault="00E84B6D" w:rsidP="00FA0D37">
      <w:pPr>
        <w:pStyle w:val="PL"/>
      </w:pPr>
    </w:p>
    <w:p w14:paraId="5A7DEC51" w14:textId="11C03FD2" w:rsidR="00E84B6D" w:rsidRPr="00FA0D37" w:rsidRDefault="00E84B6D" w:rsidP="00FA0D37">
      <w:pPr>
        <w:pStyle w:val="PL"/>
      </w:pPr>
      <w:r w:rsidRPr="00FA0D37">
        <w:t>SIB15</w:t>
      </w:r>
      <w:r w:rsidRPr="00FA0D37">
        <w:rPr>
          <w:rFonts w:eastAsia="等线"/>
        </w:rPr>
        <w:t>-</w:t>
      </w:r>
      <w:r w:rsidRPr="00FA0D37">
        <w:t xml:space="preserve">r17 ::=                      </w:t>
      </w:r>
      <w:r w:rsidR="00753375" w:rsidRPr="00FA0D37">
        <w:t xml:space="preserve">    </w:t>
      </w:r>
      <w:r w:rsidRPr="00FA0D37">
        <w:rPr>
          <w:color w:val="993366"/>
        </w:rPr>
        <w:t>SEQUENCE</w:t>
      </w:r>
      <w:r w:rsidRPr="00FA0D37">
        <w:t xml:space="preserve"> {</w:t>
      </w:r>
    </w:p>
    <w:p w14:paraId="2BDFCE9F" w14:textId="4EA9F1EB" w:rsidR="00E84B6D" w:rsidRPr="00FA0D37" w:rsidRDefault="00753375" w:rsidP="00FA0D37">
      <w:pPr>
        <w:pStyle w:val="PL"/>
        <w:rPr>
          <w:color w:val="808080"/>
        </w:rPr>
      </w:pPr>
      <w:r w:rsidRPr="00FA0D37">
        <w:t xml:space="preserve">    </w:t>
      </w:r>
      <w:r w:rsidR="00E84B6D" w:rsidRPr="00FA0D37">
        <w:t>commonPLMNsWithDisasterCondition-r17</w:t>
      </w:r>
      <w:r w:rsidRPr="00FA0D37">
        <w:t xml:space="preserve">   </w:t>
      </w:r>
      <w:r w:rsidR="00E84B6D" w:rsidRPr="00FA0D37">
        <w:rPr>
          <w:color w:val="993366"/>
        </w:rPr>
        <w:t>SEQUENCE</w:t>
      </w:r>
      <w:r w:rsidR="00E84B6D" w:rsidRPr="00FA0D37">
        <w:t xml:space="preserve"> (</w:t>
      </w:r>
      <w:r w:rsidR="00E84B6D" w:rsidRPr="00FA0D37">
        <w:rPr>
          <w:color w:val="993366"/>
        </w:rPr>
        <w:t>SIZE</w:t>
      </w:r>
      <w:r w:rsidR="00E84B6D" w:rsidRPr="00FA0D37">
        <w:t xml:space="preserve"> (1..maxPLMN))</w:t>
      </w:r>
      <w:r w:rsidR="00E84B6D" w:rsidRPr="00FA0D37">
        <w:rPr>
          <w:color w:val="993366"/>
        </w:rPr>
        <w:t xml:space="preserve"> OF</w:t>
      </w:r>
      <w:r w:rsidR="00E84B6D" w:rsidRPr="00FA0D37">
        <w:t xml:space="preserve"> PLMN-Identity</w:t>
      </w:r>
      <w:r w:rsidRPr="00FA0D37">
        <w:t xml:space="preserve">                   </w:t>
      </w:r>
      <w:r w:rsidR="00E84B6D" w:rsidRPr="00FA0D37">
        <w:rPr>
          <w:color w:val="993366"/>
        </w:rPr>
        <w:t>OPTIONAL</w:t>
      </w:r>
      <w:r w:rsidR="00E84B6D" w:rsidRPr="00FA0D37">
        <w:t>,</w:t>
      </w:r>
      <w:r w:rsidRPr="00FA0D37">
        <w:t xml:space="preserve">  </w:t>
      </w:r>
      <w:r w:rsidR="00E84B6D" w:rsidRPr="00FA0D37">
        <w:rPr>
          <w:color w:val="808080"/>
        </w:rPr>
        <w:t>-- Need R</w:t>
      </w:r>
    </w:p>
    <w:p w14:paraId="44067284" w14:textId="1BF3D32D" w:rsidR="00E84B6D" w:rsidRPr="00FA0D37" w:rsidRDefault="00753375" w:rsidP="00FA0D37">
      <w:pPr>
        <w:pStyle w:val="PL"/>
        <w:rPr>
          <w:color w:val="808080"/>
        </w:rPr>
      </w:pPr>
      <w:r w:rsidRPr="00FA0D37">
        <w:t xml:space="preserve">    </w:t>
      </w:r>
      <w:r w:rsidR="00E84B6D" w:rsidRPr="00FA0D37">
        <w:t>applicableDisasterInfoList-r17</w:t>
      </w:r>
      <w:r w:rsidRPr="00FA0D37">
        <w:t xml:space="preserve">         </w:t>
      </w:r>
      <w:r w:rsidR="00E84B6D" w:rsidRPr="00FA0D37">
        <w:rPr>
          <w:color w:val="993366"/>
        </w:rPr>
        <w:t>SEQUENCE</w:t>
      </w:r>
      <w:r w:rsidR="00E84B6D" w:rsidRPr="00FA0D37">
        <w:t xml:space="preserve"> (</w:t>
      </w:r>
      <w:r w:rsidR="00E84B6D" w:rsidRPr="00FA0D37">
        <w:rPr>
          <w:color w:val="993366"/>
        </w:rPr>
        <w:t>SIZE</w:t>
      </w:r>
      <w:r w:rsidR="00E84B6D" w:rsidRPr="00FA0D37">
        <w:t xml:space="preserve"> (1..maxPLMN))</w:t>
      </w:r>
      <w:r w:rsidR="00E84B6D" w:rsidRPr="00FA0D37">
        <w:rPr>
          <w:color w:val="993366"/>
        </w:rPr>
        <w:t xml:space="preserve"> OF</w:t>
      </w:r>
      <w:r w:rsidR="00E84B6D" w:rsidRPr="00FA0D37">
        <w:t xml:space="preserve"> ApplicableDisasterInfo-r17</w:t>
      </w:r>
      <w:r w:rsidRPr="00FA0D37">
        <w:t xml:space="preserve">  </w:t>
      </w:r>
      <w:r w:rsidR="003B13B8" w:rsidRPr="00FA0D37">
        <w:t xml:space="preserve">    </w:t>
      </w:r>
      <w:r w:rsidR="00E84B6D" w:rsidRPr="00FA0D37">
        <w:rPr>
          <w:color w:val="993366"/>
        </w:rPr>
        <w:t>OPTIONAL</w:t>
      </w:r>
      <w:r w:rsidR="00E84B6D" w:rsidRPr="00FA0D37">
        <w:t>,</w:t>
      </w:r>
      <w:r w:rsidRPr="00FA0D37">
        <w:t xml:space="preserve">  </w:t>
      </w:r>
      <w:r w:rsidR="00E84B6D" w:rsidRPr="00FA0D37">
        <w:rPr>
          <w:color w:val="808080"/>
        </w:rPr>
        <w:t>-- Need R</w:t>
      </w:r>
    </w:p>
    <w:p w14:paraId="46641A1A" w14:textId="186EE0BD" w:rsidR="00E84B6D" w:rsidRPr="00FA0D37" w:rsidRDefault="00753375" w:rsidP="00FA0D37">
      <w:pPr>
        <w:pStyle w:val="PL"/>
      </w:pPr>
      <w:r w:rsidRPr="00FA0D37">
        <w:t xml:space="preserve">    </w:t>
      </w:r>
      <w:r w:rsidR="00E84B6D" w:rsidRPr="00FA0D37">
        <w:t>lateNonCriticalExtension</w:t>
      </w:r>
      <w:r w:rsidRPr="00FA0D37">
        <w:t xml:space="preserve">               </w:t>
      </w:r>
      <w:r w:rsidR="00E84B6D" w:rsidRPr="00FA0D37">
        <w:rPr>
          <w:color w:val="993366"/>
        </w:rPr>
        <w:t>OCTET</w:t>
      </w:r>
      <w:r w:rsidR="00E84B6D" w:rsidRPr="00FA0D37">
        <w:t xml:space="preserve"> </w:t>
      </w:r>
      <w:r w:rsidR="00E84B6D" w:rsidRPr="00FA0D37">
        <w:rPr>
          <w:color w:val="993366"/>
        </w:rPr>
        <w:t>STRING</w:t>
      </w:r>
      <w:r w:rsidR="00E84B6D" w:rsidRPr="00FA0D37">
        <w:t xml:space="preserve">                        </w:t>
      </w:r>
      <w:r w:rsidRPr="00FA0D37">
        <w:t xml:space="preserve">                 </w:t>
      </w:r>
      <w:r w:rsidR="00E84B6D" w:rsidRPr="00FA0D37">
        <w:t xml:space="preserve">       </w:t>
      </w:r>
      <w:r w:rsidRPr="00FA0D37">
        <w:t xml:space="preserve">    </w:t>
      </w:r>
      <w:r w:rsidR="00E84B6D" w:rsidRPr="00FA0D37">
        <w:rPr>
          <w:color w:val="993366"/>
        </w:rPr>
        <w:t>OPTIONAL</w:t>
      </w:r>
      <w:r w:rsidR="00E84B6D" w:rsidRPr="00FA0D37">
        <w:t>,</w:t>
      </w:r>
    </w:p>
    <w:p w14:paraId="094A43B8" w14:textId="30060343" w:rsidR="00E84B6D" w:rsidRPr="00FA0D37" w:rsidRDefault="00753375" w:rsidP="00FA0D37">
      <w:pPr>
        <w:pStyle w:val="PL"/>
      </w:pPr>
      <w:r w:rsidRPr="00FA0D37">
        <w:t xml:space="preserve">    </w:t>
      </w:r>
      <w:r w:rsidR="00E84B6D" w:rsidRPr="00FA0D37">
        <w:t>...</w:t>
      </w:r>
    </w:p>
    <w:p w14:paraId="0114AF62" w14:textId="77777777" w:rsidR="00E84B6D" w:rsidRPr="00FA0D37" w:rsidRDefault="00E84B6D" w:rsidP="00FA0D37">
      <w:pPr>
        <w:pStyle w:val="PL"/>
      </w:pPr>
      <w:r w:rsidRPr="00FA0D37">
        <w:t>}</w:t>
      </w:r>
    </w:p>
    <w:p w14:paraId="1198E54C" w14:textId="77777777" w:rsidR="00E84B6D" w:rsidRPr="00FA0D37" w:rsidRDefault="00E84B6D" w:rsidP="00FA0D37">
      <w:pPr>
        <w:pStyle w:val="PL"/>
      </w:pPr>
    </w:p>
    <w:p w14:paraId="31A14BE9" w14:textId="2B3224B2" w:rsidR="00E84B6D" w:rsidRPr="00FA0D37" w:rsidRDefault="00E84B6D" w:rsidP="00FA0D37">
      <w:pPr>
        <w:pStyle w:val="PL"/>
      </w:pPr>
      <w:r w:rsidRPr="00FA0D37">
        <w:t>ApplicableDisasterInfo-r17</w:t>
      </w:r>
      <w:r w:rsidR="00753375" w:rsidRPr="00FA0D37">
        <w:t xml:space="preserve">    </w:t>
      </w:r>
      <w:r w:rsidRPr="00FA0D37">
        <w:t xml:space="preserve">::= </w:t>
      </w:r>
      <w:r w:rsidRPr="00FA0D37">
        <w:rPr>
          <w:color w:val="993366"/>
        </w:rPr>
        <w:t>CHOICE</w:t>
      </w:r>
      <w:r w:rsidRPr="00FA0D37">
        <w:t xml:space="preserve"> {</w:t>
      </w:r>
    </w:p>
    <w:p w14:paraId="13E9EA93" w14:textId="2BDCDD6E" w:rsidR="00E84B6D" w:rsidRPr="00FA0D37" w:rsidRDefault="00753375" w:rsidP="00FA0D37">
      <w:pPr>
        <w:pStyle w:val="PL"/>
      </w:pPr>
      <w:r w:rsidRPr="00FA0D37">
        <w:t xml:space="preserve">    </w:t>
      </w:r>
      <w:r w:rsidR="00E84B6D" w:rsidRPr="00FA0D37">
        <w:t>noDisasterRoaming-r17</w:t>
      </w:r>
      <w:r w:rsidRPr="00FA0D37">
        <w:t xml:space="preserve">             </w:t>
      </w:r>
      <w:r w:rsidR="00E84B6D" w:rsidRPr="00FA0D37">
        <w:rPr>
          <w:color w:val="993366"/>
        </w:rPr>
        <w:t>NULL</w:t>
      </w:r>
      <w:r w:rsidR="00E84B6D" w:rsidRPr="00FA0D37">
        <w:t>,</w:t>
      </w:r>
    </w:p>
    <w:p w14:paraId="0FD8B8B9" w14:textId="38BC52BB" w:rsidR="00E84B6D" w:rsidRPr="00FA0D37" w:rsidRDefault="00753375" w:rsidP="00FA0D37">
      <w:pPr>
        <w:pStyle w:val="PL"/>
      </w:pPr>
      <w:r w:rsidRPr="00FA0D37">
        <w:t xml:space="preserve">    </w:t>
      </w:r>
      <w:r w:rsidR="00F928F3" w:rsidRPr="00FA0D37">
        <w:t>disasterRelatedIndication</w:t>
      </w:r>
      <w:r w:rsidR="00E84B6D" w:rsidRPr="00FA0D37">
        <w:t>-r17</w:t>
      </w:r>
      <w:r w:rsidRPr="00FA0D37">
        <w:t xml:space="preserve">    </w:t>
      </w:r>
      <w:r w:rsidR="00F928F3" w:rsidRPr="00FA0D37">
        <w:t xml:space="preserve"> </w:t>
      </w:r>
      <w:r w:rsidR="00E84B6D" w:rsidRPr="00FA0D37">
        <w:rPr>
          <w:color w:val="993366"/>
        </w:rPr>
        <w:t>NULL</w:t>
      </w:r>
      <w:r w:rsidR="00E84B6D" w:rsidRPr="00FA0D37">
        <w:t>,</w:t>
      </w:r>
    </w:p>
    <w:p w14:paraId="08334C97" w14:textId="7602386B" w:rsidR="00E84B6D" w:rsidRPr="00FA0D37" w:rsidRDefault="00753375" w:rsidP="00FA0D37">
      <w:pPr>
        <w:pStyle w:val="PL"/>
      </w:pPr>
      <w:r w:rsidRPr="00FA0D37">
        <w:t xml:space="preserve">    </w:t>
      </w:r>
      <w:r w:rsidR="00E84B6D" w:rsidRPr="00FA0D37">
        <w:t>commonPLMNs-r17</w:t>
      </w:r>
      <w:r w:rsidRPr="00FA0D37">
        <w:t xml:space="preserve">                   </w:t>
      </w:r>
      <w:r w:rsidR="00E84B6D" w:rsidRPr="00FA0D37">
        <w:rPr>
          <w:color w:val="993366"/>
        </w:rPr>
        <w:t>NULL</w:t>
      </w:r>
      <w:r w:rsidR="00E84B6D" w:rsidRPr="00FA0D37">
        <w:t>,</w:t>
      </w:r>
    </w:p>
    <w:p w14:paraId="330E019A" w14:textId="668C9DA7" w:rsidR="00E84B6D" w:rsidRPr="00FA0D37" w:rsidRDefault="00753375" w:rsidP="00FA0D37">
      <w:pPr>
        <w:pStyle w:val="PL"/>
      </w:pPr>
      <w:r w:rsidRPr="00FA0D37">
        <w:t xml:space="preserve">    </w:t>
      </w:r>
      <w:r w:rsidR="00E84B6D" w:rsidRPr="00FA0D37">
        <w:t>dedicatedPLMNs-r17</w:t>
      </w:r>
      <w:r w:rsidRPr="00FA0D37">
        <w:t xml:space="preserve">                </w:t>
      </w:r>
      <w:r w:rsidR="00E84B6D" w:rsidRPr="00FA0D37">
        <w:rPr>
          <w:color w:val="993366"/>
        </w:rPr>
        <w:t>SEQUENCE</w:t>
      </w:r>
      <w:r w:rsidR="00E84B6D" w:rsidRPr="00FA0D37">
        <w:t xml:space="preserve"> (</w:t>
      </w:r>
      <w:r w:rsidR="00E84B6D" w:rsidRPr="00FA0D37">
        <w:rPr>
          <w:color w:val="993366"/>
        </w:rPr>
        <w:t>SIZE</w:t>
      </w:r>
      <w:r w:rsidR="00E84B6D" w:rsidRPr="00FA0D37">
        <w:t xml:space="preserve"> (1..maxPLMN))</w:t>
      </w:r>
      <w:r w:rsidR="00E84B6D" w:rsidRPr="00FA0D37">
        <w:rPr>
          <w:color w:val="993366"/>
        </w:rPr>
        <w:t xml:space="preserve"> OF</w:t>
      </w:r>
      <w:r w:rsidR="00E84B6D" w:rsidRPr="00FA0D37">
        <w:t xml:space="preserve"> PLMN-Identity</w:t>
      </w:r>
    </w:p>
    <w:p w14:paraId="3B6050BE" w14:textId="77777777" w:rsidR="00E84B6D" w:rsidRPr="00FA0D37" w:rsidRDefault="00E84B6D" w:rsidP="00FA0D37">
      <w:pPr>
        <w:pStyle w:val="PL"/>
      </w:pPr>
      <w:r w:rsidRPr="00FA0D37">
        <w:t>}</w:t>
      </w:r>
    </w:p>
    <w:p w14:paraId="79065868" w14:textId="77777777" w:rsidR="00E84B6D" w:rsidRPr="00FA0D37" w:rsidRDefault="00E84B6D" w:rsidP="00FA0D37">
      <w:pPr>
        <w:pStyle w:val="PL"/>
      </w:pPr>
    </w:p>
    <w:p w14:paraId="037A8BF7" w14:textId="5B1A3240" w:rsidR="00E84B6D" w:rsidRPr="00FA0D37" w:rsidRDefault="00E84B6D" w:rsidP="00FA0D37">
      <w:pPr>
        <w:pStyle w:val="PL"/>
        <w:rPr>
          <w:color w:val="808080"/>
        </w:rPr>
      </w:pPr>
      <w:r w:rsidRPr="00FA0D37">
        <w:rPr>
          <w:color w:val="808080"/>
        </w:rPr>
        <w:t>-- TAG-SIB15-STOP</w:t>
      </w:r>
    </w:p>
    <w:p w14:paraId="0F5831B7" w14:textId="77777777" w:rsidR="00E84B6D" w:rsidRPr="00FA0D37" w:rsidRDefault="00E84B6D" w:rsidP="00FA0D37">
      <w:pPr>
        <w:pStyle w:val="PL"/>
        <w:rPr>
          <w:color w:val="808080"/>
        </w:rPr>
      </w:pPr>
      <w:r w:rsidRPr="00FA0D37">
        <w:rPr>
          <w:color w:val="808080"/>
        </w:rPr>
        <w:t>-- ASN1STOP</w:t>
      </w:r>
    </w:p>
    <w:p w14:paraId="4577E8AF" w14:textId="77777777" w:rsidR="00E84B6D" w:rsidRPr="00FA0D37" w:rsidRDefault="00E84B6D" w:rsidP="00E84B6D">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710BE677"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4266C0D" w14:textId="3EB3FC88" w:rsidR="00E84B6D" w:rsidRPr="00FA0D37" w:rsidRDefault="00E84B6D" w:rsidP="00771058">
            <w:pPr>
              <w:pStyle w:val="TAH"/>
              <w:rPr>
                <w:lang w:eastAsia="en-GB"/>
              </w:rPr>
            </w:pPr>
            <w:r w:rsidRPr="00FA0D37">
              <w:rPr>
                <w:bCs/>
                <w:i/>
                <w:noProof/>
                <w:lang w:eastAsia="sv-SE"/>
              </w:rPr>
              <w:lastRenderedPageBreak/>
              <w:t>SIB15</w:t>
            </w:r>
            <w:r w:rsidRPr="00FA0D37">
              <w:rPr>
                <w:i/>
                <w:noProof/>
                <w:lang w:eastAsia="en-GB"/>
              </w:rPr>
              <w:t xml:space="preserve"> </w:t>
            </w:r>
            <w:r w:rsidRPr="00FA0D37">
              <w:rPr>
                <w:noProof/>
                <w:lang w:eastAsia="en-GB"/>
              </w:rPr>
              <w:t>field descriptions</w:t>
            </w:r>
          </w:p>
        </w:tc>
      </w:tr>
      <w:tr w:rsidR="005C7FF4" w:rsidRPr="00FA0D37" w14:paraId="642A3A1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09568D3" w14:textId="77777777" w:rsidR="00E84B6D" w:rsidRPr="00FA0D37" w:rsidRDefault="00E84B6D" w:rsidP="00771058">
            <w:pPr>
              <w:pStyle w:val="TAL"/>
              <w:rPr>
                <w:b/>
                <w:bCs/>
                <w:i/>
                <w:iCs/>
                <w:lang w:eastAsia="zh-CN"/>
              </w:rPr>
            </w:pPr>
            <w:r w:rsidRPr="00FA0D37">
              <w:rPr>
                <w:b/>
                <w:bCs/>
                <w:i/>
                <w:iCs/>
                <w:lang w:eastAsia="zh-CN"/>
              </w:rPr>
              <w:t>commonPLMNsWithDisasterCondition</w:t>
            </w:r>
          </w:p>
          <w:p w14:paraId="2EE361C3" w14:textId="6F275125" w:rsidR="00E84B6D" w:rsidRPr="00FA0D37" w:rsidRDefault="00E84B6D" w:rsidP="00771058">
            <w:pPr>
              <w:pStyle w:val="TAL"/>
              <w:rPr>
                <w:bCs/>
                <w:noProof/>
                <w:lang w:eastAsia="en-GB"/>
              </w:rPr>
            </w:pPr>
            <w:r w:rsidRPr="00FA0D37">
              <w:rPr>
                <w:lang w:eastAsia="sv-SE"/>
              </w:rPr>
              <w:t xml:space="preserve">A list of PLMN(s) </w:t>
            </w:r>
            <w:r w:rsidR="008C0370" w:rsidRPr="00FA0D37">
              <w:rPr>
                <w:lang w:eastAsia="sv-SE"/>
              </w:rPr>
              <w:t xml:space="preserve">for which </w:t>
            </w:r>
            <w:r w:rsidRPr="00FA0D37">
              <w:rPr>
                <w:lang w:eastAsia="sv-SE"/>
              </w:rPr>
              <w:t>disaster condition</w:t>
            </w:r>
            <w:r w:rsidR="008C0370" w:rsidRPr="00FA0D37">
              <w:rPr>
                <w:lang w:eastAsia="sv-SE"/>
              </w:rPr>
              <w:t xml:space="preserve"> applies and that </w:t>
            </w:r>
            <w:r w:rsidR="008C0370" w:rsidRPr="00FA0D37">
              <w:t>disaster inbound roaming is accepted,</w:t>
            </w:r>
            <w:r w:rsidRPr="00FA0D37">
              <w:rPr>
                <w:lang w:eastAsia="sv-SE"/>
              </w:rPr>
              <w:t xml:space="preserve"> which can be commonly applicable to the PLMNs sharing the cell.</w:t>
            </w:r>
          </w:p>
        </w:tc>
      </w:tr>
      <w:tr w:rsidR="00E84B6D" w:rsidRPr="00FA0D37" w14:paraId="77D07F9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303BD21" w14:textId="77777777" w:rsidR="00E84B6D" w:rsidRPr="00FA0D37" w:rsidRDefault="00E84B6D" w:rsidP="00771058">
            <w:pPr>
              <w:pStyle w:val="TAL"/>
              <w:rPr>
                <w:b/>
                <w:bCs/>
                <w:i/>
                <w:iCs/>
                <w:lang w:eastAsia="zh-CN"/>
              </w:rPr>
            </w:pPr>
            <w:r w:rsidRPr="00FA0D37">
              <w:rPr>
                <w:b/>
                <w:bCs/>
                <w:i/>
                <w:iCs/>
                <w:lang w:eastAsia="zh-CN"/>
              </w:rPr>
              <w:t>applicableDisasterInfoList</w:t>
            </w:r>
          </w:p>
          <w:p w14:paraId="017B71FC" w14:textId="4B06B56F" w:rsidR="00E84B6D" w:rsidRPr="00FA0D37" w:rsidRDefault="00E84B6D" w:rsidP="00771058">
            <w:pPr>
              <w:pStyle w:val="TAL"/>
              <w:rPr>
                <w:bCs/>
                <w:noProof/>
                <w:lang w:eastAsia="en-GB"/>
              </w:rPr>
            </w:pPr>
            <w:r w:rsidRPr="00FA0D37">
              <w:rPr>
                <w:lang w:eastAsia="sv-SE"/>
              </w:rPr>
              <w:t xml:space="preserve">A list indicating the applicable disaster </w:t>
            </w:r>
            <w:r w:rsidR="008C0370" w:rsidRPr="00FA0D37">
              <w:rPr>
                <w:lang w:eastAsia="sv-SE"/>
              </w:rPr>
              <w:t xml:space="preserve">roaming </w:t>
            </w:r>
            <w:r w:rsidRPr="00FA0D37">
              <w:rPr>
                <w:lang w:eastAsia="sv-SE"/>
              </w:rPr>
              <w:t xml:space="preserve">information for the networks indicated in </w:t>
            </w:r>
            <w:r w:rsidRPr="00FA0D37">
              <w:rPr>
                <w:i/>
                <w:iCs/>
                <w:lang w:eastAsia="sv-SE"/>
              </w:rPr>
              <w:t>plmn-Identity</w:t>
            </w:r>
            <w:r w:rsidR="00007E8F" w:rsidRPr="00FA0D37">
              <w:rPr>
                <w:i/>
                <w:iCs/>
                <w:lang w:eastAsia="sv-SE"/>
              </w:rPr>
              <w:t>Info</w:t>
            </w:r>
            <w:r w:rsidRPr="00FA0D37">
              <w:rPr>
                <w:i/>
                <w:iCs/>
                <w:lang w:eastAsia="sv-SE"/>
              </w:rPr>
              <w:t>List</w:t>
            </w:r>
            <w:r w:rsidRPr="00FA0D37">
              <w:rPr>
                <w:lang w:eastAsia="sv-SE"/>
              </w:rPr>
              <w:t xml:space="preserve"> and </w:t>
            </w:r>
            <w:r w:rsidRPr="00FA0D37">
              <w:rPr>
                <w:i/>
                <w:iCs/>
                <w:lang w:eastAsia="sv-SE"/>
              </w:rPr>
              <w:t>npn-Identity</w:t>
            </w:r>
            <w:r w:rsidR="00007E8F" w:rsidRPr="00FA0D37">
              <w:rPr>
                <w:i/>
                <w:iCs/>
                <w:lang w:eastAsia="sv-SE"/>
              </w:rPr>
              <w:t>Info</w:t>
            </w:r>
            <w:r w:rsidRPr="00FA0D37">
              <w:rPr>
                <w:i/>
                <w:iCs/>
                <w:lang w:eastAsia="sv-SE"/>
              </w:rPr>
              <w:t>List-r16</w:t>
            </w:r>
            <w:r w:rsidRPr="00FA0D37">
              <w:rPr>
                <w:lang w:eastAsia="sv-SE"/>
              </w:rPr>
              <w:t xml:space="preserve">. The network indicates in this list one entry for each entry of </w:t>
            </w:r>
            <w:r w:rsidRPr="00FA0D37">
              <w:rPr>
                <w:i/>
                <w:iCs/>
                <w:lang w:eastAsia="sv-SE"/>
              </w:rPr>
              <w:t>plmn-Identity</w:t>
            </w:r>
            <w:r w:rsidR="00007E8F" w:rsidRPr="00FA0D37">
              <w:rPr>
                <w:i/>
                <w:iCs/>
                <w:lang w:eastAsia="sv-SE"/>
              </w:rPr>
              <w:t>Info</w:t>
            </w:r>
            <w:r w:rsidRPr="00FA0D37">
              <w:rPr>
                <w:i/>
                <w:iCs/>
                <w:lang w:eastAsia="sv-SE"/>
              </w:rPr>
              <w:t>List</w:t>
            </w:r>
            <w:r w:rsidRPr="00FA0D37">
              <w:rPr>
                <w:lang w:eastAsia="sv-SE"/>
              </w:rPr>
              <w:t xml:space="preserve">, followed by one entry for each entry of </w:t>
            </w:r>
            <w:r w:rsidRPr="00FA0D37">
              <w:rPr>
                <w:i/>
                <w:iCs/>
                <w:lang w:eastAsia="sv-SE"/>
              </w:rPr>
              <w:t>npn-Identi</w:t>
            </w:r>
            <w:r w:rsidR="00007E8F" w:rsidRPr="00FA0D37">
              <w:rPr>
                <w:i/>
                <w:iCs/>
                <w:lang w:eastAsia="sv-SE"/>
              </w:rPr>
              <w:t>t</w:t>
            </w:r>
            <w:r w:rsidRPr="00FA0D37">
              <w:rPr>
                <w:i/>
                <w:iCs/>
                <w:lang w:eastAsia="sv-SE"/>
              </w:rPr>
              <w:t>y</w:t>
            </w:r>
            <w:r w:rsidR="00007E8F" w:rsidRPr="00FA0D37">
              <w:rPr>
                <w:i/>
                <w:iCs/>
                <w:lang w:eastAsia="sv-SE"/>
              </w:rPr>
              <w:t>Info</w:t>
            </w:r>
            <w:r w:rsidRPr="00FA0D37">
              <w:rPr>
                <w:i/>
                <w:iCs/>
                <w:lang w:eastAsia="sv-SE"/>
              </w:rPr>
              <w:t>List-r16</w:t>
            </w:r>
            <w:r w:rsidRPr="00FA0D37">
              <w:rPr>
                <w:lang w:eastAsia="sv-SE"/>
              </w:rPr>
              <w:t xml:space="preserve">, meaning that this list will have as many entries as the number of entries of the combination of </w:t>
            </w:r>
            <w:r w:rsidRPr="00FA0D37">
              <w:rPr>
                <w:i/>
                <w:iCs/>
                <w:lang w:eastAsia="sv-SE"/>
              </w:rPr>
              <w:t>plmn-Identity</w:t>
            </w:r>
            <w:r w:rsidR="00007E8F" w:rsidRPr="00FA0D37">
              <w:rPr>
                <w:i/>
                <w:iCs/>
                <w:lang w:eastAsia="sv-SE"/>
              </w:rPr>
              <w:t>Info</w:t>
            </w:r>
            <w:r w:rsidRPr="00FA0D37">
              <w:rPr>
                <w:i/>
                <w:iCs/>
                <w:lang w:eastAsia="sv-SE"/>
              </w:rPr>
              <w:t>List</w:t>
            </w:r>
            <w:r w:rsidRPr="00FA0D37">
              <w:rPr>
                <w:lang w:eastAsia="sv-SE"/>
              </w:rPr>
              <w:t xml:space="preserve"> and </w:t>
            </w:r>
            <w:r w:rsidRPr="00FA0D37">
              <w:rPr>
                <w:i/>
                <w:iCs/>
                <w:lang w:eastAsia="sv-SE"/>
              </w:rPr>
              <w:t>npn-Identi</w:t>
            </w:r>
            <w:r w:rsidR="00007E8F" w:rsidRPr="00FA0D37">
              <w:rPr>
                <w:i/>
                <w:iCs/>
                <w:lang w:eastAsia="sv-SE"/>
              </w:rPr>
              <w:t>t</w:t>
            </w:r>
            <w:r w:rsidRPr="00FA0D37">
              <w:rPr>
                <w:i/>
                <w:iCs/>
                <w:lang w:eastAsia="sv-SE"/>
              </w:rPr>
              <w:t>y</w:t>
            </w:r>
            <w:r w:rsidR="00007E8F" w:rsidRPr="00FA0D37">
              <w:rPr>
                <w:i/>
                <w:iCs/>
                <w:lang w:eastAsia="sv-SE"/>
              </w:rPr>
              <w:t>Info</w:t>
            </w:r>
            <w:r w:rsidRPr="00FA0D37">
              <w:rPr>
                <w:i/>
                <w:iCs/>
                <w:lang w:eastAsia="sv-SE"/>
              </w:rPr>
              <w:t>List-r16</w:t>
            </w:r>
            <w:r w:rsidRPr="00FA0D37">
              <w:rPr>
                <w:lang w:eastAsia="sv-SE"/>
              </w:rPr>
              <w:t xml:space="preserve">. The first entry in this list indicates the disaster </w:t>
            </w:r>
            <w:r w:rsidR="008C0370" w:rsidRPr="00FA0D37">
              <w:rPr>
                <w:lang w:eastAsia="sv-SE"/>
              </w:rPr>
              <w:t xml:space="preserve">roaming </w:t>
            </w:r>
            <w:r w:rsidRPr="00FA0D37">
              <w:rPr>
                <w:lang w:eastAsia="sv-SE"/>
              </w:rPr>
              <w:t xml:space="preserve">information applicable for the network(s) in the first entry of </w:t>
            </w:r>
            <w:r w:rsidRPr="00FA0D37">
              <w:rPr>
                <w:i/>
              </w:rPr>
              <w:t>plmn-Id</w:t>
            </w:r>
            <w:r w:rsidRPr="00FA0D37">
              <w:rPr>
                <w:i/>
                <w:iCs/>
              </w:rPr>
              <w:t>entity</w:t>
            </w:r>
            <w:r w:rsidR="00007E8F" w:rsidRPr="00FA0D37">
              <w:rPr>
                <w:i/>
                <w:iCs/>
                <w:lang w:eastAsia="sv-SE"/>
              </w:rPr>
              <w:t>Info</w:t>
            </w:r>
            <w:r w:rsidRPr="00FA0D37">
              <w:rPr>
                <w:i/>
              </w:rPr>
              <w:t>List</w:t>
            </w:r>
            <w:r w:rsidRPr="00FA0D37">
              <w:rPr>
                <w:iCs/>
              </w:rPr>
              <w:t>/</w:t>
            </w:r>
            <w:r w:rsidRPr="00FA0D37">
              <w:rPr>
                <w:i/>
              </w:rPr>
              <w:t>npn-Identity</w:t>
            </w:r>
            <w:r w:rsidR="00007E8F" w:rsidRPr="00FA0D37">
              <w:rPr>
                <w:i/>
                <w:iCs/>
                <w:lang w:eastAsia="sv-SE"/>
              </w:rPr>
              <w:t>Info</w:t>
            </w:r>
            <w:r w:rsidRPr="00FA0D37">
              <w:rPr>
                <w:i/>
              </w:rPr>
              <w:t>List-r16</w:t>
            </w:r>
            <w:r w:rsidRPr="00FA0D37">
              <w:rPr>
                <w:iCs/>
              </w:rPr>
              <w:t xml:space="preserve">, the second entry in this list </w:t>
            </w:r>
            <w:r w:rsidRPr="00FA0D37">
              <w:rPr>
                <w:lang w:eastAsia="sv-SE"/>
              </w:rPr>
              <w:t xml:space="preserve">indicates the disaster </w:t>
            </w:r>
            <w:r w:rsidR="008C0370" w:rsidRPr="00FA0D37">
              <w:rPr>
                <w:lang w:eastAsia="sv-SE"/>
              </w:rPr>
              <w:t xml:space="preserve">roaming </w:t>
            </w:r>
            <w:r w:rsidRPr="00FA0D37">
              <w:rPr>
                <w:lang w:eastAsia="sv-SE"/>
              </w:rPr>
              <w:t xml:space="preserve">information applicable for the network(s) in the second entry of </w:t>
            </w:r>
            <w:r w:rsidRPr="00FA0D37">
              <w:rPr>
                <w:i/>
              </w:rPr>
              <w:t>plmn-Id</w:t>
            </w:r>
            <w:r w:rsidRPr="00FA0D37">
              <w:rPr>
                <w:i/>
                <w:iCs/>
              </w:rPr>
              <w:t>entity</w:t>
            </w:r>
            <w:r w:rsidR="00007E8F" w:rsidRPr="00FA0D37">
              <w:rPr>
                <w:i/>
                <w:iCs/>
                <w:lang w:eastAsia="sv-SE"/>
              </w:rPr>
              <w:t>Info</w:t>
            </w:r>
            <w:r w:rsidRPr="00FA0D37">
              <w:rPr>
                <w:i/>
              </w:rPr>
              <w:t>List</w:t>
            </w:r>
            <w:r w:rsidRPr="00FA0D37">
              <w:rPr>
                <w:iCs/>
              </w:rPr>
              <w:t>/</w:t>
            </w:r>
            <w:r w:rsidRPr="00FA0D37">
              <w:rPr>
                <w:i/>
              </w:rPr>
              <w:t>npn-Identity</w:t>
            </w:r>
            <w:r w:rsidR="00007E8F" w:rsidRPr="00FA0D37">
              <w:rPr>
                <w:i/>
                <w:iCs/>
                <w:lang w:eastAsia="sv-SE"/>
              </w:rPr>
              <w:t>Info</w:t>
            </w:r>
            <w:r w:rsidRPr="00FA0D37">
              <w:rPr>
                <w:i/>
              </w:rPr>
              <w:t>List-r16</w:t>
            </w:r>
            <w:r w:rsidRPr="00FA0D37">
              <w:rPr>
                <w:iCs/>
              </w:rPr>
              <w:t>, and so on</w:t>
            </w:r>
            <w:r w:rsidRPr="00FA0D37">
              <w:rPr>
                <w:lang w:eastAsia="sv-SE"/>
              </w:rPr>
              <w:t xml:space="preserve">. Each entry in this list can either be having the value </w:t>
            </w:r>
            <w:r w:rsidRPr="00FA0D37">
              <w:rPr>
                <w:i/>
                <w:iCs/>
                <w:lang w:eastAsia="sv-SE"/>
              </w:rPr>
              <w:t>noDisasterRoaming</w:t>
            </w:r>
            <w:r w:rsidRPr="00FA0D37">
              <w:rPr>
                <w:lang w:eastAsia="sv-SE"/>
              </w:rPr>
              <w:t xml:space="preserve">, </w:t>
            </w:r>
            <w:r w:rsidR="00F928F3" w:rsidRPr="00FA0D37">
              <w:rPr>
                <w:i/>
                <w:iCs/>
                <w:lang w:eastAsia="sv-SE"/>
              </w:rPr>
              <w:t>disasterRelatedIndication</w:t>
            </w:r>
            <w:r w:rsidRPr="00FA0D37">
              <w:rPr>
                <w:lang w:eastAsia="sv-SE"/>
              </w:rPr>
              <w:t xml:space="preserve">, </w:t>
            </w:r>
            <w:r w:rsidRPr="00FA0D37">
              <w:rPr>
                <w:i/>
                <w:iCs/>
              </w:rPr>
              <w:t>commonPLMNs</w:t>
            </w:r>
            <w:r w:rsidRPr="00FA0D37">
              <w:t xml:space="preserve">, or </w:t>
            </w:r>
            <w:r w:rsidRPr="00FA0D37">
              <w:rPr>
                <w:i/>
                <w:iCs/>
              </w:rPr>
              <w:t>dedicatedPLMNs</w:t>
            </w:r>
            <w:r w:rsidRPr="00FA0D37">
              <w:rPr>
                <w:lang w:eastAsia="sv-SE"/>
              </w:rPr>
              <w:t xml:space="preserve">. If an entry in this list takes the value </w:t>
            </w:r>
            <w:r w:rsidRPr="00FA0D37">
              <w:rPr>
                <w:i/>
                <w:iCs/>
                <w:lang w:eastAsia="sv-SE"/>
              </w:rPr>
              <w:t>noDisasterRoaming</w:t>
            </w:r>
            <w:r w:rsidRPr="00FA0D37">
              <w:rPr>
                <w:lang w:eastAsia="sv-SE"/>
              </w:rPr>
              <w:t xml:space="preserve">, disaster </w:t>
            </w:r>
            <w:r w:rsidR="008C0370" w:rsidRPr="00FA0D37">
              <w:rPr>
                <w:lang w:eastAsia="sv-SE"/>
              </w:rPr>
              <w:t xml:space="preserve">inbound </w:t>
            </w:r>
            <w:r w:rsidRPr="00FA0D37">
              <w:rPr>
                <w:lang w:eastAsia="sv-SE"/>
              </w:rPr>
              <w:t xml:space="preserve">roaming is not allowed </w:t>
            </w:r>
            <w:r w:rsidR="008C0370" w:rsidRPr="00FA0D37">
              <w:rPr>
                <w:lang w:eastAsia="sv-SE"/>
              </w:rPr>
              <w:t xml:space="preserve">in </w:t>
            </w:r>
            <w:r w:rsidRPr="00FA0D37">
              <w:rPr>
                <w:lang w:eastAsia="sv-SE"/>
              </w:rPr>
              <w:t xml:space="preserve">this network(s). If an entry in this list takes the value </w:t>
            </w:r>
            <w:r w:rsidR="00F928F3" w:rsidRPr="00FA0D37">
              <w:rPr>
                <w:i/>
                <w:iCs/>
                <w:lang w:eastAsia="sv-SE"/>
              </w:rPr>
              <w:t>disasterRelatedIndication</w:t>
            </w:r>
            <w:r w:rsidR="00F928F3" w:rsidRPr="00FA0D37">
              <w:rPr>
                <w:lang w:eastAsia="sv-SE"/>
              </w:rPr>
              <w:t xml:space="preserve">, </w:t>
            </w:r>
            <w:r w:rsidR="00F928F3" w:rsidRPr="00FA0D37">
              <w:t>the meaning of this field for this network(s) is as specified for "disaster related indication" in TS 23.122 [74], clause 4.4.3.1.1</w:t>
            </w:r>
            <w:r w:rsidRPr="00FA0D37">
              <w:t xml:space="preserve">. </w:t>
            </w:r>
            <w:r w:rsidRPr="00FA0D37">
              <w:rPr>
                <w:lang w:eastAsia="sv-SE"/>
              </w:rPr>
              <w:t xml:space="preserve">If an entry in this list takes the value </w:t>
            </w:r>
            <w:r w:rsidRPr="00FA0D37">
              <w:rPr>
                <w:i/>
                <w:iCs/>
              </w:rPr>
              <w:t>commonPLMNs</w:t>
            </w:r>
            <w:r w:rsidRPr="00FA0D37">
              <w:t xml:space="preserve">, the PLMN(s) with disaster conditions indicated in the field </w:t>
            </w:r>
            <w:r w:rsidRPr="00FA0D37">
              <w:rPr>
                <w:i/>
                <w:iCs/>
              </w:rPr>
              <w:t>commonPLMNsWithDisasterCondition</w:t>
            </w:r>
            <w:r w:rsidRPr="00FA0D37">
              <w:t xml:space="preserve"> apply for this </w:t>
            </w:r>
            <w:r w:rsidR="008C0370" w:rsidRPr="00FA0D37">
              <w:t>network(s)</w:t>
            </w:r>
            <w:r w:rsidRPr="00FA0D37">
              <w:t xml:space="preserve">. If an entry in this list contains the value </w:t>
            </w:r>
            <w:r w:rsidRPr="00FA0D37">
              <w:rPr>
                <w:i/>
                <w:iCs/>
              </w:rPr>
              <w:t>dedicatedPLMNs</w:t>
            </w:r>
            <w:r w:rsidRPr="00FA0D37">
              <w:t>, the listed PLMN(s) are the PLMN(s) with disaster conditions that the network(s) corresponding to this entry</w:t>
            </w:r>
            <w:r w:rsidR="008C0370" w:rsidRPr="00FA0D37">
              <w:t xml:space="preserve"> accepts disaster inbound roamers from</w:t>
            </w:r>
            <w:r w:rsidRPr="00FA0D37">
              <w:t xml:space="preserve">. </w:t>
            </w:r>
            <w:r w:rsidRPr="00FA0D37">
              <w:rPr>
                <w:lang w:eastAsia="sv-SE"/>
              </w:rPr>
              <w:t xml:space="preserve">For SNPNs, the network indicates the value </w:t>
            </w:r>
            <w:r w:rsidRPr="00FA0D37">
              <w:rPr>
                <w:i/>
                <w:iCs/>
                <w:lang w:eastAsia="sv-SE"/>
              </w:rPr>
              <w:t>noDisasterRoaming</w:t>
            </w:r>
            <w:r w:rsidRPr="00FA0D37">
              <w:rPr>
                <w:lang w:eastAsia="sv-SE"/>
              </w:rPr>
              <w:t>.</w:t>
            </w:r>
          </w:p>
        </w:tc>
      </w:tr>
    </w:tbl>
    <w:p w14:paraId="021A59F9" w14:textId="66BFDEF4" w:rsidR="00E84B6D" w:rsidRPr="00FA0D37" w:rsidRDefault="00E84B6D" w:rsidP="00394471"/>
    <w:p w14:paraId="48A4A17C" w14:textId="009C80C4" w:rsidR="00EC5164" w:rsidRPr="00FA0D37" w:rsidRDefault="00EC5164" w:rsidP="00EC5164">
      <w:pPr>
        <w:pStyle w:val="4"/>
        <w:rPr>
          <w:lang w:eastAsia="zh-CN"/>
        </w:rPr>
      </w:pPr>
      <w:bookmarkStart w:id="784" w:name="_Toc146781193"/>
      <w:r w:rsidRPr="00FA0D37">
        <w:t>–</w:t>
      </w:r>
      <w:r w:rsidRPr="00FA0D37">
        <w:tab/>
      </w:r>
      <w:r w:rsidRPr="00FA0D37">
        <w:rPr>
          <w:i/>
          <w:iCs/>
        </w:rPr>
        <w:t>SIB16</w:t>
      </w:r>
      <w:bookmarkEnd w:id="784"/>
    </w:p>
    <w:p w14:paraId="6ED3DDDF" w14:textId="7E99D97A" w:rsidR="00EC5164" w:rsidRPr="00FA0D37" w:rsidRDefault="00EC5164" w:rsidP="00EC5164">
      <w:pPr>
        <w:rPr>
          <w:rFonts w:eastAsia="Yu Mincho"/>
          <w:iCs/>
        </w:rPr>
      </w:pPr>
      <w:r w:rsidRPr="00FA0D37">
        <w:t xml:space="preserve">SIB16 </w:t>
      </w:r>
      <w:r w:rsidRPr="00FA0D37">
        <w:rPr>
          <w:lang w:eastAsia="zh-CN"/>
        </w:rPr>
        <w:t>contains configurations of slice</w:t>
      </w:r>
      <w:r w:rsidR="007D3EDC" w:rsidRPr="00FA0D37">
        <w:rPr>
          <w:lang w:eastAsia="zh-CN"/>
        </w:rPr>
        <w:t>-based</w:t>
      </w:r>
      <w:r w:rsidRPr="00FA0D37">
        <w:rPr>
          <w:lang w:eastAsia="zh-CN"/>
        </w:rPr>
        <w:t xml:space="preserve"> cell reselection information.</w:t>
      </w:r>
    </w:p>
    <w:p w14:paraId="50F3AD52" w14:textId="237EB13E" w:rsidR="00EC5164" w:rsidRPr="00FA0D37" w:rsidRDefault="00EC5164" w:rsidP="00EC5164">
      <w:pPr>
        <w:pStyle w:val="TH"/>
        <w:rPr>
          <w:i/>
        </w:rPr>
      </w:pPr>
      <w:r w:rsidRPr="00FA0D37">
        <w:rPr>
          <w:i/>
        </w:rPr>
        <w:t xml:space="preserve">SIB16 </w:t>
      </w:r>
      <w:r w:rsidRPr="00FA0D37">
        <w:t>information element</w:t>
      </w:r>
    </w:p>
    <w:p w14:paraId="2F4CFFA0" w14:textId="77777777" w:rsidR="00EC5164" w:rsidRPr="00FA0D37" w:rsidRDefault="00EC5164" w:rsidP="00FA0D37">
      <w:pPr>
        <w:pStyle w:val="PL"/>
        <w:rPr>
          <w:color w:val="808080"/>
        </w:rPr>
      </w:pPr>
      <w:r w:rsidRPr="00FA0D37">
        <w:rPr>
          <w:color w:val="808080"/>
        </w:rPr>
        <w:t>-- ASN1START</w:t>
      </w:r>
    </w:p>
    <w:p w14:paraId="37F778FD" w14:textId="79B0B299" w:rsidR="00EC5164" w:rsidRPr="00FA0D37" w:rsidRDefault="00EC5164" w:rsidP="00FA0D37">
      <w:pPr>
        <w:pStyle w:val="PL"/>
        <w:rPr>
          <w:color w:val="808080"/>
        </w:rPr>
      </w:pPr>
      <w:r w:rsidRPr="00FA0D37">
        <w:rPr>
          <w:color w:val="808080"/>
        </w:rPr>
        <w:t>-- TAG-SIB16-START</w:t>
      </w:r>
    </w:p>
    <w:p w14:paraId="2BE94FE9" w14:textId="77777777" w:rsidR="00EC5164" w:rsidRPr="00FA0D37" w:rsidRDefault="00EC5164" w:rsidP="00FA0D37">
      <w:pPr>
        <w:pStyle w:val="PL"/>
      </w:pPr>
    </w:p>
    <w:p w14:paraId="30AB7ADB" w14:textId="0B6BBE4D" w:rsidR="00EC5164" w:rsidRPr="00FA0D37" w:rsidRDefault="00EC5164" w:rsidP="00FA0D37">
      <w:pPr>
        <w:pStyle w:val="PL"/>
      </w:pPr>
      <w:r w:rsidRPr="00FA0D37">
        <w:t>SIB16</w:t>
      </w:r>
      <w:r w:rsidRPr="00FA0D37">
        <w:rPr>
          <w:rFonts w:eastAsia="等线"/>
        </w:rPr>
        <w:t>-</w:t>
      </w:r>
      <w:r w:rsidRPr="00FA0D37">
        <w:t xml:space="preserve">r17 ::=                    </w:t>
      </w:r>
      <w:r w:rsidRPr="00FA0D37">
        <w:rPr>
          <w:color w:val="993366"/>
        </w:rPr>
        <w:t>SEQUENCE</w:t>
      </w:r>
      <w:r w:rsidRPr="00FA0D37">
        <w:t xml:space="preserve"> {</w:t>
      </w:r>
    </w:p>
    <w:p w14:paraId="3D94FBE6" w14:textId="6C68066A" w:rsidR="00EC5164" w:rsidRPr="00FA0D37" w:rsidRDefault="00EC5164" w:rsidP="00FA0D37">
      <w:pPr>
        <w:pStyle w:val="PL"/>
        <w:rPr>
          <w:color w:val="808080"/>
        </w:rPr>
      </w:pPr>
      <w:r w:rsidRPr="00FA0D37">
        <w:t xml:space="preserve">    </w:t>
      </w:r>
      <w:r w:rsidR="00FB4401" w:rsidRPr="00FA0D37">
        <w:t>freqPriorityListSlicing</w:t>
      </w:r>
      <w:r w:rsidRPr="00FA0D37">
        <w:t xml:space="preserve">-r17    </w:t>
      </w:r>
      <w:r w:rsidR="0003388D" w:rsidRPr="00FA0D37">
        <w:t xml:space="preserve">  </w:t>
      </w:r>
      <w:r w:rsidR="00AC2C23" w:rsidRPr="00FA0D37">
        <w:t>FreqPriorityListSlicing</w:t>
      </w:r>
      <w:r w:rsidRPr="00FA0D37">
        <w:t xml:space="preserve">-r17            </w:t>
      </w:r>
      <w:r w:rsidR="0003388D" w:rsidRPr="00FA0D37">
        <w:t xml:space="preserve">  </w:t>
      </w:r>
      <w:r w:rsidRPr="00FA0D37">
        <w:rPr>
          <w:color w:val="993366"/>
        </w:rPr>
        <w:t>OPTIONAL</w:t>
      </w:r>
      <w:r w:rsidRPr="00FA0D37">
        <w:t>,</w:t>
      </w:r>
      <w:r w:rsidR="005D3C7B" w:rsidRPr="00FA0D37">
        <w:t xml:space="preserve">  </w:t>
      </w:r>
      <w:r w:rsidR="005D3C7B" w:rsidRPr="00FA0D37">
        <w:rPr>
          <w:color w:val="808080"/>
        </w:rPr>
        <w:t xml:space="preserve">-- Need </w:t>
      </w:r>
      <w:r w:rsidR="00C7650C" w:rsidRPr="00FA0D37">
        <w:rPr>
          <w:color w:val="808080"/>
        </w:rPr>
        <w:t>R</w:t>
      </w:r>
    </w:p>
    <w:p w14:paraId="17908651" w14:textId="742CB693" w:rsidR="00EC5164" w:rsidRPr="00FA0D37" w:rsidRDefault="00EC5164"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E7D8A26" w14:textId="77777777" w:rsidR="00EC5164" w:rsidRPr="00FA0D37" w:rsidRDefault="00EC5164" w:rsidP="00FA0D37">
      <w:pPr>
        <w:pStyle w:val="PL"/>
      </w:pPr>
      <w:r w:rsidRPr="00FA0D37">
        <w:t xml:space="preserve">    ...</w:t>
      </w:r>
    </w:p>
    <w:p w14:paraId="51299A89" w14:textId="77777777" w:rsidR="00EC5164" w:rsidRPr="00FA0D37" w:rsidRDefault="00EC5164" w:rsidP="00FA0D37">
      <w:pPr>
        <w:pStyle w:val="PL"/>
      </w:pPr>
      <w:r w:rsidRPr="00FA0D37">
        <w:t>}</w:t>
      </w:r>
    </w:p>
    <w:p w14:paraId="441A6597" w14:textId="77777777" w:rsidR="00EC5164" w:rsidRPr="00FA0D37" w:rsidRDefault="00EC5164" w:rsidP="00FA0D37">
      <w:pPr>
        <w:pStyle w:val="PL"/>
      </w:pPr>
    </w:p>
    <w:p w14:paraId="43B83A4E" w14:textId="1BA56A82" w:rsidR="00EC5164" w:rsidRPr="00FA0D37" w:rsidRDefault="00EC5164" w:rsidP="00FA0D37">
      <w:pPr>
        <w:pStyle w:val="PL"/>
        <w:rPr>
          <w:color w:val="808080"/>
        </w:rPr>
      </w:pPr>
      <w:r w:rsidRPr="00FA0D37">
        <w:rPr>
          <w:color w:val="808080"/>
        </w:rPr>
        <w:t>-- TAG-SIB16-STOP</w:t>
      </w:r>
    </w:p>
    <w:p w14:paraId="0DA1A41F" w14:textId="77777777" w:rsidR="00EC5164" w:rsidRPr="00FA0D37" w:rsidRDefault="00EC5164" w:rsidP="00FA0D37">
      <w:pPr>
        <w:pStyle w:val="PL"/>
        <w:rPr>
          <w:color w:val="808080"/>
        </w:rPr>
      </w:pPr>
      <w:r w:rsidRPr="00FA0D37">
        <w:rPr>
          <w:color w:val="808080"/>
        </w:rPr>
        <w:t>-- ASN1STOP</w:t>
      </w:r>
    </w:p>
    <w:p w14:paraId="0D21EE50" w14:textId="77777777" w:rsidR="00EC5164" w:rsidRPr="00FA0D37" w:rsidRDefault="00EC5164" w:rsidP="00EC516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5C7FF4" w:rsidRPr="00FA0D37" w14:paraId="0F08A5FA" w14:textId="77777777" w:rsidTr="0077105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9C03D9D" w14:textId="3043FB71" w:rsidR="00EC5164" w:rsidRPr="00FA0D37" w:rsidRDefault="00EC5164" w:rsidP="00771058">
            <w:pPr>
              <w:pStyle w:val="TAH"/>
              <w:rPr>
                <w:lang w:eastAsia="en-GB"/>
              </w:rPr>
            </w:pPr>
            <w:r w:rsidRPr="00FA0D37">
              <w:rPr>
                <w:bCs/>
                <w:i/>
                <w:lang w:eastAsia="sv-SE"/>
              </w:rPr>
              <w:t>SIB16</w:t>
            </w:r>
            <w:r w:rsidRPr="00FA0D37">
              <w:rPr>
                <w:i/>
                <w:lang w:eastAsia="en-GB"/>
              </w:rPr>
              <w:t xml:space="preserve"> </w:t>
            </w:r>
            <w:r w:rsidRPr="00FA0D37">
              <w:rPr>
                <w:lang w:eastAsia="en-GB"/>
              </w:rPr>
              <w:t>field descriptions</w:t>
            </w:r>
          </w:p>
        </w:tc>
      </w:tr>
      <w:tr w:rsidR="00EC5164" w:rsidRPr="00FA0D37" w14:paraId="4578690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59D4178C" w14:textId="6DCAF5A9" w:rsidR="00EC5164" w:rsidRPr="00FA0D37" w:rsidRDefault="0003388D" w:rsidP="00771058">
            <w:pPr>
              <w:pStyle w:val="TAL"/>
              <w:rPr>
                <w:b/>
                <w:bCs/>
                <w:i/>
                <w:iCs/>
                <w:lang w:eastAsia="zh-CN"/>
              </w:rPr>
            </w:pPr>
            <w:r w:rsidRPr="00FA0D37">
              <w:rPr>
                <w:b/>
                <w:bCs/>
                <w:i/>
                <w:iCs/>
                <w:lang w:eastAsia="zh-CN"/>
              </w:rPr>
              <w:t>freqPriorityListSlicing</w:t>
            </w:r>
          </w:p>
          <w:p w14:paraId="38984AC0" w14:textId="77777777" w:rsidR="00EC5164" w:rsidRPr="00FA0D37" w:rsidRDefault="00EC5164" w:rsidP="00771058">
            <w:pPr>
              <w:pStyle w:val="TAL"/>
              <w:rPr>
                <w:bCs/>
                <w:lang w:eastAsia="en-GB"/>
              </w:rPr>
            </w:pPr>
            <w:r w:rsidRPr="00FA0D37">
              <w:rPr>
                <w:lang w:eastAsia="sv-SE"/>
              </w:rPr>
              <w:t>This field indicates cell reselection priorities for slicing</w:t>
            </w:r>
            <w:r w:rsidRPr="00FA0D37">
              <w:rPr>
                <w:bCs/>
                <w:lang w:eastAsia="en-GB"/>
              </w:rPr>
              <w:t>.</w:t>
            </w:r>
          </w:p>
        </w:tc>
      </w:tr>
    </w:tbl>
    <w:p w14:paraId="69D91918" w14:textId="6EEA6E6F" w:rsidR="00EC5164" w:rsidRPr="00FA0D37" w:rsidRDefault="00EC5164" w:rsidP="00394471"/>
    <w:p w14:paraId="6468EFCF" w14:textId="4AB2042B" w:rsidR="00B623BD" w:rsidRPr="00FA0D37" w:rsidRDefault="00B623BD" w:rsidP="00B623BD">
      <w:pPr>
        <w:pStyle w:val="4"/>
        <w:rPr>
          <w:rFonts w:eastAsia="等线"/>
          <w:noProof/>
          <w:lang w:eastAsia="zh-CN"/>
        </w:rPr>
      </w:pPr>
      <w:bookmarkStart w:id="785" w:name="_Toc146781194"/>
      <w:bookmarkStart w:id="786" w:name="_Hlk92653127"/>
      <w:r w:rsidRPr="00FA0D37">
        <w:t>–</w:t>
      </w:r>
      <w:r w:rsidRPr="00FA0D37">
        <w:tab/>
      </w:r>
      <w:r w:rsidR="00B512AA" w:rsidRPr="00FA0D37">
        <w:rPr>
          <w:i/>
          <w:iCs/>
          <w:noProof/>
        </w:rPr>
        <w:t>SIB17</w:t>
      </w:r>
      <w:bookmarkEnd w:id="785"/>
    </w:p>
    <w:p w14:paraId="6F8D6D0E" w14:textId="20F0F715" w:rsidR="00B623BD" w:rsidRPr="00FA0D37" w:rsidRDefault="00B512AA" w:rsidP="00B623BD">
      <w:pPr>
        <w:rPr>
          <w:noProof/>
        </w:rPr>
      </w:pPr>
      <w:r w:rsidRPr="00FA0D37">
        <w:t>SIB17</w:t>
      </w:r>
      <w:r w:rsidR="00B623BD" w:rsidRPr="00FA0D37">
        <w:rPr>
          <w:rFonts w:eastAsia="等线"/>
        </w:rPr>
        <w:t xml:space="preserve"> </w:t>
      </w:r>
      <w:r w:rsidR="00B623BD" w:rsidRPr="00FA0D37">
        <w:t>contains configurations of TRS resources for idle/inactive UEs</w:t>
      </w:r>
      <w:r w:rsidR="00B623BD" w:rsidRPr="00FA0D37">
        <w:rPr>
          <w:noProof/>
        </w:rPr>
        <w:t>.</w:t>
      </w:r>
    </w:p>
    <w:p w14:paraId="1F9DAF25" w14:textId="68F37FE1" w:rsidR="00B623BD" w:rsidRPr="00FA0D37" w:rsidRDefault="00B512AA" w:rsidP="00B623BD">
      <w:pPr>
        <w:pStyle w:val="TH"/>
        <w:rPr>
          <w:i/>
        </w:rPr>
      </w:pPr>
      <w:r w:rsidRPr="00FA0D37">
        <w:rPr>
          <w:i/>
          <w:noProof/>
        </w:rPr>
        <w:lastRenderedPageBreak/>
        <w:t>SIB17</w:t>
      </w:r>
      <w:r w:rsidR="00B623BD" w:rsidRPr="00FA0D37">
        <w:rPr>
          <w:i/>
          <w:noProof/>
        </w:rPr>
        <w:t xml:space="preserve"> </w:t>
      </w:r>
      <w:r w:rsidR="00B623BD" w:rsidRPr="00FA0D37">
        <w:rPr>
          <w:noProof/>
        </w:rPr>
        <w:t>information element</w:t>
      </w:r>
    </w:p>
    <w:p w14:paraId="7F54D80F" w14:textId="77777777" w:rsidR="00B623BD" w:rsidRPr="00FA0D37" w:rsidRDefault="00B623BD" w:rsidP="00FA0D37">
      <w:pPr>
        <w:pStyle w:val="PL"/>
        <w:rPr>
          <w:color w:val="808080"/>
        </w:rPr>
      </w:pPr>
      <w:r w:rsidRPr="00FA0D37">
        <w:rPr>
          <w:color w:val="808080"/>
        </w:rPr>
        <w:t>-- ASN1START</w:t>
      </w:r>
    </w:p>
    <w:p w14:paraId="74F1AB6F" w14:textId="6D1A3D5F" w:rsidR="00B623BD" w:rsidRPr="00FA0D37" w:rsidRDefault="00B623BD" w:rsidP="00FA0D37">
      <w:pPr>
        <w:pStyle w:val="PL"/>
        <w:rPr>
          <w:color w:val="808080"/>
        </w:rPr>
      </w:pPr>
      <w:r w:rsidRPr="00FA0D37">
        <w:rPr>
          <w:color w:val="808080"/>
        </w:rPr>
        <w:t>-- TAG-</w:t>
      </w:r>
      <w:r w:rsidR="00B512AA" w:rsidRPr="00FA0D37">
        <w:rPr>
          <w:color w:val="808080"/>
        </w:rPr>
        <w:t>SIB17</w:t>
      </w:r>
      <w:r w:rsidRPr="00FA0D37">
        <w:rPr>
          <w:color w:val="808080"/>
        </w:rPr>
        <w:t>-START</w:t>
      </w:r>
    </w:p>
    <w:p w14:paraId="764AC86B" w14:textId="77777777" w:rsidR="00B623BD" w:rsidRPr="00FA0D37" w:rsidRDefault="00B623BD" w:rsidP="00FA0D37">
      <w:pPr>
        <w:pStyle w:val="PL"/>
      </w:pPr>
    </w:p>
    <w:p w14:paraId="2DF79DE5" w14:textId="50613813" w:rsidR="00B623BD" w:rsidRPr="00FA0D37" w:rsidRDefault="00B512AA" w:rsidP="00FA0D37">
      <w:pPr>
        <w:pStyle w:val="PL"/>
      </w:pPr>
      <w:r w:rsidRPr="00FA0D37">
        <w:t>SIB17</w:t>
      </w:r>
      <w:r w:rsidR="00B623BD" w:rsidRPr="00FA0D37">
        <w:rPr>
          <w:rFonts w:eastAsia="等线"/>
        </w:rPr>
        <w:t>-</w:t>
      </w:r>
      <w:r w:rsidR="00B623BD" w:rsidRPr="00FA0D37">
        <w:t xml:space="preserve">r17 ::=               </w:t>
      </w:r>
      <w:r w:rsidR="00B623BD" w:rsidRPr="00FA0D37">
        <w:rPr>
          <w:color w:val="993366"/>
        </w:rPr>
        <w:t>SEQUENCE</w:t>
      </w:r>
      <w:r w:rsidR="00B623BD" w:rsidRPr="00FA0D37">
        <w:t xml:space="preserve"> {</w:t>
      </w:r>
    </w:p>
    <w:p w14:paraId="0F7118C3" w14:textId="1E3F36A1" w:rsidR="00B623BD" w:rsidRPr="00FA0D37" w:rsidRDefault="00B623BD" w:rsidP="00FA0D37">
      <w:pPr>
        <w:pStyle w:val="PL"/>
      </w:pPr>
      <w:r w:rsidRPr="00FA0D37">
        <w:t xml:space="preserve">    segmentNumber-r17           </w:t>
      </w:r>
      <w:r w:rsidRPr="00FA0D37">
        <w:rPr>
          <w:color w:val="993366"/>
        </w:rPr>
        <w:t>INTEGER</w:t>
      </w:r>
      <w:r w:rsidRPr="00FA0D37">
        <w:t xml:space="preserve"> (0..</w:t>
      </w:r>
      <w:r w:rsidR="00827A1B" w:rsidRPr="00FA0D37">
        <w:rPr>
          <w:rFonts w:eastAsia="等线"/>
        </w:rPr>
        <w:t>63</w:t>
      </w:r>
      <w:r w:rsidRPr="00FA0D37">
        <w:t>),</w:t>
      </w:r>
    </w:p>
    <w:p w14:paraId="00CF97A8" w14:textId="2F791F76" w:rsidR="00B623BD" w:rsidRPr="00FA0D37" w:rsidRDefault="00B623BD" w:rsidP="00FA0D37">
      <w:pPr>
        <w:pStyle w:val="PL"/>
      </w:pPr>
      <w:r w:rsidRPr="00FA0D37">
        <w:t xml:space="preserve">    segmentType-r17             </w:t>
      </w:r>
      <w:r w:rsidRPr="00FA0D37">
        <w:rPr>
          <w:color w:val="993366"/>
        </w:rPr>
        <w:t>ENUMERATED</w:t>
      </w:r>
      <w:r w:rsidRPr="00FA0D37">
        <w:t xml:space="preserve"> {notLastSegment, lastSegment},</w:t>
      </w:r>
    </w:p>
    <w:p w14:paraId="36F9BEF4" w14:textId="00F29907" w:rsidR="00B623BD" w:rsidRPr="00FA0D37" w:rsidRDefault="00B623BD" w:rsidP="00FA0D37">
      <w:pPr>
        <w:pStyle w:val="PL"/>
      </w:pPr>
      <w:r w:rsidRPr="00FA0D37">
        <w:t xml:space="preserve">    segmentContainer-r17        </w:t>
      </w:r>
      <w:r w:rsidRPr="00FA0D37">
        <w:rPr>
          <w:color w:val="993366"/>
        </w:rPr>
        <w:t>OCTET</w:t>
      </w:r>
      <w:r w:rsidRPr="00FA0D37">
        <w:t xml:space="preserve"> </w:t>
      </w:r>
      <w:r w:rsidRPr="00FA0D37">
        <w:rPr>
          <w:color w:val="993366"/>
        </w:rPr>
        <w:t>STRING</w:t>
      </w:r>
    </w:p>
    <w:p w14:paraId="261F75F4" w14:textId="77777777" w:rsidR="00B623BD" w:rsidRPr="00FA0D37" w:rsidRDefault="00B623BD" w:rsidP="00FA0D37">
      <w:pPr>
        <w:pStyle w:val="PL"/>
      </w:pPr>
      <w:r w:rsidRPr="00FA0D37">
        <w:t>}</w:t>
      </w:r>
    </w:p>
    <w:p w14:paraId="1FFCD262" w14:textId="77777777" w:rsidR="00B623BD" w:rsidRPr="00FA0D37" w:rsidRDefault="00B623BD" w:rsidP="00FA0D37">
      <w:pPr>
        <w:pStyle w:val="PL"/>
      </w:pPr>
    </w:p>
    <w:p w14:paraId="411FAAAE" w14:textId="7BC65FE4" w:rsidR="00B623BD" w:rsidRPr="00FA0D37" w:rsidRDefault="00B512AA" w:rsidP="00FA0D37">
      <w:pPr>
        <w:pStyle w:val="PL"/>
      </w:pPr>
      <w:r w:rsidRPr="00FA0D37">
        <w:t>SIB17</w:t>
      </w:r>
      <w:r w:rsidR="00B623BD" w:rsidRPr="00FA0D37">
        <w:rPr>
          <w:rFonts w:eastAsia="等线"/>
        </w:rPr>
        <w:t>-IEs-</w:t>
      </w:r>
      <w:r w:rsidR="00B623BD" w:rsidRPr="00FA0D37">
        <w:t>r1</w:t>
      </w:r>
      <w:r w:rsidR="00B623BD" w:rsidRPr="00FA0D37">
        <w:rPr>
          <w:rFonts w:eastAsia="等线"/>
        </w:rPr>
        <w:t>7</w:t>
      </w:r>
      <w:r w:rsidR="00B623BD" w:rsidRPr="00FA0D37">
        <w:t xml:space="preserve"> ::=           </w:t>
      </w:r>
      <w:r w:rsidR="00B623BD" w:rsidRPr="00FA0D37">
        <w:rPr>
          <w:color w:val="993366"/>
        </w:rPr>
        <w:t>SEQUENCE</w:t>
      </w:r>
      <w:r w:rsidR="00B623BD" w:rsidRPr="00FA0D37">
        <w:t xml:space="preserve"> {</w:t>
      </w:r>
    </w:p>
    <w:p w14:paraId="76E3AE13" w14:textId="7C80C338" w:rsidR="00B623BD" w:rsidRPr="00FA0D37" w:rsidRDefault="00B623BD" w:rsidP="00FA0D37">
      <w:pPr>
        <w:pStyle w:val="PL"/>
        <w:rPr>
          <w:rFonts w:eastAsia="等线"/>
        </w:rPr>
      </w:pPr>
      <w:r w:rsidRPr="00FA0D37">
        <w:t xml:space="preserve">    trs-Resou</w:t>
      </w:r>
      <w:r w:rsidR="00827A1B" w:rsidRPr="00FA0D37">
        <w:t>r</w:t>
      </w:r>
      <w:r w:rsidRPr="00FA0D37">
        <w:t xml:space="preserve">ceSetConfig-r17   </w:t>
      </w:r>
      <w:r w:rsidRPr="00FA0D37">
        <w:rPr>
          <w:color w:val="993366"/>
        </w:rPr>
        <w:t>SEQUENCE</w:t>
      </w:r>
      <w:r w:rsidRPr="00FA0D37">
        <w:t xml:space="preserve"> (</w:t>
      </w:r>
      <w:r w:rsidRPr="00FA0D37">
        <w:rPr>
          <w:color w:val="993366"/>
        </w:rPr>
        <w:t>SIZE</w:t>
      </w:r>
      <w:r w:rsidRPr="00FA0D37">
        <w:t xml:space="preserve"> (1..maxNrofTRS-ResourceSets-r17))</w:t>
      </w:r>
      <w:r w:rsidRPr="00FA0D37">
        <w:rPr>
          <w:color w:val="993366"/>
        </w:rPr>
        <w:t xml:space="preserve"> OF</w:t>
      </w:r>
      <w:r w:rsidRPr="00FA0D37">
        <w:t xml:space="preserve"> TRS-ResourceSet-r17,</w:t>
      </w:r>
    </w:p>
    <w:p w14:paraId="355A08F2" w14:textId="72CE40B7" w:rsidR="00B623BD" w:rsidRPr="00FA0D37" w:rsidRDefault="00B623BD" w:rsidP="00FA0D37">
      <w:pPr>
        <w:pStyle w:val="PL"/>
      </w:pPr>
      <w:r w:rsidRPr="00FA0D37">
        <w:t xml:space="preserve">    validityDuration-r17        </w:t>
      </w:r>
      <w:r w:rsidRPr="00FA0D37">
        <w:rPr>
          <w:color w:val="993366"/>
        </w:rPr>
        <w:t>ENUMERATED</w:t>
      </w:r>
      <w:r w:rsidRPr="00FA0D37">
        <w:t xml:space="preserve"> {t1, t2, t4, t8, t16, t32, t64, t128, t256, t512, </w:t>
      </w:r>
      <w:r w:rsidR="00827A1B" w:rsidRPr="00FA0D37">
        <w:t>infinity</w:t>
      </w:r>
      <w:r w:rsidRPr="00FA0D37">
        <w:t>, spare5, spare4, spare3, spare2,</w:t>
      </w:r>
    </w:p>
    <w:p w14:paraId="1799F914" w14:textId="633D01B5" w:rsidR="00B623BD" w:rsidRPr="00FA0D37" w:rsidRDefault="00B623BD" w:rsidP="00FA0D37">
      <w:pPr>
        <w:pStyle w:val="PL"/>
        <w:rPr>
          <w:color w:val="808080"/>
        </w:rPr>
      </w:pPr>
      <w:r w:rsidRPr="00FA0D37">
        <w:t xml:space="preserve">                                            spare1}                                                            </w:t>
      </w:r>
      <w:r w:rsidRPr="00FA0D37">
        <w:rPr>
          <w:color w:val="993366"/>
        </w:rPr>
        <w:t>OPTIONAL</w:t>
      </w:r>
      <w:r w:rsidRPr="00FA0D37">
        <w:t xml:space="preserve">,  </w:t>
      </w:r>
      <w:r w:rsidRPr="00FA0D37">
        <w:rPr>
          <w:color w:val="808080"/>
        </w:rPr>
        <w:t>-- Need S</w:t>
      </w:r>
    </w:p>
    <w:p w14:paraId="08F53695" w14:textId="70CA7C2E" w:rsidR="00B623BD" w:rsidRPr="00FA0D37" w:rsidRDefault="00B623BD"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23B9C17" w14:textId="77777777" w:rsidR="00B623BD" w:rsidRPr="00FA0D37" w:rsidRDefault="00B623BD" w:rsidP="00FA0D37">
      <w:pPr>
        <w:pStyle w:val="PL"/>
      </w:pPr>
      <w:r w:rsidRPr="00FA0D37">
        <w:t xml:space="preserve">    ...</w:t>
      </w:r>
    </w:p>
    <w:p w14:paraId="03DFED69" w14:textId="63236926" w:rsidR="00B623BD" w:rsidRPr="00FA0D37" w:rsidRDefault="00B623BD" w:rsidP="00FA0D37">
      <w:pPr>
        <w:pStyle w:val="PL"/>
      </w:pPr>
      <w:r w:rsidRPr="00FA0D37">
        <w:t>}</w:t>
      </w:r>
    </w:p>
    <w:p w14:paraId="40A37A76" w14:textId="77777777" w:rsidR="00B623BD" w:rsidRPr="00FA0D37" w:rsidRDefault="00B623BD" w:rsidP="00FA0D37">
      <w:pPr>
        <w:pStyle w:val="PL"/>
      </w:pPr>
    </w:p>
    <w:p w14:paraId="405E2B47" w14:textId="5E399BB7" w:rsidR="00B623BD" w:rsidRPr="00FA0D37" w:rsidRDefault="00B623BD" w:rsidP="00FA0D37">
      <w:pPr>
        <w:pStyle w:val="PL"/>
      </w:pPr>
      <w:r w:rsidRPr="00FA0D37">
        <w:t xml:space="preserve">TRS-ResourceSet-r17 ::=                </w:t>
      </w:r>
      <w:r w:rsidRPr="00FA0D37">
        <w:rPr>
          <w:color w:val="993366"/>
        </w:rPr>
        <w:t>SEQUENCE</w:t>
      </w:r>
      <w:r w:rsidRPr="00FA0D37">
        <w:t xml:space="preserve"> {</w:t>
      </w:r>
    </w:p>
    <w:p w14:paraId="77AF0B05" w14:textId="6EF499BF" w:rsidR="00B623BD" w:rsidRPr="00FA0D37" w:rsidRDefault="00B623BD" w:rsidP="00FA0D37">
      <w:pPr>
        <w:pStyle w:val="PL"/>
      </w:pPr>
      <w:r w:rsidRPr="00FA0D37">
        <w:t xml:space="preserve">    powerControlOffsetSS-r17               </w:t>
      </w:r>
      <w:r w:rsidRPr="00FA0D37">
        <w:rPr>
          <w:color w:val="993366"/>
        </w:rPr>
        <w:t>ENUMERATED</w:t>
      </w:r>
      <w:r w:rsidR="00015613" w:rsidRPr="00FA0D37">
        <w:t xml:space="preserve"> </w:t>
      </w:r>
      <w:r w:rsidRPr="00FA0D37">
        <w:t>{db-3, db0, db3, db6},</w:t>
      </w:r>
    </w:p>
    <w:p w14:paraId="1146C2EB" w14:textId="2F5606B7" w:rsidR="00B623BD" w:rsidRPr="00FA0D37" w:rsidRDefault="00B623BD" w:rsidP="00FA0D37">
      <w:pPr>
        <w:pStyle w:val="PL"/>
      </w:pPr>
      <w:r w:rsidRPr="00FA0D37">
        <w:t xml:space="preserve">    scramblingID-Info-r17                  </w:t>
      </w:r>
      <w:r w:rsidRPr="00FA0D37">
        <w:rPr>
          <w:color w:val="993366"/>
        </w:rPr>
        <w:t>CHOICE</w:t>
      </w:r>
      <w:r w:rsidRPr="00FA0D37">
        <w:t xml:space="preserve"> {</w:t>
      </w:r>
    </w:p>
    <w:p w14:paraId="62B06DD6" w14:textId="37E26803" w:rsidR="00B623BD" w:rsidRPr="00FA0D37" w:rsidRDefault="00B623BD" w:rsidP="00FA0D37">
      <w:pPr>
        <w:pStyle w:val="PL"/>
      </w:pPr>
      <w:r w:rsidRPr="00FA0D37">
        <w:t xml:space="preserve">        scramblingIDforCommon-r17              ScramblingId,</w:t>
      </w:r>
    </w:p>
    <w:p w14:paraId="25729AFD" w14:textId="675DE3ED" w:rsidR="00B623BD" w:rsidRPr="00FA0D37" w:rsidRDefault="00B623BD" w:rsidP="00FA0D37">
      <w:pPr>
        <w:pStyle w:val="PL"/>
      </w:pPr>
      <w:r w:rsidRPr="00FA0D37">
        <w:t xml:space="preserve">        scramblingIDperResourceListWith2-r17   </w:t>
      </w:r>
      <w:r w:rsidRPr="00FA0D37">
        <w:rPr>
          <w:color w:val="993366"/>
        </w:rPr>
        <w:t>SEQUENCE</w:t>
      </w:r>
      <w:r w:rsidRPr="00FA0D37">
        <w:t xml:space="preserve"> (</w:t>
      </w:r>
      <w:r w:rsidRPr="00FA0D37">
        <w:rPr>
          <w:color w:val="993366"/>
        </w:rPr>
        <w:t>SIZE</w:t>
      </w:r>
      <w:r w:rsidRPr="00FA0D37">
        <w:t xml:space="preserve"> (2))</w:t>
      </w:r>
      <w:r w:rsidRPr="00FA0D37">
        <w:rPr>
          <w:color w:val="993366"/>
        </w:rPr>
        <w:t xml:space="preserve"> OF</w:t>
      </w:r>
      <w:r w:rsidRPr="00FA0D37">
        <w:t xml:space="preserve"> ScramblingId,</w:t>
      </w:r>
    </w:p>
    <w:p w14:paraId="38B09322" w14:textId="4D2BA1D0" w:rsidR="00B623BD" w:rsidRPr="00FA0D37" w:rsidRDefault="00B623BD" w:rsidP="00FA0D37">
      <w:pPr>
        <w:pStyle w:val="PL"/>
      </w:pPr>
      <w:r w:rsidRPr="00FA0D37">
        <w:t xml:space="preserve">        scramblingIDperResourceListWith4-r17   </w:t>
      </w:r>
      <w:r w:rsidRPr="00FA0D37">
        <w:rPr>
          <w:color w:val="993366"/>
        </w:rPr>
        <w:t>SEQUENCE</w:t>
      </w:r>
      <w:r w:rsidRPr="00FA0D37">
        <w:t xml:space="preserve"> (</w:t>
      </w:r>
      <w:r w:rsidRPr="00FA0D37">
        <w:rPr>
          <w:color w:val="993366"/>
        </w:rPr>
        <w:t>SIZE</w:t>
      </w:r>
      <w:r w:rsidRPr="00FA0D37">
        <w:t xml:space="preserve"> (4))</w:t>
      </w:r>
      <w:r w:rsidRPr="00FA0D37">
        <w:rPr>
          <w:color w:val="993366"/>
        </w:rPr>
        <w:t xml:space="preserve"> OF</w:t>
      </w:r>
      <w:r w:rsidRPr="00FA0D37">
        <w:t xml:space="preserve"> ScramblingId,</w:t>
      </w:r>
    </w:p>
    <w:p w14:paraId="6909542B" w14:textId="60AE2997" w:rsidR="00B623BD" w:rsidRPr="00FA0D37" w:rsidRDefault="00B623BD" w:rsidP="00FA0D37">
      <w:pPr>
        <w:pStyle w:val="PL"/>
      </w:pPr>
      <w:r w:rsidRPr="00FA0D37">
        <w:t xml:space="preserve">    ...</w:t>
      </w:r>
    </w:p>
    <w:p w14:paraId="25EEE724" w14:textId="758BA524" w:rsidR="00B623BD" w:rsidRPr="00FA0D37" w:rsidRDefault="00B623BD" w:rsidP="00FA0D37">
      <w:pPr>
        <w:pStyle w:val="PL"/>
      </w:pPr>
      <w:r w:rsidRPr="00FA0D37">
        <w:t xml:space="preserve">    },</w:t>
      </w:r>
    </w:p>
    <w:p w14:paraId="59260AAC" w14:textId="215EE698" w:rsidR="00B623BD" w:rsidRPr="00FA0D37" w:rsidRDefault="00B623BD" w:rsidP="00FA0D37">
      <w:pPr>
        <w:pStyle w:val="PL"/>
      </w:pPr>
      <w:r w:rsidRPr="00FA0D37">
        <w:t xml:space="preserve">    firstOFDMSymbolInTimeDomain-r17   </w:t>
      </w:r>
      <w:r w:rsidR="0078452E" w:rsidRPr="00FA0D37">
        <w:t xml:space="preserve"> </w:t>
      </w:r>
      <w:r w:rsidRPr="00FA0D37">
        <w:t xml:space="preserve">        </w:t>
      </w:r>
      <w:r w:rsidRPr="00FA0D37">
        <w:rPr>
          <w:color w:val="993366"/>
        </w:rPr>
        <w:t>INTEGER</w:t>
      </w:r>
      <w:r w:rsidRPr="00FA0D37">
        <w:t xml:space="preserve"> (0..9),</w:t>
      </w:r>
    </w:p>
    <w:p w14:paraId="237443F9" w14:textId="5CC42602" w:rsidR="00B623BD" w:rsidRPr="00FA0D37" w:rsidRDefault="00B623BD" w:rsidP="00FA0D37">
      <w:pPr>
        <w:pStyle w:val="PL"/>
      </w:pPr>
      <w:r w:rsidRPr="00FA0D37">
        <w:t xml:space="preserve">    startingRB-r17                     </w:t>
      </w:r>
      <w:r w:rsidR="0078452E" w:rsidRPr="00FA0D37">
        <w:t xml:space="preserve"> </w:t>
      </w:r>
      <w:r w:rsidRPr="00FA0D37">
        <w:t xml:space="preserve">       </w:t>
      </w:r>
      <w:r w:rsidRPr="00FA0D37">
        <w:rPr>
          <w:color w:val="993366"/>
        </w:rPr>
        <w:t>INTEGER</w:t>
      </w:r>
      <w:r w:rsidRPr="00FA0D37">
        <w:t xml:space="preserve"> (0..maxNrofPhysicalResourceBlocks-1),</w:t>
      </w:r>
    </w:p>
    <w:p w14:paraId="3E6078FB" w14:textId="41E66995" w:rsidR="00B623BD" w:rsidRPr="00FA0D37" w:rsidRDefault="00B623BD" w:rsidP="00FA0D37">
      <w:pPr>
        <w:pStyle w:val="PL"/>
      </w:pPr>
      <w:r w:rsidRPr="00FA0D37">
        <w:t xml:space="preserve">    nrofRBs-r17                         </w:t>
      </w:r>
      <w:r w:rsidR="0078452E" w:rsidRPr="00FA0D37">
        <w:t xml:space="preserve"> </w:t>
      </w:r>
      <w:r w:rsidRPr="00FA0D37">
        <w:t xml:space="preserve">      </w:t>
      </w:r>
      <w:r w:rsidRPr="00FA0D37">
        <w:rPr>
          <w:color w:val="993366"/>
        </w:rPr>
        <w:t>INTEGER</w:t>
      </w:r>
      <w:r w:rsidRPr="00FA0D37">
        <w:t xml:space="preserve"> (24..maxNrofPhysicalResourceBlocksPlus1),</w:t>
      </w:r>
    </w:p>
    <w:p w14:paraId="160E00A4" w14:textId="13439D6C" w:rsidR="00B623BD" w:rsidRPr="00FA0D37" w:rsidRDefault="00B623BD" w:rsidP="00FA0D37">
      <w:pPr>
        <w:pStyle w:val="PL"/>
      </w:pPr>
      <w:r w:rsidRPr="00FA0D37">
        <w:t xml:space="preserve">    ssb-Index-r17                        </w:t>
      </w:r>
      <w:r w:rsidR="0078452E" w:rsidRPr="00FA0D37">
        <w:t xml:space="preserve"> </w:t>
      </w:r>
      <w:r w:rsidRPr="00FA0D37">
        <w:t xml:space="preserve">     SSB-Index,</w:t>
      </w:r>
    </w:p>
    <w:p w14:paraId="323B43AF" w14:textId="66E0A67B" w:rsidR="00B623BD" w:rsidRPr="00FA0D37" w:rsidRDefault="00B623BD" w:rsidP="00FA0D37">
      <w:pPr>
        <w:pStyle w:val="PL"/>
      </w:pPr>
      <w:r w:rsidRPr="00FA0D37">
        <w:t xml:space="preserve">    periodicityAndOffset-r17              </w:t>
      </w:r>
      <w:r w:rsidR="0078452E" w:rsidRPr="00FA0D37">
        <w:t xml:space="preserve"> </w:t>
      </w:r>
      <w:r w:rsidRPr="00FA0D37">
        <w:t xml:space="preserve">    </w:t>
      </w:r>
      <w:r w:rsidRPr="00FA0D37">
        <w:rPr>
          <w:color w:val="993366"/>
        </w:rPr>
        <w:t>CHOICE</w:t>
      </w:r>
      <w:r w:rsidRPr="00FA0D37">
        <w:t xml:space="preserve"> {</w:t>
      </w:r>
    </w:p>
    <w:p w14:paraId="26A05B94" w14:textId="2D1F42CE" w:rsidR="00B623BD" w:rsidRPr="00FA0D37" w:rsidRDefault="00B623BD" w:rsidP="00FA0D37">
      <w:pPr>
        <w:pStyle w:val="PL"/>
      </w:pPr>
      <w:r w:rsidRPr="00FA0D37">
        <w:t xml:space="preserve">        slots10                            </w:t>
      </w:r>
      <w:r w:rsidR="0078452E" w:rsidRPr="00FA0D37">
        <w:t xml:space="preserve"> </w:t>
      </w:r>
      <w:r w:rsidRPr="00FA0D37">
        <w:t xml:space="preserve">       </w:t>
      </w:r>
      <w:r w:rsidRPr="00FA0D37">
        <w:rPr>
          <w:color w:val="993366"/>
        </w:rPr>
        <w:t>INTEGER</w:t>
      </w:r>
      <w:r w:rsidRPr="00FA0D37">
        <w:t xml:space="preserve"> (0..9),</w:t>
      </w:r>
    </w:p>
    <w:p w14:paraId="70E60FC9" w14:textId="64360F2E" w:rsidR="00B623BD" w:rsidRPr="00FA0D37" w:rsidRDefault="00B623BD" w:rsidP="00FA0D37">
      <w:pPr>
        <w:pStyle w:val="PL"/>
      </w:pPr>
      <w:r w:rsidRPr="00FA0D37">
        <w:t xml:space="preserve">        slots20                             </w:t>
      </w:r>
      <w:r w:rsidR="0078452E" w:rsidRPr="00FA0D37">
        <w:t xml:space="preserve"> </w:t>
      </w:r>
      <w:r w:rsidRPr="00FA0D37">
        <w:t xml:space="preserve">      </w:t>
      </w:r>
      <w:r w:rsidRPr="00FA0D37">
        <w:rPr>
          <w:color w:val="993366"/>
        </w:rPr>
        <w:t>INTEGER</w:t>
      </w:r>
      <w:r w:rsidRPr="00FA0D37">
        <w:t xml:space="preserve"> (0..19),</w:t>
      </w:r>
    </w:p>
    <w:p w14:paraId="44F875C0" w14:textId="675CAFF6" w:rsidR="00B623BD" w:rsidRPr="00FA0D37" w:rsidRDefault="00B623BD" w:rsidP="00FA0D37">
      <w:pPr>
        <w:pStyle w:val="PL"/>
      </w:pPr>
      <w:r w:rsidRPr="00FA0D37">
        <w:t xml:space="preserve">        slots40                              </w:t>
      </w:r>
      <w:r w:rsidR="0078452E" w:rsidRPr="00FA0D37">
        <w:t xml:space="preserve"> </w:t>
      </w:r>
      <w:r w:rsidRPr="00FA0D37">
        <w:t xml:space="preserve">     </w:t>
      </w:r>
      <w:r w:rsidRPr="00FA0D37">
        <w:rPr>
          <w:color w:val="993366"/>
        </w:rPr>
        <w:t>INTEGER</w:t>
      </w:r>
      <w:r w:rsidRPr="00FA0D37">
        <w:t xml:space="preserve"> (0..39),</w:t>
      </w:r>
    </w:p>
    <w:p w14:paraId="0ACA179A" w14:textId="09BF1241" w:rsidR="00B623BD" w:rsidRPr="00FA0D37" w:rsidRDefault="00B623BD" w:rsidP="00FA0D37">
      <w:pPr>
        <w:pStyle w:val="PL"/>
      </w:pPr>
      <w:r w:rsidRPr="00FA0D37">
        <w:t xml:space="preserve">        slots80                               </w:t>
      </w:r>
      <w:r w:rsidR="0078452E" w:rsidRPr="00FA0D37">
        <w:t xml:space="preserve"> </w:t>
      </w:r>
      <w:r w:rsidRPr="00FA0D37">
        <w:t xml:space="preserve">    </w:t>
      </w:r>
      <w:r w:rsidRPr="00FA0D37">
        <w:rPr>
          <w:color w:val="993366"/>
        </w:rPr>
        <w:t>INTEGER</w:t>
      </w:r>
      <w:r w:rsidRPr="00FA0D37">
        <w:t xml:space="preserve"> (0..79)</w:t>
      </w:r>
    </w:p>
    <w:p w14:paraId="05F8220D" w14:textId="7C6D4518" w:rsidR="00B623BD" w:rsidRPr="00FA0D37" w:rsidRDefault="00B623BD" w:rsidP="00FA0D37">
      <w:pPr>
        <w:pStyle w:val="PL"/>
      </w:pPr>
      <w:r w:rsidRPr="00FA0D37">
        <w:t xml:space="preserve">    },</w:t>
      </w:r>
    </w:p>
    <w:p w14:paraId="1B3EFB8E" w14:textId="0C230E06" w:rsidR="00B623BD" w:rsidRPr="00FA0D37" w:rsidRDefault="00B623BD" w:rsidP="00FA0D37">
      <w:pPr>
        <w:pStyle w:val="PL"/>
      </w:pPr>
      <w:r w:rsidRPr="00FA0D37">
        <w:t xml:space="preserve">    frequencyDomainAllocation-r17         </w:t>
      </w:r>
      <w:r w:rsidR="0078452E" w:rsidRPr="00FA0D37">
        <w:t xml:space="preserve"> </w:t>
      </w:r>
      <w:r w:rsidRPr="00FA0D37">
        <w:t xml:space="preserv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5A453E37" w14:textId="37D3337B" w:rsidR="00B623BD" w:rsidRPr="00FA0D37" w:rsidRDefault="00B623BD" w:rsidP="00FA0D37">
      <w:pPr>
        <w:pStyle w:val="PL"/>
      </w:pPr>
      <w:r w:rsidRPr="00FA0D37">
        <w:t xml:space="preserve">    indBitID-r17                           </w:t>
      </w:r>
      <w:r w:rsidR="0078452E" w:rsidRPr="00FA0D37">
        <w:t xml:space="preserve"> </w:t>
      </w:r>
      <w:r w:rsidRPr="00FA0D37">
        <w:t xml:space="preserve">   </w:t>
      </w:r>
      <w:r w:rsidRPr="00FA0D37">
        <w:rPr>
          <w:color w:val="993366"/>
        </w:rPr>
        <w:t>INTEGER</w:t>
      </w:r>
      <w:r w:rsidRPr="00FA0D37">
        <w:t xml:space="preserve"> (0..5),</w:t>
      </w:r>
    </w:p>
    <w:p w14:paraId="2D70B6B2" w14:textId="6D95929B" w:rsidR="00B623BD" w:rsidRPr="00FA0D37" w:rsidRDefault="00B623BD" w:rsidP="00FA0D37">
      <w:pPr>
        <w:pStyle w:val="PL"/>
      </w:pPr>
      <w:r w:rsidRPr="00FA0D37">
        <w:t xml:space="preserve">    nrofResources-r17                       </w:t>
      </w:r>
      <w:r w:rsidR="0078452E" w:rsidRPr="00FA0D37">
        <w:t xml:space="preserve"> </w:t>
      </w:r>
      <w:r w:rsidRPr="00FA0D37">
        <w:t xml:space="preserve">  </w:t>
      </w:r>
      <w:r w:rsidRPr="00FA0D37">
        <w:rPr>
          <w:color w:val="993366"/>
        </w:rPr>
        <w:t>ENUMERATED</w:t>
      </w:r>
      <w:r w:rsidR="00015613" w:rsidRPr="00FA0D37">
        <w:t xml:space="preserve"> </w:t>
      </w:r>
      <w:r w:rsidRPr="00FA0D37">
        <w:t>{n2, n4}</w:t>
      </w:r>
    </w:p>
    <w:p w14:paraId="04C3D476" w14:textId="77777777" w:rsidR="00B623BD" w:rsidRPr="00FA0D37" w:rsidRDefault="00B623BD" w:rsidP="00FA0D37">
      <w:pPr>
        <w:pStyle w:val="PL"/>
      </w:pPr>
      <w:r w:rsidRPr="00FA0D37">
        <w:t>}</w:t>
      </w:r>
    </w:p>
    <w:p w14:paraId="1A6AD696" w14:textId="77777777" w:rsidR="00B623BD" w:rsidRPr="00FA0D37" w:rsidRDefault="00B623BD" w:rsidP="00FA0D37">
      <w:pPr>
        <w:pStyle w:val="PL"/>
      </w:pPr>
    </w:p>
    <w:p w14:paraId="4DEC7F70" w14:textId="460DF275" w:rsidR="00B623BD" w:rsidRPr="00FA0D37" w:rsidRDefault="00B623BD" w:rsidP="00FA0D37">
      <w:pPr>
        <w:pStyle w:val="PL"/>
        <w:rPr>
          <w:color w:val="808080"/>
        </w:rPr>
      </w:pPr>
      <w:r w:rsidRPr="00FA0D37">
        <w:rPr>
          <w:color w:val="808080"/>
        </w:rPr>
        <w:t>-- TAG-</w:t>
      </w:r>
      <w:r w:rsidR="00B512AA" w:rsidRPr="00FA0D37">
        <w:rPr>
          <w:color w:val="808080"/>
        </w:rPr>
        <w:t>SIB17</w:t>
      </w:r>
      <w:r w:rsidRPr="00FA0D37">
        <w:rPr>
          <w:color w:val="808080"/>
        </w:rPr>
        <w:t>-STOP</w:t>
      </w:r>
    </w:p>
    <w:p w14:paraId="04E1D557" w14:textId="77777777" w:rsidR="00B623BD" w:rsidRPr="00FA0D37" w:rsidRDefault="00B623BD" w:rsidP="00FA0D37">
      <w:pPr>
        <w:pStyle w:val="PL"/>
        <w:rPr>
          <w:color w:val="808080"/>
        </w:rPr>
      </w:pPr>
      <w:r w:rsidRPr="00FA0D37">
        <w:rPr>
          <w:color w:val="808080"/>
        </w:rPr>
        <w:t>-- ASN1STOP</w:t>
      </w:r>
    </w:p>
    <w:p w14:paraId="061165C6" w14:textId="77777777" w:rsidR="00B623BD" w:rsidRPr="00FA0D37" w:rsidRDefault="00B623BD" w:rsidP="00B623BD">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3B9A6305"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7A1C3E" w14:textId="31B16870" w:rsidR="00B623BD" w:rsidRPr="00FA0D37" w:rsidRDefault="00B512AA" w:rsidP="00771058">
            <w:pPr>
              <w:pStyle w:val="TAH"/>
              <w:rPr>
                <w:lang w:eastAsia="en-GB"/>
              </w:rPr>
            </w:pPr>
            <w:r w:rsidRPr="00FA0D37">
              <w:rPr>
                <w:bCs/>
                <w:i/>
                <w:noProof/>
                <w:lang w:eastAsia="sv-SE"/>
              </w:rPr>
              <w:lastRenderedPageBreak/>
              <w:t>SIB17</w:t>
            </w:r>
            <w:r w:rsidR="00B623BD" w:rsidRPr="00FA0D37">
              <w:rPr>
                <w:i/>
                <w:noProof/>
                <w:lang w:eastAsia="en-GB"/>
              </w:rPr>
              <w:t xml:space="preserve"> </w:t>
            </w:r>
            <w:r w:rsidR="00B623BD" w:rsidRPr="00FA0D37">
              <w:rPr>
                <w:noProof/>
                <w:lang w:eastAsia="en-GB"/>
              </w:rPr>
              <w:t>field descriptions</w:t>
            </w:r>
          </w:p>
        </w:tc>
      </w:tr>
      <w:tr w:rsidR="005C7FF4" w:rsidRPr="00FA0D37" w14:paraId="5B9EB03E"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BF2E00E" w14:textId="77777777" w:rsidR="00827A1B" w:rsidRPr="00FA0D37" w:rsidRDefault="00827A1B" w:rsidP="00827A1B">
            <w:pPr>
              <w:pStyle w:val="TAL"/>
              <w:rPr>
                <w:rFonts w:cs="Arial"/>
                <w:b/>
                <w:bCs/>
                <w:i/>
                <w:iCs/>
                <w:noProof/>
              </w:rPr>
            </w:pPr>
            <w:r w:rsidRPr="00FA0D37">
              <w:rPr>
                <w:rFonts w:cs="Arial"/>
                <w:b/>
                <w:bCs/>
                <w:i/>
                <w:iCs/>
                <w:noProof/>
              </w:rPr>
              <w:t>segmentContainer</w:t>
            </w:r>
          </w:p>
          <w:p w14:paraId="0B411A68" w14:textId="0F8A5AB9" w:rsidR="00827A1B" w:rsidRPr="00FA0D37" w:rsidRDefault="00827A1B" w:rsidP="00F747EB">
            <w:pPr>
              <w:pStyle w:val="TAL"/>
              <w:rPr>
                <w:noProof/>
                <w:lang w:eastAsia="sv-SE"/>
              </w:rPr>
            </w:pPr>
            <w:r w:rsidRPr="00FA0D37">
              <w:rPr>
                <w:rFonts w:cs="Arial"/>
                <w:noProof/>
              </w:rPr>
              <w:t xml:space="preserve">This field includes a segment of the encoded </w:t>
            </w:r>
            <w:r w:rsidRPr="00FA0D37">
              <w:rPr>
                <w:rFonts w:cs="Arial"/>
                <w:i/>
                <w:iCs/>
                <w:noProof/>
              </w:rPr>
              <w:t>SIB17-IEs</w:t>
            </w:r>
            <w:r w:rsidRPr="00FA0D37">
              <w:rPr>
                <w:rFonts w:cs="Arial"/>
                <w:noProof/>
              </w:rPr>
              <w:t xml:space="preserve">. The size of the included segment in this container should be small enough that the SIB message size is less than or equal to the maximum size of a NR SI, i.e. 2976 bits when </w:t>
            </w:r>
            <w:r w:rsidRPr="00FA0D37">
              <w:rPr>
                <w:rFonts w:cs="Arial"/>
                <w:i/>
                <w:iCs/>
                <w:noProof/>
              </w:rPr>
              <w:t>SIB17</w:t>
            </w:r>
            <w:r w:rsidRPr="00FA0D37">
              <w:rPr>
                <w:rFonts w:cs="Arial"/>
                <w:noProof/>
              </w:rPr>
              <w:t xml:space="preserve"> is broadcast.</w:t>
            </w:r>
          </w:p>
        </w:tc>
      </w:tr>
      <w:tr w:rsidR="005C7FF4" w:rsidRPr="00FA0D37" w14:paraId="3A04FEDD"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9C71252" w14:textId="77777777" w:rsidR="00827A1B" w:rsidRPr="00FA0D37" w:rsidRDefault="00827A1B" w:rsidP="00827A1B">
            <w:pPr>
              <w:pStyle w:val="TAL"/>
              <w:rPr>
                <w:rFonts w:eastAsia="DotumChe"/>
                <w:b/>
                <w:bCs/>
                <w:i/>
                <w:iCs/>
                <w:lang w:eastAsia="en-US"/>
              </w:rPr>
            </w:pPr>
            <w:r w:rsidRPr="00FA0D37">
              <w:rPr>
                <w:b/>
                <w:bCs/>
                <w:i/>
                <w:iCs/>
              </w:rPr>
              <w:t>segmentNumber</w:t>
            </w:r>
          </w:p>
          <w:p w14:paraId="5EAD50E3" w14:textId="3AB24346" w:rsidR="00827A1B" w:rsidRPr="00FA0D37" w:rsidRDefault="00827A1B" w:rsidP="00F747EB">
            <w:pPr>
              <w:pStyle w:val="TAL"/>
              <w:rPr>
                <w:noProof/>
                <w:lang w:eastAsia="sv-SE"/>
              </w:rPr>
            </w:pPr>
            <w:r w:rsidRPr="00FA0D37">
              <w:rPr>
                <w:rFonts w:cs="Arial"/>
                <w:noProof/>
              </w:rPr>
              <w:t xml:space="preserve">This field identifies the sequence number of a segment of </w:t>
            </w:r>
            <w:r w:rsidRPr="00FA0D37">
              <w:rPr>
                <w:rFonts w:cs="Arial"/>
                <w:i/>
                <w:noProof/>
              </w:rPr>
              <w:t>SIB17-IEs</w:t>
            </w:r>
            <w:r w:rsidRPr="00FA0D37">
              <w:rPr>
                <w:rFonts w:cs="Arial"/>
                <w:noProof/>
              </w:rPr>
              <w:t xml:space="preserve">. A segment number of zero corresponds to the first segment, </w:t>
            </w:r>
            <w:r w:rsidR="00B01B84" w:rsidRPr="00FA0D37">
              <w:rPr>
                <w:rFonts w:cs="Arial"/>
                <w:noProof/>
              </w:rPr>
              <w:t>a</w:t>
            </w:r>
            <w:r w:rsidRPr="00FA0D37">
              <w:rPr>
                <w:rFonts w:cs="Arial"/>
                <w:noProof/>
              </w:rPr>
              <w:t xml:space="preserve"> segment number of one corresponds to the second segment, and so on.</w:t>
            </w:r>
          </w:p>
        </w:tc>
      </w:tr>
      <w:tr w:rsidR="005C7FF4" w:rsidRPr="00FA0D37" w14:paraId="7416D5B2"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1019752" w14:textId="77777777" w:rsidR="00827A1B" w:rsidRPr="00FA0D37" w:rsidRDefault="00827A1B" w:rsidP="00827A1B">
            <w:pPr>
              <w:pStyle w:val="TAL"/>
              <w:rPr>
                <w:rFonts w:eastAsia="DotumChe"/>
                <w:b/>
                <w:bCs/>
                <w:i/>
                <w:iCs/>
                <w:noProof/>
                <w:lang w:eastAsia="en-US"/>
              </w:rPr>
            </w:pPr>
            <w:r w:rsidRPr="00FA0D37">
              <w:rPr>
                <w:b/>
                <w:bCs/>
                <w:i/>
                <w:iCs/>
              </w:rPr>
              <w:t>segmentType</w:t>
            </w:r>
          </w:p>
          <w:p w14:paraId="3AC35EC1" w14:textId="3516DB90" w:rsidR="00827A1B" w:rsidRPr="00FA0D37" w:rsidRDefault="00827A1B" w:rsidP="00F747EB">
            <w:pPr>
              <w:pStyle w:val="TAL"/>
              <w:rPr>
                <w:noProof/>
                <w:lang w:eastAsia="sv-SE"/>
              </w:rPr>
            </w:pPr>
            <w:r w:rsidRPr="00FA0D37">
              <w:rPr>
                <w:rFonts w:cs="Arial"/>
                <w:noProof/>
              </w:rPr>
              <w:t>This field indicates whether the included segment is the last segment or not.</w:t>
            </w:r>
          </w:p>
        </w:tc>
      </w:tr>
      <w:tr w:rsidR="005C7FF4" w:rsidRPr="00FA0D37" w14:paraId="5CDA77E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CD59142" w14:textId="2F6DA34E" w:rsidR="00B623BD" w:rsidRPr="00FA0D37" w:rsidRDefault="00B623BD" w:rsidP="00771058">
            <w:pPr>
              <w:pStyle w:val="TAL"/>
              <w:rPr>
                <w:b/>
                <w:bCs/>
                <w:i/>
                <w:iCs/>
              </w:rPr>
            </w:pPr>
            <w:r w:rsidRPr="00FA0D37">
              <w:rPr>
                <w:b/>
                <w:bCs/>
                <w:i/>
                <w:iCs/>
              </w:rPr>
              <w:t>trs-Resou</w:t>
            </w:r>
            <w:r w:rsidR="00827A1B" w:rsidRPr="00FA0D37">
              <w:rPr>
                <w:b/>
                <w:bCs/>
                <w:i/>
                <w:iCs/>
              </w:rPr>
              <w:t>r</w:t>
            </w:r>
            <w:r w:rsidRPr="00FA0D37">
              <w:rPr>
                <w:b/>
                <w:bCs/>
                <w:i/>
                <w:iCs/>
              </w:rPr>
              <w:t>ceSetConfig</w:t>
            </w:r>
          </w:p>
          <w:p w14:paraId="18324DAC" w14:textId="144EA841" w:rsidR="00B623BD" w:rsidRPr="00FA0D37" w:rsidRDefault="00B623BD" w:rsidP="00771058">
            <w:pPr>
              <w:pStyle w:val="TAL"/>
              <w:rPr>
                <w:noProof/>
                <w:sz w:val="20"/>
                <w:lang w:eastAsia="en-GB"/>
              </w:rPr>
            </w:pPr>
            <w:r w:rsidRPr="00FA0D37">
              <w:rPr>
                <w:noProof/>
                <w:szCs w:val="18"/>
                <w:lang w:eastAsia="en-GB"/>
              </w:rPr>
              <w:t xml:space="preserve">RS configuration of TRS occasion(s) for idle/inactive UE(s), in terms of a list of N&gt;=1 NZP TRS resource set(s). The maximum number of TRS resource sets configured by higher layer is 64. If a TRS resource is configured, the L1 based availability indication is always enabled based on that configuration. </w:t>
            </w:r>
            <w:r w:rsidRPr="00FA0D37">
              <w:rPr>
                <w:rFonts w:eastAsia="等线"/>
                <w:iCs/>
              </w:rPr>
              <w:t xml:space="preserve">A UE which acquired </w:t>
            </w:r>
            <w:r w:rsidRPr="00FA0D37">
              <w:rPr>
                <w:rFonts w:eastAsia="等线"/>
                <w:i/>
              </w:rPr>
              <w:t>SIB</w:t>
            </w:r>
            <w:r w:rsidR="00827A1B" w:rsidRPr="00FA0D37">
              <w:rPr>
                <w:rFonts w:eastAsia="等线"/>
                <w:i/>
              </w:rPr>
              <w:t>17</w:t>
            </w:r>
            <w:r w:rsidRPr="00FA0D37">
              <w:rPr>
                <w:rFonts w:eastAsia="等线"/>
                <w:iCs/>
              </w:rPr>
              <w:t xml:space="preserve"> with a TRS configuration but did not yet receive an associated L1-based availability indication considers the configured TRS as unavailable.</w:t>
            </w:r>
            <w:r w:rsidR="00827A1B" w:rsidRPr="00FA0D37">
              <w:rPr>
                <w:rFonts w:eastAsia="等线"/>
                <w:iCs/>
              </w:rPr>
              <w:t xml:space="preserve"> If </w:t>
            </w:r>
            <w:r w:rsidR="00827A1B" w:rsidRPr="00FA0D37">
              <w:rPr>
                <w:lang w:eastAsia="en-US"/>
              </w:rPr>
              <w:t xml:space="preserve">SIB scheduling indicates that </w:t>
            </w:r>
            <w:r w:rsidR="00827A1B" w:rsidRPr="00FA0D37">
              <w:rPr>
                <w:i/>
                <w:iCs/>
                <w:lang w:eastAsia="en-US"/>
              </w:rPr>
              <w:t>SIB17</w:t>
            </w:r>
            <w:r w:rsidR="00827A1B" w:rsidRPr="00FA0D37">
              <w:rPr>
                <w:lang w:eastAsia="en-US"/>
              </w:rPr>
              <w:t xml:space="preserve"> has changed, the UE </w:t>
            </w:r>
            <w:r w:rsidR="00827A1B" w:rsidRPr="00FA0D37">
              <w:rPr>
                <w:rFonts w:eastAsia="等线"/>
                <w:iCs/>
              </w:rPr>
              <w:t>considers its configured TRS(s) as unavailable until it receives the associated L1-based availability indication(s).</w:t>
            </w:r>
          </w:p>
        </w:tc>
      </w:tr>
      <w:tr w:rsidR="00B623BD" w:rsidRPr="00FA0D37" w14:paraId="37BA8C6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224A9E2" w14:textId="77777777" w:rsidR="00B623BD" w:rsidRPr="00FA0D37" w:rsidRDefault="00B623BD" w:rsidP="00771058">
            <w:pPr>
              <w:pStyle w:val="TAL"/>
              <w:rPr>
                <w:b/>
                <w:bCs/>
                <w:i/>
                <w:iCs/>
              </w:rPr>
            </w:pPr>
            <w:r w:rsidRPr="00FA0D37">
              <w:rPr>
                <w:b/>
                <w:bCs/>
                <w:i/>
                <w:iCs/>
              </w:rPr>
              <w:t>validityDuration</w:t>
            </w:r>
          </w:p>
          <w:p w14:paraId="03964AA7" w14:textId="19232B68" w:rsidR="00B623BD" w:rsidRPr="00FA0D37" w:rsidRDefault="00B623BD" w:rsidP="00771058">
            <w:pPr>
              <w:pStyle w:val="TAL"/>
              <w:rPr>
                <w:szCs w:val="18"/>
              </w:rPr>
            </w:pPr>
            <w:r w:rsidRPr="00FA0D37">
              <w:rPr>
                <w:szCs w:val="18"/>
              </w:rPr>
              <w:t xml:space="preserve">The valid time duration for L1 availability indication, time unit is one default paging cycle. When the </w:t>
            </w:r>
            <w:r w:rsidR="00827A1B" w:rsidRPr="00FA0D37">
              <w:rPr>
                <w:szCs w:val="18"/>
              </w:rPr>
              <w:t>field is absent</w:t>
            </w:r>
            <w:r w:rsidRPr="00FA0D37">
              <w:rPr>
                <w:szCs w:val="18"/>
              </w:rPr>
              <w:t>, UE assumes a default time duration to be 2 default paging cycles.</w:t>
            </w:r>
            <w:r w:rsidR="00827A1B" w:rsidRPr="00FA0D37">
              <w:t xml:space="preserve"> </w:t>
            </w:r>
            <w:r w:rsidR="00827A1B" w:rsidRPr="00FA0D37">
              <w:rPr>
                <w:szCs w:val="18"/>
              </w:rPr>
              <w:t xml:space="preserve">The field is only valid while the UE has a valid </w:t>
            </w:r>
            <w:r w:rsidR="00827A1B" w:rsidRPr="00FA0D37">
              <w:rPr>
                <w:i/>
                <w:iCs/>
                <w:szCs w:val="18"/>
              </w:rPr>
              <w:t>SIB17</w:t>
            </w:r>
            <w:r w:rsidR="00827A1B" w:rsidRPr="00FA0D37">
              <w:rPr>
                <w:szCs w:val="18"/>
              </w:rPr>
              <w:t>.</w:t>
            </w:r>
          </w:p>
        </w:tc>
      </w:tr>
    </w:tbl>
    <w:p w14:paraId="0AA96446" w14:textId="77777777" w:rsidR="00B623BD" w:rsidRPr="00FA0D37" w:rsidRDefault="00B623BD" w:rsidP="00B623BD">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70B465BD"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F7899E3" w14:textId="77777777" w:rsidR="00B623BD" w:rsidRPr="00FA0D37" w:rsidRDefault="00B623BD" w:rsidP="00771058">
            <w:pPr>
              <w:pStyle w:val="TAH"/>
              <w:rPr>
                <w:lang w:eastAsia="en-GB"/>
              </w:rPr>
            </w:pPr>
            <w:r w:rsidRPr="00FA0D37">
              <w:rPr>
                <w:bCs/>
                <w:i/>
                <w:noProof/>
                <w:lang w:eastAsia="sv-SE"/>
              </w:rPr>
              <w:lastRenderedPageBreak/>
              <w:t>TRS-ResourceSet</w:t>
            </w:r>
            <w:r w:rsidRPr="00FA0D37">
              <w:rPr>
                <w:i/>
                <w:noProof/>
                <w:lang w:eastAsia="en-GB"/>
              </w:rPr>
              <w:t xml:space="preserve"> </w:t>
            </w:r>
            <w:r w:rsidRPr="00FA0D37">
              <w:rPr>
                <w:noProof/>
                <w:lang w:eastAsia="en-GB"/>
              </w:rPr>
              <w:t>field descriptions</w:t>
            </w:r>
          </w:p>
        </w:tc>
      </w:tr>
      <w:tr w:rsidR="005C7FF4" w:rsidRPr="00FA0D37" w14:paraId="6020974B"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3B0006A" w14:textId="77777777" w:rsidR="00B623BD" w:rsidRPr="00FA0D37" w:rsidRDefault="00B623BD" w:rsidP="00771058">
            <w:pPr>
              <w:pStyle w:val="TAL"/>
              <w:rPr>
                <w:b/>
                <w:bCs/>
                <w:i/>
                <w:iCs/>
              </w:rPr>
            </w:pPr>
            <w:r w:rsidRPr="00FA0D37">
              <w:rPr>
                <w:b/>
                <w:bCs/>
                <w:i/>
                <w:iCs/>
              </w:rPr>
              <w:t>firstOFDMSymbolInTimeDomain</w:t>
            </w:r>
          </w:p>
          <w:p w14:paraId="220CCCFC" w14:textId="7544EFBF" w:rsidR="00B623BD" w:rsidRPr="00FA0D37" w:rsidRDefault="00B623BD" w:rsidP="00771058">
            <w:pPr>
              <w:pStyle w:val="TAL"/>
              <w:rPr>
                <w:rFonts w:cs="Arial"/>
                <w:b/>
                <w:bCs/>
                <w:i/>
                <w:iCs/>
              </w:rPr>
            </w:pPr>
            <w:r w:rsidRPr="00FA0D37">
              <w:rPr>
                <w:rFonts w:eastAsia="等线" w:cs="Arial"/>
              </w:rPr>
              <w:t xml:space="preserve">The index of the first OFDM symbol in the PRB used for TRS in a slot. The field indicates </w:t>
            </w:r>
            <w:r w:rsidR="00827A1B" w:rsidRPr="00FA0D37">
              <w:rPr>
                <w:rFonts w:eastAsia="等线" w:cs="Arial"/>
              </w:rPr>
              <w:t xml:space="preserve">the </w:t>
            </w:r>
            <w:r w:rsidRPr="00FA0D37">
              <w:rPr>
                <w:rFonts w:eastAsia="等线" w:cs="Arial"/>
              </w:rPr>
              <w:t>first symbol in a slot</w:t>
            </w:r>
            <w:r w:rsidR="00827A1B" w:rsidRPr="00FA0D37">
              <w:t xml:space="preserve"> </w:t>
            </w:r>
            <w:r w:rsidR="00827A1B" w:rsidRPr="00FA0D37">
              <w:rPr>
                <w:rFonts w:eastAsia="等线" w:cs="Arial"/>
              </w:rPr>
              <w:t>for the first TRS resource within the slot</w:t>
            </w:r>
            <w:r w:rsidRPr="00FA0D37">
              <w:rPr>
                <w:rFonts w:eastAsia="等线" w:cs="Arial"/>
              </w:rPr>
              <w:t>, a</w:t>
            </w:r>
            <w:r w:rsidR="00827A1B" w:rsidRPr="00FA0D37">
              <w:rPr>
                <w:rFonts w:eastAsia="等线" w:cs="Arial"/>
              </w:rPr>
              <w:t>nd the</w:t>
            </w:r>
            <w:r w:rsidRPr="00FA0D37">
              <w:rPr>
                <w:rFonts w:eastAsia="等线" w:cs="Arial"/>
              </w:rPr>
              <w:t xml:space="preserve"> symbol </w:t>
            </w:r>
            <w:r w:rsidR="00827A1B" w:rsidRPr="00FA0D37">
              <w:rPr>
                <w:rFonts w:eastAsia="等线" w:cs="Arial"/>
              </w:rPr>
              <w:t xml:space="preserve">for the second TRS resource </w:t>
            </w:r>
            <w:r w:rsidRPr="00FA0D37">
              <w:rPr>
                <w:rFonts w:eastAsia="等线" w:cs="Arial"/>
              </w:rPr>
              <w:t xml:space="preserve">in the same slot can be derived implicitly with symbol index as </w:t>
            </w:r>
            <w:r w:rsidRPr="00FA0D37">
              <w:rPr>
                <w:rFonts w:eastAsia="等线" w:cs="Arial"/>
                <w:i/>
              </w:rPr>
              <w:t>firstOFDMSymbolInTimeDomain</w:t>
            </w:r>
            <w:r w:rsidRPr="00FA0D37">
              <w:rPr>
                <w:rFonts w:eastAsia="等线" w:cs="Arial"/>
              </w:rPr>
              <w:t>+4.</w:t>
            </w:r>
          </w:p>
        </w:tc>
      </w:tr>
      <w:tr w:rsidR="005C7FF4" w:rsidRPr="00FA0D37" w14:paraId="5B9CA64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D58F77A" w14:textId="77777777" w:rsidR="00B623BD" w:rsidRPr="00FA0D37" w:rsidRDefault="00B623BD" w:rsidP="00771058">
            <w:pPr>
              <w:pStyle w:val="TAL"/>
              <w:rPr>
                <w:b/>
                <w:bCs/>
                <w:i/>
                <w:iCs/>
              </w:rPr>
            </w:pPr>
            <w:r w:rsidRPr="00FA0D37">
              <w:rPr>
                <w:b/>
                <w:bCs/>
                <w:i/>
                <w:iCs/>
              </w:rPr>
              <w:t>frequencyDomainAllocation</w:t>
            </w:r>
          </w:p>
          <w:p w14:paraId="391AFE5A" w14:textId="77777777" w:rsidR="00B623BD" w:rsidRPr="00FA0D37" w:rsidRDefault="00B623BD" w:rsidP="00771058">
            <w:pPr>
              <w:pStyle w:val="TAL"/>
              <w:rPr>
                <w:b/>
                <w:bCs/>
                <w:i/>
                <w:iCs/>
              </w:rPr>
            </w:pPr>
            <w:r w:rsidRPr="00FA0D37">
              <w:rPr>
                <w:rFonts w:eastAsia="等线" w:cs="Arial"/>
              </w:rPr>
              <w:t>I</w:t>
            </w:r>
            <w:r w:rsidRPr="00FA0D37">
              <w:rPr>
                <w:lang w:eastAsia="sv-SE"/>
              </w:rPr>
              <w:t>ndicates the offset of the first RE to RE#0 in a RB in row1</w:t>
            </w:r>
            <w:r w:rsidRPr="00FA0D37">
              <w:rPr>
                <w:bCs/>
                <w:noProof/>
                <w:lang w:eastAsia="en-GB"/>
              </w:rPr>
              <w:t>.</w:t>
            </w:r>
          </w:p>
        </w:tc>
      </w:tr>
      <w:tr w:rsidR="005C7FF4" w:rsidRPr="00FA0D37" w14:paraId="18330CA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A3B4A2" w14:textId="77777777" w:rsidR="00B623BD" w:rsidRPr="00FA0D37" w:rsidRDefault="00B623BD" w:rsidP="00771058">
            <w:pPr>
              <w:pStyle w:val="TAL"/>
              <w:rPr>
                <w:b/>
                <w:bCs/>
                <w:i/>
                <w:iCs/>
              </w:rPr>
            </w:pPr>
            <w:r w:rsidRPr="00FA0D37">
              <w:rPr>
                <w:b/>
                <w:bCs/>
                <w:i/>
                <w:iCs/>
              </w:rPr>
              <w:t>indBitID</w:t>
            </w:r>
          </w:p>
          <w:p w14:paraId="5A555F3A" w14:textId="77777777" w:rsidR="00B623BD" w:rsidRPr="00FA0D37" w:rsidRDefault="00B623BD" w:rsidP="00771058">
            <w:pPr>
              <w:pStyle w:val="TAL"/>
            </w:pPr>
            <w:r w:rsidRPr="00FA0D37">
              <w:rPr>
                <w:rFonts w:eastAsia="等线"/>
                <w:lang w:eastAsia="zh-CN"/>
              </w:rPr>
              <w:t>T</w:t>
            </w:r>
            <w:r w:rsidRPr="00FA0D37">
              <w:t>he index of the associated</w:t>
            </w:r>
            <w:r w:rsidRPr="00FA0D37">
              <w:rPr>
                <w:rFonts w:eastAsia="等线"/>
                <w:lang w:eastAsia="zh-CN"/>
              </w:rPr>
              <w:t xml:space="preserve"> </w:t>
            </w:r>
            <w:r w:rsidRPr="00FA0D37">
              <w:t>bit in TRS availability indication field</w:t>
            </w:r>
            <w:r w:rsidRPr="00FA0D37">
              <w:rPr>
                <w:rFonts w:eastAsia="等线"/>
                <w:lang w:eastAsia="zh-CN"/>
              </w:rPr>
              <w:t xml:space="preserve"> in DCI.</w:t>
            </w:r>
            <w:r w:rsidRPr="00FA0D37">
              <w:t xml:space="preserve"> Each TRS resource set is configured with an ID i for the association with (i+1)-th indication bit in TRS availability indication field</w:t>
            </w:r>
            <w:r w:rsidRPr="00FA0D37">
              <w:rPr>
                <w:rFonts w:eastAsia="等线"/>
                <w:lang w:eastAsia="zh-CN"/>
              </w:rPr>
              <w:t xml:space="preserve"> in DCI</w:t>
            </w:r>
            <w:r w:rsidRPr="00FA0D37">
              <w:t>.</w:t>
            </w:r>
          </w:p>
        </w:tc>
      </w:tr>
      <w:tr w:rsidR="005C7FF4" w:rsidRPr="00FA0D37" w14:paraId="5D0435B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9789783" w14:textId="77777777" w:rsidR="00B623BD" w:rsidRPr="00FA0D37" w:rsidRDefault="00B623BD" w:rsidP="00771058">
            <w:pPr>
              <w:pStyle w:val="TAL"/>
              <w:rPr>
                <w:b/>
                <w:bCs/>
                <w:i/>
                <w:iCs/>
              </w:rPr>
            </w:pPr>
            <w:r w:rsidRPr="00FA0D37">
              <w:rPr>
                <w:b/>
                <w:bCs/>
                <w:i/>
                <w:iCs/>
              </w:rPr>
              <w:t>nrofRBs</w:t>
            </w:r>
          </w:p>
          <w:p w14:paraId="225975AD" w14:textId="77777777" w:rsidR="00B623BD" w:rsidRPr="00FA0D37" w:rsidRDefault="00B623BD" w:rsidP="00771058">
            <w:pPr>
              <w:pStyle w:val="TAL"/>
            </w:pPr>
            <w:r w:rsidRPr="00FA0D37">
              <w:t>Number of PRBs across which corresponding TRS resource spans.</w:t>
            </w:r>
          </w:p>
        </w:tc>
      </w:tr>
      <w:tr w:rsidR="005C7FF4" w:rsidRPr="00FA0D37" w14:paraId="3DC8F16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58D1BA7" w14:textId="77777777" w:rsidR="00B623BD" w:rsidRPr="00FA0D37" w:rsidRDefault="00B623BD" w:rsidP="00771058">
            <w:pPr>
              <w:pStyle w:val="TAL"/>
              <w:rPr>
                <w:rFonts w:eastAsiaTheme="minorEastAsia"/>
                <w:b/>
                <w:bCs/>
                <w:i/>
                <w:iCs/>
                <w:lang w:eastAsia="zh-CN"/>
              </w:rPr>
            </w:pPr>
            <w:r w:rsidRPr="00FA0D37">
              <w:rPr>
                <w:b/>
                <w:bCs/>
                <w:i/>
                <w:iCs/>
              </w:rPr>
              <w:t>nrofResources</w:t>
            </w:r>
          </w:p>
          <w:p w14:paraId="116A804E" w14:textId="77777777" w:rsidR="00B623BD" w:rsidRPr="00FA0D37" w:rsidRDefault="00B623BD" w:rsidP="00771058">
            <w:pPr>
              <w:pStyle w:val="TAL"/>
              <w:rPr>
                <w:rFonts w:eastAsiaTheme="minorEastAsia"/>
                <w:b/>
                <w:bCs/>
                <w:i/>
                <w:iCs/>
                <w:lang w:eastAsia="zh-CN"/>
              </w:rPr>
            </w:pPr>
            <w:r w:rsidRPr="00FA0D37">
              <w:t>The number of TRS resources for a TRS resource set</w:t>
            </w:r>
            <w:r w:rsidRPr="00FA0D37">
              <w:rPr>
                <w:lang w:eastAsia="zh-CN"/>
              </w:rPr>
              <w:t>.</w:t>
            </w:r>
          </w:p>
        </w:tc>
      </w:tr>
      <w:tr w:rsidR="005C7FF4" w:rsidRPr="00FA0D37" w14:paraId="5678E35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0E0BCD3" w14:textId="77777777" w:rsidR="00B623BD" w:rsidRPr="00FA0D37" w:rsidRDefault="00B623BD" w:rsidP="00771058">
            <w:pPr>
              <w:pStyle w:val="TAL"/>
              <w:rPr>
                <w:b/>
                <w:bCs/>
                <w:i/>
                <w:iCs/>
              </w:rPr>
            </w:pPr>
            <w:r w:rsidRPr="00FA0D37">
              <w:rPr>
                <w:b/>
                <w:bCs/>
                <w:i/>
                <w:iCs/>
              </w:rPr>
              <w:t>periodicityAndOffset</w:t>
            </w:r>
          </w:p>
          <w:p w14:paraId="28B8D966" w14:textId="777D4995" w:rsidR="00B623BD" w:rsidRPr="00FA0D37" w:rsidRDefault="00B623BD" w:rsidP="00771058">
            <w:pPr>
              <w:pStyle w:val="TAL"/>
              <w:rPr>
                <w:lang w:eastAsia="zh-CN"/>
              </w:rPr>
            </w:pPr>
            <w:r w:rsidRPr="00FA0D37">
              <w:t>The periodicity and slot offset (slot) for periodic</w:t>
            </w:r>
            <w:r w:rsidR="00827A1B" w:rsidRPr="00FA0D37">
              <w:t xml:space="preserve"> </w:t>
            </w:r>
            <w:r w:rsidRPr="00FA0D37">
              <w:t>TRS.</w:t>
            </w:r>
            <w:r w:rsidRPr="00FA0D37">
              <w:rPr>
                <w:lang w:eastAsia="zh-CN"/>
              </w:rPr>
              <w:t xml:space="preserve"> It is used to determine the location of the first slot of TRS resource set. </w:t>
            </w:r>
            <w:r w:rsidRPr="00FA0D37">
              <w:t xml:space="preserve">The periodicity value </w:t>
            </w:r>
            <w:r w:rsidRPr="00FA0D37">
              <w:rPr>
                <w:i/>
              </w:rPr>
              <w:t>slots</w:t>
            </w:r>
            <w:r w:rsidRPr="00FA0D37">
              <w:rPr>
                <w:i/>
                <w:lang w:eastAsia="zh-CN"/>
              </w:rPr>
              <w:t>10</w:t>
            </w:r>
            <w:r w:rsidRPr="00FA0D37">
              <w:t xml:space="preserve"> corresponds to </w:t>
            </w:r>
            <w:r w:rsidRPr="00FA0D37">
              <w:rPr>
                <w:lang w:eastAsia="zh-CN"/>
              </w:rPr>
              <w:t>10</w:t>
            </w:r>
            <w:r w:rsidRPr="00FA0D37">
              <w:t xml:space="preserve"> slots, value </w:t>
            </w:r>
            <w:r w:rsidRPr="00FA0D37">
              <w:rPr>
                <w:i/>
              </w:rPr>
              <w:t>slots</w:t>
            </w:r>
            <w:r w:rsidRPr="00FA0D37">
              <w:rPr>
                <w:i/>
                <w:lang w:eastAsia="zh-CN"/>
              </w:rPr>
              <w:t>20</w:t>
            </w:r>
            <w:r w:rsidRPr="00FA0D37">
              <w:t xml:space="preserve"> corresponds to </w:t>
            </w:r>
            <w:r w:rsidRPr="00FA0D37">
              <w:rPr>
                <w:lang w:eastAsia="zh-CN"/>
              </w:rPr>
              <w:t>20</w:t>
            </w:r>
            <w:r w:rsidRPr="00FA0D37">
              <w:t xml:space="preserve"> slots, and so on.</w:t>
            </w:r>
          </w:p>
        </w:tc>
      </w:tr>
      <w:tr w:rsidR="005C7FF4" w:rsidRPr="00FA0D37" w14:paraId="0E46239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6B7414C" w14:textId="77777777" w:rsidR="00B623BD" w:rsidRPr="00FA0D37" w:rsidRDefault="00B623BD" w:rsidP="00771058">
            <w:pPr>
              <w:pStyle w:val="TAL"/>
              <w:rPr>
                <w:b/>
                <w:bCs/>
                <w:i/>
                <w:iCs/>
              </w:rPr>
            </w:pPr>
            <w:r w:rsidRPr="00FA0D37">
              <w:rPr>
                <w:b/>
                <w:bCs/>
                <w:i/>
                <w:iCs/>
              </w:rPr>
              <w:t>powerControlOffsetSS</w:t>
            </w:r>
          </w:p>
          <w:p w14:paraId="6F50EAA1" w14:textId="77777777" w:rsidR="00B623BD" w:rsidRPr="00FA0D37" w:rsidRDefault="00B623BD" w:rsidP="00771058">
            <w:pPr>
              <w:pStyle w:val="TAL"/>
              <w:rPr>
                <w:rFonts w:eastAsia="等线" w:cs="Arial"/>
                <w:szCs w:val="18"/>
              </w:rPr>
            </w:pPr>
            <w:r w:rsidRPr="00FA0D37">
              <w:t>Power offset (dB) of NZP CSI-RS RE to SSS RE.</w:t>
            </w:r>
          </w:p>
        </w:tc>
      </w:tr>
      <w:tr w:rsidR="005C7FF4" w:rsidRPr="00FA0D37" w14:paraId="62635D6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3D0307F" w14:textId="77777777" w:rsidR="00B623BD" w:rsidRPr="00FA0D37" w:rsidRDefault="00B623BD" w:rsidP="00771058">
            <w:pPr>
              <w:pStyle w:val="TAL"/>
              <w:rPr>
                <w:b/>
                <w:bCs/>
                <w:i/>
                <w:iCs/>
                <w:lang w:eastAsia="zh-CN"/>
              </w:rPr>
            </w:pPr>
            <w:r w:rsidRPr="00FA0D37">
              <w:rPr>
                <w:b/>
                <w:bCs/>
                <w:i/>
                <w:iCs/>
              </w:rPr>
              <w:t>scramblingID</w:t>
            </w:r>
            <w:r w:rsidRPr="00FA0D37">
              <w:rPr>
                <w:b/>
                <w:bCs/>
                <w:i/>
                <w:iCs/>
                <w:lang w:eastAsia="zh-CN"/>
              </w:rPr>
              <w:t>-Info</w:t>
            </w:r>
          </w:p>
          <w:p w14:paraId="54E14D67" w14:textId="77777777" w:rsidR="00B623BD" w:rsidRPr="00FA0D37" w:rsidRDefault="00B623BD" w:rsidP="00771058">
            <w:pPr>
              <w:pStyle w:val="TAL"/>
            </w:pPr>
            <w:r w:rsidRPr="00FA0D37">
              <w:t xml:space="preserve">One or more scrambling IDs </w:t>
            </w:r>
            <w:r w:rsidRPr="00FA0D37">
              <w:rPr>
                <w:lang w:eastAsia="zh-CN"/>
              </w:rPr>
              <w:t>are</w:t>
            </w:r>
            <w:r w:rsidRPr="00FA0D37">
              <w:t xml:space="preserve"> configured for a TRS resource set. If a </w:t>
            </w:r>
            <w:r w:rsidRPr="00FA0D37">
              <w:rPr>
                <w:lang w:eastAsia="zh-CN"/>
              </w:rPr>
              <w:t>common</w:t>
            </w:r>
            <w:r w:rsidRPr="00FA0D37">
              <w:t xml:space="preserve"> scrambling ID is configured, it applies to all the TRS resources</w:t>
            </w:r>
            <w:r w:rsidRPr="00FA0D37">
              <w:rPr>
                <w:lang w:eastAsia="zh-CN"/>
              </w:rPr>
              <w:t xml:space="preserve"> within the TRS resource set</w:t>
            </w:r>
            <w:r w:rsidRPr="00FA0D37">
              <w:t xml:space="preserve">. Otherwise, each TRS resource </w:t>
            </w:r>
            <w:r w:rsidRPr="00FA0D37">
              <w:rPr>
                <w:lang w:eastAsia="zh-CN"/>
              </w:rPr>
              <w:t xml:space="preserve">within the TRS resource set </w:t>
            </w:r>
            <w:r w:rsidRPr="00FA0D37">
              <w:t xml:space="preserve">is provided with a scrambling ID. </w:t>
            </w:r>
            <w:r w:rsidRPr="00FA0D37">
              <w:rPr>
                <w:lang w:eastAsia="zh-CN"/>
              </w:rPr>
              <w:t xml:space="preserve">If the number of TRS resources for the TRS resource set is 2, </w:t>
            </w:r>
            <w:r w:rsidRPr="00FA0D37">
              <w:rPr>
                <w:i/>
              </w:rPr>
              <w:t>scramblingID</w:t>
            </w:r>
            <w:r w:rsidRPr="00FA0D37">
              <w:rPr>
                <w:i/>
                <w:lang w:eastAsia="zh-CN"/>
              </w:rPr>
              <w:t>perResourceListWith2-r17</w:t>
            </w:r>
            <w:r w:rsidRPr="00FA0D37">
              <w:rPr>
                <w:lang w:eastAsia="zh-CN"/>
              </w:rPr>
              <w:t xml:space="preserve"> is configured, while </w:t>
            </w:r>
            <w:r w:rsidRPr="00FA0D37">
              <w:rPr>
                <w:i/>
              </w:rPr>
              <w:t>scramblingID</w:t>
            </w:r>
            <w:r w:rsidRPr="00FA0D37">
              <w:rPr>
                <w:i/>
                <w:lang w:eastAsia="zh-CN"/>
              </w:rPr>
              <w:t>perResourceListWith4-r17</w:t>
            </w:r>
            <w:r w:rsidRPr="00FA0D37">
              <w:rPr>
                <w:lang w:eastAsia="zh-CN"/>
              </w:rPr>
              <w:t xml:space="preserve"> is configured</w:t>
            </w:r>
            <w:r w:rsidRPr="00FA0D37">
              <w:t xml:space="preserve"> </w:t>
            </w:r>
            <w:r w:rsidRPr="00FA0D37">
              <w:rPr>
                <w:lang w:eastAsia="zh-CN"/>
              </w:rPr>
              <w:t>for the case that the number of TRS resources for the TRS resource set is 4.</w:t>
            </w:r>
          </w:p>
        </w:tc>
      </w:tr>
      <w:tr w:rsidR="005C7FF4" w:rsidRPr="00FA0D37" w14:paraId="2C30804B"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190240D6" w14:textId="77777777" w:rsidR="00B623BD" w:rsidRPr="00FA0D37" w:rsidRDefault="00B623BD" w:rsidP="00771058">
            <w:pPr>
              <w:pStyle w:val="TAL"/>
              <w:rPr>
                <w:b/>
                <w:bCs/>
                <w:i/>
                <w:iCs/>
              </w:rPr>
            </w:pPr>
            <w:r w:rsidRPr="00FA0D37">
              <w:rPr>
                <w:b/>
                <w:bCs/>
                <w:i/>
                <w:iCs/>
              </w:rPr>
              <w:t>ssb-Index</w:t>
            </w:r>
          </w:p>
          <w:p w14:paraId="067E091E" w14:textId="75E5F8D1" w:rsidR="00B623BD" w:rsidRPr="00FA0D37" w:rsidRDefault="00B623BD" w:rsidP="00771058">
            <w:pPr>
              <w:pStyle w:val="TAL"/>
            </w:pPr>
            <w:r w:rsidRPr="00FA0D37">
              <w:t xml:space="preserve">The index of reference SSB with which quasi-collocation information is provided as specified in TS 38.214 [19] </w:t>
            </w:r>
            <w:r w:rsidR="009C7196" w:rsidRPr="00FA0D37">
              <w:t>clause</w:t>
            </w:r>
            <w:r w:rsidRPr="00FA0D37">
              <w:t xml:space="preserve"> 5.1.5.</w:t>
            </w:r>
          </w:p>
        </w:tc>
      </w:tr>
      <w:tr w:rsidR="00B623BD" w:rsidRPr="00FA0D37" w14:paraId="7CFBD89A"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BB68028" w14:textId="77777777" w:rsidR="00B623BD" w:rsidRPr="00FA0D37" w:rsidRDefault="00B623BD" w:rsidP="00771058">
            <w:pPr>
              <w:pStyle w:val="TAL"/>
              <w:rPr>
                <w:szCs w:val="22"/>
                <w:lang w:eastAsia="sv-SE"/>
              </w:rPr>
            </w:pPr>
            <w:r w:rsidRPr="00FA0D37">
              <w:rPr>
                <w:b/>
                <w:i/>
                <w:szCs w:val="22"/>
                <w:lang w:eastAsia="sv-SE"/>
              </w:rPr>
              <w:t>startingRB</w:t>
            </w:r>
          </w:p>
          <w:p w14:paraId="035F603E" w14:textId="77777777" w:rsidR="00B623BD" w:rsidRPr="00FA0D37" w:rsidRDefault="00B623BD" w:rsidP="00771058">
            <w:pPr>
              <w:pStyle w:val="TAL"/>
              <w:rPr>
                <w:rFonts w:eastAsia="等线"/>
              </w:rPr>
            </w:pPr>
            <w:r w:rsidRPr="00FA0D37">
              <w:rPr>
                <w:szCs w:val="22"/>
                <w:lang w:eastAsia="sv-SE"/>
              </w:rPr>
              <w:t>The PRB index where corresponding TRS resource starts in relation to common resource block #0 (CRB#0) on the common resource block grid.</w:t>
            </w:r>
          </w:p>
        </w:tc>
      </w:tr>
      <w:bookmarkEnd w:id="786"/>
    </w:tbl>
    <w:p w14:paraId="329B9096" w14:textId="24AC5DE2" w:rsidR="00B623BD" w:rsidRPr="00FA0D37" w:rsidRDefault="00B623BD" w:rsidP="00394471"/>
    <w:p w14:paraId="69FB3CAA" w14:textId="67BF13E9" w:rsidR="005F220E" w:rsidRPr="00FA0D37" w:rsidRDefault="005F220E" w:rsidP="005F220E">
      <w:pPr>
        <w:pStyle w:val="4"/>
      </w:pPr>
      <w:bookmarkStart w:id="787" w:name="_Toc146781195"/>
      <w:r w:rsidRPr="00FA0D37">
        <w:t>–</w:t>
      </w:r>
      <w:r w:rsidRPr="00FA0D37">
        <w:tab/>
      </w:r>
      <w:r w:rsidR="00963CB0" w:rsidRPr="00FA0D37">
        <w:rPr>
          <w:i/>
          <w:iCs/>
          <w:lang w:eastAsia="x-none"/>
        </w:rPr>
        <w:t>SIB18</w:t>
      </w:r>
      <w:bookmarkEnd w:id="787"/>
    </w:p>
    <w:p w14:paraId="66532A03" w14:textId="64677EEA" w:rsidR="005F220E" w:rsidRPr="00FA0D37" w:rsidRDefault="00963CB0" w:rsidP="005F220E">
      <w:pPr>
        <w:rPr>
          <w:noProof/>
        </w:rPr>
      </w:pPr>
      <w:r w:rsidRPr="00FA0D37">
        <w:rPr>
          <w:i/>
          <w:noProof/>
        </w:rPr>
        <w:t>SIB18</w:t>
      </w:r>
      <w:r w:rsidR="005F220E" w:rsidRPr="00FA0D37">
        <w:t xml:space="preserve"> contains</w:t>
      </w:r>
      <w:r w:rsidR="005F220E" w:rsidRPr="00FA0D37">
        <w:rPr>
          <w:noProof/>
        </w:rPr>
        <w:t xml:space="preserve"> </w:t>
      </w:r>
      <w:r w:rsidR="005F220E" w:rsidRPr="00FA0D37">
        <w:t xml:space="preserve">Group IDs for Network selection (GINs) to support access using credentials from a Credentials Holder or to </w:t>
      </w:r>
      <w:r w:rsidR="003A5D4E" w:rsidRPr="00FA0D37">
        <w:t xml:space="preserve">support </w:t>
      </w:r>
      <w:r w:rsidR="005F220E" w:rsidRPr="00FA0D37">
        <w:t>UE onboarding.</w:t>
      </w:r>
    </w:p>
    <w:p w14:paraId="1F7F9048" w14:textId="07EE985F" w:rsidR="005F220E" w:rsidRPr="00FA0D37" w:rsidRDefault="00963CB0" w:rsidP="005F220E">
      <w:pPr>
        <w:keepNext/>
        <w:keepLines/>
        <w:spacing w:before="60"/>
        <w:jc w:val="center"/>
        <w:rPr>
          <w:rFonts w:ascii="Arial" w:hAnsi="Arial"/>
          <w:b/>
          <w:bCs/>
          <w:i/>
          <w:iCs/>
          <w:lang w:eastAsia="x-none"/>
        </w:rPr>
      </w:pPr>
      <w:r w:rsidRPr="00FA0D37">
        <w:rPr>
          <w:rFonts w:ascii="Arial" w:hAnsi="Arial"/>
          <w:b/>
          <w:bCs/>
          <w:i/>
          <w:iCs/>
          <w:noProof/>
          <w:lang w:eastAsia="x-none"/>
        </w:rPr>
        <w:t>SIB18</w:t>
      </w:r>
      <w:r w:rsidR="005F220E" w:rsidRPr="00FA0D37">
        <w:rPr>
          <w:rFonts w:ascii="Arial" w:hAnsi="Arial"/>
          <w:b/>
          <w:bCs/>
          <w:i/>
          <w:iCs/>
          <w:noProof/>
          <w:lang w:eastAsia="x-none"/>
        </w:rPr>
        <w:t xml:space="preserve"> </w:t>
      </w:r>
      <w:r w:rsidR="005F220E" w:rsidRPr="00FA0D37">
        <w:rPr>
          <w:rFonts w:ascii="Arial" w:hAnsi="Arial"/>
          <w:b/>
          <w:bCs/>
          <w:iCs/>
          <w:noProof/>
          <w:lang w:eastAsia="x-none"/>
        </w:rPr>
        <w:t>information element</w:t>
      </w:r>
    </w:p>
    <w:p w14:paraId="7BCECFCD" w14:textId="77777777" w:rsidR="005F220E" w:rsidRPr="00FA0D37" w:rsidRDefault="005F220E" w:rsidP="00FA0D37">
      <w:pPr>
        <w:pStyle w:val="PL"/>
        <w:rPr>
          <w:color w:val="808080"/>
        </w:rPr>
      </w:pPr>
      <w:r w:rsidRPr="00FA0D37">
        <w:rPr>
          <w:color w:val="808080"/>
        </w:rPr>
        <w:t>-- ASN1START</w:t>
      </w:r>
    </w:p>
    <w:p w14:paraId="4806EDC6" w14:textId="27EF2BEB" w:rsidR="005F220E" w:rsidRPr="00FA0D37" w:rsidRDefault="005F220E" w:rsidP="00FA0D37">
      <w:pPr>
        <w:pStyle w:val="PL"/>
        <w:rPr>
          <w:color w:val="808080"/>
        </w:rPr>
      </w:pPr>
      <w:r w:rsidRPr="00FA0D37">
        <w:rPr>
          <w:color w:val="808080"/>
        </w:rPr>
        <w:t>-- TAG-</w:t>
      </w:r>
      <w:r w:rsidR="00963CB0" w:rsidRPr="00FA0D37">
        <w:rPr>
          <w:color w:val="808080"/>
        </w:rPr>
        <w:t>SIB18</w:t>
      </w:r>
      <w:r w:rsidRPr="00FA0D37">
        <w:rPr>
          <w:color w:val="808080"/>
        </w:rPr>
        <w:t>-START</w:t>
      </w:r>
    </w:p>
    <w:p w14:paraId="4CDC99F9" w14:textId="77777777" w:rsidR="005F220E" w:rsidRPr="00FA0D37" w:rsidRDefault="005F220E" w:rsidP="00FA0D37">
      <w:pPr>
        <w:pStyle w:val="PL"/>
      </w:pPr>
    </w:p>
    <w:p w14:paraId="460BC584" w14:textId="42B27FCE" w:rsidR="005F220E" w:rsidRPr="00FA0D37" w:rsidRDefault="00963CB0" w:rsidP="00FA0D37">
      <w:pPr>
        <w:pStyle w:val="PL"/>
      </w:pPr>
      <w:r w:rsidRPr="00FA0D37">
        <w:t>SIB18</w:t>
      </w:r>
      <w:r w:rsidR="005F220E" w:rsidRPr="00FA0D37">
        <w:t xml:space="preserve">-r17 ::=               </w:t>
      </w:r>
      <w:r w:rsidR="005F220E" w:rsidRPr="00FA0D37">
        <w:rPr>
          <w:color w:val="993366"/>
        </w:rPr>
        <w:t>SEQUENCE</w:t>
      </w:r>
      <w:r w:rsidR="005F220E" w:rsidRPr="00FA0D37">
        <w:t xml:space="preserve"> {</w:t>
      </w:r>
    </w:p>
    <w:p w14:paraId="4CA52D8C" w14:textId="22F66242" w:rsidR="005F220E" w:rsidRPr="00FA0D37" w:rsidRDefault="005F220E" w:rsidP="00FA0D37">
      <w:pPr>
        <w:pStyle w:val="PL"/>
        <w:rPr>
          <w:color w:val="808080"/>
        </w:rPr>
      </w:pPr>
      <w:r w:rsidRPr="00FA0D37">
        <w:t xml:space="preserve">    gin-ElementList-r17         </w:t>
      </w:r>
      <w:r w:rsidRPr="00FA0D37">
        <w:rPr>
          <w:color w:val="993366"/>
        </w:rPr>
        <w:t>SEQUENCE</w:t>
      </w:r>
      <w:r w:rsidRPr="00FA0D37">
        <w:t xml:space="preserve"> (</w:t>
      </w:r>
      <w:r w:rsidRPr="00FA0D37">
        <w:rPr>
          <w:color w:val="993366"/>
        </w:rPr>
        <w:t>SIZE</w:t>
      </w:r>
      <w:r w:rsidRPr="00FA0D37">
        <w:t xml:space="preserve"> (1..maxGIN-r17))</w:t>
      </w:r>
      <w:r w:rsidRPr="00FA0D37">
        <w:rPr>
          <w:color w:val="993366"/>
        </w:rPr>
        <w:t xml:space="preserve"> OF</w:t>
      </w:r>
      <w:r w:rsidRPr="00FA0D37">
        <w:t xml:space="preserve"> GIN-Element-r17            </w:t>
      </w:r>
      <w:r w:rsidRPr="00FA0D37">
        <w:rPr>
          <w:color w:val="993366"/>
        </w:rPr>
        <w:t>OPTIONAL</w:t>
      </w:r>
      <w:r w:rsidRPr="00FA0D37">
        <w:t xml:space="preserve">,   </w:t>
      </w:r>
      <w:r w:rsidRPr="00FA0D37">
        <w:rPr>
          <w:color w:val="808080"/>
        </w:rPr>
        <w:t>-- Need R</w:t>
      </w:r>
    </w:p>
    <w:p w14:paraId="77D13078" w14:textId="5B6B2EC7" w:rsidR="005F220E" w:rsidRPr="00FA0D37" w:rsidRDefault="005F220E" w:rsidP="00FA0D37">
      <w:pPr>
        <w:pStyle w:val="PL"/>
        <w:rPr>
          <w:color w:val="808080"/>
        </w:rPr>
      </w:pPr>
      <w:r w:rsidRPr="00FA0D37">
        <w:t xml:space="preserve">    gins</w:t>
      </w:r>
      <w:r w:rsidR="003A5D4E" w:rsidRPr="00FA0D37">
        <w:t>-</w:t>
      </w:r>
      <w:r w:rsidRPr="00FA0D37">
        <w:t xml:space="preserve">PerSNPN-List-r17       </w:t>
      </w:r>
      <w:r w:rsidRPr="00FA0D37">
        <w:rPr>
          <w:color w:val="993366"/>
        </w:rPr>
        <w:t>SEQUENCE</w:t>
      </w:r>
      <w:r w:rsidRPr="00FA0D37">
        <w:t xml:space="preserve"> (</w:t>
      </w:r>
      <w:r w:rsidRPr="00FA0D37">
        <w:rPr>
          <w:color w:val="993366"/>
        </w:rPr>
        <w:t>SIZE</w:t>
      </w:r>
      <w:r w:rsidRPr="00FA0D37">
        <w:t xml:space="preserve"> (1..maxNPN-r16))</w:t>
      </w:r>
      <w:r w:rsidRPr="00FA0D37">
        <w:rPr>
          <w:color w:val="993366"/>
        </w:rPr>
        <w:t xml:space="preserve"> OF</w:t>
      </w:r>
      <w:r w:rsidRPr="00FA0D37">
        <w:t xml:space="preserve"> GINs-</w:t>
      </w:r>
      <w:r w:rsidR="003A5D4E" w:rsidRPr="00FA0D37">
        <w:t>PerSNPN</w:t>
      </w:r>
      <w:r w:rsidRPr="00FA0D37">
        <w:t xml:space="preserve">-r17           </w:t>
      </w:r>
      <w:r w:rsidRPr="00FA0D37">
        <w:rPr>
          <w:color w:val="993366"/>
        </w:rPr>
        <w:t>OPTIONAL</w:t>
      </w:r>
      <w:r w:rsidRPr="00FA0D37">
        <w:t xml:space="preserve">,   </w:t>
      </w:r>
      <w:r w:rsidRPr="00FA0D37">
        <w:rPr>
          <w:color w:val="808080"/>
        </w:rPr>
        <w:t xml:space="preserve">-- Need </w:t>
      </w:r>
      <w:r w:rsidR="00B822E7" w:rsidRPr="00FA0D37">
        <w:rPr>
          <w:color w:val="808080"/>
        </w:rPr>
        <w:t>S</w:t>
      </w:r>
    </w:p>
    <w:p w14:paraId="2F3D58EA" w14:textId="3E3E10C7" w:rsidR="005F220E" w:rsidRPr="00FA0D37" w:rsidRDefault="005F220E"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F88E372" w14:textId="77777777" w:rsidR="005F220E" w:rsidRPr="00FA0D37" w:rsidRDefault="005F220E" w:rsidP="00FA0D37">
      <w:pPr>
        <w:pStyle w:val="PL"/>
      </w:pPr>
      <w:r w:rsidRPr="00FA0D37">
        <w:t xml:space="preserve">    ...</w:t>
      </w:r>
    </w:p>
    <w:p w14:paraId="218A6F79" w14:textId="77777777" w:rsidR="005F220E" w:rsidRPr="00FA0D37" w:rsidRDefault="005F220E" w:rsidP="00FA0D37">
      <w:pPr>
        <w:pStyle w:val="PL"/>
      </w:pPr>
      <w:r w:rsidRPr="00FA0D37">
        <w:t>}</w:t>
      </w:r>
    </w:p>
    <w:p w14:paraId="56E32D61" w14:textId="77777777" w:rsidR="005F220E" w:rsidRPr="00FA0D37" w:rsidRDefault="005F220E" w:rsidP="00FA0D37">
      <w:pPr>
        <w:pStyle w:val="PL"/>
      </w:pPr>
    </w:p>
    <w:p w14:paraId="6450B375" w14:textId="77777777" w:rsidR="005F220E" w:rsidRPr="00FA0D37" w:rsidRDefault="005F220E" w:rsidP="00FA0D37">
      <w:pPr>
        <w:pStyle w:val="PL"/>
      </w:pPr>
      <w:r w:rsidRPr="00FA0D37">
        <w:lastRenderedPageBreak/>
        <w:t xml:space="preserve">GIN-Element-r17 ::=         </w:t>
      </w:r>
      <w:r w:rsidRPr="00FA0D37">
        <w:rPr>
          <w:color w:val="993366"/>
        </w:rPr>
        <w:t>SEQUENCE</w:t>
      </w:r>
      <w:r w:rsidRPr="00FA0D37">
        <w:t xml:space="preserve"> {</w:t>
      </w:r>
    </w:p>
    <w:p w14:paraId="07018BD0" w14:textId="77777777" w:rsidR="005F220E" w:rsidRPr="00FA0D37" w:rsidRDefault="005F220E" w:rsidP="00FA0D37">
      <w:pPr>
        <w:pStyle w:val="PL"/>
      </w:pPr>
      <w:r w:rsidRPr="00FA0D37">
        <w:t xml:space="preserve">    plmn-Identity-r17           PLMN-Identity,</w:t>
      </w:r>
    </w:p>
    <w:p w14:paraId="615D6B26" w14:textId="77777777" w:rsidR="005F220E" w:rsidRPr="00FA0D37" w:rsidRDefault="005F220E" w:rsidP="00FA0D37">
      <w:pPr>
        <w:pStyle w:val="PL"/>
      </w:pPr>
      <w:r w:rsidRPr="00FA0D37">
        <w:t xml:space="preserve">    nid-List-r17                </w:t>
      </w:r>
      <w:r w:rsidRPr="00FA0D37">
        <w:rPr>
          <w:color w:val="993366"/>
        </w:rPr>
        <w:t>SEQUENCE</w:t>
      </w:r>
      <w:r w:rsidRPr="00FA0D37">
        <w:t xml:space="preserve"> (</w:t>
      </w:r>
      <w:r w:rsidRPr="00FA0D37">
        <w:rPr>
          <w:color w:val="993366"/>
        </w:rPr>
        <w:t>SIZE</w:t>
      </w:r>
      <w:r w:rsidRPr="00FA0D37">
        <w:t xml:space="preserve"> (1..maxGIN-r17))</w:t>
      </w:r>
      <w:r w:rsidRPr="00FA0D37">
        <w:rPr>
          <w:color w:val="993366"/>
        </w:rPr>
        <w:t xml:space="preserve"> OF</w:t>
      </w:r>
      <w:r w:rsidRPr="00FA0D37">
        <w:t xml:space="preserve"> NID-r16</w:t>
      </w:r>
    </w:p>
    <w:p w14:paraId="57E480AC" w14:textId="77777777" w:rsidR="005F220E" w:rsidRPr="00FA0D37" w:rsidRDefault="005F220E" w:rsidP="00FA0D37">
      <w:pPr>
        <w:pStyle w:val="PL"/>
      </w:pPr>
      <w:r w:rsidRPr="00FA0D37">
        <w:t>}</w:t>
      </w:r>
    </w:p>
    <w:p w14:paraId="74292797" w14:textId="77777777" w:rsidR="005F220E" w:rsidRPr="00FA0D37" w:rsidRDefault="005F220E" w:rsidP="00FA0D37">
      <w:pPr>
        <w:pStyle w:val="PL"/>
      </w:pPr>
    </w:p>
    <w:p w14:paraId="69E0B547" w14:textId="58C4E44C" w:rsidR="005F220E" w:rsidRPr="00FA0D37" w:rsidRDefault="005F220E" w:rsidP="00FA0D37">
      <w:pPr>
        <w:pStyle w:val="PL"/>
      </w:pPr>
      <w:r w:rsidRPr="00FA0D37">
        <w:t>GINs-</w:t>
      </w:r>
      <w:r w:rsidR="003A5D4E" w:rsidRPr="00FA0D37">
        <w:t>PerSNPN</w:t>
      </w:r>
      <w:r w:rsidRPr="00FA0D37">
        <w:t xml:space="preserve">-r17 ::=        </w:t>
      </w:r>
      <w:r w:rsidRPr="00FA0D37">
        <w:rPr>
          <w:color w:val="993366"/>
        </w:rPr>
        <w:t>SEQUENCE</w:t>
      </w:r>
      <w:r w:rsidRPr="00FA0D37">
        <w:t xml:space="preserve"> {</w:t>
      </w:r>
    </w:p>
    <w:p w14:paraId="6C975482" w14:textId="05F73DDA" w:rsidR="005F220E" w:rsidRPr="00FA0D37" w:rsidRDefault="005F220E" w:rsidP="00FA0D37">
      <w:pPr>
        <w:pStyle w:val="PL"/>
        <w:rPr>
          <w:color w:val="808080"/>
        </w:rPr>
      </w:pPr>
      <w:r w:rsidRPr="00FA0D37">
        <w:t xml:space="preserve">    supportedGINs-r17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(1..maxGIN-r17))                             </w:t>
      </w:r>
      <w:r w:rsidRPr="00FA0D37">
        <w:rPr>
          <w:color w:val="993366"/>
        </w:rPr>
        <w:t>OPTIONAL</w:t>
      </w:r>
      <w:r w:rsidRPr="00FA0D37">
        <w:t xml:space="preserve">   </w:t>
      </w:r>
      <w:r w:rsidRPr="00FA0D37">
        <w:rPr>
          <w:color w:val="808080"/>
        </w:rPr>
        <w:t>-- Need R</w:t>
      </w:r>
    </w:p>
    <w:p w14:paraId="0491F8C4" w14:textId="77777777" w:rsidR="005F220E" w:rsidRPr="00FA0D37" w:rsidRDefault="005F220E" w:rsidP="00FA0D37">
      <w:pPr>
        <w:pStyle w:val="PL"/>
      </w:pPr>
      <w:r w:rsidRPr="00FA0D37">
        <w:t>}</w:t>
      </w:r>
    </w:p>
    <w:p w14:paraId="6F011C4A" w14:textId="3517E2AE" w:rsidR="005F220E" w:rsidRPr="00FA0D37" w:rsidRDefault="005F220E" w:rsidP="00FA0D37">
      <w:pPr>
        <w:pStyle w:val="PL"/>
        <w:rPr>
          <w:color w:val="808080"/>
        </w:rPr>
      </w:pPr>
      <w:r w:rsidRPr="00FA0D37">
        <w:rPr>
          <w:color w:val="808080"/>
        </w:rPr>
        <w:t>-- TAG-</w:t>
      </w:r>
      <w:r w:rsidR="00963CB0" w:rsidRPr="00FA0D37">
        <w:rPr>
          <w:color w:val="808080"/>
        </w:rPr>
        <w:t>SIB18</w:t>
      </w:r>
      <w:r w:rsidRPr="00FA0D37">
        <w:rPr>
          <w:color w:val="808080"/>
        </w:rPr>
        <w:t>-STOP</w:t>
      </w:r>
    </w:p>
    <w:p w14:paraId="18A73FB7" w14:textId="77777777" w:rsidR="005F220E" w:rsidRPr="00FA0D37" w:rsidRDefault="005F220E" w:rsidP="00FA0D37">
      <w:pPr>
        <w:pStyle w:val="PL"/>
        <w:rPr>
          <w:color w:val="808080"/>
        </w:rPr>
      </w:pPr>
      <w:r w:rsidRPr="00FA0D37">
        <w:rPr>
          <w:color w:val="808080"/>
        </w:rPr>
        <w:t>-- ASN1STOP</w:t>
      </w:r>
    </w:p>
    <w:p w14:paraId="63441AA2" w14:textId="77777777" w:rsidR="005F220E" w:rsidRPr="00FA0D37" w:rsidRDefault="005F220E" w:rsidP="005F220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5C7FF4" w:rsidRPr="00FA0D37" w14:paraId="191F75B0"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46BE99CF" w14:textId="183DA065" w:rsidR="005F220E" w:rsidRPr="00FA0D37" w:rsidRDefault="00963CB0" w:rsidP="00771058">
            <w:pPr>
              <w:pStyle w:val="TAH"/>
              <w:rPr>
                <w:lang w:eastAsia="sv-SE"/>
              </w:rPr>
            </w:pPr>
            <w:r w:rsidRPr="00FA0D37">
              <w:rPr>
                <w:i/>
                <w:lang w:eastAsia="sv-SE"/>
              </w:rPr>
              <w:t>SIB18</w:t>
            </w:r>
            <w:r w:rsidR="005F220E" w:rsidRPr="00FA0D37">
              <w:rPr>
                <w:i/>
                <w:lang w:eastAsia="sv-SE"/>
              </w:rPr>
              <w:t xml:space="preserve"> </w:t>
            </w:r>
            <w:r w:rsidR="005F220E" w:rsidRPr="00FA0D37">
              <w:rPr>
                <w:lang w:eastAsia="sv-SE"/>
              </w:rPr>
              <w:t>field descriptions</w:t>
            </w:r>
          </w:p>
        </w:tc>
      </w:tr>
      <w:tr w:rsidR="005C7FF4" w:rsidRPr="00FA0D37" w14:paraId="4B3F3442"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66F2B275" w14:textId="77777777" w:rsidR="005F220E" w:rsidRPr="00FA0D37" w:rsidRDefault="005F220E" w:rsidP="00771058">
            <w:pPr>
              <w:pStyle w:val="TAL"/>
              <w:rPr>
                <w:b/>
                <w:bCs/>
                <w:i/>
                <w:iCs/>
                <w:lang w:eastAsia="x-none"/>
              </w:rPr>
            </w:pPr>
            <w:r w:rsidRPr="00FA0D37">
              <w:rPr>
                <w:b/>
                <w:bCs/>
                <w:i/>
                <w:iCs/>
                <w:lang w:eastAsia="x-none"/>
              </w:rPr>
              <w:t>gin-ElementList</w:t>
            </w:r>
          </w:p>
          <w:p w14:paraId="07B52453" w14:textId="1477295A" w:rsidR="005F220E" w:rsidRPr="00FA0D37" w:rsidRDefault="005F220E" w:rsidP="00771058">
            <w:pPr>
              <w:pStyle w:val="TAL"/>
              <w:rPr>
                <w:lang w:eastAsia="sv-SE"/>
              </w:rPr>
            </w:pPr>
            <w:r w:rsidRPr="00FA0D37">
              <w:rPr>
                <w:lang w:eastAsia="sv-SE"/>
              </w:rPr>
              <w:t>The</w:t>
            </w:r>
            <w:r w:rsidRPr="00FA0D37">
              <w:rPr>
                <w:i/>
                <w:lang w:eastAsia="sv-SE"/>
              </w:rPr>
              <w:t xml:space="preserve"> </w:t>
            </w:r>
            <w:r w:rsidR="00C737D1" w:rsidRPr="00FA0D37">
              <w:rPr>
                <w:i/>
                <w:lang w:eastAsia="sv-SE"/>
              </w:rPr>
              <w:t>gin</w:t>
            </w:r>
            <w:r w:rsidRPr="00FA0D37">
              <w:rPr>
                <w:i/>
                <w:lang w:eastAsia="sv-SE"/>
              </w:rPr>
              <w:t>-ElementList</w:t>
            </w:r>
            <w:r w:rsidRPr="00FA0D37">
              <w:rPr>
                <w:lang w:eastAsia="sv-SE"/>
              </w:rPr>
              <w:t xml:space="preserve"> contains one or more GIN elements. Each GIN element contains either one GIN, which is identified by a PLMN ID and a NID, or multiple GINs that share the same PLMN ID. </w:t>
            </w:r>
            <w:r w:rsidR="00C737D1" w:rsidRPr="00FA0D37">
              <w:t xml:space="preserve">The total number of GINs indicated does not exceed maxGIN-r17. </w:t>
            </w:r>
            <w:r w:rsidRPr="00FA0D37">
              <w:t>The GIN index</w:t>
            </w:r>
            <w:r w:rsidRPr="00FA0D37">
              <w:rPr>
                <w:i/>
                <w:iCs/>
              </w:rPr>
              <w:t xml:space="preserve"> m </w:t>
            </w:r>
            <w:r w:rsidRPr="00FA0D37">
              <w:t xml:space="preserve">is defined as d1+d2+…+d(n-1)+i for the GIN included in the </w:t>
            </w:r>
            <w:r w:rsidRPr="00FA0D37">
              <w:rPr>
                <w:i/>
                <w:iCs/>
              </w:rPr>
              <w:t>n</w:t>
            </w:r>
            <w:r w:rsidRPr="00FA0D37">
              <w:t xml:space="preserve">-th entry of the </w:t>
            </w:r>
            <w:r w:rsidRPr="00FA0D37">
              <w:rPr>
                <w:i/>
                <w:iCs/>
              </w:rPr>
              <w:t>gin-ElementList</w:t>
            </w:r>
            <w:r w:rsidRPr="00FA0D37">
              <w:t xml:space="preserve"> and the </w:t>
            </w:r>
            <w:r w:rsidRPr="00FA0D37">
              <w:rPr>
                <w:i/>
                <w:iCs/>
              </w:rPr>
              <w:t>i</w:t>
            </w:r>
            <w:r w:rsidRPr="00FA0D37">
              <w:t xml:space="preserve">-th entry of its corresponding </w:t>
            </w:r>
            <w:r w:rsidRPr="00FA0D37">
              <w:rPr>
                <w:i/>
                <w:iCs/>
              </w:rPr>
              <w:t>GIN-Element</w:t>
            </w:r>
            <w:r w:rsidRPr="00FA0D37">
              <w:t xml:space="preserve">, where </w:t>
            </w:r>
            <w:r w:rsidRPr="00FA0D37">
              <w:rPr>
                <w:i/>
                <w:iCs/>
              </w:rPr>
              <w:t>d(k)</w:t>
            </w:r>
            <w:r w:rsidRPr="00FA0D37">
              <w:t xml:space="preserve"> is the number of GIN index values used in the </w:t>
            </w:r>
            <w:r w:rsidRPr="00FA0D37">
              <w:rPr>
                <w:i/>
                <w:iCs/>
              </w:rPr>
              <w:t>k</w:t>
            </w:r>
            <w:r w:rsidRPr="00FA0D37">
              <w:t xml:space="preserve">-th </w:t>
            </w:r>
            <w:r w:rsidRPr="00FA0D37">
              <w:rPr>
                <w:i/>
                <w:iCs/>
              </w:rPr>
              <w:t>gin-ElementList</w:t>
            </w:r>
            <w:r w:rsidRPr="00FA0D37">
              <w:t xml:space="preserve"> entry.</w:t>
            </w:r>
          </w:p>
        </w:tc>
      </w:tr>
      <w:tr w:rsidR="005F220E" w:rsidRPr="00FA0D37" w14:paraId="032800A0"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52C492FB" w14:textId="4C96A4C4" w:rsidR="005F220E" w:rsidRPr="00FA0D37" w:rsidRDefault="005F220E" w:rsidP="00771058">
            <w:pPr>
              <w:pStyle w:val="TAL"/>
              <w:rPr>
                <w:b/>
                <w:bCs/>
                <w:i/>
                <w:iCs/>
                <w:lang w:eastAsia="x-none"/>
              </w:rPr>
            </w:pPr>
            <w:r w:rsidRPr="00FA0D37">
              <w:rPr>
                <w:b/>
                <w:bCs/>
                <w:i/>
                <w:iCs/>
                <w:lang w:eastAsia="x-none"/>
              </w:rPr>
              <w:t>gins</w:t>
            </w:r>
            <w:r w:rsidR="00C737D1" w:rsidRPr="00FA0D37">
              <w:rPr>
                <w:b/>
                <w:bCs/>
                <w:i/>
                <w:iCs/>
                <w:lang w:eastAsia="x-none"/>
              </w:rPr>
              <w:t>-</w:t>
            </w:r>
            <w:r w:rsidRPr="00FA0D37">
              <w:rPr>
                <w:b/>
                <w:bCs/>
                <w:i/>
                <w:iCs/>
                <w:lang w:eastAsia="x-none"/>
              </w:rPr>
              <w:t>PerSNPN-List</w:t>
            </w:r>
          </w:p>
          <w:p w14:paraId="5A477A34" w14:textId="30683EDA" w:rsidR="005F220E" w:rsidRPr="00FA0D37" w:rsidRDefault="005F220E" w:rsidP="00771058">
            <w:pPr>
              <w:pStyle w:val="TAL"/>
              <w:rPr>
                <w:lang w:eastAsia="sv-SE"/>
              </w:rPr>
            </w:pPr>
            <w:r w:rsidRPr="00FA0D37">
              <w:rPr>
                <w:lang w:eastAsia="sv-SE"/>
              </w:rPr>
              <w:t xml:space="preserve">Indicates the supported GINs for each SNPN. The network includes the same number of entries as the number of SNPNs in </w:t>
            </w:r>
            <w:r w:rsidRPr="00FA0D37">
              <w:rPr>
                <w:i/>
                <w:iCs/>
              </w:rPr>
              <w:t>snpn-AccessInfoList</w:t>
            </w:r>
            <w:r w:rsidRPr="00FA0D37">
              <w:t xml:space="preserve"> in provided in SIB1, and the </w:t>
            </w:r>
            <w:r w:rsidRPr="00FA0D37">
              <w:rPr>
                <w:lang w:eastAsia="sv-SE"/>
              </w:rPr>
              <w:t xml:space="preserve">n-th entry in this list corresponds to the n-th SNPN listed in </w:t>
            </w:r>
            <w:r w:rsidRPr="00FA0D37">
              <w:rPr>
                <w:i/>
                <w:iCs/>
                <w:szCs w:val="22"/>
                <w:lang w:eastAsia="sv-SE"/>
              </w:rPr>
              <w:t xml:space="preserve">snpn-AccessInfoList </w:t>
            </w:r>
            <w:r w:rsidRPr="00FA0D37">
              <w:rPr>
                <w:szCs w:val="22"/>
                <w:lang w:eastAsia="sv-SE"/>
              </w:rPr>
              <w:t>provided in SIB1.</w:t>
            </w:r>
            <w:r w:rsidRPr="00FA0D37">
              <w:t xml:space="preserve"> </w:t>
            </w:r>
            <w:r w:rsidR="00B822E7" w:rsidRPr="00FA0D37">
              <w:rPr>
                <w:lang w:eastAsia="sv-SE"/>
              </w:rPr>
              <w:t xml:space="preserve">The network configures this field only if the cell broadcasts more than one SNPN in </w:t>
            </w:r>
            <w:r w:rsidR="00B822E7" w:rsidRPr="00FA0D37">
              <w:rPr>
                <w:i/>
                <w:iCs/>
                <w:lang w:eastAsia="sv-SE"/>
              </w:rPr>
              <w:t>SIB1</w:t>
            </w:r>
            <w:r w:rsidR="00B822E7" w:rsidRPr="00FA0D37">
              <w:rPr>
                <w:lang w:eastAsia="sv-SE"/>
              </w:rPr>
              <w:t xml:space="preserve">. If this field is absent, as in case of a single SNPN broadcasted in </w:t>
            </w:r>
            <w:r w:rsidR="00B822E7" w:rsidRPr="00FA0D37">
              <w:rPr>
                <w:i/>
                <w:iCs/>
                <w:lang w:eastAsia="sv-SE"/>
              </w:rPr>
              <w:t>SIB1</w:t>
            </w:r>
            <w:r w:rsidR="00B822E7" w:rsidRPr="00FA0D37">
              <w:rPr>
                <w:lang w:eastAsia="sv-SE"/>
              </w:rPr>
              <w:t xml:space="preserve">, the UE shall associate all GINs in </w:t>
            </w:r>
            <w:r w:rsidR="00B822E7" w:rsidRPr="00FA0D37">
              <w:rPr>
                <w:i/>
                <w:iCs/>
                <w:lang w:eastAsia="sv-SE"/>
              </w:rPr>
              <w:t>gin-ElementList</w:t>
            </w:r>
            <w:r w:rsidR="00B822E7" w:rsidRPr="00FA0D37">
              <w:rPr>
                <w:lang w:eastAsia="sv-SE"/>
              </w:rPr>
              <w:t xml:space="preserve"> to that SNPN.</w:t>
            </w:r>
            <w:r w:rsidRPr="00FA0D37">
              <w:t xml:space="preserve"> </w:t>
            </w:r>
          </w:p>
        </w:tc>
      </w:tr>
    </w:tbl>
    <w:p w14:paraId="30ACA489" w14:textId="77777777" w:rsidR="005F220E" w:rsidRPr="00FA0D37" w:rsidRDefault="005F220E" w:rsidP="005F220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5C7FF4" w:rsidRPr="00FA0D37" w14:paraId="72319705"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6A30EE44" w14:textId="77777777" w:rsidR="005F220E" w:rsidRPr="00FA0D37" w:rsidRDefault="005F220E" w:rsidP="00771058">
            <w:pPr>
              <w:pStyle w:val="TAH"/>
              <w:rPr>
                <w:lang w:eastAsia="sv-SE"/>
              </w:rPr>
            </w:pPr>
            <w:r w:rsidRPr="00FA0D37">
              <w:rPr>
                <w:i/>
                <w:lang w:eastAsia="sv-SE"/>
              </w:rPr>
              <w:t xml:space="preserve">GINs-PerSNPN </w:t>
            </w:r>
            <w:r w:rsidRPr="00FA0D37">
              <w:rPr>
                <w:lang w:eastAsia="sv-SE"/>
              </w:rPr>
              <w:t>field descriptions</w:t>
            </w:r>
          </w:p>
        </w:tc>
      </w:tr>
      <w:tr w:rsidR="005F220E" w:rsidRPr="00FA0D37" w14:paraId="119612F7"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737B7F5E" w14:textId="77777777" w:rsidR="005F220E" w:rsidRPr="00FA0D37" w:rsidRDefault="005F220E" w:rsidP="00771058">
            <w:pPr>
              <w:pStyle w:val="TAL"/>
              <w:rPr>
                <w:b/>
                <w:bCs/>
                <w:i/>
                <w:iCs/>
                <w:lang w:eastAsia="x-none"/>
              </w:rPr>
            </w:pPr>
            <w:r w:rsidRPr="00FA0D37">
              <w:rPr>
                <w:b/>
                <w:bCs/>
                <w:i/>
                <w:iCs/>
                <w:lang w:eastAsia="x-none"/>
              </w:rPr>
              <w:t>supportedGINs</w:t>
            </w:r>
          </w:p>
          <w:p w14:paraId="63D2305C" w14:textId="2FDB315F" w:rsidR="005F220E" w:rsidRPr="00FA0D37" w:rsidRDefault="005F220E" w:rsidP="00771058">
            <w:pPr>
              <w:pStyle w:val="TAL"/>
              <w:rPr>
                <w:lang w:eastAsia="sv-SE"/>
              </w:rPr>
            </w:pPr>
            <w:r w:rsidRPr="00FA0D37">
              <w:rPr>
                <w:lang w:eastAsia="sv-SE"/>
              </w:rPr>
              <w:t xml:space="preserve">Indicates the GINs which are supported by the given SNPN. The first/leftmost bit corresponds to the GIN with GIN index </w:t>
            </w:r>
            <w:r w:rsidR="00C737D1" w:rsidRPr="00FA0D37">
              <w:rPr>
                <w:lang w:eastAsia="sv-SE"/>
              </w:rPr>
              <w:t>1</w:t>
            </w:r>
            <w:r w:rsidRPr="00FA0D37">
              <w:rPr>
                <w:lang w:eastAsia="sv-SE"/>
              </w:rPr>
              <w:t xml:space="preserve">, the second bit corresponds to the GIN with GIN index </w:t>
            </w:r>
            <w:r w:rsidR="00C737D1" w:rsidRPr="00FA0D37">
              <w:rPr>
                <w:lang w:eastAsia="sv-SE"/>
              </w:rPr>
              <w:t>2</w:t>
            </w:r>
            <w:r w:rsidRPr="00FA0D37">
              <w:rPr>
                <w:lang w:eastAsia="sv-SE"/>
              </w:rPr>
              <w:t xml:space="preserve"> and so on. A bit set to 1 indicates that the GIN is supported by the SNPN. If </w:t>
            </w:r>
            <w:r w:rsidRPr="00FA0D37">
              <w:t>the field is</w:t>
            </w:r>
            <w:r w:rsidRPr="00FA0D37">
              <w:rPr>
                <w:lang w:eastAsia="sv-SE"/>
              </w:rPr>
              <w:t xml:space="preserve"> not present, then the </w:t>
            </w:r>
            <w:r w:rsidRPr="00FA0D37">
              <w:t>corresponding SNPN does not support any GINs.</w:t>
            </w:r>
            <w:r w:rsidRPr="00FA0D37">
              <w:rPr>
                <w:lang w:eastAsia="sv-SE"/>
              </w:rPr>
              <w:t xml:space="preserve"> </w:t>
            </w:r>
          </w:p>
        </w:tc>
      </w:tr>
    </w:tbl>
    <w:p w14:paraId="039A5D21" w14:textId="0281E9BF" w:rsidR="005F220E" w:rsidRPr="00FA0D37" w:rsidRDefault="005F220E" w:rsidP="00394471"/>
    <w:p w14:paraId="77FC242B" w14:textId="0FBCCC50" w:rsidR="005B7637" w:rsidRPr="00FA0D37" w:rsidRDefault="005B7637" w:rsidP="005B7637">
      <w:pPr>
        <w:keepNext/>
        <w:keepLines/>
        <w:spacing w:before="120"/>
        <w:ind w:left="1418" w:hanging="1418"/>
        <w:outlineLvl w:val="3"/>
        <w:rPr>
          <w:rFonts w:ascii="Arial" w:hAnsi="Arial"/>
          <w:sz w:val="24"/>
        </w:rPr>
      </w:pPr>
      <w:r w:rsidRPr="00FA0D37">
        <w:rPr>
          <w:rFonts w:ascii="Arial" w:hAnsi="Arial"/>
          <w:sz w:val="24"/>
        </w:rPr>
        <w:t>–</w:t>
      </w:r>
      <w:r w:rsidRPr="00FA0D37">
        <w:rPr>
          <w:rFonts w:ascii="Arial" w:hAnsi="Arial"/>
          <w:sz w:val="24"/>
        </w:rPr>
        <w:tab/>
      </w:r>
      <w:r w:rsidRPr="00FA0D37">
        <w:rPr>
          <w:rFonts w:ascii="Arial" w:hAnsi="Arial"/>
          <w:i/>
          <w:sz w:val="24"/>
        </w:rPr>
        <w:t>SIB19</w:t>
      </w:r>
    </w:p>
    <w:p w14:paraId="1F048C6B" w14:textId="006A5F88" w:rsidR="005B7637" w:rsidRPr="00FA0D37" w:rsidRDefault="005B7637" w:rsidP="005B7637">
      <w:r w:rsidRPr="00FA0D37">
        <w:rPr>
          <w:i/>
          <w:iCs/>
        </w:rPr>
        <w:t>SIB19</w:t>
      </w:r>
      <w:r w:rsidRPr="00FA0D37">
        <w:t xml:space="preserve"> contains satellite assistance information</w:t>
      </w:r>
      <w:r w:rsidR="001163BA" w:rsidRPr="00FA0D37">
        <w:t xml:space="preserve"> for NTN access</w:t>
      </w:r>
      <w:r w:rsidRPr="00FA0D37">
        <w:t>.</w:t>
      </w:r>
    </w:p>
    <w:p w14:paraId="0C8BB606" w14:textId="7AD1FDA2" w:rsidR="005B7637" w:rsidRPr="00FA0D37" w:rsidRDefault="005B7637" w:rsidP="005B7637">
      <w:pPr>
        <w:keepNext/>
        <w:keepLines/>
        <w:spacing w:before="60"/>
        <w:jc w:val="center"/>
        <w:rPr>
          <w:rFonts w:ascii="Arial" w:hAnsi="Arial"/>
          <w:b/>
        </w:rPr>
      </w:pPr>
      <w:r w:rsidRPr="00FA0D37">
        <w:rPr>
          <w:rFonts w:ascii="Arial" w:hAnsi="Arial"/>
          <w:b/>
          <w:bCs/>
          <w:i/>
          <w:iCs/>
        </w:rPr>
        <w:t xml:space="preserve">SIB19 </w:t>
      </w:r>
      <w:r w:rsidRPr="00FA0D37">
        <w:rPr>
          <w:rFonts w:ascii="Arial" w:hAnsi="Arial"/>
          <w:b/>
          <w:bCs/>
          <w:iCs/>
        </w:rPr>
        <w:t>information element</w:t>
      </w:r>
    </w:p>
    <w:p w14:paraId="66D2ACCA" w14:textId="77777777" w:rsidR="005B7637" w:rsidRPr="00FA0D37" w:rsidRDefault="005B7637" w:rsidP="00FA0D37">
      <w:pPr>
        <w:pStyle w:val="PL"/>
        <w:rPr>
          <w:color w:val="808080"/>
        </w:rPr>
      </w:pPr>
      <w:r w:rsidRPr="00FA0D37">
        <w:rPr>
          <w:color w:val="808080"/>
        </w:rPr>
        <w:t>-- ASN1START</w:t>
      </w:r>
    </w:p>
    <w:p w14:paraId="0C6C5DBE" w14:textId="68E7A3B4" w:rsidR="005B7637" w:rsidRPr="00FA0D37" w:rsidRDefault="005B7637" w:rsidP="00FA0D37">
      <w:pPr>
        <w:pStyle w:val="PL"/>
        <w:rPr>
          <w:color w:val="808080"/>
        </w:rPr>
      </w:pPr>
      <w:r w:rsidRPr="00FA0D37">
        <w:rPr>
          <w:color w:val="808080"/>
        </w:rPr>
        <w:t>-- TAG-SIB19-START</w:t>
      </w:r>
    </w:p>
    <w:p w14:paraId="3B3BAC75" w14:textId="77777777" w:rsidR="005B7637" w:rsidRPr="00FA0D37" w:rsidRDefault="005B7637" w:rsidP="00FA0D37">
      <w:pPr>
        <w:pStyle w:val="PL"/>
      </w:pPr>
    </w:p>
    <w:p w14:paraId="7B53CDA1" w14:textId="025D0DD1" w:rsidR="005B7637" w:rsidRPr="00FA0D37" w:rsidRDefault="005B7637" w:rsidP="00FA0D37">
      <w:pPr>
        <w:pStyle w:val="PL"/>
      </w:pPr>
      <w:r w:rsidRPr="00FA0D37">
        <w:t xml:space="preserve">SIB19-r17 ::= </w:t>
      </w:r>
      <w:r w:rsidRPr="00FA0D37">
        <w:rPr>
          <w:color w:val="993366"/>
        </w:rPr>
        <w:t>SEQUENCE</w:t>
      </w:r>
      <w:r w:rsidRPr="00FA0D37">
        <w:t xml:space="preserve"> {</w:t>
      </w:r>
    </w:p>
    <w:p w14:paraId="5904A47B" w14:textId="0701CF80" w:rsidR="005B7637" w:rsidRPr="00FA0D37" w:rsidRDefault="005B7637" w:rsidP="00FA0D37">
      <w:pPr>
        <w:pStyle w:val="PL"/>
        <w:rPr>
          <w:color w:val="808080"/>
        </w:rPr>
      </w:pPr>
      <w:r w:rsidRPr="00FA0D37">
        <w:t xml:space="preserve">    </w:t>
      </w:r>
      <w:bookmarkStart w:id="788" w:name="OLE_LINK144"/>
      <w:bookmarkStart w:id="789" w:name="OLE_LINK143"/>
      <w:bookmarkStart w:id="790" w:name="OLE_LINK145"/>
      <w:r w:rsidRPr="00FA0D37">
        <w:t>ntn-Config</w:t>
      </w:r>
      <w:bookmarkEnd w:id="788"/>
      <w:bookmarkEnd w:id="789"/>
      <w:bookmarkEnd w:id="790"/>
      <w:r w:rsidR="002E2D55" w:rsidRPr="00FA0D37">
        <w:t>-r17</w:t>
      </w:r>
      <w:r w:rsidRPr="00FA0D37">
        <w:t xml:space="preserve">                           NTN-Config</w:t>
      </w:r>
      <w:r w:rsidR="004F1B8A" w:rsidRPr="00FA0D37">
        <w:t>-r17</w:t>
      </w:r>
      <w:r w:rsidRPr="00FA0D37">
        <w:t xml:space="preserve">                                  </w:t>
      </w:r>
      <w:r w:rsidRPr="00FA0D37">
        <w:rPr>
          <w:color w:val="993366"/>
        </w:rPr>
        <w:t>OPTIONAL</w:t>
      </w:r>
      <w:r w:rsidRPr="00FA0D37">
        <w:t xml:space="preserve">,       </w:t>
      </w:r>
      <w:r w:rsidRPr="00FA0D37">
        <w:rPr>
          <w:color w:val="808080"/>
        </w:rPr>
        <w:t>-- Need R</w:t>
      </w:r>
    </w:p>
    <w:p w14:paraId="2226DA6D" w14:textId="4CDE199D" w:rsidR="005B7637" w:rsidRPr="00FA0D37" w:rsidRDefault="005B7637" w:rsidP="00FA0D37">
      <w:pPr>
        <w:pStyle w:val="PL"/>
        <w:rPr>
          <w:color w:val="808080"/>
        </w:rPr>
      </w:pPr>
      <w:r w:rsidRPr="00FA0D37">
        <w:t xml:space="preserve">    t-Service-r17                            </w:t>
      </w:r>
      <w:r w:rsidRPr="00FA0D37">
        <w:rPr>
          <w:color w:val="993366"/>
        </w:rPr>
        <w:t>INTEGER</w:t>
      </w:r>
      <w:r w:rsidRPr="00FA0D37">
        <w:t xml:space="preserve"> (0..549755813887)                       </w:t>
      </w:r>
      <w:r w:rsidRPr="00FA0D37">
        <w:rPr>
          <w:color w:val="993366"/>
        </w:rPr>
        <w:t>OPTIONAL</w:t>
      </w:r>
      <w:r w:rsidRPr="00FA0D37">
        <w:t xml:space="preserve">,       </w:t>
      </w:r>
      <w:r w:rsidRPr="00FA0D37">
        <w:rPr>
          <w:color w:val="808080"/>
        </w:rPr>
        <w:t>-- Need R</w:t>
      </w:r>
    </w:p>
    <w:p w14:paraId="479655F9" w14:textId="02C0A843" w:rsidR="005B7637" w:rsidRPr="00FA0D37" w:rsidRDefault="005B7637" w:rsidP="00FA0D37">
      <w:pPr>
        <w:pStyle w:val="PL"/>
        <w:rPr>
          <w:color w:val="808080"/>
        </w:rPr>
      </w:pPr>
      <w:r w:rsidRPr="00FA0D37">
        <w:t xml:space="preserve">    referenceLocation-r17                    </w:t>
      </w:r>
      <w:bookmarkStart w:id="791" w:name="_Hlk94000021"/>
      <w:r w:rsidRPr="00FA0D37">
        <w:t xml:space="preserve">ReferenceLocation-r17                           </w:t>
      </w:r>
      <w:bookmarkEnd w:id="791"/>
      <w:r w:rsidRPr="00FA0D37">
        <w:rPr>
          <w:color w:val="993366"/>
        </w:rPr>
        <w:t>OPTIONAL</w:t>
      </w:r>
      <w:r w:rsidRPr="00FA0D37">
        <w:t xml:space="preserve">,       </w:t>
      </w:r>
      <w:r w:rsidRPr="00FA0D37">
        <w:rPr>
          <w:color w:val="808080"/>
        </w:rPr>
        <w:t>-- Need R</w:t>
      </w:r>
    </w:p>
    <w:p w14:paraId="09E9F802" w14:textId="77777777" w:rsidR="002E2D55" w:rsidRPr="00FA0D37" w:rsidRDefault="002E2D55" w:rsidP="00FA0D37">
      <w:pPr>
        <w:pStyle w:val="PL"/>
        <w:rPr>
          <w:color w:val="808080"/>
        </w:rPr>
      </w:pPr>
      <w:r w:rsidRPr="00FA0D37">
        <w:t xml:space="preserve">    distanceThresh-r17                       </w:t>
      </w:r>
      <w:r w:rsidRPr="00FA0D37">
        <w:rPr>
          <w:color w:val="993366"/>
        </w:rPr>
        <w:t>INTEGER</w:t>
      </w:r>
      <w:r w:rsidRPr="00FA0D37">
        <w:t xml:space="preserve">(0..65525)                               </w:t>
      </w:r>
      <w:r w:rsidRPr="00FA0D37">
        <w:rPr>
          <w:color w:val="993366"/>
        </w:rPr>
        <w:t>OPTIONAL</w:t>
      </w:r>
      <w:r w:rsidRPr="00FA0D37">
        <w:t xml:space="preserve">,       </w:t>
      </w:r>
      <w:r w:rsidRPr="00FA0D37">
        <w:rPr>
          <w:color w:val="808080"/>
        </w:rPr>
        <w:t>-- Need R</w:t>
      </w:r>
    </w:p>
    <w:p w14:paraId="6FDC277C" w14:textId="77777777" w:rsidR="002E2D55" w:rsidRPr="00FA0D37" w:rsidRDefault="002E2D55" w:rsidP="00FA0D37">
      <w:pPr>
        <w:pStyle w:val="PL"/>
        <w:rPr>
          <w:color w:val="808080"/>
        </w:rPr>
      </w:pPr>
      <w:r w:rsidRPr="00FA0D37">
        <w:t xml:space="preserve">    ntn-NeighCellConfigList-r17              NTN-NeighCellConfigList-r17                     </w:t>
      </w:r>
      <w:r w:rsidRPr="00FA0D37">
        <w:rPr>
          <w:color w:val="993366"/>
        </w:rPr>
        <w:t>OPTIONAL</w:t>
      </w:r>
      <w:r w:rsidRPr="00FA0D37">
        <w:t xml:space="preserve">,       </w:t>
      </w:r>
      <w:r w:rsidRPr="00FA0D37">
        <w:rPr>
          <w:color w:val="808080"/>
        </w:rPr>
        <w:t>-- Need R</w:t>
      </w:r>
    </w:p>
    <w:p w14:paraId="6CC39C8D" w14:textId="77777777" w:rsidR="00CF303E" w:rsidRPr="00FA0D37" w:rsidRDefault="00CF303E"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72187ED5" w14:textId="4219D586" w:rsidR="001163BA" w:rsidRPr="00FA0D37" w:rsidRDefault="00CF303E" w:rsidP="00FA0D37">
      <w:pPr>
        <w:pStyle w:val="PL"/>
      </w:pPr>
      <w:r w:rsidRPr="00FA0D37">
        <w:t xml:space="preserve">    ...</w:t>
      </w:r>
      <w:r w:rsidR="001163BA" w:rsidRPr="00FA0D37">
        <w:t>,</w:t>
      </w:r>
    </w:p>
    <w:p w14:paraId="30C6A2E6" w14:textId="77777777" w:rsidR="001163BA" w:rsidRPr="00FA0D37" w:rsidRDefault="001163BA" w:rsidP="00FA0D37">
      <w:pPr>
        <w:pStyle w:val="PL"/>
      </w:pPr>
      <w:r w:rsidRPr="00FA0D37">
        <w:t xml:space="preserve">    [[</w:t>
      </w:r>
    </w:p>
    <w:p w14:paraId="4C35C92A" w14:textId="4CA32E52" w:rsidR="001163BA" w:rsidRPr="00FA0D37" w:rsidRDefault="001163BA" w:rsidP="00FA0D37">
      <w:pPr>
        <w:pStyle w:val="PL"/>
        <w:rPr>
          <w:color w:val="808080"/>
        </w:rPr>
      </w:pPr>
      <w:r w:rsidRPr="00FA0D37">
        <w:lastRenderedPageBreak/>
        <w:t xml:space="preserve">    ntn-NeighCellConfigListExt-v1720         NTN-NeighCellConfigList-r17                     </w:t>
      </w:r>
      <w:r w:rsidRPr="00FA0D37">
        <w:rPr>
          <w:color w:val="993366"/>
        </w:rPr>
        <w:t>OPTIONAL</w:t>
      </w:r>
      <w:r w:rsidRPr="00FA0D37">
        <w:t xml:space="preserve">        </w:t>
      </w:r>
      <w:r w:rsidRPr="00FA0D37">
        <w:rPr>
          <w:color w:val="808080"/>
        </w:rPr>
        <w:t>-- Need R</w:t>
      </w:r>
    </w:p>
    <w:p w14:paraId="566305CE" w14:textId="46731DA9" w:rsidR="00345BEA" w:rsidRPr="00FA0D37" w:rsidRDefault="001163BA" w:rsidP="00FA0D37">
      <w:pPr>
        <w:pStyle w:val="PL"/>
      </w:pPr>
      <w:r w:rsidRPr="00FA0D37">
        <w:t xml:space="preserve">    ]]</w:t>
      </w:r>
    </w:p>
    <w:p w14:paraId="0B51748B" w14:textId="7E492024" w:rsidR="005B7637" w:rsidRPr="00FA0D37" w:rsidRDefault="005B7637" w:rsidP="00FA0D37">
      <w:pPr>
        <w:pStyle w:val="PL"/>
      </w:pPr>
      <w:r w:rsidRPr="00FA0D37">
        <w:t>}</w:t>
      </w:r>
    </w:p>
    <w:p w14:paraId="4EF0B3C4" w14:textId="53FE3011" w:rsidR="005B7637" w:rsidRPr="00FA0D37" w:rsidRDefault="005B7637" w:rsidP="00FA0D37">
      <w:pPr>
        <w:pStyle w:val="PL"/>
      </w:pPr>
    </w:p>
    <w:p w14:paraId="16B4732F" w14:textId="25C2A7E4" w:rsidR="002E2D55" w:rsidRPr="00FA0D37" w:rsidRDefault="002E2D55" w:rsidP="00FA0D37">
      <w:pPr>
        <w:pStyle w:val="PL"/>
      </w:pPr>
      <w:r w:rsidRPr="00FA0D37">
        <w:t xml:space="preserve">NTN-NeighCellConfigList-r17 ::=          </w:t>
      </w:r>
      <w:r w:rsidRPr="00FA0D37">
        <w:rPr>
          <w:color w:val="993366"/>
        </w:rPr>
        <w:t>SEQUENCE</w:t>
      </w:r>
      <w:r w:rsidRPr="00FA0D37">
        <w:t xml:space="preserve"> (</w:t>
      </w:r>
      <w:r w:rsidRPr="00FA0D37">
        <w:rPr>
          <w:color w:val="993366"/>
        </w:rPr>
        <w:t>SIZE</w:t>
      </w:r>
      <w:r w:rsidRPr="00FA0D37">
        <w:t>(1..maxCellNTN</w:t>
      </w:r>
      <w:r w:rsidR="00B01B84" w:rsidRPr="00FA0D37">
        <w:t>-r17</w:t>
      </w:r>
      <w:r w:rsidRPr="00FA0D37">
        <w:t xml:space="preserve">)) </w:t>
      </w:r>
      <w:r w:rsidRPr="00FA0D37">
        <w:rPr>
          <w:color w:val="993366"/>
        </w:rPr>
        <w:t xml:space="preserve"> OF</w:t>
      </w:r>
      <w:r w:rsidRPr="00FA0D37">
        <w:t xml:space="preserve"> NTN-NeighCellConfig-r17</w:t>
      </w:r>
    </w:p>
    <w:p w14:paraId="23B39D61" w14:textId="77777777" w:rsidR="002E2D55" w:rsidRPr="00FA0D37" w:rsidRDefault="002E2D55" w:rsidP="00FA0D37">
      <w:pPr>
        <w:pStyle w:val="PL"/>
      </w:pPr>
    </w:p>
    <w:p w14:paraId="3CA95AC5" w14:textId="357D9B71" w:rsidR="002E2D55" w:rsidRPr="00FA0D37" w:rsidRDefault="002E2D55" w:rsidP="00FA0D37">
      <w:pPr>
        <w:pStyle w:val="PL"/>
      </w:pPr>
      <w:r w:rsidRPr="00FA0D37">
        <w:t xml:space="preserve">NTN-NeighCellConfig-r17 ::=              </w:t>
      </w:r>
      <w:r w:rsidRPr="00FA0D37">
        <w:rPr>
          <w:color w:val="993366"/>
        </w:rPr>
        <w:t>SEQUENCE</w:t>
      </w:r>
      <w:r w:rsidRPr="00FA0D37">
        <w:t xml:space="preserve"> {</w:t>
      </w:r>
    </w:p>
    <w:p w14:paraId="480C0AD0" w14:textId="5D2CDFE3" w:rsidR="002E2D55" w:rsidRPr="00FA0D37" w:rsidRDefault="002E2D55" w:rsidP="00FA0D37">
      <w:pPr>
        <w:pStyle w:val="PL"/>
        <w:rPr>
          <w:color w:val="808080"/>
        </w:rPr>
      </w:pPr>
      <w:r w:rsidRPr="00FA0D37">
        <w:t xml:space="preserve">    ntn-Config-r17                           NTN-Config-r17                                  </w:t>
      </w:r>
      <w:r w:rsidRPr="00FA0D37">
        <w:rPr>
          <w:color w:val="993366"/>
        </w:rPr>
        <w:t>OPTIONAL</w:t>
      </w:r>
      <w:r w:rsidRPr="00FA0D37">
        <w:t xml:space="preserve">,       </w:t>
      </w:r>
      <w:r w:rsidRPr="00FA0D37">
        <w:rPr>
          <w:color w:val="808080"/>
        </w:rPr>
        <w:t>-- Need R</w:t>
      </w:r>
    </w:p>
    <w:p w14:paraId="11079FD6" w14:textId="15D9B6FF" w:rsidR="002E2D55" w:rsidRPr="00FA0D37" w:rsidRDefault="002E2D55" w:rsidP="00FA0D37">
      <w:pPr>
        <w:pStyle w:val="PL"/>
        <w:rPr>
          <w:color w:val="808080"/>
        </w:rPr>
      </w:pPr>
      <w:r w:rsidRPr="00FA0D37">
        <w:t xml:space="preserve">    carrierFreq-r17                          ARFCN-ValueNR                                   </w:t>
      </w:r>
      <w:r w:rsidRPr="00FA0D37">
        <w:rPr>
          <w:color w:val="993366"/>
        </w:rPr>
        <w:t>OPTIONAL</w:t>
      </w:r>
      <w:r w:rsidRPr="00FA0D37">
        <w:t xml:space="preserve">,       </w:t>
      </w:r>
      <w:r w:rsidRPr="00FA0D37">
        <w:rPr>
          <w:color w:val="808080"/>
        </w:rPr>
        <w:t>-- Need R</w:t>
      </w:r>
    </w:p>
    <w:p w14:paraId="6C8B9926" w14:textId="30F8D68E" w:rsidR="002E2D55" w:rsidRPr="00FA0D37" w:rsidRDefault="002E2D55" w:rsidP="00FA0D37">
      <w:pPr>
        <w:pStyle w:val="PL"/>
        <w:rPr>
          <w:color w:val="808080"/>
        </w:rPr>
      </w:pPr>
      <w:r w:rsidRPr="00FA0D37">
        <w:t xml:space="preserve">    physCellId-r17                           PhysCellId                                      </w:t>
      </w:r>
      <w:r w:rsidRPr="00FA0D37">
        <w:rPr>
          <w:color w:val="993366"/>
        </w:rPr>
        <w:t>OPTIONAL</w:t>
      </w:r>
      <w:r w:rsidRPr="00FA0D37">
        <w:t xml:space="preserve">        </w:t>
      </w:r>
      <w:r w:rsidRPr="00FA0D37">
        <w:rPr>
          <w:color w:val="808080"/>
        </w:rPr>
        <w:t>-- Need R</w:t>
      </w:r>
    </w:p>
    <w:p w14:paraId="427F40CA" w14:textId="77777777" w:rsidR="002E2D55" w:rsidRPr="00FA0D37" w:rsidRDefault="002E2D55" w:rsidP="00FA0D37">
      <w:pPr>
        <w:pStyle w:val="PL"/>
      </w:pPr>
      <w:r w:rsidRPr="00FA0D37">
        <w:t>}</w:t>
      </w:r>
    </w:p>
    <w:p w14:paraId="5986D09F" w14:textId="77777777" w:rsidR="004F1B8A" w:rsidRPr="00FA0D37" w:rsidRDefault="004F1B8A" w:rsidP="00FA0D37">
      <w:pPr>
        <w:pStyle w:val="PL"/>
      </w:pPr>
    </w:p>
    <w:p w14:paraId="43E696B7" w14:textId="2A150190" w:rsidR="005B7637" w:rsidRPr="00FA0D37" w:rsidRDefault="005B7637" w:rsidP="00FA0D37">
      <w:pPr>
        <w:pStyle w:val="PL"/>
        <w:rPr>
          <w:color w:val="808080"/>
        </w:rPr>
      </w:pPr>
      <w:r w:rsidRPr="00FA0D37">
        <w:rPr>
          <w:color w:val="808080"/>
        </w:rPr>
        <w:t>-- TAG-SIB19-STOP</w:t>
      </w:r>
    </w:p>
    <w:p w14:paraId="032D33AF" w14:textId="77777777" w:rsidR="005B7637" w:rsidRPr="00FA0D37" w:rsidRDefault="005B7637" w:rsidP="00FA0D37">
      <w:pPr>
        <w:pStyle w:val="PL"/>
        <w:rPr>
          <w:color w:val="808080"/>
        </w:rPr>
      </w:pPr>
      <w:r w:rsidRPr="00FA0D37">
        <w:rPr>
          <w:color w:val="808080"/>
        </w:rPr>
        <w:t>-- ASN1STOP</w:t>
      </w:r>
    </w:p>
    <w:p w14:paraId="78246D01" w14:textId="77777777" w:rsidR="005B7637" w:rsidRPr="00FA0D37" w:rsidRDefault="005B7637" w:rsidP="005B763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5C7FF4" w:rsidRPr="00FA0D37" w14:paraId="6CF9796F"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876B48E" w14:textId="71DBAD49" w:rsidR="005B7637" w:rsidRPr="00FA0D37" w:rsidRDefault="005B7637" w:rsidP="00771058">
            <w:pPr>
              <w:keepNext/>
              <w:keepLines/>
              <w:spacing w:after="0"/>
              <w:jc w:val="center"/>
              <w:rPr>
                <w:rFonts w:ascii="Arial" w:hAnsi="Arial"/>
                <w:b/>
                <w:sz w:val="18"/>
                <w:lang w:eastAsia="en-GB"/>
              </w:rPr>
            </w:pPr>
            <w:r w:rsidRPr="00FA0D37">
              <w:rPr>
                <w:rFonts w:ascii="Arial" w:hAnsi="Arial"/>
                <w:b/>
                <w:i/>
                <w:sz w:val="18"/>
                <w:lang w:eastAsia="en-GB"/>
              </w:rPr>
              <w:t xml:space="preserve">SIB19 </w:t>
            </w:r>
            <w:r w:rsidRPr="00FA0D37">
              <w:rPr>
                <w:rFonts w:ascii="Arial" w:hAnsi="Arial"/>
                <w:b/>
                <w:iCs/>
                <w:sz w:val="18"/>
                <w:lang w:eastAsia="en-GB"/>
              </w:rPr>
              <w:t>field descriptions</w:t>
            </w:r>
          </w:p>
        </w:tc>
      </w:tr>
      <w:tr w:rsidR="005C7FF4" w:rsidRPr="00FA0D37" w14:paraId="67548684"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BADB83F" w14:textId="77777777" w:rsidR="002E2D55" w:rsidRPr="00FA0D37" w:rsidRDefault="002E2D55" w:rsidP="002E2D55">
            <w:pPr>
              <w:pStyle w:val="TAL"/>
              <w:rPr>
                <w:b/>
                <w:bCs/>
                <w:i/>
                <w:iCs/>
                <w:kern w:val="2"/>
              </w:rPr>
            </w:pPr>
            <w:r w:rsidRPr="00FA0D37">
              <w:rPr>
                <w:b/>
                <w:bCs/>
                <w:i/>
                <w:iCs/>
                <w:kern w:val="2"/>
              </w:rPr>
              <w:t>distanceThresh</w:t>
            </w:r>
          </w:p>
          <w:p w14:paraId="1AFC97B4" w14:textId="72821CCE" w:rsidR="002E2D55" w:rsidRPr="00FA0D37" w:rsidRDefault="002E2D55" w:rsidP="00F747EB">
            <w:pPr>
              <w:pStyle w:val="TAL"/>
              <w:rPr>
                <w:lang w:eastAsia="en-GB"/>
              </w:rPr>
            </w:pPr>
            <w:r w:rsidRPr="00FA0D37">
              <w:rPr>
                <w:lang w:eastAsia="zh-CN"/>
              </w:rPr>
              <w:t xml:space="preserve">Distance from the serving cell reference location and is used in location-based measurement initiation in </w:t>
            </w:r>
            <w:r w:rsidRPr="00FA0D37">
              <w:t>RRC_IDLE and RRC_INACTIVE</w:t>
            </w:r>
            <w:r w:rsidRPr="00FA0D37">
              <w:rPr>
                <w:lang w:eastAsia="zh-CN"/>
              </w:rPr>
              <w:t>, as defined in TS 38.304 [20]. Each step represents 50m.</w:t>
            </w:r>
          </w:p>
        </w:tc>
      </w:tr>
      <w:tr w:rsidR="005C7FF4" w:rsidRPr="00FA0D37" w14:paraId="6C749E06"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39B48CF6" w14:textId="77777777" w:rsidR="005B7637" w:rsidRPr="00FA0D37" w:rsidRDefault="005B7637" w:rsidP="00771058">
            <w:pPr>
              <w:pStyle w:val="TAL"/>
              <w:rPr>
                <w:b/>
                <w:bCs/>
                <w:i/>
                <w:iCs/>
                <w:kern w:val="2"/>
              </w:rPr>
            </w:pPr>
            <w:r w:rsidRPr="00FA0D37">
              <w:rPr>
                <w:b/>
                <w:bCs/>
                <w:i/>
                <w:iCs/>
                <w:kern w:val="2"/>
              </w:rPr>
              <w:t>ntn-Config</w:t>
            </w:r>
          </w:p>
          <w:p w14:paraId="5E909A19" w14:textId="6D6DBF3D" w:rsidR="005B7637" w:rsidRPr="00FA0D37" w:rsidRDefault="005B7637" w:rsidP="00771058">
            <w:pPr>
              <w:pStyle w:val="TAL"/>
              <w:rPr>
                <w:lang w:eastAsia="zh-CN"/>
              </w:rPr>
            </w:pPr>
            <w:r w:rsidRPr="00FA0D37">
              <w:rPr>
                <w:lang w:eastAsia="zh-CN"/>
              </w:rPr>
              <w:t xml:space="preserve">Provides </w:t>
            </w:r>
            <w:r w:rsidR="002E2D55" w:rsidRPr="00FA0D37">
              <w:t>parameters needed for the UE to access NR via NTN access such as</w:t>
            </w:r>
            <w:r w:rsidR="002E2D55" w:rsidRPr="00FA0D37">
              <w:rPr>
                <w:lang w:eastAsia="zh-CN"/>
              </w:rPr>
              <w:t xml:space="preserve"> </w:t>
            </w:r>
            <w:r w:rsidRPr="00FA0D37">
              <w:rPr>
                <w:lang w:eastAsia="zh-CN"/>
              </w:rPr>
              <w:t>Ephemeris data, common TA parameters, k</w:t>
            </w:r>
            <w:r w:rsidR="002E2D55" w:rsidRPr="00FA0D37">
              <w:rPr>
                <w:lang w:eastAsia="zh-CN"/>
              </w:rPr>
              <w:t>_</w:t>
            </w:r>
            <w:r w:rsidRPr="00FA0D37">
              <w:rPr>
                <w:lang w:eastAsia="zh-CN"/>
              </w:rPr>
              <w:t xml:space="preserve">offset, validity duration for UL sync information and </w:t>
            </w:r>
            <w:r w:rsidRPr="00FA0D37">
              <w:t>epoch</w:t>
            </w:r>
            <w:r w:rsidRPr="00FA0D37">
              <w:rPr>
                <w:lang w:eastAsia="zh-CN"/>
              </w:rPr>
              <w:t>.</w:t>
            </w:r>
          </w:p>
        </w:tc>
      </w:tr>
      <w:tr w:rsidR="005C7FF4" w:rsidRPr="00FA0D37" w14:paraId="4C3ECD53"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004532F1" w14:textId="59F80E6B" w:rsidR="002E2D55" w:rsidRPr="00FA0D37" w:rsidRDefault="002E2D55" w:rsidP="002E2D55">
            <w:pPr>
              <w:pStyle w:val="TAL"/>
              <w:rPr>
                <w:b/>
                <w:bCs/>
                <w:i/>
                <w:iCs/>
                <w:kern w:val="2"/>
              </w:rPr>
            </w:pPr>
            <w:r w:rsidRPr="00FA0D37">
              <w:rPr>
                <w:b/>
                <w:bCs/>
                <w:i/>
                <w:iCs/>
                <w:kern w:val="2"/>
              </w:rPr>
              <w:t>ntn-NeighCellConfigList</w:t>
            </w:r>
            <w:r w:rsidR="001163BA" w:rsidRPr="00FA0D37">
              <w:rPr>
                <w:b/>
                <w:bCs/>
                <w:i/>
                <w:iCs/>
                <w:kern w:val="2"/>
              </w:rPr>
              <w:t>, ntn-NeighCellConfigListExt</w:t>
            </w:r>
          </w:p>
          <w:p w14:paraId="7E4F88C4" w14:textId="46D412BC" w:rsidR="002E2D55" w:rsidRPr="00FA0D37" w:rsidRDefault="002E2D55" w:rsidP="002E2D55">
            <w:pPr>
              <w:pStyle w:val="TAL"/>
              <w:rPr>
                <w:b/>
                <w:bCs/>
                <w:i/>
                <w:iCs/>
                <w:kern w:val="2"/>
              </w:rPr>
            </w:pPr>
            <w:r w:rsidRPr="00FA0D37">
              <w:rPr>
                <w:lang w:eastAsia="zh-CN"/>
              </w:rPr>
              <w:t xml:space="preserve">Provides a list of NTN neighbour cells including their </w:t>
            </w:r>
            <w:r w:rsidRPr="00FA0D37">
              <w:rPr>
                <w:i/>
                <w:iCs/>
                <w:lang w:eastAsia="zh-CN"/>
              </w:rPr>
              <w:t>ntn-Config</w:t>
            </w:r>
            <w:r w:rsidRPr="00FA0D37">
              <w:rPr>
                <w:lang w:eastAsia="zh-CN"/>
              </w:rPr>
              <w:t xml:space="preserve">, carrier frequency and </w:t>
            </w:r>
            <w:r w:rsidRPr="00FA0D37">
              <w:rPr>
                <w:i/>
                <w:iCs/>
                <w:lang w:eastAsia="zh-CN"/>
              </w:rPr>
              <w:t>PhysCellId</w:t>
            </w:r>
            <w:r w:rsidRPr="00FA0D37">
              <w:rPr>
                <w:lang w:eastAsia="zh-CN"/>
              </w:rPr>
              <w:t>.</w:t>
            </w:r>
            <w:r w:rsidR="001163BA" w:rsidRPr="00FA0D37">
              <w:rPr>
                <w:lang w:eastAsia="zh-CN"/>
              </w:rPr>
              <w:t xml:space="preserve"> This set includes all elements of </w:t>
            </w:r>
            <w:r w:rsidR="001163BA" w:rsidRPr="00FA0D37">
              <w:rPr>
                <w:i/>
                <w:iCs/>
                <w:lang w:eastAsia="zh-CN"/>
              </w:rPr>
              <w:t>ntn-NeighCellConfigList</w:t>
            </w:r>
            <w:r w:rsidR="001163BA" w:rsidRPr="00FA0D37">
              <w:rPr>
                <w:lang w:eastAsia="zh-CN"/>
              </w:rPr>
              <w:t xml:space="preserve"> and all elements of </w:t>
            </w:r>
            <w:r w:rsidR="001163BA" w:rsidRPr="00FA0D37">
              <w:rPr>
                <w:i/>
                <w:iCs/>
                <w:lang w:eastAsia="zh-CN"/>
              </w:rPr>
              <w:t>ntn-NeighCellConfigList</w:t>
            </w:r>
            <w:r w:rsidR="007B735B" w:rsidRPr="00FA0D37">
              <w:rPr>
                <w:i/>
                <w:iCs/>
                <w:lang w:eastAsia="zh-CN"/>
              </w:rPr>
              <w:t>Ext</w:t>
            </w:r>
            <w:r w:rsidR="001163BA" w:rsidRPr="00FA0D37">
              <w:rPr>
                <w:lang w:eastAsia="zh-CN"/>
              </w:rPr>
              <w:t>.</w:t>
            </w:r>
            <w:r w:rsidR="001163BA" w:rsidRPr="00FA0D37">
              <w:t xml:space="preserve"> </w:t>
            </w:r>
            <w:r w:rsidR="001163BA" w:rsidRPr="00FA0D37">
              <w:rPr>
                <w:lang w:eastAsia="zh-CN"/>
              </w:rPr>
              <w:t xml:space="preserve">If </w:t>
            </w:r>
            <w:r w:rsidR="001163BA" w:rsidRPr="00FA0D37">
              <w:rPr>
                <w:i/>
                <w:iCs/>
                <w:lang w:eastAsia="zh-CN"/>
              </w:rPr>
              <w:t xml:space="preserve">ntn-Config </w:t>
            </w:r>
            <w:r w:rsidR="001163BA" w:rsidRPr="00FA0D37">
              <w:rPr>
                <w:lang w:eastAsia="zh-CN"/>
              </w:rPr>
              <w:t xml:space="preserve">is absent for an entry in </w:t>
            </w:r>
            <w:r w:rsidR="001163BA" w:rsidRPr="00FA0D37">
              <w:rPr>
                <w:i/>
                <w:iCs/>
                <w:lang w:eastAsia="zh-CN"/>
              </w:rPr>
              <w:t>ntn-NeighCellConfigListExt</w:t>
            </w:r>
            <w:r w:rsidR="001163BA" w:rsidRPr="00FA0D37">
              <w:rPr>
                <w:lang w:eastAsia="zh-CN"/>
              </w:rPr>
              <w:t xml:space="preserve">, the </w:t>
            </w:r>
            <w:r w:rsidR="001163BA" w:rsidRPr="00FA0D37">
              <w:rPr>
                <w:i/>
                <w:iCs/>
                <w:lang w:eastAsia="zh-CN"/>
              </w:rPr>
              <w:t>ntn-Config</w:t>
            </w:r>
            <w:r w:rsidR="001163BA" w:rsidRPr="00FA0D37">
              <w:rPr>
                <w:lang w:eastAsia="zh-CN"/>
              </w:rPr>
              <w:t xml:space="preserve"> provided in the entry at the same position in </w:t>
            </w:r>
            <w:r w:rsidR="001163BA" w:rsidRPr="00FA0D37">
              <w:rPr>
                <w:i/>
                <w:iCs/>
                <w:lang w:eastAsia="zh-CN"/>
              </w:rPr>
              <w:t>ntn-NeighCellConfigList</w:t>
            </w:r>
            <w:r w:rsidR="001163BA" w:rsidRPr="00FA0D37">
              <w:rPr>
                <w:lang w:eastAsia="zh-CN"/>
              </w:rPr>
              <w:t xml:space="preserve"> applies.</w:t>
            </w:r>
            <w:r w:rsidR="00FF38E5" w:rsidRPr="00FA0D37">
              <w:rPr>
                <w:lang w:eastAsia="zh-CN"/>
              </w:rPr>
              <w:t xml:space="preserve"> Network provides </w:t>
            </w:r>
            <w:r w:rsidR="00FF38E5" w:rsidRPr="00FA0D37">
              <w:rPr>
                <w:i/>
                <w:iCs/>
                <w:lang w:eastAsia="zh-CN"/>
              </w:rPr>
              <w:t>ntn-Config</w:t>
            </w:r>
            <w:r w:rsidR="00FF38E5" w:rsidRPr="00FA0D37">
              <w:rPr>
                <w:lang w:eastAsia="zh-CN"/>
              </w:rPr>
              <w:t xml:space="preserve"> for the first entry of </w:t>
            </w:r>
            <w:r w:rsidR="00FF38E5" w:rsidRPr="00FA0D37">
              <w:rPr>
                <w:i/>
                <w:iCs/>
                <w:lang w:eastAsia="zh-CN"/>
              </w:rPr>
              <w:t>ntn-NeighCellConfigList.</w:t>
            </w:r>
            <w:r w:rsidR="00FF38E5" w:rsidRPr="00FA0D37">
              <w:rPr>
                <w:lang w:eastAsia="zh-CN"/>
              </w:rPr>
              <w:t xml:space="preserve"> If the </w:t>
            </w:r>
            <w:r w:rsidR="00FF38E5" w:rsidRPr="00FA0D37">
              <w:rPr>
                <w:i/>
                <w:iCs/>
                <w:lang w:eastAsia="zh-CN"/>
              </w:rPr>
              <w:t>ntn-Config</w:t>
            </w:r>
            <w:r w:rsidR="00FF38E5" w:rsidRPr="00FA0D37">
              <w:rPr>
                <w:lang w:eastAsia="zh-CN"/>
              </w:rPr>
              <w:t xml:space="preserve"> is absent for any other entry in </w:t>
            </w:r>
            <w:r w:rsidR="00FF38E5" w:rsidRPr="00FA0D37">
              <w:rPr>
                <w:i/>
                <w:iCs/>
                <w:lang w:eastAsia="zh-CN"/>
              </w:rPr>
              <w:t>ntn-NeighCellConfigList</w:t>
            </w:r>
            <w:r w:rsidR="00FF38E5" w:rsidRPr="00FA0D37">
              <w:rPr>
                <w:lang w:eastAsia="zh-CN"/>
              </w:rPr>
              <w:t xml:space="preserve">, the </w:t>
            </w:r>
            <w:r w:rsidR="00FF38E5" w:rsidRPr="00FA0D37">
              <w:rPr>
                <w:i/>
                <w:iCs/>
                <w:lang w:eastAsia="zh-CN"/>
              </w:rPr>
              <w:t>ntn-Config</w:t>
            </w:r>
            <w:r w:rsidR="00FF38E5" w:rsidRPr="00FA0D37">
              <w:rPr>
                <w:lang w:eastAsia="zh-CN"/>
              </w:rPr>
              <w:t xml:space="preserve"> provided in the previous entry in </w:t>
            </w:r>
            <w:r w:rsidR="00FF38E5" w:rsidRPr="00FA0D37">
              <w:rPr>
                <w:i/>
                <w:iCs/>
                <w:lang w:eastAsia="zh-CN"/>
              </w:rPr>
              <w:t>ntn-NeighCellConfigList</w:t>
            </w:r>
            <w:r w:rsidR="00FF38E5" w:rsidRPr="00FA0D37">
              <w:rPr>
                <w:lang w:eastAsia="zh-CN"/>
              </w:rPr>
              <w:t xml:space="preserve"> applies.</w:t>
            </w:r>
          </w:p>
        </w:tc>
      </w:tr>
      <w:tr w:rsidR="005C7FF4" w:rsidRPr="00FA0D37" w14:paraId="5A8715C9"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50DF506D" w14:textId="77777777" w:rsidR="005B7637" w:rsidRPr="00FA0D37" w:rsidRDefault="005B7637" w:rsidP="00771058">
            <w:pPr>
              <w:pStyle w:val="TAL"/>
              <w:rPr>
                <w:b/>
                <w:bCs/>
                <w:i/>
                <w:iCs/>
                <w:lang w:eastAsia="sv-SE"/>
              </w:rPr>
            </w:pPr>
            <w:r w:rsidRPr="00FA0D37">
              <w:rPr>
                <w:b/>
                <w:bCs/>
                <w:i/>
                <w:iCs/>
                <w:lang w:eastAsia="sv-SE"/>
              </w:rPr>
              <w:t>referenceLocation</w:t>
            </w:r>
          </w:p>
          <w:p w14:paraId="221D565E" w14:textId="6F0B2CA1" w:rsidR="005B7637" w:rsidRPr="00FA0D37" w:rsidRDefault="005B7637" w:rsidP="00771058">
            <w:pPr>
              <w:pStyle w:val="TAL"/>
            </w:pPr>
            <w:r w:rsidRPr="00FA0D37">
              <w:rPr>
                <w:lang w:eastAsia="sv-SE"/>
              </w:rPr>
              <w:t xml:space="preserve">Reference location of </w:t>
            </w:r>
            <w:r w:rsidR="002E2D55" w:rsidRPr="00FA0D37">
              <w:rPr>
                <w:lang w:eastAsia="sv-SE"/>
              </w:rPr>
              <w:t>the serving</w:t>
            </w:r>
            <w:r w:rsidRPr="00FA0D37">
              <w:rPr>
                <w:lang w:eastAsia="sv-SE"/>
              </w:rPr>
              <w:t xml:space="preserve"> cell </w:t>
            </w:r>
            <w:r w:rsidRPr="00FA0D37">
              <w:t>provided via NTN quasi-Earth fixed system</w:t>
            </w:r>
            <w:r w:rsidR="002E2D55" w:rsidRPr="00FA0D37">
              <w:t xml:space="preserve"> and is used in location-based measurement initiation in RRC_IDLE and RRC_INACTIVE, as defined in TS 38.304 [20].</w:t>
            </w:r>
          </w:p>
        </w:tc>
      </w:tr>
      <w:tr w:rsidR="000830BB" w:rsidRPr="00FA0D37" w14:paraId="0DA6A411"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0561E911" w14:textId="318F3669" w:rsidR="005B7637" w:rsidRPr="00FA0D37" w:rsidRDefault="005B7637" w:rsidP="00771058">
            <w:pPr>
              <w:pStyle w:val="TAL"/>
              <w:rPr>
                <w:b/>
                <w:bCs/>
                <w:i/>
                <w:lang w:eastAsia="en-GB"/>
              </w:rPr>
            </w:pPr>
            <w:r w:rsidRPr="00FA0D37">
              <w:rPr>
                <w:b/>
                <w:bCs/>
                <w:i/>
                <w:lang w:eastAsia="en-GB"/>
              </w:rPr>
              <w:t>t-Service</w:t>
            </w:r>
          </w:p>
          <w:p w14:paraId="1836E973" w14:textId="6BBFCE6A" w:rsidR="005B7637" w:rsidRPr="00FA0D37" w:rsidRDefault="005B7637" w:rsidP="00771058">
            <w:pPr>
              <w:pStyle w:val="TAL"/>
            </w:pPr>
            <w:r w:rsidRPr="00FA0D37">
              <w:rPr>
                <w:iCs/>
                <w:lang w:eastAsia="en-GB"/>
              </w:rPr>
              <w:t>Indicates the time</w:t>
            </w:r>
            <w:r w:rsidRPr="00FA0D37">
              <w:t xml:space="preserve"> information on when a cell provided via NTN quasi-Earth fixed system is going to stop serving the area it is currently covering. </w:t>
            </w:r>
            <w:r w:rsidRPr="00FA0D37">
              <w:rPr>
                <w:szCs w:val="22"/>
                <w:lang w:eastAsia="en-US"/>
              </w:rPr>
              <w:t xml:space="preserve">The field </w:t>
            </w:r>
            <w:r w:rsidR="002E2D55" w:rsidRPr="00FA0D37">
              <w:rPr>
                <w:szCs w:val="22"/>
                <w:lang w:eastAsia="en-US"/>
              </w:rPr>
              <w:t>indicates a time in multiples of</w:t>
            </w:r>
            <w:r w:rsidRPr="00FA0D37">
              <w:rPr>
                <w:szCs w:val="22"/>
                <w:lang w:eastAsia="en-US"/>
              </w:rPr>
              <w:t xml:space="preserve"> 10 ms </w:t>
            </w:r>
            <w:r w:rsidR="002E2D55" w:rsidRPr="00FA0D37">
              <w:rPr>
                <w:szCs w:val="22"/>
                <w:lang w:eastAsia="en-US"/>
              </w:rPr>
              <w:t>after</w:t>
            </w:r>
            <w:r w:rsidRPr="00FA0D37">
              <w:rPr>
                <w:szCs w:val="22"/>
                <w:lang w:eastAsia="en-US"/>
              </w:rPr>
              <w:t xml:space="preserve"> 00:00:00 on Gregorian calendar date 1 January, 1900 (midnight between Sunday, December 31, 1899 and Monday, January 1, 1900). </w:t>
            </w:r>
            <w:r w:rsidR="002E2D55" w:rsidRPr="00FA0D37">
              <w:t>The exact stop time is between the time indicated by the value of this field minus 1 and the time indicated by the value of this field.</w:t>
            </w:r>
          </w:p>
        </w:tc>
      </w:tr>
    </w:tbl>
    <w:p w14:paraId="37045646" w14:textId="77777777" w:rsidR="00214323" w:rsidRPr="00FA0D37" w:rsidRDefault="00214323" w:rsidP="00214323"/>
    <w:p w14:paraId="3C6E97AB" w14:textId="06F2AC7F" w:rsidR="00214323" w:rsidRPr="00FA0D37" w:rsidRDefault="00214323" w:rsidP="00214323">
      <w:pPr>
        <w:pStyle w:val="4"/>
        <w:rPr>
          <w:noProof/>
          <w:lang w:eastAsia="zh-CN"/>
        </w:rPr>
      </w:pPr>
      <w:bookmarkStart w:id="792" w:name="_Toc46483493"/>
      <w:bookmarkStart w:id="793" w:name="_Toc20487262"/>
      <w:bookmarkStart w:id="794" w:name="_Toc29343696"/>
      <w:bookmarkStart w:id="795" w:name="_Toc36846760"/>
      <w:bookmarkStart w:id="796" w:name="_Toc36939413"/>
      <w:bookmarkStart w:id="797" w:name="_Toc46482259"/>
      <w:bookmarkStart w:id="798" w:name="_Toc29342557"/>
      <w:bookmarkStart w:id="799" w:name="_Toc36810396"/>
      <w:bookmarkStart w:id="800" w:name="_Toc36566958"/>
      <w:bookmarkStart w:id="801" w:name="_Toc46481025"/>
      <w:bookmarkStart w:id="802" w:name="_Toc37082393"/>
      <w:bookmarkStart w:id="803" w:name="_Toc146781196"/>
      <w:r w:rsidRPr="00FA0D37">
        <w:rPr>
          <w:noProof/>
          <w:lang w:eastAsia="zh-CN"/>
        </w:rPr>
        <w:t>–</w:t>
      </w:r>
      <w:r w:rsidRPr="00FA0D37">
        <w:rPr>
          <w:noProof/>
          <w:lang w:eastAsia="zh-CN"/>
        </w:rPr>
        <w:tab/>
      </w:r>
      <w:r w:rsidRPr="00FA0D37">
        <w:rPr>
          <w:i/>
          <w:noProof/>
          <w:lang w:eastAsia="zh-CN"/>
        </w:rPr>
        <w:t>SIB</w:t>
      </w:r>
      <w:bookmarkEnd w:id="792"/>
      <w:bookmarkEnd w:id="793"/>
      <w:bookmarkEnd w:id="794"/>
      <w:bookmarkEnd w:id="795"/>
      <w:bookmarkEnd w:id="796"/>
      <w:bookmarkEnd w:id="797"/>
      <w:bookmarkEnd w:id="798"/>
      <w:bookmarkEnd w:id="799"/>
      <w:bookmarkEnd w:id="800"/>
      <w:bookmarkEnd w:id="801"/>
      <w:bookmarkEnd w:id="802"/>
      <w:r w:rsidRPr="00FA0D37">
        <w:rPr>
          <w:i/>
          <w:noProof/>
          <w:lang w:eastAsia="zh-CN"/>
        </w:rPr>
        <w:t>20</w:t>
      </w:r>
      <w:bookmarkEnd w:id="803"/>
    </w:p>
    <w:p w14:paraId="79BD4599" w14:textId="250A1B1B" w:rsidR="00214323" w:rsidRPr="00FA0D37" w:rsidRDefault="004D393F" w:rsidP="00214323">
      <w:pPr>
        <w:rPr>
          <w:lang w:eastAsia="zh-CN"/>
        </w:rPr>
      </w:pPr>
      <w:r w:rsidRPr="00FA0D37">
        <w:rPr>
          <w:i/>
          <w:lang w:eastAsia="zh-CN"/>
        </w:rPr>
        <w:t>SIB20</w:t>
      </w:r>
      <w:r w:rsidR="00214323" w:rsidRPr="00FA0D37">
        <w:rPr>
          <w:iCs/>
          <w:lang w:eastAsia="zh-CN"/>
        </w:rPr>
        <w:t xml:space="preserve"> contains the information required to acquire the MCCH</w:t>
      </w:r>
      <w:r w:rsidR="002C350C" w:rsidRPr="00FA0D37">
        <w:rPr>
          <w:rFonts w:eastAsiaTheme="minorEastAsia"/>
          <w:iCs/>
          <w:lang w:eastAsia="zh-CN"/>
        </w:rPr>
        <w:t>/MTCH</w:t>
      </w:r>
      <w:r w:rsidR="00214323" w:rsidRPr="00FA0D37">
        <w:rPr>
          <w:iCs/>
          <w:lang w:eastAsia="zh-CN"/>
        </w:rPr>
        <w:t xml:space="preserve"> configuration for MBS broadcast</w:t>
      </w:r>
      <w:r w:rsidR="00214323" w:rsidRPr="00FA0D37">
        <w:rPr>
          <w:lang w:eastAsia="zh-CN"/>
        </w:rPr>
        <w:t>.</w:t>
      </w:r>
    </w:p>
    <w:p w14:paraId="6D23ED8C" w14:textId="3E081D78" w:rsidR="00214323" w:rsidRPr="00FA0D37" w:rsidRDefault="004D393F" w:rsidP="00214323">
      <w:pPr>
        <w:pStyle w:val="TH"/>
        <w:rPr>
          <w:noProof/>
        </w:rPr>
      </w:pPr>
      <w:r w:rsidRPr="00FA0D37">
        <w:rPr>
          <w:i/>
          <w:noProof/>
        </w:rPr>
        <w:t>SIB20</w:t>
      </w:r>
      <w:r w:rsidR="00214323" w:rsidRPr="00FA0D37">
        <w:rPr>
          <w:noProof/>
        </w:rPr>
        <w:t xml:space="preserve"> information element</w:t>
      </w:r>
    </w:p>
    <w:p w14:paraId="165D1484" w14:textId="77777777" w:rsidR="00214323" w:rsidRPr="00FA0D37" w:rsidRDefault="00214323" w:rsidP="00FA0D37">
      <w:pPr>
        <w:pStyle w:val="PL"/>
        <w:rPr>
          <w:color w:val="808080"/>
        </w:rPr>
      </w:pPr>
      <w:r w:rsidRPr="00FA0D37">
        <w:rPr>
          <w:color w:val="808080"/>
        </w:rPr>
        <w:t>-- ASN1START</w:t>
      </w:r>
    </w:p>
    <w:p w14:paraId="0BE8BAC9" w14:textId="7C291776" w:rsidR="00214323" w:rsidRPr="00FA0D37" w:rsidRDefault="00214323" w:rsidP="00FA0D37">
      <w:pPr>
        <w:pStyle w:val="PL"/>
        <w:rPr>
          <w:color w:val="808080"/>
        </w:rPr>
      </w:pPr>
      <w:r w:rsidRPr="00FA0D37">
        <w:rPr>
          <w:color w:val="808080"/>
        </w:rPr>
        <w:t>-- TAG-SIB20-START</w:t>
      </w:r>
    </w:p>
    <w:p w14:paraId="7A5278A6" w14:textId="77777777" w:rsidR="00214323" w:rsidRPr="00FA0D37" w:rsidRDefault="00214323" w:rsidP="00FA0D37">
      <w:pPr>
        <w:pStyle w:val="PL"/>
      </w:pPr>
    </w:p>
    <w:p w14:paraId="48EB6B05" w14:textId="5C9FC68A" w:rsidR="00214323" w:rsidRPr="00FA0D37" w:rsidRDefault="004D393F" w:rsidP="00FA0D37">
      <w:pPr>
        <w:pStyle w:val="PL"/>
      </w:pPr>
      <w:r w:rsidRPr="00FA0D37">
        <w:lastRenderedPageBreak/>
        <w:t>SIB20</w:t>
      </w:r>
      <w:r w:rsidR="00214323" w:rsidRPr="00FA0D37">
        <w:t>-r17 ::=</w:t>
      </w:r>
      <w:r w:rsidR="00214323" w:rsidRPr="00FA0D37">
        <w:tab/>
      </w:r>
      <w:r w:rsidR="00214323" w:rsidRPr="00FA0D37">
        <w:rPr>
          <w:color w:val="993366"/>
        </w:rPr>
        <w:t>SEQUENCE</w:t>
      </w:r>
      <w:r w:rsidR="00214323" w:rsidRPr="00FA0D37">
        <w:t xml:space="preserve"> {</w:t>
      </w:r>
    </w:p>
    <w:p w14:paraId="0A757C41" w14:textId="15355B72" w:rsidR="00214323" w:rsidRPr="00FA0D37" w:rsidRDefault="00214323" w:rsidP="00FA0D37">
      <w:pPr>
        <w:pStyle w:val="PL"/>
      </w:pPr>
      <w:r w:rsidRPr="00FA0D37">
        <w:t xml:space="preserve">    mcch-Config-r17                MCCH-Config-r17,</w:t>
      </w:r>
    </w:p>
    <w:p w14:paraId="582C907F" w14:textId="19F7904E" w:rsidR="00214323" w:rsidRPr="00FA0D37" w:rsidRDefault="00214323" w:rsidP="00FA0D37">
      <w:pPr>
        <w:pStyle w:val="PL"/>
        <w:rPr>
          <w:color w:val="808080"/>
        </w:rPr>
      </w:pPr>
      <w:r w:rsidRPr="00FA0D37">
        <w:t xml:space="preserve">    cfr-ConfigMCCH-MTCH-r17        CFR-ConfigMCCH-MTCH-r17</w:t>
      </w:r>
      <w:r w:rsidR="00297667" w:rsidRPr="00FA0D37">
        <w:t xml:space="preserve"> </w:t>
      </w:r>
      <w:r w:rsidR="00297667" w:rsidRPr="00FA0D37">
        <w:rPr>
          <w:color w:val="993366"/>
        </w:rPr>
        <w:t>OPTIONAL</w:t>
      </w:r>
      <w:r w:rsidRPr="00FA0D37">
        <w:t>,</w:t>
      </w:r>
      <w:r w:rsidR="00297667" w:rsidRPr="00FA0D37">
        <w:t xml:space="preserve">  </w:t>
      </w:r>
      <w:r w:rsidR="00297667" w:rsidRPr="00FA0D37">
        <w:rPr>
          <w:color w:val="808080"/>
        </w:rPr>
        <w:t>-- Need S</w:t>
      </w:r>
    </w:p>
    <w:p w14:paraId="40B02B88" w14:textId="587E01CC" w:rsidR="00214323" w:rsidRPr="00FA0D37" w:rsidRDefault="00214323"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182E09D" w14:textId="69C0B1E1" w:rsidR="00214323" w:rsidRPr="00FA0D37" w:rsidRDefault="00214323" w:rsidP="00FA0D37">
      <w:pPr>
        <w:pStyle w:val="PL"/>
      </w:pPr>
      <w:r w:rsidRPr="00FA0D37">
        <w:t xml:space="preserve">    ...</w:t>
      </w:r>
    </w:p>
    <w:p w14:paraId="54EFC991" w14:textId="77777777" w:rsidR="00214323" w:rsidRPr="00FA0D37" w:rsidRDefault="00214323" w:rsidP="00FA0D37">
      <w:pPr>
        <w:pStyle w:val="PL"/>
      </w:pPr>
      <w:r w:rsidRPr="00FA0D37">
        <w:t>}</w:t>
      </w:r>
    </w:p>
    <w:p w14:paraId="0E14940C" w14:textId="77777777" w:rsidR="00214323" w:rsidRPr="00FA0D37" w:rsidRDefault="00214323" w:rsidP="00FA0D37">
      <w:pPr>
        <w:pStyle w:val="PL"/>
      </w:pPr>
    </w:p>
    <w:p w14:paraId="46805811" w14:textId="77777777" w:rsidR="00214323" w:rsidRPr="00FA0D37" w:rsidRDefault="00214323" w:rsidP="00FA0D37">
      <w:pPr>
        <w:pStyle w:val="PL"/>
      </w:pPr>
      <w:r w:rsidRPr="00FA0D37">
        <w:t xml:space="preserve">MCCH-Config-r17 ::= </w:t>
      </w:r>
      <w:r w:rsidRPr="00FA0D37">
        <w:rPr>
          <w:color w:val="993366"/>
        </w:rPr>
        <w:t>SEQUENCE</w:t>
      </w:r>
      <w:r w:rsidRPr="00FA0D37">
        <w:t xml:space="preserve"> {</w:t>
      </w:r>
    </w:p>
    <w:p w14:paraId="44BF577F" w14:textId="0BC52929" w:rsidR="00214323" w:rsidRPr="00FA0D37" w:rsidRDefault="00214323" w:rsidP="00FA0D37">
      <w:pPr>
        <w:pStyle w:val="PL"/>
      </w:pPr>
      <w:r w:rsidRPr="00FA0D37">
        <w:t xml:space="preserve">    mcch-RepetitionPeriodAndOffset-r17   MCCH-RepetitionPeriodAndOffset-r17,</w:t>
      </w:r>
    </w:p>
    <w:p w14:paraId="7B8C7C5F" w14:textId="5C59FCFE" w:rsidR="00214323" w:rsidRPr="00FA0D37" w:rsidRDefault="00214323" w:rsidP="00FA0D37">
      <w:pPr>
        <w:pStyle w:val="PL"/>
      </w:pPr>
      <w:r w:rsidRPr="00FA0D37">
        <w:t xml:space="preserve">    mcch-WindowStartSlot-r17             </w:t>
      </w:r>
      <w:r w:rsidRPr="00FA0D37">
        <w:rPr>
          <w:color w:val="993366"/>
        </w:rPr>
        <w:t>INTEGER</w:t>
      </w:r>
      <w:r w:rsidRPr="00FA0D37">
        <w:t xml:space="preserve"> (0..79),</w:t>
      </w:r>
    </w:p>
    <w:p w14:paraId="578C5587" w14:textId="75733BAB" w:rsidR="00214323" w:rsidRPr="00FA0D37" w:rsidRDefault="00214323" w:rsidP="00FA0D37">
      <w:pPr>
        <w:pStyle w:val="PL"/>
        <w:rPr>
          <w:color w:val="808080"/>
        </w:rPr>
      </w:pPr>
      <w:r w:rsidRPr="00FA0D37">
        <w:t xml:space="preserve">    mcch-WindowDuration-r17              </w:t>
      </w:r>
      <w:r w:rsidRPr="00FA0D37">
        <w:rPr>
          <w:color w:val="993366"/>
        </w:rPr>
        <w:t>ENUMERATED</w:t>
      </w:r>
      <w:r w:rsidRPr="00FA0D37">
        <w:t xml:space="preserve"> {sl2, sl4, sl8, sl10, sl20, sl40,sl80, sl160}     </w:t>
      </w:r>
      <w:r w:rsidRPr="00FA0D37">
        <w:rPr>
          <w:color w:val="993366"/>
        </w:rPr>
        <w:t>OPTIONAL</w:t>
      </w:r>
      <w:r w:rsidRPr="00FA0D37">
        <w:t xml:space="preserve">, </w:t>
      </w:r>
      <w:r w:rsidRPr="00FA0D37">
        <w:rPr>
          <w:color w:val="808080"/>
        </w:rPr>
        <w:t>-- Need S</w:t>
      </w:r>
    </w:p>
    <w:p w14:paraId="3DB9F030" w14:textId="556A4C35" w:rsidR="00214323" w:rsidRPr="00FA0D37" w:rsidRDefault="00214323" w:rsidP="00FA0D37">
      <w:pPr>
        <w:pStyle w:val="PL"/>
      </w:pPr>
      <w:r w:rsidRPr="00FA0D37">
        <w:t xml:space="preserve">    mcch-ModificationPeriod-r17          </w:t>
      </w:r>
      <w:r w:rsidRPr="00FA0D37">
        <w:rPr>
          <w:color w:val="993366"/>
        </w:rPr>
        <w:t>ENUMERATED</w:t>
      </w:r>
      <w:r w:rsidRPr="00FA0D37">
        <w:t xml:space="preserve"> {rf2, rf4, rf8, rf16, rf32, rf64, rf128, rf256,</w:t>
      </w:r>
    </w:p>
    <w:p w14:paraId="21403A9B" w14:textId="782FD545" w:rsidR="00214323" w:rsidRPr="00FA0D37" w:rsidRDefault="00214323" w:rsidP="00FA0D37">
      <w:pPr>
        <w:pStyle w:val="PL"/>
      </w:pPr>
      <w:r w:rsidRPr="00FA0D37">
        <w:t xml:space="preserve">                                         rf512, rf1024, r</w:t>
      </w:r>
      <w:r w:rsidR="00156D01" w:rsidRPr="00FA0D37">
        <w:t>f</w:t>
      </w:r>
      <w:r w:rsidRPr="00FA0D37">
        <w:t>2048, rf4096, rf8192, rf16384, rf32768, rf65536}</w:t>
      </w:r>
    </w:p>
    <w:p w14:paraId="381505A1" w14:textId="77777777" w:rsidR="00214323" w:rsidRPr="00FA0D37" w:rsidRDefault="00214323" w:rsidP="00FA0D37">
      <w:pPr>
        <w:pStyle w:val="PL"/>
      </w:pPr>
      <w:r w:rsidRPr="00FA0D37">
        <w:t>}</w:t>
      </w:r>
    </w:p>
    <w:p w14:paraId="1985C99B" w14:textId="77777777" w:rsidR="00214323" w:rsidRPr="00FA0D37" w:rsidRDefault="00214323" w:rsidP="00FA0D37">
      <w:pPr>
        <w:pStyle w:val="PL"/>
      </w:pPr>
    </w:p>
    <w:p w14:paraId="3C940A2A" w14:textId="3BD4372B" w:rsidR="00214323" w:rsidRPr="00FA0D37" w:rsidRDefault="00214323" w:rsidP="00FA0D37">
      <w:pPr>
        <w:pStyle w:val="PL"/>
      </w:pPr>
      <w:r w:rsidRPr="00FA0D37">
        <w:t xml:space="preserve">MCCH-RepetitionPeriodAndOffset-r17 ::= </w:t>
      </w:r>
      <w:r w:rsidRPr="00FA0D37">
        <w:rPr>
          <w:color w:val="993366"/>
        </w:rPr>
        <w:t>CHOICE</w:t>
      </w:r>
      <w:r w:rsidRPr="00FA0D37">
        <w:t xml:space="preserve"> {</w:t>
      </w:r>
    </w:p>
    <w:p w14:paraId="1656B258" w14:textId="77777777" w:rsidR="00214323" w:rsidRPr="00FA0D37" w:rsidRDefault="00214323" w:rsidP="00FA0D37">
      <w:pPr>
        <w:pStyle w:val="PL"/>
      </w:pPr>
      <w:r w:rsidRPr="00FA0D37">
        <w:t xml:space="preserve">    rf1-r17                                </w:t>
      </w:r>
      <w:r w:rsidRPr="00FA0D37">
        <w:rPr>
          <w:color w:val="993366"/>
        </w:rPr>
        <w:t>INTEGER</w:t>
      </w:r>
      <w:r w:rsidRPr="00FA0D37">
        <w:t>(0),</w:t>
      </w:r>
    </w:p>
    <w:p w14:paraId="17049F94" w14:textId="77777777" w:rsidR="00214323" w:rsidRPr="00FA0D37" w:rsidRDefault="00214323" w:rsidP="00FA0D37">
      <w:pPr>
        <w:pStyle w:val="PL"/>
      </w:pPr>
      <w:r w:rsidRPr="00FA0D37">
        <w:t xml:space="preserve">    rf2-r17                                </w:t>
      </w:r>
      <w:r w:rsidRPr="00FA0D37">
        <w:rPr>
          <w:color w:val="993366"/>
        </w:rPr>
        <w:t>INTEGER</w:t>
      </w:r>
      <w:r w:rsidRPr="00FA0D37">
        <w:t>(0..1),</w:t>
      </w:r>
    </w:p>
    <w:p w14:paraId="276AC0CA" w14:textId="77777777" w:rsidR="00214323" w:rsidRPr="00FA0D37" w:rsidRDefault="00214323" w:rsidP="00FA0D37">
      <w:pPr>
        <w:pStyle w:val="PL"/>
      </w:pPr>
      <w:r w:rsidRPr="00FA0D37">
        <w:t xml:space="preserve">    rf4-r17                                </w:t>
      </w:r>
      <w:r w:rsidRPr="00FA0D37">
        <w:rPr>
          <w:color w:val="993366"/>
        </w:rPr>
        <w:t>INTEGER</w:t>
      </w:r>
      <w:r w:rsidRPr="00FA0D37">
        <w:t>(0..3),</w:t>
      </w:r>
    </w:p>
    <w:p w14:paraId="4572DEEC" w14:textId="77777777" w:rsidR="00214323" w:rsidRPr="00FA0D37" w:rsidRDefault="00214323" w:rsidP="00FA0D37">
      <w:pPr>
        <w:pStyle w:val="PL"/>
      </w:pPr>
      <w:r w:rsidRPr="00FA0D37">
        <w:t xml:space="preserve">    rf8-r17                                </w:t>
      </w:r>
      <w:r w:rsidRPr="00FA0D37">
        <w:rPr>
          <w:color w:val="993366"/>
        </w:rPr>
        <w:t>INTEGER</w:t>
      </w:r>
      <w:r w:rsidRPr="00FA0D37">
        <w:t>(0..7),</w:t>
      </w:r>
    </w:p>
    <w:p w14:paraId="62DEDFE5" w14:textId="77777777" w:rsidR="00214323" w:rsidRPr="00FA0D37" w:rsidRDefault="00214323" w:rsidP="00FA0D37">
      <w:pPr>
        <w:pStyle w:val="PL"/>
      </w:pPr>
      <w:r w:rsidRPr="00FA0D37">
        <w:t xml:space="preserve">    rf16-r17                               </w:t>
      </w:r>
      <w:r w:rsidRPr="00FA0D37">
        <w:rPr>
          <w:color w:val="993366"/>
        </w:rPr>
        <w:t>INTEGER</w:t>
      </w:r>
      <w:r w:rsidRPr="00FA0D37">
        <w:t>(0..15),</w:t>
      </w:r>
    </w:p>
    <w:p w14:paraId="1B403E11" w14:textId="77777777" w:rsidR="00214323" w:rsidRPr="00FA0D37" w:rsidRDefault="00214323" w:rsidP="00FA0D37">
      <w:pPr>
        <w:pStyle w:val="PL"/>
      </w:pPr>
      <w:r w:rsidRPr="00FA0D37">
        <w:t xml:space="preserve">    rf32-r17                               </w:t>
      </w:r>
      <w:r w:rsidRPr="00FA0D37">
        <w:rPr>
          <w:color w:val="993366"/>
        </w:rPr>
        <w:t>INTEGER</w:t>
      </w:r>
      <w:r w:rsidRPr="00FA0D37">
        <w:t>(0..31),</w:t>
      </w:r>
    </w:p>
    <w:p w14:paraId="0A99DEE8" w14:textId="77777777" w:rsidR="00214323" w:rsidRPr="00FA0D37" w:rsidRDefault="00214323" w:rsidP="00FA0D37">
      <w:pPr>
        <w:pStyle w:val="PL"/>
      </w:pPr>
      <w:r w:rsidRPr="00FA0D37">
        <w:t xml:space="preserve">    rf64-r17                               </w:t>
      </w:r>
      <w:r w:rsidRPr="00FA0D37">
        <w:rPr>
          <w:color w:val="993366"/>
        </w:rPr>
        <w:t>INTEGER</w:t>
      </w:r>
      <w:r w:rsidRPr="00FA0D37">
        <w:t>(0..63),</w:t>
      </w:r>
    </w:p>
    <w:p w14:paraId="4C091DC2" w14:textId="77777777" w:rsidR="00214323" w:rsidRPr="00FA0D37" w:rsidRDefault="00214323" w:rsidP="00FA0D37">
      <w:pPr>
        <w:pStyle w:val="PL"/>
      </w:pPr>
      <w:r w:rsidRPr="00FA0D37">
        <w:t xml:space="preserve">    rf128-r17                              </w:t>
      </w:r>
      <w:r w:rsidRPr="00FA0D37">
        <w:rPr>
          <w:color w:val="993366"/>
        </w:rPr>
        <w:t>INTEGER</w:t>
      </w:r>
      <w:r w:rsidRPr="00FA0D37">
        <w:t>(0..127),</w:t>
      </w:r>
    </w:p>
    <w:p w14:paraId="14C76D27" w14:textId="77777777" w:rsidR="00214323" w:rsidRPr="00FA0D37" w:rsidRDefault="00214323" w:rsidP="00FA0D37">
      <w:pPr>
        <w:pStyle w:val="PL"/>
      </w:pPr>
      <w:r w:rsidRPr="00FA0D37">
        <w:t xml:space="preserve">    rf256-r17                              </w:t>
      </w:r>
      <w:r w:rsidRPr="00FA0D37">
        <w:rPr>
          <w:color w:val="993366"/>
        </w:rPr>
        <w:t>INTEGER</w:t>
      </w:r>
      <w:r w:rsidRPr="00FA0D37">
        <w:t>(0..255)</w:t>
      </w:r>
    </w:p>
    <w:p w14:paraId="41B32432" w14:textId="77777777" w:rsidR="00214323" w:rsidRPr="00FA0D37" w:rsidRDefault="00214323" w:rsidP="00FA0D37">
      <w:pPr>
        <w:pStyle w:val="PL"/>
      </w:pPr>
      <w:r w:rsidRPr="00FA0D37">
        <w:t>}</w:t>
      </w:r>
    </w:p>
    <w:p w14:paraId="27FEA815" w14:textId="77777777" w:rsidR="00214323" w:rsidRPr="00FA0D37" w:rsidRDefault="00214323" w:rsidP="00FA0D37">
      <w:pPr>
        <w:pStyle w:val="PL"/>
      </w:pPr>
    </w:p>
    <w:p w14:paraId="6F82F99B" w14:textId="5B636819" w:rsidR="00214323" w:rsidRPr="00FA0D37" w:rsidRDefault="00214323" w:rsidP="00FA0D37">
      <w:pPr>
        <w:pStyle w:val="PL"/>
        <w:rPr>
          <w:color w:val="808080"/>
        </w:rPr>
      </w:pPr>
      <w:r w:rsidRPr="00FA0D37">
        <w:rPr>
          <w:color w:val="808080"/>
        </w:rPr>
        <w:t>-- TAG-</w:t>
      </w:r>
      <w:r w:rsidR="004D393F" w:rsidRPr="00FA0D37">
        <w:rPr>
          <w:color w:val="808080"/>
        </w:rPr>
        <w:t>SIB20</w:t>
      </w:r>
      <w:r w:rsidRPr="00FA0D37">
        <w:rPr>
          <w:color w:val="808080"/>
        </w:rPr>
        <w:t>-STOP</w:t>
      </w:r>
    </w:p>
    <w:p w14:paraId="0EAE9032" w14:textId="77777777" w:rsidR="00214323" w:rsidRPr="00FA0D37" w:rsidRDefault="00214323" w:rsidP="00FA0D37">
      <w:pPr>
        <w:pStyle w:val="PL"/>
        <w:rPr>
          <w:color w:val="808080"/>
        </w:rPr>
      </w:pPr>
      <w:r w:rsidRPr="00FA0D37">
        <w:rPr>
          <w:color w:val="808080"/>
        </w:rPr>
        <w:t>-- ASN1STOP</w:t>
      </w:r>
    </w:p>
    <w:p w14:paraId="59DE7C65" w14:textId="77777777" w:rsidR="00214323" w:rsidRPr="00FA0D37" w:rsidRDefault="00214323" w:rsidP="00214323">
      <w:pPr>
        <w:rPr>
          <w:rFonts w:ascii="Courier New" w:hAnsi="Courier New"/>
          <w:sz w:val="16"/>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5C7FF4" w:rsidRPr="00FA0D37" w14:paraId="7159764A" w14:textId="77777777" w:rsidTr="00771058">
        <w:trPr>
          <w:cantSplit/>
          <w:tblHeader/>
        </w:trPr>
        <w:tc>
          <w:tcPr>
            <w:tcW w:w="14204" w:type="dxa"/>
          </w:tcPr>
          <w:p w14:paraId="47570B4D" w14:textId="26B56BB7" w:rsidR="00214323" w:rsidRPr="00FA0D37" w:rsidRDefault="004D393F" w:rsidP="00771058">
            <w:pPr>
              <w:pStyle w:val="TAH"/>
              <w:rPr>
                <w:lang w:eastAsia="zh-CN"/>
              </w:rPr>
            </w:pPr>
            <w:r w:rsidRPr="00FA0D37">
              <w:rPr>
                <w:i/>
                <w:lang w:eastAsia="zh-CN"/>
              </w:rPr>
              <w:t>SIB20</w:t>
            </w:r>
            <w:r w:rsidR="00214323" w:rsidRPr="00FA0D37">
              <w:rPr>
                <w:i/>
                <w:lang w:eastAsia="zh-CN"/>
              </w:rPr>
              <w:t xml:space="preserve"> </w:t>
            </w:r>
            <w:r w:rsidR="00214323" w:rsidRPr="00FA0D37">
              <w:rPr>
                <w:lang w:eastAsia="zh-CN"/>
              </w:rPr>
              <w:t>field descriptions</w:t>
            </w:r>
          </w:p>
        </w:tc>
      </w:tr>
      <w:tr w:rsidR="005C7FF4" w:rsidRPr="00FA0D37" w14:paraId="377AA9C8" w14:textId="77777777" w:rsidTr="00771058">
        <w:trPr>
          <w:cantSplit/>
          <w:tblHeader/>
        </w:trPr>
        <w:tc>
          <w:tcPr>
            <w:tcW w:w="14204" w:type="dxa"/>
          </w:tcPr>
          <w:p w14:paraId="3E858EC1" w14:textId="77777777" w:rsidR="00297667" w:rsidRPr="00FA0D37" w:rsidRDefault="00297667" w:rsidP="00297667">
            <w:pPr>
              <w:pStyle w:val="TAL"/>
              <w:rPr>
                <w:b/>
                <w:bCs/>
                <w:i/>
              </w:rPr>
            </w:pPr>
            <w:r w:rsidRPr="00FA0D37">
              <w:rPr>
                <w:b/>
                <w:bCs/>
                <w:i/>
              </w:rPr>
              <w:t>cfr-</w:t>
            </w:r>
            <w:r w:rsidRPr="00FA0D37">
              <w:rPr>
                <w:b/>
                <w:bCs/>
                <w:i/>
                <w:iCs/>
                <w:lang w:eastAsia="zh-CN"/>
              </w:rPr>
              <w:t>ConfigMCCH</w:t>
            </w:r>
            <w:r w:rsidRPr="00FA0D37">
              <w:rPr>
                <w:b/>
                <w:bCs/>
                <w:i/>
              </w:rPr>
              <w:t>-MTCH</w:t>
            </w:r>
          </w:p>
          <w:p w14:paraId="07F75B6A" w14:textId="414FEF9B" w:rsidR="00297667" w:rsidRPr="00FA0D37" w:rsidRDefault="00297667" w:rsidP="00F747EB">
            <w:pPr>
              <w:pStyle w:val="TAL"/>
              <w:rPr>
                <w:lang w:eastAsia="zh-CN"/>
              </w:rPr>
            </w:pPr>
            <w:r w:rsidRPr="00FA0D37">
              <w:rPr>
                <w:lang w:eastAsia="en-GB"/>
              </w:rPr>
              <w:t>Common frequency resource used for MCCH and MTCH reception. If the field is absent, the CFR for broadcast has the same location and size as CORESET</w:t>
            </w:r>
            <w:r w:rsidR="002C350C" w:rsidRPr="00FA0D37">
              <w:rPr>
                <w:lang w:eastAsia="en-GB"/>
              </w:rPr>
              <w:t>#</w:t>
            </w:r>
            <w:r w:rsidRPr="00FA0D37">
              <w:rPr>
                <w:lang w:eastAsia="en-GB"/>
              </w:rPr>
              <w:t xml:space="preserve">0 and PDSCH configuration of MCCH is the same as PDSCH configuration provided in </w:t>
            </w:r>
            <w:r w:rsidRPr="00FA0D37">
              <w:rPr>
                <w:i/>
              </w:rPr>
              <w:t>initialDownlinkBWP</w:t>
            </w:r>
            <w:r w:rsidRPr="00FA0D37">
              <w:rPr>
                <w:lang w:eastAsia="en-GB"/>
              </w:rPr>
              <w:t xml:space="preserve"> in </w:t>
            </w:r>
            <w:r w:rsidRPr="00FA0D37">
              <w:rPr>
                <w:i/>
                <w:lang w:eastAsia="en-GB"/>
              </w:rPr>
              <w:t>SIB1</w:t>
            </w:r>
            <w:r w:rsidRPr="00FA0D37">
              <w:rPr>
                <w:lang w:eastAsia="en-GB"/>
              </w:rPr>
              <w:t>.</w:t>
            </w:r>
          </w:p>
        </w:tc>
      </w:tr>
      <w:tr w:rsidR="005C7FF4" w:rsidRPr="00FA0D37" w14:paraId="6D15DE1F"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01BF59D" w14:textId="5F636C85" w:rsidR="00214323" w:rsidRPr="00FA0D37" w:rsidRDefault="00214323" w:rsidP="00771058">
            <w:pPr>
              <w:pStyle w:val="TAL"/>
              <w:rPr>
                <w:b/>
                <w:bCs/>
                <w:i/>
              </w:rPr>
            </w:pPr>
            <w:r w:rsidRPr="00FA0D37">
              <w:rPr>
                <w:b/>
                <w:bCs/>
                <w:i/>
              </w:rPr>
              <w:t>mcch-</w:t>
            </w:r>
            <w:r w:rsidRPr="00FA0D37">
              <w:rPr>
                <w:b/>
                <w:bCs/>
                <w:i/>
                <w:iCs/>
                <w:lang w:eastAsia="zh-CN"/>
              </w:rPr>
              <w:t>WindowDuration</w:t>
            </w:r>
          </w:p>
          <w:p w14:paraId="1BAA3DE9" w14:textId="625FCE8E" w:rsidR="00214323" w:rsidRPr="00FA0D37" w:rsidRDefault="00214323" w:rsidP="00771058">
            <w:pPr>
              <w:pStyle w:val="TAL"/>
              <w:rPr>
                <w:rFonts w:ascii="等线" w:eastAsia="等线" w:hAnsi="等线"/>
                <w:lang w:eastAsia="zh-CN"/>
              </w:rPr>
            </w:pPr>
            <w:r w:rsidRPr="00FA0D37">
              <w:rPr>
                <w:lang w:eastAsia="en-GB"/>
              </w:rPr>
              <w:t xml:space="preserve">Indicates, starting from the slot indicated by </w:t>
            </w:r>
            <w:r w:rsidRPr="00FA0D37">
              <w:rPr>
                <w:i/>
                <w:lang w:eastAsia="en-GB"/>
              </w:rPr>
              <w:t>mcch-WindowStartSlot</w:t>
            </w:r>
            <w:r w:rsidRPr="00FA0D37">
              <w:rPr>
                <w:lang w:eastAsia="en-GB"/>
              </w:rPr>
              <w:t>, the duration in slot</w:t>
            </w:r>
            <w:r w:rsidR="00FD05B6" w:rsidRPr="00FA0D37">
              <w:rPr>
                <w:lang w:eastAsia="en-GB"/>
              </w:rPr>
              <w:t>s</w:t>
            </w:r>
            <w:r w:rsidRPr="00FA0D37">
              <w:rPr>
                <w:lang w:eastAsia="en-GB"/>
              </w:rPr>
              <w:t xml:space="preserve"> during which MCCH may be scheduled. Absence of this field means that MCCH is only scheduled in the slot indicated by </w:t>
            </w:r>
            <w:r w:rsidRPr="00FA0D37">
              <w:rPr>
                <w:i/>
                <w:lang w:eastAsia="en-GB"/>
              </w:rPr>
              <w:t>mcch-WindowStartSlot</w:t>
            </w:r>
            <w:r w:rsidRPr="00FA0D37">
              <w:rPr>
                <w:lang w:eastAsia="en-GB"/>
              </w:rPr>
              <w:t>.</w:t>
            </w:r>
            <w:r w:rsidR="00FD05B6" w:rsidRPr="00FA0D37">
              <w:rPr>
                <w:lang w:eastAsia="en-GB"/>
              </w:rPr>
              <w:t xml:space="preserve"> The network always configures </w:t>
            </w:r>
            <w:r w:rsidR="00FD05B6" w:rsidRPr="00FA0D37">
              <w:rPr>
                <w:i/>
                <w:lang w:eastAsia="en-GB"/>
              </w:rPr>
              <w:t>mcch-WindowDuration</w:t>
            </w:r>
            <w:r w:rsidR="00FD05B6" w:rsidRPr="00FA0D37">
              <w:rPr>
                <w:lang w:eastAsia="en-GB"/>
              </w:rPr>
              <w:t xml:space="preserve"> to be shorter or equal to the length of MCCH repetition period.</w:t>
            </w:r>
          </w:p>
        </w:tc>
      </w:tr>
      <w:tr w:rsidR="005C7FF4" w:rsidRPr="00FA0D37" w14:paraId="023E6568"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7AF73A3A" w14:textId="77777777" w:rsidR="00214323" w:rsidRPr="00FA0D37" w:rsidRDefault="00214323" w:rsidP="00771058">
            <w:pPr>
              <w:pStyle w:val="TAL"/>
              <w:rPr>
                <w:b/>
                <w:bCs/>
                <w:i/>
              </w:rPr>
            </w:pPr>
            <w:r w:rsidRPr="00FA0D37">
              <w:rPr>
                <w:b/>
                <w:bCs/>
                <w:i/>
              </w:rPr>
              <w:t>mcch-</w:t>
            </w:r>
            <w:r w:rsidRPr="00FA0D37">
              <w:rPr>
                <w:b/>
                <w:bCs/>
                <w:i/>
                <w:iCs/>
                <w:lang w:eastAsia="zh-CN"/>
              </w:rPr>
              <w:t>ModificationPeriod</w:t>
            </w:r>
          </w:p>
          <w:p w14:paraId="7981C3B8" w14:textId="2A54BB10" w:rsidR="00214323" w:rsidRPr="00FA0D37" w:rsidRDefault="00214323" w:rsidP="00771058">
            <w:pPr>
              <w:pStyle w:val="TAL"/>
              <w:rPr>
                <w:lang w:eastAsia="en-GB"/>
              </w:rPr>
            </w:pPr>
            <w:r w:rsidRPr="00FA0D37">
              <w:rPr>
                <w:lang w:eastAsia="en-GB"/>
              </w:rPr>
              <w:t xml:space="preserve">Defines periodically appearing boundaries, i.e. radio frames for which SFN mod </w:t>
            </w:r>
            <w:r w:rsidRPr="00FA0D37">
              <w:rPr>
                <w:i/>
                <w:lang w:eastAsia="en-GB"/>
              </w:rPr>
              <w:t>mcch-ModificationPeriod</w:t>
            </w:r>
            <w:r w:rsidRPr="00FA0D37">
              <w:rPr>
                <w:lang w:eastAsia="en-GB"/>
              </w:rPr>
              <w:t xml:space="preserve"> = 0. The contents of different transmissions of MCCH information can only be different if there is at least one such boundary in-between them. Value rf2 corresponds to two radio frames, value rf4 corresponds to four radio frames and so on.</w:t>
            </w:r>
          </w:p>
        </w:tc>
      </w:tr>
      <w:tr w:rsidR="005C7FF4" w:rsidRPr="00FA0D37" w14:paraId="3DEDC228"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EC4E820" w14:textId="1BFD45CC" w:rsidR="00214323" w:rsidRPr="00FA0D37" w:rsidRDefault="00214323" w:rsidP="00771058">
            <w:pPr>
              <w:pStyle w:val="TAL"/>
              <w:rPr>
                <w:b/>
                <w:bCs/>
                <w:i/>
              </w:rPr>
            </w:pPr>
            <w:r w:rsidRPr="00FA0D37">
              <w:rPr>
                <w:b/>
                <w:bCs/>
                <w:i/>
              </w:rPr>
              <w:t>mcch-RepetitionPeriodAndOffset</w:t>
            </w:r>
          </w:p>
          <w:p w14:paraId="5309E6F2" w14:textId="385EB51D" w:rsidR="00214323" w:rsidRPr="00FA0D37" w:rsidRDefault="00214323" w:rsidP="00771058">
            <w:pPr>
              <w:pStyle w:val="TAL"/>
              <w:rPr>
                <w:lang w:eastAsia="en-GB"/>
              </w:rPr>
            </w:pPr>
            <w:r w:rsidRPr="00FA0D37">
              <w:rPr>
                <w:lang w:eastAsia="en-GB"/>
              </w:rPr>
              <w:t xml:space="preserve">Defines the length and the offset of the MCCH repetition period. rf1 corresponds to a repetition period length of one radio frame, rf2 corresponds to a repetition period length of two radio frames and so on. The corresponding integer value indicates the offset of the repetition period in the number of radio frames. MCCH is scheduled in </w:t>
            </w:r>
            <w:r w:rsidR="00FD05B6" w:rsidRPr="00FA0D37">
              <w:rPr>
                <w:lang w:eastAsia="en-GB"/>
              </w:rPr>
              <w:t xml:space="preserve">the MCCH transmission window starting from each </w:t>
            </w:r>
            <w:r w:rsidRPr="00FA0D37">
              <w:rPr>
                <w:lang w:eastAsia="en-GB"/>
              </w:rPr>
              <w:t>radio frame for which: SFN mod repetition period length = offset of the repetition period.</w:t>
            </w:r>
          </w:p>
        </w:tc>
      </w:tr>
      <w:tr w:rsidR="00214323" w:rsidRPr="00FA0D37" w14:paraId="30350B00"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653E561D" w14:textId="27DA2E7C" w:rsidR="00214323" w:rsidRPr="00FA0D37" w:rsidRDefault="00214323" w:rsidP="00771058">
            <w:pPr>
              <w:pStyle w:val="TAL"/>
              <w:rPr>
                <w:b/>
                <w:bCs/>
                <w:i/>
              </w:rPr>
            </w:pPr>
            <w:r w:rsidRPr="00FA0D37">
              <w:rPr>
                <w:b/>
                <w:bCs/>
                <w:i/>
              </w:rPr>
              <w:t>mcch-WindowStartSlot</w:t>
            </w:r>
          </w:p>
          <w:p w14:paraId="237A91B8" w14:textId="77777777" w:rsidR="00214323" w:rsidRPr="00FA0D37" w:rsidRDefault="00214323" w:rsidP="00771058">
            <w:pPr>
              <w:pStyle w:val="TAL"/>
              <w:rPr>
                <w:lang w:eastAsia="en-GB"/>
              </w:rPr>
            </w:pPr>
            <w:r w:rsidRPr="00FA0D37">
              <w:rPr>
                <w:lang w:eastAsia="en-GB"/>
              </w:rPr>
              <w:t>Indicates the slot in which MCCH transmission window starts.</w:t>
            </w:r>
          </w:p>
        </w:tc>
      </w:tr>
    </w:tbl>
    <w:p w14:paraId="7DF3B997" w14:textId="77777777" w:rsidR="00214323" w:rsidRPr="00FA0D37" w:rsidRDefault="00214323" w:rsidP="00214323">
      <w:pPr>
        <w:rPr>
          <w:rFonts w:eastAsia="Yu Mincho"/>
        </w:rPr>
      </w:pPr>
    </w:p>
    <w:p w14:paraId="0A23D7B6" w14:textId="28FC7DB8" w:rsidR="00214323" w:rsidRPr="00FA0D37" w:rsidRDefault="00214323" w:rsidP="00214323">
      <w:pPr>
        <w:pStyle w:val="4"/>
      </w:pPr>
      <w:bookmarkStart w:id="804" w:name="_Toc146781197"/>
      <w:r w:rsidRPr="00FA0D37">
        <w:lastRenderedPageBreak/>
        <w:t>–</w:t>
      </w:r>
      <w:r w:rsidRPr="00FA0D37">
        <w:tab/>
      </w:r>
      <w:r w:rsidRPr="00FA0D37">
        <w:rPr>
          <w:i/>
          <w:noProof/>
          <w:lang w:eastAsia="zh-CN"/>
        </w:rPr>
        <w:t>SIB21</w:t>
      </w:r>
      <w:bookmarkEnd w:id="804"/>
    </w:p>
    <w:p w14:paraId="1C170C5A" w14:textId="372AF6E4" w:rsidR="00214323" w:rsidRPr="00FA0D37" w:rsidRDefault="004D393F" w:rsidP="00214323">
      <w:r w:rsidRPr="00FA0D37">
        <w:rPr>
          <w:i/>
          <w:lang w:eastAsia="zh-CN"/>
        </w:rPr>
        <w:t>SIB21</w:t>
      </w:r>
      <w:r w:rsidR="00214323" w:rsidRPr="00FA0D37">
        <w:rPr>
          <w:iCs/>
          <w:lang w:eastAsia="zh-CN"/>
        </w:rPr>
        <w:t xml:space="preserve"> </w:t>
      </w:r>
      <w:r w:rsidR="00214323" w:rsidRPr="00FA0D37">
        <w:rPr>
          <w:iCs/>
        </w:rPr>
        <w:t>contains the mapping between</w:t>
      </w:r>
      <w:r w:rsidR="00FD05B6" w:rsidRPr="00FA0D37">
        <w:rPr>
          <w:iCs/>
        </w:rPr>
        <w:t xml:space="preserve"> the current and/or neighbouring carrier</w:t>
      </w:r>
      <w:r w:rsidR="00214323" w:rsidRPr="00FA0D37">
        <w:rPr>
          <w:iCs/>
        </w:rPr>
        <w:t xml:space="preserve"> frequenc</w:t>
      </w:r>
      <w:r w:rsidR="00FD05B6" w:rsidRPr="00FA0D37">
        <w:rPr>
          <w:iCs/>
        </w:rPr>
        <w:t>ies</w:t>
      </w:r>
      <w:r w:rsidR="00214323" w:rsidRPr="00FA0D37">
        <w:rPr>
          <w:iCs/>
        </w:rPr>
        <w:t xml:space="preserve"> and MBS</w:t>
      </w:r>
      <w:r w:rsidR="00FD05B6" w:rsidRPr="00FA0D37">
        <w:rPr>
          <w:iCs/>
        </w:rPr>
        <w:t xml:space="preserve"> Frequency Selection Area Identities (FSAI)</w:t>
      </w:r>
      <w:r w:rsidR="00214323" w:rsidRPr="00FA0D37">
        <w:t>.</w:t>
      </w:r>
    </w:p>
    <w:p w14:paraId="3B41AB1E" w14:textId="40DDD1F4" w:rsidR="00214323" w:rsidRPr="00FA0D37" w:rsidRDefault="004D393F" w:rsidP="00214323">
      <w:pPr>
        <w:pStyle w:val="TH"/>
        <w:rPr>
          <w:b w:val="0"/>
          <w:bCs/>
          <w:iCs/>
        </w:rPr>
      </w:pPr>
      <w:r w:rsidRPr="00FA0D37">
        <w:rPr>
          <w:bCs/>
          <w:i/>
          <w:iCs/>
        </w:rPr>
        <w:t>SIB21</w:t>
      </w:r>
      <w:r w:rsidR="00214323" w:rsidRPr="00FA0D37">
        <w:rPr>
          <w:bCs/>
          <w:i/>
          <w:iCs/>
        </w:rPr>
        <w:t xml:space="preserve"> </w:t>
      </w:r>
      <w:r w:rsidR="00214323" w:rsidRPr="00FA0D37">
        <w:rPr>
          <w:noProof/>
        </w:rPr>
        <w:t>information</w:t>
      </w:r>
      <w:r w:rsidR="00214323" w:rsidRPr="00FA0D37">
        <w:rPr>
          <w:bCs/>
          <w:iCs/>
        </w:rPr>
        <w:t xml:space="preserve"> element</w:t>
      </w:r>
    </w:p>
    <w:p w14:paraId="614E703E" w14:textId="77777777" w:rsidR="00214323" w:rsidRPr="00FA0D37" w:rsidRDefault="00214323" w:rsidP="00FA0D37">
      <w:pPr>
        <w:pStyle w:val="PL"/>
        <w:rPr>
          <w:color w:val="808080"/>
        </w:rPr>
      </w:pPr>
      <w:r w:rsidRPr="00FA0D37">
        <w:rPr>
          <w:color w:val="808080"/>
        </w:rPr>
        <w:t>-- ASN1START</w:t>
      </w:r>
    </w:p>
    <w:p w14:paraId="1934EC44" w14:textId="313EBA14" w:rsidR="00214323" w:rsidRPr="00FA0D37" w:rsidRDefault="00214323" w:rsidP="00FA0D37">
      <w:pPr>
        <w:pStyle w:val="PL"/>
        <w:rPr>
          <w:color w:val="808080"/>
        </w:rPr>
      </w:pPr>
      <w:r w:rsidRPr="00FA0D37">
        <w:rPr>
          <w:color w:val="808080"/>
        </w:rPr>
        <w:t>-- TAG-</w:t>
      </w:r>
      <w:r w:rsidR="004D393F" w:rsidRPr="00FA0D37">
        <w:rPr>
          <w:color w:val="808080"/>
        </w:rPr>
        <w:t>SIB21</w:t>
      </w:r>
      <w:r w:rsidRPr="00FA0D37">
        <w:rPr>
          <w:color w:val="808080"/>
        </w:rPr>
        <w:t>-START</w:t>
      </w:r>
    </w:p>
    <w:p w14:paraId="1E58BC34" w14:textId="77777777" w:rsidR="00214323" w:rsidRPr="00FA0D37" w:rsidRDefault="00214323" w:rsidP="00FA0D37">
      <w:pPr>
        <w:pStyle w:val="PL"/>
      </w:pPr>
    </w:p>
    <w:p w14:paraId="4D38E604" w14:textId="00DB0FCE" w:rsidR="00214323" w:rsidRPr="00FA0D37" w:rsidRDefault="00214323" w:rsidP="00FA0D37">
      <w:pPr>
        <w:pStyle w:val="PL"/>
      </w:pPr>
      <w:r w:rsidRPr="00FA0D37">
        <w:t xml:space="preserve">SIB21-r17 ::= </w:t>
      </w:r>
      <w:r w:rsidRPr="00FA0D37">
        <w:rPr>
          <w:color w:val="993366"/>
        </w:rPr>
        <w:t>SEQUENCE</w:t>
      </w:r>
      <w:r w:rsidRPr="00FA0D37">
        <w:t xml:space="preserve"> {</w:t>
      </w:r>
    </w:p>
    <w:p w14:paraId="1ADCFA1A" w14:textId="0B4DC078" w:rsidR="00214323" w:rsidRPr="00FA0D37" w:rsidRDefault="00214323" w:rsidP="00FA0D37">
      <w:pPr>
        <w:pStyle w:val="PL"/>
        <w:rPr>
          <w:color w:val="808080"/>
        </w:rPr>
      </w:pPr>
      <w:r w:rsidRPr="00FA0D37">
        <w:t xml:space="preserve">    mbs-FSAI-IntraFreq-r17                   MBS-FSAI-List-r17                </w:t>
      </w:r>
      <w:r w:rsidRPr="00FA0D37">
        <w:rPr>
          <w:color w:val="993366"/>
        </w:rPr>
        <w:t>OPTIONAL</w:t>
      </w:r>
      <w:r w:rsidRPr="00FA0D37">
        <w:t xml:space="preserve">,  </w:t>
      </w:r>
      <w:r w:rsidRPr="00FA0D37">
        <w:rPr>
          <w:color w:val="808080"/>
        </w:rPr>
        <w:t>-- Need R</w:t>
      </w:r>
    </w:p>
    <w:p w14:paraId="2A737856" w14:textId="55893159" w:rsidR="00214323" w:rsidRPr="00FA0D37" w:rsidRDefault="00214323" w:rsidP="00FA0D37">
      <w:pPr>
        <w:pStyle w:val="PL"/>
        <w:rPr>
          <w:color w:val="808080"/>
        </w:rPr>
      </w:pPr>
      <w:r w:rsidRPr="00FA0D37">
        <w:t xml:space="preserve">    mbs-FSAI-InterFreqList-r17               MBS-FSAI-InterFreqList-r17       </w:t>
      </w:r>
      <w:r w:rsidRPr="00FA0D37">
        <w:rPr>
          <w:color w:val="993366"/>
        </w:rPr>
        <w:t>OPTIONAL</w:t>
      </w:r>
      <w:r w:rsidRPr="00FA0D37">
        <w:t xml:space="preserve">,  </w:t>
      </w:r>
      <w:r w:rsidRPr="00FA0D37">
        <w:rPr>
          <w:color w:val="808080"/>
        </w:rPr>
        <w:t>-- Need R</w:t>
      </w:r>
    </w:p>
    <w:p w14:paraId="2ADC3A42" w14:textId="3E58679D" w:rsidR="00214323" w:rsidRPr="00FA0D37" w:rsidRDefault="00214323"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DB3C699" w14:textId="77777777" w:rsidR="00214323" w:rsidRPr="00FA0D37" w:rsidRDefault="00214323" w:rsidP="00FA0D37">
      <w:pPr>
        <w:pStyle w:val="PL"/>
      </w:pPr>
      <w:r w:rsidRPr="00FA0D37">
        <w:t xml:space="preserve">    ...</w:t>
      </w:r>
    </w:p>
    <w:p w14:paraId="54D6C681" w14:textId="77777777" w:rsidR="00214323" w:rsidRPr="00FA0D37" w:rsidRDefault="00214323" w:rsidP="00FA0D37">
      <w:pPr>
        <w:pStyle w:val="PL"/>
      </w:pPr>
      <w:r w:rsidRPr="00FA0D37">
        <w:t>}</w:t>
      </w:r>
    </w:p>
    <w:p w14:paraId="4E8A246B" w14:textId="77777777" w:rsidR="00214323" w:rsidRPr="00FA0D37" w:rsidRDefault="00214323" w:rsidP="00FA0D37">
      <w:pPr>
        <w:pStyle w:val="PL"/>
      </w:pPr>
    </w:p>
    <w:p w14:paraId="24A409BE" w14:textId="58F17881" w:rsidR="00214323" w:rsidRPr="00FA0D37" w:rsidRDefault="00214323" w:rsidP="00FA0D37">
      <w:pPr>
        <w:pStyle w:val="PL"/>
      </w:pPr>
      <w:r w:rsidRPr="00FA0D37">
        <w:t xml:space="preserve">MBS-FSAI-List-r17 ::= </w:t>
      </w:r>
      <w:r w:rsidRPr="00FA0D37">
        <w:rPr>
          <w:color w:val="993366"/>
        </w:rPr>
        <w:t>SEQUENCE</w:t>
      </w:r>
      <w:r w:rsidRPr="00FA0D37">
        <w:t xml:space="preserve"> (</w:t>
      </w:r>
      <w:r w:rsidRPr="00FA0D37">
        <w:rPr>
          <w:color w:val="993366"/>
        </w:rPr>
        <w:t>SIZE</w:t>
      </w:r>
      <w:r w:rsidRPr="00FA0D37">
        <w:t xml:space="preserve"> (1..maxFSAI-MBS-r17))</w:t>
      </w:r>
      <w:r w:rsidRPr="00FA0D37">
        <w:rPr>
          <w:color w:val="993366"/>
        </w:rPr>
        <w:t xml:space="preserve"> OF</w:t>
      </w:r>
      <w:r w:rsidRPr="00FA0D37">
        <w:t xml:space="preserve"> MBS-FSAI-r17</w:t>
      </w:r>
    </w:p>
    <w:p w14:paraId="441694F1" w14:textId="77777777" w:rsidR="00214323" w:rsidRPr="00FA0D37" w:rsidRDefault="00214323" w:rsidP="00FA0D37">
      <w:pPr>
        <w:pStyle w:val="PL"/>
      </w:pPr>
    </w:p>
    <w:p w14:paraId="315CB000" w14:textId="198609B4" w:rsidR="00214323" w:rsidRPr="00FA0D37" w:rsidRDefault="00214323" w:rsidP="00FA0D37">
      <w:pPr>
        <w:pStyle w:val="PL"/>
      </w:pPr>
      <w:r w:rsidRPr="00FA0D37">
        <w:t xml:space="preserve">MBS-FSAI-InterFreqList-r17 ::= </w:t>
      </w:r>
      <w:r w:rsidRPr="00FA0D37">
        <w:rPr>
          <w:color w:val="993366"/>
        </w:rPr>
        <w:t>SEQUENCE</w:t>
      </w:r>
      <w:r w:rsidRPr="00FA0D37">
        <w:t xml:space="preserve"> (</w:t>
      </w:r>
      <w:r w:rsidRPr="00FA0D37">
        <w:rPr>
          <w:color w:val="993366"/>
        </w:rPr>
        <w:t>SIZE</w:t>
      </w:r>
      <w:r w:rsidRPr="00FA0D37">
        <w:t xml:space="preserve"> (1..maxFreq))</w:t>
      </w:r>
      <w:r w:rsidRPr="00FA0D37">
        <w:rPr>
          <w:color w:val="993366"/>
        </w:rPr>
        <w:t xml:space="preserve"> OF</w:t>
      </w:r>
      <w:r w:rsidRPr="00FA0D37">
        <w:t xml:space="preserve"> MBS-FSAI-InterFreq-r17</w:t>
      </w:r>
    </w:p>
    <w:p w14:paraId="4BD8D0A8" w14:textId="77777777" w:rsidR="00214323" w:rsidRPr="00FA0D37" w:rsidRDefault="00214323" w:rsidP="00FA0D37">
      <w:pPr>
        <w:pStyle w:val="PL"/>
      </w:pPr>
    </w:p>
    <w:p w14:paraId="57C9A302" w14:textId="77777777" w:rsidR="00214323" w:rsidRPr="00FA0D37" w:rsidRDefault="00214323" w:rsidP="00FA0D37">
      <w:pPr>
        <w:pStyle w:val="PL"/>
      </w:pPr>
      <w:r w:rsidRPr="00FA0D37">
        <w:t xml:space="preserve">MBS-FSAI-InterFreq-r17 ::= </w:t>
      </w:r>
      <w:r w:rsidRPr="00FA0D37">
        <w:rPr>
          <w:color w:val="993366"/>
        </w:rPr>
        <w:t>SEQUENCE</w:t>
      </w:r>
      <w:r w:rsidRPr="00FA0D37">
        <w:t xml:space="preserve"> {</w:t>
      </w:r>
    </w:p>
    <w:p w14:paraId="6D7F65BB" w14:textId="5898C409" w:rsidR="00214323" w:rsidRPr="00FA0D37" w:rsidRDefault="00214323" w:rsidP="00FA0D37">
      <w:pPr>
        <w:pStyle w:val="PL"/>
      </w:pPr>
      <w:r w:rsidRPr="00FA0D37">
        <w:t xml:space="preserve">    dl-CarrierFreq-r17         ARFCN-ValueNR,</w:t>
      </w:r>
    </w:p>
    <w:p w14:paraId="4B6EA740" w14:textId="4001C526" w:rsidR="00214323" w:rsidRPr="00FA0D37" w:rsidRDefault="00214323" w:rsidP="00FA0D37">
      <w:pPr>
        <w:pStyle w:val="PL"/>
      </w:pPr>
      <w:r w:rsidRPr="00FA0D37">
        <w:t xml:space="preserve">    mbs-FSAI-List-r17          MBS-FSAI-List-r17</w:t>
      </w:r>
    </w:p>
    <w:p w14:paraId="6F1326E0" w14:textId="77777777" w:rsidR="00214323" w:rsidRPr="00FA0D37" w:rsidRDefault="00214323" w:rsidP="00FA0D37">
      <w:pPr>
        <w:pStyle w:val="PL"/>
      </w:pPr>
      <w:r w:rsidRPr="00FA0D37">
        <w:t>}</w:t>
      </w:r>
    </w:p>
    <w:p w14:paraId="4CC75D67" w14:textId="77777777" w:rsidR="00214323" w:rsidRPr="00FA0D37" w:rsidRDefault="00214323" w:rsidP="00FA0D37">
      <w:pPr>
        <w:pStyle w:val="PL"/>
      </w:pPr>
    </w:p>
    <w:p w14:paraId="17572657" w14:textId="77777777" w:rsidR="00214323" w:rsidRPr="00FA0D37" w:rsidRDefault="00214323" w:rsidP="00FA0D37">
      <w:pPr>
        <w:pStyle w:val="PL"/>
      </w:pPr>
      <w:r w:rsidRPr="00FA0D37">
        <w:t xml:space="preserve">MBS-FSAI-r17 ::=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(3))</w:t>
      </w:r>
    </w:p>
    <w:p w14:paraId="05669CFE" w14:textId="77777777" w:rsidR="00214323" w:rsidRPr="00FA0D37" w:rsidRDefault="00214323" w:rsidP="00FA0D37">
      <w:pPr>
        <w:pStyle w:val="PL"/>
      </w:pPr>
    </w:p>
    <w:p w14:paraId="4CA17764" w14:textId="1828310B" w:rsidR="00214323" w:rsidRPr="00FA0D37" w:rsidRDefault="00214323" w:rsidP="00FA0D37">
      <w:pPr>
        <w:pStyle w:val="PL"/>
        <w:rPr>
          <w:color w:val="808080"/>
        </w:rPr>
      </w:pPr>
      <w:r w:rsidRPr="00FA0D37">
        <w:rPr>
          <w:color w:val="808080"/>
        </w:rPr>
        <w:t>-- TAG-</w:t>
      </w:r>
      <w:r w:rsidR="004D393F" w:rsidRPr="00FA0D37">
        <w:rPr>
          <w:color w:val="808080"/>
        </w:rPr>
        <w:t>SIB21</w:t>
      </w:r>
      <w:r w:rsidRPr="00FA0D37">
        <w:rPr>
          <w:color w:val="808080"/>
        </w:rPr>
        <w:t>-STOP</w:t>
      </w:r>
    </w:p>
    <w:p w14:paraId="696E1D3A" w14:textId="77777777" w:rsidR="00214323" w:rsidRPr="00FA0D37" w:rsidRDefault="00214323" w:rsidP="00FA0D37">
      <w:pPr>
        <w:pStyle w:val="PL"/>
        <w:rPr>
          <w:color w:val="808080"/>
        </w:rPr>
      </w:pPr>
      <w:r w:rsidRPr="00FA0D37">
        <w:rPr>
          <w:color w:val="808080"/>
        </w:rPr>
        <w:t>-- ASN1STOP</w:t>
      </w:r>
    </w:p>
    <w:p w14:paraId="202C9A16" w14:textId="77777777" w:rsidR="00214323" w:rsidRPr="00FA0D37" w:rsidRDefault="00214323" w:rsidP="00214323">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5C7FF4" w:rsidRPr="00FA0D37" w14:paraId="6B6781BF" w14:textId="77777777" w:rsidTr="00771058">
        <w:trPr>
          <w:cantSplit/>
          <w:tblHeader/>
        </w:trPr>
        <w:tc>
          <w:tcPr>
            <w:tcW w:w="14204" w:type="dxa"/>
          </w:tcPr>
          <w:p w14:paraId="6A201236" w14:textId="492E797D" w:rsidR="00214323" w:rsidRPr="00FA0D37" w:rsidRDefault="004D393F" w:rsidP="00771058">
            <w:pPr>
              <w:pStyle w:val="TAH"/>
              <w:rPr>
                <w:b w:val="0"/>
                <w:lang w:eastAsia="zh-CN"/>
              </w:rPr>
            </w:pPr>
            <w:r w:rsidRPr="00FA0D37">
              <w:rPr>
                <w:i/>
                <w:iCs/>
                <w:lang w:eastAsia="zh-CN"/>
              </w:rPr>
              <w:t>SIB21</w:t>
            </w:r>
            <w:r w:rsidR="00214323" w:rsidRPr="00FA0D37">
              <w:rPr>
                <w:i/>
                <w:iCs/>
                <w:lang w:eastAsia="zh-CN"/>
              </w:rPr>
              <w:t xml:space="preserve"> </w:t>
            </w:r>
            <w:r w:rsidR="00214323" w:rsidRPr="00FA0D37">
              <w:rPr>
                <w:lang w:eastAsia="zh-CN"/>
              </w:rPr>
              <w:t>field</w:t>
            </w:r>
            <w:r w:rsidR="00214323" w:rsidRPr="00FA0D37">
              <w:rPr>
                <w:iCs/>
                <w:lang w:eastAsia="zh-CN"/>
              </w:rPr>
              <w:t xml:space="preserve"> descriptions</w:t>
            </w:r>
          </w:p>
        </w:tc>
      </w:tr>
      <w:tr w:rsidR="005C7FF4" w:rsidRPr="00FA0D37" w14:paraId="1A251DBD" w14:textId="77777777" w:rsidTr="00771058">
        <w:trPr>
          <w:cantSplit/>
          <w:tblHeader/>
        </w:trPr>
        <w:tc>
          <w:tcPr>
            <w:tcW w:w="14204" w:type="dxa"/>
          </w:tcPr>
          <w:p w14:paraId="7CE97E4F" w14:textId="77777777" w:rsidR="00214323" w:rsidRPr="00FA0D37" w:rsidRDefault="00214323" w:rsidP="00771058">
            <w:pPr>
              <w:pStyle w:val="TAL"/>
              <w:rPr>
                <w:b/>
                <w:bCs/>
                <w:i/>
                <w:lang w:eastAsia="en-GB"/>
              </w:rPr>
            </w:pPr>
            <w:r w:rsidRPr="00FA0D37">
              <w:rPr>
                <w:b/>
                <w:bCs/>
                <w:i/>
                <w:lang w:eastAsia="en-GB"/>
              </w:rPr>
              <w:t>mbs-FSAI-</w:t>
            </w:r>
            <w:r w:rsidRPr="00FA0D37">
              <w:rPr>
                <w:b/>
                <w:bCs/>
                <w:i/>
                <w:iCs/>
                <w:lang w:eastAsia="zh-CN"/>
              </w:rPr>
              <w:t>InterFreqList</w:t>
            </w:r>
          </w:p>
          <w:p w14:paraId="249F9BB4" w14:textId="77777777" w:rsidR="00214323" w:rsidRPr="00FA0D37" w:rsidRDefault="00214323" w:rsidP="00771058">
            <w:pPr>
              <w:pStyle w:val="TAL"/>
              <w:rPr>
                <w:iCs/>
                <w:lang w:eastAsia="en-GB"/>
              </w:rPr>
            </w:pPr>
            <w:r w:rsidRPr="00FA0D37">
              <w:rPr>
                <w:lang w:eastAsia="en-GB"/>
              </w:rPr>
              <w:t>Contains</w:t>
            </w:r>
            <w:r w:rsidRPr="00FA0D37">
              <w:rPr>
                <w:iCs/>
                <w:lang w:eastAsia="en-GB"/>
              </w:rPr>
              <w:t xml:space="preserve"> a list of neighboring frequencies including additional bands, if any, that provide MBS services and the corresponding MBS FSAIs.</w:t>
            </w:r>
          </w:p>
        </w:tc>
      </w:tr>
      <w:tr w:rsidR="000830BB" w:rsidRPr="00FA0D37" w14:paraId="10633297" w14:textId="77777777" w:rsidTr="00771058">
        <w:trPr>
          <w:cantSplit/>
          <w:tblHeader/>
        </w:trPr>
        <w:tc>
          <w:tcPr>
            <w:tcW w:w="14204" w:type="dxa"/>
          </w:tcPr>
          <w:p w14:paraId="1CF28ADE" w14:textId="77777777" w:rsidR="00214323" w:rsidRPr="00FA0D37" w:rsidRDefault="00214323" w:rsidP="00771058">
            <w:pPr>
              <w:pStyle w:val="TAL"/>
              <w:rPr>
                <w:b/>
                <w:bCs/>
                <w:i/>
                <w:lang w:eastAsia="en-GB"/>
              </w:rPr>
            </w:pPr>
            <w:r w:rsidRPr="00FA0D37">
              <w:rPr>
                <w:b/>
                <w:bCs/>
                <w:i/>
                <w:lang w:eastAsia="en-GB"/>
              </w:rPr>
              <w:t>mbs-FSAI-</w:t>
            </w:r>
            <w:r w:rsidRPr="00FA0D37">
              <w:rPr>
                <w:b/>
                <w:bCs/>
                <w:i/>
                <w:iCs/>
                <w:lang w:eastAsia="zh-CN"/>
              </w:rPr>
              <w:t>IntraFreq</w:t>
            </w:r>
          </w:p>
          <w:p w14:paraId="1FC62AC3" w14:textId="77777777" w:rsidR="00214323" w:rsidRPr="00FA0D37" w:rsidRDefault="00214323" w:rsidP="00771058">
            <w:pPr>
              <w:pStyle w:val="TAL"/>
              <w:rPr>
                <w:b/>
                <w:bCs/>
                <w:i/>
                <w:lang w:eastAsia="en-GB"/>
              </w:rPr>
            </w:pPr>
            <w:r w:rsidRPr="00FA0D37">
              <w:rPr>
                <w:lang w:eastAsia="en-GB"/>
              </w:rPr>
              <w:t xml:space="preserve">Contains the list of MBS FSAIs for the current frequency. For MBS service continuity, the UE shall use all MBS FSAIs listed in </w:t>
            </w:r>
            <w:r w:rsidRPr="00FA0D37">
              <w:rPr>
                <w:i/>
                <w:lang w:eastAsia="en-GB"/>
              </w:rPr>
              <w:t>mbs-FSAI-IntraFreq</w:t>
            </w:r>
            <w:r w:rsidRPr="00FA0D37">
              <w:rPr>
                <w:lang w:eastAsia="en-GB"/>
              </w:rPr>
              <w:t xml:space="preserve"> to derive the MBS frequencies of interest.</w:t>
            </w:r>
          </w:p>
        </w:tc>
      </w:tr>
    </w:tbl>
    <w:p w14:paraId="11369B3E" w14:textId="77777777" w:rsidR="00EF781F" w:rsidRDefault="00EF781F" w:rsidP="00EF781F">
      <w:pPr>
        <w:rPr>
          <w:rFonts w:eastAsia="Yu Mincho"/>
        </w:rPr>
      </w:pPr>
      <w:bookmarkStart w:id="805" w:name="_Toc60777154"/>
      <w:bookmarkStart w:id="806" w:name="_Toc146781198"/>
    </w:p>
    <w:p w14:paraId="76EE42A8" w14:textId="77777777" w:rsidR="00EF781F" w:rsidRDefault="00EF781F" w:rsidP="00EF781F">
      <w:pPr>
        <w:pStyle w:val="4"/>
        <w:rPr>
          <w:ins w:id="807" w:author="Huawei, HiSilicon" w:date="2023-11-02T14:40:00Z"/>
          <w:lang w:eastAsia="zh-CN"/>
        </w:rPr>
      </w:pPr>
      <w:ins w:id="808" w:author="Huawei, HiSilicon" w:date="2023-11-02T14:40:00Z">
        <w:r>
          <w:rPr>
            <w:lang w:eastAsia="zh-CN"/>
          </w:rPr>
          <w:t>–</w:t>
        </w:r>
        <w:r>
          <w:rPr>
            <w:lang w:eastAsia="zh-CN"/>
          </w:rPr>
          <w:tab/>
        </w:r>
        <w:r w:rsidRPr="00EF781F">
          <w:rPr>
            <w:i/>
            <w:lang w:eastAsia="zh-CN"/>
          </w:rPr>
          <w:t>SIBx</w:t>
        </w:r>
      </w:ins>
    </w:p>
    <w:p w14:paraId="2D801C85" w14:textId="77777777" w:rsidR="00EF781F" w:rsidRDefault="00EF781F" w:rsidP="00EF781F">
      <w:pPr>
        <w:rPr>
          <w:ins w:id="809" w:author="Huawei, HiSilicon" w:date="2023-11-02T14:40:00Z"/>
          <w:lang w:eastAsia="zh-CN"/>
        </w:rPr>
      </w:pPr>
      <w:ins w:id="810" w:author="Huawei, HiSilicon" w:date="2023-11-02T14:40:00Z">
        <w:r>
          <w:rPr>
            <w:i/>
            <w:lang w:eastAsia="zh-CN"/>
          </w:rPr>
          <w:t>SIBx</w:t>
        </w:r>
        <w:r>
          <w:rPr>
            <w:iCs/>
            <w:lang w:eastAsia="zh-CN"/>
          </w:rPr>
          <w:t xml:space="preserve"> contains the information required to acquire the multicast MCCH/MTCH configuration for MBS multicast reception in RRC_INACTIVE</w:t>
        </w:r>
        <w:r>
          <w:rPr>
            <w:lang w:eastAsia="zh-CN"/>
          </w:rPr>
          <w:t>.</w:t>
        </w:r>
      </w:ins>
    </w:p>
    <w:p w14:paraId="26D2ECF7" w14:textId="77777777" w:rsidR="00EF781F" w:rsidRPr="00EF781F" w:rsidRDefault="00EF781F" w:rsidP="00EF781F">
      <w:pPr>
        <w:pStyle w:val="TH"/>
        <w:rPr>
          <w:ins w:id="811" w:author="Huawei, HiSilicon" w:date="2023-11-02T14:40:00Z"/>
          <w:bCs/>
          <w:i/>
          <w:iCs/>
        </w:rPr>
      </w:pPr>
      <w:ins w:id="812" w:author="Huawei, HiSilicon" w:date="2023-11-02T14:40:00Z">
        <w:r w:rsidRPr="00EF781F">
          <w:rPr>
            <w:bCs/>
            <w:i/>
            <w:iCs/>
          </w:rPr>
          <w:t>SIBx information element</w:t>
        </w:r>
      </w:ins>
    </w:p>
    <w:p w14:paraId="04D9809F" w14:textId="77777777" w:rsidR="00EF781F" w:rsidRPr="008D7C7E" w:rsidRDefault="00EF781F" w:rsidP="00EF781F">
      <w:pPr>
        <w:pStyle w:val="PL"/>
        <w:rPr>
          <w:ins w:id="813" w:author="Huawei, HiSilicon" w:date="2023-11-02T14:40:00Z"/>
          <w:color w:val="808080"/>
        </w:rPr>
      </w:pPr>
      <w:ins w:id="814" w:author="Huawei, HiSilicon" w:date="2023-11-02T14:40:00Z">
        <w:r w:rsidRPr="008D7C7E">
          <w:rPr>
            <w:color w:val="808080"/>
          </w:rPr>
          <w:t>-- ASN1START</w:t>
        </w:r>
      </w:ins>
    </w:p>
    <w:p w14:paraId="272812C7" w14:textId="77777777" w:rsidR="00EF781F" w:rsidRPr="008D7C7E" w:rsidRDefault="00EF781F" w:rsidP="00EF781F">
      <w:pPr>
        <w:pStyle w:val="PL"/>
        <w:rPr>
          <w:ins w:id="815" w:author="Huawei, HiSilicon" w:date="2023-11-02T14:40:00Z"/>
          <w:color w:val="808080"/>
        </w:rPr>
      </w:pPr>
      <w:ins w:id="816" w:author="Huawei, HiSilicon" w:date="2023-11-02T14:40:00Z">
        <w:r w:rsidRPr="008D7C7E">
          <w:rPr>
            <w:color w:val="808080"/>
          </w:rPr>
          <w:t>-- TAG-SIB</w:t>
        </w:r>
      </w:ins>
      <w:ins w:id="817" w:author="Huawei, HiSilicon" w:date="2023-12-04T20:01:00Z">
        <w:r w:rsidRPr="008D7C7E">
          <w:rPr>
            <w:color w:val="808080"/>
          </w:rPr>
          <w:t>X</w:t>
        </w:r>
      </w:ins>
      <w:ins w:id="818" w:author="Huawei, HiSilicon" w:date="2023-11-02T14:40:00Z">
        <w:r w:rsidRPr="008D7C7E">
          <w:rPr>
            <w:color w:val="808080"/>
          </w:rPr>
          <w:t>-START</w:t>
        </w:r>
      </w:ins>
    </w:p>
    <w:p w14:paraId="47652CEA" w14:textId="77777777" w:rsidR="00EF781F" w:rsidRDefault="00EF781F" w:rsidP="00EF781F">
      <w:pPr>
        <w:pStyle w:val="PL"/>
        <w:rPr>
          <w:ins w:id="819" w:author="Huawei, HiSilicon" w:date="2023-11-02T14:40:00Z"/>
        </w:rPr>
      </w:pPr>
    </w:p>
    <w:p w14:paraId="0F78F7EF" w14:textId="77777777" w:rsidR="00EF781F" w:rsidRDefault="00EF781F" w:rsidP="00EF781F">
      <w:pPr>
        <w:pStyle w:val="PL"/>
        <w:rPr>
          <w:ins w:id="820" w:author="Huawei, HiSilicon" w:date="2023-11-02T14:40:00Z"/>
        </w:rPr>
      </w:pPr>
      <w:ins w:id="821" w:author="Huawei, HiSilicon" w:date="2023-11-02T14:40:00Z">
        <w:r>
          <w:t>SIBx-r18 ::=</w:t>
        </w:r>
        <w:r>
          <w:tab/>
        </w:r>
        <w:r>
          <w:rPr>
            <w:color w:val="993366"/>
          </w:rPr>
          <w:t>SEQUENCE</w:t>
        </w:r>
        <w:r>
          <w:t xml:space="preserve"> {</w:t>
        </w:r>
      </w:ins>
    </w:p>
    <w:p w14:paraId="2ECC4705" w14:textId="77777777" w:rsidR="00EF781F" w:rsidRDefault="00EF781F" w:rsidP="00EF781F">
      <w:pPr>
        <w:pStyle w:val="PL"/>
        <w:rPr>
          <w:ins w:id="822" w:author="Huawei, HiSilicon" w:date="2023-11-02T14:40:00Z"/>
        </w:rPr>
      </w:pPr>
      <w:ins w:id="823" w:author="Huawei, HiSilicon" w:date="2023-11-02T14:40:00Z">
        <w:r>
          <w:t xml:space="preserve">    multicastMCCH-Config-r18       MCCH-Config-r17,</w:t>
        </w:r>
      </w:ins>
    </w:p>
    <w:p w14:paraId="6DCD5152" w14:textId="77777777" w:rsidR="00EF781F" w:rsidRDefault="00EF781F" w:rsidP="00EF781F">
      <w:pPr>
        <w:pStyle w:val="PL"/>
        <w:rPr>
          <w:ins w:id="824" w:author="Huawei, HiSilicon" w:date="2023-11-02T14:40:00Z"/>
        </w:rPr>
      </w:pPr>
      <w:ins w:id="825" w:author="Huawei, HiSilicon" w:date="2023-11-02T14:40:00Z">
        <w:r>
          <w:t xml:space="preserve">    cfr-ConfigMCCH-MTCH-r18      </w:t>
        </w:r>
      </w:ins>
      <w:ins w:id="826" w:author="Huawei, HiSilicon" w:date="2023-11-02T14:54:00Z">
        <w:r>
          <w:t xml:space="preserve"> </w:t>
        </w:r>
      </w:ins>
      <w:ins w:id="827" w:author="Huawei, HiSilicon" w:date="2023-11-02T14:40:00Z">
        <w:r>
          <w:t xml:space="preserve"> CFR-ConfigMCCH-MTCH-r17 </w:t>
        </w:r>
        <w:r>
          <w:rPr>
            <w:color w:val="993366"/>
          </w:rPr>
          <w:t>OPTIONAL</w:t>
        </w:r>
        <w:r>
          <w:t>,  -- Need S</w:t>
        </w:r>
      </w:ins>
    </w:p>
    <w:p w14:paraId="78B5B411" w14:textId="77777777" w:rsidR="00EF781F" w:rsidRDefault="00EF781F" w:rsidP="00EF781F">
      <w:pPr>
        <w:pStyle w:val="PL"/>
        <w:rPr>
          <w:ins w:id="828" w:author="Huawei, HiSilicon" w:date="2023-11-02T14:40:00Z"/>
        </w:rPr>
      </w:pPr>
      <w:ins w:id="829" w:author="Huawei, HiSilicon" w:date="2023-11-02T14:40:00Z">
        <w:r>
          <w:t xml:space="preserve">    lateNonCriticalExtension       </w:t>
        </w:r>
        <w:r>
          <w:rPr>
            <w:color w:val="993366"/>
          </w:rPr>
          <w:t>OCTET</w:t>
        </w:r>
        <w:r>
          <w:t xml:space="preserve"> </w:t>
        </w:r>
        <w:r>
          <w:rPr>
            <w:color w:val="993366"/>
          </w:rPr>
          <w:t>STRING</w:t>
        </w:r>
        <w:r>
          <w:t xml:space="preserve">            </w:t>
        </w:r>
        <w:r>
          <w:rPr>
            <w:color w:val="993366"/>
          </w:rPr>
          <w:t>OPTIONAL</w:t>
        </w:r>
        <w:r>
          <w:t>,</w:t>
        </w:r>
      </w:ins>
    </w:p>
    <w:p w14:paraId="6DC9E4FD" w14:textId="77777777" w:rsidR="00EF781F" w:rsidRDefault="00EF781F" w:rsidP="00EF781F">
      <w:pPr>
        <w:pStyle w:val="PL"/>
        <w:rPr>
          <w:ins w:id="830" w:author="Huawei, HiSilicon" w:date="2023-11-02T14:40:00Z"/>
        </w:rPr>
      </w:pPr>
      <w:ins w:id="831" w:author="Huawei, HiSilicon" w:date="2023-11-02T14:40:00Z">
        <w:r>
          <w:t xml:space="preserve">    ...</w:t>
        </w:r>
      </w:ins>
    </w:p>
    <w:p w14:paraId="75629EA4" w14:textId="77777777" w:rsidR="00EF781F" w:rsidRDefault="00EF781F" w:rsidP="00EF781F">
      <w:pPr>
        <w:pStyle w:val="PL"/>
        <w:rPr>
          <w:ins w:id="832" w:author="Huawei, HiSilicon" w:date="2023-11-02T14:40:00Z"/>
        </w:rPr>
      </w:pPr>
      <w:ins w:id="833" w:author="Huawei, HiSilicon" w:date="2023-11-02T14:40:00Z">
        <w:r>
          <w:t>}</w:t>
        </w:r>
      </w:ins>
    </w:p>
    <w:p w14:paraId="636CE699" w14:textId="77777777" w:rsidR="00EF781F" w:rsidRDefault="00EF781F" w:rsidP="00EF781F">
      <w:pPr>
        <w:pStyle w:val="PL"/>
        <w:rPr>
          <w:ins w:id="834" w:author="Huawei, HiSilicon" w:date="2023-11-02T14:40:00Z"/>
        </w:rPr>
      </w:pPr>
    </w:p>
    <w:p w14:paraId="63D76082" w14:textId="77777777" w:rsidR="00EF781F" w:rsidRPr="008D7C7E" w:rsidRDefault="00EF781F" w:rsidP="00EF781F">
      <w:pPr>
        <w:pStyle w:val="PL"/>
        <w:rPr>
          <w:ins w:id="835" w:author="Huawei, HiSilicon" w:date="2023-11-02T14:40:00Z"/>
          <w:color w:val="808080"/>
        </w:rPr>
      </w:pPr>
      <w:ins w:id="836" w:author="Huawei, HiSilicon" w:date="2023-11-02T14:40:00Z">
        <w:r w:rsidRPr="008D7C7E">
          <w:rPr>
            <w:color w:val="808080"/>
          </w:rPr>
          <w:t>-- TAG-SIB</w:t>
        </w:r>
      </w:ins>
      <w:ins w:id="837" w:author="Huawei, HiSilicon" w:date="2023-12-04T20:01:00Z">
        <w:r w:rsidRPr="008D7C7E">
          <w:rPr>
            <w:color w:val="808080"/>
          </w:rPr>
          <w:t>X</w:t>
        </w:r>
      </w:ins>
      <w:ins w:id="838" w:author="Huawei, HiSilicon" w:date="2023-11-02T14:40:00Z">
        <w:r w:rsidRPr="008D7C7E">
          <w:rPr>
            <w:color w:val="808080"/>
          </w:rPr>
          <w:t>-STOP</w:t>
        </w:r>
      </w:ins>
    </w:p>
    <w:p w14:paraId="589E4EC4" w14:textId="77777777" w:rsidR="00EF781F" w:rsidRPr="008D7C7E" w:rsidRDefault="00EF781F" w:rsidP="00EF781F">
      <w:pPr>
        <w:pStyle w:val="PL"/>
        <w:rPr>
          <w:ins w:id="839" w:author="Huawei, HiSilicon" w:date="2023-11-02T14:40:00Z"/>
          <w:color w:val="808080"/>
        </w:rPr>
      </w:pPr>
      <w:ins w:id="840" w:author="Huawei, HiSilicon" w:date="2023-11-02T14:40:00Z">
        <w:r w:rsidRPr="008D7C7E">
          <w:rPr>
            <w:color w:val="808080"/>
          </w:rPr>
          <w:t>-- ASN1STOP</w:t>
        </w:r>
      </w:ins>
    </w:p>
    <w:p w14:paraId="4C40927D" w14:textId="77777777" w:rsidR="00EF781F" w:rsidRDefault="00EF781F" w:rsidP="00EF781F">
      <w:pPr>
        <w:rPr>
          <w:ins w:id="841" w:author="Huawei, HiSilicon" w:date="2023-11-02T14:40:00Z"/>
          <w:rFonts w:ascii="Courier New" w:hAnsi="Courier New"/>
          <w:sz w:val="16"/>
          <w:lang w:eastAsia="en-GB"/>
        </w:rPr>
      </w:pPr>
    </w:p>
    <w:p w14:paraId="6440A4B8" w14:textId="77777777" w:rsidR="00EF781F" w:rsidRDefault="00EF781F" w:rsidP="00EF781F">
      <w:pPr>
        <w:rPr>
          <w:ins w:id="842" w:author="Huawei, HiSilicon" w:date="2023-11-02T14:40:00Z"/>
          <w:rFonts w:ascii="Courier New" w:hAnsi="Courier New"/>
          <w:sz w:val="16"/>
          <w:lang w:eastAsia="en-GB"/>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781F" w14:paraId="44F80824" w14:textId="77777777" w:rsidTr="00EF781F">
        <w:trPr>
          <w:cantSplit/>
          <w:tblHeader/>
          <w:ins w:id="843"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1EFC027C" w14:textId="77777777" w:rsidR="00EF781F" w:rsidRDefault="00EF781F">
            <w:pPr>
              <w:keepNext/>
              <w:keepLines/>
              <w:spacing w:after="0"/>
              <w:jc w:val="center"/>
              <w:rPr>
                <w:ins w:id="844" w:author="Huawei, HiSilicon" w:date="2023-11-02T14:40:00Z"/>
                <w:rFonts w:ascii="Arial" w:hAnsi="Arial" w:cs="Arial"/>
                <w:b/>
                <w:sz w:val="18"/>
                <w:szCs w:val="18"/>
                <w:lang w:eastAsia="zh-CN"/>
              </w:rPr>
            </w:pPr>
            <w:ins w:id="845" w:author="Huawei, HiSilicon" w:date="2023-11-02T14:40:00Z">
              <w:r>
                <w:rPr>
                  <w:rFonts w:ascii="Arial" w:hAnsi="Arial" w:cs="Arial"/>
                  <w:b/>
                  <w:i/>
                  <w:sz w:val="18"/>
                  <w:szCs w:val="18"/>
                  <w:lang w:eastAsia="zh-CN"/>
                </w:rPr>
                <w:t xml:space="preserve">SIBx </w:t>
              </w:r>
              <w:r>
                <w:rPr>
                  <w:rFonts w:ascii="Arial" w:hAnsi="Arial" w:cs="Arial"/>
                  <w:b/>
                  <w:sz w:val="18"/>
                  <w:szCs w:val="18"/>
                  <w:lang w:eastAsia="zh-CN"/>
                </w:rPr>
                <w:t>field descriptions</w:t>
              </w:r>
            </w:ins>
          </w:p>
        </w:tc>
      </w:tr>
      <w:tr w:rsidR="00EF781F" w14:paraId="44CB776D" w14:textId="77777777" w:rsidTr="00EF781F">
        <w:trPr>
          <w:cantSplit/>
          <w:tblHeader/>
          <w:ins w:id="846"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7A5D36A6" w14:textId="77777777" w:rsidR="00EF781F" w:rsidRDefault="00EF781F">
            <w:pPr>
              <w:keepNext/>
              <w:keepLines/>
              <w:spacing w:after="0"/>
              <w:rPr>
                <w:ins w:id="847" w:author="Huawei, HiSilicon" w:date="2023-11-02T14:40:00Z"/>
                <w:rFonts w:ascii="Arial" w:hAnsi="Arial" w:cs="Arial"/>
                <w:b/>
                <w:bCs/>
                <w:i/>
                <w:sz w:val="18"/>
                <w:szCs w:val="18"/>
              </w:rPr>
            </w:pPr>
            <w:ins w:id="848" w:author="Huawei, HiSilicon" w:date="2023-11-02T14:40:00Z">
              <w:r>
                <w:rPr>
                  <w:rFonts w:ascii="Arial" w:hAnsi="Arial" w:cs="Arial"/>
                  <w:b/>
                  <w:bCs/>
                  <w:i/>
                  <w:sz w:val="18"/>
                  <w:szCs w:val="18"/>
                </w:rPr>
                <w:t>cfr-</w:t>
              </w:r>
              <w:r>
                <w:rPr>
                  <w:rFonts w:ascii="Arial" w:hAnsi="Arial" w:cs="Arial"/>
                  <w:b/>
                  <w:bCs/>
                  <w:i/>
                  <w:iCs/>
                  <w:sz w:val="18"/>
                  <w:szCs w:val="18"/>
                  <w:lang w:eastAsia="zh-CN"/>
                </w:rPr>
                <w:t>ConfigMCCH</w:t>
              </w:r>
              <w:r>
                <w:rPr>
                  <w:rFonts w:ascii="Arial" w:hAnsi="Arial" w:cs="Arial"/>
                  <w:b/>
                  <w:bCs/>
                  <w:i/>
                  <w:sz w:val="18"/>
                  <w:szCs w:val="18"/>
                </w:rPr>
                <w:t>-MTCH</w:t>
              </w:r>
            </w:ins>
          </w:p>
          <w:p w14:paraId="65067BE2" w14:textId="77777777" w:rsidR="00EF781F" w:rsidRDefault="00EF781F">
            <w:pPr>
              <w:keepNext/>
              <w:keepLines/>
              <w:spacing w:after="0"/>
              <w:rPr>
                <w:ins w:id="849" w:author="Huawei, HiSilicon" w:date="2023-11-02T14:40:00Z"/>
                <w:rFonts w:ascii="Arial" w:hAnsi="Arial" w:cs="Arial"/>
                <w:sz w:val="18"/>
                <w:szCs w:val="18"/>
                <w:lang w:eastAsia="zh-CN"/>
              </w:rPr>
            </w:pPr>
            <w:ins w:id="850" w:author="Huawei, HiSilicon" w:date="2023-11-02T14:40:00Z">
              <w:r>
                <w:rPr>
                  <w:rFonts w:ascii="Arial" w:hAnsi="Arial" w:cs="Arial"/>
                  <w:sz w:val="18"/>
                  <w:szCs w:val="18"/>
                  <w:lang w:eastAsia="en-GB"/>
                </w:rPr>
                <w:t xml:space="preserve">Common frequency resource used for multicast MCCH and multicast MTCH reception. If the field is absent, the CFR for multicast has the same location and size as CORESET#0 and PDSCH configuration of MCCH is the same as PDSCH configuration provided in </w:t>
              </w:r>
              <w:r>
                <w:rPr>
                  <w:rFonts w:ascii="Arial" w:hAnsi="Arial" w:cs="Arial"/>
                  <w:i/>
                  <w:sz w:val="18"/>
                  <w:szCs w:val="18"/>
                </w:rPr>
                <w:t>initialDownlinkBWP</w:t>
              </w:r>
              <w:r>
                <w:rPr>
                  <w:rFonts w:ascii="Arial" w:hAnsi="Arial" w:cs="Arial"/>
                  <w:sz w:val="18"/>
                  <w:szCs w:val="18"/>
                  <w:lang w:eastAsia="en-GB"/>
                </w:rPr>
                <w:t xml:space="preserve"> in </w:t>
              </w:r>
              <w:r>
                <w:rPr>
                  <w:rFonts w:ascii="Arial" w:hAnsi="Arial" w:cs="Arial"/>
                  <w:i/>
                  <w:sz w:val="18"/>
                  <w:szCs w:val="18"/>
                  <w:lang w:eastAsia="en-GB"/>
                </w:rPr>
                <w:t>SIB1</w:t>
              </w:r>
              <w:r>
                <w:rPr>
                  <w:rFonts w:ascii="Arial" w:hAnsi="Arial" w:cs="Arial"/>
                  <w:sz w:val="18"/>
                  <w:szCs w:val="18"/>
                  <w:lang w:eastAsia="en-GB"/>
                </w:rPr>
                <w:t>.</w:t>
              </w:r>
            </w:ins>
          </w:p>
        </w:tc>
      </w:tr>
      <w:tr w:rsidR="00EF781F" w14:paraId="10CA72EB" w14:textId="77777777" w:rsidTr="00EF781F">
        <w:trPr>
          <w:cantSplit/>
          <w:tblHeader/>
          <w:ins w:id="851"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4CB160C5" w14:textId="77777777" w:rsidR="00EF781F" w:rsidRDefault="00EF781F">
            <w:pPr>
              <w:keepNext/>
              <w:keepLines/>
              <w:spacing w:after="0"/>
              <w:rPr>
                <w:ins w:id="852" w:author="Huawei, HiSilicon" w:date="2023-11-02T14:40:00Z"/>
                <w:rFonts w:ascii="Arial" w:hAnsi="Arial" w:cs="Arial"/>
                <w:b/>
                <w:bCs/>
                <w:i/>
                <w:sz w:val="18"/>
                <w:szCs w:val="18"/>
              </w:rPr>
            </w:pPr>
            <w:ins w:id="853" w:author="Huawei, HiSilicon" w:date="2023-11-02T14:40:00Z">
              <w:r>
                <w:rPr>
                  <w:rFonts w:ascii="Arial" w:hAnsi="Arial" w:cs="Arial"/>
                  <w:b/>
                  <w:bCs/>
                  <w:i/>
                  <w:sz w:val="18"/>
                  <w:szCs w:val="18"/>
                </w:rPr>
                <w:t>multicastMCCH-Config</w:t>
              </w:r>
            </w:ins>
          </w:p>
          <w:p w14:paraId="4BDA4D0B" w14:textId="77777777" w:rsidR="00EF781F" w:rsidRDefault="00EF781F">
            <w:pPr>
              <w:keepNext/>
              <w:keepLines/>
              <w:spacing w:after="0"/>
              <w:rPr>
                <w:ins w:id="854" w:author="Huawei, HiSilicon" w:date="2023-11-02T14:40:00Z"/>
                <w:rFonts w:ascii="Arial" w:hAnsi="Arial" w:cs="Arial"/>
                <w:b/>
                <w:bCs/>
                <w:i/>
                <w:sz w:val="18"/>
                <w:szCs w:val="18"/>
              </w:rPr>
            </w:pPr>
            <w:ins w:id="855" w:author="Huawei, HiSilicon" w:date="2023-11-02T14:40:00Z">
              <w:r>
                <w:rPr>
                  <w:rFonts w:ascii="Arial" w:eastAsia="Calibri" w:hAnsi="Arial" w:cs="Arial"/>
                  <w:sz w:val="18"/>
                  <w:szCs w:val="18"/>
                  <w:lang w:eastAsia="sv-SE"/>
                </w:rPr>
                <w:t>Indicates MCCH configuration for MBS multicast reception in RRC_INACTIVE.</w:t>
              </w:r>
            </w:ins>
          </w:p>
        </w:tc>
      </w:tr>
    </w:tbl>
    <w:p w14:paraId="41A765A2" w14:textId="77777777" w:rsidR="00EF781F" w:rsidRDefault="00EF781F" w:rsidP="00EF781F">
      <w:pPr>
        <w:rPr>
          <w:rFonts w:eastAsia="Yu Mincho"/>
        </w:rPr>
      </w:pPr>
    </w:p>
    <w:p w14:paraId="37BA8B62" w14:textId="77777777" w:rsidR="00394471" w:rsidRPr="00FA0D37" w:rsidRDefault="00394471" w:rsidP="00394471">
      <w:pPr>
        <w:pStyle w:val="3"/>
      </w:pPr>
      <w:r w:rsidRPr="00FA0D37">
        <w:t>6.3.1a</w:t>
      </w:r>
      <w:r w:rsidRPr="00FA0D37">
        <w:tab/>
        <w:t>Positioning System information blocks</w:t>
      </w:r>
      <w:bookmarkEnd w:id="805"/>
      <w:bookmarkEnd w:id="806"/>
    </w:p>
    <w:p w14:paraId="0A82122F" w14:textId="77777777" w:rsidR="00394471" w:rsidRPr="00FA0D37" w:rsidRDefault="00394471" w:rsidP="00394471">
      <w:pPr>
        <w:pStyle w:val="4"/>
      </w:pPr>
      <w:bookmarkStart w:id="856" w:name="_Toc60777155"/>
      <w:bookmarkStart w:id="857" w:name="_Toc146781199"/>
      <w:r w:rsidRPr="00FA0D37">
        <w:rPr>
          <w:rFonts w:eastAsia="宋体"/>
        </w:rPr>
        <w:t>–</w:t>
      </w:r>
      <w:r w:rsidRPr="00FA0D37">
        <w:rPr>
          <w:rFonts w:eastAsia="宋体"/>
        </w:rPr>
        <w:tab/>
      </w:r>
      <w:r w:rsidRPr="00FA0D37">
        <w:rPr>
          <w:i/>
        </w:rPr>
        <w:t>PosSystemInformation-r16-IEs</w:t>
      </w:r>
      <w:bookmarkEnd w:id="856"/>
      <w:bookmarkEnd w:id="857"/>
    </w:p>
    <w:p w14:paraId="3B0057E9" w14:textId="77777777" w:rsidR="00394471" w:rsidRPr="00FA0D37" w:rsidRDefault="00394471" w:rsidP="00FA0D37">
      <w:pPr>
        <w:pStyle w:val="PL"/>
        <w:rPr>
          <w:color w:val="808080"/>
        </w:rPr>
      </w:pPr>
      <w:r w:rsidRPr="00FA0D37">
        <w:rPr>
          <w:color w:val="808080"/>
        </w:rPr>
        <w:t>-- ASN1START</w:t>
      </w:r>
    </w:p>
    <w:p w14:paraId="17396063" w14:textId="77777777" w:rsidR="00394471" w:rsidRPr="00FA0D37" w:rsidRDefault="00394471" w:rsidP="00FA0D37">
      <w:pPr>
        <w:pStyle w:val="PL"/>
        <w:rPr>
          <w:color w:val="808080"/>
        </w:rPr>
      </w:pPr>
      <w:r w:rsidRPr="00FA0D37">
        <w:rPr>
          <w:color w:val="808080"/>
        </w:rPr>
        <w:t>-- TAG-POSSYSTEMINFORMATION-R16-IES-START</w:t>
      </w:r>
    </w:p>
    <w:p w14:paraId="0F33682C" w14:textId="77777777" w:rsidR="00394471" w:rsidRPr="00FA0D37" w:rsidRDefault="00394471" w:rsidP="00FA0D37">
      <w:pPr>
        <w:pStyle w:val="PL"/>
      </w:pPr>
    </w:p>
    <w:p w14:paraId="423007EC" w14:textId="77777777" w:rsidR="00394471" w:rsidRPr="00FA0D37" w:rsidRDefault="00394471" w:rsidP="00FA0D37">
      <w:pPr>
        <w:pStyle w:val="PL"/>
      </w:pPr>
      <w:r w:rsidRPr="00FA0D37">
        <w:t xml:space="preserve">PosSystemInformation-r16-IEs ::= </w:t>
      </w:r>
      <w:r w:rsidRPr="00FA0D37">
        <w:rPr>
          <w:color w:val="993366"/>
        </w:rPr>
        <w:t>SEQUENCE</w:t>
      </w:r>
      <w:r w:rsidRPr="00FA0D37">
        <w:t xml:space="preserve"> {</w:t>
      </w:r>
    </w:p>
    <w:p w14:paraId="47ACBB74" w14:textId="77777777" w:rsidR="00394471" w:rsidRPr="00FA0D37" w:rsidRDefault="00394471" w:rsidP="00FA0D37">
      <w:pPr>
        <w:pStyle w:val="PL"/>
      </w:pPr>
      <w:r w:rsidRPr="00FA0D37">
        <w:t xml:space="preserve">    posSIB-TypeAndInfo-r16           </w:t>
      </w:r>
      <w:r w:rsidRPr="00FA0D37">
        <w:rPr>
          <w:color w:val="993366"/>
        </w:rPr>
        <w:t>SEQUENCE</w:t>
      </w:r>
      <w:r w:rsidRPr="00FA0D37">
        <w:t xml:space="preserve"> (</w:t>
      </w:r>
      <w:r w:rsidRPr="00FA0D37">
        <w:rPr>
          <w:color w:val="993366"/>
        </w:rPr>
        <w:t>SIZE</w:t>
      </w:r>
      <w:r w:rsidRPr="00FA0D37">
        <w:t xml:space="preserve"> (1..maxSIB))</w:t>
      </w:r>
      <w:r w:rsidRPr="00FA0D37">
        <w:rPr>
          <w:color w:val="993366"/>
        </w:rPr>
        <w:t xml:space="preserve"> OF</w:t>
      </w:r>
      <w:r w:rsidRPr="00FA0D37">
        <w:t xml:space="preserve"> </w:t>
      </w:r>
      <w:r w:rsidRPr="00FA0D37">
        <w:rPr>
          <w:color w:val="993366"/>
        </w:rPr>
        <w:t>CHOICE</w:t>
      </w:r>
      <w:r w:rsidRPr="00FA0D37">
        <w:t xml:space="preserve"> {</w:t>
      </w:r>
    </w:p>
    <w:p w14:paraId="48A03F5C" w14:textId="77777777" w:rsidR="00394471" w:rsidRPr="00FA0D37" w:rsidRDefault="00394471" w:rsidP="00FA0D37">
      <w:pPr>
        <w:pStyle w:val="PL"/>
      </w:pPr>
      <w:r w:rsidRPr="00FA0D37">
        <w:t xml:space="preserve">        posSib1-1-r16                    SIBpos-r16,</w:t>
      </w:r>
    </w:p>
    <w:p w14:paraId="46AB8DAE" w14:textId="77777777" w:rsidR="00394471" w:rsidRPr="00FA0D37" w:rsidRDefault="00394471" w:rsidP="00FA0D37">
      <w:pPr>
        <w:pStyle w:val="PL"/>
      </w:pPr>
      <w:r w:rsidRPr="00FA0D37">
        <w:t xml:space="preserve">        posSib1-2-r16                    SIBpos-r16,</w:t>
      </w:r>
    </w:p>
    <w:p w14:paraId="3E671D35" w14:textId="77777777" w:rsidR="00394471" w:rsidRPr="00FA0D37" w:rsidRDefault="00394471" w:rsidP="00FA0D37">
      <w:pPr>
        <w:pStyle w:val="PL"/>
      </w:pPr>
      <w:r w:rsidRPr="00FA0D37">
        <w:t xml:space="preserve">        posSib1-3-r16                    SIBpos-r16,</w:t>
      </w:r>
    </w:p>
    <w:p w14:paraId="14D861A8" w14:textId="77777777" w:rsidR="00394471" w:rsidRPr="00FA0D37" w:rsidRDefault="00394471" w:rsidP="00FA0D37">
      <w:pPr>
        <w:pStyle w:val="PL"/>
      </w:pPr>
      <w:r w:rsidRPr="00FA0D37">
        <w:t xml:space="preserve">        posSib1-4-r16                    SIBpos-r16,</w:t>
      </w:r>
    </w:p>
    <w:p w14:paraId="4C2736FB" w14:textId="77777777" w:rsidR="00394471" w:rsidRPr="00FA0D37" w:rsidRDefault="00394471" w:rsidP="00FA0D37">
      <w:pPr>
        <w:pStyle w:val="PL"/>
      </w:pPr>
      <w:r w:rsidRPr="00FA0D37">
        <w:t xml:space="preserve">        posSib1-5-r16                    SIBpos-r16,</w:t>
      </w:r>
    </w:p>
    <w:p w14:paraId="177529EE" w14:textId="77777777" w:rsidR="00394471" w:rsidRPr="00FA0D37" w:rsidRDefault="00394471" w:rsidP="00FA0D37">
      <w:pPr>
        <w:pStyle w:val="PL"/>
      </w:pPr>
      <w:r w:rsidRPr="00FA0D37">
        <w:t xml:space="preserve">        posSib1-6-r16                    SIBpos-r16,</w:t>
      </w:r>
    </w:p>
    <w:p w14:paraId="04D654C6" w14:textId="77777777" w:rsidR="00394471" w:rsidRPr="00FA0D37" w:rsidRDefault="00394471" w:rsidP="00FA0D37">
      <w:pPr>
        <w:pStyle w:val="PL"/>
      </w:pPr>
      <w:r w:rsidRPr="00FA0D37">
        <w:t xml:space="preserve">        posSib1-7-r16                    SIBpos-r16,</w:t>
      </w:r>
    </w:p>
    <w:p w14:paraId="2D7EE415" w14:textId="77777777" w:rsidR="00394471" w:rsidRPr="00FA0D37" w:rsidRDefault="00394471" w:rsidP="00FA0D37">
      <w:pPr>
        <w:pStyle w:val="PL"/>
      </w:pPr>
      <w:r w:rsidRPr="00FA0D37">
        <w:t xml:space="preserve">        posSib1-8-r16                    SIBpos-r16,</w:t>
      </w:r>
    </w:p>
    <w:p w14:paraId="7800BD49" w14:textId="77777777" w:rsidR="00394471" w:rsidRPr="00FA0D37" w:rsidRDefault="00394471" w:rsidP="00FA0D37">
      <w:pPr>
        <w:pStyle w:val="PL"/>
      </w:pPr>
      <w:r w:rsidRPr="00FA0D37">
        <w:t xml:space="preserve">        posSib2-1-r16                    SIBpos-r16,</w:t>
      </w:r>
    </w:p>
    <w:p w14:paraId="4F6A9A8C" w14:textId="77777777" w:rsidR="00394471" w:rsidRPr="00FA0D37" w:rsidRDefault="00394471" w:rsidP="00FA0D37">
      <w:pPr>
        <w:pStyle w:val="PL"/>
      </w:pPr>
      <w:r w:rsidRPr="00FA0D37">
        <w:t xml:space="preserve">        posSib2-2-r16                    SIBpos-r16,</w:t>
      </w:r>
    </w:p>
    <w:p w14:paraId="47B7BE9B" w14:textId="77777777" w:rsidR="00394471" w:rsidRPr="00FA0D37" w:rsidRDefault="00394471" w:rsidP="00FA0D37">
      <w:pPr>
        <w:pStyle w:val="PL"/>
      </w:pPr>
      <w:r w:rsidRPr="00FA0D37">
        <w:t xml:space="preserve">        posSib2-3-r16                    SIBpos-r16,</w:t>
      </w:r>
    </w:p>
    <w:p w14:paraId="6F1820AA" w14:textId="77777777" w:rsidR="00394471" w:rsidRPr="00FA0D37" w:rsidRDefault="00394471" w:rsidP="00FA0D37">
      <w:pPr>
        <w:pStyle w:val="PL"/>
      </w:pPr>
      <w:r w:rsidRPr="00FA0D37">
        <w:t xml:space="preserve">        posSib2-4-r16                    SIBpos-r16,</w:t>
      </w:r>
    </w:p>
    <w:p w14:paraId="0BAA0A3B" w14:textId="77777777" w:rsidR="00394471" w:rsidRPr="00FA0D37" w:rsidRDefault="00394471" w:rsidP="00FA0D37">
      <w:pPr>
        <w:pStyle w:val="PL"/>
      </w:pPr>
      <w:r w:rsidRPr="00FA0D37">
        <w:t xml:space="preserve">        posSib2-5-r16                    SIBpos-r16,</w:t>
      </w:r>
    </w:p>
    <w:p w14:paraId="15571F46" w14:textId="77777777" w:rsidR="00394471" w:rsidRPr="00FA0D37" w:rsidRDefault="00394471" w:rsidP="00FA0D37">
      <w:pPr>
        <w:pStyle w:val="PL"/>
      </w:pPr>
      <w:r w:rsidRPr="00FA0D37">
        <w:t xml:space="preserve">        posSib2-6-r16                    SIBpos-r16,</w:t>
      </w:r>
    </w:p>
    <w:p w14:paraId="4A578FDA" w14:textId="77777777" w:rsidR="00394471" w:rsidRPr="00FA0D37" w:rsidRDefault="00394471" w:rsidP="00FA0D37">
      <w:pPr>
        <w:pStyle w:val="PL"/>
      </w:pPr>
      <w:r w:rsidRPr="00FA0D37">
        <w:t xml:space="preserve">        posSib2-7-r16                    SIBpos-r16,</w:t>
      </w:r>
    </w:p>
    <w:p w14:paraId="1C368CB8" w14:textId="77777777" w:rsidR="00394471" w:rsidRPr="00FA0D37" w:rsidRDefault="00394471" w:rsidP="00FA0D37">
      <w:pPr>
        <w:pStyle w:val="PL"/>
      </w:pPr>
      <w:r w:rsidRPr="00FA0D37">
        <w:t xml:space="preserve">        posSib2-8-r16                    SIBpos-r16,</w:t>
      </w:r>
    </w:p>
    <w:p w14:paraId="73C11F3F" w14:textId="77777777" w:rsidR="00394471" w:rsidRPr="00FA0D37" w:rsidRDefault="00394471" w:rsidP="00FA0D37">
      <w:pPr>
        <w:pStyle w:val="PL"/>
      </w:pPr>
      <w:r w:rsidRPr="00FA0D37">
        <w:t xml:space="preserve">        posSib2-9-r16                    SIBpos-r16,</w:t>
      </w:r>
    </w:p>
    <w:p w14:paraId="52D89AC3" w14:textId="77777777" w:rsidR="00394471" w:rsidRPr="00FA0D37" w:rsidRDefault="00394471" w:rsidP="00FA0D37">
      <w:pPr>
        <w:pStyle w:val="PL"/>
      </w:pPr>
      <w:r w:rsidRPr="00FA0D37">
        <w:lastRenderedPageBreak/>
        <w:t xml:space="preserve">        posSib2-10-r16                   SIBpos-r16,</w:t>
      </w:r>
    </w:p>
    <w:p w14:paraId="5AB613D0" w14:textId="77777777" w:rsidR="00394471" w:rsidRPr="00FA0D37" w:rsidRDefault="00394471" w:rsidP="00FA0D37">
      <w:pPr>
        <w:pStyle w:val="PL"/>
      </w:pPr>
      <w:r w:rsidRPr="00FA0D37">
        <w:t xml:space="preserve">        posSib2-11-r16                   SIBpos-r16,</w:t>
      </w:r>
    </w:p>
    <w:p w14:paraId="1622FEC3" w14:textId="77777777" w:rsidR="00394471" w:rsidRPr="00FA0D37" w:rsidRDefault="00394471" w:rsidP="00FA0D37">
      <w:pPr>
        <w:pStyle w:val="PL"/>
      </w:pPr>
      <w:r w:rsidRPr="00FA0D37">
        <w:t xml:space="preserve">        posSib2-12-r16                   SIBpos-r16,</w:t>
      </w:r>
    </w:p>
    <w:p w14:paraId="57943D67" w14:textId="77777777" w:rsidR="00394471" w:rsidRPr="00FA0D37" w:rsidRDefault="00394471" w:rsidP="00FA0D37">
      <w:pPr>
        <w:pStyle w:val="PL"/>
      </w:pPr>
      <w:r w:rsidRPr="00FA0D37">
        <w:t xml:space="preserve">        posSib2-13-r16                   SIBpos-r16,</w:t>
      </w:r>
    </w:p>
    <w:p w14:paraId="6D048BF4" w14:textId="77777777" w:rsidR="00394471" w:rsidRPr="00FA0D37" w:rsidRDefault="00394471" w:rsidP="00FA0D37">
      <w:pPr>
        <w:pStyle w:val="PL"/>
      </w:pPr>
      <w:r w:rsidRPr="00FA0D37">
        <w:t xml:space="preserve">        posSib2-14-r16                   SIBpos-r16,</w:t>
      </w:r>
    </w:p>
    <w:p w14:paraId="627A134A" w14:textId="77777777" w:rsidR="00394471" w:rsidRPr="00FA0D37" w:rsidRDefault="00394471" w:rsidP="00FA0D37">
      <w:pPr>
        <w:pStyle w:val="PL"/>
      </w:pPr>
      <w:r w:rsidRPr="00FA0D37">
        <w:t xml:space="preserve">        posSib2-15-r16                   SIBpos-r16,</w:t>
      </w:r>
    </w:p>
    <w:p w14:paraId="0042DD45" w14:textId="77777777" w:rsidR="00394471" w:rsidRPr="00FA0D37" w:rsidRDefault="00394471" w:rsidP="00FA0D37">
      <w:pPr>
        <w:pStyle w:val="PL"/>
      </w:pPr>
      <w:r w:rsidRPr="00FA0D37">
        <w:t xml:space="preserve">        posSib2-16-r16                   SIBpos-r16,</w:t>
      </w:r>
    </w:p>
    <w:p w14:paraId="202F5C50" w14:textId="77777777" w:rsidR="00394471" w:rsidRPr="00FA0D37" w:rsidRDefault="00394471" w:rsidP="00FA0D37">
      <w:pPr>
        <w:pStyle w:val="PL"/>
      </w:pPr>
      <w:r w:rsidRPr="00FA0D37">
        <w:t xml:space="preserve">        posSib2-17-r16                   SIBpos-r16,</w:t>
      </w:r>
    </w:p>
    <w:p w14:paraId="53F51E0A" w14:textId="77777777" w:rsidR="00394471" w:rsidRPr="00FA0D37" w:rsidRDefault="00394471" w:rsidP="00FA0D37">
      <w:pPr>
        <w:pStyle w:val="PL"/>
      </w:pPr>
      <w:r w:rsidRPr="00FA0D37">
        <w:t xml:space="preserve">        posSib2-18-r16                   SIBpos-r16,</w:t>
      </w:r>
    </w:p>
    <w:p w14:paraId="7D8E379A" w14:textId="77777777" w:rsidR="00394471" w:rsidRPr="00FA0D37" w:rsidRDefault="00394471" w:rsidP="00FA0D37">
      <w:pPr>
        <w:pStyle w:val="PL"/>
      </w:pPr>
      <w:r w:rsidRPr="00FA0D37">
        <w:t xml:space="preserve">        posSib2-19-r16                   SIBpos-r16,</w:t>
      </w:r>
    </w:p>
    <w:p w14:paraId="53F80435" w14:textId="77777777" w:rsidR="00394471" w:rsidRPr="00FA0D37" w:rsidRDefault="00394471" w:rsidP="00FA0D37">
      <w:pPr>
        <w:pStyle w:val="PL"/>
      </w:pPr>
      <w:r w:rsidRPr="00FA0D37">
        <w:t xml:space="preserve">        posSib2-20-r16                   SIBpos-r16,</w:t>
      </w:r>
    </w:p>
    <w:p w14:paraId="6CC6496E" w14:textId="77777777" w:rsidR="00394471" w:rsidRPr="00FA0D37" w:rsidRDefault="00394471" w:rsidP="00FA0D37">
      <w:pPr>
        <w:pStyle w:val="PL"/>
      </w:pPr>
      <w:r w:rsidRPr="00FA0D37">
        <w:t xml:space="preserve">        posSib2-21-r16                   SIBpos-r16,</w:t>
      </w:r>
    </w:p>
    <w:p w14:paraId="0DFBFB8C" w14:textId="77777777" w:rsidR="00394471" w:rsidRPr="00FA0D37" w:rsidRDefault="00394471" w:rsidP="00FA0D37">
      <w:pPr>
        <w:pStyle w:val="PL"/>
      </w:pPr>
      <w:r w:rsidRPr="00FA0D37">
        <w:t xml:space="preserve">        posSib2-22-r16                   SIBpos-r16,</w:t>
      </w:r>
    </w:p>
    <w:p w14:paraId="16EDE3A2" w14:textId="77777777" w:rsidR="00394471" w:rsidRPr="00FA0D37" w:rsidRDefault="00394471" w:rsidP="00FA0D37">
      <w:pPr>
        <w:pStyle w:val="PL"/>
      </w:pPr>
      <w:r w:rsidRPr="00FA0D37">
        <w:t xml:space="preserve">        posSib2-23-r16                   SIBpos-r16,</w:t>
      </w:r>
    </w:p>
    <w:p w14:paraId="3F42730D" w14:textId="77777777" w:rsidR="00394471" w:rsidRPr="00FA0D37" w:rsidRDefault="00394471" w:rsidP="00FA0D37">
      <w:pPr>
        <w:pStyle w:val="PL"/>
      </w:pPr>
      <w:r w:rsidRPr="00FA0D37">
        <w:t xml:space="preserve">        posSib3-1-r16                    SIBpos-r16,</w:t>
      </w:r>
    </w:p>
    <w:p w14:paraId="73449236" w14:textId="77777777" w:rsidR="00394471" w:rsidRPr="00FA0D37" w:rsidRDefault="00394471" w:rsidP="00FA0D37">
      <w:pPr>
        <w:pStyle w:val="PL"/>
      </w:pPr>
      <w:r w:rsidRPr="00FA0D37">
        <w:t xml:space="preserve">        posSib4-1-r16                    SIBpos-r16,</w:t>
      </w:r>
    </w:p>
    <w:p w14:paraId="28AA0F50" w14:textId="77777777" w:rsidR="00394471" w:rsidRPr="00FA0D37" w:rsidRDefault="00394471" w:rsidP="00FA0D37">
      <w:pPr>
        <w:pStyle w:val="PL"/>
      </w:pPr>
      <w:r w:rsidRPr="00FA0D37">
        <w:t xml:space="preserve">        posSib5-1-r16                    SIBpos-r16,</w:t>
      </w:r>
    </w:p>
    <w:p w14:paraId="1F1A46E8" w14:textId="77777777" w:rsidR="00394471" w:rsidRPr="00FA0D37" w:rsidRDefault="00394471" w:rsidP="00FA0D37">
      <w:pPr>
        <w:pStyle w:val="PL"/>
      </w:pPr>
      <w:r w:rsidRPr="00FA0D37">
        <w:t xml:space="preserve">        posSib6-1-r16                    SIBpos-r16,</w:t>
      </w:r>
    </w:p>
    <w:p w14:paraId="4E1EF9C3" w14:textId="77777777" w:rsidR="00394471" w:rsidRPr="00FA0D37" w:rsidRDefault="00394471" w:rsidP="00FA0D37">
      <w:pPr>
        <w:pStyle w:val="PL"/>
      </w:pPr>
      <w:r w:rsidRPr="00FA0D37">
        <w:t xml:space="preserve">        posSib6-2-r16                    SIBpos-r16,</w:t>
      </w:r>
    </w:p>
    <w:p w14:paraId="1560929F" w14:textId="77777777" w:rsidR="00394471" w:rsidRPr="00FA0D37" w:rsidRDefault="00394471" w:rsidP="00FA0D37">
      <w:pPr>
        <w:pStyle w:val="PL"/>
      </w:pPr>
      <w:r w:rsidRPr="00FA0D37">
        <w:t xml:space="preserve">        posSib6-3-r16                    SIBpos-r16,</w:t>
      </w:r>
    </w:p>
    <w:p w14:paraId="38FFB28B" w14:textId="3AE27703" w:rsidR="00DB6BF5" w:rsidRPr="00FA0D37" w:rsidRDefault="00394471" w:rsidP="00FA0D37">
      <w:pPr>
        <w:pStyle w:val="PL"/>
      </w:pPr>
      <w:r w:rsidRPr="00FA0D37">
        <w:t xml:space="preserve">        ...</w:t>
      </w:r>
      <w:r w:rsidR="00DB6BF5" w:rsidRPr="00FA0D37">
        <w:t xml:space="preserve"> ,</w:t>
      </w:r>
    </w:p>
    <w:p w14:paraId="447142AE" w14:textId="3DAE0306" w:rsidR="00DB6BF5" w:rsidRPr="00FA0D37" w:rsidRDefault="00DB6BF5" w:rsidP="00FA0D37">
      <w:pPr>
        <w:pStyle w:val="PL"/>
      </w:pPr>
      <w:r w:rsidRPr="00FA0D37">
        <w:t xml:space="preserve">        posSib1-9-v1700                  SIBpos-r16,</w:t>
      </w:r>
    </w:p>
    <w:p w14:paraId="4817F24A" w14:textId="2568CC8D" w:rsidR="00DB6BF5" w:rsidRPr="00FA0D37" w:rsidRDefault="00DB6BF5" w:rsidP="00FA0D37">
      <w:pPr>
        <w:pStyle w:val="PL"/>
      </w:pPr>
      <w:r w:rsidRPr="00FA0D37">
        <w:t xml:space="preserve">        posSib1-10-v1700                 SIBpos-r16,</w:t>
      </w:r>
    </w:p>
    <w:p w14:paraId="59B6DBFF" w14:textId="63C25E0E" w:rsidR="00DB6BF5" w:rsidRPr="00FA0D37" w:rsidRDefault="00DB6BF5" w:rsidP="00FA0D37">
      <w:pPr>
        <w:pStyle w:val="PL"/>
      </w:pPr>
      <w:r w:rsidRPr="00FA0D37">
        <w:t xml:space="preserve">        posSib2-24-v1700                 SIBpos-r16,</w:t>
      </w:r>
    </w:p>
    <w:p w14:paraId="57229AAE" w14:textId="56B1164F" w:rsidR="00DB6BF5" w:rsidRPr="00FA0D37" w:rsidRDefault="00DB6BF5" w:rsidP="00FA0D37">
      <w:pPr>
        <w:pStyle w:val="PL"/>
      </w:pPr>
      <w:r w:rsidRPr="00FA0D37">
        <w:t xml:space="preserve">        posSib2-25-v1700                 SIBpos-r16,</w:t>
      </w:r>
    </w:p>
    <w:p w14:paraId="6594E544" w14:textId="23754FEB" w:rsidR="00DB6BF5" w:rsidRPr="00FA0D37" w:rsidRDefault="00DB6BF5" w:rsidP="00FA0D37">
      <w:pPr>
        <w:pStyle w:val="PL"/>
      </w:pPr>
      <w:r w:rsidRPr="00FA0D37">
        <w:t xml:space="preserve">        posSib6-4-v1700                  SIBpos-r16,</w:t>
      </w:r>
    </w:p>
    <w:p w14:paraId="1C2C5CAA" w14:textId="6A219EE6" w:rsidR="00DB6BF5" w:rsidRPr="00FA0D37" w:rsidRDefault="00DB6BF5" w:rsidP="00FA0D37">
      <w:pPr>
        <w:pStyle w:val="PL"/>
      </w:pPr>
      <w:r w:rsidRPr="00FA0D37">
        <w:t xml:space="preserve">        posSib6-5-v1700                  SIBpos-r16,</w:t>
      </w:r>
    </w:p>
    <w:p w14:paraId="34E59D01" w14:textId="468B8901" w:rsidR="00394471" w:rsidRPr="00FA0D37" w:rsidRDefault="00DB6BF5" w:rsidP="00FA0D37">
      <w:pPr>
        <w:pStyle w:val="PL"/>
      </w:pPr>
      <w:r w:rsidRPr="00FA0D37">
        <w:t xml:space="preserve">        posSib6-6-v1700                  SIBpos-r16</w:t>
      </w:r>
    </w:p>
    <w:p w14:paraId="67C4EE87" w14:textId="77777777" w:rsidR="00394471" w:rsidRPr="00FA0D37" w:rsidRDefault="00394471" w:rsidP="00FA0D37">
      <w:pPr>
        <w:pStyle w:val="PL"/>
      </w:pPr>
      <w:r w:rsidRPr="00FA0D37">
        <w:t xml:space="preserve">    },</w:t>
      </w:r>
    </w:p>
    <w:p w14:paraId="08FF8F9B"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F34E9A0"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3BF3816E" w14:textId="77777777" w:rsidR="00394471" w:rsidRPr="00FA0D37" w:rsidRDefault="00394471" w:rsidP="00FA0D37">
      <w:pPr>
        <w:pStyle w:val="PL"/>
      </w:pPr>
      <w:r w:rsidRPr="00FA0D37">
        <w:t>}</w:t>
      </w:r>
    </w:p>
    <w:p w14:paraId="07B93ECB" w14:textId="77777777" w:rsidR="00394471" w:rsidRPr="00FA0D37" w:rsidRDefault="00394471" w:rsidP="00FA0D37">
      <w:pPr>
        <w:pStyle w:val="PL"/>
      </w:pPr>
    </w:p>
    <w:p w14:paraId="68AA9F73" w14:textId="77777777" w:rsidR="00394471" w:rsidRPr="00FA0D37" w:rsidRDefault="00394471" w:rsidP="00FA0D37">
      <w:pPr>
        <w:pStyle w:val="PL"/>
        <w:rPr>
          <w:color w:val="808080"/>
        </w:rPr>
      </w:pPr>
      <w:r w:rsidRPr="00FA0D37">
        <w:rPr>
          <w:color w:val="808080"/>
        </w:rPr>
        <w:t>-- TAG-POSSYSTEMINFORMATION-R16-IES-STOP</w:t>
      </w:r>
    </w:p>
    <w:p w14:paraId="74B3F756" w14:textId="77777777" w:rsidR="00394471" w:rsidRPr="00FA0D37" w:rsidRDefault="00394471" w:rsidP="00FA0D37">
      <w:pPr>
        <w:pStyle w:val="PL"/>
        <w:rPr>
          <w:color w:val="808080"/>
        </w:rPr>
      </w:pPr>
      <w:r w:rsidRPr="00FA0D37">
        <w:rPr>
          <w:color w:val="808080"/>
        </w:rPr>
        <w:t>-- ASN1STOP</w:t>
      </w:r>
    </w:p>
    <w:p w14:paraId="3724820C" w14:textId="77777777" w:rsidR="00394471" w:rsidRPr="00FA0D37" w:rsidRDefault="00394471" w:rsidP="00394471"/>
    <w:p w14:paraId="0E9DDE1B" w14:textId="77777777" w:rsidR="00394471" w:rsidRPr="00FA0D37" w:rsidRDefault="00394471" w:rsidP="00394471">
      <w:pPr>
        <w:pStyle w:val="4"/>
      </w:pPr>
      <w:bookmarkStart w:id="858" w:name="_Toc60777156"/>
      <w:bookmarkStart w:id="859" w:name="_Toc146781200"/>
      <w:r w:rsidRPr="00FA0D37">
        <w:rPr>
          <w:rFonts w:eastAsia="宋体"/>
        </w:rPr>
        <w:t>–</w:t>
      </w:r>
      <w:r w:rsidRPr="00FA0D37">
        <w:rPr>
          <w:rFonts w:eastAsia="宋体"/>
        </w:rPr>
        <w:tab/>
      </w:r>
      <w:r w:rsidRPr="00FA0D37">
        <w:rPr>
          <w:rFonts w:eastAsia="宋体"/>
          <w:i/>
          <w:noProof/>
        </w:rPr>
        <w:t>PosSI-SchedulingInfo</w:t>
      </w:r>
      <w:bookmarkEnd w:id="858"/>
      <w:bookmarkEnd w:id="859"/>
    </w:p>
    <w:p w14:paraId="595E59D2" w14:textId="77777777" w:rsidR="00394471" w:rsidRPr="00FA0D37" w:rsidRDefault="00394471" w:rsidP="00FA0D37">
      <w:pPr>
        <w:pStyle w:val="PL"/>
        <w:rPr>
          <w:color w:val="808080"/>
        </w:rPr>
      </w:pPr>
      <w:r w:rsidRPr="00FA0D37">
        <w:rPr>
          <w:color w:val="808080"/>
        </w:rPr>
        <w:t>-- ASN1START</w:t>
      </w:r>
    </w:p>
    <w:p w14:paraId="13A8A6FB" w14:textId="77777777" w:rsidR="00394471" w:rsidRPr="00FA0D37" w:rsidRDefault="00394471" w:rsidP="00FA0D37">
      <w:pPr>
        <w:pStyle w:val="PL"/>
        <w:rPr>
          <w:color w:val="808080"/>
        </w:rPr>
      </w:pPr>
      <w:r w:rsidRPr="00FA0D37">
        <w:rPr>
          <w:color w:val="808080"/>
        </w:rPr>
        <w:t>-- TAG-POSSI-SCHEDULINGINFO-START</w:t>
      </w:r>
    </w:p>
    <w:p w14:paraId="481AAEEB" w14:textId="77777777" w:rsidR="00394471" w:rsidRPr="00FA0D37" w:rsidRDefault="00394471" w:rsidP="00FA0D37">
      <w:pPr>
        <w:pStyle w:val="PL"/>
      </w:pPr>
    </w:p>
    <w:p w14:paraId="42B54F01" w14:textId="77777777" w:rsidR="00394471" w:rsidRPr="00FA0D37" w:rsidRDefault="00394471" w:rsidP="00FA0D37">
      <w:pPr>
        <w:pStyle w:val="PL"/>
      </w:pPr>
      <w:r w:rsidRPr="00FA0D37">
        <w:t xml:space="preserve">PosSI-SchedulingInfo-r16 ::=               </w:t>
      </w:r>
      <w:r w:rsidRPr="00FA0D37">
        <w:rPr>
          <w:color w:val="993366"/>
        </w:rPr>
        <w:t>SEQUENCE</w:t>
      </w:r>
      <w:r w:rsidRPr="00FA0D37">
        <w:t xml:space="preserve"> {</w:t>
      </w:r>
    </w:p>
    <w:p w14:paraId="40A4A6D7" w14:textId="77777777" w:rsidR="00394471" w:rsidRPr="00FA0D37" w:rsidRDefault="00394471" w:rsidP="00FA0D37">
      <w:pPr>
        <w:pStyle w:val="PL"/>
      </w:pPr>
      <w:r w:rsidRPr="00FA0D37">
        <w:t xml:space="preserve">    posSchedulingInfoList-r16                  </w:t>
      </w:r>
      <w:r w:rsidRPr="00FA0D37">
        <w:rPr>
          <w:color w:val="993366"/>
        </w:rPr>
        <w:t>SEQUENCE</w:t>
      </w:r>
      <w:r w:rsidRPr="00FA0D37">
        <w:t xml:space="preserve"> (</w:t>
      </w:r>
      <w:r w:rsidRPr="00FA0D37">
        <w:rPr>
          <w:color w:val="993366"/>
        </w:rPr>
        <w:t>SIZE</w:t>
      </w:r>
      <w:r w:rsidRPr="00FA0D37">
        <w:t xml:space="preserve"> (1..maxSI-Message))</w:t>
      </w:r>
      <w:r w:rsidRPr="00FA0D37">
        <w:rPr>
          <w:color w:val="993366"/>
        </w:rPr>
        <w:t xml:space="preserve"> OF</w:t>
      </w:r>
      <w:r w:rsidRPr="00FA0D37">
        <w:t xml:space="preserve"> PosSchedulingInfo-r16,</w:t>
      </w:r>
    </w:p>
    <w:p w14:paraId="07A158E8" w14:textId="77777777" w:rsidR="00394471" w:rsidRPr="00FA0D37" w:rsidRDefault="00394471" w:rsidP="00FA0D37">
      <w:pPr>
        <w:pStyle w:val="PL"/>
        <w:rPr>
          <w:color w:val="808080"/>
        </w:rPr>
      </w:pPr>
      <w:r w:rsidRPr="00FA0D37">
        <w:t xml:space="preserve">    posSI-RequestConfig-r16                        SI-RequestConfig                                 </w:t>
      </w:r>
      <w:r w:rsidRPr="00FA0D37">
        <w:rPr>
          <w:color w:val="993366"/>
        </w:rPr>
        <w:t>OPTIONAL</w:t>
      </w:r>
      <w:r w:rsidRPr="00FA0D37">
        <w:t xml:space="preserve">,  </w:t>
      </w:r>
      <w:r w:rsidRPr="00FA0D37">
        <w:rPr>
          <w:color w:val="808080"/>
        </w:rPr>
        <w:t>-- Cond MSG-1</w:t>
      </w:r>
    </w:p>
    <w:p w14:paraId="53DC64BE" w14:textId="77777777" w:rsidR="00394471" w:rsidRPr="00FA0D37" w:rsidRDefault="00394471" w:rsidP="00FA0D37">
      <w:pPr>
        <w:pStyle w:val="PL"/>
        <w:rPr>
          <w:color w:val="808080"/>
        </w:rPr>
      </w:pPr>
      <w:r w:rsidRPr="00FA0D37">
        <w:t xml:space="preserve">    posSI-RequestConfigSUL-r16                     SI-RequestConfig                                 </w:t>
      </w:r>
      <w:r w:rsidRPr="00FA0D37">
        <w:rPr>
          <w:color w:val="993366"/>
        </w:rPr>
        <w:t>OPTIONAL</w:t>
      </w:r>
      <w:r w:rsidRPr="00FA0D37">
        <w:t xml:space="preserve">,  </w:t>
      </w:r>
      <w:r w:rsidRPr="00FA0D37">
        <w:rPr>
          <w:color w:val="808080"/>
        </w:rPr>
        <w:t>-- Cond SUL-MSG-1</w:t>
      </w:r>
    </w:p>
    <w:p w14:paraId="7E362736" w14:textId="5D1D2EF7" w:rsidR="00AE678F" w:rsidRPr="00FA0D37" w:rsidRDefault="004E0686" w:rsidP="00FA0D37">
      <w:pPr>
        <w:pStyle w:val="PL"/>
      </w:pPr>
      <w:r w:rsidRPr="00FA0D37">
        <w:t xml:space="preserve">    </w:t>
      </w:r>
      <w:r w:rsidR="00394471" w:rsidRPr="00FA0D37">
        <w:t>...</w:t>
      </w:r>
      <w:r w:rsidR="00AE678F" w:rsidRPr="00FA0D37">
        <w:t>,</w:t>
      </w:r>
    </w:p>
    <w:p w14:paraId="7E8B388D" w14:textId="77777777" w:rsidR="00AE678F" w:rsidRPr="00FA0D37" w:rsidRDefault="00AE678F" w:rsidP="00FA0D37">
      <w:pPr>
        <w:pStyle w:val="PL"/>
      </w:pPr>
      <w:r w:rsidRPr="00FA0D37">
        <w:t xml:space="preserve">    [[</w:t>
      </w:r>
    </w:p>
    <w:p w14:paraId="3E0575D4" w14:textId="064E6751" w:rsidR="00AE678F" w:rsidRPr="00FA0D37" w:rsidRDefault="00AE678F" w:rsidP="00FA0D37">
      <w:pPr>
        <w:pStyle w:val="PL"/>
        <w:rPr>
          <w:color w:val="808080"/>
        </w:rPr>
      </w:pPr>
      <w:r w:rsidRPr="00FA0D37">
        <w:t xml:space="preserve">    posSI-RequestConfigRedCap-r17                 </w:t>
      </w:r>
      <w:r w:rsidR="004A5E25" w:rsidRPr="00FA0D37">
        <w:t xml:space="preserve"> </w:t>
      </w:r>
      <w:r w:rsidRPr="00FA0D37">
        <w:t xml:space="preserve">SI-RequestConfig                                 </w:t>
      </w:r>
      <w:r w:rsidRPr="00FA0D37">
        <w:rPr>
          <w:color w:val="993366"/>
        </w:rPr>
        <w:t>OPTIONAL</w:t>
      </w:r>
      <w:r w:rsidRPr="00FA0D37">
        <w:t xml:space="preserve">   </w:t>
      </w:r>
      <w:r w:rsidRPr="00FA0D37">
        <w:rPr>
          <w:color w:val="808080"/>
        </w:rPr>
        <w:t>-- Cond REDCAP-MSG-1</w:t>
      </w:r>
    </w:p>
    <w:p w14:paraId="4911AA29" w14:textId="7286228D" w:rsidR="00394471" w:rsidRPr="00FA0D37" w:rsidRDefault="00AE678F" w:rsidP="00FA0D37">
      <w:pPr>
        <w:pStyle w:val="PL"/>
      </w:pPr>
      <w:r w:rsidRPr="00FA0D37">
        <w:t xml:space="preserve">    ]]</w:t>
      </w:r>
    </w:p>
    <w:p w14:paraId="45B9B844" w14:textId="77777777" w:rsidR="00394471" w:rsidRPr="00FA0D37" w:rsidRDefault="00394471" w:rsidP="00FA0D37">
      <w:pPr>
        <w:pStyle w:val="PL"/>
      </w:pPr>
      <w:r w:rsidRPr="00FA0D37">
        <w:lastRenderedPageBreak/>
        <w:t>}</w:t>
      </w:r>
    </w:p>
    <w:p w14:paraId="00DEEC96" w14:textId="77777777" w:rsidR="00394471" w:rsidRPr="00FA0D37" w:rsidRDefault="00394471" w:rsidP="00FA0D37">
      <w:pPr>
        <w:pStyle w:val="PL"/>
      </w:pPr>
    </w:p>
    <w:p w14:paraId="0326EED8" w14:textId="77777777" w:rsidR="00394471" w:rsidRPr="00FA0D37" w:rsidRDefault="00394471" w:rsidP="00FA0D37">
      <w:pPr>
        <w:pStyle w:val="PL"/>
      </w:pPr>
      <w:r w:rsidRPr="00FA0D37">
        <w:t xml:space="preserve">PosSchedulingInfo-r16 ::= </w:t>
      </w:r>
      <w:r w:rsidRPr="00FA0D37">
        <w:rPr>
          <w:color w:val="993366"/>
        </w:rPr>
        <w:t>SEQUENCE</w:t>
      </w:r>
      <w:r w:rsidRPr="00FA0D37">
        <w:t xml:space="preserve"> {</w:t>
      </w:r>
    </w:p>
    <w:p w14:paraId="07A5785D" w14:textId="77777777" w:rsidR="00394471" w:rsidRPr="00FA0D37" w:rsidRDefault="00394471" w:rsidP="00FA0D37">
      <w:pPr>
        <w:pStyle w:val="PL"/>
        <w:rPr>
          <w:color w:val="808080"/>
        </w:rPr>
      </w:pPr>
      <w:r w:rsidRPr="00FA0D37">
        <w:t xml:space="preserve">    </w:t>
      </w:r>
      <w:r w:rsidRPr="00FA0D37">
        <w:rPr>
          <w:rFonts w:eastAsia="Batang"/>
        </w:rPr>
        <w:t>offsetToSI-Used-r16</w:t>
      </w:r>
      <w:r w:rsidRPr="00FA0D37">
        <w:t xml:space="preserve">          </w:t>
      </w:r>
      <w:r w:rsidRPr="00FA0D37">
        <w:rPr>
          <w:rFonts w:eastAsia="Batang"/>
          <w:color w:val="993366"/>
        </w:rPr>
        <w:t>ENUMERATED</w:t>
      </w:r>
      <w:r w:rsidRPr="00FA0D37">
        <w:rPr>
          <w:rFonts w:eastAsia="Batang"/>
        </w:rPr>
        <w:t xml:space="preserve"> {true}</w:t>
      </w:r>
      <w:r w:rsidRPr="00FA0D37">
        <w:t xml:space="preserve">                                              </w:t>
      </w:r>
      <w:r w:rsidRPr="00FA0D37">
        <w:rPr>
          <w:rFonts w:eastAsia="Batang"/>
          <w:color w:val="993366"/>
        </w:rPr>
        <w:t>OPTIONAL</w:t>
      </w:r>
      <w:r w:rsidRPr="00FA0D37">
        <w:rPr>
          <w:rFonts w:eastAsia="Batang"/>
        </w:rPr>
        <w:t>,</w:t>
      </w:r>
      <w:r w:rsidRPr="00FA0D37">
        <w:t xml:space="preserve">  </w:t>
      </w:r>
      <w:r w:rsidRPr="00FA0D37">
        <w:rPr>
          <w:rFonts w:eastAsia="Batang"/>
          <w:color w:val="808080"/>
        </w:rPr>
        <w:t>-- Need R</w:t>
      </w:r>
    </w:p>
    <w:p w14:paraId="720746FB" w14:textId="77777777" w:rsidR="00394471" w:rsidRPr="00FA0D37" w:rsidRDefault="00394471" w:rsidP="00FA0D37">
      <w:pPr>
        <w:pStyle w:val="PL"/>
      </w:pPr>
      <w:r w:rsidRPr="00FA0D37">
        <w:t xml:space="preserve">    posSI-Periodicity-r16        </w:t>
      </w:r>
      <w:r w:rsidRPr="00FA0D37">
        <w:rPr>
          <w:color w:val="993366"/>
        </w:rPr>
        <w:t>ENUMERATED</w:t>
      </w:r>
      <w:r w:rsidRPr="00FA0D37">
        <w:t xml:space="preserve"> {rf8, rf16, rf32, rf64, rf128, rf256, rf512},</w:t>
      </w:r>
    </w:p>
    <w:p w14:paraId="1C3B0FC8" w14:textId="77777777" w:rsidR="00394471" w:rsidRPr="00FA0D37" w:rsidRDefault="00394471" w:rsidP="00FA0D37">
      <w:pPr>
        <w:pStyle w:val="PL"/>
      </w:pPr>
      <w:r w:rsidRPr="00FA0D37">
        <w:t xml:space="preserve">    posSI-BroadcastStatus-r16    </w:t>
      </w:r>
      <w:r w:rsidRPr="00FA0D37">
        <w:rPr>
          <w:color w:val="993366"/>
        </w:rPr>
        <w:t>ENUMERATED</w:t>
      </w:r>
      <w:r w:rsidRPr="00FA0D37">
        <w:t xml:space="preserve"> {broadcasting, notBroadcasting},</w:t>
      </w:r>
    </w:p>
    <w:p w14:paraId="20D92B1F" w14:textId="77777777" w:rsidR="00394471" w:rsidRPr="00FA0D37" w:rsidRDefault="00394471" w:rsidP="00FA0D37">
      <w:pPr>
        <w:pStyle w:val="PL"/>
      </w:pPr>
      <w:r w:rsidRPr="00FA0D37">
        <w:t xml:space="preserve">    posSIB-MappingInfo-r16       PosSIB-MappingInfo-r16,</w:t>
      </w:r>
    </w:p>
    <w:p w14:paraId="46581855" w14:textId="77777777" w:rsidR="00394471" w:rsidRPr="00FA0D37" w:rsidRDefault="00394471" w:rsidP="00FA0D37">
      <w:pPr>
        <w:pStyle w:val="PL"/>
      </w:pPr>
      <w:r w:rsidRPr="00FA0D37">
        <w:t xml:space="preserve">    ...</w:t>
      </w:r>
    </w:p>
    <w:p w14:paraId="3CAA4713" w14:textId="77777777" w:rsidR="00394471" w:rsidRPr="00FA0D37" w:rsidRDefault="00394471" w:rsidP="00FA0D37">
      <w:pPr>
        <w:pStyle w:val="PL"/>
      </w:pPr>
      <w:r w:rsidRPr="00FA0D37">
        <w:t>}</w:t>
      </w:r>
    </w:p>
    <w:p w14:paraId="6B7587B4" w14:textId="77777777" w:rsidR="00394471" w:rsidRPr="00FA0D37" w:rsidRDefault="00394471" w:rsidP="00FA0D37">
      <w:pPr>
        <w:pStyle w:val="PL"/>
      </w:pPr>
    </w:p>
    <w:p w14:paraId="16E4027F" w14:textId="77777777" w:rsidR="00394471" w:rsidRPr="00FA0D37" w:rsidRDefault="00394471" w:rsidP="00FA0D37">
      <w:pPr>
        <w:pStyle w:val="PL"/>
      </w:pPr>
      <w:r w:rsidRPr="00FA0D37">
        <w:t xml:space="preserve">PosSIB-MappingInfo-r16 ::=   </w:t>
      </w:r>
      <w:r w:rsidRPr="00FA0D37">
        <w:rPr>
          <w:color w:val="993366"/>
        </w:rPr>
        <w:t>SEQUENCE</w:t>
      </w:r>
      <w:r w:rsidRPr="00FA0D37">
        <w:t xml:space="preserve"> (</w:t>
      </w:r>
      <w:r w:rsidRPr="00FA0D37">
        <w:rPr>
          <w:color w:val="993366"/>
        </w:rPr>
        <w:t>SIZE</w:t>
      </w:r>
      <w:r w:rsidRPr="00FA0D37">
        <w:t xml:space="preserve"> (1..maxSIB))</w:t>
      </w:r>
      <w:r w:rsidRPr="00FA0D37">
        <w:rPr>
          <w:color w:val="993366"/>
        </w:rPr>
        <w:t xml:space="preserve"> OF</w:t>
      </w:r>
      <w:r w:rsidRPr="00FA0D37">
        <w:t xml:space="preserve"> PosSIB-Type-r16</w:t>
      </w:r>
    </w:p>
    <w:p w14:paraId="44409096" w14:textId="77777777" w:rsidR="00394471" w:rsidRPr="00FA0D37" w:rsidRDefault="00394471" w:rsidP="00FA0D37">
      <w:pPr>
        <w:pStyle w:val="PL"/>
      </w:pPr>
    </w:p>
    <w:p w14:paraId="7BF7AB25" w14:textId="77777777" w:rsidR="00394471" w:rsidRPr="00FA0D37" w:rsidRDefault="00394471" w:rsidP="00FA0D37">
      <w:pPr>
        <w:pStyle w:val="PL"/>
      </w:pPr>
      <w:r w:rsidRPr="00FA0D37">
        <w:t xml:space="preserve">PosSIB-Type-r16 ::=          </w:t>
      </w:r>
      <w:r w:rsidRPr="00FA0D37">
        <w:rPr>
          <w:color w:val="993366"/>
        </w:rPr>
        <w:t>SEQUENCE</w:t>
      </w:r>
      <w:r w:rsidRPr="00FA0D37">
        <w:t xml:space="preserve"> {</w:t>
      </w:r>
    </w:p>
    <w:p w14:paraId="676DB6C8" w14:textId="77777777" w:rsidR="00394471" w:rsidRPr="00FA0D37" w:rsidRDefault="00394471" w:rsidP="00FA0D37">
      <w:pPr>
        <w:pStyle w:val="PL"/>
        <w:rPr>
          <w:color w:val="808080"/>
        </w:rPr>
      </w:pPr>
      <w:r w:rsidRPr="00FA0D37">
        <w:t xml:space="preserve">    encrypted-r16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Need R</w:t>
      </w:r>
    </w:p>
    <w:p w14:paraId="7709F8BC" w14:textId="77777777" w:rsidR="00394471" w:rsidRPr="00FA0D37" w:rsidRDefault="00394471" w:rsidP="00FA0D37">
      <w:pPr>
        <w:pStyle w:val="PL"/>
        <w:rPr>
          <w:color w:val="808080"/>
        </w:rPr>
      </w:pPr>
      <w:r w:rsidRPr="00FA0D37">
        <w:t xml:space="preserve">    gnss-id-r16                  GNSS-ID-r16                                                    </w:t>
      </w:r>
      <w:r w:rsidRPr="00FA0D37">
        <w:rPr>
          <w:color w:val="993366"/>
        </w:rPr>
        <w:t>OPTIONAL</w:t>
      </w:r>
      <w:r w:rsidRPr="00FA0D37">
        <w:t xml:space="preserve">,  </w:t>
      </w:r>
      <w:r w:rsidRPr="00FA0D37">
        <w:rPr>
          <w:color w:val="808080"/>
        </w:rPr>
        <w:t>-- Need R</w:t>
      </w:r>
    </w:p>
    <w:p w14:paraId="54983B95" w14:textId="3C16925B" w:rsidR="00394471" w:rsidRPr="00FA0D37" w:rsidRDefault="00394471" w:rsidP="00FA0D37">
      <w:pPr>
        <w:pStyle w:val="PL"/>
        <w:rPr>
          <w:color w:val="808080"/>
        </w:rPr>
      </w:pPr>
      <w:r w:rsidRPr="00FA0D37">
        <w:t xml:space="preserve">    sbas-id-r16                  SBAS-ID-r16                                                    </w:t>
      </w:r>
      <w:r w:rsidRPr="00FA0D37">
        <w:rPr>
          <w:color w:val="993366"/>
        </w:rPr>
        <w:t>OPTIONAL</w:t>
      </w:r>
      <w:r w:rsidRPr="00FA0D37">
        <w:t xml:space="preserve">,  </w:t>
      </w:r>
      <w:r w:rsidRPr="00FA0D37">
        <w:rPr>
          <w:color w:val="808080"/>
        </w:rPr>
        <w:t xml:space="preserve">-- </w:t>
      </w:r>
      <w:r w:rsidR="005E123F" w:rsidRPr="00FA0D37">
        <w:rPr>
          <w:color w:val="808080"/>
        </w:rPr>
        <w:t>Cond GNSS-ID-SBAS</w:t>
      </w:r>
    </w:p>
    <w:p w14:paraId="6F32A38F" w14:textId="77777777" w:rsidR="00394471" w:rsidRPr="00FA0D37" w:rsidRDefault="00394471" w:rsidP="00FA0D37">
      <w:pPr>
        <w:pStyle w:val="PL"/>
      </w:pPr>
      <w:r w:rsidRPr="00FA0D37">
        <w:t xml:space="preserve">    posSibType-r16               </w:t>
      </w:r>
      <w:r w:rsidRPr="00FA0D37">
        <w:rPr>
          <w:color w:val="993366"/>
        </w:rPr>
        <w:t>ENUMERATED</w:t>
      </w:r>
      <w:r w:rsidRPr="00FA0D37">
        <w:t xml:space="preserve"> { posSibType1-1, posSibType1-2, posSibType1-3, posSibType1-4, posSibType1-5, posSibType1-6,</w:t>
      </w:r>
    </w:p>
    <w:p w14:paraId="04B99C64" w14:textId="77777777" w:rsidR="00394471" w:rsidRPr="00FA0D37" w:rsidRDefault="00394471" w:rsidP="00FA0D37">
      <w:pPr>
        <w:pStyle w:val="PL"/>
      </w:pPr>
      <w:r w:rsidRPr="00FA0D37">
        <w:t xml:space="preserve">                                              posSibType1-7, posSibType1-8, posSibType2-1, posSibType2-2, posSibType2-3, posSibType2-4,</w:t>
      </w:r>
    </w:p>
    <w:p w14:paraId="5FB14A1F" w14:textId="77777777" w:rsidR="00394471" w:rsidRPr="00FA0D37" w:rsidRDefault="00394471" w:rsidP="00FA0D37">
      <w:pPr>
        <w:pStyle w:val="PL"/>
      </w:pPr>
      <w:r w:rsidRPr="00FA0D37">
        <w:t xml:space="preserve">                                              posSibType2-5, posSibType2-6, posSibType2-7, posSibType2-8, posSibType2-9, posSibType2-10,</w:t>
      </w:r>
    </w:p>
    <w:p w14:paraId="2F755E08" w14:textId="77777777" w:rsidR="00394471" w:rsidRPr="00FA0D37" w:rsidRDefault="00394471" w:rsidP="00FA0D37">
      <w:pPr>
        <w:pStyle w:val="PL"/>
      </w:pPr>
      <w:r w:rsidRPr="00FA0D37">
        <w:t xml:space="preserve">                                              posSibType2-11, posSibType2-12, posSibType2-13, posSibType2-14, posSibType2-15,</w:t>
      </w:r>
    </w:p>
    <w:p w14:paraId="44A5196B" w14:textId="77777777" w:rsidR="00394471" w:rsidRPr="00FA0D37" w:rsidRDefault="00394471" w:rsidP="00FA0D37">
      <w:pPr>
        <w:pStyle w:val="PL"/>
      </w:pPr>
      <w:r w:rsidRPr="00FA0D37">
        <w:t xml:space="preserve">                                              posSibType2-16, posSibType2-17, posSibType2-18, posSibType2-19, posSibType2-20,</w:t>
      </w:r>
    </w:p>
    <w:p w14:paraId="0CCD06C6" w14:textId="77777777" w:rsidR="00394471" w:rsidRPr="00FA0D37" w:rsidRDefault="00394471" w:rsidP="00FA0D37">
      <w:pPr>
        <w:pStyle w:val="PL"/>
      </w:pPr>
      <w:r w:rsidRPr="00FA0D37">
        <w:t xml:space="preserve">                                              posSibType2-21, posSibType2-22, posSibType2-23, posSibType3-1, posSibType4-1,</w:t>
      </w:r>
    </w:p>
    <w:p w14:paraId="308998CC" w14:textId="34564BDB" w:rsidR="00394471" w:rsidRPr="00FA0D37" w:rsidRDefault="00394471" w:rsidP="00FA0D37">
      <w:pPr>
        <w:pStyle w:val="PL"/>
      </w:pPr>
      <w:r w:rsidRPr="00FA0D37">
        <w:t xml:space="preserve">                                              posSibType5-1,posSibType6-1, posSibType6-2, posSibType6-3,... },</w:t>
      </w:r>
    </w:p>
    <w:p w14:paraId="29B78CCC" w14:textId="77777777" w:rsidR="00394471" w:rsidRPr="00FA0D37" w:rsidRDefault="00394471" w:rsidP="00FA0D37">
      <w:pPr>
        <w:pStyle w:val="PL"/>
        <w:rPr>
          <w:color w:val="808080"/>
        </w:rPr>
      </w:pPr>
      <w:r w:rsidRPr="00FA0D37">
        <w:t xml:space="preserve">    areaScope-r16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01A13AEA" w14:textId="77777777" w:rsidR="00394471" w:rsidRPr="00FA0D37" w:rsidRDefault="00394471" w:rsidP="00FA0D37">
      <w:pPr>
        <w:pStyle w:val="PL"/>
      </w:pPr>
      <w:r w:rsidRPr="00FA0D37">
        <w:t>}</w:t>
      </w:r>
    </w:p>
    <w:p w14:paraId="215DDD74" w14:textId="77777777" w:rsidR="00394471" w:rsidRPr="00FA0D37" w:rsidRDefault="00394471" w:rsidP="00FA0D37">
      <w:pPr>
        <w:pStyle w:val="PL"/>
      </w:pPr>
    </w:p>
    <w:p w14:paraId="290578B2" w14:textId="77777777" w:rsidR="00394471" w:rsidRPr="00FA0D37" w:rsidRDefault="00394471" w:rsidP="00FA0D37">
      <w:pPr>
        <w:pStyle w:val="PL"/>
      </w:pPr>
      <w:r w:rsidRPr="00FA0D37">
        <w:t xml:space="preserve">GNSS-ID-r16 ::= </w:t>
      </w:r>
      <w:r w:rsidRPr="00FA0D37">
        <w:rPr>
          <w:color w:val="993366"/>
        </w:rPr>
        <w:t>SEQUENCE</w:t>
      </w:r>
      <w:r w:rsidRPr="00FA0D37">
        <w:t xml:space="preserve"> {</w:t>
      </w:r>
    </w:p>
    <w:p w14:paraId="51F40391" w14:textId="7A7F88C6" w:rsidR="00394471" w:rsidRPr="00FA0D37" w:rsidRDefault="00394471" w:rsidP="00FA0D37">
      <w:pPr>
        <w:pStyle w:val="PL"/>
      </w:pPr>
      <w:r w:rsidRPr="00FA0D37">
        <w:t xml:space="preserve">    gnss-id-r16              </w:t>
      </w:r>
      <w:r w:rsidRPr="00FA0D37">
        <w:rPr>
          <w:color w:val="993366"/>
        </w:rPr>
        <w:t>ENUMERATED</w:t>
      </w:r>
      <w:r w:rsidRPr="00FA0D37">
        <w:t>{gps, sbas, qzss, galileo, glonass, bds, ...</w:t>
      </w:r>
      <w:r w:rsidR="00CA6A0F" w:rsidRPr="00FA0D37">
        <w:t>, navic-v1760</w:t>
      </w:r>
      <w:r w:rsidRPr="00FA0D37">
        <w:t>},</w:t>
      </w:r>
    </w:p>
    <w:p w14:paraId="1939AB08" w14:textId="77777777" w:rsidR="00394471" w:rsidRPr="00FA0D37" w:rsidRDefault="00394471" w:rsidP="00FA0D37">
      <w:pPr>
        <w:pStyle w:val="PL"/>
      </w:pPr>
      <w:r w:rsidRPr="00FA0D37">
        <w:t xml:space="preserve">    ...</w:t>
      </w:r>
    </w:p>
    <w:p w14:paraId="54630981" w14:textId="77777777" w:rsidR="00394471" w:rsidRPr="00FA0D37" w:rsidRDefault="00394471" w:rsidP="00FA0D37">
      <w:pPr>
        <w:pStyle w:val="PL"/>
      </w:pPr>
      <w:r w:rsidRPr="00FA0D37">
        <w:t>}</w:t>
      </w:r>
    </w:p>
    <w:p w14:paraId="76706B28" w14:textId="77777777" w:rsidR="00394471" w:rsidRPr="00FA0D37" w:rsidRDefault="00394471" w:rsidP="00FA0D37">
      <w:pPr>
        <w:pStyle w:val="PL"/>
      </w:pPr>
    </w:p>
    <w:p w14:paraId="51CBE0CE" w14:textId="77777777" w:rsidR="00394471" w:rsidRPr="00FA0D37" w:rsidRDefault="00394471" w:rsidP="00FA0D37">
      <w:pPr>
        <w:pStyle w:val="PL"/>
      </w:pPr>
      <w:r w:rsidRPr="00FA0D37">
        <w:t xml:space="preserve">SBAS-ID-r16 ::= </w:t>
      </w:r>
      <w:r w:rsidRPr="00FA0D37">
        <w:rPr>
          <w:color w:val="993366"/>
        </w:rPr>
        <w:t>SEQUENCE</w:t>
      </w:r>
      <w:r w:rsidRPr="00FA0D37">
        <w:t xml:space="preserve"> {</w:t>
      </w:r>
    </w:p>
    <w:p w14:paraId="157C21AB" w14:textId="77777777" w:rsidR="00394471" w:rsidRPr="00FA0D37" w:rsidRDefault="00394471" w:rsidP="00FA0D37">
      <w:pPr>
        <w:pStyle w:val="PL"/>
      </w:pPr>
      <w:r w:rsidRPr="00FA0D37">
        <w:t xml:space="preserve">    sbas-id-r16              </w:t>
      </w:r>
      <w:r w:rsidRPr="00FA0D37">
        <w:rPr>
          <w:color w:val="993366"/>
        </w:rPr>
        <w:t>ENUMERATED</w:t>
      </w:r>
      <w:r w:rsidRPr="00FA0D37">
        <w:t xml:space="preserve"> { waas, egnos, msas, gagan, ...},</w:t>
      </w:r>
    </w:p>
    <w:p w14:paraId="56246700" w14:textId="77777777" w:rsidR="00394471" w:rsidRPr="00FA0D37" w:rsidRDefault="00394471" w:rsidP="00FA0D37">
      <w:pPr>
        <w:pStyle w:val="PL"/>
      </w:pPr>
      <w:r w:rsidRPr="00FA0D37">
        <w:t xml:space="preserve">    ...</w:t>
      </w:r>
    </w:p>
    <w:p w14:paraId="4D904896" w14:textId="77777777" w:rsidR="00394471" w:rsidRPr="00FA0D37" w:rsidRDefault="00394471" w:rsidP="00FA0D37">
      <w:pPr>
        <w:pStyle w:val="PL"/>
      </w:pPr>
      <w:r w:rsidRPr="00FA0D37">
        <w:t>}</w:t>
      </w:r>
    </w:p>
    <w:p w14:paraId="333D7750" w14:textId="77777777" w:rsidR="00394471" w:rsidRPr="00FA0D37" w:rsidRDefault="00394471" w:rsidP="00FA0D37">
      <w:pPr>
        <w:pStyle w:val="PL"/>
      </w:pPr>
    </w:p>
    <w:p w14:paraId="58170337" w14:textId="77777777" w:rsidR="00394471" w:rsidRPr="00FA0D37" w:rsidRDefault="00394471" w:rsidP="00FA0D37">
      <w:pPr>
        <w:pStyle w:val="PL"/>
        <w:rPr>
          <w:color w:val="808080"/>
        </w:rPr>
      </w:pPr>
      <w:r w:rsidRPr="00FA0D37">
        <w:rPr>
          <w:color w:val="808080"/>
        </w:rPr>
        <w:t>-- TAG-POSSI-SCHEDULINGINFO-STOP</w:t>
      </w:r>
    </w:p>
    <w:p w14:paraId="05E335F1" w14:textId="77777777" w:rsidR="00394471" w:rsidRPr="00FA0D37" w:rsidRDefault="00394471" w:rsidP="00FA0D37">
      <w:pPr>
        <w:pStyle w:val="PL"/>
        <w:rPr>
          <w:color w:val="808080"/>
        </w:rPr>
      </w:pPr>
      <w:r w:rsidRPr="00FA0D37">
        <w:rPr>
          <w:color w:val="808080"/>
        </w:rPr>
        <w:t>-- ASN1STOP</w:t>
      </w:r>
    </w:p>
    <w:p w14:paraId="789913A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898F8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94A55F" w14:textId="77777777" w:rsidR="00394471" w:rsidRPr="00FA0D37" w:rsidRDefault="00394471" w:rsidP="00964CC4">
            <w:pPr>
              <w:pStyle w:val="TAH"/>
              <w:rPr>
                <w:szCs w:val="22"/>
                <w:lang w:eastAsia="sv-SE"/>
              </w:rPr>
            </w:pPr>
            <w:r w:rsidRPr="00FA0D37">
              <w:rPr>
                <w:rFonts w:eastAsia="宋体"/>
                <w:i/>
                <w:noProof/>
                <w:lang w:eastAsia="sv-SE"/>
              </w:rPr>
              <w:lastRenderedPageBreak/>
              <w:t xml:space="preserve">PosSI-SchedulingInfo </w:t>
            </w:r>
            <w:r w:rsidRPr="00FA0D37">
              <w:rPr>
                <w:szCs w:val="22"/>
                <w:lang w:eastAsia="sv-SE"/>
              </w:rPr>
              <w:t>field descriptions</w:t>
            </w:r>
          </w:p>
        </w:tc>
      </w:tr>
      <w:tr w:rsidR="005C7FF4" w:rsidRPr="00FA0D37" w14:paraId="2CDA896E" w14:textId="77777777" w:rsidTr="00964CC4">
        <w:tc>
          <w:tcPr>
            <w:tcW w:w="14173" w:type="dxa"/>
            <w:tcBorders>
              <w:top w:val="single" w:sz="4" w:space="0" w:color="auto"/>
              <w:left w:val="single" w:sz="4" w:space="0" w:color="auto"/>
              <w:bottom w:val="single" w:sz="4" w:space="0" w:color="auto"/>
              <w:right w:val="single" w:sz="4" w:space="0" w:color="auto"/>
            </w:tcBorders>
          </w:tcPr>
          <w:p w14:paraId="3F93F233" w14:textId="77777777" w:rsidR="00394471" w:rsidRPr="00FA0D37" w:rsidRDefault="00394471" w:rsidP="00964CC4">
            <w:pPr>
              <w:pStyle w:val="TAL"/>
              <w:rPr>
                <w:b/>
                <w:i/>
              </w:rPr>
            </w:pPr>
            <w:r w:rsidRPr="00FA0D37">
              <w:rPr>
                <w:b/>
                <w:i/>
              </w:rPr>
              <w:t>areaScope</w:t>
            </w:r>
          </w:p>
          <w:p w14:paraId="29BF5988" w14:textId="77777777" w:rsidR="00394471" w:rsidRPr="00FA0D37" w:rsidRDefault="00394471" w:rsidP="00964CC4">
            <w:pPr>
              <w:pStyle w:val="TAL"/>
              <w:rPr>
                <w:rFonts w:eastAsia="宋体"/>
                <w:noProof/>
                <w:lang w:eastAsia="sv-SE"/>
              </w:rPr>
            </w:pPr>
            <w:r w:rsidRPr="00FA0D37">
              <w:rPr>
                <w:szCs w:val="22"/>
              </w:rPr>
              <w:t>Indicates that a posSIB is area specific. If the field is absent, the posSIB is cell specific.</w:t>
            </w:r>
          </w:p>
        </w:tc>
      </w:tr>
      <w:tr w:rsidR="005C7FF4" w:rsidRPr="00FA0D37" w14:paraId="22EFC2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6FE53" w14:textId="77777777" w:rsidR="00394471" w:rsidRPr="00FA0D37" w:rsidRDefault="00394471" w:rsidP="00964CC4">
            <w:pPr>
              <w:pStyle w:val="TAL"/>
              <w:rPr>
                <w:b/>
                <w:i/>
                <w:lang w:eastAsia="en-GB"/>
              </w:rPr>
            </w:pPr>
            <w:r w:rsidRPr="00FA0D37">
              <w:rPr>
                <w:b/>
                <w:i/>
                <w:lang w:eastAsia="en-GB"/>
              </w:rPr>
              <w:t>encrypted</w:t>
            </w:r>
          </w:p>
          <w:p w14:paraId="10E7AD4B" w14:textId="77777777" w:rsidR="00394471" w:rsidRPr="00FA0D37" w:rsidRDefault="00394471" w:rsidP="00964CC4">
            <w:pPr>
              <w:pStyle w:val="TAL"/>
              <w:rPr>
                <w:i/>
                <w:lang w:eastAsia="en-GB"/>
              </w:rPr>
            </w:pPr>
            <w:r w:rsidRPr="00FA0D37">
              <w:rPr>
                <w:lang w:eastAsia="en-GB"/>
              </w:rPr>
              <w:t xml:space="preserve">The presence of this field indicates that the </w:t>
            </w:r>
            <w:r w:rsidRPr="00FA0D37">
              <w:rPr>
                <w:i/>
                <w:lang w:eastAsia="sv-SE"/>
              </w:rPr>
              <w:t>pos-sib-type</w:t>
            </w:r>
            <w:r w:rsidRPr="00FA0D37">
              <w:rPr>
                <w:lang w:eastAsia="sv-SE"/>
              </w:rPr>
              <w:t xml:space="preserve"> is encrypted as specified in TS 37.355 [49].</w:t>
            </w:r>
          </w:p>
        </w:tc>
      </w:tr>
      <w:tr w:rsidR="005C7FF4" w:rsidRPr="00FA0D37" w14:paraId="06B900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DC8D" w14:textId="77777777" w:rsidR="00394471" w:rsidRPr="00FA0D37" w:rsidRDefault="00394471" w:rsidP="00964CC4">
            <w:pPr>
              <w:pStyle w:val="TAL"/>
              <w:rPr>
                <w:szCs w:val="22"/>
                <w:lang w:eastAsia="sv-SE"/>
              </w:rPr>
            </w:pPr>
            <w:r w:rsidRPr="00FA0D37">
              <w:rPr>
                <w:b/>
                <w:i/>
                <w:szCs w:val="22"/>
                <w:lang w:eastAsia="sv-SE"/>
              </w:rPr>
              <w:t>gnss-id</w:t>
            </w:r>
          </w:p>
          <w:p w14:paraId="3319FAD8" w14:textId="77777777" w:rsidR="00394471" w:rsidRPr="00FA0D37" w:rsidRDefault="00394471" w:rsidP="00964CC4">
            <w:pPr>
              <w:pStyle w:val="TAL"/>
              <w:rPr>
                <w:szCs w:val="22"/>
                <w:lang w:eastAsia="sv-SE"/>
              </w:rPr>
            </w:pPr>
            <w:r w:rsidRPr="00FA0D37">
              <w:rPr>
                <w:bCs/>
                <w:lang w:eastAsia="sv-SE"/>
              </w:rPr>
              <w:t xml:space="preserve">The presence of this field indicates that the positioning SIB type is for a specific GNSS. </w:t>
            </w:r>
            <w:r w:rsidRPr="00FA0D37">
              <w:rPr>
                <w:szCs w:val="22"/>
                <w:lang w:eastAsia="sv-SE"/>
              </w:rPr>
              <w:t xml:space="preserve">Indicates </w:t>
            </w:r>
            <w:r w:rsidRPr="00FA0D37">
              <w:rPr>
                <w:lang w:eastAsia="sv-SE"/>
              </w:rPr>
              <w:t>a specific GNSS (see also TS 37.355 [49])</w:t>
            </w:r>
          </w:p>
        </w:tc>
      </w:tr>
      <w:tr w:rsidR="005C7FF4" w:rsidRPr="00FA0D37" w14:paraId="044F7C2E" w14:textId="77777777" w:rsidTr="00964CC4">
        <w:tc>
          <w:tcPr>
            <w:tcW w:w="14173" w:type="dxa"/>
            <w:tcBorders>
              <w:top w:val="single" w:sz="4" w:space="0" w:color="auto"/>
              <w:left w:val="single" w:sz="4" w:space="0" w:color="auto"/>
              <w:bottom w:val="single" w:sz="4" w:space="0" w:color="auto"/>
              <w:right w:val="single" w:sz="4" w:space="0" w:color="auto"/>
            </w:tcBorders>
          </w:tcPr>
          <w:p w14:paraId="024EFB93" w14:textId="77777777" w:rsidR="00394471" w:rsidRPr="00FA0D37" w:rsidRDefault="00394471" w:rsidP="00964CC4">
            <w:pPr>
              <w:pStyle w:val="TAL"/>
              <w:rPr>
                <w:b/>
                <w:bCs/>
                <w:i/>
                <w:iCs/>
              </w:rPr>
            </w:pPr>
            <w:r w:rsidRPr="00FA0D37">
              <w:rPr>
                <w:b/>
                <w:bCs/>
                <w:i/>
                <w:iCs/>
                <w:szCs w:val="22"/>
              </w:rPr>
              <w:t>posSI-BroadcastStatus</w:t>
            </w:r>
          </w:p>
          <w:p w14:paraId="0A7A4DF7" w14:textId="77777777" w:rsidR="00394471" w:rsidRPr="00FA0D37" w:rsidRDefault="00394471" w:rsidP="00964CC4">
            <w:pPr>
              <w:pStyle w:val="TAL"/>
              <w:rPr>
                <w:szCs w:val="22"/>
                <w:lang w:eastAsia="sv-SE"/>
              </w:rPr>
            </w:pPr>
            <w:r w:rsidRPr="00FA0D37">
              <w:rPr>
                <w:szCs w:val="22"/>
              </w:rPr>
              <w:t>Indicates if the SI message is being broadcasted or not.</w:t>
            </w:r>
            <w:r w:rsidR="00E54F44" w:rsidRPr="00FA0D37">
              <w:rPr>
                <w:szCs w:val="22"/>
              </w:rPr>
              <w:t xml:space="preserve"> </w:t>
            </w:r>
            <w:r w:rsidR="00E54F44" w:rsidRPr="00FA0D37">
              <w:rPr>
                <w:szCs w:val="22"/>
                <w:lang w:eastAsia="sv-SE"/>
              </w:rPr>
              <w:t>Change of</w:t>
            </w:r>
            <w:r w:rsidR="00E54F44" w:rsidRPr="00FA0D37">
              <w:rPr>
                <w:i/>
                <w:szCs w:val="22"/>
                <w:lang w:eastAsia="sv-SE"/>
              </w:rPr>
              <w:t xml:space="preserve"> posSI-BroadcastStat</w:t>
            </w:r>
            <w:r w:rsidR="00E54F44" w:rsidRPr="00FA0D3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00E54F44" w:rsidRPr="00FA0D37">
              <w:rPr>
                <w:i/>
                <w:szCs w:val="22"/>
                <w:lang w:eastAsia="sv-SE"/>
              </w:rPr>
              <w:t>broadcasting</w:t>
            </w:r>
            <w:r w:rsidR="00E54F44" w:rsidRPr="00FA0D37">
              <w:rPr>
                <w:szCs w:val="22"/>
                <w:lang w:eastAsia="sv-SE"/>
              </w:rPr>
              <w:t>.</w:t>
            </w:r>
          </w:p>
          <w:p w14:paraId="2B15F472" w14:textId="7DB5DAEE" w:rsidR="00213644" w:rsidRPr="00FA0D37" w:rsidRDefault="00213644" w:rsidP="00964CC4">
            <w:pPr>
              <w:pStyle w:val="TAL"/>
              <w:rPr>
                <w:b/>
                <w:i/>
                <w:szCs w:val="22"/>
                <w:lang w:eastAsia="sv-SE"/>
              </w:rPr>
            </w:pPr>
            <w:r w:rsidRPr="00FA0D37">
              <w:rPr>
                <w:rFonts w:cs="Arial"/>
                <w:szCs w:val="18"/>
                <w:lang w:eastAsia="sv-SE"/>
              </w:rPr>
              <w:t xml:space="preserve">If </w:t>
            </w:r>
            <w:r w:rsidRPr="00FA0D37">
              <w:rPr>
                <w:rFonts w:cs="Arial"/>
                <w:i/>
                <w:iCs/>
                <w:szCs w:val="18"/>
                <w:lang w:eastAsia="sv-SE"/>
              </w:rPr>
              <w:t>si-SchedulingInfo-v1700</w:t>
            </w:r>
            <w:r w:rsidRPr="00FA0D37">
              <w:rPr>
                <w:rFonts w:cs="Arial"/>
                <w:szCs w:val="18"/>
                <w:lang w:eastAsia="sv-SE"/>
              </w:rPr>
              <w:t xml:space="preserve"> is present, the network ensures that the total number of SI messages with </w:t>
            </w:r>
            <w:r w:rsidRPr="00FA0D37">
              <w:rPr>
                <w:rFonts w:cs="Arial"/>
                <w:i/>
                <w:iCs/>
                <w:szCs w:val="18"/>
                <w:lang w:eastAsia="sv-SE"/>
              </w:rPr>
              <w:t>posSI-BroadcastStatus</w:t>
            </w:r>
            <w:r w:rsidRPr="00FA0D37">
              <w:rPr>
                <w:rFonts w:cs="Arial"/>
                <w:b/>
                <w:bCs/>
                <w:i/>
                <w:iCs/>
                <w:szCs w:val="18"/>
                <w:lang w:eastAsia="sv-SE"/>
              </w:rPr>
              <w:t xml:space="preserve"> </w:t>
            </w:r>
            <w:r w:rsidRPr="00FA0D37">
              <w:rPr>
                <w:rFonts w:cs="Arial"/>
                <w:szCs w:val="18"/>
                <w:lang w:eastAsia="sv-SE"/>
              </w:rPr>
              <w:t xml:space="preserve">and </w:t>
            </w:r>
            <w:r w:rsidRPr="00FA0D37">
              <w:rPr>
                <w:rFonts w:cs="Arial"/>
                <w:i/>
                <w:iCs/>
                <w:szCs w:val="18"/>
                <w:lang w:eastAsia="sv-SE"/>
              </w:rPr>
              <w:t>si-BroadcastStatus</w:t>
            </w:r>
            <w:r w:rsidRPr="00FA0D37">
              <w:rPr>
                <w:rFonts w:cs="Arial"/>
                <w:b/>
                <w:bCs/>
                <w:i/>
                <w:iCs/>
                <w:szCs w:val="18"/>
                <w:lang w:eastAsia="sv-SE"/>
              </w:rPr>
              <w:t xml:space="preserve"> </w:t>
            </w:r>
            <w:r w:rsidRPr="00FA0D37">
              <w:rPr>
                <w:rFonts w:cs="Arial"/>
                <w:szCs w:val="18"/>
                <w:lang w:eastAsia="sv-SE"/>
              </w:rPr>
              <w:t xml:space="preserve">set to </w:t>
            </w:r>
            <w:r w:rsidRPr="00FA0D37">
              <w:rPr>
                <w:rFonts w:cs="Arial"/>
                <w:i/>
                <w:iCs/>
                <w:szCs w:val="18"/>
                <w:lang w:eastAsia="sv-SE"/>
              </w:rPr>
              <w:t>notBroadcasting</w:t>
            </w:r>
            <w:r w:rsidRPr="00FA0D37">
              <w:rPr>
                <w:rFonts w:cs="Arial"/>
                <w:szCs w:val="18"/>
                <w:lang w:eastAsia="sv-SE"/>
              </w:rPr>
              <w:t xml:space="preserve"> in the concatenated list of SI messages </w:t>
            </w:r>
            <w:r w:rsidRPr="00FA0D37">
              <w:rPr>
                <w:rFonts w:cs="Arial"/>
                <w:szCs w:val="18"/>
              </w:rPr>
              <w:t xml:space="preserve">configured by </w:t>
            </w:r>
            <w:r w:rsidR="002D754C" w:rsidRPr="00FA0D37">
              <w:rPr>
                <w:rFonts w:cs="Arial"/>
                <w:i/>
                <w:iCs/>
                <w:szCs w:val="18"/>
              </w:rPr>
              <w:t>posSchedulingInfoList</w:t>
            </w:r>
            <w:r w:rsidRPr="00FA0D37">
              <w:rPr>
                <w:rFonts w:cs="Arial"/>
                <w:szCs w:val="18"/>
              </w:rPr>
              <w:t xml:space="preserve"> in </w:t>
            </w:r>
            <w:r w:rsidR="002D754C" w:rsidRPr="00FA0D37">
              <w:rPr>
                <w:rFonts w:cs="Arial"/>
                <w:i/>
                <w:iCs/>
                <w:szCs w:val="18"/>
              </w:rPr>
              <w:t>posSI-SchedulingInfo</w:t>
            </w:r>
            <w:r w:rsidRPr="00FA0D37">
              <w:rPr>
                <w:rFonts w:cs="Arial"/>
                <w:szCs w:val="18"/>
              </w:rPr>
              <w:t xml:space="preserve"> and SI messages containing type2 SIB configured by </w:t>
            </w:r>
            <w:r w:rsidRPr="00FA0D37">
              <w:rPr>
                <w:rFonts w:cs="Arial"/>
                <w:i/>
                <w:iCs/>
                <w:szCs w:val="18"/>
              </w:rPr>
              <w:t>schedulingInfoList2</w:t>
            </w:r>
            <w:r w:rsidRPr="00FA0D37">
              <w:rPr>
                <w:rFonts w:cs="Arial"/>
                <w:szCs w:val="18"/>
              </w:rPr>
              <w:t xml:space="preserve"> in </w:t>
            </w:r>
            <w:r w:rsidRPr="00FA0D37">
              <w:rPr>
                <w:rFonts w:cs="Arial"/>
                <w:i/>
                <w:iCs/>
                <w:szCs w:val="18"/>
              </w:rPr>
              <w:t>si-SchedulingInfo-v1700</w:t>
            </w:r>
            <w:r w:rsidRPr="00FA0D37">
              <w:rPr>
                <w:rFonts w:cs="Arial"/>
                <w:szCs w:val="18"/>
              </w:rPr>
              <w:t xml:space="preserve"> </w:t>
            </w:r>
            <w:r w:rsidRPr="00FA0D37">
              <w:rPr>
                <w:rFonts w:cs="Arial"/>
                <w:szCs w:val="18"/>
                <w:lang w:eastAsia="sv-SE"/>
              </w:rPr>
              <w:t xml:space="preserve">does not exceed the limit of </w:t>
            </w:r>
            <w:r w:rsidRPr="00FA0D37">
              <w:rPr>
                <w:rFonts w:cs="Arial"/>
                <w:i/>
                <w:iCs/>
                <w:szCs w:val="18"/>
                <w:lang w:eastAsia="sv-SE"/>
              </w:rPr>
              <w:t>maxSI-Message</w:t>
            </w:r>
            <w:r w:rsidRPr="00FA0D37">
              <w:rPr>
                <w:rFonts w:cs="Arial"/>
                <w:szCs w:val="18"/>
                <w:lang w:eastAsia="sv-SE"/>
              </w:rPr>
              <w:t xml:space="preserve"> when </w:t>
            </w:r>
            <w:r w:rsidRPr="00FA0D37">
              <w:rPr>
                <w:rFonts w:cs="Arial"/>
                <w:i/>
                <w:iCs/>
                <w:szCs w:val="18"/>
                <w:lang w:eastAsia="sv-SE"/>
              </w:rPr>
              <w:t>posSI-RequestConfig</w:t>
            </w:r>
            <w:r w:rsidRPr="00FA0D37">
              <w:rPr>
                <w:rFonts w:cs="Arial"/>
                <w:szCs w:val="18"/>
                <w:lang w:eastAsia="sv-SE"/>
              </w:rPr>
              <w:t xml:space="preserve"> or </w:t>
            </w:r>
            <w:r w:rsidRPr="00FA0D37">
              <w:rPr>
                <w:rFonts w:cs="Arial"/>
                <w:i/>
                <w:iCs/>
                <w:szCs w:val="18"/>
                <w:lang w:eastAsia="sv-SE"/>
              </w:rPr>
              <w:t>posSI-RequestConfigRedCap</w:t>
            </w:r>
            <w:r w:rsidRPr="00FA0D37">
              <w:rPr>
                <w:rFonts w:cs="Arial"/>
                <w:szCs w:val="18"/>
                <w:lang w:eastAsia="sv-SE"/>
              </w:rPr>
              <w:t xml:space="preserve"> or </w:t>
            </w:r>
            <w:r w:rsidRPr="00FA0D37">
              <w:rPr>
                <w:rFonts w:cs="Arial"/>
                <w:i/>
                <w:iCs/>
                <w:szCs w:val="18"/>
                <w:lang w:eastAsia="sv-SE"/>
              </w:rPr>
              <w:t>posSI-RequestConfigSUL</w:t>
            </w:r>
            <w:r w:rsidRPr="00FA0D37">
              <w:rPr>
                <w:rFonts w:cs="Arial"/>
                <w:szCs w:val="18"/>
                <w:lang w:eastAsia="sv-SE"/>
              </w:rPr>
              <w:t xml:space="preserve"> is configured.</w:t>
            </w:r>
          </w:p>
        </w:tc>
      </w:tr>
      <w:tr w:rsidR="005C7FF4" w:rsidRPr="00FA0D37" w14:paraId="47F961DA" w14:textId="77777777" w:rsidTr="00964CC4">
        <w:tc>
          <w:tcPr>
            <w:tcW w:w="14173" w:type="dxa"/>
            <w:tcBorders>
              <w:top w:val="single" w:sz="4" w:space="0" w:color="auto"/>
              <w:left w:val="single" w:sz="4" w:space="0" w:color="auto"/>
              <w:bottom w:val="single" w:sz="4" w:space="0" w:color="auto"/>
              <w:right w:val="single" w:sz="4" w:space="0" w:color="auto"/>
            </w:tcBorders>
          </w:tcPr>
          <w:p w14:paraId="785BB51E" w14:textId="77777777" w:rsidR="00394471" w:rsidRPr="00FA0D37" w:rsidRDefault="00394471" w:rsidP="00964CC4">
            <w:pPr>
              <w:pStyle w:val="TAL"/>
              <w:rPr>
                <w:b/>
                <w:i/>
              </w:rPr>
            </w:pPr>
            <w:r w:rsidRPr="00FA0D37">
              <w:rPr>
                <w:b/>
                <w:bCs/>
                <w:i/>
                <w:iCs/>
                <w:szCs w:val="22"/>
              </w:rPr>
              <w:t>posSI-RequestConfig</w:t>
            </w:r>
          </w:p>
          <w:p w14:paraId="714039E1" w14:textId="77777777" w:rsidR="00394471" w:rsidRPr="00FA0D37" w:rsidRDefault="00394471" w:rsidP="00964CC4">
            <w:pPr>
              <w:pStyle w:val="TAL"/>
              <w:rPr>
                <w:b/>
                <w:i/>
                <w:szCs w:val="22"/>
                <w:lang w:eastAsia="sv-SE"/>
              </w:rPr>
            </w:pPr>
            <w:r w:rsidRPr="00FA0D37">
              <w:t xml:space="preserve">Configuration of Msg1 resources that the UE uses for requesting SI-messages for which </w:t>
            </w:r>
            <w:r w:rsidRPr="00FA0D37">
              <w:rPr>
                <w:i/>
              </w:rPr>
              <w:t>posSI-BroadcastStatus</w:t>
            </w:r>
            <w:r w:rsidRPr="00FA0D37">
              <w:t xml:space="preserve"> is set to notBroadcasting.</w:t>
            </w:r>
          </w:p>
        </w:tc>
      </w:tr>
      <w:tr w:rsidR="005C7FF4" w:rsidRPr="00FA0D37" w14:paraId="7F5E2008" w14:textId="77777777" w:rsidTr="00964CC4">
        <w:tc>
          <w:tcPr>
            <w:tcW w:w="14173" w:type="dxa"/>
            <w:tcBorders>
              <w:top w:val="single" w:sz="4" w:space="0" w:color="auto"/>
              <w:left w:val="single" w:sz="4" w:space="0" w:color="auto"/>
              <w:bottom w:val="single" w:sz="4" w:space="0" w:color="auto"/>
              <w:right w:val="single" w:sz="4" w:space="0" w:color="auto"/>
            </w:tcBorders>
          </w:tcPr>
          <w:p w14:paraId="4B167AAA" w14:textId="08DE43C7" w:rsidR="00AE678F" w:rsidRPr="00FA0D37" w:rsidRDefault="00AE678F" w:rsidP="00AE678F">
            <w:pPr>
              <w:pStyle w:val="TAL"/>
              <w:rPr>
                <w:rFonts w:cs="Arial"/>
                <w:b/>
                <w:i/>
                <w:szCs w:val="18"/>
                <w:lang w:eastAsia="sv-SE"/>
              </w:rPr>
            </w:pPr>
            <w:r w:rsidRPr="00FA0D37">
              <w:rPr>
                <w:rFonts w:cs="Arial"/>
                <w:b/>
                <w:bCs/>
                <w:i/>
                <w:iCs/>
                <w:szCs w:val="18"/>
                <w:lang w:eastAsia="sv-SE"/>
              </w:rPr>
              <w:t>posSI-RequestConfigRedCap</w:t>
            </w:r>
          </w:p>
          <w:p w14:paraId="394AA30E" w14:textId="386CBB07" w:rsidR="00AE678F" w:rsidRPr="00FA0D37" w:rsidRDefault="00AE678F" w:rsidP="00AE678F">
            <w:pPr>
              <w:pStyle w:val="TAL"/>
              <w:rPr>
                <w:b/>
                <w:bCs/>
                <w:i/>
                <w:iCs/>
                <w:szCs w:val="22"/>
              </w:rPr>
            </w:pPr>
            <w:r w:rsidRPr="00FA0D37">
              <w:rPr>
                <w:rFonts w:cs="Arial"/>
                <w:szCs w:val="18"/>
                <w:lang w:eastAsia="sv-SE"/>
              </w:rPr>
              <w:t xml:space="preserve">Configuration of Msg1 resources for </w:t>
            </w:r>
            <w:r w:rsidRPr="00FA0D37">
              <w:rPr>
                <w:rFonts w:cs="Arial"/>
                <w:bCs/>
                <w:i/>
                <w:szCs w:val="18"/>
                <w:lang w:eastAsia="sv-SE"/>
              </w:rPr>
              <w:t>initialUplinkBWP-RedCap</w:t>
            </w:r>
            <w:r w:rsidRPr="00FA0D37">
              <w:rPr>
                <w:rFonts w:cs="Arial"/>
                <w:b/>
                <w:i/>
                <w:szCs w:val="18"/>
                <w:lang w:eastAsia="sv-SE"/>
              </w:rPr>
              <w:t xml:space="preserve"> </w:t>
            </w:r>
            <w:r w:rsidRPr="00FA0D37">
              <w:rPr>
                <w:rFonts w:cs="Arial"/>
                <w:szCs w:val="18"/>
                <w:lang w:eastAsia="sv-SE"/>
              </w:rPr>
              <w:t xml:space="preserve">that the </w:t>
            </w:r>
            <w:r w:rsidRPr="00FA0D37">
              <w:rPr>
                <w:rFonts w:cs="Arial"/>
                <w:bCs/>
                <w:iCs/>
                <w:szCs w:val="18"/>
                <w:lang w:eastAsia="sv-SE"/>
              </w:rPr>
              <w:t xml:space="preserve">RedCap </w:t>
            </w:r>
            <w:r w:rsidRPr="00FA0D37">
              <w:rPr>
                <w:rFonts w:cs="Arial"/>
                <w:szCs w:val="18"/>
                <w:lang w:eastAsia="sv-SE"/>
              </w:rPr>
              <w:t xml:space="preserve">UE uses for requesting SI-messages for which </w:t>
            </w:r>
            <w:r w:rsidRPr="00FA0D37">
              <w:rPr>
                <w:rFonts w:cs="Arial"/>
                <w:i/>
              </w:rPr>
              <w:t>posSI-BroadcastStatus</w:t>
            </w:r>
            <w:r w:rsidRPr="00FA0D37">
              <w:rPr>
                <w:rFonts w:cs="Arial"/>
              </w:rPr>
              <w:t xml:space="preserve"> </w:t>
            </w:r>
            <w:r w:rsidRPr="00FA0D37">
              <w:rPr>
                <w:rFonts w:cs="Arial"/>
                <w:szCs w:val="18"/>
                <w:lang w:eastAsia="sv-SE"/>
              </w:rPr>
              <w:t xml:space="preserve">is set to </w:t>
            </w:r>
            <w:r w:rsidRPr="00FA0D37">
              <w:rPr>
                <w:rFonts w:cs="Arial"/>
                <w:i/>
                <w:iCs/>
                <w:szCs w:val="18"/>
                <w:lang w:eastAsia="sv-SE"/>
              </w:rPr>
              <w:t>notBroadcasting</w:t>
            </w:r>
            <w:r w:rsidRPr="00FA0D37">
              <w:rPr>
                <w:rFonts w:cs="Arial"/>
                <w:szCs w:val="18"/>
                <w:lang w:eastAsia="sv-SE"/>
              </w:rPr>
              <w:t>.</w:t>
            </w:r>
          </w:p>
        </w:tc>
      </w:tr>
      <w:tr w:rsidR="005C7FF4" w:rsidRPr="00FA0D37" w14:paraId="69518A65" w14:textId="77777777" w:rsidTr="0071565C">
        <w:tc>
          <w:tcPr>
            <w:tcW w:w="14173" w:type="dxa"/>
            <w:tcBorders>
              <w:top w:val="single" w:sz="4" w:space="0" w:color="auto"/>
              <w:left w:val="single" w:sz="4" w:space="0" w:color="auto"/>
              <w:bottom w:val="single" w:sz="4" w:space="0" w:color="auto"/>
              <w:right w:val="single" w:sz="4" w:space="0" w:color="auto"/>
            </w:tcBorders>
          </w:tcPr>
          <w:p w14:paraId="34BCBACB" w14:textId="77777777" w:rsidR="00425CBF" w:rsidRPr="00FA0D37" w:rsidRDefault="00425CBF" w:rsidP="0071565C">
            <w:pPr>
              <w:pStyle w:val="TAL"/>
              <w:rPr>
                <w:b/>
                <w:i/>
              </w:rPr>
            </w:pPr>
            <w:r w:rsidRPr="00FA0D37">
              <w:rPr>
                <w:b/>
                <w:bCs/>
                <w:i/>
                <w:iCs/>
                <w:szCs w:val="22"/>
              </w:rPr>
              <w:t>posSI-RequestConfigSUL</w:t>
            </w:r>
          </w:p>
          <w:p w14:paraId="4756D5B6" w14:textId="77777777" w:rsidR="00425CBF" w:rsidRPr="00FA0D37" w:rsidRDefault="00425CBF" w:rsidP="0071565C">
            <w:pPr>
              <w:pStyle w:val="TAL"/>
              <w:rPr>
                <w:b/>
                <w:i/>
                <w:szCs w:val="22"/>
                <w:lang w:eastAsia="sv-SE"/>
              </w:rPr>
            </w:pPr>
            <w:r w:rsidRPr="00FA0D37">
              <w:t xml:space="preserve">Configuration of Msg1 resources that the UE uses for requesting SI-messages for which </w:t>
            </w:r>
            <w:r w:rsidRPr="00FA0D37">
              <w:rPr>
                <w:i/>
              </w:rPr>
              <w:t>posSI-BroadcastStatus</w:t>
            </w:r>
            <w:r w:rsidRPr="00FA0D37">
              <w:t xml:space="preserve"> is set to notBroadcasting.</w:t>
            </w:r>
          </w:p>
        </w:tc>
      </w:tr>
      <w:tr w:rsidR="005C7FF4" w:rsidRPr="00FA0D37" w14:paraId="214EA7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BB040C" w14:textId="530A1A70" w:rsidR="00394471" w:rsidRPr="00FA0D37" w:rsidRDefault="00394471" w:rsidP="00964CC4">
            <w:pPr>
              <w:pStyle w:val="TAL"/>
              <w:rPr>
                <w:b/>
                <w:i/>
                <w:lang w:eastAsia="sv-SE"/>
              </w:rPr>
            </w:pPr>
            <w:r w:rsidRPr="00FA0D37">
              <w:rPr>
                <w:b/>
                <w:i/>
                <w:lang w:eastAsia="sv-SE"/>
              </w:rPr>
              <w:t>pos</w:t>
            </w:r>
            <w:r w:rsidRPr="00FA0D37">
              <w:rPr>
                <w:b/>
                <w:i/>
              </w:rPr>
              <w:t>SIB</w:t>
            </w:r>
            <w:r w:rsidRPr="00FA0D37">
              <w:rPr>
                <w:b/>
                <w:i/>
                <w:lang w:eastAsia="sv-SE"/>
              </w:rPr>
              <w:t>-MappingInfo</w:t>
            </w:r>
          </w:p>
          <w:p w14:paraId="1396F556" w14:textId="77777777" w:rsidR="00394471" w:rsidRPr="00FA0D37" w:rsidRDefault="00394471" w:rsidP="00964CC4">
            <w:pPr>
              <w:pStyle w:val="TAL"/>
              <w:rPr>
                <w:b/>
                <w:i/>
                <w:szCs w:val="22"/>
                <w:lang w:eastAsia="sv-SE"/>
              </w:rPr>
            </w:pPr>
            <w:r w:rsidRPr="00FA0D37">
              <w:rPr>
                <w:lang w:eastAsia="en-GB"/>
              </w:rPr>
              <w:t xml:space="preserve">List of the posSIBs mapped to this </w:t>
            </w:r>
            <w:r w:rsidRPr="00FA0D37">
              <w:rPr>
                <w:i/>
                <w:iCs/>
                <w:lang w:eastAsia="en-GB"/>
              </w:rPr>
              <w:t xml:space="preserve">SystemInformation </w:t>
            </w:r>
            <w:r w:rsidRPr="00FA0D37">
              <w:rPr>
                <w:iCs/>
                <w:lang w:eastAsia="en-GB"/>
              </w:rPr>
              <w:t>message.</w:t>
            </w:r>
          </w:p>
        </w:tc>
      </w:tr>
      <w:tr w:rsidR="005C7FF4" w:rsidRPr="00FA0D37" w14:paraId="54FD4D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8943B5" w14:textId="77777777" w:rsidR="00394471" w:rsidRPr="00FA0D37" w:rsidRDefault="00394471" w:rsidP="00964CC4">
            <w:pPr>
              <w:pStyle w:val="TAL"/>
              <w:rPr>
                <w:b/>
                <w:bCs/>
                <w:i/>
                <w:noProof/>
                <w:lang w:eastAsia="en-GB"/>
              </w:rPr>
            </w:pPr>
            <w:r w:rsidRPr="00FA0D37">
              <w:rPr>
                <w:b/>
                <w:bCs/>
                <w:i/>
                <w:noProof/>
                <w:lang w:eastAsia="en-GB"/>
              </w:rPr>
              <w:t>posSibType</w:t>
            </w:r>
          </w:p>
          <w:p w14:paraId="69F772D5" w14:textId="77777777" w:rsidR="00394471" w:rsidRPr="00FA0D37" w:rsidRDefault="00394471" w:rsidP="00964CC4">
            <w:pPr>
              <w:pStyle w:val="TAL"/>
              <w:rPr>
                <w:szCs w:val="22"/>
                <w:lang w:eastAsia="sv-SE"/>
              </w:rPr>
            </w:pPr>
            <w:r w:rsidRPr="00FA0D37">
              <w:rPr>
                <w:bCs/>
                <w:noProof/>
                <w:lang w:eastAsia="en-GB"/>
              </w:rPr>
              <w:t>The positioning SIB type is defined in TS 37.355 [49].</w:t>
            </w:r>
          </w:p>
        </w:tc>
      </w:tr>
      <w:tr w:rsidR="005C7FF4" w:rsidRPr="00FA0D37" w14:paraId="18CAB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E1441" w14:textId="45A50D2F" w:rsidR="00394471" w:rsidRPr="00FA0D37" w:rsidRDefault="00394471" w:rsidP="00964CC4">
            <w:pPr>
              <w:pStyle w:val="TAL"/>
              <w:rPr>
                <w:b/>
                <w:bCs/>
                <w:i/>
                <w:noProof/>
                <w:lang w:eastAsia="en-GB"/>
              </w:rPr>
            </w:pPr>
            <w:r w:rsidRPr="00FA0D37">
              <w:rPr>
                <w:b/>
                <w:bCs/>
                <w:i/>
                <w:noProof/>
                <w:lang w:eastAsia="en-GB"/>
              </w:rPr>
              <w:t>posS</w:t>
            </w:r>
            <w:r w:rsidR="005C4C47" w:rsidRPr="00FA0D37">
              <w:rPr>
                <w:b/>
                <w:bCs/>
                <w:i/>
                <w:noProof/>
                <w:lang w:eastAsia="en-GB"/>
              </w:rPr>
              <w:t>I</w:t>
            </w:r>
            <w:r w:rsidRPr="00FA0D37">
              <w:rPr>
                <w:b/>
                <w:bCs/>
                <w:i/>
                <w:noProof/>
                <w:lang w:eastAsia="en-GB"/>
              </w:rPr>
              <w:t>-Periodicity</w:t>
            </w:r>
          </w:p>
          <w:p w14:paraId="0F7BBB3D" w14:textId="1D5C2C5B" w:rsidR="00394471" w:rsidRPr="00FA0D37" w:rsidRDefault="00394471" w:rsidP="00964CC4">
            <w:pPr>
              <w:pStyle w:val="TAL"/>
              <w:rPr>
                <w:szCs w:val="22"/>
                <w:lang w:eastAsia="sv-SE"/>
              </w:rPr>
            </w:pPr>
            <w:r w:rsidRPr="00FA0D37">
              <w:rPr>
                <w:lang w:eastAsia="en-GB"/>
              </w:rPr>
              <w:t>Periodicity of the SI-message in radio frames, such that rf8 denotes 8 radio frames, rf16 denotes 16 radio frames, and so on.</w:t>
            </w:r>
            <w:r w:rsidR="00DE50F8" w:rsidRPr="00FA0D37">
              <w:rPr>
                <w:lang w:eastAsia="en-GB"/>
              </w:rPr>
              <w:t xml:space="preserve"> If the </w:t>
            </w:r>
            <w:r w:rsidR="00DE50F8" w:rsidRPr="00FA0D37">
              <w:rPr>
                <w:i/>
                <w:iCs/>
                <w:lang w:eastAsia="en-GB"/>
              </w:rPr>
              <w:t>offsetToSI-Used</w:t>
            </w:r>
            <w:r w:rsidR="00DE50F8" w:rsidRPr="00FA0D37">
              <w:rPr>
                <w:lang w:eastAsia="en-GB"/>
              </w:rPr>
              <w:t xml:space="preserve"> is configured, the </w:t>
            </w:r>
            <w:r w:rsidR="00DE50F8" w:rsidRPr="00FA0D37">
              <w:rPr>
                <w:i/>
                <w:iCs/>
                <w:lang w:eastAsia="en-GB"/>
              </w:rPr>
              <w:t>posSI-Periodicity</w:t>
            </w:r>
            <w:r w:rsidR="00DE50F8" w:rsidRPr="00FA0D37">
              <w:rPr>
                <w:lang w:eastAsia="en-GB"/>
              </w:rPr>
              <w:t xml:space="preserve"> of rf8 cannot be used.</w:t>
            </w:r>
          </w:p>
        </w:tc>
      </w:tr>
      <w:tr w:rsidR="005C7FF4" w:rsidRPr="00FA0D37" w14:paraId="00146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5EA1F8" w14:textId="77777777" w:rsidR="00394471" w:rsidRPr="00FA0D37" w:rsidRDefault="00394471" w:rsidP="00964CC4">
            <w:pPr>
              <w:keepNext/>
              <w:keepLines/>
              <w:spacing w:after="0"/>
              <w:rPr>
                <w:rFonts w:ascii="Arial" w:hAnsi="Arial"/>
                <w:b/>
                <w:bCs/>
                <w:i/>
                <w:iCs/>
                <w:sz w:val="18"/>
                <w:lang w:eastAsia="en-GB"/>
              </w:rPr>
            </w:pPr>
            <w:r w:rsidRPr="00FA0D37">
              <w:rPr>
                <w:rFonts w:ascii="Arial" w:hAnsi="Arial"/>
                <w:b/>
                <w:bCs/>
                <w:i/>
                <w:iCs/>
                <w:sz w:val="18"/>
                <w:lang w:eastAsia="en-GB"/>
              </w:rPr>
              <w:t>offsetToSI-Used</w:t>
            </w:r>
          </w:p>
          <w:p w14:paraId="2D786DAD" w14:textId="6C308F34" w:rsidR="00394471" w:rsidRPr="00FA0D37" w:rsidRDefault="00394471" w:rsidP="00964CC4">
            <w:pPr>
              <w:pStyle w:val="TAL"/>
              <w:rPr>
                <w:b/>
                <w:bCs/>
                <w:i/>
                <w:noProof/>
                <w:lang w:eastAsia="en-GB"/>
              </w:rPr>
            </w:pPr>
            <w:r w:rsidRPr="00FA0D37">
              <w:rPr>
                <w:lang w:eastAsia="en-GB"/>
              </w:rPr>
              <w:t xml:space="preserve">This field, if present indicates that </w:t>
            </w:r>
            <w:r w:rsidR="00556F12" w:rsidRPr="00FA0D37">
              <w:rPr>
                <w:lang w:eastAsia="en-GB"/>
              </w:rPr>
              <w:t xml:space="preserve">all </w:t>
            </w:r>
            <w:r w:rsidRPr="00FA0D37">
              <w:rPr>
                <w:lang w:eastAsia="en-GB"/>
              </w:rPr>
              <w:t xml:space="preserve">the SI messages in </w:t>
            </w:r>
            <w:r w:rsidRPr="00FA0D37">
              <w:rPr>
                <w:i/>
                <w:lang w:eastAsia="en-GB"/>
              </w:rPr>
              <w:t>posSchedulingInfoList</w:t>
            </w:r>
            <w:r w:rsidRPr="00FA0D37">
              <w:rPr>
                <w:lang w:eastAsia="en-GB"/>
              </w:rPr>
              <w:t xml:space="preserve"> are scheduled with an offset of 8 radio frames compared to SI messages in </w:t>
            </w:r>
            <w:r w:rsidRPr="00FA0D37">
              <w:rPr>
                <w:i/>
                <w:lang w:eastAsia="en-GB"/>
              </w:rPr>
              <w:t>schedulingInfoList</w:t>
            </w:r>
            <w:r w:rsidRPr="00FA0D37">
              <w:rPr>
                <w:lang w:eastAsia="en-GB"/>
              </w:rPr>
              <w:t xml:space="preserve">. </w:t>
            </w:r>
            <w:r w:rsidRPr="00FA0D37">
              <w:rPr>
                <w:i/>
                <w:lang w:eastAsia="en-GB"/>
              </w:rPr>
              <w:t>offsetToSI-Used</w:t>
            </w:r>
            <w:r w:rsidRPr="00FA0D37">
              <w:rPr>
                <w:lang w:eastAsia="en-GB"/>
              </w:rPr>
              <w:t xml:space="preserve"> may be present only if the shortest configured SI message periodicity for SI messages in </w:t>
            </w:r>
            <w:r w:rsidRPr="00FA0D37">
              <w:rPr>
                <w:i/>
                <w:lang w:eastAsia="en-GB"/>
              </w:rPr>
              <w:t>schedulingInfoList</w:t>
            </w:r>
            <w:r w:rsidRPr="00FA0D37">
              <w:rPr>
                <w:lang w:eastAsia="en-GB"/>
              </w:rPr>
              <w:t xml:space="preserve"> is 80ms.</w:t>
            </w:r>
            <w:r w:rsidR="00556F12" w:rsidRPr="00FA0D37">
              <w:rPr>
                <w:rFonts w:cs="Arial"/>
                <w:lang w:eastAsia="en-GB"/>
              </w:rPr>
              <w:t xml:space="preserve"> If SI offset is used, this field is present in </w:t>
            </w:r>
            <w:r w:rsidR="00556F12" w:rsidRPr="00FA0D37">
              <w:rPr>
                <w:rFonts w:cs="Arial"/>
                <w:noProof/>
              </w:rPr>
              <w:t xml:space="preserve">each of the SI messages in the </w:t>
            </w:r>
            <w:r w:rsidR="00556F12" w:rsidRPr="00FA0D37">
              <w:rPr>
                <w:rFonts w:cs="Arial"/>
                <w:i/>
                <w:iCs/>
                <w:noProof/>
              </w:rPr>
              <w:t>posSchedulingInfoList</w:t>
            </w:r>
            <w:r w:rsidR="00556F12" w:rsidRPr="00FA0D37">
              <w:rPr>
                <w:rFonts w:cs="Arial"/>
                <w:noProof/>
              </w:rPr>
              <w:t>.</w:t>
            </w:r>
          </w:p>
        </w:tc>
      </w:tr>
      <w:tr w:rsidR="00394471" w:rsidRPr="00FA0D37" w14:paraId="117D92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42EDA1" w14:textId="215DCC96" w:rsidR="00394471" w:rsidRPr="00FA0D37" w:rsidRDefault="00394471" w:rsidP="00964CC4">
            <w:pPr>
              <w:pStyle w:val="TAL"/>
              <w:rPr>
                <w:b/>
                <w:bCs/>
                <w:i/>
                <w:iCs/>
                <w:lang w:eastAsia="sv-SE"/>
              </w:rPr>
            </w:pPr>
            <w:r w:rsidRPr="00FA0D37">
              <w:rPr>
                <w:b/>
                <w:bCs/>
                <w:i/>
                <w:iCs/>
                <w:lang w:eastAsia="sv-SE"/>
              </w:rPr>
              <w:t>sbas-</w:t>
            </w:r>
            <w:r w:rsidR="000514F7" w:rsidRPr="00FA0D37">
              <w:rPr>
                <w:b/>
                <w:bCs/>
                <w:i/>
                <w:iCs/>
                <w:lang w:eastAsia="sv-SE"/>
              </w:rPr>
              <w:t>id</w:t>
            </w:r>
          </w:p>
          <w:p w14:paraId="07A2F42A" w14:textId="77777777" w:rsidR="00394471" w:rsidRPr="00FA0D37" w:rsidRDefault="00394471" w:rsidP="00964CC4">
            <w:pPr>
              <w:pStyle w:val="TAL"/>
              <w:rPr>
                <w:iCs/>
                <w:lang w:eastAsia="en-GB"/>
              </w:rPr>
            </w:pPr>
            <w:r w:rsidRPr="00FA0D37">
              <w:rPr>
                <w:lang w:eastAsia="sv-SE"/>
              </w:rPr>
              <w:t>The presence of this field indicates that the positioning SIB type is for a specific SBAS. Indicates a specific SBAS (see also TS 37.355 [49]).</w:t>
            </w:r>
          </w:p>
        </w:tc>
      </w:tr>
    </w:tbl>
    <w:p w14:paraId="196ED3C7" w14:textId="77777777" w:rsidR="00394471" w:rsidRPr="00FA0D37" w:rsidRDefault="00394471" w:rsidP="00394471">
      <w:pPr>
        <w:rPr>
          <w:rFonts w:eastAsia="宋体"/>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5C7FF4" w:rsidRPr="00FA0D37" w14:paraId="38CAEDD9"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BBF2FFE" w14:textId="77777777" w:rsidR="00394471" w:rsidRPr="00FA0D37" w:rsidRDefault="00394471" w:rsidP="00964CC4">
            <w:pPr>
              <w:pStyle w:val="TAH"/>
              <w:rPr>
                <w:lang w:eastAsia="en-GB"/>
              </w:rPr>
            </w:pPr>
            <w:r w:rsidRPr="00FA0D37">
              <w:rPr>
                <w:lang w:eastAsia="en-GB"/>
              </w:rPr>
              <w:lastRenderedPageBreak/>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0A0EDAE" w14:textId="77777777" w:rsidR="00394471" w:rsidRPr="00FA0D37" w:rsidRDefault="00394471" w:rsidP="00964CC4">
            <w:pPr>
              <w:pStyle w:val="TAH"/>
              <w:rPr>
                <w:lang w:eastAsia="en-GB"/>
              </w:rPr>
            </w:pPr>
            <w:r w:rsidRPr="00FA0D37">
              <w:rPr>
                <w:lang w:eastAsia="en-GB"/>
              </w:rPr>
              <w:t>Explanation</w:t>
            </w:r>
          </w:p>
        </w:tc>
      </w:tr>
      <w:tr w:rsidR="005C7FF4" w:rsidRPr="00FA0D37" w14:paraId="33F18063" w14:textId="77777777" w:rsidTr="0071565C">
        <w:trPr>
          <w:cantSplit/>
        </w:trPr>
        <w:tc>
          <w:tcPr>
            <w:tcW w:w="2264" w:type="dxa"/>
            <w:tcBorders>
              <w:top w:val="single" w:sz="4" w:space="0" w:color="808080"/>
              <w:left w:val="single" w:sz="4" w:space="0" w:color="808080"/>
              <w:bottom w:val="single" w:sz="4" w:space="0" w:color="808080"/>
              <w:right w:val="single" w:sz="4" w:space="0" w:color="808080"/>
            </w:tcBorders>
          </w:tcPr>
          <w:p w14:paraId="3D797D1D" w14:textId="77777777" w:rsidR="005E123F" w:rsidRPr="00FA0D37" w:rsidRDefault="005E123F" w:rsidP="0071565C">
            <w:pPr>
              <w:pStyle w:val="TAL"/>
              <w:rPr>
                <w:i/>
                <w:lang w:eastAsia="en-GB"/>
              </w:rPr>
            </w:pPr>
            <w:r w:rsidRPr="00FA0D37">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8C18AA9" w14:textId="77777777" w:rsidR="005E123F" w:rsidRPr="00FA0D37" w:rsidRDefault="005E123F" w:rsidP="0071565C">
            <w:pPr>
              <w:pStyle w:val="TAL"/>
              <w:rPr>
                <w:lang w:eastAsia="en-GB"/>
              </w:rPr>
            </w:pPr>
            <w:r w:rsidRPr="00FA0D37">
              <w:rPr>
                <w:lang w:eastAsia="en-GB"/>
              </w:rPr>
              <w:t xml:space="preserve">The field is mandatory present if </w:t>
            </w:r>
            <w:r w:rsidRPr="00FA0D37">
              <w:rPr>
                <w:i/>
                <w:iCs/>
                <w:lang w:eastAsia="en-GB"/>
              </w:rPr>
              <w:t>gnss-id</w:t>
            </w:r>
            <w:r w:rsidRPr="00FA0D37">
              <w:rPr>
                <w:lang w:eastAsia="en-GB"/>
              </w:rPr>
              <w:t xml:space="preserve"> is set to </w:t>
            </w:r>
            <w:r w:rsidRPr="00FA0D37">
              <w:rPr>
                <w:i/>
                <w:iCs/>
                <w:lang w:eastAsia="en-GB"/>
              </w:rPr>
              <w:t>sbas</w:t>
            </w:r>
            <w:r w:rsidRPr="00FA0D37">
              <w:rPr>
                <w:lang w:eastAsia="en-GB"/>
              </w:rPr>
              <w:t>. It is absent otherwise.</w:t>
            </w:r>
          </w:p>
        </w:tc>
      </w:tr>
      <w:tr w:rsidR="005C7FF4" w:rsidRPr="00FA0D37" w14:paraId="00041C94"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C137C2B" w14:textId="77777777" w:rsidR="00394471" w:rsidRPr="00FA0D37" w:rsidRDefault="00394471" w:rsidP="00964CC4">
            <w:pPr>
              <w:pStyle w:val="TAL"/>
              <w:rPr>
                <w:i/>
                <w:lang w:eastAsia="en-GB"/>
              </w:rPr>
            </w:pPr>
            <w:r w:rsidRPr="00FA0D3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728F56DC" w14:textId="1EC3EE05" w:rsidR="00394471" w:rsidRPr="00FA0D37" w:rsidRDefault="00394471" w:rsidP="00964CC4">
            <w:pPr>
              <w:pStyle w:val="TAL"/>
              <w:rPr>
                <w:lang w:eastAsia="en-GB"/>
              </w:rPr>
            </w:pPr>
            <w:r w:rsidRPr="00FA0D37">
              <w:rPr>
                <w:lang w:eastAsia="en-GB"/>
              </w:rPr>
              <w:t xml:space="preserve">The field is optionally present, Need R, if </w:t>
            </w:r>
            <w:r w:rsidRPr="00FA0D37">
              <w:rPr>
                <w:i/>
                <w:lang w:eastAsia="en-GB"/>
              </w:rPr>
              <w:t>posSI-BroadcastStatus</w:t>
            </w:r>
            <w:r w:rsidRPr="00FA0D37">
              <w:rPr>
                <w:lang w:eastAsia="en-GB"/>
              </w:rPr>
              <w:t xml:space="preserve"> is set to </w:t>
            </w:r>
            <w:r w:rsidRPr="00FA0D37">
              <w:rPr>
                <w:i/>
              </w:rPr>
              <w:t>notBroadcasting</w:t>
            </w:r>
            <w:r w:rsidRPr="00FA0D37">
              <w:t xml:space="preserve"> </w:t>
            </w:r>
            <w:r w:rsidRPr="00FA0D37">
              <w:rPr>
                <w:lang w:eastAsia="en-GB"/>
              </w:rPr>
              <w:t xml:space="preserve">for any SI-message included in </w:t>
            </w:r>
            <w:r w:rsidR="007B252F" w:rsidRPr="00FA0D37">
              <w:rPr>
                <w:i/>
                <w:iCs/>
              </w:rPr>
              <w:t>posSchedulingInfoList</w:t>
            </w:r>
            <w:r w:rsidR="007B252F" w:rsidRPr="00FA0D37">
              <w:rPr>
                <w:rFonts w:eastAsia="宋体"/>
                <w:i/>
                <w:lang w:eastAsia="zh-CN"/>
              </w:rPr>
              <w:t xml:space="preserve"> </w:t>
            </w:r>
            <w:r w:rsidR="007B252F" w:rsidRPr="00FA0D37">
              <w:rPr>
                <w:rFonts w:eastAsia="宋体"/>
                <w:iCs/>
                <w:lang w:eastAsia="zh-CN"/>
              </w:rPr>
              <w:t>or</w:t>
            </w:r>
            <w:r w:rsidR="007B252F" w:rsidRPr="00FA0D37">
              <w:rPr>
                <w:lang w:eastAsia="en-GB"/>
              </w:rPr>
              <w:t xml:space="preserve"> </w:t>
            </w:r>
            <w:r w:rsidR="007B252F" w:rsidRPr="00FA0D37">
              <w:rPr>
                <w:rFonts w:eastAsia="宋体"/>
                <w:lang w:eastAsia="zh-CN"/>
              </w:rPr>
              <w:t xml:space="preserve">if </w:t>
            </w:r>
            <w:r w:rsidR="007B252F" w:rsidRPr="00FA0D37">
              <w:rPr>
                <w:i/>
                <w:lang w:eastAsia="en-GB"/>
              </w:rPr>
              <w:t>si-BroadcastStatus</w:t>
            </w:r>
            <w:r w:rsidR="007B252F" w:rsidRPr="00FA0D37">
              <w:rPr>
                <w:lang w:eastAsia="en-GB"/>
              </w:rPr>
              <w:t xml:space="preserve"> is set to </w:t>
            </w:r>
            <w:r w:rsidR="007B252F" w:rsidRPr="00FA0D37">
              <w:rPr>
                <w:i/>
              </w:rPr>
              <w:t>notBroadcasting</w:t>
            </w:r>
            <w:r w:rsidR="007B252F" w:rsidRPr="00FA0D37">
              <w:t xml:space="preserve"> </w:t>
            </w:r>
            <w:r w:rsidR="007B252F" w:rsidRPr="00FA0D37">
              <w:rPr>
                <w:lang w:eastAsia="en-GB"/>
              </w:rPr>
              <w:t>for any</w:t>
            </w:r>
            <w:r w:rsidR="007B252F" w:rsidRPr="00FA0D37">
              <w:rPr>
                <w:rFonts w:eastAsia="宋体"/>
                <w:lang w:eastAsia="zh-CN"/>
              </w:rPr>
              <w:t xml:space="preserve"> </w:t>
            </w:r>
            <w:r w:rsidR="007B252F" w:rsidRPr="00FA0D37">
              <w:rPr>
                <w:rFonts w:cs="Arial"/>
                <w:szCs w:val="18"/>
              </w:rPr>
              <w:t>SI</w:t>
            </w:r>
            <w:r w:rsidR="007B252F" w:rsidRPr="00FA0D37">
              <w:rPr>
                <w:rFonts w:eastAsia="宋体" w:cs="Arial"/>
                <w:szCs w:val="18"/>
                <w:lang w:eastAsia="zh-CN"/>
              </w:rPr>
              <w:t>-</w:t>
            </w:r>
            <w:r w:rsidR="007B252F" w:rsidRPr="00FA0D37">
              <w:rPr>
                <w:rFonts w:cs="Arial"/>
                <w:szCs w:val="18"/>
              </w:rPr>
              <w:t xml:space="preserve">message containing type2 SIB </w:t>
            </w:r>
            <w:r w:rsidR="007B252F" w:rsidRPr="00FA0D37">
              <w:rPr>
                <w:lang w:eastAsia="en-GB"/>
              </w:rPr>
              <w:t>included in</w:t>
            </w:r>
            <w:r w:rsidR="007B252F" w:rsidRPr="00FA0D37">
              <w:rPr>
                <w:rFonts w:eastAsia="宋体" w:cs="Arial"/>
                <w:szCs w:val="18"/>
                <w:lang w:eastAsia="zh-CN"/>
              </w:rPr>
              <w:t xml:space="preserve"> </w:t>
            </w:r>
            <w:r w:rsidR="007B252F" w:rsidRPr="00FA0D37">
              <w:rPr>
                <w:i/>
                <w:iCs/>
              </w:rPr>
              <w:t>schedulingInfoList2</w:t>
            </w:r>
            <w:r w:rsidRPr="00FA0D37">
              <w:rPr>
                <w:lang w:eastAsia="en-GB"/>
              </w:rPr>
              <w:t>. It is absent otherwise.</w:t>
            </w:r>
          </w:p>
        </w:tc>
      </w:tr>
      <w:tr w:rsidR="005C7FF4" w:rsidRPr="00FA0D37" w14:paraId="34D156BA"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8C9078C" w14:textId="77777777" w:rsidR="00394471" w:rsidRPr="00FA0D37" w:rsidRDefault="00394471" w:rsidP="00964CC4">
            <w:pPr>
              <w:pStyle w:val="TAL"/>
              <w:rPr>
                <w:i/>
                <w:lang w:eastAsia="en-GB"/>
              </w:rPr>
            </w:pPr>
            <w:r w:rsidRPr="00FA0D3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3335F07" w14:textId="5D8EE745" w:rsidR="00394471" w:rsidRPr="00FA0D37" w:rsidRDefault="00394471" w:rsidP="00964CC4">
            <w:pPr>
              <w:pStyle w:val="TAL"/>
              <w:rPr>
                <w:lang w:eastAsia="en-GB"/>
              </w:rPr>
            </w:pPr>
            <w:r w:rsidRPr="00FA0D37">
              <w:rPr>
                <w:lang w:eastAsia="en-GB"/>
              </w:rPr>
              <w:t xml:space="preserve">The field is optionally present, Need R, if </w:t>
            </w:r>
            <w:r w:rsidRPr="00FA0D37">
              <w:rPr>
                <w:i/>
                <w:iCs/>
                <w:lang w:eastAsia="en-GB"/>
              </w:rPr>
              <w:t>supplementaryUplink</w:t>
            </w:r>
            <w:r w:rsidRPr="00FA0D37">
              <w:rPr>
                <w:lang w:eastAsia="en-GB"/>
              </w:rPr>
              <w:t xml:space="preserve"> is configured in </w:t>
            </w:r>
            <w:r w:rsidRPr="00FA0D37">
              <w:rPr>
                <w:i/>
                <w:iCs/>
                <w:lang w:eastAsia="en-GB"/>
              </w:rPr>
              <w:t>ServingCellConfigCommonSIB</w:t>
            </w:r>
            <w:r w:rsidR="007B252F" w:rsidRPr="00FA0D37">
              <w:rPr>
                <w:i/>
                <w:iCs/>
                <w:lang w:eastAsia="en-GB"/>
              </w:rPr>
              <w:t>,</w:t>
            </w:r>
            <w:r w:rsidRPr="00FA0D37">
              <w:rPr>
                <w:lang w:eastAsia="en-GB"/>
              </w:rPr>
              <w:t xml:space="preserve"> and if </w:t>
            </w:r>
            <w:r w:rsidRPr="00FA0D37">
              <w:rPr>
                <w:i/>
                <w:lang w:eastAsia="en-GB"/>
              </w:rPr>
              <w:t>posSI-BroadcastStatus</w:t>
            </w:r>
            <w:r w:rsidRPr="00FA0D37">
              <w:rPr>
                <w:lang w:eastAsia="en-GB"/>
              </w:rPr>
              <w:t xml:space="preserve"> is set to </w:t>
            </w:r>
            <w:r w:rsidRPr="00FA0D37">
              <w:rPr>
                <w:i/>
              </w:rPr>
              <w:t>notBroadcasting</w:t>
            </w:r>
            <w:r w:rsidRPr="00FA0D37">
              <w:rPr>
                <w:lang w:eastAsia="en-GB"/>
              </w:rPr>
              <w:t xml:space="preserve"> for any SI-message included in </w:t>
            </w:r>
            <w:r w:rsidR="007B252F" w:rsidRPr="00FA0D37">
              <w:rPr>
                <w:i/>
                <w:iCs/>
              </w:rPr>
              <w:t>posSchedulingInfoList</w:t>
            </w:r>
            <w:r w:rsidR="007B252F" w:rsidRPr="00FA0D37">
              <w:rPr>
                <w:rFonts w:eastAsia="宋体"/>
                <w:i/>
                <w:iCs/>
                <w:lang w:eastAsia="zh-CN"/>
              </w:rPr>
              <w:t xml:space="preserve"> </w:t>
            </w:r>
            <w:r w:rsidR="007B252F" w:rsidRPr="00FA0D37">
              <w:rPr>
                <w:rFonts w:eastAsia="宋体"/>
                <w:iCs/>
                <w:lang w:eastAsia="zh-CN"/>
              </w:rPr>
              <w:t>or if</w:t>
            </w:r>
            <w:r w:rsidR="007B252F" w:rsidRPr="00FA0D37">
              <w:rPr>
                <w:rFonts w:eastAsia="宋体"/>
                <w:i/>
                <w:lang w:eastAsia="zh-CN"/>
              </w:rPr>
              <w:t xml:space="preserve"> </w:t>
            </w:r>
            <w:r w:rsidR="007B252F" w:rsidRPr="00FA0D37">
              <w:rPr>
                <w:i/>
                <w:lang w:eastAsia="en-GB"/>
              </w:rPr>
              <w:t>si-BroadcastStatus</w:t>
            </w:r>
            <w:r w:rsidR="007B252F" w:rsidRPr="00FA0D37">
              <w:rPr>
                <w:lang w:eastAsia="en-GB"/>
              </w:rPr>
              <w:t xml:space="preserve"> is set to </w:t>
            </w:r>
            <w:r w:rsidR="007B252F" w:rsidRPr="00FA0D37">
              <w:rPr>
                <w:i/>
              </w:rPr>
              <w:t>notBroadcasting</w:t>
            </w:r>
            <w:r w:rsidR="007B252F" w:rsidRPr="00FA0D37">
              <w:rPr>
                <w:lang w:eastAsia="en-GB"/>
              </w:rPr>
              <w:t xml:space="preserve"> for any</w:t>
            </w:r>
            <w:r w:rsidR="007B252F" w:rsidRPr="00FA0D37">
              <w:rPr>
                <w:i/>
                <w:lang w:eastAsia="zh-CN"/>
              </w:rPr>
              <w:t xml:space="preserve"> </w:t>
            </w:r>
            <w:r w:rsidR="007B252F" w:rsidRPr="00FA0D37">
              <w:rPr>
                <w:rFonts w:cs="Arial"/>
                <w:szCs w:val="18"/>
              </w:rPr>
              <w:t>SI</w:t>
            </w:r>
            <w:r w:rsidR="007B252F" w:rsidRPr="00FA0D37">
              <w:rPr>
                <w:rFonts w:eastAsia="宋体" w:cs="Arial"/>
                <w:szCs w:val="18"/>
                <w:lang w:eastAsia="zh-CN"/>
              </w:rPr>
              <w:t>-</w:t>
            </w:r>
            <w:r w:rsidR="007B252F" w:rsidRPr="00FA0D37">
              <w:rPr>
                <w:rFonts w:cs="Arial"/>
                <w:szCs w:val="18"/>
              </w:rPr>
              <w:t xml:space="preserve">message containing type2 SIB </w:t>
            </w:r>
            <w:r w:rsidR="007B252F" w:rsidRPr="00FA0D37">
              <w:rPr>
                <w:lang w:eastAsia="en-GB"/>
              </w:rPr>
              <w:t>included in</w:t>
            </w:r>
            <w:r w:rsidR="007B252F" w:rsidRPr="00FA0D37">
              <w:rPr>
                <w:rFonts w:eastAsia="宋体" w:cs="Arial"/>
                <w:szCs w:val="18"/>
                <w:lang w:eastAsia="zh-CN"/>
              </w:rPr>
              <w:t xml:space="preserve"> </w:t>
            </w:r>
            <w:r w:rsidR="007B252F" w:rsidRPr="00FA0D37">
              <w:rPr>
                <w:i/>
                <w:iCs/>
              </w:rPr>
              <w:t>schedulingInfoList2</w:t>
            </w:r>
            <w:r w:rsidRPr="00FA0D37">
              <w:rPr>
                <w:lang w:eastAsia="en-GB"/>
              </w:rPr>
              <w:t>. It is absent otherwise.</w:t>
            </w:r>
          </w:p>
        </w:tc>
      </w:tr>
      <w:tr w:rsidR="00F747EB" w:rsidRPr="00FA0D37" w14:paraId="55CB0B06" w14:textId="77777777" w:rsidTr="00AE678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960EFA5" w14:textId="77777777" w:rsidR="00AE678F" w:rsidRPr="00FA0D37" w:rsidRDefault="00AE678F" w:rsidP="0071565C">
            <w:pPr>
              <w:pStyle w:val="TAL"/>
              <w:rPr>
                <w:i/>
                <w:lang w:eastAsia="en-GB"/>
              </w:rPr>
            </w:pPr>
            <w:r w:rsidRPr="00FA0D37">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36D64969" w14:textId="4E4B1769" w:rsidR="00AE678F" w:rsidRPr="00FA0D37" w:rsidRDefault="00AE678F" w:rsidP="0071565C">
            <w:pPr>
              <w:pStyle w:val="TAL"/>
              <w:rPr>
                <w:lang w:eastAsia="en-GB"/>
              </w:rPr>
            </w:pPr>
            <w:r w:rsidRPr="00FA0D37">
              <w:rPr>
                <w:lang w:eastAsia="en-GB"/>
              </w:rPr>
              <w:t xml:space="preserve">The field is optionally present, Need R, if </w:t>
            </w:r>
            <w:r w:rsidRPr="00FA0D37">
              <w:rPr>
                <w:i/>
                <w:iCs/>
                <w:lang w:eastAsia="en-GB"/>
              </w:rPr>
              <w:t>initialUplinkBWP-RedCap</w:t>
            </w:r>
            <w:r w:rsidRPr="00FA0D37">
              <w:rPr>
                <w:lang w:eastAsia="en-GB"/>
              </w:rPr>
              <w:t xml:space="preserve"> is configured in </w:t>
            </w:r>
            <w:r w:rsidRPr="00FA0D37">
              <w:rPr>
                <w:i/>
                <w:iCs/>
                <w:lang w:eastAsia="en-GB"/>
              </w:rPr>
              <w:t>UplinkConfigCommonSIB</w:t>
            </w:r>
            <w:r w:rsidR="007B252F" w:rsidRPr="00FA0D37">
              <w:rPr>
                <w:i/>
                <w:iCs/>
                <w:lang w:eastAsia="en-GB"/>
              </w:rPr>
              <w:t>,</w:t>
            </w:r>
            <w:r w:rsidRPr="00FA0D37">
              <w:rPr>
                <w:lang w:eastAsia="en-GB"/>
              </w:rPr>
              <w:t xml:space="preserve"> and if </w:t>
            </w:r>
            <w:r w:rsidRPr="00FA0D37">
              <w:rPr>
                <w:i/>
                <w:iCs/>
                <w:lang w:eastAsia="en-GB"/>
              </w:rPr>
              <w:t>posSI-BroadcastStatus</w:t>
            </w:r>
            <w:r w:rsidRPr="00FA0D37">
              <w:rPr>
                <w:lang w:eastAsia="en-GB"/>
              </w:rPr>
              <w:t xml:space="preserve"> is set to </w:t>
            </w:r>
            <w:r w:rsidRPr="00FA0D37">
              <w:rPr>
                <w:i/>
                <w:iCs/>
                <w:lang w:eastAsia="en-GB"/>
              </w:rPr>
              <w:t>notBroadcasting</w:t>
            </w:r>
            <w:r w:rsidRPr="00FA0D37">
              <w:rPr>
                <w:lang w:eastAsia="en-GB"/>
              </w:rPr>
              <w:t xml:space="preserve"> for any SI-message included in </w:t>
            </w:r>
            <w:r w:rsidR="007B252F" w:rsidRPr="00FA0D37">
              <w:rPr>
                <w:i/>
                <w:iCs/>
              </w:rPr>
              <w:t>posSchedulingInfoList</w:t>
            </w:r>
            <w:r w:rsidR="007B252F" w:rsidRPr="00FA0D37">
              <w:rPr>
                <w:rFonts w:eastAsia="宋体"/>
                <w:i/>
                <w:iCs/>
                <w:lang w:eastAsia="zh-CN"/>
              </w:rPr>
              <w:t xml:space="preserve"> </w:t>
            </w:r>
            <w:r w:rsidR="007B252F" w:rsidRPr="00FA0D37">
              <w:rPr>
                <w:rFonts w:eastAsia="宋体"/>
                <w:iCs/>
                <w:lang w:eastAsia="zh-CN"/>
              </w:rPr>
              <w:t>or if</w:t>
            </w:r>
            <w:r w:rsidR="007B252F" w:rsidRPr="00FA0D37">
              <w:rPr>
                <w:rFonts w:eastAsia="宋体"/>
                <w:i/>
                <w:lang w:eastAsia="zh-CN"/>
              </w:rPr>
              <w:t xml:space="preserve"> </w:t>
            </w:r>
            <w:r w:rsidR="007B252F" w:rsidRPr="00FA0D37">
              <w:rPr>
                <w:i/>
                <w:lang w:eastAsia="en-GB"/>
              </w:rPr>
              <w:t>si-BroadcastStatus</w:t>
            </w:r>
            <w:r w:rsidR="007B252F" w:rsidRPr="00FA0D37">
              <w:rPr>
                <w:lang w:eastAsia="en-GB"/>
              </w:rPr>
              <w:t xml:space="preserve"> is set to </w:t>
            </w:r>
            <w:r w:rsidR="007B252F" w:rsidRPr="00FA0D37">
              <w:rPr>
                <w:i/>
              </w:rPr>
              <w:t>notBroadcasting</w:t>
            </w:r>
            <w:r w:rsidR="007B252F" w:rsidRPr="00FA0D37">
              <w:rPr>
                <w:lang w:eastAsia="en-GB"/>
              </w:rPr>
              <w:t xml:space="preserve"> for any</w:t>
            </w:r>
            <w:r w:rsidR="007B252F" w:rsidRPr="00FA0D37">
              <w:rPr>
                <w:i/>
                <w:lang w:eastAsia="zh-CN"/>
              </w:rPr>
              <w:t xml:space="preserve"> </w:t>
            </w:r>
            <w:r w:rsidR="007B252F" w:rsidRPr="00FA0D37">
              <w:rPr>
                <w:rFonts w:cs="Arial"/>
                <w:szCs w:val="18"/>
              </w:rPr>
              <w:t>SI</w:t>
            </w:r>
            <w:r w:rsidR="007B252F" w:rsidRPr="00FA0D37">
              <w:rPr>
                <w:rFonts w:eastAsia="宋体" w:cs="Arial"/>
                <w:szCs w:val="18"/>
                <w:lang w:eastAsia="zh-CN"/>
              </w:rPr>
              <w:t>-</w:t>
            </w:r>
            <w:r w:rsidR="007B252F" w:rsidRPr="00FA0D37">
              <w:rPr>
                <w:rFonts w:cs="Arial"/>
                <w:szCs w:val="18"/>
              </w:rPr>
              <w:t xml:space="preserve">message containing type2 SIB </w:t>
            </w:r>
            <w:r w:rsidR="007B252F" w:rsidRPr="00FA0D37">
              <w:rPr>
                <w:lang w:eastAsia="en-GB"/>
              </w:rPr>
              <w:t>included in</w:t>
            </w:r>
            <w:r w:rsidR="007B252F" w:rsidRPr="00FA0D37">
              <w:rPr>
                <w:rFonts w:eastAsia="宋体" w:cs="Arial"/>
                <w:szCs w:val="18"/>
                <w:lang w:eastAsia="zh-CN"/>
              </w:rPr>
              <w:t xml:space="preserve"> </w:t>
            </w:r>
            <w:r w:rsidR="007B252F" w:rsidRPr="00FA0D37">
              <w:rPr>
                <w:i/>
                <w:iCs/>
              </w:rPr>
              <w:t>schedulingInfoList2</w:t>
            </w:r>
            <w:r w:rsidRPr="00FA0D37">
              <w:rPr>
                <w:lang w:eastAsia="en-GB"/>
              </w:rPr>
              <w:t>. It is absent otherwise.</w:t>
            </w:r>
          </w:p>
        </w:tc>
      </w:tr>
    </w:tbl>
    <w:p w14:paraId="5DF8E679" w14:textId="77777777" w:rsidR="00394471" w:rsidRPr="00FA0D37" w:rsidRDefault="00394471" w:rsidP="00394471">
      <w:pPr>
        <w:rPr>
          <w:rFonts w:eastAsia="宋体"/>
        </w:rPr>
      </w:pPr>
    </w:p>
    <w:p w14:paraId="30AEA60C" w14:textId="77777777" w:rsidR="00394471" w:rsidRPr="00FA0D37" w:rsidRDefault="00394471" w:rsidP="00394471">
      <w:pPr>
        <w:pStyle w:val="4"/>
        <w:rPr>
          <w:rFonts w:eastAsia="宋体"/>
          <w:i/>
          <w:noProof/>
        </w:rPr>
      </w:pPr>
      <w:bookmarkStart w:id="860" w:name="_Toc60777157"/>
      <w:bookmarkStart w:id="861" w:name="_Toc146781201"/>
      <w:r w:rsidRPr="00FA0D37">
        <w:rPr>
          <w:rFonts w:eastAsia="宋体"/>
        </w:rPr>
        <w:t>–</w:t>
      </w:r>
      <w:r w:rsidRPr="00FA0D37">
        <w:rPr>
          <w:rFonts w:eastAsia="宋体"/>
        </w:rPr>
        <w:tab/>
      </w:r>
      <w:r w:rsidRPr="00FA0D37">
        <w:rPr>
          <w:rFonts w:eastAsia="宋体"/>
          <w:i/>
          <w:noProof/>
        </w:rPr>
        <w:t>SIBpos</w:t>
      </w:r>
      <w:bookmarkEnd w:id="860"/>
      <w:bookmarkEnd w:id="861"/>
    </w:p>
    <w:p w14:paraId="3724D807" w14:textId="77777777" w:rsidR="00394471" w:rsidRPr="00FA0D37" w:rsidRDefault="00394471" w:rsidP="00394471">
      <w:r w:rsidRPr="00FA0D37">
        <w:t xml:space="preserve">The IE </w:t>
      </w:r>
      <w:r w:rsidRPr="00FA0D37">
        <w:rPr>
          <w:i/>
          <w:noProof/>
        </w:rPr>
        <w:t xml:space="preserve">SIBpos </w:t>
      </w:r>
      <w:r w:rsidRPr="00FA0D37">
        <w:rPr>
          <w:lang w:eastAsia="zh-CN"/>
        </w:rPr>
        <w:t>contains positioning assistance data as defined in TS 37.355 [49]</w:t>
      </w:r>
      <w:r w:rsidRPr="00FA0D37">
        <w:rPr>
          <w:noProof/>
        </w:rPr>
        <w:t>.</w:t>
      </w:r>
    </w:p>
    <w:p w14:paraId="1B804AD4" w14:textId="77777777" w:rsidR="00394471" w:rsidRPr="00FA0D37" w:rsidRDefault="00394471" w:rsidP="00394471">
      <w:pPr>
        <w:pStyle w:val="TH"/>
        <w:rPr>
          <w:bCs/>
          <w:i/>
          <w:iCs/>
        </w:rPr>
      </w:pPr>
      <w:r w:rsidRPr="00FA0D37">
        <w:rPr>
          <w:bCs/>
          <w:i/>
          <w:iCs/>
          <w:noProof/>
        </w:rPr>
        <w:t xml:space="preserve">SIBpos </w:t>
      </w:r>
      <w:r w:rsidRPr="00FA0D37">
        <w:rPr>
          <w:bCs/>
          <w:iCs/>
          <w:noProof/>
        </w:rPr>
        <w:t>information element</w:t>
      </w:r>
    </w:p>
    <w:p w14:paraId="23C36908" w14:textId="77777777" w:rsidR="00394471" w:rsidRPr="00FA0D37" w:rsidRDefault="00394471" w:rsidP="00FA0D37">
      <w:pPr>
        <w:pStyle w:val="PL"/>
        <w:rPr>
          <w:color w:val="808080"/>
        </w:rPr>
      </w:pPr>
      <w:r w:rsidRPr="00FA0D37">
        <w:rPr>
          <w:color w:val="808080"/>
        </w:rPr>
        <w:t>-- ASN1START</w:t>
      </w:r>
    </w:p>
    <w:p w14:paraId="1AA10C5C" w14:textId="77777777" w:rsidR="00394471" w:rsidRPr="00FA0D37" w:rsidRDefault="00394471" w:rsidP="00FA0D37">
      <w:pPr>
        <w:pStyle w:val="PL"/>
        <w:rPr>
          <w:color w:val="808080"/>
        </w:rPr>
      </w:pPr>
      <w:r w:rsidRPr="00FA0D37">
        <w:rPr>
          <w:color w:val="808080"/>
        </w:rPr>
        <w:t>-- TAG-SIPOS-START</w:t>
      </w:r>
    </w:p>
    <w:p w14:paraId="2F63DE98" w14:textId="77777777" w:rsidR="00394471" w:rsidRPr="00FA0D37" w:rsidRDefault="00394471" w:rsidP="00FA0D37">
      <w:pPr>
        <w:pStyle w:val="PL"/>
      </w:pPr>
    </w:p>
    <w:p w14:paraId="255F3766" w14:textId="77777777" w:rsidR="00394471" w:rsidRPr="00FA0D37" w:rsidRDefault="00394471" w:rsidP="00FA0D37">
      <w:pPr>
        <w:pStyle w:val="PL"/>
      </w:pPr>
      <w:r w:rsidRPr="00FA0D37">
        <w:t xml:space="preserve">SIBpos-r16 ::= </w:t>
      </w:r>
      <w:r w:rsidRPr="00FA0D37">
        <w:rPr>
          <w:color w:val="993366"/>
        </w:rPr>
        <w:t>SEQUENCE</w:t>
      </w:r>
      <w:r w:rsidRPr="00FA0D37">
        <w:t xml:space="preserve"> {</w:t>
      </w:r>
    </w:p>
    <w:p w14:paraId="50DD1726" w14:textId="77777777" w:rsidR="00394471" w:rsidRPr="00FA0D37" w:rsidRDefault="00394471" w:rsidP="00FA0D37">
      <w:pPr>
        <w:pStyle w:val="PL"/>
      </w:pPr>
      <w:r w:rsidRPr="00FA0D37">
        <w:t xml:space="preserve">    assistanceDataSIB-Element-r16        </w:t>
      </w:r>
      <w:r w:rsidRPr="00FA0D37">
        <w:rPr>
          <w:color w:val="993366"/>
        </w:rPr>
        <w:t>OCTET</w:t>
      </w:r>
      <w:r w:rsidRPr="00FA0D37">
        <w:t xml:space="preserve"> </w:t>
      </w:r>
      <w:r w:rsidRPr="00FA0D37">
        <w:rPr>
          <w:color w:val="993366"/>
        </w:rPr>
        <w:t>STRING</w:t>
      </w:r>
      <w:r w:rsidRPr="00FA0D37">
        <w:t>,</w:t>
      </w:r>
    </w:p>
    <w:p w14:paraId="4CCDF781"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49CDC85" w14:textId="77777777" w:rsidR="00394471" w:rsidRPr="00FA0D37" w:rsidRDefault="00394471" w:rsidP="00FA0D37">
      <w:pPr>
        <w:pStyle w:val="PL"/>
      </w:pPr>
      <w:r w:rsidRPr="00FA0D37">
        <w:t xml:space="preserve">    ...</w:t>
      </w:r>
    </w:p>
    <w:p w14:paraId="60C486D2" w14:textId="77777777" w:rsidR="00394471" w:rsidRPr="00FA0D37" w:rsidRDefault="00394471" w:rsidP="00FA0D37">
      <w:pPr>
        <w:pStyle w:val="PL"/>
        <w:rPr>
          <w:rFonts w:eastAsia="MS Mincho"/>
        </w:rPr>
      </w:pPr>
      <w:r w:rsidRPr="00FA0D37">
        <w:rPr>
          <w:rFonts w:eastAsia="MS Mincho"/>
        </w:rPr>
        <w:t>}</w:t>
      </w:r>
    </w:p>
    <w:p w14:paraId="6E752271" w14:textId="77777777" w:rsidR="00394471" w:rsidRPr="00FA0D37" w:rsidRDefault="00394471" w:rsidP="00FA0D37">
      <w:pPr>
        <w:pStyle w:val="PL"/>
      </w:pPr>
    </w:p>
    <w:p w14:paraId="1EB7486E" w14:textId="77777777" w:rsidR="00394471" w:rsidRPr="00FA0D37" w:rsidRDefault="00394471" w:rsidP="00FA0D37">
      <w:pPr>
        <w:pStyle w:val="PL"/>
        <w:rPr>
          <w:color w:val="808080"/>
        </w:rPr>
      </w:pPr>
      <w:r w:rsidRPr="00FA0D37">
        <w:rPr>
          <w:color w:val="808080"/>
        </w:rPr>
        <w:t>-- TAG-SIPOS-STOP</w:t>
      </w:r>
    </w:p>
    <w:p w14:paraId="786275B4" w14:textId="77777777" w:rsidR="00394471" w:rsidRPr="00FA0D37" w:rsidRDefault="00394471" w:rsidP="00FA0D37">
      <w:pPr>
        <w:pStyle w:val="PL"/>
        <w:rPr>
          <w:color w:val="808080"/>
        </w:rPr>
      </w:pPr>
      <w:r w:rsidRPr="00FA0D37">
        <w:rPr>
          <w:color w:val="808080"/>
        </w:rPr>
        <w:t>-- ASN1STOP</w:t>
      </w:r>
    </w:p>
    <w:p w14:paraId="744A811C" w14:textId="77777777" w:rsidR="00394471" w:rsidRPr="00FA0D37" w:rsidRDefault="00394471" w:rsidP="00394471">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5C7FF4" w:rsidRPr="00FA0D37" w14:paraId="0A2CC286"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947FFC9" w14:textId="77777777" w:rsidR="00394471" w:rsidRPr="00FA0D37" w:rsidRDefault="00394471" w:rsidP="00964CC4">
            <w:pPr>
              <w:pStyle w:val="TAH"/>
              <w:rPr>
                <w:lang w:eastAsia="en-GB"/>
              </w:rPr>
            </w:pPr>
            <w:r w:rsidRPr="00FA0D37">
              <w:rPr>
                <w:i/>
                <w:noProof/>
                <w:lang w:eastAsia="en-GB"/>
              </w:rPr>
              <w:t xml:space="preserve">SIBpos </w:t>
            </w:r>
            <w:r w:rsidRPr="00FA0D37">
              <w:rPr>
                <w:iCs/>
                <w:noProof/>
                <w:lang w:eastAsia="en-GB"/>
              </w:rPr>
              <w:t>field descriptions</w:t>
            </w:r>
          </w:p>
        </w:tc>
      </w:tr>
      <w:tr w:rsidR="00394471" w:rsidRPr="00FA0D37" w14:paraId="4EF5CF99"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2F55DC" w14:textId="77777777" w:rsidR="00394471" w:rsidRPr="00FA0D37" w:rsidRDefault="00394471" w:rsidP="00964CC4">
            <w:pPr>
              <w:pStyle w:val="TAL"/>
              <w:rPr>
                <w:b/>
                <w:i/>
                <w:lang w:eastAsia="zh-CN"/>
              </w:rPr>
            </w:pPr>
            <w:r w:rsidRPr="00FA0D37">
              <w:rPr>
                <w:b/>
                <w:i/>
                <w:lang w:eastAsia="zh-CN"/>
              </w:rPr>
              <w:t>assistanceDataSIB-Element</w:t>
            </w:r>
          </w:p>
          <w:p w14:paraId="1CFDC831" w14:textId="77777777" w:rsidR="00394471" w:rsidRPr="00FA0D37" w:rsidRDefault="00394471" w:rsidP="00964CC4">
            <w:pPr>
              <w:pStyle w:val="TAL"/>
              <w:rPr>
                <w:lang w:eastAsia="zh-CN"/>
              </w:rPr>
            </w:pPr>
            <w:r w:rsidRPr="00FA0D37">
              <w:rPr>
                <w:bCs/>
                <w:lang w:eastAsia="sv-SE"/>
              </w:rPr>
              <w:t xml:space="preserve">Parameter </w:t>
            </w:r>
            <w:r w:rsidRPr="00FA0D37">
              <w:rPr>
                <w:bCs/>
                <w:i/>
                <w:lang w:eastAsia="sv-SE"/>
              </w:rPr>
              <w:t xml:space="preserve">AssistanceDataSIBelement </w:t>
            </w:r>
            <w:r w:rsidRPr="00FA0D37">
              <w:rPr>
                <w:bCs/>
                <w:lang w:eastAsia="sv-SE"/>
              </w:rPr>
              <w:t>defined in TS 37.355 [49]. The first/leftmost bit of the first octet contains the most significant bit.</w:t>
            </w:r>
          </w:p>
        </w:tc>
      </w:tr>
    </w:tbl>
    <w:p w14:paraId="472A0B94" w14:textId="77777777" w:rsidR="00394471" w:rsidRPr="00FA0D37" w:rsidRDefault="00394471" w:rsidP="00394471"/>
    <w:p w14:paraId="330B154B" w14:textId="77777777" w:rsidR="00394471" w:rsidRPr="00FA0D37" w:rsidRDefault="00394471" w:rsidP="00394471">
      <w:pPr>
        <w:pStyle w:val="3"/>
      </w:pPr>
      <w:bookmarkStart w:id="862" w:name="_Toc60777158"/>
      <w:bookmarkStart w:id="863" w:name="_Toc146781202"/>
      <w:bookmarkStart w:id="864" w:name="_Hlk54206873"/>
      <w:r w:rsidRPr="00FA0D37">
        <w:t>6.3.2</w:t>
      </w:r>
      <w:r w:rsidRPr="00FA0D37">
        <w:tab/>
        <w:t>Radio resource control information elements</w:t>
      </w:r>
      <w:bookmarkEnd w:id="862"/>
      <w:bookmarkEnd w:id="863"/>
    </w:p>
    <w:p w14:paraId="4B3CA0A2" w14:textId="77777777" w:rsidR="00394471" w:rsidRPr="00FA0D37" w:rsidRDefault="00394471" w:rsidP="00394471">
      <w:pPr>
        <w:pStyle w:val="4"/>
      </w:pPr>
      <w:bookmarkStart w:id="865" w:name="_Toc60777159"/>
      <w:bookmarkStart w:id="866" w:name="_Toc146781203"/>
      <w:bookmarkEnd w:id="864"/>
      <w:r w:rsidRPr="00FA0D37">
        <w:t>–</w:t>
      </w:r>
      <w:r w:rsidRPr="00FA0D37">
        <w:tab/>
      </w:r>
      <w:r w:rsidRPr="00FA0D37">
        <w:rPr>
          <w:i/>
        </w:rPr>
        <w:t>AdditionalSpectrumEmission</w:t>
      </w:r>
      <w:bookmarkEnd w:id="865"/>
      <w:bookmarkEnd w:id="866"/>
    </w:p>
    <w:p w14:paraId="6FEB3E24" w14:textId="33807B48" w:rsidR="00394471" w:rsidRPr="00FA0D37" w:rsidRDefault="00394471" w:rsidP="00394471">
      <w:r w:rsidRPr="00FA0D37">
        <w:t>The IE</w:t>
      </w:r>
      <w:r w:rsidR="005431A1" w:rsidRPr="00FA0D37">
        <w:t>s</w:t>
      </w:r>
      <w:r w:rsidRPr="00FA0D37">
        <w:t xml:space="preserve"> </w:t>
      </w:r>
      <w:r w:rsidRPr="00FA0D37">
        <w:rPr>
          <w:i/>
        </w:rPr>
        <w:t>AdditionalSpectrumEmission</w:t>
      </w:r>
      <w:r w:rsidRPr="00FA0D37">
        <w:t xml:space="preserve"> </w:t>
      </w:r>
      <w:r w:rsidR="005431A1" w:rsidRPr="00FA0D37">
        <w:t xml:space="preserve">and </w:t>
      </w:r>
      <w:r w:rsidR="005431A1" w:rsidRPr="00FA0D37">
        <w:rPr>
          <w:i/>
        </w:rPr>
        <w:t>AdditionalSpectrumEmission-v1760</w:t>
      </w:r>
      <w:r w:rsidR="005431A1" w:rsidRPr="00FA0D37">
        <w:rPr>
          <w:iCs/>
        </w:rPr>
        <w:t xml:space="preserve"> are</w:t>
      </w:r>
      <w:r w:rsidRPr="00FA0D37">
        <w:t xml:space="preserve"> used to indicate emission requirements to be fulfilled by the UE (see TS 38.101-1 [15], clause 6.2.3</w:t>
      </w:r>
      <w:r w:rsidR="00B822E7" w:rsidRPr="00FA0D37">
        <w:t>/6.2A.3</w:t>
      </w:r>
      <w:r w:rsidRPr="00FA0D37">
        <w:t>, TS 38.101-2 [39], clause 6.2.3</w:t>
      </w:r>
      <w:r w:rsidR="00B822E7" w:rsidRPr="00FA0D37">
        <w:t>/6.2A.3</w:t>
      </w:r>
      <w:r w:rsidR="00862D3D" w:rsidRPr="00FA0D37">
        <w:t>, and TS 38.101-5 [75], clause 6.2.3</w:t>
      </w:r>
      <w:r w:rsidRPr="00FA0D37">
        <w:t>).</w:t>
      </w:r>
      <w:r w:rsidR="005431A1" w:rsidRPr="00FA0D37">
        <w:t xml:space="preserve"> If an extension is signalled using the extended value range (as defined by the IE </w:t>
      </w:r>
      <w:r w:rsidR="005431A1" w:rsidRPr="00FA0D37">
        <w:rPr>
          <w:i/>
        </w:rPr>
        <w:t>AdditionalSpectrumEmission-v1760)</w:t>
      </w:r>
      <w:r w:rsidR="005431A1" w:rsidRPr="00FA0D37">
        <w:rPr>
          <w:iCs/>
        </w:rPr>
        <w:t xml:space="preserve">, the corresponding original field, using the value range as defined by the IE </w:t>
      </w:r>
      <w:r w:rsidR="005431A1" w:rsidRPr="00FA0D37">
        <w:rPr>
          <w:i/>
        </w:rPr>
        <w:t>AdditionalSpectrumEmission</w:t>
      </w:r>
      <w:r w:rsidR="005431A1" w:rsidRPr="00FA0D37">
        <w:rPr>
          <w:iCs/>
        </w:rPr>
        <w:t xml:space="preserve"> (without suffix) shall be set to value 7.</w:t>
      </w:r>
    </w:p>
    <w:p w14:paraId="2EBBDC5F" w14:textId="77777777" w:rsidR="00394471" w:rsidRPr="00FA0D37" w:rsidRDefault="00394471" w:rsidP="00394471">
      <w:pPr>
        <w:pStyle w:val="TH"/>
      </w:pPr>
      <w:r w:rsidRPr="00FA0D37">
        <w:rPr>
          <w:i/>
        </w:rPr>
        <w:lastRenderedPageBreak/>
        <w:t>AdditionalSpectrumEmission</w:t>
      </w:r>
      <w:r w:rsidRPr="00FA0D37">
        <w:t xml:space="preserve"> information element</w:t>
      </w:r>
    </w:p>
    <w:p w14:paraId="7801F490" w14:textId="77777777" w:rsidR="00394471" w:rsidRPr="00FA0D37" w:rsidRDefault="00394471" w:rsidP="00FA0D37">
      <w:pPr>
        <w:pStyle w:val="PL"/>
        <w:rPr>
          <w:color w:val="808080"/>
        </w:rPr>
      </w:pPr>
      <w:r w:rsidRPr="00FA0D37">
        <w:rPr>
          <w:color w:val="808080"/>
        </w:rPr>
        <w:t>-- ASN1START</w:t>
      </w:r>
    </w:p>
    <w:p w14:paraId="7E102029" w14:textId="77777777" w:rsidR="00394471" w:rsidRPr="00FA0D37" w:rsidRDefault="00394471" w:rsidP="00FA0D37">
      <w:pPr>
        <w:pStyle w:val="PL"/>
        <w:rPr>
          <w:color w:val="808080"/>
        </w:rPr>
      </w:pPr>
      <w:r w:rsidRPr="00FA0D37">
        <w:rPr>
          <w:color w:val="808080"/>
        </w:rPr>
        <w:t>-- TAG-ADDITIONALSPECTRUMEMISSION-START</w:t>
      </w:r>
    </w:p>
    <w:p w14:paraId="4BAEBBCE" w14:textId="77777777" w:rsidR="00394471" w:rsidRPr="00FA0D37" w:rsidRDefault="00394471" w:rsidP="00FA0D37">
      <w:pPr>
        <w:pStyle w:val="PL"/>
      </w:pPr>
    </w:p>
    <w:p w14:paraId="0967B1DE" w14:textId="77777777" w:rsidR="00394471" w:rsidRPr="00FA0D37" w:rsidRDefault="00394471" w:rsidP="00FA0D37">
      <w:pPr>
        <w:pStyle w:val="PL"/>
      </w:pPr>
      <w:r w:rsidRPr="00FA0D37">
        <w:t xml:space="preserve">AdditionalSpectrumEmission ::=              </w:t>
      </w:r>
      <w:r w:rsidRPr="00FA0D37">
        <w:rPr>
          <w:color w:val="993366"/>
        </w:rPr>
        <w:t>INTEGER</w:t>
      </w:r>
      <w:r w:rsidRPr="00FA0D37">
        <w:t xml:space="preserve"> (0..7)</w:t>
      </w:r>
    </w:p>
    <w:p w14:paraId="3F7736F3" w14:textId="77777777" w:rsidR="005431A1" w:rsidRPr="00FA0D37" w:rsidRDefault="005431A1" w:rsidP="00FA0D37">
      <w:pPr>
        <w:pStyle w:val="PL"/>
      </w:pPr>
    </w:p>
    <w:p w14:paraId="6A1F57EE" w14:textId="6EACE78E" w:rsidR="00394471" w:rsidRPr="00FA0D37" w:rsidRDefault="005431A1" w:rsidP="00FA0D37">
      <w:pPr>
        <w:pStyle w:val="PL"/>
      </w:pPr>
      <w:r w:rsidRPr="00FA0D37">
        <w:t xml:space="preserve">AdditionalSpectrumEmission-v1760 ::=        </w:t>
      </w:r>
      <w:r w:rsidRPr="00FA0D37">
        <w:rPr>
          <w:color w:val="993366"/>
        </w:rPr>
        <w:t>INTEGER</w:t>
      </w:r>
      <w:r w:rsidRPr="00FA0D37">
        <w:t xml:space="preserve"> (8..39)</w:t>
      </w:r>
    </w:p>
    <w:p w14:paraId="7D9C549B" w14:textId="77777777" w:rsidR="005431A1" w:rsidRPr="00FA0D37" w:rsidRDefault="005431A1" w:rsidP="00FA0D37">
      <w:pPr>
        <w:pStyle w:val="PL"/>
      </w:pPr>
    </w:p>
    <w:p w14:paraId="4F7D2DD6" w14:textId="77777777" w:rsidR="00394471" w:rsidRPr="00FA0D37" w:rsidRDefault="00394471" w:rsidP="00FA0D37">
      <w:pPr>
        <w:pStyle w:val="PL"/>
        <w:rPr>
          <w:color w:val="808080"/>
        </w:rPr>
      </w:pPr>
      <w:r w:rsidRPr="00FA0D37">
        <w:rPr>
          <w:color w:val="808080"/>
        </w:rPr>
        <w:t>-- TAG-ADDITIONALSPECTRUMEMISSION-STOP</w:t>
      </w:r>
    </w:p>
    <w:p w14:paraId="1054458F" w14:textId="77777777" w:rsidR="00394471" w:rsidRPr="00FA0D37" w:rsidRDefault="00394471" w:rsidP="00FA0D37">
      <w:pPr>
        <w:pStyle w:val="PL"/>
        <w:rPr>
          <w:color w:val="808080"/>
        </w:rPr>
      </w:pPr>
      <w:r w:rsidRPr="00FA0D37">
        <w:rPr>
          <w:color w:val="808080"/>
        </w:rPr>
        <w:t>-- ASN1STOP</w:t>
      </w:r>
    </w:p>
    <w:p w14:paraId="0BFD381F" w14:textId="77777777" w:rsidR="00394471" w:rsidRPr="00FA0D37" w:rsidRDefault="00394471" w:rsidP="00394471"/>
    <w:p w14:paraId="0C5EC772" w14:textId="77777777" w:rsidR="00394471" w:rsidRPr="00FA0D37" w:rsidRDefault="00394471" w:rsidP="00394471">
      <w:pPr>
        <w:pStyle w:val="4"/>
      </w:pPr>
      <w:bookmarkStart w:id="867" w:name="_Toc60777160"/>
      <w:bookmarkStart w:id="868" w:name="_Toc146781204"/>
      <w:r w:rsidRPr="00FA0D37">
        <w:t>–</w:t>
      </w:r>
      <w:r w:rsidRPr="00FA0D37">
        <w:tab/>
      </w:r>
      <w:r w:rsidRPr="00FA0D37">
        <w:rPr>
          <w:i/>
        </w:rPr>
        <w:t>Alpha</w:t>
      </w:r>
      <w:bookmarkEnd w:id="867"/>
      <w:bookmarkEnd w:id="868"/>
    </w:p>
    <w:p w14:paraId="2B160D26" w14:textId="77777777" w:rsidR="00394471" w:rsidRPr="00FA0D37" w:rsidRDefault="00394471" w:rsidP="00394471">
      <w:r w:rsidRPr="00FA0D37">
        <w:t xml:space="preserve">The IE </w:t>
      </w:r>
      <w:r w:rsidRPr="00FA0D37">
        <w:rPr>
          <w:i/>
        </w:rPr>
        <w:t>Alpha</w:t>
      </w:r>
      <w:r w:rsidRPr="00FA0D37">
        <w:t xml:space="preserve"> defines possible values of a the pathloss compensation coefficient for uplink power control. Value </w:t>
      </w:r>
      <w:r w:rsidRPr="00FA0D37">
        <w:rPr>
          <w:i/>
        </w:rPr>
        <w:t>alpha0</w:t>
      </w:r>
      <w:r w:rsidRPr="00FA0D37">
        <w:t xml:space="preserve"> corresponds to the value 0, Value </w:t>
      </w:r>
      <w:r w:rsidRPr="00FA0D37">
        <w:rPr>
          <w:i/>
        </w:rPr>
        <w:t>alpha04</w:t>
      </w:r>
      <w:r w:rsidRPr="00FA0D37">
        <w:t xml:space="preserve"> corresponds to the value 0.4, Value </w:t>
      </w:r>
      <w:r w:rsidRPr="00FA0D37">
        <w:rPr>
          <w:i/>
        </w:rPr>
        <w:t>alpha05</w:t>
      </w:r>
      <w:r w:rsidRPr="00FA0D37">
        <w:t xml:space="preserve"> corresponds to the value 0.5 and so on. Value </w:t>
      </w:r>
      <w:r w:rsidRPr="00FA0D37">
        <w:rPr>
          <w:i/>
        </w:rPr>
        <w:t>alpha1</w:t>
      </w:r>
      <w:r w:rsidRPr="00FA0D37">
        <w:t xml:space="preserve"> corresponds to value 1. See also clause 7.1 of TS 38.213 [13].</w:t>
      </w:r>
    </w:p>
    <w:p w14:paraId="08032F25" w14:textId="77777777" w:rsidR="00394471" w:rsidRPr="00FA0D37" w:rsidRDefault="00394471" w:rsidP="00FA0D37">
      <w:pPr>
        <w:pStyle w:val="PL"/>
        <w:rPr>
          <w:color w:val="808080"/>
        </w:rPr>
      </w:pPr>
      <w:r w:rsidRPr="00FA0D37">
        <w:rPr>
          <w:color w:val="808080"/>
        </w:rPr>
        <w:t>-- ASN1START</w:t>
      </w:r>
    </w:p>
    <w:p w14:paraId="7D3444BA" w14:textId="77777777" w:rsidR="00394471" w:rsidRPr="00FA0D37" w:rsidRDefault="00394471" w:rsidP="00FA0D37">
      <w:pPr>
        <w:pStyle w:val="PL"/>
        <w:rPr>
          <w:color w:val="808080"/>
        </w:rPr>
      </w:pPr>
      <w:r w:rsidRPr="00FA0D37">
        <w:rPr>
          <w:color w:val="808080"/>
        </w:rPr>
        <w:t>-- TAG-ALPHA-START</w:t>
      </w:r>
    </w:p>
    <w:p w14:paraId="593D8CCE" w14:textId="77777777" w:rsidR="00394471" w:rsidRPr="00FA0D37" w:rsidRDefault="00394471" w:rsidP="00FA0D37">
      <w:pPr>
        <w:pStyle w:val="PL"/>
      </w:pPr>
    </w:p>
    <w:p w14:paraId="294F90C8" w14:textId="77777777" w:rsidR="00394471" w:rsidRPr="00FA0D37" w:rsidRDefault="00394471" w:rsidP="00FA0D37">
      <w:pPr>
        <w:pStyle w:val="PL"/>
      </w:pPr>
      <w:r w:rsidRPr="00FA0D37">
        <w:t xml:space="preserve">Alpha ::=                       </w:t>
      </w:r>
      <w:r w:rsidRPr="00FA0D37">
        <w:rPr>
          <w:color w:val="993366"/>
        </w:rPr>
        <w:t>ENUMERATED</w:t>
      </w:r>
      <w:r w:rsidRPr="00FA0D37">
        <w:t xml:space="preserve"> {alpha0, alpha04, alpha05, alpha06, alpha07, alpha08, alpha09, alpha1}</w:t>
      </w:r>
    </w:p>
    <w:p w14:paraId="6C72093E" w14:textId="77777777" w:rsidR="00394471" w:rsidRPr="00FA0D37" w:rsidRDefault="00394471" w:rsidP="00FA0D37">
      <w:pPr>
        <w:pStyle w:val="PL"/>
      </w:pPr>
    </w:p>
    <w:p w14:paraId="6DD97F64" w14:textId="77777777" w:rsidR="00394471" w:rsidRPr="00FA0D37" w:rsidRDefault="00394471" w:rsidP="00FA0D37">
      <w:pPr>
        <w:pStyle w:val="PL"/>
        <w:rPr>
          <w:color w:val="808080"/>
        </w:rPr>
      </w:pPr>
      <w:r w:rsidRPr="00FA0D37">
        <w:rPr>
          <w:color w:val="808080"/>
        </w:rPr>
        <w:t>-- TAG-ALPHA-STOP</w:t>
      </w:r>
    </w:p>
    <w:p w14:paraId="4BF90082" w14:textId="77777777" w:rsidR="00394471" w:rsidRPr="00FA0D37" w:rsidRDefault="00394471" w:rsidP="00FA0D37">
      <w:pPr>
        <w:pStyle w:val="PL"/>
        <w:rPr>
          <w:color w:val="808080"/>
        </w:rPr>
      </w:pPr>
      <w:r w:rsidRPr="00FA0D37">
        <w:rPr>
          <w:color w:val="808080"/>
        </w:rPr>
        <w:t>-- ASN1STOP</w:t>
      </w:r>
    </w:p>
    <w:p w14:paraId="2A956BB2" w14:textId="77777777" w:rsidR="00394471" w:rsidRPr="00FA0D37" w:rsidRDefault="00394471" w:rsidP="00394471"/>
    <w:p w14:paraId="415157CB" w14:textId="77777777" w:rsidR="00394471" w:rsidRPr="00FA0D37" w:rsidRDefault="00394471" w:rsidP="00394471">
      <w:pPr>
        <w:pStyle w:val="4"/>
      </w:pPr>
      <w:bookmarkStart w:id="869" w:name="_Toc60777161"/>
      <w:bookmarkStart w:id="870" w:name="_Toc146781205"/>
      <w:r w:rsidRPr="00FA0D37">
        <w:t>–</w:t>
      </w:r>
      <w:r w:rsidRPr="00FA0D37">
        <w:tab/>
      </w:r>
      <w:r w:rsidRPr="00FA0D37">
        <w:rPr>
          <w:i/>
        </w:rPr>
        <w:t>AMF-Identifier</w:t>
      </w:r>
      <w:bookmarkEnd w:id="869"/>
      <w:bookmarkEnd w:id="870"/>
    </w:p>
    <w:p w14:paraId="68A1CF33" w14:textId="77777777" w:rsidR="00394471" w:rsidRPr="00FA0D37" w:rsidRDefault="00394471" w:rsidP="00394471">
      <w:r w:rsidRPr="00FA0D37">
        <w:t xml:space="preserve">The IE </w:t>
      </w:r>
      <w:r w:rsidRPr="00FA0D37">
        <w:rPr>
          <w:i/>
        </w:rPr>
        <w:t xml:space="preserve">AMF-Identifier </w:t>
      </w:r>
      <w:r w:rsidRPr="00FA0D37">
        <w:t>(AMFI) comprises of an AMF Region ID, an AMF Set ID and an AMF Pointer as specified in TS 23.003 [21], clause 2.10.1.</w:t>
      </w:r>
    </w:p>
    <w:p w14:paraId="2296CA2B" w14:textId="77777777" w:rsidR="00394471" w:rsidRPr="00FA0D37" w:rsidRDefault="00394471" w:rsidP="00394471">
      <w:pPr>
        <w:pStyle w:val="TH"/>
      </w:pPr>
      <w:r w:rsidRPr="00FA0D37">
        <w:rPr>
          <w:i/>
        </w:rPr>
        <w:t>AMF-Identifier</w:t>
      </w:r>
      <w:r w:rsidRPr="00FA0D37">
        <w:t xml:space="preserve"> information element</w:t>
      </w:r>
    </w:p>
    <w:p w14:paraId="0DD6AA04" w14:textId="77777777" w:rsidR="00394471" w:rsidRPr="00FA0D37" w:rsidRDefault="00394471" w:rsidP="00FA0D37">
      <w:pPr>
        <w:pStyle w:val="PL"/>
        <w:rPr>
          <w:color w:val="808080"/>
        </w:rPr>
      </w:pPr>
      <w:r w:rsidRPr="00FA0D37">
        <w:rPr>
          <w:color w:val="808080"/>
        </w:rPr>
        <w:t>-- ASN1START</w:t>
      </w:r>
    </w:p>
    <w:p w14:paraId="7F451F7C" w14:textId="77777777" w:rsidR="00394471" w:rsidRPr="00FA0D37" w:rsidRDefault="00394471" w:rsidP="00FA0D37">
      <w:pPr>
        <w:pStyle w:val="PL"/>
        <w:rPr>
          <w:color w:val="808080"/>
        </w:rPr>
      </w:pPr>
      <w:r w:rsidRPr="00FA0D37">
        <w:rPr>
          <w:color w:val="808080"/>
        </w:rPr>
        <w:t>-- TAG-AMF-IDENTIFIER-START</w:t>
      </w:r>
    </w:p>
    <w:p w14:paraId="19D5D58E" w14:textId="77777777" w:rsidR="00394471" w:rsidRPr="00FA0D37" w:rsidRDefault="00394471" w:rsidP="00FA0D37">
      <w:pPr>
        <w:pStyle w:val="PL"/>
      </w:pPr>
    </w:p>
    <w:p w14:paraId="3B6E65A7" w14:textId="77777777" w:rsidR="00394471" w:rsidRPr="00FA0D37" w:rsidRDefault="00394471" w:rsidP="00FA0D37">
      <w:pPr>
        <w:pStyle w:val="PL"/>
      </w:pPr>
      <w:r w:rsidRPr="00FA0D37">
        <w:t xml:space="preserve">AMF-Identifier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(24))</w:t>
      </w:r>
    </w:p>
    <w:p w14:paraId="153E92EF" w14:textId="77777777" w:rsidR="00394471" w:rsidRPr="00FA0D37" w:rsidRDefault="00394471" w:rsidP="00FA0D37">
      <w:pPr>
        <w:pStyle w:val="PL"/>
      </w:pPr>
    </w:p>
    <w:p w14:paraId="1C979772" w14:textId="77777777" w:rsidR="00394471" w:rsidRPr="00FA0D37" w:rsidRDefault="00394471" w:rsidP="00FA0D37">
      <w:pPr>
        <w:pStyle w:val="PL"/>
        <w:rPr>
          <w:color w:val="808080"/>
        </w:rPr>
      </w:pPr>
      <w:r w:rsidRPr="00FA0D37">
        <w:rPr>
          <w:color w:val="808080"/>
        </w:rPr>
        <w:t>-- TAG-AMF-IDENTIFIER-STOP</w:t>
      </w:r>
    </w:p>
    <w:p w14:paraId="7E99A1DD" w14:textId="77777777" w:rsidR="00394471" w:rsidRPr="00FA0D37" w:rsidRDefault="00394471" w:rsidP="00FA0D37">
      <w:pPr>
        <w:pStyle w:val="PL"/>
        <w:rPr>
          <w:color w:val="808080"/>
        </w:rPr>
      </w:pPr>
      <w:r w:rsidRPr="00FA0D37">
        <w:rPr>
          <w:color w:val="808080"/>
        </w:rPr>
        <w:t>-- ASN1STOP</w:t>
      </w:r>
    </w:p>
    <w:p w14:paraId="66E396FD" w14:textId="77777777" w:rsidR="00394471" w:rsidRPr="00FA0D37" w:rsidRDefault="00394471" w:rsidP="00394471"/>
    <w:p w14:paraId="442463EB" w14:textId="77777777" w:rsidR="00394471" w:rsidRPr="00FA0D37" w:rsidRDefault="00394471" w:rsidP="00394471">
      <w:pPr>
        <w:pStyle w:val="4"/>
      </w:pPr>
      <w:bookmarkStart w:id="871" w:name="_Toc60777162"/>
      <w:bookmarkStart w:id="872" w:name="_Toc146781206"/>
      <w:r w:rsidRPr="00FA0D37">
        <w:t>–</w:t>
      </w:r>
      <w:r w:rsidRPr="00FA0D37">
        <w:tab/>
      </w:r>
      <w:r w:rsidRPr="00FA0D37">
        <w:rPr>
          <w:i/>
          <w:noProof/>
        </w:rPr>
        <w:t>ARFCN-ValueEUTRA</w:t>
      </w:r>
      <w:bookmarkEnd w:id="871"/>
      <w:bookmarkEnd w:id="872"/>
    </w:p>
    <w:p w14:paraId="4319F973" w14:textId="77777777" w:rsidR="00394471" w:rsidRPr="00FA0D37" w:rsidRDefault="00394471" w:rsidP="00394471">
      <w:pPr>
        <w:rPr>
          <w:iCs/>
        </w:rPr>
      </w:pPr>
      <w:r w:rsidRPr="00FA0D37">
        <w:t xml:space="preserve">The IE </w:t>
      </w:r>
      <w:r w:rsidRPr="00FA0D37">
        <w:rPr>
          <w:i/>
          <w:noProof/>
        </w:rPr>
        <w:t>ARFCN-ValueEUTRA</w:t>
      </w:r>
      <w:r w:rsidRPr="00FA0D37">
        <w:rPr>
          <w:iCs/>
        </w:rPr>
        <w:t xml:space="preserve"> is used to indicate the ARFCN applicable for a downlink, uplink or bi-directional (TDD) E-UTRA carrier frequency, as defined in TS 36.101 [22].</w:t>
      </w:r>
    </w:p>
    <w:p w14:paraId="56838AC4" w14:textId="77777777" w:rsidR="00394471" w:rsidRPr="00FA0D37" w:rsidRDefault="00394471" w:rsidP="00394471">
      <w:pPr>
        <w:pStyle w:val="TH"/>
      </w:pPr>
      <w:r w:rsidRPr="00FA0D37">
        <w:rPr>
          <w:bCs/>
          <w:i/>
          <w:iCs/>
        </w:rPr>
        <w:lastRenderedPageBreak/>
        <w:t xml:space="preserve">ARFCN-ValueEUTRA </w:t>
      </w:r>
      <w:r w:rsidRPr="00FA0D37">
        <w:t>information element</w:t>
      </w:r>
    </w:p>
    <w:p w14:paraId="0F6F60D1" w14:textId="77777777" w:rsidR="00394471" w:rsidRPr="00FA0D37" w:rsidRDefault="00394471" w:rsidP="00FA0D37">
      <w:pPr>
        <w:pStyle w:val="PL"/>
        <w:rPr>
          <w:color w:val="808080"/>
        </w:rPr>
      </w:pPr>
      <w:r w:rsidRPr="00FA0D37">
        <w:rPr>
          <w:color w:val="808080"/>
        </w:rPr>
        <w:t>-- ASN1START</w:t>
      </w:r>
    </w:p>
    <w:p w14:paraId="3EE1DCB6" w14:textId="77777777" w:rsidR="00394471" w:rsidRPr="00FA0D37" w:rsidRDefault="00394471" w:rsidP="00FA0D37">
      <w:pPr>
        <w:pStyle w:val="PL"/>
        <w:rPr>
          <w:color w:val="808080"/>
        </w:rPr>
      </w:pPr>
      <w:r w:rsidRPr="00FA0D37">
        <w:rPr>
          <w:color w:val="808080"/>
        </w:rPr>
        <w:t>-- TAG-ARFCN-VALUEEUTRA-START</w:t>
      </w:r>
    </w:p>
    <w:p w14:paraId="79DD0117" w14:textId="77777777" w:rsidR="00394471" w:rsidRPr="00FA0D37" w:rsidRDefault="00394471" w:rsidP="00FA0D37">
      <w:pPr>
        <w:pStyle w:val="PL"/>
      </w:pPr>
    </w:p>
    <w:p w14:paraId="2E7FBA6E" w14:textId="77777777" w:rsidR="00394471" w:rsidRPr="00FA0D37" w:rsidRDefault="00394471" w:rsidP="00FA0D37">
      <w:pPr>
        <w:pStyle w:val="PL"/>
      </w:pPr>
      <w:r w:rsidRPr="00FA0D37">
        <w:t xml:space="preserve">ARFCN-ValueEUTRA ::=                </w:t>
      </w:r>
      <w:r w:rsidRPr="00FA0D37">
        <w:rPr>
          <w:color w:val="993366"/>
        </w:rPr>
        <w:t>INTEGER</w:t>
      </w:r>
      <w:r w:rsidRPr="00FA0D37">
        <w:t xml:space="preserve"> (0..maxEARFCN)</w:t>
      </w:r>
    </w:p>
    <w:p w14:paraId="751FD72A" w14:textId="77777777" w:rsidR="00394471" w:rsidRPr="00FA0D37" w:rsidRDefault="00394471" w:rsidP="00FA0D37">
      <w:pPr>
        <w:pStyle w:val="PL"/>
      </w:pPr>
    </w:p>
    <w:p w14:paraId="618E51DA" w14:textId="77777777" w:rsidR="00394471" w:rsidRPr="00FA0D37" w:rsidRDefault="00394471" w:rsidP="00FA0D37">
      <w:pPr>
        <w:pStyle w:val="PL"/>
        <w:rPr>
          <w:color w:val="808080"/>
        </w:rPr>
      </w:pPr>
      <w:r w:rsidRPr="00FA0D37">
        <w:rPr>
          <w:color w:val="808080"/>
        </w:rPr>
        <w:t>-- TAG-ARFCN-VALUEEUTRA-STOP</w:t>
      </w:r>
    </w:p>
    <w:p w14:paraId="2BE7121B" w14:textId="77777777" w:rsidR="00394471" w:rsidRPr="00FA0D37" w:rsidRDefault="00394471" w:rsidP="00FA0D37">
      <w:pPr>
        <w:pStyle w:val="PL"/>
        <w:rPr>
          <w:color w:val="808080"/>
        </w:rPr>
      </w:pPr>
      <w:r w:rsidRPr="00FA0D37">
        <w:rPr>
          <w:color w:val="808080"/>
        </w:rPr>
        <w:t>-- ASN1STOP</w:t>
      </w:r>
    </w:p>
    <w:p w14:paraId="5AAE5D97" w14:textId="77777777" w:rsidR="00394471" w:rsidRPr="00FA0D37" w:rsidRDefault="00394471" w:rsidP="00394471"/>
    <w:p w14:paraId="6E494424" w14:textId="77777777" w:rsidR="00394471" w:rsidRPr="00FA0D37" w:rsidRDefault="00394471" w:rsidP="00394471">
      <w:pPr>
        <w:pStyle w:val="4"/>
      </w:pPr>
      <w:bookmarkStart w:id="873" w:name="_Toc60777163"/>
      <w:bookmarkStart w:id="874" w:name="_Toc146781207"/>
      <w:r w:rsidRPr="00FA0D37">
        <w:t>–</w:t>
      </w:r>
      <w:r w:rsidRPr="00FA0D37">
        <w:tab/>
      </w:r>
      <w:r w:rsidRPr="00FA0D37">
        <w:rPr>
          <w:i/>
        </w:rPr>
        <w:t>ARFCN-ValueNR</w:t>
      </w:r>
      <w:bookmarkEnd w:id="873"/>
      <w:bookmarkEnd w:id="874"/>
    </w:p>
    <w:p w14:paraId="0BC81490" w14:textId="43FEEC97" w:rsidR="00394471" w:rsidRPr="00FA0D37" w:rsidRDefault="00394471" w:rsidP="00394471">
      <w:r w:rsidRPr="00FA0D37">
        <w:t xml:space="preserve">The IE </w:t>
      </w:r>
      <w:r w:rsidRPr="00FA0D37">
        <w:rPr>
          <w:i/>
        </w:rPr>
        <w:t>ARFCN-ValueNR</w:t>
      </w:r>
      <w:r w:rsidRPr="00FA0D37">
        <w:t xml:space="preserve"> is used to indicate the ARFCN applicable for a downlink, uplink or bi-directional (TDD) NR global frequency raster, as defined in TS 38.101-1 [15]</w:t>
      </w:r>
      <w:r w:rsidR="00862D3D" w:rsidRPr="00FA0D37">
        <w:t>,</w:t>
      </w:r>
      <w:r w:rsidRPr="00FA0D37">
        <w:t xml:space="preserve"> TS 38.101-2 [39]</w:t>
      </w:r>
      <w:r w:rsidR="00862D3D" w:rsidRPr="00FA0D37">
        <w:t xml:space="preserve"> and TS 38.101-5 [75]</w:t>
      </w:r>
      <w:r w:rsidRPr="00FA0D37">
        <w:t>, clause 5.4.2.</w:t>
      </w:r>
    </w:p>
    <w:p w14:paraId="15C998FB" w14:textId="77777777" w:rsidR="00394471" w:rsidRPr="00FA0D37" w:rsidRDefault="00394471" w:rsidP="00FA0D37">
      <w:pPr>
        <w:pStyle w:val="PL"/>
        <w:rPr>
          <w:color w:val="808080"/>
        </w:rPr>
      </w:pPr>
      <w:r w:rsidRPr="00FA0D37">
        <w:rPr>
          <w:color w:val="808080"/>
        </w:rPr>
        <w:t>-- ASN1START</w:t>
      </w:r>
    </w:p>
    <w:p w14:paraId="71FE7F4A" w14:textId="77777777" w:rsidR="00394471" w:rsidRPr="00FA0D37" w:rsidRDefault="00394471" w:rsidP="00FA0D37">
      <w:pPr>
        <w:pStyle w:val="PL"/>
        <w:rPr>
          <w:color w:val="808080"/>
        </w:rPr>
      </w:pPr>
      <w:r w:rsidRPr="00FA0D37">
        <w:rPr>
          <w:color w:val="808080"/>
        </w:rPr>
        <w:t>-- TAG-ARFCN-VALUENR-START</w:t>
      </w:r>
    </w:p>
    <w:p w14:paraId="4B663D3B" w14:textId="77777777" w:rsidR="00394471" w:rsidRPr="00FA0D37" w:rsidRDefault="00394471" w:rsidP="00FA0D37">
      <w:pPr>
        <w:pStyle w:val="PL"/>
      </w:pPr>
    </w:p>
    <w:p w14:paraId="2C47EA4F" w14:textId="77777777" w:rsidR="00394471" w:rsidRPr="00FA0D37" w:rsidRDefault="00394471" w:rsidP="00FA0D37">
      <w:pPr>
        <w:pStyle w:val="PL"/>
      </w:pPr>
      <w:r w:rsidRPr="00FA0D37">
        <w:t xml:space="preserve">ARFCN-ValueNR ::=               </w:t>
      </w:r>
      <w:r w:rsidRPr="00FA0D37">
        <w:rPr>
          <w:color w:val="993366"/>
        </w:rPr>
        <w:t>INTEGER</w:t>
      </w:r>
      <w:r w:rsidRPr="00FA0D37">
        <w:t xml:space="preserve"> (0..maxNARFCN)</w:t>
      </w:r>
    </w:p>
    <w:p w14:paraId="5DF4A56D" w14:textId="77777777" w:rsidR="00394471" w:rsidRPr="00FA0D37" w:rsidRDefault="00394471" w:rsidP="00FA0D37">
      <w:pPr>
        <w:pStyle w:val="PL"/>
      </w:pPr>
    </w:p>
    <w:p w14:paraId="0D7B2071" w14:textId="77777777" w:rsidR="00394471" w:rsidRPr="00FA0D37" w:rsidRDefault="00394471" w:rsidP="00FA0D37">
      <w:pPr>
        <w:pStyle w:val="PL"/>
        <w:rPr>
          <w:color w:val="808080"/>
        </w:rPr>
      </w:pPr>
      <w:r w:rsidRPr="00FA0D37">
        <w:rPr>
          <w:color w:val="808080"/>
        </w:rPr>
        <w:t>-- TAG-ARFCN-VALUENR-STOP</w:t>
      </w:r>
    </w:p>
    <w:p w14:paraId="47983A5C" w14:textId="77777777" w:rsidR="00394471" w:rsidRPr="00FA0D37" w:rsidRDefault="00394471" w:rsidP="00FA0D37">
      <w:pPr>
        <w:pStyle w:val="PL"/>
        <w:rPr>
          <w:color w:val="808080"/>
        </w:rPr>
      </w:pPr>
      <w:r w:rsidRPr="00FA0D37">
        <w:rPr>
          <w:color w:val="808080"/>
        </w:rPr>
        <w:t>-- ASN1STOP</w:t>
      </w:r>
    </w:p>
    <w:p w14:paraId="3603B4D0" w14:textId="77777777" w:rsidR="00394471" w:rsidRPr="00FA0D37" w:rsidRDefault="00394471" w:rsidP="00394471"/>
    <w:p w14:paraId="473C5DCA" w14:textId="77777777" w:rsidR="00394471" w:rsidRPr="00FA0D37" w:rsidRDefault="00394471" w:rsidP="00394471">
      <w:pPr>
        <w:pStyle w:val="4"/>
        <w:ind w:left="1416" w:hangingChars="590" w:hanging="1416"/>
        <w:rPr>
          <w:lang w:eastAsia="en-US"/>
        </w:rPr>
      </w:pPr>
      <w:bookmarkStart w:id="875" w:name="_Toc60777164"/>
      <w:bookmarkStart w:id="876" w:name="_Toc146781208"/>
      <w:r w:rsidRPr="00FA0D37">
        <w:t>–</w:t>
      </w:r>
      <w:r w:rsidRPr="00FA0D37">
        <w:tab/>
      </w:r>
      <w:r w:rsidRPr="00FA0D37">
        <w:rPr>
          <w:i/>
          <w:noProof/>
        </w:rPr>
        <w:t>ARFCN-ValueUTRA-FDD</w:t>
      </w:r>
      <w:bookmarkEnd w:id="875"/>
      <w:bookmarkEnd w:id="876"/>
    </w:p>
    <w:p w14:paraId="71E6DA22" w14:textId="77777777" w:rsidR="00394471" w:rsidRPr="00FA0D37" w:rsidRDefault="00394471" w:rsidP="00394471">
      <w:pPr>
        <w:rPr>
          <w:iCs/>
        </w:rPr>
      </w:pPr>
      <w:r w:rsidRPr="00FA0D37">
        <w:t xml:space="preserve">The IE </w:t>
      </w:r>
      <w:r w:rsidRPr="00FA0D37">
        <w:rPr>
          <w:i/>
          <w:noProof/>
        </w:rPr>
        <w:t>ARFCN-ValueUTRA-FDD</w:t>
      </w:r>
      <w:r w:rsidRPr="00FA0D37">
        <w:rPr>
          <w:iCs/>
        </w:rPr>
        <w:t xml:space="preserve"> is used to indicate the ARFCN applicable for a downlink (Nd, FDD) UTRA-FDD carrier frequency, as defined in TS 25.331 [45].</w:t>
      </w:r>
    </w:p>
    <w:p w14:paraId="404B3CB1" w14:textId="77777777" w:rsidR="00394471" w:rsidRPr="00FA0D37" w:rsidRDefault="00394471" w:rsidP="00394471">
      <w:pPr>
        <w:pStyle w:val="TH"/>
      </w:pPr>
      <w:r w:rsidRPr="00FA0D37">
        <w:rPr>
          <w:bCs/>
          <w:i/>
          <w:iCs/>
        </w:rPr>
        <w:t>ARFCN-ValueUTRA-FDD</w:t>
      </w:r>
      <w:r w:rsidRPr="00FA0D37">
        <w:t xml:space="preserve"> information element</w:t>
      </w:r>
    </w:p>
    <w:p w14:paraId="21643356" w14:textId="77777777" w:rsidR="00394471" w:rsidRPr="00FA0D37" w:rsidRDefault="00394471" w:rsidP="00FA0D37">
      <w:pPr>
        <w:pStyle w:val="PL"/>
        <w:rPr>
          <w:color w:val="808080"/>
        </w:rPr>
      </w:pPr>
      <w:r w:rsidRPr="00FA0D37">
        <w:rPr>
          <w:color w:val="808080"/>
        </w:rPr>
        <w:t>-- ASN1START</w:t>
      </w:r>
    </w:p>
    <w:p w14:paraId="1C122656" w14:textId="77777777" w:rsidR="00394471" w:rsidRPr="00FA0D37" w:rsidRDefault="00394471" w:rsidP="00FA0D37">
      <w:pPr>
        <w:pStyle w:val="PL"/>
        <w:rPr>
          <w:color w:val="808080"/>
        </w:rPr>
      </w:pPr>
      <w:r w:rsidRPr="00FA0D37">
        <w:rPr>
          <w:color w:val="808080"/>
        </w:rPr>
        <w:t>-- TAG-ARFCN-ValueUTRA-FDD-START</w:t>
      </w:r>
    </w:p>
    <w:p w14:paraId="7F557EA4" w14:textId="77777777" w:rsidR="00394471" w:rsidRPr="00FA0D37" w:rsidRDefault="00394471" w:rsidP="00FA0D37">
      <w:pPr>
        <w:pStyle w:val="PL"/>
      </w:pPr>
    </w:p>
    <w:p w14:paraId="0DE84BC6" w14:textId="77777777" w:rsidR="00394471" w:rsidRPr="00FA0D37" w:rsidRDefault="00394471" w:rsidP="00FA0D37">
      <w:pPr>
        <w:pStyle w:val="PL"/>
      </w:pPr>
      <w:r w:rsidRPr="00FA0D37">
        <w:t xml:space="preserve">ARFCN-ValueUTRA-FDD-r16 ::=                </w:t>
      </w:r>
      <w:r w:rsidRPr="00FA0D37">
        <w:rPr>
          <w:color w:val="993366"/>
        </w:rPr>
        <w:t>INTEGER</w:t>
      </w:r>
      <w:r w:rsidRPr="00FA0D37">
        <w:t xml:space="preserve"> (0..16383)</w:t>
      </w:r>
    </w:p>
    <w:p w14:paraId="23AF9784" w14:textId="77777777" w:rsidR="00394471" w:rsidRPr="00FA0D37" w:rsidRDefault="00394471" w:rsidP="00FA0D37">
      <w:pPr>
        <w:pStyle w:val="PL"/>
      </w:pPr>
    </w:p>
    <w:p w14:paraId="2254595A" w14:textId="77777777" w:rsidR="00394471" w:rsidRPr="00FA0D37" w:rsidRDefault="00394471" w:rsidP="00FA0D37">
      <w:pPr>
        <w:pStyle w:val="PL"/>
        <w:rPr>
          <w:color w:val="808080"/>
        </w:rPr>
      </w:pPr>
      <w:r w:rsidRPr="00FA0D37">
        <w:rPr>
          <w:color w:val="808080"/>
        </w:rPr>
        <w:t>-- TAG-ARFCN-ValueUTRA-FDD-STOP</w:t>
      </w:r>
    </w:p>
    <w:p w14:paraId="18F4A697" w14:textId="77777777" w:rsidR="00394471" w:rsidRPr="00FA0D37" w:rsidRDefault="00394471" w:rsidP="00FA0D37">
      <w:pPr>
        <w:pStyle w:val="PL"/>
        <w:rPr>
          <w:color w:val="808080"/>
        </w:rPr>
      </w:pPr>
      <w:r w:rsidRPr="00FA0D37">
        <w:rPr>
          <w:color w:val="808080"/>
        </w:rPr>
        <w:t>-- ASN1STOP</w:t>
      </w:r>
    </w:p>
    <w:p w14:paraId="7CA7C0F9" w14:textId="77777777" w:rsidR="00394471" w:rsidRPr="00FA0D37" w:rsidRDefault="00394471" w:rsidP="00394471"/>
    <w:p w14:paraId="4AA313A8" w14:textId="77777777" w:rsidR="00394471" w:rsidRPr="00FA0D37" w:rsidRDefault="00394471" w:rsidP="00394471">
      <w:pPr>
        <w:pStyle w:val="4"/>
        <w:rPr>
          <w:i/>
          <w:iCs/>
        </w:rPr>
      </w:pPr>
      <w:bookmarkStart w:id="877" w:name="_Toc60777165"/>
      <w:bookmarkStart w:id="878" w:name="_Toc146781209"/>
      <w:r w:rsidRPr="00FA0D37">
        <w:t>–</w:t>
      </w:r>
      <w:r w:rsidRPr="00FA0D37">
        <w:tab/>
      </w:r>
      <w:r w:rsidRPr="00FA0D37">
        <w:rPr>
          <w:i/>
          <w:iCs/>
        </w:rPr>
        <w:t>AvailabilityCombinationsPerCell</w:t>
      </w:r>
      <w:bookmarkEnd w:id="877"/>
      <w:bookmarkEnd w:id="878"/>
    </w:p>
    <w:p w14:paraId="6D35EFF7" w14:textId="146D359A" w:rsidR="00394471" w:rsidRPr="00FA0D37" w:rsidRDefault="00394471" w:rsidP="00394471">
      <w:r w:rsidRPr="00FA0D37">
        <w:t xml:space="preserve">The IE </w:t>
      </w:r>
      <w:r w:rsidRPr="00FA0D37">
        <w:rPr>
          <w:i/>
        </w:rPr>
        <w:t>Availabil</w:t>
      </w:r>
      <w:r w:rsidR="00235972" w:rsidRPr="00FA0D37">
        <w:rPr>
          <w:i/>
        </w:rPr>
        <w:t>i</w:t>
      </w:r>
      <w:r w:rsidRPr="00FA0D37">
        <w:rPr>
          <w:i/>
        </w:rPr>
        <w:t>tyCombinationsPerCell</w:t>
      </w:r>
      <w:r w:rsidRPr="00FA0D37">
        <w:t xml:space="preserve"> is used to configure the </w:t>
      </w:r>
      <w:r w:rsidRPr="00FA0D37">
        <w:rPr>
          <w:i/>
          <w:iCs/>
        </w:rPr>
        <w:t>Availabil</w:t>
      </w:r>
      <w:r w:rsidR="00235972" w:rsidRPr="00FA0D37">
        <w:rPr>
          <w:i/>
          <w:iCs/>
        </w:rPr>
        <w:t>i</w:t>
      </w:r>
      <w:r w:rsidRPr="00FA0D37">
        <w:rPr>
          <w:i/>
          <w:iCs/>
        </w:rPr>
        <w:t>tyCombinations</w:t>
      </w:r>
      <w:r w:rsidRPr="00FA0D37">
        <w:t xml:space="preserve"> applicable for a cell of the IAB DU (see TS 38.213 [13], clause 14).</w:t>
      </w:r>
      <w:r w:rsidR="00235972" w:rsidRPr="00FA0D37">
        <w:t xml:space="preserve"> Note that the IE </w:t>
      </w:r>
      <w:r w:rsidR="00235972" w:rsidRPr="00FA0D37">
        <w:rPr>
          <w:i/>
          <w:iCs/>
        </w:rPr>
        <w:t>AvailabilityCombinationsPerCellIndex</w:t>
      </w:r>
      <w:r w:rsidR="00235972" w:rsidRPr="00FA0D37">
        <w:t xml:space="preserve"> can only be configured up to 511.</w:t>
      </w:r>
    </w:p>
    <w:p w14:paraId="4943D210" w14:textId="77777777" w:rsidR="00394471" w:rsidRPr="00FA0D37" w:rsidRDefault="00394471" w:rsidP="00394471">
      <w:pPr>
        <w:pStyle w:val="TH"/>
      </w:pPr>
      <w:r w:rsidRPr="00FA0D37">
        <w:rPr>
          <w:i/>
          <w:iCs/>
          <w:lang w:eastAsia="x-none"/>
        </w:rPr>
        <w:lastRenderedPageBreak/>
        <w:t>AvailabilityCombinationsPerCell</w:t>
      </w:r>
      <w:r w:rsidRPr="00FA0D37">
        <w:t xml:space="preserve"> information element</w:t>
      </w:r>
    </w:p>
    <w:p w14:paraId="49DE890D" w14:textId="77777777" w:rsidR="00394471" w:rsidRPr="00FA0D37" w:rsidRDefault="00394471" w:rsidP="00FA0D37">
      <w:pPr>
        <w:pStyle w:val="PL"/>
        <w:rPr>
          <w:color w:val="808080"/>
        </w:rPr>
      </w:pPr>
      <w:r w:rsidRPr="00FA0D37">
        <w:rPr>
          <w:color w:val="808080"/>
        </w:rPr>
        <w:t>-- ASN1START</w:t>
      </w:r>
    </w:p>
    <w:p w14:paraId="793C9E5F" w14:textId="77777777" w:rsidR="00394471" w:rsidRPr="00FA0D37" w:rsidRDefault="00394471" w:rsidP="00FA0D37">
      <w:pPr>
        <w:pStyle w:val="PL"/>
        <w:rPr>
          <w:color w:val="808080"/>
        </w:rPr>
      </w:pPr>
      <w:r w:rsidRPr="00FA0D37">
        <w:rPr>
          <w:color w:val="808080"/>
        </w:rPr>
        <w:t>-- TAG-AVAILABILITYCOMBINATIONSPERCELL-START</w:t>
      </w:r>
    </w:p>
    <w:p w14:paraId="25949CDF" w14:textId="77777777" w:rsidR="00394471" w:rsidRPr="00FA0D37" w:rsidRDefault="00394471" w:rsidP="00FA0D37">
      <w:pPr>
        <w:pStyle w:val="PL"/>
      </w:pPr>
    </w:p>
    <w:p w14:paraId="5152E250" w14:textId="77777777" w:rsidR="00394471" w:rsidRPr="00FA0D37" w:rsidRDefault="00394471" w:rsidP="00FA0D37">
      <w:pPr>
        <w:pStyle w:val="PL"/>
      </w:pPr>
      <w:r w:rsidRPr="00FA0D37">
        <w:t xml:space="preserve">AvailabilityCombinationsPerCell-r16 ::=     </w:t>
      </w:r>
      <w:r w:rsidRPr="00FA0D37">
        <w:rPr>
          <w:color w:val="993366"/>
        </w:rPr>
        <w:t>SEQUENCE</w:t>
      </w:r>
      <w:r w:rsidRPr="00FA0D37">
        <w:t xml:space="preserve"> {</w:t>
      </w:r>
    </w:p>
    <w:p w14:paraId="73C105F4" w14:textId="77777777" w:rsidR="00394471" w:rsidRPr="00FA0D37" w:rsidRDefault="00394471" w:rsidP="00FA0D37">
      <w:pPr>
        <w:pStyle w:val="PL"/>
      </w:pPr>
      <w:r w:rsidRPr="00FA0D37">
        <w:t xml:space="preserve">    availabilityCombinationsPerCellIndex-r16     AvailabilityCombinationsPerCellIndex-r16,</w:t>
      </w:r>
    </w:p>
    <w:p w14:paraId="4F0E5B40" w14:textId="77777777" w:rsidR="00394471" w:rsidRPr="00FA0D37" w:rsidRDefault="00394471" w:rsidP="00FA0D37">
      <w:pPr>
        <w:pStyle w:val="PL"/>
      </w:pPr>
      <w:r w:rsidRPr="00FA0D37">
        <w:t xml:space="preserve">    iab-DU-CellIdentity-r16                      CellIdentity,</w:t>
      </w:r>
    </w:p>
    <w:p w14:paraId="74CF7898" w14:textId="7406F919" w:rsidR="00394471" w:rsidRPr="00FA0D37" w:rsidRDefault="00394471" w:rsidP="00FA0D37">
      <w:pPr>
        <w:pStyle w:val="PL"/>
        <w:rPr>
          <w:color w:val="808080"/>
        </w:rPr>
      </w:pPr>
      <w:r w:rsidRPr="00FA0D37">
        <w:t xml:space="preserve">    positionInDCI-AI-r16                         </w:t>
      </w:r>
      <w:r w:rsidRPr="00FA0D37">
        <w:rPr>
          <w:color w:val="993366"/>
        </w:rPr>
        <w:t>INTEGER</w:t>
      </w:r>
      <w:r w:rsidRPr="00FA0D37">
        <w:t>(0..maxAI-DCI-PayloadSize-</w:t>
      </w:r>
      <w:r w:rsidR="00FB04AA" w:rsidRPr="00FA0D37">
        <w:t>1-r16</w:t>
      </w:r>
      <w:r w:rsidRPr="00FA0D37">
        <w:t xml:space="preserve">)                              </w:t>
      </w:r>
      <w:r w:rsidRPr="00FA0D37">
        <w:rPr>
          <w:color w:val="993366"/>
        </w:rPr>
        <w:t>OPTIONAL</w:t>
      </w:r>
      <w:r w:rsidRPr="00FA0D37">
        <w:t xml:space="preserve">, </w:t>
      </w:r>
      <w:r w:rsidRPr="00FA0D37">
        <w:rPr>
          <w:color w:val="808080"/>
        </w:rPr>
        <w:t>-- Need M</w:t>
      </w:r>
    </w:p>
    <w:p w14:paraId="565250F5" w14:textId="77777777" w:rsidR="00394471" w:rsidRPr="00FA0D37" w:rsidRDefault="00394471" w:rsidP="00FA0D37">
      <w:pPr>
        <w:pStyle w:val="PL"/>
      </w:pPr>
      <w:r w:rsidRPr="00FA0D37">
        <w:t xml:space="preserve">    availabilityCombinations-r16                 </w:t>
      </w:r>
      <w:r w:rsidRPr="00FA0D37">
        <w:rPr>
          <w:color w:val="993366"/>
        </w:rPr>
        <w:t>SEQUENCE</w:t>
      </w:r>
      <w:r w:rsidRPr="00FA0D37">
        <w:t xml:space="preserve"> (</w:t>
      </w:r>
      <w:r w:rsidRPr="00FA0D37">
        <w:rPr>
          <w:color w:val="993366"/>
        </w:rPr>
        <w:t>SIZE</w:t>
      </w:r>
      <w:r w:rsidRPr="00FA0D37">
        <w:t xml:space="preserve"> (1..maxNrofAvailabilityCombinationsPerSet-r16))</w:t>
      </w:r>
      <w:r w:rsidRPr="00FA0D37">
        <w:rPr>
          <w:color w:val="993366"/>
        </w:rPr>
        <w:t xml:space="preserve"> OF</w:t>
      </w:r>
      <w:r w:rsidRPr="00FA0D37">
        <w:t xml:space="preserve"> AvailabilityCombination-r16,</w:t>
      </w:r>
    </w:p>
    <w:p w14:paraId="378E1DA2" w14:textId="5A973DEC" w:rsidR="00A66715" w:rsidRPr="00FA0D37" w:rsidRDefault="00394471" w:rsidP="00FA0D37">
      <w:pPr>
        <w:pStyle w:val="PL"/>
      </w:pPr>
      <w:r w:rsidRPr="00FA0D37">
        <w:t xml:space="preserve">    ...</w:t>
      </w:r>
      <w:r w:rsidR="00A66715" w:rsidRPr="00FA0D37">
        <w:t>,</w:t>
      </w:r>
    </w:p>
    <w:p w14:paraId="62139948" w14:textId="77777777" w:rsidR="00A66715" w:rsidRPr="00FA0D37" w:rsidRDefault="00A66715" w:rsidP="00FA0D37">
      <w:pPr>
        <w:pStyle w:val="PL"/>
      </w:pPr>
      <w:r w:rsidRPr="00FA0D37">
        <w:t xml:space="preserve">    [[</w:t>
      </w:r>
    </w:p>
    <w:p w14:paraId="24EC394C" w14:textId="51DAE95B" w:rsidR="00A66715" w:rsidRPr="00FA0D37" w:rsidRDefault="00A66715" w:rsidP="00FA0D37">
      <w:pPr>
        <w:pStyle w:val="PL"/>
        <w:rPr>
          <w:color w:val="808080"/>
        </w:rPr>
      </w:pPr>
      <w:r w:rsidRPr="00FA0D37">
        <w:t xml:space="preserve">    availabilityCombinationsRB</w:t>
      </w:r>
      <w:r w:rsidR="002C6647" w:rsidRPr="00FA0D37">
        <w:t>-</w:t>
      </w:r>
      <w:r w:rsidRPr="00FA0D37">
        <w:t xml:space="preserve">Groups-r17   </w:t>
      </w:r>
      <w:r w:rsidRPr="00FA0D37">
        <w:rPr>
          <w:color w:val="993366"/>
        </w:rPr>
        <w:t>SEQUENCE</w:t>
      </w:r>
      <w:r w:rsidRPr="00FA0D37">
        <w:t xml:space="preserve"> (</w:t>
      </w:r>
      <w:r w:rsidRPr="00FA0D37">
        <w:rPr>
          <w:color w:val="993366"/>
        </w:rPr>
        <w:t>SIZE</w:t>
      </w:r>
      <w:r w:rsidRPr="00FA0D37">
        <w:t xml:space="preserve"> (1..maxNrofAvailabilityCombinationsPerSet-r16))</w:t>
      </w:r>
      <w:r w:rsidRPr="00FA0D37">
        <w:rPr>
          <w:color w:val="993366"/>
        </w:rPr>
        <w:t xml:space="preserve"> OF</w:t>
      </w:r>
      <w:r w:rsidRPr="00FA0D37">
        <w:t xml:space="preserve"> AvailabilityCombination</w:t>
      </w:r>
      <w:r w:rsidR="003B3F65" w:rsidRPr="00FA0D37">
        <w:t>RB</w:t>
      </w:r>
      <w:r w:rsidR="00425CBF" w:rsidRPr="00FA0D37">
        <w:t>-</w:t>
      </w:r>
      <w:r w:rsidR="003B3F65" w:rsidRPr="00FA0D37">
        <w:t>Groups</w:t>
      </w:r>
      <w:r w:rsidRPr="00FA0D37">
        <w:t xml:space="preserve">-r17    </w:t>
      </w:r>
      <w:r w:rsidRPr="00FA0D37">
        <w:rPr>
          <w:color w:val="993366"/>
        </w:rPr>
        <w:t>OPTIONAL</w:t>
      </w:r>
      <w:r w:rsidRPr="00FA0D37">
        <w:t xml:space="preserve"> </w:t>
      </w:r>
      <w:r w:rsidRPr="00FA0D37">
        <w:rPr>
          <w:color w:val="808080"/>
        </w:rPr>
        <w:t>-- Need M</w:t>
      </w:r>
    </w:p>
    <w:p w14:paraId="0B2C702E" w14:textId="2E1A991B" w:rsidR="002C6647" w:rsidRPr="00FA0D37" w:rsidRDefault="00A66715" w:rsidP="00FA0D37">
      <w:pPr>
        <w:pStyle w:val="PL"/>
      </w:pPr>
      <w:r w:rsidRPr="00FA0D37">
        <w:t xml:space="preserve">    ]]</w:t>
      </w:r>
      <w:r w:rsidR="002C6647" w:rsidRPr="00FA0D37">
        <w:t>,</w:t>
      </w:r>
    </w:p>
    <w:p w14:paraId="42D84D22" w14:textId="77777777" w:rsidR="002C6647" w:rsidRPr="00FA0D37" w:rsidRDefault="002C6647" w:rsidP="00FA0D37">
      <w:pPr>
        <w:pStyle w:val="PL"/>
      </w:pPr>
      <w:r w:rsidRPr="00FA0D37">
        <w:t xml:space="preserve">    [[</w:t>
      </w:r>
    </w:p>
    <w:p w14:paraId="7F13E292" w14:textId="326996EE" w:rsidR="002C6647" w:rsidRPr="00FA0D37" w:rsidRDefault="002C6647" w:rsidP="00FA0D37">
      <w:pPr>
        <w:pStyle w:val="PL"/>
        <w:rPr>
          <w:color w:val="808080"/>
        </w:rPr>
      </w:pPr>
      <w:r w:rsidRPr="00FA0D37">
        <w:t xml:space="preserve">    positionInDCI-AI-RBGroups-v1720              </w:t>
      </w:r>
      <w:r w:rsidRPr="00FA0D37">
        <w:rPr>
          <w:color w:val="993366"/>
        </w:rPr>
        <w:t>INTEGER</w:t>
      </w:r>
      <w:r w:rsidRPr="00FA0D37">
        <w:t xml:space="preserve">(0..maxAI-DCI-PayloadSize-1-r16)                              </w:t>
      </w:r>
      <w:r w:rsidRPr="00FA0D37">
        <w:rPr>
          <w:color w:val="993366"/>
        </w:rPr>
        <w:t>OPTIONAL</w:t>
      </w:r>
      <w:r w:rsidRPr="00FA0D37">
        <w:t xml:space="preserve"> </w:t>
      </w:r>
      <w:r w:rsidRPr="00FA0D37">
        <w:rPr>
          <w:color w:val="808080"/>
        </w:rPr>
        <w:t>-- Need M</w:t>
      </w:r>
    </w:p>
    <w:p w14:paraId="2EF8BD04" w14:textId="56372D83" w:rsidR="00394471" w:rsidRPr="00FA0D37" w:rsidRDefault="002C6647" w:rsidP="00FA0D37">
      <w:pPr>
        <w:pStyle w:val="PL"/>
      </w:pPr>
      <w:r w:rsidRPr="00FA0D37">
        <w:t xml:space="preserve">    ]]</w:t>
      </w:r>
    </w:p>
    <w:p w14:paraId="17781F84" w14:textId="77777777" w:rsidR="00394471" w:rsidRPr="00FA0D37" w:rsidRDefault="00394471" w:rsidP="00FA0D37">
      <w:pPr>
        <w:pStyle w:val="PL"/>
      </w:pPr>
      <w:r w:rsidRPr="00FA0D37">
        <w:t>}</w:t>
      </w:r>
    </w:p>
    <w:p w14:paraId="765DD55B" w14:textId="77777777" w:rsidR="00394471" w:rsidRPr="00FA0D37" w:rsidRDefault="00394471" w:rsidP="00FA0D37">
      <w:pPr>
        <w:pStyle w:val="PL"/>
      </w:pPr>
    </w:p>
    <w:p w14:paraId="08CEEC10" w14:textId="77777777" w:rsidR="00394471" w:rsidRPr="00FA0D37" w:rsidRDefault="00394471" w:rsidP="00FA0D37">
      <w:pPr>
        <w:pStyle w:val="PL"/>
      </w:pPr>
      <w:r w:rsidRPr="00FA0D37">
        <w:t xml:space="preserve">AvailabilityCombinationsPerCellIndex-r16 ::= </w:t>
      </w:r>
      <w:r w:rsidRPr="00FA0D37">
        <w:rPr>
          <w:color w:val="993366"/>
        </w:rPr>
        <w:t>INTEGER</w:t>
      </w:r>
      <w:r w:rsidRPr="00FA0D37">
        <w:t>(0..maxNrofDUCells-r16)</w:t>
      </w:r>
    </w:p>
    <w:p w14:paraId="0542D9CA" w14:textId="77777777" w:rsidR="00394471" w:rsidRPr="00FA0D37" w:rsidRDefault="00394471" w:rsidP="00FA0D37">
      <w:pPr>
        <w:pStyle w:val="PL"/>
      </w:pPr>
    </w:p>
    <w:p w14:paraId="70A9C1CB" w14:textId="77777777" w:rsidR="00394471" w:rsidRPr="00FA0D37" w:rsidRDefault="00394471" w:rsidP="00FA0D37">
      <w:pPr>
        <w:pStyle w:val="PL"/>
      </w:pPr>
      <w:r w:rsidRPr="00FA0D37">
        <w:t xml:space="preserve">AvailabilityCombination-r16 ::=         </w:t>
      </w:r>
      <w:r w:rsidRPr="00FA0D37">
        <w:rPr>
          <w:color w:val="993366"/>
        </w:rPr>
        <w:t>SEQUENCE</w:t>
      </w:r>
      <w:r w:rsidRPr="00FA0D37">
        <w:t xml:space="preserve"> {</w:t>
      </w:r>
    </w:p>
    <w:p w14:paraId="3B7C776A" w14:textId="77777777" w:rsidR="00394471" w:rsidRPr="00FA0D37" w:rsidRDefault="00394471" w:rsidP="00FA0D37">
      <w:pPr>
        <w:pStyle w:val="PL"/>
      </w:pPr>
      <w:r w:rsidRPr="00FA0D37">
        <w:t xml:space="preserve">    availabilityCombinationId-r16           AvailabilityCombinationId-r16,</w:t>
      </w:r>
    </w:p>
    <w:p w14:paraId="30FE024A" w14:textId="77777777" w:rsidR="00394471" w:rsidRPr="00FA0D37" w:rsidRDefault="00394471" w:rsidP="00FA0D37">
      <w:pPr>
        <w:pStyle w:val="PL"/>
      </w:pPr>
      <w:r w:rsidRPr="00FA0D37">
        <w:t xml:space="preserve">    resourceAvailability-r16                </w:t>
      </w:r>
      <w:r w:rsidRPr="00FA0D37">
        <w:rPr>
          <w:color w:val="993366"/>
        </w:rPr>
        <w:t>SEQUENCE</w:t>
      </w:r>
      <w:r w:rsidRPr="00FA0D37">
        <w:t xml:space="preserve"> (</w:t>
      </w:r>
      <w:r w:rsidRPr="00FA0D37">
        <w:rPr>
          <w:color w:val="993366"/>
        </w:rPr>
        <w:t>SIZE</w:t>
      </w:r>
      <w:r w:rsidRPr="00FA0D37">
        <w:t xml:space="preserve"> (1..maxNrofResourceAvailabilityPerCombination-r16))</w:t>
      </w:r>
      <w:r w:rsidRPr="00FA0D37">
        <w:rPr>
          <w:color w:val="993366"/>
        </w:rPr>
        <w:t xml:space="preserve"> OF</w:t>
      </w:r>
      <w:r w:rsidRPr="00FA0D37">
        <w:t xml:space="preserve"> </w:t>
      </w:r>
      <w:r w:rsidRPr="00FA0D37">
        <w:rPr>
          <w:color w:val="993366"/>
        </w:rPr>
        <w:t>INTEGER</w:t>
      </w:r>
      <w:r w:rsidRPr="00FA0D37">
        <w:t xml:space="preserve"> (0..7)</w:t>
      </w:r>
    </w:p>
    <w:p w14:paraId="1BAA9020" w14:textId="77777777" w:rsidR="00394471" w:rsidRPr="00FA0D37" w:rsidRDefault="00394471" w:rsidP="00FA0D37">
      <w:pPr>
        <w:pStyle w:val="PL"/>
      </w:pPr>
      <w:r w:rsidRPr="00FA0D37">
        <w:t>}</w:t>
      </w:r>
    </w:p>
    <w:p w14:paraId="7967DAC9" w14:textId="77777777" w:rsidR="00394471" w:rsidRPr="00FA0D37" w:rsidRDefault="00394471" w:rsidP="00FA0D37">
      <w:pPr>
        <w:pStyle w:val="PL"/>
      </w:pPr>
    </w:p>
    <w:p w14:paraId="204155F2" w14:textId="3D8D49EB" w:rsidR="00394471" w:rsidRPr="00FA0D37" w:rsidRDefault="00394471" w:rsidP="00FA0D37">
      <w:pPr>
        <w:pStyle w:val="PL"/>
      </w:pPr>
      <w:r w:rsidRPr="00FA0D37">
        <w:t xml:space="preserve">AvailabilityCombinationId-r16 ::=       </w:t>
      </w:r>
      <w:r w:rsidRPr="00FA0D37">
        <w:rPr>
          <w:color w:val="993366"/>
        </w:rPr>
        <w:t>INTEGER</w:t>
      </w:r>
      <w:r w:rsidRPr="00FA0D37">
        <w:t xml:space="preserve"> (0..maxNrofAvailabilityCombinationsPerSet-</w:t>
      </w:r>
      <w:r w:rsidR="00FB04AA" w:rsidRPr="00FA0D37">
        <w:t>1-r16</w:t>
      </w:r>
      <w:r w:rsidRPr="00FA0D37">
        <w:t>)</w:t>
      </w:r>
    </w:p>
    <w:p w14:paraId="6B9CE30A" w14:textId="77777777" w:rsidR="00A66715" w:rsidRPr="00FA0D37" w:rsidRDefault="00A66715" w:rsidP="00FA0D37">
      <w:pPr>
        <w:pStyle w:val="PL"/>
      </w:pPr>
    </w:p>
    <w:p w14:paraId="7CBEF974" w14:textId="1830F633" w:rsidR="00A66715" w:rsidRPr="00FA0D37" w:rsidRDefault="00A66715" w:rsidP="00FA0D37">
      <w:pPr>
        <w:pStyle w:val="PL"/>
      </w:pPr>
      <w:r w:rsidRPr="00FA0D37">
        <w:t>AvailabilityCombination</w:t>
      </w:r>
      <w:r w:rsidR="003B3F65" w:rsidRPr="00FA0D37">
        <w:t>RB</w:t>
      </w:r>
      <w:r w:rsidR="00425CBF" w:rsidRPr="00FA0D37">
        <w:t>-</w:t>
      </w:r>
      <w:r w:rsidR="003B3F65" w:rsidRPr="00FA0D37">
        <w:t>Groups</w:t>
      </w:r>
      <w:r w:rsidRPr="00FA0D37">
        <w:t xml:space="preserve">-r17 ::= </w:t>
      </w:r>
      <w:r w:rsidRPr="00FA0D37">
        <w:rPr>
          <w:color w:val="993366"/>
        </w:rPr>
        <w:t>SEQUENCE</w:t>
      </w:r>
      <w:r w:rsidRPr="00FA0D37">
        <w:t xml:space="preserve"> {</w:t>
      </w:r>
    </w:p>
    <w:p w14:paraId="4574DD0A" w14:textId="2961C404" w:rsidR="00A66715" w:rsidRPr="00FA0D37" w:rsidRDefault="00A66715" w:rsidP="00FA0D37">
      <w:pPr>
        <w:pStyle w:val="PL"/>
      </w:pPr>
      <w:r w:rsidRPr="00FA0D37">
        <w:t xml:space="preserve">    availabilityCombinationId-r1</w:t>
      </w:r>
      <w:r w:rsidR="003B3F65" w:rsidRPr="00FA0D37">
        <w:t>7</w:t>
      </w:r>
      <w:r w:rsidRPr="00FA0D37">
        <w:t xml:space="preserve">    AvailabilityCombinationId-r16,</w:t>
      </w:r>
    </w:p>
    <w:p w14:paraId="2F5092E3" w14:textId="72D82789" w:rsidR="00A66715" w:rsidRPr="00FA0D37" w:rsidRDefault="00A66715" w:rsidP="00FA0D37">
      <w:pPr>
        <w:pStyle w:val="PL"/>
        <w:rPr>
          <w:color w:val="808080"/>
        </w:rPr>
      </w:pPr>
      <w:r w:rsidRPr="00FA0D37">
        <w:t xml:space="preserve">    rb</w:t>
      </w:r>
      <w:r w:rsidR="003B3F65" w:rsidRPr="00FA0D37">
        <w:t>-</w:t>
      </w:r>
      <w:r w:rsidRPr="00FA0D37">
        <w:t xml:space="preserve">SetGroups-r17                  </w:t>
      </w:r>
      <w:r w:rsidRPr="00FA0D37">
        <w:rPr>
          <w:color w:val="993366"/>
        </w:rPr>
        <w:t>SEQUENCE</w:t>
      </w:r>
      <w:r w:rsidRPr="00FA0D37">
        <w:t xml:space="preserve"> (</w:t>
      </w:r>
      <w:r w:rsidRPr="00FA0D37">
        <w:rPr>
          <w:color w:val="993366"/>
        </w:rPr>
        <w:t>SIZE</w:t>
      </w:r>
      <w:r w:rsidRPr="00FA0D37">
        <w:t xml:space="preserve"> (1..maxNrofR</w:t>
      </w:r>
      <w:r w:rsidR="003B3F65" w:rsidRPr="00FA0D37">
        <w:t>B-</w:t>
      </w:r>
      <w:r w:rsidRPr="00FA0D37">
        <w:t>SetGroups-r17))</w:t>
      </w:r>
      <w:r w:rsidRPr="00FA0D37">
        <w:rPr>
          <w:color w:val="993366"/>
        </w:rPr>
        <w:t xml:space="preserve"> OF</w:t>
      </w:r>
      <w:r w:rsidRPr="00FA0D37">
        <w:t xml:space="preserve"> R</w:t>
      </w:r>
      <w:r w:rsidR="00425CBF" w:rsidRPr="00FA0D37">
        <w:t>B-</w:t>
      </w:r>
      <w:r w:rsidRPr="00FA0D37">
        <w:t xml:space="preserve">SetGroup-r17      </w:t>
      </w:r>
      <w:r w:rsidR="000E770B" w:rsidRPr="00FA0D37">
        <w:t xml:space="preserve">                     </w:t>
      </w:r>
      <w:r w:rsidRPr="00FA0D37">
        <w:rPr>
          <w:color w:val="993366"/>
        </w:rPr>
        <w:t>OPTIONAL</w:t>
      </w:r>
      <w:r w:rsidRPr="00FA0D37">
        <w:t xml:space="preserve">, </w:t>
      </w:r>
      <w:r w:rsidRPr="00FA0D37">
        <w:rPr>
          <w:color w:val="808080"/>
        </w:rPr>
        <w:t xml:space="preserve">-- Need </w:t>
      </w:r>
      <w:r w:rsidR="003B3F65" w:rsidRPr="00FA0D37">
        <w:rPr>
          <w:color w:val="808080"/>
        </w:rPr>
        <w:t>R</w:t>
      </w:r>
    </w:p>
    <w:p w14:paraId="411FE887" w14:textId="46DB0F96" w:rsidR="00A66715" w:rsidRPr="00FA0D37" w:rsidRDefault="00A66715" w:rsidP="00FA0D37">
      <w:pPr>
        <w:pStyle w:val="PL"/>
        <w:rPr>
          <w:color w:val="808080"/>
        </w:rPr>
      </w:pPr>
      <w:r w:rsidRPr="00FA0D37">
        <w:t xml:space="preserve">    resourceAvailability-r1</w:t>
      </w:r>
      <w:r w:rsidR="003B3F65" w:rsidRPr="00FA0D37">
        <w:t>7</w:t>
      </w:r>
      <w:r w:rsidRPr="00FA0D37">
        <w:t xml:space="preserve">         </w:t>
      </w:r>
      <w:r w:rsidRPr="00FA0D37">
        <w:rPr>
          <w:color w:val="993366"/>
        </w:rPr>
        <w:t>SEQUENCE</w:t>
      </w:r>
      <w:r w:rsidRPr="00FA0D37">
        <w:t xml:space="preserve"> (</w:t>
      </w:r>
      <w:r w:rsidRPr="00FA0D37">
        <w:rPr>
          <w:color w:val="993366"/>
        </w:rPr>
        <w:t>SIZE</w:t>
      </w:r>
      <w:r w:rsidRPr="00FA0D37">
        <w:t xml:space="preserve"> (1..maxNrofResourceAvailabilityPerCombination-r16))</w:t>
      </w:r>
      <w:r w:rsidRPr="00FA0D37">
        <w:rPr>
          <w:color w:val="993366"/>
        </w:rPr>
        <w:t xml:space="preserve"> OF</w:t>
      </w:r>
      <w:r w:rsidRPr="00FA0D37">
        <w:t xml:space="preserve"> </w:t>
      </w:r>
      <w:r w:rsidRPr="00FA0D37">
        <w:rPr>
          <w:color w:val="993366"/>
        </w:rPr>
        <w:t>INTEGER</w:t>
      </w:r>
      <w:r w:rsidRPr="00FA0D37">
        <w:t xml:space="preserve"> (0..7)    </w:t>
      </w:r>
      <w:r w:rsidRPr="00FA0D37">
        <w:rPr>
          <w:color w:val="993366"/>
        </w:rPr>
        <w:t>OPTIONAL</w:t>
      </w:r>
      <w:r w:rsidRPr="00FA0D37">
        <w:t xml:space="preserve"> </w:t>
      </w:r>
      <w:r w:rsidRPr="00FA0D37">
        <w:rPr>
          <w:color w:val="808080"/>
        </w:rPr>
        <w:t xml:space="preserve">-- Need </w:t>
      </w:r>
      <w:r w:rsidR="003B3F65" w:rsidRPr="00FA0D37">
        <w:rPr>
          <w:color w:val="808080"/>
        </w:rPr>
        <w:t>R</w:t>
      </w:r>
    </w:p>
    <w:p w14:paraId="002869A0" w14:textId="77777777" w:rsidR="00A66715" w:rsidRPr="00FA0D37" w:rsidRDefault="00A66715" w:rsidP="00FA0D37">
      <w:pPr>
        <w:pStyle w:val="PL"/>
      </w:pPr>
      <w:r w:rsidRPr="00FA0D37">
        <w:t>}</w:t>
      </w:r>
    </w:p>
    <w:p w14:paraId="2968C5CA" w14:textId="77777777" w:rsidR="00A66715" w:rsidRPr="00FA0D37" w:rsidRDefault="00A66715" w:rsidP="00FA0D37">
      <w:pPr>
        <w:pStyle w:val="PL"/>
      </w:pPr>
    </w:p>
    <w:p w14:paraId="3378A5BC" w14:textId="409E8EE4" w:rsidR="00A66715" w:rsidRPr="00FA0D37" w:rsidRDefault="00A66715" w:rsidP="00FA0D37">
      <w:pPr>
        <w:pStyle w:val="PL"/>
      </w:pPr>
      <w:r w:rsidRPr="00FA0D37">
        <w:t>R</w:t>
      </w:r>
      <w:r w:rsidR="00052615" w:rsidRPr="00FA0D37">
        <w:t>B-</w:t>
      </w:r>
      <w:r w:rsidRPr="00FA0D37">
        <w:t xml:space="preserve">SetGroup-r17 ::=       </w:t>
      </w:r>
      <w:r w:rsidRPr="00FA0D37">
        <w:rPr>
          <w:color w:val="993366"/>
        </w:rPr>
        <w:t>SEQUENCE</w:t>
      </w:r>
      <w:r w:rsidRPr="00FA0D37">
        <w:t xml:space="preserve"> {</w:t>
      </w:r>
    </w:p>
    <w:p w14:paraId="367AECDF" w14:textId="10606E36" w:rsidR="00A66715" w:rsidRPr="00FA0D37" w:rsidRDefault="00A66715" w:rsidP="00FA0D37">
      <w:pPr>
        <w:pStyle w:val="PL"/>
        <w:rPr>
          <w:color w:val="808080"/>
        </w:rPr>
      </w:pPr>
      <w:r w:rsidRPr="00FA0D37">
        <w:t xml:space="preserve">    resourceAvailability-r1</w:t>
      </w:r>
      <w:r w:rsidR="00052615" w:rsidRPr="00FA0D37">
        <w:t>7</w:t>
      </w:r>
      <w:r w:rsidRPr="00FA0D37">
        <w:t xml:space="preserve">  </w:t>
      </w:r>
      <w:r w:rsidRPr="00FA0D37">
        <w:rPr>
          <w:color w:val="993366"/>
        </w:rPr>
        <w:t>SEQUENCE</w:t>
      </w:r>
      <w:r w:rsidRPr="00FA0D37">
        <w:t xml:space="preserve"> (</w:t>
      </w:r>
      <w:r w:rsidRPr="00FA0D37">
        <w:rPr>
          <w:color w:val="993366"/>
        </w:rPr>
        <w:t>SIZE</w:t>
      </w:r>
      <w:r w:rsidRPr="00FA0D37">
        <w:t xml:space="preserve"> (1..maxNrofResourceAvailabilityPerCombination-r16))</w:t>
      </w:r>
      <w:r w:rsidRPr="00FA0D37">
        <w:rPr>
          <w:color w:val="993366"/>
        </w:rPr>
        <w:t xml:space="preserve"> OF</w:t>
      </w:r>
      <w:r w:rsidRPr="00FA0D37">
        <w:t xml:space="preserve"> </w:t>
      </w:r>
      <w:r w:rsidRPr="00FA0D37">
        <w:rPr>
          <w:color w:val="993366"/>
        </w:rPr>
        <w:t>INTEGER</w:t>
      </w:r>
      <w:r w:rsidRPr="00FA0D37">
        <w:t xml:space="preserve"> (0..7) </w:t>
      </w:r>
      <w:r w:rsidRPr="00FA0D37">
        <w:rPr>
          <w:color w:val="993366"/>
        </w:rPr>
        <w:t>OPTIONAL</w:t>
      </w:r>
      <w:r w:rsidRPr="00FA0D37">
        <w:t xml:space="preserve">, </w:t>
      </w:r>
      <w:r w:rsidRPr="00FA0D37">
        <w:rPr>
          <w:color w:val="808080"/>
        </w:rPr>
        <w:t xml:space="preserve">-- Need </w:t>
      </w:r>
      <w:r w:rsidR="00052615" w:rsidRPr="00FA0D37">
        <w:rPr>
          <w:color w:val="808080"/>
        </w:rPr>
        <w:t>R</w:t>
      </w:r>
    </w:p>
    <w:p w14:paraId="24DDFD1B" w14:textId="7CAE4E10" w:rsidR="00A66715" w:rsidRPr="00FA0D37" w:rsidRDefault="00A66715" w:rsidP="00FA0D37">
      <w:pPr>
        <w:pStyle w:val="PL"/>
        <w:rPr>
          <w:color w:val="808080"/>
        </w:rPr>
      </w:pPr>
      <w:r w:rsidRPr="00FA0D37">
        <w:t xml:space="preserve">    rb</w:t>
      </w:r>
      <w:r w:rsidR="00425CBF" w:rsidRPr="00FA0D37">
        <w:t>-</w:t>
      </w:r>
      <w:r w:rsidRPr="00FA0D37">
        <w:t xml:space="preserve">Sets-r17                </w:t>
      </w:r>
      <w:r w:rsidRPr="00FA0D37">
        <w:rPr>
          <w:color w:val="993366"/>
        </w:rPr>
        <w:t>SEQUENCE</w:t>
      </w:r>
      <w:r w:rsidRPr="00FA0D37">
        <w:t xml:space="preserve"> (</w:t>
      </w:r>
      <w:r w:rsidRPr="00FA0D37">
        <w:rPr>
          <w:color w:val="993366"/>
        </w:rPr>
        <w:t>SIZE</w:t>
      </w:r>
      <w:r w:rsidRPr="00FA0D37">
        <w:t xml:space="preserve"> (1..maxNrofR</w:t>
      </w:r>
      <w:r w:rsidR="00425CBF" w:rsidRPr="00FA0D37">
        <w:t>B-</w:t>
      </w:r>
      <w:r w:rsidRPr="00FA0D37">
        <w:t>Sets-r17))</w:t>
      </w:r>
      <w:r w:rsidRPr="00FA0D37">
        <w:rPr>
          <w:color w:val="993366"/>
        </w:rPr>
        <w:t xml:space="preserve"> OF</w:t>
      </w:r>
      <w:r w:rsidRPr="00FA0D37">
        <w:t xml:space="preserve"> </w:t>
      </w:r>
      <w:r w:rsidRPr="00FA0D37">
        <w:rPr>
          <w:color w:val="993366"/>
        </w:rPr>
        <w:t>INTEGER</w:t>
      </w:r>
      <w:r w:rsidRPr="00FA0D37">
        <w:t xml:space="preserve"> (0..7)     </w:t>
      </w:r>
      <w:r w:rsidR="000E770B" w:rsidRPr="00FA0D37">
        <w:t xml:space="preserve">                        </w:t>
      </w:r>
      <w:r w:rsidRPr="00FA0D37">
        <w:rPr>
          <w:color w:val="993366"/>
        </w:rPr>
        <w:t>OPTIONAL</w:t>
      </w:r>
      <w:r w:rsidRPr="00FA0D37">
        <w:t xml:space="preserve"> </w:t>
      </w:r>
      <w:r w:rsidR="00052615" w:rsidRPr="00FA0D37">
        <w:t xml:space="preserve"> </w:t>
      </w:r>
      <w:r w:rsidRPr="00FA0D37">
        <w:rPr>
          <w:color w:val="808080"/>
        </w:rPr>
        <w:t xml:space="preserve">-- Need </w:t>
      </w:r>
      <w:r w:rsidR="00052615" w:rsidRPr="00FA0D37">
        <w:rPr>
          <w:color w:val="808080"/>
        </w:rPr>
        <w:t>R</w:t>
      </w:r>
    </w:p>
    <w:p w14:paraId="7343C355" w14:textId="77777777" w:rsidR="00A66715" w:rsidRPr="00FA0D37" w:rsidRDefault="00A66715" w:rsidP="00FA0D37">
      <w:pPr>
        <w:pStyle w:val="PL"/>
      </w:pPr>
      <w:r w:rsidRPr="00FA0D37">
        <w:t>}</w:t>
      </w:r>
    </w:p>
    <w:p w14:paraId="715D9876" w14:textId="77777777" w:rsidR="00A66715" w:rsidRPr="00FA0D37" w:rsidRDefault="00A66715" w:rsidP="00FA0D37">
      <w:pPr>
        <w:pStyle w:val="PL"/>
      </w:pPr>
    </w:p>
    <w:p w14:paraId="3BF5367B" w14:textId="77777777" w:rsidR="00394471" w:rsidRPr="00FA0D37" w:rsidRDefault="00394471" w:rsidP="00FA0D37">
      <w:pPr>
        <w:pStyle w:val="PL"/>
        <w:rPr>
          <w:color w:val="808080"/>
        </w:rPr>
      </w:pPr>
      <w:r w:rsidRPr="00FA0D37">
        <w:rPr>
          <w:color w:val="808080"/>
        </w:rPr>
        <w:t>-- TAG-AVAILABILITYCOMBINATIONSPERCELL-STOP</w:t>
      </w:r>
    </w:p>
    <w:p w14:paraId="4937EA45" w14:textId="77777777" w:rsidR="00394471" w:rsidRPr="00FA0D37" w:rsidRDefault="00394471" w:rsidP="00FA0D37">
      <w:pPr>
        <w:pStyle w:val="PL"/>
        <w:rPr>
          <w:color w:val="808080"/>
        </w:rPr>
      </w:pPr>
      <w:r w:rsidRPr="00FA0D37">
        <w:rPr>
          <w:color w:val="808080"/>
        </w:rPr>
        <w:t>-- ASN1STOP</w:t>
      </w:r>
    </w:p>
    <w:p w14:paraId="01232DE4"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FA0D37" w:rsidRDefault="00394471" w:rsidP="00964CC4">
            <w:pPr>
              <w:pStyle w:val="TAH"/>
              <w:rPr>
                <w:b w:val="0"/>
                <w:i/>
                <w:iCs/>
                <w:lang w:eastAsia="x-none"/>
              </w:rPr>
            </w:pPr>
            <w:r w:rsidRPr="00FA0D37">
              <w:rPr>
                <w:i/>
                <w:iCs/>
                <w:lang w:eastAsia="x-none"/>
              </w:rPr>
              <w:lastRenderedPageBreak/>
              <w:t>AvailabilityCombination field descriptions</w:t>
            </w:r>
          </w:p>
        </w:tc>
      </w:tr>
      <w:tr w:rsidR="005C7FF4" w:rsidRPr="00FA0D37"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FA0D37" w:rsidRDefault="00052615" w:rsidP="0071565C">
            <w:pPr>
              <w:pStyle w:val="TAL"/>
              <w:rPr>
                <w:b/>
                <w:bCs/>
                <w:i/>
                <w:iCs/>
                <w:lang w:eastAsia="x-none"/>
              </w:rPr>
            </w:pPr>
            <w:r w:rsidRPr="00FA0D37">
              <w:rPr>
                <w:b/>
                <w:bCs/>
                <w:i/>
                <w:iCs/>
                <w:lang w:eastAsia="x-none"/>
              </w:rPr>
              <w:t>availabilityCombinationId</w:t>
            </w:r>
          </w:p>
          <w:p w14:paraId="432ED926" w14:textId="77777777" w:rsidR="00052615" w:rsidRPr="00FA0D37" w:rsidRDefault="00052615" w:rsidP="0071565C">
            <w:pPr>
              <w:pStyle w:val="TAL"/>
              <w:rPr>
                <w:lang w:eastAsia="sv-SE"/>
              </w:rPr>
            </w:pPr>
            <w:r w:rsidRPr="00FA0D37">
              <w:rPr>
                <w:lang w:eastAsia="sv-SE"/>
              </w:rPr>
              <w:t xml:space="preserve">This ID is used in the DCI Format 2_5 payload to dynamically select this </w:t>
            </w:r>
            <w:r w:rsidRPr="00FA0D37">
              <w:rPr>
                <w:i/>
                <w:iCs/>
                <w:lang w:eastAsia="x-none"/>
              </w:rPr>
              <w:t>AvailabilityCombination</w:t>
            </w:r>
            <w:r w:rsidRPr="00FA0D37">
              <w:rPr>
                <w:lang w:eastAsia="sv-SE"/>
              </w:rPr>
              <w:t>, see TS 38.213 [13], clause 14.</w:t>
            </w:r>
          </w:p>
        </w:tc>
      </w:tr>
      <w:tr w:rsidR="00F747EB" w:rsidRPr="00FA0D37"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FA0D37" w:rsidRDefault="00394471" w:rsidP="00964CC4">
            <w:pPr>
              <w:pStyle w:val="TAL"/>
              <w:rPr>
                <w:b/>
                <w:bCs/>
                <w:i/>
                <w:iCs/>
                <w:lang w:eastAsia="x-none"/>
              </w:rPr>
            </w:pPr>
            <w:r w:rsidRPr="00FA0D37">
              <w:rPr>
                <w:b/>
                <w:bCs/>
                <w:i/>
                <w:iCs/>
                <w:lang w:eastAsia="x-none"/>
              </w:rPr>
              <w:t>resourceAvailability</w:t>
            </w:r>
          </w:p>
          <w:p w14:paraId="0E2BA499" w14:textId="45F5BC3D" w:rsidR="00394471" w:rsidRPr="00FA0D37" w:rsidRDefault="00394471" w:rsidP="00964CC4">
            <w:pPr>
              <w:pStyle w:val="TAL"/>
              <w:rPr>
                <w:lang w:eastAsia="sv-SE"/>
              </w:rPr>
            </w:pPr>
            <w:r w:rsidRPr="00FA0D37">
              <w:rPr>
                <w:lang w:eastAsia="sv-SE"/>
              </w:rPr>
              <w:t>Indicates the resource availability</w:t>
            </w:r>
            <w:r w:rsidRPr="00FA0D37">
              <w:t xml:space="preserve"> of soft symbols</w:t>
            </w:r>
            <w:r w:rsidRPr="00FA0D37">
              <w:rPr>
                <w:lang w:eastAsia="sv-SE"/>
              </w:rPr>
              <w:t xml:space="preserve"> for a set of consecutive slots in the time domain. The meaning of this field</w:t>
            </w:r>
            <w:r w:rsidRPr="00FA0D37">
              <w:t xml:space="preserve"> </w:t>
            </w:r>
            <w:r w:rsidRPr="00FA0D37">
              <w:rPr>
                <w:szCs w:val="22"/>
              </w:rPr>
              <w:t>is described in TS 38.213 [13], Table 14.</w:t>
            </w:r>
            <w:r w:rsidR="00A27DAE" w:rsidRPr="00FA0D37">
              <w:rPr>
                <w:szCs w:val="22"/>
              </w:rPr>
              <w:t>3</w:t>
            </w:r>
            <w:r w:rsidRPr="00FA0D37">
              <w:rPr>
                <w:szCs w:val="22"/>
              </w:rPr>
              <w:t>.</w:t>
            </w:r>
            <w:r w:rsidR="00A66715" w:rsidRPr="00FA0D37">
              <w:rPr>
                <w:szCs w:val="22"/>
              </w:rPr>
              <w:t xml:space="preserve"> If included in </w:t>
            </w:r>
            <w:r w:rsidR="00A66715" w:rsidRPr="00FA0D37">
              <w:rPr>
                <w:i/>
                <w:iCs/>
                <w:szCs w:val="22"/>
              </w:rPr>
              <w:t>R</w:t>
            </w:r>
            <w:r w:rsidR="00052615" w:rsidRPr="00FA0D37">
              <w:rPr>
                <w:i/>
                <w:iCs/>
                <w:szCs w:val="22"/>
              </w:rPr>
              <w:t>B-</w:t>
            </w:r>
            <w:r w:rsidR="00A66715" w:rsidRPr="00FA0D37">
              <w:rPr>
                <w:i/>
                <w:iCs/>
                <w:szCs w:val="22"/>
              </w:rPr>
              <w:t>SetGroup</w:t>
            </w:r>
            <w:r w:rsidR="00A66715" w:rsidRPr="00FA0D37">
              <w:rPr>
                <w:szCs w:val="22"/>
              </w:rPr>
              <w:t xml:space="preserve"> within </w:t>
            </w:r>
            <w:r w:rsidR="00A66715" w:rsidRPr="00FA0D37">
              <w:rPr>
                <w:i/>
                <w:iCs/>
                <w:szCs w:val="22"/>
              </w:rPr>
              <w:t>AvailabilityCombination</w:t>
            </w:r>
            <w:r w:rsidR="00052615" w:rsidRPr="00FA0D37">
              <w:rPr>
                <w:i/>
                <w:iCs/>
                <w:szCs w:val="22"/>
              </w:rPr>
              <w:t>RB</w:t>
            </w:r>
            <w:r w:rsidR="00425CBF" w:rsidRPr="00FA0D37">
              <w:rPr>
                <w:i/>
                <w:iCs/>
                <w:szCs w:val="22"/>
              </w:rPr>
              <w:t>-</w:t>
            </w:r>
            <w:r w:rsidR="00052615" w:rsidRPr="00FA0D37">
              <w:rPr>
                <w:i/>
                <w:iCs/>
                <w:szCs w:val="22"/>
              </w:rPr>
              <w:t>Groups</w:t>
            </w:r>
            <w:r w:rsidR="00A66715" w:rsidRPr="00FA0D37">
              <w:rPr>
                <w:i/>
                <w:iCs/>
                <w:szCs w:val="22"/>
              </w:rPr>
              <w:t>-r17</w:t>
            </w:r>
            <w:r w:rsidR="00A66715" w:rsidRPr="00FA0D37">
              <w:rPr>
                <w:szCs w:val="22"/>
              </w:rPr>
              <w:t xml:space="preserve">, it indicates the availability of soft resources for an RB set group. If included in </w:t>
            </w:r>
            <w:r w:rsidR="00A66715" w:rsidRPr="00FA0D37">
              <w:rPr>
                <w:i/>
                <w:iCs/>
                <w:szCs w:val="22"/>
              </w:rPr>
              <w:t>AvailabilityCombination</w:t>
            </w:r>
            <w:r w:rsidR="00052615" w:rsidRPr="00FA0D37">
              <w:rPr>
                <w:i/>
                <w:iCs/>
                <w:szCs w:val="22"/>
              </w:rPr>
              <w:t>RB</w:t>
            </w:r>
            <w:r w:rsidR="00425CBF" w:rsidRPr="00FA0D37">
              <w:rPr>
                <w:i/>
                <w:iCs/>
                <w:szCs w:val="22"/>
              </w:rPr>
              <w:t>-</w:t>
            </w:r>
            <w:r w:rsidR="00052615" w:rsidRPr="00FA0D37">
              <w:rPr>
                <w:i/>
                <w:iCs/>
                <w:szCs w:val="22"/>
              </w:rPr>
              <w:t>Groups</w:t>
            </w:r>
            <w:r w:rsidR="00A66715" w:rsidRPr="00FA0D37">
              <w:rPr>
                <w:i/>
                <w:iCs/>
                <w:szCs w:val="22"/>
              </w:rPr>
              <w:t>-r17</w:t>
            </w:r>
            <w:r w:rsidR="00A66715" w:rsidRPr="00FA0D37">
              <w:rPr>
                <w:szCs w:val="22"/>
              </w:rPr>
              <w:t xml:space="preserve"> when the </w:t>
            </w:r>
            <w:r w:rsidR="00A66715" w:rsidRPr="00FA0D37">
              <w:rPr>
                <w:i/>
                <w:iCs/>
                <w:szCs w:val="22"/>
              </w:rPr>
              <w:t>rb</w:t>
            </w:r>
            <w:r w:rsidR="00052615" w:rsidRPr="00FA0D37">
              <w:rPr>
                <w:i/>
                <w:iCs/>
                <w:szCs w:val="22"/>
              </w:rPr>
              <w:t>-</w:t>
            </w:r>
            <w:r w:rsidR="00A66715" w:rsidRPr="00FA0D37">
              <w:rPr>
                <w:i/>
                <w:iCs/>
                <w:szCs w:val="22"/>
              </w:rPr>
              <w:t>SetGroups</w:t>
            </w:r>
            <w:r w:rsidR="00A66715" w:rsidRPr="00FA0D37">
              <w:rPr>
                <w:szCs w:val="22"/>
              </w:rPr>
              <w:t xml:space="preserve"> is not configured, it indicates the availability of soft resources in one or multiple slots for all RB sets of a DU cell.</w:t>
            </w:r>
          </w:p>
        </w:tc>
      </w:tr>
    </w:tbl>
    <w:p w14:paraId="5566037A"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FA0D37" w:rsidRDefault="00394471" w:rsidP="00964CC4">
            <w:pPr>
              <w:pStyle w:val="TAH"/>
              <w:rPr>
                <w:b w:val="0"/>
                <w:lang w:eastAsia="sv-SE"/>
              </w:rPr>
            </w:pPr>
            <w:r w:rsidRPr="00FA0D37">
              <w:rPr>
                <w:i/>
                <w:iCs/>
                <w:lang w:eastAsia="sv-SE"/>
              </w:rPr>
              <w:t>AvailabilityCombinationsPerCell</w:t>
            </w:r>
            <w:r w:rsidRPr="00FA0D37">
              <w:rPr>
                <w:lang w:eastAsia="sv-SE"/>
              </w:rPr>
              <w:t xml:space="preserve"> field descriptions</w:t>
            </w:r>
          </w:p>
        </w:tc>
      </w:tr>
      <w:tr w:rsidR="005C7FF4" w:rsidRPr="00FA0D37"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FA0D37" w:rsidRDefault="00394471" w:rsidP="00964CC4">
            <w:pPr>
              <w:pStyle w:val="TAL"/>
              <w:rPr>
                <w:b/>
                <w:bCs/>
                <w:i/>
                <w:iCs/>
                <w:lang w:eastAsia="x-none"/>
              </w:rPr>
            </w:pPr>
            <w:r w:rsidRPr="00FA0D37">
              <w:rPr>
                <w:b/>
                <w:bCs/>
                <w:i/>
                <w:iCs/>
                <w:lang w:eastAsia="x-none"/>
              </w:rPr>
              <w:t>iab-DU-CellIdentity</w:t>
            </w:r>
          </w:p>
          <w:p w14:paraId="0B3D6310" w14:textId="77777777" w:rsidR="00394471" w:rsidRPr="00FA0D37" w:rsidRDefault="00394471" w:rsidP="00964CC4">
            <w:pPr>
              <w:pStyle w:val="TAL"/>
              <w:rPr>
                <w:lang w:eastAsia="sv-SE"/>
              </w:rPr>
            </w:pPr>
            <w:r w:rsidRPr="00FA0D37">
              <w:rPr>
                <w:rFonts w:cs="Arial"/>
                <w:szCs w:val="18"/>
                <w:lang w:eastAsia="zh-CN"/>
              </w:rPr>
              <w:t xml:space="preserve">The ID of the IAB-DU cell for which the </w:t>
            </w:r>
            <w:r w:rsidRPr="00FA0D37">
              <w:rPr>
                <w:rFonts w:cs="Arial"/>
                <w:i/>
                <w:iCs/>
                <w:szCs w:val="18"/>
                <w:lang w:eastAsia="zh-CN"/>
              </w:rPr>
              <w:t>availabilityCombinations</w:t>
            </w:r>
            <w:r w:rsidRPr="00FA0D37">
              <w:rPr>
                <w:rFonts w:cs="Arial"/>
                <w:szCs w:val="18"/>
                <w:lang w:eastAsia="zh-CN"/>
              </w:rPr>
              <w:t xml:space="preserve"> are applicable.</w:t>
            </w:r>
          </w:p>
        </w:tc>
      </w:tr>
      <w:tr w:rsidR="005C7FF4" w:rsidRPr="00FA0D37"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FA0D37" w:rsidRDefault="00394471" w:rsidP="00964CC4">
            <w:pPr>
              <w:pStyle w:val="TAL"/>
              <w:rPr>
                <w:b/>
                <w:bCs/>
                <w:i/>
                <w:iCs/>
                <w:lang w:eastAsia="x-none"/>
              </w:rPr>
            </w:pPr>
            <w:r w:rsidRPr="00FA0D37">
              <w:rPr>
                <w:b/>
                <w:bCs/>
                <w:i/>
                <w:iCs/>
                <w:lang w:eastAsia="x-none"/>
              </w:rPr>
              <w:t>positionInDC</w:t>
            </w:r>
            <w:r w:rsidR="00D76C68" w:rsidRPr="00FA0D37">
              <w:rPr>
                <w:b/>
                <w:bCs/>
                <w:i/>
                <w:iCs/>
                <w:lang w:eastAsia="x-none"/>
              </w:rPr>
              <w:t>I</w:t>
            </w:r>
            <w:r w:rsidRPr="00FA0D37">
              <w:rPr>
                <w:b/>
                <w:bCs/>
                <w:i/>
                <w:iCs/>
                <w:lang w:eastAsia="x-none"/>
              </w:rPr>
              <w:t>-AI</w:t>
            </w:r>
          </w:p>
          <w:p w14:paraId="54AB86E3" w14:textId="3C31DC93" w:rsidR="00394471" w:rsidRPr="00FA0D37" w:rsidRDefault="00394471" w:rsidP="00964CC4">
            <w:pPr>
              <w:pStyle w:val="TAL"/>
              <w:rPr>
                <w:lang w:eastAsia="sv-SE"/>
              </w:rPr>
            </w:pPr>
            <w:r w:rsidRPr="00FA0D37">
              <w:rPr>
                <w:lang w:eastAsia="sv-SE"/>
              </w:rPr>
              <w:t xml:space="preserve">The (starting) position (bit) of the </w:t>
            </w:r>
            <w:r w:rsidR="00B822E7" w:rsidRPr="00FA0D37">
              <w:rPr>
                <w:i/>
                <w:iCs/>
                <w:lang w:eastAsia="sv-SE"/>
              </w:rPr>
              <w:t>a</w:t>
            </w:r>
            <w:r w:rsidRPr="00FA0D37">
              <w:rPr>
                <w:i/>
                <w:iCs/>
                <w:lang w:eastAsia="sv-SE"/>
              </w:rPr>
              <w:t>vailabilityCombinationId</w:t>
            </w:r>
            <w:r w:rsidRPr="00FA0D37">
              <w:rPr>
                <w:lang w:eastAsia="sv-SE"/>
              </w:rPr>
              <w:t xml:space="preserve"> for the indicated IAB-DU cell (</w:t>
            </w:r>
            <w:r w:rsidRPr="00FA0D37">
              <w:rPr>
                <w:i/>
                <w:iCs/>
                <w:szCs w:val="22"/>
                <w:lang w:eastAsia="zh-CN"/>
              </w:rPr>
              <w:t>iab-DU-CellIdentity</w:t>
            </w:r>
            <w:r w:rsidRPr="00FA0D37">
              <w:rPr>
                <w:lang w:eastAsia="sv-SE"/>
              </w:rPr>
              <w:t>) within the DCI payload.</w:t>
            </w:r>
            <w:r w:rsidR="002C6647" w:rsidRPr="00FA0D37">
              <w:rPr>
                <w:lang w:eastAsia="sv-SE"/>
              </w:rPr>
              <w:t xml:space="preserve"> If </w:t>
            </w:r>
            <w:r w:rsidR="002C6647" w:rsidRPr="00FA0D37">
              <w:rPr>
                <w:i/>
                <w:iCs/>
              </w:rPr>
              <w:t>positionInDCI-AI-RBGroups</w:t>
            </w:r>
            <w:r w:rsidR="002C6647" w:rsidRPr="00FA0D37">
              <w:t xml:space="preserve"> is not configured, it applies to the </w:t>
            </w:r>
            <w:r w:rsidR="002C6647" w:rsidRPr="00FA0D37">
              <w:rPr>
                <w:i/>
                <w:iCs/>
              </w:rPr>
              <w:t>availabilityCombinationId</w:t>
            </w:r>
            <w:r w:rsidR="002C6647" w:rsidRPr="00FA0D37">
              <w:t xml:space="preserve"> included in </w:t>
            </w:r>
            <w:r w:rsidR="002C6647" w:rsidRPr="00FA0D37">
              <w:rPr>
                <w:i/>
                <w:iCs/>
              </w:rPr>
              <w:t>availabilityCombinations</w:t>
            </w:r>
            <w:r w:rsidR="002C6647" w:rsidRPr="00FA0D37">
              <w:t xml:space="preserve"> and in </w:t>
            </w:r>
            <w:r w:rsidR="002C6647" w:rsidRPr="00FA0D37">
              <w:rPr>
                <w:i/>
                <w:iCs/>
              </w:rPr>
              <w:t>availabilityCombinationsRB</w:t>
            </w:r>
            <w:r w:rsidR="00DF1A5D" w:rsidRPr="00FA0D37">
              <w:rPr>
                <w:i/>
                <w:iCs/>
              </w:rPr>
              <w:t>-</w:t>
            </w:r>
            <w:r w:rsidR="002C6647" w:rsidRPr="00FA0D37">
              <w:rPr>
                <w:i/>
                <w:iCs/>
              </w:rPr>
              <w:t>Groups</w:t>
            </w:r>
            <w:r w:rsidR="002C6647" w:rsidRPr="00FA0D37">
              <w:t xml:space="preserve">. </w:t>
            </w:r>
            <w:r w:rsidR="002C6647" w:rsidRPr="00FA0D37">
              <w:rPr>
                <w:lang w:eastAsia="sv-SE"/>
              </w:rPr>
              <w:t xml:space="preserve">If </w:t>
            </w:r>
            <w:r w:rsidR="002C6647" w:rsidRPr="00FA0D37">
              <w:rPr>
                <w:i/>
                <w:iCs/>
              </w:rPr>
              <w:t>positionInDCI-AI-RBGroups</w:t>
            </w:r>
            <w:r w:rsidR="002C6647" w:rsidRPr="00FA0D37">
              <w:t xml:space="preserve"> is configured, it applies to the </w:t>
            </w:r>
            <w:r w:rsidR="002C6647" w:rsidRPr="00FA0D37">
              <w:rPr>
                <w:i/>
                <w:iCs/>
              </w:rPr>
              <w:t>availabilityCombinationId</w:t>
            </w:r>
            <w:r w:rsidR="002C6647" w:rsidRPr="00FA0D37">
              <w:t xml:space="preserve"> included in</w:t>
            </w:r>
            <w:r w:rsidR="002C6647" w:rsidRPr="00FA0D37">
              <w:rPr>
                <w:i/>
                <w:iCs/>
              </w:rPr>
              <w:t xml:space="preserve"> availabilityCombinations</w:t>
            </w:r>
            <w:r w:rsidR="002C6647" w:rsidRPr="00FA0D37">
              <w:t>.</w:t>
            </w:r>
          </w:p>
        </w:tc>
      </w:tr>
      <w:tr w:rsidR="002C6647" w:rsidRPr="00FA0D37"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FA0D37" w:rsidRDefault="002C6647" w:rsidP="0071565C">
            <w:pPr>
              <w:pStyle w:val="TAL"/>
              <w:rPr>
                <w:b/>
                <w:bCs/>
                <w:i/>
                <w:iCs/>
                <w:lang w:eastAsia="x-none"/>
              </w:rPr>
            </w:pPr>
            <w:r w:rsidRPr="00FA0D37">
              <w:rPr>
                <w:b/>
                <w:bCs/>
                <w:i/>
                <w:iCs/>
                <w:lang w:eastAsia="x-none"/>
              </w:rPr>
              <w:t>positionInDCI-AI-RBGroups</w:t>
            </w:r>
          </w:p>
          <w:p w14:paraId="265A3050" w14:textId="5333A2ED" w:rsidR="002C6647" w:rsidRPr="00FA0D37" w:rsidRDefault="002C6647" w:rsidP="0071565C">
            <w:pPr>
              <w:pStyle w:val="TAL"/>
              <w:rPr>
                <w:lang w:eastAsia="x-none"/>
              </w:rPr>
            </w:pPr>
            <w:r w:rsidRPr="00FA0D37">
              <w:rPr>
                <w:lang w:eastAsia="x-none"/>
              </w:rPr>
              <w:t xml:space="preserve">The (starting) position (bit) of the </w:t>
            </w:r>
            <w:r w:rsidRPr="00FA0D37">
              <w:rPr>
                <w:i/>
                <w:iCs/>
                <w:lang w:eastAsia="x-none"/>
              </w:rPr>
              <w:t>availabilityCombinationId</w:t>
            </w:r>
            <w:r w:rsidRPr="00FA0D37">
              <w:rPr>
                <w:lang w:eastAsia="x-none"/>
              </w:rPr>
              <w:t xml:space="preserve"> associated to the </w:t>
            </w:r>
            <w:r w:rsidRPr="00FA0D37">
              <w:rPr>
                <w:i/>
                <w:iCs/>
                <w:lang w:eastAsia="x-none"/>
              </w:rPr>
              <w:t>availabilityCombinationsRB</w:t>
            </w:r>
            <w:r w:rsidR="00DF1A5D" w:rsidRPr="00FA0D37">
              <w:rPr>
                <w:i/>
                <w:iCs/>
                <w:lang w:eastAsia="x-none"/>
              </w:rPr>
              <w:t>-</w:t>
            </w:r>
            <w:r w:rsidRPr="00FA0D37">
              <w:rPr>
                <w:i/>
                <w:iCs/>
                <w:lang w:eastAsia="x-none"/>
              </w:rPr>
              <w:t>Groups</w:t>
            </w:r>
            <w:r w:rsidRPr="00FA0D37">
              <w:rPr>
                <w:lang w:eastAsia="x-none"/>
              </w:rPr>
              <w:t xml:space="preserve"> for the indicated IAB-DU cell (</w:t>
            </w:r>
            <w:r w:rsidRPr="00FA0D37">
              <w:rPr>
                <w:i/>
                <w:iCs/>
                <w:lang w:eastAsia="x-none"/>
              </w:rPr>
              <w:t>iab-DU-CellIdentity</w:t>
            </w:r>
            <w:r w:rsidRPr="00FA0D37">
              <w:rPr>
                <w:lang w:eastAsia="x-none"/>
              </w:rPr>
              <w:t>) within the DCI payload.</w:t>
            </w:r>
          </w:p>
        </w:tc>
      </w:tr>
    </w:tbl>
    <w:p w14:paraId="77AEE91A" w14:textId="77777777" w:rsidR="00052615" w:rsidRPr="00FA0D37"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FA0D37" w:rsidRDefault="00052615" w:rsidP="0071565C">
            <w:pPr>
              <w:pStyle w:val="TAH"/>
              <w:rPr>
                <w:b w:val="0"/>
                <w:lang w:eastAsia="sv-SE"/>
              </w:rPr>
            </w:pPr>
            <w:r w:rsidRPr="00FA0D37">
              <w:rPr>
                <w:i/>
                <w:iCs/>
                <w:lang w:eastAsia="sv-SE"/>
              </w:rPr>
              <w:t>AvailabilityCombinationRB</w:t>
            </w:r>
            <w:r w:rsidR="002C6647" w:rsidRPr="00FA0D37">
              <w:rPr>
                <w:i/>
                <w:iCs/>
                <w:lang w:eastAsia="sv-SE"/>
              </w:rPr>
              <w:t>-</w:t>
            </w:r>
            <w:r w:rsidRPr="00FA0D37">
              <w:rPr>
                <w:i/>
                <w:iCs/>
                <w:lang w:eastAsia="sv-SE"/>
              </w:rPr>
              <w:t>Groups</w:t>
            </w:r>
            <w:r w:rsidRPr="00FA0D37">
              <w:rPr>
                <w:lang w:eastAsia="sv-SE"/>
              </w:rPr>
              <w:t xml:space="preserve"> field descriptions</w:t>
            </w:r>
          </w:p>
        </w:tc>
      </w:tr>
      <w:tr w:rsidR="005C7FF4" w:rsidRPr="00FA0D37"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FA0D37" w:rsidRDefault="00052615" w:rsidP="0071565C">
            <w:pPr>
              <w:pStyle w:val="TAL"/>
              <w:rPr>
                <w:lang w:eastAsia="zh-CN"/>
              </w:rPr>
            </w:pPr>
            <w:r w:rsidRPr="00FA0D37">
              <w:rPr>
                <w:b/>
                <w:bCs/>
                <w:i/>
                <w:iCs/>
                <w:lang w:eastAsia="zh-CN"/>
              </w:rPr>
              <w:t>rb-SetGroups</w:t>
            </w:r>
          </w:p>
          <w:p w14:paraId="543CC074" w14:textId="77777777" w:rsidR="00052615" w:rsidRPr="00FA0D37" w:rsidRDefault="00052615" w:rsidP="0071565C">
            <w:pPr>
              <w:pStyle w:val="TAL"/>
              <w:rPr>
                <w:b/>
                <w:bCs/>
                <w:i/>
                <w:iCs/>
                <w:lang w:eastAsia="zh-CN"/>
              </w:rPr>
            </w:pPr>
            <w:r w:rsidRPr="00FA0D37">
              <w:rPr>
                <w:lang w:eastAsia="zh-CN"/>
              </w:rPr>
              <w:t>Indicates the RB set groups configured for the availability combination. Each group includes consecutive RB sets.</w:t>
            </w:r>
          </w:p>
        </w:tc>
      </w:tr>
      <w:tr w:rsidR="00F747EB" w:rsidRPr="00FA0D37"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FA0D37" w:rsidRDefault="00052615" w:rsidP="0071565C">
            <w:pPr>
              <w:pStyle w:val="TAL"/>
              <w:rPr>
                <w:b/>
                <w:bCs/>
                <w:i/>
                <w:iCs/>
                <w:lang w:eastAsia="zh-CN"/>
              </w:rPr>
            </w:pPr>
            <w:r w:rsidRPr="00FA0D37">
              <w:rPr>
                <w:b/>
                <w:bCs/>
                <w:i/>
                <w:iCs/>
                <w:lang w:eastAsia="zh-CN"/>
              </w:rPr>
              <w:t>rb</w:t>
            </w:r>
            <w:r w:rsidR="00425CBF" w:rsidRPr="00FA0D37">
              <w:rPr>
                <w:b/>
                <w:bCs/>
                <w:i/>
                <w:iCs/>
                <w:lang w:eastAsia="zh-CN"/>
              </w:rPr>
              <w:t>-</w:t>
            </w:r>
            <w:r w:rsidRPr="00FA0D37">
              <w:rPr>
                <w:b/>
                <w:bCs/>
                <w:i/>
                <w:iCs/>
                <w:lang w:eastAsia="zh-CN"/>
              </w:rPr>
              <w:t>Sets</w:t>
            </w:r>
          </w:p>
          <w:p w14:paraId="72CC3E59" w14:textId="77777777" w:rsidR="00052615" w:rsidRPr="00FA0D37" w:rsidRDefault="00052615" w:rsidP="0071565C">
            <w:pPr>
              <w:pStyle w:val="TAL"/>
              <w:rPr>
                <w:b/>
                <w:bCs/>
                <w:i/>
                <w:iCs/>
                <w:lang w:eastAsia="zh-CN"/>
              </w:rPr>
            </w:pPr>
            <w:r w:rsidRPr="00FA0D37">
              <w:rPr>
                <w:lang w:eastAsia="zh-CN"/>
              </w:rPr>
              <w:t>Indicates the one or more RB set indexes associated to one or more RB sets configured for one RB set group.</w:t>
            </w:r>
          </w:p>
        </w:tc>
      </w:tr>
    </w:tbl>
    <w:p w14:paraId="0A8751A7" w14:textId="77777777" w:rsidR="00394471" w:rsidRPr="00FA0D37" w:rsidRDefault="00394471" w:rsidP="00394471"/>
    <w:p w14:paraId="04542C9E" w14:textId="77777777" w:rsidR="00394471" w:rsidRPr="00FA0D37" w:rsidRDefault="00394471" w:rsidP="00394471">
      <w:pPr>
        <w:pStyle w:val="4"/>
        <w:rPr>
          <w:rFonts w:eastAsiaTheme="minorEastAsia"/>
        </w:rPr>
      </w:pPr>
      <w:bookmarkStart w:id="879" w:name="_Toc60777166"/>
      <w:bookmarkStart w:id="880" w:name="_Toc146781210"/>
      <w:r w:rsidRPr="00FA0D37">
        <w:t>–</w:t>
      </w:r>
      <w:r w:rsidRPr="00FA0D37">
        <w:tab/>
      </w:r>
      <w:r w:rsidRPr="00FA0D37">
        <w:rPr>
          <w:i/>
        </w:rPr>
        <w:t>AvailabilityIndicator</w:t>
      </w:r>
      <w:bookmarkEnd w:id="879"/>
      <w:bookmarkEnd w:id="880"/>
    </w:p>
    <w:p w14:paraId="2C405EAD" w14:textId="77777777" w:rsidR="00394471" w:rsidRPr="00FA0D37" w:rsidRDefault="00394471" w:rsidP="00394471">
      <w:r w:rsidRPr="00FA0D37">
        <w:t xml:space="preserve">The IE </w:t>
      </w:r>
      <w:r w:rsidRPr="00FA0D37">
        <w:rPr>
          <w:i/>
        </w:rPr>
        <w:t>AvailabilityIndicator</w:t>
      </w:r>
      <w:r w:rsidRPr="00FA0D37">
        <w:t xml:space="preserve"> is used to configure monitoring a PDCCH for Availability Indicators (AI).</w:t>
      </w:r>
    </w:p>
    <w:p w14:paraId="3C7CCBF2" w14:textId="77777777" w:rsidR="00394471" w:rsidRPr="00FA0D37" w:rsidRDefault="00394471" w:rsidP="00394471">
      <w:pPr>
        <w:pStyle w:val="TH"/>
      </w:pPr>
      <w:r w:rsidRPr="00FA0D37">
        <w:rPr>
          <w:i/>
        </w:rPr>
        <w:t>AvailabilityIndicator</w:t>
      </w:r>
      <w:r w:rsidRPr="00FA0D37">
        <w:t xml:space="preserve"> information element</w:t>
      </w:r>
    </w:p>
    <w:p w14:paraId="1AA8C621" w14:textId="77777777" w:rsidR="00394471" w:rsidRPr="00FA0D37" w:rsidRDefault="00394471" w:rsidP="00FA0D37">
      <w:pPr>
        <w:pStyle w:val="PL"/>
        <w:rPr>
          <w:color w:val="808080"/>
        </w:rPr>
      </w:pPr>
      <w:r w:rsidRPr="00FA0D37">
        <w:rPr>
          <w:color w:val="808080"/>
        </w:rPr>
        <w:t>-- ASN1START</w:t>
      </w:r>
    </w:p>
    <w:p w14:paraId="57C590D7" w14:textId="77777777" w:rsidR="00394471" w:rsidRPr="00FA0D37" w:rsidRDefault="00394471" w:rsidP="00FA0D37">
      <w:pPr>
        <w:pStyle w:val="PL"/>
        <w:rPr>
          <w:color w:val="808080"/>
        </w:rPr>
      </w:pPr>
      <w:r w:rsidRPr="00FA0D37">
        <w:rPr>
          <w:color w:val="808080"/>
        </w:rPr>
        <w:t>-- TAG-AVAILABILITYINDICATOR-START</w:t>
      </w:r>
    </w:p>
    <w:p w14:paraId="5152726E" w14:textId="77777777" w:rsidR="00394471" w:rsidRPr="00FA0D37" w:rsidRDefault="00394471" w:rsidP="00FA0D37">
      <w:pPr>
        <w:pStyle w:val="PL"/>
      </w:pPr>
    </w:p>
    <w:p w14:paraId="62FCB622" w14:textId="77777777" w:rsidR="00394471" w:rsidRPr="00FA0D37" w:rsidRDefault="00394471" w:rsidP="00FA0D37">
      <w:pPr>
        <w:pStyle w:val="PL"/>
      </w:pPr>
      <w:r w:rsidRPr="00FA0D37">
        <w:t xml:space="preserve">AvailabilityIndicator-r16 ::=    </w:t>
      </w:r>
      <w:r w:rsidRPr="00FA0D37">
        <w:rPr>
          <w:color w:val="993366"/>
        </w:rPr>
        <w:t>SEQUENCE</w:t>
      </w:r>
      <w:r w:rsidRPr="00FA0D37">
        <w:t xml:space="preserve"> {</w:t>
      </w:r>
    </w:p>
    <w:p w14:paraId="13E41DD5" w14:textId="77777777" w:rsidR="00394471" w:rsidRPr="00FA0D37" w:rsidRDefault="00394471" w:rsidP="00FA0D37">
      <w:pPr>
        <w:pStyle w:val="PL"/>
      </w:pPr>
      <w:r w:rsidRPr="00FA0D37">
        <w:t xml:space="preserve">    ai-RNTI-r16                      AI-RNTI-r16,</w:t>
      </w:r>
    </w:p>
    <w:p w14:paraId="315921F0" w14:textId="77777777" w:rsidR="00394471" w:rsidRPr="00FA0D37" w:rsidRDefault="00394471" w:rsidP="00FA0D37">
      <w:pPr>
        <w:pStyle w:val="PL"/>
      </w:pPr>
      <w:r w:rsidRPr="00FA0D37">
        <w:t xml:space="preserve">    dci-PayloadSizeAI-r16            </w:t>
      </w:r>
      <w:r w:rsidRPr="00FA0D37">
        <w:rPr>
          <w:color w:val="993366"/>
        </w:rPr>
        <w:t>INTEGER</w:t>
      </w:r>
      <w:r w:rsidRPr="00FA0D37">
        <w:t xml:space="preserve"> (1..maxAI-DCI-PayloadSize-r16),</w:t>
      </w:r>
    </w:p>
    <w:p w14:paraId="4377B873" w14:textId="77777777" w:rsidR="00394471" w:rsidRPr="00FA0D37" w:rsidRDefault="00394471" w:rsidP="00FA0D37">
      <w:pPr>
        <w:pStyle w:val="PL"/>
        <w:rPr>
          <w:color w:val="808080"/>
        </w:rPr>
      </w:pPr>
      <w:r w:rsidRPr="00FA0D37">
        <w:t xml:space="preserve">    availableCombToAddModList-r16    </w:t>
      </w:r>
      <w:r w:rsidRPr="00FA0D37">
        <w:rPr>
          <w:color w:val="993366"/>
        </w:rPr>
        <w:t>SEQUENCE</w:t>
      </w:r>
      <w:r w:rsidRPr="00FA0D37">
        <w:t xml:space="preserve"> (</w:t>
      </w:r>
      <w:r w:rsidRPr="00FA0D37">
        <w:rPr>
          <w:color w:val="993366"/>
        </w:rPr>
        <w:t>SIZE</w:t>
      </w:r>
      <w:r w:rsidRPr="00FA0D37">
        <w:t>(1..maxNrofDUCells-r16))</w:t>
      </w:r>
      <w:r w:rsidRPr="00FA0D37">
        <w:rPr>
          <w:color w:val="993366"/>
        </w:rPr>
        <w:t xml:space="preserve"> OF</w:t>
      </w:r>
      <w:r w:rsidRPr="00FA0D37">
        <w:t xml:space="preserve"> AvailabilityCombinationsPerCell-r16          </w:t>
      </w:r>
      <w:r w:rsidRPr="00FA0D37">
        <w:rPr>
          <w:color w:val="993366"/>
        </w:rPr>
        <w:t>OPTIONAL</w:t>
      </w:r>
      <w:r w:rsidRPr="00FA0D37">
        <w:t xml:space="preserve">, </w:t>
      </w:r>
      <w:r w:rsidRPr="00FA0D37">
        <w:rPr>
          <w:color w:val="808080"/>
        </w:rPr>
        <w:t>-- Need N</w:t>
      </w:r>
    </w:p>
    <w:p w14:paraId="62EBD975" w14:textId="77777777" w:rsidR="00394471" w:rsidRPr="00FA0D37" w:rsidRDefault="00394471" w:rsidP="00FA0D37">
      <w:pPr>
        <w:pStyle w:val="PL"/>
        <w:rPr>
          <w:color w:val="808080"/>
        </w:rPr>
      </w:pPr>
      <w:r w:rsidRPr="00FA0D37">
        <w:t xml:space="preserve">    availableCombToReleaseList-r16   </w:t>
      </w:r>
      <w:r w:rsidRPr="00FA0D37">
        <w:rPr>
          <w:color w:val="993366"/>
        </w:rPr>
        <w:t>SEQUENCE</w:t>
      </w:r>
      <w:r w:rsidRPr="00FA0D37">
        <w:t xml:space="preserve"> (</w:t>
      </w:r>
      <w:r w:rsidRPr="00FA0D37">
        <w:rPr>
          <w:color w:val="993366"/>
        </w:rPr>
        <w:t>SIZE</w:t>
      </w:r>
      <w:r w:rsidRPr="00FA0D37">
        <w:t>(1..maxNrofDUCells-r16))</w:t>
      </w:r>
      <w:r w:rsidRPr="00FA0D37">
        <w:rPr>
          <w:color w:val="993366"/>
        </w:rPr>
        <w:t xml:space="preserve"> OF</w:t>
      </w:r>
      <w:r w:rsidRPr="00FA0D37">
        <w:t xml:space="preserve"> AvailabilityCombinationsPerCellIndex-r16     </w:t>
      </w:r>
      <w:r w:rsidRPr="00FA0D37">
        <w:rPr>
          <w:color w:val="993366"/>
        </w:rPr>
        <w:t>OPTIONAL</w:t>
      </w:r>
      <w:r w:rsidRPr="00FA0D37">
        <w:t xml:space="preserve">, </w:t>
      </w:r>
      <w:r w:rsidRPr="00FA0D37">
        <w:rPr>
          <w:color w:val="808080"/>
        </w:rPr>
        <w:t>-- Need N</w:t>
      </w:r>
    </w:p>
    <w:p w14:paraId="0D025ADD" w14:textId="77777777" w:rsidR="00394471" w:rsidRPr="00FA0D37" w:rsidRDefault="00394471" w:rsidP="00FA0D37">
      <w:pPr>
        <w:pStyle w:val="PL"/>
      </w:pPr>
      <w:r w:rsidRPr="00FA0D37">
        <w:t xml:space="preserve">    ...</w:t>
      </w:r>
    </w:p>
    <w:p w14:paraId="2E647F57" w14:textId="77777777" w:rsidR="00394471" w:rsidRPr="00FA0D37" w:rsidRDefault="00394471" w:rsidP="00FA0D37">
      <w:pPr>
        <w:pStyle w:val="PL"/>
      </w:pPr>
      <w:r w:rsidRPr="00FA0D37">
        <w:t>}</w:t>
      </w:r>
    </w:p>
    <w:p w14:paraId="60760924" w14:textId="77777777" w:rsidR="00394471" w:rsidRPr="00FA0D37" w:rsidRDefault="00394471" w:rsidP="00FA0D37">
      <w:pPr>
        <w:pStyle w:val="PL"/>
      </w:pPr>
    </w:p>
    <w:p w14:paraId="2B49906F" w14:textId="77777777" w:rsidR="00394471" w:rsidRPr="00FA0D37" w:rsidRDefault="00394471" w:rsidP="00FA0D37">
      <w:pPr>
        <w:pStyle w:val="PL"/>
      </w:pPr>
      <w:r w:rsidRPr="00FA0D37">
        <w:lastRenderedPageBreak/>
        <w:t>AI-RNTI-r16 ::=                      RNTI-Value</w:t>
      </w:r>
    </w:p>
    <w:p w14:paraId="4036AA72" w14:textId="77777777" w:rsidR="00394471" w:rsidRPr="00FA0D37" w:rsidRDefault="00394471" w:rsidP="00FA0D37">
      <w:pPr>
        <w:pStyle w:val="PL"/>
      </w:pPr>
    </w:p>
    <w:p w14:paraId="0C35B321" w14:textId="77777777" w:rsidR="00394471" w:rsidRPr="00FA0D37" w:rsidRDefault="00394471" w:rsidP="00FA0D37">
      <w:pPr>
        <w:pStyle w:val="PL"/>
        <w:rPr>
          <w:color w:val="808080"/>
        </w:rPr>
      </w:pPr>
      <w:r w:rsidRPr="00FA0D37">
        <w:rPr>
          <w:color w:val="808080"/>
        </w:rPr>
        <w:t>-- TAG-AVAILABILITYINDICATOR-STOP</w:t>
      </w:r>
    </w:p>
    <w:p w14:paraId="0325B90E" w14:textId="77777777" w:rsidR="00394471" w:rsidRPr="00FA0D37" w:rsidRDefault="00394471" w:rsidP="00FA0D37">
      <w:pPr>
        <w:pStyle w:val="PL"/>
        <w:rPr>
          <w:color w:val="808080"/>
        </w:rPr>
      </w:pPr>
      <w:r w:rsidRPr="00FA0D37">
        <w:rPr>
          <w:color w:val="808080"/>
        </w:rPr>
        <w:t>-- ASN1STOP</w:t>
      </w:r>
    </w:p>
    <w:p w14:paraId="59390D2D"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FA0D37" w:rsidRDefault="00394471" w:rsidP="00964CC4">
            <w:pPr>
              <w:pStyle w:val="TAH"/>
              <w:rPr>
                <w:szCs w:val="22"/>
                <w:lang w:eastAsia="sv-SE"/>
              </w:rPr>
            </w:pPr>
            <w:r w:rsidRPr="00FA0D37">
              <w:rPr>
                <w:i/>
                <w:szCs w:val="22"/>
                <w:lang w:eastAsia="sv-SE"/>
              </w:rPr>
              <w:t xml:space="preserve">AvailabilityIndicator </w:t>
            </w:r>
            <w:r w:rsidRPr="00FA0D37">
              <w:rPr>
                <w:szCs w:val="22"/>
                <w:lang w:eastAsia="sv-SE"/>
              </w:rPr>
              <w:t>field descriptions</w:t>
            </w:r>
          </w:p>
        </w:tc>
      </w:tr>
      <w:tr w:rsidR="005C7FF4" w:rsidRPr="00FA0D37"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FA0D37" w:rsidRDefault="00394471" w:rsidP="00964CC4">
            <w:pPr>
              <w:pStyle w:val="TAL"/>
              <w:rPr>
                <w:szCs w:val="22"/>
                <w:lang w:eastAsia="sv-SE"/>
              </w:rPr>
            </w:pPr>
            <w:r w:rsidRPr="00FA0D37">
              <w:rPr>
                <w:b/>
                <w:i/>
                <w:szCs w:val="22"/>
                <w:lang w:eastAsia="sv-SE"/>
              </w:rPr>
              <w:t>ai-RNTI</w:t>
            </w:r>
          </w:p>
          <w:p w14:paraId="2355C7C3" w14:textId="2EBD8674" w:rsidR="00394471" w:rsidRPr="00FA0D37" w:rsidRDefault="00394471" w:rsidP="00964CC4">
            <w:pPr>
              <w:pStyle w:val="TAH"/>
              <w:jc w:val="left"/>
              <w:rPr>
                <w:b w:val="0"/>
                <w:i/>
                <w:szCs w:val="22"/>
                <w:lang w:eastAsia="sv-SE"/>
              </w:rPr>
            </w:pPr>
            <w:r w:rsidRPr="00FA0D37">
              <w:rPr>
                <w:b w:val="0"/>
                <w:szCs w:val="22"/>
                <w:lang w:eastAsia="sv-SE"/>
              </w:rPr>
              <w:t xml:space="preserve">Used by an IAB-MT for detection of DCI format 2_5 indicating </w:t>
            </w:r>
            <w:r w:rsidRPr="00FA0D37">
              <w:rPr>
                <w:b w:val="0"/>
                <w:i/>
                <w:iCs/>
                <w:szCs w:val="22"/>
                <w:lang w:eastAsia="sv-SE"/>
              </w:rPr>
              <w:t>AvailabilityCombinationId</w:t>
            </w:r>
            <w:r w:rsidRPr="00FA0D37">
              <w:rPr>
                <w:b w:val="0"/>
                <w:szCs w:val="22"/>
                <w:lang w:eastAsia="sv-SE"/>
              </w:rPr>
              <w:t xml:space="preserve"> for an IAB-DU's cells.</w:t>
            </w:r>
          </w:p>
        </w:tc>
      </w:tr>
      <w:tr w:rsidR="005C7FF4" w:rsidRPr="00FA0D37"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FA0D37" w:rsidRDefault="00394471" w:rsidP="00964CC4">
            <w:pPr>
              <w:pStyle w:val="TAL"/>
              <w:rPr>
                <w:szCs w:val="22"/>
                <w:lang w:eastAsia="sv-SE"/>
              </w:rPr>
            </w:pPr>
            <w:r w:rsidRPr="00FA0D37">
              <w:rPr>
                <w:b/>
                <w:i/>
                <w:szCs w:val="22"/>
                <w:lang w:eastAsia="sv-SE"/>
              </w:rPr>
              <w:t>availableCombToAddModList</w:t>
            </w:r>
          </w:p>
          <w:p w14:paraId="66D984F2" w14:textId="77777777" w:rsidR="00394471" w:rsidRPr="00FA0D37" w:rsidRDefault="00394471" w:rsidP="00964CC4">
            <w:pPr>
              <w:pStyle w:val="TAL"/>
              <w:rPr>
                <w:b/>
                <w:i/>
                <w:szCs w:val="22"/>
                <w:lang w:eastAsia="sv-SE"/>
              </w:rPr>
            </w:pPr>
            <w:r w:rsidRPr="00FA0D37">
              <w:rPr>
                <w:szCs w:val="22"/>
                <w:lang w:eastAsia="sv-SE"/>
              </w:rPr>
              <w:t xml:space="preserve">A list of </w:t>
            </w:r>
            <w:r w:rsidRPr="00FA0D37">
              <w:rPr>
                <w:i/>
                <w:szCs w:val="22"/>
                <w:lang w:eastAsia="sv-SE"/>
              </w:rPr>
              <w:t>availabilityCombinations</w:t>
            </w:r>
            <w:r w:rsidRPr="00FA0D37">
              <w:rPr>
                <w:szCs w:val="22"/>
                <w:lang w:eastAsia="sv-SE"/>
              </w:rPr>
              <w:t xml:space="preserve"> to add for the IAB-DU's cells. (see TS 38.213 [13], clause 14).</w:t>
            </w:r>
          </w:p>
        </w:tc>
      </w:tr>
      <w:tr w:rsidR="005C7FF4" w:rsidRPr="00FA0D37"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FA0D37" w:rsidRDefault="00394471" w:rsidP="00964CC4">
            <w:pPr>
              <w:pStyle w:val="TAL"/>
              <w:rPr>
                <w:szCs w:val="22"/>
                <w:lang w:eastAsia="sv-SE"/>
              </w:rPr>
            </w:pPr>
            <w:r w:rsidRPr="00FA0D37">
              <w:rPr>
                <w:b/>
                <w:i/>
                <w:szCs w:val="22"/>
                <w:lang w:eastAsia="sv-SE"/>
              </w:rPr>
              <w:t>availableCombToReleaseList</w:t>
            </w:r>
          </w:p>
          <w:p w14:paraId="2D8EC3B5" w14:textId="77777777" w:rsidR="00394471" w:rsidRPr="00FA0D37" w:rsidRDefault="00394471" w:rsidP="00964CC4">
            <w:pPr>
              <w:pStyle w:val="TAL"/>
              <w:rPr>
                <w:b/>
                <w:i/>
                <w:szCs w:val="22"/>
                <w:lang w:eastAsia="sv-SE"/>
              </w:rPr>
            </w:pPr>
            <w:r w:rsidRPr="00FA0D37">
              <w:rPr>
                <w:szCs w:val="22"/>
                <w:lang w:eastAsia="sv-SE"/>
              </w:rPr>
              <w:t xml:space="preserve">A list of </w:t>
            </w:r>
            <w:r w:rsidRPr="00FA0D37">
              <w:rPr>
                <w:i/>
                <w:szCs w:val="22"/>
                <w:lang w:eastAsia="sv-SE"/>
              </w:rPr>
              <w:t>availabilityCombinations</w:t>
            </w:r>
            <w:r w:rsidRPr="00FA0D37">
              <w:rPr>
                <w:szCs w:val="22"/>
                <w:lang w:eastAsia="sv-SE"/>
              </w:rPr>
              <w:t xml:space="preserve"> to release for the IAB-DU's cells. (see TS 38.213 [13], clause 14).</w:t>
            </w:r>
          </w:p>
        </w:tc>
      </w:tr>
      <w:tr w:rsidR="00394471" w:rsidRPr="00FA0D37"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FA0D37" w:rsidRDefault="00394471" w:rsidP="00964CC4">
            <w:pPr>
              <w:pStyle w:val="TAL"/>
              <w:rPr>
                <w:szCs w:val="22"/>
                <w:lang w:eastAsia="sv-SE"/>
              </w:rPr>
            </w:pPr>
            <w:r w:rsidRPr="00FA0D37">
              <w:rPr>
                <w:b/>
                <w:i/>
                <w:szCs w:val="22"/>
                <w:lang w:eastAsia="sv-SE"/>
              </w:rPr>
              <w:t>dci-PayloadSizeAI</w:t>
            </w:r>
          </w:p>
          <w:p w14:paraId="59875DA8" w14:textId="77777777" w:rsidR="00394471" w:rsidRPr="00FA0D37" w:rsidRDefault="00394471" w:rsidP="00964CC4">
            <w:pPr>
              <w:pStyle w:val="TAL"/>
              <w:rPr>
                <w:b/>
                <w:i/>
                <w:szCs w:val="22"/>
                <w:lang w:eastAsia="sv-SE"/>
              </w:rPr>
            </w:pPr>
            <w:r w:rsidRPr="00FA0D37">
              <w:rPr>
                <w:szCs w:val="22"/>
                <w:lang w:eastAsia="sv-SE"/>
              </w:rPr>
              <w:t>Total length of the DCI payload scrambled with ai-RNTI (see TS 38.213 [13]).</w:t>
            </w:r>
          </w:p>
        </w:tc>
      </w:tr>
    </w:tbl>
    <w:p w14:paraId="3C743CEF" w14:textId="77777777" w:rsidR="00394471" w:rsidRPr="00FA0D37" w:rsidRDefault="00394471" w:rsidP="00394471"/>
    <w:p w14:paraId="5252601C" w14:textId="77777777" w:rsidR="00394471" w:rsidRPr="00FA0D37" w:rsidRDefault="00394471" w:rsidP="00394471">
      <w:pPr>
        <w:pStyle w:val="4"/>
        <w:rPr>
          <w:rFonts w:eastAsia="宋体"/>
        </w:rPr>
      </w:pPr>
      <w:bookmarkStart w:id="881" w:name="_Toc60777167"/>
      <w:bookmarkStart w:id="882" w:name="_Toc146781211"/>
      <w:r w:rsidRPr="00FA0D37">
        <w:rPr>
          <w:rFonts w:eastAsia="宋体"/>
        </w:rPr>
        <w:t>–</w:t>
      </w:r>
      <w:r w:rsidRPr="00FA0D37">
        <w:rPr>
          <w:rFonts w:eastAsia="宋体"/>
        </w:rPr>
        <w:tab/>
      </w:r>
      <w:r w:rsidRPr="00FA0D37">
        <w:rPr>
          <w:rFonts w:eastAsia="宋体"/>
          <w:i/>
        </w:rPr>
        <w:t>BAP-RoutingID</w:t>
      </w:r>
      <w:bookmarkEnd w:id="881"/>
      <w:bookmarkEnd w:id="882"/>
    </w:p>
    <w:p w14:paraId="3D3DF05B" w14:textId="77777777" w:rsidR="00394471" w:rsidRPr="00FA0D37" w:rsidRDefault="00394471" w:rsidP="00394471">
      <w:pPr>
        <w:rPr>
          <w:rFonts w:eastAsia="宋体"/>
        </w:rPr>
      </w:pPr>
      <w:r w:rsidRPr="00FA0D37">
        <w:rPr>
          <w:rFonts w:eastAsia="宋体"/>
        </w:rPr>
        <w:t xml:space="preserve">The IE </w:t>
      </w:r>
      <w:r w:rsidRPr="00FA0D37">
        <w:rPr>
          <w:rFonts w:eastAsia="宋体"/>
          <w:i/>
          <w:iCs/>
        </w:rPr>
        <w:t>BAP-RoutingID</w:t>
      </w:r>
      <w:r w:rsidRPr="00FA0D37">
        <w:rPr>
          <w:rFonts w:eastAsia="宋体"/>
        </w:rPr>
        <w:t xml:space="preserve"> is </w:t>
      </w:r>
      <w:r w:rsidRPr="00FA0D37">
        <w:rPr>
          <w:szCs w:val="22"/>
        </w:rPr>
        <w:t>used for IAB-node to configure the BAP Routing ID.</w:t>
      </w:r>
    </w:p>
    <w:p w14:paraId="0C3AB944" w14:textId="77777777" w:rsidR="00394471" w:rsidRPr="00FA0D37" w:rsidRDefault="00394471" w:rsidP="00394471">
      <w:pPr>
        <w:pStyle w:val="TH"/>
        <w:rPr>
          <w:rFonts w:eastAsia="宋体"/>
        </w:rPr>
      </w:pPr>
      <w:r w:rsidRPr="00FA0D37">
        <w:rPr>
          <w:rFonts w:eastAsia="宋体"/>
          <w:i/>
        </w:rPr>
        <w:t>BAP-RoutingID</w:t>
      </w:r>
      <w:r w:rsidRPr="00FA0D37">
        <w:rPr>
          <w:rFonts w:eastAsia="宋体"/>
        </w:rPr>
        <w:t xml:space="preserve"> information element</w:t>
      </w:r>
    </w:p>
    <w:p w14:paraId="43E20FE3" w14:textId="77777777" w:rsidR="00394471" w:rsidRPr="00FA0D37" w:rsidRDefault="00394471" w:rsidP="00FA0D37">
      <w:pPr>
        <w:pStyle w:val="PL"/>
        <w:rPr>
          <w:color w:val="808080"/>
        </w:rPr>
      </w:pPr>
      <w:r w:rsidRPr="00FA0D37">
        <w:rPr>
          <w:color w:val="808080"/>
        </w:rPr>
        <w:t>-- ASN1START</w:t>
      </w:r>
    </w:p>
    <w:p w14:paraId="52885B6B" w14:textId="77777777" w:rsidR="00394471" w:rsidRPr="00FA0D37" w:rsidRDefault="00394471" w:rsidP="00FA0D37">
      <w:pPr>
        <w:pStyle w:val="PL"/>
        <w:rPr>
          <w:color w:val="808080"/>
        </w:rPr>
      </w:pPr>
      <w:r w:rsidRPr="00FA0D37">
        <w:rPr>
          <w:color w:val="808080"/>
        </w:rPr>
        <w:t>-- TAG-BAPROUTINGID-START</w:t>
      </w:r>
    </w:p>
    <w:p w14:paraId="5427FD8C" w14:textId="77777777" w:rsidR="00394471" w:rsidRPr="00FA0D37" w:rsidRDefault="00394471" w:rsidP="00FA0D37">
      <w:pPr>
        <w:pStyle w:val="PL"/>
      </w:pPr>
    </w:p>
    <w:p w14:paraId="1D36D05C" w14:textId="77777777" w:rsidR="00394471" w:rsidRPr="00FA0D37" w:rsidRDefault="00394471" w:rsidP="00FA0D37">
      <w:pPr>
        <w:pStyle w:val="PL"/>
      </w:pPr>
      <w:r w:rsidRPr="00FA0D37">
        <w:t xml:space="preserve">BAP-RoutingID-r16::=        </w:t>
      </w:r>
      <w:r w:rsidRPr="00FA0D37">
        <w:rPr>
          <w:color w:val="993366"/>
        </w:rPr>
        <w:t>SEQUENCE</w:t>
      </w:r>
      <w:r w:rsidRPr="00FA0D37">
        <w:t>{</w:t>
      </w:r>
    </w:p>
    <w:p w14:paraId="5AE40D7F" w14:textId="77777777" w:rsidR="00394471" w:rsidRPr="00FA0D37" w:rsidRDefault="00394471" w:rsidP="00FA0D37">
      <w:pPr>
        <w:pStyle w:val="PL"/>
      </w:pPr>
      <w:r w:rsidRPr="00FA0D37">
        <w:t xml:space="preserve">    bap-Address-r16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w:t>
      </w:r>
    </w:p>
    <w:p w14:paraId="79E6A430" w14:textId="77777777" w:rsidR="00394471" w:rsidRPr="00FA0D37" w:rsidRDefault="00394471" w:rsidP="00FA0D37">
      <w:pPr>
        <w:pStyle w:val="PL"/>
      </w:pPr>
      <w:r w:rsidRPr="00FA0D37">
        <w:t xml:space="preserve">    bap-PathId-r16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w:t>
      </w:r>
    </w:p>
    <w:p w14:paraId="2035CA96" w14:textId="77777777" w:rsidR="00394471" w:rsidRPr="00FA0D37" w:rsidRDefault="00394471" w:rsidP="00FA0D37">
      <w:pPr>
        <w:pStyle w:val="PL"/>
      </w:pPr>
      <w:r w:rsidRPr="00FA0D37">
        <w:t>}</w:t>
      </w:r>
    </w:p>
    <w:p w14:paraId="4AA9ADCA" w14:textId="77777777" w:rsidR="00394471" w:rsidRPr="00FA0D37" w:rsidRDefault="00394471" w:rsidP="00FA0D37">
      <w:pPr>
        <w:pStyle w:val="PL"/>
      </w:pPr>
    </w:p>
    <w:p w14:paraId="6A7CFB4B" w14:textId="77777777" w:rsidR="00394471" w:rsidRPr="00FA0D37" w:rsidRDefault="00394471" w:rsidP="00FA0D37">
      <w:pPr>
        <w:pStyle w:val="PL"/>
        <w:rPr>
          <w:color w:val="808080"/>
        </w:rPr>
      </w:pPr>
      <w:r w:rsidRPr="00FA0D37">
        <w:rPr>
          <w:color w:val="808080"/>
        </w:rPr>
        <w:t>-- TAG-BAPROUTINGID-STOP</w:t>
      </w:r>
    </w:p>
    <w:p w14:paraId="57C14F13" w14:textId="77777777" w:rsidR="00394471" w:rsidRPr="00FA0D37" w:rsidRDefault="00394471" w:rsidP="00FA0D37">
      <w:pPr>
        <w:pStyle w:val="PL"/>
        <w:rPr>
          <w:color w:val="808080"/>
        </w:rPr>
      </w:pPr>
      <w:r w:rsidRPr="00FA0D37">
        <w:rPr>
          <w:color w:val="808080"/>
        </w:rPr>
        <w:t>-- ASN1STOP</w:t>
      </w:r>
    </w:p>
    <w:p w14:paraId="2E037C25" w14:textId="77777777" w:rsidR="00394471" w:rsidRPr="00FA0D37"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FA0D37" w:rsidRDefault="00394471" w:rsidP="00964CC4">
            <w:pPr>
              <w:pStyle w:val="TAH"/>
              <w:rPr>
                <w:szCs w:val="22"/>
                <w:lang w:eastAsia="sv-SE"/>
              </w:rPr>
            </w:pPr>
            <w:r w:rsidRPr="00FA0D37">
              <w:rPr>
                <w:i/>
                <w:szCs w:val="22"/>
                <w:lang w:eastAsia="sv-SE"/>
              </w:rPr>
              <w:t xml:space="preserve">BAP-RoutingID </w:t>
            </w:r>
            <w:r w:rsidRPr="00FA0D37">
              <w:rPr>
                <w:szCs w:val="22"/>
                <w:lang w:eastAsia="sv-SE"/>
              </w:rPr>
              <w:t>field descriptions</w:t>
            </w:r>
          </w:p>
        </w:tc>
      </w:tr>
      <w:tr w:rsidR="005C7FF4" w:rsidRPr="00FA0D37"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FA0D37" w:rsidRDefault="00394471" w:rsidP="00964CC4">
            <w:pPr>
              <w:pStyle w:val="TAL"/>
              <w:rPr>
                <w:b/>
                <w:bCs/>
                <w:i/>
                <w:iCs/>
                <w:lang w:eastAsia="sv-SE"/>
              </w:rPr>
            </w:pPr>
            <w:r w:rsidRPr="00FA0D37">
              <w:rPr>
                <w:b/>
                <w:bCs/>
                <w:i/>
                <w:iCs/>
                <w:lang w:eastAsia="sv-SE"/>
              </w:rPr>
              <w:t>bap-Address</w:t>
            </w:r>
          </w:p>
          <w:p w14:paraId="33A55C25" w14:textId="77777777" w:rsidR="00394471" w:rsidRPr="00FA0D37" w:rsidRDefault="00394471" w:rsidP="00964CC4">
            <w:pPr>
              <w:pStyle w:val="TAL"/>
              <w:rPr>
                <w:bCs/>
                <w:lang w:eastAsia="sv-SE"/>
              </w:rPr>
            </w:pPr>
            <w:r w:rsidRPr="00FA0D37">
              <w:rPr>
                <w:bCs/>
                <w:lang w:eastAsia="sv-SE"/>
              </w:rPr>
              <w:t>The ID of a destination IAB-node or IAB-donor-DU used in the BAP header.</w:t>
            </w:r>
          </w:p>
        </w:tc>
      </w:tr>
      <w:tr w:rsidR="00394471" w:rsidRPr="00FA0D37"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FA0D37" w:rsidRDefault="00394471" w:rsidP="00964CC4">
            <w:pPr>
              <w:pStyle w:val="TAL"/>
              <w:rPr>
                <w:b/>
                <w:bCs/>
                <w:i/>
                <w:iCs/>
                <w:lang w:eastAsia="sv-SE"/>
              </w:rPr>
            </w:pPr>
            <w:r w:rsidRPr="00FA0D37">
              <w:rPr>
                <w:b/>
                <w:bCs/>
                <w:i/>
                <w:iCs/>
                <w:lang w:eastAsia="sv-SE"/>
              </w:rPr>
              <w:t>bap-PathId</w:t>
            </w:r>
          </w:p>
          <w:p w14:paraId="26A55C1D" w14:textId="77777777" w:rsidR="00394471" w:rsidRPr="00FA0D37" w:rsidRDefault="00394471" w:rsidP="00964CC4">
            <w:pPr>
              <w:pStyle w:val="TAL"/>
              <w:rPr>
                <w:lang w:eastAsia="sv-SE"/>
              </w:rPr>
            </w:pPr>
            <w:r w:rsidRPr="00FA0D37">
              <w:rPr>
                <w:lang w:eastAsia="sv-SE"/>
              </w:rPr>
              <w:t>The ID of a path used in the BAP header.</w:t>
            </w:r>
          </w:p>
        </w:tc>
      </w:tr>
    </w:tbl>
    <w:p w14:paraId="0AB64685" w14:textId="77777777" w:rsidR="00394471" w:rsidRPr="00FA0D37" w:rsidRDefault="00394471" w:rsidP="00394471"/>
    <w:p w14:paraId="0DBC236D" w14:textId="77777777" w:rsidR="00394471" w:rsidRPr="00FA0D37" w:rsidRDefault="00394471" w:rsidP="00394471">
      <w:pPr>
        <w:pStyle w:val="4"/>
        <w:rPr>
          <w:i/>
        </w:rPr>
      </w:pPr>
      <w:bookmarkStart w:id="883" w:name="_Toc60777168"/>
      <w:bookmarkStart w:id="884" w:name="_Toc146781212"/>
      <w:r w:rsidRPr="00FA0D37">
        <w:rPr>
          <w:i/>
        </w:rPr>
        <w:lastRenderedPageBreak/>
        <w:t>–</w:t>
      </w:r>
      <w:r w:rsidRPr="00FA0D37">
        <w:rPr>
          <w:i/>
        </w:rPr>
        <w:tab/>
        <w:t>BeamFailureRecoveryConfig</w:t>
      </w:r>
      <w:bookmarkEnd w:id="883"/>
      <w:bookmarkEnd w:id="884"/>
    </w:p>
    <w:p w14:paraId="05A7CE8A" w14:textId="77777777" w:rsidR="00394471" w:rsidRPr="00FA0D37" w:rsidRDefault="00394471" w:rsidP="00394471">
      <w:r w:rsidRPr="00FA0D37">
        <w:t xml:space="preserve">The IE </w:t>
      </w:r>
      <w:r w:rsidRPr="00FA0D37">
        <w:rPr>
          <w:i/>
        </w:rPr>
        <w:t>BeamFailureRecoveryConfig</w:t>
      </w:r>
      <w:r w:rsidRPr="00FA0D37">
        <w:t xml:space="preserve"> is used to configure the UE with RACH resources and candidate beams for beam failure recovery in case of beam failure detection. See also TS 38.321 [3], clause 5.1.1.</w:t>
      </w:r>
    </w:p>
    <w:p w14:paraId="11AB319E" w14:textId="77777777" w:rsidR="00394471" w:rsidRPr="00FA0D37" w:rsidRDefault="00394471" w:rsidP="00394471">
      <w:pPr>
        <w:pStyle w:val="TH"/>
      </w:pPr>
      <w:r w:rsidRPr="00FA0D37">
        <w:rPr>
          <w:i/>
        </w:rPr>
        <w:t>BeamFailureRecoveryConfig</w:t>
      </w:r>
      <w:r w:rsidRPr="00FA0D37">
        <w:t xml:space="preserve"> information element</w:t>
      </w:r>
    </w:p>
    <w:p w14:paraId="6F9B37B0" w14:textId="77777777" w:rsidR="00394471" w:rsidRPr="00FA0D37" w:rsidRDefault="00394471" w:rsidP="00FA0D37">
      <w:pPr>
        <w:pStyle w:val="PL"/>
        <w:rPr>
          <w:color w:val="808080"/>
        </w:rPr>
      </w:pPr>
      <w:r w:rsidRPr="00FA0D37">
        <w:rPr>
          <w:color w:val="808080"/>
        </w:rPr>
        <w:t>-- ASN1START</w:t>
      </w:r>
    </w:p>
    <w:p w14:paraId="30B44B1B" w14:textId="77777777" w:rsidR="00394471" w:rsidRPr="00FA0D37" w:rsidRDefault="00394471" w:rsidP="00FA0D37">
      <w:pPr>
        <w:pStyle w:val="PL"/>
        <w:rPr>
          <w:color w:val="808080"/>
        </w:rPr>
      </w:pPr>
      <w:r w:rsidRPr="00FA0D37">
        <w:rPr>
          <w:color w:val="808080"/>
        </w:rPr>
        <w:t>-- TAG-BEAMFAILURERECOVERYCONFIG-START</w:t>
      </w:r>
    </w:p>
    <w:p w14:paraId="0FB22181" w14:textId="77777777" w:rsidR="00394471" w:rsidRPr="00FA0D37" w:rsidRDefault="00394471" w:rsidP="00FA0D37">
      <w:pPr>
        <w:pStyle w:val="PL"/>
      </w:pPr>
    </w:p>
    <w:p w14:paraId="3FBC0B69" w14:textId="77777777" w:rsidR="00394471" w:rsidRPr="00FA0D37" w:rsidRDefault="00394471" w:rsidP="00FA0D37">
      <w:pPr>
        <w:pStyle w:val="PL"/>
      </w:pPr>
      <w:r w:rsidRPr="00FA0D37">
        <w:t xml:space="preserve">BeamFailureRecoveryConfig ::=       </w:t>
      </w:r>
      <w:r w:rsidRPr="00FA0D37">
        <w:rPr>
          <w:color w:val="993366"/>
        </w:rPr>
        <w:t>SEQUENCE</w:t>
      </w:r>
      <w:r w:rsidRPr="00FA0D37">
        <w:t xml:space="preserve"> {</w:t>
      </w:r>
    </w:p>
    <w:p w14:paraId="2C0E81CE" w14:textId="77777777" w:rsidR="00394471" w:rsidRPr="00FA0D37" w:rsidRDefault="00394471" w:rsidP="00FA0D37">
      <w:pPr>
        <w:pStyle w:val="PL"/>
        <w:rPr>
          <w:color w:val="808080"/>
        </w:rPr>
      </w:pPr>
      <w:r w:rsidRPr="00FA0D37">
        <w:t xml:space="preserve">    rootSequenceIndex-BFR               </w:t>
      </w:r>
      <w:r w:rsidRPr="00FA0D37">
        <w:rPr>
          <w:color w:val="993366"/>
        </w:rPr>
        <w:t>INTEGER</w:t>
      </w:r>
      <w:r w:rsidRPr="00FA0D37">
        <w:t xml:space="preserve"> (0..137)                                                          </w:t>
      </w:r>
      <w:r w:rsidRPr="00FA0D37">
        <w:rPr>
          <w:color w:val="993366"/>
        </w:rPr>
        <w:t>OPTIONAL</w:t>
      </w:r>
      <w:r w:rsidRPr="00FA0D37">
        <w:t xml:space="preserve">, </w:t>
      </w:r>
      <w:r w:rsidRPr="00FA0D37">
        <w:rPr>
          <w:color w:val="808080"/>
        </w:rPr>
        <w:t>-- Need M</w:t>
      </w:r>
    </w:p>
    <w:p w14:paraId="43967A54" w14:textId="77777777" w:rsidR="00394471" w:rsidRPr="00FA0D37" w:rsidRDefault="00394471" w:rsidP="00FA0D37">
      <w:pPr>
        <w:pStyle w:val="PL"/>
        <w:rPr>
          <w:color w:val="808080"/>
        </w:rPr>
      </w:pPr>
      <w:r w:rsidRPr="00FA0D37">
        <w:t xml:space="preserve">    rach-ConfigBFR                      RACH-ConfigGeneric                                                        </w:t>
      </w:r>
      <w:r w:rsidRPr="00FA0D37">
        <w:rPr>
          <w:color w:val="993366"/>
        </w:rPr>
        <w:t>OPTIONAL</w:t>
      </w:r>
      <w:r w:rsidRPr="00FA0D37">
        <w:t xml:space="preserve">, </w:t>
      </w:r>
      <w:r w:rsidRPr="00FA0D37">
        <w:rPr>
          <w:color w:val="808080"/>
        </w:rPr>
        <w:t>-- Need M</w:t>
      </w:r>
    </w:p>
    <w:p w14:paraId="7EDFAEB8" w14:textId="77777777" w:rsidR="00394471" w:rsidRPr="00FA0D37" w:rsidRDefault="00394471" w:rsidP="00FA0D37">
      <w:pPr>
        <w:pStyle w:val="PL"/>
        <w:rPr>
          <w:color w:val="808080"/>
        </w:rPr>
      </w:pPr>
      <w:r w:rsidRPr="00FA0D37">
        <w:t xml:space="preserve">    rsrp-ThresholdSSB                   RSRP-Range                                                                </w:t>
      </w:r>
      <w:r w:rsidRPr="00FA0D37">
        <w:rPr>
          <w:color w:val="993366"/>
        </w:rPr>
        <w:t>OPTIONAL</w:t>
      </w:r>
      <w:r w:rsidRPr="00FA0D37">
        <w:t xml:space="preserve">, </w:t>
      </w:r>
      <w:r w:rsidRPr="00FA0D37">
        <w:rPr>
          <w:color w:val="808080"/>
        </w:rPr>
        <w:t>-- Need M</w:t>
      </w:r>
    </w:p>
    <w:p w14:paraId="663ED09D" w14:textId="77777777" w:rsidR="00394471" w:rsidRPr="00FA0D37" w:rsidRDefault="00394471" w:rsidP="00FA0D37">
      <w:pPr>
        <w:pStyle w:val="PL"/>
        <w:rPr>
          <w:color w:val="808080"/>
        </w:rPr>
      </w:pPr>
      <w:r w:rsidRPr="00FA0D37">
        <w:t xml:space="preserve">    candidateBeamRSList                 </w:t>
      </w:r>
      <w:r w:rsidRPr="00FA0D37">
        <w:rPr>
          <w:color w:val="993366"/>
        </w:rPr>
        <w:t>SEQUENCE</w:t>
      </w:r>
      <w:r w:rsidRPr="00FA0D37">
        <w:t xml:space="preserve"> (</w:t>
      </w:r>
      <w:r w:rsidRPr="00FA0D37">
        <w:rPr>
          <w:color w:val="993366"/>
        </w:rPr>
        <w:t>SIZE</w:t>
      </w:r>
      <w:r w:rsidRPr="00FA0D37">
        <w:t>(1..maxNrofCandidateBeams))</w:t>
      </w:r>
      <w:r w:rsidRPr="00FA0D37">
        <w:rPr>
          <w:color w:val="993366"/>
        </w:rPr>
        <w:t xml:space="preserve"> OF</w:t>
      </w:r>
      <w:r w:rsidRPr="00FA0D37">
        <w:t xml:space="preserve"> PRACH-ResourceDedicatedBFR   </w:t>
      </w:r>
      <w:r w:rsidRPr="00FA0D37">
        <w:rPr>
          <w:color w:val="993366"/>
        </w:rPr>
        <w:t>OPTIONAL</w:t>
      </w:r>
      <w:r w:rsidRPr="00FA0D37">
        <w:t xml:space="preserve">, </w:t>
      </w:r>
      <w:r w:rsidRPr="00FA0D37">
        <w:rPr>
          <w:color w:val="808080"/>
        </w:rPr>
        <w:t>-- Need M</w:t>
      </w:r>
    </w:p>
    <w:p w14:paraId="12D5F5F9" w14:textId="77777777" w:rsidR="00394471" w:rsidRPr="00FA0D37" w:rsidRDefault="00394471" w:rsidP="00FA0D37">
      <w:pPr>
        <w:pStyle w:val="PL"/>
      </w:pPr>
      <w:r w:rsidRPr="00FA0D37">
        <w:t xml:space="preserve">    ssb-perRACH-Occasion                </w:t>
      </w:r>
      <w:r w:rsidRPr="00FA0D37">
        <w:rPr>
          <w:color w:val="993366"/>
        </w:rPr>
        <w:t>ENUMERATED</w:t>
      </w:r>
      <w:r w:rsidRPr="00FA0D37">
        <w:t xml:space="preserve"> {oneEighth, oneFourth, oneHalf, one, two,</w:t>
      </w:r>
    </w:p>
    <w:p w14:paraId="354A0A41" w14:textId="77777777" w:rsidR="00394471" w:rsidRPr="00FA0D37" w:rsidRDefault="00394471" w:rsidP="00FA0D37">
      <w:pPr>
        <w:pStyle w:val="PL"/>
        <w:rPr>
          <w:color w:val="808080"/>
        </w:rPr>
      </w:pPr>
      <w:r w:rsidRPr="00FA0D37">
        <w:t xml:space="preserve">                                                       four, eight, sixteen}                                      </w:t>
      </w:r>
      <w:r w:rsidRPr="00FA0D37">
        <w:rPr>
          <w:color w:val="993366"/>
        </w:rPr>
        <w:t>OPTIONAL</w:t>
      </w:r>
      <w:r w:rsidRPr="00FA0D37">
        <w:t xml:space="preserve">, </w:t>
      </w:r>
      <w:r w:rsidRPr="00FA0D37">
        <w:rPr>
          <w:color w:val="808080"/>
        </w:rPr>
        <w:t>-- Need M</w:t>
      </w:r>
    </w:p>
    <w:p w14:paraId="74782D50" w14:textId="77777777" w:rsidR="00394471" w:rsidRPr="00FA0D37" w:rsidRDefault="00394471" w:rsidP="00FA0D37">
      <w:pPr>
        <w:pStyle w:val="PL"/>
        <w:rPr>
          <w:color w:val="808080"/>
        </w:rPr>
      </w:pPr>
      <w:r w:rsidRPr="00FA0D37">
        <w:t xml:space="preserve">    ra-ssb-OccasionMaskIndex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M</w:t>
      </w:r>
    </w:p>
    <w:p w14:paraId="416F3DC3" w14:textId="77777777" w:rsidR="00394471" w:rsidRPr="00FA0D37" w:rsidRDefault="00394471" w:rsidP="00FA0D37">
      <w:pPr>
        <w:pStyle w:val="PL"/>
        <w:rPr>
          <w:color w:val="808080"/>
        </w:rPr>
      </w:pPr>
      <w:r w:rsidRPr="00FA0D37">
        <w:t xml:space="preserve">    recoverySearchSpaceId               SearchSpaceId                                                             </w:t>
      </w:r>
      <w:r w:rsidRPr="00FA0D37">
        <w:rPr>
          <w:color w:val="993366"/>
        </w:rPr>
        <w:t>OPTIONAL</w:t>
      </w:r>
      <w:r w:rsidRPr="00FA0D37">
        <w:t xml:space="preserve">, </w:t>
      </w:r>
      <w:r w:rsidRPr="00FA0D37">
        <w:rPr>
          <w:color w:val="808080"/>
        </w:rPr>
        <w:t>-- Need R</w:t>
      </w:r>
    </w:p>
    <w:p w14:paraId="63A14AAA" w14:textId="77777777" w:rsidR="00394471" w:rsidRPr="00FA0D37" w:rsidRDefault="00394471" w:rsidP="00FA0D37">
      <w:pPr>
        <w:pStyle w:val="PL"/>
        <w:rPr>
          <w:color w:val="808080"/>
        </w:rPr>
      </w:pPr>
      <w:r w:rsidRPr="00FA0D37">
        <w:t xml:space="preserve">    ra-Prioritization                   RA-Prioritization                                                         </w:t>
      </w:r>
      <w:r w:rsidRPr="00FA0D37">
        <w:rPr>
          <w:color w:val="993366"/>
        </w:rPr>
        <w:t>OPTIONAL</w:t>
      </w:r>
      <w:r w:rsidRPr="00FA0D37">
        <w:t xml:space="preserve">, </w:t>
      </w:r>
      <w:r w:rsidRPr="00FA0D37">
        <w:rPr>
          <w:color w:val="808080"/>
        </w:rPr>
        <w:t>-- Need R</w:t>
      </w:r>
    </w:p>
    <w:p w14:paraId="3DBA3A05" w14:textId="77777777" w:rsidR="00394471" w:rsidRPr="00FA0D37" w:rsidRDefault="00394471" w:rsidP="00FA0D37">
      <w:pPr>
        <w:pStyle w:val="PL"/>
        <w:rPr>
          <w:color w:val="808080"/>
        </w:rPr>
      </w:pPr>
      <w:r w:rsidRPr="00FA0D37">
        <w:t xml:space="preserve">    beamFailureRecoveryTimer            </w:t>
      </w:r>
      <w:r w:rsidRPr="00FA0D37">
        <w:rPr>
          <w:color w:val="993366"/>
        </w:rPr>
        <w:t>ENUMERATED</w:t>
      </w:r>
      <w:r w:rsidRPr="00FA0D37">
        <w:t xml:space="preserve"> {ms10, ms20, ms40, ms60, ms80, ms100, ms150, ms200}            </w:t>
      </w:r>
      <w:r w:rsidRPr="00FA0D37">
        <w:rPr>
          <w:color w:val="993366"/>
        </w:rPr>
        <w:t>OPTIONAL</w:t>
      </w:r>
      <w:r w:rsidRPr="00FA0D37">
        <w:t xml:space="preserve">, </w:t>
      </w:r>
      <w:r w:rsidRPr="00FA0D37">
        <w:rPr>
          <w:color w:val="808080"/>
        </w:rPr>
        <w:t>-- Need M</w:t>
      </w:r>
    </w:p>
    <w:p w14:paraId="2C5098A0" w14:textId="77777777" w:rsidR="00394471" w:rsidRPr="00FA0D37" w:rsidRDefault="00394471" w:rsidP="00FA0D37">
      <w:pPr>
        <w:pStyle w:val="PL"/>
      </w:pPr>
      <w:r w:rsidRPr="00FA0D37">
        <w:t xml:space="preserve">    ...,</w:t>
      </w:r>
    </w:p>
    <w:p w14:paraId="2AFBFE8E" w14:textId="77777777" w:rsidR="00394471" w:rsidRPr="00FA0D37" w:rsidRDefault="00394471" w:rsidP="00FA0D37">
      <w:pPr>
        <w:pStyle w:val="PL"/>
      </w:pPr>
      <w:r w:rsidRPr="00FA0D37">
        <w:t xml:space="preserve">    [[</w:t>
      </w:r>
    </w:p>
    <w:p w14:paraId="20614B8E" w14:textId="77777777" w:rsidR="00394471" w:rsidRPr="00FA0D37" w:rsidRDefault="00394471" w:rsidP="00FA0D37">
      <w:pPr>
        <w:pStyle w:val="PL"/>
        <w:rPr>
          <w:color w:val="808080"/>
        </w:rPr>
      </w:pPr>
      <w:r w:rsidRPr="00FA0D37">
        <w:t xml:space="preserve">    msg1-SubcarrierSpacing              SubcarrierSpacing                                                         </w:t>
      </w:r>
      <w:r w:rsidRPr="00FA0D37">
        <w:rPr>
          <w:color w:val="993366"/>
        </w:rPr>
        <w:t>OPTIONAL</w:t>
      </w:r>
      <w:r w:rsidRPr="00FA0D37">
        <w:t xml:space="preserve">  </w:t>
      </w:r>
      <w:r w:rsidRPr="00FA0D37">
        <w:rPr>
          <w:color w:val="808080"/>
        </w:rPr>
        <w:t>-- Need M</w:t>
      </w:r>
    </w:p>
    <w:p w14:paraId="4F9C4261" w14:textId="77777777" w:rsidR="00394471" w:rsidRPr="00FA0D37" w:rsidRDefault="00394471" w:rsidP="00FA0D37">
      <w:pPr>
        <w:pStyle w:val="PL"/>
      </w:pPr>
      <w:r w:rsidRPr="00FA0D37">
        <w:t xml:space="preserve">    ]],</w:t>
      </w:r>
    </w:p>
    <w:p w14:paraId="38AB5B21" w14:textId="77777777" w:rsidR="00394471" w:rsidRPr="00FA0D37" w:rsidRDefault="00394471" w:rsidP="00FA0D37">
      <w:pPr>
        <w:pStyle w:val="PL"/>
      </w:pPr>
      <w:r w:rsidRPr="00FA0D37">
        <w:t xml:space="preserve">    [[</w:t>
      </w:r>
    </w:p>
    <w:p w14:paraId="20D3DD4D" w14:textId="77777777" w:rsidR="00394471" w:rsidRPr="00FA0D37" w:rsidRDefault="00394471" w:rsidP="00FA0D37">
      <w:pPr>
        <w:pStyle w:val="PL"/>
        <w:rPr>
          <w:color w:val="808080"/>
        </w:rPr>
      </w:pPr>
      <w:r w:rsidRPr="00FA0D37">
        <w:t xml:space="preserve">    ra-PrioritizationTwoStep-r16        RA-Prioritization                                                         </w:t>
      </w:r>
      <w:r w:rsidRPr="00FA0D37">
        <w:rPr>
          <w:color w:val="993366"/>
        </w:rPr>
        <w:t>OPTIONAL</w:t>
      </w:r>
      <w:r w:rsidRPr="00FA0D37">
        <w:t xml:space="preserve">, </w:t>
      </w:r>
      <w:r w:rsidRPr="00FA0D37">
        <w:rPr>
          <w:color w:val="808080"/>
        </w:rPr>
        <w:t>-- Need R</w:t>
      </w:r>
    </w:p>
    <w:p w14:paraId="7ADDA46B" w14:textId="0D2D9B9B" w:rsidR="00394471" w:rsidRPr="00FA0D37" w:rsidRDefault="00394471" w:rsidP="00FA0D37">
      <w:pPr>
        <w:pStyle w:val="PL"/>
        <w:rPr>
          <w:color w:val="808080"/>
        </w:rPr>
      </w:pPr>
      <w:r w:rsidRPr="00FA0D37">
        <w:t xml:space="preserve">    candidateBeamRSListExt-v1610        SetupRelease{ CandidateBeamRSListExt-r16 }                                </w:t>
      </w:r>
      <w:r w:rsidRPr="00FA0D37">
        <w:rPr>
          <w:color w:val="993366"/>
        </w:rPr>
        <w:t>OPTIONAL</w:t>
      </w:r>
      <w:r w:rsidRPr="00FA0D37">
        <w:t xml:space="preserve">  </w:t>
      </w:r>
      <w:r w:rsidRPr="00FA0D37">
        <w:rPr>
          <w:color w:val="808080"/>
        </w:rPr>
        <w:t>-- Need M</w:t>
      </w:r>
    </w:p>
    <w:p w14:paraId="23F987B9" w14:textId="7ED1DE1D" w:rsidR="00394471" w:rsidRPr="00FA0D37" w:rsidRDefault="00394471" w:rsidP="00FA0D37">
      <w:pPr>
        <w:pStyle w:val="PL"/>
      </w:pPr>
      <w:r w:rsidRPr="00FA0D37">
        <w:t xml:space="preserve">    ]]</w:t>
      </w:r>
      <w:r w:rsidR="00D24B02" w:rsidRPr="00FA0D37">
        <w:t>,</w:t>
      </w:r>
    </w:p>
    <w:p w14:paraId="3EF3804A" w14:textId="77777777" w:rsidR="00D24B02" w:rsidRPr="00FA0D37" w:rsidRDefault="00D24B02" w:rsidP="00FA0D37">
      <w:pPr>
        <w:pStyle w:val="PL"/>
      </w:pPr>
      <w:r w:rsidRPr="00FA0D37">
        <w:t xml:space="preserve">    [[</w:t>
      </w:r>
    </w:p>
    <w:p w14:paraId="1E8D7AEA" w14:textId="182EA810" w:rsidR="00D24B02" w:rsidRPr="00FA0D37" w:rsidRDefault="00D24B02" w:rsidP="00FA0D37">
      <w:pPr>
        <w:pStyle w:val="PL"/>
        <w:rPr>
          <w:color w:val="808080"/>
        </w:rPr>
      </w:pPr>
      <w:r w:rsidRPr="00FA0D37">
        <w:t xml:space="preserve">    spCell-BFR-CBRA-r16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797F0BA5" w14:textId="77777777" w:rsidR="00585667" w:rsidRPr="00FA0D37" w:rsidRDefault="00D24B02" w:rsidP="00FA0D37">
      <w:pPr>
        <w:pStyle w:val="PL"/>
      </w:pPr>
      <w:r w:rsidRPr="00FA0D37">
        <w:t xml:space="preserve">    ]]</w:t>
      </w:r>
    </w:p>
    <w:p w14:paraId="36D87895" w14:textId="6D1FD6C4" w:rsidR="00394471" w:rsidRPr="00FA0D37" w:rsidRDefault="00394471" w:rsidP="00FA0D37">
      <w:pPr>
        <w:pStyle w:val="PL"/>
      </w:pPr>
      <w:r w:rsidRPr="00FA0D37">
        <w:t>}</w:t>
      </w:r>
    </w:p>
    <w:p w14:paraId="2996C4B2" w14:textId="77777777" w:rsidR="00394471" w:rsidRPr="00FA0D37" w:rsidRDefault="00394471" w:rsidP="00FA0D37">
      <w:pPr>
        <w:pStyle w:val="PL"/>
      </w:pPr>
    </w:p>
    <w:p w14:paraId="1804AEF8" w14:textId="77777777" w:rsidR="00394471" w:rsidRPr="00FA0D37" w:rsidRDefault="00394471" w:rsidP="00FA0D37">
      <w:pPr>
        <w:pStyle w:val="PL"/>
      </w:pPr>
      <w:r w:rsidRPr="00FA0D37">
        <w:t xml:space="preserve">PRACH-ResourceDedicatedBFR ::=      </w:t>
      </w:r>
      <w:r w:rsidRPr="00FA0D37">
        <w:rPr>
          <w:color w:val="993366"/>
        </w:rPr>
        <w:t>CHOICE</w:t>
      </w:r>
      <w:r w:rsidRPr="00FA0D37">
        <w:t xml:space="preserve"> {</w:t>
      </w:r>
    </w:p>
    <w:p w14:paraId="06B90C75" w14:textId="77777777" w:rsidR="00394471" w:rsidRPr="00FA0D37" w:rsidRDefault="00394471" w:rsidP="00FA0D37">
      <w:pPr>
        <w:pStyle w:val="PL"/>
      </w:pPr>
      <w:r w:rsidRPr="00FA0D37">
        <w:t xml:space="preserve">    ssb                                 BFR-SSB-Resource,</w:t>
      </w:r>
    </w:p>
    <w:p w14:paraId="041F8600" w14:textId="77777777" w:rsidR="00394471" w:rsidRPr="00FA0D37" w:rsidRDefault="00394471" w:rsidP="00FA0D37">
      <w:pPr>
        <w:pStyle w:val="PL"/>
      </w:pPr>
      <w:r w:rsidRPr="00FA0D37">
        <w:t xml:space="preserve">    csi-RS                              BFR-CSIRS-Resource</w:t>
      </w:r>
    </w:p>
    <w:p w14:paraId="486468E5" w14:textId="77777777" w:rsidR="00394471" w:rsidRPr="00FA0D37" w:rsidRDefault="00394471" w:rsidP="00FA0D37">
      <w:pPr>
        <w:pStyle w:val="PL"/>
      </w:pPr>
      <w:r w:rsidRPr="00FA0D37">
        <w:t>}</w:t>
      </w:r>
    </w:p>
    <w:p w14:paraId="4F18EA30" w14:textId="77777777" w:rsidR="00394471" w:rsidRPr="00FA0D37" w:rsidRDefault="00394471" w:rsidP="00FA0D37">
      <w:pPr>
        <w:pStyle w:val="PL"/>
      </w:pPr>
    </w:p>
    <w:p w14:paraId="09DD1AD8" w14:textId="77777777" w:rsidR="00394471" w:rsidRPr="00FA0D37" w:rsidRDefault="00394471" w:rsidP="00FA0D37">
      <w:pPr>
        <w:pStyle w:val="PL"/>
      </w:pPr>
      <w:r w:rsidRPr="00FA0D37">
        <w:t xml:space="preserve">BFR-SSB-Resource ::=                </w:t>
      </w:r>
      <w:r w:rsidRPr="00FA0D37">
        <w:rPr>
          <w:color w:val="993366"/>
        </w:rPr>
        <w:t>SEQUENCE</w:t>
      </w:r>
      <w:r w:rsidRPr="00FA0D37">
        <w:t xml:space="preserve"> {</w:t>
      </w:r>
    </w:p>
    <w:p w14:paraId="025B7710" w14:textId="77777777" w:rsidR="00394471" w:rsidRPr="00FA0D37" w:rsidRDefault="00394471" w:rsidP="00FA0D37">
      <w:pPr>
        <w:pStyle w:val="PL"/>
      </w:pPr>
      <w:r w:rsidRPr="00FA0D37">
        <w:t xml:space="preserve">    ssb                                 SSB-Index,</w:t>
      </w:r>
    </w:p>
    <w:p w14:paraId="09F342D5" w14:textId="77777777" w:rsidR="00394471" w:rsidRPr="00FA0D37" w:rsidRDefault="00394471" w:rsidP="00FA0D37">
      <w:pPr>
        <w:pStyle w:val="PL"/>
      </w:pPr>
      <w:r w:rsidRPr="00FA0D37">
        <w:t xml:space="preserve">    ra-PreambleIndex                    </w:t>
      </w:r>
      <w:r w:rsidRPr="00FA0D37">
        <w:rPr>
          <w:color w:val="993366"/>
        </w:rPr>
        <w:t>INTEGER</w:t>
      </w:r>
      <w:r w:rsidRPr="00FA0D37">
        <w:t xml:space="preserve"> (0..63),</w:t>
      </w:r>
    </w:p>
    <w:p w14:paraId="5457AAB0" w14:textId="77777777" w:rsidR="00394471" w:rsidRPr="00FA0D37" w:rsidRDefault="00394471" w:rsidP="00FA0D37">
      <w:pPr>
        <w:pStyle w:val="PL"/>
      </w:pPr>
      <w:r w:rsidRPr="00FA0D37">
        <w:t xml:space="preserve">    ...</w:t>
      </w:r>
    </w:p>
    <w:p w14:paraId="423C1372" w14:textId="77777777" w:rsidR="00394471" w:rsidRPr="00FA0D37" w:rsidRDefault="00394471" w:rsidP="00FA0D37">
      <w:pPr>
        <w:pStyle w:val="PL"/>
      </w:pPr>
      <w:r w:rsidRPr="00FA0D37">
        <w:t>}</w:t>
      </w:r>
    </w:p>
    <w:p w14:paraId="15C2CE17" w14:textId="77777777" w:rsidR="00394471" w:rsidRPr="00FA0D37" w:rsidRDefault="00394471" w:rsidP="00FA0D37">
      <w:pPr>
        <w:pStyle w:val="PL"/>
      </w:pPr>
    </w:p>
    <w:p w14:paraId="6D68FB61" w14:textId="77777777" w:rsidR="00394471" w:rsidRPr="00FA0D37" w:rsidRDefault="00394471" w:rsidP="00FA0D37">
      <w:pPr>
        <w:pStyle w:val="PL"/>
      </w:pPr>
      <w:r w:rsidRPr="00FA0D37">
        <w:t xml:space="preserve">BFR-CSIRS-Resource ::=              </w:t>
      </w:r>
      <w:r w:rsidRPr="00FA0D37">
        <w:rPr>
          <w:color w:val="993366"/>
        </w:rPr>
        <w:t>SEQUENCE</w:t>
      </w:r>
      <w:r w:rsidRPr="00FA0D37">
        <w:t xml:space="preserve"> {</w:t>
      </w:r>
    </w:p>
    <w:p w14:paraId="6F80ACD3" w14:textId="77777777" w:rsidR="00394471" w:rsidRPr="00FA0D37" w:rsidRDefault="00394471" w:rsidP="00FA0D37">
      <w:pPr>
        <w:pStyle w:val="PL"/>
      </w:pPr>
      <w:r w:rsidRPr="00FA0D37">
        <w:t xml:space="preserve">    csi-RS                              NZP-CSI-RS-ResourceId,</w:t>
      </w:r>
    </w:p>
    <w:p w14:paraId="36730CC5" w14:textId="77777777" w:rsidR="00394471" w:rsidRPr="00FA0D37" w:rsidRDefault="00394471" w:rsidP="00FA0D37">
      <w:pPr>
        <w:pStyle w:val="PL"/>
        <w:rPr>
          <w:color w:val="808080"/>
        </w:rPr>
      </w:pPr>
      <w:r w:rsidRPr="00FA0D37">
        <w:t xml:space="preserve">    ra-OccasionList                     </w:t>
      </w:r>
      <w:r w:rsidRPr="00FA0D37">
        <w:rPr>
          <w:color w:val="993366"/>
        </w:rPr>
        <w:t>SEQUENCE</w:t>
      </w:r>
      <w:r w:rsidRPr="00FA0D37">
        <w:t xml:space="preserve"> (</w:t>
      </w:r>
      <w:r w:rsidRPr="00FA0D37">
        <w:rPr>
          <w:color w:val="993366"/>
        </w:rPr>
        <w:t>SIZE</w:t>
      </w:r>
      <w:r w:rsidRPr="00FA0D37">
        <w:t>(1..maxRA-OccasionsPerCSIRS))</w:t>
      </w:r>
      <w:r w:rsidRPr="00FA0D37">
        <w:rPr>
          <w:color w:val="993366"/>
        </w:rPr>
        <w:t xml:space="preserve"> OF</w:t>
      </w:r>
      <w:r w:rsidRPr="00FA0D37">
        <w:t xml:space="preserve"> </w:t>
      </w:r>
      <w:r w:rsidRPr="00FA0D37">
        <w:rPr>
          <w:color w:val="993366"/>
        </w:rPr>
        <w:t>INTEGER</w:t>
      </w:r>
      <w:r w:rsidRPr="00FA0D37">
        <w:t xml:space="preserve"> (0..maxRA-Occasions-1)   </w:t>
      </w:r>
      <w:r w:rsidRPr="00FA0D37">
        <w:rPr>
          <w:color w:val="993366"/>
        </w:rPr>
        <w:t>OPTIONAL</w:t>
      </w:r>
      <w:r w:rsidRPr="00FA0D37">
        <w:t xml:space="preserve">,   </w:t>
      </w:r>
      <w:r w:rsidRPr="00FA0D37">
        <w:rPr>
          <w:color w:val="808080"/>
        </w:rPr>
        <w:t>-- Need R</w:t>
      </w:r>
    </w:p>
    <w:p w14:paraId="76BDAD9E" w14:textId="77777777" w:rsidR="00394471" w:rsidRPr="00FA0D37" w:rsidRDefault="00394471" w:rsidP="00FA0D37">
      <w:pPr>
        <w:pStyle w:val="PL"/>
        <w:rPr>
          <w:color w:val="808080"/>
        </w:rPr>
      </w:pPr>
      <w:r w:rsidRPr="00FA0D37">
        <w:t xml:space="preserve">    ra-PreambleIndex                    </w:t>
      </w:r>
      <w:r w:rsidRPr="00FA0D37">
        <w:rPr>
          <w:color w:val="993366"/>
        </w:rPr>
        <w:t>INTEGER</w:t>
      </w:r>
      <w:r w:rsidRPr="00FA0D37">
        <w:t xml:space="preserve"> (0..63)                                                                 </w:t>
      </w:r>
      <w:r w:rsidRPr="00FA0D37">
        <w:rPr>
          <w:color w:val="993366"/>
        </w:rPr>
        <w:t>OPTIONAL</w:t>
      </w:r>
      <w:r w:rsidRPr="00FA0D37">
        <w:t xml:space="preserve">,   </w:t>
      </w:r>
      <w:r w:rsidRPr="00FA0D37">
        <w:rPr>
          <w:color w:val="808080"/>
        </w:rPr>
        <w:t>-- Need R</w:t>
      </w:r>
    </w:p>
    <w:p w14:paraId="65BA6E3F" w14:textId="77777777" w:rsidR="00394471" w:rsidRPr="00FA0D37" w:rsidRDefault="00394471" w:rsidP="00FA0D37">
      <w:pPr>
        <w:pStyle w:val="PL"/>
      </w:pPr>
      <w:r w:rsidRPr="00FA0D37">
        <w:t xml:space="preserve">    ...</w:t>
      </w:r>
    </w:p>
    <w:p w14:paraId="3C245DCC" w14:textId="77777777" w:rsidR="00394471" w:rsidRPr="00FA0D37" w:rsidRDefault="00394471" w:rsidP="00FA0D37">
      <w:pPr>
        <w:pStyle w:val="PL"/>
      </w:pPr>
      <w:r w:rsidRPr="00FA0D37">
        <w:lastRenderedPageBreak/>
        <w:t>}</w:t>
      </w:r>
    </w:p>
    <w:p w14:paraId="5A2F3F10" w14:textId="77777777" w:rsidR="00394471" w:rsidRPr="00FA0D37" w:rsidRDefault="00394471" w:rsidP="00FA0D37">
      <w:pPr>
        <w:pStyle w:val="PL"/>
      </w:pPr>
    </w:p>
    <w:p w14:paraId="61932E7D" w14:textId="77777777" w:rsidR="00394471" w:rsidRPr="00FA0D37" w:rsidRDefault="00394471" w:rsidP="00FA0D37">
      <w:pPr>
        <w:pStyle w:val="PL"/>
      </w:pPr>
      <w:r w:rsidRPr="00FA0D37">
        <w:t xml:space="preserve">CandidateBeamRSListExt-r16::=       </w:t>
      </w:r>
      <w:r w:rsidRPr="00FA0D37">
        <w:rPr>
          <w:color w:val="993366"/>
        </w:rPr>
        <w:t>SEQUENCE</w:t>
      </w:r>
      <w:r w:rsidRPr="00FA0D37">
        <w:t xml:space="preserve"> (</w:t>
      </w:r>
      <w:r w:rsidRPr="00FA0D37">
        <w:rPr>
          <w:color w:val="993366"/>
        </w:rPr>
        <w:t>SIZE</w:t>
      </w:r>
      <w:r w:rsidRPr="00FA0D37">
        <w:t>(1.. maxNrofCandidateBeamsExt-r16))</w:t>
      </w:r>
      <w:r w:rsidRPr="00FA0D37">
        <w:rPr>
          <w:color w:val="993366"/>
        </w:rPr>
        <w:t xml:space="preserve"> OF</w:t>
      </w:r>
      <w:r w:rsidRPr="00FA0D37">
        <w:t xml:space="preserve"> PRACH-ResourceDedicatedBFR</w:t>
      </w:r>
    </w:p>
    <w:p w14:paraId="666B5DE8" w14:textId="77777777" w:rsidR="00394471" w:rsidRPr="00FA0D37" w:rsidRDefault="00394471" w:rsidP="00FA0D37">
      <w:pPr>
        <w:pStyle w:val="PL"/>
      </w:pPr>
    </w:p>
    <w:p w14:paraId="3FFE67B8" w14:textId="77777777" w:rsidR="00394471" w:rsidRPr="00FA0D37" w:rsidRDefault="00394471" w:rsidP="00FA0D37">
      <w:pPr>
        <w:pStyle w:val="PL"/>
        <w:rPr>
          <w:color w:val="808080"/>
        </w:rPr>
      </w:pPr>
      <w:r w:rsidRPr="00FA0D37">
        <w:rPr>
          <w:color w:val="808080"/>
        </w:rPr>
        <w:t>-- TAG-BEAMFAILURERECOVERYCONFIG-STOP</w:t>
      </w:r>
    </w:p>
    <w:p w14:paraId="1DDDE0E7" w14:textId="77777777" w:rsidR="00394471" w:rsidRPr="00FA0D37" w:rsidRDefault="00394471" w:rsidP="00FA0D37">
      <w:pPr>
        <w:pStyle w:val="PL"/>
        <w:rPr>
          <w:color w:val="808080"/>
        </w:rPr>
      </w:pPr>
      <w:r w:rsidRPr="00FA0D37">
        <w:rPr>
          <w:color w:val="808080"/>
        </w:rPr>
        <w:t>-- ASN1STOP</w:t>
      </w:r>
    </w:p>
    <w:p w14:paraId="6409B65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FA0D37" w:rsidRDefault="00394471" w:rsidP="00964CC4">
            <w:pPr>
              <w:pStyle w:val="TAH"/>
              <w:rPr>
                <w:szCs w:val="22"/>
                <w:lang w:eastAsia="sv-SE"/>
              </w:rPr>
            </w:pPr>
            <w:r w:rsidRPr="00FA0D37">
              <w:rPr>
                <w:i/>
                <w:szCs w:val="22"/>
                <w:lang w:eastAsia="sv-SE"/>
              </w:rPr>
              <w:lastRenderedPageBreak/>
              <w:t xml:space="preserve">BeamFailureRecoveryConfig </w:t>
            </w:r>
            <w:r w:rsidRPr="00FA0D37">
              <w:rPr>
                <w:szCs w:val="22"/>
                <w:lang w:eastAsia="sv-SE"/>
              </w:rPr>
              <w:t>field descriptions</w:t>
            </w:r>
          </w:p>
        </w:tc>
      </w:tr>
      <w:tr w:rsidR="005C7FF4" w:rsidRPr="00FA0D37"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FA0D37" w:rsidRDefault="00394471" w:rsidP="00964CC4">
            <w:pPr>
              <w:pStyle w:val="TAL"/>
              <w:rPr>
                <w:szCs w:val="22"/>
                <w:lang w:eastAsia="sv-SE"/>
              </w:rPr>
            </w:pPr>
            <w:r w:rsidRPr="00FA0D37">
              <w:rPr>
                <w:b/>
                <w:i/>
                <w:szCs w:val="22"/>
                <w:lang w:eastAsia="sv-SE"/>
              </w:rPr>
              <w:t>beamFailureRecoveryTimer</w:t>
            </w:r>
          </w:p>
          <w:p w14:paraId="3F354B82" w14:textId="77777777" w:rsidR="00394471" w:rsidRPr="00FA0D37" w:rsidRDefault="00394471" w:rsidP="00964CC4">
            <w:pPr>
              <w:pStyle w:val="TAL"/>
              <w:rPr>
                <w:szCs w:val="22"/>
                <w:lang w:eastAsia="sv-SE"/>
              </w:rPr>
            </w:pPr>
            <w:r w:rsidRPr="00FA0D37">
              <w:rPr>
                <w:szCs w:val="22"/>
                <w:lang w:eastAsia="sv-SE"/>
              </w:rPr>
              <w:t xml:space="preserve">Timer for beam failure recovery timer. Upon expiration of the timer the UE does not use CFRA for BFR. Value in ms. Value </w:t>
            </w:r>
            <w:r w:rsidRPr="00FA0D37">
              <w:rPr>
                <w:i/>
                <w:lang w:eastAsia="sv-SE"/>
              </w:rPr>
              <w:t>ms10</w:t>
            </w:r>
            <w:r w:rsidRPr="00FA0D37">
              <w:rPr>
                <w:szCs w:val="22"/>
                <w:lang w:eastAsia="sv-SE"/>
              </w:rPr>
              <w:t xml:space="preserve"> corresponds to 10 ms, value </w:t>
            </w:r>
            <w:r w:rsidRPr="00FA0D37">
              <w:rPr>
                <w:i/>
                <w:lang w:eastAsia="sv-SE"/>
              </w:rPr>
              <w:t>ms20</w:t>
            </w:r>
            <w:r w:rsidRPr="00FA0D37">
              <w:rPr>
                <w:szCs w:val="22"/>
                <w:lang w:eastAsia="sv-SE"/>
              </w:rPr>
              <w:t xml:space="preserve"> corresponds to 20 ms, and so on.</w:t>
            </w:r>
          </w:p>
        </w:tc>
      </w:tr>
      <w:tr w:rsidR="005C7FF4" w:rsidRPr="00FA0D37"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FA0D37" w:rsidRDefault="00394471" w:rsidP="00964CC4">
            <w:pPr>
              <w:pStyle w:val="TAL"/>
              <w:rPr>
                <w:szCs w:val="22"/>
                <w:lang w:eastAsia="sv-SE"/>
              </w:rPr>
            </w:pPr>
            <w:r w:rsidRPr="00FA0D37">
              <w:rPr>
                <w:b/>
                <w:i/>
                <w:szCs w:val="22"/>
                <w:lang w:eastAsia="sv-SE"/>
              </w:rPr>
              <w:t>candidateBeamRSList, candidateBeamRSListExt</w:t>
            </w:r>
            <w:r w:rsidRPr="00FA0D37">
              <w:rPr>
                <w:b/>
                <w:i/>
                <w:szCs w:val="22"/>
              </w:rPr>
              <w:t>-v1610</w:t>
            </w:r>
          </w:p>
          <w:p w14:paraId="46047AB1" w14:textId="42F45FDC" w:rsidR="00394471" w:rsidRPr="00FA0D37" w:rsidRDefault="0047642A" w:rsidP="00964CC4">
            <w:pPr>
              <w:pStyle w:val="TAL"/>
              <w:rPr>
                <w:szCs w:val="22"/>
                <w:lang w:eastAsia="sv-SE"/>
              </w:rPr>
            </w:pPr>
            <w:r w:rsidRPr="00FA0D37">
              <w:rPr>
                <w:szCs w:val="22"/>
                <w:lang w:eastAsia="sv-SE"/>
              </w:rPr>
              <w:t>Set</w:t>
            </w:r>
            <w:r w:rsidR="00394471" w:rsidRPr="00FA0D37">
              <w:rPr>
                <w:szCs w:val="22"/>
                <w:lang w:eastAsia="sv-SE"/>
              </w:rPr>
              <w:t xml:space="preserve"> of reference signals (CSI-RS and/or SSB) identifying the candidate beams for recovery and the associated RA parameters. </w:t>
            </w:r>
            <w:r w:rsidRPr="00FA0D37">
              <w:rPr>
                <w:szCs w:val="22"/>
              </w:rPr>
              <w:t>This set</w:t>
            </w:r>
            <w:r w:rsidR="00394471" w:rsidRPr="00FA0D37">
              <w:rPr>
                <w:szCs w:val="22"/>
              </w:rPr>
              <w:t xml:space="preserve"> include</w:t>
            </w:r>
            <w:r w:rsidRPr="00FA0D37">
              <w:rPr>
                <w:szCs w:val="22"/>
              </w:rPr>
              <w:t>s</w:t>
            </w:r>
            <w:r w:rsidR="00394471" w:rsidRPr="00FA0D37">
              <w:rPr>
                <w:szCs w:val="22"/>
              </w:rPr>
              <w:t xml:space="preserve"> all elements of </w:t>
            </w:r>
            <w:r w:rsidR="00394471" w:rsidRPr="00FA0D37">
              <w:rPr>
                <w:i/>
                <w:iCs/>
                <w:szCs w:val="22"/>
              </w:rPr>
              <w:t>candidateBeamRSList</w:t>
            </w:r>
            <w:r w:rsidR="00394471" w:rsidRPr="00FA0D37">
              <w:rPr>
                <w:szCs w:val="22"/>
              </w:rPr>
              <w:t xml:space="preserve"> (without suffix) and all elements of </w:t>
            </w:r>
            <w:r w:rsidR="00394471" w:rsidRPr="00FA0D37">
              <w:rPr>
                <w:i/>
                <w:iCs/>
                <w:szCs w:val="22"/>
              </w:rPr>
              <w:t>candidateBeamRSListExt-v1610</w:t>
            </w:r>
            <w:r w:rsidR="00394471" w:rsidRPr="00FA0D37">
              <w:rPr>
                <w:szCs w:val="22"/>
              </w:rPr>
              <w:t>.</w:t>
            </w:r>
            <w:r w:rsidR="00394471" w:rsidRPr="00FA0D37">
              <w:rPr>
                <w:szCs w:val="22"/>
                <w:lang w:eastAsia="sv-SE"/>
              </w:rPr>
              <w:t xml:space="preserve"> </w:t>
            </w:r>
            <w:r w:rsidRPr="00FA0D37">
              <w:rPr>
                <w:szCs w:val="22"/>
                <w:lang w:eastAsia="sv-SE"/>
              </w:rPr>
              <w:t xml:space="preserve">The UE maintains </w:t>
            </w:r>
            <w:r w:rsidRPr="00FA0D37">
              <w:rPr>
                <w:i/>
                <w:szCs w:val="22"/>
                <w:lang w:eastAsia="sv-SE"/>
              </w:rPr>
              <w:t>candidateBeamRSList</w:t>
            </w:r>
            <w:r w:rsidRPr="00FA0D37">
              <w:rPr>
                <w:szCs w:val="22"/>
                <w:lang w:eastAsia="sv-SE"/>
              </w:rPr>
              <w:t xml:space="preserve"> and </w:t>
            </w:r>
            <w:r w:rsidRPr="00FA0D37">
              <w:rPr>
                <w:i/>
                <w:szCs w:val="22"/>
                <w:lang w:eastAsia="sv-SE"/>
              </w:rPr>
              <w:t>candidateBeamRSListExt-v1610</w:t>
            </w:r>
            <w:r w:rsidRPr="00FA0D37">
              <w:rPr>
                <w:szCs w:val="22"/>
                <w:lang w:eastAsia="sv-SE"/>
              </w:rPr>
              <w:t xml:space="preserve"> separately: Receiving </w:t>
            </w:r>
            <w:r w:rsidRPr="00FA0D37">
              <w:rPr>
                <w:i/>
                <w:szCs w:val="22"/>
                <w:lang w:eastAsia="sv-SE"/>
              </w:rPr>
              <w:t>candidateBeamRSListExt-v1610</w:t>
            </w:r>
            <w:r w:rsidRPr="00FA0D37">
              <w:rPr>
                <w:szCs w:val="22"/>
                <w:lang w:eastAsia="sv-SE"/>
              </w:rPr>
              <w:t xml:space="preserve"> set to </w:t>
            </w:r>
            <w:r w:rsidRPr="00FA0D37">
              <w:rPr>
                <w:i/>
                <w:szCs w:val="22"/>
                <w:lang w:eastAsia="sv-SE"/>
              </w:rPr>
              <w:t>release</w:t>
            </w:r>
            <w:r w:rsidRPr="00FA0D37">
              <w:rPr>
                <w:szCs w:val="22"/>
                <w:lang w:eastAsia="sv-SE"/>
              </w:rPr>
              <w:t xml:space="preserve"> releases only the entries that were configured by </w:t>
            </w:r>
            <w:r w:rsidRPr="00FA0D37">
              <w:rPr>
                <w:i/>
                <w:szCs w:val="22"/>
                <w:lang w:eastAsia="sv-SE"/>
              </w:rPr>
              <w:t>candidateBeamRSListExt-v1610</w:t>
            </w:r>
            <w:r w:rsidRPr="00FA0D37">
              <w:rPr>
                <w:szCs w:val="22"/>
                <w:lang w:eastAsia="sv-SE"/>
              </w:rPr>
              <w:t xml:space="preserve">, and receiving </w:t>
            </w:r>
            <w:r w:rsidRPr="00FA0D37">
              <w:rPr>
                <w:i/>
                <w:szCs w:val="22"/>
                <w:lang w:eastAsia="sv-SE"/>
              </w:rPr>
              <w:t>candidateBeamRSListExt-v1610</w:t>
            </w:r>
            <w:r w:rsidRPr="00FA0D37">
              <w:rPr>
                <w:szCs w:val="22"/>
                <w:lang w:eastAsia="sv-SE"/>
              </w:rPr>
              <w:t xml:space="preserve"> set to </w:t>
            </w:r>
            <w:r w:rsidRPr="00FA0D37">
              <w:rPr>
                <w:i/>
                <w:szCs w:val="22"/>
                <w:lang w:eastAsia="sv-SE"/>
              </w:rPr>
              <w:t>setup</w:t>
            </w:r>
            <w:r w:rsidRPr="00FA0D37">
              <w:rPr>
                <w:szCs w:val="22"/>
                <w:lang w:eastAsia="sv-SE"/>
              </w:rPr>
              <w:t xml:space="preserve"> replaces only the entries that were configured by </w:t>
            </w:r>
            <w:r w:rsidRPr="00FA0D37">
              <w:rPr>
                <w:i/>
                <w:szCs w:val="22"/>
                <w:lang w:eastAsia="sv-SE"/>
              </w:rPr>
              <w:t>candidateBeamRSListExt-v1610</w:t>
            </w:r>
            <w:r w:rsidRPr="00FA0D37">
              <w:rPr>
                <w:szCs w:val="22"/>
                <w:lang w:eastAsia="sv-SE"/>
              </w:rPr>
              <w:t xml:space="preserve"> with the newly signalled entries. </w:t>
            </w:r>
            <w:r w:rsidR="00394471" w:rsidRPr="00FA0D37">
              <w:rPr>
                <w:szCs w:val="22"/>
                <w:lang w:eastAsia="sv-SE"/>
              </w:rPr>
              <w:t xml:space="preserve">The network configures these reference signals to be within the linked DL BWP (i.e., within the DL BWP with the same </w:t>
            </w:r>
            <w:r w:rsidR="00394471" w:rsidRPr="00FA0D37">
              <w:rPr>
                <w:i/>
                <w:lang w:eastAsia="sv-SE"/>
              </w:rPr>
              <w:t>bwp-Id</w:t>
            </w:r>
            <w:r w:rsidR="00394471" w:rsidRPr="00FA0D37">
              <w:rPr>
                <w:szCs w:val="22"/>
                <w:lang w:eastAsia="sv-SE"/>
              </w:rPr>
              <w:t xml:space="preserve">) of the UL BWP in which the </w:t>
            </w:r>
            <w:r w:rsidR="00394471" w:rsidRPr="00FA0D37">
              <w:rPr>
                <w:i/>
                <w:lang w:eastAsia="sv-SE"/>
              </w:rPr>
              <w:t>BeamFailureRecoveryConfig</w:t>
            </w:r>
            <w:r w:rsidR="00394471" w:rsidRPr="00FA0D37">
              <w:rPr>
                <w:szCs w:val="22"/>
                <w:lang w:eastAsia="sv-SE"/>
              </w:rPr>
              <w:t xml:space="preserve"> is provided. </w:t>
            </w:r>
          </w:p>
        </w:tc>
      </w:tr>
      <w:tr w:rsidR="005C7FF4" w:rsidRPr="00FA0D37"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FA0D37" w:rsidRDefault="00394471" w:rsidP="00964CC4">
            <w:pPr>
              <w:pStyle w:val="TAL"/>
              <w:rPr>
                <w:b/>
                <w:i/>
                <w:szCs w:val="22"/>
                <w:lang w:eastAsia="sv-SE"/>
              </w:rPr>
            </w:pPr>
            <w:r w:rsidRPr="00FA0D37">
              <w:rPr>
                <w:b/>
                <w:i/>
                <w:szCs w:val="22"/>
                <w:lang w:eastAsia="sv-SE"/>
              </w:rPr>
              <w:t>msg1-SubcarrierSpacing</w:t>
            </w:r>
          </w:p>
          <w:p w14:paraId="321D5C89" w14:textId="77B26439" w:rsidR="00394471" w:rsidRPr="00FA0D37" w:rsidRDefault="00394471" w:rsidP="00964CC4">
            <w:pPr>
              <w:pStyle w:val="TAL"/>
              <w:rPr>
                <w:szCs w:val="22"/>
                <w:lang w:eastAsia="sv-SE"/>
              </w:rPr>
            </w:pPr>
            <w:r w:rsidRPr="00FA0D37">
              <w:rPr>
                <w:szCs w:val="22"/>
                <w:lang w:eastAsia="sv-SE"/>
              </w:rPr>
              <w:t>Subcarrier spacing for contention free beam failure recovery</w:t>
            </w:r>
            <w:r w:rsidR="006C501F" w:rsidRPr="00FA0D37">
              <w:rPr>
                <w:rFonts w:eastAsia="Calibri"/>
                <w:szCs w:val="22"/>
              </w:rPr>
              <w:t xml:space="preserve"> (see TS 38.211 [16], clause 5.3.2)</w:t>
            </w:r>
            <w:r w:rsidRPr="00FA0D37">
              <w:rPr>
                <w:szCs w:val="22"/>
                <w:lang w:eastAsia="sv-SE"/>
              </w:rPr>
              <w:t>.</w:t>
            </w:r>
          </w:p>
          <w:p w14:paraId="52B2CB0B" w14:textId="77777777" w:rsidR="006C501F" w:rsidRPr="00FA0D37" w:rsidRDefault="006C501F" w:rsidP="006C501F">
            <w:pPr>
              <w:pStyle w:val="TAL"/>
              <w:rPr>
                <w:szCs w:val="22"/>
                <w:lang w:eastAsia="sv-SE"/>
              </w:rPr>
            </w:pPr>
            <w:r w:rsidRPr="00FA0D37">
              <w:rPr>
                <w:szCs w:val="22"/>
                <w:lang w:eastAsia="sv-SE"/>
              </w:rPr>
              <w:t>Only the following values are applicable depending on the used frequency:</w:t>
            </w:r>
          </w:p>
          <w:p w14:paraId="30243E3D" w14:textId="77777777" w:rsidR="006C501F" w:rsidRPr="00FA0D37" w:rsidRDefault="006C501F" w:rsidP="006C501F">
            <w:pPr>
              <w:pStyle w:val="TAL"/>
              <w:rPr>
                <w:szCs w:val="22"/>
                <w:lang w:eastAsia="sv-SE"/>
              </w:rPr>
            </w:pPr>
            <w:r w:rsidRPr="00FA0D37">
              <w:rPr>
                <w:szCs w:val="22"/>
                <w:lang w:eastAsia="sv-SE"/>
              </w:rPr>
              <w:t>FR1:    15 or 30 kHz</w:t>
            </w:r>
          </w:p>
          <w:p w14:paraId="79746A72" w14:textId="77777777" w:rsidR="006C501F" w:rsidRPr="00FA0D37" w:rsidRDefault="006C501F" w:rsidP="006C501F">
            <w:pPr>
              <w:pStyle w:val="TAL"/>
              <w:rPr>
                <w:szCs w:val="22"/>
                <w:lang w:eastAsia="sv-SE"/>
              </w:rPr>
            </w:pPr>
            <w:r w:rsidRPr="00FA0D37">
              <w:rPr>
                <w:szCs w:val="22"/>
                <w:lang w:eastAsia="sv-SE"/>
              </w:rPr>
              <w:t>FR2-1:  60 or 120 kHz</w:t>
            </w:r>
          </w:p>
          <w:p w14:paraId="3D812EDF" w14:textId="022491C7" w:rsidR="006C501F" w:rsidRPr="00FA0D37" w:rsidRDefault="006C501F" w:rsidP="006C501F">
            <w:pPr>
              <w:pStyle w:val="TAL"/>
              <w:rPr>
                <w:szCs w:val="22"/>
                <w:lang w:eastAsia="sv-SE"/>
              </w:rPr>
            </w:pPr>
            <w:r w:rsidRPr="00FA0D37">
              <w:rPr>
                <w:szCs w:val="22"/>
                <w:lang w:eastAsia="sv-SE"/>
              </w:rPr>
              <w:t>FR2-2:  120, 480, or 960 kHz</w:t>
            </w:r>
          </w:p>
        </w:tc>
      </w:tr>
      <w:tr w:rsidR="005C7FF4" w:rsidRPr="00FA0D37"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FA0D37" w:rsidRDefault="00394471" w:rsidP="00964CC4">
            <w:pPr>
              <w:pStyle w:val="TAL"/>
              <w:rPr>
                <w:b/>
                <w:i/>
                <w:szCs w:val="22"/>
                <w:lang w:eastAsia="sv-SE"/>
              </w:rPr>
            </w:pPr>
            <w:r w:rsidRPr="00FA0D37">
              <w:rPr>
                <w:b/>
                <w:i/>
                <w:szCs w:val="22"/>
                <w:lang w:eastAsia="sv-SE"/>
              </w:rPr>
              <w:t>rsrp-ThresholdSSB</w:t>
            </w:r>
          </w:p>
          <w:p w14:paraId="17E50DAA" w14:textId="77777777" w:rsidR="00394471" w:rsidRPr="00FA0D37" w:rsidRDefault="00394471" w:rsidP="00964CC4">
            <w:pPr>
              <w:pStyle w:val="TAL"/>
              <w:rPr>
                <w:szCs w:val="22"/>
                <w:lang w:eastAsia="sv-SE"/>
              </w:rPr>
            </w:pPr>
            <w:r w:rsidRPr="00FA0D37">
              <w:rPr>
                <w:szCs w:val="22"/>
                <w:lang w:eastAsia="sv-SE"/>
              </w:rPr>
              <w:t>L1-RSRP threshold used for determining whether a candidate beam may be used by the UE to attempt contention free random access to recover from beam failure (see TS 38.213 [13], clause 6).</w:t>
            </w:r>
          </w:p>
        </w:tc>
      </w:tr>
      <w:tr w:rsidR="005C7FF4" w:rsidRPr="00FA0D37"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FA0D37" w:rsidRDefault="00394471" w:rsidP="00964CC4">
            <w:pPr>
              <w:pStyle w:val="TAL"/>
              <w:rPr>
                <w:b/>
                <w:i/>
                <w:szCs w:val="22"/>
                <w:lang w:eastAsia="sv-SE"/>
              </w:rPr>
            </w:pPr>
            <w:r w:rsidRPr="00FA0D37">
              <w:rPr>
                <w:b/>
                <w:i/>
                <w:szCs w:val="22"/>
                <w:lang w:eastAsia="sv-SE"/>
              </w:rPr>
              <w:t>ra-prioritization</w:t>
            </w:r>
          </w:p>
          <w:p w14:paraId="21C4490F" w14:textId="77777777" w:rsidR="00394471" w:rsidRPr="00FA0D37" w:rsidRDefault="00394471" w:rsidP="00964CC4">
            <w:pPr>
              <w:pStyle w:val="TAL"/>
              <w:rPr>
                <w:szCs w:val="22"/>
                <w:lang w:eastAsia="sv-SE"/>
              </w:rPr>
            </w:pPr>
            <w:r w:rsidRPr="00FA0D37">
              <w:rPr>
                <w:szCs w:val="22"/>
                <w:lang w:eastAsia="sv-SE"/>
              </w:rPr>
              <w:t>Parameters which apply for prioritized random access procedure for BFR (see TS 38.321 [3], clause 5.1.1).</w:t>
            </w:r>
          </w:p>
        </w:tc>
      </w:tr>
      <w:tr w:rsidR="005C7FF4" w:rsidRPr="00FA0D37"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FA0D37" w:rsidRDefault="00394471" w:rsidP="00964CC4">
            <w:pPr>
              <w:pStyle w:val="TAL"/>
              <w:rPr>
                <w:b/>
                <w:i/>
                <w:szCs w:val="22"/>
                <w:lang w:eastAsia="sv-SE"/>
              </w:rPr>
            </w:pPr>
            <w:r w:rsidRPr="00FA0D37">
              <w:rPr>
                <w:b/>
                <w:i/>
                <w:szCs w:val="22"/>
                <w:lang w:eastAsia="sv-SE"/>
              </w:rPr>
              <w:t>ra-PrioritizationTwoStep</w:t>
            </w:r>
          </w:p>
          <w:p w14:paraId="3B7A7952" w14:textId="77777777" w:rsidR="00394471" w:rsidRPr="00FA0D37" w:rsidRDefault="00394471" w:rsidP="00964CC4">
            <w:pPr>
              <w:pStyle w:val="TAL"/>
              <w:rPr>
                <w:bCs/>
                <w:iCs/>
                <w:szCs w:val="22"/>
                <w:lang w:eastAsia="sv-SE"/>
              </w:rPr>
            </w:pPr>
            <w:r w:rsidRPr="00FA0D37">
              <w:rPr>
                <w:bCs/>
                <w:iCs/>
                <w:szCs w:val="22"/>
                <w:lang w:eastAsia="sv-SE"/>
              </w:rPr>
              <w:t>Parameters which apply for prioritized 2-step random access procedure for BFR (see TS 38.321 [3], clause 5.1.1).</w:t>
            </w:r>
          </w:p>
        </w:tc>
      </w:tr>
      <w:tr w:rsidR="005C7FF4" w:rsidRPr="00FA0D37"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FA0D37" w:rsidRDefault="00394471" w:rsidP="00964CC4">
            <w:pPr>
              <w:pStyle w:val="TAL"/>
              <w:rPr>
                <w:szCs w:val="22"/>
                <w:lang w:eastAsia="sv-SE"/>
              </w:rPr>
            </w:pPr>
            <w:r w:rsidRPr="00FA0D37">
              <w:rPr>
                <w:b/>
                <w:i/>
                <w:szCs w:val="22"/>
                <w:lang w:eastAsia="sv-SE"/>
              </w:rPr>
              <w:t>ra-ssb-OccasionMaskIndex</w:t>
            </w:r>
          </w:p>
          <w:p w14:paraId="06F5AB60" w14:textId="77777777" w:rsidR="00394471" w:rsidRPr="00FA0D37" w:rsidRDefault="00394471" w:rsidP="00964CC4">
            <w:pPr>
              <w:pStyle w:val="TAL"/>
              <w:rPr>
                <w:szCs w:val="22"/>
                <w:lang w:eastAsia="sv-SE"/>
              </w:rPr>
            </w:pPr>
            <w:r w:rsidRPr="00FA0D37">
              <w:rPr>
                <w:szCs w:val="22"/>
                <w:lang w:eastAsia="sv-SE"/>
              </w:rPr>
              <w:t>Explicitly signalled PRACH Mask Index for RA Resource selection in TS 38.321 [3]. The mask is valid for all SSB resources.</w:t>
            </w:r>
          </w:p>
        </w:tc>
      </w:tr>
      <w:tr w:rsidR="005C7FF4" w:rsidRPr="00FA0D37"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FA0D37" w:rsidRDefault="00394471" w:rsidP="00964CC4">
            <w:pPr>
              <w:pStyle w:val="TAL"/>
              <w:rPr>
                <w:szCs w:val="22"/>
                <w:lang w:eastAsia="sv-SE"/>
              </w:rPr>
            </w:pPr>
            <w:r w:rsidRPr="00FA0D37">
              <w:rPr>
                <w:b/>
                <w:i/>
                <w:szCs w:val="22"/>
                <w:lang w:eastAsia="sv-SE"/>
              </w:rPr>
              <w:t>rach-ConfigBFR</w:t>
            </w:r>
          </w:p>
          <w:p w14:paraId="295FECF8" w14:textId="0A640ABE" w:rsidR="00394471" w:rsidRPr="00FA0D37" w:rsidRDefault="00394471" w:rsidP="00964CC4">
            <w:pPr>
              <w:pStyle w:val="TAL"/>
              <w:rPr>
                <w:szCs w:val="22"/>
                <w:lang w:eastAsia="sv-SE"/>
              </w:rPr>
            </w:pPr>
            <w:r w:rsidRPr="00FA0D37">
              <w:rPr>
                <w:szCs w:val="22"/>
                <w:lang w:eastAsia="sv-SE"/>
              </w:rPr>
              <w:t xml:space="preserve">Configuration of </w:t>
            </w:r>
            <w:r w:rsidR="00FB04AA" w:rsidRPr="00FA0D37">
              <w:t>random access parameters</w:t>
            </w:r>
            <w:r w:rsidRPr="00FA0D37">
              <w:rPr>
                <w:szCs w:val="22"/>
                <w:lang w:eastAsia="sv-SE"/>
              </w:rPr>
              <w:t xml:space="preserve"> for BFR.</w:t>
            </w:r>
          </w:p>
        </w:tc>
      </w:tr>
      <w:tr w:rsidR="005C7FF4" w:rsidRPr="00FA0D37"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FA0D37" w:rsidRDefault="00394471" w:rsidP="00964CC4">
            <w:pPr>
              <w:pStyle w:val="TAL"/>
              <w:rPr>
                <w:szCs w:val="22"/>
                <w:lang w:eastAsia="sv-SE"/>
              </w:rPr>
            </w:pPr>
            <w:r w:rsidRPr="00FA0D37">
              <w:rPr>
                <w:b/>
                <w:i/>
                <w:szCs w:val="22"/>
                <w:lang w:eastAsia="sv-SE"/>
              </w:rPr>
              <w:t>recoverySearchSpaceId</w:t>
            </w:r>
          </w:p>
          <w:p w14:paraId="24743994" w14:textId="77777777" w:rsidR="00394471" w:rsidRPr="00FA0D37" w:rsidRDefault="00394471" w:rsidP="00964CC4">
            <w:pPr>
              <w:pStyle w:val="TAL"/>
              <w:rPr>
                <w:szCs w:val="22"/>
                <w:lang w:eastAsia="sv-SE"/>
              </w:rPr>
            </w:pPr>
            <w:r w:rsidRPr="00FA0D37">
              <w:rPr>
                <w:szCs w:val="22"/>
                <w:lang w:eastAsia="sv-SE"/>
              </w:rPr>
              <w:t xml:space="preserve">Search space to use for BFR RAR. The network configures this search space to be within the linked DL BWP (i.e., within the DL BWP with the same </w:t>
            </w:r>
            <w:r w:rsidRPr="00FA0D37">
              <w:rPr>
                <w:i/>
                <w:lang w:eastAsia="sv-SE"/>
              </w:rPr>
              <w:t>bwp-Id</w:t>
            </w:r>
            <w:r w:rsidRPr="00FA0D37">
              <w:rPr>
                <w:szCs w:val="22"/>
                <w:lang w:eastAsia="sv-SE"/>
              </w:rPr>
              <w:t xml:space="preserve">) of the UL BWP in which the </w:t>
            </w:r>
            <w:r w:rsidRPr="00FA0D37">
              <w:rPr>
                <w:i/>
                <w:lang w:eastAsia="sv-SE"/>
              </w:rPr>
              <w:t>BeamFailureRecoveryConfig</w:t>
            </w:r>
            <w:r w:rsidRPr="00FA0D37">
              <w:rPr>
                <w:szCs w:val="22"/>
                <w:lang w:eastAsia="sv-SE"/>
              </w:rPr>
              <w:t xml:space="preserve"> is provided. The CORESET associated with the recovery search space cannot be associated with another search space. Network always configures </w:t>
            </w:r>
            <w:r w:rsidRPr="00FA0D37">
              <w:rPr>
                <w:lang w:eastAsia="sv-SE"/>
              </w:rPr>
              <w:t>the UE with a value for</w:t>
            </w:r>
            <w:r w:rsidRPr="00FA0D37">
              <w:rPr>
                <w:szCs w:val="22"/>
                <w:lang w:eastAsia="sv-SE"/>
              </w:rPr>
              <w:t xml:space="preserve"> this field when contention free random access resources for BFR are configured.</w:t>
            </w:r>
          </w:p>
        </w:tc>
      </w:tr>
      <w:tr w:rsidR="005C7FF4" w:rsidRPr="00FA0D37"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FA0D37" w:rsidRDefault="00394471" w:rsidP="00964CC4">
            <w:pPr>
              <w:pStyle w:val="TAL"/>
              <w:rPr>
                <w:b/>
                <w:i/>
                <w:szCs w:val="22"/>
                <w:lang w:eastAsia="sv-SE"/>
              </w:rPr>
            </w:pPr>
            <w:r w:rsidRPr="00FA0D37">
              <w:rPr>
                <w:b/>
                <w:i/>
                <w:szCs w:val="22"/>
                <w:lang w:eastAsia="sv-SE"/>
              </w:rPr>
              <w:t>rootSequenceIndex-BFR</w:t>
            </w:r>
          </w:p>
          <w:p w14:paraId="65AAEFD6" w14:textId="77777777" w:rsidR="00394471" w:rsidRPr="00FA0D37" w:rsidRDefault="00394471" w:rsidP="00964CC4">
            <w:pPr>
              <w:pStyle w:val="TAL"/>
              <w:rPr>
                <w:lang w:eastAsia="sv-SE"/>
              </w:rPr>
            </w:pPr>
            <w:r w:rsidRPr="00FA0D37">
              <w:rPr>
                <w:lang w:eastAsia="sv-SE"/>
              </w:rPr>
              <w:t>PRACH root sequence index (see TS 38.211 [16], clause 6.3.3.1) for beam failure recovery.</w:t>
            </w:r>
          </w:p>
        </w:tc>
      </w:tr>
      <w:tr w:rsidR="005C7FF4" w:rsidRPr="00FA0D37"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FA0D37" w:rsidRDefault="00585667" w:rsidP="00585667">
            <w:pPr>
              <w:pStyle w:val="TAL"/>
              <w:rPr>
                <w:b/>
                <w:bCs/>
                <w:i/>
                <w:iCs/>
                <w:lang w:eastAsia="sv-SE"/>
              </w:rPr>
            </w:pPr>
            <w:r w:rsidRPr="00FA0D37">
              <w:rPr>
                <w:b/>
                <w:bCs/>
                <w:i/>
                <w:iCs/>
                <w:lang w:eastAsia="sv-SE"/>
              </w:rPr>
              <w:t>spCell-BFR-CBRA</w:t>
            </w:r>
          </w:p>
          <w:p w14:paraId="35F9C61A" w14:textId="25C73AF8" w:rsidR="00585667" w:rsidRPr="00FA0D37" w:rsidRDefault="00585667" w:rsidP="00585667">
            <w:pPr>
              <w:pStyle w:val="TAL"/>
              <w:rPr>
                <w:lang w:eastAsia="sv-SE"/>
              </w:rPr>
            </w:pPr>
            <w:r w:rsidRPr="00FA0D37">
              <w:rPr>
                <w:lang w:eastAsia="sv-SE"/>
              </w:rPr>
              <w:t xml:space="preserve">Indicates that UE is configured to send MAC CE </w:t>
            </w:r>
            <w:r w:rsidRPr="00FA0D37">
              <w:t>for</w:t>
            </w:r>
            <w:r w:rsidRPr="00FA0D37">
              <w:rPr>
                <w:lang w:eastAsia="sv-SE"/>
              </w:rPr>
              <w:t xml:space="preserve"> SpCell BFR as specified in TS38.321 [3].</w:t>
            </w:r>
          </w:p>
        </w:tc>
      </w:tr>
      <w:tr w:rsidR="00394471" w:rsidRPr="00FA0D37"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FA0D37" w:rsidRDefault="00394471" w:rsidP="00964CC4">
            <w:pPr>
              <w:pStyle w:val="TAL"/>
              <w:rPr>
                <w:szCs w:val="22"/>
                <w:lang w:eastAsia="sv-SE"/>
              </w:rPr>
            </w:pPr>
            <w:r w:rsidRPr="00FA0D37">
              <w:rPr>
                <w:b/>
                <w:i/>
                <w:szCs w:val="22"/>
                <w:lang w:eastAsia="sv-SE"/>
              </w:rPr>
              <w:t>ssb-perRACH-Occasion</w:t>
            </w:r>
          </w:p>
          <w:p w14:paraId="4FCF3326" w14:textId="77777777" w:rsidR="00394471" w:rsidRPr="00FA0D37" w:rsidRDefault="00394471" w:rsidP="00964CC4">
            <w:pPr>
              <w:pStyle w:val="TAL"/>
              <w:rPr>
                <w:szCs w:val="22"/>
                <w:lang w:eastAsia="sv-SE"/>
              </w:rPr>
            </w:pPr>
            <w:r w:rsidRPr="00FA0D37">
              <w:rPr>
                <w:szCs w:val="22"/>
                <w:lang w:eastAsia="sv-SE"/>
              </w:rPr>
              <w:t>Number of SSBs per RACH occasion for CF-BFR, see TS 38.213 [13], clause 8.1.</w:t>
            </w:r>
          </w:p>
        </w:tc>
      </w:tr>
    </w:tbl>
    <w:p w14:paraId="627802F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FA0D37" w:rsidRDefault="00394471" w:rsidP="00964CC4">
            <w:pPr>
              <w:pStyle w:val="TAH"/>
              <w:rPr>
                <w:szCs w:val="22"/>
                <w:lang w:eastAsia="sv-SE"/>
              </w:rPr>
            </w:pPr>
            <w:r w:rsidRPr="00FA0D37">
              <w:rPr>
                <w:i/>
                <w:szCs w:val="22"/>
                <w:lang w:eastAsia="sv-SE"/>
              </w:rPr>
              <w:lastRenderedPageBreak/>
              <w:t xml:space="preserve">BFR-CSIRS-Resource </w:t>
            </w:r>
            <w:r w:rsidRPr="00FA0D37">
              <w:rPr>
                <w:szCs w:val="22"/>
                <w:lang w:eastAsia="sv-SE"/>
              </w:rPr>
              <w:t>field descriptions</w:t>
            </w:r>
          </w:p>
        </w:tc>
      </w:tr>
      <w:tr w:rsidR="005C7FF4" w:rsidRPr="00FA0D37"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FA0D37" w:rsidRDefault="00394471" w:rsidP="00964CC4">
            <w:pPr>
              <w:pStyle w:val="TAL"/>
              <w:rPr>
                <w:szCs w:val="22"/>
                <w:lang w:eastAsia="sv-SE"/>
              </w:rPr>
            </w:pPr>
            <w:r w:rsidRPr="00FA0D37">
              <w:rPr>
                <w:b/>
                <w:i/>
                <w:szCs w:val="22"/>
                <w:lang w:eastAsia="sv-SE"/>
              </w:rPr>
              <w:t>csi-RS</w:t>
            </w:r>
          </w:p>
          <w:p w14:paraId="386C065D" w14:textId="77777777" w:rsidR="00394471" w:rsidRPr="00FA0D37" w:rsidRDefault="00394471" w:rsidP="00964CC4">
            <w:pPr>
              <w:pStyle w:val="TAL"/>
              <w:rPr>
                <w:szCs w:val="22"/>
                <w:lang w:eastAsia="sv-SE"/>
              </w:rPr>
            </w:pPr>
            <w:r w:rsidRPr="00FA0D37">
              <w:rPr>
                <w:szCs w:val="22"/>
                <w:lang w:eastAsia="sv-SE"/>
              </w:rPr>
              <w:t xml:space="preserve">The ID of a </w:t>
            </w:r>
            <w:r w:rsidRPr="00FA0D37">
              <w:rPr>
                <w:i/>
                <w:lang w:eastAsia="sv-SE"/>
              </w:rPr>
              <w:t>NZP-CSI-RS-Resource</w:t>
            </w:r>
            <w:r w:rsidRPr="00FA0D37">
              <w:rPr>
                <w:szCs w:val="22"/>
                <w:lang w:eastAsia="sv-SE"/>
              </w:rPr>
              <w:t xml:space="preserve"> configured in the </w:t>
            </w:r>
            <w:r w:rsidRPr="00FA0D37">
              <w:rPr>
                <w:i/>
                <w:lang w:eastAsia="sv-SE"/>
              </w:rPr>
              <w:t>CSI-MeasConfig</w:t>
            </w:r>
            <w:r w:rsidRPr="00FA0D37">
              <w:rPr>
                <w:szCs w:val="22"/>
                <w:lang w:eastAsia="sv-SE"/>
              </w:rPr>
              <w:t xml:space="preserve"> of this serving cell. This reference signal determines a candidate beam for beam failure recovery (BFR).</w:t>
            </w:r>
          </w:p>
        </w:tc>
      </w:tr>
      <w:tr w:rsidR="005C7FF4" w:rsidRPr="00FA0D37"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FA0D37" w:rsidRDefault="00394471" w:rsidP="00964CC4">
            <w:pPr>
              <w:pStyle w:val="TAL"/>
              <w:rPr>
                <w:szCs w:val="22"/>
                <w:lang w:eastAsia="sv-SE"/>
              </w:rPr>
            </w:pPr>
            <w:r w:rsidRPr="00FA0D37">
              <w:rPr>
                <w:b/>
                <w:i/>
                <w:szCs w:val="22"/>
                <w:lang w:eastAsia="sv-SE"/>
              </w:rPr>
              <w:t>ra-OccasionList</w:t>
            </w:r>
          </w:p>
          <w:p w14:paraId="48E64949" w14:textId="77777777" w:rsidR="00394471" w:rsidRPr="00FA0D37" w:rsidRDefault="00394471" w:rsidP="00964CC4">
            <w:pPr>
              <w:pStyle w:val="TAL"/>
              <w:rPr>
                <w:szCs w:val="22"/>
                <w:lang w:eastAsia="sv-SE"/>
              </w:rPr>
            </w:pPr>
            <w:r w:rsidRPr="00FA0D37">
              <w:rPr>
                <w:szCs w:val="22"/>
                <w:lang w:eastAsia="sv-SE"/>
              </w:rPr>
              <w:t>RA occasions that the UE shall use when performing BFR upon selecting the candidate beam identified by this CSI-RS.</w:t>
            </w:r>
            <w:r w:rsidRPr="00FA0D37">
              <w:rPr>
                <w:lang w:eastAsia="sv-SE"/>
              </w:rPr>
              <w:t xml:space="preserve"> </w:t>
            </w:r>
            <w:r w:rsidRPr="00FA0D37">
              <w:rPr>
                <w:szCs w:val="22"/>
                <w:lang w:eastAsia="sv-SE"/>
              </w:rPr>
              <w:t xml:space="preserve">The network ensures that the RA occasion indexes provided herein are also configured by </w:t>
            </w:r>
            <w:r w:rsidRPr="00FA0D37">
              <w:rPr>
                <w:i/>
                <w:lang w:eastAsia="sv-SE"/>
              </w:rPr>
              <w:t>prach-ConfigurationIndex</w:t>
            </w:r>
            <w:r w:rsidRPr="00FA0D37">
              <w:rPr>
                <w:szCs w:val="22"/>
                <w:lang w:eastAsia="sv-SE"/>
              </w:rPr>
              <w:t xml:space="preserve"> and </w:t>
            </w:r>
            <w:r w:rsidRPr="00FA0D37">
              <w:rPr>
                <w:i/>
                <w:lang w:eastAsia="sv-SE"/>
              </w:rPr>
              <w:t>msg1-FDM</w:t>
            </w:r>
            <w:r w:rsidRPr="00FA0D37">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FA0D37" w:rsidRDefault="00394471" w:rsidP="00964CC4">
            <w:pPr>
              <w:pStyle w:val="TAL"/>
              <w:rPr>
                <w:szCs w:val="22"/>
                <w:lang w:eastAsia="sv-SE"/>
              </w:rPr>
            </w:pPr>
            <w:r w:rsidRPr="00FA0D37">
              <w:rPr>
                <w:szCs w:val="22"/>
                <w:lang w:eastAsia="sv-SE"/>
              </w:rPr>
              <w:t>If the field is absent the UE uses the RA occasion associated with the SSB that is QCLed with this CSI-RS.</w:t>
            </w:r>
          </w:p>
        </w:tc>
      </w:tr>
      <w:tr w:rsidR="00394471" w:rsidRPr="00FA0D37"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FA0D37" w:rsidRDefault="00394471" w:rsidP="00964CC4">
            <w:pPr>
              <w:pStyle w:val="TAL"/>
              <w:rPr>
                <w:szCs w:val="22"/>
                <w:lang w:eastAsia="sv-SE"/>
              </w:rPr>
            </w:pPr>
            <w:r w:rsidRPr="00FA0D37">
              <w:rPr>
                <w:b/>
                <w:i/>
                <w:szCs w:val="22"/>
                <w:lang w:eastAsia="sv-SE"/>
              </w:rPr>
              <w:t>ra-PreambleIndex</w:t>
            </w:r>
          </w:p>
          <w:p w14:paraId="3C0D4725" w14:textId="77777777" w:rsidR="00394471" w:rsidRPr="00FA0D37" w:rsidRDefault="00394471" w:rsidP="00964CC4">
            <w:pPr>
              <w:pStyle w:val="TAL"/>
              <w:rPr>
                <w:szCs w:val="22"/>
                <w:lang w:eastAsia="sv-SE"/>
              </w:rPr>
            </w:pPr>
            <w:r w:rsidRPr="00FA0D37">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FA0D37" w:rsidRDefault="00394471" w:rsidP="00964CC4">
            <w:pPr>
              <w:pStyle w:val="TAH"/>
              <w:rPr>
                <w:szCs w:val="22"/>
                <w:lang w:eastAsia="sv-SE"/>
              </w:rPr>
            </w:pPr>
            <w:r w:rsidRPr="00FA0D37">
              <w:rPr>
                <w:i/>
                <w:szCs w:val="22"/>
                <w:lang w:eastAsia="sv-SE"/>
              </w:rPr>
              <w:t xml:space="preserve">BFR-SSB-Resource </w:t>
            </w:r>
            <w:r w:rsidRPr="00FA0D37">
              <w:rPr>
                <w:szCs w:val="22"/>
                <w:lang w:eastAsia="sv-SE"/>
              </w:rPr>
              <w:t>field descriptions</w:t>
            </w:r>
          </w:p>
        </w:tc>
      </w:tr>
      <w:tr w:rsidR="005C7FF4" w:rsidRPr="00FA0D37"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FA0D37" w:rsidRDefault="00394471" w:rsidP="00964CC4">
            <w:pPr>
              <w:pStyle w:val="TAL"/>
              <w:rPr>
                <w:szCs w:val="22"/>
                <w:lang w:eastAsia="sv-SE"/>
              </w:rPr>
            </w:pPr>
            <w:r w:rsidRPr="00FA0D37">
              <w:rPr>
                <w:b/>
                <w:i/>
                <w:szCs w:val="22"/>
                <w:lang w:eastAsia="sv-SE"/>
              </w:rPr>
              <w:t>ra-PreambleIndex</w:t>
            </w:r>
          </w:p>
          <w:p w14:paraId="58C6B6A1" w14:textId="77777777" w:rsidR="00394471" w:rsidRPr="00FA0D37" w:rsidRDefault="00394471" w:rsidP="00964CC4">
            <w:pPr>
              <w:pStyle w:val="TAL"/>
              <w:rPr>
                <w:szCs w:val="22"/>
                <w:lang w:eastAsia="sv-SE"/>
              </w:rPr>
            </w:pPr>
            <w:r w:rsidRPr="00FA0D37">
              <w:rPr>
                <w:szCs w:val="22"/>
                <w:lang w:eastAsia="sv-SE"/>
              </w:rPr>
              <w:t>The preamble index that the UE shall use when performing BFR upon selecting the candidate beams identified by this SSB.</w:t>
            </w:r>
          </w:p>
        </w:tc>
      </w:tr>
      <w:tr w:rsidR="00394471" w:rsidRPr="00FA0D37"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FA0D37" w:rsidRDefault="00394471" w:rsidP="00964CC4">
            <w:pPr>
              <w:pStyle w:val="TAL"/>
              <w:rPr>
                <w:szCs w:val="22"/>
                <w:lang w:eastAsia="sv-SE"/>
              </w:rPr>
            </w:pPr>
            <w:r w:rsidRPr="00FA0D37">
              <w:rPr>
                <w:b/>
                <w:i/>
                <w:szCs w:val="22"/>
                <w:lang w:eastAsia="sv-SE"/>
              </w:rPr>
              <w:t>ssb</w:t>
            </w:r>
          </w:p>
          <w:p w14:paraId="2FAD420E" w14:textId="77777777" w:rsidR="00394471" w:rsidRPr="00FA0D37" w:rsidRDefault="00394471" w:rsidP="00964CC4">
            <w:pPr>
              <w:pStyle w:val="TAL"/>
              <w:rPr>
                <w:szCs w:val="22"/>
                <w:lang w:eastAsia="sv-SE"/>
              </w:rPr>
            </w:pPr>
            <w:r w:rsidRPr="00FA0D37">
              <w:rPr>
                <w:szCs w:val="22"/>
                <w:lang w:eastAsia="sv-SE"/>
              </w:rPr>
              <w:t>The ID of an SSB transmitted by this serving cell. It determines a candidate beam for beam failure recovery (BFR).</w:t>
            </w:r>
          </w:p>
        </w:tc>
      </w:tr>
    </w:tbl>
    <w:p w14:paraId="3BBACF63" w14:textId="77777777" w:rsidR="00394471" w:rsidRPr="00FA0D37" w:rsidRDefault="00394471" w:rsidP="00394471"/>
    <w:p w14:paraId="08B2D2FF" w14:textId="7F4356E2" w:rsidR="00394471" w:rsidRPr="00FA0D37" w:rsidRDefault="00394471" w:rsidP="00394471">
      <w:pPr>
        <w:pStyle w:val="4"/>
        <w:rPr>
          <w:i/>
        </w:rPr>
      </w:pPr>
      <w:bookmarkStart w:id="885" w:name="_Toc60777169"/>
      <w:bookmarkStart w:id="886" w:name="_Toc146781213"/>
      <w:r w:rsidRPr="00FA0D37">
        <w:rPr>
          <w:i/>
        </w:rPr>
        <w:t>–</w:t>
      </w:r>
      <w:r w:rsidRPr="00FA0D37">
        <w:rPr>
          <w:i/>
        </w:rPr>
        <w:tab/>
        <w:t>BeamFailureRecovery</w:t>
      </w:r>
      <w:r w:rsidR="00A45783" w:rsidRPr="00FA0D37">
        <w:rPr>
          <w:i/>
        </w:rPr>
        <w:t>R</w:t>
      </w:r>
      <w:r w:rsidRPr="00FA0D37">
        <w:rPr>
          <w:i/>
        </w:rPr>
        <w:t>SConfig</w:t>
      </w:r>
      <w:bookmarkEnd w:id="885"/>
      <w:bookmarkEnd w:id="886"/>
    </w:p>
    <w:p w14:paraId="4F5545CC" w14:textId="3C9ACC38" w:rsidR="00394471" w:rsidRPr="00FA0D37" w:rsidRDefault="00394471" w:rsidP="00394471">
      <w:r w:rsidRPr="00FA0D37">
        <w:t xml:space="preserve">The IE </w:t>
      </w:r>
      <w:r w:rsidRPr="00FA0D37">
        <w:rPr>
          <w:i/>
        </w:rPr>
        <w:t>BeamFailureRecovery</w:t>
      </w:r>
      <w:r w:rsidR="00A45783" w:rsidRPr="00FA0D37">
        <w:rPr>
          <w:i/>
        </w:rPr>
        <w:t>R</w:t>
      </w:r>
      <w:r w:rsidRPr="00FA0D37">
        <w:rPr>
          <w:i/>
        </w:rPr>
        <w:t>SConfig</w:t>
      </w:r>
      <w:r w:rsidRPr="00FA0D37">
        <w:t xml:space="preserve"> is used to configure the UE with candidate beams for beam failure recovery in case of beam failure detection. See also TS 38.321 [3], clause 5.</w:t>
      </w:r>
      <w:r w:rsidR="00835C66" w:rsidRPr="00FA0D37">
        <w:t>17</w:t>
      </w:r>
      <w:r w:rsidRPr="00FA0D37">
        <w:t>.</w:t>
      </w:r>
    </w:p>
    <w:p w14:paraId="15636FB0" w14:textId="19995038" w:rsidR="00394471" w:rsidRPr="00FA0D37" w:rsidRDefault="00394471" w:rsidP="00394471">
      <w:pPr>
        <w:pStyle w:val="TH"/>
      </w:pPr>
      <w:r w:rsidRPr="00FA0D37">
        <w:rPr>
          <w:i/>
        </w:rPr>
        <w:t>BeamFailureRecovery</w:t>
      </w:r>
      <w:r w:rsidR="00A45783" w:rsidRPr="00FA0D37">
        <w:rPr>
          <w:i/>
        </w:rPr>
        <w:t>R</w:t>
      </w:r>
      <w:r w:rsidRPr="00FA0D37">
        <w:rPr>
          <w:i/>
        </w:rPr>
        <w:t>SConfig</w:t>
      </w:r>
      <w:r w:rsidRPr="00FA0D37">
        <w:t xml:space="preserve"> information element</w:t>
      </w:r>
    </w:p>
    <w:p w14:paraId="22C07ED8" w14:textId="77777777" w:rsidR="00394471" w:rsidRPr="00FA0D37" w:rsidRDefault="00394471" w:rsidP="00FA0D37">
      <w:pPr>
        <w:pStyle w:val="PL"/>
        <w:rPr>
          <w:color w:val="808080"/>
        </w:rPr>
      </w:pPr>
      <w:r w:rsidRPr="00FA0D37">
        <w:rPr>
          <w:color w:val="808080"/>
        </w:rPr>
        <w:t>-- ASN1START</w:t>
      </w:r>
    </w:p>
    <w:p w14:paraId="4DCED805" w14:textId="29A73FF3" w:rsidR="00394471" w:rsidRPr="00FA0D37" w:rsidRDefault="00394471" w:rsidP="00FA0D37">
      <w:pPr>
        <w:pStyle w:val="PL"/>
        <w:rPr>
          <w:color w:val="808080"/>
        </w:rPr>
      </w:pPr>
      <w:r w:rsidRPr="00FA0D37">
        <w:rPr>
          <w:color w:val="808080"/>
        </w:rPr>
        <w:t>-- TAG-BEAMFAILURERECOVERY</w:t>
      </w:r>
      <w:r w:rsidR="00A45783" w:rsidRPr="00FA0D37">
        <w:rPr>
          <w:color w:val="808080"/>
        </w:rPr>
        <w:t>R</w:t>
      </w:r>
      <w:r w:rsidRPr="00FA0D37">
        <w:rPr>
          <w:color w:val="808080"/>
        </w:rPr>
        <w:t>SCONFIG-START</w:t>
      </w:r>
    </w:p>
    <w:p w14:paraId="13421076" w14:textId="77777777" w:rsidR="00394471" w:rsidRPr="00FA0D37" w:rsidRDefault="00394471" w:rsidP="00FA0D37">
      <w:pPr>
        <w:pStyle w:val="PL"/>
      </w:pPr>
    </w:p>
    <w:p w14:paraId="687E2DC5" w14:textId="104D0B52" w:rsidR="00394471" w:rsidRPr="00FA0D37" w:rsidRDefault="00394471" w:rsidP="00FA0D37">
      <w:pPr>
        <w:pStyle w:val="PL"/>
      </w:pPr>
      <w:r w:rsidRPr="00FA0D37">
        <w:t>BeamFailureRecovery</w:t>
      </w:r>
      <w:r w:rsidR="00A45783" w:rsidRPr="00FA0D37">
        <w:t>R</w:t>
      </w:r>
      <w:r w:rsidRPr="00FA0D37">
        <w:t xml:space="preserve">SConfig-r16 ::= </w:t>
      </w:r>
      <w:r w:rsidRPr="00FA0D37">
        <w:rPr>
          <w:color w:val="993366"/>
        </w:rPr>
        <w:t>SEQUENCE</w:t>
      </w:r>
      <w:r w:rsidRPr="00FA0D37">
        <w:t xml:space="preserve"> {</w:t>
      </w:r>
    </w:p>
    <w:p w14:paraId="4BAED387" w14:textId="76B80B8C" w:rsidR="00394471" w:rsidRPr="00FA0D37" w:rsidRDefault="00394471" w:rsidP="00FA0D37">
      <w:pPr>
        <w:pStyle w:val="PL"/>
        <w:rPr>
          <w:color w:val="808080"/>
        </w:rPr>
      </w:pPr>
      <w:r w:rsidRPr="00FA0D37">
        <w:t xml:space="preserve">    rsrp-ThresholdBFR-r16               RSRP-Range                                                               </w:t>
      </w:r>
      <w:r w:rsidRPr="00FA0D37">
        <w:rPr>
          <w:color w:val="993366"/>
        </w:rPr>
        <w:t>OPTIONAL</w:t>
      </w:r>
      <w:r w:rsidRPr="00FA0D37">
        <w:t xml:space="preserve">, </w:t>
      </w:r>
      <w:r w:rsidRPr="00FA0D37">
        <w:rPr>
          <w:color w:val="808080"/>
        </w:rPr>
        <w:t>-- Need M</w:t>
      </w:r>
    </w:p>
    <w:p w14:paraId="0CF5D0A4" w14:textId="21BBF209" w:rsidR="00394471" w:rsidRPr="00FA0D37" w:rsidRDefault="00394471" w:rsidP="00FA0D37">
      <w:pPr>
        <w:pStyle w:val="PL"/>
        <w:rPr>
          <w:color w:val="808080"/>
        </w:rPr>
      </w:pPr>
      <w:r w:rsidRPr="00FA0D37">
        <w:t xml:space="preserve">    candidateBeamRS</w:t>
      </w:r>
      <w:r w:rsidR="00425CBF" w:rsidRPr="00FA0D37">
        <w:t>-</w:t>
      </w:r>
      <w:r w:rsidRPr="00FA0D37">
        <w:t xml:space="preserve">List-r16          </w:t>
      </w:r>
      <w:r w:rsidR="00A45783" w:rsidRPr="00FA0D37">
        <w:t xml:space="preserve"> </w:t>
      </w:r>
      <w:r w:rsidR="00425CBF" w:rsidRPr="00FA0D37">
        <w:t xml:space="preserve"> </w:t>
      </w:r>
      <w:r w:rsidRPr="00FA0D37">
        <w:rPr>
          <w:color w:val="993366"/>
        </w:rPr>
        <w:t>SEQUENCE</w:t>
      </w:r>
      <w:r w:rsidRPr="00FA0D37">
        <w:t xml:space="preserve"> (</w:t>
      </w:r>
      <w:r w:rsidRPr="00FA0D37">
        <w:rPr>
          <w:color w:val="993366"/>
        </w:rPr>
        <w:t>SIZE</w:t>
      </w:r>
      <w:r w:rsidRPr="00FA0D37">
        <w:t>(1..maxNrofCandidateBeams-r16))</w:t>
      </w:r>
      <w:r w:rsidRPr="00FA0D37">
        <w:rPr>
          <w:color w:val="993366"/>
        </w:rPr>
        <w:t xml:space="preserve"> OF</w:t>
      </w:r>
      <w:r w:rsidRPr="00FA0D37">
        <w:t xml:space="preserve"> CandidateBeamRS-r16     </w:t>
      </w:r>
      <w:r w:rsidRPr="00FA0D37">
        <w:rPr>
          <w:color w:val="993366"/>
        </w:rPr>
        <w:t>OPTIONAL</w:t>
      </w:r>
      <w:r w:rsidRPr="00FA0D37">
        <w:t xml:space="preserve">, </w:t>
      </w:r>
      <w:r w:rsidRPr="00FA0D37">
        <w:rPr>
          <w:color w:val="808080"/>
        </w:rPr>
        <w:t>-- Need M</w:t>
      </w:r>
    </w:p>
    <w:p w14:paraId="45C419D3" w14:textId="5DE85867" w:rsidR="00A45783" w:rsidRPr="00FA0D37" w:rsidRDefault="00394471" w:rsidP="00FA0D37">
      <w:pPr>
        <w:pStyle w:val="PL"/>
      </w:pPr>
      <w:r w:rsidRPr="00FA0D37">
        <w:t xml:space="preserve">    ...</w:t>
      </w:r>
      <w:r w:rsidR="00A45783" w:rsidRPr="00FA0D37">
        <w:t>,</w:t>
      </w:r>
    </w:p>
    <w:p w14:paraId="0F1F8D1F" w14:textId="77777777" w:rsidR="00A45783" w:rsidRPr="00FA0D37" w:rsidRDefault="00A45783" w:rsidP="00FA0D37">
      <w:pPr>
        <w:pStyle w:val="PL"/>
      </w:pPr>
      <w:r w:rsidRPr="00FA0D37">
        <w:t xml:space="preserve">    [[</w:t>
      </w:r>
    </w:p>
    <w:p w14:paraId="48758D17" w14:textId="61661A2A" w:rsidR="00A45783" w:rsidRPr="00FA0D37" w:rsidRDefault="00A45783" w:rsidP="00FA0D37">
      <w:pPr>
        <w:pStyle w:val="PL"/>
        <w:rPr>
          <w:color w:val="808080"/>
        </w:rPr>
      </w:pPr>
      <w:r w:rsidRPr="00FA0D37">
        <w:t xml:space="preserve">    candidateBeamRS</w:t>
      </w:r>
      <w:r w:rsidR="00425CBF" w:rsidRPr="00FA0D37">
        <w:t>-</w:t>
      </w:r>
      <w:r w:rsidRPr="00FA0D37">
        <w:t xml:space="preserve">List2-r17            </w:t>
      </w:r>
      <w:r w:rsidRPr="00FA0D37">
        <w:rPr>
          <w:color w:val="993366"/>
        </w:rPr>
        <w:t>SEQUENCE</w:t>
      </w:r>
      <w:r w:rsidRPr="00FA0D37">
        <w:t xml:space="preserve"> (</w:t>
      </w:r>
      <w:r w:rsidRPr="00FA0D37">
        <w:rPr>
          <w:color w:val="993366"/>
        </w:rPr>
        <w:t>SIZE</w:t>
      </w:r>
      <w:r w:rsidRPr="00FA0D37">
        <w:t>(1..maxNrofCandidateBeams-r16))</w:t>
      </w:r>
      <w:r w:rsidRPr="00FA0D37">
        <w:rPr>
          <w:color w:val="993366"/>
        </w:rPr>
        <w:t xml:space="preserve"> OF</w:t>
      </w:r>
      <w:r w:rsidRPr="00FA0D37">
        <w:t xml:space="preserve"> CandidateBeamRS-r16     </w:t>
      </w:r>
      <w:r w:rsidRPr="00FA0D37">
        <w:rPr>
          <w:color w:val="993366"/>
        </w:rPr>
        <w:t>OPTIONAL</w:t>
      </w:r>
      <w:r w:rsidRPr="00FA0D37">
        <w:t xml:space="preserve">  </w:t>
      </w:r>
      <w:r w:rsidRPr="00FA0D37">
        <w:rPr>
          <w:color w:val="808080"/>
        </w:rPr>
        <w:t>-- Need R</w:t>
      </w:r>
    </w:p>
    <w:p w14:paraId="6B571CAE" w14:textId="1C30AB1A" w:rsidR="00C148E4" w:rsidRPr="00FA0D37" w:rsidRDefault="00A45783" w:rsidP="00FA0D37">
      <w:pPr>
        <w:pStyle w:val="PL"/>
      </w:pPr>
      <w:r w:rsidRPr="00FA0D37">
        <w:t xml:space="preserve">    ]</w:t>
      </w:r>
      <w:r w:rsidR="005420CF" w:rsidRPr="00FA0D37">
        <w:t>]</w:t>
      </w:r>
    </w:p>
    <w:p w14:paraId="58497F08" w14:textId="07F42617" w:rsidR="00394471" w:rsidRPr="00FA0D37" w:rsidRDefault="00394471" w:rsidP="00FA0D37">
      <w:pPr>
        <w:pStyle w:val="PL"/>
      </w:pPr>
      <w:r w:rsidRPr="00FA0D37">
        <w:t>}</w:t>
      </w:r>
    </w:p>
    <w:p w14:paraId="169B3F2F" w14:textId="77777777" w:rsidR="00394471" w:rsidRPr="00FA0D37" w:rsidRDefault="00394471" w:rsidP="00FA0D37">
      <w:pPr>
        <w:pStyle w:val="PL"/>
      </w:pPr>
    </w:p>
    <w:p w14:paraId="21326E3E" w14:textId="42411145" w:rsidR="00394471" w:rsidRPr="00FA0D37" w:rsidRDefault="00394471" w:rsidP="00FA0D37">
      <w:pPr>
        <w:pStyle w:val="PL"/>
        <w:rPr>
          <w:color w:val="808080"/>
        </w:rPr>
      </w:pPr>
      <w:r w:rsidRPr="00FA0D37">
        <w:rPr>
          <w:color w:val="808080"/>
        </w:rPr>
        <w:t>-- TAG-BEAMFAILURERECOVERY</w:t>
      </w:r>
      <w:r w:rsidR="00A45783" w:rsidRPr="00FA0D37">
        <w:rPr>
          <w:color w:val="808080"/>
        </w:rPr>
        <w:t>R</w:t>
      </w:r>
      <w:r w:rsidRPr="00FA0D37">
        <w:rPr>
          <w:color w:val="808080"/>
        </w:rPr>
        <w:t>SCONFIG-STOP</w:t>
      </w:r>
    </w:p>
    <w:p w14:paraId="26BC0F6D" w14:textId="77777777" w:rsidR="00394471" w:rsidRPr="00FA0D37" w:rsidRDefault="00394471" w:rsidP="00FA0D37">
      <w:pPr>
        <w:pStyle w:val="PL"/>
        <w:rPr>
          <w:color w:val="808080"/>
        </w:rPr>
      </w:pPr>
      <w:r w:rsidRPr="00FA0D37">
        <w:rPr>
          <w:color w:val="808080"/>
        </w:rPr>
        <w:t>-- ASN1STOP</w:t>
      </w:r>
    </w:p>
    <w:p w14:paraId="17A88657" w14:textId="77777777" w:rsidR="00394471" w:rsidRPr="00FA0D37"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5C7FF4" w:rsidRPr="00FA0D37"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FA0D37" w:rsidRDefault="00394471" w:rsidP="00964CC4">
            <w:pPr>
              <w:pStyle w:val="TAH"/>
              <w:rPr>
                <w:szCs w:val="22"/>
                <w:lang w:eastAsia="sv-SE"/>
              </w:rPr>
            </w:pPr>
            <w:r w:rsidRPr="00FA0D37">
              <w:rPr>
                <w:i/>
                <w:szCs w:val="22"/>
                <w:lang w:eastAsia="sv-SE"/>
              </w:rPr>
              <w:lastRenderedPageBreak/>
              <w:t>BeamFailureRecovery</w:t>
            </w:r>
            <w:r w:rsidR="00A45783" w:rsidRPr="00FA0D37">
              <w:rPr>
                <w:i/>
                <w:szCs w:val="22"/>
                <w:lang w:eastAsia="sv-SE"/>
              </w:rPr>
              <w:t>R</w:t>
            </w:r>
            <w:r w:rsidRPr="00FA0D37">
              <w:rPr>
                <w:i/>
                <w:szCs w:val="22"/>
                <w:lang w:eastAsia="sv-SE"/>
              </w:rPr>
              <w:t xml:space="preserve">SConfig </w:t>
            </w:r>
            <w:r w:rsidRPr="00FA0D37">
              <w:rPr>
                <w:szCs w:val="22"/>
                <w:lang w:eastAsia="sv-SE"/>
              </w:rPr>
              <w:t>field descriptions</w:t>
            </w:r>
          </w:p>
        </w:tc>
      </w:tr>
      <w:tr w:rsidR="005C7FF4" w:rsidRPr="00FA0D37"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FA0D37" w:rsidRDefault="00394471" w:rsidP="00964CC4">
            <w:pPr>
              <w:pStyle w:val="TAL"/>
              <w:rPr>
                <w:szCs w:val="22"/>
                <w:lang w:eastAsia="sv-SE"/>
              </w:rPr>
            </w:pPr>
            <w:r w:rsidRPr="00FA0D37">
              <w:rPr>
                <w:b/>
                <w:i/>
                <w:szCs w:val="22"/>
                <w:lang w:eastAsia="sv-SE"/>
              </w:rPr>
              <w:t>candidateBeamRS</w:t>
            </w:r>
            <w:r w:rsidR="00425CBF" w:rsidRPr="00FA0D37">
              <w:rPr>
                <w:b/>
                <w:i/>
                <w:szCs w:val="22"/>
                <w:lang w:eastAsia="sv-SE"/>
              </w:rPr>
              <w:t>-</w:t>
            </w:r>
            <w:r w:rsidRPr="00FA0D37">
              <w:rPr>
                <w:b/>
                <w:i/>
                <w:szCs w:val="22"/>
                <w:lang w:eastAsia="sv-SE"/>
              </w:rPr>
              <w:t>List</w:t>
            </w:r>
          </w:p>
          <w:p w14:paraId="08EFC26F" w14:textId="77777777" w:rsidR="00394471" w:rsidRPr="00FA0D37" w:rsidRDefault="00394471" w:rsidP="00964CC4">
            <w:pPr>
              <w:pStyle w:val="TAL"/>
              <w:rPr>
                <w:szCs w:val="22"/>
                <w:lang w:eastAsia="sv-SE"/>
              </w:rPr>
            </w:pPr>
            <w:r w:rsidRPr="00FA0D37">
              <w:rPr>
                <w:szCs w:val="22"/>
                <w:lang w:eastAsia="sv-SE"/>
              </w:rPr>
              <w:t>A list of reference signals (CSI-RS and/or SSB) identifying the candidate beams for recovery. The network always configures this parameter in every instance of this IE.</w:t>
            </w:r>
          </w:p>
        </w:tc>
      </w:tr>
      <w:tr w:rsidR="005C7FF4" w:rsidRPr="00FA0D37"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FA0D37" w:rsidRDefault="00A45783" w:rsidP="00A45783">
            <w:pPr>
              <w:pStyle w:val="TAL"/>
              <w:rPr>
                <w:szCs w:val="22"/>
                <w:lang w:eastAsia="sv-SE"/>
              </w:rPr>
            </w:pPr>
            <w:r w:rsidRPr="00FA0D37">
              <w:rPr>
                <w:b/>
                <w:i/>
                <w:szCs w:val="22"/>
                <w:lang w:eastAsia="sv-SE"/>
              </w:rPr>
              <w:t>candidateBeamRS</w:t>
            </w:r>
            <w:r w:rsidR="00425CBF" w:rsidRPr="00FA0D37">
              <w:rPr>
                <w:b/>
                <w:i/>
                <w:szCs w:val="22"/>
                <w:lang w:eastAsia="sv-SE"/>
              </w:rPr>
              <w:t>-</w:t>
            </w:r>
            <w:r w:rsidRPr="00FA0D37">
              <w:rPr>
                <w:b/>
                <w:i/>
                <w:szCs w:val="22"/>
                <w:lang w:eastAsia="sv-SE"/>
              </w:rPr>
              <w:t>List2</w:t>
            </w:r>
          </w:p>
          <w:p w14:paraId="54083F26" w14:textId="3717F14F" w:rsidR="00A45783" w:rsidRPr="00FA0D37" w:rsidRDefault="00A45783" w:rsidP="00A45783">
            <w:pPr>
              <w:pStyle w:val="TAL"/>
              <w:rPr>
                <w:b/>
                <w:i/>
                <w:szCs w:val="22"/>
                <w:lang w:eastAsia="sv-SE"/>
              </w:rPr>
            </w:pPr>
            <w:r w:rsidRPr="00FA0D37">
              <w:rPr>
                <w:szCs w:val="22"/>
                <w:lang w:eastAsia="sv-SE"/>
              </w:rPr>
              <w:t>A list of reference signals (CSI-RS and/or SSB) identifying the candidate beams for recovery.</w:t>
            </w:r>
          </w:p>
        </w:tc>
      </w:tr>
      <w:tr w:rsidR="000830BB" w:rsidRPr="00FA0D37"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FA0D37" w:rsidRDefault="00394471" w:rsidP="00964CC4">
            <w:pPr>
              <w:pStyle w:val="TAL"/>
              <w:rPr>
                <w:b/>
                <w:bCs/>
                <w:i/>
                <w:szCs w:val="22"/>
                <w:lang w:eastAsia="sv-SE"/>
              </w:rPr>
            </w:pPr>
            <w:r w:rsidRPr="00FA0D37">
              <w:rPr>
                <w:b/>
                <w:bCs/>
                <w:i/>
                <w:szCs w:val="22"/>
                <w:lang w:eastAsia="sv-SE"/>
              </w:rPr>
              <w:t>rsrp-ThresholdBFR</w:t>
            </w:r>
          </w:p>
          <w:p w14:paraId="3946D98C" w14:textId="672DF4F6" w:rsidR="00394471" w:rsidRPr="00FA0D37" w:rsidRDefault="00394471" w:rsidP="00964CC4">
            <w:pPr>
              <w:pStyle w:val="TAL"/>
              <w:rPr>
                <w:szCs w:val="22"/>
                <w:lang w:eastAsia="sv-SE"/>
              </w:rPr>
            </w:pPr>
            <w:r w:rsidRPr="00FA0D37">
              <w:rPr>
                <w:szCs w:val="22"/>
                <w:lang w:eastAsia="sv-SE"/>
              </w:rPr>
              <w:t xml:space="preserve">L1-RSRP threshold used for determining whether a candidate beam may be included by the UE in MAC CE </w:t>
            </w:r>
            <w:r w:rsidR="00582365" w:rsidRPr="00FA0D37">
              <w:rPr>
                <w:rFonts w:eastAsiaTheme="minorEastAsia"/>
                <w:szCs w:val="22"/>
                <w:lang w:eastAsia="zh-CN"/>
              </w:rPr>
              <w:t>for BFR</w:t>
            </w:r>
            <w:r w:rsidR="00582365" w:rsidRPr="00FA0D37">
              <w:rPr>
                <w:szCs w:val="22"/>
                <w:lang w:eastAsia="sv-SE"/>
              </w:rPr>
              <w:t xml:space="preserve"> </w:t>
            </w:r>
            <w:r w:rsidRPr="00FA0D37">
              <w:rPr>
                <w:szCs w:val="22"/>
                <w:lang w:eastAsia="sv-SE"/>
              </w:rPr>
              <w:t xml:space="preserve">(see </w:t>
            </w:r>
            <w:r w:rsidR="00582365" w:rsidRPr="00FA0D37">
              <w:rPr>
                <w:szCs w:val="22"/>
                <w:lang w:eastAsia="sv-SE"/>
              </w:rPr>
              <w:t xml:space="preserve">TS 38.321 [3] and </w:t>
            </w:r>
            <w:r w:rsidRPr="00FA0D37">
              <w:rPr>
                <w:szCs w:val="22"/>
                <w:lang w:eastAsia="sv-SE"/>
              </w:rPr>
              <w:t xml:space="preserve">TS 38.213 [13], clause </w:t>
            </w:r>
            <w:r w:rsidR="00835C66" w:rsidRPr="00FA0D37">
              <w:rPr>
                <w:szCs w:val="22"/>
                <w:lang w:eastAsia="sv-SE"/>
              </w:rPr>
              <w:t>6</w:t>
            </w:r>
            <w:r w:rsidRPr="00FA0D37">
              <w:rPr>
                <w:szCs w:val="22"/>
                <w:lang w:eastAsia="sv-SE"/>
              </w:rPr>
              <w:t>).</w:t>
            </w:r>
            <w:r w:rsidRPr="00FA0D37">
              <w:rPr>
                <w:rFonts w:ascii="Times New Roman" w:hAnsi="Times New Roman"/>
                <w:lang w:eastAsia="sv-SE"/>
              </w:rPr>
              <w:t xml:space="preserve"> </w:t>
            </w:r>
            <w:r w:rsidRPr="00FA0D37">
              <w:rPr>
                <w:szCs w:val="22"/>
                <w:lang w:eastAsia="sv-SE"/>
              </w:rPr>
              <w:t>The network always configures this parameter in every instance of this IE.</w:t>
            </w:r>
          </w:p>
        </w:tc>
      </w:tr>
    </w:tbl>
    <w:p w14:paraId="098D072D" w14:textId="2FCAEB2F" w:rsidR="00394471" w:rsidRPr="00FA0D37" w:rsidRDefault="00394471" w:rsidP="00394471"/>
    <w:p w14:paraId="025905BE" w14:textId="77777777" w:rsidR="00394471" w:rsidRPr="00FA0D37" w:rsidRDefault="00394471" w:rsidP="00394471">
      <w:pPr>
        <w:pStyle w:val="4"/>
      </w:pPr>
      <w:bookmarkStart w:id="887" w:name="_Toc60777170"/>
      <w:bookmarkStart w:id="888" w:name="_Toc146781214"/>
      <w:r w:rsidRPr="00FA0D37">
        <w:t>–</w:t>
      </w:r>
      <w:r w:rsidRPr="00FA0D37">
        <w:tab/>
      </w:r>
      <w:r w:rsidRPr="00FA0D37">
        <w:rPr>
          <w:i/>
        </w:rPr>
        <w:t>BetaOffsets</w:t>
      </w:r>
      <w:bookmarkEnd w:id="887"/>
      <w:bookmarkEnd w:id="888"/>
    </w:p>
    <w:p w14:paraId="2C3E0CF0" w14:textId="77777777" w:rsidR="00394471" w:rsidRPr="00FA0D37" w:rsidRDefault="00394471" w:rsidP="00394471">
      <w:r w:rsidRPr="00FA0D37">
        <w:t xml:space="preserve">The IE </w:t>
      </w:r>
      <w:r w:rsidRPr="00FA0D37">
        <w:rPr>
          <w:i/>
        </w:rPr>
        <w:t>BetaOffsets</w:t>
      </w:r>
      <w:r w:rsidRPr="00FA0D37">
        <w:t xml:space="preserve"> is used to configure beta-offset values, see </w:t>
      </w:r>
      <w:r w:rsidRPr="00FA0D37">
        <w:rPr>
          <w:szCs w:val="22"/>
        </w:rPr>
        <w:t>TS 38.213 [13], clause 9.3</w:t>
      </w:r>
      <w:r w:rsidRPr="00FA0D37">
        <w:t>.</w:t>
      </w:r>
    </w:p>
    <w:p w14:paraId="63830E88" w14:textId="77777777" w:rsidR="00394471" w:rsidRPr="00FA0D37" w:rsidRDefault="00394471" w:rsidP="00394471">
      <w:pPr>
        <w:pStyle w:val="TH"/>
      </w:pPr>
      <w:r w:rsidRPr="00FA0D37">
        <w:rPr>
          <w:i/>
        </w:rPr>
        <w:t>BetaOffsets</w:t>
      </w:r>
      <w:r w:rsidRPr="00FA0D37">
        <w:t xml:space="preserve"> information element</w:t>
      </w:r>
    </w:p>
    <w:p w14:paraId="35D162DB" w14:textId="77777777" w:rsidR="00394471" w:rsidRPr="00FA0D37" w:rsidRDefault="00394471" w:rsidP="00FA0D37">
      <w:pPr>
        <w:pStyle w:val="PL"/>
        <w:rPr>
          <w:color w:val="808080"/>
        </w:rPr>
      </w:pPr>
      <w:r w:rsidRPr="00FA0D37">
        <w:rPr>
          <w:color w:val="808080"/>
        </w:rPr>
        <w:t>-- ASN1START</w:t>
      </w:r>
    </w:p>
    <w:p w14:paraId="3CCA312B" w14:textId="77777777" w:rsidR="00394471" w:rsidRPr="00FA0D37" w:rsidRDefault="00394471" w:rsidP="00FA0D37">
      <w:pPr>
        <w:pStyle w:val="PL"/>
        <w:rPr>
          <w:color w:val="808080"/>
        </w:rPr>
      </w:pPr>
      <w:r w:rsidRPr="00FA0D37">
        <w:rPr>
          <w:color w:val="808080"/>
        </w:rPr>
        <w:t>-- TAG-BETAOFFSETS-START</w:t>
      </w:r>
    </w:p>
    <w:p w14:paraId="33CD0EA5" w14:textId="77777777" w:rsidR="00394471" w:rsidRPr="00FA0D37" w:rsidRDefault="00394471" w:rsidP="00FA0D37">
      <w:pPr>
        <w:pStyle w:val="PL"/>
      </w:pPr>
    </w:p>
    <w:p w14:paraId="5CB7A97B" w14:textId="77777777" w:rsidR="00394471" w:rsidRPr="00FA0D37" w:rsidRDefault="00394471" w:rsidP="00FA0D37">
      <w:pPr>
        <w:pStyle w:val="PL"/>
      </w:pPr>
      <w:r w:rsidRPr="00FA0D37">
        <w:t xml:space="preserve">BetaOffsets ::=                     </w:t>
      </w:r>
      <w:r w:rsidRPr="00FA0D37">
        <w:rPr>
          <w:color w:val="993366"/>
        </w:rPr>
        <w:t>SEQUENCE</w:t>
      </w:r>
      <w:r w:rsidRPr="00FA0D37">
        <w:t xml:space="preserve"> {</w:t>
      </w:r>
    </w:p>
    <w:p w14:paraId="0CEDAFD9" w14:textId="77777777" w:rsidR="00394471" w:rsidRPr="00FA0D37" w:rsidRDefault="00394471" w:rsidP="00FA0D37">
      <w:pPr>
        <w:pStyle w:val="PL"/>
        <w:rPr>
          <w:color w:val="808080"/>
        </w:rPr>
      </w:pPr>
      <w:r w:rsidRPr="00FA0D37">
        <w:t xml:space="preserve">    betaOffsetACK-Index1                </w:t>
      </w:r>
      <w:r w:rsidRPr="00FA0D37">
        <w:rPr>
          <w:color w:val="993366"/>
        </w:rPr>
        <w:t>INTEGER</w:t>
      </w:r>
      <w:r w:rsidRPr="00FA0D37">
        <w:t xml:space="preserve">(0..31)                                                          </w:t>
      </w:r>
      <w:r w:rsidRPr="00FA0D37">
        <w:rPr>
          <w:color w:val="993366"/>
        </w:rPr>
        <w:t>OPTIONAL</w:t>
      </w:r>
      <w:r w:rsidRPr="00FA0D37">
        <w:t xml:space="preserve">, </w:t>
      </w:r>
      <w:r w:rsidRPr="00FA0D37">
        <w:rPr>
          <w:color w:val="808080"/>
        </w:rPr>
        <w:t>-- Need S</w:t>
      </w:r>
    </w:p>
    <w:p w14:paraId="157FDB58" w14:textId="77777777" w:rsidR="00394471" w:rsidRPr="00FA0D37" w:rsidRDefault="00394471" w:rsidP="00FA0D37">
      <w:pPr>
        <w:pStyle w:val="PL"/>
        <w:rPr>
          <w:color w:val="808080"/>
        </w:rPr>
      </w:pPr>
      <w:r w:rsidRPr="00FA0D37">
        <w:t xml:space="preserve">    betaOffsetACK-Index2                </w:t>
      </w:r>
      <w:r w:rsidRPr="00FA0D37">
        <w:rPr>
          <w:color w:val="993366"/>
        </w:rPr>
        <w:t>INTEGER</w:t>
      </w:r>
      <w:r w:rsidRPr="00FA0D37">
        <w:t xml:space="preserve">(0..31)                                                          </w:t>
      </w:r>
      <w:r w:rsidRPr="00FA0D37">
        <w:rPr>
          <w:color w:val="993366"/>
        </w:rPr>
        <w:t>OPTIONAL</w:t>
      </w:r>
      <w:r w:rsidRPr="00FA0D37">
        <w:t xml:space="preserve">, </w:t>
      </w:r>
      <w:r w:rsidRPr="00FA0D37">
        <w:rPr>
          <w:color w:val="808080"/>
        </w:rPr>
        <w:t>-- Need S</w:t>
      </w:r>
    </w:p>
    <w:p w14:paraId="650E8BB2" w14:textId="77777777" w:rsidR="00394471" w:rsidRPr="00FA0D37" w:rsidRDefault="00394471" w:rsidP="00FA0D37">
      <w:pPr>
        <w:pStyle w:val="PL"/>
        <w:rPr>
          <w:color w:val="808080"/>
        </w:rPr>
      </w:pPr>
      <w:r w:rsidRPr="00FA0D37">
        <w:t xml:space="preserve">    betaOffsetACK-Index3                </w:t>
      </w:r>
      <w:r w:rsidRPr="00FA0D37">
        <w:rPr>
          <w:color w:val="993366"/>
        </w:rPr>
        <w:t>INTEGER</w:t>
      </w:r>
      <w:r w:rsidRPr="00FA0D37">
        <w:t xml:space="preserve">(0..31)                                                          </w:t>
      </w:r>
      <w:r w:rsidRPr="00FA0D37">
        <w:rPr>
          <w:color w:val="993366"/>
        </w:rPr>
        <w:t>OPTIONAL</w:t>
      </w:r>
      <w:r w:rsidRPr="00FA0D37">
        <w:t xml:space="preserve">, </w:t>
      </w:r>
      <w:r w:rsidRPr="00FA0D37">
        <w:rPr>
          <w:color w:val="808080"/>
        </w:rPr>
        <w:t>-- Need S</w:t>
      </w:r>
    </w:p>
    <w:p w14:paraId="7A120580" w14:textId="77777777" w:rsidR="00394471" w:rsidRPr="00FA0D37" w:rsidRDefault="00394471" w:rsidP="00FA0D37">
      <w:pPr>
        <w:pStyle w:val="PL"/>
        <w:rPr>
          <w:color w:val="808080"/>
        </w:rPr>
      </w:pPr>
      <w:r w:rsidRPr="00FA0D37">
        <w:t xml:space="preserve">    betaOffsetCSI-Part1-Index1          </w:t>
      </w:r>
      <w:r w:rsidRPr="00FA0D37">
        <w:rPr>
          <w:color w:val="993366"/>
        </w:rPr>
        <w:t>INTEGER</w:t>
      </w:r>
      <w:r w:rsidRPr="00FA0D37">
        <w:t xml:space="preserve">(0..31)                                                          </w:t>
      </w:r>
      <w:r w:rsidRPr="00FA0D37">
        <w:rPr>
          <w:color w:val="993366"/>
        </w:rPr>
        <w:t>OPTIONAL</w:t>
      </w:r>
      <w:r w:rsidRPr="00FA0D37">
        <w:t xml:space="preserve">, </w:t>
      </w:r>
      <w:r w:rsidRPr="00FA0D37">
        <w:rPr>
          <w:color w:val="808080"/>
        </w:rPr>
        <w:t>-- Need S</w:t>
      </w:r>
    </w:p>
    <w:p w14:paraId="2069F78A" w14:textId="77777777" w:rsidR="00394471" w:rsidRPr="00FA0D37" w:rsidRDefault="00394471" w:rsidP="00FA0D37">
      <w:pPr>
        <w:pStyle w:val="PL"/>
        <w:rPr>
          <w:color w:val="808080"/>
        </w:rPr>
      </w:pPr>
      <w:r w:rsidRPr="00FA0D37">
        <w:t xml:space="preserve">    betaOffsetCSI-Part1-Index2          </w:t>
      </w:r>
      <w:r w:rsidRPr="00FA0D37">
        <w:rPr>
          <w:color w:val="993366"/>
        </w:rPr>
        <w:t>INTEGER</w:t>
      </w:r>
      <w:r w:rsidRPr="00FA0D37">
        <w:t xml:space="preserve">(0..31)                                                          </w:t>
      </w:r>
      <w:r w:rsidRPr="00FA0D37">
        <w:rPr>
          <w:color w:val="993366"/>
        </w:rPr>
        <w:t>OPTIONAL</w:t>
      </w:r>
      <w:r w:rsidRPr="00FA0D37">
        <w:t xml:space="preserve">, </w:t>
      </w:r>
      <w:r w:rsidRPr="00FA0D37">
        <w:rPr>
          <w:color w:val="808080"/>
        </w:rPr>
        <w:t>-- Need S</w:t>
      </w:r>
    </w:p>
    <w:p w14:paraId="1C4A1C50" w14:textId="77777777" w:rsidR="00394471" w:rsidRPr="00FA0D37" w:rsidRDefault="00394471" w:rsidP="00FA0D37">
      <w:pPr>
        <w:pStyle w:val="PL"/>
        <w:rPr>
          <w:color w:val="808080"/>
        </w:rPr>
      </w:pPr>
      <w:r w:rsidRPr="00FA0D37">
        <w:t xml:space="preserve">    betaOffsetCSI-Part2-Index1          </w:t>
      </w:r>
      <w:r w:rsidRPr="00FA0D37">
        <w:rPr>
          <w:color w:val="993366"/>
        </w:rPr>
        <w:t>INTEGER</w:t>
      </w:r>
      <w:r w:rsidRPr="00FA0D37">
        <w:t xml:space="preserve">(0..31)                                                          </w:t>
      </w:r>
      <w:r w:rsidRPr="00FA0D37">
        <w:rPr>
          <w:color w:val="993366"/>
        </w:rPr>
        <w:t>OPTIONAL</w:t>
      </w:r>
      <w:r w:rsidRPr="00FA0D37">
        <w:t xml:space="preserve">, </w:t>
      </w:r>
      <w:r w:rsidRPr="00FA0D37">
        <w:rPr>
          <w:color w:val="808080"/>
        </w:rPr>
        <w:t>-- Need S</w:t>
      </w:r>
    </w:p>
    <w:p w14:paraId="622CDEDC" w14:textId="77777777" w:rsidR="00394471" w:rsidRPr="00FA0D37" w:rsidRDefault="00394471" w:rsidP="00FA0D37">
      <w:pPr>
        <w:pStyle w:val="PL"/>
        <w:rPr>
          <w:color w:val="808080"/>
        </w:rPr>
      </w:pPr>
      <w:r w:rsidRPr="00FA0D37">
        <w:t xml:space="preserve">    betaOffsetCSI-Part2-Index2          </w:t>
      </w:r>
      <w:r w:rsidRPr="00FA0D37">
        <w:rPr>
          <w:color w:val="993366"/>
        </w:rPr>
        <w:t>INTEGER</w:t>
      </w:r>
      <w:r w:rsidRPr="00FA0D37">
        <w:t xml:space="preserve">(0..31)                                                          </w:t>
      </w:r>
      <w:r w:rsidRPr="00FA0D37">
        <w:rPr>
          <w:color w:val="993366"/>
        </w:rPr>
        <w:t>OPTIONAL</w:t>
      </w:r>
      <w:r w:rsidRPr="00FA0D37">
        <w:t xml:space="preserve">  </w:t>
      </w:r>
      <w:r w:rsidRPr="00FA0D37">
        <w:rPr>
          <w:color w:val="808080"/>
        </w:rPr>
        <w:t>-- Need S</w:t>
      </w:r>
    </w:p>
    <w:p w14:paraId="6E6E87CB" w14:textId="77777777" w:rsidR="00394471" w:rsidRPr="00FA0D37" w:rsidRDefault="00394471" w:rsidP="00FA0D37">
      <w:pPr>
        <w:pStyle w:val="PL"/>
      </w:pPr>
      <w:r w:rsidRPr="00FA0D37">
        <w:t>}</w:t>
      </w:r>
    </w:p>
    <w:p w14:paraId="215C69D7" w14:textId="77777777" w:rsidR="00394471" w:rsidRPr="00FA0D37" w:rsidRDefault="00394471" w:rsidP="00FA0D37">
      <w:pPr>
        <w:pStyle w:val="PL"/>
      </w:pPr>
    </w:p>
    <w:p w14:paraId="71551094" w14:textId="77777777" w:rsidR="00394471" w:rsidRPr="00FA0D37" w:rsidRDefault="00394471" w:rsidP="00FA0D37">
      <w:pPr>
        <w:pStyle w:val="PL"/>
        <w:rPr>
          <w:color w:val="808080"/>
        </w:rPr>
      </w:pPr>
      <w:r w:rsidRPr="00FA0D37">
        <w:rPr>
          <w:color w:val="808080"/>
        </w:rPr>
        <w:t>-- TAG-BETAOFFSETS-STOP</w:t>
      </w:r>
    </w:p>
    <w:p w14:paraId="6769F5CC" w14:textId="77777777" w:rsidR="00394471" w:rsidRPr="00FA0D37" w:rsidRDefault="00394471" w:rsidP="00FA0D37">
      <w:pPr>
        <w:pStyle w:val="PL"/>
        <w:rPr>
          <w:color w:val="808080"/>
        </w:rPr>
      </w:pPr>
      <w:r w:rsidRPr="00FA0D37">
        <w:rPr>
          <w:color w:val="808080"/>
        </w:rPr>
        <w:t>-- ASN1STOP</w:t>
      </w:r>
    </w:p>
    <w:p w14:paraId="6707930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FA0D37" w:rsidRDefault="00394471" w:rsidP="00964CC4">
            <w:pPr>
              <w:pStyle w:val="TAH"/>
              <w:rPr>
                <w:szCs w:val="22"/>
                <w:lang w:eastAsia="sv-SE"/>
              </w:rPr>
            </w:pPr>
            <w:r w:rsidRPr="00FA0D37">
              <w:rPr>
                <w:i/>
                <w:szCs w:val="22"/>
                <w:lang w:eastAsia="sv-SE"/>
              </w:rPr>
              <w:lastRenderedPageBreak/>
              <w:t xml:space="preserve">BetaOffsets </w:t>
            </w:r>
            <w:r w:rsidRPr="00FA0D37">
              <w:rPr>
                <w:szCs w:val="22"/>
                <w:lang w:eastAsia="sv-SE"/>
              </w:rPr>
              <w:t>field descriptions</w:t>
            </w:r>
          </w:p>
        </w:tc>
      </w:tr>
      <w:tr w:rsidR="005C7FF4" w:rsidRPr="00FA0D37"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FA0D37" w:rsidRDefault="00394471" w:rsidP="00964CC4">
            <w:pPr>
              <w:pStyle w:val="TAL"/>
              <w:rPr>
                <w:szCs w:val="22"/>
                <w:lang w:eastAsia="sv-SE"/>
              </w:rPr>
            </w:pPr>
            <w:r w:rsidRPr="00FA0D37">
              <w:rPr>
                <w:b/>
                <w:i/>
                <w:szCs w:val="22"/>
                <w:lang w:eastAsia="sv-SE"/>
              </w:rPr>
              <w:t>betaOffsetACK-Index1</w:t>
            </w:r>
          </w:p>
          <w:p w14:paraId="41456589" w14:textId="77777777" w:rsidR="00394471" w:rsidRPr="00FA0D37" w:rsidRDefault="00394471" w:rsidP="00964CC4">
            <w:pPr>
              <w:pStyle w:val="TAL"/>
              <w:rPr>
                <w:szCs w:val="22"/>
                <w:lang w:eastAsia="sv-SE"/>
              </w:rPr>
            </w:pPr>
            <w:r w:rsidRPr="00FA0D37">
              <w:rPr>
                <w:szCs w:val="22"/>
                <w:lang w:eastAsia="sv-SE"/>
              </w:rPr>
              <w:t>Up to 2 bits HARQ-ACK (see TS 38.213 [13], clause 9.3). When the field is absent the UE applies the value 11.</w:t>
            </w:r>
          </w:p>
        </w:tc>
      </w:tr>
      <w:tr w:rsidR="005C7FF4" w:rsidRPr="00FA0D37"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FA0D37" w:rsidRDefault="00394471" w:rsidP="00964CC4">
            <w:pPr>
              <w:pStyle w:val="TAL"/>
              <w:rPr>
                <w:szCs w:val="22"/>
                <w:lang w:eastAsia="sv-SE"/>
              </w:rPr>
            </w:pPr>
            <w:r w:rsidRPr="00FA0D37">
              <w:rPr>
                <w:b/>
                <w:i/>
                <w:szCs w:val="22"/>
                <w:lang w:eastAsia="sv-SE"/>
              </w:rPr>
              <w:t>betaOffsetACK-Index2</w:t>
            </w:r>
          </w:p>
          <w:p w14:paraId="6FC63F46" w14:textId="77777777" w:rsidR="00394471" w:rsidRPr="00FA0D37" w:rsidRDefault="00394471" w:rsidP="00964CC4">
            <w:pPr>
              <w:pStyle w:val="TAL"/>
              <w:rPr>
                <w:szCs w:val="22"/>
                <w:lang w:eastAsia="sv-SE"/>
              </w:rPr>
            </w:pPr>
            <w:r w:rsidRPr="00FA0D37">
              <w:rPr>
                <w:szCs w:val="22"/>
                <w:lang w:eastAsia="sv-SE"/>
              </w:rPr>
              <w:t>Up to 11 bits HARQ-ACK (see TS 38.213 [13], clause 9.3). When the field is absent the UE applies the value 11.</w:t>
            </w:r>
          </w:p>
        </w:tc>
      </w:tr>
      <w:tr w:rsidR="005C7FF4" w:rsidRPr="00FA0D37"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FA0D37" w:rsidRDefault="00394471" w:rsidP="00964CC4">
            <w:pPr>
              <w:pStyle w:val="TAL"/>
              <w:rPr>
                <w:szCs w:val="22"/>
                <w:lang w:eastAsia="sv-SE"/>
              </w:rPr>
            </w:pPr>
            <w:r w:rsidRPr="00FA0D37">
              <w:rPr>
                <w:b/>
                <w:i/>
                <w:szCs w:val="22"/>
                <w:lang w:eastAsia="sv-SE"/>
              </w:rPr>
              <w:t>betaOffsetACK-Index3</w:t>
            </w:r>
          </w:p>
          <w:p w14:paraId="5A49227E" w14:textId="77777777" w:rsidR="00394471" w:rsidRPr="00FA0D37" w:rsidRDefault="00394471" w:rsidP="00964CC4">
            <w:pPr>
              <w:pStyle w:val="TAL"/>
              <w:rPr>
                <w:szCs w:val="22"/>
                <w:lang w:eastAsia="sv-SE"/>
              </w:rPr>
            </w:pPr>
            <w:r w:rsidRPr="00FA0D37">
              <w:rPr>
                <w:szCs w:val="22"/>
                <w:lang w:eastAsia="sv-SE"/>
              </w:rPr>
              <w:t>Above 11 bits HARQ-ACK (see TS 38.213 [13], clause 9.3). When the field is absent the UE applies the value 11.</w:t>
            </w:r>
          </w:p>
        </w:tc>
      </w:tr>
      <w:tr w:rsidR="005C7FF4" w:rsidRPr="00FA0D37"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FA0D37" w:rsidRDefault="00394471" w:rsidP="00964CC4">
            <w:pPr>
              <w:pStyle w:val="TAL"/>
              <w:rPr>
                <w:szCs w:val="22"/>
                <w:lang w:eastAsia="sv-SE"/>
              </w:rPr>
            </w:pPr>
            <w:r w:rsidRPr="00FA0D37">
              <w:rPr>
                <w:b/>
                <w:i/>
                <w:szCs w:val="22"/>
                <w:lang w:eastAsia="sv-SE"/>
              </w:rPr>
              <w:t>betaOffsetCSI-Part1-Index1</w:t>
            </w:r>
          </w:p>
          <w:p w14:paraId="4C8E17F0" w14:textId="77777777" w:rsidR="00394471" w:rsidRPr="00FA0D37" w:rsidRDefault="00394471" w:rsidP="00964CC4">
            <w:pPr>
              <w:pStyle w:val="TAL"/>
              <w:rPr>
                <w:szCs w:val="22"/>
                <w:lang w:eastAsia="sv-SE"/>
              </w:rPr>
            </w:pPr>
            <w:r w:rsidRPr="00FA0D37">
              <w:rPr>
                <w:szCs w:val="22"/>
                <w:lang w:eastAsia="sv-SE"/>
              </w:rPr>
              <w:t>Up to 11 bits of CSI part 1 bits (see TS 38.213 [13], clause 9.3). When the field is absent the UE applies the value 13.</w:t>
            </w:r>
          </w:p>
        </w:tc>
      </w:tr>
      <w:tr w:rsidR="005C7FF4" w:rsidRPr="00FA0D37"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FA0D37" w:rsidRDefault="00394471" w:rsidP="00964CC4">
            <w:pPr>
              <w:pStyle w:val="TAL"/>
              <w:rPr>
                <w:szCs w:val="22"/>
                <w:lang w:eastAsia="sv-SE"/>
              </w:rPr>
            </w:pPr>
            <w:r w:rsidRPr="00FA0D37">
              <w:rPr>
                <w:b/>
                <w:i/>
                <w:szCs w:val="22"/>
                <w:lang w:eastAsia="sv-SE"/>
              </w:rPr>
              <w:t>betaOffsetCSI-Part1-Index2</w:t>
            </w:r>
          </w:p>
          <w:p w14:paraId="28758F22" w14:textId="77777777" w:rsidR="00394471" w:rsidRPr="00FA0D37" w:rsidRDefault="00394471" w:rsidP="00964CC4">
            <w:pPr>
              <w:pStyle w:val="TAL"/>
              <w:rPr>
                <w:szCs w:val="22"/>
                <w:lang w:eastAsia="sv-SE"/>
              </w:rPr>
            </w:pPr>
            <w:r w:rsidRPr="00FA0D37">
              <w:rPr>
                <w:szCs w:val="22"/>
                <w:lang w:eastAsia="sv-SE"/>
              </w:rPr>
              <w:t>Above 11 bits of CSI part 1 bits (see TS 38.213 [13], clause 9.3). When the field is absent the UE applies the value 13.</w:t>
            </w:r>
          </w:p>
        </w:tc>
      </w:tr>
      <w:tr w:rsidR="005C7FF4" w:rsidRPr="00FA0D37"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FA0D37" w:rsidRDefault="00394471" w:rsidP="00964CC4">
            <w:pPr>
              <w:pStyle w:val="TAL"/>
              <w:rPr>
                <w:szCs w:val="22"/>
                <w:lang w:eastAsia="sv-SE"/>
              </w:rPr>
            </w:pPr>
            <w:r w:rsidRPr="00FA0D37">
              <w:rPr>
                <w:b/>
                <w:i/>
                <w:szCs w:val="22"/>
                <w:lang w:eastAsia="sv-SE"/>
              </w:rPr>
              <w:t>betaOffsetCSI-Part2-Index1</w:t>
            </w:r>
          </w:p>
          <w:p w14:paraId="3AB09177" w14:textId="77777777" w:rsidR="00394471" w:rsidRPr="00FA0D37" w:rsidRDefault="00394471" w:rsidP="00964CC4">
            <w:pPr>
              <w:pStyle w:val="TAL"/>
              <w:rPr>
                <w:szCs w:val="22"/>
                <w:lang w:eastAsia="sv-SE"/>
              </w:rPr>
            </w:pPr>
            <w:r w:rsidRPr="00FA0D37">
              <w:rPr>
                <w:szCs w:val="22"/>
                <w:lang w:eastAsia="sv-SE"/>
              </w:rPr>
              <w:t>Up to 11 bits of CSI part 2 bits (see TS 38.213 [13], clause 9.3). When the field is absent the UE applies the value 13.</w:t>
            </w:r>
          </w:p>
        </w:tc>
      </w:tr>
      <w:tr w:rsidR="000830BB" w:rsidRPr="00FA0D37"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FA0D37" w:rsidRDefault="00394471" w:rsidP="00964CC4">
            <w:pPr>
              <w:pStyle w:val="TAL"/>
              <w:rPr>
                <w:szCs w:val="22"/>
                <w:lang w:eastAsia="sv-SE"/>
              </w:rPr>
            </w:pPr>
            <w:r w:rsidRPr="00FA0D37">
              <w:rPr>
                <w:b/>
                <w:i/>
                <w:szCs w:val="22"/>
                <w:lang w:eastAsia="sv-SE"/>
              </w:rPr>
              <w:t>betaOffsetCSI-Part2-Index2</w:t>
            </w:r>
          </w:p>
          <w:p w14:paraId="624E0895" w14:textId="77777777" w:rsidR="00394471" w:rsidRPr="00FA0D37" w:rsidRDefault="00394471" w:rsidP="00964CC4">
            <w:pPr>
              <w:pStyle w:val="TAL"/>
              <w:rPr>
                <w:szCs w:val="22"/>
                <w:lang w:eastAsia="sv-SE"/>
              </w:rPr>
            </w:pPr>
            <w:r w:rsidRPr="00FA0D37">
              <w:rPr>
                <w:szCs w:val="22"/>
                <w:lang w:eastAsia="sv-SE"/>
              </w:rPr>
              <w:t>Above 11 bits of CSI part 2 bits (see TS 38.213 [13], clause 9.3). When the field is absent the UE applies the value 13.</w:t>
            </w:r>
          </w:p>
        </w:tc>
      </w:tr>
    </w:tbl>
    <w:p w14:paraId="73F8CF92" w14:textId="1C7A8C8F" w:rsidR="00394471" w:rsidRPr="00FA0D37" w:rsidRDefault="00394471" w:rsidP="00394471"/>
    <w:p w14:paraId="067C826E" w14:textId="77777777" w:rsidR="009322A6" w:rsidRPr="00FA0D37" w:rsidRDefault="009322A6" w:rsidP="009322A6">
      <w:pPr>
        <w:pStyle w:val="4"/>
      </w:pPr>
      <w:bookmarkStart w:id="889" w:name="_Toc146781215"/>
      <w:r w:rsidRPr="00FA0D37">
        <w:t>–</w:t>
      </w:r>
      <w:r w:rsidRPr="00FA0D37">
        <w:tab/>
      </w:r>
      <w:r w:rsidRPr="00FA0D37">
        <w:rPr>
          <w:i/>
        </w:rPr>
        <w:t>BetaOffsetsCrossPri</w:t>
      </w:r>
      <w:bookmarkEnd w:id="889"/>
    </w:p>
    <w:p w14:paraId="71A47293" w14:textId="77777777" w:rsidR="009322A6" w:rsidRPr="00FA0D37" w:rsidRDefault="009322A6" w:rsidP="009322A6">
      <w:r w:rsidRPr="00FA0D37">
        <w:t xml:space="preserve">The IE </w:t>
      </w:r>
      <w:r w:rsidRPr="00FA0D37">
        <w:rPr>
          <w:i/>
        </w:rPr>
        <w:t>BetaOffsetsCrossPri</w:t>
      </w:r>
      <w:r w:rsidRPr="00FA0D37">
        <w:t xml:space="preserve"> is used to configure beta-offset values for cross-priority HARQ-ACK multiplexing on PUSCH.</w:t>
      </w:r>
    </w:p>
    <w:p w14:paraId="4CCC6F95" w14:textId="77777777" w:rsidR="009322A6" w:rsidRPr="00FA0D37" w:rsidRDefault="009322A6" w:rsidP="009322A6">
      <w:pPr>
        <w:pStyle w:val="TH"/>
      </w:pPr>
      <w:r w:rsidRPr="00FA0D37">
        <w:rPr>
          <w:i/>
        </w:rPr>
        <w:t>BetaOffsetsCrossPri</w:t>
      </w:r>
      <w:r w:rsidRPr="00FA0D37">
        <w:t xml:space="preserve"> information element</w:t>
      </w:r>
    </w:p>
    <w:p w14:paraId="59E17C79" w14:textId="77777777" w:rsidR="009322A6" w:rsidRPr="00FA0D37" w:rsidRDefault="009322A6" w:rsidP="00FA0D37">
      <w:pPr>
        <w:pStyle w:val="PL"/>
        <w:rPr>
          <w:color w:val="808080"/>
        </w:rPr>
      </w:pPr>
      <w:r w:rsidRPr="00FA0D37">
        <w:rPr>
          <w:color w:val="808080"/>
        </w:rPr>
        <w:t>-- ASN1START</w:t>
      </w:r>
    </w:p>
    <w:p w14:paraId="3A710387" w14:textId="77777777" w:rsidR="009322A6" w:rsidRPr="00FA0D37" w:rsidRDefault="009322A6" w:rsidP="00FA0D37">
      <w:pPr>
        <w:pStyle w:val="PL"/>
        <w:rPr>
          <w:color w:val="808080"/>
        </w:rPr>
      </w:pPr>
      <w:r w:rsidRPr="00FA0D37">
        <w:rPr>
          <w:color w:val="808080"/>
        </w:rPr>
        <w:t>-- TAG-BETAOFFSETSCROSSPRI-START</w:t>
      </w:r>
    </w:p>
    <w:p w14:paraId="1CA11628" w14:textId="77777777" w:rsidR="009322A6" w:rsidRPr="00FA0D37" w:rsidRDefault="009322A6" w:rsidP="00FA0D37">
      <w:pPr>
        <w:pStyle w:val="PL"/>
      </w:pPr>
    </w:p>
    <w:p w14:paraId="6ADBB447" w14:textId="77777777" w:rsidR="009322A6" w:rsidRPr="00FA0D37" w:rsidRDefault="009322A6" w:rsidP="00FA0D37">
      <w:pPr>
        <w:pStyle w:val="PL"/>
      </w:pPr>
      <w:r w:rsidRPr="00FA0D37">
        <w:t xml:space="preserve">BetaOffsetsCrossPri-r17 ::= </w:t>
      </w:r>
      <w:r w:rsidRPr="00FA0D37">
        <w:rPr>
          <w:color w:val="993366"/>
        </w:rPr>
        <w:t>SEQUENCE</w:t>
      </w:r>
      <w:r w:rsidRPr="00FA0D37">
        <w:t xml:space="preserve"> (</w:t>
      </w:r>
      <w:r w:rsidRPr="00FA0D37">
        <w:rPr>
          <w:color w:val="993366"/>
        </w:rPr>
        <w:t>SIZE</w:t>
      </w:r>
      <w:r w:rsidRPr="00FA0D37">
        <w:t>(3))</w:t>
      </w:r>
      <w:r w:rsidRPr="00FA0D37">
        <w:rPr>
          <w:color w:val="993366"/>
        </w:rPr>
        <w:t xml:space="preserve"> OF</w:t>
      </w:r>
      <w:r w:rsidRPr="00FA0D37">
        <w:t xml:space="preserve"> </w:t>
      </w:r>
      <w:r w:rsidRPr="00FA0D37">
        <w:rPr>
          <w:color w:val="993366"/>
        </w:rPr>
        <w:t>INTEGER</w:t>
      </w:r>
      <w:r w:rsidRPr="00FA0D37">
        <w:t>(0..31)</w:t>
      </w:r>
    </w:p>
    <w:p w14:paraId="099FE708" w14:textId="77777777" w:rsidR="009322A6" w:rsidRPr="00FA0D37" w:rsidRDefault="009322A6" w:rsidP="00FA0D37">
      <w:pPr>
        <w:pStyle w:val="PL"/>
      </w:pPr>
    </w:p>
    <w:p w14:paraId="566ECC49" w14:textId="77777777" w:rsidR="009322A6" w:rsidRPr="00FA0D37" w:rsidRDefault="009322A6" w:rsidP="00FA0D37">
      <w:pPr>
        <w:pStyle w:val="PL"/>
        <w:rPr>
          <w:color w:val="808080"/>
        </w:rPr>
      </w:pPr>
      <w:r w:rsidRPr="00FA0D37">
        <w:rPr>
          <w:color w:val="808080"/>
        </w:rPr>
        <w:t>-- TAG-BETAOFFSETSCROSSPRI-STOP</w:t>
      </w:r>
    </w:p>
    <w:p w14:paraId="739FF711" w14:textId="77777777" w:rsidR="009322A6" w:rsidRPr="00FA0D37" w:rsidRDefault="009322A6" w:rsidP="00FA0D37">
      <w:pPr>
        <w:pStyle w:val="PL"/>
        <w:rPr>
          <w:color w:val="808080"/>
        </w:rPr>
      </w:pPr>
      <w:r w:rsidRPr="00FA0D37">
        <w:rPr>
          <w:color w:val="808080"/>
        </w:rPr>
        <w:t>-- ASN1STOP</w:t>
      </w:r>
    </w:p>
    <w:p w14:paraId="246F07FE" w14:textId="77777777" w:rsidR="009322A6" w:rsidRPr="00FA0D37" w:rsidRDefault="009322A6" w:rsidP="00394471"/>
    <w:p w14:paraId="78DC2394" w14:textId="77777777" w:rsidR="00394471" w:rsidRPr="00FA0D37" w:rsidRDefault="00394471" w:rsidP="00394471">
      <w:pPr>
        <w:pStyle w:val="4"/>
        <w:rPr>
          <w:rFonts w:eastAsia="宋体"/>
          <w:i/>
        </w:rPr>
      </w:pPr>
      <w:bookmarkStart w:id="890" w:name="_Toc60777171"/>
      <w:bookmarkStart w:id="891" w:name="_Toc146781216"/>
      <w:r w:rsidRPr="00FA0D37">
        <w:rPr>
          <w:rFonts w:eastAsia="宋体"/>
        </w:rPr>
        <w:t>–</w:t>
      </w:r>
      <w:r w:rsidRPr="00FA0D37">
        <w:rPr>
          <w:rFonts w:eastAsia="宋体"/>
        </w:rPr>
        <w:tab/>
      </w:r>
      <w:r w:rsidRPr="00FA0D37">
        <w:rPr>
          <w:rFonts w:eastAsia="宋体"/>
          <w:i/>
        </w:rPr>
        <w:t>BH-LogicalChannelIdentity</w:t>
      </w:r>
      <w:bookmarkEnd w:id="890"/>
      <w:bookmarkEnd w:id="891"/>
    </w:p>
    <w:p w14:paraId="304DEFFC" w14:textId="2CD37CC2" w:rsidR="00394471" w:rsidRPr="00FA0D37" w:rsidRDefault="00394471" w:rsidP="00394471">
      <w:pPr>
        <w:rPr>
          <w:rFonts w:eastAsia="宋体"/>
        </w:rPr>
      </w:pPr>
      <w:r w:rsidRPr="00FA0D37">
        <w:rPr>
          <w:rFonts w:eastAsia="宋体"/>
        </w:rPr>
        <w:t xml:space="preserve">The IE </w:t>
      </w:r>
      <w:r w:rsidRPr="00FA0D37">
        <w:rPr>
          <w:rFonts w:eastAsia="宋体"/>
          <w:i/>
        </w:rPr>
        <w:t xml:space="preserve">BH-LogicalChannelIdentity </w:t>
      </w:r>
      <w:r w:rsidRPr="00FA0D37">
        <w:rPr>
          <w:rFonts w:eastAsia="宋体"/>
        </w:rPr>
        <w:t xml:space="preserve">is used to identify a logical channel between an IAB-node and its parent </w:t>
      </w:r>
      <w:r w:rsidR="00A27DAE" w:rsidRPr="00FA0D37">
        <w:t>IAB-node or IAB-donor-DU</w:t>
      </w:r>
      <w:r w:rsidRPr="00FA0D37">
        <w:rPr>
          <w:rFonts w:eastAsia="宋体"/>
        </w:rPr>
        <w:t>.</w:t>
      </w:r>
    </w:p>
    <w:p w14:paraId="38FC5CE8" w14:textId="77777777" w:rsidR="00394471" w:rsidRPr="00FA0D37" w:rsidRDefault="00394471" w:rsidP="00394471">
      <w:pPr>
        <w:pStyle w:val="TH"/>
        <w:rPr>
          <w:rFonts w:eastAsia="宋体"/>
        </w:rPr>
      </w:pPr>
      <w:r w:rsidRPr="00FA0D37">
        <w:rPr>
          <w:i/>
        </w:rPr>
        <w:t>BH-LogicalChannelIdentity</w:t>
      </w:r>
      <w:r w:rsidRPr="00FA0D37">
        <w:rPr>
          <w:rFonts w:eastAsia="宋体"/>
          <w:i/>
        </w:rPr>
        <w:t xml:space="preserve"> </w:t>
      </w:r>
      <w:r w:rsidRPr="00FA0D37">
        <w:rPr>
          <w:rFonts w:eastAsia="宋体"/>
        </w:rPr>
        <w:t>information element</w:t>
      </w:r>
    </w:p>
    <w:p w14:paraId="4484F943" w14:textId="77777777" w:rsidR="00394471" w:rsidRPr="00FA0D37" w:rsidRDefault="00394471" w:rsidP="00FA0D37">
      <w:pPr>
        <w:pStyle w:val="PL"/>
        <w:rPr>
          <w:color w:val="808080"/>
        </w:rPr>
      </w:pPr>
      <w:r w:rsidRPr="00FA0D37">
        <w:rPr>
          <w:color w:val="808080"/>
        </w:rPr>
        <w:t>-- ASN1START</w:t>
      </w:r>
    </w:p>
    <w:p w14:paraId="3C5B5608" w14:textId="77777777" w:rsidR="00394471" w:rsidRPr="00FA0D37" w:rsidRDefault="00394471" w:rsidP="00FA0D37">
      <w:pPr>
        <w:pStyle w:val="PL"/>
        <w:rPr>
          <w:color w:val="808080"/>
        </w:rPr>
      </w:pPr>
      <w:r w:rsidRPr="00FA0D37">
        <w:rPr>
          <w:color w:val="808080"/>
        </w:rPr>
        <w:t>-- TAG-BHLOGICALCHANNELIDENTITY-START</w:t>
      </w:r>
    </w:p>
    <w:p w14:paraId="170050D1" w14:textId="77777777" w:rsidR="00394471" w:rsidRPr="00FA0D37" w:rsidRDefault="00394471" w:rsidP="00FA0D37">
      <w:pPr>
        <w:pStyle w:val="PL"/>
      </w:pPr>
    </w:p>
    <w:p w14:paraId="02292896" w14:textId="77777777" w:rsidR="00394471" w:rsidRPr="00FA0D37" w:rsidRDefault="00394471" w:rsidP="00FA0D37">
      <w:pPr>
        <w:pStyle w:val="PL"/>
      </w:pPr>
      <w:r w:rsidRPr="00FA0D37">
        <w:t xml:space="preserve">BH-LogicalChannelIdentity-r16 ::=    </w:t>
      </w:r>
      <w:r w:rsidRPr="00FA0D37">
        <w:rPr>
          <w:color w:val="993366"/>
        </w:rPr>
        <w:t>CHOICE</w:t>
      </w:r>
      <w:r w:rsidRPr="00FA0D37">
        <w:t xml:space="preserve"> {</w:t>
      </w:r>
    </w:p>
    <w:p w14:paraId="0006C0FD" w14:textId="77777777" w:rsidR="00394471" w:rsidRPr="00FA0D37" w:rsidRDefault="00394471" w:rsidP="00FA0D37">
      <w:pPr>
        <w:pStyle w:val="PL"/>
      </w:pPr>
      <w:r w:rsidRPr="00FA0D37">
        <w:t xml:space="preserve">    bh-LogicalChannelIdentity-r16        LogicalChannelIdentity,</w:t>
      </w:r>
    </w:p>
    <w:p w14:paraId="1E2649C2" w14:textId="77777777" w:rsidR="00394471" w:rsidRPr="00FA0D37" w:rsidRDefault="00394471" w:rsidP="00FA0D37">
      <w:pPr>
        <w:pStyle w:val="PL"/>
      </w:pPr>
      <w:r w:rsidRPr="00FA0D37">
        <w:t xml:space="preserve">    bh-LogicalChannelIdentityExt-r16     BH-LogicalChannelIdentity-Ext-r16</w:t>
      </w:r>
    </w:p>
    <w:p w14:paraId="3DE86985" w14:textId="77777777" w:rsidR="00394471" w:rsidRPr="00FA0D37" w:rsidRDefault="00394471" w:rsidP="00FA0D37">
      <w:pPr>
        <w:pStyle w:val="PL"/>
      </w:pPr>
      <w:r w:rsidRPr="00FA0D37">
        <w:t>}</w:t>
      </w:r>
    </w:p>
    <w:p w14:paraId="1824D837" w14:textId="77777777" w:rsidR="00394471" w:rsidRPr="00FA0D37" w:rsidRDefault="00394471" w:rsidP="00FA0D37">
      <w:pPr>
        <w:pStyle w:val="PL"/>
      </w:pPr>
    </w:p>
    <w:p w14:paraId="58877D50" w14:textId="77777777" w:rsidR="00394471" w:rsidRPr="00FA0D37" w:rsidRDefault="00394471" w:rsidP="00FA0D37">
      <w:pPr>
        <w:pStyle w:val="PL"/>
        <w:rPr>
          <w:color w:val="808080"/>
        </w:rPr>
      </w:pPr>
      <w:r w:rsidRPr="00FA0D37">
        <w:rPr>
          <w:color w:val="808080"/>
        </w:rPr>
        <w:lastRenderedPageBreak/>
        <w:t>-- TAG-BHLOGICALCHANNELIDENTITY-STOP</w:t>
      </w:r>
    </w:p>
    <w:p w14:paraId="60DF3CE7" w14:textId="77777777" w:rsidR="00394471" w:rsidRPr="00FA0D37" w:rsidRDefault="00394471" w:rsidP="00FA0D37">
      <w:pPr>
        <w:pStyle w:val="PL"/>
        <w:rPr>
          <w:color w:val="808080"/>
        </w:rPr>
      </w:pPr>
      <w:r w:rsidRPr="00FA0D37">
        <w:rPr>
          <w:color w:val="808080"/>
        </w:rPr>
        <w:t>-- ASN1STOP</w:t>
      </w:r>
    </w:p>
    <w:p w14:paraId="6F3057C3"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FA0D37" w:rsidRDefault="00394471" w:rsidP="00964CC4">
            <w:pPr>
              <w:pStyle w:val="TAH"/>
              <w:rPr>
                <w:szCs w:val="22"/>
                <w:lang w:eastAsia="sv-SE"/>
              </w:rPr>
            </w:pPr>
            <w:r w:rsidRPr="00FA0D37">
              <w:rPr>
                <w:rFonts w:eastAsia="宋体"/>
                <w:i/>
                <w:lang w:eastAsia="sv-SE"/>
              </w:rPr>
              <w:t>BH-LogicalChannelIdentity</w:t>
            </w:r>
            <w:r w:rsidRPr="00FA0D37">
              <w:rPr>
                <w:rFonts w:eastAsia="宋体"/>
                <w:lang w:eastAsia="sv-SE"/>
              </w:rPr>
              <w:t xml:space="preserve"> </w:t>
            </w:r>
            <w:r w:rsidRPr="00FA0D37">
              <w:rPr>
                <w:szCs w:val="22"/>
                <w:lang w:eastAsia="sv-SE"/>
              </w:rPr>
              <w:t>field descriptions</w:t>
            </w:r>
          </w:p>
        </w:tc>
      </w:tr>
      <w:tr w:rsidR="005C7FF4" w:rsidRPr="00FA0D37"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FA0D37" w:rsidRDefault="00394471" w:rsidP="00964CC4">
            <w:pPr>
              <w:pStyle w:val="TAL"/>
              <w:rPr>
                <w:szCs w:val="22"/>
                <w:lang w:eastAsia="sv-SE"/>
              </w:rPr>
            </w:pPr>
            <w:r w:rsidRPr="00FA0D37">
              <w:rPr>
                <w:b/>
                <w:i/>
                <w:szCs w:val="22"/>
                <w:lang w:eastAsia="sv-SE"/>
              </w:rPr>
              <w:t>bh-LogicalChannelIdentity</w:t>
            </w:r>
          </w:p>
          <w:p w14:paraId="3345B77F" w14:textId="77777777" w:rsidR="00394471" w:rsidRPr="00FA0D37" w:rsidRDefault="00394471" w:rsidP="00964CC4">
            <w:pPr>
              <w:pStyle w:val="TAL"/>
              <w:rPr>
                <w:b/>
                <w:i/>
                <w:szCs w:val="22"/>
                <w:lang w:eastAsia="sv-SE"/>
              </w:rPr>
            </w:pPr>
            <w:r w:rsidRPr="00FA0D37">
              <w:rPr>
                <w:szCs w:val="22"/>
                <w:lang w:eastAsia="sv-SE"/>
              </w:rPr>
              <w:t>ID used for the MAC logical channel.</w:t>
            </w:r>
          </w:p>
        </w:tc>
      </w:tr>
      <w:tr w:rsidR="00394471" w:rsidRPr="00FA0D37"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FA0D37" w:rsidRDefault="00394471" w:rsidP="00964CC4">
            <w:pPr>
              <w:pStyle w:val="TAL"/>
              <w:rPr>
                <w:szCs w:val="22"/>
                <w:lang w:eastAsia="sv-SE"/>
              </w:rPr>
            </w:pPr>
            <w:r w:rsidRPr="00FA0D37">
              <w:rPr>
                <w:b/>
                <w:i/>
                <w:szCs w:val="22"/>
                <w:lang w:eastAsia="sv-SE"/>
              </w:rPr>
              <w:t>bh-LogicalChannelIdentityExt</w:t>
            </w:r>
          </w:p>
          <w:p w14:paraId="628E37B1" w14:textId="77777777" w:rsidR="00394471" w:rsidRPr="00FA0D37" w:rsidRDefault="00394471" w:rsidP="00964CC4">
            <w:pPr>
              <w:pStyle w:val="TAL"/>
              <w:rPr>
                <w:szCs w:val="22"/>
                <w:lang w:eastAsia="sv-SE"/>
              </w:rPr>
            </w:pPr>
            <w:r w:rsidRPr="00FA0D37">
              <w:rPr>
                <w:szCs w:val="22"/>
                <w:lang w:eastAsia="sv-SE"/>
              </w:rPr>
              <w:t>ID used for the MAC logical channel.</w:t>
            </w:r>
          </w:p>
        </w:tc>
      </w:tr>
    </w:tbl>
    <w:p w14:paraId="3F0E8A43" w14:textId="77777777" w:rsidR="00394471" w:rsidRPr="00FA0D37" w:rsidRDefault="00394471" w:rsidP="00394471">
      <w:pPr>
        <w:rPr>
          <w:rFonts w:eastAsia="宋体"/>
          <w:lang w:eastAsia="zh-CN"/>
        </w:rPr>
      </w:pPr>
    </w:p>
    <w:p w14:paraId="2BDAF5D9" w14:textId="77777777" w:rsidR="00394471" w:rsidRPr="00FA0D37" w:rsidRDefault="00394471" w:rsidP="00394471">
      <w:pPr>
        <w:pStyle w:val="4"/>
        <w:rPr>
          <w:rFonts w:eastAsia="宋体"/>
        </w:rPr>
      </w:pPr>
      <w:bookmarkStart w:id="892" w:name="_Toc60777172"/>
      <w:bookmarkStart w:id="893" w:name="_Toc146781217"/>
      <w:r w:rsidRPr="00FA0D37">
        <w:rPr>
          <w:rFonts w:eastAsia="宋体"/>
        </w:rPr>
        <w:t>–</w:t>
      </w:r>
      <w:r w:rsidRPr="00FA0D37">
        <w:rPr>
          <w:rFonts w:eastAsia="宋体"/>
        </w:rPr>
        <w:tab/>
      </w:r>
      <w:r w:rsidRPr="00FA0D37">
        <w:rPr>
          <w:rFonts w:eastAsia="宋体"/>
          <w:i/>
        </w:rPr>
        <w:t>BH-LogicalChannelIdentity-Ext</w:t>
      </w:r>
      <w:bookmarkEnd w:id="892"/>
      <w:bookmarkEnd w:id="893"/>
    </w:p>
    <w:p w14:paraId="0A164094" w14:textId="77777777" w:rsidR="00394471" w:rsidRPr="00FA0D37" w:rsidRDefault="00394471" w:rsidP="00394471">
      <w:pPr>
        <w:rPr>
          <w:rFonts w:eastAsia="宋体"/>
        </w:rPr>
      </w:pPr>
      <w:r w:rsidRPr="00FA0D37">
        <w:rPr>
          <w:rFonts w:eastAsia="宋体"/>
        </w:rPr>
        <w:t xml:space="preserve">The IE </w:t>
      </w:r>
      <w:r w:rsidRPr="00FA0D37">
        <w:rPr>
          <w:rFonts w:eastAsia="宋体"/>
          <w:i/>
        </w:rPr>
        <w:t>BH-LogicalChannelIdentity-Ext</w:t>
      </w:r>
      <w:r w:rsidRPr="00FA0D37">
        <w:rPr>
          <w:rFonts w:eastAsia="宋体"/>
        </w:rPr>
        <w:t xml:space="preserve"> is used to identify a logical channel between an IAB-node and its parent node.</w:t>
      </w:r>
    </w:p>
    <w:p w14:paraId="12B830D4" w14:textId="77777777" w:rsidR="00394471" w:rsidRPr="00FA0D37" w:rsidRDefault="00394471" w:rsidP="00394471">
      <w:pPr>
        <w:pStyle w:val="TH"/>
        <w:rPr>
          <w:rFonts w:eastAsia="宋体"/>
        </w:rPr>
      </w:pPr>
      <w:r w:rsidRPr="00FA0D37">
        <w:rPr>
          <w:rFonts w:eastAsia="宋体"/>
          <w:i/>
        </w:rPr>
        <w:t>BH-LogicalChannelIdentity-Ext</w:t>
      </w:r>
      <w:r w:rsidRPr="00FA0D37">
        <w:rPr>
          <w:rFonts w:eastAsia="宋体"/>
        </w:rPr>
        <w:t xml:space="preserve"> information element</w:t>
      </w:r>
    </w:p>
    <w:p w14:paraId="3F35FE4C" w14:textId="77777777" w:rsidR="00394471" w:rsidRPr="00FA0D37" w:rsidRDefault="00394471" w:rsidP="00FA0D37">
      <w:pPr>
        <w:pStyle w:val="PL"/>
        <w:rPr>
          <w:color w:val="808080"/>
        </w:rPr>
      </w:pPr>
      <w:r w:rsidRPr="00FA0D37">
        <w:rPr>
          <w:color w:val="808080"/>
        </w:rPr>
        <w:t>-- ASN1START</w:t>
      </w:r>
    </w:p>
    <w:p w14:paraId="156975D0" w14:textId="77777777" w:rsidR="00394471" w:rsidRPr="00FA0D37" w:rsidRDefault="00394471" w:rsidP="00FA0D37">
      <w:pPr>
        <w:pStyle w:val="PL"/>
        <w:rPr>
          <w:color w:val="808080"/>
        </w:rPr>
      </w:pPr>
      <w:r w:rsidRPr="00FA0D37">
        <w:rPr>
          <w:color w:val="808080"/>
        </w:rPr>
        <w:t>-- TAG-BHLOGICALCHANNELIDENTITYEXT-START</w:t>
      </w:r>
    </w:p>
    <w:p w14:paraId="09D97BFD" w14:textId="77777777" w:rsidR="00394471" w:rsidRPr="00FA0D37" w:rsidRDefault="00394471" w:rsidP="00FA0D37">
      <w:pPr>
        <w:pStyle w:val="PL"/>
      </w:pPr>
    </w:p>
    <w:p w14:paraId="77766110" w14:textId="77777777" w:rsidR="00394471" w:rsidRPr="00FA0D37" w:rsidRDefault="00394471" w:rsidP="00FA0D37">
      <w:pPr>
        <w:pStyle w:val="PL"/>
      </w:pPr>
      <w:r w:rsidRPr="00FA0D37">
        <w:t xml:space="preserve">BH-LogicalChannelIdentity-Ext-r16 ::=   </w:t>
      </w:r>
      <w:r w:rsidRPr="00FA0D37">
        <w:rPr>
          <w:color w:val="993366"/>
        </w:rPr>
        <w:t>INTEGER</w:t>
      </w:r>
      <w:r w:rsidRPr="00FA0D37">
        <w:t xml:space="preserve"> (320.. maxLC-ID-Iab-r16)</w:t>
      </w:r>
    </w:p>
    <w:p w14:paraId="13769FF2" w14:textId="77777777" w:rsidR="00394471" w:rsidRPr="00FA0D37" w:rsidRDefault="00394471" w:rsidP="00FA0D37">
      <w:pPr>
        <w:pStyle w:val="PL"/>
      </w:pPr>
    </w:p>
    <w:p w14:paraId="48E2C794" w14:textId="77777777" w:rsidR="00394471" w:rsidRPr="00FA0D37" w:rsidRDefault="00394471" w:rsidP="00FA0D37">
      <w:pPr>
        <w:pStyle w:val="PL"/>
        <w:rPr>
          <w:color w:val="808080"/>
        </w:rPr>
      </w:pPr>
      <w:r w:rsidRPr="00FA0D37">
        <w:rPr>
          <w:color w:val="808080"/>
        </w:rPr>
        <w:t>-- TAG-BHLOGICALCHANNELIDENTITYEXT-STOP</w:t>
      </w:r>
    </w:p>
    <w:p w14:paraId="3F0F493D" w14:textId="77777777" w:rsidR="00394471" w:rsidRPr="00FA0D37" w:rsidRDefault="00394471" w:rsidP="00FA0D37">
      <w:pPr>
        <w:pStyle w:val="PL"/>
        <w:rPr>
          <w:color w:val="808080"/>
        </w:rPr>
      </w:pPr>
      <w:r w:rsidRPr="00FA0D37">
        <w:rPr>
          <w:color w:val="808080"/>
        </w:rPr>
        <w:t>-- ASN1STOP</w:t>
      </w:r>
    </w:p>
    <w:p w14:paraId="48798625" w14:textId="77777777" w:rsidR="00394471" w:rsidRPr="00FA0D37" w:rsidRDefault="00394471" w:rsidP="00394471"/>
    <w:p w14:paraId="216C2570" w14:textId="77777777" w:rsidR="003B657B" w:rsidRPr="00FA0D37" w:rsidRDefault="003B657B" w:rsidP="003B657B">
      <w:pPr>
        <w:pStyle w:val="4"/>
        <w:rPr>
          <w:rFonts w:eastAsia="宋体"/>
          <w:i/>
        </w:rPr>
      </w:pPr>
      <w:bookmarkStart w:id="894" w:name="_Toc60777173"/>
      <w:bookmarkStart w:id="895" w:name="_Toc146781218"/>
      <w:r w:rsidRPr="00FA0D37">
        <w:rPr>
          <w:rFonts w:eastAsia="宋体"/>
        </w:rPr>
        <w:t>–</w:t>
      </w:r>
      <w:r w:rsidRPr="00FA0D37">
        <w:rPr>
          <w:rFonts w:eastAsia="宋体"/>
        </w:rPr>
        <w:tab/>
      </w:r>
      <w:r w:rsidRPr="00FA0D37">
        <w:rPr>
          <w:rFonts w:eastAsia="宋体"/>
          <w:i/>
        </w:rPr>
        <w:t>BH-RLC-ChannelConfig</w:t>
      </w:r>
      <w:bookmarkEnd w:id="894"/>
      <w:bookmarkEnd w:id="895"/>
    </w:p>
    <w:p w14:paraId="4CE4F15C" w14:textId="77777777" w:rsidR="003B657B" w:rsidRPr="00FA0D37" w:rsidRDefault="003B657B" w:rsidP="003B657B">
      <w:pPr>
        <w:rPr>
          <w:rFonts w:eastAsia="宋体"/>
        </w:rPr>
      </w:pPr>
      <w:r w:rsidRPr="00FA0D37">
        <w:rPr>
          <w:rFonts w:eastAsia="宋体"/>
        </w:rPr>
        <w:t xml:space="preserve">The IE </w:t>
      </w:r>
      <w:r w:rsidRPr="00FA0D37">
        <w:rPr>
          <w:rFonts w:eastAsia="宋体"/>
          <w:i/>
        </w:rPr>
        <w:t>BH-RLC-ChannelConfig</w:t>
      </w:r>
      <w:r w:rsidRPr="00FA0D37">
        <w:rPr>
          <w:rFonts w:eastAsia="宋体"/>
        </w:rPr>
        <w:t xml:space="preserve"> is used to configure an RLC entity, a corresponding logical channel in MAC for BH RLC channel between IAB-node and its parent node.</w:t>
      </w:r>
    </w:p>
    <w:p w14:paraId="060C2EB1" w14:textId="77777777" w:rsidR="003B657B" w:rsidRPr="00FA0D37" w:rsidRDefault="003B657B" w:rsidP="003B657B">
      <w:pPr>
        <w:pStyle w:val="TH"/>
        <w:rPr>
          <w:rFonts w:eastAsia="宋体"/>
        </w:rPr>
      </w:pPr>
      <w:r w:rsidRPr="00FA0D37">
        <w:rPr>
          <w:rFonts w:eastAsia="宋体"/>
          <w:i/>
        </w:rPr>
        <w:t>BH-RLC-ChannelConfig</w:t>
      </w:r>
      <w:r w:rsidRPr="00FA0D37">
        <w:rPr>
          <w:rFonts w:eastAsia="宋体"/>
        </w:rPr>
        <w:t xml:space="preserve"> information element</w:t>
      </w:r>
    </w:p>
    <w:p w14:paraId="1C67EEBB" w14:textId="77777777" w:rsidR="003B657B" w:rsidRPr="00FA0D37" w:rsidRDefault="003B657B" w:rsidP="00FA0D37">
      <w:pPr>
        <w:pStyle w:val="PL"/>
        <w:rPr>
          <w:color w:val="808080"/>
        </w:rPr>
      </w:pPr>
      <w:r w:rsidRPr="00FA0D37">
        <w:rPr>
          <w:color w:val="808080"/>
        </w:rPr>
        <w:t>-- ASN1START</w:t>
      </w:r>
    </w:p>
    <w:p w14:paraId="5A3E38C6" w14:textId="77777777" w:rsidR="003B657B" w:rsidRPr="00FA0D37" w:rsidRDefault="003B657B" w:rsidP="00FA0D37">
      <w:pPr>
        <w:pStyle w:val="PL"/>
        <w:rPr>
          <w:color w:val="808080"/>
        </w:rPr>
      </w:pPr>
      <w:r w:rsidRPr="00FA0D37">
        <w:rPr>
          <w:color w:val="808080"/>
        </w:rPr>
        <w:t>-- TAG-BHRLCCHANNELCONFIG-START</w:t>
      </w:r>
    </w:p>
    <w:p w14:paraId="2014F0A7" w14:textId="77777777" w:rsidR="003B657B" w:rsidRPr="00FA0D37" w:rsidRDefault="003B657B" w:rsidP="00FA0D37">
      <w:pPr>
        <w:pStyle w:val="PL"/>
      </w:pPr>
    </w:p>
    <w:p w14:paraId="5E60FFA6" w14:textId="77777777" w:rsidR="003B657B" w:rsidRPr="00FA0D37" w:rsidRDefault="003B657B" w:rsidP="00FA0D37">
      <w:pPr>
        <w:pStyle w:val="PL"/>
      </w:pPr>
      <w:r w:rsidRPr="00FA0D37">
        <w:t xml:space="preserve">BH-RLC-ChannelConfig-r16::=      </w:t>
      </w:r>
      <w:r w:rsidRPr="00FA0D37">
        <w:rPr>
          <w:color w:val="993366"/>
        </w:rPr>
        <w:t>SEQUENCE</w:t>
      </w:r>
      <w:r w:rsidRPr="00FA0D37">
        <w:t xml:space="preserve"> {</w:t>
      </w:r>
    </w:p>
    <w:p w14:paraId="4A3C59FF" w14:textId="77777777" w:rsidR="003B657B" w:rsidRPr="00FA0D37" w:rsidRDefault="003B657B" w:rsidP="00FA0D37">
      <w:pPr>
        <w:pStyle w:val="PL"/>
        <w:rPr>
          <w:color w:val="808080"/>
        </w:rPr>
      </w:pPr>
      <w:r w:rsidRPr="00FA0D37">
        <w:t xml:space="preserve">    bh-LogicalChannelIdentity-r16    BH-LogicalChannelIdentity-r16     </w:t>
      </w:r>
      <w:r w:rsidRPr="00FA0D37">
        <w:rPr>
          <w:color w:val="993366"/>
        </w:rPr>
        <w:t>OPTIONAL</w:t>
      </w:r>
      <w:r w:rsidRPr="00FA0D37">
        <w:t xml:space="preserve">,   </w:t>
      </w:r>
      <w:r w:rsidRPr="00FA0D37">
        <w:rPr>
          <w:color w:val="808080"/>
        </w:rPr>
        <w:t>-- Cond LCH-SetupOnly</w:t>
      </w:r>
    </w:p>
    <w:p w14:paraId="08556B8C" w14:textId="77777777" w:rsidR="003B657B" w:rsidRPr="00FA0D37" w:rsidRDefault="003B657B" w:rsidP="00FA0D37">
      <w:pPr>
        <w:pStyle w:val="PL"/>
      </w:pPr>
      <w:r w:rsidRPr="00FA0D37">
        <w:t xml:space="preserve">    bh-RLC-ChannelID-r16             BH-RLC-ChannelID-r16,</w:t>
      </w:r>
    </w:p>
    <w:p w14:paraId="500BA084" w14:textId="77777777" w:rsidR="003B657B" w:rsidRPr="00FA0D37" w:rsidRDefault="003B657B" w:rsidP="00FA0D37">
      <w:pPr>
        <w:pStyle w:val="PL"/>
        <w:rPr>
          <w:color w:val="808080"/>
        </w:rPr>
      </w:pPr>
      <w:r w:rsidRPr="00FA0D37">
        <w:t xml:space="preserve">    reestablishRLC-r16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6919CCCE" w14:textId="77777777" w:rsidR="003B657B" w:rsidRPr="00FA0D37" w:rsidRDefault="003B657B" w:rsidP="00FA0D37">
      <w:pPr>
        <w:pStyle w:val="PL"/>
        <w:rPr>
          <w:color w:val="808080"/>
        </w:rPr>
      </w:pPr>
      <w:r w:rsidRPr="00FA0D37">
        <w:t xml:space="preserve">    rlc-Config-r16                   RLC-Config                        </w:t>
      </w:r>
      <w:r w:rsidRPr="00FA0D37">
        <w:rPr>
          <w:color w:val="993366"/>
        </w:rPr>
        <w:t>OPTIONAL</w:t>
      </w:r>
      <w:r w:rsidRPr="00FA0D37">
        <w:t xml:space="preserve">,   </w:t>
      </w:r>
      <w:r w:rsidRPr="00FA0D37">
        <w:rPr>
          <w:color w:val="808080"/>
        </w:rPr>
        <w:t>-- Cond LCH-Setup</w:t>
      </w:r>
    </w:p>
    <w:p w14:paraId="1DD2E769" w14:textId="77777777" w:rsidR="003B657B" w:rsidRPr="00FA0D37" w:rsidRDefault="003B657B" w:rsidP="00FA0D37">
      <w:pPr>
        <w:pStyle w:val="PL"/>
        <w:rPr>
          <w:color w:val="808080"/>
        </w:rPr>
      </w:pPr>
      <w:r w:rsidRPr="00FA0D37">
        <w:t xml:space="preserve">    mac-LogicalChannelConfig-r16     LogicalChannelConfig              </w:t>
      </w:r>
      <w:r w:rsidRPr="00FA0D37">
        <w:rPr>
          <w:color w:val="993366"/>
        </w:rPr>
        <w:t>OPTIONAL</w:t>
      </w:r>
      <w:r w:rsidRPr="00FA0D37">
        <w:t xml:space="preserve">,   </w:t>
      </w:r>
      <w:r w:rsidRPr="00FA0D37">
        <w:rPr>
          <w:color w:val="808080"/>
        </w:rPr>
        <w:t>-- Cond LCH-Setup</w:t>
      </w:r>
    </w:p>
    <w:p w14:paraId="3F046230" w14:textId="77777777" w:rsidR="003B657B" w:rsidRPr="00FA0D37" w:rsidRDefault="003B657B" w:rsidP="00FA0D37">
      <w:pPr>
        <w:pStyle w:val="PL"/>
      </w:pPr>
      <w:r w:rsidRPr="00FA0D37">
        <w:t xml:space="preserve">    ...</w:t>
      </w:r>
    </w:p>
    <w:p w14:paraId="2637AA60" w14:textId="77777777" w:rsidR="003B657B" w:rsidRPr="00FA0D37" w:rsidRDefault="003B657B" w:rsidP="00FA0D37">
      <w:pPr>
        <w:pStyle w:val="PL"/>
      </w:pPr>
      <w:r w:rsidRPr="00FA0D37">
        <w:t>}</w:t>
      </w:r>
    </w:p>
    <w:p w14:paraId="408FDDAC" w14:textId="77777777" w:rsidR="003B657B" w:rsidRPr="00FA0D37" w:rsidRDefault="003B657B" w:rsidP="00FA0D37">
      <w:pPr>
        <w:pStyle w:val="PL"/>
      </w:pPr>
    </w:p>
    <w:p w14:paraId="6A37DD2F" w14:textId="77777777" w:rsidR="003B657B" w:rsidRPr="00FA0D37" w:rsidRDefault="003B657B" w:rsidP="00FA0D37">
      <w:pPr>
        <w:pStyle w:val="PL"/>
        <w:rPr>
          <w:color w:val="808080"/>
        </w:rPr>
      </w:pPr>
      <w:r w:rsidRPr="00FA0D37">
        <w:rPr>
          <w:color w:val="808080"/>
        </w:rPr>
        <w:t>-- TAG-BHRLCCHANNELCONFIG-STOP</w:t>
      </w:r>
    </w:p>
    <w:p w14:paraId="7C2D3BC6" w14:textId="77777777" w:rsidR="003B657B" w:rsidRPr="00FA0D37" w:rsidRDefault="003B657B" w:rsidP="00FA0D37">
      <w:pPr>
        <w:pStyle w:val="PL"/>
        <w:rPr>
          <w:color w:val="808080"/>
        </w:rPr>
      </w:pPr>
      <w:r w:rsidRPr="00FA0D37">
        <w:rPr>
          <w:color w:val="808080"/>
        </w:rPr>
        <w:t>-- ASN1STOP</w:t>
      </w:r>
    </w:p>
    <w:p w14:paraId="6E5B03C0" w14:textId="77777777" w:rsidR="003B657B" w:rsidRPr="00FA0D37"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FA0D37" w:rsidRDefault="003B657B" w:rsidP="003B657B">
            <w:pPr>
              <w:pStyle w:val="TAH"/>
              <w:rPr>
                <w:szCs w:val="22"/>
                <w:lang w:eastAsia="sv-SE"/>
              </w:rPr>
            </w:pPr>
            <w:r w:rsidRPr="00FA0D37">
              <w:rPr>
                <w:rFonts w:eastAsia="宋体"/>
                <w:i/>
                <w:lang w:eastAsia="sv-SE"/>
              </w:rPr>
              <w:lastRenderedPageBreak/>
              <w:t>BH-RLC</w:t>
            </w:r>
            <w:r w:rsidR="00835C66" w:rsidRPr="00FA0D37">
              <w:rPr>
                <w:rFonts w:eastAsia="宋体"/>
                <w:i/>
                <w:lang w:eastAsia="sv-SE"/>
              </w:rPr>
              <w:t>-</w:t>
            </w:r>
            <w:r w:rsidRPr="00FA0D37">
              <w:rPr>
                <w:rFonts w:eastAsia="宋体"/>
                <w:i/>
                <w:lang w:eastAsia="sv-SE"/>
              </w:rPr>
              <w:t>ChannelConfig</w:t>
            </w:r>
            <w:r w:rsidRPr="00FA0D37">
              <w:rPr>
                <w:rFonts w:eastAsia="宋体"/>
                <w:lang w:eastAsia="sv-SE"/>
              </w:rPr>
              <w:t xml:space="preserve"> </w:t>
            </w:r>
            <w:r w:rsidRPr="00FA0D37">
              <w:rPr>
                <w:szCs w:val="22"/>
                <w:lang w:eastAsia="sv-SE"/>
              </w:rPr>
              <w:t>field descriptions</w:t>
            </w:r>
          </w:p>
        </w:tc>
      </w:tr>
      <w:tr w:rsidR="005C7FF4" w:rsidRPr="00FA0D37"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FA0D37" w:rsidRDefault="003B657B" w:rsidP="003B657B">
            <w:pPr>
              <w:pStyle w:val="TAL"/>
              <w:rPr>
                <w:szCs w:val="22"/>
                <w:lang w:eastAsia="sv-SE"/>
              </w:rPr>
            </w:pPr>
            <w:r w:rsidRPr="00FA0D37">
              <w:rPr>
                <w:b/>
                <w:i/>
                <w:szCs w:val="22"/>
                <w:lang w:eastAsia="sv-SE"/>
              </w:rPr>
              <w:t>bh-LogicalChannelIdentity</w:t>
            </w:r>
          </w:p>
          <w:p w14:paraId="636C626C" w14:textId="77777777" w:rsidR="003B657B" w:rsidRPr="00FA0D37" w:rsidRDefault="003B657B" w:rsidP="003B657B">
            <w:pPr>
              <w:pStyle w:val="TAL"/>
              <w:rPr>
                <w:szCs w:val="22"/>
                <w:lang w:eastAsia="sv-SE"/>
              </w:rPr>
            </w:pPr>
            <w:r w:rsidRPr="00FA0D37">
              <w:rPr>
                <w:szCs w:val="22"/>
                <w:lang w:eastAsia="sv-SE"/>
              </w:rPr>
              <w:t xml:space="preserve">Indicates the </w:t>
            </w:r>
            <w:r w:rsidRPr="00FA0D37">
              <w:rPr>
                <w:szCs w:val="22"/>
              </w:rPr>
              <w:t>logical channel id for BH RLC channel of</w:t>
            </w:r>
            <w:r w:rsidRPr="00FA0D37">
              <w:rPr>
                <w:szCs w:val="22"/>
                <w:lang w:eastAsia="sv-SE"/>
              </w:rPr>
              <w:t xml:space="preserve"> the IAB-node.</w:t>
            </w:r>
          </w:p>
        </w:tc>
      </w:tr>
      <w:tr w:rsidR="005C7FF4" w:rsidRPr="00FA0D37"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FA0D37" w:rsidRDefault="003B657B" w:rsidP="003B657B">
            <w:pPr>
              <w:pStyle w:val="TAL"/>
              <w:rPr>
                <w:szCs w:val="22"/>
                <w:lang w:eastAsia="sv-SE"/>
              </w:rPr>
            </w:pPr>
            <w:r w:rsidRPr="00FA0D37">
              <w:rPr>
                <w:b/>
                <w:i/>
                <w:szCs w:val="22"/>
                <w:lang w:eastAsia="sv-SE"/>
              </w:rPr>
              <w:t>bh-RLC-ChannelID</w:t>
            </w:r>
          </w:p>
          <w:p w14:paraId="5029283F" w14:textId="77777777" w:rsidR="003B657B" w:rsidRPr="00FA0D37" w:rsidRDefault="003B657B" w:rsidP="003B657B">
            <w:pPr>
              <w:pStyle w:val="TAL"/>
              <w:rPr>
                <w:szCs w:val="22"/>
                <w:lang w:eastAsia="sv-SE"/>
              </w:rPr>
            </w:pPr>
            <w:r w:rsidRPr="00FA0D37">
              <w:rPr>
                <w:szCs w:val="22"/>
                <w:lang w:eastAsia="sv-SE"/>
              </w:rPr>
              <w:t xml:space="preserve">Indicates the </w:t>
            </w:r>
            <w:r w:rsidRPr="00FA0D37">
              <w:rPr>
                <w:rFonts w:eastAsia="宋体"/>
                <w:szCs w:val="22"/>
                <w:lang w:eastAsia="zh-CN"/>
              </w:rPr>
              <w:t>BH RLC</w:t>
            </w:r>
            <w:r w:rsidRPr="00FA0D37">
              <w:rPr>
                <w:szCs w:val="22"/>
                <w:lang w:eastAsia="sv-SE"/>
              </w:rPr>
              <w:t xml:space="preserve"> channel in the link between IAB-MT </w:t>
            </w:r>
            <w:r w:rsidRPr="00FA0D37">
              <w:rPr>
                <w:rFonts w:eastAsia="宋体"/>
                <w:szCs w:val="22"/>
                <w:lang w:eastAsia="sv-SE"/>
              </w:rPr>
              <w:t xml:space="preserve">of the IAB-node </w:t>
            </w:r>
            <w:r w:rsidRPr="00FA0D37">
              <w:rPr>
                <w:szCs w:val="22"/>
                <w:lang w:eastAsia="sv-SE"/>
              </w:rPr>
              <w:t>and IAB-DU of the parent IAB-node</w:t>
            </w:r>
            <w:r w:rsidRPr="00FA0D37">
              <w:t xml:space="preserve"> </w:t>
            </w:r>
            <w:r w:rsidRPr="00FA0D37">
              <w:rPr>
                <w:szCs w:val="22"/>
                <w:lang w:eastAsia="sv-SE"/>
              </w:rPr>
              <w:t>or IAB-donor-DU.</w:t>
            </w:r>
          </w:p>
        </w:tc>
      </w:tr>
      <w:tr w:rsidR="005C7FF4" w:rsidRPr="00FA0D37"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FA0D37" w:rsidRDefault="003B657B" w:rsidP="003B657B">
            <w:pPr>
              <w:pStyle w:val="TAL"/>
              <w:rPr>
                <w:szCs w:val="22"/>
                <w:lang w:eastAsia="sv-SE"/>
              </w:rPr>
            </w:pPr>
            <w:r w:rsidRPr="00FA0D37">
              <w:rPr>
                <w:b/>
                <w:i/>
                <w:szCs w:val="22"/>
                <w:lang w:eastAsia="sv-SE"/>
              </w:rPr>
              <w:t>reestablishRLC</w:t>
            </w:r>
          </w:p>
          <w:p w14:paraId="5723BDEB" w14:textId="77777777" w:rsidR="003B657B" w:rsidRPr="00FA0D37" w:rsidRDefault="003B657B" w:rsidP="003B657B">
            <w:pPr>
              <w:pStyle w:val="TAL"/>
              <w:rPr>
                <w:szCs w:val="22"/>
                <w:lang w:eastAsia="sv-SE"/>
              </w:rPr>
            </w:pPr>
            <w:r w:rsidRPr="00FA0D37">
              <w:rPr>
                <w:szCs w:val="22"/>
                <w:lang w:eastAsia="sv-SE"/>
              </w:rPr>
              <w:t>Indicates that RLC should be re-established.</w:t>
            </w:r>
          </w:p>
        </w:tc>
      </w:tr>
      <w:tr w:rsidR="003B657B" w:rsidRPr="00FA0D37"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FA0D37" w:rsidRDefault="003B657B" w:rsidP="003B657B">
            <w:pPr>
              <w:pStyle w:val="TAL"/>
              <w:rPr>
                <w:szCs w:val="22"/>
                <w:lang w:eastAsia="sv-SE"/>
              </w:rPr>
            </w:pPr>
            <w:r w:rsidRPr="00FA0D37">
              <w:rPr>
                <w:b/>
                <w:i/>
                <w:szCs w:val="22"/>
                <w:lang w:eastAsia="sv-SE"/>
              </w:rPr>
              <w:t>rlc-Config</w:t>
            </w:r>
          </w:p>
          <w:p w14:paraId="1BC93B21" w14:textId="77777777" w:rsidR="003B657B" w:rsidRPr="00FA0D37" w:rsidRDefault="003B657B" w:rsidP="003B657B">
            <w:pPr>
              <w:pStyle w:val="TAL"/>
              <w:rPr>
                <w:szCs w:val="22"/>
                <w:lang w:eastAsia="sv-SE"/>
              </w:rPr>
            </w:pPr>
            <w:r w:rsidRPr="00FA0D37">
              <w:rPr>
                <w:szCs w:val="22"/>
                <w:lang w:eastAsia="sv-SE"/>
              </w:rPr>
              <w:t>Determines the RLC mode (UM, AM) and provides corresponding parameters.</w:t>
            </w:r>
          </w:p>
        </w:tc>
      </w:tr>
    </w:tbl>
    <w:p w14:paraId="78DB4523" w14:textId="77777777" w:rsidR="003B657B" w:rsidRPr="00FA0D37" w:rsidRDefault="003B657B" w:rsidP="003B657B">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5C7FF4" w:rsidRPr="00FA0D37"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FA0D37" w:rsidRDefault="003B657B" w:rsidP="003B657B">
            <w:pPr>
              <w:pStyle w:val="TAH"/>
              <w:jc w:val="left"/>
              <w:rPr>
                <w:rFonts w:eastAsia="宋体"/>
                <w:szCs w:val="22"/>
                <w:lang w:eastAsia="sv-SE"/>
              </w:rPr>
            </w:pPr>
            <w:r w:rsidRPr="00FA0D37">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FA0D37" w:rsidRDefault="003B657B" w:rsidP="003B657B">
            <w:pPr>
              <w:pStyle w:val="TAH"/>
              <w:rPr>
                <w:rFonts w:eastAsia="宋体"/>
                <w:szCs w:val="22"/>
                <w:lang w:eastAsia="sv-SE"/>
              </w:rPr>
            </w:pPr>
            <w:r w:rsidRPr="00FA0D37">
              <w:rPr>
                <w:rFonts w:eastAsia="宋体"/>
                <w:szCs w:val="22"/>
                <w:lang w:eastAsia="sv-SE"/>
              </w:rPr>
              <w:t>Explanation</w:t>
            </w:r>
          </w:p>
        </w:tc>
      </w:tr>
      <w:tr w:rsidR="005C7FF4" w:rsidRPr="00FA0D37"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FA0D37" w:rsidRDefault="003B657B" w:rsidP="003B657B">
            <w:pPr>
              <w:pStyle w:val="TAL"/>
              <w:rPr>
                <w:rFonts w:eastAsia="宋体"/>
                <w:i/>
                <w:szCs w:val="22"/>
                <w:lang w:eastAsia="sv-SE"/>
              </w:rPr>
            </w:pPr>
            <w:r w:rsidRPr="00FA0D37">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FA0D37" w:rsidRDefault="003B657B" w:rsidP="003B657B">
            <w:pPr>
              <w:pStyle w:val="TAL"/>
              <w:rPr>
                <w:rFonts w:eastAsia="宋体"/>
                <w:szCs w:val="22"/>
                <w:lang w:eastAsia="sv-SE"/>
              </w:rPr>
            </w:pPr>
            <w:r w:rsidRPr="00FA0D37">
              <w:rPr>
                <w:rFonts w:eastAsia="宋体"/>
                <w:szCs w:val="22"/>
                <w:lang w:eastAsia="sv-SE"/>
              </w:rPr>
              <w:t>This field is mandatory present upon creation of a new logical channel for a BH RLC channel. It is optionally present, Need M, otherwise.</w:t>
            </w:r>
          </w:p>
        </w:tc>
      </w:tr>
      <w:tr w:rsidR="003B657B" w:rsidRPr="00FA0D37"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FA0D37" w:rsidRDefault="003B657B" w:rsidP="003B657B">
            <w:pPr>
              <w:pStyle w:val="TAL"/>
              <w:rPr>
                <w:rFonts w:eastAsia="宋体"/>
                <w:i/>
                <w:iCs/>
                <w:szCs w:val="22"/>
                <w:lang w:eastAsia="sv-SE"/>
              </w:rPr>
            </w:pPr>
            <w:r w:rsidRPr="00FA0D3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FA0D37" w:rsidRDefault="003B657B" w:rsidP="003B657B">
            <w:pPr>
              <w:pStyle w:val="TAL"/>
              <w:rPr>
                <w:rFonts w:eastAsia="宋体"/>
                <w:szCs w:val="22"/>
                <w:lang w:eastAsia="sv-SE"/>
              </w:rPr>
            </w:pPr>
            <w:r w:rsidRPr="00FA0D37">
              <w:rPr>
                <w:lang w:eastAsia="zh-CN"/>
              </w:rPr>
              <w:t xml:space="preserve">This field is mandatory present upon creation of a </w:t>
            </w:r>
            <w:r w:rsidR="00D76C68" w:rsidRPr="00FA0D37">
              <w:rPr>
                <w:rFonts w:eastAsia="宋体"/>
                <w:szCs w:val="22"/>
                <w:lang w:eastAsia="sv-SE"/>
              </w:rPr>
              <w:t>new logical channel for a</w:t>
            </w:r>
            <w:r w:rsidR="00D76C68" w:rsidRPr="00FA0D37">
              <w:rPr>
                <w:lang w:eastAsia="zh-CN"/>
              </w:rPr>
              <w:t xml:space="preserve"> </w:t>
            </w:r>
            <w:r w:rsidRPr="00FA0D37">
              <w:rPr>
                <w:lang w:eastAsia="zh-CN"/>
              </w:rPr>
              <w:t>BH RLC channel. It is absent, Need M otherwise.</w:t>
            </w:r>
          </w:p>
        </w:tc>
      </w:tr>
    </w:tbl>
    <w:p w14:paraId="183782BB" w14:textId="77777777" w:rsidR="003B657B" w:rsidRPr="00FA0D37" w:rsidRDefault="003B657B" w:rsidP="003B657B">
      <w:pPr>
        <w:rPr>
          <w:rFonts w:eastAsia="宋体"/>
        </w:rPr>
      </w:pPr>
    </w:p>
    <w:p w14:paraId="791C233D" w14:textId="77777777" w:rsidR="00394471" w:rsidRPr="00FA0D37" w:rsidRDefault="00394471" w:rsidP="00394471">
      <w:pPr>
        <w:pStyle w:val="4"/>
        <w:rPr>
          <w:rFonts w:eastAsia="宋体"/>
        </w:rPr>
      </w:pPr>
      <w:bookmarkStart w:id="896" w:name="_Toc60777174"/>
      <w:bookmarkStart w:id="897" w:name="_Toc146781219"/>
      <w:r w:rsidRPr="00FA0D37">
        <w:rPr>
          <w:rFonts w:eastAsia="宋体"/>
        </w:rPr>
        <w:t>–</w:t>
      </w:r>
      <w:r w:rsidRPr="00FA0D37">
        <w:rPr>
          <w:rFonts w:eastAsia="宋体"/>
        </w:rPr>
        <w:tab/>
      </w:r>
      <w:r w:rsidRPr="00FA0D37">
        <w:rPr>
          <w:rFonts w:eastAsia="宋体"/>
          <w:i/>
          <w:iCs/>
        </w:rPr>
        <w:t>BH-RLC-ChannelID</w:t>
      </w:r>
      <w:bookmarkEnd w:id="896"/>
      <w:bookmarkEnd w:id="897"/>
    </w:p>
    <w:p w14:paraId="4780C748" w14:textId="77777777" w:rsidR="00394471" w:rsidRPr="00FA0D37" w:rsidRDefault="00394471" w:rsidP="00394471">
      <w:pPr>
        <w:rPr>
          <w:rFonts w:eastAsia="宋体"/>
        </w:rPr>
      </w:pPr>
      <w:r w:rsidRPr="00FA0D37">
        <w:rPr>
          <w:rFonts w:eastAsia="宋体"/>
        </w:rPr>
        <w:t xml:space="preserve">The IE </w:t>
      </w:r>
      <w:r w:rsidRPr="00FA0D37">
        <w:rPr>
          <w:rFonts w:eastAsia="宋体"/>
          <w:i/>
        </w:rPr>
        <w:t xml:space="preserve">BH-RLC-ChannelID </w:t>
      </w:r>
      <w:r w:rsidRPr="00FA0D37">
        <w:rPr>
          <w:rFonts w:eastAsia="宋体"/>
        </w:rPr>
        <w:t xml:space="preserve">is used to identify </w:t>
      </w:r>
      <w:r w:rsidRPr="00FA0D37">
        <w:t xml:space="preserve">a BH RLC channel in the link between IAB-MT </w:t>
      </w:r>
      <w:r w:rsidRPr="00FA0D37">
        <w:rPr>
          <w:rFonts w:eastAsia="宋体"/>
        </w:rPr>
        <w:t xml:space="preserve">of the IAB-node </w:t>
      </w:r>
      <w:r w:rsidRPr="00FA0D37">
        <w:t>and IAB-DU of the parent IAB-node or IAB-donor-DU.</w:t>
      </w:r>
    </w:p>
    <w:p w14:paraId="3269F331" w14:textId="77777777" w:rsidR="00394471" w:rsidRPr="00FA0D37" w:rsidRDefault="00394471" w:rsidP="00394471">
      <w:pPr>
        <w:pStyle w:val="TH"/>
        <w:rPr>
          <w:rFonts w:eastAsia="宋体"/>
        </w:rPr>
      </w:pPr>
      <w:r w:rsidRPr="00FA0D37">
        <w:rPr>
          <w:i/>
        </w:rPr>
        <w:t>BH-RLC-ChannelID</w:t>
      </w:r>
      <w:r w:rsidRPr="00FA0D37">
        <w:rPr>
          <w:rFonts w:eastAsia="宋体"/>
          <w:i/>
        </w:rPr>
        <w:t xml:space="preserve"> </w:t>
      </w:r>
      <w:r w:rsidRPr="00FA0D37">
        <w:rPr>
          <w:rFonts w:eastAsia="宋体"/>
        </w:rPr>
        <w:t>information element</w:t>
      </w:r>
    </w:p>
    <w:p w14:paraId="25A37711" w14:textId="77777777" w:rsidR="00394471" w:rsidRPr="00FA0D37" w:rsidRDefault="00394471" w:rsidP="00FA0D37">
      <w:pPr>
        <w:pStyle w:val="PL"/>
        <w:rPr>
          <w:color w:val="808080"/>
        </w:rPr>
      </w:pPr>
      <w:r w:rsidRPr="00FA0D37">
        <w:rPr>
          <w:color w:val="808080"/>
        </w:rPr>
        <w:t>-- ASN1START</w:t>
      </w:r>
    </w:p>
    <w:p w14:paraId="0B1B9FF8" w14:textId="77777777" w:rsidR="00394471" w:rsidRPr="00FA0D37" w:rsidRDefault="00394471" w:rsidP="00FA0D37">
      <w:pPr>
        <w:pStyle w:val="PL"/>
        <w:rPr>
          <w:color w:val="808080"/>
        </w:rPr>
      </w:pPr>
      <w:r w:rsidRPr="00FA0D37">
        <w:rPr>
          <w:color w:val="808080"/>
        </w:rPr>
        <w:t>-- TAG-BHRLCCHANNELID-START</w:t>
      </w:r>
    </w:p>
    <w:p w14:paraId="3DD4A9F0" w14:textId="77777777" w:rsidR="00394471" w:rsidRPr="00FA0D37" w:rsidRDefault="00394471" w:rsidP="00FA0D37">
      <w:pPr>
        <w:pStyle w:val="PL"/>
      </w:pPr>
    </w:p>
    <w:p w14:paraId="2288228C" w14:textId="77777777" w:rsidR="00394471" w:rsidRPr="00FA0D37" w:rsidRDefault="00394471" w:rsidP="00FA0D37">
      <w:pPr>
        <w:pStyle w:val="PL"/>
      </w:pPr>
      <w:r w:rsidRPr="00FA0D37">
        <w:t xml:space="preserve">BH-RLC-ChannelID-r16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5BA21DD7" w14:textId="77777777" w:rsidR="00394471" w:rsidRPr="00FA0D37" w:rsidRDefault="00394471" w:rsidP="00FA0D37">
      <w:pPr>
        <w:pStyle w:val="PL"/>
      </w:pPr>
    </w:p>
    <w:p w14:paraId="755F97CB" w14:textId="77777777" w:rsidR="00394471" w:rsidRPr="00FA0D37" w:rsidRDefault="00394471" w:rsidP="00FA0D37">
      <w:pPr>
        <w:pStyle w:val="PL"/>
        <w:rPr>
          <w:color w:val="808080"/>
        </w:rPr>
      </w:pPr>
      <w:r w:rsidRPr="00FA0D37">
        <w:rPr>
          <w:color w:val="808080"/>
        </w:rPr>
        <w:t>-- TAG-BHRLCCHANNELID-STOP</w:t>
      </w:r>
    </w:p>
    <w:p w14:paraId="6F4F4D04" w14:textId="77777777" w:rsidR="00394471" w:rsidRPr="00FA0D37" w:rsidRDefault="00394471" w:rsidP="00FA0D37">
      <w:pPr>
        <w:pStyle w:val="PL"/>
        <w:rPr>
          <w:color w:val="808080"/>
        </w:rPr>
      </w:pPr>
      <w:r w:rsidRPr="00FA0D37">
        <w:rPr>
          <w:color w:val="808080"/>
        </w:rPr>
        <w:t>-- ASN1STOP</w:t>
      </w:r>
    </w:p>
    <w:p w14:paraId="504A7F79" w14:textId="77777777" w:rsidR="00394471" w:rsidRPr="00FA0D37" w:rsidRDefault="00394471" w:rsidP="00394471"/>
    <w:p w14:paraId="550929E2" w14:textId="77777777" w:rsidR="00394471" w:rsidRPr="00FA0D37" w:rsidRDefault="00394471" w:rsidP="00394471">
      <w:pPr>
        <w:pStyle w:val="4"/>
      </w:pPr>
      <w:bookmarkStart w:id="898" w:name="_Toc60777175"/>
      <w:bookmarkStart w:id="899" w:name="_Toc146781220"/>
      <w:r w:rsidRPr="00FA0D37">
        <w:t>–</w:t>
      </w:r>
      <w:r w:rsidRPr="00FA0D37">
        <w:tab/>
      </w:r>
      <w:r w:rsidRPr="00FA0D37">
        <w:rPr>
          <w:i/>
        </w:rPr>
        <w:t>BSR-Config</w:t>
      </w:r>
      <w:bookmarkEnd w:id="898"/>
      <w:bookmarkEnd w:id="899"/>
    </w:p>
    <w:p w14:paraId="5B98B6A4" w14:textId="77777777" w:rsidR="00394471" w:rsidRPr="00FA0D37" w:rsidRDefault="00394471" w:rsidP="00394471">
      <w:r w:rsidRPr="00FA0D37">
        <w:t xml:space="preserve">The IE </w:t>
      </w:r>
      <w:r w:rsidRPr="00FA0D37">
        <w:rPr>
          <w:i/>
        </w:rPr>
        <w:t>BSR-Config</w:t>
      </w:r>
      <w:r w:rsidRPr="00FA0D37">
        <w:t xml:space="preserve"> is used to configure buffer status reporting.</w:t>
      </w:r>
    </w:p>
    <w:p w14:paraId="0CA38EDE" w14:textId="77777777" w:rsidR="00394471" w:rsidRPr="00FA0D37" w:rsidRDefault="00394471" w:rsidP="00394471">
      <w:pPr>
        <w:pStyle w:val="TH"/>
      </w:pPr>
      <w:r w:rsidRPr="00FA0D37">
        <w:rPr>
          <w:i/>
        </w:rPr>
        <w:t>BSR-Config</w:t>
      </w:r>
      <w:r w:rsidRPr="00FA0D37">
        <w:t xml:space="preserve"> information element</w:t>
      </w:r>
    </w:p>
    <w:p w14:paraId="79AC9397" w14:textId="77777777" w:rsidR="00394471" w:rsidRPr="00FA0D37" w:rsidRDefault="00394471" w:rsidP="00FA0D37">
      <w:pPr>
        <w:pStyle w:val="PL"/>
        <w:rPr>
          <w:color w:val="808080"/>
        </w:rPr>
      </w:pPr>
      <w:r w:rsidRPr="00FA0D37">
        <w:rPr>
          <w:color w:val="808080"/>
        </w:rPr>
        <w:t>-- ASN1START</w:t>
      </w:r>
    </w:p>
    <w:p w14:paraId="6CA709DB" w14:textId="77777777" w:rsidR="00394471" w:rsidRPr="00FA0D37" w:rsidRDefault="00394471" w:rsidP="00FA0D37">
      <w:pPr>
        <w:pStyle w:val="PL"/>
        <w:rPr>
          <w:color w:val="808080"/>
        </w:rPr>
      </w:pPr>
      <w:r w:rsidRPr="00FA0D37">
        <w:rPr>
          <w:color w:val="808080"/>
        </w:rPr>
        <w:t>-- TAG-BSR-CONFIG-START</w:t>
      </w:r>
    </w:p>
    <w:p w14:paraId="5F31F617" w14:textId="77777777" w:rsidR="00394471" w:rsidRPr="00FA0D37" w:rsidRDefault="00394471" w:rsidP="00FA0D37">
      <w:pPr>
        <w:pStyle w:val="PL"/>
      </w:pPr>
    </w:p>
    <w:p w14:paraId="1ABAC0FA" w14:textId="77777777" w:rsidR="00394471" w:rsidRPr="00FA0D37" w:rsidRDefault="00394471" w:rsidP="00FA0D37">
      <w:pPr>
        <w:pStyle w:val="PL"/>
      </w:pPr>
      <w:r w:rsidRPr="00FA0D37">
        <w:t xml:space="preserve">BSR-Config ::=                      </w:t>
      </w:r>
      <w:r w:rsidRPr="00FA0D37">
        <w:rPr>
          <w:color w:val="993366"/>
        </w:rPr>
        <w:t>SEQUENCE</w:t>
      </w:r>
      <w:r w:rsidRPr="00FA0D37">
        <w:t xml:space="preserve"> {</w:t>
      </w:r>
    </w:p>
    <w:p w14:paraId="0989EA86" w14:textId="77777777" w:rsidR="00394471" w:rsidRPr="00FA0D37" w:rsidRDefault="00394471" w:rsidP="00FA0D37">
      <w:pPr>
        <w:pStyle w:val="PL"/>
      </w:pPr>
      <w:r w:rsidRPr="00FA0D37">
        <w:t xml:space="preserve">    periodicBSR-Timer                   </w:t>
      </w:r>
      <w:r w:rsidRPr="00FA0D37">
        <w:rPr>
          <w:color w:val="993366"/>
        </w:rPr>
        <w:t>ENUMERATED</w:t>
      </w:r>
      <w:r w:rsidRPr="00FA0D37">
        <w:t xml:space="preserve"> { sf1, sf5, sf10, sf16, sf20, sf32, sf40, sf64,</w:t>
      </w:r>
    </w:p>
    <w:p w14:paraId="0AF6D6E6" w14:textId="77777777" w:rsidR="00394471" w:rsidRPr="00FA0D37" w:rsidRDefault="00394471" w:rsidP="00FA0D37">
      <w:pPr>
        <w:pStyle w:val="PL"/>
      </w:pPr>
      <w:r w:rsidRPr="00FA0D37">
        <w:t xml:space="preserve">                                                        sf80, sf128, sf160, sf320, sf640, sf1280, sf2560, infinity },</w:t>
      </w:r>
    </w:p>
    <w:p w14:paraId="3A9EDC38" w14:textId="77777777" w:rsidR="00394471" w:rsidRPr="00FA0D37" w:rsidRDefault="00394471" w:rsidP="00FA0D37">
      <w:pPr>
        <w:pStyle w:val="PL"/>
      </w:pPr>
      <w:r w:rsidRPr="00FA0D37">
        <w:t xml:space="preserve">    retxBSR-Timer                       </w:t>
      </w:r>
      <w:r w:rsidRPr="00FA0D37">
        <w:rPr>
          <w:color w:val="993366"/>
        </w:rPr>
        <w:t>ENUMERATED</w:t>
      </w:r>
      <w:r w:rsidRPr="00FA0D37">
        <w:t xml:space="preserve"> { sf10, sf20, sf40, sf80, sf160, sf320, sf640, sf1280, sf2560,</w:t>
      </w:r>
    </w:p>
    <w:p w14:paraId="7B731FB1" w14:textId="77777777" w:rsidR="00394471" w:rsidRPr="00FA0D37" w:rsidRDefault="00394471" w:rsidP="00FA0D37">
      <w:pPr>
        <w:pStyle w:val="PL"/>
      </w:pPr>
      <w:r w:rsidRPr="00FA0D37">
        <w:t xml:space="preserve">                                                        sf5120, sf10240, spare5, spare4, spare3, spare2, spare1},</w:t>
      </w:r>
    </w:p>
    <w:p w14:paraId="0A93B0DB" w14:textId="77777777" w:rsidR="00394471" w:rsidRPr="00FA0D37" w:rsidRDefault="00394471" w:rsidP="00FA0D37">
      <w:pPr>
        <w:pStyle w:val="PL"/>
        <w:rPr>
          <w:color w:val="808080"/>
        </w:rPr>
      </w:pPr>
      <w:r w:rsidRPr="00FA0D37">
        <w:t xml:space="preserve">    logicalChannelSR-DelayTimer         </w:t>
      </w:r>
      <w:r w:rsidRPr="00FA0D37">
        <w:rPr>
          <w:color w:val="993366"/>
        </w:rPr>
        <w:t>ENUMERATED</w:t>
      </w:r>
      <w:r w:rsidRPr="00FA0D37">
        <w:t xml:space="preserve"> { sf20, sf40, sf64, sf128, sf512, sf1024, sf2560, spare1}                </w:t>
      </w:r>
      <w:r w:rsidRPr="00FA0D37">
        <w:rPr>
          <w:color w:val="993366"/>
        </w:rPr>
        <w:t>OPTIONAL</w:t>
      </w:r>
      <w:r w:rsidRPr="00FA0D37">
        <w:t xml:space="preserve">, </w:t>
      </w:r>
      <w:r w:rsidRPr="00FA0D37">
        <w:rPr>
          <w:color w:val="808080"/>
        </w:rPr>
        <w:t>-- Need R</w:t>
      </w:r>
    </w:p>
    <w:p w14:paraId="5EF4763B" w14:textId="77777777" w:rsidR="00394471" w:rsidRPr="00FA0D37" w:rsidRDefault="00394471" w:rsidP="00FA0D37">
      <w:pPr>
        <w:pStyle w:val="PL"/>
      </w:pPr>
      <w:r w:rsidRPr="00FA0D37">
        <w:lastRenderedPageBreak/>
        <w:t xml:space="preserve">    ...</w:t>
      </w:r>
    </w:p>
    <w:p w14:paraId="6368A9DF" w14:textId="77777777" w:rsidR="00394471" w:rsidRPr="00FA0D37" w:rsidRDefault="00394471" w:rsidP="00FA0D37">
      <w:pPr>
        <w:pStyle w:val="PL"/>
      </w:pPr>
      <w:r w:rsidRPr="00FA0D37">
        <w:t>}</w:t>
      </w:r>
    </w:p>
    <w:p w14:paraId="4149B431" w14:textId="77777777" w:rsidR="00394471" w:rsidRPr="00FA0D37" w:rsidRDefault="00394471" w:rsidP="00FA0D37">
      <w:pPr>
        <w:pStyle w:val="PL"/>
      </w:pPr>
    </w:p>
    <w:p w14:paraId="43929005" w14:textId="77777777" w:rsidR="00394471" w:rsidRPr="00FA0D37" w:rsidRDefault="00394471" w:rsidP="00FA0D37">
      <w:pPr>
        <w:pStyle w:val="PL"/>
        <w:rPr>
          <w:color w:val="808080"/>
        </w:rPr>
      </w:pPr>
      <w:r w:rsidRPr="00FA0D37">
        <w:rPr>
          <w:color w:val="808080"/>
        </w:rPr>
        <w:t>-- TAG-BSR-CONFIG-STOP</w:t>
      </w:r>
    </w:p>
    <w:p w14:paraId="68ABEFF2" w14:textId="77777777" w:rsidR="00394471" w:rsidRPr="00FA0D37" w:rsidRDefault="00394471" w:rsidP="00FA0D37">
      <w:pPr>
        <w:pStyle w:val="PL"/>
        <w:rPr>
          <w:color w:val="808080"/>
        </w:rPr>
      </w:pPr>
      <w:r w:rsidRPr="00FA0D37">
        <w:rPr>
          <w:color w:val="808080"/>
        </w:rPr>
        <w:t>-- ASN1STOP</w:t>
      </w:r>
    </w:p>
    <w:p w14:paraId="272118D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FA0D37" w:rsidRDefault="00394471" w:rsidP="00964CC4">
            <w:pPr>
              <w:pStyle w:val="TAH"/>
              <w:rPr>
                <w:szCs w:val="22"/>
                <w:lang w:eastAsia="sv-SE"/>
              </w:rPr>
            </w:pPr>
            <w:r w:rsidRPr="00FA0D37">
              <w:rPr>
                <w:i/>
                <w:szCs w:val="22"/>
                <w:lang w:eastAsia="sv-SE"/>
              </w:rPr>
              <w:t xml:space="preserve">BSR-Config </w:t>
            </w:r>
            <w:r w:rsidRPr="00FA0D37">
              <w:rPr>
                <w:szCs w:val="22"/>
                <w:lang w:eastAsia="sv-SE"/>
              </w:rPr>
              <w:t>field descriptions</w:t>
            </w:r>
          </w:p>
        </w:tc>
      </w:tr>
      <w:tr w:rsidR="005C7FF4" w:rsidRPr="00FA0D37"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FA0D37" w:rsidRDefault="00394471" w:rsidP="00964CC4">
            <w:pPr>
              <w:pStyle w:val="TAL"/>
              <w:rPr>
                <w:szCs w:val="22"/>
                <w:lang w:eastAsia="sv-SE"/>
              </w:rPr>
            </w:pPr>
            <w:r w:rsidRPr="00FA0D37">
              <w:rPr>
                <w:b/>
                <w:i/>
                <w:szCs w:val="22"/>
                <w:lang w:eastAsia="sv-SE"/>
              </w:rPr>
              <w:t>logicalChannelSR-DelayTimer</w:t>
            </w:r>
          </w:p>
          <w:p w14:paraId="3DD899AD" w14:textId="77777777" w:rsidR="00394471" w:rsidRPr="00FA0D37" w:rsidRDefault="00394471" w:rsidP="00964CC4">
            <w:pPr>
              <w:pStyle w:val="TAL"/>
              <w:rPr>
                <w:szCs w:val="22"/>
                <w:lang w:eastAsia="sv-SE"/>
              </w:rPr>
            </w:pPr>
            <w:r w:rsidRPr="00FA0D37">
              <w:rPr>
                <w:szCs w:val="22"/>
                <w:lang w:eastAsia="sv-SE"/>
              </w:rPr>
              <w:t xml:space="preserve">Value in number of subframes. Value </w:t>
            </w:r>
            <w:r w:rsidRPr="00FA0D37">
              <w:rPr>
                <w:i/>
                <w:lang w:eastAsia="sv-SE"/>
              </w:rPr>
              <w:t>sf20</w:t>
            </w:r>
            <w:r w:rsidRPr="00FA0D37">
              <w:rPr>
                <w:szCs w:val="22"/>
                <w:lang w:eastAsia="sv-SE"/>
              </w:rPr>
              <w:t xml:space="preserve"> corresponds to 20 subframes, </w:t>
            </w:r>
            <w:r w:rsidRPr="00FA0D37">
              <w:rPr>
                <w:i/>
                <w:lang w:eastAsia="sv-SE"/>
              </w:rPr>
              <w:t>sf40</w:t>
            </w:r>
            <w:r w:rsidRPr="00FA0D37">
              <w:rPr>
                <w:szCs w:val="22"/>
                <w:lang w:eastAsia="sv-SE"/>
              </w:rPr>
              <w:t xml:space="preserve"> corresponds to 40 subframes, and so on.</w:t>
            </w:r>
          </w:p>
        </w:tc>
      </w:tr>
      <w:tr w:rsidR="005C7FF4" w:rsidRPr="00FA0D37"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FA0D37" w:rsidRDefault="00394471" w:rsidP="00964CC4">
            <w:pPr>
              <w:pStyle w:val="TAL"/>
              <w:rPr>
                <w:szCs w:val="22"/>
                <w:lang w:eastAsia="sv-SE"/>
              </w:rPr>
            </w:pPr>
            <w:r w:rsidRPr="00FA0D37">
              <w:rPr>
                <w:b/>
                <w:i/>
                <w:szCs w:val="22"/>
                <w:lang w:eastAsia="sv-SE"/>
              </w:rPr>
              <w:t>periodicBSR-Timer</w:t>
            </w:r>
          </w:p>
          <w:p w14:paraId="6131DE19" w14:textId="77777777" w:rsidR="00394471" w:rsidRPr="00FA0D37" w:rsidRDefault="00394471" w:rsidP="00964CC4">
            <w:pPr>
              <w:pStyle w:val="TAL"/>
              <w:rPr>
                <w:szCs w:val="22"/>
                <w:lang w:eastAsia="sv-SE"/>
              </w:rPr>
            </w:pPr>
            <w:r w:rsidRPr="00FA0D37">
              <w:rPr>
                <w:szCs w:val="22"/>
                <w:lang w:eastAsia="sv-SE"/>
              </w:rPr>
              <w:t xml:space="preserve">Value in number of subframes. Value </w:t>
            </w:r>
            <w:r w:rsidRPr="00FA0D37">
              <w:rPr>
                <w:i/>
                <w:lang w:eastAsia="sv-SE"/>
              </w:rPr>
              <w:t>sf1</w:t>
            </w:r>
            <w:r w:rsidRPr="00FA0D37">
              <w:rPr>
                <w:szCs w:val="22"/>
                <w:lang w:eastAsia="sv-SE"/>
              </w:rPr>
              <w:t xml:space="preserve"> corresponds to 1 subframe, value </w:t>
            </w:r>
            <w:r w:rsidRPr="00FA0D37">
              <w:rPr>
                <w:i/>
                <w:lang w:eastAsia="sv-SE"/>
              </w:rPr>
              <w:t>sf5</w:t>
            </w:r>
            <w:r w:rsidRPr="00FA0D37">
              <w:rPr>
                <w:szCs w:val="22"/>
                <w:lang w:eastAsia="sv-SE"/>
              </w:rPr>
              <w:t xml:space="preserve"> corresponds to 5 subframes and so on.</w:t>
            </w:r>
          </w:p>
        </w:tc>
      </w:tr>
      <w:tr w:rsidR="00394471" w:rsidRPr="00FA0D37"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FA0D37" w:rsidRDefault="00394471" w:rsidP="00964CC4">
            <w:pPr>
              <w:pStyle w:val="TAL"/>
              <w:rPr>
                <w:szCs w:val="22"/>
                <w:lang w:eastAsia="sv-SE"/>
              </w:rPr>
            </w:pPr>
            <w:r w:rsidRPr="00FA0D37">
              <w:rPr>
                <w:b/>
                <w:i/>
                <w:szCs w:val="22"/>
                <w:lang w:eastAsia="sv-SE"/>
              </w:rPr>
              <w:t>retxBSR-Timer</w:t>
            </w:r>
          </w:p>
          <w:p w14:paraId="03943F49" w14:textId="77777777" w:rsidR="00394471" w:rsidRPr="00FA0D37" w:rsidRDefault="00394471" w:rsidP="00964CC4">
            <w:pPr>
              <w:pStyle w:val="TAL"/>
              <w:rPr>
                <w:szCs w:val="22"/>
                <w:lang w:eastAsia="sv-SE"/>
              </w:rPr>
            </w:pPr>
            <w:r w:rsidRPr="00FA0D37">
              <w:rPr>
                <w:szCs w:val="22"/>
                <w:lang w:eastAsia="sv-SE"/>
              </w:rPr>
              <w:t xml:space="preserve">Value in number of subframes. Value </w:t>
            </w:r>
            <w:r w:rsidRPr="00FA0D37">
              <w:rPr>
                <w:i/>
                <w:lang w:eastAsia="sv-SE"/>
              </w:rPr>
              <w:t>sf10</w:t>
            </w:r>
            <w:r w:rsidRPr="00FA0D37">
              <w:rPr>
                <w:szCs w:val="22"/>
                <w:lang w:eastAsia="sv-SE"/>
              </w:rPr>
              <w:t xml:space="preserve"> corresponds to 10 subframes, value </w:t>
            </w:r>
            <w:r w:rsidRPr="00FA0D37">
              <w:rPr>
                <w:i/>
                <w:lang w:eastAsia="sv-SE"/>
              </w:rPr>
              <w:t>sf20</w:t>
            </w:r>
            <w:r w:rsidRPr="00FA0D37">
              <w:rPr>
                <w:szCs w:val="22"/>
                <w:lang w:eastAsia="sv-SE"/>
              </w:rPr>
              <w:t xml:space="preserve"> corresponds to 20 subframes and so on.</w:t>
            </w:r>
          </w:p>
        </w:tc>
      </w:tr>
    </w:tbl>
    <w:p w14:paraId="39AFA19E" w14:textId="77777777" w:rsidR="00394471" w:rsidRPr="00FA0D37" w:rsidRDefault="00394471" w:rsidP="00394471"/>
    <w:p w14:paraId="21D7FC99" w14:textId="77777777" w:rsidR="00394471" w:rsidRPr="00FA0D37" w:rsidRDefault="00394471" w:rsidP="00394471">
      <w:pPr>
        <w:pStyle w:val="4"/>
      </w:pPr>
      <w:bookmarkStart w:id="900" w:name="_Toc60777176"/>
      <w:bookmarkStart w:id="901" w:name="_Toc146781221"/>
      <w:r w:rsidRPr="00FA0D37">
        <w:t>–</w:t>
      </w:r>
      <w:r w:rsidRPr="00FA0D37">
        <w:tab/>
      </w:r>
      <w:r w:rsidRPr="00FA0D37">
        <w:rPr>
          <w:i/>
        </w:rPr>
        <w:t>BWP</w:t>
      </w:r>
      <w:bookmarkEnd w:id="900"/>
      <w:bookmarkEnd w:id="901"/>
    </w:p>
    <w:p w14:paraId="76023705" w14:textId="77777777" w:rsidR="00394471" w:rsidRPr="00FA0D37" w:rsidRDefault="00394471" w:rsidP="00394471">
      <w:r w:rsidRPr="00FA0D37">
        <w:t xml:space="preserve">The IE </w:t>
      </w:r>
      <w:r w:rsidRPr="00FA0D37">
        <w:rPr>
          <w:i/>
        </w:rPr>
        <w:t xml:space="preserve">BWP </w:t>
      </w:r>
      <w:r w:rsidRPr="00FA0D37">
        <w:t>is used to configure generic parameters of a bandwidth part as defined in TS 38.211 [16], clause 4.5, and TS 38.213 [13], clause 12.</w:t>
      </w:r>
    </w:p>
    <w:p w14:paraId="4E05B8EC" w14:textId="77777777" w:rsidR="00394471" w:rsidRPr="00FA0D37" w:rsidRDefault="00394471" w:rsidP="00394471">
      <w:r w:rsidRPr="00FA0D37">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FA0D37" w:rsidRDefault="00394471" w:rsidP="00394471">
      <w:r w:rsidRPr="00FA0D37">
        <w:t>The uplink and downlink bandwidth part configurations are divided into common and dedicated parameters.</w:t>
      </w:r>
    </w:p>
    <w:p w14:paraId="65715FBB" w14:textId="77777777" w:rsidR="00394471" w:rsidRPr="00FA0D37" w:rsidRDefault="00394471" w:rsidP="00394471">
      <w:pPr>
        <w:pStyle w:val="TH"/>
      </w:pPr>
      <w:r w:rsidRPr="00FA0D37">
        <w:rPr>
          <w:i/>
        </w:rPr>
        <w:t>BWP</w:t>
      </w:r>
      <w:r w:rsidRPr="00FA0D37">
        <w:t xml:space="preserve"> information element</w:t>
      </w:r>
    </w:p>
    <w:p w14:paraId="49726EE9" w14:textId="77777777" w:rsidR="00394471" w:rsidRPr="00FA0D37" w:rsidRDefault="00394471" w:rsidP="00FA0D37">
      <w:pPr>
        <w:pStyle w:val="PL"/>
        <w:rPr>
          <w:color w:val="808080"/>
        </w:rPr>
      </w:pPr>
      <w:r w:rsidRPr="00FA0D37">
        <w:rPr>
          <w:color w:val="808080"/>
        </w:rPr>
        <w:t>-- ASN1START</w:t>
      </w:r>
    </w:p>
    <w:p w14:paraId="4615C2A7" w14:textId="77777777" w:rsidR="00394471" w:rsidRPr="00FA0D37" w:rsidRDefault="00394471" w:rsidP="00FA0D37">
      <w:pPr>
        <w:pStyle w:val="PL"/>
        <w:rPr>
          <w:color w:val="808080"/>
        </w:rPr>
      </w:pPr>
      <w:r w:rsidRPr="00FA0D37">
        <w:rPr>
          <w:color w:val="808080"/>
        </w:rPr>
        <w:t>-- TAG-BWP-START</w:t>
      </w:r>
    </w:p>
    <w:p w14:paraId="4BD94A9F" w14:textId="77777777" w:rsidR="00394471" w:rsidRPr="00FA0D37" w:rsidRDefault="00394471" w:rsidP="00FA0D37">
      <w:pPr>
        <w:pStyle w:val="PL"/>
      </w:pPr>
    </w:p>
    <w:p w14:paraId="6A109A50" w14:textId="77777777" w:rsidR="00394471" w:rsidRPr="00FA0D37" w:rsidRDefault="00394471" w:rsidP="00FA0D37">
      <w:pPr>
        <w:pStyle w:val="PL"/>
      </w:pPr>
      <w:r w:rsidRPr="00FA0D37">
        <w:t xml:space="preserve">BWP ::=                             </w:t>
      </w:r>
      <w:r w:rsidRPr="00FA0D37">
        <w:rPr>
          <w:color w:val="993366"/>
        </w:rPr>
        <w:t>SEQUENCE</w:t>
      </w:r>
      <w:r w:rsidRPr="00FA0D37">
        <w:t xml:space="preserve"> {</w:t>
      </w:r>
    </w:p>
    <w:p w14:paraId="19FCE620" w14:textId="77777777" w:rsidR="00394471" w:rsidRPr="00FA0D37" w:rsidRDefault="00394471" w:rsidP="00FA0D37">
      <w:pPr>
        <w:pStyle w:val="PL"/>
      </w:pPr>
      <w:r w:rsidRPr="00FA0D37">
        <w:t xml:space="preserve">    locationAndBandwidth                </w:t>
      </w:r>
      <w:r w:rsidRPr="00FA0D37">
        <w:rPr>
          <w:color w:val="993366"/>
        </w:rPr>
        <w:t>INTEGER</w:t>
      </w:r>
      <w:r w:rsidRPr="00FA0D37">
        <w:t xml:space="preserve"> (0..37949),</w:t>
      </w:r>
    </w:p>
    <w:p w14:paraId="16152528" w14:textId="77777777" w:rsidR="00394471" w:rsidRPr="00FA0D37" w:rsidRDefault="00394471" w:rsidP="00FA0D37">
      <w:pPr>
        <w:pStyle w:val="PL"/>
      </w:pPr>
      <w:r w:rsidRPr="00FA0D37">
        <w:t xml:space="preserve">    subcarrierSpacing                   SubcarrierSpacing,</w:t>
      </w:r>
    </w:p>
    <w:p w14:paraId="443F269B" w14:textId="77777777" w:rsidR="00394471" w:rsidRPr="00FA0D37" w:rsidRDefault="00394471" w:rsidP="00FA0D37">
      <w:pPr>
        <w:pStyle w:val="PL"/>
        <w:rPr>
          <w:color w:val="808080"/>
        </w:rPr>
      </w:pPr>
      <w:r w:rsidRPr="00FA0D37">
        <w:t xml:space="preserve">    cyclicPrefix                        </w:t>
      </w:r>
      <w:r w:rsidRPr="00FA0D37">
        <w:rPr>
          <w:color w:val="993366"/>
        </w:rPr>
        <w:t>ENUMERATED</w:t>
      </w:r>
      <w:r w:rsidRPr="00FA0D37">
        <w:t xml:space="preserve"> { extended }                                                 </w:t>
      </w:r>
      <w:r w:rsidRPr="00FA0D37">
        <w:rPr>
          <w:color w:val="993366"/>
        </w:rPr>
        <w:t>OPTIONAL</w:t>
      </w:r>
      <w:r w:rsidRPr="00FA0D37">
        <w:t xml:space="preserve">    </w:t>
      </w:r>
      <w:r w:rsidRPr="00FA0D37">
        <w:rPr>
          <w:color w:val="808080"/>
        </w:rPr>
        <w:t>-- Need R</w:t>
      </w:r>
    </w:p>
    <w:p w14:paraId="45B8CF31" w14:textId="77777777" w:rsidR="00394471" w:rsidRPr="00FA0D37" w:rsidRDefault="00394471" w:rsidP="00FA0D37">
      <w:pPr>
        <w:pStyle w:val="PL"/>
      </w:pPr>
      <w:r w:rsidRPr="00FA0D37">
        <w:t>}</w:t>
      </w:r>
    </w:p>
    <w:p w14:paraId="0FB78460" w14:textId="77777777" w:rsidR="00394471" w:rsidRPr="00FA0D37" w:rsidRDefault="00394471" w:rsidP="00FA0D37">
      <w:pPr>
        <w:pStyle w:val="PL"/>
      </w:pPr>
    </w:p>
    <w:p w14:paraId="0E5E130C" w14:textId="77777777" w:rsidR="00394471" w:rsidRPr="00FA0D37" w:rsidRDefault="00394471" w:rsidP="00FA0D37">
      <w:pPr>
        <w:pStyle w:val="PL"/>
        <w:rPr>
          <w:color w:val="808080"/>
        </w:rPr>
      </w:pPr>
      <w:r w:rsidRPr="00FA0D37">
        <w:rPr>
          <w:color w:val="808080"/>
        </w:rPr>
        <w:t>-- TAG-BWP-STOP</w:t>
      </w:r>
    </w:p>
    <w:p w14:paraId="4A0D615D" w14:textId="77777777" w:rsidR="00394471" w:rsidRPr="00FA0D37" w:rsidRDefault="00394471" w:rsidP="00FA0D37">
      <w:pPr>
        <w:pStyle w:val="PL"/>
        <w:rPr>
          <w:color w:val="808080"/>
        </w:rPr>
      </w:pPr>
      <w:r w:rsidRPr="00FA0D37">
        <w:rPr>
          <w:color w:val="808080"/>
        </w:rPr>
        <w:t>-- ASN1STOP</w:t>
      </w:r>
    </w:p>
    <w:p w14:paraId="7E5D1AD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FA0D37" w:rsidRDefault="00394471" w:rsidP="00964CC4">
            <w:pPr>
              <w:pStyle w:val="TAH"/>
              <w:rPr>
                <w:szCs w:val="22"/>
                <w:lang w:eastAsia="sv-SE"/>
              </w:rPr>
            </w:pPr>
            <w:r w:rsidRPr="00FA0D37">
              <w:rPr>
                <w:i/>
                <w:szCs w:val="22"/>
                <w:lang w:eastAsia="sv-SE"/>
              </w:rPr>
              <w:lastRenderedPageBreak/>
              <w:t xml:space="preserve">BWP </w:t>
            </w:r>
            <w:r w:rsidRPr="00FA0D37">
              <w:rPr>
                <w:szCs w:val="22"/>
                <w:lang w:eastAsia="sv-SE"/>
              </w:rPr>
              <w:t>field descriptions</w:t>
            </w:r>
          </w:p>
        </w:tc>
      </w:tr>
      <w:tr w:rsidR="005C7FF4" w:rsidRPr="00FA0D37"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FA0D37" w:rsidRDefault="00394471" w:rsidP="00964CC4">
            <w:pPr>
              <w:pStyle w:val="TAL"/>
              <w:rPr>
                <w:szCs w:val="22"/>
                <w:lang w:eastAsia="sv-SE"/>
              </w:rPr>
            </w:pPr>
            <w:r w:rsidRPr="00FA0D37">
              <w:rPr>
                <w:b/>
                <w:i/>
                <w:szCs w:val="22"/>
                <w:lang w:eastAsia="sv-SE"/>
              </w:rPr>
              <w:t>cyclicPrefix</w:t>
            </w:r>
          </w:p>
          <w:p w14:paraId="59943CF3" w14:textId="36B5CE25" w:rsidR="00394471" w:rsidRPr="00FA0D37" w:rsidRDefault="00394471" w:rsidP="00964CC4">
            <w:pPr>
              <w:pStyle w:val="TAL"/>
              <w:rPr>
                <w:szCs w:val="22"/>
                <w:lang w:eastAsia="sv-SE"/>
              </w:rPr>
            </w:pPr>
            <w:r w:rsidRPr="00FA0D37">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FA0D37">
              <w:rPr>
                <w:szCs w:val="22"/>
                <w:lang w:eastAsia="sv-SE"/>
              </w:rPr>
              <w:t>. Except for SUL, the network ensures the same cyclic prefix length is used in active DL BWP and active UL BWP within a serving cell.</w:t>
            </w:r>
          </w:p>
        </w:tc>
      </w:tr>
      <w:tr w:rsidR="005C7FF4" w:rsidRPr="00FA0D37"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FA0D37" w:rsidRDefault="00394471" w:rsidP="00964CC4">
            <w:pPr>
              <w:pStyle w:val="TAL"/>
              <w:rPr>
                <w:szCs w:val="22"/>
                <w:lang w:eastAsia="sv-SE"/>
              </w:rPr>
            </w:pPr>
            <w:r w:rsidRPr="00FA0D37">
              <w:rPr>
                <w:b/>
                <w:i/>
                <w:szCs w:val="22"/>
                <w:lang w:eastAsia="sv-SE"/>
              </w:rPr>
              <w:t>locationAndBandwidth</w:t>
            </w:r>
          </w:p>
          <w:p w14:paraId="756BE3A8" w14:textId="77777777" w:rsidR="00394471" w:rsidRPr="00FA0D37" w:rsidRDefault="00394471" w:rsidP="00964CC4">
            <w:pPr>
              <w:pStyle w:val="TAL"/>
              <w:rPr>
                <w:szCs w:val="22"/>
                <w:lang w:eastAsia="sv-SE"/>
              </w:rPr>
            </w:pPr>
            <w:r w:rsidRPr="00FA0D37">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FA0D37">
              <w:rPr>
                <w:position w:val="-10"/>
                <w:lang w:eastAsia="sv-SE"/>
              </w:rPr>
              <w:object w:dxaOrig="585" w:dyaOrig="435" w14:anchorId="16F39703">
                <v:shape id="_x0000_i1031" type="#_x0000_t75" style="width:29.6pt;height:22.1pt" o:ole="">
                  <v:imagedata r:id="rId27" o:title=""/>
                </v:shape>
                <o:OLEObject Type="Embed" ProgID="Equation.3" ShapeID="_x0000_i1031" DrawAspect="Content" ObjectID="_1763391808" r:id="rId28"/>
              </w:object>
            </w:r>
            <w:r w:rsidRPr="00FA0D37">
              <w:rPr>
                <w:szCs w:val="22"/>
                <w:lang w:eastAsia="sv-SE"/>
              </w:rPr>
              <w:t xml:space="preserve">=275. The first PRB is a PRB determined by </w:t>
            </w:r>
            <w:r w:rsidRPr="00FA0D37">
              <w:rPr>
                <w:i/>
                <w:lang w:eastAsia="sv-SE"/>
              </w:rPr>
              <w:t>subcarrierSpacing</w:t>
            </w:r>
            <w:r w:rsidRPr="00FA0D37">
              <w:rPr>
                <w:szCs w:val="22"/>
                <w:lang w:eastAsia="sv-SE"/>
              </w:rPr>
              <w:t xml:space="preserve"> of this BWP and </w:t>
            </w:r>
            <w:r w:rsidRPr="00FA0D37">
              <w:rPr>
                <w:i/>
                <w:lang w:eastAsia="sv-SE"/>
              </w:rPr>
              <w:t>offsetToCarrier</w:t>
            </w:r>
            <w:r w:rsidRPr="00FA0D37">
              <w:rPr>
                <w:szCs w:val="22"/>
                <w:lang w:eastAsia="sv-SE"/>
              </w:rPr>
              <w:t xml:space="preserve"> (configured in </w:t>
            </w:r>
            <w:r w:rsidRPr="00FA0D37">
              <w:rPr>
                <w:i/>
                <w:lang w:eastAsia="sv-SE"/>
              </w:rPr>
              <w:t>SCS-SpecificCarrier</w:t>
            </w:r>
            <w:r w:rsidRPr="00FA0D37">
              <w:rPr>
                <w:szCs w:val="22"/>
                <w:lang w:eastAsia="sv-SE"/>
              </w:rPr>
              <w:t xml:space="preserve"> contained within </w:t>
            </w:r>
            <w:r w:rsidRPr="00FA0D37">
              <w:rPr>
                <w:i/>
                <w:lang w:eastAsia="sv-SE"/>
              </w:rPr>
              <w:t>FrequencyInfoDL</w:t>
            </w:r>
            <w:r w:rsidRPr="00FA0D37">
              <w:rPr>
                <w:szCs w:val="22"/>
                <w:lang w:eastAsia="sv-SE"/>
              </w:rPr>
              <w:t xml:space="preserve"> / </w:t>
            </w:r>
            <w:r w:rsidRPr="00FA0D37">
              <w:rPr>
                <w:i/>
                <w:lang w:eastAsia="sv-SE"/>
              </w:rPr>
              <w:t>FrequencyInfoUL</w:t>
            </w:r>
            <w:r w:rsidRPr="00FA0D37">
              <w:rPr>
                <w:szCs w:val="22"/>
                <w:lang w:eastAsia="sv-SE"/>
              </w:rPr>
              <w:t xml:space="preserve"> / </w:t>
            </w:r>
            <w:r w:rsidRPr="00FA0D37">
              <w:rPr>
                <w:i/>
                <w:lang w:eastAsia="sv-SE"/>
              </w:rPr>
              <w:t>FrequencyInfoUL-SIB</w:t>
            </w:r>
            <w:r w:rsidRPr="00FA0D37">
              <w:rPr>
                <w:szCs w:val="22"/>
                <w:lang w:eastAsia="sv-SE"/>
              </w:rPr>
              <w:t xml:space="preserve"> / </w:t>
            </w:r>
            <w:r w:rsidRPr="00FA0D37">
              <w:rPr>
                <w:i/>
                <w:lang w:eastAsia="sv-SE"/>
              </w:rPr>
              <w:t>FrequencyInfoDL-SIB</w:t>
            </w:r>
            <w:r w:rsidRPr="00FA0D37">
              <w:rPr>
                <w:szCs w:val="22"/>
                <w:lang w:eastAsia="sv-SE"/>
              </w:rPr>
              <w:t xml:space="preserve"> within </w:t>
            </w:r>
            <w:r w:rsidRPr="00FA0D37">
              <w:rPr>
                <w:i/>
                <w:szCs w:val="22"/>
                <w:lang w:eastAsia="sv-SE"/>
              </w:rPr>
              <w:t>ServingCellConfigCommon</w:t>
            </w:r>
            <w:r w:rsidRPr="00FA0D37">
              <w:rPr>
                <w:szCs w:val="22"/>
                <w:lang w:eastAsia="sv-SE"/>
              </w:rPr>
              <w:t xml:space="preserve"> / </w:t>
            </w:r>
            <w:r w:rsidRPr="00FA0D37">
              <w:rPr>
                <w:i/>
                <w:szCs w:val="22"/>
                <w:lang w:eastAsia="sv-SE"/>
              </w:rPr>
              <w:t>ServingCellConfigCommonSIB</w:t>
            </w:r>
            <w:r w:rsidRPr="00FA0D37">
              <w:rPr>
                <w:szCs w:val="22"/>
                <w:lang w:eastAsia="sv-SE"/>
              </w:rPr>
              <w:t xml:space="preserve">) corresponding to this subcarrier spacing. In case of TDD, a BWP-pair (UL BWP and DL BWP with the same </w:t>
            </w:r>
            <w:r w:rsidRPr="00FA0D37">
              <w:rPr>
                <w:i/>
                <w:lang w:eastAsia="sv-SE"/>
              </w:rPr>
              <w:t>bwp-Id</w:t>
            </w:r>
            <w:r w:rsidRPr="00FA0D37">
              <w:rPr>
                <w:szCs w:val="22"/>
                <w:lang w:eastAsia="sv-SE"/>
              </w:rPr>
              <w:t>) must have the same center frequency (see TS 38.213 [13], clause 12)</w:t>
            </w:r>
          </w:p>
        </w:tc>
      </w:tr>
      <w:tr w:rsidR="00394471" w:rsidRPr="00FA0D37"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FA0D37" w:rsidRDefault="00394471" w:rsidP="00964CC4">
            <w:pPr>
              <w:pStyle w:val="TAL"/>
              <w:rPr>
                <w:szCs w:val="22"/>
                <w:lang w:eastAsia="sv-SE"/>
              </w:rPr>
            </w:pPr>
            <w:r w:rsidRPr="00FA0D37">
              <w:rPr>
                <w:b/>
                <w:i/>
                <w:szCs w:val="22"/>
                <w:lang w:eastAsia="sv-SE"/>
              </w:rPr>
              <w:t>subcarrierSpacing</w:t>
            </w:r>
          </w:p>
          <w:p w14:paraId="32A1F551" w14:textId="19DCEC3C" w:rsidR="006C501F" w:rsidRPr="00FA0D37" w:rsidRDefault="00394471" w:rsidP="00964CC4">
            <w:pPr>
              <w:pStyle w:val="TAL"/>
              <w:rPr>
                <w:szCs w:val="22"/>
                <w:lang w:eastAsia="sv-SE"/>
              </w:rPr>
            </w:pPr>
            <w:r w:rsidRPr="00FA0D37">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FA0D37">
              <w:rPr>
                <w:i/>
                <w:lang w:eastAsia="sv-SE"/>
              </w:rPr>
              <w:t>kHz15</w:t>
            </w:r>
            <w:r w:rsidRPr="00FA0D37">
              <w:rPr>
                <w:szCs w:val="22"/>
                <w:lang w:eastAsia="sv-SE"/>
              </w:rPr>
              <w:t xml:space="preserve"> corresponds to µ=0, value </w:t>
            </w:r>
            <w:r w:rsidRPr="00FA0D37">
              <w:rPr>
                <w:i/>
                <w:lang w:eastAsia="sv-SE"/>
              </w:rPr>
              <w:t>kHz30</w:t>
            </w:r>
            <w:r w:rsidRPr="00FA0D37">
              <w:rPr>
                <w:szCs w:val="22"/>
                <w:lang w:eastAsia="sv-SE"/>
              </w:rPr>
              <w:t xml:space="preserve"> corresponds to µ=1, and so on.</w:t>
            </w:r>
          </w:p>
          <w:p w14:paraId="161D0ED5" w14:textId="77777777" w:rsidR="006C501F" w:rsidRPr="00FA0D37" w:rsidRDefault="006C501F" w:rsidP="006C501F">
            <w:pPr>
              <w:pStyle w:val="TAL"/>
              <w:rPr>
                <w:szCs w:val="22"/>
                <w:lang w:eastAsia="sv-SE"/>
              </w:rPr>
            </w:pPr>
            <w:r w:rsidRPr="00FA0D37">
              <w:rPr>
                <w:szCs w:val="22"/>
                <w:lang w:eastAsia="sv-SE"/>
              </w:rPr>
              <w:t>Only the following values are applicable depending on the used frequency:</w:t>
            </w:r>
          </w:p>
          <w:p w14:paraId="73CEBA3F" w14:textId="77777777" w:rsidR="006C501F" w:rsidRPr="00FA0D37" w:rsidRDefault="006C501F" w:rsidP="006C501F">
            <w:pPr>
              <w:pStyle w:val="TAL"/>
              <w:rPr>
                <w:szCs w:val="22"/>
                <w:lang w:eastAsia="sv-SE"/>
              </w:rPr>
            </w:pPr>
            <w:r w:rsidRPr="00FA0D37">
              <w:rPr>
                <w:szCs w:val="22"/>
                <w:lang w:eastAsia="sv-SE"/>
              </w:rPr>
              <w:t>FR1:    15, 30, or 60 kHz</w:t>
            </w:r>
          </w:p>
          <w:p w14:paraId="5CCBFDEB" w14:textId="77777777" w:rsidR="006C501F" w:rsidRPr="00FA0D37" w:rsidRDefault="006C501F" w:rsidP="006C501F">
            <w:pPr>
              <w:pStyle w:val="TAL"/>
              <w:rPr>
                <w:szCs w:val="22"/>
                <w:lang w:eastAsia="sv-SE"/>
              </w:rPr>
            </w:pPr>
            <w:r w:rsidRPr="00FA0D37">
              <w:rPr>
                <w:szCs w:val="22"/>
                <w:lang w:eastAsia="sv-SE"/>
              </w:rPr>
              <w:t>FR2-1:  60 or 120 kHz</w:t>
            </w:r>
          </w:p>
          <w:p w14:paraId="0F09EDDD" w14:textId="18D9041A" w:rsidR="006C501F" w:rsidRPr="00FA0D37" w:rsidRDefault="006C501F" w:rsidP="006C501F">
            <w:pPr>
              <w:pStyle w:val="TAL"/>
              <w:rPr>
                <w:szCs w:val="22"/>
                <w:lang w:eastAsia="sv-SE"/>
              </w:rPr>
            </w:pPr>
            <w:r w:rsidRPr="00FA0D37">
              <w:rPr>
                <w:szCs w:val="22"/>
                <w:lang w:eastAsia="sv-SE"/>
              </w:rPr>
              <w:t>FR2-2:  120, 480, or 960 kHz</w:t>
            </w:r>
          </w:p>
          <w:p w14:paraId="6DA8C4C4" w14:textId="626D1D4D" w:rsidR="00394471" w:rsidRPr="00FA0D37" w:rsidRDefault="00394471" w:rsidP="00964CC4">
            <w:pPr>
              <w:pStyle w:val="TAL"/>
              <w:rPr>
                <w:szCs w:val="22"/>
                <w:lang w:eastAsia="sv-SE"/>
              </w:rPr>
            </w:pPr>
            <w:r w:rsidRPr="00FA0D37">
              <w:rPr>
                <w:szCs w:val="22"/>
                <w:lang w:eastAsia="sv-SE"/>
              </w:rPr>
              <w:t xml:space="preserve">For the initial DL BWP </w:t>
            </w:r>
            <w:r w:rsidR="001317B3" w:rsidRPr="00FA0D37">
              <w:rPr>
                <w:rFonts w:eastAsia="Batang"/>
                <w:szCs w:val="22"/>
                <w:lang w:eastAsia="sv-SE"/>
              </w:rPr>
              <w:t xml:space="preserve">and operation in licensed spectrum </w:t>
            </w:r>
            <w:r w:rsidRPr="00FA0D37">
              <w:rPr>
                <w:szCs w:val="22"/>
                <w:lang w:eastAsia="sv-SE"/>
              </w:rPr>
              <w:t xml:space="preserve">this field has the same value as the field </w:t>
            </w:r>
            <w:r w:rsidRPr="00FA0D37">
              <w:rPr>
                <w:i/>
                <w:lang w:eastAsia="sv-SE"/>
              </w:rPr>
              <w:t>subCarrierSpacingCommon</w:t>
            </w:r>
            <w:r w:rsidRPr="00FA0D37">
              <w:rPr>
                <w:szCs w:val="22"/>
                <w:lang w:eastAsia="sv-SE"/>
              </w:rPr>
              <w:t xml:space="preserve"> in </w:t>
            </w:r>
            <w:r w:rsidRPr="00FA0D37">
              <w:rPr>
                <w:i/>
                <w:lang w:eastAsia="sv-SE"/>
              </w:rPr>
              <w:t>MIB</w:t>
            </w:r>
            <w:r w:rsidRPr="00FA0D37">
              <w:rPr>
                <w:szCs w:val="22"/>
                <w:lang w:eastAsia="sv-SE"/>
              </w:rPr>
              <w:t xml:space="preserve"> of the same serving cell.</w:t>
            </w:r>
            <w:r w:rsidR="0076684E" w:rsidRPr="00FA0D37">
              <w:rPr>
                <w:szCs w:val="22"/>
                <w:lang w:eastAsia="sv-SE"/>
              </w:rPr>
              <w:t xml:space="preserve"> Except for SUL, the network ensures the same subcarrier spacing is used in active DL BWP and active UL BWP within a serving cell</w:t>
            </w:r>
            <w:r w:rsidR="001317B3" w:rsidRPr="00FA0D37">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FA0D37">
              <w:rPr>
                <w:szCs w:val="22"/>
                <w:lang w:eastAsia="sv-SE"/>
              </w:rPr>
              <w:t>.</w:t>
            </w:r>
          </w:p>
        </w:tc>
      </w:tr>
    </w:tbl>
    <w:p w14:paraId="2EEB2FE5" w14:textId="77777777" w:rsidR="00394471" w:rsidRPr="00FA0D37" w:rsidRDefault="00394471" w:rsidP="00394471"/>
    <w:p w14:paraId="0F9939B0" w14:textId="77777777" w:rsidR="00394471" w:rsidRPr="00FA0D37" w:rsidRDefault="00394471" w:rsidP="00394471">
      <w:pPr>
        <w:pStyle w:val="4"/>
      </w:pPr>
      <w:bookmarkStart w:id="902" w:name="_Toc60777177"/>
      <w:bookmarkStart w:id="903" w:name="_Toc146781222"/>
      <w:r w:rsidRPr="00FA0D37">
        <w:t>–</w:t>
      </w:r>
      <w:r w:rsidRPr="00FA0D37">
        <w:tab/>
      </w:r>
      <w:r w:rsidRPr="00FA0D37">
        <w:rPr>
          <w:i/>
        </w:rPr>
        <w:t>BWP-Downlink</w:t>
      </w:r>
      <w:bookmarkEnd w:id="902"/>
      <w:bookmarkEnd w:id="903"/>
    </w:p>
    <w:p w14:paraId="0446D215" w14:textId="77777777" w:rsidR="00394471" w:rsidRPr="00FA0D37" w:rsidRDefault="00394471" w:rsidP="00394471">
      <w:r w:rsidRPr="00FA0D37">
        <w:t xml:space="preserve">The IE </w:t>
      </w:r>
      <w:r w:rsidRPr="00FA0D37">
        <w:rPr>
          <w:i/>
        </w:rPr>
        <w:t>BWP-Downlink</w:t>
      </w:r>
      <w:r w:rsidRPr="00FA0D37">
        <w:t xml:space="preserve"> is used to configure an additional downlink bandwidth part (not for the initial BWP).</w:t>
      </w:r>
    </w:p>
    <w:p w14:paraId="2BF62B80" w14:textId="77777777" w:rsidR="00394471" w:rsidRPr="00FA0D37" w:rsidRDefault="00394471" w:rsidP="00394471">
      <w:pPr>
        <w:pStyle w:val="TH"/>
      </w:pPr>
      <w:r w:rsidRPr="00FA0D37">
        <w:rPr>
          <w:i/>
        </w:rPr>
        <w:t>BWP-Downlink</w:t>
      </w:r>
      <w:r w:rsidRPr="00FA0D37">
        <w:t xml:space="preserve"> information element</w:t>
      </w:r>
    </w:p>
    <w:p w14:paraId="1DEF8600" w14:textId="77777777" w:rsidR="00394471" w:rsidRPr="00FA0D37" w:rsidRDefault="00394471" w:rsidP="00FA0D37">
      <w:pPr>
        <w:pStyle w:val="PL"/>
        <w:rPr>
          <w:color w:val="808080"/>
        </w:rPr>
      </w:pPr>
      <w:r w:rsidRPr="00FA0D37">
        <w:rPr>
          <w:color w:val="808080"/>
        </w:rPr>
        <w:t>-- ASN1START</w:t>
      </w:r>
    </w:p>
    <w:p w14:paraId="08F45FD5" w14:textId="77777777" w:rsidR="00394471" w:rsidRPr="00FA0D37" w:rsidRDefault="00394471" w:rsidP="00FA0D37">
      <w:pPr>
        <w:pStyle w:val="PL"/>
        <w:rPr>
          <w:color w:val="808080"/>
        </w:rPr>
      </w:pPr>
      <w:r w:rsidRPr="00FA0D37">
        <w:rPr>
          <w:color w:val="808080"/>
        </w:rPr>
        <w:t>-- TAG-BWP-DOWNLINK-START</w:t>
      </w:r>
    </w:p>
    <w:p w14:paraId="220D19D7" w14:textId="77777777" w:rsidR="00394471" w:rsidRPr="00FA0D37" w:rsidRDefault="00394471" w:rsidP="00FA0D37">
      <w:pPr>
        <w:pStyle w:val="PL"/>
      </w:pPr>
    </w:p>
    <w:p w14:paraId="6BA50E11" w14:textId="77777777" w:rsidR="00394471" w:rsidRPr="00FA0D37" w:rsidRDefault="00394471" w:rsidP="00FA0D37">
      <w:pPr>
        <w:pStyle w:val="PL"/>
      </w:pPr>
      <w:r w:rsidRPr="00FA0D37">
        <w:t xml:space="preserve">BWP-Downlink ::=                    </w:t>
      </w:r>
      <w:r w:rsidRPr="00FA0D37">
        <w:rPr>
          <w:color w:val="993366"/>
        </w:rPr>
        <w:t>SEQUENCE</w:t>
      </w:r>
      <w:r w:rsidRPr="00FA0D37">
        <w:t xml:space="preserve"> {</w:t>
      </w:r>
    </w:p>
    <w:p w14:paraId="36198E86" w14:textId="77777777" w:rsidR="00394471" w:rsidRPr="00FA0D37" w:rsidRDefault="00394471" w:rsidP="00FA0D37">
      <w:pPr>
        <w:pStyle w:val="PL"/>
      </w:pPr>
      <w:r w:rsidRPr="00FA0D37">
        <w:t xml:space="preserve">    bwp-Id                              BWP-Id,</w:t>
      </w:r>
    </w:p>
    <w:p w14:paraId="0D7D7756" w14:textId="77777777" w:rsidR="00394471" w:rsidRPr="00FA0D37" w:rsidRDefault="00394471" w:rsidP="00FA0D37">
      <w:pPr>
        <w:pStyle w:val="PL"/>
        <w:rPr>
          <w:color w:val="808080"/>
        </w:rPr>
      </w:pPr>
      <w:r w:rsidRPr="00FA0D37">
        <w:t xml:space="preserve">    bwp-Common                          BWP-DownlinkCommon                                         </w:t>
      </w:r>
      <w:r w:rsidRPr="00FA0D37">
        <w:rPr>
          <w:color w:val="993366"/>
        </w:rPr>
        <w:t>OPTIONAL</w:t>
      </w:r>
      <w:r w:rsidRPr="00FA0D37">
        <w:t xml:space="preserve">,   </w:t>
      </w:r>
      <w:r w:rsidRPr="00FA0D37">
        <w:rPr>
          <w:color w:val="808080"/>
        </w:rPr>
        <w:t>-- Cond SetupOtherBWP</w:t>
      </w:r>
    </w:p>
    <w:p w14:paraId="2157CAC0" w14:textId="77777777" w:rsidR="00394471" w:rsidRPr="00FA0D37" w:rsidRDefault="00394471" w:rsidP="00FA0D37">
      <w:pPr>
        <w:pStyle w:val="PL"/>
        <w:rPr>
          <w:color w:val="808080"/>
        </w:rPr>
      </w:pPr>
      <w:r w:rsidRPr="00FA0D37">
        <w:t xml:space="preserve">    bwp-Dedicated                       BWP-DownlinkDedicated                                      </w:t>
      </w:r>
      <w:r w:rsidRPr="00FA0D37">
        <w:rPr>
          <w:color w:val="993366"/>
        </w:rPr>
        <w:t>OPTIONAL</w:t>
      </w:r>
      <w:r w:rsidRPr="00FA0D37">
        <w:t xml:space="preserve">,   </w:t>
      </w:r>
      <w:r w:rsidRPr="00FA0D37">
        <w:rPr>
          <w:color w:val="808080"/>
        </w:rPr>
        <w:t>-- Cond SetupOtherBWP</w:t>
      </w:r>
    </w:p>
    <w:p w14:paraId="4009FD8B" w14:textId="77777777" w:rsidR="00394471" w:rsidRPr="00FA0D37" w:rsidRDefault="00394471" w:rsidP="00FA0D37">
      <w:pPr>
        <w:pStyle w:val="PL"/>
      </w:pPr>
      <w:r w:rsidRPr="00FA0D37">
        <w:t xml:space="preserve">    ...</w:t>
      </w:r>
    </w:p>
    <w:p w14:paraId="5A509682" w14:textId="77777777" w:rsidR="00394471" w:rsidRPr="00FA0D37" w:rsidRDefault="00394471" w:rsidP="00FA0D37">
      <w:pPr>
        <w:pStyle w:val="PL"/>
      </w:pPr>
      <w:r w:rsidRPr="00FA0D37">
        <w:t>}</w:t>
      </w:r>
    </w:p>
    <w:p w14:paraId="60AAF156" w14:textId="77777777" w:rsidR="00394471" w:rsidRPr="00FA0D37" w:rsidRDefault="00394471" w:rsidP="00FA0D37">
      <w:pPr>
        <w:pStyle w:val="PL"/>
      </w:pPr>
    </w:p>
    <w:p w14:paraId="18F9509A" w14:textId="77777777" w:rsidR="00394471" w:rsidRPr="00FA0D37" w:rsidRDefault="00394471" w:rsidP="00FA0D37">
      <w:pPr>
        <w:pStyle w:val="PL"/>
        <w:rPr>
          <w:color w:val="808080"/>
        </w:rPr>
      </w:pPr>
      <w:r w:rsidRPr="00FA0D37">
        <w:rPr>
          <w:color w:val="808080"/>
        </w:rPr>
        <w:t>-- TAG-BWP-DOWNLINK-STOP</w:t>
      </w:r>
    </w:p>
    <w:p w14:paraId="2F95EE0D" w14:textId="77777777" w:rsidR="00394471" w:rsidRPr="00FA0D37" w:rsidRDefault="00394471" w:rsidP="00FA0D37">
      <w:pPr>
        <w:pStyle w:val="PL"/>
        <w:rPr>
          <w:color w:val="808080"/>
        </w:rPr>
      </w:pPr>
      <w:r w:rsidRPr="00FA0D37">
        <w:rPr>
          <w:color w:val="808080"/>
        </w:rPr>
        <w:t>-- ASN1STOP</w:t>
      </w:r>
    </w:p>
    <w:p w14:paraId="25DA34D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FA0D37" w:rsidRDefault="00394471" w:rsidP="00964CC4">
            <w:pPr>
              <w:pStyle w:val="TAH"/>
              <w:rPr>
                <w:szCs w:val="22"/>
                <w:lang w:eastAsia="sv-SE"/>
              </w:rPr>
            </w:pPr>
            <w:r w:rsidRPr="00FA0D37">
              <w:rPr>
                <w:i/>
                <w:szCs w:val="22"/>
                <w:lang w:eastAsia="sv-SE"/>
              </w:rPr>
              <w:lastRenderedPageBreak/>
              <w:t xml:space="preserve">BWP-Downlink </w:t>
            </w:r>
            <w:r w:rsidRPr="00FA0D37">
              <w:rPr>
                <w:szCs w:val="22"/>
                <w:lang w:eastAsia="sv-SE"/>
              </w:rPr>
              <w:t>field descriptions</w:t>
            </w:r>
          </w:p>
        </w:tc>
      </w:tr>
      <w:tr w:rsidR="00394471" w:rsidRPr="00FA0D37"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FA0D37" w:rsidRDefault="00394471" w:rsidP="00964CC4">
            <w:pPr>
              <w:pStyle w:val="TAL"/>
              <w:rPr>
                <w:szCs w:val="22"/>
                <w:lang w:eastAsia="sv-SE"/>
              </w:rPr>
            </w:pPr>
            <w:r w:rsidRPr="00FA0D37">
              <w:rPr>
                <w:b/>
                <w:i/>
                <w:szCs w:val="22"/>
                <w:lang w:eastAsia="sv-SE"/>
              </w:rPr>
              <w:t>bwp-Id</w:t>
            </w:r>
          </w:p>
          <w:p w14:paraId="3552A1BC" w14:textId="77777777" w:rsidR="00394471" w:rsidRPr="00FA0D37" w:rsidRDefault="00394471" w:rsidP="00964CC4">
            <w:pPr>
              <w:pStyle w:val="TAL"/>
              <w:rPr>
                <w:szCs w:val="22"/>
                <w:lang w:eastAsia="sv-SE"/>
              </w:rPr>
            </w:pPr>
            <w:r w:rsidRPr="00FA0D37">
              <w:rPr>
                <w:szCs w:val="22"/>
                <w:lang w:eastAsia="sv-SE"/>
              </w:rPr>
              <w:t xml:space="preserve">An identifier for this bandwidth part. Other parts of the RRC configuration use the </w:t>
            </w:r>
            <w:r w:rsidRPr="00FA0D37">
              <w:rPr>
                <w:i/>
                <w:szCs w:val="22"/>
                <w:lang w:eastAsia="sv-SE"/>
              </w:rPr>
              <w:t>BWP-Id</w:t>
            </w:r>
            <w:r w:rsidRPr="00FA0D37">
              <w:rPr>
                <w:szCs w:val="22"/>
                <w:lang w:eastAsia="sv-SE"/>
              </w:rPr>
              <w:t xml:space="preserve"> to associate themselves with a particular bandwidth part.</w:t>
            </w:r>
          </w:p>
          <w:p w14:paraId="3E138070" w14:textId="77777777" w:rsidR="00394471" w:rsidRPr="00FA0D37" w:rsidRDefault="00394471" w:rsidP="00964CC4">
            <w:pPr>
              <w:pStyle w:val="TAL"/>
              <w:rPr>
                <w:szCs w:val="22"/>
                <w:lang w:eastAsia="sv-SE"/>
              </w:rPr>
            </w:pPr>
            <w:r w:rsidRPr="00FA0D37">
              <w:rPr>
                <w:szCs w:val="22"/>
                <w:lang w:eastAsia="sv-SE"/>
              </w:rPr>
              <w:t>The network configures the BWPs with consecutive IDs from 1. The Network does not include the value 0, since value 0 is reserved for the initial BWP.</w:t>
            </w:r>
          </w:p>
        </w:tc>
      </w:tr>
    </w:tbl>
    <w:p w14:paraId="7F2D764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FA0D37" w:rsidRDefault="00394471" w:rsidP="00964CC4">
            <w:pPr>
              <w:pStyle w:val="TAH"/>
              <w:rPr>
                <w:rFonts w:eastAsia="Calibri"/>
                <w:szCs w:val="22"/>
                <w:lang w:eastAsia="sv-SE"/>
              </w:rPr>
            </w:pPr>
            <w:r w:rsidRPr="00FA0D3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FA0D37" w:rsidRDefault="00394471" w:rsidP="00964CC4">
            <w:pPr>
              <w:pStyle w:val="TAH"/>
              <w:rPr>
                <w:rFonts w:eastAsia="Calibri"/>
                <w:szCs w:val="22"/>
                <w:lang w:eastAsia="sv-SE"/>
              </w:rPr>
            </w:pPr>
            <w:r w:rsidRPr="00FA0D37">
              <w:rPr>
                <w:rFonts w:eastAsia="Calibri"/>
                <w:szCs w:val="22"/>
                <w:lang w:eastAsia="sv-SE"/>
              </w:rPr>
              <w:t>Explanation</w:t>
            </w:r>
          </w:p>
        </w:tc>
      </w:tr>
      <w:tr w:rsidR="00394471" w:rsidRPr="00FA0D37"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FA0D37" w:rsidRDefault="00394471" w:rsidP="00964CC4">
            <w:pPr>
              <w:pStyle w:val="TAL"/>
              <w:rPr>
                <w:rFonts w:eastAsia="Calibri"/>
                <w:i/>
                <w:szCs w:val="22"/>
                <w:lang w:eastAsia="sv-SE"/>
              </w:rPr>
            </w:pPr>
            <w:r w:rsidRPr="00FA0D3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FA0D37" w:rsidRDefault="00394471" w:rsidP="00394471"/>
    <w:p w14:paraId="78BEE2B7" w14:textId="77777777" w:rsidR="00394471" w:rsidRPr="00FA0D37" w:rsidRDefault="00394471" w:rsidP="00394471">
      <w:pPr>
        <w:pStyle w:val="4"/>
      </w:pPr>
      <w:bookmarkStart w:id="904" w:name="_Toc60777178"/>
      <w:bookmarkStart w:id="905" w:name="_Toc146781223"/>
      <w:r w:rsidRPr="00FA0D37">
        <w:t>–</w:t>
      </w:r>
      <w:r w:rsidRPr="00FA0D37">
        <w:tab/>
      </w:r>
      <w:r w:rsidRPr="00FA0D37">
        <w:rPr>
          <w:i/>
        </w:rPr>
        <w:t>BWP-DownlinkCommon</w:t>
      </w:r>
      <w:bookmarkEnd w:id="904"/>
      <w:bookmarkEnd w:id="905"/>
    </w:p>
    <w:p w14:paraId="4E0C6DBB" w14:textId="77777777" w:rsidR="00394471" w:rsidRPr="00FA0D37" w:rsidRDefault="00394471" w:rsidP="00394471">
      <w:r w:rsidRPr="00FA0D37">
        <w:t xml:space="preserve">The IE </w:t>
      </w:r>
      <w:r w:rsidRPr="00FA0D37">
        <w:rPr>
          <w:i/>
        </w:rPr>
        <w:t>BWP-DownlinkCommon</w:t>
      </w:r>
      <w:r w:rsidRPr="00FA0D37">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FA0D37" w:rsidRDefault="00394471" w:rsidP="00394471">
      <w:pPr>
        <w:pStyle w:val="TH"/>
      </w:pPr>
      <w:r w:rsidRPr="00FA0D37">
        <w:rPr>
          <w:i/>
        </w:rPr>
        <w:t>BWP-DownlinkCommon</w:t>
      </w:r>
      <w:r w:rsidRPr="00FA0D37">
        <w:t xml:space="preserve"> information element</w:t>
      </w:r>
    </w:p>
    <w:p w14:paraId="5318816D" w14:textId="77777777" w:rsidR="00394471" w:rsidRPr="00FA0D37" w:rsidRDefault="00394471" w:rsidP="00FA0D37">
      <w:pPr>
        <w:pStyle w:val="PL"/>
        <w:rPr>
          <w:color w:val="808080"/>
        </w:rPr>
      </w:pPr>
      <w:r w:rsidRPr="00FA0D37">
        <w:rPr>
          <w:color w:val="808080"/>
        </w:rPr>
        <w:t>-- ASN1START</w:t>
      </w:r>
    </w:p>
    <w:p w14:paraId="6E2A1547" w14:textId="77777777" w:rsidR="00394471" w:rsidRPr="00FA0D37" w:rsidRDefault="00394471" w:rsidP="00FA0D37">
      <w:pPr>
        <w:pStyle w:val="PL"/>
        <w:rPr>
          <w:color w:val="808080"/>
        </w:rPr>
      </w:pPr>
      <w:r w:rsidRPr="00FA0D37">
        <w:rPr>
          <w:color w:val="808080"/>
        </w:rPr>
        <w:t>-- TAG-BWP-DOWNLINKCOMMON-START</w:t>
      </w:r>
    </w:p>
    <w:p w14:paraId="5F7F2719" w14:textId="77777777" w:rsidR="00394471" w:rsidRPr="00FA0D37" w:rsidRDefault="00394471" w:rsidP="00FA0D37">
      <w:pPr>
        <w:pStyle w:val="PL"/>
      </w:pPr>
    </w:p>
    <w:p w14:paraId="2C0BCFE9" w14:textId="77777777" w:rsidR="00394471" w:rsidRPr="00FA0D37" w:rsidRDefault="00394471" w:rsidP="00FA0D37">
      <w:pPr>
        <w:pStyle w:val="PL"/>
      </w:pPr>
      <w:r w:rsidRPr="00FA0D37">
        <w:t xml:space="preserve">BWP-DownlinkCommon ::=              </w:t>
      </w:r>
      <w:r w:rsidRPr="00FA0D37">
        <w:rPr>
          <w:color w:val="993366"/>
        </w:rPr>
        <w:t>SEQUENCE</w:t>
      </w:r>
      <w:r w:rsidRPr="00FA0D37">
        <w:t xml:space="preserve"> {</w:t>
      </w:r>
    </w:p>
    <w:p w14:paraId="5C33F1B6" w14:textId="77777777" w:rsidR="00394471" w:rsidRPr="00FA0D37" w:rsidRDefault="00394471" w:rsidP="00FA0D37">
      <w:pPr>
        <w:pStyle w:val="PL"/>
      </w:pPr>
      <w:r w:rsidRPr="00FA0D37">
        <w:t xml:space="preserve">    genericParameters                   BWP,</w:t>
      </w:r>
    </w:p>
    <w:p w14:paraId="4FCCCBAD" w14:textId="77777777" w:rsidR="00394471" w:rsidRPr="00FA0D37" w:rsidRDefault="00394471" w:rsidP="00FA0D37">
      <w:pPr>
        <w:pStyle w:val="PL"/>
        <w:rPr>
          <w:color w:val="808080"/>
        </w:rPr>
      </w:pPr>
      <w:r w:rsidRPr="00FA0D37">
        <w:t xml:space="preserve">    pdcch-ConfigCommon                  SetupRelease { PDCCH-ConfigCommon }                                     </w:t>
      </w:r>
      <w:r w:rsidRPr="00FA0D37">
        <w:rPr>
          <w:color w:val="993366"/>
        </w:rPr>
        <w:t>OPTIONAL</w:t>
      </w:r>
      <w:r w:rsidRPr="00FA0D37">
        <w:t xml:space="preserve">,   </w:t>
      </w:r>
      <w:r w:rsidRPr="00FA0D37">
        <w:rPr>
          <w:color w:val="808080"/>
        </w:rPr>
        <w:t>-- Need M</w:t>
      </w:r>
    </w:p>
    <w:p w14:paraId="7EAE8FA6" w14:textId="77777777" w:rsidR="00394471" w:rsidRPr="00FA0D37" w:rsidRDefault="00394471" w:rsidP="00FA0D37">
      <w:pPr>
        <w:pStyle w:val="PL"/>
        <w:rPr>
          <w:color w:val="808080"/>
        </w:rPr>
      </w:pPr>
      <w:r w:rsidRPr="00FA0D37">
        <w:t xml:space="preserve">    pdsch-ConfigCommon                  SetupRelease { PDSCH-ConfigCommon }                                     </w:t>
      </w:r>
      <w:r w:rsidRPr="00FA0D37">
        <w:rPr>
          <w:color w:val="993366"/>
        </w:rPr>
        <w:t>OPTIONAL</w:t>
      </w:r>
      <w:r w:rsidRPr="00FA0D37">
        <w:t xml:space="preserve">,   </w:t>
      </w:r>
      <w:r w:rsidRPr="00FA0D37">
        <w:rPr>
          <w:color w:val="808080"/>
        </w:rPr>
        <w:t>-- Need M</w:t>
      </w:r>
    </w:p>
    <w:p w14:paraId="09C9D16A" w14:textId="77777777" w:rsidR="00394471" w:rsidRPr="00FA0D37" w:rsidRDefault="00394471" w:rsidP="00FA0D37">
      <w:pPr>
        <w:pStyle w:val="PL"/>
      </w:pPr>
      <w:r w:rsidRPr="00FA0D37">
        <w:t xml:space="preserve">    ...</w:t>
      </w:r>
    </w:p>
    <w:p w14:paraId="1E737799" w14:textId="77777777" w:rsidR="00394471" w:rsidRPr="00FA0D37" w:rsidRDefault="00394471" w:rsidP="00FA0D37">
      <w:pPr>
        <w:pStyle w:val="PL"/>
      </w:pPr>
      <w:r w:rsidRPr="00FA0D37">
        <w:t>}</w:t>
      </w:r>
    </w:p>
    <w:p w14:paraId="4EBFE2E0" w14:textId="77777777" w:rsidR="00394471" w:rsidRPr="00FA0D37" w:rsidRDefault="00394471" w:rsidP="00FA0D37">
      <w:pPr>
        <w:pStyle w:val="PL"/>
      </w:pPr>
    </w:p>
    <w:p w14:paraId="326F915B" w14:textId="77777777" w:rsidR="00394471" w:rsidRPr="00FA0D37" w:rsidRDefault="00394471" w:rsidP="00FA0D37">
      <w:pPr>
        <w:pStyle w:val="PL"/>
        <w:rPr>
          <w:color w:val="808080"/>
        </w:rPr>
      </w:pPr>
      <w:r w:rsidRPr="00FA0D37">
        <w:rPr>
          <w:color w:val="808080"/>
        </w:rPr>
        <w:t>-- TAG-BWP-DOWNLINKCOMMON-STOP</w:t>
      </w:r>
    </w:p>
    <w:p w14:paraId="7D280BB3" w14:textId="77777777" w:rsidR="00394471" w:rsidRPr="00FA0D37" w:rsidRDefault="00394471" w:rsidP="00FA0D37">
      <w:pPr>
        <w:pStyle w:val="PL"/>
        <w:rPr>
          <w:color w:val="808080"/>
        </w:rPr>
      </w:pPr>
      <w:r w:rsidRPr="00FA0D37">
        <w:rPr>
          <w:color w:val="808080"/>
        </w:rPr>
        <w:t>-- ASN1STOP</w:t>
      </w:r>
    </w:p>
    <w:p w14:paraId="0455C25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FA0D37" w:rsidRDefault="00394471" w:rsidP="00964CC4">
            <w:pPr>
              <w:pStyle w:val="TAH"/>
              <w:rPr>
                <w:szCs w:val="22"/>
                <w:lang w:eastAsia="sv-SE"/>
              </w:rPr>
            </w:pPr>
            <w:r w:rsidRPr="00FA0D37">
              <w:rPr>
                <w:i/>
                <w:szCs w:val="22"/>
                <w:lang w:eastAsia="sv-SE"/>
              </w:rPr>
              <w:t xml:space="preserve">BWP-DownlinkCommon </w:t>
            </w:r>
            <w:r w:rsidRPr="00FA0D37">
              <w:rPr>
                <w:szCs w:val="22"/>
                <w:lang w:eastAsia="sv-SE"/>
              </w:rPr>
              <w:t>field descriptions</w:t>
            </w:r>
          </w:p>
        </w:tc>
      </w:tr>
      <w:tr w:rsidR="005C7FF4" w:rsidRPr="00FA0D37"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FA0D37" w:rsidRDefault="00394471" w:rsidP="00964CC4">
            <w:pPr>
              <w:pStyle w:val="TAL"/>
              <w:rPr>
                <w:b/>
                <w:i/>
                <w:szCs w:val="22"/>
                <w:lang w:eastAsia="sv-SE"/>
              </w:rPr>
            </w:pPr>
            <w:r w:rsidRPr="00FA0D37">
              <w:rPr>
                <w:b/>
                <w:i/>
                <w:szCs w:val="22"/>
                <w:lang w:eastAsia="sv-SE"/>
              </w:rPr>
              <w:t>pdcch-ConfigCommon</w:t>
            </w:r>
          </w:p>
          <w:p w14:paraId="24F4A3D8" w14:textId="77777777" w:rsidR="00394471" w:rsidRPr="00FA0D37" w:rsidRDefault="00394471" w:rsidP="00964CC4">
            <w:pPr>
              <w:pStyle w:val="TAL"/>
              <w:rPr>
                <w:szCs w:val="22"/>
                <w:lang w:eastAsia="sv-SE"/>
              </w:rPr>
            </w:pPr>
            <w:r w:rsidRPr="00FA0D37">
              <w:rPr>
                <w:szCs w:val="22"/>
                <w:lang w:eastAsia="sv-SE"/>
              </w:rPr>
              <w:t>Cell specific parameters for the PDCCH of this BWP.</w:t>
            </w:r>
            <w:r w:rsidRPr="00FA0D37">
              <w:rPr>
                <w:szCs w:val="22"/>
              </w:rPr>
              <w:t xml:space="preserve"> This field is absent for a dormant BWP.</w:t>
            </w:r>
          </w:p>
        </w:tc>
      </w:tr>
      <w:tr w:rsidR="00394471" w:rsidRPr="00FA0D37"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FA0D37" w:rsidRDefault="00394471" w:rsidP="00964CC4">
            <w:pPr>
              <w:pStyle w:val="TAL"/>
              <w:rPr>
                <w:b/>
                <w:i/>
                <w:szCs w:val="22"/>
                <w:lang w:eastAsia="sv-SE"/>
              </w:rPr>
            </w:pPr>
            <w:r w:rsidRPr="00FA0D37">
              <w:rPr>
                <w:b/>
                <w:i/>
                <w:szCs w:val="22"/>
                <w:lang w:eastAsia="sv-SE"/>
              </w:rPr>
              <w:t>pdsch-ConfigCommon</w:t>
            </w:r>
          </w:p>
          <w:p w14:paraId="13742DB5" w14:textId="77777777" w:rsidR="00394471" w:rsidRPr="00FA0D37" w:rsidRDefault="00394471" w:rsidP="00964CC4">
            <w:pPr>
              <w:pStyle w:val="TAL"/>
              <w:rPr>
                <w:szCs w:val="22"/>
                <w:lang w:eastAsia="sv-SE"/>
              </w:rPr>
            </w:pPr>
            <w:r w:rsidRPr="00FA0D37">
              <w:rPr>
                <w:szCs w:val="22"/>
                <w:lang w:eastAsia="sv-SE"/>
              </w:rPr>
              <w:t>Cell specific parameters for the PDSCH of this BWP.</w:t>
            </w:r>
          </w:p>
        </w:tc>
      </w:tr>
    </w:tbl>
    <w:p w14:paraId="7EFC745D" w14:textId="77777777" w:rsidR="00394471" w:rsidRPr="00FA0D37" w:rsidRDefault="00394471" w:rsidP="00394471"/>
    <w:p w14:paraId="3609071A" w14:textId="77777777" w:rsidR="00394471" w:rsidRPr="00FA0D37" w:rsidRDefault="00394471" w:rsidP="00394471">
      <w:pPr>
        <w:pStyle w:val="4"/>
      </w:pPr>
      <w:bookmarkStart w:id="906" w:name="_Toc60777179"/>
      <w:bookmarkStart w:id="907" w:name="_Toc146781224"/>
      <w:r w:rsidRPr="00FA0D37">
        <w:t>–</w:t>
      </w:r>
      <w:r w:rsidRPr="00FA0D37">
        <w:tab/>
      </w:r>
      <w:r w:rsidRPr="00FA0D37">
        <w:rPr>
          <w:i/>
        </w:rPr>
        <w:t>BWP-DownlinkDedicated</w:t>
      </w:r>
      <w:bookmarkEnd w:id="906"/>
      <w:bookmarkEnd w:id="907"/>
    </w:p>
    <w:p w14:paraId="136238E7" w14:textId="77777777" w:rsidR="00394471" w:rsidRPr="00FA0D37" w:rsidRDefault="00394471" w:rsidP="00394471">
      <w:r w:rsidRPr="00FA0D37">
        <w:t xml:space="preserve">The IE </w:t>
      </w:r>
      <w:r w:rsidRPr="00FA0D37">
        <w:rPr>
          <w:i/>
        </w:rPr>
        <w:t>BWP-DownlinkDedicated</w:t>
      </w:r>
      <w:r w:rsidRPr="00FA0D37">
        <w:t xml:space="preserve"> is used to configure the dedicated (UE specific) parameters of a downlink BWP.</w:t>
      </w:r>
    </w:p>
    <w:p w14:paraId="3A2DC232" w14:textId="77777777" w:rsidR="00394471" w:rsidRPr="00FA0D37" w:rsidRDefault="00394471" w:rsidP="00394471">
      <w:pPr>
        <w:pStyle w:val="TH"/>
      </w:pPr>
      <w:r w:rsidRPr="00FA0D37">
        <w:rPr>
          <w:i/>
        </w:rPr>
        <w:lastRenderedPageBreak/>
        <w:t>BWP-DownlinkDedicated</w:t>
      </w:r>
      <w:r w:rsidRPr="00FA0D37">
        <w:t xml:space="preserve"> information element</w:t>
      </w:r>
    </w:p>
    <w:p w14:paraId="087FCE8F" w14:textId="77777777" w:rsidR="00394471" w:rsidRPr="00FA0D37" w:rsidRDefault="00394471" w:rsidP="00FA0D37">
      <w:pPr>
        <w:pStyle w:val="PL"/>
        <w:rPr>
          <w:color w:val="808080"/>
        </w:rPr>
      </w:pPr>
      <w:r w:rsidRPr="00FA0D37">
        <w:rPr>
          <w:color w:val="808080"/>
        </w:rPr>
        <w:t>-- ASN1START</w:t>
      </w:r>
    </w:p>
    <w:p w14:paraId="2A2407FC" w14:textId="77777777" w:rsidR="00394471" w:rsidRPr="00FA0D37" w:rsidRDefault="00394471" w:rsidP="00FA0D37">
      <w:pPr>
        <w:pStyle w:val="PL"/>
        <w:rPr>
          <w:color w:val="808080"/>
        </w:rPr>
      </w:pPr>
      <w:r w:rsidRPr="00FA0D37">
        <w:rPr>
          <w:color w:val="808080"/>
        </w:rPr>
        <w:t>-- TAG-BWP-DOWNLINKDEDICATED-START</w:t>
      </w:r>
    </w:p>
    <w:p w14:paraId="435325B0" w14:textId="77777777" w:rsidR="00394471" w:rsidRPr="00FA0D37" w:rsidRDefault="00394471" w:rsidP="00FA0D37">
      <w:pPr>
        <w:pStyle w:val="PL"/>
      </w:pPr>
    </w:p>
    <w:p w14:paraId="67D9B44A" w14:textId="77777777" w:rsidR="00394471" w:rsidRPr="00FA0D37" w:rsidRDefault="00394471" w:rsidP="00FA0D37">
      <w:pPr>
        <w:pStyle w:val="PL"/>
      </w:pPr>
      <w:r w:rsidRPr="00FA0D37">
        <w:t xml:space="preserve">BWP-DownlinkDedicated ::=           </w:t>
      </w:r>
      <w:r w:rsidRPr="00FA0D37">
        <w:rPr>
          <w:color w:val="993366"/>
        </w:rPr>
        <w:t>SEQUENCE</w:t>
      </w:r>
      <w:r w:rsidRPr="00FA0D37">
        <w:t xml:space="preserve"> {</w:t>
      </w:r>
    </w:p>
    <w:p w14:paraId="25E6758B" w14:textId="77777777" w:rsidR="00394471" w:rsidRPr="00FA0D37" w:rsidRDefault="00394471" w:rsidP="00FA0D37">
      <w:pPr>
        <w:pStyle w:val="PL"/>
        <w:rPr>
          <w:color w:val="808080"/>
        </w:rPr>
      </w:pPr>
      <w:r w:rsidRPr="00FA0D37">
        <w:t xml:space="preserve">    pdcch-Config                        SetupRelease { PDCCH-Config }                                     </w:t>
      </w:r>
      <w:r w:rsidRPr="00FA0D37">
        <w:rPr>
          <w:color w:val="993366"/>
        </w:rPr>
        <w:t>OPTIONAL</w:t>
      </w:r>
      <w:r w:rsidRPr="00FA0D37">
        <w:t xml:space="preserve">,   </w:t>
      </w:r>
      <w:r w:rsidRPr="00FA0D37">
        <w:rPr>
          <w:color w:val="808080"/>
        </w:rPr>
        <w:t>-- Need M</w:t>
      </w:r>
    </w:p>
    <w:p w14:paraId="1538163D" w14:textId="77777777" w:rsidR="00394471" w:rsidRPr="00FA0D37" w:rsidRDefault="00394471" w:rsidP="00FA0D37">
      <w:pPr>
        <w:pStyle w:val="PL"/>
        <w:rPr>
          <w:color w:val="808080"/>
        </w:rPr>
      </w:pPr>
      <w:r w:rsidRPr="00FA0D37">
        <w:t xml:space="preserve">    pdsch-Config                        SetupRelease { PDSCH-Config }                                     </w:t>
      </w:r>
      <w:r w:rsidRPr="00FA0D37">
        <w:rPr>
          <w:color w:val="993366"/>
        </w:rPr>
        <w:t>OPTIONAL</w:t>
      </w:r>
      <w:r w:rsidRPr="00FA0D37">
        <w:t xml:space="preserve">,   </w:t>
      </w:r>
      <w:r w:rsidRPr="00FA0D37">
        <w:rPr>
          <w:color w:val="808080"/>
        </w:rPr>
        <w:t>-- Need M</w:t>
      </w:r>
    </w:p>
    <w:p w14:paraId="23B9D33E" w14:textId="77777777" w:rsidR="00394471" w:rsidRPr="00FA0D37" w:rsidRDefault="00394471" w:rsidP="00FA0D37">
      <w:pPr>
        <w:pStyle w:val="PL"/>
        <w:rPr>
          <w:color w:val="808080"/>
        </w:rPr>
      </w:pPr>
      <w:r w:rsidRPr="00FA0D37">
        <w:t xml:space="preserve">    sps-Config                          SetupRelease { SPS-Config }                                       </w:t>
      </w:r>
      <w:r w:rsidRPr="00FA0D37">
        <w:rPr>
          <w:color w:val="993366"/>
        </w:rPr>
        <w:t>OPTIONAL</w:t>
      </w:r>
      <w:r w:rsidRPr="00FA0D37">
        <w:t xml:space="preserve">,   </w:t>
      </w:r>
      <w:r w:rsidRPr="00FA0D37">
        <w:rPr>
          <w:color w:val="808080"/>
        </w:rPr>
        <w:t>-- Need M</w:t>
      </w:r>
    </w:p>
    <w:p w14:paraId="2AE9A407" w14:textId="77777777" w:rsidR="00394471" w:rsidRPr="00FA0D37" w:rsidRDefault="00394471" w:rsidP="00FA0D37">
      <w:pPr>
        <w:pStyle w:val="PL"/>
        <w:rPr>
          <w:color w:val="808080"/>
        </w:rPr>
      </w:pPr>
      <w:r w:rsidRPr="00FA0D37">
        <w:t xml:space="preserve">    radioLinkMonitoringConfig           SetupRelease { RadioLinkMonitoringConfig }                        </w:t>
      </w:r>
      <w:r w:rsidRPr="00FA0D37">
        <w:rPr>
          <w:color w:val="993366"/>
        </w:rPr>
        <w:t>OPTIONAL</w:t>
      </w:r>
      <w:r w:rsidRPr="00FA0D37">
        <w:t xml:space="preserve">,   </w:t>
      </w:r>
      <w:r w:rsidRPr="00FA0D37">
        <w:rPr>
          <w:color w:val="808080"/>
        </w:rPr>
        <w:t>-- Need M</w:t>
      </w:r>
    </w:p>
    <w:p w14:paraId="6046645A" w14:textId="77777777" w:rsidR="00394471" w:rsidRPr="00FA0D37" w:rsidRDefault="00394471" w:rsidP="00FA0D37">
      <w:pPr>
        <w:pStyle w:val="PL"/>
      </w:pPr>
      <w:r w:rsidRPr="00FA0D37">
        <w:t xml:space="preserve">    ...,</w:t>
      </w:r>
    </w:p>
    <w:p w14:paraId="0784B94D" w14:textId="77777777" w:rsidR="00394471" w:rsidRPr="00FA0D37" w:rsidRDefault="00394471" w:rsidP="00FA0D37">
      <w:pPr>
        <w:pStyle w:val="PL"/>
      </w:pPr>
      <w:r w:rsidRPr="00FA0D37">
        <w:t xml:space="preserve">    [[</w:t>
      </w:r>
    </w:p>
    <w:p w14:paraId="09C561F8" w14:textId="77777777" w:rsidR="00394471" w:rsidRPr="00FA0D37" w:rsidRDefault="00394471" w:rsidP="00FA0D37">
      <w:pPr>
        <w:pStyle w:val="PL"/>
        <w:rPr>
          <w:color w:val="808080"/>
        </w:rPr>
      </w:pPr>
      <w:r w:rsidRPr="00FA0D37">
        <w:t xml:space="preserve">    sps-ConfigToAddModList-r16          SPS-ConfigToAddModList-r16                                        </w:t>
      </w:r>
      <w:r w:rsidRPr="00FA0D37">
        <w:rPr>
          <w:color w:val="993366"/>
        </w:rPr>
        <w:t>OPTIONAL</w:t>
      </w:r>
      <w:r w:rsidRPr="00FA0D37">
        <w:t xml:space="preserve">,   </w:t>
      </w:r>
      <w:r w:rsidRPr="00FA0D37">
        <w:rPr>
          <w:color w:val="808080"/>
        </w:rPr>
        <w:t>-- Need N</w:t>
      </w:r>
    </w:p>
    <w:p w14:paraId="744C13E6" w14:textId="77777777" w:rsidR="00394471" w:rsidRPr="00FA0D37" w:rsidRDefault="00394471" w:rsidP="00FA0D37">
      <w:pPr>
        <w:pStyle w:val="PL"/>
        <w:rPr>
          <w:color w:val="808080"/>
        </w:rPr>
      </w:pPr>
      <w:r w:rsidRPr="00FA0D37">
        <w:t xml:space="preserve">    sps-ConfigToReleaseList-r16         SPS-ConfigToReleaseList-r16                                       </w:t>
      </w:r>
      <w:r w:rsidRPr="00FA0D37">
        <w:rPr>
          <w:color w:val="993366"/>
        </w:rPr>
        <w:t>OPTIONAL</w:t>
      </w:r>
      <w:r w:rsidRPr="00FA0D37">
        <w:t xml:space="preserve">,   </w:t>
      </w:r>
      <w:r w:rsidRPr="00FA0D37">
        <w:rPr>
          <w:color w:val="808080"/>
        </w:rPr>
        <w:t>-- Need N</w:t>
      </w:r>
    </w:p>
    <w:p w14:paraId="25A45039" w14:textId="77777777" w:rsidR="00394471" w:rsidRPr="00FA0D37" w:rsidRDefault="00394471" w:rsidP="00FA0D37">
      <w:pPr>
        <w:pStyle w:val="PL"/>
        <w:rPr>
          <w:color w:val="808080"/>
        </w:rPr>
      </w:pPr>
      <w:r w:rsidRPr="00FA0D37">
        <w:t xml:space="preserve">    sps-ConfigDeactivationStateList-r16 SPS-ConfigDeactivationStateList-r16                               </w:t>
      </w:r>
      <w:r w:rsidRPr="00FA0D37">
        <w:rPr>
          <w:color w:val="993366"/>
        </w:rPr>
        <w:t>OPTIONAL</w:t>
      </w:r>
      <w:r w:rsidRPr="00FA0D37">
        <w:t xml:space="preserve">,   </w:t>
      </w:r>
      <w:r w:rsidRPr="00FA0D37">
        <w:rPr>
          <w:color w:val="808080"/>
        </w:rPr>
        <w:t>-- Need R</w:t>
      </w:r>
    </w:p>
    <w:p w14:paraId="2BA66350" w14:textId="2F97D091" w:rsidR="00394471" w:rsidRPr="00FA0D37" w:rsidRDefault="00394471" w:rsidP="00FA0D37">
      <w:pPr>
        <w:pStyle w:val="PL"/>
        <w:rPr>
          <w:color w:val="808080"/>
        </w:rPr>
      </w:pPr>
      <w:r w:rsidRPr="00FA0D37">
        <w:t xml:space="preserve">    beamFailureRecoverySCellConfig-r16  SetupRelease {BeamFailureRecovery</w:t>
      </w:r>
      <w:r w:rsidR="00A45783" w:rsidRPr="00FA0D37">
        <w:t>R</w:t>
      </w:r>
      <w:r w:rsidRPr="00FA0D37">
        <w:t xml:space="preserve">SConfig-r16}                 </w:t>
      </w:r>
      <w:r w:rsidR="00A45783" w:rsidRPr="00FA0D37">
        <w:t xml:space="preserve">   </w:t>
      </w:r>
      <w:r w:rsidRPr="00FA0D37">
        <w:rPr>
          <w:color w:val="993366"/>
        </w:rPr>
        <w:t>OPTIONAL</w:t>
      </w:r>
      <w:r w:rsidRPr="00FA0D37">
        <w:t xml:space="preserve">,   </w:t>
      </w:r>
      <w:r w:rsidRPr="00FA0D37">
        <w:rPr>
          <w:color w:val="808080"/>
        </w:rPr>
        <w:t>-- Cond SCellOnly</w:t>
      </w:r>
    </w:p>
    <w:p w14:paraId="293CCE47" w14:textId="77777777" w:rsidR="00394471" w:rsidRPr="00FA0D37" w:rsidRDefault="00394471" w:rsidP="00FA0D37">
      <w:pPr>
        <w:pStyle w:val="PL"/>
        <w:rPr>
          <w:color w:val="808080"/>
        </w:rPr>
      </w:pPr>
      <w:r w:rsidRPr="00FA0D37">
        <w:t xml:space="preserve">    sl-PDCCH-Config-r16                 SetupRelease { PDCCH-Config }                                     </w:t>
      </w:r>
      <w:r w:rsidRPr="00FA0D37">
        <w:rPr>
          <w:color w:val="993366"/>
        </w:rPr>
        <w:t>OPTIONAL</w:t>
      </w:r>
      <w:r w:rsidRPr="00FA0D37">
        <w:t xml:space="preserve">,   </w:t>
      </w:r>
      <w:r w:rsidRPr="00FA0D37">
        <w:rPr>
          <w:color w:val="808080"/>
        </w:rPr>
        <w:t>-- Need M</w:t>
      </w:r>
    </w:p>
    <w:p w14:paraId="1CC247F2" w14:textId="77777777" w:rsidR="00394471" w:rsidRPr="00FA0D37" w:rsidRDefault="00394471" w:rsidP="00FA0D37">
      <w:pPr>
        <w:pStyle w:val="PL"/>
        <w:rPr>
          <w:color w:val="808080"/>
        </w:rPr>
      </w:pPr>
      <w:r w:rsidRPr="00FA0D37">
        <w:t xml:space="preserve">    sl-V2X-PDCCH-Config-r16             SetupRelease { PDCCH-Config }                                     </w:t>
      </w:r>
      <w:r w:rsidRPr="00FA0D37">
        <w:rPr>
          <w:color w:val="993366"/>
        </w:rPr>
        <w:t>OPTIONAL</w:t>
      </w:r>
      <w:r w:rsidRPr="00FA0D37">
        <w:t xml:space="preserve">    </w:t>
      </w:r>
      <w:r w:rsidRPr="00FA0D37">
        <w:rPr>
          <w:color w:val="808080"/>
        </w:rPr>
        <w:t>-- Need M</w:t>
      </w:r>
    </w:p>
    <w:p w14:paraId="00BE277C" w14:textId="3E4C2B6E" w:rsidR="00E616AE" w:rsidRPr="00FA0D37" w:rsidRDefault="00394471" w:rsidP="00FA0D37">
      <w:pPr>
        <w:pStyle w:val="PL"/>
      </w:pPr>
      <w:r w:rsidRPr="00FA0D37">
        <w:t xml:space="preserve">    ]]</w:t>
      </w:r>
      <w:r w:rsidR="00E616AE" w:rsidRPr="00FA0D37">
        <w:t>,</w:t>
      </w:r>
    </w:p>
    <w:p w14:paraId="19FD83B6" w14:textId="77777777" w:rsidR="00E616AE" w:rsidRPr="00FA0D37" w:rsidRDefault="00E616AE" w:rsidP="00FA0D37">
      <w:pPr>
        <w:pStyle w:val="PL"/>
      </w:pPr>
      <w:r w:rsidRPr="00FA0D37">
        <w:t xml:space="preserve">    [[</w:t>
      </w:r>
    </w:p>
    <w:p w14:paraId="3D2D4C35" w14:textId="77777777" w:rsidR="00CE29E7" w:rsidRPr="00FA0D37" w:rsidRDefault="00CE29E7" w:rsidP="00FA0D37">
      <w:pPr>
        <w:pStyle w:val="PL"/>
        <w:rPr>
          <w:color w:val="808080"/>
        </w:rPr>
      </w:pPr>
      <w:r w:rsidRPr="00FA0D37">
        <w:t xml:space="preserve">    preConfGapStatus-r17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(maxNrofGapId-r17))                              </w:t>
      </w:r>
      <w:r w:rsidRPr="00FA0D37">
        <w:rPr>
          <w:color w:val="993366"/>
        </w:rPr>
        <w:t>OPTIONAL</w:t>
      </w:r>
      <w:r w:rsidRPr="00FA0D37">
        <w:t xml:space="preserve">,   </w:t>
      </w:r>
      <w:r w:rsidRPr="00FA0D37">
        <w:rPr>
          <w:color w:val="808080"/>
        </w:rPr>
        <w:t>-- Cond PreConfigMG</w:t>
      </w:r>
    </w:p>
    <w:p w14:paraId="325CA5CD" w14:textId="59FF248E" w:rsidR="001775F2" w:rsidRPr="00FA0D37" w:rsidRDefault="001775F2" w:rsidP="00FA0D37">
      <w:pPr>
        <w:pStyle w:val="PL"/>
        <w:rPr>
          <w:color w:val="808080"/>
        </w:rPr>
      </w:pPr>
      <w:r w:rsidRPr="00FA0D37">
        <w:t xml:space="preserve">    beamFailureRecoveryS</w:t>
      </w:r>
      <w:r w:rsidR="00EE6A93" w:rsidRPr="00FA0D37">
        <w:t>p</w:t>
      </w:r>
      <w:r w:rsidRPr="00FA0D37">
        <w:t>CellConfig-r17 SetupRelease { BeamFailureRecovery</w:t>
      </w:r>
      <w:r w:rsidR="00EE6A93" w:rsidRPr="00FA0D37">
        <w:t>R</w:t>
      </w:r>
      <w:r w:rsidRPr="00FA0D37">
        <w:t>SConfig-r1</w:t>
      </w:r>
      <w:r w:rsidR="00EE6A93" w:rsidRPr="00FA0D37">
        <w:t>6</w:t>
      </w:r>
      <w:r w:rsidRPr="00FA0D37">
        <w:t xml:space="preserve">}    </w:t>
      </w:r>
      <w:r w:rsidR="00EE6A93" w:rsidRPr="00FA0D37">
        <w:t xml:space="preserve">               </w:t>
      </w:r>
      <w:r w:rsidRPr="00FA0D37">
        <w:rPr>
          <w:color w:val="993366"/>
        </w:rPr>
        <w:t>OPTIONAL</w:t>
      </w:r>
      <w:r w:rsidR="005B7637" w:rsidRPr="00FA0D37">
        <w:t>,</w:t>
      </w:r>
      <w:r w:rsidRPr="00FA0D37">
        <w:t xml:space="preserve">   </w:t>
      </w:r>
      <w:r w:rsidRPr="00FA0D37">
        <w:rPr>
          <w:color w:val="808080"/>
        </w:rPr>
        <w:t xml:space="preserve">-- </w:t>
      </w:r>
      <w:r w:rsidR="00EE6A93" w:rsidRPr="00FA0D37">
        <w:rPr>
          <w:color w:val="808080"/>
        </w:rPr>
        <w:t>Cond SpCellOnly</w:t>
      </w:r>
    </w:p>
    <w:p w14:paraId="47F8A99F" w14:textId="29A062C9" w:rsidR="005B7637" w:rsidRPr="00FA0D37" w:rsidRDefault="005B7637" w:rsidP="00FA0D37">
      <w:pPr>
        <w:pStyle w:val="PL"/>
        <w:rPr>
          <w:color w:val="808080"/>
        </w:rPr>
      </w:pPr>
      <w:r w:rsidRPr="00FA0D37">
        <w:t xml:space="preserve">    </w:t>
      </w:r>
      <w:r w:rsidR="004F1B8A" w:rsidRPr="00FA0D37">
        <w:t>harq</w:t>
      </w:r>
      <w:r w:rsidRPr="00FA0D37" w:rsidDel="00BF1077">
        <w:t>-</w:t>
      </w:r>
      <w:r w:rsidR="00FB193E" w:rsidRPr="00FA0D37">
        <w:t>F</w:t>
      </w:r>
      <w:r w:rsidRPr="00FA0D37" w:rsidDel="00BF1077">
        <w:t xml:space="preserve">eedbackEnablingforSPSactive-r17 </w:t>
      </w:r>
      <w:r w:rsidRPr="00FA0D37" w:rsidDel="00BF1077">
        <w:rPr>
          <w:color w:val="993366"/>
        </w:rPr>
        <w:t>BOOLEAN</w:t>
      </w:r>
      <w:r w:rsidRPr="00FA0D37" w:rsidDel="00BF1077">
        <w:t xml:space="preserve">        </w:t>
      </w:r>
      <w:r w:rsidRPr="00FA0D37">
        <w:t xml:space="preserve">   </w:t>
      </w:r>
      <w:r w:rsidRPr="00FA0D37" w:rsidDel="00BF1077">
        <w:t xml:space="preserve">                                              </w:t>
      </w:r>
      <w:r w:rsidRPr="00FA0D37" w:rsidDel="00BF1077">
        <w:rPr>
          <w:color w:val="993366"/>
        </w:rPr>
        <w:t>OPTIONAL</w:t>
      </w:r>
      <w:r w:rsidR="00214323" w:rsidRPr="00FA0D37">
        <w:t>,</w:t>
      </w:r>
      <w:r w:rsidRPr="00FA0D37" w:rsidDel="00BF1077">
        <w:t xml:space="preserve">   </w:t>
      </w:r>
      <w:r w:rsidRPr="00FA0D37" w:rsidDel="00BF1077">
        <w:rPr>
          <w:color w:val="808080"/>
        </w:rPr>
        <w:t>-- Need R</w:t>
      </w:r>
    </w:p>
    <w:p w14:paraId="1258DE24" w14:textId="5EF02FCE" w:rsidR="00214323" w:rsidRPr="00FA0D37" w:rsidRDefault="00214323" w:rsidP="00FA0D37">
      <w:pPr>
        <w:pStyle w:val="PL"/>
        <w:rPr>
          <w:color w:val="808080"/>
        </w:rPr>
      </w:pPr>
      <w:r w:rsidRPr="00FA0D37">
        <w:t xml:space="preserve">    cfr-ConfigMulticast-r17             SetupRelease { CFR-ConfigMulticast-r17 }                          </w:t>
      </w:r>
      <w:r w:rsidRPr="00FA0D37">
        <w:rPr>
          <w:color w:val="993366"/>
        </w:rPr>
        <w:t>OPTIONAL</w:t>
      </w:r>
      <w:r w:rsidR="00DB6BF5" w:rsidRPr="00FA0D37">
        <w:t>,</w:t>
      </w:r>
      <w:r w:rsidRPr="00FA0D37">
        <w:t xml:space="preserve">   </w:t>
      </w:r>
      <w:r w:rsidRPr="00FA0D37">
        <w:rPr>
          <w:color w:val="808080"/>
        </w:rPr>
        <w:t>-- Need M</w:t>
      </w:r>
    </w:p>
    <w:p w14:paraId="38869DD2" w14:textId="6AB7E39D" w:rsidR="00DB6BF5" w:rsidRPr="00FA0D37" w:rsidRDefault="00DB6BF5" w:rsidP="00FA0D37">
      <w:pPr>
        <w:pStyle w:val="PL"/>
        <w:rPr>
          <w:color w:val="808080"/>
        </w:rPr>
      </w:pPr>
      <w:r w:rsidRPr="00FA0D37">
        <w:t xml:space="preserve">    dl-</w:t>
      </w:r>
      <w:r w:rsidR="005D0D1E" w:rsidRPr="00FA0D37">
        <w:t>PPW-</w:t>
      </w:r>
      <w:r w:rsidRPr="00FA0D37">
        <w:t>PreConfig</w:t>
      </w:r>
      <w:r w:rsidR="005D0D1E" w:rsidRPr="00FA0D37">
        <w:t>To</w:t>
      </w:r>
      <w:r w:rsidRPr="00FA0D37">
        <w:t xml:space="preserve">AddModList-r17  </w:t>
      </w:r>
      <w:r w:rsidR="00212830" w:rsidRPr="00FA0D37">
        <w:t xml:space="preserve">  </w:t>
      </w:r>
      <w:r w:rsidRPr="00FA0D37">
        <w:t>DL-</w:t>
      </w:r>
      <w:r w:rsidR="005D0D1E" w:rsidRPr="00FA0D37">
        <w:t>PPW-</w:t>
      </w:r>
      <w:r w:rsidRPr="00FA0D37">
        <w:t>PreConfig</w:t>
      </w:r>
      <w:r w:rsidR="005D0D1E" w:rsidRPr="00FA0D37">
        <w:t>To</w:t>
      </w:r>
      <w:r w:rsidRPr="00FA0D37">
        <w:t xml:space="preserve">AddModList-r17        </w:t>
      </w:r>
      <w:r w:rsidR="00212830" w:rsidRPr="00FA0D37">
        <w:t xml:space="preserve">                          </w:t>
      </w:r>
      <w:r w:rsidRPr="00FA0D37">
        <w:rPr>
          <w:color w:val="993366"/>
        </w:rPr>
        <w:t>OPTIONAL</w:t>
      </w:r>
      <w:r w:rsidRPr="00FA0D37">
        <w:t xml:space="preserve">,   </w:t>
      </w:r>
      <w:r w:rsidRPr="00FA0D37">
        <w:rPr>
          <w:color w:val="808080"/>
        </w:rPr>
        <w:t>-- Need N</w:t>
      </w:r>
    </w:p>
    <w:p w14:paraId="1F616120" w14:textId="350710F9" w:rsidR="00DB6BF5" w:rsidRPr="00FA0D37" w:rsidRDefault="00DB6BF5" w:rsidP="00FA0D37">
      <w:pPr>
        <w:pStyle w:val="PL"/>
        <w:rPr>
          <w:color w:val="808080"/>
        </w:rPr>
      </w:pPr>
      <w:r w:rsidRPr="00FA0D37">
        <w:t xml:space="preserve">    dl-</w:t>
      </w:r>
      <w:r w:rsidR="005D0D1E" w:rsidRPr="00FA0D37">
        <w:t>PPW-</w:t>
      </w:r>
      <w:r w:rsidRPr="00FA0D37">
        <w:t>PreConfig</w:t>
      </w:r>
      <w:r w:rsidR="005D0D1E" w:rsidRPr="00FA0D37">
        <w:t>To</w:t>
      </w:r>
      <w:r w:rsidRPr="00FA0D37">
        <w:t xml:space="preserve">ReleaseList-r17 </w:t>
      </w:r>
      <w:r w:rsidR="00212830" w:rsidRPr="00FA0D37">
        <w:t xml:space="preserve">  </w:t>
      </w:r>
      <w:r w:rsidRPr="00FA0D37">
        <w:t>DL-</w:t>
      </w:r>
      <w:r w:rsidR="005D0D1E" w:rsidRPr="00FA0D37">
        <w:t>PPW-</w:t>
      </w:r>
      <w:r w:rsidRPr="00FA0D37">
        <w:t>PreConfig</w:t>
      </w:r>
      <w:r w:rsidR="005D0D1E" w:rsidRPr="00FA0D37">
        <w:t>To</w:t>
      </w:r>
      <w:r w:rsidRPr="00FA0D37">
        <w:t xml:space="preserve">ReleaseList-r17       </w:t>
      </w:r>
      <w:r w:rsidR="00212830" w:rsidRPr="00FA0D37">
        <w:t xml:space="preserve">                          </w:t>
      </w:r>
      <w:r w:rsidRPr="00FA0D37">
        <w:rPr>
          <w:color w:val="993366"/>
        </w:rPr>
        <w:t>OPTIONAL</w:t>
      </w:r>
      <w:r w:rsidR="00B37B2F" w:rsidRPr="00FA0D37">
        <w:t>,</w:t>
      </w:r>
      <w:r w:rsidRPr="00FA0D37">
        <w:t xml:space="preserve">   </w:t>
      </w:r>
      <w:r w:rsidRPr="00FA0D37">
        <w:rPr>
          <w:color w:val="808080"/>
        </w:rPr>
        <w:t>-- Need N</w:t>
      </w:r>
    </w:p>
    <w:p w14:paraId="0D99564B" w14:textId="6B22DF8B" w:rsidR="00B37B2F" w:rsidRPr="00FA0D37" w:rsidRDefault="00B37B2F" w:rsidP="00FA0D37">
      <w:pPr>
        <w:pStyle w:val="PL"/>
        <w:rPr>
          <w:color w:val="808080"/>
        </w:rPr>
      </w:pPr>
      <w:r w:rsidRPr="00FA0D37">
        <w:t xml:space="preserve">    nonCellDefiningSSB-r17              NonCellDefiningSSB-r17                                            </w:t>
      </w:r>
      <w:r w:rsidRPr="00FA0D37">
        <w:rPr>
          <w:color w:val="993366"/>
        </w:rPr>
        <w:t>OPTIONAL</w:t>
      </w:r>
      <w:r w:rsidR="00AE678F" w:rsidRPr="00FA0D37">
        <w:t>,</w:t>
      </w:r>
      <w:r w:rsidRPr="00FA0D37">
        <w:t xml:space="preserve">   </w:t>
      </w:r>
      <w:r w:rsidRPr="00FA0D37">
        <w:rPr>
          <w:color w:val="808080"/>
        </w:rPr>
        <w:t>-- Need R</w:t>
      </w:r>
    </w:p>
    <w:p w14:paraId="56EAFDE1" w14:textId="5241B1F9" w:rsidR="00AE678F" w:rsidRPr="00FA0D37" w:rsidRDefault="00AE678F" w:rsidP="00FA0D37">
      <w:pPr>
        <w:pStyle w:val="PL"/>
        <w:rPr>
          <w:color w:val="808080"/>
        </w:rPr>
      </w:pPr>
      <w:r w:rsidRPr="00FA0D37">
        <w:t xml:space="preserve">    servingCellMO-r17                   MeasObjectId                                                  </w:t>
      </w:r>
      <w:r w:rsidRPr="00FA0D37">
        <w:rPr>
          <w:color w:val="993366"/>
        </w:rPr>
        <w:t>OPTIONAL</w:t>
      </w:r>
      <w:r w:rsidRPr="00FA0D37">
        <w:t xml:space="preserve"> </w:t>
      </w:r>
      <w:r w:rsidRPr="00FA0D37">
        <w:rPr>
          <w:color w:val="808080"/>
        </w:rPr>
        <w:t>-- Cond MeasObject-NCD</w:t>
      </w:r>
      <w:r w:rsidR="00B827A3" w:rsidRPr="00FA0D37">
        <w:rPr>
          <w:color w:val="808080"/>
        </w:rPr>
        <w:t>-</w:t>
      </w:r>
      <w:r w:rsidRPr="00FA0D37">
        <w:rPr>
          <w:color w:val="808080"/>
        </w:rPr>
        <w:t>SSB</w:t>
      </w:r>
    </w:p>
    <w:p w14:paraId="644ED3B2" w14:textId="7CCF28C9" w:rsidR="00394471" w:rsidRPr="00FA0D37" w:rsidRDefault="00E616AE" w:rsidP="00FA0D37">
      <w:pPr>
        <w:pStyle w:val="PL"/>
      </w:pPr>
      <w:r w:rsidRPr="00FA0D37">
        <w:t xml:space="preserve">    ]]</w:t>
      </w:r>
    </w:p>
    <w:p w14:paraId="3F1C4A20" w14:textId="77777777" w:rsidR="00394471" w:rsidRPr="00FA0D37" w:rsidRDefault="00394471" w:rsidP="00FA0D37">
      <w:pPr>
        <w:pStyle w:val="PL"/>
      </w:pPr>
      <w:r w:rsidRPr="00FA0D37">
        <w:t>}</w:t>
      </w:r>
    </w:p>
    <w:p w14:paraId="3B548E22" w14:textId="77777777" w:rsidR="00394471" w:rsidRPr="00FA0D37" w:rsidRDefault="00394471" w:rsidP="00FA0D37">
      <w:pPr>
        <w:pStyle w:val="PL"/>
      </w:pPr>
    </w:p>
    <w:p w14:paraId="35DD8665" w14:textId="77777777" w:rsidR="00394471" w:rsidRPr="00FA0D37" w:rsidRDefault="00394471" w:rsidP="00FA0D37">
      <w:pPr>
        <w:pStyle w:val="PL"/>
      </w:pPr>
      <w:r w:rsidRPr="00FA0D37">
        <w:t xml:space="preserve">SPS-ConfigToAddModList-r16 ::=          </w:t>
      </w:r>
      <w:r w:rsidRPr="00FA0D37">
        <w:rPr>
          <w:color w:val="993366"/>
        </w:rPr>
        <w:t>SEQUENCE</w:t>
      </w:r>
      <w:r w:rsidRPr="00FA0D37">
        <w:t xml:space="preserve"> (</w:t>
      </w:r>
      <w:r w:rsidRPr="00FA0D37">
        <w:rPr>
          <w:color w:val="993366"/>
        </w:rPr>
        <w:t>SIZE</w:t>
      </w:r>
      <w:r w:rsidRPr="00FA0D37">
        <w:t xml:space="preserve"> (1..maxNrofSPS-Config-r16))</w:t>
      </w:r>
      <w:r w:rsidRPr="00FA0D37">
        <w:rPr>
          <w:color w:val="993366"/>
        </w:rPr>
        <w:t xml:space="preserve"> OF</w:t>
      </w:r>
      <w:r w:rsidRPr="00FA0D37">
        <w:t xml:space="preserve"> SPS-Config</w:t>
      </w:r>
    </w:p>
    <w:p w14:paraId="0E799494" w14:textId="77777777" w:rsidR="00394471" w:rsidRPr="00FA0D37" w:rsidRDefault="00394471" w:rsidP="00FA0D37">
      <w:pPr>
        <w:pStyle w:val="PL"/>
      </w:pPr>
    </w:p>
    <w:p w14:paraId="6945BAF8" w14:textId="77777777" w:rsidR="00394471" w:rsidRPr="00FA0D37" w:rsidRDefault="00394471" w:rsidP="00FA0D37">
      <w:pPr>
        <w:pStyle w:val="PL"/>
      </w:pPr>
      <w:r w:rsidRPr="00FA0D37">
        <w:t xml:space="preserve">SPS-ConfigToReleaseList-r16 ::=         </w:t>
      </w:r>
      <w:r w:rsidRPr="00FA0D37">
        <w:rPr>
          <w:color w:val="993366"/>
        </w:rPr>
        <w:t>SEQUENCE</w:t>
      </w:r>
      <w:r w:rsidRPr="00FA0D37">
        <w:t xml:space="preserve"> (</w:t>
      </w:r>
      <w:r w:rsidRPr="00FA0D37">
        <w:rPr>
          <w:color w:val="993366"/>
        </w:rPr>
        <w:t>SIZE</w:t>
      </w:r>
      <w:r w:rsidRPr="00FA0D37">
        <w:t xml:space="preserve"> (1..maxNrofSPS-Config-r16))</w:t>
      </w:r>
      <w:r w:rsidRPr="00FA0D37">
        <w:rPr>
          <w:color w:val="993366"/>
        </w:rPr>
        <w:t xml:space="preserve"> OF</w:t>
      </w:r>
      <w:r w:rsidRPr="00FA0D37">
        <w:t xml:space="preserve"> SPS-ConfigIndex-r16</w:t>
      </w:r>
    </w:p>
    <w:p w14:paraId="3322A7B1" w14:textId="77777777" w:rsidR="00394471" w:rsidRPr="00FA0D37" w:rsidRDefault="00394471" w:rsidP="00FA0D37">
      <w:pPr>
        <w:pStyle w:val="PL"/>
      </w:pPr>
    </w:p>
    <w:p w14:paraId="538804D8" w14:textId="77777777" w:rsidR="00394471" w:rsidRPr="00FA0D37" w:rsidRDefault="00394471" w:rsidP="00FA0D37">
      <w:pPr>
        <w:pStyle w:val="PL"/>
      </w:pPr>
      <w:r w:rsidRPr="00FA0D37">
        <w:t xml:space="preserve">SPS-ConfigDeactivationState-r16 ::=     </w:t>
      </w:r>
      <w:r w:rsidRPr="00FA0D37">
        <w:rPr>
          <w:color w:val="993366"/>
        </w:rPr>
        <w:t>SEQUENCE</w:t>
      </w:r>
      <w:r w:rsidRPr="00FA0D37">
        <w:t xml:space="preserve"> (</w:t>
      </w:r>
      <w:r w:rsidRPr="00FA0D37">
        <w:rPr>
          <w:color w:val="993366"/>
        </w:rPr>
        <w:t>SIZE</w:t>
      </w:r>
      <w:r w:rsidRPr="00FA0D37">
        <w:t xml:space="preserve"> (1..maxNrofSPS-Config-r16))</w:t>
      </w:r>
      <w:r w:rsidRPr="00FA0D37">
        <w:rPr>
          <w:color w:val="993366"/>
        </w:rPr>
        <w:t xml:space="preserve"> OF</w:t>
      </w:r>
      <w:r w:rsidRPr="00FA0D37">
        <w:t xml:space="preserve"> SPS-ConfigIndex-r16</w:t>
      </w:r>
    </w:p>
    <w:p w14:paraId="242EC09E" w14:textId="77777777" w:rsidR="00394471" w:rsidRPr="00FA0D37" w:rsidRDefault="00394471" w:rsidP="00FA0D37">
      <w:pPr>
        <w:pStyle w:val="PL"/>
      </w:pPr>
    </w:p>
    <w:p w14:paraId="30A02153" w14:textId="77777777" w:rsidR="00394471" w:rsidRPr="00FA0D37" w:rsidRDefault="00394471" w:rsidP="00FA0D37">
      <w:pPr>
        <w:pStyle w:val="PL"/>
      </w:pPr>
      <w:r w:rsidRPr="00FA0D37">
        <w:t xml:space="preserve">SPS-ConfigDeactivationStateList-r16 ::= </w:t>
      </w:r>
      <w:r w:rsidRPr="00FA0D37">
        <w:rPr>
          <w:color w:val="993366"/>
        </w:rPr>
        <w:t>SEQUENCE</w:t>
      </w:r>
      <w:r w:rsidRPr="00FA0D37">
        <w:t xml:space="preserve"> (</w:t>
      </w:r>
      <w:r w:rsidRPr="00FA0D37">
        <w:rPr>
          <w:color w:val="993366"/>
        </w:rPr>
        <w:t>SIZE</w:t>
      </w:r>
      <w:r w:rsidRPr="00FA0D37">
        <w:t xml:space="preserve"> (1..maxNrofSPS-DeactivationState))</w:t>
      </w:r>
      <w:r w:rsidRPr="00FA0D37">
        <w:rPr>
          <w:color w:val="993366"/>
        </w:rPr>
        <w:t xml:space="preserve"> OF</w:t>
      </w:r>
      <w:r w:rsidRPr="00FA0D37">
        <w:t xml:space="preserve"> SPS-ConfigDeactivationState-r16</w:t>
      </w:r>
    </w:p>
    <w:p w14:paraId="6AF481E2" w14:textId="77777777" w:rsidR="00DB6BF5" w:rsidRPr="00FA0D37" w:rsidRDefault="00DB6BF5" w:rsidP="00FA0D37">
      <w:pPr>
        <w:pStyle w:val="PL"/>
      </w:pPr>
    </w:p>
    <w:p w14:paraId="4127B7EF" w14:textId="34E67FF8" w:rsidR="00DB6BF5" w:rsidRPr="00FA0D37" w:rsidRDefault="00DB6BF5" w:rsidP="00FA0D37">
      <w:pPr>
        <w:pStyle w:val="PL"/>
      </w:pPr>
      <w:r w:rsidRPr="00FA0D37">
        <w:t>DL-</w:t>
      </w:r>
      <w:r w:rsidR="005D0D1E" w:rsidRPr="00FA0D37">
        <w:t>PPW-</w:t>
      </w:r>
      <w:r w:rsidRPr="00FA0D37">
        <w:t>PreConfig</w:t>
      </w:r>
      <w:r w:rsidR="005D0D1E" w:rsidRPr="00FA0D37">
        <w:t>To</w:t>
      </w:r>
      <w:r w:rsidRPr="00FA0D37">
        <w:t xml:space="preserve">AddModList-r17 ::= </w:t>
      </w:r>
      <w:r w:rsidR="00212830" w:rsidRPr="00FA0D37">
        <w:t xml:space="preserve">   </w:t>
      </w:r>
      <w:r w:rsidRPr="00FA0D37">
        <w:rPr>
          <w:color w:val="993366"/>
        </w:rPr>
        <w:t>SEQUENCE</w:t>
      </w:r>
      <w:r w:rsidRPr="00FA0D37">
        <w:t xml:space="preserve"> (</w:t>
      </w:r>
      <w:r w:rsidRPr="00FA0D37">
        <w:rPr>
          <w:color w:val="993366"/>
        </w:rPr>
        <w:t>SIZE</w:t>
      </w:r>
      <w:r w:rsidRPr="00FA0D37">
        <w:t xml:space="preserve"> (1..maxNrofPPW-Config-r17))</w:t>
      </w:r>
      <w:r w:rsidRPr="00FA0D37">
        <w:rPr>
          <w:color w:val="993366"/>
        </w:rPr>
        <w:t xml:space="preserve"> OF</w:t>
      </w:r>
      <w:r w:rsidRPr="00FA0D37">
        <w:t xml:space="preserve"> DL-</w:t>
      </w:r>
      <w:r w:rsidR="005D0D1E" w:rsidRPr="00FA0D37">
        <w:t>PPW-</w:t>
      </w:r>
      <w:r w:rsidRPr="00FA0D37">
        <w:t>PreConfig-r17</w:t>
      </w:r>
    </w:p>
    <w:p w14:paraId="2BC816FB" w14:textId="77777777" w:rsidR="00DB6BF5" w:rsidRPr="00FA0D37" w:rsidRDefault="00DB6BF5" w:rsidP="00FA0D37">
      <w:pPr>
        <w:pStyle w:val="PL"/>
      </w:pPr>
    </w:p>
    <w:p w14:paraId="362655C7" w14:textId="0C2E988E" w:rsidR="00DB6BF5" w:rsidRPr="00FA0D37" w:rsidRDefault="00DB6BF5" w:rsidP="00FA0D37">
      <w:pPr>
        <w:pStyle w:val="PL"/>
      </w:pPr>
      <w:r w:rsidRPr="00FA0D37">
        <w:t>DL-</w:t>
      </w:r>
      <w:r w:rsidR="005D0D1E" w:rsidRPr="00FA0D37">
        <w:t>PPW-</w:t>
      </w:r>
      <w:r w:rsidRPr="00FA0D37">
        <w:t>PreConfig</w:t>
      </w:r>
      <w:r w:rsidR="005D0D1E" w:rsidRPr="00FA0D37">
        <w:t>To</w:t>
      </w:r>
      <w:r w:rsidRPr="00FA0D37">
        <w:t xml:space="preserve">ReleaseList-r17 ::= </w:t>
      </w:r>
      <w:r w:rsidR="00212830" w:rsidRPr="00FA0D37">
        <w:t xml:space="preserve">  </w:t>
      </w:r>
      <w:r w:rsidRPr="00FA0D37">
        <w:rPr>
          <w:color w:val="993366"/>
        </w:rPr>
        <w:t>SEQUENCE</w:t>
      </w:r>
      <w:r w:rsidRPr="00FA0D37">
        <w:t xml:space="preserve"> (</w:t>
      </w:r>
      <w:r w:rsidRPr="00FA0D37">
        <w:rPr>
          <w:color w:val="993366"/>
        </w:rPr>
        <w:t>SIZE</w:t>
      </w:r>
      <w:r w:rsidRPr="00FA0D37">
        <w:t xml:space="preserve"> (1..maxNrofPPW-Config-r17))</w:t>
      </w:r>
      <w:r w:rsidRPr="00FA0D37">
        <w:rPr>
          <w:color w:val="993366"/>
        </w:rPr>
        <w:t xml:space="preserve"> OF</w:t>
      </w:r>
      <w:r w:rsidRPr="00FA0D37">
        <w:t xml:space="preserve"> DL-</w:t>
      </w:r>
      <w:r w:rsidR="005D0D1E" w:rsidRPr="00FA0D37">
        <w:t>PPW-ID</w:t>
      </w:r>
      <w:r w:rsidRPr="00FA0D37">
        <w:t>-r17</w:t>
      </w:r>
    </w:p>
    <w:p w14:paraId="3F3160B5" w14:textId="77777777" w:rsidR="00DB6BF5" w:rsidRPr="00FA0D37" w:rsidRDefault="00DB6BF5" w:rsidP="00FA0D37">
      <w:pPr>
        <w:pStyle w:val="PL"/>
      </w:pPr>
    </w:p>
    <w:p w14:paraId="389A3818" w14:textId="77777777" w:rsidR="00394471" w:rsidRPr="00FA0D37" w:rsidRDefault="00394471" w:rsidP="00FA0D37">
      <w:pPr>
        <w:pStyle w:val="PL"/>
        <w:rPr>
          <w:color w:val="808080"/>
        </w:rPr>
      </w:pPr>
      <w:r w:rsidRPr="00FA0D37">
        <w:rPr>
          <w:color w:val="808080"/>
        </w:rPr>
        <w:t>-- TAG-BWP-DOWNLINKDEDICATED-STOP</w:t>
      </w:r>
    </w:p>
    <w:p w14:paraId="0F66C132" w14:textId="77777777" w:rsidR="00394471" w:rsidRPr="00FA0D37" w:rsidRDefault="00394471" w:rsidP="00FA0D37">
      <w:pPr>
        <w:pStyle w:val="PL"/>
        <w:rPr>
          <w:color w:val="808080"/>
        </w:rPr>
      </w:pPr>
      <w:r w:rsidRPr="00FA0D37">
        <w:rPr>
          <w:color w:val="808080"/>
        </w:rPr>
        <w:t>-- ASN1STOP</w:t>
      </w:r>
    </w:p>
    <w:p w14:paraId="740E51C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FA0D37" w:rsidRDefault="00394471" w:rsidP="00964CC4">
            <w:pPr>
              <w:pStyle w:val="TAH"/>
              <w:rPr>
                <w:szCs w:val="22"/>
                <w:lang w:eastAsia="sv-SE"/>
              </w:rPr>
            </w:pPr>
            <w:r w:rsidRPr="00FA0D37">
              <w:rPr>
                <w:i/>
                <w:szCs w:val="22"/>
                <w:lang w:eastAsia="sv-SE"/>
              </w:rPr>
              <w:lastRenderedPageBreak/>
              <w:t xml:space="preserve">BWP-DownlinkDedicated </w:t>
            </w:r>
            <w:r w:rsidRPr="00FA0D37">
              <w:rPr>
                <w:szCs w:val="22"/>
                <w:lang w:eastAsia="sv-SE"/>
              </w:rPr>
              <w:t>field descriptions</w:t>
            </w:r>
          </w:p>
        </w:tc>
      </w:tr>
      <w:tr w:rsidR="005C7FF4" w:rsidRPr="00FA0D37"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FA0D37" w:rsidRDefault="00394471" w:rsidP="00964CC4">
            <w:pPr>
              <w:pStyle w:val="TAL"/>
              <w:rPr>
                <w:szCs w:val="22"/>
                <w:lang w:eastAsia="sv-SE"/>
              </w:rPr>
            </w:pPr>
            <w:r w:rsidRPr="00FA0D37">
              <w:rPr>
                <w:b/>
                <w:i/>
                <w:szCs w:val="22"/>
                <w:lang w:eastAsia="sv-SE"/>
              </w:rPr>
              <w:t>beamFailureRecoverySCellConfig</w:t>
            </w:r>
          </w:p>
          <w:p w14:paraId="3E89D43D" w14:textId="1DD9D22F" w:rsidR="00394471" w:rsidRPr="00FA0D37" w:rsidRDefault="00394471" w:rsidP="00964CC4">
            <w:pPr>
              <w:pStyle w:val="TAL"/>
              <w:rPr>
                <w:b/>
                <w:i/>
                <w:szCs w:val="22"/>
                <w:lang w:eastAsia="sv-SE"/>
              </w:rPr>
            </w:pPr>
            <w:r w:rsidRPr="00FA0D37">
              <w:rPr>
                <w:szCs w:val="22"/>
                <w:lang w:eastAsia="sv-SE"/>
              </w:rPr>
              <w:t xml:space="preserve">Configuration of candidate RS for beam failure recovery </w:t>
            </w:r>
            <w:r w:rsidR="0005240D" w:rsidRPr="00FA0D37">
              <w:rPr>
                <w:szCs w:val="22"/>
                <w:lang w:eastAsia="sv-SE"/>
              </w:rPr>
              <w:t>o</w:t>
            </w:r>
            <w:r w:rsidRPr="00FA0D37">
              <w:rPr>
                <w:szCs w:val="22"/>
                <w:lang w:eastAsia="sv-SE"/>
              </w:rPr>
              <w:t>n SCells.</w:t>
            </w:r>
          </w:p>
        </w:tc>
      </w:tr>
      <w:tr w:rsidR="005C7FF4" w:rsidRPr="00FA0D37"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FA0D37" w:rsidRDefault="00EE6A93" w:rsidP="00EE6A93">
            <w:pPr>
              <w:pStyle w:val="TAL"/>
              <w:rPr>
                <w:szCs w:val="22"/>
                <w:lang w:eastAsia="sv-SE"/>
              </w:rPr>
            </w:pPr>
            <w:r w:rsidRPr="00FA0D37">
              <w:rPr>
                <w:b/>
                <w:i/>
                <w:szCs w:val="22"/>
                <w:lang w:eastAsia="sv-SE"/>
              </w:rPr>
              <w:t>beamFailureRecoverySpCellConfig</w:t>
            </w:r>
          </w:p>
          <w:p w14:paraId="193A3AE1" w14:textId="449CD518" w:rsidR="00EE6A93" w:rsidRPr="00FA0D37" w:rsidRDefault="00EE6A93" w:rsidP="00964CC4">
            <w:pPr>
              <w:pStyle w:val="TAL"/>
              <w:rPr>
                <w:b/>
                <w:i/>
                <w:szCs w:val="22"/>
                <w:lang w:eastAsia="sv-SE"/>
              </w:rPr>
            </w:pPr>
            <w:r w:rsidRPr="00FA0D37">
              <w:rPr>
                <w:szCs w:val="22"/>
                <w:lang w:eastAsia="sv-SE"/>
              </w:rPr>
              <w:t xml:space="preserve">Configuration of candidate RS for beam failure recovery </w:t>
            </w:r>
            <w:r w:rsidR="0005240D" w:rsidRPr="00FA0D37">
              <w:rPr>
                <w:szCs w:val="22"/>
                <w:lang w:eastAsia="sv-SE"/>
              </w:rPr>
              <w:t>o</w:t>
            </w:r>
            <w:r w:rsidRPr="00FA0D37">
              <w:rPr>
                <w:szCs w:val="22"/>
                <w:lang w:eastAsia="sv-SE"/>
              </w:rPr>
              <w:t xml:space="preserve">n </w:t>
            </w:r>
            <w:r w:rsidR="0005240D" w:rsidRPr="00FA0D37">
              <w:rPr>
                <w:szCs w:val="22"/>
                <w:lang w:eastAsia="sv-SE"/>
              </w:rPr>
              <w:t xml:space="preserve">the </w:t>
            </w:r>
            <w:r w:rsidRPr="00FA0D37">
              <w:rPr>
                <w:szCs w:val="22"/>
                <w:lang w:eastAsia="sv-SE"/>
              </w:rPr>
              <w:t>SpCell.</w:t>
            </w:r>
            <w:r w:rsidR="0005240D" w:rsidRPr="00FA0D37">
              <w:t xml:space="preserve"> </w:t>
            </w:r>
            <w:r w:rsidR="0005240D" w:rsidRPr="00FA0D37">
              <w:rPr>
                <w:szCs w:val="22"/>
                <w:lang w:eastAsia="sv-SE"/>
              </w:rPr>
              <w:t xml:space="preserve">This field can only be configured when </w:t>
            </w:r>
            <w:r w:rsidR="0005240D" w:rsidRPr="00FA0D37">
              <w:rPr>
                <w:i/>
                <w:iCs/>
                <w:szCs w:val="22"/>
                <w:lang w:eastAsia="sv-SE"/>
              </w:rPr>
              <w:t>beam</w:t>
            </w:r>
            <w:r w:rsidR="00DF1A5D" w:rsidRPr="00FA0D37">
              <w:rPr>
                <w:i/>
                <w:iCs/>
                <w:szCs w:val="22"/>
                <w:lang w:eastAsia="sv-SE"/>
              </w:rPr>
              <w:t>F</w:t>
            </w:r>
            <w:r w:rsidR="0005240D" w:rsidRPr="00FA0D37">
              <w:rPr>
                <w:i/>
                <w:iCs/>
                <w:szCs w:val="22"/>
                <w:lang w:eastAsia="sv-SE"/>
              </w:rPr>
              <w:t>ailure</w:t>
            </w:r>
            <w:r w:rsidR="00DF1A5D" w:rsidRPr="00FA0D37">
              <w:rPr>
                <w:i/>
                <w:iCs/>
                <w:szCs w:val="22"/>
                <w:lang w:eastAsia="sv-SE"/>
              </w:rPr>
              <w:t>-r17</w:t>
            </w:r>
            <w:r w:rsidR="0005240D" w:rsidRPr="00FA0D37">
              <w:rPr>
                <w:szCs w:val="22"/>
                <w:lang w:eastAsia="sv-SE"/>
              </w:rPr>
              <w:t xml:space="preserve"> is configured in </w:t>
            </w:r>
            <w:r w:rsidR="0005240D" w:rsidRPr="00FA0D37">
              <w:rPr>
                <w:i/>
                <w:iCs/>
                <w:szCs w:val="22"/>
                <w:lang w:eastAsia="sv-SE"/>
              </w:rPr>
              <w:t>RadioLinkMonitoringConfig</w:t>
            </w:r>
            <w:r w:rsidR="0005240D" w:rsidRPr="00FA0D37">
              <w:rPr>
                <w:szCs w:val="22"/>
                <w:lang w:eastAsia="sv-SE"/>
              </w:rPr>
              <w:t>.</w:t>
            </w:r>
          </w:p>
        </w:tc>
      </w:tr>
      <w:tr w:rsidR="005C7FF4" w:rsidRPr="00FA0D37"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FA0D37" w:rsidRDefault="00214323" w:rsidP="00771058">
            <w:pPr>
              <w:pStyle w:val="TAL"/>
              <w:rPr>
                <w:b/>
                <w:i/>
                <w:szCs w:val="22"/>
                <w:lang w:eastAsia="sv-SE"/>
              </w:rPr>
            </w:pPr>
            <w:r w:rsidRPr="00FA0D37">
              <w:rPr>
                <w:b/>
                <w:i/>
                <w:szCs w:val="22"/>
                <w:lang w:eastAsia="sv-SE"/>
              </w:rPr>
              <w:t>cfr-ConfigMulticast</w:t>
            </w:r>
          </w:p>
          <w:p w14:paraId="4AAE8BED" w14:textId="77777777" w:rsidR="00214323" w:rsidRPr="00FA0D37" w:rsidRDefault="00214323" w:rsidP="00771058">
            <w:pPr>
              <w:pStyle w:val="TAL"/>
              <w:rPr>
                <w:szCs w:val="22"/>
                <w:lang w:eastAsia="sv-SE"/>
              </w:rPr>
            </w:pPr>
            <w:r w:rsidRPr="00FA0D37">
              <w:rPr>
                <w:szCs w:val="22"/>
                <w:lang w:eastAsia="sv-SE"/>
              </w:rPr>
              <w:t>UE specific common frequency resource configuration for MBS multicast for one dedicated BWP. This field can be configured within at most one serving cell.</w:t>
            </w:r>
          </w:p>
        </w:tc>
      </w:tr>
      <w:tr w:rsidR="005C7FF4" w:rsidRPr="00FA0D37"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FA0D37" w:rsidRDefault="00212830" w:rsidP="00212830">
            <w:pPr>
              <w:pStyle w:val="TAL"/>
              <w:rPr>
                <w:rFonts w:eastAsia="宋体"/>
                <w:b/>
                <w:bCs/>
                <w:i/>
                <w:szCs w:val="22"/>
                <w:lang w:eastAsia="zh-CN"/>
              </w:rPr>
            </w:pPr>
            <w:r w:rsidRPr="00FA0D37">
              <w:rPr>
                <w:rFonts w:eastAsia="宋体"/>
                <w:b/>
                <w:bCs/>
                <w:i/>
                <w:szCs w:val="22"/>
                <w:lang w:eastAsia="zh-CN"/>
              </w:rPr>
              <w:t>dl-PPW-PreConfigToAddModList</w:t>
            </w:r>
          </w:p>
          <w:p w14:paraId="2BA17B35" w14:textId="6E580FA2" w:rsidR="00212830" w:rsidRPr="00FA0D37" w:rsidDel="00CE29E7" w:rsidRDefault="00212830" w:rsidP="00212830">
            <w:pPr>
              <w:pStyle w:val="TAL"/>
              <w:rPr>
                <w:b/>
                <w:i/>
                <w:szCs w:val="22"/>
                <w:lang w:eastAsia="sv-SE"/>
              </w:rPr>
            </w:pPr>
            <w:r w:rsidRPr="00FA0D37">
              <w:rPr>
                <w:rFonts w:eastAsia="宋体"/>
                <w:szCs w:val="22"/>
                <w:lang w:eastAsia="zh-CN"/>
              </w:rPr>
              <w:t>Indicates a list of DL-PRS processing window configurations to be added or modified for the dedicated DL BWP.</w:t>
            </w:r>
          </w:p>
        </w:tc>
      </w:tr>
      <w:tr w:rsidR="005C7FF4" w:rsidRPr="00FA0D37"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FA0D37" w:rsidRDefault="00212830" w:rsidP="00212830">
            <w:pPr>
              <w:pStyle w:val="TAL"/>
              <w:rPr>
                <w:rFonts w:eastAsia="宋体"/>
                <w:b/>
                <w:bCs/>
                <w:i/>
                <w:szCs w:val="22"/>
                <w:lang w:eastAsia="zh-CN"/>
              </w:rPr>
            </w:pPr>
            <w:r w:rsidRPr="00FA0D37">
              <w:rPr>
                <w:rFonts w:eastAsia="宋体"/>
                <w:b/>
                <w:bCs/>
                <w:i/>
                <w:szCs w:val="22"/>
                <w:lang w:eastAsia="zh-CN"/>
              </w:rPr>
              <w:t>dl-PPW-PreConfigToReleaseList</w:t>
            </w:r>
          </w:p>
          <w:p w14:paraId="2B3382A7" w14:textId="5335CCA1" w:rsidR="00212830" w:rsidRPr="00FA0D37" w:rsidDel="00CE29E7" w:rsidRDefault="00212830" w:rsidP="00212830">
            <w:pPr>
              <w:pStyle w:val="TAL"/>
              <w:rPr>
                <w:b/>
                <w:i/>
                <w:szCs w:val="22"/>
                <w:lang w:eastAsia="sv-SE"/>
              </w:rPr>
            </w:pPr>
            <w:r w:rsidRPr="00FA0D37">
              <w:rPr>
                <w:rFonts w:eastAsia="宋体"/>
                <w:szCs w:val="22"/>
                <w:lang w:eastAsia="zh-CN"/>
              </w:rPr>
              <w:t>Indicates a list of DL-PRS processing window configurations to be released for the dedicated DL BWP.</w:t>
            </w:r>
          </w:p>
        </w:tc>
      </w:tr>
      <w:tr w:rsidR="005C7FF4" w:rsidRPr="00FA0D37"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FA0D37" w:rsidRDefault="00FB193E" w:rsidP="00771058">
            <w:pPr>
              <w:pStyle w:val="TAL"/>
              <w:rPr>
                <w:b/>
                <w:i/>
                <w:szCs w:val="22"/>
                <w:lang w:eastAsia="sv-SE"/>
              </w:rPr>
            </w:pPr>
            <w:r w:rsidRPr="00FA0D37">
              <w:rPr>
                <w:b/>
                <w:i/>
                <w:szCs w:val="22"/>
                <w:lang w:eastAsia="sv-SE"/>
              </w:rPr>
              <w:t>harq</w:t>
            </w:r>
            <w:r w:rsidR="005B7637" w:rsidRPr="00FA0D37">
              <w:rPr>
                <w:b/>
                <w:i/>
                <w:szCs w:val="22"/>
                <w:lang w:eastAsia="sv-SE"/>
              </w:rPr>
              <w:t>-</w:t>
            </w:r>
            <w:r w:rsidRPr="00FA0D37">
              <w:rPr>
                <w:b/>
                <w:i/>
                <w:szCs w:val="22"/>
                <w:lang w:eastAsia="sv-SE"/>
              </w:rPr>
              <w:t>F</w:t>
            </w:r>
            <w:r w:rsidR="005B7637" w:rsidRPr="00FA0D37">
              <w:rPr>
                <w:b/>
                <w:i/>
                <w:szCs w:val="22"/>
                <w:lang w:eastAsia="sv-SE"/>
              </w:rPr>
              <w:t>eedbackEnablingforSPSactive</w:t>
            </w:r>
          </w:p>
          <w:p w14:paraId="681EE313" w14:textId="77777777" w:rsidR="005B7637" w:rsidRPr="00FA0D37" w:rsidRDefault="005B7637" w:rsidP="00771058">
            <w:pPr>
              <w:pStyle w:val="TAL"/>
              <w:rPr>
                <w:b/>
                <w:i/>
                <w:szCs w:val="22"/>
                <w:lang w:eastAsia="sv-SE"/>
              </w:rPr>
            </w:pPr>
            <w:r w:rsidRPr="00FA0D37">
              <w:rPr>
                <w:bCs/>
                <w:iCs/>
                <w:szCs w:val="22"/>
                <w:lang w:eastAsia="sv-SE"/>
              </w:rPr>
              <w:t>If enabled, UE reports ACK/NACK for the first SPS PDSCH after activation, regardless of if HARQ feedback is enabled or disabled corresponding to the first SPS PDSCH after activation. Otherwise, UE follows configuration of HARQ feedback enabled/disabled corresponding to the first SPS PDSCH after activation.</w:t>
            </w:r>
          </w:p>
        </w:tc>
      </w:tr>
      <w:tr w:rsidR="005C7FF4" w:rsidRPr="00FA0D37"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FA0D37" w:rsidRDefault="00B37B2F" w:rsidP="00771058">
            <w:pPr>
              <w:pStyle w:val="TAL"/>
              <w:rPr>
                <w:szCs w:val="22"/>
                <w:lang w:eastAsia="sv-SE"/>
              </w:rPr>
            </w:pPr>
            <w:r w:rsidRPr="00FA0D37">
              <w:rPr>
                <w:b/>
                <w:i/>
                <w:szCs w:val="22"/>
                <w:lang w:eastAsia="sv-SE"/>
              </w:rPr>
              <w:t>nonCellDefiningSSB</w:t>
            </w:r>
          </w:p>
          <w:p w14:paraId="376BC454" w14:textId="7C0552A7" w:rsidR="00F747EB" w:rsidRPr="00FA0D37" w:rsidRDefault="00B37B2F" w:rsidP="00771058">
            <w:pPr>
              <w:pStyle w:val="TAL"/>
              <w:rPr>
                <w:szCs w:val="22"/>
                <w:lang w:eastAsia="sv-SE"/>
              </w:rPr>
            </w:pPr>
            <w:r w:rsidRPr="00FA0D37">
              <w:rPr>
                <w:szCs w:val="22"/>
                <w:lang w:eastAsia="sv-SE"/>
              </w:rPr>
              <w:t xml:space="preserve">If configured, the </w:t>
            </w:r>
            <w:r w:rsidR="00AE678F" w:rsidRPr="00FA0D37">
              <w:rPr>
                <w:szCs w:val="22"/>
                <w:lang w:eastAsia="sv-SE"/>
              </w:rPr>
              <w:t xml:space="preserve">RedCap </w:t>
            </w:r>
            <w:r w:rsidRPr="00FA0D37">
              <w:rPr>
                <w:szCs w:val="22"/>
                <w:lang w:eastAsia="sv-SE"/>
              </w:rPr>
              <w:t xml:space="preserve">UE operating in this BWP uses this SSB for the purposes for which it would otherwise have used the </w:t>
            </w:r>
            <w:r w:rsidR="00E358C0" w:rsidRPr="00FA0D37">
              <w:rPr>
                <w:szCs w:val="22"/>
                <w:lang w:eastAsia="sv-SE"/>
              </w:rPr>
              <w:t>CD-</w:t>
            </w:r>
            <w:r w:rsidRPr="00FA0D37">
              <w:rPr>
                <w:szCs w:val="22"/>
                <w:lang w:eastAsia="sv-SE"/>
              </w:rPr>
              <w:t xml:space="preserve">SSB of the serving cell (e.g. obtaining sync, measurements, RLM). Furthermore, other parts of the BWP configuration that refer to an SSB (e.g. the </w:t>
            </w:r>
            <w:r w:rsidR="00C90514" w:rsidRPr="00FA0D37">
              <w:rPr>
                <w:szCs w:val="22"/>
                <w:lang w:eastAsia="sv-SE"/>
              </w:rPr>
              <w:t>"</w:t>
            </w:r>
            <w:r w:rsidRPr="00FA0D37">
              <w:rPr>
                <w:szCs w:val="22"/>
                <w:lang w:eastAsia="sv-SE"/>
              </w:rPr>
              <w:t>SSB</w:t>
            </w:r>
            <w:r w:rsidR="00C90514" w:rsidRPr="00FA0D37">
              <w:rPr>
                <w:szCs w:val="22"/>
                <w:lang w:eastAsia="sv-SE"/>
              </w:rPr>
              <w:t>"</w:t>
            </w:r>
            <w:r w:rsidRPr="00FA0D37">
              <w:rPr>
                <w:szCs w:val="22"/>
                <w:lang w:eastAsia="sv-SE"/>
              </w:rPr>
              <w:t xml:space="preserve"> configured in the </w:t>
            </w:r>
            <w:r w:rsidRPr="00FA0D37">
              <w:rPr>
                <w:i/>
                <w:iCs/>
                <w:szCs w:val="22"/>
                <w:lang w:eastAsia="sv-SE"/>
              </w:rPr>
              <w:t>QCL-Info</w:t>
            </w:r>
            <w:r w:rsidRPr="00FA0D37">
              <w:rPr>
                <w:szCs w:val="22"/>
                <w:lang w:eastAsia="sv-SE"/>
              </w:rPr>
              <w:t xml:space="preserve"> IE; the </w:t>
            </w:r>
            <w:r w:rsidR="00B14AA9" w:rsidRPr="00FA0D37">
              <w:rPr>
                <w:szCs w:val="22"/>
                <w:lang w:eastAsia="sv-SE"/>
              </w:rPr>
              <w:t>"</w:t>
            </w:r>
            <w:r w:rsidRPr="00FA0D37">
              <w:rPr>
                <w:szCs w:val="22"/>
                <w:lang w:eastAsia="sv-SE"/>
              </w:rPr>
              <w:t>ssb-Index</w:t>
            </w:r>
            <w:r w:rsidR="00B14AA9" w:rsidRPr="00FA0D37">
              <w:rPr>
                <w:szCs w:val="22"/>
                <w:lang w:eastAsia="sv-SE"/>
              </w:rPr>
              <w:t>"</w:t>
            </w:r>
            <w:r w:rsidRPr="00FA0D37">
              <w:rPr>
                <w:szCs w:val="22"/>
                <w:lang w:eastAsia="sv-SE"/>
              </w:rPr>
              <w:t xml:space="preserve"> configured in the </w:t>
            </w:r>
            <w:r w:rsidRPr="00FA0D37">
              <w:rPr>
                <w:i/>
                <w:iCs/>
                <w:szCs w:val="22"/>
                <w:lang w:eastAsia="sv-SE"/>
              </w:rPr>
              <w:t>RadioLinkMonitoringRS</w:t>
            </w:r>
            <w:r w:rsidRPr="00FA0D37">
              <w:rPr>
                <w:szCs w:val="22"/>
                <w:lang w:eastAsia="sv-SE"/>
              </w:rPr>
              <w:t xml:space="preserve">; </w:t>
            </w:r>
            <w:r w:rsidRPr="00FA0D37">
              <w:rPr>
                <w:i/>
                <w:iCs/>
                <w:szCs w:val="22"/>
                <w:lang w:eastAsia="sv-SE"/>
              </w:rPr>
              <w:t>CFRA-SSB-Resource</w:t>
            </w:r>
            <w:r w:rsidRPr="00FA0D37">
              <w:rPr>
                <w:szCs w:val="22"/>
                <w:lang w:eastAsia="sv-SE"/>
              </w:rPr>
              <w:t xml:space="preserve">; </w:t>
            </w:r>
            <w:r w:rsidRPr="00FA0D37">
              <w:rPr>
                <w:i/>
                <w:iCs/>
                <w:szCs w:val="22"/>
                <w:lang w:eastAsia="sv-SE"/>
              </w:rPr>
              <w:t>PRACH-ResourceDedicatedBFR</w:t>
            </w:r>
            <w:r w:rsidRPr="00FA0D37">
              <w:rPr>
                <w:szCs w:val="22"/>
                <w:lang w:eastAsia="sv-SE"/>
              </w:rPr>
              <w:t>) refer implicitily to this NCD-SSB.</w:t>
            </w:r>
          </w:p>
          <w:p w14:paraId="0AEB2DB3" w14:textId="5E8038A2" w:rsidR="00B37B2F" w:rsidRPr="00FA0D37" w:rsidRDefault="00B37B2F" w:rsidP="00771058">
            <w:pPr>
              <w:pStyle w:val="TAL"/>
              <w:rPr>
                <w:b/>
                <w:i/>
                <w:szCs w:val="22"/>
                <w:lang w:eastAsia="sv-SE"/>
              </w:rPr>
            </w:pPr>
            <w:r w:rsidRPr="00FA0D37">
              <w:t xml:space="preserve">The NCD-SSB has the same values for the properties (e.g., </w:t>
            </w:r>
            <w:r w:rsidRPr="00FA0D37">
              <w:rPr>
                <w:i/>
                <w:iCs/>
              </w:rPr>
              <w:t>ssb-PositionsInBurst</w:t>
            </w:r>
            <w:r w:rsidRPr="00FA0D37">
              <w:t xml:space="preserve">, </w:t>
            </w:r>
            <w:r w:rsidRPr="00FA0D37">
              <w:rPr>
                <w:i/>
                <w:iCs/>
              </w:rPr>
              <w:t>PCI</w:t>
            </w:r>
            <w:r w:rsidRPr="00FA0D37">
              <w:t xml:space="preserve">, </w:t>
            </w:r>
            <w:r w:rsidRPr="00FA0D37">
              <w:rPr>
                <w:i/>
                <w:iCs/>
              </w:rPr>
              <w:t>ssb-PBCH-BlockPower</w:t>
            </w:r>
            <w:r w:rsidRPr="00FA0D37">
              <w:t xml:space="preserve">) of the corresponding CD-SSB apart from the values of the properties configured in the </w:t>
            </w:r>
            <w:r w:rsidRPr="00FA0D37">
              <w:rPr>
                <w:i/>
                <w:iCs/>
              </w:rPr>
              <w:t>NonCellDefiningSSB-r17</w:t>
            </w:r>
            <w:r w:rsidRPr="00FA0D37">
              <w:t xml:space="preserve"> IE.</w:t>
            </w:r>
          </w:p>
        </w:tc>
      </w:tr>
      <w:tr w:rsidR="005C7FF4" w:rsidRPr="00FA0D37"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FA0D37" w:rsidRDefault="00394471" w:rsidP="00964CC4">
            <w:pPr>
              <w:pStyle w:val="TAL"/>
              <w:rPr>
                <w:b/>
                <w:i/>
                <w:szCs w:val="22"/>
                <w:lang w:eastAsia="sv-SE"/>
              </w:rPr>
            </w:pPr>
            <w:r w:rsidRPr="00FA0D37">
              <w:rPr>
                <w:b/>
                <w:i/>
                <w:szCs w:val="22"/>
                <w:lang w:eastAsia="sv-SE"/>
              </w:rPr>
              <w:t>pdcch-Config</w:t>
            </w:r>
          </w:p>
          <w:p w14:paraId="368C3C09" w14:textId="77777777" w:rsidR="00394471" w:rsidRPr="00FA0D37" w:rsidRDefault="00394471" w:rsidP="00964CC4">
            <w:pPr>
              <w:pStyle w:val="TAL"/>
              <w:rPr>
                <w:szCs w:val="22"/>
                <w:lang w:eastAsia="sv-SE"/>
              </w:rPr>
            </w:pPr>
            <w:r w:rsidRPr="00FA0D37">
              <w:rPr>
                <w:szCs w:val="22"/>
                <w:lang w:eastAsia="sv-SE"/>
              </w:rPr>
              <w:t>UE specific PDCCH configuration for one BWP.</w:t>
            </w:r>
          </w:p>
        </w:tc>
      </w:tr>
      <w:tr w:rsidR="005C7FF4" w:rsidRPr="00FA0D37"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FA0D37" w:rsidRDefault="00394471" w:rsidP="00964CC4">
            <w:pPr>
              <w:pStyle w:val="TAL"/>
              <w:rPr>
                <w:b/>
                <w:i/>
                <w:szCs w:val="22"/>
                <w:lang w:eastAsia="sv-SE"/>
              </w:rPr>
            </w:pPr>
            <w:r w:rsidRPr="00FA0D37">
              <w:rPr>
                <w:b/>
                <w:i/>
                <w:szCs w:val="22"/>
                <w:lang w:eastAsia="sv-SE"/>
              </w:rPr>
              <w:t>pdsch-Config</w:t>
            </w:r>
          </w:p>
          <w:p w14:paraId="5D1D52AB" w14:textId="77777777" w:rsidR="00394471" w:rsidRPr="00FA0D37" w:rsidRDefault="00394471" w:rsidP="00964CC4">
            <w:pPr>
              <w:pStyle w:val="TAL"/>
              <w:rPr>
                <w:szCs w:val="22"/>
                <w:lang w:eastAsia="sv-SE"/>
              </w:rPr>
            </w:pPr>
            <w:r w:rsidRPr="00FA0D37">
              <w:rPr>
                <w:szCs w:val="22"/>
                <w:lang w:eastAsia="sv-SE"/>
              </w:rPr>
              <w:t>UE specific PDSCH configuration for one BWP.</w:t>
            </w:r>
          </w:p>
        </w:tc>
      </w:tr>
      <w:tr w:rsidR="005C7FF4" w:rsidRPr="00FA0D37"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E29E7" w:rsidRPr="00FA0D37" w:rsidRDefault="00CE29E7" w:rsidP="00CE29E7">
            <w:pPr>
              <w:pStyle w:val="TAL"/>
              <w:rPr>
                <w:szCs w:val="22"/>
                <w:lang w:eastAsia="sv-SE"/>
              </w:rPr>
            </w:pPr>
            <w:r w:rsidRPr="00FA0D37">
              <w:rPr>
                <w:b/>
                <w:i/>
                <w:szCs w:val="22"/>
                <w:lang w:eastAsia="sv-SE"/>
              </w:rPr>
              <w:t>preConfGapStatus</w:t>
            </w:r>
          </w:p>
          <w:p w14:paraId="5F030A0D" w14:textId="6A892CA8" w:rsidR="00CE29E7" w:rsidRPr="00FA0D37" w:rsidRDefault="00CE29E7" w:rsidP="00CE29E7">
            <w:pPr>
              <w:pStyle w:val="TAL"/>
              <w:rPr>
                <w:b/>
                <w:i/>
                <w:szCs w:val="22"/>
                <w:lang w:eastAsia="sv-SE"/>
              </w:rPr>
            </w:pPr>
            <w:r w:rsidRPr="00FA0D37">
              <w:rPr>
                <w:szCs w:val="22"/>
                <w:lang w:eastAsia="sv-SE"/>
              </w:rPr>
              <w:t xml:space="preserve">Indicates whether the pre-configured measurement gaps (i.e. the gaps configured with </w:t>
            </w:r>
            <w:r w:rsidRPr="00FA0D37">
              <w:rPr>
                <w:rFonts w:eastAsia="Calibri"/>
                <w:i/>
                <w:iCs/>
                <w:szCs w:val="22"/>
                <w:lang w:eastAsia="sv-SE"/>
              </w:rPr>
              <w:t>preConfigInd</w:t>
            </w:r>
            <w:r w:rsidRPr="00FA0D37">
              <w:rPr>
                <w:szCs w:val="22"/>
                <w:lang w:eastAsia="sv-SE"/>
              </w:rPr>
              <w:t xml:space="preserve">) are activated or deactivated upon the switch to this BWP. </w:t>
            </w:r>
            <w:bookmarkStart w:id="908" w:name="_Hlk101786150"/>
            <w:r w:rsidRPr="00FA0D37">
              <w:rPr>
                <w:szCs w:val="22"/>
                <w:lang w:eastAsia="sv-SE"/>
              </w:rPr>
              <w:t>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bookmarkEnd w:id="908"/>
            <w:r w:rsidRPr="00FA0D37">
              <w:rPr>
                <w:szCs w:val="22"/>
                <w:lang w:eastAsia="sv-SE"/>
              </w:rPr>
              <w:t>.</w:t>
            </w:r>
          </w:p>
        </w:tc>
      </w:tr>
      <w:tr w:rsidR="005C7FF4" w:rsidRPr="00FA0D37"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AE678F" w:rsidRPr="00FA0D37" w:rsidRDefault="00AE678F" w:rsidP="00AE678F">
            <w:pPr>
              <w:pStyle w:val="TAL"/>
              <w:rPr>
                <w:b/>
                <w:i/>
                <w:szCs w:val="22"/>
                <w:lang w:eastAsia="sv-SE"/>
              </w:rPr>
            </w:pPr>
            <w:r w:rsidRPr="00FA0D37">
              <w:rPr>
                <w:b/>
                <w:i/>
                <w:szCs w:val="22"/>
                <w:lang w:eastAsia="sv-SE"/>
              </w:rPr>
              <w:t>servingCellMO</w:t>
            </w:r>
          </w:p>
          <w:p w14:paraId="1F9F2470" w14:textId="7FD25E1E" w:rsidR="00AE678F" w:rsidRPr="00FA0D37" w:rsidRDefault="00AE678F" w:rsidP="00AE678F">
            <w:pPr>
              <w:pStyle w:val="TAL"/>
              <w:rPr>
                <w:b/>
                <w:i/>
                <w:szCs w:val="22"/>
                <w:lang w:eastAsia="sv-SE"/>
              </w:rPr>
            </w:pPr>
            <w:r w:rsidRPr="00FA0D37">
              <w:rPr>
                <w:i/>
                <w:szCs w:val="22"/>
                <w:lang w:eastAsia="sv-SE"/>
              </w:rPr>
              <w:t xml:space="preserve">measObjectId </w:t>
            </w:r>
            <w:r w:rsidRPr="00FA0D37">
              <w:rPr>
                <w:szCs w:val="22"/>
                <w:lang w:eastAsia="sv-SE"/>
              </w:rPr>
              <w:t xml:space="preserve">of the </w:t>
            </w:r>
            <w:r w:rsidRPr="00FA0D37">
              <w:rPr>
                <w:i/>
                <w:szCs w:val="22"/>
                <w:lang w:eastAsia="sv-SE"/>
              </w:rPr>
              <w:t>MeasObjectNR</w:t>
            </w:r>
            <w:r w:rsidRPr="00FA0D37">
              <w:rPr>
                <w:szCs w:val="22"/>
                <w:lang w:eastAsia="sv-SE"/>
              </w:rPr>
              <w:t xml:space="preserve"> in </w:t>
            </w:r>
            <w:r w:rsidRPr="00FA0D37">
              <w:rPr>
                <w:i/>
                <w:lang w:eastAsia="sv-SE"/>
              </w:rPr>
              <w:t>MeasConfig</w:t>
            </w:r>
            <w:r w:rsidRPr="00FA0D37">
              <w:rPr>
                <w:lang w:eastAsia="sv-SE"/>
              </w:rPr>
              <w:t xml:space="preserve"> which is </w:t>
            </w:r>
            <w:r w:rsidRPr="00FA0D37">
              <w:rPr>
                <w:szCs w:val="22"/>
                <w:lang w:eastAsia="sv-SE"/>
              </w:rPr>
              <w:t xml:space="preserve">associated to the serving cell. For this </w:t>
            </w:r>
            <w:r w:rsidRPr="00FA0D37">
              <w:rPr>
                <w:i/>
                <w:szCs w:val="22"/>
                <w:lang w:eastAsia="sv-SE"/>
              </w:rPr>
              <w:t>MeasObjectNR</w:t>
            </w:r>
            <w:r w:rsidRPr="00FA0D37">
              <w:rPr>
                <w:szCs w:val="22"/>
                <w:lang w:eastAsia="sv-SE"/>
              </w:rPr>
              <w:t xml:space="preserve">, the following relationship applies between this </w:t>
            </w:r>
            <w:r w:rsidRPr="00FA0D37">
              <w:rPr>
                <w:i/>
                <w:iCs/>
                <w:szCs w:val="22"/>
                <w:lang w:eastAsia="sv-SE"/>
              </w:rPr>
              <w:t>MeasObjectNR</w:t>
            </w:r>
            <w:r w:rsidRPr="00FA0D37">
              <w:rPr>
                <w:szCs w:val="22"/>
                <w:lang w:eastAsia="sv-SE"/>
              </w:rPr>
              <w:t xml:space="preserve"> and </w:t>
            </w:r>
            <w:r w:rsidRPr="00FA0D37">
              <w:rPr>
                <w:i/>
                <w:iCs/>
                <w:szCs w:val="22"/>
                <w:lang w:eastAsia="sv-SE"/>
              </w:rPr>
              <w:t>nonCellDefiningSSB</w:t>
            </w:r>
            <w:r w:rsidRPr="00FA0D37">
              <w:rPr>
                <w:szCs w:val="22"/>
                <w:lang w:eastAsia="sv-SE"/>
              </w:rPr>
              <w:t xml:space="preserve"> in </w:t>
            </w:r>
            <w:r w:rsidRPr="00FA0D37">
              <w:rPr>
                <w:i/>
                <w:iCs/>
                <w:szCs w:val="22"/>
                <w:lang w:eastAsia="sv-SE"/>
              </w:rPr>
              <w:t>BWP-DownlinkDedicated</w:t>
            </w:r>
            <w:r w:rsidRPr="00FA0D37">
              <w:rPr>
                <w:szCs w:val="22"/>
                <w:lang w:eastAsia="sv-SE"/>
              </w:rPr>
              <w:t xml:space="preserve"> of the associated downlink BWP: if </w:t>
            </w:r>
            <w:r w:rsidRPr="00FA0D37">
              <w:rPr>
                <w:i/>
                <w:szCs w:val="22"/>
                <w:lang w:eastAsia="sv-SE"/>
              </w:rPr>
              <w:t>ssbFrequency</w:t>
            </w:r>
            <w:r w:rsidRPr="00FA0D37">
              <w:rPr>
                <w:szCs w:val="22"/>
                <w:lang w:eastAsia="sv-SE"/>
              </w:rPr>
              <w:t xml:space="preserve"> is configured, its value is the same as the </w:t>
            </w:r>
            <w:r w:rsidRPr="00FA0D37">
              <w:rPr>
                <w:i/>
                <w:lang w:eastAsia="sv-SE"/>
              </w:rPr>
              <w:t>absoluteFrequencySSB</w:t>
            </w:r>
            <w:r w:rsidRPr="00FA0D37">
              <w:rPr>
                <w:iCs/>
                <w:lang w:eastAsia="sv-SE"/>
              </w:rPr>
              <w:t xml:space="preserve"> in the </w:t>
            </w:r>
            <w:r w:rsidRPr="00FA0D37">
              <w:rPr>
                <w:rFonts w:eastAsia="等线"/>
                <w:i/>
                <w:lang w:eastAsia="zh-CN"/>
              </w:rPr>
              <w:t>nonCellDefiningSSB</w:t>
            </w:r>
            <w:r w:rsidRPr="00FA0D37">
              <w:rPr>
                <w:lang w:eastAsia="sv-SE"/>
              </w:rPr>
              <w:t xml:space="preserve">. </w:t>
            </w:r>
            <w:r w:rsidRPr="00FA0D37">
              <w:rPr>
                <w:rFonts w:eastAsia="Calibri"/>
                <w:bCs/>
                <w:szCs w:val="22"/>
                <w:lang w:eastAsia="sv-SE"/>
              </w:rPr>
              <w:t xml:space="preserve">If the field is present in a downlink BWP and the BWP is activated, the </w:t>
            </w:r>
            <w:r w:rsidRPr="00FA0D37">
              <w:rPr>
                <w:rFonts w:eastAsia="Calibri"/>
                <w:szCs w:val="22"/>
                <w:lang w:eastAsia="sv-SE"/>
              </w:rPr>
              <w:t xml:space="preserve">RedCap </w:t>
            </w:r>
            <w:r w:rsidRPr="00FA0D37">
              <w:rPr>
                <w:rFonts w:eastAsia="Calibri"/>
                <w:bCs/>
                <w:szCs w:val="22"/>
                <w:lang w:eastAsia="sv-SE"/>
              </w:rPr>
              <w:t xml:space="preserve">UE uses this </w:t>
            </w:r>
            <w:r w:rsidRPr="00FA0D37">
              <w:rPr>
                <w:rFonts w:eastAsia="Calibri"/>
                <w:szCs w:val="22"/>
                <w:lang w:eastAsia="sv-SE"/>
              </w:rPr>
              <w:t xml:space="preserve">measurement object </w:t>
            </w:r>
            <w:r w:rsidRPr="00FA0D37">
              <w:rPr>
                <w:rFonts w:eastAsia="Calibri"/>
                <w:bCs/>
                <w:szCs w:val="22"/>
                <w:lang w:eastAsia="sv-SE"/>
              </w:rPr>
              <w:t>for serving cell measurements</w:t>
            </w:r>
            <w:r w:rsidR="00FE557A" w:rsidRPr="00FA0D37">
              <w:rPr>
                <w:rFonts w:eastAsia="Calibri"/>
                <w:bCs/>
                <w:szCs w:val="22"/>
                <w:lang w:eastAsia="sv-SE"/>
              </w:rPr>
              <w:t xml:space="preserve"> (e.g., </w:t>
            </w:r>
            <w:r w:rsidR="00FE557A" w:rsidRPr="00FA0D37">
              <w:t>including those used in measurement report triggering events)</w:t>
            </w:r>
            <w:r w:rsidRPr="00FA0D37">
              <w:rPr>
                <w:rFonts w:eastAsia="Calibri"/>
                <w:bCs/>
                <w:szCs w:val="22"/>
                <w:lang w:eastAsia="sv-SE"/>
              </w:rPr>
              <w:t xml:space="preserve">, otherwise, the </w:t>
            </w:r>
            <w:r w:rsidRPr="00FA0D37">
              <w:rPr>
                <w:rFonts w:eastAsia="Calibri"/>
                <w:szCs w:val="22"/>
                <w:lang w:eastAsia="sv-SE"/>
              </w:rPr>
              <w:t xml:space="preserve">RedCap </w:t>
            </w:r>
            <w:r w:rsidRPr="00FA0D37">
              <w:rPr>
                <w:rFonts w:eastAsia="Calibri"/>
                <w:bCs/>
                <w:szCs w:val="22"/>
                <w:lang w:eastAsia="sv-SE"/>
              </w:rPr>
              <w:t xml:space="preserve">UE uses the </w:t>
            </w:r>
            <w:r w:rsidRPr="00FA0D37">
              <w:rPr>
                <w:rFonts w:eastAsia="Calibri"/>
                <w:bCs/>
                <w:i/>
                <w:iCs/>
                <w:szCs w:val="22"/>
                <w:lang w:eastAsia="sv-SE"/>
              </w:rPr>
              <w:t>servingCellMO</w:t>
            </w:r>
            <w:r w:rsidRPr="00FA0D37">
              <w:rPr>
                <w:rFonts w:eastAsia="Calibri"/>
                <w:bCs/>
                <w:szCs w:val="22"/>
                <w:lang w:eastAsia="sv-SE"/>
              </w:rPr>
              <w:t xml:space="preserve"> in </w:t>
            </w:r>
            <w:r w:rsidRPr="00FA0D37">
              <w:rPr>
                <w:rFonts w:eastAsia="Calibri"/>
                <w:bCs/>
                <w:i/>
                <w:iCs/>
                <w:szCs w:val="22"/>
                <w:lang w:eastAsia="sv-SE"/>
              </w:rPr>
              <w:t xml:space="preserve">ServingCellConfig </w:t>
            </w:r>
            <w:r w:rsidRPr="00FA0D37">
              <w:rPr>
                <w:rFonts w:eastAsia="Calibri"/>
                <w:bCs/>
                <w:szCs w:val="22"/>
                <w:lang w:eastAsia="sv-SE"/>
              </w:rPr>
              <w:t>IE.</w:t>
            </w:r>
          </w:p>
        </w:tc>
      </w:tr>
      <w:tr w:rsidR="005C7FF4" w:rsidRPr="00FA0D37"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FA0D37" w:rsidRDefault="00394471" w:rsidP="00964CC4">
            <w:pPr>
              <w:pStyle w:val="TAL"/>
              <w:rPr>
                <w:b/>
                <w:i/>
                <w:szCs w:val="22"/>
                <w:lang w:eastAsia="sv-SE"/>
              </w:rPr>
            </w:pPr>
            <w:r w:rsidRPr="00FA0D37">
              <w:rPr>
                <w:b/>
                <w:i/>
                <w:szCs w:val="22"/>
                <w:lang w:eastAsia="sv-SE"/>
              </w:rPr>
              <w:t>sps-Config</w:t>
            </w:r>
          </w:p>
          <w:p w14:paraId="2EF0320B" w14:textId="5F1D4576" w:rsidR="00394471" w:rsidRPr="00FA0D37" w:rsidRDefault="00394471" w:rsidP="00964CC4">
            <w:pPr>
              <w:pStyle w:val="TAL"/>
              <w:rPr>
                <w:szCs w:val="22"/>
                <w:lang w:eastAsia="sv-SE"/>
              </w:rPr>
            </w:pPr>
            <w:r w:rsidRPr="00FA0D37">
              <w:rPr>
                <w:szCs w:val="22"/>
                <w:lang w:eastAsia="sv-SE"/>
              </w:rPr>
              <w:t xml:space="preserve">UE specific SPS (Semi-Persistent Scheduling) configuration for one BWP. Except for reconfiguration with sync, the NW does not reconfigure </w:t>
            </w:r>
            <w:r w:rsidRPr="00FA0D37">
              <w:rPr>
                <w:i/>
                <w:lang w:eastAsia="sv-SE"/>
              </w:rPr>
              <w:t>sps-Config</w:t>
            </w:r>
            <w:r w:rsidRPr="00FA0D37">
              <w:rPr>
                <w:szCs w:val="22"/>
                <w:lang w:eastAsia="sv-SE"/>
              </w:rPr>
              <w:t xml:space="preserve"> when there is an active configured downlink assignment (see TS 38.321 [3]). However, the NW may release the </w:t>
            </w:r>
            <w:r w:rsidRPr="00FA0D37">
              <w:rPr>
                <w:i/>
                <w:lang w:eastAsia="sv-SE"/>
              </w:rPr>
              <w:t>sps-Config</w:t>
            </w:r>
            <w:r w:rsidRPr="00FA0D37">
              <w:rPr>
                <w:szCs w:val="22"/>
                <w:lang w:eastAsia="sv-SE"/>
              </w:rPr>
              <w:t xml:space="preserve"> at any time. Network can only configure SPS in one BWP using either this field or </w:t>
            </w:r>
            <w:r w:rsidRPr="00FA0D37">
              <w:rPr>
                <w:i/>
                <w:iCs/>
                <w:szCs w:val="22"/>
                <w:lang w:eastAsia="sv-SE"/>
              </w:rPr>
              <w:t>sps-ConfigToAddModList.</w:t>
            </w:r>
            <w:r w:rsidR="00A479D0" w:rsidRPr="00FA0D37">
              <w:rPr>
                <w:rFonts w:eastAsia="PMingLiU" w:cs="Arial"/>
                <w:iCs/>
                <w:szCs w:val="22"/>
                <w:lang w:eastAsia="zh-TW"/>
              </w:rPr>
              <w:t xml:space="preserve"> Network does not configure SPS in one BWP using this field and </w:t>
            </w:r>
            <w:r w:rsidR="00A479D0" w:rsidRPr="00FA0D37">
              <w:rPr>
                <w:rFonts w:eastAsia="PMingLiU" w:cs="Arial"/>
                <w:i/>
                <w:iCs/>
                <w:szCs w:val="22"/>
                <w:lang w:eastAsia="zh-TW"/>
              </w:rPr>
              <w:t>sps-ConfigMulticastToAddModList-r17</w:t>
            </w:r>
            <w:r w:rsidR="00A479D0" w:rsidRPr="00FA0D37">
              <w:rPr>
                <w:rFonts w:eastAsia="PMingLiU" w:cs="Arial"/>
                <w:iCs/>
                <w:szCs w:val="22"/>
                <w:lang w:eastAsia="zh-TW"/>
              </w:rPr>
              <w:t xml:space="preserve"> simultaneously.</w:t>
            </w:r>
          </w:p>
        </w:tc>
      </w:tr>
      <w:tr w:rsidR="005C7FF4" w:rsidRPr="00FA0D37"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FA0D37" w:rsidRDefault="00394471" w:rsidP="00964CC4">
            <w:pPr>
              <w:pStyle w:val="TAL"/>
              <w:rPr>
                <w:b/>
                <w:i/>
              </w:rPr>
            </w:pPr>
            <w:r w:rsidRPr="00FA0D37">
              <w:rPr>
                <w:b/>
                <w:i/>
              </w:rPr>
              <w:t>sps-ConfigDeactivationStateList</w:t>
            </w:r>
          </w:p>
          <w:p w14:paraId="5FF655ED" w14:textId="77777777" w:rsidR="00394471" w:rsidRPr="00FA0D37" w:rsidRDefault="00394471" w:rsidP="00964CC4">
            <w:pPr>
              <w:pStyle w:val="TAL"/>
              <w:rPr>
                <w:b/>
                <w:i/>
                <w:szCs w:val="22"/>
                <w:lang w:eastAsia="sv-SE"/>
              </w:rPr>
            </w:pPr>
            <w:r w:rsidRPr="00FA0D37">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FA0D37">
              <w:rPr>
                <w:i/>
              </w:rPr>
              <w:t>harq-CodebookID</w:t>
            </w:r>
            <w:r w:rsidRPr="00FA0D37">
              <w:t>.</w:t>
            </w:r>
          </w:p>
        </w:tc>
      </w:tr>
      <w:tr w:rsidR="005C7FF4" w:rsidRPr="00FA0D37"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FA0D37" w:rsidRDefault="00394471" w:rsidP="00964CC4">
            <w:pPr>
              <w:pStyle w:val="TAL"/>
              <w:rPr>
                <w:b/>
                <w:i/>
                <w:szCs w:val="22"/>
                <w:lang w:eastAsia="sv-SE"/>
              </w:rPr>
            </w:pPr>
            <w:r w:rsidRPr="00FA0D37">
              <w:rPr>
                <w:b/>
                <w:i/>
                <w:szCs w:val="22"/>
                <w:lang w:eastAsia="sv-SE"/>
              </w:rPr>
              <w:lastRenderedPageBreak/>
              <w:t>sps-Config</w:t>
            </w:r>
            <w:r w:rsidRPr="00FA0D37">
              <w:rPr>
                <w:b/>
                <w:i/>
                <w:szCs w:val="22"/>
              </w:rPr>
              <w:t>ToAddMod</w:t>
            </w:r>
            <w:r w:rsidRPr="00FA0D37">
              <w:rPr>
                <w:b/>
                <w:i/>
                <w:szCs w:val="22"/>
                <w:lang w:eastAsia="sv-SE"/>
              </w:rPr>
              <w:t>List</w:t>
            </w:r>
          </w:p>
          <w:p w14:paraId="18630C71" w14:textId="77777777" w:rsidR="00394471" w:rsidRPr="00FA0D37" w:rsidRDefault="00394471" w:rsidP="00964CC4">
            <w:pPr>
              <w:pStyle w:val="TAL"/>
              <w:rPr>
                <w:b/>
                <w:i/>
                <w:szCs w:val="22"/>
                <w:lang w:eastAsia="sv-SE"/>
              </w:rPr>
            </w:pPr>
            <w:r w:rsidRPr="00FA0D37">
              <w:t xml:space="preserve">Indicates a list of one or more DL SPS configurations to be added or modified in one BWP. </w:t>
            </w:r>
            <w:r w:rsidRPr="00FA0D37">
              <w:rPr>
                <w:lang w:eastAsia="sv-SE"/>
              </w:rPr>
              <w:t>Except for reconfiguration with sync, the NW does not reconfigure a SPS configuration when it is active (see TS 38.321 [3]).</w:t>
            </w:r>
          </w:p>
        </w:tc>
      </w:tr>
      <w:tr w:rsidR="005C7FF4" w:rsidRPr="00FA0D37"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FA0D37" w:rsidRDefault="00394471" w:rsidP="00964CC4">
            <w:pPr>
              <w:pStyle w:val="TAL"/>
              <w:rPr>
                <w:b/>
                <w:i/>
              </w:rPr>
            </w:pPr>
            <w:r w:rsidRPr="00FA0D37">
              <w:rPr>
                <w:b/>
                <w:i/>
              </w:rPr>
              <w:t>sps-ConfigToReleaseList</w:t>
            </w:r>
          </w:p>
          <w:p w14:paraId="6EEC4C5E" w14:textId="77777777" w:rsidR="00394471" w:rsidRPr="00FA0D37" w:rsidRDefault="00394471" w:rsidP="00964CC4">
            <w:pPr>
              <w:pStyle w:val="TAL"/>
              <w:rPr>
                <w:b/>
                <w:i/>
                <w:szCs w:val="22"/>
                <w:lang w:eastAsia="sv-SE"/>
              </w:rPr>
            </w:pPr>
            <w:r w:rsidRPr="00FA0D37">
              <w:t>Indicates a list of one or more DL SPS configurations to be released. T</w:t>
            </w:r>
            <w:r w:rsidRPr="00FA0D37">
              <w:rPr>
                <w:lang w:eastAsia="sv-SE"/>
              </w:rPr>
              <w:t>he NW may release a SPS configuration at any time.</w:t>
            </w:r>
          </w:p>
        </w:tc>
      </w:tr>
      <w:tr w:rsidR="005C7FF4" w:rsidRPr="00FA0D37"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FA0D37" w:rsidRDefault="00394471" w:rsidP="00964CC4">
            <w:pPr>
              <w:pStyle w:val="TAL"/>
              <w:rPr>
                <w:b/>
                <w:i/>
                <w:szCs w:val="22"/>
                <w:lang w:eastAsia="sv-SE"/>
              </w:rPr>
            </w:pPr>
            <w:r w:rsidRPr="00FA0D37">
              <w:rPr>
                <w:b/>
                <w:i/>
                <w:szCs w:val="22"/>
                <w:lang w:eastAsia="sv-SE"/>
              </w:rPr>
              <w:t>radioLinkMonitoringConfig</w:t>
            </w:r>
          </w:p>
          <w:p w14:paraId="1E1D1912" w14:textId="77777777" w:rsidR="00394471" w:rsidRPr="00FA0D37" w:rsidRDefault="00394471" w:rsidP="00964CC4">
            <w:pPr>
              <w:pStyle w:val="TAL"/>
              <w:rPr>
                <w:szCs w:val="22"/>
                <w:lang w:eastAsia="sv-SE"/>
              </w:rPr>
            </w:pPr>
            <w:r w:rsidRPr="00FA0D37">
              <w:rPr>
                <w:szCs w:val="22"/>
                <w:lang w:eastAsia="sv-SE"/>
              </w:rPr>
              <w:t>UE specific configuration of radio link monitoring for detecting cell- and beam radio link failure occasions.</w:t>
            </w:r>
            <w:r w:rsidRPr="00FA0D37">
              <w:rPr>
                <w:lang w:eastAsia="sv-SE"/>
              </w:rPr>
              <w:t xml:space="preserve"> </w:t>
            </w:r>
            <w:r w:rsidRPr="00FA0D37">
              <w:rPr>
                <w:szCs w:val="22"/>
                <w:lang w:eastAsia="sv-SE"/>
              </w:rPr>
              <w:t>The maximum number of failure detection resources should be limited up to 8 for both cell and beam radio link failure detection.</w:t>
            </w:r>
            <w:r w:rsidRPr="00FA0D37">
              <w:rPr>
                <w:rFonts w:cs="Arial"/>
                <w:lang w:eastAsia="sv-SE"/>
              </w:rPr>
              <w:t xml:space="preserve"> For SCells, only periodic 1-port CSI-RS can be configured in IE </w:t>
            </w:r>
            <w:r w:rsidRPr="00FA0D37">
              <w:rPr>
                <w:rFonts w:cs="Arial"/>
                <w:i/>
                <w:lang w:eastAsia="x-none"/>
              </w:rPr>
              <w:t>RadioLinkMonitoringConfig</w:t>
            </w:r>
            <w:r w:rsidRPr="00FA0D37">
              <w:rPr>
                <w:rFonts w:cs="Arial"/>
                <w:lang w:eastAsia="sv-SE"/>
              </w:rPr>
              <w:t>.</w:t>
            </w:r>
          </w:p>
        </w:tc>
      </w:tr>
      <w:tr w:rsidR="005C7FF4" w:rsidRPr="00FA0D37"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FA0D37" w:rsidRDefault="00394471" w:rsidP="00964CC4">
            <w:pPr>
              <w:pStyle w:val="TAL"/>
              <w:rPr>
                <w:b/>
                <w:bCs/>
                <w:i/>
                <w:iCs/>
              </w:rPr>
            </w:pPr>
            <w:r w:rsidRPr="00FA0D37">
              <w:rPr>
                <w:b/>
                <w:bCs/>
                <w:i/>
                <w:iCs/>
              </w:rPr>
              <w:t>sl-PDCCH-Config</w:t>
            </w:r>
          </w:p>
          <w:p w14:paraId="2124C910" w14:textId="1EB4DCE9" w:rsidR="00394471" w:rsidRPr="00FA0D37" w:rsidRDefault="00394471" w:rsidP="00964CC4">
            <w:pPr>
              <w:pStyle w:val="TAL"/>
              <w:rPr>
                <w:b/>
                <w:i/>
                <w:szCs w:val="22"/>
                <w:lang w:eastAsia="sv-SE"/>
              </w:rPr>
            </w:pPr>
            <w:r w:rsidRPr="00FA0D37">
              <w:rPr>
                <w:szCs w:val="22"/>
              </w:rPr>
              <w:t>Indicates the UE specific PDCCH configurations for receiving the SL grants (via SL-RNTI or SL</w:t>
            </w:r>
            <w:r w:rsidRPr="00FA0D37">
              <w:rPr>
                <w:rFonts w:asciiTheme="minorEastAsia" w:eastAsiaTheme="minorEastAsia" w:hAnsiTheme="minorEastAsia"/>
                <w:szCs w:val="22"/>
                <w:lang w:eastAsia="zh-CN"/>
              </w:rPr>
              <w:t>-</w:t>
            </w:r>
            <w:r w:rsidRPr="00FA0D37">
              <w:rPr>
                <w:szCs w:val="22"/>
              </w:rPr>
              <w:t>CS-RNTI) for NR sidelink communication</w:t>
            </w:r>
            <w:r w:rsidR="0039645C" w:rsidRPr="00FA0D37">
              <w:rPr>
                <w:rFonts w:cs="Arial"/>
                <w:szCs w:val="22"/>
              </w:rPr>
              <w:t>/discovery</w:t>
            </w:r>
            <w:r w:rsidRPr="00FA0D37">
              <w:rPr>
                <w:b/>
                <w:i/>
                <w:szCs w:val="22"/>
              </w:rPr>
              <w:t>.</w:t>
            </w:r>
          </w:p>
        </w:tc>
      </w:tr>
      <w:tr w:rsidR="00394471" w:rsidRPr="00FA0D37"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FA0D37" w:rsidRDefault="00394471" w:rsidP="00964CC4">
            <w:pPr>
              <w:pStyle w:val="TAL"/>
              <w:rPr>
                <w:rFonts w:cs="Calibri Light"/>
                <w:b/>
                <w:bCs/>
                <w:i/>
                <w:iCs/>
              </w:rPr>
            </w:pPr>
            <w:r w:rsidRPr="00FA0D37">
              <w:rPr>
                <w:b/>
                <w:bCs/>
                <w:i/>
                <w:iCs/>
              </w:rPr>
              <w:t>sl-V2X-PDCCH-Config</w:t>
            </w:r>
          </w:p>
          <w:p w14:paraId="2FA01C2C" w14:textId="7189C16E" w:rsidR="00394471" w:rsidRPr="00FA0D37" w:rsidRDefault="00394471" w:rsidP="00964CC4">
            <w:pPr>
              <w:pStyle w:val="TAL"/>
              <w:rPr>
                <w:b/>
                <w:i/>
                <w:szCs w:val="22"/>
                <w:lang w:eastAsia="sv-SE"/>
              </w:rPr>
            </w:pPr>
            <w:r w:rsidRPr="00FA0D37">
              <w:rPr>
                <w:szCs w:val="22"/>
              </w:rPr>
              <w:t>Indicates the UE specific PDCCH configurations for receiving SL grants (i.e. sidelink SPS) for V2X sidelink communication</w:t>
            </w:r>
            <w:r w:rsidRPr="00FA0D37">
              <w:rPr>
                <w:b/>
                <w:i/>
                <w:szCs w:val="22"/>
              </w:rPr>
              <w:t>.</w:t>
            </w:r>
          </w:p>
        </w:tc>
      </w:tr>
    </w:tbl>
    <w:p w14:paraId="4DCF8294"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5C7FF4" w:rsidRPr="00FA0D37"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FA0D37" w:rsidRDefault="00394471" w:rsidP="00964CC4">
            <w:pPr>
              <w:pStyle w:val="TAH"/>
              <w:rPr>
                <w:rFonts w:eastAsia="Calibri"/>
                <w:szCs w:val="22"/>
                <w:lang w:eastAsia="sv-SE"/>
              </w:rPr>
            </w:pPr>
            <w:r w:rsidRPr="00FA0D37">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FA0D37" w:rsidRDefault="00394471" w:rsidP="00964CC4">
            <w:pPr>
              <w:pStyle w:val="TAH"/>
              <w:rPr>
                <w:rFonts w:eastAsia="Calibri"/>
                <w:szCs w:val="22"/>
                <w:lang w:eastAsia="sv-SE"/>
              </w:rPr>
            </w:pPr>
            <w:r w:rsidRPr="00FA0D37">
              <w:rPr>
                <w:rFonts w:eastAsia="Calibri"/>
                <w:szCs w:val="22"/>
                <w:lang w:eastAsia="sv-SE"/>
              </w:rPr>
              <w:t>Explanation</w:t>
            </w:r>
          </w:p>
        </w:tc>
      </w:tr>
      <w:tr w:rsidR="005C7FF4" w:rsidRPr="00FA0D37"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FA0D37" w:rsidRDefault="00AE678F" w:rsidP="0071565C">
            <w:pPr>
              <w:pStyle w:val="TAH"/>
              <w:jc w:val="left"/>
              <w:rPr>
                <w:rFonts w:eastAsia="Calibri"/>
                <w:b w:val="0"/>
                <w:bCs/>
                <w:i/>
                <w:iCs/>
                <w:szCs w:val="22"/>
                <w:lang w:eastAsia="sv-SE"/>
              </w:rPr>
            </w:pPr>
            <w:r w:rsidRPr="00FA0D37">
              <w:rPr>
                <w:rFonts w:eastAsia="Calibri"/>
                <w:b w:val="0"/>
                <w:bCs/>
                <w:i/>
                <w:iCs/>
                <w:szCs w:val="22"/>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7777777" w:rsidR="00AE678F" w:rsidRPr="00FA0D37" w:rsidRDefault="00AE678F" w:rsidP="0071565C">
            <w:pPr>
              <w:pStyle w:val="TAH"/>
              <w:jc w:val="left"/>
              <w:rPr>
                <w:rFonts w:eastAsia="Calibri"/>
                <w:b w:val="0"/>
                <w:bCs/>
                <w:szCs w:val="22"/>
                <w:lang w:eastAsia="sv-SE"/>
              </w:rPr>
            </w:pPr>
            <w:r w:rsidRPr="00FA0D37">
              <w:rPr>
                <w:rFonts w:eastAsia="Calibri"/>
                <w:b w:val="0"/>
                <w:bCs/>
                <w:szCs w:val="22"/>
                <w:lang w:eastAsia="sv-SE"/>
              </w:rPr>
              <w:t xml:space="preserve">This field is optionally present Need S if the UE is a RedCap UE and </w:t>
            </w:r>
            <w:r w:rsidRPr="00FA0D37">
              <w:rPr>
                <w:rFonts w:eastAsia="Calibri"/>
                <w:b w:val="0"/>
                <w:bCs/>
                <w:i/>
                <w:iCs/>
                <w:szCs w:val="22"/>
                <w:lang w:eastAsia="sv-SE"/>
              </w:rPr>
              <w:t>nonCellDefiningSSB</w:t>
            </w:r>
            <w:r w:rsidRPr="00FA0D37">
              <w:rPr>
                <w:rFonts w:eastAsia="Calibri"/>
                <w:b w:val="0"/>
                <w:bCs/>
                <w:szCs w:val="22"/>
                <w:lang w:eastAsia="sv-SE"/>
              </w:rPr>
              <w:t xml:space="preserve"> is configured in this DL BWP. It is absent otherwise.</w:t>
            </w:r>
          </w:p>
        </w:tc>
      </w:tr>
      <w:tr w:rsidR="005C7FF4" w:rsidRPr="00FA0D37" w14:paraId="2AAE6E59" w14:textId="77777777" w:rsidTr="00771058">
        <w:trPr>
          <w:trHeight w:val="247"/>
        </w:trPr>
        <w:tc>
          <w:tcPr>
            <w:tcW w:w="4027" w:type="dxa"/>
            <w:shd w:val="clear" w:color="auto" w:fill="auto"/>
          </w:tcPr>
          <w:p w14:paraId="5193B5A4" w14:textId="77777777" w:rsidR="00345BEA" w:rsidRPr="00FA0D37" w:rsidRDefault="00345BEA" w:rsidP="00771058">
            <w:pPr>
              <w:pStyle w:val="TAL"/>
              <w:rPr>
                <w:rFonts w:eastAsia="Calibri"/>
                <w:i/>
                <w:szCs w:val="22"/>
                <w:lang w:eastAsia="sv-SE"/>
              </w:rPr>
            </w:pPr>
            <w:r w:rsidRPr="00FA0D37">
              <w:rPr>
                <w:rFonts w:eastAsia="Calibri"/>
                <w:i/>
                <w:szCs w:val="22"/>
                <w:lang w:eastAsia="sv-SE"/>
              </w:rPr>
              <w:t>PreConfigMG</w:t>
            </w:r>
          </w:p>
        </w:tc>
        <w:tc>
          <w:tcPr>
            <w:tcW w:w="10148" w:type="dxa"/>
            <w:shd w:val="clear" w:color="auto" w:fill="auto"/>
          </w:tcPr>
          <w:p w14:paraId="2AAC2FB1" w14:textId="0BC4C746" w:rsidR="00345BEA" w:rsidRPr="00FA0D37" w:rsidRDefault="00345BEA" w:rsidP="00771058">
            <w:pPr>
              <w:pStyle w:val="TAL"/>
              <w:rPr>
                <w:rFonts w:eastAsia="Calibri"/>
                <w:szCs w:val="22"/>
                <w:lang w:eastAsia="sv-SE"/>
              </w:rPr>
            </w:pPr>
            <w:r w:rsidRPr="00FA0D37">
              <w:rPr>
                <w:rFonts w:eastAsia="Calibri"/>
                <w:szCs w:val="22"/>
                <w:lang w:eastAsia="sv-SE"/>
              </w:rPr>
              <w:t xml:space="preserve">The field is optionally present, Need R, if there is at least one per UE gap configured with </w:t>
            </w:r>
            <w:r w:rsidRPr="00FA0D37">
              <w:rPr>
                <w:rFonts w:eastAsia="Calibri"/>
                <w:i/>
                <w:iCs/>
                <w:szCs w:val="22"/>
                <w:lang w:eastAsia="sv-SE"/>
              </w:rPr>
              <w:t>preConfigInd</w:t>
            </w:r>
            <w:r w:rsidRPr="00FA0D37">
              <w:rPr>
                <w:rFonts w:eastAsia="Calibri"/>
                <w:szCs w:val="22"/>
                <w:lang w:eastAsia="sv-SE"/>
              </w:rPr>
              <w:t xml:space="preserve"> or there is at least one per FR gap of the same FR which the BWP belongs to and configured with </w:t>
            </w:r>
            <w:r w:rsidRPr="00FA0D37">
              <w:rPr>
                <w:rFonts w:eastAsia="Calibri"/>
                <w:i/>
                <w:iCs/>
                <w:szCs w:val="22"/>
                <w:lang w:eastAsia="sv-SE"/>
              </w:rPr>
              <w:t>preConfigInd</w:t>
            </w:r>
            <w:r w:rsidRPr="00FA0D37">
              <w:rPr>
                <w:rFonts w:eastAsia="Calibri"/>
                <w:szCs w:val="22"/>
                <w:lang w:eastAsia="sv-SE"/>
              </w:rPr>
              <w:t>. It is absent</w:t>
            </w:r>
            <w:r w:rsidR="00CE29E7" w:rsidRPr="00FA0D37">
              <w:rPr>
                <w:rFonts w:eastAsia="Calibri"/>
                <w:szCs w:val="22"/>
                <w:lang w:eastAsia="sv-SE"/>
              </w:rPr>
              <w:t>, Need R,</w:t>
            </w:r>
            <w:r w:rsidRPr="00FA0D37">
              <w:rPr>
                <w:rFonts w:eastAsia="Calibri"/>
                <w:szCs w:val="22"/>
                <w:lang w:eastAsia="sv-SE"/>
              </w:rPr>
              <w:t xml:space="preserve"> otherwise.</w:t>
            </w:r>
          </w:p>
        </w:tc>
      </w:tr>
      <w:tr w:rsidR="005C7FF4" w:rsidRPr="00FA0D37"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FA0D37" w:rsidRDefault="00394471" w:rsidP="00964CC4">
            <w:pPr>
              <w:pStyle w:val="TAL"/>
              <w:rPr>
                <w:rFonts w:eastAsia="Calibri"/>
                <w:i/>
                <w:szCs w:val="22"/>
                <w:lang w:eastAsia="sv-SE"/>
              </w:rPr>
            </w:pPr>
            <w:r w:rsidRPr="00FA0D37">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The field is optionally present, Need M, in the </w:t>
            </w:r>
            <w:r w:rsidRPr="00FA0D37">
              <w:rPr>
                <w:rFonts w:eastAsia="Calibri"/>
                <w:i/>
                <w:lang w:eastAsia="sv-SE"/>
              </w:rPr>
              <w:t>BWP-DownlinkDedicated</w:t>
            </w:r>
            <w:r w:rsidRPr="00FA0D37">
              <w:rPr>
                <w:rFonts w:eastAsia="Calibri"/>
                <w:szCs w:val="22"/>
                <w:lang w:eastAsia="sv-SE"/>
              </w:rPr>
              <w:t xml:space="preserve"> of an Scell. It is absent otherwise.</w:t>
            </w:r>
          </w:p>
        </w:tc>
      </w:tr>
      <w:tr w:rsidR="00F747EB" w:rsidRPr="00FA0D37"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FA0D37" w:rsidRDefault="00EE6A93" w:rsidP="0071565C">
            <w:pPr>
              <w:pStyle w:val="TAL"/>
              <w:rPr>
                <w:rFonts w:eastAsia="Calibri"/>
                <w:i/>
                <w:szCs w:val="22"/>
                <w:lang w:eastAsia="sv-SE"/>
              </w:rPr>
            </w:pPr>
            <w:r w:rsidRPr="00FA0D37">
              <w:rPr>
                <w:rFonts w:eastAsia="Calibri"/>
                <w:i/>
                <w:szCs w:val="22"/>
                <w:lang w:eastAsia="sv-SE"/>
              </w:rPr>
              <w:t>Sp</w:t>
            </w:r>
            <w:r w:rsidR="00425CBF" w:rsidRPr="00FA0D37">
              <w:rPr>
                <w:rFonts w:eastAsia="Calibri"/>
                <w:i/>
                <w:szCs w:val="22"/>
                <w:lang w:eastAsia="sv-SE"/>
              </w:rPr>
              <w:t>C</w:t>
            </w:r>
            <w:r w:rsidRPr="00FA0D37">
              <w:rPr>
                <w:rFonts w:eastAsia="Calibri"/>
                <w:i/>
                <w:szCs w:val="22"/>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FA0D37" w:rsidRDefault="00EE6A93" w:rsidP="0071565C">
            <w:pPr>
              <w:pStyle w:val="TAL"/>
              <w:rPr>
                <w:rFonts w:eastAsia="Calibri"/>
                <w:szCs w:val="22"/>
                <w:lang w:eastAsia="sv-SE"/>
              </w:rPr>
            </w:pPr>
            <w:r w:rsidRPr="00FA0D37">
              <w:rPr>
                <w:rFonts w:eastAsia="Calibri"/>
                <w:szCs w:val="22"/>
                <w:lang w:eastAsia="sv-SE"/>
              </w:rPr>
              <w:t xml:space="preserve">The field is optionally present, Need M, in the </w:t>
            </w:r>
            <w:r w:rsidRPr="00FA0D37">
              <w:rPr>
                <w:rFonts w:eastAsia="Calibri"/>
                <w:i/>
                <w:iCs/>
                <w:szCs w:val="22"/>
                <w:lang w:eastAsia="sv-SE"/>
              </w:rPr>
              <w:t>BWP-DownlinkDedicated</w:t>
            </w:r>
            <w:r w:rsidRPr="00FA0D37">
              <w:rPr>
                <w:rFonts w:eastAsia="Calibri"/>
                <w:szCs w:val="22"/>
                <w:lang w:eastAsia="sv-SE"/>
              </w:rPr>
              <w:t xml:space="preserve"> of an Spcell. It is absent otherwise.</w:t>
            </w:r>
          </w:p>
        </w:tc>
      </w:tr>
    </w:tbl>
    <w:p w14:paraId="14FC1E83" w14:textId="77777777" w:rsidR="00394471" w:rsidRPr="00FA0D37" w:rsidRDefault="00394471" w:rsidP="00394471"/>
    <w:p w14:paraId="272B3140" w14:textId="77777777" w:rsidR="00394471" w:rsidRPr="00FA0D37" w:rsidRDefault="00394471" w:rsidP="00394471">
      <w:pPr>
        <w:pStyle w:val="4"/>
      </w:pPr>
      <w:bookmarkStart w:id="909" w:name="_Toc60777180"/>
      <w:bookmarkStart w:id="910" w:name="_Toc146781225"/>
      <w:r w:rsidRPr="00FA0D37">
        <w:t>–</w:t>
      </w:r>
      <w:r w:rsidRPr="00FA0D37">
        <w:tab/>
      </w:r>
      <w:r w:rsidRPr="00FA0D37">
        <w:rPr>
          <w:i/>
        </w:rPr>
        <w:t>BWP-Id</w:t>
      </w:r>
      <w:bookmarkEnd w:id="909"/>
      <w:bookmarkEnd w:id="910"/>
    </w:p>
    <w:p w14:paraId="3F0D3DCA" w14:textId="4BB2F666" w:rsidR="00394471" w:rsidRPr="00FA0D37" w:rsidRDefault="00394471" w:rsidP="00394471">
      <w:r w:rsidRPr="00FA0D37">
        <w:t xml:space="preserve">The IE </w:t>
      </w:r>
      <w:r w:rsidRPr="00FA0D37">
        <w:rPr>
          <w:i/>
        </w:rPr>
        <w:t>BWP-Id</w:t>
      </w:r>
      <w:r w:rsidRPr="00FA0D37">
        <w:t xml:space="preserve"> is used to refer to Bandwidth Parts (BWP). The initial BWP </w:t>
      </w:r>
      <w:r w:rsidR="004A5E25" w:rsidRPr="00FA0D37">
        <w:t xml:space="preserve">(including RedCap-specific initial BWP, if configured) </w:t>
      </w:r>
      <w:r w:rsidRPr="00FA0D37">
        <w:t xml:space="preserve">is referred to by </w:t>
      </w:r>
      <w:r w:rsidRPr="00FA0D37">
        <w:rPr>
          <w:i/>
        </w:rPr>
        <w:t>BWP-Id</w:t>
      </w:r>
      <w:r w:rsidRPr="00FA0D37">
        <w:t xml:space="preserve"> 0. The other BWPs are referred to by </w:t>
      </w:r>
      <w:r w:rsidRPr="00FA0D37">
        <w:rPr>
          <w:i/>
        </w:rPr>
        <w:t>BWP-Id</w:t>
      </w:r>
      <w:r w:rsidRPr="00FA0D37">
        <w:t xml:space="preserve"> 1 to </w:t>
      </w:r>
      <w:r w:rsidRPr="00FA0D37">
        <w:rPr>
          <w:i/>
        </w:rPr>
        <w:t>maxNrofBWPs</w:t>
      </w:r>
      <w:r w:rsidRPr="00FA0D37">
        <w:t>.</w:t>
      </w:r>
    </w:p>
    <w:p w14:paraId="7A084A8B" w14:textId="77777777" w:rsidR="00394471" w:rsidRPr="00FA0D37" w:rsidRDefault="00394471" w:rsidP="00394471">
      <w:pPr>
        <w:pStyle w:val="TH"/>
      </w:pPr>
      <w:r w:rsidRPr="00FA0D37">
        <w:rPr>
          <w:i/>
        </w:rPr>
        <w:t>BWP-Id</w:t>
      </w:r>
      <w:r w:rsidRPr="00FA0D37">
        <w:t xml:space="preserve"> information element</w:t>
      </w:r>
    </w:p>
    <w:p w14:paraId="2B20A05F" w14:textId="77777777" w:rsidR="00394471" w:rsidRPr="00FA0D37" w:rsidRDefault="00394471" w:rsidP="00FA0D37">
      <w:pPr>
        <w:pStyle w:val="PL"/>
        <w:rPr>
          <w:color w:val="808080"/>
        </w:rPr>
      </w:pPr>
      <w:r w:rsidRPr="00FA0D37">
        <w:rPr>
          <w:color w:val="808080"/>
        </w:rPr>
        <w:t>-- ASN1START</w:t>
      </w:r>
    </w:p>
    <w:p w14:paraId="1DB52951" w14:textId="77777777" w:rsidR="00394471" w:rsidRPr="00FA0D37" w:rsidRDefault="00394471" w:rsidP="00FA0D37">
      <w:pPr>
        <w:pStyle w:val="PL"/>
        <w:rPr>
          <w:color w:val="808080"/>
        </w:rPr>
      </w:pPr>
      <w:r w:rsidRPr="00FA0D37">
        <w:rPr>
          <w:color w:val="808080"/>
        </w:rPr>
        <w:t>-- TAG-BWP-ID-START</w:t>
      </w:r>
    </w:p>
    <w:p w14:paraId="49FEC2DF" w14:textId="77777777" w:rsidR="00394471" w:rsidRPr="00FA0D37" w:rsidRDefault="00394471" w:rsidP="00FA0D37">
      <w:pPr>
        <w:pStyle w:val="PL"/>
      </w:pPr>
    </w:p>
    <w:p w14:paraId="4D86B290" w14:textId="77777777" w:rsidR="00394471" w:rsidRPr="00FA0D37" w:rsidRDefault="00394471" w:rsidP="00FA0D37">
      <w:pPr>
        <w:pStyle w:val="PL"/>
      </w:pPr>
      <w:r w:rsidRPr="00FA0D37">
        <w:t xml:space="preserve">BWP-Id ::=                          </w:t>
      </w:r>
      <w:r w:rsidRPr="00FA0D37">
        <w:rPr>
          <w:color w:val="993366"/>
        </w:rPr>
        <w:t>INTEGER</w:t>
      </w:r>
      <w:r w:rsidRPr="00FA0D37">
        <w:t xml:space="preserve"> (0..maxNrofBWPs)</w:t>
      </w:r>
    </w:p>
    <w:p w14:paraId="437D1814" w14:textId="77777777" w:rsidR="00394471" w:rsidRPr="00FA0D37" w:rsidRDefault="00394471" w:rsidP="00FA0D37">
      <w:pPr>
        <w:pStyle w:val="PL"/>
      </w:pPr>
    </w:p>
    <w:p w14:paraId="311181F8" w14:textId="77777777" w:rsidR="00394471" w:rsidRPr="00FA0D37" w:rsidRDefault="00394471" w:rsidP="00FA0D37">
      <w:pPr>
        <w:pStyle w:val="PL"/>
        <w:rPr>
          <w:color w:val="808080"/>
        </w:rPr>
      </w:pPr>
      <w:r w:rsidRPr="00FA0D37">
        <w:rPr>
          <w:color w:val="808080"/>
        </w:rPr>
        <w:t>-- TAG-BWP-ID-STOP</w:t>
      </w:r>
    </w:p>
    <w:p w14:paraId="07B3E49C" w14:textId="77777777" w:rsidR="00394471" w:rsidRPr="00FA0D37" w:rsidRDefault="00394471" w:rsidP="00FA0D37">
      <w:pPr>
        <w:pStyle w:val="PL"/>
        <w:rPr>
          <w:color w:val="808080"/>
        </w:rPr>
      </w:pPr>
      <w:r w:rsidRPr="00FA0D37">
        <w:rPr>
          <w:color w:val="808080"/>
        </w:rPr>
        <w:t>-- ASN1STOP</w:t>
      </w:r>
    </w:p>
    <w:p w14:paraId="1B55DC29" w14:textId="77777777" w:rsidR="00394471" w:rsidRPr="00FA0D37" w:rsidRDefault="00394471" w:rsidP="00394471"/>
    <w:p w14:paraId="47EBE02B" w14:textId="77777777" w:rsidR="00394471" w:rsidRPr="00FA0D37" w:rsidRDefault="00394471" w:rsidP="00394471">
      <w:pPr>
        <w:pStyle w:val="4"/>
      </w:pPr>
      <w:bookmarkStart w:id="911" w:name="_Toc60777181"/>
      <w:bookmarkStart w:id="912" w:name="_Toc146781226"/>
      <w:r w:rsidRPr="00FA0D37">
        <w:t>–</w:t>
      </w:r>
      <w:r w:rsidRPr="00FA0D37">
        <w:tab/>
      </w:r>
      <w:r w:rsidRPr="00FA0D37">
        <w:rPr>
          <w:i/>
        </w:rPr>
        <w:t>BWP-Uplink</w:t>
      </w:r>
      <w:bookmarkEnd w:id="911"/>
      <w:bookmarkEnd w:id="912"/>
    </w:p>
    <w:p w14:paraId="3F03B234" w14:textId="77777777" w:rsidR="00394471" w:rsidRPr="00FA0D37" w:rsidRDefault="00394471" w:rsidP="00394471">
      <w:r w:rsidRPr="00FA0D37">
        <w:t xml:space="preserve">The IE </w:t>
      </w:r>
      <w:r w:rsidRPr="00FA0D37">
        <w:rPr>
          <w:i/>
        </w:rPr>
        <w:t>BWP-Uplink</w:t>
      </w:r>
      <w:r w:rsidRPr="00FA0D37">
        <w:t xml:space="preserve"> is used to configure an additional uplink bandwidth part (not for the initial BWP).</w:t>
      </w:r>
    </w:p>
    <w:p w14:paraId="0BD853E7" w14:textId="77777777" w:rsidR="00394471" w:rsidRPr="00FA0D37" w:rsidRDefault="00394471" w:rsidP="00394471">
      <w:pPr>
        <w:pStyle w:val="TH"/>
      </w:pPr>
      <w:r w:rsidRPr="00FA0D37">
        <w:rPr>
          <w:i/>
        </w:rPr>
        <w:lastRenderedPageBreak/>
        <w:t>BWP-Uplink</w:t>
      </w:r>
      <w:r w:rsidRPr="00FA0D37">
        <w:t xml:space="preserve"> information element</w:t>
      </w:r>
    </w:p>
    <w:p w14:paraId="051784B0" w14:textId="77777777" w:rsidR="00394471" w:rsidRPr="00FA0D37" w:rsidRDefault="00394471" w:rsidP="00FA0D37">
      <w:pPr>
        <w:pStyle w:val="PL"/>
        <w:rPr>
          <w:color w:val="808080"/>
        </w:rPr>
      </w:pPr>
      <w:r w:rsidRPr="00FA0D37">
        <w:rPr>
          <w:color w:val="808080"/>
        </w:rPr>
        <w:t>-- ASN1START</w:t>
      </w:r>
    </w:p>
    <w:p w14:paraId="7249F727" w14:textId="77777777" w:rsidR="00394471" w:rsidRPr="00FA0D37" w:rsidRDefault="00394471" w:rsidP="00FA0D37">
      <w:pPr>
        <w:pStyle w:val="PL"/>
        <w:rPr>
          <w:color w:val="808080"/>
        </w:rPr>
      </w:pPr>
      <w:r w:rsidRPr="00FA0D37">
        <w:rPr>
          <w:color w:val="808080"/>
        </w:rPr>
        <w:t>-- TAG-BWP-UPLINK-START</w:t>
      </w:r>
    </w:p>
    <w:p w14:paraId="1A9B7B3F" w14:textId="77777777" w:rsidR="00394471" w:rsidRPr="00FA0D37" w:rsidRDefault="00394471" w:rsidP="00FA0D37">
      <w:pPr>
        <w:pStyle w:val="PL"/>
      </w:pPr>
    </w:p>
    <w:p w14:paraId="59D3DEE6" w14:textId="77777777" w:rsidR="00394471" w:rsidRPr="00FA0D37" w:rsidRDefault="00394471" w:rsidP="00FA0D37">
      <w:pPr>
        <w:pStyle w:val="PL"/>
      </w:pPr>
      <w:r w:rsidRPr="00FA0D37">
        <w:t xml:space="preserve">BWP-Uplink ::=                      </w:t>
      </w:r>
      <w:r w:rsidRPr="00FA0D37">
        <w:rPr>
          <w:color w:val="993366"/>
        </w:rPr>
        <w:t>SEQUENCE</w:t>
      </w:r>
      <w:r w:rsidRPr="00FA0D37">
        <w:t xml:space="preserve"> {</w:t>
      </w:r>
    </w:p>
    <w:p w14:paraId="301B148B" w14:textId="77777777" w:rsidR="00394471" w:rsidRPr="00FA0D37" w:rsidRDefault="00394471" w:rsidP="00FA0D37">
      <w:pPr>
        <w:pStyle w:val="PL"/>
      </w:pPr>
      <w:r w:rsidRPr="00FA0D37">
        <w:t xml:space="preserve">    bwp-Id                              BWP-Id,</w:t>
      </w:r>
    </w:p>
    <w:p w14:paraId="19EFDD0F" w14:textId="77777777" w:rsidR="00394471" w:rsidRPr="00FA0D37" w:rsidRDefault="00394471" w:rsidP="00FA0D37">
      <w:pPr>
        <w:pStyle w:val="PL"/>
        <w:rPr>
          <w:color w:val="808080"/>
        </w:rPr>
      </w:pPr>
      <w:r w:rsidRPr="00FA0D37">
        <w:t xml:space="preserve">    bwp-Common                          BWP-UplinkCommon                                            </w:t>
      </w:r>
      <w:r w:rsidRPr="00FA0D37">
        <w:rPr>
          <w:color w:val="993366"/>
        </w:rPr>
        <w:t>OPTIONAL</w:t>
      </w:r>
      <w:r w:rsidRPr="00FA0D37">
        <w:t xml:space="preserve">,   </w:t>
      </w:r>
      <w:r w:rsidRPr="00FA0D37">
        <w:rPr>
          <w:color w:val="808080"/>
        </w:rPr>
        <w:t>-- Cond SetupOtherBWP</w:t>
      </w:r>
    </w:p>
    <w:p w14:paraId="220043A5" w14:textId="77777777" w:rsidR="00394471" w:rsidRPr="00FA0D37" w:rsidRDefault="00394471" w:rsidP="00FA0D37">
      <w:pPr>
        <w:pStyle w:val="PL"/>
        <w:rPr>
          <w:color w:val="808080"/>
        </w:rPr>
      </w:pPr>
      <w:r w:rsidRPr="00FA0D37">
        <w:t xml:space="preserve">    bwp-Dedicated                       BWP-UplinkDedicated                                         </w:t>
      </w:r>
      <w:r w:rsidRPr="00FA0D37">
        <w:rPr>
          <w:color w:val="993366"/>
        </w:rPr>
        <w:t>OPTIONAL</w:t>
      </w:r>
      <w:r w:rsidRPr="00FA0D37">
        <w:t xml:space="preserve">,   </w:t>
      </w:r>
      <w:r w:rsidRPr="00FA0D37">
        <w:rPr>
          <w:color w:val="808080"/>
        </w:rPr>
        <w:t>-- Cond SetupOtherBWP</w:t>
      </w:r>
    </w:p>
    <w:p w14:paraId="7F2FD772" w14:textId="77777777" w:rsidR="00394471" w:rsidRPr="00FA0D37" w:rsidRDefault="00394471" w:rsidP="00FA0D37">
      <w:pPr>
        <w:pStyle w:val="PL"/>
      </w:pPr>
      <w:r w:rsidRPr="00FA0D37">
        <w:t xml:space="preserve">    ...</w:t>
      </w:r>
    </w:p>
    <w:p w14:paraId="69692DB1" w14:textId="77777777" w:rsidR="00394471" w:rsidRPr="00FA0D37" w:rsidRDefault="00394471" w:rsidP="00FA0D37">
      <w:pPr>
        <w:pStyle w:val="PL"/>
      </w:pPr>
      <w:r w:rsidRPr="00FA0D37">
        <w:t>}</w:t>
      </w:r>
    </w:p>
    <w:p w14:paraId="030AD41E" w14:textId="77777777" w:rsidR="00394471" w:rsidRPr="00FA0D37" w:rsidRDefault="00394471" w:rsidP="00FA0D37">
      <w:pPr>
        <w:pStyle w:val="PL"/>
      </w:pPr>
    </w:p>
    <w:p w14:paraId="51783D31" w14:textId="77777777" w:rsidR="00394471" w:rsidRPr="00FA0D37" w:rsidRDefault="00394471" w:rsidP="00FA0D37">
      <w:pPr>
        <w:pStyle w:val="PL"/>
        <w:rPr>
          <w:color w:val="808080"/>
        </w:rPr>
      </w:pPr>
      <w:r w:rsidRPr="00FA0D37">
        <w:rPr>
          <w:color w:val="808080"/>
        </w:rPr>
        <w:t>-- TAG-BWP-UPLINK-STOP</w:t>
      </w:r>
    </w:p>
    <w:p w14:paraId="0CD066C9" w14:textId="77777777" w:rsidR="00394471" w:rsidRPr="00FA0D37" w:rsidRDefault="00394471" w:rsidP="00FA0D37">
      <w:pPr>
        <w:pStyle w:val="PL"/>
        <w:rPr>
          <w:color w:val="808080"/>
        </w:rPr>
      </w:pPr>
      <w:r w:rsidRPr="00FA0D37">
        <w:rPr>
          <w:color w:val="808080"/>
        </w:rPr>
        <w:t>-- ASN1STOP</w:t>
      </w:r>
    </w:p>
    <w:p w14:paraId="3203D94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FA0D37" w:rsidRDefault="00394471" w:rsidP="00964CC4">
            <w:pPr>
              <w:pStyle w:val="TAH"/>
              <w:rPr>
                <w:szCs w:val="22"/>
                <w:lang w:eastAsia="sv-SE"/>
              </w:rPr>
            </w:pPr>
            <w:r w:rsidRPr="00FA0D37">
              <w:rPr>
                <w:i/>
                <w:szCs w:val="22"/>
                <w:lang w:eastAsia="sv-SE"/>
              </w:rPr>
              <w:t xml:space="preserve">BWP-Uplink </w:t>
            </w:r>
            <w:r w:rsidRPr="00FA0D37">
              <w:rPr>
                <w:szCs w:val="22"/>
                <w:lang w:eastAsia="sv-SE"/>
              </w:rPr>
              <w:t>field descriptions</w:t>
            </w:r>
          </w:p>
        </w:tc>
      </w:tr>
      <w:tr w:rsidR="00394471" w:rsidRPr="00FA0D37"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FA0D37" w:rsidRDefault="00394471" w:rsidP="00964CC4">
            <w:pPr>
              <w:pStyle w:val="TAL"/>
              <w:rPr>
                <w:szCs w:val="22"/>
                <w:lang w:eastAsia="sv-SE"/>
              </w:rPr>
            </w:pPr>
            <w:r w:rsidRPr="00FA0D37">
              <w:rPr>
                <w:b/>
                <w:i/>
                <w:szCs w:val="22"/>
                <w:lang w:eastAsia="sv-SE"/>
              </w:rPr>
              <w:t>bwp-Id</w:t>
            </w:r>
          </w:p>
          <w:p w14:paraId="3FE0EBF5" w14:textId="77777777" w:rsidR="00394471" w:rsidRPr="00FA0D37" w:rsidRDefault="00394471" w:rsidP="00964CC4">
            <w:pPr>
              <w:pStyle w:val="TAL"/>
              <w:rPr>
                <w:szCs w:val="22"/>
                <w:lang w:eastAsia="sv-SE"/>
              </w:rPr>
            </w:pPr>
            <w:r w:rsidRPr="00FA0D37">
              <w:rPr>
                <w:szCs w:val="22"/>
                <w:lang w:eastAsia="sv-SE"/>
              </w:rPr>
              <w:t xml:space="preserve">An identifier for this bandwidth part. Other parts of the RRC configuration use the </w:t>
            </w:r>
            <w:r w:rsidRPr="00FA0D37">
              <w:rPr>
                <w:i/>
                <w:szCs w:val="22"/>
                <w:lang w:eastAsia="sv-SE"/>
              </w:rPr>
              <w:t>BWP-Id</w:t>
            </w:r>
            <w:r w:rsidRPr="00FA0D37">
              <w:rPr>
                <w:szCs w:val="22"/>
                <w:lang w:eastAsia="sv-SE"/>
              </w:rPr>
              <w:t xml:space="preserve"> to associate themselves with a particular bandwidth part.</w:t>
            </w:r>
          </w:p>
          <w:p w14:paraId="32C8F790" w14:textId="77777777" w:rsidR="00394471" w:rsidRPr="00FA0D37" w:rsidRDefault="00394471" w:rsidP="00964CC4">
            <w:pPr>
              <w:pStyle w:val="TAL"/>
              <w:rPr>
                <w:szCs w:val="22"/>
                <w:lang w:eastAsia="sv-SE"/>
              </w:rPr>
            </w:pPr>
            <w:r w:rsidRPr="00FA0D37">
              <w:rPr>
                <w:szCs w:val="22"/>
                <w:lang w:eastAsia="sv-SE"/>
              </w:rPr>
              <w:t>The network configures the BWPs with consecutive IDs from 1. The Network does not include the value 0, since value 0 is reserved for the initial BWP.</w:t>
            </w:r>
          </w:p>
        </w:tc>
      </w:tr>
    </w:tbl>
    <w:p w14:paraId="1727F03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FA0D37" w:rsidRDefault="00394471" w:rsidP="00964CC4">
            <w:pPr>
              <w:pStyle w:val="TAH"/>
              <w:rPr>
                <w:rFonts w:eastAsia="Calibri"/>
                <w:szCs w:val="22"/>
                <w:lang w:eastAsia="sv-SE"/>
              </w:rPr>
            </w:pPr>
            <w:r w:rsidRPr="00FA0D3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FA0D37" w:rsidRDefault="00394471" w:rsidP="00964CC4">
            <w:pPr>
              <w:pStyle w:val="TAH"/>
              <w:rPr>
                <w:rFonts w:eastAsia="Calibri"/>
                <w:szCs w:val="22"/>
                <w:lang w:eastAsia="sv-SE"/>
              </w:rPr>
            </w:pPr>
            <w:r w:rsidRPr="00FA0D37">
              <w:rPr>
                <w:rFonts w:eastAsia="Calibri"/>
                <w:szCs w:val="22"/>
                <w:lang w:eastAsia="sv-SE"/>
              </w:rPr>
              <w:t>Explanation</w:t>
            </w:r>
          </w:p>
        </w:tc>
      </w:tr>
      <w:tr w:rsidR="00394471" w:rsidRPr="00FA0D37"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FA0D37" w:rsidRDefault="00394471" w:rsidP="00964CC4">
            <w:pPr>
              <w:pStyle w:val="TAL"/>
              <w:rPr>
                <w:rFonts w:eastAsia="Calibri"/>
                <w:i/>
                <w:szCs w:val="22"/>
                <w:lang w:eastAsia="sv-SE"/>
              </w:rPr>
            </w:pPr>
            <w:r w:rsidRPr="00FA0D3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FA0D37" w:rsidRDefault="00394471" w:rsidP="00394471"/>
    <w:p w14:paraId="1A05A849" w14:textId="77777777" w:rsidR="00394471" w:rsidRPr="00FA0D37" w:rsidRDefault="00394471" w:rsidP="00394471">
      <w:pPr>
        <w:pStyle w:val="4"/>
      </w:pPr>
      <w:bookmarkStart w:id="913" w:name="_Toc60777182"/>
      <w:bookmarkStart w:id="914" w:name="_Toc146781227"/>
      <w:r w:rsidRPr="00FA0D37">
        <w:t>–</w:t>
      </w:r>
      <w:r w:rsidRPr="00FA0D37">
        <w:tab/>
      </w:r>
      <w:r w:rsidRPr="00FA0D37">
        <w:rPr>
          <w:i/>
        </w:rPr>
        <w:t>BWP-UplinkCommon</w:t>
      </w:r>
      <w:bookmarkEnd w:id="913"/>
      <w:bookmarkEnd w:id="914"/>
    </w:p>
    <w:p w14:paraId="6615AC4B" w14:textId="77777777" w:rsidR="00394471" w:rsidRPr="00FA0D37" w:rsidRDefault="00394471" w:rsidP="00394471">
      <w:r w:rsidRPr="00FA0D37">
        <w:t xml:space="preserve">The IE </w:t>
      </w:r>
      <w:r w:rsidRPr="00FA0D37">
        <w:rPr>
          <w:i/>
        </w:rPr>
        <w:t>BWP-UplinkCommon</w:t>
      </w:r>
      <w:r w:rsidRPr="00FA0D37">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87FA6CA" w14:textId="77777777" w:rsidR="00394471" w:rsidRPr="00FA0D37" w:rsidRDefault="00394471" w:rsidP="00394471">
      <w:pPr>
        <w:pStyle w:val="TH"/>
      </w:pPr>
      <w:r w:rsidRPr="00FA0D37">
        <w:rPr>
          <w:i/>
        </w:rPr>
        <w:t>BWP-UplinkCommon</w:t>
      </w:r>
      <w:r w:rsidRPr="00FA0D37">
        <w:t xml:space="preserve"> information element</w:t>
      </w:r>
    </w:p>
    <w:p w14:paraId="042E82A8" w14:textId="77777777" w:rsidR="00394471" w:rsidRPr="00FA0D37" w:rsidRDefault="00394471" w:rsidP="00FA0D37">
      <w:pPr>
        <w:pStyle w:val="PL"/>
        <w:rPr>
          <w:color w:val="808080"/>
        </w:rPr>
      </w:pPr>
      <w:r w:rsidRPr="00FA0D37">
        <w:rPr>
          <w:color w:val="808080"/>
        </w:rPr>
        <w:t>-- ASN1START</w:t>
      </w:r>
    </w:p>
    <w:p w14:paraId="07571065" w14:textId="77777777" w:rsidR="00394471" w:rsidRPr="00FA0D37" w:rsidRDefault="00394471" w:rsidP="00FA0D37">
      <w:pPr>
        <w:pStyle w:val="PL"/>
        <w:rPr>
          <w:color w:val="808080"/>
        </w:rPr>
      </w:pPr>
      <w:r w:rsidRPr="00FA0D37">
        <w:rPr>
          <w:color w:val="808080"/>
        </w:rPr>
        <w:t>-- TAG-BWP-UPLINKCOMMON-START</w:t>
      </w:r>
    </w:p>
    <w:p w14:paraId="321CB05C" w14:textId="77777777" w:rsidR="00394471" w:rsidRPr="00FA0D37" w:rsidRDefault="00394471" w:rsidP="00FA0D37">
      <w:pPr>
        <w:pStyle w:val="PL"/>
      </w:pPr>
    </w:p>
    <w:p w14:paraId="11A67FB5" w14:textId="77777777" w:rsidR="00394471" w:rsidRPr="00FA0D37" w:rsidRDefault="00394471" w:rsidP="00FA0D37">
      <w:pPr>
        <w:pStyle w:val="PL"/>
      </w:pPr>
      <w:r w:rsidRPr="00FA0D37">
        <w:t xml:space="preserve">BWP-UplinkCommon ::=                </w:t>
      </w:r>
      <w:r w:rsidRPr="00FA0D37">
        <w:rPr>
          <w:color w:val="993366"/>
        </w:rPr>
        <w:t>SEQUENCE</w:t>
      </w:r>
      <w:r w:rsidRPr="00FA0D37">
        <w:t xml:space="preserve"> {</w:t>
      </w:r>
    </w:p>
    <w:p w14:paraId="3B7E04C4" w14:textId="77777777" w:rsidR="00394471" w:rsidRPr="00FA0D37" w:rsidRDefault="00394471" w:rsidP="00FA0D37">
      <w:pPr>
        <w:pStyle w:val="PL"/>
      </w:pPr>
      <w:r w:rsidRPr="00FA0D37">
        <w:t xml:space="preserve">    genericParameters                   BWP,</w:t>
      </w:r>
    </w:p>
    <w:p w14:paraId="6C89AE04" w14:textId="77777777" w:rsidR="00394471" w:rsidRPr="00FA0D37" w:rsidRDefault="00394471" w:rsidP="00FA0D37">
      <w:pPr>
        <w:pStyle w:val="PL"/>
        <w:rPr>
          <w:color w:val="808080"/>
        </w:rPr>
      </w:pPr>
      <w:r w:rsidRPr="00FA0D37">
        <w:t xml:space="preserve">    rach-ConfigCommon                   SetupRelease { RACH-ConfigCommon }                                      </w:t>
      </w:r>
      <w:r w:rsidRPr="00FA0D37">
        <w:rPr>
          <w:color w:val="993366"/>
        </w:rPr>
        <w:t>OPTIONAL</w:t>
      </w:r>
      <w:r w:rsidRPr="00FA0D37">
        <w:t xml:space="preserve">,   </w:t>
      </w:r>
      <w:r w:rsidRPr="00FA0D37">
        <w:rPr>
          <w:color w:val="808080"/>
        </w:rPr>
        <w:t>-- Need M</w:t>
      </w:r>
    </w:p>
    <w:p w14:paraId="78E5AEFC" w14:textId="77777777" w:rsidR="00394471" w:rsidRPr="00FA0D37" w:rsidRDefault="00394471" w:rsidP="00FA0D37">
      <w:pPr>
        <w:pStyle w:val="PL"/>
        <w:rPr>
          <w:color w:val="808080"/>
        </w:rPr>
      </w:pPr>
      <w:r w:rsidRPr="00FA0D37">
        <w:t xml:space="preserve">    pusch-ConfigCommon                  SetupRelease { PUSCH-ConfigCommon }                                     </w:t>
      </w:r>
      <w:r w:rsidRPr="00FA0D37">
        <w:rPr>
          <w:color w:val="993366"/>
        </w:rPr>
        <w:t>OPTIONAL</w:t>
      </w:r>
      <w:r w:rsidRPr="00FA0D37">
        <w:t xml:space="preserve">,   </w:t>
      </w:r>
      <w:r w:rsidRPr="00FA0D37">
        <w:rPr>
          <w:color w:val="808080"/>
        </w:rPr>
        <w:t>-- Need M</w:t>
      </w:r>
    </w:p>
    <w:p w14:paraId="1E76EA2B" w14:textId="77777777" w:rsidR="00394471" w:rsidRPr="00FA0D37" w:rsidRDefault="00394471" w:rsidP="00FA0D37">
      <w:pPr>
        <w:pStyle w:val="PL"/>
        <w:rPr>
          <w:color w:val="808080"/>
        </w:rPr>
      </w:pPr>
      <w:r w:rsidRPr="00FA0D37">
        <w:t xml:space="preserve">    pucch-ConfigCommon                  SetupRelease { PUCCH-ConfigCommon }                                     </w:t>
      </w:r>
      <w:r w:rsidRPr="00FA0D37">
        <w:rPr>
          <w:color w:val="993366"/>
        </w:rPr>
        <w:t>OPTIONAL</w:t>
      </w:r>
      <w:r w:rsidRPr="00FA0D37">
        <w:t xml:space="preserve">,   </w:t>
      </w:r>
      <w:r w:rsidRPr="00FA0D37">
        <w:rPr>
          <w:color w:val="808080"/>
        </w:rPr>
        <w:t>-- Need M</w:t>
      </w:r>
    </w:p>
    <w:p w14:paraId="53022765" w14:textId="77777777" w:rsidR="00394471" w:rsidRPr="00FA0D37" w:rsidRDefault="00394471" w:rsidP="00FA0D37">
      <w:pPr>
        <w:pStyle w:val="PL"/>
      </w:pPr>
      <w:r w:rsidRPr="00FA0D37">
        <w:t xml:space="preserve">    ...,</w:t>
      </w:r>
    </w:p>
    <w:p w14:paraId="14AE3B3D" w14:textId="77777777" w:rsidR="00394471" w:rsidRPr="00FA0D37" w:rsidRDefault="00394471" w:rsidP="00FA0D37">
      <w:pPr>
        <w:pStyle w:val="PL"/>
      </w:pPr>
      <w:r w:rsidRPr="00FA0D37">
        <w:t xml:space="preserve">    [[</w:t>
      </w:r>
    </w:p>
    <w:p w14:paraId="7B235C10" w14:textId="77777777" w:rsidR="00394471" w:rsidRPr="00FA0D37" w:rsidRDefault="00394471" w:rsidP="00FA0D37">
      <w:pPr>
        <w:pStyle w:val="PL"/>
        <w:rPr>
          <w:color w:val="808080"/>
        </w:rPr>
      </w:pPr>
      <w:r w:rsidRPr="00FA0D37">
        <w:t xml:space="preserve">    rach-ConfigCommonIAB-r16            SetupRelease { RACH-ConfigCommon }                                      </w:t>
      </w:r>
      <w:r w:rsidRPr="00FA0D37">
        <w:rPr>
          <w:color w:val="993366"/>
        </w:rPr>
        <w:t>OPTIONAL</w:t>
      </w:r>
      <w:r w:rsidRPr="00FA0D37">
        <w:t xml:space="preserve">,   </w:t>
      </w:r>
      <w:r w:rsidRPr="00FA0D37">
        <w:rPr>
          <w:color w:val="808080"/>
        </w:rPr>
        <w:t>-- Need M</w:t>
      </w:r>
    </w:p>
    <w:p w14:paraId="168FC7E7" w14:textId="77777777" w:rsidR="00394471" w:rsidRPr="00FA0D37" w:rsidRDefault="00394471" w:rsidP="00FA0D37">
      <w:pPr>
        <w:pStyle w:val="PL"/>
        <w:rPr>
          <w:color w:val="808080"/>
        </w:rPr>
      </w:pPr>
      <w:r w:rsidRPr="00FA0D37">
        <w:t xml:space="preserve">    useInterlacePUCCH-PUSCH-r16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4F4A696" w14:textId="77777777" w:rsidR="00394471" w:rsidRPr="00FA0D37" w:rsidRDefault="00394471" w:rsidP="00FA0D37">
      <w:pPr>
        <w:pStyle w:val="PL"/>
        <w:rPr>
          <w:color w:val="808080"/>
        </w:rPr>
      </w:pPr>
      <w:r w:rsidRPr="00FA0D37">
        <w:t xml:space="preserve">    msgA-ConfigCommon-r16               SetupRelease { MsgA-ConfigCommon-r16 }                                  </w:t>
      </w:r>
      <w:r w:rsidRPr="00FA0D37">
        <w:rPr>
          <w:color w:val="993366"/>
        </w:rPr>
        <w:t>OPTIONAL</w:t>
      </w:r>
      <w:r w:rsidRPr="00FA0D37">
        <w:t xml:space="preserve">    </w:t>
      </w:r>
      <w:r w:rsidRPr="00FA0D37">
        <w:rPr>
          <w:color w:val="808080"/>
        </w:rPr>
        <w:t>-- Cond SpCellOnly2</w:t>
      </w:r>
    </w:p>
    <w:p w14:paraId="6486648E" w14:textId="7559F93E" w:rsidR="00EC5164" w:rsidRPr="00FA0D37" w:rsidRDefault="00394471" w:rsidP="00FA0D37">
      <w:pPr>
        <w:pStyle w:val="PL"/>
      </w:pPr>
      <w:r w:rsidRPr="00FA0D37">
        <w:lastRenderedPageBreak/>
        <w:t xml:space="preserve">    ]]</w:t>
      </w:r>
      <w:r w:rsidR="00EC5164" w:rsidRPr="00FA0D37">
        <w:t>,</w:t>
      </w:r>
    </w:p>
    <w:p w14:paraId="12CC7A73" w14:textId="77777777" w:rsidR="00EC5164" w:rsidRPr="00FA0D37" w:rsidRDefault="00EC5164" w:rsidP="00FA0D37">
      <w:pPr>
        <w:pStyle w:val="PL"/>
      </w:pPr>
      <w:r w:rsidRPr="00FA0D37">
        <w:t xml:space="preserve">    [[</w:t>
      </w:r>
    </w:p>
    <w:p w14:paraId="49823F9B" w14:textId="42CF7A25" w:rsidR="00EC5164" w:rsidRPr="00FA0D37" w:rsidRDefault="00EC5164" w:rsidP="00FA0D37">
      <w:pPr>
        <w:pStyle w:val="PL"/>
        <w:rPr>
          <w:color w:val="808080"/>
        </w:rPr>
      </w:pPr>
      <w:r w:rsidRPr="00FA0D37">
        <w:t xml:space="preserve">    enableRA-PrioritizationForSlicing-r17 </w:t>
      </w:r>
      <w:r w:rsidRPr="00FA0D37">
        <w:rPr>
          <w:color w:val="993366"/>
        </w:rPr>
        <w:t>BOOLEAN</w:t>
      </w:r>
      <w:r w:rsidRPr="00FA0D37">
        <w:t xml:space="preserve">                                              </w:t>
      </w:r>
      <w:r w:rsidR="0071669F" w:rsidRPr="00FA0D37">
        <w:t xml:space="preserve">      </w:t>
      </w:r>
      <w:r w:rsidRPr="00FA0D37">
        <w:rPr>
          <w:color w:val="993366"/>
        </w:rPr>
        <w:t>OPTIONAL</w:t>
      </w:r>
      <w:r w:rsidR="00FB193E" w:rsidRPr="00FA0D37">
        <w:t>,</w:t>
      </w:r>
      <w:r w:rsidRPr="00FA0D37">
        <w:t xml:space="preserve"> </w:t>
      </w:r>
      <w:r w:rsidRPr="00FA0D37">
        <w:rPr>
          <w:color w:val="808080"/>
        </w:rPr>
        <w:t>-- Cond RA</w:t>
      </w:r>
      <w:r w:rsidR="007D3EDC" w:rsidRPr="00FA0D37">
        <w:rPr>
          <w:color w:val="808080"/>
        </w:rPr>
        <w:t>-</w:t>
      </w:r>
      <w:r w:rsidRPr="00FA0D37">
        <w:rPr>
          <w:color w:val="808080"/>
        </w:rPr>
        <w:t>PrioSliceAI</w:t>
      </w:r>
    </w:p>
    <w:p w14:paraId="0A00D97F" w14:textId="7F306F38" w:rsidR="00276C79" w:rsidRPr="00FA0D37" w:rsidRDefault="00276C79" w:rsidP="00FA0D37">
      <w:pPr>
        <w:pStyle w:val="PL"/>
        <w:rPr>
          <w:color w:val="808080"/>
        </w:rPr>
      </w:pPr>
      <w:r w:rsidRPr="00FA0D37">
        <w:t xml:space="preserve">    additionalRACH-Config</w:t>
      </w:r>
      <w:r w:rsidR="00EC2871" w:rsidRPr="00FA0D37">
        <w:t>List</w:t>
      </w:r>
      <w:r w:rsidRPr="00FA0D37">
        <w:t xml:space="preserve">-r17     </w:t>
      </w:r>
      <w:r w:rsidR="0071669F" w:rsidRPr="00FA0D37">
        <w:t xml:space="preserve">  </w:t>
      </w:r>
      <w:r w:rsidR="00EC2871" w:rsidRPr="00FA0D37">
        <w:t xml:space="preserve">SetupRelease { AdditionalRACH-ConfigList-r17 }           </w:t>
      </w:r>
      <w:r w:rsidRPr="00FA0D37">
        <w:t xml:space="preserve"> </w:t>
      </w:r>
      <w:r w:rsidR="0071669F" w:rsidRPr="00FA0D37">
        <w:t xml:space="preserve">   </w:t>
      </w:r>
      <w:r w:rsidRPr="00FA0D37">
        <w:rPr>
          <w:color w:val="993366"/>
        </w:rPr>
        <w:t>OPTIONAL</w:t>
      </w:r>
      <w:r w:rsidR="00EC2871" w:rsidRPr="00FA0D37">
        <w:t>,</w:t>
      </w:r>
      <w:r w:rsidRPr="00FA0D37">
        <w:t xml:space="preserve"> </w:t>
      </w:r>
      <w:r w:rsidRPr="00FA0D37">
        <w:rPr>
          <w:color w:val="808080"/>
        </w:rPr>
        <w:t>-- Cond SpCellOnly</w:t>
      </w:r>
      <w:r w:rsidR="00EC2871" w:rsidRPr="00FA0D37">
        <w:rPr>
          <w:color w:val="808080"/>
        </w:rPr>
        <w:t>2</w:t>
      </w:r>
    </w:p>
    <w:p w14:paraId="2CC214AC" w14:textId="149B1728" w:rsidR="00EC2871" w:rsidRPr="00FA0D37" w:rsidRDefault="00EC2871" w:rsidP="00FA0D37">
      <w:pPr>
        <w:pStyle w:val="PL"/>
        <w:rPr>
          <w:color w:val="808080"/>
        </w:rPr>
      </w:pPr>
      <w:r w:rsidRPr="00FA0D37">
        <w:t xml:space="preserve">    rsrp-ThresholdMsg3-r17              RSRP-Range                                            </w:t>
      </w:r>
      <w:r w:rsidR="0071669F" w:rsidRPr="00FA0D37">
        <w:t xml:space="preserve">       </w:t>
      </w:r>
      <w:r w:rsidRPr="00FA0D37">
        <w:rPr>
          <w:color w:val="993366"/>
        </w:rPr>
        <w:t>OPTIONAL</w:t>
      </w:r>
      <w:r w:rsidR="00CB6D16" w:rsidRPr="00FA0D37">
        <w:t>,</w:t>
      </w:r>
      <w:r w:rsidRPr="00FA0D37">
        <w:t xml:space="preserve"> </w:t>
      </w:r>
      <w:r w:rsidRPr="00FA0D37">
        <w:rPr>
          <w:color w:val="808080"/>
        </w:rPr>
        <w:t>-- Need R</w:t>
      </w:r>
    </w:p>
    <w:p w14:paraId="26DFFF31" w14:textId="57B2151C" w:rsidR="00A90289" w:rsidRPr="00FA0D37" w:rsidRDefault="00A90289" w:rsidP="00FA0D37">
      <w:pPr>
        <w:pStyle w:val="PL"/>
        <w:rPr>
          <w:color w:val="808080"/>
        </w:rPr>
      </w:pPr>
      <w:r w:rsidRPr="00FA0D37">
        <w:t xml:space="preserve">    numberOfMsg3-RepetitionsList-r17    </w:t>
      </w:r>
      <w:r w:rsidRPr="00FA0D37">
        <w:rPr>
          <w:color w:val="993366"/>
        </w:rPr>
        <w:t>SEQUENCE</w:t>
      </w:r>
      <w:r w:rsidRPr="00FA0D37">
        <w:t xml:space="preserve"> (</w:t>
      </w:r>
      <w:r w:rsidRPr="00FA0D37">
        <w:rPr>
          <w:color w:val="993366"/>
        </w:rPr>
        <w:t>SIZE</w:t>
      </w:r>
      <w:r w:rsidRPr="00FA0D37">
        <w:t xml:space="preserve"> (4))</w:t>
      </w:r>
      <w:r w:rsidRPr="00FA0D37">
        <w:rPr>
          <w:color w:val="993366"/>
        </w:rPr>
        <w:t xml:space="preserve"> OF</w:t>
      </w:r>
      <w:r w:rsidRPr="00FA0D37">
        <w:t xml:space="preserve"> NumberOfMsg3-Repetitions-r17                  </w:t>
      </w:r>
      <w:r w:rsidRPr="00FA0D37">
        <w:rPr>
          <w:color w:val="993366"/>
        </w:rPr>
        <w:t>OPTIONAL</w:t>
      </w:r>
      <w:r w:rsidRPr="00FA0D37">
        <w:t xml:space="preserve">,  </w:t>
      </w:r>
      <w:r w:rsidRPr="00FA0D37">
        <w:rPr>
          <w:color w:val="808080"/>
        </w:rPr>
        <w:t>-- Cond Msg3Rep</w:t>
      </w:r>
    </w:p>
    <w:p w14:paraId="7A4DB95D" w14:textId="2D52142E" w:rsidR="00A90289" w:rsidRPr="00FA0D37" w:rsidRDefault="00A90289" w:rsidP="00FA0D37">
      <w:pPr>
        <w:pStyle w:val="PL"/>
        <w:rPr>
          <w:color w:val="808080"/>
        </w:rPr>
      </w:pPr>
      <w:r w:rsidRPr="00FA0D37">
        <w:t xml:space="preserve">    mcs-Msg3-Repetitions-r17            </w:t>
      </w:r>
      <w:r w:rsidRPr="00FA0D37">
        <w:rPr>
          <w:color w:val="993366"/>
        </w:rPr>
        <w:t>SEQUENCE</w:t>
      </w:r>
      <w:r w:rsidRPr="00FA0D37">
        <w:t xml:space="preserve"> (</w:t>
      </w:r>
      <w:r w:rsidRPr="00FA0D37">
        <w:rPr>
          <w:color w:val="993366"/>
        </w:rPr>
        <w:t>SIZE</w:t>
      </w:r>
      <w:r w:rsidRPr="00FA0D37">
        <w:t xml:space="preserve"> (8))</w:t>
      </w:r>
      <w:r w:rsidRPr="00FA0D37">
        <w:rPr>
          <w:color w:val="993366"/>
        </w:rPr>
        <w:t xml:space="preserve"> OF</w:t>
      </w:r>
      <w:r w:rsidRPr="00FA0D37">
        <w:t xml:space="preserve"> </w:t>
      </w:r>
      <w:r w:rsidRPr="00FA0D37">
        <w:rPr>
          <w:color w:val="993366"/>
        </w:rPr>
        <w:t>INTEGER</w:t>
      </w:r>
      <w:r w:rsidRPr="00FA0D37">
        <w:t xml:space="preserve"> (0..31)                               </w:t>
      </w:r>
      <w:r w:rsidRPr="00FA0D37">
        <w:rPr>
          <w:color w:val="993366"/>
        </w:rPr>
        <w:t>OPTIONAL</w:t>
      </w:r>
      <w:r w:rsidRPr="00FA0D37">
        <w:t xml:space="preserve">   </w:t>
      </w:r>
      <w:r w:rsidRPr="00FA0D37">
        <w:rPr>
          <w:color w:val="808080"/>
        </w:rPr>
        <w:t>-- Cond Msg3Rep</w:t>
      </w:r>
    </w:p>
    <w:p w14:paraId="58A78EC6" w14:textId="12CD1854" w:rsidR="00394471" w:rsidRPr="00FA0D37" w:rsidRDefault="00A90289" w:rsidP="00FA0D37">
      <w:pPr>
        <w:pStyle w:val="PL"/>
      </w:pPr>
      <w:r w:rsidRPr="00FA0D37">
        <w:t xml:space="preserve">    ]]</w:t>
      </w:r>
    </w:p>
    <w:p w14:paraId="2F1D2A4E" w14:textId="77777777" w:rsidR="00394471" w:rsidRPr="00FA0D37" w:rsidRDefault="00394471" w:rsidP="00FA0D37">
      <w:pPr>
        <w:pStyle w:val="PL"/>
      </w:pPr>
      <w:r w:rsidRPr="00FA0D37">
        <w:t>}</w:t>
      </w:r>
    </w:p>
    <w:p w14:paraId="09F78A0B" w14:textId="66EE11DC" w:rsidR="00A90289" w:rsidRPr="00FA0D37" w:rsidRDefault="00A90289" w:rsidP="00FA0D37">
      <w:pPr>
        <w:pStyle w:val="PL"/>
      </w:pPr>
    </w:p>
    <w:p w14:paraId="11494D34" w14:textId="46DE1B43" w:rsidR="0071669F" w:rsidRPr="00FA0D37" w:rsidRDefault="0071669F" w:rsidP="00FA0D37">
      <w:pPr>
        <w:pStyle w:val="PL"/>
      </w:pPr>
      <w:r w:rsidRPr="00FA0D37">
        <w:t xml:space="preserve">AdditionalRACH-ConfigList-r17 ::=       </w:t>
      </w:r>
      <w:r w:rsidRPr="00FA0D37">
        <w:rPr>
          <w:color w:val="993366"/>
        </w:rPr>
        <w:t>SEQUENCE</w:t>
      </w:r>
      <w:r w:rsidRPr="00FA0D37">
        <w:t xml:space="preserve"> (</w:t>
      </w:r>
      <w:r w:rsidRPr="00FA0D37">
        <w:rPr>
          <w:color w:val="993366"/>
        </w:rPr>
        <w:t>SIZE</w:t>
      </w:r>
      <w:r w:rsidRPr="00FA0D37">
        <w:t>(1..maxAdditionalRACH-r17))</w:t>
      </w:r>
      <w:r w:rsidRPr="00FA0D37">
        <w:rPr>
          <w:color w:val="993366"/>
        </w:rPr>
        <w:t xml:space="preserve"> OF</w:t>
      </w:r>
      <w:r w:rsidRPr="00FA0D37">
        <w:t xml:space="preserve"> AdditionalRACH-Config-r17</w:t>
      </w:r>
    </w:p>
    <w:p w14:paraId="19B15467" w14:textId="77777777" w:rsidR="00867B26" w:rsidRPr="00FA0D37" w:rsidRDefault="00867B26" w:rsidP="00FA0D37">
      <w:pPr>
        <w:pStyle w:val="PL"/>
      </w:pPr>
    </w:p>
    <w:p w14:paraId="42FFB967" w14:textId="77777777" w:rsidR="00867B26" w:rsidRPr="00FA0D37" w:rsidRDefault="00867B26" w:rsidP="00FA0D37">
      <w:pPr>
        <w:pStyle w:val="PL"/>
      </w:pPr>
      <w:r w:rsidRPr="00FA0D37">
        <w:t xml:space="preserve">AdditionalRACH-Config-r17 ::=       </w:t>
      </w:r>
      <w:r w:rsidRPr="00FA0D37">
        <w:rPr>
          <w:color w:val="993366"/>
        </w:rPr>
        <w:t>SEQUENCE</w:t>
      </w:r>
      <w:r w:rsidRPr="00FA0D37">
        <w:t xml:space="preserve"> {</w:t>
      </w:r>
    </w:p>
    <w:p w14:paraId="677870EB" w14:textId="77777777" w:rsidR="00867B26" w:rsidRPr="00FA0D37" w:rsidRDefault="00867B26" w:rsidP="00FA0D37">
      <w:pPr>
        <w:pStyle w:val="PL"/>
        <w:rPr>
          <w:color w:val="808080"/>
        </w:rPr>
      </w:pPr>
      <w:r w:rsidRPr="00FA0D37">
        <w:t xml:space="preserve">    rach-ConfigCommon-r17               RACH-ConfigCommon                                                   </w:t>
      </w:r>
      <w:r w:rsidRPr="00FA0D37">
        <w:rPr>
          <w:color w:val="993366"/>
        </w:rPr>
        <w:t>OPTIONAL</w:t>
      </w:r>
      <w:r w:rsidRPr="00FA0D37">
        <w:t xml:space="preserve">,  </w:t>
      </w:r>
      <w:r w:rsidRPr="00FA0D37">
        <w:rPr>
          <w:color w:val="808080"/>
        </w:rPr>
        <w:t>-- Need R</w:t>
      </w:r>
    </w:p>
    <w:p w14:paraId="1290D2AC" w14:textId="5C9180B0" w:rsidR="00867B26" w:rsidRPr="00FA0D37" w:rsidRDefault="00867B26" w:rsidP="00FA0D37">
      <w:pPr>
        <w:pStyle w:val="PL"/>
        <w:rPr>
          <w:color w:val="808080"/>
        </w:rPr>
      </w:pPr>
      <w:r w:rsidRPr="00FA0D37">
        <w:t xml:space="preserve">    msgA-ConfigCommon-r17               MsgA-ConfigCommon-r16                                               </w:t>
      </w:r>
      <w:r w:rsidRPr="00FA0D37">
        <w:rPr>
          <w:color w:val="993366"/>
        </w:rPr>
        <w:t>OPTIONAL</w:t>
      </w:r>
      <w:r w:rsidRPr="00FA0D37">
        <w:t xml:space="preserve">,  </w:t>
      </w:r>
      <w:r w:rsidRPr="00FA0D37">
        <w:rPr>
          <w:color w:val="808080"/>
        </w:rPr>
        <w:t>-- Need R</w:t>
      </w:r>
    </w:p>
    <w:p w14:paraId="58EEC828" w14:textId="77777777" w:rsidR="00867B26" w:rsidRPr="00FA0D37" w:rsidRDefault="00867B26" w:rsidP="00FA0D37">
      <w:pPr>
        <w:pStyle w:val="PL"/>
      </w:pPr>
      <w:r w:rsidRPr="00FA0D37">
        <w:t xml:space="preserve">    ...</w:t>
      </w:r>
    </w:p>
    <w:p w14:paraId="5B817ECC" w14:textId="77777777" w:rsidR="00867B26" w:rsidRPr="00FA0D37" w:rsidRDefault="00867B26" w:rsidP="00FA0D37">
      <w:pPr>
        <w:pStyle w:val="PL"/>
      </w:pPr>
      <w:r w:rsidRPr="00FA0D37">
        <w:t>}</w:t>
      </w:r>
    </w:p>
    <w:p w14:paraId="09DC31C3" w14:textId="77777777" w:rsidR="00425CBF" w:rsidRPr="00FA0D37" w:rsidRDefault="00425CBF" w:rsidP="00FA0D37">
      <w:pPr>
        <w:pStyle w:val="PL"/>
      </w:pPr>
    </w:p>
    <w:p w14:paraId="5F6DC8AD" w14:textId="77777777" w:rsidR="00425CBF" w:rsidRPr="00FA0D37" w:rsidRDefault="00425CBF" w:rsidP="00FA0D37">
      <w:pPr>
        <w:pStyle w:val="PL"/>
      </w:pPr>
      <w:r w:rsidRPr="00FA0D37">
        <w:t xml:space="preserve">NumberOfMsg3-Repetitions-r17::=         </w:t>
      </w:r>
      <w:r w:rsidRPr="00FA0D37">
        <w:rPr>
          <w:color w:val="993366"/>
        </w:rPr>
        <w:t>ENUMERATED</w:t>
      </w:r>
      <w:r w:rsidRPr="00FA0D37">
        <w:t xml:space="preserve"> {n1, n2, n3, n4, n7, n8, n12, n16}</w:t>
      </w:r>
    </w:p>
    <w:p w14:paraId="56301F81" w14:textId="77777777" w:rsidR="0071669F" w:rsidRPr="00FA0D37" w:rsidRDefault="0071669F" w:rsidP="00FA0D37">
      <w:pPr>
        <w:pStyle w:val="PL"/>
      </w:pPr>
    </w:p>
    <w:p w14:paraId="73870A56" w14:textId="77777777" w:rsidR="00394471" w:rsidRPr="00FA0D37" w:rsidRDefault="00394471" w:rsidP="00FA0D37">
      <w:pPr>
        <w:pStyle w:val="PL"/>
        <w:rPr>
          <w:color w:val="808080"/>
        </w:rPr>
      </w:pPr>
      <w:r w:rsidRPr="00FA0D37">
        <w:rPr>
          <w:color w:val="808080"/>
        </w:rPr>
        <w:t>-- TAG-BWP-UPLINKCOMMON-STOP</w:t>
      </w:r>
    </w:p>
    <w:p w14:paraId="1EA475C9" w14:textId="77777777" w:rsidR="00394471" w:rsidRPr="00FA0D37" w:rsidRDefault="00394471" w:rsidP="00FA0D37">
      <w:pPr>
        <w:pStyle w:val="PL"/>
        <w:rPr>
          <w:color w:val="808080"/>
        </w:rPr>
      </w:pPr>
      <w:r w:rsidRPr="00FA0D37">
        <w:rPr>
          <w:color w:val="808080"/>
        </w:rPr>
        <w:t>-- ASN1STOP</w:t>
      </w:r>
    </w:p>
    <w:p w14:paraId="2647734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FA0D37" w:rsidRDefault="00394471" w:rsidP="00964CC4">
            <w:pPr>
              <w:pStyle w:val="TAH"/>
              <w:rPr>
                <w:szCs w:val="22"/>
                <w:lang w:eastAsia="sv-SE"/>
              </w:rPr>
            </w:pPr>
            <w:r w:rsidRPr="00FA0D37">
              <w:rPr>
                <w:i/>
                <w:szCs w:val="22"/>
                <w:lang w:eastAsia="sv-SE"/>
              </w:rPr>
              <w:lastRenderedPageBreak/>
              <w:t xml:space="preserve">BWP-UplinkCommon </w:t>
            </w:r>
            <w:r w:rsidRPr="00FA0D37">
              <w:rPr>
                <w:szCs w:val="22"/>
                <w:lang w:eastAsia="sv-SE"/>
              </w:rPr>
              <w:t>field descriptions</w:t>
            </w:r>
          </w:p>
        </w:tc>
      </w:tr>
      <w:tr w:rsidR="005C7FF4" w:rsidRPr="00FA0D37"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FA0D37" w:rsidRDefault="00276C79" w:rsidP="00D47133">
            <w:pPr>
              <w:pStyle w:val="TAL"/>
              <w:rPr>
                <w:b/>
                <w:bCs/>
                <w:i/>
                <w:iCs/>
                <w:lang w:eastAsia="sv-SE"/>
              </w:rPr>
            </w:pPr>
            <w:r w:rsidRPr="00FA0D37">
              <w:rPr>
                <w:b/>
                <w:bCs/>
                <w:i/>
                <w:iCs/>
                <w:lang w:eastAsia="sv-SE"/>
              </w:rPr>
              <w:t>additionalRACH-Config</w:t>
            </w:r>
            <w:r w:rsidR="0071669F" w:rsidRPr="00FA0D37">
              <w:rPr>
                <w:b/>
                <w:bCs/>
                <w:i/>
                <w:iCs/>
                <w:lang w:eastAsia="sv-SE"/>
              </w:rPr>
              <w:t>List</w:t>
            </w:r>
          </w:p>
          <w:p w14:paraId="4B80EAE3" w14:textId="7340C6FA" w:rsidR="00276C79" w:rsidRPr="00FA0D37" w:rsidRDefault="00276C79" w:rsidP="00F747EB">
            <w:pPr>
              <w:pStyle w:val="TAL"/>
              <w:rPr>
                <w:lang w:eastAsia="sv-SE"/>
              </w:rPr>
            </w:pPr>
            <w:r w:rsidRPr="00FA0D37">
              <w:rPr>
                <w:lang w:eastAsia="sv-SE"/>
              </w:rPr>
              <w:t xml:space="preserve">List of feature or feature combination-specific RACH configurations, i.e. the RACH configurations configured in addition to the one configured by </w:t>
            </w:r>
            <w:r w:rsidRPr="00FA0D37">
              <w:rPr>
                <w:i/>
                <w:lang w:eastAsia="sv-SE"/>
              </w:rPr>
              <w:t>rach-ConfigCommon</w:t>
            </w:r>
            <w:r w:rsidRPr="00FA0D37">
              <w:rPr>
                <w:lang w:eastAsia="sv-SE"/>
              </w:rPr>
              <w:t xml:space="preserve"> and by </w:t>
            </w:r>
            <w:r w:rsidRPr="00FA0D37">
              <w:rPr>
                <w:i/>
                <w:lang w:eastAsia="sv-SE"/>
              </w:rPr>
              <w:t>msgA-ConfigCommon</w:t>
            </w:r>
            <w:r w:rsidRPr="00FA0D37">
              <w:rPr>
                <w:lang w:eastAsia="sv-SE"/>
              </w:rPr>
              <w:t>.</w:t>
            </w:r>
            <w:r w:rsidR="0071669F" w:rsidRPr="00FA0D37">
              <w:rPr>
                <w:lang w:eastAsia="sv-SE"/>
              </w:rPr>
              <w:t xml:space="preserve"> The network associates all possible preambles of an additional RACH configuration to </w:t>
            </w:r>
            <w:r w:rsidR="003B06FB" w:rsidRPr="00FA0D37">
              <w:rPr>
                <w:lang w:eastAsia="sv-SE"/>
              </w:rPr>
              <w:t>one or more</w:t>
            </w:r>
            <w:r w:rsidR="0071669F" w:rsidRPr="00FA0D37">
              <w:rPr>
                <w:lang w:eastAsia="sv-SE"/>
              </w:rPr>
              <w:t xml:space="preserve"> feature</w:t>
            </w:r>
            <w:r w:rsidR="003B06FB" w:rsidRPr="00FA0D37">
              <w:rPr>
                <w:lang w:eastAsia="sv-SE"/>
              </w:rPr>
              <w:t>(s)</w:t>
            </w:r>
            <w:r w:rsidR="0071669F" w:rsidRPr="00FA0D37">
              <w:rPr>
                <w:lang w:eastAsia="sv-SE"/>
              </w:rPr>
              <w:t xml:space="preserve"> or feature combination</w:t>
            </w:r>
            <w:r w:rsidR="003B06FB" w:rsidRPr="00FA0D37">
              <w:rPr>
                <w:lang w:eastAsia="sv-SE"/>
              </w:rPr>
              <w:t>(s)</w:t>
            </w:r>
            <w:r w:rsidR="0071669F" w:rsidRPr="00FA0D37">
              <w:rPr>
                <w:lang w:eastAsia="sv-SE"/>
              </w:rPr>
              <w:t>.</w:t>
            </w:r>
            <w:r w:rsidR="008E6985" w:rsidRPr="00FA0D37">
              <w:rPr>
                <w:lang w:eastAsia="sv-SE"/>
              </w:rPr>
              <w:t xml:space="preserve"> The network does not configure this list to have more than 16 entries.</w:t>
            </w:r>
            <w:r w:rsidR="003B06FB" w:rsidRPr="00FA0D37">
              <w:rPr>
                <w:lang w:eastAsia="sv-SE"/>
              </w:rPr>
              <w:t xml:space="preserve"> </w:t>
            </w:r>
            <w:r w:rsidR="003B06FB" w:rsidRPr="00FA0D37">
              <w:rPr>
                <w:rFonts w:cs="Arial"/>
                <w:lang w:eastAsia="sv-SE"/>
              </w:rPr>
              <w:t xml:space="preserve">If both </w:t>
            </w:r>
            <w:r w:rsidR="003B06FB" w:rsidRPr="00FA0D37">
              <w:rPr>
                <w:rFonts w:cs="Arial"/>
                <w:i/>
                <w:lang w:eastAsia="sv-SE"/>
              </w:rPr>
              <w:t>rach-ConfigCommon</w:t>
            </w:r>
            <w:r w:rsidR="003B06FB" w:rsidRPr="00FA0D37">
              <w:rPr>
                <w:rFonts w:cs="Arial"/>
                <w:lang w:eastAsia="sv-SE"/>
              </w:rPr>
              <w:t xml:space="preserve"> and </w:t>
            </w:r>
            <w:r w:rsidR="003B06FB" w:rsidRPr="00FA0D37">
              <w:rPr>
                <w:rFonts w:cs="Arial"/>
                <w:i/>
                <w:lang w:eastAsia="sv-SE"/>
              </w:rPr>
              <w:t>msgA-ConfigCommon</w:t>
            </w:r>
            <w:r w:rsidR="003B06FB" w:rsidRPr="00FA0D37">
              <w:rPr>
                <w:rFonts w:cs="Arial"/>
                <w:lang w:eastAsia="sv-SE"/>
              </w:rPr>
              <w:t xml:space="preserve"> are configured for a specific </w:t>
            </w:r>
            <w:r w:rsidR="003B06FB" w:rsidRPr="00FA0D37">
              <w:rPr>
                <w:rFonts w:cs="Arial"/>
                <w:i/>
                <w:iCs/>
                <w:lang w:eastAsia="sv-SE"/>
              </w:rPr>
              <w:t>FeatureCombination</w:t>
            </w:r>
            <w:r w:rsidR="003B06FB" w:rsidRPr="00FA0D37">
              <w:rPr>
                <w:rFonts w:cs="Arial"/>
                <w:lang w:eastAsia="sv-SE"/>
              </w:rPr>
              <w:t xml:space="preserve">, the network always provides them in the same </w:t>
            </w:r>
            <w:r w:rsidR="003B06FB" w:rsidRPr="00FA0D37">
              <w:rPr>
                <w:rFonts w:cs="Arial"/>
                <w:i/>
                <w:lang w:eastAsia="sv-SE"/>
              </w:rPr>
              <w:t>additionalRACH-Config</w:t>
            </w:r>
            <w:r w:rsidR="003B06FB" w:rsidRPr="00FA0D37">
              <w:rPr>
                <w:rFonts w:cs="Arial"/>
                <w:lang w:eastAsia="sv-SE"/>
              </w:rPr>
              <w:t>.</w:t>
            </w:r>
          </w:p>
        </w:tc>
      </w:tr>
      <w:tr w:rsidR="005C7FF4" w:rsidRPr="00FA0D37"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EC5164" w:rsidRPr="00FA0D37" w:rsidRDefault="00EC5164" w:rsidP="00771058">
            <w:pPr>
              <w:pStyle w:val="TAL"/>
              <w:rPr>
                <w:b/>
                <w:bCs/>
                <w:i/>
                <w:iCs/>
                <w:szCs w:val="22"/>
                <w:lang w:eastAsia="sv-SE"/>
              </w:rPr>
            </w:pPr>
            <w:r w:rsidRPr="00FA0D37">
              <w:rPr>
                <w:b/>
                <w:bCs/>
                <w:i/>
                <w:iCs/>
                <w:lang w:eastAsia="sv-SE"/>
              </w:rPr>
              <w:t>enableRA-PrioritizationForSlicing</w:t>
            </w:r>
          </w:p>
          <w:p w14:paraId="2EBC408E" w14:textId="4CCE8FB9" w:rsidR="00EC5164" w:rsidRPr="00FA0D37" w:rsidRDefault="00EC5164" w:rsidP="00771058">
            <w:pPr>
              <w:pStyle w:val="TAL"/>
              <w:rPr>
                <w:b/>
                <w:bCs/>
                <w:i/>
                <w:iCs/>
                <w:lang w:eastAsia="sv-SE"/>
              </w:rPr>
            </w:pPr>
            <w:r w:rsidRPr="00FA0D37">
              <w:rPr>
                <w:bCs/>
                <w:szCs w:val="22"/>
                <w:lang w:eastAsia="en-GB"/>
              </w:rPr>
              <w:t xml:space="preserve">Indicates whether or not </w:t>
            </w:r>
            <w:r w:rsidRPr="00FA0D37">
              <w:rPr>
                <w:bCs/>
                <w:iCs/>
                <w:lang w:eastAsia="ko-KR"/>
              </w:rPr>
              <w:t xml:space="preserve">the </w:t>
            </w:r>
            <w:bookmarkStart w:id="915" w:name="OLE_LINK5"/>
            <w:r w:rsidR="0003388D" w:rsidRPr="00FA0D37">
              <w:rPr>
                <w:i/>
              </w:rPr>
              <w:t>ra-PrioritizationForSlicing</w:t>
            </w:r>
            <w:bookmarkEnd w:id="915"/>
            <w:r w:rsidR="0003388D" w:rsidRPr="00FA0D37">
              <w:rPr>
                <w:i/>
              </w:rPr>
              <w:t>/ra-PrioritizationForSlicingTwoStep</w:t>
            </w:r>
            <w:r w:rsidRPr="00FA0D37">
              <w:rPr>
                <w:bCs/>
                <w:iCs/>
                <w:lang w:eastAsia="ko-KR"/>
              </w:rPr>
              <w:t xml:space="preserve"> should override the </w:t>
            </w:r>
            <w:r w:rsidRPr="00FA0D37">
              <w:rPr>
                <w:bCs/>
                <w:i/>
                <w:lang w:eastAsia="ko-KR"/>
              </w:rPr>
              <w:t>ra-PrioritizationForAccessIdentity</w:t>
            </w:r>
            <w:r w:rsidRPr="00FA0D37">
              <w:rPr>
                <w:bCs/>
                <w:iCs/>
                <w:lang w:eastAsia="ko-KR"/>
              </w:rPr>
              <w:t xml:space="preserve">. </w:t>
            </w:r>
            <w:r w:rsidR="0003388D" w:rsidRPr="00FA0D37">
              <w:rPr>
                <w:bCs/>
                <w:iCs/>
                <w:lang w:eastAsia="ko-KR"/>
              </w:rPr>
              <w:t>The field is applicable only when the UE is configured by upper layers with both NSAG and Access Identi</w:t>
            </w:r>
            <w:r w:rsidR="007D3EDC" w:rsidRPr="00FA0D37">
              <w:rPr>
                <w:bCs/>
                <w:iCs/>
                <w:lang w:eastAsia="ko-KR"/>
              </w:rPr>
              <w:t>t</w:t>
            </w:r>
            <w:r w:rsidR="0003388D" w:rsidRPr="00FA0D37">
              <w:rPr>
                <w:bCs/>
                <w:iCs/>
                <w:lang w:eastAsia="ko-KR"/>
              </w:rPr>
              <w:t xml:space="preserve">y 1 or 2. </w:t>
            </w:r>
            <w:r w:rsidRPr="00FA0D37">
              <w:rPr>
                <w:szCs w:val="22"/>
                <w:lang w:eastAsia="sv-SE"/>
              </w:rPr>
              <w:t>If</w:t>
            </w:r>
            <w:r w:rsidRPr="00FA0D37">
              <w:rPr>
                <w:lang w:eastAsia="ko-KR"/>
              </w:rPr>
              <w:t xml:space="preserve"> value </w:t>
            </w:r>
            <w:r w:rsidRPr="00FA0D37">
              <w:rPr>
                <w:i/>
                <w:lang w:eastAsia="ko-KR"/>
              </w:rPr>
              <w:t>TRUE</w:t>
            </w:r>
            <w:r w:rsidRPr="00FA0D37">
              <w:rPr>
                <w:lang w:eastAsia="ko-KR"/>
              </w:rPr>
              <w:t xml:space="preserve"> is configured, the UE should only apply the </w:t>
            </w:r>
            <w:r w:rsidR="0003388D" w:rsidRPr="00FA0D37">
              <w:rPr>
                <w:i/>
              </w:rPr>
              <w:t>ra-PrioritizationForSlicing/ra-PrioritizationForSlicingTwoStep</w:t>
            </w:r>
            <w:r w:rsidRPr="00FA0D37">
              <w:rPr>
                <w:lang w:eastAsia="ko-KR"/>
              </w:rPr>
              <w:t xml:space="preserve">. </w:t>
            </w:r>
            <w:r w:rsidRPr="00FA0D37">
              <w:rPr>
                <w:szCs w:val="22"/>
                <w:lang w:eastAsia="sv-SE"/>
              </w:rPr>
              <w:t>If</w:t>
            </w:r>
            <w:r w:rsidRPr="00FA0D37">
              <w:rPr>
                <w:lang w:eastAsia="ko-KR"/>
              </w:rPr>
              <w:t xml:space="preserve"> value </w:t>
            </w:r>
            <w:r w:rsidRPr="00FA0D37">
              <w:rPr>
                <w:i/>
                <w:lang w:eastAsia="ko-KR"/>
              </w:rPr>
              <w:t xml:space="preserve">FALSE </w:t>
            </w:r>
            <w:r w:rsidRPr="00FA0D37">
              <w:rPr>
                <w:lang w:eastAsia="ko-KR"/>
              </w:rPr>
              <w:t xml:space="preserve">is configured, the UE should only apply </w:t>
            </w:r>
            <w:r w:rsidRPr="00FA0D37">
              <w:rPr>
                <w:bCs/>
                <w:i/>
                <w:lang w:eastAsia="ko-KR"/>
              </w:rPr>
              <w:t>ra-PrioritizationForAccessIdentity</w:t>
            </w:r>
            <w:r w:rsidRPr="00FA0D37">
              <w:rPr>
                <w:bCs/>
                <w:iCs/>
                <w:lang w:eastAsia="ko-KR"/>
              </w:rPr>
              <w:t>.</w:t>
            </w:r>
            <w:r w:rsidR="0003388D" w:rsidRPr="00FA0D37">
              <w:rPr>
                <w:bCs/>
                <w:iCs/>
                <w:lang w:eastAsia="ko-KR"/>
              </w:rPr>
              <w:t xml:space="preserve"> If the field is absent,</w:t>
            </w:r>
            <w:r w:rsidR="007D3EDC" w:rsidRPr="00FA0D37">
              <w:rPr>
                <w:bCs/>
                <w:iCs/>
                <w:lang w:eastAsia="ko-KR"/>
              </w:rPr>
              <w:t xml:space="preserve"> whether to use </w:t>
            </w:r>
            <w:r w:rsidR="007D3EDC" w:rsidRPr="00FA0D37">
              <w:rPr>
                <w:i/>
              </w:rPr>
              <w:t>ra-PrioritizationForSlicing/ra-PrioritizationForSlicingTwoStep</w:t>
            </w:r>
            <w:r w:rsidR="007D3EDC" w:rsidRPr="00FA0D37">
              <w:rPr>
                <w:bCs/>
                <w:iCs/>
                <w:lang w:eastAsia="ko-KR"/>
              </w:rPr>
              <w:t xml:space="preserve"> or </w:t>
            </w:r>
            <w:r w:rsidR="007D3EDC" w:rsidRPr="00FA0D37">
              <w:rPr>
                <w:bCs/>
                <w:i/>
                <w:lang w:eastAsia="ko-KR"/>
              </w:rPr>
              <w:t>ra-PrioritizationForAccessIdentity</w:t>
            </w:r>
            <w:r w:rsidR="0003388D" w:rsidRPr="00FA0D37">
              <w:rPr>
                <w:bCs/>
                <w:iCs/>
                <w:lang w:eastAsia="ko-KR"/>
              </w:rPr>
              <w:t xml:space="preserve"> is up to UE implementation.</w:t>
            </w:r>
          </w:p>
        </w:tc>
      </w:tr>
      <w:tr w:rsidR="005C7FF4" w:rsidRPr="00FA0D37"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A90289" w:rsidRPr="00FA0D37" w:rsidRDefault="00A90289" w:rsidP="00771058">
            <w:pPr>
              <w:pStyle w:val="TAL"/>
              <w:rPr>
                <w:szCs w:val="22"/>
              </w:rPr>
            </w:pPr>
            <w:r w:rsidRPr="00FA0D37">
              <w:rPr>
                <w:b/>
                <w:i/>
                <w:szCs w:val="22"/>
              </w:rPr>
              <w:t>mcs-Msg3-Repetitions</w:t>
            </w:r>
          </w:p>
          <w:p w14:paraId="1A7486F3" w14:textId="2B6C824D" w:rsidR="00A90289" w:rsidRPr="00FA0D37" w:rsidRDefault="00A90289" w:rsidP="00771058">
            <w:pPr>
              <w:pStyle w:val="TAL"/>
              <w:rPr>
                <w:rFonts w:eastAsia="Calibri"/>
                <w:lang w:eastAsia="sv-SE"/>
              </w:rPr>
            </w:pPr>
            <w:r w:rsidRPr="00FA0D37">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w:t>
            </w:r>
            <w:r w:rsidR="00295D02" w:rsidRPr="00FA0D37">
              <w:rPr>
                <w:szCs w:val="22"/>
              </w:rPr>
              <w:t xml:space="preserve">This field is only applicable when the UE selects Random Access resources indicating Msg3 repetition in this BWP. </w:t>
            </w:r>
            <w:r w:rsidRPr="00FA0D37">
              <w:rPr>
                <w:szCs w:val="22"/>
              </w:rPr>
              <w:t xml:space="preserve">If this field is absent when the </w:t>
            </w:r>
            <w:r w:rsidRPr="00FA0D37">
              <w:rPr>
                <w:szCs w:val="22"/>
                <w:lang w:eastAsia="sv-SE"/>
              </w:rPr>
              <w:t xml:space="preserve">set(s) of Random Access resources with MSG3 repetition indication are configured in the </w:t>
            </w:r>
            <w:r w:rsidRPr="00FA0D37">
              <w:rPr>
                <w:rFonts w:eastAsia="Calibri"/>
                <w:i/>
                <w:lang w:eastAsia="sv-SE"/>
              </w:rPr>
              <w:t>BWP-UplinkCommon</w:t>
            </w:r>
            <w:r w:rsidRPr="00FA0D37">
              <w:rPr>
                <w:rFonts w:eastAsia="Calibri"/>
                <w:lang w:eastAsia="sv-SE"/>
              </w:rPr>
              <w:t>, the UE shall apply the values {0, 1, 2, 3, 4, 5, 6, 7} (</w:t>
            </w:r>
            <w:r w:rsidRPr="00FA0D37">
              <w:rPr>
                <w:szCs w:val="22"/>
                <w:lang w:eastAsia="sv-SE"/>
              </w:rPr>
              <w:t>see TS 38.214 [19], clause 6.1.4</w:t>
            </w:r>
            <w:r w:rsidRPr="00FA0D37">
              <w:rPr>
                <w:rFonts w:eastAsia="Calibri"/>
                <w:lang w:eastAsia="sv-SE"/>
              </w:rPr>
              <w:t>).</w:t>
            </w:r>
          </w:p>
        </w:tc>
      </w:tr>
      <w:tr w:rsidR="005C7FF4" w:rsidRPr="00FA0D37"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394471" w:rsidRPr="00FA0D37" w:rsidRDefault="00394471" w:rsidP="00964CC4">
            <w:pPr>
              <w:pStyle w:val="TAL"/>
              <w:rPr>
                <w:szCs w:val="22"/>
              </w:rPr>
            </w:pPr>
            <w:r w:rsidRPr="00FA0D37">
              <w:rPr>
                <w:b/>
                <w:i/>
                <w:szCs w:val="22"/>
              </w:rPr>
              <w:t>msgA-ConfigCommon</w:t>
            </w:r>
          </w:p>
          <w:p w14:paraId="24EC46D6" w14:textId="4FA7E4A4" w:rsidR="00394471" w:rsidRPr="00FA0D37" w:rsidDel="00EA1F7F" w:rsidRDefault="00394471" w:rsidP="00964CC4">
            <w:pPr>
              <w:pStyle w:val="TAL"/>
              <w:rPr>
                <w:b/>
                <w:i/>
                <w:szCs w:val="22"/>
                <w:lang w:eastAsia="sv-SE"/>
              </w:rPr>
            </w:pPr>
            <w:r w:rsidRPr="00FA0D37">
              <w:rPr>
                <w:szCs w:val="22"/>
              </w:rPr>
              <w:t>Configuration of the cell specific PRACH and PUSCH resource parameters for transmission of MsgA in 2-step random access type procedure. The NW can configure</w:t>
            </w:r>
            <w:r w:rsidR="00DE5341" w:rsidRPr="00FA0D37">
              <w:rPr>
                <w:szCs w:val="22"/>
              </w:rPr>
              <w:t xml:space="preserve"> </w:t>
            </w:r>
            <w:r w:rsidRPr="00FA0D37">
              <w:rPr>
                <w:i/>
                <w:iCs/>
                <w:szCs w:val="22"/>
              </w:rPr>
              <w:t>msgA-ConfigCommon</w:t>
            </w:r>
            <w:r w:rsidR="00DE5341" w:rsidRPr="00FA0D37">
              <w:rPr>
                <w:szCs w:val="22"/>
              </w:rPr>
              <w:t xml:space="preserve"> </w:t>
            </w:r>
            <w:r w:rsidRPr="00FA0D37">
              <w:rPr>
                <w:szCs w:val="22"/>
              </w:rPr>
              <w:t xml:space="preserve">only for UL BWPs if the linked DL BWPs (same bwp-Id as UL-BWP) are the initial DL BWPs or DL BWPs containing the SSB associated to the initial </w:t>
            </w:r>
            <w:r w:rsidR="0040224D" w:rsidRPr="00FA0D37">
              <w:rPr>
                <w:szCs w:val="22"/>
              </w:rPr>
              <w:t xml:space="preserve">DL </w:t>
            </w:r>
            <w:r w:rsidRPr="00FA0D37">
              <w:rPr>
                <w:szCs w:val="22"/>
              </w:rPr>
              <w:t>BWP</w:t>
            </w:r>
            <w:r w:rsidR="0040224D" w:rsidRPr="00FA0D37">
              <w:rPr>
                <w:szCs w:val="22"/>
                <w:lang w:eastAsia="sv-SE"/>
              </w:rPr>
              <w:t xml:space="preserve"> or for RedCap UEs DL BWPs associated with </w:t>
            </w:r>
            <w:r w:rsidR="0040224D" w:rsidRPr="00FA0D37">
              <w:rPr>
                <w:i/>
                <w:iCs/>
                <w:szCs w:val="22"/>
                <w:lang w:eastAsia="sv-SE"/>
              </w:rPr>
              <w:t>nonCellDefiningSSB</w:t>
            </w:r>
            <w:r w:rsidR="0040224D" w:rsidRPr="00FA0D37">
              <w:rPr>
                <w:szCs w:val="22"/>
                <w:lang w:eastAsia="sv-SE"/>
              </w:rPr>
              <w:t xml:space="preserve"> or the RedCap-specific initial downlink BWP</w:t>
            </w:r>
            <w:r w:rsidR="00830A8B" w:rsidRPr="00FA0D37">
              <w:rPr>
                <w:szCs w:val="22"/>
              </w:rPr>
              <w:t>.</w:t>
            </w:r>
          </w:p>
        </w:tc>
      </w:tr>
      <w:tr w:rsidR="005C7FF4" w:rsidRPr="00FA0D37"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A90289" w:rsidRPr="00FA0D37" w:rsidRDefault="00A90289" w:rsidP="00771058">
            <w:pPr>
              <w:pStyle w:val="TAL"/>
              <w:rPr>
                <w:szCs w:val="22"/>
              </w:rPr>
            </w:pPr>
            <w:r w:rsidRPr="00FA0D37">
              <w:rPr>
                <w:b/>
                <w:i/>
                <w:szCs w:val="22"/>
              </w:rPr>
              <w:t>numberOfMsg3-RepetitionsList</w:t>
            </w:r>
          </w:p>
          <w:p w14:paraId="0DFEF84E" w14:textId="7CCF927E" w:rsidR="00A90289" w:rsidRPr="00FA0D37" w:rsidRDefault="00A90289" w:rsidP="00771058">
            <w:pPr>
              <w:pStyle w:val="TAL"/>
              <w:rPr>
                <w:b/>
                <w:i/>
                <w:szCs w:val="22"/>
              </w:rPr>
            </w:pPr>
            <w:r w:rsidRPr="00FA0D37">
              <w:rPr>
                <w:szCs w:val="22"/>
              </w:rPr>
              <w:t xml:space="preserve">The number of repetitions for PUSCH transmission scheduled by RAR UL grant and DCI format 0_0 with CRC scrambled by TC-RNTI. </w:t>
            </w:r>
            <w:r w:rsidR="00295D02" w:rsidRPr="00FA0D37">
              <w:rPr>
                <w:szCs w:val="22"/>
              </w:rPr>
              <w:t xml:space="preserve">This field is only applicable when the UE selects Random Access resources indicating Msg3 repetition in this BWP. </w:t>
            </w:r>
            <w:r w:rsidRPr="00FA0D37">
              <w:rPr>
                <w:szCs w:val="22"/>
              </w:rPr>
              <w:t xml:space="preserve">If this field is absent when the </w:t>
            </w:r>
            <w:r w:rsidRPr="00FA0D37">
              <w:rPr>
                <w:szCs w:val="22"/>
                <w:lang w:eastAsia="sv-SE"/>
              </w:rPr>
              <w:t xml:space="preserve">set(s) of Random Access resources with MSG3 repetition indication are configured in the </w:t>
            </w:r>
            <w:r w:rsidRPr="00FA0D37">
              <w:rPr>
                <w:rFonts w:eastAsia="Calibri"/>
                <w:i/>
                <w:lang w:eastAsia="sv-SE"/>
              </w:rPr>
              <w:t>BWP-UplinkCommon</w:t>
            </w:r>
            <w:r w:rsidRPr="00FA0D37">
              <w:rPr>
                <w:rFonts w:eastAsia="Calibri"/>
                <w:lang w:eastAsia="sv-SE"/>
              </w:rPr>
              <w:t>, the UE shall apply the values {n1, n2, n3, n4} (</w:t>
            </w:r>
            <w:r w:rsidRPr="00FA0D37">
              <w:rPr>
                <w:szCs w:val="22"/>
                <w:lang w:eastAsia="sv-SE"/>
              </w:rPr>
              <w:t>see TS 38.214 [19], clause 6.1.2.1</w:t>
            </w:r>
            <w:r w:rsidRPr="00FA0D37">
              <w:rPr>
                <w:rFonts w:eastAsia="Calibri"/>
                <w:lang w:eastAsia="sv-SE"/>
              </w:rPr>
              <w:t>).</w:t>
            </w:r>
          </w:p>
        </w:tc>
      </w:tr>
      <w:tr w:rsidR="005C7FF4" w:rsidRPr="00FA0D37"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394471" w:rsidRPr="00FA0D37" w:rsidRDefault="00394471" w:rsidP="00964CC4">
            <w:pPr>
              <w:pStyle w:val="TAL"/>
              <w:rPr>
                <w:szCs w:val="22"/>
                <w:lang w:eastAsia="sv-SE"/>
              </w:rPr>
            </w:pPr>
            <w:r w:rsidRPr="00FA0D37">
              <w:rPr>
                <w:b/>
                <w:i/>
                <w:szCs w:val="22"/>
                <w:lang w:eastAsia="sv-SE"/>
              </w:rPr>
              <w:t>pucch-ConfigCommon</w:t>
            </w:r>
          </w:p>
          <w:p w14:paraId="69049F38" w14:textId="77777777" w:rsidR="00394471" w:rsidRPr="00FA0D37" w:rsidRDefault="00394471" w:rsidP="00964CC4">
            <w:pPr>
              <w:pStyle w:val="TAL"/>
              <w:rPr>
                <w:szCs w:val="22"/>
                <w:lang w:eastAsia="sv-SE"/>
              </w:rPr>
            </w:pPr>
            <w:r w:rsidRPr="00FA0D37">
              <w:rPr>
                <w:szCs w:val="22"/>
                <w:lang w:eastAsia="sv-SE"/>
              </w:rPr>
              <w:t xml:space="preserve">Cell specific parameters for the PUCCH of this BWP. </w:t>
            </w:r>
          </w:p>
        </w:tc>
      </w:tr>
      <w:tr w:rsidR="005C7FF4" w:rsidRPr="00FA0D37"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394471" w:rsidRPr="00FA0D37" w:rsidRDefault="00394471" w:rsidP="00964CC4">
            <w:pPr>
              <w:pStyle w:val="TAL"/>
              <w:rPr>
                <w:szCs w:val="22"/>
                <w:lang w:eastAsia="sv-SE"/>
              </w:rPr>
            </w:pPr>
            <w:r w:rsidRPr="00FA0D37">
              <w:rPr>
                <w:b/>
                <w:i/>
                <w:szCs w:val="22"/>
                <w:lang w:eastAsia="sv-SE"/>
              </w:rPr>
              <w:t>pusch-ConfigCommon</w:t>
            </w:r>
          </w:p>
          <w:p w14:paraId="0D9981AF" w14:textId="77777777" w:rsidR="00394471" w:rsidRPr="00FA0D37" w:rsidRDefault="00394471" w:rsidP="00964CC4">
            <w:pPr>
              <w:pStyle w:val="TAL"/>
              <w:rPr>
                <w:szCs w:val="22"/>
                <w:lang w:eastAsia="sv-SE"/>
              </w:rPr>
            </w:pPr>
            <w:r w:rsidRPr="00FA0D37">
              <w:rPr>
                <w:szCs w:val="22"/>
                <w:lang w:eastAsia="sv-SE"/>
              </w:rPr>
              <w:t>Cell specific parameters for the PUSCH of this BWP.</w:t>
            </w:r>
          </w:p>
        </w:tc>
      </w:tr>
      <w:tr w:rsidR="005C7FF4" w:rsidRPr="00FA0D37"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394471" w:rsidRPr="00FA0D37" w:rsidRDefault="00394471" w:rsidP="00964CC4">
            <w:pPr>
              <w:pStyle w:val="TAL"/>
              <w:rPr>
                <w:szCs w:val="22"/>
                <w:lang w:eastAsia="sv-SE"/>
              </w:rPr>
            </w:pPr>
            <w:r w:rsidRPr="00FA0D37">
              <w:rPr>
                <w:b/>
                <w:i/>
                <w:szCs w:val="22"/>
                <w:lang w:eastAsia="sv-SE"/>
              </w:rPr>
              <w:t>rach-ConfigCommon</w:t>
            </w:r>
          </w:p>
          <w:p w14:paraId="0D9C7772" w14:textId="4AFCD913" w:rsidR="00394471" w:rsidRPr="00FA0D37" w:rsidRDefault="00394471" w:rsidP="00964CC4">
            <w:pPr>
              <w:pStyle w:val="TAL"/>
              <w:rPr>
                <w:szCs w:val="22"/>
                <w:lang w:eastAsia="sv-SE"/>
              </w:rPr>
            </w:pPr>
            <w:r w:rsidRPr="00FA0D37">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A0D37">
              <w:rPr>
                <w:i/>
                <w:lang w:eastAsia="sv-SE"/>
              </w:rPr>
              <w:t>RACH-ConfigCommon</w:t>
            </w:r>
            <w:r w:rsidRPr="00FA0D37">
              <w:rPr>
                <w:szCs w:val="22"/>
                <w:lang w:eastAsia="sv-SE"/>
              </w:rPr>
              <w:t xml:space="preserve">) only for UL BWPs if the linked DL BWPs (same </w:t>
            </w:r>
            <w:r w:rsidRPr="00FA0D37">
              <w:rPr>
                <w:i/>
                <w:lang w:eastAsia="sv-SE"/>
              </w:rPr>
              <w:t>bwp-Id</w:t>
            </w:r>
            <w:r w:rsidRPr="00FA0D37">
              <w:rPr>
                <w:szCs w:val="22"/>
                <w:lang w:eastAsia="sv-SE"/>
              </w:rPr>
              <w:t xml:space="preserve"> as UL-BWP) are the initial DL BWPs or DL BWPs containing the SSB associated to the initial DL BWP</w:t>
            </w:r>
            <w:r w:rsidR="00AE678F" w:rsidRPr="00FA0D37">
              <w:rPr>
                <w:szCs w:val="22"/>
                <w:lang w:eastAsia="sv-SE"/>
              </w:rPr>
              <w:t xml:space="preserve"> or for RedCap UEs DL BWPs associated with </w:t>
            </w:r>
            <w:r w:rsidR="00AE678F" w:rsidRPr="00FA0D37">
              <w:rPr>
                <w:i/>
                <w:iCs/>
                <w:szCs w:val="22"/>
                <w:lang w:eastAsia="sv-SE"/>
              </w:rPr>
              <w:t>nonCellDefiningSSB</w:t>
            </w:r>
            <w:r w:rsidR="004A5E25" w:rsidRPr="00FA0D37">
              <w:rPr>
                <w:szCs w:val="22"/>
                <w:lang w:eastAsia="sv-SE"/>
              </w:rPr>
              <w:t xml:space="preserve"> or the RedCap-specific initial downlink BWP</w:t>
            </w:r>
            <w:r w:rsidRPr="00FA0D37">
              <w:rPr>
                <w:szCs w:val="22"/>
                <w:lang w:eastAsia="sv-SE"/>
              </w:rPr>
              <w:t xml:space="preserve">. The network configures </w:t>
            </w:r>
            <w:r w:rsidRPr="00FA0D37">
              <w:rPr>
                <w:i/>
                <w:lang w:eastAsia="sv-SE"/>
              </w:rPr>
              <w:t>rach-ConfigCommon</w:t>
            </w:r>
            <w:r w:rsidRPr="00FA0D37">
              <w:rPr>
                <w:szCs w:val="22"/>
                <w:lang w:eastAsia="sv-SE"/>
              </w:rPr>
              <w:t xml:space="preserve">, whenever it configures contention free random access (for reconfiguration with sync or for beam failure recovery). </w:t>
            </w:r>
            <w:r w:rsidR="00830A8B" w:rsidRPr="00FA0D37">
              <w:rPr>
                <w:szCs w:val="22"/>
                <w:lang w:eastAsia="sv-SE"/>
              </w:rPr>
              <w:t xml:space="preserve">For RedCap-specific initial uplink BWP, </w:t>
            </w:r>
            <w:r w:rsidR="00830A8B" w:rsidRPr="00FA0D37">
              <w:rPr>
                <w:i/>
                <w:szCs w:val="22"/>
                <w:lang w:eastAsia="sv-SE"/>
              </w:rPr>
              <w:t>rach-ConfigCommon</w:t>
            </w:r>
            <w:r w:rsidR="00830A8B" w:rsidRPr="00FA0D37">
              <w:rPr>
                <w:szCs w:val="22"/>
                <w:lang w:eastAsia="sv-SE"/>
              </w:rPr>
              <w:t xml:space="preserve"> </w:t>
            </w:r>
            <w:r w:rsidR="00830A8B" w:rsidRPr="00FA0D37">
              <w:rPr>
                <w:szCs w:val="22"/>
                <w:lang w:eastAsia="zh-CN"/>
              </w:rPr>
              <w:t>is always</w:t>
            </w:r>
            <w:r w:rsidR="00830A8B" w:rsidRPr="00FA0D37">
              <w:rPr>
                <w:szCs w:val="22"/>
                <w:lang w:eastAsia="sv-SE"/>
              </w:rPr>
              <w:t xml:space="preserve"> configured when </w:t>
            </w:r>
            <w:r w:rsidR="00830A8B" w:rsidRPr="00FA0D37">
              <w:rPr>
                <w:i/>
                <w:iCs/>
                <w:szCs w:val="22"/>
                <w:lang w:eastAsia="sv-SE"/>
              </w:rPr>
              <w:t>msgA-ConfigCommon</w:t>
            </w:r>
            <w:r w:rsidR="00830A8B" w:rsidRPr="00FA0D37">
              <w:rPr>
                <w:szCs w:val="22"/>
                <w:lang w:eastAsia="sv-SE"/>
              </w:rPr>
              <w:t xml:space="preserve"> is configured in this BWP.</w:t>
            </w:r>
          </w:p>
        </w:tc>
      </w:tr>
      <w:tr w:rsidR="005C7FF4" w:rsidRPr="00FA0D37"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394471" w:rsidRPr="00FA0D37" w:rsidRDefault="00394471" w:rsidP="00964CC4">
            <w:pPr>
              <w:pStyle w:val="TAL"/>
              <w:rPr>
                <w:szCs w:val="22"/>
                <w:lang w:eastAsia="sv-SE"/>
              </w:rPr>
            </w:pPr>
            <w:r w:rsidRPr="00FA0D37">
              <w:rPr>
                <w:b/>
                <w:i/>
                <w:szCs w:val="22"/>
                <w:lang w:eastAsia="sv-SE"/>
              </w:rPr>
              <w:t>rach-ConfigCommonIAB</w:t>
            </w:r>
          </w:p>
          <w:p w14:paraId="6D6670C2" w14:textId="77777777" w:rsidR="00394471" w:rsidRPr="00FA0D37" w:rsidRDefault="00394471" w:rsidP="00964CC4">
            <w:pPr>
              <w:pStyle w:val="TAL"/>
              <w:rPr>
                <w:b/>
                <w:i/>
                <w:szCs w:val="22"/>
                <w:lang w:eastAsia="sv-SE"/>
              </w:rPr>
            </w:pPr>
            <w:r w:rsidRPr="00FA0D37">
              <w:rPr>
                <w:szCs w:val="22"/>
                <w:lang w:eastAsia="sv-SE"/>
              </w:rPr>
              <w:t>Configuration of cell specific random access parameters for the IAB-MT.</w:t>
            </w:r>
            <w:r w:rsidRPr="00FA0D37">
              <w:rPr>
                <w:bCs/>
              </w:rPr>
              <w:t xml:space="preserve"> The IAB specific IAB RACH configuration is used by IAB-MT, if configured.</w:t>
            </w:r>
          </w:p>
        </w:tc>
      </w:tr>
      <w:tr w:rsidR="005C7FF4" w:rsidRPr="00FA0D37"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71669F" w:rsidRPr="00FA0D37" w:rsidRDefault="0071669F" w:rsidP="0071565C">
            <w:pPr>
              <w:pStyle w:val="TAL"/>
              <w:rPr>
                <w:b/>
                <w:i/>
                <w:szCs w:val="22"/>
                <w:lang w:eastAsia="sv-SE"/>
              </w:rPr>
            </w:pPr>
            <w:r w:rsidRPr="00FA0D37">
              <w:rPr>
                <w:b/>
                <w:i/>
                <w:szCs w:val="22"/>
                <w:lang w:eastAsia="sv-SE"/>
              </w:rPr>
              <w:t>rsrp-ThresholdMsg3</w:t>
            </w:r>
          </w:p>
          <w:p w14:paraId="5F51B099" w14:textId="5C793D99" w:rsidR="0071669F" w:rsidRPr="00FA0D37" w:rsidRDefault="0071669F" w:rsidP="0071565C">
            <w:pPr>
              <w:pStyle w:val="TAL"/>
              <w:rPr>
                <w:lang w:eastAsia="sv-SE"/>
              </w:rPr>
            </w:pPr>
            <w:r w:rsidRPr="00FA0D37">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394471" w:rsidRPr="00FA0D37"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394471" w:rsidRPr="00FA0D37" w:rsidRDefault="00394471" w:rsidP="00964CC4">
            <w:pPr>
              <w:pStyle w:val="TAL"/>
              <w:rPr>
                <w:b/>
                <w:bCs/>
                <w:i/>
                <w:iCs/>
                <w:szCs w:val="22"/>
                <w:lang w:eastAsia="sv-SE"/>
              </w:rPr>
            </w:pPr>
            <w:r w:rsidRPr="00FA0D37">
              <w:rPr>
                <w:b/>
                <w:bCs/>
                <w:i/>
                <w:iCs/>
                <w:lang w:eastAsia="sv-SE"/>
              </w:rPr>
              <w:t>useInterlacePUCCH-PUSCH</w:t>
            </w:r>
          </w:p>
          <w:p w14:paraId="2612938A" w14:textId="20E3E2BD" w:rsidR="00394471" w:rsidRPr="00FA0D37" w:rsidRDefault="00394471" w:rsidP="00964CC4">
            <w:pPr>
              <w:pStyle w:val="TAL"/>
              <w:rPr>
                <w:b/>
                <w:i/>
                <w:szCs w:val="22"/>
                <w:lang w:eastAsia="sv-SE"/>
              </w:rPr>
            </w:pPr>
            <w:r w:rsidRPr="00FA0D37">
              <w:rPr>
                <w:szCs w:val="22"/>
                <w:lang w:eastAsia="sv-SE"/>
              </w:rPr>
              <w:t xml:space="preserve">If the field is present, the UE uses uplink frequency domain resource allocation Type 2 for cell-specific PUSCH, e.g., PUSCH scheduled by RAR UL grant (see </w:t>
            </w:r>
            <w:r w:rsidR="003A2D9D" w:rsidRPr="00FA0D37">
              <w:rPr>
                <w:szCs w:val="22"/>
                <w:lang w:eastAsia="sv-SE"/>
              </w:rPr>
              <w:t xml:space="preserve">TS </w:t>
            </w:r>
            <w:r w:rsidRPr="00FA0D37">
              <w:rPr>
                <w:szCs w:val="22"/>
                <w:lang w:eastAsia="sv-SE"/>
              </w:rPr>
              <w:t xml:space="preserve">38.213 </w:t>
            </w:r>
            <w:r w:rsidR="003A2D9D" w:rsidRPr="00FA0D37">
              <w:rPr>
                <w:szCs w:val="22"/>
                <w:lang w:eastAsia="sv-SE"/>
              </w:rPr>
              <w:t xml:space="preserve">[13] </w:t>
            </w:r>
            <w:r w:rsidRPr="00FA0D37">
              <w:rPr>
                <w:szCs w:val="22"/>
                <w:lang w:eastAsia="sv-SE"/>
              </w:rPr>
              <w:t xml:space="preserve">clause 8.3 and </w:t>
            </w:r>
            <w:r w:rsidR="003A2D9D" w:rsidRPr="00FA0D37">
              <w:rPr>
                <w:szCs w:val="22"/>
                <w:lang w:eastAsia="sv-SE"/>
              </w:rPr>
              <w:t xml:space="preserve">TS </w:t>
            </w:r>
            <w:r w:rsidRPr="00FA0D37">
              <w:rPr>
                <w:szCs w:val="22"/>
                <w:lang w:eastAsia="sv-SE"/>
              </w:rPr>
              <w:t xml:space="preserve">38.214 </w:t>
            </w:r>
            <w:r w:rsidR="003A2D9D" w:rsidRPr="00FA0D37">
              <w:rPr>
                <w:szCs w:val="22"/>
                <w:lang w:eastAsia="sv-SE"/>
              </w:rPr>
              <w:t xml:space="preserve">[19], </w:t>
            </w:r>
            <w:r w:rsidRPr="00FA0D37">
              <w:rPr>
                <w:szCs w:val="22"/>
                <w:lang w:eastAsia="sv-SE"/>
              </w:rPr>
              <w:t>clause 6.1.2.2) and uses interlaced PUCCH Format 0 and 1 for cell-specific PUCCH (see TS 38.213 [13], clause 9.2.1).</w:t>
            </w:r>
          </w:p>
        </w:tc>
      </w:tr>
    </w:tbl>
    <w:p w14:paraId="37EB5F1D"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5C7FF4" w:rsidRPr="00FA0D37"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FA0D37" w:rsidRDefault="00394471" w:rsidP="00964CC4">
            <w:pPr>
              <w:pStyle w:val="TAH"/>
              <w:rPr>
                <w:rFonts w:eastAsia="Calibri"/>
                <w:lang w:eastAsia="sv-SE"/>
              </w:rPr>
            </w:pPr>
            <w:r w:rsidRPr="00FA0D37">
              <w:rPr>
                <w:rFonts w:eastAsia="Calibri"/>
                <w:lang w:eastAsia="sv-SE"/>
              </w:rPr>
              <w:lastRenderedPageBreak/>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FA0D37" w:rsidRDefault="00394471" w:rsidP="00964CC4">
            <w:pPr>
              <w:pStyle w:val="TAH"/>
              <w:rPr>
                <w:rFonts w:eastAsia="Calibri"/>
                <w:lang w:eastAsia="sv-SE"/>
              </w:rPr>
            </w:pPr>
            <w:r w:rsidRPr="00FA0D37">
              <w:rPr>
                <w:rFonts w:eastAsia="Calibri"/>
                <w:lang w:eastAsia="sv-SE"/>
              </w:rPr>
              <w:t>Explanation</w:t>
            </w:r>
          </w:p>
        </w:tc>
      </w:tr>
      <w:tr w:rsidR="005C7FF4" w:rsidRPr="00FA0D37"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FA0D37" w:rsidRDefault="00A90289" w:rsidP="00771058">
            <w:pPr>
              <w:pStyle w:val="TAL"/>
              <w:rPr>
                <w:i/>
              </w:rPr>
            </w:pPr>
            <w:r w:rsidRPr="00FA0D37">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FA0D37" w:rsidRDefault="00A90289" w:rsidP="00771058">
            <w:pPr>
              <w:pStyle w:val="TAL"/>
              <w:rPr>
                <w:rFonts w:eastAsia="等线"/>
                <w:lang w:eastAsia="zh-CN"/>
              </w:rPr>
            </w:pPr>
            <w:r w:rsidRPr="00FA0D37">
              <w:rPr>
                <w:rFonts w:eastAsia="等线"/>
                <w:lang w:eastAsia="zh-CN"/>
              </w:rPr>
              <w:t>This field is optional</w:t>
            </w:r>
            <w:r w:rsidR="003A2D9D" w:rsidRPr="00FA0D37">
              <w:rPr>
                <w:rFonts w:eastAsia="等线"/>
                <w:lang w:eastAsia="zh-CN"/>
              </w:rPr>
              <w:t>ly</w:t>
            </w:r>
            <w:r w:rsidRPr="00FA0D37">
              <w:rPr>
                <w:rFonts w:eastAsia="等线"/>
                <w:lang w:eastAsia="zh-CN"/>
              </w:rPr>
              <w:t xml:space="preserve"> present, Need S, if the </w:t>
            </w:r>
            <w:r w:rsidRPr="00FA0D37">
              <w:rPr>
                <w:szCs w:val="22"/>
                <w:lang w:eastAsia="sv-SE"/>
              </w:rPr>
              <w:t xml:space="preserve">set(s) of Random Access resources with MSG3 repetition indication are configured in the </w:t>
            </w:r>
            <w:r w:rsidRPr="00FA0D37">
              <w:rPr>
                <w:rFonts w:eastAsia="Calibri"/>
                <w:i/>
                <w:lang w:eastAsia="sv-SE"/>
              </w:rPr>
              <w:t>BWP-UplinkCommon</w:t>
            </w:r>
            <w:r w:rsidRPr="00FA0D37">
              <w:rPr>
                <w:szCs w:val="22"/>
                <w:lang w:eastAsia="sv-SE"/>
              </w:rPr>
              <w:t>. It is absent otherwise.</w:t>
            </w:r>
          </w:p>
        </w:tc>
      </w:tr>
      <w:tr w:rsidR="005C7FF4" w:rsidRPr="00FA0D37"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FA0D37" w:rsidRDefault="00EC5164" w:rsidP="00771058">
            <w:pPr>
              <w:pStyle w:val="TAL"/>
              <w:rPr>
                <w:rFonts w:eastAsia="Calibri"/>
                <w:i/>
                <w:lang w:eastAsia="sv-SE"/>
              </w:rPr>
            </w:pPr>
            <w:r w:rsidRPr="00FA0D37">
              <w:rPr>
                <w:i/>
              </w:rPr>
              <w:t>RA</w:t>
            </w:r>
            <w:r w:rsidR="007D3EDC" w:rsidRPr="00FA0D37">
              <w:rPr>
                <w:i/>
              </w:rPr>
              <w:t>-</w:t>
            </w:r>
            <w:r w:rsidRPr="00FA0D37">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FA0D37" w:rsidRDefault="00EC5164" w:rsidP="00771058">
            <w:pPr>
              <w:pStyle w:val="TAL"/>
              <w:rPr>
                <w:rFonts w:eastAsia="Calibri"/>
                <w:lang w:eastAsia="sv-SE"/>
              </w:rPr>
            </w:pPr>
            <w:r w:rsidRPr="00FA0D37">
              <w:rPr>
                <w:rFonts w:eastAsia="等线"/>
                <w:lang w:eastAsia="zh-CN"/>
              </w:rPr>
              <w:t>The field is optionally present</w:t>
            </w:r>
            <w:r w:rsidR="007D3EDC" w:rsidRPr="00FA0D37">
              <w:rPr>
                <w:rFonts w:eastAsia="等线"/>
                <w:lang w:eastAsia="zh-CN"/>
              </w:rPr>
              <w:t xml:space="preserve"> in </w:t>
            </w:r>
            <w:r w:rsidR="007D3EDC" w:rsidRPr="00FA0D37">
              <w:rPr>
                <w:rFonts w:eastAsia="等线"/>
                <w:i/>
                <w:iCs/>
                <w:lang w:eastAsia="zh-CN"/>
              </w:rPr>
              <w:t>SIB1</w:t>
            </w:r>
            <w:r w:rsidRPr="00FA0D37">
              <w:rPr>
                <w:rFonts w:eastAsia="等线"/>
                <w:lang w:eastAsia="zh-CN"/>
              </w:rPr>
              <w:t xml:space="preserve">, Need </w:t>
            </w:r>
            <w:r w:rsidR="0003388D" w:rsidRPr="00FA0D37">
              <w:rPr>
                <w:rFonts w:eastAsia="等线"/>
                <w:lang w:eastAsia="zh-CN"/>
              </w:rPr>
              <w:t>R</w:t>
            </w:r>
            <w:r w:rsidRPr="00FA0D37">
              <w:rPr>
                <w:rFonts w:eastAsia="等线"/>
                <w:lang w:eastAsia="zh-CN"/>
              </w:rPr>
              <w:t xml:space="preserve">, if both parameters </w:t>
            </w:r>
            <w:r w:rsidRPr="00FA0D37">
              <w:rPr>
                <w:rFonts w:eastAsia="等线"/>
                <w:i/>
                <w:iCs/>
                <w:lang w:eastAsia="zh-CN"/>
              </w:rPr>
              <w:t>ra-PrioritizationForAccessIdentity</w:t>
            </w:r>
            <w:r w:rsidRPr="00FA0D37">
              <w:rPr>
                <w:rFonts w:eastAsia="等线"/>
                <w:lang w:eastAsia="zh-CN"/>
              </w:rPr>
              <w:t xml:space="preserve"> and </w:t>
            </w:r>
            <w:r w:rsidRPr="00FA0D37">
              <w:rPr>
                <w:bCs/>
                <w:iCs/>
                <w:lang w:eastAsia="ko-KR"/>
              </w:rPr>
              <w:t xml:space="preserve">the </w:t>
            </w:r>
            <w:r w:rsidR="0003388D" w:rsidRPr="00FA0D37">
              <w:rPr>
                <w:i/>
              </w:rPr>
              <w:t>ra-PrioritizationForSlicing/ra-PrioritizationForSlicingTwoStep</w:t>
            </w:r>
            <w:r w:rsidR="0003388D" w:rsidRPr="00FA0D37" w:rsidDel="0003388D">
              <w:rPr>
                <w:bCs/>
                <w:iCs/>
                <w:lang w:eastAsia="ko-KR"/>
              </w:rPr>
              <w:t xml:space="preserve"> </w:t>
            </w:r>
            <w:r w:rsidRPr="00FA0D37">
              <w:rPr>
                <w:rFonts w:eastAsia="等线"/>
                <w:lang w:eastAsia="zh-CN"/>
              </w:rPr>
              <w:t xml:space="preserve">are </w:t>
            </w:r>
            <w:r w:rsidR="007D3EDC" w:rsidRPr="00FA0D37">
              <w:rPr>
                <w:rFonts w:eastAsia="等线"/>
                <w:lang w:eastAsia="zh-CN"/>
              </w:rPr>
              <w:t xml:space="preserve">present in </w:t>
            </w:r>
            <w:r w:rsidR="007D3EDC" w:rsidRPr="00FA0D37">
              <w:rPr>
                <w:rFonts w:eastAsia="等线"/>
                <w:i/>
                <w:iCs/>
                <w:lang w:eastAsia="zh-CN"/>
              </w:rPr>
              <w:t>SIB1</w:t>
            </w:r>
            <w:r w:rsidRPr="00FA0D37">
              <w:rPr>
                <w:rFonts w:eastAsia="等线"/>
                <w:lang w:eastAsia="zh-CN"/>
              </w:rPr>
              <w:t>. It is absent otherwise.</w:t>
            </w:r>
          </w:p>
        </w:tc>
      </w:tr>
      <w:tr w:rsidR="00F747EB" w:rsidRPr="00FA0D37"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FA0D37" w:rsidRDefault="00394471" w:rsidP="00964CC4">
            <w:pPr>
              <w:pStyle w:val="TAL"/>
              <w:rPr>
                <w:rFonts w:eastAsia="Calibri"/>
                <w:i/>
                <w:lang w:eastAsia="sv-SE"/>
              </w:rPr>
            </w:pPr>
            <w:r w:rsidRPr="00FA0D37">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FA0D37" w:rsidRDefault="00394471" w:rsidP="00964CC4">
            <w:pPr>
              <w:pStyle w:val="TAL"/>
              <w:rPr>
                <w:rFonts w:eastAsia="Calibri"/>
                <w:lang w:eastAsia="sv-SE"/>
              </w:rPr>
            </w:pPr>
            <w:r w:rsidRPr="00FA0D37">
              <w:rPr>
                <w:rFonts w:eastAsia="Calibri"/>
                <w:lang w:eastAsia="sv-SE"/>
              </w:rPr>
              <w:t xml:space="preserve">The field is optionally present, Need M, in the </w:t>
            </w:r>
            <w:r w:rsidRPr="00FA0D37">
              <w:rPr>
                <w:rFonts w:eastAsia="Calibri"/>
                <w:i/>
                <w:lang w:eastAsia="sv-SE"/>
              </w:rPr>
              <w:t>BWP-UplinkCommon</w:t>
            </w:r>
            <w:r w:rsidRPr="00FA0D37">
              <w:rPr>
                <w:rFonts w:eastAsia="Calibri"/>
                <w:lang w:eastAsia="sv-SE"/>
              </w:rPr>
              <w:t xml:space="preserve"> of an SpCell. It is absent otherwise.</w:t>
            </w:r>
          </w:p>
        </w:tc>
      </w:tr>
    </w:tbl>
    <w:p w14:paraId="412DADF0" w14:textId="77777777" w:rsidR="00394471" w:rsidRPr="00FA0D37" w:rsidRDefault="00394471" w:rsidP="00394471"/>
    <w:p w14:paraId="1076BA97" w14:textId="77777777" w:rsidR="00394471" w:rsidRPr="00FA0D37" w:rsidRDefault="00394471" w:rsidP="00394471">
      <w:pPr>
        <w:pStyle w:val="4"/>
      </w:pPr>
      <w:bookmarkStart w:id="916" w:name="_Toc60777183"/>
      <w:bookmarkStart w:id="917" w:name="_Toc146781228"/>
      <w:r w:rsidRPr="00FA0D37">
        <w:t>–</w:t>
      </w:r>
      <w:r w:rsidRPr="00FA0D37">
        <w:tab/>
      </w:r>
      <w:r w:rsidRPr="00FA0D37">
        <w:rPr>
          <w:i/>
        </w:rPr>
        <w:t>BWP-UplinkDedicated</w:t>
      </w:r>
      <w:bookmarkEnd w:id="916"/>
      <w:bookmarkEnd w:id="917"/>
    </w:p>
    <w:p w14:paraId="35E0E3A2" w14:textId="77777777" w:rsidR="00394471" w:rsidRPr="00FA0D37" w:rsidRDefault="00394471" w:rsidP="00394471">
      <w:r w:rsidRPr="00FA0D37">
        <w:t xml:space="preserve">The IE </w:t>
      </w:r>
      <w:r w:rsidRPr="00FA0D37">
        <w:rPr>
          <w:i/>
        </w:rPr>
        <w:t>BWP-UplinkDedicated</w:t>
      </w:r>
      <w:r w:rsidRPr="00FA0D37">
        <w:t xml:space="preserve"> is used to configure the dedicated (UE specific) parameters of an uplink BWP.</w:t>
      </w:r>
    </w:p>
    <w:p w14:paraId="0F89A136" w14:textId="77777777" w:rsidR="00394471" w:rsidRPr="00FA0D37" w:rsidRDefault="00394471" w:rsidP="00394471">
      <w:pPr>
        <w:pStyle w:val="TH"/>
      </w:pPr>
      <w:r w:rsidRPr="00FA0D37">
        <w:rPr>
          <w:i/>
        </w:rPr>
        <w:t>BWP-UplinkDedicated</w:t>
      </w:r>
      <w:r w:rsidRPr="00FA0D37">
        <w:t xml:space="preserve"> information element</w:t>
      </w:r>
    </w:p>
    <w:p w14:paraId="2DFA428D" w14:textId="77777777" w:rsidR="00394471" w:rsidRPr="00FA0D37" w:rsidRDefault="00394471" w:rsidP="00FA0D37">
      <w:pPr>
        <w:pStyle w:val="PL"/>
        <w:rPr>
          <w:color w:val="808080"/>
        </w:rPr>
      </w:pPr>
      <w:r w:rsidRPr="00FA0D37">
        <w:rPr>
          <w:color w:val="808080"/>
        </w:rPr>
        <w:t>-- ASN1START</w:t>
      </w:r>
    </w:p>
    <w:p w14:paraId="74D7DBF5" w14:textId="77777777" w:rsidR="00394471" w:rsidRPr="00FA0D37" w:rsidRDefault="00394471" w:rsidP="00FA0D37">
      <w:pPr>
        <w:pStyle w:val="PL"/>
        <w:rPr>
          <w:color w:val="808080"/>
        </w:rPr>
      </w:pPr>
      <w:r w:rsidRPr="00FA0D37">
        <w:rPr>
          <w:color w:val="808080"/>
        </w:rPr>
        <w:t>-- TAG-BWP-UPLINKDEDICATED-START</w:t>
      </w:r>
    </w:p>
    <w:p w14:paraId="181E43D0" w14:textId="77777777" w:rsidR="00394471" w:rsidRPr="00FA0D37" w:rsidRDefault="00394471" w:rsidP="00FA0D37">
      <w:pPr>
        <w:pStyle w:val="PL"/>
      </w:pPr>
    </w:p>
    <w:p w14:paraId="5C1C3523" w14:textId="77777777" w:rsidR="00394471" w:rsidRPr="00FA0D37" w:rsidRDefault="00394471" w:rsidP="00FA0D37">
      <w:pPr>
        <w:pStyle w:val="PL"/>
      </w:pPr>
      <w:r w:rsidRPr="00FA0D37">
        <w:t xml:space="preserve">BWP-UplinkDedicated ::=             </w:t>
      </w:r>
      <w:r w:rsidRPr="00FA0D37">
        <w:rPr>
          <w:color w:val="993366"/>
        </w:rPr>
        <w:t>SEQUENCE</w:t>
      </w:r>
      <w:r w:rsidRPr="00FA0D37">
        <w:t xml:space="preserve"> {</w:t>
      </w:r>
    </w:p>
    <w:p w14:paraId="412F70DB" w14:textId="77777777" w:rsidR="00394471" w:rsidRPr="00FA0D37" w:rsidRDefault="00394471" w:rsidP="00FA0D37">
      <w:pPr>
        <w:pStyle w:val="PL"/>
        <w:rPr>
          <w:color w:val="808080"/>
        </w:rPr>
      </w:pPr>
      <w:r w:rsidRPr="00FA0D37">
        <w:t xml:space="preserve">    pucch-Config                        SetupRelease { PUCCH-Config }                                           </w:t>
      </w:r>
      <w:r w:rsidRPr="00FA0D37">
        <w:rPr>
          <w:color w:val="993366"/>
        </w:rPr>
        <w:t>OPTIONAL</w:t>
      </w:r>
      <w:r w:rsidRPr="00FA0D37">
        <w:t xml:space="preserve">,   </w:t>
      </w:r>
      <w:r w:rsidRPr="00FA0D37">
        <w:rPr>
          <w:color w:val="808080"/>
        </w:rPr>
        <w:t>-- Need M</w:t>
      </w:r>
    </w:p>
    <w:p w14:paraId="54096609" w14:textId="77777777" w:rsidR="00394471" w:rsidRPr="00FA0D37" w:rsidRDefault="00394471" w:rsidP="00FA0D37">
      <w:pPr>
        <w:pStyle w:val="PL"/>
        <w:rPr>
          <w:color w:val="808080"/>
        </w:rPr>
      </w:pPr>
      <w:r w:rsidRPr="00FA0D37">
        <w:t xml:space="preserve">    pusch-Config                        SetupRelease { PUSCH-Config }                                           </w:t>
      </w:r>
      <w:r w:rsidRPr="00FA0D37">
        <w:rPr>
          <w:color w:val="993366"/>
        </w:rPr>
        <w:t>OPTIONAL</w:t>
      </w:r>
      <w:r w:rsidRPr="00FA0D37">
        <w:t xml:space="preserve">,   </w:t>
      </w:r>
      <w:r w:rsidRPr="00FA0D37">
        <w:rPr>
          <w:color w:val="808080"/>
        </w:rPr>
        <w:t>-- Need M</w:t>
      </w:r>
    </w:p>
    <w:p w14:paraId="079C575E" w14:textId="77777777" w:rsidR="00394471" w:rsidRPr="00FA0D37" w:rsidRDefault="00394471" w:rsidP="00FA0D37">
      <w:pPr>
        <w:pStyle w:val="PL"/>
        <w:rPr>
          <w:color w:val="808080"/>
        </w:rPr>
      </w:pPr>
      <w:r w:rsidRPr="00FA0D37">
        <w:t xml:space="preserve">    configuredGrantConfig               SetupRelease { ConfiguredGrantConfig }                                  </w:t>
      </w:r>
      <w:r w:rsidRPr="00FA0D37">
        <w:rPr>
          <w:color w:val="993366"/>
        </w:rPr>
        <w:t>OPTIONAL</w:t>
      </w:r>
      <w:r w:rsidRPr="00FA0D37">
        <w:t xml:space="preserve">,   </w:t>
      </w:r>
      <w:r w:rsidRPr="00FA0D37">
        <w:rPr>
          <w:color w:val="808080"/>
        </w:rPr>
        <w:t>-- Need M</w:t>
      </w:r>
    </w:p>
    <w:p w14:paraId="13D05A70" w14:textId="77777777" w:rsidR="00394471" w:rsidRPr="00FA0D37" w:rsidRDefault="00394471" w:rsidP="00FA0D37">
      <w:pPr>
        <w:pStyle w:val="PL"/>
        <w:rPr>
          <w:color w:val="808080"/>
        </w:rPr>
      </w:pPr>
      <w:r w:rsidRPr="00FA0D37">
        <w:t xml:space="preserve">    srs-Config                          SetupRelease { SRS-Config }                                             </w:t>
      </w:r>
      <w:r w:rsidRPr="00FA0D37">
        <w:rPr>
          <w:color w:val="993366"/>
        </w:rPr>
        <w:t>OPTIONAL</w:t>
      </w:r>
      <w:r w:rsidRPr="00FA0D37">
        <w:t xml:space="preserve">,   </w:t>
      </w:r>
      <w:r w:rsidRPr="00FA0D37">
        <w:rPr>
          <w:color w:val="808080"/>
        </w:rPr>
        <w:t>-- Need M</w:t>
      </w:r>
    </w:p>
    <w:p w14:paraId="3B2A3163" w14:textId="77777777" w:rsidR="00394471" w:rsidRPr="00FA0D37" w:rsidRDefault="00394471" w:rsidP="00FA0D37">
      <w:pPr>
        <w:pStyle w:val="PL"/>
        <w:rPr>
          <w:color w:val="808080"/>
        </w:rPr>
      </w:pPr>
      <w:r w:rsidRPr="00FA0D37">
        <w:t xml:space="preserve">    beamFailureRecoveryConfig           SetupRelease { BeamFailureRecoveryConfig }                              </w:t>
      </w:r>
      <w:r w:rsidRPr="00FA0D37">
        <w:rPr>
          <w:color w:val="993366"/>
        </w:rPr>
        <w:t>OPTIONAL</w:t>
      </w:r>
      <w:r w:rsidRPr="00FA0D37">
        <w:t xml:space="preserve">,   </w:t>
      </w:r>
      <w:r w:rsidRPr="00FA0D37">
        <w:rPr>
          <w:color w:val="808080"/>
        </w:rPr>
        <w:t>-- Cond SpCellOnly</w:t>
      </w:r>
    </w:p>
    <w:p w14:paraId="5CB56D5E" w14:textId="77777777" w:rsidR="00394471" w:rsidRPr="00FA0D37" w:rsidRDefault="00394471" w:rsidP="00FA0D37">
      <w:pPr>
        <w:pStyle w:val="PL"/>
      </w:pPr>
      <w:r w:rsidRPr="00FA0D37">
        <w:t xml:space="preserve">    ...,</w:t>
      </w:r>
    </w:p>
    <w:p w14:paraId="37319726" w14:textId="77777777" w:rsidR="00394471" w:rsidRPr="00FA0D37" w:rsidRDefault="00394471" w:rsidP="00FA0D37">
      <w:pPr>
        <w:pStyle w:val="PL"/>
      </w:pPr>
      <w:r w:rsidRPr="00FA0D37">
        <w:t xml:space="preserve">    [[</w:t>
      </w:r>
    </w:p>
    <w:p w14:paraId="04806B25" w14:textId="77777777" w:rsidR="00394471" w:rsidRPr="00FA0D37" w:rsidRDefault="00394471" w:rsidP="00FA0D37">
      <w:pPr>
        <w:pStyle w:val="PL"/>
        <w:rPr>
          <w:color w:val="808080"/>
        </w:rPr>
      </w:pPr>
      <w:r w:rsidRPr="00FA0D37">
        <w:t xml:space="preserve">    sl-PUCCH-Config-r16                 SetupRelease { PUCCH-Config }                                           </w:t>
      </w:r>
      <w:r w:rsidRPr="00FA0D37">
        <w:rPr>
          <w:color w:val="993366"/>
        </w:rPr>
        <w:t>OPTIONAL</w:t>
      </w:r>
      <w:r w:rsidRPr="00FA0D37">
        <w:t xml:space="preserve">,   </w:t>
      </w:r>
      <w:r w:rsidRPr="00FA0D37">
        <w:rPr>
          <w:color w:val="808080"/>
        </w:rPr>
        <w:t>-- Need M</w:t>
      </w:r>
    </w:p>
    <w:p w14:paraId="4D9B11DA" w14:textId="77777777" w:rsidR="00394471" w:rsidRPr="00FA0D37" w:rsidRDefault="00394471" w:rsidP="00FA0D37">
      <w:pPr>
        <w:pStyle w:val="PL"/>
        <w:rPr>
          <w:color w:val="808080"/>
        </w:rPr>
      </w:pPr>
      <w:r w:rsidRPr="00FA0D37">
        <w:t xml:space="preserve">    cp-ExtensionC2-r16                  </w:t>
      </w:r>
      <w:r w:rsidRPr="00FA0D37">
        <w:rPr>
          <w:color w:val="993366"/>
        </w:rPr>
        <w:t>INTEGER</w:t>
      </w:r>
      <w:r w:rsidRPr="00FA0D37">
        <w:t xml:space="preserve"> (1..28)                                                         </w:t>
      </w:r>
      <w:r w:rsidRPr="00FA0D37">
        <w:rPr>
          <w:color w:val="993366"/>
        </w:rPr>
        <w:t>OPTIONAL</w:t>
      </w:r>
      <w:r w:rsidRPr="00FA0D37">
        <w:t xml:space="preserve">,   </w:t>
      </w:r>
      <w:r w:rsidRPr="00FA0D37">
        <w:rPr>
          <w:color w:val="808080"/>
        </w:rPr>
        <w:t>-- Need R</w:t>
      </w:r>
    </w:p>
    <w:p w14:paraId="5108C6DD" w14:textId="77777777" w:rsidR="00394471" w:rsidRPr="00FA0D37" w:rsidRDefault="00394471" w:rsidP="00FA0D37">
      <w:pPr>
        <w:pStyle w:val="PL"/>
        <w:rPr>
          <w:color w:val="808080"/>
        </w:rPr>
      </w:pPr>
      <w:r w:rsidRPr="00FA0D37">
        <w:t xml:space="preserve">    cp-ExtensionC3-r16                  </w:t>
      </w:r>
      <w:r w:rsidRPr="00FA0D37">
        <w:rPr>
          <w:color w:val="993366"/>
        </w:rPr>
        <w:t>INTEGER</w:t>
      </w:r>
      <w:r w:rsidRPr="00FA0D37">
        <w:t xml:space="preserve"> (1..28)                                                         </w:t>
      </w:r>
      <w:r w:rsidRPr="00FA0D37">
        <w:rPr>
          <w:color w:val="993366"/>
        </w:rPr>
        <w:t>OPTIONAL</w:t>
      </w:r>
      <w:r w:rsidRPr="00FA0D37">
        <w:t xml:space="preserve">,   </w:t>
      </w:r>
      <w:r w:rsidRPr="00FA0D37">
        <w:rPr>
          <w:color w:val="808080"/>
        </w:rPr>
        <w:t>-- Need R</w:t>
      </w:r>
    </w:p>
    <w:p w14:paraId="58C1F0FD" w14:textId="77777777" w:rsidR="00394471" w:rsidRPr="00FA0D37" w:rsidRDefault="00394471" w:rsidP="00FA0D37">
      <w:pPr>
        <w:pStyle w:val="PL"/>
        <w:rPr>
          <w:color w:val="808080"/>
        </w:rPr>
      </w:pPr>
      <w:r w:rsidRPr="00FA0D37">
        <w:t xml:space="preserve">    useInterlacePUCCH-PUSCH-r16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346F88C" w14:textId="77777777" w:rsidR="00394471" w:rsidRPr="00FA0D37" w:rsidRDefault="00394471" w:rsidP="00FA0D37">
      <w:pPr>
        <w:pStyle w:val="PL"/>
        <w:rPr>
          <w:color w:val="808080"/>
        </w:rPr>
      </w:pPr>
      <w:r w:rsidRPr="00FA0D37">
        <w:t xml:space="preserve">    pucch-ConfigurationList-r16         SetupRelease { PUCCH-ConfigurationList-r16 }                            </w:t>
      </w:r>
      <w:r w:rsidRPr="00FA0D37">
        <w:rPr>
          <w:color w:val="993366"/>
        </w:rPr>
        <w:t>OPTIONAL</w:t>
      </w:r>
      <w:r w:rsidRPr="00FA0D37">
        <w:t xml:space="preserve">,   </w:t>
      </w:r>
      <w:r w:rsidRPr="00FA0D37">
        <w:rPr>
          <w:color w:val="808080"/>
        </w:rPr>
        <w:t>-- Need M</w:t>
      </w:r>
    </w:p>
    <w:p w14:paraId="74B9D624" w14:textId="77777777" w:rsidR="00394471" w:rsidRPr="00FA0D37" w:rsidRDefault="00394471" w:rsidP="00FA0D37">
      <w:pPr>
        <w:pStyle w:val="PL"/>
        <w:rPr>
          <w:color w:val="808080"/>
        </w:rPr>
      </w:pPr>
      <w:r w:rsidRPr="00FA0D37">
        <w:t xml:space="preserve">    lbt-FailureRecoveryConfig-r16       SetupRelease { LBT-FailureRecoveryConfig-r16 }                          </w:t>
      </w:r>
      <w:r w:rsidRPr="00FA0D37">
        <w:rPr>
          <w:color w:val="993366"/>
        </w:rPr>
        <w:t>OPTIONAL</w:t>
      </w:r>
      <w:r w:rsidRPr="00FA0D37">
        <w:t xml:space="preserve">,   </w:t>
      </w:r>
      <w:r w:rsidRPr="00FA0D37">
        <w:rPr>
          <w:color w:val="808080"/>
        </w:rPr>
        <w:t>-- Need M</w:t>
      </w:r>
    </w:p>
    <w:p w14:paraId="185927A1" w14:textId="77777777" w:rsidR="00394471" w:rsidRPr="00FA0D37" w:rsidRDefault="00394471" w:rsidP="00FA0D37">
      <w:pPr>
        <w:pStyle w:val="PL"/>
        <w:rPr>
          <w:color w:val="808080"/>
        </w:rPr>
      </w:pPr>
      <w:r w:rsidRPr="00FA0D37">
        <w:t xml:space="preserve">    configuredGrantConfigToAddModList-r16                 ConfiguredGrantConfigToAddModList-r16                 </w:t>
      </w:r>
      <w:r w:rsidRPr="00FA0D37">
        <w:rPr>
          <w:color w:val="993366"/>
        </w:rPr>
        <w:t>OPTIONAL</w:t>
      </w:r>
      <w:r w:rsidRPr="00FA0D37">
        <w:t xml:space="preserve">,   </w:t>
      </w:r>
      <w:r w:rsidRPr="00FA0D37">
        <w:rPr>
          <w:color w:val="808080"/>
        </w:rPr>
        <w:t>-- Need N</w:t>
      </w:r>
    </w:p>
    <w:p w14:paraId="2F520B67" w14:textId="77777777" w:rsidR="00394471" w:rsidRPr="00FA0D37" w:rsidRDefault="00394471" w:rsidP="00FA0D37">
      <w:pPr>
        <w:pStyle w:val="PL"/>
        <w:rPr>
          <w:color w:val="808080"/>
        </w:rPr>
      </w:pPr>
      <w:r w:rsidRPr="00FA0D37">
        <w:t xml:space="preserve">    configuredGrantConfigToReleaseList-r16                ConfiguredGrantConfigToReleaseList-r16                </w:t>
      </w:r>
      <w:r w:rsidRPr="00FA0D37">
        <w:rPr>
          <w:color w:val="993366"/>
        </w:rPr>
        <w:t>OPTIONAL</w:t>
      </w:r>
      <w:r w:rsidRPr="00FA0D37">
        <w:t xml:space="preserve">,   </w:t>
      </w:r>
      <w:r w:rsidRPr="00FA0D37">
        <w:rPr>
          <w:color w:val="808080"/>
        </w:rPr>
        <w:t>-- Need N</w:t>
      </w:r>
    </w:p>
    <w:p w14:paraId="798C45EE" w14:textId="77777777" w:rsidR="00394471" w:rsidRPr="00FA0D37" w:rsidRDefault="00394471" w:rsidP="00FA0D37">
      <w:pPr>
        <w:pStyle w:val="PL"/>
        <w:rPr>
          <w:color w:val="808080"/>
        </w:rPr>
      </w:pPr>
      <w:r w:rsidRPr="00FA0D37">
        <w:t xml:space="preserve">    configuredGrantConfigType2DeactivationStateList-r16   ConfiguredGrantConfigType2DeactivationStateList-r16   </w:t>
      </w:r>
      <w:r w:rsidRPr="00FA0D37">
        <w:rPr>
          <w:color w:val="993366"/>
        </w:rPr>
        <w:t>OPTIONAL</w:t>
      </w:r>
      <w:r w:rsidRPr="00FA0D37">
        <w:t xml:space="preserve">    </w:t>
      </w:r>
      <w:r w:rsidRPr="00FA0D37">
        <w:rPr>
          <w:color w:val="808080"/>
        </w:rPr>
        <w:t>-- Need R</w:t>
      </w:r>
    </w:p>
    <w:p w14:paraId="3AC87B1E" w14:textId="11C5AFAE" w:rsidR="001775F2" w:rsidRPr="00FA0D37" w:rsidRDefault="00394471" w:rsidP="00FA0D37">
      <w:pPr>
        <w:pStyle w:val="PL"/>
      </w:pPr>
      <w:r w:rsidRPr="00FA0D37">
        <w:t xml:space="preserve">    ]]</w:t>
      </w:r>
      <w:r w:rsidR="001775F2" w:rsidRPr="00FA0D37">
        <w:t>,</w:t>
      </w:r>
    </w:p>
    <w:p w14:paraId="38280437" w14:textId="77777777" w:rsidR="001775F2" w:rsidRPr="00FA0D37" w:rsidRDefault="001775F2" w:rsidP="00FA0D37">
      <w:pPr>
        <w:pStyle w:val="PL"/>
      </w:pPr>
      <w:r w:rsidRPr="00FA0D37">
        <w:t xml:space="preserve">    [[</w:t>
      </w:r>
    </w:p>
    <w:p w14:paraId="72369568" w14:textId="14C9CED2" w:rsidR="001775F2" w:rsidRPr="00FA0D37" w:rsidRDefault="001775F2" w:rsidP="00FA0D37">
      <w:pPr>
        <w:pStyle w:val="PL"/>
      </w:pPr>
      <w:r w:rsidRPr="00FA0D37">
        <w:t xml:space="preserve">    ul-TCI</w:t>
      </w:r>
      <w:r w:rsidR="00E05620" w:rsidRPr="00FA0D37">
        <w:t>-</w:t>
      </w:r>
      <w:r w:rsidRPr="00FA0D37">
        <w:t>State</w:t>
      </w:r>
      <w:r w:rsidR="00E05620" w:rsidRPr="00FA0D37">
        <w:t>List-r17</w:t>
      </w:r>
      <w:r w:rsidRPr="00FA0D37">
        <w:t xml:space="preserve">                </w:t>
      </w:r>
      <w:r w:rsidRPr="00FA0D37">
        <w:rPr>
          <w:color w:val="993366"/>
        </w:rPr>
        <w:t>CHOICE</w:t>
      </w:r>
      <w:r w:rsidRPr="00FA0D37">
        <w:t xml:space="preserve"> {</w:t>
      </w:r>
    </w:p>
    <w:p w14:paraId="330EB869" w14:textId="092F18BE" w:rsidR="001775F2" w:rsidRPr="00FA0D37" w:rsidRDefault="001775F2" w:rsidP="00FA0D37">
      <w:pPr>
        <w:pStyle w:val="PL"/>
      </w:pPr>
      <w:r w:rsidRPr="00FA0D37">
        <w:t xml:space="preserve">        </w:t>
      </w:r>
      <w:r w:rsidR="00E05620" w:rsidRPr="00FA0D37">
        <w:t>explicit</w:t>
      </w:r>
      <w:r w:rsidRPr="00FA0D37">
        <w:t xml:space="preserve">list                        </w:t>
      </w:r>
      <w:r w:rsidRPr="00FA0D37">
        <w:rPr>
          <w:color w:val="993366"/>
        </w:rPr>
        <w:t>SEQUENCE</w:t>
      </w:r>
      <w:r w:rsidRPr="00FA0D37">
        <w:t xml:space="preserve"> {</w:t>
      </w:r>
    </w:p>
    <w:p w14:paraId="56C550E9" w14:textId="3BDA4748" w:rsidR="001775F2" w:rsidRPr="00FA0D37" w:rsidRDefault="001775F2" w:rsidP="00FA0D37">
      <w:pPr>
        <w:pStyle w:val="PL"/>
        <w:rPr>
          <w:color w:val="808080"/>
        </w:rPr>
      </w:pPr>
      <w:r w:rsidRPr="00FA0D37">
        <w:t xml:space="preserve">            ul-TCI-ToAddModList-r17       </w:t>
      </w:r>
      <w:r w:rsidR="00E05620" w:rsidRPr="00FA0D37">
        <w:t xml:space="preserve">      </w:t>
      </w:r>
      <w:r w:rsidRPr="00FA0D37">
        <w:rPr>
          <w:color w:val="993366"/>
        </w:rPr>
        <w:t>SEQUENCE</w:t>
      </w:r>
      <w:r w:rsidRPr="00FA0D37">
        <w:t xml:space="preserve"> (</w:t>
      </w:r>
      <w:r w:rsidRPr="00FA0D37">
        <w:rPr>
          <w:color w:val="993366"/>
        </w:rPr>
        <w:t>SIZE</w:t>
      </w:r>
      <w:r w:rsidRPr="00FA0D37">
        <w:t xml:space="preserve"> (1..</w:t>
      </w:r>
      <w:r w:rsidR="00E05620" w:rsidRPr="00FA0D37">
        <w:t>maxUL-TC</w:t>
      </w:r>
      <w:r w:rsidRPr="00FA0D37">
        <w:t>I-r17))</w:t>
      </w:r>
      <w:r w:rsidRPr="00FA0D37">
        <w:rPr>
          <w:color w:val="993366"/>
        </w:rPr>
        <w:t xml:space="preserve"> OF</w:t>
      </w:r>
      <w:r w:rsidRPr="00FA0D37">
        <w:t xml:space="preserve"> TCI</w:t>
      </w:r>
      <w:r w:rsidR="00E05620" w:rsidRPr="00FA0D37">
        <w:t>-UL-</w:t>
      </w:r>
      <w:r w:rsidRPr="00FA0D37">
        <w:t xml:space="preserve">State-r17          </w:t>
      </w:r>
      <w:r w:rsidRPr="00FA0D37">
        <w:rPr>
          <w:color w:val="993366"/>
        </w:rPr>
        <w:t>OPTIONAL</w:t>
      </w:r>
      <w:r w:rsidRPr="00FA0D37">
        <w:t>,</w:t>
      </w:r>
      <w:r w:rsidR="00E05620" w:rsidRPr="00FA0D37">
        <w:t xml:space="preserve">  </w:t>
      </w:r>
      <w:r w:rsidRPr="00FA0D37">
        <w:t xml:space="preserve"> </w:t>
      </w:r>
      <w:r w:rsidRPr="00FA0D37">
        <w:rPr>
          <w:color w:val="808080"/>
        </w:rPr>
        <w:t>-- Need N</w:t>
      </w:r>
    </w:p>
    <w:p w14:paraId="6ABDE065" w14:textId="76FB4922" w:rsidR="001775F2" w:rsidRPr="00FA0D37" w:rsidRDefault="001775F2" w:rsidP="00FA0D37">
      <w:pPr>
        <w:pStyle w:val="PL"/>
        <w:rPr>
          <w:color w:val="808080"/>
        </w:rPr>
      </w:pPr>
      <w:r w:rsidRPr="00FA0D37">
        <w:t xml:space="preserve">            ul-TCI-ToReleaseList-r17      </w:t>
      </w:r>
      <w:r w:rsidR="00E05620" w:rsidRPr="00FA0D37">
        <w:t xml:space="preserve">      </w:t>
      </w:r>
      <w:r w:rsidRPr="00FA0D37">
        <w:rPr>
          <w:color w:val="993366"/>
        </w:rPr>
        <w:t>SEQUENCE</w:t>
      </w:r>
      <w:r w:rsidRPr="00FA0D37">
        <w:t xml:space="preserve"> (</w:t>
      </w:r>
      <w:r w:rsidRPr="00FA0D37">
        <w:rPr>
          <w:color w:val="993366"/>
        </w:rPr>
        <w:t>SIZE</w:t>
      </w:r>
      <w:r w:rsidRPr="00FA0D37">
        <w:t xml:space="preserve"> (1..</w:t>
      </w:r>
      <w:r w:rsidR="00E05620" w:rsidRPr="00FA0D37">
        <w:t>maxUL-TC</w:t>
      </w:r>
      <w:r w:rsidRPr="00FA0D37">
        <w:t>I-r17))</w:t>
      </w:r>
      <w:r w:rsidRPr="00FA0D37">
        <w:rPr>
          <w:color w:val="993366"/>
        </w:rPr>
        <w:t xml:space="preserve"> OF</w:t>
      </w:r>
      <w:r w:rsidRPr="00FA0D37">
        <w:t xml:space="preserve"> TCI</w:t>
      </w:r>
      <w:r w:rsidR="00E05620" w:rsidRPr="00FA0D37">
        <w:t>-UL-</w:t>
      </w:r>
      <w:r w:rsidRPr="00FA0D37">
        <w:t xml:space="preserve">StateId-r17       </w:t>
      </w:r>
      <w:r w:rsidR="00E36333" w:rsidRPr="00FA0D37">
        <w:t xml:space="preserve"> </w:t>
      </w:r>
      <w:r w:rsidRPr="00FA0D37">
        <w:rPr>
          <w:color w:val="993366"/>
        </w:rPr>
        <w:t>OPTIONAL</w:t>
      </w:r>
      <w:r w:rsidR="00E05620" w:rsidRPr="00FA0D37">
        <w:t xml:space="preserve">  </w:t>
      </w:r>
      <w:r w:rsidR="00FB193E" w:rsidRPr="00FA0D37">
        <w:t xml:space="preserve"> </w:t>
      </w:r>
      <w:r w:rsidRPr="00FA0D37">
        <w:t xml:space="preserve"> </w:t>
      </w:r>
      <w:r w:rsidRPr="00FA0D37">
        <w:rPr>
          <w:color w:val="808080"/>
        </w:rPr>
        <w:t>-- Need N</w:t>
      </w:r>
    </w:p>
    <w:p w14:paraId="11567629" w14:textId="6B9A8032" w:rsidR="001775F2" w:rsidRPr="00FA0D37" w:rsidRDefault="001775F2" w:rsidP="00FA0D37">
      <w:pPr>
        <w:pStyle w:val="PL"/>
      </w:pPr>
      <w:r w:rsidRPr="00FA0D37">
        <w:t xml:space="preserve">        },</w:t>
      </w:r>
    </w:p>
    <w:p w14:paraId="3CFFB2D9" w14:textId="491E464C" w:rsidR="001775F2" w:rsidRPr="00FA0D37" w:rsidRDefault="001775F2" w:rsidP="00FA0D37">
      <w:pPr>
        <w:pStyle w:val="PL"/>
      </w:pPr>
      <w:r w:rsidRPr="00FA0D37">
        <w:t xml:space="preserve">        </w:t>
      </w:r>
      <w:r w:rsidR="00E05620" w:rsidRPr="00FA0D37">
        <w:t>unifiedTCI-StateRef</w:t>
      </w:r>
      <w:r w:rsidRPr="00FA0D37">
        <w:t xml:space="preserve">-r17         </w:t>
      </w:r>
      <w:r w:rsidR="00656BB9" w:rsidRPr="00FA0D37">
        <w:t>ServingCellAndBWP-Id</w:t>
      </w:r>
      <w:r w:rsidRPr="00FA0D37">
        <w:t>-r17</w:t>
      </w:r>
    </w:p>
    <w:p w14:paraId="387D1243" w14:textId="6397C47D" w:rsidR="001775F2" w:rsidRPr="00FA0D37" w:rsidRDefault="001775F2"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1326F9B" w14:textId="297BA78E" w:rsidR="001775F2" w:rsidRPr="00FA0D37" w:rsidRDefault="001775F2" w:rsidP="00FA0D37">
      <w:pPr>
        <w:pStyle w:val="PL"/>
        <w:rPr>
          <w:color w:val="808080"/>
        </w:rPr>
      </w:pPr>
      <w:r w:rsidRPr="00FA0D37">
        <w:t xml:space="preserve">    ul-powerControl-r17                Uplink-powerControlId-r17                                                </w:t>
      </w:r>
      <w:r w:rsidRPr="00FA0D37">
        <w:rPr>
          <w:color w:val="993366"/>
        </w:rPr>
        <w:t>OPTIONAL</w:t>
      </w:r>
      <w:r w:rsidR="00214323" w:rsidRPr="00FA0D37">
        <w:t>,</w:t>
      </w:r>
      <w:r w:rsidRPr="00FA0D37">
        <w:t xml:space="preserve">  </w:t>
      </w:r>
      <w:r w:rsidRPr="00FA0D37">
        <w:rPr>
          <w:color w:val="808080"/>
        </w:rPr>
        <w:t xml:space="preserve">-- </w:t>
      </w:r>
      <w:r w:rsidR="00DA6987" w:rsidRPr="00FA0D37">
        <w:rPr>
          <w:color w:val="808080"/>
        </w:rPr>
        <w:t>Cond NoTCI-PC</w:t>
      </w:r>
    </w:p>
    <w:p w14:paraId="3E817054" w14:textId="014CB84F" w:rsidR="00214323" w:rsidRPr="00FA0D37" w:rsidRDefault="00214323" w:rsidP="00FA0D37">
      <w:pPr>
        <w:pStyle w:val="PL"/>
        <w:rPr>
          <w:color w:val="808080"/>
        </w:rPr>
      </w:pPr>
      <w:r w:rsidRPr="00FA0D37">
        <w:t xml:space="preserve">    pucch-ConfigurationListMulticast1-r17  SetupRelease { PUCCH-ConfigurationList-r16 }                         </w:t>
      </w:r>
      <w:r w:rsidRPr="00FA0D37">
        <w:rPr>
          <w:color w:val="993366"/>
        </w:rPr>
        <w:t>OPTIONAL</w:t>
      </w:r>
      <w:r w:rsidRPr="00FA0D37">
        <w:t xml:space="preserve">,  </w:t>
      </w:r>
      <w:r w:rsidRPr="00FA0D37">
        <w:rPr>
          <w:color w:val="808080"/>
        </w:rPr>
        <w:t>-- Need M</w:t>
      </w:r>
    </w:p>
    <w:p w14:paraId="06BF1AE4" w14:textId="471C7178" w:rsidR="00214323" w:rsidRPr="00FA0D37" w:rsidRDefault="00214323" w:rsidP="00FA0D37">
      <w:pPr>
        <w:pStyle w:val="PL"/>
        <w:rPr>
          <w:color w:val="808080"/>
        </w:rPr>
      </w:pPr>
      <w:r w:rsidRPr="00FA0D37">
        <w:t xml:space="preserve">    pucch-ConfigurationListMulticast2-r17  SetupRelease { PUCCH-ConfigurationList-r16 }                         </w:t>
      </w:r>
      <w:r w:rsidRPr="00FA0D37">
        <w:rPr>
          <w:color w:val="993366"/>
        </w:rPr>
        <w:t>OPTIONAL</w:t>
      </w:r>
      <w:r w:rsidRPr="00FA0D37">
        <w:t xml:space="preserve">   </w:t>
      </w:r>
      <w:r w:rsidRPr="00FA0D37">
        <w:rPr>
          <w:color w:val="808080"/>
        </w:rPr>
        <w:t>-- Need M</w:t>
      </w:r>
    </w:p>
    <w:p w14:paraId="5932E885" w14:textId="7B294268" w:rsidR="00FD05B6" w:rsidRPr="00FA0D37" w:rsidRDefault="001775F2" w:rsidP="00FA0D37">
      <w:pPr>
        <w:pStyle w:val="PL"/>
      </w:pPr>
      <w:r w:rsidRPr="00FA0D37">
        <w:t xml:space="preserve">    ]]</w:t>
      </w:r>
      <w:r w:rsidR="00FD05B6" w:rsidRPr="00FA0D37">
        <w:t>,</w:t>
      </w:r>
    </w:p>
    <w:p w14:paraId="110F2A60" w14:textId="1D0D58D8" w:rsidR="00FD05B6" w:rsidRPr="00FA0D37" w:rsidRDefault="00FD05B6" w:rsidP="00FA0D37">
      <w:pPr>
        <w:pStyle w:val="PL"/>
      </w:pPr>
      <w:r w:rsidRPr="00FA0D37">
        <w:t xml:space="preserve">    [[</w:t>
      </w:r>
    </w:p>
    <w:p w14:paraId="0DD956EE" w14:textId="77777777" w:rsidR="00FD05B6" w:rsidRPr="00FA0D37" w:rsidRDefault="00FD05B6" w:rsidP="00FA0D37">
      <w:pPr>
        <w:pStyle w:val="PL"/>
        <w:rPr>
          <w:color w:val="808080"/>
        </w:rPr>
      </w:pPr>
      <w:r w:rsidRPr="00FA0D37">
        <w:lastRenderedPageBreak/>
        <w:t xml:space="preserve">    pucch-ConfigMulticast1-r17          SetupRelease { PUCCH-Config }                                           </w:t>
      </w:r>
      <w:r w:rsidRPr="00FA0D37">
        <w:rPr>
          <w:color w:val="993366"/>
        </w:rPr>
        <w:t>OPTIONAL</w:t>
      </w:r>
      <w:r w:rsidRPr="00FA0D37">
        <w:t xml:space="preserve">,  </w:t>
      </w:r>
      <w:r w:rsidRPr="00FA0D37">
        <w:rPr>
          <w:color w:val="808080"/>
        </w:rPr>
        <w:t>-- Need M</w:t>
      </w:r>
    </w:p>
    <w:p w14:paraId="65E8A8D3" w14:textId="77777777" w:rsidR="00FD05B6" w:rsidRPr="00FA0D37" w:rsidRDefault="00FD05B6" w:rsidP="00FA0D37">
      <w:pPr>
        <w:pStyle w:val="PL"/>
        <w:rPr>
          <w:color w:val="808080"/>
        </w:rPr>
      </w:pPr>
      <w:r w:rsidRPr="00FA0D37">
        <w:t xml:space="preserve">    pucch-ConfigMulticast2-r17          SetupRelease { PUCCH-Config }                                           </w:t>
      </w:r>
      <w:r w:rsidRPr="00FA0D37">
        <w:rPr>
          <w:color w:val="993366"/>
        </w:rPr>
        <w:t>OPTIONAL</w:t>
      </w:r>
      <w:r w:rsidRPr="00FA0D37">
        <w:t xml:space="preserve">   </w:t>
      </w:r>
      <w:r w:rsidRPr="00FA0D37">
        <w:rPr>
          <w:color w:val="808080"/>
        </w:rPr>
        <w:t>-- Need M</w:t>
      </w:r>
    </w:p>
    <w:p w14:paraId="68592A48" w14:textId="54351104" w:rsidR="00184EE0" w:rsidRPr="00FA0D37" w:rsidRDefault="00FD05B6" w:rsidP="00FA0D37">
      <w:pPr>
        <w:pStyle w:val="PL"/>
      </w:pPr>
      <w:r w:rsidRPr="00FA0D37">
        <w:t xml:space="preserve">    ]]</w:t>
      </w:r>
      <w:r w:rsidR="00184EE0" w:rsidRPr="00FA0D37">
        <w:t>,</w:t>
      </w:r>
    </w:p>
    <w:p w14:paraId="3FB7F3DB" w14:textId="77777777" w:rsidR="00184EE0" w:rsidRPr="00FA0D37" w:rsidRDefault="00184EE0" w:rsidP="00FA0D37">
      <w:pPr>
        <w:pStyle w:val="PL"/>
      </w:pPr>
      <w:r w:rsidRPr="00FA0D37">
        <w:t xml:space="preserve">    [[</w:t>
      </w:r>
    </w:p>
    <w:p w14:paraId="0F130163" w14:textId="77777777" w:rsidR="00184EE0" w:rsidRPr="00FA0D37" w:rsidRDefault="00184EE0" w:rsidP="00FA0D37">
      <w:pPr>
        <w:pStyle w:val="PL"/>
      </w:pPr>
      <w:r w:rsidRPr="00FA0D37">
        <w:t xml:space="preserve">    pathlossReferenceRSToAddModList-r17     </w:t>
      </w:r>
      <w:r w:rsidRPr="00FA0D37">
        <w:rPr>
          <w:color w:val="993366"/>
        </w:rPr>
        <w:t>SEQUENCE</w:t>
      </w:r>
      <w:r w:rsidRPr="00FA0D37">
        <w:t xml:space="preserve"> (</w:t>
      </w:r>
      <w:r w:rsidRPr="00FA0D37">
        <w:rPr>
          <w:color w:val="993366"/>
        </w:rPr>
        <w:t>SIZE</w:t>
      </w:r>
      <w:r w:rsidRPr="00FA0D37">
        <w:t xml:space="preserve"> (1..maxNrofPathlossReferenceRSs-r17))</w:t>
      </w:r>
      <w:r w:rsidRPr="00FA0D37">
        <w:rPr>
          <w:color w:val="993366"/>
        </w:rPr>
        <w:t xml:space="preserve"> OF</w:t>
      </w:r>
      <w:r w:rsidRPr="00FA0D37">
        <w:t xml:space="preserve"> PathlossReferenceRS-r17</w:t>
      </w:r>
    </w:p>
    <w:p w14:paraId="6728EADC" w14:textId="77777777" w:rsidR="00184EE0" w:rsidRPr="00FA0D37" w:rsidRDefault="00184EE0"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27C6E718" w14:textId="77777777" w:rsidR="00184EE0" w:rsidRPr="00FA0D37" w:rsidRDefault="00184EE0" w:rsidP="00FA0D37">
      <w:pPr>
        <w:pStyle w:val="PL"/>
      </w:pPr>
      <w:r w:rsidRPr="00FA0D37">
        <w:t xml:space="preserve">    pathlossReferenceRSToReleaseList-r17    </w:t>
      </w:r>
      <w:r w:rsidRPr="00FA0D37">
        <w:rPr>
          <w:color w:val="993366"/>
        </w:rPr>
        <w:t>SEQUENCE</w:t>
      </w:r>
      <w:r w:rsidRPr="00FA0D37">
        <w:t xml:space="preserve"> (</w:t>
      </w:r>
      <w:r w:rsidRPr="00FA0D37">
        <w:rPr>
          <w:color w:val="993366"/>
        </w:rPr>
        <w:t>SIZE</w:t>
      </w:r>
      <w:r w:rsidRPr="00FA0D37">
        <w:t xml:space="preserve"> (1..maxNrofPathlossReferenceRSs-r17))</w:t>
      </w:r>
      <w:r w:rsidRPr="00FA0D37">
        <w:rPr>
          <w:color w:val="993366"/>
        </w:rPr>
        <w:t xml:space="preserve"> OF</w:t>
      </w:r>
      <w:r w:rsidRPr="00FA0D37">
        <w:t xml:space="preserve"> PathlossReferenceRS-Id-r17</w:t>
      </w:r>
    </w:p>
    <w:p w14:paraId="149C5026" w14:textId="77777777" w:rsidR="00184EE0" w:rsidRPr="00FA0D37" w:rsidRDefault="00184EE0"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76F049EC" w14:textId="4BBB7FC5" w:rsidR="001775F2" w:rsidRPr="00FA0D37" w:rsidRDefault="00184EE0" w:rsidP="00FA0D37">
      <w:pPr>
        <w:pStyle w:val="PL"/>
      </w:pPr>
      <w:r w:rsidRPr="00FA0D37">
        <w:t xml:space="preserve">    ]]</w:t>
      </w:r>
    </w:p>
    <w:p w14:paraId="0E895E7A" w14:textId="77777777" w:rsidR="00394471" w:rsidRPr="00FA0D37" w:rsidRDefault="00394471" w:rsidP="00FA0D37">
      <w:pPr>
        <w:pStyle w:val="PL"/>
      </w:pPr>
      <w:r w:rsidRPr="00FA0D37">
        <w:t>}</w:t>
      </w:r>
    </w:p>
    <w:p w14:paraId="46FA3008" w14:textId="77777777" w:rsidR="00394471" w:rsidRPr="00FA0D37" w:rsidRDefault="00394471" w:rsidP="00FA0D37">
      <w:pPr>
        <w:pStyle w:val="PL"/>
      </w:pPr>
    </w:p>
    <w:p w14:paraId="07118837" w14:textId="77777777" w:rsidR="00394471" w:rsidRPr="00FA0D37" w:rsidRDefault="00394471" w:rsidP="00FA0D37">
      <w:pPr>
        <w:pStyle w:val="PL"/>
      </w:pPr>
      <w:r w:rsidRPr="00FA0D37">
        <w:t xml:space="preserve">ConfiguredGrantConfigToAddModList-r16    ::= </w:t>
      </w:r>
      <w:r w:rsidRPr="00FA0D37">
        <w:rPr>
          <w:color w:val="993366"/>
        </w:rPr>
        <w:t>SEQUENCE</w:t>
      </w:r>
      <w:r w:rsidRPr="00FA0D37">
        <w:t xml:space="preserve"> (</w:t>
      </w:r>
      <w:r w:rsidRPr="00FA0D37">
        <w:rPr>
          <w:color w:val="993366"/>
        </w:rPr>
        <w:t>SIZE</w:t>
      </w:r>
      <w:r w:rsidRPr="00FA0D37">
        <w:t xml:space="preserve"> (1..maxNrofConfiguredGrantConfig-r16))</w:t>
      </w:r>
      <w:r w:rsidRPr="00FA0D37">
        <w:rPr>
          <w:color w:val="993366"/>
        </w:rPr>
        <w:t xml:space="preserve"> OF</w:t>
      </w:r>
      <w:r w:rsidRPr="00FA0D37">
        <w:t xml:space="preserve"> ConfiguredGrantConfig</w:t>
      </w:r>
    </w:p>
    <w:p w14:paraId="46A34946" w14:textId="77777777" w:rsidR="00394471" w:rsidRPr="00FA0D37" w:rsidRDefault="00394471" w:rsidP="00FA0D37">
      <w:pPr>
        <w:pStyle w:val="PL"/>
      </w:pPr>
    </w:p>
    <w:p w14:paraId="013ECB1D" w14:textId="77777777" w:rsidR="00394471" w:rsidRPr="00FA0D37" w:rsidRDefault="00394471" w:rsidP="00FA0D37">
      <w:pPr>
        <w:pStyle w:val="PL"/>
      </w:pPr>
      <w:r w:rsidRPr="00FA0D37">
        <w:t xml:space="preserve">ConfiguredGrantConfigToReleaseList-r16   ::= </w:t>
      </w:r>
      <w:r w:rsidRPr="00FA0D37">
        <w:rPr>
          <w:color w:val="993366"/>
        </w:rPr>
        <w:t>SEQUENCE</w:t>
      </w:r>
      <w:r w:rsidRPr="00FA0D37">
        <w:t xml:space="preserve"> (</w:t>
      </w:r>
      <w:r w:rsidRPr="00FA0D37">
        <w:rPr>
          <w:color w:val="993366"/>
        </w:rPr>
        <w:t>SIZE</w:t>
      </w:r>
      <w:r w:rsidRPr="00FA0D37">
        <w:t xml:space="preserve"> (1..maxNrofConfiguredGrantConfig-r16))</w:t>
      </w:r>
      <w:r w:rsidRPr="00FA0D37">
        <w:rPr>
          <w:color w:val="993366"/>
        </w:rPr>
        <w:t xml:space="preserve"> OF</w:t>
      </w:r>
      <w:r w:rsidRPr="00FA0D37">
        <w:t xml:space="preserve"> ConfiguredGrantConfigIndex-r16</w:t>
      </w:r>
    </w:p>
    <w:p w14:paraId="6102D25A" w14:textId="77777777" w:rsidR="00394471" w:rsidRPr="00FA0D37" w:rsidRDefault="00394471" w:rsidP="00FA0D37">
      <w:pPr>
        <w:pStyle w:val="PL"/>
      </w:pPr>
    </w:p>
    <w:p w14:paraId="444CB717" w14:textId="77777777" w:rsidR="00394471" w:rsidRPr="00FA0D37" w:rsidRDefault="00394471" w:rsidP="00FA0D37">
      <w:pPr>
        <w:pStyle w:val="PL"/>
      </w:pPr>
      <w:r w:rsidRPr="00FA0D37">
        <w:t xml:space="preserve">ConfiguredGrantConfigType2DeactivationState-r16 ::= </w:t>
      </w:r>
      <w:r w:rsidRPr="00FA0D37">
        <w:rPr>
          <w:color w:val="993366"/>
        </w:rPr>
        <w:t>SEQUENCE</w:t>
      </w:r>
      <w:r w:rsidRPr="00FA0D37">
        <w:t xml:space="preserve"> (</w:t>
      </w:r>
      <w:r w:rsidRPr="00FA0D37">
        <w:rPr>
          <w:color w:val="993366"/>
        </w:rPr>
        <w:t>SIZE</w:t>
      </w:r>
      <w:r w:rsidRPr="00FA0D37">
        <w:t xml:space="preserve"> (1..maxNrofConfiguredGrantConfig-r16))</w:t>
      </w:r>
      <w:r w:rsidRPr="00FA0D37">
        <w:rPr>
          <w:color w:val="993366"/>
        </w:rPr>
        <w:t xml:space="preserve"> OF</w:t>
      </w:r>
      <w:r w:rsidRPr="00FA0D37">
        <w:t xml:space="preserve"> ConfiguredGrantConfigIndex-r16</w:t>
      </w:r>
    </w:p>
    <w:p w14:paraId="4E18BDFA" w14:textId="77777777" w:rsidR="00394471" w:rsidRPr="00FA0D37" w:rsidRDefault="00394471" w:rsidP="00FA0D37">
      <w:pPr>
        <w:pStyle w:val="PL"/>
      </w:pPr>
    </w:p>
    <w:p w14:paraId="263D0ABF" w14:textId="77777777" w:rsidR="00394471" w:rsidRPr="00FA0D37" w:rsidRDefault="00394471" w:rsidP="00FA0D37">
      <w:pPr>
        <w:pStyle w:val="PL"/>
      </w:pPr>
      <w:r w:rsidRPr="00FA0D37">
        <w:t>ConfiguredGrantConfigType2DeactivationStateList-r16  ::=</w:t>
      </w:r>
    </w:p>
    <w:p w14:paraId="0ED1FC95" w14:textId="77777777" w:rsidR="00394471" w:rsidRPr="00FA0D37" w:rsidRDefault="00394471" w:rsidP="00FA0D37">
      <w:pPr>
        <w:pStyle w:val="PL"/>
      </w:pPr>
      <w:r w:rsidRPr="00FA0D37">
        <w:t xml:space="preserve">                             </w:t>
      </w:r>
      <w:r w:rsidRPr="00FA0D37">
        <w:rPr>
          <w:color w:val="993366"/>
        </w:rPr>
        <w:t>SEQUENCE</w:t>
      </w:r>
      <w:r w:rsidRPr="00FA0D37">
        <w:t xml:space="preserve"> (</w:t>
      </w:r>
      <w:r w:rsidRPr="00FA0D37">
        <w:rPr>
          <w:color w:val="993366"/>
        </w:rPr>
        <w:t>SIZE</w:t>
      </w:r>
      <w:r w:rsidRPr="00FA0D37">
        <w:t xml:space="preserve"> (1..maxNrofCG-Type2DeactivationState))</w:t>
      </w:r>
      <w:r w:rsidRPr="00FA0D37">
        <w:rPr>
          <w:color w:val="993366"/>
        </w:rPr>
        <w:t xml:space="preserve"> OF</w:t>
      </w:r>
      <w:r w:rsidRPr="00FA0D37">
        <w:t xml:space="preserve"> ConfiguredGrantConfigType2DeactivationState-r16</w:t>
      </w:r>
    </w:p>
    <w:p w14:paraId="28D3A6A3" w14:textId="77777777" w:rsidR="00394471" w:rsidRPr="00FA0D37" w:rsidRDefault="00394471" w:rsidP="00FA0D37">
      <w:pPr>
        <w:pStyle w:val="PL"/>
      </w:pPr>
    </w:p>
    <w:p w14:paraId="5AAC9221" w14:textId="77777777" w:rsidR="00394471" w:rsidRPr="00FA0D37" w:rsidRDefault="00394471" w:rsidP="00FA0D37">
      <w:pPr>
        <w:pStyle w:val="PL"/>
        <w:rPr>
          <w:color w:val="808080"/>
        </w:rPr>
      </w:pPr>
      <w:r w:rsidRPr="00FA0D37">
        <w:rPr>
          <w:color w:val="808080"/>
        </w:rPr>
        <w:t>-- TAG-BWP-UPLINKDEDICATED-STOP</w:t>
      </w:r>
    </w:p>
    <w:p w14:paraId="296EF0CE" w14:textId="77777777" w:rsidR="00394471" w:rsidRPr="00FA0D37" w:rsidRDefault="00394471" w:rsidP="00FA0D37">
      <w:pPr>
        <w:pStyle w:val="PL"/>
        <w:rPr>
          <w:color w:val="808080"/>
        </w:rPr>
      </w:pPr>
      <w:r w:rsidRPr="00FA0D37">
        <w:rPr>
          <w:color w:val="808080"/>
        </w:rPr>
        <w:t>-- ASN1STOP</w:t>
      </w:r>
    </w:p>
    <w:p w14:paraId="2018C92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FA0D37" w:rsidRDefault="00394471" w:rsidP="00964CC4">
            <w:pPr>
              <w:pStyle w:val="TAH"/>
              <w:rPr>
                <w:szCs w:val="22"/>
                <w:lang w:eastAsia="sv-SE"/>
              </w:rPr>
            </w:pPr>
            <w:r w:rsidRPr="00FA0D37">
              <w:rPr>
                <w:i/>
                <w:szCs w:val="22"/>
                <w:lang w:eastAsia="sv-SE"/>
              </w:rPr>
              <w:lastRenderedPageBreak/>
              <w:t xml:space="preserve">BWP-UplinkDedicated </w:t>
            </w:r>
            <w:r w:rsidRPr="00FA0D37">
              <w:rPr>
                <w:szCs w:val="22"/>
                <w:lang w:eastAsia="sv-SE"/>
              </w:rPr>
              <w:t>field descriptions</w:t>
            </w:r>
          </w:p>
        </w:tc>
      </w:tr>
      <w:tr w:rsidR="005C7FF4" w:rsidRPr="00FA0D37"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FA0D37" w:rsidRDefault="00394471" w:rsidP="00964CC4">
            <w:pPr>
              <w:pStyle w:val="TAL"/>
              <w:rPr>
                <w:szCs w:val="22"/>
                <w:lang w:eastAsia="sv-SE"/>
              </w:rPr>
            </w:pPr>
            <w:r w:rsidRPr="00FA0D37">
              <w:rPr>
                <w:b/>
                <w:i/>
                <w:szCs w:val="22"/>
                <w:lang w:eastAsia="sv-SE"/>
              </w:rPr>
              <w:t>beamFailureRecoveryConfig</w:t>
            </w:r>
          </w:p>
          <w:p w14:paraId="17E5B097" w14:textId="77777777" w:rsidR="00394471" w:rsidRPr="00FA0D37" w:rsidRDefault="00394471" w:rsidP="00964CC4">
            <w:pPr>
              <w:pStyle w:val="TAL"/>
              <w:rPr>
                <w:szCs w:val="22"/>
                <w:lang w:eastAsia="sv-SE"/>
              </w:rPr>
            </w:pPr>
            <w:r w:rsidRPr="00FA0D37">
              <w:rPr>
                <w:szCs w:val="22"/>
                <w:lang w:eastAsia="sv-SE"/>
              </w:rPr>
              <w:t xml:space="preserve">Configuration of beam failure recovery. If </w:t>
            </w:r>
            <w:r w:rsidRPr="00FA0D37">
              <w:rPr>
                <w:i/>
                <w:szCs w:val="22"/>
                <w:lang w:eastAsia="sv-SE"/>
              </w:rPr>
              <w:t>supplementaryUplink</w:t>
            </w:r>
            <w:r w:rsidRPr="00FA0D37">
              <w:rPr>
                <w:szCs w:val="22"/>
                <w:lang w:eastAsia="sv-SE"/>
              </w:rPr>
              <w:t xml:space="preserve"> is present, the field is present only in one of the uplink carriers, either UL or SUL.</w:t>
            </w:r>
          </w:p>
        </w:tc>
      </w:tr>
      <w:tr w:rsidR="005C7FF4" w:rsidRPr="00FA0D37"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FA0D37" w:rsidRDefault="00394471" w:rsidP="00964CC4">
            <w:pPr>
              <w:pStyle w:val="TAL"/>
              <w:rPr>
                <w:szCs w:val="22"/>
                <w:lang w:eastAsia="sv-SE"/>
              </w:rPr>
            </w:pPr>
            <w:r w:rsidRPr="00FA0D37">
              <w:rPr>
                <w:b/>
                <w:i/>
                <w:szCs w:val="22"/>
                <w:lang w:eastAsia="sv-SE"/>
              </w:rPr>
              <w:t>configuredGrantConfig</w:t>
            </w:r>
          </w:p>
          <w:p w14:paraId="468145F8" w14:textId="77777777" w:rsidR="00394471" w:rsidRPr="00FA0D37" w:rsidRDefault="00394471" w:rsidP="00964CC4">
            <w:pPr>
              <w:pStyle w:val="TAL"/>
              <w:rPr>
                <w:szCs w:val="22"/>
                <w:lang w:eastAsia="sv-SE"/>
              </w:rPr>
            </w:pPr>
            <w:r w:rsidRPr="00FA0D37">
              <w:rPr>
                <w:szCs w:val="22"/>
                <w:lang w:eastAsia="sv-SE"/>
              </w:rPr>
              <w:t xml:space="preserve">A </w:t>
            </w:r>
            <w:r w:rsidRPr="00FA0D37">
              <w:rPr>
                <w:i/>
                <w:lang w:eastAsia="sv-SE"/>
              </w:rPr>
              <w:t>Configured-Grant</w:t>
            </w:r>
            <w:r w:rsidRPr="00FA0D37">
              <w:rPr>
                <w:szCs w:val="22"/>
                <w:lang w:eastAsia="sv-SE"/>
              </w:rPr>
              <w:t xml:space="preserve"> of </w:t>
            </w:r>
            <w:r w:rsidRPr="00FA0D37">
              <w:rPr>
                <w:i/>
                <w:lang w:eastAsia="sv-SE"/>
              </w:rPr>
              <w:t>typ</w:t>
            </w:r>
            <w:r w:rsidRPr="00FA0D37">
              <w:rPr>
                <w:i/>
                <w:szCs w:val="22"/>
                <w:lang w:eastAsia="sv-SE"/>
              </w:rPr>
              <w:t>e</w:t>
            </w:r>
            <w:r w:rsidRPr="00FA0D37">
              <w:rPr>
                <w:i/>
                <w:lang w:eastAsia="sv-SE"/>
              </w:rPr>
              <w:t>1</w:t>
            </w:r>
            <w:r w:rsidRPr="00FA0D37">
              <w:rPr>
                <w:szCs w:val="22"/>
                <w:lang w:eastAsia="sv-SE"/>
              </w:rPr>
              <w:t xml:space="preserve"> or </w:t>
            </w:r>
            <w:r w:rsidRPr="00FA0D37">
              <w:rPr>
                <w:i/>
                <w:lang w:eastAsia="sv-SE"/>
              </w:rPr>
              <w:t>type2</w:t>
            </w:r>
            <w:r w:rsidRPr="00FA0D37">
              <w:rPr>
                <w:szCs w:val="22"/>
                <w:lang w:eastAsia="sv-SE"/>
              </w:rPr>
              <w:t xml:space="preserve">. It may be configured for UL or SUL but in case of </w:t>
            </w:r>
            <w:r w:rsidRPr="00FA0D37">
              <w:rPr>
                <w:i/>
                <w:szCs w:val="22"/>
                <w:lang w:eastAsia="sv-SE"/>
              </w:rPr>
              <w:t>type1</w:t>
            </w:r>
            <w:r w:rsidRPr="00FA0D37">
              <w:rPr>
                <w:szCs w:val="22"/>
                <w:lang w:eastAsia="sv-SE"/>
              </w:rPr>
              <w:t xml:space="preserve"> not for both at a time. Except for reconfiguration with sync, the NW does not reconfigure </w:t>
            </w:r>
            <w:r w:rsidRPr="00FA0D37">
              <w:rPr>
                <w:i/>
                <w:lang w:eastAsia="sv-SE"/>
              </w:rPr>
              <w:t>configuredGrantConfig</w:t>
            </w:r>
            <w:r w:rsidRPr="00FA0D37">
              <w:rPr>
                <w:lang w:eastAsia="sv-SE"/>
              </w:rPr>
              <w:t xml:space="preserve"> </w:t>
            </w:r>
            <w:r w:rsidRPr="00FA0D37">
              <w:rPr>
                <w:szCs w:val="22"/>
                <w:lang w:eastAsia="sv-SE"/>
              </w:rPr>
              <w:t xml:space="preserve">when there is an active </w:t>
            </w:r>
            <w:r w:rsidRPr="00FA0D37">
              <w:rPr>
                <w:lang w:eastAsia="sv-SE"/>
              </w:rPr>
              <w:t xml:space="preserve">configured uplink grant Type 2 </w:t>
            </w:r>
            <w:r w:rsidRPr="00FA0D37">
              <w:rPr>
                <w:szCs w:val="22"/>
                <w:lang w:eastAsia="sv-SE"/>
              </w:rPr>
              <w:t xml:space="preserve">(see TS 38.321 [3]). However, the NW may release the </w:t>
            </w:r>
            <w:r w:rsidRPr="00FA0D37">
              <w:rPr>
                <w:i/>
                <w:lang w:eastAsia="sv-SE"/>
              </w:rPr>
              <w:t>configuredGrantConfig</w:t>
            </w:r>
            <w:r w:rsidRPr="00FA0D37">
              <w:rPr>
                <w:lang w:eastAsia="sv-SE"/>
              </w:rPr>
              <w:t xml:space="preserve"> </w:t>
            </w:r>
            <w:r w:rsidRPr="00FA0D37">
              <w:rPr>
                <w:szCs w:val="22"/>
                <w:lang w:eastAsia="sv-SE"/>
              </w:rPr>
              <w:t>at any time.</w:t>
            </w:r>
            <w:r w:rsidRPr="00FA0D37">
              <w:rPr>
                <w:szCs w:val="22"/>
              </w:rPr>
              <w:t xml:space="preserve"> </w:t>
            </w:r>
            <w:r w:rsidRPr="00FA0D37">
              <w:rPr>
                <w:szCs w:val="22"/>
                <w:lang w:eastAsia="sv-SE"/>
              </w:rPr>
              <w:t xml:space="preserve">Network can only configure configured grant in one BWP using either this field or </w:t>
            </w:r>
            <w:r w:rsidRPr="00FA0D37">
              <w:rPr>
                <w:i/>
                <w:iCs/>
                <w:szCs w:val="22"/>
                <w:lang w:eastAsia="sv-SE"/>
              </w:rPr>
              <w:t>configuredGrantConfigToAddModList.</w:t>
            </w:r>
          </w:p>
        </w:tc>
      </w:tr>
      <w:tr w:rsidR="005C7FF4" w:rsidRPr="00FA0D37"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FA0D37" w:rsidRDefault="00394471" w:rsidP="00964CC4">
            <w:pPr>
              <w:pStyle w:val="TAL"/>
              <w:rPr>
                <w:b/>
                <w:i/>
                <w:szCs w:val="22"/>
                <w:lang w:eastAsia="sv-SE"/>
              </w:rPr>
            </w:pPr>
            <w:r w:rsidRPr="00FA0D37">
              <w:rPr>
                <w:b/>
                <w:i/>
                <w:szCs w:val="22"/>
                <w:lang w:eastAsia="sv-SE"/>
              </w:rPr>
              <w:t>configuredGrantConfig</w:t>
            </w:r>
            <w:r w:rsidRPr="00FA0D37">
              <w:rPr>
                <w:b/>
                <w:i/>
                <w:szCs w:val="22"/>
              </w:rPr>
              <w:t>ToAddMod</w:t>
            </w:r>
            <w:r w:rsidRPr="00FA0D37">
              <w:rPr>
                <w:b/>
                <w:i/>
                <w:szCs w:val="22"/>
                <w:lang w:eastAsia="sv-SE"/>
              </w:rPr>
              <w:t>List</w:t>
            </w:r>
          </w:p>
          <w:p w14:paraId="05FD9136" w14:textId="32FE6284" w:rsidR="00394471" w:rsidRPr="00FA0D37" w:rsidRDefault="00394471" w:rsidP="00964CC4">
            <w:pPr>
              <w:pStyle w:val="TAL"/>
              <w:rPr>
                <w:b/>
                <w:i/>
                <w:szCs w:val="22"/>
                <w:lang w:eastAsia="sv-SE"/>
              </w:rPr>
            </w:pPr>
            <w:r w:rsidRPr="00FA0D37">
              <w:t>Indicates a</w:t>
            </w:r>
            <w:r w:rsidRPr="00FA0D37">
              <w:rPr>
                <w:lang w:eastAsia="sv-SE"/>
              </w:rPr>
              <w:t xml:space="preserve"> list of </w:t>
            </w:r>
            <w:r w:rsidRPr="00FA0D37">
              <w:t>one or more</w:t>
            </w:r>
            <w:r w:rsidRPr="00FA0D37">
              <w:rPr>
                <w:lang w:eastAsia="sv-SE"/>
              </w:rPr>
              <w:t xml:space="preserve"> configured grant configurations </w:t>
            </w:r>
            <w:r w:rsidRPr="00FA0D37">
              <w:t xml:space="preserve">to be added or modified </w:t>
            </w:r>
            <w:r w:rsidRPr="00FA0D37">
              <w:rPr>
                <w:lang w:eastAsia="sv-SE"/>
              </w:rPr>
              <w:t>for one BWP. Except for reconfiguration with sync, the NW does not reconfigure a Type 2 configured grant configuration when it is active (see TS 38.321 [3]).</w:t>
            </w:r>
            <w:r w:rsidR="009322A6" w:rsidRPr="00FA0D37">
              <w:rPr>
                <w:lang w:eastAsia="sv-SE"/>
              </w:rPr>
              <w:t xml:space="preserve"> The network configures multiple CG configurations </w:t>
            </w:r>
            <w:r w:rsidR="000056EE" w:rsidRPr="00FA0D37">
              <w:rPr>
                <w:lang w:eastAsia="sv-SE"/>
              </w:rPr>
              <w:t xml:space="preserve">for one BWP </w:t>
            </w:r>
            <w:r w:rsidR="009322A6" w:rsidRPr="00FA0D37">
              <w:rPr>
                <w:lang w:eastAsia="sv-SE"/>
              </w:rPr>
              <w:t xml:space="preserve">with either all configurations or no configuration configured with </w:t>
            </w:r>
            <w:r w:rsidR="009322A6" w:rsidRPr="00FA0D37">
              <w:rPr>
                <w:i/>
                <w:iCs/>
                <w:lang w:eastAsia="sv-SE"/>
              </w:rPr>
              <w:t>cg-RetransmissionTimer-r16</w:t>
            </w:r>
            <w:r w:rsidR="009322A6" w:rsidRPr="00FA0D37">
              <w:rPr>
                <w:lang w:eastAsia="sv-SE"/>
              </w:rPr>
              <w:t>.</w:t>
            </w:r>
          </w:p>
        </w:tc>
      </w:tr>
      <w:tr w:rsidR="005C7FF4" w:rsidRPr="00FA0D37"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FA0D37" w:rsidRDefault="00394471" w:rsidP="00964CC4">
            <w:pPr>
              <w:pStyle w:val="TAL"/>
              <w:rPr>
                <w:b/>
                <w:i/>
                <w:lang w:eastAsia="sv-SE"/>
              </w:rPr>
            </w:pPr>
            <w:r w:rsidRPr="00FA0D37">
              <w:rPr>
                <w:b/>
                <w:i/>
                <w:lang w:eastAsia="sv-SE"/>
              </w:rPr>
              <w:t>configuredGrantConfigToReleaseList</w:t>
            </w:r>
          </w:p>
          <w:p w14:paraId="24248B30" w14:textId="77777777" w:rsidR="00394471" w:rsidRPr="00FA0D37" w:rsidRDefault="00394471" w:rsidP="00964CC4">
            <w:pPr>
              <w:pStyle w:val="TAL"/>
              <w:rPr>
                <w:b/>
                <w:i/>
                <w:szCs w:val="22"/>
                <w:lang w:eastAsia="sv-SE"/>
              </w:rPr>
            </w:pPr>
            <w:r w:rsidRPr="00FA0D37">
              <w:rPr>
                <w:lang w:eastAsia="sv-SE"/>
              </w:rPr>
              <w:t>Indicates a list of one or more UL Configured Grant configurations to be released. The NW may release a configured grant configuration at any time.</w:t>
            </w:r>
          </w:p>
        </w:tc>
      </w:tr>
      <w:tr w:rsidR="005C7FF4" w:rsidRPr="00FA0D37"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FA0D37" w:rsidRDefault="00394471" w:rsidP="00964CC4">
            <w:pPr>
              <w:pStyle w:val="TAL"/>
              <w:rPr>
                <w:b/>
                <w:i/>
                <w:lang w:eastAsia="sv-SE"/>
              </w:rPr>
            </w:pPr>
            <w:r w:rsidRPr="00FA0D37">
              <w:rPr>
                <w:b/>
                <w:i/>
                <w:lang w:eastAsia="sv-SE"/>
              </w:rPr>
              <w:t>configuredGrantConfigType2DeactivationStateList</w:t>
            </w:r>
          </w:p>
          <w:p w14:paraId="1C93B4C7" w14:textId="6D232357" w:rsidR="00394471" w:rsidRPr="00FA0D37" w:rsidRDefault="00394471" w:rsidP="00964CC4">
            <w:pPr>
              <w:pStyle w:val="TAL"/>
              <w:rPr>
                <w:b/>
                <w:i/>
                <w:szCs w:val="22"/>
                <w:lang w:eastAsia="sv-SE"/>
              </w:rPr>
            </w:pPr>
            <w:r w:rsidRPr="00FA0D37">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FA0D37">
              <w:rPr>
                <w:lang w:eastAsia="sv-SE"/>
              </w:rPr>
              <w:t>10.2</w:t>
            </w:r>
            <w:r w:rsidRPr="00FA0D37">
              <w:rPr>
                <w:lang w:eastAsia="sv-SE"/>
              </w:rPr>
              <w:t xml:space="preserve"> in TS </w:t>
            </w:r>
            <w:r w:rsidR="00A10F0E" w:rsidRPr="00FA0D37">
              <w:rPr>
                <w:lang w:eastAsia="sv-SE"/>
              </w:rPr>
              <w:t>38.213 [13]</w:t>
            </w:r>
            <w:r w:rsidRPr="00FA0D37">
              <w:rPr>
                <w:lang w:eastAsia="sv-SE"/>
              </w:rPr>
              <w:t>.</w:t>
            </w:r>
          </w:p>
        </w:tc>
      </w:tr>
      <w:tr w:rsidR="005C7FF4" w:rsidRPr="00FA0D37"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FA0D37" w:rsidRDefault="00394471" w:rsidP="00964CC4">
            <w:pPr>
              <w:pStyle w:val="TAL"/>
              <w:rPr>
                <w:szCs w:val="22"/>
                <w:lang w:eastAsia="sv-SE"/>
              </w:rPr>
            </w:pPr>
            <w:r w:rsidRPr="00FA0D37">
              <w:rPr>
                <w:b/>
                <w:i/>
                <w:szCs w:val="22"/>
                <w:lang w:eastAsia="sv-SE"/>
              </w:rPr>
              <w:t>cp-ExtensionC2, cp-ExtensionC3</w:t>
            </w:r>
          </w:p>
          <w:p w14:paraId="7AFC2C5F" w14:textId="17A397F4" w:rsidR="00394471" w:rsidRPr="00FA0D37" w:rsidRDefault="00394471" w:rsidP="00964CC4">
            <w:pPr>
              <w:pStyle w:val="TAL"/>
              <w:rPr>
                <w:b/>
                <w:i/>
                <w:szCs w:val="22"/>
                <w:lang w:eastAsia="sv-SE"/>
              </w:rPr>
            </w:pPr>
            <w:r w:rsidRPr="00FA0D37">
              <w:rPr>
                <w:szCs w:val="22"/>
                <w:lang w:eastAsia="sv-SE"/>
              </w:rPr>
              <w:t>Configures the cyclic prefix (CP) extension (see TS 38.211 [16], clause 5.3.1). For 15 kHz SCS, {1..28} are valid</w:t>
            </w:r>
            <w:r w:rsidRPr="00FA0D37">
              <w:rPr>
                <w:szCs w:val="22"/>
              </w:rPr>
              <w:t xml:space="preserve"> </w:t>
            </w:r>
            <w:r w:rsidRPr="00FA0D37">
              <w:rPr>
                <w:bCs/>
                <w:szCs w:val="22"/>
              </w:rPr>
              <w:t xml:space="preserve">for both </w:t>
            </w:r>
            <w:r w:rsidRPr="00FA0D37">
              <w:rPr>
                <w:bCs/>
                <w:i/>
                <w:iCs/>
                <w:szCs w:val="22"/>
              </w:rPr>
              <w:t>cp-ExtensionC2</w:t>
            </w:r>
            <w:r w:rsidRPr="00FA0D37">
              <w:rPr>
                <w:bCs/>
                <w:szCs w:val="22"/>
              </w:rPr>
              <w:t xml:space="preserve"> and </w:t>
            </w:r>
            <w:r w:rsidRPr="00FA0D37">
              <w:rPr>
                <w:bCs/>
                <w:i/>
                <w:iCs/>
                <w:szCs w:val="22"/>
              </w:rPr>
              <w:t>cp-ExtensionC3</w:t>
            </w:r>
            <w:r w:rsidRPr="00FA0D37">
              <w:rPr>
                <w:szCs w:val="22"/>
                <w:lang w:eastAsia="sv-SE"/>
              </w:rPr>
              <w:t xml:space="preserve">. </w:t>
            </w:r>
            <w:r w:rsidRPr="00FA0D37">
              <w:rPr>
                <w:bCs/>
                <w:szCs w:val="22"/>
              </w:rPr>
              <w:t xml:space="preserve">For 30 kHz SCS, {1..28} are valid for </w:t>
            </w:r>
            <w:r w:rsidRPr="00FA0D37">
              <w:rPr>
                <w:bCs/>
                <w:i/>
                <w:szCs w:val="22"/>
              </w:rPr>
              <w:t>cp-ExtensionC2</w:t>
            </w:r>
            <w:r w:rsidRPr="00FA0D37">
              <w:rPr>
                <w:bCs/>
                <w:iCs/>
                <w:szCs w:val="22"/>
              </w:rPr>
              <w:t xml:space="preserve"> and </w:t>
            </w:r>
            <w:r w:rsidRPr="00FA0D37">
              <w:rPr>
                <w:bCs/>
                <w:szCs w:val="22"/>
              </w:rPr>
              <w:t xml:space="preserve">{2..28} are valid for </w:t>
            </w:r>
            <w:r w:rsidRPr="00FA0D37">
              <w:rPr>
                <w:bCs/>
                <w:i/>
                <w:szCs w:val="22"/>
              </w:rPr>
              <w:t>cp-ExtensionC3.</w:t>
            </w:r>
            <w:r w:rsidRPr="00FA0D37">
              <w:rPr>
                <w:bCs/>
                <w:iCs/>
                <w:szCs w:val="22"/>
              </w:rPr>
              <w:t xml:space="preserve"> </w:t>
            </w:r>
            <w:r w:rsidRPr="00FA0D37">
              <w:rPr>
                <w:szCs w:val="22"/>
                <w:lang w:eastAsia="sv-SE"/>
              </w:rPr>
              <w:t>For 60 kHz SCS, {2..28} are valid</w:t>
            </w:r>
            <w:r w:rsidRPr="00FA0D37">
              <w:rPr>
                <w:szCs w:val="22"/>
              </w:rPr>
              <w:t xml:space="preserve"> </w:t>
            </w:r>
            <w:r w:rsidRPr="00FA0D37">
              <w:rPr>
                <w:bCs/>
                <w:szCs w:val="22"/>
              </w:rPr>
              <w:t xml:space="preserve">for </w:t>
            </w:r>
            <w:r w:rsidRPr="00FA0D37">
              <w:rPr>
                <w:bCs/>
                <w:i/>
                <w:szCs w:val="22"/>
              </w:rPr>
              <w:t>cp-ExtensionC2</w:t>
            </w:r>
            <w:r w:rsidRPr="00FA0D37">
              <w:rPr>
                <w:bCs/>
                <w:iCs/>
                <w:szCs w:val="22"/>
              </w:rPr>
              <w:t xml:space="preserve"> and </w:t>
            </w:r>
            <w:r w:rsidRPr="00FA0D37">
              <w:rPr>
                <w:bCs/>
                <w:szCs w:val="22"/>
              </w:rPr>
              <w:t xml:space="preserve">{3..28} are valid for </w:t>
            </w:r>
            <w:r w:rsidRPr="00FA0D37">
              <w:rPr>
                <w:bCs/>
                <w:i/>
                <w:szCs w:val="22"/>
              </w:rPr>
              <w:t>cp-ExtensionC3</w:t>
            </w:r>
            <w:r w:rsidRPr="00FA0D37">
              <w:rPr>
                <w:szCs w:val="22"/>
                <w:lang w:eastAsia="sv-SE"/>
              </w:rPr>
              <w:t>.</w:t>
            </w:r>
          </w:p>
        </w:tc>
      </w:tr>
      <w:tr w:rsidR="005C7FF4" w:rsidRPr="00FA0D37"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FA0D37" w:rsidRDefault="00394471" w:rsidP="00964CC4">
            <w:pPr>
              <w:pStyle w:val="TAL"/>
              <w:rPr>
                <w:b/>
                <w:i/>
                <w:szCs w:val="22"/>
              </w:rPr>
            </w:pPr>
            <w:r w:rsidRPr="00FA0D37">
              <w:rPr>
                <w:b/>
                <w:i/>
                <w:szCs w:val="22"/>
              </w:rPr>
              <w:t>lbt-FailureRecoveryConfig</w:t>
            </w:r>
          </w:p>
          <w:p w14:paraId="2759E893" w14:textId="77777777" w:rsidR="00394471" w:rsidRPr="00FA0D37" w:rsidRDefault="00394471" w:rsidP="00964CC4">
            <w:pPr>
              <w:pStyle w:val="TAL"/>
              <w:rPr>
                <w:b/>
                <w:i/>
                <w:szCs w:val="22"/>
                <w:lang w:eastAsia="sv-SE"/>
              </w:rPr>
            </w:pPr>
            <w:r w:rsidRPr="00FA0D37">
              <w:rPr>
                <w:bCs/>
                <w:iCs/>
                <w:szCs w:val="22"/>
              </w:rPr>
              <w:t>Configures parameters used for detection of consistent uplink LBT failures for operation</w:t>
            </w:r>
            <w:r w:rsidRPr="00FA0D37">
              <w:rPr>
                <w:b/>
                <w:iCs/>
                <w:szCs w:val="22"/>
              </w:rPr>
              <w:t xml:space="preserve"> </w:t>
            </w:r>
            <w:r w:rsidRPr="00FA0D37">
              <w:rPr>
                <w:bCs/>
                <w:iCs/>
                <w:szCs w:val="22"/>
              </w:rPr>
              <w:t>with shared spectrum channel access, as specified in TS 38.321 [3].</w:t>
            </w:r>
          </w:p>
        </w:tc>
      </w:tr>
      <w:tr w:rsidR="005C7FF4" w:rsidRPr="00FA0D37"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FA0D37" w:rsidRDefault="00184EE0" w:rsidP="00184EE0">
            <w:pPr>
              <w:pStyle w:val="TAL"/>
              <w:rPr>
                <w:b/>
                <w:i/>
                <w:szCs w:val="22"/>
              </w:rPr>
            </w:pPr>
            <w:r w:rsidRPr="00FA0D37">
              <w:rPr>
                <w:b/>
                <w:i/>
                <w:szCs w:val="22"/>
              </w:rPr>
              <w:t>pathlossReferenceRSToAddModList</w:t>
            </w:r>
          </w:p>
          <w:p w14:paraId="472536F4" w14:textId="67BA6C50" w:rsidR="00184EE0" w:rsidRPr="00FA0D37" w:rsidRDefault="00184EE0" w:rsidP="00184EE0">
            <w:pPr>
              <w:pStyle w:val="TAL"/>
              <w:rPr>
                <w:b/>
                <w:i/>
                <w:szCs w:val="22"/>
              </w:rPr>
            </w:pPr>
            <w:r w:rsidRPr="00FA0D37">
              <w:rPr>
                <w:bCs/>
                <w:iCs/>
                <w:szCs w:val="22"/>
              </w:rPr>
              <w:t>A list of Reference Signals (e.g. a CSI-RS config or a SS block) to be used for path loss estimation</w:t>
            </w:r>
            <w:r w:rsidRPr="00FA0D37">
              <w:t xml:space="preserve"> </w:t>
            </w:r>
            <w:r w:rsidRPr="00FA0D37">
              <w:rPr>
                <w:bCs/>
                <w:iCs/>
                <w:szCs w:val="22"/>
              </w:rPr>
              <w:t xml:space="preserve">for PUSCH, PUCCH and SRS for unified TCI state operation. If </w:t>
            </w:r>
            <w:r w:rsidRPr="00FA0D37">
              <w:rPr>
                <w:bCs/>
                <w:i/>
                <w:szCs w:val="22"/>
              </w:rPr>
              <w:t>unifiedTCI-StateType</w:t>
            </w:r>
            <w:r w:rsidRPr="00FA0D37">
              <w:rPr>
                <w:bCs/>
                <w:iCs/>
                <w:szCs w:val="22"/>
              </w:rPr>
              <w:t xml:space="preserve"> is not configured for the serving cell,</w:t>
            </w:r>
            <w:r w:rsidRPr="00FA0D37">
              <w:rPr>
                <w:szCs w:val="22"/>
                <w:lang w:eastAsia="sv-SE"/>
              </w:rPr>
              <w:t xml:space="preserve"> no element in this list is configured.</w:t>
            </w:r>
          </w:p>
        </w:tc>
      </w:tr>
      <w:tr w:rsidR="005C7FF4" w:rsidRPr="00FA0D37"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FA0D37" w:rsidRDefault="00394471" w:rsidP="00964CC4">
            <w:pPr>
              <w:pStyle w:val="TAL"/>
              <w:rPr>
                <w:szCs w:val="22"/>
                <w:lang w:eastAsia="sv-SE"/>
              </w:rPr>
            </w:pPr>
            <w:r w:rsidRPr="00FA0D37">
              <w:rPr>
                <w:b/>
                <w:i/>
                <w:szCs w:val="22"/>
                <w:lang w:eastAsia="sv-SE"/>
              </w:rPr>
              <w:t>pucch-Config</w:t>
            </w:r>
          </w:p>
          <w:p w14:paraId="7F843494" w14:textId="7809880C" w:rsidR="00394471" w:rsidRPr="00FA0D37" w:rsidRDefault="00394471" w:rsidP="00964CC4">
            <w:pPr>
              <w:pStyle w:val="TAL"/>
              <w:rPr>
                <w:szCs w:val="22"/>
                <w:lang w:eastAsia="sv-SE"/>
              </w:rPr>
            </w:pPr>
            <w:r w:rsidRPr="00FA0D37">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FA0D37">
              <w:rPr>
                <w:i/>
                <w:szCs w:val="22"/>
                <w:lang w:eastAsia="sv-SE"/>
              </w:rPr>
              <w:t>PUCCH-Config</w:t>
            </w:r>
            <w:r w:rsidRPr="00FA0D37">
              <w:rPr>
                <w:szCs w:val="22"/>
                <w:lang w:eastAsia="sv-SE"/>
              </w:rPr>
              <w:t xml:space="preserve"> at least on non-initial BWP(s) for SpCell and </w:t>
            </w:r>
            <w:r w:rsidR="000A4C66" w:rsidRPr="00FA0D37">
              <w:rPr>
                <w:szCs w:val="22"/>
              </w:rPr>
              <w:t xml:space="preserve">on all </w:t>
            </w:r>
            <w:r w:rsidR="00156D01" w:rsidRPr="00FA0D37">
              <w:rPr>
                <w:szCs w:val="22"/>
              </w:rPr>
              <w:t>BWP</w:t>
            </w:r>
            <w:r w:rsidR="000A4C66" w:rsidRPr="00FA0D37">
              <w:rPr>
                <w:szCs w:val="22"/>
              </w:rPr>
              <w:t xml:space="preserve">(s) for </w:t>
            </w:r>
            <w:r w:rsidRPr="00FA0D37">
              <w:rPr>
                <w:szCs w:val="22"/>
                <w:lang w:eastAsia="sv-SE"/>
              </w:rPr>
              <w:t xml:space="preserve">PUCCH SCell. If supported by the UE, the network may configure at most one additional SCell of a cell group with </w:t>
            </w:r>
            <w:r w:rsidRPr="00FA0D37">
              <w:rPr>
                <w:i/>
                <w:szCs w:val="22"/>
                <w:lang w:eastAsia="sv-SE"/>
              </w:rPr>
              <w:t>PUCCH-Config</w:t>
            </w:r>
            <w:r w:rsidRPr="00FA0D37">
              <w:rPr>
                <w:szCs w:val="22"/>
                <w:lang w:eastAsia="sv-SE"/>
              </w:rPr>
              <w:t xml:space="preserve"> (i.e. PUCCH SCell)</w:t>
            </w:r>
            <w:r w:rsidR="00747D55" w:rsidRPr="00FA0D37">
              <w:rPr>
                <w:szCs w:val="22"/>
                <w:lang w:eastAsia="sv-SE"/>
              </w:rPr>
              <w:t>.</w:t>
            </w:r>
            <w:r w:rsidR="009322A6" w:rsidRPr="00FA0D37">
              <w:rPr>
                <w:szCs w:val="22"/>
                <w:lang w:eastAsia="sv-SE"/>
              </w:rPr>
              <w:t xml:space="preserve"> </w:t>
            </w:r>
            <w:r w:rsidR="00747D55" w:rsidRPr="00FA0D37">
              <w:rPr>
                <w:szCs w:val="22"/>
                <w:lang w:eastAsia="sv-SE"/>
              </w:rPr>
              <w:t>I</w:t>
            </w:r>
            <w:r w:rsidR="009322A6" w:rsidRPr="00FA0D37">
              <w:rPr>
                <w:szCs w:val="22"/>
                <w:lang w:eastAsia="sv-SE"/>
              </w:rPr>
              <w:t xml:space="preserve">f PUCCH cell switching is supported by the UE, the network may configure </w:t>
            </w:r>
            <w:r w:rsidR="00B70E96" w:rsidRPr="00FA0D37">
              <w:rPr>
                <w:szCs w:val="22"/>
                <w:lang w:eastAsia="sv-SE"/>
              </w:rPr>
              <w:t>two TDD serving cells</w:t>
            </w:r>
            <w:r w:rsidR="009322A6" w:rsidRPr="00FA0D37">
              <w:rPr>
                <w:szCs w:val="22"/>
                <w:lang w:eastAsia="sv-SE"/>
              </w:rPr>
              <w:t xml:space="preserve"> with </w:t>
            </w:r>
            <w:r w:rsidR="009322A6" w:rsidRPr="00FA0D37">
              <w:rPr>
                <w:i/>
                <w:iCs/>
                <w:szCs w:val="22"/>
                <w:lang w:eastAsia="sv-SE"/>
              </w:rPr>
              <w:t>PUCCH-Config</w:t>
            </w:r>
            <w:r w:rsidR="009322A6" w:rsidRPr="00FA0D37">
              <w:rPr>
                <w:szCs w:val="22"/>
                <w:lang w:eastAsia="sv-SE"/>
              </w:rPr>
              <w:t xml:space="preserve"> within each PUCCH group</w:t>
            </w:r>
            <w:r w:rsidR="00747D55" w:rsidRPr="00FA0D37">
              <w:rPr>
                <w:szCs w:val="22"/>
                <w:lang w:eastAsia="sv-SE"/>
              </w:rPr>
              <w:t>.</w:t>
            </w:r>
            <w:r w:rsidR="00B70E96" w:rsidRPr="00FA0D37">
              <w:rPr>
                <w:szCs w:val="22"/>
                <w:lang w:eastAsia="sv-SE"/>
              </w:rPr>
              <w:t xml:space="preserve"> </w:t>
            </w:r>
            <w:r w:rsidR="00747D55" w:rsidRPr="00FA0D37">
              <w:rPr>
                <w:szCs w:val="22"/>
                <w:lang w:eastAsia="sv-SE"/>
              </w:rPr>
              <w:t>F</w:t>
            </w:r>
            <w:r w:rsidR="00B70E96" w:rsidRPr="00FA0D37">
              <w:rPr>
                <w:szCs w:val="22"/>
                <w:lang w:eastAsia="sv-SE"/>
              </w:rPr>
              <w:t xml:space="preserve">or supporting PUCCH cell switching in the PUCCH group with the SpCell, the TDD SpCell and one TDD SCell shall have </w:t>
            </w:r>
            <w:r w:rsidR="00B70E96" w:rsidRPr="00FA0D37">
              <w:rPr>
                <w:i/>
                <w:szCs w:val="22"/>
                <w:lang w:eastAsia="sv-SE"/>
              </w:rPr>
              <w:t>PUCCH-Config</w:t>
            </w:r>
            <w:r w:rsidR="00B70E96" w:rsidRPr="00FA0D37">
              <w:rPr>
                <w:szCs w:val="22"/>
                <w:lang w:eastAsia="sv-SE"/>
              </w:rPr>
              <w:t xml:space="preserve"> on their normal UL</w:t>
            </w:r>
            <w:r w:rsidR="00747D55" w:rsidRPr="00FA0D37">
              <w:rPr>
                <w:szCs w:val="22"/>
                <w:lang w:eastAsia="sv-SE"/>
              </w:rPr>
              <w:t>.</w:t>
            </w:r>
            <w:r w:rsidR="00B70E96" w:rsidRPr="00FA0D37">
              <w:rPr>
                <w:szCs w:val="22"/>
                <w:lang w:eastAsia="sv-SE"/>
              </w:rPr>
              <w:t xml:space="preserve"> </w:t>
            </w:r>
            <w:r w:rsidR="00747D55" w:rsidRPr="00FA0D37">
              <w:rPr>
                <w:szCs w:val="22"/>
                <w:lang w:eastAsia="sv-SE"/>
              </w:rPr>
              <w:t>F</w:t>
            </w:r>
            <w:r w:rsidR="00B70E96" w:rsidRPr="00FA0D37">
              <w:rPr>
                <w:szCs w:val="22"/>
                <w:lang w:eastAsia="sv-SE"/>
              </w:rPr>
              <w:t>or supporting PUCCH cell switching in the PUCCH group with only SCells, two TDD SCells shall have</w:t>
            </w:r>
            <w:r w:rsidR="00B70E96" w:rsidRPr="00FA0D37">
              <w:rPr>
                <w:i/>
                <w:szCs w:val="22"/>
                <w:lang w:eastAsia="sv-SE"/>
              </w:rPr>
              <w:t xml:space="preserve"> PUCCH-Config</w:t>
            </w:r>
            <w:r w:rsidR="00B70E96" w:rsidRPr="00FA0D37">
              <w:rPr>
                <w:szCs w:val="22"/>
                <w:lang w:eastAsia="sv-SE"/>
              </w:rPr>
              <w:t xml:space="preserve"> on their normal UL</w:t>
            </w:r>
            <w:r w:rsidRPr="00FA0D37">
              <w:rPr>
                <w:szCs w:val="22"/>
                <w:lang w:eastAsia="sv-SE"/>
              </w:rPr>
              <w:t>.</w:t>
            </w:r>
          </w:p>
          <w:p w14:paraId="0DE20383" w14:textId="77777777" w:rsidR="00394471" w:rsidRPr="00FA0D37" w:rsidRDefault="00394471" w:rsidP="00964CC4">
            <w:pPr>
              <w:pStyle w:val="TAL"/>
              <w:rPr>
                <w:szCs w:val="22"/>
                <w:lang w:eastAsia="sv-SE"/>
              </w:rPr>
            </w:pPr>
            <w:r w:rsidRPr="00FA0D37">
              <w:rPr>
                <w:szCs w:val="22"/>
                <w:lang w:eastAsia="sv-SE"/>
              </w:rPr>
              <w:t>In</w:t>
            </w:r>
            <w:r w:rsidRPr="00FA0D37">
              <w:rPr>
                <w:rFonts w:cs="Arial"/>
                <w:szCs w:val="22"/>
              </w:rPr>
              <w:t xml:space="preserve"> (NG)</w:t>
            </w:r>
            <w:r w:rsidRPr="00FA0D37">
              <w:rPr>
                <w:szCs w:val="22"/>
                <w:lang w:eastAsia="sv-SE"/>
              </w:rPr>
              <w:t>EN-DC</w:t>
            </w:r>
            <w:r w:rsidRPr="00FA0D37">
              <w:rPr>
                <w:rFonts w:cs="Arial"/>
                <w:szCs w:val="22"/>
              </w:rPr>
              <w:t xml:space="preserve"> and NE-DC</w:t>
            </w:r>
            <w:r w:rsidRPr="00FA0D37">
              <w:rPr>
                <w:szCs w:val="22"/>
                <w:lang w:eastAsia="sv-SE"/>
              </w:rPr>
              <w:t xml:space="preserve">, the NW configures at most one serving cell per frequency range with PUCCH. In </w:t>
            </w:r>
            <w:r w:rsidRPr="00FA0D37">
              <w:rPr>
                <w:rFonts w:cs="Arial"/>
                <w:szCs w:val="22"/>
              </w:rPr>
              <w:t>(NG)</w:t>
            </w:r>
            <w:r w:rsidRPr="00FA0D37">
              <w:rPr>
                <w:szCs w:val="22"/>
                <w:lang w:eastAsia="sv-SE"/>
              </w:rPr>
              <w:t>EN-DC</w:t>
            </w:r>
            <w:r w:rsidRPr="00FA0D37">
              <w:rPr>
                <w:rFonts w:cs="Arial"/>
                <w:szCs w:val="22"/>
              </w:rPr>
              <w:t xml:space="preserve"> and NE-DC</w:t>
            </w:r>
            <w:r w:rsidRPr="00FA0D37">
              <w:rPr>
                <w:szCs w:val="22"/>
                <w:lang w:eastAsia="sv-SE"/>
              </w:rPr>
              <w:t>, if two PUCCH groups are configured, the serving cells of the NR PUCCH group in FR2 use the same numerology.</w:t>
            </w:r>
            <w:r w:rsidRPr="00FA0D37">
              <w:rPr>
                <w:szCs w:val="22"/>
              </w:rPr>
              <w:t xml:space="preserve"> For NR-DC, the maximum number of PUCCH groups in each cell group is one, and only the same numerology is supported for the cell group with carriers only in FR2.</w:t>
            </w:r>
          </w:p>
          <w:p w14:paraId="32AD6D44" w14:textId="77777777" w:rsidR="00394471" w:rsidRPr="00FA0D37" w:rsidRDefault="00394471" w:rsidP="00964CC4">
            <w:pPr>
              <w:pStyle w:val="TAL"/>
              <w:rPr>
                <w:szCs w:val="22"/>
                <w:lang w:eastAsia="sv-SE"/>
              </w:rPr>
            </w:pPr>
            <w:r w:rsidRPr="00FA0D37">
              <w:rPr>
                <w:szCs w:val="22"/>
                <w:lang w:eastAsia="sv-SE"/>
              </w:rPr>
              <w:t xml:space="preserve">The NW may configure PUCCH for a BWP when setting up the BWP. The network may also add/remove the </w:t>
            </w:r>
            <w:r w:rsidRPr="00FA0D37">
              <w:rPr>
                <w:i/>
                <w:szCs w:val="22"/>
                <w:lang w:eastAsia="sv-SE"/>
              </w:rPr>
              <w:t>pucch-Config</w:t>
            </w:r>
            <w:r w:rsidRPr="00FA0D37">
              <w:rPr>
                <w:szCs w:val="22"/>
                <w:lang w:eastAsia="sv-SE"/>
              </w:rPr>
              <w:t xml:space="preserve"> in an </w:t>
            </w:r>
            <w:r w:rsidRPr="00FA0D37">
              <w:rPr>
                <w:i/>
                <w:szCs w:val="22"/>
                <w:lang w:eastAsia="sv-SE"/>
              </w:rPr>
              <w:t>RRCReconfiguration</w:t>
            </w:r>
            <w:r w:rsidRPr="00FA0D37">
              <w:rPr>
                <w:szCs w:val="22"/>
                <w:lang w:eastAsia="sv-SE"/>
              </w:rPr>
              <w:t xml:space="preserve"> with </w:t>
            </w:r>
            <w:r w:rsidRPr="00FA0D37">
              <w:rPr>
                <w:i/>
                <w:szCs w:val="22"/>
                <w:lang w:eastAsia="sv-SE"/>
              </w:rPr>
              <w:t>reconfigurationWithSync</w:t>
            </w:r>
            <w:r w:rsidRPr="00FA0D37">
              <w:rPr>
                <w:szCs w:val="22"/>
                <w:lang w:eastAsia="sv-SE"/>
              </w:rPr>
              <w:t xml:space="preserve"> (for SpCell or </w:t>
            </w:r>
            <w:r w:rsidRPr="00FA0D37">
              <w:rPr>
                <w:szCs w:val="22"/>
                <w:lang w:eastAsia="zh-CN"/>
              </w:rPr>
              <w:t xml:space="preserve">PUCCH </w:t>
            </w:r>
            <w:r w:rsidRPr="00FA0D37">
              <w:rPr>
                <w:szCs w:val="22"/>
                <w:lang w:eastAsia="sv-SE"/>
              </w:rPr>
              <w:t xml:space="preserve">SCell) </w:t>
            </w:r>
            <w:r w:rsidRPr="00FA0D37">
              <w:rPr>
                <w:szCs w:val="22"/>
                <w:lang w:eastAsia="zh-CN"/>
              </w:rPr>
              <w:t xml:space="preserve">or with SCell release and add (for PUCCH SCell) </w:t>
            </w:r>
            <w:r w:rsidRPr="00FA0D37">
              <w:rPr>
                <w:szCs w:val="22"/>
                <w:lang w:eastAsia="sv-SE"/>
              </w:rPr>
              <w:t xml:space="preserve">to move the PUCCH between the UL and SUL carrier of one serving cell. In other cases, only modifications of a previously configured </w:t>
            </w:r>
            <w:r w:rsidRPr="00FA0D37">
              <w:rPr>
                <w:i/>
                <w:lang w:eastAsia="sv-SE"/>
              </w:rPr>
              <w:t>pucch-Config</w:t>
            </w:r>
            <w:r w:rsidRPr="00FA0D37">
              <w:rPr>
                <w:szCs w:val="22"/>
                <w:lang w:eastAsia="sv-SE"/>
              </w:rPr>
              <w:t xml:space="preserve"> are allowed.</w:t>
            </w:r>
          </w:p>
          <w:p w14:paraId="424597C7" w14:textId="77777777" w:rsidR="00394471" w:rsidRPr="00FA0D37" w:rsidRDefault="00394471" w:rsidP="00964CC4">
            <w:pPr>
              <w:pStyle w:val="TAL"/>
              <w:rPr>
                <w:szCs w:val="22"/>
                <w:lang w:eastAsia="sv-SE"/>
              </w:rPr>
            </w:pPr>
            <w:r w:rsidRPr="00FA0D37">
              <w:rPr>
                <w:szCs w:val="22"/>
                <w:lang w:eastAsia="sv-SE"/>
              </w:rPr>
              <w:t>If one (S)UL BWP of a serving cell is configured with PUCCH, all other (S)UL BWPs must be configured with PUCCH, too.</w:t>
            </w:r>
          </w:p>
        </w:tc>
      </w:tr>
      <w:tr w:rsidR="005C7FF4" w:rsidRPr="00FA0D37"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FA0D37" w:rsidRDefault="00394471" w:rsidP="00964CC4">
            <w:pPr>
              <w:pStyle w:val="TAL"/>
              <w:rPr>
                <w:b/>
                <w:bCs/>
                <w:i/>
                <w:iCs/>
                <w:lang w:eastAsia="x-none"/>
              </w:rPr>
            </w:pPr>
            <w:r w:rsidRPr="00FA0D37">
              <w:rPr>
                <w:b/>
                <w:bCs/>
                <w:i/>
                <w:iCs/>
                <w:lang w:eastAsia="x-none"/>
              </w:rPr>
              <w:t>pucch-ConfigurationList</w:t>
            </w:r>
          </w:p>
          <w:p w14:paraId="6E37C23F" w14:textId="5E76C898" w:rsidR="00394471" w:rsidRPr="00FA0D37" w:rsidRDefault="00394471" w:rsidP="00964CC4">
            <w:pPr>
              <w:pStyle w:val="TAL"/>
              <w:rPr>
                <w:lang w:eastAsia="sv-SE"/>
              </w:rPr>
            </w:pPr>
            <w:r w:rsidRPr="00FA0D37">
              <w:rPr>
                <w:lang w:eastAsia="sv-SE"/>
              </w:rPr>
              <w:t>PUCCH configurations for two simultaneously constructed HARQ-ACK codebooks (see TS 38.213 [13], clause 9.1).</w:t>
            </w:r>
            <w:r w:rsidRPr="00FA0D37">
              <w:rPr>
                <w:rFonts w:eastAsiaTheme="minorEastAsia"/>
                <w:lang w:eastAsia="zh-CN"/>
              </w:rPr>
              <w:t xml:space="preserve"> Different PUCCH Resource IDs are configured in different </w:t>
            </w:r>
            <w:r w:rsidRPr="00FA0D37">
              <w:rPr>
                <w:rFonts w:eastAsiaTheme="minorEastAsia"/>
                <w:i/>
                <w:lang w:eastAsia="zh-CN"/>
              </w:rPr>
              <w:t>PUCCH-Config</w:t>
            </w:r>
            <w:r w:rsidRPr="00FA0D37">
              <w:rPr>
                <w:rFonts w:eastAsiaTheme="minorEastAsia"/>
                <w:lang w:eastAsia="zh-CN"/>
              </w:rPr>
              <w:t xml:space="preserve"> within the </w:t>
            </w:r>
            <w:r w:rsidRPr="00FA0D37">
              <w:rPr>
                <w:rFonts w:eastAsiaTheme="minorEastAsia"/>
                <w:i/>
                <w:lang w:eastAsia="zh-CN"/>
              </w:rPr>
              <w:t>pucch-ConfigurationList</w:t>
            </w:r>
            <w:r w:rsidRPr="00FA0D37">
              <w:rPr>
                <w:rFonts w:eastAsiaTheme="minorEastAsia"/>
                <w:lang w:eastAsia="zh-CN"/>
              </w:rPr>
              <w:t xml:space="preserve"> if configured.</w:t>
            </w:r>
          </w:p>
        </w:tc>
      </w:tr>
      <w:tr w:rsidR="005C7FF4" w:rsidRPr="00FA0D37"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FA0D37" w:rsidRDefault="00214323" w:rsidP="00771058">
            <w:pPr>
              <w:pStyle w:val="TAL"/>
              <w:rPr>
                <w:b/>
                <w:bCs/>
                <w:i/>
                <w:iCs/>
                <w:lang w:eastAsia="x-none"/>
              </w:rPr>
            </w:pPr>
            <w:r w:rsidRPr="00FA0D37">
              <w:rPr>
                <w:b/>
                <w:bCs/>
                <w:i/>
                <w:iCs/>
                <w:lang w:eastAsia="x-none"/>
              </w:rPr>
              <w:t>pucch-ConfigurationListMulticast1</w:t>
            </w:r>
          </w:p>
          <w:p w14:paraId="04655403" w14:textId="77777777" w:rsidR="00214323" w:rsidRPr="00FA0D37" w:rsidRDefault="00214323" w:rsidP="00771058">
            <w:pPr>
              <w:pStyle w:val="TAL"/>
              <w:rPr>
                <w:b/>
                <w:bCs/>
                <w:i/>
                <w:iCs/>
                <w:lang w:eastAsia="x-none"/>
              </w:rPr>
            </w:pPr>
            <w:r w:rsidRPr="00FA0D37">
              <w:rPr>
                <w:lang w:eastAsia="sv-SE"/>
              </w:rPr>
              <w:t>PUCCH configurations for two simultaneously constructed HARQ-ACK codebooks for MBS multicast (see TS 38.213, clause 9).</w:t>
            </w:r>
          </w:p>
        </w:tc>
      </w:tr>
      <w:tr w:rsidR="005C7FF4" w:rsidRPr="00FA0D37"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FA0D37" w:rsidRDefault="00214323" w:rsidP="00771058">
            <w:pPr>
              <w:pStyle w:val="TAL"/>
              <w:rPr>
                <w:b/>
                <w:bCs/>
                <w:i/>
                <w:iCs/>
                <w:lang w:eastAsia="x-none"/>
              </w:rPr>
            </w:pPr>
            <w:r w:rsidRPr="00FA0D37">
              <w:rPr>
                <w:b/>
                <w:bCs/>
                <w:i/>
                <w:iCs/>
                <w:lang w:eastAsia="x-none"/>
              </w:rPr>
              <w:lastRenderedPageBreak/>
              <w:t>pucch-ConfigurationListMulticast2</w:t>
            </w:r>
          </w:p>
          <w:p w14:paraId="556B9CF9" w14:textId="77777777" w:rsidR="00214323" w:rsidRPr="00FA0D37" w:rsidRDefault="00214323" w:rsidP="00771058">
            <w:pPr>
              <w:pStyle w:val="TAL"/>
              <w:rPr>
                <w:b/>
                <w:bCs/>
                <w:i/>
                <w:iCs/>
                <w:lang w:eastAsia="x-none"/>
              </w:rPr>
            </w:pPr>
            <w:r w:rsidRPr="00FA0D37">
              <w:rPr>
                <w:lang w:eastAsia="sv-SE"/>
              </w:rPr>
              <w:t>PUCCH configurations for two simultaneously constructed NACK-only feedback for MBS multicast (see TS 38.213, clause 9).</w:t>
            </w:r>
          </w:p>
        </w:tc>
      </w:tr>
      <w:tr w:rsidR="005C7FF4" w:rsidRPr="00FA0D37"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FA0D37" w:rsidRDefault="00394471" w:rsidP="00964CC4">
            <w:pPr>
              <w:pStyle w:val="TAL"/>
              <w:rPr>
                <w:szCs w:val="22"/>
                <w:lang w:eastAsia="sv-SE"/>
              </w:rPr>
            </w:pPr>
            <w:r w:rsidRPr="00FA0D37">
              <w:rPr>
                <w:b/>
                <w:i/>
                <w:szCs w:val="22"/>
                <w:lang w:eastAsia="sv-SE"/>
              </w:rPr>
              <w:t>pusch-Config</w:t>
            </w:r>
          </w:p>
          <w:p w14:paraId="3B859E35" w14:textId="77777777" w:rsidR="00394471" w:rsidRPr="00FA0D37" w:rsidRDefault="00394471" w:rsidP="00964CC4">
            <w:pPr>
              <w:pStyle w:val="TAL"/>
              <w:rPr>
                <w:szCs w:val="22"/>
                <w:lang w:eastAsia="sv-SE"/>
              </w:rPr>
            </w:pPr>
            <w:r w:rsidRPr="00FA0D37">
              <w:rPr>
                <w:szCs w:val="22"/>
                <w:lang w:eastAsia="sv-SE"/>
              </w:rPr>
              <w:t xml:space="preserve">PUSCH configuration for one BWP of the normal UL or SUL of a serving cell. If the UE is configured with SUL and if it has a </w:t>
            </w:r>
            <w:r w:rsidRPr="00FA0D37">
              <w:rPr>
                <w:i/>
                <w:lang w:eastAsia="sv-SE"/>
              </w:rPr>
              <w:t>PUSCH-Config</w:t>
            </w:r>
            <w:r w:rsidRPr="00FA0D37">
              <w:rPr>
                <w:szCs w:val="22"/>
                <w:lang w:eastAsia="sv-SE"/>
              </w:rPr>
              <w:t xml:space="preserve"> for both UL and SUL, an UL/SUL indicator field in DCI indicates which of the two to use. See TS 38.212 [17], clause 7.3.1.</w:t>
            </w:r>
          </w:p>
        </w:tc>
      </w:tr>
      <w:tr w:rsidR="005C7FF4" w:rsidRPr="00FA0D37"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FA0D37" w:rsidRDefault="00FD05B6" w:rsidP="00FD05B6">
            <w:pPr>
              <w:pStyle w:val="TAL"/>
              <w:rPr>
                <w:b/>
                <w:bCs/>
                <w:i/>
                <w:iCs/>
                <w:lang w:eastAsia="x-none"/>
              </w:rPr>
            </w:pPr>
            <w:r w:rsidRPr="00FA0D37">
              <w:rPr>
                <w:b/>
                <w:bCs/>
                <w:i/>
                <w:iCs/>
                <w:lang w:eastAsia="x-none"/>
              </w:rPr>
              <w:t>pucch-ConfigMulticast1</w:t>
            </w:r>
          </w:p>
          <w:p w14:paraId="3C14267F" w14:textId="1BA65A64" w:rsidR="00FD05B6" w:rsidRPr="00FA0D37" w:rsidRDefault="00FD05B6" w:rsidP="00FD05B6">
            <w:pPr>
              <w:pStyle w:val="TAL"/>
              <w:rPr>
                <w:b/>
                <w:i/>
                <w:szCs w:val="22"/>
                <w:lang w:eastAsia="sv-SE"/>
              </w:rPr>
            </w:pPr>
            <w:r w:rsidRPr="00FA0D37">
              <w:rPr>
                <w:lang w:eastAsia="sv-SE"/>
              </w:rPr>
              <w:t xml:space="preserve">PUCCH configuration for the HARQ-ACK codebook for MBS multicast when multicast feedback is not configured with a priority value (see TS 38.213 [13], clause 9). If the field is not configured, </w:t>
            </w:r>
            <w:r w:rsidRPr="00FA0D37">
              <w:rPr>
                <w:i/>
                <w:iCs/>
                <w:lang w:eastAsia="sv-SE"/>
              </w:rPr>
              <w:t>pucch-Config</w:t>
            </w:r>
            <w:r w:rsidRPr="00FA0D37">
              <w:rPr>
                <w:lang w:eastAsia="sv-SE"/>
              </w:rPr>
              <w:t xml:space="preserve"> applies.</w:t>
            </w:r>
          </w:p>
        </w:tc>
      </w:tr>
      <w:tr w:rsidR="005C7FF4" w:rsidRPr="00FA0D37"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FA0D37" w:rsidRDefault="00FD05B6" w:rsidP="00FD05B6">
            <w:pPr>
              <w:pStyle w:val="TAL"/>
              <w:rPr>
                <w:b/>
                <w:bCs/>
                <w:i/>
                <w:iCs/>
                <w:lang w:eastAsia="x-none"/>
              </w:rPr>
            </w:pPr>
            <w:r w:rsidRPr="00FA0D37">
              <w:rPr>
                <w:b/>
                <w:bCs/>
                <w:i/>
                <w:iCs/>
                <w:lang w:eastAsia="x-none"/>
              </w:rPr>
              <w:t>pucch-ConfigMulticast2</w:t>
            </w:r>
          </w:p>
          <w:p w14:paraId="1AC14427" w14:textId="1C0EEC0F" w:rsidR="00FD05B6" w:rsidRPr="00FA0D37" w:rsidRDefault="00FD05B6" w:rsidP="00FD05B6">
            <w:pPr>
              <w:pStyle w:val="TAL"/>
              <w:rPr>
                <w:b/>
                <w:i/>
                <w:szCs w:val="22"/>
                <w:lang w:eastAsia="sv-SE"/>
              </w:rPr>
            </w:pPr>
            <w:r w:rsidRPr="00FA0D37">
              <w:rPr>
                <w:lang w:eastAsia="sv-SE"/>
              </w:rPr>
              <w:t xml:space="preserve">PUCCH configuration for the NACK-only feedback for MBS multicast when multicast feedback is not configured with a priority value (see TS 38.213 [13], clause 9). If the field is not configured, </w:t>
            </w:r>
            <w:r w:rsidRPr="00FA0D37">
              <w:rPr>
                <w:i/>
                <w:iCs/>
                <w:lang w:eastAsia="sv-SE"/>
              </w:rPr>
              <w:t>pucch-Config</w:t>
            </w:r>
            <w:r w:rsidRPr="00FA0D37">
              <w:rPr>
                <w:lang w:eastAsia="sv-SE"/>
              </w:rPr>
              <w:t xml:space="preserve"> applies.</w:t>
            </w:r>
          </w:p>
        </w:tc>
      </w:tr>
      <w:tr w:rsidR="005C7FF4" w:rsidRPr="00FA0D37"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FA0D37" w:rsidRDefault="00394471" w:rsidP="00964CC4">
            <w:pPr>
              <w:pStyle w:val="TAL"/>
              <w:rPr>
                <w:b/>
                <w:bCs/>
                <w:i/>
                <w:iCs/>
              </w:rPr>
            </w:pPr>
            <w:r w:rsidRPr="00FA0D37">
              <w:rPr>
                <w:b/>
                <w:bCs/>
                <w:i/>
                <w:iCs/>
              </w:rPr>
              <w:t>sl-PUCCH-Config</w:t>
            </w:r>
          </w:p>
          <w:p w14:paraId="2FA97982" w14:textId="77777777" w:rsidR="00394471" w:rsidRPr="00FA0D37" w:rsidRDefault="00394471" w:rsidP="00964CC4">
            <w:pPr>
              <w:pStyle w:val="TAL"/>
              <w:rPr>
                <w:b/>
                <w:i/>
                <w:szCs w:val="22"/>
                <w:lang w:eastAsia="sv-SE"/>
              </w:rPr>
            </w:pPr>
            <w:r w:rsidRPr="00FA0D37">
              <w:rPr>
                <w:szCs w:val="22"/>
              </w:rPr>
              <w:t>Indicates the UE specific PUCCH configurations used for the HARQ-ACK feedback reporting for NR sidelink communication.</w:t>
            </w:r>
          </w:p>
        </w:tc>
      </w:tr>
      <w:tr w:rsidR="005C7FF4" w:rsidRPr="00FA0D37"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FA0D37" w:rsidRDefault="00394471" w:rsidP="00964CC4">
            <w:pPr>
              <w:pStyle w:val="TAL"/>
              <w:rPr>
                <w:szCs w:val="22"/>
                <w:lang w:eastAsia="sv-SE"/>
              </w:rPr>
            </w:pPr>
            <w:r w:rsidRPr="00FA0D37">
              <w:rPr>
                <w:b/>
                <w:i/>
                <w:szCs w:val="22"/>
                <w:lang w:eastAsia="sv-SE"/>
              </w:rPr>
              <w:t>srs-Config</w:t>
            </w:r>
          </w:p>
          <w:p w14:paraId="03A00026" w14:textId="77777777" w:rsidR="00394471" w:rsidRPr="00FA0D37" w:rsidRDefault="00394471" w:rsidP="00964CC4">
            <w:pPr>
              <w:pStyle w:val="TAL"/>
              <w:rPr>
                <w:szCs w:val="22"/>
                <w:lang w:eastAsia="sv-SE"/>
              </w:rPr>
            </w:pPr>
            <w:r w:rsidRPr="00FA0D37">
              <w:rPr>
                <w:szCs w:val="22"/>
                <w:lang w:eastAsia="sv-SE"/>
              </w:rPr>
              <w:t>Uplink sounding reference signal configuration.</w:t>
            </w:r>
          </w:p>
        </w:tc>
      </w:tr>
      <w:tr w:rsidR="005C7FF4" w:rsidRPr="00FA0D37"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1775F2" w:rsidRPr="00FA0D37" w:rsidRDefault="001775F2" w:rsidP="00771058">
            <w:pPr>
              <w:pStyle w:val="TAL"/>
              <w:rPr>
                <w:b/>
                <w:i/>
                <w:szCs w:val="22"/>
                <w:lang w:eastAsia="sv-SE"/>
              </w:rPr>
            </w:pPr>
            <w:r w:rsidRPr="00FA0D37">
              <w:rPr>
                <w:b/>
                <w:i/>
                <w:szCs w:val="22"/>
                <w:lang w:eastAsia="sv-SE"/>
              </w:rPr>
              <w:t>ul-powerControl</w:t>
            </w:r>
          </w:p>
          <w:p w14:paraId="0553207E" w14:textId="11891B0A" w:rsidR="001775F2" w:rsidRPr="00FA0D37" w:rsidRDefault="001775F2" w:rsidP="00771058">
            <w:pPr>
              <w:pStyle w:val="TAL"/>
              <w:rPr>
                <w:bCs/>
                <w:iCs/>
                <w:szCs w:val="22"/>
                <w:lang w:eastAsia="sv-SE"/>
              </w:rPr>
            </w:pPr>
            <w:r w:rsidRPr="00FA0D37">
              <w:rPr>
                <w:bCs/>
                <w:iCs/>
                <w:szCs w:val="22"/>
                <w:lang w:eastAsia="sv-SE"/>
              </w:rPr>
              <w:t xml:space="preserve">Configures power control parameters for PUCCH, PUSCH and SRS when UE is configured with </w:t>
            </w:r>
            <w:r w:rsidRPr="00FA0D37">
              <w:rPr>
                <w:i/>
                <w:iCs/>
              </w:rPr>
              <w:t>unified</w:t>
            </w:r>
            <w:r w:rsidR="00656BB9" w:rsidRPr="00FA0D37">
              <w:rPr>
                <w:i/>
                <w:iCs/>
              </w:rPr>
              <w:t>TCI</w:t>
            </w:r>
            <w:r w:rsidRPr="00FA0D37">
              <w:rPr>
                <w:i/>
                <w:iCs/>
              </w:rPr>
              <w:t>-StateType</w:t>
            </w:r>
            <w:r w:rsidRPr="00FA0D37" w:rsidDel="00A87DC7">
              <w:rPr>
                <w:bCs/>
                <w:iCs/>
                <w:szCs w:val="22"/>
                <w:lang w:eastAsia="sv-SE"/>
              </w:rPr>
              <w:t xml:space="preserve"> </w:t>
            </w:r>
            <w:r w:rsidR="00656BB9" w:rsidRPr="00FA0D37">
              <w:rPr>
                <w:bCs/>
                <w:iCs/>
                <w:szCs w:val="22"/>
                <w:lang w:eastAsia="sv-SE"/>
              </w:rPr>
              <w:t>for this serving cell</w:t>
            </w:r>
            <w:r w:rsidRPr="00FA0D37">
              <w:rPr>
                <w:bCs/>
                <w:iCs/>
                <w:szCs w:val="22"/>
                <w:lang w:eastAsia="sv-SE"/>
              </w:rPr>
              <w:t>.</w:t>
            </w:r>
            <w:r w:rsidR="00184EE0" w:rsidRPr="00FA0D37">
              <w:t xml:space="preserve"> </w:t>
            </w:r>
            <w:r w:rsidR="00184EE0" w:rsidRPr="00FA0D37">
              <w:rPr>
                <w:bCs/>
                <w:iCs/>
                <w:szCs w:val="22"/>
                <w:lang w:eastAsia="sv-SE"/>
              </w:rPr>
              <w:t xml:space="preserve">For each serving cell, </w:t>
            </w:r>
            <w:r w:rsidR="00184EE0" w:rsidRPr="00FA0D37">
              <w:rPr>
                <w:bCs/>
                <w:i/>
                <w:szCs w:val="22"/>
                <w:lang w:eastAsia="sv-SE"/>
              </w:rPr>
              <w:t>ul-powerControl</w:t>
            </w:r>
            <w:r w:rsidR="00184EE0" w:rsidRPr="00FA0D37">
              <w:rPr>
                <w:bCs/>
                <w:iCs/>
                <w:szCs w:val="22"/>
                <w:lang w:eastAsia="sv-SE"/>
              </w:rPr>
              <w:t xml:space="preserve"> is either configured in all </w:t>
            </w:r>
            <w:r w:rsidR="00184EE0" w:rsidRPr="00FA0D37">
              <w:rPr>
                <w:bCs/>
                <w:i/>
                <w:szCs w:val="22"/>
                <w:lang w:eastAsia="sv-SE"/>
              </w:rPr>
              <w:t>BWP-UplinkDedicated</w:t>
            </w:r>
            <w:r w:rsidR="00184EE0" w:rsidRPr="00FA0D37">
              <w:rPr>
                <w:bCs/>
                <w:iCs/>
                <w:szCs w:val="22"/>
                <w:lang w:eastAsia="sv-SE"/>
              </w:rPr>
              <w:t xml:space="preserve"> or it is not configured in any </w:t>
            </w:r>
            <w:r w:rsidR="00184EE0" w:rsidRPr="00FA0D37">
              <w:rPr>
                <w:bCs/>
                <w:i/>
                <w:szCs w:val="22"/>
                <w:lang w:eastAsia="sv-SE"/>
              </w:rPr>
              <w:t>BWP-UplinkDedicated</w:t>
            </w:r>
            <w:r w:rsidR="00184EE0" w:rsidRPr="00FA0D37">
              <w:rPr>
                <w:bCs/>
                <w:iCs/>
                <w:szCs w:val="22"/>
                <w:lang w:eastAsia="sv-SE"/>
              </w:rPr>
              <w:t xml:space="preserve">. When </w:t>
            </w:r>
            <w:r w:rsidR="00184EE0" w:rsidRPr="00FA0D37">
              <w:rPr>
                <w:bCs/>
                <w:i/>
                <w:szCs w:val="22"/>
                <w:lang w:eastAsia="sv-SE"/>
              </w:rPr>
              <w:t>unifiedTCI-StateRef</w:t>
            </w:r>
            <w:r w:rsidR="00184EE0" w:rsidRPr="00FA0D37">
              <w:rPr>
                <w:bCs/>
                <w:iCs/>
                <w:szCs w:val="22"/>
                <w:lang w:eastAsia="sv-SE"/>
              </w:rPr>
              <w:t xml:space="preserve"> in the </w:t>
            </w:r>
            <w:r w:rsidR="00184EE0" w:rsidRPr="00FA0D37">
              <w:rPr>
                <w:bCs/>
                <w:i/>
                <w:szCs w:val="22"/>
                <w:lang w:eastAsia="sv-SE"/>
              </w:rPr>
              <w:t>BWP-UplinkDedicated</w:t>
            </w:r>
            <w:r w:rsidR="00184EE0" w:rsidRPr="00FA0D37">
              <w:rPr>
                <w:bCs/>
                <w:iCs/>
                <w:szCs w:val="22"/>
                <w:lang w:eastAsia="sv-SE"/>
              </w:rPr>
              <w:t xml:space="preserve"> </w:t>
            </w:r>
            <w:r w:rsidR="00486151" w:rsidRPr="00FA0D37">
              <w:rPr>
                <w:bCs/>
                <w:iCs/>
                <w:szCs w:val="22"/>
                <w:lang w:eastAsia="sv-SE"/>
              </w:rPr>
              <w:t>or</w:t>
            </w:r>
            <w:r w:rsidR="00486151" w:rsidRPr="00FA0D37">
              <w:rPr>
                <w:rFonts w:eastAsiaTheme="minorEastAsia"/>
                <w:bCs/>
                <w:iCs/>
                <w:szCs w:val="22"/>
                <w:lang w:eastAsia="zh-CN"/>
              </w:rPr>
              <w:t xml:space="preserve"> </w:t>
            </w:r>
            <w:r w:rsidR="00486151" w:rsidRPr="00FA0D37">
              <w:rPr>
                <w:bCs/>
                <w:iCs/>
                <w:szCs w:val="22"/>
                <w:lang w:eastAsia="sv-SE"/>
              </w:rPr>
              <w:t xml:space="preserve">in the </w:t>
            </w:r>
            <w:r w:rsidR="00486151" w:rsidRPr="00FA0D37">
              <w:rPr>
                <w:bCs/>
                <w:i/>
                <w:szCs w:val="22"/>
                <w:lang w:eastAsia="sv-SE"/>
              </w:rPr>
              <w:t>PDSCH-Config</w:t>
            </w:r>
            <w:r w:rsidR="00486151" w:rsidRPr="00FA0D37">
              <w:rPr>
                <w:rFonts w:eastAsiaTheme="minorEastAsia"/>
                <w:bCs/>
                <w:szCs w:val="22"/>
                <w:lang w:eastAsia="zh-CN"/>
              </w:rPr>
              <w:t xml:space="preserve"> if </w:t>
            </w:r>
            <w:r w:rsidR="00486151" w:rsidRPr="00FA0D37">
              <w:rPr>
                <w:rFonts w:eastAsiaTheme="minorEastAsia"/>
                <w:bCs/>
                <w:iCs/>
                <w:szCs w:val="22"/>
                <w:lang w:eastAsia="zh-CN"/>
              </w:rPr>
              <w:t xml:space="preserve">the </w:t>
            </w:r>
            <w:r w:rsidR="00486151" w:rsidRPr="00FA0D37">
              <w:rPr>
                <w:i/>
                <w:iCs/>
              </w:rPr>
              <w:t>unifiedTCI-StateType</w:t>
            </w:r>
            <w:r w:rsidR="00486151" w:rsidRPr="00FA0D37">
              <w:rPr>
                <w:iCs/>
              </w:rPr>
              <w:t xml:space="preserve"> is set to </w:t>
            </w:r>
            <w:r w:rsidR="00486151" w:rsidRPr="00FA0D37">
              <w:rPr>
                <w:i/>
                <w:iCs/>
              </w:rPr>
              <w:t>joint,</w:t>
            </w:r>
            <w:r w:rsidR="00486151" w:rsidRPr="00FA0D37">
              <w:rPr>
                <w:bCs/>
                <w:iCs/>
                <w:szCs w:val="22"/>
                <w:lang w:eastAsia="sv-SE"/>
              </w:rPr>
              <w:t xml:space="preserve"> </w:t>
            </w:r>
            <w:r w:rsidR="00184EE0" w:rsidRPr="00FA0D37">
              <w:rPr>
                <w:bCs/>
                <w:iCs/>
                <w:szCs w:val="22"/>
                <w:lang w:eastAsia="sv-SE"/>
              </w:rPr>
              <w:t xml:space="preserve">of a serving cell refers to another serving cell, </w:t>
            </w:r>
            <w:r w:rsidR="00184EE0" w:rsidRPr="00FA0D37">
              <w:rPr>
                <w:bCs/>
                <w:i/>
                <w:szCs w:val="22"/>
                <w:lang w:eastAsia="sv-SE"/>
              </w:rPr>
              <w:t>ul-powerControl</w:t>
            </w:r>
            <w:r w:rsidR="00184EE0" w:rsidRPr="00FA0D37">
              <w:rPr>
                <w:bCs/>
                <w:iCs/>
                <w:szCs w:val="22"/>
                <w:lang w:eastAsia="sv-SE"/>
              </w:rPr>
              <w:t xml:space="preserve"> is either configured in all </w:t>
            </w:r>
            <w:r w:rsidR="00184EE0" w:rsidRPr="00FA0D37">
              <w:rPr>
                <w:bCs/>
                <w:i/>
                <w:szCs w:val="22"/>
                <w:lang w:eastAsia="sv-SE"/>
              </w:rPr>
              <w:t>BWP-UplinkDedicated</w:t>
            </w:r>
            <w:r w:rsidR="00184EE0" w:rsidRPr="00FA0D37">
              <w:rPr>
                <w:bCs/>
                <w:iCs/>
                <w:szCs w:val="22"/>
                <w:lang w:eastAsia="sv-SE"/>
              </w:rPr>
              <w:t xml:space="preserve"> of these two serving cells or it is not configured in any </w:t>
            </w:r>
            <w:r w:rsidR="00184EE0" w:rsidRPr="00FA0D37">
              <w:rPr>
                <w:bCs/>
                <w:i/>
                <w:szCs w:val="22"/>
                <w:lang w:eastAsia="sv-SE"/>
              </w:rPr>
              <w:t>BWP-UplinkDedicated</w:t>
            </w:r>
            <w:r w:rsidR="00184EE0" w:rsidRPr="00FA0D37">
              <w:rPr>
                <w:bCs/>
                <w:iCs/>
                <w:szCs w:val="22"/>
                <w:lang w:eastAsia="sv-SE"/>
              </w:rPr>
              <w:t xml:space="preserve"> of these two serving cells.</w:t>
            </w:r>
          </w:p>
        </w:tc>
      </w:tr>
      <w:tr w:rsidR="005C7FF4" w:rsidRPr="00FA0D37"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DA6987" w:rsidRPr="00FA0D37" w:rsidRDefault="00DA6987" w:rsidP="00DA6987">
            <w:pPr>
              <w:pStyle w:val="TAL"/>
              <w:rPr>
                <w:b/>
                <w:i/>
                <w:szCs w:val="22"/>
                <w:lang w:eastAsia="sv-SE"/>
              </w:rPr>
            </w:pPr>
            <w:r w:rsidRPr="00FA0D37">
              <w:rPr>
                <w:b/>
                <w:i/>
                <w:szCs w:val="22"/>
                <w:lang w:eastAsia="sv-SE"/>
              </w:rPr>
              <w:t>ul-TCI-StateList</w:t>
            </w:r>
          </w:p>
          <w:p w14:paraId="2FE1619A" w14:textId="6FF66131" w:rsidR="00DA6987" w:rsidRPr="00FA0D37" w:rsidRDefault="00DA6987" w:rsidP="00DA6987">
            <w:pPr>
              <w:pStyle w:val="TAL"/>
              <w:rPr>
                <w:bCs/>
                <w:iCs/>
                <w:szCs w:val="22"/>
                <w:lang w:eastAsia="sv-SE"/>
              </w:rPr>
            </w:pPr>
            <w:r w:rsidRPr="00FA0D37">
              <w:rPr>
                <w:bCs/>
                <w:iCs/>
                <w:szCs w:val="22"/>
                <w:lang w:eastAsia="sv-SE"/>
              </w:rPr>
              <w:t>Indicate</w:t>
            </w:r>
            <w:r w:rsidR="003A2D9D" w:rsidRPr="00FA0D37">
              <w:rPr>
                <w:bCs/>
                <w:iCs/>
                <w:szCs w:val="22"/>
                <w:lang w:eastAsia="sv-SE"/>
              </w:rPr>
              <w:t>s</w:t>
            </w:r>
            <w:r w:rsidRPr="00FA0D37">
              <w:rPr>
                <w:bCs/>
                <w:iCs/>
                <w:szCs w:val="22"/>
                <w:lang w:eastAsia="sv-SE"/>
              </w:rPr>
              <w:t xml:space="preserve"> the applicable UL TCI states for PUCCH, PUSCH and SRS.</w:t>
            </w:r>
          </w:p>
        </w:tc>
      </w:tr>
      <w:tr w:rsidR="005C7FF4" w:rsidRPr="00FA0D37"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1775F2" w:rsidRPr="00FA0D37" w:rsidRDefault="00656BB9" w:rsidP="00771058">
            <w:pPr>
              <w:pStyle w:val="TAL"/>
              <w:rPr>
                <w:b/>
                <w:bCs/>
                <w:i/>
                <w:iCs/>
                <w:lang w:eastAsia="sv-SE"/>
              </w:rPr>
            </w:pPr>
            <w:r w:rsidRPr="00FA0D37">
              <w:rPr>
                <w:b/>
                <w:bCs/>
                <w:i/>
                <w:iCs/>
                <w:lang w:eastAsia="sv-SE"/>
              </w:rPr>
              <w:t>ul-TCI-ToAddModList</w:t>
            </w:r>
          </w:p>
          <w:p w14:paraId="0EFDFBE0" w14:textId="7296F242" w:rsidR="001775F2" w:rsidRPr="00FA0D37" w:rsidRDefault="001775F2" w:rsidP="00771058">
            <w:pPr>
              <w:pStyle w:val="TAL"/>
              <w:rPr>
                <w:lang w:eastAsia="sv-SE"/>
              </w:rPr>
            </w:pPr>
            <w:r w:rsidRPr="00FA0D37">
              <w:rPr>
                <w:lang w:eastAsia="sv-SE"/>
              </w:rPr>
              <w:t xml:space="preserve">Indicates a </w:t>
            </w:r>
            <w:r w:rsidR="00656BB9" w:rsidRPr="00FA0D37">
              <w:rPr>
                <w:lang w:eastAsia="sv-SE"/>
              </w:rPr>
              <w:t>list</w:t>
            </w:r>
            <w:r w:rsidRPr="00FA0D37">
              <w:rPr>
                <w:lang w:eastAsia="sv-SE"/>
              </w:rPr>
              <w:t xml:space="preserve"> of UL TCI states</w:t>
            </w:r>
            <w:r w:rsidR="00656BB9" w:rsidRPr="00FA0D37">
              <w:rPr>
                <w:lang w:eastAsia="sv-SE"/>
              </w:rPr>
              <w:t>.</w:t>
            </w:r>
          </w:p>
        </w:tc>
      </w:tr>
      <w:tr w:rsidR="005C7FF4" w:rsidRPr="00FA0D37"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656BB9" w:rsidRPr="00FA0D37" w:rsidRDefault="00656BB9" w:rsidP="00656BB9">
            <w:pPr>
              <w:pStyle w:val="TAL"/>
              <w:rPr>
                <w:b/>
                <w:bCs/>
                <w:i/>
                <w:iCs/>
              </w:rPr>
            </w:pPr>
            <w:r w:rsidRPr="00FA0D37">
              <w:rPr>
                <w:b/>
                <w:bCs/>
                <w:i/>
                <w:iCs/>
              </w:rPr>
              <w:t>unifiedTCI-StateRef</w:t>
            </w:r>
          </w:p>
          <w:p w14:paraId="2FC9D981" w14:textId="30E3C7DC" w:rsidR="00656BB9" w:rsidRPr="00FA0D37" w:rsidRDefault="00656BB9" w:rsidP="00656BB9">
            <w:pPr>
              <w:pStyle w:val="TAL"/>
              <w:rPr>
                <w:b/>
                <w:bCs/>
                <w:i/>
                <w:iCs/>
                <w:lang w:eastAsia="sv-SE"/>
              </w:rPr>
            </w:pPr>
            <w:r w:rsidRPr="00FA0D37">
              <w:t>Provides the serving cell and UL BWP where UL TCI states applicable to this UL BWP are defined.</w:t>
            </w:r>
            <w:r w:rsidR="00486151" w:rsidRPr="00FA0D37">
              <w:rPr>
                <w:rFonts w:cs="Arial"/>
                <w:szCs w:val="18"/>
                <w:lang w:eastAsia="sv-SE"/>
              </w:rPr>
              <w:t xml:space="preserve"> The value of </w:t>
            </w:r>
            <w:r w:rsidR="00486151" w:rsidRPr="00FA0D37">
              <w:rPr>
                <w:rFonts w:cs="Arial"/>
                <w:i/>
                <w:iCs/>
                <w:szCs w:val="18"/>
                <w:lang w:eastAsia="sv-SE"/>
              </w:rPr>
              <w:t>unifiedTCI-StateType</w:t>
            </w:r>
            <w:r w:rsidR="00486151" w:rsidRPr="00FA0D37">
              <w:rPr>
                <w:rFonts w:eastAsiaTheme="minorEastAsia" w:cs="Arial"/>
                <w:i/>
                <w:iCs/>
                <w:szCs w:val="18"/>
                <w:lang w:eastAsia="zh-CN"/>
              </w:rPr>
              <w:t xml:space="preserve"> </w:t>
            </w:r>
            <w:r w:rsidR="00486151" w:rsidRPr="00FA0D37">
              <w:rPr>
                <w:rFonts w:eastAsiaTheme="minorEastAsia" w:cs="Arial"/>
                <w:iCs/>
                <w:szCs w:val="18"/>
                <w:lang w:eastAsia="zh-CN"/>
              </w:rPr>
              <w:t>of current serving cell</w:t>
            </w:r>
            <w:r w:rsidR="00486151" w:rsidRPr="00FA0D37">
              <w:rPr>
                <w:rFonts w:cs="Arial"/>
                <w:szCs w:val="18"/>
                <w:lang w:eastAsia="sv-SE"/>
              </w:rPr>
              <w:t xml:space="preserve"> is the same in the serving cell indicated by </w:t>
            </w:r>
            <w:r w:rsidR="00486151" w:rsidRPr="00FA0D37">
              <w:rPr>
                <w:rFonts w:cs="Arial"/>
                <w:i/>
                <w:iCs/>
                <w:szCs w:val="18"/>
                <w:lang w:eastAsia="sv-SE"/>
              </w:rPr>
              <w:t>unifiedTCI-StateRef.</w:t>
            </w:r>
          </w:p>
        </w:tc>
      </w:tr>
      <w:tr w:rsidR="00394471" w:rsidRPr="00FA0D37"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FA0D37" w:rsidRDefault="00394471" w:rsidP="00964CC4">
            <w:pPr>
              <w:pStyle w:val="TAL"/>
              <w:rPr>
                <w:b/>
                <w:bCs/>
                <w:i/>
                <w:iCs/>
                <w:lang w:eastAsia="sv-SE"/>
              </w:rPr>
            </w:pPr>
            <w:r w:rsidRPr="00FA0D37">
              <w:rPr>
                <w:b/>
                <w:bCs/>
                <w:i/>
                <w:iCs/>
                <w:lang w:eastAsia="sv-SE"/>
              </w:rPr>
              <w:t>useInterlacePUCCH-PUSCH</w:t>
            </w:r>
          </w:p>
          <w:p w14:paraId="63F8F80C" w14:textId="319E8D5A" w:rsidR="00394471" w:rsidRPr="00FA0D37" w:rsidRDefault="00394471" w:rsidP="00964CC4">
            <w:pPr>
              <w:pStyle w:val="TAL"/>
              <w:rPr>
                <w:b/>
                <w:i/>
                <w:szCs w:val="22"/>
                <w:lang w:eastAsia="sv-SE"/>
              </w:rPr>
            </w:pPr>
            <w:r w:rsidRPr="00FA0D37">
              <w:rPr>
                <w:szCs w:val="22"/>
                <w:lang w:eastAsia="sv-SE"/>
              </w:rPr>
              <w:t xml:space="preserve">If the field is present, the UE uses uplink frequency domain resource allocation Type 2 for PUSCH (see </w:t>
            </w:r>
            <w:r w:rsidR="003A2D9D" w:rsidRPr="00FA0D37">
              <w:rPr>
                <w:szCs w:val="22"/>
                <w:lang w:eastAsia="sv-SE"/>
              </w:rPr>
              <w:t xml:space="preserve">TS </w:t>
            </w:r>
            <w:r w:rsidRPr="00FA0D37">
              <w:rPr>
                <w:szCs w:val="22"/>
                <w:lang w:eastAsia="sv-SE"/>
              </w:rPr>
              <w:t xml:space="preserve">38.213 </w:t>
            </w:r>
            <w:r w:rsidR="003A2D9D" w:rsidRPr="00FA0D37">
              <w:rPr>
                <w:szCs w:val="22"/>
                <w:lang w:eastAsia="sv-SE"/>
              </w:rPr>
              <w:t xml:space="preserve">[13], </w:t>
            </w:r>
            <w:r w:rsidRPr="00FA0D37">
              <w:rPr>
                <w:szCs w:val="22"/>
                <w:lang w:eastAsia="sv-SE"/>
              </w:rPr>
              <w:t xml:space="preserve">clause 8.3 and </w:t>
            </w:r>
            <w:r w:rsidR="003A2D9D" w:rsidRPr="00FA0D37">
              <w:rPr>
                <w:szCs w:val="22"/>
                <w:lang w:eastAsia="sv-SE"/>
              </w:rPr>
              <w:t xml:space="preserve">TS </w:t>
            </w:r>
            <w:r w:rsidRPr="00FA0D37">
              <w:rPr>
                <w:szCs w:val="22"/>
                <w:lang w:eastAsia="sv-SE"/>
              </w:rPr>
              <w:t xml:space="preserve">38.214 </w:t>
            </w:r>
            <w:r w:rsidR="003A2D9D" w:rsidRPr="00FA0D37">
              <w:rPr>
                <w:szCs w:val="22"/>
                <w:lang w:eastAsia="sv-SE"/>
              </w:rPr>
              <w:t xml:space="preserve">[19], </w:t>
            </w:r>
            <w:r w:rsidRPr="00FA0D37">
              <w:rPr>
                <w:szCs w:val="22"/>
                <w:lang w:eastAsia="sv-SE"/>
              </w:rPr>
              <w:t>clause 6.1.2.2) and uses interlaced PUCCH Format 0, 1, 2, and 3 for PUCCH (see TS 38.213 [13], clause 9.2.1).</w:t>
            </w:r>
          </w:p>
        </w:tc>
      </w:tr>
    </w:tbl>
    <w:p w14:paraId="7638072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FA0D37" w:rsidRDefault="00394471" w:rsidP="00964CC4">
            <w:pPr>
              <w:pStyle w:val="TAH"/>
              <w:rPr>
                <w:rFonts w:eastAsia="Calibri"/>
                <w:szCs w:val="22"/>
                <w:lang w:eastAsia="sv-SE"/>
              </w:rPr>
            </w:pPr>
            <w:r w:rsidRPr="00FA0D3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FA0D37" w:rsidRDefault="00394471" w:rsidP="00964CC4">
            <w:pPr>
              <w:pStyle w:val="TAH"/>
              <w:rPr>
                <w:rFonts w:eastAsia="Calibri"/>
                <w:szCs w:val="22"/>
                <w:lang w:eastAsia="sv-SE"/>
              </w:rPr>
            </w:pPr>
            <w:r w:rsidRPr="00FA0D37">
              <w:rPr>
                <w:rFonts w:eastAsia="Calibri"/>
                <w:szCs w:val="22"/>
                <w:lang w:eastAsia="sv-SE"/>
              </w:rPr>
              <w:t>Explanation</w:t>
            </w:r>
          </w:p>
        </w:tc>
      </w:tr>
      <w:tr w:rsidR="005C7FF4" w:rsidRPr="00FA0D37"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FA0D37" w:rsidRDefault="00DA6987" w:rsidP="0071565C">
            <w:pPr>
              <w:pStyle w:val="TAL"/>
              <w:rPr>
                <w:rFonts w:eastAsia="Calibri"/>
                <w:i/>
                <w:szCs w:val="22"/>
                <w:lang w:eastAsia="sv-SE"/>
              </w:rPr>
            </w:pPr>
            <w:r w:rsidRPr="00FA0D37">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77777777" w:rsidR="00DA6987" w:rsidRPr="00FA0D37" w:rsidRDefault="00DA6987" w:rsidP="0071565C">
            <w:pPr>
              <w:pStyle w:val="TAL"/>
              <w:rPr>
                <w:rFonts w:eastAsia="Calibri"/>
                <w:szCs w:val="22"/>
                <w:lang w:eastAsia="sv-SE"/>
              </w:rPr>
            </w:pPr>
            <w:r w:rsidRPr="00FA0D37">
              <w:rPr>
                <w:rFonts w:eastAsia="Calibri"/>
                <w:szCs w:val="22"/>
                <w:lang w:eastAsia="sv-SE"/>
              </w:rPr>
              <w:t xml:space="preserve">The field is optionally present, Need R, if </w:t>
            </w:r>
            <w:r w:rsidRPr="00FA0D37">
              <w:rPr>
                <w:rFonts w:eastAsia="Calibri"/>
                <w:i/>
                <w:iCs/>
                <w:szCs w:val="22"/>
                <w:lang w:eastAsia="sv-SE"/>
              </w:rPr>
              <w:t>unifiedTCI-StateType</w:t>
            </w:r>
            <w:r w:rsidRPr="00FA0D37">
              <w:rPr>
                <w:rFonts w:eastAsia="Calibri"/>
                <w:szCs w:val="22"/>
                <w:lang w:eastAsia="sv-SE"/>
              </w:rPr>
              <w:t xml:space="preserve"> is configured for this serving cell and </w:t>
            </w:r>
            <w:r w:rsidRPr="00FA0D37">
              <w:rPr>
                <w:rFonts w:eastAsia="Calibri"/>
                <w:i/>
                <w:iCs/>
                <w:szCs w:val="22"/>
                <w:lang w:eastAsia="sv-SE"/>
              </w:rPr>
              <w:t>ul-powerControl</w:t>
            </w:r>
            <w:r w:rsidRPr="00FA0D37">
              <w:rPr>
                <w:rFonts w:eastAsia="Calibri"/>
                <w:szCs w:val="22"/>
                <w:lang w:eastAsia="sv-SE"/>
              </w:rPr>
              <w:t xml:space="preserve"> is not configured for any UL TCI state or joint TCI state of this serving cell. Otherwise it is absent, Need R</w:t>
            </w:r>
          </w:p>
        </w:tc>
      </w:tr>
      <w:tr w:rsidR="00F747EB" w:rsidRPr="00FA0D37"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FA0D37" w:rsidRDefault="00394471" w:rsidP="00964CC4">
            <w:pPr>
              <w:pStyle w:val="TAL"/>
              <w:rPr>
                <w:rFonts w:eastAsia="Calibri"/>
                <w:i/>
                <w:szCs w:val="22"/>
                <w:lang w:eastAsia="sv-SE"/>
              </w:rPr>
            </w:pPr>
            <w:r w:rsidRPr="00FA0D37">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The field is optionally present, Need M, in the </w:t>
            </w:r>
            <w:r w:rsidRPr="00FA0D37">
              <w:rPr>
                <w:rFonts w:eastAsia="Calibri"/>
                <w:i/>
                <w:lang w:eastAsia="sv-SE"/>
              </w:rPr>
              <w:t>BWP-UplinkDedicated</w:t>
            </w:r>
            <w:r w:rsidRPr="00FA0D37">
              <w:rPr>
                <w:rFonts w:eastAsia="Calibri"/>
                <w:szCs w:val="22"/>
                <w:lang w:eastAsia="sv-SE"/>
              </w:rPr>
              <w:t xml:space="preserve"> of an SpCell. It is absent otherwise. </w:t>
            </w:r>
          </w:p>
        </w:tc>
      </w:tr>
    </w:tbl>
    <w:p w14:paraId="5C36B683" w14:textId="77777777" w:rsidR="00394471" w:rsidRPr="00FA0D37" w:rsidRDefault="00394471" w:rsidP="00394471"/>
    <w:p w14:paraId="3A04B6A7" w14:textId="7D2ADB04" w:rsidR="00394471" w:rsidRPr="00FA0D37" w:rsidRDefault="00394471" w:rsidP="00394471">
      <w:pPr>
        <w:pStyle w:val="NO"/>
        <w:rPr>
          <w:rFonts w:eastAsia="宋体"/>
          <w:lang w:eastAsia="x-none"/>
        </w:rPr>
      </w:pPr>
      <w:r w:rsidRPr="00FA0D37">
        <w:rPr>
          <w:rFonts w:eastAsia="宋体"/>
          <w:lang w:eastAsia="x-none"/>
        </w:rPr>
        <w:t>NOTE 1:</w:t>
      </w:r>
      <w:r w:rsidRPr="00FA0D37">
        <w:rPr>
          <w:rFonts w:eastAsia="宋体"/>
          <w:lang w:eastAsia="x-none"/>
        </w:rPr>
        <w:tab/>
      </w:r>
      <w:r w:rsidRPr="00FA0D37">
        <w:t xml:space="preserve">In case of </w:t>
      </w:r>
      <w:r w:rsidRPr="00FA0D37">
        <w:rPr>
          <w:i/>
        </w:rPr>
        <w:t>RRCReconfiguration</w:t>
      </w:r>
      <w:r w:rsidRPr="00FA0D37">
        <w:t xml:space="preserve"> with </w:t>
      </w:r>
      <w:r w:rsidRPr="00FA0D37">
        <w:rPr>
          <w:i/>
        </w:rPr>
        <w:t>reconfigurationWithSync</w:t>
      </w:r>
      <w:r w:rsidRPr="00FA0D37">
        <w:t>, the UE performs a MAC reset, which involves releasing the PUCCH-CSI/SRS/SR configuration in accordance with clause 5.3.12 and TS 38.321 [</w:t>
      </w:r>
      <w:r w:rsidR="003A2D9D" w:rsidRPr="00FA0D37">
        <w:t>3</w:t>
      </w:r>
      <w:r w:rsidRPr="00FA0D37">
        <w:t xml:space="preserve">], clauses 5.12 and 5.2. Hence, for these parts of the dedicated radio resource configuration, delta signalling is not supported in the message when </w:t>
      </w:r>
      <w:r w:rsidRPr="00FA0D37">
        <w:rPr>
          <w:i/>
        </w:rPr>
        <w:t>reconfigurationWithSync</w:t>
      </w:r>
      <w:r w:rsidRPr="00FA0D37">
        <w:t xml:space="preserve"> is included.</w:t>
      </w:r>
    </w:p>
    <w:p w14:paraId="61DFF032" w14:textId="2A8F9671" w:rsidR="00394471" w:rsidRPr="00FA0D37" w:rsidRDefault="00394471" w:rsidP="00394471"/>
    <w:p w14:paraId="2A610703" w14:textId="77777777" w:rsidR="001775F2" w:rsidRPr="00FA0D37" w:rsidRDefault="001775F2" w:rsidP="001775F2">
      <w:pPr>
        <w:pStyle w:val="4"/>
        <w:rPr>
          <w:i/>
        </w:rPr>
      </w:pPr>
      <w:bookmarkStart w:id="918" w:name="_Toc146781229"/>
      <w:r w:rsidRPr="00FA0D37">
        <w:rPr>
          <w:i/>
        </w:rPr>
        <w:lastRenderedPageBreak/>
        <w:t>–</w:t>
      </w:r>
      <w:r w:rsidRPr="00FA0D37">
        <w:rPr>
          <w:i/>
        </w:rPr>
        <w:tab/>
      </w:r>
      <w:r w:rsidRPr="00FA0D37">
        <w:rPr>
          <w:i/>
          <w:iCs/>
        </w:rPr>
        <w:t>CandidateBeamRS</w:t>
      </w:r>
      <w:bookmarkEnd w:id="918"/>
    </w:p>
    <w:p w14:paraId="6756BFA6" w14:textId="77777777" w:rsidR="001775F2" w:rsidRPr="00FA0D37" w:rsidRDefault="001775F2" w:rsidP="001775F2">
      <w:r w:rsidRPr="00FA0D37">
        <w:t xml:space="preserve">The IE </w:t>
      </w:r>
      <w:r w:rsidRPr="00FA0D37">
        <w:rPr>
          <w:i/>
        </w:rPr>
        <w:t>CandidateBeamRS</w:t>
      </w:r>
      <w:r w:rsidRPr="00FA0D37">
        <w:t xml:space="preserve"> inlcudes candidate beams for beam failure recovery in case of beam failure detection. See also TS 38.321 [3], clause 5.17.</w:t>
      </w:r>
    </w:p>
    <w:p w14:paraId="0603410A" w14:textId="77777777" w:rsidR="001775F2" w:rsidRPr="00FA0D37" w:rsidRDefault="001775F2" w:rsidP="001775F2">
      <w:pPr>
        <w:pStyle w:val="TH"/>
      </w:pPr>
      <w:r w:rsidRPr="00FA0D37">
        <w:rPr>
          <w:i/>
        </w:rPr>
        <w:t>CandidateBeamRS</w:t>
      </w:r>
      <w:r w:rsidRPr="00FA0D37">
        <w:t xml:space="preserve"> information element</w:t>
      </w:r>
    </w:p>
    <w:p w14:paraId="45E2C82B" w14:textId="77777777" w:rsidR="001775F2" w:rsidRPr="00FA0D37" w:rsidRDefault="001775F2" w:rsidP="00FA0D37">
      <w:pPr>
        <w:pStyle w:val="PL"/>
        <w:rPr>
          <w:color w:val="808080"/>
        </w:rPr>
      </w:pPr>
      <w:r w:rsidRPr="00FA0D37">
        <w:rPr>
          <w:color w:val="808080"/>
        </w:rPr>
        <w:t>-- ASN1START</w:t>
      </w:r>
    </w:p>
    <w:p w14:paraId="2825E18E" w14:textId="77777777" w:rsidR="001775F2" w:rsidRPr="00FA0D37" w:rsidRDefault="001775F2" w:rsidP="00FA0D37">
      <w:pPr>
        <w:pStyle w:val="PL"/>
        <w:rPr>
          <w:color w:val="808080"/>
        </w:rPr>
      </w:pPr>
      <w:r w:rsidRPr="00FA0D37">
        <w:rPr>
          <w:color w:val="808080"/>
        </w:rPr>
        <w:t>-- TAG-CANDIDATEBEAMRS-START</w:t>
      </w:r>
    </w:p>
    <w:p w14:paraId="504AC672" w14:textId="77777777" w:rsidR="001775F2" w:rsidRPr="00FA0D37" w:rsidRDefault="001775F2" w:rsidP="00FA0D37">
      <w:pPr>
        <w:pStyle w:val="PL"/>
      </w:pPr>
    </w:p>
    <w:p w14:paraId="5FABF6A7" w14:textId="77777777" w:rsidR="001775F2" w:rsidRPr="00FA0D37" w:rsidRDefault="001775F2" w:rsidP="00FA0D37">
      <w:pPr>
        <w:pStyle w:val="PL"/>
      </w:pPr>
    </w:p>
    <w:p w14:paraId="63224C71" w14:textId="77777777" w:rsidR="001775F2" w:rsidRPr="00FA0D37" w:rsidRDefault="001775F2" w:rsidP="00FA0D37">
      <w:pPr>
        <w:pStyle w:val="PL"/>
      </w:pPr>
      <w:r w:rsidRPr="00FA0D37">
        <w:t xml:space="preserve">CandidateBeamRS-r16 ::=                </w:t>
      </w:r>
      <w:r w:rsidRPr="00FA0D37">
        <w:rPr>
          <w:color w:val="993366"/>
        </w:rPr>
        <w:t>SEQUENCE</w:t>
      </w:r>
      <w:r w:rsidRPr="00FA0D37">
        <w:t xml:space="preserve"> {</w:t>
      </w:r>
    </w:p>
    <w:p w14:paraId="35DB7AD8" w14:textId="77777777" w:rsidR="001775F2" w:rsidRPr="00FA0D37" w:rsidRDefault="001775F2" w:rsidP="00FA0D37">
      <w:pPr>
        <w:pStyle w:val="PL"/>
      </w:pPr>
      <w:r w:rsidRPr="00FA0D37">
        <w:t xml:space="preserve">    candidateBeamConfig-r16                </w:t>
      </w:r>
      <w:r w:rsidRPr="00FA0D37">
        <w:rPr>
          <w:color w:val="993366"/>
        </w:rPr>
        <w:t>CHOICE</w:t>
      </w:r>
      <w:r w:rsidRPr="00FA0D37">
        <w:t xml:space="preserve"> {</w:t>
      </w:r>
    </w:p>
    <w:p w14:paraId="40048A9C" w14:textId="77777777" w:rsidR="001775F2" w:rsidRPr="00FA0D37" w:rsidRDefault="001775F2" w:rsidP="00FA0D37">
      <w:pPr>
        <w:pStyle w:val="PL"/>
      </w:pPr>
      <w:r w:rsidRPr="00FA0D37">
        <w:t xml:space="preserve">        ssb-r16                                SSB-Index,</w:t>
      </w:r>
    </w:p>
    <w:p w14:paraId="094649DB" w14:textId="77777777" w:rsidR="001775F2" w:rsidRPr="00FA0D37" w:rsidRDefault="001775F2" w:rsidP="00FA0D37">
      <w:pPr>
        <w:pStyle w:val="PL"/>
      </w:pPr>
      <w:r w:rsidRPr="00FA0D37">
        <w:t xml:space="preserve">        csi-RS-r16                             NZP-CSI-RS-ResourceId</w:t>
      </w:r>
    </w:p>
    <w:p w14:paraId="688C1F76" w14:textId="77777777" w:rsidR="001775F2" w:rsidRPr="00FA0D37" w:rsidRDefault="001775F2" w:rsidP="00FA0D37">
      <w:pPr>
        <w:pStyle w:val="PL"/>
      </w:pPr>
      <w:r w:rsidRPr="00FA0D37">
        <w:t xml:space="preserve">    },</w:t>
      </w:r>
    </w:p>
    <w:p w14:paraId="629FE7F4" w14:textId="77777777" w:rsidR="001775F2" w:rsidRPr="00FA0D37" w:rsidRDefault="001775F2" w:rsidP="00FA0D37">
      <w:pPr>
        <w:pStyle w:val="PL"/>
        <w:rPr>
          <w:color w:val="808080"/>
        </w:rPr>
      </w:pPr>
      <w:r w:rsidRPr="00FA0D37">
        <w:t xml:space="preserve">    servingCellId                          ServCellIndex                                                            </w:t>
      </w:r>
      <w:r w:rsidRPr="00FA0D37">
        <w:rPr>
          <w:color w:val="993366"/>
        </w:rPr>
        <w:t>OPTIONAL</w:t>
      </w:r>
      <w:r w:rsidRPr="00FA0D37">
        <w:t xml:space="preserve">  </w:t>
      </w:r>
      <w:r w:rsidRPr="00FA0D37">
        <w:rPr>
          <w:color w:val="808080"/>
        </w:rPr>
        <w:t>-- Need R</w:t>
      </w:r>
    </w:p>
    <w:p w14:paraId="2B925FAC" w14:textId="77777777" w:rsidR="001775F2" w:rsidRPr="00FA0D37" w:rsidRDefault="001775F2" w:rsidP="00FA0D37">
      <w:pPr>
        <w:pStyle w:val="PL"/>
      </w:pPr>
      <w:r w:rsidRPr="00FA0D37">
        <w:t>}</w:t>
      </w:r>
    </w:p>
    <w:p w14:paraId="296D0FC5" w14:textId="77777777" w:rsidR="001775F2" w:rsidRPr="00FA0D37" w:rsidRDefault="001775F2" w:rsidP="00FA0D37">
      <w:pPr>
        <w:pStyle w:val="PL"/>
      </w:pPr>
    </w:p>
    <w:p w14:paraId="5802BA94" w14:textId="77777777" w:rsidR="001775F2" w:rsidRPr="00FA0D37" w:rsidRDefault="001775F2" w:rsidP="00FA0D37">
      <w:pPr>
        <w:pStyle w:val="PL"/>
        <w:rPr>
          <w:color w:val="808080"/>
        </w:rPr>
      </w:pPr>
      <w:r w:rsidRPr="00FA0D37">
        <w:rPr>
          <w:color w:val="808080"/>
        </w:rPr>
        <w:t>-- TAG-CANDIDATEBEAMRS-STOP</w:t>
      </w:r>
    </w:p>
    <w:p w14:paraId="7BBC9A93" w14:textId="77777777" w:rsidR="001775F2" w:rsidRPr="00FA0D37" w:rsidRDefault="001775F2" w:rsidP="00FA0D37">
      <w:pPr>
        <w:pStyle w:val="PL"/>
        <w:rPr>
          <w:color w:val="808080"/>
        </w:rPr>
      </w:pPr>
      <w:r w:rsidRPr="00FA0D37">
        <w:rPr>
          <w:color w:val="808080"/>
        </w:rPr>
        <w:t>-- ASN1STOP</w:t>
      </w:r>
    </w:p>
    <w:p w14:paraId="0D82FF4D" w14:textId="77777777" w:rsidR="001775F2" w:rsidRPr="00FA0D37"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5C7FF4" w:rsidRPr="00FA0D37"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FA0D37" w:rsidRDefault="001775F2" w:rsidP="00771058">
            <w:pPr>
              <w:pStyle w:val="TAH"/>
              <w:rPr>
                <w:szCs w:val="22"/>
                <w:lang w:eastAsia="sv-SE"/>
              </w:rPr>
            </w:pPr>
            <w:r w:rsidRPr="00FA0D37">
              <w:rPr>
                <w:i/>
                <w:szCs w:val="22"/>
                <w:lang w:eastAsia="sv-SE"/>
              </w:rPr>
              <w:t xml:space="preserve">CandidateBeamRS </w:t>
            </w:r>
            <w:r w:rsidRPr="00FA0D37">
              <w:rPr>
                <w:szCs w:val="22"/>
                <w:lang w:eastAsia="sv-SE"/>
              </w:rPr>
              <w:t>field descriptions</w:t>
            </w:r>
          </w:p>
        </w:tc>
      </w:tr>
      <w:tr w:rsidR="005C7FF4" w:rsidRPr="00FA0D37"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FA0D37" w:rsidRDefault="001775F2" w:rsidP="00771058">
            <w:pPr>
              <w:pStyle w:val="TAL"/>
              <w:rPr>
                <w:b/>
                <w:i/>
                <w:szCs w:val="22"/>
                <w:lang w:eastAsia="sv-SE"/>
              </w:rPr>
            </w:pPr>
            <w:r w:rsidRPr="00FA0D37">
              <w:rPr>
                <w:b/>
                <w:i/>
                <w:szCs w:val="22"/>
                <w:lang w:eastAsia="sv-SE"/>
              </w:rPr>
              <w:t>candidateBeamConfig</w:t>
            </w:r>
          </w:p>
          <w:p w14:paraId="5EA1733A" w14:textId="77777777" w:rsidR="001775F2" w:rsidRPr="00FA0D37" w:rsidRDefault="001775F2" w:rsidP="00771058">
            <w:pPr>
              <w:pStyle w:val="TAL"/>
              <w:rPr>
                <w:b/>
                <w:i/>
                <w:szCs w:val="22"/>
                <w:lang w:eastAsia="sv-SE"/>
              </w:rPr>
            </w:pPr>
            <w:r w:rsidRPr="00FA0D37">
              <w:rPr>
                <w:szCs w:val="22"/>
                <w:lang w:eastAsia="sv-SE"/>
              </w:rPr>
              <w:t>Indicates the resource (i.e. SSB or CSI-RS) defining this beam resource.</w:t>
            </w:r>
          </w:p>
        </w:tc>
      </w:tr>
      <w:tr w:rsidR="000830BB" w:rsidRPr="00FA0D37"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FA0D37" w:rsidRDefault="001775F2" w:rsidP="00771058">
            <w:pPr>
              <w:pStyle w:val="TAL"/>
              <w:rPr>
                <w:b/>
                <w:i/>
                <w:szCs w:val="22"/>
                <w:lang w:eastAsia="sv-SE"/>
              </w:rPr>
            </w:pPr>
            <w:r w:rsidRPr="00FA0D37">
              <w:rPr>
                <w:b/>
                <w:i/>
                <w:szCs w:val="22"/>
                <w:lang w:eastAsia="sv-SE"/>
              </w:rPr>
              <w:t>servingCellId</w:t>
            </w:r>
          </w:p>
          <w:p w14:paraId="5233412B" w14:textId="430A87D0" w:rsidR="001775F2" w:rsidRPr="00FA0D37" w:rsidRDefault="001775F2" w:rsidP="00771058">
            <w:pPr>
              <w:pStyle w:val="TAL"/>
              <w:rPr>
                <w:b/>
                <w:i/>
                <w:szCs w:val="22"/>
                <w:lang w:eastAsia="sv-SE"/>
              </w:rPr>
            </w:pPr>
            <w:r w:rsidRPr="00FA0D37">
              <w:rPr>
                <w:szCs w:val="22"/>
                <w:lang w:eastAsia="sv-SE"/>
              </w:rPr>
              <w:t xml:space="preserve">If the field is absent, the RS belongs to the serving cell in which </w:t>
            </w:r>
            <w:r w:rsidRPr="00FA0D37">
              <w:rPr>
                <w:i/>
                <w:szCs w:val="22"/>
                <w:lang w:eastAsia="sv-SE"/>
              </w:rPr>
              <w:t>BeamFailureRecovery</w:t>
            </w:r>
            <w:r w:rsidR="003A2D9D" w:rsidRPr="00FA0D37">
              <w:rPr>
                <w:i/>
                <w:szCs w:val="22"/>
                <w:lang w:eastAsia="sv-SE"/>
              </w:rPr>
              <w:t>RS</w:t>
            </w:r>
            <w:r w:rsidRPr="00FA0D37">
              <w:rPr>
                <w:i/>
                <w:szCs w:val="22"/>
                <w:lang w:eastAsia="sv-SE"/>
              </w:rPr>
              <w:t>Config</w:t>
            </w:r>
            <w:r w:rsidRPr="00FA0D37">
              <w:rPr>
                <w:szCs w:val="22"/>
                <w:lang w:eastAsia="sv-SE"/>
              </w:rPr>
              <w:t xml:space="preserve"> is configured</w:t>
            </w:r>
            <w:r w:rsidR="00656BB9" w:rsidRPr="00FA0D37">
              <w:rPr>
                <w:szCs w:val="22"/>
                <w:lang w:eastAsia="sv-SE"/>
              </w:rPr>
              <w:t>.</w:t>
            </w:r>
          </w:p>
        </w:tc>
      </w:tr>
    </w:tbl>
    <w:p w14:paraId="618B3894" w14:textId="77777777" w:rsidR="001775F2" w:rsidRPr="00FA0D37" w:rsidRDefault="001775F2" w:rsidP="00394471"/>
    <w:p w14:paraId="670E8B99" w14:textId="77777777" w:rsidR="00394471" w:rsidRPr="00FA0D37" w:rsidRDefault="00394471" w:rsidP="00394471">
      <w:pPr>
        <w:pStyle w:val="4"/>
        <w:rPr>
          <w:rFonts w:eastAsia="宋体"/>
          <w:i/>
          <w:noProof/>
        </w:rPr>
      </w:pPr>
      <w:bookmarkStart w:id="919" w:name="_Toc60777184"/>
      <w:bookmarkStart w:id="920" w:name="_Toc146781230"/>
      <w:r w:rsidRPr="00FA0D37">
        <w:rPr>
          <w:rFonts w:eastAsia="宋体"/>
        </w:rPr>
        <w:t>–</w:t>
      </w:r>
      <w:r w:rsidRPr="00FA0D37">
        <w:rPr>
          <w:rFonts w:eastAsia="宋体"/>
        </w:rPr>
        <w:tab/>
      </w:r>
      <w:r w:rsidRPr="00FA0D37">
        <w:rPr>
          <w:rFonts w:eastAsia="宋体"/>
          <w:i/>
          <w:noProof/>
        </w:rPr>
        <w:t>CellAccessRelatedInfo</w:t>
      </w:r>
      <w:bookmarkEnd w:id="919"/>
      <w:bookmarkEnd w:id="920"/>
    </w:p>
    <w:p w14:paraId="340E59D4" w14:textId="77777777" w:rsidR="00394471" w:rsidRPr="00FA0D37" w:rsidRDefault="00394471" w:rsidP="00394471">
      <w:pPr>
        <w:rPr>
          <w:rFonts w:eastAsia="宋体"/>
        </w:rPr>
      </w:pPr>
      <w:r w:rsidRPr="00FA0D37">
        <w:t xml:space="preserve">The IE </w:t>
      </w:r>
      <w:r w:rsidRPr="00FA0D37">
        <w:rPr>
          <w:i/>
          <w:noProof/>
        </w:rPr>
        <w:t xml:space="preserve">CellAccessRelatedInfo </w:t>
      </w:r>
      <w:r w:rsidRPr="00FA0D37">
        <w:t>indicates cell access related information for this cell.</w:t>
      </w:r>
    </w:p>
    <w:p w14:paraId="2598ED6A" w14:textId="77777777" w:rsidR="00394471" w:rsidRPr="00FA0D37" w:rsidRDefault="00394471" w:rsidP="00394471">
      <w:pPr>
        <w:pStyle w:val="TH"/>
      </w:pPr>
      <w:r w:rsidRPr="00FA0D37">
        <w:rPr>
          <w:i/>
          <w:noProof/>
        </w:rPr>
        <w:t>CellAccessRelatedInfo</w:t>
      </w:r>
      <w:r w:rsidRPr="00FA0D37">
        <w:t xml:space="preserve"> information element</w:t>
      </w:r>
    </w:p>
    <w:p w14:paraId="76D8B559" w14:textId="77777777" w:rsidR="00394471" w:rsidRPr="00FA0D37" w:rsidRDefault="00394471" w:rsidP="00FA0D37">
      <w:pPr>
        <w:pStyle w:val="PL"/>
        <w:rPr>
          <w:color w:val="808080"/>
        </w:rPr>
      </w:pPr>
      <w:r w:rsidRPr="00FA0D37">
        <w:rPr>
          <w:color w:val="808080"/>
        </w:rPr>
        <w:t>-- ASN1START</w:t>
      </w:r>
    </w:p>
    <w:p w14:paraId="72B22039" w14:textId="77777777" w:rsidR="00394471" w:rsidRPr="00FA0D37" w:rsidRDefault="00394471" w:rsidP="00FA0D37">
      <w:pPr>
        <w:pStyle w:val="PL"/>
        <w:rPr>
          <w:color w:val="808080"/>
        </w:rPr>
      </w:pPr>
      <w:r w:rsidRPr="00FA0D37">
        <w:rPr>
          <w:color w:val="808080"/>
        </w:rPr>
        <w:t>-- TAG-CELLACCESSRELATEDINFO-START</w:t>
      </w:r>
    </w:p>
    <w:p w14:paraId="368B2584" w14:textId="77777777" w:rsidR="00394471" w:rsidRPr="00FA0D37" w:rsidRDefault="00394471" w:rsidP="00FA0D37">
      <w:pPr>
        <w:pStyle w:val="PL"/>
      </w:pPr>
    </w:p>
    <w:p w14:paraId="132B07B5" w14:textId="77777777" w:rsidR="00394471" w:rsidRPr="00FA0D37" w:rsidRDefault="00394471" w:rsidP="00FA0D37">
      <w:pPr>
        <w:pStyle w:val="PL"/>
      </w:pPr>
      <w:r w:rsidRPr="00FA0D37">
        <w:t xml:space="preserve">CellAccessRelatedInfo   ::=         </w:t>
      </w:r>
      <w:r w:rsidRPr="00FA0D37">
        <w:rPr>
          <w:color w:val="993366"/>
        </w:rPr>
        <w:t>SEQUENCE</w:t>
      </w:r>
      <w:r w:rsidRPr="00FA0D37">
        <w:t xml:space="preserve"> {</w:t>
      </w:r>
    </w:p>
    <w:p w14:paraId="74D35A8E" w14:textId="5C7575F2" w:rsidR="00394471" w:rsidRPr="00FA0D37" w:rsidRDefault="00394471" w:rsidP="00FA0D37">
      <w:pPr>
        <w:pStyle w:val="PL"/>
      </w:pPr>
      <w:r w:rsidRPr="00FA0D37">
        <w:t xml:space="preserve">    plmn-Identity</w:t>
      </w:r>
      <w:r w:rsidR="00FB04AA" w:rsidRPr="00FA0D37">
        <w:t>Info</w:t>
      </w:r>
      <w:r w:rsidRPr="00FA0D37">
        <w:t>List               PLMN-IdentityInfoList,</w:t>
      </w:r>
    </w:p>
    <w:p w14:paraId="6B45F571" w14:textId="77777777" w:rsidR="00394471" w:rsidRPr="00FA0D37" w:rsidRDefault="00394471" w:rsidP="00FA0D37">
      <w:pPr>
        <w:pStyle w:val="PL"/>
        <w:rPr>
          <w:color w:val="808080"/>
        </w:rPr>
      </w:pPr>
      <w:r w:rsidRPr="00FA0D37">
        <w:t xml:space="preserve">    cellReservedForOtherUse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75E5D3A1" w14:textId="77777777" w:rsidR="00394471" w:rsidRPr="00FA0D37" w:rsidRDefault="00394471" w:rsidP="00FA0D37">
      <w:pPr>
        <w:pStyle w:val="PL"/>
      </w:pPr>
      <w:r w:rsidRPr="00FA0D37">
        <w:t xml:space="preserve">    ...,</w:t>
      </w:r>
    </w:p>
    <w:p w14:paraId="0CF4B0C4" w14:textId="77777777" w:rsidR="00394471" w:rsidRPr="00FA0D37" w:rsidRDefault="00394471" w:rsidP="00FA0D37">
      <w:pPr>
        <w:pStyle w:val="PL"/>
      </w:pPr>
      <w:r w:rsidRPr="00FA0D37">
        <w:t xml:space="preserve">    [[</w:t>
      </w:r>
    </w:p>
    <w:p w14:paraId="222E0AA0" w14:textId="77777777" w:rsidR="00394471" w:rsidRPr="00FA0D37" w:rsidRDefault="00394471" w:rsidP="00FA0D37">
      <w:pPr>
        <w:pStyle w:val="PL"/>
        <w:rPr>
          <w:color w:val="808080"/>
        </w:rPr>
      </w:pPr>
      <w:r w:rsidRPr="00FA0D37">
        <w:t xml:space="preserve">    cellReservedForFutureUse-r16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B5A512C" w14:textId="77777777" w:rsidR="00394471" w:rsidRPr="00FA0D37" w:rsidRDefault="00394471" w:rsidP="00FA0D37">
      <w:pPr>
        <w:pStyle w:val="PL"/>
        <w:rPr>
          <w:color w:val="808080"/>
        </w:rPr>
      </w:pPr>
      <w:r w:rsidRPr="00FA0D37">
        <w:t xml:space="preserve">    npn-IdentityInfoList-r16            NPN-IdentityInfoList-r16      </w:t>
      </w:r>
      <w:r w:rsidRPr="00FA0D37">
        <w:rPr>
          <w:color w:val="993366"/>
        </w:rPr>
        <w:t>OPTIONAL</w:t>
      </w:r>
      <w:r w:rsidRPr="00FA0D37">
        <w:t xml:space="preserve">    </w:t>
      </w:r>
      <w:r w:rsidRPr="00FA0D37">
        <w:rPr>
          <w:color w:val="808080"/>
        </w:rPr>
        <w:t>-- Need R</w:t>
      </w:r>
    </w:p>
    <w:p w14:paraId="2709F439" w14:textId="3DF2E18F" w:rsidR="005F220E" w:rsidRPr="00FA0D37" w:rsidRDefault="00394471" w:rsidP="00FA0D37">
      <w:pPr>
        <w:pStyle w:val="PL"/>
      </w:pPr>
      <w:r w:rsidRPr="00FA0D37">
        <w:t xml:space="preserve">    ]]</w:t>
      </w:r>
      <w:r w:rsidR="005F220E" w:rsidRPr="00FA0D37">
        <w:t>,</w:t>
      </w:r>
    </w:p>
    <w:p w14:paraId="43EB015A" w14:textId="77777777" w:rsidR="005F220E" w:rsidRPr="00FA0D37" w:rsidRDefault="005F220E" w:rsidP="00FA0D37">
      <w:pPr>
        <w:pStyle w:val="PL"/>
      </w:pPr>
      <w:r w:rsidRPr="00FA0D37">
        <w:t xml:space="preserve">    [[</w:t>
      </w:r>
    </w:p>
    <w:p w14:paraId="299FC0F3" w14:textId="77777777" w:rsidR="005F220E" w:rsidRPr="00FA0D37" w:rsidRDefault="005F220E" w:rsidP="00FA0D37">
      <w:pPr>
        <w:pStyle w:val="PL"/>
        <w:rPr>
          <w:color w:val="808080"/>
        </w:rPr>
      </w:pPr>
      <w:r w:rsidRPr="00FA0D37">
        <w:lastRenderedPageBreak/>
        <w:t xml:space="preserve">    snpn-AccessInfoList-r17             </w:t>
      </w:r>
      <w:r w:rsidRPr="00FA0D37">
        <w:rPr>
          <w:color w:val="993366"/>
        </w:rPr>
        <w:t>SEQUENCE</w:t>
      </w:r>
      <w:r w:rsidRPr="00FA0D37">
        <w:t xml:space="preserve"> (</w:t>
      </w:r>
      <w:r w:rsidRPr="00FA0D37">
        <w:rPr>
          <w:color w:val="993366"/>
        </w:rPr>
        <w:t>SIZE</w:t>
      </w:r>
      <w:r w:rsidRPr="00FA0D37">
        <w:t xml:space="preserve"> (1..maxNPN-r16))</w:t>
      </w:r>
      <w:r w:rsidRPr="00FA0D37">
        <w:rPr>
          <w:color w:val="993366"/>
        </w:rPr>
        <w:t xml:space="preserve"> OF</w:t>
      </w:r>
      <w:r w:rsidRPr="00FA0D37">
        <w:t xml:space="preserve"> SNPN-AccessInfo-r17    </w:t>
      </w:r>
      <w:r w:rsidRPr="00FA0D37">
        <w:rPr>
          <w:color w:val="993366"/>
        </w:rPr>
        <w:t>OPTIONAL</w:t>
      </w:r>
      <w:r w:rsidRPr="00FA0D37">
        <w:t xml:space="preserve">    </w:t>
      </w:r>
      <w:r w:rsidRPr="00FA0D37">
        <w:rPr>
          <w:color w:val="808080"/>
        </w:rPr>
        <w:t>-- Need R</w:t>
      </w:r>
    </w:p>
    <w:p w14:paraId="32E8F5E7" w14:textId="70B9E94A" w:rsidR="00394471" w:rsidRPr="00FA0D37" w:rsidRDefault="005F220E" w:rsidP="00FA0D37">
      <w:pPr>
        <w:pStyle w:val="PL"/>
      </w:pPr>
      <w:r w:rsidRPr="00FA0D37">
        <w:t xml:space="preserve">    ]]</w:t>
      </w:r>
    </w:p>
    <w:p w14:paraId="2E2E6E7E" w14:textId="77777777" w:rsidR="00394471" w:rsidRPr="00FA0D37" w:rsidRDefault="00394471" w:rsidP="00FA0D37">
      <w:pPr>
        <w:pStyle w:val="PL"/>
      </w:pPr>
      <w:r w:rsidRPr="00FA0D37">
        <w:t>}</w:t>
      </w:r>
    </w:p>
    <w:p w14:paraId="256C6B43" w14:textId="77777777" w:rsidR="005F220E" w:rsidRPr="00FA0D37" w:rsidRDefault="005F220E" w:rsidP="00FA0D37">
      <w:pPr>
        <w:pStyle w:val="PL"/>
      </w:pPr>
    </w:p>
    <w:p w14:paraId="4B5B9EEA" w14:textId="77777777" w:rsidR="005F220E" w:rsidRPr="00FA0D37" w:rsidRDefault="005F220E" w:rsidP="00FA0D37">
      <w:pPr>
        <w:pStyle w:val="PL"/>
      </w:pPr>
      <w:r w:rsidRPr="00FA0D37">
        <w:t xml:space="preserve">SNPN-AccessInfo-r17 ::=         </w:t>
      </w:r>
      <w:r w:rsidRPr="00FA0D37">
        <w:rPr>
          <w:color w:val="993366"/>
        </w:rPr>
        <w:t>SEQUENCE</w:t>
      </w:r>
      <w:r w:rsidRPr="00FA0D37">
        <w:t xml:space="preserve"> {</w:t>
      </w:r>
    </w:p>
    <w:p w14:paraId="14EC4BFB" w14:textId="77777777" w:rsidR="005F220E" w:rsidRPr="00FA0D37" w:rsidRDefault="005F220E" w:rsidP="00FA0D37">
      <w:pPr>
        <w:pStyle w:val="PL"/>
        <w:rPr>
          <w:color w:val="808080"/>
        </w:rPr>
      </w:pPr>
      <w:r w:rsidRPr="00FA0D37">
        <w:t xml:space="preserve">    extCH-Supported-r17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482B8EE9" w14:textId="77777777" w:rsidR="005F220E" w:rsidRPr="00FA0D37" w:rsidRDefault="005F220E" w:rsidP="00FA0D37">
      <w:pPr>
        <w:pStyle w:val="PL"/>
        <w:rPr>
          <w:color w:val="808080"/>
        </w:rPr>
      </w:pPr>
      <w:r w:rsidRPr="00FA0D37">
        <w:t xml:space="preserve">    extCH-WithoutConfigAllowed-r17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4A16595C" w14:textId="77777777" w:rsidR="005F220E" w:rsidRPr="00FA0D37" w:rsidRDefault="005F220E" w:rsidP="00FA0D37">
      <w:pPr>
        <w:pStyle w:val="PL"/>
        <w:rPr>
          <w:color w:val="808080"/>
        </w:rPr>
      </w:pPr>
      <w:r w:rsidRPr="00FA0D37">
        <w:t xml:space="preserve">    onboardingEnabled-r17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66EFAA8" w14:textId="77777777" w:rsidR="005F220E" w:rsidRPr="00FA0D37" w:rsidRDefault="005F220E" w:rsidP="00FA0D37">
      <w:pPr>
        <w:pStyle w:val="PL"/>
        <w:rPr>
          <w:color w:val="808080"/>
        </w:rPr>
      </w:pPr>
      <w:r w:rsidRPr="00FA0D37">
        <w:t xml:space="preserve">    imsEmergencySupportForSNPN-r17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7A92EFDF" w14:textId="77777777" w:rsidR="005F220E" w:rsidRPr="00FA0D37" w:rsidRDefault="005F220E" w:rsidP="00FA0D37">
      <w:pPr>
        <w:pStyle w:val="PL"/>
      </w:pPr>
      <w:r w:rsidRPr="00FA0D37">
        <w:t>}</w:t>
      </w:r>
    </w:p>
    <w:p w14:paraId="4651ADDE" w14:textId="77777777" w:rsidR="00394471" w:rsidRPr="00FA0D37" w:rsidRDefault="00394471" w:rsidP="00FA0D37">
      <w:pPr>
        <w:pStyle w:val="PL"/>
      </w:pPr>
    </w:p>
    <w:p w14:paraId="4687EC2C" w14:textId="77777777" w:rsidR="00394471" w:rsidRPr="00FA0D37" w:rsidRDefault="00394471" w:rsidP="00FA0D37">
      <w:pPr>
        <w:pStyle w:val="PL"/>
        <w:rPr>
          <w:color w:val="808080"/>
        </w:rPr>
      </w:pPr>
      <w:r w:rsidRPr="00FA0D37">
        <w:rPr>
          <w:color w:val="808080"/>
        </w:rPr>
        <w:t>-- TAG-CELLACCESSRELATEDINFO-STOP</w:t>
      </w:r>
    </w:p>
    <w:p w14:paraId="677C3B9C" w14:textId="77777777" w:rsidR="00394471" w:rsidRPr="00FA0D37" w:rsidRDefault="00394471" w:rsidP="00FA0D37">
      <w:pPr>
        <w:pStyle w:val="PL"/>
        <w:rPr>
          <w:color w:val="808080"/>
        </w:rPr>
      </w:pPr>
      <w:r w:rsidRPr="00FA0D37">
        <w:rPr>
          <w:color w:val="808080"/>
        </w:rPr>
        <w:t>-- ASN1STOP</w:t>
      </w:r>
    </w:p>
    <w:p w14:paraId="2407B188"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5C7FF4" w:rsidRPr="00FA0D37"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FA0D37" w:rsidRDefault="00394471" w:rsidP="00964CC4">
            <w:pPr>
              <w:pStyle w:val="TAH"/>
              <w:rPr>
                <w:szCs w:val="22"/>
                <w:lang w:eastAsia="sv-SE"/>
              </w:rPr>
            </w:pPr>
            <w:r w:rsidRPr="00FA0D37">
              <w:rPr>
                <w:i/>
                <w:noProof/>
                <w:lang w:eastAsia="en-GB"/>
              </w:rPr>
              <w:t>CellAccessRelatedInfo</w:t>
            </w:r>
            <w:r w:rsidRPr="00FA0D37">
              <w:rPr>
                <w:iCs/>
                <w:noProof/>
                <w:lang w:eastAsia="en-GB"/>
              </w:rPr>
              <w:t xml:space="preserve"> field descriptions</w:t>
            </w:r>
          </w:p>
        </w:tc>
      </w:tr>
      <w:tr w:rsidR="005C7FF4" w:rsidRPr="00FA0D37"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FA0D37" w:rsidRDefault="00394471" w:rsidP="00964CC4">
            <w:pPr>
              <w:pStyle w:val="TAL"/>
              <w:rPr>
                <w:b/>
                <w:bCs/>
                <w:i/>
                <w:iCs/>
                <w:lang w:eastAsia="x-none"/>
              </w:rPr>
            </w:pPr>
            <w:r w:rsidRPr="00FA0D37">
              <w:rPr>
                <w:b/>
                <w:bCs/>
                <w:i/>
                <w:iCs/>
                <w:lang w:eastAsia="x-none"/>
              </w:rPr>
              <w:t>cellReservedForFutureUse</w:t>
            </w:r>
          </w:p>
          <w:p w14:paraId="1EE36C22" w14:textId="77777777" w:rsidR="00394471" w:rsidRPr="00FA0D37" w:rsidRDefault="00394471" w:rsidP="00964CC4">
            <w:pPr>
              <w:pStyle w:val="TAL"/>
              <w:rPr>
                <w:lang w:eastAsia="sv-SE"/>
              </w:rPr>
            </w:pPr>
            <w:r w:rsidRPr="00FA0D37">
              <w:rPr>
                <w:lang w:eastAsia="sv-SE"/>
              </w:rPr>
              <w:t>Indicates whether the cell is reserved, as defined in 38.304 [20] for future use. The field is applicable to all PLMNs and NPNs.</w:t>
            </w:r>
            <w:r w:rsidRPr="00FA0D37">
              <w:t xml:space="preserve"> </w:t>
            </w:r>
            <w:r w:rsidRPr="00FA0D37">
              <w:rPr>
                <w:szCs w:val="22"/>
                <w:lang w:eastAsia="en-GB"/>
              </w:rPr>
              <w:t>This field is ignored by IAB-MT.</w:t>
            </w:r>
          </w:p>
        </w:tc>
      </w:tr>
      <w:tr w:rsidR="005C7FF4" w:rsidRPr="00FA0D37"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FA0D37" w:rsidRDefault="00394471" w:rsidP="00964CC4">
            <w:pPr>
              <w:pStyle w:val="TAL"/>
              <w:rPr>
                <w:bCs/>
                <w:noProof/>
                <w:lang w:eastAsia="en-GB"/>
              </w:rPr>
            </w:pPr>
            <w:r w:rsidRPr="00FA0D37">
              <w:rPr>
                <w:b/>
                <w:bCs/>
                <w:i/>
                <w:noProof/>
                <w:lang w:eastAsia="en-GB"/>
              </w:rPr>
              <w:t>cellReservedForOtherUse</w:t>
            </w:r>
          </w:p>
          <w:p w14:paraId="47EDC8EC" w14:textId="77777777" w:rsidR="00394471" w:rsidRPr="00FA0D37" w:rsidRDefault="00394471" w:rsidP="00964CC4">
            <w:pPr>
              <w:pStyle w:val="TAL"/>
              <w:rPr>
                <w:bCs/>
                <w:noProof/>
                <w:lang w:eastAsia="en-GB"/>
              </w:rPr>
            </w:pPr>
            <w:r w:rsidRPr="00FA0D37">
              <w:rPr>
                <w:bCs/>
                <w:noProof/>
                <w:lang w:eastAsia="en-GB"/>
              </w:rPr>
              <w:t>Indicates whether the cell is reserved, as defined in 38.304 [20]. The field is applicable to all PLMNs.</w:t>
            </w:r>
            <w:r w:rsidRPr="00FA0D37">
              <w:t xml:space="preserve"> </w:t>
            </w:r>
            <w:r w:rsidRPr="00FA0D37">
              <w:rPr>
                <w:rFonts w:cs="Arial"/>
                <w:bCs/>
                <w:noProof/>
                <w:lang w:eastAsia="en-GB"/>
              </w:rPr>
              <w:t>This field is ignored by IAB-MT for cell barring determination, but still considered by NPN capable IAB-MT for determination of an NPN-only cell.</w:t>
            </w:r>
          </w:p>
        </w:tc>
      </w:tr>
      <w:tr w:rsidR="005C7FF4" w:rsidRPr="00FA0D37"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FA0D37" w:rsidRDefault="00394471" w:rsidP="00964CC4">
            <w:pPr>
              <w:pStyle w:val="TAL"/>
              <w:rPr>
                <w:b/>
                <w:bCs/>
                <w:i/>
                <w:iCs/>
                <w:lang w:eastAsia="x-none"/>
              </w:rPr>
            </w:pPr>
            <w:r w:rsidRPr="00FA0D37">
              <w:rPr>
                <w:b/>
                <w:bCs/>
                <w:i/>
                <w:iCs/>
                <w:lang w:eastAsia="x-none"/>
              </w:rPr>
              <w:t>npn-IdentityInfoList</w:t>
            </w:r>
          </w:p>
          <w:p w14:paraId="16ED5E3A" w14:textId="505EB535" w:rsidR="00394471" w:rsidRPr="00FA0D37" w:rsidRDefault="00394471" w:rsidP="00964CC4">
            <w:pPr>
              <w:pStyle w:val="TAL"/>
            </w:pPr>
            <w:r w:rsidRPr="00FA0D37">
              <w:rPr>
                <w:lang w:eastAsia="sv-SE"/>
              </w:rPr>
              <w:t xml:space="preserve">The </w:t>
            </w:r>
            <w:r w:rsidRPr="00FA0D37">
              <w:rPr>
                <w:i/>
                <w:iCs/>
                <w:lang w:eastAsia="x-none"/>
              </w:rPr>
              <w:t>npn-IdentityInfoList</w:t>
            </w:r>
            <w:r w:rsidRPr="00FA0D37">
              <w:rPr>
                <w:lang w:eastAsia="sv-SE"/>
              </w:rPr>
              <w:t xml:space="preserve"> is used to configure a set of </w:t>
            </w:r>
            <w:r w:rsidRPr="00FA0D37">
              <w:rPr>
                <w:i/>
                <w:iCs/>
                <w:lang w:eastAsia="x-none"/>
              </w:rPr>
              <w:t>NPN-IdentityInfo</w:t>
            </w:r>
            <w:r w:rsidRPr="00FA0D37">
              <w:rPr>
                <w:lang w:eastAsia="sv-SE"/>
              </w:rPr>
              <w:t xml:space="preserve"> elements. Each of those elements contains a list of one or more NPN Identities and additional information associated with those NPNs. The total number of PLMNs (identified by a PLMN identity in </w:t>
            </w:r>
            <w:r w:rsidRPr="00FA0D37">
              <w:rPr>
                <w:i/>
                <w:iCs/>
                <w:lang w:eastAsia="sv-SE"/>
              </w:rPr>
              <w:t>plmn -IdentityList</w:t>
            </w:r>
            <w:r w:rsidRPr="00FA0D37">
              <w:rPr>
                <w:lang w:eastAsia="sv-SE"/>
              </w:rPr>
              <w:t xml:space="preserve">), PNI-NPNs (identified by a PLMN identity and a CAG-ID), and SNPNs (identified by a PLMN identity and a NID) together in the </w:t>
            </w:r>
            <w:r w:rsidRPr="00FA0D37">
              <w:rPr>
                <w:i/>
                <w:iCs/>
                <w:lang w:eastAsia="sv-SE"/>
              </w:rPr>
              <w:t>PLMN-IdentityInfoList</w:t>
            </w:r>
            <w:r w:rsidRPr="00FA0D37">
              <w:rPr>
                <w:lang w:eastAsia="sv-SE"/>
              </w:rPr>
              <w:t xml:space="preserve"> and </w:t>
            </w:r>
            <w:r w:rsidRPr="00FA0D37">
              <w:rPr>
                <w:i/>
                <w:iCs/>
                <w:lang w:eastAsia="sv-SE"/>
              </w:rPr>
              <w:t>NPN-IdentityInfoList</w:t>
            </w:r>
            <w:r w:rsidRPr="00FA0D37">
              <w:rPr>
                <w:lang w:eastAsia="sv-SE"/>
              </w:rPr>
              <w:t xml:space="preserve"> does not exceed 12, except for the NPN-only cells. </w:t>
            </w:r>
            <w:r w:rsidR="0021390A" w:rsidRPr="00FA0D37">
              <w:rPr>
                <w:lang w:eastAsia="sv-SE"/>
              </w:rPr>
              <w:t xml:space="preserve">A PNI-NPN and SNPN can be included only once, and in only one entry of the </w:t>
            </w:r>
            <w:r w:rsidR="0021390A" w:rsidRPr="00FA0D37">
              <w:rPr>
                <w:i/>
                <w:lang w:eastAsia="sv-SE"/>
              </w:rPr>
              <w:t>NPN-IdentityInfoList</w:t>
            </w:r>
            <w:r w:rsidR="0021390A" w:rsidRPr="00FA0D37">
              <w:rPr>
                <w:lang w:eastAsia="sv-SE"/>
              </w:rPr>
              <w:t xml:space="preserve">. </w:t>
            </w:r>
            <w:r w:rsidRPr="00FA0D37">
              <w:rPr>
                <w:lang w:eastAsia="sv-SE"/>
              </w:rPr>
              <w:t xml:space="preserve">In case of NPN-only cells the </w:t>
            </w:r>
            <w:r w:rsidRPr="00FA0D37">
              <w:rPr>
                <w:i/>
                <w:iCs/>
                <w:lang w:eastAsia="x-none"/>
              </w:rPr>
              <w:t>PLMN-IdentityList</w:t>
            </w:r>
            <w:r w:rsidRPr="00FA0D37">
              <w:rPr>
                <w:lang w:eastAsia="sv-SE"/>
              </w:rPr>
              <w:t xml:space="preserve"> contains a single element that does not count to the limit of 12</w:t>
            </w:r>
            <w:r w:rsidR="00523E98" w:rsidRPr="00FA0D37">
              <w:rPr>
                <w:lang w:eastAsia="sv-SE"/>
              </w:rPr>
              <w:t xml:space="preserve"> and the </w:t>
            </w:r>
            <w:r w:rsidR="00523E98" w:rsidRPr="00FA0D37">
              <w:rPr>
                <w:i/>
                <w:lang w:eastAsia="sv-SE"/>
              </w:rPr>
              <w:t>cellIdentity</w:t>
            </w:r>
            <w:r w:rsidR="00523E98" w:rsidRPr="00FA0D37">
              <w:rPr>
                <w:lang w:eastAsia="sv-SE"/>
              </w:rPr>
              <w:t xml:space="preserve"> of the first entry of the </w:t>
            </w:r>
            <w:r w:rsidR="00523E98" w:rsidRPr="00FA0D37">
              <w:rPr>
                <w:i/>
                <w:iCs/>
                <w:lang w:eastAsia="sv-SE"/>
              </w:rPr>
              <w:t>PLMN-IdentityInfoList</w:t>
            </w:r>
            <w:r w:rsidR="00523E98" w:rsidRPr="00FA0D37">
              <w:rPr>
                <w:lang w:eastAsia="sv-SE"/>
              </w:rPr>
              <w:t xml:space="preserve"> is set to the same value as the </w:t>
            </w:r>
            <w:r w:rsidR="00523E98" w:rsidRPr="00FA0D37">
              <w:rPr>
                <w:i/>
                <w:lang w:eastAsia="sv-SE"/>
              </w:rPr>
              <w:t>cellIdentity-r16</w:t>
            </w:r>
            <w:r w:rsidR="00523E98" w:rsidRPr="00FA0D37">
              <w:rPr>
                <w:lang w:eastAsia="sv-SE"/>
              </w:rPr>
              <w:t xml:space="preserve"> of the first entry of the </w:t>
            </w:r>
            <w:r w:rsidR="00523E98" w:rsidRPr="00FA0D37">
              <w:rPr>
                <w:i/>
                <w:iCs/>
                <w:lang w:eastAsia="sv-SE"/>
              </w:rPr>
              <w:t>NPN-IdentityInfoList</w:t>
            </w:r>
            <w:r w:rsidRPr="00FA0D37">
              <w:rPr>
                <w:lang w:eastAsia="sv-SE"/>
              </w:rPr>
              <w:t xml:space="preserve">. The NPN index is defined as </w:t>
            </w:r>
            <w:r w:rsidRPr="00FA0D37">
              <w:rPr>
                <w:i/>
                <w:iCs/>
              </w:rPr>
              <w:t>B+c1+c2+…+c(n-1)+d1+d2+…+d(m-1)+e(i)</w:t>
            </w:r>
            <w:r w:rsidRPr="00FA0D37">
              <w:t xml:space="preserve"> for the NPN identity included in the </w:t>
            </w:r>
            <w:r w:rsidRPr="00FA0D37">
              <w:rPr>
                <w:i/>
                <w:iCs/>
              </w:rPr>
              <w:t>n</w:t>
            </w:r>
            <w:r w:rsidRPr="00FA0D37">
              <w:t xml:space="preserve">-th entry of </w:t>
            </w:r>
            <w:r w:rsidRPr="00FA0D37">
              <w:rPr>
                <w:i/>
                <w:iCs/>
              </w:rPr>
              <w:t>NPN-IdentityInfoList</w:t>
            </w:r>
            <w:r w:rsidRPr="00FA0D37">
              <w:t xml:space="preserve"> and in the </w:t>
            </w:r>
            <w:r w:rsidRPr="00FA0D37">
              <w:rPr>
                <w:i/>
                <w:iCs/>
              </w:rPr>
              <w:t>m</w:t>
            </w:r>
            <w:r w:rsidRPr="00FA0D37">
              <w:t xml:space="preserve">-th entry of </w:t>
            </w:r>
            <w:r w:rsidR="0021390A" w:rsidRPr="00FA0D37">
              <w:rPr>
                <w:i/>
                <w:iCs/>
              </w:rPr>
              <w:t>npn</w:t>
            </w:r>
            <w:r w:rsidRPr="00FA0D37">
              <w:rPr>
                <w:i/>
                <w:iCs/>
              </w:rPr>
              <w:t>-Identitylist</w:t>
            </w:r>
            <w:r w:rsidRPr="00FA0D37">
              <w:t xml:space="preserve"> within that </w:t>
            </w:r>
            <w:r w:rsidR="0021390A" w:rsidRPr="00FA0D37">
              <w:rPr>
                <w:i/>
                <w:iCs/>
              </w:rPr>
              <w:t>NPN</w:t>
            </w:r>
            <w:r w:rsidRPr="00FA0D37">
              <w:rPr>
                <w:i/>
                <w:iCs/>
              </w:rPr>
              <w:t>-IdentityInfoList</w:t>
            </w:r>
            <w:r w:rsidRPr="00FA0D37">
              <w:t xml:space="preserve"> entry, and the </w:t>
            </w:r>
            <w:r w:rsidRPr="00FA0D37">
              <w:rPr>
                <w:i/>
                <w:iCs/>
              </w:rPr>
              <w:t>i</w:t>
            </w:r>
            <w:r w:rsidRPr="00FA0D37">
              <w:t xml:space="preserve">-th entry of its corresponding </w:t>
            </w:r>
            <w:r w:rsidRPr="00FA0D37">
              <w:rPr>
                <w:i/>
                <w:iCs/>
              </w:rPr>
              <w:t>NPN-Identity</w:t>
            </w:r>
            <w:r w:rsidRPr="00FA0D37">
              <w:t>, where</w:t>
            </w:r>
          </w:p>
          <w:p w14:paraId="2B44993C" w14:textId="77777777" w:rsidR="00394471" w:rsidRPr="00FA0D37" w:rsidRDefault="00394471" w:rsidP="00964CC4">
            <w:pPr>
              <w:pStyle w:val="TAL"/>
            </w:pPr>
            <w:r w:rsidRPr="00FA0D37">
              <w:t xml:space="preserve">- </w:t>
            </w:r>
            <w:r w:rsidRPr="00FA0D37">
              <w:rPr>
                <w:i/>
                <w:iCs/>
              </w:rPr>
              <w:t>B</w:t>
            </w:r>
            <w:r w:rsidRPr="00FA0D37">
              <w:t xml:space="preserve"> is the index used for the last PLMN in the </w:t>
            </w:r>
            <w:r w:rsidRPr="00FA0D37">
              <w:rPr>
                <w:i/>
                <w:iCs/>
              </w:rPr>
              <w:t>PLMN-IdentittyInfoList</w:t>
            </w:r>
            <w:r w:rsidRPr="00FA0D37">
              <w:t xml:space="preserve">; in NPN-only cells </w:t>
            </w:r>
            <w:r w:rsidRPr="00FA0D37">
              <w:rPr>
                <w:i/>
                <w:iCs/>
              </w:rPr>
              <w:t>B</w:t>
            </w:r>
            <w:r w:rsidRPr="00FA0D37">
              <w:t xml:space="preserve"> is considered 0;</w:t>
            </w:r>
          </w:p>
          <w:p w14:paraId="01B75530" w14:textId="77777777" w:rsidR="00394471" w:rsidRPr="00FA0D37" w:rsidRDefault="00394471" w:rsidP="00964CC4">
            <w:pPr>
              <w:pStyle w:val="TAL"/>
            </w:pPr>
            <w:r w:rsidRPr="00FA0D37">
              <w:t xml:space="preserve">- </w:t>
            </w:r>
            <w:r w:rsidRPr="00FA0D37">
              <w:rPr>
                <w:i/>
                <w:iCs/>
              </w:rPr>
              <w:t>c(j)</w:t>
            </w:r>
            <w:r w:rsidRPr="00FA0D37">
              <w:t xml:space="preserve"> is the number of NPN index values used in the </w:t>
            </w:r>
            <w:r w:rsidRPr="00FA0D37">
              <w:rPr>
                <w:i/>
                <w:iCs/>
              </w:rPr>
              <w:t>j</w:t>
            </w:r>
            <w:r w:rsidRPr="00FA0D37">
              <w:t xml:space="preserve">-th </w:t>
            </w:r>
            <w:r w:rsidRPr="00FA0D37">
              <w:rPr>
                <w:i/>
                <w:iCs/>
              </w:rPr>
              <w:t>NPN-IdentityInfoList</w:t>
            </w:r>
            <w:r w:rsidRPr="00FA0D37">
              <w:t xml:space="preserve"> entry;</w:t>
            </w:r>
          </w:p>
          <w:p w14:paraId="714BC35D" w14:textId="77777777" w:rsidR="00394471" w:rsidRPr="00FA0D37" w:rsidRDefault="00394471" w:rsidP="00964CC4">
            <w:pPr>
              <w:pStyle w:val="TAL"/>
              <w:rPr>
                <w:i/>
                <w:iCs/>
              </w:rPr>
            </w:pPr>
            <w:r w:rsidRPr="00FA0D37">
              <w:t xml:space="preserve">- </w:t>
            </w:r>
            <w:r w:rsidRPr="00FA0D37">
              <w:rPr>
                <w:i/>
                <w:iCs/>
              </w:rPr>
              <w:t>d(k)</w:t>
            </w:r>
            <w:r w:rsidRPr="00FA0D37">
              <w:t xml:space="preserve"> is the number of NPN index values used in the </w:t>
            </w:r>
            <w:r w:rsidRPr="00FA0D37">
              <w:rPr>
                <w:i/>
                <w:iCs/>
              </w:rPr>
              <w:t>k</w:t>
            </w:r>
            <w:r w:rsidRPr="00FA0D37">
              <w:t xml:space="preserve">-th </w:t>
            </w:r>
            <w:r w:rsidRPr="00FA0D37">
              <w:rPr>
                <w:i/>
                <w:iCs/>
              </w:rPr>
              <w:t>npn-IdentityList</w:t>
            </w:r>
            <w:r w:rsidRPr="00FA0D37">
              <w:t xml:space="preserve"> entry within the </w:t>
            </w:r>
            <w:r w:rsidRPr="00FA0D37">
              <w:rPr>
                <w:i/>
                <w:iCs/>
              </w:rPr>
              <w:t>n</w:t>
            </w:r>
            <w:r w:rsidRPr="00FA0D37">
              <w:t xml:space="preserve">-th </w:t>
            </w:r>
            <w:r w:rsidRPr="00FA0D37">
              <w:rPr>
                <w:i/>
                <w:iCs/>
              </w:rPr>
              <w:t>NPN-IdentityInfoList</w:t>
            </w:r>
            <w:r w:rsidRPr="00FA0D37">
              <w:t xml:space="preserve"> entry;</w:t>
            </w:r>
          </w:p>
          <w:p w14:paraId="0292B815" w14:textId="77777777" w:rsidR="00394471" w:rsidRPr="00FA0D37" w:rsidRDefault="00394471" w:rsidP="00964CC4">
            <w:pPr>
              <w:pStyle w:val="TAL"/>
            </w:pPr>
            <w:r w:rsidRPr="00FA0D37">
              <w:t>- e(i) is</w:t>
            </w:r>
          </w:p>
          <w:p w14:paraId="51ACBA65" w14:textId="77777777" w:rsidR="00394471" w:rsidRPr="00FA0D37" w:rsidRDefault="00394471" w:rsidP="00964CC4">
            <w:pPr>
              <w:pStyle w:val="TAL"/>
            </w:pPr>
            <w:r w:rsidRPr="00FA0D37">
              <w:t xml:space="preserve">    - </w:t>
            </w:r>
            <w:r w:rsidRPr="00FA0D37">
              <w:rPr>
                <w:i/>
                <w:iCs/>
              </w:rPr>
              <w:t>i</w:t>
            </w:r>
            <w:r w:rsidRPr="00FA0D37">
              <w:t xml:space="preserve"> if the </w:t>
            </w:r>
            <w:r w:rsidRPr="00FA0D37">
              <w:rPr>
                <w:i/>
                <w:iCs/>
              </w:rPr>
              <w:t>n</w:t>
            </w:r>
            <w:r w:rsidRPr="00FA0D37">
              <w:t xml:space="preserve">-th entry of </w:t>
            </w:r>
            <w:r w:rsidRPr="00FA0D37">
              <w:rPr>
                <w:i/>
                <w:iCs/>
              </w:rPr>
              <w:t>NPN-IdentityInfoList</w:t>
            </w:r>
            <w:r w:rsidRPr="00FA0D37">
              <w:t xml:space="preserve"> entry is for SNPN(s);</w:t>
            </w:r>
          </w:p>
          <w:p w14:paraId="6A779A72" w14:textId="77777777" w:rsidR="00394471" w:rsidRPr="00FA0D37" w:rsidRDefault="00394471" w:rsidP="00964CC4">
            <w:pPr>
              <w:pStyle w:val="TAL"/>
              <w:rPr>
                <w:lang w:eastAsia="sv-SE"/>
              </w:rPr>
            </w:pPr>
            <w:r w:rsidRPr="00FA0D37">
              <w:t xml:space="preserve">    - 1 if the </w:t>
            </w:r>
            <w:r w:rsidRPr="00FA0D37">
              <w:rPr>
                <w:i/>
                <w:iCs/>
              </w:rPr>
              <w:t>n</w:t>
            </w:r>
            <w:r w:rsidRPr="00FA0D37">
              <w:t xml:space="preserve">-th entry of </w:t>
            </w:r>
            <w:r w:rsidRPr="00FA0D37">
              <w:rPr>
                <w:i/>
                <w:iCs/>
              </w:rPr>
              <w:t>NPN-IdentityInfoList</w:t>
            </w:r>
            <w:r w:rsidRPr="00FA0D37">
              <w:t xml:space="preserve"> entry is for PNI-NPN(s).</w:t>
            </w:r>
          </w:p>
        </w:tc>
      </w:tr>
      <w:tr w:rsidR="005C7FF4" w:rsidRPr="00FA0D37"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FA0D37" w:rsidRDefault="00394471" w:rsidP="00964CC4">
            <w:pPr>
              <w:pStyle w:val="TAL"/>
              <w:rPr>
                <w:b/>
                <w:bCs/>
                <w:i/>
                <w:iCs/>
                <w:noProof/>
                <w:lang w:eastAsia="en-GB"/>
              </w:rPr>
            </w:pPr>
            <w:r w:rsidRPr="00FA0D37">
              <w:rPr>
                <w:b/>
                <w:bCs/>
                <w:i/>
                <w:iCs/>
                <w:noProof/>
                <w:lang w:eastAsia="en-GB"/>
              </w:rPr>
              <w:t>plmn-Identity</w:t>
            </w:r>
            <w:r w:rsidR="00FB04AA" w:rsidRPr="00FA0D37">
              <w:rPr>
                <w:b/>
                <w:bCs/>
                <w:i/>
                <w:iCs/>
                <w:noProof/>
                <w:lang w:eastAsia="en-GB"/>
              </w:rPr>
              <w:t>Info</w:t>
            </w:r>
            <w:r w:rsidRPr="00FA0D37">
              <w:rPr>
                <w:b/>
                <w:bCs/>
                <w:i/>
                <w:iCs/>
                <w:noProof/>
                <w:lang w:eastAsia="en-GB"/>
              </w:rPr>
              <w:t>List</w:t>
            </w:r>
          </w:p>
          <w:p w14:paraId="76CC10ED" w14:textId="6B625120" w:rsidR="00394471" w:rsidRPr="00FA0D37" w:rsidRDefault="00394471" w:rsidP="00964CC4">
            <w:pPr>
              <w:pStyle w:val="TAL"/>
              <w:rPr>
                <w:szCs w:val="22"/>
                <w:lang w:eastAsia="sv-SE"/>
              </w:rPr>
            </w:pPr>
            <w:r w:rsidRPr="00FA0D37">
              <w:rPr>
                <w:lang w:eastAsia="en-US"/>
              </w:rPr>
              <w:t>The</w:t>
            </w:r>
            <w:r w:rsidRPr="00FA0D37">
              <w:rPr>
                <w:i/>
                <w:lang w:eastAsia="en-US"/>
              </w:rPr>
              <w:t xml:space="preserve"> plmn-Identity</w:t>
            </w:r>
            <w:r w:rsidR="00FB04AA" w:rsidRPr="00FA0D37">
              <w:rPr>
                <w:i/>
                <w:lang w:eastAsia="en-US"/>
              </w:rPr>
              <w:t>Info</w:t>
            </w:r>
            <w:r w:rsidRPr="00FA0D37">
              <w:rPr>
                <w:i/>
                <w:lang w:eastAsia="en-US"/>
              </w:rPr>
              <w:t>List</w:t>
            </w:r>
            <w:r w:rsidRPr="00FA0D37">
              <w:rPr>
                <w:lang w:eastAsia="en-US"/>
              </w:rPr>
              <w:t xml:space="preserve"> is used to configure a set of </w:t>
            </w:r>
            <w:r w:rsidRPr="00FA0D37">
              <w:rPr>
                <w:i/>
                <w:lang w:eastAsia="en-US"/>
              </w:rPr>
              <w:t>PLMN-IdentityInfo</w:t>
            </w:r>
            <w:r w:rsidRPr="00FA0D37">
              <w:rPr>
                <w:lang w:eastAsia="en-US"/>
              </w:rPr>
              <w:t xml:space="preserve"> elements. Each of those elements contains a list of one or more PLMN Identities and additional information associated with those PLMNs. </w:t>
            </w:r>
            <w:r w:rsidRPr="00FA0D37">
              <w:rPr>
                <w:lang w:eastAsia="sv-SE"/>
              </w:rPr>
              <w:t xml:space="preserve">A PLMN-identity can be included only once, and in only one entry of the </w:t>
            </w:r>
            <w:r w:rsidRPr="00FA0D37">
              <w:rPr>
                <w:i/>
                <w:lang w:eastAsia="sv-SE"/>
              </w:rPr>
              <w:t>PLMN-IdentityInfoList</w:t>
            </w:r>
            <w:r w:rsidRPr="00FA0D37">
              <w:rPr>
                <w:lang w:eastAsia="sv-SE"/>
              </w:rPr>
              <w:t xml:space="preserve">. </w:t>
            </w:r>
            <w:r w:rsidRPr="00FA0D37">
              <w:rPr>
                <w:rFonts w:eastAsia="宋体"/>
                <w:lang w:eastAsia="zh-CN"/>
              </w:rPr>
              <w:t xml:space="preserve">The PLMN index is defined as </w:t>
            </w:r>
            <w:r w:rsidRPr="00FA0D37">
              <w:rPr>
                <w:i/>
                <w:lang w:eastAsia="en-GB"/>
              </w:rPr>
              <w:t>b1+b2+…+</w:t>
            </w:r>
            <w:r w:rsidRPr="00FA0D37">
              <w:rPr>
                <w:rFonts w:eastAsia="宋体"/>
                <w:i/>
                <w:lang w:eastAsia="zh-CN"/>
              </w:rPr>
              <w:t>b(n-1)</w:t>
            </w:r>
            <w:r w:rsidRPr="00FA0D37">
              <w:rPr>
                <w:i/>
                <w:lang w:eastAsia="en-GB"/>
              </w:rPr>
              <w:t>+i</w:t>
            </w:r>
            <w:r w:rsidRPr="00FA0D37">
              <w:rPr>
                <w:lang w:eastAsia="en-GB"/>
              </w:rPr>
              <w:t xml:space="preserve"> for </w:t>
            </w:r>
            <w:r w:rsidRPr="00FA0D37">
              <w:rPr>
                <w:rFonts w:eastAsia="宋体"/>
                <w:lang w:eastAsia="zh-CN"/>
              </w:rPr>
              <w:t>the</w:t>
            </w:r>
            <w:r w:rsidRPr="00FA0D37">
              <w:rPr>
                <w:lang w:eastAsia="en-GB"/>
              </w:rPr>
              <w:t xml:space="preserve"> PLMN </w:t>
            </w:r>
            <w:r w:rsidRPr="00FA0D37">
              <w:rPr>
                <w:rFonts w:eastAsia="宋体"/>
                <w:lang w:eastAsia="zh-CN"/>
              </w:rPr>
              <w:t>included</w:t>
            </w:r>
            <w:r w:rsidRPr="00FA0D37">
              <w:rPr>
                <w:lang w:eastAsia="en-GB"/>
              </w:rPr>
              <w:t xml:space="preserve"> at the </w:t>
            </w:r>
            <w:r w:rsidRPr="00FA0D37">
              <w:rPr>
                <w:i/>
                <w:lang w:eastAsia="en-GB"/>
              </w:rPr>
              <w:t>n</w:t>
            </w:r>
            <w:r w:rsidRPr="00FA0D37">
              <w:rPr>
                <w:lang w:eastAsia="en-GB"/>
              </w:rPr>
              <w:t xml:space="preserve">-th entry </w:t>
            </w:r>
            <w:r w:rsidRPr="00FA0D37">
              <w:rPr>
                <w:rFonts w:eastAsia="宋体"/>
                <w:lang w:eastAsia="zh-CN"/>
              </w:rPr>
              <w:t xml:space="preserve">of </w:t>
            </w:r>
            <w:r w:rsidRPr="00FA0D37">
              <w:rPr>
                <w:i/>
                <w:lang w:eastAsia="sv-SE"/>
              </w:rPr>
              <w:t>PLMN-IdentityInfoList</w:t>
            </w:r>
            <w:r w:rsidRPr="00FA0D37">
              <w:rPr>
                <w:lang w:eastAsia="en-GB"/>
              </w:rPr>
              <w:t xml:space="preserve"> and the</w:t>
            </w:r>
            <w:r w:rsidRPr="00FA0D37">
              <w:rPr>
                <w:i/>
                <w:lang w:eastAsia="en-GB"/>
              </w:rPr>
              <w:t xml:space="preserve"> i</w:t>
            </w:r>
            <w:r w:rsidRPr="00FA0D37">
              <w:rPr>
                <w:lang w:eastAsia="en-GB"/>
              </w:rPr>
              <w:t xml:space="preserve">-th entry of its corresponding </w:t>
            </w:r>
            <w:r w:rsidRPr="00FA0D37">
              <w:rPr>
                <w:i/>
                <w:lang w:eastAsia="en-GB"/>
              </w:rPr>
              <w:t>PLMN-IdentityInfo</w:t>
            </w:r>
            <w:r w:rsidRPr="00FA0D37">
              <w:rPr>
                <w:rFonts w:eastAsia="宋体"/>
                <w:lang w:eastAsia="zh-CN"/>
              </w:rPr>
              <w:t xml:space="preserve">, where </w:t>
            </w:r>
            <w:r w:rsidRPr="00FA0D37">
              <w:rPr>
                <w:rFonts w:eastAsia="宋体"/>
                <w:i/>
                <w:lang w:eastAsia="zh-CN"/>
              </w:rPr>
              <w:t>b(j)</w:t>
            </w:r>
            <w:r w:rsidRPr="00FA0D37">
              <w:rPr>
                <w:rFonts w:eastAsia="宋体"/>
                <w:lang w:eastAsia="zh-CN"/>
              </w:rPr>
              <w:t xml:space="preserve"> is the number of </w:t>
            </w:r>
            <w:r w:rsidRPr="00FA0D37">
              <w:rPr>
                <w:i/>
                <w:lang w:eastAsia="en-GB"/>
              </w:rPr>
              <w:t>PLMN-Identity</w:t>
            </w:r>
            <w:r w:rsidRPr="00FA0D37">
              <w:rPr>
                <w:lang w:eastAsia="en-GB"/>
              </w:rPr>
              <w:t xml:space="preserve"> entries in each </w:t>
            </w:r>
            <w:r w:rsidRPr="00FA0D37">
              <w:rPr>
                <w:i/>
                <w:lang w:eastAsia="en-GB"/>
              </w:rPr>
              <w:t>PLMN-IdentityInfo</w:t>
            </w:r>
            <w:r w:rsidRPr="00FA0D37">
              <w:rPr>
                <w:lang w:eastAsia="en-GB"/>
              </w:rPr>
              <w:t>, respectively.</w:t>
            </w:r>
          </w:p>
        </w:tc>
      </w:tr>
      <w:tr w:rsidR="005F220E" w:rsidRPr="00FA0D37"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FA0D37" w:rsidRDefault="005F220E" w:rsidP="00771058">
            <w:pPr>
              <w:pStyle w:val="TAL"/>
              <w:rPr>
                <w:bCs/>
                <w:noProof/>
                <w:lang w:eastAsia="en-GB"/>
              </w:rPr>
            </w:pPr>
            <w:r w:rsidRPr="00FA0D37">
              <w:rPr>
                <w:b/>
                <w:bCs/>
                <w:i/>
                <w:noProof/>
                <w:lang w:eastAsia="en-GB"/>
              </w:rPr>
              <w:t>snpn-AccessInfoList</w:t>
            </w:r>
          </w:p>
          <w:p w14:paraId="49B15E6A" w14:textId="77777777" w:rsidR="005F220E" w:rsidRPr="00FA0D37" w:rsidRDefault="005F220E" w:rsidP="00771058">
            <w:pPr>
              <w:pStyle w:val="TAL"/>
              <w:rPr>
                <w:bCs/>
                <w:noProof/>
                <w:lang w:eastAsia="en-GB"/>
              </w:rPr>
            </w:pPr>
            <w:r w:rsidRPr="00FA0D37">
              <w:rPr>
                <w:bCs/>
                <w:noProof/>
                <w:lang w:eastAsia="en-GB"/>
              </w:rPr>
              <w:t xml:space="preserve">This list </w:t>
            </w:r>
            <w:r w:rsidRPr="00FA0D37">
              <w:t>provides access related information</w:t>
            </w:r>
            <w:r w:rsidRPr="00FA0D37">
              <w:rPr>
                <w:bCs/>
                <w:noProof/>
                <w:lang w:eastAsia="en-GB"/>
              </w:rPr>
              <w:t xml:space="preserve"> for each SNPN in </w:t>
            </w:r>
            <w:r w:rsidRPr="00FA0D37">
              <w:rPr>
                <w:bCs/>
                <w:i/>
                <w:iCs/>
                <w:noProof/>
                <w:lang w:eastAsia="en-GB"/>
              </w:rPr>
              <w:t>npn-IdentityInfoList</w:t>
            </w:r>
            <w:r w:rsidRPr="00FA0D37">
              <w:rPr>
                <w:bCs/>
                <w:noProof/>
                <w:lang w:eastAsia="en-GB"/>
              </w:rPr>
              <w:t xml:space="preserve">, see </w:t>
            </w:r>
            <w:r w:rsidRPr="00FA0D37">
              <w:rPr>
                <w:lang w:eastAsia="sv-SE"/>
              </w:rPr>
              <w:t>TS 23.501 [32]</w:t>
            </w:r>
            <w:r w:rsidRPr="00FA0D37">
              <w:rPr>
                <w:rFonts w:cs="Arial"/>
                <w:bCs/>
                <w:noProof/>
                <w:lang w:eastAsia="en-GB"/>
              </w:rPr>
              <w:t xml:space="preserve">. </w:t>
            </w:r>
            <w:r w:rsidRPr="00FA0D37">
              <w:rPr>
                <w:lang w:eastAsia="sv-SE"/>
              </w:rPr>
              <w:t xml:space="preserve">The </w:t>
            </w:r>
            <w:r w:rsidRPr="00FA0D37">
              <w:rPr>
                <w:iCs/>
                <w:lang w:eastAsia="sv-SE"/>
              </w:rPr>
              <w:t>n</w:t>
            </w:r>
            <w:r w:rsidRPr="00FA0D37">
              <w:rPr>
                <w:lang w:eastAsia="sv-SE"/>
              </w:rPr>
              <w:t xml:space="preserve">-th entry of the list contains the </w:t>
            </w:r>
            <w:r w:rsidRPr="00FA0D37">
              <w:t>access related information</w:t>
            </w:r>
            <w:r w:rsidRPr="00FA0D37">
              <w:rPr>
                <w:lang w:eastAsia="sv-SE"/>
              </w:rPr>
              <w:t xml:space="preserve"> of the </w:t>
            </w:r>
            <w:r w:rsidRPr="00FA0D37">
              <w:rPr>
                <w:iCs/>
                <w:lang w:eastAsia="sv-SE"/>
              </w:rPr>
              <w:t>n-</w:t>
            </w:r>
            <w:r w:rsidRPr="00FA0D37">
              <w:rPr>
                <w:lang w:eastAsia="sv-SE"/>
              </w:rPr>
              <w:t xml:space="preserve">th SNPN </w:t>
            </w:r>
            <w:r w:rsidRPr="00FA0D37">
              <w:rPr>
                <w:rFonts w:cs="Arial"/>
                <w:bCs/>
                <w:noProof/>
                <w:lang w:eastAsia="en-GB"/>
              </w:rPr>
              <w:t xml:space="preserve">in </w:t>
            </w:r>
            <w:r w:rsidRPr="00FA0D37">
              <w:rPr>
                <w:i/>
                <w:iCs/>
              </w:rPr>
              <w:t>npn-IdentityInfoList</w:t>
            </w:r>
            <w:r w:rsidRPr="00FA0D37">
              <w:rPr>
                <w:lang w:eastAsia="sv-SE"/>
              </w:rPr>
              <w:t xml:space="preserve">. </w:t>
            </w:r>
          </w:p>
        </w:tc>
      </w:tr>
    </w:tbl>
    <w:p w14:paraId="2C1D9F59" w14:textId="77777777" w:rsidR="005F220E" w:rsidRPr="00FA0D37"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5C7FF4" w:rsidRPr="00FA0D37"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FA0D37" w:rsidRDefault="005F220E" w:rsidP="00771058">
            <w:pPr>
              <w:pStyle w:val="TAH"/>
              <w:rPr>
                <w:szCs w:val="22"/>
                <w:lang w:eastAsia="sv-SE"/>
              </w:rPr>
            </w:pPr>
            <w:r w:rsidRPr="00FA0D37">
              <w:rPr>
                <w:i/>
                <w:noProof/>
                <w:lang w:eastAsia="en-GB"/>
              </w:rPr>
              <w:lastRenderedPageBreak/>
              <w:t>SNPN-AccessInfo</w:t>
            </w:r>
            <w:r w:rsidRPr="00FA0D37">
              <w:rPr>
                <w:iCs/>
                <w:noProof/>
                <w:lang w:eastAsia="en-GB"/>
              </w:rPr>
              <w:t xml:space="preserve"> field descriptions</w:t>
            </w:r>
          </w:p>
        </w:tc>
      </w:tr>
      <w:tr w:rsidR="005C7FF4" w:rsidRPr="00FA0D37"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FA0D37" w:rsidRDefault="005F220E" w:rsidP="00771058">
            <w:pPr>
              <w:pStyle w:val="TAL"/>
              <w:rPr>
                <w:bCs/>
                <w:noProof/>
                <w:lang w:eastAsia="en-GB"/>
              </w:rPr>
            </w:pPr>
            <w:r w:rsidRPr="00FA0D37">
              <w:rPr>
                <w:b/>
                <w:bCs/>
                <w:i/>
                <w:noProof/>
                <w:lang w:eastAsia="en-GB"/>
              </w:rPr>
              <w:t>extCH-Supported</w:t>
            </w:r>
          </w:p>
          <w:p w14:paraId="1E85E867" w14:textId="77777777" w:rsidR="005F220E" w:rsidRPr="00FA0D37" w:rsidRDefault="005F220E" w:rsidP="00771058">
            <w:pPr>
              <w:pStyle w:val="TAL"/>
              <w:rPr>
                <w:bCs/>
                <w:noProof/>
                <w:lang w:eastAsia="en-GB"/>
              </w:rPr>
            </w:pPr>
            <w:r w:rsidRPr="00FA0D37">
              <w:rPr>
                <w:bCs/>
                <w:noProof/>
                <w:lang w:eastAsia="en-GB"/>
              </w:rPr>
              <w:t xml:space="preserve">Indicates whether the SNPN supports </w:t>
            </w:r>
            <w:r w:rsidRPr="00FA0D37">
              <w:t xml:space="preserve">access using credentials from a Credentials Holder as specified in </w:t>
            </w:r>
            <w:r w:rsidRPr="00FA0D37">
              <w:rPr>
                <w:lang w:eastAsia="sv-SE"/>
              </w:rPr>
              <w:t>TS 23.501 [32]</w:t>
            </w:r>
            <w:r w:rsidRPr="00FA0D37">
              <w:rPr>
                <w:rFonts w:cs="Arial"/>
                <w:bCs/>
                <w:noProof/>
                <w:lang w:eastAsia="en-GB"/>
              </w:rPr>
              <w:t>.</w:t>
            </w:r>
          </w:p>
        </w:tc>
      </w:tr>
      <w:tr w:rsidR="005C7FF4" w:rsidRPr="00FA0D37"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FA0D37" w:rsidRDefault="005F220E" w:rsidP="00771058">
            <w:pPr>
              <w:pStyle w:val="TAL"/>
              <w:rPr>
                <w:bCs/>
                <w:noProof/>
                <w:lang w:eastAsia="en-GB"/>
              </w:rPr>
            </w:pPr>
            <w:r w:rsidRPr="00FA0D37">
              <w:rPr>
                <w:b/>
                <w:bCs/>
                <w:i/>
                <w:noProof/>
                <w:lang w:eastAsia="en-GB"/>
              </w:rPr>
              <w:t>extCH-WithoutConfigAllowed</w:t>
            </w:r>
          </w:p>
          <w:p w14:paraId="55F1186B" w14:textId="77777777" w:rsidR="005F220E" w:rsidRPr="00FA0D37" w:rsidRDefault="005F220E" w:rsidP="00771058">
            <w:pPr>
              <w:pStyle w:val="TAL"/>
              <w:rPr>
                <w:bCs/>
                <w:noProof/>
                <w:lang w:eastAsia="en-GB"/>
              </w:rPr>
            </w:pPr>
            <w:r w:rsidRPr="00FA0D37">
              <w:rPr>
                <w:bCs/>
                <w:noProof/>
                <w:lang w:eastAsia="en-GB"/>
              </w:rPr>
              <w:t xml:space="preserve">Indicates whether the SNPN allows registration attempts with </w:t>
            </w:r>
            <w:r w:rsidRPr="00FA0D37">
              <w:t>credentials from a Credentials Holder</w:t>
            </w:r>
            <w:r w:rsidRPr="00FA0D37">
              <w:rPr>
                <w:bCs/>
                <w:noProof/>
                <w:lang w:eastAsia="en-GB"/>
              </w:rPr>
              <w:t xml:space="preserve"> from UEs that are not explicitly configured to select the SNPN </w:t>
            </w:r>
            <w:r w:rsidRPr="00FA0D37">
              <w:t xml:space="preserve">as specified in </w:t>
            </w:r>
            <w:r w:rsidRPr="00FA0D37">
              <w:rPr>
                <w:lang w:eastAsia="sv-SE"/>
              </w:rPr>
              <w:t>TS 23.501 [32]</w:t>
            </w:r>
            <w:r w:rsidRPr="00FA0D37">
              <w:rPr>
                <w:rFonts w:cs="Arial"/>
                <w:bCs/>
                <w:noProof/>
                <w:lang w:eastAsia="en-GB"/>
              </w:rPr>
              <w:t>.</w:t>
            </w:r>
          </w:p>
        </w:tc>
      </w:tr>
      <w:tr w:rsidR="005C7FF4" w:rsidRPr="00FA0D37"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FA0D37" w:rsidRDefault="005F220E" w:rsidP="00771058">
            <w:pPr>
              <w:pStyle w:val="TAL"/>
              <w:rPr>
                <w:b/>
                <w:bCs/>
                <w:i/>
                <w:noProof/>
                <w:lang w:eastAsia="en-GB"/>
              </w:rPr>
            </w:pPr>
            <w:r w:rsidRPr="00FA0D37">
              <w:rPr>
                <w:b/>
                <w:bCs/>
                <w:i/>
                <w:noProof/>
                <w:lang w:eastAsia="en-GB"/>
              </w:rPr>
              <w:t>imsEmergencySupportForSNPN</w:t>
            </w:r>
          </w:p>
          <w:p w14:paraId="7C3C3365" w14:textId="77777777" w:rsidR="005F220E" w:rsidRPr="00FA0D37" w:rsidRDefault="005F220E" w:rsidP="00771058">
            <w:pPr>
              <w:pStyle w:val="TAL"/>
              <w:rPr>
                <w:iCs/>
                <w:noProof/>
                <w:lang w:eastAsia="en-GB"/>
              </w:rPr>
            </w:pPr>
            <w:r w:rsidRPr="00FA0D37">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FA0D37"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FA0D37" w:rsidRDefault="005F220E" w:rsidP="00771058">
            <w:pPr>
              <w:pStyle w:val="TAL"/>
              <w:rPr>
                <w:b/>
                <w:bCs/>
                <w:i/>
                <w:noProof/>
                <w:lang w:eastAsia="en-GB"/>
              </w:rPr>
            </w:pPr>
            <w:r w:rsidRPr="00FA0D37">
              <w:rPr>
                <w:b/>
                <w:bCs/>
                <w:i/>
                <w:noProof/>
                <w:lang w:eastAsia="en-GB"/>
              </w:rPr>
              <w:t>onboardingEnabled</w:t>
            </w:r>
          </w:p>
          <w:p w14:paraId="21B78C74" w14:textId="77777777" w:rsidR="005F220E" w:rsidRPr="00FA0D37" w:rsidRDefault="005F220E" w:rsidP="00771058">
            <w:pPr>
              <w:pStyle w:val="TAL"/>
              <w:rPr>
                <w:iCs/>
                <w:noProof/>
                <w:lang w:eastAsia="en-GB"/>
              </w:rPr>
            </w:pPr>
            <w:r w:rsidRPr="00FA0D37">
              <w:rPr>
                <w:iCs/>
                <w:noProof/>
                <w:lang w:eastAsia="en-GB"/>
              </w:rPr>
              <w:t>Indicates whether the onboarding SNPN allows registration for onboarding in the cell as specified in TS 23.501 [32].</w:t>
            </w:r>
          </w:p>
        </w:tc>
      </w:tr>
    </w:tbl>
    <w:p w14:paraId="0D8C9D65" w14:textId="77777777" w:rsidR="00394471" w:rsidRPr="00FA0D37" w:rsidRDefault="00394471" w:rsidP="00394471"/>
    <w:p w14:paraId="667EE83B" w14:textId="77777777" w:rsidR="00394471" w:rsidRPr="00FA0D37" w:rsidRDefault="00394471" w:rsidP="00394471">
      <w:pPr>
        <w:pStyle w:val="4"/>
        <w:rPr>
          <w:i/>
          <w:iCs/>
          <w:noProof/>
        </w:rPr>
      </w:pPr>
      <w:bookmarkStart w:id="921" w:name="_Toc60777185"/>
      <w:bookmarkStart w:id="922" w:name="_Toc146781231"/>
      <w:r w:rsidRPr="00FA0D37">
        <w:rPr>
          <w:i/>
          <w:iCs/>
        </w:rPr>
        <w:t>–</w:t>
      </w:r>
      <w:r w:rsidRPr="00FA0D37">
        <w:rPr>
          <w:i/>
          <w:iCs/>
        </w:rPr>
        <w:tab/>
      </w:r>
      <w:r w:rsidRPr="00FA0D37">
        <w:rPr>
          <w:i/>
          <w:iCs/>
          <w:noProof/>
        </w:rPr>
        <w:t>CellAccessRelatedInfo-EUTRA-5GC</w:t>
      </w:r>
      <w:bookmarkEnd w:id="921"/>
      <w:bookmarkEnd w:id="922"/>
    </w:p>
    <w:p w14:paraId="2DA016A5" w14:textId="77777777" w:rsidR="00394471" w:rsidRPr="00FA0D37" w:rsidRDefault="00394471" w:rsidP="00394471">
      <w:r w:rsidRPr="00FA0D37">
        <w:t xml:space="preserve">The IE </w:t>
      </w:r>
      <w:r w:rsidRPr="00FA0D37">
        <w:rPr>
          <w:i/>
          <w:noProof/>
        </w:rPr>
        <w:t xml:space="preserve">CellAccessRelatedInfo-EUTRA-5GC </w:t>
      </w:r>
      <w:r w:rsidRPr="00FA0D37">
        <w:t>indicates cell access related information for an LTE cell connected to 5GC.</w:t>
      </w:r>
    </w:p>
    <w:p w14:paraId="71919167" w14:textId="77777777" w:rsidR="00394471" w:rsidRPr="00FA0D37" w:rsidRDefault="00394471" w:rsidP="00394471">
      <w:pPr>
        <w:pStyle w:val="TH"/>
      </w:pPr>
      <w:r w:rsidRPr="00FA0D37">
        <w:rPr>
          <w:bCs/>
          <w:i/>
          <w:iCs/>
        </w:rPr>
        <w:t>CellAccessRelatedInfo-EUTRA-5GC</w:t>
      </w:r>
      <w:r w:rsidRPr="00FA0D37">
        <w:t xml:space="preserve"> information element</w:t>
      </w:r>
    </w:p>
    <w:p w14:paraId="788417F9" w14:textId="77777777" w:rsidR="00394471" w:rsidRPr="00FA0D37" w:rsidRDefault="00394471" w:rsidP="00FA0D37">
      <w:pPr>
        <w:pStyle w:val="PL"/>
        <w:rPr>
          <w:color w:val="808080"/>
        </w:rPr>
      </w:pPr>
      <w:r w:rsidRPr="00FA0D37">
        <w:rPr>
          <w:color w:val="808080"/>
        </w:rPr>
        <w:t>-- ASN1START</w:t>
      </w:r>
    </w:p>
    <w:p w14:paraId="7E989986" w14:textId="77777777" w:rsidR="00394471" w:rsidRPr="00FA0D37" w:rsidRDefault="00394471" w:rsidP="00FA0D37">
      <w:pPr>
        <w:pStyle w:val="PL"/>
        <w:rPr>
          <w:color w:val="808080"/>
        </w:rPr>
      </w:pPr>
      <w:r w:rsidRPr="00FA0D37">
        <w:rPr>
          <w:color w:val="808080"/>
        </w:rPr>
        <w:t>-- TAG-CELLACCESSRELATEDINFOEUTRA-5GC-START</w:t>
      </w:r>
    </w:p>
    <w:p w14:paraId="3F46A370" w14:textId="77777777" w:rsidR="00394471" w:rsidRPr="00FA0D37" w:rsidRDefault="00394471" w:rsidP="00FA0D37">
      <w:pPr>
        <w:pStyle w:val="PL"/>
      </w:pPr>
    </w:p>
    <w:p w14:paraId="13F8DFF9" w14:textId="77777777" w:rsidR="00394471" w:rsidRPr="00FA0D37" w:rsidRDefault="00394471" w:rsidP="00FA0D37">
      <w:pPr>
        <w:pStyle w:val="PL"/>
      </w:pPr>
      <w:r w:rsidRPr="00FA0D37">
        <w:t xml:space="preserve">CellAccessRelatedInfo-EUTRA-5GC  ::=    </w:t>
      </w:r>
      <w:r w:rsidRPr="00FA0D37">
        <w:rPr>
          <w:color w:val="993366"/>
        </w:rPr>
        <w:t>SEQUENCE</w:t>
      </w:r>
      <w:r w:rsidRPr="00FA0D37">
        <w:t xml:space="preserve"> {</w:t>
      </w:r>
    </w:p>
    <w:p w14:paraId="4DB51698" w14:textId="77777777" w:rsidR="00394471" w:rsidRPr="00FA0D37" w:rsidRDefault="00394471" w:rsidP="00FA0D37">
      <w:pPr>
        <w:pStyle w:val="PL"/>
      </w:pPr>
      <w:r w:rsidRPr="00FA0D37">
        <w:t xml:space="preserve">    plmn-IdentityList-eutra-5gc             PLMN-IdentityList-EUTRA-5GC,</w:t>
      </w:r>
    </w:p>
    <w:p w14:paraId="37309578" w14:textId="77777777" w:rsidR="00394471" w:rsidRPr="00FA0D37" w:rsidRDefault="00394471" w:rsidP="00FA0D37">
      <w:pPr>
        <w:pStyle w:val="PL"/>
      </w:pPr>
      <w:r w:rsidRPr="00FA0D37">
        <w:t xml:space="preserve">    trackingAreaCode-eutra-5gc              TrackingAreaCode,</w:t>
      </w:r>
    </w:p>
    <w:p w14:paraId="5DE2E4AC" w14:textId="77777777" w:rsidR="00394471" w:rsidRPr="00FA0D37" w:rsidRDefault="00394471" w:rsidP="00FA0D37">
      <w:pPr>
        <w:pStyle w:val="PL"/>
      </w:pPr>
      <w:r w:rsidRPr="00FA0D37">
        <w:t xml:space="preserve">    ranac-5gc                               RAN-AreaCode                                </w:t>
      </w:r>
      <w:r w:rsidRPr="00FA0D37">
        <w:rPr>
          <w:color w:val="993366"/>
        </w:rPr>
        <w:t>OPTIONAL</w:t>
      </w:r>
      <w:r w:rsidRPr="00FA0D37">
        <w:t>,</w:t>
      </w:r>
    </w:p>
    <w:p w14:paraId="646B90A5" w14:textId="77777777" w:rsidR="00394471" w:rsidRPr="00FA0D37" w:rsidRDefault="00394471" w:rsidP="00FA0D37">
      <w:pPr>
        <w:pStyle w:val="PL"/>
      </w:pPr>
      <w:r w:rsidRPr="00FA0D37">
        <w:t xml:space="preserve">    cellIdentity-eutra-5gc                  CellIdentity-EUTRA-5GC</w:t>
      </w:r>
    </w:p>
    <w:p w14:paraId="0D98F4F1" w14:textId="77777777" w:rsidR="00394471" w:rsidRPr="00FA0D37" w:rsidRDefault="00394471" w:rsidP="00FA0D37">
      <w:pPr>
        <w:pStyle w:val="PL"/>
      </w:pPr>
      <w:r w:rsidRPr="00FA0D37">
        <w:t>}</w:t>
      </w:r>
    </w:p>
    <w:p w14:paraId="3FF983B6" w14:textId="77777777" w:rsidR="00394471" w:rsidRPr="00FA0D37" w:rsidRDefault="00394471" w:rsidP="00FA0D37">
      <w:pPr>
        <w:pStyle w:val="PL"/>
      </w:pPr>
    </w:p>
    <w:p w14:paraId="623EC5DD" w14:textId="77777777" w:rsidR="00394471" w:rsidRPr="00FA0D37" w:rsidRDefault="00394471" w:rsidP="00FA0D37">
      <w:pPr>
        <w:pStyle w:val="PL"/>
      </w:pPr>
      <w:r w:rsidRPr="00FA0D37">
        <w:t xml:space="preserve">PLMN-IdentityList-EUTRA-5GC::=          </w:t>
      </w:r>
      <w:r w:rsidRPr="00FA0D37">
        <w:rPr>
          <w:color w:val="993366"/>
        </w:rPr>
        <w:t>SEQUENCE</w:t>
      </w:r>
      <w:r w:rsidRPr="00FA0D37">
        <w:t xml:space="preserve"> (</w:t>
      </w:r>
      <w:r w:rsidRPr="00FA0D37">
        <w:rPr>
          <w:color w:val="993366"/>
        </w:rPr>
        <w:t>SIZE</w:t>
      </w:r>
      <w:r w:rsidRPr="00FA0D37">
        <w:t xml:space="preserve"> (1..maxPLMN))</w:t>
      </w:r>
      <w:r w:rsidRPr="00FA0D37">
        <w:rPr>
          <w:color w:val="993366"/>
        </w:rPr>
        <w:t xml:space="preserve"> OF</w:t>
      </w:r>
      <w:r w:rsidRPr="00FA0D37">
        <w:t xml:space="preserve"> PLMN-Identity-EUTRA-5GC</w:t>
      </w:r>
    </w:p>
    <w:p w14:paraId="1D39ACF1" w14:textId="77777777" w:rsidR="00394471" w:rsidRPr="00FA0D37" w:rsidRDefault="00394471" w:rsidP="00FA0D37">
      <w:pPr>
        <w:pStyle w:val="PL"/>
      </w:pPr>
    </w:p>
    <w:p w14:paraId="48AC647B" w14:textId="77777777" w:rsidR="00394471" w:rsidRPr="00FA0D37" w:rsidRDefault="00394471" w:rsidP="00FA0D37">
      <w:pPr>
        <w:pStyle w:val="PL"/>
      </w:pPr>
      <w:r w:rsidRPr="00FA0D37">
        <w:t xml:space="preserve">PLMN-Identity-EUTRA-5GC ::=             </w:t>
      </w:r>
      <w:r w:rsidRPr="00FA0D37">
        <w:rPr>
          <w:color w:val="993366"/>
        </w:rPr>
        <w:t>CHOICE</w:t>
      </w:r>
      <w:r w:rsidRPr="00FA0D37">
        <w:t xml:space="preserve"> {</w:t>
      </w:r>
    </w:p>
    <w:p w14:paraId="18978EBD" w14:textId="77777777" w:rsidR="00394471" w:rsidRPr="00FA0D37" w:rsidRDefault="00394471" w:rsidP="00FA0D37">
      <w:pPr>
        <w:pStyle w:val="PL"/>
      </w:pPr>
      <w:r w:rsidRPr="00FA0D37">
        <w:t xml:space="preserve">    plmn-Identity-EUTRA-5GC                 PLMN-Identity,</w:t>
      </w:r>
    </w:p>
    <w:p w14:paraId="094BAA27" w14:textId="77777777" w:rsidR="00394471" w:rsidRPr="00FA0D37" w:rsidRDefault="00394471" w:rsidP="00FA0D37">
      <w:pPr>
        <w:pStyle w:val="PL"/>
      </w:pPr>
      <w:r w:rsidRPr="00FA0D37">
        <w:t xml:space="preserve">    plmn-index                              </w:t>
      </w:r>
      <w:r w:rsidRPr="00FA0D37">
        <w:rPr>
          <w:color w:val="993366"/>
        </w:rPr>
        <w:t>INTEGER</w:t>
      </w:r>
      <w:r w:rsidRPr="00FA0D37">
        <w:t xml:space="preserve"> (1..maxPLMN)</w:t>
      </w:r>
    </w:p>
    <w:p w14:paraId="36CB4434" w14:textId="77777777" w:rsidR="00394471" w:rsidRPr="00FA0D37" w:rsidRDefault="00394471" w:rsidP="00FA0D37">
      <w:pPr>
        <w:pStyle w:val="PL"/>
      </w:pPr>
      <w:r w:rsidRPr="00FA0D37">
        <w:t>}</w:t>
      </w:r>
    </w:p>
    <w:p w14:paraId="2F0454E9" w14:textId="77777777" w:rsidR="00394471" w:rsidRPr="00FA0D37" w:rsidRDefault="00394471" w:rsidP="00FA0D37">
      <w:pPr>
        <w:pStyle w:val="PL"/>
      </w:pPr>
    </w:p>
    <w:p w14:paraId="543A3633" w14:textId="77777777" w:rsidR="00394471" w:rsidRPr="00FA0D37" w:rsidRDefault="00394471" w:rsidP="00FA0D37">
      <w:pPr>
        <w:pStyle w:val="PL"/>
      </w:pPr>
      <w:r w:rsidRPr="00FA0D37">
        <w:t xml:space="preserve">CellIdentity-EUTRA-5GC ::=              </w:t>
      </w:r>
      <w:r w:rsidRPr="00FA0D37">
        <w:rPr>
          <w:color w:val="993366"/>
        </w:rPr>
        <w:t>CHOICE</w:t>
      </w:r>
      <w:r w:rsidRPr="00FA0D37">
        <w:t xml:space="preserve"> {</w:t>
      </w:r>
    </w:p>
    <w:p w14:paraId="583E2E46" w14:textId="77777777" w:rsidR="00394471" w:rsidRPr="00FA0D37" w:rsidRDefault="00394471" w:rsidP="00FA0D37">
      <w:pPr>
        <w:pStyle w:val="PL"/>
      </w:pPr>
      <w:r w:rsidRPr="00FA0D37">
        <w:t xml:space="preserve">    cellIdentity-EUTRA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(28)),</w:t>
      </w:r>
    </w:p>
    <w:p w14:paraId="648214E9" w14:textId="77777777" w:rsidR="00394471" w:rsidRPr="00FA0D37" w:rsidRDefault="00394471" w:rsidP="00FA0D37">
      <w:pPr>
        <w:pStyle w:val="PL"/>
      </w:pPr>
      <w:r w:rsidRPr="00FA0D37">
        <w:t xml:space="preserve">    cellId-index                            </w:t>
      </w:r>
      <w:r w:rsidRPr="00FA0D37">
        <w:rPr>
          <w:color w:val="993366"/>
        </w:rPr>
        <w:t>INTEGER</w:t>
      </w:r>
      <w:r w:rsidRPr="00FA0D37">
        <w:t xml:space="preserve"> (1..maxPLMN)</w:t>
      </w:r>
    </w:p>
    <w:p w14:paraId="6D69148B" w14:textId="77777777" w:rsidR="00394471" w:rsidRPr="00FA0D37" w:rsidRDefault="00394471" w:rsidP="00FA0D37">
      <w:pPr>
        <w:pStyle w:val="PL"/>
      </w:pPr>
      <w:r w:rsidRPr="00FA0D37">
        <w:t>}</w:t>
      </w:r>
    </w:p>
    <w:p w14:paraId="734619E5" w14:textId="77777777" w:rsidR="00394471" w:rsidRPr="00FA0D37" w:rsidRDefault="00394471" w:rsidP="00FA0D37">
      <w:pPr>
        <w:pStyle w:val="PL"/>
      </w:pPr>
    </w:p>
    <w:p w14:paraId="635C5AB4" w14:textId="77777777" w:rsidR="00394471" w:rsidRPr="00FA0D37" w:rsidRDefault="00394471" w:rsidP="00FA0D37">
      <w:pPr>
        <w:pStyle w:val="PL"/>
        <w:rPr>
          <w:color w:val="808080"/>
        </w:rPr>
      </w:pPr>
      <w:r w:rsidRPr="00FA0D37">
        <w:rPr>
          <w:color w:val="808080"/>
        </w:rPr>
        <w:t>-- TAG-CELLACCESSRELATEDINFOEUTRA-5GC-STOP</w:t>
      </w:r>
    </w:p>
    <w:p w14:paraId="6910969C" w14:textId="77777777" w:rsidR="00394471" w:rsidRPr="00FA0D37" w:rsidRDefault="00394471" w:rsidP="00FA0D37">
      <w:pPr>
        <w:pStyle w:val="PL"/>
        <w:rPr>
          <w:color w:val="808080"/>
        </w:rPr>
      </w:pPr>
      <w:r w:rsidRPr="00FA0D37">
        <w:rPr>
          <w:color w:val="808080"/>
        </w:rPr>
        <w:t>-- ASN1STOP</w:t>
      </w:r>
    </w:p>
    <w:p w14:paraId="3C6EDC1A" w14:textId="77777777" w:rsidR="00394471" w:rsidRPr="00FA0D37" w:rsidRDefault="00394471" w:rsidP="00394471"/>
    <w:p w14:paraId="03FEADD6" w14:textId="77777777" w:rsidR="00394471" w:rsidRPr="00FA0D37" w:rsidRDefault="00394471" w:rsidP="00394471">
      <w:pPr>
        <w:pStyle w:val="4"/>
        <w:rPr>
          <w:i/>
          <w:iCs/>
          <w:noProof/>
        </w:rPr>
      </w:pPr>
      <w:bookmarkStart w:id="923" w:name="_Toc60777186"/>
      <w:bookmarkStart w:id="924" w:name="_Toc146781232"/>
      <w:r w:rsidRPr="00FA0D37">
        <w:rPr>
          <w:i/>
          <w:iCs/>
        </w:rPr>
        <w:lastRenderedPageBreak/>
        <w:t>–</w:t>
      </w:r>
      <w:r w:rsidRPr="00FA0D37">
        <w:rPr>
          <w:i/>
          <w:iCs/>
        </w:rPr>
        <w:tab/>
      </w:r>
      <w:r w:rsidRPr="00FA0D37">
        <w:rPr>
          <w:i/>
          <w:iCs/>
          <w:noProof/>
        </w:rPr>
        <w:t>CellAccessRelatedInfo-EUTRA-EPC</w:t>
      </w:r>
      <w:bookmarkEnd w:id="923"/>
      <w:bookmarkEnd w:id="924"/>
    </w:p>
    <w:p w14:paraId="5C5F9CCB" w14:textId="77777777" w:rsidR="00394471" w:rsidRPr="00FA0D37" w:rsidRDefault="00394471" w:rsidP="00394471">
      <w:r w:rsidRPr="00FA0D37">
        <w:t xml:space="preserve">The IE </w:t>
      </w:r>
      <w:r w:rsidRPr="00FA0D37">
        <w:rPr>
          <w:i/>
          <w:noProof/>
        </w:rPr>
        <w:t xml:space="preserve">CellAccessRelatedInfo-EUTRA-EPC </w:t>
      </w:r>
      <w:r w:rsidRPr="00FA0D37">
        <w:t>indicates cell access related information for an LTE cell connected to EPC.</w:t>
      </w:r>
    </w:p>
    <w:p w14:paraId="5B0EFE79" w14:textId="77777777" w:rsidR="00394471" w:rsidRPr="00FA0D37" w:rsidRDefault="00394471" w:rsidP="00394471">
      <w:pPr>
        <w:pStyle w:val="TH"/>
      </w:pPr>
      <w:r w:rsidRPr="00FA0D37">
        <w:rPr>
          <w:bCs/>
          <w:i/>
          <w:iCs/>
        </w:rPr>
        <w:t>CellAccessRelatedInfo-EUTRA-EPC</w:t>
      </w:r>
      <w:r w:rsidRPr="00FA0D37">
        <w:t xml:space="preserve"> information element</w:t>
      </w:r>
    </w:p>
    <w:p w14:paraId="694542EB" w14:textId="77777777" w:rsidR="00394471" w:rsidRPr="00FA0D37" w:rsidRDefault="00394471" w:rsidP="00FA0D37">
      <w:pPr>
        <w:pStyle w:val="PL"/>
        <w:rPr>
          <w:color w:val="808080"/>
        </w:rPr>
      </w:pPr>
      <w:r w:rsidRPr="00FA0D37">
        <w:rPr>
          <w:color w:val="808080"/>
        </w:rPr>
        <w:t>-- ASN1START</w:t>
      </w:r>
    </w:p>
    <w:p w14:paraId="21251ED8" w14:textId="77777777" w:rsidR="00394471" w:rsidRPr="00FA0D37" w:rsidRDefault="00394471" w:rsidP="00FA0D37">
      <w:pPr>
        <w:pStyle w:val="PL"/>
        <w:rPr>
          <w:color w:val="808080"/>
        </w:rPr>
      </w:pPr>
      <w:r w:rsidRPr="00FA0D37">
        <w:rPr>
          <w:color w:val="808080"/>
        </w:rPr>
        <w:t>-- TAG-CELLACCESSRELATEDINFOEUTRA-EPC-START</w:t>
      </w:r>
    </w:p>
    <w:p w14:paraId="281D0668" w14:textId="77777777" w:rsidR="00394471" w:rsidRPr="00FA0D37" w:rsidRDefault="00394471" w:rsidP="00FA0D37">
      <w:pPr>
        <w:pStyle w:val="PL"/>
      </w:pPr>
    </w:p>
    <w:p w14:paraId="7C8B979F" w14:textId="77777777" w:rsidR="00394471" w:rsidRPr="00FA0D37" w:rsidRDefault="00394471" w:rsidP="00FA0D37">
      <w:pPr>
        <w:pStyle w:val="PL"/>
      </w:pPr>
      <w:r w:rsidRPr="00FA0D37">
        <w:t xml:space="preserve">CellAccessRelatedInfo-EUTRA-EPC  ::=    </w:t>
      </w:r>
      <w:r w:rsidRPr="00FA0D37">
        <w:rPr>
          <w:color w:val="993366"/>
        </w:rPr>
        <w:t>SEQUENCE</w:t>
      </w:r>
      <w:r w:rsidRPr="00FA0D37">
        <w:t xml:space="preserve"> {</w:t>
      </w:r>
    </w:p>
    <w:p w14:paraId="1244B8C8" w14:textId="77777777" w:rsidR="00394471" w:rsidRPr="00FA0D37" w:rsidRDefault="00394471" w:rsidP="00FA0D37">
      <w:pPr>
        <w:pStyle w:val="PL"/>
      </w:pPr>
      <w:r w:rsidRPr="00FA0D37">
        <w:t xml:space="preserve">    plmn-IdentityList-eutra-epc             PLMN-IdentityList-EUTRA-EPC,</w:t>
      </w:r>
    </w:p>
    <w:p w14:paraId="71719A9C" w14:textId="77777777" w:rsidR="00394471" w:rsidRPr="00FA0D37" w:rsidRDefault="00394471" w:rsidP="00FA0D37">
      <w:pPr>
        <w:pStyle w:val="PL"/>
      </w:pPr>
      <w:r w:rsidRPr="00FA0D37">
        <w:t xml:space="preserve">    trackingAreaCode-eutra-epc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2E45373A" w14:textId="77777777" w:rsidR="00394471" w:rsidRPr="00FA0D37" w:rsidRDefault="00394471" w:rsidP="00FA0D37">
      <w:pPr>
        <w:pStyle w:val="PL"/>
      </w:pPr>
      <w:r w:rsidRPr="00FA0D37">
        <w:t xml:space="preserve">    cellIdentity-eutra-epc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(28))</w:t>
      </w:r>
    </w:p>
    <w:p w14:paraId="30647CEB" w14:textId="77777777" w:rsidR="00394471" w:rsidRPr="00FA0D37" w:rsidRDefault="00394471" w:rsidP="00FA0D37">
      <w:pPr>
        <w:pStyle w:val="PL"/>
      </w:pPr>
      <w:r w:rsidRPr="00FA0D37">
        <w:t>}</w:t>
      </w:r>
    </w:p>
    <w:p w14:paraId="1A191CD7" w14:textId="77777777" w:rsidR="00394471" w:rsidRPr="00FA0D37" w:rsidRDefault="00394471" w:rsidP="00FA0D37">
      <w:pPr>
        <w:pStyle w:val="PL"/>
      </w:pPr>
    </w:p>
    <w:p w14:paraId="507412EF" w14:textId="77777777" w:rsidR="00394471" w:rsidRPr="00FA0D37" w:rsidRDefault="00394471" w:rsidP="00FA0D37">
      <w:pPr>
        <w:pStyle w:val="PL"/>
      </w:pPr>
      <w:r w:rsidRPr="00FA0D37">
        <w:t xml:space="preserve">PLMN-IdentityList-EUTRA-EPC::=          </w:t>
      </w:r>
      <w:r w:rsidRPr="00FA0D37">
        <w:rPr>
          <w:color w:val="993366"/>
        </w:rPr>
        <w:t>SEQUENCE</w:t>
      </w:r>
      <w:r w:rsidRPr="00FA0D37">
        <w:t xml:space="preserve"> (</w:t>
      </w:r>
      <w:r w:rsidRPr="00FA0D37">
        <w:rPr>
          <w:color w:val="993366"/>
        </w:rPr>
        <w:t>SIZE</w:t>
      </w:r>
      <w:r w:rsidRPr="00FA0D37">
        <w:t xml:space="preserve"> (1..maxPLMN))</w:t>
      </w:r>
      <w:r w:rsidRPr="00FA0D37">
        <w:rPr>
          <w:color w:val="993366"/>
        </w:rPr>
        <w:t xml:space="preserve"> OF</w:t>
      </w:r>
      <w:r w:rsidRPr="00FA0D37">
        <w:t xml:space="preserve"> PLMN-Identity</w:t>
      </w:r>
    </w:p>
    <w:p w14:paraId="100748D2" w14:textId="77777777" w:rsidR="00394471" w:rsidRPr="00FA0D37" w:rsidRDefault="00394471" w:rsidP="00FA0D37">
      <w:pPr>
        <w:pStyle w:val="PL"/>
      </w:pPr>
    </w:p>
    <w:p w14:paraId="02816CA5" w14:textId="77777777" w:rsidR="00394471" w:rsidRPr="00FA0D37" w:rsidRDefault="00394471" w:rsidP="00FA0D37">
      <w:pPr>
        <w:pStyle w:val="PL"/>
        <w:rPr>
          <w:color w:val="808080"/>
        </w:rPr>
      </w:pPr>
      <w:r w:rsidRPr="00FA0D37">
        <w:rPr>
          <w:color w:val="808080"/>
        </w:rPr>
        <w:t>-- TAG-CELLACCESSRELATEDINFOEUTRA-EPC-STOP</w:t>
      </w:r>
    </w:p>
    <w:p w14:paraId="3A31ACF1" w14:textId="77777777" w:rsidR="00394471" w:rsidRPr="00FA0D37" w:rsidRDefault="00394471" w:rsidP="00FA0D37">
      <w:pPr>
        <w:pStyle w:val="PL"/>
        <w:rPr>
          <w:color w:val="808080"/>
        </w:rPr>
      </w:pPr>
      <w:r w:rsidRPr="00FA0D37">
        <w:rPr>
          <w:color w:val="808080"/>
        </w:rPr>
        <w:t>-- ASN1STOP</w:t>
      </w:r>
    </w:p>
    <w:p w14:paraId="1EC45978" w14:textId="77777777" w:rsidR="00394471" w:rsidRPr="00FA0D37" w:rsidRDefault="00394471" w:rsidP="00394471"/>
    <w:p w14:paraId="6DA918BF" w14:textId="77777777" w:rsidR="00394471" w:rsidRPr="00FA0D37" w:rsidRDefault="00394471" w:rsidP="00394471">
      <w:pPr>
        <w:pStyle w:val="4"/>
      </w:pPr>
      <w:bookmarkStart w:id="925" w:name="_Toc60777187"/>
      <w:bookmarkStart w:id="926" w:name="_Toc146781233"/>
      <w:r w:rsidRPr="00FA0D37">
        <w:t>–</w:t>
      </w:r>
      <w:r w:rsidRPr="00FA0D37">
        <w:tab/>
      </w:r>
      <w:r w:rsidRPr="00FA0D37">
        <w:rPr>
          <w:i/>
        </w:rPr>
        <w:t>CellGroupConfig</w:t>
      </w:r>
      <w:bookmarkEnd w:id="925"/>
      <w:bookmarkEnd w:id="926"/>
    </w:p>
    <w:p w14:paraId="0B275485" w14:textId="77777777" w:rsidR="00394471" w:rsidRPr="00FA0D37" w:rsidRDefault="00394471" w:rsidP="00394471">
      <w:r w:rsidRPr="00FA0D37">
        <w:t xml:space="preserve">The </w:t>
      </w:r>
      <w:r w:rsidRPr="00FA0D37">
        <w:rPr>
          <w:i/>
        </w:rPr>
        <w:t xml:space="preserve">CellGroupConfig </w:t>
      </w:r>
      <w:r w:rsidRPr="00FA0D37">
        <w:t>IE is used to configure a master cell group (MCG) or secondary cell group (SCG). A cell group comprises of one MAC entity, a set of logical channels with associated RLC entities and of a primary cell (SpCell) and one or more secondary cells (SCells).</w:t>
      </w:r>
    </w:p>
    <w:p w14:paraId="7EE232FA" w14:textId="77777777" w:rsidR="00394471" w:rsidRPr="00FA0D37" w:rsidRDefault="00394471" w:rsidP="00394471">
      <w:pPr>
        <w:pStyle w:val="TH"/>
      </w:pPr>
      <w:r w:rsidRPr="00FA0D37">
        <w:rPr>
          <w:bCs/>
          <w:i/>
          <w:iCs/>
        </w:rPr>
        <w:t xml:space="preserve">CellGroupConfig </w:t>
      </w:r>
      <w:r w:rsidRPr="00FA0D37">
        <w:t>information element</w:t>
      </w:r>
    </w:p>
    <w:p w14:paraId="46CA97A8" w14:textId="77777777" w:rsidR="00394471" w:rsidRPr="00FA0D37" w:rsidRDefault="00394471" w:rsidP="00FA0D37">
      <w:pPr>
        <w:pStyle w:val="PL"/>
        <w:rPr>
          <w:color w:val="808080"/>
        </w:rPr>
      </w:pPr>
      <w:r w:rsidRPr="00FA0D37">
        <w:rPr>
          <w:color w:val="808080"/>
        </w:rPr>
        <w:t>-- ASN1START</w:t>
      </w:r>
    </w:p>
    <w:p w14:paraId="6528E52A" w14:textId="77777777" w:rsidR="00394471" w:rsidRPr="00FA0D37" w:rsidRDefault="00394471" w:rsidP="00FA0D37">
      <w:pPr>
        <w:pStyle w:val="PL"/>
        <w:rPr>
          <w:color w:val="808080"/>
        </w:rPr>
      </w:pPr>
      <w:r w:rsidRPr="00FA0D37">
        <w:rPr>
          <w:color w:val="808080"/>
        </w:rPr>
        <w:t>-- TAG-CELLGROUPCONFIG-START</w:t>
      </w:r>
    </w:p>
    <w:p w14:paraId="6CEC73FE" w14:textId="77777777" w:rsidR="00394471" w:rsidRPr="00FA0D37" w:rsidRDefault="00394471" w:rsidP="00FA0D37">
      <w:pPr>
        <w:pStyle w:val="PL"/>
      </w:pPr>
    </w:p>
    <w:p w14:paraId="462ABB27" w14:textId="77777777" w:rsidR="00394471" w:rsidRPr="00FA0D37" w:rsidRDefault="00394471" w:rsidP="00FA0D37">
      <w:pPr>
        <w:pStyle w:val="PL"/>
        <w:rPr>
          <w:color w:val="808080"/>
        </w:rPr>
      </w:pPr>
      <w:r w:rsidRPr="00FA0D37">
        <w:rPr>
          <w:color w:val="808080"/>
        </w:rPr>
        <w:t>-- Configuration of one Cell-Group:</w:t>
      </w:r>
    </w:p>
    <w:p w14:paraId="705AA5F3" w14:textId="77777777" w:rsidR="00394471" w:rsidRPr="00FA0D37" w:rsidRDefault="00394471" w:rsidP="00FA0D37">
      <w:pPr>
        <w:pStyle w:val="PL"/>
      </w:pPr>
      <w:r w:rsidRPr="00FA0D37">
        <w:t xml:space="preserve">CellGroupConfig ::=                        </w:t>
      </w:r>
      <w:r w:rsidRPr="00FA0D37">
        <w:rPr>
          <w:color w:val="993366"/>
        </w:rPr>
        <w:t>SEQUENCE</w:t>
      </w:r>
      <w:r w:rsidRPr="00FA0D37">
        <w:t xml:space="preserve"> {</w:t>
      </w:r>
    </w:p>
    <w:p w14:paraId="609D52DC" w14:textId="77777777" w:rsidR="00394471" w:rsidRPr="00FA0D37" w:rsidRDefault="00394471" w:rsidP="00FA0D37">
      <w:pPr>
        <w:pStyle w:val="PL"/>
      </w:pPr>
      <w:r w:rsidRPr="00FA0D37">
        <w:t xml:space="preserve">    cellGroupId                                CellGroupId,</w:t>
      </w:r>
    </w:p>
    <w:p w14:paraId="0E80BE3B" w14:textId="77777777" w:rsidR="00394471" w:rsidRPr="00FA0D37" w:rsidRDefault="00394471" w:rsidP="00FA0D37">
      <w:pPr>
        <w:pStyle w:val="PL"/>
        <w:rPr>
          <w:color w:val="808080"/>
        </w:rPr>
      </w:pPr>
      <w:r w:rsidRPr="00FA0D37">
        <w:t xml:space="preserve">    rlc-BearerToAddModList                     </w:t>
      </w:r>
      <w:r w:rsidRPr="00FA0D37">
        <w:rPr>
          <w:color w:val="993366"/>
        </w:rPr>
        <w:t>SEQUENCE</w:t>
      </w:r>
      <w:r w:rsidRPr="00FA0D37">
        <w:t xml:space="preserve"> (</w:t>
      </w:r>
      <w:r w:rsidRPr="00FA0D37">
        <w:rPr>
          <w:color w:val="993366"/>
        </w:rPr>
        <w:t>SIZE</w:t>
      </w:r>
      <w:r w:rsidRPr="00FA0D37">
        <w:t>(1..maxLC-ID))</w:t>
      </w:r>
      <w:r w:rsidRPr="00FA0D37">
        <w:rPr>
          <w:color w:val="993366"/>
        </w:rPr>
        <w:t xml:space="preserve"> OF</w:t>
      </w:r>
      <w:r w:rsidRPr="00FA0D37">
        <w:t xml:space="preserve"> RLC-BearerConfig                        </w:t>
      </w:r>
      <w:r w:rsidRPr="00FA0D37">
        <w:rPr>
          <w:color w:val="993366"/>
        </w:rPr>
        <w:t>OPTIONAL</w:t>
      </w:r>
      <w:r w:rsidRPr="00FA0D37">
        <w:t xml:space="preserve">,   </w:t>
      </w:r>
      <w:r w:rsidRPr="00FA0D37">
        <w:rPr>
          <w:color w:val="808080"/>
        </w:rPr>
        <w:t>-- Need N</w:t>
      </w:r>
    </w:p>
    <w:p w14:paraId="7C0E9E05" w14:textId="77777777" w:rsidR="00394471" w:rsidRPr="00FA0D37" w:rsidRDefault="00394471" w:rsidP="00FA0D37">
      <w:pPr>
        <w:pStyle w:val="PL"/>
        <w:rPr>
          <w:color w:val="808080"/>
        </w:rPr>
      </w:pPr>
      <w:r w:rsidRPr="00FA0D37">
        <w:t xml:space="preserve">    rlc-BearerToReleaseList                    </w:t>
      </w:r>
      <w:r w:rsidRPr="00FA0D37">
        <w:rPr>
          <w:color w:val="993366"/>
        </w:rPr>
        <w:t>SEQUENCE</w:t>
      </w:r>
      <w:r w:rsidRPr="00FA0D37">
        <w:t xml:space="preserve"> (</w:t>
      </w:r>
      <w:r w:rsidRPr="00FA0D37">
        <w:rPr>
          <w:color w:val="993366"/>
        </w:rPr>
        <w:t>SIZE</w:t>
      </w:r>
      <w:r w:rsidRPr="00FA0D37">
        <w:t>(1..maxLC-ID))</w:t>
      </w:r>
      <w:r w:rsidRPr="00FA0D37">
        <w:rPr>
          <w:color w:val="993366"/>
        </w:rPr>
        <w:t xml:space="preserve"> OF</w:t>
      </w:r>
      <w:r w:rsidRPr="00FA0D37">
        <w:t xml:space="preserve"> LogicalChannelIdentity                  </w:t>
      </w:r>
      <w:r w:rsidRPr="00FA0D37">
        <w:rPr>
          <w:color w:val="993366"/>
        </w:rPr>
        <w:t>OPTIONAL</w:t>
      </w:r>
      <w:r w:rsidRPr="00FA0D37">
        <w:t xml:space="preserve">,   </w:t>
      </w:r>
      <w:r w:rsidRPr="00FA0D37">
        <w:rPr>
          <w:color w:val="808080"/>
        </w:rPr>
        <w:t>-- Need N</w:t>
      </w:r>
    </w:p>
    <w:p w14:paraId="57D115AF" w14:textId="77777777" w:rsidR="00394471" w:rsidRPr="00FA0D37" w:rsidRDefault="00394471" w:rsidP="00FA0D37">
      <w:pPr>
        <w:pStyle w:val="PL"/>
        <w:rPr>
          <w:color w:val="808080"/>
        </w:rPr>
      </w:pPr>
      <w:r w:rsidRPr="00FA0D37">
        <w:t xml:space="preserve">    mac-CellGroupConfig                        MAC-CellGroupConfig                                                     </w:t>
      </w:r>
      <w:r w:rsidRPr="00FA0D37">
        <w:rPr>
          <w:color w:val="993366"/>
        </w:rPr>
        <w:t>OPTIONAL</w:t>
      </w:r>
      <w:r w:rsidRPr="00FA0D37">
        <w:t xml:space="preserve">,   </w:t>
      </w:r>
      <w:r w:rsidRPr="00FA0D37">
        <w:rPr>
          <w:color w:val="808080"/>
        </w:rPr>
        <w:t>-- Need M</w:t>
      </w:r>
    </w:p>
    <w:p w14:paraId="0B39BBC2" w14:textId="77777777" w:rsidR="00394471" w:rsidRPr="00FA0D37" w:rsidRDefault="00394471" w:rsidP="00FA0D37">
      <w:pPr>
        <w:pStyle w:val="PL"/>
        <w:rPr>
          <w:color w:val="808080"/>
        </w:rPr>
      </w:pPr>
      <w:r w:rsidRPr="00FA0D37">
        <w:t xml:space="preserve">    physicalCellGroupConfig                    PhysicalCellGroupConfig                                                 </w:t>
      </w:r>
      <w:r w:rsidRPr="00FA0D37">
        <w:rPr>
          <w:color w:val="993366"/>
        </w:rPr>
        <w:t>OPTIONAL</w:t>
      </w:r>
      <w:r w:rsidRPr="00FA0D37">
        <w:t xml:space="preserve">,   </w:t>
      </w:r>
      <w:r w:rsidRPr="00FA0D37">
        <w:rPr>
          <w:color w:val="808080"/>
        </w:rPr>
        <w:t>-- Need M</w:t>
      </w:r>
    </w:p>
    <w:p w14:paraId="40E4CB82" w14:textId="77777777" w:rsidR="00394471" w:rsidRPr="00FA0D37" w:rsidRDefault="00394471" w:rsidP="00FA0D37">
      <w:pPr>
        <w:pStyle w:val="PL"/>
        <w:rPr>
          <w:color w:val="808080"/>
        </w:rPr>
      </w:pPr>
      <w:r w:rsidRPr="00FA0D37">
        <w:t xml:space="preserve">    spCellConfig                               SpCellConfig                                                            </w:t>
      </w:r>
      <w:r w:rsidRPr="00FA0D37">
        <w:rPr>
          <w:color w:val="993366"/>
        </w:rPr>
        <w:t>OPTIONAL</w:t>
      </w:r>
      <w:r w:rsidRPr="00FA0D37">
        <w:t xml:space="preserve">,   </w:t>
      </w:r>
      <w:r w:rsidRPr="00FA0D37">
        <w:rPr>
          <w:color w:val="808080"/>
        </w:rPr>
        <w:t>-- Need M</w:t>
      </w:r>
    </w:p>
    <w:p w14:paraId="245FFF63" w14:textId="77777777" w:rsidR="00394471" w:rsidRPr="00FA0D37" w:rsidRDefault="00394471" w:rsidP="00FA0D37">
      <w:pPr>
        <w:pStyle w:val="PL"/>
        <w:rPr>
          <w:color w:val="808080"/>
        </w:rPr>
      </w:pPr>
      <w:r w:rsidRPr="00FA0D37">
        <w:t xml:space="preserve">    sCellToAddModList                          </w:t>
      </w:r>
      <w:r w:rsidRPr="00FA0D37">
        <w:rPr>
          <w:color w:val="993366"/>
        </w:rPr>
        <w:t>SEQUENCE</w:t>
      </w:r>
      <w:r w:rsidRPr="00FA0D37">
        <w:t xml:space="preserve"> (</w:t>
      </w:r>
      <w:r w:rsidRPr="00FA0D37">
        <w:rPr>
          <w:color w:val="993366"/>
        </w:rPr>
        <w:t>SIZE</w:t>
      </w:r>
      <w:r w:rsidRPr="00FA0D37">
        <w:t xml:space="preserve"> (1..maxNrofSCells))</w:t>
      </w:r>
      <w:r w:rsidRPr="00FA0D37">
        <w:rPr>
          <w:color w:val="993366"/>
        </w:rPr>
        <w:t xml:space="preserve"> OF</w:t>
      </w:r>
      <w:r w:rsidRPr="00FA0D37">
        <w:t xml:space="preserve"> SCellConfig                       </w:t>
      </w:r>
      <w:r w:rsidRPr="00FA0D37">
        <w:rPr>
          <w:color w:val="993366"/>
        </w:rPr>
        <w:t>OPTIONAL</w:t>
      </w:r>
      <w:r w:rsidRPr="00FA0D37">
        <w:t xml:space="preserve">,   </w:t>
      </w:r>
      <w:r w:rsidRPr="00FA0D37">
        <w:rPr>
          <w:color w:val="808080"/>
        </w:rPr>
        <w:t>-- Need N</w:t>
      </w:r>
    </w:p>
    <w:p w14:paraId="11D5458B" w14:textId="77777777" w:rsidR="00394471" w:rsidRPr="00FA0D37" w:rsidRDefault="00394471" w:rsidP="00FA0D37">
      <w:pPr>
        <w:pStyle w:val="PL"/>
        <w:rPr>
          <w:color w:val="808080"/>
        </w:rPr>
      </w:pPr>
      <w:r w:rsidRPr="00FA0D37">
        <w:t xml:space="preserve">    sCellToReleaseList                         </w:t>
      </w:r>
      <w:r w:rsidRPr="00FA0D37">
        <w:rPr>
          <w:color w:val="993366"/>
        </w:rPr>
        <w:t>SEQUENCE</w:t>
      </w:r>
      <w:r w:rsidRPr="00FA0D37">
        <w:t xml:space="preserve"> (</w:t>
      </w:r>
      <w:r w:rsidRPr="00FA0D37">
        <w:rPr>
          <w:color w:val="993366"/>
        </w:rPr>
        <w:t>SIZE</w:t>
      </w:r>
      <w:r w:rsidRPr="00FA0D37">
        <w:t xml:space="preserve"> (1..maxNrofSCells))</w:t>
      </w:r>
      <w:r w:rsidRPr="00FA0D37">
        <w:rPr>
          <w:color w:val="993366"/>
        </w:rPr>
        <w:t xml:space="preserve"> OF</w:t>
      </w:r>
      <w:r w:rsidRPr="00FA0D37">
        <w:t xml:space="preserve"> SCellIndex                        </w:t>
      </w:r>
      <w:r w:rsidRPr="00FA0D37">
        <w:rPr>
          <w:color w:val="993366"/>
        </w:rPr>
        <w:t>OPTIONAL</w:t>
      </w:r>
      <w:r w:rsidRPr="00FA0D37">
        <w:t xml:space="preserve">,   </w:t>
      </w:r>
      <w:r w:rsidRPr="00FA0D37">
        <w:rPr>
          <w:color w:val="808080"/>
        </w:rPr>
        <w:t>-- Need N</w:t>
      </w:r>
    </w:p>
    <w:p w14:paraId="3DD9B166" w14:textId="77777777" w:rsidR="00394471" w:rsidRPr="00FA0D37" w:rsidRDefault="00394471" w:rsidP="00FA0D37">
      <w:pPr>
        <w:pStyle w:val="PL"/>
      </w:pPr>
      <w:r w:rsidRPr="00FA0D37">
        <w:t xml:space="preserve">    ...,</w:t>
      </w:r>
    </w:p>
    <w:p w14:paraId="63776FF8" w14:textId="77777777" w:rsidR="00394471" w:rsidRPr="00FA0D37" w:rsidRDefault="00394471" w:rsidP="00FA0D37">
      <w:pPr>
        <w:pStyle w:val="PL"/>
      </w:pPr>
      <w:r w:rsidRPr="00FA0D37">
        <w:t xml:space="preserve">    [[</w:t>
      </w:r>
    </w:p>
    <w:p w14:paraId="780F55BB" w14:textId="77777777" w:rsidR="00394471" w:rsidRPr="00FA0D37" w:rsidRDefault="00394471" w:rsidP="00FA0D37">
      <w:pPr>
        <w:pStyle w:val="PL"/>
        <w:rPr>
          <w:color w:val="808080"/>
        </w:rPr>
      </w:pPr>
      <w:r w:rsidRPr="00FA0D37">
        <w:t xml:space="preserve">    reportUplinkTxDirectCurrent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BWP-Reconfig</w:t>
      </w:r>
    </w:p>
    <w:p w14:paraId="7F58E290" w14:textId="77777777" w:rsidR="00394471" w:rsidRPr="00FA0D37" w:rsidRDefault="00394471" w:rsidP="00FA0D37">
      <w:pPr>
        <w:pStyle w:val="PL"/>
      </w:pPr>
      <w:r w:rsidRPr="00FA0D37">
        <w:t xml:space="preserve">    ]],</w:t>
      </w:r>
    </w:p>
    <w:p w14:paraId="0FF8A36E" w14:textId="77777777" w:rsidR="00394471" w:rsidRPr="00FA0D37" w:rsidRDefault="00394471" w:rsidP="00FA0D37">
      <w:pPr>
        <w:pStyle w:val="PL"/>
      </w:pPr>
      <w:r w:rsidRPr="00FA0D37">
        <w:t xml:space="preserve">    [[</w:t>
      </w:r>
    </w:p>
    <w:p w14:paraId="50A262D7" w14:textId="77777777" w:rsidR="00394471" w:rsidRPr="00FA0D37" w:rsidRDefault="00394471" w:rsidP="00FA0D37">
      <w:pPr>
        <w:pStyle w:val="PL"/>
        <w:rPr>
          <w:color w:val="808080"/>
        </w:rPr>
      </w:pPr>
      <w:r w:rsidRPr="00FA0D37">
        <w:t xml:space="preserve">    bap-Address-r16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                                                  </w:t>
      </w:r>
      <w:r w:rsidRPr="00FA0D37">
        <w:rPr>
          <w:color w:val="993366"/>
        </w:rPr>
        <w:t>OPTIONAL</w:t>
      </w:r>
      <w:r w:rsidRPr="00FA0D37">
        <w:t xml:space="preserve">,   </w:t>
      </w:r>
      <w:r w:rsidRPr="00FA0D37">
        <w:rPr>
          <w:color w:val="808080"/>
        </w:rPr>
        <w:t>-- Need M</w:t>
      </w:r>
    </w:p>
    <w:p w14:paraId="00B6AE92" w14:textId="77777777" w:rsidR="00394471" w:rsidRPr="00FA0D37" w:rsidRDefault="00394471" w:rsidP="00FA0D37">
      <w:pPr>
        <w:pStyle w:val="PL"/>
        <w:rPr>
          <w:color w:val="808080"/>
        </w:rPr>
      </w:pPr>
      <w:r w:rsidRPr="00FA0D37">
        <w:t xml:space="preserve">    bh-RLC-ChannelToAddModList-r16             </w:t>
      </w:r>
      <w:r w:rsidRPr="00FA0D37">
        <w:rPr>
          <w:color w:val="993366"/>
        </w:rPr>
        <w:t>SEQUENCE</w:t>
      </w:r>
      <w:r w:rsidRPr="00FA0D37">
        <w:t xml:space="preserve"> (</w:t>
      </w:r>
      <w:r w:rsidRPr="00FA0D37">
        <w:rPr>
          <w:color w:val="993366"/>
        </w:rPr>
        <w:t>SIZE</w:t>
      </w:r>
      <w:r w:rsidRPr="00FA0D37">
        <w:t>(1..maxBH-RLC-ChannelID-r16))</w:t>
      </w:r>
      <w:r w:rsidRPr="00FA0D37">
        <w:rPr>
          <w:color w:val="993366"/>
        </w:rPr>
        <w:t xml:space="preserve"> OF</w:t>
      </w:r>
      <w:r w:rsidRPr="00FA0D37">
        <w:t xml:space="preserve"> BH-RLC-ChannelConfig-r16 </w:t>
      </w:r>
      <w:r w:rsidRPr="00FA0D37">
        <w:rPr>
          <w:color w:val="993366"/>
        </w:rPr>
        <w:t>OPTIONAL</w:t>
      </w:r>
      <w:r w:rsidRPr="00FA0D37">
        <w:t xml:space="preserve">,   </w:t>
      </w:r>
      <w:r w:rsidRPr="00FA0D37">
        <w:rPr>
          <w:color w:val="808080"/>
        </w:rPr>
        <w:t>-- Need N</w:t>
      </w:r>
    </w:p>
    <w:p w14:paraId="7B53D00E" w14:textId="77777777" w:rsidR="00394471" w:rsidRPr="00FA0D37" w:rsidRDefault="00394471" w:rsidP="00FA0D37">
      <w:pPr>
        <w:pStyle w:val="PL"/>
        <w:rPr>
          <w:color w:val="808080"/>
        </w:rPr>
      </w:pPr>
      <w:r w:rsidRPr="00FA0D37">
        <w:lastRenderedPageBreak/>
        <w:t xml:space="preserve">    bh-RLC-ChannelToReleaseList-r16            </w:t>
      </w:r>
      <w:r w:rsidRPr="00FA0D37">
        <w:rPr>
          <w:color w:val="993366"/>
        </w:rPr>
        <w:t>SEQUENCE</w:t>
      </w:r>
      <w:r w:rsidRPr="00FA0D37">
        <w:t xml:space="preserve"> (</w:t>
      </w:r>
      <w:r w:rsidRPr="00FA0D37">
        <w:rPr>
          <w:color w:val="993366"/>
        </w:rPr>
        <w:t>SIZE</w:t>
      </w:r>
      <w:r w:rsidRPr="00FA0D37">
        <w:t>(1..maxBH-RLC-ChannelID-r16))</w:t>
      </w:r>
      <w:r w:rsidRPr="00FA0D37">
        <w:rPr>
          <w:color w:val="993366"/>
        </w:rPr>
        <w:t xml:space="preserve"> OF</w:t>
      </w:r>
      <w:r w:rsidRPr="00FA0D37">
        <w:t xml:space="preserve"> BH-RLC-ChannelID-r16     </w:t>
      </w:r>
      <w:r w:rsidRPr="00FA0D37">
        <w:rPr>
          <w:color w:val="993366"/>
        </w:rPr>
        <w:t>OPTIONAL</w:t>
      </w:r>
      <w:r w:rsidRPr="00FA0D37">
        <w:t xml:space="preserve">,   </w:t>
      </w:r>
      <w:r w:rsidRPr="00FA0D37">
        <w:rPr>
          <w:color w:val="808080"/>
        </w:rPr>
        <w:t>-- Need N</w:t>
      </w:r>
    </w:p>
    <w:p w14:paraId="5961B20E" w14:textId="77777777" w:rsidR="00394471" w:rsidRPr="00FA0D37" w:rsidRDefault="00394471" w:rsidP="00FA0D37">
      <w:pPr>
        <w:pStyle w:val="PL"/>
        <w:rPr>
          <w:color w:val="808080"/>
        </w:rPr>
      </w:pPr>
      <w:r w:rsidRPr="00FA0D37">
        <w:t xml:space="preserve">    f1c-TransferPath-r16                       </w:t>
      </w:r>
      <w:r w:rsidRPr="00FA0D37">
        <w:rPr>
          <w:color w:val="993366"/>
        </w:rPr>
        <w:t>ENUMERATED</w:t>
      </w:r>
      <w:r w:rsidRPr="00FA0D37">
        <w:t xml:space="preserve"> {lte, nr, both}                                              </w:t>
      </w:r>
      <w:r w:rsidRPr="00FA0D37">
        <w:rPr>
          <w:color w:val="993366"/>
        </w:rPr>
        <w:t>OPTIONAL</w:t>
      </w:r>
      <w:r w:rsidRPr="00FA0D37">
        <w:t xml:space="preserve">,   </w:t>
      </w:r>
      <w:r w:rsidRPr="00FA0D37">
        <w:rPr>
          <w:color w:val="808080"/>
        </w:rPr>
        <w:t>-- Need M</w:t>
      </w:r>
    </w:p>
    <w:p w14:paraId="13F8A9F7" w14:textId="77777777" w:rsidR="00394471" w:rsidRPr="00FA0D37" w:rsidRDefault="00394471" w:rsidP="00FA0D37">
      <w:pPr>
        <w:pStyle w:val="PL"/>
        <w:rPr>
          <w:color w:val="808080"/>
        </w:rPr>
      </w:pPr>
      <w:r w:rsidRPr="00FA0D37">
        <w:t xml:space="preserve">    simultaneousTCI-UpdateList1-r16            </w:t>
      </w:r>
      <w:r w:rsidRPr="00FA0D37">
        <w:rPr>
          <w:color w:val="993366"/>
        </w:rPr>
        <w:t>SEQUENCE</w:t>
      </w:r>
      <w:r w:rsidRPr="00FA0D37">
        <w:t xml:space="preserve"> (</w:t>
      </w:r>
      <w:r w:rsidRPr="00FA0D37">
        <w:rPr>
          <w:color w:val="993366"/>
        </w:rPr>
        <w:t>SIZE</w:t>
      </w:r>
      <w:r w:rsidRPr="00FA0D37">
        <w:t xml:space="preserve"> (1..maxNrofServingCellsTCI-r16))</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R</w:t>
      </w:r>
    </w:p>
    <w:p w14:paraId="459D2B44" w14:textId="77777777" w:rsidR="00394471" w:rsidRPr="00FA0D37" w:rsidRDefault="00394471" w:rsidP="00FA0D37">
      <w:pPr>
        <w:pStyle w:val="PL"/>
        <w:rPr>
          <w:color w:val="808080"/>
        </w:rPr>
      </w:pPr>
      <w:r w:rsidRPr="00FA0D37">
        <w:t xml:space="preserve">    simultaneousTCI-UpdateList2-r16            </w:t>
      </w:r>
      <w:r w:rsidRPr="00FA0D37">
        <w:rPr>
          <w:color w:val="993366"/>
        </w:rPr>
        <w:t>SEQUENCE</w:t>
      </w:r>
      <w:r w:rsidRPr="00FA0D37">
        <w:t xml:space="preserve"> (</w:t>
      </w:r>
      <w:r w:rsidRPr="00FA0D37">
        <w:rPr>
          <w:color w:val="993366"/>
        </w:rPr>
        <w:t>SIZE</w:t>
      </w:r>
      <w:r w:rsidRPr="00FA0D37">
        <w:t xml:space="preserve"> (1..maxNrofServingCellsTCI-r16))</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R</w:t>
      </w:r>
    </w:p>
    <w:p w14:paraId="3991B4EF" w14:textId="77777777" w:rsidR="00394471" w:rsidRPr="00FA0D37" w:rsidRDefault="00394471" w:rsidP="00FA0D37">
      <w:pPr>
        <w:pStyle w:val="PL"/>
        <w:rPr>
          <w:color w:val="808080"/>
        </w:rPr>
      </w:pPr>
      <w:r w:rsidRPr="00FA0D37">
        <w:t xml:space="preserve">    simultaneousSpatial-UpdatedList1-r16       </w:t>
      </w:r>
      <w:r w:rsidRPr="00FA0D37">
        <w:rPr>
          <w:color w:val="993366"/>
        </w:rPr>
        <w:t>SEQUENCE</w:t>
      </w:r>
      <w:r w:rsidRPr="00FA0D37">
        <w:t xml:space="preserve"> (</w:t>
      </w:r>
      <w:r w:rsidRPr="00FA0D37">
        <w:rPr>
          <w:color w:val="993366"/>
        </w:rPr>
        <w:t>SIZE</w:t>
      </w:r>
      <w:r w:rsidRPr="00FA0D37">
        <w:t xml:space="preserve"> (1..maxNrofServingCellsTCI-r16))</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R</w:t>
      </w:r>
    </w:p>
    <w:p w14:paraId="25D6F783" w14:textId="77777777" w:rsidR="00394471" w:rsidRPr="00FA0D37" w:rsidRDefault="00394471" w:rsidP="00FA0D37">
      <w:pPr>
        <w:pStyle w:val="PL"/>
        <w:rPr>
          <w:color w:val="808080"/>
        </w:rPr>
      </w:pPr>
      <w:r w:rsidRPr="00FA0D37">
        <w:t xml:space="preserve">    simultaneousSpatial-UpdatedList2-r16       </w:t>
      </w:r>
      <w:r w:rsidRPr="00FA0D37">
        <w:rPr>
          <w:color w:val="993366"/>
        </w:rPr>
        <w:t>SEQUENCE</w:t>
      </w:r>
      <w:r w:rsidRPr="00FA0D37">
        <w:t xml:space="preserve"> (</w:t>
      </w:r>
      <w:r w:rsidRPr="00FA0D37">
        <w:rPr>
          <w:color w:val="993366"/>
        </w:rPr>
        <w:t>SIZE</w:t>
      </w:r>
      <w:r w:rsidRPr="00FA0D37">
        <w:t xml:space="preserve"> (1..maxNrofServingCellsTCI-r16))</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R</w:t>
      </w:r>
    </w:p>
    <w:p w14:paraId="42E22964" w14:textId="77777777" w:rsidR="00394471" w:rsidRPr="00FA0D37" w:rsidRDefault="00394471" w:rsidP="00FA0D37">
      <w:pPr>
        <w:pStyle w:val="PL"/>
        <w:rPr>
          <w:color w:val="808080"/>
        </w:rPr>
      </w:pPr>
      <w:r w:rsidRPr="00FA0D37">
        <w:t xml:space="preserve">    uplinkTxSwitchingOption-r16                </w:t>
      </w:r>
      <w:r w:rsidRPr="00FA0D37">
        <w:rPr>
          <w:color w:val="993366"/>
        </w:rPr>
        <w:t>ENUMERATED</w:t>
      </w:r>
      <w:r w:rsidRPr="00FA0D37">
        <w:t xml:space="preserve"> {switchedUL, dualUL}                                         </w:t>
      </w:r>
      <w:r w:rsidRPr="00FA0D37">
        <w:rPr>
          <w:color w:val="993366"/>
        </w:rPr>
        <w:t>OPTIONAL</w:t>
      </w:r>
      <w:r w:rsidRPr="00FA0D37">
        <w:t xml:space="preserve">,   </w:t>
      </w:r>
      <w:r w:rsidRPr="00FA0D37">
        <w:rPr>
          <w:color w:val="808080"/>
        </w:rPr>
        <w:t>-- Need R</w:t>
      </w:r>
    </w:p>
    <w:p w14:paraId="795AC222" w14:textId="77777777" w:rsidR="00394471" w:rsidRPr="00FA0D37" w:rsidRDefault="00394471" w:rsidP="00FA0D37">
      <w:pPr>
        <w:pStyle w:val="PL"/>
        <w:rPr>
          <w:color w:val="808080"/>
        </w:rPr>
      </w:pPr>
      <w:r w:rsidRPr="00FA0D37">
        <w:t xml:space="preserve">    uplinkTxSwitchingPowerBoosting-r16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48218BBB" w14:textId="3BD29B0D" w:rsidR="00E46198" w:rsidRPr="00FA0D37" w:rsidRDefault="00394471" w:rsidP="00FA0D37">
      <w:pPr>
        <w:pStyle w:val="PL"/>
      </w:pPr>
      <w:r w:rsidRPr="00FA0D37">
        <w:t xml:space="preserve">    ]]</w:t>
      </w:r>
      <w:r w:rsidR="00E46198" w:rsidRPr="00FA0D37">
        <w:t>,</w:t>
      </w:r>
    </w:p>
    <w:p w14:paraId="49FA6C1C" w14:textId="77777777" w:rsidR="00E46198" w:rsidRPr="00FA0D37" w:rsidRDefault="00E46198" w:rsidP="00FA0D37">
      <w:pPr>
        <w:pStyle w:val="PL"/>
      </w:pPr>
      <w:r w:rsidRPr="00FA0D37">
        <w:t xml:space="preserve">    [[</w:t>
      </w:r>
    </w:p>
    <w:p w14:paraId="27124C95" w14:textId="589294EE" w:rsidR="00E46198" w:rsidRPr="00FA0D37" w:rsidRDefault="00E46198" w:rsidP="00FA0D37">
      <w:pPr>
        <w:pStyle w:val="PL"/>
        <w:rPr>
          <w:color w:val="808080"/>
        </w:rPr>
      </w:pPr>
      <w:r w:rsidRPr="00FA0D37">
        <w:t xml:space="preserve">    reportUplinkTxDirectCurrentTwoCarrier-r16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679584E7" w14:textId="6C34DE99" w:rsidR="00CF0B27" w:rsidRPr="00FA0D37" w:rsidRDefault="00E46198" w:rsidP="00FA0D37">
      <w:pPr>
        <w:pStyle w:val="PL"/>
      </w:pPr>
      <w:r w:rsidRPr="00FA0D37">
        <w:t xml:space="preserve">    ]]</w:t>
      </w:r>
      <w:r w:rsidR="00CF0B27" w:rsidRPr="00FA0D37">
        <w:t>,</w:t>
      </w:r>
    </w:p>
    <w:p w14:paraId="6E1871C0" w14:textId="77777777" w:rsidR="00CF0B27" w:rsidRPr="00FA0D37" w:rsidRDefault="00CF0B27" w:rsidP="00FA0D37">
      <w:pPr>
        <w:pStyle w:val="PL"/>
      </w:pPr>
      <w:r w:rsidRPr="00FA0D37">
        <w:t xml:space="preserve">    [[</w:t>
      </w:r>
    </w:p>
    <w:p w14:paraId="3AD0B8CE" w14:textId="16848C41" w:rsidR="00CF0B27" w:rsidRPr="00FA0D37" w:rsidRDefault="00CF0B27" w:rsidP="00FA0D37">
      <w:pPr>
        <w:pStyle w:val="PL"/>
        <w:rPr>
          <w:color w:val="808080"/>
        </w:rPr>
      </w:pPr>
      <w:r w:rsidRPr="00FA0D37">
        <w:t xml:space="preserve">    f1c-TransferPathNRDC-r17                   </w:t>
      </w:r>
      <w:r w:rsidRPr="00FA0D37">
        <w:rPr>
          <w:color w:val="993366"/>
        </w:rPr>
        <w:t>ENUMERATED</w:t>
      </w:r>
      <w:r w:rsidRPr="00FA0D37">
        <w:t xml:space="preserve"> {mcg, scg, both}                                             </w:t>
      </w:r>
      <w:r w:rsidRPr="00FA0D37">
        <w:rPr>
          <w:color w:val="993366"/>
        </w:rPr>
        <w:t>OPTIONAL</w:t>
      </w:r>
      <w:r w:rsidR="007D1660" w:rsidRPr="00FA0D37">
        <w:t>,</w:t>
      </w:r>
      <w:r w:rsidRPr="00FA0D37">
        <w:t xml:space="preserve">   </w:t>
      </w:r>
      <w:r w:rsidRPr="00FA0D37">
        <w:rPr>
          <w:color w:val="808080"/>
        </w:rPr>
        <w:t>-- Need M</w:t>
      </w:r>
    </w:p>
    <w:p w14:paraId="7067BF19" w14:textId="32FBCAF7" w:rsidR="007D1660" w:rsidRPr="00FA0D37" w:rsidRDefault="007D1660" w:rsidP="00FA0D37">
      <w:pPr>
        <w:pStyle w:val="PL"/>
        <w:rPr>
          <w:color w:val="808080"/>
        </w:rPr>
      </w:pPr>
      <w:r w:rsidRPr="00FA0D37">
        <w:t xml:space="preserve">    uplinkTxSwitching-2T-Mode-r17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Cond 2Tx</w:t>
      </w:r>
    </w:p>
    <w:p w14:paraId="571B1B9D" w14:textId="5F426494" w:rsidR="007D1660" w:rsidRPr="00FA0D37" w:rsidRDefault="007D1660" w:rsidP="00FA0D37">
      <w:pPr>
        <w:pStyle w:val="PL"/>
        <w:rPr>
          <w:color w:val="808080"/>
        </w:rPr>
      </w:pPr>
      <w:r w:rsidRPr="00FA0D37">
        <w:t xml:space="preserve">    uplinkTxSwitching-DualUL-TxState-r17       </w:t>
      </w:r>
      <w:r w:rsidRPr="00FA0D37">
        <w:rPr>
          <w:color w:val="993366"/>
        </w:rPr>
        <w:t>ENUMERATED</w:t>
      </w:r>
      <w:r w:rsidRPr="00FA0D37">
        <w:t xml:space="preserve"> {oneT, twoT}                                                 </w:t>
      </w:r>
      <w:r w:rsidRPr="00FA0D37">
        <w:rPr>
          <w:color w:val="993366"/>
        </w:rPr>
        <w:t>OPTIONAL</w:t>
      </w:r>
      <w:r w:rsidR="00360CB9" w:rsidRPr="00FA0D37">
        <w:t>,</w:t>
      </w:r>
      <w:r w:rsidRPr="00FA0D37">
        <w:t xml:space="preserve">   </w:t>
      </w:r>
      <w:r w:rsidRPr="00FA0D37">
        <w:rPr>
          <w:color w:val="808080"/>
        </w:rPr>
        <w:t>-- Cond 2Tx</w:t>
      </w:r>
    </w:p>
    <w:p w14:paraId="3764A1C0" w14:textId="42DF4688" w:rsidR="000E770B" w:rsidRPr="00FA0D37" w:rsidRDefault="00360CB9" w:rsidP="00FA0D37">
      <w:pPr>
        <w:pStyle w:val="PL"/>
      </w:pPr>
      <w:r w:rsidRPr="00FA0D37">
        <w:t xml:space="preserve">    uu-RelayRLC-ChannelToAddModList-r17       </w:t>
      </w:r>
      <w:r w:rsidR="005D44A8" w:rsidRPr="00FA0D37">
        <w:t xml:space="preserve"> </w:t>
      </w:r>
      <w:r w:rsidRPr="00FA0D37">
        <w:rPr>
          <w:color w:val="993366"/>
        </w:rPr>
        <w:t>SEQUENCE</w:t>
      </w:r>
      <w:r w:rsidRPr="00FA0D37">
        <w:t xml:space="preserve"> (</w:t>
      </w:r>
      <w:r w:rsidRPr="00FA0D37">
        <w:rPr>
          <w:color w:val="993366"/>
        </w:rPr>
        <w:t>SIZE</w:t>
      </w:r>
      <w:r w:rsidRPr="00FA0D37">
        <w:t>(1..maxUu-RelayRLC-ChannelID-r17))</w:t>
      </w:r>
      <w:r w:rsidRPr="00FA0D37">
        <w:rPr>
          <w:color w:val="993366"/>
        </w:rPr>
        <w:t xml:space="preserve"> OF</w:t>
      </w:r>
      <w:r w:rsidRPr="00FA0D37">
        <w:t xml:space="preserve"> Uu-RelayRLC-ChannelConfig-r17</w:t>
      </w:r>
    </w:p>
    <w:p w14:paraId="5C6F17CD" w14:textId="6AF6E35C" w:rsidR="00360CB9" w:rsidRPr="00FA0D37" w:rsidRDefault="000E770B" w:rsidP="00FA0D37">
      <w:pPr>
        <w:pStyle w:val="PL"/>
        <w:rPr>
          <w:color w:val="808080"/>
        </w:rPr>
      </w:pPr>
      <w:r w:rsidRPr="00FA0D37">
        <w:t xml:space="preserve">                                                                                                                      </w:t>
      </w:r>
      <w:r w:rsidR="00360CB9" w:rsidRPr="00FA0D37">
        <w:t xml:space="preserve"> </w:t>
      </w:r>
      <w:r w:rsidR="00360CB9" w:rsidRPr="00FA0D37">
        <w:rPr>
          <w:color w:val="993366"/>
        </w:rPr>
        <w:t>OPTIONAL</w:t>
      </w:r>
      <w:r w:rsidR="00360CB9" w:rsidRPr="00FA0D37">
        <w:t xml:space="preserve">,   </w:t>
      </w:r>
      <w:r w:rsidR="00360CB9" w:rsidRPr="00FA0D37">
        <w:rPr>
          <w:color w:val="808080"/>
        </w:rPr>
        <w:t>-- Need N</w:t>
      </w:r>
    </w:p>
    <w:p w14:paraId="396C00AD" w14:textId="180017A5" w:rsidR="000E770B" w:rsidRPr="00FA0D37" w:rsidRDefault="00360CB9" w:rsidP="00FA0D37">
      <w:pPr>
        <w:pStyle w:val="PL"/>
      </w:pPr>
      <w:r w:rsidRPr="00FA0D37">
        <w:t xml:space="preserve">    uu-RelayRLC-ChannelToReleaseList-r17      </w:t>
      </w:r>
      <w:r w:rsidR="005D44A8" w:rsidRPr="00FA0D37">
        <w:t xml:space="preserve"> </w:t>
      </w:r>
      <w:r w:rsidRPr="00FA0D37">
        <w:rPr>
          <w:color w:val="993366"/>
        </w:rPr>
        <w:t>SEQUENCE</w:t>
      </w:r>
      <w:r w:rsidRPr="00FA0D37">
        <w:t xml:space="preserve"> (</w:t>
      </w:r>
      <w:r w:rsidRPr="00FA0D37">
        <w:rPr>
          <w:color w:val="993366"/>
        </w:rPr>
        <w:t>SIZE</w:t>
      </w:r>
      <w:r w:rsidRPr="00FA0D37">
        <w:t>(1..maxUu-RelayRLC-ChannelID-r17))</w:t>
      </w:r>
      <w:r w:rsidRPr="00FA0D37">
        <w:rPr>
          <w:color w:val="993366"/>
        </w:rPr>
        <w:t xml:space="preserve"> OF</w:t>
      </w:r>
      <w:r w:rsidRPr="00FA0D37">
        <w:t xml:space="preserve"> Uu-RelayRLC-ChannelID-r17</w:t>
      </w:r>
    </w:p>
    <w:p w14:paraId="2CF0F1F5" w14:textId="6B55EB8C" w:rsidR="00360CB9" w:rsidRPr="00FA0D37" w:rsidRDefault="000E770B" w:rsidP="00FA0D37">
      <w:pPr>
        <w:pStyle w:val="PL"/>
        <w:rPr>
          <w:color w:val="808080"/>
        </w:rPr>
      </w:pPr>
      <w:r w:rsidRPr="00FA0D37">
        <w:t xml:space="preserve">                                                                                                                  </w:t>
      </w:r>
      <w:r w:rsidR="00360CB9" w:rsidRPr="00FA0D37">
        <w:t xml:space="preserve">     </w:t>
      </w:r>
      <w:r w:rsidR="00360CB9" w:rsidRPr="00FA0D37">
        <w:rPr>
          <w:color w:val="993366"/>
        </w:rPr>
        <w:t>OPTIONAL</w:t>
      </w:r>
      <w:r w:rsidR="0075302D" w:rsidRPr="00FA0D37">
        <w:t>,</w:t>
      </w:r>
      <w:r w:rsidR="00360CB9" w:rsidRPr="00FA0D37">
        <w:t xml:space="preserve">   </w:t>
      </w:r>
      <w:r w:rsidR="00360CB9" w:rsidRPr="00FA0D37">
        <w:rPr>
          <w:color w:val="808080"/>
        </w:rPr>
        <w:t>-- Need N</w:t>
      </w:r>
    </w:p>
    <w:p w14:paraId="12A63830" w14:textId="21A0C2C6" w:rsidR="0075302D" w:rsidRPr="00FA0D37" w:rsidRDefault="0075302D" w:rsidP="00FA0D37">
      <w:pPr>
        <w:pStyle w:val="PL"/>
        <w:rPr>
          <w:color w:val="808080"/>
        </w:rPr>
      </w:pPr>
      <w:r w:rsidRPr="00FA0D37">
        <w:t xml:space="preserve">    simultaneousU-TCI-UpdateList1-r17          </w:t>
      </w:r>
      <w:r w:rsidRPr="00FA0D37">
        <w:rPr>
          <w:color w:val="993366"/>
        </w:rPr>
        <w:t>SEQUENCE</w:t>
      </w:r>
      <w:r w:rsidRPr="00FA0D37">
        <w:t xml:space="preserve"> (</w:t>
      </w:r>
      <w:r w:rsidRPr="00FA0D37">
        <w:rPr>
          <w:color w:val="993366"/>
        </w:rPr>
        <w:t>SIZE</w:t>
      </w:r>
      <w:r w:rsidRPr="00FA0D37">
        <w:t xml:space="preserve"> (1..maxNrofServingCellsTCI-r16))</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R</w:t>
      </w:r>
    </w:p>
    <w:p w14:paraId="0DC64143" w14:textId="4B9B90D7" w:rsidR="0075302D" w:rsidRPr="00FA0D37" w:rsidRDefault="0075302D" w:rsidP="00FA0D37">
      <w:pPr>
        <w:pStyle w:val="PL"/>
        <w:rPr>
          <w:color w:val="808080"/>
        </w:rPr>
      </w:pPr>
      <w:r w:rsidRPr="00FA0D37">
        <w:t xml:space="preserve">    simultaneousU-TCI-UpdateList2-r17          </w:t>
      </w:r>
      <w:r w:rsidRPr="00FA0D37">
        <w:rPr>
          <w:color w:val="993366"/>
        </w:rPr>
        <w:t>SEQUENCE</w:t>
      </w:r>
      <w:r w:rsidRPr="00FA0D37">
        <w:t xml:space="preserve"> (</w:t>
      </w:r>
      <w:r w:rsidRPr="00FA0D37">
        <w:rPr>
          <w:color w:val="993366"/>
        </w:rPr>
        <w:t>SIZE</w:t>
      </w:r>
      <w:r w:rsidRPr="00FA0D37">
        <w:t xml:space="preserve"> (1..maxNrofServingCellsTCI-r16))</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R</w:t>
      </w:r>
    </w:p>
    <w:p w14:paraId="09C2672F" w14:textId="387CBA9D" w:rsidR="0075302D" w:rsidRPr="00FA0D37" w:rsidRDefault="0075302D" w:rsidP="00FA0D37">
      <w:pPr>
        <w:pStyle w:val="PL"/>
        <w:rPr>
          <w:color w:val="808080"/>
        </w:rPr>
      </w:pPr>
      <w:r w:rsidRPr="00FA0D37">
        <w:t xml:space="preserve">    simultaneousU-TCI-UpdateList3-r17          </w:t>
      </w:r>
      <w:r w:rsidRPr="00FA0D37">
        <w:rPr>
          <w:color w:val="993366"/>
        </w:rPr>
        <w:t>SEQUENCE</w:t>
      </w:r>
      <w:r w:rsidRPr="00FA0D37">
        <w:t xml:space="preserve"> (</w:t>
      </w:r>
      <w:r w:rsidRPr="00FA0D37">
        <w:rPr>
          <w:color w:val="993366"/>
        </w:rPr>
        <w:t>SIZE</w:t>
      </w:r>
      <w:r w:rsidRPr="00FA0D37">
        <w:t xml:space="preserve"> (1..maxNrofServingCellsTCI-r16))</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R</w:t>
      </w:r>
    </w:p>
    <w:p w14:paraId="45E6C313" w14:textId="1DF87DA3" w:rsidR="0075302D" w:rsidRPr="00FA0D37" w:rsidRDefault="0075302D" w:rsidP="00FA0D37">
      <w:pPr>
        <w:pStyle w:val="PL"/>
        <w:rPr>
          <w:color w:val="808080"/>
        </w:rPr>
      </w:pPr>
      <w:r w:rsidRPr="00FA0D37">
        <w:t xml:space="preserve">    simultaneousU-TCI-UpdateList4-r17          </w:t>
      </w:r>
      <w:r w:rsidRPr="00FA0D37">
        <w:rPr>
          <w:color w:val="993366"/>
        </w:rPr>
        <w:t>SEQUENCE</w:t>
      </w:r>
      <w:r w:rsidRPr="00FA0D37">
        <w:t xml:space="preserve"> (</w:t>
      </w:r>
      <w:r w:rsidRPr="00FA0D37">
        <w:rPr>
          <w:color w:val="993366"/>
        </w:rPr>
        <w:t>SIZE</w:t>
      </w:r>
      <w:r w:rsidRPr="00FA0D37">
        <w:t xml:space="preserve"> (1..maxNrofServingCellsTCI-r16))</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R</w:t>
      </w:r>
    </w:p>
    <w:p w14:paraId="63AE95AB" w14:textId="5697CB90" w:rsidR="00214323" w:rsidRPr="00FA0D37" w:rsidRDefault="00214323" w:rsidP="00FA0D37">
      <w:pPr>
        <w:pStyle w:val="PL"/>
        <w:rPr>
          <w:color w:val="808080"/>
        </w:rPr>
      </w:pPr>
      <w:r w:rsidRPr="00FA0D37">
        <w:t xml:space="preserve">    rlc-BearerToReleaseListExt-r17             </w:t>
      </w:r>
      <w:r w:rsidRPr="00FA0D37">
        <w:rPr>
          <w:color w:val="993366"/>
        </w:rPr>
        <w:t>SEQUENCE</w:t>
      </w:r>
      <w:r w:rsidRPr="00FA0D37">
        <w:t xml:space="preserve"> (</w:t>
      </w:r>
      <w:r w:rsidRPr="00FA0D37">
        <w:rPr>
          <w:color w:val="993366"/>
        </w:rPr>
        <w:t>SIZE</w:t>
      </w:r>
      <w:r w:rsidRPr="00FA0D37">
        <w:t>(1..maxLC-ID))</w:t>
      </w:r>
      <w:r w:rsidRPr="00FA0D37">
        <w:rPr>
          <w:color w:val="993366"/>
        </w:rPr>
        <w:t xml:space="preserve"> OF</w:t>
      </w:r>
      <w:r w:rsidRPr="00FA0D37">
        <w:t xml:space="preserve"> LogicalChannelIdentityExt-r17           </w:t>
      </w:r>
      <w:r w:rsidRPr="00FA0D37">
        <w:rPr>
          <w:color w:val="993366"/>
        </w:rPr>
        <w:t>OPTIONAL</w:t>
      </w:r>
      <w:r w:rsidR="00974104" w:rsidRPr="00FA0D37">
        <w:t>,</w:t>
      </w:r>
      <w:r w:rsidRPr="00FA0D37">
        <w:t xml:space="preserve">   </w:t>
      </w:r>
      <w:r w:rsidRPr="00FA0D37">
        <w:rPr>
          <w:color w:val="808080"/>
        </w:rPr>
        <w:t>-- Need N</w:t>
      </w:r>
    </w:p>
    <w:p w14:paraId="5F765B22" w14:textId="40CCD0CB" w:rsidR="00974104" w:rsidRPr="00FA0D37" w:rsidRDefault="00974104" w:rsidP="00FA0D37">
      <w:pPr>
        <w:pStyle w:val="PL"/>
        <w:rPr>
          <w:color w:val="808080"/>
        </w:rPr>
      </w:pPr>
      <w:r w:rsidRPr="00FA0D37">
        <w:t xml:space="preserve">    iab-ResourceConfigToAddModList-r17  </w:t>
      </w:r>
      <w:r w:rsidRPr="00FA0D37">
        <w:rPr>
          <w:color w:val="993366"/>
        </w:rPr>
        <w:t>SEQUENCE</w:t>
      </w:r>
      <w:r w:rsidRPr="00FA0D37">
        <w:t xml:space="preserve"> (</w:t>
      </w:r>
      <w:r w:rsidRPr="00FA0D37">
        <w:rPr>
          <w:color w:val="993366"/>
        </w:rPr>
        <w:t>SIZE</w:t>
      </w:r>
      <w:r w:rsidRPr="00FA0D37">
        <w:t>(1..maxNrofIABResourceConfig-r17))</w:t>
      </w:r>
      <w:r w:rsidRPr="00FA0D37">
        <w:rPr>
          <w:color w:val="993366"/>
        </w:rPr>
        <w:t xml:space="preserve"> OF</w:t>
      </w:r>
      <w:r w:rsidRPr="00FA0D37">
        <w:t xml:space="preserve"> IAB-ResourceConfig-r17   </w:t>
      </w:r>
      <w:r w:rsidRPr="00FA0D37">
        <w:rPr>
          <w:color w:val="993366"/>
        </w:rPr>
        <w:t>OPTIONAL</w:t>
      </w:r>
      <w:r w:rsidRPr="00FA0D37">
        <w:t xml:space="preserve">, </w:t>
      </w:r>
      <w:r w:rsidRPr="00FA0D37">
        <w:rPr>
          <w:color w:val="808080"/>
        </w:rPr>
        <w:t>-- Need N</w:t>
      </w:r>
    </w:p>
    <w:p w14:paraId="5A93236E" w14:textId="6AF71066" w:rsidR="00974104" w:rsidRPr="00FA0D37" w:rsidRDefault="00974104" w:rsidP="00FA0D37">
      <w:pPr>
        <w:pStyle w:val="PL"/>
        <w:rPr>
          <w:color w:val="808080"/>
        </w:rPr>
      </w:pPr>
      <w:r w:rsidRPr="00FA0D37">
        <w:t xml:space="preserve">    iab-ResourceConfigToReleaseList-r17 </w:t>
      </w:r>
      <w:r w:rsidRPr="00FA0D37">
        <w:rPr>
          <w:color w:val="993366"/>
        </w:rPr>
        <w:t>SEQUENCE</w:t>
      </w:r>
      <w:r w:rsidRPr="00FA0D37">
        <w:t xml:space="preserve"> (</w:t>
      </w:r>
      <w:r w:rsidRPr="00FA0D37">
        <w:rPr>
          <w:color w:val="993366"/>
        </w:rPr>
        <w:t>SIZE</w:t>
      </w:r>
      <w:r w:rsidRPr="00FA0D37">
        <w:t>(1..maxNrofIABResourceConfig-r17))</w:t>
      </w:r>
      <w:r w:rsidRPr="00FA0D37">
        <w:rPr>
          <w:color w:val="993366"/>
        </w:rPr>
        <w:t xml:space="preserve"> OF</w:t>
      </w:r>
      <w:r w:rsidRPr="00FA0D37">
        <w:t xml:space="preserve"> IAB-ResourceConfigID-r17 </w:t>
      </w:r>
      <w:r w:rsidRPr="00FA0D37">
        <w:rPr>
          <w:color w:val="993366"/>
        </w:rPr>
        <w:t>OPTIONAL</w:t>
      </w:r>
      <w:r w:rsidRPr="00FA0D37">
        <w:t xml:space="preserve">  </w:t>
      </w:r>
      <w:r w:rsidRPr="00FA0D37">
        <w:rPr>
          <w:color w:val="808080"/>
        </w:rPr>
        <w:t>-- Need N</w:t>
      </w:r>
    </w:p>
    <w:p w14:paraId="0C08B6E9" w14:textId="7965F41D" w:rsidR="006C69F1" w:rsidRPr="00FA0D37" w:rsidRDefault="0075302D" w:rsidP="00FA0D37">
      <w:pPr>
        <w:pStyle w:val="PL"/>
      </w:pPr>
      <w:r w:rsidRPr="00FA0D37">
        <w:t xml:space="preserve">    </w:t>
      </w:r>
      <w:r w:rsidR="00CF0B27" w:rsidRPr="00FA0D37">
        <w:t>]]</w:t>
      </w:r>
      <w:r w:rsidR="006C69F1" w:rsidRPr="00FA0D37">
        <w:t>,</w:t>
      </w:r>
    </w:p>
    <w:p w14:paraId="455DC483" w14:textId="7EF4179D" w:rsidR="006C69F1" w:rsidRPr="00FA0D37" w:rsidRDefault="006C69F1" w:rsidP="00FA0D37">
      <w:pPr>
        <w:pStyle w:val="PL"/>
      </w:pPr>
      <w:r w:rsidRPr="00FA0D37">
        <w:t xml:space="preserve">    [[</w:t>
      </w:r>
    </w:p>
    <w:p w14:paraId="3948B473" w14:textId="25B98A4E" w:rsidR="006C69F1" w:rsidRPr="00FA0D37" w:rsidRDefault="006C69F1" w:rsidP="00FA0D37">
      <w:pPr>
        <w:pStyle w:val="PL"/>
        <w:rPr>
          <w:color w:val="808080"/>
        </w:rPr>
      </w:pPr>
      <w:r w:rsidRPr="00FA0D37">
        <w:t xml:space="preserve">    reportUplinkTxDirectCurrentMoreCarrier-r17 ReportUplinkTxDirectCurrentMoreCarrier-r17                            </w:t>
      </w:r>
      <w:r w:rsidRPr="00FA0D37">
        <w:rPr>
          <w:color w:val="993366"/>
        </w:rPr>
        <w:t>OPTIONAL</w:t>
      </w:r>
      <w:r w:rsidRPr="00FA0D37">
        <w:t xml:space="preserve">  </w:t>
      </w:r>
      <w:r w:rsidRPr="00FA0D37">
        <w:rPr>
          <w:color w:val="808080"/>
        </w:rPr>
        <w:t>-- Need N</w:t>
      </w:r>
    </w:p>
    <w:p w14:paraId="49B13AD1" w14:textId="65364BFA" w:rsidR="009536C4" w:rsidRPr="00FA0D37" w:rsidRDefault="006C69F1" w:rsidP="00FA0D37">
      <w:pPr>
        <w:pStyle w:val="PL"/>
      </w:pPr>
      <w:r w:rsidRPr="00FA0D37">
        <w:t xml:space="preserve">    ]]</w:t>
      </w:r>
      <w:r w:rsidR="009536C4" w:rsidRPr="00FA0D37">
        <w:t>,</w:t>
      </w:r>
    </w:p>
    <w:p w14:paraId="2F2A4183" w14:textId="77777777" w:rsidR="009536C4" w:rsidRPr="00FA0D37" w:rsidRDefault="009536C4" w:rsidP="00FA0D37">
      <w:pPr>
        <w:pStyle w:val="PL"/>
      </w:pPr>
      <w:r w:rsidRPr="00FA0D37">
        <w:t xml:space="preserve">    [[</w:t>
      </w:r>
    </w:p>
    <w:p w14:paraId="0320136A" w14:textId="677BDAD5" w:rsidR="009536C4" w:rsidRPr="00FA0D37" w:rsidRDefault="009536C4" w:rsidP="00FA0D37">
      <w:pPr>
        <w:pStyle w:val="PL"/>
        <w:rPr>
          <w:color w:val="808080"/>
        </w:rPr>
      </w:pPr>
      <w:r w:rsidRPr="00FA0D37">
        <w:t xml:space="preserve">    prioSCellPRACH-OverSP-PeriodicSRS-r17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9D68644" w14:textId="00956E4D" w:rsidR="00394471" w:rsidRPr="00FA0D37" w:rsidRDefault="009536C4" w:rsidP="00FA0D37">
      <w:pPr>
        <w:pStyle w:val="PL"/>
      </w:pPr>
      <w:r w:rsidRPr="00FA0D37">
        <w:t xml:space="preserve">    ]]</w:t>
      </w:r>
    </w:p>
    <w:p w14:paraId="25E9B88B" w14:textId="77777777" w:rsidR="00394471" w:rsidRPr="00FA0D37" w:rsidRDefault="00394471" w:rsidP="00FA0D37">
      <w:pPr>
        <w:pStyle w:val="PL"/>
      </w:pPr>
      <w:r w:rsidRPr="00FA0D37">
        <w:t>}</w:t>
      </w:r>
    </w:p>
    <w:p w14:paraId="12597E2C" w14:textId="77777777" w:rsidR="00394471" w:rsidRPr="00FA0D37" w:rsidRDefault="00394471" w:rsidP="00FA0D37">
      <w:pPr>
        <w:pStyle w:val="PL"/>
      </w:pPr>
    </w:p>
    <w:p w14:paraId="0E4A1104" w14:textId="77777777" w:rsidR="00394471" w:rsidRPr="00FA0D37" w:rsidRDefault="00394471" w:rsidP="00FA0D37">
      <w:pPr>
        <w:pStyle w:val="PL"/>
        <w:rPr>
          <w:color w:val="808080"/>
        </w:rPr>
      </w:pPr>
      <w:r w:rsidRPr="00FA0D37">
        <w:rPr>
          <w:color w:val="808080"/>
        </w:rPr>
        <w:t>-- Serving cell specific MAC and PHY parameters for a SpCell:</w:t>
      </w:r>
    </w:p>
    <w:p w14:paraId="4A7B6E51" w14:textId="77777777" w:rsidR="00394471" w:rsidRPr="00FA0D37" w:rsidRDefault="00394471" w:rsidP="00FA0D37">
      <w:pPr>
        <w:pStyle w:val="PL"/>
      </w:pPr>
      <w:r w:rsidRPr="00FA0D37">
        <w:t xml:space="preserve">SpCellConfig ::=                        </w:t>
      </w:r>
      <w:r w:rsidRPr="00FA0D37">
        <w:rPr>
          <w:color w:val="993366"/>
        </w:rPr>
        <w:t>SEQUENCE</w:t>
      </w:r>
      <w:r w:rsidRPr="00FA0D37">
        <w:t xml:space="preserve"> {</w:t>
      </w:r>
    </w:p>
    <w:p w14:paraId="7C43E52D" w14:textId="77777777" w:rsidR="00394471" w:rsidRPr="00FA0D37" w:rsidRDefault="00394471" w:rsidP="00FA0D37">
      <w:pPr>
        <w:pStyle w:val="PL"/>
        <w:rPr>
          <w:color w:val="808080"/>
        </w:rPr>
      </w:pPr>
      <w:r w:rsidRPr="00FA0D37">
        <w:t xml:space="preserve">    servCellIndex                       ServCellIndex                                               </w:t>
      </w:r>
      <w:r w:rsidRPr="00FA0D37">
        <w:rPr>
          <w:color w:val="993366"/>
        </w:rPr>
        <w:t>OPTIONAL</w:t>
      </w:r>
      <w:r w:rsidRPr="00FA0D37">
        <w:t xml:space="preserve">,   </w:t>
      </w:r>
      <w:r w:rsidRPr="00FA0D37">
        <w:rPr>
          <w:color w:val="808080"/>
        </w:rPr>
        <w:t>-- Cond SCG</w:t>
      </w:r>
    </w:p>
    <w:p w14:paraId="53BBE1B0" w14:textId="77777777" w:rsidR="00394471" w:rsidRPr="00FA0D37" w:rsidRDefault="00394471" w:rsidP="00FA0D37">
      <w:pPr>
        <w:pStyle w:val="PL"/>
        <w:rPr>
          <w:color w:val="808080"/>
        </w:rPr>
      </w:pPr>
      <w:r w:rsidRPr="00FA0D37">
        <w:t xml:space="preserve">    reconfigurationWithSync             ReconfigurationWithSync                                     </w:t>
      </w:r>
      <w:r w:rsidRPr="00FA0D37">
        <w:rPr>
          <w:color w:val="993366"/>
        </w:rPr>
        <w:t>OPTIONAL</w:t>
      </w:r>
      <w:r w:rsidRPr="00FA0D37">
        <w:t xml:space="preserve">,   </w:t>
      </w:r>
      <w:r w:rsidRPr="00FA0D37">
        <w:rPr>
          <w:color w:val="808080"/>
        </w:rPr>
        <w:t>-- Cond ReconfWithSync</w:t>
      </w:r>
    </w:p>
    <w:p w14:paraId="69CDFDF8" w14:textId="77777777" w:rsidR="00394471" w:rsidRPr="00FA0D37" w:rsidRDefault="00394471" w:rsidP="00FA0D37">
      <w:pPr>
        <w:pStyle w:val="PL"/>
        <w:rPr>
          <w:color w:val="808080"/>
        </w:rPr>
      </w:pPr>
      <w:r w:rsidRPr="00FA0D37">
        <w:t xml:space="preserve">    rlf-TimersAndConstants              SetupRelease { RLF-TimersAndConstants }                     </w:t>
      </w:r>
      <w:r w:rsidRPr="00FA0D37">
        <w:rPr>
          <w:color w:val="993366"/>
        </w:rPr>
        <w:t>OPTIONAL</w:t>
      </w:r>
      <w:r w:rsidRPr="00FA0D37">
        <w:t xml:space="preserve">,   </w:t>
      </w:r>
      <w:r w:rsidRPr="00FA0D37">
        <w:rPr>
          <w:color w:val="808080"/>
        </w:rPr>
        <w:t>-- Need M</w:t>
      </w:r>
    </w:p>
    <w:p w14:paraId="1E94F58D" w14:textId="77777777" w:rsidR="00394471" w:rsidRPr="00FA0D37" w:rsidRDefault="00394471" w:rsidP="00FA0D37">
      <w:pPr>
        <w:pStyle w:val="PL"/>
        <w:rPr>
          <w:color w:val="808080"/>
        </w:rPr>
      </w:pPr>
      <w:r w:rsidRPr="00FA0D37">
        <w:t xml:space="preserve">    rlmInSyncOutOfSyncThreshold         </w:t>
      </w:r>
      <w:r w:rsidRPr="00FA0D37">
        <w:rPr>
          <w:color w:val="993366"/>
        </w:rPr>
        <w:t>ENUMERATED</w:t>
      </w:r>
      <w:r w:rsidRPr="00FA0D37">
        <w:t xml:space="preserve"> {n1}                                             </w:t>
      </w:r>
      <w:r w:rsidRPr="00FA0D37">
        <w:rPr>
          <w:color w:val="993366"/>
        </w:rPr>
        <w:t>OPTIONAL</w:t>
      </w:r>
      <w:r w:rsidRPr="00FA0D37">
        <w:t xml:space="preserve">,   </w:t>
      </w:r>
      <w:r w:rsidRPr="00FA0D37">
        <w:rPr>
          <w:color w:val="808080"/>
        </w:rPr>
        <w:t>-- Need S</w:t>
      </w:r>
    </w:p>
    <w:p w14:paraId="539CEF9F" w14:textId="77777777" w:rsidR="00394471" w:rsidRPr="00FA0D37" w:rsidRDefault="00394471" w:rsidP="00FA0D37">
      <w:pPr>
        <w:pStyle w:val="PL"/>
        <w:rPr>
          <w:color w:val="808080"/>
        </w:rPr>
      </w:pPr>
      <w:r w:rsidRPr="00FA0D37">
        <w:t xml:space="preserve">    spCellConfigDedicated               ServingCellConfig                                           </w:t>
      </w:r>
      <w:r w:rsidRPr="00FA0D37">
        <w:rPr>
          <w:color w:val="993366"/>
        </w:rPr>
        <w:t>OPTIONAL</w:t>
      </w:r>
      <w:r w:rsidRPr="00FA0D37">
        <w:t xml:space="preserve">,   </w:t>
      </w:r>
      <w:r w:rsidRPr="00FA0D37">
        <w:rPr>
          <w:color w:val="808080"/>
        </w:rPr>
        <w:t>-- Need M</w:t>
      </w:r>
    </w:p>
    <w:p w14:paraId="5BF21C7E" w14:textId="5D8BAC26" w:rsidR="0078452E" w:rsidRPr="00FA0D37" w:rsidRDefault="00394471" w:rsidP="00FA0D37">
      <w:pPr>
        <w:pStyle w:val="PL"/>
      </w:pPr>
      <w:r w:rsidRPr="00FA0D37">
        <w:t xml:space="preserve">    ...</w:t>
      </w:r>
      <w:r w:rsidR="0078452E" w:rsidRPr="00FA0D37">
        <w:t>,</w:t>
      </w:r>
    </w:p>
    <w:p w14:paraId="723BEE34" w14:textId="4FCD65A5" w:rsidR="0078452E" w:rsidRPr="00FA0D37" w:rsidRDefault="0078452E" w:rsidP="00FA0D37">
      <w:pPr>
        <w:pStyle w:val="PL"/>
      </w:pPr>
      <w:r w:rsidRPr="00FA0D37">
        <w:t xml:space="preserve">    [[</w:t>
      </w:r>
    </w:p>
    <w:p w14:paraId="002E3855" w14:textId="1340649D" w:rsidR="0078452E" w:rsidRPr="00FA0D37" w:rsidRDefault="0078452E" w:rsidP="00FA0D37">
      <w:pPr>
        <w:pStyle w:val="PL"/>
      </w:pPr>
      <w:r w:rsidRPr="00FA0D37">
        <w:t xml:space="preserve">    lowMobilityEvaluationConnected-r17  </w:t>
      </w:r>
      <w:r w:rsidRPr="00FA0D37">
        <w:rPr>
          <w:color w:val="993366"/>
        </w:rPr>
        <w:t>SEQUENCE</w:t>
      </w:r>
      <w:r w:rsidRPr="00FA0D37">
        <w:t xml:space="preserve"> {</w:t>
      </w:r>
    </w:p>
    <w:p w14:paraId="0833B6AD" w14:textId="18693D1D" w:rsidR="0078452E" w:rsidRPr="00FA0D37" w:rsidRDefault="0078452E" w:rsidP="00FA0D37">
      <w:pPr>
        <w:pStyle w:val="PL"/>
      </w:pPr>
      <w:r w:rsidRPr="00FA0D37">
        <w:t xml:space="preserve">        s-SearchDeltaP-Connected-r17        </w:t>
      </w:r>
      <w:r w:rsidRPr="00FA0D37">
        <w:rPr>
          <w:color w:val="993366"/>
        </w:rPr>
        <w:t>ENUMERATED</w:t>
      </w:r>
      <w:r w:rsidRPr="00FA0D37">
        <w:t xml:space="preserve"> {</w:t>
      </w:r>
      <w:r w:rsidR="00827A1B" w:rsidRPr="00FA0D37">
        <w:t>dB3, dB6, dB9, dB12, dB15, spare3, spare2, spare1</w:t>
      </w:r>
      <w:r w:rsidRPr="00FA0D37">
        <w:t>},</w:t>
      </w:r>
    </w:p>
    <w:p w14:paraId="495365C8" w14:textId="5CB54253" w:rsidR="00827A1B" w:rsidRPr="00FA0D37" w:rsidRDefault="0078452E" w:rsidP="00FA0D37">
      <w:pPr>
        <w:pStyle w:val="PL"/>
      </w:pPr>
      <w:r w:rsidRPr="00FA0D37">
        <w:t xml:space="preserve">        t-SearchDeltaP-Connected-r17        </w:t>
      </w:r>
      <w:r w:rsidRPr="00FA0D37">
        <w:rPr>
          <w:color w:val="993366"/>
        </w:rPr>
        <w:t>ENUMERATED</w:t>
      </w:r>
      <w:r w:rsidRPr="00FA0D37">
        <w:t xml:space="preserve"> {</w:t>
      </w:r>
      <w:r w:rsidR="00827A1B" w:rsidRPr="00FA0D37">
        <w:t>s5, s10, s20, s30, s60, s120, s180, s240, s300, spare7, spare6, spare5,</w:t>
      </w:r>
    </w:p>
    <w:p w14:paraId="42F3BB41" w14:textId="185A474C" w:rsidR="0078452E" w:rsidRPr="00FA0D37" w:rsidRDefault="00827A1B" w:rsidP="00FA0D37">
      <w:pPr>
        <w:pStyle w:val="PL"/>
      </w:pPr>
      <w:r w:rsidRPr="00FA0D37">
        <w:t xml:space="preserve">                                                        spare4, spare3, spare2, spare1</w:t>
      </w:r>
      <w:r w:rsidR="0078452E" w:rsidRPr="00FA0D37">
        <w:t>}</w:t>
      </w:r>
    </w:p>
    <w:p w14:paraId="1B637B82" w14:textId="6A683989" w:rsidR="0078452E" w:rsidRPr="00FA0D37" w:rsidRDefault="0078452E"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5285D8AE" w14:textId="50C4AFEA" w:rsidR="0078452E" w:rsidRPr="00FA0D37" w:rsidRDefault="0078452E" w:rsidP="00FA0D37">
      <w:pPr>
        <w:pStyle w:val="PL"/>
        <w:rPr>
          <w:color w:val="808080"/>
        </w:rPr>
      </w:pPr>
      <w:r w:rsidRPr="00FA0D37">
        <w:t xml:space="preserve">    goodServingCellEvaluationRLM-r17    GoodServingCellEvaluation-r17                               </w:t>
      </w:r>
      <w:r w:rsidRPr="00FA0D37">
        <w:rPr>
          <w:color w:val="993366"/>
        </w:rPr>
        <w:t>OPTIONAL</w:t>
      </w:r>
      <w:r w:rsidRPr="00FA0D37">
        <w:t xml:space="preserve">,   </w:t>
      </w:r>
      <w:r w:rsidRPr="00FA0D37">
        <w:rPr>
          <w:color w:val="808080"/>
        </w:rPr>
        <w:t>-- Need R</w:t>
      </w:r>
    </w:p>
    <w:p w14:paraId="73D67CB9" w14:textId="48A432F6" w:rsidR="0078452E" w:rsidRPr="00FA0D37" w:rsidRDefault="0078452E" w:rsidP="00FA0D37">
      <w:pPr>
        <w:pStyle w:val="PL"/>
        <w:rPr>
          <w:color w:val="808080"/>
        </w:rPr>
      </w:pPr>
      <w:r w:rsidRPr="00FA0D37">
        <w:lastRenderedPageBreak/>
        <w:t xml:space="preserve">    goodServingCellEvaluationBFD-r17    GoodServingCellEvaluation-r17                               </w:t>
      </w:r>
      <w:r w:rsidRPr="00FA0D37">
        <w:rPr>
          <w:color w:val="993366"/>
        </w:rPr>
        <w:t>OPTIONAL</w:t>
      </w:r>
      <w:r w:rsidRPr="00FA0D37">
        <w:t xml:space="preserve">,   </w:t>
      </w:r>
      <w:r w:rsidRPr="00FA0D37">
        <w:rPr>
          <w:color w:val="808080"/>
        </w:rPr>
        <w:t>-- Need R</w:t>
      </w:r>
    </w:p>
    <w:p w14:paraId="29E49B7E" w14:textId="5A6DE634" w:rsidR="00DB6B82" w:rsidRPr="00FA0D37" w:rsidRDefault="00DB6B82" w:rsidP="00FA0D37">
      <w:pPr>
        <w:pStyle w:val="PL"/>
        <w:rPr>
          <w:color w:val="808080"/>
        </w:rPr>
      </w:pPr>
      <w:r w:rsidRPr="00FA0D37">
        <w:t xml:space="preserve">    deactivatedSCG-Config-r17           SetupRelease { DeactivatedSCG-Config-r17 }                  </w:t>
      </w:r>
      <w:r w:rsidRPr="00FA0D37">
        <w:rPr>
          <w:color w:val="993366"/>
        </w:rPr>
        <w:t>OPTIONAL</w:t>
      </w:r>
      <w:r w:rsidRPr="00FA0D37">
        <w:t xml:space="preserve">    </w:t>
      </w:r>
      <w:r w:rsidRPr="00FA0D37">
        <w:rPr>
          <w:color w:val="808080"/>
        </w:rPr>
        <w:t xml:space="preserve">-- </w:t>
      </w:r>
      <w:r w:rsidR="00627E02" w:rsidRPr="00FA0D37">
        <w:rPr>
          <w:color w:val="808080"/>
        </w:rPr>
        <w:t>Cond SCG</w:t>
      </w:r>
      <w:r w:rsidR="00100624" w:rsidRPr="00FA0D37">
        <w:rPr>
          <w:color w:val="808080"/>
        </w:rPr>
        <w:t>-</w:t>
      </w:r>
      <w:r w:rsidR="00627E02" w:rsidRPr="00FA0D37">
        <w:rPr>
          <w:color w:val="808080"/>
        </w:rPr>
        <w:t>Opt</w:t>
      </w:r>
    </w:p>
    <w:p w14:paraId="067BCC88" w14:textId="6AD5EE26" w:rsidR="0078452E" w:rsidRPr="00FA0D37" w:rsidRDefault="0078452E" w:rsidP="00FA0D37">
      <w:pPr>
        <w:pStyle w:val="PL"/>
      </w:pPr>
      <w:r w:rsidRPr="00FA0D37">
        <w:t xml:space="preserve">    ]]</w:t>
      </w:r>
    </w:p>
    <w:p w14:paraId="566232AE" w14:textId="77777777" w:rsidR="0078452E" w:rsidRPr="00FA0D37" w:rsidRDefault="0078452E" w:rsidP="00FA0D37">
      <w:pPr>
        <w:pStyle w:val="PL"/>
      </w:pPr>
      <w:r w:rsidRPr="00FA0D37">
        <w:t>}</w:t>
      </w:r>
    </w:p>
    <w:p w14:paraId="7ADEA640" w14:textId="77777777" w:rsidR="00394471" w:rsidRPr="00FA0D37" w:rsidRDefault="00394471" w:rsidP="00FA0D37">
      <w:pPr>
        <w:pStyle w:val="PL"/>
      </w:pPr>
    </w:p>
    <w:p w14:paraId="4A9CE082" w14:textId="77777777" w:rsidR="00394471" w:rsidRPr="00FA0D37" w:rsidRDefault="00394471" w:rsidP="00FA0D37">
      <w:pPr>
        <w:pStyle w:val="PL"/>
      </w:pPr>
      <w:r w:rsidRPr="00FA0D37">
        <w:t xml:space="preserve">ReconfigurationWithSync ::=         </w:t>
      </w:r>
      <w:r w:rsidRPr="00FA0D37">
        <w:rPr>
          <w:color w:val="993366"/>
        </w:rPr>
        <w:t>SEQUENCE</w:t>
      </w:r>
      <w:r w:rsidRPr="00FA0D37">
        <w:t xml:space="preserve"> {</w:t>
      </w:r>
    </w:p>
    <w:p w14:paraId="7F5DAD6B" w14:textId="77777777" w:rsidR="00394471" w:rsidRPr="00FA0D37" w:rsidRDefault="00394471" w:rsidP="00FA0D37">
      <w:pPr>
        <w:pStyle w:val="PL"/>
        <w:rPr>
          <w:color w:val="808080"/>
        </w:rPr>
      </w:pPr>
      <w:r w:rsidRPr="00FA0D37">
        <w:t xml:space="preserve">    spCellConfigCommon                  ServingCellConfigCommon                                     </w:t>
      </w:r>
      <w:r w:rsidRPr="00FA0D37">
        <w:rPr>
          <w:color w:val="993366"/>
        </w:rPr>
        <w:t>OPTIONAL</w:t>
      </w:r>
      <w:r w:rsidRPr="00FA0D37">
        <w:t xml:space="preserve">,   </w:t>
      </w:r>
      <w:r w:rsidRPr="00FA0D37">
        <w:rPr>
          <w:color w:val="808080"/>
        </w:rPr>
        <w:t>-- Need M</w:t>
      </w:r>
    </w:p>
    <w:p w14:paraId="47D2EC0A" w14:textId="77777777" w:rsidR="00394471" w:rsidRPr="00FA0D37" w:rsidRDefault="00394471" w:rsidP="00FA0D37">
      <w:pPr>
        <w:pStyle w:val="PL"/>
      </w:pPr>
      <w:r w:rsidRPr="00FA0D37">
        <w:t xml:space="preserve">    newUE-Identity                      RNTI-Value,</w:t>
      </w:r>
    </w:p>
    <w:p w14:paraId="01B61361" w14:textId="77777777" w:rsidR="00394471" w:rsidRPr="00FA0D37" w:rsidRDefault="00394471" w:rsidP="00FA0D37">
      <w:pPr>
        <w:pStyle w:val="PL"/>
      </w:pPr>
      <w:r w:rsidRPr="00FA0D37">
        <w:t xml:space="preserve">    t304                                </w:t>
      </w:r>
      <w:r w:rsidRPr="00FA0D37">
        <w:rPr>
          <w:color w:val="993366"/>
        </w:rPr>
        <w:t>ENUMERATED</w:t>
      </w:r>
      <w:r w:rsidRPr="00FA0D37">
        <w:t xml:space="preserve"> {ms50, ms100, ms150, ms200, ms500, ms1000, ms2000, ms10000},</w:t>
      </w:r>
    </w:p>
    <w:p w14:paraId="41121840" w14:textId="77777777" w:rsidR="00394471" w:rsidRPr="00FA0D37" w:rsidRDefault="00394471" w:rsidP="00FA0D37">
      <w:pPr>
        <w:pStyle w:val="PL"/>
      </w:pPr>
      <w:r w:rsidRPr="00FA0D37">
        <w:t xml:space="preserve">    rach-ConfigDedicated                </w:t>
      </w:r>
      <w:r w:rsidRPr="00FA0D37">
        <w:rPr>
          <w:color w:val="993366"/>
        </w:rPr>
        <w:t>CHOICE</w:t>
      </w:r>
      <w:r w:rsidRPr="00FA0D37">
        <w:t xml:space="preserve"> {</w:t>
      </w:r>
    </w:p>
    <w:p w14:paraId="6E3928F0" w14:textId="77777777" w:rsidR="00394471" w:rsidRPr="00FA0D37" w:rsidRDefault="00394471" w:rsidP="00FA0D37">
      <w:pPr>
        <w:pStyle w:val="PL"/>
      </w:pPr>
      <w:r w:rsidRPr="00FA0D37">
        <w:t xml:space="preserve">        uplink                              RACH-ConfigDedicated,</w:t>
      </w:r>
    </w:p>
    <w:p w14:paraId="21E4804B" w14:textId="77777777" w:rsidR="00394471" w:rsidRPr="00FA0D37" w:rsidRDefault="00394471" w:rsidP="00FA0D37">
      <w:pPr>
        <w:pStyle w:val="PL"/>
      </w:pPr>
      <w:r w:rsidRPr="00FA0D37">
        <w:t xml:space="preserve">        supplementaryUplink                 RACH-ConfigDedicated</w:t>
      </w:r>
    </w:p>
    <w:p w14:paraId="561A6F86"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N</w:t>
      </w:r>
    </w:p>
    <w:p w14:paraId="4F353CF3" w14:textId="77777777" w:rsidR="00394471" w:rsidRPr="00FA0D37" w:rsidRDefault="00394471" w:rsidP="00FA0D37">
      <w:pPr>
        <w:pStyle w:val="PL"/>
      </w:pPr>
      <w:r w:rsidRPr="00FA0D37">
        <w:t xml:space="preserve">    ...,</w:t>
      </w:r>
    </w:p>
    <w:p w14:paraId="487004E0" w14:textId="77777777" w:rsidR="00394471" w:rsidRPr="00FA0D37" w:rsidRDefault="00394471" w:rsidP="00FA0D37">
      <w:pPr>
        <w:pStyle w:val="PL"/>
      </w:pPr>
      <w:r w:rsidRPr="00FA0D37">
        <w:t xml:space="preserve">    [[</w:t>
      </w:r>
    </w:p>
    <w:p w14:paraId="0C77F3F9" w14:textId="77777777" w:rsidR="00394471" w:rsidRPr="00FA0D37" w:rsidRDefault="00394471" w:rsidP="00FA0D37">
      <w:pPr>
        <w:pStyle w:val="PL"/>
        <w:rPr>
          <w:color w:val="808080"/>
        </w:rPr>
      </w:pPr>
      <w:r w:rsidRPr="00FA0D37">
        <w:t xml:space="preserve">    smtc                                SSB-MTC                                                     </w:t>
      </w:r>
      <w:r w:rsidRPr="00FA0D37">
        <w:rPr>
          <w:color w:val="993366"/>
        </w:rPr>
        <w:t>OPTIONAL</w:t>
      </w:r>
      <w:r w:rsidRPr="00FA0D37">
        <w:t xml:space="preserve">    </w:t>
      </w:r>
      <w:r w:rsidRPr="00FA0D37">
        <w:rPr>
          <w:color w:val="808080"/>
        </w:rPr>
        <w:t>-- Need S</w:t>
      </w:r>
    </w:p>
    <w:p w14:paraId="70D74ED4" w14:textId="77777777" w:rsidR="00394471" w:rsidRPr="00FA0D37" w:rsidRDefault="00394471" w:rsidP="00FA0D37">
      <w:pPr>
        <w:pStyle w:val="PL"/>
      </w:pPr>
      <w:r w:rsidRPr="00FA0D37">
        <w:t xml:space="preserve">    ]],</w:t>
      </w:r>
    </w:p>
    <w:p w14:paraId="0EF7FDC6" w14:textId="77777777" w:rsidR="00394471" w:rsidRPr="00FA0D37" w:rsidRDefault="00394471" w:rsidP="00FA0D37">
      <w:pPr>
        <w:pStyle w:val="PL"/>
      </w:pPr>
      <w:r w:rsidRPr="00FA0D37">
        <w:t xml:space="preserve">    [[</w:t>
      </w:r>
    </w:p>
    <w:p w14:paraId="5ACF57FD" w14:textId="77777777" w:rsidR="00394471" w:rsidRPr="00FA0D37" w:rsidRDefault="00394471" w:rsidP="00FA0D37">
      <w:pPr>
        <w:pStyle w:val="PL"/>
        <w:rPr>
          <w:color w:val="808080"/>
        </w:rPr>
      </w:pPr>
      <w:r w:rsidRPr="00FA0D37">
        <w:t xml:space="preserve">    daps-UplinkPowerConfig-r16      DAPS-UplinkPowerConfig-r16                                      </w:t>
      </w:r>
      <w:r w:rsidRPr="00FA0D37">
        <w:rPr>
          <w:color w:val="993366"/>
        </w:rPr>
        <w:t>OPTIONAL</w:t>
      </w:r>
      <w:r w:rsidRPr="00FA0D37">
        <w:t xml:space="preserve">    </w:t>
      </w:r>
      <w:r w:rsidRPr="00FA0D37">
        <w:rPr>
          <w:color w:val="808080"/>
        </w:rPr>
        <w:t>-- Need N</w:t>
      </w:r>
    </w:p>
    <w:p w14:paraId="7432494C" w14:textId="6E594E6C" w:rsidR="00360CB9" w:rsidRPr="00FA0D37" w:rsidRDefault="00394471" w:rsidP="00FA0D37">
      <w:pPr>
        <w:pStyle w:val="PL"/>
      </w:pPr>
      <w:r w:rsidRPr="00FA0D37">
        <w:t xml:space="preserve">    ]]</w:t>
      </w:r>
      <w:r w:rsidR="00360CB9" w:rsidRPr="00FA0D37">
        <w:t>,</w:t>
      </w:r>
    </w:p>
    <w:p w14:paraId="4832CE70" w14:textId="77777777" w:rsidR="00360CB9" w:rsidRPr="00FA0D37" w:rsidRDefault="00360CB9" w:rsidP="00FA0D37">
      <w:pPr>
        <w:pStyle w:val="PL"/>
      </w:pPr>
      <w:r w:rsidRPr="00FA0D37">
        <w:t xml:space="preserve">    [[</w:t>
      </w:r>
    </w:p>
    <w:p w14:paraId="602672D5" w14:textId="1ED01F21" w:rsidR="00360CB9" w:rsidRPr="00FA0D37" w:rsidRDefault="00360CB9" w:rsidP="00FA0D37">
      <w:pPr>
        <w:pStyle w:val="PL"/>
        <w:rPr>
          <w:color w:val="808080"/>
        </w:rPr>
      </w:pPr>
      <w:r w:rsidRPr="00FA0D37">
        <w:t xml:space="preserve">    sl-PathSwitchConfig-r17         SL-PathSwitchConfig-r17                                         </w:t>
      </w:r>
      <w:r w:rsidRPr="00FA0D37">
        <w:rPr>
          <w:color w:val="993366"/>
        </w:rPr>
        <w:t>OPTIONAL</w:t>
      </w:r>
      <w:r w:rsidRPr="00FA0D37">
        <w:t xml:space="preserve">    </w:t>
      </w:r>
      <w:r w:rsidRPr="00FA0D37">
        <w:rPr>
          <w:color w:val="808080"/>
        </w:rPr>
        <w:t xml:space="preserve">-- </w:t>
      </w:r>
      <w:r w:rsidR="000F093A" w:rsidRPr="00FA0D37">
        <w:rPr>
          <w:color w:val="808080"/>
        </w:rPr>
        <w:t xml:space="preserve">Cond </w:t>
      </w:r>
      <w:r w:rsidRPr="00FA0D37">
        <w:rPr>
          <w:color w:val="808080"/>
        </w:rPr>
        <w:t>DirectToIndirect-PathSwitch</w:t>
      </w:r>
    </w:p>
    <w:p w14:paraId="5F6F748D" w14:textId="3E102E8B" w:rsidR="00394471" w:rsidRPr="00FA0D37" w:rsidRDefault="00360CB9" w:rsidP="00FA0D37">
      <w:pPr>
        <w:pStyle w:val="PL"/>
      </w:pPr>
      <w:r w:rsidRPr="00FA0D37">
        <w:t xml:space="preserve">    ]]</w:t>
      </w:r>
    </w:p>
    <w:p w14:paraId="51D737CA" w14:textId="77777777" w:rsidR="00394471" w:rsidRPr="00FA0D37" w:rsidRDefault="00394471" w:rsidP="00FA0D37">
      <w:pPr>
        <w:pStyle w:val="PL"/>
      </w:pPr>
      <w:r w:rsidRPr="00FA0D37">
        <w:t>}</w:t>
      </w:r>
    </w:p>
    <w:p w14:paraId="48840FCE" w14:textId="77777777" w:rsidR="00394471" w:rsidRPr="00FA0D37" w:rsidRDefault="00394471" w:rsidP="00FA0D37">
      <w:pPr>
        <w:pStyle w:val="PL"/>
      </w:pPr>
    </w:p>
    <w:p w14:paraId="0D5F405C" w14:textId="77777777" w:rsidR="00394471" w:rsidRPr="00FA0D37" w:rsidRDefault="00394471" w:rsidP="00FA0D37">
      <w:pPr>
        <w:pStyle w:val="PL"/>
      </w:pPr>
      <w:r w:rsidRPr="00FA0D37">
        <w:t xml:space="preserve">DAPS-UplinkPowerConfig-r16 ::=      </w:t>
      </w:r>
      <w:r w:rsidRPr="00FA0D37">
        <w:rPr>
          <w:color w:val="993366"/>
        </w:rPr>
        <w:t>SEQUENCE</w:t>
      </w:r>
      <w:r w:rsidRPr="00FA0D37">
        <w:t xml:space="preserve"> {</w:t>
      </w:r>
    </w:p>
    <w:p w14:paraId="1A34B9D4" w14:textId="77777777" w:rsidR="00394471" w:rsidRPr="00FA0D37" w:rsidRDefault="00394471" w:rsidP="00FA0D37">
      <w:pPr>
        <w:pStyle w:val="PL"/>
      </w:pPr>
      <w:r w:rsidRPr="00FA0D37">
        <w:t xml:space="preserve">    p-DAPS-Source-r16                   P-Max,</w:t>
      </w:r>
    </w:p>
    <w:p w14:paraId="73C9BA87" w14:textId="77777777" w:rsidR="00394471" w:rsidRPr="00FA0D37" w:rsidRDefault="00394471" w:rsidP="00FA0D37">
      <w:pPr>
        <w:pStyle w:val="PL"/>
      </w:pPr>
      <w:r w:rsidRPr="00FA0D37">
        <w:t xml:space="preserve">    p-DAPS-Target-r16                   P-Max,</w:t>
      </w:r>
    </w:p>
    <w:p w14:paraId="1D05B5F2" w14:textId="77777777" w:rsidR="00394471" w:rsidRPr="00FA0D37" w:rsidRDefault="00394471" w:rsidP="00FA0D37">
      <w:pPr>
        <w:pStyle w:val="PL"/>
      </w:pPr>
      <w:r w:rsidRPr="00FA0D37">
        <w:t xml:space="preserve">    uplinkPowerSharingDAPS-Mode-r16     </w:t>
      </w:r>
      <w:r w:rsidRPr="00FA0D37">
        <w:rPr>
          <w:color w:val="993366"/>
        </w:rPr>
        <w:t>ENUMERATED</w:t>
      </w:r>
      <w:r w:rsidRPr="00FA0D37">
        <w:t xml:space="preserve"> {semi-static-mode1, semi-static-mode2, dynamic }</w:t>
      </w:r>
    </w:p>
    <w:p w14:paraId="7F21C3C6" w14:textId="77777777" w:rsidR="00394471" w:rsidRPr="00FA0D37" w:rsidRDefault="00394471" w:rsidP="00FA0D37">
      <w:pPr>
        <w:pStyle w:val="PL"/>
      </w:pPr>
      <w:r w:rsidRPr="00FA0D37">
        <w:t>}</w:t>
      </w:r>
    </w:p>
    <w:p w14:paraId="4D609258" w14:textId="77777777" w:rsidR="00394471" w:rsidRPr="00FA0D37" w:rsidRDefault="00394471" w:rsidP="00FA0D37">
      <w:pPr>
        <w:pStyle w:val="PL"/>
      </w:pPr>
    </w:p>
    <w:p w14:paraId="0CDB06EC" w14:textId="77777777" w:rsidR="00394471" w:rsidRPr="00FA0D37" w:rsidRDefault="00394471" w:rsidP="00FA0D37">
      <w:pPr>
        <w:pStyle w:val="PL"/>
      </w:pPr>
      <w:r w:rsidRPr="00FA0D37">
        <w:t xml:space="preserve">SCellConfig ::=                     </w:t>
      </w:r>
      <w:r w:rsidRPr="00FA0D37">
        <w:rPr>
          <w:color w:val="993366"/>
        </w:rPr>
        <w:t>SEQUENCE</w:t>
      </w:r>
      <w:r w:rsidRPr="00FA0D37">
        <w:t xml:space="preserve"> {</w:t>
      </w:r>
    </w:p>
    <w:p w14:paraId="49A5541D" w14:textId="77777777" w:rsidR="00394471" w:rsidRPr="00FA0D37" w:rsidRDefault="00394471" w:rsidP="00FA0D37">
      <w:pPr>
        <w:pStyle w:val="PL"/>
      </w:pPr>
      <w:r w:rsidRPr="00FA0D37">
        <w:t xml:space="preserve">    sCellIndex                          SCellIndex,</w:t>
      </w:r>
    </w:p>
    <w:p w14:paraId="6698C835" w14:textId="77777777" w:rsidR="00394471" w:rsidRPr="00FA0D37" w:rsidRDefault="00394471" w:rsidP="00FA0D37">
      <w:pPr>
        <w:pStyle w:val="PL"/>
        <w:rPr>
          <w:color w:val="808080"/>
        </w:rPr>
      </w:pPr>
      <w:r w:rsidRPr="00FA0D37">
        <w:t xml:space="preserve">    sCellConfigCommon                   ServingCellConfigCommon                                     </w:t>
      </w:r>
      <w:r w:rsidRPr="00FA0D37">
        <w:rPr>
          <w:color w:val="993366"/>
        </w:rPr>
        <w:t>OPTIONAL</w:t>
      </w:r>
      <w:r w:rsidRPr="00FA0D37">
        <w:t xml:space="preserve">,   </w:t>
      </w:r>
      <w:r w:rsidRPr="00FA0D37">
        <w:rPr>
          <w:color w:val="808080"/>
        </w:rPr>
        <w:t>-- Cond SCellAdd</w:t>
      </w:r>
    </w:p>
    <w:p w14:paraId="0E4573C5" w14:textId="77777777" w:rsidR="00394471" w:rsidRPr="00FA0D37" w:rsidRDefault="00394471" w:rsidP="00FA0D37">
      <w:pPr>
        <w:pStyle w:val="PL"/>
        <w:rPr>
          <w:color w:val="808080"/>
        </w:rPr>
      </w:pPr>
      <w:r w:rsidRPr="00FA0D37">
        <w:t xml:space="preserve">    sCellConfigDedicated                ServingCellConfig                                           </w:t>
      </w:r>
      <w:r w:rsidRPr="00FA0D37">
        <w:rPr>
          <w:color w:val="993366"/>
        </w:rPr>
        <w:t>OPTIONAL</w:t>
      </w:r>
      <w:r w:rsidRPr="00FA0D37">
        <w:t xml:space="preserve">,   </w:t>
      </w:r>
      <w:r w:rsidRPr="00FA0D37">
        <w:rPr>
          <w:color w:val="808080"/>
        </w:rPr>
        <w:t>-- Cond SCellAddMod</w:t>
      </w:r>
    </w:p>
    <w:p w14:paraId="1977103B" w14:textId="77777777" w:rsidR="00394471" w:rsidRPr="00FA0D37" w:rsidRDefault="00394471" w:rsidP="00FA0D37">
      <w:pPr>
        <w:pStyle w:val="PL"/>
      </w:pPr>
      <w:r w:rsidRPr="00FA0D37">
        <w:t xml:space="preserve">    ...,</w:t>
      </w:r>
    </w:p>
    <w:p w14:paraId="07B65BBD" w14:textId="77777777" w:rsidR="00394471" w:rsidRPr="00FA0D37" w:rsidRDefault="00394471" w:rsidP="00FA0D37">
      <w:pPr>
        <w:pStyle w:val="PL"/>
      </w:pPr>
      <w:r w:rsidRPr="00FA0D37">
        <w:t xml:space="preserve">    [[</w:t>
      </w:r>
    </w:p>
    <w:p w14:paraId="79EA0CE4" w14:textId="77777777" w:rsidR="00394471" w:rsidRPr="00FA0D37" w:rsidRDefault="00394471" w:rsidP="00FA0D37">
      <w:pPr>
        <w:pStyle w:val="PL"/>
        <w:rPr>
          <w:color w:val="808080"/>
        </w:rPr>
      </w:pPr>
      <w:r w:rsidRPr="00FA0D37">
        <w:t xml:space="preserve">    smtc                                SSB-MTC                                                     </w:t>
      </w:r>
      <w:r w:rsidRPr="00FA0D37">
        <w:rPr>
          <w:color w:val="993366"/>
        </w:rPr>
        <w:t>OPTIONAL</w:t>
      </w:r>
      <w:r w:rsidRPr="00FA0D37">
        <w:t xml:space="preserve">    </w:t>
      </w:r>
      <w:r w:rsidRPr="00FA0D37">
        <w:rPr>
          <w:color w:val="808080"/>
        </w:rPr>
        <w:t>-- Need S</w:t>
      </w:r>
    </w:p>
    <w:p w14:paraId="22FD7F9D" w14:textId="77777777" w:rsidR="00394471" w:rsidRPr="00FA0D37" w:rsidRDefault="00394471" w:rsidP="00FA0D37">
      <w:pPr>
        <w:pStyle w:val="PL"/>
      </w:pPr>
      <w:r w:rsidRPr="00FA0D37">
        <w:t xml:space="preserve">    ]],</w:t>
      </w:r>
    </w:p>
    <w:p w14:paraId="72157C61" w14:textId="77777777" w:rsidR="00394471" w:rsidRPr="00FA0D37" w:rsidRDefault="00394471" w:rsidP="00FA0D37">
      <w:pPr>
        <w:pStyle w:val="PL"/>
      </w:pPr>
      <w:r w:rsidRPr="00FA0D37">
        <w:t xml:space="preserve">    [[</w:t>
      </w:r>
    </w:p>
    <w:p w14:paraId="3D5186FB" w14:textId="77777777" w:rsidR="00394471" w:rsidRPr="00FA0D37" w:rsidRDefault="00394471" w:rsidP="00FA0D37">
      <w:pPr>
        <w:pStyle w:val="PL"/>
        <w:rPr>
          <w:color w:val="808080"/>
        </w:rPr>
      </w:pPr>
      <w:r w:rsidRPr="00FA0D37">
        <w:t xml:space="preserve">    sCellState-r16                  </w:t>
      </w:r>
      <w:r w:rsidRPr="00FA0D37">
        <w:rPr>
          <w:color w:val="993366"/>
        </w:rPr>
        <w:t>ENUMERATED</w:t>
      </w:r>
      <w:r w:rsidRPr="00FA0D37">
        <w:t xml:space="preserve"> {activated}                                          </w:t>
      </w:r>
      <w:r w:rsidRPr="00FA0D37">
        <w:rPr>
          <w:color w:val="993366"/>
        </w:rPr>
        <w:t>OPTIONAL</w:t>
      </w:r>
      <w:r w:rsidRPr="00FA0D37">
        <w:t xml:space="preserve">,   </w:t>
      </w:r>
      <w:r w:rsidRPr="00FA0D37">
        <w:rPr>
          <w:color w:val="808080"/>
        </w:rPr>
        <w:t>-- Cond SCellAddSync</w:t>
      </w:r>
    </w:p>
    <w:p w14:paraId="7BB41AD4" w14:textId="20B53577" w:rsidR="00394471" w:rsidRPr="00FA0D37" w:rsidRDefault="00394471" w:rsidP="00FA0D37">
      <w:pPr>
        <w:pStyle w:val="PL"/>
        <w:rPr>
          <w:color w:val="808080"/>
        </w:rPr>
      </w:pPr>
      <w:r w:rsidRPr="00FA0D37">
        <w:t xml:space="preserve">    secondaryDRX-GroupConfig-r16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xml:space="preserve">-- </w:t>
      </w:r>
      <w:r w:rsidR="00E473AB" w:rsidRPr="00FA0D37">
        <w:rPr>
          <w:color w:val="808080"/>
        </w:rPr>
        <w:t>Need S</w:t>
      </w:r>
    </w:p>
    <w:p w14:paraId="2F587AD4" w14:textId="739C3115" w:rsidR="00E616AE" w:rsidRPr="00FA0D37" w:rsidRDefault="00394471" w:rsidP="00FA0D37">
      <w:pPr>
        <w:pStyle w:val="PL"/>
      </w:pPr>
      <w:r w:rsidRPr="00FA0D37">
        <w:t xml:space="preserve">    ]]</w:t>
      </w:r>
      <w:r w:rsidR="00E616AE" w:rsidRPr="00FA0D37">
        <w:t>,</w:t>
      </w:r>
    </w:p>
    <w:p w14:paraId="706CE7F0" w14:textId="77777777" w:rsidR="00E616AE" w:rsidRPr="00FA0D37" w:rsidRDefault="00E616AE" w:rsidP="00FA0D37">
      <w:pPr>
        <w:pStyle w:val="PL"/>
      </w:pPr>
      <w:r w:rsidRPr="00FA0D37">
        <w:t xml:space="preserve">    [[</w:t>
      </w:r>
    </w:p>
    <w:p w14:paraId="4DCA7586" w14:textId="77777777" w:rsidR="00CE29E7" w:rsidRPr="00FA0D37" w:rsidRDefault="00CE29E7" w:rsidP="00FA0D37">
      <w:pPr>
        <w:pStyle w:val="PL"/>
        <w:rPr>
          <w:color w:val="808080"/>
        </w:rPr>
      </w:pPr>
      <w:r w:rsidRPr="00FA0D37">
        <w:t xml:space="preserve">    preConfGapStatus-r17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(maxNrofGapId-r17))                           </w:t>
      </w:r>
      <w:r w:rsidRPr="00FA0D37">
        <w:rPr>
          <w:color w:val="993366"/>
        </w:rPr>
        <w:t>OPTIONAL</w:t>
      </w:r>
      <w:r w:rsidRPr="00FA0D37">
        <w:t xml:space="preserve">,   </w:t>
      </w:r>
      <w:r w:rsidRPr="00FA0D37">
        <w:rPr>
          <w:color w:val="808080"/>
        </w:rPr>
        <w:t>-- Cond PreConfigMG</w:t>
      </w:r>
    </w:p>
    <w:p w14:paraId="59FA509F" w14:textId="39FE17D2" w:rsidR="0078452E" w:rsidRPr="00FA0D37" w:rsidRDefault="0078452E" w:rsidP="00FA0D37">
      <w:pPr>
        <w:pStyle w:val="PL"/>
        <w:rPr>
          <w:color w:val="808080"/>
        </w:rPr>
      </w:pPr>
      <w:r w:rsidRPr="00FA0D37">
        <w:t xml:space="preserve">    goodServingCellEvaluationBFD-r17 GoodServingCellEvaluation-r17                                  </w:t>
      </w:r>
      <w:r w:rsidRPr="00FA0D37">
        <w:rPr>
          <w:color w:val="993366"/>
        </w:rPr>
        <w:t>OPTIONAL</w:t>
      </w:r>
      <w:r w:rsidR="00214323" w:rsidRPr="00FA0D37">
        <w:t>,</w:t>
      </w:r>
      <w:r w:rsidRPr="00FA0D37">
        <w:t xml:space="preserve">   </w:t>
      </w:r>
      <w:r w:rsidRPr="00FA0D37">
        <w:rPr>
          <w:color w:val="808080"/>
        </w:rPr>
        <w:t>-- Need R</w:t>
      </w:r>
    </w:p>
    <w:p w14:paraId="1E7ED59B" w14:textId="13298905" w:rsidR="00214323" w:rsidRPr="00FA0D37" w:rsidRDefault="00214323" w:rsidP="00FA0D37">
      <w:pPr>
        <w:pStyle w:val="PL"/>
        <w:rPr>
          <w:color w:val="808080"/>
        </w:rPr>
      </w:pPr>
      <w:r w:rsidRPr="00FA0D37">
        <w:t xml:space="preserve">    sCell</w:t>
      </w:r>
      <w:r w:rsidR="004D393F" w:rsidRPr="00FA0D37">
        <w:t>SIB20</w:t>
      </w:r>
      <w:r w:rsidRPr="00FA0D37">
        <w:t>-r17                   SetupRelease { SCell</w:t>
      </w:r>
      <w:r w:rsidR="004D393F" w:rsidRPr="00FA0D37">
        <w:t>SIB20</w:t>
      </w:r>
      <w:r w:rsidRPr="00FA0D37">
        <w:t xml:space="preserve">-r17 }                                </w:t>
      </w:r>
      <w:r w:rsidRPr="00FA0D37">
        <w:rPr>
          <w:color w:val="993366"/>
        </w:rPr>
        <w:t>OPTIONAL</w:t>
      </w:r>
      <w:r w:rsidRPr="00FA0D37">
        <w:t xml:space="preserve">    </w:t>
      </w:r>
      <w:r w:rsidRPr="00FA0D37">
        <w:rPr>
          <w:color w:val="808080"/>
        </w:rPr>
        <w:t>-- Need M</w:t>
      </w:r>
    </w:p>
    <w:p w14:paraId="0ADF1640" w14:textId="366E2E44" w:rsidR="00BD2874" w:rsidRPr="00FA0D37" w:rsidRDefault="00E616AE" w:rsidP="00FA0D37">
      <w:pPr>
        <w:pStyle w:val="PL"/>
      </w:pPr>
      <w:r w:rsidRPr="00FA0D37">
        <w:t xml:space="preserve">    ]]</w:t>
      </w:r>
      <w:r w:rsidR="00BD2874" w:rsidRPr="00FA0D37">
        <w:t>,</w:t>
      </w:r>
    </w:p>
    <w:p w14:paraId="40D91EE9" w14:textId="1E2AAEE3" w:rsidR="00E616AE" w:rsidRPr="00FA0D37" w:rsidRDefault="00BD2874" w:rsidP="00FA0D37">
      <w:pPr>
        <w:pStyle w:val="PL"/>
      </w:pPr>
      <w:r w:rsidRPr="00FA0D37">
        <w:t xml:space="preserve">    [[</w:t>
      </w:r>
    </w:p>
    <w:p w14:paraId="1B5920B6" w14:textId="053ABC53" w:rsidR="00BD2874" w:rsidRPr="00FA0D37" w:rsidRDefault="00BD2874" w:rsidP="00FA0D37">
      <w:pPr>
        <w:pStyle w:val="PL"/>
        <w:rPr>
          <w:color w:val="808080"/>
        </w:rPr>
      </w:pPr>
      <w:r w:rsidRPr="00FA0D37">
        <w:t xml:space="preserve">    plmn-IdentityInfoList-r17       SetupRelease {PLMN-IdentityInfoList}                            </w:t>
      </w:r>
      <w:r w:rsidRPr="00FA0D37">
        <w:rPr>
          <w:color w:val="993366"/>
        </w:rPr>
        <w:t>OPTIONAL</w:t>
      </w:r>
      <w:r w:rsidRPr="00FA0D37">
        <w:t xml:space="preserve">,   </w:t>
      </w:r>
      <w:r w:rsidRPr="00FA0D37">
        <w:rPr>
          <w:color w:val="808080"/>
        </w:rPr>
        <w:t>-- Cond SCellSIB20-Opt</w:t>
      </w:r>
    </w:p>
    <w:p w14:paraId="4548AE93" w14:textId="322AA11C" w:rsidR="00BD2874" w:rsidRPr="00FA0D37" w:rsidRDefault="00BD2874" w:rsidP="00FA0D37">
      <w:pPr>
        <w:pStyle w:val="PL"/>
        <w:rPr>
          <w:color w:val="808080"/>
        </w:rPr>
      </w:pPr>
      <w:r w:rsidRPr="00FA0D37">
        <w:t xml:space="preserve">    npn-IdentityInfoList-r17        SetupRelease {NPN-IdentityInfoList-r16}                         </w:t>
      </w:r>
      <w:r w:rsidRPr="00FA0D37">
        <w:rPr>
          <w:color w:val="993366"/>
        </w:rPr>
        <w:t>OPTIONAL</w:t>
      </w:r>
      <w:r w:rsidRPr="00FA0D37">
        <w:t xml:space="preserve">    </w:t>
      </w:r>
      <w:r w:rsidRPr="00FA0D37">
        <w:rPr>
          <w:color w:val="808080"/>
        </w:rPr>
        <w:t>-- Cond SCellSIB20-Opt</w:t>
      </w:r>
    </w:p>
    <w:p w14:paraId="233D531E" w14:textId="66E5BB41" w:rsidR="00360CB9" w:rsidRPr="00FA0D37" w:rsidRDefault="00BD2874" w:rsidP="00FA0D37">
      <w:pPr>
        <w:pStyle w:val="PL"/>
      </w:pPr>
      <w:r w:rsidRPr="00FA0D37">
        <w:lastRenderedPageBreak/>
        <w:t xml:space="preserve">    ]]</w:t>
      </w:r>
    </w:p>
    <w:p w14:paraId="47763A71" w14:textId="5B09D500" w:rsidR="00394471" w:rsidRPr="00FA0D37" w:rsidRDefault="00394471" w:rsidP="00FA0D37">
      <w:pPr>
        <w:pStyle w:val="PL"/>
      </w:pPr>
      <w:r w:rsidRPr="00FA0D37">
        <w:t>}</w:t>
      </w:r>
    </w:p>
    <w:p w14:paraId="3793D461" w14:textId="2F8E2D0F" w:rsidR="00360CB9" w:rsidRPr="00FA0D37" w:rsidRDefault="00360CB9" w:rsidP="00FA0D37">
      <w:pPr>
        <w:pStyle w:val="PL"/>
      </w:pPr>
    </w:p>
    <w:p w14:paraId="2B014318" w14:textId="42BC0225" w:rsidR="00214323" w:rsidRPr="00FA0D37" w:rsidRDefault="00214323" w:rsidP="00FA0D37">
      <w:pPr>
        <w:pStyle w:val="PL"/>
      </w:pPr>
      <w:r w:rsidRPr="00FA0D37">
        <w:t xml:space="preserve">SCellSIB20-r17 ::= </w:t>
      </w:r>
      <w:r w:rsidRPr="00FA0D37">
        <w:rPr>
          <w:color w:val="993366"/>
        </w:rPr>
        <w:t>OCTET</w:t>
      </w:r>
      <w:r w:rsidRPr="00FA0D37">
        <w:t xml:space="preserve"> </w:t>
      </w:r>
      <w:r w:rsidRPr="00FA0D37">
        <w:rPr>
          <w:color w:val="993366"/>
        </w:rPr>
        <w:t>STRING</w:t>
      </w:r>
      <w:r w:rsidRPr="00FA0D37">
        <w:t xml:space="preserve"> (CONTAINING SystemInformation)</w:t>
      </w:r>
    </w:p>
    <w:p w14:paraId="7C6367F2" w14:textId="34C548EA" w:rsidR="00214323" w:rsidRPr="00FA0D37" w:rsidRDefault="00214323" w:rsidP="00FA0D37">
      <w:pPr>
        <w:pStyle w:val="PL"/>
      </w:pPr>
    </w:p>
    <w:p w14:paraId="3FF5AFB7" w14:textId="77777777" w:rsidR="00DB6B82" w:rsidRPr="00FA0D37" w:rsidRDefault="00DB6B82" w:rsidP="00FA0D37">
      <w:pPr>
        <w:pStyle w:val="PL"/>
      </w:pPr>
      <w:r w:rsidRPr="00FA0D37">
        <w:t xml:space="preserve">DeactivatedSCG-Config-r17 ::=       </w:t>
      </w:r>
      <w:r w:rsidRPr="00FA0D37">
        <w:rPr>
          <w:color w:val="993366"/>
        </w:rPr>
        <w:t>SEQUENCE</w:t>
      </w:r>
      <w:r w:rsidRPr="00FA0D37">
        <w:t xml:space="preserve"> {</w:t>
      </w:r>
    </w:p>
    <w:p w14:paraId="4F62E169" w14:textId="171E5DD5" w:rsidR="00DB6B82" w:rsidRPr="00FA0D37" w:rsidRDefault="00DB6B82" w:rsidP="00FA0D37">
      <w:pPr>
        <w:pStyle w:val="PL"/>
      </w:pPr>
      <w:r w:rsidRPr="00FA0D37">
        <w:t xml:space="preserve">    bfd-and-RLM</w:t>
      </w:r>
      <w:r w:rsidR="00D7654A" w:rsidRPr="00FA0D37">
        <w:t>-r17</w:t>
      </w:r>
      <w:r w:rsidRPr="00FA0D37">
        <w:t xml:space="preserve">                     </w:t>
      </w:r>
      <w:r w:rsidRPr="00FA0D37">
        <w:rPr>
          <w:color w:val="993366"/>
        </w:rPr>
        <w:t>BOOLEAN</w:t>
      </w:r>
      <w:r w:rsidRPr="00FA0D37">
        <w:t>,</w:t>
      </w:r>
    </w:p>
    <w:p w14:paraId="1F6E627F" w14:textId="2D64A558" w:rsidR="00DB6B82" w:rsidRPr="00FA0D37" w:rsidRDefault="00DB6B82" w:rsidP="00FA0D37">
      <w:pPr>
        <w:pStyle w:val="PL"/>
      </w:pPr>
      <w:r w:rsidRPr="00FA0D37">
        <w:t xml:space="preserve">    ...</w:t>
      </w:r>
    </w:p>
    <w:p w14:paraId="68C56472" w14:textId="77777777" w:rsidR="00DB6B82" w:rsidRPr="00FA0D37" w:rsidRDefault="00DB6B82" w:rsidP="00FA0D37">
      <w:pPr>
        <w:pStyle w:val="PL"/>
      </w:pPr>
      <w:r w:rsidRPr="00FA0D37">
        <w:t>}</w:t>
      </w:r>
    </w:p>
    <w:p w14:paraId="271DDF8E" w14:textId="77777777" w:rsidR="00345BEA" w:rsidRPr="00FA0D37" w:rsidRDefault="00345BEA" w:rsidP="00FA0D37">
      <w:pPr>
        <w:pStyle w:val="PL"/>
      </w:pPr>
    </w:p>
    <w:p w14:paraId="40160208" w14:textId="77777777" w:rsidR="00345BEA" w:rsidRPr="00FA0D37" w:rsidRDefault="00345BEA" w:rsidP="00FA0D37">
      <w:pPr>
        <w:pStyle w:val="PL"/>
      </w:pPr>
      <w:r w:rsidRPr="00FA0D37">
        <w:t xml:space="preserve">GoodServingCellEvaluation-r17 ::=       </w:t>
      </w:r>
      <w:r w:rsidRPr="00FA0D37">
        <w:rPr>
          <w:color w:val="993366"/>
        </w:rPr>
        <w:t>SEQUENCE</w:t>
      </w:r>
      <w:r w:rsidRPr="00FA0D37">
        <w:t xml:space="preserve"> {</w:t>
      </w:r>
    </w:p>
    <w:p w14:paraId="162EC3A5" w14:textId="17BF4AF3" w:rsidR="00345BEA" w:rsidRPr="00FA0D37" w:rsidRDefault="00345BEA" w:rsidP="00FA0D37">
      <w:pPr>
        <w:pStyle w:val="PL"/>
        <w:rPr>
          <w:color w:val="808080"/>
        </w:rPr>
      </w:pPr>
      <w:r w:rsidRPr="00FA0D37">
        <w:t xml:space="preserve">    offset-r17                              </w:t>
      </w:r>
      <w:r w:rsidRPr="00FA0D37">
        <w:rPr>
          <w:color w:val="993366"/>
        </w:rPr>
        <w:t>ENUMERATED</w:t>
      </w:r>
      <w:r w:rsidRPr="00FA0D37">
        <w:t xml:space="preserve"> {db2, db4, db6, db8}</w:t>
      </w:r>
      <w:r w:rsidR="00827A1B" w:rsidRPr="00FA0D37">
        <w:t xml:space="preserve">                         </w:t>
      </w:r>
      <w:r w:rsidR="00827A1B" w:rsidRPr="00FA0D37">
        <w:rPr>
          <w:color w:val="993366"/>
        </w:rPr>
        <w:t>OPTIONAL</w:t>
      </w:r>
      <w:r w:rsidR="00827A1B" w:rsidRPr="00FA0D37">
        <w:t xml:space="preserve">   </w:t>
      </w:r>
      <w:r w:rsidR="00827A1B" w:rsidRPr="00FA0D37">
        <w:rPr>
          <w:color w:val="808080"/>
        </w:rPr>
        <w:t xml:space="preserve">-- Need </w:t>
      </w:r>
      <w:r w:rsidR="00827A1B" w:rsidRPr="00FA0D37">
        <w:rPr>
          <w:rFonts w:eastAsia="等线"/>
          <w:color w:val="808080"/>
        </w:rPr>
        <w:t>S</w:t>
      </w:r>
    </w:p>
    <w:p w14:paraId="1457C3DD" w14:textId="77777777" w:rsidR="00345BEA" w:rsidRPr="00FA0D37" w:rsidRDefault="00345BEA" w:rsidP="00FA0D37">
      <w:pPr>
        <w:pStyle w:val="PL"/>
      </w:pPr>
      <w:r w:rsidRPr="00FA0D37">
        <w:t>}</w:t>
      </w:r>
    </w:p>
    <w:p w14:paraId="67F9DDFA" w14:textId="579BABA1" w:rsidR="00345BEA" w:rsidRPr="00FA0D37" w:rsidRDefault="00345BEA" w:rsidP="00FA0D37">
      <w:pPr>
        <w:pStyle w:val="PL"/>
      </w:pPr>
    </w:p>
    <w:p w14:paraId="3B668835" w14:textId="77777777" w:rsidR="00345BEA" w:rsidRPr="00FA0D37" w:rsidRDefault="00345BEA" w:rsidP="00FA0D37">
      <w:pPr>
        <w:pStyle w:val="PL"/>
      </w:pPr>
      <w:bookmarkStart w:id="927" w:name="_Hlk101256006"/>
      <w:r w:rsidRPr="00FA0D37">
        <w:t xml:space="preserve">SL-PathSwitchConfig-r17 ::=         </w:t>
      </w:r>
      <w:r w:rsidRPr="00FA0D37">
        <w:rPr>
          <w:color w:val="993366"/>
        </w:rPr>
        <w:t>SEQUENCE</w:t>
      </w:r>
      <w:r w:rsidRPr="00FA0D37">
        <w:t xml:space="preserve"> {</w:t>
      </w:r>
    </w:p>
    <w:p w14:paraId="67841F89" w14:textId="6D532C33" w:rsidR="00345BEA" w:rsidRPr="00FA0D37" w:rsidRDefault="00345BEA" w:rsidP="00FA0D37">
      <w:pPr>
        <w:pStyle w:val="PL"/>
      </w:pPr>
      <w:r w:rsidRPr="00FA0D37">
        <w:t xml:space="preserve">    targetRelayUE</w:t>
      </w:r>
      <w:r w:rsidR="005D44A8" w:rsidRPr="00FA0D37">
        <w:t>-</w:t>
      </w:r>
      <w:r w:rsidRPr="00FA0D37">
        <w:t>Identity-r17          SL-SourceIdentity-r17,</w:t>
      </w:r>
    </w:p>
    <w:p w14:paraId="52BAB325" w14:textId="278E0CBA" w:rsidR="00345BEA" w:rsidRPr="00FA0D37" w:rsidRDefault="00345BEA" w:rsidP="00FA0D37">
      <w:pPr>
        <w:pStyle w:val="PL"/>
      </w:pPr>
      <w:r w:rsidRPr="00FA0D37">
        <w:t xml:space="preserve">    </w:t>
      </w:r>
      <w:r w:rsidR="00FA506A" w:rsidRPr="00FA0D37">
        <w:t>t</w:t>
      </w:r>
      <w:r w:rsidR="00881009" w:rsidRPr="00FA0D37">
        <w:t>420</w:t>
      </w:r>
      <w:r w:rsidRPr="00FA0D37">
        <w:t xml:space="preserve">-r17                            </w:t>
      </w:r>
      <w:r w:rsidRPr="00FA0D37">
        <w:rPr>
          <w:color w:val="993366"/>
        </w:rPr>
        <w:t>ENUMERATED</w:t>
      </w:r>
      <w:r w:rsidRPr="00FA0D37">
        <w:t xml:space="preserve"> {ms50, ms100, ms150, ms200, ms500, ms1000, ms2000, ms10000},</w:t>
      </w:r>
    </w:p>
    <w:p w14:paraId="5F776D41" w14:textId="77777777" w:rsidR="00345BEA" w:rsidRPr="00FA0D37" w:rsidRDefault="00345BEA" w:rsidP="00FA0D37">
      <w:pPr>
        <w:pStyle w:val="PL"/>
      </w:pPr>
      <w:r w:rsidRPr="00FA0D37">
        <w:t xml:space="preserve">    ...</w:t>
      </w:r>
    </w:p>
    <w:p w14:paraId="03A73627" w14:textId="77777777" w:rsidR="00345BEA" w:rsidRPr="00FA0D37" w:rsidRDefault="00345BEA" w:rsidP="00FA0D37">
      <w:pPr>
        <w:pStyle w:val="PL"/>
      </w:pPr>
      <w:r w:rsidRPr="00FA0D37">
        <w:t>}</w:t>
      </w:r>
    </w:p>
    <w:p w14:paraId="0BA04F0F" w14:textId="77777777" w:rsidR="00974104" w:rsidRPr="00FA0D37" w:rsidRDefault="00974104" w:rsidP="00FA0D37">
      <w:pPr>
        <w:pStyle w:val="PL"/>
      </w:pPr>
    </w:p>
    <w:p w14:paraId="200599CA" w14:textId="77777777" w:rsidR="00974104" w:rsidRPr="00FA0D37" w:rsidRDefault="00974104" w:rsidP="00FA0D37">
      <w:pPr>
        <w:pStyle w:val="PL"/>
      </w:pPr>
      <w:r w:rsidRPr="00FA0D37">
        <w:t xml:space="preserve">IAB-ResourceConfig-r17 ::=          </w:t>
      </w:r>
      <w:r w:rsidRPr="00FA0D37">
        <w:rPr>
          <w:color w:val="993366"/>
        </w:rPr>
        <w:t>SEQUENCE</w:t>
      </w:r>
      <w:r w:rsidRPr="00FA0D37">
        <w:t xml:space="preserve"> {</w:t>
      </w:r>
    </w:p>
    <w:p w14:paraId="11E99BB9" w14:textId="77777777" w:rsidR="00974104" w:rsidRPr="00FA0D37" w:rsidRDefault="00974104" w:rsidP="00FA0D37">
      <w:pPr>
        <w:pStyle w:val="PL"/>
      </w:pPr>
      <w:r w:rsidRPr="00FA0D37">
        <w:t xml:space="preserve">    iab-ResourceConfigID-r17            IAB-ResourceConfigID-r17,</w:t>
      </w:r>
    </w:p>
    <w:p w14:paraId="4A07CAAB" w14:textId="77777777" w:rsidR="00974104" w:rsidRPr="00FA0D37" w:rsidRDefault="00974104" w:rsidP="00FA0D37">
      <w:pPr>
        <w:pStyle w:val="PL"/>
        <w:rPr>
          <w:color w:val="808080"/>
        </w:rPr>
      </w:pPr>
      <w:r w:rsidRPr="00FA0D37">
        <w:t xml:space="preserve">    slotList-r17                        </w:t>
      </w:r>
      <w:r w:rsidRPr="00FA0D37">
        <w:rPr>
          <w:color w:val="993366"/>
        </w:rPr>
        <w:t>SEQUENCE</w:t>
      </w:r>
      <w:r w:rsidRPr="00FA0D37">
        <w:t xml:space="preserve"> (</w:t>
      </w:r>
      <w:r w:rsidRPr="00FA0D37">
        <w:rPr>
          <w:color w:val="993366"/>
        </w:rPr>
        <w:t>SIZE</w:t>
      </w:r>
      <w:r w:rsidRPr="00FA0D37">
        <w:t xml:space="preserve"> (1..5120))</w:t>
      </w:r>
      <w:r w:rsidRPr="00FA0D37">
        <w:rPr>
          <w:color w:val="993366"/>
        </w:rPr>
        <w:t xml:space="preserve"> OF</w:t>
      </w:r>
      <w:r w:rsidRPr="00FA0D37">
        <w:t xml:space="preserve"> </w:t>
      </w:r>
      <w:r w:rsidRPr="00FA0D37">
        <w:rPr>
          <w:color w:val="993366"/>
        </w:rPr>
        <w:t>INTEGER</w:t>
      </w:r>
      <w:r w:rsidRPr="00FA0D37">
        <w:t xml:space="preserve"> (0..5119)                           </w:t>
      </w:r>
      <w:r w:rsidRPr="00FA0D37">
        <w:rPr>
          <w:color w:val="993366"/>
        </w:rPr>
        <w:t>OPTIONAL</w:t>
      </w:r>
      <w:r w:rsidRPr="00FA0D37">
        <w:t xml:space="preserve">,    </w:t>
      </w:r>
      <w:r w:rsidRPr="00FA0D37">
        <w:rPr>
          <w:color w:val="808080"/>
        </w:rPr>
        <w:t>-- Need M</w:t>
      </w:r>
    </w:p>
    <w:p w14:paraId="27F6E062" w14:textId="77777777" w:rsidR="00974104" w:rsidRPr="00FA0D37" w:rsidRDefault="00974104" w:rsidP="00FA0D37">
      <w:pPr>
        <w:pStyle w:val="PL"/>
        <w:rPr>
          <w:color w:val="808080"/>
        </w:rPr>
      </w:pPr>
      <w:r w:rsidRPr="00FA0D37">
        <w:t xml:space="preserve">    periodicitySlotList-r17             </w:t>
      </w:r>
      <w:r w:rsidRPr="00FA0D37">
        <w:rPr>
          <w:color w:val="993366"/>
        </w:rPr>
        <w:t>ENUMERATED</w:t>
      </w:r>
      <w:r w:rsidRPr="00FA0D37">
        <w:t xml:space="preserve"> {ms0p5, ms0p625, ms1, ms1p25, ms2, ms2p5, ms5, ms10, ms20, ms40, ms80, ms160}     </w:t>
      </w:r>
      <w:r w:rsidRPr="00FA0D37">
        <w:rPr>
          <w:color w:val="993366"/>
        </w:rPr>
        <w:t>OPTIONAL</w:t>
      </w:r>
      <w:r w:rsidRPr="00FA0D37">
        <w:t xml:space="preserve">,    </w:t>
      </w:r>
      <w:r w:rsidRPr="00FA0D37">
        <w:rPr>
          <w:color w:val="808080"/>
        </w:rPr>
        <w:t>-- Need M</w:t>
      </w:r>
    </w:p>
    <w:p w14:paraId="450AD669" w14:textId="77777777" w:rsidR="00974104" w:rsidRPr="00FA0D37" w:rsidRDefault="00974104" w:rsidP="00FA0D37">
      <w:pPr>
        <w:pStyle w:val="PL"/>
        <w:rPr>
          <w:color w:val="808080"/>
        </w:rPr>
      </w:pPr>
      <w:r w:rsidRPr="00FA0D37">
        <w:t xml:space="preserve">    slotListSubcarrierSpacing-r17       SubcarrierSpacing                                                        </w:t>
      </w:r>
      <w:r w:rsidRPr="00FA0D37">
        <w:rPr>
          <w:color w:val="993366"/>
        </w:rPr>
        <w:t>OPTIONAL</w:t>
      </w:r>
      <w:r w:rsidRPr="00FA0D37">
        <w:t xml:space="preserve">,    </w:t>
      </w:r>
      <w:r w:rsidRPr="00FA0D37">
        <w:rPr>
          <w:color w:val="808080"/>
        </w:rPr>
        <w:t>-- Need M</w:t>
      </w:r>
    </w:p>
    <w:p w14:paraId="4BD04692" w14:textId="77777777" w:rsidR="00974104" w:rsidRPr="00FA0D37" w:rsidRDefault="00974104" w:rsidP="00FA0D37">
      <w:pPr>
        <w:pStyle w:val="PL"/>
      </w:pPr>
      <w:r w:rsidRPr="00FA0D37">
        <w:t xml:space="preserve">    ...</w:t>
      </w:r>
    </w:p>
    <w:p w14:paraId="1030335F" w14:textId="77777777" w:rsidR="00974104" w:rsidRPr="00FA0D37" w:rsidRDefault="00974104" w:rsidP="00FA0D37">
      <w:pPr>
        <w:pStyle w:val="PL"/>
      </w:pPr>
      <w:r w:rsidRPr="00FA0D37">
        <w:t>}</w:t>
      </w:r>
    </w:p>
    <w:p w14:paraId="4D33AB3A" w14:textId="77777777" w:rsidR="00974104" w:rsidRPr="00FA0D37" w:rsidRDefault="00974104" w:rsidP="00FA0D37">
      <w:pPr>
        <w:pStyle w:val="PL"/>
      </w:pPr>
      <w:r w:rsidRPr="00FA0D37">
        <w:t xml:space="preserve">IAB-ResourceConfigID-r17 ::=        </w:t>
      </w:r>
      <w:r w:rsidRPr="00FA0D37">
        <w:rPr>
          <w:color w:val="993366"/>
        </w:rPr>
        <w:t>INTEGER</w:t>
      </w:r>
      <w:r w:rsidRPr="00FA0D37">
        <w:t>(0..maxNrofIABResourceConfig-1-r17)</w:t>
      </w:r>
    </w:p>
    <w:p w14:paraId="0A141476" w14:textId="3125865D" w:rsidR="00345BEA" w:rsidRPr="00FA0D37" w:rsidRDefault="00345BEA" w:rsidP="00FA0D37">
      <w:pPr>
        <w:pStyle w:val="PL"/>
      </w:pPr>
    </w:p>
    <w:p w14:paraId="20C35A5B" w14:textId="3E03AC13" w:rsidR="006C69F1" w:rsidRPr="00FA0D37" w:rsidRDefault="006C69F1" w:rsidP="00FA0D37">
      <w:pPr>
        <w:pStyle w:val="PL"/>
      </w:pPr>
      <w:r w:rsidRPr="00FA0D37">
        <w:t xml:space="preserve">ReportUplinkTxDirectCurrentMoreCarrier-r17 ::= </w:t>
      </w:r>
      <w:r w:rsidRPr="00FA0D37">
        <w:rPr>
          <w:color w:val="993366"/>
        </w:rPr>
        <w:t>SEQUENCE</w:t>
      </w:r>
      <w:r w:rsidRPr="00FA0D37">
        <w:t xml:space="preserve"> (</w:t>
      </w:r>
      <w:r w:rsidRPr="00FA0D37">
        <w:rPr>
          <w:color w:val="993366"/>
        </w:rPr>
        <w:t>SIZE</w:t>
      </w:r>
      <w:r w:rsidRPr="00FA0D37">
        <w:t>(1.. maxSimultaneousBands))</w:t>
      </w:r>
      <w:r w:rsidRPr="00FA0D37">
        <w:rPr>
          <w:color w:val="993366"/>
        </w:rPr>
        <w:t xml:space="preserve"> OF</w:t>
      </w:r>
      <w:r w:rsidRPr="00FA0D37">
        <w:t xml:space="preserve"> IntraBandCC-CombinationReqList-r17</w:t>
      </w:r>
    </w:p>
    <w:p w14:paraId="016E17F9" w14:textId="77777777" w:rsidR="006C69F1" w:rsidRPr="00FA0D37" w:rsidRDefault="006C69F1" w:rsidP="00FA0D37">
      <w:pPr>
        <w:pStyle w:val="PL"/>
      </w:pPr>
    </w:p>
    <w:p w14:paraId="779A66CC" w14:textId="02838321" w:rsidR="006C69F1" w:rsidRPr="00FA0D37" w:rsidRDefault="006C69F1" w:rsidP="00FA0D37">
      <w:pPr>
        <w:pStyle w:val="PL"/>
      </w:pPr>
      <w:r w:rsidRPr="00FA0D37">
        <w:t xml:space="preserve">IntraBandCC-CombinationReqList-r17::=   </w:t>
      </w:r>
      <w:r w:rsidRPr="00FA0D37">
        <w:rPr>
          <w:color w:val="993366"/>
        </w:rPr>
        <w:t>SEQUENCE</w:t>
      </w:r>
      <w:r w:rsidRPr="00FA0D37">
        <w:t xml:space="preserve"> {</w:t>
      </w:r>
    </w:p>
    <w:p w14:paraId="379C61AF" w14:textId="2E6202D8" w:rsidR="006C69F1" w:rsidRPr="00FA0D37" w:rsidRDefault="006C69F1" w:rsidP="00FA0D37">
      <w:pPr>
        <w:pStyle w:val="PL"/>
      </w:pPr>
      <w:r w:rsidRPr="00FA0D37">
        <w:t xml:space="preserve">    servCellIndexList-r17                   </w:t>
      </w:r>
      <w:r w:rsidRPr="00FA0D37">
        <w:rPr>
          <w:color w:val="993366"/>
        </w:rPr>
        <w:t>SEQUENCE</w:t>
      </w:r>
      <w:r w:rsidRPr="00FA0D37">
        <w:t xml:space="preserve"> (</w:t>
      </w:r>
      <w:r w:rsidRPr="00FA0D37">
        <w:rPr>
          <w:color w:val="993366"/>
        </w:rPr>
        <w:t>SIZE</w:t>
      </w:r>
      <w:r w:rsidRPr="00FA0D37">
        <w:t>(1.. maxNrofServingCells))</w:t>
      </w:r>
      <w:r w:rsidRPr="00FA0D37">
        <w:rPr>
          <w:color w:val="993366"/>
        </w:rPr>
        <w:t xml:space="preserve"> OF</w:t>
      </w:r>
      <w:r w:rsidRPr="00FA0D37">
        <w:t xml:space="preserve"> ServCellIndex,</w:t>
      </w:r>
    </w:p>
    <w:p w14:paraId="705203A8" w14:textId="36408AD4" w:rsidR="006C69F1" w:rsidRPr="00FA0D37" w:rsidRDefault="006C69F1" w:rsidP="00FA0D37">
      <w:pPr>
        <w:pStyle w:val="PL"/>
      </w:pPr>
      <w:r w:rsidRPr="00FA0D37">
        <w:t xml:space="preserve">    cc-CombinationList-r17                  </w:t>
      </w:r>
      <w:r w:rsidRPr="00FA0D37">
        <w:rPr>
          <w:color w:val="993366"/>
        </w:rPr>
        <w:t>SEQUENCE</w:t>
      </w:r>
      <w:r w:rsidRPr="00FA0D37">
        <w:t xml:space="preserve"> (</w:t>
      </w:r>
      <w:r w:rsidRPr="00FA0D37">
        <w:rPr>
          <w:color w:val="993366"/>
        </w:rPr>
        <w:t>SIZE</w:t>
      </w:r>
      <w:r w:rsidRPr="00FA0D37">
        <w:t>(1.. maxNrofReqComDC-Location-r17))</w:t>
      </w:r>
      <w:r w:rsidRPr="00FA0D37">
        <w:rPr>
          <w:color w:val="993366"/>
        </w:rPr>
        <w:t xml:space="preserve"> OF</w:t>
      </w:r>
      <w:r w:rsidRPr="00FA0D37">
        <w:t xml:space="preserve"> IntraBandCC-Combination-r17</w:t>
      </w:r>
    </w:p>
    <w:p w14:paraId="15633F97" w14:textId="1FEFF4A9" w:rsidR="006C69F1" w:rsidRPr="00FA0D37" w:rsidRDefault="006C69F1" w:rsidP="00FA0D37">
      <w:pPr>
        <w:pStyle w:val="PL"/>
      </w:pPr>
      <w:r w:rsidRPr="00FA0D37">
        <w:t>}</w:t>
      </w:r>
    </w:p>
    <w:p w14:paraId="1B8B4B90" w14:textId="77777777" w:rsidR="006C69F1" w:rsidRPr="00FA0D37" w:rsidRDefault="006C69F1" w:rsidP="00FA0D37">
      <w:pPr>
        <w:pStyle w:val="PL"/>
      </w:pPr>
    </w:p>
    <w:p w14:paraId="49DEA6A2" w14:textId="0F8A8E11" w:rsidR="006C69F1" w:rsidRPr="00FA0D37" w:rsidRDefault="006C69F1" w:rsidP="00FA0D37">
      <w:pPr>
        <w:pStyle w:val="PL"/>
      </w:pPr>
      <w:r w:rsidRPr="00FA0D37">
        <w:t xml:space="preserve">IntraBandCC-Combination-r17::=      </w:t>
      </w:r>
      <w:r w:rsidRPr="00FA0D37">
        <w:rPr>
          <w:color w:val="993366"/>
        </w:rPr>
        <w:t>SEQUENCE</w:t>
      </w:r>
      <w:r w:rsidRPr="00FA0D37">
        <w:t xml:space="preserve"> (</w:t>
      </w:r>
      <w:r w:rsidRPr="00FA0D37">
        <w:rPr>
          <w:color w:val="993366"/>
        </w:rPr>
        <w:t>SIZE</w:t>
      </w:r>
      <w:r w:rsidRPr="00FA0D37">
        <w:t>(1.. maxNrofServingCells))</w:t>
      </w:r>
      <w:r w:rsidRPr="00FA0D37">
        <w:rPr>
          <w:color w:val="993366"/>
        </w:rPr>
        <w:t xml:space="preserve"> OF</w:t>
      </w:r>
      <w:r w:rsidRPr="00FA0D37">
        <w:t xml:space="preserve"> CC-State-r17</w:t>
      </w:r>
    </w:p>
    <w:p w14:paraId="7DAB6E16" w14:textId="77777777" w:rsidR="006C69F1" w:rsidRPr="00FA0D37" w:rsidRDefault="006C69F1" w:rsidP="00FA0D37">
      <w:pPr>
        <w:pStyle w:val="PL"/>
      </w:pPr>
    </w:p>
    <w:p w14:paraId="34AB4F02" w14:textId="0903F452" w:rsidR="006C69F1" w:rsidRPr="00FA0D37" w:rsidRDefault="006C69F1" w:rsidP="00FA0D37">
      <w:pPr>
        <w:pStyle w:val="PL"/>
      </w:pPr>
      <w:r w:rsidRPr="00FA0D37">
        <w:t xml:space="preserve">CC-State-r17::=                     </w:t>
      </w:r>
      <w:r w:rsidRPr="00FA0D37">
        <w:rPr>
          <w:color w:val="993366"/>
        </w:rPr>
        <w:t>SEQUENCE</w:t>
      </w:r>
      <w:r w:rsidRPr="00FA0D37">
        <w:t xml:space="preserve"> {</w:t>
      </w:r>
    </w:p>
    <w:p w14:paraId="2B02D3DF" w14:textId="5DB8A750" w:rsidR="006C69F1" w:rsidRPr="00FA0D37" w:rsidRDefault="006C69F1" w:rsidP="00FA0D37">
      <w:pPr>
        <w:pStyle w:val="PL"/>
        <w:rPr>
          <w:color w:val="808080"/>
        </w:rPr>
      </w:pPr>
      <w:r w:rsidRPr="00FA0D37">
        <w:t xml:space="preserve">    dlCarrier-r17                       CarrierState-r17  </w:t>
      </w:r>
      <w:r w:rsidR="00E623A0" w:rsidRPr="00FA0D37">
        <w:t xml:space="preserve">                           </w:t>
      </w:r>
      <w:r w:rsidRPr="00FA0D37">
        <w:rPr>
          <w:color w:val="993366"/>
        </w:rPr>
        <w:t>OPTIONAL</w:t>
      </w:r>
      <w:r w:rsidRPr="00FA0D37">
        <w:t>,</w:t>
      </w:r>
      <w:r w:rsidR="00E623A0" w:rsidRPr="00FA0D37">
        <w:t xml:space="preserve"> </w:t>
      </w:r>
      <w:r w:rsidR="00E623A0" w:rsidRPr="00FA0D37">
        <w:rPr>
          <w:color w:val="808080"/>
        </w:rPr>
        <w:t xml:space="preserve">-- Need </w:t>
      </w:r>
      <w:r w:rsidR="00E623A0" w:rsidRPr="00FA0D37">
        <w:rPr>
          <w:rFonts w:eastAsia="等线"/>
          <w:color w:val="808080"/>
        </w:rPr>
        <w:t>N</w:t>
      </w:r>
    </w:p>
    <w:p w14:paraId="2686EB2E" w14:textId="728C697C" w:rsidR="006C69F1" w:rsidRPr="00FA0D37" w:rsidRDefault="006C69F1" w:rsidP="00FA0D37">
      <w:pPr>
        <w:pStyle w:val="PL"/>
        <w:rPr>
          <w:color w:val="808080"/>
        </w:rPr>
      </w:pPr>
      <w:r w:rsidRPr="00FA0D37">
        <w:t xml:space="preserve">    ulCarrier-r17                       CarrierState-r17  </w:t>
      </w:r>
      <w:r w:rsidR="00E623A0" w:rsidRPr="00FA0D37">
        <w:t xml:space="preserve">                           </w:t>
      </w:r>
      <w:r w:rsidRPr="00FA0D37">
        <w:rPr>
          <w:color w:val="993366"/>
        </w:rPr>
        <w:t>OPTIONAL</w:t>
      </w:r>
      <w:r w:rsidR="00E623A0" w:rsidRPr="00FA0D37">
        <w:t xml:space="preserve">  </w:t>
      </w:r>
      <w:r w:rsidR="00E623A0" w:rsidRPr="00FA0D37">
        <w:rPr>
          <w:color w:val="808080"/>
        </w:rPr>
        <w:t xml:space="preserve">-- Need </w:t>
      </w:r>
      <w:r w:rsidR="00E623A0" w:rsidRPr="00FA0D37">
        <w:rPr>
          <w:rFonts w:eastAsia="等线"/>
          <w:color w:val="808080"/>
        </w:rPr>
        <w:t>N</w:t>
      </w:r>
    </w:p>
    <w:p w14:paraId="1F5FCE07" w14:textId="77777777" w:rsidR="00C148E4" w:rsidRPr="00FA0D37" w:rsidRDefault="006C69F1" w:rsidP="00FA0D37">
      <w:pPr>
        <w:pStyle w:val="PL"/>
      </w:pPr>
      <w:r w:rsidRPr="00FA0D37">
        <w:t>}</w:t>
      </w:r>
    </w:p>
    <w:p w14:paraId="0B0FF407" w14:textId="396FAFB8" w:rsidR="006C69F1" w:rsidRPr="00FA0D37" w:rsidRDefault="006C69F1" w:rsidP="00FA0D37">
      <w:pPr>
        <w:pStyle w:val="PL"/>
      </w:pPr>
    </w:p>
    <w:p w14:paraId="7E115508" w14:textId="77777777" w:rsidR="006C69F1" w:rsidRPr="00FA0D37" w:rsidRDefault="006C69F1" w:rsidP="00FA0D37">
      <w:pPr>
        <w:pStyle w:val="PL"/>
      </w:pPr>
      <w:r w:rsidRPr="00FA0D37">
        <w:t xml:space="preserve">CarrierState-r17::=                 </w:t>
      </w:r>
      <w:r w:rsidRPr="00FA0D37">
        <w:rPr>
          <w:color w:val="993366"/>
        </w:rPr>
        <w:t>CHOICE</w:t>
      </w:r>
      <w:r w:rsidRPr="00FA0D37">
        <w:t xml:space="preserve"> {</w:t>
      </w:r>
    </w:p>
    <w:p w14:paraId="79F7FF5A" w14:textId="57BF08A6" w:rsidR="006C69F1" w:rsidRPr="00FA0D37" w:rsidRDefault="006C69F1" w:rsidP="00FA0D37">
      <w:pPr>
        <w:pStyle w:val="PL"/>
      </w:pPr>
      <w:r w:rsidRPr="00FA0D37">
        <w:t xml:space="preserve">    deActivated-r17                     </w:t>
      </w:r>
      <w:r w:rsidRPr="00FA0D37">
        <w:rPr>
          <w:color w:val="993366"/>
        </w:rPr>
        <w:t>NULL</w:t>
      </w:r>
      <w:r w:rsidRPr="00FA0D37">
        <w:t>,</w:t>
      </w:r>
    </w:p>
    <w:p w14:paraId="3A0C0BD1" w14:textId="59515A1C" w:rsidR="006C69F1" w:rsidRPr="00FA0D37" w:rsidRDefault="006C69F1" w:rsidP="00FA0D37">
      <w:pPr>
        <w:pStyle w:val="PL"/>
      </w:pPr>
      <w:r w:rsidRPr="00FA0D37">
        <w:t xml:space="preserve">    activeBWP-r17                       </w:t>
      </w:r>
      <w:r w:rsidRPr="00FA0D37">
        <w:rPr>
          <w:color w:val="993366"/>
        </w:rPr>
        <w:t>INTEGER</w:t>
      </w:r>
      <w:r w:rsidRPr="00FA0D37">
        <w:t xml:space="preserve"> (0..maxNrofBWPs)</w:t>
      </w:r>
    </w:p>
    <w:p w14:paraId="7B2E2EF5" w14:textId="77777777" w:rsidR="006C69F1" w:rsidRPr="00FA0D37" w:rsidRDefault="006C69F1" w:rsidP="00FA0D37">
      <w:pPr>
        <w:pStyle w:val="PL"/>
      </w:pPr>
      <w:r w:rsidRPr="00FA0D37">
        <w:t>}</w:t>
      </w:r>
    </w:p>
    <w:p w14:paraId="07A06F63" w14:textId="77777777" w:rsidR="006C69F1" w:rsidRPr="00FA0D37" w:rsidRDefault="006C69F1" w:rsidP="00FA0D37">
      <w:pPr>
        <w:pStyle w:val="PL"/>
      </w:pPr>
    </w:p>
    <w:p w14:paraId="090BC8E3" w14:textId="519761E8" w:rsidR="00394471" w:rsidRPr="00FA0D37" w:rsidRDefault="00394471" w:rsidP="00FA0D37">
      <w:pPr>
        <w:pStyle w:val="PL"/>
        <w:rPr>
          <w:color w:val="808080"/>
        </w:rPr>
      </w:pPr>
      <w:r w:rsidRPr="00FA0D37">
        <w:rPr>
          <w:color w:val="808080"/>
        </w:rPr>
        <w:t>-- TAG-CELLGROUPCONFIG-STOP</w:t>
      </w:r>
    </w:p>
    <w:p w14:paraId="24265C32" w14:textId="77777777" w:rsidR="00394471" w:rsidRPr="00FA0D37" w:rsidRDefault="00394471" w:rsidP="00FA0D37">
      <w:pPr>
        <w:pStyle w:val="PL"/>
        <w:rPr>
          <w:color w:val="808080"/>
        </w:rPr>
      </w:pPr>
      <w:r w:rsidRPr="00FA0D37">
        <w:rPr>
          <w:color w:val="808080"/>
        </w:rPr>
        <w:t>-- ASN1STOP</w:t>
      </w:r>
    </w:p>
    <w:bookmarkEnd w:id="927"/>
    <w:p w14:paraId="7F067E70" w14:textId="52C4EA05" w:rsidR="0078452E" w:rsidRPr="00FA0D37"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FA0D37" w:rsidRDefault="006C69F1" w:rsidP="0071565C">
            <w:pPr>
              <w:pStyle w:val="TAH"/>
              <w:rPr>
                <w:rFonts w:eastAsia="Calibri"/>
                <w:i/>
                <w:szCs w:val="22"/>
                <w:lang w:eastAsia="sv-SE"/>
              </w:rPr>
            </w:pPr>
            <w:r w:rsidRPr="00FA0D37">
              <w:rPr>
                <w:rFonts w:eastAsia="Calibri"/>
                <w:i/>
                <w:szCs w:val="22"/>
                <w:lang w:eastAsia="sv-SE"/>
              </w:rPr>
              <w:t>CC-State</w:t>
            </w:r>
            <w:r w:rsidRPr="00FA0D37">
              <w:rPr>
                <w:rFonts w:eastAsia="Calibri"/>
                <w:iCs/>
                <w:szCs w:val="22"/>
                <w:lang w:eastAsia="sv-SE"/>
              </w:rPr>
              <w:t xml:space="preserve"> field descriptions</w:t>
            </w:r>
          </w:p>
        </w:tc>
      </w:tr>
      <w:tr w:rsidR="005C7FF4" w:rsidRPr="00FA0D37"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FA0D37" w:rsidRDefault="006C69F1" w:rsidP="0071565C">
            <w:pPr>
              <w:pStyle w:val="TAL"/>
              <w:rPr>
                <w:rFonts w:eastAsia="Calibri"/>
                <w:b/>
                <w:bCs/>
                <w:i/>
                <w:iCs/>
                <w:lang w:eastAsia="sv-SE"/>
              </w:rPr>
            </w:pPr>
            <w:r w:rsidRPr="00FA0D37">
              <w:rPr>
                <w:rFonts w:eastAsia="Calibri"/>
                <w:b/>
                <w:bCs/>
                <w:i/>
                <w:iCs/>
                <w:lang w:eastAsia="sv-SE"/>
              </w:rPr>
              <w:t>dlCarrier</w:t>
            </w:r>
          </w:p>
          <w:p w14:paraId="325CBD5E" w14:textId="77777777" w:rsidR="006C69F1" w:rsidRPr="00FA0D37" w:rsidRDefault="006C69F1" w:rsidP="0071565C">
            <w:pPr>
              <w:pStyle w:val="TAL"/>
              <w:rPr>
                <w:rFonts w:eastAsia="Calibri"/>
                <w:lang w:eastAsia="sv-SE"/>
              </w:rPr>
            </w:pPr>
            <w:r w:rsidRPr="00FA0D37">
              <w:rPr>
                <w:rFonts w:eastAsia="Calibri"/>
                <w:lang w:eastAsia="sv-SE"/>
              </w:rPr>
              <w:t>Indicates DL carrier activation state for this carrier and the related active BWP Index, if activated.</w:t>
            </w:r>
          </w:p>
        </w:tc>
      </w:tr>
      <w:tr w:rsidR="006C69F1" w:rsidRPr="00FA0D37"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FA0D37" w:rsidRDefault="006C69F1" w:rsidP="0071565C">
            <w:pPr>
              <w:pStyle w:val="TAL"/>
              <w:rPr>
                <w:rFonts w:eastAsia="Calibri"/>
                <w:b/>
                <w:bCs/>
                <w:i/>
                <w:iCs/>
                <w:lang w:eastAsia="sv-SE"/>
              </w:rPr>
            </w:pPr>
            <w:r w:rsidRPr="00FA0D37">
              <w:rPr>
                <w:rFonts w:eastAsia="Calibri"/>
                <w:b/>
                <w:bCs/>
                <w:i/>
                <w:iCs/>
                <w:lang w:eastAsia="sv-SE"/>
              </w:rPr>
              <w:t>ulCarrier</w:t>
            </w:r>
          </w:p>
          <w:p w14:paraId="4FF6D519" w14:textId="77777777" w:rsidR="006C69F1" w:rsidRPr="00FA0D37" w:rsidRDefault="006C69F1" w:rsidP="0071565C">
            <w:pPr>
              <w:pStyle w:val="TAL"/>
              <w:rPr>
                <w:rFonts w:eastAsia="Calibri"/>
                <w:lang w:eastAsia="sv-SE"/>
              </w:rPr>
            </w:pPr>
            <w:r w:rsidRPr="00FA0D37">
              <w:rPr>
                <w:rFonts w:eastAsia="Calibri"/>
                <w:lang w:eastAsia="sv-SE"/>
              </w:rPr>
              <w:t>Indicates UL carrier activation state for this carrier and the related active BWP Index, if activated.</w:t>
            </w:r>
          </w:p>
        </w:tc>
      </w:tr>
    </w:tbl>
    <w:p w14:paraId="2FE5DAF1" w14:textId="77777777" w:rsidR="006C69F1" w:rsidRPr="00FA0D3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FA0D37" w:rsidRDefault="00394471" w:rsidP="00964CC4">
            <w:pPr>
              <w:pStyle w:val="TAH"/>
              <w:rPr>
                <w:rFonts w:eastAsia="Calibri"/>
                <w:szCs w:val="22"/>
                <w:lang w:eastAsia="sv-SE"/>
              </w:rPr>
            </w:pPr>
            <w:r w:rsidRPr="00FA0D37">
              <w:rPr>
                <w:rFonts w:eastAsia="Calibri"/>
                <w:i/>
                <w:szCs w:val="22"/>
                <w:lang w:eastAsia="sv-SE"/>
              </w:rPr>
              <w:lastRenderedPageBreak/>
              <w:t xml:space="preserve">CellGroupConfig </w:t>
            </w:r>
            <w:r w:rsidRPr="00FA0D37">
              <w:rPr>
                <w:rFonts w:eastAsia="Calibri"/>
                <w:szCs w:val="22"/>
                <w:lang w:eastAsia="sv-SE"/>
              </w:rPr>
              <w:t>field descriptions</w:t>
            </w:r>
          </w:p>
        </w:tc>
      </w:tr>
      <w:tr w:rsidR="005C7FF4" w:rsidRPr="00FA0D37"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FA0D37" w:rsidRDefault="00394471" w:rsidP="00964CC4">
            <w:pPr>
              <w:pStyle w:val="TAL"/>
              <w:rPr>
                <w:rFonts w:eastAsiaTheme="minorEastAsia"/>
                <w:bCs/>
                <w:i/>
                <w:iCs/>
                <w:lang w:eastAsia="sv-SE"/>
              </w:rPr>
            </w:pPr>
            <w:r w:rsidRPr="00FA0D37">
              <w:rPr>
                <w:b/>
                <w:bCs/>
                <w:i/>
                <w:iCs/>
                <w:lang w:eastAsia="sv-SE"/>
              </w:rPr>
              <w:t>bap-Address</w:t>
            </w:r>
          </w:p>
          <w:p w14:paraId="34731BB0" w14:textId="77777777" w:rsidR="00394471" w:rsidRPr="00FA0D37" w:rsidRDefault="00394471" w:rsidP="00964CC4">
            <w:pPr>
              <w:pStyle w:val="TAL"/>
              <w:rPr>
                <w:rFonts w:eastAsiaTheme="minorEastAsia"/>
                <w:lang w:eastAsia="sv-SE"/>
              </w:rPr>
            </w:pPr>
            <w:r w:rsidRPr="00FA0D37">
              <w:rPr>
                <w:bCs/>
                <w:lang w:eastAsia="sv-SE"/>
              </w:rPr>
              <w:t xml:space="preserve">BAP address of </w:t>
            </w:r>
            <w:r w:rsidRPr="00FA0D37">
              <w:rPr>
                <w:bCs/>
              </w:rPr>
              <w:t xml:space="preserve">the parent </w:t>
            </w:r>
            <w:r w:rsidRPr="00FA0D37">
              <w:rPr>
                <w:bCs/>
                <w:lang w:eastAsia="sv-SE"/>
              </w:rPr>
              <w:t>node in cell group.</w:t>
            </w:r>
          </w:p>
        </w:tc>
      </w:tr>
      <w:tr w:rsidR="005C7FF4" w:rsidRPr="00FA0D37"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FA0D37" w:rsidRDefault="00394471" w:rsidP="00964CC4">
            <w:pPr>
              <w:pStyle w:val="TAL"/>
              <w:rPr>
                <w:rFonts w:eastAsiaTheme="minorEastAsia"/>
                <w:bCs/>
                <w:i/>
                <w:iCs/>
                <w:lang w:eastAsia="sv-SE"/>
              </w:rPr>
            </w:pPr>
            <w:r w:rsidRPr="00FA0D37">
              <w:rPr>
                <w:b/>
                <w:bCs/>
                <w:i/>
                <w:iCs/>
                <w:lang w:eastAsia="sv-SE"/>
              </w:rPr>
              <w:t>bh-RLC-ChannelToAddModList</w:t>
            </w:r>
          </w:p>
          <w:p w14:paraId="1B2AD402" w14:textId="77777777" w:rsidR="00394471" w:rsidRPr="00FA0D37" w:rsidRDefault="00394471" w:rsidP="00964CC4">
            <w:pPr>
              <w:pStyle w:val="TAL"/>
              <w:rPr>
                <w:rFonts w:eastAsiaTheme="minorEastAsia"/>
                <w:szCs w:val="22"/>
                <w:lang w:eastAsia="sv-SE"/>
              </w:rPr>
            </w:pPr>
            <w:r w:rsidRPr="00FA0D37">
              <w:rPr>
                <w:rFonts w:eastAsiaTheme="minorEastAsia"/>
                <w:szCs w:val="22"/>
                <w:lang w:eastAsia="sv-SE"/>
              </w:rPr>
              <w:t xml:space="preserve">Configuration of the </w:t>
            </w:r>
            <w:r w:rsidRPr="00FA0D37">
              <w:rPr>
                <w:rFonts w:eastAsia="Yu Mincho"/>
                <w:szCs w:val="22"/>
              </w:rPr>
              <w:t xml:space="preserve">backhaul RLC entities and the corresponding </w:t>
            </w:r>
            <w:r w:rsidRPr="00FA0D37">
              <w:rPr>
                <w:rFonts w:eastAsiaTheme="minorEastAsia"/>
                <w:szCs w:val="22"/>
                <w:lang w:eastAsia="sv-SE"/>
              </w:rPr>
              <w:t>MAC Logical Channels to be added and modified.</w:t>
            </w:r>
          </w:p>
        </w:tc>
      </w:tr>
      <w:tr w:rsidR="005C7FF4" w:rsidRPr="00FA0D37"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FA0D37" w:rsidRDefault="00394471" w:rsidP="00964CC4">
            <w:pPr>
              <w:pStyle w:val="TAL"/>
              <w:rPr>
                <w:rFonts w:eastAsiaTheme="minorEastAsia"/>
                <w:bCs/>
                <w:i/>
                <w:iCs/>
                <w:lang w:eastAsia="sv-SE"/>
              </w:rPr>
            </w:pPr>
            <w:r w:rsidRPr="00FA0D37">
              <w:rPr>
                <w:b/>
                <w:bCs/>
                <w:i/>
                <w:iCs/>
                <w:lang w:eastAsia="sv-SE"/>
              </w:rPr>
              <w:t>bh-RLC-ChannelToReleaseList</w:t>
            </w:r>
          </w:p>
          <w:p w14:paraId="5CCF081E" w14:textId="77777777" w:rsidR="00394471" w:rsidRPr="00FA0D37" w:rsidRDefault="00394471" w:rsidP="00964CC4">
            <w:pPr>
              <w:pStyle w:val="TAL"/>
              <w:rPr>
                <w:lang w:eastAsia="sv-SE"/>
              </w:rPr>
            </w:pPr>
            <w:r w:rsidRPr="00FA0D37">
              <w:rPr>
                <w:rFonts w:eastAsiaTheme="minorEastAsia"/>
                <w:szCs w:val="22"/>
                <w:lang w:eastAsia="sv-SE"/>
              </w:rPr>
              <w:t xml:space="preserve">List of </w:t>
            </w:r>
            <w:r w:rsidRPr="00FA0D37">
              <w:rPr>
                <w:rFonts w:eastAsia="Yu Mincho"/>
                <w:szCs w:val="22"/>
              </w:rPr>
              <w:t xml:space="preserve">the backhaul RLC entities and the corresponding </w:t>
            </w:r>
            <w:r w:rsidRPr="00FA0D37">
              <w:rPr>
                <w:rFonts w:eastAsiaTheme="minorEastAsia"/>
                <w:szCs w:val="22"/>
                <w:lang w:eastAsia="sv-SE"/>
              </w:rPr>
              <w:t>MAC Logical Channels to be released.</w:t>
            </w:r>
          </w:p>
        </w:tc>
      </w:tr>
      <w:tr w:rsidR="005C7FF4" w:rsidRPr="00FA0D37"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FA0D37" w:rsidRDefault="00394471" w:rsidP="00964CC4">
            <w:pPr>
              <w:pStyle w:val="TAL"/>
              <w:rPr>
                <w:b/>
                <w:bCs/>
                <w:i/>
                <w:iCs/>
                <w:lang w:eastAsia="sv-SE"/>
              </w:rPr>
            </w:pPr>
            <w:r w:rsidRPr="00FA0D37">
              <w:rPr>
                <w:b/>
                <w:bCs/>
                <w:i/>
                <w:iCs/>
                <w:lang w:eastAsia="sv-SE"/>
              </w:rPr>
              <w:t>f1c-TransferPath</w:t>
            </w:r>
          </w:p>
          <w:p w14:paraId="7F119B24" w14:textId="77777777" w:rsidR="00394471" w:rsidRPr="00FA0D37" w:rsidRDefault="00394471" w:rsidP="00964CC4">
            <w:pPr>
              <w:pStyle w:val="TAL"/>
              <w:rPr>
                <w:lang w:eastAsia="sv-SE"/>
              </w:rPr>
            </w:pPr>
            <w:r w:rsidRPr="00FA0D37">
              <w:rPr>
                <w:lang w:eastAsia="sv-SE"/>
              </w:rPr>
              <w:t xml:space="preserve">The F1-C transfer path that an EN-DC IAB-MT should use for transferring F1-C packets to the IAB-donor-CU. If IAB-MT is configured with </w:t>
            </w:r>
            <w:r w:rsidRPr="00FA0D37">
              <w:rPr>
                <w:i/>
                <w:iCs/>
                <w:lang w:eastAsia="sv-SE"/>
              </w:rPr>
              <w:t>lte</w:t>
            </w:r>
            <w:r w:rsidRPr="00FA0D37">
              <w:rPr>
                <w:lang w:eastAsia="sv-SE"/>
              </w:rPr>
              <w:t xml:space="preserve">, IAB-MT can only use LTE leg for F1-C transfer. If IAB-MT is configured with </w:t>
            </w:r>
            <w:r w:rsidRPr="00FA0D37">
              <w:rPr>
                <w:i/>
                <w:iCs/>
                <w:lang w:eastAsia="sv-SE"/>
              </w:rPr>
              <w:t>nr</w:t>
            </w:r>
            <w:r w:rsidRPr="00FA0D37">
              <w:rPr>
                <w:lang w:eastAsia="sv-SE"/>
              </w:rPr>
              <w:t xml:space="preserve">, IAB-MT can only use NR leg for F1-C transfer. If IAB-MT is configured with </w:t>
            </w:r>
            <w:r w:rsidRPr="00FA0D37">
              <w:rPr>
                <w:i/>
                <w:iCs/>
                <w:lang w:eastAsia="sv-SE"/>
              </w:rPr>
              <w:t>both</w:t>
            </w:r>
            <w:r w:rsidRPr="00FA0D37">
              <w:rPr>
                <w:lang w:eastAsia="sv-SE"/>
              </w:rPr>
              <w:t>, it is up to IAB-MT to select an LTE leg or a NR leg for F1-C transfer.</w:t>
            </w:r>
            <w:r w:rsidRPr="00FA0D37">
              <w:t xml:space="preserve"> If the field is not configured</w:t>
            </w:r>
            <w:r w:rsidRPr="00FA0D37">
              <w:rPr>
                <w:lang w:eastAsia="sv-SE"/>
              </w:rPr>
              <w:t>, the IAB node uses the NR leg as the default one.</w:t>
            </w:r>
          </w:p>
        </w:tc>
      </w:tr>
      <w:tr w:rsidR="005C7FF4" w:rsidRPr="00FA0D37"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FA0D37" w:rsidRDefault="00CF0B27" w:rsidP="00771058">
            <w:pPr>
              <w:pStyle w:val="TAL"/>
              <w:rPr>
                <w:b/>
                <w:bCs/>
                <w:i/>
                <w:iCs/>
                <w:lang w:eastAsia="sv-SE"/>
              </w:rPr>
            </w:pPr>
            <w:r w:rsidRPr="00FA0D37">
              <w:rPr>
                <w:b/>
                <w:bCs/>
                <w:i/>
                <w:iCs/>
                <w:lang w:eastAsia="sv-SE"/>
              </w:rPr>
              <w:t>f1c-TransferPathNRDC</w:t>
            </w:r>
          </w:p>
          <w:p w14:paraId="3CA2FD72" w14:textId="77777777" w:rsidR="00CF0B27" w:rsidRPr="00FA0D37" w:rsidRDefault="00CF0B27" w:rsidP="00771058">
            <w:pPr>
              <w:pStyle w:val="TAL"/>
              <w:rPr>
                <w:lang w:eastAsia="sv-SE"/>
              </w:rPr>
            </w:pPr>
            <w:r w:rsidRPr="00FA0D37">
              <w:rPr>
                <w:lang w:eastAsia="sv-SE"/>
              </w:rPr>
              <w:t xml:space="preserve">The F1-C transfer path that an NR-DC IAB-MT should use for transferring F1-C packets to the IAB-donor-CU. If IAB-MT is configured with </w:t>
            </w:r>
            <w:r w:rsidRPr="00FA0D37">
              <w:rPr>
                <w:i/>
                <w:iCs/>
                <w:lang w:eastAsia="sv-SE"/>
              </w:rPr>
              <w:t>mcg</w:t>
            </w:r>
            <w:r w:rsidRPr="00FA0D37">
              <w:rPr>
                <w:lang w:eastAsia="sv-SE"/>
              </w:rPr>
              <w:t xml:space="preserve">, IAB-MT can only use the MCG for F1-C transfer. If IAB-MT is configured with </w:t>
            </w:r>
            <w:r w:rsidRPr="00FA0D37">
              <w:rPr>
                <w:i/>
                <w:iCs/>
                <w:lang w:eastAsia="sv-SE"/>
              </w:rPr>
              <w:t>scg</w:t>
            </w:r>
            <w:r w:rsidRPr="00FA0D37">
              <w:rPr>
                <w:lang w:eastAsia="sv-SE"/>
              </w:rPr>
              <w:t xml:space="preserve">, IAB-MT can only use the SCG for F1-C transfer. If IAB-MT is configured with </w:t>
            </w:r>
            <w:r w:rsidRPr="00FA0D37">
              <w:rPr>
                <w:i/>
                <w:iCs/>
                <w:lang w:eastAsia="sv-SE"/>
              </w:rPr>
              <w:t>both</w:t>
            </w:r>
            <w:r w:rsidRPr="00FA0D37">
              <w:rPr>
                <w:lang w:eastAsia="sv-SE"/>
              </w:rPr>
              <w:t>, it is up to IAB-MT to select the MCG or the SCG for F1-C transfer.</w:t>
            </w:r>
          </w:p>
        </w:tc>
      </w:tr>
      <w:tr w:rsidR="005C7FF4" w:rsidRPr="00FA0D37"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FA0D37" w:rsidRDefault="00394471" w:rsidP="00964CC4">
            <w:pPr>
              <w:pStyle w:val="TAL"/>
              <w:rPr>
                <w:rFonts w:eastAsia="Calibri"/>
                <w:szCs w:val="22"/>
                <w:lang w:eastAsia="sv-SE"/>
              </w:rPr>
            </w:pPr>
            <w:r w:rsidRPr="00FA0D37">
              <w:rPr>
                <w:rFonts w:eastAsia="Calibri"/>
                <w:b/>
                <w:i/>
                <w:szCs w:val="22"/>
                <w:lang w:eastAsia="sv-SE"/>
              </w:rPr>
              <w:t>mac-CellGroupConfig</w:t>
            </w:r>
          </w:p>
          <w:p w14:paraId="229198BA" w14:textId="77777777" w:rsidR="00394471" w:rsidRPr="00FA0D37" w:rsidRDefault="00394471" w:rsidP="00964CC4">
            <w:pPr>
              <w:pStyle w:val="TAL"/>
              <w:rPr>
                <w:rFonts w:eastAsia="Calibri"/>
                <w:szCs w:val="22"/>
                <w:lang w:eastAsia="sv-SE"/>
              </w:rPr>
            </w:pPr>
            <w:r w:rsidRPr="00FA0D37">
              <w:rPr>
                <w:rFonts w:eastAsia="Calibri"/>
                <w:szCs w:val="22"/>
                <w:lang w:eastAsia="sv-SE"/>
              </w:rPr>
              <w:t>MAC parameters applicable for the entire cell group.</w:t>
            </w:r>
          </w:p>
        </w:tc>
      </w:tr>
      <w:tr w:rsidR="005C7FF4" w:rsidRPr="00FA0D37" w14:paraId="44F52986" w14:textId="77777777" w:rsidTr="00CD007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FA0D37" w:rsidRDefault="000A2164" w:rsidP="005C7FF4">
            <w:pPr>
              <w:pStyle w:val="TAL"/>
              <w:rPr>
                <w:rFonts w:eastAsia="Calibri"/>
                <w:b/>
                <w:bCs/>
                <w:i/>
                <w:iCs/>
                <w:lang w:eastAsia="sv-SE"/>
              </w:rPr>
            </w:pPr>
            <w:r w:rsidRPr="00FA0D37">
              <w:rPr>
                <w:rFonts w:eastAsia="Calibri"/>
                <w:b/>
                <w:bCs/>
                <w:i/>
                <w:iCs/>
                <w:lang w:eastAsia="sv-SE"/>
              </w:rPr>
              <w:t>npn-IdentityInfoList</w:t>
            </w:r>
          </w:p>
          <w:p w14:paraId="69ADA08D" w14:textId="630639BE" w:rsidR="000A2164" w:rsidRPr="00FA0D37" w:rsidRDefault="000A2164" w:rsidP="005C7FF4">
            <w:pPr>
              <w:pStyle w:val="TAL"/>
              <w:rPr>
                <w:rFonts w:eastAsia="Calibri"/>
                <w:lang w:eastAsia="sv-SE"/>
              </w:rPr>
            </w:pPr>
            <w:r w:rsidRPr="00FA0D37">
              <w:rPr>
                <w:rFonts w:eastAsia="Calibri"/>
                <w:lang w:eastAsia="sv-SE"/>
              </w:rPr>
              <w:t xml:space="preserve">This field is used to transfer </w:t>
            </w:r>
            <w:r w:rsidRPr="00FA0D37">
              <w:rPr>
                <w:rFonts w:eastAsia="Calibri"/>
                <w:i/>
                <w:iCs/>
                <w:lang w:eastAsia="sv-SE"/>
              </w:rPr>
              <w:t>npn-IdentityInfoList</w:t>
            </w:r>
            <w:r w:rsidRPr="00FA0D37">
              <w:rPr>
                <w:rFonts w:eastAsia="Calibri"/>
                <w:lang w:eastAsia="sv-SE"/>
              </w:rPr>
              <w:t xml:space="preserve"> in </w:t>
            </w:r>
            <w:r w:rsidRPr="00FA0D37">
              <w:rPr>
                <w:rFonts w:eastAsia="Calibri"/>
                <w:i/>
                <w:lang w:eastAsia="sv-SE"/>
              </w:rPr>
              <w:t>SIB1</w:t>
            </w:r>
            <w:r w:rsidRPr="00FA0D37">
              <w:rPr>
                <w:rFonts w:eastAsia="Calibri"/>
                <w:lang w:eastAsia="sv-SE"/>
              </w:rPr>
              <w:t xml:space="preserve"> of the SCell. The UE uses this field to translate the </w:t>
            </w:r>
            <w:r w:rsidRPr="00FA0D37">
              <w:rPr>
                <w:rFonts w:eastAsia="Calibri"/>
                <w:i/>
                <w:iCs/>
                <w:lang w:eastAsia="sv-SE"/>
              </w:rPr>
              <w:t>plmn-Index</w:t>
            </w:r>
            <w:r w:rsidRPr="00FA0D37">
              <w:rPr>
                <w:rFonts w:eastAsia="Calibri"/>
                <w:lang w:eastAsia="sv-SE"/>
              </w:rPr>
              <w:t xml:space="preserve"> in MCCH of SCell to SNPN Identity.</w:t>
            </w:r>
            <w:r w:rsidRPr="00FA0D37">
              <w:rPr>
                <w:rFonts w:eastAsiaTheme="minorEastAsia"/>
                <w:lang w:eastAsia="zh-CN"/>
              </w:rPr>
              <w:t xml:space="preserve"> </w:t>
            </w:r>
            <w:r w:rsidRPr="00FA0D37">
              <w:rPr>
                <w:rFonts w:eastAsia="Calibri"/>
                <w:lang w:eastAsia="sv-SE"/>
              </w:rPr>
              <w:t xml:space="preserve">If this field </w:t>
            </w:r>
            <w:r w:rsidR="00173E4B" w:rsidRPr="00FA0D37">
              <w:rPr>
                <w:rFonts w:eastAsia="Calibri" w:cs="Arial"/>
                <w:lang w:eastAsia="sv-SE"/>
              </w:rPr>
              <w:t xml:space="preserve">and </w:t>
            </w:r>
            <w:r w:rsidR="00173E4B" w:rsidRPr="00FA0D37">
              <w:rPr>
                <w:rFonts w:eastAsia="Calibri" w:cs="Arial"/>
                <w:i/>
                <w:lang w:eastAsia="sv-SE"/>
              </w:rPr>
              <w:t>plmn-IdentityInfoList</w:t>
            </w:r>
            <w:r w:rsidR="00173E4B" w:rsidRPr="00FA0D37">
              <w:rPr>
                <w:rFonts w:eastAsia="Calibri" w:cs="Arial"/>
                <w:lang w:eastAsia="sv-SE"/>
              </w:rPr>
              <w:t xml:space="preserve"> are both </w:t>
            </w:r>
            <w:r w:rsidRPr="00FA0D37">
              <w:rPr>
                <w:rFonts w:eastAsia="Calibri"/>
                <w:lang w:eastAsia="sv-SE"/>
              </w:rPr>
              <w:t xml:space="preserve">absent, the UE uses the </w:t>
            </w:r>
            <w:r w:rsidRPr="00FA0D37">
              <w:rPr>
                <w:rFonts w:eastAsia="Calibri"/>
                <w:i/>
                <w:iCs/>
                <w:lang w:eastAsia="sv-SE"/>
              </w:rPr>
              <w:t>npn-IdentityInfoList</w:t>
            </w:r>
            <w:r w:rsidRPr="00FA0D37">
              <w:rPr>
                <w:rFonts w:eastAsia="Calibri"/>
                <w:lang w:eastAsia="sv-SE"/>
              </w:rPr>
              <w:t xml:space="preserve"> in </w:t>
            </w:r>
            <w:r w:rsidRPr="00FA0D37">
              <w:rPr>
                <w:rFonts w:eastAsia="Calibri"/>
                <w:i/>
                <w:lang w:eastAsia="sv-SE"/>
              </w:rPr>
              <w:t>SIB1</w:t>
            </w:r>
            <w:r w:rsidRPr="00FA0D37">
              <w:rPr>
                <w:rFonts w:eastAsia="Calibri"/>
                <w:lang w:eastAsia="sv-SE"/>
              </w:rPr>
              <w:t xml:space="preserve"> of the PCell.</w:t>
            </w:r>
          </w:p>
        </w:tc>
      </w:tr>
      <w:tr w:rsidR="005C7FF4" w:rsidRPr="00FA0D37" w14:paraId="45667D94" w14:textId="77777777" w:rsidTr="00CD007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FA0D37" w:rsidRDefault="00FB1910" w:rsidP="00CD007B">
            <w:pPr>
              <w:pStyle w:val="TAL"/>
              <w:rPr>
                <w:rFonts w:eastAsia="Calibri"/>
                <w:b/>
                <w:bCs/>
                <w:i/>
                <w:iCs/>
                <w:lang w:eastAsia="sv-SE"/>
              </w:rPr>
            </w:pPr>
            <w:r w:rsidRPr="00FA0D37">
              <w:rPr>
                <w:rFonts w:eastAsia="Calibri"/>
                <w:b/>
                <w:bCs/>
                <w:i/>
                <w:iCs/>
                <w:lang w:eastAsia="sv-SE"/>
              </w:rPr>
              <w:t>plmn-IdentityInfoList</w:t>
            </w:r>
          </w:p>
          <w:p w14:paraId="394273F0" w14:textId="00E21DE5" w:rsidR="00FB1910" w:rsidRPr="00FA0D37" w:rsidRDefault="00FB1910" w:rsidP="00CD007B">
            <w:pPr>
              <w:pStyle w:val="TAL"/>
              <w:rPr>
                <w:rFonts w:eastAsia="Calibri"/>
                <w:lang w:eastAsia="sv-SE"/>
              </w:rPr>
            </w:pPr>
            <w:r w:rsidRPr="00FA0D37">
              <w:rPr>
                <w:rFonts w:eastAsia="Calibri"/>
                <w:lang w:eastAsia="sv-SE"/>
              </w:rPr>
              <w:t xml:space="preserve">This field is used to transfer </w:t>
            </w:r>
            <w:r w:rsidRPr="00FA0D37">
              <w:rPr>
                <w:rFonts w:eastAsia="Calibri"/>
                <w:i/>
                <w:iCs/>
                <w:lang w:eastAsia="sv-SE"/>
              </w:rPr>
              <w:t>plmn-IdentityInfoList</w:t>
            </w:r>
            <w:r w:rsidRPr="00FA0D37">
              <w:rPr>
                <w:rFonts w:eastAsia="Calibri"/>
                <w:lang w:eastAsia="sv-SE"/>
              </w:rPr>
              <w:t xml:space="preserve"> in </w:t>
            </w:r>
            <w:r w:rsidRPr="00FA0D37">
              <w:rPr>
                <w:rFonts w:eastAsia="Calibri"/>
                <w:i/>
                <w:lang w:eastAsia="sv-SE"/>
              </w:rPr>
              <w:t>SIB1</w:t>
            </w:r>
            <w:r w:rsidRPr="00FA0D37">
              <w:rPr>
                <w:rFonts w:eastAsia="Calibri"/>
                <w:lang w:eastAsia="sv-SE"/>
              </w:rPr>
              <w:t xml:space="preserve"> of the SCell. The UE uses this field to translate the </w:t>
            </w:r>
            <w:r w:rsidRPr="00FA0D37">
              <w:rPr>
                <w:rFonts w:eastAsia="Calibri"/>
                <w:i/>
                <w:iCs/>
                <w:lang w:eastAsia="sv-SE"/>
              </w:rPr>
              <w:t>plmn-Index</w:t>
            </w:r>
            <w:r w:rsidRPr="00FA0D37">
              <w:rPr>
                <w:rFonts w:eastAsia="Calibri"/>
                <w:lang w:eastAsia="sv-SE"/>
              </w:rPr>
              <w:t xml:space="preserve"> in MCCH of SCell to PLMN Identity.</w:t>
            </w:r>
            <w:r w:rsidRPr="00FA0D37">
              <w:rPr>
                <w:lang w:eastAsia="zh-CN"/>
              </w:rPr>
              <w:t xml:space="preserve"> </w:t>
            </w:r>
            <w:r w:rsidRPr="00FA0D37">
              <w:rPr>
                <w:rFonts w:eastAsia="Calibri"/>
                <w:lang w:eastAsia="sv-SE"/>
              </w:rPr>
              <w:t xml:space="preserve">If this field </w:t>
            </w:r>
            <w:r w:rsidR="00173E4B" w:rsidRPr="00FA0D37">
              <w:rPr>
                <w:rFonts w:eastAsia="Calibri" w:cs="Arial"/>
                <w:lang w:eastAsia="sv-SE"/>
              </w:rPr>
              <w:t xml:space="preserve">and </w:t>
            </w:r>
            <w:r w:rsidR="00173E4B" w:rsidRPr="00FA0D37">
              <w:rPr>
                <w:rFonts w:eastAsia="Calibri" w:cs="Arial"/>
                <w:i/>
                <w:lang w:eastAsia="sv-SE"/>
              </w:rPr>
              <w:t>npn-IdentityInfoList</w:t>
            </w:r>
            <w:r w:rsidR="00173E4B" w:rsidRPr="00FA0D37">
              <w:rPr>
                <w:rFonts w:eastAsia="Calibri" w:cs="Arial"/>
                <w:lang w:eastAsia="sv-SE"/>
              </w:rPr>
              <w:t xml:space="preserve"> are both</w:t>
            </w:r>
            <w:r w:rsidR="00173E4B" w:rsidRPr="00FA0D37" w:rsidDel="00BE7039">
              <w:rPr>
                <w:rFonts w:eastAsia="Calibri" w:cs="Arial"/>
                <w:lang w:eastAsia="sv-SE"/>
              </w:rPr>
              <w:t xml:space="preserve"> </w:t>
            </w:r>
            <w:r w:rsidRPr="00FA0D37">
              <w:rPr>
                <w:rFonts w:eastAsia="Calibri"/>
                <w:lang w:eastAsia="sv-SE"/>
              </w:rPr>
              <w:t xml:space="preserve">absent, the UE uses the </w:t>
            </w:r>
            <w:r w:rsidRPr="00FA0D37">
              <w:rPr>
                <w:rFonts w:eastAsia="Calibri"/>
                <w:i/>
                <w:iCs/>
                <w:lang w:eastAsia="sv-SE"/>
              </w:rPr>
              <w:t>plmn-IdentityInfoList</w:t>
            </w:r>
            <w:r w:rsidRPr="00FA0D37">
              <w:rPr>
                <w:rFonts w:eastAsia="Calibri"/>
                <w:lang w:eastAsia="sv-SE"/>
              </w:rPr>
              <w:t xml:space="preserve"> in </w:t>
            </w:r>
            <w:r w:rsidRPr="00FA0D37">
              <w:rPr>
                <w:rFonts w:eastAsia="Calibri"/>
                <w:i/>
                <w:lang w:eastAsia="sv-SE"/>
              </w:rPr>
              <w:t>SIB1</w:t>
            </w:r>
            <w:r w:rsidRPr="00FA0D37">
              <w:rPr>
                <w:rFonts w:eastAsia="Calibri"/>
                <w:lang w:eastAsia="sv-SE"/>
              </w:rPr>
              <w:t xml:space="preserve"> of the PCell.</w:t>
            </w:r>
          </w:p>
        </w:tc>
      </w:tr>
      <w:tr w:rsidR="009536C4" w:rsidRPr="00FA0D37" w14:paraId="5FBED45F" w14:textId="77777777" w:rsidTr="00CD007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FA0D37" w:rsidRDefault="009536C4" w:rsidP="00CD007B">
            <w:pPr>
              <w:pStyle w:val="TAL"/>
              <w:rPr>
                <w:rFonts w:eastAsia="Calibri"/>
                <w:b/>
                <w:bCs/>
                <w:i/>
                <w:iCs/>
                <w:lang w:eastAsia="sv-SE"/>
              </w:rPr>
            </w:pPr>
            <w:r w:rsidRPr="00FA0D37">
              <w:rPr>
                <w:rFonts w:eastAsia="Calibri"/>
                <w:b/>
                <w:bCs/>
                <w:i/>
                <w:iCs/>
                <w:lang w:eastAsia="sv-SE"/>
              </w:rPr>
              <w:t>prioSCellPRACH-OverSP-PeriodicSRS</w:t>
            </w:r>
          </w:p>
          <w:p w14:paraId="2714B05E" w14:textId="77777777" w:rsidR="009536C4" w:rsidRPr="00FA0D37" w:rsidRDefault="009536C4" w:rsidP="00CD007B">
            <w:pPr>
              <w:pStyle w:val="TAL"/>
              <w:rPr>
                <w:rFonts w:eastAsia="Calibri"/>
                <w:b/>
                <w:bCs/>
                <w:i/>
                <w:iCs/>
                <w:lang w:eastAsia="sv-SE"/>
              </w:rPr>
            </w:pPr>
            <w:r w:rsidRPr="00FA0D37">
              <w:rPr>
                <w:rFonts w:eastAsia="Calibri"/>
                <w:lang w:eastAsia="sv-SE"/>
              </w:rPr>
              <w:t>When configured, the UE applies UL power control prioritization by prioritizing PRACH transmission on SCell over semi-persistent and/or periodic SRS transmission as defined in subclause 7.5 of TS 38.213 [13].</w:t>
            </w:r>
          </w:p>
        </w:tc>
      </w:tr>
      <w:tr w:rsidR="005C7FF4" w:rsidRPr="00FA0D37"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FA0D37" w:rsidRDefault="00394471" w:rsidP="00964CC4">
            <w:pPr>
              <w:pStyle w:val="TAL"/>
              <w:rPr>
                <w:rFonts w:eastAsia="Calibri"/>
                <w:szCs w:val="22"/>
                <w:lang w:eastAsia="sv-SE"/>
              </w:rPr>
            </w:pPr>
            <w:r w:rsidRPr="00FA0D37">
              <w:rPr>
                <w:rFonts w:eastAsia="Calibri"/>
                <w:b/>
                <w:i/>
                <w:szCs w:val="22"/>
                <w:lang w:eastAsia="sv-SE"/>
              </w:rPr>
              <w:t>rlc-BearerToAddModList</w:t>
            </w:r>
          </w:p>
          <w:p w14:paraId="2677C4E8" w14:textId="77777777" w:rsidR="00394471" w:rsidRPr="00FA0D37" w:rsidRDefault="00394471" w:rsidP="00964CC4">
            <w:pPr>
              <w:pStyle w:val="TAL"/>
              <w:rPr>
                <w:rFonts w:eastAsia="Calibri"/>
                <w:szCs w:val="22"/>
                <w:lang w:eastAsia="sv-SE"/>
              </w:rPr>
            </w:pPr>
            <w:r w:rsidRPr="00FA0D37">
              <w:rPr>
                <w:rFonts w:eastAsia="Calibri"/>
                <w:szCs w:val="22"/>
                <w:lang w:eastAsia="sv-SE"/>
              </w:rPr>
              <w:t>Configuration of the MAC Logical Channel, the corresponding RLC entities and association with radio bearers.</w:t>
            </w:r>
          </w:p>
        </w:tc>
      </w:tr>
      <w:tr w:rsidR="005C7FF4" w:rsidRPr="00FA0D37"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FA0D37" w:rsidRDefault="00394471" w:rsidP="00964CC4">
            <w:pPr>
              <w:pStyle w:val="TAL"/>
              <w:rPr>
                <w:rFonts w:eastAsia="Calibri"/>
                <w:szCs w:val="22"/>
                <w:lang w:eastAsia="sv-SE"/>
              </w:rPr>
            </w:pPr>
            <w:r w:rsidRPr="00FA0D37">
              <w:rPr>
                <w:rFonts w:eastAsia="Calibri"/>
                <w:b/>
                <w:i/>
                <w:szCs w:val="22"/>
                <w:lang w:eastAsia="sv-SE"/>
              </w:rPr>
              <w:t>reportUplinkTxDirectCurrent</w:t>
            </w:r>
          </w:p>
          <w:p w14:paraId="41F6DB21"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A0D37">
              <w:rPr>
                <w:rFonts w:eastAsia="Calibri"/>
                <w:i/>
                <w:szCs w:val="22"/>
                <w:lang w:eastAsia="sv-SE"/>
              </w:rPr>
              <w:t>CellGroupConfig</w:t>
            </w:r>
            <w:r w:rsidRPr="00FA0D37">
              <w:rPr>
                <w:rFonts w:eastAsia="Calibri"/>
                <w:szCs w:val="22"/>
                <w:lang w:eastAsia="sv-SE"/>
              </w:rPr>
              <w:t xml:space="preserve"> when provided as part of </w:t>
            </w:r>
            <w:r w:rsidRPr="00FA0D37">
              <w:rPr>
                <w:rFonts w:eastAsia="Calibri"/>
                <w:i/>
                <w:szCs w:val="22"/>
                <w:lang w:eastAsia="sv-SE"/>
              </w:rPr>
              <w:t>RRCSetup</w:t>
            </w:r>
            <w:r w:rsidRPr="00FA0D37">
              <w:rPr>
                <w:rFonts w:eastAsia="Calibri"/>
                <w:szCs w:val="22"/>
                <w:lang w:eastAsia="sv-SE"/>
              </w:rPr>
              <w:t xml:space="preserve"> message. If UE is configured with SUL carrier, UE reports both UL and SUL Direct Current locations.</w:t>
            </w:r>
          </w:p>
        </w:tc>
      </w:tr>
      <w:tr w:rsidR="005C7FF4" w:rsidRPr="00FA0D37"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FA0D37" w:rsidRDefault="006C69F1" w:rsidP="0071565C">
            <w:pPr>
              <w:pStyle w:val="TAL"/>
              <w:rPr>
                <w:rFonts w:eastAsia="Calibri"/>
                <w:b/>
                <w:i/>
                <w:szCs w:val="22"/>
                <w:lang w:eastAsia="sv-SE"/>
              </w:rPr>
            </w:pPr>
            <w:r w:rsidRPr="00FA0D37">
              <w:rPr>
                <w:rFonts w:eastAsia="Calibri"/>
                <w:b/>
                <w:i/>
                <w:szCs w:val="22"/>
                <w:lang w:eastAsia="sv-SE"/>
              </w:rPr>
              <w:t>reportUplinkTxDirectCurrentMoreCarrier</w:t>
            </w:r>
          </w:p>
          <w:p w14:paraId="1356645D" w14:textId="22EAB534" w:rsidR="006C69F1" w:rsidRPr="00FA0D37" w:rsidRDefault="006C69F1" w:rsidP="0071565C">
            <w:pPr>
              <w:pStyle w:val="TAL"/>
              <w:rPr>
                <w:rFonts w:eastAsia="Calibri"/>
                <w:bCs/>
                <w:iCs/>
                <w:szCs w:val="22"/>
                <w:lang w:eastAsia="sv-SE"/>
              </w:rPr>
            </w:pPr>
            <w:r w:rsidRPr="00FA0D37">
              <w:rPr>
                <w:rFonts w:eastAsia="Calibri"/>
                <w:bCs/>
                <w:iCs/>
                <w:szCs w:val="22"/>
                <w:lang w:eastAsia="sv-SE"/>
              </w:rPr>
              <w:t xml:space="preserve">Enables reporting of uplink Direct Current location information when the UE is configured with intra-band CA. This field is absent in the IE </w:t>
            </w:r>
            <w:r w:rsidRPr="00FA0D37">
              <w:rPr>
                <w:rFonts w:eastAsia="Calibri"/>
                <w:bCs/>
                <w:i/>
                <w:szCs w:val="22"/>
                <w:lang w:eastAsia="sv-SE"/>
              </w:rPr>
              <w:t>CellGroupConfig</w:t>
            </w:r>
            <w:r w:rsidRPr="00FA0D37">
              <w:rPr>
                <w:rFonts w:eastAsia="Calibri"/>
                <w:bCs/>
                <w:iCs/>
                <w:szCs w:val="22"/>
                <w:lang w:eastAsia="sv-SE"/>
              </w:rPr>
              <w:t xml:space="preserve"> when provided as part of </w:t>
            </w:r>
            <w:r w:rsidRPr="00FA0D37">
              <w:rPr>
                <w:rFonts w:eastAsia="Calibri"/>
                <w:bCs/>
                <w:i/>
                <w:szCs w:val="22"/>
                <w:lang w:eastAsia="sv-SE"/>
              </w:rPr>
              <w:t>RRCSetup</w:t>
            </w:r>
            <w:r w:rsidRPr="00FA0D37">
              <w:rPr>
                <w:rFonts w:eastAsia="Calibri"/>
                <w:bCs/>
                <w:iCs/>
                <w:szCs w:val="22"/>
                <w:lang w:eastAsia="sv-SE"/>
              </w:rPr>
              <w:t xml:space="preserve"> message. The UE only report</w:t>
            </w:r>
            <w:r w:rsidR="00E623A0" w:rsidRPr="00FA0D37">
              <w:rPr>
                <w:rFonts w:eastAsia="Calibri"/>
                <w:bCs/>
                <w:iCs/>
                <w:szCs w:val="22"/>
                <w:lang w:eastAsia="sv-SE"/>
              </w:rPr>
              <w:t>s</w:t>
            </w:r>
            <w:r w:rsidRPr="00FA0D37">
              <w:rPr>
                <w:rFonts w:eastAsia="Calibri"/>
                <w:bCs/>
                <w:iCs/>
                <w:szCs w:val="22"/>
                <w:lang w:eastAsia="sv-SE"/>
              </w:rPr>
              <w:t xml:space="preserve"> the uplink Direct Current location information that are related to the indicated </w:t>
            </w:r>
            <w:r w:rsidRPr="00FA0D37">
              <w:rPr>
                <w:rFonts w:eastAsia="Calibri"/>
                <w:bCs/>
                <w:i/>
                <w:szCs w:val="22"/>
                <w:lang w:eastAsia="sv-SE"/>
              </w:rPr>
              <w:t>cc-CombinationList</w:t>
            </w:r>
            <w:r w:rsidRPr="00FA0D37">
              <w:rPr>
                <w:rFonts w:eastAsia="Calibri"/>
                <w:bCs/>
                <w:iCs/>
                <w:szCs w:val="22"/>
                <w:lang w:eastAsia="sv-SE"/>
              </w:rPr>
              <w:t>. The network does not include carriers which locate in DL only spectrum described in TS 38.101-2 [39]</w:t>
            </w:r>
            <w:r w:rsidR="00E623A0" w:rsidRPr="00FA0D37">
              <w:rPr>
                <w:rFonts w:eastAsia="Calibri"/>
                <w:bCs/>
                <w:iCs/>
                <w:szCs w:val="22"/>
                <w:lang w:eastAsia="sv-SE"/>
              </w:rPr>
              <w:t>,</w:t>
            </w:r>
            <w:r w:rsidRPr="00FA0D37">
              <w:rPr>
                <w:rFonts w:eastAsia="Calibri"/>
                <w:bCs/>
                <w:iCs/>
                <w:szCs w:val="22"/>
                <w:lang w:eastAsia="sv-SE"/>
              </w:rPr>
              <w:t xml:space="preserve"> clause 5.3A.4 and defined by Fsd according to Table 5.3A.4-3 in FR2 in the </w:t>
            </w:r>
            <w:r w:rsidRPr="00FA0D37">
              <w:rPr>
                <w:rFonts w:eastAsia="Calibri"/>
                <w:bCs/>
                <w:i/>
                <w:szCs w:val="22"/>
                <w:lang w:eastAsia="sv-SE"/>
              </w:rPr>
              <w:t>IntraBandCC-CombinationReqList</w:t>
            </w:r>
            <w:r w:rsidRPr="00FA0D37">
              <w:rPr>
                <w:rFonts w:eastAsia="Calibri"/>
                <w:bCs/>
                <w:iCs/>
                <w:szCs w:val="22"/>
                <w:lang w:eastAsia="sv-SE"/>
              </w:rPr>
              <w:t>. I.e. DL-only carrier in FR2 frequency spectrum is not used to calculate the default DC location.</w:t>
            </w:r>
          </w:p>
        </w:tc>
      </w:tr>
      <w:tr w:rsidR="005C7FF4" w:rsidRPr="00FA0D37"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FA0D37" w:rsidRDefault="00E46198" w:rsidP="00DB6EED">
            <w:pPr>
              <w:pStyle w:val="TAL"/>
              <w:rPr>
                <w:rFonts w:eastAsia="Calibri"/>
                <w:szCs w:val="22"/>
                <w:lang w:eastAsia="sv-SE"/>
              </w:rPr>
            </w:pPr>
            <w:r w:rsidRPr="00FA0D37">
              <w:rPr>
                <w:rFonts w:eastAsia="Calibri"/>
                <w:b/>
                <w:i/>
                <w:szCs w:val="22"/>
                <w:lang w:eastAsia="sv-SE"/>
              </w:rPr>
              <w:t>reportUplinkTxDirectCurrentTwoCarrier</w:t>
            </w:r>
          </w:p>
          <w:p w14:paraId="141FA115" w14:textId="77777777" w:rsidR="00E46198" w:rsidRPr="00FA0D37" w:rsidRDefault="00E46198" w:rsidP="00DB6EED">
            <w:pPr>
              <w:pStyle w:val="TAL"/>
              <w:rPr>
                <w:rFonts w:eastAsia="Calibri"/>
                <w:szCs w:val="22"/>
                <w:lang w:eastAsia="sv-SE"/>
              </w:rPr>
            </w:pPr>
            <w:r w:rsidRPr="00FA0D37">
              <w:rPr>
                <w:rFonts w:eastAsia="Calibri"/>
                <w:szCs w:val="22"/>
                <w:lang w:eastAsia="sv-SE"/>
              </w:rPr>
              <w:t xml:space="preserve">Enables reporting of uplink Direct Current location information when the UE is configured with uplink </w:t>
            </w:r>
            <w:r w:rsidRPr="00FA0D37">
              <w:rPr>
                <w:szCs w:val="22"/>
                <w:lang w:eastAsia="sv-SE"/>
              </w:rPr>
              <w:t>intra-band CA with two carriers</w:t>
            </w:r>
            <w:r w:rsidRPr="00FA0D37">
              <w:rPr>
                <w:rFonts w:eastAsia="Calibri"/>
                <w:szCs w:val="22"/>
                <w:lang w:eastAsia="sv-SE"/>
              </w:rPr>
              <w:t xml:space="preserve">. This field is absent in the IE </w:t>
            </w:r>
            <w:r w:rsidRPr="00FA0D37">
              <w:rPr>
                <w:rFonts w:eastAsia="Calibri"/>
                <w:i/>
                <w:szCs w:val="22"/>
                <w:lang w:eastAsia="sv-SE"/>
              </w:rPr>
              <w:t>CellGroupConfig</w:t>
            </w:r>
            <w:r w:rsidRPr="00FA0D37">
              <w:rPr>
                <w:rFonts w:eastAsia="Calibri"/>
                <w:szCs w:val="22"/>
                <w:lang w:eastAsia="sv-SE"/>
              </w:rPr>
              <w:t xml:space="preserve"> when provided as part of </w:t>
            </w:r>
            <w:r w:rsidRPr="00FA0D37">
              <w:rPr>
                <w:rFonts w:eastAsia="Calibri"/>
                <w:i/>
                <w:szCs w:val="22"/>
                <w:lang w:eastAsia="sv-SE"/>
              </w:rPr>
              <w:t>RRCSetup</w:t>
            </w:r>
            <w:r w:rsidRPr="00FA0D37">
              <w:rPr>
                <w:rFonts w:eastAsia="Calibri"/>
                <w:szCs w:val="22"/>
                <w:lang w:eastAsia="sv-SE"/>
              </w:rPr>
              <w:t xml:space="preserve"> message.</w:t>
            </w:r>
          </w:p>
        </w:tc>
      </w:tr>
      <w:tr w:rsidR="005C7FF4" w:rsidRPr="00FA0D37"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FA0D37" w:rsidRDefault="00297667" w:rsidP="00297667">
            <w:pPr>
              <w:pStyle w:val="TAL"/>
              <w:rPr>
                <w:rFonts w:eastAsia="Calibri"/>
                <w:b/>
                <w:i/>
                <w:szCs w:val="22"/>
                <w:lang w:eastAsia="sv-SE"/>
              </w:rPr>
            </w:pPr>
            <w:r w:rsidRPr="00FA0D37">
              <w:rPr>
                <w:rFonts w:eastAsia="Calibri"/>
                <w:b/>
                <w:i/>
                <w:szCs w:val="22"/>
                <w:lang w:eastAsia="sv-SE"/>
              </w:rPr>
              <w:t>rlc-BearerToReleaseListExt</w:t>
            </w:r>
          </w:p>
          <w:p w14:paraId="511A2886" w14:textId="276699CC" w:rsidR="00297667" w:rsidRPr="00FA0D37" w:rsidRDefault="00297667" w:rsidP="00297667">
            <w:pPr>
              <w:pStyle w:val="TAL"/>
              <w:rPr>
                <w:rFonts w:eastAsia="Calibri"/>
                <w:b/>
                <w:i/>
                <w:szCs w:val="22"/>
                <w:lang w:eastAsia="sv-SE"/>
              </w:rPr>
            </w:pPr>
            <w:r w:rsidRPr="00FA0D37">
              <w:rPr>
                <w:rFonts w:eastAsiaTheme="minorEastAsia"/>
                <w:szCs w:val="22"/>
                <w:lang w:eastAsia="sv-SE"/>
              </w:rPr>
              <w:t xml:space="preserve">List of </w:t>
            </w:r>
            <w:r w:rsidRPr="00FA0D37">
              <w:rPr>
                <w:rFonts w:eastAsia="Calibri"/>
                <w:szCs w:val="22"/>
                <w:lang w:eastAsia="sv-SE"/>
              </w:rPr>
              <w:t>the</w:t>
            </w:r>
            <w:r w:rsidRPr="00FA0D37">
              <w:rPr>
                <w:rFonts w:eastAsia="Yu Mincho"/>
                <w:szCs w:val="22"/>
              </w:rPr>
              <w:t xml:space="preserve"> RLC entities and the corresponding </w:t>
            </w:r>
            <w:r w:rsidRPr="00FA0D37">
              <w:rPr>
                <w:rFonts w:eastAsiaTheme="minorEastAsia"/>
                <w:szCs w:val="22"/>
                <w:lang w:eastAsia="sv-SE"/>
              </w:rPr>
              <w:t>MAC Logical Channels to be released for multicast MRBs.</w:t>
            </w:r>
          </w:p>
        </w:tc>
      </w:tr>
      <w:tr w:rsidR="005C7FF4" w:rsidRPr="00FA0D37"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FA0D37" w:rsidRDefault="00297667" w:rsidP="00297667">
            <w:pPr>
              <w:pStyle w:val="TAL"/>
              <w:rPr>
                <w:rFonts w:eastAsia="Calibri"/>
                <w:b/>
                <w:i/>
                <w:szCs w:val="22"/>
                <w:lang w:eastAsia="sv-SE"/>
              </w:rPr>
            </w:pPr>
            <w:r w:rsidRPr="00FA0D37">
              <w:rPr>
                <w:rFonts w:eastAsia="Calibri"/>
                <w:b/>
                <w:i/>
                <w:szCs w:val="22"/>
                <w:lang w:eastAsia="sv-SE"/>
              </w:rPr>
              <w:lastRenderedPageBreak/>
              <w:t>rlmInSyncOutOfSyncThreshold</w:t>
            </w:r>
          </w:p>
          <w:p w14:paraId="507908E4" w14:textId="77777777" w:rsidR="00297667" w:rsidRPr="00FA0D37" w:rsidRDefault="00297667" w:rsidP="00297667">
            <w:pPr>
              <w:pStyle w:val="TAL"/>
              <w:rPr>
                <w:rFonts w:eastAsia="Calibri"/>
                <w:szCs w:val="22"/>
                <w:lang w:eastAsia="sv-SE"/>
              </w:rPr>
            </w:pPr>
            <w:r w:rsidRPr="00FA0D37">
              <w:rPr>
                <w:rFonts w:eastAsia="Calibri"/>
                <w:szCs w:val="22"/>
                <w:lang w:eastAsia="sv-SE"/>
              </w:rPr>
              <w:t>BLER threshold pair index for IS/OOS indication generation, see TS 38.133</w:t>
            </w:r>
            <w:r w:rsidRPr="00FA0D37">
              <w:rPr>
                <w:rFonts w:eastAsia="Calibri"/>
                <w:lang w:eastAsia="sv-SE"/>
              </w:rPr>
              <w:t xml:space="preserve"> [14], table 8.1.1-1</w:t>
            </w:r>
            <w:r w:rsidRPr="00FA0D37">
              <w:rPr>
                <w:rFonts w:eastAsia="Calibri"/>
                <w:szCs w:val="22"/>
                <w:lang w:eastAsia="sv-SE"/>
              </w:rPr>
              <w:t xml:space="preserve">. </w:t>
            </w:r>
            <w:r w:rsidRPr="00FA0D37">
              <w:rPr>
                <w:rFonts w:eastAsia="Calibri"/>
                <w:i/>
                <w:iCs/>
                <w:lang w:eastAsia="sv-SE"/>
              </w:rPr>
              <w:t>n1</w:t>
            </w:r>
            <w:r w:rsidRPr="00FA0D37">
              <w:rPr>
                <w:rFonts w:eastAsia="Calibri"/>
                <w:lang w:eastAsia="sv-SE"/>
              </w:rPr>
              <w:t xml:space="preserve"> corresponds to the value 1. When the field is absent, the UE applies the value 0. </w:t>
            </w:r>
            <w:r w:rsidRPr="00FA0D37">
              <w:rPr>
                <w:rFonts w:eastAsia="Calibri"/>
                <w:szCs w:val="22"/>
                <w:lang w:eastAsia="sv-SE"/>
              </w:rPr>
              <w:t xml:space="preserve">Whenever this is reconfigured, UE resets N310 and N311, and stops T310, if running. </w:t>
            </w:r>
            <w:r w:rsidRPr="00FA0D37">
              <w:rPr>
                <w:lang w:eastAsia="sv-SE"/>
              </w:rPr>
              <w:t>Network does not include this field.</w:t>
            </w:r>
          </w:p>
        </w:tc>
      </w:tr>
      <w:tr w:rsidR="005C7FF4" w:rsidRPr="00FA0D37"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FA0D37" w:rsidRDefault="00BD2874" w:rsidP="00BD2874">
            <w:pPr>
              <w:pStyle w:val="TAL"/>
              <w:rPr>
                <w:rFonts w:eastAsia="Calibri"/>
                <w:b/>
                <w:i/>
                <w:szCs w:val="22"/>
                <w:lang w:eastAsia="sv-SE"/>
              </w:rPr>
            </w:pPr>
            <w:r w:rsidRPr="00FA0D37">
              <w:rPr>
                <w:rFonts w:eastAsia="Calibri"/>
                <w:b/>
                <w:i/>
                <w:szCs w:val="22"/>
                <w:lang w:eastAsia="sv-SE"/>
              </w:rPr>
              <w:t>sCellSIB20</w:t>
            </w:r>
          </w:p>
          <w:p w14:paraId="43D9DF19" w14:textId="19FE9D23" w:rsidR="00BD2874" w:rsidRPr="00FA0D37" w:rsidRDefault="00BD2874" w:rsidP="00BD2874">
            <w:pPr>
              <w:pStyle w:val="TAL"/>
              <w:rPr>
                <w:rFonts w:eastAsia="Calibri"/>
                <w:b/>
                <w:i/>
                <w:szCs w:val="22"/>
                <w:lang w:eastAsia="sv-SE"/>
              </w:rPr>
            </w:pPr>
            <w:r w:rsidRPr="00FA0D37">
              <w:rPr>
                <w:rFonts w:eastAsia="Calibri"/>
                <w:szCs w:val="22"/>
                <w:lang w:eastAsia="sv-SE"/>
              </w:rPr>
              <w:t xml:space="preserve">This field is used to transfer </w:t>
            </w:r>
            <w:r w:rsidRPr="00FA0D37">
              <w:rPr>
                <w:rFonts w:eastAsia="Calibri"/>
                <w:i/>
                <w:szCs w:val="22"/>
                <w:lang w:eastAsia="sv-SE"/>
              </w:rPr>
              <w:t>SIB20</w:t>
            </w:r>
            <w:r w:rsidRPr="00FA0D37">
              <w:rPr>
                <w:rFonts w:eastAsia="Calibri"/>
                <w:szCs w:val="22"/>
                <w:lang w:eastAsia="sv-SE"/>
              </w:rPr>
              <w:t xml:space="preserve"> of the SCell in order to allow the UE for MBS broadcast reception on SCell. The network configures this field only for a single SCell at a time.</w:t>
            </w:r>
          </w:p>
        </w:tc>
      </w:tr>
      <w:tr w:rsidR="005C7FF4" w:rsidRPr="00FA0D37" w14:paraId="1E7827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E1F40" w14:textId="77777777" w:rsidR="00BD2874" w:rsidRPr="00FA0D37" w:rsidRDefault="00BD2874" w:rsidP="00BD2874">
            <w:pPr>
              <w:pStyle w:val="TAL"/>
              <w:rPr>
                <w:rFonts w:eastAsia="Calibri"/>
                <w:b/>
                <w:i/>
                <w:szCs w:val="22"/>
                <w:lang w:eastAsia="sv-SE"/>
              </w:rPr>
            </w:pPr>
            <w:r w:rsidRPr="00FA0D37">
              <w:rPr>
                <w:rFonts w:eastAsia="Calibri"/>
                <w:b/>
                <w:i/>
                <w:szCs w:val="22"/>
                <w:lang w:eastAsia="sv-SE"/>
              </w:rPr>
              <w:t>sCellState</w:t>
            </w:r>
          </w:p>
          <w:p w14:paraId="4841C6E5" w14:textId="768FC398" w:rsidR="00BD2874" w:rsidRPr="00FA0D37" w:rsidRDefault="00BD2874" w:rsidP="00BD2874">
            <w:pPr>
              <w:pStyle w:val="TAL"/>
              <w:rPr>
                <w:rFonts w:eastAsia="Calibri"/>
                <w:b/>
                <w:i/>
                <w:szCs w:val="22"/>
                <w:lang w:eastAsia="sv-SE"/>
              </w:rPr>
            </w:pPr>
            <w:r w:rsidRPr="00FA0D37">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5C7FF4" w:rsidRPr="00FA0D37"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FA0D37" w:rsidRDefault="00BD2874" w:rsidP="00BD2874">
            <w:pPr>
              <w:pStyle w:val="TAL"/>
              <w:rPr>
                <w:rFonts w:eastAsia="Calibri"/>
                <w:szCs w:val="22"/>
                <w:lang w:eastAsia="sv-SE"/>
              </w:rPr>
            </w:pPr>
            <w:r w:rsidRPr="00FA0D37">
              <w:rPr>
                <w:rFonts w:eastAsia="Calibri"/>
                <w:b/>
                <w:i/>
                <w:szCs w:val="22"/>
                <w:lang w:eastAsia="sv-SE"/>
              </w:rPr>
              <w:t>sCellToAddModList</w:t>
            </w:r>
          </w:p>
          <w:p w14:paraId="2F7C2EBA" w14:textId="77777777" w:rsidR="00BD2874" w:rsidRPr="00FA0D37" w:rsidRDefault="00BD2874" w:rsidP="00BD2874">
            <w:pPr>
              <w:pStyle w:val="TAL"/>
              <w:rPr>
                <w:rFonts w:eastAsia="Calibri"/>
                <w:szCs w:val="22"/>
                <w:lang w:eastAsia="sv-SE"/>
              </w:rPr>
            </w:pPr>
            <w:r w:rsidRPr="00FA0D37">
              <w:rPr>
                <w:rFonts w:eastAsia="Calibri"/>
                <w:szCs w:val="22"/>
                <w:lang w:eastAsia="sv-SE"/>
              </w:rPr>
              <w:t>List of secondary serving cells (SCells) to be added or modified.</w:t>
            </w:r>
          </w:p>
        </w:tc>
      </w:tr>
      <w:tr w:rsidR="005C7FF4" w:rsidRPr="00FA0D37"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FA0D37" w:rsidRDefault="00BD2874" w:rsidP="00BD2874">
            <w:pPr>
              <w:pStyle w:val="TAL"/>
              <w:rPr>
                <w:rFonts w:eastAsia="Calibri"/>
                <w:szCs w:val="22"/>
                <w:lang w:eastAsia="sv-SE"/>
              </w:rPr>
            </w:pPr>
            <w:r w:rsidRPr="00FA0D37">
              <w:rPr>
                <w:rFonts w:eastAsia="Calibri"/>
                <w:b/>
                <w:i/>
                <w:szCs w:val="22"/>
                <w:lang w:eastAsia="sv-SE"/>
              </w:rPr>
              <w:t>sCellToReleaseList</w:t>
            </w:r>
          </w:p>
          <w:p w14:paraId="421AB35F" w14:textId="77777777" w:rsidR="00BD2874" w:rsidRPr="00FA0D37" w:rsidRDefault="00BD2874" w:rsidP="00BD2874">
            <w:pPr>
              <w:pStyle w:val="TAL"/>
              <w:rPr>
                <w:rFonts w:eastAsia="Calibri"/>
                <w:szCs w:val="22"/>
                <w:lang w:eastAsia="sv-SE"/>
              </w:rPr>
            </w:pPr>
            <w:r w:rsidRPr="00FA0D37">
              <w:rPr>
                <w:rFonts w:eastAsia="Calibri"/>
                <w:szCs w:val="22"/>
                <w:lang w:eastAsia="sv-SE"/>
              </w:rPr>
              <w:t>List of secondary serving cells (SCells) to be released.</w:t>
            </w:r>
          </w:p>
        </w:tc>
      </w:tr>
      <w:tr w:rsidR="005C7FF4" w:rsidRPr="00FA0D37"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FA0D37" w:rsidRDefault="00BD2874" w:rsidP="00BD2874">
            <w:pPr>
              <w:pStyle w:val="TAL"/>
              <w:rPr>
                <w:rFonts w:eastAsia="Calibri"/>
                <w:b/>
                <w:i/>
                <w:szCs w:val="22"/>
                <w:lang w:eastAsia="sv-SE"/>
              </w:rPr>
            </w:pPr>
            <w:r w:rsidRPr="00FA0D37">
              <w:rPr>
                <w:rFonts w:eastAsia="Calibri"/>
                <w:b/>
                <w:i/>
                <w:szCs w:val="22"/>
                <w:lang w:eastAsia="sv-SE"/>
              </w:rPr>
              <w:t>simultaneousSpatial-UpdatedList1, simultaneousSpatial-UpdatedList2</w:t>
            </w:r>
          </w:p>
          <w:p w14:paraId="69A3747D" w14:textId="77777777" w:rsidR="00BD2874" w:rsidRPr="00FA0D37" w:rsidRDefault="00BD2874" w:rsidP="00BD2874">
            <w:pPr>
              <w:pStyle w:val="TAL"/>
              <w:rPr>
                <w:rFonts w:eastAsia="Calibri"/>
                <w:b/>
                <w:i/>
                <w:szCs w:val="22"/>
                <w:lang w:eastAsia="sv-SE"/>
              </w:rPr>
            </w:pPr>
            <w:r w:rsidRPr="00FA0D37">
              <w:rPr>
                <w:rFonts w:eastAsia="Calibri"/>
                <w:bCs/>
                <w:iCs/>
                <w:szCs w:val="22"/>
                <w:lang w:eastAsia="sv-SE"/>
              </w:rPr>
              <w:t xml:space="preserve">List of serving cells which can be updated simultaneously for spatial relation with a MAC CE. The </w:t>
            </w:r>
            <w:r w:rsidRPr="00FA0D37">
              <w:rPr>
                <w:rFonts w:eastAsia="Calibri"/>
                <w:bCs/>
                <w:i/>
                <w:iCs/>
                <w:szCs w:val="22"/>
                <w:lang w:eastAsia="sv-SE"/>
              </w:rPr>
              <w:t>simultaneousSpatial-UpdatedList1</w:t>
            </w:r>
            <w:r w:rsidRPr="00FA0D37">
              <w:rPr>
                <w:rFonts w:eastAsia="Calibri"/>
                <w:bCs/>
                <w:iCs/>
                <w:szCs w:val="22"/>
                <w:lang w:eastAsia="sv-SE"/>
              </w:rPr>
              <w:t xml:space="preserve"> and </w:t>
            </w:r>
            <w:r w:rsidRPr="00FA0D37">
              <w:rPr>
                <w:rFonts w:eastAsia="Calibri"/>
                <w:bCs/>
                <w:i/>
                <w:iCs/>
                <w:szCs w:val="22"/>
                <w:lang w:eastAsia="sv-SE"/>
              </w:rPr>
              <w:t xml:space="preserve">simultaneousSpatial-UpdatedList2 </w:t>
            </w:r>
            <w:r w:rsidRPr="00FA0D37">
              <w:rPr>
                <w:rFonts w:eastAsia="Calibri"/>
                <w:bCs/>
                <w:iCs/>
                <w:szCs w:val="22"/>
                <w:lang w:eastAsia="sv-SE"/>
              </w:rPr>
              <w:t>shall not contain same serving cells.</w:t>
            </w:r>
            <w:r w:rsidRPr="00FA0D37">
              <w:rPr>
                <w:rFonts w:eastAsia="Calibri"/>
                <w:bCs/>
                <w:iCs/>
                <w:szCs w:val="22"/>
              </w:rPr>
              <w:t xml:space="preserve"> Network should not configure serving cells that are configured with a BWP with two different values for the </w:t>
            </w:r>
            <w:r w:rsidRPr="00FA0D37">
              <w:rPr>
                <w:rFonts w:eastAsia="Calibri"/>
                <w:bCs/>
                <w:i/>
                <w:szCs w:val="22"/>
              </w:rPr>
              <w:t>coresetPoolIndex</w:t>
            </w:r>
            <w:r w:rsidRPr="00FA0D37">
              <w:rPr>
                <w:rFonts w:eastAsia="Calibri"/>
                <w:bCs/>
                <w:iCs/>
                <w:szCs w:val="22"/>
              </w:rPr>
              <w:t xml:space="preserve"> in these lists.</w:t>
            </w:r>
          </w:p>
        </w:tc>
      </w:tr>
      <w:tr w:rsidR="005C7FF4" w:rsidRPr="00FA0D37"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FA0D37" w:rsidRDefault="00BD2874" w:rsidP="00BD2874">
            <w:pPr>
              <w:pStyle w:val="TAL"/>
              <w:rPr>
                <w:rFonts w:eastAsia="Calibri"/>
                <w:b/>
                <w:i/>
                <w:szCs w:val="22"/>
                <w:lang w:eastAsia="sv-SE"/>
              </w:rPr>
            </w:pPr>
            <w:r w:rsidRPr="00FA0D37">
              <w:rPr>
                <w:rFonts w:eastAsia="Calibri"/>
                <w:b/>
                <w:i/>
                <w:szCs w:val="22"/>
                <w:lang w:eastAsia="sv-SE"/>
              </w:rPr>
              <w:t>simultaneousTCI-UpdateList1, simultaneousTCI-UpdateList2</w:t>
            </w:r>
          </w:p>
          <w:p w14:paraId="04212B17" w14:textId="77777777" w:rsidR="00BD2874" w:rsidRPr="00FA0D37" w:rsidRDefault="00BD2874" w:rsidP="00BD2874">
            <w:pPr>
              <w:pStyle w:val="TAL"/>
              <w:rPr>
                <w:rFonts w:eastAsia="Calibri"/>
                <w:bCs/>
                <w:iCs/>
                <w:szCs w:val="22"/>
                <w:lang w:eastAsia="sv-SE"/>
              </w:rPr>
            </w:pPr>
            <w:r w:rsidRPr="00FA0D37">
              <w:rPr>
                <w:rFonts w:eastAsia="Calibri"/>
                <w:bCs/>
                <w:iCs/>
                <w:szCs w:val="22"/>
                <w:lang w:eastAsia="sv-SE"/>
              </w:rPr>
              <w:t>List of serving cells which can be updated simultaneously for TCI relation with a MAC CE. The</w:t>
            </w:r>
            <w:r w:rsidRPr="00FA0D37">
              <w:rPr>
                <w:rFonts w:eastAsia="Calibri"/>
                <w:bCs/>
                <w:i/>
                <w:szCs w:val="22"/>
                <w:lang w:eastAsia="sv-SE"/>
              </w:rPr>
              <w:t xml:space="preserve"> simultaneousTCI-UpdateList1</w:t>
            </w:r>
            <w:r w:rsidRPr="00FA0D37">
              <w:rPr>
                <w:rFonts w:eastAsia="Calibri"/>
                <w:bCs/>
                <w:iCs/>
                <w:szCs w:val="22"/>
                <w:lang w:eastAsia="sv-SE"/>
              </w:rPr>
              <w:t xml:space="preserve"> and </w:t>
            </w:r>
            <w:r w:rsidRPr="00FA0D37">
              <w:rPr>
                <w:rFonts w:eastAsia="Calibri"/>
                <w:bCs/>
                <w:i/>
                <w:szCs w:val="22"/>
                <w:lang w:eastAsia="sv-SE"/>
              </w:rPr>
              <w:t>simultaneousTCI-UpdateList2</w:t>
            </w:r>
            <w:r w:rsidRPr="00FA0D37">
              <w:rPr>
                <w:rFonts w:eastAsia="Calibri"/>
                <w:bCs/>
                <w:iCs/>
                <w:szCs w:val="22"/>
                <w:lang w:eastAsia="sv-SE"/>
              </w:rPr>
              <w:t xml:space="preserve"> shall not contain same serving cells.</w:t>
            </w:r>
            <w:r w:rsidRPr="00FA0D37">
              <w:rPr>
                <w:rFonts w:eastAsia="Calibri"/>
                <w:bCs/>
                <w:iCs/>
                <w:szCs w:val="22"/>
              </w:rPr>
              <w:t xml:space="preserve"> Network should not configure serving cells that are configured with a BWP with two different values for the </w:t>
            </w:r>
            <w:r w:rsidRPr="00FA0D37">
              <w:rPr>
                <w:rFonts w:eastAsia="Calibri"/>
                <w:bCs/>
                <w:i/>
                <w:szCs w:val="22"/>
              </w:rPr>
              <w:t>coresetPoolIndex</w:t>
            </w:r>
            <w:r w:rsidRPr="00FA0D37">
              <w:rPr>
                <w:rFonts w:eastAsia="Calibri"/>
                <w:bCs/>
                <w:iCs/>
                <w:szCs w:val="22"/>
              </w:rPr>
              <w:t xml:space="preserve"> in these lists.</w:t>
            </w:r>
          </w:p>
        </w:tc>
      </w:tr>
      <w:tr w:rsidR="005C7FF4" w:rsidRPr="00FA0D37"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FA0D37" w:rsidRDefault="00BD2874" w:rsidP="00BD2874">
            <w:pPr>
              <w:pStyle w:val="TAL"/>
              <w:rPr>
                <w:rFonts w:eastAsia="Calibri"/>
                <w:b/>
                <w:i/>
                <w:szCs w:val="22"/>
                <w:lang w:eastAsia="sv-SE"/>
              </w:rPr>
            </w:pPr>
            <w:r w:rsidRPr="00FA0D37">
              <w:rPr>
                <w:rFonts w:eastAsia="Calibri"/>
                <w:b/>
                <w:i/>
                <w:szCs w:val="22"/>
                <w:lang w:eastAsia="sv-SE"/>
              </w:rPr>
              <w:t>simultaneousU-TCI-UpdateList1, simultaneousU-TCI-UpdateList2, simultaneousU-TCI-UpdateList3, simultaneousU-TCI-UpdateList4</w:t>
            </w:r>
          </w:p>
          <w:p w14:paraId="3541CAAF" w14:textId="0609119B" w:rsidR="00BD2874" w:rsidRPr="00FA0D37" w:rsidRDefault="00BD2874" w:rsidP="00BD2874">
            <w:pPr>
              <w:pStyle w:val="TAL"/>
              <w:rPr>
                <w:rFonts w:eastAsia="Calibri"/>
                <w:bCs/>
                <w:iCs/>
                <w:szCs w:val="22"/>
                <w:lang w:eastAsia="sv-SE"/>
              </w:rPr>
            </w:pPr>
            <w:r w:rsidRPr="00FA0D37">
              <w:rPr>
                <w:rFonts w:eastAsia="Calibri"/>
                <w:bCs/>
                <w:iCs/>
                <w:szCs w:val="22"/>
                <w:lang w:eastAsia="sv-SE"/>
              </w:rPr>
              <w:t xml:space="preserve">List of serving cells </w:t>
            </w:r>
            <w:r w:rsidRPr="00FA0D37">
              <w:t xml:space="preserve">for </w:t>
            </w:r>
            <w:r w:rsidRPr="00FA0D37">
              <w:rPr>
                <w:rFonts w:eastAsia="Calibri"/>
                <w:bCs/>
                <w:iCs/>
                <w:szCs w:val="22"/>
                <w:lang w:eastAsia="sv-SE"/>
              </w:rPr>
              <w:t xml:space="preserve">which </w:t>
            </w:r>
            <w:r w:rsidRPr="00FA0D37">
              <w:t>the Unified TCI States Activation/Deactivation MAC CE applies simultaneously, as specified in TS 38.321 [3] clause 6.1.3.47.</w:t>
            </w:r>
            <w:r w:rsidRPr="00FA0D37">
              <w:rPr>
                <w:rFonts w:eastAsia="Calibri"/>
                <w:bCs/>
                <w:iCs/>
                <w:szCs w:val="22"/>
                <w:lang w:eastAsia="sv-SE"/>
              </w:rPr>
              <w:t xml:space="preserve"> The different lists shall not contain same serving cells. Network only configures in these lists serving cells that are configured with </w:t>
            </w:r>
            <w:r w:rsidRPr="00FA0D37">
              <w:rPr>
                <w:rFonts w:eastAsia="Calibri"/>
                <w:bCs/>
                <w:i/>
                <w:szCs w:val="22"/>
                <w:lang w:eastAsia="sv-SE"/>
              </w:rPr>
              <w:t>unifiedTCI-StateType</w:t>
            </w:r>
            <w:r w:rsidRPr="00FA0D37">
              <w:rPr>
                <w:rFonts w:eastAsia="Calibri"/>
                <w:bCs/>
                <w:iCs/>
                <w:szCs w:val="22"/>
                <w:lang w:eastAsia="sv-SE"/>
              </w:rPr>
              <w:t>.</w:t>
            </w:r>
          </w:p>
        </w:tc>
      </w:tr>
      <w:tr w:rsidR="005C7FF4" w:rsidRPr="00FA0D37"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FA0D37" w:rsidRDefault="00BD2874" w:rsidP="00BD2874">
            <w:pPr>
              <w:pStyle w:val="TAL"/>
              <w:rPr>
                <w:rFonts w:eastAsia="Calibri"/>
                <w:b/>
                <w:i/>
                <w:szCs w:val="22"/>
                <w:lang w:eastAsia="sv-SE"/>
              </w:rPr>
            </w:pPr>
            <w:r w:rsidRPr="00FA0D37">
              <w:rPr>
                <w:rFonts w:eastAsia="Calibri"/>
                <w:b/>
                <w:i/>
                <w:szCs w:val="22"/>
                <w:lang w:eastAsia="sv-SE"/>
              </w:rPr>
              <w:t>spCellConfig</w:t>
            </w:r>
          </w:p>
          <w:p w14:paraId="43C2D7DF" w14:textId="77777777" w:rsidR="00BD2874" w:rsidRPr="00FA0D37" w:rsidRDefault="00BD2874" w:rsidP="00BD2874">
            <w:pPr>
              <w:pStyle w:val="TAL"/>
              <w:rPr>
                <w:rFonts w:eastAsia="Calibri"/>
                <w:lang w:eastAsia="sv-SE"/>
              </w:rPr>
            </w:pPr>
            <w:r w:rsidRPr="00FA0D37">
              <w:rPr>
                <w:rFonts w:eastAsia="Calibri"/>
                <w:lang w:eastAsia="sv-SE"/>
              </w:rPr>
              <w:t xml:space="preserve">Parameters for the SpCell of this cell group (PCell of MCG or PSCell of SCG). </w:t>
            </w:r>
          </w:p>
        </w:tc>
      </w:tr>
      <w:tr w:rsidR="005C7FF4" w:rsidRPr="00FA0D37"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FA0D37" w:rsidRDefault="00BD2874" w:rsidP="00BD2874">
            <w:pPr>
              <w:pStyle w:val="TAL"/>
              <w:rPr>
                <w:rFonts w:ascii="Courier New" w:hAnsi="Courier New"/>
                <w:b/>
                <w:bCs/>
                <w:i/>
                <w:iCs/>
                <w:noProof/>
                <w:sz w:val="16"/>
                <w:lang w:eastAsia="en-GB"/>
              </w:rPr>
            </w:pPr>
            <w:r w:rsidRPr="00FA0D37">
              <w:rPr>
                <w:b/>
                <w:bCs/>
                <w:i/>
                <w:iCs/>
                <w:lang w:eastAsia="zh-CN"/>
              </w:rPr>
              <w:t>uplinkTxSwitchingOption</w:t>
            </w:r>
          </w:p>
          <w:p w14:paraId="4BB2E510" w14:textId="77777777" w:rsidR="00BD2874" w:rsidRPr="00FA0D37" w:rsidRDefault="00BD2874" w:rsidP="00BD2874">
            <w:pPr>
              <w:pStyle w:val="TAL"/>
              <w:rPr>
                <w:rFonts w:eastAsia="Calibri"/>
              </w:rPr>
            </w:pPr>
            <w:r w:rsidRPr="00FA0D37">
              <w:rPr>
                <w:lang w:eastAsia="zh-CN"/>
              </w:rPr>
              <w:t xml:space="preserve">Indicates which option is configured for dynamic UL Tx switching for inter-band UL CA or (NG)EN-DC. The field is set to </w:t>
            </w:r>
            <w:r w:rsidRPr="00FA0D37">
              <w:rPr>
                <w:i/>
                <w:iCs/>
                <w:lang w:eastAsia="zh-CN"/>
              </w:rPr>
              <w:t>switchedUL</w:t>
            </w:r>
            <w:r w:rsidRPr="00FA0D37">
              <w:rPr>
                <w:lang w:eastAsia="zh-CN"/>
              </w:rPr>
              <w:t xml:space="preserve"> if network configures option 1 as specified in TS 38.214 [19], or </w:t>
            </w:r>
            <w:r w:rsidRPr="00FA0D37">
              <w:rPr>
                <w:i/>
                <w:iCs/>
                <w:lang w:eastAsia="zh-CN"/>
              </w:rPr>
              <w:t>dualUL</w:t>
            </w:r>
            <w:r w:rsidRPr="00FA0D37">
              <w:rPr>
                <w:lang w:eastAsia="zh-CN"/>
              </w:rPr>
              <w:t xml:space="preserve"> if network configures option 2 as specified in TS 38.214 [19]. </w:t>
            </w:r>
            <w:r w:rsidRPr="00FA0D37">
              <w:t xml:space="preserve">Network always configures UE with a value for this field in inter-band UL CA case and </w:t>
            </w:r>
            <w:r w:rsidRPr="00FA0D37">
              <w:rPr>
                <w:lang w:eastAsia="zh-CN"/>
              </w:rPr>
              <w:t>(NG)</w:t>
            </w:r>
            <w:r w:rsidRPr="00FA0D37">
              <w:t>EN-DC case where UE supports dynamic UL Tx switching.</w:t>
            </w:r>
          </w:p>
        </w:tc>
      </w:tr>
      <w:tr w:rsidR="005C7FF4" w:rsidRPr="00FA0D37"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FA0D37" w:rsidRDefault="00BD2874" w:rsidP="00BD2874">
            <w:pPr>
              <w:pStyle w:val="TAL"/>
              <w:rPr>
                <w:b/>
                <w:bCs/>
                <w:i/>
                <w:iCs/>
                <w:lang w:eastAsia="zh-CN"/>
              </w:rPr>
            </w:pPr>
            <w:r w:rsidRPr="00FA0D37">
              <w:rPr>
                <w:b/>
                <w:bCs/>
                <w:i/>
                <w:iCs/>
                <w:lang w:eastAsia="zh-CN"/>
              </w:rPr>
              <w:t>uplinkTxSwitchingPowerBoosting</w:t>
            </w:r>
          </w:p>
          <w:p w14:paraId="1FEF5206" w14:textId="77777777" w:rsidR="00BD2874" w:rsidRPr="00FA0D37" w:rsidRDefault="00BD2874" w:rsidP="00BD2874">
            <w:pPr>
              <w:pStyle w:val="TAL"/>
              <w:rPr>
                <w:lang w:eastAsia="zh-CN"/>
              </w:rPr>
            </w:pPr>
            <w:r w:rsidRPr="00FA0D37">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5C7FF4" w:rsidRPr="00FA0D37"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FA0D37" w:rsidRDefault="00BD2874" w:rsidP="00BD2874">
            <w:pPr>
              <w:pStyle w:val="TAL"/>
              <w:rPr>
                <w:rFonts w:ascii="Courier New" w:hAnsi="Courier New"/>
                <w:b/>
                <w:bCs/>
                <w:i/>
                <w:iCs/>
                <w:noProof/>
                <w:sz w:val="16"/>
                <w:lang w:eastAsia="en-GB"/>
              </w:rPr>
            </w:pPr>
            <w:r w:rsidRPr="00FA0D37">
              <w:rPr>
                <w:b/>
                <w:bCs/>
                <w:i/>
                <w:iCs/>
                <w:lang w:eastAsia="zh-CN"/>
              </w:rPr>
              <w:t>uplinkTxSwitching-2T-Mode</w:t>
            </w:r>
          </w:p>
          <w:p w14:paraId="16DC6FBE" w14:textId="7BCF847C" w:rsidR="00BD2874" w:rsidRPr="00FA0D37" w:rsidRDefault="00BD2874" w:rsidP="00BD2874">
            <w:pPr>
              <w:pStyle w:val="TAL"/>
              <w:rPr>
                <w:rFonts w:cs="Arial"/>
                <w:szCs w:val="18"/>
                <w:lang w:eastAsia="zh-CN"/>
              </w:rPr>
            </w:pPr>
            <w:r w:rsidRPr="00FA0D37">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FA0D37" w:rsidRDefault="00BD2874" w:rsidP="00BD2874">
            <w:pPr>
              <w:pStyle w:val="TAL"/>
              <w:rPr>
                <w:lang w:eastAsia="zh-CN"/>
              </w:rPr>
            </w:pPr>
            <w:r w:rsidRPr="00FA0D37">
              <w:rPr>
                <w:rFonts w:cs="Arial"/>
                <w:szCs w:val="18"/>
                <w:lang w:eastAsia="zh-CN"/>
              </w:rPr>
              <w:t xml:space="preserve">If this field is absent and </w:t>
            </w:r>
            <w:r w:rsidRPr="00FA0D37">
              <w:rPr>
                <w:rFonts w:cs="Arial"/>
                <w:i/>
                <w:iCs/>
                <w:szCs w:val="18"/>
                <w:lang w:eastAsia="zh-CN"/>
              </w:rPr>
              <w:t>uplinkTxSwitching</w:t>
            </w:r>
            <w:r w:rsidRPr="00FA0D37">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sidRPr="00FA0D37">
              <w:rPr>
                <w:rFonts w:cs="Arial"/>
                <w:i/>
                <w:iCs/>
                <w:szCs w:val="18"/>
                <w:lang w:eastAsia="zh-CN"/>
              </w:rPr>
              <w:t>uplinkTxSwitching</w:t>
            </w:r>
            <w:r w:rsidRPr="00FA0D37">
              <w:rPr>
                <w:rFonts w:cs="Arial"/>
                <w:szCs w:val="18"/>
                <w:lang w:eastAsia="zh-CN"/>
              </w:rPr>
              <w:t>, on which the maximum number of antenna ports among all configured P-SRS/A-SRS and activated SP-SRS resources should be 1 and non-codebook based UL MIMO is not configured.</w:t>
            </w:r>
          </w:p>
        </w:tc>
      </w:tr>
      <w:tr w:rsidR="005C7FF4" w:rsidRPr="00FA0D37"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FA0D37" w:rsidRDefault="00BD2874" w:rsidP="00BD2874">
            <w:pPr>
              <w:pStyle w:val="TAL"/>
              <w:rPr>
                <w:b/>
                <w:bCs/>
                <w:i/>
                <w:iCs/>
                <w:lang w:eastAsia="zh-CN"/>
              </w:rPr>
            </w:pPr>
            <w:r w:rsidRPr="00FA0D37">
              <w:rPr>
                <w:b/>
                <w:bCs/>
                <w:i/>
                <w:iCs/>
                <w:lang w:eastAsia="zh-CN"/>
              </w:rPr>
              <w:t>uplinkTxSwitching-DualUL-TxState</w:t>
            </w:r>
          </w:p>
          <w:p w14:paraId="184742DF" w14:textId="77777777" w:rsidR="00BD2874" w:rsidRPr="00FA0D37" w:rsidRDefault="00BD2874" w:rsidP="00BD2874">
            <w:pPr>
              <w:pStyle w:val="TAL"/>
              <w:rPr>
                <w:rFonts w:cs="Arial"/>
                <w:szCs w:val="18"/>
                <w:lang w:eastAsia="zh-CN"/>
              </w:rPr>
            </w:pPr>
            <w:r w:rsidRPr="00FA0D37">
              <w:rPr>
                <w:rFonts w:cs="Arial"/>
                <w:szCs w:val="18"/>
                <w:lang w:eastAsia="zh-CN"/>
              </w:rPr>
              <w:t xml:space="preserve">Indicates the state of Tx chains if the state of Tx chains after the UL Tx switching is not unique (as specified in TS 38.214 [19]) in case of 2Tx-2Tx switching is configured and </w:t>
            </w:r>
            <w:r w:rsidRPr="00FA0D37">
              <w:rPr>
                <w:rFonts w:cs="Arial"/>
                <w:i/>
                <w:iCs/>
                <w:szCs w:val="18"/>
                <w:lang w:eastAsia="zh-CN"/>
              </w:rPr>
              <w:t>uplinkTxSwitchingOption</w:t>
            </w:r>
            <w:r w:rsidRPr="00FA0D37">
              <w:rPr>
                <w:rFonts w:cs="Arial"/>
                <w:szCs w:val="18"/>
                <w:lang w:eastAsia="zh-CN"/>
              </w:rPr>
              <w:t xml:space="preserve"> is set to </w:t>
            </w:r>
            <w:r w:rsidRPr="00FA0D37">
              <w:rPr>
                <w:rFonts w:cs="Arial"/>
                <w:i/>
                <w:iCs/>
                <w:szCs w:val="18"/>
                <w:lang w:eastAsia="zh-CN"/>
              </w:rPr>
              <w:t>dualUL</w:t>
            </w:r>
            <w:r w:rsidRPr="00FA0D37">
              <w:rPr>
                <w:rFonts w:cs="Arial"/>
                <w:szCs w:val="18"/>
                <w:lang w:eastAsia="zh-CN"/>
              </w:rPr>
              <w:t>.</w:t>
            </w:r>
            <w:r w:rsidRPr="00FA0D37">
              <w:rPr>
                <w:rFonts w:cs="Arial"/>
                <w:szCs w:val="18"/>
              </w:rPr>
              <w:t xml:space="preserve"> Value </w:t>
            </w:r>
            <w:r w:rsidRPr="00FA0D37">
              <w:rPr>
                <w:rFonts w:cs="Arial"/>
                <w:i/>
                <w:iCs/>
                <w:szCs w:val="18"/>
              </w:rPr>
              <w:t>oneT</w:t>
            </w:r>
            <w:r w:rsidRPr="00FA0D37">
              <w:rPr>
                <w:rFonts w:cs="Arial"/>
                <w:szCs w:val="18"/>
              </w:rPr>
              <w:t xml:space="preserve"> indicates 1Tx is assumed to be supported on the carriers on each band, value </w:t>
            </w:r>
            <w:r w:rsidRPr="00FA0D37">
              <w:rPr>
                <w:rFonts w:cs="Arial"/>
                <w:i/>
                <w:iCs/>
                <w:szCs w:val="18"/>
              </w:rPr>
              <w:t>twoT</w:t>
            </w:r>
            <w:r w:rsidRPr="00FA0D37">
              <w:rPr>
                <w:rFonts w:cs="Arial"/>
                <w:szCs w:val="18"/>
              </w:rPr>
              <w:t xml:space="preserve"> indicates 2Tx is assumed to be supported on that carrier.</w:t>
            </w:r>
          </w:p>
        </w:tc>
      </w:tr>
      <w:tr w:rsidR="005C7FF4" w:rsidRPr="00FA0D37"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FA0D37" w:rsidRDefault="00BD2874" w:rsidP="00BD2874">
            <w:pPr>
              <w:pStyle w:val="TAL"/>
              <w:rPr>
                <w:b/>
                <w:bCs/>
                <w:i/>
                <w:iCs/>
                <w:lang w:eastAsia="zh-CN"/>
              </w:rPr>
            </w:pPr>
            <w:r w:rsidRPr="00FA0D37">
              <w:rPr>
                <w:b/>
                <w:bCs/>
                <w:i/>
                <w:iCs/>
                <w:lang w:eastAsia="zh-CN"/>
              </w:rPr>
              <w:t>uu-RelayRLC-ChannelToAddModList</w:t>
            </w:r>
          </w:p>
          <w:p w14:paraId="0AEC35B5" w14:textId="7FF3B164" w:rsidR="00BD2874" w:rsidRPr="00FA0D37" w:rsidRDefault="00BD2874" w:rsidP="00BD2874">
            <w:pPr>
              <w:pStyle w:val="TAL"/>
              <w:rPr>
                <w:lang w:eastAsia="zh-CN"/>
              </w:rPr>
            </w:pPr>
            <w:r w:rsidRPr="00FA0D37">
              <w:rPr>
                <w:lang w:eastAsia="zh-CN"/>
              </w:rPr>
              <w:t>List of the Uu RLC entities and the corresponding MAC Logical Channels to be added or modified.</w:t>
            </w:r>
          </w:p>
        </w:tc>
      </w:tr>
      <w:tr w:rsidR="00BD2874" w:rsidRPr="00FA0D37"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FA0D37" w:rsidRDefault="00BD2874" w:rsidP="00BD2874">
            <w:pPr>
              <w:pStyle w:val="TAL"/>
              <w:rPr>
                <w:b/>
                <w:bCs/>
                <w:i/>
                <w:iCs/>
                <w:lang w:eastAsia="zh-CN"/>
              </w:rPr>
            </w:pPr>
            <w:r w:rsidRPr="00FA0D37">
              <w:rPr>
                <w:b/>
                <w:bCs/>
                <w:i/>
                <w:iCs/>
                <w:lang w:eastAsia="zh-CN"/>
              </w:rPr>
              <w:lastRenderedPageBreak/>
              <w:t>uu-RelayRLC-ChannelToReleaseList</w:t>
            </w:r>
          </w:p>
          <w:p w14:paraId="5B38ECB0" w14:textId="77777777" w:rsidR="00BD2874" w:rsidRPr="00FA0D37" w:rsidRDefault="00BD2874" w:rsidP="00BD2874">
            <w:pPr>
              <w:pStyle w:val="TAL"/>
              <w:rPr>
                <w:lang w:eastAsia="zh-CN"/>
              </w:rPr>
            </w:pPr>
            <w:r w:rsidRPr="00FA0D37">
              <w:rPr>
                <w:lang w:eastAsia="zh-CN"/>
              </w:rPr>
              <w:t>List of the Uu RLC entities and the corresponding MAC Logical Channels to be released.</w:t>
            </w:r>
          </w:p>
        </w:tc>
      </w:tr>
    </w:tbl>
    <w:p w14:paraId="1EFE0B2C" w14:textId="77777777" w:rsidR="00DB6B82" w:rsidRPr="00FA0D3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FA0D37" w:rsidRDefault="00DB6B82" w:rsidP="00771058">
            <w:pPr>
              <w:pStyle w:val="TAH"/>
              <w:rPr>
                <w:rFonts w:eastAsia="Calibri"/>
                <w:szCs w:val="22"/>
                <w:lang w:eastAsia="sv-SE"/>
              </w:rPr>
            </w:pPr>
            <w:r w:rsidRPr="00FA0D37">
              <w:rPr>
                <w:rFonts w:eastAsia="Calibri"/>
                <w:i/>
                <w:szCs w:val="22"/>
                <w:lang w:eastAsia="sv-SE"/>
              </w:rPr>
              <w:t xml:space="preserve">DeactivatedSCG-Config </w:t>
            </w:r>
            <w:r w:rsidRPr="00FA0D37">
              <w:rPr>
                <w:rFonts w:eastAsia="Calibri"/>
                <w:szCs w:val="22"/>
                <w:lang w:eastAsia="sv-SE"/>
              </w:rPr>
              <w:t>field descriptions</w:t>
            </w:r>
          </w:p>
        </w:tc>
      </w:tr>
      <w:tr w:rsidR="000830BB" w:rsidRPr="00FA0D37"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FA0D37" w:rsidRDefault="00DB6B82" w:rsidP="00771058">
            <w:pPr>
              <w:pStyle w:val="TAL"/>
              <w:rPr>
                <w:b/>
                <w:bCs/>
                <w:i/>
                <w:iCs/>
                <w:lang w:eastAsia="sv-SE"/>
              </w:rPr>
            </w:pPr>
            <w:r w:rsidRPr="00FA0D37">
              <w:rPr>
                <w:b/>
                <w:bCs/>
                <w:i/>
                <w:iCs/>
                <w:lang w:eastAsia="sv-SE"/>
              </w:rPr>
              <w:t>bfd-and-RLM</w:t>
            </w:r>
          </w:p>
          <w:p w14:paraId="4F227B7B" w14:textId="0801D69B" w:rsidR="00DB6B82" w:rsidRPr="00FA0D37" w:rsidRDefault="00627E02" w:rsidP="00771058">
            <w:pPr>
              <w:pStyle w:val="TAL"/>
              <w:rPr>
                <w:rFonts w:eastAsiaTheme="minorEastAsia"/>
                <w:lang w:eastAsia="sv-SE"/>
              </w:rPr>
            </w:pPr>
            <w:r w:rsidRPr="00FA0D37">
              <w:rPr>
                <w:bCs/>
                <w:iCs/>
                <w:lang w:eastAsia="sv-SE"/>
              </w:rPr>
              <w:t xml:space="preserve">If the field is set to </w:t>
            </w:r>
            <w:r w:rsidRPr="00FA0D37">
              <w:rPr>
                <w:bCs/>
                <w:i/>
                <w:iCs/>
                <w:lang w:eastAsia="sv-SE"/>
              </w:rPr>
              <w:t>true</w:t>
            </w:r>
            <w:r w:rsidRPr="00FA0D37">
              <w:rPr>
                <w:bCs/>
                <w:iCs/>
                <w:lang w:eastAsia="sv-SE"/>
              </w:rPr>
              <w:t>, the UE shall perform RLM and BFD on the PSCell w</w:t>
            </w:r>
            <w:r w:rsidR="00DB6B82" w:rsidRPr="00FA0D37">
              <w:rPr>
                <w:bCs/>
                <w:iCs/>
                <w:lang w:eastAsia="sv-SE"/>
              </w:rPr>
              <w:t>hen the SCG is deactivated</w:t>
            </w:r>
            <w:r w:rsidR="009C015E" w:rsidRPr="00FA0D37">
              <w:rPr>
                <w:bCs/>
                <w:iCs/>
                <w:lang w:eastAsia="sv-SE"/>
              </w:rPr>
              <w:t xml:space="preserve"> and the network ensures that </w:t>
            </w:r>
            <w:r w:rsidR="009C015E" w:rsidRPr="00FA0D37">
              <w:rPr>
                <w:bCs/>
                <w:i/>
                <w:iCs/>
                <w:lang w:eastAsia="sv-SE"/>
              </w:rPr>
              <w:t>beamFailure</w:t>
            </w:r>
            <w:r w:rsidR="00DF1A5D" w:rsidRPr="00FA0D37">
              <w:rPr>
                <w:bCs/>
                <w:i/>
                <w:iCs/>
                <w:lang w:eastAsia="sv-SE"/>
              </w:rPr>
              <w:t>-r17</w:t>
            </w:r>
            <w:r w:rsidR="009C015E" w:rsidRPr="00FA0D37">
              <w:rPr>
                <w:bCs/>
                <w:iCs/>
                <w:lang w:eastAsia="sv-SE"/>
              </w:rPr>
              <w:t xml:space="preserve"> is not configured in the </w:t>
            </w:r>
            <w:r w:rsidR="009C015E" w:rsidRPr="00FA0D37">
              <w:rPr>
                <w:bCs/>
                <w:i/>
                <w:iCs/>
                <w:lang w:eastAsia="sv-SE"/>
              </w:rPr>
              <w:t>radioLinkMonitoringConfig</w:t>
            </w:r>
            <w:r w:rsidR="009C015E" w:rsidRPr="00FA0D37">
              <w:rPr>
                <w:bCs/>
                <w:iCs/>
                <w:lang w:eastAsia="sv-SE"/>
              </w:rPr>
              <w:t xml:space="preserve"> of the DL BWP of the PSCell in which the UE performs BFD</w:t>
            </w:r>
            <w:r w:rsidRPr="00FA0D37">
              <w:rPr>
                <w:bCs/>
                <w:iCs/>
                <w:lang w:eastAsia="sv-SE"/>
              </w:rPr>
              <w:t xml:space="preserve">. If set to </w:t>
            </w:r>
            <w:r w:rsidRPr="00FA0D37">
              <w:rPr>
                <w:bCs/>
                <w:i/>
                <w:iCs/>
                <w:lang w:eastAsia="sv-SE"/>
              </w:rPr>
              <w:t>false</w:t>
            </w:r>
            <w:r w:rsidR="00DB6B82" w:rsidRPr="00FA0D37">
              <w:rPr>
                <w:bCs/>
                <w:iCs/>
                <w:lang w:eastAsia="sv-SE"/>
              </w:rPr>
              <w:t xml:space="preserve">, </w:t>
            </w:r>
            <w:r w:rsidRPr="00FA0D37">
              <w:rPr>
                <w:bCs/>
                <w:iCs/>
                <w:lang w:eastAsia="sv-SE"/>
              </w:rPr>
              <w:t>the UE is not required to perform RLM and BFD on the PSCell when the SCG is deactivated.</w:t>
            </w:r>
          </w:p>
        </w:tc>
      </w:tr>
    </w:tbl>
    <w:p w14:paraId="4FC9F72A" w14:textId="77777777" w:rsidR="00DB6B82" w:rsidRPr="00FA0D37"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FA0D37" w:rsidRDefault="00097556" w:rsidP="00964CC4">
            <w:pPr>
              <w:pStyle w:val="TAH"/>
              <w:rPr>
                <w:rFonts w:eastAsia="Calibri"/>
                <w:szCs w:val="22"/>
                <w:lang w:eastAsia="sv-SE"/>
              </w:rPr>
            </w:pPr>
            <w:r w:rsidRPr="00FA0D37">
              <w:rPr>
                <w:rFonts w:eastAsia="Calibri"/>
                <w:i/>
                <w:szCs w:val="22"/>
                <w:lang w:eastAsia="sv-SE"/>
              </w:rPr>
              <w:t>DAPS-UplinkPowerConfig</w:t>
            </w:r>
            <w:r w:rsidR="00394471" w:rsidRPr="00FA0D37">
              <w:rPr>
                <w:rFonts w:eastAsia="Calibri"/>
                <w:i/>
                <w:szCs w:val="22"/>
                <w:lang w:eastAsia="sv-SE"/>
              </w:rPr>
              <w:t xml:space="preserve"> </w:t>
            </w:r>
            <w:r w:rsidR="00394471" w:rsidRPr="00FA0D37">
              <w:rPr>
                <w:rFonts w:eastAsia="Calibri"/>
                <w:szCs w:val="22"/>
                <w:lang w:eastAsia="sv-SE"/>
              </w:rPr>
              <w:t>field descriptions</w:t>
            </w:r>
          </w:p>
        </w:tc>
      </w:tr>
      <w:tr w:rsidR="005C7FF4" w:rsidRPr="00FA0D37"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FA0D37" w:rsidRDefault="00394471" w:rsidP="00964CC4">
            <w:pPr>
              <w:pStyle w:val="TAL"/>
              <w:rPr>
                <w:rFonts w:eastAsiaTheme="minorEastAsia"/>
                <w:bCs/>
                <w:i/>
                <w:iCs/>
                <w:lang w:eastAsia="sv-SE"/>
              </w:rPr>
            </w:pPr>
            <w:r w:rsidRPr="00FA0D37">
              <w:rPr>
                <w:b/>
                <w:bCs/>
                <w:i/>
                <w:iCs/>
                <w:lang w:eastAsia="sv-SE"/>
              </w:rPr>
              <w:t>p-DAPS-Source</w:t>
            </w:r>
          </w:p>
          <w:p w14:paraId="609354A1" w14:textId="77777777" w:rsidR="00394471" w:rsidRPr="00FA0D37" w:rsidRDefault="00394471" w:rsidP="00964CC4">
            <w:pPr>
              <w:pStyle w:val="TAL"/>
              <w:rPr>
                <w:rFonts w:eastAsiaTheme="minorEastAsia"/>
                <w:lang w:eastAsia="sv-SE"/>
              </w:rPr>
            </w:pPr>
            <w:r w:rsidRPr="00FA0D37">
              <w:rPr>
                <w:bCs/>
                <w:lang w:eastAsia="sv-SE"/>
              </w:rPr>
              <w:t>The maximum total transmit power to be used by the UE in the source cell group during DAPS handover.</w:t>
            </w:r>
          </w:p>
        </w:tc>
      </w:tr>
      <w:tr w:rsidR="005C7FF4" w:rsidRPr="00FA0D37"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FA0D37" w:rsidRDefault="00394471" w:rsidP="00964CC4">
            <w:pPr>
              <w:pStyle w:val="TAL"/>
              <w:rPr>
                <w:rFonts w:eastAsiaTheme="minorEastAsia"/>
                <w:bCs/>
                <w:i/>
                <w:iCs/>
                <w:lang w:eastAsia="sv-SE"/>
              </w:rPr>
            </w:pPr>
            <w:r w:rsidRPr="00FA0D37">
              <w:rPr>
                <w:b/>
                <w:bCs/>
                <w:i/>
                <w:iCs/>
                <w:lang w:eastAsia="sv-SE"/>
              </w:rPr>
              <w:t>p-DAPS-Target</w:t>
            </w:r>
          </w:p>
          <w:p w14:paraId="3B1AB52D" w14:textId="77777777" w:rsidR="00394471" w:rsidRPr="00FA0D37" w:rsidRDefault="00394471" w:rsidP="00964CC4">
            <w:pPr>
              <w:pStyle w:val="TAL"/>
              <w:rPr>
                <w:rFonts w:eastAsiaTheme="minorEastAsia"/>
                <w:szCs w:val="22"/>
                <w:lang w:eastAsia="sv-SE"/>
              </w:rPr>
            </w:pPr>
            <w:r w:rsidRPr="00FA0D37">
              <w:rPr>
                <w:bCs/>
                <w:lang w:eastAsia="sv-SE"/>
              </w:rPr>
              <w:t>The maximum total transmit power to be used by the UE in the target cell group during DAPS handover.</w:t>
            </w:r>
          </w:p>
        </w:tc>
      </w:tr>
      <w:tr w:rsidR="000830BB" w:rsidRPr="00FA0D37"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FA0D37" w:rsidRDefault="00394471" w:rsidP="00964CC4">
            <w:pPr>
              <w:pStyle w:val="TAL"/>
              <w:rPr>
                <w:rFonts w:eastAsiaTheme="minorEastAsia"/>
                <w:bCs/>
                <w:i/>
                <w:iCs/>
                <w:lang w:eastAsia="sv-SE"/>
              </w:rPr>
            </w:pPr>
            <w:r w:rsidRPr="00FA0D37">
              <w:rPr>
                <w:b/>
                <w:bCs/>
                <w:i/>
                <w:iCs/>
                <w:lang w:eastAsia="sv-SE"/>
              </w:rPr>
              <w:t>uplinkPowerSharingDAPS-Mode</w:t>
            </w:r>
          </w:p>
          <w:p w14:paraId="321EE439" w14:textId="77777777" w:rsidR="00394471" w:rsidRPr="00FA0D37" w:rsidRDefault="00394471" w:rsidP="00964CC4">
            <w:pPr>
              <w:pStyle w:val="TAL"/>
              <w:rPr>
                <w:lang w:eastAsia="sv-SE"/>
              </w:rPr>
            </w:pPr>
            <w:r w:rsidRPr="00FA0D37">
              <w:rPr>
                <w:rFonts w:eastAsiaTheme="minorEastAsia"/>
                <w:szCs w:val="22"/>
                <w:lang w:eastAsia="sv-SE"/>
              </w:rPr>
              <w:t>Indicates the uplink power sharing mode that the UE uses in DAPS handover (see TS 38.213 [13]).</w:t>
            </w:r>
          </w:p>
        </w:tc>
      </w:tr>
    </w:tbl>
    <w:p w14:paraId="11B4A3B3" w14:textId="77777777" w:rsidR="0078452E" w:rsidRPr="00FA0D37"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FA0D37" w:rsidRDefault="0078452E" w:rsidP="00771058">
            <w:pPr>
              <w:pStyle w:val="TAH"/>
              <w:rPr>
                <w:szCs w:val="22"/>
                <w:lang w:eastAsia="sv-SE"/>
              </w:rPr>
            </w:pPr>
            <w:r w:rsidRPr="00FA0D37">
              <w:rPr>
                <w:i/>
                <w:szCs w:val="22"/>
                <w:lang w:eastAsia="sv-SE"/>
              </w:rPr>
              <w:t xml:space="preserve">GoodServingCellEvaluation </w:t>
            </w:r>
            <w:r w:rsidRPr="00FA0D37">
              <w:rPr>
                <w:lang w:eastAsia="sv-SE"/>
              </w:rPr>
              <w:t>field descriptions</w:t>
            </w:r>
          </w:p>
        </w:tc>
      </w:tr>
      <w:tr w:rsidR="00F747EB" w:rsidRPr="00FA0D37"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FA0D37" w:rsidRDefault="0078452E" w:rsidP="00771058">
            <w:pPr>
              <w:pStyle w:val="TAL"/>
              <w:rPr>
                <w:szCs w:val="22"/>
                <w:lang w:eastAsia="sv-SE"/>
              </w:rPr>
            </w:pPr>
            <w:r w:rsidRPr="00FA0D37">
              <w:rPr>
                <w:b/>
                <w:i/>
                <w:szCs w:val="22"/>
                <w:lang w:eastAsia="sv-SE"/>
              </w:rPr>
              <w:t>offset</w:t>
            </w:r>
          </w:p>
          <w:p w14:paraId="53A891D9" w14:textId="31958F4C" w:rsidR="0078452E" w:rsidRPr="00FA0D37" w:rsidRDefault="0078452E" w:rsidP="00771058">
            <w:pPr>
              <w:pStyle w:val="TAL"/>
              <w:rPr>
                <w:szCs w:val="22"/>
                <w:lang w:eastAsia="sv-SE"/>
              </w:rPr>
            </w:pPr>
            <w:r w:rsidRPr="00FA0D37">
              <w:rPr>
                <w:rFonts w:eastAsia="等线"/>
                <w:szCs w:val="22"/>
                <w:lang w:eastAsia="zh-CN"/>
              </w:rPr>
              <w:t xml:space="preserve">The parameter </w:t>
            </w:r>
            <w:r w:rsidR="000E5C0F" w:rsidRPr="00FA0D37">
              <w:rPr>
                <w:rFonts w:eastAsia="等线"/>
                <w:szCs w:val="22"/>
                <w:lang w:eastAsia="zh-CN"/>
              </w:rPr>
              <w:t>"</w:t>
            </w:r>
            <w:r w:rsidRPr="00FA0D37">
              <w:rPr>
                <w:rFonts w:eastAsia="等线"/>
                <w:szCs w:val="22"/>
                <w:lang w:eastAsia="zh-CN"/>
              </w:rPr>
              <w:t>X</w:t>
            </w:r>
            <w:r w:rsidR="000E5C0F" w:rsidRPr="00FA0D37">
              <w:rPr>
                <w:rFonts w:eastAsia="等线"/>
                <w:szCs w:val="22"/>
                <w:lang w:eastAsia="zh-CN"/>
              </w:rPr>
              <w:t>"</w:t>
            </w:r>
            <w:r w:rsidRPr="00FA0D37">
              <w:rPr>
                <w:rFonts w:eastAsia="等线"/>
                <w:szCs w:val="22"/>
                <w:lang w:eastAsia="zh-CN"/>
              </w:rPr>
              <w:t xml:space="preserve"> (dB) for the good serving cell quality criterion in RRC_CONNECTED, for a cell operating in FR1 and FR2, respectively. If this field is absent, the UE applies the (default) value of 0 dB for </w:t>
            </w:r>
            <w:r w:rsidR="000E5C0F" w:rsidRPr="00FA0D37">
              <w:rPr>
                <w:rFonts w:eastAsia="等线"/>
                <w:szCs w:val="22"/>
                <w:lang w:eastAsia="zh-CN"/>
              </w:rPr>
              <w:t>"</w:t>
            </w:r>
            <w:r w:rsidRPr="00FA0D37">
              <w:rPr>
                <w:rFonts w:eastAsia="等线"/>
                <w:szCs w:val="22"/>
                <w:lang w:eastAsia="zh-CN"/>
              </w:rPr>
              <w:t>X</w:t>
            </w:r>
            <w:r w:rsidR="000E5C0F" w:rsidRPr="00FA0D37">
              <w:rPr>
                <w:rFonts w:eastAsia="等线"/>
                <w:szCs w:val="22"/>
                <w:lang w:eastAsia="zh-CN"/>
              </w:rPr>
              <w:t>"</w:t>
            </w:r>
            <w:r w:rsidRPr="00FA0D37">
              <w:rPr>
                <w:rFonts w:eastAsia="等线"/>
                <w:szCs w:val="22"/>
                <w:lang w:eastAsia="zh-CN"/>
              </w:rPr>
              <w:t>.</w:t>
            </w:r>
          </w:p>
        </w:tc>
      </w:tr>
    </w:tbl>
    <w:p w14:paraId="068182D7" w14:textId="77777777" w:rsidR="00100624" w:rsidRPr="00FA0D37"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FA0D37" w:rsidRDefault="00100624" w:rsidP="0071565C">
            <w:pPr>
              <w:pStyle w:val="TAH"/>
              <w:rPr>
                <w:b w:val="0"/>
                <w:i/>
                <w:iCs/>
                <w:lang w:eastAsia="sv-SE"/>
              </w:rPr>
            </w:pPr>
            <w:r w:rsidRPr="00FA0D37">
              <w:rPr>
                <w:i/>
                <w:iCs/>
              </w:rPr>
              <w:t>IAB-ResourceConfig</w:t>
            </w:r>
            <w:r w:rsidRPr="00FA0D37">
              <w:rPr>
                <w:lang w:eastAsia="sv-SE"/>
              </w:rPr>
              <w:t xml:space="preserve"> field descriptions</w:t>
            </w:r>
          </w:p>
        </w:tc>
      </w:tr>
      <w:tr w:rsidR="005C7FF4" w:rsidRPr="00FA0D37"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FA0D37" w:rsidRDefault="003A2D9D" w:rsidP="0071565C">
            <w:pPr>
              <w:pStyle w:val="TAL"/>
              <w:rPr>
                <w:b/>
                <w:bCs/>
                <w:i/>
                <w:iCs/>
                <w:lang w:eastAsia="sv-SE"/>
              </w:rPr>
            </w:pPr>
            <w:r w:rsidRPr="00FA0D37">
              <w:rPr>
                <w:b/>
                <w:bCs/>
                <w:i/>
                <w:iCs/>
                <w:lang w:eastAsia="sv-SE"/>
              </w:rPr>
              <w:t>iab</w:t>
            </w:r>
            <w:r w:rsidR="00100624" w:rsidRPr="00FA0D37">
              <w:rPr>
                <w:b/>
                <w:bCs/>
                <w:i/>
                <w:iCs/>
                <w:lang w:eastAsia="sv-SE"/>
              </w:rPr>
              <w:t>-ResourceConfigID</w:t>
            </w:r>
          </w:p>
          <w:p w14:paraId="6289708F" w14:textId="77777777" w:rsidR="00100624" w:rsidRPr="00FA0D37" w:rsidRDefault="00100624" w:rsidP="0071565C">
            <w:pPr>
              <w:pStyle w:val="TAL"/>
              <w:rPr>
                <w:lang w:eastAsia="sv-SE"/>
              </w:rPr>
            </w:pPr>
            <w:r w:rsidRPr="00FA0D37">
              <w:rPr>
                <w:lang w:eastAsia="sv-SE"/>
              </w:rPr>
              <w:t xml:space="preserve">This ID is used to indicate the specific resource configuration </w:t>
            </w:r>
            <w:r w:rsidRPr="00FA0D37">
              <w:t>addressed by the MAC CEs</w:t>
            </w:r>
            <w:r w:rsidRPr="00FA0D37">
              <w:rPr>
                <w:lang w:eastAsia="sv-SE"/>
              </w:rPr>
              <w:t xml:space="preserve"> specified in TS 38.321 [3].</w:t>
            </w:r>
          </w:p>
        </w:tc>
      </w:tr>
      <w:tr w:rsidR="005C7FF4" w:rsidRPr="00FA0D37"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FA0D37" w:rsidRDefault="00100624" w:rsidP="0071565C">
            <w:pPr>
              <w:pStyle w:val="TAL"/>
              <w:rPr>
                <w:b/>
                <w:bCs/>
                <w:i/>
                <w:iCs/>
                <w:lang w:eastAsia="sv-SE"/>
              </w:rPr>
            </w:pPr>
            <w:r w:rsidRPr="00FA0D37">
              <w:rPr>
                <w:b/>
                <w:bCs/>
                <w:i/>
                <w:iCs/>
                <w:lang w:eastAsia="sv-SE"/>
              </w:rPr>
              <w:t>periodicitySlotList</w:t>
            </w:r>
          </w:p>
          <w:p w14:paraId="50FC1CF9" w14:textId="77777777" w:rsidR="00100624" w:rsidRPr="00FA0D37" w:rsidRDefault="00100624" w:rsidP="0071565C">
            <w:pPr>
              <w:pStyle w:val="TAL"/>
              <w:rPr>
                <w:lang w:eastAsia="sv-SE"/>
              </w:rPr>
            </w:pPr>
            <w:r w:rsidRPr="00FA0D37">
              <w:rPr>
                <w:rFonts w:eastAsiaTheme="minorEastAsia"/>
                <w:lang w:eastAsia="sv-SE"/>
              </w:rPr>
              <w:t xml:space="preserve">Indicates the periodicity in ms of the list of slot indexes indicated in </w:t>
            </w:r>
            <w:r w:rsidRPr="00FA0D37">
              <w:rPr>
                <w:rFonts w:eastAsiaTheme="minorEastAsia"/>
                <w:i/>
                <w:iCs/>
                <w:lang w:eastAsia="sv-SE"/>
              </w:rPr>
              <w:t>slotList</w:t>
            </w:r>
            <w:r w:rsidRPr="00FA0D37">
              <w:rPr>
                <w:lang w:eastAsia="sv-SE"/>
              </w:rPr>
              <w:t>.</w:t>
            </w:r>
          </w:p>
        </w:tc>
      </w:tr>
      <w:tr w:rsidR="005C7FF4" w:rsidRPr="00FA0D37"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FA0D37" w:rsidRDefault="00100624" w:rsidP="0071565C">
            <w:pPr>
              <w:pStyle w:val="TAL"/>
              <w:rPr>
                <w:b/>
                <w:bCs/>
                <w:i/>
                <w:iCs/>
                <w:lang w:eastAsia="x-none"/>
              </w:rPr>
            </w:pPr>
            <w:r w:rsidRPr="00FA0D37">
              <w:rPr>
                <w:b/>
                <w:bCs/>
                <w:i/>
                <w:iCs/>
                <w:lang w:eastAsia="x-none"/>
              </w:rPr>
              <w:t>slotList</w:t>
            </w:r>
          </w:p>
          <w:p w14:paraId="398C5812" w14:textId="77777777" w:rsidR="00100624" w:rsidRPr="00FA0D37" w:rsidRDefault="00100624" w:rsidP="0071565C">
            <w:pPr>
              <w:pStyle w:val="TAL"/>
              <w:rPr>
                <w:b/>
                <w:bCs/>
                <w:i/>
                <w:iCs/>
                <w:lang w:eastAsia="sv-SE"/>
              </w:rPr>
            </w:pPr>
            <w:r w:rsidRPr="00FA0D37">
              <w:rPr>
                <w:rFonts w:eastAsiaTheme="minorEastAsia"/>
                <w:lang w:eastAsia="sv-SE"/>
              </w:rPr>
              <w:t xml:space="preserve">Indicates the list of slot indexes to which the information indicated in the specific MAC CE applies to, as specified </w:t>
            </w:r>
            <w:r w:rsidRPr="00FA0D37">
              <w:rPr>
                <w:lang w:eastAsia="sv-SE"/>
              </w:rPr>
              <w:t>in TS 38.321 [3]</w:t>
            </w:r>
            <w:r w:rsidRPr="00FA0D37">
              <w:rPr>
                <w:rFonts w:eastAsiaTheme="minorEastAsia"/>
                <w:lang w:eastAsia="sv-SE"/>
              </w:rPr>
              <w:t xml:space="preserve">. The values of the entries in the </w:t>
            </w:r>
            <w:r w:rsidRPr="00FA0D37">
              <w:rPr>
                <w:rFonts w:eastAsiaTheme="minorEastAsia"/>
                <w:i/>
                <w:iCs/>
                <w:lang w:eastAsia="sv-SE"/>
              </w:rPr>
              <w:t>slotList</w:t>
            </w:r>
            <w:r w:rsidRPr="00FA0D37">
              <w:rPr>
                <w:rFonts w:eastAsiaTheme="minorEastAsia"/>
                <w:lang w:eastAsia="sv-SE"/>
              </w:rPr>
              <w:t xml:space="preserve"> are strictly less than the value of the </w:t>
            </w:r>
            <w:r w:rsidRPr="00FA0D37">
              <w:rPr>
                <w:i/>
                <w:iCs/>
              </w:rPr>
              <w:t>periodicitySlotList</w:t>
            </w:r>
            <w:r w:rsidRPr="00FA0D37">
              <w:t>.</w:t>
            </w:r>
          </w:p>
        </w:tc>
      </w:tr>
      <w:tr w:rsidR="00F747EB" w:rsidRPr="00FA0D37"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FA0D37" w:rsidRDefault="00100624" w:rsidP="0071565C">
            <w:pPr>
              <w:pStyle w:val="TAL"/>
              <w:rPr>
                <w:b/>
                <w:bCs/>
                <w:i/>
                <w:iCs/>
                <w:lang w:eastAsia="x-none"/>
              </w:rPr>
            </w:pPr>
            <w:r w:rsidRPr="00FA0D37">
              <w:rPr>
                <w:b/>
                <w:bCs/>
                <w:i/>
                <w:iCs/>
                <w:lang w:eastAsia="x-none"/>
              </w:rPr>
              <w:t>slotListSubcarrierSpacing</w:t>
            </w:r>
          </w:p>
          <w:p w14:paraId="09128F87" w14:textId="77777777" w:rsidR="00100624" w:rsidRPr="00FA0D37" w:rsidRDefault="00100624" w:rsidP="0071565C">
            <w:pPr>
              <w:pStyle w:val="TAL"/>
            </w:pPr>
            <w:r w:rsidRPr="00FA0D37">
              <w:t xml:space="preserve">Subcarrier spacing used as reference for the </w:t>
            </w:r>
            <w:r w:rsidRPr="00FA0D37">
              <w:rPr>
                <w:i/>
                <w:iCs/>
              </w:rPr>
              <w:t>slotList</w:t>
            </w:r>
            <w:r w:rsidRPr="00FA0D37">
              <w:t xml:space="preserve"> configuration.</w:t>
            </w:r>
          </w:p>
          <w:p w14:paraId="2818E81D" w14:textId="77777777" w:rsidR="00100624" w:rsidRPr="00FA0D37" w:rsidRDefault="00100624" w:rsidP="0071565C">
            <w:pPr>
              <w:pStyle w:val="TAL"/>
              <w:rPr>
                <w:rFonts w:eastAsia="MS Mincho"/>
                <w:szCs w:val="22"/>
                <w:lang w:eastAsia="sv-SE"/>
              </w:rPr>
            </w:pPr>
            <w:r w:rsidRPr="00FA0D37">
              <w:rPr>
                <w:rFonts w:eastAsia="MS Mincho"/>
                <w:szCs w:val="22"/>
                <w:lang w:eastAsia="sv-SE"/>
              </w:rPr>
              <w:t>Only the following values are applicable depending on the used frequency:</w:t>
            </w:r>
          </w:p>
          <w:p w14:paraId="5E8D719B" w14:textId="77777777" w:rsidR="00100624" w:rsidRPr="00FA0D37" w:rsidRDefault="00100624" w:rsidP="0071565C">
            <w:pPr>
              <w:pStyle w:val="TAL"/>
              <w:rPr>
                <w:rFonts w:eastAsia="MS Mincho"/>
                <w:szCs w:val="22"/>
                <w:lang w:eastAsia="sv-SE"/>
              </w:rPr>
            </w:pPr>
            <w:r w:rsidRPr="00FA0D37">
              <w:rPr>
                <w:rFonts w:eastAsia="MS Mincho"/>
                <w:szCs w:val="22"/>
                <w:lang w:eastAsia="sv-SE"/>
              </w:rPr>
              <w:t>FR1:    15 or 30 kHz</w:t>
            </w:r>
          </w:p>
          <w:p w14:paraId="734C35AD" w14:textId="77777777" w:rsidR="00100624" w:rsidRPr="00FA0D37" w:rsidRDefault="00100624" w:rsidP="0071565C">
            <w:pPr>
              <w:pStyle w:val="TAL"/>
              <w:rPr>
                <w:rFonts w:eastAsia="MS Mincho"/>
                <w:szCs w:val="22"/>
                <w:lang w:eastAsia="sv-SE"/>
              </w:rPr>
            </w:pPr>
            <w:r w:rsidRPr="00FA0D37">
              <w:rPr>
                <w:rFonts w:eastAsia="MS Mincho"/>
                <w:szCs w:val="22"/>
                <w:lang w:eastAsia="sv-SE"/>
              </w:rPr>
              <w:t>FR2-1:  60 or 120 kHz</w:t>
            </w:r>
          </w:p>
          <w:p w14:paraId="4DB41D0A" w14:textId="77777777" w:rsidR="00100624" w:rsidRPr="00FA0D37" w:rsidRDefault="00100624" w:rsidP="0071565C">
            <w:pPr>
              <w:pStyle w:val="TAL"/>
              <w:rPr>
                <w:b/>
                <w:bCs/>
                <w:i/>
                <w:iCs/>
                <w:lang w:eastAsia="x-none"/>
              </w:rPr>
            </w:pPr>
            <w:r w:rsidRPr="00FA0D37">
              <w:rPr>
                <w:rFonts w:eastAsia="MS Mincho"/>
                <w:szCs w:val="22"/>
                <w:lang w:eastAsia="sv-SE"/>
              </w:rPr>
              <w:t>FR2-2:  120 or 480 kHz</w:t>
            </w:r>
          </w:p>
        </w:tc>
      </w:tr>
    </w:tbl>
    <w:p w14:paraId="38EA5B12" w14:textId="77777777" w:rsidR="0078452E" w:rsidRPr="00FA0D37"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FA0D37" w:rsidRDefault="00394471" w:rsidP="00964CC4">
            <w:pPr>
              <w:pStyle w:val="TAH"/>
              <w:rPr>
                <w:szCs w:val="22"/>
                <w:lang w:eastAsia="sv-SE"/>
              </w:rPr>
            </w:pPr>
            <w:r w:rsidRPr="00FA0D37">
              <w:rPr>
                <w:i/>
                <w:szCs w:val="22"/>
                <w:lang w:eastAsia="sv-SE"/>
              </w:rPr>
              <w:lastRenderedPageBreak/>
              <w:t>ReconfigurationWithSync</w:t>
            </w:r>
            <w:r w:rsidRPr="00FA0D37">
              <w:rPr>
                <w:szCs w:val="22"/>
                <w:lang w:eastAsia="sv-SE"/>
              </w:rPr>
              <w:t xml:space="preserve"> field descriptions</w:t>
            </w:r>
          </w:p>
        </w:tc>
      </w:tr>
      <w:tr w:rsidR="005C7FF4" w:rsidRPr="00FA0D37"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FA0D37" w:rsidRDefault="00394471" w:rsidP="00964CC4">
            <w:pPr>
              <w:pStyle w:val="TAL"/>
              <w:rPr>
                <w:b/>
                <w:i/>
                <w:szCs w:val="22"/>
                <w:lang w:eastAsia="sv-SE"/>
              </w:rPr>
            </w:pPr>
            <w:r w:rsidRPr="00FA0D37">
              <w:rPr>
                <w:b/>
                <w:i/>
                <w:szCs w:val="22"/>
                <w:lang w:eastAsia="sv-SE"/>
              </w:rPr>
              <w:t>rach-ConfigDedicated</w:t>
            </w:r>
          </w:p>
          <w:p w14:paraId="01BAC8BE" w14:textId="77777777" w:rsidR="00394471" w:rsidRPr="00FA0D37" w:rsidRDefault="00394471" w:rsidP="00964CC4">
            <w:pPr>
              <w:pStyle w:val="TAL"/>
              <w:rPr>
                <w:szCs w:val="22"/>
                <w:lang w:eastAsia="sv-SE"/>
              </w:rPr>
            </w:pPr>
            <w:r w:rsidRPr="00FA0D37">
              <w:rPr>
                <w:szCs w:val="22"/>
                <w:lang w:eastAsia="sv-SE"/>
              </w:rPr>
              <w:t xml:space="preserve">Random access configuration to be used for the reconfiguration with sync (e.g. handover). The UE performs the RA according to these parameters in the </w:t>
            </w:r>
            <w:r w:rsidRPr="00FA0D37">
              <w:rPr>
                <w:i/>
                <w:szCs w:val="22"/>
                <w:lang w:eastAsia="sv-SE"/>
              </w:rPr>
              <w:t>firstActiveUplinkBWP</w:t>
            </w:r>
            <w:r w:rsidRPr="00FA0D37">
              <w:rPr>
                <w:szCs w:val="22"/>
                <w:lang w:eastAsia="sv-SE"/>
              </w:rPr>
              <w:t xml:space="preserve"> (see </w:t>
            </w:r>
            <w:r w:rsidRPr="00FA0D37">
              <w:rPr>
                <w:i/>
                <w:szCs w:val="22"/>
                <w:lang w:eastAsia="sv-SE"/>
              </w:rPr>
              <w:t>UplinkConfig</w:t>
            </w:r>
            <w:r w:rsidRPr="00FA0D37">
              <w:rPr>
                <w:szCs w:val="22"/>
                <w:lang w:eastAsia="sv-SE"/>
              </w:rPr>
              <w:t>).</w:t>
            </w:r>
          </w:p>
        </w:tc>
      </w:tr>
      <w:tr w:rsidR="00394471" w:rsidRPr="00FA0D37"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FA0D37" w:rsidRDefault="00394471" w:rsidP="00964CC4">
            <w:pPr>
              <w:pStyle w:val="TAL"/>
              <w:rPr>
                <w:b/>
                <w:i/>
                <w:szCs w:val="22"/>
                <w:lang w:eastAsia="sv-SE"/>
              </w:rPr>
            </w:pPr>
            <w:r w:rsidRPr="00FA0D37">
              <w:rPr>
                <w:b/>
                <w:i/>
                <w:szCs w:val="22"/>
                <w:lang w:eastAsia="sv-SE"/>
              </w:rPr>
              <w:t>smtc</w:t>
            </w:r>
          </w:p>
          <w:p w14:paraId="4A233186" w14:textId="011C9EC0" w:rsidR="00B82D3C" w:rsidRPr="00FA0D37" w:rsidRDefault="00394471" w:rsidP="00964CC4">
            <w:pPr>
              <w:pStyle w:val="TAL"/>
              <w:rPr>
                <w:szCs w:val="22"/>
                <w:lang w:eastAsia="sv-SE"/>
              </w:rPr>
            </w:pPr>
            <w:r w:rsidRPr="00FA0D37">
              <w:rPr>
                <w:szCs w:val="22"/>
                <w:lang w:eastAsia="sv-SE"/>
              </w:rPr>
              <w:t xml:space="preserve">The SSB periodicity/offset/duration configuration of target cell for NR PSCell change </w:t>
            </w:r>
            <w:r w:rsidR="00B82D3C" w:rsidRPr="00FA0D37">
              <w:rPr>
                <w:szCs w:val="22"/>
                <w:lang w:eastAsia="sv-SE"/>
              </w:rPr>
              <w:t xml:space="preserve">and </w:t>
            </w:r>
            <w:r w:rsidRPr="00FA0D37">
              <w:rPr>
                <w:szCs w:val="22"/>
                <w:lang w:eastAsia="sv-SE"/>
              </w:rPr>
              <w:t xml:space="preserve">NR PCell change. The network sets the </w:t>
            </w:r>
            <w:r w:rsidRPr="00FA0D37">
              <w:rPr>
                <w:i/>
                <w:szCs w:val="22"/>
                <w:lang w:eastAsia="sv-SE"/>
              </w:rPr>
              <w:t>periodicityAndOffset</w:t>
            </w:r>
            <w:r w:rsidRPr="00FA0D37">
              <w:rPr>
                <w:szCs w:val="22"/>
                <w:lang w:eastAsia="sv-SE"/>
              </w:rPr>
              <w:t xml:space="preserve"> to indicate the same periodicity as </w:t>
            </w:r>
            <w:r w:rsidRPr="00FA0D37">
              <w:rPr>
                <w:i/>
                <w:szCs w:val="22"/>
                <w:lang w:eastAsia="sv-SE"/>
              </w:rPr>
              <w:t>ssb-periodicityServingCell</w:t>
            </w:r>
            <w:r w:rsidRPr="00FA0D37">
              <w:rPr>
                <w:szCs w:val="22"/>
                <w:lang w:eastAsia="sv-SE"/>
              </w:rPr>
              <w:t xml:space="preserve"> in </w:t>
            </w:r>
            <w:r w:rsidRPr="00FA0D37">
              <w:rPr>
                <w:i/>
                <w:szCs w:val="22"/>
                <w:lang w:eastAsia="sv-SE"/>
              </w:rPr>
              <w:t>spCellConfigCommon</w:t>
            </w:r>
            <w:r w:rsidR="004A5E25" w:rsidRPr="00FA0D37">
              <w:rPr>
                <w:iCs/>
                <w:szCs w:val="22"/>
                <w:lang w:eastAsia="sv-SE"/>
              </w:rPr>
              <w:t xml:space="preserve"> or sets to the same periodicity as </w:t>
            </w:r>
            <w:r w:rsidR="004A5E25" w:rsidRPr="00FA0D37">
              <w:rPr>
                <w:i/>
                <w:szCs w:val="22"/>
                <w:lang w:eastAsia="sv-SE"/>
              </w:rPr>
              <w:t>ssb-Periodicity-r17</w:t>
            </w:r>
            <w:r w:rsidR="004A5E25" w:rsidRPr="00FA0D37">
              <w:rPr>
                <w:iCs/>
                <w:szCs w:val="22"/>
                <w:lang w:eastAsia="sv-SE"/>
              </w:rPr>
              <w:t xml:space="preserve"> in </w:t>
            </w:r>
            <w:r w:rsidR="004A5E25" w:rsidRPr="00FA0D37">
              <w:rPr>
                <w:i/>
                <w:szCs w:val="22"/>
                <w:lang w:eastAsia="sv-SE"/>
              </w:rPr>
              <w:t>nonCellDefiningSSB-r17</w:t>
            </w:r>
            <w:r w:rsidR="004A5E25" w:rsidRPr="00FA0D37">
              <w:rPr>
                <w:iCs/>
                <w:szCs w:val="22"/>
                <w:lang w:eastAsia="sv-SE"/>
              </w:rPr>
              <w:t xml:space="preserve"> if the first active DL BWP included in this RRC message is configured with </w:t>
            </w:r>
            <w:r w:rsidR="004A5E25" w:rsidRPr="00FA0D37">
              <w:rPr>
                <w:i/>
                <w:szCs w:val="22"/>
                <w:lang w:eastAsia="sv-SE"/>
              </w:rPr>
              <w:t>nonCellDefiningSSB-r17</w:t>
            </w:r>
            <w:r w:rsidR="004A5E25" w:rsidRPr="00FA0D37">
              <w:rPr>
                <w:iCs/>
                <w:szCs w:val="22"/>
                <w:lang w:eastAsia="sv-SE"/>
              </w:rPr>
              <w:t xml:space="preserve"> for RedCap</w:t>
            </w:r>
            <w:r w:rsidRPr="00FA0D37">
              <w:rPr>
                <w:szCs w:val="22"/>
                <w:lang w:eastAsia="sv-SE"/>
              </w:rPr>
              <w:t>.</w:t>
            </w:r>
          </w:p>
          <w:p w14:paraId="506441E3" w14:textId="11A9439F" w:rsidR="00B82D3C" w:rsidRPr="00FA0D37" w:rsidRDefault="00394471" w:rsidP="00964CC4">
            <w:pPr>
              <w:pStyle w:val="TAL"/>
              <w:rPr>
                <w:szCs w:val="22"/>
                <w:lang w:eastAsia="sv-SE"/>
              </w:rPr>
            </w:pPr>
            <w:r w:rsidRPr="00FA0D37">
              <w:rPr>
                <w:szCs w:val="22"/>
                <w:lang w:eastAsia="sv-SE"/>
              </w:rPr>
              <w:t xml:space="preserve">For case of NR PCell change, the </w:t>
            </w:r>
            <w:r w:rsidRPr="00FA0D37">
              <w:rPr>
                <w:i/>
                <w:szCs w:val="22"/>
                <w:lang w:eastAsia="sv-SE"/>
              </w:rPr>
              <w:t>smtc</w:t>
            </w:r>
            <w:r w:rsidRPr="00FA0D37">
              <w:rPr>
                <w:szCs w:val="22"/>
                <w:lang w:eastAsia="sv-SE"/>
              </w:rPr>
              <w:t xml:space="preserve"> is based on the timing reference of (source) PCell. For case of NR PSCell change, it is based on the timing reference of source PSCell.</w:t>
            </w:r>
          </w:p>
          <w:p w14:paraId="22CB3C57" w14:textId="0F129DA0" w:rsidR="00394471" w:rsidRPr="00FA0D37" w:rsidRDefault="00394471" w:rsidP="00964CC4">
            <w:pPr>
              <w:pStyle w:val="TAL"/>
              <w:rPr>
                <w:szCs w:val="22"/>
                <w:lang w:eastAsia="sv-SE"/>
              </w:rPr>
            </w:pPr>
            <w:r w:rsidRPr="00FA0D37">
              <w:rPr>
                <w:szCs w:val="22"/>
                <w:lang w:eastAsia="sv-SE"/>
              </w:rPr>
              <w:t xml:space="preserve">If </w:t>
            </w:r>
            <w:r w:rsidR="00D027C1" w:rsidRPr="00FA0D37">
              <w:rPr>
                <w:szCs w:val="22"/>
                <w:lang w:eastAsia="sv-SE"/>
              </w:rPr>
              <w:t>both this</w:t>
            </w:r>
            <w:r w:rsidRPr="00FA0D37">
              <w:rPr>
                <w:szCs w:val="22"/>
                <w:lang w:eastAsia="sv-SE"/>
              </w:rPr>
              <w:t xml:space="preserve"> field </w:t>
            </w:r>
            <w:r w:rsidR="00D027C1" w:rsidRPr="00FA0D37">
              <w:rPr>
                <w:szCs w:val="22"/>
                <w:lang w:eastAsia="sv-SE"/>
              </w:rPr>
              <w:t xml:space="preserve">and </w:t>
            </w:r>
            <w:r w:rsidR="00D027C1" w:rsidRPr="00FA0D37">
              <w:rPr>
                <w:i/>
                <w:iCs/>
                <w:szCs w:val="22"/>
                <w:lang w:eastAsia="sv-SE"/>
              </w:rPr>
              <w:t>targetCellSMTC-SCG</w:t>
            </w:r>
            <w:r w:rsidR="00D027C1" w:rsidRPr="00FA0D37">
              <w:rPr>
                <w:szCs w:val="22"/>
                <w:lang w:eastAsia="sv-SE"/>
              </w:rPr>
              <w:t xml:space="preserve"> are</w:t>
            </w:r>
            <w:r w:rsidRPr="00FA0D37">
              <w:rPr>
                <w:szCs w:val="22"/>
                <w:lang w:eastAsia="sv-SE"/>
              </w:rPr>
              <w:t xml:space="preserve"> absent, the UE uses the SMTC in the </w:t>
            </w:r>
            <w:r w:rsidRPr="00FA0D37">
              <w:rPr>
                <w:i/>
                <w:lang w:eastAsia="sv-SE"/>
              </w:rPr>
              <w:t>measObjectNR</w:t>
            </w:r>
            <w:r w:rsidRPr="00FA0D37">
              <w:rPr>
                <w:szCs w:val="22"/>
                <w:lang w:eastAsia="sv-SE"/>
              </w:rPr>
              <w:t xml:space="preserve"> having the same SSB frequency and subcarrier spacing,</w:t>
            </w:r>
            <w:r w:rsidRPr="00FA0D37">
              <w:rPr>
                <w:lang w:eastAsia="sv-SE"/>
              </w:rPr>
              <w:t xml:space="preserve"> </w:t>
            </w:r>
            <w:r w:rsidRPr="00FA0D37">
              <w:rPr>
                <w:szCs w:val="22"/>
                <w:lang w:eastAsia="sv-SE"/>
              </w:rPr>
              <w:t>as configured before the reception of the RRC message.</w:t>
            </w:r>
            <w:r w:rsidR="00AE678F" w:rsidRPr="00FA0D37">
              <w:rPr>
                <w:szCs w:val="22"/>
                <w:lang w:eastAsia="sv-SE"/>
              </w:rPr>
              <w:t xml:space="preserve"> For a RedCap UE, if the first active DL BWP included in this RRC message is configured with </w:t>
            </w:r>
            <w:r w:rsidR="00AE678F" w:rsidRPr="00FA0D37">
              <w:rPr>
                <w:i/>
                <w:iCs/>
                <w:szCs w:val="22"/>
                <w:lang w:eastAsia="sv-SE"/>
              </w:rPr>
              <w:t>nonCellDefiningSSB-r17</w:t>
            </w:r>
            <w:r w:rsidR="00AE678F" w:rsidRPr="00FA0D37">
              <w:rPr>
                <w:szCs w:val="22"/>
                <w:lang w:eastAsia="sv-SE"/>
              </w:rPr>
              <w:t xml:space="preserve">, this field corresponds to the NCD-SSB indicated by </w:t>
            </w:r>
            <w:r w:rsidR="00AE678F" w:rsidRPr="00FA0D37">
              <w:rPr>
                <w:i/>
                <w:iCs/>
                <w:szCs w:val="22"/>
                <w:lang w:eastAsia="sv-SE"/>
              </w:rPr>
              <w:t>nonCellDefiningSSB-r17</w:t>
            </w:r>
            <w:r w:rsidR="00AE678F" w:rsidRPr="00FA0D37">
              <w:rPr>
                <w:szCs w:val="22"/>
                <w:lang w:eastAsia="sv-SE"/>
              </w:rPr>
              <w:t xml:space="preserve">, otherwise, this field corresponds to the CD-SSB indicated by </w:t>
            </w:r>
            <w:r w:rsidR="00AE678F" w:rsidRPr="00FA0D37">
              <w:rPr>
                <w:i/>
                <w:iCs/>
                <w:szCs w:val="22"/>
                <w:lang w:eastAsia="sv-SE"/>
              </w:rPr>
              <w:t>absoluteFrequencySSB</w:t>
            </w:r>
            <w:r w:rsidR="00AE678F" w:rsidRPr="00FA0D37">
              <w:rPr>
                <w:szCs w:val="22"/>
                <w:lang w:eastAsia="sv-SE"/>
              </w:rPr>
              <w:t xml:space="preserve"> in </w:t>
            </w:r>
            <w:r w:rsidR="00AE678F" w:rsidRPr="00FA0D37">
              <w:rPr>
                <w:i/>
                <w:iCs/>
                <w:szCs w:val="22"/>
                <w:lang w:eastAsia="sv-SE"/>
              </w:rPr>
              <w:t>frequencyInfoDL</w:t>
            </w:r>
            <w:r w:rsidR="00AE678F" w:rsidRPr="00FA0D37">
              <w:rPr>
                <w:szCs w:val="22"/>
                <w:lang w:eastAsia="sv-SE"/>
              </w:rPr>
              <w:t>.</w:t>
            </w:r>
          </w:p>
        </w:tc>
      </w:tr>
    </w:tbl>
    <w:p w14:paraId="66C01783" w14:textId="192C5DC5"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FA0D37" w:rsidRDefault="006C69F1" w:rsidP="00DD246F">
            <w:pPr>
              <w:pStyle w:val="TAH"/>
              <w:rPr>
                <w:rFonts w:eastAsia="宋体"/>
                <w:lang w:eastAsia="sv-SE"/>
              </w:rPr>
            </w:pPr>
            <w:r w:rsidRPr="00FA0D37">
              <w:rPr>
                <w:rFonts w:eastAsia="宋体"/>
                <w:i/>
                <w:iCs/>
                <w:lang w:eastAsia="sv-SE"/>
              </w:rPr>
              <w:t>ReportUplinkTxDirectCurrentMoreCarrier</w:t>
            </w:r>
            <w:r w:rsidRPr="00FA0D37">
              <w:rPr>
                <w:rFonts w:eastAsia="宋体"/>
                <w:lang w:eastAsia="sv-SE"/>
              </w:rPr>
              <w:t xml:space="preserve"> field descriptions</w:t>
            </w:r>
          </w:p>
        </w:tc>
      </w:tr>
      <w:tr w:rsidR="005C7FF4" w:rsidRPr="00FA0D37"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FA0D37" w:rsidRDefault="006C69F1" w:rsidP="00DD246F">
            <w:pPr>
              <w:pStyle w:val="TAL"/>
              <w:rPr>
                <w:rFonts w:eastAsia="宋体"/>
                <w:b/>
                <w:bCs/>
                <w:i/>
                <w:iCs/>
                <w:lang w:eastAsia="sv-SE"/>
              </w:rPr>
            </w:pPr>
            <w:r w:rsidRPr="00FA0D37">
              <w:rPr>
                <w:rFonts w:eastAsia="宋体"/>
                <w:b/>
                <w:bCs/>
                <w:i/>
                <w:iCs/>
                <w:lang w:eastAsia="sv-SE"/>
              </w:rPr>
              <w:t>IntraBandCC-Combination</w:t>
            </w:r>
          </w:p>
          <w:p w14:paraId="35CC80D1" w14:textId="2A7E1C35" w:rsidR="006C69F1" w:rsidRPr="00FA0D37" w:rsidRDefault="006C69F1" w:rsidP="00DD246F">
            <w:pPr>
              <w:pStyle w:val="TAL"/>
              <w:rPr>
                <w:rFonts w:eastAsia="宋体"/>
                <w:bCs/>
                <w:iCs/>
                <w:lang w:eastAsia="sv-SE"/>
              </w:rPr>
            </w:pPr>
            <w:r w:rsidRPr="00FA0D37">
              <w:rPr>
                <w:rFonts w:eastAsia="宋体"/>
                <w:bCs/>
                <w:iCs/>
                <w:lang w:eastAsia="sv-SE"/>
              </w:rPr>
              <w:t xml:space="preserve">Indicates </w:t>
            </w:r>
            <w:r w:rsidR="00E623A0" w:rsidRPr="00FA0D37">
              <w:rPr>
                <w:rFonts w:eastAsia="宋体"/>
                <w:bCs/>
                <w:iCs/>
                <w:lang w:eastAsia="sv-SE"/>
              </w:rPr>
              <w:t xml:space="preserve">the </w:t>
            </w:r>
            <w:r w:rsidRPr="00FA0D37">
              <w:rPr>
                <w:rFonts w:eastAsia="宋体"/>
                <w:lang w:eastAsia="sv-SE"/>
              </w:rPr>
              <w:t xml:space="preserve">state </w:t>
            </w:r>
            <w:r w:rsidR="00E623A0" w:rsidRPr="00FA0D37">
              <w:rPr>
                <w:rFonts w:eastAsia="宋体"/>
                <w:lang w:eastAsia="sv-SE"/>
              </w:rPr>
              <w:t xml:space="preserve">of the carriers </w:t>
            </w:r>
            <w:r w:rsidRPr="00FA0D37">
              <w:rPr>
                <w:rFonts w:eastAsia="宋体"/>
                <w:lang w:eastAsia="sv-SE"/>
              </w:rPr>
              <w:t xml:space="preserve">and BWPs indexes </w:t>
            </w:r>
            <w:r w:rsidR="00E623A0" w:rsidRPr="00FA0D37">
              <w:rPr>
                <w:rFonts w:eastAsia="宋体"/>
                <w:lang w:eastAsia="sv-SE"/>
              </w:rPr>
              <w:t xml:space="preserve">of the carriers </w:t>
            </w:r>
            <w:r w:rsidRPr="00FA0D37">
              <w:rPr>
                <w:rFonts w:eastAsia="宋体"/>
                <w:lang w:eastAsia="sv-SE"/>
              </w:rPr>
              <w:t xml:space="preserve">in a CC combination, each carrier in this combination corresponds </w:t>
            </w:r>
            <w:r w:rsidR="00E623A0" w:rsidRPr="00FA0D37">
              <w:rPr>
                <w:rFonts w:eastAsia="宋体"/>
                <w:lang w:eastAsia="sv-SE"/>
              </w:rPr>
              <w:t xml:space="preserve">to </w:t>
            </w:r>
            <w:r w:rsidRPr="00FA0D37">
              <w:rPr>
                <w:rFonts w:eastAsia="宋体"/>
                <w:lang w:eastAsia="sv-SE"/>
              </w:rPr>
              <w:t xml:space="preserve">an entry in </w:t>
            </w:r>
            <w:r w:rsidRPr="00FA0D37">
              <w:rPr>
                <w:rFonts w:eastAsia="宋体"/>
                <w:i/>
                <w:iCs/>
                <w:lang w:eastAsia="sv-SE"/>
              </w:rPr>
              <w:t>servCellIndexList</w:t>
            </w:r>
            <w:r w:rsidRPr="00FA0D37">
              <w:rPr>
                <w:rFonts w:eastAsia="宋体"/>
                <w:lang w:eastAsia="sv-SE"/>
              </w:rPr>
              <w:t xml:space="preserve"> with same order. This </w:t>
            </w:r>
            <w:r w:rsidR="00E623A0" w:rsidRPr="00FA0D37">
              <w:rPr>
                <w:rFonts w:eastAsia="宋体"/>
                <w:lang w:eastAsia="sv-SE"/>
              </w:rPr>
              <w:t xml:space="preserve">IE </w:t>
            </w:r>
            <w:r w:rsidRPr="00FA0D37">
              <w:rPr>
                <w:rFonts w:eastAsia="宋体"/>
                <w:lang w:eastAsia="sv-SE"/>
              </w:rPr>
              <w:t xml:space="preserve">shall have </w:t>
            </w:r>
            <w:r w:rsidR="00E623A0" w:rsidRPr="00FA0D37">
              <w:rPr>
                <w:rFonts w:eastAsia="宋体"/>
                <w:lang w:eastAsia="sv-SE"/>
              </w:rPr>
              <w:t xml:space="preserve">the </w:t>
            </w:r>
            <w:r w:rsidRPr="00FA0D37">
              <w:rPr>
                <w:rFonts w:eastAsia="宋体"/>
                <w:lang w:eastAsia="sv-SE"/>
              </w:rPr>
              <w:t xml:space="preserve">same size </w:t>
            </w:r>
            <w:r w:rsidR="00E623A0" w:rsidRPr="00FA0D37">
              <w:rPr>
                <w:rFonts w:eastAsia="宋体"/>
                <w:lang w:eastAsia="sv-SE"/>
              </w:rPr>
              <w:t xml:space="preserve">as </w:t>
            </w:r>
            <w:r w:rsidRPr="00FA0D37">
              <w:rPr>
                <w:rFonts w:eastAsia="宋体"/>
                <w:i/>
                <w:iCs/>
                <w:lang w:eastAsia="sv-SE"/>
              </w:rPr>
              <w:t>servCellIndexList</w:t>
            </w:r>
            <w:r w:rsidRPr="00FA0D37">
              <w:rPr>
                <w:rFonts w:eastAsia="宋体"/>
                <w:lang w:eastAsia="sv-SE"/>
              </w:rPr>
              <w:t>.</w:t>
            </w:r>
          </w:p>
        </w:tc>
      </w:tr>
      <w:tr w:rsidR="005C7FF4" w:rsidRPr="00FA0D37"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FA0D37" w:rsidRDefault="006C69F1" w:rsidP="0071565C">
            <w:pPr>
              <w:pStyle w:val="TAL"/>
              <w:rPr>
                <w:rFonts w:eastAsia="宋体"/>
                <w:b/>
                <w:bCs/>
                <w:i/>
                <w:iCs/>
                <w:lang w:eastAsia="sv-SE"/>
              </w:rPr>
            </w:pPr>
            <w:r w:rsidRPr="00FA0D37">
              <w:rPr>
                <w:rFonts w:eastAsia="宋体"/>
                <w:b/>
                <w:bCs/>
                <w:i/>
                <w:iCs/>
                <w:lang w:eastAsia="sv-SE"/>
              </w:rPr>
              <w:t>IntraBandCC-CombinationReqList</w:t>
            </w:r>
          </w:p>
          <w:p w14:paraId="682D01B8" w14:textId="77777777" w:rsidR="006C69F1" w:rsidRPr="00FA0D37" w:rsidRDefault="006C69F1" w:rsidP="0071565C">
            <w:pPr>
              <w:pStyle w:val="TAL"/>
              <w:rPr>
                <w:rFonts w:eastAsia="宋体"/>
                <w:lang w:eastAsia="sv-SE"/>
              </w:rPr>
            </w:pPr>
            <w:r w:rsidRPr="00FA0D37">
              <w:rPr>
                <w:rFonts w:eastAsia="宋体"/>
                <w:lang w:eastAsia="sv-SE"/>
              </w:rPr>
              <w:t>Indicates the list of the requested carriers/BWPs combinations for an intra-band CA component.</w:t>
            </w:r>
          </w:p>
        </w:tc>
      </w:tr>
      <w:tr w:rsidR="006C69F1" w:rsidRPr="00FA0D37"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FA0D37" w:rsidRDefault="006C69F1" w:rsidP="00DD246F">
            <w:pPr>
              <w:pStyle w:val="TAL"/>
              <w:rPr>
                <w:rFonts w:eastAsia="宋体"/>
                <w:b/>
                <w:bCs/>
                <w:i/>
                <w:iCs/>
                <w:lang w:eastAsia="sv-SE"/>
              </w:rPr>
            </w:pPr>
            <w:r w:rsidRPr="00FA0D37">
              <w:rPr>
                <w:rFonts w:eastAsia="宋体"/>
                <w:b/>
                <w:bCs/>
                <w:i/>
                <w:iCs/>
                <w:lang w:eastAsia="sv-SE"/>
              </w:rPr>
              <w:t>servCellIndexList</w:t>
            </w:r>
          </w:p>
          <w:p w14:paraId="140D1DC5" w14:textId="7B54D29A" w:rsidR="006C69F1" w:rsidRPr="00FA0D37" w:rsidRDefault="006C69F1" w:rsidP="00DD246F">
            <w:pPr>
              <w:pStyle w:val="TAL"/>
              <w:rPr>
                <w:rFonts w:eastAsia="宋体"/>
                <w:lang w:eastAsia="sv-SE"/>
              </w:rPr>
            </w:pPr>
            <w:r w:rsidRPr="00FA0D37">
              <w:rPr>
                <w:rFonts w:eastAsia="宋体"/>
                <w:lang w:eastAsia="sv-SE"/>
              </w:rPr>
              <w:t>indicates the list of cell index for an intra-band CA component.</w:t>
            </w:r>
          </w:p>
        </w:tc>
      </w:tr>
    </w:tbl>
    <w:p w14:paraId="047D9207" w14:textId="77777777" w:rsidR="006C69F1" w:rsidRPr="00FA0D3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FA0D37" w:rsidRDefault="00394471" w:rsidP="00964CC4">
            <w:pPr>
              <w:pStyle w:val="TAH"/>
              <w:rPr>
                <w:szCs w:val="22"/>
                <w:lang w:eastAsia="sv-SE"/>
              </w:rPr>
            </w:pPr>
            <w:r w:rsidRPr="00FA0D37">
              <w:rPr>
                <w:i/>
                <w:szCs w:val="22"/>
                <w:lang w:eastAsia="sv-SE"/>
              </w:rPr>
              <w:lastRenderedPageBreak/>
              <w:t xml:space="preserve">SCellConfig </w:t>
            </w:r>
            <w:r w:rsidRPr="00FA0D37">
              <w:rPr>
                <w:lang w:eastAsia="sv-SE"/>
              </w:rPr>
              <w:t>field descriptions</w:t>
            </w:r>
          </w:p>
        </w:tc>
      </w:tr>
      <w:tr w:rsidR="005C7FF4" w:rsidRPr="00FA0D37"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FA0D37" w:rsidRDefault="0078452E" w:rsidP="0078452E">
            <w:pPr>
              <w:pStyle w:val="TAL"/>
              <w:rPr>
                <w:b/>
                <w:i/>
                <w:szCs w:val="22"/>
                <w:lang w:eastAsia="sv-SE"/>
              </w:rPr>
            </w:pPr>
            <w:r w:rsidRPr="00FA0D37">
              <w:rPr>
                <w:b/>
                <w:i/>
                <w:szCs w:val="22"/>
                <w:lang w:eastAsia="sv-SE"/>
              </w:rPr>
              <w:t>goodServingCellEvaluationBFD</w:t>
            </w:r>
          </w:p>
          <w:p w14:paraId="60969B1B" w14:textId="74C4C77B" w:rsidR="0078452E" w:rsidRPr="00FA0D37" w:rsidRDefault="0078452E" w:rsidP="0078452E">
            <w:pPr>
              <w:pStyle w:val="TAL"/>
              <w:rPr>
                <w:b/>
                <w:i/>
                <w:szCs w:val="22"/>
                <w:lang w:eastAsia="sv-SE"/>
              </w:rPr>
            </w:pPr>
            <w:r w:rsidRPr="00FA0D37">
              <w:rPr>
                <w:bCs/>
                <w:iCs/>
                <w:szCs w:val="22"/>
                <w:lang w:eastAsia="sv-SE"/>
              </w:rPr>
              <w:t>Indicates the criterion for a UE to detect the good serving cell quality for BFD relaxation in an SCell in RRC_CONNECTED.</w:t>
            </w:r>
            <w:r w:rsidR="00827A1B" w:rsidRPr="00FA0D37">
              <w:rPr>
                <w:bCs/>
                <w:iCs/>
                <w:szCs w:val="22"/>
                <w:lang w:eastAsia="sv-SE"/>
              </w:rPr>
              <w:t xml:space="preserve"> This field is always configured when the network enables BFD relaxation for the UE in this SCell.</w:t>
            </w:r>
            <w:r w:rsidR="00B40446" w:rsidRPr="00FA0D37">
              <w:rPr>
                <w:bCs/>
                <w:iCs/>
                <w:szCs w:val="22"/>
                <w:lang w:eastAsia="sv-SE"/>
              </w:rPr>
              <w:t xml:space="preserve"> This field is absent if </w:t>
            </w:r>
            <w:r w:rsidR="00B40446" w:rsidRPr="00FA0D37">
              <w:rPr>
                <w:bCs/>
                <w:i/>
                <w:iCs/>
                <w:szCs w:val="22"/>
                <w:lang w:eastAsia="sv-SE"/>
              </w:rPr>
              <w:t xml:space="preserve">failureDetectionSetN </w:t>
            </w:r>
            <w:r w:rsidR="00B40446" w:rsidRPr="00FA0D37">
              <w:rPr>
                <w:bCs/>
                <w:iCs/>
                <w:szCs w:val="22"/>
                <w:lang w:eastAsia="sv-SE"/>
              </w:rPr>
              <w:t>is present for the SCell.</w:t>
            </w:r>
          </w:p>
        </w:tc>
      </w:tr>
      <w:tr w:rsidR="005C7FF4" w:rsidRPr="00FA0D37"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FA0D37" w:rsidRDefault="00CE29E7" w:rsidP="00CE29E7">
            <w:pPr>
              <w:pStyle w:val="TAL"/>
              <w:rPr>
                <w:szCs w:val="22"/>
                <w:lang w:eastAsia="sv-SE"/>
              </w:rPr>
            </w:pPr>
            <w:r w:rsidRPr="00FA0D37">
              <w:rPr>
                <w:b/>
                <w:i/>
                <w:szCs w:val="22"/>
                <w:lang w:eastAsia="sv-SE"/>
              </w:rPr>
              <w:t>preConfGapStatus</w:t>
            </w:r>
          </w:p>
          <w:p w14:paraId="7D5A4874" w14:textId="700098C4" w:rsidR="00CE29E7" w:rsidRPr="00FA0D37" w:rsidRDefault="00CE29E7" w:rsidP="00CE29E7">
            <w:pPr>
              <w:pStyle w:val="TAL"/>
              <w:rPr>
                <w:b/>
                <w:i/>
                <w:szCs w:val="22"/>
                <w:lang w:eastAsia="sv-SE"/>
              </w:rPr>
            </w:pPr>
            <w:r w:rsidRPr="00FA0D37">
              <w:rPr>
                <w:szCs w:val="22"/>
                <w:lang w:eastAsia="sv-SE"/>
              </w:rPr>
              <w:t xml:space="preserve">Indicates whether the pre-configured measurement gaps (i.e. the gaps configured with </w:t>
            </w:r>
            <w:r w:rsidRPr="00FA0D37">
              <w:rPr>
                <w:rFonts w:eastAsia="Calibri"/>
                <w:i/>
                <w:iCs/>
                <w:szCs w:val="22"/>
                <w:lang w:eastAsia="sv-SE"/>
              </w:rPr>
              <w:t>preConfigInd</w:t>
            </w:r>
            <w:r w:rsidRPr="00FA0D37">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FA0D37">
              <w:t xml:space="preserve"> </w:t>
            </w:r>
            <w:r w:rsidRPr="00FA0D37">
              <w:rPr>
                <w:szCs w:val="22"/>
                <w:lang w:eastAsia="sv-SE"/>
              </w:rPr>
              <w:t>if the corresponding measurement gap is not a pre-configured measurement gap.</w:t>
            </w:r>
          </w:p>
        </w:tc>
      </w:tr>
      <w:tr w:rsidR="005C7FF4" w:rsidRPr="00FA0D37"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FA0D37" w:rsidRDefault="00E473AB" w:rsidP="00E473AB">
            <w:pPr>
              <w:keepNext/>
              <w:keepLines/>
              <w:spacing w:after="0"/>
              <w:rPr>
                <w:rFonts w:ascii="Arial" w:hAnsi="Arial"/>
                <w:b/>
                <w:i/>
                <w:sz w:val="18"/>
                <w:szCs w:val="22"/>
                <w:lang w:eastAsia="sv-SE"/>
              </w:rPr>
            </w:pPr>
            <w:r w:rsidRPr="00FA0D37">
              <w:rPr>
                <w:rFonts w:ascii="Arial" w:hAnsi="Arial"/>
                <w:b/>
                <w:i/>
                <w:sz w:val="18"/>
                <w:szCs w:val="22"/>
                <w:lang w:eastAsia="sv-SE"/>
              </w:rPr>
              <w:t>secondaryDRX-GroupConfig</w:t>
            </w:r>
          </w:p>
          <w:p w14:paraId="42C74C79" w14:textId="50110868" w:rsidR="00E473AB" w:rsidRPr="00FA0D37" w:rsidRDefault="00E473AB" w:rsidP="00E473AB">
            <w:pPr>
              <w:pStyle w:val="TAL"/>
              <w:rPr>
                <w:b/>
                <w:i/>
                <w:szCs w:val="22"/>
                <w:lang w:eastAsia="sv-SE"/>
              </w:rPr>
            </w:pPr>
            <w:r w:rsidRPr="00FA0D37">
              <w:rPr>
                <w:szCs w:val="22"/>
                <w:lang w:eastAsia="sv-SE"/>
              </w:rPr>
              <w:t xml:space="preserve">The field is used to indicate whether the SCell belongs to the secondary DRX group. All serving cells in the secondary DRX group shall belong to one Frequency Range and all serving cells in the legacy DRX group shall belong to another Frequency Range. If </w:t>
            </w:r>
            <w:r w:rsidRPr="00FA0D37">
              <w:rPr>
                <w:i/>
                <w:szCs w:val="22"/>
                <w:lang w:eastAsia="sv-SE"/>
              </w:rPr>
              <w:t>drx-ConfigSecondaryGroup</w:t>
            </w:r>
            <w:r w:rsidRPr="00FA0D37">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FA0D37">
              <w:rPr>
                <w:i/>
                <w:szCs w:val="22"/>
                <w:lang w:eastAsia="sv-SE"/>
              </w:rPr>
              <w:t>drx-ConfigSecondaryGroup</w:t>
            </w:r>
            <w:r w:rsidRPr="00FA0D37">
              <w:rPr>
                <w:szCs w:val="22"/>
                <w:lang w:eastAsia="sv-SE"/>
              </w:rPr>
              <w:t xml:space="preserve"> is not configured, the field is absent and the UE shall release the field. The UE shall also release the field if </w:t>
            </w:r>
            <w:r w:rsidRPr="00FA0D37">
              <w:rPr>
                <w:i/>
                <w:szCs w:val="22"/>
                <w:lang w:eastAsia="sv-SE"/>
              </w:rPr>
              <w:t>drx-ConfigSecondaryGroup</w:t>
            </w:r>
            <w:r w:rsidRPr="00FA0D37">
              <w:rPr>
                <w:szCs w:val="22"/>
                <w:lang w:eastAsia="sv-SE"/>
              </w:rPr>
              <w:t xml:space="preserve"> is released without including </w:t>
            </w:r>
            <w:r w:rsidRPr="00FA0D37">
              <w:rPr>
                <w:i/>
                <w:szCs w:val="22"/>
                <w:lang w:eastAsia="sv-SE"/>
              </w:rPr>
              <w:t>sCellToAddModList</w:t>
            </w:r>
            <w:r w:rsidRPr="00FA0D37">
              <w:rPr>
                <w:szCs w:val="22"/>
                <w:lang w:eastAsia="sv-SE"/>
              </w:rPr>
              <w:t>.</w:t>
            </w:r>
          </w:p>
        </w:tc>
      </w:tr>
      <w:tr w:rsidR="00F747EB" w:rsidRPr="00FA0D37"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FA0D37" w:rsidRDefault="00394471" w:rsidP="00964CC4">
            <w:pPr>
              <w:pStyle w:val="TAL"/>
              <w:rPr>
                <w:szCs w:val="22"/>
                <w:lang w:eastAsia="sv-SE"/>
              </w:rPr>
            </w:pPr>
            <w:r w:rsidRPr="00FA0D37">
              <w:rPr>
                <w:b/>
                <w:i/>
                <w:szCs w:val="22"/>
                <w:lang w:eastAsia="sv-SE"/>
              </w:rPr>
              <w:t>smtc</w:t>
            </w:r>
          </w:p>
          <w:p w14:paraId="5DB4D4EE" w14:textId="77777777" w:rsidR="00394471" w:rsidRPr="00FA0D37" w:rsidRDefault="00394471" w:rsidP="00964CC4">
            <w:pPr>
              <w:pStyle w:val="TAL"/>
              <w:rPr>
                <w:szCs w:val="22"/>
                <w:lang w:eastAsia="sv-SE"/>
              </w:rPr>
            </w:pPr>
            <w:r w:rsidRPr="00FA0D37">
              <w:rPr>
                <w:szCs w:val="22"/>
                <w:lang w:eastAsia="sv-SE"/>
              </w:rPr>
              <w:t xml:space="preserve">The SSB periodicity/offset/duration configuration of target cell for NR SCell addition. The network sets the </w:t>
            </w:r>
            <w:r w:rsidRPr="00FA0D37">
              <w:rPr>
                <w:i/>
                <w:szCs w:val="22"/>
                <w:lang w:eastAsia="sv-SE"/>
              </w:rPr>
              <w:t>periodicityAndOffset</w:t>
            </w:r>
            <w:r w:rsidRPr="00FA0D37">
              <w:rPr>
                <w:szCs w:val="22"/>
                <w:lang w:eastAsia="sv-SE"/>
              </w:rPr>
              <w:t xml:space="preserve"> to indicate the same periodicity as </w:t>
            </w:r>
            <w:r w:rsidRPr="00FA0D37">
              <w:rPr>
                <w:i/>
                <w:szCs w:val="22"/>
                <w:lang w:eastAsia="sv-SE"/>
              </w:rPr>
              <w:t>ssb-periodicityServingCell</w:t>
            </w:r>
            <w:r w:rsidRPr="00FA0D37">
              <w:rPr>
                <w:szCs w:val="22"/>
                <w:lang w:eastAsia="sv-SE"/>
              </w:rPr>
              <w:t xml:space="preserve"> in </w:t>
            </w:r>
            <w:r w:rsidRPr="00FA0D37">
              <w:rPr>
                <w:i/>
                <w:szCs w:val="22"/>
                <w:lang w:eastAsia="sv-SE"/>
              </w:rPr>
              <w:t>sCellConfigCommon</w:t>
            </w:r>
            <w:r w:rsidRPr="00FA0D37">
              <w:rPr>
                <w:szCs w:val="22"/>
                <w:lang w:eastAsia="sv-SE"/>
              </w:rPr>
              <w:t xml:space="preserve">. The </w:t>
            </w:r>
            <w:r w:rsidRPr="00FA0D37">
              <w:rPr>
                <w:i/>
                <w:szCs w:val="22"/>
                <w:lang w:eastAsia="sv-SE"/>
              </w:rPr>
              <w:t>smtc</w:t>
            </w:r>
            <w:r w:rsidRPr="00FA0D37">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FA0D37">
              <w:rPr>
                <w:i/>
                <w:lang w:eastAsia="sv-SE"/>
              </w:rPr>
              <w:t>measObjectNR</w:t>
            </w:r>
            <w:r w:rsidRPr="00FA0D37">
              <w:rPr>
                <w:szCs w:val="22"/>
                <w:lang w:eastAsia="sv-SE"/>
              </w:rPr>
              <w:t xml:space="preserve"> having the same SSB frequency and subcarrier spacing, as configured before the reception of the RRC message.</w:t>
            </w:r>
          </w:p>
        </w:tc>
      </w:tr>
    </w:tbl>
    <w:p w14:paraId="6F307F3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FA0D37" w:rsidRDefault="00394471" w:rsidP="00964CC4">
            <w:pPr>
              <w:pStyle w:val="TAH"/>
              <w:rPr>
                <w:szCs w:val="22"/>
                <w:lang w:eastAsia="sv-SE"/>
              </w:rPr>
            </w:pPr>
            <w:r w:rsidRPr="00FA0D37">
              <w:rPr>
                <w:i/>
                <w:szCs w:val="22"/>
                <w:lang w:eastAsia="sv-SE"/>
              </w:rPr>
              <w:lastRenderedPageBreak/>
              <w:t xml:space="preserve">SpCellConfig </w:t>
            </w:r>
            <w:r w:rsidRPr="00FA0D37">
              <w:rPr>
                <w:lang w:eastAsia="sv-SE"/>
              </w:rPr>
              <w:t>field descriptions</w:t>
            </w:r>
          </w:p>
        </w:tc>
      </w:tr>
      <w:tr w:rsidR="005C7FF4" w:rsidRPr="00FA0D37"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FA0D37" w:rsidRDefault="00DB6B82" w:rsidP="00771058">
            <w:pPr>
              <w:pStyle w:val="TAL"/>
              <w:rPr>
                <w:b/>
                <w:i/>
                <w:lang w:eastAsia="sv-SE"/>
              </w:rPr>
            </w:pPr>
            <w:r w:rsidRPr="00FA0D37">
              <w:rPr>
                <w:b/>
                <w:i/>
                <w:lang w:eastAsia="sv-SE"/>
              </w:rPr>
              <w:t>deactivatedSCG-Config</w:t>
            </w:r>
          </w:p>
          <w:p w14:paraId="4CA21D30" w14:textId="77777777" w:rsidR="00DB6B82" w:rsidRPr="00FA0D37" w:rsidRDefault="00DB6B82" w:rsidP="00771058">
            <w:pPr>
              <w:pStyle w:val="TAL"/>
              <w:rPr>
                <w:lang w:eastAsia="sv-SE"/>
              </w:rPr>
            </w:pPr>
            <w:r w:rsidRPr="00FA0D37">
              <w:rPr>
                <w:lang w:eastAsia="sv-SE"/>
              </w:rPr>
              <w:t xml:space="preserve">Configuration applicable when the SCG is deactivated. The network always configures this field before or when indicating that the SCG is deactivated in an </w:t>
            </w:r>
            <w:r w:rsidRPr="00FA0D37">
              <w:rPr>
                <w:i/>
                <w:lang w:eastAsia="sv-SE"/>
              </w:rPr>
              <w:t>RRCReconfiguration</w:t>
            </w:r>
            <w:r w:rsidRPr="00FA0D37">
              <w:rPr>
                <w:lang w:eastAsia="sv-SE"/>
              </w:rPr>
              <w:t xml:space="preserve">, </w:t>
            </w:r>
            <w:r w:rsidRPr="00FA0D37">
              <w:rPr>
                <w:i/>
                <w:lang w:eastAsia="sv-SE"/>
              </w:rPr>
              <w:t>RRCResume</w:t>
            </w:r>
            <w:r w:rsidRPr="00FA0D37">
              <w:rPr>
                <w:lang w:eastAsia="sv-SE"/>
              </w:rPr>
              <w:t xml:space="preserve">, E-UTRA </w:t>
            </w:r>
            <w:r w:rsidRPr="00FA0D37">
              <w:rPr>
                <w:i/>
                <w:lang w:eastAsia="sv-SE"/>
              </w:rPr>
              <w:t>RRCConnectionReconfiguration</w:t>
            </w:r>
            <w:r w:rsidRPr="00FA0D37">
              <w:rPr>
                <w:lang w:eastAsia="sv-SE"/>
              </w:rPr>
              <w:t xml:space="preserve"> or E-UTRA </w:t>
            </w:r>
            <w:r w:rsidRPr="00FA0D37">
              <w:rPr>
                <w:i/>
                <w:lang w:eastAsia="sv-SE"/>
              </w:rPr>
              <w:t>RRCConnectionResume</w:t>
            </w:r>
            <w:r w:rsidRPr="00FA0D37">
              <w:rPr>
                <w:lang w:eastAsia="sv-SE"/>
              </w:rPr>
              <w:t xml:space="preserve"> message.</w:t>
            </w:r>
          </w:p>
        </w:tc>
      </w:tr>
      <w:tr w:rsidR="005C7FF4" w:rsidRPr="00FA0D37"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FA0D37" w:rsidRDefault="0078452E" w:rsidP="0078452E">
            <w:pPr>
              <w:pStyle w:val="TAL"/>
              <w:rPr>
                <w:b/>
                <w:bCs/>
                <w:i/>
                <w:iCs/>
                <w:lang w:eastAsia="sv-SE"/>
              </w:rPr>
            </w:pPr>
            <w:r w:rsidRPr="00FA0D37">
              <w:rPr>
                <w:b/>
                <w:bCs/>
                <w:i/>
                <w:iCs/>
                <w:lang w:eastAsia="sv-SE"/>
              </w:rPr>
              <w:t>goodServingCellEvaluationBFD</w:t>
            </w:r>
          </w:p>
          <w:p w14:paraId="14AA4D21" w14:textId="59CDB074" w:rsidR="0078452E" w:rsidRPr="00FA0D37" w:rsidRDefault="0078452E" w:rsidP="000830BB">
            <w:pPr>
              <w:pStyle w:val="TAL"/>
              <w:rPr>
                <w:lang w:eastAsia="sv-SE"/>
              </w:rPr>
            </w:pPr>
            <w:r w:rsidRPr="00FA0D37">
              <w:rPr>
                <w:lang w:eastAsia="sv-SE"/>
              </w:rPr>
              <w:t>Indicates the criterion for a UE to detect the good serving cell quality for BFD relaxation in the SpCell in RRC_CONNECTED. The field is always configured when the network enables BFD relaxation for the UE</w:t>
            </w:r>
            <w:r w:rsidR="00827A1B" w:rsidRPr="00FA0D37">
              <w:rPr>
                <w:rFonts w:eastAsia="等线"/>
                <w:lang w:eastAsia="zh-CN"/>
              </w:rPr>
              <w:t xml:space="preserve"> in this SpCell</w:t>
            </w:r>
            <w:r w:rsidRPr="00FA0D37">
              <w:rPr>
                <w:lang w:eastAsia="sv-SE"/>
              </w:rPr>
              <w:t>.</w:t>
            </w:r>
            <w:r w:rsidR="00B40446" w:rsidRPr="00FA0D37">
              <w:rPr>
                <w:bCs/>
                <w:iCs/>
                <w:szCs w:val="22"/>
                <w:lang w:eastAsia="sv-SE"/>
              </w:rPr>
              <w:t xml:space="preserve"> This field is absent if </w:t>
            </w:r>
            <w:r w:rsidR="00B40446" w:rsidRPr="00FA0D37">
              <w:rPr>
                <w:bCs/>
                <w:i/>
                <w:iCs/>
                <w:szCs w:val="22"/>
                <w:lang w:eastAsia="sv-SE"/>
              </w:rPr>
              <w:t xml:space="preserve">failureDetectionSetN </w:t>
            </w:r>
            <w:r w:rsidR="00B40446" w:rsidRPr="00FA0D37">
              <w:rPr>
                <w:bCs/>
                <w:iCs/>
                <w:szCs w:val="22"/>
                <w:lang w:eastAsia="sv-SE"/>
              </w:rPr>
              <w:t>is present for the SpCell.</w:t>
            </w:r>
          </w:p>
        </w:tc>
      </w:tr>
      <w:tr w:rsidR="005C7FF4" w:rsidRPr="00FA0D37"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FA0D37" w:rsidRDefault="0078452E" w:rsidP="0078452E">
            <w:pPr>
              <w:pStyle w:val="TAL"/>
              <w:rPr>
                <w:b/>
                <w:bCs/>
                <w:i/>
                <w:iCs/>
                <w:lang w:eastAsia="sv-SE"/>
              </w:rPr>
            </w:pPr>
            <w:r w:rsidRPr="00FA0D37">
              <w:rPr>
                <w:b/>
                <w:bCs/>
                <w:i/>
                <w:iCs/>
                <w:lang w:eastAsia="sv-SE"/>
              </w:rPr>
              <w:t>goodServingCellEvaluationRLM</w:t>
            </w:r>
          </w:p>
          <w:p w14:paraId="23D88346" w14:textId="3B4D9824" w:rsidR="0078452E" w:rsidRPr="00FA0D37" w:rsidRDefault="0078452E" w:rsidP="000830BB">
            <w:pPr>
              <w:pStyle w:val="TAL"/>
              <w:rPr>
                <w:lang w:eastAsia="sv-SE"/>
              </w:rPr>
            </w:pPr>
            <w:r w:rsidRPr="00FA0D37">
              <w:rPr>
                <w:lang w:eastAsia="sv-SE"/>
              </w:rPr>
              <w:t>Indicates the criterion for a UE to detect the good serving cell quality for RLM relaxation in the SpCell in RRC_CONNECTED. The field is always configured when the network enables RLM relaxation for the UE</w:t>
            </w:r>
            <w:r w:rsidR="00827A1B" w:rsidRPr="00FA0D37">
              <w:rPr>
                <w:rFonts w:eastAsia="等线"/>
                <w:lang w:eastAsia="zh-CN"/>
              </w:rPr>
              <w:t xml:space="preserve"> in this SpCell</w:t>
            </w:r>
            <w:r w:rsidRPr="00FA0D37">
              <w:rPr>
                <w:lang w:eastAsia="sv-SE"/>
              </w:rPr>
              <w:t>.</w:t>
            </w:r>
          </w:p>
        </w:tc>
      </w:tr>
      <w:tr w:rsidR="005C7FF4" w:rsidRPr="00FA0D37"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FA0D37" w:rsidRDefault="0078452E" w:rsidP="0078452E">
            <w:pPr>
              <w:pStyle w:val="TAL"/>
              <w:rPr>
                <w:b/>
                <w:bCs/>
                <w:i/>
                <w:iCs/>
                <w:lang w:eastAsia="sv-SE"/>
              </w:rPr>
            </w:pPr>
            <w:r w:rsidRPr="00FA0D37">
              <w:rPr>
                <w:b/>
                <w:bCs/>
                <w:i/>
                <w:iCs/>
                <w:lang w:eastAsia="sv-SE"/>
              </w:rPr>
              <w:t>lowMobilityEvaluationConnected</w:t>
            </w:r>
          </w:p>
          <w:p w14:paraId="28AEF4CE" w14:textId="5026DB57" w:rsidR="0078452E" w:rsidRPr="00FA0D37" w:rsidRDefault="0078452E" w:rsidP="000830BB">
            <w:pPr>
              <w:pStyle w:val="TAL"/>
              <w:rPr>
                <w:lang w:eastAsia="sv-SE"/>
              </w:rPr>
            </w:pPr>
            <w:r w:rsidRPr="00FA0D37">
              <w:rPr>
                <w:lang w:eastAsia="sv-SE"/>
              </w:rPr>
              <w:t xml:space="preserve">Indicates the criterion for a UE to detect low mobility in RRC_CONNECTED in an SpCell. The </w:t>
            </w:r>
            <w:r w:rsidRPr="00FA0D37">
              <w:rPr>
                <w:i/>
                <w:iCs/>
                <w:lang w:eastAsia="sv-SE"/>
              </w:rPr>
              <w:t>s-SearchDeltaP-Connected</w:t>
            </w:r>
            <w:r w:rsidRPr="00FA0D37">
              <w:rPr>
                <w:lang w:eastAsia="sv-SE"/>
              </w:rPr>
              <w:t xml:space="preserve"> is the parameter "S</w:t>
            </w:r>
            <w:r w:rsidRPr="00FA0D37">
              <w:rPr>
                <w:vertAlign w:val="subscript"/>
                <w:lang w:eastAsia="sv-SE"/>
              </w:rPr>
              <w:t>SearchDeltaP-connected</w:t>
            </w:r>
            <w:r w:rsidRPr="00FA0D37">
              <w:rPr>
                <w:lang w:eastAsia="sv-SE"/>
              </w:rPr>
              <w:t xml:space="preserve">". </w:t>
            </w:r>
            <w:r w:rsidR="00827A1B" w:rsidRPr="00FA0D37">
              <w:rPr>
                <w:lang w:eastAsia="sv-SE"/>
              </w:rPr>
              <w:t xml:space="preserve">Value </w:t>
            </w:r>
            <w:r w:rsidR="00827A1B" w:rsidRPr="00FA0D37">
              <w:rPr>
                <w:i/>
                <w:iCs/>
                <w:lang w:eastAsia="sv-SE"/>
              </w:rPr>
              <w:t>dB</w:t>
            </w:r>
            <w:r w:rsidR="00827A1B" w:rsidRPr="00FA0D37">
              <w:rPr>
                <w:lang w:eastAsia="sv-SE"/>
              </w:rPr>
              <w:t xml:space="preserve">3 corresponds to 3 dB, </w:t>
            </w:r>
            <w:r w:rsidR="00827A1B" w:rsidRPr="00FA0D37">
              <w:rPr>
                <w:i/>
                <w:iCs/>
                <w:lang w:eastAsia="sv-SE"/>
              </w:rPr>
              <w:t>dB</w:t>
            </w:r>
            <w:r w:rsidR="00827A1B" w:rsidRPr="00FA0D37">
              <w:rPr>
                <w:lang w:eastAsia="sv-SE"/>
              </w:rPr>
              <w:t xml:space="preserve">6 corresponds to 6 dB and so on. </w:t>
            </w:r>
            <w:r w:rsidR="00100624" w:rsidRPr="00FA0D37">
              <w:rPr>
                <w:lang w:eastAsia="sv-SE"/>
              </w:rPr>
              <w:t>T</w:t>
            </w:r>
            <w:r w:rsidRPr="00FA0D37">
              <w:rPr>
                <w:lang w:eastAsia="sv-SE"/>
              </w:rPr>
              <w:t xml:space="preserve">he </w:t>
            </w:r>
            <w:r w:rsidRPr="00FA0D37">
              <w:rPr>
                <w:i/>
                <w:iCs/>
                <w:lang w:eastAsia="sv-SE"/>
              </w:rPr>
              <w:t>t-SearchDeltaP-Connected</w:t>
            </w:r>
            <w:r w:rsidRPr="00FA0D37">
              <w:rPr>
                <w:lang w:eastAsia="sv-SE"/>
              </w:rPr>
              <w:t xml:space="preserve"> is the parameter "T</w:t>
            </w:r>
            <w:r w:rsidRPr="00FA0D37">
              <w:rPr>
                <w:vertAlign w:val="subscript"/>
                <w:lang w:eastAsia="sv-SE"/>
              </w:rPr>
              <w:t>SearchDeltaP-Connected</w:t>
            </w:r>
            <w:r w:rsidRPr="00FA0D37">
              <w:rPr>
                <w:lang w:eastAsia="sv-SE"/>
              </w:rPr>
              <w:t xml:space="preserve">". </w:t>
            </w:r>
            <w:r w:rsidR="00827A1B" w:rsidRPr="00FA0D37">
              <w:rPr>
                <w:noProof/>
                <w:lang w:eastAsia="sv-SE"/>
              </w:rPr>
              <w:t xml:space="preserve">Value </w:t>
            </w:r>
            <w:r w:rsidR="00827A1B" w:rsidRPr="00FA0D37">
              <w:rPr>
                <w:i/>
                <w:lang w:eastAsia="sv-SE"/>
              </w:rPr>
              <w:t>s5</w:t>
            </w:r>
            <w:r w:rsidR="00827A1B" w:rsidRPr="00FA0D37">
              <w:rPr>
                <w:noProof/>
                <w:lang w:eastAsia="sv-SE"/>
              </w:rPr>
              <w:t xml:space="preserve"> means 5 seconds, value </w:t>
            </w:r>
            <w:r w:rsidR="00827A1B" w:rsidRPr="00FA0D37">
              <w:rPr>
                <w:i/>
                <w:lang w:eastAsia="sv-SE"/>
              </w:rPr>
              <w:t xml:space="preserve">s10 </w:t>
            </w:r>
            <w:r w:rsidR="00827A1B" w:rsidRPr="00FA0D37">
              <w:rPr>
                <w:noProof/>
                <w:lang w:eastAsia="sv-SE"/>
              </w:rPr>
              <w:t xml:space="preserve">means 10 seconds and so on. </w:t>
            </w:r>
            <w:r w:rsidRPr="00FA0D37">
              <w:rPr>
                <w:lang w:eastAsia="sv-SE"/>
              </w:rPr>
              <w:t>Low mobility criterion is configured in NR P</w:t>
            </w:r>
            <w:r w:rsidR="00827A1B" w:rsidRPr="00FA0D37">
              <w:rPr>
                <w:lang w:eastAsia="sv-SE"/>
              </w:rPr>
              <w:t>C</w:t>
            </w:r>
            <w:r w:rsidRPr="00FA0D37">
              <w:rPr>
                <w:lang w:eastAsia="sv-SE"/>
              </w:rPr>
              <w:t>ell for the case of NR SA/ NR CA/ NE-DC/NR-DC, and in the NR PSCell for the case of EN-DC.</w:t>
            </w:r>
          </w:p>
        </w:tc>
      </w:tr>
      <w:tr w:rsidR="005C7FF4" w:rsidRPr="00FA0D37"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FA0D37" w:rsidRDefault="00394471" w:rsidP="00964CC4">
            <w:pPr>
              <w:pStyle w:val="TAL"/>
              <w:rPr>
                <w:szCs w:val="22"/>
                <w:lang w:eastAsia="sv-SE"/>
              </w:rPr>
            </w:pPr>
            <w:r w:rsidRPr="00FA0D37">
              <w:rPr>
                <w:b/>
                <w:i/>
                <w:szCs w:val="22"/>
                <w:lang w:eastAsia="sv-SE"/>
              </w:rPr>
              <w:t>reconfigurationWithSync</w:t>
            </w:r>
          </w:p>
          <w:p w14:paraId="6688FCFF" w14:textId="77777777" w:rsidR="00394471" w:rsidRPr="00FA0D37" w:rsidRDefault="00394471" w:rsidP="00964CC4">
            <w:pPr>
              <w:pStyle w:val="TAL"/>
              <w:rPr>
                <w:szCs w:val="22"/>
                <w:lang w:eastAsia="sv-SE"/>
              </w:rPr>
            </w:pPr>
            <w:r w:rsidRPr="00FA0D37">
              <w:rPr>
                <w:szCs w:val="22"/>
                <w:lang w:eastAsia="sv-SE"/>
              </w:rPr>
              <w:t>Parameters for the synchronous reconfiguration to the target SpCell.</w:t>
            </w:r>
          </w:p>
        </w:tc>
      </w:tr>
      <w:tr w:rsidR="005C7FF4" w:rsidRPr="00FA0D37"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FA0D37" w:rsidRDefault="00394471" w:rsidP="00964CC4">
            <w:pPr>
              <w:pStyle w:val="TAL"/>
              <w:rPr>
                <w:szCs w:val="22"/>
                <w:lang w:eastAsia="sv-SE"/>
              </w:rPr>
            </w:pPr>
            <w:r w:rsidRPr="00FA0D37">
              <w:rPr>
                <w:b/>
                <w:i/>
                <w:szCs w:val="22"/>
                <w:lang w:eastAsia="sv-SE"/>
              </w:rPr>
              <w:t>rlf-TimersAndConstants</w:t>
            </w:r>
          </w:p>
          <w:p w14:paraId="08DC3CE3" w14:textId="77777777" w:rsidR="00394471" w:rsidRPr="00FA0D37" w:rsidRDefault="00394471" w:rsidP="00964CC4">
            <w:pPr>
              <w:pStyle w:val="TAL"/>
              <w:rPr>
                <w:szCs w:val="22"/>
                <w:lang w:eastAsia="sv-SE"/>
              </w:rPr>
            </w:pPr>
            <w:r w:rsidRPr="00FA0D37">
              <w:rPr>
                <w:szCs w:val="22"/>
                <w:lang w:eastAsia="sv-SE"/>
              </w:rPr>
              <w:t xml:space="preserve">Timers and constants for detecting and triggering cell-level radio link failure. For the SCG, </w:t>
            </w:r>
            <w:r w:rsidRPr="00FA0D37">
              <w:rPr>
                <w:i/>
                <w:lang w:eastAsia="sv-SE"/>
              </w:rPr>
              <w:t>rlf-TimersAndConstants</w:t>
            </w:r>
            <w:r w:rsidRPr="00FA0D37">
              <w:rPr>
                <w:szCs w:val="22"/>
                <w:lang w:eastAsia="sv-SE"/>
              </w:rPr>
              <w:t xml:space="preserve"> can only be set to </w:t>
            </w:r>
            <w:r w:rsidRPr="00FA0D37">
              <w:rPr>
                <w:i/>
                <w:szCs w:val="22"/>
                <w:lang w:eastAsia="sv-SE"/>
              </w:rPr>
              <w:t>setup</w:t>
            </w:r>
            <w:r w:rsidRPr="00FA0D37">
              <w:rPr>
                <w:szCs w:val="22"/>
                <w:lang w:eastAsia="sv-SE"/>
              </w:rPr>
              <w:t xml:space="preserve"> and is always included at SCG addition.</w:t>
            </w:r>
          </w:p>
        </w:tc>
      </w:tr>
      <w:tr w:rsidR="000830BB" w:rsidRPr="00FA0D37"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FA0D37" w:rsidRDefault="00394471" w:rsidP="00964CC4">
            <w:pPr>
              <w:pStyle w:val="TAL"/>
              <w:rPr>
                <w:szCs w:val="22"/>
                <w:lang w:eastAsia="sv-SE"/>
              </w:rPr>
            </w:pPr>
            <w:r w:rsidRPr="00FA0D37">
              <w:rPr>
                <w:b/>
                <w:i/>
                <w:szCs w:val="22"/>
                <w:lang w:eastAsia="sv-SE"/>
              </w:rPr>
              <w:t>servCellIndex</w:t>
            </w:r>
          </w:p>
          <w:p w14:paraId="0B58A011" w14:textId="77777777" w:rsidR="00394471" w:rsidRPr="00FA0D37" w:rsidRDefault="00394471" w:rsidP="00964CC4">
            <w:pPr>
              <w:pStyle w:val="TAL"/>
              <w:rPr>
                <w:szCs w:val="22"/>
                <w:lang w:eastAsia="sv-SE"/>
              </w:rPr>
            </w:pPr>
            <w:r w:rsidRPr="00FA0D37">
              <w:rPr>
                <w:szCs w:val="22"/>
                <w:lang w:eastAsia="sv-SE"/>
              </w:rPr>
              <w:t>Serving cell ID of a PSCell. The PCell of the Master Cell Group uses ID = 0.</w:t>
            </w:r>
          </w:p>
        </w:tc>
      </w:tr>
    </w:tbl>
    <w:p w14:paraId="6CBED8CF" w14:textId="7AAE821E"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FA0D37" w:rsidRDefault="00360CB9" w:rsidP="000830BB">
            <w:pPr>
              <w:pStyle w:val="TAH"/>
              <w:rPr>
                <w:b w:val="0"/>
                <w:i/>
                <w:iCs/>
                <w:lang w:eastAsia="sv-SE"/>
              </w:rPr>
            </w:pPr>
            <w:r w:rsidRPr="00FA0D37">
              <w:rPr>
                <w:i/>
                <w:iCs/>
                <w:lang w:eastAsia="sv-SE"/>
              </w:rPr>
              <w:t>SL-PathSwitchConfig</w:t>
            </w:r>
            <w:r w:rsidRPr="00FA0D37">
              <w:rPr>
                <w:lang w:eastAsia="sv-SE"/>
              </w:rPr>
              <w:t xml:space="preserve"> field descriptions</w:t>
            </w:r>
          </w:p>
        </w:tc>
      </w:tr>
      <w:tr w:rsidR="005C7FF4" w:rsidRPr="00FA0D37"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FA0D37" w:rsidRDefault="00360CB9" w:rsidP="000830BB">
            <w:pPr>
              <w:pStyle w:val="TAL"/>
              <w:rPr>
                <w:b/>
                <w:bCs/>
                <w:i/>
                <w:iCs/>
                <w:lang w:eastAsia="sv-SE"/>
              </w:rPr>
            </w:pPr>
            <w:r w:rsidRPr="00FA0D37">
              <w:rPr>
                <w:b/>
                <w:bCs/>
                <w:i/>
                <w:iCs/>
                <w:lang w:eastAsia="sv-SE"/>
              </w:rPr>
              <w:t>targetRelayUE</w:t>
            </w:r>
            <w:r w:rsidR="005D44A8" w:rsidRPr="00FA0D37">
              <w:rPr>
                <w:b/>
                <w:bCs/>
                <w:i/>
                <w:iCs/>
                <w:lang w:eastAsia="sv-SE"/>
              </w:rPr>
              <w:t>-</w:t>
            </w:r>
            <w:r w:rsidRPr="00FA0D37">
              <w:rPr>
                <w:b/>
                <w:bCs/>
                <w:i/>
                <w:iCs/>
                <w:lang w:eastAsia="sv-SE"/>
              </w:rPr>
              <w:t>Identity</w:t>
            </w:r>
          </w:p>
          <w:p w14:paraId="2B890438" w14:textId="77777777" w:rsidR="00360CB9" w:rsidRPr="00FA0D37" w:rsidRDefault="00360CB9" w:rsidP="000830BB">
            <w:pPr>
              <w:pStyle w:val="TAL"/>
              <w:rPr>
                <w:lang w:eastAsia="sv-SE"/>
              </w:rPr>
            </w:pPr>
            <w:r w:rsidRPr="00FA0D37">
              <w:rPr>
                <w:lang w:eastAsia="sv-SE"/>
              </w:rPr>
              <w:t>Indicates the L2 source ID of the target L2 U2N Relay UE during path switch.</w:t>
            </w:r>
          </w:p>
        </w:tc>
      </w:tr>
      <w:tr w:rsidR="00F747EB" w:rsidRPr="00FA0D37"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3A2BCF10" w:rsidR="00360CB9" w:rsidRPr="00FA0D37" w:rsidRDefault="00881009" w:rsidP="000830BB">
            <w:pPr>
              <w:pStyle w:val="TAL"/>
              <w:rPr>
                <w:b/>
                <w:bCs/>
                <w:i/>
                <w:iCs/>
                <w:lang w:eastAsia="sv-SE"/>
              </w:rPr>
            </w:pPr>
            <w:r w:rsidRPr="00FA0D37">
              <w:rPr>
                <w:b/>
                <w:bCs/>
                <w:i/>
                <w:iCs/>
                <w:lang w:eastAsia="sv-SE"/>
              </w:rPr>
              <w:t>T420</w:t>
            </w:r>
          </w:p>
          <w:p w14:paraId="12B1F4D1" w14:textId="7DB980E7" w:rsidR="00360CB9" w:rsidRPr="00FA0D37" w:rsidRDefault="00360CB9" w:rsidP="000830BB">
            <w:pPr>
              <w:pStyle w:val="TAL"/>
              <w:rPr>
                <w:lang w:eastAsia="sv-SE"/>
              </w:rPr>
            </w:pPr>
            <w:r w:rsidRPr="00FA0D37">
              <w:rPr>
                <w:lang w:eastAsia="sv-SE"/>
              </w:rPr>
              <w:t xml:space="preserve">Indicates the timer value of </w:t>
            </w:r>
            <w:r w:rsidR="00881009" w:rsidRPr="00FA0D37">
              <w:rPr>
                <w:lang w:eastAsia="sv-SE"/>
              </w:rPr>
              <w:t>T420</w:t>
            </w:r>
            <w:r w:rsidRPr="00FA0D37">
              <w:rPr>
                <w:lang w:eastAsia="sv-SE"/>
              </w:rPr>
              <w:t xml:space="preserve"> to be used during path switch.</w:t>
            </w:r>
          </w:p>
        </w:tc>
      </w:tr>
    </w:tbl>
    <w:p w14:paraId="13C2A326" w14:textId="77777777" w:rsidR="00360CB9" w:rsidRPr="00FA0D37"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FA0D37" w:rsidRDefault="00394471" w:rsidP="00964CC4">
            <w:pPr>
              <w:pStyle w:val="TAH"/>
              <w:rPr>
                <w:rFonts w:eastAsia="Calibri"/>
                <w:szCs w:val="22"/>
                <w:lang w:eastAsia="sv-SE"/>
              </w:rPr>
            </w:pPr>
            <w:r w:rsidRPr="00FA0D37">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FA0D37" w:rsidRDefault="00394471" w:rsidP="00964CC4">
            <w:pPr>
              <w:pStyle w:val="TAH"/>
              <w:rPr>
                <w:rFonts w:eastAsia="Calibri"/>
                <w:szCs w:val="22"/>
                <w:lang w:eastAsia="sv-SE"/>
              </w:rPr>
            </w:pPr>
            <w:r w:rsidRPr="00FA0D37">
              <w:rPr>
                <w:rFonts w:eastAsia="Calibri"/>
                <w:szCs w:val="22"/>
                <w:lang w:eastAsia="sv-SE"/>
              </w:rPr>
              <w:t>Explanation</w:t>
            </w:r>
          </w:p>
        </w:tc>
      </w:tr>
      <w:tr w:rsidR="005C7FF4" w:rsidRPr="00FA0D37"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FA0D37" w:rsidRDefault="000F093A" w:rsidP="00F747EB">
            <w:pPr>
              <w:pStyle w:val="TAL"/>
              <w:rPr>
                <w:rFonts w:eastAsia="Calibri"/>
                <w:i/>
                <w:iCs/>
                <w:lang w:eastAsia="sv-SE"/>
              </w:rPr>
            </w:pPr>
            <w:r w:rsidRPr="00FA0D37">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FA0D37" w:rsidRDefault="000F093A" w:rsidP="00F747EB">
            <w:pPr>
              <w:pStyle w:val="TAL"/>
              <w:rPr>
                <w:rFonts w:eastAsia="Calibri"/>
                <w:lang w:eastAsia="sv-SE"/>
              </w:rPr>
            </w:pPr>
            <w:r w:rsidRPr="00FA0D37">
              <w:rPr>
                <w:rFonts w:eastAsia="Calibri"/>
                <w:lang w:eastAsia="sv-SE"/>
              </w:rPr>
              <w:t xml:space="preserve">The field is optionally present, Need R, if </w:t>
            </w:r>
            <w:r w:rsidRPr="00FA0D37">
              <w:rPr>
                <w:rFonts w:eastAsia="Calibri"/>
                <w:i/>
                <w:iCs/>
                <w:lang w:eastAsia="sv-SE"/>
              </w:rPr>
              <w:t>uplinkTxSwitching</w:t>
            </w:r>
            <w:r w:rsidRPr="00FA0D37">
              <w:rPr>
                <w:rFonts w:eastAsia="Calibri"/>
                <w:lang w:eastAsia="sv-SE"/>
              </w:rPr>
              <w:t xml:space="preserve"> is configured; otherwise it is absent, Need R.</w:t>
            </w:r>
          </w:p>
        </w:tc>
      </w:tr>
      <w:tr w:rsidR="005C7FF4" w:rsidRPr="00FA0D37"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FA0D37" w:rsidRDefault="00394471" w:rsidP="00964CC4">
            <w:pPr>
              <w:pStyle w:val="TAL"/>
              <w:rPr>
                <w:rFonts w:eastAsia="Calibri"/>
                <w:i/>
                <w:szCs w:val="22"/>
                <w:lang w:eastAsia="sv-SE"/>
              </w:rPr>
            </w:pPr>
            <w:r w:rsidRPr="00FA0D37">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The field is optionally present, Need N, if the BWPs are reconfigured or if serving cells are added or removed. Otherwise it is absent. </w:t>
            </w:r>
          </w:p>
        </w:tc>
      </w:tr>
      <w:tr w:rsidR="005C7FF4" w:rsidRPr="00FA0D37"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FA0D37" w:rsidRDefault="00360CB9" w:rsidP="00771058">
            <w:pPr>
              <w:pStyle w:val="TAL"/>
              <w:rPr>
                <w:rFonts w:eastAsia="Calibri"/>
                <w:i/>
                <w:szCs w:val="22"/>
                <w:lang w:eastAsia="sv-SE"/>
              </w:rPr>
            </w:pPr>
            <w:r w:rsidRPr="00FA0D37">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61FD3934" w14:textId="3611675B" w:rsidR="00360CB9" w:rsidRPr="00FA0D37" w:rsidRDefault="00360CB9" w:rsidP="00771058">
            <w:pPr>
              <w:pStyle w:val="TAL"/>
              <w:rPr>
                <w:rFonts w:eastAsia="Calibri"/>
                <w:szCs w:val="22"/>
                <w:lang w:eastAsia="sv-SE"/>
              </w:rPr>
            </w:pPr>
            <w:r w:rsidRPr="00FA0D37">
              <w:rPr>
                <w:rFonts w:eastAsia="Calibri"/>
                <w:szCs w:val="22"/>
                <w:lang w:eastAsia="sv-SE"/>
              </w:rPr>
              <w:t xml:space="preserve">The field is mandatory present </w:t>
            </w:r>
            <w:r w:rsidR="005D44A8" w:rsidRPr="00FA0D37">
              <w:rPr>
                <w:rFonts w:eastAsia="Calibri"/>
                <w:szCs w:val="22"/>
                <w:lang w:eastAsia="sv-SE"/>
              </w:rPr>
              <w:t xml:space="preserve">for the L2 U2N remote UE </w:t>
            </w:r>
            <w:r w:rsidRPr="00FA0D37">
              <w:rPr>
                <w:rFonts w:eastAsia="Calibri"/>
                <w:szCs w:val="22"/>
                <w:lang w:eastAsia="sv-SE"/>
              </w:rPr>
              <w:t xml:space="preserve">at path </w:t>
            </w:r>
            <w:r w:rsidRPr="00FA0D37">
              <w:rPr>
                <w:rFonts w:eastAsia="Calibri" w:cs="Arial"/>
                <w:szCs w:val="18"/>
              </w:rPr>
              <w:t>switch to the target L2 U2N Relay UE</w:t>
            </w:r>
            <w:r w:rsidRPr="00FA0D37">
              <w:rPr>
                <w:rFonts w:eastAsia="Calibri"/>
                <w:szCs w:val="22"/>
                <w:lang w:eastAsia="sv-SE"/>
              </w:rPr>
              <w:t>. It is absent otherwise.</w:t>
            </w:r>
          </w:p>
        </w:tc>
      </w:tr>
      <w:tr w:rsidR="005C7FF4" w:rsidRPr="00FA0D37"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E616AE" w:rsidRPr="00FA0D37" w:rsidRDefault="00E616AE" w:rsidP="00E616AE">
            <w:pPr>
              <w:pStyle w:val="TAL"/>
              <w:rPr>
                <w:rFonts w:eastAsia="Calibri"/>
                <w:i/>
                <w:iCs/>
                <w:szCs w:val="22"/>
              </w:rPr>
            </w:pPr>
            <w:r w:rsidRPr="00FA0D37">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E616AE" w:rsidRPr="00FA0D37" w:rsidRDefault="00E616AE" w:rsidP="00E616AE">
            <w:pPr>
              <w:pStyle w:val="TAL"/>
              <w:rPr>
                <w:rFonts w:eastAsia="Calibri"/>
                <w:szCs w:val="22"/>
              </w:rPr>
            </w:pPr>
            <w:r w:rsidRPr="00FA0D37">
              <w:t xml:space="preserve">The field is optionally present, Need R, if there is at least one per UE gap configured with </w:t>
            </w:r>
            <w:r w:rsidRPr="00FA0D37">
              <w:rPr>
                <w:i/>
                <w:iCs/>
              </w:rPr>
              <w:t>preConfigInd</w:t>
            </w:r>
            <w:r w:rsidRPr="00FA0D37">
              <w:t xml:space="preserve"> or there is at least one per FR gap of the same FR which the SCell belongs to and configured with </w:t>
            </w:r>
            <w:r w:rsidRPr="00FA0D37">
              <w:rPr>
                <w:i/>
                <w:iCs/>
              </w:rPr>
              <w:t>preConfigInd</w:t>
            </w:r>
            <w:r w:rsidRPr="00FA0D37">
              <w:t>. It is absent</w:t>
            </w:r>
            <w:r w:rsidR="00CE29E7" w:rsidRPr="00FA0D37">
              <w:t>, Need R,</w:t>
            </w:r>
            <w:r w:rsidRPr="00FA0D37">
              <w:t xml:space="preserve"> otherwise.</w:t>
            </w:r>
          </w:p>
        </w:tc>
      </w:tr>
      <w:tr w:rsidR="005C7FF4" w:rsidRPr="00FA0D37"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394471" w:rsidRPr="00FA0D37" w:rsidRDefault="00394471" w:rsidP="00964CC4">
            <w:pPr>
              <w:pStyle w:val="TAL"/>
              <w:rPr>
                <w:rFonts w:eastAsia="Calibri"/>
                <w:i/>
                <w:szCs w:val="22"/>
                <w:lang w:eastAsia="sv-SE"/>
              </w:rPr>
            </w:pPr>
            <w:r w:rsidRPr="00FA0D37">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394471" w:rsidRPr="00FA0D37" w:rsidRDefault="00394471" w:rsidP="00964CC4">
            <w:pPr>
              <w:keepNext/>
              <w:keepLines/>
              <w:spacing w:after="0"/>
              <w:rPr>
                <w:rFonts w:ascii="Arial" w:eastAsia="Calibri" w:hAnsi="Arial"/>
                <w:sz w:val="18"/>
                <w:szCs w:val="22"/>
              </w:rPr>
            </w:pPr>
            <w:r w:rsidRPr="00FA0D37">
              <w:rPr>
                <w:rFonts w:ascii="Arial" w:eastAsia="Calibri" w:hAnsi="Arial" w:cs="Arial"/>
                <w:sz w:val="18"/>
                <w:szCs w:val="18"/>
                <w:lang w:eastAsia="sv-SE"/>
              </w:rPr>
              <w:t xml:space="preserve">The field is mandatory present in </w:t>
            </w:r>
            <w:r w:rsidRPr="00FA0D37">
              <w:rPr>
                <w:rFonts w:ascii="Arial" w:eastAsia="Calibri" w:hAnsi="Arial" w:cs="Arial"/>
                <w:sz w:val="18"/>
                <w:szCs w:val="18"/>
              </w:rPr>
              <w:t>t</w:t>
            </w:r>
            <w:r w:rsidRPr="00FA0D37">
              <w:rPr>
                <w:rFonts w:ascii="Arial" w:eastAsia="Calibri" w:hAnsi="Arial"/>
                <w:sz w:val="18"/>
                <w:szCs w:val="22"/>
              </w:rPr>
              <w:t xml:space="preserve">he </w:t>
            </w:r>
            <w:r w:rsidRPr="00FA0D37">
              <w:rPr>
                <w:rFonts w:ascii="Arial" w:eastAsia="Calibri" w:hAnsi="Arial"/>
                <w:i/>
                <w:sz w:val="18"/>
                <w:szCs w:val="22"/>
              </w:rPr>
              <w:t>RRCReconfiguration</w:t>
            </w:r>
            <w:r w:rsidRPr="00FA0D37">
              <w:rPr>
                <w:rFonts w:ascii="Arial" w:eastAsia="Calibri" w:hAnsi="Arial"/>
                <w:sz w:val="18"/>
                <w:szCs w:val="22"/>
              </w:rPr>
              <w:t xml:space="preserve"> message:</w:t>
            </w:r>
          </w:p>
          <w:p w14:paraId="6ED199C9" w14:textId="77777777" w:rsidR="00394471" w:rsidRPr="00FA0D37" w:rsidRDefault="00394471" w:rsidP="008E4C89">
            <w:pPr>
              <w:pStyle w:val="B1"/>
              <w:spacing w:after="0"/>
              <w:rPr>
                <w:rFonts w:ascii="Arial" w:eastAsia="Calibri" w:hAnsi="Arial" w:cs="Arial"/>
                <w:sz w:val="18"/>
                <w:szCs w:val="18"/>
              </w:rPr>
            </w:pPr>
            <w:r w:rsidRPr="00FA0D37">
              <w:rPr>
                <w:rFonts w:ascii="Arial" w:eastAsia="Calibri" w:hAnsi="Arial" w:cs="Arial"/>
                <w:sz w:val="18"/>
                <w:szCs w:val="18"/>
              </w:rPr>
              <w:t>-</w:t>
            </w:r>
            <w:r w:rsidRPr="00FA0D37">
              <w:rPr>
                <w:rFonts w:ascii="Arial" w:eastAsia="Calibri" w:hAnsi="Arial" w:cs="Arial"/>
                <w:sz w:val="18"/>
                <w:szCs w:val="18"/>
              </w:rPr>
              <w:tab/>
              <w:t xml:space="preserve">in each configured </w:t>
            </w:r>
            <w:r w:rsidRPr="00FA0D37">
              <w:rPr>
                <w:rFonts w:ascii="Arial" w:eastAsia="Calibri" w:hAnsi="Arial" w:cs="Arial"/>
                <w:i/>
                <w:sz w:val="18"/>
                <w:szCs w:val="18"/>
              </w:rPr>
              <w:t>CellGroupConfig</w:t>
            </w:r>
            <w:r w:rsidRPr="00FA0D37">
              <w:rPr>
                <w:rFonts w:ascii="Arial" w:eastAsia="Calibri" w:hAnsi="Arial" w:cs="Arial"/>
                <w:sz w:val="18"/>
                <w:szCs w:val="18"/>
              </w:rPr>
              <w:t xml:space="preserve"> for which the SpCell changes,</w:t>
            </w:r>
          </w:p>
          <w:p w14:paraId="1D34EEF4" w14:textId="40E972FF" w:rsidR="00477595" w:rsidRPr="00FA0D37" w:rsidRDefault="00394471" w:rsidP="00964CC4">
            <w:pPr>
              <w:pStyle w:val="B1"/>
              <w:spacing w:after="0"/>
              <w:rPr>
                <w:rFonts w:ascii="Arial" w:eastAsia="Calibri" w:hAnsi="Arial"/>
                <w:i/>
                <w:sz w:val="18"/>
                <w:szCs w:val="22"/>
              </w:rPr>
            </w:pPr>
            <w:r w:rsidRPr="00FA0D37">
              <w:rPr>
                <w:rFonts w:ascii="Arial" w:eastAsia="Calibri" w:hAnsi="Arial"/>
                <w:sz w:val="18"/>
                <w:szCs w:val="22"/>
              </w:rPr>
              <w:t>-</w:t>
            </w:r>
            <w:r w:rsidRPr="00FA0D37">
              <w:rPr>
                <w:rFonts w:ascii="Arial" w:eastAsia="Calibri" w:hAnsi="Arial"/>
                <w:sz w:val="18"/>
                <w:szCs w:val="22"/>
              </w:rPr>
              <w:tab/>
              <w:t xml:space="preserve">in the </w:t>
            </w:r>
            <w:r w:rsidRPr="00FA0D37">
              <w:rPr>
                <w:rFonts w:ascii="Arial" w:eastAsia="Calibri" w:hAnsi="Arial"/>
                <w:i/>
                <w:sz w:val="18"/>
                <w:szCs w:val="22"/>
              </w:rPr>
              <w:t>masterCellGroup</w:t>
            </w:r>
            <w:r w:rsidR="00477595" w:rsidRPr="00FA0D37">
              <w:rPr>
                <w:rFonts w:ascii="Arial" w:eastAsia="Calibri" w:hAnsi="Arial"/>
                <w:i/>
                <w:sz w:val="18"/>
                <w:szCs w:val="22"/>
              </w:rPr>
              <w:t>:</w:t>
            </w:r>
          </w:p>
          <w:p w14:paraId="7A059E0A" w14:textId="4071361C" w:rsidR="00394471" w:rsidRPr="00FA0D37" w:rsidRDefault="00477595" w:rsidP="00DA748E">
            <w:pPr>
              <w:pStyle w:val="B2"/>
              <w:spacing w:after="0"/>
              <w:rPr>
                <w:rFonts w:ascii="Arial" w:eastAsia="Calibri" w:hAnsi="Arial"/>
                <w:sz w:val="18"/>
                <w:szCs w:val="22"/>
              </w:rPr>
            </w:pPr>
            <w:r w:rsidRPr="00FA0D37">
              <w:rPr>
                <w:rFonts w:ascii="Arial" w:eastAsia="Calibri" w:hAnsi="Arial" w:cs="Arial"/>
                <w:sz w:val="18"/>
                <w:szCs w:val="18"/>
              </w:rPr>
              <w:t>-</w:t>
            </w:r>
            <w:r w:rsidRPr="00FA0D37">
              <w:rPr>
                <w:rFonts w:ascii="Arial" w:eastAsia="Calibri" w:hAnsi="Arial" w:cs="Arial"/>
                <w:sz w:val="18"/>
                <w:szCs w:val="18"/>
              </w:rPr>
              <w:tab/>
            </w:r>
            <w:r w:rsidR="00394471" w:rsidRPr="00FA0D37">
              <w:rPr>
                <w:rFonts w:ascii="Arial" w:eastAsia="Calibri" w:hAnsi="Arial"/>
                <w:sz w:val="18"/>
                <w:szCs w:val="22"/>
              </w:rPr>
              <w:t>at change of AS security key derived from K</w:t>
            </w:r>
            <w:r w:rsidR="00394471" w:rsidRPr="00FA0D37">
              <w:rPr>
                <w:rFonts w:ascii="Arial" w:eastAsia="Calibri" w:hAnsi="Arial"/>
                <w:sz w:val="18"/>
                <w:szCs w:val="22"/>
                <w:vertAlign w:val="subscript"/>
              </w:rPr>
              <w:t>gNB</w:t>
            </w:r>
            <w:r w:rsidR="00394471" w:rsidRPr="00FA0D37">
              <w:rPr>
                <w:rFonts w:ascii="Arial" w:eastAsia="Calibri" w:hAnsi="Arial"/>
                <w:sz w:val="18"/>
                <w:szCs w:val="22"/>
              </w:rPr>
              <w:t>,</w:t>
            </w:r>
          </w:p>
          <w:p w14:paraId="5AC78B57" w14:textId="6E03DF4A" w:rsidR="00477595" w:rsidRPr="00FA0D37" w:rsidRDefault="00477595" w:rsidP="00477595">
            <w:pPr>
              <w:spacing w:after="0"/>
              <w:ind w:left="851" w:hanging="284"/>
              <w:rPr>
                <w:rFonts w:ascii="Arial" w:eastAsia="Calibri" w:hAnsi="Arial"/>
                <w:sz w:val="18"/>
                <w:szCs w:val="22"/>
              </w:rPr>
            </w:pPr>
            <w:r w:rsidRPr="00FA0D37">
              <w:rPr>
                <w:rFonts w:ascii="Arial" w:eastAsia="Calibri" w:hAnsi="Arial"/>
                <w:sz w:val="18"/>
                <w:szCs w:val="22"/>
              </w:rPr>
              <w:t>-</w:t>
            </w:r>
            <w:r w:rsidRPr="00FA0D37">
              <w:rPr>
                <w:rFonts w:ascii="Arial" w:eastAsia="Calibri" w:hAnsi="Arial"/>
                <w:sz w:val="18"/>
                <w:szCs w:val="22"/>
              </w:rPr>
              <w:tab/>
              <w:t xml:space="preserve">in an </w:t>
            </w:r>
            <w:r w:rsidRPr="00FA0D37">
              <w:rPr>
                <w:rFonts w:ascii="Arial" w:eastAsia="Calibri" w:hAnsi="Arial"/>
                <w:i/>
                <w:sz w:val="18"/>
                <w:szCs w:val="22"/>
              </w:rPr>
              <w:t>RRCReconfiguration</w:t>
            </w:r>
            <w:r w:rsidRPr="00FA0D37">
              <w:rPr>
                <w:rFonts w:ascii="Arial" w:eastAsia="Calibri" w:hAnsi="Arial"/>
                <w:sz w:val="18"/>
                <w:szCs w:val="22"/>
              </w:rPr>
              <w:t xml:space="preserve"> message contained in a </w:t>
            </w:r>
            <w:r w:rsidRPr="00FA0D37">
              <w:rPr>
                <w:rFonts w:ascii="Arial" w:eastAsia="Calibri" w:hAnsi="Arial"/>
                <w:i/>
                <w:sz w:val="18"/>
                <w:szCs w:val="22"/>
              </w:rPr>
              <w:t>DLInformationTransferMRDC</w:t>
            </w:r>
            <w:r w:rsidRPr="00FA0D37">
              <w:rPr>
                <w:rFonts w:ascii="Arial" w:eastAsia="Calibri" w:hAnsi="Arial"/>
                <w:sz w:val="18"/>
                <w:szCs w:val="22"/>
              </w:rPr>
              <w:t xml:space="preserve"> message,</w:t>
            </w:r>
          </w:p>
          <w:p w14:paraId="259A1C43" w14:textId="54B6DED5" w:rsidR="00360CB9" w:rsidRPr="00FA0D37" w:rsidRDefault="00360CB9" w:rsidP="00477595">
            <w:pPr>
              <w:spacing w:after="0"/>
              <w:ind w:left="851" w:hanging="284"/>
              <w:rPr>
                <w:rFonts w:ascii="Arial" w:eastAsia="Calibri" w:hAnsi="Arial"/>
                <w:sz w:val="18"/>
                <w:szCs w:val="22"/>
              </w:rPr>
            </w:pPr>
            <w:r w:rsidRPr="00FA0D37">
              <w:rPr>
                <w:rFonts w:ascii="Arial" w:eastAsia="Calibri" w:hAnsi="Arial" w:cs="Arial"/>
                <w:sz w:val="18"/>
                <w:szCs w:val="22"/>
              </w:rPr>
              <w:t>-</w:t>
            </w:r>
            <w:r w:rsidRPr="00FA0D37">
              <w:rPr>
                <w:rFonts w:ascii="Arial" w:eastAsia="Calibri" w:hAnsi="Arial"/>
                <w:sz w:val="18"/>
                <w:szCs w:val="22"/>
              </w:rPr>
              <w:tab/>
              <w:t xml:space="preserve">path switch </w:t>
            </w:r>
            <w:r w:rsidR="005D44A8" w:rsidRPr="00FA0D37">
              <w:rPr>
                <w:rFonts w:ascii="Arial" w:eastAsia="Calibri" w:hAnsi="Arial"/>
                <w:sz w:val="18"/>
                <w:szCs w:val="22"/>
              </w:rPr>
              <w:t xml:space="preserve">of L2 U2N remote UE </w:t>
            </w:r>
            <w:r w:rsidRPr="00FA0D37">
              <w:rPr>
                <w:rFonts w:ascii="Arial" w:eastAsia="Calibri" w:hAnsi="Arial"/>
                <w:sz w:val="18"/>
                <w:szCs w:val="22"/>
              </w:rPr>
              <w:t>to the target PCell,</w:t>
            </w:r>
          </w:p>
          <w:p w14:paraId="0D55F21C" w14:textId="55D9312D" w:rsidR="00360CB9" w:rsidRPr="00FA0D37" w:rsidRDefault="00360CB9" w:rsidP="00477595">
            <w:pPr>
              <w:spacing w:after="0"/>
              <w:ind w:left="851" w:hanging="284"/>
              <w:rPr>
                <w:rFonts w:ascii="Arial" w:eastAsia="Calibri" w:hAnsi="Arial" w:cs="Arial"/>
                <w:sz w:val="18"/>
                <w:szCs w:val="18"/>
              </w:rPr>
            </w:pPr>
            <w:r w:rsidRPr="00FA0D37">
              <w:rPr>
                <w:rFonts w:ascii="Arial" w:eastAsia="Calibri" w:hAnsi="Arial" w:cs="Arial"/>
                <w:sz w:val="18"/>
                <w:szCs w:val="22"/>
              </w:rPr>
              <w:t>-</w:t>
            </w:r>
            <w:r w:rsidRPr="00FA0D37">
              <w:rPr>
                <w:rFonts w:ascii="Arial" w:eastAsia="Calibri" w:hAnsi="Arial"/>
                <w:sz w:val="18"/>
                <w:szCs w:val="22"/>
              </w:rPr>
              <w:tab/>
            </w:r>
            <w:r w:rsidRPr="00FA0D37">
              <w:rPr>
                <w:rFonts w:ascii="Arial" w:eastAsia="Calibri" w:hAnsi="Arial" w:cs="Arial"/>
                <w:sz w:val="18"/>
                <w:szCs w:val="18"/>
              </w:rPr>
              <w:t xml:space="preserve">path switch </w:t>
            </w:r>
            <w:r w:rsidR="005D44A8" w:rsidRPr="00FA0D37">
              <w:rPr>
                <w:rFonts w:ascii="Arial" w:eastAsia="Calibri" w:hAnsi="Arial"/>
                <w:sz w:val="18"/>
                <w:szCs w:val="22"/>
              </w:rPr>
              <w:t xml:space="preserve">of L2 U2N remote UE </w:t>
            </w:r>
            <w:r w:rsidRPr="00FA0D37">
              <w:rPr>
                <w:rFonts w:ascii="Arial" w:eastAsia="Calibri" w:hAnsi="Arial" w:cs="Arial"/>
                <w:sz w:val="18"/>
                <w:szCs w:val="18"/>
              </w:rPr>
              <w:t>to the target L2 U2N Relay UE,</w:t>
            </w:r>
          </w:p>
          <w:p w14:paraId="448CE6BC" w14:textId="77777777" w:rsidR="00394471" w:rsidRPr="00FA0D37" w:rsidRDefault="00394471" w:rsidP="00964CC4">
            <w:pPr>
              <w:pStyle w:val="B1"/>
              <w:spacing w:after="0"/>
              <w:rPr>
                <w:rFonts w:ascii="Arial" w:eastAsia="Calibri" w:hAnsi="Arial"/>
                <w:sz w:val="18"/>
                <w:szCs w:val="22"/>
              </w:rPr>
            </w:pPr>
            <w:r w:rsidRPr="00FA0D37">
              <w:rPr>
                <w:rFonts w:ascii="Arial" w:hAnsi="Arial" w:cs="Arial"/>
                <w:sz w:val="18"/>
                <w:szCs w:val="18"/>
                <w:lang w:eastAsia="x-none"/>
              </w:rPr>
              <w:t>-</w:t>
            </w:r>
            <w:r w:rsidRPr="00FA0D37">
              <w:rPr>
                <w:rFonts w:ascii="Arial" w:hAnsi="Arial" w:cs="Arial"/>
                <w:sz w:val="18"/>
                <w:szCs w:val="18"/>
                <w:lang w:eastAsia="x-none"/>
              </w:rPr>
              <w:tab/>
            </w:r>
            <w:r w:rsidRPr="00FA0D37">
              <w:rPr>
                <w:rFonts w:ascii="Arial" w:eastAsia="Calibri" w:hAnsi="Arial"/>
                <w:sz w:val="18"/>
                <w:szCs w:val="22"/>
              </w:rPr>
              <w:t xml:space="preserve">in the </w:t>
            </w:r>
            <w:r w:rsidRPr="00FA0D37">
              <w:rPr>
                <w:rFonts w:ascii="Arial" w:eastAsia="Calibri" w:hAnsi="Arial"/>
                <w:i/>
                <w:sz w:val="18"/>
                <w:szCs w:val="22"/>
              </w:rPr>
              <w:t>secondaryCellGroup</w:t>
            </w:r>
            <w:r w:rsidRPr="00FA0D37">
              <w:rPr>
                <w:rFonts w:ascii="Arial" w:eastAsia="Calibri" w:hAnsi="Arial"/>
                <w:sz w:val="18"/>
                <w:szCs w:val="22"/>
              </w:rPr>
              <w:t xml:space="preserve"> at:</w:t>
            </w:r>
          </w:p>
          <w:p w14:paraId="6C7C92EF" w14:textId="77777777" w:rsidR="00394471" w:rsidRPr="00FA0D37" w:rsidRDefault="00394471" w:rsidP="008E4C89">
            <w:pPr>
              <w:pStyle w:val="B2"/>
              <w:spacing w:after="0"/>
              <w:rPr>
                <w:rFonts w:ascii="Arial" w:eastAsia="Calibri" w:hAnsi="Arial" w:cs="Arial"/>
                <w:sz w:val="18"/>
                <w:szCs w:val="18"/>
              </w:rPr>
            </w:pPr>
            <w:r w:rsidRPr="00FA0D37">
              <w:rPr>
                <w:rFonts w:ascii="Arial" w:eastAsia="Calibri" w:hAnsi="Arial" w:cs="Arial"/>
                <w:sz w:val="18"/>
                <w:szCs w:val="18"/>
              </w:rPr>
              <w:t>-</w:t>
            </w:r>
            <w:r w:rsidRPr="00FA0D37">
              <w:rPr>
                <w:rFonts w:ascii="Arial" w:eastAsia="Calibri" w:hAnsi="Arial" w:cs="Arial"/>
                <w:sz w:val="18"/>
                <w:szCs w:val="18"/>
              </w:rPr>
              <w:tab/>
              <w:t>PSCell addition,</w:t>
            </w:r>
          </w:p>
          <w:p w14:paraId="021DD676" w14:textId="77777777" w:rsidR="00394471" w:rsidRPr="00FA0D37" w:rsidRDefault="00394471" w:rsidP="008E4C89">
            <w:pPr>
              <w:pStyle w:val="B2"/>
              <w:spacing w:after="0"/>
              <w:rPr>
                <w:rFonts w:ascii="Arial" w:eastAsia="Calibri" w:hAnsi="Arial" w:cs="Arial"/>
                <w:sz w:val="18"/>
                <w:szCs w:val="18"/>
              </w:rPr>
            </w:pPr>
            <w:r w:rsidRPr="00FA0D37">
              <w:rPr>
                <w:rFonts w:ascii="Arial" w:eastAsia="Calibri" w:hAnsi="Arial" w:cs="Arial"/>
                <w:sz w:val="18"/>
                <w:szCs w:val="18"/>
              </w:rPr>
              <w:t>-</w:t>
            </w:r>
            <w:r w:rsidRPr="00FA0D37">
              <w:rPr>
                <w:rFonts w:ascii="Arial" w:eastAsia="Calibri" w:hAnsi="Arial" w:cs="Arial"/>
                <w:sz w:val="18"/>
                <w:szCs w:val="18"/>
              </w:rPr>
              <w:tab/>
              <w:t>SCG resume with NR-DC or (NG)EN-DC,</w:t>
            </w:r>
          </w:p>
          <w:p w14:paraId="4DB91541" w14:textId="77777777" w:rsidR="00394471" w:rsidRPr="00FA0D37" w:rsidRDefault="00394471" w:rsidP="008E4C89">
            <w:pPr>
              <w:pStyle w:val="B2"/>
              <w:spacing w:after="0"/>
              <w:rPr>
                <w:rFonts w:ascii="Arial" w:eastAsia="Calibri" w:hAnsi="Arial" w:cs="Arial"/>
                <w:sz w:val="18"/>
                <w:szCs w:val="18"/>
              </w:rPr>
            </w:pPr>
            <w:r w:rsidRPr="00FA0D37">
              <w:rPr>
                <w:rFonts w:ascii="Arial" w:eastAsia="Calibri" w:hAnsi="Arial" w:cs="Arial"/>
                <w:sz w:val="18"/>
                <w:szCs w:val="18"/>
              </w:rPr>
              <w:t>-</w:t>
            </w:r>
            <w:r w:rsidRPr="00FA0D37">
              <w:rPr>
                <w:rFonts w:ascii="Arial" w:eastAsia="Calibri" w:hAnsi="Arial" w:cs="Arial"/>
                <w:sz w:val="18"/>
                <w:szCs w:val="18"/>
              </w:rPr>
              <w:tab/>
            </w:r>
            <w:r w:rsidRPr="00FA0D37">
              <w:rPr>
                <w:rFonts w:ascii="Arial" w:hAnsi="Arial" w:cs="Arial"/>
                <w:sz w:val="18"/>
                <w:szCs w:val="18"/>
                <w:lang w:eastAsia="zh-CN"/>
              </w:rPr>
              <w:t>update</w:t>
            </w:r>
            <w:r w:rsidRPr="00FA0D37">
              <w:rPr>
                <w:rFonts w:ascii="Arial" w:eastAsia="Calibri" w:hAnsi="Arial" w:cs="Arial"/>
                <w:sz w:val="18"/>
                <w:szCs w:val="18"/>
              </w:rPr>
              <w:t xml:space="preserve"> of required SI for PSCell,</w:t>
            </w:r>
          </w:p>
          <w:p w14:paraId="507134C8" w14:textId="3ED9B89D" w:rsidR="00394471" w:rsidRPr="00FA0D37" w:rsidRDefault="00394471" w:rsidP="008E4C89">
            <w:pPr>
              <w:pStyle w:val="B2"/>
              <w:spacing w:after="0"/>
              <w:rPr>
                <w:rFonts w:ascii="Arial" w:eastAsia="Calibri" w:hAnsi="Arial" w:cs="Arial"/>
                <w:sz w:val="18"/>
                <w:szCs w:val="18"/>
              </w:rPr>
            </w:pPr>
            <w:r w:rsidRPr="00FA0D37">
              <w:rPr>
                <w:rFonts w:ascii="Arial" w:eastAsia="Calibri" w:hAnsi="Arial" w:cs="Arial"/>
                <w:sz w:val="18"/>
                <w:szCs w:val="18"/>
              </w:rPr>
              <w:t>-</w:t>
            </w:r>
            <w:r w:rsidRPr="00FA0D37">
              <w:rPr>
                <w:rFonts w:ascii="Arial" w:eastAsia="Calibri" w:hAnsi="Arial" w:cs="Arial"/>
                <w:sz w:val="18"/>
                <w:szCs w:val="18"/>
              </w:rPr>
              <w:tab/>
              <w:t xml:space="preserve">change of </w:t>
            </w:r>
            <w:r w:rsidRPr="00FA0D37">
              <w:rPr>
                <w:rFonts w:ascii="Arial" w:hAnsi="Arial" w:cs="Arial"/>
                <w:sz w:val="18"/>
                <w:szCs w:val="18"/>
              </w:rPr>
              <w:t xml:space="preserve">AS </w:t>
            </w:r>
            <w:r w:rsidRPr="00FA0D37">
              <w:rPr>
                <w:rFonts w:ascii="Arial" w:eastAsia="Calibri" w:hAnsi="Arial" w:cs="Arial"/>
                <w:sz w:val="18"/>
                <w:szCs w:val="18"/>
              </w:rPr>
              <w:t xml:space="preserve">security key </w:t>
            </w:r>
            <w:r w:rsidRPr="00FA0D37">
              <w:rPr>
                <w:rFonts w:ascii="Arial" w:hAnsi="Arial" w:cs="Arial"/>
                <w:sz w:val="18"/>
                <w:szCs w:val="18"/>
              </w:rPr>
              <w:t>derived from S-K</w:t>
            </w:r>
            <w:r w:rsidRPr="00FA0D37">
              <w:rPr>
                <w:rFonts w:ascii="Arial" w:hAnsi="Arial" w:cs="Arial"/>
                <w:sz w:val="18"/>
                <w:szCs w:val="18"/>
                <w:vertAlign w:val="subscript"/>
              </w:rPr>
              <w:t>gNB</w:t>
            </w:r>
            <w:r w:rsidRPr="00FA0D37">
              <w:rPr>
                <w:rFonts w:ascii="Arial" w:hAnsi="Arial" w:cs="Arial"/>
                <w:sz w:val="18"/>
                <w:szCs w:val="18"/>
              </w:rPr>
              <w:t xml:space="preserve"> </w:t>
            </w:r>
            <w:r w:rsidR="00202837" w:rsidRPr="00FA0D37">
              <w:rPr>
                <w:rFonts w:ascii="Arial" w:hAnsi="Arial" w:cs="Arial"/>
                <w:sz w:val="18"/>
                <w:szCs w:val="18"/>
              </w:rPr>
              <w:t xml:space="preserve">in NR-DC </w:t>
            </w:r>
            <w:r w:rsidRPr="00FA0D37">
              <w:rPr>
                <w:rFonts w:ascii="Arial" w:hAnsi="Arial" w:cs="Arial"/>
                <w:sz w:val="18"/>
                <w:szCs w:val="18"/>
              </w:rPr>
              <w:t xml:space="preserve">while the UE is configured with at least one radio bearer with </w:t>
            </w:r>
            <w:r w:rsidRPr="00FA0D37">
              <w:rPr>
                <w:rFonts w:ascii="Arial" w:hAnsi="Arial" w:cs="Arial"/>
                <w:i/>
                <w:sz w:val="18"/>
                <w:szCs w:val="18"/>
              </w:rPr>
              <w:t>keyToUse</w:t>
            </w:r>
            <w:r w:rsidRPr="00FA0D37">
              <w:rPr>
                <w:rFonts w:ascii="Arial" w:hAnsi="Arial" w:cs="Arial"/>
                <w:sz w:val="18"/>
                <w:szCs w:val="18"/>
              </w:rPr>
              <w:t xml:space="preserve"> set to </w:t>
            </w:r>
            <w:r w:rsidRPr="00FA0D37">
              <w:rPr>
                <w:rFonts w:ascii="Arial" w:hAnsi="Arial" w:cs="Arial"/>
                <w:i/>
                <w:sz w:val="18"/>
                <w:szCs w:val="18"/>
              </w:rPr>
              <w:t xml:space="preserve">secondary </w:t>
            </w:r>
            <w:r w:rsidRPr="00FA0D37">
              <w:rPr>
                <w:rFonts w:ascii="Arial" w:hAnsi="Arial" w:cs="Arial"/>
                <w:sz w:val="18"/>
                <w:szCs w:val="18"/>
              </w:rPr>
              <w:t xml:space="preserve">and that is not released by this </w:t>
            </w:r>
            <w:r w:rsidRPr="00FA0D37">
              <w:rPr>
                <w:rFonts w:ascii="Arial" w:hAnsi="Arial" w:cs="Arial"/>
                <w:i/>
                <w:sz w:val="18"/>
                <w:szCs w:val="18"/>
              </w:rPr>
              <w:t>RRCReconfiguration</w:t>
            </w:r>
            <w:r w:rsidRPr="00FA0D37">
              <w:rPr>
                <w:rFonts w:ascii="Arial" w:hAnsi="Arial" w:cs="Arial"/>
                <w:sz w:val="18"/>
                <w:szCs w:val="18"/>
              </w:rPr>
              <w:t xml:space="preserve"> message,</w:t>
            </w:r>
          </w:p>
          <w:p w14:paraId="04509AF0" w14:textId="77777777" w:rsidR="00202837" w:rsidRPr="00FA0D37" w:rsidRDefault="00202837" w:rsidP="00DA748E">
            <w:pPr>
              <w:pStyle w:val="B2"/>
              <w:spacing w:after="0"/>
              <w:rPr>
                <w:rFonts w:ascii="Arial" w:hAnsi="Arial" w:cs="Arial"/>
                <w:sz w:val="18"/>
                <w:szCs w:val="18"/>
              </w:rPr>
            </w:pPr>
            <w:r w:rsidRPr="00FA0D37">
              <w:rPr>
                <w:rFonts w:ascii="Arial" w:hAnsi="Arial" w:cs="Arial"/>
                <w:sz w:val="18"/>
                <w:szCs w:val="18"/>
              </w:rPr>
              <w:t>-</w:t>
            </w:r>
            <w:r w:rsidRPr="00FA0D37">
              <w:rPr>
                <w:rFonts w:ascii="Arial" w:hAnsi="Arial" w:cs="Arial"/>
                <w:sz w:val="18"/>
                <w:szCs w:val="18"/>
              </w:rPr>
              <w:tab/>
              <w:t>MN handover in (NG)EN-DC.</w:t>
            </w:r>
          </w:p>
          <w:p w14:paraId="2202C928" w14:textId="77777777" w:rsidR="00394471" w:rsidRPr="00FA0D37" w:rsidRDefault="00394471" w:rsidP="00964CC4">
            <w:pPr>
              <w:pStyle w:val="TAL"/>
              <w:rPr>
                <w:rFonts w:eastAsia="Calibri"/>
                <w:szCs w:val="22"/>
                <w:lang w:eastAsia="sv-SE"/>
              </w:rPr>
            </w:pPr>
            <w:r w:rsidRPr="00FA0D37">
              <w:rPr>
                <w:rFonts w:eastAsia="Calibri"/>
                <w:szCs w:val="22"/>
              </w:rPr>
              <w:t xml:space="preserve">Otherwise, it is optionally present, need M. The field is absent in the </w:t>
            </w:r>
            <w:r w:rsidRPr="00FA0D37">
              <w:rPr>
                <w:rFonts w:eastAsia="Calibri"/>
                <w:i/>
                <w:szCs w:val="22"/>
              </w:rPr>
              <w:t xml:space="preserve">masterCellGroup </w:t>
            </w:r>
            <w:r w:rsidRPr="00FA0D37">
              <w:rPr>
                <w:rFonts w:eastAsia="Calibri"/>
                <w:szCs w:val="22"/>
              </w:rPr>
              <w:t xml:space="preserve">in </w:t>
            </w:r>
            <w:r w:rsidRPr="00FA0D37">
              <w:rPr>
                <w:rFonts w:eastAsia="Calibri"/>
                <w:i/>
                <w:szCs w:val="22"/>
              </w:rPr>
              <w:t xml:space="preserve">RRCResume </w:t>
            </w:r>
            <w:r w:rsidRPr="00FA0D37">
              <w:rPr>
                <w:rFonts w:eastAsia="Calibri"/>
                <w:szCs w:val="22"/>
              </w:rPr>
              <w:t xml:space="preserve">and </w:t>
            </w:r>
            <w:r w:rsidRPr="00FA0D37">
              <w:rPr>
                <w:rFonts w:eastAsia="Calibri"/>
                <w:i/>
                <w:szCs w:val="22"/>
              </w:rPr>
              <w:t>RRCSetup</w:t>
            </w:r>
            <w:r w:rsidRPr="00FA0D37">
              <w:rPr>
                <w:rFonts w:eastAsia="Calibri"/>
                <w:szCs w:val="22"/>
              </w:rPr>
              <w:t xml:space="preserve"> messages and is absent in the </w:t>
            </w:r>
            <w:r w:rsidRPr="00FA0D37">
              <w:rPr>
                <w:rFonts w:eastAsia="Calibri"/>
                <w:i/>
                <w:szCs w:val="22"/>
              </w:rPr>
              <w:t xml:space="preserve">masterCellGroup </w:t>
            </w:r>
            <w:r w:rsidRPr="00FA0D37">
              <w:rPr>
                <w:rFonts w:eastAsia="Calibri"/>
                <w:szCs w:val="22"/>
              </w:rPr>
              <w:t xml:space="preserve">in </w:t>
            </w:r>
            <w:r w:rsidRPr="00FA0D37">
              <w:rPr>
                <w:rFonts w:eastAsia="Calibri"/>
                <w:i/>
                <w:szCs w:val="22"/>
              </w:rPr>
              <w:t>RRCReconfiguration</w:t>
            </w:r>
            <w:r w:rsidRPr="00FA0D37">
              <w:rPr>
                <w:rFonts w:eastAsia="Calibri"/>
                <w:szCs w:val="22"/>
              </w:rPr>
              <w:t xml:space="preserve"> messages if source configuration is not released during DAPS handover.</w:t>
            </w:r>
          </w:p>
        </w:tc>
      </w:tr>
      <w:tr w:rsidR="005C7FF4" w:rsidRPr="00FA0D37"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394471" w:rsidRPr="00FA0D37" w:rsidRDefault="00394471" w:rsidP="00964CC4">
            <w:pPr>
              <w:pStyle w:val="TAL"/>
              <w:rPr>
                <w:rFonts w:eastAsia="Calibri"/>
                <w:i/>
                <w:szCs w:val="22"/>
                <w:lang w:eastAsia="sv-SE"/>
              </w:rPr>
            </w:pPr>
            <w:r w:rsidRPr="00FA0D37">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394471" w:rsidRPr="00FA0D37" w:rsidRDefault="00394471" w:rsidP="00964CC4">
            <w:pPr>
              <w:pStyle w:val="TAL"/>
              <w:rPr>
                <w:rFonts w:eastAsia="Calibri"/>
                <w:szCs w:val="22"/>
                <w:lang w:eastAsia="sv-SE"/>
              </w:rPr>
            </w:pPr>
            <w:r w:rsidRPr="00FA0D37">
              <w:rPr>
                <w:rFonts w:eastAsia="Calibri"/>
                <w:szCs w:val="22"/>
                <w:lang w:eastAsia="sv-SE"/>
              </w:rPr>
              <w:t>The field is mandatory present upon SCell addition; otherwise it is absent, Need M.</w:t>
            </w:r>
          </w:p>
        </w:tc>
      </w:tr>
      <w:tr w:rsidR="005C7FF4" w:rsidRPr="00FA0D37"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394471" w:rsidRPr="00FA0D37" w:rsidRDefault="00394471" w:rsidP="00964CC4">
            <w:pPr>
              <w:pStyle w:val="TAL"/>
              <w:rPr>
                <w:rFonts w:eastAsia="Calibri"/>
                <w:i/>
                <w:szCs w:val="22"/>
                <w:lang w:eastAsia="sv-SE"/>
              </w:rPr>
            </w:pPr>
            <w:r w:rsidRPr="00FA0D37">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394471" w:rsidRPr="00FA0D37" w:rsidRDefault="00394471" w:rsidP="00964CC4">
            <w:pPr>
              <w:pStyle w:val="TAL"/>
              <w:rPr>
                <w:rFonts w:eastAsia="Calibri"/>
                <w:szCs w:val="22"/>
                <w:lang w:eastAsia="sv-SE"/>
              </w:rPr>
            </w:pPr>
            <w:r w:rsidRPr="00FA0D37">
              <w:rPr>
                <w:rFonts w:eastAsia="Calibri"/>
                <w:szCs w:val="22"/>
                <w:lang w:eastAsia="sv-SE"/>
              </w:rPr>
              <w:t>The field is mandatory present upon SCell addition; otherwise it is optionally present, need M.</w:t>
            </w:r>
          </w:p>
        </w:tc>
      </w:tr>
      <w:tr w:rsidR="005C7FF4" w:rsidRPr="00FA0D37"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394471" w:rsidRPr="00FA0D37" w:rsidRDefault="00394471" w:rsidP="00964CC4">
            <w:pPr>
              <w:pStyle w:val="TAL"/>
              <w:rPr>
                <w:rFonts w:eastAsia="Calibri"/>
                <w:i/>
                <w:szCs w:val="22"/>
                <w:lang w:eastAsia="sv-SE"/>
              </w:rPr>
            </w:pPr>
            <w:r w:rsidRPr="00FA0D37">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11494A" w:rsidRPr="00FA0D37" w:rsidRDefault="00394471" w:rsidP="00964CC4">
            <w:pPr>
              <w:pStyle w:val="TAL"/>
              <w:rPr>
                <w:lang w:eastAsia="sv-SE"/>
              </w:rPr>
            </w:pPr>
            <w:r w:rsidRPr="00FA0D37">
              <w:rPr>
                <w:lang w:eastAsia="sv-SE"/>
              </w:rPr>
              <w:t>The field is optionally present</w:t>
            </w:r>
            <w:r w:rsidRPr="00FA0D37">
              <w:t>, Need N</w:t>
            </w:r>
            <w:r w:rsidR="0011494A" w:rsidRPr="00FA0D37">
              <w:t>:</w:t>
            </w:r>
          </w:p>
          <w:p w14:paraId="09412E26" w14:textId="67AF8839" w:rsidR="0011494A" w:rsidRPr="00FA0D37" w:rsidRDefault="0011494A" w:rsidP="00A12BD9">
            <w:pPr>
              <w:pStyle w:val="TAL"/>
              <w:ind w:left="538" w:hanging="283"/>
              <w:rPr>
                <w:lang w:eastAsia="sv-SE"/>
              </w:rPr>
            </w:pPr>
            <w:r w:rsidRPr="00FA0D37">
              <w:rPr>
                <w:lang w:eastAsia="sv-SE"/>
              </w:rPr>
              <w:t>-</w:t>
            </w:r>
            <w:r w:rsidRPr="00FA0D37">
              <w:tab/>
            </w:r>
            <w:r w:rsidR="00627E02" w:rsidRPr="00FA0D37">
              <w:rPr>
                <w:lang w:eastAsia="sv-SE"/>
              </w:rPr>
              <w:t xml:space="preserve">in the </w:t>
            </w:r>
            <w:r w:rsidR="00627E02" w:rsidRPr="00FA0D37">
              <w:rPr>
                <w:i/>
                <w:lang w:eastAsia="sv-SE"/>
              </w:rPr>
              <w:t>masterCellGroup</w:t>
            </w:r>
            <w:r w:rsidR="00627E02" w:rsidRPr="00FA0D37">
              <w:rPr>
                <w:lang w:eastAsia="sv-SE"/>
              </w:rPr>
              <w:t xml:space="preserve"> </w:t>
            </w:r>
            <w:r w:rsidRPr="00FA0D37">
              <w:rPr>
                <w:lang w:eastAsia="sv-SE"/>
              </w:rPr>
              <w:t>at</w:t>
            </w:r>
          </w:p>
          <w:p w14:paraId="5BE24FB0" w14:textId="5409DCE1" w:rsidR="0011494A" w:rsidRPr="00FA0D37" w:rsidRDefault="0011494A" w:rsidP="00A12BD9">
            <w:pPr>
              <w:pStyle w:val="TAL"/>
              <w:ind w:left="538"/>
              <w:rPr>
                <w:lang w:eastAsia="sv-SE"/>
              </w:rPr>
            </w:pPr>
            <w:r w:rsidRPr="00FA0D37">
              <w:rPr>
                <w:lang w:eastAsia="sv-SE"/>
              </w:rPr>
              <w:t>-</w:t>
            </w:r>
            <w:r w:rsidRPr="00FA0D37">
              <w:tab/>
            </w:r>
            <w:r w:rsidR="00394471" w:rsidRPr="00FA0D37">
              <w:rPr>
                <w:lang w:eastAsia="sv-SE"/>
              </w:rPr>
              <w:t>SCell addition,</w:t>
            </w:r>
          </w:p>
          <w:p w14:paraId="4479130A" w14:textId="196B8C57" w:rsidR="0011494A" w:rsidRPr="00FA0D37" w:rsidRDefault="0011494A" w:rsidP="00A12BD9">
            <w:pPr>
              <w:pStyle w:val="TAL"/>
              <w:ind w:left="538"/>
              <w:rPr>
                <w:lang w:eastAsia="sv-SE"/>
              </w:rPr>
            </w:pPr>
            <w:r w:rsidRPr="00FA0D37">
              <w:rPr>
                <w:lang w:eastAsia="sv-SE"/>
              </w:rPr>
              <w:t>-</w:t>
            </w:r>
            <w:r w:rsidRPr="00FA0D37">
              <w:tab/>
            </w:r>
            <w:r w:rsidR="00394471" w:rsidRPr="00FA0D37">
              <w:rPr>
                <w:lang w:eastAsia="sv-SE"/>
              </w:rPr>
              <w:t>reconfiguration with sync,</w:t>
            </w:r>
          </w:p>
          <w:p w14:paraId="6132857C" w14:textId="188BE68A" w:rsidR="0011494A" w:rsidRPr="00FA0D37" w:rsidRDefault="0011494A" w:rsidP="00A12BD9">
            <w:pPr>
              <w:pStyle w:val="TAL"/>
              <w:ind w:left="538"/>
              <w:rPr>
                <w:lang w:eastAsia="sv-SE"/>
              </w:rPr>
            </w:pPr>
            <w:r w:rsidRPr="00FA0D37">
              <w:rPr>
                <w:lang w:eastAsia="sv-SE"/>
              </w:rPr>
              <w:t>-</w:t>
            </w:r>
            <w:r w:rsidRPr="00FA0D37">
              <w:tab/>
            </w:r>
            <w:r w:rsidR="00394471" w:rsidRPr="00FA0D37">
              <w:rPr>
                <w:lang w:eastAsia="sv-SE"/>
              </w:rPr>
              <w:t>resum</w:t>
            </w:r>
            <w:r w:rsidRPr="00FA0D37">
              <w:rPr>
                <w:lang w:eastAsia="sv-SE"/>
              </w:rPr>
              <w:t>e</w:t>
            </w:r>
            <w:r w:rsidR="00394471" w:rsidRPr="00FA0D37">
              <w:rPr>
                <w:lang w:eastAsia="sv-SE"/>
              </w:rPr>
              <w:t xml:space="preserve"> </w:t>
            </w:r>
            <w:r w:rsidRPr="00FA0D37">
              <w:rPr>
                <w:lang w:eastAsia="sv-SE"/>
              </w:rPr>
              <w:t xml:space="preserve">of </w:t>
            </w:r>
            <w:r w:rsidR="00394471" w:rsidRPr="00FA0D37">
              <w:rPr>
                <w:lang w:eastAsia="sv-SE"/>
              </w:rPr>
              <w:t>an RRC connection.</w:t>
            </w:r>
          </w:p>
          <w:p w14:paraId="7517CB87" w14:textId="77777777" w:rsidR="0011494A" w:rsidRPr="00FA0D37" w:rsidRDefault="0011494A" w:rsidP="00A12BD9">
            <w:pPr>
              <w:pStyle w:val="B1"/>
              <w:spacing w:after="0"/>
              <w:rPr>
                <w:rFonts w:eastAsia="Calibri"/>
                <w:szCs w:val="22"/>
                <w:lang w:eastAsia="en-US"/>
              </w:rPr>
            </w:pPr>
            <w:r w:rsidRPr="00FA0D37">
              <w:rPr>
                <w:rFonts w:ascii="Arial" w:eastAsia="Calibri" w:hAnsi="Arial"/>
                <w:sz w:val="18"/>
                <w:szCs w:val="22"/>
                <w:lang w:eastAsia="en-US"/>
              </w:rPr>
              <w:t>-</w:t>
            </w:r>
            <w:r w:rsidRPr="00FA0D37">
              <w:rPr>
                <w:rFonts w:ascii="Arial" w:eastAsia="Calibri" w:hAnsi="Arial"/>
                <w:sz w:val="18"/>
                <w:szCs w:val="22"/>
                <w:lang w:eastAsia="en-US"/>
              </w:rPr>
              <w:tab/>
              <w:t xml:space="preserve">in the </w:t>
            </w:r>
            <w:r w:rsidRPr="00FA0D37">
              <w:rPr>
                <w:rFonts w:ascii="Arial" w:eastAsia="Calibri" w:hAnsi="Arial"/>
                <w:i/>
                <w:sz w:val="18"/>
                <w:szCs w:val="22"/>
                <w:lang w:eastAsia="en-US"/>
              </w:rPr>
              <w:t>secondaryCellGroup</w:t>
            </w:r>
            <w:r w:rsidRPr="00FA0D37">
              <w:rPr>
                <w:rFonts w:ascii="Arial" w:eastAsia="Calibri" w:hAnsi="Arial"/>
                <w:sz w:val="18"/>
                <w:szCs w:val="22"/>
                <w:lang w:eastAsia="en-US"/>
              </w:rPr>
              <w:t>, when the SCG is not indicated as deactivated at:</w:t>
            </w:r>
          </w:p>
          <w:p w14:paraId="2CE7FCCB" w14:textId="77777777" w:rsidR="0011494A" w:rsidRPr="00FA0D37" w:rsidRDefault="0011494A" w:rsidP="0011494A">
            <w:pPr>
              <w:pStyle w:val="B2"/>
              <w:spacing w:after="0"/>
              <w:rPr>
                <w:rFonts w:ascii="Arial" w:eastAsia="Calibri" w:hAnsi="Arial" w:cs="Arial"/>
                <w:sz w:val="18"/>
                <w:szCs w:val="18"/>
              </w:rPr>
            </w:pPr>
            <w:r w:rsidRPr="00FA0D37">
              <w:rPr>
                <w:rFonts w:ascii="Arial" w:eastAsia="Calibri" w:hAnsi="Arial" w:cs="Arial"/>
                <w:sz w:val="18"/>
                <w:szCs w:val="18"/>
              </w:rPr>
              <w:t>-</w:t>
            </w:r>
            <w:r w:rsidRPr="00FA0D37">
              <w:rPr>
                <w:rFonts w:ascii="Arial" w:eastAsia="Calibri" w:hAnsi="Arial" w:cs="Arial"/>
                <w:sz w:val="18"/>
                <w:szCs w:val="18"/>
              </w:rPr>
              <w:tab/>
              <w:t>SCG activation while the SCG was previously deactivated,</w:t>
            </w:r>
          </w:p>
          <w:p w14:paraId="5AD9D03C" w14:textId="77777777" w:rsidR="0011494A" w:rsidRPr="00FA0D37" w:rsidRDefault="0011494A" w:rsidP="00A12BD9">
            <w:pPr>
              <w:pStyle w:val="B2"/>
              <w:spacing w:after="0"/>
              <w:rPr>
                <w:rFonts w:eastAsia="Calibri" w:cs="Arial"/>
                <w:szCs w:val="18"/>
                <w:lang w:eastAsia="en-US"/>
              </w:rPr>
            </w:pPr>
            <w:r w:rsidRPr="00FA0D37">
              <w:rPr>
                <w:rFonts w:ascii="Arial" w:eastAsia="Calibri" w:hAnsi="Arial" w:cs="Arial"/>
                <w:sz w:val="18"/>
                <w:szCs w:val="18"/>
                <w:lang w:eastAsia="en-US"/>
              </w:rPr>
              <w:t>-</w:t>
            </w:r>
            <w:r w:rsidRPr="00FA0D37">
              <w:rPr>
                <w:rFonts w:ascii="Arial" w:eastAsia="Calibri" w:hAnsi="Arial" w:cs="Arial"/>
                <w:sz w:val="18"/>
                <w:szCs w:val="18"/>
                <w:lang w:eastAsia="en-US"/>
              </w:rPr>
              <w:tab/>
              <w:t>SCell addition,</w:t>
            </w:r>
          </w:p>
          <w:p w14:paraId="71167B7D" w14:textId="460F57A2" w:rsidR="0011494A" w:rsidRPr="00FA0D37" w:rsidRDefault="0011494A" w:rsidP="00A12BD9">
            <w:pPr>
              <w:pStyle w:val="B2"/>
              <w:spacing w:after="0"/>
              <w:rPr>
                <w:rFonts w:eastAsia="Calibri" w:cs="Arial"/>
                <w:szCs w:val="18"/>
                <w:lang w:eastAsia="en-US"/>
              </w:rPr>
            </w:pPr>
            <w:r w:rsidRPr="00FA0D37">
              <w:rPr>
                <w:rFonts w:ascii="Arial" w:eastAsia="Calibri" w:hAnsi="Arial" w:cs="Arial"/>
                <w:sz w:val="18"/>
                <w:szCs w:val="18"/>
                <w:lang w:eastAsia="en-US"/>
              </w:rPr>
              <w:t>-</w:t>
            </w:r>
            <w:r w:rsidRPr="00FA0D37">
              <w:rPr>
                <w:rFonts w:ascii="Arial" w:eastAsia="Calibri" w:hAnsi="Arial" w:cs="Arial"/>
                <w:sz w:val="18"/>
                <w:szCs w:val="18"/>
                <w:lang w:eastAsia="en-US"/>
              </w:rPr>
              <w:tab/>
              <w:t>reconfiguration with sync.</w:t>
            </w:r>
          </w:p>
          <w:p w14:paraId="0CB1FDFA" w14:textId="67206794" w:rsidR="00394471" w:rsidRPr="00FA0D37" w:rsidRDefault="00394471" w:rsidP="00964CC4">
            <w:pPr>
              <w:pStyle w:val="TAL"/>
              <w:rPr>
                <w:rFonts w:eastAsia="Calibri"/>
                <w:szCs w:val="22"/>
                <w:lang w:eastAsia="sv-SE"/>
              </w:rPr>
            </w:pPr>
            <w:r w:rsidRPr="00FA0D37">
              <w:rPr>
                <w:lang w:eastAsia="sv-SE"/>
              </w:rPr>
              <w:t>It is absent otherwise.</w:t>
            </w:r>
          </w:p>
        </w:tc>
      </w:tr>
      <w:tr w:rsidR="005C7FF4" w:rsidRPr="00FA0D37"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394471" w:rsidRPr="00FA0D37" w:rsidRDefault="00394471" w:rsidP="00964CC4">
            <w:pPr>
              <w:pStyle w:val="TAL"/>
              <w:rPr>
                <w:rFonts w:eastAsia="Calibri"/>
                <w:i/>
                <w:szCs w:val="22"/>
                <w:lang w:eastAsia="sv-SE"/>
              </w:rPr>
            </w:pPr>
            <w:r w:rsidRPr="00FA0D37">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The field is mandatory present in an </w:t>
            </w:r>
            <w:r w:rsidRPr="00FA0D37">
              <w:rPr>
                <w:rFonts w:eastAsia="Calibri"/>
                <w:i/>
                <w:lang w:eastAsia="sv-SE"/>
              </w:rPr>
              <w:t>SpCellConfig</w:t>
            </w:r>
            <w:r w:rsidRPr="00FA0D37">
              <w:rPr>
                <w:rFonts w:eastAsia="Calibri"/>
                <w:szCs w:val="22"/>
                <w:lang w:eastAsia="sv-SE"/>
              </w:rPr>
              <w:t xml:space="preserve"> for the PSCell. It is absent otherwise. </w:t>
            </w:r>
          </w:p>
        </w:tc>
      </w:tr>
      <w:tr w:rsidR="005C7FF4" w:rsidRPr="00FA0D37"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BD2874" w:rsidRPr="00FA0D37" w:rsidRDefault="00BD2874" w:rsidP="00BD2874">
            <w:pPr>
              <w:pStyle w:val="TAL"/>
              <w:rPr>
                <w:rFonts w:eastAsia="Calibri"/>
                <w:i/>
                <w:szCs w:val="22"/>
                <w:lang w:eastAsia="sv-SE"/>
              </w:rPr>
            </w:pPr>
            <w:r w:rsidRPr="00FA0D37">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BD2874" w:rsidRPr="00FA0D37" w:rsidRDefault="00BD2874" w:rsidP="00BD2874">
            <w:pPr>
              <w:pStyle w:val="TAL"/>
              <w:rPr>
                <w:rFonts w:eastAsia="Calibri"/>
                <w:szCs w:val="22"/>
                <w:lang w:eastAsia="sv-SE"/>
              </w:rPr>
            </w:pPr>
            <w:r w:rsidRPr="00FA0D37">
              <w:rPr>
                <w:rFonts w:eastAsia="Calibri"/>
                <w:szCs w:val="22"/>
                <w:lang w:eastAsia="sv-SE"/>
              </w:rPr>
              <w:t>This field is optionally present, Need M, if the field sCellSIB20 is configured. It is absent otherwise.</w:t>
            </w:r>
          </w:p>
        </w:tc>
      </w:tr>
      <w:tr w:rsidR="005C7FF4" w:rsidRPr="00FA0D37"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9A73F3" w:rsidRPr="00FA0D37" w:rsidRDefault="009A73F3" w:rsidP="00CD007B">
            <w:pPr>
              <w:pStyle w:val="TAL"/>
              <w:rPr>
                <w:rFonts w:eastAsia="Calibri"/>
                <w:i/>
                <w:szCs w:val="22"/>
                <w:lang w:eastAsia="sv-SE"/>
              </w:rPr>
            </w:pPr>
            <w:r w:rsidRPr="00FA0D37">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9A73F3" w:rsidRPr="00FA0D37" w:rsidRDefault="009A73F3" w:rsidP="00CD007B">
            <w:pPr>
              <w:pStyle w:val="TAL"/>
              <w:rPr>
                <w:rFonts w:eastAsia="Calibri"/>
                <w:szCs w:val="22"/>
                <w:lang w:eastAsia="sv-SE"/>
              </w:rPr>
            </w:pPr>
            <w:r w:rsidRPr="00FA0D37">
              <w:rPr>
                <w:rFonts w:eastAsia="Calibri"/>
                <w:szCs w:val="22"/>
                <w:lang w:eastAsia="sv-SE"/>
              </w:rPr>
              <w:t>The field is optionally present, Need M, in an SpCellConfig for the PSCell. It is absent otherwise.</w:t>
            </w:r>
          </w:p>
        </w:tc>
      </w:tr>
    </w:tbl>
    <w:p w14:paraId="6C3BBF6B" w14:textId="77777777" w:rsidR="00394471" w:rsidRPr="00FA0D37" w:rsidRDefault="00394471" w:rsidP="00394471"/>
    <w:p w14:paraId="4B2B68B4" w14:textId="77777777" w:rsidR="00394471" w:rsidRPr="00FA0D37" w:rsidRDefault="00394471" w:rsidP="00394471">
      <w:pPr>
        <w:pStyle w:val="NO"/>
      </w:pPr>
      <w:r w:rsidRPr="00FA0D37">
        <w:lastRenderedPageBreak/>
        <w:t>NOTE:</w:t>
      </w:r>
      <w:r w:rsidRPr="00FA0D37">
        <w:tab/>
        <w:t>In case of change of AS security key derived from S-K</w:t>
      </w:r>
      <w:r w:rsidRPr="00FA0D37">
        <w:rPr>
          <w:vertAlign w:val="subscript"/>
        </w:rPr>
        <w:t>gNB</w:t>
      </w:r>
      <w:r w:rsidRPr="00FA0D37">
        <w:t>/S-K</w:t>
      </w:r>
      <w:r w:rsidRPr="00FA0D37">
        <w:rPr>
          <w:vertAlign w:val="subscript"/>
        </w:rPr>
        <w:t>eNB</w:t>
      </w:r>
      <w:r w:rsidRPr="00FA0D37">
        <w:t xml:space="preserve">, if </w:t>
      </w:r>
      <w:r w:rsidRPr="00FA0D37">
        <w:rPr>
          <w:i/>
        </w:rPr>
        <w:t>reconfigurationWithSync</w:t>
      </w:r>
      <w:r w:rsidRPr="00FA0D37">
        <w:t xml:space="preserve"> is not included in the </w:t>
      </w:r>
      <w:r w:rsidRPr="00FA0D37">
        <w:rPr>
          <w:i/>
        </w:rPr>
        <w:t>masterCellGroup</w:t>
      </w:r>
      <w:r w:rsidRPr="00FA0D37">
        <w:t xml:space="preserve">, the network releases all existing MCG RLC bearers associated with a radio bearer with </w:t>
      </w:r>
      <w:r w:rsidRPr="00FA0D37">
        <w:rPr>
          <w:i/>
        </w:rPr>
        <w:t>keyToUse</w:t>
      </w:r>
      <w:r w:rsidRPr="00FA0D37">
        <w:t xml:space="preserve"> set to </w:t>
      </w:r>
      <w:r w:rsidRPr="00FA0D37">
        <w:rPr>
          <w:i/>
        </w:rPr>
        <w:t>secondary</w:t>
      </w:r>
      <w:r w:rsidRPr="00FA0D37">
        <w:t>. In case of change of AS security key derived from K</w:t>
      </w:r>
      <w:r w:rsidRPr="00FA0D37">
        <w:rPr>
          <w:vertAlign w:val="subscript"/>
        </w:rPr>
        <w:t>gNB</w:t>
      </w:r>
      <w:r w:rsidRPr="00FA0D37">
        <w:t>/K</w:t>
      </w:r>
      <w:r w:rsidRPr="00FA0D37">
        <w:rPr>
          <w:vertAlign w:val="subscript"/>
        </w:rPr>
        <w:t>eNB</w:t>
      </w:r>
      <w:r w:rsidRPr="00FA0D37">
        <w:t xml:space="preserve">, if </w:t>
      </w:r>
      <w:r w:rsidRPr="00FA0D37">
        <w:rPr>
          <w:i/>
        </w:rPr>
        <w:t>reconfigurationWithSync</w:t>
      </w:r>
      <w:r w:rsidRPr="00FA0D37">
        <w:t xml:space="preserve"> is not included in the </w:t>
      </w:r>
      <w:r w:rsidRPr="00FA0D37">
        <w:rPr>
          <w:i/>
        </w:rPr>
        <w:t>secondaryCellGroup</w:t>
      </w:r>
      <w:r w:rsidRPr="00FA0D37">
        <w:t xml:space="preserve">, the network releases all existing SCG RLC bearers associated with a radio bearer with </w:t>
      </w:r>
      <w:r w:rsidRPr="00FA0D37">
        <w:rPr>
          <w:i/>
        </w:rPr>
        <w:t>keyToUse</w:t>
      </w:r>
      <w:r w:rsidRPr="00FA0D37">
        <w:t xml:space="preserve"> set to </w:t>
      </w:r>
      <w:r w:rsidRPr="00FA0D37">
        <w:rPr>
          <w:i/>
        </w:rPr>
        <w:t>primary</w:t>
      </w:r>
      <w:r w:rsidRPr="00FA0D37">
        <w:t>.</w:t>
      </w:r>
    </w:p>
    <w:p w14:paraId="5B5C8C8B" w14:textId="77777777" w:rsidR="00394471" w:rsidRPr="00FA0D37" w:rsidRDefault="00394471" w:rsidP="00394471"/>
    <w:p w14:paraId="08889175" w14:textId="77777777" w:rsidR="00394471" w:rsidRPr="00FA0D37" w:rsidRDefault="00394471" w:rsidP="00394471">
      <w:pPr>
        <w:pStyle w:val="4"/>
      </w:pPr>
      <w:bookmarkStart w:id="928" w:name="_Toc60777188"/>
      <w:bookmarkStart w:id="929" w:name="_Toc146781234"/>
      <w:r w:rsidRPr="00FA0D37">
        <w:t>–</w:t>
      </w:r>
      <w:r w:rsidRPr="00FA0D37">
        <w:tab/>
      </w:r>
      <w:r w:rsidRPr="00FA0D37">
        <w:rPr>
          <w:i/>
        </w:rPr>
        <w:t>CellGroupId</w:t>
      </w:r>
      <w:bookmarkEnd w:id="928"/>
      <w:bookmarkEnd w:id="929"/>
    </w:p>
    <w:p w14:paraId="7A40EAA0" w14:textId="77777777" w:rsidR="00394471" w:rsidRPr="00FA0D37" w:rsidRDefault="00394471" w:rsidP="00394471">
      <w:r w:rsidRPr="00FA0D37">
        <w:t xml:space="preserve">The IE </w:t>
      </w:r>
      <w:r w:rsidRPr="00FA0D37">
        <w:rPr>
          <w:i/>
        </w:rPr>
        <w:t>CellGroupId</w:t>
      </w:r>
      <w:r w:rsidRPr="00FA0D37">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FA0D37" w:rsidRDefault="00394471" w:rsidP="00394471">
      <w:pPr>
        <w:pStyle w:val="TH"/>
      </w:pPr>
      <w:r w:rsidRPr="00FA0D37">
        <w:rPr>
          <w:i/>
        </w:rPr>
        <w:t>CellGroupId</w:t>
      </w:r>
      <w:r w:rsidRPr="00FA0D37">
        <w:t xml:space="preserve"> information element</w:t>
      </w:r>
    </w:p>
    <w:p w14:paraId="731EE28A" w14:textId="77777777" w:rsidR="00394471" w:rsidRPr="00FA0D37" w:rsidRDefault="00394471" w:rsidP="00FA0D37">
      <w:pPr>
        <w:pStyle w:val="PL"/>
        <w:rPr>
          <w:color w:val="808080"/>
        </w:rPr>
      </w:pPr>
      <w:r w:rsidRPr="00FA0D37">
        <w:rPr>
          <w:color w:val="808080"/>
        </w:rPr>
        <w:t>-- ASN1START</w:t>
      </w:r>
    </w:p>
    <w:p w14:paraId="02E5C4F8" w14:textId="77777777" w:rsidR="00394471" w:rsidRPr="00FA0D37" w:rsidRDefault="00394471" w:rsidP="00FA0D37">
      <w:pPr>
        <w:pStyle w:val="PL"/>
        <w:rPr>
          <w:color w:val="808080"/>
        </w:rPr>
      </w:pPr>
      <w:r w:rsidRPr="00FA0D37">
        <w:rPr>
          <w:color w:val="808080"/>
        </w:rPr>
        <w:t>-- TAG-CELLGROUPID-START</w:t>
      </w:r>
    </w:p>
    <w:p w14:paraId="43C202E2" w14:textId="77777777" w:rsidR="00394471" w:rsidRPr="00FA0D37" w:rsidRDefault="00394471" w:rsidP="00FA0D37">
      <w:pPr>
        <w:pStyle w:val="PL"/>
      </w:pPr>
    </w:p>
    <w:p w14:paraId="04F57911" w14:textId="77777777" w:rsidR="00394471" w:rsidRPr="00FA0D37" w:rsidRDefault="00394471" w:rsidP="00FA0D37">
      <w:pPr>
        <w:pStyle w:val="PL"/>
      </w:pPr>
      <w:r w:rsidRPr="00FA0D37">
        <w:t xml:space="preserve">CellGroupId ::=                             </w:t>
      </w:r>
      <w:r w:rsidRPr="00FA0D37">
        <w:rPr>
          <w:color w:val="993366"/>
        </w:rPr>
        <w:t>INTEGER</w:t>
      </w:r>
      <w:r w:rsidRPr="00FA0D37">
        <w:t xml:space="preserve"> (0.. maxSecondaryCellGroups)</w:t>
      </w:r>
    </w:p>
    <w:p w14:paraId="583226F0" w14:textId="77777777" w:rsidR="00394471" w:rsidRPr="00FA0D37" w:rsidRDefault="00394471" w:rsidP="00FA0D37">
      <w:pPr>
        <w:pStyle w:val="PL"/>
      </w:pPr>
    </w:p>
    <w:p w14:paraId="170CB402" w14:textId="77777777" w:rsidR="00394471" w:rsidRPr="00FA0D37" w:rsidRDefault="00394471" w:rsidP="00FA0D37">
      <w:pPr>
        <w:pStyle w:val="PL"/>
        <w:rPr>
          <w:color w:val="808080"/>
        </w:rPr>
      </w:pPr>
      <w:r w:rsidRPr="00FA0D37">
        <w:rPr>
          <w:color w:val="808080"/>
        </w:rPr>
        <w:t>-- TAG-CELLGROUPID-STOP</w:t>
      </w:r>
    </w:p>
    <w:p w14:paraId="5D627D01" w14:textId="77777777" w:rsidR="00394471" w:rsidRPr="00FA0D37" w:rsidRDefault="00394471" w:rsidP="00FA0D37">
      <w:pPr>
        <w:pStyle w:val="PL"/>
        <w:rPr>
          <w:color w:val="808080"/>
        </w:rPr>
      </w:pPr>
      <w:r w:rsidRPr="00FA0D37">
        <w:rPr>
          <w:color w:val="808080"/>
        </w:rPr>
        <w:t>-- ASN1STOP</w:t>
      </w:r>
    </w:p>
    <w:p w14:paraId="266265C2" w14:textId="77777777" w:rsidR="00394471" w:rsidRPr="00FA0D37" w:rsidRDefault="00394471" w:rsidP="00394471"/>
    <w:p w14:paraId="27E68783" w14:textId="77777777" w:rsidR="00394471" w:rsidRPr="00FA0D37" w:rsidRDefault="00394471" w:rsidP="00394471">
      <w:pPr>
        <w:pStyle w:val="4"/>
        <w:rPr>
          <w:rFonts w:eastAsia="宋体"/>
        </w:rPr>
      </w:pPr>
      <w:bookmarkStart w:id="930" w:name="_Toc60777189"/>
      <w:bookmarkStart w:id="931" w:name="_Toc146781235"/>
      <w:r w:rsidRPr="00FA0D37">
        <w:rPr>
          <w:rFonts w:eastAsia="宋体"/>
        </w:rPr>
        <w:t>–</w:t>
      </w:r>
      <w:r w:rsidRPr="00FA0D37">
        <w:rPr>
          <w:rFonts w:eastAsia="宋体"/>
        </w:rPr>
        <w:tab/>
      </w:r>
      <w:r w:rsidRPr="00FA0D37">
        <w:rPr>
          <w:rFonts w:eastAsia="宋体"/>
          <w:i/>
          <w:noProof/>
        </w:rPr>
        <w:t>CellIdentity</w:t>
      </w:r>
      <w:bookmarkEnd w:id="930"/>
      <w:bookmarkEnd w:id="931"/>
    </w:p>
    <w:p w14:paraId="51E983BB" w14:textId="5509CF15" w:rsidR="00394471" w:rsidRPr="00FA0D37" w:rsidRDefault="00394471" w:rsidP="00394471">
      <w:pPr>
        <w:rPr>
          <w:rFonts w:eastAsia="宋体"/>
        </w:rPr>
      </w:pPr>
      <w:r w:rsidRPr="00FA0D37">
        <w:t xml:space="preserve">The IE </w:t>
      </w:r>
      <w:r w:rsidRPr="00FA0D37">
        <w:rPr>
          <w:i/>
          <w:noProof/>
        </w:rPr>
        <w:t>CellIdentity</w:t>
      </w:r>
      <w:r w:rsidRPr="00FA0D37">
        <w:t xml:space="preserve"> is used to unambiguously identify a cell within a PLMN</w:t>
      </w:r>
      <w:r w:rsidR="00985AB7" w:rsidRPr="00FA0D37">
        <w:t>/SNPN</w:t>
      </w:r>
      <w:r w:rsidRPr="00FA0D37">
        <w:t>.</w:t>
      </w:r>
    </w:p>
    <w:p w14:paraId="066F804B" w14:textId="77777777" w:rsidR="00394471" w:rsidRPr="00FA0D37" w:rsidRDefault="00394471" w:rsidP="00394471">
      <w:pPr>
        <w:pStyle w:val="TH"/>
      </w:pPr>
      <w:r w:rsidRPr="00FA0D37">
        <w:rPr>
          <w:bCs/>
          <w:i/>
          <w:iCs/>
        </w:rPr>
        <w:t xml:space="preserve">CellIdentity </w:t>
      </w:r>
      <w:r w:rsidRPr="00FA0D37">
        <w:t>information element</w:t>
      </w:r>
    </w:p>
    <w:p w14:paraId="7E996B2C" w14:textId="77777777" w:rsidR="00394471" w:rsidRPr="00FA0D37" w:rsidRDefault="00394471" w:rsidP="00FA0D37">
      <w:pPr>
        <w:pStyle w:val="PL"/>
        <w:rPr>
          <w:color w:val="808080"/>
        </w:rPr>
      </w:pPr>
      <w:r w:rsidRPr="00FA0D37">
        <w:rPr>
          <w:color w:val="808080"/>
        </w:rPr>
        <w:t>-- ASN1START</w:t>
      </w:r>
    </w:p>
    <w:p w14:paraId="5EB18473" w14:textId="77777777" w:rsidR="00394471" w:rsidRPr="00FA0D37" w:rsidRDefault="00394471" w:rsidP="00FA0D37">
      <w:pPr>
        <w:pStyle w:val="PL"/>
        <w:rPr>
          <w:color w:val="808080"/>
        </w:rPr>
      </w:pPr>
      <w:r w:rsidRPr="00FA0D37">
        <w:rPr>
          <w:color w:val="808080"/>
        </w:rPr>
        <w:t>-- TAG-CELLIDENTITY-START</w:t>
      </w:r>
    </w:p>
    <w:p w14:paraId="5B330738" w14:textId="77777777" w:rsidR="00394471" w:rsidRPr="00FA0D37" w:rsidRDefault="00394471" w:rsidP="00FA0D37">
      <w:pPr>
        <w:pStyle w:val="PL"/>
      </w:pPr>
    </w:p>
    <w:p w14:paraId="4FA8C835" w14:textId="77777777" w:rsidR="00394471" w:rsidRPr="00FA0D37" w:rsidRDefault="00394471" w:rsidP="00FA0D37">
      <w:pPr>
        <w:pStyle w:val="PL"/>
      </w:pPr>
      <w:r w:rsidRPr="00FA0D37">
        <w:t xml:space="preserve">CellIdentity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(36))</w:t>
      </w:r>
    </w:p>
    <w:p w14:paraId="1915836E" w14:textId="77777777" w:rsidR="00394471" w:rsidRPr="00FA0D37" w:rsidRDefault="00394471" w:rsidP="00FA0D37">
      <w:pPr>
        <w:pStyle w:val="PL"/>
      </w:pPr>
    </w:p>
    <w:p w14:paraId="695FD532" w14:textId="77777777" w:rsidR="00394471" w:rsidRPr="00FA0D37" w:rsidRDefault="00394471" w:rsidP="00FA0D37">
      <w:pPr>
        <w:pStyle w:val="PL"/>
        <w:rPr>
          <w:color w:val="808080"/>
        </w:rPr>
      </w:pPr>
      <w:r w:rsidRPr="00FA0D37">
        <w:rPr>
          <w:color w:val="808080"/>
        </w:rPr>
        <w:t>-- TAG-CELLIDENTITY-STOP</w:t>
      </w:r>
    </w:p>
    <w:p w14:paraId="1C82CEE2" w14:textId="77777777" w:rsidR="00394471" w:rsidRPr="00FA0D37" w:rsidRDefault="00394471" w:rsidP="00FA0D37">
      <w:pPr>
        <w:pStyle w:val="PL"/>
        <w:rPr>
          <w:color w:val="808080"/>
        </w:rPr>
      </w:pPr>
      <w:r w:rsidRPr="00FA0D37">
        <w:rPr>
          <w:color w:val="808080"/>
        </w:rPr>
        <w:t>-- ASN1STOP</w:t>
      </w:r>
    </w:p>
    <w:p w14:paraId="61478745" w14:textId="77777777" w:rsidR="00394471" w:rsidRPr="00FA0D37" w:rsidRDefault="00394471" w:rsidP="00394471">
      <w:pPr>
        <w:rPr>
          <w:iCs/>
        </w:rPr>
      </w:pPr>
    </w:p>
    <w:p w14:paraId="101D53BC" w14:textId="77777777" w:rsidR="00394471" w:rsidRPr="00FA0D37" w:rsidRDefault="00394471" w:rsidP="00394471">
      <w:pPr>
        <w:pStyle w:val="4"/>
        <w:rPr>
          <w:noProof/>
        </w:rPr>
      </w:pPr>
      <w:bookmarkStart w:id="932" w:name="_Toc60777190"/>
      <w:bookmarkStart w:id="933" w:name="_Toc146781236"/>
      <w:r w:rsidRPr="00FA0D37">
        <w:t>–</w:t>
      </w:r>
      <w:r w:rsidRPr="00FA0D37">
        <w:tab/>
      </w:r>
      <w:r w:rsidRPr="00FA0D37">
        <w:rPr>
          <w:i/>
          <w:noProof/>
        </w:rPr>
        <w:t>CellReselectionPriority</w:t>
      </w:r>
      <w:bookmarkEnd w:id="932"/>
      <w:bookmarkEnd w:id="933"/>
    </w:p>
    <w:p w14:paraId="50221BD4" w14:textId="77777777" w:rsidR="00394471" w:rsidRPr="00FA0D37" w:rsidRDefault="00394471" w:rsidP="00394471">
      <w:r w:rsidRPr="00FA0D37">
        <w:t xml:space="preserve">The IE </w:t>
      </w:r>
      <w:r w:rsidRPr="00FA0D37">
        <w:rPr>
          <w:i/>
          <w:noProof/>
        </w:rPr>
        <w:t>CellReselectionPriority</w:t>
      </w:r>
      <w:r w:rsidRPr="00FA0D37">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FA0D37" w:rsidRDefault="00394471" w:rsidP="00394471">
      <w:pPr>
        <w:pStyle w:val="TH"/>
      </w:pPr>
      <w:r w:rsidRPr="00FA0D37">
        <w:rPr>
          <w:i/>
        </w:rPr>
        <w:lastRenderedPageBreak/>
        <w:t>CellReselectionPriority</w:t>
      </w:r>
      <w:r w:rsidRPr="00FA0D37">
        <w:t xml:space="preserve"> information element</w:t>
      </w:r>
    </w:p>
    <w:p w14:paraId="5690479C" w14:textId="77777777" w:rsidR="00394471" w:rsidRPr="00FA0D37" w:rsidRDefault="00394471" w:rsidP="00FA0D37">
      <w:pPr>
        <w:pStyle w:val="PL"/>
        <w:rPr>
          <w:color w:val="808080"/>
        </w:rPr>
      </w:pPr>
      <w:r w:rsidRPr="00FA0D37">
        <w:rPr>
          <w:color w:val="808080"/>
        </w:rPr>
        <w:t>-- ASN1START</w:t>
      </w:r>
    </w:p>
    <w:p w14:paraId="78181671" w14:textId="77777777" w:rsidR="00394471" w:rsidRPr="00FA0D37" w:rsidRDefault="00394471" w:rsidP="00FA0D37">
      <w:pPr>
        <w:pStyle w:val="PL"/>
        <w:rPr>
          <w:color w:val="808080"/>
        </w:rPr>
      </w:pPr>
      <w:r w:rsidRPr="00FA0D37">
        <w:rPr>
          <w:color w:val="808080"/>
        </w:rPr>
        <w:t>-- TAG-CELLRESELECTIONPRIORITY-START</w:t>
      </w:r>
    </w:p>
    <w:p w14:paraId="4F21E709" w14:textId="77777777" w:rsidR="00394471" w:rsidRPr="00FA0D37" w:rsidRDefault="00394471" w:rsidP="00FA0D37">
      <w:pPr>
        <w:pStyle w:val="PL"/>
      </w:pPr>
    </w:p>
    <w:p w14:paraId="62A91304" w14:textId="77777777" w:rsidR="00394471" w:rsidRPr="00FA0D37" w:rsidRDefault="00394471" w:rsidP="00FA0D37">
      <w:pPr>
        <w:pStyle w:val="PL"/>
      </w:pPr>
      <w:r w:rsidRPr="00FA0D37">
        <w:t xml:space="preserve">CellReselectionPriority ::=             </w:t>
      </w:r>
      <w:r w:rsidRPr="00FA0D37">
        <w:rPr>
          <w:color w:val="993366"/>
        </w:rPr>
        <w:t>INTEGER</w:t>
      </w:r>
      <w:r w:rsidRPr="00FA0D37">
        <w:t xml:space="preserve"> (0..7)</w:t>
      </w:r>
    </w:p>
    <w:p w14:paraId="0B4B7CFD" w14:textId="77777777" w:rsidR="00394471" w:rsidRPr="00FA0D37" w:rsidRDefault="00394471" w:rsidP="00FA0D37">
      <w:pPr>
        <w:pStyle w:val="PL"/>
      </w:pPr>
    </w:p>
    <w:p w14:paraId="6A06A50A" w14:textId="77777777" w:rsidR="00394471" w:rsidRPr="00FA0D37" w:rsidRDefault="00394471" w:rsidP="00FA0D37">
      <w:pPr>
        <w:pStyle w:val="PL"/>
        <w:rPr>
          <w:color w:val="808080"/>
        </w:rPr>
      </w:pPr>
      <w:r w:rsidRPr="00FA0D37">
        <w:rPr>
          <w:color w:val="808080"/>
        </w:rPr>
        <w:t>-- TAG-CELLRESELECTIONPRIORITY-STOP</w:t>
      </w:r>
    </w:p>
    <w:p w14:paraId="1BF65424" w14:textId="77777777" w:rsidR="00394471" w:rsidRPr="00FA0D37" w:rsidRDefault="00394471" w:rsidP="00FA0D37">
      <w:pPr>
        <w:pStyle w:val="PL"/>
        <w:rPr>
          <w:color w:val="808080"/>
        </w:rPr>
      </w:pPr>
      <w:r w:rsidRPr="00FA0D37">
        <w:rPr>
          <w:color w:val="808080"/>
        </w:rPr>
        <w:t>-- ASN1STOP</w:t>
      </w:r>
    </w:p>
    <w:p w14:paraId="5406A4F2" w14:textId="77777777" w:rsidR="00394471" w:rsidRPr="00FA0D37" w:rsidRDefault="00394471" w:rsidP="00394471"/>
    <w:p w14:paraId="1DF2B6C7" w14:textId="77777777" w:rsidR="00394471" w:rsidRPr="00FA0D37" w:rsidRDefault="00394471" w:rsidP="00394471">
      <w:pPr>
        <w:pStyle w:val="4"/>
        <w:rPr>
          <w:i/>
          <w:noProof/>
        </w:rPr>
      </w:pPr>
      <w:bookmarkStart w:id="934" w:name="_Toc60777191"/>
      <w:bookmarkStart w:id="935" w:name="_Toc146781237"/>
      <w:r w:rsidRPr="00FA0D37">
        <w:t>–</w:t>
      </w:r>
      <w:r w:rsidRPr="00FA0D37">
        <w:tab/>
      </w:r>
      <w:r w:rsidRPr="00FA0D37">
        <w:rPr>
          <w:i/>
          <w:noProof/>
        </w:rPr>
        <w:t>CellReselectionSubPriority</w:t>
      </w:r>
      <w:bookmarkEnd w:id="934"/>
      <w:bookmarkEnd w:id="935"/>
    </w:p>
    <w:p w14:paraId="035AA220" w14:textId="77777777" w:rsidR="00394471" w:rsidRPr="00FA0D37" w:rsidRDefault="00394471" w:rsidP="00394471">
      <w:r w:rsidRPr="00FA0D37">
        <w:t xml:space="preserve">The IE </w:t>
      </w:r>
      <w:r w:rsidRPr="00FA0D37">
        <w:rPr>
          <w:i/>
          <w:noProof/>
        </w:rPr>
        <w:t>CellReselectionSubPriority</w:t>
      </w:r>
      <w:r w:rsidRPr="00FA0D37">
        <w:t xml:space="preserve"> indicates </w:t>
      </w:r>
      <w:r w:rsidRPr="00FA0D37">
        <w:rPr>
          <w:noProof/>
        </w:rPr>
        <w:t xml:space="preserve">a fractional value to be added to the value of </w:t>
      </w:r>
      <w:r w:rsidRPr="00FA0D37">
        <w:rPr>
          <w:i/>
        </w:rPr>
        <w:t>cellReselectionPriority</w:t>
      </w:r>
      <w:r w:rsidRPr="00FA0D37">
        <w:rPr>
          <w:noProof/>
        </w:rPr>
        <w:t xml:space="preserve"> to obtain the absolute priority of the concerned carrier frequency for E-UTRA</w:t>
      </w:r>
      <w:r w:rsidRPr="00FA0D37">
        <w:rPr>
          <w:noProof/>
          <w:lang w:eastAsia="zh-CN"/>
        </w:rPr>
        <w:t xml:space="preserve"> and NR</w:t>
      </w:r>
      <w:r w:rsidRPr="00FA0D37">
        <w:rPr>
          <w:noProof/>
        </w:rPr>
        <w:t>.</w:t>
      </w:r>
      <w:r w:rsidRPr="00FA0D37">
        <w:rPr>
          <w:noProof/>
          <w:lang w:eastAsia="zh-CN"/>
        </w:rPr>
        <w:t xml:space="preserve"> </w:t>
      </w:r>
      <w:r w:rsidRPr="00FA0D37">
        <w:t xml:space="preserve">Value </w:t>
      </w:r>
      <w:r w:rsidRPr="00FA0D37">
        <w:rPr>
          <w:i/>
        </w:rPr>
        <w:t>oDot2</w:t>
      </w:r>
      <w:r w:rsidRPr="00FA0D37">
        <w:t xml:space="preserve"> corresponds to 0.2, value </w:t>
      </w:r>
      <w:r w:rsidRPr="00FA0D37">
        <w:rPr>
          <w:i/>
        </w:rPr>
        <w:t>oDot4</w:t>
      </w:r>
      <w:r w:rsidRPr="00FA0D37">
        <w:t xml:space="preserve"> corresponds to 0.4 and so on.</w:t>
      </w:r>
    </w:p>
    <w:p w14:paraId="470A5115" w14:textId="77777777" w:rsidR="00394471" w:rsidRPr="00FA0D37" w:rsidRDefault="00394471" w:rsidP="00394471">
      <w:pPr>
        <w:pStyle w:val="TH"/>
      </w:pPr>
      <w:r w:rsidRPr="00FA0D37">
        <w:rPr>
          <w:bCs/>
          <w:i/>
          <w:iCs/>
        </w:rPr>
        <w:t xml:space="preserve">CellReselectionSubPriority </w:t>
      </w:r>
      <w:r w:rsidRPr="00FA0D37">
        <w:t>information element</w:t>
      </w:r>
    </w:p>
    <w:p w14:paraId="71D579F4" w14:textId="77777777" w:rsidR="00394471" w:rsidRPr="00FA0D37" w:rsidRDefault="00394471" w:rsidP="00FA0D37">
      <w:pPr>
        <w:pStyle w:val="PL"/>
        <w:rPr>
          <w:color w:val="808080"/>
        </w:rPr>
      </w:pPr>
      <w:r w:rsidRPr="00FA0D37">
        <w:rPr>
          <w:color w:val="808080"/>
        </w:rPr>
        <w:t>-- ASN1START</w:t>
      </w:r>
    </w:p>
    <w:p w14:paraId="25B471FD" w14:textId="77777777" w:rsidR="00394471" w:rsidRPr="00FA0D37" w:rsidRDefault="00394471" w:rsidP="00FA0D37">
      <w:pPr>
        <w:pStyle w:val="PL"/>
        <w:rPr>
          <w:color w:val="808080"/>
        </w:rPr>
      </w:pPr>
      <w:r w:rsidRPr="00FA0D37">
        <w:rPr>
          <w:color w:val="808080"/>
        </w:rPr>
        <w:t>-- TAG-CELLRESELECTIONSUBPRIORITY-START</w:t>
      </w:r>
    </w:p>
    <w:p w14:paraId="1685C391" w14:textId="77777777" w:rsidR="00394471" w:rsidRPr="00FA0D37" w:rsidRDefault="00394471" w:rsidP="00FA0D37">
      <w:pPr>
        <w:pStyle w:val="PL"/>
      </w:pPr>
    </w:p>
    <w:p w14:paraId="24AC3E2F" w14:textId="77777777" w:rsidR="00394471" w:rsidRPr="00FA0D37" w:rsidRDefault="00394471" w:rsidP="00FA0D37">
      <w:pPr>
        <w:pStyle w:val="PL"/>
      </w:pPr>
      <w:r w:rsidRPr="00FA0D37">
        <w:t xml:space="preserve">CellReselectionSubPriority ::=          </w:t>
      </w:r>
      <w:r w:rsidRPr="00FA0D37">
        <w:rPr>
          <w:color w:val="993366"/>
        </w:rPr>
        <w:t>ENUMERATED</w:t>
      </w:r>
      <w:r w:rsidRPr="00FA0D37">
        <w:t xml:space="preserve"> {oDot2, oDot4, oDot6, oDot8}</w:t>
      </w:r>
    </w:p>
    <w:p w14:paraId="7EDA66DD" w14:textId="77777777" w:rsidR="00394471" w:rsidRPr="00FA0D37" w:rsidRDefault="00394471" w:rsidP="00FA0D37">
      <w:pPr>
        <w:pStyle w:val="PL"/>
      </w:pPr>
    </w:p>
    <w:p w14:paraId="1BA92BAA" w14:textId="77777777" w:rsidR="00394471" w:rsidRPr="00FA0D37" w:rsidRDefault="00394471" w:rsidP="00FA0D37">
      <w:pPr>
        <w:pStyle w:val="PL"/>
        <w:rPr>
          <w:color w:val="808080"/>
        </w:rPr>
      </w:pPr>
      <w:r w:rsidRPr="00FA0D37">
        <w:rPr>
          <w:color w:val="808080"/>
        </w:rPr>
        <w:t>-- TAG-CELLRESELECTIONSUBPRIORITY-STOP</w:t>
      </w:r>
    </w:p>
    <w:p w14:paraId="43FCEA81" w14:textId="77777777" w:rsidR="00394471" w:rsidRPr="00FA0D37" w:rsidRDefault="00394471" w:rsidP="00FA0D37">
      <w:pPr>
        <w:pStyle w:val="PL"/>
        <w:rPr>
          <w:color w:val="808080"/>
        </w:rPr>
      </w:pPr>
      <w:r w:rsidRPr="00FA0D37">
        <w:rPr>
          <w:color w:val="808080"/>
        </w:rPr>
        <w:t>-- ASN1STOP</w:t>
      </w:r>
    </w:p>
    <w:p w14:paraId="58BD3738" w14:textId="55D50E65" w:rsidR="00394471" w:rsidRPr="00FA0D37" w:rsidRDefault="00394471" w:rsidP="00394471"/>
    <w:p w14:paraId="4578D7AB" w14:textId="77777777" w:rsidR="00EB0E28" w:rsidRPr="00FA0D37" w:rsidRDefault="00EB0E28" w:rsidP="00EB0E28">
      <w:pPr>
        <w:pStyle w:val="4"/>
        <w:rPr>
          <w:i/>
          <w:noProof/>
        </w:rPr>
      </w:pPr>
      <w:bookmarkStart w:id="936" w:name="_Toc146781238"/>
      <w:r w:rsidRPr="00FA0D37">
        <w:t>–</w:t>
      </w:r>
      <w:r w:rsidRPr="00FA0D37">
        <w:tab/>
      </w:r>
      <w:r w:rsidRPr="00FA0D37">
        <w:rPr>
          <w:i/>
          <w:noProof/>
        </w:rPr>
        <w:t>CFR-ConfigMulticast</w:t>
      </w:r>
      <w:bookmarkEnd w:id="936"/>
    </w:p>
    <w:p w14:paraId="47F6A764" w14:textId="77777777" w:rsidR="00EB0E28" w:rsidRPr="00FA0D37" w:rsidRDefault="00EB0E28" w:rsidP="00EB0E28">
      <w:r w:rsidRPr="00FA0D37">
        <w:t xml:space="preserve">The IE </w:t>
      </w:r>
      <w:r w:rsidRPr="00FA0D37">
        <w:rPr>
          <w:i/>
          <w:noProof/>
        </w:rPr>
        <w:t>CFR-ConfigMulticast</w:t>
      </w:r>
      <w:r w:rsidRPr="00FA0D37">
        <w:t xml:space="preserve"> indicates </w:t>
      </w:r>
      <w:r w:rsidRPr="00FA0D37">
        <w:rPr>
          <w:noProof/>
        </w:rPr>
        <w:t>UE specific common frequency resource configuration for multicast for one dedicated BWP</w:t>
      </w:r>
      <w:r w:rsidRPr="00FA0D37">
        <w:t>.</w:t>
      </w:r>
    </w:p>
    <w:p w14:paraId="5C809339" w14:textId="77777777" w:rsidR="00EB0E28" w:rsidRPr="00FA0D37" w:rsidRDefault="00EB0E28" w:rsidP="00EB0E28">
      <w:pPr>
        <w:pStyle w:val="TH"/>
        <w:rPr>
          <w:b w:val="0"/>
        </w:rPr>
      </w:pPr>
      <w:r w:rsidRPr="00FA0D37">
        <w:rPr>
          <w:bCs/>
          <w:i/>
          <w:iCs/>
        </w:rPr>
        <w:t xml:space="preserve">CFR-ConfigMulticast </w:t>
      </w:r>
      <w:r w:rsidRPr="00FA0D37">
        <w:t>information element</w:t>
      </w:r>
    </w:p>
    <w:p w14:paraId="4B9CE120" w14:textId="77777777" w:rsidR="00EB0E28" w:rsidRPr="00FA0D37" w:rsidRDefault="00EB0E28" w:rsidP="00FA0D37">
      <w:pPr>
        <w:pStyle w:val="PL"/>
        <w:rPr>
          <w:color w:val="808080"/>
        </w:rPr>
      </w:pPr>
      <w:r w:rsidRPr="00FA0D37">
        <w:rPr>
          <w:color w:val="808080"/>
        </w:rPr>
        <w:t>-- ASN1START</w:t>
      </w:r>
    </w:p>
    <w:p w14:paraId="5C756649" w14:textId="110F8148" w:rsidR="00EB0E28" w:rsidRPr="00FA0D37" w:rsidRDefault="00EB0E28" w:rsidP="00FA0D37">
      <w:pPr>
        <w:pStyle w:val="PL"/>
        <w:rPr>
          <w:color w:val="808080"/>
        </w:rPr>
      </w:pPr>
      <w:r w:rsidRPr="00FA0D37">
        <w:rPr>
          <w:color w:val="808080"/>
        </w:rPr>
        <w:t>-- TAG-CFR</w:t>
      </w:r>
      <w:r w:rsidR="00297667" w:rsidRPr="00FA0D37">
        <w:rPr>
          <w:color w:val="808080"/>
        </w:rPr>
        <w:t>-</w:t>
      </w:r>
      <w:r w:rsidRPr="00FA0D37">
        <w:rPr>
          <w:color w:val="808080"/>
        </w:rPr>
        <w:t>CONFIGMULTICAST-START</w:t>
      </w:r>
    </w:p>
    <w:p w14:paraId="1EE1DA4F" w14:textId="77777777" w:rsidR="00EB0E28" w:rsidRPr="00FA0D37" w:rsidRDefault="00EB0E28" w:rsidP="00FA0D37">
      <w:pPr>
        <w:pStyle w:val="PL"/>
      </w:pPr>
    </w:p>
    <w:p w14:paraId="5980CFBB" w14:textId="4AD0947A" w:rsidR="00EB0E28" w:rsidRPr="00FA0D37" w:rsidRDefault="00EB0E28" w:rsidP="00FA0D37">
      <w:pPr>
        <w:pStyle w:val="PL"/>
      </w:pPr>
      <w:r w:rsidRPr="00FA0D37">
        <w:t xml:space="preserve">CFR-ConfigMulticast-r17::= </w:t>
      </w:r>
      <w:r w:rsidRPr="00FA0D37">
        <w:rPr>
          <w:color w:val="993366"/>
        </w:rPr>
        <w:t>SEQUENCE</w:t>
      </w:r>
      <w:r w:rsidRPr="00FA0D37">
        <w:t xml:space="preserve"> {</w:t>
      </w:r>
    </w:p>
    <w:p w14:paraId="3DAE1A44" w14:textId="3B206837" w:rsidR="00EB0E28" w:rsidRPr="00FA0D37" w:rsidRDefault="00EB0E28" w:rsidP="00FA0D37">
      <w:pPr>
        <w:pStyle w:val="PL"/>
        <w:rPr>
          <w:color w:val="808080"/>
        </w:rPr>
      </w:pPr>
      <w:r w:rsidRPr="00FA0D37">
        <w:t xml:space="preserve">    locationAndBandwidthMulticast-r17              </w:t>
      </w:r>
      <w:r w:rsidRPr="00FA0D37">
        <w:rPr>
          <w:color w:val="993366"/>
        </w:rPr>
        <w:t>INTEGER</w:t>
      </w:r>
      <w:r w:rsidRPr="00FA0D37">
        <w:t xml:space="preserve"> (0..37949)                       </w:t>
      </w:r>
      <w:r w:rsidRPr="00FA0D37">
        <w:rPr>
          <w:color w:val="993366"/>
        </w:rPr>
        <w:t>OPTIONAL</w:t>
      </w:r>
      <w:r w:rsidRPr="00FA0D37">
        <w:t xml:space="preserve">,    </w:t>
      </w:r>
      <w:r w:rsidRPr="00FA0D37">
        <w:rPr>
          <w:color w:val="808080"/>
        </w:rPr>
        <w:t>-- Need S</w:t>
      </w:r>
    </w:p>
    <w:p w14:paraId="5B327AAB" w14:textId="758603A9" w:rsidR="00EB0E28" w:rsidRPr="00FA0D37" w:rsidRDefault="00EB0E28" w:rsidP="00FA0D37">
      <w:pPr>
        <w:pStyle w:val="PL"/>
        <w:rPr>
          <w:color w:val="808080"/>
        </w:rPr>
      </w:pPr>
      <w:r w:rsidRPr="00FA0D37">
        <w:t xml:space="preserve">    pdcch-ConfigMulticast-r17                      PDCCH-Config                             </w:t>
      </w:r>
      <w:r w:rsidRPr="00FA0D37">
        <w:rPr>
          <w:color w:val="993366"/>
        </w:rPr>
        <w:t>OPTIONAL</w:t>
      </w:r>
      <w:r w:rsidRPr="00FA0D37">
        <w:t xml:space="preserve">,    </w:t>
      </w:r>
      <w:r w:rsidRPr="00FA0D37">
        <w:rPr>
          <w:color w:val="808080"/>
        </w:rPr>
        <w:t>-- Need M</w:t>
      </w:r>
    </w:p>
    <w:p w14:paraId="3A98D567" w14:textId="3F31C5AE" w:rsidR="00EB0E28" w:rsidRPr="00FA0D37" w:rsidRDefault="00EB0E28" w:rsidP="00FA0D37">
      <w:pPr>
        <w:pStyle w:val="PL"/>
        <w:rPr>
          <w:color w:val="808080"/>
        </w:rPr>
      </w:pPr>
      <w:r w:rsidRPr="00FA0D37">
        <w:t xml:space="preserve">    pdsch-ConfigMulticast-r17                      PDSCH-Config                             </w:t>
      </w:r>
      <w:r w:rsidRPr="00FA0D37">
        <w:rPr>
          <w:color w:val="993366"/>
        </w:rPr>
        <w:t>OPTIONAL</w:t>
      </w:r>
      <w:r w:rsidRPr="00FA0D37">
        <w:t xml:space="preserve">,    </w:t>
      </w:r>
      <w:r w:rsidRPr="00FA0D37">
        <w:rPr>
          <w:color w:val="808080"/>
        </w:rPr>
        <w:t>-- Need M</w:t>
      </w:r>
    </w:p>
    <w:p w14:paraId="143F9DBF" w14:textId="77777777" w:rsidR="00EB0E28" w:rsidRPr="00FA0D37" w:rsidRDefault="00EB0E28" w:rsidP="00FA0D37">
      <w:pPr>
        <w:pStyle w:val="PL"/>
        <w:rPr>
          <w:color w:val="808080"/>
        </w:rPr>
      </w:pPr>
      <w:r w:rsidRPr="00FA0D37">
        <w:t xml:space="preserve">    sps-ConfigMulticastToAddModList-r17            SPS-ConfigMulticastToAddModList-r17      </w:t>
      </w:r>
      <w:r w:rsidRPr="00FA0D37">
        <w:rPr>
          <w:color w:val="993366"/>
        </w:rPr>
        <w:t>OPTIONAL</w:t>
      </w:r>
      <w:r w:rsidRPr="00FA0D37">
        <w:t xml:space="preserve">,    </w:t>
      </w:r>
      <w:r w:rsidRPr="00FA0D37">
        <w:rPr>
          <w:color w:val="808080"/>
        </w:rPr>
        <w:t>-- Need N</w:t>
      </w:r>
    </w:p>
    <w:p w14:paraId="67936D3E" w14:textId="77777777" w:rsidR="00EB0E28" w:rsidRPr="00FA0D37" w:rsidRDefault="00EB0E28" w:rsidP="00FA0D37">
      <w:pPr>
        <w:pStyle w:val="PL"/>
        <w:rPr>
          <w:color w:val="808080"/>
        </w:rPr>
      </w:pPr>
      <w:r w:rsidRPr="00FA0D37">
        <w:t xml:space="preserve">    sps-ConfigMulticastToReleaseList-r17           SPS-ConfigMulticastToReleaseList-r17     </w:t>
      </w:r>
      <w:r w:rsidRPr="00FA0D37">
        <w:rPr>
          <w:color w:val="993366"/>
        </w:rPr>
        <w:t>OPTIONAL</w:t>
      </w:r>
      <w:r w:rsidRPr="00FA0D37">
        <w:t xml:space="preserve">     </w:t>
      </w:r>
      <w:r w:rsidRPr="00FA0D37">
        <w:rPr>
          <w:color w:val="808080"/>
        </w:rPr>
        <w:t>-- Need N</w:t>
      </w:r>
    </w:p>
    <w:p w14:paraId="1DD2E0F5" w14:textId="77777777" w:rsidR="00EB0E28" w:rsidRPr="00FA0D37" w:rsidRDefault="00EB0E28" w:rsidP="00FA0D37">
      <w:pPr>
        <w:pStyle w:val="PL"/>
      </w:pPr>
      <w:r w:rsidRPr="00FA0D37">
        <w:t>}</w:t>
      </w:r>
    </w:p>
    <w:p w14:paraId="3E0CCD07" w14:textId="77777777" w:rsidR="00EB0E28" w:rsidRPr="00FA0D37" w:rsidRDefault="00EB0E28" w:rsidP="00FA0D37">
      <w:pPr>
        <w:pStyle w:val="PL"/>
      </w:pPr>
    </w:p>
    <w:p w14:paraId="0C225DF6" w14:textId="496B04A0" w:rsidR="00EB0E28" w:rsidRPr="00FA0D37" w:rsidRDefault="00EB0E28" w:rsidP="00FA0D37">
      <w:pPr>
        <w:pStyle w:val="PL"/>
      </w:pPr>
      <w:r w:rsidRPr="00FA0D37">
        <w:t>SPS-ConfigMulticastToAddModList-r17 ::=</w:t>
      </w:r>
      <w:r w:rsidRPr="00FA0D37">
        <w:tab/>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SPS-Config</w:t>
      </w:r>
    </w:p>
    <w:p w14:paraId="1D7B66BC" w14:textId="77777777" w:rsidR="00EB0E28" w:rsidRPr="00FA0D37" w:rsidRDefault="00EB0E28" w:rsidP="00FA0D37">
      <w:pPr>
        <w:pStyle w:val="PL"/>
      </w:pPr>
    </w:p>
    <w:p w14:paraId="2220EEE6" w14:textId="460D5D86" w:rsidR="00EB0E28" w:rsidRPr="00FA0D37" w:rsidRDefault="00EB0E28" w:rsidP="00FA0D37">
      <w:pPr>
        <w:pStyle w:val="PL"/>
      </w:pPr>
      <w:r w:rsidRPr="00FA0D37">
        <w:t xml:space="preserve">SPS-ConfigMulticastToReleaseList-r17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SPS-ConfigIndex-r16</w:t>
      </w:r>
    </w:p>
    <w:p w14:paraId="6479B4A9" w14:textId="77777777" w:rsidR="00EB0E28" w:rsidRPr="00FA0D37" w:rsidRDefault="00EB0E28" w:rsidP="00FA0D37">
      <w:pPr>
        <w:pStyle w:val="PL"/>
      </w:pPr>
    </w:p>
    <w:p w14:paraId="2C149FB2" w14:textId="5885F033" w:rsidR="00EB0E28" w:rsidRPr="00FA0D37" w:rsidRDefault="00EB0E28" w:rsidP="00FA0D37">
      <w:pPr>
        <w:pStyle w:val="PL"/>
        <w:rPr>
          <w:color w:val="808080"/>
        </w:rPr>
      </w:pPr>
      <w:r w:rsidRPr="00FA0D37">
        <w:rPr>
          <w:color w:val="808080"/>
        </w:rPr>
        <w:lastRenderedPageBreak/>
        <w:t>-- TAG-CFR</w:t>
      </w:r>
      <w:r w:rsidR="00297667" w:rsidRPr="00FA0D37">
        <w:rPr>
          <w:color w:val="808080"/>
        </w:rPr>
        <w:t>-</w:t>
      </w:r>
      <w:r w:rsidRPr="00FA0D37">
        <w:rPr>
          <w:color w:val="808080"/>
        </w:rPr>
        <w:t>CONFIGMULTICAST-STOP</w:t>
      </w:r>
    </w:p>
    <w:p w14:paraId="2E3F4383" w14:textId="77777777" w:rsidR="00EB0E28" w:rsidRPr="00FA0D37" w:rsidRDefault="00EB0E28" w:rsidP="00FA0D37">
      <w:pPr>
        <w:pStyle w:val="PL"/>
        <w:rPr>
          <w:color w:val="808080"/>
        </w:rPr>
      </w:pPr>
      <w:r w:rsidRPr="00FA0D37">
        <w:rPr>
          <w:color w:val="808080"/>
        </w:rPr>
        <w:t>-- ASN1STOP</w:t>
      </w:r>
    </w:p>
    <w:p w14:paraId="4C0DB5E1" w14:textId="77777777" w:rsidR="00EB0E28" w:rsidRPr="00FA0D37"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5C7FF4" w:rsidRPr="00FA0D37" w14:paraId="485062E6" w14:textId="77777777" w:rsidTr="00771058">
        <w:trPr>
          <w:cantSplit/>
          <w:tblHeader/>
        </w:trPr>
        <w:tc>
          <w:tcPr>
            <w:tcW w:w="14204" w:type="dxa"/>
          </w:tcPr>
          <w:p w14:paraId="450768E8" w14:textId="77777777" w:rsidR="00EB0E28" w:rsidRPr="00FA0D37" w:rsidRDefault="00EB0E28" w:rsidP="00771058">
            <w:pPr>
              <w:pStyle w:val="TAH"/>
              <w:rPr>
                <w:rFonts w:cs="Arial"/>
                <w:szCs w:val="18"/>
                <w:lang w:eastAsia="zh-CN"/>
              </w:rPr>
            </w:pPr>
            <w:r w:rsidRPr="00FA0D37">
              <w:rPr>
                <w:rFonts w:cs="Arial"/>
                <w:i/>
                <w:iCs/>
                <w:szCs w:val="18"/>
                <w:lang w:eastAsia="zh-CN"/>
              </w:rPr>
              <w:t xml:space="preserve">CFR-ConfigMulticast </w:t>
            </w:r>
            <w:r w:rsidRPr="00FA0D37">
              <w:rPr>
                <w:szCs w:val="22"/>
                <w:lang w:eastAsia="sv-SE"/>
              </w:rPr>
              <w:t>field</w:t>
            </w:r>
            <w:r w:rsidRPr="00FA0D37">
              <w:rPr>
                <w:rFonts w:cs="Arial"/>
                <w:iCs/>
                <w:szCs w:val="18"/>
                <w:lang w:eastAsia="zh-CN"/>
              </w:rPr>
              <w:t xml:space="preserve"> descriptions</w:t>
            </w:r>
          </w:p>
        </w:tc>
      </w:tr>
      <w:tr w:rsidR="005C7FF4" w:rsidRPr="00FA0D37"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FA0D37" w:rsidRDefault="00EB0E28" w:rsidP="00771058">
            <w:pPr>
              <w:pStyle w:val="TAL"/>
              <w:rPr>
                <w:rFonts w:cs="Arial"/>
                <w:b/>
                <w:bCs/>
                <w:i/>
                <w:szCs w:val="18"/>
              </w:rPr>
            </w:pPr>
            <w:r w:rsidRPr="00FA0D37">
              <w:rPr>
                <w:b/>
                <w:i/>
                <w:szCs w:val="22"/>
                <w:lang w:eastAsia="sv-SE"/>
              </w:rPr>
              <w:t>locationAndBandwidthMulticast</w:t>
            </w:r>
          </w:p>
          <w:p w14:paraId="3EA6D4EA" w14:textId="0D4F1661" w:rsidR="00EB0E28" w:rsidRPr="00FA0D37" w:rsidRDefault="00EB0E28" w:rsidP="00771058">
            <w:pPr>
              <w:pStyle w:val="TAL"/>
              <w:rPr>
                <w:rFonts w:eastAsia="等线" w:cs="Arial"/>
                <w:szCs w:val="18"/>
                <w:lang w:eastAsia="zh-CN"/>
              </w:rPr>
            </w:pPr>
            <w:r w:rsidRPr="00FA0D37">
              <w:rPr>
                <w:rFonts w:cs="Arial"/>
                <w:szCs w:val="18"/>
                <w:lang w:eastAsia="en-GB"/>
              </w:rPr>
              <w:t xml:space="preserve">Frequency </w:t>
            </w:r>
            <w:r w:rsidRPr="00FA0D37">
              <w:rPr>
                <w:lang w:eastAsia="sv-SE"/>
              </w:rPr>
              <w:t>domain</w:t>
            </w:r>
            <w:r w:rsidRPr="00FA0D37">
              <w:rPr>
                <w:rFonts w:cs="Arial"/>
                <w:szCs w:val="18"/>
                <w:lang w:eastAsia="en-GB"/>
              </w:rPr>
              <w:t xml:space="preserve"> location and bandwidth for MBS multicast. The value of the field shall be interpreted as resource indicator value (RIV) as defined </w:t>
            </w:r>
            <w:r w:rsidR="00173E4B" w:rsidRPr="00FA0D37">
              <w:rPr>
                <w:rFonts w:cs="Arial"/>
                <w:szCs w:val="18"/>
                <w:lang w:eastAsia="en-GB"/>
              </w:rPr>
              <w:t xml:space="preserve">in </w:t>
            </w:r>
            <w:r w:rsidRPr="00FA0D37">
              <w:rPr>
                <w:rFonts w:cs="Arial"/>
                <w:szCs w:val="18"/>
                <w:lang w:eastAsia="en-GB"/>
              </w:rPr>
              <w:t xml:space="preserve">TS 38.214 [19] with assumptions as described in TS 38.213 [13], clause 12, i.e. setting  N^size_BWP=275. The first PRB is a PRB determined by </w:t>
            </w:r>
            <w:r w:rsidRPr="00FA0D37">
              <w:rPr>
                <w:rFonts w:cs="Arial"/>
                <w:i/>
                <w:iCs/>
                <w:szCs w:val="18"/>
                <w:lang w:eastAsia="en-GB"/>
              </w:rPr>
              <w:t>subcarrierSpacing</w:t>
            </w:r>
            <w:r w:rsidRPr="00FA0D37">
              <w:rPr>
                <w:rFonts w:cs="Arial"/>
                <w:szCs w:val="18"/>
                <w:lang w:eastAsia="en-GB"/>
              </w:rPr>
              <w:t xml:space="preserve"> of the associated BWP and </w:t>
            </w:r>
            <w:r w:rsidRPr="00FA0D37">
              <w:rPr>
                <w:rFonts w:cs="Arial"/>
                <w:i/>
                <w:iCs/>
                <w:szCs w:val="18"/>
                <w:lang w:eastAsia="en-GB"/>
              </w:rPr>
              <w:t>offsetToCarrier</w:t>
            </w:r>
            <w:r w:rsidRPr="00FA0D37">
              <w:rPr>
                <w:rFonts w:cs="Arial"/>
                <w:szCs w:val="18"/>
                <w:lang w:eastAsia="en-GB"/>
              </w:rPr>
              <w:t xml:space="preserve"> corresponding to this subcarrier spacing. If not configured, the UE applies the value of </w:t>
            </w:r>
            <w:r w:rsidRPr="00FA0D37">
              <w:rPr>
                <w:rFonts w:cs="Arial"/>
                <w:i/>
                <w:iCs/>
                <w:szCs w:val="18"/>
                <w:lang w:eastAsia="en-GB"/>
              </w:rPr>
              <w:t>locationAndBandwidth</w:t>
            </w:r>
            <w:r w:rsidRPr="00FA0D37">
              <w:rPr>
                <w:rFonts w:cs="Arial"/>
                <w:szCs w:val="18"/>
                <w:lang w:eastAsia="en-GB"/>
              </w:rPr>
              <w:t xml:space="preserve"> of the DL BWP in which the </w:t>
            </w:r>
            <w:r w:rsidRPr="00FA0D37">
              <w:rPr>
                <w:rFonts w:cs="Arial"/>
                <w:i/>
                <w:iCs/>
                <w:szCs w:val="18"/>
                <w:lang w:eastAsia="en-GB"/>
              </w:rPr>
              <w:t>cfr-ConfigMulticast</w:t>
            </w:r>
            <w:r w:rsidRPr="00FA0D37">
              <w:rPr>
                <w:rFonts w:cs="Arial"/>
                <w:szCs w:val="18"/>
                <w:lang w:eastAsia="en-GB"/>
              </w:rPr>
              <w:t xml:space="preserve"> is configured.</w:t>
            </w:r>
          </w:p>
        </w:tc>
      </w:tr>
      <w:tr w:rsidR="005C7FF4" w:rsidRPr="00FA0D37"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FA0D37" w:rsidRDefault="00EB0E28" w:rsidP="00771058">
            <w:pPr>
              <w:pStyle w:val="TAL"/>
              <w:rPr>
                <w:rFonts w:cs="Arial"/>
                <w:b/>
                <w:bCs/>
                <w:i/>
                <w:szCs w:val="18"/>
              </w:rPr>
            </w:pPr>
            <w:r w:rsidRPr="00FA0D37">
              <w:rPr>
                <w:rFonts w:cs="Arial"/>
                <w:b/>
                <w:bCs/>
                <w:i/>
                <w:szCs w:val="18"/>
              </w:rPr>
              <w:t>pdcch-</w:t>
            </w:r>
            <w:r w:rsidRPr="00FA0D37">
              <w:rPr>
                <w:b/>
                <w:i/>
                <w:szCs w:val="22"/>
                <w:lang w:eastAsia="sv-SE"/>
              </w:rPr>
              <w:t>ConfigMulticast</w:t>
            </w:r>
          </w:p>
          <w:p w14:paraId="79AE06B9" w14:textId="77777777" w:rsidR="00EB0E28" w:rsidRPr="00FA0D37" w:rsidRDefault="00EB0E28" w:rsidP="00771058">
            <w:pPr>
              <w:pStyle w:val="TAL"/>
              <w:rPr>
                <w:rFonts w:cs="Arial"/>
                <w:b/>
                <w:bCs/>
                <w:i/>
                <w:szCs w:val="18"/>
              </w:rPr>
            </w:pPr>
            <w:r w:rsidRPr="00FA0D37">
              <w:rPr>
                <w:rFonts w:cs="Arial"/>
                <w:szCs w:val="18"/>
                <w:lang w:eastAsia="en-GB"/>
              </w:rPr>
              <w:t xml:space="preserve">UE </w:t>
            </w:r>
            <w:r w:rsidRPr="00FA0D37">
              <w:rPr>
                <w:lang w:eastAsia="sv-SE"/>
              </w:rPr>
              <w:t>specific</w:t>
            </w:r>
            <w:r w:rsidRPr="00FA0D37">
              <w:rPr>
                <w:rFonts w:cs="Arial"/>
                <w:szCs w:val="18"/>
                <w:lang w:eastAsia="en-GB"/>
              </w:rPr>
              <w:t xml:space="preserve"> group-common PDCCH configuration for MBS multicast for one CFR.</w:t>
            </w:r>
          </w:p>
        </w:tc>
      </w:tr>
      <w:tr w:rsidR="005C7FF4" w:rsidRPr="00FA0D37"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FA0D37" w:rsidRDefault="00EB0E28" w:rsidP="00771058">
            <w:pPr>
              <w:pStyle w:val="TAL"/>
              <w:rPr>
                <w:rFonts w:cs="Arial"/>
                <w:b/>
                <w:bCs/>
                <w:i/>
                <w:szCs w:val="18"/>
              </w:rPr>
            </w:pPr>
            <w:r w:rsidRPr="00FA0D37">
              <w:rPr>
                <w:rFonts w:cs="Arial"/>
                <w:b/>
                <w:bCs/>
                <w:i/>
                <w:szCs w:val="18"/>
              </w:rPr>
              <w:t>pdsch-</w:t>
            </w:r>
            <w:r w:rsidRPr="00FA0D37">
              <w:rPr>
                <w:b/>
                <w:i/>
                <w:szCs w:val="22"/>
                <w:lang w:eastAsia="sv-SE"/>
              </w:rPr>
              <w:t>ConfigMulticast</w:t>
            </w:r>
          </w:p>
          <w:p w14:paraId="68F74C5A" w14:textId="77777777" w:rsidR="00EB0E28" w:rsidRPr="00FA0D37" w:rsidRDefault="00EB0E28" w:rsidP="00771058">
            <w:pPr>
              <w:pStyle w:val="TAL"/>
              <w:rPr>
                <w:rFonts w:cs="Arial"/>
                <w:b/>
                <w:bCs/>
                <w:i/>
                <w:szCs w:val="18"/>
              </w:rPr>
            </w:pPr>
            <w:r w:rsidRPr="00FA0D37">
              <w:rPr>
                <w:rFonts w:cs="Arial"/>
                <w:szCs w:val="18"/>
                <w:lang w:eastAsia="en-GB"/>
              </w:rPr>
              <w:t xml:space="preserve">UE </w:t>
            </w:r>
            <w:r w:rsidRPr="00FA0D37">
              <w:rPr>
                <w:lang w:eastAsia="sv-SE"/>
              </w:rPr>
              <w:t>specific</w:t>
            </w:r>
            <w:r w:rsidRPr="00FA0D37">
              <w:rPr>
                <w:rFonts w:cs="Arial"/>
                <w:szCs w:val="18"/>
                <w:lang w:eastAsia="en-GB"/>
              </w:rPr>
              <w:t xml:space="preserve"> group-common PDSCH configuration for MBS multicast for one CFR.</w:t>
            </w:r>
          </w:p>
        </w:tc>
      </w:tr>
      <w:tr w:rsidR="005C7FF4" w:rsidRPr="00FA0D37"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FA0D37" w:rsidRDefault="00EB0E28" w:rsidP="00771058">
            <w:pPr>
              <w:pStyle w:val="TAL"/>
              <w:rPr>
                <w:rFonts w:cs="Arial"/>
                <w:b/>
                <w:bCs/>
                <w:i/>
                <w:szCs w:val="18"/>
              </w:rPr>
            </w:pPr>
            <w:r w:rsidRPr="00FA0D37">
              <w:rPr>
                <w:rFonts w:cs="Arial"/>
                <w:b/>
                <w:bCs/>
                <w:i/>
                <w:szCs w:val="18"/>
              </w:rPr>
              <w:t>sps-</w:t>
            </w:r>
            <w:r w:rsidRPr="00FA0D37">
              <w:rPr>
                <w:b/>
                <w:i/>
                <w:szCs w:val="22"/>
                <w:lang w:eastAsia="sv-SE"/>
              </w:rPr>
              <w:t>ConfigMulticastToAddModList</w:t>
            </w:r>
          </w:p>
          <w:p w14:paraId="3756B14D" w14:textId="77777777" w:rsidR="00EB0E28" w:rsidRPr="00FA0D37" w:rsidRDefault="00EB0E28" w:rsidP="00771058">
            <w:pPr>
              <w:pStyle w:val="TAL"/>
              <w:rPr>
                <w:rFonts w:cs="Arial"/>
                <w:b/>
                <w:bCs/>
                <w:i/>
                <w:szCs w:val="18"/>
              </w:rPr>
            </w:pPr>
            <w:r w:rsidRPr="00FA0D37">
              <w:rPr>
                <w:lang w:eastAsia="sv-SE"/>
              </w:rPr>
              <w:t>Indicates</w:t>
            </w:r>
            <w:r w:rsidRPr="00FA0D37">
              <w:rPr>
                <w:rFonts w:cs="Arial"/>
                <w:szCs w:val="18"/>
                <w:lang w:eastAsia="en-GB"/>
              </w:rPr>
              <w:t xml:space="preserve"> a list of one or more DL SPS configurations for MBS multicast.</w:t>
            </w:r>
          </w:p>
        </w:tc>
      </w:tr>
      <w:tr w:rsidR="000830BB" w:rsidRPr="00FA0D37"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FA0D37" w:rsidRDefault="00EB0E28" w:rsidP="00771058">
            <w:pPr>
              <w:pStyle w:val="TAL"/>
              <w:rPr>
                <w:rFonts w:cs="Arial"/>
                <w:b/>
                <w:i/>
                <w:szCs w:val="18"/>
              </w:rPr>
            </w:pPr>
            <w:r w:rsidRPr="00FA0D37">
              <w:rPr>
                <w:rFonts w:cs="Arial"/>
                <w:b/>
                <w:i/>
                <w:szCs w:val="18"/>
              </w:rPr>
              <w:t>sps-</w:t>
            </w:r>
            <w:r w:rsidRPr="00FA0D37">
              <w:rPr>
                <w:b/>
                <w:i/>
                <w:szCs w:val="22"/>
                <w:lang w:eastAsia="sv-SE"/>
              </w:rPr>
              <w:t>ConfigMulticastToReleaseList</w:t>
            </w:r>
          </w:p>
          <w:p w14:paraId="2F0A6F19" w14:textId="77777777" w:rsidR="00EB0E28" w:rsidRPr="00FA0D37" w:rsidRDefault="00EB0E28" w:rsidP="00771058">
            <w:pPr>
              <w:pStyle w:val="TAL"/>
              <w:rPr>
                <w:rFonts w:cs="Arial"/>
                <w:b/>
                <w:bCs/>
                <w:i/>
                <w:szCs w:val="18"/>
              </w:rPr>
            </w:pPr>
            <w:r w:rsidRPr="00FA0D37">
              <w:rPr>
                <w:lang w:eastAsia="sv-SE"/>
              </w:rPr>
              <w:t>Indicates</w:t>
            </w:r>
            <w:r w:rsidRPr="00FA0D37">
              <w:rPr>
                <w:rFonts w:cs="Arial"/>
                <w:szCs w:val="18"/>
              </w:rPr>
              <w:t xml:space="preserve"> a list of one or more DL SPS configurations to be released. T</w:t>
            </w:r>
            <w:r w:rsidRPr="00FA0D37">
              <w:rPr>
                <w:rFonts w:cs="Arial"/>
                <w:szCs w:val="18"/>
                <w:lang w:eastAsia="sv-SE"/>
              </w:rPr>
              <w:t>he NW may release a SPS configuration at any time.</w:t>
            </w:r>
          </w:p>
        </w:tc>
      </w:tr>
    </w:tbl>
    <w:p w14:paraId="699611DB" w14:textId="77777777" w:rsidR="00EB0E28" w:rsidRPr="00FA0D37" w:rsidRDefault="00EB0E28" w:rsidP="00394471"/>
    <w:p w14:paraId="6DFC4FCF" w14:textId="77777777" w:rsidR="00394471" w:rsidRPr="00FA0D37" w:rsidRDefault="00394471" w:rsidP="00394471">
      <w:pPr>
        <w:pStyle w:val="4"/>
        <w:rPr>
          <w:i/>
          <w:iCs/>
        </w:rPr>
      </w:pPr>
      <w:bookmarkStart w:id="937" w:name="_Toc60777192"/>
      <w:bookmarkStart w:id="938" w:name="_Toc146781239"/>
      <w:r w:rsidRPr="00FA0D37">
        <w:rPr>
          <w:i/>
          <w:iCs/>
        </w:rPr>
        <w:t>–</w:t>
      </w:r>
      <w:r w:rsidRPr="00FA0D37">
        <w:rPr>
          <w:i/>
          <w:iCs/>
        </w:rPr>
        <w:tab/>
      </w:r>
      <w:r w:rsidRPr="00FA0D37">
        <w:rPr>
          <w:i/>
          <w:iCs/>
          <w:noProof/>
        </w:rPr>
        <w:t>CGI-InfoEUTRA</w:t>
      </w:r>
      <w:bookmarkEnd w:id="937"/>
      <w:bookmarkEnd w:id="938"/>
    </w:p>
    <w:p w14:paraId="038EAAB2" w14:textId="77777777" w:rsidR="00394471" w:rsidRPr="00FA0D37" w:rsidRDefault="00394471" w:rsidP="00394471">
      <w:r w:rsidRPr="00FA0D37">
        <w:t>The IE CGI-InfoEUTRA indicates EUTRA cell access related information, which is reported by the UE as part of E-UTRA report CGI procedure.</w:t>
      </w:r>
    </w:p>
    <w:p w14:paraId="133710C2" w14:textId="77777777" w:rsidR="00394471" w:rsidRPr="00FA0D37" w:rsidRDefault="00394471" w:rsidP="00394471">
      <w:pPr>
        <w:pStyle w:val="TH"/>
        <w:rPr>
          <w:bCs/>
          <w:i/>
          <w:iCs/>
        </w:rPr>
      </w:pPr>
      <w:r w:rsidRPr="00FA0D37">
        <w:rPr>
          <w:bCs/>
          <w:i/>
          <w:iCs/>
        </w:rPr>
        <w:t xml:space="preserve">CGI-InfoEUTRA </w:t>
      </w:r>
      <w:r w:rsidRPr="00FA0D37">
        <w:t>information element</w:t>
      </w:r>
    </w:p>
    <w:p w14:paraId="428AAEC1" w14:textId="77777777" w:rsidR="00394471" w:rsidRPr="00FA0D37" w:rsidRDefault="00394471" w:rsidP="00FA0D37">
      <w:pPr>
        <w:pStyle w:val="PL"/>
        <w:rPr>
          <w:color w:val="808080"/>
        </w:rPr>
      </w:pPr>
      <w:r w:rsidRPr="00FA0D37">
        <w:rPr>
          <w:color w:val="808080"/>
        </w:rPr>
        <w:t>-- ASN1START</w:t>
      </w:r>
    </w:p>
    <w:p w14:paraId="5D5EF881" w14:textId="77777777" w:rsidR="00394471" w:rsidRPr="00FA0D37" w:rsidRDefault="00394471" w:rsidP="00FA0D37">
      <w:pPr>
        <w:pStyle w:val="PL"/>
        <w:rPr>
          <w:color w:val="808080"/>
        </w:rPr>
      </w:pPr>
      <w:r w:rsidRPr="00FA0D37">
        <w:rPr>
          <w:color w:val="808080"/>
        </w:rPr>
        <w:t>-- TAG-CGI-INFOEUTRA-START</w:t>
      </w:r>
    </w:p>
    <w:p w14:paraId="1F705744" w14:textId="77777777" w:rsidR="00394471" w:rsidRPr="00FA0D37" w:rsidRDefault="00394471" w:rsidP="00FA0D37">
      <w:pPr>
        <w:pStyle w:val="PL"/>
      </w:pPr>
    </w:p>
    <w:p w14:paraId="33D07C7C" w14:textId="77777777" w:rsidR="00394471" w:rsidRPr="00FA0D37" w:rsidRDefault="00394471" w:rsidP="00FA0D37">
      <w:pPr>
        <w:pStyle w:val="PL"/>
      </w:pPr>
      <w:r w:rsidRPr="00FA0D37">
        <w:t xml:space="preserve">CGI-InfoEUTRA ::=                        </w:t>
      </w:r>
      <w:r w:rsidRPr="00FA0D37">
        <w:rPr>
          <w:color w:val="993366"/>
        </w:rPr>
        <w:t>SEQUENCE</w:t>
      </w:r>
      <w:r w:rsidRPr="00FA0D37">
        <w:t xml:space="preserve"> {</w:t>
      </w:r>
    </w:p>
    <w:p w14:paraId="60445E09" w14:textId="77777777" w:rsidR="00394471" w:rsidRPr="00FA0D37" w:rsidRDefault="00394471" w:rsidP="00FA0D37">
      <w:pPr>
        <w:pStyle w:val="PL"/>
      </w:pPr>
      <w:r w:rsidRPr="00FA0D37">
        <w:t xml:space="preserve">    cgi-info-EPC                            </w:t>
      </w:r>
      <w:r w:rsidRPr="00FA0D37">
        <w:rPr>
          <w:color w:val="993366"/>
        </w:rPr>
        <w:t>SEQUENCE</w:t>
      </w:r>
      <w:r w:rsidRPr="00FA0D37">
        <w:t xml:space="preserve"> {</w:t>
      </w:r>
    </w:p>
    <w:p w14:paraId="39D879EE" w14:textId="77777777" w:rsidR="00394471" w:rsidRPr="00FA0D37" w:rsidRDefault="00394471" w:rsidP="00FA0D37">
      <w:pPr>
        <w:pStyle w:val="PL"/>
      </w:pPr>
      <w:r w:rsidRPr="00FA0D37">
        <w:t xml:space="preserve">            cgi-info-EPC-legacy                 CellAccessRelatedInfo-EUTRA-EPC,</w:t>
      </w:r>
    </w:p>
    <w:p w14:paraId="40CA6033" w14:textId="012477D2" w:rsidR="00394471" w:rsidRPr="00FA0D37" w:rsidRDefault="00394471" w:rsidP="00FA0D37">
      <w:pPr>
        <w:pStyle w:val="PL"/>
      </w:pPr>
      <w:r w:rsidRPr="00FA0D37">
        <w:t xml:space="preserve">            cgi-info-EPC-list                   </w:t>
      </w:r>
      <w:r w:rsidRPr="00FA0D37">
        <w:rPr>
          <w:color w:val="993366"/>
        </w:rPr>
        <w:t>SEQUENCE</w:t>
      </w:r>
      <w:r w:rsidRPr="00FA0D37">
        <w:t xml:space="preserve"> (</w:t>
      </w:r>
      <w:r w:rsidRPr="00FA0D37">
        <w:rPr>
          <w:color w:val="993366"/>
        </w:rPr>
        <w:t>SIZE</w:t>
      </w:r>
      <w:r w:rsidRPr="00FA0D37">
        <w:t xml:space="preserve"> (1..maxPLMN))</w:t>
      </w:r>
      <w:r w:rsidRPr="00FA0D37">
        <w:rPr>
          <w:color w:val="993366"/>
        </w:rPr>
        <w:t xml:space="preserve"> OF</w:t>
      </w:r>
      <w:r w:rsidRPr="00FA0D37">
        <w:t xml:space="preserve"> CellAccessRelatedInfo-EUTRA-EPC         </w:t>
      </w:r>
      <w:r w:rsidR="000E770B" w:rsidRPr="00FA0D37">
        <w:t xml:space="preserve">    </w:t>
      </w:r>
      <w:r w:rsidRPr="00FA0D37">
        <w:rPr>
          <w:color w:val="993366"/>
        </w:rPr>
        <w:t>OPTIONAL</w:t>
      </w:r>
    </w:p>
    <w:p w14:paraId="2ED95BF8" w14:textId="1E9C2A6F" w:rsidR="00394471" w:rsidRPr="00FA0D37" w:rsidRDefault="00394471" w:rsidP="00FA0D37">
      <w:pPr>
        <w:pStyle w:val="PL"/>
      </w:pPr>
      <w:r w:rsidRPr="00FA0D37">
        <w:t xml:space="preserve">    }                                                                                                                   </w:t>
      </w:r>
      <w:r w:rsidR="000E770B" w:rsidRPr="00FA0D37">
        <w:t xml:space="preserve">    </w:t>
      </w:r>
      <w:r w:rsidRPr="00FA0D37">
        <w:rPr>
          <w:color w:val="993366"/>
        </w:rPr>
        <w:t>OPTIONAL</w:t>
      </w:r>
      <w:r w:rsidRPr="00FA0D37">
        <w:t>,</w:t>
      </w:r>
    </w:p>
    <w:p w14:paraId="63AA11F5" w14:textId="77777777" w:rsidR="00394471" w:rsidRPr="00FA0D37" w:rsidRDefault="00394471" w:rsidP="00FA0D37">
      <w:pPr>
        <w:pStyle w:val="PL"/>
      </w:pPr>
      <w:r w:rsidRPr="00FA0D37">
        <w:t xml:space="preserve">    cgi-info-5GC                            </w:t>
      </w:r>
      <w:r w:rsidRPr="00FA0D37">
        <w:rPr>
          <w:color w:val="993366"/>
        </w:rPr>
        <w:t>SEQUENCE</w:t>
      </w:r>
      <w:r w:rsidRPr="00FA0D37">
        <w:t xml:space="preserve"> (</w:t>
      </w:r>
      <w:r w:rsidRPr="00FA0D37">
        <w:rPr>
          <w:color w:val="993366"/>
        </w:rPr>
        <w:t>SIZE</w:t>
      </w:r>
      <w:r w:rsidRPr="00FA0D37">
        <w:t xml:space="preserve"> (1..maxPLMN))</w:t>
      </w:r>
      <w:r w:rsidRPr="00FA0D37">
        <w:rPr>
          <w:color w:val="993366"/>
        </w:rPr>
        <w:t xml:space="preserve"> OF</w:t>
      </w:r>
      <w:r w:rsidRPr="00FA0D37">
        <w:t xml:space="preserve"> CellAccessRelatedInfo-EUTRA-5GC             </w:t>
      </w:r>
      <w:r w:rsidRPr="00FA0D37">
        <w:rPr>
          <w:color w:val="993366"/>
        </w:rPr>
        <w:t>OPTIONAL</w:t>
      </w:r>
      <w:r w:rsidRPr="00FA0D37">
        <w:t>,</w:t>
      </w:r>
    </w:p>
    <w:p w14:paraId="0E7FCE2E" w14:textId="77777777" w:rsidR="00394471" w:rsidRPr="00FA0D37" w:rsidRDefault="00394471" w:rsidP="00FA0D37">
      <w:pPr>
        <w:pStyle w:val="PL"/>
      </w:pPr>
      <w:r w:rsidRPr="00FA0D37">
        <w:t xml:space="preserve">    freqBandIndicator                       FreqBandIndicatorEUTRA,</w:t>
      </w:r>
    </w:p>
    <w:p w14:paraId="58157CF2" w14:textId="77777777" w:rsidR="00394471" w:rsidRPr="00FA0D37" w:rsidRDefault="00394471" w:rsidP="00FA0D37">
      <w:pPr>
        <w:pStyle w:val="PL"/>
      </w:pPr>
      <w:r w:rsidRPr="00FA0D37">
        <w:t xml:space="preserve">    multiBandInfoList                       MultiBandInfoListEUTRA                                                      </w:t>
      </w:r>
      <w:r w:rsidRPr="00FA0D37">
        <w:rPr>
          <w:color w:val="993366"/>
        </w:rPr>
        <w:t>OPTIONAL</w:t>
      </w:r>
      <w:r w:rsidRPr="00FA0D37">
        <w:t>,</w:t>
      </w:r>
    </w:p>
    <w:p w14:paraId="4B673FA2" w14:textId="77777777" w:rsidR="00394471" w:rsidRPr="00FA0D37" w:rsidRDefault="00394471" w:rsidP="00FA0D37">
      <w:pPr>
        <w:pStyle w:val="PL"/>
      </w:pPr>
      <w:r w:rsidRPr="00FA0D37">
        <w:t xml:space="preserve">    freqBandIndicatorPriority               </w:t>
      </w:r>
      <w:r w:rsidRPr="00FA0D37">
        <w:rPr>
          <w:color w:val="993366"/>
        </w:rPr>
        <w:t>ENUMERATED</w:t>
      </w:r>
      <w:r w:rsidRPr="00FA0D37">
        <w:t xml:space="preserve"> {true}                                                           </w:t>
      </w:r>
      <w:r w:rsidRPr="00FA0D37">
        <w:rPr>
          <w:color w:val="993366"/>
        </w:rPr>
        <w:t>OPTIONAL</w:t>
      </w:r>
    </w:p>
    <w:p w14:paraId="5300FD05" w14:textId="77777777" w:rsidR="00394471" w:rsidRPr="00FA0D37" w:rsidRDefault="00394471" w:rsidP="00FA0D37">
      <w:pPr>
        <w:pStyle w:val="PL"/>
      </w:pPr>
      <w:r w:rsidRPr="00FA0D37">
        <w:t>}</w:t>
      </w:r>
    </w:p>
    <w:p w14:paraId="67F79A7B" w14:textId="77777777" w:rsidR="00394471" w:rsidRPr="00FA0D37" w:rsidRDefault="00394471" w:rsidP="00FA0D37">
      <w:pPr>
        <w:pStyle w:val="PL"/>
      </w:pPr>
    </w:p>
    <w:p w14:paraId="20EE4F94" w14:textId="77777777" w:rsidR="00394471" w:rsidRPr="00FA0D37" w:rsidRDefault="00394471" w:rsidP="00FA0D37">
      <w:pPr>
        <w:pStyle w:val="PL"/>
        <w:rPr>
          <w:color w:val="808080"/>
        </w:rPr>
      </w:pPr>
      <w:r w:rsidRPr="00FA0D37">
        <w:rPr>
          <w:color w:val="808080"/>
        </w:rPr>
        <w:t>-- TAG-CGI-INFOEUTRA-STOP</w:t>
      </w:r>
    </w:p>
    <w:p w14:paraId="716FB402" w14:textId="77777777" w:rsidR="00394471" w:rsidRPr="00FA0D37" w:rsidRDefault="00394471" w:rsidP="00FA0D37">
      <w:pPr>
        <w:pStyle w:val="PL"/>
        <w:rPr>
          <w:color w:val="808080"/>
        </w:rPr>
      </w:pPr>
      <w:r w:rsidRPr="00FA0D37">
        <w:rPr>
          <w:color w:val="808080"/>
        </w:rPr>
        <w:t>-- ASN1STOP</w:t>
      </w:r>
    </w:p>
    <w:p w14:paraId="6559A95C" w14:textId="77777777" w:rsidR="00394471" w:rsidRPr="00FA0D37" w:rsidRDefault="00394471" w:rsidP="00394471"/>
    <w:p w14:paraId="3BC31958" w14:textId="77777777" w:rsidR="00394471" w:rsidRPr="00FA0D37" w:rsidRDefault="00394471" w:rsidP="00394471">
      <w:pPr>
        <w:pStyle w:val="4"/>
        <w:rPr>
          <w:i/>
          <w:iCs/>
        </w:rPr>
      </w:pPr>
      <w:bookmarkStart w:id="939" w:name="_Toc60777193"/>
      <w:bookmarkStart w:id="940" w:name="_Toc146781240"/>
      <w:r w:rsidRPr="00FA0D37">
        <w:rPr>
          <w:i/>
          <w:iCs/>
        </w:rPr>
        <w:lastRenderedPageBreak/>
        <w:t>–</w:t>
      </w:r>
      <w:r w:rsidRPr="00FA0D37">
        <w:rPr>
          <w:i/>
          <w:iCs/>
        </w:rPr>
        <w:tab/>
        <w:t>CGI-InfoEUTRALogging</w:t>
      </w:r>
      <w:bookmarkEnd w:id="939"/>
      <w:bookmarkEnd w:id="940"/>
    </w:p>
    <w:p w14:paraId="46B02686" w14:textId="77777777" w:rsidR="00394471" w:rsidRPr="00FA0D37" w:rsidRDefault="00394471" w:rsidP="00394471">
      <w:r w:rsidRPr="00FA0D37">
        <w:t>The IE CGI-InfoEUTRALogging indicates EUTRA cell related information, which is reported by the UE as part of RLF reporting procedure.</w:t>
      </w:r>
    </w:p>
    <w:p w14:paraId="6EC2CF8C" w14:textId="77777777" w:rsidR="00394471" w:rsidRPr="00FA0D37" w:rsidRDefault="00394471" w:rsidP="00394471">
      <w:pPr>
        <w:pStyle w:val="TH"/>
        <w:rPr>
          <w:bCs/>
          <w:i/>
          <w:iCs/>
        </w:rPr>
      </w:pPr>
      <w:r w:rsidRPr="00FA0D37">
        <w:rPr>
          <w:bCs/>
          <w:i/>
          <w:iCs/>
        </w:rPr>
        <w:t xml:space="preserve">CGI-InfoEUTRALogging </w:t>
      </w:r>
      <w:r w:rsidRPr="00FA0D37">
        <w:t>information element</w:t>
      </w:r>
    </w:p>
    <w:p w14:paraId="42A12B24" w14:textId="77777777" w:rsidR="00394471" w:rsidRPr="00FA0D37" w:rsidRDefault="00394471" w:rsidP="00FA0D37">
      <w:pPr>
        <w:pStyle w:val="PL"/>
        <w:rPr>
          <w:color w:val="808080"/>
        </w:rPr>
      </w:pPr>
      <w:r w:rsidRPr="00FA0D37">
        <w:rPr>
          <w:color w:val="808080"/>
        </w:rPr>
        <w:t>-- ASN1START</w:t>
      </w:r>
    </w:p>
    <w:p w14:paraId="3C00D287" w14:textId="77777777" w:rsidR="00394471" w:rsidRPr="00FA0D37" w:rsidRDefault="00394471" w:rsidP="00FA0D37">
      <w:pPr>
        <w:pStyle w:val="PL"/>
        <w:rPr>
          <w:color w:val="808080"/>
        </w:rPr>
      </w:pPr>
      <w:r w:rsidRPr="00FA0D37">
        <w:rPr>
          <w:color w:val="808080"/>
        </w:rPr>
        <w:t>-- TAG-CGI-INFOEUTRALOGGING-START</w:t>
      </w:r>
    </w:p>
    <w:p w14:paraId="069965B4" w14:textId="77777777" w:rsidR="00394471" w:rsidRPr="00FA0D37" w:rsidRDefault="00394471" w:rsidP="00FA0D37">
      <w:pPr>
        <w:pStyle w:val="PL"/>
      </w:pPr>
    </w:p>
    <w:p w14:paraId="45DF6A01" w14:textId="77777777" w:rsidR="00394471" w:rsidRPr="00FA0D37" w:rsidRDefault="00394471" w:rsidP="00FA0D37">
      <w:pPr>
        <w:pStyle w:val="PL"/>
      </w:pPr>
      <w:r w:rsidRPr="00FA0D37">
        <w:t xml:space="preserve">CGI-InfoEUTRALogging ::=         </w:t>
      </w:r>
      <w:r w:rsidRPr="00FA0D37">
        <w:rPr>
          <w:color w:val="993366"/>
        </w:rPr>
        <w:t>SEQUENCE</w:t>
      </w:r>
      <w:r w:rsidRPr="00FA0D37">
        <w:t xml:space="preserve"> {</w:t>
      </w:r>
    </w:p>
    <w:p w14:paraId="26F28A5F" w14:textId="77777777" w:rsidR="00394471" w:rsidRPr="00FA0D37" w:rsidRDefault="00394471" w:rsidP="00FA0D37">
      <w:pPr>
        <w:pStyle w:val="PL"/>
      </w:pPr>
      <w:r w:rsidRPr="00FA0D37">
        <w:t xml:space="preserve">    plmn-Identity-eutra-5gc          PLMN-Identity                                          </w:t>
      </w:r>
      <w:r w:rsidRPr="00FA0D37">
        <w:rPr>
          <w:color w:val="993366"/>
        </w:rPr>
        <w:t>OPTIONAL</w:t>
      </w:r>
      <w:r w:rsidRPr="00FA0D37">
        <w:t>,</w:t>
      </w:r>
    </w:p>
    <w:p w14:paraId="41B32877" w14:textId="77777777" w:rsidR="00394471" w:rsidRPr="00FA0D37" w:rsidRDefault="00394471" w:rsidP="00FA0D37">
      <w:pPr>
        <w:pStyle w:val="PL"/>
      </w:pPr>
      <w:r w:rsidRPr="00FA0D37">
        <w:t xml:space="preserve">    trackingAreaCode-eutra-5gc       TrackingAreaCode                                       </w:t>
      </w:r>
      <w:r w:rsidRPr="00FA0D37">
        <w:rPr>
          <w:color w:val="993366"/>
        </w:rPr>
        <w:t>OPTIONAL</w:t>
      </w:r>
      <w:r w:rsidRPr="00FA0D37">
        <w:t>,</w:t>
      </w:r>
    </w:p>
    <w:p w14:paraId="112441CA" w14:textId="77777777" w:rsidR="00394471" w:rsidRPr="00FA0D37" w:rsidRDefault="00394471" w:rsidP="00FA0D37">
      <w:pPr>
        <w:pStyle w:val="PL"/>
      </w:pPr>
      <w:r w:rsidRPr="00FA0D37">
        <w:t xml:space="preserve">    cellIdentity-eutra-5gc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(28))                                 </w:t>
      </w:r>
      <w:r w:rsidRPr="00FA0D37">
        <w:rPr>
          <w:color w:val="993366"/>
        </w:rPr>
        <w:t>OPTIONAL</w:t>
      </w:r>
      <w:r w:rsidRPr="00FA0D37">
        <w:t>,</w:t>
      </w:r>
    </w:p>
    <w:p w14:paraId="36FC8CB8" w14:textId="77777777" w:rsidR="00394471" w:rsidRPr="00FA0D37" w:rsidRDefault="00394471" w:rsidP="00FA0D37">
      <w:pPr>
        <w:pStyle w:val="PL"/>
      </w:pPr>
      <w:r w:rsidRPr="00FA0D37">
        <w:t xml:space="preserve">    plmn-Identity-eutra-epc          PLMN-Identity                                          </w:t>
      </w:r>
      <w:r w:rsidRPr="00FA0D37">
        <w:rPr>
          <w:color w:val="993366"/>
        </w:rPr>
        <w:t>OPTIONAL</w:t>
      </w:r>
      <w:r w:rsidRPr="00FA0D37">
        <w:t>,</w:t>
      </w:r>
    </w:p>
    <w:p w14:paraId="11AF3A60" w14:textId="77777777" w:rsidR="00394471" w:rsidRPr="00FA0D37" w:rsidRDefault="00394471" w:rsidP="00FA0D37">
      <w:pPr>
        <w:pStyle w:val="PL"/>
      </w:pPr>
      <w:r w:rsidRPr="00FA0D37">
        <w:t xml:space="preserve">    trackingAreaCode-eutra-epc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0A5F2BF3" w14:textId="77777777" w:rsidR="00394471" w:rsidRPr="00FA0D37" w:rsidRDefault="00394471" w:rsidP="00FA0D37">
      <w:pPr>
        <w:pStyle w:val="PL"/>
      </w:pPr>
      <w:r w:rsidRPr="00FA0D37">
        <w:t xml:space="preserve">    cellIdentity-eutra-epc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(28))                                 </w:t>
      </w:r>
      <w:r w:rsidRPr="00FA0D37">
        <w:rPr>
          <w:color w:val="993366"/>
        </w:rPr>
        <w:t>OPTIONAL</w:t>
      </w:r>
    </w:p>
    <w:p w14:paraId="0025D02A" w14:textId="77777777" w:rsidR="00394471" w:rsidRPr="00FA0D37" w:rsidRDefault="00394471" w:rsidP="00FA0D37">
      <w:pPr>
        <w:pStyle w:val="PL"/>
      </w:pPr>
      <w:r w:rsidRPr="00FA0D37">
        <w:t>}</w:t>
      </w:r>
    </w:p>
    <w:p w14:paraId="45AF884A" w14:textId="77777777" w:rsidR="00394471" w:rsidRPr="00FA0D37" w:rsidRDefault="00394471" w:rsidP="00FA0D37">
      <w:pPr>
        <w:pStyle w:val="PL"/>
      </w:pPr>
    </w:p>
    <w:p w14:paraId="7A0C5F17" w14:textId="77777777" w:rsidR="00394471" w:rsidRPr="00FA0D37" w:rsidRDefault="00394471" w:rsidP="00FA0D37">
      <w:pPr>
        <w:pStyle w:val="PL"/>
        <w:rPr>
          <w:color w:val="808080"/>
        </w:rPr>
      </w:pPr>
      <w:r w:rsidRPr="00FA0D37">
        <w:rPr>
          <w:color w:val="808080"/>
        </w:rPr>
        <w:t>-- TAG-CGI-INFOEUTRALOGGING-STOP</w:t>
      </w:r>
    </w:p>
    <w:p w14:paraId="47A8E646" w14:textId="77777777" w:rsidR="00394471" w:rsidRPr="00FA0D37" w:rsidRDefault="00394471" w:rsidP="00FA0D37">
      <w:pPr>
        <w:pStyle w:val="PL"/>
        <w:rPr>
          <w:i/>
          <w:iCs/>
          <w:color w:val="808080"/>
        </w:rPr>
      </w:pPr>
      <w:r w:rsidRPr="00FA0D37">
        <w:rPr>
          <w:color w:val="808080"/>
        </w:rPr>
        <w:t>-- ASN1STOP</w:t>
      </w:r>
    </w:p>
    <w:p w14:paraId="3596DB14" w14:textId="77777777" w:rsidR="00394471" w:rsidRPr="00FA0D37"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FA0D37" w:rsidRDefault="00394471" w:rsidP="00964CC4">
            <w:pPr>
              <w:pStyle w:val="TAH"/>
              <w:rPr>
                <w:szCs w:val="22"/>
                <w:lang w:eastAsia="sv-SE"/>
              </w:rPr>
            </w:pPr>
            <w:r w:rsidRPr="00FA0D37">
              <w:rPr>
                <w:i/>
                <w:szCs w:val="22"/>
                <w:lang w:eastAsia="sv-SE"/>
              </w:rPr>
              <w:t xml:space="preserve">CGI-InfoEUTRALogging </w:t>
            </w:r>
            <w:r w:rsidRPr="00FA0D37">
              <w:rPr>
                <w:szCs w:val="22"/>
                <w:lang w:eastAsia="sv-SE"/>
              </w:rPr>
              <w:t>field descriptions</w:t>
            </w:r>
          </w:p>
        </w:tc>
      </w:tr>
      <w:tr w:rsidR="005C7FF4" w:rsidRPr="00FA0D37"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FA0D37" w:rsidRDefault="00394471" w:rsidP="00964CC4">
            <w:pPr>
              <w:pStyle w:val="TAL"/>
              <w:rPr>
                <w:b/>
                <w:i/>
                <w:szCs w:val="22"/>
                <w:lang w:eastAsia="sv-SE"/>
              </w:rPr>
            </w:pPr>
            <w:r w:rsidRPr="00FA0D37">
              <w:rPr>
                <w:b/>
                <w:i/>
                <w:szCs w:val="22"/>
                <w:lang w:eastAsia="sv-SE"/>
              </w:rPr>
              <w:t>cellIdentity-eutra-epc, cellIdentity-eutra-5GC</w:t>
            </w:r>
          </w:p>
          <w:p w14:paraId="5474B4B7" w14:textId="77777777" w:rsidR="00394471" w:rsidRPr="00FA0D37" w:rsidRDefault="00394471" w:rsidP="00964CC4">
            <w:pPr>
              <w:pStyle w:val="TAL"/>
              <w:rPr>
                <w:szCs w:val="22"/>
                <w:lang w:eastAsia="sv-SE"/>
              </w:rPr>
            </w:pPr>
            <w:r w:rsidRPr="00FA0D37">
              <w:rPr>
                <w:lang w:eastAsia="sv-SE"/>
              </w:rPr>
              <w:t xml:space="preserve">Unambiguously identify a cell within </w:t>
            </w:r>
            <w:r w:rsidRPr="00FA0D37">
              <w:t>the context of the PLMN</w:t>
            </w:r>
            <w:r w:rsidRPr="00FA0D37">
              <w:rPr>
                <w:rFonts w:ascii="等线" w:eastAsia="等线" w:hAnsi="等线"/>
                <w:lang w:eastAsia="zh-CN"/>
              </w:rPr>
              <w:t xml:space="preserve">. </w:t>
            </w:r>
            <w:r w:rsidRPr="00FA0D37">
              <w:rPr>
                <w:lang w:eastAsia="sv-SE"/>
              </w:rPr>
              <w:t xml:space="preserve">It belongs the first PLMN entry of </w:t>
            </w:r>
            <w:r w:rsidRPr="00FA0D37">
              <w:rPr>
                <w:i/>
                <w:lang w:eastAsia="sv-SE"/>
              </w:rPr>
              <w:t xml:space="preserve">plmn-IdentityList </w:t>
            </w:r>
            <w:r w:rsidRPr="00FA0D37">
              <w:rPr>
                <w:lang w:eastAsia="sv-SE"/>
              </w:rPr>
              <w:t xml:space="preserve">(when connected to EPC) or of </w:t>
            </w:r>
            <w:r w:rsidRPr="00FA0D37">
              <w:rPr>
                <w:i/>
                <w:lang w:eastAsia="sv-SE"/>
              </w:rPr>
              <w:t>plmn-IdentityList-r15</w:t>
            </w:r>
            <w:r w:rsidRPr="00FA0D37">
              <w:rPr>
                <w:lang w:eastAsia="sv-SE"/>
              </w:rPr>
              <w:t xml:space="preserve"> (when connected to 5GC) in </w:t>
            </w:r>
            <w:r w:rsidRPr="00FA0D37">
              <w:rPr>
                <w:i/>
                <w:lang w:eastAsia="sv-SE"/>
              </w:rPr>
              <w:t>SystemInformationBlockType1</w:t>
            </w:r>
            <w:r w:rsidRPr="00FA0D37">
              <w:rPr>
                <w:lang w:eastAsia="sv-SE"/>
              </w:rPr>
              <w:t>.</w:t>
            </w:r>
          </w:p>
        </w:tc>
      </w:tr>
      <w:tr w:rsidR="005C7FF4" w:rsidRPr="00FA0D37"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FA0D37" w:rsidRDefault="00394471" w:rsidP="00964CC4">
            <w:pPr>
              <w:pStyle w:val="TAL"/>
              <w:rPr>
                <w:b/>
                <w:bCs/>
                <w:i/>
                <w:iCs/>
                <w:lang w:eastAsia="sv-SE"/>
              </w:rPr>
            </w:pPr>
            <w:r w:rsidRPr="00FA0D37">
              <w:rPr>
                <w:b/>
                <w:bCs/>
                <w:i/>
                <w:iCs/>
                <w:lang w:eastAsia="sv-SE"/>
              </w:rPr>
              <w:t>plmn-Identity-eutra-epc, plmn-Identity-eutra-5GC</w:t>
            </w:r>
          </w:p>
          <w:p w14:paraId="25DE40E5" w14:textId="77777777" w:rsidR="00394471" w:rsidRPr="00FA0D37" w:rsidRDefault="00394471" w:rsidP="00964CC4">
            <w:pPr>
              <w:pStyle w:val="TAL"/>
              <w:rPr>
                <w:b/>
                <w:i/>
                <w:szCs w:val="22"/>
                <w:lang w:eastAsia="sv-SE"/>
              </w:rPr>
            </w:pPr>
            <w:r w:rsidRPr="00FA0D37">
              <w:rPr>
                <w:lang w:eastAsia="zh-CN"/>
              </w:rPr>
              <w:t xml:space="preserve">Identifies the PLMN of the cell for the reported </w:t>
            </w:r>
            <w:r w:rsidRPr="00FA0D37">
              <w:rPr>
                <w:i/>
                <w:lang w:eastAsia="zh-CN"/>
              </w:rPr>
              <w:t>cellIdentity</w:t>
            </w:r>
            <w:r w:rsidRPr="00FA0D37">
              <w:rPr>
                <w:lang w:eastAsia="zh-CN"/>
              </w:rPr>
              <w:t xml:space="preserve">: the first PLMN entry of </w:t>
            </w:r>
            <w:r w:rsidRPr="00FA0D37">
              <w:rPr>
                <w:i/>
                <w:iCs/>
                <w:lang w:eastAsia="zh-CN"/>
              </w:rPr>
              <w:t>plmn-IdentityList</w:t>
            </w:r>
            <w:r w:rsidRPr="00FA0D37">
              <w:rPr>
                <w:lang w:eastAsia="zh-CN"/>
              </w:rPr>
              <w:t xml:space="preserve"> (when connected to EPC) or of </w:t>
            </w:r>
            <w:r w:rsidRPr="00FA0D37">
              <w:rPr>
                <w:i/>
                <w:lang w:eastAsia="zh-CN"/>
              </w:rPr>
              <w:t>plmn-IdentityList-r15</w:t>
            </w:r>
            <w:r w:rsidRPr="00FA0D37">
              <w:rPr>
                <w:lang w:eastAsia="zh-CN"/>
              </w:rPr>
              <w:t xml:space="preserve"> (when connected to 5GC) in </w:t>
            </w:r>
            <w:r w:rsidRPr="00FA0D37">
              <w:rPr>
                <w:i/>
                <w:lang w:eastAsia="zh-CN"/>
              </w:rPr>
              <w:t>SystemInformationBlockType1</w:t>
            </w:r>
            <w:r w:rsidRPr="00FA0D37">
              <w:rPr>
                <w:lang w:eastAsia="zh-CN"/>
              </w:rPr>
              <w:t xml:space="preserve"> that contained the reported </w:t>
            </w:r>
            <w:r w:rsidRPr="00FA0D37">
              <w:rPr>
                <w:i/>
                <w:iCs/>
                <w:lang w:eastAsia="zh-CN"/>
              </w:rPr>
              <w:t>cellIdentity</w:t>
            </w:r>
            <w:r w:rsidRPr="00FA0D37">
              <w:rPr>
                <w:lang w:eastAsia="zh-CN"/>
              </w:rPr>
              <w:t>.</w:t>
            </w:r>
          </w:p>
        </w:tc>
      </w:tr>
      <w:tr w:rsidR="00394471" w:rsidRPr="00FA0D37"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FA0D37" w:rsidRDefault="00394471" w:rsidP="00964CC4">
            <w:pPr>
              <w:pStyle w:val="TAL"/>
              <w:rPr>
                <w:b/>
                <w:bCs/>
                <w:i/>
                <w:iCs/>
                <w:lang w:eastAsia="sv-SE"/>
              </w:rPr>
            </w:pPr>
            <w:r w:rsidRPr="00FA0D37">
              <w:rPr>
                <w:b/>
                <w:bCs/>
                <w:i/>
                <w:iCs/>
                <w:lang w:eastAsia="sv-SE"/>
              </w:rPr>
              <w:t>trackingAreaCode-eutra-epc, trackingAreaCode-eutra-5gc</w:t>
            </w:r>
          </w:p>
          <w:p w14:paraId="7EE83739" w14:textId="77777777" w:rsidR="00394471" w:rsidRPr="00FA0D37" w:rsidRDefault="00394471" w:rsidP="00964CC4">
            <w:pPr>
              <w:pStyle w:val="TAL"/>
              <w:rPr>
                <w:b/>
                <w:bCs/>
                <w:i/>
                <w:iCs/>
                <w:lang w:eastAsia="sv-SE"/>
              </w:rPr>
            </w:pPr>
            <w:r w:rsidRPr="00FA0D37">
              <w:rPr>
                <w:lang w:eastAsia="zh-CN"/>
              </w:rPr>
              <w:t xml:space="preserve">Indicates Tracking Area Code to which the cell indicated by </w:t>
            </w:r>
            <w:r w:rsidRPr="00FA0D37">
              <w:rPr>
                <w:bCs/>
                <w:i/>
                <w:lang w:eastAsia="zh-CN"/>
              </w:rPr>
              <w:t>cellIdentity-eutra-epc, cellIdentity-eutra-5GC</w:t>
            </w:r>
            <w:r w:rsidRPr="00FA0D37">
              <w:rPr>
                <w:lang w:eastAsia="zh-CN"/>
              </w:rPr>
              <w:t xml:space="preserve"> belongs.</w:t>
            </w:r>
          </w:p>
        </w:tc>
      </w:tr>
    </w:tbl>
    <w:p w14:paraId="40566572" w14:textId="77777777" w:rsidR="00394471" w:rsidRPr="00FA0D37" w:rsidRDefault="00394471" w:rsidP="00394471"/>
    <w:p w14:paraId="4D7EA606" w14:textId="77777777" w:rsidR="00394471" w:rsidRPr="00FA0D37" w:rsidRDefault="00394471" w:rsidP="00394471">
      <w:pPr>
        <w:pStyle w:val="4"/>
        <w:rPr>
          <w:i/>
          <w:iCs/>
        </w:rPr>
      </w:pPr>
      <w:bookmarkStart w:id="941" w:name="_Toc60777194"/>
      <w:bookmarkStart w:id="942" w:name="_Toc146781241"/>
      <w:r w:rsidRPr="00FA0D37">
        <w:rPr>
          <w:i/>
          <w:iCs/>
        </w:rPr>
        <w:t>–</w:t>
      </w:r>
      <w:r w:rsidRPr="00FA0D37">
        <w:rPr>
          <w:i/>
          <w:iCs/>
        </w:rPr>
        <w:tab/>
      </w:r>
      <w:r w:rsidRPr="00FA0D37">
        <w:rPr>
          <w:i/>
          <w:iCs/>
          <w:noProof/>
        </w:rPr>
        <w:t>CGI-InfoNR</w:t>
      </w:r>
      <w:bookmarkEnd w:id="941"/>
      <w:bookmarkEnd w:id="942"/>
    </w:p>
    <w:p w14:paraId="0EB40555" w14:textId="77777777" w:rsidR="00394471" w:rsidRPr="00FA0D37" w:rsidRDefault="00394471" w:rsidP="00394471">
      <w:r w:rsidRPr="00FA0D37">
        <w:t xml:space="preserve">The IE </w:t>
      </w:r>
      <w:r w:rsidRPr="00FA0D37">
        <w:rPr>
          <w:i/>
        </w:rPr>
        <w:t xml:space="preserve">CGI-InfoNR </w:t>
      </w:r>
      <w:r w:rsidRPr="00FA0D37">
        <w:t>indicates cell access related information, which is reported by the UE as part of report CGI procedure.</w:t>
      </w:r>
    </w:p>
    <w:p w14:paraId="2B3D367E" w14:textId="77777777" w:rsidR="00394471" w:rsidRPr="00FA0D37" w:rsidRDefault="00394471" w:rsidP="00394471">
      <w:pPr>
        <w:pStyle w:val="TH"/>
        <w:rPr>
          <w:bCs/>
          <w:i/>
          <w:iCs/>
        </w:rPr>
      </w:pPr>
      <w:r w:rsidRPr="00FA0D37">
        <w:rPr>
          <w:bCs/>
          <w:i/>
          <w:iCs/>
        </w:rPr>
        <w:t xml:space="preserve">CGI-InfoNR </w:t>
      </w:r>
      <w:r w:rsidRPr="00FA0D37">
        <w:t>information element</w:t>
      </w:r>
    </w:p>
    <w:p w14:paraId="6660447B" w14:textId="77777777" w:rsidR="00394471" w:rsidRPr="00FA0D37" w:rsidRDefault="00394471" w:rsidP="00FA0D37">
      <w:pPr>
        <w:pStyle w:val="PL"/>
        <w:rPr>
          <w:color w:val="808080"/>
        </w:rPr>
      </w:pPr>
      <w:r w:rsidRPr="00FA0D37">
        <w:rPr>
          <w:color w:val="808080"/>
        </w:rPr>
        <w:t>-- ASN1START</w:t>
      </w:r>
    </w:p>
    <w:p w14:paraId="1630122E" w14:textId="77777777" w:rsidR="00394471" w:rsidRPr="00FA0D37" w:rsidRDefault="00394471" w:rsidP="00FA0D37">
      <w:pPr>
        <w:pStyle w:val="PL"/>
        <w:rPr>
          <w:color w:val="808080"/>
        </w:rPr>
      </w:pPr>
      <w:r w:rsidRPr="00FA0D37">
        <w:rPr>
          <w:color w:val="808080"/>
        </w:rPr>
        <w:t>-- TAG-CGI-INFO-NR-START</w:t>
      </w:r>
    </w:p>
    <w:p w14:paraId="4D362CFA" w14:textId="77777777" w:rsidR="00394471" w:rsidRPr="00FA0D37" w:rsidRDefault="00394471" w:rsidP="00FA0D37">
      <w:pPr>
        <w:pStyle w:val="PL"/>
      </w:pPr>
    </w:p>
    <w:p w14:paraId="32684A7D" w14:textId="77777777" w:rsidR="00394471" w:rsidRPr="00FA0D37" w:rsidRDefault="00394471" w:rsidP="00FA0D37">
      <w:pPr>
        <w:pStyle w:val="PL"/>
      </w:pPr>
      <w:r w:rsidRPr="00FA0D37">
        <w:t xml:space="preserve">CGI-InfoNR ::=                    </w:t>
      </w:r>
      <w:r w:rsidRPr="00FA0D37">
        <w:rPr>
          <w:color w:val="993366"/>
        </w:rPr>
        <w:t>SEQUENCE</w:t>
      </w:r>
      <w:r w:rsidRPr="00FA0D37">
        <w:t xml:space="preserve"> {</w:t>
      </w:r>
    </w:p>
    <w:p w14:paraId="65FE64D1" w14:textId="77777777" w:rsidR="00394471" w:rsidRPr="00FA0D37" w:rsidRDefault="00394471" w:rsidP="00FA0D37">
      <w:pPr>
        <w:pStyle w:val="PL"/>
      </w:pPr>
      <w:r w:rsidRPr="00FA0D37">
        <w:t xml:space="preserve">    plmn-IdentityInfoList               PLMN-IdentityInfoList               </w:t>
      </w:r>
      <w:r w:rsidRPr="00FA0D37">
        <w:rPr>
          <w:color w:val="993366"/>
        </w:rPr>
        <w:t>OPTIONAL</w:t>
      </w:r>
      <w:r w:rsidRPr="00FA0D37">
        <w:t>,</w:t>
      </w:r>
    </w:p>
    <w:p w14:paraId="6B6E83BC" w14:textId="77777777" w:rsidR="00394471" w:rsidRPr="00FA0D37" w:rsidRDefault="00394471" w:rsidP="00FA0D37">
      <w:pPr>
        <w:pStyle w:val="PL"/>
      </w:pPr>
      <w:r w:rsidRPr="00FA0D37">
        <w:t xml:space="preserve">    frequencyBandList                   MultiFrequencyBandListNR            </w:t>
      </w:r>
      <w:r w:rsidRPr="00FA0D37">
        <w:rPr>
          <w:color w:val="993366"/>
        </w:rPr>
        <w:t>OPTIONAL</w:t>
      </w:r>
      <w:r w:rsidRPr="00FA0D37">
        <w:t>,</w:t>
      </w:r>
    </w:p>
    <w:p w14:paraId="09C0AD06" w14:textId="77777777" w:rsidR="00394471" w:rsidRPr="00FA0D37" w:rsidRDefault="00394471" w:rsidP="00FA0D37">
      <w:pPr>
        <w:pStyle w:val="PL"/>
      </w:pPr>
      <w:r w:rsidRPr="00FA0D37">
        <w:t xml:space="preserve">    noSIB1                              </w:t>
      </w:r>
      <w:r w:rsidRPr="00FA0D37">
        <w:rPr>
          <w:color w:val="993366"/>
        </w:rPr>
        <w:t>SEQUENCE</w:t>
      </w:r>
      <w:r w:rsidRPr="00FA0D37">
        <w:t xml:space="preserve"> {</w:t>
      </w:r>
    </w:p>
    <w:p w14:paraId="3FBA7E0B" w14:textId="77777777" w:rsidR="00394471" w:rsidRPr="00FA0D37" w:rsidRDefault="00394471" w:rsidP="00FA0D37">
      <w:pPr>
        <w:pStyle w:val="PL"/>
      </w:pPr>
      <w:r w:rsidRPr="00FA0D37">
        <w:lastRenderedPageBreak/>
        <w:t xml:space="preserve">        ssb-SubcarrierOffset                </w:t>
      </w:r>
      <w:r w:rsidRPr="00FA0D37">
        <w:rPr>
          <w:color w:val="993366"/>
        </w:rPr>
        <w:t>INTEGER</w:t>
      </w:r>
      <w:r w:rsidRPr="00FA0D37">
        <w:t xml:space="preserve"> (0..15),</w:t>
      </w:r>
    </w:p>
    <w:p w14:paraId="7082550B" w14:textId="77777777" w:rsidR="00394471" w:rsidRPr="00FA0D37" w:rsidRDefault="00394471" w:rsidP="00FA0D37">
      <w:pPr>
        <w:pStyle w:val="PL"/>
      </w:pPr>
      <w:r w:rsidRPr="00FA0D37">
        <w:t xml:space="preserve">        pdcch-ConfigSIB1                    PDCCH-ConfigSIB1</w:t>
      </w:r>
    </w:p>
    <w:p w14:paraId="53057A29" w14:textId="77777777" w:rsidR="00394471" w:rsidRPr="00FA0D37" w:rsidRDefault="00394471" w:rsidP="00FA0D37">
      <w:pPr>
        <w:pStyle w:val="PL"/>
      </w:pPr>
      <w:r w:rsidRPr="00FA0D37">
        <w:t xml:space="preserve">    }                                                                       </w:t>
      </w:r>
      <w:r w:rsidRPr="00FA0D37">
        <w:rPr>
          <w:color w:val="993366"/>
        </w:rPr>
        <w:t>OPTIONAL</w:t>
      </w:r>
      <w:r w:rsidRPr="00FA0D37">
        <w:t>,</w:t>
      </w:r>
    </w:p>
    <w:p w14:paraId="142C57C8" w14:textId="77777777" w:rsidR="00394471" w:rsidRPr="00FA0D37" w:rsidRDefault="00394471" w:rsidP="00FA0D37">
      <w:pPr>
        <w:pStyle w:val="PL"/>
      </w:pPr>
      <w:r w:rsidRPr="00FA0D37">
        <w:t xml:space="preserve">    ...,</w:t>
      </w:r>
    </w:p>
    <w:p w14:paraId="043041D1" w14:textId="77777777" w:rsidR="00394471" w:rsidRPr="00FA0D37" w:rsidRDefault="00394471" w:rsidP="00FA0D37">
      <w:pPr>
        <w:pStyle w:val="PL"/>
      </w:pPr>
      <w:r w:rsidRPr="00FA0D37">
        <w:t xml:space="preserve">    [[</w:t>
      </w:r>
    </w:p>
    <w:p w14:paraId="4A599E35" w14:textId="77777777" w:rsidR="00394471" w:rsidRPr="00FA0D37" w:rsidRDefault="00394471" w:rsidP="00FA0D37">
      <w:pPr>
        <w:pStyle w:val="PL"/>
      </w:pPr>
      <w:r w:rsidRPr="00FA0D37">
        <w:t xml:space="preserve">    npn-IdentityInfoList-r16            NPN-IdentityInfoList-r16            </w:t>
      </w:r>
      <w:r w:rsidRPr="00FA0D37">
        <w:rPr>
          <w:color w:val="993366"/>
        </w:rPr>
        <w:t>OPTIONAL</w:t>
      </w:r>
    </w:p>
    <w:p w14:paraId="231ACE84" w14:textId="2FF4E818" w:rsidR="003C321E" w:rsidRPr="00FA0D37" w:rsidRDefault="00394471" w:rsidP="00FA0D37">
      <w:pPr>
        <w:pStyle w:val="PL"/>
      </w:pPr>
      <w:r w:rsidRPr="00FA0D37">
        <w:t xml:space="preserve">    ]]</w:t>
      </w:r>
      <w:r w:rsidR="003C321E" w:rsidRPr="00FA0D37">
        <w:t>,</w:t>
      </w:r>
    </w:p>
    <w:p w14:paraId="567167AE" w14:textId="56098074" w:rsidR="003C321E" w:rsidRPr="00FA0D37" w:rsidRDefault="003C321E" w:rsidP="00FA0D37">
      <w:pPr>
        <w:pStyle w:val="PL"/>
      </w:pPr>
      <w:r w:rsidRPr="00FA0D37">
        <w:t xml:space="preserve">    [[</w:t>
      </w:r>
    </w:p>
    <w:p w14:paraId="57A37439" w14:textId="4343DF22" w:rsidR="003C321E" w:rsidRPr="00FA0D37" w:rsidRDefault="003C321E" w:rsidP="00FA0D37">
      <w:pPr>
        <w:pStyle w:val="PL"/>
      </w:pPr>
      <w:r w:rsidRPr="00FA0D37">
        <w:t xml:space="preserve">    cellReservedForOtherUse-r16         </w:t>
      </w:r>
      <w:r w:rsidRPr="00FA0D37">
        <w:rPr>
          <w:color w:val="993366"/>
        </w:rPr>
        <w:t>ENUMERATED</w:t>
      </w:r>
      <w:r w:rsidRPr="00FA0D37">
        <w:t xml:space="preserve"> {true}                   </w:t>
      </w:r>
      <w:r w:rsidRPr="00FA0D37">
        <w:rPr>
          <w:color w:val="993366"/>
        </w:rPr>
        <w:t>OPTIONAL</w:t>
      </w:r>
    </w:p>
    <w:p w14:paraId="6B172254" w14:textId="34AE8BC5" w:rsidR="00394471" w:rsidRPr="00FA0D37" w:rsidRDefault="003C321E" w:rsidP="00FA0D37">
      <w:pPr>
        <w:pStyle w:val="PL"/>
      </w:pPr>
      <w:r w:rsidRPr="00FA0D37">
        <w:t xml:space="preserve">    ]]</w:t>
      </w:r>
    </w:p>
    <w:p w14:paraId="718CF0DD" w14:textId="77777777" w:rsidR="00394471" w:rsidRPr="00FA0D37" w:rsidRDefault="00394471" w:rsidP="00FA0D37">
      <w:pPr>
        <w:pStyle w:val="PL"/>
      </w:pPr>
      <w:r w:rsidRPr="00FA0D37">
        <w:t>}</w:t>
      </w:r>
    </w:p>
    <w:p w14:paraId="47015455" w14:textId="77777777" w:rsidR="00394471" w:rsidRPr="00FA0D37" w:rsidRDefault="00394471" w:rsidP="00FA0D37">
      <w:pPr>
        <w:pStyle w:val="PL"/>
      </w:pPr>
    </w:p>
    <w:p w14:paraId="190D1912" w14:textId="77777777" w:rsidR="00394471" w:rsidRPr="00FA0D37" w:rsidRDefault="00394471" w:rsidP="00FA0D37">
      <w:pPr>
        <w:pStyle w:val="PL"/>
        <w:rPr>
          <w:color w:val="808080"/>
        </w:rPr>
      </w:pPr>
      <w:r w:rsidRPr="00FA0D37">
        <w:rPr>
          <w:color w:val="808080"/>
        </w:rPr>
        <w:t>-- TAG-CGI-INFO-NR-STOP</w:t>
      </w:r>
    </w:p>
    <w:p w14:paraId="2687995D" w14:textId="77777777" w:rsidR="00394471" w:rsidRPr="00FA0D37" w:rsidRDefault="00394471" w:rsidP="00FA0D37">
      <w:pPr>
        <w:pStyle w:val="PL"/>
        <w:rPr>
          <w:color w:val="808080"/>
        </w:rPr>
      </w:pPr>
      <w:r w:rsidRPr="00FA0D37">
        <w:rPr>
          <w:color w:val="808080"/>
        </w:rPr>
        <w:t>-- ASN1STOP</w:t>
      </w:r>
    </w:p>
    <w:p w14:paraId="3B1345C0" w14:textId="77777777" w:rsidR="00394471" w:rsidRPr="00FA0D3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FA0D37" w:rsidRDefault="00394471" w:rsidP="00964CC4">
            <w:pPr>
              <w:pStyle w:val="TAH"/>
              <w:rPr>
                <w:lang w:eastAsia="en-GB"/>
              </w:rPr>
            </w:pPr>
            <w:r w:rsidRPr="00FA0D37">
              <w:rPr>
                <w:i/>
                <w:noProof/>
                <w:lang w:eastAsia="en-GB"/>
              </w:rPr>
              <w:t xml:space="preserve">CGI-InfoNR </w:t>
            </w:r>
            <w:r w:rsidRPr="00FA0D37">
              <w:rPr>
                <w:iCs/>
                <w:noProof/>
                <w:lang w:eastAsia="en-GB"/>
              </w:rPr>
              <w:t>field descriptions</w:t>
            </w:r>
          </w:p>
        </w:tc>
      </w:tr>
      <w:tr w:rsidR="005C7FF4" w:rsidRPr="00FA0D37"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FA0D37" w:rsidRDefault="00394471" w:rsidP="00964CC4">
            <w:pPr>
              <w:pStyle w:val="TAL"/>
              <w:rPr>
                <w:lang w:eastAsia="sv-SE"/>
              </w:rPr>
            </w:pPr>
            <w:r w:rsidRPr="00FA0D37">
              <w:rPr>
                <w:b/>
                <w:bCs/>
                <w:i/>
                <w:noProof/>
                <w:lang w:eastAsia="en-GB"/>
              </w:rPr>
              <w:t>noSIB1</w:t>
            </w:r>
          </w:p>
          <w:p w14:paraId="31A280B0" w14:textId="77777777" w:rsidR="00394471" w:rsidRPr="00FA0D37" w:rsidRDefault="00394471" w:rsidP="00964CC4">
            <w:pPr>
              <w:pStyle w:val="TAL"/>
              <w:rPr>
                <w:b/>
                <w:bCs/>
                <w:i/>
                <w:noProof/>
                <w:lang w:eastAsia="zh-CN"/>
              </w:rPr>
            </w:pPr>
            <w:r w:rsidRPr="00FA0D37">
              <w:rPr>
                <w:lang w:eastAsia="sv-SE"/>
              </w:rPr>
              <w:t xml:space="preserve">Contains </w:t>
            </w:r>
            <w:r w:rsidRPr="00FA0D37">
              <w:rPr>
                <w:i/>
                <w:lang w:eastAsia="sv-SE"/>
              </w:rPr>
              <w:t>ssb-SubcarrierOffset</w:t>
            </w:r>
            <w:r w:rsidRPr="00FA0D37">
              <w:rPr>
                <w:lang w:eastAsia="sv-SE"/>
              </w:rPr>
              <w:t xml:space="preserve"> and </w:t>
            </w:r>
            <w:r w:rsidRPr="00FA0D37">
              <w:rPr>
                <w:i/>
                <w:lang w:eastAsia="sv-SE"/>
              </w:rPr>
              <w:t>pdcch-ConfigSIB1</w:t>
            </w:r>
            <w:r w:rsidRPr="00FA0D37">
              <w:rPr>
                <w:lang w:eastAsia="sv-SE"/>
              </w:rPr>
              <w:t xml:space="preserve"> fields acquired by the UE from </w:t>
            </w:r>
            <w:r w:rsidRPr="00FA0D37">
              <w:rPr>
                <w:i/>
                <w:lang w:eastAsia="sv-SE"/>
              </w:rPr>
              <w:t>MIB</w:t>
            </w:r>
            <w:r w:rsidRPr="00FA0D37">
              <w:rPr>
                <w:lang w:eastAsia="sv-SE"/>
              </w:rPr>
              <w:t xml:space="preserve"> of the cell for which report CGI procedure was requested by the network in case </w:t>
            </w:r>
            <w:r w:rsidRPr="00FA0D37">
              <w:rPr>
                <w:i/>
                <w:lang w:eastAsia="sv-SE"/>
              </w:rPr>
              <w:t>SIB1</w:t>
            </w:r>
            <w:r w:rsidRPr="00FA0D37">
              <w:rPr>
                <w:lang w:eastAsia="sv-SE"/>
              </w:rPr>
              <w:t xml:space="preserve"> was not broadcast by the cell.</w:t>
            </w:r>
          </w:p>
        </w:tc>
      </w:tr>
      <w:tr w:rsidR="008E528F" w:rsidRPr="00FA0D37"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FA0D37" w:rsidRDefault="003C321E" w:rsidP="003C321E">
            <w:pPr>
              <w:pStyle w:val="TAL"/>
              <w:rPr>
                <w:b/>
                <w:bCs/>
                <w:i/>
                <w:noProof/>
                <w:lang w:eastAsia="en-GB"/>
              </w:rPr>
            </w:pPr>
            <w:r w:rsidRPr="00FA0D37">
              <w:rPr>
                <w:b/>
                <w:bCs/>
                <w:i/>
                <w:noProof/>
                <w:lang w:eastAsia="en-GB"/>
              </w:rPr>
              <w:t>cellReservedForOtherUse</w:t>
            </w:r>
          </w:p>
          <w:p w14:paraId="27E7FD55" w14:textId="77777777" w:rsidR="003C321E" w:rsidRPr="00FA0D37" w:rsidRDefault="003C321E" w:rsidP="003C321E">
            <w:pPr>
              <w:pStyle w:val="TAL"/>
              <w:rPr>
                <w:iCs/>
                <w:noProof/>
                <w:lang w:eastAsia="en-GB"/>
              </w:rPr>
            </w:pPr>
            <w:r w:rsidRPr="00FA0D37">
              <w:rPr>
                <w:iCs/>
                <w:noProof/>
                <w:lang w:eastAsia="en-GB"/>
              </w:rPr>
              <w:t xml:space="preserve">Contains </w:t>
            </w:r>
            <w:r w:rsidRPr="00FA0D37">
              <w:rPr>
                <w:i/>
                <w:noProof/>
                <w:lang w:eastAsia="en-GB"/>
              </w:rPr>
              <w:t>cellReservedForOtherUse</w:t>
            </w:r>
            <w:r w:rsidRPr="00FA0D37">
              <w:rPr>
                <w:iCs/>
                <w:noProof/>
                <w:lang w:eastAsia="en-GB"/>
              </w:rPr>
              <w:t xml:space="preserve"> field acquired by the UE that supports </w:t>
            </w:r>
            <w:r w:rsidRPr="00FA0D37">
              <w:rPr>
                <w:i/>
                <w:noProof/>
                <w:lang w:eastAsia="en-GB"/>
              </w:rPr>
              <w:t>nr-CGI-Reporting-NPN</w:t>
            </w:r>
            <w:r w:rsidRPr="00FA0D37">
              <w:rPr>
                <w:iCs/>
                <w:noProof/>
                <w:lang w:eastAsia="en-GB"/>
              </w:rPr>
              <w:t xml:space="preserve"> from </w:t>
            </w:r>
            <w:r w:rsidRPr="00FA0D37">
              <w:rPr>
                <w:i/>
                <w:noProof/>
                <w:lang w:eastAsia="en-GB"/>
              </w:rPr>
              <w:t>SIB1</w:t>
            </w:r>
            <w:r w:rsidRPr="00FA0D37">
              <w:rPr>
                <w:iCs/>
                <w:noProof/>
                <w:lang w:eastAsia="en-GB"/>
              </w:rPr>
              <w:t xml:space="preserve"> of the cell for which report CGI procedure was requested by the network.</w:t>
            </w:r>
          </w:p>
        </w:tc>
      </w:tr>
    </w:tbl>
    <w:p w14:paraId="3B1C62CB" w14:textId="77777777" w:rsidR="00394471" w:rsidRPr="00FA0D37" w:rsidRDefault="00394471" w:rsidP="00394471">
      <w:pPr>
        <w:rPr>
          <w:rFonts w:eastAsiaTheme="minorEastAsia"/>
        </w:rPr>
      </w:pPr>
    </w:p>
    <w:p w14:paraId="4B06E56E" w14:textId="77777777" w:rsidR="00394471" w:rsidRPr="00FA0D37" w:rsidRDefault="00394471" w:rsidP="00394471">
      <w:pPr>
        <w:pStyle w:val="4"/>
        <w:rPr>
          <w:rFonts w:eastAsia="宋体"/>
        </w:rPr>
      </w:pPr>
      <w:bookmarkStart w:id="943" w:name="_Toc60777195"/>
      <w:bookmarkStart w:id="944" w:name="_Toc146781242"/>
      <w:r w:rsidRPr="00FA0D37">
        <w:rPr>
          <w:rFonts w:eastAsia="宋体"/>
        </w:rPr>
        <w:t>–</w:t>
      </w:r>
      <w:r w:rsidRPr="00FA0D37">
        <w:rPr>
          <w:rFonts w:eastAsia="宋体"/>
        </w:rPr>
        <w:tab/>
      </w:r>
      <w:r w:rsidRPr="00FA0D37">
        <w:rPr>
          <w:rFonts w:eastAsia="宋体"/>
          <w:i/>
        </w:rPr>
        <w:t>CGI-Info-Logging</w:t>
      </w:r>
      <w:bookmarkEnd w:id="943"/>
      <w:bookmarkEnd w:id="944"/>
    </w:p>
    <w:p w14:paraId="629C8513" w14:textId="77777777" w:rsidR="00394471" w:rsidRPr="00FA0D37" w:rsidRDefault="00394471" w:rsidP="00394471">
      <w:pPr>
        <w:rPr>
          <w:rFonts w:eastAsia="宋体"/>
        </w:rPr>
      </w:pPr>
      <w:r w:rsidRPr="00FA0D37">
        <w:t xml:space="preserve">The IE </w:t>
      </w:r>
      <w:r w:rsidRPr="00FA0D37">
        <w:rPr>
          <w:i/>
        </w:rPr>
        <w:t xml:space="preserve">CGI-Info-Logging </w:t>
      </w:r>
      <w:r w:rsidRPr="00FA0D37">
        <w:t>indicates the NR Cell Global Identifier (NCGI) for logging purposes (e.g. RLF report), the globally unique identity, and the TAC information of a cell in NR.</w:t>
      </w:r>
    </w:p>
    <w:p w14:paraId="29AA1B1F" w14:textId="77777777" w:rsidR="00394471" w:rsidRPr="00FA0D37" w:rsidRDefault="00394471" w:rsidP="00394471">
      <w:pPr>
        <w:pStyle w:val="TH"/>
      </w:pPr>
      <w:r w:rsidRPr="00FA0D37">
        <w:rPr>
          <w:bCs/>
          <w:i/>
          <w:iCs/>
        </w:rPr>
        <w:t>CGI-Info-Logging</w:t>
      </w:r>
      <w:r w:rsidRPr="00FA0D37">
        <w:t xml:space="preserve"> information element</w:t>
      </w:r>
    </w:p>
    <w:p w14:paraId="7DDF3958" w14:textId="77777777" w:rsidR="00394471" w:rsidRPr="00FA0D37" w:rsidRDefault="00394471" w:rsidP="00FA0D37">
      <w:pPr>
        <w:pStyle w:val="PL"/>
        <w:rPr>
          <w:color w:val="808080"/>
        </w:rPr>
      </w:pPr>
      <w:r w:rsidRPr="00FA0D37">
        <w:rPr>
          <w:color w:val="808080"/>
        </w:rPr>
        <w:t>-- ASN1START</w:t>
      </w:r>
    </w:p>
    <w:p w14:paraId="77A7D0F0" w14:textId="77777777" w:rsidR="00394471" w:rsidRPr="00FA0D37" w:rsidRDefault="00394471" w:rsidP="00FA0D37">
      <w:pPr>
        <w:pStyle w:val="PL"/>
        <w:rPr>
          <w:color w:val="808080"/>
        </w:rPr>
      </w:pPr>
      <w:r w:rsidRPr="00FA0D37">
        <w:rPr>
          <w:color w:val="808080"/>
        </w:rPr>
        <w:t>-- TAG-CGI-INFO-LOGGING-START</w:t>
      </w:r>
    </w:p>
    <w:p w14:paraId="7C077DA5" w14:textId="77777777" w:rsidR="00394471" w:rsidRPr="00FA0D37" w:rsidRDefault="00394471" w:rsidP="00FA0D37">
      <w:pPr>
        <w:pStyle w:val="PL"/>
      </w:pPr>
    </w:p>
    <w:p w14:paraId="466C29E3" w14:textId="77777777" w:rsidR="00394471" w:rsidRPr="00FA0D37" w:rsidRDefault="00394471" w:rsidP="00FA0D37">
      <w:pPr>
        <w:pStyle w:val="PL"/>
      </w:pPr>
      <w:r w:rsidRPr="00FA0D37">
        <w:t xml:space="preserve">CGI-Info-Logging-r16 ::=     </w:t>
      </w:r>
      <w:r w:rsidRPr="00FA0D37">
        <w:rPr>
          <w:color w:val="993366"/>
        </w:rPr>
        <w:t>SEQUENCE</w:t>
      </w:r>
      <w:r w:rsidRPr="00FA0D37">
        <w:t xml:space="preserve"> {</w:t>
      </w:r>
    </w:p>
    <w:p w14:paraId="3E8FC88D" w14:textId="77777777" w:rsidR="00394471" w:rsidRPr="00FA0D37" w:rsidRDefault="00394471" w:rsidP="00FA0D37">
      <w:pPr>
        <w:pStyle w:val="PL"/>
      </w:pPr>
      <w:r w:rsidRPr="00FA0D37">
        <w:t xml:space="preserve">    plmn-Identity-r16                    PLMN-Identity,</w:t>
      </w:r>
    </w:p>
    <w:p w14:paraId="2D0D8FF5" w14:textId="77777777" w:rsidR="00394471" w:rsidRPr="00FA0D37" w:rsidRDefault="00394471" w:rsidP="00FA0D37">
      <w:pPr>
        <w:pStyle w:val="PL"/>
      </w:pPr>
      <w:r w:rsidRPr="00FA0D37">
        <w:t xml:space="preserve">    cellIdentity-r16                     CellIdentity,</w:t>
      </w:r>
    </w:p>
    <w:p w14:paraId="7C586F76" w14:textId="77777777" w:rsidR="00394471" w:rsidRPr="00FA0D37" w:rsidRDefault="00394471" w:rsidP="00FA0D37">
      <w:pPr>
        <w:pStyle w:val="PL"/>
      </w:pPr>
      <w:r w:rsidRPr="00FA0D37">
        <w:t xml:space="preserve">    trackingAreaCode-r16                 TrackingAreaCode               </w:t>
      </w:r>
      <w:r w:rsidRPr="00FA0D37">
        <w:rPr>
          <w:color w:val="993366"/>
        </w:rPr>
        <w:t>OPTIONAL</w:t>
      </w:r>
    </w:p>
    <w:p w14:paraId="67B8EA51" w14:textId="77777777" w:rsidR="00394471" w:rsidRPr="00FA0D37" w:rsidRDefault="00394471" w:rsidP="00FA0D37">
      <w:pPr>
        <w:pStyle w:val="PL"/>
      </w:pPr>
      <w:r w:rsidRPr="00FA0D37">
        <w:t>}</w:t>
      </w:r>
    </w:p>
    <w:p w14:paraId="3C02075C" w14:textId="77777777" w:rsidR="00394471" w:rsidRPr="00FA0D37" w:rsidRDefault="00394471" w:rsidP="00FA0D37">
      <w:pPr>
        <w:pStyle w:val="PL"/>
      </w:pPr>
    </w:p>
    <w:p w14:paraId="34E11769" w14:textId="77777777" w:rsidR="00394471" w:rsidRPr="00FA0D37" w:rsidRDefault="00394471" w:rsidP="00FA0D37">
      <w:pPr>
        <w:pStyle w:val="PL"/>
        <w:rPr>
          <w:color w:val="808080"/>
        </w:rPr>
      </w:pPr>
      <w:r w:rsidRPr="00FA0D37">
        <w:rPr>
          <w:color w:val="808080"/>
        </w:rPr>
        <w:t>-- TAG-CGI-INFO-LOGGING-STOP</w:t>
      </w:r>
    </w:p>
    <w:p w14:paraId="3A4BD975" w14:textId="77777777" w:rsidR="00394471" w:rsidRPr="00FA0D37" w:rsidRDefault="00394471" w:rsidP="00FA0D37">
      <w:pPr>
        <w:pStyle w:val="PL"/>
        <w:rPr>
          <w:rFonts w:eastAsia="宋体"/>
          <w:color w:val="808080"/>
        </w:rPr>
      </w:pPr>
      <w:r w:rsidRPr="00FA0D37">
        <w:rPr>
          <w:color w:val="808080"/>
        </w:rPr>
        <w:t>-- ASN1STOP</w:t>
      </w:r>
    </w:p>
    <w:p w14:paraId="0AE22DD5"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FA0D37" w:rsidRDefault="00394471" w:rsidP="00964CC4">
            <w:pPr>
              <w:pStyle w:val="TAH"/>
              <w:rPr>
                <w:szCs w:val="22"/>
                <w:lang w:eastAsia="sv-SE"/>
              </w:rPr>
            </w:pPr>
            <w:r w:rsidRPr="00FA0D37">
              <w:rPr>
                <w:i/>
                <w:szCs w:val="22"/>
                <w:lang w:eastAsia="sv-SE"/>
              </w:rPr>
              <w:lastRenderedPageBreak/>
              <w:t xml:space="preserve">CGI-Info-Logging </w:t>
            </w:r>
            <w:r w:rsidRPr="00FA0D37">
              <w:rPr>
                <w:szCs w:val="22"/>
                <w:lang w:eastAsia="sv-SE"/>
              </w:rPr>
              <w:t>field descriptions</w:t>
            </w:r>
          </w:p>
        </w:tc>
      </w:tr>
      <w:tr w:rsidR="005C7FF4" w:rsidRPr="00FA0D37"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FA0D37" w:rsidRDefault="00394471" w:rsidP="00964CC4">
            <w:pPr>
              <w:pStyle w:val="TAL"/>
              <w:rPr>
                <w:szCs w:val="22"/>
                <w:lang w:eastAsia="sv-SE"/>
              </w:rPr>
            </w:pPr>
            <w:r w:rsidRPr="00FA0D37">
              <w:rPr>
                <w:b/>
                <w:i/>
                <w:szCs w:val="22"/>
                <w:lang w:eastAsia="sv-SE"/>
              </w:rPr>
              <w:t>cellIdentity</w:t>
            </w:r>
          </w:p>
          <w:p w14:paraId="147D0DAF" w14:textId="77777777" w:rsidR="00394471" w:rsidRPr="00FA0D37" w:rsidRDefault="00394471" w:rsidP="00964CC4">
            <w:pPr>
              <w:pStyle w:val="TAL"/>
              <w:rPr>
                <w:szCs w:val="22"/>
                <w:lang w:eastAsia="sv-SE"/>
              </w:rPr>
            </w:pPr>
            <w:r w:rsidRPr="00FA0D37">
              <w:rPr>
                <w:lang w:eastAsia="sv-SE"/>
              </w:rPr>
              <w:t xml:space="preserve">Unambiguously identify a cell within </w:t>
            </w:r>
            <w:r w:rsidRPr="00FA0D37">
              <w:t xml:space="preserve">the context of the PLMN. </w:t>
            </w:r>
            <w:r w:rsidRPr="00FA0D37">
              <w:rPr>
                <w:lang w:eastAsia="sv-SE"/>
              </w:rPr>
              <w:t xml:space="preserve">It belongs the first </w:t>
            </w:r>
            <w:r w:rsidRPr="00FA0D37">
              <w:rPr>
                <w:i/>
                <w:lang w:eastAsia="sv-SE"/>
              </w:rPr>
              <w:t>PLMN-IdentityInfo</w:t>
            </w:r>
            <w:r w:rsidRPr="00FA0D37">
              <w:rPr>
                <w:lang w:eastAsia="sv-SE"/>
              </w:rPr>
              <w:t xml:space="preserve"> IE of </w:t>
            </w:r>
            <w:r w:rsidRPr="00FA0D37">
              <w:rPr>
                <w:i/>
                <w:lang w:eastAsia="sv-SE"/>
              </w:rPr>
              <w:t xml:space="preserve">PLMN-IdentityInfoList </w:t>
            </w:r>
            <w:r w:rsidRPr="00FA0D37">
              <w:rPr>
                <w:lang w:eastAsia="sv-SE"/>
              </w:rPr>
              <w:t xml:space="preserve">in </w:t>
            </w:r>
            <w:r w:rsidRPr="00FA0D37">
              <w:rPr>
                <w:rFonts w:cs="Arial"/>
                <w:i/>
                <w:iCs/>
                <w:szCs w:val="18"/>
              </w:rPr>
              <w:t>SIB1</w:t>
            </w:r>
            <w:r w:rsidRPr="00FA0D37">
              <w:rPr>
                <w:lang w:eastAsia="sv-SE"/>
              </w:rPr>
              <w:t>.</w:t>
            </w:r>
          </w:p>
        </w:tc>
      </w:tr>
      <w:tr w:rsidR="005C7FF4" w:rsidRPr="00FA0D37"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FA0D37" w:rsidRDefault="00394471" w:rsidP="00964CC4">
            <w:pPr>
              <w:pStyle w:val="TAL"/>
              <w:rPr>
                <w:b/>
                <w:bCs/>
                <w:i/>
                <w:iCs/>
                <w:lang w:eastAsia="sv-SE"/>
              </w:rPr>
            </w:pPr>
            <w:r w:rsidRPr="00FA0D37">
              <w:rPr>
                <w:b/>
                <w:bCs/>
                <w:i/>
                <w:iCs/>
                <w:lang w:eastAsia="sv-SE"/>
              </w:rPr>
              <w:t>plmn-Identity</w:t>
            </w:r>
          </w:p>
          <w:p w14:paraId="14CC1665" w14:textId="77777777" w:rsidR="00394471" w:rsidRPr="00FA0D37" w:rsidRDefault="00394471" w:rsidP="00964CC4">
            <w:pPr>
              <w:pStyle w:val="TAL"/>
              <w:rPr>
                <w:b/>
                <w:i/>
                <w:szCs w:val="22"/>
                <w:lang w:eastAsia="sv-SE"/>
              </w:rPr>
            </w:pPr>
            <w:r w:rsidRPr="00FA0D37">
              <w:rPr>
                <w:lang w:eastAsia="en-GB"/>
              </w:rPr>
              <w:t xml:space="preserve">Identifies the PLMN of the cell for the reported </w:t>
            </w:r>
            <w:r w:rsidRPr="00FA0D37">
              <w:rPr>
                <w:i/>
                <w:lang w:eastAsia="en-GB"/>
              </w:rPr>
              <w:t>cellIdentity</w:t>
            </w:r>
            <w:r w:rsidRPr="00FA0D37">
              <w:rPr>
                <w:lang w:eastAsia="en-GB"/>
              </w:rPr>
              <w:t xml:space="preserve">: </w:t>
            </w:r>
            <w:r w:rsidRPr="00FA0D37">
              <w:rPr>
                <w:lang w:eastAsia="zh-CN"/>
              </w:rPr>
              <w:t xml:space="preserve">the first PLMN entry of </w:t>
            </w:r>
            <w:r w:rsidRPr="00FA0D37">
              <w:rPr>
                <w:i/>
                <w:iCs/>
                <w:lang w:eastAsia="zh-CN"/>
              </w:rPr>
              <w:t>plmn-IdentityList</w:t>
            </w:r>
            <w:r w:rsidRPr="00FA0D37">
              <w:rPr>
                <w:lang w:eastAsia="zh-CN"/>
              </w:rPr>
              <w:t xml:space="preserve"> (in SIB1) in the instance of </w:t>
            </w:r>
            <w:r w:rsidRPr="00FA0D37">
              <w:rPr>
                <w:i/>
                <w:iCs/>
                <w:lang w:eastAsia="zh-CN"/>
              </w:rPr>
              <w:t>PLMN-IdentityInfoList</w:t>
            </w:r>
            <w:r w:rsidRPr="00FA0D37">
              <w:rPr>
                <w:lang w:eastAsia="zh-CN"/>
              </w:rPr>
              <w:t xml:space="preserve"> that contained the reported </w:t>
            </w:r>
            <w:r w:rsidRPr="00FA0D37">
              <w:rPr>
                <w:i/>
                <w:iCs/>
                <w:lang w:eastAsia="zh-CN"/>
              </w:rPr>
              <w:t>cellIdentity</w:t>
            </w:r>
            <w:r w:rsidRPr="00FA0D37">
              <w:rPr>
                <w:lang w:eastAsia="zh-CN"/>
              </w:rPr>
              <w:t>.</w:t>
            </w:r>
          </w:p>
        </w:tc>
      </w:tr>
      <w:tr w:rsidR="00394471" w:rsidRPr="00FA0D37"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FA0D37" w:rsidRDefault="00394471" w:rsidP="00964CC4">
            <w:pPr>
              <w:pStyle w:val="TAL"/>
              <w:rPr>
                <w:b/>
                <w:bCs/>
                <w:i/>
                <w:iCs/>
                <w:lang w:eastAsia="sv-SE"/>
              </w:rPr>
            </w:pPr>
            <w:r w:rsidRPr="00FA0D37">
              <w:rPr>
                <w:b/>
                <w:bCs/>
                <w:i/>
                <w:iCs/>
                <w:lang w:eastAsia="sv-SE"/>
              </w:rPr>
              <w:t>trackingAreaCode</w:t>
            </w:r>
          </w:p>
          <w:p w14:paraId="5FBB5E39" w14:textId="77777777" w:rsidR="00394471" w:rsidRPr="00FA0D37" w:rsidRDefault="00394471" w:rsidP="00964CC4">
            <w:pPr>
              <w:pStyle w:val="TAL"/>
              <w:rPr>
                <w:b/>
                <w:bCs/>
                <w:i/>
                <w:iCs/>
                <w:lang w:eastAsia="sv-SE"/>
              </w:rPr>
            </w:pPr>
            <w:r w:rsidRPr="00FA0D37">
              <w:rPr>
                <w:szCs w:val="22"/>
                <w:lang w:eastAsia="sv-SE"/>
              </w:rPr>
              <w:t>Indicates Tracking Area Code to which the cell indicated by cellIdentity field belongs.</w:t>
            </w:r>
          </w:p>
        </w:tc>
      </w:tr>
    </w:tbl>
    <w:p w14:paraId="4304F198" w14:textId="77777777" w:rsidR="00394471" w:rsidRPr="00FA0D37" w:rsidRDefault="00394471" w:rsidP="00394471"/>
    <w:p w14:paraId="2FB52957" w14:textId="77777777" w:rsidR="00394471" w:rsidRPr="00FA0D37" w:rsidRDefault="00394471" w:rsidP="00394471">
      <w:pPr>
        <w:pStyle w:val="4"/>
        <w:rPr>
          <w:rFonts w:eastAsia="MS Mincho"/>
        </w:rPr>
      </w:pPr>
      <w:bookmarkStart w:id="945" w:name="_Toc60777196"/>
      <w:bookmarkStart w:id="946" w:name="_Toc146781243"/>
      <w:r w:rsidRPr="00FA0D37">
        <w:rPr>
          <w:rFonts w:eastAsia="MS Mincho"/>
        </w:rPr>
        <w:t>–</w:t>
      </w:r>
      <w:r w:rsidRPr="00FA0D37">
        <w:rPr>
          <w:rFonts w:eastAsia="MS Mincho"/>
        </w:rPr>
        <w:tab/>
      </w:r>
      <w:r w:rsidRPr="00FA0D37">
        <w:rPr>
          <w:rFonts w:eastAsia="MS Mincho"/>
          <w:i/>
        </w:rPr>
        <w:t>CLI-RSSI-Range</w:t>
      </w:r>
      <w:bookmarkEnd w:id="945"/>
      <w:bookmarkEnd w:id="946"/>
    </w:p>
    <w:p w14:paraId="53FFAF45" w14:textId="5A29EFC0" w:rsidR="00394471" w:rsidRPr="00FA0D37" w:rsidRDefault="00394471" w:rsidP="00394471">
      <w:pPr>
        <w:rPr>
          <w:rFonts w:eastAsia="MS Mincho"/>
        </w:rPr>
      </w:pPr>
      <w:r w:rsidRPr="00FA0D37">
        <w:t xml:space="preserve">The IE </w:t>
      </w:r>
      <w:r w:rsidRPr="00FA0D37">
        <w:rPr>
          <w:i/>
        </w:rPr>
        <w:t>CLI-RSSI-Range</w:t>
      </w:r>
      <w:r w:rsidRPr="00FA0D37">
        <w:t xml:space="preserve"> specifies the value range used in CLI-RSSI measurements and thresholds. The integer value for CLI-RSSI measurements is according to Table </w:t>
      </w:r>
      <w:r w:rsidR="000514F7" w:rsidRPr="00FA0D37">
        <w:t>10.1.22.2.2-1</w:t>
      </w:r>
      <w:r w:rsidRPr="00FA0D37">
        <w:t xml:space="preserve"> in TS 38.133 [14].</w:t>
      </w:r>
    </w:p>
    <w:p w14:paraId="12F3BA8B" w14:textId="77777777" w:rsidR="00394471" w:rsidRPr="00FA0D37" w:rsidRDefault="00394471" w:rsidP="00394471">
      <w:pPr>
        <w:pStyle w:val="TH"/>
      </w:pPr>
      <w:r w:rsidRPr="00FA0D37">
        <w:rPr>
          <w:i/>
        </w:rPr>
        <w:t>CLI-RSSI-Range</w:t>
      </w:r>
      <w:r w:rsidRPr="00FA0D37">
        <w:t xml:space="preserve"> information element</w:t>
      </w:r>
    </w:p>
    <w:p w14:paraId="2B481D1F" w14:textId="77777777" w:rsidR="00394471" w:rsidRPr="00FA0D37" w:rsidRDefault="00394471" w:rsidP="00FA0D37">
      <w:pPr>
        <w:pStyle w:val="PL"/>
        <w:rPr>
          <w:color w:val="808080"/>
        </w:rPr>
      </w:pPr>
      <w:r w:rsidRPr="00FA0D37">
        <w:rPr>
          <w:color w:val="808080"/>
        </w:rPr>
        <w:t>-- ASN1START</w:t>
      </w:r>
    </w:p>
    <w:p w14:paraId="0891F1B3" w14:textId="77777777" w:rsidR="00394471" w:rsidRPr="00FA0D37" w:rsidRDefault="00394471" w:rsidP="00FA0D37">
      <w:pPr>
        <w:pStyle w:val="PL"/>
        <w:rPr>
          <w:color w:val="808080"/>
        </w:rPr>
      </w:pPr>
      <w:r w:rsidRPr="00FA0D37">
        <w:rPr>
          <w:color w:val="808080"/>
        </w:rPr>
        <w:t>-- TAG-CLI-RSSI-RANGE-START</w:t>
      </w:r>
    </w:p>
    <w:p w14:paraId="61F225C9" w14:textId="77777777" w:rsidR="00394471" w:rsidRPr="00FA0D37" w:rsidRDefault="00394471" w:rsidP="00FA0D37">
      <w:pPr>
        <w:pStyle w:val="PL"/>
      </w:pPr>
    </w:p>
    <w:p w14:paraId="21A06DFB" w14:textId="77777777" w:rsidR="00394471" w:rsidRPr="00FA0D37" w:rsidRDefault="00394471" w:rsidP="00FA0D37">
      <w:pPr>
        <w:pStyle w:val="PL"/>
      </w:pPr>
      <w:r w:rsidRPr="00FA0D37">
        <w:t xml:space="preserve">CLI-RSSI-Range-r16 ::=                      </w:t>
      </w:r>
      <w:r w:rsidRPr="00FA0D37">
        <w:rPr>
          <w:color w:val="993366"/>
        </w:rPr>
        <w:t>INTEGER</w:t>
      </w:r>
      <w:r w:rsidRPr="00FA0D37">
        <w:t>(0..76)</w:t>
      </w:r>
    </w:p>
    <w:p w14:paraId="22A8077C" w14:textId="77777777" w:rsidR="00394471" w:rsidRPr="00FA0D37" w:rsidRDefault="00394471" w:rsidP="00FA0D37">
      <w:pPr>
        <w:pStyle w:val="PL"/>
      </w:pPr>
    </w:p>
    <w:p w14:paraId="2333D699" w14:textId="77777777" w:rsidR="00394471" w:rsidRPr="00FA0D37" w:rsidRDefault="00394471" w:rsidP="00FA0D37">
      <w:pPr>
        <w:pStyle w:val="PL"/>
        <w:rPr>
          <w:color w:val="808080"/>
        </w:rPr>
      </w:pPr>
      <w:r w:rsidRPr="00FA0D37">
        <w:rPr>
          <w:color w:val="808080"/>
        </w:rPr>
        <w:t>-- TAG-CLI-RSSI-RANGE-STOP</w:t>
      </w:r>
    </w:p>
    <w:p w14:paraId="16BC680D" w14:textId="77777777" w:rsidR="00394471" w:rsidRPr="00FA0D37" w:rsidRDefault="00394471" w:rsidP="00FA0D37">
      <w:pPr>
        <w:pStyle w:val="PL"/>
        <w:rPr>
          <w:color w:val="808080"/>
        </w:rPr>
      </w:pPr>
      <w:r w:rsidRPr="00FA0D37">
        <w:rPr>
          <w:color w:val="808080"/>
        </w:rPr>
        <w:t>-- ASN1STOP</w:t>
      </w:r>
    </w:p>
    <w:p w14:paraId="54F0849A" w14:textId="77777777" w:rsidR="00394471" w:rsidRPr="00FA0D37" w:rsidRDefault="00394471" w:rsidP="00394471"/>
    <w:p w14:paraId="2A1BE588" w14:textId="77777777" w:rsidR="00394471" w:rsidRPr="00FA0D37" w:rsidRDefault="00394471" w:rsidP="00394471">
      <w:pPr>
        <w:pStyle w:val="4"/>
      </w:pPr>
      <w:bookmarkStart w:id="947" w:name="_Toc60777197"/>
      <w:bookmarkStart w:id="948" w:name="_Toc146781244"/>
      <w:r w:rsidRPr="00FA0D37">
        <w:t>–</w:t>
      </w:r>
      <w:r w:rsidRPr="00FA0D37">
        <w:tab/>
      </w:r>
      <w:r w:rsidRPr="00FA0D37">
        <w:rPr>
          <w:i/>
        </w:rPr>
        <w:t>CodebookConfig</w:t>
      </w:r>
      <w:bookmarkEnd w:id="947"/>
      <w:bookmarkEnd w:id="948"/>
    </w:p>
    <w:p w14:paraId="0B41673B" w14:textId="77777777" w:rsidR="00394471" w:rsidRPr="00FA0D37" w:rsidRDefault="00394471" w:rsidP="00394471">
      <w:r w:rsidRPr="00FA0D37">
        <w:t xml:space="preserve">The IE </w:t>
      </w:r>
      <w:r w:rsidRPr="00FA0D37">
        <w:rPr>
          <w:i/>
        </w:rPr>
        <w:t>CodebookConfig</w:t>
      </w:r>
      <w:r w:rsidRPr="00FA0D37">
        <w:t xml:space="preserve"> is used to configure codebooks of Type-I and Type-II (see TS 38.214 [19], clause 5.2.2.2)</w:t>
      </w:r>
    </w:p>
    <w:p w14:paraId="6721E739" w14:textId="77777777" w:rsidR="00394471" w:rsidRPr="00FA0D37" w:rsidRDefault="00394471" w:rsidP="00394471">
      <w:pPr>
        <w:pStyle w:val="TH"/>
      </w:pPr>
      <w:r w:rsidRPr="00FA0D37">
        <w:rPr>
          <w:i/>
        </w:rPr>
        <w:t>CodebookConfig</w:t>
      </w:r>
      <w:r w:rsidRPr="00FA0D37">
        <w:t xml:space="preserve"> information element</w:t>
      </w:r>
    </w:p>
    <w:p w14:paraId="1AB056AB" w14:textId="77777777" w:rsidR="00394471" w:rsidRPr="00FA0D37" w:rsidRDefault="00394471" w:rsidP="00FA0D37">
      <w:pPr>
        <w:pStyle w:val="PL"/>
        <w:rPr>
          <w:color w:val="808080"/>
        </w:rPr>
      </w:pPr>
      <w:r w:rsidRPr="00FA0D37">
        <w:rPr>
          <w:color w:val="808080"/>
        </w:rPr>
        <w:t>-- ASN1START</w:t>
      </w:r>
    </w:p>
    <w:p w14:paraId="79F9933E" w14:textId="77777777" w:rsidR="00394471" w:rsidRPr="00FA0D37" w:rsidRDefault="00394471" w:rsidP="00FA0D37">
      <w:pPr>
        <w:pStyle w:val="PL"/>
        <w:rPr>
          <w:color w:val="808080"/>
        </w:rPr>
      </w:pPr>
      <w:r w:rsidRPr="00FA0D37">
        <w:rPr>
          <w:color w:val="808080"/>
        </w:rPr>
        <w:t>-- TAG-CODEBOOKCONFIG-START</w:t>
      </w:r>
    </w:p>
    <w:p w14:paraId="7692A968" w14:textId="77777777" w:rsidR="00394471" w:rsidRPr="00FA0D37" w:rsidRDefault="00394471" w:rsidP="00FA0D37">
      <w:pPr>
        <w:pStyle w:val="PL"/>
      </w:pPr>
    </w:p>
    <w:p w14:paraId="7379EC98" w14:textId="77777777" w:rsidR="00394471" w:rsidRPr="00FA0D37" w:rsidRDefault="00394471" w:rsidP="00FA0D37">
      <w:pPr>
        <w:pStyle w:val="PL"/>
      </w:pPr>
      <w:r w:rsidRPr="00FA0D37">
        <w:t xml:space="preserve">CodebookConfig ::=                                  </w:t>
      </w:r>
      <w:r w:rsidRPr="00FA0D37">
        <w:rPr>
          <w:color w:val="993366"/>
        </w:rPr>
        <w:t>SEQUENCE</w:t>
      </w:r>
      <w:r w:rsidRPr="00FA0D37">
        <w:t xml:space="preserve"> {</w:t>
      </w:r>
    </w:p>
    <w:p w14:paraId="27768020" w14:textId="77777777" w:rsidR="00394471" w:rsidRPr="00FA0D37" w:rsidRDefault="00394471" w:rsidP="00FA0D37">
      <w:pPr>
        <w:pStyle w:val="PL"/>
      </w:pPr>
      <w:r w:rsidRPr="00FA0D37">
        <w:t xml:space="preserve">    codebookType                                        </w:t>
      </w:r>
      <w:r w:rsidRPr="00FA0D37">
        <w:rPr>
          <w:color w:val="993366"/>
        </w:rPr>
        <w:t>CHOICE</w:t>
      </w:r>
      <w:r w:rsidRPr="00FA0D37">
        <w:t xml:space="preserve"> {</w:t>
      </w:r>
    </w:p>
    <w:p w14:paraId="081E1DAD" w14:textId="77777777" w:rsidR="00394471" w:rsidRPr="00FA0D37" w:rsidRDefault="00394471" w:rsidP="00FA0D37">
      <w:pPr>
        <w:pStyle w:val="PL"/>
      </w:pPr>
      <w:r w:rsidRPr="00FA0D37">
        <w:t xml:space="preserve">        type1                                               </w:t>
      </w:r>
      <w:r w:rsidRPr="00FA0D37">
        <w:rPr>
          <w:color w:val="993366"/>
        </w:rPr>
        <w:t>SEQUENCE</w:t>
      </w:r>
      <w:r w:rsidRPr="00FA0D37">
        <w:t xml:space="preserve"> {</w:t>
      </w:r>
    </w:p>
    <w:p w14:paraId="0665255B" w14:textId="77777777" w:rsidR="00394471" w:rsidRPr="00FA0D37" w:rsidRDefault="00394471" w:rsidP="00FA0D37">
      <w:pPr>
        <w:pStyle w:val="PL"/>
      </w:pPr>
      <w:r w:rsidRPr="00FA0D37">
        <w:t xml:space="preserve">            subType                                             </w:t>
      </w:r>
      <w:r w:rsidRPr="00FA0D37">
        <w:rPr>
          <w:color w:val="993366"/>
        </w:rPr>
        <w:t>CHOICE</w:t>
      </w:r>
      <w:r w:rsidRPr="00FA0D37">
        <w:t xml:space="preserve"> {</w:t>
      </w:r>
    </w:p>
    <w:p w14:paraId="7156CDAD" w14:textId="77777777" w:rsidR="00394471" w:rsidRPr="00FA0D37" w:rsidRDefault="00394471" w:rsidP="00FA0D37">
      <w:pPr>
        <w:pStyle w:val="PL"/>
      </w:pPr>
      <w:r w:rsidRPr="00FA0D37">
        <w:t xml:space="preserve">                typeI-SinglePanel                                   </w:t>
      </w:r>
      <w:r w:rsidRPr="00FA0D37">
        <w:rPr>
          <w:color w:val="993366"/>
        </w:rPr>
        <w:t>SEQUENCE</w:t>
      </w:r>
      <w:r w:rsidRPr="00FA0D37">
        <w:t xml:space="preserve"> {</w:t>
      </w:r>
    </w:p>
    <w:p w14:paraId="2A1D59D7" w14:textId="77777777" w:rsidR="00394471" w:rsidRPr="00FA0D37" w:rsidRDefault="00394471" w:rsidP="00FA0D37">
      <w:pPr>
        <w:pStyle w:val="PL"/>
      </w:pPr>
      <w:r w:rsidRPr="00FA0D37">
        <w:t xml:space="preserve">                    nrOfAntennaPorts                                    </w:t>
      </w:r>
      <w:r w:rsidRPr="00FA0D37">
        <w:rPr>
          <w:color w:val="993366"/>
        </w:rPr>
        <w:t>CHOICE</w:t>
      </w:r>
      <w:r w:rsidRPr="00FA0D37">
        <w:t xml:space="preserve"> {</w:t>
      </w:r>
    </w:p>
    <w:p w14:paraId="430C477A" w14:textId="77777777" w:rsidR="00394471" w:rsidRPr="00FA0D37" w:rsidRDefault="00394471" w:rsidP="00FA0D37">
      <w:pPr>
        <w:pStyle w:val="PL"/>
      </w:pPr>
      <w:r w:rsidRPr="00FA0D37">
        <w:t xml:space="preserve">                        two                                                 </w:t>
      </w:r>
      <w:r w:rsidRPr="00FA0D37">
        <w:rPr>
          <w:color w:val="993366"/>
        </w:rPr>
        <w:t>SEQUENCE</w:t>
      </w:r>
      <w:r w:rsidRPr="00FA0D37">
        <w:t xml:space="preserve"> {</w:t>
      </w:r>
    </w:p>
    <w:p w14:paraId="491ED9E7" w14:textId="77777777" w:rsidR="00394471" w:rsidRPr="00FA0D37" w:rsidRDefault="00394471" w:rsidP="00FA0D37">
      <w:pPr>
        <w:pStyle w:val="PL"/>
      </w:pPr>
      <w:r w:rsidRPr="00FA0D37">
        <w:t xml:space="preserve">                            twoTX-CodebookSubsetRestriction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w:t>
      </w:r>
    </w:p>
    <w:p w14:paraId="3F9A50CE" w14:textId="77777777" w:rsidR="00394471" w:rsidRPr="00FA0D37" w:rsidRDefault="00394471" w:rsidP="00FA0D37">
      <w:pPr>
        <w:pStyle w:val="PL"/>
      </w:pPr>
      <w:r w:rsidRPr="00FA0D37">
        <w:t xml:space="preserve">                        },</w:t>
      </w:r>
    </w:p>
    <w:p w14:paraId="1E1AB92B" w14:textId="77777777" w:rsidR="00394471" w:rsidRPr="00FA0D37" w:rsidRDefault="00394471" w:rsidP="00FA0D37">
      <w:pPr>
        <w:pStyle w:val="PL"/>
      </w:pPr>
      <w:r w:rsidRPr="00FA0D37">
        <w:t xml:space="preserve">                        moreThanTwo                                         </w:t>
      </w:r>
      <w:r w:rsidRPr="00FA0D37">
        <w:rPr>
          <w:color w:val="993366"/>
        </w:rPr>
        <w:t>SEQUENCE</w:t>
      </w:r>
      <w:r w:rsidRPr="00FA0D37">
        <w:t xml:space="preserve"> {</w:t>
      </w:r>
    </w:p>
    <w:p w14:paraId="023E614B" w14:textId="77777777" w:rsidR="00394471" w:rsidRPr="00FA0D37" w:rsidRDefault="00394471" w:rsidP="00FA0D37">
      <w:pPr>
        <w:pStyle w:val="PL"/>
      </w:pPr>
      <w:r w:rsidRPr="00FA0D37">
        <w:t xml:space="preserve">                            n1-n2                                               </w:t>
      </w:r>
      <w:r w:rsidRPr="00FA0D37">
        <w:rPr>
          <w:color w:val="993366"/>
        </w:rPr>
        <w:t>CHOICE</w:t>
      </w:r>
      <w:r w:rsidRPr="00FA0D37">
        <w:t xml:space="preserve"> {</w:t>
      </w:r>
    </w:p>
    <w:p w14:paraId="2E273657" w14:textId="77777777" w:rsidR="00394471" w:rsidRPr="00FA0D37" w:rsidRDefault="00394471" w:rsidP="00FA0D37">
      <w:pPr>
        <w:pStyle w:val="PL"/>
      </w:pPr>
      <w:r w:rsidRPr="00FA0D37">
        <w:t xml:space="preserve">                                two-one-TypeI-SinglePanel-Restriction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315C7503" w14:textId="77777777" w:rsidR="00394471" w:rsidRPr="00FA0D37" w:rsidRDefault="00394471" w:rsidP="00FA0D37">
      <w:pPr>
        <w:pStyle w:val="PL"/>
      </w:pPr>
      <w:r w:rsidRPr="00FA0D37">
        <w:lastRenderedPageBreak/>
        <w:t xml:space="preserve">                                two-two-TypeI-SinglePanel-Restriction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4301B08F" w14:textId="77777777" w:rsidR="00394471" w:rsidRPr="00FA0D37" w:rsidRDefault="00394471" w:rsidP="00FA0D37">
      <w:pPr>
        <w:pStyle w:val="PL"/>
      </w:pPr>
      <w:r w:rsidRPr="00FA0D37">
        <w:t xml:space="preserve">                                four-one-TypeI-SinglePanel-Restriction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32DF27D4" w14:textId="77777777" w:rsidR="00394471" w:rsidRPr="00FA0D37" w:rsidRDefault="00394471" w:rsidP="00FA0D37">
      <w:pPr>
        <w:pStyle w:val="PL"/>
      </w:pPr>
      <w:r w:rsidRPr="00FA0D37">
        <w:t xml:space="preserve">                                three-two-TypeI-SinglePanel-Restriction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(96)),</w:t>
      </w:r>
    </w:p>
    <w:p w14:paraId="3607CD9A" w14:textId="77777777" w:rsidR="00394471" w:rsidRPr="00FA0D37" w:rsidRDefault="00394471" w:rsidP="00FA0D37">
      <w:pPr>
        <w:pStyle w:val="PL"/>
      </w:pPr>
      <w:r w:rsidRPr="00FA0D37">
        <w:t xml:space="preserve">                                six-one-TypeI-SinglePanel-Restriction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(24)),</w:t>
      </w:r>
    </w:p>
    <w:p w14:paraId="646761C3" w14:textId="77777777" w:rsidR="00394471" w:rsidRPr="00FA0D37" w:rsidRDefault="00394471" w:rsidP="00FA0D37">
      <w:pPr>
        <w:pStyle w:val="PL"/>
      </w:pPr>
      <w:r w:rsidRPr="00FA0D37">
        <w:t xml:space="preserve">                                four-two-TypeI-SinglePanel-Restriction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(128)),</w:t>
      </w:r>
    </w:p>
    <w:p w14:paraId="6D1E675B" w14:textId="77777777" w:rsidR="00394471" w:rsidRPr="00FA0D37" w:rsidRDefault="00394471" w:rsidP="00FA0D37">
      <w:pPr>
        <w:pStyle w:val="PL"/>
      </w:pPr>
      <w:r w:rsidRPr="00FA0D37">
        <w:t xml:space="preserve">                                eight-one-TypeI-SinglePanel-Restriction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426FEF04" w14:textId="77777777" w:rsidR="00394471" w:rsidRPr="00FA0D37" w:rsidRDefault="00394471" w:rsidP="00FA0D37">
      <w:pPr>
        <w:pStyle w:val="PL"/>
      </w:pPr>
      <w:r w:rsidRPr="00FA0D37">
        <w:t xml:space="preserve">                                four-three-TypeI-SinglePanel-Restriction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(192)),</w:t>
      </w:r>
    </w:p>
    <w:p w14:paraId="5B314817" w14:textId="77777777" w:rsidR="00394471" w:rsidRPr="00FA0D37" w:rsidRDefault="00394471" w:rsidP="00FA0D37">
      <w:pPr>
        <w:pStyle w:val="PL"/>
      </w:pPr>
      <w:r w:rsidRPr="00FA0D37">
        <w:t xml:space="preserve">                                six-two-TypeI-SinglePanel-Restriction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(192)),</w:t>
      </w:r>
    </w:p>
    <w:p w14:paraId="0CA779D1" w14:textId="77777777" w:rsidR="00394471" w:rsidRPr="00FA0D37" w:rsidRDefault="00394471" w:rsidP="00FA0D37">
      <w:pPr>
        <w:pStyle w:val="PL"/>
      </w:pPr>
      <w:r w:rsidRPr="00FA0D37">
        <w:t xml:space="preserve">                                twelve-one-TypeI-SinglePanel-Restriction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(48)),</w:t>
      </w:r>
    </w:p>
    <w:p w14:paraId="0FF90A24" w14:textId="77777777" w:rsidR="00394471" w:rsidRPr="00FA0D37" w:rsidRDefault="00394471" w:rsidP="00FA0D37">
      <w:pPr>
        <w:pStyle w:val="PL"/>
      </w:pPr>
      <w:r w:rsidRPr="00FA0D37">
        <w:t xml:space="preserve">                                four-four-TypeI-SinglePanel-Restriction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(256)),</w:t>
      </w:r>
    </w:p>
    <w:p w14:paraId="6006B7EE" w14:textId="77777777" w:rsidR="00394471" w:rsidRPr="00FA0D37" w:rsidRDefault="00394471" w:rsidP="00FA0D37">
      <w:pPr>
        <w:pStyle w:val="PL"/>
      </w:pPr>
      <w:r w:rsidRPr="00FA0D37">
        <w:t xml:space="preserve">                                eight-two-TypeI-SinglePanel-Restriction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(256)),</w:t>
      </w:r>
    </w:p>
    <w:p w14:paraId="7CCB0FC8" w14:textId="77777777" w:rsidR="00394471" w:rsidRPr="00FA0D37" w:rsidRDefault="00394471" w:rsidP="00FA0D37">
      <w:pPr>
        <w:pStyle w:val="PL"/>
      </w:pPr>
      <w:r w:rsidRPr="00FA0D37">
        <w:t xml:space="preserve">                                sixteen-one-TypeI-SinglePanel-Restriction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15296232" w14:textId="77777777" w:rsidR="00394471" w:rsidRPr="00FA0D37" w:rsidRDefault="00394471" w:rsidP="00FA0D37">
      <w:pPr>
        <w:pStyle w:val="PL"/>
      </w:pPr>
      <w:r w:rsidRPr="00FA0D37">
        <w:t xml:space="preserve">                            },</w:t>
      </w:r>
    </w:p>
    <w:p w14:paraId="6FA8D96D" w14:textId="77777777" w:rsidR="00394471" w:rsidRPr="00FA0D37" w:rsidRDefault="00394471" w:rsidP="00FA0D37">
      <w:pPr>
        <w:pStyle w:val="PL"/>
        <w:rPr>
          <w:color w:val="808080"/>
        </w:rPr>
      </w:pPr>
      <w:r w:rsidRPr="00FA0D37">
        <w:t xml:space="preserve">                            typeI-SinglePanel-codebookSubsetRestriction-i2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 xml:space="preserve">    </w:t>
      </w:r>
      <w:r w:rsidRPr="00FA0D37">
        <w:rPr>
          <w:color w:val="808080"/>
        </w:rPr>
        <w:t>-- Need R</w:t>
      </w:r>
    </w:p>
    <w:p w14:paraId="3BAA0C74" w14:textId="77777777" w:rsidR="00394471" w:rsidRPr="00FA0D37" w:rsidRDefault="00394471" w:rsidP="00FA0D37">
      <w:pPr>
        <w:pStyle w:val="PL"/>
      </w:pPr>
      <w:r w:rsidRPr="00FA0D37">
        <w:t xml:space="preserve">                        }</w:t>
      </w:r>
    </w:p>
    <w:p w14:paraId="05ACA0AD" w14:textId="77777777" w:rsidR="00394471" w:rsidRPr="00FA0D37" w:rsidRDefault="00394471" w:rsidP="00FA0D37">
      <w:pPr>
        <w:pStyle w:val="PL"/>
      </w:pPr>
      <w:r w:rsidRPr="00FA0D37">
        <w:t xml:space="preserve">                    },</w:t>
      </w:r>
    </w:p>
    <w:p w14:paraId="4A9CBADA" w14:textId="77777777" w:rsidR="00394471" w:rsidRPr="00FA0D37" w:rsidRDefault="00394471" w:rsidP="00FA0D37">
      <w:pPr>
        <w:pStyle w:val="PL"/>
      </w:pPr>
      <w:r w:rsidRPr="00FA0D37">
        <w:t xml:space="preserve">                    typeI-SinglePanel-ri-Restriction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79B92B43" w14:textId="77777777" w:rsidR="00394471" w:rsidRPr="00FA0D37" w:rsidRDefault="00394471" w:rsidP="00FA0D37">
      <w:pPr>
        <w:pStyle w:val="PL"/>
      </w:pPr>
      <w:r w:rsidRPr="00FA0D37">
        <w:t xml:space="preserve">                },</w:t>
      </w:r>
    </w:p>
    <w:p w14:paraId="4FBDA306" w14:textId="77777777" w:rsidR="00394471" w:rsidRPr="00FA0D37" w:rsidRDefault="00394471" w:rsidP="00FA0D37">
      <w:pPr>
        <w:pStyle w:val="PL"/>
      </w:pPr>
      <w:r w:rsidRPr="00FA0D37">
        <w:t xml:space="preserve">                typeI-MultiPanel                                    </w:t>
      </w:r>
      <w:r w:rsidRPr="00FA0D37">
        <w:rPr>
          <w:color w:val="993366"/>
        </w:rPr>
        <w:t>SEQUENCE</w:t>
      </w:r>
      <w:r w:rsidRPr="00FA0D37">
        <w:t xml:space="preserve"> {</w:t>
      </w:r>
    </w:p>
    <w:p w14:paraId="3923F66C" w14:textId="77777777" w:rsidR="00394471" w:rsidRPr="00FA0D37" w:rsidRDefault="00394471" w:rsidP="00FA0D37">
      <w:pPr>
        <w:pStyle w:val="PL"/>
      </w:pPr>
      <w:r w:rsidRPr="00FA0D37">
        <w:t xml:space="preserve">                    ng-n1-n2                                                </w:t>
      </w:r>
      <w:r w:rsidRPr="00FA0D37">
        <w:rPr>
          <w:color w:val="993366"/>
        </w:rPr>
        <w:t>CHOICE</w:t>
      </w:r>
      <w:r w:rsidRPr="00FA0D37">
        <w:t xml:space="preserve"> {</w:t>
      </w:r>
    </w:p>
    <w:p w14:paraId="33B14D86" w14:textId="77777777" w:rsidR="00394471" w:rsidRPr="00FA0D37" w:rsidRDefault="00394471" w:rsidP="00FA0D37">
      <w:pPr>
        <w:pStyle w:val="PL"/>
      </w:pPr>
      <w:r w:rsidRPr="00FA0D37">
        <w:t xml:space="preserve">                        two-two-one-TypeI-MultiPanel-Restriction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33F7E1AD" w14:textId="77777777" w:rsidR="00394471" w:rsidRPr="00FA0D37" w:rsidRDefault="00394471" w:rsidP="00FA0D37">
      <w:pPr>
        <w:pStyle w:val="PL"/>
      </w:pPr>
      <w:r w:rsidRPr="00FA0D37">
        <w:t xml:space="preserve">                        two-four-one-TypeI-MultiPanel-Restriction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47997513" w14:textId="77777777" w:rsidR="00394471" w:rsidRPr="00FA0D37" w:rsidRDefault="00394471" w:rsidP="00FA0D37">
      <w:pPr>
        <w:pStyle w:val="PL"/>
      </w:pPr>
      <w:r w:rsidRPr="00FA0D37">
        <w:t xml:space="preserve">                        four-two-one-TypeI-MultiPanel-Restriction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652D41D3" w14:textId="77777777" w:rsidR="00394471" w:rsidRPr="00FA0D37" w:rsidRDefault="00394471" w:rsidP="00FA0D37">
      <w:pPr>
        <w:pStyle w:val="PL"/>
      </w:pPr>
      <w:r w:rsidRPr="00FA0D37">
        <w:t xml:space="preserve">                        two-two-two-TypeI-MultiPanel-Restriction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14433963" w14:textId="77777777" w:rsidR="00394471" w:rsidRPr="00FA0D37" w:rsidRDefault="00394471" w:rsidP="00FA0D37">
      <w:pPr>
        <w:pStyle w:val="PL"/>
      </w:pPr>
      <w:r w:rsidRPr="00FA0D37">
        <w:t xml:space="preserve">                        two-eight-one-TypeI-MultiPanel-Restriction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71FD367F" w14:textId="77777777" w:rsidR="00394471" w:rsidRPr="00FA0D37" w:rsidRDefault="00394471" w:rsidP="00FA0D37">
      <w:pPr>
        <w:pStyle w:val="PL"/>
      </w:pPr>
      <w:r w:rsidRPr="00FA0D37">
        <w:t xml:space="preserve">                        four-four-one-TypeI-MultiPanel-Restriction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1A20946F" w14:textId="77777777" w:rsidR="00394471" w:rsidRPr="00FA0D37" w:rsidRDefault="00394471" w:rsidP="00FA0D37">
      <w:pPr>
        <w:pStyle w:val="PL"/>
      </w:pPr>
      <w:r w:rsidRPr="00FA0D37">
        <w:t xml:space="preserve">                        two-four-two-TypeI-MultiPanel-Restriction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(128)),</w:t>
      </w:r>
    </w:p>
    <w:p w14:paraId="6EEB282F" w14:textId="77777777" w:rsidR="00394471" w:rsidRPr="00FA0D37" w:rsidRDefault="00394471" w:rsidP="00FA0D37">
      <w:pPr>
        <w:pStyle w:val="PL"/>
      </w:pPr>
      <w:r w:rsidRPr="00FA0D37">
        <w:t xml:space="preserve">                        four-two-two-TypeI-MultiPanel-Restriction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4E718650" w14:textId="77777777" w:rsidR="00394471" w:rsidRPr="00FA0D37" w:rsidRDefault="00394471" w:rsidP="00FA0D37">
      <w:pPr>
        <w:pStyle w:val="PL"/>
      </w:pPr>
      <w:r w:rsidRPr="00FA0D37">
        <w:t xml:space="preserve">                    },</w:t>
      </w:r>
    </w:p>
    <w:p w14:paraId="743A92FC" w14:textId="77777777" w:rsidR="00394471" w:rsidRPr="00FA0D37" w:rsidRDefault="00394471" w:rsidP="00FA0D37">
      <w:pPr>
        <w:pStyle w:val="PL"/>
      </w:pPr>
      <w:r w:rsidRPr="00FA0D37">
        <w:t xml:space="preserve">                    ri-Restriction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0625CB48" w14:textId="77777777" w:rsidR="00394471" w:rsidRPr="00FA0D37" w:rsidRDefault="00394471" w:rsidP="00FA0D37">
      <w:pPr>
        <w:pStyle w:val="PL"/>
      </w:pPr>
      <w:r w:rsidRPr="00FA0D37">
        <w:t xml:space="preserve">                }</w:t>
      </w:r>
    </w:p>
    <w:p w14:paraId="72F434D6" w14:textId="77777777" w:rsidR="00394471" w:rsidRPr="00FA0D37" w:rsidRDefault="00394471" w:rsidP="00FA0D37">
      <w:pPr>
        <w:pStyle w:val="PL"/>
      </w:pPr>
      <w:r w:rsidRPr="00FA0D37">
        <w:t xml:space="preserve">            },</w:t>
      </w:r>
    </w:p>
    <w:p w14:paraId="1D9BF1FA" w14:textId="77777777" w:rsidR="00394471" w:rsidRPr="00FA0D37" w:rsidRDefault="00394471" w:rsidP="00FA0D37">
      <w:pPr>
        <w:pStyle w:val="PL"/>
      </w:pPr>
      <w:r w:rsidRPr="00FA0D37">
        <w:t xml:space="preserve">            codebookMode                                        </w:t>
      </w:r>
      <w:r w:rsidRPr="00FA0D37">
        <w:rPr>
          <w:color w:val="993366"/>
        </w:rPr>
        <w:t>INTEGER</w:t>
      </w:r>
      <w:r w:rsidRPr="00FA0D37">
        <w:t xml:space="preserve"> (1..2)</w:t>
      </w:r>
    </w:p>
    <w:p w14:paraId="029EBD98" w14:textId="77777777" w:rsidR="00394471" w:rsidRPr="00FA0D37" w:rsidRDefault="00394471" w:rsidP="00FA0D37">
      <w:pPr>
        <w:pStyle w:val="PL"/>
      </w:pPr>
    </w:p>
    <w:p w14:paraId="1EDC256C" w14:textId="77777777" w:rsidR="00394471" w:rsidRPr="00FA0D37" w:rsidRDefault="00394471" w:rsidP="00FA0D37">
      <w:pPr>
        <w:pStyle w:val="PL"/>
      </w:pPr>
      <w:r w:rsidRPr="00FA0D37">
        <w:t xml:space="preserve">        },</w:t>
      </w:r>
    </w:p>
    <w:p w14:paraId="7E94525C" w14:textId="77777777" w:rsidR="00394471" w:rsidRPr="00FA0D37" w:rsidRDefault="00394471" w:rsidP="00FA0D37">
      <w:pPr>
        <w:pStyle w:val="PL"/>
      </w:pPr>
      <w:r w:rsidRPr="00FA0D37">
        <w:t xml:space="preserve">        type2                                   </w:t>
      </w:r>
      <w:r w:rsidRPr="00FA0D37">
        <w:rPr>
          <w:color w:val="993366"/>
        </w:rPr>
        <w:t>SEQUENCE</w:t>
      </w:r>
      <w:r w:rsidRPr="00FA0D37">
        <w:t xml:space="preserve"> {</w:t>
      </w:r>
    </w:p>
    <w:p w14:paraId="1B28981F" w14:textId="77777777" w:rsidR="00394471" w:rsidRPr="00FA0D37" w:rsidRDefault="00394471" w:rsidP="00FA0D37">
      <w:pPr>
        <w:pStyle w:val="PL"/>
      </w:pPr>
      <w:r w:rsidRPr="00FA0D37">
        <w:t xml:space="preserve">            subType                                 </w:t>
      </w:r>
      <w:r w:rsidRPr="00FA0D37">
        <w:rPr>
          <w:color w:val="993366"/>
        </w:rPr>
        <w:t>CHOICE</w:t>
      </w:r>
      <w:r w:rsidRPr="00FA0D37">
        <w:t xml:space="preserve"> {</w:t>
      </w:r>
    </w:p>
    <w:p w14:paraId="7F60AB1C" w14:textId="77777777" w:rsidR="00394471" w:rsidRPr="00FA0D37" w:rsidRDefault="00394471" w:rsidP="00FA0D37">
      <w:pPr>
        <w:pStyle w:val="PL"/>
      </w:pPr>
      <w:r w:rsidRPr="00FA0D37">
        <w:t xml:space="preserve">                typeII                                  </w:t>
      </w:r>
      <w:r w:rsidRPr="00FA0D37">
        <w:rPr>
          <w:color w:val="993366"/>
        </w:rPr>
        <w:t>SEQUENCE</w:t>
      </w:r>
      <w:r w:rsidRPr="00FA0D37">
        <w:t xml:space="preserve"> {</w:t>
      </w:r>
    </w:p>
    <w:p w14:paraId="3A9146CF" w14:textId="77777777" w:rsidR="00394471" w:rsidRPr="00FA0D37" w:rsidRDefault="00394471" w:rsidP="00FA0D37">
      <w:pPr>
        <w:pStyle w:val="PL"/>
      </w:pPr>
      <w:r w:rsidRPr="00FA0D37">
        <w:t xml:space="preserve">                    n1-n2-codebookSubsetRestriction         </w:t>
      </w:r>
      <w:r w:rsidRPr="00FA0D37">
        <w:rPr>
          <w:color w:val="993366"/>
        </w:rPr>
        <w:t>CHOICE</w:t>
      </w:r>
      <w:r w:rsidRPr="00FA0D37">
        <w:t xml:space="preserve"> {</w:t>
      </w:r>
    </w:p>
    <w:p w14:paraId="725653EE" w14:textId="77777777" w:rsidR="00394471" w:rsidRPr="00FA0D37" w:rsidRDefault="00394471" w:rsidP="00FA0D37">
      <w:pPr>
        <w:pStyle w:val="PL"/>
      </w:pPr>
      <w:r w:rsidRPr="00FA0D37">
        <w:t xml:space="preserve">                        two-one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74DEBE67" w14:textId="77777777" w:rsidR="00394471" w:rsidRPr="00FA0D37" w:rsidRDefault="00394471" w:rsidP="00FA0D37">
      <w:pPr>
        <w:pStyle w:val="PL"/>
      </w:pPr>
      <w:r w:rsidRPr="00FA0D37">
        <w:t xml:space="preserve">                        two-two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(43)),</w:t>
      </w:r>
    </w:p>
    <w:p w14:paraId="203B79D2" w14:textId="77777777" w:rsidR="00394471" w:rsidRPr="00FA0D37" w:rsidRDefault="00394471" w:rsidP="00FA0D37">
      <w:pPr>
        <w:pStyle w:val="PL"/>
      </w:pPr>
      <w:r w:rsidRPr="00FA0D37">
        <w:t xml:space="preserve">                        four-one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24BD1F45" w14:textId="77777777" w:rsidR="00394471" w:rsidRPr="00FA0D37" w:rsidRDefault="00394471" w:rsidP="00FA0D37">
      <w:pPr>
        <w:pStyle w:val="PL"/>
      </w:pPr>
      <w:r w:rsidRPr="00FA0D37">
        <w:t xml:space="preserve">                        three-two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(59)),</w:t>
      </w:r>
    </w:p>
    <w:p w14:paraId="06655377" w14:textId="77777777" w:rsidR="00394471" w:rsidRPr="00FA0D37" w:rsidRDefault="00394471" w:rsidP="00FA0D37">
      <w:pPr>
        <w:pStyle w:val="PL"/>
      </w:pPr>
      <w:r w:rsidRPr="00FA0D37">
        <w:t xml:space="preserve">                        six-one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(48)),</w:t>
      </w:r>
    </w:p>
    <w:p w14:paraId="783FB4F3" w14:textId="77777777" w:rsidR="00394471" w:rsidRPr="00FA0D37" w:rsidRDefault="00394471" w:rsidP="00FA0D37">
      <w:pPr>
        <w:pStyle w:val="PL"/>
      </w:pPr>
      <w:r w:rsidRPr="00FA0D37">
        <w:t xml:space="preserve">                        four-two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(75)),</w:t>
      </w:r>
    </w:p>
    <w:p w14:paraId="3F0DBB60" w14:textId="77777777" w:rsidR="00394471" w:rsidRPr="00FA0D37" w:rsidRDefault="00394471" w:rsidP="00FA0D37">
      <w:pPr>
        <w:pStyle w:val="PL"/>
      </w:pPr>
      <w:r w:rsidRPr="00FA0D37">
        <w:t xml:space="preserve">                        eight-one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0CDA1756" w14:textId="77777777" w:rsidR="00394471" w:rsidRPr="00FA0D37" w:rsidRDefault="00394471" w:rsidP="00FA0D37">
      <w:pPr>
        <w:pStyle w:val="PL"/>
      </w:pPr>
      <w:r w:rsidRPr="00FA0D37">
        <w:t xml:space="preserve">                        four-three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(107)),</w:t>
      </w:r>
    </w:p>
    <w:p w14:paraId="25BE0055" w14:textId="77777777" w:rsidR="00394471" w:rsidRPr="00FA0D37" w:rsidRDefault="00394471" w:rsidP="00FA0D37">
      <w:pPr>
        <w:pStyle w:val="PL"/>
      </w:pPr>
      <w:r w:rsidRPr="00FA0D37">
        <w:t xml:space="preserve">                        six-two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(107)),</w:t>
      </w:r>
    </w:p>
    <w:p w14:paraId="051F784D" w14:textId="77777777" w:rsidR="00394471" w:rsidRPr="00FA0D37" w:rsidRDefault="00394471" w:rsidP="00FA0D37">
      <w:pPr>
        <w:pStyle w:val="PL"/>
      </w:pPr>
      <w:r w:rsidRPr="00FA0D37">
        <w:t xml:space="preserve">                        twelve-one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(96)),</w:t>
      </w:r>
    </w:p>
    <w:p w14:paraId="2356D706" w14:textId="77777777" w:rsidR="00394471" w:rsidRPr="00FA0D37" w:rsidRDefault="00394471" w:rsidP="00FA0D37">
      <w:pPr>
        <w:pStyle w:val="PL"/>
      </w:pPr>
      <w:r w:rsidRPr="00FA0D37">
        <w:t xml:space="preserve">                        four-four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(139)),</w:t>
      </w:r>
    </w:p>
    <w:p w14:paraId="5583CBBB" w14:textId="77777777" w:rsidR="00394471" w:rsidRPr="00FA0D37" w:rsidRDefault="00394471" w:rsidP="00FA0D37">
      <w:pPr>
        <w:pStyle w:val="PL"/>
      </w:pPr>
      <w:r w:rsidRPr="00FA0D37">
        <w:t xml:space="preserve">                        eight-two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(139)),</w:t>
      </w:r>
    </w:p>
    <w:p w14:paraId="3C2BBADF" w14:textId="77777777" w:rsidR="00394471" w:rsidRPr="00FA0D37" w:rsidRDefault="00394471" w:rsidP="00FA0D37">
      <w:pPr>
        <w:pStyle w:val="PL"/>
      </w:pPr>
      <w:r w:rsidRPr="00FA0D37">
        <w:lastRenderedPageBreak/>
        <w:t xml:space="preserve">                        sixteen-one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(128))</w:t>
      </w:r>
    </w:p>
    <w:p w14:paraId="74ACD31A" w14:textId="77777777" w:rsidR="00394471" w:rsidRPr="00FA0D37" w:rsidRDefault="00394471" w:rsidP="00FA0D37">
      <w:pPr>
        <w:pStyle w:val="PL"/>
      </w:pPr>
      <w:r w:rsidRPr="00FA0D37">
        <w:t xml:space="preserve">                    },</w:t>
      </w:r>
    </w:p>
    <w:p w14:paraId="252B8156" w14:textId="77777777" w:rsidR="00394471" w:rsidRPr="00FA0D37" w:rsidRDefault="00394471" w:rsidP="00FA0D37">
      <w:pPr>
        <w:pStyle w:val="PL"/>
      </w:pPr>
      <w:r w:rsidRPr="00FA0D37">
        <w:t xml:space="preserve">                    typeII-RI-Restriction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110D8182" w14:textId="77777777" w:rsidR="00394471" w:rsidRPr="00FA0D37" w:rsidRDefault="00394471" w:rsidP="00FA0D37">
      <w:pPr>
        <w:pStyle w:val="PL"/>
      </w:pPr>
      <w:r w:rsidRPr="00FA0D37">
        <w:t xml:space="preserve">                },</w:t>
      </w:r>
    </w:p>
    <w:p w14:paraId="4E2E13B8" w14:textId="77777777" w:rsidR="00394471" w:rsidRPr="00FA0D37" w:rsidRDefault="00394471" w:rsidP="00FA0D37">
      <w:pPr>
        <w:pStyle w:val="PL"/>
      </w:pPr>
      <w:r w:rsidRPr="00FA0D37">
        <w:t xml:space="preserve">                typeII-PortSelection                    </w:t>
      </w:r>
      <w:r w:rsidRPr="00FA0D37">
        <w:rPr>
          <w:color w:val="993366"/>
        </w:rPr>
        <w:t>SEQUENCE</w:t>
      </w:r>
      <w:r w:rsidRPr="00FA0D37">
        <w:t xml:space="preserve"> {</w:t>
      </w:r>
    </w:p>
    <w:p w14:paraId="58B75C39" w14:textId="77777777" w:rsidR="00394471" w:rsidRPr="00FA0D37" w:rsidRDefault="00394471" w:rsidP="00FA0D37">
      <w:pPr>
        <w:pStyle w:val="PL"/>
        <w:rPr>
          <w:color w:val="808080"/>
        </w:rPr>
      </w:pPr>
      <w:r w:rsidRPr="00FA0D37">
        <w:t xml:space="preserve">                    portSelectionSamplingSize               </w:t>
      </w:r>
      <w:r w:rsidRPr="00FA0D37">
        <w:rPr>
          <w:color w:val="993366"/>
        </w:rPr>
        <w:t>ENUMERATED</w:t>
      </w:r>
      <w:r w:rsidRPr="00FA0D37">
        <w:t xml:space="preserve"> {n1, n2, n3, n4}                   </w:t>
      </w:r>
      <w:r w:rsidRPr="00FA0D37">
        <w:rPr>
          <w:color w:val="993366"/>
        </w:rPr>
        <w:t>OPTIONAL</w:t>
      </w:r>
      <w:r w:rsidRPr="00FA0D37">
        <w:t xml:space="preserve">,       </w:t>
      </w:r>
      <w:r w:rsidRPr="00FA0D37">
        <w:rPr>
          <w:color w:val="808080"/>
        </w:rPr>
        <w:t>-- Need R</w:t>
      </w:r>
    </w:p>
    <w:p w14:paraId="0D59E382" w14:textId="77777777" w:rsidR="00394471" w:rsidRPr="00FA0D37" w:rsidRDefault="00394471" w:rsidP="00FA0D37">
      <w:pPr>
        <w:pStyle w:val="PL"/>
      </w:pPr>
      <w:r w:rsidRPr="00FA0D37">
        <w:t xml:space="preserve">                    typeII-PortSelectionRI-Restriction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4C799BD0" w14:textId="77777777" w:rsidR="00394471" w:rsidRPr="00FA0D37" w:rsidRDefault="00394471" w:rsidP="00FA0D37">
      <w:pPr>
        <w:pStyle w:val="PL"/>
      </w:pPr>
      <w:r w:rsidRPr="00FA0D37">
        <w:t xml:space="preserve">                }</w:t>
      </w:r>
    </w:p>
    <w:p w14:paraId="705B4D21" w14:textId="77777777" w:rsidR="00394471" w:rsidRPr="00FA0D37" w:rsidRDefault="00394471" w:rsidP="00FA0D37">
      <w:pPr>
        <w:pStyle w:val="PL"/>
      </w:pPr>
      <w:r w:rsidRPr="00FA0D37">
        <w:t xml:space="preserve">            },</w:t>
      </w:r>
    </w:p>
    <w:p w14:paraId="79AAF1A2" w14:textId="77777777" w:rsidR="00394471" w:rsidRPr="00FA0D37" w:rsidRDefault="00394471" w:rsidP="00FA0D37">
      <w:pPr>
        <w:pStyle w:val="PL"/>
      </w:pPr>
      <w:r w:rsidRPr="00FA0D37">
        <w:t xml:space="preserve">            phaseAlphabetSize                       </w:t>
      </w:r>
      <w:r w:rsidRPr="00FA0D37">
        <w:rPr>
          <w:color w:val="993366"/>
        </w:rPr>
        <w:t>ENUMERATED</w:t>
      </w:r>
      <w:r w:rsidRPr="00FA0D37">
        <w:t xml:space="preserve"> {n4, n8},</w:t>
      </w:r>
    </w:p>
    <w:p w14:paraId="2E04BD6D" w14:textId="77777777" w:rsidR="00394471" w:rsidRPr="00FA0D37" w:rsidRDefault="00394471" w:rsidP="00FA0D37">
      <w:pPr>
        <w:pStyle w:val="PL"/>
      </w:pPr>
      <w:r w:rsidRPr="00FA0D37">
        <w:t xml:space="preserve">            subbandAmplitude                        </w:t>
      </w:r>
      <w:r w:rsidRPr="00FA0D37">
        <w:rPr>
          <w:color w:val="993366"/>
        </w:rPr>
        <w:t>BOOLEAN</w:t>
      </w:r>
      <w:r w:rsidRPr="00FA0D37">
        <w:t>,</w:t>
      </w:r>
    </w:p>
    <w:p w14:paraId="06E3D5E5" w14:textId="77777777" w:rsidR="00394471" w:rsidRPr="00FA0D37" w:rsidRDefault="00394471" w:rsidP="00FA0D37">
      <w:pPr>
        <w:pStyle w:val="PL"/>
      </w:pPr>
      <w:r w:rsidRPr="00FA0D37">
        <w:t xml:space="preserve">            numberOfBeams                           </w:t>
      </w:r>
      <w:r w:rsidRPr="00FA0D37">
        <w:rPr>
          <w:color w:val="993366"/>
        </w:rPr>
        <w:t>ENUMERATED</w:t>
      </w:r>
      <w:r w:rsidRPr="00FA0D37">
        <w:t xml:space="preserve"> {two, three, four}</w:t>
      </w:r>
    </w:p>
    <w:p w14:paraId="6D9156C1" w14:textId="77777777" w:rsidR="00394471" w:rsidRPr="00FA0D37" w:rsidRDefault="00394471" w:rsidP="00FA0D37">
      <w:pPr>
        <w:pStyle w:val="PL"/>
      </w:pPr>
      <w:r w:rsidRPr="00FA0D37">
        <w:t xml:space="preserve">        }</w:t>
      </w:r>
    </w:p>
    <w:p w14:paraId="7BBA1C87" w14:textId="77777777" w:rsidR="00394471" w:rsidRPr="00FA0D37" w:rsidRDefault="00394471" w:rsidP="00FA0D37">
      <w:pPr>
        <w:pStyle w:val="PL"/>
      </w:pPr>
      <w:r w:rsidRPr="00FA0D37">
        <w:t xml:space="preserve">    }</w:t>
      </w:r>
    </w:p>
    <w:p w14:paraId="2DE54EF8" w14:textId="77777777" w:rsidR="00394471" w:rsidRPr="00FA0D37" w:rsidRDefault="00394471" w:rsidP="00FA0D37">
      <w:pPr>
        <w:pStyle w:val="PL"/>
      </w:pPr>
      <w:r w:rsidRPr="00FA0D37">
        <w:t>}</w:t>
      </w:r>
    </w:p>
    <w:p w14:paraId="51135789" w14:textId="77777777" w:rsidR="00394471" w:rsidRPr="00FA0D37" w:rsidRDefault="00394471" w:rsidP="00FA0D37">
      <w:pPr>
        <w:pStyle w:val="PL"/>
      </w:pPr>
    </w:p>
    <w:p w14:paraId="6E11FBA2" w14:textId="77777777" w:rsidR="00394471" w:rsidRPr="00FA0D37" w:rsidRDefault="00394471" w:rsidP="00FA0D37">
      <w:pPr>
        <w:pStyle w:val="PL"/>
      </w:pPr>
      <w:r w:rsidRPr="00FA0D37">
        <w:t xml:space="preserve">CodebookConfig-r16  ::=                </w:t>
      </w:r>
      <w:r w:rsidRPr="00FA0D37">
        <w:rPr>
          <w:color w:val="993366"/>
        </w:rPr>
        <w:t>SEQUENCE</w:t>
      </w:r>
      <w:r w:rsidRPr="00FA0D37">
        <w:t xml:space="preserve">  {</w:t>
      </w:r>
    </w:p>
    <w:p w14:paraId="42EF6006" w14:textId="77777777" w:rsidR="00394471" w:rsidRPr="00FA0D37" w:rsidRDefault="00394471" w:rsidP="00FA0D37">
      <w:pPr>
        <w:pStyle w:val="PL"/>
      </w:pPr>
      <w:r w:rsidRPr="00FA0D37">
        <w:t xml:space="preserve">    codebookType                           </w:t>
      </w:r>
      <w:r w:rsidRPr="00FA0D37">
        <w:rPr>
          <w:color w:val="993366"/>
        </w:rPr>
        <w:t>CHOICE</w:t>
      </w:r>
      <w:r w:rsidRPr="00FA0D37">
        <w:t xml:space="preserve"> {</w:t>
      </w:r>
    </w:p>
    <w:p w14:paraId="7443AEDA" w14:textId="77777777" w:rsidR="00394471" w:rsidRPr="00FA0D37" w:rsidRDefault="00394471" w:rsidP="00FA0D37">
      <w:pPr>
        <w:pStyle w:val="PL"/>
      </w:pPr>
      <w:r w:rsidRPr="00FA0D37">
        <w:t xml:space="preserve">        type2                                  </w:t>
      </w:r>
      <w:r w:rsidRPr="00FA0D37">
        <w:rPr>
          <w:color w:val="993366"/>
        </w:rPr>
        <w:t>SEQUENCE</w:t>
      </w:r>
      <w:r w:rsidRPr="00FA0D37">
        <w:t xml:space="preserve"> {</w:t>
      </w:r>
    </w:p>
    <w:p w14:paraId="6397D7E1" w14:textId="77777777" w:rsidR="00394471" w:rsidRPr="00FA0D37" w:rsidRDefault="00394471" w:rsidP="00FA0D37">
      <w:pPr>
        <w:pStyle w:val="PL"/>
      </w:pPr>
      <w:r w:rsidRPr="00FA0D37">
        <w:t xml:space="preserve">            subType                                </w:t>
      </w:r>
      <w:r w:rsidRPr="00FA0D37">
        <w:rPr>
          <w:color w:val="993366"/>
        </w:rPr>
        <w:t>CHOICE</w:t>
      </w:r>
      <w:r w:rsidRPr="00FA0D37">
        <w:t xml:space="preserve"> {</w:t>
      </w:r>
    </w:p>
    <w:p w14:paraId="5341C826" w14:textId="77777777" w:rsidR="00394471" w:rsidRPr="00FA0D37" w:rsidRDefault="00394471" w:rsidP="00FA0D37">
      <w:pPr>
        <w:pStyle w:val="PL"/>
      </w:pPr>
      <w:r w:rsidRPr="00FA0D37">
        <w:t xml:space="preserve">                typeII-r16                             </w:t>
      </w:r>
      <w:r w:rsidRPr="00FA0D37">
        <w:rPr>
          <w:color w:val="993366"/>
        </w:rPr>
        <w:t>SEQUENCE</w:t>
      </w:r>
      <w:r w:rsidRPr="00FA0D37">
        <w:t xml:space="preserve">  {</w:t>
      </w:r>
    </w:p>
    <w:p w14:paraId="1DA84BD9" w14:textId="77777777" w:rsidR="00394471" w:rsidRPr="00FA0D37" w:rsidRDefault="00394471" w:rsidP="00FA0D37">
      <w:pPr>
        <w:pStyle w:val="PL"/>
      </w:pPr>
      <w:r w:rsidRPr="00FA0D37">
        <w:t xml:space="preserve">                    n1-n2-codebookSubsetRestriction-r16    </w:t>
      </w:r>
      <w:r w:rsidRPr="00FA0D37">
        <w:rPr>
          <w:color w:val="993366"/>
        </w:rPr>
        <w:t>CHOICE</w:t>
      </w:r>
      <w:r w:rsidRPr="00FA0D37">
        <w:t xml:space="preserve"> {</w:t>
      </w:r>
    </w:p>
    <w:p w14:paraId="5C7288D7" w14:textId="77777777" w:rsidR="00394471" w:rsidRPr="00FA0D37" w:rsidRDefault="00394471" w:rsidP="00FA0D37">
      <w:pPr>
        <w:pStyle w:val="PL"/>
      </w:pPr>
      <w:r w:rsidRPr="00FA0D37">
        <w:t xml:space="preserve">                        two-one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30F8851C" w14:textId="77777777" w:rsidR="00394471" w:rsidRPr="00FA0D37" w:rsidRDefault="00394471" w:rsidP="00FA0D37">
      <w:pPr>
        <w:pStyle w:val="PL"/>
      </w:pPr>
      <w:r w:rsidRPr="00FA0D37">
        <w:t xml:space="preserve">                        two-two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(43)),</w:t>
      </w:r>
    </w:p>
    <w:p w14:paraId="49175751" w14:textId="77777777" w:rsidR="00394471" w:rsidRPr="00FA0D37" w:rsidRDefault="00394471" w:rsidP="00FA0D37">
      <w:pPr>
        <w:pStyle w:val="PL"/>
      </w:pPr>
      <w:r w:rsidRPr="00FA0D37">
        <w:t xml:space="preserve">                        four-one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1F7D9798" w14:textId="77777777" w:rsidR="00394471" w:rsidRPr="00FA0D37" w:rsidRDefault="00394471" w:rsidP="00FA0D37">
      <w:pPr>
        <w:pStyle w:val="PL"/>
      </w:pPr>
      <w:r w:rsidRPr="00FA0D37">
        <w:t xml:space="preserve">                        three-two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(59)),</w:t>
      </w:r>
    </w:p>
    <w:p w14:paraId="302D5B8A" w14:textId="77777777" w:rsidR="00394471" w:rsidRPr="00FA0D37" w:rsidRDefault="00394471" w:rsidP="00FA0D37">
      <w:pPr>
        <w:pStyle w:val="PL"/>
      </w:pPr>
      <w:r w:rsidRPr="00FA0D37">
        <w:t xml:space="preserve">                        six-one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(48)),</w:t>
      </w:r>
    </w:p>
    <w:p w14:paraId="571D953F" w14:textId="77777777" w:rsidR="00394471" w:rsidRPr="00FA0D37" w:rsidRDefault="00394471" w:rsidP="00FA0D37">
      <w:pPr>
        <w:pStyle w:val="PL"/>
      </w:pPr>
      <w:r w:rsidRPr="00FA0D37">
        <w:t xml:space="preserve">                        four-two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(75)),</w:t>
      </w:r>
    </w:p>
    <w:p w14:paraId="24F3831B" w14:textId="77777777" w:rsidR="00394471" w:rsidRPr="00FA0D37" w:rsidRDefault="00394471" w:rsidP="00FA0D37">
      <w:pPr>
        <w:pStyle w:val="PL"/>
      </w:pPr>
      <w:r w:rsidRPr="00FA0D37">
        <w:t xml:space="preserve">                        eight-one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2CF967E5" w14:textId="77777777" w:rsidR="00394471" w:rsidRPr="00FA0D37" w:rsidRDefault="00394471" w:rsidP="00FA0D37">
      <w:pPr>
        <w:pStyle w:val="PL"/>
      </w:pPr>
      <w:r w:rsidRPr="00FA0D37">
        <w:t xml:space="preserve">                        four-three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(107)),</w:t>
      </w:r>
    </w:p>
    <w:p w14:paraId="771381CC" w14:textId="77777777" w:rsidR="00394471" w:rsidRPr="00FA0D37" w:rsidRDefault="00394471" w:rsidP="00FA0D37">
      <w:pPr>
        <w:pStyle w:val="PL"/>
      </w:pPr>
      <w:r w:rsidRPr="00FA0D37">
        <w:t xml:space="preserve">                        six-two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(107)),</w:t>
      </w:r>
    </w:p>
    <w:p w14:paraId="4267657F" w14:textId="77777777" w:rsidR="00394471" w:rsidRPr="00FA0D37" w:rsidRDefault="00394471" w:rsidP="00FA0D37">
      <w:pPr>
        <w:pStyle w:val="PL"/>
      </w:pPr>
      <w:r w:rsidRPr="00FA0D37">
        <w:t xml:space="preserve">                        twelve-one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(96)),</w:t>
      </w:r>
    </w:p>
    <w:p w14:paraId="13AD92AE" w14:textId="77777777" w:rsidR="00394471" w:rsidRPr="00FA0D37" w:rsidRDefault="00394471" w:rsidP="00FA0D37">
      <w:pPr>
        <w:pStyle w:val="PL"/>
      </w:pPr>
      <w:r w:rsidRPr="00FA0D37">
        <w:t xml:space="preserve">                        four-four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(139)),</w:t>
      </w:r>
    </w:p>
    <w:p w14:paraId="04E0D303" w14:textId="77777777" w:rsidR="00394471" w:rsidRPr="00FA0D37" w:rsidRDefault="00394471" w:rsidP="00FA0D37">
      <w:pPr>
        <w:pStyle w:val="PL"/>
      </w:pPr>
      <w:r w:rsidRPr="00FA0D37">
        <w:t xml:space="preserve">                        eight-two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(139)),</w:t>
      </w:r>
    </w:p>
    <w:p w14:paraId="400BDD9A" w14:textId="77777777" w:rsidR="00394471" w:rsidRPr="00FA0D37" w:rsidRDefault="00394471" w:rsidP="00FA0D37">
      <w:pPr>
        <w:pStyle w:val="PL"/>
      </w:pPr>
      <w:r w:rsidRPr="00FA0D37">
        <w:t xml:space="preserve">                        sixteen-one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(128))</w:t>
      </w:r>
    </w:p>
    <w:p w14:paraId="224129AD" w14:textId="77777777" w:rsidR="00394471" w:rsidRPr="00FA0D37" w:rsidRDefault="00394471" w:rsidP="00FA0D37">
      <w:pPr>
        <w:pStyle w:val="PL"/>
      </w:pPr>
      <w:r w:rsidRPr="00FA0D37">
        <w:t xml:space="preserve">                    },</w:t>
      </w:r>
    </w:p>
    <w:p w14:paraId="38E88553" w14:textId="77777777" w:rsidR="00394471" w:rsidRPr="00FA0D37" w:rsidRDefault="00394471" w:rsidP="00FA0D37">
      <w:pPr>
        <w:pStyle w:val="PL"/>
      </w:pPr>
      <w:r w:rsidRPr="00FA0D37">
        <w:t xml:space="preserve">                    typeII-RI-Restriction-r16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(4))</w:t>
      </w:r>
    </w:p>
    <w:p w14:paraId="4B4F92D3" w14:textId="77777777" w:rsidR="00394471" w:rsidRPr="00FA0D37" w:rsidRDefault="00394471" w:rsidP="00FA0D37">
      <w:pPr>
        <w:pStyle w:val="PL"/>
      </w:pPr>
      <w:r w:rsidRPr="00FA0D37">
        <w:t xml:space="preserve">                },</w:t>
      </w:r>
    </w:p>
    <w:p w14:paraId="46C0820B" w14:textId="77777777" w:rsidR="00394471" w:rsidRPr="00FA0D37" w:rsidRDefault="00394471" w:rsidP="00FA0D37">
      <w:pPr>
        <w:pStyle w:val="PL"/>
      </w:pPr>
      <w:r w:rsidRPr="00FA0D37">
        <w:t xml:space="preserve">                typeII-PortSelection-r16  </w:t>
      </w:r>
      <w:r w:rsidRPr="00FA0D37">
        <w:rPr>
          <w:color w:val="993366"/>
        </w:rPr>
        <w:t>SEQUENCE</w:t>
      </w:r>
      <w:r w:rsidRPr="00FA0D37">
        <w:t xml:space="preserve"> {</w:t>
      </w:r>
    </w:p>
    <w:p w14:paraId="6249AE38" w14:textId="77777777" w:rsidR="00394471" w:rsidRPr="00FA0D37" w:rsidRDefault="00394471" w:rsidP="00FA0D37">
      <w:pPr>
        <w:pStyle w:val="PL"/>
      </w:pPr>
      <w:r w:rsidRPr="00FA0D37">
        <w:t xml:space="preserve">                    portSelectionSamplingSize-r16          </w:t>
      </w:r>
      <w:r w:rsidRPr="00FA0D37">
        <w:rPr>
          <w:color w:val="993366"/>
        </w:rPr>
        <w:t>ENUMERATED</w:t>
      </w:r>
      <w:r w:rsidRPr="00FA0D37">
        <w:t xml:space="preserve"> {n1, n2, n3, n4},</w:t>
      </w:r>
    </w:p>
    <w:p w14:paraId="3FAD8C76" w14:textId="77777777" w:rsidR="00394471" w:rsidRPr="00FA0D37" w:rsidRDefault="00394471" w:rsidP="00FA0D37">
      <w:pPr>
        <w:pStyle w:val="PL"/>
      </w:pPr>
      <w:r w:rsidRPr="00FA0D37">
        <w:t xml:space="preserve">                    typeII-PortSelectionRI-Restriction-r16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7FF256D7" w14:textId="77777777" w:rsidR="00394471" w:rsidRPr="00FA0D37" w:rsidRDefault="00394471" w:rsidP="00FA0D37">
      <w:pPr>
        <w:pStyle w:val="PL"/>
      </w:pPr>
      <w:r w:rsidRPr="00FA0D37">
        <w:t xml:space="preserve">                }</w:t>
      </w:r>
    </w:p>
    <w:p w14:paraId="0EFA7D5B" w14:textId="77777777" w:rsidR="00394471" w:rsidRPr="00FA0D37" w:rsidRDefault="00394471" w:rsidP="00FA0D37">
      <w:pPr>
        <w:pStyle w:val="PL"/>
      </w:pPr>
      <w:r w:rsidRPr="00FA0D37">
        <w:t xml:space="preserve">            },</w:t>
      </w:r>
    </w:p>
    <w:p w14:paraId="3AA7BA4A" w14:textId="77777777" w:rsidR="00394471" w:rsidRPr="00FA0D37" w:rsidRDefault="00394471" w:rsidP="00FA0D37">
      <w:pPr>
        <w:pStyle w:val="PL"/>
      </w:pPr>
      <w:r w:rsidRPr="00FA0D37">
        <w:t xml:space="preserve">        numberOfPMI-SubbandsPerCQI-Subband-r16 </w:t>
      </w:r>
      <w:r w:rsidRPr="00FA0D37">
        <w:rPr>
          <w:color w:val="993366"/>
        </w:rPr>
        <w:t>INTEGER</w:t>
      </w:r>
      <w:r w:rsidRPr="00FA0D37">
        <w:t xml:space="preserve"> (1..2),</w:t>
      </w:r>
    </w:p>
    <w:p w14:paraId="4FA2857E" w14:textId="77777777" w:rsidR="00394471" w:rsidRPr="00FA0D37" w:rsidRDefault="00394471" w:rsidP="00FA0D37">
      <w:pPr>
        <w:pStyle w:val="PL"/>
      </w:pPr>
      <w:r w:rsidRPr="00FA0D37">
        <w:t xml:space="preserve">        paramCombination-r16                   </w:t>
      </w:r>
      <w:r w:rsidRPr="00FA0D37">
        <w:rPr>
          <w:color w:val="993366"/>
        </w:rPr>
        <w:t>INTEGER</w:t>
      </w:r>
      <w:r w:rsidRPr="00FA0D37">
        <w:t xml:space="preserve"> (1..8)</w:t>
      </w:r>
    </w:p>
    <w:p w14:paraId="28E82018" w14:textId="77777777" w:rsidR="00394471" w:rsidRPr="00FA0D37" w:rsidRDefault="00394471" w:rsidP="00FA0D37">
      <w:pPr>
        <w:pStyle w:val="PL"/>
      </w:pPr>
      <w:r w:rsidRPr="00FA0D37">
        <w:t xml:space="preserve">        }</w:t>
      </w:r>
    </w:p>
    <w:p w14:paraId="6C241314" w14:textId="77777777" w:rsidR="00394471" w:rsidRPr="00FA0D37" w:rsidRDefault="00394471" w:rsidP="00FA0D37">
      <w:pPr>
        <w:pStyle w:val="PL"/>
      </w:pPr>
      <w:r w:rsidRPr="00FA0D37">
        <w:t xml:space="preserve">    }</w:t>
      </w:r>
    </w:p>
    <w:p w14:paraId="3EFCE8B7" w14:textId="77777777" w:rsidR="00394471" w:rsidRPr="00FA0D37" w:rsidRDefault="00394471" w:rsidP="00FA0D37">
      <w:pPr>
        <w:pStyle w:val="PL"/>
      </w:pPr>
      <w:r w:rsidRPr="00FA0D37">
        <w:t>}</w:t>
      </w:r>
    </w:p>
    <w:p w14:paraId="1823F8AA" w14:textId="77777777" w:rsidR="006A7342" w:rsidRPr="00FA0D37" w:rsidRDefault="006A7342" w:rsidP="00FA0D37">
      <w:pPr>
        <w:pStyle w:val="PL"/>
      </w:pPr>
    </w:p>
    <w:p w14:paraId="37074C5A" w14:textId="2CC0AD3B" w:rsidR="006A7342" w:rsidRPr="00FA0D37" w:rsidRDefault="006A7342" w:rsidP="00FA0D37">
      <w:pPr>
        <w:pStyle w:val="PL"/>
      </w:pPr>
      <w:r w:rsidRPr="00FA0D37">
        <w:t xml:space="preserve">CodebookConfig-r17  ::=               </w:t>
      </w:r>
      <w:r w:rsidRPr="00FA0D37">
        <w:rPr>
          <w:color w:val="993366"/>
        </w:rPr>
        <w:t>SEQUENCE</w:t>
      </w:r>
      <w:r w:rsidRPr="00FA0D37">
        <w:t xml:space="preserve">  {</w:t>
      </w:r>
    </w:p>
    <w:p w14:paraId="2E08F42F" w14:textId="77777777" w:rsidR="006A7342" w:rsidRPr="00FA0D37" w:rsidRDefault="006A7342" w:rsidP="00FA0D37">
      <w:pPr>
        <w:pStyle w:val="PL"/>
      </w:pPr>
      <w:r w:rsidRPr="00FA0D37">
        <w:t xml:space="preserve">    codebookType                          </w:t>
      </w:r>
      <w:r w:rsidRPr="00FA0D37">
        <w:rPr>
          <w:color w:val="993366"/>
        </w:rPr>
        <w:t>CHOICE</w:t>
      </w:r>
      <w:r w:rsidRPr="00FA0D37">
        <w:t xml:space="preserve">   {</w:t>
      </w:r>
    </w:p>
    <w:p w14:paraId="288C8099" w14:textId="7895C965" w:rsidR="006A7342" w:rsidRPr="00FA0D37" w:rsidRDefault="006A7342" w:rsidP="00FA0D37">
      <w:pPr>
        <w:pStyle w:val="PL"/>
      </w:pPr>
      <w:r w:rsidRPr="00FA0D37">
        <w:lastRenderedPageBreak/>
        <w:t xml:space="preserve">        type1                                 </w:t>
      </w:r>
      <w:r w:rsidRPr="00FA0D37">
        <w:rPr>
          <w:color w:val="993366"/>
        </w:rPr>
        <w:t>SEQUENCE</w:t>
      </w:r>
      <w:r w:rsidRPr="00FA0D37">
        <w:t xml:space="preserve">  {</w:t>
      </w:r>
    </w:p>
    <w:p w14:paraId="312E3909" w14:textId="068F63E1" w:rsidR="006A7342" w:rsidRPr="00FA0D37" w:rsidRDefault="006A7342" w:rsidP="00FA0D37">
      <w:pPr>
        <w:pStyle w:val="PL"/>
      </w:pPr>
      <w:r w:rsidRPr="00FA0D37">
        <w:t xml:space="preserve">            typeI-SinglePanel</w:t>
      </w:r>
      <w:r w:rsidR="00486327" w:rsidRPr="00FA0D37">
        <w:t>-Group</w:t>
      </w:r>
      <w:r w:rsidRPr="00FA0D37">
        <w:t xml:space="preserve">1-r17          </w:t>
      </w:r>
      <w:r w:rsidRPr="00FA0D37">
        <w:rPr>
          <w:color w:val="993366"/>
        </w:rPr>
        <w:t>SEQUENCE</w:t>
      </w:r>
      <w:r w:rsidRPr="00FA0D37">
        <w:t xml:space="preserve"> {</w:t>
      </w:r>
    </w:p>
    <w:p w14:paraId="554EE4BC" w14:textId="0D29C53A" w:rsidR="006A7342" w:rsidRPr="00FA0D37" w:rsidRDefault="006A7342" w:rsidP="00FA0D37">
      <w:pPr>
        <w:pStyle w:val="PL"/>
      </w:pPr>
      <w:r w:rsidRPr="00FA0D37">
        <w:t xml:space="preserve">                nrOfAntennaPorts                      </w:t>
      </w:r>
      <w:r w:rsidRPr="00FA0D37">
        <w:rPr>
          <w:color w:val="993366"/>
        </w:rPr>
        <w:t>CHOICE</w:t>
      </w:r>
      <w:r w:rsidRPr="00FA0D37">
        <w:t xml:space="preserve"> {</w:t>
      </w:r>
    </w:p>
    <w:p w14:paraId="4EA9F1AA" w14:textId="2ACEF4E9" w:rsidR="006A7342" w:rsidRPr="00FA0D37" w:rsidRDefault="006A7342" w:rsidP="00FA0D37">
      <w:pPr>
        <w:pStyle w:val="PL"/>
      </w:pPr>
      <w:r w:rsidRPr="00FA0D37">
        <w:t xml:space="preserve">                    two                                   </w:t>
      </w:r>
      <w:r w:rsidRPr="00FA0D37">
        <w:rPr>
          <w:color w:val="993366"/>
        </w:rPr>
        <w:t>SEQUENCE</w:t>
      </w:r>
      <w:r w:rsidRPr="00FA0D37">
        <w:t xml:space="preserve"> {</w:t>
      </w:r>
    </w:p>
    <w:p w14:paraId="68A8D9C7" w14:textId="47ED7B15" w:rsidR="006A7342" w:rsidRPr="00FA0D37" w:rsidRDefault="006A7342" w:rsidP="00FA0D37">
      <w:pPr>
        <w:pStyle w:val="PL"/>
      </w:pPr>
      <w:r w:rsidRPr="00FA0D37">
        <w:t xml:space="preserve">                        twoTX-CodebookSubsetRestriction1-r17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w:t>
      </w:r>
    </w:p>
    <w:p w14:paraId="30B78B06" w14:textId="0BD84267" w:rsidR="006A7342" w:rsidRPr="00FA0D37" w:rsidRDefault="006A7342" w:rsidP="00FA0D37">
      <w:pPr>
        <w:pStyle w:val="PL"/>
      </w:pPr>
      <w:r w:rsidRPr="00FA0D37">
        <w:t xml:space="preserve">                    },</w:t>
      </w:r>
    </w:p>
    <w:p w14:paraId="0C5D35F5" w14:textId="211058A0" w:rsidR="006A7342" w:rsidRPr="00FA0D37" w:rsidRDefault="006A7342" w:rsidP="00FA0D37">
      <w:pPr>
        <w:pStyle w:val="PL"/>
      </w:pPr>
      <w:r w:rsidRPr="00FA0D37">
        <w:t xml:space="preserve">                    moreThanTwo                            </w:t>
      </w:r>
      <w:r w:rsidRPr="00FA0D37">
        <w:rPr>
          <w:color w:val="993366"/>
        </w:rPr>
        <w:t>SEQUENCE</w:t>
      </w:r>
      <w:r w:rsidRPr="00FA0D37">
        <w:t xml:space="preserve"> {</w:t>
      </w:r>
    </w:p>
    <w:p w14:paraId="6EEBA422" w14:textId="6F9F1170" w:rsidR="006A7342" w:rsidRPr="00FA0D37" w:rsidRDefault="006A7342" w:rsidP="00FA0D37">
      <w:pPr>
        <w:pStyle w:val="PL"/>
      </w:pPr>
      <w:r w:rsidRPr="00FA0D37">
        <w:t xml:space="preserve">                        n1-n2                                        </w:t>
      </w:r>
      <w:r w:rsidRPr="00FA0D37">
        <w:rPr>
          <w:color w:val="993366"/>
        </w:rPr>
        <w:t>CHOICE</w:t>
      </w:r>
      <w:r w:rsidRPr="00FA0D37">
        <w:t xml:space="preserve"> {</w:t>
      </w:r>
    </w:p>
    <w:p w14:paraId="6104AC07" w14:textId="267327CD" w:rsidR="006A7342" w:rsidRPr="00FA0D37" w:rsidRDefault="006A7342" w:rsidP="00FA0D37">
      <w:pPr>
        <w:pStyle w:val="PL"/>
      </w:pPr>
      <w:r w:rsidRPr="00FA0D37">
        <w:t xml:space="preserve">                            two-one-TypeI-SinglePanel-Restriction1-r17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0B48762B" w14:textId="4A4CF153" w:rsidR="006A7342" w:rsidRPr="00FA0D37" w:rsidRDefault="006A7342" w:rsidP="00FA0D37">
      <w:pPr>
        <w:pStyle w:val="PL"/>
      </w:pPr>
      <w:r w:rsidRPr="00FA0D37">
        <w:t xml:space="preserve">                            two-two-TypeI-SinglePanel-Restriction1-r17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75E9F921" w14:textId="59BD4FE3" w:rsidR="006A7342" w:rsidRPr="00FA0D37" w:rsidRDefault="006A7342" w:rsidP="00FA0D37">
      <w:pPr>
        <w:pStyle w:val="PL"/>
      </w:pPr>
      <w:r w:rsidRPr="00FA0D37">
        <w:t xml:space="preserve">                            four-one-TypeI-SinglePanel-Restriction1-r17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2C0758F5" w14:textId="71BA956C" w:rsidR="006A7342" w:rsidRPr="00FA0D37" w:rsidRDefault="006A7342" w:rsidP="00FA0D37">
      <w:pPr>
        <w:pStyle w:val="PL"/>
      </w:pPr>
      <w:r w:rsidRPr="00FA0D37">
        <w:t xml:space="preserve">                            three-two-TypeI-SinglePanel-Restriction1-r17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(96)),</w:t>
      </w:r>
    </w:p>
    <w:p w14:paraId="30EC6D1F" w14:textId="6974DCB4" w:rsidR="006A7342" w:rsidRPr="00FA0D37" w:rsidRDefault="006A7342" w:rsidP="00FA0D37">
      <w:pPr>
        <w:pStyle w:val="PL"/>
      </w:pPr>
      <w:r w:rsidRPr="00FA0D37">
        <w:t xml:space="preserve">                            six-one-TypeI-SinglePanel-Restriction1-r17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(24)),</w:t>
      </w:r>
    </w:p>
    <w:p w14:paraId="792307FD" w14:textId="76295CA1" w:rsidR="006A7342" w:rsidRPr="00FA0D37" w:rsidRDefault="006A7342" w:rsidP="00FA0D37">
      <w:pPr>
        <w:pStyle w:val="PL"/>
      </w:pPr>
      <w:r w:rsidRPr="00FA0D37">
        <w:t xml:space="preserve">                    </w:t>
      </w:r>
      <w:r w:rsidR="00E00B66" w:rsidRPr="00FA0D37">
        <w:t xml:space="preserve">  </w:t>
      </w:r>
      <w:r w:rsidRPr="00FA0D37">
        <w:t xml:space="preserve">      four-two-TypeI-SinglePanel-Restriction1-r17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(128)),</w:t>
      </w:r>
    </w:p>
    <w:p w14:paraId="4FF66AEC" w14:textId="601D146B" w:rsidR="006A7342" w:rsidRPr="00FA0D37" w:rsidRDefault="006A7342" w:rsidP="00FA0D37">
      <w:pPr>
        <w:pStyle w:val="PL"/>
      </w:pPr>
      <w:r w:rsidRPr="00FA0D37">
        <w:t xml:space="preserve">                            eight-one-TypeI-SinglePanel-Restriction1-r17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3B70BCDF" w14:textId="5B9BE091" w:rsidR="006A7342" w:rsidRPr="00FA0D37" w:rsidRDefault="006A7342" w:rsidP="00FA0D37">
      <w:pPr>
        <w:pStyle w:val="PL"/>
      </w:pPr>
      <w:r w:rsidRPr="00FA0D37">
        <w:t xml:space="preserve">                            four-three-TypeI-SinglePanel-Restriction1-r17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(192)),</w:t>
      </w:r>
    </w:p>
    <w:p w14:paraId="6F0A8862" w14:textId="1B2022DC" w:rsidR="006A7342" w:rsidRPr="00FA0D37" w:rsidRDefault="006A7342" w:rsidP="00FA0D37">
      <w:pPr>
        <w:pStyle w:val="PL"/>
      </w:pPr>
      <w:r w:rsidRPr="00FA0D37">
        <w:t xml:space="preserve">                            six-two-TypeI-SinglePanel-Restriction1-r17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(192)),</w:t>
      </w:r>
    </w:p>
    <w:p w14:paraId="021EFB7C" w14:textId="7356FD9E" w:rsidR="006A7342" w:rsidRPr="00FA0D37" w:rsidRDefault="006A7342" w:rsidP="00FA0D37">
      <w:pPr>
        <w:pStyle w:val="PL"/>
      </w:pPr>
      <w:r w:rsidRPr="00FA0D37">
        <w:t xml:space="preserve">                            twelve-one-TypeI-SinglePanel-Restriction1-r17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(48)),</w:t>
      </w:r>
    </w:p>
    <w:p w14:paraId="79A27C77" w14:textId="56800D29" w:rsidR="006A7342" w:rsidRPr="00FA0D37" w:rsidRDefault="006A7342" w:rsidP="00FA0D37">
      <w:pPr>
        <w:pStyle w:val="PL"/>
      </w:pPr>
      <w:r w:rsidRPr="00FA0D37">
        <w:t xml:space="preserve">                            four-four-TypeI-SinglePanel-Restriction1-r17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(256)),</w:t>
      </w:r>
    </w:p>
    <w:p w14:paraId="698DD8D1" w14:textId="7457458D" w:rsidR="006A7342" w:rsidRPr="00FA0D37" w:rsidRDefault="006A7342" w:rsidP="00FA0D37">
      <w:pPr>
        <w:pStyle w:val="PL"/>
      </w:pPr>
      <w:r w:rsidRPr="00FA0D37">
        <w:t xml:space="preserve">                            eight-two-TypeI-SinglePanel-Restriction1-r17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(256)),</w:t>
      </w:r>
    </w:p>
    <w:p w14:paraId="01C3B6F3" w14:textId="7E749E75" w:rsidR="006A7342" w:rsidRPr="00FA0D37" w:rsidRDefault="006A7342" w:rsidP="00FA0D37">
      <w:pPr>
        <w:pStyle w:val="PL"/>
      </w:pPr>
      <w:r w:rsidRPr="00FA0D37">
        <w:t xml:space="preserve">                            sixteen-one-TypeI-SinglePanel-Restriction1-r17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4C4E46C4" w14:textId="272E4EC2" w:rsidR="006A7342" w:rsidRPr="00FA0D37" w:rsidRDefault="006A7342" w:rsidP="00FA0D37">
      <w:pPr>
        <w:pStyle w:val="PL"/>
      </w:pPr>
      <w:r w:rsidRPr="00FA0D37">
        <w:t xml:space="preserve">                        }</w:t>
      </w:r>
    </w:p>
    <w:p w14:paraId="71FDB9C6" w14:textId="4FC7E09D" w:rsidR="006A7342" w:rsidRPr="00FA0D37" w:rsidRDefault="006A7342" w:rsidP="00FA0D37">
      <w:pPr>
        <w:pStyle w:val="PL"/>
      </w:pPr>
      <w:r w:rsidRPr="00FA0D37">
        <w:t xml:space="preserve">                    }</w:t>
      </w:r>
    </w:p>
    <w:p w14:paraId="2DCCD957" w14:textId="3690277E" w:rsidR="006A7342" w:rsidRPr="00FA0D37" w:rsidRDefault="006A7342" w:rsidP="00FA0D37">
      <w:pPr>
        <w:pStyle w:val="PL"/>
      </w:pPr>
      <w:r w:rsidRPr="00FA0D37">
        <w:t xml:space="preserve">                }</w:t>
      </w:r>
    </w:p>
    <w:p w14:paraId="26BAB48D" w14:textId="71C08722" w:rsidR="006A7342" w:rsidRPr="00FA0D37" w:rsidRDefault="006A7342" w:rsidP="00FA0D37">
      <w:pPr>
        <w:pStyle w:val="PL"/>
        <w:rPr>
          <w:color w:val="808080"/>
        </w:rPr>
      </w:pPr>
      <w:r w:rsidRPr="00FA0D37">
        <w:t xml:space="preserve">            }</w:t>
      </w:r>
      <w:r w:rsidR="00486327" w:rsidRPr="00FA0D37">
        <w:t xml:space="preserve">                                                                                       </w:t>
      </w:r>
      <w:r w:rsidR="00486327" w:rsidRPr="00FA0D37">
        <w:rPr>
          <w:color w:val="993366"/>
        </w:rPr>
        <w:t>OPTIONAL</w:t>
      </w:r>
      <w:r w:rsidRPr="00FA0D37">
        <w:t>,</w:t>
      </w:r>
      <w:r w:rsidR="00486327" w:rsidRPr="00FA0D37">
        <w:t xml:space="preserve">  </w:t>
      </w:r>
      <w:r w:rsidR="00486327" w:rsidRPr="00FA0D37">
        <w:rPr>
          <w:color w:val="808080"/>
        </w:rPr>
        <w:t>-- Need R</w:t>
      </w:r>
    </w:p>
    <w:p w14:paraId="63AD45CF" w14:textId="45F761B1" w:rsidR="006A7342" w:rsidRPr="00FA0D37" w:rsidRDefault="006A7342" w:rsidP="00FA0D37">
      <w:pPr>
        <w:pStyle w:val="PL"/>
      </w:pPr>
      <w:r w:rsidRPr="00FA0D37">
        <w:t xml:space="preserve">            typeI-SinglePanel</w:t>
      </w:r>
      <w:r w:rsidR="00486327" w:rsidRPr="00FA0D37">
        <w:t>-Group</w:t>
      </w:r>
      <w:r w:rsidRPr="00FA0D37">
        <w:t xml:space="preserve">2-r17           </w:t>
      </w:r>
      <w:r w:rsidRPr="00FA0D37">
        <w:rPr>
          <w:color w:val="993366"/>
        </w:rPr>
        <w:t>SEQUENCE</w:t>
      </w:r>
      <w:r w:rsidRPr="00FA0D37">
        <w:t xml:space="preserve"> {</w:t>
      </w:r>
    </w:p>
    <w:p w14:paraId="095C0612" w14:textId="46D70976" w:rsidR="006A7342" w:rsidRPr="00FA0D37" w:rsidRDefault="006A7342" w:rsidP="00FA0D37">
      <w:pPr>
        <w:pStyle w:val="PL"/>
      </w:pPr>
      <w:r w:rsidRPr="00FA0D37">
        <w:t xml:space="preserve">                nrOfAntennaPorts                       </w:t>
      </w:r>
      <w:r w:rsidRPr="00FA0D37">
        <w:rPr>
          <w:color w:val="993366"/>
        </w:rPr>
        <w:t>CHOICE</w:t>
      </w:r>
      <w:r w:rsidRPr="00FA0D37">
        <w:t xml:space="preserve"> {</w:t>
      </w:r>
    </w:p>
    <w:p w14:paraId="2A619B49" w14:textId="1FD602D4" w:rsidR="006A7342" w:rsidRPr="00FA0D37" w:rsidRDefault="006A7342" w:rsidP="00FA0D37">
      <w:pPr>
        <w:pStyle w:val="PL"/>
      </w:pPr>
      <w:r w:rsidRPr="00FA0D37">
        <w:t xml:space="preserve">                    two                                    </w:t>
      </w:r>
      <w:r w:rsidRPr="00FA0D37">
        <w:rPr>
          <w:color w:val="993366"/>
        </w:rPr>
        <w:t>SEQUENCE</w:t>
      </w:r>
      <w:r w:rsidRPr="00FA0D37">
        <w:t xml:space="preserve"> {</w:t>
      </w:r>
    </w:p>
    <w:p w14:paraId="7D8F0294" w14:textId="00C1DC9B" w:rsidR="006A7342" w:rsidRPr="00FA0D37" w:rsidRDefault="006A7342" w:rsidP="00FA0D37">
      <w:pPr>
        <w:pStyle w:val="PL"/>
      </w:pPr>
      <w:r w:rsidRPr="00FA0D37">
        <w:t xml:space="preserve">                        twoTX-CodebookSubsetRestriction2-r17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w:t>
      </w:r>
    </w:p>
    <w:p w14:paraId="7262D768" w14:textId="023FC27F" w:rsidR="006A7342" w:rsidRPr="00FA0D37" w:rsidRDefault="006A7342" w:rsidP="00FA0D37">
      <w:pPr>
        <w:pStyle w:val="PL"/>
      </w:pPr>
      <w:r w:rsidRPr="00FA0D37">
        <w:t xml:space="preserve">                    },</w:t>
      </w:r>
    </w:p>
    <w:p w14:paraId="54EEA37F" w14:textId="2A5580DE" w:rsidR="006A7342" w:rsidRPr="00FA0D37" w:rsidRDefault="006A7342" w:rsidP="00FA0D37">
      <w:pPr>
        <w:pStyle w:val="PL"/>
      </w:pPr>
      <w:r w:rsidRPr="00FA0D37">
        <w:t xml:space="preserve">                    moreThanTwo                            </w:t>
      </w:r>
      <w:r w:rsidRPr="00FA0D37">
        <w:rPr>
          <w:color w:val="993366"/>
        </w:rPr>
        <w:t>SEQUENCE</w:t>
      </w:r>
      <w:r w:rsidRPr="00FA0D37">
        <w:t xml:space="preserve"> {</w:t>
      </w:r>
    </w:p>
    <w:p w14:paraId="62031C92" w14:textId="5642F96D" w:rsidR="006A7342" w:rsidRPr="00FA0D37" w:rsidRDefault="006A7342" w:rsidP="00FA0D37">
      <w:pPr>
        <w:pStyle w:val="PL"/>
      </w:pPr>
      <w:r w:rsidRPr="00FA0D37">
        <w:t xml:space="preserve">                        n1-n2                                        </w:t>
      </w:r>
      <w:r w:rsidRPr="00FA0D37">
        <w:rPr>
          <w:color w:val="993366"/>
        </w:rPr>
        <w:t>CHOICE</w:t>
      </w:r>
      <w:r w:rsidRPr="00FA0D37">
        <w:t xml:space="preserve"> {</w:t>
      </w:r>
    </w:p>
    <w:p w14:paraId="2C6BFA49" w14:textId="25AC68C1" w:rsidR="006A7342" w:rsidRPr="00FA0D37" w:rsidRDefault="006A7342" w:rsidP="00FA0D37">
      <w:pPr>
        <w:pStyle w:val="PL"/>
      </w:pPr>
      <w:r w:rsidRPr="00FA0D37">
        <w:t xml:space="preserve">                            two-one-TypeI-SinglePanel-Restriction2-r17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456D95EA" w14:textId="46F058B2" w:rsidR="006A7342" w:rsidRPr="00FA0D37" w:rsidRDefault="006A7342" w:rsidP="00FA0D37">
      <w:pPr>
        <w:pStyle w:val="PL"/>
      </w:pPr>
      <w:r w:rsidRPr="00FA0D37">
        <w:t xml:space="preserve">                            two-two-TypeI-SinglePanel-Restriction2-r17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181D1238" w14:textId="3F3DD60D" w:rsidR="006A7342" w:rsidRPr="00FA0D37" w:rsidRDefault="006A7342" w:rsidP="00FA0D37">
      <w:pPr>
        <w:pStyle w:val="PL"/>
      </w:pPr>
      <w:r w:rsidRPr="00FA0D37">
        <w:t xml:space="preserve">                            four-one-TypeI-SinglePanel-Restriction2-r17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2E50AA83" w14:textId="33A95B3A" w:rsidR="006A7342" w:rsidRPr="00FA0D37" w:rsidRDefault="006A7342" w:rsidP="00FA0D37">
      <w:pPr>
        <w:pStyle w:val="PL"/>
      </w:pPr>
      <w:r w:rsidRPr="00FA0D37">
        <w:t xml:space="preserve">                            three-two-TypeI-SinglePanel-Restriction2-r17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(96)),</w:t>
      </w:r>
    </w:p>
    <w:p w14:paraId="67AA37F5" w14:textId="16858279" w:rsidR="006A7342" w:rsidRPr="00FA0D37" w:rsidRDefault="006A7342" w:rsidP="00FA0D37">
      <w:pPr>
        <w:pStyle w:val="PL"/>
      </w:pPr>
      <w:r w:rsidRPr="00FA0D37">
        <w:t xml:space="preserve">                            six-one-TypeI-SinglePanel-Restriction2-r17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(24)),</w:t>
      </w:r>
    </w:p>
    <w:p w14:paraId="0831A014" w14:textId="48408826" w:rsidR="006A7342" w:rsidRPr="00FA0D37" w:rsidRDefault="006A7342" w:rsidP="00FA0D37">
      <w:pPr>
        <w:pStyle w:val="PL"/>
      </w:pPr>
      <w:r w:rsidRPr="00FA0D37">
        <w:t xml:space="preserve">                            four-two-TypeI-SinglePanel-Restriction2-r17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(128)),</w:t>
      </w:r>
    </w:p>
    <w:p w14:paraId="72D6CC38" w14:textId="2100EA01" w:rsidR="006A7342" w:rsidRPr="00FA0D37" w:rsidRDefault="006A7342" w:rsidP="00FA0D37">
      <w:pPr>
        <w:pStyle w:val="PL"/>
      </w:pPr>
      <w:r w:rsidRPr="00FA0D37">
        <w:t xml:space="preserve">                            eight-one-TypeI-SinglePanel-Restriction2-r17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35657FF3" w14:textId="491A5904" w:rsidR="006A7342" w:rsidRPr="00FA0D37" w:rsidRDefault="006A7342" w:rsidP="00FA0D37">
      <w:pPr>
        <w:pStyle w:val="PL"/>
      </w:pPr>
      <w:r w:rsidRPr="00FA0D37">
        <w:t xml:space="preserve">                            four-three-TypeI-SinglePanel-Restriction2-r17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(192)),</w:t>
      </w:r>
    </w:p>
    <w:p w14:paraId="11EA4DA5" w14:textId="7EEF367E" w:rsidR="006A7342" w:rsidRPr="00FA0D37" w:rsidRDefault="006A7342" w:rsidP="00FA0D37">
      <w:pPr>
        <w:pStyle w:val="PL"/>
      </w:pPr>
      <w:r w:rsidRPr="00FA0D37">
        <w:t xml:space="preserve">                            six-two-TypeI-SinglePanel-Restriction2-r17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(192)),</w:t>
      </w:r>
    </w:p>
    <w:p w14:paraId="64B1678A" w14:textId="568F4BD6" w:rsidR="006A7342" w:rsidRPr="00FA0D37" w:rsidRDefault="006A7342" w:rsidP="00FA0D37">
      <w:pPr>
        <w:pStyle w:val="PL"/>
      </w:pPr>
      <w:r w:rsidRPr="00FA0D37">
        <w:t xml:space="preserve">                            twelve-one-TypeI-SinglePanel-Restriction2-r17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(48)),</w:t>
      </w:r>
    </w:p>
    <w:p w14:paraId="04DE069B" w14:textId="2F35C74C" w:rsidR="006A7342" w:rsidRPr="00FA0D37" w:rsidRDefault="006A7342" w:rsidP="00FA0D37">
      <w:pPr>
        <w:pStyle w:val="PL"/>
      </w:pPr>
      <w:r w:rsidRPr="00FA0D37">
        <w:t xml:space="preserve">                            four-four-TypeI-SinglePanel-Restriction2-r17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(256)),</w:t>
      </w:r>
    </w:p>
    <w:p w14:paraId="54B02A3F" w14:textId="0BE83AA6" w:rsidR="006A7342" w:rsidRPr="00FA0D37" w:rsidRDefault="006A7342" w:rsidP="00FA0D37">
      <w:pPr>
        <w:pStyle w:val="PL"/>
      </w:pPr>
      <w:r w:rsidRPr="00FA0D37">
        <w:t xml:space="preserve">                            eight-two-TypeI-SinglePanel-Restriction2-r17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(256)),</w:t>
      </w:r>
    </w:p>
    <w:p w14:paraId="055186BC" w14:textId="37B14ADF" w:rsidR="006A7342" w:rsidRPr="00FA0D37" w:rsidRDefault="006A7342" w:rsidP="00FA0D37">
      <w:pPr>
        <w:pStyle w:val="PL"/>
      </w:pPr>
      <w:r w:rsidRPr="00FA0D37">
        <w:t xml:space="preserve">                            sixteen-one-TypeI-SinglePanel-Restriction2-r17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23AA9797" w14:textId="5347DD65" w:rsidR="006A7342" w:rsidRPr="00FA0D37" w:rsidRDefault="006A7342" w:rsidP="00FA0D37">
      <w:pPr>
        <w:pStyle w:val="PL"/>
      </w:pPr>
      <w:r w:rsidRPr="00FA0D37">
        <w:t xml:space="preserve">                        }</w:t>
      </w:r>
    </w:p>
    <w:p w14:paraId="628645A8" w14:textId="5739450C" w:rsidR="006A7342" w:rsidRPr="00FA0D37" w:rsidRDefault="006A7342" w:rsidP="00FA0D37">
      <w:pPr>
        <w:pStyle w:val="PL"/>
      </w:pPr>
      <w:r w:rsidRPr="00FA0D37">
        <w:t xml:space="preserve">                    }</w:t>
      </w:r>
    </w:p>
    <w:p w14:paraId="542B3B03" w14:textId="0705569E" w:rsidR="006A7342" w:rsidRPr="00FA0D37" w:rsidRDefault="006A7342" w:rsidP="00FA0D37">
      <w:pPr>
        <w:pStyle w:val="PL"/>
      </w:pPr>
      <w:r w:rsidRPr="00FA0D37">
        <w:t xml:space="preserve">                }</w:t>
      </w:r>
    </w:p>
    <w:p w14:paraId="1983BB08" w14:textId="04A92C42" w:rsidR="006A7342" w:rsidRPr="00FA0D37" w:rsidRDefault="006A7342" w:rsidP="00FA0D37">
      <w:pPr>
        <w:pStyle w:val="PL"/>
        <w:rPr>
          <w:color w:val="808080"/>
        </w:rPr>
      </w:pPr>
      <w:r w:rsidRPr="00FA0D37">
        <w:t xml:space="preserve">            }</w:t>
      </w:r>
      <w:r w:rsidR="00486327" w:rsidRPr="00FA0D37">
        <w:t xml:space="preserve">                                                                                       </w:t>
      </w:r>
      <w:r w:rsidR="00486327" w:rsidRPr="00FA0D37">
        <w:rPr>
          <w:color w:val="993366"/>
        </w:rPr>
        <w:t>OPTIONAL</w:t>
      </w:r>
      <w:r w:rsidR="00B06511" w:rsidRPr="00FA0D37">
        <w:t>,</w:t>
      </w:r>
      <w:r w:rsidR="00486327" w:rsidRPr="00FA0D37">
        <w:t xml:space="preserve">  </w:t>
      </w:r>
      <w:r w:rsidR="00486327" w:rsidRPr="00FA0D37">
        <w:rPr>
          <w:color w:val="808080"/>
        </w:rPr>
        <w:t>-- Need R</w:t>
      </w:r>
    </w:p>
    <w:p w14:paraId="6DAAECAF" w14:textId="1F9D70EB" w:rsidR="006A7342" w:rsidRPr="00FA0D37" w:rsidRDefault="006A7342" w:rsidP="00FA0D37">
      <w:pPr>
        <w:pStyle w:val="PL"/>
        <w:rPr>
          <w:color w:val="808080"/>
        </w:rPr>
      </w:pPr>
      <w:r w:rsidRPr="00FA0D37">
        <w:t xml:space="preserve">            typeI-SinglePanel-ri-RestrictionSTRP-r17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r w:rsidR="00486327" w:rsidRPr="00FA0D37">
        <w:t xml:space="preserve">       </w:t>
      </w:r>
      <w:r w:rsidR="00486327" w:rsidRPr="00FA0D37">
        <w:rPr>
          <w:color w:val="993366"/>
        </w:rPr>
        <w:t>OPTIONAL</w:t>
      </w:r>
      <w:r w:rsidR="001C0D26" w:rsidRPr="00FA0D37">
        <w:t>,</w:t>
      </w:r>
      <w:r w:rsidR="00486327" w:rsidRPr="00FA0D37">
        <w:t xml:space="preserve">  </w:t>
      </w:r>
      <w:r w:rsidR="00486327" w:rsidRPr="00FA0D37">
        <w:rPr>
          <w:color w:val="808080"/>
        </w:rPr>
        <w:t>-- Need R</w:t>
      </w:r>
    </w:p>
    <w:p w14:paraId="5146DA0D" w14:textId="3E6B8A8F" w:rsidR="006A7342" w:rsidRPr="00FA0D37" w:rsidRDefault="006A7342" w:rsidP="00FA0D37">
      <w:pPr>
        <w:pStyle w:val="PL"/>
        <w:rPr>
          <w:color w:val="808080"/>
        </w:rPr>
      </w:pPr>
      <w:r w:rsidRPr="00FA0D37">
        <w:t xml:space="preserve">            typeI-SinglePanel-ri-RestrictionSDM-r17                    </w:t>
      </w:r>
      <w:r w:rsidR="00486327" w:rsidRPr="00FA0D37">
        <w:t xml:space="preserv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r w:rsidR="00486327" w:rsidRPr="00FA0D37">
        <w:t xml:space="preserve">       </w:t>
      </w:r>
      <w:r w:rsidR="00486327" w:rsidRPr="00FA0D37">
        <w:rPr>
          <w:color w:val="993366"/>
        </w:rPr>
        <w:t>OPTIONAL</w:t>
      </w:r>
      <w:r w:rsidR="00486327" w:rsidRPr="00FA0D37">
        <w:t xml:space="preserve">   </w:t>
      </w:r>
      <w:r w:rsidR="00486327" w:rsidRPr="00FA0D37">
        <w:rPr>
          <w:color w:val="808080"/>
        </w:rPr>
        <w:t>-- Need R</w:t>
      </w:r>
    </w:p>
    <w:p w14:paraId="0034B2DE" w14:textId="28F402FF" w:rsidR="00E00B66" w:rsidRPr="00FA0D37" w:rsidRDefault="00E00B66" w:rsidP="00FA0D37">
      <w:pPr>
        <w:pStyle w:val="PL"/>
      </w:pPr>
      <w:r w:rsidRPr="00FA0D37">
        <w:lastRenderedPageBreak/>
        <w:t xml:space="preserve">        }</w:t>
      </w:r>
      <w:r w:rsidR="00FB193E" w:rsidRPr="00FA0D37">
        <w:t>,</w:t>
      </w:r>
    </w:p>
    <w:p w14:paraId="262814E4" w14:textId="72D8A697" w:rsidR="006A7342" w:rsidRPr="00FA0D37" w:rsidRDefault="006A7342" w:rsidP="00FA0D37">
      <w:pPr>
        <w:pStyle w:val="PL"/>
      </w:pPr>
      <w:r w:rsidRPr="00FA0D37">
        <w:t xml:space="preserve">       </w:t>
      </w:r>
      <w:r w:rsidR="00E00B66" w:rsidRPr="00FA0D37">
        <w:t xml:space="preserve"> </w:t>
      </w:r>
      <w:r w:rsidR="00B06511" w:rsidRPr="00FA0D37">
        <w:t>t</w:t>
      </w:r>
      <w:r w:rsidRPr="00FA0D37">
        <w:t xml:space="preserve">ype2                                 </w:t>
      </w:r>
      <w:r w:rsidRPr="00FA0D37">
        <w:rPr>
          <w:color w:val="993366"/>
        </w:rPr>
        <w:t>SEQUENCE</w:t>
      </w:r>
      <w:r w:rsidRPr="00FA0D37">
        <w:t xml:space="preserve"> {</w:t>
      </w:r>
    </w:p>
    <w:p w14:paraId="6AB64571" w14:textId="668E93FE" w:rsidR="006A7342" w:rsidRPr="00FA0D37" w:rsidRDefault="006A7342" w:rsidP="00FA0D37">
      <w:pPr>
        <w:pStyle w:val="PL"/>
      </w:pPr>
      <w:r w:rsidRPr="00FA0D37">
        <w:t xml:space="preserve">       </w:t>
      </w:r>
      <w:r w:rsidR="00E00B66" w:rsidRPr="00FA0D37">
        <w:t xml:space="preserve">     </w:t>
      </w:r>
      <w:r w:rsidRPr="00FA0D37">
        <w:t xml:space="preserve">typeII-PortSelection-r17              </w:t>
      </w:r>
      <w:r w:rsidRPr="00FA0D37">
        <w:rPr>
          <w:color w:val="993366"/>
        </w:rPr>
        <w:t>SEQUENCE</w:t>
      </w:r>
      <w:r w:rsidRPr="00FA0D37">
        <w:t xml:space="preserve"> {</w:t>
      </w:r>
    </w:p>
    <w:p w14:paraId="6D92FF5A" w14:textId="60616D8E" w:rsidR="006A7342" w:rsidRPr="00FA0D37" w:rsidRDefault="006A7342" w:rsidP="00FA0D37">
      <w:pPr>
        <w:pStyle w:val="PL"/>
      </w:pPr>
      <w:r w:rsidRPr="00FA0D37">
        <w:t xml:space="preserve">            </w:t>
      </w:r>
      <w:r w:rsidR="00E00B66" w:rsidRPr="00FA0D37">
        <w:t xml:space="preserve">   </w:t>
      </w:r>
      <w:r w:rsidRPr="00FA0D37">
        <w:t xml:space="preserve"> paramCombination-r17               </w:t>
      </w:r>
      <w:r w:rsidR="00606C47" w:rsidRPr="00FA0D37">
        <w:t xml:space="preserve"> </w:t>
      </w:r>
      <w:r w:rsidRPr="00FA0D37">
        <w:t xml:space="preserve">   </w:t>
      </w:r>
      <w:r w:rsidRPr="00FA0D37">
        <w:rPr>
          <w:color w:val="993366"/>
        </w:rPr>
        <w:t>INTEGER</w:t>
      </w:r>
      <w:r w:rsidRPr="00FA0D37">
        <w:t xml:space="preserve"> (1..8),</w:t>
      </w:r>
    </w:p>
    <w:p w14:paraId="3B5B10D6" w14:textId="211E1019" w:rsidR="006A7342" w:rsidRPr="00FA0D37" w:rsidRDefault="006A7342" w:rsidP="00FA0D37">
      <w:pPr>
        <w:pStyle w:val="PL"/>
        <w:rPr>
          <w:color w:val="808080"/>
        </w:rPr>
      </w:pPr>
      <w:r w:rsidRPr="00FA0D37">
        <w:t xml:space="preserve">             </w:t>
      </w:r>
      <w:r w:rsidR="00E00B66" w:rsidRPr="00FA0D37">
        <w:t xml:space="preserve">   </w:t>
      </w:r>
      <w:r w:rsidRPr="00FA0D37">
        <w:t xml:space="preserve">valueOfN-r17                        </w:t>
      </w:r>
      <w:r w:rsidR="00606C47" w:rsidRPr="00FA0D37">
        <w:t xml:space="preserve"> </w:t>
      </w:r>
      <w:r w:rsidRPr="00FA0D37">
        <w:t xml:space="preserve">  </w:t>
      </w:r>
      <w:r w:rsidRPr="00FA0D37">
        <w:rPr>
          <w:color w:val="993366"/>
        </w:rPr>
        <w:t>ENUMERATED</w:t>
      </w:r>
      <w:r w:rsidR="00015613" w:rsidRPr="00FA0D37">
        <w:t xml:space="preserve"> </w:t>
      </w:r>
      <w:r w:rsidRPr="00FA0D37">
        <w:t>{n2, n4}</w:t>
      </w:r>
      <w:r w:rsidR="00486327" w:rsidRPr="00FA0D37">
        <w:t xml:space="preserve">                          </w:t>
      </w:r>
      <w:r w:rsidR="00486327" w:rsidRPr="00FA0D37">
        <w:rPr>
          <w:color w:val="993366"/>
        </w:rPr>
        <w:t>OPTIONAL</w:t>
      </w:r>
      <w:r w:rsidRPr="00FA0D37">
        <w:t>,</w:t>
      </w:r>
      <w:r w:rsidR="00486327" w:rsidRPr="00FA0D37">
        <w:t xml:space="preserve">  </w:t>
      </w:r>
      <w:r w:rsidR="00486327" w:rsidRPr="00FA0D37">
        <w:rPr>
          <w:color w:val="808080"/>
        </w:rPr>
        <w:t>-- Need R</w:t>
      </w:r>
    </w:p>
    <w:p w14:paraId="48357ED2" w14:textId="2D3F5304" w:rsidR="00486327" w:rsidRPr="00FA0D37" w:rsidRDefault="00486327" w:rsidP="00FA0D37">
      <w:pPr>
        <w:pStyle w:val="PL"/>
        <w:rPr>
          <w:color w:val="808080"/>
        </w:rPr>
      </w:pPr>
      <w:r w:rsidRPr="00FA0D37">
        <w:t xml:space="preserve">                numberOfPMI-SubbandsPerCQI-Subband-r17 </w:t>
      </w:r>
      <w:r w:rsidRPr="00FA0D37">
        <w:rPr>
          <w:color w:val="993366"/>
        </w:rPr>
        <w:t>INTEGER</w:t>
      </w:r>
      <w:r w:rsidRPr="00FA0D37">
        <w:t xml:space="preserve">(1..2)                                </w:t>
      </w:r>
      <w:r w:rsidRPr="00FA0D37">
        <w:rPr>
          <w:color w:val="993366"/>
        </w:rPr>
        <w:t>OPTIONAL</w:t>
      </w:r>
      <w:r w:rsidRPr="00FA0D37">
        <w:t xml:space="preserve">,  </w:t>
      </w:r>
      <w:r w:rsidRPr="00FA0D37">
        <w:rPr>
          <w:color w:val="808080"/>
        </w:rPr>
        <w:t>-- Need R</w:t>
      </w:r>
    </w:p>
    <w:p w14:paraId="2FA1C65F" w14:textId="70495457" w:rsidR="006A7342" w:rsidRPr="00FA0D37" w:rsidRDefault="006A7342" w:rsidP="00FA0D37">
      <w:pPr>
        <w:pStyle w:val="PL"/>
      </w:pPr>
      <w:r w:rsidRPr="00FA0D37">
        <w:t xml:space="preserve">             </w:t>
      </w:r>
      <w:r w:rsidR="00E00B66" w:rsidRPr="00FA0D37">
        <w:t xml:space="preserve">   </w:t>
      </w:r>
      <w:r w:rsidRPr="00FA0D37">
        <w:t xml:space="preserve">typeII-PortSelectionRI-Restriction-r17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6C44022D" w14:textId="767F09F6" w:rsidR="006A7342" w:rsidRPr="00FA0D37" w:rsidRDefault="006A7342" w:rsidP="00FA0D37">
      <w:pPr>
        <w:pStyle w:val="PL"/>
      </w:pPr>
      <w:r w:rsidRPr="00FA0D37">
        <w:t xml:space="preserve">       </w:t>
      </w:r>
      <w:r w:rsidR="00E00B66" w:rsidRPr="00FA0D37">
        <w:t xml:space="preserve"> </w:t>
      </w:r>
      <w:r w:rsidRPr="00FA0D37">
        <w:t xml:space="preserve">    }</w:t>
      </w:r>
    </w:p>
    <w:p w14:paraId="0814661F" w14:textId="007CDE87" w:rsidR="006A7342" w:rsidRPr="00FA0D37" w:rsidRDefault="006A7342" w:rsidP="00FA0D37">
      <w:pPr>
        <w:pStyle w:val="PL"/>
      </w:pPr>
      <w:r w:rsidRPr="00FA0D37">
        <w:t xml:space="preserve">      </w:t>
      </w:r>
      <w:r w:rsidR="00E00B66" w:rsidRPr="00FA0D37">
        <w:t xml:space="preserve"> </w:t>
      </w:r>
      <w:r w:rsidRPr="00FA0D37">
        <w:t xml:space="preserve"> }</w:t>
      </w:r>
    </w:p>
    <w:p w14:paraId="119E6AC9" w14:textId="77777777" w:rsidR="006A7342" w:rsidRPr="00FA0D37" w:rsidRDefault="006A7342" w:rsidP="00FA0D37">
      <w:pPr>
        <w:pStyle w:val="PL"/>
      </w:pPr>
      <w:r w:rsidRPr="00FA0D37">
        <w:t xml:space="preserve">    }</w:t>
      </w:r>
    </w:p>
    <w:p w14:paraId="05736B5A" w14:textId="77777777" w:rsidR="006A7342" w:rsidRPr="00FA0D37" w:rsidRDefault="006A7342" w:rsidP="00FA0D37">
      <w:pPr>
        <w:pStyle w:val="PL"/>
      </w:pPr>
      <w:r w:rsidRPr="00FA0D37">
        <w:t>}</w:t>
      </w:r>
    </w:p>
    <w:p w14:paraId="2DB3E40B" w14:textId="77777777" w:rsidR="00184EE0" w:rsidRPr="00FA0D37" w:rsidRDefault="00184EE0" w:rsidP="00FA0D37">
      <w:pPr>
        <w:pStyle w:val="PL"/>
      </w:pPr>
    </w:p>
    <w:p w14:paraId="694055A2" w14:textId="4D7BAE42" w:rsidR="00184EE0" w:rsidRPr="00FA0D37" w:rsidRDefault="00184EE0" w:rsidP="00FA0D37">
      <w:pPr>
        <w:pStyle w:val="PL"/>
      </w:pPr>
      <w:r w:rsidRPr="00FA0D37">
        <w:t xml:space="preserve">CodebookConfig-v1730  ::=             </w:t>
      </w:r>
      <w:r w:rsidRPr="00FA0D37">
        <w:rPr>
          <w:color w:val="993366"/>
        </w:rPr>
        <w:t>SEQUENCE</w:t>
      </w:r>
      <w:r w:rsidRPr="00FA0D37">
        <w:t xml:space="preserve">  {</w:t>
      </w:r>
    </w:p>
    <w:p w14:paraId="6422074F" w14:textId="77777777" w:rsidR="00184EE0" w:rsidRPr="00FA0D37" w:rsidRDefault="00184EE0" w:rsidP="00FA0D37">
      <w:pPr>
        <w:pStyle w:val="PL"/>
      </w:pPr>
      <w:r w:rsidRPr="00FA0D37">
        <w:t xml:space="preserve">    codebookType                          </w:t>
      </w:r>
      <w:r w:rsidRPr="00FA0D37">
        <w:rPr>
          <w:color w:val="993366"/>
        </w:rPr>
        <w:t>CHOICE</w:t>
      </w:r>
      <w:r w:rsidRPr="00FA0D37">
        <w:t xml:space="preserve">   {</w:t>
      </w:r>
    </w:p>
    <w:p w14:paraId="087F4B47" w14:textId="77777777" w:rsidR="00184EE0" w:rsidRPr="00FA0D37" w:rsidRDefault="00184EE0" w:rsidP="00FA0D37">
      <w:pPr>
        <w:pStyle w:val="PL"/>
      </w:pPr>
      <w:r w:rsidRPr="00FA0D37">
        <w:t xml:space="preserve">        type1                                 </w:t>
      </w:r>
      <w:r w:rsidRPr="00FA0D37">
        <w:rPr>
          <w:color w:val="993366"/>
        </w:rPr>
        <w:t>SEQUENCE</w:t>
      </w:r>
      <w:r w:rsidRPr="00FA0D37">
        <w:t xml:space="preserve">  {</w:t>
      </w:r>
    </w:p>
    <w:p w14:paraId="167793A6" w14:textId="6E25A949" w:rsidR="00184EE0" w:rsidRPr="00FA0D37" w:rsidRDefault="00184EE0" w:rsidP="00FA0D37">
      <w:pPr>
        <w:pStyle w:val="PL"/>
        <w:rPr>
          <w:color w:val="808080"/>
        </w:rPr>
      </w:pPr>
      <w:r w:rsidRPr="00FA0D37">
        <w:t xml:space="preserve">            codebookMode                          </w:t>
      </w:r>
      <w:r w:rsidRPr="00FA0D37">
        <w:rPr>
          <w:color w:val="993366"/>
        </w:rPr>
        <w:t>INTEGER</w:t>
      </w:r>
      <w:r w:rsidRPr="00FA0D37">
        <w:t xml:space="preserve"> (1..2)                                    </w:t>
      </w:r>
      <w:r w:rsidRPr="00FA0D37">
        <w:rPr>
          <w:color w:val="993366"/>
        </w:rPr>
        <w:t>OPTIONAL</w:t>
      </w:r>
      <w:r w:rsidRPr="00FA0D37">
        <w:t xml:space="preserve">   </w:t>
      </w:r>
      <w:r w:rsidRPr="00FA0D37">
        <w:rPr>
          <w:color w:val="808080"/>
        </w:rPr>
        <w:t>-- Need R</w:t>
      </w:r>
    </w:p>
    <w:p w14:paraId="04680B45" w14:textId="439C6C4C" w:rsidR="00184EE0" w:rsidRPr="00FA0D37" w:rsidRDefault="00184EE0" w:rsidP="00FA0D37">
      <w:pPr>
        <w:pStyle w:val="PL"/>
      </w:pPr>
      <w:r w:rsidRPr="00FA0D37">
        <w:t xml:space="preserve">        }</w:t>
      </w:r>
    </w:p>
    <w:p w14:paraId="2684FFE1" w14:textId="121E3011" w:rsidR="00184EE0" w:rsidRPr="00FA0D37" w:rsidRDefault="00184EE0" w:rsidP="00FA0D37">
      <w:pPr>
        <w:pStyle w:val="PL"/>
      </w:pPr>
      <w:r w:rsidRPr="00FA0D37">
        <w:t xml:space="preserve">    }</w:t>
      </w:r>
    </w:p>
    <w:p w14:paraId="080CE66D" w14:textId="52067E91" w:rsidR="006A7342" w:rsidRPr="00FA0D37" w:rsidRDefault="00184EE0" w:rsidP="00FA0D37">
      <w:pPr>
        <w:pStyle w:val="PL"/>
      </w:pPr>
      <w:r w:rsidRPr="00FA0D37">
        <w:t>}</w:t>
      </w:r>
    </w:p>
    <w:p w14:paraId="5E3269E0" w14:textId="77777777" w:rsidR="00184EE0" w:rsidRPr="00FA0D37" w:rsidRDefault="00184EE0" w:rsidP="00FA0D37">
      <w:pPr>
        <w:pStyle w:val="PL"/>
      </w:pPr>
    </w:p>
    <w:p w14:paraId="385761AF" w14:textId="77777777" w:rsidR="00394471" w:rsidRPr="00FA0D37" w:rsidRDefault="00394471" w:rsidP="00FA0D37">
      <w:pPr>
        <w:pStyle w:val="PL"/>
        <w:rPr>
          <w:color w:val="808080"/>
        </w:rPr>
      </w:pPr>
      <w:r w:rsidRPr="00FA0D37">
        <w:rPr>
          <w:color w:val="808080"/>
        </w:rPr>
        <w:t>-- TAG-CODEBOOKCONFIG-STOP</w:t>
      </w:r>
    </w:p>
    <w:p w14:paraId="0B4B4BEC" w14:textId="77777777" w:rsidR="00394471" w:rsidRPr="00FA0D37" w:rsidRDefault="00394471" w:rsidP="00FA0D37">
      <w:pPr>
        <w:pStyle w:val="PL"/>
        <w:rPr>
          <w:color w:val="808080"/>
        </w:rPr>
      </w:pPr>
      <w:r w:rsidRPr="00FA0D37">
        <w:rPr>
          <w:color w:val="808080"/>
        </w:rPr>
        <w:t>-- ASN1STOP</w:t>
      </w:r>
    </w:p>
    <w:p w14:paraId="62AC4BF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FA0D37" w:rsidRDefault="00394471" w:rsidP="00964CC4">
            <w:pPr>
              <w:pStyle w:val="TAH"/>
              <w:rPr>
                <w:szCs w:val="22"/>
                <w:lang w:eastAsia="sv-SE"/>
              </w:rPr>
            </w:pPr>
            <w:r w:rsidRPr="00FA0D37">
              <w:rPr>
                <w:i/>
                <w:szCs w:val="22"/>
                <w:lang w:eastAsia="sv-SE"/>
              </w:rPr>
              <w:lastRenderedPageBreak/>
              <w:t xml:space="preserve">CodebookConfig </w:t>
            </w:r>
            <w:r w:rsidRPr="00FA0D37">
              <w:rPr>
                <w:szCs w:val="22"/>
                <w:lang w:eastAsia="sv-SE"/>
              </w:rPr>
              <w:t>field descriptions</w:t>
            </w:r>
          </w:p>
        </w:tc>
      </w:tr>
      <w:tr w:rsidR="005C7FF4" w:rsidRPr="00FA0D37"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FA0D37" w:rsidRDefault="00394471" w:rsidP="00964CC4">
            <w:pPr>
              <w:pStyle w:val="TAL"/>
              <w:rPr>
                <w:szCs w:val="22"/>
                <w:lang w:eastAsia="sv-SE"/>
              </w:rPr>
            </w:pPr>
            <w:r w:rsidRPr="00FA0D37">
              <w:rPr>
                <w:b/>
                <w:i/>
                <w:szCs w:val="22"/>
                <w:lang w:eastAsia="sv-SE"/>
              </w:rPr>
              <w:t>codebookMode</w:t>
            </w:r>
          </w:p>
          <w:p w14:paraId="3B3790C0" w14:textId="77777777" w:rsidR="00394471" w:rsidRPr="00FA0D37" w:rsidRDefault="00394471" w:rsidP="00964CC4">
            <w:pPr>
              <w:pStyle w:val="TAL"/>
              <w:rPr>
                <w:szCs w:val="22"/>
                <w:lang w:eastAsia="sv-SE"/>
              </w:rPr>
            </w:pPr>
            <w:r w:rsidRPr="00FA0D37">
              <w:rPr>
                <w:szCs w:val="22"/>
                <w:lang w:eastAsia="sv-SE"/>
              </w:rPr>
              <w:t>CodebookMode as specified in TS 38.214 [19], clause 5.2.2.2.2.</w:t>
            </w:r>
          </w:p>
        </w:tc>
      </w:tr>
      <w:tr w:rsidR="005C7FF4" w:rsidRPr="00FA0D37"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FA0D37" w:rsidRDefault="00394471" w:rsidP="00964CC4">
            <w:pPr>
              <w:pStyle w:val="TAL"/>
              <w:rPr>
                <w:szCs w:val="22"/>
                <w:lang w:eastAsia="sv-SE"/>
              </w:rPr>
            </w:pPr>
            <w:r w:rsidRPr="00FA0D37">
              <w:rPr>
                <w:b/>
                <w:i/>
                <w:szCs w:val="22"/>
                <w:lang w:eastAsia="sv-SE"/>
              </w:rPr>
              <w:t>codebookType</w:t>
            </w:r>
          </w:p>
          <w:p w14:paraId="2955EB38" w14:textId="77777777" w:rsidR="00394471" w:rsidRPr="00FA0D37" w:rsidRDefault="00394471" w:rsidP="00964CC4">
            <w:pPr>
              <w:pStyle w:val="TAL"/>
              <w:rPr>
                <w:szCs w:val="22"/>
                <w:lang w:eastAsia="sv-SE"/>
              </w:rPr>
            </w:pPr>
            <w:r w:rsidRPr="00FA0D37">
              <w:rPr>
                <w:szCs w:val="22"/>
                <w:lang w:eastAsia="sv-SE"/>
              </w:rPr>
              <w:t>CodebookType including possibly sub-types and the corresponding parameters for each (see TS 38.214 [19], clause 5.2.2.2).</w:t>
            </w:r>
          </w:p>
        </w:tc>
      </w:tr>
      <w:tr w:rsidR="005C7FF4" w:rsidRPr="00FA0D37"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77777777" w:rsidR="00394471" w:rsidRPr="00FA0D37" w:rsidRDefault="00394471" w:rsidP="00964CC4">
            <w:pPr>
              <w:pStyle w:val="TAL"/>
              <w:rPr>
                <w:szCs w:val="22"/>
                <w:lang w:eastAsia="sv-SE"/>
              </w:rPr>
            </w:pPr>
            <w:r w:rsidRPr="00FA0D37">
              <w:rPr>
                <w:b/>
                <w:i/>
                <w:szCs w:val="22"/>
                <w:lang w:eastAsia="sv-SE"/>
              </w:rPr>
              <w:t>n1-n2-codebookSubsetRestriction</w:t>
            </w:r>
          </w:p>
          <w:p w14:paraId="6514A1A2" w14:textId="77777777" w:rsidR="00394471" w:rsidRPr="00FA0D37" w:rsidRDefault="00394471" w:rsidP="00964CC4">
            <w:pPr>
              <w:pStyle w:val="TAL"/>
              <w:rPr>
                <w:szCs w:val="22"/>
                <w:lang w:eastAsia="sv-SE"/>
              </w:rPr>
            </w:pPr>
            <w:r w:rsidRPr="00FA0D37">
              <w:rPr>
                <w:szCs w:val="22"/>
                <w:lang w:eastAsia="sv-SE"/>
              </w:rPr>
              <w:t>Number of antenna ports in first (</w:t>
            </w:r>
            <w:r w:rsidRPr="00FA0D37">
              <w:rPr>
                <w:i/>
                <w:lang w:eastAsia="sv-SE"/>
              </w:rPr>
              <w:t>n1</w:t>
            </w:r>
            <w:r w:rsidRPr="00FA0D37">
              <w:rPr>
                <w:szCs w:val="22"/>
                <w:lang w:eastAsia="sv-SE"/>
              </w:rPr>
              <w:t>) and second (</w:t>
            </w:r>
            <w:r w:rsidRPr="00FA0D37">
              <w:rPr>
                <w:i/>
                <w:lang w:eastAsia="sv-SE"/>
              </w:rPr>
              <w:t>n2</w:t>
            </w:r>
            <w:r w:rsidRPr="00FA0D37">
              <w:rPr>
                <w:szCs w:val="22"/>
                <w:lang w:eastAsia="sv-SE"/>
              </w:rPr>
              <w:t>) dimension and codebook subset restriction (see TS 38.214 [19] clause 5.2.2.2.3).</w:t>
            </w:r>
          </w:p>
          <w:p w14:paraId="6389B212" w14:textId="77777777" w:rsidR="00394471" w:rsidRPr="00FA0D37" w:rsidRDefault="00394471" w:rsidP="00964CC4">
            <w:pPr>
              <w:pStyle w:val="TAL"/>
              <w:rPr>
                <w:szCs w:val="22"/>
                <w:lang w:eastAsia="sv-SE"/>
              </w:rPr>
            </w:pPr>
            <w:r w:rsidRPr="00FA0D37">
              <w:rPr>
                <w:szCs w:val="22"/>
                <w:lang w:eastAsia="sv-SE"/>
              </w:rPr>
              <w:t>Number of bits for codebook subset restriction is CEIL(log2(nchoosek(O1*O2,4)))+8*n1*n2 where nchoosek(a,b) = a!/(b!(a-b)!).</w:t>
            </w:r>
          </w:p>
        </w:tc>
      </w:tr>
      <w:tr w:rsidR="005C7FF4" w:rsidRPr="00FA0D37"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FA0D37" w:rsidRDefault="00394471" w:rsidP="00964CC4">
            <w:pPr>
              <w:pStyle w:val="TAL"/>
              <w:rPr>
                <w:szCs w:val="22"/>
                <w:lang w:eastAsia="sv-SE"/>
              </w:rPr>
            </w:pPr>
            <w:r w:rsidRPr="00FA0D37">
              <w:rPr>
                <w:b/>
                <w:i/>
                <w:szCs w:val="22"/>
                <w:lang w:eastAsia="sv-SE"/>
              </w:rPr>
              <w:t>n1-n2</w:t>
            </w:r>
          </w:p>
          <w:p w14:paraId="1107CF36" w14:textId="77777777" w:rsidR="00394471" w:rsidRPr="00FA0D37" w:rsidRDefault="00394471" w:rsidP="00964CC4">
            <w:pPr>
              <w:pStyle w:val="TAL"/>
              <w:rPr>
                <w:szCs w:val="22"/>
                <w:lang w:eastAsia="sv-SE"/>
              </w:rPr>
            </w:pPr>
            <w:r w:rsidRPr="00FA0D37">
              <w:rPr>
                <w:szCs w:val="22"/>
                <w:lang w:eastAsia="sv-SE"/>
              </w:rPr>
              <w:t>Number of antenna ports in first (n1) and second (n2) dimension and codebook subset restriction (see TS 38.214 [19] clause 5.2.2.2.1).</w:t>
            </w:r>
          </w:p>
        </w:tc>
      </w:tr>
      <w:tr w:rsidR="005C7FF4" w:rsidRPr="00FA0D37"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FA0D37" w:rsidRDefault="00394471" w:rsidP="00964CC4">
            <w:pPr>
              <w:pStyle w:val="TAL"/>
              <w:rPr>
                <w:szCs w:val="22"/>
                <w:lang w:eastAsia="sv-SE"/>
              </w:rPr>
            </w:pPr>
            <w:r w:rsidRPr="00FA0D37">
              <w:rPr>
                <w:b/>
                <w:i/>
                <w:szCs w:val="22"/>
                <w:lang w:eastAsia="sv-SE"/>
              </w:rPr>
              <w:t>ng-n1-n2</w:t>
            </w:r>
          </w:p>
          <w:p w14:paraId="736468B1" w14:textId="77777777" w:rsidR="00394471" w:rsidRPr="00FA0D37" w:rsidRDefault="00394471" w:rsidP="00964CC4">
            <w:pPr>
              <w:pStyle w:val="TAL"/>
              <w:rPr>
                <w:szCs w:val="22"/>
                <w:lang w:eastAsia="sv-SE"/>
              </w:rPr>
            </w:pPr>
            <w:r w:rsidRPr="00FA0D37">
              <w:rPr>
                <w:szCs w:val="22"/>
                <w:lang w:eastAsia="sv-SE"/>
              </w:rPr>
              <w:t>Codebook subset restriction for Type I Multi-panel codebook (see TS 38.214 [19], clause 5.2.2.2.2).</w:t>
            </w:r>
          </w:p>
        </w:tc>
      </w:tr>
      <w:tr w:rsidR="005C7FF4" w:rsidRPr="00FA0D37"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FA0D37" w:rsidRDefault="00394471" w:rsidP="00964CC4">
            <w:pPr>
              <w:pStyle w:val="TAL"/>
              <w:rPr>
                <w:szCs w:val="22"/>
                <w:lang w:eastAsia="sv-SE"/>
              </w:rPr>
            </w:pPr>
            <w:r w:rsidRPr="00FA0D37">
              <w:rPr>
                <w:b/>
                <w:i/>
                <w:szCs w:val="22"/>
                <w:lang w:eastAsia="sv-SE"/>
              </w:rPr>
              <w:t>numberOfBeams</w:t>
            </w:r>
          </w:p>
          <w:p w14:paraId="12740DA3" w14:textId="77777777" w:rsidR="00394471" w:rsidRPr="00FA0D37" w:rsidRDefault="00394471" w:rsidP="00964CC4">
            <w:pPr>
              <w:pStyle w:val="TAL"/>
              <w:rPr>
                <w:szCs w:val="22"/>
                <w:lang w:eastAsia="sv-SE"/>
              </w:rPr>
            </w:pPr>
            <w:r w:rsidRPr="00FA0D37">
              <w:rPr>
                <w:szCs w:val="22"/>
                <w:lang w:eastAsia="sv-SE"/>
              </w:rPr>
              <w:t>Number of beams, L, used for linear combination.</w:t>
            </w:r>
          </w:p>
        </w:tc>
      </w:tr>
      <w:tr w:rsidR="005C7FF4" w:rsidRPr="00FA0D37"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FA0D37" w:rsidRDefault="00394471" w:rsidP="00964CC4">
            <w:pPr>
              <w:pStyle w:val="TAL"/>
              <w:rPr>
                <w:b/>
                <w:i/>
                <w:szCs w:val="22"/>
                <w:lang w:eastAsia="sv-SE"/>
              </w:rPr>
            </w:pPr>
            <w:r w:rsidRPr="00FA0D37">
              <w:rPr>
                <w:b/>
                <w:i/>
                <w:szCs w:val="22"/>
                <w:lang w:eastAsia="sv-SE"/>
              </w:rPr>
              <w:t>numberOfPMI-SubbandsPerCQI-Subband</w:t>
            </w:r>
          </w:p>
          <w:p w14:paraId="7FA38407" w14:textId="1DE3EA3D" w:rsidR="00394471" w:rsidRPr="00FA0D37" w:rsidRDefault="00394471" w:rsidP="00964CC4">
            <w:pPr>
              <w:pStyle w:val="TAL"/>
              <w:rPr>
                <w:b/>
                <w:i/>
                <w:szCs w:val="22"/>
                <w:lang w:eastAsia="sv-SE"/>
              </w:rPr>
            </w:pPr>
            <w:r w:rsidRPr="00FA0D37">
              <w:rPr>
                <w:szCs w:val="22"/>
                <w:lang w:eastAsia="sv-SE"/>
              </w:rPr>
              <w:t>Field indicates how PMI subbands are defined per CQI subband according to TS 38.214 [19], clause 5.2.2.2.5,</w:t>
            </w:r>
            <w:r w:rsidR="00486327" w:rsidRPr="00FA0D37">
              <w:rPr>
                <w:szCs w:val="22"/>
                <w:lang w:eastAsia="sv-SE"/>
              </w:rPr>
              <w:t xml:space="preserve"> and 5.2.2.2.7.</w:t>
            </w:r>
          </w:p>
        </w:tc>
      </w:tr>
      <w:tr w:rsidR="005C7FF4" w:rsidRPr="00FA0D37"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77777777" w:rsidR="00394471" w:rsidRPr="00FA0D37" w:rsidRDefault="00394471" w:rsidP="00964CC4">
            <w:pPr>
              <w:pStyle w:val="TAL"/>
              <w:rPr>
                <w:b/>
                <w:i/>
                <w:szCs w:val="22"/>
                <w:lang w:eastAsia="sv-SE"/>
              </w:rPr>
            </w:pPr>
            <w:r w:rsidRPr="00FA0D37">
              <w:rPr>
                <w:b/>
                <w:i/>
                <w:szCs w:val="22"/>
                <w:lang w:eastAsia="sv-SE"/>
              </w:rPr>
              <w:t>paramCombination</w:t>
            </w:r>
          </w:p>
          <w:p w14:paraId="11316784" w14:textId="3643CFDC" w:rsidR="00394471" w:rsidRPr="00FA0D37" w:rsidRDefault="00394471" w:rsidP="00964CC4">
            <w:pPr>
              <w:pStyle w:val="TAL"/>
              <w:rPr>
                <w:b/>
                <w:i/>
                <w:szCs w:val="22"/>
                <w:lang w:eastAsia="sv-SE"/>
              </w:rPr>
            </w:pPr>
            <w:r w:rsidRPr="00FA0D37">
              <w:rPr>
                <w:szCs w:val="22"/>
                <w:lang w:eastAsia="sv-SE"/>
              </w:rPr>
              <w:t xml:space="preserve">Field describes supported parameter combination </w:t>
            </w:r>
            <w:r w:rsidR="00486327" w:rsidRPr="00FA0D37">
              <w:t>(</w:t>
            </w:r>
            <w:r w:rsidR="00486327" w:rsidRPr="00FA0D37">
              <w:rPr>
                <w:i/>
                <w:iCs/>
              </w:rPr>
              <w:t xml:space="preserve">M, </w:t>
            </w:r>
            <m:oMath>
              <m:r>
                <w:rPr>
                  <w:rFonts w:ascii="Cambria Math" w:hAnsi="Cambria Math"/>
                  <w:lang w:eastAsia="en-GB"/>
                </w:rPr>
                <m:t>α</m:t>
              </m:r>
            </m:oMath>
            <w:r w:rsidR="00486327" w:rsidRPr="00FA0D37">
              <w:rPr>
                <w:i/>
                <w:iCs/>
              </w:rPr>
              <w:t xml:space="preserve">, </w:t>
            </w:r>
            <m:oMath>
              <m:r>
                <w:rPr>
                  <w:rFonts w:ascii="Cambria Math" w:eastAsia="Calibri" w:hAnsi="Cambria Math"/>
                  <w:lang w:eastAsia="en-GB"/>
                </w:rPr>
                <m:t>β</m:t>
              </m:r>
            </m:oMath>
            <w:r w:rsidR="00486327" w:rsidRPr="00FA0D37">
              <w:t>)</w:t>
            </w:r>
            <w:r w:rsidRPr="00FA0D37">
              <w:rPr>
                <w:lang w:eastAsia="sv-SE"/>
              </w:rPr>
              <w:t xml:space="preserve"> </w:t>
            </w:r>
            <w:r w:rsidRPr="00FA0D37">
              <w:rPr>
                <w:szCs w:val="22"/>
                <w:lang w:eastAsia="sv-SE"/>
              </w:rPr>
              <w:t>as specified in TS 38.214</w:t>
            </w:r>
            <w:r w:rsidR="00B822E7" w:rsidRPr="00FA0D37">
              <w:rPr>
                <w:szCs w:val="22"/>
                <w:lang w:eastAsia="sv-SE"/>
              </w:rPr>
              <w:t xml:space="preserve"> [19]</w:t>
            </w:r>
            <w:r w:rsidRPr="00FA0D37">
              <w:rPr>
                <w:szCs w:val="22"/>
                <w:lang w:eastAsia="sv-SE"/>
              </w:rPr>
              <w:t>.</w:t>
            </w:r>
          </w:p>
        </w:tc>
      </w:tr>
      <w:tr w:rsidR="005C7FF4" w:rsidRPr="00FA0D37"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FA0D37" w:rsidRDefault="00394471" w:rsidP="00964CC4">
            <w:pPr>
              <w:pStyle w:val="TAL"/>
              <w:rPr>
                <w:szCs w:val="22"/>
                <w:lang w:eastAsia="sv-SE"/>
              </w:rPr>
            </w:pPr>
            <w:r w:rsidRPr="00FA0D37">
              <w:rPr>
                <w:b/>
                <w:i/>
                <w:szCs w:val="22"/>
                <w:lang w:eastAsia="sv-SE"/>
              </w:rPr>
              <w:t>phaseAlphabetSize</w:t>
            </w:r>
          </w:p>
          <w:p w14:paraId="6EABE70E" w14:textId="77777777" w:rsidR="00394471" w:rsidRPr="00FA0D37" w:rsidRDefault="00394471" w:rsidP="00964CC4">
            <w:pPr>
              <w:pStyle w:val="TAL"/>
              <w:rPr>
                <w:szCs w:val="22"/>
                <w:lang w:eastAsia="sv-SE"/>
              </w:rPr>
            </w:pPr>
            <w:r w:rsidRPr="00FA0D37">
              <w:rPr>
                <w:szCs w:val="22"/>
                <w:lang w:eastAsia="sv-SE"/>
              </w:rPr>
              <w:t>The size of the PSK alphabet, QPSK or 8-PSK.</w:t>
            </w:r>
          </w:p>
        </w:tc>
      </w:tr>
      <w:tr w:rsidR="005C7FF4" w:rsidRPr="00FA0D37"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FA0D37" w:rsidRDefault="00394471" w:rsidP="00964CC4">
            <w:pPr>
              <w:pStyle w:val="TAL"/>
              <w:rPr>
                <w:szCs w:val="22"/>
                <w:lang w:eastAsia="sv-SE"/>
              </w:rPr>
            </w:pPr>
            <w:r w:rsidRPr="00FA0D37">
              <w:rPr>
                <w:b/>
                <w:i/>
                <w:szCs w:val="22"/>
                <w:lang w:eastAsia="sv-SE"/>
              </w:rPr>
              <w:t>portSelectionSamplingSize</w:t>
            </w:r>
          </w:p>
          <w:p w14:paraId="5778BEFE" w14:textId="77777777" w:rsidR="00394471" w:rsidRPr="00FA0D37" w:rsidRDefault="00394471" w:rsidP="00964CC4">
            <w:pPr>
              <w:pStyle w:val="TAL"/>
              <w:rPr>
                <w:szCs w:val="22"/>
                <w:lang w:eastAsia="sv-SE"/>
              </w:rPr>
            </w:pPr>
            <w:r w:rsidRPr="00FA0D37">
              <w:rPr>
                <w:szCs w:val="22"/>
                <w:lang w:eastAsia="sv-SE"/>
              </w:rPr>
              <w:t>The size of the port selection codebook (parameter d), see TS 38.214 [19] clause 5.2.2.2.6.</w:t>
            </w:r>
          </w:p>
        </w:tc>
      </w:tr>
      <w:tr w:rsidR="005C7FF4" w:rsidRPr="00FA0D37"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FA0D37" w:rsidRDefault="00394471" w:rsidP="00964CC4">
            <w:pPr>
              <w:pStyle w:val="TAL"/>
              <w:rPr>
                <w:szCs w:val="22"/>
                <w:lang w:eastAsia="sv-SE"/>
              </w:rPr>
            </w:pPr>
            <w:r w:rsidRPr="00FA0D37">
              <w:rPr>
                <w:b/>
                <w:i/>
                <w:szCs w:val="22"/>
                <w:lang w:eastAsia="sv-SE"/>
              </w:rPr>
              <w:t>ri-Restriction</w:t>
            </w:r>
          </w:p>
          <w:p w14:paraId="1DD759AF" w14:textId="77777777" w:rsidR="00394471" w:rsidRPr="00FA0D37" w:rsidRDefault="00394471" w:rsidP="00964CC4">
            <w:pPr>
              <w:pStyle w:val="TAL"/>
              <w:rPr>
                <w:szCs w:val="22"/>
                <w:lang w:eastAsia="sv-SE"/>
              </w:rPr>
            </w:pPr>
            <w:r w:rsidRPr="00FA0D37">
              <w:rPr>
                <w:szCs w:val="22"/>
                <w:lang w:eastAsia="sv-SE"/>
              </w:rPr>
              <w:t xml:space="preserve">Restriction for RI for </w:t>
            </w:r>
            <w:r w:rsidRPr="00FA0D37">
              <w:rPr>
                <w:i/>
                <w:lang w:eastAsia="sv-SE"/>
              </w:rPr>
              <w:t>TypeI-MultiPanel-RI-Restriction</w:t>
            </w:r>
            <w:r w:rsidRPr="00FA0D37">
              <w:rPr>
                <w:szCs w:val="22"/>
                <w:lang w:eastAsia="sv-SE"/>
              </w:rPr>
              <w:t xml:space="preserve"> (see TS 38.214 [19], clause 5.2.2.2.2).</w:t>
            </w:r>
          </w:p>
        </w:tc>
      </w:tr>
      <w:tr w:rsidR="005C7FF4" w:rsidRPr="00FA0D37"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FA0D37" w:rsidRDefault="00394471" w:rsidP="00964CC4">
            <w:pPr>
              <w:pStyle w:val="TAL"/>
              <w:rPr>
                <w:szCs w:val="22"/>
                <w:lang w:eastAsia="sv-SE"/>
              </w:rPr>
            </w:pPr>
            <w:r w:rsidRPr="00FA0D37">
              <w:rPr>
                <w:b/>
                <w:i/>
                <w:szCs w:val="22"/>
                <w:lang w:eastAsia="sv-SE"/>
              </w:rPr>
              <w:t>subbandAmplitude</w:t>
            </w:r>
          </w:p>
          <w:p w14:paraId="2B2F6E35" w14:textId="77777777" w:rsidR="00394471" w:rsidRPr="00FA0D37" w:rsidRDefault="00394471" w:rsidP="00964CC4">
            <w:pPr>
              <w:pStyle w:val="TAL"/>
              <w:rPr>
                <w:szCs w:val="22"/>
                <w:lang w:eastAsia="sv-SE"/>
              </w:rPr>
            </w:pPr>
            <w:r w:rsidRPr="00FA0D37">
              <w:rPr>
                <w:szCs w:val="22"/>
                <w:lang w:eastAsia="sv-SE"/>
              </w:rPr>
              <w:t>If subband amplitude reporting is activated (</w:t>
            </w:r>
            <w:r w:rsidRPr="00FA0D37">
              <w:rPr>
                <w:i/>
                <w:szCs w:val="22"/>
                <w:lang w:eastAsia="sv-SE"/>
              </w:rPr>
              <w:t>true</w:t>
            </w:r>
            <w:r w:rsidRPr="00FA0D37">
              <w:rPr>
                <w:szCs w:val="22"/>
                <w:lang w:eastAsia="sv-SE"/>
              </w:rPr>
              <w:t>).</w:t>
            </w:r>
          </w:p>
        </w:tc>
      </w:tr>
      <w:tr w:rsidR="005C7FF4" w:rsidRPr="00FA0D37"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FA0D37" w:rsidRDefault="00394471" w:rsidP="00964CC4">
            <w:pPr>
              <w:pStyle w:val="TAL"/>
              <w:rPr>
                <w:szCs w:val="22"/>
                <w:lang w:eastAsia="sv-SE"/>
              </w:rPr>
            </w:pPr>
            <w:r w:rsidRPr="00FA0D37">
              <w:rPr>
                <w:b/>
                <w:i/>
                <w:szCs w:val="22"/>
                <w:lang w:eastAsia="sv-SE"/>
              </w:rPr>
              <w:t>twoTX-CodebookSubsetRestriction</w:t>
            </w:r>
          </w:p>
          <w:p w14:paraId="72A6C034" w14:textId="77777777" w:rsidR="00394471" w:rsidRPr="00FA0D37" w:rsidRDefault="00394471" w:rsidP="00964CC4">
            <w:pPr>
              <w:pStyle w:val="TAL"/>
              <w:rPr>
                <w:szCs w:val="22"/>
                <w:lang w:eastAsia="sv-SE"/>
              </w:rPr>
            </w:pPr>
            <w:r w:rsidRPr="00FA0D37">
              <w:rPr>
                <w:szCs w:val="22"/>
                <w:lang w:eastAsia="sv-SE"/>
              </w:rPr>
              <w:t>Codebook subset restriction for 2TX codebook (see TS 38.214 [19] clause 5.2.2.2.1).</w:t>
            </w:r>
          </w:p>
        </w:tc>
      </w:tr>
      <w:tr w:rsidR="005C7FF4" w:rsidRPr="00FA0D37"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FA0D37" w:rsidRDefault="00394471" w:rsidP="00964CC4">
            <w:pPr>
              <w:pStyle w:val="TAL"/>
              <w:rPr>
                <w:szCs w:val="22"/>
                <w:lang w:eastAsia="sv-SE"/>
              </w:rPr>
            </w:pPr>
            <w:r w:rsidRPr="00FA0D37">
              <w:rPr>
                <w:b/>
                <w:i/>
                <w:szCs w:val="22"/>
                <w:lang w:eastAsia="sv-SE"/>
              </w:rPr>
              <w:t>typeI-SinglePanel-codebookSubsetRestriction-i2</w:t>
            </w:r>
          </w:p>
          <w:p w14:paraId="4E7D6B56" w14:textId="77777777" w:rsidR="00394471" w:rsidRPr="00FA0D37" w:rsidRDefault="00394471" w:rsidP="00964CC4">
            <w:pPr>
              <w:pStyle w:val="TAL"/>
              <w:rPr>
                <w:szCs w:val="22"/>
                <w:lang w:eastAsia="sv-SE"/>
              </w:rPr>
            </w:pPr>
            <w:r w:rsidRPr="00FA0D37">
              <w:rPr>
                <w:szCs w:val="22"/>
                <w:lang w:eastAsia="sv-SE"/>
              </w:rPr>
              <w:t xml:space="preserve">i2 codebook subset restriction for Type I Single-panel codebook used when </w:t>
            </w:r>
            <w:r w:rsidRPr="00FA0D37">
              <w:rPr>
                <w:i/>
                <w:lang w:eastAsia="sv-SE"/>
              </w:rPr>
              <w:t>reportQuantity</w:t>
            </w:r>
            <w:r w:rsidRPr="00FA0D37">
              <w:rPr>
                <w:szCs w:val="22"/>
                <w:lang w:eastAsia="sv-SE"/>
              </w:rPr>
              <w:t xml:space="preserve"> is CRI/Ri/i1/CQI (see TS 38.214 [19] clause 5.2.2.2.1).</w:t>
            </w:r>
          </w:p>
        </w:tc>
      </w:tr>
      <w:tr w:rsidR="005C7FF4" w:rsidRPr="00FA0D37"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FA0D37" w:rsidRDefault="00394471" w:rsidP="00964CC4">
            <w:pPr>
              <w:pStyle w:val="TAL"/>
              <w:rPr>
                <w:szCs w:val="22"/>
                <w:lang w:eastAsia="sv-SE"/>
              </w:rPr>
            </w:pPr>
            <w:r w:rsidRPr="00FA0D37">
              <w:rPr>
                <w:b/>
                <w:i/>
                <w:szCs w:val="22"/>
                <w:lang w:eastAsia="sv-SE"/>
              </w:rPr>
              <w:t>typeI-SinglePanel-ri-Restriction</w:t>
            </w:r>
          </w:p>
          <w:p w14:paraId="4DBD08D4" w14:textId="77777777" w:rsidR="00394471" w:rsidRPr="00FA0D37" w:rsidRDefault="00394471" w:rsidP="00964CC4">
            <w:pPr>
              <w:pStyle w:val="TAL"/>
              <w:rPr>
                <w:szCs w:val="22"/>
                <w:lang w:eastAsia="sv-SE"/>
              </w:rPr>
            </w:pPr>
            <w:r w:rsidRPr="00FA0D37">
              <w:rPr>
                <w:szCs w:val="22"/>
                <w:lang w:eastAsia="sv-SE"/>
              </w:rPr>
              <w:t xml:space="preserve">Restriction for RI for </w:t>
            </w:r>
            <w:r w:rsidRPr="00FA0D37">
              <w:rPr>
                <w:i/>
                <w:lang w:eastAsia="sv-SE"/>
              </w:rPr>
              <w:t>TypeI-SinglePanel-RI-Restriction</w:t>
            </w:r>
            <w:r w:rsidRPr="00FA0D37">
              <w:rPr>
                <w:szCs w:val="22"/>
                <w:lang w:eastAsia="sv-SE"/>
              </w:rPr>
              <w:t xml:space="preserve"> (see TS 38.214 [19], clause 5.2.2.2.1).</w:t>
            </w:r>
          </w:p>
        </w:tc>
      </w:tr>
      <w:tr w:rsidR="005C7FF4" w:rsidRPr="00FA0D37"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FA0D37" w:rsidRDefault="00606C47" w:rsidP="00771058">
            <w:pPr>
              <w:pStyle w:val="TAL"/>
              <w:rPr>
                <w:b/>
                <w:bCs/>
                <w:i/>
                <w:iCs/>
              </w:rPr>
            </w:pPr>
            <w:r w:rsidRPr="00FA0D37">
              <w:rPr>
                <w:b/>
                <w:bCs/>
                <w:i/>
                <w:iCs/>
              </w:rPr>
              <w:t>typeI-SinglePanel</w:t>
            </w:r>
            <w:r w:rsidR="00486327" w:rsidRPr="00FA0D37">
              <w:rPr>
                <w:b/>
                <w:bCs/>
                <w:i/>
                <w:iCs/>
              </w:rPr>
              <w:t>-Group</w:t>
            </w:r>
            <w:r w:rsidRPr="00FA0D37">
              <w:rPr>
                <w:b/>
                <w:bCs/>
                <w:i/>
                <w:iCs/>
              </w:rPr>
              <w:t>1, typeI-SinglePanel</w:t>
            </w:r>
            <w:r w:rsidR="00486327" w:rsidRPr="00FA0D37">
              <w:rPr>
                <w:b/>
                <w:bCs/>
                <w:i/>
                <w:iCs/>
              </w:rPr>
              <w:t>-Group</w:t>
            </w:r>
            <w:r w:rsidRPr="00FA0D37">
              <w:rPr>
                <w:b/>
                <w:bCs/>
                <w:i/>
                <w:iCs/>
              </w:rPr>
              <w:t>2</w:t>
            </w:r>
          </w:p>
          <w:p w14:paraId="6A2F4F58" w14:textId="5FD73A13" w:rsidR="00606C47" w:rsidRPr="00FA0D37" w:rsidRDefault="00606C47" w:rsidP="00771058">
            <w:pPr>
              <w:pStyle w:val="TAL"/>
              <w:rPr>
                <w:szCs w:val="22"/>
                <w:lang w:eastAsia="sv-SE"/>
              </w:rPr>
            </w:pPr>
            <w:r w:rsidRPr="00FA0D37">
              <w:rPr>
                <w:szCs w:val="22"/>
              </w:rPr>
              <w:t xml:space="preserve">Configures codebooks for CSI calculation when UE is configured with </w:t>
            </w:r>
            <w:r w:rsidR="00486327" w:rsidRPr="00FA0D37">
              <w:rPr>
                <w:szCs w:val="22"/>
              </w:rPr>
              <w:t xml:space="preserve">two CMR Groups with </w:t>
            </w:r>
            <w:r w:rsidR="00486327" w:rsidRPr="00FA0D37">
              <w:rPr>
                <w:i/>
                <w:iCs/>
              </w:rPr>
              <w:t>CMRGroupingAndPairing</w:t>
            </w:r>
            <w:r w:rsidR="00486327" w:rsidRPr="00FA0D37" w:rsidDel="00BE1F0C">
              <w:rPr>
                <w:lang w:eastAsia="sv-SE"/>
              </w:rPr>
              <w:t xml:space="preserve"> </w:t>
            </w:r>
            <w:r w:rsidR="00486327" w:rsidRPr="00FA0D37">
              <w:t xml:space="preserve">in the </w:t>
            </w:r>
            <w:r w:rsidR="00486327" w:rsidRPr="00FA0D37">
              <w:rPr>
                <w:i/>
                <w:iCs/>
              </w:rPr>
              <w:t>NZP-CSI-RS-ResourceSet</w:t>
            </w:r>
            <w:r w:rsidR="00486327" w:rsidRPr="00FA0D37">
              <w:t xml:space="preserve"> associated with the </w:t>
            </w:r>
            <w:r w:rsidR="00486327" w:rsidRPr="00FA0D37">
              <w:rPr>
                <w:i/>
                <w:iCs/>
              </w:rPr>
              <w:t>CSI-ReportConfig</w:t>
            </w:r>
            <w:r w:rsidRPr="00FA0D37">
              <w:rPr>
                <w:szCs w:val="22"/>
              </w:rPr>
              <w:t>. Network configures the same number of ports for both codebooks.</w:t>
            </w:r>
          </w:p>
        </w:tc>
      </w:tr>
      <w:tr w:rsidR="005C7FF4" w:rsidRPr="00FA0D37"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FA0D37" w:rsidRDefault="00100624" w:rsidP="0071565C">
            <w:pPr>
              <w:pStyle w:val="TAL"/>
              <w:rPr>
                <w:b/>
                <w:i/>
                <w:szCs w:val="22"/>
                <w:lang w:eastAsia="sv-SE"/>
              </w:rPr>
            </w:pPr>
            <w:r w:rsidRPr="00FA0D37">
              <w:rPr>
                <w:b/>
                <w:i/>
                <w:szCs w:val="22"/>
                <w:lang w:eastAsia="sv-SE"/>
              </w:rPr>
              <w:t>typeI-SinglePanel-ri-RestrictionSDM, typeI-SinglePanel-ri-RestrictionSTRP</w:t>
            </w:r>
          </w:p>
          <w:p w14:paraId="33C940CE" w14:textId="77777777" w:rsidR="00100624" w:rsidRPr="00FA0D37" w:rsidRDefault="00100624" w:rsidP="0071565C">
            <w:pPr>
              <w:pStyle w:val="TAL"/>
              <w:rPr>
                <w:b/>
                <w:i/>
                <w:szCs w:val="22"/>
                <w:lang w:eastAsia="sv-SE"/>
              </w:rPr>
            </w:pPr>
            <w:r w:rsidRPr="00FA0D37">
              <w:rPr>
                <w:bCs/>
                <w:iCs/>
                <w:szCs w:val="22"/>
                <w:lang w:eastAsia="sv-SE"/>
              </w:rPr>
              <w:t xml:space="preserve">Restriction for RI for </w:t>
            </w:r>
            <w:r w:rsidRPr="00FA0D37">
              <w:rPr>
                <w:bCs/>
                <w:i/>
                <w:iCs/>
                <w:szCs w:val="22"/>
                <w:lang w:eastAsia="sv-SE"/>
              </w:rPr>
              <w:t>N</w:t>
            </w:r>
            <w:r w:rsidRPr="00FA0D37">
              <w:rPr>
                <w:bCs/>
                <w:iCs/>
                <w:szCs w:val="22"/>
                <w:lang w:eastAsia="sv-SE"/>
              </w:rPr>
              <w:t xml:space="preserve"> Resource Pairs when two CMR Groups are configured with </w:t>
            </w:r>
            <w:r w:rsidRPr="00FA0D37">
              <w:rPr>
                <w:i/>
                <w:iCs/>
              </w:rPr>
              <w:t>CMRGroupingAndPairing</w:t>
            </w:r>
            <w:r w:rsidRPr="00FA0D37">
              <w:rPr>
                <w:bCs/>
                <w:iCs/>
                <w:szCs w:val="22"/>
                <w:lang w:eastAsia="sv-SE"/>
              </w:rPr>
              <w:t xml:space="preserve"> in the </w:t>
            </w:r>
            <w:r w:rsidRPr="00FA0D37">
              <w:rPr>
                <w:bCs/>
                <w:i/>
                <w:szCs w:val="22"/>
                <w:lang w:eastAsia="sv-SE"/>
              </w:rPr>
              <w:t>NZP-CSI-RS-ResourceSet</w:t>
            </w:r>
            <w:r w:rsidRPr="00FA0D37">
              <w:rPr>
                <w:bCs/>
                <w:iCs/>
                <w:szCs w:val="22"/>
                <w:lang w:eastAsia="sv-SE"/>
              </w:rPr>
              <w:t xml:space="preserve"> associated with the </w:t>
            </w:r>
            <w:r w:rsidRPr="00FA0D37">
              <w:rPr>
                <w:bCs/>
                <w:i/>
                <w:szCs w:val="22"/>
                <w:lang w:eastAsia="sv-SE"/>
              </w:rPr>
              <w:t>CSI-ReportConfig</w:t>
            </w:r>
            <w:r w:rsidRPr="00FA0D37">
              <w:rPr>
                <w:bCs/>
                <w:iCs/>
                <w:szCs w:val="22"/>
                <w:lang w:eastAsia="sv-SE"/>
              </w:rPr>
              <w:t xml:space="preserve"> (see TS 38.214 [19], clause 5.2.1.4.2).</w:t>
            </w:r>
          </w:p>
        </w:tc>
      </w:tr>
      <w:tr w:rsidR="005C7FF4" w:rsidRPr="00FA0D37"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FA0D37" w:rsidRDefault="00394471" w:rsidP="00964CC4">
            <w:pPr>
              <w:pStyle w:val="TAL"/>
              <w:rPr>
                <w:szCs w:val="22"/>
                <w:lang w:eastAsia="sv-SE"/>
              </w:rPr>
            </w:pPr>
            <w:r w:rsidRPr="00FA0D37">
              <w:rPr>
                <w:b/>
                <w:i/>
                <w:szCs w:val="22"/>
                <w:lang w:eastAsia="sv-SE"/>
              </w:rPr>
              <w:t>typeII-PortSelectionRI-Restriction</w:t>
            </w:r>
          </w:p>
          <w:p w14:paraId="4653D10A" w14:textId="77777777" w:rsidR="00394471" w:rsidRPr="00FA0D37" w:rsidRDefault="00394471" w:rsidP="00964CC4">
            <w:pPr>
              <w:pStyle w:val="TAL"/>
              <w:rPr>
                <w:szCs w:val="22"/>
                <w:lang w:eastAsia="sv-SE"/>
              </w:rPr>
            </w:pPr>
            <w:r w:rsidRPr="00FA0D37">
              <w:rPr>
                <w:szCs w:val="22"/>
                <w:lang w:eastAsia="sv-SE"/>
              </w:rPr>
              <w:t xml:space="preserve">Restriction for RI for </w:t>
            </w:r>
            <w:r w:rsidRPr="00FA0D37">
              <w:rPr>
                <w:i/>
                <w:lang w:eastAsia="sv-SE"/>
              </w:rPr>
              <w:t>TypeII-PortSelection-RI-Restriction</w:t>
            </w:r>
            <w:r w:rsidRPr="00FA0D37">
              <w:rPr>
                <w:szCs w:val="22"/>
                <w:lang w:eastAsia="sv-SE"/>
              </w:rPr>
              <w:t xml:space="preserve"> (see TS 38.214 [19], clauses 5.2.2.2.4 and 5.2.2.2.6).</w:t>
            </w:r>
          </w:p>
        </w:tc>
      </w:tr>
      <w:tr w:rsidR="005C7FF4" w:rsidRPr="00FA0D37"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FA0D37" w:rsidRDefault="00394471" w:rsidP="00964CC4">
            <w:pPr>
              <w:pStyle w:val="TAL"/>
              <w:rPr>
                <w:szCs w:val="22"/>
                <w:lang w:eastAsia="sv-SE"/>
              </w:rPr>
            </w:pPr>
            <w:r w:rsidRPr="00FA0D37">
              <w:rPr>
                <w:b/>
                <w:i/>
                <w:szCs w:val="22"/>
                <w:lang w:eastAsia="sv-SE"/>
              </w:rPr>
              <w:t>typeII-RI-Restriction</w:t>
            </w:r>
          </w:p>
          <w:p w14:paraId="09C661EE" w14:textId="77777777" w:rsidR="00394471" w:rsidRPr="00FA0D37" w:rsidRDefault="00394471" w:rsidP="00964CC4">
            <w:pPr>
              <w:pStyle w:val="TAL"/>
              <w:rPr>
                <w:szCs w:val="22"/>
                <w:lang w:eastAsia="sv-SE"/>
              </w:rPr>
            </w:pPr>
            <w:r w:rsidRPr="00FA0D37">
              <w:rPr>
                <w:szCs w:val="22"/>
                <w:lang w:eastAsia="sv-SE"/>
              </w:rPr>
              <w:t xml:space="preserve">Restriction for RI for </w:t>
            </w:r>
            <w:r w:rsidRPr="00FA0D37">
              <w:rPr>
                <w:i/>
                <w:lang w:eastAsia="sv-SE"/>
              </w:rPr>
              <w:t>TypeII-RI-Restriction</w:t>
            </w:r>
            <w:r w:rsidRPr="00FA0D37">
              <w:rPr>
                <w:szCs w:val="22"/>
                <w:lang w:eastAsia="sv-SE"/>
              </w:rPr>
              <w:t xml:space="preserve"> (see TS 38.214 [19], clauses 5.2.2.2.3 and 5.2.2.2.5).</w:t>
            </w:r>
          </w:p>
        </w:tc>
      </w:tr>
      <w:tr w:rsidR="00F747EB" w:rsidRPr="00FA0D37"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FA0D37" w:rsidRDefault="00486327" w:rsidP="0071565C">
            <w:pPr>
              <w:pStyle w:val="TAL"/>
              <w:rPr>
                <w:b/>
                <w:i/>
                <w:szCs w:val="22"/>
                <w:lang w:eastAsia="sv-SE"/>
              </w:rPr>
            </w:pPr>
            <w:r w:rsidRPr="00FA0D37">
              <w:rPr>
                <w:b/>
                <w:i/>
                <w:szCs w:val="22"/>
                <w:lang w:eastAsia="sv-SE"/>
              </w:rPr>
              <w:lastRenderedPageBreak/>
              <w:t>valueOfN</w:t>
            </w:r>
          </w:p>
          <w:p w14:paraId="2EE6CCEF" w14:textId="16D508DC" w:rsidR="00486327" w:rsidRPr="00FA0D37" w:rsidRDefault="00486327" w:rsidP="0071565C">
            <w:pPr>
              <w:pStyle w:val="TAL"/>
              <w:rPr>
                <w:bCs/>
                <w:iCs/>
                <w:szCs w:val="22"/>
                <w:lang w:eastAsia="sv-SE"/>
              </w:rPr>
            </w:pPr>
            <w:r w:rsidRPr="00FA0D37">
              <w:rPr>
                <w:bCs/>
                <w:iCs/>
                <w:szCs w:val="22"/>
                <w:lang w:eastAsia="sv-SE"/>
              </w:rPr>
              <w:t xml:space="preserve">Field provides the value of parameter N as specified in TS 38.214 [19], clause 5.2.2.2.7. The field is present only when M=2 set by </w:t>
            </w:r>
            <w:r w:rsidRPr="00FA0D37">
              <w:rPr>
                <w:bCs/>
                <w:i/>
                <w:szCs w:val="22"/>
                <w:lang w:eastAsia="sv-SE"/>
              </w:rPr>
              <w:t>paramCombination</w:t>
            </w:r>
            <w:r w:rsidRPr="00FA0D37">
              <w:rPr>
                <w:bCs/>
                <w:iCs/>
                <w:szCs w:val="22"/>
                <w:lang w:eastAsia="sv-SE"/>
              </w:rPr>
              <w:t>, see TS 38.</w:t>
            </w:r>
            <w:r w:rsidR="003A2D9D" w:rsidRPr="00FA0D37">
              <w:rPr>
                <w:bCs/>
                <w:iCs/>
                <w:szCs w:val="22"/>
                <w:lang w:eastAsia="sv-SE"/>
              </w:rPr>
              <w:t>2</w:t>
            </w:r>
            <w:r w:rsidRPr="00FA0D37">
              <w:rPr>
                <w:bCs/>
                <w:iCs/>
                <w:szCs w:val="22"/>
                <w:lang w:eastAsia="sv-SE"/>
              </w:rPr>
              <w:t>14</w:t>
            </w:r>
            <w:r w:rsidR="003A2D9D" w:rsidRPr="00FA0D37">
              <w:rPr>
                <w:bCs/>
                <w:iCs/>
                <w:szCs w:val="22"/>
                <w:lang w:eastAsia="sv-SE"/>
              </w:rPr>
              <w:t xml:space="preserve"> [19]</w:t>
            </w:r>
            <w:r w:rsidRPr="00FA0D37">
              <w:rPr>
                <w:bCs/>
                <w:iCs/>
                <w:szCs w:val="22"/>
                <w:lang w:eastAsia="sv-SE"/>
              </w:rPr>
              <w:t>.</w:t>
            </w:r>
          </w:p>
        </w:tc>
      </w:tr>
    </w:tbl>
    <w:p w14:paraId="2AB63D73" w14:textId="77777777" w:rsidR="00394471" w:rsidRPr="00FA0D37" w:rsidRDefault="00394471" w:rsidP="00394471">
      <w:pPr>
        <w:rPr>
          <w:rFonts w:eastAsiaTheme="minorEastAsia"/>
        </w:rPr>
      </w:pPr>
    </w:p>
    <w:p w14:paraId="2C601D80" w14:textId="77777777" w:rsidR="00394471" w:rsidRPr="00FA0D37" w:rsidRDefault="00394471" w:rsidP="00394471">
      <w:pPr>
        <w:pStyle w:val="4"/>
      </w:pPr>
      <w:bookmarkStart w:id="949" w:name="_Toc60777198"/>
      <w:bookmarkStart w:id="950" w:name="_Toc146781245"/>
      <w:r w:rsidRPr="00FA0D37">
        <w:t>–</w:t>
      </w:r>
      <w:r w:rsidRPr="00FA0D37">
        <w:tab/>
      </w:r>
      <w:r w:rsidRPr="00FA0D37">
        <w:rPr>
          <w:i/>
          <w:iCs/>
        </w:rPr>
        <w:t>CommonLocationInfo</w:t>
      </w:r>
      <w:bookmarkEnd w:id="949"/>
      <w:bookmarkEnd w:id="950"/>
    </w:p>
    <w:p w14:paraId="7E587E3B" w14:textId="77777777" w:rsidR="00394471" w:rsidRPr="00FA0D37" w:rsidRDefault="00394471" w:rsidP="00394471">
      <w:r w:rsidRPr="00FA0D37">
        <w:t xml:space="preserve">The IE </w:t>
      </w:r>
      <w:r w:rsidRPr="00FA0D37">
        <w:rPr>
          <w:i/>
        </w:rPr>
        <w:t>CommonLocationInfo</w:t>
      </w:r>
      <w:r w:rsidRPr="00FA0D37">
        <w:t xml:space="preserve"> is used to transfer detailed location information available at the UE to correlate measurements and UE position information.</w:t>
      </w:r>
    </w:p>
    <w:p w14:paraId="23EF8942" w14:textId="77777777" w:rsidR="00394471" w:rsidRPr="00FA0D37" w:rsidRDefault="00394471" w:rsidP="00394471">
      <w:pPr>
        <w:pStyle w:val="TH"/>
      </w:pPr>
      <w:r w:rsidRPr="00FA0D37">
        <w:rPr>
          <w:i/>
        </w:rPr>
        <w:t>CommonLocationInfo</w:t>
      </w:r>
      <w:r w:rsidRPr="00FA0D37">
        <w:t xml:space="preserve"> information element</w:t>
      </w:r>
    </w:p>
    <w:p w14:paraId="37716B24" w14:textId="77777777" w:rsidR="00394471" w:rsidRPr="00FA0D37" w:rsidRDefault="00394471" w:rsidP="00FA0D37">
      <w:pPr>
        <w:pStyle w:val="PL"/>
        <w:rPr>
          <w:color w:val="808080"/>
        </w:rPr>
      </w:pPr>
      <w:r w:rsidRPr="00FA0D37">
        <w:rPr>
          <w:color w:val="808080"/>
        </w:rPr>
        <w:t>-- ASN1START</w:t>
      </w:r>
    </w:p>
    <w:p w14:paraId="15280678" w14:textId="77777777" w:rsidR="00394471" w:rsidRPr="00FA0D37" w:rsidRDefault="00394471" w:rsidP="00FA0D37">
      <w:pPr>
        <w:pStyle w:val="PL"/>
        <w:rPr>
          <w:color w:val="808080"/>
        </w:rPr>
      </w:pPr>
      <w:r w:rsidRPr="00FA0D37">
        <w:rPr>
          <w:color w:val="808080"/>
        </w:rPr>
        <w:t>-- TAG-COMMONLOCATIONINFO-START</w:t>
      </w:r>
    </w:p>
    <w:p w14:paraId="3B8CDA86" w14:textId="77777777" w:rsidR="00394471" w:rsidRPr="00FA0D37" w:rsidRDefault="00394471" w:rsidP="00FA0D37">
      <w:pPr>
        <w:pStyle w:val="PL"/>
      </w:pPr>
    </w:p>
    <w:p w14:paraId="25A8119C" w14:textId="77777777" w:rsidR="00394471" w:rsidRPr="00FA0D37" w:rsidRDefault="00394471" w:rsidP="00FA0D37">
      <w:pPr>
        <w:pStyle w:val="PL"/>
      </w:pPr>
      <w:r w:rsidRPr="00FA0D37">
        <w:t xml:space="preserve">CommonLocationInfo-r16 ::= </w:t>
      </w:r>
      <w:r w:rsidRPr="00FA0D37">
        <w:rPr>
          <w:color w:val="993366"/>
        </w:rPr>
        <w:t>SEQUENCE</w:t>
      </w:r>
      <w:r w:rsidRPr="00FA0D37">
        <w:t xml:space="preserve"> {</w:t>
      </w:r>
    </w:p>
    <w:p w14:paraId="3BB859BA" w14:textId="77777777" w:rsidR="00394471" w:rsidRPr="00FA0D37" w:rsidRDefault="00394471" w:rsidP="00FA0D37">
      <w:pPr>
        <w:pStyle w:val="PL"/>
      </w:pPr>
      <w:r w:rsidRPr="00FA0D37">
        <w:t xml:space="preserve">    gnss-TOD-msec-r16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A56F60F" w14:textId="77777777" w:rsidR="00394471" w:rsidRPr="00FA0D37" w:rsidRDefault="00394471" w:rsidP="00FA0D37">
      <w:pPr>
        <w:pStyle w:val="PL"/>
      </w:pPr>
      <w:r w:rsidRPr="00FA0D37">
        <w:t xml:space="preserve">    locationTimestamp-r16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652A6DD8" w14:textId="77777777" w:rsidR="00394471" w:rsidRPr="00FA0D37" w:rsidRDefault="00394471" w:rsidP="00FA0D37">
      <w:pPr>
        <w:pStyle w:val="PL"/>
      </w:pPr>
      <w:r w:rsidRPr="00FA0D37">
        <w:t xml:space="preserve">    locationCoordinate-r16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7C4F3DA" w14:textId="77777777" w:rsidR="00394471" w:rsidRPr="00FA0D37" w:rsidRDefault="00394471" w:rsidP="00FA0D37">
      <w:pPr>
        <w:pStyle w:val="PL"/>
      </w:pPr>
      <w:r w:rsidRPr="00FA0D37">
        <w:t xml:space="preserve">    locationError-r16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9CBB9C0" w14:textId="77777777" w:rsidR="00394471" w:rsidRPr="00FA0D37" w:rsidRDefault="00394471" w:rsidP="00FA0D37">
      <w:pPr>
        <w:pStyle w:val="PL"/>
      </w:pPr>
      <w:r w:rsidRPr="00FA0D37">
        <w:t xml:space="preserve">    locationSource-r16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7A1E680" w14:textId="77777777" w:rsidR="00394471" w:rsidRPr="00FA0D37" w:rsidRDefault="00394471" w:rsidP="00FA0D37">
      <w:pPr>
        <w:pStyle w:val="PL"/>
      </w:pPr>
      <w:r w:rsidRPr="00FA0D37">
        <w:t xml:space="preserve">    velocityEstimate-r16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p>
    <w:p w14:paraId="0914779F" w14:textId="77777777" w:rsidR="00394471" w:rsidRPr="00FA0D37" w:rsidRDefault="00394471" w:rsidP="00FA0D37">
      <w:pPr>
        <w:pStyle w:val="PL"/>
        <w:rPr>
          <w:rFonts w:eastAsia="Calibri"/>
        </w:rPr>
      </w:pPr>
      <w:r w:rsidRPr="00FA0D37">
        <w:t>}</w:t>
      </w:r>
    </w:p>
    <w:p w14:paraId="713DCE4C" w14:textId="77777777" w:rsidR="00394471" w:rsidRPr="00FA0D37" w:rsidRDefault="00394471" w:rsidP="00FA0D37">
      <w:pPr>
        <w:pStyle w:val="PL"/>
      </w:pPr>
    </w:p>
    <w:p w14:paraId="6B203B02" w14:textId="77777777" w:rsidR="00394471" w:rsidRPr="00FA0D37" w:rsidRDefault="00394471" w:rsidP="00FA0D37">
      <w:pPr>
        <w:pStyle w:val="PL"/>
        <w:rPr>
          <w:color w:val="808080"/>
        </w:rPr>
      </w:pPr>
      <w:r w:rsidRPr="00FA0D37">
        <w:rPr>
          <w:color w:val="808080"/>
        </w:rPr>
        <w:t>-- TAG-COMMONLOCATIONINFO-STOP</w:t>
      </w:r>
    </w:p>
    <w:p w14:paraId="4E84B03D" w14:textId="77777777" w:rsidR="00394471" w:rsidRPr="00FA0D37" w:rsidRDefault="00394471" w:rsidP="00FA0D37">
      <w:pPr>
        <w:pStyle w:val="PL"/>
        <w:rPr>
          <w:color w:val="808080"/>
        </w:rPr>
      </w:pPr>
      <w:r w:rsidRPr="00FA0D37">
        <w:rPr>
          <w:color w:val="808080"/>
        </w:rPr>
        <w:t>-- ASN1STOP</w:t>
      </w:r>
    </w:p>
    <w:p w14:paraId="5369FF62" w14:textId="77777777" w:rsidR="00394471" w:rsidRPr="00FA0D37"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FA0D37" w:rsidRDefault="00394471" w:rsidP="00964CC4">
            <w:pPr>
              <w:pStyle w:val="TAH"/>
              <w:rPr>
                <w:snapToGrid w:val="0"/>
                <w:lang w:eastAsia="sv-SE"/>
              </w:rPr>
            </w:pPr>
            <w:r w:rsidRPr="00FA0D37">
              <w:rPr>
                <w:i/>
                <w:iCs/>
                <w:snapToGrid w:val="0"/>
                <w:lang w:eastAsia="sv-SE"/>
              </w:rPr>
              <w:t>CommonLocationInfo</w:t>
            </w:r>
            <w:r w:rsidRPr="00FA0D37">
              <w:rPr>
                <w:snapToGrid w:val="0"/>
                <w:lang w:eastAsia="sv-SE"/>
              </w:rPr>
              <w:t xml:space="preserve"> field descriptions</w:t>
            </w:r>
          </w:p>
        </w:tc>
      </w:tr>
      <w:tr w:rsidR="005C7FF4" w:rsidRPr="00FA0D37"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FA0D37" w:rsidRDefault="008A43F6" w:rsidP="008A43F6">
            <w:pPr>
              <w:pStyle w:val="TAL"/>
              <w:rPr>
                <w:b/>
                <w:bCs/>
                <w:i/>
                <w:iCs/>
                <w:snapToGrid w:val="0"/>
                <w:lang w:eastAsia="en-GB"/>
              </w:rPr>
            </w:pPr>
            <w:r w:rsidRPr="00FA0D37">
              <w:rPr>
                <w:b/>
                <w:bCs/>
                <w:i/>
                <w:iCs/>
                <w:snapToGrid w:val="0"/>
                <w:lang w:eastAsia="en-GB"/>
              </w:rPr>
              <w:t>gnss-TOD-msec</w:t>
            </w:r>
          </w:p>
          <w:p w14:paraId="580B8D79" w14:textId="00A9E48F" w:rsidR="008A43F6" w:rsidRPr="00FA0D37" w:rsidRDefault="008A43F6" w:rsidP="008A43F6">
            <w:pPr>
              <w:pStyle w:val="TAL"/>
              <w:rPr>
                <w:b/>
                <w:bCs/>
                <w:i/>
                <w:iCs/>
                <w:snapToGrid w:val="0"/>
                <w:lang w:eastAsia="en-GB"/>
              </w:rPr>
            </w:pPr>
            <w:r w:rsidRPr="00FA0D37">
              <w:rPr>
                <w:snapToGrid w:val="0"/>
                <w:lang w:eastAsia="en-GB"/>
              </w:rPr>
              <w:t xml:space="preserve">Parameter type </w:t>
            </w:r>
            <w:r w:rsidRPr="00FA0D37">
              <w:rPr>
                <w:i/>
                <w:snapToGrid w:val="0"/>
                <w:lang w:eastAsia="en-GB"/>
              </w:rPr>
              <w:t>gnss-TOD-msec</w:t>
            </w:r>
            <w:r w:rsidRPr="00FA0D37">
              <w:rPr>
                <w:snapToGrid w:val="0"/>
                <w:lang w:eastAsia="en-GB"/>
              </w:rPr>
              <w:t xml:space="preserve"> defined in TS 37.355 [49].</w:t>
            </w:r>
            <w:r w:rsidRPr="00FA0D37">
              <w:rPr>
                <w:lang w:eastAsia="en-GB"/>
              </w:rPr>
              <w:t xml:space="preserve"> The first/leftmost bit of the first octet contains the most significant bit.</w:t>
            </w:r>
          </w:p>
        </w:tc>
      </w:tr>
      <w:tr w:rsidR="005C7FF4" w:rsidRPr="00FA0D37"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FA0D37" w:rsidRDefault="00EC6CDC" w:rsidP="00964CC4">
            <w:pPr>
              <w:pStyle w:val="TAL"/>
              <w:rPr>
                <w:b/>
                <w:bCs/>
                <w:i/>
                <w:iCs/>
                <w:snapToGrid w:val="0"/>
                <w:lang w:eastAsia="en-GB"/>
              </w:rPr>
            </w:pPr>
            <w:r w:rsidRPr="00FA0D37">
              <w:rPr>
                <w:b/>
                <w:bCs/>
                <w:i/>
                <w:iCs/>
                <w:snapToGrid w:val="0"/>
                <w:lang w:eastAsia="en-GB"/>
              </w:rPr>
              <w:t>l</w:t>
            </w:r>
            <w:r w:rsidR="00394471" w:rsidRPr="00FA0D37">
              <w:rPr>
                <w:b/>
                <w:bCs/>
                <w:i/>
                <w:iCs/>
                <w:snapToGrid w:val="0"/>
                <w:lang w:eastAsia="en-GB"/>
              </w:rPr>
              <w:t>ocationTimeStamp</w:t>
            </w:r>
          </w:p>
          <w:p w14:paraId="1A54CA4F" w14:textId="77777777" w:rsidR="00394471" w:rsidRPr="00FA0D37" w:rsidRDefault="00394471" w:rsidP="00964CC4">
            <w:pPr>
              <w:pStyle w:val="TAL"/>
              <w:rPr>
                <w:b/>
                <w:bCs/>
                <w:i/>
                <w:iCs/>
                <w:snapToGrid w:val="0"/>
                <w:lang w:eastAsia="en-GB"/>
              </w:rPr>
            </w:pPr>
            <w:r w:rsidRPr="00FA0D37">
              <w:rPr>
                <w:snapToGrid w:val="0"/>
                <w:lang w:eastAsia="en-GB"/>
              </w:rPr>
              <w:t xml:space="preserve">Parameter type </w:t>
            </w:r>
            <w:r w:rsidRPr="00FA0D37">
              <w:rPr>
                <w:i/>
                <w:snapToGrid w:val="0"/>
                <w:lang w:eastAsia="en-GB"/>
              </w:rPr>
              <w:t>DisplacementTimeStamp</w:t>
            </w:r>
            <w:r w:rsidRPr="00FA0D37">
              <w:rPr>
                <w:snapToGrid w:val="0"/>
                <w:lang w:eastAsia="en-GB"/>
              </w:rPr>
              <w:t xml:space="preserve"> defined in TS 37.355 [49].</w:t>
            </w:r>
            <w:r w:rsidRPr="00FA0D37">
              <w:rPr>
                <w:lang w:eastAsia="en-GB"/>
              </w:rPr>
              <w:t xml:space="preserve"> The first/leftmost bit of the first octet contains the most significant bit.</w:t>
            </w:r>
          </w:p>
        </w:tc>
      </w:tr>
      <w:tr w:rsidR="005C7FF4" w:rsidRPr="00FA0D37"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FA0D37" w:rsidRDefault="00394471" w:rsidP="00964CC4">
            <w:pPr>
              <w:pStyle w:val="TAL"/>
              <w:rPr>
                <w:b/>
                <w:bCs/>
                <w:i/>
                <w:iCs/>
                <w:lang w:eastAsia="en-GB"/>
              </w:rPr>
            </w:pPr>
            <w:r w:rsidRPr="00FA0D37">
              <w:rPr>
                <w:b/>
                <w:bCs/>
                <w:i/>
                <w:iCs/>
                <w:snapToGrid w:val="0"/>
                <w:lang w:eastAsia="en-GB"/>
              </w:rPr>
              <w:t>locationCoordinate</w:t>
            </w:r>
          </w:p>
          <w:p w14:paraId="68476990" w14:textId="462BBC6F" w:rsidR="00394471" w:rsidRPr="00FA0D37" w:rsidRDefault="00394471" w:rsidP="00964CC4">
            <w:pPr>
              <w:pStyle w:val="TAL"/>
              <w:rPr>
                <w:lang w:eastAsia="en-GB"/>
              </w:rPr>
            </w:pPr>
            <w:r w:rsidRPr="00FA0D37">
              <w:rPr>
                <w:snapToGrid w:val="0"/>
                <w:lang w:eastAsia="en-GB"/>
              </w:rPr>
              <w:t xml:space="preserve">Parameter type </w:t>
            </w:r>
            <w:r w:rsidRPr="00FA0D37">
              <w:rPr>
                <w:i/>
                <w:snapToGrid w:val="0"/>
                <w:lang w:eastAsia="en-GB"/>
              </w:rPr>
              <w:t>LocationCoordinate</w:t>
            </w:r>
            <w:r w:rsidR="00424C1A" w:rsidRPr="00FA0D37">
              <w:rPr>
                <w:i/>
                <w:snapToGrid w:val="0"/>
                <w:lang w:eastAsia="en-GB"/>
              </w:rPr>
              <w:t>s</w:t>
            </w:r>
            <w:r w:rsidRPr="00FA0D37">
              <w:rPr>
                <w:snapToGrid w:val="0"/>
                <w:lang w:eastAsia="en-GB"/>
              </w:rPr>
              <w:t xml:space="preserve"> defined in TS 37.355 [49].</w:t>
            </w:r>
            <w:r w:rsidRPr="00FA0D37">
              <w:rPr>
                <w:lang w:eastAsia="en-GB"/>
              </w:rPr>
              <w:t xml:space="preserve"> The first/leftmost bit of the first octet contains the most significant bit.</w:t>
            </w:r>
          </w:p>
        </w:tc>
      </w:tr>
      <w:tr w:rsidR="005C7FF4" w:rsidRPr="00FA0D37"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FA0D37" w:rsidRDefault="00394471" w:rsidP="00964CC4">
            <w:pPr>
              <w:pStyle w:val="TAL"/>
              <w:rPr>
                <w:b/>
                <w:bCs/>
                <w:i/>
                <w:iCs/>
                <w:snapToGrid w:val="0"/>
                <w:lang w:eastAsia="en-GB"/>
              </w:rPr>
            </w:pPr>
            <w:r w:rsidRPr="00FA0D37">
              <w:rPr>
                <w:b/>
                <w:bCs/>
                <w:i/>
                <w:iCs/>
                <w:snapToGrid w:val="0"/>
                <w:lang w:eastAsia="en-GB"/>
              </w:rPr>
              <w:t>locationError</w:t>
            </w:r>
          </w:p>
          <w:p w14:paraId="76889242" w14:textId="77777777" w:rsidR="00394471" w:rsidRPr="00FA0D37" w:rsidRDefault="00394471" w:rsidP="00964CC4">
            <w:pPr>
              <w:pStyle w:val="TAL"/>
              <w:rPr>
                <w:b/>
                <w:bCs/>
                <w:i/>
                <w:iCs/>
                <w:snapToGrid w:val="0"/>
                <w:lang w:eastAsia="en-GB"/>
              </w:rPr>
            </w:pPr>
            <w:r w:rsidRPr="00FA0D37">
              <w:rPr>
                <w:snapToGrid w:val="0"/>
                <w:lang w:eastAsia="en-GB"/>
              </w:rPr>
              <w:t xml:space="preserve">Parameter </w:t>
            </w:r>
            <w:r w:rsidRPr="00FA0D37">
              <w:rPr>
                <w:i/>
                <w:iCs/>
                <w:lang w:eastAsia="ko-KR"/>
              </w:rPr>
              <w:t>LocationError</w:t>
            </w:r>
            <w:r w:rsidRPr="00FA0D37">
              <w:rPr>
                <w:snapToGrid w:val="0"/>
                <w:lang w:eastAsia="en-GB"/>
              </w:rPr>
              <w:t xml:space="preserve"> defined in TS 37.355 [49].</w:t>
            </w:r>
            <w:r w:rsidRPr="00FA0D37">
              <w:rPr>
                <w:lang w:eastAsia="en-GB"/>
              </w:rPr>
              <w:t xml:space="preserve"> The first/leftmost bit of the first octet contains the most significant bit.</w:t>
            </w:r>
          </w:p>
        </w:tc>
      </w:tr>
      <w:tr w:rsidR="005C7FF4" w:rsidRPr="00FA0D37"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FA0D37" w:rsidRDefault="00394471" w:rsidP="00964CC4">
            <w:pPr>
              <w:pStyle w:val="TAL"/>
              <w:rPr>
                <w:snapToGrid w:val="0"/>
                <w:lang w:eastAsia="sv-SE"/>
              </w:rPr>
            </w:pPr>
            <w:r w:rsidRPr="00FA0D37">
              <w:rPr>
                <w:b/>
                <w:bCs/>
                <w:i/>
                <w:iCs/>
                <w:snapToGrid w:val="0"/>
                <w:lang w:eastAsia="en-GB"/>
              </w:rPr>
              <w:t>locationSource</w:t>
            </w:r>
          </w:p>
          <w:p w14:paraId="787CBBC4" w14:textId="77777777" w:rsidR="00394471" w:rsidRPr="00FA0D37" w:rsidRDefault="00394471" w:rsidP="00964CC4">
            <w:pPr>
              <w:pStyle w:val="TAL"/>
              <w:rPr>
                <w:bCs/>
                <w:iCs/>
                <w:snapToGrid w:val="0"/>
                <w:lang w:eastAsia="sv-SE"/>
              </w:rPr>
            </w:pPr>
            <w:r w:rsidRPr="00FA0D37">
              <w:rPr>
                <w:bCs/>
                <w:iCs/>
                <w:snapToGrid w:val="0"/>
                <w:lang w:eastAsia="sv-SE"/>
              </w:rPr>
              <w:t xml:space="preserve">Parameter </w:t>
            </w:r>
            <w:r w:rsidRPr="00FA0D37">
              <w:rPr>
                <w:i/>
                <w:lang w:eastAsia="ko-KR"/>
              </w:rPr>
              <w:t>LocationSource</w:t>
            </w:r>
            <w:r w:rsidRPr="00FA0D37">
              <w:rPr>
                <w:lang w:eastAsia="sv-SE"/>
              </w:rPr>
              <w:t xml:space="preserve"> defined in TS 37.355 [49].</w:t>
            </w:r>
            <w:r w:rsidRPr="00FA0D37">
              <w:rPr>
                <w:lang w:eastAsia="en-GB"/>
              </w:rPr>
              <w:t xml:space="preserve"> The first/leftmost bit of the first octet contains the most significant bit.</w:t>
            </w:r>
          </w:p>
        </w:tc>
      </w:tr>
      <w:tr w:rsidR="00394471" w:rsidRPr="00FA0D37"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FA0D37" w:rsidRDefault="00394471" w:rsidP="00964CC4">
            <w:pPr>
              <w:pStyle w:val="TAL"/>
              <w:rPr>
                <w:b/>
                <w:bCs/>
                <w:i/>
                <w:iCs/>
                <w:snapToGrid w:val="0"/>
                <w:lang w:eastAsia="en-GB"/>
              </w:rPr>
            </w:pPr>
            <w:r w:rsidRPr="00FA0D37">
              <w:rPr>
                <w:b/>
                <w:bCs/>
                <w:i/>
                <w:iCs/>
                <w:snapToGrid w:val="0"/>
                <w:lang w:eastAsia="en-GB"/>
              </w:rPr>
              <w:t>velocityEstimate</w:t>
            </w:r>
          </w:p>
          <w:p w14:paraId="447E108F" w14:textId="77777777" w:rsidR="00394471" w:rsidRPr="00FA0D37" w:rsidRDefault="00394471" w:rsidP="00964CC4">
            <w:pPr>
              <w:pStyle w:val="TAL"/>
              <w:rPr>
                <w:b/>
                <w:bCs/>
                <w:i/>
                <w:iCs/>
                <w:snapToGrid w:val="0"/>
                <w:lang w:eastAsia="en-GB"/>
              </w:rPr>
            </w:pPr>
            <w:r w:rsidRPr="00FA0D37">
              <w:rPr>
                <w:snapToGrid w:val="0"/>
                <w:lang w:eastAsia="en-GB"/>
              </w:rPr>
              <w:t xml:space="preserve">Parameter type </w:t>
            </w:r>
            <w:r w:rsidRPr="00FA0D37">
              <w:rPr>
                <w:i/>
                <w:snapToGrid w:val="0"/>
                <w:lang w:eastAsia="en-GB"/>
              </w:rPr>
              <w:t>Velocity</w:t>
            </w:r>
            <w:r w:rsidRPr="00FA0D37">
              <w:rPr>
                <w:snapToGrid w:val="0"/>
                <w:lang w:eastAsia="en-GB"/>
              </w:rPr>
              <w:t xml:space="preserve"> defined in TS 37.355 [49].</w:t>
            </w:r>
            <w:r w:rsidRPr="00FA0D37">
              <w:rPr>
                <w:lang w:eastAsia="en-GB"/>
              </w:rPr>
              <w:t xml:space="preserve"> The first/leftmost bit of the first octet contains the most significant bit.</w:t>
            </w:r>
          </w:p>
        </w:tc>
      </w:tr>
    </w:tbl>
    <w:p w14:paraId="54B1808A" w14:textId="77777777" w:rsidR="00394471" w:rsidRPr="00FA0D37" w:rsidRDefault="00394471" w:rsidP="00394471"/>
    <w:p w14:paraId="389D08B9" w14:textId="77777777" w:rsidR="00394471" w:rsidRPr="00FA0D37" w:rsidRDefault="00394471" w:rsidP="00394471">
      <w:pPr>
        <w:pStyle w:val="4"/>
        <w:rPr>
          <w:i/>
          <w:iCs/>
        </w:rPr>
      </w:pPr>
      <w:bookmarkStart w:id="951" w:name="_Toc60777199"/>
      <w:bookmarkStart w:id="952" w:name="_Toc146781246"/>
      <w:r w:rsidRPr="00FA0D37">
        <w:rPr>
          <w:i/>
          <w:iCs/>
        </w:rPr>
        <w:t>–</w:t>
      </w:r>
      <w:r w:rsidRPr="00FA0D37">
        <w:rPr>
          <w:i/>
          <w:iCs/>
        </w:rPr>
        <w:tab/>
      </w:r>
      <w:r w:rsidRPr="00FA0D37">
        <w:rPr>
          <w:i/>
          <w:iCs/>
          <w:noProof/>
        </w:rPr>
        <w:t>CondReconfigId</w:t>
      </w:r>
      <w:bookmarkEnd w:id="951"/>
      <w:bookmarkEnd w:id="952"/>
    </w:p>
    <w:p w14:paraId="7B646BD5" w14:textId="78CC8982" w:rsidR="00394471" w:rsidRPr="00FA0D37" w:rsidRDefault="00394471" w:rsidP="00394471">
      <w:r w:rsidRPr="00FA0D37">
        <w:t xml:space="preserve">The IE </w:t>
      </w:r>
      <w:r w:rsidRPr="00FA0D37">
        <w:rPr>
          <w:i/>
        </w:rPr>
        <w:t>CondReconfigId</w:t>
      </w:r>
      <w:r w:rsidRPr="00FA0D37">
        <w:t xml:space="preserve"> is used to identify a CHO</w:t>
      </w:r>
      <w:r w:rsidR="00DB6B82" w:rsidRPr="00FA0D37">
        <w:t>, CPA</w:t>
      </w:r>
      <w:r w:rsidRPr="00FA0D37">
        <w:t xml:space="preserve"> or CPC configuration.</w:t>
      </w:r>
    </w:p>
    <w:p w14:paraId="5689C749" w14:textId="77777777" w:rsidR="00394471" w:rsidRPr="00FA0D37" w:rsidRDefault="00394471" w:rsidP="00394471">
      <w:pPr>
        <w:pStyle w:val="TH"/>
        <w:rPr>
          <w:bCs/>
          <w:i/>
          <w:iCs/>
        </w:rPr>
      </w:pPr>
      <w:r w:rsidRPr="00FA0D37">
        <w:rPr>
          <w:bCs/>
          <w:i/>
          <w:iCs/>
        </w:rPr>
        <w:lastRenderedPageBreak/>
        <w:t xml:space="preserve">CondReconfigId </w:t>
      </w:r>
      <w:r w:rsidRPr="00FA0D37">
        <w:t>information element</w:t>
      </w:r>
    </w:p>
    <w:p w14:paraId="7EAF0D90" w14:textId="77777777" w:rsidR="00394471" w:rsidRPr="00FA0D37" w:rsidRDefault="00394471" w:rsidP="00FA0D37">
      <w:pPr>
        <w:pStyle w:val="PL"/>
        <w:rPr>
          <w:color w:val="808080"/>
        </w:rPr>
      </w:pPr>
      <w:r w:rsidRPr="00FA0D37">
        <w:rPr>
          <w:color w:val="808080"/>
        </w:rPr>
        <w:t>-- ASN1START</w:t>
      </w:r>
    </w:p>
    <w:p w14:paraId="1CA8498C" w14:textId="77777777" w:rsidR="00394471" w:rsidRPr="00FA0D37" w:rsidRDefault="00394471" w:rsidP="00FA0D37">
      <w:pPr>
        <w:pStyle w:val="PL"/>
        <w:rPr>
          <w:color w:val="808080"/>
        </w:rPr>
      </w:pPr>
      <w:r w:rsidRPr="00FA0D37">
        <w:rPr>
          <w:color w:val="808080"/>
        </w:rPr>
        <w:t>-- TAG-CONDRECONFIGID-START</w:t>
      </w:r>
    </w:p>
    <w:p w14:paraId="7F1A39A0" w14:textId="77777777" w:rsidR="00394471" w:rsidRPr="00FA0D37" w:rsidRDefault="00394471" w:rsidP="00FA0D37">
      <w:pPr>
        <w:pStyle w:val="PL"/>
      </w:pPr>
    </w:p>
    <w:p w14:paraId="2C21B10D" w14:textId="77777777" w:rsidR="00394471" w:rsidRPr="00FA0D37" w:rsidRDefault="00394471" w:rsidP="00FA0D37">
      <w:pPr>
        <w:pStyle w:val="PL"/>
      </w:pPr>
      <w:r w:rsidRPr="00FA0D37">
        <w:t xml:space="preserve">CondReconfigId-r16 ::=                    </w:t>
      </w:r>
      <w:r w:rsidRPr="00FA0D37">
        <w:rPr>
          <w:color w:val="993366"/>
        </w:rPr>
        <w:t>INTEGER</w:t>
      </w:r>
      <w:r w:rsidRPr="00FA0D37">
        <w:t xml:space="preserve"> (1.. maxNrofCondCells-r16)</w:t>
      </w:r>
    </w:p>
    <w:p w14:paraId="2392185D" w14:textId="77777777" w:rsidR="00394471" w:rsidRPr="00FA0D37" w:rsidRDefault="00394471" w:rsidP="00FA0D37">
      <w:pPr>
        <w:pStyle w:val="PL"/>
      </w:pPr>
    </w:p>
    <w:p w14:paraId="36BD7D0E" w14:textId="77777777" w:rsidR="00394471" w:rsidRPr="00FA0D37" w:rsidRDefault="00394471" w:rsidP="00FA0D37">
      <w:pPr>
        <w:pStyle w:val="PL"/>
        <w:rPr>
          <w:color w:val="808080"/>
        </w:rPr>
      </w:pPr>
      <w:r w:rsidRPr="00FA0D37">
        <w:rPr>
          <w:color w:val="808080"/>
        </w:rPr>
        <w:t>-- TAG-CONDRECONFIGID-STOP</w:t>
      </w:r>
    </w:p>
    <w:p w14:paraId="1E7350B0" w14:textId="77777777" w:rsidR="00394471" w:rsidRPr="00FA0D37" w:rsidRDefault="00394471" w:rsidP="00FA0D37">
      <w:pPr>
        <w:pStyle w:val="PL"/>
        <w:rPr>
          <w:color w:val="808080"/>
        </w:rPr>
      </w:pPr>
      <w:r w:rsidRPr="00FA0D37">
        <w:rPr>
          <w:color w:val="808080"/>
        </w:rPr>
        <w:t>-- ASN1STOP</w:t>
      </w:r>
    </w:p>
    <w:p w14:paraId="48EB382B" w14:textId="77777777" w:rsidR="00394471" w:rsidRPr="00FA0D37" w:rsidRDefault="00394471" w:rsidP="00394471"/>
    <w:p w14:paraId="02D6A75C" w14:textId="77777777" w:rsidR="00394471" w:rsidRPr="00FA0D37" w:rsidRDefault="00394471" w:rsidP="00394471">
      <w:pPr>
        <w:pStyle w:val="4"/>
        <w:rPr>
          <w:i/>
          <w:iCs/>
        </w:rPr>
      </w:pPr>
      <w:bookmarkStart w:id="953" w:name="_Toc60777200"/>
      <w:bookmarkStart w:id="954" w:name="_Toc146781247"/>
      <w:r w:rsidRPr="00FA0D37">
        <w:rPr>
          <w:i/>
          <w:iCs/>
        </w:rPr>
        <w:t>–</w:t>
      </w:r>
      <w:r w:rsidRPr="00FA0D37">
        <w:rPr>
          <w:i/>
          <w:iCs/>
        </w:rPr>
        <w:tab/>
      </w:r>
      <w:r w:rsidRPr="00FA0D37">
        <w:rPr>
          <w:i/>
          <w:iCs/>
          <w:noProof/>
        </w:rPr>
        <w:t>CondReconfigToAddModList</w:t>
      </w:r>
      <w:bookmarkEnd w:id="953"/>
      <w:bookmarkEnd w:id="954"/>
    </w:p>
    <w:p w14:paraId="7FDF30CF" w14:textId="108E0442" w:rsidR="00394471" w:rsidRPr="00FA0D37" w:rsidRDefault="00394471" w:rsidP="00394471">
      <w:r w:rsidRPr="00FA0D37">
        <w:t xml:space="preserve">The IE </w:t>
      </w:r>
      <w:r w:rsidRPr="00FA0D37">
        <w:rPr>
          <w:i/>
        </w:rPr>
        <w:t>CondReconfigToAddModList</w:t>
      </w:r>
      <w:r w:rsidRPr="00FA0D37">
        <w:t xml:space="preserve"> concerns a list of conditional reconfigurations to add or modify, with for each entry the </w:t>
      </w:r>
      <w:r w:rsidRPr="00FA0D37">
        <w:rPr>
          <w:i/>
        </w:rPr>
        <w:t>condReconfigId</w:t>
      </w:r>
      <w:r w:rsidRPr="00FA0D37">
        <w:t xml:space="preserve"> and the associated </w:t>
      </w:r>
      <w:r w:rsidRPr="00FA0D37">
        <w:rPr>
          <w:i/>
        </w:rPr>
        <w:t>condExecutionCond</w:t>
      </w:r>
      <w:r w:rsidR="00DB6B82" w:rsidRPr="00FA0D37">
        <w:rPr>
          <w:i/>
        </w:rPr>
        <w:t>/condExecutionCondSCG</w:t>
      </w:r>
      <w:r w:rsidRPr="00FA0D37">
        <w:rPr>
          <w:i/>
        </w:rPr>
        <w:t xml:space="preserve"> </w:t>
      </w:r>
      <w:r w:rsidRPr="00FA0D37">
        <w:rPr>
          <w:iCs/>
        </w:rPr>
        <w:t>and</w:t>
      </w:r>
      <w:r w:rsidRPr="00FA0D37">
        <w:rPr>
          <w:i/>
        </w:rPr>
        <w:t xml:space="preserve"> condRRCReconfig</w:t>
      </w:r>
      <w:r w:rsidRPr="00FA0D37">
        <w:t>.</w:t>
      </w:r>
    </w:p>
    <w:p w14:paraId="306084D7" w14:textId="77777777" w:rsidR="00394471" w:rsidRPr="00FA0D37" w:rsidRDefault="00394471" w:rsidP="00394471">
      <w:pPr>
        <w:pStyle w:val="TH"/>
        <w:rPr>
          <w:bCs/>
          <w:i/>
          <w:iCs/>
        </w:rPr>
      </w:pPr>
      <w:r w:rsidRPr="00FA0D37">
        <w:rPr>
          <w:bCs/>
          <w:i/>
          <w:iCs/>
        </w:rPr>
        <w:t xml:space="preserve">CondReconfigToAddModList </w:t>
      </w:r>
      <w:r w:rsidRPr="00FA0D37">
        <w:t>information element</w:t>
      </w:r>
    </w:p>
    <w:p w14:paraId="01D4FE75" w14:textId="77777777" w:rsidR="00394471" w:rsidRPr="00FA0D37" w:rsidRDefault="00394471" w:rsidP="00FA0D37">
      <w:pPr>
        <w:pStyle w:val="PL"/>
        <w:rPr>
          <w:color w:val="808080"/>
        </w:rPr>
      </w:pPr>
      <w:r w:rsidRPr="00FA0D37">
        <w:rPr>
          <w:color w:val="808080"/>
        </w:rPr>
        <w:t>-- ASN1START</w:t>
      </w:r>
    </w:p>
    <w:p w14:paraId="63327384" w14:textId="77777777" w:rsidR="00394471" w:rsidRPr="00FA0D37" w:rsidRDefault="00394471" w:rsidP="00FA0D37">
      <w:pPr>
        <w:pStyle w:val="PL"/>
        <w:rPr>
          <w:color w:val="808080"/>
        </w:rPr>
      </w:pPr>
      <w:r w:rsidRPr="00FA0D37">
        <w:rPr>
          <w:color w:val="808080"/>
        </w:rPr>
        <w:t>-- TAG-CONDRECONFIGTOADDMODLIST-START</w:t>
      </w:r>
    </w:p>
    <w:p w14:paraId="218684D2" w14:textId="77777777" w:rsidR="00394471" w:rsidRPr="00FA0D37" w:rsidRDefault="00394471" w:rsidP="00FA0D37">
      <w:pPr>
        <w:pStyle w:val="PL"/>
      </w:pPr>
    </w:p>
    <w:p w14:paraId="40A22C0E" w14:textId="77777777" w:rsidR="00394471" w:rsidRPr="00FA0D37" w:rsidRDefault="00394471" w:rsidP="00FA0D37">
      <w:pPr>
        <w:pStyle w:val="PL"/>
      </w:pPr>
      <w:r w:rsidRPr="00FA0D37">
        <w:t xml:space="preserve">CondReconfigToAddModList-r16 ::= </w:t>
      </w:r>
      <w:r w:rsidRPr="00FA0D37">
        <w:rPr>
          <w:color w:val="993366"/>
        </w:rPr>
        <w:t>SEQUENCE</w:t>
      </w:r>
      <w:r w:rsidRPr="00FA0D37">
        <w:t xml:space="preserve"> (</w:t>
      </w:r>
      <w:r w:rsidRPr="00FA0D37">
        <w:rPr>
          <w:color w:val="993366"/>
        </w:rPr>
        <w:t>SIZE</w:t>
      </w:r>
      <w:r w:rsidRPr="00FA0D37">
        <w:t xml:space="preserve"> (1.. maxNrofCondCells-r16))</w:t>
      </w:r>
      <w:r w:rsidRPr="00FA0D37">
        <w:rPr>
          <w:color w:val="993366"/>
        </w:rPr>
        <w:t xml:space="preserve"> OF</w:t>
      </w:r>
      <w:r w:rsidRPr="00FA0D37">
        <w:t xml:space="preserve"> CondReconfigToAddMod-r16</w:t>
      </w:r>
    </w:p>
    <w:p w14:paraId="2880DEAB" w14:textId="77777777" w:rsidR="00394471" w:rsidRPr="00FA0D37" w:rsidRDefault="00394471" w:rsidP="00FA0D37">
      <w:pPr>
        <w:pStyle w:val="PL"/>
      </w:pPr>
    </w:p>
    <w:p w14:paraId="72EB07D5" w14:textId="77777777" w:rsidR="00394471" w:rsidRPr="00FA0D37" w:rsidRDefault="00394471" w:rsidP="00FA0D37">
      <w:pPr>
        <w:pStyle w:val="PL"/>
      </w:pPr>
      <w:r w:rsidRPr="00FA0D37">
        <w:t xml:space="preserve">CondReconfigToAddMod-r16 ::=     </w:t>
      </w:r>
      <w:r w:rsidRPr="00FA0D37">
        <w:rPr>
          <w:color w:val="993366"/>
        </w:rPr>
        <w:t>SEQUENCE</w:t>
      </w:r>
      <w:r w:rsidRPr="00FA0D37">
        <w:t xml:space="preserve"> {</w:t>
      </w:r>
    </w:p>
    <w:p w14:paraId="3D985BAF" w14:textId="77777777" w:rsidR="00394471" w:rsidRPr="00FA0D37" w:rsidRDefault="00394471" w:rsidP="00FA0D37">
      <w:pPr>
        <w:pStyle w:val="PL"/>
      </w:pPr>
      <w:r w:rsidRPr="00FA0D37">
        <w:t xml:space="preserve">    condReconfigId-r16               CondReconfigId-r16,</w:t>
      </w:r>
    </w:p>
    <w:p w14:paraId="1902123B" w14:textId="7C7BDBB9" w:rsidR="00394471" w:rsidRPr="00FA0D37" w:rsidRDefault="00394471" w:rsidP="00FA0D37">
      <w:pPr>
        <w:pStyle w:val="PL"/>
        <w:rPr>
          <w:color w:val="808080"/>
        </w:rPr>
      </w:pPr>
      <w:r w:rsidRPr="00FA0D37">
        <w:t xml:space="preserve">    condExecutionCond-r16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MeasId                      </w:t>
      </w:r>
      <w:r w:rsidRPr="00FA0D37">
        <w:rPr>
          <w:color w:val="993366"/>
        </w:rPr>
        <w:t>OPTIONAL</w:t>
      </w:r>
      <w:r w:rsidRPr="00FA0D37">
        <w:t xml:space="preserve">,    </w:t>
      </w:r>
      <w:r w:rsidRPr="00FA0D37">
        <w:rPr>
          <w:color w:val="808080"/>
        </w:rPr>
        <w:t xml:space="preserve">-- </w:t>
      </w:r>
      <w:r w:rsidR="00DB6B82" w:rsidRPr="00FA0D37">
        <w:rPr>
          <w:color w:val="808080"/>
        </w:rPr>
        <w:t>Need M</w:t>
      </w:r>
    </w:p>
    <w:p w14:paraId="7F822A1C" w14:textId="77777777" w:rsidR="00394471" w:rsidRPr="00FA0D37" w:rsidRDefault="00394471" w:rsidP="00FA0D37">
      <w:pPr>
        <w:pStyle w:val="PL"/>
        <w:rPr>
          <w:color w:val="808080"/>
        </w:rPr>
      </w:pPr>
      <w:r w:rsidRPr="00FA0D37">
        <w:t xml:space="preserve">    condRRCReconfig-r16              </w:t>
      </w:r>
      <w:r w:rsidRPr="00FA0D37">
        <w:rPr>
          <w:color w:val="993366"/>
        </w:rPr>
        <w:t>OCTET</w:t>
      </w:r>
      <w:r w:rsidRPr="00FA0D37">
        <w:t xml:space="preserve"> </w:t>
      </w:r>
      <w:r w:rsidRPr="00FA0D37">
        <w:rPr>
          <w:color w:val="993366"/>
        </w:rPr>
        <w:t>STRING</w:t>
      </w:r>
      <w:r w:rsidRPr="00FA0D37">
        <w:t xml:space="preserve"> (CONTAINING RRCReconfiguration)          </w:t>
      </w:r>
      <w:r w:rsidRPr="00FA0D37">
        <w:rPr>
          <w:color w:val="993366"/>
        </w:rPr>
        <w:t>OPTIONAL</w:t>
      </w:r>
      <w:r w:rsidRPr="00FA0D37">
        <w:t xml:space="preserve">,    </w:t>
      </w:r>
      <w:r w:rsidRPr="00FA0D37">
        <w:rPr>
          <w:color w:val="808080"/>
        </w:rPr>
        <w:t>-- Cond condReconfigAdd</w:t>
      </w:r>
    </w:p>
    <w:p w14:paraId="13B2B238" w14:textId="3104AABE" w:rsidR="00DB6B82" w:rsidRPr="00FA0D37" w:rsidRDefault="00394471" w:rsidP="00FA0D37">
      <w:pPr>
        <w:pStyle w:val="PL"/>
      </w:pPr>
      <w:r w:rsidRPr="00FA0D37">
        <w:t xml:space="preserve">    ...</w:t>
      </w:r>
      <w:r w:rsidR="00DB6B82" w:rsidRPr="00FA0D37">
        <w:t>,</w:t>
      </w:r>
    </w:p>
    <w:p w14:paraId="496BC710" w14:textId="77777777" w:rsidR="00DB6B82" w:rsidRPr="00FA0D37" w:rsidRDefault="00DB6B82" w:rsidP="00FA0D37">
      <w:pPr>
        <w:pStyle w:val="PL"/>
      </w:pPr>
      <w:r w:rsidRPr="00FA0D37">
        <w:t xml:space="preserve">    [[</w:t>
      </w:r>
    </w:p>
    <w:p w14:paraId="276E3046" w14:textId="77777777" w:rsidR="00F747EB" w:rsidRPr="00FA0D37" w:rsidRDefault="00DB6B82" w:rsidP="00FA0D37">
      <w:pPr>
        <w:pStyle w:val="PL"/>
        <w:rPr>
          <w:color w:val="808080"/>
        </w:rPr>
      </w:pPr>
      <w:r w:rsidRPr="00FA0D37">
        <w:t xml:space="preserve">    condExecutionCondSCG-r17         </w:t>
      </w:r>
      <w:r w:rsidRPr="00FA0D37">
        <w:rPr>
          <w:color w:val="993366"/>
        </w:rPr>
        <w:t>OCTET</w:t>
      </w:r>
      <w:r w:rsidRPr="00FA0D37">
        <w:t xml:space="preserve"> </w:t>
      </w:r>
      <w:r w:rsidRPr="00FA0D37">
        <w:rPr>
          <w:color w:val="993366"/>
        </w:rPr>
        <w:t>STRING</w:t>
      </w:r>
      <w:r w:rsidRPr="00FA0D37">
        <w:t xml:space="preserve"> (CONTAINING CondReconfigExecCondSCG-r17) </w:t>
      </w:r>
      <w:r w:rsidRPr="00FA0D37">
        <w:rPr>
          <w:color w:val="993366"/>
        </w:rPr>
        <w:t>OPTIONAL</w:t>
      </w:r>
      <w:r w:rsidRPr="00FA0D37">
        <w:t xml:space="preserve">     </w:t>
      </w:r>
      <w:r w:rsidRPr="00FA0D37">
        <w:rPr>
          <w:color w:val="808080"/>
        </w:rPr>
        <w:t>-- Need M</w:t>
      </w:r>
    </w:p>
    <w:p w14:paraId="3F967BB8" w14:textId="493EB4B0" w:rsidR="00394471" w:rsidRPr="00FA0D37" w:rsidRDefault="00DB6B82" w:rsidP="00FA0D37">
      <w:pPr>
        <w:pStyle w:val="PL"/>
      </w:pPr>
      <w:r w:rsidRPr="00FA0D37">
        <w:t xml:space="preserve">    ]]</w:t>
      </w:r>
    </w:p>
    <w:p w14:paraId="0B150BF4" w14:textId="77777777" w:rsidR="00394471" w:rsidRPr="00FA0D37" w:rsidRDefault="00394471" w:rsidP="00FA0D37">
      <w:pPr>
        <w:pStyle w:val="PL"/>
      </w:pPr>
      <w:r w:rsidRPr="00FA0D37">
        <w:t>}</w:t>
      </w:r>
    </w:p>
    <w:p w14:paraId="41783568" w14:textId="39FCDBB1" w:rsidR="00394471" w:rsidRPr="00FA0D37" w:rsidRDefault="00394471" w:rsidP="00FA0D37">
      <w:pPr>
        <w:pStyle w:val="PL"/>
      </w:pPr>
    </w:p>
    <w:p w14:paraId="0A81260F" w14:textId="02C28111" w:rsidR="00DB6B82" w:rsidRPr="00FA0D37" w:rsidRDefault="00DB6B82" w:rsidP="00FA0D37">
      <w:pPr>
        <w:pStyle w:val="PL"/>
      </w:pPr>
      <w:r w:rsidRPr="00FA0D37">
        <w:t xml:space="preserve">CondReconfigExecCondSCG-r17 ::=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MeasId</w:t>
      </w:r>
    </w:p>
    <w:p w14:paraId="3484E181" w14:textId="77777777" w:rsidR="00DB6B82" w:rsidRPr="00FA0D37" w:rsidRDefault="00DB6B82" w:rsidP="00FA0D37">
      <w:pPr>
        <w:pStyle w:val="PL"/>
      </w:pPr>
    </w:p>
    <w:p w14:paraId="3BA59F3D" w14:textId="77777777" w:rsidR="00394471" w:rsidRPr="00FA0D37" w:rsidRDefault="00394471" w:rsidP="00FA0D37">
      <w:pPr>
        <w:pStyle w:val="PL"/>
        <w:rPr>
          <w:color w:val="808080"/>
        </w:rPr>
      </w:pPr>
      <w:r w:rsidRPr="00FA0D37">
        <w:rPr>
          <w:color w:val="808080"/>
        </w:rPr>
        <w:t>-- TAG-CONDRECONFIGTOADDMODLIST-STOP</w:t>
      </w:r>
    </w:p>
    <w:p w14:paraId="5BDAB370" w14:textId="77777777" w:rsidR="00394471" w:rsidRPr="00FA0D37" w:rsidRDefault="00394471" w:rsidP="00FA0D37">
      <w:pPr>
        <w:pStyle w:val="PL"/>
        <w:rPr>
          <w:color w:val="808080"/>
        </w:rPr>
      </w:pPr>
      <w:r w:rsidRPr="00FA0D37">
        <w:rPr>
          <w:color w:val="808080"/>
        </w:rPr>
        <w:t>-- ASN1STOP</w:t>
      </w:r>
    </w:p>
    <w:p w14:paraId="7022A614" w14:textId="77777777" w:rsidR="00394471" w:rsidRPr="00FA0D3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FA0D37" w:rsidRDefault="00394471" w:rsidP="00964CC4">
            <w:pPr>
              <w:pStyle w:val="TAH"/>
              <w:rPr>
                <w:lang w:eastAsia="en-GB"/>
              </w:rPr>
            </w:pPr>
            <w:r w:rsidRPr="00FA0D37">
              <w:rPr>
                <w:i/>
                <w:noProof/>
                <w:lang w:eastAsia="en-GB"/>
              </w:rPr>
              <w:lastRenderedPageBreak/>
              <w:t xml:space="preserve">CondReconfigToAddMod </w:t>
            </w:r>
            <w:r w:rsidRPr="00FA0D37">
              <w:rPr>
                <w:iCs/>
                <w:noProof/>
                <w:lang w:eastAsia="en-GB"/>
              </w:rPr>
              <w:t>field descriptions</w:t>
            </w:r>
          </w:p>
        </w:tc>
      </w:tr>
      <w:tr w:rsidR="005C7FF4" w:rsidRPr="00FA0D37"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FA0D37" w:rsidRDefault="00394471" w:rsidP="00964CC4">
            <w:pPr>
              <w:pStyle w:val="TAL"/>
              <w:rPr>
                <w:b/>
                <w:bCs/>
                <w:i/>
                <w:noProof/>
                <w:lang w:eastAsia="en-GB"/>
              </w:rPr>
            </w:pPr>
            <w:r w:rsidRPr="00FA0D37">
              <w:rPr>
                <w:b/>
                <w:bCs/>
                <w:i/>
                <w:noProof/>
                <w:lang w:eastAsia="en-GB"/>
              </w:rPr>
              <w:t>condExecutionCond</w:t>
            </w:r>
          </w:p>
          <w:p w14:paraId="0A5233D0" w14:textId="7090346A" w:rsidR="00394471" w:rsidRPr="00FA0D37" w:rsidRDefault="00394471" w:rsidP="00964CC4">
            <w:pPr>
              <w:pStyle w:val="TAL"/>
              <w:rPr>
                <w:b/>
                <w:bCs/>
                <w:i/>
                <w:noProof/>
                <w:lang w:eastAsia="zh-CN"/>
              </w:rPr>
            </w:pPr>
            <w:r w:rsidRPr="00FA0D37">
              <w:rPr>
                <w:lang w:eastAsia="sv-SE"/>
              </w:rPr>
              <w:t>The execution condition that needs to be fulfilled in order to trigger the execution of a conditional reconfiguration</w:t>
            </w:r>
            <w:r w:rsidR="00DB6B82" w:rsidRPr="00FA0D37">
              <w:rPr>
                <w:lang w:eastAsia="sv-SE"/>
              </w:rPr>
              <w:t xml:space="preserve"> for CHO, CPA, intra-SN CPC without MN involvement or MN initiated inter-SN CPC</w:t>
            </w:r>
            <w:r w:rsidRPr="00FA0D37">
              <w:rPr>
                <w:lang w:eastAsia="sv-SE"/>
              </w:rPr>
              <w:t xml:space="preserve">. </w:t>
            </w:r>
            <w:r w:rsidRPr="00FA0D37">
              <w:t xml:space="preserve">When configuring 2 triggering events (Meas Ids) for a candidate cell, </w:t>
            </w:r>
            <w:r w:rsidR="008779EC" w:rsidRPr="00FA0D37">
              <w:t xml:space="preserve">the </w:t>
            </w:r>
            <w:r w:rsidRPr="00FA0D37">
              <w:t xml:space="preserve">network ensures that both refer to the same </w:t>
            </w:r>
            <w:r w:rsidRPr="00FA0D37">
              <w:rPr>
                <w:i/>
                <w:iCs/>
              </w:rPr>
              <w:t>measObject.</w:t>
            </w:r>
            <w:r w:rsidR="005B7637" w:rsidRPr="00FA0D37">
              <w:t xml:space="preserve"> </w:t>
            </w:r>
            <w:r w:rsidR="002E2D55" w:rsidRPr="00FA0D37">
              <w:t>For CHO, i</w:t>
            </w:r>
            <w:r w:rsidR="005B7637" w:rsidRPr="00FA0D37">
              <w:t xml:space="preserve">f </w:t>
            </w:r>
            <w:r w:rsidR="0011494A" w:rsidRPr="00FA0D37">
              <w:t xml:space="preserve">the </w:t>
            </w:r>
            <w:r w:rsidR="005B7637" w:rsidRPr="00FA0D37">
              <w:t xml:space="preserve">network configures </w:t>
            </w:r>
            <w:r w:rsidR="005B7637" w:rsidRPr="00FA0D37">
              <w:rPr>
                <w:i/>
                <w:iCs/>
              </w:rPr>
              <w:t>condEventD1</w:t>
            </w:r>
            <w:r w:rsidR="005B7637" w:rsidRPr="00FA0D37">
              <w:t xml:space="preserve"> or </w:t>
            </w:r>
            <w:r w:rsidR="005B7637" w:rsidRPr="00FA0D37">
              <w:rPr>
                <w:i/>
                <w:iCs/>
              </w:rPr>
              <w:t>condEventT1</w:t>
            </w:r>
            <w:r w:rsidR="005B7637" w:rsidRPr="00FA0D37">
              <w:t xml:space="preserve"> for a candidate cell</w:t>
            </w:r>
            <w:r w:rsidR="0011494A" w:rsidRPr="00FA0D37">
              <w:t>, the</w:t>
            </w:r>
            <w:r w:rsidR="005B7637" w:rsidRPr="00FA0D37">
              <w:t xml:space="preserve"> network configure</w:t>
            </w:r>
            <w:r w:rsidR="00944564" w:rsidRPr="00FA0D37">
              <w:t>s</w:t>
            </w:r>
            <w:r w:rsidR="005B7637" w:rsidRPr="00FA0D37">
              <w:t xml:space="preserve"> a second triggering event </w:t>
            </w:r>
            <w:r w:rsidR="005B7637" w:rsidRPr="00FA0D37">
              <w:rPr>
                <w:i/>
                <w:iCs/>
              </w:rPr>
              <w:t>condEventA3, condEventA4</w:t>
            </w:r>
            <w:r w:rsidR="005B7637" w:rsidRPr="00FA0D37">
              <w:t xml:space="preserve"> or </w:t>
            </w:r>
            <w:r w:rsidR="005B7637" w:rsidRPr="00FA0D37">
              <w:rPr>
                <w:i/>
                <w:iCs/>
              </w:rPr>
              <w:t>condEventA5</w:t>
            </w:r>
            <w:r w:rsidR="002E2D55" w:rsidRPr="00FA0D37">
              <w:t xml:space="preserve"> for the same candidate cell</w:t>
            </w:r>
            <w:r w:rsidR="005B7637" w:rsidRPr="00FA0D37">
              <w:t xml:space="preserve">. </w:t>
            </w:r>
            <w:r w:rsidR="0011494A" w:rsidRPr="00FA0D37">
              <w:t>The n</w:t>
            </w:r>
            <w:r w:rsidR="005B7637" w:rsidRPr="00FA0D37">
              <w:t xml:space="preserve">etwork does not configure both </w:t>
            </w:r>
            <w:r w:rsidR="005B7637" w:rsidRPr="00FA0D37">
              <w:rPr>
                <w:i/>
                <w:iCs/>
              </w:rPr>
              <w:t>condEventD1</w:t>
            </w:r>
            <w:r w:rsidR="005B7637" w:rsidRPr="00FA0D37">
              <w:t xml:space="preserve"> </w:t>
            </w:r>
            <w:r w:rsidR="002E2D55" w:rsidRPr="00FA0D37">
              <w:t>and</w:t>
            </w:r>
            <w:r w:rsidR="005B7637" w:rsidRPr="00FA0D37">
              <w:t xml:space="preserve"> </w:t>
            </w:r>
            <w:r w:rsidR="005B7637" w:rsidRPr="00FA0D37">
              <w:rPr>
                <w:i/>
                <w:iCs/>
              </w:rPr>
              <w:t>condEventT1</w:t>
            </w:r>
            <w:r w:rsidR="005B7637" w:rsidRPr="00FA0D37">
              <w:t xml:space="preserve"> for the same candidate cell.</w:t>
            </w:r>
            <w:r w:rsidR="0011494A" w:rsidRPr="00FA0D37">
              <w:t xml:space="preserve"> </w:t>
            </w:r>
            <w:r w:rsidR="00CB7FEC" w:rsidRPr="00FA0D37">
              <w:rPr>
                <w:lang w:eastAsia="en-US"/>
              </w:rPr>
              <w:t xml:space="preserve">For CHO in terrestrial networks, the network does not indicate a </w:t>
            </w:r>
            <w:r w:rsidR="00CB7FEC" w:rsidRPr="00FA0D37">
              <w:rPr>
                <w:i/>
                <w:iCs/>
                <w:lang w:eastAsia="en-US"/>
              </w:rPr>
              <w:t>MeasId</w:t>
            </w:r>
            <w:r w:rsidR="00CB7FEC" w:rsidRPr="00FA0D37">
              <w:rPr>
                <w:lang w:eastAsia="en-US"/>
              </w:rPr>
              <w:t xml:space="preserve"> associated with </w:t>
            </w:r>
            <w:r w:rsidR="00CB7FEC" w:rsidRPr="00FA0D37">
              <w:rPr>
                <w:i/>
                <w:iCs/>
                <w:lang w:eastAsia="en-US"/>
              </w:rPr>
              <w:t>condEventA4</w:t>
            </w:r>
            <w:r w:rsidR="0011494A" w:rsidRPr="00FA0D37">
              <w:t xml:space="preserve">. For CPA and for MN-initiated inter-SN CPC, the network only indicates </w:t>
            </w:r>
            <w:r w:rsidR="0011494A" w:rsidRPr="00FA0D37">
              <w:rPr>
                <w:i/>
              </w:rPr>
              <w:t>MeasId</w:t>
            </w:r>
            <w:r w:rsidR="0011494A" w:rsidRPr="00FA0D37">
              <w:t xml:space="preserve">(s) associated with </w:t>
            </w:r>
            <w:r w:rsidR="0011494A" w:rsidRPr="00FA0D37">
              <w:rPr>
                <w:i/>
              </w:rPr>
              <w:t>condEventA4</w:t>
            </w:r>
            <w:r w:rsidR="0011494A" w:rsidRPr="00FA0D37">
              <w:t xml:space="preserve">. For intra-SN CPC, the network only indicates </w:t>
            </w:r>
            <w:r w:rsidR="0011494A" w:rsidRPr="00FA0D37">
              <w:rPr>
                <w:i/>
              </w:rPr>
              <w:t>MeasId</w:t>
            </w:r>
            <w:r w:rsidR="0011494A" w:rsidRPr="00FA0D37">
              <w:t xml:space="preserve">(s) associated with </w:t>
            </w:r>
            <w:r w:rsidR="0011494A" w:rsidRPr="00FA0D37">
              <w:rPr>
                <w:i/>
              </w:rPr>
              <w:t>condEventA3</w:t>
            </w:r>
            <w:r w:rsidR="0011494A" w:rsidRPr="00FA0D37">
              <w:t xml:space="preserve"> or </w:t>
            </w:r>
            <w:r w:rsidR="0011494A" w:rsidRPr="00FA0D37">
              <w:rPr>
                <w:i/>
              </w:rPr>
              <w:t>condEventA5</w:t>
            </w:r>
            <w:r w:rsidR="0011494A" w:rsidRPr="00FA0D37">
              <w:t>.</w:t>
            </w:r>
          </w:p>
        </w:tc>
      </w:tr>
      <w:tr w:rsidR="005C7FF4" w:rsidRPr="00FA0D37"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FA0D37" w:rsidRDefault="00DB6B82" w:rsidP="00771058">
            <w:pPr>
              <w:pStyle w:val="TAL"/>
              <w:rPr>
                <w:b/>
                <w:bCs/>
                <w:i/>
                <w:lang w:eastAsia="en-GB"/>
              </w:rPr>
            </w:pPr>
            <w:r w:rsidRPr="00FA0D37">
              <w:rPr>
                <w:b/>
                <w:bCs/>
                <w:i/>
                <w:lang w:eastAsia="en-GB"/>
              </w:rPr>
              <w:t>condExecutionCondSCG</w:t>
            </w:r>
          </w:p>
          <w:p w14:paraId="3F4EC5AD" w14:textId="7676AE20" w:rsidR="00DB6B82" w:rsidRPr="00FA0D37" w:rsidRDefault="00DB6B82" w:rsidP="00771058">
            <w:pPr>
              <w:pStyle w:val="TAL"/>
              <w:rPr>
                <w:bCs/>
                <w:lang w:eastAsia="en-GB"/>
              </w:rPr>
            </w:pPr>
            <w:r w:rsidRPr="00FA0D37">
              <w:rPr>
                <w:bCs/>
                <w:lang w:eastAsia="en-GB"/>
              </w:rPr>
              <w:t xml:space="preserve">Contains execution condition that needs to be fulfilled in order to trigger the execution of a conditional reconfiguration for SN initiated inter-SN CPC. The Meas Ids refer to the </w:t>
            </w:r>
            <w:r w:rsidRPr="00FA0D37">
              <w:rPr>
                <w:bCs/>
                <w:i/>
                <w:lang w:eastAsia="en-GB"/>
              </w:rPr>
              <w:t>measConfig</w:t>
            </w:r>
            <w:r w:rsidRPr="00FA0D37">
              <w:rPr>
                <w:bCs/>
                <w:lang w:eastAsia="en-GB"/>
              </w:rPr>
              <w:t xml:space="preserve"> associated with the SCG. When configuring 2 triggering events (Meas Ids) for a candidate cell, network ensures that both refer to the same </w:t>
            </w:r>
            <w:r w:rsidRPr="00FA0D37">
              <w:rPr>
                <w:bCs/>
                <w:i/>
                <w:lang w:eastAsia="en-GB"/>
              </w:rPr>
              <w:t>measObject</w:t>
            </w:r>
            <w:r w:rsidRPr="00FA0D37">
              <w:rPr>
                <w:bCs/>
                <w:lang w:eastAsia="en-GB"/>
              </w:rPr>
              <w:t xml:space="preserve">. For each </w:t>
            </w:r>
            <w:r w:rsidRPr="00FA0D37">
              <w:rPr>
                <w:bCs/>
                <w:i/>
                <w:lang w:eastAsia="en-GB"/>
              </w:rPr>
              <w:t>condReconfigId</w:t>
            </w:r>
            <w:r w:rsidRPr="00FA0D37">
              <w:rPr>
                <w:bCs/>
                <w:lang w:eastAsia="en-GB"/>
              </w:rPr>
              <w:t xml:space="preserve">, the network always configures either </w:t>
            </w:r>
            <w:r w:rsidR="00627E02" w:rsidRPr="00FA0D37">
              <w:rPr>
                <w:bCs/>
                <w:i/>
                <w:lang w:eastAsia="en-GB"/>
              </w:rPr>
              <w:t>condExecution</w:t>
            </w:r>
            <w:r w:rsidRPr="00FA0D37">
              <w:rPr>
                <w:bCs/>
                <w:i/>
                <w:lang w:eastAsia="en-GB"/>
              </w:rPr>
              <w:t>Cond</w:t>
            </w:r>
            <w:r w:rsidRPr="00FA0D37">
              <w:rPr>
                <w:bCs/>
                <w:lang w:eastAsia="en-GB"/>
              </w:rPr>
              <w:t xml:space="preserve"> or </w:t>
            </w:r>
            <w:r w:rsidR="00627E02" w:rsidRPr="00FA0D37">
              <w:rPr>
                <w:bCs/>
                <w:i/>
                <w:lang w:eastAsia="en-GB"/>
              </w:rPr>
              <w:t>condExecution</w:t>
            </w:r>
            <w:r w:rsidRPr="00FA0D37">
              <w:rPr>
                <w:bCs/>
                <w:i/>
                <w:lang w:eastAsia="en-GB"/>
              </w:rPr>
              <w:t>CondSCG</w:t>
            </w:r>
            <w:r w:rsidRPr="00FA0D37">
              <w:rPr>
                <w:bCs/>
                <w:lang w:eastAsia="en-GB"/>
              </w:rPr>
              <w:t xml:space="preserve"> (not both).</w:t>
            </w:r>
            <w:r w:rsidR="0011494A" w:rsidRPr="00FA0D37">
              <w:rPr>
                <w:bCs/>
                <w:lang w:eastAsia="en-GB"/>
              </w:rPr>
              <w:t xml:space="preserve"> The network only indicates </w:t>
            </w:r>
            <w:r w:rsidR="0011494A" w:rsidRPr="00FA0D37">
              <w:rPr>
                <w:bCs/>
                <w:i/>
                <w:lang w:eastAsia="en-GB"/>
              </w:rPr>
              <w:t>MeasId</w:t>
            </w:r>
            <w:r w:rsidR="0011494A" w:rsidRPr="00FA0D37">
              <w:rPr>
                <w:bCs/>
                <w:lang w:eastAsia="en-GB"/>
              </w:rPr>
              <w:t xml:space="preserve">(s) associated with </w:t>
            </w:r>
            <w:r w:rsidR="0011494A" w:rsidRPr="00FA0D37">
              <w:rPr>
                <w:bCs/>
                <w:i/>
                <w:lang w:eastAsia="en-GB"/>
              </w:rPr>
              <w:t>condEventA3</w:t>
            </w:r>
            <w:r w:rsidR="0011494A" w:rsidRPr="00FA0D37">
              <w:rPr>
                <w:bCs/>
                <w:lang w:eastAsia="en-GB"/>
              </w:rPr>
              <w:t xml:space="preserve"> or </w:t>
            </w:r>
            <w:r w:rsidR="0011494A" w:rsidRPr="00FA0D37">
              <w:rPr>
                <w:bCs/>
                <w:i/>
                <w:lang w:eastAsia="en-GB"/>
              </w:rPr>
              <w:t>condEventA5</w:t>
            </w:r>
            <w:r w:rsidR="0011494A" w:rsidRPr="00FA0D37">
              <w:rPr>
                <w:bCs/>
                <w:lang w:eastAsia="en-GB"/>
              </w:rPr>
              <w:t>.</w:t>
            </w:r>
          </w:p>
        </w:tc>
      </w:tr>
      <w:tr w:rsidR="00394471" w:rsidRPr="00FA0D37"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FA0D37" w:rsidRDefault="00394471" w:rsidP="00964CC4">
            <w:pPr>
              <w:pStyle w:val="TAL"/>
              <w:rPr>
                <w:lang w:eastAsia="sv-SE"/>
              </w:rPr>
            </w:pPr>
            <w:r w:rsidRPr="00FA0D37">
              <w:rPr>
                <w:b/>
                <w:bCs/>
                <w:i/>
                <w:noProof/>
                <w:lang w:eastAsia="en-GB"/>
              </w:rPr>
              <w:t>condRRCReconfig</w:t>
            </w:r>
          </w:p>
          <w:p w14:paraId="2B688363" w14:textId="471F08DE" w:rsidR="00394471" w:rsidRPr="00FA0D37" w:rsidRDefault="00394471" w:rsidP="00964CC4">
            <w:pPr>
              <w:pStyle w:val="TAL"/>
              <w:rPr>
                <w:b/>
                <w:bCs/>
                <w:i/>
                <w:noProof/>
                <w:lang w:eastAsia="en-GB"/>
              </w:rPr>
            </w:pPr>
            <w:r w:rsidRPr="00FA0D37">
              <w:rPr>
                <w:lang w:eastAsia="sv-SE"/>
              </w:rPr>
              <w:t xml:space="preserve">The </w:t>
            </w:r>
            <w:r w:rsidRPr="00FA0D37">
              <w:rPr>
                <w:i/>
                <w:lang w:eastAsia="sv-SE"/>
              </w:rPr>
              <w:t>RRCReconfiguration</w:t>
            </w:r>
            <w:r w:rsidRPr="00FA0D37">
              <w:rPr>
                <w:lang w:eastAsia="sv-SE"/>
              </w:rPr>
              <w:t xml:space="preserve"> message to be applied when the condition(s) are fulfilled. </w:t>
            </w:r>
            <w:r w:rsidRPr="00FA0D37">
              <w:t xml:space="preserve">The </w:t>
            </w:r>
            <w:r w:rsidRPr="00FA0D37">
              <w:rPr>
                <w:i/>
              </w:rPr>
              <w:t>RRCReconfiguration</w:t>
            </w:r>
            <w:r w:rsidRPr="00FA0D37">
              <w:t xml:space="preserve"> message contained in </w:t>
            </w:r>
            <w:r w:rsidRPr="00FA0D37">
              <w:rPr>
                <w:i/>
                <w:iCs/>
              </w:rPr>
              <w:t>condRRCReconfig</w:t>
            </w:r>
            <w:r w:rsidRPr="00FA0D37">
              <w:t xml:space="preserve"> cannot contain the field </w:t>
            </w:r>
            <w:r w:rsidRPr="00FA0D37">
              <w:rPr>
                <w:i/>
                <w:iCs/>
              </w:rPr>
              <w:t>conditionalReconfiguration</w:t>
            </w:r>
            <w:r w:rsidRPr="00FA0D37">
              <w:rPr>
                <w:szCs w:val="18"/>
              </w:rPr>
              <w:t xml:space="preserve"> </w:t>
            </w:r>
            <w:r w:rsidR="009D78BF" w:rsidRPr="00FA0D37">
              <w:rPr>
                <w:szCs w:val="18"/>
              </w:rPr>
              <w:t xml:space="preserve">or </w:t>
            </w:r>
            <w:r w:rsidRPr="00FA0D37">
              <w:rPr>
                <w:szCs w:val="18"/>
              </w:rPr>
              <w:t>the field</w:t>
            </w:r>
            <w:r w:rsidRPr="00FA0D37">
              <w:rPr>
                <w:i/>
                <w:iCs/>
                <w:szCs w:val="18"/>
              </w:rPr>
              <w:t xml:space="preserve"> daps-Config</w:t>
            </w:r>
            <w:r w:rsidRPr="00FA0D37">
              <w:t>.</w:t>
            </w:r>
          </w:p>
        </w:tc>
      </w:tr>
    </w:tbl>
    <w:p w14:paraId="0A5645E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FA0D37" w:rsidRDefault="00394471" w:rsidP="00964CC4">
            <w:pPr>
              <w:pStyle w:val="TAH"/>
              <w:rPr>
                <w:b w:val="0"/>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FA0D37" w:rsidRDefault="00394471" w:rsidP="00964CC4">
            <w:pPr>
              <w:pStyle w:val="TAH"/>
              <w:rPr>
                <w:b w:val="0"/>
                <w:lang w:eastAsia="sv-SE"/>
              </w:rPr>
            </w:pPr>
            <w:r w:rsidRPr="00FA0D37">
              <w:rPr>
                <w:lang w:eastAsia="sv-SE"/>
              </w:rPr>
              <w:t>Explanation</w:t>
            </w:r>
          </w:p>
        </w:tc>
      </w:tr>
      <w:tr w:rsidR="00394471" w:rsidRPr="00FA0D37"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FA0D37" w:rsidRDefault="00394471" w:rsidP="00964CC4">
            <w:pPr>
              <w:pStyle w:val="TAL"/>
              <w:rPr>
                <w:i/>
                <w:szCs w:val="22"/>
                <w:lang w:eastAsia="sv-SE"/>
              </w:rPr>
            </w:pPr>
            <w:r w:rsidRPr="00FA0D37">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FA0D37" w:rsidRDefault="00394471" w:rsidP="00964CC4">
            <w:pPr>
              <w:pStyle w:val="TAL"/>
              <w:rPr>
                <w:szCs w:val="22"/>
                <w:lang w:eastAsia="sv-SE"/>
              </w:rPr>
            </w:pPr>
            <w:r w:rsidRPr="00FA0D37">
              <w:rPr>
                <w:szCs w:val="22"/>
                <w:lang w:eastAsia="sv-SE"/>
              </w:rPr>
              <w:t xml:space="preserve">The field is mandatory present when a </w:t>
            </w:r>
            <w:r w:rsidRPr="00FA0D37">
              <w:rPr>
                <w:i/>
                <w:iCs/>
                <w:szCs w:val="22"/>
                <w:lang w:eastAsia="sv-SE"/>
              </w:rPr>
              <w:t>condReconfigId</w:t>
            </w:r>
            <w:r w:rsidRPr="00FA0D37">
              <w:rPr>
                <w:szCs w:val="22"/>
                <w:lang w:eastAsia="sv-SE"/>
              </w:rPr>
              <w:t xml:space="preserve"> is being added. Otherwise the field is optional, need M.</w:t>
            </w:r>
          </w:p>
        </w:tc>
      </w:tr>
    </w:tbl>
    <w:p w14:paraId="1B88F181" w14:textId="77777777" w:rsidR="00394471" w:rsidRPr="00FA0D37" w:rsidRDefault="00394471" w:rsidP="00394471"/>
    <w:p w14:paraId="6FA5B029" w14:textId="77777777" w:rsidR="00394471" w:rsidRPr="00FA0D37" w:rsidRDefault="00394471" w:rsidP="00394471">
      <w:pPr>
        <w:pStyle w:val="4"/>
        <w:rPr>
          <w:i/>
          <w:iCs/>
        </w:rPr>
      </w:pPr>
      <w:bookmarkStart w:id="955" w:name="_Toc60777201"/>
      <w:bookmarkStart w:id="956" w:name="_Toc146781248"/>
      <w:r w:rsidRPr="00FA0D37">
        <w:rPr>
          <w:i/>
          <w:iCs/>
        </w:rPr>
        <w:t>–</w:t>
      </w:r>
      <w:r w:rsidRPr="00FA0D37">
        <w:rPr>
          <w:i/>
          <w:iCs/>
        </w:rPr>
        <w:tab/>
      </w:r>
      <w:r w:rsidRPr="00FA0D37">
        <w:rPr>
          <w:i/>
          <w:iCs/>
          <w:noProof/>
        </w:rPr>
        <w:t>ConditionalReconfiguration</w:t>
      </w:r>
      <w:bookmarkEnd w:id="955"/>
      <w:bookmarkEnd w:id="956"/>
    </w:p>
    <w:p w14:paraId="42640DFB" w14:textId="77777777" w:rsidR="00394471" w:rsidRPr="00FA0D37" w:rsidRDefault="00394471" w:rsidP="00394471">
      <w:r w:rsidRPr="00FA0D37">
        <w:t xml:space="preserve">The IE </w:t>
      </w:r>
      <w:r w:rsidRPr="00FA0D37">
        <w:rPr>
          <w:i/>
        </w:rPr>
        <w:t xml:space="preserve">ConditionalReconfiguration </w:t>
      </w:r>
      <w:r w:rsidRPr="00FA0D37">
        <w:t>is used to add, modify and release the configuration of conditional reconfiguration.</w:t>
      </w:r>
    </w:p>
    <w:p w14:paraId="13791E0B" w14:textId="77777777" w:rsidR="00394471" w:rsidRPr="00FA0D37" w:rsidRDefault="00394471" w:rsidP="00394471">
      <w:pPr>
        <w:pStyle w:val="TH"/>
        <w:rPr>
          <w:bCs/>
          <w:i/>
          <w:iCs/>
        </w:rPr>
      </w:pPr>
      <w:r w:rsidRPr="00FA0D37">
        <w:rPr>
          <w:bCs/>
          <w:i/>
          <w:iCs/>
        </w:rPr>
        <w:t xml:space="preserve">ConditionalReconfiguration </w:t>
      </w:r>
      <w:r w:rsidRPr="00FA0D37">
        <w:t>information element</w:t>
      </w:r>
    </w:p>
    <w:p w14:paraId="288246E4" w14:textId="77777777" w:rsidR="00394471" w:rsidRPr="00FA0D37" w:rsidRDefault="00394471" w:rsidP="00FA0D37">
      <w:pPr>
        <w:pStyle w:val="PL"/>
        <w:rPr>
          <w:color w:val="808080"/>
        </w:rPr>
      </w:pPr>
      <w:r w:rsidRPr="00FA0D37">
        <w:rPr>
          <w:color w:val="808080"/>
        </w:rPr>
        <w:t>-- ASN1START</w:t>
      </w:r>
    </w:p>
    <w:p w14:paraId="28E669D4" w14:textId="77777777" w:rsidR="00394471" w:rsidRPr="00FA0D37" w:rsidRDefault="00394471" w:rsidP="00FA0D37">
      <w:pPr>
        <w:pStyle w:val="PL"/>
        <w:rPr>
          <w:color w:val="808080"/>
        </w:rPr>
      </w:pPr>
      <w:r w:rsidRPr="00FA0D37">
        <w:rPr>
          <w:color w:val="808080"/>
        </w:rPr>
        <w:t>-- TAG-CONDITIONALRECONFIGURATION-START</w:t>
      </w:r>
    </w:p>
    <w:p w14:paraId="2A76AB0E" w14:textId="77777777" w:rsidR="00394471" w:rsidRPr="00FA0D37" w:rsidRDefault="00394471" w:rsidP="00FA0D37">
      <w:pPr>
        <w:pStyle w:val="PL"/>
      </w:pPr>
    </w:p>
    <w:p w14:paraId="258D050A" w14:textId="77777777" w:rsidR="00394471" w:rsidRPr="00FA0D37" w:rsidRDefault="00394471" w:rsidP="00FA0D37">
      <w:pPr>
        <w:pStyle w:val="PL"/>
      </w:pPr>
      <w:r w:rsidRPr="00FA0D37">
        <w:t xml:space="preserve">ConditionalReconfiguration-r16 ::=   </w:t>
      </w:r>
      <w:r w:rsidRPr="00FA0D37">
        <w:rPr>
          <w:color w:val="993366"/>
        </w:rPr>
        <w:t>SEQUENCE</w:t>
      </w:r>
      <w:r w:rsidRPr="00FA0D37">
        <w:t xml:space="preserve"> {</w:t>
      </w:r>
    </w:p>
    <w:p w14:paraId="2E071904" w14:textId="77777777" w:rsidR="00394471" w:rsidRPr="00FA0D37" w:rsidRDefault="00394471" w:rsidP="00FA0D37">
      <w:pPr>
        <w:pStyle w:val="PL"/>
        <w:rPr>
          <w:color w:val="808080"/>
        </w:rPr>
      </w:pPr>
      <w:r w:rsidRPr="00FA0D37">
        <w:t xml:space="preserve">    attemptCondReconfig-r16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CHO</w:t>
      </w:r>
    </w:p>
    <w:p w14:paraId="615773C3" w14:textId="77777777" w:rsidR="00394471" w:rsidRPr="00FA0D37" w:rsidRDefault="00394471" w:rsidP="00FA0D37">
      <w:pPr>
        <w:pStyle w:val="PL"/>
        <w:rPr>
          <w:color w:val="808080"/>
        </w:rPr>
      </w:pPr>
      <w:r w:rsidRPr="00FA0D37">
        <w:t xml:space="preserve">    condReconfigToRemoveList-r16         CondReconfigToRemoveList-r16   </w:t>
      </w:r>
      <w:r w:rsidRPr="00FA0D37">
        <w:rPr>
          <w:color w:val="993366"/>
        </w:rPr>
        <w:t>OPTIONAL</w:t>
      </w:r>
      <w:r w:rsidRPr="00FA0D37">
        <w:t xml:space="preserve">,   </w:t>
      </w:r>
      <w:r w:rsidRPr="00FA0D37">
        <w:rPr>
          <w:color w:val="808080"/>
        </w:rPr>
        <w:t>-- Need N</w:t>
      </w:r>
    </w:p>
    <w:p w14:paraId="7300DA5A" w14:textId="77777777" w:rsidR="00394471" w:rsidRPr="00FA0D37" w:rsidRDefault="00394471" w:rsidP="00FA0D37">
      <w:pPr>
        <w:pStyle w:val="PL"/>
        <w:rPr>
          <w:color w:val="808080"/>
        </w:rPr>
      </w:pPr>
      <w:r w:rsidRPr="00FA0D37">
        <w:t xml:space="preserve">    condReconfigToAddModList-r16         CondReconfigToAddModList-r16   </w:t>
      </w:r>
      <w:r w:rsidRPr="00FA0D37">
        <w:rPr>
          <w:color w:val="993366"/>
        </w:rPr>
        <w:t>OPTIONAL</w:t>
      </w:r>
      <w:r w:rsidRPr="00FA0D37">
        <w:t xml:space="preserve">,   </w:t>
      </w:r>
      <w:r w:rsidRPr="00FA0D37">
        <w:rPr>
          <w:color w:val="808080"/>
        </w:rPr>
        <w:t>-- Need N</w:t>
      </w:r>
    </w:p>
    <w:p w14:paraId="02C598B9" w14:textId="77777777" w:rsidR="00394471" w:rsidRPr="00FA0D37" w:rsidRDefault="00394471" w:rsidP="00FA0D37">
      <w:pPr>
        <w:pStyle w:val="PL"/>
      </w:pPr>
      <w:r w:rsidRPr="00FA0D37">
        <w:t xml:space="preserve">    ...</w:t>
      </w:r>
    </w:p>
    <w:p w14:paraId="7180A594" w14:textId="77777777" w:rsidR="00394471" w:rsidRPr="00FA0D37" w:rsidRDefault="00394471" w:rsidP="00FA0D37">
      <w:pPr>
        <w:pStyle w:val="PL"/>
      </w:pPr>
      <w:r w:rsidRPr="00FA0D37">
        <w:t>}</w:t>
      </w:r>
    </w:p>
    <w:p w14:paraId="6F5D1DB2" w14:textId="77777777" w:rsidR="00394471" w:rsidRPr="00FA0D37" w:rsidRDefault="00394471" w:rsidP="00FA0D37">
      <w:pPr>
        <w:pStyle w:val="PL"/>
      </w:pPr>
    </w:p>
    <w:p w14:paraId="62491B0A" w14:textId="77777777" w:rsidR="00394471" w:rsidRPr="00FA0D37" w:rsidRDefault="00394471" w:rsidP="00FA0D37">
      <w:pPr>
        <w:pStyle w:val="PL"/>
      </w:pPr>
      <w:r w:rsidRPr="00FA0D37">
        <w:t xml:space="preserve">CondReconfigToRemoveList-r16 ::=     </w:t>
      </w:r>
      <w:r w:rsidRPr="00FA0D37">
        <w:rPr>
          <w:color w:val="993366"/>
        </w:rPr>
        <w:t>SEQUENCE</w:t>
      </w:r>
      <w:r w:rsidRPr="00FA0D37">
        <w:t xml:space="preserve"> (</w:t>
      </w:r>
      <w:r w:rsidRPr="00FA0D37">
        <w:rPr>
          <w:color w:val="993366"/>
        </w:rPr>
        <w:t>SIZE</w:t>
      </w:r>
      <w:r w:rsidRPr="00FA0D37">
        <w:t xml:space="preserve"> (1.. maxNrofCondCells-r16))</w:t>
      </w:r>
      <w:r w:rsidRPr="00FA0D37">
        <w:rPr>
          <w:color w:val="993366"/>
        </w:rPr>
        <w:t xml:space="preserve"> OF</w:t>
      </w:r>
      <w:r w:rsidRPr="00FA0D37">
        <w:t xml:space="preserve"> CondReconfigId-r16</w:t>
      </w:r>
    </w:p>
    <w:p w14:paraId="299F45B2" w14:textId="77777777" w:rsidR="00394471" w:rsidRPr="00FA0D37" w:rsidRDefault="00394471" w:rsidP="00FA0D37">
      <w:pPr>
        <w:pStyle w:val="PL"/>
      </w:pPr>
    </w:p>
    <w:p w14:paraId="5E418931" w14:textId="77777777" w:rsidR="00394471" w:rsidRPr="00FA0D37" w:rsidRDefault="00394471" w:rsidP="00FA0D37">
      <w:pPr>
        <w:pStyle w:val="PL"/>
        <w:rPr>
          <w:color w:val="808080"/>
        </w:rPr>
      </w:pPr>
      <w:r w:rsidRPr="00FA0D37">
        <w:rPr>
          <w:color w:val="808080"/>
        </w:rPr>
        <w:t>-- TAG-CONDITIONALRECONFIGURATION-STOP</w:t>
      </w:r>
    </w:p>
    <w:p w14:paraId="1338FA3D" w14:textId="77777777" w:rsidR="00394471" w:rsidRPr="00FA0D37" w:rsidRDefault="00394471" w:rsidP="00FA0D37">
      <w:pPr>
        <w:pStyle w:val="PL"/>
        <w:rPr>
          <w:color w:val="808080"/>
        </w:rPr>
      </w:pPr>
      <w:r w:rsidRPr="00FA0D37">
        <w:rPr>
          <w:color w:val="808080"/>
        </w:rPr>
        <w:t>-- ASN1STOP</w:t>
      </w:r>
    </w:p>
    <w:p w14:paraId="0BE4BD0C" w14:textId="77777777" w:rsidR="00394471" w:rsidRPr="00FA0D3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FA0D37" w:rsidRDefault="00394471" w:rsidP="00964CC4">
            <w:pPr>
              <w:pStyle w:val="TAH"/>
              <w:rPr>
                <w:lang w:eastAsia="en-GB"/>
              </w:rPr>
            </w:pPr>
            <w:r w:rsidRPr="00FA0D37">
              <w:rPr>
                <w:i/>
                <w:noProof/>
                <w:lang w:eastAsia="en-GB"/>
              </w:rPr>
              <w:lastRenderedPageBreak/>
              <w:t xml:space="preserve">ConditionalReconfiguration </w:t>
            </w:r>
            <w:r w:rsidRPr="00FA0D37">
              <w:rPr>
                <w:iCs/>
                <w:noProof/>
                <w:lang w:eastAsia="en-GB"/>
              </w:rPr>
              <w:t>field descriptions</w:t>
            </w:r>
          </w:p>
        </w:tc>
      </w:tr>
      <w:tr w:rsidR="005C7FF4" w:rsidRPr="00FA0D37"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FA0D37" w:rsidRDefault="00394471" w:rsidP="00964CC4">
            <w:pPr>
              <w:pStyle w:val="TAL"/>
            </w:pPr>
            <w:r w:rsidRPr="00FA0D37">
              <w:rPr>
                <w:b/>
                <w:bCs/>
                <w:i/>
                <w:noProof/>
                <w:lang w:eastAsia="en-GB"/>
              </w:rPr>
              <w:t>attemptCondReconfig</w:t>
            </w:r>
          </w:p>
          <w:p w14:paraId="58DD4657" w14:textId="77777777" w:rsidR="00394471" w:rsidRPr="00FA0D37" w:rsidRDefault="00394471" w:rsidP="00964CC4">
            <w:pPr>
              <w:pStyle w:val="TAL"/>
              <w:rPr>
                <w:noProof/>
                <w:lang w:eastAsia="en-GB"/>
              </w:rPr>
            </w:pPr>
            <w:r w:rsidRPr="00FA0D37">
              <w:t>If present, the UE shall perform conditional reconfiguration if selected cell is a target candidate cell and it is the first cell selection after failure as described in clause 5.3.7.3.</w:t>
            </w:r>
          </w:p>
        </w:tc>
      </w:tr>
      <w:tr w:rsidR="005C7FF4" w:rsidRPr="00FA0D37"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FA0D37" w:rsidRDefault="00394471" w:rsidP="00964CC4">
            <w:pPr>
              <w:pStyle w:val="TAL"/>
              <w:rPr>
                <w:lang w:eastAsia="sv-SE"/>
              </w:rPr>
            </w:pPr>
            <w:r w:rsidRPr="00FA0D37">
              <w:rPr>
                <w:b/>
                <w:bCs/>
                <w:i/>
                <w:noProof/>
                <w:lang w:eastAsia="en-GB"/>
              </w:rPr>
              <w:t>condReconfigToAddModList</w:t>
            </w:r>
          </w:p>
          <w:p w14:paraId="44D9D028" w14:textId="6D78799F" w:rsidR="00394471" w:rsidRPr="00FA0D37" w:rsidRDefault="00394471" w:rsidP="00964CC4">
            <w:pPr>
              <w:pStyle w:val="TAL"/>
              <w:rPr>
                <w:b/>
                <w:bCs/>
                <w:i/>
                <w:noProof/>
                <w:lang w:eastAsia="zh-CN"/>
              </w:rPr>
            </w:pPr>
            <w:r w:rsidRPr="00FA0D37">
              <w:rPr>
                <w:lang w:eastAsia="sv-SE"/>
              </w:rPr>
              <w:t>List of the configuration of candidate SpCells to be added or modified for CHO</w:t>
            </w:r>
            <w:r w:rsidR="00DB6B82" w:rsidRPr="00FA0D37">
              <w:rPr>
                <w:lang w:eastAsia="sv-SE"/>
              </w:rPr>
              <w:t>, CPA</w:t>
            </w:r>
            <w:r w:rsidRPr="00FA0D37">
              <w:rPr>
                <w:lang w:eastAsia="sv-SE"/>
              </w:rPr>
              <w:t xml:space="preserve"> or CPC.</w:t>
            </w:r>
          </w:p>
        </w:tc>
      </w:tr>
      <w:tr w:rsidR="00394471" w:rsidRPr="00FA0D37"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FA0D37" w:rsidRDefault="00394471" w:rsidP="00964CC4">
            <w:pPr>
              <w:pStyle w:val="TAL"/>
              <w:rPr>
                <w:lang w:eastAsia="sv-SE"/>
              </w:rPr>
            </w:pPr>
            <w:r w:rsidRPr="00FA0D37">
              <w:rPr>
                <w:b/>
                <w:bCs/>
                <w:i/>
                <w:noProof/>
                <w:lang w:eastAsia="en-GB"/>
              </w:rPr>
              <w:t>condReconfigToRemoveList</w:t>
            </w:r>
          </w:p>
          <w:p w14:paraId="240FEA91" w14:textId="77777777" w:rsidR="00394471" w:rsidRPr="00FA0D37" w:rsidRDefault="00394471" w:rsidP="00964CC4">
            <w:pPr>
              <w:pStyle w:val="TAL"/>
              <w:rPr>
                <w:b/>
                <w:bCs/>
                <w:i/>
                <w:noProof/>
                <w:lang w:eastAsia="en-GB"/>
              </w:rPr>
            </w:pPr>
            <w:r w:rsidRPr="00FA0D37">
              <w:rPr>
                <w:lang w:eastAsia="sv-SE"/>
              </w:rPr>
              <w:t>List of the configuration of candidate SpCells to be removed.</w:t>
            </w:r>
          </w:p>
        </w:tc>
      </w:tr>
    </w:tbl>
    <w:p w14:paraId="3BE3DA6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FA0D37" w:rsidRDefault="00394471" w:rsidP="00964CC4">
            <w:pPr>
              <w:pStyle w:val="TAH"/>
              <w:rPr>
                <w:b w:val="0"/>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FA0D37" w:rsidRDefault="00394471" w:rsidP="00964CC4">
            <w:pPr>
              <w:pStyle w:val="TAH"/>
              <w:rPr>
                <w:b w:val="0"/>
                <w:lang w:eastAsia="sv-SE"/>
              </w:rPr>
            </w:pPr>
            <w:r w:rsidRPr="00FA0D37">
              <w:rPr>
                <w:lang w:eastAsia="sv-SE"/>
              </w:rPr>
              <w:t>Explanation</w:t>
            </w:r>
          </w:p>
        </w:tc>
      </w:tr>
      <w:tr w:rsidR="00394471" w:rsidRPr="00FA0D37"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FA0D37" w:rsidRDefault="00394471" w:rsidP="00964CC4">
            <w:pPr>
              <w:pStyle w:val="TAL"/>
              <w:rPr>
                <w:i/>
                <w:iCs/>
                <w:lang w:eastAsia="sv-SE"/>
              </w:rPr>
            </w:pPr>
            <w:r w:rsidRPr="00FA0D37">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FA0D37" w:rsidRDefault="00394471" w:rsidP="00964CC4">
            <w:pPr>
              <w:pStyle w:val="TAL"/>
              <w:rPr>
                <w:lang w:eastAsia="sv-SE"/>
              </w:rPr>
            </w:pPr>
            <w:r w:rsidRPr="00FA0D37">
              <w:rPr>
                <w:lang w:eastAsia="sv-SE"/>
              </w:rPr>
              <w:t xml:space="preserve">The field is optional present, Need </w:t>
            </w:r>
            <w:r w:rsidR="00F43C6B" w:rsidRPr="00FA0D37">
              <w:rPr>
                <w:lang w:eastAsia="sv-SE"/>
              </w:rPr>
              <w:t>R</w:t>
            </w:r>
            <w:r w:rsidRPr="00FA0D37">
              <w:rPr>
                <w:lang w:eastAsia="sv-SE"/>
              </w:rPr>
              <w:t xml:space="preserve">, if </w:t>
            </w:r>
            <w:r w:rsidR="00F43C6B" w:rsidRPr="00FA0D37">
              <w:rPr>
                <w:lang w:eastAsia="sv-SE"/>
              </w:rPr>
              <w:t>the UE is configured with at least a candidate SpCell</w:t>
            </w:r>
            <w:r w:rsidRPr="00FA0D37">
              <w:rPr>
                <w:lang w:eastAsia="sv-SE"/>
              </w:rPr>
              <w:t xml:space="preserve"> for CHO. Otherwise the field is not present.</w:t>
            </w:r>
          </w:p>
        </w:tc>
      </w:tr>
    </w:tbl>
    <w:p w14:paraId="4D1555D3" w14:textId="77777777" w:rsidR="00394471" w:rsidRPr="00FA0D37" w:rsidRDefault="00394471" w:rsidP="00394471"/>
    <w:p w14:paraId="468A573E" w14:textId="77777777" w:rsidR="00394471" w:rsidRPr="00FA0D37" w:rsidRDefault="00394471" w:rsidP="00394471">
      <w:pPr>
        <w:pStyle w:val="4"/>
      </w:pPr>
      <w:bookmarkStart w:id="957" w:name="_Toc60777202"/>
      <w:bookmarkStart w:id="958" w:name="_Toc146781249"/>
      <w:r w:rsidRPr="00FA0D37">
        <w:t>–</w:t>
      </w:r>
      <w:r w:rsidRPr="00FA0D37">
        <w:tab/>
      </w:r>
      <w:r w:rsidRPr="00FA0D37">
        <w:rPr>
          <w:i/>
        </w:rPr>
        <w:t>ConfiguredGrantConfig</w:t>
      </w:r>
      <w:bookmarkEnd w:id="957"/>
      <w:bookmarkEnd w:id="958"/>
    </w:p>
    <w:p w14:paraId="4441CC53" w14:textId="77777777" w:rsidR="00394471" w:rsidRPr="00FA0D37" w:rsidRDefault="00394471" w:rsidP="00394471">
      <w:r w:rsidRPr="00FA0D37">
        <w:t xml:space="preserve">The IE </w:t>
      </w:r>
      <w:r w:rsidRPr="00FA0D37">
        <w:rPr>
          <w:i/>
        </w:rPr>
        <w:t>ConfiguredGrantConfig</w:t>
      </w:r>
      <w:r w:rsidRPr="00FA0D37">
        <w:t xml:space="preserve"> is used to configure uplink transmission without dynamic grant according to two possible schemes. The actual uplink grant may either be configured via RRC (</w:t>
      </w:r>
      <w:r w:rsidRPr="00FA0D37">
        <w:rPr>
          <w:i/>
        </w:rPr>
        <w:t>type1</w:t>
      </w:r>
      <w:r w:rsidRPr="00FA0D37">
        <w:t>) or provided via the PDCCH (addressed to CS-RNTI) (</w:t>
      </w:r>
      <w:r w:rsidRPr="00FA0D37">
        <w:rPr>
          <w:i/>
        </w:rPr>
        <w:t>type2</w:t>
      </w:r>
      <w:r w:rsidRPr="00FA0D37">
        <w:t>). Multiple Configured Grant configurations may be configured in one BWP of a serving cell.</w:t>
      </w:r>
    </w:p>
    <w:p w14:paraId="2B486E16" w14:textId="77777777" w:rsidR="00394471" w:rsidRPr="00FA0D37" w:rsidRDefault="00394471" w:rsidP="00394471">
      <w:pPr>
        <w:pStyle w:val="TH"/>
      </w:pPr>
      <w:r w:rsidRPr="00FA0D37">
        <w:rPr>
          <w:i/>
        </w:rPr>
        <w:t>ConfiguredGrantConfig</w:t>
      </w:r>
      <w:r w:rsidRPr="00FA0D37">
        <w:t xml:space="preserve"> information element</w:t>
      </w:r>
    </w:p>
    <w:p w14:paraId="14B404FB" w14:textId="77777777" w:rsidR="00394471" w:rsidRPr="00FA0D37" w:rsidRDefault="00394471" w:rsidP="00FA0D37">
      <w:pPr>
        <w:pStyle w:val="PL"/>
        <w:rPr>
          <w:color w:val="808080"/>
        </w:rPr>
      </w:pPr>
      <w:r w:rsidRPr="00FA0D37">
        <w:rPr>
          <w:color w:val="808080"/>
        </w:rPr>
        <w:t>-- ASN1START</w:t>
      </w:r>
    </w:p>
    <w:p w14:paraId="592FD37E" w14:textId="77777777" w:rsidR="00394471" w:rsidRPr="00FA0D37" w:rsidRDefault="00394471" w:rsidP="00FA0D37">
      <w:pPr>
        <w:pStyle w:val="PL"/>
        <w:rPr>
          <w:color w:val="808080"/>
        </w:rPr>
      </w:pPr>
      <w:r w:rsidRPr="00FA0D37">
        <w:rPr>
          <w:color w:val="808080"/>
        </w:rPr>
        <w:t>-- TAG-CONFIGUREDGRANTCONFIG-START</w:t>
      </w:r>
    </w:p>
    <w:p w14:paraId="1AD17F76" w14:textId="77777777" w:rsidR="00394471" w:rsidRPr="00FA0D37" w:rsidRDefault="00394471" w:rsidP="00FA0D37">
      <w:pPr>
        <w:pStyle w:val="PL"/>
      </w:pPr>
    </w:p>
    <w:p w14:paraId="7213A0EA" w14:textId="77777777" w:rsidR="00394471" w:rsidRPr="00FA0D37" w:rsidRDefault="00394471" w:rsidP="00FA0D37">
      <w:pPr>
        <w:pStyle w:val="PL"/>
      </w:pPr>
      <w:r w:rsidRPr="00FA0D37">
        <w:t xml:space="preserve">ConfiguredGrantConfig ::=           </w:t>
      </w:r>
      <w:r w:rsidRPr="00FA0D37">
        <w:rPr>
          <w:color w:val="993366"/>
        </w:rPr>
        <w:t>SEQUENCE</w:t>
      </w:r>
      <w:r w:rsidRPr="00FA0D37">
        <w:t xml:space="preserve"> {</w:t>
      </w:r>
    </w:p>
    <w:p w14:paraId="7611230C" w14:textId="77777777" w:rsidR="00394471" w:rsidRPr="00FA0D37" w:rsidRDefault="00394471" w:rsidP="00FA0D37">
      <w:pPr>
        <w:pStyle w:val="PL"/>
        <w:rPr>
          <w:color w:val="808080"/>
        </w:rPr>
      </w:pPr>
      <w:r w:rsidRPr="00FA0D37">
        <w:t xml:space="preserve">    frequencyHopping                    </w:t>
      </w:r>
      <w:r w:rsidRPr="00FA0D37">
        <w:rPr>
          <w:color w:val="993366"/>
        </w:rPr>
        <w:t>ENUMERATED</w:t>
      </w:r>
      <w:r w:rsidRPr="00FA0D37">
        <w:t xml:space="preserve"> {intraSlot, interSlot}                                       </w:t>
      </w:r>
      <w:r w:rsidRPr="00FA0D37">
        <w:rPr>
          <w:color w:val="993366"/>
        </w:rPr>
        <w:t>OPTIONAL</w:t>
      </w:r>
      <w:r w:rsidRPr="00FA0D37">
        <w:t xml:space="preserve">,   </w:t>
      </w:r>
      <w:r w:rsidRPr="00FA0D37">
        <w:rPr>
          <w:color w:val="808080"/>
        </w:rPr>
        <w:t>-- Need S</w:t>
      </w:r>
    </w:p>
    <w:p w14:paraId="0A7A6EE3" w14:textId="77777777" w:rsidR="00394471" w:rsidRPr="00FA0D37" w:rsidRDefault="00394471" w:rsidP="00FA0D37">
      <w:pPr>
        <w:pStyle w:val="PL"/>
      </w:pPr>
      <w:r w:rsidRPr="00FA0D37">
        <w:t xml:space="preserve">    cg-DMRS-Configuration               DMRS-UplinkConfig,</w:t>
      </w:r>
    </w:p>
    <w:p w14:paraId="15FCA0C2" w14:textId="77777777" w:rsidR="00394471" w:rsidRPr="00FA0D37" w:rsidRDefault="00394471" w:rsidP="00FA0D37">
      <w:pPr>
        <w:pStyle w:val="PL"/>
        <w:rPr>
          <w:color w:val="808080"/>
        </w:rPr>
      </w:pPr>
      <w:r w:rsidRPr="00FA0D37">
        <w:t xml:space="preserve">    mcs-Table                           </w:t>
      </w:r>
      <w:r w:rsidRPr="00FA0D37">
        <w:rPr>
          <w:color w:val="993366"/>
        </w:rPr>
        <w:t>ENUMERATED</w:t>
      </w:r>
      <w:r w:rsidRPr="00FA0D37">
        <w:t xml:space="preserve"> {qam256, qam64LowSE}                                         </w:t>
      </w:r>
      <w:r w:rsidRPr="00FA0D37">
        <w:rPr>
          <w:color w:val="993366"/>
        </w:rPr>
        <w:t>OPTIONAL</w:t>
      </w:r>
      <w:r w:rsidRPr="00FA0D37">
        <w:t xml:space="preserve">,   </w:t>
      </w:r>
      <w:r w:rsidRPr="00FA0D37">
        <w:rPr>
          <w:color w:val="808080"/>
        </w:rPr>
        <w:t>-- Need S</w:t>
      </w:r>
    </w:p>
    <w:p w14:paraId="17AFDEFD" w14:textId="77777777" w:rsidR="00394471" w:rsidRPr="00FA0D37" w:rsidRDefault="00394471" w:rsidP="00FA0D37">
      <w:pPr>
        <w:pStyle w:val="PL"/>
        <w:rPr>
          <w:color w:val="808080"/>
        </w:rPr>
      </w:pPr>
      <w:r w:rsidRPr="00FA0D37">
        <w:t xml:space="preserve">    mcs-TableTransformPrecoder          </w:t>
      </w:r>
      <w:r w:rsidRPr="00FA0D37">
        <w:rPr>
          <w:color w:val="993366"/>
        </w:rPr>
        <w:t>ENUMERATED</w:t>
      </w:r>
      <w:r w:rsidRPr="00FA0D37">
        <w:t xml:space="preserve"> {qam256, qam64LowSE}                                         </w:t>
      </w:r>
      <w:r w:rsidRPr="00FA0D37">
        <w:rPr>
          <w:color w:val="993366"/>
        </w:rPr>
        <w:t>OPTIONAL</w:t>
      </w:r>
      <w:r w:rsidRPr="00FA0D37">
        <w:t xml:space="preserve">,   </w:t>
      </w:r>
      <w:r w:rsidRPr="00FA0D37">
        <w:rPr>
          <w:color w:val="808080"/>
        </w:rPr>
        <w:t>-- Need S</w:t>
      </w:r>
    </w:p>
    <w:p w14:paraId="510A3F57" w14:textId="77777777" w:rsidR="00394471" w:rsidRPr="00FA0D37" w:rsidRDefault="00394471" w:rsidP="00FA0D37">
      <w:pPr>
        <w:pStyle w:val="PL"/>
        <w:rPr>
          <w:color w:val="808080"/>
        </w:rPr>
      </w:pPr>
      <w:r w:rsidRPr="00FA0D37">
        <w:t xml:space="preserve">    uci-OnPUSCH                         SetupRelease { CG-UCI-OnPUSCH }                                         </w:t>
      </w:r>
      <w:r w:rsidRPr="00FA0D37">
        <w:rPr>
          <w:color w:val="993366"/>
        </w:rPr>
        <w:t>OPTIONAL</w:t>
      </w:r>
      <w:r w:rsidRPr="00FA0D37">
        <w:t xml:space="preserve">,   </w:t>
      </w:r>
      <w:r w:rsidRPr="00FA0D37">
        <w:rPr>
          <w:color w:val="808080"/>
        </w:rPr>
        <w:t>-- Need M</w:t>
      </w:r>
    </w:p>
    <w:p w14:paraId="112CC5A0" w14:textId="77777777" w:rsidR="00394471" w:rsidRPr="00FA0D37" w:rsidRDefault="00394471" w:rsidP="00FA0D37">
      <w:pPr>
        <w:pStyle w:val="PL"/>
      </w:pPr>
      <w:r w:rsidRPr="00FA0D37">
        <w:t xml:space="preserve">    resourceAllocation                  </w:t>
      </w:r>
      <w:r w:rsidRPr="00FA0D37">
        <w:rPr>
          <w:color w:val="993366"/>
        </w:rPr>
        <w:t>ENUMERATED</w:t>
      </w:r>
      <w:r w:rsidRPr="00FA0D37">
        <w:t xml:space="preserve"> { resourceAllocationType0, resourceAllocationType1, dynamicSwitch },</w:t>
      </w:r>
    </w:p>
    <w:p w14:paraId="7DA63681" w14:textId="77777777" w:rsidR="00394471" w:rsidRPr="00FA0D37" w:rsidRDefault="00394471" w:rsidP="00FA0D37">
      <w:pPr>
        <w:pStyle w:val="PL"/>
        <w:rPr>
          <w:color w:val="808080"/>
        </w:rPr>
      </w:pPr>
      <w:r w:rsidRPr="00FA0D37">
        <w:t xml:space="preserve">    rbg-Size                            </w:t>
      </w:r>
      <w:r w:rsidRPr="00FA0D37">
        <w:rPr>
          <w:color w:val="993366"/>
        </w:rPr>
        <w:t>ENUMERATED</w:t>
      </w:r>
      <w:r w:rsidRPr="00FA0D37">
        <w:t xml:space="preserve"> {config2}                                                    </w:t>
      </w:r>
      <w:r w:rsidRPr="00FA0D37">
        <w:rPr>
          <w:color w:val="993366"/>
        </w:rPr>
        <w:t>OPTIONAL</w:t>
      </w:r>
      <w:r w:rsidRPr="00FA0D37">
        <w:t xml:space="preserve">,   </w:t>
      </w:r>
      <w:r w:rsidRPr="00FA0D37">
        <w:rPr>
          <w:color w:val="808080"/>
        </w:rPr>
        <w:t>-- Need S</w:t>
      </w:r>
    </w:p>
    <w:p w14:paraId="6C85F995" w14:textId="77777777" w:rsidR="00394471" w:rsidRPr="00FA0D37" w:rsidRDefault="00394471" w:rsidP="00FA0D37">
      <w:pPr>
        <w:pStyle w:val="PL"/>
      </w:pPr>
      <w:r w:rsidRPr="00FA0D37">
        <w:t xml:space="preserve">    powerControlLoopToUse               </w:t>
      </w:r>
      <w:r w:rsidRPr="00FA0D37">
        <w:rPr>
          <w:color w:val="993366"/>
        </w:rPr>
        <w:t>ENUMERATED</w:t>
      </w:r>
      <w:r w:rsidRPr="00FA0D37">
        <w:t xml:space="preserve"> {n0, n1},</w:t>
      </w:r>
    </w:p>
    <w:p w14:paraId="6AC4B9BE" w14:textId="77777777" w:rsidR="00394471" w:rsidRPr="00FA0D37" w:rsidRDefault="00394471" w:rsidP="00FA0D37">
      <w:pPr>
        <w:pStyle w:val="PL"/>
      </w:pPr>
      <w:r w:rsidRPr="00FA0D37">
        <w:t xml:space="preserve">    p0-PUSCH-Alpha                      P0-PUSCH-AlphaSetId,</w:t>
      </w:r>
    </w:p>
    <w:p w14:paraId="1816AE87" w14:textId="77777777" w:rsidR="00394471" w:rsidRPr="00FA0D37" w:rsidRDefault="00394471" w:rsidP="00FA0D37">
      <w:pPr>
        <w:pStyle w:val="PL"/>
        <w:rPr>
          <w:color w:val="808080"/>
        </w:rPr>
      </w:pPr>
      <w:r w:rsidRPr="00FA0D37">
        <w:t xml:space="preserve">    transformPrecoder                   </w:t>
      </w:r>
      <w:r w:rsidRPr="00FA0D37">
        <w:rPr>
          <w:color w:val="993366"/>
        </w:rPr>
        <w:t>ENUMERATED</w:t>
      </w:r>
      <w:r w:rsidRPr="00FA0D37">
        <w:t xml:space="preserve"> {enabled, disabled}                                          </w:t>
      </w:r>
      <w:r w:rsidRPr="00FA0D37">
        <w:rPr>
          <w:color w:val="993366"/>
        </w:rPr>
        <w:t>OPTIONAL</w:t>
      </w:r>
      <w:r w:rsidRPr="00FA0D37">
        <w:t xml:space="preserve">,   </w:t>
      </w:r>
      <w:r w:rsidRPr="00FA0D37">
        <w:rPr>
          <w:color w:val="808080"/>
        </w:rPr>
        <w:t>-- Need S</w:t>
      </w:r>
    </w:p>
    <w:p w14:paraId="3932384D" w14:textId="77777777" w:rsidR="00394471" w:rsidRPr="00FA0D37" w:rsidRDefault="00394471" w:rsidP="00FA0D37">
      <w:pPr>
        <w:pStyle w:val="PL"/>
      </w:pPr>
      <w:r w:rsidRPr="00FA0D37">
        <w:t xml:space="preserve">    nrofHARQ-Processes                  </w:t>
      </w:r>
      <w:r w:rsidRPr="00FA0D37">
        <w:rPr>
          <w:color w:val="993366"/>
        </w:rPr>
        <w:t>INTEGER</w:t>
      </w:r>
      <w:r w:rsidRPr="00FA0D37">
        <w:t>(1..16),</w:t>
      </w:r>
    </w:p>
    <w:p w14:paraId="56A6B1D8" w14:textId="77777777" w:rsidR="00394471" w:rsidRPr="00FA0D37" w:rsidRDefault="00394471" w:rsidP="00FA0D37">
      <w:pPr>
        <w:pStyle w:val="PL"/>
      </w:pPr>
      <w:r w:rsidRPr="00FA0D37">
        <w:t xml:space="preserve">    repK                                </w:t>
      </w:r>
      <w:r w:rsidRPr="00FA0D37">
        <w:rPr>
          <w:color w:val="993366"/>
        </w:rPr>
        <w:t>ENUMERATED</w:t>
      </w:r>
      <w:r w:rsidRPr="00FA0D37">
        <w:t xml:space="preserve"> {n1, n2, n4, n8},</w:t>
      </w:r>
    </w:p>
    <w:p w14:paraId="54019D6F" w14:textId="77777777" w:rsidR="00394471" w:rsidRPr="00FA0D37" w:rsidRDefault="00394471" w:rsidP="00FA0D37">
      <w:pPr>
        <w:pStyle w:val="PL"/>
        <w:rPr>
          <w:color w:val="808080"/>
        </w:rPr>
      </w:pPr>
      <w:r w:rsidRPr="00FA0D37">
        <w:t xml:space="preserve">    repK-RV                             </w:t>
      </w:r>
      <w:r w:rsidRPr="00FA0D37">
        <w:rPr>
          <w:color w:val="993366"/>
        </w:rPr>
        <w:t>ENUMERATED</w:t>
      </w:r>
      <w:r w:rsidRPr="00FA0D37">
        <w:t xml:space="preserve"> {s1-0231, s2-0303, s3-0000}                                  </w:t>
      </w:r>
      <w:r w:rsidRPr="00FA0D37">
        <w:rPr>
          <w:color w:val="993366"/>
        </w:rPr>
        <w:t>OPTIONAL</w:t>
      </w:r>
      <w:r w:rsidRPr="00FA0D37">
        <w:t xml:space="preserve">,   </w:t>
      </w:r>
      <w:r w:rsidRPr="00FA0D37">
        <w:rPr>
          <w:color w:val="808080"/>
        </w:rPr>
        <w:t>-- Need R</w:t>
      </w:r>
    </w:p>
    <w:p w14:paraId="5D018FBA" w14:textId="77777777" w:rsidR="00394471" w:rsidRPr="00FA0D37" w:rsidRDefault="00394471" w:rsidP="00FA0D37">
      <w:pPr>
        <w:pStyle w:val="PL"/>
      </w:pPr>
      <w:r w:rsidRPr="00FA0D37">
        <w:t xml:space="preserve">    periodicity                         </w:t>
      </w:r>
      <w:r w:rsidRPr="00FA0D37">
        <w:rPr>
          <w:color w:val="993366"/>
        </w:rPr>
        <w:t>ENUMERATED</w:t>
      </w:r>
      <w:r w:rsidRPr="00FA0D37">
        <w:t xml:space="preserve"> {</w:t>
      </w:r>
    </w:p>
    <w:p w14:paraId="1FF3BBB2" w14:textId="77777777" w:rsidR="00394471" w:rsidRPr="00FA0D37" w:rsidRDefault="00394471" w:rsidP="00FA0D37">
      <w:pPr>
        <w:pStyle w:val="PL"/>
      </w:pPr>
      <w:r w:rsidRPr="00FA0D37">
        <w:t xml:space="preserve">                                                sym2, sym7, sym1x14, sym2x14, sym4x14, sym5x14, sym8x14, sym10x14, sym16x14, sym20x14,</w:t>
      </w:r>
    </w:p>
    <w:p w14:paraId="64746F6F" w14:textId="77777777" w:rsidR="00394471" w:rsidRPr="00FA0D37" w:rsidRDefault="00394471" w:rsidP="00FA0D37">
      <w:pPr>
        <w:pStyle w:val="PL"/>
      </w:pPr>
      <w:r w:rsidRPr="00FA0D37">
        <w:t xml:space="preserve">                                                sym32x14, sym40x14, sym64x14, sym80x14, sym128x14, sym160x14, sym256x14, sym320x14, sym512x14,</w:t>
      </w:r>
    </w:p>
    <w:p w14:paraId="61E3D202" w14:textId="77777777" w:rsidR="00394471" w:rsidRPr="00FA0D37" w:rsidRDefault="00394471" w:rsidP="00FA0D37">
      <w:pPr>
        <w:pStyle w:val="PL"/>
      </w:pPr>
      <w:r w:rsidRPr="00FA0D37">
        <w:t xml:space="preserve">                                                sym640x14, sym1024x14, sym1280x14, sym2560x14, sym5120x14,</w:t>
      </w:r>
    </w:p>
    <w:p w14:paraId="7BFC8B03" w14:textId="77777777" w:rsidR="00394471" w:rsidRPr="00FA0D37" w:rsidRDefault="00394471" w:rsidP="00FA0D37">
      <w:pPr>
        <w:pStyle w:val="PL"/>
      </w:pPr>
      <w:r w:rsidRPr="00FA0D37">
        <w:t xml:space="preserve">                                                sym6, sym1x12, sym2x12, sym4x12, sym5x12, sym8x12, sym10x12, sym16x12, sym20x12, sym32x12,</w:t>
      </w:r>
    </w:p>
    <w:p w14:paraId="226DEEB3" w14:textId="77777777" w:rsidR="00394471" w:rsidRPr="00FA0D37" w:rsidRDefault="00394471" w:rsidP="00FA0D37">
      <w:pPr>
        <w:pStyle w:val="PL"/>
      </w:pPr>
      <w:r w:rsidRPr="00FA0D37">
        <w:t xml:space="preserve">                                                sym40x12, sym64x12, sym80x12, sym128x12, sym160x12, sym256x12, sym320x12, sym512x12, sym640x12,</w:t>
      </w:r>
    </w:p>
    <w:p w14:paraId="6E6AFF33" w14:textId="77777777" w:rsidR="00394471" w:rsidRPr="00FA0D37" w:rsidRDefault="00394471" w:rsidP="00FA0D37">
      <w:pPr>
        <w:pStyle w:val="PL"/>
      </w:pPr>
      <w:r w:rsidRPr="00FA0D37">
        <w:t xml:space="preserve">                                                sym1280x12, sym2560x12</w:t>
      </w:r>
    </w:p>
    <w:p w14:paraId="19CD2DE2" w14:textId="77777777" w:rsidR="00394471" w:rsidRPr="00FA0D37" w:rsidRDefault="00394471" w:rsidP="00FA0D37">
      <w:pPr>
        <w:pStyle w:val="PL"/>
      </w:pPr>
      <w:r w:rsidRPr="00FA0D37">
        <w:t xml:space="preserve">    },</w:t>
      </w:r>
    </w:p>
    <w:p w14:paraId="6F65EF5F" w14:textId="77777777" w:rsidR="00394471" w:rsidRPr="00FA0D37" w:rsidRDefault="00394471" w:rsidP="00FA0D37">
      <w:pPr>
        <w:pStyle w:val="PL"/>
        <w:rPr>
          <w:color w:val="808080"/>
        </w:rPr>
      </w:pPr>
      <w:r w:rsidRPr="00FA0D37">
        <w:lastRenderedPageBreak/>
        <w:t xml:space="preserve">    configuredGrantTimer                </w:t>
      </w:r>
      <w:r w:rsidRPr="00FA0D37">
        <w:rPr>
          <w:color w:val="993366"/>
        </w:rPr>
        <w:t>INTEGER</w:t>
      </w:r>
      <w:r w:rsidRPr="00FA0D37">
        <w:t xml:space="preserve"> (1..64)                                                         </w:t>
      </w:r>
      <w:r w:rsidRPr="00FA0D37">
        <w:rPr>
          <w:color w:val="993366"/>
        </w:rPr>
        <w:t>OPTIONAL</w:t>
      </w:r>
      <w:r w:rsidRPr="00FA0D37">
        <w:t xml:space="preserve">,   </w:t>
      </w:r>
      <w:r w:rsidRPr="00FA0D37">
        <w:rPr>
          <w:color w:val="808080"/>
        </w:rPr>
        <w:t>-- Need R</w:t>
      </w:r>
    </w:p>
    <w:p w14:paraId="349CF929" w14:textId="77777777" w:rsidR="00394471" w:rsidRPr="00FA0D37" w:rsidRDefault="00394471" w:rsidP="00FA0D37">
      <w:pPr>
        <w:pStyle w:val="PL"/>
      </w:pPr>
      <w:r w:rsidRPr="00FA0D37">
        <w:t xml:space="preserve">    rrc-ConfiguredUplinkGrant           </w:t>
      </w:r>
      <w:r w:rsidRPr="00FA0D37">
        <w:rPr>
          <w:color w:val="993366"/>
        </w:rPr>
        <w:t>SEQUENCE</w:t>
      </w:r>
      <w:r w:rsidRPr="00FA0D37">
        <w:t xml:space="preserve"> {</w:t>
      </w:r>
    </w:p>
    <w:p w14:paraId="050F783C" w14:textId="77777777" w:rsidR="00394471" w:rsidRPr="00FA0D37" w:rsidRDefault="00394471" w:rsidP="00FA0D37">
      <w:pPr>
        <w:pStyle w:val="PL"/>
      </w:pPr>
      <w:r w:rsidRPr="00FA0D37">
        <w:t xml:space="preserve">        timeDomainOffset                    </w:t>
      </w:r>
      <w:r w:rsidRPr="00FA0D37">
        <w:rPr>
          <w:color w:val="993366"/>
        </w:rPr>
        <w:t>INTEGER</w:t>
      </w:r>
      <w:r w:rsidRPr="00FA0D37">
        <w:t xml:space="preserve"> (0..5119),</w:t>
      </w:r>
    </w:p>
    <w:p w14:paraId="3D843D36" w14:textId="23F2F529" w:rsidR="00394471" w:rsidRPr="00FA0D37" w:rsidRDefault="00394471" w:rsidP="00FA0D37">
      <w:pPr>
        <w:pStyle w:val="PL"/>
      </w:pPr>
      <w:r w:rsidRPr="00FA0D37">
        <w:t xml:space="preserve">        timeDomainAllocation                </w:t>
      </w:r>
      <w:r w:rsidRPr="00FA0D37">
        <w:rPr>
          <w:color w:val="993366"/>
        </w:rPr>
        <w:t>INTEGER</w:t>
      </w:r>
      <w:r w:rsidRPr="00FA0D37">
        <w:t xml:space="preserve"> (0..15),</w:t>
      </w:r>
    </w:p>
    <w:p w14:paraId="152D08ED" w14:textId="77777777" w:rsidR="00394471" w:rsidRPr="00FA0D37" w:rsidRDefault="00394471" w:rsidP="00FA0D37">
      <w:pPr>
        <w:pStyle w:val="PL"/>
      </w:pPr>
      <w:r w:rsidRPr="00FA0D37">
        <w:t xml:space="preserve">        frequencyDomainAllocation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(18)),</w:t>
      </w:r>
    </w:p>
    <w:p w14:paraId="7BBC2A6F" w14:textId="77777777" w:rsidR="00394471" w:rsidRPr="00FA0D37" w:rsidRDefault="00394471" w:rsidP="00FA0D37">
      <w:pPr>
        <w:pStyle w:val="PL"/>
      </w:pPr>
      <w:r w:rsidRPr="00FA0D37">
        <w:t xml:space="preserve">        antennaPort                         </w:t>
      </w:r>
      <w:r w:rsidRPr="00FA0D37">
        <w:rPr>
          <w:color w:val="993366"/>
        </w:rPr>
        <w:t>INTEGER</w:t>
      </w:r>
      <w:r w:rsidRPr="00FA0D37">
        <w:t xml:space="preserve"> (0..31),</w:t>
      </w:r>
    </w:p>
    <w:p w14:paraId="7CB4E952" w14:textId="16DE7ACF" w:rsidR="00394471" w:rsidRPr="00FA0D37" w:rsidRDefault="00394471" w:rsidP="00FA0D37">
      <w:pPr>
        <w:pStyle w:val="PL"/>
        <w:rPr>
          <w:color w:val="808080"/>
        </w:rPr>
      </w:pPr>
      <w:r w:rsidRPr="00FA0D37">
        <w:t xml:space="preserve">        dmrs-SeqInitialization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R</w:t>
      </w:r>
    </w:p>
    <w:p w14:paraId="4367D883" w14:textId="77777777" w:rsidR="00394471" w:rsidRPr="00FA0D37" w:rsidRDefault="00394471" w:rsidP="00FA0D37">
      <w:pPr>
        <w:pStyle w:val="PL"/>
      </w:pPr>
      <w:r w:rsidRPr="00FA0D37">
        <w:t xml:space="preserve">        precodingAndNumberOfLayers          </w:t>
      </w:r>
      <w:r w:rsidRPr="00FA0D37">
        <w:rPr>
          <w:color w:val="993366"/>
        </w:rPr>
        <w:t>INTEGER</w:t>
      </w:r>
      <w:r w:rsidRPr="00FA0D37">
        <w:t xml:space="preserve"> (0..63),</w:t>
      </w:r>
    </w:p>
    <w:p w14:paraId="01E9FED2" w14:textId="701A1457" w:rsidR="00394471" w:rsidRPr="00FA0D37" w:rsidRDefault="00394471" w:rsidP="00FA0D37">
      <w:pPr>
        <w:pStyle w:val="PL"/>
        <w:rPr>
          <w:color w:val="808080"/>
        </w:rPr>
      </w:pPr>
      <w:r w:rsidRPr="00FA0D37">
        <w:t xml:space="preserve">        srs-ResourceIndicator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R</w:t>
      </w:r>
    </w:p>
    <w:p w14:paraId="08E180FB" w14:textId="77777777" w:rsidR="00394471" w:rsidRPr="00FA0D37" w:rsidRDefault="00394471" w:rsidP="00FA0D37">
      <w:pPr>
        <w:pStyle w:val="PL"/>
      </w:pPr>
      <w:r w:rsidRPr="00FA0D37">
        <w:t xml:space="preserve">        mcsAndTBS                           </w:t>
      </w:r>
      <w:r w:rsidRPr="00FA0D37">
        <w:rPr>
          <w:color w:val="993366"/>
        </w:rPr>
        <w:t>INTEGER</w:t>
      </w:r>
      <w:r w:rsidRPr="00FA0D37">
        <w:t xml:space="preserve"> (0..31),</w:t>
      </w:r>
    </w:p>
    <w:p w14:paraId="4E1DC3A0" w14:textId="338B2FD6" w:rsidR="00394471" w:rsidRPr="00FA0D37" w:rsidRDefault="00394471" w:rsidP="00FA0D37">
      <w:pPr>
        <w:pStyle w:val="PL"/>
        <w:rPr>
          <w:color w:val="808080"/>
        </w:rPr>
      </w:pPr>
      <w:r w:rsidRPr="00FA0D37">
        <w:t xml:space="preserve">        frequencyHoppingOffset              </w:t>
      </w:r>
      <w:r w:rsidRPr="00FA0D37">
        <w:rPr>
          <w:color w:val="993366"/>
        </w:rPr>
        <w:t>INTEGER</w:t>
      </w:r>
      <w:r w:rsidRPr="00FA0D37">
        <w:t xml:space="preserve"> (1.. maxNrofPhysicalResourceBlocks-1)                          </w:t>
      </w:r>
      <w:r w:rsidRPr="00FA0D37">
        <w:rPr>
          <w:color w:val="993366"/>
        </w:rPr>
        <w:t>OPTIONAL</w:t>
      </w:r>
      <w:r w:rsidRPr="00FA0D37">
        <w:t xml:space="preserve">,   </w:t>
      </w:r>
      <w:r w:rsidRPr="00FA0D37">
        <w:rPr>
          <w:color w:val="808080"/>
        </w:rPr>
        <w:t>-- Need R</w:t>
      </w:r>
    </w:p>
    <w:p w14:paraId="66E6A290" w14:textId="77777777" w:rsidR="00394471" w:rsidRPr="00FA0D37" w:rsidRDefault="00394471" w:rsidP="00FA0D37">
      <w:pPr>
        <w:pStyle w:val="PL"/>
      </w:pPr>
      <w:r w:rsidRPr="00FA0D37">
        <w:t xml:space="preserve">        pathlossReferenceIndex              </w:t>
      </w:r>
      <w:r w:rsidRPr="00FA0D37">
        <w:rPr>
          <w:color w:val="993366"/>
        </w:rPr>
        <w:t>INTEGER</w:t>
      </w:r>
      <w:r w:rsidRPr="00FA0D37">
        <w:t xml:space="preserve"> (0..maxNrofPUSCH-PathlossReferenceRSs-1),</w:t>
      </w:r>
    </w:p>
    <w:p w14:paraId="38F749E0" w14:textId="77777777" w:rsidR="00394471" w:rsidRPr="00FA0D37" w:rsidRDefault="00394471" w:rsidP="00FA0D37">
      <w:pPr>
        <w:pStyle w:val="PL"/>
      </w:pPr>
      <w:r w:rsidRPr="00FA0D37">
        <w:t xml:space="preserve">        ...,</w:t>
      </w:r>
    </w:p>
    <w:p w14:paraId="01D9EEDF" w14:textId="77777777" w:rsidR="00394471" w:rsidRPr="00FA0D37" w:rsidRDefault="00394471" w:rsidP="00FA0D37">
      <w:pPr>
        <w:pStyle w:val="PL"/>
      </w:pPr>
      <w:r w:rsidRPr="00FA0D37">
        <w:t xml:space="preserve">        [[</w:t>
      </w:r>
    </w:p>
    <w:p w14:paraId="20AD81FB" w14:textId="7DB703AC" w:rsidR="00394471" w:rsidRPr="00FA0D37" w:rsidRDefault="00394471" w:rsidP="00FA0D37">
      <w:pPr>
        <w:pStyle w:val="PL"/>
        <w:rPr>
          <w:color w:val="808080"/>
        </w:rPr>
      </w:pPr>
      <w:r w:rsidRPr="00FA0D37">
        <w:t xml:space="preserve">        pusch-RepTypeIndicator-r16          </w:t>
      </w:r>
      <w:r w:rsidRPr="00FA0D37">
        <w:rPr>
          <w:color w:val="993366"/>
        </w:rPr>
        <w:t>ENUMERATED</w:t>
      </w:r>
      <w:r w:rsidRPr="00FA0D37">
        <w:t xml:space="preserve"> {pusch-RepTypeA,pusch-RepTypeB}                             </w:t>
      </w:r>
      <w:r w:rsidRPr="00FA0D37">
        <w:rPr>
          <w:color w:val="993366"/>
        </w:rPr>
        <w:t>OPTIONAL</w:t>
      </w:r>
      <w:r w:rsidRPr="00FA0D37">
        <w:t xml:space="preserve">,   </w:t>
      </w:r>
      <w:r w:rsidRPr="00FA0D37">
        <w:rPr>
          <w:color w:val="808080"/>
        </w:rPr>
        <w:t>-- Need M</w:t>
      </w:r>
    </w:p>
    <w:p w14:paraId="3B605107" w14:textId="7114E301" w:rsidR="00394471" w:rsidRPr="00FA0D37" w:rsidRDefault="00394471" w:rsidP="00FA0D37">
      <w:pPr>
        <w:pStyle w:val="PL"/>
        <w:rPr>
          <w:color w:val="808080"/>
        </w:rPr>
      </w:pPr>
      <w:r w:rsidRPr="00FA0D37">
        <w:t xml:space="preserve">        frequencyHoppingPUSCH-RepTypeB-r16  </w:t>
      </w:r>
      <w:r w:rsidRPr="00FA0D37">
        <w:rPr>
          <w:color w:val="993366"/>
        </w:rPr>
        <w:t>ENUMERATED</w:t>
      </w:r>
      <w:r w:rsidRPr="00FA0D37">
        <w:t xml:space="preserve"> {interRepetition, interSlot}                                </w:t>
      </w:r>
      <w:r w:rsidRPr="00FA0D37">
        <w:rPr>
          <w:color w:val="993366"/>
        </w:rPr>
        <w:t>OPTIONAL</w:t>
      </w:r>
      <w:r w:rsidRPr="00FA0D37">
        <w:t xml:space="preserve">,   </w:t>
      </w:r>
      <w:r w:rsidRPr="00FA0D37">
        <w:rPr>
          <w:color w:val="808080"/>
        </w:rPr>
        <w:t>-- Cond RepTypeB</w:t>
      </w:r>
    </w:p>
    <w:p w14:paraId="79115806" w14:textId="49559194" w:rsidR="00394471" w:rsidRPr="00FA0D37" w:rsidRDefault="00394471" w:rsidP="00FA0D37">
      <w:pPr>
        <w:pStyle w:val="PL"/>
        <w:rPr>
          <w:color w:val="808080"/>
        </w:rPr>
      </w:pPr>
      <w:r w:rsidRPr="00FA0D37">
        <w:t xml:space="preserve">        timeReferenceSFN-r16                </w:t>
      </w:r>
      <w:r w:rsidRPr="00FA0D37">
        <w:rPr>
          <w:color w:val="993366"/>
        </w:rPr>
        <w:t>ENUMERATED</w:t>
      </w:r>
      <w:r w:rsidRPr="00FA0D37">
        <w:t xml:space="preserve"> {sfn512}                                                    </w:t>
      </w:r>
      <w:r w:rsidRPr="00FA0D37">
        <w:rPr>
          <w:color w:val="993366"/>
        </w:rPr>
        <w:t>OPTIONAL</w:t>
      </w:r>
      <w:r w:rsidRPr="00FA0D37">
        <w:t xml:space="preserve">    </w:t>
      </w:r>
      <w:r w:rsidRPr="00FA0D37">
        <w:rPr>
          <w:color w:val="808080"/>
        </w:rPr>
        <w:t>-- Need S</w:t>
      </w:r>
    </w:p>
    <w:p w14:paraId="733CF942" w14:textId="61BE6AA3" w:rsidR="00606C47" w:rsidRPr="00FA0D37" w:rsidRDefault="00394471" w:rsidP="00FA0D37">
      <w:pPr>
        <w:pStyle w:val="PL"/>
      </w:pPr>
      <w:r w:rsidRPr="00FA0D37">
        <w:t xml:space="preserve">        ]]</w:t>
      </w:r>
      <w:r w:rsidR="00606C47" w:rsidRPr="00FA0D37">
        <w:t>,</w:t>
      </w:r>
    </w:p>
    <w:p w14:paraId="05333D16" w14:textId="77777777" w:rsidR="00606C47" w:rsidRPr="00FA0D37" w:rsidRDefault="00606C47" w:rsidP="00FA0D37">
      <w:pPr>
        <w:pStyle w:val="PL"/>
      </w:pPr>
      <w:r w:rsidRPr="00FA0D37">
        <w:t xml:space="preserve">        [[</w:t>
      </w:r>
    </w:p>
    <w:p w14:paraId="19BB1BE2" w14:textId="31DACFFE" w:rsidR="00606C47" w:rsidRPr="00FA0D37" w:rsidRDefault="00606C47" w:rsidP="00FA0D37">
      <w:pPr>
        <w:pStyle w:val="PL"/>
        <w:rPr>
          <w:color w:val="808080"/>
        </w:rPr>
      </w:pPr>
      <w:r w:rsidRPr="00FA0D37">
        <w:t xml:space="preserve">        pathlossReferenceIndex2-r17        </w:t>
      </w:r>
      <w:r w:rsidRPr="00FA0D37">
        <w:rPr>
          <w:color w:val="993366"/>
        </w:rPr>
        <w:t>INTEGER</w:t>
      </w:r>
      <w:r w:rsidRPr="00FA0D37">
        <w:t xml:space="preserve"> (0..maxNrofPUSCH-PathlossReferenceRSs-1)                        </w:t>
      </w:r>
      <w:r w:rsidRPr="00FA0D37">
        <w:rPr>
          <w:color w:val="993366"/>
        </w:rPr>
        <w:t>OPTIONAL</w:t>
      </w:r>
      <w:r w:rsidRPr="00FA0D37">
        <w:t xml:space="preserve">,   </w:t>
      </w:r>
      <w:r w:rsidRPr="00FA0D37">
        <w:rPr>
          <w:color w:val="808080"/>
        </w:rPr>
        <w:t>-- Need R</w:t>
      </w:r>
    </w:p>
    <w:p w14:paraId="3A296AFE" w14:textId="3FE543DC" w:rsidR="00606C47" w:rsidRPr="00FA0D37" w:rsidRDefault="00606C47" w:rsidP="00FA0D37">
      <w:pPr>
        <w:pStyle w:val="PL"/>
        <w:rPr>
          <w:color w:val="808080"/>
        </w:rPr>
      </w:pPr>
      <w:r w:rsidRPr="00FA0D37">
        <w:t xml:space="preserve">        srs-ResourceIndicator2-r17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R</w:t>
      </w:r>
    </w:p>
    <w:p w14:paraId="61FA6D76" w14:textId="3E1DABA0" w:rsidR="00606C47" w:rsidRPr="00FA0D37" w:rsidRDefault="00606C47" w:rsidP="00FA0D37">
      <w:pPr>
        <w:pStyle w:val="PL"/>
        <w:rPr>
          <w:color w:val="808080"/>
        </w:rPr>
      </w:pPr>
      <w:r w:rsidRPr="00FA0D37">
        <w:t xml:space="preserve">        precodingAndNumberOfLayers2-r17    </w:t>
      </w:r>
      <w:r w:rsidRPr="00FA0D37">
        <w:rPr>
          <w:color w:val="993366"/>
        </w:rPr>
        <w:t>INTEGER</w:t>
      </w:r>
      <w:r w:rsidRPr="00FA0D37">
        <w:t xml:space="preserve"> (0..63)                                                         </w:t>
      </w:r>
      <w:r w:rsidRPr="00FA0D37">
        <w:rPr>
          <w:color w:val="993366"/>
        </w:rPr>
        <w:t>OPTIONAL</w:t>
      </w:r>
      <w:r w:rsidR="006C501F" w:rsidRPr="00FA0D37">
        <w:t>,</w:t>
      </w:r>
      <w:r w:rsidRPr="00FA0D37">
        <w:t xml:space="preserve">   </w:t>
      </w:r>
      <w:r w:rsidRPr="00FA0D37">
        <w:rPr>
          <w:color w:val="808080"/>
        </w:rPr>
        <w:t>-- Need R</w:t>
      </w:r>
    </w:p>
    <w:p w14:paraId="12116891" w14:textId="60196F92" w:rsidR="00EF50BD" w:rsidRPr="00FA0D37" w:rsidRDefault="00EF50BD" w:rsidP="00FA0D37">
      <w:pPr>
        <w:pStyle w:val="PL"/>
        <w:rPr>
          <w:rFonts w:eastAsia="宋体"/>
          <w:color w:val="808080"/>
        </w:rPr>
      </w:pPr>
      <w:r w:rsidRPr="00FA0D37">
        <w:t xml:space="preserve">        timeDomainAllocation</w:t>
      </w:r>
      <w:r w:rsidRPr="00FA0D37">
        <w:rPr>
          <w:rFonts w:eastAsia="宋体"/>
        </w:rPr>
        <w:t>-v1710</w:t>
      </w:r>
      <w:r w:rsidRPr="00FA0D37">
        <w:t xml:space="preserve">         </w:t>
      </w:r>
      <w:r w:rsidRPr="00FA0D37">
        <w:rPr>
          <w:color w:val="993366"/>
        </w:rPr>
        <w:t>INTEGER</w:t>
      </w:r>
      <w:r w:rsidRPr="00FA0D37">
        <w:t xml:space="preserve"> (16..</w:t>
      </w:r>
      <w:r w:rsidRPr="00FA0D37">
        <w:rPr>
          <w:rFonts w:eastAsia="宋体"/>
        </w:rPr>
        <w:t>63</w:t>
      </w:r>
      <w:r w:rsidRPr="00FA0D37">
        <w:t xml:space="preserve">)                                                        </w:t>
      </w:r>
      <w:r w:rsidRPr="00FA0D37">
        <w:rPr>
          <w:rFonts w:eastAsia="宋体"/>
          <w:color w:val="993366"/>
        </w:rPr>
        <w:t>OPTIONAL</w:t>
      </w:r>
      <w:r w:rsidRPr="00FA0D37">
        <w:rPr>
          <w:rFonts w:eastAsia="宋体"/>
        </w:rPr>
        <w:t xml:space="preserve">,    </w:t>
      </w:r>
      <w:r w:rsidRPr="00FA0D37">
        <w:rPr>
          <w:rFonts w:eastAsia="宋体"/>
          <w:color w:val="808080"/>
        </w:rPr>
        <w:t>-- Need M</w:t>
      </w:r>
    </w:p>
    <w:p w14:paraId="0A28BAD0" w14:textId="2329B4FF" w:rsidR="006C501F" w:rsidRPr="00FA0D37" w:rsidRDefault="006C501F" w:rsidP="00FA0D37">
      <w:pPr>
        <w:pStyle w:val="PL"/>
        <w:rPr>
          <w:color w:val="808080"/>
        </w:rPr>
      </w:pPr>
      <w:r w:rsidRPr="00FA0D37">
        <w:t xml:space="preserve">        timeDomainOffset-r17               </w:t>
      </w:r>
      <w:r w:rsidRPr="00FA0D37">
        <w:rPr>
          <w:color w:val="993366"/>
        </w:rPr>
        <w:t>INTEGER</w:t>
      </w:r>
      <w:r w:rsidRPr="00FA0D37">
        <w:t xml:space="preserve"> (0..40959)                                                      </w:t>
      </w:r>
      <w:r w:rsidRPr="00FA0D37">
        <w:rPr>
          <w:color w:val="993366"/>
        </w:rPr>
        <w:t>OPTIONAL</w:t>
      </w:r>
      <w:r w:rsidR="00870415" w:rsidRPr="00FA0D37">
        <w:t>,</w:t>
      </w:r>
      <w:r w:rsidRPr="00FA0D37">
        <w:t xml:space="preserve">   </w:t>
      </w:r>
      <w:r w:rsidRPr="00FA0D37">
        <w:rPr>
          <w:color w:val="808080"/>
        </w:rPr>
        <w:t>-- Need R</w:t>
      </w:r>
    </w:p>
    <w:p w14:paraId="468A6F78" w14:textId="38F3C06F" w:rsidR="00870415" w:rsidRPr="00FA0D37" w:rsidRDefault="00870415" w:rsidP="00FA0D37">
      <w:pPr>
        <w:pStyle w:val="PL"/>
        <w:rPr>
          <w:color w:val="808080"/>
        </w:rPr>
      </w:pPr>
      <w:r w:rsidRPr="00FA0D37">
        <w:t xml:space="preserve">        cg-SDT-Configuration-r17           CG-SDT-Configuration-r17                                                </w:t>
      </w:r>
      <w:r w:rsidRPr="00FA0D37">
        <w:rPr>
          <w:color w:val="993366"/>
        </w:rPr>
        <w:t>OPTIONAL</w:t>
      </w:r>
      <w:r w:rsidRPr="00FA0D37">
        <w:t xml:space="preserve">    </w:t>
      </w:r>
      <w:r w:rsidRPr="00FA0D37">
        <w:rPr>
          <w:color w:val="808080"/>
        </w:rPr>
        <w:t>-- Need M</w:t>
      </w:r>
    </w:p>
    <w:p w14:paraId="296AE042" w14:textId="1000CF98" w:rsidR="00394471" w:rsidRPr="00FA0D37" w:rsidRDefault="00606C47" w:rsidP="00FA0D37">
      <w:pPr>
        <w:pStyle w:val="PL"/>
      </w:pPr>
      <w:r w:rsidRPr="00FA0D37">
        <w:t xml:space="preserve">        ]]</w:t>
      </w:r>
    </w:p>
    <w:p w14:paraId="042A040B"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5AE9D916" w14:textId="77777777" w:rsidR="00394471" w:rsidRPr="00FA0D37" w:rsidRDefault="00394471" w:rsidP="00FA0D37">
      <w:pPr>
        <w:pStyle w:val="PL"/>
      </w:pPr>
      <w:r w:rsidRPr="00FA0D37">
        <w:t xml:space="preserve">    ...,</w:t>
      </w:r>
    </w:p>
    <w:p w14:paraId="5839F895" w14:textId="77777777" w:rsidR="00394471" w:rsidRPr="00FA0D37" w:rsidRDefault="00394471" w:rsidP="00FA0D37">
      <w:pPr>
        <w:pStyle w:val="PL"/>
      </w:pPr>
      <w:r w:rsidRPr="00FA0D37">
        <w:t xml:space="preserve">    [[</w:t>
      </w:r>
    </w:p>
    <w:p w14:paraId="430252EE" w14:textId="77777777" w:rsidR="00394471" w:rsidRPr="00FA0D37" w:rsidRDefault="00394471" w:rsidP="00FA0D37">
      <w:pPr>
        <w:pStyle w:val="PL"/>
        <w:rPr>
          <w:color w:val="808080"/>
        </w:rPr>
      </w:pPr>
      <w:r w:rsidRPr="00FA0D37">
        <w:t xml:space="preserve">    cg-RetransmissionTimer-r16              </w:t>
      </w:r>
      <w:r w:rsidRPr="00FA0D37">
        <w:rPr>
          <w:color w:val="993366"/>
        </w:rPr>
        <w:t>INTEGER</w:t>
      </w:r>
      <w:r w:rsidRPr="00FA0D37">
        <w:t xml:space="preserve"> (1..64)                                                     </w:t>
      </w:r>
      <w:r w:rsidRPr="00FA0D37">
        <w:rPr>
          <w:color w:val="993366"/>
        </w:rPr>
        <w:t>OPTIONAL</w:t>
      </w:r>
      <w:r w:rsidRPr="00FA0D37">
        <w:t xml:space="preserve">,   </w:t>
      </w:r>
      <w:r w:rsidRPr="00FA0D37">
        <w:rPr>
          <w:color w:val="808080"/>
        </w:rPr>
        <w:t>-- Need R</w:t>
      </w:r>
    </w:p>
    <w:p w14:paraId="4B345664" w14:textId="77777777" w:rsidR="00394471" w:rsidRPr="00FA0D37" w:rsidRDefault="00394471" w:rsidP="00FA0D37">
      <w:pPr>
        <w:pStyle w:val="PL"/>
      </w:pPr>
      <w:r w:rsidRPr="00FA0D37">
        <w:t xml:space="preserve">    cg-minDFI-Delay-r16                     </w:t>
      </w:r>
      <w:r w:rsidRPr="00FA0D37">
        <w:rPr>
          <w:color w:val="993366"/>
        </w:rPr>
        <w:t>ENUMERATED</w:t>
      </w:r>
    </w:p>
    <w:p w14:paraId="31E323AE" w14:textId="77777777" w:rsidR="00394471" w:rsidRPr="00FA0D37" w:rsidRDefault="00394471" w:rsidP="00FA0D37">
      <w:pPr>
        <w:pStyle w:val="PL"/>
      </w:pPr>
      <w:r w:rsidRPr="00FA0D37">
        <w:t xml:space="preserve">                                                    {sym7, sym1x14, sym2x14, sym3x14, sym4x14, sym5x14, sym6x14, sym7x14, sym8x14,</w:t>
      </w:r>
    </w:p>
    <w:p w14:paraId="71DC8C85" w14:textId="77777777" w:rsidR="00394471" w:rsidRPr="00FA0D37" w:rsidRDefault="00394471" w:rsidP="00FA0D37">
      <w:pPr>
        <w:pStyle w:val="PL"/>
      </w:pPr>
      <w:r w:rsidRPr="00FA0D37">
        <w:t xml:space="preserve">                                                     sym9x14, sym10x14, sym11x14, sym12x14, sym13x14, sym14x14,sym15x14, sym16x14</w:t>
      </w:r>
    </w:p>
    <w:p w14:paraId="3507C101"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0584126B" w14:textId="77777777" w:rsidR="00394471" w:rsidRPr="00FA0D37" w:rsidRDefault="00394471" w:rsidP="00FA0D37">
      <w:pPr>
        <w:pStyle w:val="PL"/>
        <w:rPr>
          <w:color w:val="808080"/>
        </w:rPr>
      </w:pPr>
      <w:r w:rsidRPr="00FA0D37">
        <w:t xml:space="preserve">    cg-nrofPUSCH-InSlot-r16                 </w:t>
      </w:r>
      <w:r w:rsidRPr="00FA0D37">
        <w:rPr>
          <w:color w:val="993366"/>
        </w:rPr>
        <w:t>INTEGER</w:t>
      </w:r>
      <w:r w:rsidRPr="00FA0D37">
        <w:t xml:space="preserve"> (1..7)                                              </w:t>
      </w:r>
      <w:r w:rsidRPr="00FA0D37">
        <w:rPr>
          <w:color w:val="993366"/>
        </w:rPr>
        <w:t>OPTIONAL</w:t>
      </w:r>
      <w:r w:rsidRPr="00FA0D37">
        <w:t xml:space="preserve">,   </w:t>
      </w:r>
      <w:r w:rsidRPr="00FA0D37">
        <w:rPr>
          <w:color w:val="808080"/>
        </w:rPr>
        <w:t>-- Need R</w:t>
      </w:r>
    </w:p>
    <w:p w14:paraId="36C33830" w14:textId="77777777" w:rsidR="00394471" w:rsidRPr="00FA0D37" w:rsidRDefault="00394471" w:rsidP="00FA0D37">
      <w:pPr>
        <w:pStyle w:val="PL"/>
        <w:rPr>
          <w:color w:val="808080"/>
        </w:rPr>
      </w:pPr>
      <w:r w:rsidRPr="00FA0D37">
        <w:t xml:space="preserve">    cg-nrofSlots-r16                        </w:t>
      </w:r>
      <w:r w:rsidRPr="00FA0D37">
        <w:rPr>
          <w:color w:val="993366"/>
        </w:rPr>
        <w:t>INTEGER</w:t>
      </w:r>
      <w:r w:rsidRPr="00FA0D37">
        <w:t xml:space="preserve"> (1..40)                                             </w:t>
      </w:r>
      <w:r w:rsidRPr="00FA0D37">
        <w:rPr>
          <w:color w:val="993366"/>
        </w:rPr>
        <w:t>OPTIONAL</w:t>
      </w:r>
      <w:r w:rsidRPr="00FA0D37">
        <w:t xml:space="preserve">,   </w:t>
      </w:r>
      <w:r w:rsidRPr="00FA0D37">
        <w:rPr>
          <w:color w:val="808080"/>
        </w:rPr>
        <w:t>-- Need R</w:t>
      </w:r>
    </w:p>
    <w:p w14:paraId="7A4F4E71" w14:textId="77777777" w:rsidR="00394471" w:rsidRPr="00FA0D37" w:rsidRDefault="00394471" w:rsidP="00FA0D37">
      <w:pPr>
        <w:pStyle w:val="PL"/>
        <w:rPr>
          <w:color w:val="808080"/>
        </w:rPr>
      </w:pPr>
      <w:r w:rsidRPr="00FA0D37">
        <w:t xml:space="preserve">    cg-StartingOffsets-r16                  CG-StartingOffsets-r16                                      </w:t>
      </w:r>
      <w:r w:rsidRPr="00FA0D37">
        <w:rPr>
          <w:color w:val="993366"/>
        </w:rPr>
        <w:t>OPTIONAL</w:t>
      </w:r>
      <w:r w:rsidRPr="00FA0D37">
        <w:t xml:space="preserve">,   </w:t>
      </w:r>
      <w:r w:rsidRPr="00FA0D37">
        <w:rPr>
          <w:color w:val="808080"/>
        </w:rPr>
        <w:t>-- Need R</w:t>
      </w:r>
    </w:p>
    <w:p w14:paraId="4F81506B" w14:textId="6CA1592A" w:rsidR="00394471" w:rsidRPr="00FA0D37" w:rsidRDefault="00394471" w:rsidP="00FA0D37">
      <w:pPr>
        <w:pStyle w:val="PL"/>
        <w:rPr>
          <w:color w:val="808080"/>
        </w:rPr>
      </w:pPr>
      <w:r w:rsidRPr="00FA0D37">
        <w:t xml:space="preserve">    cg-UCI-Multiplexing</w:t>
      </w:r>
      <w:r w:rsidR="00261BA1" w:rsidRPr="00FA0D37">
        <w:t>-r16</w:t>
      </w:r>
      <w:r w:rsidRPr="00FA0D37">
        <w:t xml:space="preserve">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EF6ED04" w14:textId="77777777" w:rsidR="00394471" w:rsidRPr="00FA0D37" w:rsidRDefault="00394471" w:rsidP="00FA0D37">
      <w:pPr>
        <w:pStyle w:val="PL"/>
        <w:rPr>
          <w:color w:val="808080"/>
        </w:rPr>
      </w:pPr>
      <w:r w:rsidRPr="00FA0D37">
        <w:t xml:space="preserve">    cg-COT-SharingOffset-r16                </w:t>
      </w:r>
      <w:r w:rsidRPr="00FA0D37">
        <w:rPr>
          <w:color w:val="993366"/>
        </w:rPr>
        <w:t>INTEGER</w:t>
      </w:r>
      <w:r w:rsidRPr="00FA0D37">
        <w:t xml:space="preserve"> (1..39)                                             </w:t>
      </w:r>
      <w:r w:rsidRPr="00FA0D37">
        <w:rPr>
          <w:color w:val="993366"/>
        </w:rPr>
        <w:t>OPTIONAL</w:t>
      </w:r>
      <w:r w:rsidRPr="00FA0D37">
        <w:t xml:space="preserve">,   </w:t>
      </w:r>
      <w:r w:rsidRPr="00FA0D37">
        <w:rPr>
          <w:color w:val="808080"/>
        </w:rPr>
        <w:t>-- Need R</w:t>
      </w:r>
    </w:p>
    <w:p w14:paraId="51EF8B9E" w14:textId="25D4F411" w:rsidR="00394471" w:rsidRPr="00FA0D37" w:rsidRDefault="00394471" w:rsidP="00FA0D37">
      <w:pPr>
        <w:pStyle w:val="PL"/>
        <w:rPr>
          <w:color w:val="808080"/>
        </w:rPr>
      </w:pPr>
      <w:r w:rsidRPr="00FA0D37">
        <w:t xml:space="preserve">    betaOffsetCG-UCI-r16                    </w:t>
      </w:r>
      <w:r w:rsidRPr="00FA0D37">
        <w:rPr>
          <w:color w:val="993366"/>
        </w:rPr>
        <w:t>INTEGER</w:t>
      </w:r>
      <w:r w:rsidRPr="00FA0D37">
        <w:t xml:space="preserve"> (0..31)                                            </w:t>
      </w:r>
      <w:r w:rsidRPr="00FA0D37">
        <w:rPr>
          <w:color w:val="993366"/>
        </w:rPr>
        <w:t>OPTIONAL</w:t>
      </w:r>
      <w:r w:rsidRPr="00FA0D37">
        <w:t xml:space="preserve">,   </w:t>
      </w:r>
      <w:r w:rsidRPr="00FA0D37">
        <w:rPr>
          <w:color w:val="808080"/>
        </w:rPr>
        <w:t>-- Need R</w:t>
      </w:r>
    </w:p>
    <w:p w14:paraId="6DCC0C14" w14:textId="77777777" w:rsidR="00394471" w:rsidRPr="00FA0D37" w:rsidRDefault="00394471" w:rsidP="00FA0D37">
      <w:pPr>
        <w:pStyle w:val="PL"/>
        <w:rPr>
          <w:color w:val="808080"/>
        </w:rPr>
      </w:pPr>
      <w:r w:rsidRPr="00FA0D37">
        <w:t xml:space="preserve">    cg-COT-SharingList-r16                  </w:t>
      </w:r>
      <w:r w:rsidRPr="00FA0D37">
        <w:rPr>
          <w:color w:val="993366"/>
        </w:rPr>
        <w:t>SEQUENCE</w:t>
      </w:r>
      <w:r w:rsidRPr="00FA0D37">
        <w:t xml:space="preserve"> (</w:t>
      </w:r>
      <w:r w:rsidRPr="00FA0D37">
        <w:rPr>
          <w:color w:val="993366"/>
        </w:rPr>
        <w:t>SIZE</w:t>
      </w:r>
      <w:r w:rsidRPr="00FA0D37">
        <w:t xml:space="preserve"> (1..1709))</w:t>
      </w:r>
      <w:r w:rsidRPr="00FA0D37">
        <w:rPr>
          <w:color w:val="993366"/>
        </w:rPr>
        <w:t xml:space="preserve"> OF</w:t>
      </w:r>
      <w:r w:rsidRPr="00FA0D37">
        <w:t xml:space="preserve"> CG-COT-Sharing-r16             </w:t>
      </w:r>
      <w:r w:rsidRPr="00FA0D37">
        <w:rPr>
          <w:color w:val="993366"/>
        </w:rPr>
        <w:t>OPTIONAL</w:t>
      </w:r>
      <w:r w:rsidRPr="00FA0D37">
        <w:t xml:space="preserve">,   </w:t>
      </w:r>
      <w:r w:rsidRPr="00FA0D37">
        <w:rPr>
          <w:color w:val="808080"/>
        </w:rPr>
        <w:t>-- Need R</w:t>
      </w:r>
    </w:p>
    <w:p w14:paraId="47F859BF" w14:textId="77777777" w:rsidR="00394471" w:rsidRPr="00FA0D37" w:rsidRDefault="00394471" w:rsidP="00FA0D37">
      <w:pPr>
        <w:pStyle w:val="PL"/>
        <w:rPr>
          <w:color w:val="808080"/>
        </w:rPr>
      </w:pPr>
      <w:r w:rsidRPr="00FA0D37">
        <w:t xml:space="preserve">    harq-ProcID-Offset-r16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M</w:t>
      </w:r>
    </w:p>
    <w:p w14:paraId="1D97BF3E" w14:textId="77777777" w:rsidR="00394471" w:rsidRPr="00FA0D37" w:rsidRDefault="00394471" w:rsidP="00FA0D37">
      <w:pPr>
        <w:pStyle w:val="PL"/>
        <w:rPr>
          <w:color w:val="808080"/>
        </w:rPr>
      </w:pPr>
      <w:r w:rsidRPr="00FA0D37">
        <w:t xml:space="preserve">    harq-ProcID-Offset2-r16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M</w:t>
      </w:r>
    </w:p>
    <w:p w14:paraId="6190729B" w14:textId="77777777" w:rsidR="00394471" w:rsidRPr="00FA0D37" w:rsidRDefault="00394471" w:rsidP="00FA0D37">
      <w:pPr>
        <w:pStyle w:val="PL"/>
        <w:rPr>
          <w:color w:val="808080"/>
        </w:rPr>
      </w:pPr>
      <w:r w:rsidRPr="00FA0D37">
        <w:t xml:space="preserve">    configuredGrantConfigIndex-r16          ConfiguredGrantConfigIndex-r16                              </w:t>
      </w:r>
      <w:r w:rsidRPr="00FA0D37">
        <w:rPr>
          <w:color w:val="993366"/>
        </w:rPr>
        <w:t>OPTIONAL</w:t>
      </w:r>
      <w:r w:rsidRPr="00FA0D37">
        <w:t xml:space="preserve">,   </w:t>
      </w:r>
      <w:r w:rsidRPr="00FA0D37">
        <w:rPr>
          <w:color w:val="808080"/>
        </w:rPr>
        <w:t>-- Cond CG-List</w:t>
      </w:r>
    </w:p>
    <w:p w14:paraId="7D899047" w14:textId="77777777" w:rsidR="00394471" w:rsidRPr="00FA0D37" w:rsidRDefault="00394471" w:rsidP="00FA0D37">
      <w:pPr>
        <w:pStyle w:val="PL"/>
        <w:rPr>
          <w:color w:val="808080"/>
        </w:rPr>
      </w:pPr>
      <w:r w:rsidRPr="00FA0D37">
        <w:t xml:space="preserve">    configuredGrantConfigIndexMAC-r16       ConfiguredGrantConfigIndexMAC-r16                           </w:t>
      </w:r>
      <w:r w:rsidRPr="00FA0D37">
        <w:rPr>
          <w:color w:val="993366"/>
        </w:rPr>
        <w:t>OPTIONAL</w:t>
      </w:r>
      <w:r w:rsidRPr="00FA0D37">
        <w:t xml:space="preserve">,   </w:t>
      </w:r>
      <w:r w:rsidRPr="00FA0D37">
        <w:rPr>
          <w:color w:val="808080"/>
        </w:rPr>
        <w:t>-- Cond CG-IndexMAC</w:t>
      </w:r>
    </w:p>
    <w:p w14:paraId="2170EA2F" w14:textId="77777777" w:rsidR="00394471" w:rsidRPr="00FA0D37" w:rsidRDefault="00394471" w:rsidP="00FA0D37">
      <w:pPr>
        <w:pStyle w:val="PL"/>
        <w:rPr>
          <w:color w:val="808080"/>
        </w:rPr>
      </w:pPr>
      <w:r w:rsidRPr="00FA0D37">
        <w:t xml:space="preserve">    periodicityExt-r16                      </w:t>
      </w:r>
      <w:r w:rsidRPr="00FA0D37">
        <w:rPr>
          <w:color w:val="993366"/>
        </w:rPr>
        <w:t>INTEGER</w:t>
      </w:r>
      <w:r w:rsidRPr="00FA0D37">
        <w:t xml:space="preserve"> (1..5120)                                           </w:t>
      </w:r>
      <w:r w:rsidRPr="00FA0D37">
        <w:rPr>
          <w:color w:val="993366"/>
        </w:rPr>
        <w:t>OPTIONAL</w:t>
      </w:r>
      <w:r w:rsidRPr="00FA0D37">
        <w:t xml:space="preserve">,   </w:t>
      </w:r>
      <w:r w:rsidRPr="00FA0D37">
        <w:rPr>
          <w:color w:val="808080"/>
        </w:rPr>
        <w:t>-- Need R</w:t>
      </w:r>
    </w:p>
    <w:p w14:paraId="03D4C041" w14:textId="77777777" w:rsidR="00394471" w:rsidRPr="00FA0D37" w:rsidRDefault="00394471" w:rsidP="00FA0D37">
      <w:pPr>
        <w:pStyle w:val="PL"/>
        <w:rPr>
          <w:color w:val="808080"/>
        </w:rPr>
      </w:pPr>
      <w:r w:rsidRPr="00FA0D37">
        <w:t xml:space="preserve">    startingFromRV0-r16                     </w:t>
      </w:r>
      <w:r w:rsidRPr="00FA0D37">
        <w:rPr>
          <w:color w:val="993366"/>
        </w:rPr>
        <w:t>ENUMERATED</w:t>
      </w:r>
      <w:r w:rsidRPr="00FA0D37">
        <w:t xml:space="preserve"> {on, off}                                        </w:t>
      </w:r>
      <w:r w:rsidRPr="00FA0D37">
        <w:rPr>
          <w:color w:val="993366"/>
        </w:rPr>
        <w:t>OPTIONAL</w:t>
      </w:r>
      <w:r w:rsidRPr="00FA0D37">
        <w:t xml:space="preserve">,   </w:t>
      </w:r>
      <w:r w:rsidRPr="00FA0D37">
        <w:rPr>
          <w:color w:val="808080"/>
        </w:rPr>
        <w:t>-- Need R</w:t>
      </w:r>
    </w:p>
    <w:p w14:paraId="13E0336A" w14:textId="77777777" w:rsidR="00394471" w:rsidRPr="00FA0D37" w:rsidRDefault="00394471" w:rsidP="00FA0D37">
      <w:pPr>
        <w:pStyle w:val="PL"/>
        <w:rPr>
          <w:color w:val="808080"/>
        </w:rPr>
      </w:pPr>
      <w:r w:rsidRPr="00FA0D37">
        <w:t xml:space="preserve">    phy-PriorityIndex-r16                   </w:t>
      </w:r>
      <w:r w:rsidRPr="00FA0D37">
        <w:rPr>
          <w:color w:val="993366"/>
        </w:rPr>
        <w:t>ENUMERATED</w:t>
      </w:r>
      <w:r w:rsidRPr="00FA0D37">
        <w:t xml:space="preserve"> {p0, p1}                                         </w:t>
      </w:r>
      <w:r w:rsidRPr="00FA0D37">
        <w:rPr>
          <w:color w:val="993366"/>
        </w:rPr>
        <w:t>OPTIONAL</w:t>
      </w:r>
      <w:r w:rsidRPr="00FA0D37">
        <w:t xml:space="preserve">,   </w:t>
      </w:r>
      <w:r w:rsidRPr="00FA0D37">
        <w:rPr>
          <w:color w:val="808080"/>
        </w:rPr>
        <w:t>-- Need R</w:t>
      </w:r>
    </w:p>
    <w:p w14:paraId="1B212D05" w14:textId="77777777" w:rsidR="00394471" w:rsidRPr="00FA0D37" w:rsidRDefault="00394471" w:rsidP="00FA0D37">
      <w:pPr>
        <w:pStyle w:val="PL"/>
        <w:rPr>
          <w:color w:val="808080"/>
        </w:rPr>
      </w:pPr>
      <w:r w:rsidRPr="00FA0D37">
        <w:t xml:space="preserve">    autonomousTx-r16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Cond LCH-BasedPrioritization</w:t>
      </w:r>
    </w:p>
    <w:p w14:paraId="204ABEDE" w14:textId="25357EA4" w:rsidR="009322A6" w:rsidRPr="00FA0D37" w:rsidRDefault="00394471" w:rsidP="00FA0D37">
      <w:pPr>
        <w:pStyle w:val="PL"/>
      </w:pPr>
      <w:r w:rsidRPr="00FA0D37">
        <w:t xml:space="preserve">    ]]</w:t>
      </w:r>
      <w:r w:rsidR="009322A6" w:rsidRPr="00FA0D37">
        <w:t>,</w:t>
      </w:r>
    </w:p>
    <w:p w14:paraId="6E890EAF" w14:textId="77777777" w:rsidR="009322A6" w:rsidRPr="00FA0D37" w:rsidRDefault="009322A6" w:rsidP="00FA0D37">
      <w:pPr>
        <w:pStyle w:val="PL"/>
      </w:pPr>
      <w:r w:rsidRPr="00FA0D37">
        <w:t xml:space="preserve">    [[</w:t>
      </w:r>
    </w:p>
    <w:p w14:paraId="1B053DB9" w14:textId="1A86DC70" w:rsidR="009322A6" w:rsidRPr="00FA0D37" w:rsidRDefault="009322A6" w:rsidP="00FA0D37">
      <w:pPr>
        <w:pStyle w:val="PL"/>
        <w:rPr>
          <w:color w:val="808080"/>
        </w:rPr>
      </w:pPr>
      <w:r w:rsidRPr="00FA0D37">
        <w:lastRenderedPageBreak/>
        <w:t xml:space="preserve">    cg-betaOffsetsCrossPri0-r17             SetupRelease { BetaOffsetsCrossPriSelCG-r17 }               </w:t>
      </w:r>
      <w:r w:rsidRPr="00FA0D37">
        <w:rPr>
          <w:color w:val="993366"/>
        </w:rPr>
        <w:t>OPTIONAL</w:t>
      </w:r>
      <w:r w:rsidRPr="00FA0D37">
        <w:t xml:space="preserve">,   </w:t>
      </w:r>
      <w:r w:rsidRPr="00FA0D37">
        <w:rPr>
          <w:color w:val="808080"/>
        </w:rPr>
        <w:t>-- Need M</w:t>
      </w:r>
    </w:p>
    <w:p w14:paraId="331D9649" w14:textId="67ECBBD4" w:rsidR="009322A6" w:rsidRPr="00FA0D37" w:rsidRDefault="009322A6" w:rsidP="00FA0D37">
      <w:pPr>
        <w:pStyle w:val="PL"/>
        <w:rPr>
          <w:color w:val="808080"/>
        </w:rPr>
      </w:pPr>
      <w:r w:rsidRPr="00FA0D37">
        <w:t xml:space="preserve">    cg-betaOffsetsCrossPri1-r17             SetupRelease { BetaOffsetsCrossPriSelCG-r17 }               </w:t>
      </w:r>
      <w:r w:rsidRPr="00FA0D37">
        <w:rPr>
          <w:color w:val="993366"/>
        </w:rPr>
        <w:t>OPTIONAL</w:t>
      </w:r>
      <w:r w:rsidR="00606C47" w:rsidRPr="00FA0D37">
        <w:t>,</w:t>
      </w:r>
      <w:r w:rsidRPr="00FA0D37">
        <w:t xml:space="preserve">   </w:t>
      </w:r>
      <w:r w:rsidRPr="00FA0D37">
        <w:rPr>
          <w:color w:val="808080"/>
        </w:rPr>
        <w:t>-- Need M</w:t>
      </w:r>
    </w:p>
    <w:p w14:paraId="74E9E88F" w14:textId="4A206FC8" w:rsidR="00606C47" w:rsidRPr="00FA0D37" w:rsidRDefault="00606C47" w:rsidP="00FA0D37">
      <w:pPr>
        <w:pStyle w:val="PL"/>
        <w:rPr>
          <w:color w:val="808080"/>
        </w:rPr>
      </w:pPr>
      <w:r w:rsidRPr="00FA0D37">
        <w:t xml:space="preserve">    mappingPattern-r17                      </w:t>
      </w:r>
      <w:r w:rsidRPr="00FA0D37">
        <w:rPr>
          <w:color w:val="993366"/>
        </w:rPr>
        <w:t>ENUMERATED</w:t>
      </w:r>
      <w:r w:rsidRPr="00FA0D37">
        <w:t xml:space="preserve"> {cyclicMapping, sequentialMapping}               </w:t>
      </w:r>
      <w:r w:rsidRPr="00FA0D37">
        <w:rPr>
          <w:color w:val="993366"/>
        </w:rPr>
        <w:t>OPTIONAL</w:t>
      </w:r>
      <w:r w:rsidRPr="00FA0D37">
        <w:t xml:space="preserve">,   </w:t>
      </w:r>
      <w:r w:rsidRPr="00FA0D37">
        <w:rPr>
          <w:color w:val="808080"/>
        </w:rPr>
        <w:t xml:space="preserve">-- </w:t>
      </w:r>
      <w:r w:rsidR="00486327" w:rsidRPr="00FA0D37">
        <w:rPr>
          <w:color w:val="808080"/>
        </w:rPr>
        <w:t>Cond SRSsets</w:t>
      </w:r>
    </w:p>
    <w:p w14:paraId="4C8BB241" w14:textId="4CAA05F7" w:rsidR="00606C47" w:rsidRPr="00FA0D37" w:rsidRDefault="00606C47" w:rsidP="00FA0D37">
      <w:pPr>
        <w:pStyle w:val="PL"/>
        <w:rPr>
          <w:color w:val="808080"/>
        </w:rPr>
      </w:pPr>
      <w:r w:rsidRPr="00FA0D37">
        <w:t xml:space="preserve">    sequenceOffsetForRV-r17                 </w:t>
      </w:r>
      <w:r w:rsidRPr="00FA0D37">
        <w:rPr>
          <w:color w:val="993366"/>
        </w:rPr>
        <w:t>INTEGER</w:t>
      </w:r>
      <w:r w:rsidRPr="00FA0D37">
        <w:t xml:space="preserve"> (0..3)                                              </w:t>
      </w:r>
      <w:r w:rsidRPr="00FA0D37">
        <w:rPr>
          <w:color w:val="993366"/>
        </w:rPr>
        <w:t>OPTIONAL</w:t>
      </w:r>
      <w:r w:rsidRPr="00FA0D37">
        <w:t xml:space="preserve">,   </w:t>
      </w:r>
      <w:r w:rsidRPr="00FA0D37">
        <w:rPr>
          <w:color w:val="808080"/>
        </w:rPr>
        <w:t>-- Need R</w:t>
      </w:r>
    </w:p>
    <w:p w14:paraId="26424EA4" w14:textId="203EA48F" w:rsidR="00606C47" w:rsidRPr="00FA0D37" w:rsidRDefault="00606C47" w:rsidP="00FA0D37">
      <w:pPr>
        <w:pStyle w:val="PL"/>
        <w:rPr>
          <w:color w:val="808080"/>
        </w:rPr>
      </w:pPr>
      <w:r w:rsidRPr="00FA0D37">
        <w:t xml:space="preserve">    p0-PUSCH-Alpha2-r17                     P0-PUSCH-AlphaSetId                                         </w:t>
      </w:r>
      <w:r w:rsidRPr="00FA0D37">
        <w:rPr>
          <w:color w:val="993366"/>
        </w:rPr>
        <w:t>OPTIONAL</w:t>
      </w:r>
      <w:r w:rsidRPr="00FA0D37">
        <w:t xml:space="preserve">,   </w:t>
      </w:r>
      <w:r w:rsidRPr="00FA0D37">
        <w:rPr>
          <w:color w:val="808080"/>
        </w:rPr>
        <w:t>-- Need R</w:t>
      </w:r>
    </w:p>
    <w:p w14:paraId="58CFBA0D" w14:textId="60A49561" w:rsidR="00606C47" w:rsidRPr="00FA0D37" w:rsidRDefault="00606C47" w:rsidP="00FA0D37">
      <w:pPr>
        <w:pStyle w:val="PL"/>
        <w:rPr>
          <w:color w:val="808080"/>
        </w:rPr>
      </w:pPr>
      <w:r w:rsidRPr="00FA0D37">
        <w:t xml:space="preserve">    powerControlLoopToUse2-r17              </w:t>
      </w:r>
      <w:r w:rsidRPr="00FA0D37">
        <w:rPr>
          <w:color w:val="993366"/>
        </w:rPr>
        <w:t>ENUMERATED</w:t>
      </w:r>
      <w:r w:rsidRPr="00FA0D37">
        <w:t xml:space="preserve"> {n0, n1}                                         </w:t>
      </w:r>
      <w:r w:rsidRPr="00FA0D37">
        <w:rPr>
          <w:color w:val="993366"/>
        </w:rPr>
        <w:t>OPTIONAL</w:t>
      </w:r>
      <w:r w:rsidR="006C501F" w:rsidRPr="00FA0D37">
        <w:t>,</w:t>
      </w:r>
      <w:r w:rsidRPr="00FA0D37">
        <w:t xml:space="preserve">   </w:t>
      </w:r>
      <w:r w:rsidRPr="00FA0D37">
        <w:rPr>
          <w:color w:val="808080"/>
        </w:rPr>
        <w:t>-- Need R</w:t>
      </w:r>
    </w:p>
    <w:p w14:paraId="64C2E967" w14:textId="596D17B5" w:rsidR="006C501F" w:rsidRPr="00FA0D37" w:rsidRDefault="006C501F" w:rsidP="00FA0D37">
      <w:pPr>
        <w:pStyle w:val="PL"/>
        <w:rPr>
          <w:color w:val="808080"/>
        </w:rPr>
      </w:pPr>
      <w:r w:rsidRPr="00FA0D37">
        <w:t xml:space="preserve">    cg-COT-SharingList-r17                  </w:t>
      </w:r>
      <w:r w:rsidRPr="00FA0D37">
        <w:rPr>
          <w:color w:val="993366"/>
        </w:rPr>
        <w:t>SEQUENCE</w:t>
      </w:r>
      <w:r w:rsidRPr="00FA0D37">
        <w:t xml:space="preserve"> (</w:t>
      </w:r>
      <w:r w:rsidRPr="00FA0D37">
        <w:rPr>
          <w:color w:val="993366"/>
        </w:rPr>
        <w:t>SIZE</w:t>
      </w:r>
      <w:r w:rsidRPr="00FA0D37">
        <w:t xml:space="preserve"> (1..</w:t>
      </w:r>
      <w:r w:rsidR="006C3439" w:rsidRPr="00FA0D37">
        <w:t>50722</w:t>
      </w:r>
      <w:r w:rsidRPr="00FA0D37">
        <w:t>))</w:t>
      </w:r>
      <w:r w:rsidRPr="00FA0D37">
        <w:rPr>
          <w:color w:val="993366"/>
        </w:rPr>
        <w:t xml:space="preserve"> OF</w:t>
      </w:r>
      <w:r w:rsidRPr="00FA0D37">
        <w:t xml:space="preserve"> CG-COT-Sharing-r17             </w:t>
      </w:r>
      <w:r w:rsidRPr="00FA0D37">
        <w:rPr>
          <w:color w:val="993366"/>
        </w:rPr>
        <w:t>OPTIONAL</w:t>
      </w:r>
      <w:r w:rsidRPr="00FA0D37">
        <w:t xml:space="preserve">,   </w:t>
      </w:r>
      <w:r w:rsidRPr="00FA0D37">
        <w:rPr>
          <w:color w:val="808080"/>
        </w:rPr>
        <w:t>-- Need R</w:t>
      </w:r>
    </w:p>
    <w:p w14:paraId="03BD1872" w14:textId="1708C14F" w:rsidR="006C501F" w:rsidRPr="00FA0D37" w:rsidRDefault="006C501F" w:rsidP="00FA0D37">
      <w:pPr>
        <w:pStyle w:val="PL"/>
        <w:rPr>
          <w:color w:val="808080"/>
        </w:rPr>
      </w:pPr>
      <w:r w:rsidRPr="00FA0D37">
        <w:t xml:space="preserve">    periodicityExt-r17                      </w:t>
      </w:r>
      <w:r w:rsidRPr="00FA0D37">
        <w:rPr>
          <w:color w:val="993366"/>
        </w:rPr>
        <w:t>INTEGER</w:t>
      </w:r>
      <w:r w:rsidRPr="00FA0D37">
        <w:t xml:space="preserve"> (1..40960)                                          </w:t>
      </w:r>
      <w:r w:rsidRPr="00FA0D37">
        <w:rPr>
          <w:color w:val="993366"/>
        </w:rPr>
        <w:t>OPTIONAL</w:t>
      </w:r>
      <w:r w:rsidR="00876032" w:rsidRPr="00FA0D37">
        <w:t>,</w:t>
      </w:r>
      <w:r w:rsidRPr="00FA0D37">
        <w:t xml:space="preserve">   </w:t>
      </w:r>
      <w:r w:rsidRPr="00FA0D37">
        <w:rPr>
          <w:color w:val="808080"/>
        </w:rPr>
        <w:t>-- Need R</w:t>
      </w:r>
    </w:p>
    <w:p w14:paraId="1A1F322E" w14:textId="576D89C5" w:rsidR="00876032" w:rsidRPr="00FA0D37" w:rsidRDefault="00876032" w:rsidP="00FA0D37">
      <w:pPr>
        <w:pStyle w:val="PL"/>
        <w:rPr>
          <w:color w:val="808080"/>
        </w:rPr>
      </w:pPr>
      <w:r w:rsidRPr="00FA0D37">
        <w:t xml:space="preserve">    repK-</w:t>
      </w:r>
      <w:r w:rsidR="00A90289" w:rsidRPr="00FA0D37">
        <w:t>v</w:t>
      </w:r>
      <w:r w:rsidRPr="00FA0D37">
        <w:t>17</w:t>
      </w:r>
      <w:r w:rsidR="00A90289" w:rsidRPr="00FA0D37">
        <w:t>10</w:t>
      </w:r>
      <w:r w:rsidRPr="00FA0D37">
        <w:t xml:space="preserve">                              </w:t>
      </w:r>
      <w:r w:rsidRPr="00FA0D37">
        <w:rPr>
          <w:color w:val="993366"/>
        </w:rPr>
        <w:t>ENUMERATED</w:t>
      </w:r>
      <w:r w:rsidRPr="00FA0D37">
        <w:t xml:space="preserve"> {n12, n16, n24, n32}                             </w:t>
      </w:r>
      <w:r w:rsidRPr="00FA0D37">
        <w:rPr>
          <w:color w:val="993366"/>
        </w:rPr>
        <w:t>OPTIONAL</w:t>
      </w:r>
      <w:r w:rsidR="005B7637" w:rsidRPr="00FA0D37">
        <w:t>,</w:t>
      </w:r>
      <w:r w:rsidRPr="00FA0D37">
        <w:t xml:space="preserve">   </w:t>
      </w:r>
      <w:r w:rsidRPr="00FA0D37">
        <w:rPr>
          <w:color w:val="808080"/>
        </w:rPr>
        <w:t xml:space="preserve">-- Need </w:t>
      </w:r>
      <w:r w:rsidR="009573DD" w:rsidRPr="00FA0D37">
        <w:rPr>
          <w:color w:val="808080"/>
        </w:rPr>
        <w:t>R</w:t>
      </w:r>
    </w:p>
    <w:p w14:paraId="40796DE8" w14:textId="204B387D" w:rsidR="005B7637" w:rsidRPr="00FA0D37" w:rsidRDefault="005B7637" w:rsidP="00FA0D37">
      <w:pPr>
        <w:pStyle w:val="PL"/>
        <w:rPr>
          <w:color w:val="808080"/>
        </w:rPr>
      </w:pPr>
      <w:r w:rsidRPr="00FA0D37">
        <w:t xml:space="preserve">    nrofHARQ-Processes</w:t>
      </w:r>
      <w:r w:rsidR="009573DD" w:rsidRPr="00FA0D37">
        <w:t>-v1700</w:t>
      </w:r>
      <w:r w:rsidRPr="00FA0D37">
        <w:t xml:space="preserve">               </w:t>
      </w:r>
      <w:r w:rsidR="009573DD" w:rsidRPr="00FA0D37">
        <w:t xml:space="preserve"> </w:t>
      </w:r>
      <w:r w:rsidRPr="00FA0D37">
        <w:rPr>
          <w:color w:val="993366"/>
        </w:rPr>
        <w:t>INTEGER</w:t>
      </w:r>
      <w:r w:rsidRPr="00FA0D37">
        <w:t xml:space="preserve">(17..32)                                             </w:t>
      </w:r>
      <w:r w:rsidRPr="00FA0D37">
        <w:rPr>
          <w:color w:val="993366"/>
        </w:rPr>
        <w:t>OPTIONAL</w:t>
      </w:r>
      <w:r w:rsidRPr="00FA0D37">
        <w:t xml:space="preserve">,   </w:t>
      </w:r>
      <w:r w:rsidRPr="00FA0D37">
        <w:rPr>
          <w:color w:val="808080"/>
        </w:rPr>
        <w:t>-- Need M</w:t>
      </w:r>
    </w:p>
    <w:p w14:paraId="257068A0" w14:textId="19FEAF8B" w:rsidR="005B7637" w:rsidRPr="00FA0D37" w:rsidRDefault="005B7637" w:rsidP="00FA0D37">
      <w:pPr>
        <w:pStyle w:val="PL"/>
        <w:rPr>
          <w:color w:val="808080"/>
        </w:rPr>
      </w:pPr>
      <w:r w:rsidRPr="00FA0D37">
        <w:t xml:space="preserve">    harq-ProcID-Offset2-v1700               </w:t>
      </w:r>
      <w:r w:rsidRPr="00FA0D37">
        <w:rPr>
          <w:color w:val="993366"/>
        </w:rPr>
        <w:t>INTEGER</w:t>
      </w:r>
      <w:r w:rsidRPr="00FA0D37">
        <w:t xml:space="preserve"> (16..31)                                            </w:t>
      </w:r>
      <w:r w:rsidRPr="00FA0D37">
        <w:rPr>
          <w:color w:val="993366"/>
        </w:rPr>
        <w:t>OPTIONAL</w:t>
      </w:r>
      <w:r w:rsidRPr="00FA0D37">
        <w:t xml:space="preserve">,   </w:t>
      </w:r>
      <w:r w:rsidRPr="00FA0D37">
        <w:rPr>
          <w:color w:val="808080"/>
        </w:rPr>
        <w:t xml:space="preserve">-- Need </w:t>
      </w:r>
      <w:r w:rsidR="009573DD" w:rsidRPr="00FA0D37">
        <w:rPr>
          <w:color w:val="808080"/>
        </w:rPr>
        <w:t>R</w:t>
      </w:r>
    </w:p>
    <w:p w14:paraId="646A7F57" w14:textId="330904EC" w:rsidR="005B7637" w:rsidRPr="00FA0D37" w:rsidRDefault="005B7637" w:rsidP="00FA0D37">
      <w:pPr>
        <w:pStyle w:val="PL"/>
        <w:rPr>
          <w:color w:val="808080"/>
        </w:rPr>
      </w:pPr>
      <w:r w:rsidRPr="00FA0D37">
        <w:t xml:space="preserve">    configuredGrantTimer-v1700              </w:t>
      </w:r>
      <w:r w:rsidRPr="00FA0D37">
        <w:rPr>
          <w:color w:val="993366"/>
        </w:rPr>
        <w:t>INTEGER</w:t>
      </w:r>
      <w:r w:rsidRPr="00FA0D37">
        <w:t>(</w:t>
      </w:r>
      <w:r w:rsidR="009573DD" w:rsidRPr="00FA0D37">
        <w:t>33</w:t>
      </w:r>
      <w:r w:rsidRPr="00FA0D37">
        <w:t>..</w:t>
      </w:r>
      <w:r w:rsidR="009573DD" w:rsidRPr="00FA0D37">
        <w:t>288</w:t>
      </w:r>
      <w:r w:rsidRPr="00FA0D37">
        <w:t xml:space="preserve">)                                            </w:t>
      </w:r>
      <w:r w:rsidRPr="00FA0D37">
        <w:rPr>
          <w:color w:val="993366"/>
        </w:rPr>
        <w:t>OPTIONAL</w:t>
      </w:r>
      <w:r w:rsidR="006C3439" w:rsidRPr="00FA0D37">
        <w:t>,</w:t>
      </w:r>
      <w:r w:rsidRPr="00FA0D37">
        <w:t xml:space="preserve">   </w:t>
      </w:r>
      <w:r w:rsidRPr="00FA0D37">
        <w:rPr>
          <w:color w:val="808080"/>
        </w:rPr>
        <w:t>-- Need R</w:t>
      </w:r>
    </w:p>
    <w:p w14:paraId="5CF65931" w14:textId="5F746630" w:rsidR="006C3439" w:rsidRPr="00FA0D37" w:rsidRDefault="006C3439" w:rsidP="00FA0D37">
      <w:pPr>
        <w:pStyle w:val="PL"/>
        <w:rPr>
          <w:color w:val="808080"/>
        </w:rPr>
      </w:pPr>
      <w:r w:rsidRPr="00FA0D37">
        <w:t xml:space="preserve">    cg-minDFI-Delay-v1710                   </w:t>
      </w:r>
      <w:r w:rsidRPr="00FA0D37">
        <w:rPr>
          <w:color w:val="993366"/>
        </w:rPr>
        <w:t>INTEGER</w:t>
      </w:r>
      <w:r w:rsidRPr="00FA0D37">
        <w:t xml:space="preserve"> (238..3584)                                         </w:t>
      </w:r>
      <w:r w:rsidRPr="00FA0D37">
        <w:rPr>
          <w:color w:val="993366"/>
        </w:rPr>
        <w:t>OPTIONAL</w:t>
      </w:r>
      <w:r w:rsidRPr="00FA0D37">
        <w:t xml:space="preserve">    </w:t>
      </w:r>
      <w:r w:rsidRPr="00FA0D37">
        <w:rPr>
          <w:color w:val="808080"/>
        </w:rPr>
        <w:t>-- Need R</w:t>
      </w:r>
    </w:p>
    <w:p w14:paraId="7DEAFCB1" w14:textId="6737B360" w:rsidR="001B0D59" w:rsidRPr="00FA0D37" w:rsidRDefault="006C3439" w:rsidP="00FA0D37">
      <w:pPr>
        <w:pStyle w:val="PL"/>
      </w:pPr>
      <w:r w:rsidRPr="00FA0D37">
        <w:t xml:space="preserve">    </w:t>
      </w:r>
      <w:r w:rsidR="009322A6" w:rsidRPr="00FA0D37">
        <w:t>]]</w:t>
      </w:r>
      <w:r w:rsidR="001B0D59" w:rsidRPr="00FA0D37">
        <w:t>,</w:t>
      </w:r>
    </w:p>
    <w:p w14:paraId="3AED0D1C" w14:textId="45D55BAF" w:rsidR="001B0D59" w:rsidRPr="00FA0D37" w:rsidRDefault="001B0D59" w:rsidP="00FA0D37">
      <w:pPr>
        <w:pStyle w:val="PL"/>
      </w:pPr>
      <w:r w:rsidRPr="00FA0D37">
        <w:t xml:space="preserve">    [[</w:t>
      </w:r>
    </w:p>
    <w:p w14:paraId="331CB9EC" w14:textId="6B16129C" w:rsidR="001B0D59" w:rsidRPr="00FA0D37" w:rsidRDefault="001B0D59" w:rsidP="00FA0D37">
      <w:pPr>
        <w:pStyle w:val="PL"/>
        <w:rPr>
          <w:color w:val="808080"/>
        </w:rPr>
      </w:pPr>
      <w:r w:rsidRPr="00FA0D37">
        <w:t xml:space="preserve">    harq-ProcID-Offset-v1730                </w:t>
      </w:r>
      <w:r w:rsidRPr="00FA0D37">
        <w:rPr>
          <w:color w:val="993366"/>
        </w:rPr>
        <w:t>INTEGER</w:t>
      </w:r>
      <w:r w:rsidRPr="00FA0D37">
        <w:t xml:space="preserve"> (16..31)                                            </w:t>
      </w:r>
      <w:r w:rsidRPr="00FA0D37">
        <w:rPr>
          <w:color w:val="993366"/>
        </w:rPr>
        <w:t>OPTIONAL</w:t>
      </w:r>
      <w:r w:rsidRPr="00FA0D37">
        <w:t xml:space="preserve">,   </w:t>
      </w:r>
      <w:r w:rsidRPr="00FA0D37">
        <w:rPr>
          <w:color w:val="808080"/>
        </w:rPr>
        <w:t>-- Need R</w:t>
      </w:r>
    </w:p>
    <w:p w14:paraId="701568E6" w14:textId="77777777" w:rsidR="001B0D59" w:rsidRPr="00FA0D37" w:rsidRDefault="001B0D59" w:rsidP="00FA0D37">
      <w:pPr>
        <w:pStyle w:val="PL"/>
        <w:rPr>
          <w:color w:val="808080"/>
        </w:rPr>
      </w:pPr>
      <w:r w:rsidRPr="00FA0D37">
        <w:t xml:space="preserve">    cg-nrofSlots-r17                        </w:t>
      </w:r>
      <w:r w:rsidRPr="00FA0D37">
        <w:rPr>
          <w:color w:val="993366"/>
        </w:rPr>
        <w:t>INTEGER</w:t>
      </w:r>
      <w:r w:rsidRPr="00FA0D37">
        <w:t xml:space="preserve"> (1..320)                                            </w:t>
      </w:r>
      <w:r w:rsidRPr="00FA0D37">
        <w:rPr>
          <w:color w:val="993366"/>
        </w:rPr>
        <w:t>OPTIONAL</w:t>
      </w:r>
      <w:r w:rsidRPr="00FA0D37">
        <w:t xml:space="preserve">    </w:t>
      </w:r>
      <w:r w:rsidRPr="00FA0D37">
        <w:rPr>
          <w:color w:val="808080"/>
        </w:rPr>
        <w:t>-- Need R</w:t>
      </w:r>
    </w:p>
    <w:p w14:paraId="501ADF56" w14:textId="3C5B08BD" w:rsidR="00394471" w:rsidRPr="00FA0D37" w:rsidRDefault="001B0D59" w:rsidP="00FA0D37">
      <w:pPr>
        <w:pStyle w:val="PL"/>
      </w:pPr>
      <w:r w:rsidRPr="00FA0D37">
        <w:t xml:space="preserve">    ]]</w:t>
      </w:r>
    </w:p>
    <w:p w14:paraId="31F6B7EA" w14:textId="77777777" w:rsidR="00394471" w:rsidRPr="00FA0D37" w:rsidRDefault="00394471" w:rsidP="00FA0D37">
      <w:pPr>
        <w:pStyle w:val="PL"/>
      </w:pPr>
      <w:r w:rsidRPr="00FA0D37">
        <w:t>}</w:t>
      </w:r>
    </w:p>
    <w:p w14:paraId="60FA6565" w14:textId="77777777" w:rsidR="00394471" w:rsidRPr="00FA0D37" w:rsidRDefault="00394471" w:rsidP="00FA0D37">
      <w:pPr>
        <w:pStyle w:val="PL"/>
      </w:pPr>
    </w:p>
    <w:p w14:paraId="0110C849" w14:textId="77777777" w:rsidR="00394471" w:rsidRPr="00FA0D37" w:rsidRDefault="00394471" w:rsidP="00FA0D37">
      <w:pPr>
        <w:pStyle w:val="PL"/>
      </w:pPr>
      <w:r w:rsidRPr="00FA0D37">
        <w:t xml:space="preserve">CG-UCI-OnPUSCH ::= </w:t>
      </w:r>
      <w:r w:rsidRPr="00FA0D37">
        <w:rPr>
          <w:color w:val="993366"/>
        </w:rPr>
        <w:t>CHOICE</w:t>
      </w:r>
      <w:r w:rsidRPr="00FA0D37">
        <w:t xml:space="preserve"> {</w:t>
      </w:r>
    </w:p>
    <w:p w14:paraId="7BE03DE8" w14:textId="77777777" w:rsidR="00394471" w:rsidRPr="00FA0D37" w:rsidRDefault="00394471" w:rsidP="00FA0D37">
      <w:pPr>
        <w:pStyle w:val="PL"/>
      </w:pPr>
      <w:r w:rsidRPr="00FA0D37">
        <w:t xml:space="preserve">    dynamic                                 </w:t>
      </w:r>
      <w:r w:rsidRPr="00FA0D37">
        <w:rPr>
          <w:color w:val="993366"/>
        </w:rPr>
        <w:t>SEQUENCE</w:t>
      </w:r>
      <w:r w:rsidRPr="00FA0D37">
        <w:t xml:space="preserve"> (</w:t>
      </w:r>
      <w:r w:rsidRPr="00FA0D37">
        <w:rPr>
          <w:color w:val="993366"/>
        </w:rPr>
        <w:t>SIZE</w:t>
      </w:r>
      <w:r w:rsidRPr="00FA0D37">
        <w:t xml:space="preserve"> (1..4))</w:t>
      </w:r>
      <w:r w:rsidRPr="00FA0D37">
        <w:rPr>
          <w:color w:val="993366"/>
        </w:rPr>
        <w:t xml:space="preserve"> OF</w:t>
      </w:r>
      <w:r w:rsidRPr="00FA0D37">
        <w:t xml:space="preserve"> BetaOffsets,</w:t>
      </w:r>
    </w:p>
    <w:p w14:paraId="64B3DF9F" w14:textId="77777777" w:rsidR="00394471" w:rsidRPr="00FA0D37" w:rsidRDefault="00394471" w:rsidP="00FA0D37">
      <w:pPr>
        <w:pStyle w:val="PL"/>
      </w:pPr>
      <w:r w:rsidRPr="00FA0D37">
        <w:t xml:space="preserve">    semiStatic                              BetaOffsets</w:t>
      </w:r>
    </w:p>
    <w:p w14:paraId="6396C32E" w14:textId="77777777" w:rsidR="00394471" w:rsidRPr="00FA0D37" w:rsidRDefault="00394471" w:rsidP="00FA0D37">
      <w:pPr>
        <w:pStyle w:val="PL"/>
      </w:pPr>
      <w:r w:rsidRPr="00FA0D37">
        <w:t>}</w:t>
      </w:r>
    </w:p>
    <w:p w14:paraId="29CAB58C" w14:textId="77777777" w:rsidR="00394471" w:rsidRPr="00FA0D37" w:rsidRDefault="00394471" w:rsidP="00FA0D37">
      <w:pPr>
        <w:pStyle w:val="PL"/>
      </w:pPr>
    </w:p>
    <w:p w14:paraId="60A37CAC" w14:textId="77777777" w:rsidR="00394471" w:rsidRPr="00FA0D37" w:rsidRDefault="00394471" w:rsidP="00FA0D37">
      <w:pPr>
        <w:pStyle w:val="PL"/>
      </w:pPr>
      <w:r w:rsidRPr="00FA0D37">
        <w:t xml:space="preserve">CG-COT-Sharing-r16 ::= </w:t>
      </w:r>
      <w:r w:rsidRPr="00FA0D37">
        <w:rPr>
          <w:color w:val="993366"/>
        </w:rPr>
        <w:t>CHOICE</w:t>
      </w:r>
      <w:r w:rsidRPr="00FA0D37">
        <w:t xml:space="preserve"> {</w:t>
      </w:r>
    </w:p>
    <w:p w14:paraId="7AF2B0E4" w14:textId="77777777" w:rsidR="00394471" w:rsidRPr="00FA0D37" w:rsidRDefault="00394471" w:rsidP="00FA0D37">
      <w:pPr>
        <w:pStyle w:val="PL"/>
      </w:pPr>
      <w:r w:rsidRPr="00FA0D37">
        <w:t xml:space="preserve">    noCOT-Sharing-r16                   </w:t>
      </w:r>
      <w:r w:rsidRPr="00FA0D37">
        <w:rPr>
          <w:color w:val="993366"/>
        </w:rPr>
        <w:t>NULL</w:t>
      </w:r>
      <w:r w:rsidRPr="00FA0D37">
        <w:t>,</w:t>
      </w:r>
    </w:p>
    <w:p w14:paraId="4B7915EF" w14:textId="77777777" w:rsidR="00394471" w:rsidRPr="00FA0D37" w:rsidRDefault="00394471" w:rsidP="00FA0D37">
      <w:pPr>
        <w:pStyle w:val="PL"/>
      </w:pPr>
      <w:r w:rsidRPr="00FA0D37">
        <w:t xml:space="preserve">    cot-Sharing-r16                     </w:t>
      </w:r>
      <w:r w:rsidRPr="00FA0D37">
        <w:rPr>
          <w:color w:val="993366"/>
        </w:rPr>
        <w:t>SEQUENCE</w:t>
      </w:r>
      <w:r w:rsidRPr="00FA0D37">
        <w:t xml:space="preserve"> {</w:t>
      </w:r>
    </w:p>
    <w:p w14:paraId="7F4B5C72" w14:textId="0959AE11" w:rsidR="00394471" w:rsidRPr="00FA0D37" w:rsidRDefault="00394471" w:rsidP="00FA0D37">
      <w:pPr>
        <w:pStyle w:val="PL"/>
      </w:pPr>
      <w:r w:rsidRPr="00FA0D37">
        <w:t xml:space="preserve">         duration-r16                       </w:t>
      </w:r>
      <w:r w:rsidRPr="00FA0D37">
        <w:rPr>
          <w:color w:val="993366"/>
        </w:rPr>
        <w:t>INTEGER</w:t>
      </w:r>
      <w:r w:rsidRPr="00FA0D37">
        <w:t xml:space="preserve"> (1..39),</w:t>
      </w:r>
    </w:p>
    <w:p w14:paraId="09266D77" w14:textId="50776C36" w:rsidR="00394471" w:rsidRPr="00FA0D37" w:rsidRDefault="00394471" w:rsidP="00FA0D37">
      <w:pPr>
        <w:pStyle w:val="PL"/>
      </w:pPr>
      <w:r w:rsidRPr="00FA0D37">
        <w:t xml:space="preserve">         offset-r16                         </w:t>
      </w:r>
      <w:r w:rsidRPr="00FA0D37">
        <w:rPr>
          <w:color w:val="993366"/>
        </w:rPr>
        <w:t>INTEGER</w:t>
      </w:r>
      <w:r w:rsidRPr="00FA0D37">
        <w:t xml:space="preserve"> (1..39),</w:t>
      </w:r>
    </w:p>
    <w:p w14:paraId="22421F03" w14:textId="77777777" w:rsidR="00394471" w:rsidRPr="00FA0D37" w:rsidRDefault="00394471" w:rsidP="00FA0D37">
      <w:pPr>
        <w:pStyle w:val="PL"/>
      </w:pPr>
      <w:r w:rsidRPr="00FA0D37">
        <w:t xml:space="preserve">         channelAccessPriority-r16          </w:t>
      </w:r>
      <w:r w:rsidRPr="00FA0D37">
        <w:rPr>
          <w:color w:val="993366"/>
        </w:rPr>
        <w:t>INTEGER</w:t>
      </w:r>
      <w:r w:rsidRPr="00FA0D37">
        <w:t xml:space="preserve"> (1..4)</w:t>
      </w:r>
    </w:p>
    <w:p w14:paraId="5DAC7314" w14:textId="77777777" w:rsidR="00394471" w:rsidRPr="00FA0D37" w:rsidRDefault="00394471" w:rsidP="00FA0D37">
      <w:pPr>
        <w:pStyle w:val="PL"/>
      </w:pPr>
      <w:r w:rsidRPr="00FA0D37">
        <w:t xml:space="preserve">    }</w:t>
      </w:r>
    </w:p>
    <w:p w14:paraId="3BC7C0EC" w14:textId="77777777" w:rsidR="00394471" w:rsidRPr="00FA0D37" w:rsidRDefault="00394471" w:rsidP="00FA0D37">
      <w:pPr>
        <w:pStyle w:val="PL"/>
      </w:pPr>
      <w:r w:rsidRPr="00FA0D37">
        <w:t>}</w:t>
      </w:r>
    </w:p>
    <w:p w14:paraId="0BA549AF" w14:textId="77777777" w:rsidR="006C501F" w:rsidRPr="00FA0D37" w:rsidRDefault="006C501F" w:rsidP="00FA0D37">
      <w:pPr>
        <w:pStyle w:val="PL"/>
      </w:pPr>
    </w:p>
    <w:p w14:paraId="5F886100" w14:textId="2A39EF7D" w:rsidR="006C501F" w:rsidRPr="00FA0D37" w:rsidRDefault="006C501F" w:rsidP="00FA0D37">
      <w:pPr>
        <w:pStyle w:val="PL"/>
      </w:pPr>
      <w:r w:rsidRPr="00FA0D37">
        <w:t xml:space="preserve">CG-COT-Sharing-r17 ::=  </w:t>
      </w:r>
      <w:r w:rsidRPr="00FA0D37">
        <w:rPr>
          <w:color w:val="993366"/>
        </w:rPr>
        <w:t>CHOICE</w:t>
      </w:r>
      <w:r w:rsidRPr="00FA0D37">
        <w:t xml:space="preserve"> {</w:t>
      </w:r>
    </w:p>
    <w:p w14:paraId="0DFE1CFD" w14:textId="77777777" w:rsidR="006C501F" w:rsidRPr="00FA0D37" w:rsidRDefault="006C501F" w:rsidP="00FA0D37">
      <w:pPr>
        <w:pStyle w:val="PL"/>
      </w:pPr>
      <w:r w:rsidRPr="00FA0D37">
        <w:t xml:space="preserve">    noCOT-Sharing-r17                   </w:t>
      </w:r>
      <w:r w:rsidRPr="00FA0D37">
        <w:rPr>
          <w:color w:val="993366"/>
        </w:rPr>
        <w:t>NULL</w:t>
      </w:r>
      <w:r w:rsidRPr="00FA0D37">
        <w:t>,</w:t>
      </w:r>
    </w:p>
    <w:p w14:paraId="68AACB8F" w14:textId="77777777" w:rsidR="006C501F" w:rsidRPr="00FA0D37" w:rsidRDefault="006C501F" w:rsidP="00FA0D37">
      <w:pPr>
        <w:pStyle w:val="PL"/>
      </w:pPr>
      <w:r w:rsidRPr="00FA0D37">
        <w:t xml:space="preserve">    cot-Sharing-r17                     </w:t>
      </w:r>
      <w:r w:rsidRPr="00FA0D37">
        <w:rPr>
          <w:color w:val="993366"/>
        </w:rPr>
        <w:t>SEQUENCE</w:t>
      </w:r>
      <w:r w:rsidRPr="00FA0D37">
        <w:t xml:space="preserve"> {</w:t>
      </w:r>
    </w:p>
    <w:p w14:paraId="7B5008E2" w14:textId="7C0EAC78" w:rsidR="006C501F" w:rsidRPr="00FA0D37" w:rsidRDefault="006C501F" w:rsidP="00FA0D37">
      <w:pPr>
        <w:pStyle w:val="PL"/>
      </w:pPr>
      <w:r w:rsidRPr="00FA0D37">
        <w:t xml:space="preserve">         duration-r17                       </w:t>
      </w:r>
      <w:r w:rsidRPr="00FA0D37">
        <w:rPr>
          <w:color w:val="993366"/>
        </w:rPr>
        <w:t>INTEGER</w:t>
      </w:r>
      <w:r w:rsidRPr="00FA0D37">
        <w:t xml:space="preserve"> (1..3</w:t>
      </w:r>
      <w:r w:rsidR="00287CE6" w:rsidRPr="00FA0D37">
        <w:t>1</w:t>
      </w:r>
      <w:r w:rsidRPr="00FA0D37">
        <w:t>9),</w:t>
      </w:r>
    </w:p>
    <w:p w14:paraId="4871C16F" w14:textId="59FB7685" w:rsidR="006C501F" w:rsidRPr="00FA0D37" w:rsidRDefault="006C501F" w:rsidP="00FA0D37">
      <w:pPr>
        <w:pStyle w:val="PL"/>
      </w:pPr>
      <w:r w:rsidRPr="00FA0D37">
        <w:t xml:space="preserve">         offset-r17                         </w:t>
      </w:r>
      <w:r w:rsidRPr="00FA0D37">
        <w:rPr>
          <w:color w:val="993366"/>
        </w:rPr>
        <w:t>INTEGER</w:t>
      </w:r>
      <w:r w:rsidRPr="00FA0D37">
        <w:t xml:space="preserve"> (1..3</w:t>
      </w:r>
      <w:r w:rsidR="00287CE6" w:rsidRPr="00FA0D37">
        <w:t>1</w:t>
      </w:r>
      <w:r w:rsidRPr="00FA0D37">
        <w:t>9)</w:t>
      </w:r>
    </w:p>
    <w:p w14:paraId="4F169890" w14:textId="77777777" w:rsidR="006C501F" w:rsidRPr="00FA0D37" w:rsidRDefault="006C501F" w:rsidP="00FA0D37">
      <w:pPr>
        <w:pStyle w:val="PL"/>
      </w:pPr>
      <w:r w:rsidRPr="00FA0D37">
        <w:t xml:space="preserve">    }</w:t>
      </w:r>
    </w:p>
    <w:p w14:paraId="794104D5" w14:textId="3A2CDF71" w:rsidR="00394471" w:rsidRPr="00FA0D37" w:rsidRDefault="006C501F" w:rsidP="00FA0D37">
      <w:pPr>
        <w:pStyle w:val="PL"/>
      </w:pPr>
      <w:r w:rsidRPr="00FA0D37">
        <w:t>}</w:t>
      </w:r>
    </w:p>
    <w:p w14:paraId="6684C12C" w14:textId="77777777" w:rsidR="006C501F" w:rsidRPr="00FA0D37" w:rsidRDefault="006C501F" w:rsidP="00FA0D37">
      <w:pPr>
        <w:pStyle w:val="PL"/>
      </w:pPr>
    </w:p>
    <w:p w14:paraId="4E635D2F" w14:textId="77777777" w:rsidR="00394471" w:rsidRPr="00FA0D37" w:rsidRDefault="00394471" w:rsidP="00FA0D37">
      <w:pPr>
        <w:pStyle w:val="PL"/>
      </w:pPr>
      <w:r w:rsidRPr="00FA0D37">
        <w:t xml:space="preserve">CG-StartingOffsets-r16 ::= </w:t>
      </w:r>
      <w:r w:rsidRPr="00FA0D37">
        <w:rPr>
          <w:color w:val="993366"/>
        </w:rPr>
        <w:t>SEQUENCE</w:t>
      </w:r>
      <w:r w:rsidRPr="00FA0D37">
        <w:t xml:space="preserve"> {</w:t>
      </w:r>
    </w:p>
    <w:p w14:paraId="54FAAD03" w14:textId="77777777" w:rsidR="00394471" w:rsidRPr="00FA0D37" w:rsidRDefault="00394471" w:rsidP="00FA0D37">
      <w:pPr>
        <w:pStyle w:val="PL"/>
        <w:rPr>
          <w:color w:val="808080"/>
        </w:rPr>
      </w:pPr>
      <w:r w:rsidRPr="00FA0D37">
        <w:t xml:space="preserve">    cg-StartingFullBW-InsideCOT-r16         </w:t>
      </w:r>
      <w:r w:rsidRPr="00FA0D37">
        <w:rPr>
          <w:color w:val="993366"/>
        </w:rPr>
        <w:t>SEQUENCE</w:t>
      </w:r>
      <w:r w:rsidRPr="00FA0D37">
        <w:t xml:space="preserve"> (</w:t>
      </w:r>
      <w:r w:rsidRPr="00FA0D37">
        <w:rPr>
          <w:color w:val="993366"/>
        </w:rPr>
        <w:t>SIZE</w:t>
      </w:r>
      <w:r w:rsidRPr="00FA0D37">
        <w:t xml:space="preserve"> (1..7))</w:t>
      </w:r>
      <w:r w:rsidRPr="00FA0D37">
        <w:rPr>
          <w:color w:val="993366"/>
        </w:rPr>
        <w:t xml:space="preserve"> OF</w:t>
      </w:r>
      <w:r w:rsidRPr="00FA0D37">
        <w:t xml:space="preserve"> </w:t>
      </w:r>
      <w:r w:rsidRPr="00FA0D37">
        <w:rPr>
          <w:color w:val="993366"/>
        </w:rPr>
        <w:t>INTEGER</w:t>
      </w:r>
      <w:r w:rsidRPr="00FA0D37">
        <w:t xml:space="preserve"> (0..6)             </w:t>
      </w:r>
      <w:r w:rsidRPr="00FA0D37">
        <w:rPr>
          <w:color w:val="993366"/>
        </w:rPr>
        <w:t>OPTIONAL</w:t>
      </w:r>
      <w:r w:rsidRPr="00FA0D37">
        <w:t xml:space="preserve">,   </w:t>
      </w:r>
      <w:r w:rsidRPr="00FA0D37">
        <w:rPr>
          <w:color w:val="808080"/>
        </w:rPr>
        <w:t>-- Need R</w:t>
      </w:r>
    </w:p>
    <w:p w14:paraId="2FCC3D3C" w14:textId="77777777" w:rsidR="00394471" w:rsidRPr="00FA0D37" w:rsidRDefault="00394471" w:rsidP="00FA0D37">
      <w:pPr>
        <w:pStyle w:val="PL"/>
        <w:rPr>
          <w:color w:val="808080"/>
        </w:rPr>
      </w:pPr>
      <w:r w:rsidRPr="00FA0D37">
        <w:t xml:space="preserve">    cg-StartingFullBW-OutsideCOT-r16        </w:t>
      </w:r>
      <w:r w:rsidRPr="00FA0D37">
        <w:rPr>
          <w:color w:val="993366"/>
        </w:rPr>
        <w:t>SEQUENCE</w:t>
      </w:r>
      <w:r w:rsidRPr="00FA0D37">
        <w:t xml:space="preserve"> (</w:t>
      </w:r>
      <w:r w:rsidRPr="00FA0D37">
        <w:rPr>
          <w:color w:val="993366"/>
        </w:rPr>
        <w:t>SIZE</w:t>
      </w:r>
      <w:r w:rsidRPr="00FA0D37">
        <w:t xml:space="preserve"> (1..7))</w:t>
      </w:r>
      <w:r w:rsidRPr="00FA0D37">
        <w:rPr>
          <w:color w:val="993366"/>
        </w:rPr>
        <w:t xml:space="preserve"> OF</w:t>
      </w:r>
      <w:r w:rsidRPr="00FA0D37">
        <w:t xml:space="preserve"> </w:t>
      </w:r>
      <w:r w:rsidRPr="00FA0D37">
        <w:rPr>
          <w:color w:val="993366"/>
        </w:rPr>
        <w:t>INTEGER</w:t>
      </w:r>
      <w:r w:rsidRPr="00FA0D37">
        <w:t xml:space="preserve"> (0..6)             </w:t>
      </w:r>
      <w:r w:rsidRPr="00FA0D37">
        <w:rPr>
          <w:color w:val="993366"/>
        </w:rPr>
        <w:t>OPTIONAL</w:t>
      </w:r>
      <w:r w:rsidRPr="00FA0D37">
        <w:t xml:space="preserve">,   </w:t>
      </w:r>
      <w:r w:rsidRPr="00FA0D37">
        <w:rPr>
          <w:color w:val="808080"/>
        </w:rPr>
        <w:t>-- Need R</w:t>
      </w:r>
    </w:p>
    <w:p w14:paraId="4955E4EA" w14:textId="77777777" w:rsidR="00394471" w:rsidRPr="00FA0D37" w:rsidRDefault="00394471" w:rsidP="00FA0D37">
      <w:pPr>
        <w:pStyle w:val="PL"/>
        <w:rPr>
          <w:color w:val="808080"/>
        </w:rPr>
      </w:pPr>
      <w:r w:rsidRPr="00FA0D37">
        <w:t xml:space="preserve">    cg-StartingPartialBW-InsideCOT-r16      </w:t>
      </w:r>
      <w:r w:rsidRPr="00FA0D37">
        <w:rPr>
          <w:color w:val="993366"/>
        </w:rPr>
        <w:t>INTEGER</w:t>
      </w:r>
      <w:r w:rsidRPr="00FA0D37">
        <w:t xml:space="preserve"> (0..6)                                       </w:t>
      </w:r>
      <w:r w:rsidRPr="00FA0D37">
        <w:rPr>
          <w:color w:val="993366"/>
        </w:rPr>
        <w:t>OPTIONAL</w:t>
      </w:r>
      <w:r w:rsidRPr="00FA0D37">
        <w:t xml:space="preserve">,   </w:t>
      </w:r>
      <w:r w:rsidRPr="00FA0D37">
        <w:rPr>
          <w:color w:val="808080"/>
        </w:rPr>
        <w:t>-- Need R</w:t>
      </w:r>
    </w:p>
    <w:p w14:paraId="7F3BAEBC" w14:textId="77777777" w:rsidR="00394471" w:rsidRPr="00FA0D37" w:rsidRDefault="00394471" w:rsidP="00FA0D37">
      <w:pPr>
        <w:pStyle w:val="PL"/>
        <w:rPr>
          <w:color w:val="808080"/>
        </w:rPr>
      </w:pPr>
      <w:r w:rsidRPr="00FA0D37">
        <w:t xml:space="preserve">    cg-StartingPartialBW-OutsideCOT-r16     </w:t>
      </w:r>
      <w:r w:rsidRPr="00FA0D37">
        <w:rPr>
          <w:color w:val="993366"/>
        </w:rPr>
        <w:t>INTEGER</w:t>
      </w:r>
      <w:r w:rsidRPr="00FA0D37">
        <w:t xml:space="preserve"> (0..6)                                       </w:t>
      </w:r>
      <w:r w:rsidRPr="00FA0D37">
        <w:rPr>
          <w:color w:val="993366"/>
        </w:rPr>
        <w:t>OPTIONAL</w:t>
      </w:r>
      <w:r w:rsidRPr="00FA0D37">
        <w:t xml:space="preserve">    </w:t>
      </w:r>
      <w:r w:rsidRPr="00FA0D37">
        <w:rPr>
          <w:color w:val="808080"/>
        </w:rPr>
        <w:t>-- Need R</w:t>
      </w:r>
    </w:p>
    <w:p w14:paraId="2FAB584F" w14:textId="77777777" w:rsidR="00394471" w:rsidRPr="00FA0D37" w:rsidRDefault="00394471" w:rsidP="00FA0D37">
      <w:pPr>
        <w:pStyle w:val="PL"/>
      </w:pPr>
      <w:r w:rsidRPr="00FA0D37">
        <w:t>}</w:t>
      </w:r>
    </w:p>
    <w:p w14:paraId="0732121A" w14:textId="77777777" w:rsidR="009322A6" w:rsidRPr="00FA0D37" w:rsidRDefault="009322A6" w:rsidP="00FA0D37">
      <w:pPr>
        <w:pStyle w:val="PL"/>
      </w:pPr>
    </w:p>
    <w:p w14:paraId="26ED23AC" w14:textId="77777777" w:rsidR="009322A6" w:rsidRPr="00FA0D37" w:rsidRDefault="009322A6" w:rsidP="00FA0D37">
      <w:pPr>
        <w:pStyle w:val="PL"/>
      </w:pPr>
      <w:r w:rsidRPr="00FA0D37">
        <w:t xml:space="preserve">BetaOffsetsCrossPriSelCG-r17 ::= </w:t>
      </w:r>
      <w:r w:rsidRPr="00FA0D37">
        <w:rPr>
          <w:color w:val="993366"/>
        </w:rPr>
        <w:t>CHOICE</w:t>
      </w:r>
      <w:r w:rsidRPr="00FA0D37">
        <w:t xml:space="preserve"> {</w:t>
      </w:r>
    </w:p>
    <w:p w14:paraId="727E481C" w14:textId="77777777" w:rsidR="009322A6" w:rsidRPr="00FA0D37" w:rsidRDefault="009322A6" w:rsidP="00FA0D37">
      <w:pPr>
        <w:pStyle w:val="PL"/>
      </w:pPr>
      <w:r w:rsidRPr="00FA0D37">
        <w:t xml:space="preserve">    dynamic-r17         </w:t>
      </w:r>
      <w:r w:rsidRPr="00FA0D37">
        <w:rPr>
          <w:color w:val="993366"/>
        </w:rPr>
        <w:t>SEQUENCE</w:t>
      </w:r>
      <w:r w:rsidRPr="00FA0D37">
        <w:t xml:space="preserve"> (</w:t>
      </w:r>
      <w:r w:rsidRPr="00FA0D37">
        <w:rPr>
          <w:color w:val="993366"/>
        </w:rPr>
        <w:t>SIZE</w:t>
      </w:r>
      <w:r w:rsidRPr="00FA0D37">
        <w:t xml:space="preserve"> (1..4))</w:t>
      </w:r>
      <w:r w:rsidRPr="00FA0D37">
        <w:rPr>
          <w:color w:val="993366"/>
        </w:rPr>
        <w:t xml:space="preserve"> OF</w:t>
      </w:r>
      <w:r w:rsidRPr="00FA0D37">
        <w:t xml:space="preserve"> BetaOffsetsCrossPri-r17,</w:t>
      </w:r>
    </w:p>
    <w:p w14:paraId="71A15713" w14:textId="77777777" w:rsidR="009322A6" w:rsidRPr="00FA0D37" w:rsidRDefault="009322A6" w:rsidP="00FA0D37">
      <w:pPr>
        <w:pStyle w:val="PL"/>
      </w:pPr>
      <w:r w:rsidRPr="00FA0D37">
        <w:lastRenderedPageBreak/>
        <w:t xml:space="preserve">    semiStatic-r17      BetaOffsetsCrossPri-r17</w:t>
      </w:r>
    </w:p>
    <w:p w14:paraId="5B67ABD5" w14:textId="401D50E7" w:rsidR="00394471" w:rsidRPr="00FA0D37" w:rsidRDefault="009322A6" w:rsidP="00FA0D37">
      <w:pPr>
        <w:pStyle w:val="PL"/>
      </w:pPr>
      <w:r w:rsidRPr="00FA0D37">
        <w:t>}</w:t>
      </w:r>
    </w:p>
    <w:p w14:paraId="3FB5825D" w14:textId="7F933B70" w:rsidR="009322A6" w:rsidRPr="00FA0D37" w:rsidRDefault="009322A6" w:rsidP="00FA0D37">
      <w:pPr>
        <w:pStyle w:val="PL"/>
      </w:pPr>
    </w:p>
    <w:p w14:paraId="4309D54D" w14:textId="77777777" w:rsidR="00870415" w:rsidRPr="00FA0D37" w:rsidRDefault="00870415" w:rsidP="00FA0D37">
      <w:pPr>
        <w:pStyle w:val="PL"/>
      </w:pPr>
      <w:r w:rsidRPr="00FA0D37">
        <w:rPr>
          <w:rFonts w:eastAsia="宋体"/>
        </w:rPr>
        <w:t>CG-SDT-Configuration-r17</w:t>
      </w:r>
      <w:r w:rsidRPr="00FA0D37">
        <w:t xml:space="preserve"> ::= </w:t>
      </w:r>
      <w:r w:rsidRPr="00FA0D37">
        <w:rPr>
          <w:color w:val="993366"/>
        </w:rPr>
        <w:t>SEQUENCE</w:t>
      </w:r>
      <w:r w:rsidRPr="00FA0D37">
        <w:t xml:space="preserve"> {</w:t>
      </w:r>
    </w:p>
    <w:p w14:paraId="6B48CB07" w14:textId="5E6242EF" w:rsidR="00870415" w:rsidRPr="00FA0D37" w:rsidRDefault="00870415" w:rsidP="00FA0D37">
      <w:pPr>
        <w:pStyle w:val="PL"/>
        <w:rPr>
          <w:color w:val="808080"/>
        </w:rPr>
      </w:pPr>
      <w:r w:rsidRPr="00FA0D37">
        <w:t xml:space="preserve">    cg-SDT-RetransmissionTimer   </w:t>
      </w:r>
      <w:r w:rsidRPr="00FA0D37">
        <w:rPr>
          <w:color w:val="993366"/>
        </w:rPr>
        <w:t>INTEGER</w:t>
      </w:r>
      <w:r w:rsidRPr="00FA0D37">
        <w:t xml:space="preserve"> (1..64)                                                 </w:t>
      </w:r>
      <w:r w:rsidRPr="00FA0D37">
        <w:rPr>
          <w:color w:val="993366"/>
        </w:rPr>
        <w:t>OPTIONAL</w:t>
      </w:r>
      <w:r w:rsidRPr="00FA0D37">
        <w:t xml:space="preserve">,   </w:t>
      </w:r>
      <w:r w:rsidRPr="00FA0D37">
        <w:rPr>
          <w:color w:val="808080"/>
        </w:rPr>
        <w:t>-- Need R</w:t>
      </w:r>
    </w:p>
    <w:p w14:paraId="62A1C680" w14:textId="293FE5A5" w:rsidR="00870415" w:rsidRPr="00FA0D37" w:rsidRDefault="00870415" w:rsidP="00FA0D37">
      <w:pPr>
        <w:pStyle w:val="PL"/>
        <w:rPr>
          <w:rFonts w:eastAsia="宋体"/>
        </w:rPr>
      </w:pPr>
      <w:r w:rsidRPr="00FA0D37">
        <w:t xml:space="preserve">    </w:t>
      </w:r>
      <w:r w:rsidRPr="00FA0D37">
        <w:rPr>
          <w:rFonts w:eastAsia="宋体"/>
        </w:rPr>
        <w:t>sdt-SSB-Subset-r17</w:t>
      </w:r>
      <w:r w:rsidRPr="00FA0D37">
        <w:t xml:space="preserve">       </w:t>
      </w:r>
      <w:r w:rsidRPr="00FA0D37">
        <w:rPr>
          <w:color w:val="993366"/>
        </w:rPr>
        <w:t>CHOICE</w:t>
      </w:r>
      <w:r w:rsidRPr="00FA0D37">
        <w:rPr>
          <w:rFonts w:eastAsia="宋体"/>
        </w:rPr>
        <w:t xml:space="preserve"> {</w:t>
      </w:r>
    </w:p>
    <w:p w14:paraId="7348F92F" w14:textId="6392601F" w:rsidR="00870415" w:rsidRPr="00FA0D37" w:rsidRDefault="00870415" w:rsidP="00FA0D37">
      <w:pPr>
        <w:pStyle w:val="PL"/>
        <w:rPr>
          <w:rFonts w:eastAsia="宋体"/>
        </w:rPr>
      </w:pPr>
      <w:r w:rsidRPr="00FA0D37">
        <w:t xml:space="preserve">        </w:t>
      </w:r>
      <w:r w:rsidRPr="00FA0D37">
        <w:rPr>
          <w:rFonts w:eastAsia="宋体"/>
        </w:rPr>
        <w:t>shortBitmap-r17</w:t>
      </w:r>
      <w:r w:rsidRPr="00FA0D37">
        <w:t xml:space="preserve">          </w:t>
      </w:r>
      <w:r w:rsidRPr="00FA0D37">
        <w:rPr>
          <w:color w:val="993366"/>
        </w:rPr>
        <w:t>BIT</w:t>
      </w:r>
      <w:r w:rsidRPr="00FA0D37">
        <w:rPr>
          <w:rFonts w:eastAsia="宋体"/>
        </w:rPr>
        <w:t xml:space="preserve"> </w:t>
      </w:r>
      <w:r w:rsidRPr="00FA0D37">
        <w:rPr>
          <w:color w:val="993366"/>
        </w:rPr>
        <w:t>STRING</w:t>
      </w:r>
      <w:r w:rsidRPr="00FA0D37">
        <w:rPr>
          <w:rFonts w:eastAsia="宋体"/>
        </w:rPr>
        <w:t xml:space="preserve"> (</w:t>
      </w:r>
      <w:r w:rsidRPr="00FA0D37">
        <w:rPr>
          <w:color w:val="993366"/>
        </w:rPr>
        <w:t>SIZE</w:t>
      </w:r>
      <w:r w:rsidRPr="00FA0D37">
        <w:rPr>
          <w:rFonts w:eastAsia="宋体"/>
        </w:rPr>
        <w:t xml:space="preserve"> (4)),</w:t>
      </w:r>
    </w:p>
    <w:p w14:paraId="518C745D" w14:textId="6B3606B4" w:rsidR="00870415" w:rsidRPr="00FA0D37" w:rsidRDefault="00870415" w:rsidP="00FA0D37">
      <w:pPr>
        <w:pStyle w:val="PL"/>
        <w:rPr>
          <w:rFonts w:eastAsia="宋体"/>
        </w:rPr>
      </w:pPr>
      <w:r w:rsidRPr="00FA0D37">
        <w:t xml:space="preserve">        </w:t>
      </w:r>
      <w:r w:rsidRPr="00FA0D37">
        <w:rPr>
          <w:rFonts w:eastAsia="宋体"/>
        </w:rPr>
        <w:t>mediumBitmap-r17</w:t>
      </w:r>
      <w:r w:rsidRPr="00FA0D37">
        <w:t xml:space="preserve">         </w:t>
      </w:r>
      <w:r w:rsidRPr="00FA0D37">
        <w:rPr>
          <w:color w:val="993366"/>
        </w:rPr>
        <w:t>BIT</w:t>
      </w:r>
      <w:r w:rsidRPr="00FA0D37">
        <w:rPr>
          <w:rFonts w:eastAsia="宋体"/>
        </w:rPr>
        <w:t xml:space="preserve"> </w:t>
      </w:r>
      <w:r w:rsidRPr="00FA0D37">
        <w:rPr>
          <w:color w:val="993366"/>
        </w:rPr>
        <w:t>STRING</w:t>
      </w:r>
      <w:r w:rsidRPr="00FA0D37">
        <w:rPr>
          <w:rFonts w:eastAsia="宋体"/>
        </w:rPr>
        <w:t xml:space="preserve"> (</w:t>
      </w:r>
      <w:r w:rsidRPr="00FA0D37">
        <w:rPr>
          <w:color w:val="993366"/>
        </w:rPr>
        <w:t>SIZE</w:t>
      </w:r>
      <w:r w:rsidRPr="00FA0D37">
        <w:rPr>
          <w:rFonts w:eastAsia="宋体"/>
        </w:rPr>
        <w:t xml:space="preserve"> (8)),</w:t>
      </w:r>
    </w:p>
    <w:p w14:paraId="1458EA08" w14:textId="51219BA7" w:rsidR="00870415" w:rsidRPr="00FA0D37" w:rsidRDefault="00870415" w:rsidP="00FA0D37">
      <w:pPr>
        <w:pStyle w:val="PL"/>
        <w:rPr>
          <w:rFonts w:eastAsia="宋体"/>
        </w:rPr>
      </w:pPr>
      <w:r w:rsidRPr="00FA0D37">
        <w:t xml:space="preserve">        </w:t>
      </w:r>
      <w:r w:rsidRPr="00FA0D37">
        <w:rPr>
          <w:rFonts w:eastAsia="宋体"/>
        </w:rPr>
        <w:t>longBitmap-r17</w:t>
      </w:r>
      <w:r w:rsidRPr="00FA0D37">
        <w:t xml:space="preserve">           </w:t>
      </w:r>
      <w:r w:rsidRPr="00FA0D37">
        <w:rPr>
          <w:color w:val="993366"/>
        </w:rPr>
        <w:t>BIT</w:t>
      </w:r>
      <w:r w:rsidRPr="00FA0D37">
        <w:rPr>
          <w:rFonts w:eastAsia="宋体"/>
        </w:rPr>
        <w:t xml:space="preserve"> </w:t>
      </w:r>
      <w:r w:rsidRPr="00FA0D37">
        <w:rPr>
          <w:color w:val="993366"/>
        </w:rPr>
        <w:t>STRING</w:t>
      </w:r>
      <w:r w:rsidRPr="00FA0D37">
        <w:rPr>
          <w:rFonts w:eastAsia="宋体"/>
        </w:rPr>
        <w:t xml:space="preserve"> (</w:t>
      </w:r>
      <w:r w:rsidRPr="00FA0D37">
        <w:rPr>
          <w:color w:val="993366"/>
        </w:rPr>
        <w:t>SIZE</w:t>
      </w:r>
      <w:r w:rsidRPr="00FA0D37">
        <w:rPr>
          <w:rFonts w:eastAsia="宋体"/>
        </w:rPr>
        <w:t xml:space="preserve"> (64))</w:t>
      </w:r>
    </w:p>
    <w:p w14:paraId="3216EB01" w14:textId="01EC756D" w:rsidR="00870415" w:rsidRPr="00FA0D37" w:rsidRDefault="00870415" w:rsidP="00FA0D37">
      <w:pPr>
        <w:pStyle w:val="PL"/>
        <w:rPr>
          <w:color w:val="808080"/>
        </w:rPr>
      </w:pPr>
      <w:r w:rsidRPr="00FA0D37">
        <w:t xml:space="preserve">    </w:t>
      </w:r>
      <w:r w:rsidRPr="00FA0D37">
        <w:rPr>
          <w:rFonts w:eastAsia="宋体"/>
        </w:rPr>
        <w:t>}</w:t>
      </w:r>
      <w:r w:rsidRPr="00FA0D37">
        <w:t xml:space="preserve">                                                                                            </w:t>
      </w:r>
      <w:r w:rsidRPr="00FA0D37">
        <w:rPr>
          <w:color w:val="993366"/>
        </w:rPr>
        <w:t>OPTIONAL</w:t>
      </w:r>
      <w:r w:rsidRPr="00FA0D37">
        <w:rPr>
          <w:rFonts w:eastAsia="宋体"/>
        </w:rPr>
        <w:t>,</w:t>
      </w:r>
      <w:r w:rsidRPr="00FA0D37">
        <w:t xml:space="preserve">   </w:t>
      </w:r>
      <w:r w:rsidRPr="00FA0D37">
        <w:rPr>
          <w:color w:val="808080"/>
        </w:rPr>
        <w:t>-- Need S</w:t>
      </w:r>
    </w:p>
    <w:p w14:paraId="344264BF" w14:textId="1E05D412" w:rsidR="00870415" w:rsidRPr="00FA0D37" w:rsidRDefault="00870415" w:rsidP="00FA0D37">
      <w:pPr>
        <w:pStyle w:val="PL"/>
        <w:rPr>
          <w:rFonts w:eastAsia="宋体"/>
          <w:color w:val="808080"/>
        </w:rPr>
      </w:pPr>
      <w:r w:rsidRPr="00FA0D37">
        <w:t xml:space="preserve">    </w:t>
      </w:r>
      <w:r w:rsidRPr="00FA0D37">
        <w:rPr>
          <w:rFonts w:eastAsia="宋体"/>
        </w:rPr>
        <w:t xml:space="preserve">sdt-SSB-PerCG-PUSCH-r17   </w:t>
      </w:r>
      <w:r w:rsidRPr="00FA0D37">
        <w:rPr>
          <w:color w:val="993366"/>
        </w:rPr>
        <w:t>ENUMERATED</w:t>
      </w:r>
      <w:r w:rsidRPr="00FA0D37">
        <w:rPr>
          <w:rFonts w:eastAsia="宋体"/>
        </w:rPr>
        <w:t xml:space="preserve"> {oneEighth, oneFourth, half, one, two, four, eight, sixteen}</w:t>
      </w:r>
      <w:r w:rsidRPr="00FA0D37">
        <w:t xml:space="preserve">  </w:t>
      </w:r>
      <w:r w:rsidRPr="00FA0D37">
        <w:rPr>
          <w:color w:val="993366"/>
        </w:rPr>
        <w:t>OPTIONAL</w:t>
      </w:r>
      <w:r w:rsidRPr="00FA0D37">
        <w:rPr>
          <w:rFonts w:eastAsia="宋体"/>
        </w:rPr>
        <w:t xml:space="preserve">,   </w:t>
      </w:r>
      <w:r w:rsidRPr="00FA0D37">
        <w:rPr>
          <w:color w:val="808080"/>
        </w:rPr>
        <w:t>-- Need M</w:t>
      </w:r>
    </w:p>
    <w:p w14:paraId="721FD5FD" w14:textId="3C9228F8" w:rsidR="00870415" w:rsidRPr="00FA0D37" w:rsidRDefault="00870415" w:rsidP="00FA0D37">
      <w:pPr>
        <w:pStyle w:val="PL"/>
        <w:rPr>
          <w:rFonts w:eastAsia="宋体"/>
          <w:color w:val="808080"/>
        </w:rPr>
      </w:pPr>
      <w:r w:rsidRPr="00FA0D37">
        <w:t xml:space="preserve">    sdt-P</w:t>
      </w:r>
      <w:r w:rsidRPr="00FA0D37">
        <w:rPr>
          <w:rFonts w:eastAsia="宋体"/>
        </w:rPr>
        <w:t>0-PUSCH-r17</w:t>
      </w:r>
      <w:r w:rsidRPr="00FA0D37">
        <w:t xml:space="preserve">         </w:t>
      </w:r>
      <w:r w:rsidRPr="00FA0D37">
        <w:rPr>
          <w:color w:val="993366"/>
        </w:rPr>
        <w:t>INTEGER</w:t>
      </w:r>
      <w:r w:rsidRPr="00FA0D37">
        <w:rPr>
          <w:rFonts w:eastAsia="宋体"/>
        </w:rPr>
        <w:t xml:space="preserve"> (-16..15)</w:t>
      </w:r>
      <w:r w:rsidRPr="00FA0D37">
        <w:t xml:space="preserve">                                                   </w:t>
      </w:r>
      <w:r w:rsidRPr="00FA0D37">
        <w:rPr>
          <w:color w:val="993366"/>
        </w:rPr>
        <w:t>OPTIONAL</w:t>
      </w:r>
      <w:r w:rsidRPr="00FA0D37">
        <w:rPr>
          <w:rFonts w:eastAsia="宋体"/>
        </w:rPr>
        <w:t xml:space="preserve">, </w:t>
      </w:r>
      <w:r w:rsidRPr="00FA0D37">
        <w:rPr>
          <w:color w:val="808080"/>
        </w:rPr>
        <w:t>-- Need M</w:t>
      </w:r>
    </w:p>
    <w:p w14:paraId="4A614C9C" w14:textId="784C732D" w:rsidR="00870415" w:rsidRPr="00FA0D37" w:rsidRDefault="00870415" w:rsidP="00FA0D37">
      <w:pPr>
        <w:pStyle w:val="PL"/>
        <w:rPr>
          <w:color w:val="808080"/>
        </w:rPr>
      </w:pPr>
      <w:r w:rsidRPr="00FA0D37">
        <w:t xml:space="preserve">    sdt-A</w:t>
      </w:r>
      <w:r w:rsidRPr="00FA0D37">
        <w:rPr>
          <w:rFonts w:eastAsia="宋体"/>
        </w:rPr>
        <w:t>lpha-r17</w:t>
      </w:r>
      <w:r w:rsidRPr="00FA0D37">
        <w:t xml:space="preserve">            </w:t>
      </w:r>
      <w:r w:rsidRPr="00FA0D37">
        <w:rPr>
          <w:color w:val="993366"/>
        </w:rPr>
        <w:t>ENUMERATED</w:t>
      </w:r>
      <w:r w:rsidRPr="00FA0D37">
        <w:rPr>
          <w:rFonts w:eastAsia="宋体"/>
        </w:rPr>
        <w:t xml:space="preserve"> {alpha0, alpha04, alpha05, alpha06, alpha07, alpha08, alpha09, alpha1} </w:t>
      </w:r>
      <w:r w:rsidRPr="00FA0D37">
        <w:rPr>
          <w:color w:val="993366"/>
        </w:rPr>
        <w:t>OPTIONAL</w:t>
      </w:r>
      <w:r w:rsidRPr="00FA0D37">
        <w:rPr>
          <w:rFonts w:eastAsia="宋体"/>
        </w:rPr>
        <w:t xml:space="preserve">, </w:t>
      </w:r>
      <w:r w:rsidRPr="00FA0D37">
        <w:rPr>
          <w:color w:val="808080"/>
        </w:rPr>
        <w:t>-- Need M</w:t>
      </w:r>
    </w:p>
    <w:p w14:paraId="11C4E6B3" w14:textId="4977BCE1" w:rsidR="00870415" w:rsidRPr="00FA0D37" w:rsidRDefault="00870415" w:rsidP="00FA0D37">
      <w:pPr>
        <w:pStyle w:val="PL"/>
      </w:pPr>
      <w:r w:rsidRPr="00FA0D37">
        <w:t xml:space="preserve">    sdt-DMRS-Ports-r17       </w:t>
      </w:r>
      <w:r w:rsidRPr="00FA0D37">
        <w:rPr>
          <w:color w:val="993366"/>
        </w:rPr>
        <w:t>CHOICE</w:t>
      </w:r>
      <w:r w:rsidRPr="00FA0D37">
        <w:t xml:space="preserve"> {</w:t>
      </w:r>
    </w:p>
    <w:p w14:paraId="49D31554" w14:textId="54F9BAE7" w:rsidR="00870415" w:rsidRPr="00FA0D37" w:rsidRDefault="00870415" w:rsidP="00FA0D37">
      <w:pPr>
        <w:pStyle w:val="PL"/>
      </w:pPr>
      <w:r w:rsidRPr="00FA0D37">
        <w:t xml:space="preserve">        dmrsType1-r17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41E6091D" w14:textId="5F850282" w:rsidR="00870415" w:rsidRPr="00FA0D37" w:rsidRDefault="00870415" w:rsidP="00FA0D37">
      <w:pPr>
        <w:pStyle w:val="PL"/>
      </w:pPr>
      <w:r w:rsidRPr="00FA0D37">
        <w:t xml:space="preserve">        dmrsType2-r17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w:t>
      </w:r>
    </w:p>
    <w:p w14:paraId="30F86FF5" w14:textId="10367404" w:rsidR="00870415" w:rsidRPr="00FA0D37" w:rsidRDefault="00870415"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45EBDC5A" w14:textId="488A74EE" w:rsidR="00870415" w:rsidRPr="00FA0D37" w:rsidRDefault="00870415" w:rsidP="00FA0D37">
      <w:pPr>
        <w:pStyle w:val="PL"/>
        <w:rPr>
          <w:rFonts w:eastAsia="宋体"/>
          <w:color w:val="808080"/>
        </w:rPr>
      </w:pPr>
      <w:r w:rsidRPr="00FA0D37">
        <w:t xml:space="preserve">    sdt-NrofDMRS-Sequences-r17  </w:t>
      </w:r>
      <w:r w:rsidRPr="00FA0D37">
        <w:rPr>
          <w:color w:val="993366"/>
        </w:rPr>
        <w:t>INTEGER</w:t>
      </w:r>
      <w:r w:rsidRPr="00FA0D37">
        <w:t xml:space="preserve"> (1..2)                                                   </w:t>
      </w:r>
      <w:r w:rsidRPr="00FA0D37">
        <w:rPr>
          <w:color w:val="993366"/>
        </w:rPr>
        <w:t>OPTIONAL</w:t>
      </w:r>
      <w:r w:rsidRPr="00FA0D37">
        <w:t xml:space="preserve">   </w:t>
      </w:r>
      <w:r w:rsidRPr="00FA0D37">
        <w:rPr>
          <w:color w:val="808080"/>
        </w:rPr>
        <w:t>-- Need M</w:t>
      </w:r>
    </w:p>
    <w:p w14:paraId="04713414" w14:textId="77777777" w:rsidR="00870415" w:rsidRPr="00FA0D37" w:rsidRDefault="00870415" w:rsidP="00FA0D37">
      <w:pPr>
        <w:pStyle w:val="PL"/>
      </w:pPr>
      <w:r w:rsidRPr="00FA0D37">
        <w:t>}</w:t>
      </w:r>
    </w:p>
    <w:p w14:paraId="4E5C392A" w14:textId="77777777" w:rsidR="00870415" w:rsidRPr="00FA0D37" w:rsidRDefault="00870415" w:rsidP="00FA0D37">
      <w:pPr>
        <w:pStyle w:val="PL"/>
      </w:pPr>
    </w:p>
    <w:p w14:paraId="3338021E" w14:textId="77777777" w:rsidR="00394471" w:rsidRPr="00FA0D37" w:rsidRDefault="00394471" w:rsidP="00FA0D37">
      <w:pPr>
        <w:pStyle w:val="PL"/>
        <w:rPr>
          <w:color w:val="808080"/>
        </w:rPr>
      </w:pPr>
      <w:r w:rsidRPr="00FA0D37">
        <w:rPr>
          <w:color w:val="808080"/>
        </w:rPr>
        <w:t>-- TAG-CONFIGUREDGRANTCONFIG-STOP</w:t>
      </w:r>
    </w:p>
    <w:p w14:paraId="06B5F66B" w14:textId="77777777" w:rsidR="00394471" w:rsidRPr="00FA0D37" w:rsidRDefault="00394471" w:rsidP="00FA0D37">
      <w:pPr>
        <w:pStyle w:val="PL"/>
        <w:rPr>
          <w:color w:val="808080"/>
        </w:rPr>
      </w:pPr>
      <w:r w:rsidRPr="00FA0D37">
        <w:rPr>
          <w:color w:val="808080"/>
        </w:rPr>
        <w:t>-- ASN1STOP</w:t>
      </w:r>
    </w:p>
    <w:p w14:paraId="0DBB1F3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FA0D37" w:rsidRDefault="00394471" w:rsidP="00964CC4">
            <w:pPr>
              <w:pStyle w:val="TAH"/>
              <w:rPr>
                <w:szCs w:val="22"/>
                <w:lang w:eastAsia="sv-SE"/>
              </w:rPr>
            </w:pPr>
            <w:r w:rsidRPr="00FA0D37">
              <w:rPr>
                <w:i/>
                <w:szCs w:val="22"/>
                <w:lang w:eastAsia="sv-SE"/>
              </w:rPr>
              <w:lastRenderedPageBreak/>
              <w:t xml:space="preserve">ConfiguredGrantConfig </w:t>
            </w:r>
            <w:r w:rsidRPr="00FA0D37">
              <w:rPr>
                <w:szCs w:val="22"/>
                <w:lang w:eastAsia="sv-SE"/>
              </w:rPr>
              <w:t>field descriptions</w:t>
            </w:r>
          </w:p>
        </w:tc>
      </w:tr>
      <w:tr w:rsidR="005C7FF4" w:rsidRPr="00FA0D37"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FA0D37" w:rsidRDefault="00394471" w:rsidP="00964CC4">
            <w:pPr>
              <w:pStyle w:val="TAL"/>
              <w:rPr>
                <w:szCs w:val="22"/>
                <w:lang w:eastAsia="sv-SE"/>
              </w:rPr>
            </w:pPr>
            <w:r w:rsidRPr="00FA0D37">
              <w:rPr>
                <w:b/>
                <w:i/>
                <w:szCs w:val="22"/>
                <w:lang w:eastAsia="sv-SE"/>
              </w:rPr>
              <w:t>antennaPort</w:t>
            </w:r>
          </w:p>
          <w:p w14:paraId="1C254F58" w14:textId="2E43EFA6" w:rsidR="00394471" w:rsidRPr="00FA0D37" w:rsidRDefault="00394471" w:rsidP="00964CC4">
            <w:pPr>
              <w:pStyle w:val="TAL"/>
              <w:rPr>
                <w:szCs w:val="22"/>
                <w:lang w:eastAsia="sv-SE"/>
              </w:rPr>
            </w:pPr>
            <w:r w:rsidRPr="00FA0D37">
              <w:rPr>
                <w:szCs w:val="22"/>
                <w:lang w:eastAsia="sv-SE"/>
              </w:rPr>
              <w:t>Indicates the antenna port(s) to be used for this configuration, and the maximum bitwidth is 5. See TS 38.214 [19], clause 6.1.2, and TS 38.212 [17], clause 7.3.1.</w:t>
            </w:r>
            <w:r w:rsidR="00870415" w:rsidRPr="00FA0D37">
              <w:rPr>
                <w:szCs w:val="22"/>
                <w:lang w:eastAsia="sv-SE"/>
              </w:rPr>
              <w:t xml:space="preserve"> The </w:t>
            </w:r>
            <w:r w:rsidR="00337B3E" w:rsidRPr="00FA0D37">
              <w:rPr>
                <w:szCs w:val="22"/>
                <w:lang w:eastAsia="sv-SE"/>
              </w:rPr>
              <w:t xml:space="preserve">UE ignores this field in case of </w:t>
            </w:r>
            <w:r w:rsidR="00870415" w:rsidRPr="00FA0D37">
              <w:rPr>
                <w:szCs w:val="22"/>
                <w:lang w:eastAsia="sv-SE"/>
              </w:rPr>
              <w:t>CG-SDT.</w:t>
            </w:r>
          </w:p>
        </w:tc>
      </w:tr>
      <w:tr w:rsidR="005C7FF4" w:rsidRPr="00FA0D37"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FA0D37" w:rsidRDefault="00394471" w:rsidP="00964CC4">
            <w:pPr>
              <w:pStyle w:val="TAL"/>
              <w:rPr>
                <w:b/>
                <w:bCs/>
                <w:i/>
                <w:iCs/>
                <w:lang w:eastAsia="sv-SE"/>
              </w:rPr>
            </w:pPr>
            <w:r w:rsidRPr="00FA0D37">
              <w:rPr>
                <w:b/>
                <w:bCs/>
                <w:i/>
                <w:iCs/>
                <w:lang w:eastAsia="sv-SE"/>
              </w:rPr>
              <w:t>autonomousTx</w:t>
            </w:r>
          </w:p>
          <w:p w14:paraId="359EF1D2" w14:textId="77777777" w:rsidR="00394471" w:rsidRPr="00FA0D37" w:rsidRDefault="00394471" w:rsidP="00964CC4">
            <w:pPr>
              <w:pStyle w:val="TAL"/>
              <w:rPr>
                <w:lang w:eastAsia="sv-SE"/>
              </w:rPr>
            </w:pPr>
            <w:r w:rsidRPr="00FA0D37">
              <w:rPr>
                <w:lang w:eastAsia="sv-SE"/>
              </w:rPr>
              <w:t>If this field is present, the Configured Grant configuration is configured with autonomous transmission, see TS 38.321 [3].</w:t>
            </w:r>
          </w:p>
        </w:tc>
      </w:tr>
      <w:tr w:rsidR="005C7FF4" w:rsidRPr="00FA0D37"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FA0D37" w:rsidRDefault="00394471" w:rsidP="00964CC4">
            <w:pPr>
              <w:pStyle w:val="TAL"/>
              <w:rPr>
                <w:b/>
                <w:i/>
                <w:lang w:eastAsia="sv-SE"/>
              </w:rPr>
            </w:pPr>
            <w:r w:rsidRPr="00FA0D37">
              <w:rPr>
                <w:b/>
                <w:i/>
                <w:lang w:eastAsia="sv-SE"/>
              </w:rPr>
              <w:t>betaOffsetCG-UCI</w:t>
            </w:r>
          </w:p>
          <w:p w14:paraId="081028C8" w14:textId="77777777" w:rsidR="00394471" w:rsidRPr="00FA0D37" w:rsidRDefault="00394471" w:rsidP="00964CC4">
            <w:pPr>
              <w:pStyle w:val="TAL"/>
              <w:rPr>
                <w:b/>
                <w:i/>
                <w:szCs w:val="22"/>
                <w:lang w:eastAsia="sv-SE"/>
              </w:rPr>
            </w:pPr>
            <w:r w:rsidRPr="00FA0D37">
              <w:rPr>
                <w:lang w:eastAsia="sv-SE"/>
              </w:rPr>
              <w:t>Beta offset for CG-UCI in CG-PUSCH, see TS 38.213 [13], clause 9.3</w:t>
            </w:r>
          </w:p>
        </w:tc>
      </w:tr>
      <w:tr w:rsidR="005C7FF4" w:rsidRPr="00FA0D37"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FA0D37" w:rsidRDefault="009322A6" w:rsidP="00771058">
            <w:pPr>
              <w:pStyle w:val="TAL"/>
              <w:rPr>
                <w:b/>
                <w:i/>
                <w:lang w:eastAsia="sv-SE"/>
              </w:rPr>
            </w:pPr>
            <w:r w:rsidRPr="00FA0D37">
              <w:rPr>
                <w:b/>
                <w:i/>
                <w:lang w:eastAsia="sv-SE"/>
              </w:rPr>
              <w:t>cg-betaOffsetsCrossPri0, cg-betaOffsetsCrossPri1</w:t>
            </w:r>
          </w:p>
          <w:p w14:paraId="2B3F7CF2" w14:textId="10CF6D23" w:rsidR="009322A6" w:rsidRPr="00FA0D37" w:rsidRDefault="009322A6" w:rsidP="00771058">
            <w:pPr>
              <w:pStyle w:val="TAL"/>
              <w:jc w:val="both"/>
              <w:rPr>
                <w:bCs/>
                <w:iCs/>
                <w:lang w:eastAsia="sv-SE"/>
              </w:rPr>
            </w:pPr>
            <w:r w:rsidRPr="00FA0D37">
              <w:rPr>
                <w:bCs/>
                <w:iCs/>
                <w:lang w:eastAsia="sv-SE"/>
              </w:rPr>
              <w:t>Selection between and configuration of dynamic and semi-static beta-offset for multiplexing HARQ-ACK in CG-PUSCH with different priorities.</w:t>
            </w:r>
          </w:p>
          <w:p w14:paraId="3DA9269B" w14:textId="77777777" w:rsidR="009322A6" w:rsidRPr="00FA0D37" w:rsidRDefault="009322A6" w:rsidP="00771058">
            <w:pPr>
              <w:pStyle w:val="TAL"/>
              <w:jc w:val="both"/>
              <w:rPr>
                <w:bCs/>
                <w:iCs/>
                <w:lang w:eastAsia="sv-SE"/>
              </w:rPr>
            </w:pPr>
            <w:r w:rsidRPr="00FA0D37">
              <w:rPr>
                <w:bCs/>
                <w:iCs/>
                <w:lang w:eastAsia="sv-SE"/>
              </w:rPr>
              <w:t xml:space="preserve">The field </w:t>
            </w:r>
            <w:r w:rsidRPr="00FA0D37">
              <w:rPr>
                <w:bCs/>
                <w:i/>
                <w:lang w:eastAsia="sv-SE"/>
              </w:rPr>
              <w:t xml:space="preserve">cg-betaOffsetsCrossPri0 </w:t>
            </w:r>
            <w:r w:rsidRPr="00FA0D37">
              <w:rPr>
                <w:bCs/>
                <w:iCs/>
                <w:lang w:eastAsia="sv-SE"/>
              </w:rPr>
              <w:t xml:space="preserve">indicates multiplexing LP HARQ-ACK in HP CG-PUSCH. This field is configured only if </w:t>
            </w:r>
            <w:r w:rsidRPr="00FA0D37">
              <w:rPr>
                <w:bCs/>
                <w:i/>
                <w:lang w:eastAsia="sv-SE"/>
              </w:rPr>
              <w:t>phy-PriorityIndex-r16</w:t>
            </w:r>
            <w:r w:rsidRPr="00FA0D37">
              <w:rPr>
                <w:bCs/>
                <w:iCs/>
                <w:lang w:eastAsia="sv-SE"/>
              </w:rPr>
              <w:t xml:space="preserve"> is configured with value </w:t>
            </w:r>
            <w:r w:rsidRPr="00FA0D37">
              <w:rPr>
                <w:bCs/>
                <w:i/>
                <w:lang w:eastAsia="sv-SE"/>
              </w:rPr>
              <w:t>p1</w:t>
            </w:r>
            <w:r w:rsidRPr="00FA0D37">
              <w:rPr>
                <w:bCs/>
                <w:iCs/>
                <w:lang w:eastAsia="sv-SE"/>
              </w:rPr>
              <w:t>.</w:t>
            </w:r>
          </w:p>
          <w:p w14:paraId="1D3AE838" w14:textId="77777777" w:rsidR="009322A6" w:rsidRPr="00FA0D37" w:rsidRDefault="009322A6" w:rsidP="00771058">
            <w:pPr>
              <w:pStyle w:val="TAL"/>
              <w:jc w:val="both"/>
              <w:rPr>
                <w:bCs/>
                <w:iCs/>
                <w:lang w:eastAsia="sv-SE"/>
              </w:rPr>
            </w:pPr>
            <w:r w:rsidRPr="00FA0D37">
              <w:rPr>
                <w:bCs/>
                <w:iCs/>
                <w:lang w:eastAsia="sv-SE"/>
              </w:rPr>
              <w:t xml:space="preserve">The field </w:t>
            </w:r>
            <w:r w:rsidRPr="00FA0D37">
              <w:rPr>
                <w:bCs/>
                <w:i/>
                <w:lang w:eastAsia="sv-SE"/>
              </w:rPr>
              <w:t xml:space="preserve">cg-betaOffsetsCrossPri1 </w:t>
            </w:r>
            <w:r w:rsidRPr="00FA0D37">
              <w:rPr>
                <w:bCs/>
                <w:iCs/>
                <w:lang w:eastAsia="sv-SE"/>
              </w:rPr>
              <w:t xml:space="preserve">indicates multiplexing HP HARQ-ACK in LP CG-PUSCH. This field is configured only if </w:t>
            </w:r>
            <w:r w:rsidRPr="00FA0D37">
              <w:rPr>
                <w:bCs/>
                <w:i/>
                <w:lang w:eastAsia="sv-SE"/>
              </w:rPr>
              <w:t>phy-PriorityIndex-r16</w:t>
            </w:r>
            <w:r w:rsidRPr="00FA0D37">
              <w:rPr>
                <w:bCs/>
                <w:iCs/>
                <w:lang w:eastAsia="sv-SE"/>
              </w:rPr>
              <w:t xml:space="preserve"> is configured with value </w:t>
            </w:r>
            <w:r w:rsidRPr="00FA0D37">
              <w:rPr>
                <w:bCs/>
                <w:i/>
                <w:lang w:eastAsia="sv-SE"/>
              </w:rPr>
              <w:t>p0</w:t>
            </w:r>
            <w:r w:rsidRPr="00FA0D37">
              <w:rPr>
                <w:bCs/>
                <w:iCs/>
                <w:lang w:eastAsia="sv-SE"/>
              </w:rPr>
              <w:t>.</w:t>
            </w:r>
          </w:p>
        </w:tc>
      </w:tr>
      <w:tr w:rsidR="005C7FF4" w:rsidRPr="00FA0D37"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FA0D37" w:rsidRDefault="00394471" w:rsidP="00964CC4">
            <w:pPr>
              <w:pStyle w:val="TAL"/>
              <w:rPr>
                <w:b/>
                <w:i/>
              </w:rPr>
            </w:pPr>
            <w:r w:rsidRPr="00FA0D37">
              <w:rPr>
                <w:b/>
                <w:i/>
              </w:rPr>
              <w:t>cg-COT-SharingList</w:t>
            </w:r>
          </w:p>
          <w:p w14:paraId="27564E9C" w14:textId="22DFC2C8" w:rsidR="00394471" w:rsidRPr="00FA0D37" w:rsidRDefault="00394471" w:rsidP="009322A6">
            <w:pPr>
              <w:pStyle w:val="TAL"/>
              <w:rPr>
                <w:b/>
                <w:i/>
                <w:lang w:eastAsia="sv-SE"/>
              </w:rPr>
            </w:pPr>
            <w:r w:rsidRPr="00FA0D37">
              <w:rPr>
                <w:bCs/>
                <w:iCs/>
              </w:rPr>
              <w:t>Indicates a table for COT sharing combinations (</w:t>
            </w:r>
            <w:r w:rsidRPr="00FA0D37">
              <w:t>see 37.213 [48], clause 4.1.3)</w:t>
            </w:r>
            <w:r w:rsidRPr="00FA0D37">
              <w:rPr>
                <w:bCs/>
                <w:iCs/>
              </w:rPr>
              <w:t xml:space="preserve">. One row of the table can be set to </w:t>
            </w:r>
            <w:r w:rsidRPr="00FA0D37">
              <w:t>noCOT-Sharing to indicate that there is no channel occupancy sharing.</w:t>
            </w:r>
            <w:r w:rsidR="009322A6" w:rsidRPr="00FA0D37">
              <w:rPr>
                <w:lang w:eastAsia="sv-SE"/>
              </w:rPr>
              <w:t xml:space="preserve"> </w:t>
            </w:r>
            <w:r w:rsidR="009322A6" w:rsidRPr="00FA0D37">
              <w:t xml:space="preserve">If the </w:t>
            </w:r>
            <w:r w:rsidR="009322A6" w:rsidRPr="00FA0D37">
              <w:rPr>
                <w:rFonts w:cs="Times"/>
                <w:i/>
                <w:iCs/>
              </w:rPr>
              <w:t>cg-RetransmissionTimer-r16</w:t>
            </w:r>
            <w:r w:rsidR="009322A6" w:rsidRPr="00FA0D37">
              <w:rPr>
                <w:rFonts w:cs="Times"/>
              </w:rPr>
              <w:t xml:space="preserve"> is configured and the UE operates as an initiating device in semi-static channel access mode (see TS 37.213 [48], clause 4.3), then </w:t>
            </w:r>
            <w:r w:rsidR="009322A6" w:rsidRPr="00FA0D37">
              <w:t>c</w:t>
            </w:r>
            <w:r w:rsidR="009322A6" w:rsidRPr="00FA0D37">
              <w:rPr>
                <w:i/>
                <w:iCs/>
              </w:rPr>
              <w:t xml:space="preserve">g-COT-SharingList-r16 </w:t>
            </w:r>
            <w:r w:rsidR="009322A6" w:rsidRPr="00FA0D37">
              <w:t>is configured</w:t>
            </w:r>
            <w:r w:rsidR="009322A6" w:rsidRPr="00FA0D37">
              <w:rPr>
                <w:i/>
                <w:iCs/>
              </w:rPr>
              <w:t>.</w:t>
            </w:r>
          </w:p>
        </w:tc>
      </w:tr>
      <w:tr w:rsidR="005C7FF4" w:rsidRPr="00FA0D37"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FA0D37" w:rsidRDefault="00394471" w:rsidP="00964CC4">
            <w:pPr>
              <w:pStyle w:val="TAL"/>
              <w:rPr>
                <w:b/>
                <w:i/>
                <w:lang w:eastAsia="sv-SE"/>
              </w:rPr>
            </w:pPr>
            <w:r w:rsidRPr="00FA0D37">
              <w:rPr>
                <w:b/>
                <w:i/>
                <w:lang w:eastAsia="sv-SE"/>
              </w:rPr>
              <w:t>cg-COT-SharingOffset</w:t>
            </w:r>
          </w:p>
          <w:p w14:paraId="6282C426" w14:textId="77777777" w:rsidR="00394471" w:rsidRPr="00FA0D37" w:rsidRDefault="00394471" w:rsidP="00964CC4">
            <w:pPr>
              <w:pStyle w:val="TAL"/>
              <w:rPr>
                <w:b/>
                <w:i/>
                <w:szCs w:val="22"/>
                <w:lang w:eastAsia="sv-SE"/>
              </w:rPr>
            </w:pPr>
            <w:r w:rsidRPr="00FA0D37">
              <w:rPr>
                <w:lang w:eastAsia="sv-SE"/>
              </w:rPr>
              <w:t xml:space="preserve">Indicates the </w:t>
            </w:r>
            <w:r w:rsidRPr="00FA0D37">
              <w:t>offset</w:t>
            </w:r>
            <w:r w:rsidRPr="00FA0D37">
              <w:rPr>
                <w:lang w:eastAsia="sv-SE"/>
              </w:rPr>
              <w:t xml:space="preserve"> from the end of the slot where the COT sharing indication in UCI is enabled</w:t>
            </w:r>
            <w:r w:rsidRPr="00FA0D37">
              <w:t xml:space="preserve"> where the offset in symbols is equal to 14*n, where n is the signaled value for </w:t>
            </w:r>
            <w:r w:rsidRPr="00FA0D37">
              <w:rPr>
                <w:bCs/>
                <w:i/>
              </w:rPr>
              <w:t>cg-COT-SharingOffset</w:t>
            </w:r>
            <w:r w:rsidRPr="00FA0D37">
              <w:rPr>
                <w:lang w:eastAsia="sv-SE"/>
              </w:rPr>
              <w:t xml:space="preserve">. Applicable when </w:t>
            </w:r>
            <w:r w:rsidRPr="00FA0D37">
              <w:rPr>
                <w:i/>
                <w:iCs/>
              </w:rPr>
              <w:t>ul-</w:t>
            </w:r>
            <w:r w:rsidRPr="00FA0D37">
              <w:rPr>
                <w:i/>
                <w:iCs/>
                <w:lang w:eastAsia="sv-SE"/>
              </w:rPr>
              <w:t>toDL-COT-SharingED-Threshold-r16</w:t>
            </w:r>
            <w:r w:rsidRPr="00FA0D37">
              <w:rPr>
                <w:lang w:eastAsia="sv-SE"/>
              </w:rPr>
              <w:t xml:space="preserve"> is not configured (see 37.213 [48], clause 4.1.3).</w:t>
            </w:r>
          </w:p>
        </w:tc>
      </w:tr>
      <w:tr w:rsidR="005C7FF4" w:rsidRPr="00FA0D37"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FA0D37" w:rsidRDefault="00394471" w:rsidP="00964CC4">
            <w:pPr>
              <w:pStyle w:val="TAL"/>
              <w:rPr>
                <w:szCs w:val="22"/>
                <w:lang w:eastAsia="sv-SE"/>
              </w:rPr>
            </w:pPr>
            <w:r w:rsidRPr="00FA0D37">
              <w:rPr>
                <w:b/>
                <w:i/>
                <w:szCs w:val="22"/>
                <w:lang w:eastAsia="sv-SE"/>
              </w:rPr>
              <w:t>cg-DMRS-Configuration</w:t>
            </w:r>
          </w:p>
          <w:p w14:paraId="4927D092" w14:textId="77777777" w:rsidR="00394471" w:rsidRPr="00FA0D37" w:rsidRDefault="00394471" w:rsidP="00964CC4">
            <w:pPr>
              <w:pStyle w:val="TAL"/>
              <w:rPr>
                <w:szCs w:val="22"/>
                <w:lang w:eastAsia="sv-SE"/>
              </w:rPr>
            </w:pPr>
            <w:r w:rsidRPr="00FA0D37">
              <w:rPr>
                <w:szCs w:val="22"/>
                <w:lang w:eastAsia="sv-SE"/>
              </w:rPr>
              <w:t>DMRS configuration (see TS 38.214 [19], clause 6.1.2.3).</w:t>
            </w:r>
          </w:p>
        </w:tc>
      </w:tr>
      <w:tr w:rsidR="005C7FF4" w:rsidRPr="00FA0D37"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FA0D37" w:rsidRDefault="00394471" w:rsidP="00964CC4">
            <w:pPr>
              <w:pStyle w:val="TAL"/>
              <w:rPr>
                <w:szCs w:val="22"/>
                <w:lang w:eastAsia="sv-SE"/>
              </w:rPr>
            </w:pPr>
            <w:r w:rsidRPr="00FA0D37">
              <w:rPr>
                <w:rFonts w:cs="Arial"/>
                <w:b/>
                <w:i/>
                <w:szCs w:val="22"/>
                <w:lang w:eastAsia="sv-SE"/>
              </w:rPr>
              <w:t>cg-minDFI-Delay</w:t>
            </w:r>
          </w:p>
          <w:p w14:paraId="0F2B7232" w14:textId="77777777" w:rsidR="00394471" w:rsidRPr="00FA0D37" w:rsidRDefault="00394471" w:rsidP="00964CC4">
            <w:pPr>
              <w:pStyle w:val="TAL"/>
              <w:rPr>
                <w:bCs/>
                <w:iCs/>
              </w:rPr>
            </w:pPr>
            <w:r w:rsidRPr="00FA0D37">
              <w:rPr>
                <w:rFonts w:cs="Arial"/>
                <w:szCs w:val="22"/>
                <w:lang w:eastAsia="sv-SE"/>
              </w:rPr>
              <w:t xml:space="preserve">Indicates the minimum duration (in unit of symbols) from the ending symbol of the PUSCH to the starting symbol of the </w:t>
            </w:r>
            <w:r w:rsidRPr="00FA0D37">
              <w:rPr>
                <w:rFonts w:cs="Arial"/>
                <w:szCs w:val="22"/>
              </w:rPr>
              <w:t>PDCCH containing the downlink feedback indication (</w:t>
            </w:r>
            <w:r w:rsidRPr="00FA0D37">
              <w:rPr>
                <w:rFonts w:cs="Arial"/>
                <w:szCs w:val="22"/>
                <w:lang w:eastAsia="sv-SE"/>
              </w:rPr>
              <w:t xml:space="preserve">DFI) carrying HARQ-ACK for this PUSCH. The HARQ-ACK </w:t>
            </w:r>
            <w:r w:rsidRPr="00FA0D37">
              <w:rPr>
                <w:rFonts w:cs="Arial"/>
                <w:szCs w:val="22"/>
              </w:rPr>
              <w:t xml:space="preserve">received before this minimum duration is not considered as valid for this PUSCH </w:t>
            </w:r>
            <w:r w:rsidRPr="00FA0D37">
              <w:rPr>
                <w:rFonts w:cs="Arial"/>
                <w:szCs w:val="22"/>
                <w:lang w:eastAsia="sv-SE"/>
              </w:rPr>
              <w:t>(see TS 38.213 [13], clause 10.5).</w:t>
            </w:r>
            <w:r w:rsidRPr="00FA0D37">
              <w:rPr>
                <w:bCs/>
                <w:iCs/>
              </w:rPr>
              <w:t xml:space="preserve"> The following minimum duration values are supported, depending on the configured subcarrier spacing [symbols]:</w:t>
            </w:r>
          </w:p>
          <w:p w14:paraId="10C8A5C2" w14:textId="77777777" w:rsidR="00394471" w:rsidRPr="00FA0D37" w:rsidRDefault="00394471" w:rsidP="00964CC4">
            <w:pPr>
              <w:pStyle w:val="TAL"/>
              <w:rPr>
                <w:bCs/>
                <w:iCs/>
              </w:rPr>
            </w:pPr>
            <w:r w:rsidRPr="00FA0D37">
              <w:rPr>
                <w:bCs/>
                <w:iCs/>
              </w:rPr>
              <w:t>15 kHz:</w:t>
            </w:r>
            <w:r w:rsidRPr="00FA0D37">
              <w:rPr>
                <w:bCs/>
                <w:iCs/>
              </w:rPr>
              <w:tab/>
              <w:t>7, m*14, where m = {1, 2, 3, 4}</w:t>
            </w:r>
          </w:p>
          <w:p w14:paraId="7C8BC2CA" w14:textId="77777777" w:rsidR="00394471" w:rsidRPr="00FA0D37" w:rsidRDefault="00394471" w:rsidP="00964CC4">
            <w:pPr>
              <w:pStyle w:val="TAL"/>
              <w:rPr>
                <w:bCs/>
                <w:iCs/>
              </w:rPr>
            </w:pPr>
            <w:r w:rsidRPr="00FA0D37">
              <w:rPr>
                <w:bCs/>
                <w:iCs/>
              </w:rPr>
              <w:t>30 kHz:</w:t>
            </w:r>
            <w:r w:rsidRPr="00FA0D37">
              <w:rPr>
                <w:bCs/>
                <w:iCs/>
              </w:rPr>
              <w:tab/>
              <w:t>7, m*14, where m = {1, 2, 3, 4, 5, 6, 7, 8}</w:t>
            </w:r>
          </w:p>
          <w:p w14:paraId="7C3E2504" w14:textId="77777777" w:rsidR="00287CE6" w:rsidRPr="00FA0D37" w:rsidRDefault="00394471" w:rsidP="00287CE6">
            <w:pPr>
              <w:pStyle w:val="TAL"/>
              <w:rPr>
                <w:bCs/>
                <w:iCs/>
              </w:rPr>
            </w:pPr>
            <w:r w:rsidRPr="00FA0D37">
              <w:rPr>
                <w:bCs/>
                <w:iCs/>
              </w:rPr>
              <w:t>60 kHz:</w:t>
            </w:r>
            <w:r w:rsidRPr="00FA0D37">
              <w:rPr>
                <w:bCs/>
                <w:iCs/>
              </w:rPr>
              <w:tab/>
              <w:t>7, m*14, where m = {1, 2, 3, 4, 5, 6, 7, 8, 9, 10, 11, 12, 13, 14, 15, 16}</w:t>
            </w:r>
          </w:p>
          <w:p w14:paraId="771F12BF" w14:textId="084316BD" w:rsidR="00287CE6" w:rsidRPr="00FA0D37" w:rsidRDefault="00287CE6" w:rsidP="00287CE6">
            <w:pPr>
              <w:pStyle w:val="TAL"/>
              <w:rPr>
                <w:bCs/>
                <w:iCs/>
                <w:szCs w:val="22"/>
                <w:lang w:eastAsia="sv-SE"/>
              </w:rPr>
            </w:pPr>
            <w:r w:rsidRPr="00FA0D37">
              <w:rPr>
                <w:bCs/>
                <w:iCs/>
                <w:szCs w:val="22"/>
                <w:lang w:eastAsia="sv-SE"/>
              </w:rPr>
              <w:t>120 kHz:</w:t>
            </w:r>
            <w:r w:rsidRPr="00FA0D37">
              <w:rPr>
                <w:bCs/>
                <w:iCs/>
              </w:rPr>
              <w:tab/>
            </w:r>
            <w:r w:rsidRPr="00FA0D37">
              <w:rPr>
                <w:bCs/>
                <w:iCs/>
                <w:szCs w:val="22"/>
                <w:lang w:eastAsia="sv-SE"/>
              </w:rPr>
              <w:t>7, m*14, where m = {1, 2, 3, 4, 5, 6, 7, 8, 9, 10, 11, 12, 13, 14, 15, 16, 17, 18, 19, 20, 21, 22, 23, 24, 25, 26, 27, 28, 29, 30, 31, 32}</w:t>
            </w:r>
          </w:p>
          <w:p w14:paraId="7E1F12CF" w14:textId="1AE531C6" w:rsidR="00287CE6" w:rsidRPr="00FA0D37" w:rsidRDefault="00287CE6" w:rsidP="00287CE6">
            <w:pPr>
              <w:pStyle w:val="TAL"/>
              <w:rPr>
                <w:bCs/>
                <w:iCs/>
                <w:szCs w:val="22"/>
                <w:lang w:eastAsia="sv-SE"/>
              </w:rPr>
            </w:pPr>
            <w:r w:rsidRPr="00FA0D37">
              <w:rPr>
                <w:bCs/>
                <w:iCs/>
                <w:szCs w:val="22"/>
                <w:lang w:eastAsia="sv-SE"/>
              </w:rPr>
              <w:t>480 kHz:</w:t>
            </w:r>
            <w:r w:rsidRPr="00FA0D37">
              <w:rPr>
                <w:bCs/>
                <w:iCs/>
              </w:rPr>
              <w:tab/>
            </w:r>
            <w:r w:rsidRPr="00FA0D37">
              <w:rPr>
                <w:bCs/>
                <w:iCs/>
                <w:szCs w:val="22"/>
                <w:lang w:eastAsia="sv-SE"/>
              </w:rPr>
              <w:t>m*14, where m = {2, 4, 8, 12, 16, 20, 24, 28, 32, 36, 40, 44, 48, 52, 56, 60, 64, 68, 72, 76, 80, 84, 88, 92, 96, 100, 104, 108, 112, 116, 120, 124, 128}</w:t>
            </w:r>
          </w:p>
          <w:p w14:paraId="18BCABE2" w14:textId="65B32822" w:rsidR="00394471" w:rsidRPr="00FA0D37" w:rsidRDefault="00287CE6" w:rsidP="00964CC4">
            <w:pPr>
              <w:pStyle w:val="TAL"/>
              <w:rPr>
                <w:bCs/>
                <w:iCs/>
                <w:szCs w:val="22"/>
                <w:lang w:eastAsia="sv-SE"/>
              </w:rPr>
            </w:pPr>
            <w:r w:rsidRPr="00FA0D37">
              <w:rPr>
                <w:bCs/>
                <w:iCs/>
                <w:szCs w:val="22"/>
                <w:lang w:eastAsia="sv-SE"/>
              </w:rPr>
              <w:t>960 kHz:</w:t>
            </w:r>
            <w:r w:rsidRPr="00FA0D37">
              <w:rPr>
                <w:bCs/>
                <w:iCs/>
              </w:rPr>
              <w:tab/>
            </w:r>
            <w:r w:rsidRPr="00FA0D37">
              <w:rPr>
                <w:bCs/>
                <w:iCs/>
                <w:szCs w:val="22"/>
                <w:lang w:eastAsia="sv-SE"/>
              </w:rPr>
              <w:t>m*14, where m = {4, 8, 16, 24, 32, 40, 48, 56, 64, 72, 80, 88, 96, 104, 112, 120, 128, 136, 144, 152, 160, 168, 176, 184, 192, 200, 208, 216, 224, 232, 240, 248, 256}</w:t>
            </w:r>
          </w:p>
        </w:tc>
      </w:tr>
      <w:tr w:rsidR="005C7FF4" w:rsidRPr="00FA0D37"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FA0D37" w:rsidRDefault="00394471" w:rsidP="00964CC4">
            <w:pPr>
              <w:pStyle w:val="TAL"/>
              <w:rPr>
                <w:szCs w:val="22"/>
                <w:lang w:eastAsia="sv-SE"/>
              </w:rPr>
            </w:pPr>
            <w:r w:rsidRPr="00FA0D37">
              <w:rPr>
                <w:rFonts w:cs="Arial"/>
                <w:b/>
                <w:i/>
                <w:szCs w:val="22"/>
                <w:lang w:eastAsia="sv-SE"/>
              </w:rPr>
              <w:t>cg-nrofPUSCH-InSlot</w:t>
            </w:r>
          </w:p>
          <w:p w14:paraId="54C5C434" w14:textId="475EFF1F" w:rsidR="00394471" w:rsidRPr="00FA0D37" w:rsidRDefault="00394471" w:rsidP="00964CC4">
            <w:pPr>
              <w:pStyle w:val="TAL"/>
              <w:rPr>
                <w:b/>
                <w:i/>
                <w:szCs w:val="22"/>
                <w:lang w:eastAsia="sv-SE"/>
              </w:rPr>
            </w:pPr>
            <w:r w:rsidRPr="00FA0D37">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FA0D37">
              <w:rPr>
                <w:rFonts w:cs="Arial"/>
                <w:szCs w:val="22"/>
                <w:lang w:eastAsia="sv-SE"/>
              </w:rPr>
              <w:t xml:space="preserve"> The network can only configure this field if </w:t>
            </w:r>
            <w:r w:rsidR="000056EE" w:rsidRPr="00FA0D37">
              <w:rPr>
                <w:rFonts w:cs="Arial"/>
                <w:i/>
                <w:iCs/>
                <w:szCs w:val="22"/>
                <w:lang w:eastAsia="sv-SE"/>
              </w:rPr>
              <w:t xml:space="preserve">cg-RetransmissionTimer </w:t>
            </w:r>
            <w:r w:rsidR="000056EE" w:rsidRPr="00FA0D37">
              <w:rPr>
                <w:rFonts w:cs="Arial"/>
                <w:szCs w:val="22"/>
                <w:lang w:eastAsia="sv-SE"/>
              </w:rPr>
              <w:t>is configured.</w:t>
            </w:r>
          </w:p>
        </w:tc>
      </w:tr>
      <w:tr w:rsidR="005C7FF4" w:rsidRPr="00FA0D37"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FA0D37" w:rsidRDefault="00394471" w:rsidP="00964CC4">
            <w:pPr>
              <w:pStyle w:val="TAL"/>
              <w:rPr>
                <w:szCs w:val="22"/>
                <w:lang w:eastAsia="sv-SE"/>
              </w:rPr>
            </w:pPr>
            <w:r w:rsidRPr="00FA0D37">
              <w:rPr>
                <w:rFonts w:cs="Arial"/>
                <w:b/>
                <w:i/>
                <w:szCs w:val="22"/>
                <w:lang w:eastAsia="sv-SE"/>
              </w:rPr>
              <w:t>cg-nrofSlots</w:t>
            </w:r>
          </w:p>
          <w:p w14:paraId="10883546" w14:textId="2CF35C82" w:rsidR="00394471" w:rsidRPr="00FA0D37" w:rsidRDefault="00394471" w:rsidP="00964CC4">
            <w:pPr>
              <w:pStyle w:val="TAL"/>
              <w:rPr>
                <w:b/>
                <w:i/>
                <w:szCs w:val="22"/>
                <w:lang w:eastAsia="sv-SE"/>
              </w:rPr>
            </w:pPr>
            <w:r w:rsidRPr="00FA0D37">
              <w:rPr>
                <w:rFonts w:cs="Arial"/>
                <w:szCs w:val="22"/>
                <w:lang w:eastAsia="sv-SE"/>
              </w:rPr>
              <w:t>Indicates the number of allocated slots in a configured grant periodicity following the time instance of configured grant offset (see TS 38.214 [19], clause 6.1.2.3).</w:t>
            </w:r>
            <w:r w:rsidR="000056EE" w:rsidRPr="00FA0D37">
              <w:rPr>
                <w:rFonts w:cs="Arial"/>
                <w:szCs w:val="22"/>
                <w:lang w:eastAsia="sv-SE"/>
              </w:rPr>
              <w:t xml:space="preserve"> </w:t>
            </w:r>
            <w:r w:rsidR="001B0D59" w:rsidRPr="00FA0D37">
              <w:rPr>
                <w:i/>
                <w:iCs/>
              </w:rPr>
              <w:t>cg-nrofSlots-r1</w:t>
            </w:r>
            <w:r w:rsidR="001B0D59" w:rsidRPr="00FA0D37">
              <w:rPr>
                <w:rFonts w:eastAsia="宋体"/>
                <w:i/>
                <w:iCs/>
                <w:lang w:eastAsia="zh-CN"/>
              </w:rPr>
              <w:t>7</w:t>
            </w:r>
            <w:r w:rsidR="001B0D59" w:rsidRPr="00FA0D37">
              <w:rPr>
                <w:rFonts w:eastAsia="宋体"/>
                <w:lang w:eastAsia="zh-CN"/>
              </w:rPr>
              <w:t xml:space="preserve"> is only applicable for operation with shared spectrum channel access in FR2-2. </w:t>
            </w:r>
            <w:r w:rsidR="001B0D59" w:rsidRPr="00FA0D37">
              <w:rPr>
                <w:rFonts w:eastAsia="宋体" w:cs="Arial"/>
                <w:szCs w:val="22"/>
                <w:lang w:eastAsia="zh-CN"/>
              </w:rPr>
              <w:t xml:space="preserve">When </w:t>
            </w:r>
            <w:r w:rsidR="001B0D59" w:rsidRPr="00FA0D37">
              <w:rPr>
                <w:i/>
                <w:iCs/>
              </w:rPr>
              <w:t>cg-nrofSlots-r1</w:t>
            </w:r>
            <w:r w:rsidR="001B0D59" w:rsidRPr="00FA0D37">
              <w:rPr>
                <w:rFonts w:eastAsia="宋体"/>
                <w:i/>
                <w:iCs/>
                <w:lang w:eastAsia="zh-CN"/>
              </w:rPr>
              <w:t>7</w:t>
            </w:r>
            <w:r w:rsidR="001B0D59" w:rsidRPr="00FA0D37">
              <w:rPr>
                <w:rFonts w:eastAsia="宋体"/>
                <w:lang w:eastAsia="zh-CN"/>
              </w:rPr>
              <w:t xml:space="preserve"> is configured, the UE shall ignore </w:t>
            </w:r>
            <w:r w:rsidR="001B0D59" w:rsidRPr="00FA0D37">
              <w:rPr>
                <w:i/>
                <w:iCs/>
              </w:rPr>
              <w:t>cg-nrofSlots-r1</w:t>
            </w:r>
            <w:r w:rsidR="001B0D59" w:rsidRPr="00FA0D37">
              <w:rPr>
                <w:rFonts w:eastAsia="宋体"/>
                <w:i/>
                <w:iCs/>
                <w:lang w:eastAsia="zh-CN"/>
              </w:rPr>
              <w:t>6</w:t>
            </w:r>
            <w:r w:rsidR="001B0D59" w:rsidRPr="00FA0D37">
              <w:rPr>
                <w:rFonts w:eastAsia="宋体"/>
                <w:lang w:eastAsia="zh-CN"/>
              </w:rPr>
              <w:t xml:space="preserve">. </w:t>
            </w:r>
            <w:r w:rsidR="000056EE" w:rsidRPr="00FA0D37">
              <w:rPr>
                <w:rFonts w:cs="Arial"/>
                <w:szCs w:val="22"/>
                <w:lang w:eastAsia="sv-SE"/>
              </w:rPr>
              <w:t xml:space="preserve">The network can only configure this field if </w:t>
            </w:r>
            <w:r w:rsidR="000056EE" w:rsidRPr="00FA0D37">
              <w:rPr>
                <w:rFonts w:cs="Arial"/>
                <w:i/>
                <w:iCs/>
                <w:szCs w:val="22"/>
                <w:lang w:eastAsia="sv-SE"/>
              </w:rPr>
              <w:t xml:space="preserve">cg-RetransmissionTimer </w:t>
            </w:r>
            <w:r w:rsidR="000056EE" w:rsidRPr="00FA0D37">
              <w:rPr>
                <w:rFonts w:cs="Arial"/>
                <w:szCs w:val="22"/>
                <w:lang w:eastAsia="sv-SE"/>
              </w:rPr>
              <w:t>is configured.</w:t>
            </w:r>
          </w:p>
        </w:tc>
      </w:tr>
      <w:tr w:rsidR="005C7FF4" w:rsidRPr="00FA0D37"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FA0D37" w:rsidRDefault="00394471" w:rsidP="00964CC4">
            <w:pPr>
              <w:pStyle w:val="TAL"/>
              <w:rPr>
                <w:szCs w:val="22"/>
                <w:lang w:eastAsia="sv-SE"/>
              </w:rPr>
            </w:pPr>
            <w:r w:rsidRPr="00FA0D37">
              <w:rPr>
                <w:rFonts w:cs="Arial"/>
                <w:b/>
                <w:i/>
                <w:szCs w:val="22"/>
                <w:lang w:eastAsia="sv-SE"/>
              </w:rPr>
              <w:t>cg-RetransmissionTimer</w:t>
            </w:r>
          </w:p>
          <w:p w14:paraId="4F2BDFE2" w14:textId="5387BF6D" w:rsidR="00394471" w:rsidRPr="00FA0D37" w:rsidRDefault="00394471" w:rsidP="00964CC4">
            <w:pPr>
              <w:pStyle w:val="TAL"/>
              <w:rPr>
                <w:b/>
                <w:i/>
                <w:szCs w:val="22"/>
                <w:lang w:eastAsia="sv-SE"/>
              </w:rPr>
            </w:pPr>
            <w:r w:rsidRPr="00FA0D37">
              <w:rPr>
                <w:rFonts w:cs="Arial"/>
                <w:szCs w:val="22"/>
                <w:lang w:eastAsia="sv-SE"/>
              </w:rPr>
              <w:t xml:space="preserve">Indicates the initial value of the configured retransmission timer (see TS 38.321 [3]) in multiples of </w:t>
            </w:r>
            <w:r w:rsidRPr="00FA0D37">
              <w:rPr>
                <w:rFonts w:cs="Arial"/>
                <w:i/>
                <w:szCs w:val="22"/>
                <w:lang w:eastAsia="sv-SE"/>
              </w:rPr>
              <w:t>periodicity</w:t>
            </w:r>
            <w:r w:rsidRPr="00FA0D37">
              <w:rPr>
                <w:rFonts w:cs="Arial"/>
                <w:szCs w:val="22"/>
                <w:lang w:eastAsia="sv-SE"/>
              </w:rPr>
              <w:t xml:space="preserve">. The value of </w:t>
            </w:r>
            <w:r w:rsidRPr="00FA0D37">
              <w:rPr>
                <w:rFonts w:cs="Arial"/>
                <w:i/>
                <w:szCs w:val="22"/>
                <w:lang w:eastAsia="sv-SE"/>
              </w:rPr>
              <w:t>cg-RetransmissionTimer</w:t>
            </w:r>
            <w:r w:rsidRPr="00FA0D37">
              <w:rPr>
                <w:rFonts w:cs="Arial"/>
                <w:szCs w:val="22"/>
                <w:lang w:eastAsia="sv-SE"/>
              </w:rPr>
              <w:t xml:space="preserve"> is always less than or equal to the value of </w:t>
            </w:r>
            <w:r w:rsidRPr="00FA0D37">
              <w:rPr>
                <w:rFonts w:cs="Arial"/>
                <w:i/>
                <w:szCs w:val="22"/>
                <w:lang w:eastAsia="sv-SE"/>
              </w:rPr>
              <w:t>configuredGrantTimer.</w:t>
            </w:r>
            <w:r w:rsidRPr="00FA0D37">
              <w:rPr>
                <w:rFonts w:cs="Arial"/>
                <w:szCs w:val="22"/>
                <w:lang w:eastAsia="sv-SE"/>
              </w:rPr>
              <w:t xml:space="preserve"> This </w:t>
            </w:r>
            <w:r w:rsidRPr="00FA0D37">
              <w:rPr>
                <w:rFonts w:cs="Arial"/>
                <w:szCs w:val="22"/>
              </w:rPr>
              <w:t>field</w:t>
            </w:r>
            <w:r w:rsidRPr="00FA0D37">
              <w:rPr>
                <w:rFonts w:cs="Arial"/>
                <w:szCs w:val="22"/>
                <w:lang w:eastAsia="sv-SE"/>
              </w:rPr>
              <w:t xml:space="preserve"> is always configured </w:t>
            </w:r>
            <w:r w:rsidRPr="00FA0D37">
              <w:rPr>
                <w:rFonts w:cs="Arial"/>
                <w:szCs w:val="22"/>
              </w:rPr>
              <w:t xml:space="preserve">together with </w:t>
            </w:r>
            <w:r w:rsidRPr="00FA0D37">
              <w:rPr>
                <w:i/>
                <w:iCs/>
              </w:rPr>
              <w:t>harq-ProcID-Offset</w:t>
            </w:r>
            <w:r w:rsidRPr="00FA0D37">
              <w:rPr>
                <w:rFonts w:cs="Arial"/>
                <w:szCs w:val="22"/>
                <w:lang w:eastAsia="sv-SE"/>
              </w:rPr>
              <w:t>.</w:t>
            </w:r>
            <w:r w:rsidRPr="00FA0D37">
              <w:t xml:space="preserve"> This field is not configured for operation in licensed spectrum or simultaneously with </w:t>
            </w:r>
            <w:r w:rsidRPr="00FA0D37">
              <w:rPr>
                <w:i/>
                <w:iCs/>
              </w:rPr>
              <w:t>harq-ProcID-Offset2.</w:t>
            </w:r>
            <w:r w:rsidR="00D127B2" w:rsidRPr="00FA0D37">
              <w:rPr>
                <w:i/>
                <w:iCs/>
              </w:rPr>
              <w:t xml:space="preserve"> </w:t>
            </w:r>
            <w:r w:rsidR="00D127B2" w:rsidRPr="00FA0D37">
              <w:rPr>
                <w:iCs/>
                <w:szCs w:val="22"/>
                <w:lang w:eastAsia="sv-SE"/>
              </w:rPr>
              <w:t>The network does not configure this field for CG-SDT.</w:t>
            </w:r>
          </w:p>
        </w:tc>
      </w:tr>
      <w:tr w:rsidR="005C7FF4" w:rsidRPr="00FA0D37"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FA0D37" w:rsidRDefault="009322A6" w:rsidP="00771058">
            <w:pPr>
              <w:pStyle w:val="TAL"/>
              <w:rPr>
                <w:rFonts w:cs="Arial"/>
                <w:b/>
                <w:i/>
                <w:szCs w:val="22"/>
                <w:lang w:eastAsia="sv-SE"/>
              </w:rPr>
            </w:pPr>
            <w:r w:rsidRPr="00FA0D37">
              <w:rPr>
                <w:rFonts w:cs="Arial"/>
                <w:b/>
                <w:i/>
                <w:szCs w:val="22"/>
                <w:lang w:eastAsia="sv-SE"/>
              </w:rPr>
              <w:lastRenderedPageBreak/>
              <w:t>cg-StartingOffsets</w:t>
            </w:r>
          </w:p>
          <w:p w14:paraId="189CD90E" w14:textId="02618685" w:rsidR="009322A6" w:rsidRPr="00FA0D37" w:rsidRDefault="009322A6" w:rsidP="00771058">
            <w:pPr>
              <w:pStyle w:val="TAL"/>
              <w:rPr>
                <w:rFonts w:cs="Arial"/>
                <w:b/>
                <w:i/>
                <w:szCs w:val="22"/>
                <w:lang w:eastAsia="sv-SE"/>
              </w:rPr>
            </w:pPr>
            <w:r w:rsidRPr="00FA0D37">
              <w:rPr>
                <w:rFonts w:cs="Arial"/>
                <w:bCs/>
                <w:iCs/>
                <w:szCs w:val="22"/>
                <w:lang w:eastAsia="sv-SE"/>
              </w:rPr>
              <w:t xml:space="preserve">This field is not applicable for a UE which is allowed to operate as an initiating device in semi-static channel access mode, i.e., not applicable </w:t>
            </w:r>
            <w:r w:rsidRPr="00FA0D37">
              <w:rPr>
                <w:rFonts w:cs="Times"/>
              </w:rPr>
              <w:t>for a UE configured with UE FFP parameters (e.g. period, offset) regardless whether the UE would initiate its own COT or would share gNB</w:t>
            </w:r>
            <w:r w:rsidR="00D537E2" w:rsidRPr="00FA0D37">
              <w:rPr>
                <w:rFonts w:cs="Times"/>
              </w:rPr>
              <w:t>'</w:t>
            </w:r>
            <w:r w:rsidRPr="00FA0D37">
              <w:rPr>
                <w:rFonts w:cs="Times"/>
              </w:rPr>
              <w:t>s COT</w:t>
            </w:r>
            <w:r w:rsidRPr="00FA0D37">
              <w:rPr>
                <w:rFonts w:cs="Arial"/>
                <w:bCs/>
                <w:iCs/>
                <w:szCs w:val="22"/>
                <w:lang w:eastAsia="sv-SE"/>
              </w:rPr>
              <w:t>.</w:t>
            </w:r>
          </w:p>
        </w:tc>
      </w:tr>
      <w:tr w:rsidR="005C7FF4" w:rsidRPr="00FA0D37"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FA0D37" w:rsidRDefault="00394471" w:rsidP="00964CC4">
            <w:pPr>
              <w:pStyle w:val="TAL"/>
              <w:rPr>
                <w:szCs w:val="22"/>
                <w:lang w:eastAsia="sv-SE"/>
              </w:rPr>
            </w:pPr>
            <w:r w:rsidRPr="00FA0D37">
              <w:rPr>
                <w:rFonts w:cs="Arial"/>
                <w:b/>
                <w:i/>
                <w:szCs w:val="22"/>
                <w:lang w:eastAsia="sv-SE"/>
              </w:rPr>
              <w:t>cg-UCI-Multiplexing</w:t>
            </w:r>
          </w:p>
          <w:p w14:paraId="0483092D" w14:textId="78AF00CE" w:rsidR="00394471" w:rsidRPr="00FA0D37" w:rsidRDefault="00261BA1" w:rsidP="00964CC4">
            <w:pPr>
              <w:pStyle w:val="TAL"/>
              <w:rPr>
                <w:b/>
                <w:i/>
                <w:szCs w:val="22"/>
                <w:lang w:eastAsia="sv-SE"/>
              </w:rPr>
            </w:pPr>
            <w:r w:rsidRPr="00FA0D37">
              <w:rPr>
                <w:rFonts w:cs="Arial"/>
                <w:szCs w:val="22"/>
                <w:lang w:eastAsia="sv-SE"/>
              </w:rPr>
              <w:t xml:space="preserve">If present, this field indicates that </w:t>
            </w:r>
            <w:r w:rsidR="00394471" w:rsidRPr="00FA0D37">
              <w:rPr>
                <w:rFonts w:cs="Arial"/>
                <w:szCs w:val="22"/>
                <w:lang w:eastAsia="sv-SE"/>
              </w:rPr>
              <w:t>in the case of PUCCH overlapping with CG-PUSCH(s) within a PUCCH group, the CG-UCI and HARQ-ACK are jointly encoded (</w:t>
            </w:r>
            <w:r w:rsidRPr="00FA0D37">
              <w:rPr>
                <w:rFonts w:cs="Arial"/>
                <w:szCs w:val="22"/>
                <w:lang w:eastAsia="sv-SE"/>
              </w:rPr>
              <w:t xml:space="preserve">see </w:t>
            </w:r>
            <w:r w:rsidRPr="00FA0D37">
              <w:rPr>
                <w:lang w:eastAsia="sv-SE"/>
              </w:rPr>
              <w:t>TS 38.213 [13], clause 9</w:t>
            </w:r>
            <w:r w:rsidR="00394471" w:rsidRPr="00FA0D37">
              <w:rPr>
                <w:rFonts w:cs="Arial"/>
                <w:szCs w:val="22"/>
                <w:lang w:eastAsia="sv-SE"/>
              </w:rPr>
              <w:t>).</w:t>
            </w:r>
          </w:p>
        </w:tc>
      </w:tr>
      <w:tr w:rsidR="005C7FF4" w:rsidRPr="00FA0D37"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FA0D37" w:rsidRDefault="00394471" w:rsidP="00964CC4">
            <w:pPr>
              <w:pStyle w:val="TAL"/>
              <w:rPr>
                <w:b/>
                <w:i/>
                <w:szCs w:val="22"/>
                <w:lang w:eastAsia="sv-SE"/>
              </w:rPr>
            </w:pPr>
            <w:r w:rsidRPr="00FA0D37">
              <w:rPr>
                <w:b/>
                <w:i/>
                <w:szCs w:val="22"/>
                <w:lang w:eastAsia="sv-SE"/>
              </w:rPr>
              <w:t>configuredGrantConfigIndex</w:t>
            </w:r>
          </w:p>
          <w:p w14:paraId="5D9C52CC" w14:textId="77777777" w:rsidR="00394471" w:rsidRPr="00FA0D37" w:rsidRDefault="00394471" w:rsidP="00964CC4">
            <w:pPr>
              <w:pStyle w:val="TAL"/>
              <w:rPr>
                <w:b/>
                <w:i/>
                <w:szCs w:val="22"/>
                <w:lang w:eastAsia="sv-SE"/>
              </w:rPr>
            </w:pPr>
            <w:r w:rsidRPr="00FA0D37">
              <w:rPr>
                <w:szCs w:val="22"/>
                <w:lang w:eastAsia="sv-SE"/>
              </w:rPr>
              <w:t>Indicates the index of the Configured Grant configurations within the BWP.</w:t>
            </w:r>
          </w:p>
        </w:tc>
      </w:tr>
      <w:tr w:rsidR="005C7FF4" w:rsidRPr="00FA0D37"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FA0D37" w:rsidRDefault="00394471" w:rsidP="00964CC4">
            <w:pPr>
              <w:pStyle w:val="TAL"/>
              <w:rPr>
                <w:b/>
                <w:i/>
                <w:szCs w:val="22"/>
                <w:lang w:eastAsia="sv-SE"/>
              </w:rPr>
            </w:pPr>
            <w:r w:rsidRPr="00FA0D37">
              <w:rPr>
                <w:b/>
                <w:i/>
                <w:szCs w:val="22"/>
                <w:lang w:eastAsia="sv-SE"/>
              </w:rPr>
              <w:t>configuredGrantConfigIndexMAC</w:t>
            </w:r>
          </w:p>
          <w:p w14:paraId="6732CAF4" w14:textId="77777777" w:rsidR="00394471" w:rsidRPr="00FA0D37" w:rsidRDefault="00394471" w:rsidP="00964CC4">
            <w:pPr>
              <w:pStyle w:val="TAL"/>
              <w:rPr>
                <w:b/>
                <w:i/>
                <w:szCs w:val="22"/>
                <w:lang w:eastAsia="sv-SE"/>
              </w:rPr>
            </w:pPr>
            <w:r w:rsidRPr="00FA0D37">
              <w:rPr>
                <w:szCs w:val="22"/>
                <w:lang w:eastAsia="sv-SE"/>
              </w:rPr>
              <w:t>Indicates the index of the Configured Grant configurations within the MAC entity.</w:t>
            </w:r>
          </w:p>
        </w:tc>
      </w:tr>
      <w:tr w:rsidR="005C7FF4" w:rsidRPr="00FA0D37"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FA0D37" w:rsidRDefault="00394471" w:rsidP="00964CC4">
            <w:pPr>
              <w:pStyle w:val="TAL"/>
              <w:rPr>
                <w:szCs w:val="22"/>
                <w:lang w:eastAsia="sv-SE"/>
              </w:rPr>
            </w:pPr>
            <w:r w:rsidRPr="00FA0D37">
              <w:rPr>
                <w:b/>
                <w:i/>
                <w:szCs w:val="22"/>
                <w:lang w:eastAsia="sv-SE"/>
              </w:rPr>
              <w:t>configuredGrantTimer</w:t>
            </w:r>
          </w:p>
          <w:p w14:paraId="252A6BD4" w14:textId="7B4E640F" w:rsidR="00394471" w:rsidRPr="00FA0D37" w:rsidRDefault="00394471" w:rsidP="00964CC4">
            <w:pPr>
              <w:pStyle w:val="TAL"/>
              <w:rPr>
                <w:szCs w:val="22"/>
                <w:lang w:eastAsia="sv-SE"/>
              </w:rPr>
            </w:pPr>
            <w:r w:rsidRPr="00FA0D37">
              <w:rPr>
                <w:szCs w:val="22"/>
                <w:lang w:eastAsia="sv-SE"/>
              </w:rPr>
              <w:t xml:space="preserve">Indicates the initial value of the configured grant timer (see TS 38.321 [3]) in multiples of periodicity. </w:t>
            </w:r>
            <w:r w:rsidRPr="00FA0D37">
              <w:rPr>
                <w:rFonts w:cs="Arial"/>
                <w:szCs w:val="22"/>
                <w:lang w:eastAsia="sv-SE"/>
              </w:rPr>
              <w:t xml:space="preserve">When </w:t>
            </w:r>
            <w:r w:rsidRPr="00FA0D37">
              <w:rPr>
                <w:rFonts w:cs="Arial"/>
                <w:i/>
                <w:szCs w:val="22"/>
                <w:lang w:eastAsia="sv-SE"/>
              </w:rPr>
              <w:t>cg-RetransmissonTimer</w:t>
            </w:r>
            <w:r w:rsidRPr="00FA0D37">
              <w:rPr>
                <w:rFonts w:cs="Arial"/>
                <w:szCs w:val="22"/>
                <w:lang w:eastAsia="sv-SE"/>
              </w:rPr>
              <w:t xml:space="preserve"> is configured, if HARQ processes are shared among different configured grants on the same BWP, </w:t>
            </w:r>
            <w:r w:rsidRPr="00FA0D37">
              <w:rPr>
                <w:rFonts w:cs="Arial"/>
                <w:i/>
                <w:szCs w:val="22"/>
                <w:lang w:eastAsia="sv-SE"/>
              </w:rPr>
              <w:t xml:space="preserve">configuredGrantTimer * periodicity </w:t>
            </w:r>
            <w:r w:rsidRPr="00FA0D37">
              <w:rPr>
                <w:rFonts w:cs="Arial"/>
                <w:szCs w:val="22"/>
                <w:lang w:eastAsia="sv-SE"/>
              </w:rPr>
              <w:t xml:space="preserve">is set to the same value for </w:t>
            </w:r>
            <w:r w:rsidR="006013B9" w:rsidRPr="00FA0D37">
              <w:rPr>
                <w:rFonts w:cs="Arial"/>
                <w:szCs w:val="22"/>
                <w:lang w:eastAsia="sv-SE"/>
              </w:rPr>
              <w:t>the</w:t>
            </w:r>
            <w:r w:rsidRPr="00FA0D37">
              <w:rPr>
                <w:rFonts w:cs="Arial"/>
                <w:szCs w:val="22"/>
                <w:lang w:eastAsia="sv-SE"/>
              </w:rPr>
              <w:t xml:space="preserve"> configurations </w:t>
            </w:r>
            <w:r w:rsidR="006013B9" w:rsidRPr="00FA0D37">
              <w:rPr>
                <w:rFonts w:cs="Arial"/>
                <w:szCs w:val="22"/>
                <w:lang w:eastAsia="sv-SE"/>
              </w:rPr>
              <w:t xml:space="preserve">that share HARQ processes </w:t>
            </w:r>
            <w:r w:rsidRPr="00FA0D37">
              <w:rPr>
                <w:rFonts w:cs="Arial"/>
                <w:szCs w:val="22"/>
                <w:lang w:eastAsia="sv-SE"/>
              </w:rPr>
              <w:t>on this BWP.</w:t>
            </w:r>
            <w:r w:rsidR="009573DD" w:rsidRPr="00FA0D37">
              <w:rPr>
                <w:rFonts w:cs="Arial"/>
                <w:szCs w:val="22"/>
                <w:lang w:eastAsia="sv-SE"/>
              </w:rPr>
              <w:t xml:space="preserve"> The value of the extension </w:t>
            </w:r>
            <w:r w:rsidR="009573DD" w:rsidRPr="00FA0D37">
              <w:rPr>
                <w:rFonts w:cs="Arial"/>
                <w:i/>
                <w:iCs/>
                <w:szCs w:val="22"/>
                <w:lang w:eastAsia="sv-SE"/>
              </w:rPr>
              <w:t>configuredGrantTimer</w:t>
            </w:r>
            <w:r w:rsidR="009573DD" w:rsidRPr="00FA0D37">
              <w:rPr>
                <w:rFonts w:cs="Arial"/>
                <w:szCs w:val="22"/>
                <w:lang w:eastAsia="sv-SE"/>
              </w:rPr>
              <w:t xml:space="preserve"> is 2 times the configured value.</w:t>
            </w:r>
          </w:p>
        </w:tc>
      </w:tr>
      <w:tr w:rsidR="005C7FF4" w:rsidRPr="00FA0D37"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FA0D37" w:rsidRDefault="00394471" w:rsidP="00964CC4">
            <w:pPr>
              <w:pStyle w:val="TAL"/>
              <w:rPr>
                <w:szCs w:val="22"/>
                <w:lang w:eastAsia="sv-SE"/>
              </w:rPr>
            </w:pPr>
            <w:r w:rsidRPr="00FA0D37">
              <w:rPr>
                <w:b/>
                <w:i/>
                <w:szCs w:val="22"/>
                <w:lang w:eastAsia="sv-SE"/>
              </w:rPr>
              <w:t>dmrs-SeqInitialization</w:t>
            </w:r>
          </w:p>
          <w:p w14:paraId="29F0988F" w14:textId="7D402EE5" w:rsidR="00394471" w:rsidRPr="00FA0D37" w:rsidRDefault="00394471" w:rsidP="00964CC4">
            <w:pPr>
              <w:pStyle w:val="TAL"/>
              <w:rPr>
                <w:szCs w:val="22"/>
                <w:lang w:eastAsia="sv-SE"/>
              </w:rPr>
            </w:pPr>
            <w:r w:rsidRPr="00FA0D37">
              <w:rPr>
                <w:szCs w:val="22"/>
                <w:lang w:eastAsia="sv-SE"/>
              </w:rPr>
              <w:t xml:space="preserve">The network configures this field if </w:t>
            </w:r>
            <w:r w:rsidRPr="00FA0D37">
              <w:rPr>
                <w:i/>
                <w:lang w:eastAsia="sv-SE"/>
              </w:rPr>
              <w:t>transformPrecoder</w:t>
            </w:r>
            <w:r w:rsidRPr="00FA0D37">
              <w:rPr>
                <w:szCs w:val="22"/>
                <w:lang w:eastAsia="sv-SE"/>
              </w:rPr>
              <w:t xml:space="preserve"> is disabled</w:t>
            </w:r>
            <w:r w:rsidR="00870415" w:rsidRPr="00FA0D37">
              <w:rPr>
                <w:szCs w:val="22"/>
                <w:lang w:eastAsia="sv-SE"/>
              </w:rPr>
              <w:t xml:space="preserve"> or when </w:t>
            </w:r>
            <w:r w:rsidR="00337B3E" w:rsidRPr="00FA0D37">
              <w:rPr>
                <w:szCs w:val="22"/>
                <w:lang w:eastAsia="sv-SE"/>
              </w:rPr>
              <w:t xml:space="preserve">the value of </w:t>
            </w:r>
            <w:r w:rsidR="00337B3E" w:rsidRPr="00FA0D37">
              <w:rPr>
                <w:i/>
                <w:iCs/>
                <w:szCs w:val="22"/>
                <w:lang w:eastAsia="sv-SE"/>
              </w:rPr>
              <w:t>sdt-NrofDMRS-Sequences</w:t>
            </w:r>
            <w:r w:rsidR="00337B3E" w:rsidRPr="00FA0D37">
              <w:rPr>
                <w:szCs w:val="22"/>
                <w:lang w:eastAsia="sv-SE"/>
              </w:rPr>
              <w:t xml:space="preserve"> is set to 1</w:t>
            </w:r>
            <w:r w:rsidRPr="00FA0D37">
              <w:rPr>
                <w:szCs w:val="22"/>
                <w:lang w:eastAsia="sv-SE"/>
              </w:rPr>
              <w:t>. Otherwise</w:t>
            </w:r>
            <w:r w:rsidR="00870415" w:rsidRPr="00FA0D37">
              <w:rPr>
                <w:szCs w:val="22"/>
                <w:lang w:eastAsia="sv-SE"/>
              </w:rPr>
              <w:t>,</w:t>
            </w:r>
            <w:r w:rsidRPr="00FA0D37">
              <w:rPr>
                <w:szCs w:val="22"/>
                <w:lang w:eastAsia="sv-SE"/>
              </w:rPr>
              <w:t xml:space="preserve"> the field is absent.</w:t>
            </w:r>
          </w:p>
        </w:tc>
      </w:tr>
      <w:tr w:rsidR="005C7FF4" w:rsidRPr="00FA0D37"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FA0D37" w:rsidRDefault="00394471" w:rsidP="00964CC4">
            <w:pPr>
              <w:pStyle w:val="TAL"/>
              <w:rPr>
                <w:szCs w:val="22"/>
                <w:lang w:eastAsia="sv-SE"/>
              </w:rPr>
            </w:pPr>
            <w:r w:rsidRPr="00FA0D37">
              <w:rPr>
                <w:b/>
                <w:i/>
                <w:szCs w:val="22"/>
                <w:lang w:eastAsia="sv-SE"/>
              </w:rPr>
              <w:t>frequencyDomainAllocation</w:t>
            </w:r>
          </w:p>
          <w:p w14:paraId="6D79C22C" w14:textId="77777777" w:rsidR="00394471" w:rsidRPr="00FA0D37" w:rsidRDefault="00394471" w:rsidP="00964CC4">
            <w:pPr>
              <w:pStyle w:val="TAL"/>
              <w:rPr>
                <w:szCs w:val="22"/>
                <w:lang w:eastAsia="sv-SE"/>
              </w:rPr>
            </w:pPr>
            <w:r w:rsidRPr="00FA0D37">
              <w:rPr>
                <w:szCs w:val="22"/>
                <w:lang w:eastAsia="sv-SE"/>
              </w:rPr>
              <w:t>Indicates the frequency domain resource allocation, see TS 38.214 [19], clause 6.1.2, and TS 38.212 [17], clause 7.3.1).</w:t>
            </w:r>
          </w:p>
        </w:tc>
      </w:tr>
      <w:tr w:rsidR="005C7FF4" w:rsidRPr="00FA0D37"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FA0D37" w:rsidRDefault="00394471" w:rsidP="00964CC4">
            <w:pPr>
              <w:pStyle w:val="TAL"/>
              <w:rPr>
                <w:szCs w:val="22"/>
                <w:lang w:eastAsia="sv-SE"/>
              </w:rPr>
            </w:pPr>
            <w:r w:rsidRPr="00FA0D37">
              <w:rPr>
                <w:b/>
                <w:i/>
                <w:szCs w:val="22"/>
                <w:lang w:eastAsia="sv-SE"/>
              </w:rPr>
              <w:t>frequencyHopping</w:t>
            </w:r>
          </w:p>
          <w:p w14:paraId="0AD01C66" w14:textId="77777777" w:rsidR="00394471" w:rsidRPr="00FA0D37" w:rsidRDefault="00394471" w:rsidP="00964CC4">
            <w:pPr>
              <w:pStyle w:val="TAL"/>
              <w:rPr>
                <w:szCs w:val="22"/>
                <w:lang w:eastAsia="sv-SE"/>
              </w:rPr>
            </w:pPr>
            <w:r w:rsidRPr="00FA0D37">
              <w:rPr>
                <w:szCs w:val="22"/>
                <w:lang w:eastAsia="sv-SE"/>
              </w:rPr>
              <w:t xml:space="preserve">The value </w:t>
            </w:r>
            <w:r w:rsidRPr="00FA0D37">
              <w:rPr>
                <w:i/>
                <w:szCs w:val="22"/>
                <w:lang w:eastAsia="sv-SE"/>
              </w:rPr>
              <w:t xml:space="preserve">intraSlot </w:t>
            </w:r>
            <w:r w:rsidRPr="00FA0D37">
              <w:rPr>
                <w:szCs w:val="22"/>
                <w:lang w:eastAsia="sv-SE"/>
              </w:rPr>
              <w:t xml:space="preserve">enables 'Intra-slot frequency hopping' and the value </w:t>
            </w:r>
            <w:r w:rsidRPr="00FA0D37">
              <w:rPr>
                <w:i/>
                <w:szCs w:val="22"/>
                <w:lang w:eastAsia="sv-SE"/>
              </w:rPr>
              <w:t xml:space="preserve">interSlot </w:t>
            </w:r>
            <w:r w:rsidRPr="00FA0D37">
              <w:rPr>
                <w:szCs w:val="22"/>
                <w:lang w:eastAsia="sv-SE"/>
              </w:rPr>
              <w:t xml:space="preserve">enables 'Inter-slot frequency hopping'. If the field is absent, frequency hopping is not configured. The field </w:t>
            </w:r>
            <w:r w:rsidRPr="00FA0D37">
              <w:rPr>
                <w:i/>
                <w:szCs w:val="22"/>
                <w:lang w:eastAsia="sv-SE"/>
              </w:rPr>
              <w:t>frequencyHopping</w:t>
            </w:r>
            <w:r w:rsidRPr="00FA0D37">
              <w:rPr>
                <w:szCs w:val="22"/>
                <w:lang w:eastAsia="sv-SE"/>
              </w:rPr>
              <w:t xml:space="preserve"> </w:t>
            </w:r>
            <w:r w:rsidRPr="00FA0D37">
              <w:rPr>
                <w:szCs w:val="22"/>
              </w:rPr>
              <w:t xml:space="preserve">applies </w:t>
            </w:r>
            <w:r w:rsidRPr="00FA0D37">
              <w:rPr>
                <w:szCs w:val="22"/>
                <w:lang w:eastAsia="sv-SE"/>
              </w:rPr>
              <w:t>to configured grant for 'pusch-RepTypeA' (see TS 38.214 [19], clause 6.3.1).</w:t>
            </w:r>
          </w:p>
        </w:tc>
      </w:tr>
      <w:tr w:rsidR="005C7FF4" w:rsidRPr="00FA0D37"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FA0D37" w:rsidRDefault="00394471" w:rsidP="00964CC4">
            <w:pPr>
              <w:pStyle w:val="TAL"/>
              <w:rPr>
                <w:szCs w:val="22"/>
                <w:lang w:eastAsia="sv-SE"/>
              </w:rPr>
            </w:pPr>
            <w:r w:rsidRPr="00FA0D37">
              <w:rPr>
                <w:b/>
                <w:i/>
                <w:szCs w:val="22"/>
                <w:lang w:eastAsia="sv-SE"/>
              </w:rPr>
              <w:t>frequencyHoppingOffset</w:t>
            </w:r>
          </w:p>
          <w:p w14:paraId="68C1869E" w14:textId="77777777" w:rsidR="00394471" w:rsidRPr="00FA0D37" w:rsidRDefault="00394471" w:rsidP="00964CC4">
            <w:pPr>
              <w:pStyle w:val="TAL"/>
              <w:rPr>
                <w:szCs w:val="22"/>
                <w:lang w:eastAsia="sv-SE"/>
              </w:rPr>
            </w:pPr>
            <w:r w:rsidRPr="00FA0D37">
              <w:rPr>
                <w:szCs w:val="22"/>
                <w:lang w:eastAsia="sv-SE"/>
              </w:rPr>
              <w:t>Frequency hopping offset used when frequency hopping is enabled (see TS 38.214 [19], clause 6.1.2 and clause 6.3).</w:t>
            </w:r>
          </w:p>
        </w:tc>
      </w:tr>
      <w:tr w:rsidR="005C7FF4" w:rsidRPr="00FA0D37"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FA0D37" w:rsidRDefault="00394471" w:rsidP="00964CC4">
            <w:pPr>
              <w:pStyle w:val="TAL"/>
              <w:rPr>
                <w:b/>
                <w:bCs/>
                <w:i/>
                <w:iCs/>
                <w:lang w:eastAsia="x-none"/>
              </w:rPr>
            </w:pPr>
            <w:r w:rsidRPr="00FA0D37">
              <w:rPr>
                <w:b/>
                <w:bCs/>
                <w:i/>
                <w:iCs/>
                <w:lang w:eastAsia="x-none"/>
              </w:rPr>
              <w:t>frequencyHoppingPUSCH-RepTypeB</w:t>
            </w:r>
          </w:p>
          <w:p w14:paraId="2961EF76" w14:textId="77777777" w:rsidR="00394471" w:rsidRPr="00FA0D37" w:rsidRDefault="00394471" w:rsidP="00964CC4">
            <w:pPr>
              <w:pStyle w:val="TAL"/>
              <w:rPr>
                <w:lang w:eastAsia="sv-SE"/>
              </w:rPr>
            </w:pPr>
            <w:r w:rsidRPr="00FA0D37">
              <w:rPr>
                <w:lang w:eastAsia="sv-SE"/>
              </w:rPr>
              <w:t xml:space="preserve">Indicates the frequency hopping scheme for Type 1 CG when </w:t>
            </w:r>
            <w:r w:rsidRPr="00FA0D37">
              <w:rPr>
                <w:i/>
                <w:iCs/>
                <w:lang w:eastAsia="x-none"/>
              </w:rPr>
              <w:t>pusch-RepTypeIndicator</w:t>
            </w:r>
            <w:r w:rsidRPr="00FA0D37">
              <w:rPr>
                <w:lang w:eastAsia="sv-SE"/>
              </w:rPr>
              <w:t xml:space="preserve"> is set to 'pusch-RepTypeB' (see TS 38.214 [19], clause 6.1). The value </w:t>
            </w:r>
            <w:r w:rsidRPr="00FA0D37">
              <w:rPr>
                <w:i/>
                <w:iCs/>
                <w:lang w:eastAsia="x-none"/>
              </w:rPr>
              <w:t>interRepetition</w:t>
            </w:r>
            <w:r w:rsidRPr="00FA0D37">
              <w:rPr>
                <w:lang w:eastAsia="sv-SE"/>
              </w:rPr>
              <w:t xml:space="preserve"> enables 'Inter-repetition frequency hopping', and the value </w:t>
            </w:r>
            <w:r w:rsidRPr="00FA0D37">
              <w:rPr>
                <w:i/>
                <w:iCs/>
                <w:lang w:eastAsia="x-none"/>
              </w:rPr>
              <w:t>interSlot</w:t>
            </w:r>
            <w:r w:rsidRPr="00FA0D37">
              <w:rPr>
                <w:lang w:eastAsia="sv-SE"/>
              </w:rPr>
              <w:t xml:space="preserve"> enables 'Inter-slot frequency hopping'. If the field is absent, the frequency hopping is not enabled for Type 1 CG.</w:t>
            </w:r>
          </w:p>
        </w:tc>
      </w:tr>
      <w:tr w:rsidR="005C7FF4" w:rsidRPr="00FA0D37"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FA0D37" w:rsidRDefault="00394471" w:rsidP="00964CC4">
            <w:pPr>
              <w:pStyle w:val="TAL"/>
              <w:rPr>
                <w:b/>
                <w:i/>
                <w:szCs w:val="22"/>
                <w:lang w:eastAsia="sv-SE"/>
              </w:rPr>
            </w:pPr>
            <w:r w:rsidRPr="00FA0D37">
              <w:rPr>
                <w:b/>
                <w:i/>
                <w:szCs w:val="22"/>
                <w:lang w:eastAsia="sv-SE"/>
              </w:rPr>
              <w:t>harq-ProcID-Offset</w:t>
            </w:r>
          </w:p>
          <w:p w14:paraId="5F546194" w14:textId="5B708431" w:rsidR="00394471" w:rsidRPr="00FA0D37" w:rsidRDefault="00394471" w:rsidP="00964CC4">
            <w:pPr>
              <w:pStyle w:val="TAL"/>
              <w:rPr>
                <w:b/>
                <w:i/>
                <w:szCs w:val="22"/>
                <w:lang w:eastAsia="sv-SE"/>
              </w:rPr>
            </w:pPr>
            <w:r w:rsidRPr="00FA0D37">
              <w:rPr>
                <w:lang w:eastAsia="sv-SE"/>
              </w:rPr>
              <w:t>For operation with shared spectrum channel access</w:t>
            </w:r>
            <w:r w:rsidR="00F27D15" w:rsidRPr="00FA0D37">
              <w:rPr>
                <w:lang w:eastAsia="sv-SE"/>
              </w:rPr>
              <w:t xml:space="preserve"> configured with </w:t>
            </w:r>
            <w:r w:rsidR="00F27D15" w:rsidRPr="00FA0D37">
              <w:rPr>
                <w:i/>
                <w:iCs/>
                <w:lang w:eastAsia="sv-SE"/>
              </w:rPr>
              <w:t>cg-RetransmissionTimer-r16</w:t>
            </w:r>
            <w:r w:rsidRPr="00FA0D37">
              <w:rPr>
                <w:lang w:eastAsia="sv-SE"/>
              </w:rPr>
              <w:t>, this configures the range of HARQ process IDs which can be used for this configured grant where the UE can select a HARQ process ID within [</w:t>
            </w:r>
            <w:r w:rsidRPr="00FA0D37">
              <w:rPr>
                <w:i/>
                <w:iCs/>
                <w:lang w:eastAsia="sv-SE"/>
              </w:rPr>
              <w:t xml:space="preserve">harq-procID-offset, .., </w:t>
            </w:r>
            <w:r w:rsidRPr="00FA0D37">
              <w:rPr>
                <w:lang w:eastAsia="sv-SE"/>
              </w:rPr>
              <w:t>(</w:t>
            </w:r>
            <w:r w:rsidRPr="00FA0D37">
              <w:rPr>
                <w:i/>
                <w:iCs/>
                <w:lang w:eastAsia="sv-SE"/>
              </w:rPr>
              <w:t>harq-procID-offset + nrofHARQ-Processes</w:t>
            </w:r>
            <w:r w:rsidRPr="00FA0D37">
              <w:rPr>
                <w:lang w:eastAsia="sv-SE"/>
              </w:rPr>
              <w:t xml:space="preserve"> – 1)].</w:t>
            </w:r>
            <w:r w:rsidR="001B0D59" w:rsidRPr="00FA0D37">
              <w:rPr>
                <w:i/>
                <w:iCs/>
              </w:rPr>
              <w:t xml:space="preserve"> harq-ProcID-Offset-v1730</w:t>
            </w:r>
            <w:r w:rsidR="001B0D59" w:rsidRPr="00FA0D37">
              <w:rPr>
                <w:rFonts w:eastAsia="宋体"/>
                <w:lang w:eastAsia="zh-CN"/>
              </w:rPr>
              <w:t xml:space="preserve"> is only applicable for operation with shared spectrum channel access in FR2-2</w:t>
            </w:r>
            <w:r w:rsidR="001B0D59" w:rsidRPr="00FA0D37">
              <w:rPr>
                <w:rFonts w:eastAsia="宋体"/>
                <w:i/>
                <w:iCs/>
                <w:lang w:eastAsia="zh-CN"/>
              </w:rPr>
              <w:t xml:space="preserve">. </w:t>
            </w:r>
            <w:r w:rsidR="001B0D59" w:rsidRPr="00FA0D37">
              <w:rPr>
                <w:lang w:eastAsia="sv-SE"/>
              </w:rPr>
              <w:t xml:space="preserve">If the field </w:t>
            </w:r>
            <w:r w:rsidR="001B0D59" w:rsidRPr="00FA0D37">
              <w:rPr>
                <w:i/>
                <w:iCs/>
              </w:rPr>
              <w:t>harq-ProcID-Offset-v1730</w:t>
            </w:r>
            <w:r w:rsidR="001B0D59" w:rsidRPr="00FA0D37">
              <w:rPr>
                <w:lang w:eastAsia="sv-SE"/>
              </w:rPr>
              <w:t xml:space="preserve"> is present, the UE shall ignore the </w:t>
            </w:r>
            <w:r w:rsidR="001B0D59" w:rsidRPr="00FA0D37">
              <w:rPr>
                <w:i/>
                <w:iCs/>
              </w:rPr>
              <w:t>harq-ProcID-Offset-r16</w:t>
            </w:r>
            <w:r w:rsidR="001B0D59" w:rsidRPr="00FA0D37">
              <w:t>.</w:t>
            </w:r>
            <w:r w:rsidR="00D127B2" w:rsidRPr="00FA0D37">
              <w:rPr>
                <w:iCs/>
                <w:szCs w:val="22"/>
                <w:lang w:eastAsia="sv-SE"/>
              </w:rPr>
              <w:t xml:space="preserve"> The network does not configure this field for CG-SDT.</w:t>
            </w:r>
          </w:p>
        </w:tc>
      </w:tr>
      <w:tr w:rsidR="005C7FF4" w:rsidRPr="00FA0D37"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FA0D37" w:rsidRDefault="00394471" w:rsidP="00964CC4">
            <w:pPr>
              <w:pStyle w:val="TAL"/>
              <w:rPr>
                <w:b/>
                <w:i/>
                <w:szCs w:val="22"/>
                <w:lang w:eastAsia="sv-SE"/>
              </w:rPr>
            </w:pPr>
            <w:r w:rsidRPr="00FA0D37">
              <w:rPr>
                <w:b/>
                <w:i/>
                <w:szCs w:val="22"/>
                <w:lang w:eastAsia="sv-SE"/>
              </w:rPr>
              <w:t>harq-ProcID-Offset2</w:t>
            </w:r>
          </w:p>
          <w:p w14:paraId="67EDD4E3" w14:textId="22190774" w:rsidR="00394471" w:rsidRPr="00FA0D37" w:rsidRDefault="00394471" w:rsidP="00964CC4">
            <w:pPr>
              <w:pStyle w:val="TAL"/>
              <w:rPr>
                <w:b/>
                <w:i/>
                <w:szCs w:val="22"/>
                <w:lang w:eastAsia="sv-SE"/>
              </w:rPr>
            </w:pPr>
            <w:r w:rsidRPr="00FA0D37">
              <w:rPr>
                <w:lang w:eastAsia="sv-SE"/>
              </w:rPr>
              <w:t>Indicates the offset used in deriving the HARQ process IDs, see TS 38.321 [3], clause 5.4.1.</w:t>
            </w:r>
            <w:r w:rsidRPr="00FA0D37">
              <w:t xml:space="preserve"> This field is not configured </w:t>
            </w:r>
            <w:r w:rsidR="00F27D15" w:rsidRPr="00FA0D37">
              <w:t xml:space="preserve">together with </w:t>
            </w:r>
            <w:r w:rsidR="00F27D15" w:rsidRPr="00FA0D37">
              <w:rPr>
                <w:i/>
                <w:iCs/>
              </w:rPr>
              <w:t>cg-RetransmissionTimer-r16</w:t>
            </w:r>
            <w:r w:rsidRPr="00FA0D37">
              <w:t>.</w:t>
            </w:r>
            <w:r w:rsidR="009573DD" w:rsidRPr="00FA0D37">
              <w:rPr>
                <w:lang w:eastAsia="sv-SE"/>
              </w:rPr>
              <w:t xml:space="preserve"> If the field </w:t>
            </w:r>
            <w:r w:rsidR="009573DD" w:rsidRPr="00FA0D37">
              <w:rPr>
                <w:i/>
                <w:iCs/>
              </w:rPr>
              <w:t>harq-ProcID-Offset2-v1700</w:t>
            </w:r>
            <w:r w:rsidR="009573DD" w:rsidRPr="00FA0D37">
              <w:rPr>
                <w:lang w:eastAsia="sv-SE"/>
              </w:rPr>
              <w:t xml:space="preserve"> is present, the UE shall ignore the </w:t>
            </w:r>
            <w:r w:rsidR="009573DD" w:rsidRPr="00FA0D37">
              <w:rPr>
                <w:i/>
                <w:iCs/>
              </w:rPr>
              <w:t>harq-ProcID-Offset2-r16</w:t>
            </w:r>
            <w:r w:rsidR="009573DD" w:rsidRPr="00FA0D37">
              <w:t>.</w:t>
            </w:r>
          </w:p>
        </w:tc>
      </w:tr>
      <w:tr w:rsidR="005C7FF4" w:rsidRPr="00FA0D37"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606C47" w:rsidRPr="00FA0D37" w:rsidRDefault="00606C47" w:rsidP="00771058">
            <w:pPr>
              <w:pStyle w:val="TAL"/>
              <w:rPr>
                <w:b/>
                <w:bCs/>
                <w:i/>
                <w:iCs/>
                <w:lang w:eastAsia="x-none"/>
              </w:rPr>
            </w:pPr>
            <w:r w:rsidRPr="00FA0D37">
              <w:rPr>
                <w:b/>
                <w:bCs/>
                <w:i/>
                <w:iCs/>
                <w:lang w:eastAsia="x-none"/>
              </w:rPr>
              <w:t>mappingPattern</w:t>
            </w:r>
          </w:p>
          <w:p w14:paraId="79BACA25" w14:textId="16EF2003" w:rsidR="00606C47" w:rsidRPr="00FA0D37" w:rsidRDefault="00606C47" w:rsidP="00771058">
            <w:pPr>
              <w:pStyle w:val="TAL"/>
              <w:rPr>
                <w:b/>
                <w:i/>
                <w:szCs w:val="22"/>
                <w:lang w:eastAsia="sv-SE"/>
              </w:rPr>
            </w:pPr>
            <w:r w:rsidRPr="00FA0D37">
              <w:rPr>
                <w:lang w:eastAsia="x-none"/>
              </w:rPr>
              <w:t xml:space="preserve">Indicates whether the UE should follow Cyclical mapping pattern or Sequential mapping pattern when two SRS resource sets are configured </w:t>
            </w:r>
            <w:r w:rsidR="00486327" w:rsidRPr="00FA0D37">
              <w:rPr>
                <w:lang w:eastAsia="x-none"/>
              </w:rPr>
              <w:t xml:space="preserve">in </w:t>
            </w:r>
            <w:r w:rsidR="00486327" w:rsidRPr="00FA0D37">
              <w:rPr>
                <w:rFonts w:cs="Arial"/>
                <w:i/>
                <w:iCs/>
              </w:rPr>
              <w:t xml:space="preserve">srs-ResourceSetToAddModList </w:t>
            </w:r>
            <w:r w:rsidR="00486327" w:rsidRPr="00FA0D37">
              <w:rPr>
                <w:rFonts w:cs="Arial"/>
              </w:rPr>
              <w:t xml:space="preserve">or </w:t>
            </w:r>
            <w:r w:rsidR="00486327" w:rsidRPr="00FA0D37">
              <w:rPr>
                <w:rFonts w:cs="Arial"/>
                <w:i/>
                <w:iCs/>
              </w:rPr>
              <w:t>srs-ResourceSetToAddModListDCI-0-2</w:t>
            </w:r>
            <w:r w:rsidR="00486327" w:rsidRPr="00FA0D37">
              <w:rPr>
                <w:rFonts w:cs="Arial"/>
              </w:rPr>
              <w:t xml:space="preserve"> with usage </w:t>
            </w:r>
            <w:r w:rsidR="00743BF8" w:rsidRPr="00FA0D37">
              <w:rPr>
                <w:rFonts w:cs="Arial"/>
              </w:rPr>
              <w:t>'</w:t>
            </w:r>
            <w:r w:rsidR="00486327" w:rsidRPr="00FA0D37">
              <w:rPr>
                <w:rFonts w:cs="Arial"/>
              </w:rPr>
              <w:t>codebook</w:t>
            </w:r>
            <w:r w:rsidR="00743BF8" w:rsidRPr="00FA0D37">
              <w:rPr>
                <w:rFonts w:cs="Arial"/>
              </w:rPr>
              <w:t>'</w:t>
            </w:r>
            <w:r w:rsidR="00486327" w:rsidRPr="00FA0D37">
              <w:rPr>
                <w:lang w:eastAsia="x-none"/>
              </w:rPr>
              <w:t xml:space="preserve"> or </w:t>
            </w:r>
            <w:r w:rsidR="00743BF8" w:rsidRPr="00FA0D37">
              <w:rPr>
                <w:rFonts w:cs="Arial"/>
              </w:rPr>
              <w:t>'</w:t>
            </w:r>
            <w:r w:rsidR="00486327" w:rsidRPr="00FA0D37">
              <w:rPr>
                <w:rFonts w:cs="Arial"/>
              </w:rPr>
              <w:t>noncodebook</w:t>
            </w:r>
            <w:r w:rsidR="00743BF8" w:rsidRPr="00FA0D37">
              <w:rPr>
                <w:rFonts w:cs="Arial"/>
              </w:rPr>
              <w:t>'</w:t>
            </w:r>
            <w:r w:rsidR="00486327" w:rsidRPr="00FA0D37">
              <w:rPr>
                <w:lang w:eastAsia="x-none"/>
              </w:rPr>
              <w:t xml:space="preserve"> </w:t>
            </w:r>
            <w:r w:rsidRPr="00FA0D37">
              <w:rPr>
                <w:lang w:eastAsia="x-none"/>
              </w:rPr>
              <w:t>for PUSCH transmission with a Type 1 configured grant and/or a Type 2 configured grant as described in clause 6.1.2.3 of TS 38.214 [19]</w:t>
            </w:r>
          </w:p>
        </w:tc>
      </w:tr>
      <w:tr w:rsidR="005C7FF4" w:rsidRPr="00FA0D37"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FA0D37" w:rsidRDefault="00394471" w:rsidP="00964CC4">
            <w:pPr>
              <w:pStyle w:val="TAL"/>
              <w:rPr>
                <w:szCs w:val="22"/>
                <w:lang w:eastAsia="sv-SE"/>
              </w:rPr>
            </w:pPr>
            <w:r w:rsidRPr="00FA0D37">
              <w:rPr>
                <w:b/>
                <w:i/>
                <w:szCs w:val="22"/>
                <w:lang w:eastAsia="sv-SE"/>
              </w:rPr>
              <w:t>mcs-Table</w:t>
            </w:r>
          </w:p>
          <w:p w14:paraId="4E1D9DA6" w14:textId="77777777" w:rsidR="00394471" w:rsidRPr="00FA0D37" w:rsidRDefault="00394471" w:rsidP="00964CC4">
            <w:pPr>
              <w:pStyle w:val="TAL"/>
              <w:rPr>
                <w:szCs w:val="22"/>
                <w:lang w:eastAsia="sv-SE"/>
              </w:rPr>
            </w:pPr>
            <w:r w:rsidRPr="00FA0D37">
              <w:rPr>
                <w:szCs w:val="22"/>
                <w:lang w:eastAsia="sv-SE"/>
              </w:rPr>
              <w:t xml:space="preserve">Indicates the MCS table the UE shall use for PUSCH without transform precoding. If the field is absent the UE applies the value </w:t>
            </w:r>
            <w:r w:rsidRPr="00FA0D37">
              <w:rPr>
                <w:i/>
                <w:szCs w:val="22"/>
                <w:lang w:eastAsia="sv-SE"/>
              </w:rPr>
              <w:t>qam64</w:t>
            </w:r>
            <w:r w:rsidRPr="00FA0D37">
              <w:rPr>
                <w:szCs w:val="22"/>
                <w:lang w:eastAsia="sv-SE"/>
              </w:rPr>
              <w:t>.</w:t>
            </w:r>
          </w:p>
        </w:tc>
      </w:tr>
      <w:tr w:rsidR="005C7FF4" w:rsidRPr="00FA0D37"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FA0D37" w:rsidRDefault="00394471" w:rsidP="00964CC4">
            <w:pPr>
              <w:pStyle w:val="TAL"/>
              <w:rPr>
                <w:szCs w:val="22"/>
                <w:lang w:eastAsia="sv-SE"/>
              </w:rPr>
            </w:pPr>
            <w:r w:rsidRPr="00FA0D37">
              <w:rPr>
                <w:b/>
                <w:i/>
                <w:szCs w:val="22"/>
                <w:lang w:eastAsia="sv-SE"/>
              </w:rPr>
              <w:t>mcs-TableTransformPrecoder</w:t>
            </w:r>
          </w:p>
          <w:p w14:paraId="1243D275" w14:textId="77777777" w:rsidR="00394471" w:rsidRPr="00FA0D37" w:rsidRDefault="00394471" w:rsidP="00964CC4">
            <w:pPr>
              <w:pStyle w:val="TAL"/>
              <w:rPr>
                <w:szCs w:val="22"/>
                <w:lang w:eastAsia="sv-SE"/>
              </w:rPr>
            </w:pPr>
            <w:r w:rsidRPr="00FA0D37">
              <w:rPr>
                <w:szCs w:val="22"/>
                <w:lang w:eastAsia="sv-SE"/>
              </w:rPr>
              <w:t xml:space="preserve">Indicates the MCS table the UE shall use for PUSCH with transform precoding. If the field is absent the UE applies the value </w:t>
            </w:r>
            <w:r w:rsidRPr="00FA0D37">
              <w:rPr>
                <w:i/>
                <w:szCs w:val="22"/>
                <w:lang w:eastAsia="sv-SE"/>
              </w:rPr>
              <w:t>qam64</w:t>
            </w:r>
            <w:r w:rsidRPr="00FA0D37">
              <w:rPr>
                <w:szCs w:val="22"/>
                <w:lang w:eastAsia="sv-SE"/>
              </w:rPr>
              <w:t>.</w:t>
            </w:r>
          </w:p>
        </w:tc>
      </w:tr>
      <w:tr w:rsidR="005C7FF4" w:rsidRPr="00FA0D37"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FA0D37" w:rsidRDefault="00394471" w:rsidP="00964CC4">
            <w:pPr>
              <w:pStyle w:val="TAL"/>
              <w:rPr>
                <w:szCs w:val="22"/>
                <w:lang w:eastAsia="sv-SE"/>
              </w:rPr>
            </w:pPr>
            <w:r w:rsidRPr="00FA0D37">
              <w:rPr>
                <w:b/>
                <w:i/>
                <w:szCs w:val="22"/>
                <w:lang w:eastAsia="sv-SE"/>
              </w:rPr>
              <w:lastRenderedPageBreak/>
              <w:t>mcsAndTBS</w:t>
            </w:r>
          </w:p>
          <w:p w14:paraId="506E678E" w14:textId="77777777" w:rsidR="00394471" w:rsidRPr="00FA0D37" w:rsidRDefault="00394471" w:rsidP="00964CC4">
            <w:pPr>
              <w:pStyle w:val="TAL"/>
              <w:rPr>
                <w:szCs w:val="22"/>
                <w:lang w:eastAsia="sv-SE"/>
              </w:rPr>
            </w:pPr>
            <w:r w:rsidRPr="00FA0D37">
              <w:rPr>
                <w:szCs w:val="22"/>
                <w:lang w:eastAsia="sv-SE"/>
              </w:rPr>
              <w:t>The modulation order, target code rate and TB size (see TS 38.214 [19], clause 6.1.2). The NW does not configure the values 28~31 in this version of the specification.</w:t>
            </w:r>
          </w:p>
        </w:tc>
      </w:tr>
      <w:tr w:rsidR="005C7FF4" w:rsidRPr="00FA0D37"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394471" w:rsidRPr="00FA0D37" w:rsidRDefault="00394471" w:rsidP="00964CC4">
            <w:pPr>
              <w:pStyle w:val="TAL"/>
              <w:rPr>
                <w:szCs w:val="22"/>
                <w:lang w:eastAsia="sv-SE"/>
              </w:rPr>
            </w:pPr>
            <w:r w:rsidRPr="00FA0D37">
              <w:rPr>
                <w:b/>
                <w:i/>
                <w:szCs w:val="22"/>
                <w:lang w:eastAsia="sv-SE"/>
              </w:rPr>
              <w:t>nrofHARQ-Processes</w:t>
            </w:r>
          </w:p>
          <w:p w14:paraId="5410B276" w14:textId="2C13F685" w:rsidR="00394471" w:rsidRPr="00FA0D37" w:rsidRDefault="00394471" w:rsidP="00964CC4">
            <w:pPr>
              <w:pStyle w:val="TAL"/>
              <w:rPr>
                <w:szCs w:val="22"/>
                <w:lang w:eastAsia="sv-SE"/>
              </w:rPr>
            </w:pPr>
            <w:r w:rsidRPr="00FA0D37">
              <w:rPr>
                <w:szCs w:val="22"/>
                <w:lang w:eastAsia="sv-SE"/>
              </w:rPr>
              <w:t>The number of HARQ processes configured. It applies for both Type 1 and Type 2. See TS 38.321 [3], clause 5.4.1.</w:t>
            </w:r>
            <w:r w:rsidR="005B7637" w:rsidRPr="00FA0D37">
              <w:rPr>
                <w:szCs w:val="22"/>
                <w:lang w:eastAsia="sv-SE"/>
              </w:rPr>
              <w:t xml:space="preserve"> If the UE is configured with </w:t>
            </w:r>
            <w:r w:rsidR="005B7637" w:rsidRPr="00FA0D37">
              <w:rPr>
                <w:i/>
                <w:iCs/>
              </w:rPr>
              <w:t>nrofHARQ-Processes</w:t>
            </w:r>
            <w:r w:rsidR="009573DD" w:rsidRPr="00FA0D37">
              <w:rPr>
                <w:i/>
                <w:iCs/>
              </w:rPr>
              <w:t>-v1700</w:t>
            </w:r>
            <w:r w:rsidR="005B7637" w:rsidRPr="00FA0D37">
              <w:rPr>
                <w:i/>
                <w:iCs/>
              </w:rPr>
              <w:t>, the</w:t>
            </w:r>
            <w:r w:rsidR="005B7637" w:rsidRPr="00FA0D37">
              <w:t xml:space="preserve"> UE shall ignore </w:t>
            </w:r>
            <w:r w:rsidR="005B7637" w:rsidRPr="00FA0D37">
              <w:rPr>
                <w:i/>
                <w:iCs/>
              </w:rPr>
              <w:t>nrofHARQ-Processes</w:t>
            </w:r>
            <w:r w:rsidR="009573DD" w:rsidRPr="00FA0D37">
              <w:rPr>
                <w:i/>
                <w:iCs/>
              </w:rPr>
              <w:t xml:space="preserve"> (without suffix)</w:t>
            </w:r>
            <w:r w:rsidR="005B7637" w:rsidRPr="00FA0D37">
              <w:t>.</w:t>
            </w:r>
          </w:p>
        </w:tc>
      </w:tr>
      <w:tr w:rsidR="005C7FF4" w:rsidRPr="00FA0D37"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337B3E" w:rsidRPr="00FA0D37" w:rsidRDefault="00337B3E" w:rsidP="00337B3E">
            <w:pPr>
              <w:pStyle w:val="TAL"/>
              <w:rPr>
                <w:b/>
                <w:bCs/>
                <w:i/>
                <w:iCs/>
              </w:rPr>
            </w:pPr>
            <w:r w:rsidRPr="00FA0D37">
              <w:rPr>
                <w:b/>
                <w:bCs/>
                <w:i/>
                <w:iCs/>
              </w:rPr>
              <w:t>pathlossReferenceIndex</w:t>
            </w:r>
          </w:p>
          <w:p w14:paraId="2C8451A7" w14:textId="42020CC0" w:rsidR="00337B3E" w:rsidRPr="00FA0D37" w:rsidRDefault="00337B3E" w:rsidP="00337B3E">
            <w:pPr>
              <w:pStyle w:val="TAL"/>
              <w:rPr>
                <w:b/>
                <w:i/>
                <w:szCs w:val="22"/>
                <w:lang w:eastAsia="sv-SE"/>
              </w:rPr>
            </w:pPr>
            <w:r w:rsidRPr="00FA0D37">
              <w:t>Indicates the reference signal index used as PUSCH pathloss reference (see TS 38.213 [13], clause 7.1.1). In case of CG-SDT, the UE does not use this field.</w:t>
            </w:r>
          </w:p>
        </w:tc>
      </w:tr>
      <w:tr w:rsidR="005C7FF4" w:rsidRPr="00FA0D37"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606C47" w:rsidRPr="00FA0D37" w:rsidRDefault="00606C47" w:rsidP="00771058">
            <w:pPr>
              <w:pStyle w:val="TAL"/>
              <w:rPr>
                <w:b/>
                <w:bCs/>
                <w:i/>
                <w:iCs/>
              </w:rPr>
            </w:pPr>
            <w:r w:rsidRPr="00FA0D37">
              <w:rPr>
                <w:b/>
                <w:bCs/>
                <w:i/>
                <w:iCs/>
              </w:rPr>
              <w:t>pathlossReferenceIndex2</w:t>
            </w:r>
          </w:p>
          <w:p w14:paraId="034D73B3" w14:textId="77777777" w:rsidR="00606C47" w:rsidRPr="00FA0D37" w:rsidRDefault="00606C47" w:rsidP="00771058">
            <w:pPr>
              <w:pStyle w:val="TAL"/>
              <w:rPr>
                <w:b/>
                <w:i/>
                <w:szCs w:val="22"/>
                <w:lang w:eastAsia="sv-SE"/>
              </w:rPr>
            </w:pPr>
            <w:r w:rsidRPr="00FA0D37">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5C7FF4" w:rsidRPr="00FA0D37"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FA0D37" w:rsidRDefault="00394471" w:rsidP="00964CC4">
            <w:pPr>
              <w:pStyle w:val="TAL"/>
              <w:rPr>
                <w:szCs w:val="22"/>
                <w:lang w:eastAsia="sv-SE"/>
              </w:rPr>
            </w:pPr>
            <w:r w:rsidRPr="00FA0D37">
              <w:rPr>
                <w:b/>
                <w:i/>
                <w:szCs w:val="22"/>
                <w:lang w:eastAsia="sv-SE"/>
              </w:rPr>
              <w:t>p0-PUSCH-Alpha</w:t>
            </w:r>
          </w:p>
          <w:p w14:paraId="4FC12FF3" w14:textId="77777777" w:rsidR="00394471" w:rsidRPr="00FA0D37" w:rsidRDefault="00394471" w:rsidP="00964CC4">
            <w:pPr>
              <w:pStyle w:val="TAL"/>
              <w:rPr>
                <w:szCs w:val="22"/>
                <w:lang w:eastAsia="sv-SE"/>
              </w:rPr>
            </w:pPr>
            <w:r w:rsidRPr="00FA0D37">
              <w:rPr>
                <w:szCs w:val="22"/>
                <w:lang w:eastAsia="sv-SE"/>
              </w:rPr>
              <w:t xml:space="preserve">Index of the </w:t>
            </w:r>
            <w:r w:rsidRPr="00FA0D37">
              <w:rPr>
                <w:i/>
                <w:lang w:eastAsia="sv-SE"/>
              </w:rPr>
              <w:t>P0-PUSCH-AlphaSet</w:t>
            </w:r>
            <w:r w:rsidRPr="00FA0D37">
              <w:rPr>
                <w:szCs w:val="22"/>
                <w:lang w:eastAsia="sv-SE"/>
              </w:rPr>
              <w:t xml:space="preserve"> to be used for this configuration.</w:t>
            </w:r>
          </w:p>
        </w:tc>
      </w:tr>
      <w:tr w:rsidR="005C7FF4" w:rsidRPr="00FA0D37"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606C47" w:rsidRPr="00FA0D37" w:rsidRDefault="00606C47" w:rsidP="00771058">
            <w:pPr>
              <w:pStyle w:val="TAL"/>
              <w:rPr>
                <w:szCs w:val="22"/>
                <w:lang w:eastAsia="sv-SE"/>
              </w:rPr>
            </w:pPr>
            <w:r w:rsidRPr="00FA0D37">
              <w:rPr>
                <w:b/>
                <w:i/>
                <w:szCs w:val="22"/>
                <w:lang w:eastAsia="sv-SE"/>
              </w:rPr>
              <w:t>p0-PUSCH-Alpha2</w:t>
            </w:r>
          </w:p>
          <w:p w14:paraId="034724D6" w14:textId="77777777" w:rsidR="00606C47" w:rsidRPr="00FA0D37" w:rsidRDefault="00606C47" w:rsidP="00771058">
            <w:pPr>
              <w:pStyle w:val="TAL"/>
              <w:rPr>
                <w:szCs w:val="22"/>
                <w:lang w:eastAsia="sv-SE"/>
              </w:rPr>
            </w:pPr>
            <w:r w:rsidRPr="00FA0D37">
              <w:rPr>
                <w:szCs w:val="22"/>
                <w:lang w:eastAsia="sv-SE"/>
              </w:rPr>
              <w:t xml:space="preserve">Index of the </w:t>
            </w:r>
            <w:r w:rsidRPr="00FA0D37">
              <w:rPr>
                <w:i/>
                <w:lang w:eastAsia="sv-SE"/>
              </w:rPr>
              <w:t>P0-PUSCH-AlphaSet</w:t>
            </w:r>
            <w:r w:rsidRPr="00FA0D37">
              <w:rPr>
                <w:szCs w:val="22"/>
                <w:lang w:eastAsia="sv-SE"/>
              </w:rPr>
              <w:t xml:space="preserve"> to be used for second SRS resource set. If </w:t>
            </w:r>
            <w:r w:rsidRPr="00FA0D37">
              <w:t xml:space="preserve">this field is present, </w:t>
            </w:r>
            <w:r w:rsidRPr="00FA0D37">
              <w:rPr>
                <w:szCs w:val="22"/>
                <w:lang w:eastAsia="sv-SE"/>
              </w:rPr>
              <w:t xml:space="preserve">the </w:t>
            </w:r>
            <w:r w:rsidRPr="00FA0D37">
              <w:rPr>
                <w:i/>
                <w:iCs/>
                <w:szCs w:val="22"/>
                <w:lang w:eastAsia="sv-SE"/>
              </w:rPr>
              <w:t xml:space="preserve">p0-PUSCH-Alpha </w:t>
            </w:r>
            <w:r w:rsidRPr="00FA0D37">
              <w:rPr>
                <w:szCs w:val="22"/>
                <w:lang w:eastAsia="sv-SE"/>
              </w:rPr>
              <w:t>provides index for the P0-PUSCH-AlphaSet to be used for first SRS resource set.</w:t>
            </w:r>
          </w:p>
        </w:tc>
      </w:tr>
      <w:tr w:rsidR="005C7FF4" w:rsidRPr="00FA0D37"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FA0D37" w:rsidRDefault="00394471" w:rsidP="00964CC4">
            <w:pPr>
              <w:pStyle w:val="TAL"/>
              <w:rPr>
                <w:szCs w:val="22"/>
                <w:lang w:eastAsia="sv-SE"/>
              </w:rPr>
            </w:pPr>
            <w:r w:rsidRPr="00FA0D37">
              <w:rPr>
                <w:b/>
                <w:i/>
                <w:szCs w:val="22"/>
                <w:lang w:eastAsia="sv-SE"/>
              </w:rPr>
              <w:t>periodicity</w:t>
            </w:r>
          </w:p>
          <w:p w14:paraId="62576628" w14:textId="77777777" w:rsidR="00394471" w:rsidRPr="00FA0D37" w:rsidRDefault="00394471" w:rsidP="00964CC4">
            <w:pPr>
              <w:pStyle w:val="TAL"/>
              <w:rPr>
                <w:szCs w:val="22"/>
                <w:lang w:eastAsia="sv-SE"/>
              </w:rPr>
            </w:pPr>
            <w:r w:rsidRPr="00FA0D37">
              <w:rPr>
                <w:szCs w:val="22"/>
                <w:lang w:eastAsia="sv-SE"/>
              </w:rPr>
              <w:t>Periodicity for UL transmission without UL grant for type 1 and type 2 (see TS 38.321 [3], clause 5.8.2).</w:t>
            </w:r>
          </w:p>
          <w:p w14:paraId="4DF6F92D" w14:textId="77777777" w:rsidR="00394471" w:rsidRPr="00FA0D37" w:rsidRDefault="00394471" w:rsidP="00964CC4">
            <w:pPr>
              <w:pStyle w:val="TAL"/>
              <w:rPr>
                <w:szCs w:val="22"/>
                <w:lang w:eastAsia="sv-SE"/>
              </w:rPr>
            </w:pPr>
            <w:r w:rsidRPr="00FA0D37">
              <w:rPr>
                <w:szCs w:val="22"/>
                <w:lang w:eastAsia="sv-SE"/>
              </w:rPr>
              <w:t>The following periodicities are supported depending on the configured subcarrier spacing [symbols]:</w:t>
            </w:r>
          </w:p>
          <w:p w14:paraId="16C21BBA" w14:textId="77777777" w:rsidR="00394471" w:rsidRPr="00FA0D37" w:rsidRDefault="00394471" w:rsidP="00964CC4">
            <w:pPr>
              <w:pStyle w:val="TAL"/>
              <w:tabs>
                <w:tab w:val="left" w:pos="2014"/>
              </w:tabs>
              <w:rPr>
                <w:szCs w:val="22"/>
                <w:lang w:eastAsia="sv-SE"/>
              </w:rPr>
            </w:pPr>
            <w:r w:rsidRPr="00FA0D37">
              <w:rPr>
                <w:szCs w:val="22"/>
                <w:lang w:eastAsia="sv-SE"/>
              </w:rPr>
              <w:t>15 kHz:</w:t>
            </w:r>
            <w:r w:rsidRPr="00FA0D37">
              <w:rPr>
                <w:szCs w:val="22"/>
                <w:lang w:eastAsia="sv-SE"/>
              </w:rPr>
              <w:tab/>
              <w:t>2, 7, n*14, where n={1, 2, 4, 5, 8, 10, 16, 20, 32, 40, 64, 80, 128, 160, 320, 640}</w:t>
            </w:r>
          </w:p>
          <w:p w14:paraId="2FAE6305" w14:textId="77777777" w:rsidR="00394471" w:rsidRPr="00FA0D37" w:rsidRDefault="00394471" w:rsidP="00964CC4">
            <w:pPr>
              <w:pStyle w:val="TAL"/>
              <w:tabs>
                <w:tab w:val="left" w:pos="2014"/>
              </w:tabs>
              <w:rPr>
                <w:szCs w:val="22"/>
                <w:lang w:eastAsia="sv-SE"/>
              </w:rPr>
            </w:pPr>
            <w:r w:rsidRPr="00FA0D37">
              <w:rPr>
                <w:szCs w:val="22"/>
                <w:lang w:eastAsia="sv-SE"/>
              </w:rPr>
              <w:t>30 kHz:</w:t>
            </w:r>
            <w:r w:rsidRPr="00FA0D37">
              <w:rPr>
                <w:szCs w:val="22"/>
                <w:lang w:eastAsia="sv-SE"/>
              </w:rPr>
              <w:tab/>
              <w:t>2, 7, n*14, where n={1, 2, 4, 5, 8, 10, 16, 20, 32, 40, 64, 80, 128, 160, 256, 320, 640, 1280}</w:t>
            </w:r>
          </w:p>
          <w:p w14:paraId="50199659" w14:textId="77777777" w:rsidR="00394471" w:rsidRPr="00FA0D37" w:rsidRDefault="00394471" w:rsidP="00964CC4">
            <w:pPr>
              <w:pStyle w:val="TAL"/>
              <w:tabs>
                <w:tab w:val="left" w:pos="2014"/>
              </w:tabs>
              <w:rPr>
                <w:szCs w:val="22"/>
                <w:lang w:eastAsia="sv-SE"/>
              </w:rPr>
            </w:pPr>
            <w:r w:rsidRPr="00FA0D37">
              <w:rPr>
                <w:szCs w:val="22"/>
                <w:lang w:eastAsia="sv-SE"/>
              </w:rPr>
              <w:t>60 kHz with normal CP</w:t>
            </w:r>
            <w:r w:rsidRPr="00FA0D37">
              <w:rPr>
                <w:szCs w:val="22"/>
                <w:lang w:eastAsia="sv-SE"/>
              </w:rPr>
              <w:tab/>
              <w:t>2, 7, n*14, where n={1, 2, 4, 5, 8, 10, 16, 20, 32, 40, 64, 80, 128, 160, 256, 320, 512, 640, 1280, 2560}</w:t>
            </w:r>
          </w:p>
          <w:p w14:paraId="00A9C4E1" w14:textId="77777777" w:rsidR="00394471" w:rsidRPr="00FA0D37" w:rsidRDefault="00394471" w:rsidP="00964CC4">
            <w:pPr>
              <w:pStyle w:val="TAL"/>
              <w:tabs>
                <w:tab w:val="left" w:pos="2014"/>
              </w:tabs>
              <w:rPr>
                <w:szCs w:val="22"/>
                <w:lang w:eastAsia="sv-SE"/>
              </w:rPr>
            </w:pPr>
            <w:r w:rsidRPr="00FA0D37">
              <w:rPr>
                <w:szCs w:val="22"/>
                <w:lang w:eastAsia="sv-SE"/>
              </w:rPr>
              <w:t>60 kHz with ECP:</w:t>
            </w:r>
            <w:r w:rsidRPr="00FA0D37">
              <w:rPr>
                <w:szCs w:val="22"/>
                <w:lang w:eastAsia="sv-SE"/>
              </w:rPr>
              <w:tab/>
              <w:t>2, 6, n*12, where n={1, 2, 4, 5, 8, 10, 16, 20, 32, 40, 64, 80, 128, 160, 256, 320, 512, 640, 1280, 2560}</w:t>
            </w:r>
          </w:p>
          <w:p w14:paraId="35A0D0AA" w14:textId="77777777" w:rsidR="006C501F" w:rsidRPr="00FA0D37" w:rsidRDefault="00394471" w:rsidP="006C501F">
            <w:pPr>
              <w:pStyle w:val="TAL"/>
              <w:tabs>
                <w:tab w:val="left" w:pos="2014"/>
              </w:tabs>
              <w:rPr>
                <w:szCs w:val="22"/>
                <w:lang w:eastAsia="sv-SE"/>
              </w:rPr>
            </w:pPr>
            <w:r w:rsidRPr="00FA0D37">
              <w:rPr>
                <w:szCs w:val="22"/>
                <w:lang w:eastAsia="sv-SE"/>
              </w:rPr>
              <w:t>120 kHz:</w:t>
            </w:r>
            <w:r w:rsidRPr="00FA0D37">
              <w:rPr>
                <w:szCs w:val="22"/>
                <w:lang w:eastAsia="sv-SE"/>
              </w:rPr>
              <w:tab/>
              <w:t>2, 7, n*14, where n={1, 2, 4, 5, 8, 10, 16, 20, 32, 40, 64, 80, 128, 160, 256, 320, 512, 640, 1024, 1280, 2560, 5120}</w:t>
            </w:r>
          </w:p>
          <w:p w14:paraId="07BB5250" w14:textId="77777777" w:rsidR="00394471" w:rsidRPr="00FA0D37" w:rsidRDefault="006C501F" w:rsidP="006C501F">
            <w:pPr>
              <w:pStyle w:val="TAL"/>
              <w:tabs>
                <w:tab w:val="left" w:pos="2014"/>
              </w:tabs>
              <w:rPr>
                <w:szCs w:val="22"/>
                <w:lang w:eastAsia="sv-SE"/>
              </w:rPr>
            </w:pPr>
            <w:r w:rsidRPr="00FA0D37">
              <w:rPr>
                <w:szCs w:val="22"/>
                <w:lang w:eastAsia="sv-SE"/>
              </w:rPr>
              <w:t>480 and 960 kHz:</w:t>
            </w:r>
            <w:r w:rsidRPr="00FA0D37">
              <w:rPr>
                <w:szCs w:val="22"/>
                <w:lang w:eastAsia="sv-SE"/>
              </w:rPr>
              <w:tab/>
              <w:t>n*14, where n={1, 2, 4, 5, 8, 10, 16, 20, 32, 40, 64, 80, 128, 160, 256, 320, 512, 640, 1024, 1280, 2560, 5120}</w:t>
            </w:r>
          </w:p>
          <w:p w14:paraId="0BF29879" w14:textId="190F32DE" w:rsidR="005778E2" w:rsidRPr="00FA0D37" w:rsidRDefault="005778E2" w:rsidP="006C501F">
            <w:pPr>
              <w:pStyle w:val="TAL"/>
              <w:tabs>
                <w:tab w:val="left" w:pos="2014"/>
              </w:tabs>
              <w:rPr>
                <w:szCs w:val="22"/>
                <w:lang w:eastAsia="sv-SE"/>
              </w:rPr>
            </w:pPr>
            <w:r w:rsidRPr="00FA0D37">
              <w:rPr>
                <w:szCs w:val="22"/>
                <w:lang w:eastAsia="sv-SE"/>
              </w:rPr>
              <w:t>In case of SDT, the network does not configure periodicity values less than 5ms.</w:t>
            </w:r>
          </w:p>
        </w:tc>
      </w:tr>
      <w:tr w:rsidR="005C7FF4" w:rsidRPr="00FA0D37"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FA0D37" w:rsidRDefault="00394471" w:rsidP="00964CC4">
            <w:pPr>
              <w:pStyle w:val="TAL"/>
              <w:rPr>
                <w:b/>
                <w:i/>
                <w:szCs w:val="22"/>
                <w:lang w:eastAsia="sv-SE"/>
              </w:rPr>
            </w:pPr>
            <w:r w:rsidRPr="00FA0D37">
              <w:rPr>
                <w:b/>
                <w:i/>
                <w:szCs w:val="22"/>
                <w:lang w:eastAsia="sv-SE"/>
              </w:rPr>
              <w:t>periodicityExt</w:t>
            </w:r>
          </w:p>
          <w:p w14:paraId="458759B0" w14:textId="62D0C881" w:rsidR="00394471" w:rsidRPr="00FA0D37" w:rsidRDefault="00394471" w:rsidP="00964CC4">
            <w:pPr>
              <w:pStyle w:val="TAL"/>
              <w:rPr>
                <w:lang w:eastAsia="sv-SE"/>
              </w:rPr>
            </w:pPr>
            <w:r w:rsidRPr="00FA0D37">
              <w:rPr>
                <w:lang w:eastAsia="sv-SE"/>
              </w:rPr>
              <w:t>This field is used to calculate the periodicity for UL transmission without UL grant for type 1 and type 2 (see TS 38.321 [3], clause 5</w:t>
            </w:r>
            <w:r w:rsidR="008779EC" w:rsidRPr="00FA0D37">
              <w:rPr>
                <w:lang w:eastAsia="sv-SE"/>
              </w:rPr>
              <w:t>.</w:t>
            </w:r>
            <w:r w:rsidRPr="00FA0D37">
              <w:rPr>
                <w:lang w:eastAsia="sv-SE"/>
              </w:rPr>
              <w:t xml:space="preserve">8.2). If this field is present, the </w:t>
            </w:r>
            <w:r w:rsidR="00C335FE" w:rsidRPr="00FA0D37">
              <w:rPr>
                <w:lang w:eastAsia="sv-SE"/>
              </w:rPr>
              <w:t xml:space="preserve">UE shall ignore </w:t>
            </w:r>
            <w:r w:rsidRPr="00FA0D37">
              <w:rPr>
                <w:lang w:eastAsia="sv-SE"/>
              </w:rPr>
              <w:t xml:space="preserve">field </w:t>
            </w:r>
            <w:r w:rsidRPr="00FA0D37">
              <w:rPr>
                <w:i/>
                <w:lang w:eastAsia="sv-SE"/>
              </w:rPr>
              <w:t>periodicity</w:t>
            </w:r>
            <w:r w:rsidRPr="00FA0D37">
              <w:rPr>
                <w:lang w:eastAsia="sv-SE"/>
              </w:rPr>
              <w:t xml:space="preserve"> </w:t>
            </w:r>
            <w:r w:rsidR="00C335FE" w:rsidRPr="00FA0D37">
              <w:rPr>
                <w:lang w:eastAsia="sv-SE"/>
              </w:rPr>
              <w:t>(without suffix)</w:t>
            </w:r>
            <w:r w:rsidRPr="00FA0D37">
              <w:rPr>
                <w:lang w:eastAsia="sv-SE"/>
              </w:rPr>
              <w:t>.</w:t>
            </w:r>
            <w:r w:rsidR="00C335FE" w:rsidRPr="00FA0D37">
              <w:rPr>
                <w:noProof/>
              </w:rPr>
              <w:t xml:space="preserve"> Network does not configure </w:t>
            </w:r>
            <w:r w:rsidR="00C335FE" w:rsidRPr="00FA0D37">
              <w:rPr>
                <w:i/>
                <w:iCs/>
              </w:rPr>
              <w:t>periodicityExt-r17</w:t>
            </w:r>
            <w:r w:rsidR="00C335FE" w:rsidRPr="00FA0D37">
              <w:t xml:space="preserve"> together with </w:t>
            </w:r>
            <w:r w:rsidR="00C335FE" w:rsidRPr="00FA0D37">
              <w:rPr>
                <w:i/>
                <w:iCs/>
              </w:rPr>
              <w:t>periodicityExt-r16</w:t>
            </w:r>
            <w:r w:rsidR="00C335FE" w:rsidRPr="00FA0D37">
              <w:t>.</w:t>
            </w:r>
          </w:p>
          <w:p w14:paraId="7488827C" w14:textId="77777777" w:rsidR="00394471" w:rsidRPr="00FA0D37" w:rsidRDefault="00394471" w:rsidP="00964CC4">
            <w:pPr>
              <w:pStyle w:val="TAL"/>
              <w:rPr>
                <w:lang w:eastAsia="sv-SE"/>
              </w:rPr>
            </w:pPr>
            <w:r w:rsidRPr="00FA0D37">
              <w:rPr>
                <w:lang w:eastAsia="sv-SE"/>
              </w:rPr>
              <w:t>The following periodicites are supported depending on the configured subcarrier spacing [symbols]:</w:t>
            </w:r>
          </w:p>
          <w:p w14:paraId="3402CF2D" w14:textId="77777777" w:rsidR="00394471" w:rsidRPr="00FA0D37" w:rsidRDefault="00394471" w:rsidP="00964CC4">
            <w:pPr>
              <w:pStyle w:val="TAL"/>
              <w:tabs>
                <w:tab w:val="left" w:pos="2014"/>
              </w:tabs>
              <w:rPr>
                <w:szCs w:val="22"/>
                <w:lang w:eastAsia="sv-SE"/>
              </w:rPr>
            </w:pPr>
            <w:r w:rsidRPr="00FA0D37">
              <w:rPr>
                <w:szCs w:val="22"/>
                <w:lang w:eastAsia="sv-SE"/>
              </w:rPr>
              <w:t>15 kHz:</w:t>
            </w:r>
            <w:r w:rsidRPr="00FA0D37">
              <w:rPr>
                <w:szCs w:val="22"/>
                <w:lang w:eastAsia="sv-SE"/>
              </w:rPr>
              <w:tab/>
            </w:r>
            <w:r w:rsidRPr="00FA0D37">
              <w:rPr>
                <w:i/>
                <w:szCs w:val="22"/>
                <w:lang w:eastAsia="sv-SE"/>
              </w:rPr>
              <w:t>periodicityExt</w:t>
            </w:r>
            <w:r w:rsidRPr="00FA0D37">
              <w:rPr>
                <w:szCs w:val="22"/>
                <w:lang w:eastAsia="sv-SE"/>
              </w:rPr>
              <w:t xml:space="preserve">*14, where </w:t>
            </w:r>
            <w:r w:rsidRPr="00FA0D37">
              <w:rPr>
                <w:i/>
                <w:szCs w:val="22"/>
                <w:lang w:eastAsia="sv-SE"/>
              </w:rPr>
              <w:t>periodicityExt</w:t>
            </w:r>
            <w:r w:rsidRPr="00FA0D37">
              <w:rPr>
                <w:szCs w:val="22"/>
                <w:lang w:eastAsia="sv-SE"/>
              </w:rPr>
              <w:t xml:space="preserve"> has a value between 1 and 640.</w:t>
            </w:r>
          </w:p>
          <w:p w14:paraId="6AD2BC33" w14:textId="77777777" w:rsidR="00394471" w:rsidRPr="00FA0D37" w:rsidRDefault="00394471" w:rsidP="00964CC4">
            <w:pPr>
              <w:pStyle w:val="TAL"/>
              <w:tabs>
                <w:tab w:val="left" w:pos="2014"/>
              </w:tabs>
              <w:rPr>
                <w:szCs w:val="22"/>
                <w:lang w:eastAsia="sv-SE"/>
              </w:rPr>
            </w:pPr>
            <w:r w:rsidRPr="00FA0D37">
              <w:rPr>
                <w:szCs w:val="22"/>
                <w:lang w:eastAsia="sv-SE"/>
              </w:rPr>
              <w:t>30 kHz:</w:t>
            </w:r>
            <w:r w:rsidRPr="00FA0D37">
              <w:rPr>
                <w:szCs w:val="22"/>
                <w:lang w:eastAsia="sv-SE"/>
              </w:rPr>
              <w:tab/>
            </w:r>
            <w:r w:rsidRPr="00FA0D37">
              <w:rPr>
                <w:i/>
                <w:szCs w:val="22"/>
                <w:lang w:eastAsia="sv-SE"/>
              </w:rPr>
              <w:t>periodicityExt</w:t>
            </w:r>
            <w:r w:rsidRPr="00FA0D37">
              <w:rPr>
                <w:szCs w:val="22"/>
                <w:lang w:eastAsia="sv-SE"/>
              </w:rPr>
              <w:t xml:space="preserve">*14, where </w:t>
            </w:r>
            <w:r w:rsidRPr="00FA0D37">
              <w:rPr>
                <w:i/>
                <w:szCs w:val="22"/>
                <w:lang w:eastAsia="sv-SE"/>
              </w:rPr>
              <w:t>periodicityExt</w:t>
            </w:r>
            <w:r w:rsidRPr="00FA0D37">
              <w:rPr>
                <w:szCs w:val="22"/>
                <w:lang w:eastAsia="sv-SE"/>
              </w:rPr>
              <w:t xml:space="preserve"> has a value between 1 and 1280.</w:t>
            </w:r>
          </w:p>
          <w:p w14:paraId="318ADBFA" w14:textId="77777777" w:rsidR="00394471" w:rsidRPr="00FA0D37" w:rsidRDefault="00394471" w:rsidP="00964CC4">
            <w:pPr>
              <w:pStyle w:val="TAL"/>
              <w:tabs>
                <w:tab w:val="left" w:pos="2014"/>
              </w:tabs>
              <w:rPr>
                <w:szCs w:val="22"/>
                <w:lang w:eastAsia="sv-SE"/>
              </w:rPr>
            </w:pPr>
            <w:r w:rsidRPr="00FA0D37">
              <w:rPr>
                <w:szCs w:val="22"/>
                <w:lang w:eastAsia="sv-SE"/>
              </w:rPr>
              <w:t>60 kHz with normal CP:</w:t>
            </w:r>
            <w:r w:rsidRPr="00FA0D37">
              <w:rPr>
                <w:szCs w:val="22"/>
                <w:lang w:eastAsia="sv-SE"/>
              </w:rPr>
              <w:tab/>
            </w:r>
            <w:r w:rsidRPr="00FA0D37">
              <w:rPr>
                <w:i/>
                <w:szCs w:val="22"/>
                <w:lang w:eastAsia="sv-SE"/>
              </w:rPr>
              <w:t>periodicityExt</w:t>
            </w:r>
            <w:r w:rsidRPr="00FA0D37">
              <w:rPr>
                <w:szCs w:val="22"/>
                <w:lang w:eastAsia="sv-SE"/>
              </w:rPr>
              <w:t>*14, where</w:t>
            </w:r>
            <w:r w:rsidRPr="00FA0D37">
              <w:rPr>
                <w:i/>
                <w:szCs w:val="22"/>
                <w:lang w:eastAsia="sv-SE"/>
              </w:rPr>
              <w:t xml:space="preserve"> periodicityExt</w:t>
            </w:r>
            <w:r w:rsidRPr="00FA0D37">
              <w:rPr>
                <w:szCs w:val="22"/>
                <w:lang w:eastAsia="sv-SE"/>
              </w:rPr>
              <w:t xml:space="preserve"> has a value between 1 and 2560.</w:t>
            </w:r>
          </w:p>
          <w:p w14:paraId="3725CB94" w14:textId="77777777" w:rsidR="00394471" w:rsidRPr="00FA0D37" w:rsidRDefault="00394471" w:rsidP="00566002">
            <w:pPr>
              <w:pStyle w:val="TAL"/>
              <w:tabs>
                <w:tab w:val="left" w:pos="2014"/>
              </w:tabs>
              <w:rPr>
                <w:szCs w:val="22"/>
                <w:lang w:eastAsia="sv-SE"/>
              </w:rPr>
            </w:pPr>
            <w:r w:rsidRPr="00FA0D37">
              <w:rPr>
                <w:szCs w:val="22"/>
                <w:lang w:eastAsia="sv-SE"/>
              </w:rPr>
              <w:t>60 kHz with ECP:</w:t>
            </w:r>
            <w:r w:rsidRPr="00FA0D37">
              <w:rPr>
                <w:szCs w:val="22"/>
                <w:lang w:eastAsia="sv-SE"/>
              </w:rPr>
              <w:tab/>
            </w:r>
            <w:r w:rsidRPr="00FA0D37">
              <w:rPr>
                <w:i/>
                <w:szCs w:val="22"/>
                <w:lang w:eastAsia="sv-SE"/>
              </w:rPr>
              <w:t>periodicityExt</w:t>
            </w:r>
            <w:r w:rsidRPr="00FA0D37">
              <w:rPr>
                <w:szCs w:val="22"/>
                <w:lang w:eastAsia="sv-SE"/>
              </w:rPr>
              <w:t>*12, where</w:t>
            </w:r>
            <w:r w:rsidRPr="00FA0D37">
              <w:rPr>
                <w:i/>
                <w:szCs w:val="22"/>
                <w:lang w:eastAsia="sv-SE"/>
              </w:rPr>
              <w:t xml:space="preserve"> periodicityExt</w:t>
            </w:r>
            <w:r w:rsidRPr="00FA0D37">
              <w:rPr>
                <w:szCs w:val="22"/>
                <w:lang w:eastAsia="sv-SE"/>
              </w:rPr>
              <w:t xml:space="preserve"> has a value between 1 and 2560.</w:t>
            </w:r>
          </w:p>
          <w:p w14:paraId="302C8C25" w14:textId="77777777" w:rsidR="006C501F" w:rsidRPr="00FA0D37" w:rsidRDefault="00394471" w:rsidP="006C501F">
            <w:pPr>
              <w:pStyle w:val="TAL"/>
              <w:tabs>
                <w:tab w:val="left" w:pos="2014"/>
              </w:tabs>
              <w:rPr>
                <w:szCs w:val="22"/>
                <w:lang w:eastAsia="sv-SE"/>
              </w:rPr>
            </w:pPr>
            <w:r w:rsidRPr="00FA0D37">
              <w:rPr>
                <w:szCs w:val="22"/>
                <w:lang w:eastAsia="sv-SE"/>
              </w:rPr>
              <w:t>120 kHz:</w:t>
            </w:r>
            <w:r w:rsidRPr="00FA0D37">
              <w:rPr>
                <w:szCs w:val="22"/>
                <w:lang w:eastAsia="sv-SE"/>
              </w:rPr>
              <w:tab/>
            </w:r>
            <w:r w:rsidRPr="00FA0D37">
              <w:rPr>
                <w:i/>
                <w:szCs w:val="22"/>
                <w:lang w:eastAsia="sv-SE"/>
              </w:rPr>
              <w:t>periodicityExt</w:t>
            </w:r>
            <w:r w:rsidRPr="00FA0D37">
              <w:rPr>
                <w:szCs w:val="22"/>
                <w:lang w:eastAsia="sv-SE"/>
              </w:rPr>
              <w:t>*14, where</w:t>
            </w:r>
            <w:r w:rsidRPr="00FA0D37">
              <w:rPr>
                <w:i/>
                <w:szCs w:val="22"/>
                <w:lang w:eastAsia="sv-SE"/>
              </w:rPr>
              <w:t xml:space="preserve"> periodicityExt</w:t>
            </w:r>
            <w:r w:rsidRPr="00FA0D37">
              <w:rPr>
                <w:szCs w:val="22"/>
                <w:lang w:eastAsia="sv-SE"/>
              </w:rPr>
              <w:t xml:space="preserve"> has a value between 1 and 5120.</w:t>
            </w:r>
          </w:p>
          <w:p w14:paraId="38092841" w14:textId="77777777" w:rsidR="006C501F" w:rsidRPr="00FA0D37" w:rsidRDefault="006C501F" w:rsidP="006C501F">
            <w:pPr>
              <w:pStyle w:val="TAL"/>
              <w:tabs>
                <w:tab w:val="left" w:pos="2014"/>
              </w:tabs>
              <w:rPr>
                <w:szCs w:val="22"/>
                <w:lang w:eastAsia="sv-SE"/>
              </w:rPr>
            </w:pPr>
            <w:r w:rsidRPr="00FA0D37">
              <w:rPr>
                <w:szCs w:val="22"/>
                <w:lang w:eastAsia="sv-SE"/>
              </w:rPr>
              <w:t>480 kHz:</w:t>
            </w:r>
            <w:r w:rsidRPr="00FA0D37">
              <w:rPr>
                <w:szCs w:val="22"/>
                <w:lang w:eastAsia="sv-SE"/>
              </w:rPr>
              <w:tab/>
            </w:r>
            <w:r w:rsidRPr="00FA0D37">
              <w:rPr>
                <w:i/>
                <w:iCs/>
                <w:szCs w:val="22"/>
                <w:lang w:eastAsia="sv-SE"/>
              </w:rPr>
              <w:t>periodicityExt</w:t>
            </w:r>
            <w:r w:rsidRPr="00FA0D37">
              <w:rPr>
                <w:szCs w:val="22"/>
                <w:lang w:eastAsia="sv-SE"/>
              </w:rPr>
              <w:t xml:space="preserve">*14, where </w:t>
            </w:r>
            <w:r w:rsidRPr="00FA0D37">
              <w:rPr>
                <w:i/>
                <w:iCs/>
                <w:szCs w:val="22"/>
                <w:lang w:eastAsia="sv-SE"/>
              </w:rPr>
              <w:t>periodicityExt</w:t>
            </w:r>
            <w:r w:rsidRPr="00FA0D37">
              <w:rPr>
                <w:szCs w:val="22"/>
                <w:lang w:eastAsia="sv-SE"/>
              </w:rPr>
              <w:t xml:space="preserve"> has a value between 1 and 20480.</w:t>
            </w:r>
          </w:p>
          <w:p w14:paraId="4EC32D81" w14:textId="77777777" w:rsidR="00394471" w:rsidRPr="00FA0D37" w:rsidRDefault="006C501F" w:rsidP="006C501F">
            <w:pPr>
              <w:pStyle w:val="TAL"/>
              <w:tabs>
                <w:tab w:val="left" w:pos="2014"/>
              </w:tabs>
              <w:rPr>
                <w:szCs w:val="22"/>
                <w:lang w:eastAsia="sv-SE"/>
              </w:rPr>
            </w:pPr>
            <w:r w:rsidRPr="00FA0D37">
              <w:rPr>
                <w:szCs w:val="22"/>
                <w:lang w:eastAsia="sv-SE"/>
              </w:rPr>
              <w:t>960 kHz:</w:t>
            </w:r>
            <w:r w:rsidRPr="00FA0D37">
              <w:rPr>
                <w:szCs w:val="22"/>
                <w:lang w:eastAsia="sv-SE"/>
              </w:rPr>
              <w:tab/>
            </w:r>
            <w:r w:rsidRPr="00FA0D37">
              <w:rPr>
                <w:i/>
                <w:iCs/>
                <w:szCs w:val="22"/>
                <w:lang w:eastAsia="sv-SE"/>
              </w:rPr>
              <w:t>periodicityExt</w:t>
            </w:r>
            <w:r w:rsidRPr="00FA0D37">
              <w:rPr>
                <w:szCs w:val="22"/>
                <w:lang w:eastAsia="sv-SE"/>
              </w:rPr>
              <w:t xml:space="preserve">*14, where </w:t>
            </w:r>
            <w:r w:rsidRPr="00FA0D37">
              <w:rPr>
                <w:i/>
                <w:iCs/>
                <w:szCs w:val="22"/>
                <w:lang w:eastAsia="sv-SE"/>
              </w:rPr>
              <w:t>periodicityExt</w:t>
            </w:r>
            <w:r w:rsidRPr="00FA0D37">
              <w:rPr>
                <w:szCs w:val="22"/>
                <w:lang w:eastAsia="sv-SE"/>
              </w:rPr>
              <w:t xml:space="preserve"> has a value between 1 and 40960.</w:t>
            </w:r>
          </w:p>
          <w:p w14:paraId="3FFFCABA" w14:textId="61E58368" w:rsidR="005778E2" w:rsidRPr="00FA0D37" w:rsidRDefault="005778E2" w:rsidP="006C501F">
            <w:pPr>
              <w:pStyle w:val="TAL"/>
              <w:tabs>
                <w:tab w:val="left" w:pos="2014"/>
              </w:tabs>
              <w:rPr>
                <w:b/>
                <w:i/>
                <w:szCs w:val="22"/>
                <w:lang w:eastAsia="sv-SE"/>
              </w:rPr>
            </w:pPr>
            <w:r w:rsidRPr="00FA0D37">
              <w:rPr>
                <w:szCs w:val="22"/>
                <w:lang w:eastAsia="sv-SE"/>
              </w:rPr>
              <w:t>In case of SDT, the network does not configure periodicity values less than 5ms.</w:t>
            </w:r>
          </w:p>
        </w:tc>
      </w:tr>
      <w:tr w:rsidR="005C7FF4" w:rsidRPr="00FA0D37"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FA0D37" w:rsidRDefault="00394471" w:rsidP="00964CC4">
            <w:pPr>
              <w:pStyle w:val="TAL"/>
              <w:rPr>
                <w:b/>
                <w:i/>
                <w:szCs w:val="22"/>
                <w:lang w:eastAsia="sv-SE"/>
              </w:rPr>
            </w:pPr>
            <w:r w:rsidRPr="00FA0D37">
              <w:rPr>
                <w:b/>
                <w:i/>
                <w:szCs w:val="22"/>
                <w:lang w:eastAsia="sv-SE"/>
              </w:rPr>
              <w:t>phy-PriorityIndex</w:t>
            </w:r>
          </w:p>
          <w:p w14:paraId="147B6FC8" w14:textId="33BD9020" w:rsidR="00394471" w:rsidRPr="00FA0D37" w:rsidRDefault="00394471" w:rsidP="00964CC4">
            <w:pPr>
              <w:pStyle w:val="TAL"/>
              <w:rPr>
                <w:lang w:eastAsia="sv-SE"/>
              </w:rPr>
            </w:pPr>
            <w:r w:rsidRPr="00FA0D37">
              <w:rPr>
                <w:lang w:eastAsia="sv-SE"/>
              </w:rPr>
              <w:t xml:space="preserve">Indicates the PHY priority of CG PUSCH at least for PHY-layer collision handling. Value </w:t>
            </w:r>
            <w:r w:rsidRPr="00FA0D37">
              <w:rPr>
                <w:i/>
                <w:lang w:eastAsia="sv-SE"/>
              </w:rPr>
              <w:t xml:space="preserve">p0 </w:t>
            </w:r>
            <w:r w:rsidRPr="00FA0D37">
              <w:rPr>
                <w:lang w:eastAsia="sv-SE"/>
              </w:rPr>
              <w:t xml:space="preserve">indicates low priority and value </w:t>
            </w:r>
            <w:r w:rsidRPr="00FA0D37">
              <w:rPr>
                <w:i/>
                <w:lang w:eastAsia="sv-SE"/>
              </w:rPr>
              <w:t xml:space="preserve">p1 </w:t>
            </w:r>
            <w:r w:rsidRPr="00FA0D37">
              <w:rPr>
                <w:lang w:eastAsia="sv-SE"/>
              </w:rPr>
              <w:t>indicates high priority.</w:t>
            </w:r>
            <w:r w:rsidR="00870415" w:rsidRPr="00FA0D37">
              <w:rPr>
                <w:lang w:eastAsia="sv-SE"/>
              </w:rPr>
              <w:t xml:space="preserve"> The network does not configure this for CG-SDT.</w:t>
            </w:r>
          </w:p>
        </w:tc>
      </w:tr>
      <w:tr w:rsidR="005C7FF4" w:rsidRPr="00FA0D37"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FA0D37" w:rsidRDefault="00394471" w:rsidP="00964CC4">
            <w:pPr>
              <w:pStyle w:val="TAL"/>
              <w:rPr>
                <w:szCs w:val="22"/>
                <w:lang w:eastAsia="sv-SE"/>
              </w:rPr>
            </w:pPr>
            <w:r w:rsidRPr="00FA0D37">
              <w:rPr>
                <w:b/>
                <w:i/>
                <w:szCs w:val="22"/>
                <w:lang w:eastAsia="sv-SE"/>
              </w:rPr>
              <w:t>powerControlLoopToUse</w:t>
            </w:r>
          </w:p>
          <w:p w14:paraId="6127A5E0" w14:textId="77777777" w:rsidR="00394471" w:rsidRPr="00FA0D37" w:rsidRDefault="00394471" w:rsidP="00964CC4">
            <w:pPr>
              <w:pStyle w:val="TAL"/>
              <w:rPr>
                <w:szCs w:val="22"/>
                <w:lang w:eastAsia="sv-SE"/>
              </w:rPr>
            </w:pPr>
            <w:r w:rsidRPr="00FA0D37">
              <w:rPr>
                <w:szCs w:val="22"/>
                <w:lang w:eastAsia="sv-SE"/>
              </w:rPr>
              <w:t>Closed control loop to apply (see TS 38.213 [13], clause 7.1.1).</w:t>
            </w:r>
          </w:p>
        </w:tc>
      </w:tr>
      <w:tr w:rsidR="005C7FF4" w:rsidRPr="00FA0D37"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606C47" w:rsidRPr="00FA0D37" w:rsidRDefault="00606C47" w:rsidP="00771058">
            <w:pPr>
              <w:pStyle w:val="TAL"/>
              <w:rPr>
                <w:szCs w:val="22"/>
                <w:lang w:eastAsia="sv-SE"/>
              </w:rPr>
            </w:pPr>
            <w:r w:rsidRPr="00FA0D37">
              <w:rPr>
                <w:b/>
                <w:i/>
                <w:szCs w:val="22"/>
                <w:lang w:eastAsia="sv-SE"/>
              </w:rPr>
              <w:lastRenderedPageBreak/>
              <w:t>powerControlLoopToUse2</w:t>
            </w:r>
          </w:p>
          <w:p w14:paraId="3538EE85" w14:textId="77777777" w:rsidR="00606C47" w:rsidRPr="00FA0D37" w:rsidRDefault="00606C47" w:rsidP="00771058">
            <w:pPr>
              <w:pStyle w:val="TAL"/>
              <w:rPr>
                <w:iCs/>
                <w:szCs w:val="22"/>
                <w:lang w:eastAsia="sv-SE"/>
              </w:rPr>
            </w:pPr>
            <w:r w:rsidRPr="00FA0D37">
              <w:rPr>
                <w:szCs w:val="22"/>
                <w:lang w:eastAsia="sv-SE"/>
              </w:rPr>
              <w:t xml:space="preserve">Closed control loop to apply to second SRS resource set (see TS 38.213 [13], clause 7.1.1). If </w:t>
            </w:r>
            <w:r w:rsidRPr="00FA0D37">
              <w:t xml:space="preserve">this field is present, </w:t>
            </w:r>
            <w:r w:rsidRPr="00FA0D37">
              <w:rPr>
                <w:szCs w:val="22"/>
                <w:lang w:eastAsia="sv-SE"/>
              </w:rPr>
              <w:t xml:space="preserve">the </w:t>
            </w:r>
            <w:r w:rsidRPr="00FA0D37">
              <w:rPr>
                <w:bCs/>
                <w:i/>
                <w:szCs w:val="22"/>
                <w:lang w:eastAsia="sv-SE"/>
              </w:rPr>
              <w:t xml:space="preserve">powerControlLoopToUse </w:t>
            </w:r>
            <w:r w:rsidRPr="00FA0D37">
              <w:rPr>
                <w:bCs/>
                <w:iCs/>
                <w:szCs w:val="22"/>
                <w:lang w:eastAsia="sv-SE"/>
              </w:rPr>
              <w:t>applies to the first SRS resource set.</w:t>
            </w:r>
          </w:p>
        </w:tc>
      </w:tr>
      <w:tr w:rsidR="005C7FF4" w:rsidRPr="00FA0D37"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77777777" w:rsidR="00870415" w:rsidRPr="00FA0D37" w:rsidRDefault="00870415" w:rsidP="00870415">
            <w:pPr>
              <w:pStyle w:val="TAL"/>
              <w:rPr>
                <w:szCs w:val="22"/>
                <w:lang w:eastAsia="sv-SE"/>
              </w:rPr>
            </w:pPr>
            <w:r w:rsidRPr="00FA0D37">
              <w:rPr>
                <w:b/>
                <w:i/>
                <w:szCs w:val="22"/>
                <w:lang w:eastAsia="sv-SE"/>
              </w:rPr>
              <w:t>precodingAndNumberOfLayers</w:t>
            </w:r>
          </w:p>
          <w:p w14:paraId="323C06B7" w14:textId="34DBEAE1" w:rsidR="00870415" w:rsidRPr="00FA0D37" w:rsidRDefault="00C65F89" w:rsidP="00870415">
            <w:pPr>
              <w:pStyle w:val="TAL"/>
              <w:rPr>
                <w:b/>
                <w:i/>
                <w:szCs w:val="22"/>
                <w:lang w:eastAsia="sv-SE"/>
              </w:rPr>
            </w:pPr>
            <w:r w:rsidRPr="00FA0D37">
              <w:t>Indicates the precoding and number of layers (see TS 38.212 [17], clause 7.3.1.1.2, and TS 38.214 [19], clause 6.1.2.3).</w:t>
            </w:r>
            <w:r w:rsidR="00870415" w:rsidRPr="00FA0D37">
              <w:rPr>
                <w:szCs w:val="22"/>
                <w:lang w:eastAsia="sv-SE"/>
              </w:rPr>
              <w:t xml:space="preserve"> In case of CG-SDT</w:t>
            </w:r>
            <w:r w:rsidR="00337B3E" w:rsidRPr="00FA0D37">
              <w:rPr>
                <w:szCs w:val="22"/>
                <w:lang w:eastAsia="sv-SE"/>
              </w:rPr>
              <w:t>,</w:t>
            </w:r>
            <w:r w:rsidR="00870415" w:rsidRPr="00FA0D37">
              <w:rPr>
                <w:szCs w:val="22"/>
                <w:lang w:eastAsia="sv-SE"/>
              </w:rPr>
              <w:t xml:space="preserve"> network </w:t>
            </w:r>
            <w:r w:rsidR="00337B3E" w:rsidRPr="00FA0D37">
              <w:rPr>
                <w:szCs w:val="22"/>
                <w:lang w:eastAsia="sv-SE"/>
              </w:rPr>
              <w:t>sets this field to 1</w:t>
            </w:r>
            <w:r w:rsidR="00870415" w:rsidRPr="00FA0D37">
              <w:rPr>
                <w:szCs w:val="22"/>
                <w:lang w:eastAsia="sv-SE"/>
              </w:rPr>
              <w:t>.</w:t>
            </w:r>
          </w:p>
        </w:tc>
      </w:tr>
      <w:tr w:rsidR="005C7FF4" w:rsidRPr="00FA0D37"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606C47" w:rsidRPr="00FA0D37" w:rsidRDefault="00606C47" w:rsidP="00771058">
            <w:pPr>
              <w:pStyle w:val="TAL"/>
              <w:rPr>
                <w:b/>
                <w:bCs/>
                <w:i/>
                <w:iCs/>
              </w:rPr>
            </w:pPr>
            <w:r w:rsidRPr="00FA0D37">
              <w:rPr>
                <w:b/>
                <w:bCs/>
                <w:i/>
                <w:iCs/>
              </w:rPr>
              <w:t>precodingAndNumberOfLayers2</w:t>
            </w:r>
          </w:p>
          <w:p w14:paraId="52030FA3" w14:textId="6979F3AB" w:rsidR="00606C47" w:rsidRPr="00FA0D37" w:rsidRDefault="00606C47" w:rsidP="00771058">
            <w:pPr>
              <w:pStyle w:val="TAL"/>
              <w:rPr>
                <w:b/>
                <w:bCs/>
                <w:i/>
                <w:iCs/>
                <w:lang w:eastAsia="x-none"/>
              </w:rPr>
            </w:pPr>
            <w:r w:rsidRPr="00FA0D37">
              <w:t xml:space="preserve">Indicates the precoding and number of layers for the second SRS resource set. When this field is present, </w:t>
            </w:r>
            <w:r w:rsidRPr="00FA0D37">
              <w:rPr>
                <w:i/>
                <w:iCs/>
              </w:rPr>
              <w:t>precodingAndNumberOfLayers</w:t>
            </w:r>
            <w:r w:rsidRPr="00FA0D37">
              <w:t xml:space="preserve"> indicated the precoding and number of layers for the first SRS resource set</w:t>
            </w:r>
            <w:r w:rsidR="00870415" w:rsidRPr="00FA0D37">
              <w:t>.</w:t>
            </w:r>
          </w:p>
        </w:tc>
      </w:tr>
      <w:tr w:rsidR="005C7FF4" w:rsidRPr="00FA0D37"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FA0D37" w:rsidRDefault="00394471" w:rsidP="00964CC4">
            <w:pPr>
              <w:pStyle w:val="TAL"/>
              <w:rPr>
                <w:b/>
                <w:bCs/>
                <w:i/>
                <w:iCs/>
                <w:lang w:eastAsia="x-none"/>
              </w:rPr>
            </w:pPr>
            <w:r w:rsidRPr="00FA0D37">
              <w:rPr>
                <w:b/>
                <w:bCs/>
                <w:i/>
                <w:iCs/>
                <w:lang w:eastAsia="x-none"/>
              </w:rPr>
              <w:t>pusch-RepTypeIndicator</w:t>
            </w:r>
          </w:p>
          <w:p w14:paraId="00104483" w14:textId="54252C6C" w:rsidR="00394471" w:rsidRPr="00FA0D37" w:rsidRDefault="00394471" w:rsidP="00964CC4">
            <w:pPr>
              <w:pStyle w:val="TAL"/>
              <w:rPr>
                <w:b/>
                <w:i/>
                <w:szCs w:val="22"/>
                <w:lang w:eastAsia="sv-SE"/>
              </w:rPr>
            </w:pPr>
            <w:r w:rsidRPr="00FA0D37">
              <w:rPr>
                <w:szCs w:val="22"/>
                <w:lang w:eastAsia="sv-SE"/>
              </w:rPr>
              <w:t xml:space="preserve">Indicates whether UE follows the behavior for PUSCH repetition type A or the behavior for PUSCH repetition type B for each Type 1 configured grant configuration. The value </w:t>
            </w:r>
            <w:r w:rsidRPr="00FA0D37">
              <w:rPr>
                <w:i/>
                <w:szCs w:val="22"/>
                <w:lang w:eastAsia="sv-SE"/>
              </w:rPr>
              <w:t xml:space="preserve">pusch-RepTypeA </w:t>
            </w:r>
            <w:r w:rsidRPr="00FA0D37">
              <w:rPr>
                <w:szCs w:val="22"/>
                <w:lang w:eastAsia="sv-SE"/>
              </w:rPr>
              <w:t xml:space="preserve">enables the 'PUSCH repetition type A' and the value </w:t>
            </w:r>
            <w:r w:rsidRPr="00FA0D37">
              <w:rPr>
                <w:i/>
                <w:szCs w:val="22"/>
                <w:lang w:eastAsia="sv-SE"/>
              </w:rPr>
              <w:t>pusch-RepTypeB</w:t>
            </w:r>
            <w:r w:rsidRPr="00FA0D37">
              <w:rPr>
                <w:szCs w:val="22"/>
                <w:lang w:eastAsia="sv-SE"/>
              </w:rPr>
              <w:t xml:space="preserve"> enables the 'PUSCH repetition type B' (see TS 38.214 [19], clause 6.1.2.3).</w:t>
            </w:r>
            <w:r w:rsidR="00110757" w:rsidRPr="00FA0D37">
              <w:rPr>
                <w:szCs w:val="22"/>
                <w:lang w:eastAsia="sv-SE"/>
              </w:rPr>
              <w:t xml:space="preserve"> The value </w:t>
            </w:r>
            <w:r w:rsidR="00110757" w:rsidRPr="00FA0D37">
              <w:rPr>
                <w:i/>
                <w:szCs w:val="22"/>
                <w:lang w:eastAsia="sv-SE"/>
              </w:rPr>
              <w:t>pusch-RepTypeB</w:t>
            </w:r>
            <w:r w:rsidR="00110757" w:rsidRPr="00FA0D37">
              <w:rPr>
                <w:szCs w:val="22"/>
                <w:lang w:eastAsia="sv-SE"/>
              </w:rPr>
              <w:t xml:space="preserve"> is not configured simultaneously with </w:t>
            </w:r>
            <w:r w:rsidR="00110757" w:rsidRPr="00FA0D37">
              <w:rPr>
                <w:i/>
                <w:iCs/>
                <w:szCs w:val="22"/>
                <w:lang w:eastAsia="sv-SE"/>
              </w:rPr>
              <w:t>cg-nrofPUSCH-InSlot-r16</w:t>
            </w:r>
            <w:r w:rsidR="00110757" w:rsidRPr="00FA0D37">
              <w:rPr>
                <w:szCs w:val="22"/>
                <w:lang w:eastAsia="sv-SE"/>
              </w:rPr>
              <w:t xml:space="preserve"> and </w:t>
            </w:r>
            <w:r w:rsidR="00110757" w:rsidRPr="00FA0D37">
              <w:rPr>
                <w:i/>
                <w:iCs/>
                <w:szCs w:val="22"/>
                <w:lang w:eastAsia="sv-SE"/>
              </w:rPr>
              <w:t>cg-nrofSlots-r16</w:t>
            </w:r>
            <w:r w:rsidR="00110757" w:rsidRPr="00FA0D37">
              <w:rPr>
                <w:szCs w:val="22"/>
                <w:lang w:eastAsia="sv-SE"/>
              </w:rPr>
              <w:t>.</w:t>
            </w:r>
            <w:r w:rsidR="00F27D15" w:rsidRPr="00FA0D37">
              <w:rPr>
                <w:szCs w:val="22"/>
                <w:lang w:eastAsia="sv-SE"/>
              </w:rPr>
              <w:t xml:space="preserve"> The network does not configure this field if </w:t>
            </w:r>
            <w:r w:rsidR="00F27D15" w:rsidRPr="00FA0D37">
              <w:rPr>
                <w:i/>
                <w:iCs/>
                <w:szCs w:val="22"/>
                <w:lang w:eastAsia="sv-SE"/>
              </w:rPr>
              <w:t xml:space="preserve">cg-RetransmissionTimer-r16 </w:t>
            </w:r>
            <w:r w:rsidR="00F27D15" w:rsidRPr="00FA0D37">
              <w:rPr>
                <w:szCs w:val="22"/>
                <w:lang w:eastAsia="sv-SE"/>
              </w:rPr>
              <w:t>is configured for CG operation with shared spectrum channel access.</w:t>
            </w:r>
          </w:p>
        </w:tc>
      </w:tr>
      <w:tr w:rsidR="005C7FF4" w:rsidRPr="00FA0D37"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FA0D37" w:rsidRDefault="00394471" w:rsidP="00964CC4">
            <w:pPr>
              <w:pStyle w:val="TAL"/>
              <w:rPr>
                <w:szCs w:val="22"/>
                <w:lang w:eastAsia="sv-SE"/>
              </w:rPr>
            </w:pPr>
            <w:r w:rsidRPr="00FA0D37">
              <w:rPr>
                <w:b/>
                <w:i/>
                <w:szCs w:val="22"/>
                <w:lang w:eastAsia="sv-SE"/>
              </w:rPr>
              <w:t>rbg-Size</w:t>
            </w:r>
          </w:p>
          <w:p w14:paraId="3E9D5C04" w14:textId="77777777" w:rsidR="00394471" w:rsidRPr="00FA0D37" w:rsidRDefault="00394471" w:rsidP="00964CC4">
            <w:pPr>
              <w:pStyle w:val="TAL"/>
              <w:rPr>
                <w:szCs w:val="22"/>
                <w:lang w:eastAsia="sv-SE"/>
              </w:rPr>
            </w:pPr>
            <w:r w:rsidRPr="00FA0D37">
              <w:rPr>
                <w:szCs w:val="22"/>
                <w:lang w:eastAsia="sv-SE"/>
              </w:rPr>
              <w:t xml:space="preserve">Selection between configuration 1 and configuration 2 for RBG size for PUSCH. The UE does not apply this field if </w:t>
            </w:r>
            <w:r w:rsidRPr="00FA0D37">
              <w:rPr>
                <w:i/>
                <w:szCs w:val="22"/>
                <w:lang w:eastAsia="sv-SE"/>
              </w:rPr>
              <w:t>resourceAllocation</w:t>
            </w:r>
            <w:r w:rsidRPr="00FA0D37">
              <w:rPr>
                <w:szCs w:val="22"/>
                <w:lang w:eastAsia="sv-SE"/>
              </w:rPr>
              <w:t xml:space="preserve"> is set to </w:t>
            </w:r>
            <w:r w:rsidRPr="00FA0D37">
              <w:rPr>
                <w:i/>
                <w:szCs w:val="22"/>
                <w:lang w:eastAsia="sv-SE"/>
              </w:rPr>
              <w:t>resourceAllocationType1</w:t>
            </w:r>
            <w:r w:rsidRPr="00FA0D37">
              <w:rPr>
                <w:szCs w:val="22"/>
                <w:lang w:eastAsia="sv-SE"/>
              </w:rPr>
              <w:t xml:space="preserve">. Otherwise, the UE applies the value </w:t>
            </w:r>
            <w:r w:rsidRPr="00FA0D37">
              <w:rPr>
                <w:i/>
                <w:szCs w:val="22"/>
                <w:lang w:eastAsia="sv-SE"/>
              </w:rPr>
              <w:t>config1</w:t>
            </w:r>
            <w:r w:rsidRPr="00FA0D37">
              <w:rPr>
                <w:szCs w:val="22"/>
                <w:lang w:eastAsia="sv-SE"/>
              </w:rPr>
              <w:t xml:space="preserve"> when the field is absent. Note: </w:t>
            </w:r>
            <w:r w:rsidRPr="00FA0D37">
              <w:rPr>
                <w:i/>
                <w:lang w:eastAsia="sv-SE"/>
              </w:rPr>
              <w:t>rbg-Size</w:t>
            </w:r>
            <w:r w:rsidRPr="00FA0D37">
              <w:rPr>
                <w:szCs w:val="22"/>
                <w:lang w:eastAsia="sv-SE"/>
              </w:rPr>
              <w:t xml:space="preserve"> is used when the </w:t>
            </w:r>
            <w:r w:rsidRPr="00FA0D37">
              <w:rPr>
                <w:i/>
                <w:lang w:eastAsia="sv-SE"/>
              </w:rPr>
              <w:t>transformPrecoder</w:t>
            </w:r>
            <w:r w:rsidRPr="00FA0D37">
              <w:rPr>
                <w:szCs w:val="22"/>
                <w:lang w:eastAsia="sv-SE"/>
              </w:rPr>
              <w:t xml:space="preserve"> parameter is disabled.</w:t>
            </w:r>
          </w:p>
        </w:tc>
      </w:tr>
      <w:tr w:rsidR="005C7FF4" w:rsidRPr="00FA0D37"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FA0D37" w:rsidRDefault="00394471" w:rsidP="00964CC4">
            <w:pPr>
              <w:pStyle w:val="TAL"/>
              <w:rPr>
                <w:szCs w:val="22"/>
                <w:lang w:eastAsia="sv-SE"/>
              </w:rPr>
            </w:pPr>
            <w:r w:rsidRPr="00FA0D37">
              <w:rPr>
                <w:b/>
                <w:i/>
                <w:szCs w:val="22"/>
                <w:lang w:eastAsia="sv-SE"/>
              </w:rPr>
              <w:t>repK-RV</w:t>
            </w:r>
          </w:p>
          <w:p w14:paraId="7CE4341C" w14:textId="77777777" w:rsidR="00394471" w:rsidRPr="00FA0D37" w:rsidRDefault="00394471" w:rsidP="00964CC4">
            <w:pPr>
              <w:pStyle w:val="TAL"/>
              <w:rPr>
                <w:szCs w:val="22"/>
                <w:lang w:eastAsia="sv-SE"/>
              </w:rPr>
            </w:pPr>
            <w:r w:rsidRPr="00FA0D37">
              <w:rPr>
                <w:szCs w:val="22"/>
                <w:lang w:eastAsia="sv-SE"/>
              </w:rPr>
              <w:t xml:space="preserve">The redundancy version (RV) sequence to use. See TS 38.214 [19], clause 6.1.2. The network configures this field if repetitions are used, i.e., if </w:t>
            </w:r>
            <w:r w:rsidRPr="00FA0D37">
              <w:rPr>
                <w:i/>
                <w:lang w:eastAsia="sv-SE"/>
              </w:rPr>
              <w:t>repK</w:t>
            </w:r>
            <w:r w:rsidRPr="00FA0D37">
              <w:rPr>
                <w:szCs w:val="22"/>
                <w:lang w:eastAsia="sv-SE"/>
              </w:rPr>
              <w:t xml:space="preserve"> is set to </w:t>
            </w:r>
            <w:r w:rsidRPr="00FA0D37">
              <w:rPr>
                <w:i/>
                <w:lang w:eastAsia="sv-SE"/>
              </w:rPr>
              <w:t>n2</w:t>
            </w:r>
            <w:r w:rsidRPr="00FA0D37">
              <w:rPr>
                <w:szCs w:val="22"/>
                <w:lang w:eastAsia="sv-SE"/>
              </w:rPr>
              <w:t xml:space="preserve">, </w:t>
            </w:r>
            <w:r w:rsidRPr="00FA0D37">
              <w:rPr>
                <w:i/>
                <w:lang w:eastAsia="sv-SE"/>
              </w:rPr>
              <w:t>n4</w:t>
            </w:r>
            <w:r w:rsidRPr="00FA0D37">
              <w:rPr>
                <w:szCs w:val="22"/>
                <w:lang w:eastAsia="sv-SE"/>
              </w:rPr>
              <w:t xml:space="preserve"> or </w:t>
            </w:r>
            <w:r w:rsidRPr="00FA0D37">
              <w:rPr>
                <w:i/>
                <w:lang w:eastAsia="sv-SE"/>
              </w:rPr>
              <w:t>n8</w:t>
            </w:r>
            <w:r w:rsidRPr="00FA0D37">
              <w:rPr>
                <w:szCs w:val="22"/>
                <w:lang w:eastAsia="sv-SE"/>
              </w:rPr>
              <w:t xml:space="preserve">. </w:t>
            </w:r>
            <w:r w:rsidRPr="00FA0D37">
              <w:rPr>
                <w:szCs w:val="22"/>
              </w:rPr>
              <w:t xml:space="preserve">This field is not configured when </w:t>
            </w:r>
            <w:r w:rsidRPr="00FA0D37">
              <w:rPr>
                <w:i/>
                <w:iCs/>
                <w:szCs w:val="22"/>
              </w:rPr>
              <w:t>cg-RetransmissionTimer</w:t>
            </w:r>
            <w:r w:rsidRPr="00FA0D37">
              <w:rPr>
                <w:szCs w:val="22"/>
              </w:rPr>
              <w:t xml:space="preserve"> is configured. </w:t>
            </w:r>
            <w:r w:rsidRPr="00FA0D37">
              <w:rPr>
                <w:szCs w:val="22"/>
                <w:lang w:eastAsia="sv-SE"/>
              </w:rPr>
              <w:t>Otherwise, the field is absent.</w:t>
            </w:r>
          </w:p>
        </w:tc>
      </w:tr>
      <w:tr w:rsidR="005C7FF4" w:rsidRPr="00FA0D37"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FA0D37" w:rsidRDefault="00394471" w:rsidP="00964CC4">
            <w:pPr>
              <w:pStyle w:val="TAL"/>
              <w:rPr>
                <w:szCs w:val="22"/>
                <w:lang w:eastAsia="sv-SE"/>
              </w:rPr>
            </w:pPr>
            <w:r w:rsidRPr="00FA0D37">
              <w:rPr>
                <w:b/>
                <w:i/>
                <w:szCs w:val="22"/>
                <w:lang w:eastAsia="sv-SE"/>
              </w:rPr>
              <w:t>repK</w:t>
            </w:r>
          </w:p>
          <w:p w14:paraId="50FC829B" w14:textId="73CE80FE" w:rsidR="00394471" w:rsidRPr="00FA0D37" w:rsidRDefault="00394471" w:rsidP="00964CC4">
            <w:pPr>
              <w:pStyle w:val="TAL"/>
              <w:rPr>
                <w:szCs w:val="22"/>
                <w:lang w:eastAsia="sv-SE"/>
              </w:rPr>
            </w:pPr>
            <w:r w:rsidRPr="00FA0D37">
              <w:rPr>
                <w:szCs w:val="22"/>
                <w:lang w:eastAsia="sv-SE"/>
              </w:rPr>
              <w:t>Number of repetitions K</w:t>
            </w:r>
            <w:r w:rsidRPr="00FA0D37">
              <w:rPr>
                <w:szCs w:val="22"/>
              </w:rPr>
              <w:t>, see TS 38.214 [19]</w:t>
            </w:r>
            <w:r w:rsidRPr="00FA0D37">
              <w:rPr>
                <w:szCs w:val="22"/>
                <w:lang w:eastAsia="sv-SE"/>
              </w:rPr>
              <w:t>.</w:t>
            </w:r>
            <w:r w:rsidR="00876032" w:rsidRPr="00FA0D37">
              <w:rPr>
                <w:szCs w:val="22"/>
                <w:lang w:eastAsia="sv-SE"/>
              </w:rPr>
              <w:t xml:space="preserve"> If the field </w:t>
            </w:r>
            <w:r w:rsidR="00876032" w:rsidRPr="00FA0D37">
              <w:rPr>
                <w:i/>
                <w:szCs w:val="22"/>
                <w:lang w:eastAsia="sv-SE"/>
              </w:rPr>
              <w:t>repK-</w:t>
            </w:r>
            <w:r w:rsidR="00A90289" w:rsidRPr="00FA0D37">
              <w:rPr>
                <w:i/>
                <w:szCs w:val="22"/>
                <w:lang w:eastAsia="sv-SE"/>
              </w:rPr>
              <w:t>v</w:t>
            </w:r>
            <w:r w:rsidR="00876032" w:rsidRPr="00FA0D37">
              <w:rPr>
                <w:i/>
                <w:szCs w:val="22"/>
                <w:lang w:eastAsia="sv-SE"/>
              </w:rPr>
              <w:t>17</w:t>
            </w:r>
            <w:r w:rsidR="00A90289" w:rsidRPr="00FA0D37">
              <w:rPr>
                <w:i/>
                <w:szCs w:val="22"/>
                <w:lang w:eastAsia="sv-SE"/>
              </w:rPr>
              <w:t>10</w:t>
            </w:r>
            <w:r w:rsidR="00876032" w:rsidRPr="00FA0D37">
              <w:rPr>
                <w:szCs w:val="22"/>
                <w:lang w:eastAsia="sv-SE"/>
              </w:rPr>
              <w:t xml:space="preserve"> is present, the UE shall ignore the </w:t>
            </w:r>
            <w:r w:rsidR="00876032" w:rsidRPr="00FA0D37">
              <w:rPr>
                <w:i/>
                <w:szCs w:val="22"/>
                <w:lang w:eastAsia="sv-SE"/>
              </w:rPr>
              <w:t xml:space="preserve">repK </w:t>
            </w:r>
            <w:r w:rsidR="00876032" w:rsidRPr="00FA0D37">
              <w:rPr>
                <w:szCs w:val="22"/>
                <w:lang w:eastAsia="sv-SE"/>
              </w:rPr>
              <w:t>(without suffix).</w:t>
            </w:r>
          </w:p>
        </w:tc>
      </w:tr>
      <w:tr w:rsidR="005C7FF4" w:rsidRPr="00FA0D37"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FA0D37" w:rsidRDefault="00394471" w:rsidP="00964CC4">
            <w:pPr>
              <w:pStyle w:val="TAL"/>
              <w:rPr>
                <w:szCs w:val="22"/>
                <w:lang w:eastAsia="sv-SE"/>
              </w:rPr>
            </w:pPr>
            <w:r w:rsidRPr="00FA0D37">
              <w:rPr>
                <w:b/>
                <w:i/>
                <w:szCs w:val="22"/>
                <w:lang w:eastAsia="sv-SE"/>
              </w:rPr>
              <w:t>resourceAllocation</w:t>
            </w:r>
          </w:p>
          <w:p w14:paraId="4FD468BE" w14:textId="77777777" w:rsidR="00394471" w:rsidRPr="00FA0D37" w:rsidRDefault="00394471" w:rsidP="00964CC4">
            <w:pPr>
              <w:pStyle w:val="TAL"/>
              <w:rPr>
                <w:szCs w:val="22"/>
                <w:lang w:eastAsia="sv-SE"/>
              </w:rPr>
            </w:pPr>
            <w:r w:rsidRPr="00FA0D37">
              <w:rPr>
                <w:szCs w:val="22"/>
                <w:lang w:eastAsia="sv-SE"/>
              </w:rPr>
              <w:t xml:space="preserve">Configuration of resource allocation type 0 and resource allocation type 1. For Type 1 UL data transmission without grant, </w:t>
            </w:r>
            <w:r w:rsidRPr="00FA0D37">
              <w:rPr>
                <w:i/>
                <w:szCs w:val="22"/>
                <w:lang w:eastAsia="sv-SE"/>
              </w:rPr>
              <w:t>resourceAllocation</w:t>
            </w:r>
            <w:r w:rsidRPr="00FA0D37">
              <w:rPr>
                <w:szCs w:val="22"/>
                <w:lang w:eastAsia="sv-SE"/>
              </w:rPr>
              <w:t xml:space="preserve"> should be </w:t>
            </w:r>
            <w:r w:rsidRPr="00FA0D37">
              <w:rPr>
                <w:i/>
                <w:lang w:eastAsia="sv-SE"/>
              </w:rPr>
              <w:t>resourceAllocationType0</w:t>
            </w:r>
            <w:r w:rsidRPr="00FA0D37">
              <w:rPr>
                <w:szCs w:val="22"/>
                <w:lang w:eastAsia="sv-SE"/>
              </w:rPr>
              <w:t xml:space="preserve"> or </w:t>
            </w:r>
            <w:r w:rsidRPr="00FA0D37">
              <w:rPr>
                <w:i/>
                <w:lang w:eastAsia="sv-SE"/>
              </w:rPr>
              <w:t>resourceAllocationType1</w:t>
            </w:r>
            <w:r w:rsidRPr="00FA0D37">
              <w:rPr>
                <w:szCs w:val="22"/>
                <w:lang w:eastAsia="sv-SE"/>
              </w:rPr>
              <w:t>.</w:t>
            </w:r>
          </w:p>
        </w:tc>
      </w:tr>
      <w:tr w:rsidR="005C7FF4" w:rsidRPr="00FA0D37"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FA0D37" w:rsidRDefault="00394471" w:rsidP="00964CC4">
            <w:pPr>
              <w:pStyle w:val="TAL"/>
              <w:rPr>
                <w:szCs w:val="22"/>
                <w:lang w:eastAsia="sv-SE"/>
              </w:rPr>
            </w:pPr>
            <w:r w:rsidRPr="00FA0D37">
              <w:rPr>
                <w:b/>
                <w:i/>
                <w:szCs w:val="22"/>
                <w:lang w:eastAsia="sv-SE"/>
              </w:rPr>
              <w:t>rrc-ConfiguredUplinkGrant</w:t>
            </w:r>
          </w:p>
          <w:p w14:paraId="464CE6EF" w14:textId="28505305" w:rsidR="00394471" w:rsidRPr="00FA0D37" w:rsidRDefault="00394471" w:rsidP="00964CC4">
            <w:pPr>
              <w:pStyle w:val="TAL"/>
              <w:rPr>
                <w:szCs w:val="22"/>
                <w:lang w:eastAsia="sv-SE"/>
              </w:rPr>
            </w:pPr>
            <w:r w:rsidRPr="00FA0D37">
              <w:rPr>
                <w:szCs w:val="22"/>
                <w:lang w:eastAsia="sv-SE"/>
              </w:rPr>
              <w:t>Configuration for "configured grant" transmission with fully RRC-configured UL grant (Type1). If this field is absent the UE uses UL grant configured by DCI addressed to CS-RNTI (Type2).</w:t>
            </w:r>
          </w:p>
        </w:tc>
      </w:tr>
      <w:tr w:rsidR="005C7FF4" w:rsidRPr="00FA0D37"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606C47" w:rsidRPr="00FA0D37" w:rsidRDefault="00606C47" w:rsidP="00771058">
            <w:pPr>
              <w:pStyle w:val="TAL"/>
              <w:rPr>
                <w:b/>
                <w:i/>
                <w:szCs w:val="22"/>
                <w:lang w:eastAsia="sv-SE"/>
              </w:rPr>
            </w:pPr>
            <w:r w:rsidRPr="00FA0D37">
              <w:rPr>
                <w:b/>
                <w:i/>
                <w:szCs w:val="22"/>
                <w:lang w:eastAsia="sv-SE"/>
              </w:rPr>
              <w:t>sequenceOffsetForRV</w:t>
            </w:r>
          </w:p>
          <w:p w14:paraId="2340DE48" w14:textId="24433B97" w:rsidR="00606C47" w:rsidRPr="00FA0D37" w:rsidRDefault="00606C47" w:rsidP="00771058">
            <w:pPr>
              <w:pStyle w:val="TAL"/>
              <w:rPr>
                <w:bCs/>
                <w:iCs/>
                <w:szCs w:val="22"/>
                <w:lang w:eastAsia="sv-SE"/>
              </w:rPr>
            </w:pPr>
            <w:r w:rsidRPr="00FA0D37">
              <w:rPr>
                <w:bCs/>
                <w:iCs/>
                <w:szCs w:val="22"/>
                <w:lang w:eastAsia="sv-SE"/>
              </w:rPr>
              <w:t xml:space="preserve">Configures the RV offset for the starting RV for the first repetition (first actual repetition in PUSCH repetition Type B) towards the second </w:t>
            </w:r>
            <w:r w:rsidR="00C90514" w:rsidRPr="00FA0D37">
              <w:rPr>
                <w:bCs/>
                <w:iCs/>
                <w:szCs w:val="22"/>
                <w:lang w:eastAsia="sv-SE"/>
              </w:rPr>
              <w:t>'</w:t>
            </w:r>
            <w:r w:rsidRPr="00FA0D37">
              <w:rPr>
                <w:bCs/>
                <w:iCs/>
                <w:szCs w:val="22"/>
                <w:lang w:eastAsia="sv-SE"/>
              </w:rPr>
              <w:t>SRS resource set</w:t>
            </w:r>
            <w:r w:rsidR="00C90514" w:rsidRPr="00FA0D37">
              <w:rPr>
                <w:bCs/>
                <w:iCs/>
                <w:szCs w:val="22"/>
                <w:lang w:eastAsia="sv-SE"/>
              </w:rPr>
              <w:t>'</w:t>
            </w:r>
            <w:r w:rsidRPr="00FA0D37">
              <w:rPr>
                <w:bCs/>
                <w:iCs/>
                <w:szCs w:val="22"/>
                <w:lang w:eastAsia="sv-SE"/>
              </w:rPr>
              <w:t xml:space="preserve"> for PUSCH</w:t>
            </w:r>
            <w:r w:rsidR="00486327" w:rsidRPr="00FA0D37">
              <w:rPr>
                <w:bCs/>
                <w:iCs/>
                <w:szCs w:val="22"/>
                <w:lang w:eastAsia="sv-SE"/>
              </w:rPr>
              <w:t xml:space="preserve"> </w:t>
            </w:r>
            <w:r w:rsidR="00486327" w:rsidRPr="00FA0D37">
              <w:rPr>
                <w:lang w:eastAsia="x-none"/>
              </w:rPr>
              <w:t xml:space="preserve">configured in either </w:t>
            </w:r>
            <w:r w:rsidR="00486327" w:rsidRPr="00FA0D37">
              <w:rPr>
                <w:rFonts w:cs="Arial"/>
                <w:i/>
                <w:iCs/>
              </w:rPr>
              <w:t>srs-ResourceSetToAddModList</w:t>
            </w:r>
            <w:r w:rsidR="00486327" w:rsidRPr="00FA0D37">
              <w:rPr>
                <w:rFonts w:cs="Arial"/>
              </w:rPr>
              <w:t xml:space="preserve"> or </w:t>
            </w:r>
            <w:r w:rsidR="00486327" w:rsidRPr="00FA0D37">
              <w:rPr>
                <w:rFonts w:cs="Arial"/>
                <w:i/>
                <w:iCs/>
              </w:rPr>
              <w:t>srs-ResourceSetToAddModListDCI-0-2</w:t>
            </w:r>
            <w:r w:rsidR="00486327" w:rsidRPr="00FA0D37">
              <w:rPr>
                <w:rFonts w:cs="Arial"/>
              </w:rPr>
              <w:t xml:space="preserve"> with usage </w:t>
            </w:r>
            <w:r w:rsidR="00743BF8" w:rsidRPr="00FA0D37">
              <w:rPr>
                <w:rFonts w:cs="Arial"/>
              </w:rPr>
              <w:t>'</w:t>
            </w:r>
            <w:r w:rsidR="00486327" w:rsidRPr="00FA0D37">
              <w:rPr>
                <w:rFonts w:cs="Arial"/>
              </w:rPr>
              <w:t>codebook</w:t>
            </w:r>
            <w:r w:rsidR="00743BF8" w:rsidRPr="00FA0D37">
              <w:rPr>
                <w:rFonts w:cs="Arial"/>
              </w:rPr>
              <w:t>'</w:t>
            </w:r>
            <w:r w:rsidR="00486327" w:rsidRPr="00FA0D37">
              <w:rPr>
                <w:lang w:eastAsia="x-none"/>
              </w:rPr>
              <w:t xml:space="preserve"> or </w:t>
            </w:r>
            <w:r w:rsidR="00743BF8" w:rsidRPr="00FA0D37">
              <w:rPr>
                <w:rFonts w:cs="Arial"/>
              </w:rPr>
              <w:t>'</w:t>
            </w:r>
            <w:r w:rsidR="00486327" w:rsidRPr="00FA0D37">
              <w:rPr>
                <w:rFonts w:cs="Arial"/>
              </w:rPr>
              <w:t>noncodebook</w:t>
            </w:r>
            <w:r w:rsidR="00743BF8" w:rsidRPr="00FA0D37">
              <w:rPr>
                <w:rFonts w:cs="Arial"/>
              </w:rPr>
              <w:t>'</w:t>
            </w:r>
            <w:r w:rsidRPr="00FA0D37">
              <w:rPr>
                <w:bCs/>
                <w:iCs/>
                <w:szCs w:val="22"/>
                <w:lang w:eastAsia="sv-SE"/>
              </w:rPr>
              <w:t>.</w:t>
            </w:r>
          </w:p>
        </w:tc>
      </w:tr>
      <w:tr w:rsidR="005C7FF4" w:rsidRPr="00FA0D37"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FA0D37" w:rsidRDefault="00394471" w:rsidP="00964CC4">
            <w:pPr>
              <w:pStyle w:val="TAL"/>
              <w:rPr>
                <w:szCs w:val="22"/>
                <w:lang w:eastAsia="sv-SE"/>
              </w:rPr>
            </w:pPr>
            <w:r w:rsidRPr="00FA0D37">
              <w:rPr>
                <w:b/>
                <w:i/>
                <w:szCs w:val="22"/>
                <w:lang w:eastAsia="sv-SE"/>
              </w:rPr>
              <w:t>srs-ResourceIndicator</w:t>
            </w:r>
          </w:p>
          <w:p w14:paraId="23975EF7" w14:textId="0FA14171" w:rsidR="00394471" w:rsidRPr="00FA0D37" w:rsidRDefault="00394471" w:rsidP="00964CC4">
            <w:pPr>
              <w:pStyle w:val="TAL"/>
              <w:rPr>
                <w:szCs w:val="22"/>
                <w:lang w:eastAsia="sv-SE"/>
              </w:rPr>
            </w:pPr>
            <w:r w:rsidRPr="00FA0D37">
              <w:rPr>
                <w:szCs w:val="22"/>
                <w:lang w:eastAsia="sv-SE"/>
              </w:rPr>
              <w:t xml:space="preserve">Indicates the SRS resource to be used. </w:t>
            </w:r>
            <w:r w:rsidR="00870415" w:rsidRPr="00FA0D37">
              <w:rPr>
                <w:szCs w:val="22"/>
                <w:lang w:eastAsia="sv-SE"/>
              </w:rPr>
              <w:t>The network does not configure this for CG-SDT.</w:t>
            </w:r>
          </w:p>
        </w:tc>
      </w:tr>
      <w:tr w:rsidR="005C7FF4" w:rsidRPr="00FA0D37"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606C47" w:rsidRPr="00FA0D37" w:rsidRDefault="00606C47" w:rsidP="00771058">
            <w:pPr>
              <w:pStyle w:val="TAL"/>
              <w:rPr>
                <w:szCs w:val="22"/>
                <w:lang w:eastAsia="sv-SE"/>
              </w:rPr>
            </w:pPr>
            <w:r w:rsidRPr="00FA0D37">
              <w:rPr>
                <w:b/>
                <w:i/>
                <w:szCs w:val="22"/>
                <w:lang w:eastAsia="sv-SE"/>
              </w:rPr>
              <w:t>srs-ResourceIndicator2</w:t>
            </w:r>
          </w:p>
          <w:p w14:paraId="39DDAF3A" w14:textId="77777777" w:rsidR="00606C47" w:rsidRPr="00FA0D37" w:rsidRDefault="00606C47" w:rsidP="00771058">
            <w:pPr>
              <w:pStyle w:val="TAL"/>
              <w:rPr>
                <w:b/>
                <w:i/>
                <w:szCs w:val="22"/>
                <w:lang w:eastAsia="sv-SE"/>
              </w:rPr>
            </w:pPr>
            <w:r w:rsidRPr="00FA0D37">
              <w:rPr>
                <w:szCs w:val="22"/>
                <w:lang w:eastAsia="sv-SE"/>
              </w:rPr>
              <w:t xml:space="preserve">Indicates the SRS resource to be used for the second SRS resource set. When </w:t>
            </w:r>
            <w:r w:rsidRPr="00FA0D37">
              <w:t>this field is present</w:t>
            </w:r>
            <w:r w:rsidRPr="00FA0D37">
              <w:rPr>
                <w:szCs w:val="22"/>
                <w:lang w:eastAsia="sv-SE"/>
              </w:rPr>
              <w:t>, the srs-ResourceIndicator is used for the first SRS resource set.</w:t>
            </w:r>
          </w:p>
        </w:tc>
      </w:tr>
      <w:tr w:rsidR="005C7FF4" w:rsidRPr="00FA0D37"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FA0D37" w:rsidRDefault="00394471" w:rsidP="00964CC4">
            <w:pPr>
              <w:pStyle w:val="TAL"/>
              <w:rPr>
                <w:b/>
                <w:i/>
                <w:szCs w:val="22"/>
                <w:lang w:eastAsia="sv-SE"/>
              </w:rPr>
            </w:pPr>
            <w:r w:rsidRPr="00FA0D37">
              <w:rPr>
                <w:b/>
                <w:i/>
                <w:szCs w:val="22"/>
                <w:lang w:eastAsia="sv-SE"/>
              </w:rPr>
              <w:t>startingFromRV0</w:t>
            </w:r>
          </w:p>
          <w:p w14:paraId="0B0F5C7E" w14:textId="61D042AA" w:rsidR="00394471" w:rsidRPr="00FA0D37" w:rsidRDefault="00394471" w:rsidP="00964CC4">
            <w:pPr>
              <w:pStyle w:val="TAL"/>
              <w:rPr>
                <w:b/>
                <w:i/>
                <w:szCs w:val="22"/>
                <w:lang w:eastAsia="sv-SE"/>
              </w:rPr>
            </w:pPr>
            <w:r w:rsidRPr="00FA0D37">
              <w:rPr>
                <w:lang w:eastAsia="sv-SE"/>
              </w:rPr>
              <w:t>This field is used to determine the initial transmission occasion of a transport block for a given RV sequence, see TS 38.214 [19], clause 6.1.2.3.1.</w:t>
            </w:r>
            <w:r w:rsidR="00F27D15" w:rsidRPr="00FA0D37">
              <w:rPr>
                <w:lang w:eastAsia="sv-SE"/>
              </w:rPr>
              <w:t xml:space="preserve"> </w:t>
            </w:r>
            <w:r w:rsidR="00F27D15" w:rsidRPr="00FA0D37">
              <w:rPr>
                <w:szCs w:val="22"/>
                <w:lang w:eastAsia="sv-SE"/>
              </w:rPr>
              <w:t xml:space="preserve">The network does not configure this field if </w:t>
            </w:r>
            <w:r w:rsidR="00F27D15" w:rsidRPr="00FA0D37">
              <w:rPr>
                <w:i/>
                <w:iCs/>
                <w:szCs w:val="22"/>
                <w:lang w:eastAsia="sv-SE"/>
              </w:rPr>
              <w:t xml:space="preserve">cg-RetransmissionTimer-r16 </w:t>
            </w:r>
            <w:r w:rsidR="00F27D15" w:rsidRPr="00FA0D37">
              <w:rPr>
                <w:szCs w:val="22"/>
                <w:lang w:eastAsia="sv-SE"/>
              </w:rPr>
              <w:t>is configured for CG operation.</w:t>
            </w:r>
          </w:p>
        </w:tc>
      </w:tr>
      <w:tr w:rsidR="005C7FF4" w:rsidRPr="00FA0D37"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394471" w:rsidRPr="00FA0D37" w:rsidRDefault="00394471" w:rsidP="00964CC4">
            <w:pPr>
              <w:pStyle w:val="TAL"/>
              <w:rPr>
                <w:szCs w:val="22"/>
                <w:lang w:eastAsia="sv-SE"/>
              </w:rPr>
            </w:pPr>
            <w:r w:rsidRPr="00FA0D37">
              <w:rPr>
                <w:b/>
                <w:i/>
                <w:szCs w:val="22"/>
                <w:lang w:eastAsia="sv-SE"/>
              </w:rPr>
              <w:t>timeDomainAllocation</w:t>
            </w:r>
            <w:r w:rsidR="00EF50BD" w:rsidRPr="00FA0D37">
              <w:rPr>
                <w:b/>
                <w:i/>
                <w:szCs w:val="22"/>
                <w:lang w:eastAsia="sv-SE"/>
              </w:rPr>
              <w:t xml:space="preserve">, </w:t>
            </w:r>
            <w:r w:rsidR="00EF50BD" w:rsidRPr="00FA0D37">
              <w:rPr>
                <w:b/>
                <w:i/>
              </w:rPr>
              <w:t>timeDomainAllocation</w:t>
            </w:r>
            <w:r w:rsidR="00EF50BD" w:rsidRPr="00FA0D37">
              <w:rPr>
                <w:rFonts w:eastAsia="宋体"/>
                <w:b/>
                <w:i/>
                <w:lang w:eastAsia="zh-CN"/>
              </w:rPr>
              <w:t>-v1710</w:t>
            </w:r>
          </w:p>
          <w:p w14:paraId="7B916C88" w14:textId="77777777" w:rsidR="00EF50BD" w:rsidRPr="00FA0D37" w:rsidRDefault="00394471" w:rsidP="00EF50BD">
            <w:pPr>
              <w:pStyle w:val="TAL"/>
              <w:rPr>
                <w:szCs w:val="22"/>
                <w:lang w:eastAsia="sv-SE"/>
              </w:rPr>
            </w:pPr>
            <w:r w:rsidRPr="00FA0D37">
              <w:rPr>
                <w:szCs w:val="22"/>
                <w:lang w:eastAsia="sv-SE"/>
              </w:rPr>
              <w:t>Indicates a combination of start symbol and length and PUSCH mapping type, see TS 38.214 [19], clause 6.1.2 and TS 38.212 [17], clause 7.3.1.</w:t>
            </w:r>
          </w:p>
          <w:p w14:paraId="73542953" w14:textId="74135AAA" w:rsidR="00394471" w:rsidRPr="00FA0D37" w:rsidRDefault="00EF50BD" w:rsidP="00EF50BD">
            <w:pPr>
              <w:pStyle w:val="TAL"/>
              <w:rPr>
                <w:szCs w:val="22"/>
                <w:lang w:eastAsia="sv-SE"/>
              </w:rPr>
            </w:pPr>
            <w:r w:rsidRPr="00FA0D37">
              <w:rPr>
                <w:rFonts w:eastAsia="宋体"/>
                <w:szCs w:val="22"/>
                <w:lang w:eastAsia="zh-CN"/>
              </w:rPr>
              <w:t xml:space="preserve">If the field </w:t>
            </w:r>
            <w:r w:rsidRPr="00FA0D37">
              <w:rPr>
                <w:rFonts w:eastAsia="宋体"/>
                <w:i/>
                <w:iCs/>
                <w:szCs w:val="22"/>
                <w:lang w:eastAsia="zh-CN"/>
              </w:rPr>
              <w:t xml:space="preserve">timeDomainAllocation-v1710 </w:t>
            </w:r>
            <w:r w:rsidRPr="00FA0D37">
              <w:rPr>
                <w:rFonts w:eastAsia="宋体"/>
                <w:szCs w:val="22"/>
                <w:lang w:eastAsia="zh-CN"/>
              </w:rPr>
              <w:t xml:space="preserve">is present, the UE shall ignore </w:t>
            </w:r>
            <w:r w:rsidRPr="00FA0D37">
              <w:rPr>
                <w:rFonts w:eastAsia="宋体"/>
                <w:i/>
                <w:iCs/>
                <w:szCs w:val="22"/>
                <w:lang w:eastAsia="zh-CN"/>
              </w:rPr>
              <w:t>timeDomainAllocation</w:t>
            </w:r>
            <w:r w:rsidRPr="00FA0D37">
              <w:rPr>
                <w:rFonts w:eastAsia="宋体"/>
                <w:szCs w:val="22"/>
                <w:lang w:eastAsia="zh-CN"/>
              </w:rPr>
              <w:t xml:space="preserve"> field (without suffix).</w:t>
            </w:r>
          </w:p>
        </w:tc>
      </w:tr>
      <w:tr w:rsidR="005C7FF4" w:rsidRPr="00FA0D37"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FA0D37" w:rsidRDefault="00394471" w:rsidP="00964CC4">
            <w:pPr>
              <w:pStyle w:val="TAL"/>
              <w:rPr>
                <w:szCs w:val="22"/>
                <w:lang w:eastAsia="sv-SE"/>
              </w:rPr>
            </w:pPr>
            <w:r w:rsidRPr="00FA0D37">
              <w:rPr>
                <w:b/>
                <w:i/>
                <w:szCs w:val="22"/>
                <w:lang w:eastAsia="sv-SE"/>
              </w:rPr>
              <w:t>timeDomainOffset</w:t>
            </w:r>
          </w:p>
          <w:p w14:paraId="0D03C0F2" w14:textId="76BAE68B" w:rsidR="00394471" w:rsidRPr="00FA0D37" w:rsidRDefault="00394471" w:rsidP="00964CC4">
            <w:pPr>
              <w:pStyle w:val="TAL"/>
              <w:rPr>
                <w:szCs w:val="22"/>
                <w:lang w:eastAsia="sv-SE"/>
              </w:rPr>
            </w:pPr>
            <w:r w:rsidRPr="00FA0D37">
              <w:rPr>
                <w:szCs w:val="22"/>
                <w:lang w:eastAsia="sv-SE"/>
              </w:rPr>
              <w:t xml:space="preserve">Offset related to the reference SFN indicated by </w:t>
            </w:r>
            <w:r w:rsidRPr="00FA0D37">
              <w:rPr>
                <w:i/>
                <w:iCs/>
                <w:szCs w:val="22"/>
                <w:lang w:eastAsia="sv-SE"/>
              </w:rPr>
              <w:t>timeReferenceSFN</w:t>
            </w:r>
            <w:r w:rsidRPr="00FA0D37">
              <w:rPr>
                <w:szCs w:val="22"/>
                <w:lang w:eastAsia="sv-SE"/>
              </w:rPr>
              <w:t>, see TS 38.321 [3], clause 5.8.2.</w:t>
            </w:r>
            <w:r w:rsidR="006C501F" w:rsidRPr="00FA0D37">
              <w:rPr>
                <w:szCs w:val="22"/>
                <w:lang w:eastAsia="sv-SE"/>
              </w:rPr>
              <w:t xml:space="preserve"> </w:t>
            </w:r>
            <w:r w:rsidR="006C501F" w:rsidRPr="00FA0D37">
              <w:rPr>
                <w:bCs/>
                <w:i/>
                <w:szCs w:val="22"/>
                <w:lang w:eastAsia="sv-SE"/>
              </w:rPr>
              <w:t xml:space="preserve">timeDomainOffset-r17 </w:t>
            </w:r>
            <w:r w:rsidR="006C501F" w:rsidRPr="00FA0D37">
              <w:rPr>
                <w:szCs w:val="22"/>
                <w:lang w:eastAsia="sv-SE"/>
              </w:rPr>
              <w:t xml:space="preserve">is only applicable to 480 kHz and 960 kHz. If </w:t>
            </w:r>
            <w:r w:rsidR="006C501F" w:rsidRPr="00FA0D37">
              <w:rPr>
                <w:bCs/>
                <w:i/>
                <w:szCs w:val="22"/>
                <w:lang w:eastAsia="sv-SE"/>
              </w:rPr>
              <w:t xml:space="preserve">timeDomainOffset-r17 </w:t>
            </w:r>
            <w:r w:rsidR="006C501F" w:rsidRPr="00FA0D37">
              <w:rPr>
                <w:szCs w:val="22"/>
                <w:lang w:eastAsia="sv-SE"/>
              </w:rPr>
              <w:t xml:space="preserve">is present, the UE shall ignore </w:t>
            </w:r>
            <w:r w:rsidR="006C501F" w:rsidRPr="00FA0D37">
              <w:rPr>
                <w:bCs/>
                <w:i/>
                <w:szCs w:val="22"/>
                <w:lang w:eastAsia="sv-SE"/>
              </w:rPr>
              <w:t xml:space="preserve">timeDomainOffset </w:t>
            </w:r>
            <w:r w:rsidR="006C501F" w:rsidRPr="00FA0D37">
              <w:rPr>
                <w:szCs w:val="22"/>
                <w:lang w:eastAsia="sv-SE"/>
              </w:rPr>
              <w:t>(without suffix).</w:t>
            </w:r>
          </w:p>
        </w:tc>
      </w:tr>
      <w:tr w:rsidR="005C7FF4" w:rsidRPr="00FA0D37"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FA0D37" w:rsidRDefault="00394471" w:rsidP="00964CC4">
            <w:pPr>
              <w:keepNext/>
              <w:keepLines/>
              <w:spacing w:after="0"/>
              <w:rPr>
                <w:rFonts w:ascii="Arial" w:eastAsia="MS Mincho" w:hAnsi="Arial"/>
                <w:b/>
                <w:i/>
                <w:sz w:val="18"/>
                <w:szCs w:val="22"/>
                <w:lang w:eastAsia="sv-SE"/>
              </w:rPr>
            </w:pPr>
            <w:r w:rsidRPr="00FA0D37">
              <w:rPr>
                <w:rFonts w:ascii="Arial" w:eastAsia="MS Mincho" w:hAnsi="Arial"/>
                <w:b/>
                <w:i/>
                <w:sz w:val="18"/>
                <w:szCs w:val="22"/>
                <w:lang w:eastAsia="sv-SE"/>
              </w:rPr>
              <w:lastRenderedPageBreak/>
              <w:t>timeReferenceSFN</w:t>
            </w:r>
          </w:p>
          <w:p w14:paraId="50682684" w14:textId="77777777" w:rsidR="00394471" w:rsidRPr="00FA0D37" w:rsidRDefault="00394471" w:rsidP="00964CC4">
            <w:pPr>
              <w:keepNext/>
              <w:keepLines/>
              <w:spacing w:after="0"/>
              <w:rPr>
                <w:rFonts w:ascii="Arial" w:eastAsia="MS Mincho" w:hAnsi="Arial"/>
                <w:lang w:eastAsia="sv-SE"/>
              </w:rPr>
            </w:pPr>
            <w:r w:rsidRPr="00FA0D37">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FA0D37">
              <w:rPr>
                <w:rFonts w:ascii="Arial" w:hAnsi="Arial" w:cs="Arial"/>
                <w:sz w:val="18"/>
                <w:szCs w:val="18"/>
              </w:rPr>
              <w:t xml:space="preserve">If the field </w:t>
            </w:r>
            <w:r w:rsidRPr="00FA0D37">
              <w:rPr>
                <w:rFonts w:ascii="Arial" w:hAnsi="Arial" w:cs="Arial"/>
                <w:i/>
                <w:iCs/>
                <w:sz w:val="18"/>
                <w:szCs w:val="18"/>
              </w:rPr>
              <w:t xml:space="preserve">timeReferenceSFN </w:t>
            </w:r>
            <w:r w:rsidRPr="00FA0D37">
              <w:rPr>
                <w:rFonts w:ascii="Arial" w:hAnsi="Arial" w:cs="Arial"/>
                <w:sz w:val="18"/>
                <w:szCs w:val="18"/>
              </w:rPr>
              <w:t>is not present, the reference SFN is 0.</w:t>
            </w:r>
          </w:p>
        </w:tc>
      </w:tr>
      <w:tr w:rsidR="005C7FF4" w:rsidRPr="00FA0D37"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FA0D37" w:rsidRDefault="00394471" w:rsidP="00964CC4">
            <w:pPr>
              <w:pStyle w:val="TAL"/>
              <w:rPr>
                <w:szCs w:val="22"/>
                <w:lang w:eastAsia="sv-SE"/>
              </w:rPr>
            </w:pPr>
            <w:r w:rsidRPr="00FA0D37">
              <w:rPr>
                <w:b/>
                <w:i/>
                <w:szCs w:val="22"/>
                <w:lang w:eastAsia="sv-SE"/>
              </w:rPr>
              <w:t>transformPrecoder</w:t>
            </w:r>
          </w:p>
          <w:p w14:paraId="65BD67BC" w14:textId="076B73D1" w:rsidR="00394471" w:rsidRPr="00FA0D37" w:rsidRDefault="00394471" w:rsidP="00964CC4">
            <w:pPr>
              <w:pStyle w:val="TAL"/>
              <w:rPr>
                <w:szCs w:val="22"/>
                <w:lang w:eastAsia="sv-SE"/>
              </w:rPr>
            </w:pPr>
            <w:r w:rsidRPr="00FA0D37">
              <w:rPr>
                <w:szCs w:val="22"/>
                <w:lang w:eastAsia="sv-SE"/>
              </w:rPr>
              <w:t xml:space="preserve">Enables or disables transform precoding for </w:t>
            </w:r>
            <w:r w:rsidRPr="00FA0D37">
              <w:rPr>
                <w:i/>
                <w:szCs w:val="22"/>
                <w:lang w:eastAsia="sv-SE"/>
              </w:rPr>
              <w:t>type1</w:t>
            </w:r>
            <w:r w:rsidRPr="00FA0D37">
              <w:rPr>
                <w:szCs w:val="22"/>
                <w:lang w:eastAsia="sv-SE"/>
              </w:rPr>
              <w:t xml:space="preserve"> and </w:t>
            </w:r>
            <w:r w:rsidRPr="00FA0D37">
              <w:rPr>
                <w:i/>
                <w:szCs w:val="22"/>
                <w:lang w:eastAsia="sv-SE"/>
              </w:rPr>
              <w:t>type2</w:t>
            </w:r>
            <w:r w:rsidRPr="00FA0D37">
              <w:rPr>
                <w:szCs w:val="22"/>
                <w:lang w:eastAsia="sv-SE"/>
              </w:rPr>
              <w:t xml:space="preserve">. If the field is absent, the UE enables or disables transform precoding in accordance with the field </w:t>
            </w:r>
            <w:r w:rsidRPr="00FA0D37">
              <w:rPr>
                <w:i/>
                <w:lang w:eastAsia="sv-SE"/>
              </w:rPr>
              <w:t>msg3-transformPrecoder</w:t>
            </w:r>
            <w:r w:rsidRPr="00FA0D37">
              <w:rPr>
                <w:szCs w:val="22"/>
                <w:lang w:eastAsia="sv-SE"/>
              </w:rPr>
              <w:t xml:space="preserve"> in </w:t>
            </w:r>
            <w:r w:rsidRPr="00FA0D37">
              <w:rPr>
                <w:i/>
                <w:lang w:eastAsia="sv-SE"/>
              </w:rPr>
              <w:t>RACH-ConfigCommon</w:t>
            </w:r>
            <w:r w:rsidR="008E6985" w:rsidRPr="00FA0D37">
              <w:rPr>
                <w:rFonts w:cs="Arial"/>
                <w:lang w:eastAsia="sv-SE"/>
              </w:rPr>
              <w:t xml:space="preserve"> from </w:t>
            </w:r>
            <w:r w:rsidR="008E6985" w:rsidRPr="00FA0D37">
              <w:rPr>
                <w:rFonts w:cs="Arial"/>
                <w:i/>
                <w:lang w:eastAsia="sv-SE"/>
              </w:rPr>
              <w:t>rach-ConfigCommon</w:t>
            </w:r>
            <w:r w:rsidR="008E6985" w:rsidRPr="00FA0D37">
              <w:rPr>
                <w:rFonts w:cs="Arial"/>
                <w:lang w:eastAsia="sv-SE"/>
              </w:rPr>
              <w:t xml:space="preserve"> included directly within BWP configuration (i.e., not included in </w:t>
            </w:r>
            <w:r w:rsidR="008E6985" w:rsidRPr="00FA0D37">
              <w:rPr>
                <w:rFonts w:cs="Arial"/>
                <w:i/>
                <w:lang w:eastAsia="sv-SE"/>
              </w:rPr>
              <w:t>additionalRACH-ConfigList</w:t>
            </w:r>
            <w:r w:rsidR="008E6985" w:rsidRPr="00FA0D37">
              <w:rPr>
                <w:rFonts w:cs="Arial"/>
                <w:lang w:eastAsia="sv-SE"/>
              </w:rPr>
              <w:t>)</w:t>
            </w:r>
            <w:r w:rsidRPr="00FA0D37">
              <w:rPr>
                <w:szCs w:val="22"/>
                <w:lang w:eastAsia="sv-SE"/>
              </w:rPr>
              <w:t>, see TS 38.214 [19], clause 6.1.3.</w:t>
            </w:r>
          </w:p>
        </w:tc>
      </w:tr>
      <w:tr w:rsidR="00394471" w:rsidRPr="00FA0D37"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FA0D37" w:rsidRDefault="00394471" w:rsidP="00964CC4">
            <w:pPr>
              <w:pStyle w:val="TAL"/>
              <w:rPr>
                <w:szCs w:val="22"/>
                <w:lang w:eastAsia="sv-SE"/>
              </w:rPr>
            </w:pPr>
            <w:r w:rsidRPr="00FA0D37">
              <w:rPr>
                <w:b/>
                <w:i/>
                <w:szCs w:val="22"/>
                <w:lang w:eastAsia="sv-SE"/>
              </w:rPr>
              <w:t>uci-OnPUSCH</w:t>
            </w:r>
          </w:p>
          <w:p w14:paraId="6DB25EAA" w14:textId="03F41D6D" w:rsidR="00394471" w:rsidRPr="00FA0D37" w:rsidRDefault="00394471" w:rsidP="00964CC4">
            <w:pPr>
              <w:pStyle w:val="TAL"/>
              <w:rPr>
                <w:szCs w:val="22"/>
                <w:lang w:eastAsia="sv-SE"/>
              </w:rPr>
            </w:pPr>
            <w:r w:rsidRPr="00FA0D37">
              <w:rPr>
                <w:szCs w:val="22"/>
                <w:lang w:eastAsia="sv-SE"/>
              </w:rPr>
              <w:t xml:space="preserve">Selection between and configuration of dynamic and semi-static beta-offset. For Type 1 UL data transmission without grant, </w:t>
            </w:r>
            <w:r w:rsidRPr="00FA0D37">
              <w:rPr>
                <w:i/>
                <w:szCs w:val="22"/>
                <w:lang w:eastAsia="sv-SE"/>
              </w:rPr>
              <w:t>uci-OnPUSCH</w:t>
            </w:r>
            <w:r w:rsidRPr="00FA0D37">
              <w:rPr>
                <w:szCs w:val="22"/>
                <w:lang w:eastAsia="sv-SE"/>
              </w:rPr>
              <w:t xml:space="preserve"> should be set to </w:t>
            </w:r>
            <w:r w:rsidRPr="00FA0D37">
              <w:rPr>
                <w:i/>
                <w:szCs w:val="22"/>
                <w:lang w:eastAsia="sv-SE"/>
              </w:rPr>
              <w:t>semiStatic.</w:t>
            </w:r>
            <w:r w:rsidR="005778E2" w:rsidRPr="00FA0D37">
              <w:rPr>
                <w:iCs/>
                <w:szCs w:val="22"/>
                <w:lang w:eastAsia="sv-SE"/>
              </w:rPr>
              <w:t xml:space="preserve"> The network does not configure this for CG-SDT.</w:t>
            </w:r>
          </w:p>
        </w:tc>
      </w:tr>
    </w:tbl>
    <w:p w14:paraId="1C38244B" w14:textId="77777777" w:rsidR="00394471" w:rsidRPr="00FA0D3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5C7FF4" w:rsidRPr="00FA0D37"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FA0D37" w:rsidRDefault="00394471" w:rsidP="00964CC4">
            <w:pPr>
              <w:pStyle w:val="TAH"/>
              <w:rPr>
                <w:szCs w:val="22"/>
                <w:lang w:eastAsia="sv-SE"/>
              </w:rPr>
            </w:pPr>
            <w:r w:rsidRPr="00FA0D37">
              <w:rPr>
                <w:i/>
                <w:szCs w:val="22"/>
                <w:lang w:eastAsia="sv-SE"/>
              </w:rPr>
              <w:t xml:space="preserve">CG-COT-Sharing </w:t>
            </w:r>
            <w:r w:rsidRPr="00FA0D37">
              <w:rPr>
                <w:szCs w:val="22"/>
                <w:lang w:eastAsia="sv-SE"/>
              </w:rPr>
              <w:t>field descriptions</w:t>
            </w:r>
          </w:p>
        </w:tc>
      </w:tr>
      <w:tr w:rsidR="005C7FF4" w:rsidRPr="00FA0D37"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FA0D37" w:rsidRDefault="00394471" w:rsidP="00964CC4">
            <w:pPr>
              <w:pStyle w:val="TAL"/>
              <w:rPr>
                <w:b/>
                <w:i/>
              </w:rPr>
            </w:pPr>
            <w:r w:rsidRPr="00FA0D37">
              <w:rPr>
                <w:b/>
                <w:i/>
              </w:rPr>
              <w:t>channelAccessPriority</w:t>
            </w:r>
          </w:p>
          <w:p w14:paraId="647A73B1" w14:textId="77777777" w:rsidR="00394471" w:rsidRPr="00FA0D37" w:rsidRDefault="00394471" w:rsidP="00964CC4">
            <w:pPr>
              <w:pStyle w:val="TAL"/>
              <w:rPr>
                <w:lang w:eastAsia="sv-SE"/>
              </w:rPr>
            </w:pPr>
            <w:r w:rsidRPr="00FA0D37">
              <w:t>Indicates the Channel Access Priority Class that the gNB can assume when sharing the UE initiated COT (see 37.213 [48], clause 4.1.3).</w:t>
            </w:r>
          </w:p>
        </w:tc>
      </w:tr>
      <w:tr w:rsidR="005C7FF4" w:rsidRPr="00FA0D37"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FA0D37" w:rsidRDefault="00394471" w:rsidP="00964CC4">
            <w:pPr>
              <w:pStyle w:val="TAL"/>
              <w:rPr>
                <w:szCs w:val="22"/>
                <w:lang w:eastAsia="sv-SE"/>
              </w:rPr>
            </w:pPr>
            <w:r w:rsidRPr="00FA0D37">
              <w:rPr>
                <w:b/>
                <w:i/>
                <w:szCs w:val="22"/>
                <w:lang w:eastAsia="sv-SE"/>
              </w:rPr>
              <w:t>duration</w:t>
            </w:r>
          </w:p>
          <w:p w14:paraId="073761DD" w14:textId="77777777" w:rsidR="00394471" w:rsidRPr="00FA0D37" w:rsidRDefault="00394471" w:rsidP="00964CC4">
            <w:pPr>
              <w:pStyle w:val="TAL"/>
              <w:rPr>
                <w:szCs w:val="22"/>
                <w:lang w:eastAsia="sv-SE"/>
              </w:rPr>
            </w:pPr>
            <w:r w:rsidRPr="00FA0D37">
              <w:rPr>
                <w:rFonts w:cs="Arial"/>
                <w:szCs w:val="22"/>
                <w:lang w:eastAsia="sv-SE"/>
              </w:rPr>
              <w:t>Indicates the number of DL transmission slots within UE initiated COT (see 37.213 [48], clause 4.1.3)</w:t>
            </w:r>
            <w:r w:rsidRPr="00FA0D37">
              <w:rPr>
                <w:szCs w:val="22"/>
                <w:lang w:eastAsia="sv-SE"/>
              </w:rPr>
              <w:t>.</w:t>
            </w:r>
          </w:p>
        </w:tc>
      </w:tr>
      <w:tr w:rsidR="00394471" w:rsidRPr="00FA0D37"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FA0D37" w:rsidRDefault="00394471" w:rsidP="00964CC4">
            <w:pPr>
              <w:pStyle w:val="TAL"/>
              <w:rPr>
                <w:szCs w:val="22"/>
                <w:lang w:eastAsia="sv-SE"/>
              </w:rPr>
            </w:pPr>
            <w:r w:rsidRPr="00FA0D37">
              <w:rPr>
                <w:b/>
                <w:i/>
                <w:szCs w:val="22"/>
                <w:lang w:eastAsia="sv-SE"/>
              </w:rPr>
              <w:t>offset</w:t>
            </w:r>
          </w:p>
          <w:p w14:paraId="5A9C4E5F" w14:textId="77777777" w:rsidR="00394471" w:rsidRPr="00FA0D37" w:rsidRDefault="00394471" w:rsidP="00964CC4">
            <w:pPr>
              <w:pStyle w:val="TAL"/>
              <w:rPr>
                <w:lang w:eastAsia="sv-SE"/>
              </w:rPr>
            </w:pPr>
            <w:r w:rsidRPr="00FA0D37">
              <w:rPr>
                <w:rFonts w:cs="Arial"/>
                <w:szCs w:val="18"/>
                <w:lang w:eastAsia="sv-SE"/>
              </w:rPr>
              <w:t>Indicates the number of DL transmission slots from the end of the slot where CG-UCI is detected after which COT sharing can be used (see 37.213 [48], clause 4.1.3</w:t>
            </w:r>
            <w:r w:rsidRPr="00FA0D37">
              <w:rPr>
                <w:rFonts w:cs="Arial"/>
                <w:szCs w:val="22"/>
                <w:lang w:eastAsia="sv-SE"/>
              </w:rPr>
              <w:t>)</w:t>
            </w:r>
            <w:r w:rsidRPr="00FA0D37">
              <w:rPr>
                <w:szCs w:val="22"/>
                <w:lang w:eastAsia="sv-SE"/>
              </w:rPr>
              <w:t>.</w:t>
            </w:r>
          </w:p>
        </w:tc>
      </w:tr>
    </w:tbl>
    <w:p w14:paraId="377B93BC" w14:textId="77777777" w:rsidR="00394471" w:rsidRPr="00FA0D3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5C7FF4" w:rsidRPr="00FA0D37"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FA0D37" w:rsidRDefault="00394471" w:rsidP="00964CC4">
            <w:pPr>
              <w:pStyle w:val="TAH"/>
              <w:rPr>
                <w:szCs w:val="22"/>
              </w:rPr>
            </w:pPr>
            <w:r w:rsidRPr="00FA0D37">
              <w:rPr>
                <w:i/>
                <w:szCs w:val="22"/>
              </w:rPr>
              <w:t xml:space="preserve">CG-StartingOffsets </w:t>
            </w:r>
            <w:r w:rsidRPr="00FA0D37">
              <w:rPr>
                <w:szCs w:val="22"/>
              </w:rPr>
              <w:t>field descriptions</w:t>
            </w:r>
          </w:p>
        </w:tc>
      </w:tr>
      <w:tr w:rsidR="005C7FF4" w:rsidRPr="00FA0D37"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FA0D37" w:rsidRDefault="00394471" w:rsidP="00964CC4">
            <w:pPr>
              <w:pStyle w:val="TAL"/>
              <w:rPr>
                <w:szCs w:val="22"/>
              </w:rPr>
            </w:pPr>
            <w:r w:rsidRPr="00FA0D37">
              <w:rPr>
                <w:rFonts w:cs="Arial"/>
                <w:b/>
                <w:i/>
                <w:szCs w:val="22"/>
              </w:rPr>
              <w:t>cg-StartingFullBW-InsideCOT</w:t>
            </w:r>
          </w:p>
          <w:p w14:paraId="419118F4" w14:textId="02C9F6BE" w:rsidR="00394471" w:rsidRPr="00FA0D37" w:rsidRDefault="00394471" w:rsidP="00964CC4">
            <w:pPr>
              <w:pStyle w:val="TAL"/>
              <w:rPr>
                <w:b/>
                <w:i/>
                <w:szCs w:val="22"/>
              </w:rPr>
            </w:pPr>
            <w:r w:rsidRPr="00FA0D37">
              <w:rPr>
                <w:rFonts w:cs="Arial"/>
                <w:szCs w:val="22"/>
              </w:rPr>
              <w:t xml:space="preserve">A set of configured grant PUSCH transmission starting offsets </w:t>
            </w:r>
            <w:r w:rsidR="00156D01" w:rsidRPr="00FA0D37">
              <w:rPr>
                <w:rFonts w:cs="Arial"/>
                <w:szCs w:val="22"/>
              </w:rPr>
              <w:t xml:space="preserve">(see TS 38.211[16], Table 5.3.1-2) </w:t>
            </w:r>
            <w:r w:rsidRPr="00FA0D37">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5C7FF4" w:rsidRPr="00FA0D37"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FA0D37" w:rsidRDefault="00394471" w:rsidP="00964CC4">
            <w:pPr>
              <w:pStyle w:val="TAL"/>
              <w:rPr>
                <w:szCs w:val="22"/>
              </w:rPr>
            </w:pPr>
            <w:r w:rsidRPr="00FA0D37">
              <w:rPr>
                <w:rFonts w:cs="Arial"/>
                <w:b/>
                <w:i/>
                <w:szCs w:val="22"/>
              </w:rPr>
              <w:t>cg-StartingFullBW-OutsideCOT</w:t>
            </w:r>
          </w:p>
          <w:p w14:paraId="0E5CEFB9" w14:textId="77777777" w:rsidR="00394471" w:rsidRPr="00FA0D37" w:rsidRDefault="00394471" w:rsidP="00964CC4">
            <w:pPr>
              <w:pStyle w:val="TAL"/>
              <w:rPr>
                <w:szCs w:val="22"/>
              </w:rPr>
            </w:pPr>
            <w:r w:rsidRPr="00FA0D37">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5C7FF4" w:rsidRPr="00FA0D37"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FA0D37" w:rsidRDefault="00394471" w:rsidP="00964CC4">
            <w:pPr>
              <w:pStyle w:val="TAL"/>
              <w:rPr>
                <w:szCs w:val="22"/>
              </w:rPr>
            </w:pPr>
            <w:r w:rsidRPr="00FA0D37">
              <w:rPr>
                <w:rFonts w:cs="Arial"/>
                <w:b/>
                <w:i/>
                <w:szCs w:val="22"/>
              </w:rPr>
              <w:t>cg-StartingPartialBW-InsideCOT</w:t>
            </w:r>
          </w:p>
          <w:p w14:paraId="65593115" w14:textId="77777777" w:rsidR="00394471" w:rsidRPr="00FA0D37" w:rsidRDefault="00394471" w:rsidP="00964CC4">
            <w:pPr>
              <w:pStyle w:val="TAL"/>
            </w:pPr>
            <w:r w:rsidRPr="00FA0D3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0830BB" w:rsidRPr="00FA0D37"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FA0D37" w:rsidRDefault="00394471" w:rsidP="00964CC4">
            <w:pPr>
              <w:pStyle w:val="TAL"/>
              <w:rPr>
                <w:szCs w:val="22"/>
              </w:rPr>
            </w:pPr>
            <w:r w:rsidRPr="00FA0D37">
              <w:rPr>
                <w:rFonts w:cs="Arial"/>
                <w:b/>
                <w:i/>
                <w:szCs w:val="22"/>
              </w:rPr>
              <w:t>cg-StartingPartialBW-OutsideCOT</w:t>
            </w:r>
          </w:p>
          <w:p w14:paraId="1676360A" w14:textId="77777777" w:rsidR="00394471" w:rsidRPr="00FA0D37" w:rsidRDefault="00394471" w:rsidP="00964CC4">
            <w:pPr>
              <w:pStyle w:val="TAL"/>
              <w:rPr>
                <w:b/>
                <w:i/>
                <w:szCs w:val="22"/>
              </w:rPr>
            </w:pPr>
            <w:r w:rsidRPr="00FA0D3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FA0D37"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5C7FF4" w:rsidRPr="00FA0D37"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77777777" w:rsidR="00870415" w:rsidRPr="00FA0D37" w:rsidRDefault="00870415" w:rsidP="00771058">
            <w:pPr>
              <w:pStyle w:val="TAH"/>
              <w:rPr>
                <w:szCs w:val="22"/>
                <w:lang w:eastAsia="sv-SE"/>
              </w:rPr>
            </w:pPr>
            <w:r w:rsidRPr="00FA0D37">
              <w:rPr>
                <w:i/>
                <w:szCs w:val="22"/>
                <w:lang w:eastAsia="sv-SE"/>
              </w:rPr>
              <w:lastRenderedPageBreak/>
              <w:t xml:space="preserve">CG-SDT-Configuration </w:t>
            </w:r>
            <w:r w:rsidRPr="00FA0D37">
              <w:rPr>
                <w:szCs w:val="22"/>
                <w:lang w:eastAsia="sv-SE"/>
              </w:rPr>
              <w:t>field descriptions</w:t>
            </w:r>
          </w:p>
        </w:tc>
      </w:tr>
      <w:tr w:rsidR="005C7FF4" w:rsidRPr="00FA0D37"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77777777" w:rsidR="00337B3E" w:rsidRPr="00FA0D37" w:rsidRDefault="00337B3E" w:rsidP="00337B3E">
            <w:pPr>
              <w:pStyle w:val="TAL"/>
              <w:rPr>
                <w:szCs w:val="22"/>
                <w:lang w:eastAsia="sv-SE"/>
              </w:rPr>
            </w:pPr>
            <w:r w:rsidRPr="00FA0D37">
              <w:rPr>
                <w:b/>
                <w:i/>
                <w:szCs w:val="22"/>
                <w:lang w:eastAsia="sv-SE"/>
              </w:rPr>
              <w:t>cg-SDT-RetransmissionTimer</w:t>
            </w:r>
          </w:p>
          <w:p w14:paraId="02104AE3" w14:textId="78B38642" w:rsidR="00337B3E" w:rsidRPr="00FA0D37" w:rsidRDefault="00337B3E" w:rsidP="00F747EB">
            <w:pPr>
              <w:pStyle w:val="TAL"/>
              <w:rPr>
                <w:lang w:eastAsia="sv-SE"/>
              </w:rPr>
            </w:pPr>
            <w:r w:rsidRPr="00FA0D37">
              <w:rPr>
                <w:rFonts w:cs="Arial"/>
                <w:szCs w:val="22"/>
                <w:lang w:eastAsia="sv-SE"/>
              </w:rPr>
              <w:t xml:space="preserve">Indicates the initial value of the configured grant retransmission timer used for the initial transmission of CG-SDT with CCCH message (see TS 38.321 [3]) in multiples of </w:t>
            </w:r>
            <w:r w:rsidRPr="00FA0D37">
              <w:rPr>
                <w:rFonts w:cs="Arial"/>
                <w:i/>
                <w:szCs w:val="22"/>
                <w:lang w:eastAsia="sv-SE"/>
              </w:rPr>
              <w:t>periodicity</w:t>
            </w:r>
            <w:r w:rsidRPr="00FA0D37">
              <w:rPr>
                <w:rFonts w:cs="Arial"/>
                <w:szCs w:val="22"/>
                <w:lang w:eastAsia="sv-SE"/>
              </w:rPr>
              <w:t>.</w:t>
            </w:r>
          </w:p>
        </w:tc>
      </w:tr>
      <w:tr w:rsidR="005C7FF4" w:rsidRPr="00FA0D37"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77777777" w:rsidR="00870415" w:rsidRPr="00FA0D37" w:rsidRDefault="00870415" w:rsidP="00771058">
            <w:pPr>
              <w:pStyle w:val="TAL"/>
              <w:rPr>
                <w:szCs w:val="22"/>
                <w:lang w:eastAsia="sv-SE"/>
              </w:rPr>
            </w:pPr>
            <w:r w:rsidRPr="00FA0D37">
              <w:rPr>
                <w:b/>
                <w:i/>
                <w:szCs w:val="22"/>
                <w:lang w:eastAsia="sv-SE"/>
              </w:rPr>
              <w:t>sdt-DMRS-Ports</w:t>
            </w:r>
          </w:p>
          <w:p w14:paraId="4C277191" w14:textId="53F8904B" w:rsidR="00870415" w:rsidRPr="00FA0D37" w:rsidRDefault="00870415" w:rsidP="00771058">
            <w:pPr>
              <w:pStyle w:val="TAL"/>
              <w:rPr>
                <w:b/>
                <w:i/>
              </w:rPr>
            </w:pPr>
            <w:r w:rsidRPr="00FA0D37">
              <w:rPr>
                <w:szCs w:val="22"/>
                <w:lang w:eastAsia="sv-SE"/>
              </w:rPr>
              <w:t>Indicates the set of DMRS ports for SSB to PUSCH mapping (see TS 38.213 [13]).</w:t>
            </w:r>
            <w:r w:rsidR="0082073B" w:rsidRPr="00FA0D37">
              <w:t xml:space="preserve"> </w:t>
            </w:r>
            <w:r w:rsidR="004C2442" w:rsidRPr="00FA0D37">
              <w:rPr>
                <w:rFonts w:cs="Arial"/>
                <w:szCs w:val="18"/>
                <w:lang w:eastAsia="zh-CN"/>
              </w:rPr>
              <w:t>T</w:t>
            </w:r>
            <w:r w:rsidR="004C2442" w:rsidRPr="00FA0D37">
              <w:rPr>
                <w:rFonts w:cs="Arial"/>
                <w:szCs w:val="18"/>
                <w:lang w:eastAsia="sv-SE"/>
              </w:rPr>
              <w:t xml:space="preserve">he first (left-most / most significant) bit corresponds to </w:t>
            </w:r>
            <w:r w:rsidR="004C2442" w:rsidRPr="00FA0D37">
              <w:rPr>
                <w:rFonts w:cs="Arial"/>
                <w:szCs w:val="18"/>
                <w:lang w:eastAsia="zh-CN"/>
              </w:rPr>
              <w:t>DMRS port 0</w:t>
            </w:r>
            <w:r w:rsidR="004C2442" w:rsidRPr="00FA0D37">
              <w:rPr>
                <w:rFonts w:cs="Arial"/>
                <w:szCs w:val="18"/>
                <w:lang w:eastAsia="sv-SE"/>
              </w:rPr>
              <w:t>, the second most significant bit</w:t>
            </w:r>
            <w:r w:rsidR="004C2442" w:rsidRPr="00FA0D37">
              <w:rPr>
                <w:rFonts w:cs="Arial"/>
                <w:szCs w:val="18"/>
                <w:lang w:eastAsia="zh-CN"/>
              </w:rPr>
              <w:t xml:space="preserve"> </w:t>
            </w:r>
            <w:r w:rsidR="004C2442" w:rsidRPr="00FA0D37">
              <w:rPr>
                <w:rFonts w:cs="Arial"/>
                <w:szCs w:val="18"/>
                <w:lang w:eastAsia="sv-SE"/>
              </w:rPr>
              <w:t xml:space="preserve">corresponds to </w:t>
            </w:r>
            <w:r w:rsidR="004C2442" w:rsidRPr="00FA0D37">
              <w:rPr>
                <w:rFonts w:cs="Arial"/>
                <w:szCs w:val="18"/>
                <w:lang w:eastAsia="zh-CN"/>
              </w:rPr>
              <w:t xml:space="preserve">DMRS port 1, </w:t>
            </w:r>
            <w:r w:rsidR="004C2442" w:rsidRPr="00FA0D37">
              <w:rPr>
                <w:rFonts w:cs="Arial"/>
                <w:szCs w:val="18"/>
                <w:lang w:eastAsia="sv-SE"/>
              </w:rPr>
              <w:t>and so on.</w:t>
            </w:r>
            <w:r w:rsidR="004C2442" w:rsidRPr="00FA0D37">
              <w:rPr>
                <w:rFonts w:cs="Arial"/>
                <w:szCs w:val="18"/>
                <w:lang w:eastAsia="zh-CN"/>
              </w:rPr>
              <w:t xml:space="preserve"> </w:t>
            </w:r>
            <w:r w:rsidR="004C2442" w:rsidRPr="00FA0D37">
              <w:rPr>
                <w:rFonts w:cs="Arial"/>
                <w:szCs w:val="18"/>
                <w:lang w:eastAsia="sv-SE"/>
              </w:rPr>
              <w:t xml:space="preserve">A bit set to 1 indicates that </w:t>
            </w:r>
            <w:r w:rsidR="004C2442" w:rsidRPr="00FA0D37">
              <w:rPr>
                <w:rFonts w:cs="Arial"/>
                <w:szCs w:val="18"/>
                <w:lang w:eastAsia="zh-CN"/>
              </w:rPr>
              <w:t xml:space="preserve">this DMRS port is used for mapping. </w:t>
            </w:r>
            <w:r w:rsidR="0082073B" w:rsidRPr="00FA0D37">
              <w:t>In case of a RedCap-specific initial downlink BWP that is associated with NCD-SSB, the SSB is the NCD-SSB. Otherwise, the SSB is the CD-SSB.</w:t>
            </w:r>
          </w:p>
        </w:tc>
      </w:tr>
      <w:tr w:rsidR="005C7FF4" w:rsidRPr="00FA0D37"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77777777" w:rsidR="00F747EB" w:rsidRPr="00FA0D37" w:rsidRDefault="00870415" w:rsidP="00771058">
            <w:pPr>
              <w:pStyle w:val="TAL"/>
              <w:rPr>
                <w:b/>
                <w:i/>
                <w:szCs w:val="22"/>
                <w:lang w:eastAsia="sv-SE"/>
              </w:rPr>
            </w:pPr>
            <w:r w:rsidRPr="00FA0D37">
              <w:rPr>
                <w:b/>
                <w:i/>
                <w:szCs w:val="22"/>
                <w:lang w:eastAsia="sv-SE"/>
              </w:rPr>
              <w:t>sdt-NrofDMRS-Sequences</w:t>
            </w:r>
          </w:p>
          <w:p w14:paraId="452F470F" w14:textId="226B46B0" w:rsidR="00870415" w:rsidRPr="00FA0D37" w:rsidRDefault="00870415" w:rsidP="00771058">
            <w:pPr>
              <w:pStyle w:val="TAL"/>
              <w:rPr>
                <w:b/>
                <w:i/>
              </w:rPr>
            </w:pPr>
            <w:r w:rsidRPr="00FA0D37">
              <w:rPr>
                <w:szCs w:val="22"/>
                <w:lang w:eastAsia="sv-SE"/>
              </w:rPr>
              <w:t xml:space="preserve">Indicates the number of DMRS </w:t>
            </w:r>
            <w:r w:rsidR="00337B3E" w:rsidRPr="00FA0D37">
              <w:rPr>
                <w:szCs w:val="22"/>
                <w:lang w:eastAsia="sv-SE"/>
              </w:rPr>
              <w:t xml:space="preserve">sequences </w:t>
            </w:r>
            <w:r w:rsidRPr="00FA0D37">
              <w:rPr>
                <w:szCs w:val="22"/>
                <w:lang w:eastAsia="sv-SE"/>
              </w:rPr>
              <w:t>for SSB to PUSCH mapping (see TS 38.213 [13]).</w:t>
            </w:r>
            <w:r w:rsidR="0082073B" w:rsidRPr="00FA0D37">
              <w:rPr>
                <w:szCs w:val="22"/>
                <w:lang w:eastAsia="sv-SE"/>
              </w:rPr>
              <w:t xml:space="preserve"> </w:t>
            </w:r>
            <w:r w:rsidR="0082073B" w:rsidRPr="00FA0D37">
              <w:t>In case of a RedCap-specific initial downlink BWP that is associated with NCD-SSB, the SSB is the NCD-SSB. Otherwise, the SSB is the CD-SSB.</w:t>
            </w:r>
          </w:p>
        </w:tc>
      </w:tr>
      <w:tr w:rsidR="005C7FF4" w:rsidRPr="00FA0D37"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77777777" w:rsidR="00F747EB" w:rsidRPr="00FA0D37" w:rsidRDefault="00870415" w:rsidP="00771058">
            <w:pPr>
              <w:pStyle w:val="TAL"/>
              <w:rPr>
                <w:b/>
                <w:i/>
              </w:rPr>
            </w:pPr>
            <w:r w:rsidRPr="00FA0D37">
              <w:rPr>
                <w:b/>
                <w:i/>
              </w:rPr>
              <w:t>sdt-SSB-Subset</w:t>
            </w:r>
          </w:p>
          <w:p w14:paraId="044263AB" w14:textId="21318A39" w:rsidR="00870415" w:rsidRPr="00FA0D37" w:rsidRDefault="00870415" w:rsidP="00771058">
            <w:pPr>
              <w:pStyle w:val="TAL"/>
              <w:rPr>
                <w:lang w:eastAsia="sv-SE"/>
              </w:rPr>
            </w:pPr>
            <w:r w:rsidRPr="00FA0D37">
              <w:t>Indicates SSB subset for SSB to CG PUSCH mapping within one CG configuration. If this field is absent, UE assumes the SSB set includes all actually transmitted SSBs.</w:t>
            </w:r>
            <w:r w:rsidR="0082073B" w:rsidRPr="00FA0D37">
              <w:t xml:space="preserve"> In case of a RedCap-specific initial downlink BWP that is associated with NCD-SSB, the SSB is the NCD-SSB. Otherwise, the SSB is the CD-SSB.</w:t>
            </w:r>
          </w:p>
        </w:tc>
      </w:tr>
      <w:tr w:rsidR="005C7FF4" w:rsidRPr="00FA0D37"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77777777" w:rsidR="00870415" w:rsidRPr="00FA0D37" w:rsidRDefault="00870415" w:rsidP="00771058">
            <w:pPr>
              <w:pStyle w:val="TAL"/>
              <w:rPr>
                <w:szCs w:val="22"/>
                <w:lang w:eastAsia="sv-SE"/>
              </w:rPr>
            </w:pPr>
            <w:r w:rsidRPr="00FA0D37">
              <w:rPr>
                <w:b/>
                <w:i/>
                <w:szCs w:val="22"/>
                <w:lang w:eastAsia="sv-SE"/>
              </w:rPr>
              <w:t>sdt-SSB-PerCG-PUSCH</w:t>
            </w:r>
          </w:p>
          <w:p w14:paraId="6E4DC864" w14:textId="2FF738C8" w:rsidR="00870415" w:rsidRPr="00FA0D37" w:rsidRDefault="00870415" w:rsidP="00771058">
            <w:pPr>
              <w:pStyle w:val="TAL"/>
              <w:rPr>
                <w:szCs w:val="22"/>
                <w:lang w:eastAsia="sv-SE"/>
              </w:rPr>
            </w:pPr>
            <w:r w:rsidRPr="00FA0D37">
              <w:rPr>
                <w:rFonts w:cs="Arial"/>
                <w:szCs w:val="22"/>
                <w:lang w:eastAsia="sv-SE"/>
              </w:rPr>
              <w:t xml:space="preserve">The number of SSBs per CG PUSCH </w:t>
            </w:r>
            <w:r w:rsidRPr="00FA0D37">
              <w:rPr>
                <w:szCs w:val="22"/>
                <w:lang w:eastAsia="sv-SE"/>
              </w:rPr>
              <w:t>(see TS 38.213 [13])</w:t>
            </w:r>
            <w:r w:rsidRPr="00FA0D37">
              <w:rPr>
                <w:rFonts w:cs="Arial"/>
                <w:szCs w:val="22"/>
                <w:lang w:eastAsia="sv-SE"/>
              </w:rPr>
              <w:t xml:space="preserve">. Value </w:t>
            </w:r>
            <w:r w:rsidRPr="00FA0D37">
              <w:rPr>
                <w:rFonts w:cs="Arial"/>
                <w:i/>
                <w:iCs/>
                <w:szCs w:val="22"/>
                <w:lang w:eastAsia="sv-SE"/>
              </w:rPr>
              <w:t>one</w:t>
            </w:r>
            <w:r w:rsidRPr="00FA0D37">
              <w:rPr>
                <w:rFonts w:cs="Arial"/>
                <w:szCs w:val="22"/>
                <w:lang w:eastAsia="sv-SE"/>
              </w:rPr>
              <w:t xml:space="preserve"> corresponds to 1 SSBs per CG PUSCH, value </w:t>
            </w:r>
            <w:r w:rsidRPr="00FA0D37">
              <w:rPr>
                <w:rFonts w:cs="Arial"/>
                <w:i/>
                <w:iCs/>
                <w:szCs w:val="22"/>
                <w:lang w:eastAsia="sv-SE"/>
              </w:rPr>
              <w:t>two</w:t>
            </w:r>
            <w:r w:rsidRPr="00FA0D37">
              <w:rPr>
                <w:rFonts w:cs="Arial"/>
                <w:szCs w:val="22"/>
                <w:lang w:eastAsia="sv-SE"/>
              </w:rPr>
              <w:t xml:space="preserve"> corresponds to 2 SSBs per CG PUSCH and so on</w:t>
            </w:r>
            <w:r w:rsidRPr="00FA0D37">
              <w:rPr>
                <w:szCs w:val="22"/>
                <w:lang w:eastAsia="sv-SE"/>
              </w:rPr>
              <w:t>.</w:t>
            </w:r>
            <w:r w:rsidR="0082073B" w:rsidRPr="00FA0D37">
              <w:rPr>
                <w:szCs w:val="22"/>
                <w:lang w:eastAsia="sv-SE"/>
              </w:rPr>
              <w:t xml:space="preserve"> </w:t>
            </w:r>
            <w:r w:rsidR="0082073B" w:rsidRPr="00FA0D37">
              <w:t>In case of a RedCap-specific initial downlink BWP that is associated with NCD-SSB, the SSB is the NCD-SSB. Otherwise, the SSB is the CD-SSB.</w:t>
            </w:r>
          </w:p>
        </w:tc>
      </w:tr>
      <w:tr w:rsidR="005C7FF4" w:rsidRPr="00FA0D37"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77777777" w:rsidR="00870415" w:rsidRPr="00FA0D37" w:rsidRDefault="00870415" w:rsidP="00771058">
            <w:pPr>
              <w:pStyle w:val="TAL"/>
              <w:rPr>
                <w:szCs w:val="22"/>
                <w:lang w:eastAsia="sv-SE"/>
              </w:rPr>
            </w:pPr>
            <w:r w:rsidRPr="00FA0D37">
              <w:rPr>
                <w:b/>
                <w:i/>
                <w:szCs w:val="22"/>
                <w:lang w:eastAsia="sv-SE"/>
              </w:rPr>
              <w:t>sdt-P0-PUSCH</w:t>
            </w:r>
          </w:p>
          <w:p w14:paraId="7AA388F8" w14:textId="77777777" w:rsidR="00870415" w:rsidRPr="00FA0D37" w:rsidRDefault="00870415" w:rsidP="00771058">
            <w:pPr>
              <w:pStyle w:val="TAL"/>
              <w:rPr>
                <w:lang w:eastAsia="sv-SE"/>
              </w:rPr>
            </w:pPr>
            <w:r w:rsidRPr="00FA0D37">
              <w:rPr>
                <w:rFonts w:cs="Arial"/>
                <w:szCs w:val="18"/>
                <w:lang w:eastAsia="sv-SE"/>
              </w:rPr>
              <w:t xml:space="preserve">Indicates P0 value for PUSCH for CG SDT in steps of 1dB </w:t>
            </w:r>
            <w:r w:rsidRPr="00FA0D37">
              <w:rPr>
                <w:szCs w:val="22"/>
                <w:lang w:eastAsia="sv-SE"/>
              </w:rPr>
              <w:t xml:space="preserve">(see TS 38.213 [13]). When this field is configured, the UE ignores the </w:t>
            </w:r>
            <w:r w:rsidRPr="00FA0D37">
              <w:rPr>
                <w:i/>
                <w:iCs/>
              </w:rPr>
              <w:t>p0-PUSCH-Alpha</w:t>
            </w:r>
            <w:r w:rsidRPr="00FA0D37">
              <w:t>.</w:t>
            </w:r>
          </w:p>
        </w:tc>
      </w:tr>
      <w:tr w:rsidR="000830BB" w:rsidRPr="00FA0D37"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77777777" w:rsidR="00870415" w:rsidRPr="00FA0D37" w:rsidRDefault="00870415" w:rsidP="00771058">
            <w:pPr>
              <w:pStyle w:val="TAL"/>
              <w:rPr>
                <w:szCs w:val="22"/>
                <w:lang w:eastAsia="sv-SE"/>
              </w:rPr>
            </w:pPr>
            <w:r w:rsidRPr="00FA0D37">
              <w:rPr>
                <w:b/>
                <w:i/>
                <w:szCs w:val="22"/>
                <w:lang w:eastAsia="sv-SE"/>
              </w:rPr>
              <w:t>sdt-Alpha</w:t>
            </w:r>
          </w:p>
          <w:p w14:paraId="373D9C14" w14:textId="77777777" w:rsidR="00870415" w:rsidRPr="00FA0D37" w:rsidRDefault="00870415" w:rsidP="00771058">
            <w:pPr>
              <w:pStyle w:val="TAL"/>
              <w:rPr>
                <w:b/>
                <w:i/>
                <w:szCs w:val="22"/>
                <w:lang w:eastAsia="sv-SE"/>
              </w:rPr>
            </w:pPr>
            <w:r w:rsidRPr="00FA0D37">
              <w:rPr>
                <w:rFonts w:cs="Arial"/>
                <w:szCs w:val="18"/>
                <w:lang w:eastAsia="sv-SE"/>
              </w:rPr>
              <w:t xml:space="preserve">Indicates alpha value for PUSCH for CG SDT. </w:t>
            </w:r>
            <w:r w:rsidRPr="00FA0D37">
              <w:rPr>
                <w:rFonts w:eastAsia="宋体"/>
                <w:i/>
                <w:iCs/>
                <w:lang w:eastAsia="zh-CN"/>
              </w:rPr>
              <w:t>alpha0</w:t>
            </w:r>
            <w:r w:rsidRPr="00FA0D37">
              <w:rPr>
                <w:rFonts w:eastAsia="宋体"/>
                <w:lang w:eastAsia="zh-CN"/>
              </w:rPr>
              <w:t xml:space="preserve"> indicates value 0 is used </w:t>
            </w:r>
            <w:r w:rsidRPr="00FA0D37">
              <w:rPr>
                <w:rFonts w:eastAsia="宋体"/>
                <w:i/>
                <w:iCs/>
                <w:lang w:eastAsia="zh-CN"/>
              </w:rPr>
              <w:t>alpha04</w:t>
            </w:r>
            <w:r w:rsidRPr="00FA0D37">
              <w:rPr>
                <w:rFonts w:eastAsia="宋体"/>
                <w:lang w:eastAsia="zh-CN"/>
              </w:rPr>
              <w:t xml:space="preserve"> indicates value 4 is used and so on </w:t>
            </w:r>
            <w:r w:rsidRPr="00FA0D37">
              <w:rPr>
                <w:szCs w:val="22"/>
                <w:lang w:eastAsia="sv-SE"/>
              </w:rPr>
              <w:t xml:space="preserve">(see TS 38.213 [13]). When this field is configured, the UE ignores the </w:t>
            </w:r>
            <w:r w:rsidRPr="00FA0D37">
              <w:rPr>
                <w:i/>
                <w:iCs/>
              </w:rPr>
              <w:t>p0-PUSCH-Alpha</w:t>
            </w:r>
            <w:r w:rsidRPr="00FA0D37">
              <w:t>.</w:t>
            </w:r>
          </w:p>
        </w:tc>
      </w:tr>
    </w:tbl>
    <w:p w14:paraId="3EBEC23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FA0D37" w:rsidRDefault="00394471" w:rsidP="00964CC4">
            <w:pPr>
              <w:pStyle w:val="TAH"/>
              <w:rPr>
                <w:b w:val="0"/>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FA0D37" w:rsidRDefault="00394471" w:rsidP="00964CC4">
            <w:pPr>
              <w:pStyle w:val="TAH"/>
              <w:rPr>
                <w:b w:val="0"/>
                <w:lang w:eastAsia="sv-SE"/>
              </w:rPr>
            </w:pPr>
            <w:r w:rsidRPr="00FA0D37">
              <w:rPr>
                <w:lang w:eastAsia="sv-SE"/>
              </w:rPr>
              <w:t>Explanation</w:t>
            </w:r>
          </w:p>
        </w:tc>
      </w:tr>
      <w:tr w:rsidR="005C7FF4" w:rsidRPr="00FA0D37"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FA0D37" w:rsidRDefault="00394471" w:rsidP="00964CC4">
            <w:pPr>
              <w:pStyle w:val="TAL"/>
              <w:rPr>
                <w:i/>
                <w:szCs w:val="22"/>
                <w:lang w:eastAsia="sv-SE"/>
              </w:rPr>
            </w:pPr>
            <w:r w:rsidRPr="00FA0D37">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FA0D37" w:rsidRDefault="00394471" w:rsidP="00964CC4">
            <w:pPr>
              <w:pStyle w:val="TAL"/>
              <w:rPr>
                <w:szCs w:val="22"/>
                <w:lang w:eastAsia="sv-SE"/>
              </w:rPr>
            </w:pPr>
            <w:r w:rsidRPr="00FA0D37">
              <w:rPr>
                <w:szCs w:val="22"/>
                <w:lang w:eastAsia="sv-SE"/>
              </w:rPr>
              <w:t>This fiel</w:t>
            </w:r>
            <w:r w:rsidR="00E75029" w:rsidRPr="00FA0D37">
              <w:rPr>
                <w:szCs w:val="22"/>
                <w:lang w:eastAsia="sv-SE"/>
              </w:rPr>
              <w:t>d</w:t>
            </w:r>
            <w:r w:rsidRPr="00FA0D37">
              <w:rPr>
                <w:szCs w:val="22"/>
                <w:lang w:eastAsia="sv-SE"/>
              </w:rPr>
              <w:t xml:space="preserve"> is optionally present, Need R, if </w:t>
            </w:r>
            <w:r w:rsidRPr="00FA0D37">
              <w:rPr>
                <w:i/>
                <w:szCs w:val="22"/>
                <w:lang w:eastAsia="sv-SE"/>
              </w:rPr>
              <w:t xml:space="preserve">lch-BasedPrioritization </w:t>
            </w:r>
            <w:r w:rsidRPr="00FA0D37">
              <w:rPr>
                <w:szCs w:val="22"/>
                <w:lang w:eastAsia="sv-SE"/>
              </w:rPr>
              <w:t>is configured in the MAC entity. It is absent otherwise.</w:t>
            </w:r>
          </w:p>
        </w:tc>
      </w:tr>
      <w:tr w:rsidR="005C7FF4" w:rsidRPr="00FA0D37"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394471" w:rsidRPr="00FA0D37" w:rsidRDefault="00394471" w:rsidP="00964CC4">
            <w:pPr>
              <w:pStyle w:val="TAL"/>
              <w:rPr>
                <w:i/>
                <w:iCs/>
                <w:lang w:eastAsia="x-none"/>
              </w:rPr>
            </w:pPr>
            <w:r w:rsidRPr="00FA0D37">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394471" w:rsidRPr="00FA0D37" w:rsidRDefault="00394471" w:rsidP="00964CC4">
            <w:pPr>
              <w:pStyle w:val="TAL"/>
              <w:rPr>
                <w:lang w:eastAsia="sv-SE"/>
              </w:rPr>
            </w:pPr>
            <w:r w:rsidRPr="00FA0D37">
              <w:rPr>
                <w:lang w:eastAsia="sv-SE"/>
              </w:rPr>
              <w:t>The field is optionally present if pusch-RepTypeIndicator is set to pusch-RepTypeB, Need S, and absent otherwise.</w:t>
            </w:r>
          </w:p>
        </w:tc>
      </w:tr>
      <w:tr w:rsidR="005C7FF4" w:rsidRPr="00FA0D37"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394471" w:rsidRPr="00FA0D37" w:rsidRDefault="00394471" w:rsidP="00964CC4">
            <w:pPr>
              <w:pStyle w:val="TAL"/>
              <w:rPr>
                <w:i/>
                <w:iCs/>
                <w:lang w:eastAsia="x-none"/>
              </w:rPr>
            </w:pPr>
            <w:r w:rsidRPr="00FA0D37">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394471" w:rsidRPr="00FA0D37" w:rsidRDefault="00394471" w:rsidP="00964CC4">
            <w:pPr>
              <w:pStyle w:val="TAL"/>
              <w:rPr>
                <w:lang w:eastAsia="sv-SE"/>
              </w:rPr>
            </w:pPr>
            <w:r w:rsidRPr="00FA0D37">
              <w:rPr>
                <w:lang w:eastAsia="sv-SE"/>
              </w:rPr>
              <w:t xml:space="preserve">The field is mandatory present when included in </w:t>
            </w:r>
            <w:r w:rsidRPr="00FA0D37">
              <w:rPr>
                <w:i/>
                <w:iCs/>
                <w:lang w:eastAsia="sv-SE"/>
              </w:rPr>
              <w:t>configuredGrantConfigToAddModList-r16</w:t>
            </w:r>
            <w:r w:rsidRPr="00FA0D37">
              <w:rPr>
                <w:lang w:eastAsia="sv-SE"/>
              </w:rPr>
              <w:t>, otherwise the field is absent.</w:t>
            </w:r>
          </w:p>
        </w:tc>
      </w:tr>
      <w:tr w:rsidR="005C7FF4" w:rsidRPr="00FA0D37"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394471" w:rsidRPr="00FA0D37" w:rsidRDefault="00394471" w:rsidP="00964CC4">
            <w:pPr>
              <w:pStyle w:val="TAL"/>
              <w:rPr>
                <w:i/>
                <w:iCs/>
                <w:lang w:eastAsia="x-none"/>
              </w:rPr>
            </w:pPr>
            <w:r w:rsidRPr="00FA0D37">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394471" w:rsidRPr="00FA0D37" w:rsidRDefault="00394471" w:rsidP="00964CC4">
            <w:pPr>
              <w:pStyle w:val="TAL"/>
              <w:rPr>
                <w:lang w:eastAsia="sv-SE"/>
              </w:rPr>
            </w:pPr>
            <w:r w:rsidRPr="00FA0D37">
              <w:rPr>
                <w:lang w:eastAsia="sv-SE"/>
              </w:rPr>
              <w:t xml:space="preserve">The field is mandatory present if at least one configured grant is configured by </w:t>
            </w:r>
            <w:r w:rsidRPr="00FA0D37">
              <w:rPr>
                <w:i/>
                <w:iCs/>
                <w:lang w:eastAsia="sv-SE"/>
              </w:rPr>
              <w:t>configuredGrantConfigToAddModList-r16</w:t>
            </w:r>
            <w:r w:rsidRPr="00FA0D37">
              <w:rPr>
                <w:lang w:eastAsia="sv-SE"/>
              </w:rPr>
              <w:t xml:space="preserve"> in any BWP of this MAC entity, otherwise it is optionally present, need R.</w:t>
            </w:r>
          </w:p>
        </w:tc>
      </w:tr>
      <w:tr w:rsidR="00F747EB" w:rsidRPr="00FA0D37"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486327" w:rsidRPr="00FA0D37" w:rsidRDefault="00486327" w:rsidP="0071565C">
            <w:pPr>
              <w:pStyle w:val="TAL"/>
              <w:rPr>
                <w:i/>
                <w:iCs/>
                <w:lang w:eastAsia="x-none"/>
              </w:rPr>
            </w:pPr>
            <w:r w:rsidRPr="00FA0D37">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77777777" w:rsidR="00486327" w:rsidRPr="00FA0D37" w:rsidRDefault="00486327" w:rsidP="0071565C">
            <w:pPr>
              <w:pStyle w:val="TAL"/>
              <w:rPr>
                <w:lang w:eastAsia="sv-SE"/>
              </w:rPr>
            </w:pPr>
            <w:r w:rsidRPr="00FA0D37">
              <w:rPr>
                <w:lang w:eastAsia="sv-SE"/>
              </w:rPr>
              <w:t xml:space="preserve">This field is mandatory present when UE is configured with two SRS sets configured in either </w:t>
            </w:r>
            <w:r w:rsidRPr="00FA0D37">
              <w:rPr>
                <w:i/>
                <w:iCs/>
                <w:lang w:eastAsia="sv-SE"/>
              </w:rPr>
              <w:t>srs-ResourceSetToAddModList</w:t>
            </w:r>
            <w:r w:rsidRPr="00FA0D37">
              <w:rPr>
                <w:lang w:eastAsia="sv-SE"/>
              </w:rPr>
              <w:t xml:space="preserve"> or </w:t>
            </w:r>
            <w:r w:rsidRPr="00FA0D37">
              <w:rPr>
                <w:i/>
                <w:iCs/>
                <w:lang w:eastAsia="sv-SE"/>
              </w:rPr>
              <w:t>srs-ResourceSetToAddModListDCI-0-2</w:t>
            </w:r>
            <w:r w:rsidRPr="00FA0D37">
              <w:rPr>
                <w:lang w:eastAsia="sv-SE"/>
              </w:rPr>
              <w:t xml:space="preserve"> with usage codebook or non-codebook. Otherwise it is absent, Need R</w:t>
            </w:r>
          </w:p>
        </w:tc>
      </w:tr>
    </w:tbl>
    <w:p w14:paraId="53A8AE28" w14:textId="77777777" w:rsidR="00394471" w:rsidRPr="00FA0D37" w:rsidRDefault="00394471" w:rsidP="00394471"/>
    <w:p w14:paraId="092E1EDC" w14:textId="77777777" w:rsidR="00394471" w:rsidRPr="00FA0D37" w:rsidRDefault="00394471" w:rsidP="00394471">
      <w:pPr>
        <w:pStyle w:val="4"/>
      </w:pPr>
      <w:bookmarkStart w:id="959" w:name="_Toc60777203"/>
      <w:bookmarkStart w:id="960" w:name="_Toc146781250"/>
      <w:r w:rsidRPr="00FA0D37">
        <w:t>–</w:t>
      </w:r>
      <w:r w:rsidRPr="00FA0D37">
        <w:tab/>
      </w:r>
      <w:r w:rsidRPr="00FA0D37">
        <w:rPr>
          <w:i/>
        </w:rPr>
        <w:t>ConfiguredGrantConfigIndex</w:t>
      </w:r>
      <w:bookmarkEnd w:id="959"/>
      <w:bookmarkEnd w:id="960"/>
    </w:p>
    <w:p w14:paraId="496287BB" w14:textId="77777777" w:rsidR="00394471" w:rsidRPr="00FA0D37" w:rsidRDefault="00394471" w:rsidP="00394471">
      <w:r w:rsidRPr="00FA0D37">
        <w:t xml:space="preserve">The IE </w:t>
      </w:r>
      <w:r w:rsidRPr="00FA0D37">
        <w:rPr>
          <w:i/>
        </w:rPr>
        <w:t>ConfiguredGrantConfigIndex</w:t>
      </w:r>
      <w:r w:rsidRPr="00FA0D37">
        <w:t xml:space="preserve"> is used to indicate the index of one of multiple UL Configured Grant configurations in one BWP.</w:t>
      </w:r>
    </w:p>
    <w:p w14:paraId="63FDF868" w14:textId="77777777" w:rsidR="00394471" w:rsidRPr="00FA0D37" w:rsidRDefault="00394471" w:rsidP="00394471">
      <w:pPr>
        <w:pStyle w:val="TH"/>
      </w:pPr>
      <w:r w:rsidRPr="00FA0D37">
        <w:rPr>
          <w:i/>
        </w:rPr>
        <w:t>ConfiguredGrantConfigIndex</w:t>
      </w:r>
      <w:r w:rsidRPr="00FA0D37">
        <w:t xml:space="preserve"> information element</w:t>
      </w:r>
    </w:p>
    <w:p w14:paraId="212FA811" w14:textId="77777777" w:rsidR="00394471" w:rsidRPr="00FA0D37" w:rsidRDefault="00394471" w:rsidP="00FA0D37">
      <w:pPr>
        <w:pStyle w:val="PL"/>
        <w:rPr>
          <w:color w:val="808080"/>
        </w:rPr>
      </w:pPr>
      <w:r w:rsidRPr="00FA0D37">
        <w:rPr>
          <w:color w:val="808080"/>
        </w:rPr>
        <w:t>-- ASN1START</w:t>
      </w:r>
    </w:p>
    <w:p w14:paraId="3C4F5870" w14:textId="77777777" w:rsidR="00394471" w:rsidRPr="00FA0D37" w:rsidRDefault="00394471" w:rsidP="00FA0D37">
      <w:pPr>
        <w:pStyle w:val="PL"/>
        <w:rPr>
          <w:color w:val="808080"/>
        </w:rPr>
      </w:pPr>
      <w:r w:rsidRPr="00FA0D37">
        <w:rPr>
          <w:color w:val="808080"/>
        </w:rPr>
        <w:t>-- TAG-CONFIGUREDGRANTCONFIGINDEX-START</w:t>
      </w:r>
    </w:p>
    <w:p w14:paraId="4B00865F" w14:textId="77777777" w:rsidR="00394471" w:rsidRPr="00FA0D37" w:rsidRDefault="00394471" w:rsidP="00FA0D37">
      <w:pPr>
        <w:pStyle w:val="PL"/>
      </w:pPr>
    </w:p>
    <w:p w14:paraId="6E2FC180" w14:textId="44BADA4C" w:rsidR="00394471" w:rsidRPr="00FA0D37" w:rsidRDefault="00394471" w:rsidP="00FA0D37">
      <w:pPr>
        <w:pStyle w:val="PL"/>
      </w:pPr>
      <w:r w:rsidRPr="00FA0D37">
        <w:lastRenderedPageBreak/>
        <w:t xml:space="preserve">ConfiguredGrantConfigIndex-r16 ::= </w:t>
      </w:r>
      <w:r w:rsidRPr="00FA0D37">
        <w:rPr>
          <w:color w:val="993366"/>
        </w:rPr>
        <w:t>INTEGER</w:t>
      </w:r>
      <w:r w:rsidRPr="00FA0D37">
        <w:t xml:space="preserve"> (0.. maxNrofConfiguredGrantConfig-</w:t>
      </w:r>
      <w:r w:rsidR="00FB04AA" w:rsidRPr="00FA0D37">
        <w:t>1-r16</w:t>
      </w:r>
      <w:r w:rsidRPr="00FA0D37">
        <w:t>)</w:t>
      </w:r>
    </w:p>
    <w:p w14:paraId="391F4748" w14:textId="77777777" w:rsidR="00394471" w:rsidRPr="00FA0D37" w:rsidRDefault="00394471" w:rsidP="00FA0D37">
      <w:pPr>
        <w:pStyle w:val="PL"/>
      </w:pPr>
    </w:p>
    <w:p w14:paraId="7FFE71B0" w14:textId="77777777" w:rsidR="00394471" w:rsidRPr="00FA0D37" w:rsidRDefault="00394471" w:rsidP="00FA0D37">
      <w:pPr>
        <w:pStyle w:val="PL"/>
        <w:rPr>
          <w:color w:val="808080"/>
        </w:rPr>
      </w:pPr>
      <w:r w:rsidRPr="00FA0D37">
        <w:rPr>
          <w:color w:val="808080"/>
        </w:rPr>
        <w:t>-- TAG-CONFIGUREDGRANTCONFIGINDEX-STOP</w:t>
      </w:r>
    </w:p>
    <w:p w14:paraId="5F5C79A7" w14:textId="77777777" w:rsidR="00394471" w:rsidRPr="00FA0D37" w:rsidRDefault="00394471" w:rsidP="00FA0D37">
      <w:pPr>
        <w:pStyle w:val="PL"/>
        <w:rPr>
          <w:color w:val="808080"/>
        </w:rPr>
      </w:pPr>
      <w:r w:rsidRPr="00FA0D37">
        <w:rPr>
          <w:color w:val="808080"/>
        </w:rPr>
        <w:t>-- ASN1STOP</w:t>
      </w:r>
    </w:p>
    <w:p w14:paraId="79B3DA4D" w14:textId="77777777" w:rsidR="00394471" w:rsidRPr="00FA0D37" w:rsidRDefault="00394471" w:rsidP="00394471"/>
    <w:p w14:paraId="03CAA5A0" w14:textId="77777777" w:rsidR="00394471" w:rsidRPr="00FA0D37" w:rsidRDefault="00394471" w:rsidP="00394471">
      <w:pPr>
        <w:pStyle w:val="4"/>
      </w:pPr>
      <w:bookmarkStart w:id="961" w:name="_Toc60777204"/>
      <w:bookmarkStart w:id="962" w:name="_Toc146781251"/>
      <w:r w:rsidRPr="00FA0D37">
        <w:t>–</w:t>
      </w:r>
      <w:r w:rsidRPr="00FA0D37">
        <w:tab/>
      </w:r>
      <w:r w:rsidRPr="00FA0D37">
        <w:rPr>
          <w:i/>
        </w:rPr>
        <w:t>ConfiguredGrantConfigIndexMAC</w:t>
      </w:r>
      <w:bookmarkEnd w:id="961"/>
      <w:bookmarkEnd w:id="962"/>
    </w:p>
    <w:p w14:paraId="1040A31A" w14:textId="77777777" w:rsidR="00394471" w:rsidRPr="00FA0D37" w:rsidRDefault="00394471" w:rsidP="00394471">
      <w:r w:rsidRPr="00FA0D37">
        <w:t xml:space="preserve">The IE </w:t>
      </w:r>
      <w:r w:rsidRPr="00FA0D37">
        <w:rPr>
          <w:i/>
        </w:rPr>
        <w:t>ConfiguredGrantConfigIndexMAC</w:t>
      </w:r>
      <w:r w:rsidRPr="00FA0D37">
        <w:t xml:space="preserve"> is used to indicate the unique Configured Grant configurations index per MAC entity.</w:t>
      </w:r>
    </w:p>
    <w:p w14:paraId="1ABDC3DC" w14:textId="77777777" w:rsidR="00394471" w:rsidRPr="00FA0D37" w:rsidRDefault="00394471" w:rsidP="00394471">
      <w:pPr>
        <w:pStyle w:val="TH"/>
      </w:pPr>
      <w:r w:rsidRPr="00FA0D37">
        <w:rPr>
          <w:i/>
        </w:rPr>
        <w:t>ConfiguredGrantConfigIndexMAC</w:t>
      </w:r>
      <w:r w:rsidRPr="00FA0D37">
        <w:t xml:space="preserve"> information element</w:t>
      </w:r>
    </w:p>
    <w:p w14:paraId="7D0F9739" w14:textId="77777777" w:rsidR="00394471" w:rsidRPr="00FA0D37" w:rsidRDefault="00394471" w:rsidP="00FA0D37">
      <w:pPr>
        <w:pStyle w:val="PL"/>
        <w:rPr>
          <w:color w:val="808080"/>
        </w:rPr>
      </w:pPr>
      <w:r w:rsidRPr="00FA0D37">
        <w:rPr>
          <w:color w:val="808080"/>
        </w:rPr>
        <w:t>-- ASN1START</w:t>
      </w:r>
    </w:p>
    <w:p w14:paraId="5A2970C6" w14:textId="77777777" w:rsidR="00394471" w:rsidRPr="00FA0D37" w:rsidRDefault="00394471" w:rsidP="00FA0D37">
      <w:pPr>
        <w:pStyle w:val="PL"/>
        <w:rPr>
          <w:color w:val="808080"/>
        </w:rPr>
      </w:pPr>
      <w:r w:rsidRPr="00FA0D37">
        <w:rPr>
          <w:color w:val="808080"/>
        </w:rPr>
        <w:t>-- TAG-CONFIGUREDGRANTCONFIGINDEXMAC-START</w:t>
      </w:r>
    </w:p>
    <w:p w14:paraId="02D83A91" w14:textId="77777777" w:rsidR="00394471" w:rsidRPr="00FA0D37" w:rsidRDefault="00394471" w:rsidP="00FA0D37">
      <w:pPr>
        <w:pStyle w:val="PL"/>
      </w:pPr>
    </w:p>
    <w:p w14:paraId="3C4B8FF6" w14:textId="5767DE43" w:rsidR="00394471" w:rsidRPr="00FA0D37" w:rsidRDefault="00394471" w:rsidP="00FA0D37">
      <w:pPr>
        <w:pStyle w:val="PL"/>
      </w:pPr>
      <w:r w:rsidRPr="00FA0D37">
        <w:t xml:space="preserve">ConfiguredGrantConfigIndexMAC-r16 ::= </w:t>
      </w:r>
      <w:r w:rsidRPr="00FA0D37">
        <w:rPr>
          <w:color w:val="993366"/>
        </w:rPr>
        <w:t>INTEGER</w:t>
      </w:r>
      <w:r w:rsidRPr="00FA0D37">
        <w:t xml:space="preserve"> (0.. maxNrofConfiguredGrantConfigMAC-</w:t>
      </w:r>
      <w:r w:rsidR="00FB04AA" w:rsidRPr="00FA0D37">
        <w:t>1-r16</w:t>
      </w:r>
      <w:r w:rsidRPr="00FA0D37">
        <w:t>)</w:t>
      </w:r>
    </w:p>
    <w:p w14:paraId="39DEAE8E" w14:textId="77777777" w:rsidR="00394471" w:rsidRPr="00FA0D37" w:rsidRDefault="00394471" w:rsidP="00FA0D37">
      <w:pPr>
        <w:pStyle w:val="PL"/>
      </w:pPr>
    </w:p>
    <w:p w14:paraId="2EDB546E" w14:textId="77777777" w:rsidR="00394471" w:rsidRPr="00FA0D37" w:rsidRDefault="00394471" w:rsidP="00FA0D37">
      <w:pPr>
        <w:pStyle w:val="PL"/>
        <w:rPr>
          <w:color w:val="808080"/>
        </w:rPr>
      </w:pPr>
      <w:r w:rsidRPr="00FA0D37">
        <w:rPr>
          <w:color w:val="808080"/>
        </w:rPr>
        <w:t>-- TAG-CONFIGUREDGRANTCONFIGINDEXMAC-STOP</w:t>
      </w:r>
    </w:p>
    <w:p w14:paraId="2F42C772" w14:textId="77777777" w:rsidR="00394471" w:rsidRPr="00FA0D37" w:rsidRDefault="00394471" w:rsidP="00FA0D37">
      <w:pPr>
        <w:pStyle w:val="PL"/>
        <w:rPr>
          <w:color w:val="808080"/>
        </w:rPr>
      </w:pPr>
      <w:r w:rsidRPr="00FA0D37">
        <w:rPr>
          <w:color w:val="808080"/>
        </w:rPr>
        <w:t>-- ASN1STOP</w:t>
      </w:r>
    </w:p>
    <w:p w14:paraId="2FEA1ED5" w14:textId="77777777" w:rsidR="00394471" w:rsidRPr="00FA0D37" w:rsidRDefault="00394471" w:rsidP="00394471"/>
    <w:p w14:paraId="43AD909E" w14:textId="77777777" w:rsidR="00394471" w:rsidRPr="00FA0D37" w:rsidRDefault="00394471" w:rsidP="00394471">
      <w:pPr>
        <w:pStyle w:val="4"/>
      </w:pPr>
      <w:bookmarkStart w:id="963" w:name="_Toc60777205"/>
      <w:bookmarkStart w:id="964" w:name="_Toc146781252"/>
      <w:r w:rsidRPr="00FA0D37">
        <w:t>–</w:t>
      </w:r>
      <w:r w:rsidRPr="00FA0D37">
        <w:tab/>
      </w:r>
      <w:r w:rsidRPr="00FA0D37">
        <w:rPr>
          <w:i/>
        </w:rPr>
        <w:t>ConnEstFailureControl</w:t>
      </w:r>
      <w:bookmarkEnd w:id="963"/>
      <w:bookmarkEnd w:id="964"/>
    </w:p>
    <w:p w14:paraId="7491E2EC" w14:textId="77777777" w:rsidR="00394471" w:rsidRPr="00FA0D37" w:rsidRDefault="00394471" w:rsidP="00394471">
      <w:r w:rsidRPr="00FA0D37">
        <w:t xml:space="preserve">The IE </w:t>
      </w:r>
      <w:r w:rsidRPr="00FA0D37">
        <w:rPr>
          <w:i/>
        </w:rPr>
        <w:t>ConnEstFailureControl</w:t>
      </w:r>
      <w:r w:rsidRPr="00FA0D37">
        <w:t xml:space="preserve"> is used to configure parameters for connection establishment failure control.</w:t>
      </w:r>
    </w:p>
    <w:p w14:paraId="1BBB7CA9" w14:textId="77777777" w:rsidR="00394471" w:rsidRPr="00FA0D37" w:rsidRDefault="00394471" w:rsidP="00394471">
      <w:pPr>
        <w:pStyle w:val="TH"/>
      </w:pPr>
      <w:r w:rsidRPr="00FA0D37">
        <w:rPr>
          <w:i/>
        </w:rPr>
        <w:t>ConnEstFailureControl</w:t>
      </w:r>
      <w:r w:rsidRPr="00FA0D37">
        <w:t xml:space="preserve"> information element</w:t>
      </w:r>
    </w:p>
    <w:p w14:paraId="02AA1BDE" w14:textId="77777777" w:rsidR="00394471" w:rsidRPr="00FA0D37" w:rsidRDefault="00394471" w:rsidP="00FA0D37">
      <w:pPr>
        <w:pStyle w:val="PL"/>
        <w:rPr>
          <w:color w:val="808080"/>
        </w:rPr>
      </w:pPr>
      <w:r w:rsidRPr="00FA0D37">
        <w:rPr>
          <w:color w:val="808080"/>
        </w:rPr>
        <w:t>-- ASN1START</w:t>
      </w:r>
    </w:p>
    <w:p w14:paraId="52FBB72A" w14:textId="77777777" w:rsidR="00394471" w:rsidRPr="00FA0D37" w:rsidRDefault="00394471" w:rsidP="00FA0D37">
      <w:pPr>
        <w:pStyle w:val="PL"/>
        <w:rPr>
          <w:color w:val="808080"/>
        </w:rPr>
      </w:pPr>
      <w:r w:rsidRPr="00FA0D37">
        <w:rPr>
          <w:color w:val="808080"/>
        </w:rPr>
        <w:t>-- TAG-CONNESTFAILURECONTROL-START</w:t>
      </w:r>
    </w:p>
    <w:p w14:paraId="1DAEA3D9" w14:textId="77777777" w:rsidR="00394471" w:rsidRPr="00FA0D37" w:rsidRDefault="00394471" w:rsidP="00FA0D37">
      <w:pPr>
        <w:pStyle w:val="PL"/>
      </w:pPr>
    </w:p>
    <w:p w14:paraId="4FD0814A" w14:textId="77777777" w:rsidR="00394471" w:rsidRPr="00FA0D37" w:rsidRDefault="00394471" w:rsidP="00FA0D37">
      <w:pPr>
        <w:pStyle w:val="PL"/>
      </w:pPr>
      <w:r w:rsidRPr="00FA0D37">
        <w:t xml:space="preserve">ConnEstFailureControl ::=   </w:t>
      </w:r>
      <w:r w:rsidRPr="00FA0D37">
        <w:rPr>
          <w:color w:val="993366"/>
        </w:rPr>
        <w:t>SEQUENCE</w:t>
      </w:r>
      <w:r w:rsidRPr="00FA0D37">
        <w:t xml:space="preserve"> {</w:t>
      </w:r>
    </w:p>
    <w:p w14:paraId="0CFCDC56" w14:textId="77777777" w:rsidR="00394471" w:rsidRPr="00FA0D37" w:rsidRDefault="00394471" w:rsidP="00FA0D37">
      <w:pPr>
        <w:pStyle w:val="PL"/>
      </w:pPr>
      <w:r w:rsidRPr="00FA0D37">
        <w:t xml:space="preserve">    connEstFailCount                    </w:t>
      </w:r>
      <w:r w:rsidRPr="00FA0D37">
        <w:rPr>
          <w:color w:val="993366"/>
        </w:rPr>
        <w:t>ENUMERATED</w:t>
      </w:r>
      <w:r w:rsidRPr="00FA0D37">
        <w:t xml:space="preserve"> {n1, n2, n3, n4},</w:t>
      </w:r>
    </w:p>
    <w:p w14:paraId="5B9D8AA9" w14:textId="77777777" w:rsidR="00394471" w:rsidRPr="00FA0D37" w:rsidRDefault="00394471" w:rsidP="00FA0D37">
      <w:pPr>
        <w:pStyle w:val="PL"/>
      </w:pPr>
      <w:r w:rsidRPr="00FA0D37">
        <w:t xml:space="preserve">    connEstFailOffsetValidity           </w:t>
      </w:r>
      <w:r w:rsidRPr="00FA0D37">
        <w:rPr>
          <w:color w:val="993366"/>
        </w:rPr>
        <w:t>ENUMERATED</w:t>
      </w:r>
      <w:r w:rsidRPr="00FA0D37">
        <w:t xml:space="preserve"> {s30, s60, s120, s240, s300, s420, s600, s900},</w:t>
      </w:r>
    </w:p>
    <w:p w14:paraId="45DD50CF" w14:textId="77777777" w:rsidR="00394471" w:rsidRPr="00FA0D37" w:rsidRDefault="00394471" w:rsidP="00FA0D37">
      <w:pPr>
        <w:pStyle w:val="PL"/>
        <w:rPr>
          <w:color w:val="808080"/>
        </w:rPr>
      </w:pPr>
      <w:r w:rsidRPr="00FA0D37">
        <w:t xml:space="preserve">    connEstFailOffset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S</w:t>
      </w:r>
    </w:p>
    <w:p w14:paraId="5671DFC0" w14:textId="77777777" w:rsidR="00394471" w:rsidRPr="00FA0D37" w:rsidRDefault="00394471" w:rsidP="00FA0D37">
      <w:pPr>
        <w:pStyle w:val="PL"/>
      </w:pPr>
      <w:r w:rsidRPr="00FA0D37">
        <w:t>}</w:t>
      </w:r>
    </w:p>
    <w:p w14:paraId="69A1BEAF" w14:textId="77777777" w:rsidR="00394471" w:rsidRPr="00FA0D37" w:rsidRDefault="00394471" w:rsidP="00FA0D37">
      <w:pPr>
        <w:pStyle w:val="PL"/>
      </w:pPr>
    </w:p>
    <w:p w14:paraId="7D1D3C07" w14:textId="77777777" w:rsidR="00394471" w:rsidRPr="00FA0D37" w:rsidRDefault="00394471" w:rsidP="00FA0D37">
      <w:pPr>
        <w:pStyle w:val="PL"/>
        <w:rPr>
          <w:color w:val="808080"/>
        </w:rPr>
      </w:pPr>
      <w:r w:rsidRPr="00FA0D37">
        <w:rPr>
          <w:color w:val="808080"/>
        </w:rPr>
        <w:t>-- TAG-CONNESTFAILURECONTROL-STOP</w:t>
      </w:r>
    </w:p>
    <w:p w14:paraId="6594CD6E" w14:textId="77777777" w:rsidR="00394471" w:rsidRPr="00FA0D37" w:rsidRDefault="00394471" w:rsidP="00FA0D37">
      <w:pPr>
        <w:pStyle w:val="PL"/>
        <w:rPr>
          <w:color w:val="808080"/>
        </w:rPr>
      </w:pPr>
      <w:r w:rsidRPr="00FA0D37">
        <w:rPr>
          <w:color w:val="808080"/>
        </w:rPr>
        <w:t>-- ASN1STOP</w:t>
      </w:r>
    </w:p>
    <w:p w14:paraId="1899DC97" w14:textId="77777777" w:rsidR="00394471" w:rsidRPr="00FA0D3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5C7FF4" w:rsidRPr="00FA0D37"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FA0D37" w:rsidRDefault="00394471" w:rsidP="00964CC4">
            <w:pPr>
              <w:pStyle w:val="TAH"/>
              <w:rPr>
                <w:szCs w:val="22"/>
                <w:lang w:eastAsia="sv-SE"/>
              </w:rPr>
            </w:pPr>
            <w:r w:rsidRPr="00FA0D37">
              <w:rPr>
                <w:i/>
                <w:szCs w:val="22"/>
                <w:lang w:eastAsia="sv-SE"/>
              </w:rPr>
              <w:lastRenderedPageBreak/>
              <w:t xml:space="preserve">ConnEstFailureControl </w:t>
            </w:r>
            <w:r w:rsidRPr="00FA0D37">
              <w:rPr>
                <w:szCs w:val="22"/>
                <w:lang w:eastAsia="sv-SE"/>
              </w:rPr>
              <w:t>field descriptions</w:t>
            </w:r>
          </w:p>
        </w:tc>
      </w:tr>
      <w:tr w:rsidR="005C7FF4" w:rsidRPr="00FA0D37"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FA0D37" w:rsidRDefault="00394471" w:rsidP="00964CC4">
            <w:pPr>
              <w:pStyle w:val="TAL"/>
              <w:rPr>
                <w:b/>
                <w:i/>
                <w:noProof/>
                <w:szCs w:val="22"/>
                <w:lang w:eastAsia="en-GB"/>
              </w:rPr>
            </w:pPr>
            <w:r w:rsidRPr="00FA0D37">
              <w:rPr>
                <w:b/>
                <w:i/>
                <w:noProof/>
                <w:szCs w:val="22"/>
                <w:lang w:eastAsia="en-GB"/>
              </w:rPr>
              <w:t>connEstFailCount</w:t>
            </w:r>
          </w:p>
          <w:p w14:paraId="53D56AF5" w14:textId="77777777" w:rsidR="00394471" w:rsidRPr="00FA0D37" w:rsidRDefault="00394471" w:rsidP="00964CC4">
            <w:pPr>
              <w:pStyle w:val="TAL"/>
              <w:rPr>
                <w:b/>
                <w:i/>
                <w:szCs w:val="22"/>
                <w:lang w:eastAsia="sv-SE"/>
              </w:rPr>
            </w:pPr>
            <w:r w:rsidRPr="00FA0D37">
              <w:rPr>
                <w:noProof/>
                <w:szCs w:val="22"/>
                <w:lang w:eastAsia="en-GB"/>
              </w:rPr>
              <w:t xml:space="preserve">Number of times that the UE detects T300 expiry on the same cell before applying </w:t>
            </w:r>
            <w:r w:rsidRPr="00FA0D37">
              <w:rPr>
                <w:i/>
                <w:szCs w:val="22"/>
                <w:lang w:eastAsia="en-GB"/>
              </w:rPr>
              <w:t>connEstFailOffset</w:t>
            </w:r>
            <w:r w:rsidRPr="00FA0D37">
              <w:rPr>
                <w:noProof/>
                <w:szCs w:val="22"/>
                <w:lang w:eastAsia="en-GB"/>
              </w:rPr>
              <w:t>.</w:t>
            </w:r>
          </w:p>
        </w:tc>
      </w:tr>
      <w:tr w:rsidR="005C7FF4" w:rsidRPr="00FA0D37"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FA0D37" w:rsidRDefault="00394471" w:rsidP="00964CC4">
            <w:pPr>
              <w:pStyle w:val="TAL"/>
              <w:rPr>
                <w:b/>
                <w:i/>
                <w:szCs w:val="22"/>
                <w:lang w:eastAsia="en-GB"/>
              </w:rPr>
            </w:pPr>
            <w:r w:rsidRPr="00FA0D37">
              <w:rPr>
                <w:b/>
                <w:i/>
                <w:noProof/>
                <w:szCs w:val="22"/>
                <w:lang w:eastAsia="en-GB"/>
              </w:rPr>
              <w:t>connEst</w:t>
            </w:r>
            <w:r w:rsidRPr="00FA0D37">
              <w:rPr>
                <w:b/>
                <w:i/>
                <w:szCs w:val="22"/>
                <w:lang w:eastAsia="en-GB"/>
              </w:rPr>
              <w:t>FailOffset</w:t>
            </w:r>
          </w:p>
          <w:p w14:paraId="0423B114" w14:textId="77777777" w:rsidR="00394471" w:rsidRPr="00FA0D37" w:rsidRDefault="00394471" w:rsidP="00964CC4">
            <w:pPr>
              <w:pStyle w:val="TAL"/>
              <w:rPr>
                <w:b/>
                <w:i/>
                <w:szCs w:val="22"/>
                <w:lang w:eastAsia="sv-SE"/>
              </w:rPr>
            </w:pPr>
            <w:r w:rsidRPr="00FA0D37">
              <w:rPr>
                <w:szCs w:val="22"/>
                <w:lang w:eastAsia="en-GB"/>
              </w:rPr>
              <w:t>Parameter "</w:t>
            </w:r>
            <w:r w:rsidRPr="00FA0D37">
              <w:rPr>
                <w:bCs/>
                <w:szCs w:val="22"/>
                <w:lang w:eastAsia="en-GB"/>
              </w:rPr>
              <w:t>Qoffset</w:t>
            </w:r>
            <w:r w:rsidRPr="00FA0D37">
              <w:rPr>
                <w:bCs/>
                <w:szCs w:val="22"/>
                <w:vertAlign w:val="subscript"/>
                <w:lang w:eastAsia="en-GB"/>
              </w:rPr>
              <w:t>temp</w:t>
            </w:r>
            <w:r w:rsidRPr="00FA0D37">
              <w:rPr>
                <w:szCs w:val="22"/>
                <w:lang w:eastAsia="en-GB"/>
              </w:rPr>
              <w:t>" in TS 38.304 [20]. If the field is absent, the value of infinity shall be used for "</w:t>
            </w:r>
            <w:r w:rsidRPr="00FA0D37">
              <w:rPr>
                <w:bCs/>
                <w:szCs w:val="22"/>
                <w:lang w:eastAsia="en-GB"/>
              </w:rPr>
              <w:t>Qoffset</w:t>
            </w:r>
            <w:r w:rsidRPr="00FA0D37">
              <w:rPr>
                <w:bCs/>
                <w:szCs w:val="22"/>
                <w:vertAlign w:val="subscript"/>
                <w:lang w:eastAsia="en-GB"/>
              </w:rPr>
              <w:t>temp</w:t>
            </w:r>
            <w:r w:rsidRPr="00FA0D37">
              <w:rPr>
                <w:szCs w:val="22"/>
                <w:lang w:eastAsia="en-GB"/>
              </w:rPr>
              <w:t>".</w:t>
            </w:r>
          </w:p>
        </w:tc>
      </w:tr>
      <w:tr w:rsidR="00394471" w:rsidRPr="00FA0D37"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FA0D37" w:rsidRDefault="00394471" w:rsidP="00964CC4">
            <w:pPr>
              <w:pStyle w:val="TAL"/>
              <w:rPr>
                <w:b/>
                <w:i/>
                <w:noProof/>
                <w:szCs w:val="22"/>
                <w:lang w:eastAsia="en-GB"/>
              </w:rPr>
            </w:pPr>
            <w:r w:rsidRPr="00FA0D37">
              <w:rPr>
                <w:b/>
                <w:i/>
                <w:noProof/>
                <w:szCs w:val="22"/>
                <w:lang w:eastAsia="en-GB"/>
              </w:rPr>
              <w:t>connEstFailOffsetValidity</w:t>
            </w:r>
          </w:p>
          <w:p w14:paraId="74A5AD0C" w14:textId="77777777" w:rsidR="00394471" w:rsidRPr="00FA0D37" w:rsidRDefault="00394471" w:rsidP="00964CC4">
            <w:pPr>
              <w:pStyle w:val="TAL"/>
              <w:rPr>
                <w:b/>
                <w:i/>
                <w:szCs w:val="22"/>
                <w:lang w:eastAsia="sv-SE"/>
              </w:rPr>
            </w:pPr>
            <w:r w:rsidRPr="00FA0D37">
              <w:rPr>
                <w:noProof/>
                <w:szCs w:val="22"/>
                <w:lang w:eastAsia="en-GB"/>
              </w:rPr>
              <w:t xml:space="preserve">Amount of time that the UE applies </w:t>
            </w:r>
            <w:r w:rsidRPr="00FA0D37">
              <w:rPr>
                <w:i/>
                <w:szCs w:val="22"/>
                <w:lang w:eastAsia="en-GB"/>
              </w:rPr>
              <w:t xml:space="preserve">connEstFailOffset </w:t>
            </w:r>
            <w:r w:rsidRPr="00FA0D37">
              <w:rPr>
                <w:szCs w:val="22"/>
                <w:lang w:eastAsia="en-GB"/>
              </w:rPr>
              <w:t xml:space="preserve">before removing the offset </w:t>
            </w:r>
            <w:r w:rsidRPr="00FA0D37">
              <w:rPr>
                <w:noProof/>
                <w:szCs w:val="22"/>
                <w:lang w:eastAsia="en-GB"/>
              </w:rPr>
              <w:t xml:space="preserve">from evaluation of the cell. </w:t>
            </w:r>
            <w:r w:rsidRPr="00FA0D37">
              <w:rPr>
                <w:szCs w:val="22"/>
                <w:lang w:eastAsia="en-GB"/>
              </w:rPr>
              <w:t xml:space="preserve">Value </w:t>
            </w:r>
            <w:r w:rsidRPr="00FA0D37">
              <w:rPr>
                <w:i/>
                <w:lang w:eastAsia="sv-SE"/>
              </w:rPr>
              <w:t>s30</w:t>
            </w:r>
            <w:r w:rsidRPr="00FA0D37">
              <w:rPr>
                <w:szCs w:val="22"/>
                <w:lang w:eastAsia="en-GB"/>
              </w:rPr>
              <w:t xml:space="preserve"> corresponds to 30 seconds, value </w:t>
            </w:r>
            <w:r w:rsidRPr="00FA0D37">
              <w:rPr>
                <w:i/>
                <w:lang w:eastAsia="sv-SE"/>
              </w:rPr>
              <w:t>s60</w:t>
            </w:r>
            <w:r w:rsidRPr="00FA0D37">
              <w:rPr>
                <w:szCs w:val="22"/>
                <w:lang w:eastAsia="en-GB"/>
              </w:rPr>
              <w:t xml:space="preserve"> corresponds to 60 seconds, and so on.</w:t>
            </w:r>
          </w:p>
        </w:tc>
      </w:tr>
    </w:tbl>
    <w:p w14:paraId="186DBB88" w14:textId="77777777" w:rsidR="00394471" w:rsidRPr="00FA0D37" w:rsidRDefault="00394471" w:rsidP="00394471"/>
    <w:p w14:paraId="44C015A4" w14:textId="77777777" w:rsidR="00394471" w:rsidRPr="00FA0D37" w:rsidRDefault="00394471" w:rsidP="00394471">
      <w:pPr>
        <w:pStyle w:val="4"/>
      </w:pPr>
      <w:bookmarkStart w:id="965" w:name="_Toc60777206"/>
      <w:bookmarkStart w:id="966" w:name="_Toc146781253"/>
      <w:r w:rsidRPr="00FA0D37">
        <w:t>–</w:t>
      </w:r>
      <w:r w:rsidRPr="00FA0D37">
        <w:tab/>
      </w:r>
      <w:r w:rsidRPr="00FA0D37">
        <w:rPr>
          <w:i/>
        </w:rPr>
        <w:t>ControlResourceSet</w:t>
      </w:r>
      <w:bookmarkEnd w:id="965"/>
      <w:bookmarkEnd w:id="966"/>
    </w:p>
    <w:p w14:paraId="180B0820" w14:textId="26E6EDD3" w:rsidR="00394471" w:rsidRPr="00FA0D37" w:rsidRDefault="00394471" w:rsidP="00394471">
      <w:r w:rsidRPr="00FA0D37">
        <w:t xml:space="preserve">The IE </w:t>
      </w:r>
      <w:r w:rsidRPr="00FA0D37">
        <w:rPr>
          <w:i/>
        </w:rPr>
        <w:t>ControlResourceSet</w:t>
      </w:r>
      <w:r w:rsidRPr="00FA0D37">
        <w:t xml:space="preserve"> is used to configure a time/frequency control resource set (CORESET) in which to search for downlink control information (see TS 38.213 [13], clause 10.1).</w:t>
      </w:r>
      <w:r w:rsidR="00FD05B6" w:rsidRPr="00FA0D37">
        <w:rPr>
          <w:rFonts w:ascii="Arial" w:hAnsi="Arial"/>
          <w:sz w:val="18"/>
          <w:szCs w:val="22"/>
          <w:lang w:eastAsia="sv-SE"/>
        </w:rPr>
        <w:t xml:space="preserve"> </w:t>
      </w:r>
      <w:r w:rsidR="00FD05B6" w:rsidRPr="00FA0D37">
        <w:rPr>
          <w:lang w:eastAsia="zh-CN"/>
        </w:rPr>
        <w:t xml:space="preserve">For the UE not supporting </w:t>
      </w:r>
      <w:r w:rsidR="00FD05B6" w:rsidRPr="00FA0D37">
        <w:rPr>
          <w:i/>
          <w:lang w:eastAsia="zh-CN"/>
        </w:rPr>
        <w:t>multipleCORESET</w:t>
      </w:r>
      <w:r w:rsidR="00FD05B6" w:rsidRPr="00FA0D37">
        <w:rPr>
          <w:lang w:eastAsia="zh-CN"/>
        </w:rPr>
        <w:t xml:space="preserve"> in FR1, in order to receive MBS multicast in CFR within the UE</w:t>
      </w:r>
      <w:r w:rsidR="00432ECC" w:rsidRPr="00FA0D37">
        <w:rPr>
          <w:lang w:eastAsia="zh-CN"/>
        </w:rPr>
        <w:t>'</w:t>
      </w:r>
      <w:r w:rsidR="00FD05B6" w:rsidRPr="00FA0D37">
        <w:rPr>
          <w:lang w:eastAsia="zh-CN"/>
        </w:rPr>
        <w:t xml:space="preserve">s active BWP, if a CORESET is not configured within the </w:t>
      </w:r>
      <w:r w:rsidR="00FD05B6" w:rsidRPr="00FA0D37">
        <w:rPr>
          <w:i/>
          <w:lang w:eastAsia="zh-CN"/>
        </w:rPr>
        <w:t>PDCCH-ConfigMulticast</w:t>
      </w:r>
      <w:r w:rsidR="00FD05B6" w:rsidRPr="00FA0D37">
        <w:rPr>
          <w:lang w:eastAsia="zh-CN"/>
        </w:rPr>
        <w:t>, the CORESET other than CORESET</w:t>
      </w:r>
      <w:r w:rsidR="002C350C" w:rsidRPr="00FA0D37">
        <w:rPr>
          <w:lang w:eastAsia="zh-CN"/>
        </w:rPr>
        <w:t>#</w:t>
      </w:r>
      <w:r w:rsidR="00FD05B6" w:rsidRPr="00FA0D37">
        <w:rPr>
          <w:lang w:eastAsia="zh-CN"/>
        </w:rPr>
        <w:t>0 configured within the UE</w:t>
      </w:r>
      <w:r w:rsidR="00432ECC" w:rsidRPr="00FA0D37">
        <w:rPr>
          <w:lang w:eastAsia="zh-CN"/>
        </w:rPr>
        <w:t>'</w:t>
      </w:r>
      <w:r w:rsidR="00FD05B6" w:rsidRPr="00FA0D37">
        <w:rPr>
          <w:lang w:eastAsia="zh-CN"/>
        </w:rPr>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FA0D37" w:rsidRDefault="00394471" w:rsidP="00394471">
      <w:pPr>
        <w:pStyle w:val="TH"/>
      </w:pPr>
      <w:r w:rsidRPr="00FA0D37">
        <w:rPr>
          <w:i/>
        </w:rPr>
        <w:t>ControlResourceSet</w:t>
      </w:r>
      <w:r w:rsidRPr="00FA0D37">
        <w:t xml:space="preserve"> information element</w:t>
      </w:r>
    </w:p>
    <w:p w14:paraId="09E21F13" w14:textId="77777777" w:rsidR="00394471" w:rsidRPr="00FA0D37" w:rsidRDefault="00394471" w:rsidP="00FA0D37">
      <w:pPr>
        <w:pStyle w:val="PL"/>
        <w:rPr>
          <w:color w:val="808080"/>
        </w:rPr>
      </w:pPr>
      <w:r w:rsidRPr="00FA0D37">
        <w:rPr>
          <w:color w:val="808080"/>
        </w:rPr>
        <w:t>-- ASN1START</w:t>
      </w:r>
    </w:p>
    <w:p w14:paraId="42CECABC" w14:textId="77777777" w:rsidR="00394471" w:rsidRPr="00FA0D37" w:rsidRDefault="00394471" w:rsidP="00FA0D37">
      <w:pPr>
        <w:pStyle w:val="PL"/>
        <w:rPr>
          <w:color w:val="808080"/>
        </w:rPr>
      </w:pPr>
      <w:r w:rsidRPr="00FA0D37">
        <w:rPr>
          <w:color w:val="808080"/>
        </w:rPr>
        <w:t>-- TAG-CONTROLRESOURCESET-START</w:t>
      </w:r>
    </w:p>
    <w:p w14:paraId="124455EE" w14:textId="77777777" w:rsidR="00394471" w:rsidRPr="00FA0D37" w:rsidRDefault="00394471" w:rsidP="00FA0D37">
      <w:pPr>
        <w:pStyle w:val="PL"/>
      </w:pPr>
    </w:p>
    <w:p w14:paraId="62A157D0" w14:textId="77777777" w:rsidR="00394471" w:rsidRPr="00FA0D37" w:rsidRDefault="00394471" w:rsidP="00FA0D37">
      <w:pPr>
        <w:pStyle w:val="PL"/>
      </w:pPr>
      <w:r w:rsidRPr="00FA0D37">
        <w:t xml:space="preserve">ControlResourceSet ::=              </w:t>
      </w:r>
      <w:r w:rsidRPr="00FA0D37">
        <w:rPr>
          <w:color w:val="993366"/>
        </w:rPr>
        <w:t>SEQUENCE</w:t>
      </w:r>
      <w:r w:rsidRPr="00FA0D37">
        <w:t xml:space="preserve"> {</w:t>
      </w:r>
    </w:p>
    <w:p w14:paraId="62B2A3EC" w14:textId="77777777" w:rsidR="00394471" w:rsidRPr="00FA0D37" w:rsidRDefault="00394471" w:rsidP="00FA0D37">
      <w:pPr>
        <w:pStyle w:val="PL"/>
      </w:pPr>
      <w:r w:rsidRPr="00FA0D37">
        <w:t xml:space="preserve">    controlResourceSetId                ControlResourceSetId,</w:t>
      </w:r>
    </w:p>
    <w:p w14:paraId="2346F99C" w14:textId="77777777" w:rsidR="00394471" w:rsidRPr="00FA0D37" w:rsidRDefault="00394471" w:rsidP="00FA0D37">
      <w:pPr>
        <w:pStyle w:val="PL"/>
      </w:pPr>
      <w:r w:rsidRPr="00FA0D37">
        <w:t xml:space="preserve">    frequencyDomainResources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(45)),</w:t>
      </w:r>
    </w:p>
    <w:p w14:paraId="74E28F24" w14:textId="77777777" w:rsidR="00394471" w:rsidRPr="00FA0D37" w:rsidRDefault="00394471" w:rsidP="00FA0D37">
      <w:pPr>
        <w:pStyle w:val="PL"/>
      </w:pPr>
      <w:r w:rsidRPr="00FA0D37">
        <w:t xml:space="preserve">    duration                            </w:t>
      </w:r>
      <w:r w:rsidRPr="00FA0D37">
        <w:rPr>
          <w:color w:val="993366"/>
        </w:rPr>
        <w:t>INTEGER</w:t>
      </w:r>
      <w:r w:rsidRPr="00FA0D37">
        <w:t xml:space="preserve"> (1..maxCoReSetDuration),</w:t>
      </w:r>
    </w:p>
    <w:p w14:paraId="329A3E22" w14:textId="77777777" w:rsidR="00394471" w:rsidRPr="00FA0D37" w:rsidRDefault="00394471" w:rsidP="00FA0D37">
      <w:pPr>
        <w:pStyle w:val="PL"/>
      </w:pPr>
      <w:r w:rsidRPr="00FA0D37">
        <w:t xml:space="preserve">    cce-REG-MappingType                 </w:t>
      </w:r>
      <w:r w:rsidRPr="00FA0D37">
        <w:rPr>
          <w:color w:val="993366"/>
        </w:rPr>
        <w:t>CHOICE</w:t>
      </w:r>
      <w:r w:rsidRPr="00FA0D37">
        <w:t xml:space="preserve"> {</w:t>
      </w:r>
    </w:p>
    <w:p w14:paraId="624E611C" w14:textId="77777777" w:rsidR="00394471" w:rsidRPr="00FA0D37" w:rsidRDefault="00394471" w:rsidP="00FA0D37">
      <w:pPr>
        <w:pStyle w:val="PL"/>
      </w:pPr>
      <w:r w:rsidRPr="00FA0D37">
        <w:t xml:space="preserve">        interleaved                         </w:t>
      </w:r>
      <w:r w:rsidRPr="00FA0D37">
        <w:rPr>
          <w:color w:val="993366"/>
        </w:rPr>
        <w:t>SEQUENCE</w:t>
      </w:r>
      <w:r w:rsidRPr="00FA0D37">
        <w:t xml:space="preserve"> {</w:t>
      </w:r>
    </w:p>
    <w:p w14:paraId="73F0694D" w14:textId="77777777" w:rsidR="00394471" w:rsidRPr="00FA0D37" w:rsidRDefault="00394471" w:rsidP="00FA0D37">
      <w:pPr>
        <w:pStyle w:val="PL"/>
      </w:pPr>
      <w:r w:rsidRPr="00FA0D37">
        <w:t xml:space="preserve">            reg-BundleSize                      </w:t>
      </w:r>
      <w:r w:rsidRPr="00FA0D37">
        <w:rPr>
          <w:color w:val="993366"/>
        </w:rPr>
        <w:t>ENUMERATED</w:t>
      </w:r>
      <w:r w:rsidRPr="00FA0D37">
        <w:t xml:space="preserve"> {n2, n3, n6},</w:t>
      </w:r>
    </w:p>
    <w:p w14:paraId="6904B205" w14:textId="77777777" w:rsidR="00394471" w:rsidRPr="00FA0D37" w:rsidRDefault="00394471" w:rsidP="00FA0D37">
      <w:pPr>
        <w:pStyle w:val="PL"/>
      </w:pPr>
      <w:r w:rsidRPr="00FA0D37">
        <w:t xml:space="preserve">            interleaverSize                     </w:t>
      </w:r>
      <w:r w:rsidRPr="00FA0D37">
        <w:rPr>
          <w:color w:val="993366"/>
        </w:rPr>
        <w:t>ENUMERATED</w:t>
      </w:r>
      <w:r w:rsidRPr="00FA0D37">
        <w:t xml:space="preserve"> {n2, n3, n6},</w:t>
      </w:r>
    </w:p>
    <w:p w14:paraId="742E5E2D" w14:textId="77777777" w:rsidR="00394471" w:rsidRPr="00FA0D37" w:rsidRDefault="00394471" w:rsidP="00FA0D37">
      <w:pPr>
        <w:pStyle w:val="PL"/>
        <w:rPr>
          <w:color w:val="808080"/>
        </w:rPr>
      </w:pPr>
      <w:r w:rsidRPr="00FA0D37">
        <w:t xml:space="preserve">            shiftIndex                          </w:t>
      </w:r>
      <w:r w:rsidRPr="00FA0D37">
        <w:rPr>
          <w:color w:val="993366"/>
        </w:rPr>
        <w:t>INTEGER</w:t>
      </w:r>
      <w:r w:rsidRPr="00FA0D37">
        <w:t xml:space="preserve">(0..maxNrofPhysicalResourceBlocks-1)       </w:t>
      </w:r>
      <w:r w:rsidRPr="00FA0D37">
        <w:rPr>
          <w:color w:val="993366"/>
        </w:rPr>
        <w:t>OPTIONAL</w:t>
      </w:r>
      <w:r w:rsidRPr="00FA0D37">
        <w:t xml:space="preserve"> </w:t>
      </w:r>
      <w:r w:rsidRPr="00FA0D37">
        <w:rPr>
          <w:color w:val="808080"/>
        </w:rPr>
        <w:t>-- Need S</w:t>
      </w:r>
    </w:p>
    <w:p w14:paraId="31DFE7EC" w14:textId="77777777" w:rsidR="00394471" w:rsidRPr="00FA0D37" w:rsidRDefault="00394471" w:rsidP="00FA0D37">
      <w:pPr>
        <w:pStyle w:val="PL"/>
      </w:pPr>
      <w:r w:rsidRPr="00FA0D37">
        <w:t xml:space="preserve">        },</w:t>
      </w:r>
    </w:p>
    <w:p w14:paraId="75D12112" w14:textId="77777777" w:rsidR="00394471" w:rsidRPr="00FA0D37" w:rsidRDefault="00394471" w:rsidP="00FA0D37">
      <w:pPr>
        <w:pStyle w:val="PL"/>
      </w:pPr>
      <w:r w:rsidRPr="00FA0D37">
        <w:t xml:space="preserve">        nonInterleaved                      </w:t>
      </w:r>
      <w:r w:rsidRPr="00FA0D37">
        <w:rPr>
          <w:color w:val="993366"/>
        </w:rPr>
        <w:t>NULL</w:t>
      </w:r>
    </w:p>
    <w:p w14:paraId="72EEB5A8" w14:textId="77777777" w:rsidR="00394471" w:rsidRPr="00FA0D37" w:rsidRDefault="00394471" w:rsidP="00FA0D37">
      <w:pPr>
        <w:pStyle w:val="PL"/>
      </w:pPr>
      <w:r w:rsidRPr="00FA0D37">
        <w:t xml:space="preserve">    },</w:t>
      </w:r>
    </w:p>
    <w:p w14:paraId="4ABBF3A1" w14:textId="77777777" w:rsidR="00394471" w:rsidRPr="00FA0D37" w:rsidRDefault="00394471" w:rsidP="00FA0D37">
      <w:pPr>
        <w:pStyle w:val="PL"/>
      </w:pPr>
      <w:r w:rsidRPr="00FA0D37">
        <w:t xml:space="preserve">    precoderGranularity                 </w:t>
      </w:r>
      <w:r w:rsidRPr="00FA0D37">
        <w:rPr>
          <w:color w:val="993366"/>
        </w:rPr>
        <w:t>ENUMERATED</w:t>
      </w:r>
      <w:r w:rsidRPr="00FA0D37">
        <w:t xml:space="preserve"> {sameAsREG-bundle, allContiguousRBs},</w:t>
      </w:r>
    </w:p>
    <w:p w14:paraId="277E3C3C" w14:textId="71301B57" w:rsidR="00394471" w:rsidRPr="00FA0D37" w:rsidRDefault="00394471" w:rsidP="00FA0D37">
      <w:pPr>
        <w:pStyle w:val="PL"/>
        <w:rPr>
          <w:color w:val="808080"/>
        </w:rPr>
      </w:pPr>
      <w:r w:rsidRPr="00FA0D37">
        <w:t xml:space="preserve">    tci-StatesPDCCH-ToAddList           </w:t>
      </w:r>
      <w:r w:rsidRPr="00FA0D37">
        <w:rPr>
          <w:color w:val="993366"/>
        </w:rPr>
        <w:t>SEQUENCE</w:t>
      </w:r>
      <w:r w:rsidRPr="00FA0D37">
        <w:t>(</w:t>
      </w:r>
      <w:r w:rsidRPr="00FA0D37">
        <w:rPr>
          <w:color w:val="993366"/>
        </w:rPr>
        <w:t>SIZE</w:t>
      </w:r>
      <w:r w:rsidRPr="00FA0D37">
        <w:t xml:space="preserve"> (1..maxNrofTCI-StatesPDCCH))</w:t>
      </w:r>
      <w:r w:rsidRPr="00FA0D37">
        <w:rPr>
          <w:color w:val="993366"/>
        </w:rPr>
        <w:t xml:space="preserve"> OF</w:t>
      </w:r>
      <w:r w:rsidRPr="00FA0D37">
        <w:t xml:space="preserve"> TCI-StateId </w:t>
      </w:r>
      <w:r w:rsidRPr="00FA0D37">
        <w:rPr>
          <w:color w:val="993366"/>
        </w:rPr>
        <w:t>OPTIONAL</w:t>
      </w:r>
      <w:r w:rsidRPr="00FA0D37">
        <w:t xml:space="preserve">, </w:t>
      </w:r>
      <w:r w:rsidRPr="00FA0D37">
        <w:rPr>
          <w:color w:val="808080"/>
        </w:rPr>
        <w:t>-- Cond NotSIB-initialBWP</w:t>
      </w:r>
    </w:p>
    <w:p w14:paraId="30D98DFC" w14:textId="5D95CAF2" w:rsidR="00394471" w:rsidRPr="00FA0D37" w:rsidRDefault="00394471" w:rsidP="00FA0D37">
      <w:pPr>
        <w:pStyle w:val="PL"/>
        <w:rPr>
          <w:color w:val="808080"/>
        </w:rPr>
      </w:pPr>
      <w:r w:rsidRPr="00FA0D37">
        <w:t xml:space="preserve">    tci-StatesPDCCH-ToReleaseList       </w:t>
      </w:r>
      <w:r w:rsidRPr="00FA0D37">
        <w:rPr>
          <w:color w:val="993366"/>
        </w:rPr>
        <w:t>SEQUENCE</w:t>
      </w:r>
      <w:r w:rsidRPr="00FA0D37">
        <w:t>(</w:t>
      </w:r>
      <w:r w:rsidRPr="00FA0D37">
        <w:rPr>
          <w:color w:val="993366"/>
        </w:rPr>
        <w:t>SIZE</w:t>
      </w:r>
      <w:r w:rsidRPr="00FA0D37">
        <w:t xml:space="preserve"> (1..maxNrofTCI-StatesPDCCH))</w:t>
      </w:r>
      <w:r w:rsidRPr="00FA0D37">
        <w:rPr>
          <w:color w:val="993366"/>
        </w:rPr>
        <w:t xml:space="preserve"> OF</w:t>
      </w:r>
      <w:r w:rsidRPr="00FA0D37">
        <w:t xml:space="preserve"> TCI-StateId </w:t>
      </w:r>
      <w:r w:rsidRPr="00FA0D37">
        <w:rPr>
          <w:color w:val="993366"/>
        </w:rPr>
        <w:t>OPTIONAL</w:t>
      </w:r>
      <w:r w:rsidRPr="00FA0D37">
        <w:t xml:space="preserve">, </w:t>
      </w:r>
      <w:r w:rsidRPr="00FA0D37">
        <w:rPr>
          <w:color w:val="808080"/>
        </w:rPr>
        <w:t>-- Cond NotSIB-initialBWP</w:t>
      </w:r>
    </w:p>
    <w:p w14:paraId="2528BB44" w14:textId="77777777" w:rsidR="00394471" w:rsidRPr="00FA0D37" w:rsidRDefault="00394471" w:rsidP="00FA0D37">
      <w:pPr>
        <w:pStyle w:val="PL"/>
        <w:rPr>
          <w:color w:val="808080"/>
        </w:rPr>
      </w:pPr>
      <w:r w:rsidRPr="00FA0D37">
        <w:t xml:space="preserve">    tci-PresentInDCI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26A4D474" w14:textId="77777777" w:rsidR="00394471" w:rsidRPr="00FA0D37" w:rsidRDefault="00394471" w:rsidP="00FA0D37">
      <w:pPr>
        <w:pStyle w:val="PL"/>
        <w:rPr>
          <w:color w:val="808080"/>
        </w:rPr>
      </w:pPr>
      <w:r w:rsidRPr="00FA0D37">
        <w:t xml:space="preserve">    pdcch-DMRS-ScramblingID                 </w:t>
      </w:r>
      <w:r w:rsidRPr="00FA0D37">
        <w:rPr>
          <w:color w:val="993366"/>
        </w:rPr>
        <w:t>INTEGER</w:t>
      </w:r>
      <w:r w:rsidRPr="00FA0D37">
        <w:t xml:space="preserve"> (0..65535)                                    </w:t>
      </w:r>
      <w:r w:rsidRPr="00FA0D37">
        <w:rPr>
          <w:color w:val="993366"/>
        </w:rPr>
        <w:t>OPTIONAL</w:t>
      </w:r>
      <w:r w:rsidRPr="00FA0D37">
        <w:t xml:space="preserve">, </w:t>
      </w:r>
      <w:r w:rsidRPr="00FA0D37">
        <w:rPr>
          <w:color w:val="808080"/>
        </w:rPr>
        <w:t>-- Need S</w:t>
      </w:r>
    </w:p>
    <w:p w14:paraId="1C773B30" w14:textId="77777777" w:rsidR="00394471" w:rsidRPr="00FA0D37" w:rsidRDefault="00394471" w:rsidP="00FA0D37">
      <w:pPr>
        <w:pStyle w:val="PL"/>
      </w:pPr>
      <w:r w:rsidRPr="00FA0D37">
        <w:t xml:space="preserve">    ...,</w:t>
      </w:r>
    </w:p>
    <w:p w14:paraId="25265A22" w14:textId="77777777" w:rsidR="00394471" w:rsidRPr="00FA0D37" w:rsidRDefault="00394471" w:rsidP="00FA0D37">
      <w:pPr>
        <w:pStyle w:val="PL"/>
      </w:pPr>
      <w:r w:rsidRPr="00FA0D37">
        <w:t xml:space="preserve">    [[</w:t>
      </w:r>
    </w:p>
    <w:p w14:paraId="4B5C9EF2" w14:textId="77777777" w:rsidR="00394471" w:rsidRPr="00FA0D37" w:rsidRDefault="00394471" w:rsidP="00FA0D37">
      <w:pPr>
        <w:pStyle w:val="PL"/>
        <w:rPr>
          <w:color w:val="808080"/>
        </w:rPr>
      </w:pPr>
      <w:r w:rsidRPr="00FA0D37">
        <w:t xml:space="preserve">    rb-Offset-r16                       </w:t>
      </w:r>
      <w:r w:rsidRPr="00FA0D37">
        <w:rPr>
          <w:color w:val="993366"/>
        </w:rPr>
        <w:t>INTEGER</w:t>
      </w:r>
      <w:r w:rsidRPr="00FA0D37">
        <w:t xml:space="preserve"> (0..5)                                            </w:t>
      </w:r>
      <w:r w:rsidRPr="00FA0D37">
        <w:rPr>
          <w:color w:val="993366"/>
        </w:rPr>
        <w:t>OPTIONAL</w:t>
      </w:r>
      <w:r w:rsidRPr="00FA0D37">
        <w:t xml:space="preserve">, </w:t>
      </w:r>
      <w:r w:rsidRPr="00FA0D37">
        <w:rPr>
          <w:color w:val="808080"/>
        </w:rPr>
        <w:t>-- Need S</w:t>
      </w:r>
    </w:p>
    <w:p w14:paraId="3B4A8687" w14:textId="77777777" w:rsidR="00394471" w:rsidRPr="00FA0D37" w:rsidRDefault="00394471" w:rsidP="00FA0D37">
      <w:pPr>
        <w:pStyle w:val="PL"/>
        <w:rPr>
          <w:color w:val="808080"/>
        </w:rPr>
      </w:pPr>
      <w:r w:rsidRPr="00FA0D37">
        <w:t xml:space="preserve">    tci-PresentDCI-1-2-r16              </w:t>
      </w:r>
      <w:r w:rsidRPr="00FA0D37">
        <w:rPr>
          <w:color w:val="993366"/>
        </w:rPr>
        <w:t>INTEGER</w:t>
      </w:r>
      <w:r w:rsidRPr="00FA0D37">
        <w:t xml:space="preserve"> (1..3)                                            </w:t>
      </w:r>
      <w:r w:rsidRPr="00FA0D37">
        <w:rPr>
          <w:color w:val="993366"/>
        </w:rPr>
        <w:t>OPTIONAL</w:t>
      </w:r>
      <w:r w:rsidRPr="00FA0D37">
        <w:t xml:space="preserve">, </w:t>
      </w:r>
      <w:r w:rsidRPr="00FA0D37">
        <w:rPr>
          <w:color w:val="808080"/>
        </w:rPr>
        <w:t>-- Need S</w:t>
      </w:r>
    </w:p>
    <w:p w14:paraId="3517B000" w14:textId="77777777" w:rsidR="00394471" w:rsidRPr="00FA0D37" w:rsidRDefault="00394471" w:rsidP="00FA0D37">
      <w:pPr>
        <w:pStyle w:val="PL"/>
        <w:rPr>
          <w:color w:val="808080"/>
        </w:rPr>
      </w:pPr>
      <w:r w:rsidRPr="00FA0D37">
        <w:t xml:space="preserve">    coresetPoolIndex-r16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S</w:t>
      </w:r>
    </w:p>
    <w:p w14:paraId="68C7CA5D" w14:textId="77777777" w:rsidR="00394471" w:rsidRPr="00FA0D37" w:rsidRDefault="00394471" w:rsidP="00FA0D37">
      <w:pPr>
        <w:pStyle w:val="PL"/>
        <w:rPr>
          <w:color w:val="808080"/>
        </w:rPr>
      </w:pPr>
      <w:r w:rsidRPr="00FA0D37">
        <w:t xml:space="preserve">    controlResourceSetId-v1610          ControlResourceSetId-v1610                                </w:t>
      </w:r>
      <w:r w:rsidRPr="00FA0D37">
        <w:rPr>
          <w:color w:val="993366"/>
        </w:rPr>
        <w:t>OPTIONAL</w:t>
      </w:r>
      <w:r w:rsidRPr="00FA0D37">
        <w:t xml:space="preserve">  </w:t>
      </w:r>
      <w:r w:rsidRPr="00FA0D37">
        <w:rPr>
          <w:color w:val="808080"/>
        </w:rPr>
        <w:t>-- Need S</w:t>
      </w:r>
    </w:p>
    <w:p w14:paraId="154DBDC4" w14:textId="4B2530B4" w:rsidR="00606C47" w:rsidRPr="00FA0D37" w:rsidRDefault="00394471" w:rsidP="00FA0D37">
      <w:pPr>
        <w:pStyle w:val="PL"/>
      </w:pPr>
      <w:r w:rsidRPr="00FA0D37">
        <w:t xml:space="preserve">    ]]</w:t>
      </w:r>
      <w:r w:rsidR="00606C47" w:rsidRPr="00FA0D37">
        <w:t>,</w:t>
      </w:r>
    </w:p>
    <w:p w14:paraId="6275C7F7" w14:textId="77777777" w:rsidR="00606C47" w:rsidRPr="00FA0D37" w:rsidRDefault="00606C47" w:rsidP="00FA0D37">
      <w:pPr>
        <w:pStyle w:val="PL"/>
      </w:pPr>
      <w:r w:rsidRPr="00FA0D37">
        <w:lastRenderedPageBreak/>
        <w:t xml:space="preserve">    [[</w:t>
      </w:r>
    </w:p>
    <w:p w14:paraId="5B853EAC" w14:textId="3B2A17DA" w:rsidR="00606C47" w:rsidRPr="00FA0D37" w:rsidRDefault="00606C47" w:rsidP="00FA0D37">
      <w:pPr>
        <w:pStyle w:val="PL"/>
        <w:rPr>
          <w:color w:val="808080"/>
        </w:rPr>
      </w:pPr>
      <w:r w:rsidRPr="00FA0D37">
        <w:t xml:space="preserve">    followUnifiedTCI</w:t>
      </w:r>
      <w:r w:rsidR="00184EE0" w:rsidRPr="00FA0D37">
        <w:t>-S</w:t>
      </w:r>
      <w:r w:rsidRPr="00FA0D37">
        <w:t xml:space="preserve">tate-r17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53AB2DDF" w14:textId="21C23490" w:rsidR="00394471" w:rsidRPr="00FA0D37" w:rsidRDefault="00606C47" w:rsidP="00FA0D37">
      <w:pPr>
        <w:pStyle w:val="PL"/>
      </w:pPr>
      <w:r w:rsidRPr="00FA0D37">
        <w:t xml:space="preserve">    ]]</w:t>
      </w:r>
    </w:p>
    <w:p w14:paraId="690BA6EA" w14:textId="77777777" w:rsidR="00394471" w:rsidRPr="00FA0D37" w:rsidRDefault="00394471" w:rsidP="00FA0D37">
      <w:pPr>
        <w:pStyle w:val="PL"/>
      </w:pPr>
      <w:r w:rsidRPr="00FA0D37">
        <w:t>}</w:t>
      </w:r>
    </w:p>
    <w:p w14:paraId="7F0F5637" w14:textId="77777777" w:rsidR="00394471" w:rsidRPr="00FA0D37" w:rsidRDefault="00394471" w:rsidP="00FA0D37">
      <w:pPr>
        <w:pStyle w:val="PL"/>
      </w:pPr>
    </w:p>
    <w:p w14:paraId="0A6B7BD0" w14:textId="77777777" w:rsidR="00394471" w:rsidRPr="00FA0D37" w:rsidRDefault="00394471" w:rsidP="00FA0D37">
      <w:pPr>
        <w:pStyle w:val="PL"/>
        <w:rPr>
          <w:color w:val="808080"/>
        </w:rPr>
      </w:pPr>
      <w:r w:rsidRPr="00FA0D37">
        <w:rPr>
          <w:color w:val="808080"/>
        </w:rPr>
        <w:t>-- TAG-CONTROLRESOURCESET-STOP</w:t>
      </w:r>
    </w:p>
    <w:p w14:paraId="5879898B" w14:textId="77777777" w:rsidR="00394471" w:rsidRPr="00FA0D37" w:rsidRDefault="00394471" w:rsidP="00FA0D37">
      <w:pPr>
        <w:pStyle w:val="PL"/>
        <w:rPr>
          <w:color w:val="808080"/>
        </w:rPr>
      </w:pPr>
      <w:r w:rsidRPr="00FA0D37">
        <w:rPr>
          <w:color w:val="808080"/>
        </w:rPr>
        <w:t>-- ASN1STOP</w:t>
      </w:r>
    </w:p>
    <w:p w14:paraId="499E6F1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FA0D37" w:rsidRDefault="00394471" w:rsidP="00964CC4">
            <w:pPr>
              <w:pStyle w:val="TAH"/>
              <w:rPr>
                <w:szCs w:val="22"/>
                <w:lang w:eastAsia="sv-SE"/>
              </w:rPr>
            </w:pPr>
            <w:r w:rsidRPr="00FA0D37">
              <w:rPr>
                <w:i/>
                <w:szCs w:val="22"/>
                <w:lang w:eastAsia="sv-SE"/>
              </w:rPr>
              <w:lastRenderedPageBreak/>
              <w:t xml:space="preserve">ControlResourceSet </w:t>
            </w:r>
            <w:r w:rsidRPr="00FA0D37">
              <w:rPr>
                <w:szCs w:val="22"/>
                <w:lang w:eastAsia="sv-SE"/>
              </w:rPr>
              <w:t>field descriptions</w:t>
            </w:r>
          </w:p>
        </w:tc>
      </w:tr>
      <w:tr w:rsidR="005C7FF4" w:rsidRPr="00FA0D37"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FA0D37" w:rsidRDefault="00394471" w:rsidP="00964CC4">
            <w:pPr>
              <w:pStyle w:val="TAL"/>
              <w:rPr>
                <w:szCs w:val="22"/>
                <w:lang w:eastAsia="sv-SE"/>
              </w:rPr>
            </w:pPr>
            <w:r w:rsidRPr="00FA0D37">
              <w:rPr>
                <w:b/>
                <w:i/>
                <w:szCs w:val="22"/>
                <w:lang w:eastAsia="sv-SE"/>
              </w:rPr>
              <w:t>cce-REG-MappingType</w:t>
            </w:r>
          </w:p>
          <w:p w14:paraId="27081DE1" w14:textId="77777777" w:rsidR="00394471" w:rsidRPr="00FA0D37" w:rsidRDefault="00394471" w:rsidP="00964CC4">
            <w:pPr>
              <w:pStyle w:val="TAL"/>
              <w:rPr>
                <w:szCs w:val="22"/>
                <w:lang w:eastAsia="sv-SE"/>
              </w:rPr>
            </w:pPr>
            <w:r w:rsidRPr="00FA0D37">
              <w:rPr>
                <w:szCs w:val="22"/>
                <w:lang w:eastAsia="sv-SE"/>
              </w:rPr>
              <w:t>Mapping of Control Channel Elements (CCE) to Resource Element Groups (REG) (see TS 38.211 [16], clauses 7.3.2.2 and 7.4.1.3.2).</w:t>
            </w:r>
          </w:p>
        </w:tc>
      </w:tr>
      <w:tr w:rsidR="005C7FF4" w:rsidRPr="00FA0D37"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FA0D37" w:rsidRDefault="00394471" w:rsidP="00964CC4">
            <w:pPr>
              <w:pStyle w:val="TAL"/>
              <w:rPr>
                <w:szCs w:val="22"/>
                <w:lang w:eastAsia="sv-SE"/>
              </w:rPr>
            </w:pPr>
            <w:r w:rsidRPr="00FA0D37">
              <w:rPr>
                <w:b/>
                <w:i/>
                <w:szCs w:val="22"/>
                <w:lang w:eastAsia="sv-SE"/>
              </w:rPr>
              <w:t>controlResourceSetId</w:t>
            </w:r>
          </w:p>
          <w:p w14:paraId="609680C6" w14:textId="60A54470" w:rsidR="00394471" w:rsidRPr="00FA0D37" w:rsidRDefault="00394471" w:rsidP="00964CC4">
            <w:pPr>
              <w:pStyle w:val="TAL"/>
              <w:rPr>
                <w:szCs w:val="22"/>
                <w:lang w:eastAsia="sv-SE"/>
              </w:rPr>
            </w:pPr>
            <w:r w:rsidRPr="00FA0D37">
              <w:rPr>
                <w:szCs w:val="22"/>
                <w:lang w:eastAsia="sv-SE"/>
              </w:rPr>
              <w:t xml:space="preserve">Identifies the instance of the </w:t>
            </w:r>
            <w:r w:rsidRPr="00FA0D37">
              <w:rPr>
                <w:i/>
                <w:szCs w:val="22"/>
                <w:lang w:eastAsia="sv-SE"/>
              </w:rPr>
              <w:t>ControlResourceSet</w:t>
            </w:r>
            <w:r w:rsidRPr="00FA0D37">
              <w:rPr>
                <w:szCs w:val="22"/>
                <w:lang w:eastAsia="sv-SE"/>
              </w:rPr>
              <w:t xml:space="preserve"> IE. Value 0 identifies the common CORESET configured in </w:t>
            </w:r>
            <w:r w:rsidRPr="00FA0D37">
              <w:rPr>
                <w:i/>
                <w:lang w:eastAsia="sv-SE"/>
              </w:rPr>
              <w:t>MIB</w:t>
            </w:r>
            <w:r w:rsidRPr="00FA0D37">
              <w:rPr>
                <w:szCs w:val="22"/>
                <w:lang w:eastAsia="sv-SE"/>
              </w:rPr>
              <w:t xml:space="preserve"> and in </w:t>
            </w:r>
            <w:r w:rsidRPr="00FA0D37">
              <w:rPr>
                <w:i/>
                <w:lang w:eastAsia="sv-SE"/>
              </w:rPr>
              <w:t>ServingCellConfigCommon</w:t>
            </w:r>
            <w:r w:rsidRPr="00FA0D37">
              <w:rPr>
                <w:szCs w:val="22"/>
                <w:lang w:eastAsia="sv-SE"/>
              </w:rPr>
              <w:t xml:space="preserve"> (</w:t>
            </w:r>
            <w:r w:rsidRPr="00FA0D37">
              <w:rPr>
                <w:i/>
                <w:lang w:eastAsia="sv-SE"/>
              </w:rPr>
              <w:t>controlResourceSetZero</w:t>
            </w:r>
            <w:r w:rsidRPr="00FA0D37">
              <w:rPr>
                <w:szCs w:val="22"/>
                <w:lang w:eastAsia="sv-SE"/>
              </w:rPr>
              <w:t xml:space="preserve">) and is hence not used here in the </w:t>
            </w:r>
            <w:r w:rsidRPr="00FA0D37">
              <w:rPr>
                <w:i/>
                <w:lang w:eastAsia="sv-SE"/>
              </w:rPr>
              <w:t>ControlResourceSet</w:t>
            </w:r>
            <w:r w:rsidRPr="00FA0D37">
              <w:rPr>
                <w:szCs w:val="22"/>
                <w:lang w:eastAsia="sv-SE"/>
              </w:rPr>
              <w:t xml:space="preserve"> IE. Other values identify CORESETs configured by dedicated signalling or in </w:t>
            </w:r>
            <w:r w:rsidRPr="00FA0D37">
              <w:rPr>
                <w:i/>
                <w:lang w:eastAsia="sv-SE"/>
              </w:rPr>
              <w:t>SIB1</w:t>
            </w:r>
            <w:r w:rsidR="00297667" w:rsidRPr="00FA0D37">
              <w:rPr>
                <w:i/>
                <w:lang w:eastAsia="sv-SE"/>
              </w:rPr>
              <w:t xml:space="preserve"> </w:t>
            </w:r>
            <w:r w:rsidR="00297667" w:rsidRPr="00FA0D37">
              <w:rPr>
                <w:lang w:eastAsia="sv-SE"/>
              </w:rPr>
              <w:t>or</w:t>
            </w:r>
            <w:r w:rsidR="00297667" w:rsidRPr="00FA0D37">
              <w:rPr>
                <w:i/>
                <w:lang w:eastAsia="sv-SE"/>
              </w:rPr>
              <w:t xml:space="preserve"> SIB20</w:t>
            </w:r>
            <w:r w:rsidRPr="00FA0D37">
              <w:rPr>
                <w:szCs w:val="22"/>
                <w:lang w:eastAsia="sv-SE"/>
              </w:rPr>
              <w:t xml:space="preserve">. The </w:t>
            </w:r>
            <w:r w:rsidRPr="00FA0D37">
              <w:rPr>
                <w:i/>
                <w:lang w:eastAsia="sv-SE"/>
              </w:rPr>
              <w:t>controlResourceSetId</w:t>
            </w:r>
            <w:r w:rsidRPr="00FA0D37">
              <w:rPr>
                <w:szCs w:val="22"/>
                <w:lang w:eastAsia="sv-SE"/>
              </w:rPr>
              <w:t xml:space="preserve"> is unique among the BWPs of a serving cell.</w:t>
            </w:r>
          </w:p>
          <w:p w14:paraId="08D7132F" w14:textId="77777777" w:rsidR="00394471" w:rsidRPr="00FA0D37" w:rsidRDefault="00394471" w:rsidP="00964CC4">
            <w:pPr>
              <w:pStyle w:val="TAL"/>
              <w:rPr>
                <w:szCs w:val="22"/>
                <w:lang w:eastAsia="sv-SE"/>
              </w:rPr>
            </w:pPr>
            <w:r w:rsidRPr="00FA0D37">
              <w:rPr>
                <w:szCs w:val="22"/>
                <w:lang w:eastAsia="sv-SE"/>
              </w:rPr>
              <w:t xml:space="preserve">If the field </w:t>
            </w:r>
            <w:r w:rsidRPr="00FA0D37">
              <w:rPr>
                <w:i/>
                <w:szCs w:val="22"/>
                <w:lang w:eastAsia="sv-SE"/>
              </w:rPr>
              <w:t>controlResourceSetId-v1610</w:t>
            </w:r>
            <w:r w:rsidRPr="00FA0D37">
              <w:rPr>
                <w:szCs w:val="22"/>
                <w:lang w:eastAsia="sv-SE"/>
              </w:rPr>
              <w:t xml:space="preserve"> is present, the UE shall ignore the </w:t>
            </w:r>
            <w:r w:rsidRPr="00FA0D37">
              <w:rPr>
                <w:i/>
                <w:szCs w:val="22"/>
                <w:lang w:eastAsia="sv-SE"/>
              </w:rPr>
              <w:t>controlResourceSetId</w:t>
            </w:r>
            <w:r w:rsidRPr="00FA0D37">
              <w:rPr>
                <w:szCs w:val="22"/>
                <w:lang w:eastAsia="sv-SE"/>
              </w:rPr>
              <w:t xml:space="preserve"> field (without suffix).</w:t>
            </w:r>
          </w:p>
        </w:tc>
      </w:tr>
      <w:tr w:rsidR="005C7FF4" w:rsidRPr="00FA0D37"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FA0D37" w:rsidRDefault="00394471" w:rsidP="00964CC4">
            <w:pPr>
              <w:pStyle w:val="TAL"/>
              <w:rPr>
                <w:b/>
                <w:i/>
                <w:szCs w:val="22"/>
                <w:lang w:eastAsia="sv-SE"/>
              </w:rPr>
            </w:pPr>
            <w:r w:rsidRPr="00FA0D37">
              <w:rPr>
                <w:b/>
                <w:i/>
                <w:szCs w:val="22"/>
                <w:lang w:eastAsia="sv-SE"/>
              </w:rPr>
              <w:t>coresetPoolIndex</w:t>
            </w:r>
          </w:p>
          <w:p w14:paraId="4A9D54BE" w14:textId="77777777" w:rsidR="00394471" w:rsidRPr="00FA0D37" w:rsidRDefault="00394471" w:rsidP="00964CC4">
            <w:pPr>
              <w:pStyle w:val="TAL"/>
              <w:rPr>
                <w:b/>
                <w:i/>
                <w:szCs w:val="22"/>
                <w:lang w:eastAsia="sv-SE"/>
              </w:rPr>
            </w:pPr>
            <w:r w:rsidRPr="00FA0D37">
              <w:rPr>
                <w:szCs w:val="22"/>
                <w:lang w:eastAsia="sv-SE"/>
              </w:rPr>
              <w:t>The index of the CORESET pool for this CORESET as specified in TS 38.213 [13] (clauses 9 and 10) and TS 38.214 [19] (clauses 5.1 and 6.1). If the field is absent, the UE applies the value 0.</w:t>
            </w:r>
          </w:p>
        </w:tc>
      </w:tr>
      <w:tr w:rsidR="005C7FF4" w:rsidRPr="00FA0D37"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FA0D37" w:rsidRDefault="00394471" w:rsidP="00964CC4">
            <w:pPr>
              <w:pStyle w:val="TAL"/>
              <w:rPr>
                <w:szCs w:val="22"/>
                <w:lang w:eastAsia="sv-SE"/>
              </w:rPr>
            </w:pPr>
            <w:r w:rsidRPr="00FA0D37">
              <w:rPr>
                <w:b/>
                <w:i/>
                <w:szCs w:val="22"/>
                <w:lang w:eastAsia="sv-SE"/>
              </w:rPr>
              <w:t>duration</w:t>
            </w:r>
          </w:p>
          <w:p w14:paraId="485E0422" w14:textId="77777777" w:rsidR="00394471" w:rsidRPr="00FA0D37" w:rsidRDefault="00394471" w:rsidP="00964CC4">
            <w:pPr>
              <w:pStyle w:val="TAL"/>
              <w:rPr>
                <w:szCs w:val="22"/>
                <w:lang w:eastAsia="sv-SE"/>
              </w:rPr>
            </w:pPr>
            <w:r w:rsidRPr="00FA0D37">
              <w:rPr>
                <w:szCs w:val="22"/>
                <w:lang w:eastAsia="sv-SE"/>
              </w:rPr>
              <w:t>Contiguous time duration of the CORESET in number of symbols (see TS 38.211 [16], clause 7.3.2.2).</w:t>
            </w:r>
          </w:p>
        </w:tc>
      </w:tr>
      <w:tr w:rsidR="005C7FF4" w:rsidRPr="00FA0D37"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FA0D37" w:rsidRDefault="00606C47" w:rsidP="00771058">
            <w:pPr>
              <w:pStyle w:val="TAL"/>
              <w:rPr>
                <w:b/>
                <w:i/>
                <w:szCs w:val="22"/>
                <w:lang w:eastAsia="sv-SE"/>
              </w:rPr>
            </w:pPr>
            <w:r w:rsidRPr="00FA0D37">
              <w:rPr>
                <w:b/>
                <w:i/>
                <w:szCs w:val="22"/>
                <w:lang w:eastAsia="sv-SE"/>
              </w:rPr>
              <w:t>followUnified</w:t>
            </w:r>
            <w:r w:rsidR="00184EE0" w:rsidRPr="00FA0D37">
              <w:rPr>
                <w:b/>
                <w:i/>
                <w:szCs w:val="22"/>
                <w:lang w:eastAsia="sv-SE"/>
              </w:rPr>
              <w:t>TCI-State</w:t>
            </w:r>
          </w:p>
          <w:p w14:paraId="201BA27D" w14:textId="0BDD1BAB" w:rsidR="00606C47" w:rsidRPr="00FA0D37" w:rsidRDefault="00606C47" w:rsidP="00771058">
            <w:pPr>
              <w:pStyle w:val="TAL"/>
              <w:rPr>
                <w:bCs/>
                <w:iCs/>
                <w:szCs w:val="22"/>
                <w:lang w:eastAsia="sv-SE"/>
              </w:rPr>
            </w:pPr>
            <w:r w:rsidRPr="00FA0D37">
              <w:rPr>
                <w:lang w:eastAsia="zh-CN"/>
              </w:rPr>
              <w:t xml:space="preserve">When set to enabled, for PDCCH reception on this CORESET, the UE applies the "indicated" DL only </w:t>
            </w:r>
            <w:r w:rsidR="00261E44" w:rsidRPr="00FA0D37">
              <w:rPr>
                <w:lang w:eastAsia="zh-CN"/>
              </w:rPr>
              <w:t xml:space="preserve">TCI </w:t>
            </w:r>
            <w:r w:rsidRPr="00FA0D37">
              <w:rPr>
                <w:lang w:eastAsia="zh-CN"/>
              </w:rPr>
              <w:t xml:space="preserve">or joint TCI as specified in TS 38.214 </w:t>
            </w:r>
            <w:r w:rsidR="003A2D9D" w:rsidRPr="00FA0D37">
              <w:rPr>
                <w:lang w:eastAsia="zh-CN"/>
              </w:rPr>
              <w:t xml:space="preserve">[19], </w:t>
            </w:r>
            <w:r w:rsidRPr="00FA0D37">
              <w:rPr>
                <w:lang w:eastAsia="zh-CN"/>
              </w:rPr>
              <w:t>clause 5.1.5.</w:t>
            </w:r>
          </w:p>
        </w:tc>
      </w:tr>
      <w:tr w:rsidR="005C7FF4" w:rsidRPr="00FA0D37"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FA0D37" w:rsidRDefault="00394471" w:rsidP="00964CC4">
            <w:pPr>
              <w:pStyle w:val="TAL"/>
              <w:rPr>
                <w:szCs w:val="22"/>
                <w:lang w:eastAsia="sv-SE"/>
              </w:rPr>
            </w:pPr>
            <w:r w:rsidRPr="00FA0D37">
              <w:rPr>
                <w:b/>
                <w:i/>
                <w:szCs w:val="22"/>
                <w:lang w:eastAsia="sv-SE"/>
              </w:rPr>
              <w:t>frequencyDomainResources</w:t>
            </w:r>
          </w:p>
          <w:p w14:paraId="2D7016F8" w14:textId="395856E3" w:rsidR="00394471" w:rsidRPr="00FA0D37" w:rsidRDefault="00394471" w:rsidP="00964CC4">
            <w:pPr>
              <w:pStyle w:val="TAL"/>
              <w:rPr>
                <w:szCs w:val="22"/>
                <w:lang w:eastAsia="sv-SE"/>
              </w:rPr>
            </w:pPr>
            <w:r w:rsidRPr="00FA0D37">
              <w:rPr>
                <w:szCs w:val="22"/>
                <w:lang w:eastAsia="sv-SE"/>
              </w:rPr>
              <w:t>Frequency domain resources for the CORESET. Each bit corresponds a group of 6 RBs, with grouping starting from the first RB group in the BWP</w:t>
            </w:r>
            <w:r w:rsidR="00297667" w:rsidRPr="00FA0D37">
              <w:rPr>
                <w:szCs w:val="22"/>
                <w:lang w:eastAsia="sv-SE"/>
              </w:rPr>
              <w:t xml:space="preserve"> or MBS CFR where the CORESET is configured</w:t>
            </w:r>
            <w:r w:rsidRPr="00FA0D37">
              <w:rPr>
                <w:szCs w:val="22"/>
                <w:lang w:eastAsia="sv-SE"/>
              </w:rPr>
              <w:t xml:space="preserve">. When at least one search space is configured with </w:t>
            </w:r>
            <w:r w:rsidRPr="00FA0D37">
              <w:rPr>
                <w:i/>
                <w:iCs/>
                <w:szCs w:val="22"/>
                <w:lang w:eastAsia="sv-SE"/>
              </w:rPr>
              <w:t>freqMonitorLocation-r16</w:t>
            </w:r>
            <w:r w:rsidRPr="00FA0D37">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FA0D37">
              <w:rPr>
                <w:szCs w:val="22"/>
                <w:lang w:eastAsia="sv-SE"/>
              </w:rPr>
              <w:t xml:space="preserve"> bits are valid (see TS 38.213 [13], clause 10.1). The first (left-most / most significant) bit corresponds to the first RB group in the BWP</w:t>
            </w:r>
            <w:r w:rsidR="00297667" w:rsidRPr="00FA0D37">
              <w:rPr>
                <w:szCs w:val="22"/>
                <w:lang w:eastAsia="sv-SE"/>
              </w:rPr>
              <w:t xml:space="preserve"> or MBS CFR where the CORESET is configured</w:t>
            </w:r>
            <w:r w:rsidRPr="00FA0D37">
              <w:rPr>
                <w:szCs w:val="22"/>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5C7FF4" w:rsidRPr="00FA0D37"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FA0D37" w:rsidRDefault="00394471" w:rsidP="00964CC4">
            <w:pPr>
              <w:pStyle w:val="TAL"/>
              <w:rPr>
                <w:szCs w:val="22"/>
                <w:lang w:eastAsia="sv-SE"/>
              </w:rPr>
            </w:pPr>
            <w:r w:rsidRPr="00FA0D37">
              <w:rPr>
                <w:b/>
                <w:i/>
                <w:szCs w:val="22"/>
                <w:lang w:eastAsia="sv-SE"/>
              </w:rPr>
              <w:t>interleaverSize</w:t>
            </w:r>
          </w:p>
          <w:p w14:paraId="34D9D297" w14:textId="77777777" w:rsidR="00394471" w:rsidRPr="00FA0D37" w:rsidRDefault="00394471" w:rsidP="00964CC4">
            <w:pPr>
              <w:pStyle w:val="TAL"/>
              <w:rPr>
                <w:szCs w:val="22"/>
                <w:lang w:eastAsia="sv-SE"/>
              </w:rPr>
            </w:pPr>
            <w:r w:rsidRPr="00FA0D37">
              <w:rPr>
                <w:szCs w:val="22"/>
                <w:lang w:eastAsia="sv-SE"/>
              </w:rPr>
              <w:t>Interleaver-size (see TS 38.211 [16], clause 7.3.2.2).</w:t>
            </w:r>
          </w:p>
        </w:tc>
      </w:tr>
      <w:tr w:rsidR="005C7FF4" w:rsidRPr="00FA0D37"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FA0D37" w:rsidRDefault="00394471" w:rsidP="00964CC4">
            <w:pPr>
              <w:pStyle w:val="TAL"/>
              <w:rPr>
                <w:szCs w:val="22"/>
                <w:lang w:eastAsia="sv-SE"/>
              </w:rPr>
            </w:pPr>
            <w:r w:rsidRPr="00FA0D37">
              <w:rPr>
                <w:b/>
                <w:i/>
                <w:szCs w:val="22"/>
                <w:lang w:eastAsia="sv-SE"/>
              </w:rPr>
              <w:t>pdcch-DMRS-ScramblingID</w:t>
            </w:r>
          </w:p>
          <w:p w14:paraId="17D5EFF9" w14:textId="77777777" w:rsidR="00394471" w:rsidRPr="00FA0D37" w:rsidRDefault="00394471" w:rsidP="00964CC4">
            <w:pPr>
              <w:pStyle w:val="TAL"/>
              <w:rPr>
                <w:szCs w:val="22"/>
                <w:lang w:eastAsia="sv-SE"/>
              </w:rPr>
            </w:pPr>
            <w:r w:rsidRPr="00FA0D37">
              <w:rPr>
                <w:szCs w:val="22"/>
                <w:lang w:eastAsia="sv-SE"/>
              </w:rPr>
              <w:t xml:space="preserve">PDCCH DMRS scrambling initialization (see TS 38.211 [16], clause 7.4.1.3.1). When the field is absent the UE applies the value of the </w:t>
            </w:r>
            <w:r w:rsidRPr="00FA0D37">
              <w:rPr>
                <w:i/>
                <w:szCs w:val="22"/>
                <w:lang w:eastAsia="sv-SE"/>
              </w:rPr>
              <w:t>physCellId</w:t>
            </w:r>
            <w:r w:rsidRPr="00FA0D37">
              <w:rPr>
                <w:szCs w:val="22"/>
                <w:lang w:eastAsia="sv-SE"/>
              </w:rPr>
              <w:t xml:space="preserve"> configured for this serving cell.</w:t>
            </w:r>
          </w:p>
        </w:tc>
      </w:tr>
      <w:tr w:rsidR="005C7FF4" w:rsidRPr="00FA0D37"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FA0D37" w:rsidRDefault="00394471" w:rsidP="00964CC4">
            <w:pPr>
              <w:pStyle w:val="TAL"/>
              <w:rPr>
                <w:szCs w:val="22"/>
                <w:lang w:eastAsia="sv-SE"/>
              </w:rPr>
            </w:pPr>
            <w:r w:rsidRPr="00FA0D37">
              <w:rPr>
                <w:b/>
                <w:i/>
                <w:szCs w:val="22"/>
                <w:lang w:eastAsia="sv-SE"/>
              </w:rPr>
              <w:t>precoderGranularity</w:t>
            </w:r>
          </w:p>
          <w:p w14:paraId="5F74E335" w14:textId="77777777" w:rsidR="00394471" w:rsidRPr="00FA0D37" w:rsidRDefault="00394471" w:rsidP="00964CC4">
            <w:pPr>
              <w:pStyle w:val="TAL"/>
              <w:rPr>
                <w:szCs w:val="22"/>
                <w:lang w:eastAsia="sv-SE"/>
              </w:rPr>
            </w:pPr>
            <w:r w:rsidRPr="00FA0D37">
              <w:rPr>
                <w:szCs w:val="22"/>
                <w:lang w:eastAsia="sv-SE"/>
              </w:rPr>
              <w:t>Precoder granularity in frequency domain (see TS 38.211 [16], clauses 7.3.2.2 and 7.4.1.3.2).</w:t>
            </w:r>
          </w:p>
        </w:tc>
      </w:tr>
      <w:tr w:rsidR="005C7FF4" w:rsidRPr="00FA0D37"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FA0D37" w:rsidRDefault="00394471" w:rsidP="00964CC4">
            <w:pPr>
              <w:pStyle w:val="TAL"/>
              <w:rPr>
                <w:szCs w:val="22"/>
                <w:lang w:eastAsia="sv-SE"/>
              </w:rPr>
            </w:pPr>
            <w:r w:rsidRPr="00FA0D37">
              <w:rPr>
                <w:b/>
                <w:i/>
                <w:szCs w:val="22"/>
                <w:lang w:eastAsia="sv-SE"/>
              </w:rPr>
              <w:t>rb-Offset</w:t>
            </w:r>
          </w:p>
          <w:p w14:paraId="31892509" w14:textId="18303090" w:rsidR="00394471" w:rsidRPr="00FA0D37" w:rsidRDefault="00394471" w:rsidP="00964CC4">
            <w:pPr>
              <w:pStyle w:val="TAL"/>
              <w:rPr>
                <w:b/>
                <w:i/>
                <w:szCs w:val="22"/>
                <w:lang w:eastAsia="sv-SE"/>
              </w:rPr>
            </w:pPr>
            <w:r w:rsidRPr="00FA0D37">
              <w:rPr>
                <w:szCs w:val="22"/>
                <w:lang w:eastAsia="sv-SE"/>
              </w:rPr>
              <w:t>Indicates the RB level offset in units of RB from the first RB of the first 6RB group to the first RB of BWP (see 38.213 [13], clause 10.1).</w:t>
            </w:r>
          </w:p>
        </w:tc>
      </w:tr>
      <w:tr w:rsidR="005C7FF4" w:rsidRPr="00FA0D37"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FA0D37" w:rsidRDefault="00394471" w:rsidP="00964CC4">
            <w:pPr>
              <w:pStyle w:val="TAL"/>
              <w:rPr>
                <w:szCs w:val="22"/>
                <w:lang w:eastAsia="sv-SE"/>
              </w:rPr>
            </w:pPr>
            <w:r w:rsidRPr="00FA0D37">
              <w:rPr>
                <w:b/>
                <w:i/>
                <w:szCs w:val="22"/>
                <w:lang w:eastAsia="sv-SE"/>
              </w:rPr>
              <w:t>reg-BundleSize</w:t>
            </w:r>
          </w:p>
          <w:p w14:paraId="5F421672" w14:textId="77777777" w:rsidR="00394471" w:rsidRPr="00FA0D37" w:rsidRDefault="00394471" w:rsidP="00964CC4">
            <w:pPr>
              <w:pStyle w:val="TAL"/>
              <w:rPr>
                <w:szCs w:val="22"/>
                <w:lang w:eastAsia="sv-SE"/>
              </w:rPr>
            </w:pPr>
            <w:r w:rsidRPr="00FA0D37">
              <w:rPr>
                <w:szCs w:val="22"/>
                <w:lang w:eastAsia="sv-SE"/>
              </w:rPr>
              <w:t>Resource Element Groups (REGs) can be bundled to create REG bundles. This parameter defines the size of such bundles (see TS 38.211 [16], clause 7.3.2.2).</w:t>
            </w:r>
          </w:p>
        </w:tc>
      </w:tr>
      <w:tr w:rsidR="005C7FF4" w:rsidRPr="00FA0D37"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FA0D37" w:rsidRDefault="00394471" w:rsidP="00964CC4">
            <w:pPr>
              <w:pStyle w:val="TAL"/>
              <w:rPr>
                <w:szCs w:val="22"/>
                <w:lang w:eastAsia="sv-SE"/>
              </w:rPr>
            </w:pPr>
            <w:r w:rsidRPr="00FA0D37">
              <w:rPr>
                <w:b/>
                <w:i/>
                <w:szCs w:val="22"/>
                <w:lang w:eastAsia="sv-SE"/>
              </w:rPr>
              <w:t>shiftIndex</w:t>
            </w:r>
          </w:p>
          <w:p w14:paraId="16120646" w14:textId="77777777" w:rsidR="00394471" w:rsidRPr="00FA0D37" w:rsidRDefault="00394471" w:rsidP="00964CC4">
            <w:pPr>
              <w:pStyle w:val="TAL"/>
              <w:rPr>
                <w:szCs w:val="22"/>
                <w:lang w:eastAsia="sv-SE"/>
              </w:rPr>
            </w:pPr>
            <w:r w:rsidRPr="00FA0D37">
              <w:rPr>
                <w:szCs w:val="22"/>
                <w:lang w:eastAsia="zh-CN"/>
              </w:rPr>
              <w:t xml:space="preserve">When the field is absent the UE applies the value of the </w:t>
            </w:r>
            <w:r w:rsidRPr="00FA0D37">
              <w:rPr>
                <w:i/>
                <w:szCs w:val="22"/>
                <w:lang w:eastAsia="zh-CN"/>
              </w:rPr>
              <w:t>physCellId</w:t>
            </w:r>
            <w:r w:rsidRPr="00FA0D37">
              <w:rPr>
                <w:szCs w:val="22"/>
                <w:lang w:eastAsia="zh-CN"/>
              </w:rPr>
              <w:t>configured for this serving cell</w:t>
            </w:r>
            <w:r w:rsidRPr="00FA0D37">
              <w:rPr>
                <w:szCs w:val="22"/>
                <w:lang w:eastAsia="sv-SE"/>
              </w:rPr>
              <w:t xml:space="preserve"> (see TS 38.211 [16], clause 7.3.2.2).</w:t>
            </w:r>
          </w:p>
        </w:tc>
      </w:tr>
      <w:tr w:rsidR="005C7FF4" w:rsidRPr="00FA0D37"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FA0D37" w:rsidRDefault="00394471" w:rsidP="00964CC4">
            <w:pPr>
              <w:pStyle w:val="TAL"/>
              <w:rPr>
                <w:szCs w:val="22"/>
                <w:lang w:eastAsia="sv-SE"/>
              </w:rPr>
            </w:pPr>
            <w:r w:rsidRPr="00FA0D37">
              <w:rPr>
                <w:b/>
                <w:i/>
                <w:szCs w:val="22"/>
                <w:lang w:eastAsia="sv-SE"/>
              </w:rPr>
              <w:t>tci-PresentInDCI</w:t>
            </w:r>
          </w:p>
          <w:p w14:paraId="3E4641C7" w14:textId="25A5EA00" w:rsidR="00394471" w:rsidRPr="00FA0D37" w:rsidRDefault="00394471" w:rsidP="00964CC4">
            <w:pPr>
              <w:pStyle w:val="TAL"/>
              <w:rPr>
                <w:szCs w:val="22"/>
                <w:lang w:eastAsia="sv-SE"/>
              </w:rPr>
            </w:pPr>
            <w:r w:rsidRPr="00FA0D37">
              <w:rPr>
                <w:szCs w:val="22"/>
                <w:lang w:eastAsia="sv-SE"/>
              </w:rPr>
              <w:t>This field indicates if TCI field is present or absent in DCI format 1_1</w:t>
            </w:r>
            <w:r w:rsidR="00297667" w:rsidRPr="00FA0D37">
              <w:rPr>
                <w:szCs w:val="22"/>
                <w:lang w:eastAsia="sv-SE"/>
              </w:rPr>
              <w:t xml:space="preserve"> and DCI format 4_2</w:t>
            </w:r>
            <w:r w:rsidRPr="00FA0D37">
              <w:rPr>
                <w:szCs w:val="22"/>
                <w:lang w:eastAsia="sv-SE"/>
              </w:rPr>
              <w:t xml:space="preserve">. When the field is absent the UE considers the TCI to be absent/disabled. In case of cross carrier scheduling, the network sets this field to enabled for the </w:t>
            </w:r>
            <w:r w:rsidRPr="00FA0D37">
              <w:rPr>
                <w:i/>
                <w:szCs w:val="22"/>
                <w:lang w:eastAsia="sv-SE"/>
              </w:rPr>
              <w:t>ControlResourceSet</w:t>
            </w:r>
            <w:r w:rsidRPr="00FA0D37">
              <w:rPr>
                <w:szCs w:val="22"/>
                <w:lang w:eastAsia="sv-SE"/>
              </w:rPr>
              <w:t xml:space="preserve"> used for cross carrier scheduling</w:t>
            </w:r>
            <w:r w:rsidR="00F82957" w:rsidRPr="00FA0D37">
              <w:rPr>
                <w:szCs w:val="22"/>
                <w:lang w:eastAsia="sv-SE"/>
              </w:rPr>
              <w:t xml:space="preserve"> in DCI format 1_1</w:t>
            </w:r>
            <w:r w:rsidRPr="00FA0D37">
              <w:rPr>
                <w:szCs w:val="22"/>
                <w:lang w:eastAsia="sv-SE"/>
              </w:rPr>
              <w:t xml:space="preserve"> in the scheduling cell </w:t>
            </w:r>
            <w:r w:rsidR="00F041FF" w:rsidRPr="00FA0D37">
              <w:rPr>
                <w:szCs w:val="22"/>
                <w:lang w:eastAsia="sv-SE"/>
              </w:rPr>
              <w:t xml:space="preserve">if </w:t>
            </w:r>
            <w:r w:rsidR="00F041FF" w:rsidRPr="00FA0D37">
              <w:rPr>
                <w:i/>
                <w:szCs w:val="22"/>
                <w:lang w:eastAsia="sv-SE"/>
              </w:rPr>
              <w:t>enableDefaultBeamForCCS</w:t>
            </w:r>
            <w:r w:rsidR="00F041FF" w:rsidRPr="00FA0D37">
              <w:rPr>
                <w:szCs w:val="22"/>
                <w:lang w:eastAsia="sv-SE"/>
              </w:rPr>
              <w:t xml:space="preserve"> is not configured </w:t>
            </w:r>
            <w:r w:rsidRPr="00FA0D37">
              <w:rPr>
                <w:szCs w:val="22"/>
                <w:lang w:eastAsia="sv-SE"/>
              </w:rPr>
              <w:t>(see TS 38.214 [19], clause 5.1.5).</w:t>
            </w:r>
          </w:p>
        </w:tc>
      </w:tr>
      <w:tr w:rsidR="005C7FF4" w:rsidRPr="00FA0D37"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FA0D37" w:rsidRDefault="00394471" w:rsidP="00964CC4">
            <w:pPr>
              <w:keepNext/>
              <w:keepLines/>
              <w:spacing w:after="0"/>
              <w:rPr>
                <w:rFonts w:ascii="Arial" w:hAnsi="Arial"/>
                <w:b/>
                <w:i/>
                <w:sz w:val="18"/>
                <w:szCs w:val="22"/>
                <w:lang w:eastAsia="sv-SE"/>
              </w:rPr>
            </w:pPr>
            <w:r w:rsidRPr="00FA0D37">
              <w:rPr>
                <w:rFonts w:ascii="Arial" w:hAnsi="Arial"/>
                <w:b/>
                <w:i/>
                <w:sz w:val="18"/>
                <w:szCs w:val="22"/>
                <w:lang w:eastAsia="sv-SE"/>
              </w:rPr>
              <w:t>tci-</w:t>
            </w:r>
            <w:r w:rsidRPr="00FA0D37">
              <w:rPr>
                <w:rFonts w:ascii="Arial" w:hAnsi="Arial"/>
                <w:b/>
                <w:i/>
                <w:sz w:val="18"/>
                <w:szCs w:val="22"/>
              </w:rPr>
              <w:t>PresentDCI</w:t>
            </w:r>
            <w:r w:rsidRPr="00FA0D37">
              <w:rPr>
                <w:rFonts w:ascii="Arial" w:hAnsi="Arial"/>
                <w:b/>
                <w:i/>
                <w:sz w:val="18"/>
                <w:szCs w:val="22"/>
                <w:lang w:eastAsia="sv-SE"/>
              </w:rPr>
              <w:t>-1-2</w:t>
            </w:r>
          </w:p>
          <w:p w14:paraId="5862B329" w14:textId="7AA85E8E" w:rsidR="00394471" w:rsidRPr="00FA0D37" w:rsidRDefault="00394471" w:rsidP="00964CC4">
            <w:pPr>
              <w:pStyle w:val="TAL"/>
              <w:rPr>
                <w:b/>
                <w:i/>
                <w:szCs w:val="22"/>
                <w:lang w:eastAsia="sv-SE"/>
              </w:rPr>
            </w:pPr>
            <w:r w:rsidRPr="00FA0D37">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FA0D37">
              <w:rPr>
                <w:szCs w:val="22"/>
                <w:lang w:eastAsia="sv-SE"/>
              </w:rPr>
              <w:t xml:space="preserve"> [17]</w:t>
            </w:r>
            <w:r w:rsidRPr="00FA0D37">
              <w:rPr>
                <w:szCs w:val="22"/>
                <w:lang w:eastAsia="sv-SE"/>
              </w:rPr>
              <w:t>, clause 7.3.1 and TS 38.214</w:t>
            </w:r>
            <w:r w:rsidR="008779EC" w:rsidRPr="00FA0D37">
              <w:rPr>
                <w:szCs w:val="22"/>
                <w:lang w:eastAsia="sv-SE"/>
              </w:rPr>
              <w:t xml:space="preserve"> [19]</w:t>
            </w:r>
            <w:r w:rsidRPr="00FA0D37">
              <w:rPr>
                <w:szCs w:val="22"/>
                <w:lang w:eastAsia="sv-SE"/>
              </w:rPr>
              <w:t>, clause 5.1.5).</w:t>
            </w:r>
            <w:r w:rsidR="00F82957" w:rsidRPr="00FA0D37">
              <w:rPr>
                <w:szCs w:val="22"/>
                <w:lang w:eastAsia="sv-SE"/>
              </w:rPr>
              <w:t xml:space="preserve"> In case of cross carrier scheduling, the network configures this field for the </w:t>
            </w:r>
            <w:r w:rsidR="00F82957" w:rsidRPr="00FA0D37">
              <w:rPr>
                <w:i/>
                <w:szCs w:val="22"/>
                <w:lang w:eastAsia="sv-SE"/>
              </w:rPr>
              <w:t>ControlResourceSet</w:t>
            </w:r>
            <w:r w:rsidR="00F82957" w:rsidRPr="00FA0D37">
              <w:rPr>
                <w:szCs w:val="22"/>
                <w:lang w:eastAsia="sv-SE"/>
              </w:rPr>
              <w:t xml:space="preserve"> used for cross carrier scheduling in DCI format 1_2 in the scheduling cell if </w:t>
            </w:r>
            <w:r w:rsidR="00F82957" w:rsidRPr="00FA0D37">
              <w:rPr>
                <w:i/>
                <w:szCs w:val="22"/>
                <w:lang w:eastAsia="sv-SE"/>
              </w:rPr>
              <w:t>enableDefaultBeamForCCS</w:t>
            </w:r>
            <w:r w:rsidR="00F82957" w:rsidRPr="00FA0D37">
              <w:rPr>
                <w:szCs w:val="22"/>
                <w:lang w:eastAsia="sv-SE"/>
              </w:rPr>
              <w:t xml:space="preserve"> is not configured (see TS 38.214 [19], clause 5.1.5).</w:t>
            </w:r>
          </w:p>
        </w:tc>
      </w:tr>
      <w:tr w:rsidR="00394471" w:rsidRPr="00FA0D37"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FA0D37" w:rsidRDefault="00394471" w:rsidP="00964CC4">
            <w:pPr>
              <w:pStyle w:val="TAL"/>
              <w:rPr>
                <w:szCs w:val="22"/>
                <w:lang w:eastAsia="sv-SE"/>
              </w:rPr>
            </w:pPr>
            <w:r w:rsidRPr="00FA0D37">
              <w:rPr>
                <w:b/>
                <w:i/>
                <w:szCs w:val="22"/>
                <w:lang w:eastAsia="sv-SE"/>
              </w:rPr>
              <w:lastRenderedPageBreak/>
              <w:t>tci-StatesPDCCH-ToAddList</w:t>
            </w:r>
          </w:p>
          <w:p w14:paraId="0947A76A" w14:textId="4918BA58" w:rsidR="00394471" w:rsidRPr="00FA0D37" w:rsidRDefault="00394471" w:rsidP="00964CC4">
            <w:pPr>
              <w:pStyle w:val="TAL"/>
              <w:rPr>
                <w:szCs w:val="22"/>
                <w:lang w:eastAsia="sv-SE"/>
              </w:rPr>
            </w:pPr>
            <w:r w:rsidRPr="00FA0D37">
              <w:rPr>
                <w:szCs w:val="22"/>
                <w:lang w:eastAsia="sv-SE"/>
              </w:rPr>
              <w:t xml:space="preserve">A subset of the TCI states defined in </w:t>
            </w:r>
            <w:r w:rsidRPr="00FA0D37">
              <w:rPr>
                <w:i/>
                <w:iCs/>
                <w:szCs w:val="22"/>
                <w:lang w:eastAsia="sv-SE"/>
              </w:rPr>
              <w:t>pdsch-Config</w:t>
            </w:r>
            <w:r w:rsidR="00184EE0" w:rsidRPr="00FA0D37">
              <w:rPr>
                <w:i/>
                <w:iCs/>
                <w:szCs w:val="22"/>
                <w:lang w:eastAsia="sv-SE"/>
              </w:rPr>
              <w:t>,</w:t>
            </w:r>
            <w:r w:rsidR="00184EE0" w:rsidRPr="00FA0D37">
              <w:rPr>
                <w:lang w:eastAsia="sv-SE"/>
              </w:rPr>
              <w:t xml:space="preserve"> either with </w:t>
            </w:r>
            <w:r w:rsidR="00184EE0" w:rsidRPr="00FA0D37">
              <w:rPr>
                <w:i/>
                <w:iCs/>
                <w:lang w:eastAsia="sv-SE"/>
              </w:rPr>
              <w:t>tci-StatesToAddModList</w:t>
            </w:r>
            <w:r w:rsidR="00184EE0" w:rsidRPr="00FA0D37">
              <w:rPr>
                <w:lang w:eastAsia="sv-SE"/>
              </w:rPr>
              <w:t xml:space="preserve"> or </w:t>
            </w:r>
            <w:r w:rsidR="00184EE0" w:rsidRPr="00FA0D37">
              <w:rPr>
                <w:i/>
                <w:iCs/>
              </w:rPr>
              <w:t>dl-OrJointTCI-StateList,</w:t>
            </w:r>
            <w:r w:rsidRPr="00FA0D37">
              <w:rPr>
                <w:szCs w:val="22"/>
                <w:lang w:eastAsia="sv-SE"/>
              </w:rPr>
              <w:t xml:space="preserve"> included in the </w:t>
            </w:r>
            <w:r w:rsidRPr="00FA0D37">
              <w:rPr>
                <w:i/>
                <w:szCs w:val="22"/>
                <w:lang w:eastAsia="sv-SE"/>
              </w:rPr>
              <w:t>BWP-DownlinkDedicated</w:t>
            </w:r>
            <w:r w:rsidRPr="00FA0D37">
              <w:rPr>
                <w:szCs w:val="22"/>
                <w:lang w:eastAsia="sv-SE"/>
              </w:rPr>
              <w:t xml:space="preserve"> corresponding to the serving cell and to the DL BWP to which the </w:t>
            </w:r>
            <w:r w:rsidRPr="00FA0D37">
              <w:rPr>
                <w:i/>
                <w:szCs w:val="22"/>
                <w:lang w:eastAsia="sv-SE"/>
              </w:rPr>
              <w:t>ControlResourceSet</w:t>
            </w:r>
            <w:r w:rsidRPr="00FA0D37">
              <w:rPr>
                <w:szCs w:val="22"/>
                <w:lang w:eastAsia="sv-SE"/>
              </w:rPr>
              <w:t xml:space="preserve"> belong to. They are used for providing QCL relationships between the DL RS(s) in one RS Set (TCI-State) and the PDCCH DMRS ports (see TS 38.213 [13], clause 6.). The network configures at most </w:t>
            </w:r>
            <w:r w:rsidRPr="00FA0D37">
              <w:rPr>
                <w:i/>
                <w:szCs w:val="22"/>
                <w:lang w:eastAsia="sv-SE"/>
              </w:rPr>
              <w:t>maxNrofTCI-StatesPDCCH</w:t>
            </w:r>
            <w:r w:rsidRPr="00FA0D37">
              <w:rPr>
                <w:szCs w:val="22"/>
                <w:lang w:eastAsia="sv-SE"/>
              </w:rPr>
              <w:t xml:space="preserve"> entries.</w:t>
            </w:r>
            <w:r w:rsidR="00297667" w:rsidRPr="00FA0D37">
              <w:rPr>
                <w:szCs w:val="22"/>
                <w:lang w:eastAsia="sv-SE"/>
              </w:rPr>
              <w:t xml:space="preserve"> </w:t>
            </w:r>
            <w:r w:rsidR="00297667" w:rsidRPr="00FA0D37">
              <w:t>The QCL relationships defined herein do not apply to MBS broadcast.</w:t>
            </w:r>
          </w:p>
        </w:tc>
      </w:tr>
    </w:tbl>
    <w:p w14:paraId="7C034C6C"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5C7FF4" w:rsidRPr="00FA0D37"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FA0D37" w:rsidRDefault="00394471" w:rsidP="00964CC4">
            <w:pPr>
              <w:pStyle w:val="TAH"/>
              <w:rPr>
                <w:lang w:eastAsia="sv-SE"/>
              </w:rPr>
            </w:pPr>
            <w:r w:rsidRPr="00FA0D3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FA0D37" w:rsidRDefault="00394471" w:rsidP="00964CC4">
            <w:pPr>
              <w:pStyle w:val="TAH"/>
              <w:rPr>
                <w:lang w:eastAsia="sv-SE"/>
              </w:rPr>
            </w:pPr>
            <w:r w:rsidRPr="00FA0D37">
              <w:rPr>
                <w:lang w:eastAsia="sv-SE"/>
              </w:rPr>
              <w:t>Explanation</w:t>
            </w:r>
          </w:p>
        </w:tc>
      </w:tr>
      <w:tr w:rsidR="00394471" w:rsidRPr="00FA0D37"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FA0D37" w:rsidRDefault="00394471" w:rsidP="00964CC4">
            <w:pPr>
              <w:pStyle w:val="TAL"/>
              <w:rPr>
                <w:b/>
                <w:i/>
                <w:lang w:eastAsia="sv-SE"/>
              </w:rPr>
            </w:pPr>
            <w:r w:rsidRPr="00FA0D37">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FA0D37" w:rsidRDefault="00394471" w:rsidP="00964CC4">
            <w:pPr>
              <w:pStyle w:val="TAL"/>
              <w:rPr>
                <w:b/>
                <w:lang w:eastAsia="sv-SE"/>
              </w:rPr>
            </w:pPr>
            <w:r w:rsidRPr="00FA0D37">
              <w:rPr>
                <w:lang w:eastAsia="sv-SE"/>
              </w:rPr>
              <w:t xml:space="preserve">The field is absent in </w:t>
            </w:r>
            <w:r w:rsidRPr="00FA0D37">
              <w:rPr>
                <w:i/>
                <w:lang w:eastAsia="sv-SE"/>
              </w:rPr>
              <w:t>SIB1</w:t>
            </w:r>
            <w:r w:rsidR="00297667" w:rsidRPr="00FA0D37">
              <w:rPr>
                <w:i/>
                <w:lang w:eastAsia="sv-SE"/>
              </w:rPr>
              <w:t>/SIB20</w:t>
            </w:r>
            <w:r w:rsidRPr="00FA0D37">
              <w:rPr>
                <w:lang w:eastAsia="sv-SE"/>
              </w:rPr>
              <w:t xml:space="preserve"> and in the </w:t>
            </w:r>
            <w:r w:rsidRPr="00FA0D37">
              <w:rPr>
                <w:i/>
                <w:lang w:eastAsia="sv-SE"/>
              </w:rPr>
              <w:t>PDCCH-ConfigCommon</w:t>
            </w:r>
            <w:r w:rsidRPr="00FA0D37">
              <w:rPr>
                <w:lang w:eastAsia="sv-SE"/>
              </w:rPr>
              <w:t xml:space="preserve"> of the initial BWP in </w:t>
            </w:r>
            <w:r w:rsidRPr="00FA0D37">
              <w:rPr>
                <w:i/>
                <w:lang w:eastAsia="sv-SE"/>
              </w:rPr>
              <w:t>ServingCellConfigCommon</w:t>
            </w:r>
            <w:r w:rsidRPr="00FA0D37">
              <w:rPr>
                <w:lang w:eastAsia="sv-SE"/>
              </w:rPr>
              <w:t xml:space="preserve">, if </w:t>
            </w:r>
            <w:r w:rsidRPr="00FA0D37">
              <w:rPr>
                <w:i/>
                <w:lang w:eastAsia="sv-SE"/>
              </w:rPr>
              <w:t>SIB1</w:t>
            </w:r>
            <w:r w:rsidR="00297667" w:rsidRPr="00FA0D37">
              <w:rPr>
                <w:i/>
                <w:lang w:eastAsia="sv-SE"/>
              </w:rPr>
              <w:t>/SIB20</w:t>
            </w:r>
            <w:r w:rsidRPr="00FA0D37">
              <w:rPr>
                <w:lang w:eastAsia="sv-SE"/>
              </w:rPr>
              <w:t xml:space="preserve"> is broadcasted. Otherwise, it is optionally present, Need N.</w:t>
            </w:r>
          </w:p>
        </w:tc>
      </w:tr>
    </w:tbl>
    <w:p w14:paraId="036B4FD0" w14:textId="77777777" w:rsidR="00394471" w:rsidRPr="00FA0D37" w:rsidRDefault="00394471" w:rsidP="00394471"/>
    <w:p w14:paraId="46E193FC" w14:textId="77777777" w:rsidR="00394471" w:rsidRPr="00FA0D37" w:rsidRDefault="00394471" w:rsidP="00394471">
      <w:pPr>
        <w:pStyle w:val="4"/>
        <w:rPr>
          <w:i/>
          <w:noProof/>
        </w:rPr>
      </w:pPr>
      <w:bookmarkStart w:id="967" w:name="_Toc60777207"/>
      <w:bookmarkStart w:id="968" w:name="_Toc146781254"/>
      <w:r w:rsidRPr="00FA0D37">
        <w:t>–</w:t>
      </w:r>
      <w:r w:rsidRPr="00FA0D37">
        <w:tab/>
      </w:r>
      <w:r w:rsidRPr="00FA0D37">
        <w:rPr>
          <w:i/>
        </w:rPr>
        <w:t>ControlResourceSetId</w:t>
      </w:r>
      <w:bookmarkEnd w:id="967"/>
      <w:bookmarkEnd w:id="968"/>
    </w:p>
    <w:p w14:paraId="56F717F1" w14:textId="25689832" w:rsidR="00394471" w:rsidRPr="00FA0D37" w:rsidRDefault="00394471" w:rsidP="00394471">
      <w:r w:rsidRPr="00FA0D37">
        <w:t xml:space="preserve">The </w:t>
      </w:r>
      <w:r w:rsidRPr="00FA0D37">
        <w:rPr>
          <w:i/>
        </w:rPr>
        <w:t>ControlResourceSetId</w:t>
      </w:r>
      <w:r w:rsidRPr="00FA0D37">
        <w:t xml:space="preserve"> IE concerns a short identity, used to identify a control resource set within a serving cell. The </w:t>
      </w:r>
      <w:r w:rsidRPr="00FA0D37">
        <w:rPr>
          <w:i/>
        </w:rPr>
        <w:t xml:space="preserve">ControlResourceSetId </w:t>
      </w:r>
      <w:r w:rsidRPr="00FA0D37">
        <w:t>= 0 identifies the ControlResourceSet#0 configured via PBCH (</w:t>
      </w:r>
      <w:r w:rsidRPr="00FA0D37">
        <w:rPr>
          <w:i/>
        </w:rPr>
        <w:t>MIB</w:t>
      </w:r>
      <w:r w:rsidRPr="00FA0D37">
        <w:t xml:space="preserve">) and in </w:t>
      </w:r>
      <w:r w:rsidRPr="00FA0D37">
        <w:rPr>
          <w:i/>
        </w:rPr>
        <w:t>controlResourceSetZero</w:t>
      </w:r>
      <w:r w:rsidRPr="00FA0D37">
        <w:t xml:space="preserve"> (</w:t>
      </w:r>
      <w:r w:rsidRPr="00FA0D37">
        <w:rPr>
          <w:i/>
        </w:rPr>
        <w:t>ServingCellConfigCommon</w:t>
      </w:r>
      <w:r w:rsidRPr="00FA0D37">
        <w:t>). The ID space is used across the BWPs</w:t>
      </w:r>
      <w:r w:rsidR="00EB0E28" w:rsidRPr="00FA0D37">
        <w:t xml:space="preserve"> and MBS CFRs</w:t>
      </w:r>
      <w:r w:rsidRPr="00FA0D37">
        <w:t xml:space="preserve"> of a Serving Cell.</w:t>
      </w:r>
    </w:p>
    <w:p w14:paraId="605E59E2" w14:textId="77777777" w:rsidR="00394471" w:rsidRPr="00FA0D37" w:rsidRDefault="00394471" w:rsidP="00394471">
      <w:pPr>
        <w:pStyle w:val="TH"/>
      </w:pPr>
      <w:r w:rsidRPr="00FA0D37">
        <w:rPr>
          <w:i/>
        </w:rPr>
        <w:t>ControlResourceSetId</w:t>
      </w:r>
      <w:r w:rsidRPr="00FA0D37">
        <w:t xml:space="preserve"> information element</w:t>
      </w:r>
    </w:p>
    <w:p w14:paraId="1EAB0B12" w14:textId="77777777" w:rsidR="00394471" w:rsidRPr="00FA0D37" w:rsidRDefault="00394471" w:rsidP="00FA0D37">
      <w:pPr>
        <w:pStyle w:val="PL"/>
        <w:rPr>
          <w:color w:val="808080"/>
        </w:rPr>
      </w:pPr>
      <w:r w:rsidRPr="00FA0D37">
        <w:rPr>
          <w:color w:val="808080"/>
        </w:rPr>
        <w:t>-- ASN1START</w:t>
      </w:r>
    </w:p>
    <w:p w14:paraId="22D46E75" w14:textId="77777777" w:rsidR="00394471" w:rsidRPr="00FA0D37" w:rsidRDefault="00394471" w:rsidP="00FA0D37">
      <w:pPr>
        <w:pStyle w:val="PL"/>
        <w:rPr>
          <w:color w:val="808080"/>
        </w:rPr>
      </w:pPr>
      <w:r w:rsidRPr="00FA0D37">
        <w:rPr>
          <w:color w:val="808080"/>
        </w:rPr>
        <w:t>-- TAG-CONTROLRESOURCESETID-START</w:t>
      </w:r>
    </w:p>
    <w:p w14:paraId="4A9E4BD4" w14:textId="77777777" w:rsidR="00394471" w:rsidRPr="00FA0D37" w:rsidRDefault="00394471" w:rsidP="00FA0D37">
      <w:pPr>
        <w:pStyle w:val="PL"/>
      </w:pPr>
    </w:p>
    <w:p w14:paraId="35CFEF3D" w14:textId="77777777" w:rsidR="00394471" w:rsidRPr="00FA0D37" w:rsidRDefault="00394471" w:rsidP="00FA0D37">
      <w:pPr>
        <w:pStyle w:val="PL"/>
      </w:pPr>
      <w:r w:rsidRPr="00FA0D37">
        <w:t xml:space="preserve">ControlResourceSetId ::=                </w:t>
      </w:r>
      <w:r w:rsidRPr="00FA0D37">
        <w:rPr>
          <w:color w:val="993366"/>
        </w:rPr>
        <w:t>INTEGER</w:t>
      </w:r>
      <w:r w:rsidRPr="00FA0D37">
        <w:t xml:space="preserve"> (0..maxNrofControlResourceSets-1)</w:t>
      </w:r>
    </w:p>
    <w:p w14:paraId="0519CE3B" w14:textId="77777777" w:rsidR="00394471" w:rsidRPr="00FA0D37" w:rsidRDefault="00394471" w:rsidP="00FA0D37">
      <w:pPr>
        <w:pStyle w:val="PL"/>
      </w:pPr>
    </w:p>
    <w:p w14:paraId="4A096375" w14:textId="77777777" w:rsidR="00394471" w:rsidRPr="00FA0D37" w:rsidRDefault="00394471" w:rsidP="00FA0D37">
      <w:pPr>
        <w:pStyle w:val="PL"/>
      </w:pPr>
      <w:r w:rsidRPr="00FA0D37">
        <w:t xml:space="preserve">ControlResourceSetId-r16 ::=            </w:t>
      </w:r>
      <w:r w:rsidRPr="00FA0D37">
        <w:rPr>
          <w:color w:val="993366"/>
        </w:rPr>
        <w:t>INTEGER</w:t>
      </w:r>
      <w:r w:rsidRPr="00FA0D37">
        <w:t xml:space="preserve"> (0..maxNrofControlResourceSets-1-r16)</w:t>
      </w:r>
    </w:p>
    <w:p w14:paraId="653957EB" w14:textId="77777777" w:rsidR="00394471" w:rsidRPr="00FA0D37" w:rsidRDefault="00394471" w:rsidP="00FA0D37">
      <w:pPr>
        <w:pStyle w:val="PL"/>
      </w:pPr>
    </w:p>
    <w:p w14:paraId="63EEB919" w14:textId="77777777" w:rsidR="00394471" w:rsidRPr="00FA0D37" w:rsidRDefault="00394471" w:rsidP="00FA0D37">
      <w:pPr>
        <w:pStyle w:val="PL"/>
      </w:pPr>
      <w:r w:rsidRPr="00FA0D37">
        <w:t xml:space="preserve">ControlResourceSetId-v1610 ::=          </w:t>
      </w:r>
      <w:r w:rsidRPr="00FA0D37">
        <w:rPr>
          <w:color w:val="993366"/>
        </w:rPr>
        <w:t>INTEGER</w:t>
      </w:r>
      <w:r w:rsidRPr="00FA0D37">
        <w:t xml:space="preserve"> (maxNrofControlResourceSets..maxNrofControlResourceSets-1-r16)</w:t>
      </w:r>
    </w:p>
    <w:p w14:paraId="583FCF0B" w14:textId="77777777" w:rsidR="00394471" w:rsidRPr="00FA0D37" w:rsidRDefault="00394471" w:rsidP="00FA0D37">
      <w:pPr>
        <w:pStyle w:val="PL"/>
      </w:pPr>
    </w:p>
    <w:p w14:paraId="22F6C678" w14:textId="77777777" w:rsidR="00394471" w:rsidRPr="00FA0D37" w:rsidRDefault="00394471" w:rsidP="00FA0D37">
      <w:pPr>
        <w:pStyle w:val="PL"/>
        <w:rPr>
          <w:color w:val="808080"/>
        </w:rPr>
      </w:pPr>
      <w:r w:rsidRPr="00FA0D37">
        <w:rPr>
          <w:color w:val="808080"/>
        </w:rPr>
        <w:t>-- TAG-CONTROLRESOURCESETID-STOP</w:t>
      </w:r>
    </w:p>
    <w:p w14:paraId="7028AB87" w14:textId="77777777" w:rsidR="00394471" w:rsidRPr="00FA0D37" w:rsidRDefault="00394471" w:rsidP="00FA0D37">
      <w:pPr>
        <w:pStyle w:val="PL"/>
        <w:rPr>
          <w:color w:val="808080"/>
        </w:rPr>
      </w:pPr>
      <w:r w:rsidRPr="00FA0D37">
        <w:rPr>
          <w:color w:val="808080"/>
        </w:rPr>
        <w:t>-- ASN1STOP</w:t>
      </w:r>
    </w:p>
    <w:p w14:paraId="63495440" w14:textId="77777777" w:rsidR="00394471" w:rsidRPr="00FA0D37" w:rsidRDefault="00394471" w:rsidP="00394471"/>
    <w:p w14:paraId="0F31FEFC" w14:textId="77777777" w:rsidR="00394471" w:rsidRPr="00FA0D37" w:rsidRDefault="00394471" w:rsidP="00394471">
      <w:pPr>
        <w:pStyle w:val="4"/>
      </w:pPr>
      <w:bookmarkStart w:id="969" w:name="_Toc60777208"/>
      <w:bookmarkStart w:id="970" w:name="_Toc146781255"/>
      <w:r w:rsidRPr="00FA0D37">
        <w:t>–</w:t>
      </w:r>
      <w:r w:rsidRPr="00FA0D37">
        <w:tab/>
      </w:r>
      <w:r w:rsidRPr="00FA0D37">
        <w:rPr>
          <w:i/>
        </w:rPr>
        <w:t>ControlResourceSetZero</w:t>
      </w:r>
      <w:bookmarkEnd w:id="969"/>
      <w:bookmarkEnd w:id="970"/>
    </w:p>
    <w:p w14:paraId="0C0FB3F6" w14:textId="77777777" w:rsidR="00394471" w:rsidRPr="00FA0D37" w:rsidRDefault="00394471" w:rsidP="00394471">
      <w:r w:rsidRPr="00FA0D37">
        <w:t xml:space="preserve">The IE </w:t>
      </w:r>
      <w:r w:rsidRPr="00FA0D37">
        <w:rPr>
          <w:i/>
        </w:rPr>
        <w:t>ControlResourceSetZero</w:t>
      </w:r>
      <w:r w:rsidRPr="00FA0D37">
        <w:t xml:space="preserve"> is used to configure CORESET#0 of the initial BWP (see TS 38.213 [13], clause 13).</w:t>
      </w:r>
    </w:p>
    <w:p w14:paraId="51779080" w14:textId="77777777" w:rsidR="00394471" w:rsidRPr="00FA0D37" w:rsidRDefault="00394471" w:rsidP="00394471">
      <w:pPr>
        <w:pStyle w:val="TH"/>
      </w:pPr>
      <w:r w:rsidRPr="00FA0D37">
        <w:rPr>
          <w:i/>
        </w:rPr>
        <w:t>ControlResourceSetZero</w:t>
      </w:r>
      <w:r w:rsidRPr="00FA0D37">
        <w:t xml:space="preserve"> information element</w:t>
      </w:r>
    </w:p>
    <w:p w14:paraId="72EF57D0" w14:textId="77777777" w:rsidR="00394471" w:rsidRPr="00FA0D37" w:rsidRDefault="00394471" w:rsidP="00FA0D37">
      <w:pPr>
        <w:pStyle w:val="PL"/>
        <w:rPr>
          <w:color w:val="808080"/>
        </w:rPr>
      </w:pPr>
      <w:r w:rsidRPr="00FA0D37">
        <w:rPr>
          <w:color w:val="808080"/>
        </w:rPr>
        <w:t>-- ASN1START</w:t>
      </w:r>
    </w:p>
    <w:p w14:paraId="6308B42E" w14:textId="77777777" w:rsidR="00394471" w:rsidRPr="00FA0D37" w:rsidRDefault="00394471" w:rsidP="00FA0D37">
      <w:pPr>
        <w:pStyle w:val="PL"/>
        <w:rPr>
          <w:color w:val="808080"/>
        </w:rPr>
      </w:pPr>
      <w:r w:rsidRPr="00FA0D37">
        <w:rPr>
          <w:color w:val="808080"/>
        </w:rPr>
        <w:t>-- TAG-CONTROLRESOURCESETZERO-START</w:t>
      </w:r>
    </w:p>
    <w:p w14:paraId="5FF53F05" w14:textId="77777777" w:rsidR="00394471" w:rsidRPr="00FA0D37" w:rsidRDefault="00394471" w:rsidP="00FA0D37">
      <w:pPr>
        <w:pStyle w:val="PL"/>
      </w:pPr>
    </w:p>
    <w:p w14:paraId="5E7F9BC0" w14:textId="77777777" w:rsidR="00394471" w:rsidRPr="00FA0D37" w:rsidRDefault="00394471" w:rsidP="00FA0D37">
      <w:pPr>
        <w:pStyle w:val="PL"/>
      </w:pPr>
      <w:r w:rsidRPr="00FA0D37">
        <w:t xml:space="preserve">ControlResourceSetZero ::=                  </w:t>
      </w:r>
      <w:r w:rsidRPr="00FA0D37">
        <w:rPr>
          <w:color w:val="993366"/>
        </w:rPr>
        <w:t>INTEGER</w:t>
      </w:r>
      <w:r w:rsidRPr="00FA0D37">
        <w:t xml:space="preserve"> (0..15)</w:t>
      </w:r>
    </w:p>
    <w:p w14:paraId="6086F508" w14:textId="77777777" w:rsidR="00394471" w:rsidRPr="00FA0D37" w:rsidRDefault="00394471" w:rsidP="00FA0D37">
      <w:pPr>
        <w:pStyle w:val="PL"/>
      </w:pPr>
    </w:p>
    <w:p w14:paraId="34731D68" w14:textId="77777777" w:rsidR="00394471" w:rsidRPr="00FA0D37" w:rsidRDefault="00394471" w:rsidP="00FA0D37">
      <w:pPr>
        <w:pStyle w:val="PL"/>
        <w:rPr>
          <w:color w:val="808080"/>
        </w:rPr>
      </w:pPr>
      <w:r w:rsidRPr="00FA0D37">
        <w:rPr>
          <w:color w:val="808080"/>
        </w:rPr>
        <w:t>-- TAG-CONTROLRESOURCESETZERO-STOP</w:t>
      </w:r>
    </w:p>
    <w:p w14:paraId="3F3BEF08" w14:textId="77777777" w:rsidR="00394471" w:rsidRPr="00FA0D37" w:rsidRDefault="00394471" w:rsidP="00FA0D37">
      <w:pPr>
        <w:pStyle w:val="PL"/>
        <w:rPr>
          <w:color w:val="808080"/>
        </w:rPr>
      </w:pPr>
      <w:r w:rsidRPr="00FA0D37">
        <w:rPr>
          <w:color w:val="808080"/>
        </w:rPr>
        <w:t>-- ASN1STOP</w:t>
      </w:r>
    </w:p>
    <w:p w14:paraId="794DCDFC" w14:textId="77777777" w:rsidR="00394471" w:rsidRPr="00FA0D37" w:rsidRDefault="00394471" w:rsidP="00394471"/>
    <w:p w14:paraId="38E432B6" w14:textId="77777777" w:rsidR="00394471" w:rsidRPr="00FA0D37" w:rsidRDefault="00394471" w:rsidP="00394471">
      <w:pPr>
        <w:pStyle w:val="4"/>
      </w:pPr>
      <w:bookmarkStart w:id="971" w:name="_Toc60777209"/>
      <w:bookmarkStart w:id="972" w:name="_Toc146781256"/>
      <w:r w:rsidRPr="00FA0D37">
        <w:t>–</w:t>
      </w:r>
      <w:r w:rsidRPr="00FA0D37">
        <w:tab/>
      </w:r>
      <w:r w:rsidRPr="00FA0D37">
        <w:rPr>
          <w:i/>
          <w:noProof/>
        </w:rPr>
        <w:t>CrossCarrierSchedulingConfig</w:t>
      </w:r>
      <w:bookmarkEnd w:id="971"/>
      <w:bookmarkEnd w:id="972"/>
    </w:p>
    <w:p w14:paraId="257A34D4" w14:textId="77777777" w:rsidR="00394471" w:rsidRPr="00FA0D37" w:rsidRDefault="00394471" w:rsidP="00394471">
      <w:r w:rsidRPr="00FA0D37">
        <w:t xml:space="preserve">The IE </w:t>
      </w:r>
      <w:r w:rsidRPr="00FA0D37">
        <w:rPr>
          <w:i/>
        </w:rPr>
        <w:t>CrossCarrierSchedulingConfig</w:t>
      </w:r>
      <w:r w:rsidRPr="00FA0D37">
        <w:t xml:space="preserve"> is used to specify the configuration when the cross-carrier scheduling is used in a cell.</w:t>
      </w:r>
    </w:p>
    <w:p w14:paraId="5C497225" w14:textId="77777777" w:rsidR="00394471" w:rsidRPr="00FA0D37" w:rsidRDefault="00394471" w:rsidP="00394471">
      <w:pPr>
        <w:pStyle w:val="TH"/>
        <w:rPr>
          <w:bCs/>
          <w:i/>
          <w:iCs/>
        </w:rPr>
      </w:pPr>
      <w:r w:rsidRPr="00FA0D37">
        <w:rPr>
          <w:bCs/>
          <w:i/>
          <w:iCs/>
        </w:rPr>
        <w:t xml:space="preserve">CrossCarrierSchedulingConfig </w:t>
      </w:r>
      <w:r w:rsidRPr="00FA0D37">
        <w:rPr>
          <w:bCs/>
          <w:iCs/>
        </w:rPr>
        <w:t>information element</w:t>
      </w:r>
    </w:p>
    <w:p w14:paraId="08ACDA13" w14:textId="77777777" w:rsidR="00394471" w:rsidRPr="00FA0D37" w:rsidRDefault="00394471" w:rsidP="00FA0D37">
      <w:pPr>
        <w:pStyle w:val="PL"/>
        <w:rPr>
          <w:color w:val="808080"/>
        </w:rPr>
      </w:pPr>
      <w:r w:rsidRPr="00FA0D37">
        <w:rPr>
          <w:color w:val="808080"/>
        </w:rPr>
        <w:t>-- ASN1START</w:t>
      </w:r>
    </w:p>
    <w:p w14:paraId="6A36BC34" w14:textId="77777777" w:rsidR="00394471" w:rsidRPr="00FA0D37" w:rsidRDefault="00394471" w:rsidP="00FA0D37">
      <w:pPr>
        <w:pStyle w:val="PL"/>
        <w:rPr>
          <w:color w:val="808080"/>
        </w:rPr>
      </w:pPr>
      <w:r w:rsidRPr="00FA0D37">
        <w:rPr>
          <w:color w:val="808080"/>
        </w:rPr>
        <w:t>-- TAG-CROSSCARRIERSCHEDULINGCONFIG-START</w:t>
      </w:r>
    </w:p>
    <w:p w14:paraId="50DF04A9" w14:textId="77777777" w:rsidR="00394471" w:rsidRPr="00FA0D37" w:rsidRDefault="00394471" w:rsidP="00FA0D37">
      <w:pPr>
        <w:pStyle w:val="PL"/>
      </w:pPr>
    </w:p>
    <w:p w14:paraId="16C2A535" w14:textId="77777777" w:rsidR="00394471" w:rsidRPr="00FA0D37" w:rsidRDefault="00394471" w:rsidP="00FA0D37">
      <w:pPr>
        <w:pStyle w:val="PL"/>
      </w:pPr>
      <w:r w:rsidRPr="00FA0D37">
        <w:t xml:space="preserve">CrossCarrierSchedulingConfig ::=        </w:t>
      </w:r>
      <w:r w:rsidRPr="00FA0D37">
        <w:rPr>
          <w:color w:val="993366"/>
        </w:rPr>
        <w:t>SEQUENCE</w:t>
      </w:r>
      <w:r w:rsidRPr="00FA0D37">
        <w:t xml:space="preserve"> {</w:t>
      </w:r>
    </w:p>
    <w:p w14:paraId="4448A59D" w14:textId="77777777" w:rsidR="00394471" w:rsidRPr="00FA0D37" w:rsidRDefault="00394471" w:rsidP="00FA0D37">
      <w:pPr>
        <w:pStyle w:val="PL"/>
      </w:pPr>
      <w:r w:rsidRPr="00FA0D37">
        <w:t xml:space="preserve">    schedulingCellInfo                      </w:t>
      </w:r>
      <w:r w:rsidRPr="00FA0D37">
        <w:rPr>
          <w:color w:val="993366"/>
        </w:rPr>
        <w:t>CHOICE</w:t>
      </w:r>
      <w:r w:rsidRPr="00FA0D37">
        <w:t xml:space="preserve"> {</w:t>
      </w:r>
    </w:p>
    <w:p w14:paraId="32065D31" w14:textId="77777777" w:rsidR="00394471" w:rsidRPr="00FA0D37" w:rsidRDefault="00394471" w:rsidP="00FA0D37">
      <w:pPr>
        <w:pStyle w:val="PL"/>
        <w:rPr>
          <w:color w:val="808080"/>
        </w:rPr>
      </w:pPr>
      <w:r w:rsidRPr="00FA0D37">
        <w:t xml:space="preserve">        own                                     </w:t>
      </w:r>
      <w:r w:rsidRPr="00FA0D37">
        <w:rPr>
          <w:color w:val="993366"/>
        </w:rPr>
        <w:t>SEQUENCE</w:t>
      </w:r>
      <w:r w:rsidRPr="00FA0D37">
        <w:t xml:space="preserve"> {                  </w:t>
      </w:r>
      <w:r w:rsidRPr="00FA0D37">
        <w:rPr>
          <w:color w:val="808080"/>
        </w:rPr>
        <w:t>-- Cross carrier scheduling: scheduling cell</w:t>
      </w:r>
    </w:p>
    <w:p w14:paraId="3931DC85" w14:textId="77777777" w:rsidR="00394471" w:rsidRPr="00FA0D37" w:rsidRDefault="00394471" w:rsidP="00FA0D37">
      <w:pPr>
        <w:pStyle w:val="PL"/>
      </w:pPr>
      <w:r w:rsidRPr="00FA0D37">
        <w:t xml:space="preserve">            cif-Presence                            </w:t>
      </w:r>
      <w:r w:rsidRPr="00FA0D37">
        <w:rPr>
          <w:color w:val="993366"/>
        </w:rPr>
        <w:t>BOOLEAN</w:t>
      </w:r>
    </w:p>
    <w:p w14:paraId="48E5AB3D" w14:textId="77777777" w:rsidR="00394471" w:rsidRPr="00FA0D37" w:rsidRDefault="00394471" w:rsidP="00FA0D37">
      <w:pPr>
        <w:pStyle w:val="PL"/>
      </w:pPr>
      <w:r w:rsidRPr="00FA0D37">
        <w:t xml:space="preserve">        },</w:t>
      </w:r>
    </w:p>
    <w:p w14:paraId="2DE72398" w14:textId="77777777" w:rsidR="00394471" w:rsidRPr="00FA0D37" w:rsidRDefault="00394471" w:rsidP="00FA0D37">
      <w:pPr>
        <w:pStyle w:val="PL"/>
        <w:rPr>
          <w:color w:val="808080"/>
        </w:rPr>
      </w:pPr>
      <w:r w:rsidRPr="00FA0D37">
        <w:t xml:space="preserve">        other                                   </w:t>
      </w:r>
      <w:r w:rsidRPr="00FA0D37">
        <w:rPr>
          <w:color w:val="993366"/>
        </w:rPr>
        <w:t>SEQUENCE</w:t>
      </w:r>
      <w:r w:rsidRPr="00FA0D37">
        <w:t xml:space="preserve"> {                  </w:t>
      </w:r>
      <w:r w:rsidRPr="00FA0D37">
        <w:rPr>
          <w:color w:val="808080"/>
        </w:rPr>
        <w:t>-- Cross carrier scheduling: scheduled cell</w:t>
      </w:r>
    </w:p>
    <w:p w14:paraId="174D4F4B" w14:textId="77777777" w:rsidR="00394471" w:rsidRPr="00FA0D37" w:rsidRDefault="00394471" w:rsidP="00FA0D37">
      <w:pPr>
        <w:pStyle w:val="PL"/>
      </w:pPr>
      <w:r w:rsidRPr="00FA0D37">
        <w:t xml:space="preserve">            schedulingCellId                        ServCellIndex,</w:t>
      </w:r>
    </w:p>
    <w:p w14:paraId="0BE7B841" w14:textId="77777777" w:rsidR="00394471" w:rsidRPr="00FA0D37" w:rsidRDefault="00394471" w:rsidP="00FA0D37">
      <w:pPr>
        <w:pStyle w:val="PL"/>
      </w:pPr>
      <w:r w:rsidRPr="00FA0D37">
        <w:t xml:space="preserve">            cif-InSchedulingCell                    </w:t>
      </w:r>
      <w:r w:rsidRPr="00FA0D37">
        <w:rPr>
          <w:color w:val="993366"/>
        </w:rPr>
        <w:t>INTEGER</w:t>
      </w:r>
      <w:r w:rsidRPr="00FA0D37">
        <w:t xml:space="preserve"> (1..7)</w:t>
      </w:r>
    </w:p>
    <w:p w14:paraId="53945E71" w14:textId="77777777" w:rsidR="00394471" w:rsidRPr="00FA0D37" w:rsidRDefault="00394471" w:rsidP="00FA0D37">
      <w:pPr>
        <w:pStyle w:val="PL"/>
      </w:pPr>
      <w:r w:rsidRPr="00FA0D37">
        <w:t xml:space="preserve">        }</w:t>
      </w:r>
    </w:p>
    <w:p w14:paraId="7DF8042A" w14:textId="77777777" w:rsidR="00394471" w:rsidRPr="00FA0D37" w:rsidRDefault="00394471" w:rsidP="00FA0D37">
      <w:pPr>
        <w:pStyle w:val="PL"/>
      </w:pPr>
      <w:r w:rsidRPr="00FA0D37">
        <w:t xml:space="preserve">    },</w:t>
      </w:r>
    </w:p>
    <w:p w14:paraId="2EC4CDC6" w14:textId="77777777" w:rsidR="00394471" w:rsidRPr="00FA0D37" w:rsidRDefault="00394471" w:rsidP="00FA0D37">
      <w:pPr>
        <w:pStyle w:val="PL"/>
      </w:pPr>
      <w:r w:rsidRPr="00FA0D37">
        <w:t xml:space="preserve">    ...,</w:t>
      </w:r>
    </w:p>
    <w:p w14:paraId="4F16EAFD" w14:textId="77777777" w:rsidR="00394471" w:rsidRPr="00FA0D37" w:rsidRDefault="00394471" w:rsidP="00FA0D37">
      <w:pPr>
        <w:pStyle w:val="PL"/>
      </w:pPr>
      <w:r w:rsidRPr="00FA0D37">
        <w:t xml:space="preserve">    [[</w:t>
      </w:r>
    </w:p>
    <w:p w14:paraId="3D41BF61" w14:textId="77777777" w:rsidR="00394471" w:rsidRPr="00FA0D37" w:rsidRDefault="00394471" w:rsidP="00FA0D37">
      <w:pPr>
        <w:pStyle w:val="PL"/>
      </w:pPr>
      <w:r w:rsidRPr="00FA0D37">
        <w:t xml:space="preserve">    carrierIndicatorSize-r16            </w:t>
      </w:r>
      <w:r w:rsidRPr="00FA0D37">
        <w:rPr>
          <w:color w:val="993366"/>
        </w:rPr>
        <w:t>SEQUENCE</w:t>
      </w:r>
      <w:r w:rsidRPr="00FA0D37">
        <w:t xml:space="preserve"> {</w:t>
      </w:r>
    </w:p>
    <w:p w14:paraId="1E57D36B" w14:textId="77777777" w:rsidR="00394471" w:rsidRPr="00FA0D37" w:rsidRDefault="00394471" w:rsidP="00FA0D37">
      <w:pPr>
        <w:pStyle w:val="PL"/>
      </w:pPr>
      <w:r w:rsidRPr="00FA0D37">
        <w:t xml:space="preserve">        carrierIndicatorSizeDCI-1-2-r16        </w:t>
      </w:r>
      <w:r w:rsidRPr="00FA0D37">
        <w:rPr>
          <w:color w:val="993366"/>
        </w:rPr>
        <w:t>INTEGER</w:t>
      </w:r>
      <w:r w:rsidRPr="00FA0D37">
        <w:t xml:space="preserve"> (0..3),</w:t>
      </w:r>
    </w:p>
    <w:p w14:paraId="2A5667EB" w14:textId="77777777" w:rsidR="00394471" w:rsidRPr="00FA0D37" w:rsidRDefault="00394471" w:rsidP="00FA0D37">
      <w:pPr>
        <w:pStyle w:val="PL"/>
      </w:pPr>
      <w:r w:rsidRPr="00FA0D37">
        <w:t xml:space="preserve">        carrierIndicatorSizeDCI-0-2-r16        </w:t>
      </w:r>
      <w:r w:rsidRPr="00FA0D37">
        <w:rPr>
          <w:color w:val="993366"/>
        </w:rPr>
        <w:t>INTEGER</w:t>
      </w:r>
      <w:r w:rsidRPr="00FA0D37">
        <w:t xml:space="preserve"> (0..3)</w:t>
      </w:r>
    </w:p>
    <w:p w14:paraId="4FDD771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CIF-PRESENCE</w:t>
      </w:r>
    </w:p>
    <w:p w14:paraId="7E2F7E14" w14:textId="77777777" w:rsidR="00394471" w:rsidRPr="00FA0D37" w:rsidRDefault="00394471" w:rsidP="00FA0D37">
      <w:pPr>
        <w:pStyle w:val="PL"/>
        <w:rPr>
          <w:color w:val="808080"/>
        </w:rPr>
      </w:pPr>
      <w:r w:rsidRPr="00FA0D37">
        <w:t xml:space="preserve">    enableDefaultBeamForCCS-r16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75597D2E" w14:textId="2378AE27" w:rsidR="00CF53DD" w:rsidRPr="00FA0D37" w:rsidRDefault="00394471" w:rsidP="00FA0D37">
      <w:pPr>
        <w:pStyle w:val="PL"/>
      </w:pPr>
      <w:r w:rsidRPr="00FA0D37">
        <w:t xml:space="preserve">    ]]</w:t>
      </w:r>
      <w:r w:rsidR="00CF53DD" w:rsidRPr="00FA0D37">
        <w:t>,</w:t>
      </w:r>
    </w:p>
    <w:p w14:paraId="05245243" w14:textId="77777777" w:rsidR="00CF53DD" w:rsidRPr="00FA0D37" w:rsidRDefault="00CF53DD" w:rsidP="00FA0D37">
      <w:pPr>
        <w:pStyle w:val="PL"/>
      </w:pPr>
      <w:r w:rsidRPr="00FA0D37">
        <w:t xml:space="preserve">    [[</w:t>
      </w:r>
    </w:p>
    <w:p w14:paraId="5D749441" w14:textId="03E44301" w:rsidR="00CF53DD" w:rsidRPr="00FA0D37" w:rsidRDefault="00CF53DD" w:rsidP="00FA0D37">
      <w:pPr>
        <w:pStyle w:val="PL"/>
      </w:pPr>
      <w:r w:rsidRPr="00FA0D37">
        <w:t xml:space="preserve">    ccs-BlindDetectionSplit-r17         </w:t>
      </w:r>
      <w:r w:rsidRPr="00FA0D37">
        <w:rPr>
          <w:color w:val="993366"/>
        </w:rPr>
        <w:t>ENUMERATED</w:t>
      </w:r>
      <w:r w:rsidRPr="00FA0D37">
        <w:t xml:space="preserve"> {oneSeventh, threeFourteenth, twoSeventh, threeSeventh,</w:t>
      </w:r>
    </w:p>
    <w:p w14:paraId="5C685921" w14:textId="1AD90BB6" w:rsidR="00CF53DD" w:rsidRPr="00FA0D37" w:rsidRDefault="00CF53DD" w:rsidP="00FA0D37">
      <w:pPr>
        <w:pStyle w:val="PL"/>
        <w:rPr>
          <w:color w:val="808080"/>
        </w:rPr>
      </w:pPr>
      <w:r w:rsidRPr="00FA0D37">
        <w:t xml:space="preserve">                                            oneHalf, fourSeventh, fiveSeventh, spare1}      </w:t>
      </w:r>
      <w:r w:rsidRPr="00FA0D37">
        <w:rPr>
          <w:color w:val="993366"/>
        </w:rPr>
        <w:t>OPTIONAL</w:t>
      </w:r>
      <w:r w:rsidRPr="00FA0D37">
        <w:t xml:space="preserve">  </w:t>
      </w:r>
      <w:r w:rsidRPr="00FA0D37">
        <w:rPr>
          <w:color w:val="808080"/>
        </w:rPr>
        <w:t>-- Need R</w:t>
      </w:r>
    </w:p>
    <w:p w14:paraId="7F04D0B4" w14:textId="2A3026D3" w:rsidR="00394471" w:rsidRPr="00FA0D37" w:rsidRDefault="00CF53DD" w:rsidP="00FA0D37">
      <w:pPr>
        <w:pStyle w:val="PL"/>
      </w:pPr>
      <w:r w:rsidRPr="00FA0D37">
        <w:t xml:space="preserve">    ]]</w:t>
      </w:r>
    </w:p>
    <w:p w14:paraId="76C78AF0" w14:textId="77777777" w:rsidR="00394471" w:rsidRPr="00FA0D37" w:rsidRDefault="00394471" w:rsidP="00FA0D37">
      <w:pPr>
        <w:pStyle w:val="PL"/>
      </w:pPr>
      <w:r w:rsidRPr="00FA0D37">
        <w:t>}</w:t>
      </w:r>
    </w:p>
    <w:p w14:paraId="602A1BA3" w14:textId="77777777" w:rsidR="00394471" w:rsidRPr="00FA0D37" w:rsidRDefault="00394471" w:rsidP="00FA0D37">
      <w:pPr>
        <w:pStyle w:val="PL"/>
      </w:pPr>
    </w:p>
    <w:p w14:paraId="4A731F32" w14:textId="77777777" w:rsidR="00394471" w:rsidRPr="00FA0D37" w:rsidRDefault="00394471" w:rsidP="00FA0D37">
      <w:pPr>
        <w:pStyle w:val="PL"/>
        <w:rPr>
          <w:color w:val="808080"/>
        </w:rPr>
      </w:pPr>
      <w:r w:rsidRPr="00FA0D37">
        <w:rPr>
          <w:color w:val="808080"/>
        </w:rPr>
        <w:t>-- TAG-CROSSCARRIERSCHEDULINGCONFIG-STOP</w:t>
      </w:r>
    </w:p>
    <w:p w14:paraId="3D8098FB" w14:textId="77777777" w:rsidR="00394471" w:rsidRPr="00FA0D37" w:rsidRDefault="00394471" w:rsidP="00FA0D37">
      <w:pPr>
        <w:pStyle w:val="PL"/>
        <w:rPr>
          <w:color w:val="808080"/>
        </w:rPr>
      </w:pPr>
      <w:r w:rsidRPr="00FA0D37">
        <w:rPr>
          <w:color w:val="808080"/>
        </w:rPr>
        <w:t>-- ASN1STOP</w:t>
      </w:r>
    </w:p>
    <w:p w14:paraId="0979AA88" w14:textId="77777777" w:rsidR="00394471" w:rsidRPr="00FA0D3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FA0D37" w:rsidRDefault="00394471" w:rsidP="00964CC4">
            <w:pPr>
              <w:pStyle w:val="TAH"/>
              <w:rPr>
                <w:lang w:eastAsia="en-GB"/>
              </w:rPr>
            </w:pPr>
            <w:r w:rsidRPr="00FA0D37">
              <w:rPr>
                <w:i/>
                <w:lang w:eastAsia="en-GB"/>
              </w:rPr>
              <w:lastRenderedPageBreak/>
              <w:t>CrossCarrierSchedulingConfig</w:t>
            </w:r>
            <w:r w:rsidRPr="00FA0D37">
              <w:rPr>
                <w:iCs/>
                <w:lang w:eastAsia="en-GB"/>
              </w:rPr>
              <w:t xml:space="preserve"> field descriptions</w:t>
            </w:r>
          </w:p>
        </w:tc>
      </w:tr>
      <w:tr w:rsidR="005C7FF4" w:rsidRPr="00FA0D37"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FA0D37" w:rsidRDefault="00394471" w:rsidP="00964CC4">
            <w:pPr>
              <w:pStyle w:val="TAL"/>
              <w:rPr>
                <w:b/>
                <w:bCs/>
                <w:i/>
                <w:iCs/>
                <w:lang w:eastAsia="x-none"/>
              </w:rPr>
            </w:pPr>
            <w:r w:rsidRPr="00FA0D37">
              <w:rPr>
                <w:b/>
                <w:bCs/>
                <w:i/>
                <w:iCs/>
                <w:lang w:eastAsia="x-none"/>
              </w:rPr>
              <w:t>carrierIndicatorSizeDCI-0-2, carrierIndicatorSizeDCI-1-2</w:t>
            </w:r>
          </w:p>
          <w:p w14:paraId="38252275" w14:textId="77777777" w:rsidR="00394471" w:rsidRPr="00FA0D37" w:rsidRDefault="00394471" w:rsidP="00964CC4">
            <w:pPr>
              <w:pStyle w:val="TAL"/>
              <w:rPr>
                <w:b/>
                <w:lang w:eastAsia="sv-SE"/>
              </w:rPr>
            </w:pPr>
            <w:r w:rsidRPr="00FA0D37">
              <w:rPr>
                <w:lang w:eastAsia="en-GB"/>
              </w:rPr>
              <w:t xml:space="preserve">Configures the number of bits for the field of carrier indicator in PDCCH DCI format 0_2/1_2. </w:t>
            </w:r>
            <w:r w:rsidRPr="00FA0D37">
              <w:rPr>
                <w:szCs w:val="22"/>
                <w:lang w:eastAsia="sv-SE"/>
              </w:rPr>
              <w:t xml:space="preserve">The field </w:t>
            </w:r>
            <w:r w:rsidRPr="00FA0D37">
              <w:rPr>
                <w:i/>
                <w:szCs w:val="22"/>
                <w:lang w:eastAsia="sv-SE"/>
              </w:rPr>
              <w:t xml:space="preserve">carrierIndicatorSizeDCI-0-2 </w:t>
            </w:r>
            <w:r w:rsidRPr="00FA0D37">
              <w:rPr>
                <w:szCs w:val="22"/>
                <w:lang w:eastAsia="sv-SE"/>
              </w:rPr>
              <w:t xml:space="preserve">refers to DCI format 0_2 and the field </w:t>
            </w:r>
            <w:r w:rsidRPr="00FA0D37">
              <w:rPr>
                <w:i/>
                <w:szCs w:val="22"/>
                <w:lang w:eastAsia="sv-SE"/>
              </w:rPr>
              <w:t>carrierIndicatorSizeDCI-1-2</w:t>
            </w:r>
            <w:r w:rsidRPr="00FA0D37">
              <w:rPr>
                <w:szCs w:val="22"/>
                <w:lang w:eastAsia="sv-SE"/>
              </w:rPr>
              <w:t xml:space="preserve"> refers to DCI format 1_2, respectively</w:t>
            </w:r>
            <w:r w:rsidRPr="00FA0D37">
              <w:rPr>
                <w:lang w:eastAsia="en-GB"/>
              </w:rPr>
              <w:t xml:space="preserve"> (see TS 38.212 [17], clause 7.3.1 and TS 38.213 [13], clause 10.1).</w:t>
            </w:r>
          </w:p>
        </w:tc>
      </w:tr>
      <w:tr w:rsidR="005C7FF4" w:rsidRPr="00FA0D37"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FA0D37" w:rsidRDefault="00CF53DD" w:rsidP="00771058">
            <w:pPr>
              <w:pStyle w:val="TAL"/>
              <w:rPr>
                <w:b/>
                <w:i/>
                <w:lang w:eastAsia="en-GB"/>
              </w:rPr>
            </w:pPr>
            <w:r w:rsidRPr="00FA0D37">
              <w:rPr>
                <w:b/>
                <w:i/>
                <w:lang w:eastAsia="en-GB"/>
              </w:rPr>
              <w:t>ccs-BlindDetectionSplit</w:t>
            </w:r>
          </w:p>
          <w:p w14:paraId="43724438" w14:textId="77777777" w:rsidR="00CF53DD" w:rsidRPr="00FA0D37" w:rsidRDefault="00CF53DD" w:rsidP="00771058">
            <w:pPr>
              <w:pStyle w:val="TAL"/>
            </w:pPr>
            <w:r w:rsidRPr="00FA0D37">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FA0D37">
              <w:rPr>
                <w:i/>
                <w:iCs/>
                <w:lang w:eastAsia="x-none"/>
              </w:rPr>
              <w:t>other</w:t>
            </w:r>
            <w:r w:rsidRPr="00FA0D37">
              <w:rPr>
                <w:lang w:eastAsia="x-none"/>
              </w:rPr>
              <w:t xml:space="preserve"> for an SpCell, i.e., when it configures cross-carrier scheduling of the SpCell by a PDCCH on an Scell.</w:t>
            </w:r>
          </w:p>
        </w:tc>
      </w:tr>
      <w:tr w:rsidR="005C7FF4" w:rsidRPr="00FA0D37"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FA0D37" w:rsidRDefault="00394471" w:rsidP="00964CC4">
            <w:pPr>
              <w:pStyle w:val="TAL"/>
              <w:rPr>
                <w:b/>
                <w:i/>
                <w:lang w:eastAsia="zh-CN"/>
              </w:rPr>
            </w:pPr>
            <w:r w:rsidRPr="00FA0D37">
              <w:rPr>
                <w:b/>
                <w:i/>
                <w:lang w:eastAsia="en-GB"/>
              </w:rPr>
              <w:t>cif-Presence</w:t>
            </w:r>
          </w:p>
          <w:p w14:paraId="0F41DB84" w14:textId="77777777" w:rsidR="00394471" w:rsidRPr="00FA0D37" w:rsidRDefault="00394471" w:rsidP="00964CC4">
            <w:pPr>
              <w:pStyle w:val="TAL"/>
              <w:rPr>
                <w:b/>
                <w:lang w:eastAsia="zh-CN"/>
              </w:rPr>
            </w:pPr>
            <w:r w:rsidRPr="00FA0D37">
              <w:rPr>
                <w:lang w:eastAsia="zh-CN"/>
              </w:rPr>
              <w:t>The field is used to i</w:t>
            </w:r>
            <w:r w:rsidRPr="00FA0D37">
              <w:rPr>
                <w:lang w:eastAsia="en-GB"/>
              </w:rPr>
              <w:t xml:space="preserve">ndicate whether carrier indicator </w:t>
            </w:r>
            <w:r w:rsidRPr="00FA0D37">
              <w:rPr>
                <w:lang w:eastAsia="zh-CN"/>
              </w:rPr>
              <w:t xml:space="preserve">field </w:t>
            </w:r>
            <w:r w:rsidRPr="00FA0D37">
              <w:rPr>
                <w:lang w:eastAsia="en-GB"/>
              </w:rPr>
              <w:t xml:space="preserve">is </w:t>
            </w:r>
            <w:r w:rsidRPr="00FA0D37">
              <w:rPr>
                <w:lang w:eastAsia="zh-CN"/>
              </w:rPr>
              <w:t xml:space="preserve">present (value </w:t>
            </w:r>
            <w:r w:rsidRPr="00FA0D37">
              <w:rPr>
                <w:i/>
                <w:lang w:eastAsia="zh-CN"/>
              </w:rPr>
              <w:t>true</w:t>
            </w:r>
            <w:r w:rsidRPr="00FA0D37">
              <w:rPr>
                <w:lang w:eastAsia="zh-CN"/>
              </w:rPr>
              <w:t>)</w:t>
            </w:r>
            <w:r w:rsidRPr="00FA0D37">
              <w:rPr>
                <w:lang w:eastAsia="en-GB"/>
              </w:rPr>
              <w:t xml:space="preserve"> or not</w:t>
            </w:r>
            <w:r w:rsidRPr="00FA0D37">
              <w:rPr>
                <w:lang w:eastAsia="zh-CN"/>
              </w:rPr>
              <w:t xml:space="preserve"> (value </w:t>
            </w:r>
            <w:r w:rsidRPr="00FA0D37">
              <w:rPr>
                <w:i/>
                <w:lang w:eastAsia="zh-CN"/>
              </w:rPr>
              <w:t>false</w:t>
            </w:r>
            <w:r w:rsidRPr="00FA0D37">
              <w:rPr>
                <w:lang w:eastAsia="zh-CN"/>
              </w:rPr>
              <w:t>)</w:t>
            </w:r>
            <w:r w:rsidRPr="00FA0D37">
              <w:rPr>
                <w:lang w:eastAsia="en-GB"/>
              </w:rPr>
              <w:t xml:space="preserve"> in PDCCH</w:t>
            </w:r>
            <w:r w:rsidRPr="00FA0D37">
              <w:rPr>
                <w:lang w:eastAsia="zh-CN"/>
              </w:rPr>
              <w:t xml:space="preserve"> DCI</w:t>
            </w:r>
            <w:r w:rsidRPr="00FA0D37">
              <w:rPr>
                <w:lang w:eastAsia="en-GB"/>
              </w:rPr>
              <w:t xml:space="preserve"> formats</w:t>
            </w:r>
            <w:r w:rsidRPr="00FA0D37">
              <w:rPr>
                <w:lang w:eastAsia="zh-CN"/>
              </w:rPr>
              <w:t xml:space="preserve">, see TS 38.213 [13]. </w:t>
            </w:r>
            <w:r w:rsidRPr="00FA0D37">
              <w:rPr>
                <w:lang w:eastAsia="en-GB"/>
              </w:rPr>
              <w:t xml:space="preserve">If </w:t>
            </w:r>
            <w:r w:rsidRPr="00FA0D37">
              <w:rPr>
                <w:i/>
                <w:lang w:eastAsia="en-GB"/>
              </w:rPr>
              <w:t>cif-Presence</w:t>
            </w:r>
            <w:r w:rsidRPr="00FA0D37">
              <w:rPr>
                <w:lang w:eastAsia="en-GB"/>
              </w:rPr>
              <w:t xml:space="preserve"> is set to </w:t>
            </w:r>
            <w:r w:rsidRPr="00FA0D37">
              <w:rPr>
                <w:i/>
                <w:lang w:eastAsia="en-GB"/>
              </w:rPr>
              <w:t>true</w:t>
            </w:r>
            <w:r w:rsidRPr="00FA0D37">
              <w:rPr>
                <w:lang w:eastAsia="en-GB"/>
              </w:rPr>
              <w:t>, the CIF value indicating a grant or assignment for this cell is 0.</w:t>
            </w:r>
          </w:p>
        </w:tc>
      </w:tr>
      <w:tr w:rsidR="005C7FF4" w:rsidRPr="00FA0D37"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FA0D37" w:rsidRDefault="00394471" w:rsidP="00964CC4">
            <w:pPr>
              <w:pStyle w:val="TAL"/>
              <w:rPr>
                <w:b/>
                <w:i/>
                <w:lang w:eastAsia="en-GB"/>
              </w:rPr>
            </w:pPr>
            <w:r w:rsidRPr="00FA0D37">
              <w:rPr>
                <w:b/>
                <w:i/>
                <w:lang w:eastAsia="en-GB"/>
              </w:rPr>
              <w:t>cif-InSchedulingCell</w:t>
            </w:r>
          </w:p>
          <w:p w14:paraId="4635EA14" w14:textId="3465A113" w:rsidR="00394471" w:rsidRPr="00FA0D37" w:rsidRDefault="00394471" w:rsidP="00964CC4">
            <w:pPr>
              <w:pStyle w:val="TAL"/>
              <w:rPr>
                <w:b/>
                <w:lang w:eastAsia="en-GB"/>
              </w:rPr>
            </w:pPr>
            <w:r w:rsidRPr="00FA0D37">
              <w:rPr>
                <w:lang w:eastAsia="en-GB"/>
              </w:rPr>
              <w:t xml:space="preserve">The field indicates the CIF value used in the scheduling cell to indicate a grant or assignment applicable for this cell, see TS 38.213 </w:t>
            </w:r>
            <w:r w:rsidRPr="00FA0D37">
              <w:rPr>
                <w:lang w:eastAsia="zh-CN"/>
              </w:rPr>
              <w:t>[13]</w:t>
            </w:r>
            <w:r w:rsidRPr="00FA0D37">
              <w:rPr>
                <w:lang w:eastAsia="en-GB"/>
              </w:rPr>
              <w:t>.</w:t>
            </w:r>
            <w:r w:rsidR="00CF53DD" w:rsidRPr="00FA0D37">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5C7FF4" w:rsidRPr="00FA0D37"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FA0D37" w:rsidRDefault="00394471" w:rsidP="00964CC4">
            <w:pPr>
              <w:pStyle w:val="TAL"/>
              <w:rPr>
                <w:b/>
                <w:bCs/>
                <w:i/>
                <w:iCs/>
              </w:rPr>
            </w:pPr>
            <w:r w:rsidRPr="00FA0D37">
              <w:rPr>
                <w:b/>
                <w:bCs/>
                <w:i/>
                <w:iCs/>
              </w:rPr>
              <w:t>enableDefaultBeamForCCS</w:t>
            </w:r>
          </w:p>
          <w:p w14:paraId="5999281F" w14:textId="1C252CA3" w:rsidR="00394471" w:rsidRPr="00FA0D37" w:rsidRDefault="00394471" w:rsidP="00964CC4">
            <w:pPr>
              <w:pStyle w:val="TAL"/>
              <w:rPr>
                <w:lang w:eastAsia="en-GB"/>
              </w:rPr>
            </w:pPr>
            <w:r w:rsidRPr="00FA0D37">
              <w:rPr>
                <w:lang w:eastAsia="en-GB"/>
              </w:rPr>
              <w:t>This field indicates whether default beam selection for cross-carrier scheduled PDSCH is enabled, see TS 38.214 [19]. If not present, the default beam selection behaviour is not applied, i.e. Rel-15 behaviour is applied.</w:t>
            </w:r>
            <w:r w:rsidR="00CF53DD" w:rsidRPr="00FA0D37">
              <w:rPr>
                <w:lang w:eastAsia="en-GB"/>
              </w:rPr>
              <w:t xml:space="preserve"> This field can only be configured in the cross-scheduled SCell or SpCell.</w:t>
            </w:r>
          </w:p>
        </w:tc>
      </w:tr>
      <w:tr w:rsidR="005C7FF4" w:rsidRPr="00FA0D37"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FA0D37" w:rsidRDefault="00394471" w:rsidP="00964CC4">
            <w:pPr>
              <w:pStyle w:val="TAL"/>
              <w:rPr>
                <w:lang w:eastAsia="en-GB"/>
              </w:rPr>
            </w:pPr>
            <w:r w:rsidRPr="00FA0D37">
              <w:rPr>
                <w:b/>
                <w:i/>
                <w:lang w:eastAsia="en-GB"/>
              </w:rPr>
              <w:t>other</w:t>
            </w:r>
          </w:p>
          <w:p w14:paraId="718F697C" w14:textId="420AC7B3" w:rsidR="00394471" w:rsidRPr="00FA0D37" w:rsidRDefault="00394471" w:rsidP="00964CC4">
            <w:pPr>
              <w:pStyle w:val="TAL"/>
              <w:rPr>
                <w:lang w:eastAsia="en-GB"/>
              </w:rPr>
            </w:pPr>
            <w:r w:rsidRPr="00FA0D37">
              <w:rPr>
                <w:lang w:eastAsia="en-GB"/>
              </w:rPr>
              <w:t xml:space="preserve">Parameters for cross-carrier scheduling. </w:t>
            </w:r>
            <w:r w:rsidR="00CF53DD" w:rsidRPr="00FA0D37">
              <w:rPr>
                <w:lang w:eastAsia="en-GB"/>
              </w:rPr>
              <w:t>If configured for an SpCell, the SpCell can be scheduled by the PDCCH on another SCell as well as by the PDCCH on the SpCell. If configured for an SCell, the SCell is scheduled by a PDDCH on another cell.</w:t>
            </w:r>
          </w:p>
        </w:tc>
      </w:tr>
      <w:tr w:rsidR="005C7FF4" w:rsidRPr="00FA0D37"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FA0D37" w:rsidRDefault="00394471" w:rsidP="00964CC4">
            <w:pPr>
              <w:pStyle w:val="TAL"/>
              <w:rPr>
                <w:lang w:eastAsia="en-GB"/>
              </w:rPr>
            </w:pPr>
            <w:r w:rsidRPr="00FA0D37">
              <w:rPr>
                <w:b/>
                <w:i/>
                <w:lang w:eastAsia="en-GB"/>
              </w:rPr>
              <w:t>own</w:t>
            </w:r>
          </w:p>
          <w:p w14:paraId="13DD0803" w14:textId="77777777" w:rsidR="00394471" w:rsidRPr="00FA0D37" w:rsidRDefault="00394471" w:rsidP="00964CC4">
            <w:pPr>
              <w:pStyle w:val="TAL"/>
              <w:rPr>
                <w:lang w:eastAsia="en-GB"/>
              </w:rPr>
            </w:pPr>
            <w:r w:rsidRPr="00FA0D37">
              <w:rPr>
                <w:lang w:eastAsia="en-GB"/>
              </w:rPr>
              <w:t>Parameters for self-scheduling, i.e., a serving cell is scheduled by its own PDCCH.</w:t>
            </w:r>
          </w:p>
        </w:tc>
      </w:tr>
      <w:tr w:rsidR="00394471" w:rsidRPr="00FA0D37"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FA0D37" w:rsidRDefault="00394471" w:rsidP="00964CC4">
            <w:pPr>
              <w:pStyle w:val="TAL"/>
              <w:rPr>
                <w:b/>
                <w:i/>
                <w:lang w:eastAsia="en-GB"/>
              </w:rPr>
            </w:pPr>
            <w:r w:rsidRPr="00FA0D37">
              <w:rPr>
                <w:b/>
                <w:i/>
                <w:lang w:eastAsia="en-GB"/>
              </w:rPr>
              <w:t>schedulingCellId</w:t>
            </w:r>
          </w:p>
          <w:p w14:paraId="01B97721" w14:textId="615278BC" w:rsidR="00394471" w:rsidRPr="00FA0D37" w:rsidRDefault="00CF53DD" w:rsidP="00964CC4">
            <w:pPr>
              <w:pStyle w:val="TAL"/>
              <w:rPr>
                <w:b/>
                <w:i/>
                <w:lang w:eastAsia="en-GB"/>
              </w:rPr>
            </w:pPr>
            <w:r w:rsidRPr="00FA0D37">
              <w:rPr>
                <w:lang w:eastAsia="en-GB"/>
              </w:rPr>
              <w:t>If configured for a</w:t>
            </w:r>
            <w:r w:rsidR="00AC74CA" w:rsidRPr="00FA0D37">
              <w:rPr>
                <w:lang w:eastAsia="en-GB"/>
              </w:rPr>
              <w:t>n</w:t>
            </w:r>
            <w:r w:rsidRPr="00FA0D37">
              <w:rPr>
                <w:lang w:eastAsia="en-GB"/>
              </w:rPr>
              <w:t xml:space="preserve"> SpCell, this field indicates which SCell, in addition to the SpCell, signals the downlink allocations and uplink grants, if applicable, for the concerned SpCell. If configured for a</w:t>
            </w:r>
            <w:r w:rsidR="00AC74CA" w:rsidRPr="00FA0D37">
              <w:rPr>
                <w:lang w:eastAsia="en-GB"/>
              </w:rPr>
              <w:t>n</w:t>
            </w:r>
            <w:r w:rsidRPr="00FA0D37">
              <w:rPr>
                <w:lang w:eastAsia="en-GB"/>
              </w:rPr>
              <w:t xml:space="preserve"> Scell, this field i</w:t>
            </w:r>
            <w:r w:rsidR="00394471" w:rsidRPr="00FA0D37">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FA0D37">
              <w:t xml:space="preserve"> </w:t>
            </w:r>
            <w:r w:rsidR="007F7AC0" w:rsidRPr="00FA0D37">
              <w:rPr>
                <w:lang w:eastAsia="en-GB"/>
              </w:rPr>
              <w:t>In case the UE is configured with two PUCCH groups, the scheduling cell and the scheduled cell are within the same PUCCH group.</w:t>
            </w:r>
            <w:r w:rsidR="00394471" w:rsidRPr="00FA0D37">
              <w:rPr>
                <w:lang w:eastAsia="en-GB"/>
              </w:rPr>
              <w:t xml:space="preserve"> If </w:t>
            </w:r>
            <w:r w:rsidR="00394471" w:rsidRPr="00FA0D37">
              <w:rPr>
                <w:i/>
                <w:iCs/>
                <w:lang w:eastAsia="en-GB"/>
              </w:rPr>
              <w:t>drx-ConfigSecondaryGroup</w:t>
            </w:r>
            <w:r w:rsidR="00394471" w:rsidRPr="00FA0D37">
              <w:rPr>
                <w:lang w:eastAsia="en-GB"/>
              </w:rPr>
              <w:t xml:space="preserve"> is configured in the </w:t>
            </w:r>
            <w:r w:rsidR="00394471" w:rsidRPr="00FA0D37">
              <w:rPr>
                <w:i/>
                <w:iCs/>
                <w:lang w:eastAsia="en-GB"/>
              </w:rPr>
              <w:t>MAC-CellGroupConfig</w:t>
            </w:r>
            <w:r w:rsidR="00394471" w:rsidRPr="00FA0D37">
              <w:rPr>
                <w:lang w:eastAsia="en-GB"/>
              </w:rPr>
              <w:t xml:space="preserve"> associated with this serving cell, the scheduling cell and the scheduled cell belong to the same Frequency Range.</w:t>
            </w:r>
            <w:r w:rsidR="009D2125" w:rsidRPr="00FA0D37">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FA0D37"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5C7FF4" w:rsidRPr="00FA0D37"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FA0D37" w:rsidRDefault="00394471" w:rsidP="00964CC4">
            <w:pPr>
              <w:pStyle w:val="TAH"/>
              <w:rPr>
                <w:lang w:eastAsia="sv-SE"/>
              </w:rPr>
            </w:pPr>
            <w:r w:rsidRPr="00FA0D37">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FA0D37" w:rsidRDefault="00394471" w:rsidP="00964CC4">
            <w:pPr>
              <w:pStyle w:val="TAH"/>
              <w:rPr>
                <w:lang w:eastAsia="sv-SE"/>
              </w:rPr>
            </w:pPr>
            <w:r w:rsidRPr="00FA0D37">
              <w:rPr>
                <w:lang w:eastAsia="sv-SE"/>
              </w:rPr>
              <w:t>Explanation</w:t>
            </w:r>
          </w:p>
        </w:tc>
      </w:tr>
      <w:tr w:rsidR="00375B89" w:rsidRPr="00FA0D37"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FA0D37" w:rsidRDefault="00394471" w:rsidP="00964CC4">
            <w:pPr>
              <w:pStyle w:val="TAL"/>
              <w:rPr>
                <w:rFonts w:cs="Arial"/>
                <w:i/>
                <w:lang w:eastAsia="sv-SE"/>
              </w:rPr>
            </w:pPr>
            <w:r w:rsidRPr="00FA0D37">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FA0D37" w:rsidRDefault="00394471" w:rsidP="00964CC4">
            <w:pPr>
              <w:pStyle w:val="TAL"/>
              <w:rPr>
                <w:lang w:eastAsia="sv-SE"/>
              </w:rPr>
            </w:pPr>
            <w:r w:rsidRPr="00FA0D37">
              <w:rPr>
                <w:lang w:eastAsia="sv-SE"/>
              </w:rPr>
              <w:t xml:space="preserve">The field is mandatory present if the </w:t>
            </w:r>
            <w:r w:rsidRPr="00FA0D37">
              <w:rPr>
                <w:i/>
                <w:lang w:eastAsia="sv-SE"/>
              </w:rPr>
              <w:t>cif-Presence</w:t>
            </w:r>
            <w:r w:rsidRPr="00FA0D37">
              <w:rPr>
                <w:lang w:eastAsia="sv-SE"/>
              </w:rPr>
              <w:t xml:space="preserve"> is set to </w:t>
            </w:r>
            <w:r w:rsidRPr="00FA0D37">
              <w:rPr>
                <w:i/>
                <w:lang w:eastAsia="en-GB"/>
              </w:rPr>
              <w:t>true</w:t>
            </w:r>
            <w:r w:rsidRPr="00FA0D37">
              <w:rPr>
                <w:lang w:eastAsia="sv-SE"/>
              </w:rPr>
              <w:t>. The field is absent otherwise.</w:t>
            </w:r>
          </w:p>
        </w:tc>
      </w:tr>
    </w:tbl>
    <w:p w14:paraId="2B89C1F6" w14:textId="77777777" w:rsidR="00394471" w:rsidRPr="00FA0D37" w:rsidRDefault="00394471" w:rsidP="00394471"/>
    <w:p w14:paraId="5EE2CDB0" w14:textId="77777777" w:rsidR="00394471" w:rsidRPr="00FA0D37" w:rsidRDefault="00394471" w:rsidP="00394471">
      <w:pPr>
        <w:pStyle w:val="4"/>
      </w:pPr>
      <w:bookmarkStart w:id="973" w:name="_Toc60777210"/>
      <w:bookmarkStart w:id="974" w:name="_Toc146781257"/>
      <w:r w:rsidRPr="00FA0D37">
        <w:t>–</w:t>
      </w:r>
      <w:r w:rsidRPr="00FA0D37">
        <w:tab/>
      </w:r>
      <w:r w:rsidRPr="00FA0D37">
        <w:rPr>
          <w:i/>
        </w:rPr>
        <w:t>CSI-AperiodicTriggerStateList</w:t>
      </w:r>
      <w:bookmarkEnd w:id="973"/>
      <w:bookmarkEnd w:id="974"/>
    </w:p>
    <w:p w14:paraId="3DF9B22D" w14:textId="77777777" w:rsidR="00394471" w:rsidRPr="00FA0D37" w:rsidRDefault="00394471" w:rsidP="00394471">
      <w:r w:rsidRPr="00FA0D37">
        <w:t xml:space="preserve">The </w:t>
      </w:r>
      <w:r w:rsidRPr="00FA0D37">
        <w:rPr>
          <w:i/>
        </w:rPr>
        <w:t xml:space="preserve">CSI-AperiodicTriggerStateList </w:t>
      </w:r>
      <w:r w:rsidRPr="00FA0D37">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A0D37">
        <w:rPr>
          <w:i/>
        </w:rPr>
        <w:t>associatedReportConfigInfoList</w:t>
      </w:r>
      <w:r w:rsidRPr="00FA0D37">
        <w:t xml:space="preserve"> for that trigger state.</w:t>
      </w:r>
    </w:p>
    <w:p w14:paraId="2F354F00" w14:textId="77777777" w:rsidR="00394471" w:rsidRPr="00FA0D37" w:rsidRDefault="00394471" w:rsidP="00394471">
      <w:pPr>
        <w:pStyle w:val="TH"/>
      </w:pPr>
      <w:r w:rsidRPr="00FA0D37">
        <w:rPr>
          <w:i/>
        </w:rPr>
        <w:lastRenderedPageBreak/>
        <w:t xml:space="preserve">CSI-AperiodicTriggerStateList </w:t>
      </w:r>
      <w:r w:rsidRPr="00FA0D37">
        <w:t>information element</w:t>
      </w:r>
    </w:p>
    <w:p w14:paraId="2B2486FF" w14:textId="77777777" w:rsidR="00394471" w:rsidRPr="00FA0D37" w:rsidRDefault="00394471" w:rsidP="00FA0D37">
      <w:pPr>
        <w:pStyle w:val="PL"/>
        <w:rPr>
          <w:color w:val="808080"/>
        </w:rPr>
      </w:pPr>
      <w:r w:rsidRPr="00FA0D37">
        <w:rPr>
          <w:color w:val="808080"/>
        </w:rPr>
        <w:t>-- ASN1START</w:t>
      </w:r>
    </w:p>
    <w:p w14:paraId="335BAFDE" w14:textId="77777777" w:rsidR="00394471" w:rsidRPr="00FA0D37" w:rsidRDefault="00394471" w:rsidP="00FA0D37">
      <w:pPr>
        <w:pStyle w:val="PL"/>
        <w:rPr>
          <w:color w:val="808080"/>
        </w:rPr>
      </w:pPr>
      <w:r w:rsidRPr="00FA0D37">
        <w:rPr>
          <w:color w:val="808080"/>
        </w:rPr>
        <w:t>-- TAG-CSI-APERIODICTRIGGERSTATELIST-START</w:t>
      </w:r>
    </w:p>
    <w:p w14:paraId="5F769936" w14:textId="77777777" w:rsidR="00394471" w:rsidRPr="00FA0D37" w:rsidRDefault="00394471" w:rsidP="00FA0D37">
      <w:pPr>
        <w:pStyle w:val="PL"/>
      </w:pPr>
    </w:p>
    <w:p w14:paraId="63E083FB" w14:textId="77777777" w:rsidR="00394471" w:rsidRPr="00FA0D37" w:rsidRDefault="00394471" w:rsidP="00FA0D37">
      <w:pPr>
        <w:pStyle w:val="PL"/>
      </w:pPr>
      <w:r w:rsidRPr="00FA0D37">
        <w:t xml:space="preserve">CSI-AperiodicTriggerStateList ::=   </w:t>
      </w:r>
      <w:r w:rsidRPr="00FA0D37">
        <w:rPr>
          <w:color w:val="993366"/>
        </w:rPr>
        <w:t>SEQUENCE</w:t>
      </w:r>
      <w:r w:rsidRPr="00FA0D37">
        <w:t xml:space="preserve"> (</w:t>
      </w:r>
      <w:r w:rsidRPr="00FA0D37">
        <w:rPr>
          <w:color w:val="993366"/>
        </w:rPr>
        <w:t>SIZE</w:t>
      </w:r>
      <w:r w:rsidRPr="00FA0D37">
        <w:t xml:space="preserve"> (1..maxNrOfCSI-AperiodicTriggers))</w:t>
      </w:r>
      <w:r w:rsidRPr="00FA0D37">
        <w:rPr>
          <w:color w:val="993366"/>
        </w:rPr>
        <w:t xml:space="preserve"> OF</w:t>
      </w:r>
      <w:r w:rsidRPr="00FA0D37">
        <w:t xml:space="preserve"> CSI-AperiodicTriggerState</w:t>
      </w:r>
    </w:p>
    <w:p w14:paraId="37342C72" w14:textId="77777777" w:rsidR="00394471" w:rsidRPr="00FA0D37" w:rsidRDefault="00394471" w:rsidP="00FA0D37">
      <w:pPr>
        <w:pStyle w:val="PL"/>
      </w:pPr>
    </w:p>
    <w:p w14:paraId="6799D958" w14:textId="77777777" w:rsidR="00394471" w:rsidRPr="00FA0D37" w:rsidRDefault="00394471" w:rsidP="00FA0D37">
      <w:pPr>
        <w:pStyle w:val="PL"/>
      </w:pPr>
      <w:r w:rsidRPr="00FA0D37">
        <w:t xml:space="preserve">CSI-AperiodicTriggerState ::=       </w:t>
      </w:r>
      <w:r w:rsidRPr="00FA0D37">
        <w:rPr>
          <w:color w:val="993366"/>
        </w:rPr>
        <w:t>SEQUENCE</w:t>
      </w:r>
      <w:r w:rsidRPr="00FA0D37">
        <w:t xml:space="preserve"> {</w:t>
      </w:r>
    </w:p>
    <w:p w14:paraId="1433ED32" w14:textId="77777777" w:rsidR="00394471" w:rsidRPr="00FA0D37" w:rsidRDefault="00394471" w:rsidP="00FA0D37">
      <w:pPr>
        <w:pStyle w:val="PL"/>
      </w:pPr>
      <w:r w:rsidRPr="00FA0D37">
        <w:t xml:space="preserve">    associatedReportConfigInfoList      </w:t>
      </w:r>
      <w:r w:rsidRPr="00FA0D37">
        <w:rPr>
          <w:color w:val="993366"/>
        </w:rPr>
        <w:t>SEQUENCE</w:t>
      </w:r>
      <w:r w:rsidRPr="00FA0D37">
        <w:t xml:space="preserve"> (</w:t>
      </w:r>
      <w:r w:rsidRPr="00FA0D37">
        <w:rPr>
          <w:color w:val="993366"/>
        </w:rPr>
        <w:t>SIZE</w:t>
      </w:r>
      <w:r w:rsidRPr="00FA0D37">
        <w:t>(1..maxNrofReportConfigPerAperiodicTrigger))</w:t>
      </w:r>
      <w:r w:rsidRPr="00FA0D37">
        <w:rPr>
          <w:color w:val="993366"/>
        </w:rPr>
        <w:t xml:space="preserve"> OF</w:t>
      </w:r>
      <w:r w:rsidRPr="00FA0D37">
        <w:t xml:space="preserve"> CSI-AssociatedReportConfigInfo,</w:t>
      </w:r>
    </w:p>
    <w:p w14:paraId="1FBBF00F" w14:textId="513BBA9E" w:rsidR="0005240D" w:rsidRPr="00FA0D37" w:rsidRDefault="00394471" w:rsidP="00FA0D37">
      <w:pPr>
        <w:pStyle w:val="PL"/>
      </w:pPr>
      <w:r w:rsidRPr="00FA0D37">
        <w:t xml:space="preserve">    ...</w:t>
      </w:r>
      <w:r w:rsidR="0005240D" w:rsidRPr="00FA0D37">
        <w:t>,</w:t>
      </w:r>
    </w:p>
    <w:p w14:paraId="07F53CA1" w14:textId="77777777" w:rsidR="0005240D" w:rsidRPr="00FA0D37" w:rsidRDefault="0005240D" w:rsidP="00FA0D37">
      <w:pPr>
        <w:pStyle w:val="PL"/>
      </w:pPr>
      <w:r w:rsidRPr="00FA0D37">
        <w:t xml:space="preserve">    [[</w:t>
      </w:r>
    </w:p>
    <w:p w14:paraId="6623A369" w14:textId="433268F2" w:rsidR="0005240D" w:rsidRPr="00FA0D37" w:rsidRDefault="0005240D" w:rsidP="00FA0D37">
      <w:pPr>
        <w:pStyle w:val="PL"/>
        <w:rPr>
          <w:color w:val="808080"/>
        </w:rPr>
      </w:pPr>
      <w:r w:rsidRPr="00FA0D37">
        <w:t xml:space="preserve">    ap-CSI-MultiplexingMode-r17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71F640B" w14:textId="0040D275" w:rsidR="00394471" w:rsidRPr="00FA0D37" w:rsidRDefault="0005240D" w:rsidP="00FA0D37">
      <w:pPr>
        <w:pStyle w:val="PL"/>
      </w:pPr>
      <w:r w:rsidRPr="00FA0D37">
        <w:t xml:space="preserve">    ]]</w:t>
      </w:r>
    </w:p>
    <w:p w14:paraId="7A4DBB68" w14:textId="77777777" w:rsidR="00394471" w:rsidRPr="00FA0D37" w:rsidRDefault="00394471" w:rsidP="00FA0D37">
      <w:pPr>
        <w:pStyle w:val="PL"/>
      </w:pPr>
      <w:r w:rsidRPr="00FA0D37">
        <w:t>}</w:t>
      </w:r>
    </w:p>
    <w:p w14:paraId="131B7494" w14:textId="77777777" w:rsidR="00394471" w:rsidRPr="00FA0D37" w:rsidRDefault="00394471" w:rsidP="00FA0D37">
      <w:pPr>
        <w:pStyle w:val="PL"/>
      </w:pPr>
    </w:p>
    <w:p w14:paraId="1F54058B" w14:textId="77777777" w:rsidR="00394471" w:rsidRPr="00FA0D37" w:rsidRDefault="00394471" w:rsidP="00FA0D37">
      <w:pPr>
        <w:pStyle w:val="PL"/>
      </w:pPr>
      <w:r w:rsidRPr="00FA0D37">
        <w:t xml:space="preserve">CSI-AssociatedReportConfigInfo ::=  </w:t>
      </w:r>
      <w:r w:rsidRPr="00FA0D37">
        <w:rPr>
          <w:color w:val="993366"/>
        </w:rPr>
        <w:t>SEQUENCE</w:t>
      </w:r>
      <w:r w:rsidRPr="00FA0D37">
        <w:t xml:space="preserve"> {</w:t>
      </w:r>
    </w:p>
    <w:p w14:paraId="75656CAD" w14:textId="77777777" w:rsidR="00394471" w:rsidRPr="00FA0D37" w:rsidRDefault="00394471" w:rsidP="00FA0D37">
      <w:pPr>
        <w:pStyle w:val="PL"/>
      </w:pPr>
      <w:r w:rsidRPr="00FA0D37">
        <w:t xml:space="preserve">    reportConfigId                      CSI-ReportConfigId,</w:t>
      </w:r>
    </w:p>
    <w:p w14:paraId="4F07181E" w14:textId="77777777" w:rsidR="00394471" w:rsidRPr="00FA0D37" w:rsidRDefault="00394471" w:rsidP="00FA0D37">
      <w:pPr>
        <w:pStyle w:val="PL"/>
      </w:pPr>
      <w:r w:rsidRPr="00FA0D37">
        <w:t xml:space="preserve">    resourcesForChannel                 </w:t>
      </w:r>
      <w:r w:rsidRPr="00FA0D37">
        <w:rPr>
          <w:color w:val="993366"/>
        </w:rPr>
        <w:t>CHOICE</w:t>
      </w:r>
      <w:r w:rsidRPr="00FA0D37">
        <w:t xml:space="preserve"> {</w:t>
      </w:r>
    </w:p>
    <w:p w14:paraId="5E3506B2" w14:textId="77777777" w:rsidR="00394471" w:rsidRPr="00FA0D37" w:rsidRDefault="00394471" w:rsidP="00FA0D37">
      <w:pPr>
        <w:pStyle w:val="PL"/>
      </w:pPr>
      <w:r w:rsidRPr="00FA0D37">
        <w:t xml:space="preserve">        nzp-CSI-RS                          </w:t>
      </w:r>
      <w:r w:rsidRPr="00FA0D37">
        <w:rPr>
          <w:color w:val="993366"/>
        </w:rPr>
        <w:t>SEQUENCE</w:t>
      </w:r>
      <w:r w:rsidRPr="00FA0D37">
        <w:t xml:space="preserve"> {</w:t>
      </w:r>
    </w:p>
    <w:p w14:paraId="334EC5AA" w14:textId="77777777" w:rsidR="00394471" w:rsidRPr="00FA0D37" w:rsidRDefault="00394471" w:rsidP="00FA0D37">
      <w:pPr>
        <w:pStyle w:val="PL"/>
      </w:pPr>
      <w:r w:rsidRPr="00FA0D37">
        <w:t xml:space="preserve">            resourceSet                         </w:t>
      </w:r>
      <w:r w:rsidRPr="00FA0D37">
        <w:rPr>
          <w:color w:val="993366"/>
        </w:rPr>
        <w:t>INTEGER</w:t>
      </w:r>
      <w:r w:rsidRPr="00FA0D37">
        <w:t xml:space="preserve"> (1..maxNrofNZP-CSI-RS-ResourceSetsPerConfig),</w:t>
      </w:r>
    </w:p>
    <w:p w14:paraId="7001CCEB" w14:textId="77777777" w:rsidR="00394471" w:rsidRPr="00FA0D37" w:rsidRDefault="00394471" w:rsidP="00FA0D37">
      <w:pPr>
        <w:pStyle w:val="PL"/>
      </w:pPr>
      <w:r w:rsidRPr="00FA0D37">
        <w:t xml:space="preserve">            qcl-info                            </w:t>
      </w:r>
      <w:r w:rsidRPr="00FA0D37">
        <w:rPr>
          <w:color w:val="993366"/>
        </w:rPr>
        <w:t>SEQUENCE</w:t>
      </w:r>
      <w:r w:rsidRPr="00FA0D37">
        <w:t xml:space="preserve"> (</w:t>
      </w:r>
      <w:r w:rsidRPr="00FA0D37">
        <w:rPr>
          <w:color w:val="993366"/>
        </w:rPr>
        <w:t>SIZE</w:t>
      </w:r>
      <w:r w:rsidRPr="00FA0D37">
        <w:t>(1..maxNrofAP-CSI-RS-ResourcesPerSet))</w:t>
      </w:r>
      <w:r w:rsidRPr="00FA0D37">
        <w:rPr>
          <w:color w:val="993366"/>
        </w:rPr>
        <w:t xml:space="preserve"> OF</w:t>
      </w:r>
      <w:r w:rsidRPr="00FA0D37">
        <w:t xml:space="preserve"> TCI-StateId</w:t>
      </w:r>
    </w:p>
    <w:p w14:paraId="101F3C20"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Cond Aperiodic</w:t>
      </w:r>
    </w:p>
    <w:p w14:paraId="195248B5" w14:textId="77777777" w:rsidR="00394471" w:rsidRPr="00FA0D37" w:rsidRDefault="00394471" w:rsidP="00FA0D37">
      <w:pPr>
        <w:pStyle w:val="PL"/>
      </w:pPr>
      <w:r w:rsidRPr="00FA0D37">
        <w:t xml:space="preserve">        },</w:t>
      </w:r>
    </w:p>
    <w:p w14:paraId="04BBFA42" w14:textId="77777777" w:rsidR="00394471" w:rsidRPr="00FA0D37" w:rsidRDefault="00394471" w:rsidP="00FA0D37">
      <w:pPr>
        <w:pStyle w:val="PL"/>
      </w:pPr>
      <w:r w:rsidRPr="00FA0D37">
        <w:t xml:space="preserve">        csi-SSB-ResourceSet                 </w:t>
      </w:r>
      <w:r w:rsidRPr="00FA0D37">
        <w:rPr>
          <w:color w:val="993366"/>
        </w:rPr>
        <w:t>INTEGER</w:t>
      </w:r>
      <w:r w:rsidRPr="00FA0D37">
        <w:t xml:space="preserve"> (1..maxNrofCSI-SSB-ResourceSetsPerConfig)</w:t>
      </w:r>
    </w:p>
    <w:p w14:paraId="3A7C79CA" w14:textId="77777777" w:rsidR="00394471" w:rsidRPr="00FA0D37" w:rsidRDefault="00394471" w:rsidP="00FA0D37">
      <w:pPr>
        <w:pStyle w:val="PL"/>
      </w:pPr>
      <w:r w:rsidRPr="00FA0D37">
        <w:t xml:space="preserve">    },</w:t>
      </w:r>
    </w:p>
    <w:p w14:paraId="5458FC9E" w14:textId="77777777" w:rsidR="00394471" w:rsidRPr="00FA0D37" w:rsidRDefault="00394471" w:rsidP="00FA0D37">
      <w:pPr>
        <w:pStyle w:val="PL"/>
        <w:rPr>
          <w:color w:val="808080"/>
        </w:rPr>
      </w:pPr>
      <w:r w:rsidRPr="00FA0D37">
        <w:t xml:space="preserve">    csi-IM-ResourcesForInterference     </w:t>
      </w:r>
      <w:r w:rsidRPr="00FA0D37">
        <w:rPr>
          <w:color w:val="993366"/>
        </w:rPr>
        <w:t>INTEGER</w:t>
      </w:r>
      <w:r w:rsidRPr="00FA0D37">
        <w:t xml:space="preserve">(1..maxNrofCSI-IM-ResourceSetsPerConfig)               </w:t>
      </w:r>
      <w:r w:rsidRPr="00FA0D37">
        <w:rPr>
          <w:color w:val="993366"/>
        </w:rPr>
        <w:t>OPTIONAL</w:t>
      </w:r>
      <w:r w:rsidRPr="00FA0D37">
        <w:t xml:space="preserve">, </w:t>
      </w:r>
      <w:r w:rsidRPr="00FA0D37">
        <w:rPr>
          <w:color w:val="808080"/>
        </w:rPr>
        <w:t>-- Cond CSI-IM-ForInterference</w:t>
      </w:r>
    </w:p>
    <w:p w14:paraId="74E0291D" w14:textId="77777777" w:rsidR="00394471" w:rsidRPr="00FA0D37" w:rsidRDefault="00394471" w:rsidP="00FA0D37">
      <w:pPr>
        <w:pStyle w:val="PL"/>
        <w:rPr>
          <w:color w:val="808080"/>
        </w:rPr>
      </w:pPr>
      <w:r w:rsidRPr="00FA0D37">
        <w:t xml:space="preserve">    nzp-CSI-RS-ResourcesForInterference </w:t>
      </w:r>
      <w:r w:rsidRPr="00FA0D37">
        <w:rPr>
          <w:color w:val="993366"/>
        </w:rPr>
        <w:t>INTEGER</w:t>
      </w:r>
      <w:r w:rsidRPr="00FA0D37">
        <w:t xml:space="preserve"> (1..maxNrofNZP-CSI-RS-ResourceSetsPerConfig)          </w:t>
      </w:r>
      <w:r w:rsidRPr="00FA0D37">
        <w:rPr>
          <w:color w:val="993366"/>
        </w:rPr>
        <w:t>OPTIONAL</w:t>
      </w:r>
      <w:r w:rsidRPr="00FA0D37">
        <w:t xml:space="preserve">, </w:t>
      </w:r>
      <w:r w:rsidRPr="00FA0D37">
        <w:rPr>
          <w:color w:val="808080"/>
        </w:rPr>
        <w:t>-- Cond NZP-CSI-RS-ForInterference</w:t>
      </w:r>
    </w:p>
    <w:p w14:paraId="3B9D043C" w14:textId="2DC50B69" w:rsidR="00606C47" w:rsidRPr="00FA0D37" w:rsidRDefault="00394471" w:rsidP="00FA0D37">
      <w:pPr>
        <w:pStyle w:val="PL"/>
      </w:pPr>
      <w:r w:rsidRPr="00FA0D37">
        <w:t xml:space="preserve">    ...</w:t>
      </w:r>
      <w:r w:rsidR="00606C47" w:rsidRPr="00FA0D37">
        <w:t>,</w:t>
      </w:r>
    </w:p>
    <w:p w14:paraId="56963711" w14:textId="11B83D54" w:rsidR="00394471" w:rsidRPr="00FA0D37" w:rsidRDefault="00606C47" w:rsidP="00FA0D37">
      <w:pPr>
        <w:pStyle w:val="PL"/>
      </w:pPr>
      <w:r w:rsidRPr="00FA0D37">
        <w:t xml:space="preserve">    [[</w:t>
      </w:r>
    </w:p>
    <w:p w14:paraId="3E3EE300" w14:textId="60374AB2" w:rsidR="00606C47" w:rsidRPr="00FA0D37" w:rsidRDefault="00606C47" w:rsidP="00FA0D37">
      <w:pPr>
        <w:pStyle w:val="PL"/>
      </w:pPr>
      <w:r w:rsidRPr="00FA0D37">
        <w:t xml:space="preserve">    resourcesForChannel2-r17        </w:t>
      </w:r>
      <w:r w:rsidRPr="00FA0D37">
        <w:rPr>
          <w:color w:val="993366"/>
        </w:rPr>
        <w:t>CHOICE</w:t>
      </w:r>
      <w:r w:rsidRPr="00FA0D37">
        <w:t xml:space="preserve"> {</w:t>
      </w:r>
    </w:p>
    <w:p w14:paraId="0D973EDC" w14:textId="39ED2F8B" w:rsidR="00606C47" w:rsidRPr="00FA0D37" w:rsidRDefault="00606C47" w:rsidP="00FA0D37">
      <w:pPr>
        <w:pStyle w:val="PL"/>
      </w:pPr>
      <w:r w:rsidRPr="00FA0D37">
        <w:t xml:space="preserve">        nzp-CSI-RS2-r17                 </w:t>
      </w:r>
      <w:r w:rsidRPr="00FA0D37">
        <w:rPr>
          <w:color w:val="993366"/>
        </w:rPr>
        <w:t>SEQUENCE</w:t>
      </w:r>
      <w:r w:rsidRPr="00FA0D37">
        <w:t xml:space="preserve"> {</w:t>
      </w:r>
    </w:p>
    <w:p w14:paraId="7E5338D0" w14:textId="40159D76" w:rsidR="00606C47" w:rsidRPr="00FA0D37" w:rsidRDefault="00606C47" w:rsidP="00FA0D37">
      <w:pPr>
        <w:pStyle w:val="PL"/>
      </w:pPr>
      <w:r w:rsidRPr="00FA0D37">
        <w:t xml:space="preserve">            resourceSet2-r17                </w:t>
      </w:r>
      <w:r w:rsidRPr="00FA0D37">
        <w:rPr>
          <w:color w:val="993366"/>
        </w:rPr>
        <w:t>INTEGER</w:t>
      </w:r>
      <w:r w:rsidRPr="00FA0D37">
        <w:t xml:space="preserve"> (1..maxNrofNZP-CSI-RS-ResourceSetsPerConfig),</w:t>
      </w:r>
    </w:p>
    <w:p w14:paraId="59B77AEC" w14:textId="21E7A929" w:rsidR="00606C47" w:rsidRPr="00FA0D37" w:rsidRDefault="00606C47" w:rsidP="00FA0D37">
      <w:pPr>
        <w:pStyle w:val="PL"/>
      </w:pPr>
      <w:r w:rsidRPr="00FA0D37">
        <w:t xml:space="preserve">            qcl-info2-r17                   </w:t>
      </w:r>
      <w:r w:rsidRPr="00FA0D37">
        <w:rPr>
          <w:color w:val="993366"/>
        </w:rPr>
        <w:t>SEQUENCE</w:t>
      </w:r>
      <w:r w:rsidRPr="00FA0D37">
        <w:t xml:space="preserve"> (</w:t>
      </w:r>
      <w:r w:rsidRPr="00FA0D37">
        <w:rPr>
          <w:color w:val="993366"/>
        </w:rPr>
        <w:t>SIZE</w:t>
      </w:r>
      <w:r w:rsidRPr="00FA0D37">
        <w:t>(1..maxNrofAP-CSI-RS-ResourcesPerSet))</w:t>
      </w:r>
      <w:r w:rsidRPr="00FA0D37">
        <w:rPr>
          <w:color w:val="993366"/>
        </w:rPr>
        <w:t xml:space="preserve"> OF</w:t>
      </w:r>
      <w:r w:rsidRPr="00FA0D37">
        <w:t xml:space="preserve"> TCI-StateId</w:t>
      </w:r>
    </w:p>
    <w:p w14:paraId="6EF39735" w14:textId="2BBD51A2" w:rsidR="00606C47" w:rsidRPr="00FA0D37" w:rsidRDefault="00606C47" w:rsidP="00FA0D37">
      <w:pPr>
        <w:pStyle w:val="PL"/>
        <w:rPr>
          <w:color w:val="808080"/>
        </w:rPr>
      </w:pPr>
      <w:r w:rsidRPr="00FA0D37">
        <w:t xml:space="preserve">                                                                                              </w:t>
      </w:r>
      <w:r w:rsidR="00C01388" w:rsidRPr="00FA0D37">
        <w:t xml:space="preserve">    </w:t>
      </w:r>
      <w:r w:rsidRPr="00FA0D37">
        <w:rPr>
          <w:color w:val="993366"/>
        </w:rPr>
        <w:t>OPTIONAL</w:t>
      </w:r>
      <w:r w:rsidRPr="00FA0D37">
        <w:t xml:space="preserve">  </w:t>
      </w:r>
      <w:r w:rsidR="00C01388" w:rsidRPr="00FA0D37">
        <w:t xml:space="preserve"> </w:t>
      </w:r>
      <w:r w:rsidRPr="00FA0D37">
        <w:rPr>
          <w:color w:val="808080"/>
        </w:rPr>
        <w:t>-- Cond Aperiodic</w:t>
      </w:r>
    </w:p>
    <w:p w14:paraId="11FCC68A" w14:textId="77777777" w:rsidR="00606C47" w:rsidRPr="00FA0D37" w:rsidRDefault="00606C47" w:rsidP="00FA0D37">
      <w:pPr>
        <w:pStyle w:val="PL"/>
      </w:pPr>
      <w:r w:rsidRPr="00FA0D37">
        <w:t xml:space="preserve">        },</w:t>
      </w:r>
    </w:p>
    <w:p w14:paraId="29596065" w14:textId="5B8F5766" w:rsidR="00606C47" w:rsidRPr="00FA0D37" w:rsidRDefault="00606C47" w:rsidP="00FA0D37">
      <w:pPr>
        <w:pStyle w:val="PL"/>
      </w:pPr>
      <w:r w:rsidRPr="00FA0D37">
        <w:t xml:space="preserve">        csi-SSB-ResourceSet2-r17        </w:t>
      </w:r>
      <w:r w:rsidRPr="00FA0D37">
        <w:rPr>
          <w:color w:val="993366"/>
        </w:rPr>
        <w:t>INTEGER</w:t>
      </w:r>
      <w:r w:rsidRPr="00FA0D37">
        <w:t xml:space="preserve"> (1..maxNrofCSI-SSB-ResourceSetsPerConfigExt)</w:t>
      </w:r>
    </w:p>
    <w:p w14:paraId="2BBAE1DE" w14:textId="51131CC0" w:rsidR="00606C47" w:rsidRPr="00FA0D37" w:rsidRDefault="00606C47" w:rsidP="00FA0D37">
      <w:pPr>
        <w:pStyle w:val="PL"/>
        <w:rPr>
          <w:color w:val="808080"/>
        </w:rPr>
      </w:pPr>
      <w:r w:rsidRPr="00FA0D37">
        <w:t xml:space="preserve">    }                                                                                             </w:t>
      </w:r>
      <w:r w:rsidRPr="00FA0D37">
        <w:rPr>
          <w:color w:val="993366"/>
        </w:rPr>
        <w:t>OPTIONAL</w:t>
      </w:r>
      <w:r w:rsidRPr="00FA0D37">
        <w:t xml:space="preserve">,  </w:t>
      </w:r>
      <w:r w:rsidRPr="00FA0D37">
        <w:rPr>
          <w:color w:val="808080"/>
        </w:rPr>
        <w:t xml:space="preserve">-- </w:t>
      </w:r>
      <w:r w:rsidR="00261E44" w:rsidRPr="00FA0D37">
        <w:rPr>
          <w:color w:val="808080"/>
        </w:rPr>
        <w:t>Cond NoUnifiedTCI</w:t>
      </w:r>
    </w:p>
    <w:p w14:paraId="3B77D711" w14:textId="039B9BA2" w:rsidR="00606C47" w:rsidRPr="00FA0D37" w:rsidRDefault="00606C47" w:rsidP="00FA0D37">
      <w:pPr>
        <w:pStyle w:val="PL"/>
        <w:rPr>
          <w:color w:val="808080"/>
        </w:rPr>
      </w:pPr>
      <w:r w:rsidRPr="00FA0D37">
        <w:t xml:space="preserve">    csi-SSB-ResourceSetExt          </w:t>
      </w:r>
      <w:r w:rsidRPr="00FA0D37">
        <w:rPr>
          <w:color w:val="993366"/>
        </w:rPr>
        <w:t>INTEGER</w:t>
      </w:r>
      <w:r w:rsidRPr="00FA0D37">
        <w:t xml:space="preserve"> (1..maxNrofCSI-SSB-ResourceSetsPerConfigExt) </w:t>
      </w:r>
      <w:r w:rsidR="00C01388" w:rsidRPr="00FA0D37">
        <w:t xml:space="preserve">         </w:t>
      </w:r>
      <w:r w:rsidRPr="00FA0D37">
        <w:rPr>
          <w:color w:val="993366"/>
        </w:rPr>
        <w:t>OPTIONAL</w:t>
      </w:r>
      <w:r w:rsidRPr="00FA0D37">
        <w:t xml:space="preserve"> </w:t>
      </w:r>
      <w:r w:rsidR="00C01388" w:rsidRPr="00FA0D37">
        <w:t xml:space="preserve"> </w:t>
      </w:r>
      <w:r w:rsidRPr="00FA0D37">
        <w:t xml:space="preserve"> </w:t>
      </w:r>
      <w:r w:rsidRPr="00FA0D37">
        <w:rPr>
          <w:color w:val="808080"/>
        </w:rPr>
        <w:t>-- Need R</w:t>
      </w:r>
    </w:p>
    <w:p w14:paraId="33F3514C" w14:textId="77777777" w:rsidR="00606C47" w:rsidRPr="00FA0D37" w:rsidRDefault="00606C47" w:rsidP="00FA0D37">
      <w:pPr>
        <w:pStyle w:val="PL"/>
      </w:pPr>
      <w:r w:rsidRPr="00FA0D37">
        <w:t xml:space="preserve">    ]]</w:t>
      </w:r>
    </w:p>
    <w:p w14:paraId="5BCB78FE" w14:textId="40A5CE97" w:rsidR="00394471" w:rsidRPr="00FA0D37" w:rsidRDefault="00394471" w:rsidP="00FA0D37">
      <w:pPr>
        <w:pStyle w:val="PL"/>
      </w:pPr>
      <w:r w:rsidRPr="00FA0D37">
        <w:t>}</w:t>
      </w:r>
    </w:p>
    <w:p w14:paraId="27ED7EBE" w14:textId="77777777" w:rsidR="00394471" w:rsidRPr="00FA0D37" w:rsidRDefault="00394471" w:rsidP="00FA0D37">
      <w:pPr>
        <w:pStyle w:val="PL"/>
      </w:pPr>
    </w:p>
    <w:p w14:paraId="5D240A06" w14:textId="77777777" w:rsidR="00394471" w:rsidRPr="00FA0D37" w:rsidRDefault="00394471" w:rsidP="00FA0D37">
      <w:pPr>
        <w:pStyle w:val="PL"/>
        <w:rPr>
          <w:color w:val="808080"/>
        </w:rPr>
      </w:pPr>
      <w:r w:rsidRPr="00FA0D37">
        <w:rPr>
          <w:color w:val="808080"/>
        </w:rPr>
        <w:t>-- TAG-CSI-APERIODICTRIGGERSTATELIST-STOP</w:t>
      </w:r>
    </w:p>
    <w:p w14:paraId="4AA18190" w14:textId="77777777" w:rsidR="00394471" w:rsidRPr="00FA0D37" w:rsidRDefault="00394471" w:rsidP="00FA0D37">
      <w:pPr>
        <w:pStyle w:val="PL"/>
        <w:rPr>
          <w:color w:val="808080"/>
        </w:rPr>
      </w:pPr>
      <w:r w:rsidRPr="00FA0D37">
        <w:rPr>
          <w:color w:val="808080"/>
        </w:rPr>
        <w:t>-- ASN1STOP</w:t>
      </w:r>
    </w:p>
    <w:p w14:paraId="30F4550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FA0D37" w:rsidRDefault="00394471" w:rsidP="00964CC4">
            <w:pPr>
              <w:pStyle w:val="TAH"/>
              <w:rPr>
                <w:szCs w:val="22"/>
                <w:lang w:eastAsia="sv-SE"/>
              </w:rPr>
            </w:pPr>
            <w:r w:rsidRPr="00FA0D37">
              <w:rPr>
                <w:i/>
                <w:szCs w:val="22"/>
                <w:lang w:eastAsia="sv-SE"/>
              </w:rPr>
              <w:lastRenderedPageBreak/>
              <w:t xml:space="preserve">CSI-AssociatedReportConfigInfo </w:t>
            </w:r>
            <w:r w:rsidRPr="00FA0D37">
              <w:rPr>
                <w:szCs w:val="22"/>
                <w:lang w:eastAsia="sv-SE"/>
              </w:rPr>
              <w:t>field descriptions</w:t>
            </w:r>
          </w:p>
        </w:tc>
      </w:tr>
      <w:tr w:rsidR="005C7FF4" w:rsidRPr="00FA0D37"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FA0D37" w:rsidRDefault="00C01388" w:rsidP="00771058">
            <w:pPr>
              <w:pStyle w:val="TAL"/>
              <w:rPr>
                <w:b/>
                <w:i/>
                <w:szCs w:val="22"/>
                <w:lang w:eastAsia="sv-SE"/>
              </w:rPr>
            </w:pPr>
            <w:r w:rsidRPr="00FA0D37">
              <w:rPr>
                <w:b/>
                <w:i/>
                <w:szCs w:val="22"/>
                <w:lang w:eastAsia="sv-SE"/>
              </w:rPr>
              <w:t>ap-CSI-MultiplexingMode</w:t>
            </w:r>
          </w:p>
          <w:p w14:paraId="6784FD2E" w14:textId="4DAC3047" w:rsidR="00C01388" w:rsidRPr="00FA0D37" w:rsidRDefault="00C01388" w:rsidP="00771058">
            <w:pPr>
              <w:pStyle w:val="TAL"/>
              <w:rPr>
                <w:bCs/>
                <w:iCs/>
                <w:szCs w:val="22"/>
                <w:lang w:eastAsia="sv-SE"/>
              </w:rPr>
            </w:pPr>
            <w:r w:rsidRPr="00FA0D37">
              <w:rPr>
                <w:bCs/>
                <w:iCs/>
                <w:szCs w:val="22"/>
                <w:lang w:eastAsia="sv-SE"/>
              </w:rPr>
              <w:t xml:space="preserve">Indicates if the behavior of transmitting aperiodic CSI on the first PUSCH repetitions corresponding to two SRS resource sets </w:t>
            </w:r>
            <w:r w:rsidR="00261E44" w:rsidRPr="00FA0D37">
              <w:rPr>
                <w:lang w:eastAsia="x-none"/>
              </w:rPr>
              <w:t xml:space="preserve">configured in </w:t>
            </w:r>
            <w:r w:rsidR="00261E44" w:rsidRPr="00FA0D37">
              <w:rPr>
                <w:rFonts w:cs="Arial"/>
                <w:i/>
                <w:iCs/>
              </w:rPr>
              <w:t>srs-ResourceSetToAddModList</w:t>
            </w:r>
            <w:r w:rsidR="00261E44" w:rsidRPr="00FA0D37">
              <w:rPr>
                <w:rFonts w:cs="Arial"/>
              </w:rPr>
              <w:t xml:space="preserve"> or </w:t>
            </w:r>
            <w:r w:rsidR="00261E44" w:rsidRPr="00FA0D37">
              <w:rPr>
                <w:rFonts w:cs="Arial"/>
                <w:i/>
                <w:iCs/>
              </w:rPr>
              <w:t>srs-ResourceSetToAddModListDCI-0-2</w:t>
            </w:r>
            <w:r w:rsidR="00261E44" w:rsidRPr="00FA0D37">
              <w:rPr>
                <w:rFonts w:cs="Arial"/>
              </w:rPr>
              <w:t xml:space="preserve"> with usage </w:t>
            </w:r>
            <w:r w:rsidR="00743BF8" w:rsidRPr="00FA0D37">
              <w:rPr>
                <w:rFonts w:cs="Arial"/>
              </w:rPr>
              <w:t>'</w:t>
            </w:r>
            <w:r w:rsidR="00261E44" w:rsidRPr="00FA0D37">
              <w:rPr>
                <w:rFonts w:cs="Arial"/>
                <w:i/>
                <w:iCs/>
              </w:rPr>
              <w:t>codebook</w:t>
            </w:r>
            <w:r w:rsidR="00743BF8" w:rsidRPr="00FA0D37">
              <w:rPr>
                <w:rFonts w:cs="Arial"/>
              </w:rPr>
              <w:t>'</w:t>
            </w:r>
            <w:r w:rsidR="00261E44" w:rsidRPr="00FA0D37">
              <w:rPr>
                <w:lang w:eastAsia="x-none"/>
              </w:rPr>
              <w:t xml:space="preserve"> or </w:t>
            </w:r>
            <w:r w:rsidR="00743BF8" w:rsidRPr="00FA0D37">
              <w:rPr>
                <w:rFonts w:cs="Arial"/>
              </w:rPr>
              <w:t>'</w:t>
            </w:r>
            <w:r w:rsidR="00261E44" w:rsidRPr="00FA0D37">
              <w:rPr>
                <w:rFonts w:cs="Arial"/>
                <w:i/>
                <w:iCs/>
              </w:rPr>
              <w:t>noncodebook</w:t>
            </w:r>
            <w:r w:rsidR="00743BF8" w:rsidRPr="00FA0D37">
              <w:rPr>
                <w:rFonts w:cs="Arial"/>
              </w:rPr>
              <w:t>'</w:t>
            </w:r>
            <w:r w:rsidR="00261E44" w:rsidRPr="00FA0D37">
              <w:rPr>
                <w:lang w:eastAsia="x-none"/>
              </w:rPr>
              <w:t xml:space="preserve"> </w:t>
            </w:r>
            <w:r w:rsidRPr="00FA0D37">
              <w:rPr>
                <w:bCs/>
                <w:iCs/>
                <w:szCs w:val="22"/>
                <w:lang w:eastAsia="sv-SE"/>
              </w:rPr>
              <w:t>is enabled or not.</w:t>
            </w:r>
          </w:p>
        </w:tc>
      </w:tr>
      <w:tr w:rsidR="005C7FF4" w:rsidRPr="00FA0D37"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394471" w:rsidRPr="00FA0D37" w:rsidRDefault="00394471" w:rsidP="00964CC4">
            <w:pPr>
              <w:pStyle w:val="TAL"/>
              <w:rPr>
                <w:szCs w:val="22"/>
                <w:lang w:eastAsia="sv-SE"/>
              </w:rPr>
            </w:pPr>
            <w:r w:rsidRPr="00FA0D37">
              <w:rPr>
                <w:b/>
                <w:i/>
                <w:szCs w:val="22"/>
                <w:lang w:eastAsia="sv-SE"/>
              </w:rPr>
              <w:t>csi-IM-ResourcesForInterference</w:t>
            </w:r>
          </w:p>
          <w:p w14:paraId="6D51673E" w14:textId="5D725B42" w:rsidR="00394471" w:rsidRPr="00FA0D37" w:rsidRDefault="00394471" w:rsidP="00964CC4">
            <w:pPr>
              <w:pStyle w:val="TAL"/>
              <w:rPr>
                <w:szCs w:val="22"/>
                <w:lang w:eastAsia="sv-SE"/>
              </w:rPr>
            </w:pPr>
            <w:r w:rsidRPr="00FA0D37">
              <w:rPr>
                <w:i/>
                <w:lang w:eastAsia="sv-SE"/>
              </w:rPr>
              <w:t>CSI-IM-ResourceSet</w:t>
            </w:r>
            <w:r w:rsidRPr="00FA0D37">
              <w:rPr>
                <w:szCs w:val="22"/>
                <w:lang w:eastAsia="sv-SE"/>
              </w:rPr>
              <w:t xml:space="preserve"> for interference measurement. Entry number in csi-IM-ResourceSetList in the CSI-ResourceConfig indicated by </w:t>
            </w:r>
            <w:r w:rsidRPr="00FA0D37">
              <w:rPr>
                <w:i/>
                <w:lang w:eastAsia="sv-SE"/>
              </w:rPr>
              <w:t>csi-IM-ResourcesForInterference</w:t>
            </w:r>
            <w:r w:rsidRPr="00FA0D37">
              <w:rPr>
                <w:szCs w:val="22"/>
                <w:lang w:eastAsia="sv-SE"/>
              </w:rPr>
              <w:t xml:space="preserve"> in the </w:t>
            </w:r>
            <w:r w:rsidRPr="00FA0D37">
              <w:rPr>
                <w:i/>
                <w:lang w:eastAsia="sv-SE"/>
              </w:rPr>
              <w:t>CSI-ReportConfig</w:t>
            </w:r>
            <w:r w:rsidRPr="00FA0D37">
              <w:rPr>
                <w:szCs w:val="22"/>
                <w:lang w:eastAsia="sv-SE"/>
              </w:rPr>
              <w:t xml:space="preserve"> indicated by </w:t>
            </w:r>
            <w:r w:rsidRPr="00FA0D37">
              <w:rPr>
                <w:i/>
                <w:lang w:eastAsia="sv-SE"/>
              </w:rPr>
              <w:t>reportConfigId</w:t>
            </w:r>
            <w:r w:rsidRPr="00FA0D37">
              <w:rPr>
                <w:szCs w:val="22"/>
                <w:lang w:eastAsia="sv-SE"/>
              </w:rPr>
              <w:t xml:space="preserve"> above (value 1 corresponds to the first entry, value 2 to the second entry, and so on). The indicated </w:t>
            </w:r>
            <w:r w:rsidRPr="00FA0D37">
              <w:rPr>
                <w:i/>
                <w:lang w:eastAsia="sv-SE"/>
              </w:rPr>
              <w:t>CSI-IM-ResourceSet</w:t>
            </w:r>
            <w:r w:rsidRPr="00FA0D37">
              <w:rPr>
                <w:szCs w:val="22"/>
                <w:lang w:eastAsia="sv-SE"/>
              </w:rPr>
              <w:t xml:space="preserve"> should have exactly the same number of resources like the </w:t>
            </w:r>
            <w:r w:rsidRPr="00FA0D37">
              <w:rPr>
                <w:i/>
                <w:lang w:eastAsia="sv-SE"/>
              </w:rPr>
              <w:t>NZP-CSI-RS-ResourceSet</w:t>
            </w:r>
            <w:r w:rsidRPr="00FA0D37">
              <w:rPr>
                <w:szCs w:val="22"/>
                <w:lang w:eastAsia="sv-SE"/>
              </w:rPr>
              <w:t xml:space="preserve"> indicated in </w:t>
            </w:r>
            <w:r w:rsidR="00B66941" w:rsidRPr="00FA0D37">
              <w:rPr>
                <w:i/>
              </w:rPr>
              <w:t>resourceSet</w:t>
            </w:r>
            <w:r w:rsidR="00B66941" w:rsidRPr="00FA0D37">
              <w:rPr>
                <w:i/>
                <w:lang w:eastAsia="sv-SE"/>
              </w:rPr>
              <w:t xml:space="preserve"> </w:t>
            </w:r>
            <w:r w:rsidR="00B66941" w:rsidRPr="00FA0D37">
              <w:rPr>
                <w:lang w:eastAsia="sv-SE"/>
              </w:rPr>
              <w:t xml:space="preserve">within </w:t>
            </w:r>
            <w:r w:rsidR="00B66941" w:rsidRPr="00FA0D37">
              <w:rPr>
                <w:i/>
                <w:iCs/>
                <w:lang w:eastAsia="sv-SE"/>
              </w:rPr>
              <w:t>nzp-CSI-RS</w:t>
            </w:r>
            <w:r w:rsidRPr="00FA0D37">
              <w:rPr>
                <w:szCs w:val="22"/>
                <w:lang w:eastAsia="sv-SE"/>
              </w:rPr>
              <w:t>.</w:t>
            </w:r>
          </w:p>
        </w:tc>
      </w:tr>
      <w:tr w:rsidR="005C7FF4" w:rsidRPr="00FA0D37"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394471" w:rsidRPr="00FA0D37" w:rsidRDefault="00394471" w:rsidP="00964CC4">
            <w:pPr>
              <w:pStyle w:val="TAL"/>
              <w:rPr>
                <w:szCs w:val="22"/>
                <w:lang w:eastAsia="sv-SE"/>
              </w:rPr>
            </w:pPr>
            <w:r w:rsidRPr="00FA0D37">
              <w:rPr>
                <w:b/>
                <w:i/>
                <w:szCs w:val="22"/>
                <w:lang w:eastAsia="sv-SE"/>
              </w:rPr>
              <w:t>csi-SSB-ResourceSet</w:t>
            </w:r>
            <w:r w:rsidR="00C01388" w:rsidRPr="00FA0D37">
              <w:rPr>
                <w:b/>
                <w:i/>
                <w:szCs w:val="22"/>
                <w:lang w:eastAsia="sv-SE"/>
              </w:rPr>
              <w:t>,</w:t>
            </w:r>
            <w:r w:rsidR="00C01388" w:rsidRPr="00FA0D37">
              <w:t xml:space="preserve"> </w:t>
            </w:r>
            <w:r w:rsidR="00C01388" w:rsidRPr="00FA0D37">
              <w:rPr>
                <w:b/>
                <w:i/>
                <w:szCs w:val="22"/>
                <w:lang w:eastAsia="sv-SE"/>
              </w:rPr>
              <w:t>csi-SSB-ResourceSet2</w:t>
            </w:r>
          </w:p>
          <w:p w14:paraId="47C64A32" w14:textId="77777777" w:rsidR="00394471" w:rsidRPr="00FA0D37" w:rsidRDefault="00394471" w:rsidP="00964CC4">
            <w:pPr>
              <w:pStyle w:val="TAL"/>
              <w:rPr>
                <w:szCs w:val="22"/>
                <w:lang w:eastAsia="sv-SE"/>
              </w:rPr>
            </w:pPr>
            <w:r w:rsidRPr="00FA0D37">
              <w:rPr>
                <w:szCs w:val="22"/>
                <w:lang w:eastAsia="sv-SE"/>
              </w:rPr>
              <w:t xml:space="preserve">CSI-SSB-ResourceSet for channel measurements. Entry number in </w:t>
            </w:r>
            <w:r w:rsidRPr="00FA0D37">
              <w:rPr>
                <w:i/>
                <w:lang w:eastAsia="sv-SE"/>
              </w:rPr>
              <w:t>csi-SSB-ResourceSetList</w:t>
            </w:r>
            <w:r w:rsidRPr="00FA0D37">
              <w:rPr>
                <w:szCs w:val="22"/>
                <w:lang w:eastAsia="sv-SE"/>
              </w:rPr>
              <w:t xml:space="preserve"> in the </w:t>
            </w:r>
            <w:r w:rsidRPr="00FA0D37">
              <w:rPr>
                <w:i/>
                <w:lang w:eastAsia="sv-SE"/>
              </w:rPr>
              <w:t>CSI-ResourceConfig</w:t>
            </w:r>
            <w:r w:rsidRPr="00FA0D37">
              <w:rPr>
                <w:szCs w:val="22"/>
                <w:lang w:eastAsia="sv-SE"/>
              </w:rPr>
              <w:t xml:space="preserve"> indicated by </w:t>
            </w:r>
            <w:r w:rsidRPr="00FA0D37">
              <w:rPr>
                <w:i/>
                <w:lang w:eastAsia="sv-SE"/>
              </w:rPr>
              <w:t>resourcesForChannelMeasurement</w:t>
            </w:r>
            <w:r w:rsidRPr="00FA0D37">
              <w:rPr>
                <w:szCs w:val="22"/>
                <w:lang w:eastAsia="sv-SE"/>
              </w:rPr>
              <w:t xml:space="preserve"> in the </w:t>
            </w:r>
            <w:r w:rsidRPr="00FA0D37">
              <w:rPr>
                <w:i/>
                <w:lang w:eastAsia="sv-SE"/>
              </w:rPr>
              <w:t>CSI-ReportConfig</w:t>
            </w:r>
            <w:r w:rsidRPr="00FA0D37">
              <w:rPr>
                <w:szCs w:val="22"/>
                <w:lang w:eastAsia="sv-SE"/>
              </w:rPr>
              <w:t xml:space="preserve"> indicated by </w:t>
            </w:r>
            <w:r w:rsidRPr="00FA0D37">
              <w:rPr>
                <w:i/>
                <w:lang w:eastAsia="sv-SE"/>
              </w:rPr>
              <w:t>reportConfigId</w:t>
            </w:r>
            <w:r w:rsidRPr="00FA0D37">
              <w:rPr>
                <w:szCs w:val="22"/>
                <w:lang w:eastAsia="sv-SE"/>
              </w:rPr>
              <w:t xml:space="preserve"> above (value 1 corresponds to the first entry, value 2 to the second entry, and so on).</w:t>
            </w:r>
          </w:p>
        </w:tc>
      </w:tr>
      <w:tr w:rsidR="005C7FF4" w:rsidRPr="00FA0D37"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394471" w:rsidRPr="00FA0D37" w:rsidRDefault="00394471" w:rsidP="00964CC4">
            <w:pPr>
              <w:pStyle w:val="TAL"/>
              <w:rPr>
                <w:szCs w:val="22"/>
                <w:lang w:eastAsia="sv-SE"/>
              </w:rPr>
            </w:pPr>
            <w:r w:rsidRPr="00FA0D37">
              <w:rPr>
                <w:b/>
                <w:i/>
                <w:szCs w:val="22"/>
                <w:lang w:eastAsia="sv-SE"/>
              </w:rPr>
              <w:t>nzp-CSI-RS-ResourcesForInterference</w:t>
            </w:r>
          </w:p>
          <w:p w14:paraId="180FB662" w14:textId="77777777" w:rsidR="00394471" w:rsidRPr="00FA0D37" w:rsidRDefault="00394471" w:rsidP="00964CC4">
            <w:pPr>
              <w:pStyle w:val="TAL"/>
              <w:rPr>
                <w:szCs w:val="22"/>
                <w:lang w:eastAsia="sv-SE"/>
              </w:rPr>
            </w:pPr>
            <w:r w:rsidRPr="00FA0D37">
              <w:rPr>
                <w:i/>
                <w:lang w:eastAsia="sv-SE"/>
              </w:rPr>
              <w:t>NZP-CSI-RS-ResourceSet</w:t>
            </w:r>
            <w:r w:rsidRPr="00FA0D37">
              <w:rPr>
                <w:szCs w:val="22"/>
                <w:lang w:eastAsia="sv-SE"/>
              </w:rPr>
              <w:t xml:space="preserve"> for interference measurement. Entry number in </w:t>
            </w:r>
            <w:r w:rsidRPr="00FA0D37">
              <w:rPr>
                <w:i/>
                <w:lang w:eastAsia="sv-SE"/>
              </w:rPr>
              <w:t>nzp-CSI-RS-ResourceSetList</w:t>
            </w:r>
            <w:r w:rsidRPr="00FA0D37">
              <w:rPr>
                <w:szCs w:val="22"/>
                <w:lang w:eastAsia="sv-SE"/>
              </w:rPr>
              <w:t xml:space="preserve"> in the </w:t>
            </w:r>
            <w:r w:rsidRPr="00FA0D37">
              <w:rPr>
                <w:i/>
                <w:lang w:eastAsia="sv-SE"/>
              </w:rPr>
              <w:t>CSI-ResourceConfig</w:t>
            </w:r>
            <w:r w:rsidRPr="00FA0D37">
              <w:rPr>
                <w:szCs w:val="22"/>
                <w:lang w:eastAsia="sv-SE"/>
              </w:rPr>
              <w:t xml:space="preserve"> indicated by </w:t>
            </w:r>
            <w:r w:rsidRPr="00FA0D37">
              <w:rPr>
                <w:i/>
                <w:lang w:eastAsia="sv-SE"/>
              </w:rPr>
              <w:t>nzp-CSI-RS-ResourcesForInterference</w:t>
            </w:r>
            <w:r w:rsidRPr="00FA0D37">
              <w:rPr>
                <w:szCs w:val="22"/>
                <w:lang w:eastAsia="sv-SE"/>
              </w:rPr>
              <w:t xml:space="preserve"> in the </w:t>
            </w:r>
            <w:r w:rsidRPr="00FA0D37">
              <w:rPr>
                <w:i/>
                <w:lang w:eastAsia="sv-SE"/>
              </w:rPr>
              <w:t>CSI-ReportConfig</w:t>
            </w:r>
            <w:r w:rsidRPr="00FA0D37">
              <w:rPr>
                <w:szCs w:val="22"/>
                <w:lang w:eastAsia="sv-SE"/>
              </w:rPr>
              <w:t xml:space="preserve"> indicated by </w:t>
            </w:r>
            <w:r w:rsidRPr="00FA0D37">
              <w:rPr>
                <w:i/>
                <w:lang w:eastAsia="sv-SE"/>
              </w:rPr>
              <w:t>reportConfigId</w:t>
            </w:r>
            <w:r w:rsidRPr="00FA0D37">
              <w:rPr>
                <w:szCs w:val="22"/>
                <w:lang w:eastAsia="sv-SE"/>
              </w:rPr>
              <w:t xml:space="preserve"> above (value 1 corresponds to the first entry, value 2 to the second entry, and so on). </w:t>
            </w:r>
          </w:p>
        </w:tc>
      </w:tr>
      <w:tr w:rsidR="005C7FF4" w:rsidRPr="00FA0D37"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394471" w:rsidRPr="00FA0D37" w:rsidRDefault="00394471" w:rsidP="00964CC4">
            <w:pPr>
              <w:pStyle w:val="TAL"/>
              <w:rPr>
                <w:szCs w:val="22"/>
                <w:lang w:eastAsia="sv-SE"/>
              </w:rPr>
            </w:pPr>
            <w:r w:rsidRPr="00FA0D37">
              <w:rPr>
                <w:b/>
                <w:i/>
                <w:szCs w:val="22"/>
                <w:lang w:eastAsia="sv-SE"/>
              </w:rPr>
              <w:t>qcl-info</w:t>
            </w:r>
            <w:r w:rsidR="00C01388" w:rsidRPr="00FA0D37">
              <w:rPr>
                <w:b/>
                <w:i/>
                <w:szCs w:val="22"/>
                <w:lang w:eastAsia="sv-SE"/>
              </w:rPr>
              <w:t>, qcl-info2</w:t>
            </w:r>
          </w:p>
          <w:p w14:paraId="05D05F08" w14:textId="2FF088CC" w:rsidR="00394471" w:rsidRPr="00FA0D37" w:rsidRDefault="00394471" w:rsidP="00964CC4">
            <w:pPr>
              <w:pStyle w:val="TAL"/>
              <w:rPr>
                <w:szCs w:val="22"/>
                <w:lang w:eastAsia="sv-SE"/>
              </w:rPr>
            </w:pPr>
            <w:r w:rsidRPr="00FA0D37">
              <w:rPr>
                <w:szCs w:val="22"/>
                <w:lang w:eastAsia="sv-SE"/>
              </w:rPr>
              <w:t xml:space="preserve">List of references to TCI-States for providing the QCL source and QCL type for each </w:t>
            </w:r>
            <w:r w:rsidRPr="00FA0D37">
              <w:rPr>
                <w:i/>
                <w:lang w:eastAsia="sv-SE"/>
              </w:rPr>
              <w:t>NZP-CSI-RS-Resource</w:t>
            </w:r>
            <w:r w:rsidRPr="00FA0D37">
              <w:rPr>
                <w:szCs w:val="22"/>
                <w:lang w:eastAsia="sv-SE"/>
              </w:rPr>
              <w:t xml:space="preserve"> listed in </w:t>
            </w:r>
            <w:r w:rsidRPr="00FA0D37">
              <w:rPr>
                <w:i/>
                <w:lang w:eastAsia="sv-SE"/>
              </w:rPr>
              <w:t>nzp-CSI-RS-Resources</w:t>
            </w:r>
            <w:r w:rsidRPr="00FA0D37">
              <w:rPr>
                <w:szCs w:val="22"/>
                <w:lang w:eastAsia="sv-SE"/>
              </w:rPr>
              <w:t xml:space="preserve"> of the </w:t>
            </w:r>
            <w:r w:rsidRPr="00FA0D37">
              <w:rPr>
                <w:i/>
                <w:lang w:eastAsia="sv-SE"/>
              </w:rPr>
              <w:t>NZP-CSI-RS-ResourceSet</w:t>
            </w:r>
            <w:r w:rsidRPr="00FA0D37">
              <w:rPr>
                <w:szCs w:val="22"/>
                <w:lang w:eastAsia="sv-SE"/>
              </w:rPr>
              <w:t xml:space="preserve"> indicated by </w:t>
            </w:r>
            <w:r w:rsidR="00B66941" w:rsidRPr="00FA0D37">
              <w:rPr>
                <w:i/>
              </w:rPr>
              <w:t>resourceSet</w:t>
            </w:r>
            <w:r w:rsidR="00B66941" w:rsidRPr="00FA0D37">
              <w:rPr>
                <w:i/>
                <w:lang w:eastAsia="sv-SE"/>
              </w:rPr>
              <w:t xml:space="preserve"> </w:t>
            </w:r>
            <w:r w:rsidR="00B66941" w:rsidRPr="00FA0D37">
              <w:rPr>
                <w:lang w:eastAsia="sv-SE"/>
              </w:rPr>
              <w:t xml:space="preserve">within </w:t>
            </w:r>
            <w:r w:rsidR="00B66941" w:rsidRPr="00FA0D37">
              <w:rPr>
                <w:i/>
                <w:iCs/>
                <w:lang w:eastAsia="sv-SE"/>
              </w:rPr>
              <w:t>nzp-CSI-RS</w:t>
            </w:r>
            <w:r w:rsidRPr="00FA0D37">
              <w:rPr>
                <w:szCs w:val="22"/>
                <w:lang w:eastAsia="sv-SE"/>
              </w:rPr>
              <w:t xml:space="preserve">. Each </w:t>
            </w:r>
            <w:r w:rsidRPr="00FA0D37">
              <w:rPr>
                <w:i/>
                <w:szCs w:val="22"/>
                <w:lang w:eastAsia="sv-SE"/>
              </w:rPr>
              <w:t>TCI-StateId</w:t>
            </w:r>
            <w:r w:rsidRPr="00FA0D37">
              <w:rPr>
                <w:szCs w:val="22"/>
                <w:lang w:eastAsia="sv-SE"/>
              </w:rPr>
              <w:t xml:space="preserve"> refers to the </w:t>
            </w:r>
            <w:r w:rsidRPr="00FA0D37">
              <w:rPr>
                <w:i/>
                <w:szCs w:val="22"/>
                <w:lang w:eastAsia="sv-SE"/>
              </w:rPr>
              <w:t xml:space="preserve">TCI-State </w:t>
            </w:r>
            <w:r w:rsidRPr="00FA0D37">
              <w:rPr>
                <w:szCs w:val="22"/>
                <w:lang w:eastAsia="sv-SE"/>
              </w:rPr>
              <w:t xml:space="preserve">which has this value for </w:t>
            </w:r>
            <w:r w:rsidRPr="00FA0D37">
              <w:rPr>
                <w:i/>
                <w:szCs w:val="22"/>
                <w:lang w:eastAsia="sv-SE"/>
              </w:rPr>
              <w:t>tci-StateId</w:t>
            </w:r>
            <w:r w:rsidRPr="00FA0D37">
              <w:rPr>
                <w:szCs w:val="22"/>
                <w:lang w:eastAsia="sv-SE"/>
              </w:rPr>
              <w:t xml:space="preserve"> and is defined in </w:t>
            </w:r>
            <w:r w:rsidRPr="00FA0D37">
              <w:rPr>
                <w:i/>
                <w:szCs w:val="22"/>
                <w:lang w:eastAsia="sv-SE"/>
              </w:rPr>
              <w:t>tci-StatesToAddModList</w:t>
            </w:r>
            <w:r w:rsidRPr="00FA0D37">
              <w:rPr>
                <w:szCs w:val="22"/>
                <w:lang w:eastAsia="sv-SE"/>
              </w:rPr>
              <w:t xml:space="preserve"> </w:t>
            </w:r>
            <w:r w:rsidR="00753A67" w:rsidRPr="00FA0D37">
              <w:rPr>
                <w:rFonts w:cs="Arial"/>
                <w:szCs w:val="18"/>
                <w:lang w:eastAsia="zh-CN"/>
              </w:rPr>
              <w:t xml:space="preserve">or in </w:t>
            </w:r>
            <w:r w:rsidR="00753A67" w:rsidRPr="00FA0D37">
              <w:rPr>
                <w:rFonts w:cs="Arial"/>
                <w:i/>
                <w:szCs w:val="18"/>
              </w:rPr>
              <w:t>dl-OrJointTCI-StateList</w:t>
            </w:r>
            <w:r w:rsidR="00753A67" w:rsidRPr="00FA0D37">
              <w:rPr>
                <w:rFonts w:cs="Arial"/>
                <w:szCs w:val="18"/>
                <w:lang w:eastAsia="sv-SE"/>
              </w:rPr>
              <w:t xml:space="preserve"> </w:t>
            </w:r>
            <w:r w:rsidRPr="00FA0D37">
              <w:rPr>
                <w:szCs w:val="22"/>
                <w:lang w:eastAsia="sv-SE"/>
              </w:rPr>
              <w:t xml:space="preserve">in the </w:t>
            </w:r>
            <w:r w:rsidRPr="00FA0D37">
              <w:rPr>
                <w:i/>
                <w:szCs w:val="22"/>
                <w:lang w:eastAsia="sv-SE"/>
              </w:rPr>
              <w:t>PDSCH-Config</w:t>
            </w:r>
            <w:r w:rsidRPr="00FA0D37">
              <w:rPr>
                <w:szCs w:val="22"/>
                <w:lang w:eastAsia="sv-SE"/>
              </w:rPr>
              <w:t xml:space="preserve"> included in the </w:t>
            </w:r>
            <w:r w:rsidRPr="00FA0D37">
              <w:rPr>
                <w:i/>
                <w:szCs w:val="22"/>
                <w:lang w:eastAsia="sv-SE"/>
              </w:rPr>
              <w:t>BWP-Downlink</w:t>
            </w:r>
            <w:r w:rsidRPr="00FA0D37">
              <w:rPr>
                <w:szCs w:val="22"/>
                <w:lang w:eastAsia="sv-SE"/>
              </w:rPr>
              <w:t xml:space="preserve"> corresponding to the serving cell and to the DL BWP to which the </w:t>
            </w:r>
            <w:r w:rsidRPr="00FA0D37">
              <w:rPr>
                <w:i/>
                <w:szCs w:val="22"/>
                <w:lang w:eastAsia="sv-SE"/>
              </w:rPr>
              <w:t>resourcesForChannelMeasuremen</w:t>
            </w:r>
            <w:r w:rsidRPr="00FA0D37">
              <w:rPr>
                <w:szCs w:val="22"/>
                <w:lang w:eastAsia="sv-SE"/>
              </w:rPr>
              <w:t xml:space="preserve">t (in the </w:t>
            </w:r>
            <w:r w:rsidRPr="00FA0D37">
              <w:rPr>
                <w:i/>
                <w:szCs w:val="22"/>
                <w:lang w:eastAsia="sv-SE"/>
              </w:rPr>
              <w:t>CSI-ReportConfig</w:t>
            </w:r>
            <w:r w:rsidRPr="00FA0D37">
              <w:rPr>
                <w:szCs w:val="22"/>
                <w:lang w:eastAsia="sv-SE"/>
              </w:rPr>
              <w:t xml:space="preserve"> indicated by </w:t>
            </w:r>
            <w:r w:rsidRPr="00FA0D37">
              <w:rPr>
                <w:i/>
                <w:szCs w:val="22"/>
                <w:lang w:eastAsia="sv-SE"/>
              </w:rPr>
              <w:t>reportConfigId</w:t>
            </w:r>
            <w:r w:rsidRPr="00FA0D37">
              <w:rPr>
                <w:szCs w:val="22"/>
                <w:lang w:eastAsia="sv-SE"/>
              </w:rPr>
              <w:t xml:space="preserve"> above) belong to. First entry in </w:t>
            </w:r>
            <w:r w:rsidRPr="00FA0D37">
              <w:rPr>
                <w:i/>
                <w:lang w:eastAsia="sv-SE"/>
              </w:rPr>
              <w:t>qcl-info</w:t>
            </w:r>
            <w:r w:rsidRPr="00FA0D37">
              <w:rPr>
                <w:szCs w:val="22"/>
                <w:lang w:eastAsia="sv-SE"/>
              </w:rPr>
              <w:t xml:space="preserve"> corresponds to first entry in </w:t>
            </w:r>
            <w:r w:rsidRPr="00FA0D37">
              <w:rPr>
                <w:i/>
                <w:lang w:eastAsia="sv-SE"/>
              </w:rPr>
              <w:t>nzp-CSI-RS-Resources</w:t>
            </w:r>
            <w:r w:rsidRPr="00FA0D37">
              <w:rPr>
                <w:szCs w:val="22"/>
                <w:lang w:eastAsia="sv-SE"/>
              </w:rPr>
              <w:t xml:space="preserve"> of that </w:t>
            </w:r>
            <w:r w:rsidRPr="00FA0D37">
              <w:rPr>
                <w:i/>
                <w:lang w:eastAsia="sv-SE"/>
              </w:rPr>
              <w:t>NZP-CSI-RS-ResourceSet</w:t>
            </w:r>
            <w:r w:rsidRPr="00FA0D37">
              <w:rPr>
                <w:szCs w:val="22"/>
                <w:lang w:eastAsia="sv-SE"/>
              </w:rPr>
              <w:t xml:space="preserve">, second entry in </w:t>
            </w:r>
            <w:r w:rsidRPr="00FA0D37">
              <w:rPr>
                <w:i/>
                <w:lang w:eastAsia="sv-SE"/>
              </w:rPr>
              <w:t>qcl-info</w:t>
            </w:r>
            <w:r w:rsidRPr="00FA0D37">
              <w:rPr>
                <w:szCs w:val="22"/>
                <w:lang w:eastAsia="sv-SE"/>
              </w:rPr>
              <w:t xml:space="preserve"> corresponds to second entry in </w:t>
            </w:r>
            <w:r w:rsidRPr="00FA0D37">
              <w:rPr>
                <w:i/>
                <w:lang w:eastAsia="sv-SE"/>
              </w:rPr>
              <w:t>nzp-CSI-RS-Resources</w:t>
            </w:r>
            <w:r w:rsidRPr="00FA0D37">
              <w:rPr>
                <w:szCs w:val="22"/>
                <w:lang w:eastAsia="sv-SE"/>
              </w:rPr>
              <w:t>, and so on (see TS 38.214 [19], clause 5.2.1.5.1)</w:t>
            </w:r>
            <w:r w:rsidR="00C01388" w:rsidRPr="00FA0D37">
              <w:rPr>
                <w:szCs w:val="22"/>
                <w:lang w:eastAsia="sv-SE"/>
              </w:rPr>
              <w:t>.</w:t>
            </w:r>
            <w:r w:rsidR="00C01388" w:rsidRPr="00FA0D37">
              <w:t xml:space="preserve"> When this field is absent for aperiodic CSI RS, the UE shall use QCL information included in the </w:t>
            </w:r>
            <w:r w:rsidR="00FA506A" w:rsidRPr="00FA0D37">
              <w:t xml:space="preserve"> </w:t>
            </w:r>
            <w:r w:rsidR="00C01388" w:rsidRPr="00FA0D37">
              <w:t xml:space="preserve">"indicated" </w:t>
            </w:r>
            <w:r w:rsidR="00C01388" w:rsidRPr="00FA0D37">
              <w:rPr>
                <w:lang w:eastAsia="sv-SE"/>
              </w:rPr>
              <w:t>DL only/Joint TCI state as specified in TS 38.214</w:t>
            </w:r>
          </w:p>
        </w:tc>
      </w:tr>
      <w:tr w:rsidR="005C7FF4" w:rsidRPr="00FA0D37"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394471" w:rsidRPr="00FA0D37" w:rsidRDefault="00394471" w:rsidP="00964CC4">
            <w:pPr>
              <w:pStyle w:val="TAL"/>
              <w:rPr>
                <w:szCs w:val="22"/>
                <w:lang w:eastAsia="sv-SE"/>
              </w:rPr>
            </w:pPr>
            <w:r w:rsidRPr="00FA0D37">
              <w:rPr>
                <w:b/>
                <w:i/>
                <w:szCs w:val="22"/>
                <w:lang w:eastAsia="sv-SE"/>
              </w:rPr>
              <w:t>reportConfigId</w:t>
            </w:r>
          </w:p>
          <w:p w14:paraId="07B4BAF6" w14:textId="77777777" w:rsidR="00394471" w:rsidRPr="00FA0D37" w:rsidRDefault="00394471" w:rsidP="00964CC4">
            <w:pPr>
              <w:pStyle w:val="TAL"/>
              <w:rPr>
                <w:szCs w:val="22"/>
                <w:lang w:eastAsia="sv-SE"/>
              </w:rPr>
            </w:pPr>
            <w:r w:rsidRPr="00FA0D37">
              <w:rPr>
                <w:szCs w:val="22"/>
                <w:lang w:eastAsia="sv-SE"/>
              </w:rPr>
              <w:t xml:space="preserve">The </w:t>
            </w:r>
            <w:r w:rsidRPr="00FA0D37">
              <w:rPr>
                <w:i/>
                <w:lang w:eastAsia="sv-SE"/>
              </w:rPr>
              <w:t>reportConfigId</w:t>
            </w:r>
            <w:r w:rsidRPr="00FA0D37">
              <w:rPr>
                <w:szCs w:val="22"/>
                <w:lang w:eastAsia="sv-SE"/>
              </w:rPr>
              <w:t xml:space="preserve"> of one of the </w:t>
            </w:r>
            <w:r w:rsidRPr="00FA0D37">
              <w:rPr>
                <w:i/>
                <w:lang w:eastAsia="sv-SE"/>
              </w:rPr>
              <w:t>CSI-ReportConfigToAddMod</w:t>
            </w:r>
            <w:r w:rsidRPr="00FA0D37">
              <w:rPr>
                <w:szCs w:val="22"/>
                <w:lang w:eastAsia="sv-SE"/>
              </w:rPr>
              <w:t xml:space="preserve"> configured in </w:t>
            </w:r>
            <w:r w:rsidRPr="00FA0D37">
              <w:rPr>
                <w:i/>
                <w:lang w:eastAsia="sv-SE"/>
              </w:rPr>
              <w:t>CSI-MeasConfig</w:t>
            </w:r>
          </w:p>
        </w:tc>
      </w:tr>
      <w:tr w:rsidR="005C7FF4" w:rsidRPr="00FA0D37"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C01388" w:rsidRPr="00FA0D37" w:rsidRDefault="00C01388" w:rsidP="00771058">
            <w:pPr>
              <w:pStyle w:val="TAL"/>
              <w:rPr>
                <w:b/>
                <w:i/>
                <w:szCs w:val="22"/>
                <w:lang w:eastAsia="sv-SE"/>
              </w:rPr>
            </w:pPr>
            <w:r w:rsidRPr="00FA0D37">
              <w:rPr>
                <w:b/>
                <w:i/>
                <w:szCs w:val="22"/>
                <w:lang w:eastAsia="sv-SE"/>
              </w:rPr>
              <w:t>resourcesForChannel2</w:t>
            </w:r>
          </w:p>
          <w:p w14:paraId="1CC69A65" w14:textId="6FFCD993" w:rsidR="00C01388" w:rsidRPr="00FA0D37" w:rsidRDefault="00C01388" w:rsidP="00771058">
            <w:pPr>
              <w:pStyle w:val="TAL"/>
              <w:rPr>
                <w:bCs/>
                <w:iCs/>
                <w:szCs w:val="22"/>
                <w:lang w:eastAsia="sv-SE"/>
              </w:rPr>
            </w:pPr>
            <w:r w:rsidRPr="00FA0D37">
              <w:t xml:space="preserve">Configures reference signals for channel measurement corresponding to the second resource set for L1-RSRP measurement as configured in IE </w:t>
            </w:r>
            <w:r w:rsidRPr="00FA0D37">
              <w:rPr>
                <w:i/>
                <w:iCs/>
              </w:rPr>
              <w:t>CSI-ResourceConfig</w:t>
            </w:r>
            <w:r w:rsidRPr="00FA0D37">
              <w:t xml:space="preserve"> when </w:t>
            </w:r>
            <w:r w:rsidRPr="00FA0D37">
              <w:rPr>
                <w:i/>
                <w:iCs/>
              </w:rPr>
              <w:t>nrofReportedGroups-r17</w:t>
            </w:r>
            <w:r w:rsidRPr="00FA0D37">
              <w:t xml:space="preserve"> is configured in IE </w:t>
            </w:r>
            <w:r w:rsidRPr="00FA0D37">
              <w:rPr>
                <w:i/>
                <w:iCs/>
              </w:rPr>
              <w:t>CSI-ReportConfig</w:t>
            </w:r>
            <w:r w:rsidRPr="00FA0D37">
              <w:t xml:space="preserve">. If this is present, network configures csi-SSB-ResourceSetExt instead of csi-SSB-ResourceSet and the UE ignores csi-SSB-ResourceSet in resourcesForChannel, and the </w:t>
            </w:r>
            <w:r w:rsidRPr="00FA0D37">
              <w:rPr>
                <w:i/>
                <w:iCs/>
              </w:rPr>
              <w:t>resourcesForChannel</w:t>
            </w:r>
            <w:r w:rsidRPr="00FA0D37">
              <w:t xml:space="preserve"> configures the reference signals for channel measurement corresponding to the first resource set for L1-RSRP measurement (see TS 38.214 [19], clause 5.2.1.4).</w:t>
            </w:r>
          </w:p>
        </w:tc>
      </w:tr>
      <w:tr w:rsidR="00394471" w:rsidRPr="00FA0D37"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77777777" w:rsidR="00394471" w:rsidRPr="00FA0D37" w:rsidRDefault="00394471" w:rsidP="00964CC4">
            <w:pPr>
              <w:pStyle w:val="TAL"/>
              <w:rPr>
                <w:szCs w:val="22"/>
                <w:lang w:eastAsia="sv-SE"/>
              </w:rPr>
            </w:pPr>
            <w:r w:rsidRPr="00FA0D37">
              <w:rPr>
                <w:b/>
                <w:i/>
                <w:szCs w:val="22"/>
                <w:lang w:eastAsia="sv-SE"/>
              </w:rPr>
              <w:t>resourceSet</w:t>
            </w:r>
          </w:p>
          <w:p w14:paraId="6C387A1D" w14:textId="4F75CED6" w:rsidR="00394471" w:rsidRPr="00FA0D37" w:rsidRDefault="00394471" w:rsidP="00964CC4">
            <w:pPr>
              <w:pStyle w:val="TAL"/>
              <w:rPr>
                <w:szCs w:val="22"/>
                <w:lang w:eastAsia="sv-SE"/>
              </w:rPr>
            </w:pPr>
            <w:r w:rsidRPr="00FA0D37">
              <w:rPr>
                <w:i/>
                <w:lang w:eastAsia="sv-SE"/>
              </w:rPr>
              <w:t>NZP-CSI-RS-ResourceSet</w:t>
            </w:r>
            <w:r w:rsidRPr="00FA0D37">
              <w:rPr>
                <w:szCs w:val="22"/>
                <w:lang w:eastAsia="sv-SE"/>
              </w:rPr>
              <w:t xml:space="preserve"> for channel measurements. Entry number in </w:t>
            </w:r>
            <w:r w:rsidRPr="00FA0D37">
              <w:rPr>
                <w:i/>
                <w:lang w:eastAsia="sv-SE"/>
              </w:rPr>
              <w:t>nzp-CSI-RS-ResourceSetList</w:t>
            </w:r>
            <w:r w:rsidRPr="00FA0D37">
              <w:rPr>
                <w:szCs w:val="22"/>
                <w:lang w:eastAsia="sv-SE"/>
              </w:rPr>
              <w:t xml:space="preserve"> in the </w:t>
            </w:r>
            <w:r w:rsidRPr="00FA0D37">
              <w:rPr>
                <w:i/>
                <w:lang w:eastAsia="sv-SE"/>
              </w:rPr>
              <w:t>CSI-ResourceConfig</w:t>
            </w:r>
            <w:r w:rsidRPr="00FA0D37">
              <w:rPr>
                <w:szCs w:val="22"/>
                <w:lang w:eastAsia="sv-SE"/>
              </w:rPr>
              <w:t xml:space="preserve"> indicated by </w:t>
            </w:r>
            <w:r w:rsidRPr="00FA0D37">
              <w:rPr>
                <w:i/>
                <w:lang w:eastAsia="sv-SE"/>
              </w:rPr>
              <w:t>resourcesForChannelMeasurement</w:t>
            </w:r>
            <w:r w:rsidRPr="00FA0D37">
              <w:rPr>
                <w:szCs w:val="22"/>
                <w:lang w:eastAsia="sv-SE"/>
              </w:rPr>
              <w:t xml:space="preserve"> in the </w:t>
            </w:r>
            <w:r w:rsidRPr="00FA0D37">
              <w:rPr>
                <w:i/>
                <w:lang w:eastAsia="sv-SE"/>
              </w:rPr>
              <w:t>CSI-ReportConfig</w:t>
            </w:r>
            <w:r w:rsidRPr="00FA0D37">
              <w:rPr>
                <w:szCs w:val="22"/>
                <w:lang w:eastAsia="sv-SE"/>
              </w:rPr>
              <w:t xml:space="preserve"> indicated by r</w:t>
            </w:r>
            <w:r w:rsidRPr="00FA0D37">
              <w:rPr>
                <w:i/>
                <w:lang w:eastAsia="sv-SE"/>
              </w:rPr>
              <w:t>eportConfigId</w:t>
            </w:r>
            <w:r w:rsidRPr="00FA0D37">
              <w:rPr>
                <w:szCs w:val="22"/>
                <w:lang w:eastAsia="sv-SE"/>
              </w:rPr>
              <w:t xml:space="preserve"> above (value 1 corresponds to the first entry, value 2 to the</w:t>
            </w:r>
            <w:r w:rsidR="00E75029" w:rsidRPr="00FA0D37">
              <w:rPr>
                <w:szCs w:val="22"/>
                <w:lang w:eastAsia="sv-SE"/>
              </w:rPr>
              <w:t xml:space="preserve"> </w:t>
            </w:r>
            <w:r w:rsidRPr="00FA0D37">
              <w:rPr>
                <w:szCs w:val="22"/>
                <w:lang w:eastAsia="sv-SE"/>
              </w:rPr>
              <w:t>second entry, and so on).</w:t>
            </w:r>
          </w:p>
        </w:tc>
      </w:tr>
    </w:tbl>
    <w:p w14:paraId="32941622" w14:textId="77777777" w:rsidR="00394471" w:rsidRPr="00FA0D37"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5C7FF4" w:rsidRPr="00FA0D37"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FA0D37" w:rsidRDefault="00394471" w:rsidP="00964CC4">
            <w:pPr>
              <w:pStyle w:val="TAH"/>
              <w:rPr>
                <w:lang w:eastAsia="sv-SE"/>
              </w:rPr>
            </w:pPr>
            <w:r w:rsidRPr="00FA0D37">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FA0D37" w:rsidRDefault="00394471" w:rsidP="00964CC4">
            <w:pPr>
              <w:pStyle w:val="TAH"/>
              <w:rPr>
                <w:lang w:eastAsia="sv-SE"/>
              </w:rPr>
            </w:pPr>
            <w:r w:rsidRPr="00FA0D37">
              <w:rPr>
                <w:lang w:eastAsia="sv-SE"/>
              </w:rPr>
              <w:t>Explanation</w:t>
            </w:r>
          </w:p>
        </w:tc>
      </w:tr>
      <w:tr w:rsidR="005C7FF4" w:rsidRPr="00FA0D37"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FA0D37" w:rsidRDefault="00394471" w:rsidP="00964CC4">
            <w:pPr>
              <w:pStyle w:val="TAL"/>
              <w:rPr>
                <w:i/>
                <w:lang w:eastAsia="sv-SE"/>
              </w:rPr>
            </w:pPr>
            <w:r w:rsidRPr="00FA0D37">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7845166B" w:rsidR="00394471" w:rsidRPr="00FA0D37" w:rsidRDefault="00394471" w:rsidP="00964CC4">
            <w:pPr>
              <w:pStyle w:val="TAL"/>
              <w:rPr>
                <w:lang w:eastAsia="sv-SE"/>
              </w:rPr>
            </w:pPr>
            <w:r w:rsidRPr="00FA0D37">
              <w:rPr>
                <w:lang w:eastAsia="sv-SE"/>
              </w:rPr>
              <w:t xml:space="preserve">The field is mandatory present if the </w:t>
            </w:r>
            <w:r w:rsidRPr="00FA0D37">
              <w:rPr>
                <w:i/>
                <w:lang w:eastAsia="sv-SE"/>
              </w:rPr>
              <w:t>NZP-CSI-RS-Resources</w:t>
            </w:r>
            <w:r w:rsidRPr="00FA0D37">
              <w:rPr>
                <w:lang w:eastAsia="sv-SE"/>
              </w:rPr>
              <w:t xml:space="preserve"> in the associated </w:t>
            </w:r>
            <w:r w:rsidRPr="00FA0D37">
              <w:rPr>
                <w:i/>
                <w:lang w:eastAsia="sv-SE"/>
              </w:rPr>
              <w:t>resourceSet</w:t>
            </w:r>
            <w:r w:rsidRPr="00FA0D37">
              <w:rPr>
                <w:lang w:eastAsia="sv-SE"/>
              </w:rPr>
              <w:t xml:space="preserve"> have the resourceType aperiodic</w:t>
            </w:r>
            <w:r w:rsidR="00184EE0" w:rsidRPr="00FA0D37">
              <w:rPr>
                <w:lang w:eastAsia="sv-SE"/>
              </w:rPr>
              <w:t xml:space="preserve"> and </w:t>
            </w:r>
            <w:r w:rsidR="00184EE0" w:rsidRPr="00FA0D37">
              <w:rPr>
                <w:i/>
                <w:iCs/>
                <w:lang w:eastAsia="sv-SE"/>
              </w:rPr>
              <w:t>unifiedTCI-StateType</w:t>
            </w:r>
            <w:r w:rsidR="00184EE0" w:rsidRPr="00FA0D37">
              <w:rPr>
                <w:lang w:eastAsia="sv-SE"/>
              </w:rPr>
              <w:t xml:space="preserve"> is not configured. The field is optionally present, Need R, if the </w:t>
            </w:r>
            <w:r w:rsidR="00184EE0" w:rsidRPr="00FA0D37">
              <w:rPr>
                <w:i/>
                <w:lang w:eastAsia="sv-SE"/>
              </w:rPr>
              <w:t>NZP-CSI-RS-Resources</w:t>
            </w:r>
            <w:r w:rsidR="00184EE0" w:rsidRPr="00FA0D37">
              <w:rPr>
                <w:lang w:eastAsia="sv-SE"/>
              </w:rPr>
              <w:t xml:space="preserve"> in the associated </w:t>
            </w:r>
            <w:r w:rsidR="00184EE0" w:rsidRPr="00FA0D37">
              <w:rPr>
                <w:i/>
                <w:lang w:eastAsia="sv-SE"/>
              </w:rPr>
              <w:t>resourceSet</w:t>
            </w:r>
            <w:r w:rsidR="00184EE0" w:rsidRPr="00FA0D37">
              <w:rPr>
                <w:lang w:eastAsia="sv-SE"/>
              </w:rPr>
              <w:t xml:space="preserve"> have the </w:t>
            </w:r>
            <w:r w:rsidR="00184EE0" w:rsidRPr="00FA0D37">
              <w:rPr>
                <w:i/>
                <w:iCs/>
                <w:lang w:eastAsia="sv-SE"/>
              </w:rPr>
              <w:t>resourceType</w:t>
            </w:r>
            <w:r w:rsidR="00184EE0" w:rsidRPr="00FA0D37">
              <w:rPr>
                <w:lang w:eastAsia="sv-SE"/>
              </w:rPr>
              <w:t xml:space="preserve"> aperiodic and </w:t>
            </w:r>
            <w:r w:rsidR="00184EE0" w:rsidRPr="00FA0D37">
              <w:rPr>
                <w:i/>
                <w:iCs/>
                <w:lang w:eastAsia="sv-SE"/>
              </w:rPr>
              <w:t>unifiedTCI-StateType</w:t>
            </w:r>
            <w:r w:rsidR="00184EE0" w:rsidRPr="00FA0D37">
              <w:rPr>
                <w:lang w:eastAsia="sv-SE"/>
              </w:rPr>
              <w:t xml:space="preserve"> is configured</w:t>
            </w:r>
            <w:r w:rsidR="00261E44" w:rsidRPr="00FA0D37">
              <w:rPr>
                <w:lang w:eastAsia="sv-SE"/>
              </w:rPr>
              <w:t>.</w:t>
            </w:r>
            <w:r w:rsidR="00C01388" w:rsidRPr="00FA0D37">
              <w:rPr>
                <w:lang w:eastAsia="sv-SE"/>
              </w:rPr>
              <w:t xml:space="preserve"> </w:t>
            </w:r>
            <w:r w:rsidRPr="00FA0D37">
              <w:rPr>
                <w:lang w:eastAsia="sv-SE"/>
              </w:rPr>
              <w:t>The field is absent otherwise.</w:t>
            </w:r>
          </w:p>
        </w:tc>
      </w:tr>
      <w:tr w:rsidR="005C7FF4" w:rsidRPr="00FA0D37"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FA0D37" w:rsidRDefault="00394471" w:rsidP="00964CC4">
            <w:pPr>
              <w:pStyle w:val="TAL"/>
              <w:rPr>
                <w:i/>
                <w:lang w:eastAsia="sv-SE"/>
              </w:rPr>
            </w:pPr>
            <w:r w:rsidRPr="00FA0D37">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FA0D37" w:rsidRDefault="00394471" w:rsidP="00964CC4">
            <w:pPr>
              <w:pStyle w:val="TAL"/>
              <w:rPr>
                <w:lang w:eastAsia="sv-SE"/>
              </w:rPr>
            </w:pPr>
            <w:r w:rsidRPr="00FA0D37">
              <w:rPr>
                <w:lang w:eastAsia="sv-SE"/>
              </w:rPr>
              <w:t xml:space="preserve">This field is mandatory present if the </w:t>
            </w:r>
            <w:r w:rsidRPr="00FA0D37">
              <w:rPr>
                <w:i/>
                <w:lang w:eastAsia="sv-SE"/>
              </w:rPr>
              <w:t>CSI-ReportConfig</w:t>
            </w:r>
            <w:r w:rsidRPr="00FA0D37">
              <w:rPr>
                <w:lang w:eastAsia="sv-SE"/>
              </w:rPr>
              <w:t xml:space="preserve"> identified by </w:t>
            </w:r>
            <w:r w:rsidRPr="00FA0D37">
              <w:rPr>
                <w:i/>
                <w:lang w:eastAsia="sv-SE"/>
              </w:rPr>
              <w:t>reportConfigId</w:t>
            </w:r>
            <w:r w:rsidRPr="00FA0D37">
              <w:rPr>
                <w:lang w:eastAsia="sv-SE"/>
              </w:rPr>
              <w:t xml:space="preserve"> is configured with </w:t>
            </w:r>
            <w:r w:rsidRPr="00FA0D37">
              <w:rPr>
                <w:i/>
                <w:lang w:eastAsia="sv-SE"/>
              </w:rPr>
              <w:t>csi-IM-ResourcesForInterference</w:t>
            </w:r>
            <w:r w:rsidRPr="00FA0D37">
              <w:rPr>
                <w:lang w:eastAsia="sv-SE"/>
              </w:rPr>
              <w:t>; otherwise it is absent.</w:t>
            </w:r>
          </w:p>
        </w:tc>
      </w:tr>
      <w:tr w:rsidR="005C7FF4" w:rsidRPr="00FA0D37"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FA0D37" w:rsidRDefault="00394471" w:rsidP="00964CC4">
            <w:pPr>
              <w:pStyle w:val="TAL"/>
              <w:rPr>
                <w:i/>
                <w:lang w:eastAsia="sv-SE"/>
              </w:rPr>
            </w:pPr>
            <w:r w:rsidRPr="00FA0D37">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FA0D37" w:rsidRDefault="00394471" w:rsidP="00964CC4">
            <w:pPr>
              <w:pStyle w:val="TAL"/>
              <w:rPr>
                <w:lang w:eastAsia="sv-SE"/>
              </w:rPr>
            </w:pPr>
            <w:r w:rsidRPr="00FA0D37">
              <w:rPr>
                <w:lang w:eastAsia="sv-SE"/>
              </w:rPr>
              <w:t xml:space="preserve">This field is mandatory present if the </w:t>
            </w:r>
            <w:r w:rsidRPr="00FA0D37">
              <w:rPr>
                <w:i/>
                <w:lang w:eastAsia="sv-SE"/>
              </w:rPr>
              <w:t>CSI-ReportConfig</w:t>
            </w:r>
            <w:r w:rsidRPr="00FA0D37">
              <w:rPr>
                <w:lang w:eastAsia="sv-SE"/>
              </w:rPr>
              <w:t xml:space="preserve"> identified by </w:t>
            </w:r>
            <w:r w:rsidRPr="00FA0D37">
              <w:rPr>
                <w:i/>
                <w:lang w:eastAsia="sv-SE"/>
              </w:rPr>
              <w:t>reportConfigId</w:t>
            </w:r>
            <w:r w:rsidRPr="00FA0D37">
              <w:rPr>
                <w:lang w:eastAsia="sv-SE"/>
              </w:rPr>
              <w:t xml:space="preserve"> is configured with </w:t>
            </w:r>
            <w:r w:rsidRPr="00FA0D37">
              <w:rPr>
                <w:i/>
                <w:lang w:eastAsia="sv-SE"/>
              </w:rPr>
              <w:t>nzp-CSI-RS-ResourcesForInterference</w:t>
            </w:r>
            <w:r w:rsidRPr="00FA0D37">
              <w:rPr>
                <w:lang w:eastAsia="sv-SE"/>
              </w:rPr>
              <w:t>; otherwise it is absent.</w:t>
            </w:r>
          </w:p>
        </w:tc>
      </w:tr>
      <w:tr w:rsidR="00375B89" w:rsidRPr="00FA0D37" w14:paraId="180F1DFA" w14:textId="77777777" w:rsidTr="00261E44">
        <w:tc>
          <w:tcPr>
            <w:tcW w:w="4145" w:type="dxa"/>
            <w:tcBorders>
              <w:top w:val="single" w:sz="4" w:space="0" w:color="auto"/>
              <w:left w:val="single" w:sz="4" w:space="0" w:color="auto"/>
              <w:bottom w:val="single" w:sz="4" w:space="0" w:color="auto"/>
              <w:right w:val="single" w:sz="4" w:space="0" w:color="auto"/>
            </w:tcBorders>
            <w:hideMark/>
          </w:tcPr>
          <w:p w14:paraId="3D6C227E" w14:textId="77777777" w:rsidR="00261E44" w:rsidRPr="00FA0D37" w:rsidRDefault="00261E44" w:rsidP="0071565C">
            <w:pPr>
              <w:pStyle w:val="TAL"/>
              <w:rPr>
                <w:i/>
                <w:lang w:eastAsia="sv-SE"/>
              </w:rPr>
            </w:pPr>
            <w:r w:rsidRPr="00FA0D37">
              <w:rPr>
                <w:i/>
                <w:lang w:eastAsia="sv-SE"/>
              </w:rPr>
              <w:t>NoUnifiedTCI</w:t>
            </w:r>
          </w:p>
        </w:tc>
        <w:tc>
          <w:tcPr>
            <w:tcW w:w="10146" w:type="dxa"/>
            <w:tcBorders>
              <w:top w:val="single" w:sz="4" w:space="0" w:color="auto"/>
              <w:left w:val="single" w:sz="4" w:space="0" w:color="auto"/>
              <w:bottom w:val="single" w:sz="4" w:space="0" w:color="auto"/>
              <w:right w:val="single" w:sz="4" w:space="0" w:color="auto"/>
            </w:tcBorders>
            <w:hideMark/>
          </w:tcPr>
          <w:p w14:paraId="78741323" w14:textId="77777777" w:rsidR="00261E44" w:rsidRPr="00FA0D37" w:rsidRDefault="00261E44" w:rsidP="0071565C">
            <w:pPr>
              <w:pStyle w:val="TAL"/>
              <w:rPr>
                <w:lang w:eastAsia="sv-SE"/>
              </w:rPr>
            </w:pPr>
            <w:r w:rsidRPr="00FA0D37">
              <w:rPr>
                <w:lang w:eastAsia="sv-SE"/>
              </w:rPr>
              <w:t xml:space="preserve">This field is absent, Need R, if </w:t>
            </w:r>
            <w:r w:rsidRPr="00FA0D37">
              <w:rPr>
                <w:i/>
                <w:iCs/>
                <w:lang w:eastAsia="sv-SE"/>
              </w:rPr>
              <w:t>unifiedTCI-StateType</w:t>
            </w:r>
            <w:r w:rsidRPr="00FA0D37">
              <w:rPr>
                <w:lang w:eastAsia="sv-SE"/>
              </w:rPr>
              <w:t xml:space="preserve"> is configured for the serving cell in which the </w:t>
            </w:r>
            <w:r w:rsidRPr="00FA0D37">
              <w:rPr>
                <w:i/>
                <w:iCs/>
                <w:lang w:eastAsia="sv-SE"/>
              </w:rPr>
              <w:t>CSI-AperiodicTriggerStateList</w:t>
            </w:r>
            <w:r w:rsidRPr="00FA0D37">
              <w:rPr>
                <w:lang w:eastAsia="sv-SE"/>
              </w:rPr>
              <w:t xml:space="preserve"> is included. It is optionally present, Need R, otherwise.</w:t>
            </w:r>
          </w:p>
        </w:tc>
      </w:tr>
    </w:tbl>
    <w:p w14:paraId="691D3437" w14:textId="77777777" w:rsidR="00394471" w:rsidRPr="00FA0D37" w:rsidRDefault="00394471" w:rsidP="00394471"/>
    <w:p w14:paraId="206908A2" w14:textId="77777777" w:rsidR="00394471" w:rsidRPr="00FA0D37" w:rsidRDefault="00394471" w:rsidP="00394471">
      <w:pPr>
        <w:pStyle w:val="4"/>
      </w:pPr>
      <w:bookmarkStart w:id="975" w:name="_Toc60777211"/>
      <w:bookmarkStart w:id="976" w:name="_Toc146781258"/>
      <w:r w:rsidRPr="00FA0D37">
        <w:t>–</w:t>
      </w:r>
      <w:r w:rsidRPr="00FA0D37">
        <w:tab/>
      </w:r>
      <w:r w:rsidRPr="00FA0D37">
        <w:rPr>
          <w:i/>
        </w:rPr>
        <w:t>CSI-FrequencyOccupation</w:t>
      </w:r>
      <w:bookmarkEnd w:id="975"/>
      <w:bookmarkEnd w:id="976"/>
    </w:p>
    <w:p w14:paraId="787D02D8" w14:textId="77777777" w:rsidR="00394471" w:rsidRPr="00FA0D37" w:rsidRDefault="00394471" w:rsidP="00394471">
      <w:r w:rsidRPr="00FA0D37">
        <w:t xml:space="preserve">The IE </w:t>
      </w:r>
      <w:r w:rsidRPr="00FA0D37">
        <w:rPr>
          <w:i/>
        </w:rPr>
        <w:t>CSI-FrequencyOccupation</w:t>
      </w:r>
      <w:r w:rsidRPr="00FA0D37">
        <w:t xml:space="preserve"> is used to configure the frequency domain occupation of a channel state information measurement resource (e.g. </w:t>
      </w:r>
      <w:r w:rsidRPr="00FA0D37">
        <w:rPr>
          <w:i/>
        </w:rPr>
        <w:t>NZP-CSI-RS-Resource</w:t>
      </w:r>
      <w:r w:rsidRPr="00FA0D37">
        <w:t xml:space="preserve">, </w:t>
      </w:r>
      <w:r w:rsidRPr="00FA0D37">
        <w:rPr>
          <w:i/>
        </w:rPr>
        <w:t>CSI-IM-Resource</w:t>
      </w:r>
      <w:r w:rsidRPr="00FA0D37">
        <w:t>).</w:t>
      </w:r>
    </w:p>
    <w:p w14:paraId="6EE30A0F" w14:textId="77777777" w:rsidR="00394471" w:rsidRPr="00FA0D37" w:rsidRDefault="00394471" w:rsidP="00394471">
      <w:pPr>
        <w:pStyle w:val="TH"/>
      </w:pPr>
      <w:r w:rsidRPr="00FA0D37">
        <w:rPr>
          <w:i/>
        </w:rPr>
        <w:t>CSI-FrequencyOccupation</w:t>
      </w:r>
      <w:r w:rsidRPr="00FA0D37">
        <w:t xml:space="preserve"> information element</w:t>
      </w:r>
    </w:p>
    <w:p w14:paraId="1705C961" w14:textId="77777777" w:rsidR="00394471" w:rsidRPr="00FA0D37" w:rsidRDefault="00394471" w:rsidP="00FA0D37">
      <w:pPr>
        <w:pStyle w:val="PL"/>
        <w:rPr>
          <w:color w:val="808080"/>
        </w:rPr>
      </w:pPr>
      <w:r w:rsidRPr="00FA0D37">
        <w:rPr>
          <w:color w:val="808080"/>
        </w:rPr>
        <w:t>-- ASN1START</w:t>
      </w:r>
    </w:p>
    <w:p w14:paraId="540B3F51" w14:textId="77777777" w:rsidR="00394471" w:rsidRPr="00FA0D37" w:rsidRDefault="00394471" w:rsidP="00FA0D37">
      <w:pPr>
        <w:pStyle w:val="PL"/>
        <w:rPr>
          <w:color w:val="808080"/>
        </w:rPr>
      </w:pPr>
      <w:r w:rsidRPr="00FA0D37">
        <w:rPr>
          <w:color w:val="808080"/>
        </w:rPr>
        <w:t>-- TAG-CSI-FREQUENCYOCCUPATION-START</w:t>
      </w:r>
    </w:p>
    <w:p w14:paraId="4E88DF4A" w14:textId="77777777" w:rsidR="00394471" w:rsidRPr="00FA0D37" w:rsidRDefault="00394471" w:rsidP="00FA0D37">
      <w:pPr>
        <w:pStyle w:val="PL"/>
      </w:pPr>
    </w:p>
    <w:p w14:paraId="73EB040E" w14:textId="77777777" w:rsidR="00394471" w:rsidRPr="00FA0D37" w:rsidRDefault="00394471" w:rsidP="00FA0D37">
      <w:pPr>
        <w:pStyle w:val="PL"/>
      </w:pPr>
      <w:r w:rsidRPr="00FA0D37">
        <w:t xml:space="preserve">CSI-FrequencyOccupation ::=         </w:t>
      </w:r>
      <w:r w:rsidRPr="00FA0D37">
        <w:rPr>
          <w:color w:val="993366"/>
        </w:rPr>
        <w:t>SEQUENCE</w:t>
      </w:r>
      <w:r w:rsidRPr="00FA0D37">
        <w:t xml:space="preserve"> {</w:t>
      </w:r>
    </w:p>
    <w:p w14:paraId="1A0775B0" w14:textId="77777777" w:rsidR="00394471" w:rsidRPr="00FA0D37" w:rsidRDefault="00394471" w:rsidP="00FA0D37">
      <w:pPr>
        <w:pStyle w:val="PL"/>
      </w:pPr>
      <w:r w:rsidRPr="00FA0D37">
        <w:t xml:space="preserve">    startingRB                          </w:t>
      </w:r>
      <w:r w:rsidRPr="00FA0D37">
        <w:rPr>
          <w:color w:val="993366"/>
        </w:rPr>
        <w:t>INTEGER</w:t>
      </w:r>
      <w:r w:rsidRPr="00FA0D37">
        <w:t xml:space="preserve"> (0..maxNrofPhysicalResourceBlocks-1),</w:t>
      </w:r>
    </w:p>
    <w:p w14:paraId="2B3AAA4B" w14:textId="77777777" w:rsidR="00394471" w:rsidRPr="00FA0D37" w:rsidRDefault="00394471" w:rsidP="00FA0D37">
      <w:pPr>
        <w:pStyle w:val="PL"/>
      </w:pPr>
      <w:r w:rsidRPr="00FA0D37">
        <w:t xml:space="preserve">    nrofRBs                             </w:t>
      </w:r>
      <w:r w:rsidRPr="00FA0D37">
        <w:rPr>
          <w:color w:val="993366"/>
        </w:rPr>
        <w:t>INTEGER</w:t>
      </w:r>
      <w:r w:rsidRPr="00FA0D37">
        <w:t xml:space="preserve"> (24..maxNrofPhysicalResourceBlocksPlus1),</w:t>
      </w:r>
    </w:p>
    <w:p w14:paraId="04A3D26C" w14:textId="77777777" w:rsidR="00394471" w:rsidRPr="00FA0D37" w:rsidRDefault="00394471" w:rsidP="00FA0D37">
      <w:pPr>
        <w:pStyle w:val="PL"/>
      </w:pPr>
      <w:r w:rsidRPr="00FA0D37">
        <w:t xml:space="preserve">    ...</w:t>
      </w:r>
    </w:p>
    <w:p w14:paraId="1BCC1E2D" w14:textId="77777777" w:rsidR="00394471" w:rsidRPr="00FA0D37" w:rsidRDefault="00394471" w:rsidP="00FA0D37">
      <w:pPr>
        <w:pStyle w:val="PL"/>
      </w:pPr>
      <w:r w:rsidRPr="00FA0D37">
        <w:t>}</w:t>
      </w:r>
    </w:p>
    <w:p w14:paraId="00AE6CE2" w14:textId="77777777" w:rsidR="00394471" w:rsidRPr="00FA0D37" w:rsidRDefault="00394471" w:rsidP="00FA0D37">
      <w:pPr>
        <w:pStyle w:val="PL"/>
      </w:pPr>
    </w:p>
    <w:p w14:paraId="3E93C6FC" w14:textId="77777777" w:rsidR="00394471" w:rsidRPr="00FA0D37" w:rsidRDefault="00394471" w:rsidP="00FA0D37">
      <w:pPr>
        <w:pStyle w:val="PL"/>
        <w:rPr>
          <w:color w:val="808080"/>
        </w:rPr>
      </w:pPr>
      <w:r w:rsidRPr="00FA0D37">
        <w:rPr>
          <w:color w:val="808080"/>
        </w:rPr>
        <w:t>-- TAG-CSI-FREQUENCYOCCUPATION-STOP</w:t>
      </w:r>
    </w:p>
    <w:p w14:paraId="464583D2" w14:textId="77777777" w:rsidR="00394471" w:rsidRPr="00FA0D37" w:rsidRDefault="00394471" w:rsidP="00FA0D37">
      <w:pPr>
        <w:pStyle w:val="PL"/>
        <w:rPr>
          <w:color w:val="808080"/>
        </w:rPr>
      </w:pPr>
      <w:r w:rsidRPr="00FA0D37">
        <w:rPr>
          <w:color w:val="808080"/>
        </w:rPr>
        <w:t>-- ASN1STOP</w:t>
      </w:r>
    </w:p>
    <w:p w14:paraId="73DEDF2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FA0D37" w:rsidRDefault="00394471" w:rsidP="00964CC4">
            <w:pPr>
              <w:pStyle w:val="TAH"/>
              <w:rPr>
                <w:szCs w:val="22"/>
                <w:lang w:eastAsia="sv-SE"/>
              </w:rPr>
            </w:pPr>
            <w:r w:rsidRPr="00FA0D37">
              <w:rPr>
                <w:i/>
                <w:szCs w:val="22"/>
                <w:lang w:eastAsia="sv-SE"/>
              </w:rPr>
              <w:t xml:space="preserve">CSI-FrequencyOccupation </w:t>
            </w:r>
            <w:r w:rsidRPr="00FA0D37">
              <w:rPr>
                <w:szCs w:val="22"/>
                <w:lang w:eastAsia="sv-SE"/>
              </w:rPr>
              <w:t>field descriptions</w:t>
            </w:r>
          </w:p>
        </w:tc>
      </w:tr>
      <w:tr w:rsidR="005C7FF4" w:rsidRPr="00FA0D37"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FA0D37" w:rsidRDefault="00394471" w:rsidP="00964CC4">
            <w:pPr>
              <w:pStyle w:val="TAL"/>
              <w:rPr>
                <w:szCs w:val="22"/>
                <w:lang w:eastAsia="sv-SE"/>
              </w:rPr>
            </w:pPr>
            <w:r w:rsidRPr="00FA0D37">
              <w:rPr>
                <w:b/>
                <w:i/>
                <w:szCs w:val="22"/>
                <w:lang w:eastAsia="sv-SE"/>
              </w:rPr>
              <w:t>nrofRBs</w:t>
            </w:r>
          </w:p>
          <w:p w14:paraId="32736F74" w14:textId="77777777" w:rsidR="00394471" w:rsidRPr="00FA0D37" w:rsidRDefault="00394471" w:rsidP="00964CC4">
            <w:pPr>
              <w:pStyle w:val="TAL"/>
              <w:rPr>
                <w:szCs w:val="22"/>
                <w:lang w:eastAsia="sv-SE"/>
              </w:rPr>
            </w:pPr>
            <w:r w:rsidRPr="00FA0D37">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FA0D37"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FA0D37" w:rsidRDefault="00394471" w:rsidP="00964CC4">
            <w:pPr>
              <w:pStyle w:val="TAL"/>
              <w:rPr>
                <w:szCs w:val="22"/>
                <w:lang w:eastAsia="sv-SE"/>
              </w:rPr>
            </w:pPr>
            <w:r w:rsidRPr="00FA0D37">
              <w:rPr>
                <w:b/>
                <w:i/>
                <w:szCs w:val="22"/>
                <w:lang w:eastAsia="sv-SE"/>
              </w:rPr>
              <w:t>startingRB</w:t>
            </w:r>
          </w:p>
          <w:p w14:paraId="47EBE83F" w14:textId="77777777" w:rsidR="00394471" w:rsidRPr="00FA0D37" w:rsidRDefault="00394471" w:rsidP="00964CC4">
            <w:pPr>
              <w:pStyle w:val="TAL"/>
              <w:rPr>
                <w:szCs w:val="22"/>
                <w:lang w:eastAsia="sv-SE"/>
              </w:rPr>
            </w:pPr>
            <w:r w:rsidRPr="00FA0D37">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FA0D37" w:rsidRDefault="00394471" w:rsidP="00394471"/>
    <w:p w14:paraId="37A2E45B" w14:textId="77777777" w:rsidR="00394471" w:rsidRPr="00FA0D37" w:rsidRDefault="00394471" w:rsidP="00394471">
      <w:pPr>
        <w:pStyle w:val="4"/>
      </w:pPr>
      <w:bookmarkStart w:id="977" w:name="_Toc60777212"/>
      <w:bookmarkStart w:id="978" w:name="_Toc146781259"/>
      <w:r w:rsidRPr="00FA0D37">
        <w:t>–</w:t>
      </w:r>
      <w:r w:rsidRPr="00FA0D37">
        <w:tab/>
      </w:r>
      <w:r w:rsidRPr="00FA0D37">
        <w:rPr>
          <w:i/>
        </w:rPr>
        <w:t>CSI-IM-Resource</w:t>
      </w:r>
      <w:bookmarkEnd w:id="977"/>
      <w:bookmarkEnd w:id="978"/>
    </w:p>
    <w:p w14:paraId="7F1F3578" w14:textId="77777777" w:rsidR="00394471" w:rsidRPr="00FA0D37" w:rsidRDefault="00394471" w:rsidP="00394471">
      <w:r w:rsidRPr="00FA0D37">
        <w:t xml:space="preserve">The IE </w:t>
      </w:r>
      <w:r w:rsidRPr="00FA0D37">
        <w:rPr>
          <w:i/>
        </w:rPr>
        <w:t>CSI-IM-Resource</w:t>
      </w:r>
      <w:r w:rsidRPr="00FA0D37">
        <w:t xml:space="preserve"> is used to configure one CSI Interference Management (IM) resource.</w:t>
      </w:r>
    </w:p>
    <w:p w14:paraId="6B53488F" w14:textId="77777777" w:rsidR="00394471" w:rsidRPr="00FA0D37" w:rsidRDefault="00394471" w:rsidP="00394471">
      <w:pPr>
        <w:pStyle w:val="TH"/>
      </w:pPr>
      <w:r w:rsidRPr="00FA0D37">
        <w:rPr>
          <w:i/>
        </w:rPr>
        <w:lastRenderedPageBreak/>
        <w:t>CSI-IM-Resource</w:t>
      </w:r>
      <w:r w:rsidRPr="00FA0D37">
        <w:t xml:space="preserve"> information element</w:t>
      </w:r>
    </w:p>
    <w:p w14:paraId="75137B79" w14:textId="77777777" w:rsidR="00394471" w:rsidRPr="00FA0D37" w:rsidRDefault="00394471" w:rsidP="00FA0D37">
      <w:pPr>
        <w:pStyle w:val="PL"/>
        <w:rPr>
          <w:color w:val="808080"/>
        </w:rPr>
      </w:pPr>
      <w:r w:rsidRPr="00FA0D37">
        <w:rPr>
          <w:color w:val="808080"/>
        </w:rPr>
        <w:t>-- ASN1START</w:t>
      </w:r>
    </w:p>
    <w:p w14:paraId="0774D5F5" w14:textId="77777777" w:rsidR="00394471" w:rsidRPr="00FA0D37" w:rsidRDefault="00394471" w:rsidP="00FA0D37">
      <w:pPr>
        <w:pStyle w:val="PL"/>
        <w:rPr>
          <w:color w:val="808080"/>
        </w:rPr>
      </w:pPr>
      <w:r w:rsidRPr="00FA0D37">
        <w:rPr>
          <w:color w:val="808080"/>
        </w:rPr>
        <w:t>-- TAG-CSI-IM-RESOURCE-START</w:t>
      </w:r>
    </w:p>
    <w:p w14:paraId="2840DB5E" w14:textId="77777777" w:rsidR="00394471" w:rsidRPr="00FA0D37" w:rsidRDefault="00394471" w:rsidP="00FA0D37">
      <w:pPr>
        <w:pStyle w:val="PL"/>
      </w:pPr>
    </w:p>
    <w:p w14:paraId="5B2C63F0" w14:textId="77777777" w:rsidR="00394471" w:rsidRPr="00FA0D37" w:rsidRDefault="00394471" w:rsidP="00FA0D37">
      <w:pPr>
        <w:pStyle w:val="PL"/>
      </w:pPr>
      <w:r w:rsidRPr="00FA0D37">
        <w:t xml:space="preserve">CSI-IM-Resource ::=                 </w:t>
      </w:r>
      <w:r w:rsidRPr="00FA0D37">
        <w:rPr>
          <w:color w:val="993366"/>
        </w:rPr>
        <w:t>SEQUENCE</w:t>
      </w:r>
      <w:r w:rsidRPr="00FA0D37">
        <w:t xml:space="preserve"> {</w:t>
      </w:r>
    </w:p>
    <w:p w14:paraId="5102D045" w14:textId="77777777" w:rsidR="00394471" w:rsidRPr="00FA0D37" w:rsidRDefault="00394471" w:rsidP="00FA0D37">
      <w:pPr>
        <w:pStyle w:val="PL"/>
      </w:pPr>
      <w:r w:rsidRPr="00FA0D37">
        <w:t xml:space="preserve">    csi-IM-ResourceId                   CSI-IM-ResourceId,</w:t>
      </w:r>
    </w:p>
    <w:p w14:paraId="73FCB7FC" w14:textId="77777777" w:rsidR="00394471" w:rsidRPr="00FA0D37" w:rsidRDefault="00394471" w:rsidP="00FA0D37">
      <w:pPr>
        <w:pStyle w:val="PL"/>
      </w:pPr>
      <w:r w:rsidRPr="00FA0D37">
        <w:t xml:space="preserve">    csi-IM-ResourceElementPattern           </w:t>
      </w:r>
      <w:r w:rsidRPr="00FA0D37">
        <w:rPr>
          <w:color w:val="993366"/>
        </w:rPr>
        <w:t>CHOICE</w:t>
      </w:r>
      <w:r w:rsidRPr="00FA0D37">
        <w:t xml:space="preserve"> {</w:t>
      </w:r>
    </w:p>
    <w:p w14:paraId="412B4558" w14:textId="77777777" w:rsidR="00394471" w:rsidRPr="00FA0D37" w:rsidRDefault="00394471" w:rsidP="00FA0D37">
      <w:pPr>
        <w:pStyle w:val="PL"/>
      </w:pPr>
      <w:r w:rsidRPr="00FA0D37">
        <w:t xml:space="preserve">        pattern0                                </w:t>
      </w:r>
      <w:r w:rsidRPr="00FA0D37">
        <w:rPr>
          <w:color w:val="993366"/>
        </w:rPr>
        <w:t>SEQUENCE</w:t>
      </w:r>
      <w:r w:rsidRPr="00FA0D37">
        <w:t xml:space="preserve"> {</w:t>
      </w:r>
    </w:p>
    <w:p w14:paraId="3410121E" w14:textId="77777777" w:rsidR="00394471" w:rsidRPr="00FA0D37" w:rsidRDefault="00394471" w:rsidP="00FA0D37">
      <w:pPr>
        <w:pStyle w:val="PL"/>
      </w:pPr>
      <w:r w:rsidRPr="00FA0D37">
        <w:t xml:space="preserve">            subcarrierLocation-p0                   </w:t>
      </w:r>
      <w:r w:rsidRPr="00FA0D37">
        <w:rPr>
          <w:color w:val="993366"/>
        </w:rPr>
        <w:t>ENUMERATED</w:t>
      </w:r>
      <w:r w:rsidRPr="00FA0D37">
        <w:t xml:space="preserve"> { s0, s2, s4, s6, s8, s10 },</w:t>
      </w:r>
    </w:p>
    <w:p w14:paraId="6793D7DF" w14:textId="77777777" w:rsidR="00394471" w:rsidRPr="00FA0D37" w:rsidRDefault="00394471" w:rsidP="00FA0D37">
      <w:pPr>
        <w:pStyle w:val="PL"/>
      </w:pPr>
      <w:r w:rsidRPr="00FA0D37">
        <w:t xml:space="preserve">            symbolLocation-p0                       </w:t>
      </w:r>
      <w:r w:rsidRPr="00FA0D37">
        <w:rPr>
          <w:color w:val="993366"/>
        </w:rPr>
        <w:t>INTEGER</w:t>
      </w:r>
      <w:r w:rsidRPr="00FA0D37">
        <w:t xml:space="preserve"> (0..12)</w:t>
      </w:r>
    </w:p>
    <w:p w14:paraId="2DCD7116" w14:textId="77777777" w:rsidR="00394471" w:rsidRPr="00FA0D37" w:rsidRDefault="00394471" w:rsidP="00FA0D37">
      <w:pPr>
        <w:pStyle w:val="PL"/>
      </w:pPr>
      <w:r w:rsidRPr="00FA0D37">
        <w:t xml:space="preserve">        },</w:t>
      </w:r>
    </w:p>
    <w:p w14:paraId="3D78221F" w14:textId="77777777" w:rsidR="00394471" w:rsidRPr="00FA0D37" w:rsidRDefault="00394471" w:rsidP="00FA0D37">
      <w:pPr>
        <w:pStyle w:val="PL"/>
      </w:pPr>
      <w:r w:rsidRPr="00FA0D37">
        <w:t xml:space="preserve">        pattern1                                </w:t>
      </w:r>
      <w:r w:rsidRPr="00FA0D37">
        <w:rPr>
          <w:color w:val="993366"/>
        </w:rPr>
        <w:t>SEQUENCE</w:t>
      </w:r>
      <w:r w:rsidRPr="00FA0D37">
        <w:t xml:space="preserve"> {</w:t>
      </w:r>
    </w:p>
    <w:p w14:paraId="44C1E3E4" w14:textId="77777777" w:rsidR="00394471" w:rsidRPr="00FA0D37" w:rsidRDefault="00394471" w:rsidP="00FA0D37">
      <w:pPr>
        <w:pStyle w:val="PL"/>
      </w:pPr>
      <w:r w:rsidRPr="00FA0D37">
        <w:t xml:space="preserve">            subcarrierLocation-p1                   </w:t>
      </w:r>
      <w:r w:rsidRPr="00FA0D37">
        <w:rPr>
          <w:color w:val="993366"/>
        </w:rPr>
        <w:t>ENUMERATED</w:t>
      </w:r>
      <w:r w:rsidRPr="00FA0D37">
        <w:t xml:space="preserve"> { s0, s4, s8 },</w:t>
      </w:r>
    </w:p>
    <w:p w14:paraId="5D50797E" w14:textId="77777777" w:rsidR="00394471" w:rsidRPr="00FA0D37" w:rsidRDefault="00394471" w:rsidP="00FA0D37">
      <w:pPr>
        <w:pStyle w:val="PL"/>
      </w:pPr>
      <w:r w:rsidRPr="00FA0D37">
        <w:t xml:space="preserve">            symbolLocation-p1                       </w:t>
      </w:r>
      <w:r w:rsidRPr="00FA0D37">
        <w:rPr>
          <w:color w:val="993366"/>
        </w:rPr>
        <w:t>INTEGER</w:t>
      </w:r>
      <w:r w:rsidRPr="00FA0D37">
        <w:t xml:space="preserve"> (0..13)</w:t>
      </w:r>
    </w:p>
    <w:p w14:paraId="7351C48A" w14:textId="77777777" w:rsidR="00394471" w:rsidRPr="00FA0D37" w:rsidRDefault="00394471" w:rsidP="00FA0D37">
      <w:pPr>
        <w:pStyle w:val="PL"/>
      </w:pPr>
      <w:r w:rsidRPr="00FA0D37">
        <w:t xml:space="preserve">        }</w:t>
      </w:r>
    </w:p>
    <w:p w14:paraId="22EDE64F"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1BA92810" w14:textId="77777777" w:rsidR="00394471" w:rsidRPr="00FA0D37" w:rsidRDefault="00394471" w:rsidP="00FA0D37">
      <w:pPr>
        <w:pStyle w:val="PL"/>
        <w:rPr>
          <w:color w:val="808080"/>
        </w:rPr>
      </w:pPr>
      <w:r w:rsidRPr="00FA0D37">
        <w:t xml:space="preserve">    freqBand                            CSI-FrequencyOccupation                         </w:t>
      </w:r>
      <w:r w:rsidRPr="00FA0D37">
        <w:rPr>
          <w:color w:val="993366"/>
        </w:rPr>
        <w:t>OPTIONAL</w:t>
      </w:r>
      <w:r w:rsidRPr="00FA0D37">
        <w:t xml:space="preserve">,   </w:t>
      </w:r>
      <w:r w:rsidRPr="00FA0D37">
        <w:rPr>
          <w:color w:val="808080"/>
        </w:rPr>
        <w:t>-- Need M</w:t>
      </w:r>
    </w:p>
    <w:p w14:paraId="4372AC9A" w14:textId="77777777" w:rsidR="00394471" w:rsidRPr="00FA0D37" w:rsidRDefault="00394471" w:rsidP="00FA0D37">
      <w:pPr>
        <w:pStyle w:val="PL"/>
        <w:rPr>
          <w:color w:val="808080"/>
        </w:rPr>
      </w:pPr>
      <w:r w:rsidRPr="00FA0D37">
        <w:t xml:space="preserve">    periodicityAndOffset                CSI-ResourcePeriodicityAndOffset                </w:t>
      </w:r>
      <w:r w:rsidRPr="00FA0D37">
        <w:rPr>
          <w:color w:val="993366"/>
        </w:rPr>
        <w:t>OPTIONAL</w:t>
      </w:r>
      <w:r w:rsidRPr="00FA0D37">
        <w:t xml:space="preserve">,   </w:t>
      </w:r>
      <w:r w:rsidRPr="00FA0D37">
        <w:rPr>
          <w:color w:val="808080"/>
        </w:rPr>
        <w:t>-- Cond PeriodicOrSemiPersistent</w:t>
      </w:r>
    </w:p>
    <w:p w14:paraId="21547207" w14:textId="77777777" w:rsidR="00394471" w:rsidRPr="00FA0D37" w:rsidRDefault="00394471" w:rsidP="00FA0D37">
      <w:pPr>
        <w:pStyle w:val="PL"/>
      </w:pPr>
      <w:r w:rsidRPr="00FA0D37">
        <w:t xml:space="preserve">    ...</w:t>
      </w:r>
    </w:p>
    <w:p w14:paraId="3FA74777" w14:textId="77777777" w:rsidR="00394471" w:rsidRPr="00FA0D37" w:rsidRDefault="00394471" w:rsidP="00FA0D37">
      <w:pPr>
        <w:pStyle w:val="PL"/>
      </w:pPr>
      <w:r w:rsidRPr="00FA0D37">
        <w:t>}</w:t>
      </w:r>
    </w:p>
    <w:p w14:paraId="0F6D80AB" w14:textId="77777777" w:rsidR="00394471" w:rsidRPr="00FA0D37" w:rsidRDefault="00394471" w:rsidP="00FA0D37">
      <w:pPr>
        <w:pStyle w:val="PL"/>
      </w:pPr>
    </w:p>
    <w:p w14:paraId="76EDCAD4" w14:textId="77777777" w:rsidR="00394471" w:rsidRPr="00FA0D37" w:rsidRDefault="00394471" w:rsidP="00FA0D37">
      <w:pPr>
        <w:pStyle w:val="PL"/>
        <w:rPr>
          <w:color w:val="808080"/>
        </w:rPr>
      </w:pPr>
      <w:r w:rsidRPr="00FA0D37">
        <w:rPr>
          <w:color w:val="808080"/>
        </w:rPr>
        <w:t>-- TAG-CSI-IM-RESOURCE-STOP</w:t>
      </w:r>
    </w:p>
    <w:p w14:paraId="1B8B1563" w14:textId="77777777" w:rsidR="00394471" w:rsidRPr="00FA0D37" w:rsidRDefault="00394471" w:rsidP="00FA0D37">
      <w:pPr>
        <w:pStyle w:val="PL"/>
        <w:rPr>
          <w:color w:val="808080"/>
        </w:rPr>
      </w:pPr>
      <w:r w:rsidRPr="00FA0D37">
        <w:rPr>
          <w:color w:val="808080"/>
        </w:rPr>
        <w:t>-- ASN1STOP</w:t>
      </w:r>
    </w:p>
    <w:p w14:paraId="41C03FD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FA0D37" w:rsidRDefault="00394471" w:rsidP="00964CC4">
            <w:pPr>
              <w:pStyle w:val="TAH"/>
              <w:rPr>
                <w:szCs w:val="22"/>
                <w:lang w:eastAsia="sv-SE"/>
              </w:rPr>
            </w:pPr>
            <w:r w:rsidRPr="00FA0D37">
              <w:rPr>
                <w:i/>
                <w:szCs w:val="22"/>
                <w:lang w:eastAsia="sv-SE"/>
              </w:rPr>
              <w:t xml:space="preserve">CSI-IM-Resource </w:t>
            </w:r>
            <w:r w:rsidRPr="00FA0D37">
              <w:rPr>
                <w:szCs w:val="22"/>
                <w:lang w:eastAsia="sv-SE"/>
              </w:rPr>
              <w:t>field descriptions</w:t>
            </w:r>
          </w:p>
        </w:tc>
      </w:tr>
      <w:tr w:rsidR="005C7FF4" w:rsidRPr="00FA0D37"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FA0D37" w:rsidRDefault="00394471" w:rsidP="00964CC4">
            <w:pPr>
              <w:pStyle w:val="TAL"/>
              <w:rPr>
                <w:szCs w:val="22"/>
                <w:lang w:eastAsia="sv-SE"/>
              </w:rPr>
            </w:pPr>
            <w:r w:rsidRPr="00FA0D37">
              <w:rPr>
                <w:b/>
                <w:i/>
                <w:szCs w:val="22"/>
                <w:lang w:eastAsia="sv-SE"/>
              </w:rPr>
              <w:t>csi-IM-ResourceElementPattern</w:t>
            </w:r>
          </w:p>
          <w:p w14:paraId="259B077D" w14:textId="77777777" w:rsidR="00394471" w:rsidRPr="00FA0D37" w:rsidRDefault="00394471" w:rsidP="00964CC4">
            <w:pPr>
              <w:pStyle w:val="TAL"/>
              <w:rPr>
                <w:szCs w:val="22"/>
                <w:lang w:eastAsia="sv-SE"/>
              </w:rPr>
            </w:pPr>
            <w:r w:rsidRPr="00FA0D37">
              <w:rPr>
                <w:szCs w:val="22"/>
                <w:lang w:eastAsia="sv-SE"/>
              </w:rPr>
              <w:t>The resource element pattern (Pattern0 (2,2) or Pattern1 (4,1)) with corresponding parameters (see TS 38.214 [19], clause 5.2.2.4)</w:t>
            </w:r>
          </w:p>
        </w:tc>
      </w:tr>
      <w:tr w:rsidR="005C7FF4" w:rsidRPr="00FA0D37"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FA0D37" w:rsidRDefault="00394471" w:rsidP="00964CC4">
            <w:pPr>
              <w:pStyle w:val="TAL"/>
              <w:rPr>
                <w:szCs w:val="22"/>
                <w:lang w:eastAsia="sv-SE"/>
              </w:rPr>
            </w:pPr>
            <w:r w:rsidRPr="00FA0D37">
              <w:rPr>
                <w:b/>
                <w:i/>
                <w:szCs w:val="22"/>
                <w:lang w:eastAsia="sv-SE"/>
              </w:rPr>
              <w:t>freqBand</w:t>
            </w:r>
          </w:p>
          <w:p w14:paraId="38CFB7AF" w14:textId="77777777" w:rsidR="00394471" w:rsidRPr="00FA0D37" w:rsidRDefault="00394471" w:rsidP="00964CC4">
            <w:pPr>
              <w:pStyle w:val="TAL"/>
              <w:rPr>
                <w:szCs w:val="22"/>
                <w:lang w:eastAsia="sv-SE"/>
              </w:rPr>
            </w:pPr>
            <w:r w:rsidRPr="00FA0D37">
              <w:rPr>
                <w:szCs w:val="22"/>
                <w:lang w:eastAsia="sv-SE"/>
              </w:rPr>
              <w:t>Frequency-occupancy of CSI-IM (see TS 38.214 [19], clause 5.2.2.4)</w:t>
            </w:r>
          </w:p>
        </w:tc>
      </w:tr>
      <w:tr w:rsidR="005C7FF4" w:rsidRPr="00FA0D37"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FA0D37" w:rsidRDefault="00394471" w:rsidP="00964CC4">
            <w:pPr>
              <w:pStyle w:val="TAL"/>
              <w:rPr>
                <w:szCs w:val="22"/>
                <w:lang w:eastAsia="sv-SE"/>
              </w:rPr>
            </w:pPr>
            <w:r w:rsidRPr="00FA0D37">
              <w:rPr>
                <w:b/>
                <w:i/>
                <w:szCs w:val="22"/>
                <w:lang w:eastAsia="sv-SE"/>
              </w:rPr>
              <w:t>periodicityAndOffset</w:t>
            </w:r>
          </w:p>
          <w:p w14:paraId="023365F2" w14:textId="77777777" w:rsidR="00394471" w:rsidRPr="00FA0D37" w:rsidRDefault="00394471" w:rsidP="00964CC4">
            <w:pPr>
              <w:pStyle w:val="TAL"/>
              <w:rPr>
                <w:szCs w:val="22"/>
                <w:lang w:eastAsia="sv-SE"/>
              </w:rPr>
            </w:pPr>
            <w:r w:rsidRPr="00FA0D37">
              <w:rPr>
                <w:szCs w:val="22"/>
                <w:lang w:eastAsia="sv-SE"/>
              </w:rPr>
              <w:t>Periodicity and slot offset for periodic/semi-persistent CSI-IM. Network always configures</w:t>
            </w:r>
            <w:r w:rsidRPr="00FA0D37">
              <w:rPr>
                <w:lang w:eastAsia="sv-SE"/>
              </w:rPr>
              <w:t xml:space="preserve"> the UE with a value for</w:t>
            </w:r>
            <w:r w:rsidRPr="00FA0D37">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5C7FF4" w:rsidRPr="00FA0D37"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FA0D37" w:rsidRDefault="00394471" w:rsidP="00964CC4">
            <w:pPr>
              <w:pStyle w:val="TAL"/>
              <w:rPr>
                <w:szCs w:val="22"/>
                <w:lang w:eastAsia="sv-SE"/>
              </w:rPr>
            </w:pPr>
            <w:r w:rsidRPr="00FA0D37">
              <w:rPr>
                <w:b/>
                <w:i/>
                <w:szCs w:val="22"/>
                <w:lang w:eastAsia="sv-SE"/>
              </w:rPr>
              <w:t>subcarrierLocation-p0</w:t>
            </w:r>
          </w:p>
          <w:p w14:paraId="3EDC368D" w14:textId="77777777" w:rsidR="00394471" w:rsidRPr="00FA0D37" w:rsidRDefault="00394471" w:rsidP="00964CC4">
            <w:pPr>
              <w:pStyle w:val="TAL"/>
              <w:rPr>
                <w:szCs w:val="22"/>
                <w:lang w:eastAsia="sv-SE"/>
              </w:rPr>
            </w:pPr>
            <w:r w:rsidRPr="00FA0D37">
              <w:rPr>
                <w:szCs w:val="22"/>
                <w:lang w:eastAsia="sv-SE"/>
              </w:rPr>
              <w:t>OFDM subcarrier occupancy of the CSI-IM resource for Pattern0 (see TS 38.214 [19], clause 5.2.2.4)</w:t>
            </w:r>
          </w:p>
        </w:tc>
      </w:tr>
      <w:tr w:rsidR="005C7FF4" w:rsidRPr="00FA0D37"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FA0D37" w:rsidRDefault="00394471" w:rsidP="00964CC4">
            <w:pPr>
              <w:pStyle w:val="TAL"/>
              <w:rPr>
                <w:szCs w:val="22"/>
                <w:lang w:eastAsia="sv-SE"/>
              </w:rPr>
            </w:pPr>
            <w:r w:rsidRPr="00FA0D37">
              <w:rPr>
                <w:b/>
                <w:i/>
                <w:szCs w:val="22"/>
                <w:lang w:eastAsia="sv-SE"/>
              </w:rPr>
              <w:t>subcarrierLocation-p1</w:t>
            </w:r>
          </w:p>
          <w:p w14:paraId="290537CD" w14:textId="77777777" w:rsidR="00394471" w:rsidRPr="00FA0D37" w:rsidRDefault="00394471" w:rsidP="00964CC4">
            <w:pPr>
              <w:pStyle w:val="TAL"/>
              <w:rPr>
                <w:szCs w:val="22"/>
                <w:lang w:eastAsia="sv-SE"/>
              </w:rPr>
            </w:pPr>
            <w:r w:rsidRPr="00FA0D37">
              <w:rPr>
                <w:szCs w:val="22"/>
                <w:lang w:eastAsia="sv-SE"/>
              </w:rPr>
              <w:t>OFDM subcarrier occupancy of the CSI-IM resource for Pattern1 (see TS 38.214 [19], clause 5.2.2.4)</w:t>
            </w:r>
          </w:p>
        </w:tc>
      </w:tr>
      <w:tr w:rsidR="005C7FF4" w:rsidRPr="00FA0D37"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FA0D37" w:rsidRDefault="00394471" w:rsidP="00964CC4">
            <w:pPr>
              <w:pStyle w:val="TAL"/>
              <w:rPr>
                <w:szCs w:val="22"/>
                <w:lang w:eastAsia="sv-SE"/>
              </w:rPr>
            </w:pPr>
            <w:r w:rsidRPr="00FA0D37">
              <w:rPr>
                <w:b/>
                <w:i/>
                <w:szCs w:val="22"/>
                <w:lang w:eastAsia="sv-SE"/>
              </w:rPr>
              <w:t>symbolLocation-p0</w:t>
            </w:r>
          </w:p>
          <w:p w14:paraId="1A010E6E" w14:textId="77777777" w:rsidR="00394471" w:rsidRPr="00FA0D37" w:rsidRDefault="00394471" w:rsidP="00964CC4">
            <w:pPr>
              <w:pStyle w:val="TAL"/>
              <w:rPr>
                <w:szCs w:val="22"/>
                <w:lang w:eastAsia="sv-SE"/>
              </w:rPr>
            </w:pPr>
            <w:r w:rsidRPr="00FA0D37">
              <w:rPr>
                <w:szCs w:val="22"/>
                <w:lang w:eastAsia="sv-SE"/>
              </w:rPr>
              <w:t>OFDM symbol location of the CSI-IM resource for Pattern0 (see TS 38.214 [19], clause 5.2.2.4)</w:t>
            </w:r>
          </w:p>
        </w:tc>
      </w:tr>
      <w:tr w:rsidR="00394471" w:rsidRPr="00FA0D37"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FA0D37" w:rsidRDefault="00394471" w:rsidP="00964CC4">
            <w:pPr>
              <w:pStyle w:val="TAL"/>
              <w:rPr>
                <w:szCs w:val="22"/>
                <w:lang w:eastAsia="sv-SE"/>
              </w:rPr>
            </w:pPr>
            <w:r w:rsidRPr="00FA0D37">
              <w:rPr>
                <w:b/>
                <w:i/>
                <w:szCs w:val="22"/>
                <w:lang w:eastAsia="sv-SE"/>
              </w:rPr>
              <w:t>symbolLocation-p1</w:t>
            </w:r>
          </w:p>
          <w:p w14:paraId="2B107184" w14:textId="77777777" w:rsidR="00394471" w:rsidRPr="00FA0D37" w:rsidRDefault="00394471" w:rsidP="00964CC4">
            <w:pPr>
              <w:pStyle w:val="TAL"/>
              <w:rPr>
                <w:szCs w:val="22"/>
                <w:lang w:eastAsia="sv-SE"/>
              </w:rPr>
            </w:pPr>
            <w:r w:rsidRPr="00FA0D37">
              <w:rPr>
                <w:szCs w:val="22"/>
                <w:lang w:eastAsia="sv-SE"/>
              </w:rPr>
              <w:t>OFDM symbol location of the CSI-IM resource for Pattern1 (see TS 38.214 [19], clause 5.2.2.4)</w:t>
            </w:r>
          </w:p>
        </w:tc>
      </w:tr>
    </w:tbl>
    <w:p w14:paraId="0FB779A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FA0D37" w:rsidRDefault="00394471" w:rsidP="00964CC4">
            <w:pPr>
              <w:pStyle w:val="TAH"/>
              <w:rPr>
                <w:szCs w:val="22"/>
                <w:lang w:eastAsia="sv-SE"/>
              </w:rPr>
            </w:pPr>
            <w:r w:rsidRPr="00FA0D37">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FA0D37" w:rsidRDefault="00394471" w:rsidP="00964CC4">
            <w:pPr>
              <w:pStyle w:val="TAH"/>
              <w:rPr>
                <w:szCs w:val="22"/>
                <w:lang w:eastAsia="sv-SE"/>
              </w:rPr>
            </w:pPr>
            <w:r w:rsidRPr="00FA0D37">
              <w:rPr>
                <w:szCs w:val="22"/>
                <w:lang w:eastAsia="sv-SE"/>
              </w:rPr>
              <w:t>Explanation</w:t>
            </w:r>
          </w:p>
        </w:tc>
      </w:tr>
      <w:tr w:rsidR="00394471" w:rsidRPr="00FA0D37"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FA0D37" w:rsidRDefault="00394471" w:rsidP="00964CC4">
            <w:pPr>
              <w:pStyle w:val="TAL"/>
              <w:rPr>
                <w:i/>
                <w:szCs w:val="22"/>
                <w:lang w:eastAsia="sv-SE"/>
              </w:rPr>
            </w:pPr>
            <w:r w:rsidRPr="00FA0D37">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FA0D37" w:rsidRDefault="00394471" w:rsidP="00964CC4">
            <w:pPr>
              <w:pStyle w:val="TAL"/>
              <w:rPr>
                <w:szCs w:val="22"/>
                <w:lang w:eastAsia="sv-SE"/>
              </w:rPr>
            </w:pPr>
            <w:r w:rsidRPr="00FA0D37">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FA0D37" w:rsidRDefault="00394471" w:rsidP="00394471"/>
    <w:p w14:paraId="64660D39" w14:textId="77777777" w:rsidR="00394471" w:rsidRPr="00FA0D37" w:rsidRDefault="00394471" w:rsidP="00394471">
      <w:pPr>
        <w:pStyle w:val="4"/>
      </w:pPr>
      <w:bookmarkStart w:id="979" w:name="_Toc60777213"/>
      <w:bookmarkStart w:id="980" w:name="_Toc146781260"/>
      <w:r w:rsidRPr="00FA0D37">
        <w:t>–</w:t>
      </w:r>
      <w:r w:rsidRPr="00FA0D37">
        <w:tab/>
      </w:r>
      <w:r w:rsidRPr="00FA0D37">
        <w:rPr>
          <w:i/>
        </w:rPr>
        <w:t>CSI-IM-ResourceId</w:t>
      </w:r>
      <w:bookmarkEnd w:id="979"/>
      <w:bookmarkEnd w:id="980"/>
    </w:p>
    <w:p w14:paraId="3A164329" w14:textId="77777777" w:rsidR="00394471" w:rsidRPr="00FA0D37" w:rsidRDefault="00394471" w:rsidP="00394471">
      <w:r w:rsidRPr="00FA0D37">
        <w:t xml:space="preserve">The IE </w:t>
      </w:r>
      <w:r w:rsidRPr="00FA0D37">
        <w:rPr>
          <w:i/>
        </w:rPr>
        <w:t>CSI-IM-ResourceId</w:t>
      </w:r>
      <w:r w:rsidRPr="00FA0D37">
        <w:t xml:space="preserve"> is used to identify one </w:t>
      </w:r>
      <w:r w:rsidRPr="00FA0D37">
        <w:rPr>
          <w:i/>
        </w:rPr>
        <w:t>CSI-IM-Resource</w:t>
      </w:r>
      <w:r w:rsidRPr="00FA0D37">
        <w:t>.</w:t>
      </w:r>
    </w:p>
    <w:p w14:paraId="031B549D" w14:textId="77777777" w:rsidR="00394471" w:rsidRPr="00FA0D37" w:rsidRDefault="00394471" w:rsidP="00394471">
      <w:pPr>
        <w:pStyle w:val="TH"/>
      </w:pPr>
      <w:r w:rsidRPr="00FA0D37">
        <w:rPr>
          <w:i/>
        </w:rPr>
        <w:t>CSI-IM-ResourceId</w:t>
      </w:r>
      <w:r w:rsidRPr="00FA0D37">
        <w:t xml:space="preserve"> information element</w:t>
      </w:r>
    </w:p>
    <w:p w14:paraId="4A89C0E9" w14:textId="77777777" w:rsidR="00394471" w:rsidRPr="00FA0D37" w:rsidRDefault="00394471" w:rsidP="00FA0D37">
      <w:pPr>
        <w:pStyle w:val="PL"/>
        <w:rPr>
          <w:color w:val="808080"/>
        </w:rPr>
      </w:pPr>
      <w:r w:rsidRPr="00FA0D37">
        <w:rPr>
          <w:color w:val="808080"/>
        </w:rPr>
        <w:t>-- ASN1START</w:t>
      </w:r>
    </w:p>
    <w:p w14:paraId="21BA7521" w14:textId="77777777" w:rsidR="00394471" w:rsidRPr="00FA0D37" w:rsidRDefault="00394471" w:rsidP="00FA0D37">
      <w:pPr>
        <w:pStyle w:val="PL"/>
        <w:rPr>
          <w:color w:val="808080"/>
        </w:rPr>
      </w:pPr>
      <w:r w:rsidRPr="00FA0D37">
        <w:rPr>
          <w:color w:val="808080"/>
        </w:rPr>
        <w:t>-- TAG-CSI-IM-RESOURCEID-START</w:t>
      </w:r>
    </w:p>
    <w:p w14:paraId="092C2C3D" w14:textId="77777777" w:rsidR="00394471" w:rsidRPr="00FA0D37" w:rsidRDefault="00394471" w:rsidP="00FA0D37">
      <w:pPr>
        <w:pStyle w:val="PL"/>
      </w:pPr>
    </w:p>
    <w:p w14:paraId="7EA9CAF1" w14:textId="77777777" w:rsidR="00394471" w:rsidRPr="00FA0D37" w:rsidRDefault="00394471" w:rsidP="00FA0D37">
      <w:pPr>
        <w:pStyle w:val="PL"/>
      </w:pPr>
      <w:r w:rsidRPr="00FA0D37">
        <w:t xml:space="preserve">CSI-IM-ResourceId ::=               </w:t>
      </w:r>
      <w:r w:rsidRPr="00FA0D37">
        <w:rPr>
          <w:color w:val="993366"/>
        </w:rPr>
        <w:t>INTEGER</w:t>
      </w:r>
      <w:r w:rsidRPr="00FA0D37">
        <w:t xml:space="preserve"> (0..maxNrofCSI-IM-Resources-1)</w:t>
      </w:r>
    </w:p>
    <w:p w14:paraId="52DB74E3" w14:textId="77777777" w:rsidR="00394471" w:rsidRPr="00FA0D37" w:rsidRDefault="00394471" w:rsidP="00FA0D37">
      <w:pPr>
        <w:pStyle w:val="PL"/>
      </w:pPr>
    </w:p>
    <w:p w14:paraId="482013B0" w14:textId="77777777" w:rsidR="00394471" w:rsidRPr="00FA0D37" w:rsidRDefault="00394471" w:rsidP="00FA0D37">
      <w:pPr>
        <w:pStyle w:val="PL"/>
        <w:rPr>
          <w:color w:val="808080"/>
        </w:rPr>
      </w:pPr>
      <w:r w:rsidRPr="00FA0D37">
        <w:rPr>
          <w:color w:val="808080"/>
        </w:rPr>
        <w:t>-- TAG-CSI-IM-RESOURCEID-STOP</w:t>
      </w:r>
    </w:p>
    <w:p w14:paraId="11A01E02" w14:textId="77777777" w:rsidR="00394471" w:rsidRPr="00FA0D37" w:rsidRDefault="00394471" w:rsidP="00FA0D37">
      <w:pPr>
        <w:pStyle w:val="PL"/>
        <w:rPr>
          <w:color w:val="808080"/>
        </w:rPr>
      </w:pPr>
      <w:r w:rsidRPr="00FA0D37">
        <w:rPr>
          <w:color w:val="808080"/>
        </w:rPr>
        <w:t>-- ASN1STOP</w:t>
      </w:r>
    </w:p>
    <w:p w14:paraId="46ABE8C0" w14:textId="77777777" w:rsidR="00394471" w:rsidRPr="00FA0D37" w:rsidRDefault="00394471" w:rsidP="00394471"/>
    <w:p w14:paraId="4C0CE62A" w14:textId="77777777" w:rsidR="00394471" w:rsidRPr="00FA0D37" w:rsidRDefault="00394471" w:rsidP="00394471">
      <w:pPr>
        <w:pStyle w:val="4"/>
      </w:pPr>
      <w:bookmarkStart w:id="981" w:name="_Toc60777214"/>
      <w:bookmarkStart w:id="982" w:name="_Toc146781261"/>
      <w:r w:rsidRPr="00FA0D37">
        <w:t>–</w:t>
      </w:r>
      <w:r w:rsidRPr="00FA0D37">
        <w:tab/>
      </w:r>
      <w:r w:rsidRPr="00FA0D37">
        <w:rPr>
          <w:i/>
        </w:rPr>
        <w:t>CSI-IM-ResourceSet</w:t>
      </w:r>
      <w:bookmarkEnd w:id="981"/>
      <w:bookmarkEnd w:id="982"/>
    </w:p>
    <w:p w14:paraId="25E6BFFD" w14:textId="77777777" w:rsidR="00394471" w:rsidRPr="00FA0D37" w:rsidRDefault="00394471" w:rsidP="00394471">
      <w:r w:rsidRPr="00FA0D37">
        <w:t xml:space="preserve">The IE </w:t>
      </w:r>
      <w:r w:rsidRPr="00FA0D37">
        <w:rPr>
          <w:i/>
        </w:rPr>
        <w:t>CSI-IM-ResourceSet</w:t>
      </w:r>
      <w:r w:rsidRPr="00FA0D37">
        <w:t xml:space="preserve"> is used to configure a set of one or more CSI Interference Management (IM) resources (their IDs) and set-specific parameters.</w:t>
      </w:r>
    </w:p>
    <w:p w14:paraId="20600183" w14:textId="77777777" w:rsidR="00394471" w:rsidRPr="00FA0D37" w:rsidRDefault="00394471" w:rsidP="00394471">
      <w:pPr>
        <w:pStyle w:val="TH"/>
      </w:pPr>
      <w:r w:rsidRPr="00FA0D37">
        <w:rPr>
          <w:i/>
        </w:rPr>
        <w:t>CSI-IM-ResourceSet</w:t>
      </w:r>
      <w:r w:rsidRPr="00FA0D37">
        <w:t xml:space="preserve"> information element</w:t>
      </w:r>
    </w:p>
    <w:p w14:paraId="1E26C5B3" w14:textId="77777777" w:rsidR="00394471" w:rsidRPr="00FA0D37" w:rsidRDefault="00394471" w:rsidP="00FA0D37">
      <w:pPr>
        <w:pStyle w:val="PL"/>
        <w:rPr>
          <w:color w:val="808080"/>
        </w:rPr>
      </w:pPr>
      <w:r w:rsidRPr="00FA0D37">
        <w:rPr>
          <w:color w:val="808080"/>
        </w:rPr>
        <w:t>-- ASN1START</w:t>
      </w:r>
    </w:p>
    <w:p w14:paraId="507B25F7" w14:textId="77777777" w:rsidR="00394471" w:rsidRPr="00FA0D37" w:rsidRDefault="00394471" w:rsidP="00FA0D37">
      <w:pPr>
        <w:pStyle w:val="PL"/>
        <w:rPr>
          <w:color w:val="808080"/>
        </w:rPr>
      </w:pPr>
      <w:r w:rsidRPr="00FA0D37">
        <w:rPr>
          <w:color w:val="808080"/>
        </w:rPr>
        <w:t>-- TAG-CSI-IM-RESOURCESET-START</w:t>
      </w:r>
    </w:p>
    <w:p w14:paraId="1F6C4894" w14:textId="77777777" w:rsidR="00394471" w:rsidRPr="00FA0D37" w:rsidRDefault="00394471" w:rsidP="00FA0D37">
      <w:pPr>
        <w:pStyle w:val="PL"/>
      </w:pPr>
    </w:p>
    <w:p w14:paraId="1829130F" w14:textId="77777777" w:rsidR="00394471" w:rsidRPr="00FA0D37" w:rsidRDefault="00394471" w:rsidP="00FA0D37">
      <w:pPr>
        <w:pStyle w:val="PL"/>
      </w:pPr>
      <w:r w:rsidRPr="00FA0D37">
        <w:t xml:space="preserve">CSI-IM-ResourceSet ::=              </w:t>
      </w:r>
      <w:r w:rsidRPr="00FA0D37">
        <w:rPr>
          <w:color w:val="993366"/>
        </w:rPr>
        <w:t>SEQUENCE</w:t>
      </w:r>
      <w:r w:rsidRPr="00FA0D37">
        <w:t xml:space="preserve"> {</w:t>
      </w:r>
    </w:p>
    <w:p w14:paraId="7ACCF040" w14:textId="77777777" w:rsidR="00394471" w:rsidRPr="00FA0D37" w:rsidRDefault="00394471" w:rsidP="00FA0D37">
      <w:pPr>
        <w:pStyle w:val="PL"/>
      </w:pPr>
      <w:r w:rsidRPr="00FA0D37">
        <w:t xml:space="preserve">    csi-IM-ResourceSetId                CSI-IM-ResourceSetId,</w:t>
      </w:r>
    </w:p>
    <w:p w14:paraId="2329C43C" w14:textId="77777777" w:rsidR="00394471" w:rsidRPr="00FA0D37" w:rsidRDefault="00394471" w:rsidP="00FA0D37">
      <w:pPr>
        <w:pStyle w:val="PL"/>
      </w:pPr>
      <w:r w:rsidRPr="00FA0D37">
        <w:t xml:space="preserve">    csi-IM-Resources                    </w:t>
      </w:r>
      <w:r w:rsidRPr="00FA0D37">
        <w:rPr>
          <w:color w:val="993366"/>
        </w:rPr>
        <w:t>SEQUENCE</w:t>
      </w:r>
      <w:r w:rsidRPr="00FA0D37">
        <w:t xml:space="preserve"> (</w:t>
      </w:r>
      <w:r w:rsidRPr="00FA0D37">
        <w:rPr>
          <w:color w:val="993366"/>
        </w:rPr>
        <w:t>SIZE</w:t>
      </w:r>
      <w:r w:rsidRPr="00FA0D37">
        <w:t>(1..maxNrofCSI-IM-ResourcesPerSet))</w:t>
      </w:r>
      <w:r w:rsidRPr="00FA0D37">
        <w:rPr>
          <w:color w:val="993366"/>
        </w:rPr>
        <w:t xml:space="preserve"> OF</w:t>
      </w:r>
      <w:r w:rsidRPr="00FA0D37">
        <w:t xml:space="preserve"> CSI-IM-ResourceId,</w:t>
      </w:r>
    </w:p>
    <w:p w14:paraId="1459E460" w14:textId="77777777" w:rsidR="00394471" w:rsidRPr="00FA0D37" w:rsidRDefault="00394471" w:rsidP="00FA0D37">
      <w:pPr>
        <w:pStyle w:val="PL"/>
      </w:pPr>
      <w:r w:rsidRPr="00FA0D37">
        <w:t xml:space="preserve">    ...</w:t>
      </w:r>
    </w:p>
    <w:p w14:paraId="579B01A7" w14:textId="77777777" w:rsidR="00394471" w:rsidRPr="00FA0D37" w:rsidRDefault="00394471" w:rsidP="00FA0D37">
      <w:pPr>
        <w:pStyle w:val="PL"/>
      </w:pPr>
      <w:r w:rsidRPr="00FA0D37">
        <w:t>}</w:t>
      </w:r>
    </w:p>
    <w:p w14:paraId="709B4825" w14:textId="77777777" w:rsidR="00394471" w:rsidRPr="00FA0D37" w:rsidRDefault="00394471" w:rsidP="00FA0D37">
      <w:pPr>
        <w:pStyle w:val="PL"/>
        <w:rPr>
          <w:color w:val="808080"/>
        </w:rPr>
      </w:pPr>
      <w:r w:rsidRPr="00FA0D37">
        <w:rPr>
          <w:color w:val="808080"/>
        </w:rPr>
        <w:t>-- TAG-CSI-IM-RESOURCESET-STOP</w:t>
      </w:r>
    </w:p>
    <w:p w14:paraId="102BA38A" w14:textId="77777777" w:rsidR="00394471" w:rsidRPr="00FA0D37" w:rsidRDefault="00394471" w:rsidP="00FA0D37">
      <w:pPr>
        <w:pStyle w:val="PL"/>
        <w:rPr>
          <w:color w:val="808080"/>
        </w:rPr>
      </w:pPr>
      <w:r w:rsidRPr="00FA0D37">
        <w:rPr>
          <w:color w:val="808080"/>
        </w:rPr>
        <w:t>-- ASN1STOP</w:t>
      </w:r>
    </w:p>
    <w:p w14:paraId="752D8E6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FA0D37" w:rsidRDefault="00394471" w:rsidP="00964CC4">
            <w:pPr>
              <w:pStyle w:val="TAH"/>
              <w:rPr>
                <w:szCs w:val="22"/>
                <w:lang w:eastAsia="sv-SE"/>
              </w:rPr>
            </w:pPr>
            <w:r w:rsidRPr="00FA0D37">
              <w:rPr>
                <w:i/>
                <w:szCs w:val="22"/>
                <w:lang w:eastAsia="sv-SE"/>
              </w:rPr>
              <w:t xml:space="preserve">CSI-IM-ResourceSet </w:t>
            </w:r>
            <w:r w:rsidRPr="00FA0D37">
              <w:rPr>
                <w:szCs w:val="22"/>
                <w:lang w:eastAsia="sv-SE"/>
              </w:rPr>
              <w:t>field descriptions</w:t>
            </w:r>
          </w:p>
        </w:tc>
      </w:tr>
      <w:tr w:rsidR="00394471" w:rsidRPr="00FA0D37"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FA0D37" w:rsidRDefault="00394471" w:rsidP="00964CC4">
            <w:pPr>
              <w:pStyle w:val="TAL"/>
              <w:rPr>
                <w:szCs w:val="22"/>
                <w:lang w:eastAsia="sv-SE"/>
              </w:rPr>
            </w:pPr>
            <w:r w:rsidRPr="00FA0D37">
              <w:rPr>
                <w:b/>
                <w:i/>
                <w:szCs w:val="22"/>
                <w:lang w:eastAsia="sv-SE"/>
              </w:rPr>
              <w:t>csi-IM-Resources</w:t>
            </w:r>
          </w:p>
          <w:p w14:paraId="7B91F386" w14:textId="77777777" w:rsidR="00394471" w:rsidRPr="00FA0D37" w:rsidRDefault="00394471" w:rsidP="00964CC4">
            <w:pPr>
              <w:pStyle w:val="TAL"/>
              <w:rPr>
                <w:szCs w:val="22"/>
                <w:lang w:eastAsia="sv-SE"/>
              </w:rPr>
            </w:pPr>
            <w:r w:rsidRPr="00FA0D37">
              <w:rPr>
                <w:i/>
                <w:lang w:eastAsia="sv-SE"/>
              </w:rPr>
              <w:t>CSI-IM-Resources</w:t>
            </w:r>
            <w:r w:rsidRPr="00FA0D37">
              <w:rPr>
                <w:szCs w:val="22"/>
                <w:lang w:eastAsia="sv-SE"/>
              </w:rPr>
              <w:t xml:space="preserve"> associated with this </w:t>
            </w:r>
            <w:r w:rsidRPr="00FA0D37">
              <w:rPr>
                <w:i/>
                <w:lang w:eastAsia="sv-SE"/>
              </w:rPr>
              <w:t>CSI-IM-ResourceSet</w:t>
            </w:r>
            <w:r w:rsidRPr="00FA0D37">
              <w:rPr>
                <w:szCs w:val="22"/>
                <w:lang w:eastAsia="sv-SE"/>
              </w:rPr>
              <w:t xml:space="preserve"> (see TS 38.214 [19], clause 5.2).</w:t>
            </w:r>
          </w:p>
        </w:tc>
      </w:tr>
    </w:tbl>
    <w:p w14:paraId="6FD9997D" w14:textId="77777777" w:rsidR="00394471" w:rsidRPr="00FA0D37" w:rsidRDefault="00394471" w:rsidP="00394471"/>
    <w:p w14:paraId="09E235B8" w14:textId="77777777" w:rsidR="00394471" w:rsidRPr="00FA0D37" w:rsidRDefault="00394471" w:rsidP="00394471">
      <w:pPr>
        <w:pStyle w:val="4"/>
      </w:pPr>
      <w:bookmarkStart w:id="983" w:name="_Toc60777215"/>
      <w:bookmarkStart w:id="984" w:name="_Toc146781262"/>
      <w:r w:rsidRPr="00FA0D37">
        <w:t>–</w:t>
      </w:r>
      <w:r w:rsidRPr="00FA0D37">
        <w:tab/>
      </w:r>
      <w:r w:rsidRPr="00FA0D37">
        <w:rPr>
          <w:i/>
        </w:rPr>
        <w:t>CSI-IM-ResourceSetId</w:t>
      </w:r>
      <w:bookmarkEnd w:id="983"/>
      <w:bookmarkEnd w:id="984"/>
    </w:p>
    <w:p w14:paraId="46337723" w14:textId="77777777" w:rsidR="00394471" w:rsidRPr="00FA0D37" w:rsidRDefault="00394471" w:rsidP="00394471">
      <w:r w:rsidRPr="00FA0D37">
        <w:t xml:space="preserve">The IE </w:t>
      </w:r>
      <w:r w:rsidRPr="00FA0D37">
        <w:rPr>
          <w:i/>
        </w:rPr>
        <w:t>CSI-IM-ResourceSetId</w:t>
      </w:r>
      <w:r w:rsidRPr="00FA0D37">
        <w:t xml:space="preserve"> is used to identify </w:t>
      </w:r>
      <w:r w:rsidRPr="00FA0D37">
        <w:rPr>
          <w:i/>
        </w:rPr>
        <w:t>CSI-IM-ResourceSet</w:t>
      </w:r>
      <w:r w:rsidRPr="00FA0D37">
        <w:t>s.</w:t>
      </w:r>
    </w:p>
    <w:p w14:paraId="3F6E4265" w14:textId="77777777" w:rsidR="00394471" w:rsidRPr="00FA0D37" w:rsidRDefault="00394471" w:rsidP="00394471">
      <w:pPr>
        <w:pStyle w:val="TH"/>
      </w:pPr>
      <w:r w:rsidRPr="00FA0D37">
        <w:rPr>
          <w:i/>
        </w:rPr>
        <w:lastRenderedPageBreak/>
        <w:t>CSI-IM-ResourceSetId</w:t>
      </w:r>
      <w:r w:rsidRPr="00FA0D37">
        <w:t xml:space="preserve"> information element</w:t>
      </w:r>
    </w:p>
    <w:p w14:paraId="03F5FDE1" w14:textId="77777777" w:rsidR="00394471" w:rsidRPr="00FA0D37" w:rsidRDefault="00394471" w:rsidP="00FA0D37">
      <w:pPr>
        <w:pStyle w:val="PL"/>
        <w:rPr>
          <w:color w:val="808080"/>
        </w:rPr>
      </w:pPr>
      <w:r w:rsidRPr="00FA0D37">
        <w:rPr>
          <w:color w:val="808080"/>
        </w:rPr>
        <w:t>-- ASN1START</w:t>
      </w:r>
    </w:p>
    <w:p w14:paraId="0F194468" w14:textId="77777777" w:rsidR="00394471" w:rsidRPr="00FA0D37" w:rsidRDefault="00394471" w:rsidP="00FA0D37">
      <w:pPr>
        <w:pStyle w:val="PL"/>
        <w:rPr>
          <w:color w:val="808080"/>
        </w:rPr>
      </w:pPr>
      <w:r w:rsidRPr="00FA0D37">
        <w:rPr>
          <w:color w:val="808080"/>
        </w:rPr>
        <w:t>-- TAG-CSI-IM-RESOURCESETID-START</w:t>
      </w:r>
    </w:p>
    <w:p w14:paraId="57620EF0" w14:textId="77777777" w:rsidR="00394471" w:rsidRPr="00FA0D37" w:rsidRDefault="00394471" w:rsidP="00FA0D37">
      <w:pPr>
        <w:pStyle w:val="PL"/>
      </w:pPr>
    </w:p>
    <w:p w14:paraId="67E40020" w14:textId="77777777" w:rsidR="00394471" w:rsidRPr="00FA0D37" w:rsidRDefault="00394471" w:rsidP="00FA0D37">
      <w:pPr>
        <w:pStyle w:val="PL"/>
      </w:pPr>
      <w:r w:rsidRPr="00FA0D37">
        <w:t xml:space="preserve">CSI-IM-ResourceSetId ::=            </w:t>
      </w:r>
      <w:r w:rsidRPr="00FA0D37">
        <w:rPr>
          <w:color w:val="993366"/>
        </w:rPr>
        <w:t>INTEGER</w:t>
      </w:r>
      <w:r w:rsidRPr="00FA0D37">
        <w:t xml:space="preserve"> (0..maxNrofCSI-IM-ResourceSets-1)</w:t>
      </w:r>
    </w:p>
    <w:p w14:paraId="30E5BDE4" w14:textId="77777777" w:rsidR="00394471" w:rsidRPr="00FA0D37" w:rsidRDefault="00394471" w:rsidP="00FA0D37">
      <w:pPr>
        <w:pStyle w:val="PL"/>
      </w:pPr>
    </w:p>
    <w:p w14:paraId="78B2ADBD" w14:textId="77777777" w:rsidR="00394471" w:rsidRPr="00FA0D37" w:rsidRDefault="00394471" w:rsidP="00FA0D37">
      <w:pPr>
        <w:pStyle w:val="PL"/>
        <w:rPr>
          <w:color w:val="808080"/>
        </w:rPr>
      </w:pPr>
      <w:r w:rsidRPr="00FA0D37">
        <w:rPr>
          <w:color w:val="808080"/>
        </w:rPr>
        <w:t>-- TAG-CSI-IM-RESOURCESETID-STOP</w:t>
      </w:r>
    </w:p>
    <w:p w14:paraId="79C02AA9" w14:textId="77777777" w:rsidR="00394471" w:rsidRPr="00FA0D37" w:rsidRDefault="00394471" w:rsidP="00FA0D37">
      <w:pPr>
        <w:pStyle w:val="PL"/>
        <w:rPr>
          <w:color w:val="808080"/>
        </w:rPr>
      </w:pPr>
      <w:r w:rsidRPr="00FA0D37">
        <w:rPr>
          <w:color w:val="808080"/>
        </w:rPr>
        <w:t>-- ASN1STOP</w:t>
      </w:r>
    </w:p>
    <w:p w14:paraId="5C31911A" w14:textId="77777777" w:rsidR="00394471" w:rsidRPr="00FA0D37" w:rsidRDefault="00394471" w:rsidP="00394471"/>
    <w:p w14:paraId="74986816" w14:textId="77777777" w:rsidR="00394471" w:rsidRPr="00FA0D37" w:rsidRDefault="00394471" w:rsidP="00394471">
      <w:pPr>
        <w:pStyle w:val="4"/>
      </w:pPr>
      <w:bookmarkStart w:id="985" w:name="_Toc60777216"/>
      <w:bookmarkStart w:id="986" w:name="_Toc146781263"/>
      <w:r w:rsidRPr="00FA0D37">
        <w:t>–</w:t>
      </w:r>
      <w:r w:rsidRPr="00FA0D37">
        <w:tab/>
      </w:r>
      <w:r w:rsidRPr="00FA0D37">
        <w:rPr>
          <w:i/>
        </w:rPr>
        <w:t>CSI-MeasConfig</w:t>
      </w:r>
      <w:bookmarkEnd w:id="985"/>
      <w:bookmarkEnd w:id="986"/>
    </w:p>
    <w:p w14:paraId="15DE0570" w14:textId="77777777" w:rsidR="00394471" w:rsidRPr="00FA0D37" w:rsidRDefault="00394471" w:rsidP="00394471">
      <w:r w:rsidRPr="00FA0D37">
        <w:t xml:space="preserve">The IE </w:t>
      </w:r>
      <w:r w:rsidRPr="00FA0D37">
        <w:rPr>
          <w:i/>
        </w:rPr>
        <w:t xml:space="preserve">CSI-MeasConfig </w:t>
      </w:r>
      <w:r w:rsidRPr="00FA0D37">
        <w:t xml:space="preserve">is used to configure CSI-RS (reference signals) belonging to the serving cell in which </w:t>
      </w:r>
      <w:r w:rsidRPr="00FA0D37">
        <w:rPr>
          <w:i/>
        </w:rPr>
        <w:t>CSI-MeasConfig</w:t>
      </w:r>
      <w:r w:rsidRPr="00FA0D37">
        <w:t xml:space="preserve"> is included, channel state information reports to be transmitted on PUCCH on the serving cell in which </w:t>
      </w:r>
      <w:r w:rsidRPr="00FA0D37">
        <w:rPr>
          <w:i/>
        </w:rPr>
        <w:t>CSI-MeasConfig</w:t>
      </w:r>
      <w:r w:rsidRPr="00FA0D37">
        <w:t xml:space="preserve"> is included and channel state information reports on PUSCH triggered by DCI received on the serving cell in which </w:t>
      </w:r>
      <w:r w:rsidRPr="00FA0D37">
        <w:rPr>
          <w:i/>
        </w:rPr>
        <w:t>CSI-MeasConfig</w:t>
      </w:r>
      <w:r w:rsidRPr="00FA0D37">
        <w:t xml:space="preserve"> is included. See also TS 38.214 [19], clause 5.2.</w:t>
      </w:r>
    </w:p>
    <w:p w14:paraId="01834D78" w14:textId="77777777" w:rsidR="00394471" w:rsidRPr="00FA0D37" w:rsidRDefault="00394471" w:rsidP="00394471">
      <w:pPr>
        <w:pStyle w:val="TH"/>
      </w:pPr>
      <w:r w:rsidRPr="00FA0D37">
        <w:rPr>
          <w:bCs/>
          <w:i/>
          <w:iCs/>
        </w:rPr>
        <w:t xml:space="preserve">CSI-MeasConfig </w:t>
      </w:r>
      <w:r w:rsidRPr="00FA0D37">
        <w:t>information element</w:t>
      </w:r>
    </w:p>
    <w:p w14:paraId="253F956A" w14:textId="77777777" w:rsidR="00394471" w:rsidRPr="00FA0D37" w:rsidRDefault="00394471" w:rsidP="00FA0D37">
      <w:pPr>
        <w:pStyle w:val="PL"/>
        <w:rPr>
          <w:color w:val="808080"/>
        </w:rPr>
      </w:pPr>
      <w:r w:rsidRPr="00FA0D37">
        <w:rPr>
          <w:color w:val="808080"/>
        </w:rPr>
        <w:t>-- ASN1START</w:t>
      </w:r>
    </w:p>
    <w:p w14:paraId="1353CC6B" w14:textId="77777777" w:rsidR="00394471" w:rsidRPr="00FA0D37" w:rsidRDefault="00394471" w:rsidP="00FA0D37">
      <w:pPr>
        <w:pStyle w:val="PL"/>
        <w:rPr>
          <w:color w:val="808080"/>
        </w:rPr>
      </w:pPr>
      <w:r w:rsidRPr="00FA0D37">
        <w:rPr>
          <w:color w:val="808080"/>
        </w:rPr>
        <w:t>-- TAG-CSI-MEASCONFIG-START</w:t>
      </w:r>
    </w:p>
    <w:p w14:paraId="10D5D9BC" w14:textId="77777777" w:rsidR="00394471" w:rsidRPr="00FA0D37" w:rsidRDefault="00394471" w:rsidP="00FA0D37">
      <w:pPr>
        <w:pStyle w:val="PL"/>
      </w:pPr>
    </w:p>
    <w:p w14:paraId="770ECD9C" w14:textId="77777777" w:rsidR="00394471" w:rsidRPr="00FA0D37" w:rsidRDefault="00394471" w:rsidP="00FA0D37">
      <w:pPr>
        <w:pStyle w:val="PL"/>
      </w:pPr>
      <w:r w:rsidRPr="00FA0D37">
        <w:t xml:space="preserve">CSI-MeasConfig ::=                  </w:t>
      </w:r>
      <w:r w:rsidRPr="00FA0D37">
        <w:rPr>
          <w:color w:val="993366"/>
        </w:rPr>
        <w:t>SEQUENCE</w:t>
      </w:r>
      <w:r w:rsidRPr="00FA0D37">
        <w:t xml:space="preserve"> {</w:t>
      </w:r>
    </w:p>
    <w:p w14:paraId="0DF2C6BC" w14:textId="77777777" w:rsidR="00394471" w:rsidRPr="00FA0D37" w:rsidRDefault="00394471" w:rsidP="00FA0D37">
      <w:pPr>
        <w:pStyle w:val="PL"/>
        <w:rPr>
          <w:color w:val="808080"/>
        </w:rPr>
      </w:pPr>
      <w:r w:rsidRPr="00FA0D37">
        <w:t xml:space="preserve">    nzp-CSI-RS-ResourceToAddModList     </w:t>
      </w:r>
      <w:r w:rsidRPr="00FA0D37">
        <w:rPr>
          <w:color w:val="993366"/>
        </w:rPr>
        <w:t>SEQUENCE</w:t>
      </w:r>
      <w:r w:rsidRPr="00FA0D37">
        <w:t xml:space="preserve"> (</w:t>
      </w:r>
      <w:r w:rsidRPr="00FA0D37">
        <w:rPr>
          <w:color w:val="993366"/>
        </w:rPr>
        <w:t>SIZE</w:t>
      </w:r>
      <w:r w:rsidRPr="00FA0D37">
        <w:t xml:space="preserve"> (1..maxNrofNZP-CSI-RS-Resources))</w:t>
      </w:r>
      <w:r w:rsidRPr="00FA0D37">
        <w:rPr>
          <w:color w:val="993366"/>
        </w:rPr>
        <w:t xml:space="preserve"> OF</w:t>
      </w:r>
      <w:r w:rsidRPr="00FA0D37">
        <w:t xml:space="preserve"> NZP-CSI-RS-Resource   </w:t>
      </w:r>
      <w:r w:rsidRPr="00FA0D37">
        <w:rPr>
          <w:color w:val="993366"/>
        </w:rPr>
        <w:t>OPTIONAL</w:t>
      </w:r>
      <w:r w:rsidRPr="00FA0D37">
        <w:t xml:space="preserve">, </w:t>
      </w:r>
      <w:r w:rsidRPr="00FA0D37">
        <w:rPr>
          <w:color w:val="808080"/>
        </w:rPr>
        <w:t>-- Need N</w:t>
      </w:r>
    </w:p>
    <w:p w14:paraId="35BEC921" w14:textId="77777777" w:rsidR="00394471" w:rsidRPr="00FA0D37" w:rsidRDefault="00394471" w:rsidP="00FA0D37">
      <w:pPr>
        <w:pStyle w:val="PL"/>
        <w:rPr>
          <w:color w:val="808080"/>
        </w:rPr>
      </w:pPr>
      <w:r w:rsidRPr="00FA0D37">
        <w:t xml:space="preserve">    nzp-CSI-RS-ResourceToReleaseList    </w:t>
      </w:r>
      <w:r w:rsidRPr="00FA0D37">
        <w:rPr>
          <w:color w:val="993366"/>
        </w:rPr>
        <w:t>SEQUENCE</w:t>
      </w:r>
      <w:r w:rsidRPr="00FA0D37">
        <w:t xml:space="preserve"> (</w:t>
      </w:r>
      <w:r w:rsidRPr="00FA0D37">
        <w:rPr>
          <w:color w:val="993366"/>
        </w:rPr>
        <w:t>SIZE</w:t>
      </w:r>
      <w:r w:rsidRPr="00FA0D37">
        <w:t xml:space="preserve"> (1..maxNrofNZP-CSI-RS-Resources))</w:t>
      </w:r>
      <w:r w:rsidRPr="00FA0D37">
        <w:rPr>
          <w:color w:val="993366"/>
        </w:rPr>
        <w:t xml:space="preserve"> OF</w:t>
      </w:r>
      <w:r w:rsidRPr="00FA0D37">
        <w:t xml:space="preserve"> NZP-CSI-RS-ResourceId </w:t>
      </w:r>
      <w:r w:rsidRPr="00FA0D37">
        <w:rPr>
          <w:color w:val="993366"/>
        </w:rPr>
        <w:t>OPTIONAL</w:t>
      </w:r>
      <w:r w:rsidRPr="00FA0D37">
        <w:t xml:space="preserve">, </w:t>
      </w:r>
      <w:r w:rsidRPr="00FA0D37">
        <w:rPr>
          <w:color w:val="808080"/>
        </w:rPr>
        <w:t>-- Need N</w:t>
      </w:r>
    </w:p>
    <w:p w14:paraId="7336BE9E" w14:textId="77777777" w:rsidR="00394471" w:rsidRPr="00FA0D37" w:rsidRDefault="00394471" w:rsidP="00FA0D37">
      <w:pPr>
        <w:pStyle w:val="PL"/>
      </w:pPr>
      <w:r w:rsidRPr="00FA0D37">
        <w:t xml:space="preserve">    nzp-CSI-RS-ResourceSetToAddModList  </w:t>
      </w:r>
      <w:r w:rsidRPr="00FA0D37">
        <w:rPr>
          <w:color w:val="993366"/>
        </w:rPr>
        <w:t>SEQUENCE</w:t>
      </w:r>
      <w:r w:rsidRPr="00FA0D37">
        <w:t xml:space="preserve"> (</w:t>
      </w:r>
      <w:r w:rsidRPr="00FA0D37">
        <w:rPr>
          <w:color w:val="993366"/>
        </w:rPr>
        <w:t>SIZE</w:t>
      </w:r>
      <w:r w:rsidRPr="00FA0D37">
        <w:t xml:space="preserve"> (1..maxNrofNZP-CSI-RS-ResourceSets))</w:t>
      </w:r>
      <w:r w:rsidRPr="00FA0D37">
        <w:rPr>
          <w:color w:val="993366"/>
        </w:rPr>
        <w:t xml:space="preserve"> OF</w:t>
      </w:r>
      <w:r w:rsidRPr="00FA0D37">
        <w:t xml:space="preserve"> NZP-CSI-RS-ResourceSet</w:t>
      </w:r>
    </w:p>
    <w:p w14:paraId="163BA61E"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096083F9" w14:textId="77777777" w:rsidR="00394471" w:rsidRPr="00FA0D37" w:rsidRDefault="00394471" w:rsidP="00FA0D37">
      <w:pPr>
        <w:pStyle w:val="PL"/>
      </w:pPr>
      <w:r w:rsidRPr="00FA0D37">
        <w:t xml:space="preserve">    nzp-CSI-RS-ResourceSetToReleaseList </w:t>
      </w:r>
      <w:r w:rsidRPr="00FA0D37">
        <w:rPr>
          <w:color w:val="993366"/>
        </w:rPr>
        <w:t>SEQUENCE</w:t>
      </w:r>
      <w:r w:rsidRPr="00FA0D37">
        <w:t xml:space="preserve"> (</w:t>
      </w:r>
      <w:r w:rsidRPr="00FA0D37">
        <w:rPr>
          <w:color w:val="993366"/>
        </w:rPr>
        <w:t>SIZE</w:t>
      </w:r>
      <w:r w:rsidRPr="00FA0D37">
        <w:t xml:space="preserve"> (1..maxNrofNZP-CSI-RS-ResourceSets))</w:t>
      </w:r>
      <w:r w:rsidRPr="00FA0D37">
        <w:rPr>
          <w:color w:val="993366"/>
        </w:rPr>
        <w:t xml:space="preserve"> OF</w:t>
      </w:r>
      <w:r w:rsidRPr="00FA0D37">
        <w:t xml:space="preserve"> NZP-CSI-RS-ResourceSetId</w:t>
      </w:r>
    </w:p>
    <w:p w14:paraId="56B3AE57"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46341300" w14:textId="77777777" w:rsidR="00394471" w:rsidRPr="00FA0D37" w:rsidRDefault="00394471" w:rsidP="00FA0D37">
      <w:pPr>
        <w:pStyle w:val="PL"/>
        <w:rPr>
          <w:color w:val="808080"/>
        </w:rPr>
      </w:pPr>
      <w:r w:rsidRPr="00FA0D37">
        <w:t xml:space="preserve">    csi-IM-ResourceToAddModList         </w:t>
      </w:r>
      <w:r w:rsidRPr="00FA0D37">
        <w:rPr>
          <w:color w:val="993366"/>
        </w:rPr>
        <w:t>SEQUENCE</w:t>
      </w:r>
      <w:r w:rsidRPr="00FA0D37">
        <w:t xml:space="preserve"> (</w:t>
      </w:r>
      <w:r w:rsidRPr="00FA0D37">
        <w:rPr>
          <w:color w:val="993366"/>
        </w:rPr>
        <w:t>SIZE</w:t>
      </w:r>
      <w:r w:rsidRPr="00FA0D37">
        <w:t xml:space="preserve"> (1..maxNrofCSI-IM-Resources))</w:t>
      </w:r>
      <w:r w:rsidRPr="00FA0D37">
        <w:rPr>
          <w:color w:val="993366"/>
        </w:rPr>
        <w:t xml:space="preserve"> OF</w:t>
      </w:r>
      <w:r w:rsidRPr="00FA0D37">
        <w:t xml:space="preserve"> CSI-IM-Resource           </w:t>
      </w:r>
      <w:r w:rsidRPr="00FA0D37">
        <w:rPr>
          <w:color w:val="993366"/>
        </w:rPr>
        <w:t>OPTIONAL</w:t>
      </w:r>
      <w:r w:rsidRPr="00FA0D37">
        <w:t xml:space="preserve">, </w:t>
      </w:r>
      <w:r w:rsidRPr="00FA0D37">
        <w:rPr>
          <w:color w:val="808080"/>
        </w:rPr>
        <w:t>-- Need N</w:t>
      </w:r>
    </w:p>
    <w:p w14:paraId="56C9C735" w14:textId="77777777" w:rsidR="00394471" w:rsidRPr="00FA0D37" w:rsidRDefault="00394471" w:rsidP="00FA0D37">
      <w:pPr>
        <w:pStyle w:val="PL"/>
        <w:rPr>
          <w:color w:val="808080"/>
        </w:rPr>
      </w:pPr>
      <w:r w:rsidRPr="00FA0D37">
        <w:t xml:space="preserve">    csi-IM-ResourceToReleaseList        </w:t>
      </w:r>
      <w:r w:rsidRPr="00FA0D37">
        <w:rPr>
          <w:color w:val="993366"/>
        </w:rPr>
        <w:t>SEQUENCE</w:t>
      </w:r>
      <w:r w:rsidRPr="00FA0D37">
        <w:t xml:space="preserve"> (</w:t>
      </w:r>
      <w:r w:rsidRPr="00FA0D37">
        <w:rPr>
          <w:color w:val="993366"/>
        </w:rPr>
        <w:t>SIZE</w:t>
      </w:r>
      <w:r w:rsidRPr="00FA0D37">
        <w:t xml:space="preserve"> (1..maxNrofCSI-IM-Resources))</w:t>
      </w:r>
      <w:r w:rsidRPr="00FA0D37">
        <w:rPr>
          <w:color w:val="993366"/>
        </w:rPr>
        <w:t xml:space="preserve"> OF</w:t>
      </w:r>
      <w:r w:rsidRPr="00FA0D37">
        <w:t xml:space="preserve"> CSI-IM-ResourceId         </w:t>
      </w:r>
      <w:r w:rsidRPr="00FA0D37">
        <w:rPr>
          <w:color w:val="993366"/>
        </w:rPr>
        <w:t>OPTIONAL</w:t>
      </w:r>
      <w:r w:rsidRPr="00FA0D37">
        <w:t xml:space="preserve">, </w:t>
      </w:r>
      <w:r w:rsidRPr="00FA0D37">
        <w:rPr>
          <w:color w:val="808080"/>
        </w:rPr>
        <w:t>-- Need N</w:t>
      </w:r>
    </w:p>
    <w:p w14:paraId="15EC1ECA" w14:textId="77777777" w:rsidR="00394471" w:rsidRPr="00FA0D37" w:rsidRDefault="00394471" w:rsidP="00FA0D37">
      <w:pPr>
        <w:pStyle w:val="PL"/>
        <w:rPr>
          <w:color w:val="808080"/>
        </w:rPr>
      </w:pPr>
      <w:r w:rsidRPr="00FA0D37">
        <w:t xml:space="preserve">    csi-IM-ResourceSetToAddModList      </w:t>
      </w:r>
      <w:r w:rsidRPr="00FA0D37">
        <w:rPr>
          <w:color w:val="993366"/>
        </w:rPr>
        <w:t>SEQUENCE</w:t>
      </w:r>
      <w:r w:rsidRPr="00FA0D37">
        <w:t xml:space="preserve"> (</w:t>
      </w:r>
      <w:r w:rsidRPr="00FA0D37">
        <w:rPr>
          <w:color w:val="993366"/>
        </w:rPr>
        <w:t>SIZE</w:t>
      </w:r>
      <w:r w:rsidRPr="00FA0D37">
        <w:t xml:space="preserve"> (1..maxNrofCSI-IM-ResourceSets))</w:t>
      </w:r>
      <w:r w:rsidRPr="00FA0D37">
        <w:rPr>
          <w:color w:val="993366"/>
        </w:rPr>
        <w:t xml:space="preserve"> OF</w:t>
      </w:r>
      <w:r w:rsidRPr="00FA0D37">
        <w:t xml:space="preserve"> CSI-IM-ResourceSet     </w:t>
      </w:r>
      <w:r w:rsidRPr="00FA0D37">
        <w:rPr>
          <w:color w:val="993366"/>
        </w:rPr>
        <w:t>OPTIONAL</w:t>
      </w:r>
      <w:r w:rsidRPr="00FA0D37">
        <w:t xml:space="preserve">, </w:t>
      </w:r>
      <w:r w:rsidRPr="00FA0D37">
        <w:rPr>
          <w:color w:val="808080"/>
        </w:rPr>
        <w:t>-- Need N</w:t>
      </w:r>
    </w:p>
    <w:p w14:paraId="1E65D964" w14:textId="77777777" w:rsidR="00394471" w:rsidRPr="00FA0D37" w:rsidRDefault="00394471" w:rsidP="00FA0D37">
      <w:pPr>
        <w:pStyle w:val="PL"/>
        <w:rPr>
          <w:color w:val="808080"/>
        </w:rPr>
      </w:pPr>
      <w:r w:rsidRPr="00FA0D37">
        <w:t xml:space="preserve">    csi-IM-ResourceSetToReleaseList     </w:t>
      </w:r>
      <w:r w:rsidRPr="00FA0D37">
        <w:rPr>
          <w:color w:val="993366"/>
        </w:rPr>
        <w:t>SEQUENCE</w:t>
      </w:r>
      <w:r w:rsidRPr="00FA0D37">
        <w:t xml:space="preserve"> (</w:t>
      </w:r>
      <w:r w:rsidRPr="00FA0D37">
        <w:rPr>
          <w:color w:val="993366"/>
        </w:rPr>
        <w:t>SIZE</w:t>
      </w:r>
      <w:r w:rsidRPr="00FA0D37">
        <w:t xml:space="preserve"> (1..maxNrofCSI-IM-ResourceSets))</w:t>
      </w:r>
      <w:r w:rsidRPr="00FA0D37">
        <w:rPr>
          <w:color w:val="993366"/>
        </w:rPr>
        <w:t xml:space="preserve"> OF</w:t>
      </w:r>
      <w:r w:rsidRPr="00FA0D37">
        <w:t xml:space="preserve"> CSI-IM-ResourceSetId   </w:t>
      </w:r>
      <w:r w:rsidRPr="00FA0D37">
        <w:rPr>
          <w:color w:val="993366"/>
        </w:rPr>
        <w:t>OPTIONAL</w:t>
      </w:r>
      <w:r w:rsidRPr="00FA0D37">
        <w:t xml:space="preserve">, </w:t>
      </w:r>
      <w:r w:rsidRPr="00FA0D37">
        <w:rPr>
          <w:color w:val="808080"/>
        </w:rPr>
        <w:t>-- Need N</w:t>
      </w:r>
    </w:p>
    <w:p w14:paraId="44519909" w14:textId="77777777" w:rsidR="00394471" w:rsidRPr="00FA0D37" w:rsidRDefault="00394471" w:rsidP="00FA0D37">
      <w:pPr>
        <w:pStyle w:val="PL"/>
        <w:rPr>
          <w:color w:val="808080"/>
        </w:rPr>
      </w:pPr>
      <w:r w:rsidRPr="00FA0D37">
        <w:t xml:space="preserve">    csi-SSB-ResourceSetToAddModList     </w:t>
      </w:r>
      <w:r w:rsidRPr="00FA0D37">
        <w:rPr>
          <w:color w:val="993366"/>
        </w:rPr>
        <w:t>SEQUENCE</w:t>
      </w:r>
      <w:r w:rsidRPr="00FA0D37">
        <w:t xml:space="preserve"> (</w:t>
      </w:r>
      <w:r w:rsidRPr="00FA0D37">
        <w:rPr>
          <w:color w:val="993366"/>
        </w:rPr>
        <w:t>SIZE</w:t>
      </w:r>
      <w:r w:rsidRPr="00FA0D37">
        <w:t xml:space="preserve"> (1..maxNrofCSI-SSB-ResourceSets))</w:t>
      </w:r>
      <w:r w:rsidRPr="00FA0D37">
        <w:rPr>
          <w:color w:val="993366"/>
        </w:rPr>
        <w:t xml:space="preserve"> OF</w:t>
      </w:r>
      <w:r w:rsidRPr="00FA0D37">
        <w:t xml:space="preserve"> CSI-SSB-ResourceSet   </w:t>
      </w:r>
      <w:r w:rsidRPr="00FA0D37">
        <w:rPr>
          <w:color w:val="993366"/>
        </w:rPr>
        <w:t>OPTIONAL</w:t>
      </w:r>
      <w:r w:rsidRPr="00FA0D37">
        <w:t xml:space="preserve">, </w:t>
      </w:r>
      <w:r w:rsidRPr="00FA0D37">
        <w:rPr>
          <w:color w:val="808080"/>
        </w:rPr>
        <w:t>-- Need N</w:t>
      </w:r>
    </w:p>
    <w:p w14:paraId="0968C198" w14:textId="77777777" w:rsidR="00394471" w:rsidRPr="00FA0D37" w:rsidRDefault="00394471" w:rsidP="00FA0D37">
      <w:pPr>
        <w:pStyle w:val="PL"/>
        <w:rPr>
          <w:color w:val="808080"/>
        </w:rPr>
      </w:pPr>
      <w:r w:rsidRPr="00FA0D37">
        <w:t xml:space="preserve">    csi-SSB-ResourceSetToReleaseList    </w:t>
      </w:r>
      <w:r w:rsidRPr="00FA0D37">
        <w:rPr>
          <w:color w:val="993366"/>
        </w:rPr>
        <w:t>SEQUENCE</w:t>
      </w:r>
      <w:r w:rsidRPr="00FA0D37">
        <w:t xml:space="preserve"> (</w:t>
      </w:r>
      <w:r w:rsidRPr="00FA0D37">
        <w:rPr>
          <w:color w:val="993366"/>
        </w:rPr>
        <w:t>SIZE</w:t>
      </w:r>
      <w:r w:rsidRPr="00FA0D37">
        <w:t xml:space="preserve"> (1..maxNrofCSI-SSB-ResourceSets))</w:t>
      </w:r>
      <w:r w:rsidRPr="00FA0D37">
        <w:rPr>
          <w:color w:val="993366"/>
        </w:rPr>
        <w:t xml:space="preserve"> OF</w:t>
      </w:r>
      <w:r w:rsidRPr="00FA0D37">
        <w:t xml:space="preserve"> CSI-SSB-ResourceSetId </w:t>
      </w:r>
      <w:r w:rsidRPr="00FA0D37">
        <w:rPr>
          <w:color w:val="993366"/>
        </w:rPr>
        <w:t>OPTIONAL</w:t>
      </w:r>
      <w:r w:rsidRPr="00FA0D37">
        <w:t xml:space="preserve">, </w:t>
      </w:r>
      <w:r w:rsidRPr="00FA0D37">
        <w:rPr>
          <w:color w:val="808080"/>
        </w:rPr>
        <w:t>-- Need N</w:t>
      </w:r>
    </w:p>
    <w:p w14:paraId="12D79719" w14:textId="77777777" w:rsidR="00394471" w:rsidRPr="00FA0D37" w:rsidRDefault="00394471" w:rsidP="00FA0D37">
      <w:pPr>
        <w:pStyle w:val="PL"/>
      </w:pPr>
      <w:r w:rsidRPr="00FA0D37">
        <w:t xml:space="preserve">    csi-ResourceConfigToAddModList      </w:t>
      </w:r>
      <w:r w:rsidRPr="00FA0D37">
        <w:rPr>
          <w:color w:val="993366"/>
        </w:rPr>
        <w:t>SEQUENCE</w:t>
      </w:r>
      <w:r w:rsidRPr="00FA0D37">
        <w:t xml:space="preserve"> (</w:t>
      </w:r>
      <w:r w:rsidRPr="00FA0D37">
        <w:rPr>
          <w:color w:val="993366"/>
        </w:rPr>
        <w:t>SIZE</w:t>
      </w:r>
      <w:r w:rsidRPr="00FA0D37">
        <w:t xml:space="preserve"> (1..maxNrofCSI-ResourceConfigurations))</w:t>
      </w:r>
      <w:r w:rsidRPr="00FA0D37">
        <w:rPr>
          <w:color w:val="993366"/>
        </w:rPr>
        <w:t xml:space="preserve"> OF</w:t>
      </w:r>
      <w:r w:rsidRPr="00FA0D37">
        <w:t xml:space="preserve"> CSI-ResourceConfig</w:t>
      </w:r>
    </w:p>
    <w:p w14:paraId="73CC5A5E"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01B3C283" w14:textId="77777777" w:rsidR="00394471" w:rsidRPr="00FA0D37" w:rsidRDefault="00394471" w:rsidP="00FA0D37">
      <w:pPr>
        <w:pStyle w:val="PL"/>
      </w:pPr>
      <w:r w:rsidRPr="00FA0D37">
        <w:t xml:space="preserve">    csi-ResourceConfigToReleaseList     </w:t>
      </w:r>
      <w:r w:rsidRPr="00FA0D37">
        <w:rPr>
          <w:color w:val="993366"/>
        </w:rPr>
        <w:t>SEQUENCE</w:t>
      </w:r>
      <w:r w:rsidRPr="00FA0D37">
        <w:t xml:space="preserve"> (</w:t>
      </w:r>
      <w:r w:rsidRPr="00FA0D37">
        <w:rPr>
          <w:color w:val="993366"/>
        </w:rPr>
        <w:t>SIZE</w:t>
      </w:r>
      <w:r w:rsidRPr="00FA0D37">
        <w:t xml:space="preserve"> (1..maxNrofCSI-ResourceConfigurations))</w:t>
      </w:r>
      <w:r w:rsidRPr="00FA0D37">
        <w:rPr>
          <w:color w:val="993366"/>
        </w:rPr>
        <w:t xml:space="preserve"> OF</w:t>
      </w:r>
      <w:r w:rsidRPr="00FA0D37">
        <w:t xml:space="preserve"> CSI-ResourceConfigId</w:t>
      </w:r>
    </w:p>
    <w:p w14:paraId="6839C087"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0A9BE9F1" w14:textId="77777777" w:rsidR="00394471" w:rsidRPr="00FA0D37" w:rsidRDefault="00394471" w:rsidP="00FA0D37">
      <w:pPr>
        <w:pStyle w:val="PL"/>
        <w:rPr>
          <w:color w:val="808080"/>
        </w:rPr>
      </w:pPr>
      <w:r w:rsidRPr="00FA0D37">
        <w:t xml:space="preserve">    csi-ReportConfigToAddModList        </w:t>
      </w:r>
      <w:r w:rsidRPr="00FA0D37">
        <w:rPr>
          <w:color w:val="993366"/>
        </w:rPr>
        <w:t>SEQUENCE</w:t>
      </w:r>
      <w:r w:rsidRPr="00FA0D37">
        <w:t xml:space="preserve"> (</w:t>
      </w:r>
      <w:r w:rsidRPr="00FA0D37">
        <w:rPr>
          <w:color w:val="993366"/>
        </w:rPr>
        <w:t>SIZE</w:t>
      </w:r>
      <w:r w:rsidRPr="00FA0D37">
        <w:t xml:space="preserve"> (1..maxNrofCSI-ReportConfigurations))</w:t>
      </w:r>
      <w:r w:rsidRPr="00FA0D37">
        <w:rPr>
          <w:color w:val="993366"/>
        </w:rPr>
        <w:t xml:space="preserve"> OF</w:t>
      </w:r>
      <w:r w:rsidRPr="00FA0D37">
        <w:t xml:space="preserve"> CSI-ReportConfig  </w:t>
      </w:r>
      <w:r w:rsidRPr="00FA0D37">
        <w:rPr>
          <w:color w:val="993366"/>
        </w:rPr>
        <w:t>OPTIONAL</w:t>
      </w:r>
      <w:r w:rsidRPr="00FA0D37">
        <w:t xml:space="preserve">, </w:t>
      </w:r>
      <w:r w:rsidRPr="00FA0D37">
        <w:rPr>
          <w:color w:val="808080"/>
        </w:rPr>
        <w:t>-- Need N</w:t>
      </w:r>
    </w:p>
    <w:p w14:paraId="1A6A8670" w14:textId="77777777" w:rsidR="00394471" w:rsidRPr="00FA0D37" w:rsidRDefault="00394471" w:rsidP="00FA0D37">
      <w:pPr>
        <w:pStyle w:val="PL"/>
      </w:pPr>
      <w:r w:rsidRPr="00FA0D37">
        <w:t xml:space="preserve">    csi-ReportConfigToReleaseList       </w:t>
      </w:r>
      <w:r w:rsidRPr="00FA0D37">
        <w:rPr>
          <w:color w:val="993366"/>
        </w:rPr>
        <w:t>SEQUENCE</w:t>
      </w:r>
      <w:r w:rsidRPr="00FA0D37">
        <w:t xml:space="preserve"> (</w:t>
      </w:r>
      <w:r w:rsidRPr="00FA0D37">
        <w:rPr>
          <w:color w:val="993366"/>
        </w:rPr>
        <w:t>SIZE</w:t>
      </w:r>
      <w:r w:rsidRPr="00FA0D37">
        <w:t xml:space="preserve"> (1..maxNrofCSI-ReportConfigurations))</w:t>
      </w:r>
      <w:r w:rsidRPr="00FA0D37">
        <w:rPr>
          <w:color w:val="993366"/>
        </w:rPr>
        <w:t xml:space="preserve"> OF</w:t>
      </w:r>
      <w:r w:rsidRPr="00FA0D37">
        <w:t xml:space="preserve"> CSI-ReportConfigId</w:t>
      </w:r>
    </w:p>
    <w:p w14:paraId="03B43FE5"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3503F96D" w14:textId="77777777" w:rsidR="00394471" w:rsidRPr="00FA0D37" w:rsidRDefault="00394471" w:rsidP="00FA0D37">
      <w:pPr>
        <w:pStyle w:val="PL"/>
        <w:rPr>
          <w:color w:val="808080"/>
        </w:rPr>
      </w:pPr>
      <w:r w:rsidRPr="00FA0D37">
        <w:t xml:space="preserve">    reportTriggerSize                   </w:t>
      </w:r>
      <w:r w:rsidRPr="00FA0D37">
        <w:rPr>
          <w:color w:val="993366"/>
        </w:rPr>
        <w:t>INTEGER</w:t>
      </w:r>
      <w:r w:rsidRPr="00FA0D37">
        <w:t xml:space="preserve"> (0..6)                                                            </w:t>
      </w:r>
      <w:r w:rsidRPr="00FA0D37">
        <w:rPr>
          <w:color w:val="993366"/>
        </w:rPr>
        <w:t>OPTIONAL</w:t>
      </w:r>
      <w:r w:rsidRPr="00FA0D37">
        <w:t xml:space="preserve">, </w:t>
      </w:r>
      <w:r w:rsidRPr="00FA0D37">
        <w:rPr>
          <w:color w:val="808080"/>
        </w:rPr>
        <w:t>-- Need M</w:t>
      </w:r>
    </w:p>
    <w:p w14:paraId="74849E24" w14:textId="77777777" w:rsidR="00394471" w:rsidRPr="00FA0D37" w:rsidRDefault="00394471" w:rsidP="00FA0D37">
      <w:pPr>
        <w:pStyle w:val="PL"/>
        <w:rPr>
          <w:color w:val="808080"/>
        </w:rPr>
      </w:pPr>
      <w:r w:rsidRPr="00FA0D37">
        <w:t xml:space="preserve">    aperiodicTriggerStateList           SetupRelease { CSI-AperiodicTriggerStateList }                            </w:t>
      </w:r>
      <w:r w:rsidRPr="00FA0D37">
        <w:rPr>
          <w:color w:val="993366"/>
        </w:rPr>
        <w:t>OPTIONAL</w:t>
      </w:r>
      <w:r w:rsidRPr="00FA0D37">
        <w:t xml:space="preserve">, </w:t>
      </w:r>
      <w:r w:rsidRPr="00FA0D37">
        <w:rPr>
          <w:color w:val="808080"/>
        </w:rPr>
        <w:t>-- Need M</w:t>
      </w:r>
    </w:p>
    <w:p w14:paraId="1EB3B93A" w14:textId="77777777" w:rsidR="00394471" w:rsidRPr="00FA0D37" w:rsidRDefault="00394471" w:rsidP="00FA0D37">
      <w:pPr>
        <w:pStyle w:val="PL"/>
        <w:rPr>
          <w:color w:val="808080"/>
        </w:rPr>
      </w:pPr>
      <w:r w:rsidRPr="00FA0D37">
        <w:t xml:space="preserve">    semiPersistentOnPUSCH-TriggerStateList    SetupRelease { CSI-SemiPersistentOnPUSCH-TriggerStateList }         </w:t>
      </w:r>
      <w:r w:rsidRPr="00FA0D37">
        <w:rPr>
          <w:color w:val="993366"/>
        </w:rPr>
        <w:t>OPTIONAL</w:t>
      </w:r>
      <w:r w:rsidRPr="00FA0D37">
        <w:t xml:space="preserve">, </w:t>
      </w:r>
      <w:r w:rsidRPr="00FA0D37">
        <w:rPr>
          <w:color w:val="808080"/>
        </w:rPr>
        <w:t>-- Need M</w:t>
      </w:r>
    </w:p>
    <w:p w14:paraId="6FD59A25" w14:textId="77777777" w:rsidR="00394471" w:rsidRPr="00FA0D37" w:rsidRDefault="00394471" w:rsidP="00FA0D37">
      <w:pPr>
        <w:pStyle w:val="PL"/>
      </w:pPr>
      <w:r w:rsidRPr="00FA0D37">
        <w:t xml:space="preserve">    ...,</w:t>
      </w:r>
    </w:p>
    <w:p w14:paraId="7087607E" w14:textId="77777777" w:rsidR="00394471" w:rsidRPr="00FA0D37" w:rsidRDefault="00394471" w:rsidP="00FA0D37">
      <w:pPr>
        <w:pStyle w:val="PL"/>
      </w:pPr>
      <w:r w:rsidRPr="00FA0D37">
        <w:t xml:space="preserve">    [[</w:t>
      </w:r>
    </w:p>
    <w:p w14:paraId="148DC713" w14:textId="77777777" w:rsidR="00394471" w:rsidRPr="00FA0D37" w:rsidRDefault="00394471" w:rsidP="00FA0D37">
      <w:pPr>
        <w:pStyle w:val="PL"/>
        <w:rPr>
          <w:color w:val="808080"/>
        </w:rPr>
      </w:pPr>
      <w:r w:rsidRPr="00FA0D37">
        <w:t xml:space="preserve">    reportTriggerSizeDCI-0-2-r16        </w:t>
      </w:r>
      <w:r w:rsidRPr="00FA0D37">
        <w:rPr>
          <w:color w:val="993366"/>
        </w:rPr>
        <w:t>INTEGER</w:t>
      </w:r>
      <w:r w:rsidRPr="00FA0D37">
        <w:t xml:space="preserve"> (0..6)                                                            </w:t>
      </w:r>
      <w:r w:rsidRPr="00FA0D37">
        <w:rPr>
          <w:color w:val="993366"/>
        </w:rPr>
        <w:t>OPTIONAL</w:t>
      </w:r>
      <w:r w:rsidRPr="00FA0D37">
        <w:t xml:space="preserve"> </w:t>
      </w:r>
      <w:r w:rsidRPr="00FA0D37">
        <w:rPr>
          <w:color w:val="808080"/>
        </w:rPr>
        <w:t>-- Need R</w:t>
      </w:r>
    </w:p>
    <w:p w14:paraId="5809DA43" w14:textId="5B6CFF5C" w:rsidR="00DB6B82" w:rsidRPr="00FA0D37" w:rsidRDefault="00394471" w:rsidP="00FA0D37">
      <w:pPr>
        <w:pStyle w:val="PL"/>
      </w:pPr>
      <w:r w:rsidRPr="00FA0D37">
        <w:t xml:space="preserve">    ]]</w:t>
      </w:r>
      <w:r w:rsidR="00DB6B82" w:rsidRPr="00FA0D37">
        <w:t>,</w:t>
      </w:r>
    </w:p>
    <w:p w14:paraId="0D072ED5" w14:textId="77777777" w:rsidR="00DB6B82" w:rsidRPr="00FA0D37" w:rsidRDefault="00DB6B82" w:rsidP="00FA0D37">
      <w:pPr>
        <w:pStyle w:val="PL"/>
      </w:pPr>
      <w:r w:rsidRPr="00FA0D37">
        <w:lastRenderedPageBreak/>
        <w:t xml:space="preserve">    [[</w:t>
      </w:r>
    </w:p>
    <w:p w14:paraId="679C69D5" w14:textId="257ADF4A" w:rsidR="00DB6B82" w:rsidRPr="00FA0D37" w:rsidRDefault="00DB6B82" w:rsidP="00FA0D37">
      <w:pPr>
        <w:pStyle w:val="PL"/>
        <w:rPr>
          <w:color w:val="808080"/>
        </w:rPr>
      </w:pPr>
      <w:r w:rsidRPr="00FA0D37">
        <w:t xml:space="preserve">    s</w:t>
      </w:r>
      <w:r w:rsidR="00FB193E" w:rsidRPr="00FA0D37">
        <w:t>C</w:t>
      </w:r>
      <w:r w:rsidRPr="00FA0D37">
        <w:t xml:space="preserve">ellActivationRS-ConfigToAddModList-r17  </w:t>
      </w:r>
      <w:r w:rsidRPr="00FA0D37">
        <w:rPr>
          <w:color w:val="993366"/>
        </w:rPr>
        <w:t>SEQUENCE</w:t>
      </w:r>
      <w:r w:rsidRPr="00FA0D37">
        <w:t xml:space="preserve"> (</w:t>
      </w:r>
      <w:r w:rsidRPr="00FA0D37">
        <w:rPr>
          <w:color w:val="993366"/>
        </w:rPr>
        <w:t>SIZE</w:t>
      </w:r>
      <w:r w:rsidRPr="00FA0D37">
        <w:t xml:space="preserve"> (1..maxNrofSCellActRS-r17))</w:t>
      </w:r>
      <w:r w:rsidRPr="00FA0D37">
        <w:rPr>
          <w:color w:val="993366"/>
        </w:rPr>
        <w:t xml:space="preserve"> OF</w:t>
      </w:r>
      <w:r w:rsidRPr="00FA0D37">
        <w:t xml:space="preserve"> SCellActivationRS-Config-r17   </w:t>
      </w:r>
      <w:r w:rsidRPr="00FA0D37">
        <w:rPr>
          <w:color w:val="993366"/>
        </w:rPr>
        <w:t>OPTIONAL</w:t>
      </w:r>
      <w:r w:rsidRPr="00FA0D37">
        <w:t xml:space="preserve">, </w:t>
      </w:r>
      <w:r w:rsidRPr="00FA0D37">
        <w:rPr>
          <w:color w:val="808080"/>
        </w:rPr>
        <w:t>-- Need N</w:t>
      </w:r>
    </w:p>
    <w:p w14:paraId="76950304" w14:textId="5D531A25" w:rsidR="00DB6B82" w:rsidRPr="00FA0D37" w:rsidRDefault="00DB6B82" w:rsidP="00FA0D37">
      <w:pPr>
        <w:pStyle w:val="PL"/>
        <w:rPr>
          <w:color w:val="808080"/>
        </w:rPr>
      </w:pPr>
      <w:r w:rsidRPr="00FA0D37">
        <w:t xml:space="preserve">    s</w:t>
      </w:r>
      <w:r w:rsidR="00FB193E" w:rsidRPr="00FA0D37">
        <w:t>C</w:t>
      </w:r>
      <w:r w:rsidRPr="00FA0D37">
        <w:t xml:space="preserve">ellActivationRS-ConfigToReleaseList-r17 </w:t>
      </w:r>
      <w:r w:rsidRPr="00FA0D37">
        <w:rPr>
          <w:color w:val="993366"/>
        </w:rPr>
        <w:t>SEQUENCE</w:t>
      </w:r>
      <w:r w:rsidRPr="00FA0D37">
        <w:t xml:space="preserve"> (</w:t>
      </w:r>
      <w:r w:rsidRPr="00FA0D37">
        <w:rPr>
          <w:color w:val="993366"/>
        </w:rPr>
        <w:t>SIZE</w:t>
      </w:r>
      <w:r w:rsidRPr="00FA0D37">
        <w:t xml:space="preserve"> (1..maxNrofSCellActRS-r17))</w:t>
      </w:r>
      <w:r w:rsidRPr="00FA0D37">
        <w:rPr>
          <w:color w:val="993366"/>
        </w:rPr>
        <w:t xml:space="preserve"> OF</w:t>
      </w:r>
      <w:r w:rsidRPr="00FA0D37">
        <w:t xml:space="preserve"> SCellActivationRS-ConfigId-r17 </w:t>
      </w:r>
      <w:r w:rsidRPr="00FA0D37">
        <w:rPr>
          <w:color w:val="993366"/>
        </w:rPr>
        <w:t>OPTIONAL</w:t>
      </w:r>
      <w:r w:rsidRPr="00FA0D37">
        <w:t xml:space="preserve">  </w:t>
      </w:r>
      <w:r w:rsidRPr="00FA0D37">
        <w:rPr>
          <w:color w:val="808080"/>
        </w:rPr>
        <w:t>-- Need N</w:t>
      </w:r>
    </w:p>
    <w:p w14:paraId="1E1ADCC6" w14:textId="4DA1AD35" w:rsidR="00394471" w:rsidRPr="00FA0D37" w:rsidRDefault="00DB6B82" w:rsidP="00FA0D37">
      <w:pPr>
        <w:pStyle w:val="PL"/>
      </w:pPr>
      <w:r w:rsidRPr="00FA0D37">
        <w:t xml:space="preserve">    ]]</w:t>
      </w:r>
    </w:p>
    <w:p w14:paraId="07946C9A" w14:textId="77777777" w:rsidR="00394471" w:rsidRPr="00FA0D37" w:rsidRDefault="00394471" w:rsidP="00FA0D37">
      <w:pPr>
        <w:pStyle w:val="PL"/>
      </w:pPr>
      <w:r w:rsidRPr="00FA0D37">
        <w:t>}</w:t>
      </w:r>
    </w:p>
    <w:p w14:paraId="64170D29" w14:textId="77777777" w:rsidR="00394471" w:rsidRPr="00FA0D37" w:rsidRDefault="00394471" w:rsidP="00FA0D37">
      <w:pPr>
        <w:pStyle w:val="PL"/>
      </w:pPr>
    </w:p>
    <w:p w14:paraId="6360C718" w14:textId="77777777" w:rsidR="00394471" w:rsidRPr="00FA0D37" w:rsidRDefault="00394471" w:rsidP="00FA0D37">
      <w:pPr>
        <w:pStyle w:val="PL"/>
        <w:rPr>
          <w:color w:val="808080"/>
        </w:rPr>
      </w:pPr>
      <w:r w:rsidRPr="00FA0D37">
        <w:rPr>
          <w:color w:val="808080"/>
        </w:rPr>
        <w:t>-- TAG-CSI-MEASCONFIG-STOP</w:t>
      </w:r>
    </w:p>
    <w:p w14:paraId="12C2BE76" w14:textId="77777777" w:rsidR="00394471" w:rsidRPr="00FA0D37" w:rsidRDefault="00394471" w:rsidP="00FA0D37">
      <w:pPr>
        <w:pStyle w:val="PL"/>
        <w:rPr>
          <w:color w:val="808080"/>
        </w:rPr>
      </w:pPr>
      <w:r w:rsidRPr="00FA0D37">
        <w:rPr>
          <w:color w:val="808080"/>
        </w:rPr>
        <w:t>-- ASN1STOP</w:t>
      </w:r>
    </w:p>
    <w:p w14:paraId="5411671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FA0D37" w:rsidRDefault="00394471" w:rsidP="00964CC4">
            <w:pPr>
              <w:pStyle w:val="TAH"/>
              <w:rPr>
                <w:szCs w:val="22"/>
                <w:lang w:eastAsia="sv-SE"/>
              </w:rPr>
            </w:pPr>
            <w:r w:rsidRPr="00FA0D37">
              <w:rPr>
                <w:i/>
                <w:szCs w:val="22"/>
                <w:lang w:eastAsia="sv-SE"/>
              </w:rPr>
              <w:t xml:space="preserve">CSI-MeasConfig </w:t>
            </w:r>
            <w:r w:rsidRPr="00FA0D37">
              <w:rPr>
                <w:szCs w:val="22"/>
                <w:lang w:eastAsia="sv-SE"/>
              </w:rPr>
              <w:t>field descriptions</w:t>
            </w:r>
          </w:p>
        </w:tc>
      </w:tr>
      <w:tr w:rsidR="005C7FF4" w:rsidRPr="00FA0D37"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FA0D37" w:rsidRDefault="00394471" w:rsidP="00964CC4">
            <w:pPr>
              <w:pStyle w:val="TAL"/>
              <w:rPr>
                <w:szCs w:val="22"/>
                <w:lang w:eastAsia="sv-SE"/>
              </w:rPr>
            </w:pPr>
            <w:r w:rsidRPr="00FA0D37">
              <w:rPr>
                <w:b/>
                <w:i/>
                <w:szCs w:val="22"/>
                <w:lang w:eastAsia="sv-SE"/>
              </w:rPr>
              <w:t>aperiodicTriggerStateList</w:t>
            </w:r>
          </w:p>
          <w:p w14:paraId="49D79958" w14:textId="77777777" w:rsidR="00394471" w:rsidRPr="00FA0D37" w:rsidRDefault="00394471" w:rsidP="00964CC4">
            <w:pPr>
              <w:pStyle w:val="TAL"/>
              <w:rPr>
                <w:szCs w:val="22"/>
                <w:lang w:eastAsia="sv-SE"/>
              </w:rPr>
            </w:pPr>
            <w:r w:rsidRPr="00FA0D37">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5C7FF4" w:rsidRPr="00FA0D37"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FA0D37" w:rsidRDefault="00394471" w:rsidP="00964CC4">
            <w:pPr>
              <w:pStyle w:val="TAL"/>
              <w:rPr>
                <w:szCs w:val="22"/>
                <w:lang w:eastAsia="sv-SE"/>
              </w:rPr>
            </w:pPr>
            <w:r w:rsidRPr="00FA0D37">
              <w:rPr>
                <w:b/>
                <w:i/>
                <w:szCs w:val="22"/>
                <w:lang w:eastAsia="sv-SE"/>
              </w:rPr>
              <w:t>csi-IM-ResourceSetToAddModList</w:t>
            </w:r>
          </w:p>
          <w:p w14:paraId="5819232D" w14:textId="77777777" w:rsidR="00394471" w:rsidRPr="00FA0D37" w:rsidRDefault="00394471" w:rsidP="00964CC4">
            <w:pPr>
              <w:pStyle w:val="TAL"/>
              <w:rPr>
                <w:szCs w:val="22"/>
                <w:lang w:eastAsia="sv-SE"/>
              </w:rPr>
            </w:pPr>
            <w:r w:rsidRPr="00FA0D37">
              <w:rPr>
                <w:szCs w:val="22"/>
                <w:lang w:eastAsia="sv-SE"/>
              </w:rPr>
              <w:t xml:space="preserve">Pool of </w:t>
            </w:r>
            <w:r w:rsidRPr="00FA0D37">
              <w:rPr>
                <w:i/>
                <w:lang w:eastAsia="sv-SE"/>
              </w:rPr>
              <w:t>CSI-IM-ResourceSet</w:t>
            </w:r>
            <w:r w:rsidRPr="00FA0D37">
              <w:rPr>
                <w:szCs w:val="22"/>
                <w:lang w:eastAsia="sv-SE"/>
              </w:rPr>
              <w:t xml:space="preserve"> which can be referred to from </w:t>
            </w:r>
            <w:r w:rsidRPr="00FA0D37">
              <w:rPr>
                <w:i/>
                <w:lang w:eastAsia="sv-SE"/>
              </w:rPr>
              <w:t>CSI-ResourceConfig</w:t>
            </w:r>
            <w:r w:rsidRPr="00FA0D37">
              <w:rPr>
                <w:szCs w:val="22"/>
                <w:lang w:eastAsia="sv-SE"/>
              </w:rPr>
              <w:t xml:space="preserve"> or from MAC CEs.</w:t>
            </w:r>
          </w:p>
        </w:tc>
      </w:tr>
      <w:tr w:rsidR="005C7FF4" w:rsidRPr="00FA0D37"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FA0D37" w:rsidRDefault="00394471" w:rsidP="00964CC4">
            <w:pPr>
              <w:pStyle w:val="TAL"/>
              <w:rPr>
                <w:szCs w:val="22"/>
                <w:lang w:eastAsia="sv-SE"/>
              </w:rPr>
            </w:pPr>
            <w:r w:rsidRPr="00FA0D37">
              <w:rPr>
                <w:b/>
                <w:i/>
                <w:szCs w:val="22"/>
                <w:lang w:eastAsia="sv-SE"/>
              </w:rPr>
              <w:t>csi-IM-ResourceToAddModList</w:t>
            </w:r>
          </w:p>
          <w:p w14:paraId="69BD594A" w14:textId="77777777" w:rsidR="00394471" w:rsidRPr="00FA0D37" w:rsidRDefault="00394471" w:rsidP="00964CC4">
            <w:pPr>
              <w:pStyle w:val="TAL"/>
              <w:rPr>
                <w:szCs w:val="22"/>
                <w:lang w:eastAsia="sv-SE"/>
              </w:rPr>
            </w:pPr>
            <w:r w:rsidRPr="00FA0D37">
              <w:rPr>
                <w:szCs w:val="22"/>
                <w:lang w:eastAsia="sv-SE"/>
              </w:rPr>
              <w:t xml:space="preserve">Pool of </w:t>
            </w:r>
            <w:r w:rsidRPr="00FA0D37">
              <w:rPr>
                <w:i/>
                <w:lang w:eastAsia="sv-SE"/>
              </w:rPr>
              <w:t>CSI-IM-Resource</w:t>
            </w:r>
            <w:r w:rsidRPr="00FA0D37">
              <w:rPr>
                <w:szCs w:val="22"/>
                <w:lang w:eastAsia="sv-SE"/>
              </w:rPr>
              <w:t xml:space="preserve"> which can be referred to from </w:t>
            </w:r>
            <w:r w:rsidRPr="00FA0D37">
              <w:rPr>
                <w:i/>
                <w:lang w:eastAsia="sv-SE"/>
              </w:rPr>
              <w:t>CSI-IM-ResourceSet</w:t>
            </w:r>
            <w:r w:rsidRPr="00FA0D37">
              <w:rPr>
                <w:szCs w:val="22"/>
                <w:lang w:eastAsia="sv-SE"/>
              </w:rPr>
              <w:t>.</w:t>
            </w:r>
          </w:p>
        </w:tc>
      </w:tr>
      <w:tr w:rsidR="005C7FF4" w:rsidRPr="00FA0D37"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FA0D37" w:rsidRDefault="00394471" w:rsidP="00964CC4">
            <w:pPr>
              <w:pStyle w:val="TAL"/>
              <w:rPr>
                <w:szCs w:val="22"/>
                <w:lang w:eastAsia="sv-SE"/>
              </w:rPr>
            </w:pPr>
            <w:r w:rsidRPr="00FA0D37">
              <w:rPr>
                <w:b/>
                <w:i/>
                <w:szCs w:val="22"/>
                <w:lang w:eastAsia="sv-SE"/>
              </w:rPr>
              <w:t>csi-ReportConfigToAddModList</w:t>
            </w:r>
          </w:p>
          <w:p w14:paraId="7D3A41C4" w14:textId="77777777" w:rsidR="00394471" w:rsidRPr="00FA0D37" w:rsidRDefault="00394471" w:rsidP="00964CC4">
            <w:pPr>
              <w:pStyle w:val="TAL"/>
              <w:rPr>
                <w:szCs w:val="22"/>
                <w:lang w:eastAsia="sv-SE"/>
              </w:rPr>
            </w:pPr>
            <w:r w:rsidRPr="00FA0D37">
              <w:rPr>
                <w:szCs w:val="22"/>
                <w:lang w:eastAsia="sv-SE"/>
              </w:rPr>
              <w:t>Configured CSI report settings as specified in TS 38.214 [19] clause 5.2.1.1.</w:t>
            </w:r>
          </w:p>
        </w:tc>
      </w:tr>
      <w:tr w:rsidR="005C7FF4" w:rsidRPr="00FA0D37"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FA0D37" w:rsidRDefault="00394471" w:rsidP="00964CC4">
            <w:pPr>
              <w:pStyle w:val="TAL"/>
              <w:rPr>
                <w:szCs w:val="22"/>
                <w:lang w:eastAsia="sv-SE"/>
              </w:rPr>
            </w:pPr>
            <w:r w:rsidRPr="00FA0D37">
              <w:rPr>
                <w:b/>
                <w:i/>
                <w:szCs w:val="22"/>
                <w:lang w:eastAsia="sv-SE"/>
              </w:rPr>
              <w:t>csi-ResourceConfigToAddModList</w:t>
            </w:r>
          </w:p>
          <w:p w14:paraId="70382D9A" w14:textId="77777777" w:rsidR="00394471" w:rsidRPr="00FA0D37" w:rsidRDefault="00394471" w:rsidP="00964CC4">
            <w:pPr>
              <w:pStyle w:val="TAL"/>
              <w:rPr>
                <w:szCs w:val="22"/>
                <w:lang w:eastAsia="sv-SE"/>
              </w:rPr>
            </w:pPr>
            <w:r w:rsidRPr="00FA0D37">
              <w:rPr>
                <w:szCs w:val="22"/>
                <w:lang w:eastAsia="sv-SE"/>
              </w:rPr>
              <w:t>Configured CSI resource settings as specified in TS 38.214 [19] clause 5.2.1.2.</w:t>
            </w:r>
          </w:p>
        </w:tc>
      </w:tr>
      <w:tr w:rsidR="005C7FF4" w:rsidRPr="00FA0D37"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FA0D37" w:rsidRDefault="00394471" w:rsidP="00964CC4">
            <w:pPr>
              <w:pStyle w:val="TAL"/>
              <w:rPr>
                <w:szCs w:val="22"/>
                <w:lang w:eastAsia="sv-SE"/>
              </w:rPr>
            </w:pPr>
            <w:r w:rsidRPr="00FA0D37">
              <w:rPr>
                <w:b/>
                <w:i/>
                <w:szCs w:val="22"/>
                <w:lang w:eastAsia="sv-SE"/>
              </w:rPr>
              <w:t>csi-SSB-ResourceSetToAddModList</w:t>
            </w:r>
          </w:p>
          <w:p w14:paraId="3DB22FEC" w14:textId="77777777" w:rsidR="00394471" w:rsidRPr="00FA0D37" w:rsidRDefault="00394471" w:rsidP="00964CC4">
            <w:pPr>
              <w:pStyle w:val="TAL"/>
              <w:rPr>
                <w:szCs w:val="22"/>
                <w:lang w:eastAsia="sv-SE"/>
              </w:rPr>
            </w:pPr>
            <w:r w:rsidRPr="00FA0D37">
              <w:rPr>
                <w:szCs w:val="22"/>
                <w:lang w:eastAsia="sv-SE"/>
              </w:rPr>
              <w:t xml:space="preserve">Pool of CSI-SSB-ResourceSet which can be referred to from </w:t>
            </w:r>
            <w:r w:rsidRPr="00FA0D37">
              <w:rPr>
                <w:i/>
                <w:lang w:eastAsia="sv-SE"/>
              </w:rPr>
              <w:t>CSI-ResourceConfig</w:t>
            </w:r>
            <w:r w:rsidRPr="00FA0D37">
              <w:rPr>
                <w:szCs w:val="22"/>
                <w:lang w:eastAsia="sv-SE"/>
              </w:rPr>
              <w:t>.</w:t>
            </w:r>
          </w:p>
        </w:tc>
      </w:tr>
      <w:tr w:rsidR="005C7FF4" w:rsidRPr="00FA0D37"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FA0D37" w:rsidRDefault="00394471" w:rsidP="00964CC4">
            <w:pPr>
              <w:pStyle w:val="TAL"/>
              <w:rPr>
                <w:szCs w:val="22"/>
                <w:lang w:eastAsia="sv-SE"/>
              </w:rPr>
            </w:pPr>
            <w:r w:rsidRPr="00FA0D37">
              <w:rPr>
                <w:b/>
                <w:i/>
                <w:szCs w:val="22"/>
                <w:lang w:eastAsia="sv-SE"/>
              </w:rPr>
              <w:t>nzp-CSI-RS-ResourceSetToAddModList</w:t>
            </w:r>
          </w:p>
          <w:p w14:paraId="6EE49821" w14:textId="77777777" w:rsidR="00394471" w:rsidRPr="00FA0D37" w:rsidRDefault="00394471" w:rsidP="00964CC4">
            <w:pPr>
              <w:pStyle w:val="TAL"/>
              <w:rPr>
                <w:szCs w:val="22"/>
                <w:lang w:eastAsia="sv-SE"/>
              </w:rPr>
            </w:pPr>
            <w:r w:rsidRPr="00FA0D37">
              <w:rPr>
                <w:szCs w:val="22"/>
                <w:lang w:eastAsia="sv-SE"/>
              </w:rPr>
              <w:t xml:space="preserve">Pool of </w:t>
            </w:r>
            <w:r w:rsidRPr="00FA0D37">
              <w:rPr>
                <w:i/>
                <w:lang w:eastAsia="sv-SE"/>
              </w:rPr>
              <w:t>NZP-CSI-RS-ResourceSet</w:t>
            </w:r>
            <w:r w:rsidRPr="00FA0D37">
              <w:rPr>
                <w:szCs w:val="22"/>
                <w:lang w:eastAsia="sv-SE"/>
              </w:rPr>
              <w:t xml:space="preserve"> which can be referred to from </w:t>
            </w:r>
            <w:r w:rsidRPr="00FA0D37">
              <w:rPr>
                <w:i/>
                <w:lang w:eastAsia="sv-SE"/>
              </w:rPr>
              <w:t>CSI-ResourceConfig</w:t>
            </w:r>
            <w:r w:rsidRPr="00FA0D37">
              <w:rPr>
                <w:szCs w:val="22"/>
                <w:lang w:eastAsia="sv-SE"/>
              </w:rPr>
              <w:t xml:space="preserve"> or from MAC CEs.</w:t>
            </w:r>
          </w:p>
        </w:tc>
      </w:tr>
      <w:tr w:rsidR="005C7FF4" w:rsidRPr="00FA0D37"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FA0D37" w:rsidRDefault="00394471" w:rsidP="00964CC4">
            <w:pPr>
              <w:pStyle w:val="TAL"/>
              <w:rPr>
                <w:szCs w:val="22"/>
                <w:lang w:eastAsia="sv-SE"/>
              </w:rPr>
            </w:pPr>
            <w:r w:rsidRPr="00FA0D37">
              <w:rPr>
                <w:b/>
                <w:i/>
                <w:szCs w:val="22"/>
                <w:lang w:eastAsia="sv-SE"/>
              </w:rPr>
              <w:t>nzp-CSI-RS-ResourceToAddModList</w:t>
            </w:r>
          </w:p>
          <w:p w14:paraId="2DB9761F" w14:textId="77777777" w:rsidR="00394471" w:rsidRPr="00FA0D37" w:rsidRDefault="00394471" w:rsidP="00964CC4">
            <w:pPr>
              <w:pStyle w:val="TAL"/>
              <w:rPr>
                <w:szCs w:val="22"/>
                <w:lang w:eastAsia="sv-SE"/>
              </w:rPr>
            </w:pPr>
            <w:r w:rsidRPr="00FA0D37">
              <w:rPr>
                <w:szCs w:val="22"/>
                <w:lang w:eastAsia="sv-SE"/>
              </w:rPr>
              <w:t xml:space="preserve">Pool of </w:t>
            </w:r>
            <w:r w:rsidRPr="00FA0D37">
              <w:rPr>
                <w:i/>
                <w:lang w:eastAsia="sv-SE"/>
              </w:rPr>
              <w:t>NZP-CSI-RS-Resource</w:t>
            </w:r>
            <w:r w:rsidRPr="00FA0D37">
              <w:rPr>
                <w:szCs w:val="22"/>
                <w:lang w:eastAsia="sv-SE"/>
              </w:rPr>
              <w:t xml:space="preserve"> which can be referred to from </w:t>
            </w:r>
            <w:r w:rsidRPr="00FA0D37">
              <w:rPr>
                <w:i/>
                <w:lang w:eastAsia="sv-SE"/>
              </w:rPr>
              <w:t>NZP-CSI-RS-ResourceSet</w:t>
            </w:r>
            <w:r w:rsidRPr="00FA0D37">
              <w:rPr>
                <w:szCs w:val="22"/>
                <w:lang w:eastAsia="sv-SE"/>
              </w:rPr>
              <w:t>.</w:t>
            </w:r>
          </w:p>
        </w:tc>
      </w:tr>
      <w:tr w:rsidR="005C7FF4" w:rsidRPr="00FA0D37"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FA0D37" w:rsidRDefault="00394471" w:rsidP="00964CC4">
            <w:pPr>
              <w:pStyle w:val="TAL"/>
              <w:rPr>
                <w:szCs w:val="22"/>
                <w:lang w:eastAsia="sv-SE"/>
              </w:rPr>
            </w:pPr>
            <w:r w:rsidRPr="00FA0D37">
              <w:rPr>
                <w:b/>
                <w:i/>
                <w:szCs w:val="22"/>
                <w:lang w:eastAsia="sv-SE"/>
              </w:rPr>
              <w:t>reportTriggerSize, reportTriggerSizeDCI-0-2</w:t>
            </w:r>
          </w:p>
          <w:p w14:paraId="2E0BA77F" w14:textId="77777777" w:rsidR="00394471" w:rsidRPr="00FA0D37" w:rsidRDefault="00394471" w:rsidP="00964CC4">
            <w:pPr>
              <w:pStyle w:val="TAL"/>
              <w:rPr>
                <w:szCs w:val="22"/>
                <w:lang w:eastAsia="sv-SE"/>
              </w:rPr>
            </w:pPr>
            <w:r w:rsidRPr="00FA0D37">
              <w:rPr>
                <w:szCs w:val="22"/>
                <w:lang w:eastAsia="sv-SE"/>
              </w:rPr>
              <w:t xml:space="preserve">Size of CSI request field in DCI (bits) (see TS 38.214 [19], clause 5.2.1.5.1). The field </w:t>
            </w:r>
            <w:r w:rsidRPr="00FA0D37">
              <w:rPr>
                <w:i/>
                <w:szCs w:val="22"/>
                <w:lang w:eastAsia="sv-SE"/>
              </w:rPr>
              <w:t>reportTriggerSize</w:t>
            </w:r>
            <w:r w:rsidRPr="00FA0D37">
              <w:rPr>
                <w:szCs w:val="22"/>
                <w:lang w:eastAsia="sv-SE"/>
              </w:rPr>
              <w:t xml:space="preserve"> </w:t>
            </w:r>
            <w:r w:rsidRPr="00FA0D37">
              <w:rPr>
                <w:szCs w:val="22"/>
              </w:rPr>
              <w:t xml:space="preserve">applies </w:t>
            </w:r>
            <w:r w:rsidRPr="00FA0D37">
              <w:rPr>
                <w:szCs w:val="22"/>
                <w:lang w:eastAsia="sv-SE"/>
              </w:rPr>
              <w:t xml:space="preserve">to DCI format 0_1 and the field </w:t>
            </w:r>
            <w:r w:rsidRPr="00FA0D37">
              <w:rPr>
                <w:i/>
                <w:szCs w:val="22"/>
                <w:lang w:eastAsia="sv-SE"/>
              </w:rPr>
              <w:t>reportTriggerSizeDCI-0-2</w:t>
            </w:r>
            <w:r w:rsidRPr="00FA0D37">
              <w:rPr>
                <w:szCs w:val="22"/>
                <w:lang w:eastAsia="sv-SE"/>
              </w:rPr>
              <w:t xml:space="preserve"> </w:t>
            </w:r>
            <w:r w:rsidRPr="00FA0D37">
              <w:rPr>
                <w:szCs w:val="22"/>
              </w:rPr>
              <w:t xml:space="preserve">applies </w:t>
            </w:r>
            <w:r w:rsidRPr="00FA0D37">
              <w:rPr>
                <w:szCs w:val="22"/>
                <w:lang w:eastAsia="sv-SE"/>
              </w:rPr>
              <w:t>to DCI format 0_2 (see TS 38.214 [19], clause 5.2.1.5.1).</w:t>
            </w:r>
          </w:p>
        </w:tc>
      </w:tr>
      <w:tr w:rsidR="000830BB" w:rsidRPr="00FA0D37"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DB6B82" w:rsidRPr="00FA0D37" w:rsidRDefault="00DB6B82" w:rsidP="00771058">
            <w:pPr>
              <w:pStyle w:val="TAL"/>
              <w:rPr>
                <w:b/>
                <w:i/>
                <w:szCs w:val="22"/>
                <w:lang w:eastAsia="sv-SE"/>
              </w:rPr>
            </w:pPr>
            <w:r w:rsidRPr="00FA0D37">
              <w:rPr>
                <w:b/>
                <w:i/>
                <w:szCs w:val="22"/>
                <w:lang w:eastAsia="sv-SE"/>
              </w:rPr>
              <w:t>scellActivationRS-ConfigToAddModList</w:t>
            </w:r>
          </w:p>
          <w:p w14:paraId="04C1792D" w14:textId="7EA8F87E" w:rsidR="00DB6B82" w:rsidRPr="00FA0D37" w:rsidRDefault="00DB6B82" w:rsidP="00771058">
            <w:pPr>
              <w:pStyle w:val="TAL"/>
              <w:rPr>
                <w:bCs/>
                <w:iCs/>
                <w:szCs w:val="22"/>
                <w:lang w:eastAsia="sv-SE"/>
              </w:rPr>
            </w:pPr>
            <w:r w:rsidRPr="00FA0D37">
              <w:rPr>
                <w:bCs/>
                <w:iCs/>
                <w:szCs w:val="22"/>
                <w:lang w:eastAsia="sv-SE"/>
              </w:rPr>
              <w:t xml:space="preserve">Configured RS for </w:t>
            </w:r>
            <w:r w:rsidR="00627E02" w:rsidRPr="00FA0D37">
              <w:rPr>
                <w:bCs/>
                <w:iCs/>
                <w:szCs w:val="22"/>
                <w:lang w:eastAsia="sv-SE"/>
              </w:rPr>
              <w:t>fast</w:t>
            </w:r>
            <w:r w:rsidRPr="00FA0D37">
              <w:rPr>
                <w:bCs/>
                <w:iCs/>
                <w:szCs w:val="22"/>
                <w:lang w:eastAsia="sv-SE"/>
              </w:rPr>
              <w:t xml:space="preserve"> SCell activation as specified in TS 38.214 [19] clause </w:t>
            </w:r>
            <w:r w:rsidR="00156D01" w:rsidRPr="00FA0D37">
              <w:rPr>
                <w:bCs/>
                <w:iCs/>
                <w:szCs w:val="22"/>
                <w:lang w:eastAsia="sv-SE"/>
              </w:rPr>
              <w:t>5.2.1.5.3</w:t>
            </w:r>
            <w:r w:rsidRPr="00FA0D37">
              <w:rPr>
                <w:bCs/>
                <w:iCs/>
                <w:szCs w:val="22"/>
                <w:lang w:eastAsia="sv-SE"/>
              </w:rPr>
              <w:t>.</w:t>
            </w:r>
          </w:p>
        </w:tc>
      </w:tr>
    </w:tbl>
    <w:p w14:paraId="090BE21D" w14:textId="77777777" w:rsidR="00394471" w:rsidRPr="00FA0D37" w:rsidRDefault="00394471" w:rsidP="00394471"/>
    <w:p w14:paraId="27EE1634" w14:textId="77777777" w:rsidR="00394471" w:rsidRPr="00FA0D37" w:rsidRDefault="00394471" w:rsidP="00394471">
      <w:pPr>
        <w:pStyle w:val="4"/>
      </w:pPr>
      <w:bookmarkStart w:id="987" w:name="_Toc60777217"/>
      <w:bookmarkStart w:id="988" w:name="_Toc146781264"/>
      <w:r w:rsidRPr="00FA0D37">
        <w:t>–</w:t>
      </w:r>
      <w:r w:rsidRPr="00FA0D37">
        <w:tab/>
      </w:r>
      <w:r w:rsidRPr="00FA0D37">
        <w:rPr>
          <w:i/>
        </w:rPr>
        <w:t>CSI-ReportConfig</w:t>
      </w:r>
      <w:bookmarkEnd w:id="987"/>
      <w:bookmarkEnd w:id="988"/>
    </w:p>
    <w:p w14:paraId="73D68E0C" w14:textId="77777777" w:rsidR="00394471" w:rsidRPr="00FA0D37" w:rsidRDefault="00394471" w:rsidP="00394471">
      <w:r w:rsidRPr="00FA0D37">
        <w:t xml:space="preserve">The IE </w:t>
      </w:r>
      <w:r w:rsidRPr="00FA0D37">
        <w:rPr>
          <w:i/>
        </w:rPr>
        <w:t>CSI-ReportConfig</w:t>
      </w:r>
      <w:r w:rsidRPr="00FA0D37">
        <w:t xml:space="preserve"> is used to configure a periodic or semi-persistent report sent on PUCCH on the cell in which the </w:t>
      </w:r>
      <w:r w:rsidRPr="00FA0D37">
        <w:rPr>
          <w:i/>
        </w:rPr>
        <w:t>CSI-ReportConfig</w:t>
      </w:r>
      <w:r w:rsidRPr="00FA0D37">
        <w:t xml:space="preserve"> is included, or to configure a semi-persistent or aperiodic report sent on PUSCH triggered by DCI received on the cell in which the </w:t>
      </w:r>
      <w:r w:rsidRPr="00FA0D37">
        <w:rPr>
          <w:i/>
        </w:rPr>
        <w:t>CSI-ReportConfig</w:t>
      </w:r>
      <w:r w:rsidRPr="00FA0D37">
        <w:t xml:space="preserve"> is included (in this case, the cell on which the report is sent is determined by the received DCI). See TS 38.214 [19], clause 5.2.1.</w:t>
      </w:r>
    </w:p>
    <w:p w14:paraId="0914554E" w14:textId="77777777" w:rsidR="00394471" w:rsidRPr="00FA0D37" w:rsidRDefault="00394471" w:rsidP="00394471">
      <w:pPr>
        <w:pStyle w:val="TH"/>
      </w:pPr>
      <w:r w:rsidRPr="00FA0D37">
        <w:rPr>
          <w:i/>
        </w:rPr>
        <w:t>CSI-ReportConfig</w:t>
      </w:r>
      <w:r w:rsidRPr="00FA0D37">
        <w:t xml:space="preserve"> information element</w:t>
      </w:r>
    </w:p>
    <w:p w14:paraId="6C193706" w14:textId="77777777" w:rsidR="00394471" w:rsidRPr="00FA0D37" w:rsidRDefault="00394471" w:rsidP="00FA0D37">
      <w:pPr>
        <w:pStyle w:val="PL"/>
        <w:rPr>
          <w:color w:val="808080"/>
        </w:rPr>
      </w:pPr>
      <w:r w:rsidRPr="00FA0D37">
        <w:rPr>
          <w:color w:val="808080"/>
        </w:rPr>
        <w:t>-- ASN1START</w:t>
      </w:r>
    </w:p>
    <w:p w14:paraId="1E60C908" w14:textId="77777777" w:rsidR="00394471" w:rsidRPr="00FA0D37" w:rsidRDefault="00394471" w:rsidP="00FA0D37">
      <w:pPr>
        <w:pStyle w:val="PL"/>
        <w:rPr>
          <w:color w:val="808080"/>
        </w:rPr>
      </w:pPr>
      <w:r w:rsidRPr="00FA0D37">
        <w:rPr>
          <w:color w:val="808080"/>
        </w:rPr>
        <w:t>-- TAG-CSI-REPORTCONFIG-START</w:t>
      </w:r>
    </w:p>
    <w:p w14:paraId="020D0875" w14:textId="77777777" w:rsidR="00394471" w:rsidRPr="00FA0D37" w:rsidRDefault="00394471" w:rsidP="00FA0D37">
      <w:pPr>
        <w:pStyle w:val="PL"/>
      </w:pPr>
    </w:p>
    <w:p w14:paraId="490A2E18" w14:textId="77777777" w:rsidR="00394471" w:rsidRPr="00FA0D37" w:rsidRDefault="00394471" w:rsidP="00FA0D37">
      <w:pPr>
        <w:pStyle w:val="PL"/>
      </w:pPr>
      <w:r w:rsidRPr="00FA0D37">
        <w:t xml:space="preserve">CSI-ReportConfig ::=                </w:t>
      </w:r>
      <w:r w:rsidRPr="00FA0D37">
        <w:rPr>
          <w:color w:val="993366"/>
        </w:rPr>
        <w:t>SEQUENCE</w:t>
      </w:r>
      <w:r w:rsidRPr="00FA0D37">
        <w:t xml:space="preserve"> {</w:t>
      </w:r>
    </w:p>
    <w:p w14:paraId="26973467" w14:textId="77777777" w:rsidR="00394471" w:rsidRPr="00FA0D37" w:rsidRDefault="00394471" w:rsidP="00FA0D37">
      <w:pPr>
        <w:pStyle w:val="PL"/>
      </w:pPr>
      <w:r w:rsidRPr="00FA0D37">
        <w:t xml:space="preserve">    reportConfigId                          CSI-ReportConfigId,</w:t>
      </w:r>
    </w:p>
    <w:p w14:paraId="11C20A32" w14:textId="77777777" w:rsidR="00394471" w:rsidRPr="00FA0D37" w:rsidRDefault="00394471" w:rsidP="00FA0D37">
      <w:pPr>
        <w:pStyle w:val="PL"/>
        <w:rPr>
          <w:color w:val="808080"/>
        </w:rPr>
      </w:pPr>
      <w:r w:rsidRPr="00FA0D37">
        <w:t xml:space="preserve">    carrier                                 ServCellIndex                   </w:t>
      </w:r>
      <w:r w:rsidRPr="00FA0D37">
        <w:rPr>
          <w:color w:val="993366"/>
        </w:rPr>
        <w:t>OPTIONAL</w:t>
      </w:r>
      <w:r w:rsidRPr="00FA0D37">
        <w:t xml:space="preserve">,   </w:t>
      </w:r>
      <w:r w:rsidRPr="00FA0D37">
        <w:rPr>
          <w:color w:val="808080"/>
        </w:rPr>
        <w:t>-- Need S</w:t>
      </w:r>
    </w:p>
    <w:p w14:paraId="5C0DCB2C" w14:textId="77777777" w:rsidR="00394471" w:rsidRPr="00FA0D37" w:rsidRDefault="00394471" w:rsidP="00FA0D37">
      <w:pPr>
        <w:pStyle w:val="PL"/>
      </w:pPr>
      <w:r w:rsidRPr="00FA0D37">
        <w:t xml:space="preserve">    resourcesForChannelMeasurement          CSI-ResourceConfigId,</w:t>
      </w:r>
    </w:p>
    <w:p w14:paraId="18383ADE" w14:textId="77777777" w:rsidR="00394471" w:rsidRPr="00FA0D37" w:rsidRDefault="00394471" w:rsidP="00FA0D37">
      <w:pPr>
        <w:pStyle w:val="PL"/>
        <w:rPr>
          <w:color w:val="808080"/>
        </w:rPr>
      </w:pPr>
      <w:r w:rsidRPr="00FA0D37">
        <w:t xml:space="preserve">    csi-IM-ResourcesForInterference         CSI-ResourceConfigId            </w:t>
      </w:r>
      <w:r w:rsidRPr="00FA0D37">
        <w:rPr>
          <w:color w:val="993366"/>
        </w:rPr>
        <w:t>OPTIONAL</w:t>
      </w:r>
      <w:r w:rsidRPr="00FA0D37">
        <w:t xml:space="preserve">,   </w:t>
      </w:r>
      <w:r w:rsidRPr="00FA0D37">
        <w:rPr>
          <w:color w:val="808080"/>
        </w:rPr>
        <w:t>-- Need R</w:t>
      </w:r>
    </w:p>
    <w:p w14:paraId="40370EFF" w14:textId="77777777" w:rsidR="00394471" w:rsidRPr="00FA0D37" w:rsidRDefault="00394471" w:rsidP="00FA0D37">
      <w:pPr>
        <w:pStyle w:val="PL"/>
        <w:rPr>
          <w:color w:val="808080"/>
        </w:rPr>
      </w:pPr>
      <w:r w:rsidRPr="00FA0D37">
        <w:t xml:space="preserve">    nzp-CSI-RS-ResourcesForInterference     CSI-ResourceConfigId            </w:t>
      </w:r>
      <w:r w:rsidRPr="00FA0D37">
        <w:rPr>
          <w:color w:val="993366"/>
        </w:rPr>
        <w:t>OPTIONAL</w:t>
      </w:r>
      <w:r w:rsidRPr="00FA0D37">
        <w:t xml:space="preserve">,   </w:t>
      </w:r>
      <w:r w:rsidRPr="00FA0D37">
        <w:rPr>
          <w:color w:val="808080"/>
        </w:rPr>
        <w:t>-- Need R</w:t>
      </w:r>
    </w:p>
    <w:p w14:paraId="1B4716E5" w14:textId="77777777" w:rsidR="00394471" w:rsidRPr="00FA0D37" w:rsidRDefault="00394471" w:rsidP="00FA0D37">
      <w:pPr>
        <w:pStyle w:val="PL"/>
      </w:pPr>
      <w:r w:rsidRPr="00FA0D37">
        <w:t xml:space="preserve">    reportConfigType                        </w:t>
      </w:r>
      <w:r w:rsidRPr="00FA0D37">
        <w:rPr>
          <w:color w:val="993366"/>
        </w:rPr>
        <w:t>CHOICE</w:t>
      </w:r>
      <w:r w:rsidRPr="00FA0D37">
        <w:t xml:space="preserve"> {</w:t>
      </w:r>
    </w:p>
    <w:p w14:paraId="114602E5" w14:textId="77777777" w:rsidR="00394471" w:rsidRPr="00FA0D37" w:rsidRDefault="00394471" w:rsidP="00FA0D37">
      <w:pPr>
        <w:pStyle w:val="PL"/>
      </w:pPr>
      <w:r w:rsidRPr="00FA0D37">
        <w:t xml:space="preserve">        periodic                                </w:t>
      </w:r>
      <w:r w:rsidRPr="00FA0D37">
        <w:rPr>
          <w:color w:val="993366"/>
        </w:rPr>
        <w:t>SEQUENCE</w:t>
      </w:r>
      <w:r w:rsidRPr="00FA0D37">
        <w:t xml:space="preserve"> {</w:t>
      </w:r>
    </w:p>
    <w:p w14:paraId="45E9CB68" w14:textId="77777777" w:rsidR="00394471" w:rsidRPr="00FA0D37" w:rsidRDefault="00394471" w:rsidP="00FA0D37">
      <w:pPr>
        <w:pStyle w:val="PL"/>
      </w:pPr>
      <w:r w:rsidRPr="00FA0D37">
        <w:t xml:space="preserve">            reportSlotConfig                        CSI-ReportPeriodicityAndOffset,</w:t>
      </w:r>
    </w:p>
    <w:p w14:paraId="352D21CF" w14:textId="77777777" w:rsidR="00394471" w:rsidRPr="00FA0D37" w:rsidRDefault="00394471" w:rsidP="00FA0D37">
      <w:pPr>
        <w:pStyle w:val="PL"/>
      </w:pPr>
      <w:r w:rsidRPr="00FA0D37">
        <w:t xml:space="preserve">            pucch-CSI-ResourceList                  </w:t>
      </w:r>
      <w:r w:rsidRPr="00FA0D37">
        <w:rPr>
          <w:color w:val="993366"/>
        </w:rPr>
        <w:t>SEQUENCE</w:t>
      </w:r>
      <w:r w:rsidRPr="00FA0D37">
        <w:t xml:space="preserve"> (</w:t>
      </w:r>
      <w:r w:rsidRPr="00FA0D37">
        <w:rPr>
          <w:color w:val="993366"/>
        </w:rPr>
        <w:t>SIZE</w:t>
      </w:r>
      <w:r w:rsidRPr="00FA0D37">
        <w:t xml:space="preserve"> (1..maxNrofBWPs))</w:t>
      </w:r>
      <w:r w:rsidRPr="00FA0D37">
        <w:rPr>
          <w:color w:val="993366"/>
        </w:rPr>
        <w:t xml:space="preserve"> OF</w:t>
      </w:r>
      <w:r w:rsidRPr="00FA0D37">
        <w:t xml:space="preserve"> PUCCH-CSI-Resource</w:t>
      </w:r>
    </w:p>
    <w:p w14:paraId="1F76D18D" w14:textId="77777777" w:rsidR="00394471" w:rsidRPr="00FA0D37" w:rsidRDefault="00394471" w:rsidP="00FA0D37">
      <w:pPr>
        <w:pStyle w:val="PL"/>
      </w:pPr>
      <w:r w:rsidRPr="00FA0D37">
        <w:t xml:space="preserve">        },</w:t>
      </w:r>
    </w:p>
    <w:p w14:paraId="2C51CF69" w14:textId="77777777" w:rsidR="00394471" w:rsidRPr="00FA0D37" w:rsidRDefault="00394471" w:rsidP="00FA0D37">
      <w:pPr>
        <w:pStyle w:val="PL"/>
      </w:pPr>
      <w:r w:rsidRPr="00FA0D37">
        <w:t xml:space="preserve">        semiPersistentOnPUCCH                   </w:t>
      </w:r>
      <w:r w:rsidRPr="00FA0D37">
        <w:rPr>
          <w:color w:val="993366"/>
        </w:rPr>
        <w:t>SEQUENCE</w:t>
      </w:r>
      <w:r w:rsidRPr="00FA0D37">
        <w:t xml:space="preserve"> {</w:t>
      </w:r>
    </w:p>
    <w:p w14:paraId="598ECA08" w14:textId="77777777" w:rsidR="00394471" w:rsidRPr="00FA0D37" w:rsidRDefault="00394471" w:rsidP="00FA0D37">
      <w:pPr>
        <w:pStyle w:val="PL"/>
      </w:pPr>
      <w:r w:rsidRPr="00FA0D37">
        <w:t xml:space="preserve">            reportSlotConfig                        CSI-ReportPeriodicityAndOffset,</w:t>
      </w:r>
    </w:p>
    <w:p w14:paraId="55E97B68" w14:textId="77777777" w:rsidR="00394471" w:rsidRPr="00FA0D37" w:rsidRDefault="00394471" w:rsidP="00FA0D37">
      <w:pPr>
        <w:pStyle w:val="PL"/>
      </w:pPr>
      <w:r w:rsidRPr="00FA0D37">
        <w:t xml:space="preserve">            pucch-CSI-ResourceList                  </w:t>
      </w:r>
      <w:r w:rsidRPr="00FA0D37">
        <w:rPr>
          <w:color w:val="993366"/>
        </w:rPr>
        <w:t>SEQUENCE</w:t>
      </w:r>
      <w:r w:rsidRPr="00FA0D37">
        <w:t xml:space="preserve"> (</w:t>
      </w:r>
      <w:r w:rsidRPr="00FA0D37">
        <w:rPr>
          <w:color w:val="993366"/>
        </w:rPr>
        <w:t>SIZE</w:t>
      </w:r>
      <w:r w:rsidRPr="00FA0D37">
        <w:t xml:space="preserve"> (1..maxNrofBWPs))</w:t>
      </w:r>
      <w:r w:rsidRPr="00FA0D37">
        <w:rPr>
          <w:color w:val="993366"/>
        </w:rPr>
        <w:t xml:space="preserve"> OF</w:t>
      </w:r>
      <w:r w:rsidRPr="00FA0D37">
        <w:t xml:space="preserve"> PUCCH-CSI-Resource</w:t>
      </w:r>
    </w:p>
    <w:p w14:paraId="79303133" w14:textId="77777777" w:rsidR="00394471" w:rsidRPr="00FA0D37" w:rsidRDefault="00394471" w:rsidP="00FA0D37">
      <w:pPr>
        <w:pStyle w:val="PL"/>
      </w:pPr>
      <w:r w:rsidRPr="00FA0D37">
        <w:t xml:space="preserve">        },</w:t>
      </w:r>
    </w:p>
    <w:p w14:paraId="48DC6B5C" w14:textId="77777777" w:rsidR="00394471" w:rsidRPr="00FA0D37" w:rsidRDefault="00394471" w:rsidP="00FA0D37">
      <w:pPr>
        <w:pStyle w:val="PL"/>
      </w:pPr>
      <w:r w:rsidRPr="00FA0D37">
        <w:t xml:space="preserve">        semiPersistentOnPUSCH                   </w:t>
      </w:r>
      <w:r w:rsidRPr="00FA0D37">
        <w:rPr>
          <w:color w:val="993366"/>
        </w:rPr>
        <w:t>SEQUENCE</w:t>
      </w:r>
      <w:r w:rsidRPr="00FA0D37">
        <w:t xml:space="preserve"> {</w:t>
      </w:r>
    </w:p>
    <w:p w14:paraId="4B0F8FBF" w14:textId="77777777" w:rsidR="00394471" w:rsidRPr="00FA0D37" w:rsidRDefault="00394471" w:rsidP="00FA0D37">
      <w:pPr>
        <w:pStyle w:val="PL"/>
      </w:pPr>
      <w:r w:rsidRPr="00FA0D37">
        <w:t xml:space="preserve">            reportSlotConfig                        </w:t>
      </w:r>
      <w:r w:rsidRPr="00FA0D37">
        <w:rPr>
          <w:color w:val="993366"/>
        </w:rPr>
        <w:t>ENUMERATED</w:t>
      </w:r>
      <w:r w:rsidRPr="00FA0D37">
        <w:t xml:space="preserve"> {sl5, sl10, sl20, sl40, sl80, sl160, sl320},</w:t>
      </w:r>
    </w:p>
    <w:p w14:paraId="2F0A7EBC" w14:textId="77777777" w:rsidR="00394471" w:rsidRPr="00FA0D37" w:rsidRDefault="00394471" w:rsidP="00FA0D37">
      <w:pPr>
        <w:pStyle w:val="PL"/>
      </w:pPr>
      <w:r w:rsidRPr="00FA0D37">
        <w:t xml:space="preserve">            reportSlotOffsetList                </w:t>
      </w:r>
      <w:r w:rsidRPr="00FA0D37">
        <w:rPr>
          <w:color w:val="993366"/>
        </w:rPr>
        <w:t>SEQUENCE</w:t>
      </w:r>
      <w:r w:rsidRPr="00FA0D37">
        <w:t xml:space="preserve"> (</w:t>
      </w:r>
      <w:r w:rsidRPr="00FA0D37">
        <w:rPr>
          <w:color w:val="993366"/>
        </w:rPr>
        <w:t>SIZE</w:t>
      </w:r>
      <w:r w:rsidRPr="00FA0D37">
        <w:t xml:space="preserve"> (1.. maxNrofUL-Allocations))</w:t>
      </w:r>
      <w:r w:rsidRPr="00FA0D37">
        <w:rPr>
          <w:color w:val="993366"/>
        </w:rPr>
        <w:t xml:space="preserve"> OF</w:t>
      </w:r>
      <w:r w:rsidRPr="00FA0D37">
        <w:t xml:space="preserve"> </w:t>
      </w:r>
      <w:r w:rsidRPr="00FA0D37">
        <w:rPr>
          <w:color w:val="993366"/>
        </w:rPr>
        <w:t>INTEGER</w:t>
      </w:r>
      <w:r w:rsidRPr="00FA0D37">
        <w:t>(0..32),</w:t>
      </w:r>
    </w:p>
    <w:p w14:paraId="40ACBECD" w14:textId="77777777" w:rsidR="00394471" w:rsidRPr="00FA0D37" w:rsidRDefault="00394471" w:rsidP="00FA0D37">
      <w:pPr>
        <w:pStyle w:val="PL"/>
      </w:pPr>
      <w:r w:rsidRPr="00FA0D37">
        <w:t xml:space="preserve">            p0alpha                                 P0-PUSCH-AlphaSetId</w:t>
      </w:r>
    </w:p>
    <w:p w14:paraId="3E208368" w14:textId="77777777" w:rsidR="00394471" w:rsidRPr="00FA0D37" w:rsidRDefault="00394471" w:rsidP="00FA0D37">
      <w:pPr>
        <w:pStyle w:val="PL"/>
      </w:pPr>
      <w:r w:rsidRPr="00FA0D37">
        <w:t xml:space="preserve">        },</w:t>
      </w:r>
    </w:p>
    <w:p w14:paraId="005E0AD2" w14:textId="77777777" w:rsidR="00394471" w:rsidRPr="00FA0D37" w:rsidRDefault="00394471" w:rsidP="00FA0D37">
      <w:pPr>
        <w:pStyle w:val="PL"/>
      </w:pPr>
      <w:r w:rsidRPr="00FA0D37">
        <w:t xml:space="preserve">        aperiodic                               </w:t>
      </w:r>
      <w:r w:rsidRPr="00FA0D37">
        <w:rPr>
          <w:color w:val="993366"/>
        </w:rPr>
        <w:t>SEQUENCE</w:t>
      </w:r>
      <w:r w:rsidRPr="00FA0D37">
        <w:t xml:space="preserve"> {</w:t>
      </w:r>
    </w:p>
    <w:p w14:paraId="32D1CC31" w14:textId="77777777" w:rsidR="00394471" w:rsidRPr="00FA0D37" w:rsidRDefault="00394471" w:rsidP="00FA0D37">
      <w:pPr>
        <w:pStyle w:val="PL"/>
      </w:pPr>
      <w:r w:rsidRPr="00FA0D37">
        <w:t xml:space="preserve">            reportSlotOffsetList                </w:t>
      </w:r>
      <w:r w:rsidRPr="00FA0D37">
        <w:rPr>
          <w:color w:val="993366"/>
        </w:rPr>
        <w:t>SEQUENCE</w:t>
      </w:r>
      <w:r w:rsidRPr="00FA0D37">
        <w:t xml:space="preserve"> (</w:t>
      </w:r>
      <w:r w:rsidRPr="00FA0D37">
        <w:rPr>
          <w:color w:val="993366"/>
        </w:rPr>
        <w:t>SIZE</w:t>
      </w:r>
      <w:r w:rsidRPr="00FA0D37">
        <w:t xml:space="preserve"> (1..maxNrofUL-Allocations))</w:t>
      </w:r>
      <w:r w:rsidRPr="00FA0D37">
        <w:rPr>
          <w:color w:val="993366"/>
        </w:rPr>
        <w:t xml:space="preserve"> OF</w:t>
      </w:r>
      <w:r w:rsidRPr="00FA0D37">
        <w:t xml:space="preserve"> </w:t>
      </w:r>
      <w:r w:rsidRPr="00FA0D37">
        <w:rPr>
          <w:color w:val="993366"/>
        </w:rPr>
        <w:t>INTEGER</w:t>
      </w:r>
      <w:r w:rsidRPr="00FA0D37">
        <w:t>(0..32)</w:t>
      </w:r>
    </w:p>
    <w:p w14:paraId="35934C98" w14:textId="77777777" w:rsidR="00394471" w:rsidRPr="00FA0D37" w:rsidRDefault="00394471" w:rsidP="00FA0D37">
      <w:pPr>
        <w:pStyle w:val="PL"/>
      </w:pPr>
      <w:r w:rsidRPr="00FA0D37">
        <w:t xml:space="preserve">        }</w:t>
      </w:r>
    </w:p>
    <w:p w14:paraId="6EEE2E72" w14:textId="77777777" w:rsidR="00394471" w:rsidRPr="00FA0D37" w:rsidRDefault="00394471" w:rsidP="00FA0D37">
      <w:pPr>
        <w:pStyle w:val="PL"/>
      </w:pPr>
      <w:r w:rsidRPr="00FA0D37">
        <w:t xml:space="preserve">    },</w:t>
      </w:r>
    </w:p>
    <w:p w14:paraId="4278B357" w14:textId="77777777" w:rsidR="00394471" w:rsidRPr="00FA0D37" w:rsidRDefault="00394471" w:rsidP="00FA0D37">
      <w:pPr>
        <w:pStyle w:val="PL"/>
      </w:pPr>
      <w:r w:rsidRPr="00FA0D37">
        <w:t xml:space="preserve">    reportQuantity                          </w:t>
      </w:r>
      <w:r w:rsidRPr="00FA0D37">
        <w:rPr>
          <w:color w:val="993366"/>
        </w:rPr>
        <w:t>CHOICE</w:t>
      </w:r>
      <w:r w:rsidRPr="00FA0D37">
        <w:t xml:space="preserve"> {</w:t>
      </w:r>
    </w:p>
    <w:p w14:paraId="2B84E80C" w14:textId="77777777" w:rsidR="00394471" w:rsidRPr="00FA0D37" w:rsidRDefault="00394471" w:rsidP="00FA0D37">
      <w:pPr>
        <w:pStyle w:val="PL"/>
      </w:pPr>
      <w:r w:rsidRPr="00FA0D37">
        <w:t xml:space="preserve">        none                                    </w:t>
      </w:r>
      <w:r w:rsidRPr="00FA0D37">
        <w:rPr>
          <w:color w:val="993366"/>
        </w:rPr>
        <w:t>NULL</w:t>
      </w:r>
      <w:r w:rsidRPr="00FA0D37">
        <w:t>,</w:t>
      </w:r>
    </w:p>
    <w:p w14:paraId="24C6ED3A" w14:textId="77777777" w:rsidR="00394471" w:rsidRPr="00FA0D37" w:rsidRDefault="00394471" w:rsidP="00FA0D37">
      <w:pPr>
        <w:pStyle w:val="PL"/>
      </w:pPr>
      <w:r w:rsidRPr="00FA0D37">
        <w:t xml:space="preserve">        cri-RI-PMI-CQI                          </w:t>
      </w:r>
      <w:r w:rsidRPr="00FA0D37">
        <w:rPr>
          <w:color w:val="993366"/>
        </w:rPr>
        <w:t>NULL</w:t>
      </w:r>
      <w:r w:rsidRPr="00FA0D37">
        <w:t>,</w:t>
      </w:r>
    </w:p>
    <w:p w14:paraId="7E878DE0" w14:textId="77777777" w:rsidR="00394471" w:rsidRPr="00FA0D37" w:rsidRDefault="00394471" w:rsidP="00FA0D37">
      <w:pPr>
        <w:pStyle w:val="PL"/>
      </w:pPr>
      <w:r w:rsidRPr="00FA0D37">
        <w:t xml:space="preserve">        cri-RI-i1                               </w:t>
      </w:r>
      <w:r w:rsidRPr="00FA0D37">
        <w:rPr>
          <w:color w:val="993366"/>
        </w:rPr>
        <w:t>NULL</w:t>
      </w:r>
      <w:r w:rsidRPr="00FA0D37">
        <w:t>,</w:t>
      </w:r>
    </w:p>
    <w:p w14:paraId="315AD957" w14:textId="77777777" w:rsidR="00394471" w:rsidRPr="00FA0D37" w:rsidRDefault="00394471" w:rsidP="00FA0D37">
      <w:pPr>
        <w:pStyle w:val="PL"/>
      </w:pPr>
      <w:r w:rsidRPr="00FA0D37">
        <w:t xml:space="preserve">        cri-RI-i1-CQI                           </w:t>
      </w:r>
      <w:r w:rsidRPr="00FA0D37">
        <w:rPr>
          <w:color w:val="993366"/>
        </w:rPr>
        <w:t>SEQUENCE</w:t>
      </w:r>
      <w:r w:rsidRPr="00FA0D37">
        <w:t xml:space="preserve"> {</w:t>
      </w:r>
    </w:p>
    <w:p w14:paraId="0550A7F7" w14:textId="77777777" w:rsidR="00394471" w:rsidRPr="00FA0D37" w:rsidRDefault="00394471" w:rsidP="00FA0D37">
      <w:pPr>
        <w:pStyle w:val="PL"/>
        <w:rPr>
          <w:color w:val="808080"/>
        </w:rPr>
      </w:pPr>
      <w:r w:rsidRPr="00FA0D37">
        <w:t xml:space="preserve">            pdsch-BundleSizeForCSI                  </w:t>
      </w:r>
      <w:r w:rsidRPr="00FA0D37">
        <w:rPr>
          <w:color w:val="993366"/>
        </w:rPr>
        <w:t>ENUMERATED</w:t>
      </w:r>
      <w:r w:rsidRPr="00FA0D37">
        <w:t xml:space="preserve"> {n2, n4}                                         </w:t>
      </w:r>
      <w:r w:rsidRPr="00FA0D37">
        <w:rPr>
          <w:color w:val="993366"/>
        </w:rPr>
        <w:t>OPTIONAL</w:t>
      </w:r>
      <w:r w:rsidRPr="00FA0D37">
        <w:t xml:space="preserve">    </w:t>
      </w:r>
      <w:r w:rsidRPr="00FA0D37">
        <w:rPr>
          <w:color w:val="808080"/>
        </w:rPr>
        <w:t>-- Need S</w:t>
      </w:r>
    </w:p>
    <w:p w14:paraId="02485B8B" w14:textId="77777777" w:rsidR="00394471" w:rsidRPr="00FA0D37" w:rsidRDefault="00394471" w:rsidP="00FA0D37">
      <w:pPr>
        <w:pStyle w:val="PL"/>
      </w:pPr>
      <w:r w:rsidRPr="00FA0D37">
        <w:t xml:space="preserve">        },</w:t>
      </w:r>
    </w:p>
    <w:p w14:paraId="2CEC8870" w14:textId="77777777" w:rsidR="00394471" w:rsidRPr="00FA0D37" w:rsidRDefault="00394471" w:rsidP="00FA0D37">
      <w:pPr>
        <w:pStyle w:val="PL"/>
      </w:pPr>
      <w:r w:rsidRPr="00FA0D37">
        <w:t xml:space="preserve">        cri-RI-CQI                              </w:t>
      </w:r>
      <w:r w:rsidRPr="00FA0D37">
        <w:rPr>
          <w:color w:val="993366"/>
        </w:rPr>
        <w:t>NULL</w:t>
      </w:r>
      <w:r w:rsidRPr="00FA0D37">
        <w:t>,</w:t>
      </w:r>
    </w:p>
    <w:p w14:paraId="093AF939" w14:textId="77777777" w:rsidR="00394471" w:rsidRPr="00FA0D37" w:rsidRDefault="00394471" w:rsidP="00FA0D37">
      <w:pPr>
        <w:pStyle w:val="PL"/>
      </w:pPr>
      <w:r w:rsidRPr="00FA0D37">
        <w:t xml:space="preserve">        cri-RSRP                                </w:t>
      </w:r>
      <w:r w:rsidRPr="00FA0D37">
        <w:rPr>
          <w:color w:val="993366"/>
        </w:rPr>
        <w:t>NULL</w:t>
      </w:r>
      <w:r w:rsidRPr="00FA0D37">
        <w:t>,</w:t>
      </w:r>
    </w:p>
    <w:p w14:paraId="3677C398" w14:textId="77777777" w:rsidR="00394471" w:rsidRPr="00FA0D37" w:rsidRDefault="00394471" w:rsidP="00FA0D37">
      <w:pPr>
        <w:pStyle w:val="PL"/>
      </w:pPr>
      <w:r w:rsidRPr="00FA0D37">
        <w:t xml:space="preserve">        ssb-Index-RSRP                          </w:t>
      </w:r>
      <w:r w:rsidRPr="00FA0D37">
        <w:rPr>
          <w:color w:val="993366"/>
        </w:rPr>
        <w:t>NULL</w:t>
      </w:r>
      <w:r w:rsidRPr="00FA0D37">
        <w:t>,</w:t>
      </w:r>
    </w:p>
    <w:p w14:paraId="2B97676D" w14:textId="77777777" w:rsidR="00394471" w:rsidRPr="00FA0D37" w:rsidRDefault="00394471" w:rsidP="00FA0D37">
      <w:pPr>
        <w:pStyle w:val="PL"/>
      </w:pPr>
      <w:r w:rsidRPr="00FA0D37">
        <w:t xml:space="preserve">        cri-RI-LI-PMI-CQI                       </w:t>
      </w:r>
      <w:r w:rsidRPr="00FA0D37">
        <w:rPr>
          <w:color w:val="993366"/>
        </w:rPr>
        <w:t>NULL</w:t>
      </w:r>
    </w:p>
    <w:p w14:paraId="6A6785D4" w14:textId="77777777" w:rsidR="00394471" w:rsidRPr="00FA0D37" w:rsidRDefault="00394471" w:rsidP="00FA0D37">
      <w:pPr>
        <w:pStyle w:val="PL"/>
      </w:pPr>
      <w:r w:rsidRPr="00FA0D37">
        <w:t xml:space="preserve">    },</w:t>
      </w:r>
    </w:p>
    <w:p w14:paraId="20860FED" w14:textId="77777777" w:rsidR="00394471" w:rsidRPr="00FA0D37" w:rsidRDefault="00394471" w:rsidP="00FA0D37">
      <w:pPr>
        <w:pStyle w:val="PL"/>
      </w:pPr>
      <w:r w:rsidRPr="00FA0D37">
        <w:t xml:space="preserve">    reportFreqConfiguration                 </w:t>
      </w:r>
      <w:r w:rsidRPr="00FA0D37">
        <w:rPr>
          <w:color w:val="993366"/>
        </w:rPr>
        <w:t>SEQUENCE</w:t>
      </w:r>
      <w:r w:rsidRPr="00FA0D37">
        <w:t xml:space="preserve"> {</w:t>
      </w:r>
    </w:p>
    <w:p w14:paraId="521DBEE1" w14:textId="77777777" w:rsidR="00394471" w:rsidRPr="00FA0D37" w:rsidRDefault="00394471" w:rsidP="00FA0D37">
      <w:pPr>
        <w:pStyle w:val="PL"/>
        <w:rPr>
          <w:color w:val="808080"/>
        </w:rPr>
      </w:pPr>
      <w:r w:rsidRPr="00FA0D37">
        <w:t xml:space="preserve">        cqi-FormatIndicator                     </w:t>
      </w:r>
      <w:r w:rsidRPr="00FA0D37">
        <w:rPr>
          <w:color w:val="993366"/>
        </w:rPr>
        <w:t>ENUMERATED</w:t>
      </w:r>
      <w:r w:rsidRPr="00FA0D37">
        <w:t xml:space="preserve"> { widebandCQI, subbandCQI }                          </w:t>
      </w:r>
      <w:r w:rsidRPr="00FA0D37">
        <w:rPr>
          <w:color w:val="993366"/>
        </w:rPr>
        <w:t>OPTIONAL</w:t>
      </w:r>
      <w:r w:rsidRPr="00FA0D37">
        <w:t xml:space="preserve">,   </w:t>
      </w:r>
      <w:r w:rsidRPr="00FA0D37">
        <w:rPr>
          <w:color w:val="808080"/>
        </w:rPr>
        <w:t>-- Need R</w:t>
      </w:r>
    </w:p>
    <w:p w14:paraId="5A309807" w14:textId="77777777" w:rsidR="00394471" w:rsidRPr="00FA0D37" w:rsidRDefault="00394471" w:rsidP="00FA0D37">
      <w:pPr>
        <w:pStyle w:val="PL"/>
        <w:rPr>
          <w:color w:val="808080"/>
        </w:rPr>
      </w:pPr>
      <w:r w:rsidRPr="00FA0D37">
        <w:t xml:space="preserve">        pmi-FormatIndicator                     </w:t>
      </w:r>
      <w:r w:rsidRPr="00FA0D37">
        <w:rPr>
          <w:color w:val="993366"/>
        </w:rPr>
        <w:t>ENUMERATED</w:t>
      </w:r>
      <w:r w:rsidRPr="00FA0D37">
        <w:t xml:space="preserve"> { widebandPMI, subbandPMI }                          </w:t>
      </w:r>
      <w:r w:rsidRPr="00FA0D37">
        <w:rPr>
          <w:color w:val="993366"/>
        </w:rPr>
        <w:t>OPTIONAL</w:t>
      </w:r>
      <w:r w:rsidRPr="00FA0D37">
        <w:t xml:space="preserve">,   </w:t>
      </w:r>
      <w:r w:rsidRPr="00FA0D37">
        <w:rPr>
          <w:color w:val="808080"/>
        </w:rPr>
        <w:t>-- Need R</w:t>
      </w:r>
    </w:p>
    <w:p w14:paraId="154519AA" w14:textId="77777777" w:rsidR="00394471" w:rsidRPr="00FA0D37" w:rsidRDefault="00394471" w:rsidP="00FA0D37">
      <w:pPr>
        <w:pStyle w:val="PL"/>
      </w:pPr>
      <w:r w:rsidRPr="00FA0D37">
        <w:t xml:space="preserve">        csi-ReportingBand                       </w:t>
      </w:r>
      <w:r w:rsidRPr="00FA0D37">
        <w:rPr>
          <w:color w:val="993366"/>
        </w:rPr>
        <w:t>CHOICE</w:t>
      </w:r>
      <w:r w:rsidRPr="00FA0D37">
        <w:t xml:space="preserve"> {</w:t>
      </w:r>
    </w:p>
    <w:p w14:paraId="16F64F6C" w14:textId="77777777" w:rsidR="00394471" w:rsidRPr="00FA0D37" w:rsidRDefault="00394471" w:rsidP="00FA0D37">
      <w:pPr>
        <w:pStyle w:val="PL"/>
      </w:pPr>
      <w:r w:rsidRPr="00FA0D37">
        <w:t xml:space="preserve">            subbands3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(3)),</w:t>
      </w:r>
    </w:p>
    <w:p w14:paraId="0251B2B6" w14:textId="77777777" w:rsidR="00394471" w:rsidRPr="00FA0D37" w:rsidRDefault="00394471" w:rsidP="00FA0D37">
      <w:pPr>
        <w:pStyle w:val="PL"/>
      </w:pPr>
      <w:r w:rsidRPr="00FA0D37">
        <w:t xml:space="preserve">            subbands4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(4)),</w:t>
      </w:r>
    </w:p>
    <w:p w14:paraId="1341A6BE" w14:textId="77777777" w:rsidR="00394471" w:rsidRPr="00FA0D37" w:rsidRDefault="00394471" w:rsidP="00FA0D37">
      <w:pPr>
        <w:pStyle w:val="PL"/>
      </w:pPr>
      <w:r w:rsidRPr="00FA0D37">
        <w:t xml:space="preserve">            subbands5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(5)),</w:t>
      </w:r>
    </w:p>
    <w:p w14:paraId="58A68A76" w14:textId="77777777" w:rsidR="00394471" w:rsidRPr="00FA0D37" w:rsidRDefault="00394471" w:rsidP="00FA0D37">
      <w:pPr>
        <w:pStyle w:val="PL"/>
      </w:pPr>
      <w:r w:rsidRPr="00FA0D37">
        <w:t xml:space="preserve">            subbands6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(6)),</w:t>
      </w:r>
    </w:p>
    <w:p w14:paraId="081AADA2" w14:textId="77777777" w:rsidR="00394471" w:rsidRPr="00FA0D37" w:rsidRDefault="00394471" w:rsidP="00FA0D37">
      <w:pPr>
        <w:pStyle w:val="PL"/>
      </w:pPr>
      <w:r w:rsidRPr="00FA0D37">
        <w:t xml:space="preserve">            subbands7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(7)),</w:t>
      </w:r>
    </w:p>
    <w:p w14:paraId="0283CE63" w14:textId="77777777" w:rsidR="00394471" w:rsidRPr="00FA0D37" w:rsidRDefault="00394471" w:rsidP="00FA0D37">
      <w:pPr>
        <w:pStyle w:val="PL"/>
      </w:pPr>
      <w:r w:rsidRPr="00FA0D37">
        <w:t xml:space="preserve">            subbands8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(8)),</w:t>
      </w:r>
    </w:p>
    <w:p w14:paraId="159157BA" w14:textId="77777777" w:rsidR="00394471" w:rsidRPr="00FA0D37" w:rsidRDefault="00394471" w:rsidP="00FA0D37">
      <w:pPr>
        <w:pStyle w:val="PL"/>
      </w:pPr>
      <w:r w:rsidRPr="00FA0D37">
        <w:t xml:space="preserve">            subbands9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(9)),</w:t>
      </w:r>
    </w:p>
    <w:p w14:paraId="03DF310D" w14:textId="77777777" w:rsidR="00394471" w:rsidRPr="00FA0D37" w:rsidRDefault="00394471" w:rsidP="00FA0D37">
      <w:pPr>
        <w:pStyle w:val="PL"/>
      </w:pPr>
      <w:r w:rsidRPr="00FA0D37">
        <w:t xml:space="preserve">            subbands10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(10)),</w:t>
      </w:r>
    </w:p>
    <w:p w14:paraId="246965DD" w14:textId="77777777" w:rsidR="00394471" w:rsidRPr="00FA0D37" w:rsidRDefault="00394471" w:rsidP="00FA0D37">
      <w:pPr>
        <w:pStyle w:val="PL"/>
      </w:pPr>
      <w:r w:rsidRPr="00FA0D37">
        <w:t xml:space="preserve">            subbands11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(11)),</w:t>
      </w:r>
    </w:p>
    <w:p w14:paraId="7A759437" w14:textId="77777777" w:rsidR="00394471" w:rsidRPr="00FA0D37" w:rsidRDefault="00394471" w:rsidP="00FA0D37">
      <w:pPr>
        <w:pStyle w:val="PL"/>
      </w:pPr>
      <w:r w:rsidRPr="00FA0D37">
        <w:t xml:space="preserve">            subbands12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(12)),</w:t>
      </w:r>
    </w:p>
    <w:p w14:paraId="0BC40662" w14:textId="77777777" w:rsidR="00394471" w:rsidRPr="00FA0D37" w:rsidRDefault="00394471" w:rsidP="00FA0D37">
      <w:pPr>
        <w:pStyle w:val="PL"/>
      </w:pPr>
      <w:r w:rsidRPr="00FA0D37">
        <w:lastRenderedPageBreak/>
        <w:t xml:space="preserve">            subbands13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(13)),</w:t>
      </w:r>
    </w:p>
    <w:p w14:paraId="7A358F93" w14:textId="77777777" w:rsidR="00394471" w:rsidRPr="00FA0D37" w:rsidRDefault="00394471" w:rsidP="00FA0D37">
      <w:pPr>
        <w:pStyle w:val="PL"/>
      </w:pPr>
      <w:r w:rsidRPr="00FA0D37">
        <w:t xml:space="preserve">            subbands14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(14)),</w:t>
      </w:r>
    </w:p>
    <w:p w14:paraId="73D20085" w14:textId="77777777" w:rsidR="00394471" w:rsidRPr="00FA0D37" w:rsidRDefault="00394471" w:rsidP="00FA0D37">
      <w:pPr>
        <w:pStyle w:val="PL"/>
      </w:pPr>
      <w:r w:rsidRPr="00FA0D37">
        <w:t xml:space="preserve">            subbands15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(15)),</w:t>
      </w:r>
    </w:p>
    <w:p w14:paraId="5A6AF3EA" w14:textId="77777777" w:rsidR="00394471" w:rsidRPr="00FA0D37" w:rsidRDefault="00394471" w:rsidP="00FA0D37">
      <w:pPr>
        <w:pStyle w:val="PL"/>
      </w:pPr>
      <w:r w:rsidRPr="00FA0D37">
        <w:t xml:space="preserve">            subbands16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(16)),</w:t>
      </w:r>
    </w:p>
    <w:p w14:paraId="541C2CC0" w14:textId="77777777" w:rsidR="00394471" w:rsidRPr="00FA0D37" w:rsidRDefault="00394471" w:rsidP="00FA0D37">
      <w:pPr>
        <w:pStyle w:val="PL"/>
      </w:pPr>
      <w:r w:rsidRPr="00FA0D37">
        <w:t xml:space="preserve">            subbands17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(17)),</w:t>
      </w:r>
    </w:p>
    <w:p w14:paraId="57EDAC4C" w14:textId="77777777" w:rsidR="00394471" w:rsidRPr="00FA0D37" w:rsidRDefault="00394471" w:rsidP="00FA0D37">
      <w:pPr>
        <w:pStyle w:val="PL"/>
      </w:pPr>
      <w:r w:rsidRPr="00FA0D37">
        <w:t xml:space="preserve">            subbands18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(18)),</w:t>
      </w:r>
    </w:p>
    <w:p w14:paraId="53F7C4B0" w14:textId="77777777" w:rsidR="00394471" w:rsidRPr="00FA0D37" w:rsidRDefault="00394471" w:rsidP="00FA0D37">
      <w:pPr>
        <w:pStyle w:val="PL"/>
      </w:pPr>
      <w:r w:rsidRPr="00FA0D37">
        <w:t xml:space="preserve">            ...,</w:t>
      </w:r>
    </w:p>
    <w:p w14:paraId="63416F0C" w14:textId="77777777" w:rsidR="00394471" w:rsidRPr="00FA0D37" w:rsidRDefault="00394471" w:rsidP="00FA0D37">
      <w:pPr>
        <w:pStyle w:val="PL"/>
      </w:pPr>
      <w:r w:rsidRPr="00FA0D37">
        <w:t xml:space="preserve">            subbands19-v1530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(19))</w:t>
      </w:r>
    </w:p>
    <w:p w14:paraId="604E1AC4"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S</w:t>
      </w:r>
    </w:p>
    <w:p w14:paraId="2F65B143" w14:textId="77777777" w:rsidR="00394471" w:rsidRPr="00FA0D37" w:rsidRDefault="00394471" w:rsidP="00FA0D37">
      <w:pPr>
        <w:pStyle w:val="PL"/>
      </w:pPr>
    </w:p>
    <w:p w14:paraId="6B4E2BEE"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0F84C70" w14:textId="77777777" w:rsidR="00394471" w:rsidRPr="00FA0D37" w:rsidRDefault="00394471" w:rsidP="00FA0D37">
      <w:pPr>
        <w:pStyle w:val="PL"/>
      </w:pPr>
      <w:r w:rsidRPr="00FA0D37">
        <w:t xml:space="preserve">    timeRestrictionForChannelMeasurements           </w:t>
      </w:r>
      <w:r w:rsidRPr="00FA0D37">
        <w:rPr>
          <w:color w:val="993366"/>
        </w:rPr>
        <w:t>ENUMERATED</w:t>
      </w:r>
      <w:r w:rsidRPr="00FA0D37">
        <w:t xml:space="preserve"> {configured, notConfigured},</w:t>
      </w:r>
    </w:p>
    <w:p w14:paraId="40992BA5" w14:textId="77777777" w:rsidR="00394471" w:rsidRPr="00FA0D37" w:rsidRDefault="00394471" w:rsidP="00FA0D37">
      <w:pPr>
        <w:pStyle w:val="PL"/>
      </w:pPr>
      <w:r w:rsidRPr="00FA0D37">
        <w:t xml:space="preserve">    timeRestrictionForInterferenceMeasurements      </w:t>
      </w:r>
      <w:r w:rsidRPr="00FA0D37">
        <w:rPr>
          <w:color w:val="993366"/>
        </w:rPr>
        <w:t>ENUMERATED</w:t>
      </w:r>
      <w:r w:rsidRPr="00FA0D37">
        <w:t xml:space="preserve"> {configured, notConfigured},</w:t>
      </w:r>
    </w:p>
    <w:p w14:paraId="4F2C334E" w14:textId="77777777" w:rsidR="00394471" w:rsidRPr="00FA0D37" w:rsidRDefault="00394471" w:rsidP="00FA0D37">
      <w:pPr>
        <w:pStyle w:val="PL"/>
        <w:rPr>
          <w:color w:val="808080"/>
        </w:rPr>
      </w:pPr>
      <w:r w:rsidRPr="00FA0D37">
        <w:t xml:space="preserve">    codebookConfig                                  CodebookConfig                                              </w:t>
      </w:r>
      <w:r w:rsidRPr="00FA0D37">
        <w:rPr>
          <w:color w:val="993366"/>
        </w:rPr>
        <w:t>OPTIONAL</w:t>
      </w:r>
      <w:r w:rsidRPr="00FA0D37">
        <w:t xml:space="preserve">,   </w:t>
      </w:r>
      <w:r w:rsidRPr="00FA0D37">
        <w:rPr>
          <w:color w:val="808080"/>
        </w:rPr>
        <w:t>-- Need R</w:t>
      </w:r>
    </w:p>
    <w:p w14:paraId="6DB9136C" w14:textId="77777777" w:rsidR="00394471" w:rsidRPr="00FA0D37" w:rsidRDefault="00394471" w:rsidP="00FA0D37">
      <w:pPr>
        <w:pStyle w:val="PL"/>
        <w:rPr>
          <w:color w:val="808080"/>
        </w:rPr>
      </w:pPr>
      <w:r w:rsidRPr="00FA0D37">
        <w:t xml:space="preserve">    dummy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702AF923" w14:textId="77777777" w:rsidR="00394471" w:rsidRPr="00FA0D37" w:rsidRDefault="00394471" w:rsidP="00FA0D37">
      <w:pPr>
        <w:pStyle w:val="PL"/>
      </w:pPr>
      <w:r w:rsidRPr="00FA0D37">
        <w:t xml:space="preserve">    groupBasedBeamReporting                     </w:t>
      </w:r>
      <w:r w:rsidRPr="00FA0D37">
        <w:rPr>
          <w:color w:val="993366"/>
        </w:rPr>
        <w:t>CHOICE</w:t>
      </w:r>
      <w:r w:rsidRPr="00FA0D37">
        <w:t xml:space="preserve"> {</w:t>
      </w:r>
    </w:p>
    <w:p w14:paraId="3BA4AAED" w14:textId="77777777" w:rsidR="00394471" w:rsidRPr="00FA0D37" w:rsidRDefault="00394471" w:rsidP="00FA0D37">
      <w:pPr>
        <w:pStyle w:val="PL"/>
      </w:pPr>
      <w:r w:rsidRPr="00FA0D37">
        <w:t xml:space="preserve">        enabled                                     </w:t>
      </w:r>
      <w:r w:rsidRPr="00FA0D37">
        <w:rPr>
          <w:color w:val="993366"/>
        </w:rPr>
        <w:t>NULL</w:t>
      </w:r>
      <w:r w:rsidRPr="00FA0D37">
        <w:t>,</w:t>
      </w:r>
    </w:p>
    <w:p w14:paraId="373E1FA3" w14:textId="77777777" w:rsidR="00394471" w:rsidRPr="00FA0D37" w:rsidRDefault="00394471" w:rsidP="00FA0D37">
      <w:pPr>
        <w:pStyle w:val="PL"/>
      </w:pPr>
      <w:r w:rsidRPr="00FA0D37">
        <w:t xml:space="preserve">        disabled                                    </w:t>
      </w:r>
      <w:r w:rsidRPr="00FA0D37">
        <w:rPr>
          <w:color w:val="993366"/>
        </w:rPr>
        <w:t>SEQUENCE</w:t>
      </w:r>
      <w:r w:rsidRPr="00FA0D37">
        <w:t xml:space="preserve"> {</w:t>
      </w:r>
    </w:p>
    <w:p w14:paraId="65508C60" w14:textId="77777777" w:rsidR="00394471" w:rsidRPr="00FA0D37" w:rsidRDefault="00394471" w:rsidP="00FA0D37">
      <w:pPr>
        <w:pStyle w:val="PL"/>
        <w:rPr>
          <w:color w:val="808080"/>
        </w:rPr>
      </w:pPr>
      <w:r w:rsidRPr="00FA0D37">
        <w:t xml:space="preserve">            nrofReportedRS                          </w:t>
      </w:r>
      <w:r w:rsidRPr="00FA0D37">
        <w:rPr>
          <w:color w:val="993366"/>
        </w:rPr>
        <w:t>ENUMERATED</w:t>
      </w:r>
      <w:r w:rsidRPr="00FA0D37">
        <w:t xml:space="preserve"> {n1, n2, n3, n4}                                 </w:t>
      </w:r>
      <w:r w:rsidRPr="00FA0D37">
        <w:rPr>
          <w:color w:val="993366"/>
        </w:rPr>
        <w:t>OPTIONAL</w:t>
      </w:r>
      <w:r w:rsidRPr="00FA0D37">
        <w:t xml:space="preserve">    </w:t>
      </w:r>
      <w:r w:rsidRPr="00FA0D37">
        <w:rPr>
          <w:color w:val="808080"/>
        </w:rPr>
        <w:t>-- Need S</w:t>
      </w:r>
    </w:p>
    <w:p w14:paraId="5E2628BF" w14:textId="77777777" w:rsidR="00394471" w:rsidRPr="00FA0D37" w:rsidRDefault="00394471" w:rsidP="00FA0D37">
      <w:pPr>
        <w:pStyle w:val="PL"/>
      </w:pPr>
      <w:r w:rsidRPr="00FA0D37">
        <w:t xml:space="preserve">        }</w:t>
      </w:r>
    </w:p>
    <w:p w14:paraId="78F61A79" w14:textId="77777777" w:rsidR="00394471" w:rsidRPr="00FA0D37" w:rsidRDefault="00394471" w:rsidP="00FA0D37">
      <w:pPr>
        <w:pStyle w:val="PL"/>
      </w:pPr>
      <w:r w:rsidRPr="00FA0D37">
        <w:t xml:space="preserve">    },</w:t>
      </w:r>
    </w:p>
    <w:p w14:paraId="1462942A" w14:textId="581EDC00" w:rsidR="00394471" w:rsidRPr="00FA0D37" w:rsidRDefault="00394471" w:rsidP="00FA0D37">
      <w:pPr>
        <w:pStyle w:val="PL"/>
        <w:rPr>
          <w:color w:val="808080"/>
        </w:rPr>
      </w:pPr>
      <w:r w:rsidRPr="00FA0D37">
        <w:t xml:space="preserve">    cqi-Table                   </w:t>
      </w:r>
      <w:r w:rsidRPr="00FA0D37">
        <w:rPr>
          <w:color w:val="993366"/>
        </w:rPr>
        <w:t>ENUMERATED</w:t>
      </w:r>
      <w:r w:rsidRPr="00FA0D37">
        <w:t xml:space="preserve"> {table1, table2, table3, </w:t>
      </w:r>
      <w:r w:rsidR="00BB4037" w:rsidRPr="00FA0D37">
        <w:t>table4-r17</w:t>
      </w:r>
      <w:r w:rsidRPr="00FA0D37">
        <w:t xml:space="preserve">}                                     </w:t>
      </w:r>
      <w:r w:rsidRPr="00FA0D37">
        <w:rPr>
          <w:color w:val="993366"/>
        </w:rPr>
        <w:t>OPTIONAL</w:t>
      </w:r>
      <w:r w:rsidRPr="00FA0D37">
        <w:t xml:space="preserve">,   </w:t>
      </w:r>
      <w:r w:rsidRPr="00FA0D37">
        <w:rPr>
          <w:color w:val="808080"/>
        </w:rPr>
        <w:t>-- Need R</w:t>
      </w:r>
    </w:p>
    <w:p w14:paraId="24DABAA5" w14:textId="77777777" w:rsidR="00394471" w:rsidRPr="00FA0D37" w:rsidRDefault="00394471" w:rsidP="00FA0D37">
      <w:pPr>
        <w:pStyle w:val="PL"/>
      </w:pPr>
      <w:r w:rsidRPr="00FA0D37">
        <w:t xml:space="preserve">    subbandSize                 </w:t>
      </w:r>
      <w:r w:rsidRPr="00FA0D37">
        <w:rPr>
          <w:color w:val="993366"/>
        </w:rPr>
        <w:t>ENUMERATED</w:t>
      </w:r>
      <w:r w:rsidRPr="00FA0D37">
        <w:t xml:space="preserve"> {value1, value2},</w:t>
      </w:r>
    </w:p>
    <w:p w14:paraId="763705EF" w14:textId="77777777" w:rsidR="00394471" w:rsidRPr="00FA0D37" w:rsidRDefault="00394471" w:rsidP="00FA0D37">
      <w:pPr>
        <w:pStyle w:val="PL"/>
        <w:rPr>
          <w:color w:val="808080"/>
        </w:rPr>
      </w:pPr>
      <w:r w:rsidRPr="00FA0D37">
        <w:t xml:space="preserve">    non-PMI-PortIndication      </w:t>
      </w:r>
      <w:r w:rsidRPr="00FA0D37">
        <w:rPr>
          <w:color w:val="993366"/>
        </w:rPr>
        <w:t>SEQUENCE</w:t>
      </w:r>
      <w:r w:rsidRPr="00FA0D37">
        <w:t xml:space="preserve"> (</w:t>
      </w:r>
      <w:r w:rsidRPr="00FA0D37">
        <w:rPr>
          <w:color w:val="993366"/>
        </w:rPr>
        <w:t>SIZE</w:t>
      </w:r>
      <w:r w:rsidRPr="00FA0D37">
        <w:t xml:space="preserve"> (1..maxNrofNZP-CSI-RS-ResourcesPerConfig))</w:t>
      </w:r>
      <w:r w:rsidRPr="00FA0D37">
        <w:rPr>
          <w:color w:val="993366"/>
        </w:rPr>
        <w:t xml:space="preserve"> OF</w:t>
      </w:r>
      <w:r w:rsidRPr="00FA0D37">
        <w:t xml:space="preserve"> PortIndexFor8Ranks </w:t>
      </w:r>
      <w:r w:rsidRPr="00FA0D37">
        <w:rPr>
          <w:color w:val="993366"/>
        </w:rPr>
        <w:t>OPTIONAL</w:t>
      </w:r>
      <w:r w:rsidRPr="00FA0D37">
        <w:t xml:space="preserve">,   </w:t>
      </w:r>
      <w:r w:rsidRPr="00FA0D37">
        <w:rPr>
          <w:color w:val="808080"/>
        </w:rPr>
        <w:t>-- Need R</w:t>
      </w:r>
    </w:p>
    <w:p w14:paraId="37EB924B" w14:textId="77777777" w:rsidR="00394471" w:rsidRPr="00FA0D37" w:rsidRDefault="00394471" w:rsidP="00FA0D37">
      <w:pPr>
        <w:pStyle w:val="PL"/>
      </w:pPr>
      <w:r w:rsidRPr="00FA0D37">
        <w:t xml:space="preserve">    ...,</w:t>
      </w:r>
    </w:p>
    <w:p w14:paraId="63581372" w14:textId="77777777" w:rsidR="00394471" w:rsidRPr="00FA0D37" w:rsidRDefault="00394471" w:rsidP="00FA0D37">
      <w:pPr>
        <w:pStyle w:val="PL"/>
      </w:pPr>
      <w:r w:rsidRPr="00FA0D37">
        <w:t xml:space="preserve">    [[</w:t>
      </w:r>
    </w:p>
    <w:p w14:paraId="44EEF234" w14:textId="77777777" w:rsidR="00394471" w:rsidRPr="00FA0D37" w:rsidRDefault="00394471" w:rsidP="00FA0D37">
      <w:pPr>
        <w:pStyle w:val="PL"/>
      </w:pPr>
      <w:r w:rsidRPr="00FA0D37">
        <w:t xml:space="preserve">    semiPersistentOnPUSCH-v1530         </w:t>
      </w:r>
      <w:r w:rsidRPr="00FA0D37">
        <w:rPr>
          <w:color w:val="993366"/>
        </w:rPr>
        <w:t>SEQUENCE</w:t>
      </w:r>
      <w:r w:rsidRPr="00FA0D37">
        <w:t xml:space="preserve"> {</w:t>
      </w:r>
    </w:p>
    <w:p w14:paraId="1DCE7D0D" w14:textId="77777777" w:rsidR="00394471" w:rsidRPr="00FA0D37" w:rsidRDefault="00394471" w:rsidP="00FA0D37">
      <w:pPr>
        <w:pStyle w:val="PL"/>
      </w:pPr>
      <w:r w:rsidRPr="00FA0D37">
        <w:t xml:space="preserve">        reportSlotConfig-v1530              </w:t>
      </w:r>
      <w:r w:rsidRPr="00FA0D37">
        <w:rPr>
          <w:color w:val="993366"/>
        </w:rPr>
        <w:t>ENUMERATED</w:t>
      </w:r>
      <w:r w:rsidRPr="00FA0D37">
        <w:t xml:space="preserve"> {sl4, sl8, sl16}</w:t>
      </w:r>
    </w:p>
    <w:p w14:paraId="15A00C21"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7FE0E81" w14:textId="77777777" w:rsidR="00394471" w:rsidRPr="00FA0D37" w:rsidRDefault="00394471" w:rsidP="00FA0D37">
      <w:pPr>
        <w:pStyle w:val="PL"/>
      </w:pPr>
      <w:r w:rsidRPr="00FA0D37">
        <w:t xml:space="preserve">    ]],</w:t>
      </w:r>
    </w:p>
    <w:p w14:paraId="287F2D67" w14:textId="77777777" w:rsidR="00394471" w:rsidRPr="00FA0D37" w:rsidRDefault="00394471" w:rsidP="00FA0D37">
      <w:pPr>
        <w:pStyle w:val="PL"/>
      </w:pPr>
      <w:r w:rsidRPr="00FA0D37">
        <w:t xml:space="preserve">    [[</w:t>
      </w:r>
    </w:p>
    <w:p w14:paraId="31FD8749" w14:textId="77777777" w:rsidR="00394471" w:rsidRPr="00FA0D37" w:rsidRDefault="00394471" w:rsidP="00FA0D37">
      <w:pPr>
        <w:pStyle w:val="PL"/>
      </w:pPr>
      <w:r w:rsidRPr="00FA0D37">
        <w:t xml:space="preserve">    semiPersistentOnPUSCH-v1610         </w:t>
      </w:r>
      <w:r w:rsidRPr="00FA0D37">
        <w:rPr>
          <w:color w:val="993366"/>
        </w:rPr>
        <w:t>SEQUENCE</w:t>
      </w:r>
      <w:r w:rsidRPr="00FA0D37">
        <w:t xml:space="preserve"> {</w:t>
      </w:r>
    </w:p>
    <w:p w14:paraId="663BBE34" w14:textId="77777777" w:rsidR="00394471" w:rsidRPr="00FA0D37" w:rsidRDefault="00394471" w:rsidP="00FA0D37">
      <w:pPr>
        <w:pStyle w:val="PL"/>
        <w:rPr>
          <w:color w:val="808080"/>
        </w:rPr>
      </w:pPr>
      <w:r w:rsidRPr="00FA0D37">
        <w:t xml:space="preserve">        reportSlotOffsetListDCI-0-2-r16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(0..32)   </w:t>
      </w:r>
      <w:r w:rsidRPr="00FA0D37">
        <w:rPr>
          <w:color w:val="993366"/>
        </w:rPr>
        <w:t>OPTIONAL</w:t>
      </w:r>
      <w:r w:rsidRPr="00FA0D37">
        <w:t xml:space="preserve">,    </w:t>
      </w:r>
      <w:r w:rsidRPr="00FA0D37">
        <w:rPr>
          <w:color w:val="808080"/>
        </w:rPr>
        <w:t>-- Need R</w:t>
      </w:r>
    </w:p>
    <w:p w14:paraId="1CFCC40F" w14:textId="77777777" w:rsidR="00394471" w:rsidRPr="00FA0D37" w:rsidRDefault="00394471" w:rsidP="00FA0D37">
      <w:pPr>
        <w:pStyle w:val="PL"/>
        <w:rPr>
          <w:color w:val="808080"/>
        </w:rPr>
      </w:pPr>
      <w:r w:rsidRPr="00FA0D37">
        <w:t xml:space="preserve">        reportSlotOffsetListDCI-0-1-r16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(0..32)   </w:t>
      </w:r>
      <w:r w:rsidRPr="00FA0D37">
        <w:rPr>
          <w:color w:val="993366"/>
        </w:rPr>
        <w:t>OPTIONAL</w:t>
      </w:r>
      <w:r w:rsidRPr="00FA0D37">
        <w:t xml:space="preserve">     </w:t>
      </w:r>
      <w:r w:rsidRPr="00FA0D37">
        <w:rPr>
          <w:color w:val="808080"/>
        </w:rPr>
        <w:t>-- Need R</w:t>
      </w:r>
    </w:p>
    <w:p w14:paraId="27FA2DE5"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43BF77BE" w14:textId="77777777" w:rsidR="00394471" w:rsidRPr="00FA0D37" w:rsidRDefault="00394471" w:rsidP="00FA0D37">
      <w:pPr>
        <w:pStyle w:val="PL"/>
      </w:pPr>
      <w:r w:rsidRPr="00FA0D37">
        <w:t xml:space="preserve">    aperiodic-v1610                     </w:t>
      </w:r>
      <w:r w:rsidRPr="00FA0D37">
        <w:rPr>
          <w:color w:val="993366"/>
        </w:rPr>
        <w:t>SEQUENCE</w:t>
      </w:r>
      <w:r w:rsidRPr="00FA0D37">
        <w:t xml:space="preserve"> {</w:t>
      </w:r>
    </w:p>
    <w:p w14:paraId="23618DCA" w14:textId="77777777" w:rsidR="00394471" w:rsidRPr="00FA0D37" w:rsidRDefault="00394471" w:rsidP="00FA0D37">
      <w:pPr>
        <w:pStyle w:val="PL"/>
        <w:rPr>
          <w:color w:val="808080"/>
        </w:rPr>
      </w:pPr>
      <w:r w:rsidRPr="00FA0D37">
        <w:t xml:space="preserve">        reportSlotOffsetListDCI-0-2-r16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(0..32)   </w:t>
      </w:r>
      <w:r w:rsidRPr="00FA0D37">
        <w:rPr>
          <w:color w:val="993366"/>
        </w:rPr>
        <w:t>OPTIONAL</w:t>
      </w:r>
      <w:r w:rsidRPr="00FA0D37">
        <w:t xml:space="preserve">,    </w:t>
      </w:r>
      <w:r w:rsidRPr="00FA0D37">
        <w:rPr>
          <w:color w:val="808080"/>
        </w:rPr>
        <w:t>-- Need R</w:t>
      </w:r>
    </w:p>
    <w:p w14:paraId="70894915" w14:textId="77777777" w:rsidR="00394471" w:rsidRPr="00FA0D37" w:rsidRDefault="00394471" w:rsidP="00FA0D37">
      <w:pPr>
        <w:pStyle w:val="PL"/>
        <w:rPr>
          <w:color w:val="808080"/>
        </w:rPr>
      </w:pPr>
      <w:r w:rsidRPr="00FA0D37">
        <w:t xml:space="preserve">        reportSlotOffsetListDCI-0-1-r16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(0..32)   </w:t>
      </w:r>
      <w:r w:rsidRPr="00FA0D37">
        <w:rPr>
          <w:color w:val="993366"/>
        </w:rPr>
        <w:t>OPTIONAL</w:t>
      </w:r>
      <w:r w:rsidRPr="00FA0D37">
        <w:t xml:space="preserve">     </w:t>
      </w:r>
      <w:r w:rsidRPr="00FA0D37">
        <w:rPr>
          <w:color w:val="808080"/>
        </w:rPr>
        <w:t>-- Need R</w:t>
      </w:r>
    </w:p>
    <w:p w14:paraId="5DC5AE80"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03C458B8" w14:textId="77777777" w:rsidR="00394471" w:rsidRPr="00FA0D37" w:rsidRDefault="00394471" w:rsidP="00FA0D37">
      <w:pPr>
        <w:pStyle w:val="PL"/>
      </w:pPr>
      <w:r w:rsidRPr="00FA0D37">
        <w:t xml:space="preserve">    reportQuantity-r16                  </w:t>
      </w:r>
      <w:r w:rsidRPr="00FA0D37">
        <w:rPr>
          <w:color w:val="993366"/>
        </w:rPr>
        <w:t>CHOICE</w:t>
      </w:r>
      <w:r w:rsidRPr="00FA0D37">
        <w:t xml:space="preserve"> {</w:t>
      </w:r>
    </w:p>
    <w:p w14:paraId="1E8C33C2" w14:textId="77777777" w:rsidR="00394471" w:rsidRPr="00FA0D37" w:rsidRDefault="00394471" w:rsidP="00FA0D37">
      <w:pPr>
        <w:pStyle w:val="PL"/>
      </w:pPr>
      <w:r w:rsidRPr="00FA0D37">
        <w:t xml:space="preserve">       cri-SINR-r16                         </w:t>
      </w:r>
      <w:r w:rsidRPr="00FA0D37">
        <w:rPr>
          <w:color w:val="993366"/>
        </w:rPr>
        <w:t>NULL</w:t>
      </w:r>
      <w:r w:rsidRPr="00FA0D37">
        <w:t>,</w:t>
      </w:r>
    </w:p>
    <w:p w14:paraId="03AA53B3" w14:textId="77777777" w:rsidR="00394471" w:rsidRPr="00FA0D37" w:rsidRDefault="00394471" w:rsidP="00FA0D37">
      <w:pPr>
        <w:pStyle w:val="PL"/>
      </w:pPr>
      <w:r w:rsidRPr="00FA0D37">
        <w:t xml:space="preserve">       ssb-Index-SINR-r16                   </w:t>
      </w:r>
      <w:r w:rsidRPr="00FA0D37">
        <w:rPr>
          <w:color w:val="993366"/>
        </w:rPr>
        <w:t>NULL</w:t>
      </w:r>
    </w:p>
    <w:p w14:paraId="3859B2A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6428569C" w14:textId="77777777" w:rsidR="00394471" w:rsidRPr="00FA0D37" w:rsidRDefault="00394471" w:rsidP="00FA0D37">
      <w:pPr>
        <w:pStyle w:val="PL"/>
        <w:rPr>
          <w:color w:val="808080"/>
        </w:rPr>
      </w:pPr>
      <w:r w:rsidRPr="00FA0D37">
        <w:t xml:space="preserve">    codebookConfig-r16                          CodebookConfig-r16                                              </w:t>
      </w:r>
      <w:r w:rsidRPr="00FA0D37">
        <w:rPr>
          <w:color w:val="993366"/>
        </w:rPr>
        <w:t>OPTIONAL</w:t>
      </w:r>
      <w:r w:rsidRPr="00FA0D37">
        <w:t xml:space="preserve">    </w:t>
      </w:r>
      <w:r w:rsidRPr="00FA0D37">
        <w:rPr>
          <w:color w:val="808080"/>
        </w:rPr>
        <w:t>-- Need R</w:t>
      </w:r>
    </w:p>
    <w:p w14:paraId="75F89D36" w14:textId="0B7A65C1" w:rsidR="00F27D15" w:rsidRPr="00FA0D37" w:rsidRDefault="00394471" w:rsidP="00FA0D37">
      <w:pPr>
        <w:pStyle w:val="PL"/>
      </w:pPr>
      <w:r w:rsidRPr="00FA0D37">
        <w:t xml:space="preserve">    ]]</w:t>
      </w:r>
      <w:r w:rsidR="00F27D15" w:rsidRPr="00FA0D37">
        <w:t>,</w:t>
      </w:r>
    </w:p>
    <w:p w14:paraId="5DB415A7" w14:textId="77777777" w:rsidR="00F27D15" w:rsidRPr="00FA0D37" w:rsidRDefault="00F27D15" w:rsidP="00FA0D37">
      <w:pPr>
        <w:pStyle w:val="PL"/>
      </w:pPr>
      <w:r w:rsidRPr="00FA0D37">
        <w:t xml:space="preserve">    [[</w:t>
      </w:r>
    </w:p>
    <w:p w14:paraId="60AF9D61" w14:textId="428674D6" w:rsidR="00F27D15" w:rsidRPr="00FA0D37" w:rsidRDefault="00F27D15" w:rsidP="00FA0D37">
      <w:pPr>
        <w:pStyle w:val="PL"/>
        <w:rPr>
          <w:color w:val="808080"/>
        </w:rPr>
      </w:pPr>
      <w:r w:rsidRPr="00FA0D37">
        <w:t xml:space="preserve">    cqi-BitsPerSubband-r17              </w:t>
      </w:r>
      <w:r w:rsidRPr="00FA0D37">
        <w:rPr>
          <w:color w:val="993366"/>
        </w:rPr>
        <w:t>ENUMERATED</w:t>
      </w:r>
      <w:r w:rsidRPr="00FA0D37">
        <w:t xml:space="preserve"> {bits4}                                                      </w:t>
      </w:r>
      <w:r w:rsidRPr="00FA0D37">
        <w:rPr>
          <w:color w:val="993366"/>
        </w:rPr>
        <w:t>OPTIONAL</w:t>
      </w:r>
      <w:r w:rsidR="00C01388" w:rsidRPr="00FA0D37">
        <w:t>,</w:t>
      </w:r>
      <w:r w:rsidRPr="00FA0D37">
        <w:t xml:space="preserve">   </w:t>
      </w:r>
      <w:r w:rsidRPr="00FA0D37">
        <w:rPr>
          <w:color w:val="808080"/>
        </w:rPr>
        <w:t>-- Need R</w:t>
      </w:r>
    </w:p>
    <w:p w14:paraId="47490617" w14:textId="77777777" w:rsidR="00261E44" w:rsidRPr="00FA0D37" w:rsidRDefault="00261E44" w:rsidP="00FA0D37">
      <w:pPr>
        <w:pStyle w:val="PL"/>
      </w:pPr>
      <w:r w:rsidRPr="00FA0D37">
        <w:t xml:space="preserve">    groupBasedBeamReporting-v1710       </w:t>
      </w:r>
      <w:r w:rsidRPr="00FA0D37">
        <w:rPr>
          <w:color w:val="993366"/>
        </w:rPr>
        <w:t>SEQUENCE</w:t>
      </w:r>
      <w:r w:rsidRPr="00FA0D37">
        <w:t xml:space="preserve"> {</w:t>
      </w:r>
    </w:p>
    <w:p w14:paraId="5AB8EBBA" w14:textId="77777777" w:rsidR="00095E61" w:rsidRPr="00FA0D37" w:rsidRDefault="00C01388" w:rsidP="00FA0D37">
      <w:pPr>
        <w:pStyle w:val="PL"/>
      </w:pPr>
      <w:r w:rsidRPr="00FA0D37">
        <w:t xml:space="preserve">    </w:t>
      </w:r>
      <w:r w:rsidR="00261E44" w:rsidRPr="00FA0D37">
        <w:t xml:space="preserve">    </w:t>
      </w:r>
      <w:r w:rsidRPr="00FA0D37">
        <w:t xml:space="preserve">nrofReportedGroups-r17              </w:t>
      </w:r>
      <w:r w:rsidRPr="00FA0D37">
        <w:rPr>
          <w:color w:val="993366"/>
        </w:rPr>
        <w:t>ENUMERATED</w:t>
      </w:r>
      <w:r w:rsidRPr="00FA0D37">
        <w:t xml:space="preserve"> {n1, n2, n3, n4}</w:t>
      </w:r>
    </w:p>
    <w:p w14:paraId="43A12CEB" w14:textId="0DCBE155" w:rsidR="00C01388" w:rsidRPr="00FA0D37" w:rsidRDefault="00095E61" w:rsidP="00FA0D37">
      <w:pPr>
        <w:pStyle w:val="PL"/>
        <w:rPr>
          <w:color w:val="808080"/>
        </w:rPr>
      </w:pPr>
      <w:r w:rsidRPr="00FA0D37">
        <w:t xml:space="preserve">    }                                                              </w:t>
      </w:r>
      <w:r w:rsidR="00C01388" w:rsidRPr="00FA0D37">
        <w:t xml:space="preserve">                                             </w:t>
      </w:r>
      <w:r w:rsidR="00C01388" w:rsidRPr="00FA0D37">
        <w:rPr>
          <w:color w:val="993366"/>
        </w:rPr>
        <w:t>OPTIONAL</w:t>
      </w:r>
      <w:r w:rsidR="00C01388" w:rsidRPr="00FA0D37">
        <w:t xml:space="preserve">,   </w:t>
      </w:r>
      <w:r w:rsidR="00C01388" w:rsidRPr="00FA0D37">
        <w:rPr>
          <w:color w:val="808080"/>
        </w:rPr>
        <w:t>-- Need R</w:t>
      </w:r>
    </w:p>
    <w:p w14:paraId="1944FAC8" w14:textId="56DCF87B" w:rsidR="00C01388" w:rsidRPr="00FA0D37" w:rsidRDefault="00C01388" w:rsidP="00FA0D37">
      <w:pPr>
        <w:pStyle w:val="PL"/>
        <w:rPr>
          <w:color w:val="808080"/>
        </w:rPr>
      </w:pPr>
      <w:r w:rsidRPr="00FA0D37">
        <w:t xml:space="preserve">    codebookConfig-r17                  CodebookConfig-r17                                                      </w:t>
      </w:r>
      <w:r w:rsidRPr="00FA0D37">
        <w:rPr>
          <w:color w:val="993366"/>
        </w:rPr>
        <w:t>OPTIONAL</w:t>
      </w:r>
      <w:r w:rsidRPr="00FA0D37">
        <w:t xml:space="preserve">,   </w:t>
      </w:r>
      <w:r w:rsidRPr="00FA0D37">
        <w:rPr>
          <w:color w:val="808080"/>
        </w:rPr>
        <w:t>-- Need R</w:t>
      </w:r>
    </w:p>
    <w:p w14:paraId="0655821B" w14:textId="342F46E0" w:rsidR="00C01388" w:rsidRPr="00FA0D37" w:rsidRDefault="00C01388" w:rsidP="00FA0D37">
      <w:pPr>
        <w:pStyle w:val="PL"/>
        <w:rPr>
          <w:color w:val="808080"/>
        </w:rPr>
      </w:pPr>
      <w:r w:rsidRPr="00FA0D37">
        <w:lastRenderedPageBreak/>
        <w:t xml:space="preserve">    sharedCMR-r17                       </w:t>
      </w:r>
      <w:r w:rsidRPr="00FA0D37">
        <w:rPr>
          <w:color w:val="993366"/>
        </w:rPr>
        <w:t>ENUMERATED</w:t>
      </w:r>
      <w:r w:rsidRPr="00FA0D37">
        <w:t xml:space="preserve"> {enable}                                                     </w:t>
      </w:r>
      <w:r w:rsidRPr="00FA0D37">
        <w:rPr>
          <w:color w:val="993366"/>
        </w:rPr>
        <w:t>OPTIONAL</w:t>
      </w:r>
      <w:r w:rsidRPr="00FA0D37">
        <w:t xml:space="preserve">,   </w:t>
      </w:r>
      <w:r w:rsidRPr="00FA0D37">
        <w:rPr>
          <w:color w:val="808080"/>
        </w:rPr>
        <w:t>-- Need R</w:t>
      </w:r>
    </w:p>
    <w:p w14:paraId="196D092C" w14:textId="32EADA25" w:rsidR="00C01388" w:rsidRPr="00FA0D37" w:rsidRDefault="00C01388" w:rsidP="00FA0D37">
      <w:pPr>
        <w:pStyle w:val="PL"/>
        <w:rPr>
          <w:color w:val="808080"/>
        </w:rPr>
      </w:pPr>
      <w:r w:rsidRPr="00FA0D37">
        <w:t xml:space="preserve">    csi-ReportMode-r17                  </w:t>
      </w:r>
      <w:r w:rsidRPr="00FA0D37">
        <w:rPr>
          <w:color w:val="993366"/>
        </w:rPr>
        <w:t>ENUMERATED</w:t>
      </w:r>
      <w:r w:rsidRPr="00FA0D37">
        <w:t xml:space="preserve"> {</w:t>
      </w:r>
      <w:r w:rsidR="00B06511" w:rsidRPr="00FA0D37">
        <w:t>mode1, mode2</w:t>
      </w:r>
      <w:r w:rsidRPr="00FA0D37">
        <w:t xml:space="preserve">}                                               </w:t>
      </w:r>
      <w:r w:rsidRPr="00FA0D37">
        <w:rPr>
          <w:color w:val="993366"/>
        </w:rPr>
        <w:t>OPTIONAL</w:t>
      </w:r>
      <w:r w:rsidRPr="00FA0D37">
        <w:t xml:space="preserve">,   </w:t>
      </w:r>
      <w:r w:rsidRPr="00FA0D37">
        <w:rPr>
          <w:color w:val="808080"/>
        </w:rPr>
        <w:t>-- Need R</w:t>
      </w:r>
    </w:p>
    <w:p w14:paraId="07059BC7" w14:textId="384F6D4A" w:rsidR="00C01388" w:rsidRPr="00FA0D37" w:rsidRDefault="00C01388" w:rsidP="00FA0D37">
      <w:pPr>
        <w:pStyle w:val="PL"/>
        <w:rPr>
          <w:color w:val="808080"/>
        </w:rPr>
      </w:pPr>
      <w:r w:rsidRPr="00FA0D37">
        <w:t xml:space="preserve">    numberOfSingleTRP-CSI-Mode1-r17    </w:t>
      </w:r>
      <w:r w:rsidR="008D68AB" w:rsidRPr="00FA0D37">
        <w:t xml:space="preserve"> </w:t>
      </w:r>
      <w:r w:rsidRPr="00FA0D37">
        <w:rPr>
          <w:color w:val="993366"/>
        </w:rPr>
        <w:t>ENUMERATED</w:t>
      </w:r>
      <w:r w:rsidRPr="00FA0D37">
        <w:t xml:space="preserve"> {n0, n1, n2}                                                 </w:t>
      </w:r>
      <w:r w:rsidRPr="00FA0D37">
        <w:rPr>
          <w:color w:val="993366"/>
        </w:rPr>
        <w:t>OPTIONAL</w:t>
      </w:r>
      <w:r w:rsidRPr="00FA0D37">
        <w:t xml:space="preserve">,   </w:t>
      </w:r>
      <w:r w:rsidRPr="00FA0D37">
        <w:rPr>
          <w:color w:val="808080"/>
        </w:rPr>
        <w:t>-- Need R</w:t>
      </w:r>
    </w:p>
    <w:p w14:paraId="166C8D04" w14:textId="77777777" w:rsidR="00C01388" w:rsidRPr="00FA0D37" w:rsidRDefault="00C01388" w:rsidP="00FA0D37">
      <w:pPr>
        <w:pStyle w:val="PL"/>
      </w:pPr>
      <w:r w:rsidRPr="00FA0D37">
        <w:t xml:space="preserve">    reportQuantity-r17                  </w:t>
      </w:r>
      <w:r w:rsidRPr="00FA0D37">
        <w:rPr>
          <w:color w:val="993366"/>
        </w:rPr>
        <w:t>CHOICE</w:t>
      </w:r>
      <w:r w:rsidRPr="00FA0D37">
        <w:t xml:space="preserve"> {</w:t>
      </w:r>
    </w:p>
    <w:p w14:paraId="5D6A8C85" w14:textId="64E208F9" w:rsidR="00C01388" w:rsidRPr="00FA0D37" w:rsidRDefault="00C01388" w:rsidP="00FA0D37">
      <w:pPr>
        <w:pStyle w:val="PL"/>
      </w:pPr>
      <w:r w:rsidRPr="00FA0D37">
        <w:t xml:space="preserve">        cri-RSRP-Index-r17        </w:t>
      </w:r>
      <w:r w:rsidR="00261E44" w:rsidRPr="00FA0D37">
        <w:t xml:space="preserve">          </w:t>
      </w:r>
      <w:r w:rsidRPr="00FA0D37">
        <w:rPr>
          <w:color w:val="993366"/>
        </w:rPr>
        <w:t>NULL</w:t>
      </w:r>
      <w:r w:rsidRPr="00FA0D37">
        <w:t>,</w:t>
      </w:r>
    </w:p>
    <w:p w14:paraId="5B9DC1C0" w14:textId="4E7F34B0" w:rsidR="00C01388" w:rsidRPr="00FA0D37" w:rsidRDefault="00C01388" w:rsidP="00FA0D37">
      <w:pPr>
        <w:pStyle w:val="PL"/>
      </w:pPr>
      <w:r w:rsidRPr="00FA0D37">
        <w:t xml:space="preserve">        ssb-Index-RSRP-Index-r17  </w:t>
      </w:r>
      <w:r w:rsidR="00261E44" w:rsidRPr="00FA0D37">
        <w:t xml:space="preserve">          </w:t>
      </w:r>
      <w:r w:rsidRPr="00FA0D37">
        <w:rPr>
          <w:color w:val="993366"/>
        </w:rPr>
        <w:t>NULL</w:t>
      </w:r>
      <w:r w:rsidRPr="00FA0D37">
        <w:t>,</w:t>
      </w:r>
    </w:p>
    <w:p w14:paraId="4E1ED11E" w14:textId="011523ED" w:rsidR="00C01388" w:rsidRPr="00FA0D37" w:rsidRDefault="00C01388" w:rsidP="00FA0D37">
      <w:pPr>
        <w:pStyle w:val="PL"/>
      </w:pPr>
      <w:r w:rsidRPr="00FA0D37">
        <w:t xml:space="preserve">        cri-SINR-Index-r17       </w:t>
      </w:r>
      <w:r w:rsidR="00261E44" w:rsidRPr="00FA0D37">
        <w:t xml:space="preserve">           </w:t>
      </w:r>
      <w:r w:rsidRPr="00FA0D37">
        <w:rPr>
          <w:color w:val="993366"/>
        </w:rPr>
        <w:t>NULL</w:t>
      </w:r>
      <w:r w:rsidRPr="00FA0D37">
        <w:t>,</w:t>
      </w:r>
    </w:p>
    <w:p w14:paraId="0F495B18" w14:textId="230FE25D" w:rsidR="00C01388" w:rsidRPr="00FA0D37" w:rsidRDefault="00C01388" w:rsidP="00FA0D37">
      <w:pPr>
        <w:pStyle w:val="PL"/>
      </w:pPr>
      <w:r w:rsidRPr="00FA0D37">
        <w:t xml:space="preserve">        ssb-Index-SINR-Index-r17  </w:t>
      </w:r>
      <w:r w:rsidR="00261E44" w:rsidRPr="00FA0D37">
        <w:t xml:space="preserve">          </w:t>
      </w:r>
      <w:r w:rsidRPr="00FA0D37">
        <w:rPr>
          <w:color w:val="993366"/>
        </w:rPr>
        <w:t>NULL</w:t>
      </w:r>
    </w:p>
    <w:p w14:paraId="0C38707A" w14:textId="5FBCF2C5" w:rsidR="00C01388" w:rsidRPr="00FA0D37" w:rsidRDefault="00C01388" w:rsidP="00FA0D37">
      <w:pPr>
        <w:pStyle w:val="PL"/>
        <w:rPr>
          <w:color w:val="808080"/>
        </w:rPr>
      </w:pPr>
      <w:r w:rsidRPr="00FA0D37">
        <w:t xml:space="preserve">    }                                                                                                           </w:t>
      </w:r>
      <w:r w:rsidRPr="00FA0D37">
        <w:rPr>
          <w:color w:val="993366"/>
        </w:rPr>
        <w:t>OPTIONAL</w:t>
      </w:r>
      <w:r w:rsidR="008D68AB" w:rsidRPr="00FA0D37">
        <w:t xml:space="preserve"> </w:t>
      </w:r>
      <w:r w:rsidRPr="00FA0D37">
        <w:t xml:space="preserve">   </w:t>
      </w:r>
      <w:r w:rsidRPr="00FA0D37">
        <w:rPr>
          <w:color w:val="808080"/>
        </w:rPr>
        <w:t>-- Need R</w:t>
      </w:r>
    </w:p>
    <w:p w14:paraId="44CC4527" w14:textId="0D97E685" w:rsidR="008D68AB" w:rsidRPr="00FA0D37" w:rsidRDefault="00F27D15" w:rsidP="00FA0D37">
      <w:pPr>
        <w:pStyle w:val="PL"/>
      </w:pPr>
      <w:r w:rsidRPr="00FA0D37">
        <w:t xml:space="preserve">    ]]</w:t>
      </w:r>
      <w:r w:rsidR="008D68AB" w:rsidRPr="00FA0D37">
        <w:t>,</w:t>
      </w:r>
    </w:p>
    <w:p w14:paraId="6B85C900" w14:textId="37D4E952" w:rsidR="008D68AB" w:rsidRPr="00FA0D37" w:rsidRDefault="008D68AB" w:rsidP="00FA0D37">
      <w:pPr>
        <w:pStyle w:val="PL"/>
      </w:pPr>
      <w:r w:rsidRPr="00FA0D37">
        <w:t xml:space="preserve">    [[</w:t>
      </w:r>
    </w:p>
    <w:p w14:paraId="067CEB0E" w14:textId="1FDE3F8B" w:rsidR="008D68AB" w:rsidRPr="00FA0D37" w:rsidRDefault="008D68AB" w:rsidP="00FA0D37">
      <w:pPr>
        <w:pStyle w:val="PL"/>
      </w:pPr>
      <w:r w:rsidRPr="00FA0D37">
        <w:t xml:space="preserve">    semiPersistentOnPUSCH-v1720         </w:t>
      </w:r>
      <w:r w:rsidRPr="00FA0D37">
        <w:rPr>
          <w:color w:val="993366"/>
        </w:rPr>
        <w:t>SEQUENCE</w:t>
      </w:r>
      <w:r w:rsidRPr="00FA0D37">
        <w:t xml:space="preserve"> {</w:t>
      </w:r>
    </w:p>
    <w:p w14:paraId="01523ADA" w14:textId="19D00C5F" w:rsidR="008D68AB" w:rsidRPr="00FA0D37" w:rsidRDefault="008D68AB" w:rsidP="00FA0D37">
      <w:pPr>
        <w:pStyle w:val="PL"/>
        <w:rPr>
          <w:color w:val="808080"/>
        </w:rPr>
      </w:pPr>
      <w:r w:rsidRPr="00FA0D37">
        <w:t xml:space="preserve">        reportSlotOffsetList-r17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(0..128)  </w:t>
      </w:r>
      <w:r w:rsidRPr="00FA0D37">
        <w:rPr>
          <w:color w:val="993366"/>
        </w:rPr>
        <w:t>OPTIONAL</w:t>
      </w:r>
      <w:r w:rsidRPr="00FA0D37">
        <w:t xml:space="preserve">,   </w:t>
      </w:r>
      <w:r w:rsidRPr="00FA0D37">
        <w:rPr>
          <w:color w:val="808080"/>
        </w:rPr>
        <w:t>-- Need R</w:t>
      </w:r>
    </w:p>
    <w:p w14:paraId="4AA86A9A" w14:textId="42F7E07F" w:rsidR="008D68AB" w:rsidRPr="00FA0D37" w:rsidRDefault="008D68AB" w:rsidP="00FA0D37">
      <w:pPr>
        <w:pStyle w:val="PL"/>
        <w:rPr>
          <w:color w:val="808080"/>
        </w:rPr>
      </w:pPr>
      <w:r w:rsidRPr="00FA0D37">
        <w:t xml:space="preserve">        reportSlotOffsetListDCI-0-2-r17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(0..128)  </w:t>
      </w:r>
      <w:r w:rsidRPr="00FA0D37">
        <w:rPr>
          <w:color w:val="993366"/>
        </w:rPr>
        <w:t>OPTIONAL</w:t>
      </w:r>
      <w:r w:rsidRPr="00FA0D37">
        <w:t xml:space="preserve">,   </w:t>
      </w:r>
      <w:r w:rsidRPr="00FA0D37">
        <w:rPr>
          <w:color w:val="808080"/>
        </w:rPr>
        <w:t>-- Need R</w:t>
      </w:r>
    </w:p>
    <w:p w14:paraId="3A0E72A2" w14:textId="3D23915A" w:rsidR="008D68AB" w:rsidRPr="00FA0D37" w:rsidRDefault="008D68AB" w:rsidP="00FA0D37">
      <w:pPr>
        <w:pStyle w:val="PL"/>
        <w:rPr>
          <w:color w:val="808080"/>
        </w:rPr>
      </w:pPr>
      <w:r w:rsidRPr="00FA0D37">
        <w:t xml:space="preserve">        reportSlotOffsetListDCI-0-1-r17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(0..128)  </w:t>
      </w:r>
      <w:r w:rsidRPr="00FA0D37">
        <w:rPr>
          <w:color w:val="993366"/>
        </w:rPr>
        <w:t>OPTIONAL</w:t>
      </w:r>
      <w:r w:rsidRPr="00FA0D37">
        <w:t xml:space="preserve">    </w:t>
      </w:r>
      <w:r w:rsidRPr="00FA0D37">
        <w:rPr>
          <w:color w:val="808080"/>
        </w:rPr>
        <w:t>-- Need R</w:t>
      </w:r>
    </w:p>
    <w:p w14:paraId="57508A3D" w14:textId="4D58D66F" w:rsidR="008D68AB" w:rsidRPr="00FA0D37" w:rsidRDefault="008D68AB"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47D43AC0" w14:textId="09685CE1" w:rsidR="008D68AB" w:rsidRPr="00FA0D37" w:rsidRDefault="008D68AB" w:rsidP="00FA0D37">
      <w:pPr>
        <w:pStyle w:val="PL"/>
      </w:pPr>
      <w:r w:rsidRPr="00FA0D37">
        <w:t xml:space="preserve">    aperiodic-v1720                     </w:t>
      </w:r>
      <w:r w:rsidRPr="00FA0D37">
        <w:rPr>
          <w:color w:val="993366"/>
        </w:rPr>
        <w:t>SEQUENCE</w:t>
      </w:r>
      <w:r w:rsidRPr="00FA0D37">
        <w:t xml:space="preserve"> {</w:t>
      </w:r>
    </w:p>
    <w:p w14:paraId="33DEA381" w14:textId="28EDA931" w:rsidR="008D68AB" w:rsidRPr="00FA0D37" w:rsidRDefault="008D68AB" w:rsidP="00FA0D37">
      <w:pPr>
        <w:pStyle w:val="PL"/>
        <w:rPr>
          <w:color w:val="808080"/>
        </w:rPr>
      </w:pPr>
      <w:r w:rsidRPr="00FA0D37">
        <w:t xml:space="preserve">        reportSlotOffsetList-r17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(0..128)  </w:t>
      </w:r>
      <w:r w:rsidRPr="00FA0D37">
        <w:rPr>
          <w:color w:val="993366"/>
        </w:rPr>
        <w:t>OPTIONAL</w:t>
      </w:r>
      <w:r w:rsidRPr="00FA0D37">
        <w:t xml:space="preserve">,   </w:t>
      </w:r>
      <w:r w:rsidRPr="00FA0D37">
        <w:rPr>
          <w:color w:val="808080"/>
        </w:rPr>
        <w:t>-- Need R</w:t>
      </w:r>
    </w:p>
    <w:p w14:paraId="7F3357D6" w14:textId="229B7E6B" w:rsidR="008D68AB" w:rsidRPr="00FA0D37" w:rsidRDefault="008D68AB" w:rsidP="00FA0D37">
      <w:pPr>
        <w:pStyle w:val="PL"/>
        <w:rPr>
          <w:color w:val="808080"/>
        </w:rPr>
      </w:pPr>
      <w:r w:rsidRPr="00FA0D37">
        <w:t xml:space="preserve">        reportSlotOffsetListDCI-0-2-r17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(0..128)  </w:t>
      </w:r>
      <w:r w:rsidRPr="00FA0D37">
        <w:rPr>
          <w:color w:val="993366"/>
        </w:rPr>
        <w:t>OPTIONAL</w:t>
      </w:r>
      <w:r w:rsidRPr="00FA0D37">
        <w:t xml:space="preserve">,   </w:t>
      </w:r>
      <w:r w:rsidRPr="00FA0D37">
        <w:rPr>
          <w:color w:val="808080"/>
        </w:rPr>
        <w:t>-- Need R</w:t>
      </w:r>
    </w:p>
    <w:p w14:paraId="6FBDB3FC" w14:textId="0EF80867" w:rsidR="008D68AB" w:rsidRPr="00FA0D37" w:rsidRDefault="008D68AB" w:rsidP="00FA0D37">
      <w:pPr>
        <w:pStyle w:val="PL"/>
        <w:rPr>
          <w:color w:val="808080"/>
        </w:rPr>
      </w:pPr>
      <w:r w:rsidRPr="00FA0D37">
        <w:t xml:space="preserve">        reportSlotOffsetListDCI-0-1-r17     </w:t>
      </w:r>
      <w:r w:rsidRPr="00FA0D37">
        <w:rPr>
          <w:color w:val="993366"/>
        </w:rPr>
        <w:t>SEQUENCE</w:t>
      </w:r>
      <w:r w:rsidRPr="00FA0D37">
        <w:t xml:space="preserve"> (</w:t>
      </w:r>
      <w:r w:rsidRPr="00FA0D37">
        <w:rPr>
          <w:color w:val="993366"/>
        </w:rPr>
        <w:t>SIZE</w:t>
      </w:r>
      <w:r w:rsidRPr="00FA0D37">
        <w:t xml:space="preserve"> (1.. maxNrofUL-Allocations-r16))</w:t>
      </w:r>
      <w:r w:rsidRPr="00FA0D37">
        <w:rPr>
          <w:color w:val="993366"/>
        </w:rPr>
        <w:t xml:space="preserve"> OF</w:t>
      </w:r>
      <w:r w:rsidRPr="00FA0D37">
        <w:t xml:space="preserve"> </w:t>
      </w:r>
      <w:r w:rsidRPr="00FA0D37">
        <w:rPr>
          <w:color w:val="993366"/>
        </w:rPr>
        <w:t>INTEGER</w:t>
      </w:r>
      <w:r w:rsidRPr="00FA0D37">
        <w:t xml:space="preserve">(0..128)  </w:t>
      </w:r>
      <w:r w:rsidRPr="00FA0D37">
        <w:rPr>
          <w:color w:val="993366"/>
        </w:rPr>
        <w:t>OPTIONAL</w:t>
      </w:r>
      <w:r w:rsidRPr="00FA0D37">
        <w:t xml:space="preserve">    </w:t>
      </w:r>
      <w:r w:rsidRPr="00FA0D37">
        <w:rPr>
          <w:color w:val="808080"/>
        </w:rPr>
        <w:t>-- Need R</w:t>
      </w:r>
    </w:p>
    <w:p w14:paraId="5BAEC581" w14:textId="6E9006B1" w:rsidR="008D68AB" w:rsidRPr="00FA0D37" w:rsidRDefault="008D68AB"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64901F14" w14:textId="7DA3105A" w:rsidR="00184EE0" w:rsidRPr="00FA0D37" w:rsidRDefault="008D68AB" w:rsidP="00FA0D37">
      <w:pPr>
        <w:pStyle w:val="PL"/>
      </w:pPr>
      <w:r w:rsidRPr="00FA0D37">
        <w:t xml:space="preserve">    ]]</w:t>
      </w:r>
      <w:r w:rsidR="00184EE0" w:rsidRPr="00FA0D37">
        <w:t>,</w:t>
      </w:r>
    </w:p>
    <w:p w14:paraId="08053B21" w14:textId="77777777" w:rsidR="00184EE0" w:rsidRPr="00FA0D37" w:rsidRDefault="00184EE0" w:rsidP="00FA0D37">
      <w:pPr>
        <w:pStyle w:val="PL"/>
      </w:pPr>
      <w:r w:rsidRPr="00FA0D37">
        <w:t xml:space="preserve">    [[</w:t>
      </w:r>
    </w:p>
    <w:p w14:paraId="4BBA13F0" w14:textId="77777777" w:rsidR="00184EE0" w:rsidRPr="00FA0D37" w:rsidRDefault="00184EE0" w:rsidP="00FA0D37">
      <w:pPr>
        <w:pStyle w:val="PL"/>
        <w:rPr>
          <w:color w:val="808080"/>
        </w:rPr>
      </w:pPr>
      <w:r w:rsidRPr="00FA0D37">
        <w:t xml:space="preserve">    codebookConfig-v1730                CodebookConfig-v1730                                                    </w:t>
      </w:r>
      <w:r w:rsidRPr="00FA0D37">
        <w:rPr>
          <w:color w:val="993366"/>
        </w:rPr>
        <w:t>OPTIONAL</w:t>
      </w:r>
      <w:r w:rsidRPr="00FA0D37">
        <w:t xml:space="preserve">    </w:t>
      </w:r>
      <w:r w:rsidRPr="00FA0D37">
        <w:rPr>
          <w:color w:val="808080"/>
        </w:rPr>
        <w:t>-- Need R</w:t>
      </w:r>
    </w:p>
    <w:p w14:paraId="7A8F8E9D" w14:textId="3C9BCBCF" w:rsidR="00394471" w:rsidRPr="00FA0D37" w:rsidRDefault="00184EE0" w:rsidP="00FA0D37">
      <w:pPr>
        <w:pStyle w:val="PL"/>
      </w:pPr>
      <w:r w:rsidRPr="00FA0D37">
        <w:t xml:space="preserve">    ]]</w:t>
      </w:r>
    </w:p>
    <w:p w14:paraId="705F051C" w14:textId="77777777" w:rsidR="00394471" w:rsidRPr="00FA0D37" w:rsidRDefault="00394471" w:rsidP="00FA0D37">
      <w:pPr>
        <w:pStyle w:val="PL"/>
      </w:pPr>
      <w:r w:rsidRPr="00FA0D37">
        <w:t>}</w:t>
      </w:r>
    </w:p>
    <w:p w14:paraId="0853E88E" w14:textId="77777777" w:rsidR="00394471" w:rsidRPr="00FA0D37" w:rsidRDefault="00394471" w:rsidP="00FA0D37">
      <w:pPr>
        <w:pStyle w:val="PL"/>
      </w:pPr>
    </w:p>
    <w:p w14:paraId="160D39EC" w14:textId="77777777" w:rsidR="00394471" w:rsidRPr="00FA0D37" w:rsidRDefault="00394471" w:rsidP="00FA0D37">
      <w:pPr>
        <w:pStyle w:val="PL"/>
      </w:pPr>
      <w:r w:rsidRPr="00FA0D37">
        <w:t xml:space="preserve">CSI-ReportPeriodicityAndOffset ::=  </w:t>
      </w:r>
      <w:r w:rsidRPr="00FA0D37">
        <w:rPr>
          <w:color w:val="993366"/>
        </w:rPr>
        <w:t>CHOICE</w:t>
      </w:r>
      <w:r w:rsidRPr="00FA0D37">
        <w:t xml:space="preserve"> {</w:t>
      </w:r>
    </w:p>
    <w:p w14:paraId="1473DE44" w14:textId="77777777" w:rsidR="00394471" w:rsidRPr="00FA0D37" w:rsidRDefault="00394471" w:rsidP="00FA0D37">
      <w:pPr>
        <w:pStyle w:val="PL"/>
      </w:pPr>
      <w:r w:rsidRPr="00FA0D37">
        <w:t xml:space="preserve">    slots4                              </w:t>
      </w:r>
      <w:r w:rsidRPr="00FA0D37">
        <w:rPr>
          <w:color w:val="993366"/>
        </w:rPr>
        <w:t>INTEGER</w:t>
      </w:r>
      <w:r w:rsidRPr="00FA0D37">
        <w:t>(0..3),</w:t>
      </w:r>
    </w:p>
    <w:p w14:paraId="3C228DC7" w14:textId="77777777" w:rsidR="00394471" w:rsidRPr="00FA0D37" w:rsidRDefault="00394471" w:rsidP="00FA0D37">
      <w:pPr>
        <w:pStyle w:val="PL"/>
      </w:pPr>
      <w:r w:rsidRPr="00FA0D37">
        <w:t xml:space="preserve">    slots5                              </w:t>
      </w:r>
      <w:r w:rsidRPr="00FA0D37">
        <w:rPr>
          <w:color w:val="993366"/>
        </w:rPr>
        <w:t>INTEGER</w:t>
      </w:r>
      <w:r w:rsidRPr="00FA0D37">
        <w:t>(0..4),</w:t>
      </w:r>
    </w:p>
    <w:p w14:paraId="14A5D22E" w14:textId="77777777" w:rsidR="00394471" w:rsidRPr="00FA0D37" w:rsidRDefault="00394471" w:rsidP="00FA0D37">
      <w:pPr>
        <w:pStyle w:val="PL"/>
      </w:pPr>
      <w:r w:rsidRPr="00FA0D37">
        <w:t xml:space="preserve">    slots8                              </w:t>
      </w:r>
      <w:r w:rsidRPr="00FA0D37">
        <w:rPr>
          <w:color w:val="993366"/>
        </w:rPr>
        <w:t>INTEGER</w:t>
      </w:r>
      <w:r w:rsidRPr="00FA0D37">
        <w:t>(0..7),</w:t>
      </w:r>
    </w:p>
    <w:p w14:paraId="387CDBBE" w14:textId="77777777" w:rsidR="00394471" w:rsidRPr="00FA0D37" w:rsidRDefault="00394471" w:rsidP="00FA0D37">
      <w:pPr>
        <w:pStyle w:val="PL"/>
      </w:pPr>
      <w:r w:rsidRPr="00FA0D37">
        <w:t xml:space="preserve">    slots10                             </w:t>
      </w:r>
      <w:r w:rsidRPr="00FA0D37">
        <w:rPr>
          <w:color w:val="993366"/>
        </w:rPr>
        <w:t>INTEGER</w:t>
      </w:r>
      <w:r w:rsidRPr="00FA0D37">
        <w:t>(0..9),</w:t>
      </w:r>
    </w:p>
    <w:p w14:paraId="2906E83C" w14:textId="77777777" w:rsidR="00394471" w:rsidRPr="00FA0D37" w:rsidRDefault="00394471" w:rsidP="00FA0D37">
      <w:pPr>
        <w:pStyle w:val="PL"/>
      </w:pPr>
      <w:r w:rsidRPr="00FA0D37">
        <w:t xml:space="preserve">    slots16                             </w:t>
      </w:r>
      <w:r w:rsidRPr="00FA0D37">
        <w:rPr>
          <w:color w:val="993366"/>
        </w:rPr>
        <w:t>INTEGER</w:t>
      </w:r>
      <w:r w:rsidRPr="00FA0D37">
        <w:t>(0..15),</w:t>
      </w:r>
    </w:p>
    <w:p w14:paraId="090801F8" w14:textId="77777777" w:rsidR="00394471" w:rsidRPr="00FA0D37" w:rsidRDefault="00394471" w:rsidP="00FA0D37">
      <w:pPr>
        <w:pStyle w:val="PL"/>
      </w:pPr>
      <w:r w:rsidRPr="00FA0D37">
        <w:t xml:space="preserve">    slots20                             </w:t>
      </w:r>
      <w:r w:rsidRPr="00FA0D37">
        <w:rPr>
          <w:color w:val="993366"/>
        </w:rPr>
        <w:t>INTEGER</w:t>
      </w:r>
      <w:r w:rsidRPr="00FA0D37">
        <w:t>(0..19),</w:t>
      </w:r>
    </w:p>
    <w:p w14:paraId="1340351A" w14:textId="77777777" w:rsidR="00394471" w:rsidRPr="00FA0D37" w:rsidRDefault="00394471" w:rsidP="00FA0D37">
      <w:pPr>
        <w:pStyle w:val="PL"/>
      </w:pPr>
      <w:r w:rsidRPr="00FA0D37">
        <w:t xml:space="preserve">    slots40                             </w:t>
      </w:r>
      <w:r w:rsidRPr="00FA0D37">
        <w:rPr>
          <w:color w:val="993366"/>
        </w:rPr>
        <w:t>INTEGER</w:t>
      </w:r>
      <w:r w:rsidRPr="00FA0D37">
        <w:t>(0..39),</w:t>
      </w:r>
    </w:p>
    <w:p w14:paraId="2141EE27" w14:textId="77777777" w:rsidR="00394471" w:rsidRPr="00FA0D37" w:rsidRDefault="00394471" w:rsidP="00FA0D37">
      <w:pPr>
        <w:pStyle w:val="PL"/>
      </w:pPr>
      <w:r w:rsidRPr="00FA0D37">
        <w:t xml:space="preserve">    slots80                             </w:t>
      </w:r>
      <w:r w:rsidRPr="00FA0D37">
        <w:rPr>
          <w:color w:val="993366"/>
        </w:rPr>
        <w:t>INTEGER</w:t>
      </w:r>
      <w:r w:rsidRPr="00FA0D37">
        <w:t>(0..79),</w:t>
      </w:r>
    </w:p>
    <w:p w14:paraId="795A217C" w14:textId="77777777" w:rsidR="00394471" w:rsidRPr="00FA0D37" w:rsidRDefault="00394471" w:rsidP="00FA0D37">
      <w:pPr>
        <w:pStyle w:val="PL"/>
      </w:pPr>
      <w:r w:rsidRPr="00FA0D37">
        <w:t xml:space="preserve">    slots160                            </w:t>
      </w:r>
      <w:r w:rsidRPr="00FA0D37">
        <w:rPr>
          <w:color w:val="993366"/>
        </w:rPr>
        <w:t>INTEGER</w:t>
      </w:r>
      <w:r w:rsidRPr="00FA0D37">
        <w:t>(0..159),</w:t>
      </w:r>
    </w:p>
    <w:p w14:paraId="11C391A7" w14:textId="77777777" w:rsidR="00394471" w:rsidRPr="00FA0D37" w:rsidRDefault="00394471" w:rsidP="00FA0D37">
      <w:pPr>
        <w:pStyle w:val="PL"/>
      </w:pPr>
      <w:r w:rsidRPr="00FA0D37">
        <w:t xml:space="preserve">    slots320                            </w:t>
      </w:r>
      <w:r w:rsidRPr="00FA0D37">
        <w:rPr>
          <w:color w:val="993366"/>
        </w:rPr>
        <w:t>INTEGER</w:t>
      </w:r>
      <w:r w:rsidRPr="00FA0D37">
        <w:t>(0..319)</w:t>
      </w:r>
    </w:p>
    <w:p w14:paraId="16B77409" w14:textId="77777777" w:rsidR="00394471" w:rsidRPr="00FA0D37" w:rsidRDefault="00394471" w:rsidP="00FA0D37">
      <w:pPr>
        <w:pStyle w:val="PL"/>
      </w:pPr>
      <w:r w:rsidRPr="00FA0D37">
        <w:t>}</w:t>
      </w:r>
    </w:p>
    <w:p w14:paraId="16EB31DF" w14:textId="77777777" w:rsidR="00394471" w:rsidRPr="00FA0D37" w:rsidRDefault="00394471" w:rsidP="00FA0D37">
      <w:pPr>
        <w:pStyle w:val="PL"/>
      </w:pPr>
    </w:p>
    <w:p w14:paraId="57E4FF1E" w14:textId="77777777" w:rsidR="00394471" w:rsidRPr="00FA0D37" w:rsidRDefault="00394471" w:rsidP="00FA0D37">
      <w:pPr>
        <w:pStyle w:val="PL"/>
      </w:pPr>
      <w:r w:rsidRPr="00FA0D37">
        <w:t xml:space="preserve">PUCCH-CSI-Resource ::=              </w:t>
      </w:r>
      <w:r w:rsidRPr="00FA0D37">
        <w:rPr>
          <w:color w:val="993366"/>
        </w:rPr>
        <w:t>SEQUENCE</w:t>
      </w:r>
      <w:r w:rsidRPr="00FA0D37">
        <w:t xml:space="preserve"> {</w:t>
      </w:r>
    </w:p>
    <w:p w14:paraId="071C0A34" w14:textId="77777777" w:rsidR="00394471" w:rsidRPr="00FA0D37" w:rsidRDefault="00394471" w:rsidP="00FA0D37">
      <w:pPr>
        <w:pStyle w:val="PL"/>
      </w:pPr>
      <w:r w:rsidRPr="00FA0D37">
        <w:t xml:space="preserve">    uplinkBandwidthPartId               BWP-Id,</w:t>
      </w:r>
    </w:p>
    <w:p w14:paraId="59C01A5F" w14:textId="77777777" w:rsidR="00394471" w:rsidRPr="00FA0D37" w:rsidRDefault="00394471" w:rsidP="00FA0D37">
      <w:pPr>
        <w:pStyle w:val="PL"/>
      </w:pPr>
      <w:r w:rsidRPr="00FA0D37">
        <w:t xml:space="preserve">    pucch-Resource                      PUCCH-ResourceId</w:t>
      </w:r>
    </w:p>
    <w:p w14:paraId="39C0922B" w14:textId="77777777" w:rsidR="00394471" w:rsidRPr="00FA0D37" w:rsidRDefault="00394471" w:rsidP="00FA0D37">
      <w:pPr>
        <w:pStyle w:val="PL"/>
      </w:pPr>
      <w:r w:rsidRPr="00FA0D37">
        <w:t>}</w:t>
      </w:r>
    </w:p>
    <w:p w14:paraId="2BB4456D" w14:textId="77777777" w:rsidR="00394471" w:rsidRPr="00FA0D37" w:rsidRDefault="00394471" w:rsidP="00FA0D37">
      <w:pPr>
        <w:pStyle w:val="PL"/>
      </w:pPr>
    </w:p>
    <w:p w14:paraId="3DD83D37" w14:textId="77777777" w:rsidR="00394471" w:rsidRPr="00FA0D37" w:rsidRDefault="00394471" w:rsidP="00FA0D37">
      <w:pPr>
        <w:pStyle w:val="PL"/>
      </w:pPr>
      <w:r w:rsidRPr="00FA0D37">
        <w:t xml:space="preserve">PortIndexFor8Ranks ::=              </w:t>
      </w:r>
      <w:r w:rsidRPr="00FA0D37">
        <w:rPr>
          <w:color w:val="993366"/>
        </w:rPr>
        <w:t>CHOICE</w:t>
      </w:r>
      <w:r w:rsidRPr="00FA0D37">
        <w:t xml:space="preserve"> {</w:t>
      </w:r>
    </w:p>
    <w:p w14:paraId="2BB13FEC" w14:textId="77777777" w:rsidR="00394471" w:rsidRPr="00FA0D37" w:rsidRDefault="00394471" w:rsidP="00FA0D37">
      <w:pPr>
        <w:pStyle w:val="PL"/>
      </w:pPr>
      <w:r w:rsidRPr="00FA0D37">
        <w:t xml:space="preserve">    portIndex8                          </w:t>
      </w:r>
      <w:r w:rsidRPr="00FA0D37">
        <w:rPr>
          <w:color w:val="993366"/>
        </w:rPr>
        <w:t>SEQUENCE</w:t>
      </w:r>
      <w:r w:rsidRPr="00FA0D37">
        <w:t>{</w:t>
      </w:r>
    </w:p>
    <w:p w14:paraId="49EE0B83" w14:textId="77777777" w:rsidR="00394471" w:rsidRPr="00FA0D37" w:rsidRDefault="00394471" w:rsidP="00FA0D37">
      <w:pPr>
        <w:pStyle w:val="PL"/>
        <w:rPr>
          <w:color w:val="808080"/>
        </w:rPr>
      </w:pPr>
      <w:r w:rsidRPr="00FA0D37">
        <w:t xml:space="preserve">        rank1-8                             PortIndex8                                                      </w:t>
      </w:r>
      <w:r w:rsidRPr="00FA0D37">
        <w:rPr>
          <w:color w:val="993366"/>
        </w:rPr>
        <w:t>OPTIONAL</w:t>
      </w:r>
      <w:r w:rsidRPr="00FA0D37">
        <w:t xml:space="preserve">,   </w:t>
      </w:r>
      <w:r w:rsidRPr="00FA0D37">
        <w:rPr>
          <w:color w:val="808080"/>
        </w:rPr>
        <w:t>-- Need R</w:t>
      </w:r>
    </w:p>
    <w:p w14:paraId="4C3C8511" w14:textId="77777777" w:rsidR="00394471" w:rsidRPr="00FA0D37" w:rsidRDefault="00394471" w:rsidP="00FA0D37">
      <w:pPr>
        <w:pStyle w:val="PL"/>
        <w:rPr>
          <w:color w:val="808080"/>
        </w:rPr>
      </w:pPr>
      <w:r w:rsidRPr="00FA0D37">
        <w:t xml:space="preserve">        rank2-8                             </w:t>
      </w:r>
      <w:r w:rsidRPr="00FA0D37">
        <w:rPr>
          <w:color w:val="993366"/>
        </w:rPr>
        <w:t>SEQUENCE</w:t>
      </w:r>
      <w:r w:rsidRPr="00FA0D37">
        <w:t>(</w:t>
      </w:r>
      <w:r w:rsidRPr="00FA0D37">
        <w:rPr>
          <w:color w:val="993366"/>
        </w:rPr>
        <w:t>SIZE</w:t>
      </w:r>
      <w:r w:rsidRPr="00FA0D37">
        <w:t>(2))</w:t>
      </w:r>
      <w:r w:rsidRPr="00FA0D37">
        <w:rPr>
          <w:color w:val="993366"/>
        </w:rPr>
        <w:t xml:space="preserve"> OF</w:t>
      </w:r>
      <w:r w:rsidRPr="00FA0D37">
        <w:t xml:space="preserve"> PortIndex8                                 </w:t>
      </w:r>
      <w:r w:rsidRPr="00FA0D37">
        <w:rPr>
          <w:color w:val="993366"/>
        </w:rPr>
        <w:t>OPTIONAL</w:t>
      </w:r>
      <w:r w:rsidRPr="00FA0D37">
        <w:t xml:space="preserve">,   </w:t>
      </w:r>
      <w:r w:rsidRPr="00FA0D37">
        <w:rPr>
          <w:color w:val="808080"/>
        </w:rPr>
        <w:t>-- Need R</w:t>
      </w:r>
    </w:p>
    <w:p w14:paraId="48C9CD45" w14:textId="77777777" w:rsidR="00394471" w:rsidRPr="00FA0D37" w:rsidRDefault="00394471" w:rsidP="00FA0D37">
      <w:pPr>
        <w:pStyle w:val="PL"/>
        <w:rPr>
          <w:color w:val="808080"/>
        </w:rPr>
      </w:pPr>
      <w:r w:rsidRPr="00FA0D37">
        <w:t xml:space="preserve">        rank3-8                             </w:t>
      </w:r>
      <w:r w:rsidRPr="00FA0D37">
        <w:rPr>
          <w:color w:val="993366"/>
        </w:rPr>
        <w:t>SEQUENCE</w:t>
      </w:r>
      <w:r w:rsidRPr="00FA0D37">
        <w:t>(</w:t>
      </w:r>
      <w:r w:rsidRPr="00FA0D37">
        <w:rPr>
          <w:color w:val="993366"/>
        </w:rPr>
        <w:t>SIZE</w:t>
      </w:r>
      <w:r w:rsidRPr="00FA0D37">
        <w:t>(3))</w:t>
      </w:r>
      <w:r w:rsidRPr="00FA0D37">
        <w:rPr>
          <w:color w:val="993366"/>
        </w:rPr>
        <w:t xml:space="preserve"> OF</w:t>
      </w:r>
      <w:r w:rsidRPr="00FA0D37">
        <w:t xml:space="preserve"> PortIndex8                                 </w:t>
      </w:r>
      <w:r w:rsidRPr="00FA0D37">
        <w:rPr>
          <w:color w:val="993366"/>
        </w:rPr>
        <w:t>OPTIONAL</w:t>
      </w:r>
      <w:r w:rsidRPr="00FA0D37">
        <w:t xml:space="preserve">,   </w:t>
      </w:r>
      <w:r w:rsidRPr="00FA0D37">
        <w:rPr>
          <w:color w:val="808080"/>
        </w:rPr>
        <w:t>-- Need R</w:t>
      </w:r>
    </w:p>
    <w:p w14:paraId="00D49FB8" w14:textId="77777777" w:rsidR="00394471" w:rsidRPr="00FA0D37" w:rsidRDefault="00394471" w:rsidP="00FA0D37">
      <w:pPr>
        <w:pStyle w:val="PL"/>
        <w:rPr>
          <w:color w:val="808080"/>
        </w:rPr>
      </w:pPr>
      <w:r w:rsidRPr="00FA0D37">
        <w:t xml:space="preserve">        rank4-8                             </w:t>
      </w:r>
      <w:r w:rsidRPr="00FA0D37">
        <w:rPr>
          <w:color w:val="993366"/>
        </w:rPr>
        <w:t>SEQUENCE</w:t>
      </w:r>
      <w:r w:rsidRPr="00FA0D37">
        <w:t>(</w:t>
      </w:r>
      <w:r w:rsidRPr="00FA0D37">
        <w:rPr>
          <w:color w:val="993366"/>
        </w:rPr>
        <w:t>SIZE</w:t>
      </w:r>
      <w:r w:rsidRPr="00FA0D37">
        <w:t>(4))</w:t>
      </w:r>
      <w:r w:rsidRPr="00FA0D37">
        <w:rPr>
          <w:color w:val="993366"/>
        </w:rPr>
        <w:t xml:space="preserve"> OF</w:t>
      </w:r>
      <w:r w:rsidRPr="00FA0D37">
        <w:t xml:space="preserve"> PortIndex8                                 </w:t>
      </w:r>
      <w:r w:rsidRPr="00FA0D37">
        <w:rPr>
          <w:color w:val="993366"/>
        </w:rPr>
        <w:t>OPTIONAL</w:t>
      </w:r>
      <w:r w:rsidRPr="00FA0D37">
        <w:t xml:space="preserve">,   </w:t>
      </w:r>
      <w:r w:rsidRPr="00FA0D37">
        <w:rPr>
          <w:color w:val="808080"/>
        </w:rPr>
        <w:t>-- Need R</w:t>
      </w:r>
    </w:p>
    <w:p w14:paraId="78000C8A" w14:textId="77777777" w:rsidR="00394471" w:rsidRPr="00FA0D37" w:rsidRDefault="00394471" w:rsidP="00FA0D37">
      <w:pPr>
        <w:pStyle w:val="PL"/>
        <w:rPr>
          <w:color w:val="808080"/>
        </w:rPr>
      </w:pPr>
      <w:r w:rsidRPr="00FA0D37">
        <w:lastRenderedPageBreak/>
        <w:t xml:space="preserve">        rank5-8                             </w:t>
      </w:r>
      <w:r w:rsidRPr="00FA0D37">
        <w:rPr>
          <w:color w:val="993366"/>
        </w:rPr>
        <w:t>SEQUENCE</w:t>
      </w:r>
      <w:r w:rsidRPr="00FA0D37">
        <w:t>(</w:t>
      </w:r>
      <w:r w:rsidRPr="00FA0D37">
        <w:rPr>
          <w:color w:val="993366"/>
        </w:rPr>
        <w:t>SIZE</w:t>
      </w:r>
      <w:r w:rsidRPr="00FA0D37">
        <w:t>(5))</w:t>
      </w:r>
      <w:r w:rsidRPr="00FA0D37">
        <w:rPr>
          <w:color w:val="993366"/>
        </w:rPr>
        <w:t xml:space="preserve"> OF</w:t>
      </w:r>
      <w:r w:rsidRPr="00FA0D37">
        <w:t xml:space="preserve"> PortIndex8                                 </w:t>
      </w:r>
      <w:r w:rsidRPr="00FA0D37">
        <w:rPr>
          <w:color w:val="993366"/>
        </w:rPr>
        <w:t>OPTIONAL</w:t>
      </w:r>
      <w:r w:rsidRPr="00FA0D37">
        <w:t xml:space="preserve">,   </w:t>
      </w:r>
      <w:r w:rsidRPr="00FA0D37">
        <w:rPr>
          <w:color w:val="808080"/>
        </w:rPr>
        <w:t>-- Need R</w:t>
      </w:r>
    </w:p>
    <w:p w14:paraId="34EDFAE7" w14:textId="77777777" w:rsidR="00394471" w:rsidRPr="00FA0D37" w:rsidRDefault="00394471" w:rsidP="00FA0D37">
      <w:pPr>
        <w:pStyle w:val="PL"/>
        <w:rPr>
          <w:color w:val="808080"/>
        </w:rPr>
      </w:pPr>
      <w:r w:rsidRPr="00FA0D37">
        <w:t xml:space="preserve">        rank6-8                             </w:t>
      </w:r>
      <w:r w:rsidRPr="00FA0D37">
        <w:rPr>
          <w:color w:val="993366"/>
        </w:rPr>
        <w:t>SEQUENCE</w:t>
      </w:r>
      <w:r w:rsidRPr="00FA0D37">
        <w:t>(</w:t>
      </w:r>
      <w:r w:rsidRPr="00FA0D37">
        <w:rPr>
          <w:color w:val="993366"/>
        </w:rPr>
        <w:t>SIZE</w:t>
      </w:r>
      <w:r w:rsidRPr="00FA0D37">
        <w:t>(6))</w:t>
      </w:r>
      <w:r w:rsidRPr="00FA0D37">
        <w:rPr>
          <w:color w:val="993366"/>
        </w:rPr>
        <w:t xml:space="preserve"> OF</w:t>
      </w:r>
      <w:r w:rsidRPr="00FA0D37">
        <w:t xml:space="preserve"> PortIndex8                                 </w:t>
      </w:r>
      <w:r w:rsidRPr="00FA0D37">
        <w:rPr>
          <w:color w:val="993366"/>
        </w:rPr>
        <w:t>OPTIONAL</w:t>
      </w:r>
      <w:r w:rsidRPr="00FA0D37">
        <w:t xml:space="preserve">,   </w:t>
      </w:r>
      <w:r w:rsidRPr="00FA0D37">
        <w:rPr>
          <w:color w:val="808080"/>
        </w:rPr>
        <w:t>-- Need R</w:t>
      </w:r>
    </w:p>
    <w:p w14:paraId="28BF3D2C" w14:textId="77777777" w:rsidR="00394471" w:rsidRPr="00FA0D37" w:rsidRDefault="00394471" w:rsidP="00FA0D37">
      <w:pPr>
        <w:pStyle w:val="PL"/>
        <w:rPr>
          <w:color w:val="808080"/>
        </w:rPr>
      </w:pPr>
      <w:r w:rsidRPr="00FA0D37">
        <w:t xml:space="preserve">        rank7-8                             </w:t>
      </w:r>
      <w:r w:rsidRPr="00FA0D37">
        <w:rPr>
          <w:color w:val="993366"/>
        </w:rPr>
        <w:t>SEQUENCE</w:t>
      </w:r>
      <w:r w:rsidRPr="00FA0D37">
        <w:t>(</w:t>
      </w:r>
      <w:r w:rsidRPr="00FA0D37">
        <w:rPr>
          <w:color w:val="993366"/>
        </w:rPr>
        <w:t>SIZE</w:t>
      </w:r>
      <w:r w:rsidRPr="00FA0D37">
        <w:t>(7))</w:t>
      </w:r>
      <w:r w:rsidRPr="00FA0D37">
        <w:rPr>
          <w:color w:val="993366"/>
        </w:rPr>
        <w:t xml:space="preserve"> OF</w:t>
      </w:r>
      <w:r w:rsidRPr="00FA0D37">
        <w:t xml:space="preserve"> PortIndex8                                 </w:t>
      </w:r>
      <w:r w:rsidRPr="00FA0D37">
        <w:rPr>
          <w:color w:val="993366"/>
        </w:rPr>
        <w:t>OPTIONAL</w:t>
      </w:r>
      <w:r w:rsidRPr="00FA0D37">
        <w:t xml:space="preserve">,   </w:t>
      </w:r>
      <w:r w:rsidRPr="00FA0D37">
        <w:rPr>
          <w:color w:val="808080"/>
        </w:rPr>
        <w:t>-- Need R</w:t>
      </w:r>
    </w:p>
    <w:p w14:paraId="4B9A7EE0" w14:textId="77777777" w:rsidR="00394471" w:rsidRPr="00FA0D37" w:rsidRDefault="00394471" w:rsidP="00FA0D37">
      <w:pPr>
        <w:pStyle w:val="PL"/>
        <w:rPr>
          <w:color w:val="808080"/>
        </w:rPr>
      </w:pPr>
      <w:r w:rsidRPr="00FA0D37">
        <w:t xml:space="preserve">        rank8-8                             </w:t>
      </w:r>
      <w:r w:rsidRPr="00FA0D37">
        <w:rPr>
          <w:color w:val="993366"/>
        </w:rPr>
        <w:t>SEQUENCE</w:t>
      </w:r>
      <w:r w:rsidRPr="00FA0D37">
        <w:t>(</w:t>
      </w:r>
      <w:r w:rsidRPr="00FA0D37">
        <w:rPr>
          <w:color w:val="993366"/>
        </w:rPr>
        <w:t>SIZE</w:t>
      </w:r>
      <w:r w:rsidRPr="00FA0D37">
        <w:t>(8))</w:t>
      </w:r>
      <w:r w:rsidRPr="00FA0D37">
        <w:rPr>
          <w:color w:val="993366"/>
        </w:rPr>
        <w:t xml:space="preserve"> OF</w:t>
      </w:r>
      <w:r w:rsidRPr="00FA0D37">
        <w:t xml:space="preserve"> PortIndex8                                 </w:t>
      </w:r>
      <w:r w:rsidRPr="00FA0D37">
        <w:rPr>
          <w:color w:val="993366"/>
        </w:rPr>
        <w:t>OPTIONAL</w:t>
      </w:r>
      <w:r w:rsidRPr="00FA0D37">
        <w:t xml:space="preserve">    </w:t>
      </w:r>
      <w:r w:rsidRPr="00FA0D37">
        <w:rPr>
          <w:color w:val="808080"/>
        </w:rPr>
        <w:t>-- Need R</w:t>
      </w:r>
    </w:p>
    <w:p w14:paraId="01023291" w14:textId="77777777" w:rsidR="00394471" w:rsidRPr="00FA0D37" w:rsidRDefault="00394471" w:rsidP="00FA0D37">
      <w:pPr>
        <w:pStyle w:val="PL"/>
      </w:pPr>
      <w:r w:rsidRPr="00FA0D37">
        <w:t xml:space="preserve">    },</w:t>
      </w:r>
    </w:p>
    <w:p w14:paraId="4C5A9A53" w14:textId="77777777" w:rsidR="00394471" w:rsidRPr="00FA0D37" w:rsidRDefault="00394471" w:rsidP="00FA0D37">
      <w:pPr>
        <w:pStyle w:val="PL"/>
      </w:pPr>
      <w:r w:rsidRPr="00FA0D37">
        <w:t xml:space="preserve">    portIndex4                          </w:t>
      </w:r>
      <w:r w:rsidRPr="00FA0D37">
        <w:rPr>
          <w:color w:val="993366"/>
        </w:rPr>
        <w:t>SEQUENCE</w:t>
      </w:r>
      <w:r w:rsidRPr="00FA0D37">
        <w:t>{</w:t>
      </w:r>
    </w:p>
    <w:p w14:paraId="4ADF3E17" w14:textId="77777777" w:rsidR="00394471" w:rsidRPr="00FA0D37" w:rsidRDefault="00394471" w:rsidP="00FA0D37">
      <w:pPr>
        <w:pStyle w:val="PL"/>
        <w:rPr>
          <w:color w:val="808080"/>
        </w:rPr>
      </w:pPr>
      <w:r w:rsidRPr="00FA0D37">
        <w:t xml:space="preserve">        rank1-4                             PortIndex4                                                      </w:t>
      </w:r>
      <w:r w:rsidRPr="00FA0D37">
        <w:rPr>
          <w:color w:val="993366"/>
        </w:rPr>
        <w:t>OPTIONAL</w:t>
      </w:r>
      <w:r w:rsidRPr="00FA0D37">
        <w:t xml:space="preserve">,   </w:t>
      </w:r>
      <w:r w:rsidRPr="00FA0D37">
        <w:rPr>
          <w:color w:val="808080"/>
        </w:rPr>
        <w:t>-- Need R</w:t>
      </w:r>
    </w:p>
    <w:p w14:paraId="715DD8C9" w14:textId="77777777" w:rsidR="00394471" w:rsidRPr="00FA0D37" w:rsidRDefault="00394471" w:rsidP="00FA0D37">
      <w:pPr>
        <w:pStyle w:val="PL"/>
        <w:rPr>
          <w:color w:val="808080"/>
        </w:rPr>
      </w:pPr>
      <w:r w:rsidRPr="00FA0D37">
        <w:t xml:space="preserve">        rank2-4                             </w:t>
      </w:r>
      <w:r w:rsidRPr="00FA0D37">
        <w:rPr>
          <w:color w:val="993366"/>
        </w:rPr>
        <w:t>SEQUENCE</w:t>
      </w:r>
      <w:r w:rsidRPr="00FA0D37">
        <w:t>(</w:t>
      </w:r>
      <w:r w:rsidRPr="00FA0D37">
        <w:rPr>
          <w:color w:val="993366"/>
        </w:rPr>
        <w:t>SIZE</w:t>
      </w:r>
      <w:r w:rsidRPr="00FA0D37">
        <w:t>(2))</w:t>
      </w:r>
      <w:r w:rsidRPr="00FA0D37">
        <w:rPr>
          <w:color w:val="993366"/>
        </w:rPr>
        <w:t xml:space="preserve"> OF</w:t>
      </w:r>
      <w:r w:rsidRPr="00FA0D37">
        <w:t xml:space="preserve"> PortIndex4                                 </w:t>
      </w:r>
      <w:r w:rsidRPr="00FA0D37">
        <w:rPr>
          <w:color w:val="993366"/>
        </w:rPr>
        <w:t>OPTIONAL</w:t>
      </w:r>
      <w:r w:rsidRPr="00FA0D37">
        <w:t xml:space="preserve">,   </w:t>
      </w:r>
      <w:r w:rsidRPr="00FA0D37">
        <w:rPr>
          <w:color w:val="808080"/>
        </w:rPr>
        <w:t>-- Need R</w:t>
      </w:r>
    </w:p>
    <w:p w14:paraId="38528E75" w14:textId="77777777" w:rsidR="00394471" w:rsidRPr="00FA0D37" w:rsidRDefault="00394471" w:rsidP="00FA0D37">
      <w:pPr>
        <w:pStyle w:val="PL"/>
        <w:rPr>
          <w:color w:val="808080"/>
        </w:rPr>
      </w:pPr>
      <w:r w:rsidRPr="00FA0D37">
        <w:t xml:space="preserve">        rank3-4                             </w:t>
      </w:r>
      <w:r w:rsidRPr="00FA0D37">
        <w:rPr>
          <w:color w:val="993366"/>
        </w:rPr>
        <w:t>SEQUENCE</w:t>
      </w:r>
      <w:r w:rsidRPr="00FA0D37">
        <w:t>(</w:t>
      </w:r>
      <w:r w:rsidRPr="00FA0D37">
        <w:rPr>
          <w:color w:val="993366"/>
        </w:rPr>
        <w:t>SIZE</w:t>
      </w:r>
      <w:r w:rsidRPr="00FA0D37">
        <w:t>(3))</w:t>
      </w:r>
      <w:r w:rsidRPr="00FA0D37">
        <w:rPr>
          <w:color w:val="993366"/>
        </w:rPr>
        <w:t xml:space="preserve"> OF</w:t>
      </w:r>
      <w:r w:rsidRPr="00FA0D37">
        <w:t xml:space="preserve"> PortIndex4                                 </w:t>
      </w:r>
      <w:r w:rsidRPr="00FA0D37">
        <w:rPr>
          <w:color w:val="993366"/>
        </w:rPr>
        <w:t>OPTIONAL</w:t>
      </w:r>
      <w:r w:rsidRPr="00FA0D37">
        <w:t xml:space="preserve">,   </w:t>
      </w:r>
      <w:r w:rsidRPr="00FA0D37">
        <w:rPr>
          <w:color w:val="808080"/>
        </w:rPr>
        <w:t>-- Need R</w:t>
      </w:r>
    </w:p>
    <w:p w14:paraId="522FE6A9" w14:textId="77777777" w:rsidR="00394471" w:rsidRPr="00FA0D37" w:rsidRDefault="00394471" w:rsidP="00FA0D37">
      <w:pPr>
        <w:pStyle w:val="PL"/>
        <w:rPr>
          <w:color w:val="808080"/>
        </w:rPr>
      </w:pPr>
      <w:r w:rsidRPr="00FA0D37">
        <w:t xml:space="preserve">        rank4-4                             </w:t>
      </w:r>
      <w:r w:rsidRPr="00FA0D37">
        <w:rPr>
          <w:color w:val="993366"/>
        </w:rPr>
        <w:t>SEQUENCE</w:t>
      </w:r>
      <w:r w:rsidRPr="00FA0D37">
        <w:t>(</w:t>
      </w:r>
      <w:r w:rsidRPr="00FA0D37">
        <w:rPr>
          <w:color w:val="993366"/>
        </w:rPr>
        <w:t>SIZE</w:t>
      </w:r>
      <w:r w:rsidRPr="00FA0D37">
        <w:t>(4))</w:t>
      </w:r>
      <w:r w:rsidRPr="00FA0D37">
        <w:rPr>
          <w:color w:val="993366"/>
        </w:rPr>
        <w:t xml:space="preserve"> OF</w:t>
      </w:r>
      <w:r w:rsidRPr="00FA0D37">
        <w:t xml:space="preserve"> PortIndex4                                 </w:t>
      </w:r>
      <w:r w:rsidRPr="00FA0D37">
        <w:rPr>
          <w:color w:val="993366"/>
        </w:rPr>
        <w:t>OPTIONAL</w:t>
      </w:r>
      <w:r w:rsidRPr="00FA0D37">
        <w:t xml:space="preserve">    </w:t>
      </w:r>
      <w:r w:rsidRPr="00FA0D37">
        <w:rPr>
          <w:color w:val="808080"/>
        </w:rPr>
        <w:t>-- Need R</w:t>
      </w:r>
    </w:p>
    <w:p w14:paraId="12B0B82A" w14:textId="77777777" w:rsidR="00394471" w:rsidRPr="00FA0D37" w:rsidRDefault="00394471" w:rsidP="00FA0D37">
      <w:pPr>
        <w:pStyle w:val="PL"/>
      </w:pPr>
      <w:r w:rsidRPr="00FA0D37">
        <w:t xml:space="preserve">    },</w:t>
      </w:r>
    </w:p>
    <w:p w14:paraId="2095E3C6" w14:textId="77777777" w:rsidR="00394471" w:rsidRPr="00FA0D37" w:rsidRDefault="00394471" w:rsidP="00FA0D37">
      <w:pPr>
        <w:pStyle w:val="PL"/>
      </w:pPr>
      <w:r w:rsidRPr="00FA0D37">
        <w:t xml:space="preserve">    portIndex2                          </w:t>
      </w:r>
      <w:r w:rsidRPr="00FA0D37">
        <w:rPr>
          <w:color w:val="993366"/>
        </w:rPr>
        <w:t>SEQUENCE</w:t>
      </w:r>
      <w:r w:rsidRPr="00FA0D37">
        <w:t>{</w:t>
      </w:r>
    </w:p>
    <w:p w14:paraId="314FE578" w14:textId="77777777" w:rsidR="00394471" w:rsidRPr="00FA0D37" w:rsidRDefault="00394471" w:rsidP="00FA0D37">
      <w:pPr>
        <w:pStyle w:val="PL"/>
        <w:rPr>
          <w:color w:val="808080"/>
        </w:rPr>
      </w:pPr>
      <w:r w:rsidRPr="00FA0D37">
        <w:t xml:space="preserve">        rank1-2                             PortIndex2                                                      </w:t>
      </w:r>
      <w:r w:rsidRPr="00FA0D37">
        <w:rPr>
          <w:color w:val="993366"/>
        </w:rPr>
        <w:t>OPTIONAL</w:t>
      </w:r>
      <w:r w:rsidRPr="00FA0D37">
        <w:t xml:space="preserve">,   </w:t>
      </w:r>
      <w:r w:rsidRPr="00FA0D37">
        <w:rPr>
          <w:color w:val="808080"/>
        </w:rPr>
        <w:t>-- Need R</w:t>
      </w:r>
    </w:p>
    <w:p w14:paraId="6122EB75" w14:textId="77777777" w:rsidR="00394471" w:rsidRPr="00FA0D37" w:rsidRDefault="00394471" w:rsidP="00FA0D37">
      <w:pPr>
        <w:pStyle w:val="PL"/>
        <w:rPr>
          <w:color w:val="808080"/>
        </w:rPr>
      </w:pPr>
      <w:r w:rsidRPr="00FA0D37">
        <w:t xml:space="preserve">        rank2-2                             </w:t>
      </w:r>
      <w:r w:rsidRPr="00FA0D37">
        <w:rPr>
          <w:color w:val="993366"/>
        </w:rPr>
        <w:t>SEQUENCE</w:t>
      </w:r>
      <w:r w:rsidRPr="00FA0D37">
        <w:t>(</w:t>
      </w:r>
      <w:r w:rsidRPr="00FA0D37">
        <w:rPr>
          <w:color w:val="993366"/>
        </w:rPr>
        <w:t>SIZE</w:t>
      </w:r>
      <w:r w:rsidRPr="00FA0D37">
        <w:t>(2))</w:t>
      </w:r>
      <w:r w:rsidRPr="00FA0D37">
        <w:rPr>
          <w:color w:val="993366"/>
        </w:rPr>
        <w:t xml:space="preserve"> OF</w:t>
      </w:r>
      <w:r w:rsidRPr="00FA0D37">
        <w:t xml:space="preserve"> PortIndex2                                 </w:t>
      </w:r>
      <w:r w:rsidRPr="00FA0D37">
        <w:rPr>
          <w:color w:val="993366"/>
        </w:rPr>
        <w:t>OPTIONAL</w:t>
      </w:r>
      <w:r w:rsidRPr="00FA0D37">
        <w:t xml:space="preserve">    </w:t>
      </w:r>
      <w:r w:rsidRPr="00FA0D37">
        <w:rPr>
          <w:color w:val="808080"/>
        </w:rPr>
        <w:t>-- Need R</w:t>
      </w:r>
    </w:p>
    <w:p w14:paraId="13AFD08E" w14:textId="77777777" w:rsidR="00394471" w:rsidRPr="00FA0D37" w:rsidRDefault="00394471" w:rsidP="00FA0D37">
      <w:pPr>
        <w:pStyle w:val="PL"/>
      </w:pPr>
      <w:r w:rsidRPr="00FA0D37">
        <w:t xml:space="preserve">    },</w:t>
      </w:r>
    </w:p>
    <w:p w14:paraId="5AE0A463" w14:textId="77777777" w:rsidR="00394471" w:rsidRPr="00FA0D37" w:rsidRDefault="00394471" w:rsidP="00FA0D37">
      <w:pPr>
        <w:pStyle w:val="PL"/>
      </w:pPr>
      <w:r w:rsidRPr="00FA0D37">
        <w:t xml:space="preserve">    portIndex1                          </w:t>
      </w:r>
      <w:r w:rsidRPr="00FA0D37">
        <w:rPr>
          <w:color w:val="993366"/>
        </w:rPr>
        <w:t>NULL</w:t>
      </w:r>
    </w:p>
    <w:p w14:paraId="770F4AC5" w14:textId="77777777" w:rsidR="00394471" w:rsidRPr="00FA0D37" w:rsidRDefault="00394471" w:rsidP="00FA0D37">
      <w:pPr>
        <w:pStyle w:val="PL"/>
      </w:pPr>
      <w:r w:rsidRPr="00FA0D37">
        <w:t>}</w:t>
      </w:r>
    </w:p>
    <w:p w14:paraId="20B45B7C" w14:textId="77777777" w:rsidR="00394471" w:rsidRPr="00FA0D37" w:rsidRDefault="00394471" w:rsidP="00FA0D37">
      <w:pPr>
        <w:pStyle w:val="PL"/>
      </w:pPr>
    </w:p>
    <w:p w14:paraId="42265786" w14:textId="77777777" w:rsidR="00394471" w:rsidRPr="00FA0D37" w:rsidRDefault="00394471" w:rsidP="00FA0D37">
      <w:pPr>
        <w:pStyle w:val="PL"/>
      </w:pPr>
      <w:r w:rsidRPr="00FA0D37">
        <w:t xml:space="preserve">PortIndex8::=                       </w:t>
      </w:r>
      <w:r w:rsidRPr="00FA0D37">
        <w:rPr>
          <w:color w:val="993366"/>
        </w:rPr>
        <w:t>INTEGER</w:t>
      </w:r>
      <w:r w:rsidRPr="00FA0D37">
        <w:t xml:space="preserve"> (0..7)</w:t>
      </w:r>
    </w:p>
    <w:p w14:paraId="53F8815A" w14:textId="77777777" w:rsidR="00394471" w:rsidRPr="00FA0D37" w:rsidRDefault="00394471" w:rsidP="00FA0D37">
      <w:pPr>
        <w:pStyle w:val="PL"/>
      </w:pPr>
      <w:r w:rsidRPr="00FA0D37">
        <w:t xml:space="preserve">PortIndex4::=                       </w:t>
      </w:r>
      <w:r w:rsidRPr="00FA0D37">
        <w:rPr>
          <w:color w:val="993366"/>
        </w:rPr>
        <w:t>INTEGER</w:t>
      </w:r>
      <w:r w:rsidRPr="00FA0D37">
        <w:t xml:space="preserve"> (0..3)</w:t>
      </w:r>
    </w:p>
    <w:p w14:paraId="7F873315" w14:textId="77777777" w:rsidR="00394471" w:rsidRPr="00FA0D37" w:rsidRDefault="00394471" w:rsidP="00FA0D37">
      <w:pPr>
        <w:pStyle w:val="PL"/>
      </w:pPr>
      <w:r w:rsidRPr="00FA0D37">
        <w:t xml:space="preserve">PortIndex2::=                       </w:t>
      </w:r>
      <w:r w:rsidRPr="00FA0D37">
        <w:rPr>
          <w:color w:val="993366"/>
        </w:rPr>
        <w:t>INTEGER</w:t>
      </w:r>
      <w:r w:rsidRPr="00FA0D37">
        <w:t xml:space="preserve"> (0..1)</w:t>
      </w:r>
    </w:p>
    <w:p w14:paraId="00BFA139" w14:textId="77777777" w:rsidR="00394471" w:rsidRPr="00FA0D37" w:rsidRDefault="00394471" w:rsidP="00FA0D37">
      <w:pPr>
        <w:pStyle w:val="PL"/>
      </w:pPr>
    </w:p>
    <w:p w14:paraId="5298AD18" w14:textId="77777777" w:rsidR="00394471" w:rsidRPr="00FA0D37" w:rsidRDefault="00394471" w:rsidP="00FA0D37">
      <w:pPr>
        <w:pStyle w:val="PL"/>
        <w:rPr>
          <w:color w:val="808080"/>
        </w:rPr>
      </w:pPr>
      <w:r w:rsidRPr="00FA0D37">
        <w:rPr>
          <w:color w:val="808080"/>
        </w:rPr>
        <w:t>-- TAG-CSI-REPORTCONFIG-STOP</w:t>
      </w:r>
    </w:p>
    <w:p w14:paraId="4635640F" w14:textId="77777777" w:rsidR="00394471" w:rsidRPr="00FA0D37" w:rsidRDefault="00394471" w:rsidP="00FA0D37">
      <w:pPr>
        <w:pStyle w:val="PL"/>
        <w:rPr>
          <w:color w:val="808080"/>
        </w:rPr>
      </w:pPr>
      <w:r w:rsidRPr="00FA0D37">
        <w:rPr>
          <w:color w:val="808080"/>
        </w:rPr>
        <w:t>-- ASN1STOP</w:t>
      </w:r>
    </w:p>
    <w:p w14:paraId="094C7FCD"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5C7FF4" w:rsidRPr="00FA0D37"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FA0D37" w:rsidRDefault="00394471" w:rsidP="00964CC4">
            <w:pPr>
              <w:pStyle w:val="TAH"/>
              <w:rPr>
                <w:szCs w:val="22"/>
                <w:lang w:eastAsia="sv-SE"/>
              </w:rPr>
            </w:pPr>
            <w:r w:rsidRPr="00FA0D37">
              <w:rPr>
                <w:i/>
                <w:szCs w:val="22"/>
                <w:lang w:eastAsia="sv-SE"/>
              </w:rPr>
              <w:lastRenderedPageBreak/>
              <w:t xml:space="preserve">CSI-ReportConfig </w:t>
            </w:r>
            <w:r w:rsidRPr="00FA0D37">
              <w:rPr>
                <w:szCs w:val="22"/>
                <w:lang w:eastAsia="sv-SE"/>
              </w:rPr>
              <w:t>field descriptions</w:t>
            </w:r>
          </w:p>
        </w:tc>
      </w:tr>
      <w:tr w:rsidR="005C7FF4" w:rsidRPr="00FA0D37"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FA0D37" w:rsidRDefault="00394471" w:rsidP="00964CC4">
            <w:pPr>
              <w:pStyle w:val="TAL"/>
              <w:rPr>
                <w:szCs w:val="22"/>
                <w:lang w:eastAsia="sv-SE"/>
              </w:rPr>
            </w:pPr>
            <w:r w:rsidRPr="00FA0D37">
              <w:rPr>
                <w:b/>
                <w:i/>
                <w:szCs w:val="22"/>
                <w:lang w:eastAsia="sv-SE"/>
              </w:rPr>
              <w:t>carrier</w:t>
            </w:r>
          </w:p>
          <w:p w14:paraId="1B221A55" w14:textId="77777777" w:rsidR="00394471" w:rsidRPr="00FA0D37" w:rsidRDefault="00394471" w:rsidP="00964CC4">
            <w:pPr>
              <w:pStyle w:val="TAL"/>
              <w:rPr>
                <w:szCs w:val="22"/>
                <w:lang w:eastAsia="sv-SE"/>
              </w:rPr>
            </w:pPr>
            <w:r w:rsidRPr="00FA0D37">
              <w:rPr>
                <w:szCs w:val="22"/>
                <w:lang w:eastAsia="sv-SE"/>
              </w:rPr>
              <w:t xml:space="preserve">Indicates in which serving cell the </w:t>
            </w:r>
            <w:r w:rsidRPr="00FA0D37">
              <w:rPr>
                <w:i/>
                <w:lang w:eastAsia="sv-SE"/>
              </w:rPr>
              <w:t>CSI-ResourceConfig</w:t>
            </w:r>
            <w:r w:rsidRPr="00FA0D37">
              <w:rPr>
                <w:szCs w:val="22"/>
                <w:lang w:eastAsia="sv-SE"/>
              </w:rPr>
              <w:t xml:space="preserve"> indicated below are to be found. If the field is absent, the resources are on the same serving cell as this report configuration.</w:t>
            </w:r>
          </w:p>
        </w:tc>
      </w:tr>
      <w:tr w:rsidR="005C7FF4" w:rsidRPr="00FA0D37"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FA0D37" w:rsidRDefault="00394471" w:rsidP="00964CC4">
            <w:pPr>
              <w:pStyle w:val="TAL"/>
              <w:rPr>
                <w:szCs w:val="22"/>
                <w:lang w:eastAsia="sv-SE"/>
              </w:rPr>
            </w:pPr>
            <w:r w:rsidRPr="00FA0D37">
              <w:rPr>
                <w:b/>
                <w:i/>
                <w:szCs w:val="22"/>
                <w:lang w:eastAsia="sv-SE"/>
              </w:rPr>
              <w:t>codebookConfig</w:t>
            </w:r>
          </w:p>
          <w:p w14:paraId="0FA18C94" w14:textId="6F96E262" w:rsidR="00394471" w:rsidRPr="00FA0D37" w:rsidRDefault="00394471" w:rsidP="00964CC4">
            <w:pPr>
              <w:pStyle w:val="TAL"/>
              <w:rPr>
                <w:szCs w:val="22"/>
                <w:lang w:eastAsia="sv-SE"/>
              </w:rPr>
            </w:pPr>
            <w:r w:rsidRPr="00FA0D37">
              <w:rPr>
                <w:szCs w:val="22"/>
                <w:lang w:eastAsia="sv-SE"/>
              </w:rPr>
              <w:t xml:space="preserve">Codebook configuration for Type-1 or Type-2 including codebook subset restriction. </w:t>
            </w:r>
            <w:r w:rsidRPr="00FA0D37">
              <w:rPr>
                <w:szCs w:val="22"/>
              </w:rPr>
              <w:t xml:space="preserve">Network </w:t>
            </w:r>
            <w:r w:rsidR="00205D47" w:rsidRPr="00FA0D37">
              <w:rPr>
                <w:szCs w:val="22"/>
              </w:rPr>
              <w:t xml:space="preserve">can only </w:t>
            </w:r>
            <w:r w:rsidRPr="00FA0D37">
              <w:rPr>
                <w:szCs w:val="22"/>
              </w:rPr>
              <w:t xml:space="preserve">configure </w:t>
            </w:r>
            <w:r w:rsidR="00205D47" w:rsidRPr="00FA0D37">
              <w:rPr>
                <w:szCs w:val="22"/>
              </w:rPr>
              <w:t xml:space="preserve">one of </w:t>
            </w:r>
            <w:r w:rsidRPr="00FA0D37">
              <w:rPr>
                <w:i/>
                <w:iCs/>
                <w:szCs w:val="22"/>
              </w:rPr>
              <w:t>codebookConfig</w:t>
            </w:r>
            <w:r w:rsidR="00205D47" w:rsidRPr="00FA0D37">
              <w:rPr>
                <w:szCs w:val="22"/>
              </w:rPr>
              <w:t>,</w:t>
            </w:r>
            <w:r w:rsidRPr="00FA0D37">
              <w:rPr>
                <w:szCs w:val="22"/>
              </w:rPr>
              <w:t xml:space="preserve"> </w:t>
            </w:r>
            <w:r w:rsidRPr="00FA0D37">
              <w:rPr>
                <w:i/>
                <w:iCs/>
                <w:szCs w:val="22"/>
              </w:rPr>
              <w:t>codebookConfig-r16</w:t>
            </w:r>
            <w:r w:rsidR="00205D47" w:rsidRPr="00FA0D37">
              <w:rPr>
                <w:szCs w:val="22"/>
              </w:rPr>
              <w:t xml:space="preserve"> or </w:t>
            </w:r>
            <w:r w:rsidR="00205D47" w:rsidRPr="00FA0D37">
              <w:rPr>
                <w:i/>
                <w:iCs/>
                <w:szCs w:val="22"/>
              </w:rPr>
              <w:t>codebookConfig-r17</w:t>
            </w:r>
            <w:r w:rsidRPr="00FA0D37">
              <w:rPr>
                <w:szCs w:val="22"/>
              </w:rPr>
              <w:t xml:space="preserve"> to a UE</w:t>
            </w:r>
            <w:r w:rsidR="00205D47" w:rsidRPr="00FA0D37">
              <w:rPr>
                <w:szCs w:val="22"/>
              </w:rPr>
              <w:t>.</w:t>
            </w:r>
            <w:r w:rsidR="00184EE0" w:rsidRPr="00FA0D37">
              <w:rPr>
                <w:szCs w:val="22"/>
              </w:rPr>
              <w:t xml:space="preserve"> </w:t>
            </w:r>
            <w:r w:rsidR="00184EE0" w:rsidRPr="00FA0D37">
              <w:t xml:space="preserve">The network includes </w:t>
            </w:r>
            <w:r w:rsidR="00184EE0" w:rsidRPr="00FA0D37">
              <w:rPr>
                <w:i/>
                <w:iCs/>
              </w:rPr>
              <w:t>codebookConfig-v1730</w:t>
            </w:r>
            <w:r w:rsidR="00184EE0" w:rsidRPr="00FA0D37">
              <w:t xml:space="preserve"> only if </w:t>
            </w:r>
            <w:r w:rsidR="00184EE0" w:rsidRPr="00FA0D37">
              <w:rPr>
                <w:i/>
                <w:iCs/>
              </w:rPr>
              <w:t>codebookConfig-r17</w:t>
            </w:r>
            <w:r w:rsidR="00184EE0" w:rsidRPr="00FA0D37">
              <w:t xml:space="preserve"> is configured.</w:t>
            </w:r>
          </w:p>
        </w:tc>
      </w:tr>
      <w:tr w:rsidR="005C7FF4" w:rsidRPr="00FA0D37"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FA0D37" w:rsidRDefault="00F27D15" w:rsidP="00771058">
            <w:pPr>
              <w:pStyle w:val="TAL"/>
              <w:rPr>
                <w:b/>
                <w:i/>
                <w:szCs w:val="22"/>
                <w:lang w:eastAsia="sv-SE"/>
              </w:rPr>
            </w:pPr>
            <w:r w:rsidRPr="00FA0D37">
              <w:rPr>
                <w:b/>
                <w:i/>
                <w:szCs w:val="22"/>
                <w:lang w:eastAsia="sv-SE"/>
              </w:rPr>
              <w:t>cqi-BitsPerSubband</w:t>
            </w:r>
          </w:p>
          <w:p w14:paraId="3D5EC478" w14:textId="77777777" w:rsidR="00F27D15" w:rsidRPr="00FA0D37" w:rsidRDefault="00F27D15" w:rsidP="00771058">
            <w:pPr>
              <w:pStyle w:val="TAL"/>
              <w:rPr>
                <w:b/>
                <w:i/>
                <w:szCs w:val="22"/>
                <w:lang w:eastAsia="sv-SE"/>
              </w:rPr>
            </w:pPr>
            <w:r w:rsidRPr="00FA0D37">
              <w:rPr>
                <w:bCs/>
                <w:iCs/>
                <w:szCs w:val="22"/>
                <w:lang w:eastAsia="sv-SE"/>
              </w:rPr>
              <w:t xml:space="preserve">This field can only be present if </w:t>
            </w:r>
            <w:r w:rsidRPr="00FA0D37">
              <w:rPr>
                <w:bCs/>
                <w:i/>
                <w:szCs w:val="22"/>
                <w:lang w:eastAsia="sv-SE"/>
              </w:rPr>
              <w:t>cqi-FormatIndicator</w:t>
            </w:r>
            <w:r w:rsidRPr="00FA0D37">
              <w:rPr>
                <w:bCs/>
                <w:iCs/>
                <w:szCs w:val="22"/>
                <w:lang w:eastAsia="sv-SE"/>
              </w:rPr>
              <w:t xml:space="preserve"> is set to </w:t>
            </w:r>
            <w:r w:rsidRPr="00FA0D37">
              <w:rPr>
                <w:bCs/>
                <w:i/>
                <w:szCs w:val="22"/>
                <w:lang w:eastAsia="sv-SE"/>
              </w:rPr>
              <w:t>subbandCQI</w:t>
            </w:r>
            <w:r w:rsidRPr="00FA0D37">
              <w:rPr>
                <w:bCs/>
                <w:iCs/>
                <w:szCs w:val="22"/>
                <w:lang w:eastAsia="sv-SE"/>
              </w:rPr>
              <w:t xml:space="preserve">. If the field is configured with </w:t>
            </w:r>
            <w:r w:rsidRPr="00FA0D37">
              <w:rPr>
                <w:bCs/>
                <w:i/>
                <w:szCs w:val="22"/>
                <w:lang w:eastAsia="sv-SE"/>
              </w:rPr>
              <w:t>bits4</w:t>
            </w:r>
            <w:r w:rsidRPr="00FA0D37">
              <w:rPr>
                <w:bCs/>
                <w:iCs/>
                <w:szCs w:val="22"/>
                <w:lang w:eastAsia="sv-SE"/>
              </w:rPr>
              <w:t xml:space="preserve">, the UE uses 4-bit sub-band CQI. If the field is not present and </w:t>
            </w:r>
            <w:r w:rsidRPr="00FA0D37">
              <w:rPr>
                <w:bCs/>
                <w:i/>
                <w:szCs w:val="22"/>
                <w:lang w:eastAsia="sv-SE"/>
              </w:rPr>
              <w:t xml:space="preserve">cqi-FormatIndicator </w:t>
            </w:r>
            <w:r w:rsidRPr="00FA0D37">
              <w:rPr>
                <w:bCs/>
                <w:iCs/>
                <w:szCs w:val="22"/>
                <w:lang w:eastAsia="sv-SE"/>
              </w:rPr>
              <w:t xml:space="preserve">is set to </w:t>
            </w:r>
            <w:r w:rsidRPr="00FA0D37">
              <w:rPr>
                <w:bCs/>
                <w:i/>
                <w:szCs w:val="22"/>
                <w:lang w:eastAsia="sv-SE"/>
              </w:rPr>
              <w:t>subbandCQI</w:t>
            </w:r>
            <w:r w:rsidRPr="00FA0D37">
              <w:rPr>
                <w:bCs/>
                <w:iCs/>
                <w:szCs w:val="22"/>
                <w:lang w:eastAsia="sv-SE"/>
              </w:rPr>
              <w:t>, the UE uses 2-bit sub-band differential CQI.</w:t>
            </w:r>
          </w:p>
        </w:tc>
      </w:tr>
      <w:tr w:rsidR="005C7FF4" w:rsidRPr="00FA0D37"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FA0D37" w:rsidRDefault="00394471" w:rsidP="00964CC4">
            <w:pPr>
              <w:pStyle w:val="TAL"/>
              <w:rPr>
                <w:szCs w:val="22"/>
                <w:lang w:eastAsia="sv-SE"/>
              </w:rPr>
            </w:pPr>
            <w:r w:rsidRPr="00FA0D37">
              <w:rPr>
                <w:b/>
                <w:i/>
                <w:szCs w:val="22"/>
                <w:lang w:eastAsia="sv-SE"/>
              </w:rPr>
              <w:t>cqi-FormatIndicator</w:t>
            </w:r>
          </w:p>
          <w:p w14:paraId="18AF3FC5" w14:textId="1E4BD831" w:rsidR="00394471" w:rsidRPr="00FA0D37" w:rsidRDefault="00394471" w:rsidP="00964CC4">
            <w:pPr>
              <w:pStyle w:val="TAL"/>
              <w:rPr>
                <w:szCs w:val="22"/>
                <w:lang w:eastAsia="sv-SE"/>
              </w:rPr>
            </w:pPr>
            <w:r w:rsidRPr="00FA0D37">
              <w:rPr>
                <w:szCs w:val="22"/>
                <w:lang w:eastAsia="sv-SE"/>
              </w:rPr>
              <w:t>Indicates whether the UE shall report a single (wideband) or multiple (subband) CQI (see TS 38.214 [19], clause 5.2.1.4).</w:t>
            </w:r>
          </w:p>
        </w:tc>
      </w:tr>
      <w:tr w:rsidR="005C7FF4" w:rsidRPr="00FA0D37"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FA0D37" w:rsidRDefault="00394471" w:rsidP="00964CC4">
            <w:pPr>
              <w:pStyle w:val="TAL"/>
              <w:rPr>
                <w:szCs w:val="22"/>
                <w:lang w:eastAsia="sv-SE"/>
              </w:rPr>
            </w:pPr>
            <w:r w:rsidRPr="00FA0D37">
              <w:rPr>
                <w:b/>
                <w:i/>
                <w:szCs w:val="22"/>
                <w:lang w:eastAsia="sv-SE"/>
              </w:rPr>
              <w:t>cqi-Table</w:t>
            </w:r>
          </w:p>
          <w:p w14:paraId="3E98B77B" w14:textId="5F4574D8" w:rsidR="00394471" w:rsidRPr="00FA0D37" w:rsidRDefault="00394471" w:rsidP="00964CC4">
            <w:pPr>
              <w:pStyle w:val="TAL"/>
              <w:rPr>
                <w:szCs w:val="22"/>
                <w:lang w:eastAsia="sv-SE"/>
              </w:rPr>
            </w:pPr>
            <w:r w:rsidRPr="00FA0D37">
              <w:rPr>
                <w:szCs w:val="22"/>
                <w:lang w:eastAsia="sv-SE"/>
              </w:rPr>
              <w:t>Which CQI table to use for CQI calculation (see TS 38.214 [19], clause 5.2.2.1).</w:t>
            </w:r>
            <w:r w:rsidR="00B37B2F" w:rsidRPr="00FA0D37">
              <w:rPr>
                <w:szCs w:val="22"/>
                <w:lang w:eastAsia="sv-SE"/>
              </w:rPr>
              <w:t xml:space="preserve"> For a RedCap UE, CQI table 2 is only supported if the UE indicates support of 256QAM for P</w:t>
            </w:r>
            <w:r w:rsidR="004A5E25" w:rsidRPr="00FA0D37">
              <w:rPr>
                <w:szCs w:val="22"/>
                <w:lang w:eastAsia="sv-SE"/>
              </w:rPr>
              <w:t>D</w:t>
            </w:r>
            <w:r w:rsidR="00B37B2F" w:rsidRPr="00FA0D37">
              <w:rPr>
                <w:szCs w:val="22"/>
                <w:lang w:eastAsia="sv-SE"/>
              </w:rPr>
              <w:t>SCH.</w:t>
            </w:r>
          </w:p>
        </w:tc>
      </w:tr>
      <w:tr w:rsidR="005C7FF4" w:rsidRPr="00FA0D37"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FA0D37" w:rsidRDefault="00394471" w:rsidP="00964CC4">
            <w:pPr>
              <w:pStyle w:val="TAL"/>
              <w:rPr>
                <w:szCs w:val="22"/>
                <w:lang w:eastAsia="sv-SE"/>
              </w:rPr>
            </w:pPr>
            <w:r w:rsidRPr="00FA0D37">
              <w:rPr>
                <w:b/>
                <w:i/>
                <w:szCs w:val="22"/>
                <w:lang w:eastAsia="sv-SE"/>
              </w:rPr>
              <w:t>csi-IM-ResourcesForInterference</w:t>
            </w:r>
          </w:p>
          <w:p w14:paraId="22F07D2F" w14:textId="77777777" w:rsidR="00394471" w:rsidRPr="00FA0D37" w:rsidRDefault="00394471" w:rsidP="00964CC4">
            <w:pPr>
              <w:pStyle w:val="TAL"/>
              <w:rPr>
                <w:szCs w:val="22"/>
                <w:lang w:eastAsia="sv-SE"/>
              </w:rPr>
            </w:pPr>
            <w:r w:rsidRPr="00FA0D37">
              <w:rPr>
                <w:szCs w:val="22"/>
                <w:lang w:eastAsia="sv-SE"/>
              </w:rPr>
              <w:t xml:space="preserve">CSI IM resources for interference measurement. </w:t>
            </w:r>
            <w:r w:rsidRPr="00FA0D37">
              <w:rPr>
                <w:i/>
                <w:lang w:eastAsia="sv-SE"/>
              </w:rPr>
              <w:t>csi-ResourceConfigId</w:t>
            </w:r>
            <w:r w:rsidRPr="00FA0D37">
              <w:rPr>
                <w:szCs w:val="22"/>
                <w:lang w:eastAsia="sv-SE"/>
              </w:rPr>
              <w:t xml:space="preserve"> of a </w:t>
            </w:r>
            <w:r w:rsidRPr="00FA0D37">
              <w:rPr>
                <w:i/>
                <w:lang w:eastAsia="sv-SE"/>
              </w:rPr>
              <w:t>CSI-ResourceConfig</w:t>
            </w:r>
            <w:r w:rsidRPr="00FA0D37">
              <w:rPr>
                <w:szCs w:val="22"/>
                <w:lang w:eastAsia="sv-SE"/>
              </w:rPr>
              <w:t xml:space="preserve"> included in the configuration of the serving cell indicated with the field "carrier" above. The </w:t>
            </w:r>
            <w:r w:rsidRPr="00FA0D37">
              <w:rPr>
                <w:i/>
                <w:szCs w:val="22"/>
                <w:lang w:eastAsia="sv-SE"/>
              </w:rPr>
              <w:t>CSI-ResourceConfig</w:t>
            </w:r>
            <w:r w:rsidRPr="00FA0D37">
              <w:rPr>
                <w:szCs w:val="22"/>
                <w:lang w:eastAsia="sv-SE"/>
              </w:rPr>
              <w:t xml:space="preserve"> indicated here contains only CSI-IM resources. The </w:t>
            </w:r>
            <w:r w:rsidRPr="00FA0D37">
              <w:rPr>
                <w:i/>
                <w:lang w:eastAsia="sv-SE"/>
              </w:rPr>
              <w:t>bwp-Id</w:t>
            </w:r>
            <w:r w:rsidRPr="00FA0D37">
              <w:rPr>
                <w:szCs w:val="22"/>
                <w:lang w:eastAsia="sv-SE"/>
              </w:rPr>
              <w:t xml:space="preserve"> in that </w:t>
            </w:r>
            <w:r w:rsidRPr="00FA0D37">
              <w:rPr>
                <w:i/>
                <w:lang w:eastAsia="sv-SE"/>
              </w:rPr>
              <w:t>CSI-ResourceConfig</w:t>
            </w:r>
            <w:r w:rsidRPr="00FA0D37">
              <w:rPr>
                <w:szCs w:val="22"/>
                <w:lang w:eastAsia="sv-SE"/>
              </w:rPr>
              <w:t xml:space="preserve"> is the same value as the </w:t>
            </w:r>
            <w:r w:rsidRPr="00FA0D37">
              <w:rPr>
                <w:i/>
                <w:lang w:eastAsia="sv-SE"/>
              </w:rPr>
              <w:t>bwp-Id</w:t>
            </w:r>
            <w:r w:rsidRPr="00FA0D37">
              <w:rPr>
                <w:szCs w:val="22"/>
                <w:lang w:eastAsia="sv-SE"/>
              </w:rPr>
              <w:t xml:space="preserve"> in the </w:t>
            </w:r>
            <w:r w:rsidRPr="00FA0D37">
              <w:rPr>
                <w:i/>
                <w:lang w:eastAsia="sv-SE"/>
              </w:rPr>
              <w:t>CSI-ResourceConfig</w:t>
            </w:r>
            <w:r w:rsidRPr="00FA0D37">
              <w:rPr>
                <w:szCs w:val="22"/>
                <w:lang w:eastAsia="sv-SE"/>
              </w:rPr>
              <w:t xml:space="preserve"> indicated by </w:t>
            </w:r>
            <w:r w:rsidRPr="00FA0D37">
              <w:rPr>
                <w:i/>
                <w:lang w:eastAsia="sv-SE"/>
              </w:rPr>
              <w:t>resourcesForChannelMeasurement</w:t>
            </w:r>
            <w:r w:rsidRPr="00FA0D37">
              <w:rPr>
                <w:szCs w:val="22"/>
                <w:lang w:eastAsia="sv-SE"/>
              </w:rPr>
              <w:t>.</w:t>
            </w:r>
          </w:p>
        </w:tc>
      </w:tr>
      <w:tr w:rsidR="005C7FF4" w:rsidRPr="00FA0D37"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FA0D37" w:rsidRDefault="00394471" w:rsidP="00964CC4">
            <w:pPr>
              <w:pStyle w:val="TAL"/>
              <w:rPr>
                <w:szCs w:val="22"/>
                <w:lang w:eastAsia="sv-SE"/>
              </w:rPr>
            </w:pPr>
            <w:r w:rsidRPr="00FA0D37">
              <w:rPr>
                <w:b/>
                <w:i/>
                <w:szCs w:val="22"/>
                <w:lang w:eastAsia="sv-SE"/>
              </w:rPr>
              <w:t>csi-ReportingBand</w:t>
            </w:r>
          </w:p>
          <w:p w14:paraId="311A4066" w14:textId="65BB2700" w:rsidR="00394471" w:rsidRPr="00FA0D37" w:rsidRDefault="00394471" w:rsidP="00964CC4">
            <w:pPr>
              <w:pStyle w:val="TAL"/>
              <w:rPr>
                <w:szCs w:val="22"/>
                <w:lang w:eastAsia="sv-SE"/>
              </w:rPr>
            </w:pPr>
            <w:r w:rsidRPr="00FA0D37">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w:t>
            </w:r>
            <w:r w:rsidR="00FB04AA" w:rsidRPr="00FA0D37">
              <w:rPr>
                <w:szCs w:val="22"/>
                <w:lang w:eastAsia="sv-SE"/>
              </w:rPr>
              <w:t xml:space="preserve"> </w:t>
            </w:r>
            <w:r w:rsidR="00FB04AA" w:rsidRPr="00FA0D37">
              <w:rPr>
                <w:rFonts w:cs="Arial"/>
                <w:szCs w:val="22"/>
              </w:rPr>
              <w:t>(see TS 38.214 [19], clause 5.2.1.4)</w:t>
            </w:r>
            <w:r w:rsidRPr="00FA0D37">
              <w:rPr>
                <w:szCs w:val="22"/>
                <w:lang w:eastAsia="sv-SE"/>
              </w:rPr>
              <w:t>.</w:t>
            </w:r>
          </w:p>
        </w:tc>
      </w:tr>
      <w:tr w:rsidR="005C7FF4" w:rsidRPr="00FA0D37"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FA0D37" w:rsidRDefault="00205D47" w:rsidP="00771058">
            <w:pPr>
              <w:pStyle w:val="TAL"/>
              <w:rPr>
                <w:b/>
                <w:i/>
                <w:szCs w:val="22"/>
                <w:lang w:eastAsia="sv-SE"/>
              </w:rPr>
            </w:pPr>
            <w:r w:rsidRPr="00FA0D37">
              <w:rPr>
                <w:b/>
                <w:i/>
                <w:szCs w:val="22"/>
                <w:lang w:eastAsia="sv-SE"/>
              </w:rPr>
              <w:t>csi-ReportMode</w:t>
            </w:r>
          </w:p>
          <w:p w14:paraId="63D6489A" w14:textId="77777777" w:rsidR="00205D47" w:rsidRPr="00FA0D37" w:rsidRDefault="00205D47" w:rsidP="00771058">
            <w:pPr>
              <w:pStyle w:val="TAL"/>
              <w:rPr>
                <w:bCs/>
                <w:iCs/>
                <w:szCs w:val="22"/>
                <w:lang w:eastAsia="sv-SE"/>
              </w:rPr>
            </w:pPr>
            <w:r w:rsidRPr="00FA0D37">
              <w:rPr>
                <w:bCs/>
                <w:iCs/>
                <w:szCs w:val="22"/>
                <w:lang w:eastAsia="sv-SE"/>
              </w:rPr>
              <w:t xml:space="preserve">Configures the CSI report modes Mode1 or Mode 2 (see </w:t>
            </w:r>
            <w:r w:rsidRPr="00FA0D37">
              <w:t>TS 38.214 [19], clause 5.2.1.4.2</w:t>
            </w:r>
            <w:r w:rsidRPr="00FA0D37">
              <w:rPr>
                <w:bCs/>
                <w:iCs/>
                <w:szCs w:val="22"/>
                <w:lang w:eastAsia="sv-SE"/>
              </w:rPr>
              <w:t>)</w:t>
            </w:r>
          </w:p>
        </w:tc>
      </w:tr>
      <w:tr w:rsidR="005C7FF4" w:rsidRPr="00FA0D37"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FA0D37" w:rsidRDefault="00394471" w:rsidP="00964CC4">
            <w:pPr>
              <w:pStyle w:val="TAL"/>
              <w:rPr>
                <w:b/>
                <w:i/>
                <w:szCs w:val="22"/>
                <w:lang w:eastAsia="sv-SE"/>
              </w:rPr>
            </w:pPr>
            <w:r w:rsidRPr="00FA0D37">
              <w:rPr>
                <w:b/>
                <w:i/>
                <w:szCs w:val="22"/>
                <w:lang w:eastAsia="sv-SE"/>
              </w:rPr>
              <w:t>dummy</w:t>
            </w:r>
          </w:p>
          <w:p w14:paraId="5707CE21" w14:textId="77777777" w:rsidR="00394471" w:rsidRPr="00FA0D37" w:rsidRDefault="00394471" w:rsidP="00964CC4">
            <w:pPr>
              <w:pStyle w:val="TAL"/>
              <w:rPr>
                <w:szCs w:val="22"/>
                <w:lang w:eastAsia="sv-SE"/>
              </w:rPr>
            </w:pPr>
            <w:r w:rsidRPr="00FA0D37">
              <w:rPr>
                <w:szCs w:val="22"/>
                <w:lang w:eastAsia="sv-SE"/>
              </w:rPr>
              <w:t>This field is not used in the specification. If received it shall be ignored by the UE.</w:t>
            </w:r>
          </w:p>
        </w:tc>
      </w:tr>
      <w:tr w:rsidR="005C7FF4" w:rsidRPr="00FA0D37"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FA0D37" w:rsidRDefault="00394471" w:rsidP="00964CC4">
            <w:pPr>
              <w:pStyle w:val="TAL"/>
              <w:rPr>
                <w:szCs w:val="22"/>
                <w:lang w:eastAsia="sv-SE"/>
              </w:rPr>
            </w:pPr>
            <w:r w:rsidRPr="00FA0D37">
              <w:rPr>
                <w:b/>
                <w:i/>
                <w:szCs w:val="22"/>
                <w:lang w:eastAsia="sv-SE"/>
              </w:rPr>
              <w:t>groupBasedBeamReporting</w:t>
            </w:r>
          </w:p>
          <w:p w14:paraId="5FCEB78D" w14:textId="7830C5E1" w:rsidR="00394471" w:rsidRPr="00FA0D37" w:rsidRDefault="00394471" w:rsidP="00964CC4">
            <w:pPr>
              <w:pStyle w:val="TAL"/>
              <w:rPr>
                <w:szCs w:val="22"/>
                <w:lang w:eastAsia="sv-SE"/>
              </w:rPr>
            </w:pPr>
            <w:r w:rsidRPr="00FA0D37">
              <w:rPr>
                <w:szCs w:val="22"/>
                <w:lang w:eastAsia="sv-SE"/>
              </w:rPr>
              <w:t>Turning on/off group beam based reporting (see TS 38.214 [19], clause 5.2.1.4).</w:t>
            </w:r>
            <w:r w:rsidR="00261E44" w:rsidRPr="00FA0D37">
              <w:rPr>
                <w:szCs w:val="22"/>
                <w:lang w:eastAsia="sv-SE"/>
              </w:rPr>
              <w:t xml:space="preserve"> If </w:t>
            </w:r>
            <w:r w:rsidR="00261E44" w:rsidRPr="00FA0D37">
              <w:rPr>
                <w:i/>
                <w:szCs w:val="22"/>
                <w:lang w:eastAsia="sv-SE"/>
              </w:rPr>
              <w:t>groupBasedBeamReporting</w:t>
            </w:r>
            <w:r w:rsidR="00261E44" w:rsidRPr="00FA0D37">
              <w:rPr>
                <w:szCs w:val="22"/>
                <w:lang w:eastAsia="sv-SE"/>
              </w:rPr>
              <w:t xml:space="preserve"> (without suffix) is set to disabled, </w:t>
            </w:r>
            <w:r w:rsidR="00261E44" w:rsidRPr="00FA0D37">
              <w:rPr>
                <w:i/>
                <w:szCs w:val="22"/>
                <w:lang w:eastAsia="sv-SE"/>
              </w:rPr>
              <w:t>groupBasedBeamReporting-v1710</w:t>
            </w:r>
            <w:r w:rsidR="00261E44" w:rsidRPr="00FA0D37">
              <w:rPr>
                <w:szCs w:val="22"/>
                <w:lang w:eastAsia="sv-SE"/>
              </w:rPr>
              <w:t xml:space="preserve"> is absent.</w:t>
            </w:r>
          </w:p>
        </w:tc>
      </w:tr>
      <w:tr w:rsidR="005C7FF4" w:rsidRPr="00FA0D37"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FA0D37" w:rsidRDefault="00394471" w:rsidP="00964CC4">
            <w:pPr>
              <w:pStyle w:val="TAL"/>
              <w:rPr>
                <w:szCs w:val="22"/>
                <w:lang w:eastAsia="sv-SE"/>
              </w:rPr>
            </w:pPr>
            <w:r w:rsidRPr="00FA0D37">
              <w:rPr>
                <w:b/>
                <w:i/>
                <w:szCs w:val="22"/>
                <w:lang w:eastAsia="sv-SE"/>
              </w:rPr>
              <w:t>non-PMI-PortIndication</w:t>
            </w:r>
          </w:p>
          <w:p w14:paraId="75A61E7E" w14:textId="77777777" w:rsidR="00394471" w:rsidRPr="00FA0D37" w:rsidRDefault="00394471" w:rsidP="00964CC4">
            <w:pPr>
              <w:pStyle w:val="TAL"/>
              <w:rPr>
                <w:szCs w:val="22"/>
                <w:lang w:eastAsia="sv-SE"/>
              </w:rPr>
            </w:pPr>
            <w:r w:rsidRPr="00FA0D37">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FA0D37" w:rsidRDefault="00394471" w:rsidP="00964CC4">
            <w:pPr>
              <w:pStyle w:val="TAL"/>
              <w:rPr>
                <w:szCs w:val="22"/>
                <w:lang w:eastAsia="sv-SE"/>
              </w:rPr>
            </w:pPr>
            <w:r w:rsidRPr="00FA0D37">
              <w:rPr>
                <w:szCs w:val="22"/>
                <w:lang w:eastAsia="sv-SE"/>
              </w:rPr>
              <w:t xml:space="preserve">The first entry in </w:t>
            </w:r>
            <w:r w:rsidRPr="00FA0D37">
              <w:rPr>
                <w:i/>
                <w:lang w:eastAsia="sv-SE"/>
              </w:rPr>
              <w:t>non-PMI-PortIndication</w:t>
            </w:r>
            <w:r w:rsidRPr="00FA0D37">
              <w:rPr>
                <w:szCs w:val="22"/>
                <w:lang w:eastAsia="sv-SE"/>
              </w:rPr>
              <w:t xml:space="preserve"> corresponds to the NZP-CSI-RS-Resource indicated by the first entry in </w:t>
            </w:r>
            <w:r w:rsidRPr="00FA0D37">
              <w:rPr>
                <w:i/>
                <w:lang w:eastAsia="sv-SE"/>
              </w:rPr>
              <w:t>nzp-CSI-RS-Resources</w:t>
            </w:r>
            <w:r w:rsidRPr="00FA0D37">
              <w:rPr>
                <w:szCs w:val="22"/>
                <w:lang w:eastAsia="sv-SE"/>
              </w:rPr>
              <w:t xml:space="preserve"> in the </w:t>
            </w:r>
            <w:r w:rsidRPr="00FA0D37">
              <w:rPr>
                <w:i/>
                <w:lang w:eastAsia="sv-SE"/>
              </w:rPr>
              <w:t>NZP-CSI-RS-ResourceSet</w:t>
            </w:r>
            <w:r w:rsidRPr="00FA0D37">
              <w:rPr>
                <w:szCs w:val="22"/>
                <w:lang w:eastAsia="sv-SE"/>
              </w:rPr>
              <w:t xml:space="preserve"> indicated in the first entry of </w:t>
            </w:r>
            <w:r w:rsidRPr="00FA0D37">
              <w:rPr>
                <w:i/>
                <w:lang w:eastAsia="sv-SE"/>
              </w:rPr>
              <w:t>nzp-CSI-RS-ResourceSetList</w:t>
            </w:r>
            <w:r w:rsidRPr="00FA0D37">
              <w:rPr>
                <w:szCs w:val="22"/>
                <w:lang w:eastAsia="sv-SE"/>
              </w:rPr>
              <w:t xml:space="preserve"> of the </w:t>
            </w:r>
            <w:r w:rsidRPr="00FA0D37">
              <w:rPr>
                <w:i/>
                <w:lang w:eastAsia="sv-SE"/>
              </w:rPr>
              <w:t>CSI-ResourceConfig</w:t>
            </w:r>
            <w:r w:rsidRPr="00FA0D37">
              <w:rPr>
                <w:szCs w:val="22"/>
                <w:lang w:eastAsia="sv-SE"/>
              </w:rPr>
              <w:t xml:space="preserve"> whose </w:t>
            </w:r>
            <w:r w:rsidRPr="00FA0D37">
              <w:rPr>
                <w:i/>
                <w:lang w:eastAsia="sv-SE"/>
              </w:rPr>
              <w:t>CSI-ResourceConfigId</w:t>
            </w:r>
            <w:r w:rsidRPr="00FA0D37">
              <w:rPr>
                <w:szCs w:val="22"/>
                <w:lang w:eastAsia="sv-SE"/>
              </w:rPr>
              <w:t xml:space="preserve"> is indicated in a CSI-MeasId together with the above </w:t>
            </w:r>
            <w:r w:rsidRPr="00FA0D37">
              <w:rPr>
                <w:i/>
                <w:lang w:eastAsia="sv-SE"/>
              </w:rPr>
              <w:t>CSI-ReportConfigId</w:t>
            </w:r>
            <w:r w:rsidRPr="00FA0D37">
              <w:rPr>
                <w:szCs w:val="22"/>
                <w:lang w:eastAsia="sv-SE"/>
              </w:rPr>
              <w:t xml:space="preserve">; the second entry in </w:t>
            </w:r>
            <w:r w:rsidRPr="00FA0D37">
              <w:rPr>
                <w:i/>
                <w:lang w:eastAsia="sv-SE"/>
              </w:rPr>
              <w:t>non-PMI-PortIndication</w:t>
            </w:r>
            <w:r w:rsidRPr="00FA0D37">
              <w:rPr>
                <w:szCs w:val="22"/>
                <w:lang w:eastAsia="sv-SE"/>
              </w:rPr>
              <w:t xml:space="preserve"> corresponds to the NZP-CSI-RS-Resource indicated by the second entry in </w:t>
            </w:r>
            <w:r w:rsidRPr="00FA0D37">
              <w:rPr>
                <w:i/>
                <w:lang w:eastAsia="sv-SE"/>
              </w:rPr>
              <w:t>nzp-CSI-RS-Resources</w:t>
            </w:r>
            <w:r w:rsidRPr="00FA0D37">
              <w:rPr>
                <w:szCs w:val="22"/>
                <w:lang w:eastAsia="sv-SE"/>
              </w:rPr>
              <w:t xml:space="preserve"> in the </w:t>
            </w:r>
            <w:r w:rsidRPr="00FA0D37">
              <w:rPr>
                <w:i/>
                <w:lang w:eastAsia="sv-SE"/>
              </w:rPr>
              <w:t>NZP-CSI-RS-ResourceSet</w:t>
            </w:r>
            <w:r w:rsidRPr="00FA0D37">
              <w:rPr>
                <w:szCs w:val="22"/>
                <w:lang w:eastAsia="sv-SE"/>
              </w:rPr>
              <w:t xml:space="preserve"> indicated in the first entry of </w:t>
            </w:r>
            <w:r w:rsidRPr="00FA0D37">
              <w:rPr>
                <w:i/>
                <w:lang w:eastAsia="sv-SE"/>
              </w:rPr>
              <w:t>nzp-CSI-RS-ResourceSetList</w:t>
            </w:r>
            <w:r w:rsidRPr="00FA0D37">
              <w:rPr>
                <w:szCs w:val="22"/>
                <w:lang w:eastAsia="sv-SE"/>
              </w:rPr>
              <w:t xml:space="preserve"> of the same </w:t>
            </w:r>
            <w:r w:rsidRPr="00FA0D37">
              <w:rPr>
                <w:i/>
                <w:lang w:eastAsia="sv-SE"/>
              </w:rPr>
              <w:t>CSI-ResourceConfig</w:t>
            </w:r>
            <w:r w:rsidRPr="00FA0D37">
              <w:rPr>
                <w:szCs w:val="22"/>
                <w:lang w:eastAsia="sv-SE"/>
              </w:rPr>
              <w:t xml:space="preserve">, and so on until the NZP-CSI-RS-Resource indicated by the last entry in </w:t>
            </w:r>
            <w:r w:rsidRPr="00FA0D37">
              <w:rPr>
                <w:i/>
                <w:lang w:eastAsia="sv-SE"/>
              </w:rPr>
              <w:t>nzp-CSI-RS-Resources</w:t>
            </w:r>
            <w:r w:rsidRPr="00FA0D37">
              <w:rPr>
                <w:szCs w:val="22"/>
                <w:lang w:eastAsia="sv-SE"/>
              </w:rPr>
              <w:t xml:space="preserve"> in the in the </w:t>
            </w:r>
            <w:r w:rsidRPr="00FA0D37">
              <w:rPr>
                <w:i/>
                <w:lang w:eastAsia="sv-SE"/>
              </w:rPr>
              <w:t>NZP-CSI-RS-ResourceSet</w:t>
            </w:r>
            <w:r w:rsidRPr="00FA0D37">
              <w:rPr>
                <w:szCs w:val="22"/>
                <w:lang w:eastAsia="sv-SE"/>
              </w:rPr>
              <w:t xml:space="preserve"> indicated in the first entry of </w:t>
            </w:r>
            <w:r w:rsidRPr="00FA0D37">
              <w:rPr>
                <w:i/>
                <w:lang w:eastAsia="sv-SE"/>
              </w:rPr>
              <w:t>nzp-CSI-RS-ResourceSetList</w:t>
            </w:r>
            <w:r w:rsidRPr="00FA0D37">
              <w:rPr>
                <w:szCs w:val="22"/>
                <w:lang w:eastAsia="sv-SE"/>
              </w:rPr>
              <w:t xml:space="preserve"> of the same </w:t>
            </w:r>
            <w:r w:rsidRPr="00FA0D37">
              <w:rPr>
                <w:i/>
                <w:lang w:eastAsia="sv-SE"/>
              </w:rPr>
              <w:t>CSI-ResourceConfig</w:t>
            </w:r>
            <w:r w:rsidRPr="00FA0D37">
              <w:rPr>
                <w:szCs w:val="22"/>
                <w:lang w:eastAsia="sv-SE"/>
              </w:rPr>
              <w:t xml:space="preserve">. Then the next entry corresponds to the NZP-CSI-RS-Resource indicated by the first entry in </w:t>
            </w:r>
            <w:r w:rsidRPr="00FA0D37">
              <w:rPr>
                <w:i/>
                <w:lang w:eastAsia="sv-SE"/>
              </w:rPr>
              <w:t>nzp-CSI-RS-Resources</w:t>
            </w:r>
            <w:r w:rsidRPr="00FA0D37">
              <w:rPr>
                <w:szCs w:val="22"/>
                <w:lang w:eastAsia="sv-SE"/>
              </w:rPr>
              <w:t xml:space="preserve"> in the </w:t>
            </w:r>
            <w:r w:rsidRPr="00FA0D37">
              <w:rPr>
                <w:i/>
                <w:lang w:eastAsia="sv-SE"/>
              </w:rPr>
              <w:t>NZP-CSI-RS-ResourceSet</w:t>
            </w:r>
            <w:r w:rsidRPr="00FA0D37">
              <w:rPr>
                <w:szCs w:val="22"/>
                <w:lang w:eastAsia="sv-SE"/>
              </w:rPr>
              <w:t xml:space="preserve"> indicated in the second entry of </w:t>
            </w:r>
            <w:r w:rsidRPr="00FA0D37">
              <w:rPr>
                <w:i/>
                <w:lang w:eastAsia="sv-SE"/>
              </w:rPr>
              <w:t>nzp-CSI-RS-ResourceSetList</w:t>
            </w:r>
            <w:r w:rsidRPr="00FA0D37">
              <w:rPr>
                <w:szCs w:val="22"/>
                <w:lang w:eastAsia="sv-SE"/>
              </w:rPr>
              <w:t xml:space="preserve"> of the same </w:t>
            </w:r>
            <w:r w:rsidRPr="00FA0D37">
              <w:rPr>
                <w:i/>
                <w:lang w:eastAsia="sv-SE"/>
              </w:rPr>
              <w:t>CSI-ResourceConfig</w:t>
            </w:r>
            <w:r w:rsidRPr="00FA0D37">
              <w:rPr>
                <w:szCs w:val="22"/>
                <w:lang w:eastAsia="sv-SE"/>
              </w:rPr>
              <w:t xml:space="preserve"> and so on.</w:t>
            </w:r>
          </w:p>
        </w:tc>
      </w:tr>
      <w:tr w:rsidR="005C7FF4" w:rsidRPr="00FA0D37"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205D47" w:rsidRPr="00FA0D37" w:rsidRDefault="00205D47" w:rsidP="00771058">
            <w:pPr>
              <w:pStyle w:val="TAL"/>
              <w:rPr>
                <w:b/>
                <w:bCs/>
                <w:i/>
                <w:iCs/>
              </w:rPr>
            </w:pPr>
            <w:r w:rsidRPr="00FA0D37">
              <w:rPr>
                <w:b/>
                <w:bCs/>
                <w:i/>
                <w:iCs/>
              </w:rPr>
              <w:t>nrofReportedGroups</w:t>
            </w:r>
          </w:p>
          <w:p w14:paraId="71623163" w14:textId="61A151D0" w:rsidR="00205D47" w:rsidRPr="00FA0D37" w:rsidRDefault="00261E44" w:rsidP="00771058">
            <w:pPr>
              <w:pStyle w:val="TAL"/>
              <w:rPr>
                <w:b/>
                <w:i/>
                <w:szCs w:val="22"/>
                <w:lang w:eastAsia="sv-SE"/>
              </w:rPr>
            </w:pPr>
            <w:r w:rsidRPr="00FA0D37">
              <w:t>N</w:t>
            </w:r>
            <w:r w:rsidR="00205D47" w:rsidRPr="00FA0D37">
              <w:t xml:space="preserve">umber of reported </w:t>
            </w:r>
            <w:r w:rsidR="003C4B12" w:rsidRPr="00FA0D37">
              <w:t>resource</w:t>
            </w:r>
            <w:r w:rsidR="00205D47" w:rsidRPr="00FA0D37">
              <w:t xml:space="preserve"> groups per CSI-report</w:t>
            </w:r>
            <w:r w:rsidR="003A2D9D" w:rsidRPr="00FA0D37">
              <w:t>.</w:t>
            </w:r>
            <w:r w:rsidR="003C4B12" w:rsidRPr="00FA0D37">
              <w:t xml:space="preserve"> </w:t>
            </w:r>
            <w:r w:rsidR="003A2D9D" w:rsidRPr="00FA0D37">
              <w:t xml:space="preserve">Value </w:t>
            </w:r>
            <w:r w:rsidR="003C4B12" w:rsidRPr="00FA0D37">
              <w:rPr>
                <w:i/>
                <w:iCs/>
              </w:rPr>
              <w:t>n1</w:t>
            </w:r>
            <w:r w:rsidR="003C4B12" w:rsidRPr="00FA0D37">
              <w:t xml:space="preserve"> means one resource group, </w:t>
            </w:r>
            <w:r w:rsidR="003C4B12" w:rsidRPr="00FA0D37">
              <w:rPr>
                <w:i/>
                <w:iCs/>
              </w:rPr>
              <w:t>n2</w:t>
            </w:r>
            <w:r w:rsidR="003C4B12" w:rsidRPr="00FA0D37">
              <w:t xml:space="preserve"> means 2 resource groups, and so on</w:t>
            </w:r>
            <w:r w:rsidR="00205D47" w:rsidRPr="00FA0D37">
              <w:t xml:space="preserve">. </w:t>
            </w:r>
            <w:r w:rsidR="003C4B12" w:rsidRPr="00FA0D37">
              <w:t xml:space="preserve">If </w:t>
            </w:r>
            <w:r w:rsidR="003C4B12" w:rsidRPr="00FA0D37">
              <w:rPr>
                <w:i/>
                <w:iCs/>
              </w:rPr>
              <w:t>nrofReportedGroups</w:t>
            </w:r>
            <w:r w:rsidR="003C4B12" w:rsidRPr="00FA0D37">
              <w:t xml:space="preserve"> is configured, the UE ignores groupBasedBeamReporting (without suffix).</w:t>
            </w:r>
          </w:p>
        </w:tc>
      </w:tr>
      <w:tr w:rsidR="005C7FF4" w:rsidRPr="00FA0D37"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FA0D37" w:rsidRDefault="00394471" w:rsidP="00964CC4">
            <w:pPr>
              <w:pStyle w:val="TAL"/>
              <w:rPr>
                <w:szCs w:val="22"/>
                <w:lang w:eastAsia="sv-SE"/>
              </w:rPr>
            </w:pPr>
            <w:r w:rsidRPr="00FA0D37">
              <w:rPr>
                <w:b/>
                <w:i/>
                <w:szCs w:val="22"/>
                <w:lang w:eastAsia="sv-SE"/>
              </w:rPr>
              <w:lastRenderedPageBreak/>
              <w:t>nrofReportedRS</w:t>
            </w:r>
          </w:p>
          <w:p w14:paraId="421670E9" w14:textId="77777777" w:rsidR="00394471" w:rsidRPr="00FA0D37" w:rsidRDefault="00394471" w:rsidP="00964CC4">
            <w:pPr>
              <w:pStyle w:val="TAL"/>
              <w:rPr>
                <w:szCs w:val="22"/>
                <w:lang w:eastAsia="sv-SE"/>
              </w:rPr>
            </w:pPr>
            <w:r w:rsidRPr="00FA0D37">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FA0D37" w:rsidRDefault="00394471" w:rsidP="00964CC4">
            <w:pPr>
              <w:pStyle w:val="TAL"/>
              <w:rPr>
                <w:szCs w:val="22"/>
                <w:lang w:eastAsia="sv-SE"/>
              </w:rPr>
            </w:pPr>
            <w:r w:rsidRPr="00FA0D37">
              <w:rPr>
                <w:szCs w:val="22"/>
                <w:lang w:eastAsia="sv-SE"/>
              </w:rPr>
              <w:t>(see TS 38.214 [19], clause 5.2.1.4) When the field is absent the UE applies the value 1.</w:t>
            </w:r>
          </w:p>
        </w:tc>
      </w:tr>
      <w:tr w:rsidR="005C7FF4" w:rsidRPr="00FA0D37"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205D47" w:rsidRPr="00FA0D37" w:rsidRDefault="00205D47" w:rsidP="00771058">
            <w:pPr>
              <w:pStyle w:val="TAL"/>
              <w:rPr>
                <w:b/>
                <w:i/>
                <w:szCs w:val="22"/>
                <w:lang w:eastAsia="sv-SE"/>
              </w:rPr>
            </w:pPr>
            <w:r w:rsidRPr="00FA0D37">
              <w:rPr>
                <w:b/>
                <w:i/>
                <w:szCs w:val="22"/>
                <w:lang w:eastAsia="sv-SE"/>
              </w:rPr>
              <w:t>numberOfSingleTRP-CSI-Mode1</w:t>
            </w:r>
          </w:p>
          <w:p w14:paraId="1C4F1F5B" w14:textId="2D1FC65A" w:rsidR="00205D47" w:rsidRPr="00FA0D37" w:rsidRDefault="00205D47" w:rsidP="00771058">
            <w:pPr>
              <w:pStyle w:val="TAL"/>
              <w:rPr>
                <w:bCs/>
                <w:iCs/>
                <w:szCs w:val="22"/>
                <w:lang w:eastAsia="sv-SE"/>
              </w:rPr>
            </w:pPr>
            <w:r w:rsidRPr="00FA0D37">
              <w:rPr>
                <w:bCs/>
                <w:iCs/>
                <w:szCs w:val="22"/>
                <w:lang w:eastAsia="sv-SE"/>
              </w:rPr>
              <w:t xml:space="preserve">Configures the number of reported X CSIs </w:t>
            </w:r>
            <w:r w:rsidRPr="00FA0D37">
              <w:t xml:space="preserve">when </w:t>
            </w:r>
            <w:r w:rsidRPr="00FA0D37">
              <w:rPr>
                <w:i/>
                <w:iCs/>
              </w:rPr>
              <w:t>csi-ReportMode</w:t>
            </w:r>
            <w:r w:rsidRPr="00FA0D37">
              <w:t xml:space="preserve"> is set to </w:t>
            </w:r>
            <w:r w:rsidR="00C90514" w:rsidRPr="00FA0D37">
              <w:t>'</w:t>
            </w:r>
            <w:r w:rsidRPr="00FA0D37">
              <w:t>Mode 1</w:t>
            </w:r>
            <w:r w:rsidR="00C90514" w:rsidRPr="00FA0D37">
              <w:t>'</w:t>
            </w:r>
            <w:r w:rsidRPr="00FA0D37">
              <w:t xml:space="preserve"> as descri</w:t>
            </w:r>
            <w:r w:rsidR="00C90514" w:rsidRPr="00FA0D37">
              <w:t>b</w:t>
            </w:r>
            <w:r w:rsidRPr="00FA0D37">
              <w:t>ed in TS 38.214 [19], clause 5.2.1.4.2</w:t>
            </w:r>
            <w:r w:rsidRPr="00FA0D37">
              <w:rPr>
                <w:bCs/>
                <w:iCs/>
                <w:szCs w:val="22"/>
                <w:lang w:eastAsia="sv-SE"/>
              </w:rPr>
              <w:t>. The field is present only if csi-ReportMode configures Mode 1.</w:t>
            </w:r>
          </w:p>
        </w:tc>
      </w:tr>
      <w:tr w:rsidR="005C7FF4" w:rsidRPr="00FA0D37"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FA0D37" w:rsidRDefault="00394471" w:rsidP="00964CC4">
            <w:pPr>
              <w:pStyle w:val="TAL"/>
              <w:rPr>
                <w:szCs w:val="22"/>
                <w:lang w:eastAsia="sv-SE"/>
              </w:rPr>
            </w:pPr>
            <w:r w:rsidRPr="00FA0D37">
              <w:rPr>
                <w:b/>
                <w:i/>
                <w:szCs w:val="22"/>
                <w:lang w:eastAsia="sv-SE"/>
              </w:rPr>
              <w:t>nzp-CSI-RS-ResourcesForInterference</w:t>
            </w:r>
          </w:p>
          <w:p w14:paraId="568EFA7C" w14:textId="77777777" w:rsidR="00394471" w:rsidRPr="00FA0D37" w:rsidRDefault="00394471" w:rsidP="00964CC4">
            <w:pPr>
              <w:pStyle w:val="TAL"/>
              <w:rPr>
                <w:szCs w:val="22"/>
                <w:lang w:eastAsia="sv-SE"/>
              </w:rPr>
            </w:pPr>
            <w:r w:rsidRPr="00FA0D37">
              <w:rPr>
                <w:szCs w:val="22"/>
                <w:lang w:eastAsia="sv-SE"/>
              </w:rPr>
              <w:t xml:space="preserve">NZP CSI RS resources for interference measurement. </w:t>
            </w:r>
            <w:r w:rsidRPr="00FA0D37">
              <w:rPr>
                <w:i/>
                <w:lang w:eastAsia="sv-SE"/>
              </w:rPr>
              <w:t>csi-ResourceConfigId</w:t>
            </w:r>
            <w:r w:rsidRPr="00FA0D37">
              <w:rPr>
                <w:szCs w:val="22"/>
                <w:lang w:eastAsia="sv-SE"/>
              </w:rPr>
              <w:t xml:space="preserve"> of a </w:t>
            </w:r>
            <w:r w:rsidRPr="00FA0D37">
              <w:rPr>
                <w:i/>
                <w:lang w:eastAsia="sv-SE"/>
              </w:rPr>
              <w:t>CSI-ResourceConfig</w:t>
            </w:r>
            <w:r w:rsidRPr="00FA0D37">
              <w:rPr>
                <w:szCs w:val="22"/>
                <w:lang w:eastAsia="sv-SE"/>
              </w:rPr>
              <w:t xml:space="preserve"> included in the configuration of the serving cell indicated with the field "carrier" above. The </w:t>
            </w:r>
            <w:r w:rsidRPr="00FA0D37">
              <w:rPr>
                <w:i/>
                <w:lang w:eastAsia="sv-SE"/>
              </w:rPr>
              <w:t>CSI-ResourceConfig</w:t>
            </w:r>
            <w:r w:rsidRPr="00FA0D37">
              <w:rPr>
                <w:szCs w:val="22"/>
                <w:lang w:eastAsia="sv-SE"/>
              </w:rPr>
              <w:t xml:space="preserve"> indicated here contains only NZP-CSI-RS resources. The </w:t>
            </w:r>
            <w:r w:rsidRPr="00FA0D37">
              <w:rPr>
                <w:i/>
                <w:lang w:eastAsia="sv-SE"/>
              </w:rPr>
              <w:t>bwp-Id</w:t>
            </w:r>
            <w:r w:rsidRPr="00FA0D37">
              <w:rPr>
                <w:szCs w:val="22"/>
                <w:lang w:eastAsia="sv-SE"/>
              </w:rPr>
              <w:t xml:space="preserve"> in that </w:t>
            </w:r>
            <w:r w:rsidRPr="00FA0D37">
              <w:rPr>
                <w:i/>
                <w:lang w:eastAsia="sv-SE"/>
              </w:rPr>
              <w:t>CSI-ResourceConfig</w:t>
            </w:r>
            <w:r w:rsidRPr="00FA0D37">
              <w:rPr>
                <w:szCs w:val="22"/>
                <w:lang w:eastAsia="sv-SE"/>
              </w:rPr>
              <w:t xml:space="preserve"> is the same value as the </w:t>
            </w:r>
            <w:r w:rsidRPr="00FA0D37">
              <w:rPr>
                <w:i/>
                <w:lang w:eastAsia="sv-SE"/>
              </w:rPr>
              <w:t>bwp-Id</w:t>
            </w:r>
            <w:r w:rsidRPr="00FA0D37">
              <w:rPr>
                <w:szCs w:val="22"/>
                <w:lang w:eastAsia="sv-SE"/>
              </w:rPr>
              <w:t xml:space="preserve"> in the </w:t>
            </w:r>
            <w:r w:rsidRPr="00FA0D37">
              <w:rPr>
                <w:i/>
                <w:lang w:eastAsia="sv-SE"/>
              </w:rPr>
              <w:t>CSI-ResourceConfig</w:t>
            </w:r>
            <w:r w:rsidRPr="00FA0D37">
              <w:rPr>
                <w:szCs w:val="22"/>
                <w:lang w:eastAsia="sv-SE"/>
              </w:rPr>
              <w:t xml:space="preserve"> indicated by </w:t>
            </w:r>
            <w:r w:rsidRPr="00FA0D37">
              <w:rPr>
                <w:i/>
                <w:lang w:eastAsia="sv-SE"/>
              </w:rPr>
              <w:t>resourcesForChannelMeasurement</w:t>
            </w:r>
            <w:r w:rsidRPr="00FA0D37">
              <w:rPr>
                <w:szCs w:val="22"/>
                <w:lang w:eastAsia="sv-SE"/>
              </w:rPr>
              <w:t>.</w:t>
            </w:r>
          </w:p>
        </w:tc>
      </w:tr>
      <w:tr w:rsidR="005C7FF4" w:rsidRPr="00FA0D37"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FA0D37" w:rsidRDefault="00394471" w:rsidP="00964CC4">
            <w:pPr>
              <w:pStyle w:val="TAL"/>
              <w:rPr>
                <w:szCs w:val="22"/>
                <w:lang w:eastAsia="sv-SE"/>
              </w:rPr>
            </w:pPr>
            <w:r w:rsidRPr="00FA0D37">
              <w:rPr>
                <w:b/>
                <w:i/>
                <w:szCs w:val="22"/>
                <w:lang w:eastAsia="sv-SE"/>
              </w:rPr>
              <w:t>p0alpha</w:t>
            </w:r>
          </w:p>
          <w:p w14:paraId="70368365" w14:textId="77777777" w:rsidR="00394471" w:rsidRPr="00FA0D37" w:rsidRDefault="00394471" w:rsidP="00964CC4">
            <w:pPr>
              <w:pStyle w:val="TAL"/>
              <w:rPr>
                <w:szCs w:val="22"/>
                <w:lang w:eastAsia="sv-SE"/>
              </w:rPr>
            </w:pPr>
            <w:r w:rsidRPr="00FA0D37">
              <w:rPr>
                <w:szCs w:val="22"/>
                <w:lang w:eastAsia="sv-SE"/>
              </w:rPr>
              <w:t>Index of the p0-alpha set determining the power control for this CSI report transmission (see TS 38.214 [19], clause 6.2.1.2).</w:t>
            </w:r>
          </w:p>
        </w:tc>
      </w:tr>
      <w:tr w:rsidR="005C7FF4" w:rsidRPr="00FA0D37"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FA0D37" w:rsidRDefault="00394471" w:rsidP="00964CC4">
            <w:pPr>
              <w:pStyle w:val="TAL"/>
              <w:rPr>
                <w:szCs w:val="22"/>
                <w:lang w:eastAsia="sv-SE"/>
              </w:rPr>
            </w:pPr>
            <w:r w:rsidRPr="00FA0D37">
              <w:rPr>
                <w:b/>
                <w:i/>
                <w:szCs w:val="22"/>
                <w:lang w:eastAsia="sv-SE"/>
              </w:rPr>
              <w:t>pdsch-BundleSizeForCSI</w:t>
            </w:r>
          </w:p>
          <w:p w14:paraId="2EB2FFDB" w14:textId="77777777" w:rsidR="00394471" w:rsidRPr="00FA0D37" w:rsidRDefault="00394471" w:rsidP="00964CC4">
            <w:pPr>
              <w:pStyle w:val="TAL"/>
              <w:rPr>
                <w:szCs w:val="22"/>
                <w:lang w:eastAsia="sv-SE"/>
              </w:rPr>
            </w:pPr>
            <w:r w:rsidRPr="00FA0D37">
              <w:rPr>
                <w:szCs w:val="22"/>
                <w:lang w:eastAsia="sv-SE"/>
              </w:rPr>
              <w:t xml:space="preserve">PRB bundling size to assume for CQI calculation when </w:t>
            </w:r>
            <w:r w:rsidRPr="00FA0D37">
              <w:rPr>
                <w:i/>
                <w:lang w:eastAsia="sv-SE"/>
              </w:rPr>
              <w:t>reportQuantity</w:t>
            </w:r>
            <w:r w:rsidRPr="00FA0D37">
              <w:rPr>
                <w:szCs w:val="22"/>
                <w:lang w:eastAsia="sv-SE"/>
              </w:rPr>
              <w:t xml:space="preserve"> is CRI/RI/i1/CQI. If the field is absent, the UE assumes that no PRB bundling is applied (see TS 38.214 [19], clause 5.2.1.4.2).</w:t>
            </w:r>
          </w:p>
        </w:tc>
      </w:tr>
      <w:tr w:rsidR="005C7FF4" w:rsidRPr="00FA0D37"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FA0D37" w:rsidRDefault="00394471" w:rsidP="00964CC4">
            <w:pPr>
              <w:pStyle w:val="TAL"/>
              <w:rPr>
                <w:szCs w:val="22"/>
                <w:lang w:eastAsia="sv-SE"/>
              </w:rPr>
            </w:pPr>
            <w:r w:rsidRPr="00FA0D37">
              <w:rPr>
                <w:b/>
                <w:i/>
                <w:szCs w:val="22"/>
                <w:lang w:eastAsia="sv-SE"/>
              </w:rPr>
              <w:t>pmi-FormatIndicator</w:t>
            </w:r>
          </w:p>
          <w:p w14:paraId="338DDE8F" w14:textId="77777777" w:rsidR="00394471" w:rsidRPr="00FA0D37" w:rsidRDefault="00394471" w:rsidP="00964CC4">
            <w:pPr>
              <w:pStyle w:val="TAL"/>
              <w:rPr>
                <w:szCs w:val="22"/>
                <w:lang w:eastAsia="sv-SE"/>
              </w:rPr>
            </w:pPr>
            <w:r w:rsidRPr="00FA0D37">
              <w:rPr>
                <w:szCs w:val="22"/>
                <w:lang w:eastAsia="sv-SE"/>
              </w:rPr>
              <w:t>Indicates whether the UE shall report a single (wideband) or multiple (subband) PMI. (see TS 38.214 [19], clause 5.2.1.4).</w:t>
            </w:r>
          </w:p>
        </w:tc>
      </w:tr>
      <w:tr w:rsidR="005C7FF4" w:rsidRPr="00FA0D37"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FA0D37" w:rsidRDefault="00394471" w:rsidP="00964CC4">
            <w:pPr>
              <w:pStyle w:val="TAL"/>
              <w:rPr>
                <w:szCs w:val="22"/>
                <w:lang w:eastAsia="sv-SE"/>
              </w:rPr>
            </w:pPr>
            <w:r w:rsidRPr="00FA0D37">
              <w:rPr>
                <w:b/>
                <w:i/>
                <w:szCs w:val="22"/>
                <w:lang w:eastAsia="sv-SE"/>
              </w:rPr>
              <w:t>pucch-CSI-ResourceList</w:t>
            </w:r>
          </w:p>
          <w:p w14:paraId="340FE979" w14:textId="77777777" w:rsidR="00394471" w:rsidRPr="00FA0D37" w:rsidRDefault="00394471" w:rsidP="00964CC4">
            <w:pPr>
              <w:pStyle w:val="TAL"/>
              <w:rPr>
                <w:szCs w:val="22"/>
                <w:lang w:eastAsia="sv-SE"/>
              </w:rPr>
            </w:pPr>
            <w:r w:rsidRPr="00FA0D37">
              <w:rPr>
                <w:szCs w:val="22"/>
                <w:lang w:eastAsia="sv-SE"/>
              </w:rPr>
              <w:t>Indicates which PUCCH resource to use for reporting on PUCCH.</w:t>
            </w:r>
          </w:p>
        </w:tc>
      </w:tr>
      <w:tr w:rsidR="005C7FF4" w:rsidRPr="00FA0D37"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FA0D37" w:rsidRDefault="00394471" w:rsidP="00964CC4">
            <w:pPr>
              <w:pStyle w:val="TAL"/>
              <w:rPr>
                <w:szCs w:val="22"/>
                <w:lang w:eastAsia="sv-SE"/>
              </w:rPr>
            </w:pPr>
            <w:r w:rsidRPr="00FA0D37">
              <w:rPr>
                <w:b/>
                <w:i/>
                <w:szCs w:val="22"/>
                <w:lang w:eastAsia="sv-SE"/>
              </w:rPr>
              <w:t>reportConfigType</w:t>
            </w:r>
          </w:p>
          <w:p w14:paraId="47C6B700" w14:textId="77777777" w:rsidR="00394471" w:rsidRPr="00FA0D37" w:rsidRDefault="00394471" w:rsidP="00964CC4">
            <w:pPr>
              <w:pStyle w:val="TAL"/>
              <w:rPr>
                <w:szCs w:val="22"/>
                <w:lang w:eastAsia="sv-SE"/>
              </w:rPr>
            </w:pPr>
            <w:r w:rsidRPr="00FA0D37">
              <w:rPr>
                <w:szCs w:val="22"/>
                <w:lang w:eastAsia="sv-SE"/>
              </w:rPr>
              <w:t>Time domain behavior of reporting configuration.</w:t>
            </w:r>
          </w:p>
        </w:tc>
      </w:tr>
      <w:tr w:rsidR="005C7FF4" w:rsidRPr="00FA0D37"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FA0D37" w:rsidRDefault="00394471" w:rsidP="00964CC4">
            <w:pPr>
              <w:pStyle w:val="TAL"/>
              <w:rPr>
                <w:szCs w:val="22"/>
                <w:lang w:eastAsia="sv-SE"/>
              </w:rPr>
            </w:pPr>
            <w:r w:rsidRPr="00FA0D37">
              <w:rPr>
                <w:b/>
                <w:i/>
                <w:szCs w:val="22"/>
                <w:lang w:eastAsia="sv-SE"/>
              </w:rPr>
              <w:t>reportFreqConfiguration</w:t>
            </w:r>
          </w:p>
          <w:p w14:paraId="31424D67" w14:textId="77777777" w:rsidR="00394471" w:rsidRPr="00FA0D37" w:rsidRDefault="00394471" w:rsidP="00964CC4">
            <w:pPr>
              <w:pStyle w:val="TAL"/>
              <w:rPr>
                <w:szCs w:val="22"/>
                <w:lang w:eastAsia="sv-SE"/>
              </w:rPr>
            </w:pPr>
            <w:r w:rsidRPr="00FA0D37">
              <w:rPr>
                <w:szCs w:val="22"/>
                <w:lang w:eastAsia="sv-SE"/>
              </w:rPr>
              <w:t>Reporting configuration in the frequency domain. (see TS 38.214 [19], clause 5.2.1.4).</w:t>
            </w:r>
          </w:p>
        </w:tc>
      </w:tr>
      <w:tr w:rsidR="005C7FF4" w:rsidRPr="00FA0D37"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FA0D37" w:rsidRDefault="00394471" w:rsidP="00964CC4">
            <w:pPr>
              <w:pStyle w:val="TAL"/>
              <w:rPr>
                <w:szCs w:val="22"/>
                <w:lang w:eastAsia="sv-SE"/>
              </w:rPr>
            </w:pPr>
            <w:r w:rsidRPr="00FA0D37">
              <w:rPr>
                <w:b/>
                <w:i/>
                <w:szCs w:val="22"/>
                <w:lang w:eastAsia="sv-SE"/>
              </w:rPr>
              <w:t>reportQuantity</w:t>
            </w:r>
          </w:p>
          <w:p w14:paraId="73B7A521" w14:textId="3E9B5896" w:rsidR="00394471" w:rsidRPr="00FA0D37" w:rsidRDefault="00394471" w:rsidP="00964CC4">
            <w:pPr>
              <w:pStyle w:val="TAL"/>
              <w:rPr>
                <w:szCs w:val="22"/>
                <w:lang w:eastAsia="sv-SE"/>
              </w:rPr>
            </w:pPr>
            <w:r w:rsidRPr="00FA0D37">
              <w:rPr>
                <w:szCs w:val="22"/>
                <w:lang w:eastAsia="sv-SE"/>
              </w:rPr>
              <w:t xml:space="preserve">The CSI related quantities to report. see TS 38.214 [19], clause 5.2.1. If the field </w:t>
            </w:r>
            <w:r w:rsidRPr="00FA0D37">
              <w:rPr>
                <w:i/>
                <w:szCs w:val="22"/>
                <w:lang w:eastAsia="sv-SE"/>
              </w:rPr>
              <w:t>reportQuantity-r16</w:t>
            </w:r>
            <w:r w:rsidRPr="00FA0D37">
              <w:rPr>
                <w:szCs w:val="22"/>
                <w:lang w:eastAsia="sv-SE"/>
              </w:rPr>
              <w:t xml:space="preserve"> </w:t>
            </w:r>
            <w:r w:rsidR="00184EE0" w:rsidRPr="00FA0D37">
              <w:rPr>
                <w:szCs w:val="22"/>
                <w:lang w:eastAsia="sv-SE"/>
              </w:rPr>
              <w:t xml:space="preserve">or </w:t>
            </w:r>
            <w:r w:rsidR="00184EE0" w:rsidRPr="00FA0D37">
              <w:rPr>
                <w:i/>
                <w:szCs w:val="22"/>
                <w:lang w:eastAsia="sv-SE"/>
              </w:rPr>
              <w:t>reportQuantity-r17</w:t>
            </w:r>
            <w:r w:rsidR="00184EE0" w:rsidRPr="00FA0D37">
              <w:rPr>
                <w:szCs w:val="22"/>
                <w:lang w:eastAsia="sv-SE"/>
              </w:rPr>
              <w:t xml:space="preserve"> </w:t>
            </w:r>
            <w:r w:rsidRPr="00FA0D37">
              <w:rPr>
                <w:szCs w:val="22"/>
                <w:lang w:eastAsia="sv-SE"/>
              </w:rPr>
              <w:t xml:space="preserve">is present, UE shall ignore </w:t>
            </w:r>
            <w:r w:rsidRPr="00FA0D37">
              <w:rPr>
                <w:i/>
                <w:szCs w:val="22"/>
                <w:lang w:eastAsia="sv-SE"/>
              </w:rPr>
              <w:t xml:space="preserve">reportQuantity </w:t>
            </w:r>
            <w:r w:rsidRPr="00FA0D37">
              <w:rPr>
                <w:szCs w:val="22"/>
                <w:lang w:eastAsia="sv-SE"/>
              </w:rPr>
              <w:t>(without suffix).</w:t>
            </w:r>
            <w:r w:rsidR="008779EC" w:rsidRPr="00FA0D37">
              <w:rPr>
                <w:szCs w:val="22"/>
                <w:lang w:eastAsia="sv-SE"/>
              </w:rPr>
              <w:t xml:space="preserve"> Network does not configure </w:t>
            </w:r>
            <w:r w:rsidR="008779EC" w:rsidRPr="00FA0D37">
              <w:rPr>
                <w:i/>
                <w:szCs w:val="22"/>
                <w:lang w:eastAsia="sv-SE"/>
              </w:rPr>
              <w:t xml:space="preserve">reportQuantity-r17 </w:t>
            </w:r>
            <w:r w:rsidR="008779EC" w:rsidRPr="00FA0D37">
              <w:rPr>
                <w:iCs/>
                <w:szCs w:val="22"/>
                <w:lang w:eastAsia="sv-SE"/>
              </w:rPr>
              <w:t>together with</w:t>
            </w:r>
            <w:r w:rsidR="008779EC" w:rsidRPr="00FA0D37">
              <w:rPr>
                <w:i/>
                <w:szCs w:val="22"/>
                <w:lang w:eastAsia="sv-SE"/>
              </w:rPr>
              <w:t xml:space="preserve"> reportQuantity-r16.</w:t>
            </w:r>
          </w:p>
        </w:tc>
      </w:tr>
      <w:tr w:rsidR="005C7FF4" w:rsidRPr="00FA0D37"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FA0D37" w:rsidRDefault="00394471" w:rsidP="00964CC4">
            <w:pPr>
              <w:pStyle w:val="TAL"/>
              <w:rPr>
                <w:szCs w:val="22"/>
                <w:lang w:eastAsia="sv-SE"/>
              </w:rPr>
            </w:pPr>
            <w:r w:rsidRPr="00FA0D37">
              <w:rPr>
                <w:b/>
                <w:i/>
                <w:szCs w:val="22"/>
                <w:lang w:eastAsia="sv-SE"/>
              </w:rPr>
              <w:t>reportSlotConfig</w:t>
            </w:r>
          </w:p>
          <w:p w14:paraId="56A4B87B" w14:textId="62EF7DBE" w:rsidR="00394471" w:rsidRPr="00FA0D37" w:rsidRDefault="00394471" w:rsidP="00964CC4">
            <w:pPr>
              <w:pStyle w:val="TAL"/>
              <w:rPr>
                <w:szCs w:val="22"/>
                <w:lang w:eastAsia="sv-SE"/>
              </w:rPr>
            </w:pPr>
            <w:r w:rsidRPr="00FA0D37">
              <w:rPr>
                <w:szCs w:val="22"/>
                <w:lang w:eastAsia="sv-SE"/>
              </w:rPr>
              <w:t xml:space="preserve">Periodicity and slot offset (see TS 38.214 [19], clause 5.2.1.4). If the field </w:t>
            </w:r>
            <w:r w:rsidRPr="00FA0D37">
              <w:rPr>
                <w:i/>
                <w:szCs w:val="22"/>
                <w:lang w:eastAsia="sv-SE"/>
              </w:rPr>
              <w:t>reportSlotConfig-v1530</w:t>
            </w:r>
            <w:r w:rsidRPr="00FA0D37">
              <w:rPr>
                <w:szCs w:val="22"/>
                <w:lang w:eastAsia="sv-SE"/>
              </w:rPr>
              <w:t xml:space="preserve"> is present, the UE shall ignore the value provided in </w:t>
            </w:r>
            <w:r w:rsidRPr="00FA0D37">
              <w:rPr>
                <w:i/>
                <w:lang w:eastAsia="sv-SE"/>
              </w:rPr>
              <w:t xml:space="preserve">reportSlotConfig </w:t>
            </w:r>
            <w:r w:rsidRPr="00FA0D37">
              <w:rPr>
                <w:lang w:eastAsia="sv-SE"/>
              </w:rPr>
              <w:t>(without suffix</w:t>
            </w:r>
            <w:r w:rsidRPr="00FA0D37">
              <w:rPr>
                <w:szCs w:val="22"/>
                <w:lang w:eastAsia="sv-SE"/>
              </w:rPr>
              <w:t>).</w:t>
            </w:r>
          </w:p>
        </w:tc>
      </w:tr>
      <w:tr w:rsidR="005C7FF4" w:rsidRPr="00FA0D37"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FA0D37" w:rsidRDefault="00394471" w:rsidP="00964CC4">
            <w:pPr>
              <w:pStyle w:val="TAL"/>
              <w:rPr>
                <w:szCs w:val="22"/>
                <w:lang w:eastAsia="sv-SE"/>
              </w:rPr>
            </w:pPr>
            <w:r w:rsidRPr="00FA0D37">
              <w:rPr>
                <w:b/>
                <w:i/>
                <w:szCs w:val="22"/>
                <w:lang w:eastAsia="sv-SE"/>
              </w:rPr>
              <w:t>reportSlotOffsetList, reportSlotOffsetListDCI-0-1</w:t>
            </w:r>
            <w:r w:rsidRPr="00FA0D37">
              <w:rPr>
                <w:szCs w:val="22"/>
                <w:lang w:eastAsia="zh-CN"/>
              </w:rPr>
              <w:t xml:space="preserve">, </w:t>
            </w:r>
            <w:r w:rsidRPr="00FA0D37">
              <w:rPr>
                <w:b/>
                <w:i/>
                <w:szCs w:val="22"/>
                <w:lang w:eastAsia="sv-SE"/>
              </w:rPr>
              <w:t>reportSlotOffsetListDCI-0-2</w:t>
            </w:r>
          </w:p>
          <w:p w14:paraId="673A88BD" w14:textId="77777777" w:rsidR="00394471" w:rsidRPr="00FA0D37" w:rsidRDefault="00394471" w:rsidP="00964CC4">
            <w:pPr>
              <w:pStyle w:val="TAL"/>
              <w:rPr>
                <w:szCs w:val="22"/>
                <w:lang w:eastAsia="sv-SE"/>
              </w:rPr>
            </w:pPr>
            <w:r w:rsidRPr="00FA0D37">
              <w:rPr>
                <w:szCs w:val="22"/>
                <w:lang w:eastAsia="sv-SE"/>
              </w:rPr>
              <w:t xml:space="preserve">Timing offset Y for semi persistent reporting using PUSCH. This field lists the allowed offset values. This list must have the same number of entries as the </w:t>
            </w:r>
            <w:r w:rsidRPr="00FA0D37">
              <w:rPr>
                <w:i/>
                <w:szCs w:val="22"/>
                <w:lang w:eastAsia="sv-SE"/>
              </w:rPr>
              <w:t>pusch-TimeDomainAllocationList</w:t>
            </w:r>
            <w:r w:rsidRPr="00FA0D37">
              <w:rPr>
                <w:szCs w:val="22"/>
                <w:lang w:eastAsia="sv-SE"/>
              </w:rPr>
              <w:t xml:space="preserve"> in </w:t>
            </w:r>
            <w:r w:rsidRPr="00FA0D37">
              <w:rPr>
                <w:i/>
                <w:szCs w:val="22"/>
                <w:lang w:eastAsia="sv-SE"/>
              </w:rPr>
              <w:t>PUSCH-Config</w:t>
            </w:r>
            <w:r w:rsidRPr="00FA0D3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FA0D37" w:rsidRDefault="00394471" w:rsidP="00964CC4">
            <w:pPr>
              <w:pStyle w:val="TAL"/>
              <w:rPr>
                <w:szCs w:val="22"/>
                <w:lang w:eastAsia="sv-SE"/>
              </w:rPr>
            </w:pPr>
            <w:r w:rsidRPr="00FA0D37">
              <w:rPr>
                <w:szCs w:val="22"/>
                <w:lang w:eastAsia="sv-SE"/>
              </w:rPr>
              <w:t xml:space="preserve">Timing offset Y for aperiodic reporting using PUSCH. This field lists the allowed offset values. This list must have the same number of entries as the </w:t>
            </w:r>
            <w:r w:rsidRPr="00FA0D37">
              <w:rPr>
                <w:i/>
                <w:szCs w:val="22"/>
                <w:lang w:eastAsia="sv-SE"/>
              </w:rPr>
              <w:t>pusch-TimeDomainAllocationList</w:t>
            </w:r>
            <w:r w:rsidRPr="00FA0D37">
              <w:rPr>
                <w:szCs w:val="22"/>
                <w:lang w:eastAsia="sv-SE"/>
              </w:rPr>
              <w:t xml:space="preserve"> in </w:t>
            </w:r>
            <w:r w:rsidRPr="00FA0D37">
              <w:rPr>
                <w:i/>
                <w:szCs w:val="22"/>
                <w:lang w:eastAsia="sv-SE"/>
              </w:rPr>
              <w:t>PUSCH-Config</w:t>
            </w:r>
            <w:r w:rsidRPr="00FA0D3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D50BCB" w:rsidRPr="00FA0D37" w:rsidRDefault="00394471" w:rsidP="00D50BCB">
            <w:pPr>
              <w:pStyle w:val="TAL"/>
              <w:rPr>
                <w:szCs w:val="22"/>
                <w:lang w:eastAsia="sv-SE"/>
              </w:rPr>
            </w:pPr>
            <w:r w:rsidRPr="00FA0D37">
              <w:rPr>
                <w:szCs w:val="22"/>
                <w:lang w:eastAsia="sv-SE"/>
              </w:rPr>
              <w:t xml:space="preserve">The field </w:t>
            </w:r>
            <w:r w:rsidRPr="00FA0D37">
              <w:rPr>
                <w:i/>
                <w:szCs w:val="22"/>
                <w:lang w:eastAsia="sv-SE"/>
              </w:rPr>
              <w:t>reportSlotOffsetListDCI-0-1</w:t>
            </w:r>
            <w:r w:rsidRPr="00FA0D37">
              <w:rPr>
                <w:szCs w:val="22"/>
                <w:lang w:eastAsia="sv-SE"/>
              </w:rPr>
              <w:t xml:space="preserve"> </w:t>
            </w:r>
            <w:r w:rsidRPr="00FA0D37">
              <w:rPr>
                <w:szCs w:val="22"/>
              </w:rPr>
              <w:t>applies</w:t>
            </w:r>
            <w:r w:rsidRPr="00FA0D37">
              <w:rPr>
                <w:szCs w:val="22"/>
                <w:lang w:eastAsia="sv-SE"/>
              </w:rPr>
              <w:t xml:space="preserve"> to DCI format 0_1 and the field </w:t>
            </w:r>
            <w:r w:rsidRPr="00FA0D37">
              <w:rPr>
                <w:i/>
                <w:szCs w:val="22"/>
                <w:lang w:eastAsia="sv-SE"/>
              </w:rPr>
              <w:t>reportSlotOffsetListDCI-0-2</w:t>
            </w:r>
            <w:r w:rsidRPr="00FA0D37">
              <w:rPr>
                <w:szCs w:val="22"/>
                <w:lang w:eastAsia="sv-SE"/>
              </w:rPr>
              <w:t xml:space="preserve"> </w:t>
            </w:r>
            <w:r w:rsidRPr="00FA0D37">
              <w:rPr>
                <w:szCs w:val="22"/>
              </w:rPr>
              <w:t>applies</w:t>
            </w:r>
            <w:r w:rsidRPr="00FA0D37">
              <w:rPr>
                <w:szCs w:val="22"/>
                <w:lang w:eastAsia="sv-SE"/>
              </w:rPr>
              <w:t xml:space="preserve"> to DCI format 0_2 (see TS 38.214 [19], clause 6.1.2.1).</w:t>
            </w:r>
          </w:p>
          <w:p w14:paraId="4B9CAD00" w14:textId="1006884D" w:rsidR="00394471" w:rsidRPr="00FA0D37" w:rsidRDefault="00D50BCB" w:rsidP="00D50BCB">
            <w:pPr>
              <w:pStyle w:val="TAL"/>
              <w:rPr>
                <w:szCs w:val="22"/>
                <w:lang w:eastAsia="sv-SE"/>
              </w:rPr>
            </w:pPr>
            <w:r w:rsidRPr="00FA0D37">
              <w:rPr>
                <w:szCs w:val="22"/>
                <w:lang w:eastAsia="sv-SE"/>
              </w:rPr>
              <w:t>The fields</w:t>
            </w:r>
            <w:r w:rsidRPr="00FA0D37">
              <w:rPr>
                <w:i/>
                <w:iCs/>
                <w:szCs w:val="22"/>
                <w:lang w:eastAsia="sv-SE"/>
              </w:rPr>
              <w:t xml:space="preserve"> </w:t>
            </w:r>
            <w:r w:rsidRPr="00FA0D37">
              <w:rPr>
                <w:i/>
                <w:iCs/>
              </w:rPr>
              <w:t>reportSlotOffsetList-r17</w:t>
            </w:r>
            <w:r w:rsidRPr="00FA0D37">
              <w:t xml:space="preserve">, </w:t>
            </w:r>
            <w:r w:rsidRPr="00FA0D37">
              <w:rPr>
                <w:i/>
                <w:iCs/>
              </w:rPr>
              <w:t>reportSlotOffsetListDCI-0-1-r17</w:t>
            </w:r>
            <w:r w:rsidRPr="00FA0D37">
              <w:t xml:space="preserve"> and </w:t>
            </w:r>
            <w:r w:rsidRPr="00FA0D37">
              <w:rPr>
                <w:i/>
                <w:iCs/>
              </w:rPr>
              <w:t>reportSlotOffsetListDCI-0-2-r17</w:t>
            </w:r>
            <w:r w:rsidRPr="00FA0D37">
              <w:t xml:space="preserve"> are</w:t>
            </w:r>
            <w:r w:rsidRPr="00FA0D37">
              <w:rPr>
                <w:szCs w:val="22"/>
                <w:lang w:eastAsia="sv-SE"/>
              </w:rPr>
              <w:t xml:space="preserve"> only applicable for SCS 480 kHz and 960 kHz and if they are configured, the UE shall ignore the fields</w:t>
            </w:r>
            <w:r w:rsidRPr="00FA0D37">
              <w:rPr>
                <w:i/>
                <w:iCs/>
                <w:szCs w:val="22"/>
                <w:lang w:eastAsia="sv-SE"/>
              </w:rPr>
              <w:t xml:space="preserve"> </w:t>
            </w:r>
            <w:r w:rsidRPr="00FA0D37">
              <w:rPr>
                <w:i/>
                <w:iCs/>
              </w:rPr>
              <w:t xml:space="preserve">reportSlotOffsetList </w:t>
            </w:r>
            <w:r w:rsidRPr="00FA0D37">
              <w:rPr>
                <w:szCs w:val="22"/>
                <w:lang w:eastAsia="sv-SE"/>
              </w:rPr>
              <w:t>(without suffix)</w:t>
            </w:r>
            <w:r w:rsidRPr="00FA0D37">
              <w:t xml:space="preserve">, </w:t>
            </w:r>
            <w:r w:rsidRPr="00FA0D37">
              <w:rPr>
                <w:i/>
                <w:iCs/>
              </w:rPr>
              <w:t xml:space="preserve">reportSlotOffsetListDCI-0-1 </w:t>
            </w:r>
            <w:r w:rsidRPr="00FA0D37">
              <w:rPr>
                <w:szCs w:val="22"/>
                <w:lang w:eastAsia="sv-SE"/>
              </w:rPr>
              <w:t>(without suffix)</w:t>
            </w:r>
            <w:r w:rsidRPr="00FA0D37">
              <w:rPr>
                <w:rFonts w:cs="Arial"/>
                <w:szCs w:val="18"/>
                <w:lang w:eastAsia="sv-SE"/>
              </w:rPr>
              <w:t xml:space="preserve"> </w:t>
            </w:r>
            <w:r w:rsidRPr="00FA0D37">
              <w:t xml:space="preserve">and </w:t>
            </w:r>
            <w:r w:rsidRPr="00FA0D37">
              <w:rPr>
                <w:i/>
                <w:iCs/>
              </w:rPr>
              <w:t>reportSlotOffsetListDCI-0-2</w:t>
            </w:r>
            <w:r w:rsidRPr="00FA0D37">
              <w:t xml:space="preserve"> </w:t>
            </w:r>
            <w:r w:rsidRPr="00FA0D37">
              <w:rPr>
                <w:szCs w:val="22"/>
                <w:lang w:eastAsia="sv-SE"/>
              </w:rPr>
              <w:t>(without suffix)</w:t>
            </w:r>
            <w:r w:rsidRPr="00FA0D37">
              <w:rPr>
                <w:rFonts w:cs="Arial"/>
                <w:szCs w:val="18"/>
                <w:lang w:eastAsia="sv-SE"/>
              </w:rPr>
              <w:t xml:space="preserve"> for SCS 480 kHz and 960 kHz</w:t>
            </w:r>
            <w:r w:rsidRPr="00FA0D37">
              <w:rPr>
                <w:szCs w:val="22"/>
                <w:lang w:eastAsia="sv-SE"/>
              </w:rPr>
              <w:t>.</w:t>
            </w:r>
          </w:p>
        </w:tc>
      </w:tr>
      <w:tr w:rsidR="005C7FF4" w:rsidRPr="00FA0D37"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FA0D37" w:rsidRDefault="00394471" w:rsidP="00964CC4">
            <w:pPr>
              <w:pStyle w:val="TAL"/>
              <w:rPr>
                <w:szCs w:val="22"/>
                <w:lang w:eastAsia="sv-SE"/>
              </w:rPr>
            </w:pPr>
            <w:r w:rsidRPr="00FA0D37">
              <w:rPr>
                <w:b/>
                <w:i/>
                <w:szCs w:val="22"/>
                <w:lang w:eastAsia="sv-SE"/>
              </w:rPr>
              <w:lastRenderedPageBreak/>
              <w:t>resourcesForChannelMeasurement</w:t>
            </w:r>
          </w:p>
          <w:p w14:paraId="403A9468" w14:textId="77777777" w:rsidR="00394471" w:rsidRPr="00FA0D37" w:rsidRDefault="00394471" w:rsidP="00964CC4">
            <w:pPr>
              <w:pStyle w:val="TAL"/>
              <w:rPr>
                <w:szCs w:val="22"/>
                <w:lang w:eastAsia="sv-SE"/>
              </w:rPr>
            </w:pPr>
            <w:r w:rsidRPr="00FA0D37">
              <w:rPr>
                <w:szCs w:val="22"/>
                <w:lang w:eastAsia="sv-SE"/>
              </w:rPr>
              <w:t xml:space="preserve">Resources for channel measurement. </w:t>
            </w:r>
            <w:r w:rsidRPr="00FA0D37">
              <w:rPr>
                <w:i/>
                <w:lang w:eastAsia="sv-SE"/>
              </w:rPr>
              <w:t>csi-ResourceConfigId</w:t>
            </w:r>
            <w:r w:rsidRPr="00FA0D37">
              <w:rPr>
                <w:szCs w:val="22"/>
                <w:lang w:eastAsia="sv-SE"/>
              </w:rPr>
              <w:t xml:space="preserve"> of a </w:t>
            </w:r>
            <w:r w:rsidRPr="00FA0D37">
              <w:rPr>
                <w:i/>
                <w:lang w:eastAsia="sv-SE"/>
              </w:rPr>
              <w:t>CSI-ResourceConfig</w:t>
            </w:r>
            <w:r w:rsidRPr="00FA0D37">
              <w:rPr>
                <w:szCs w:val="22"/>
                <w:lang w:eastAsia="sv-SE"/>
              </w:rPr>
              <w:t xml:space="preserve"> included in the configuration of the serving cell indicated with the field "carrier" above. The </w:t>
            </w:r>
            <w:r w:rsidRPr="00FA0D37">
              <w:rPr>
                <w:i/>
                <w:lang w:eastAsia="sv-SE"/>
              </w:rPr>
              <w:t>CSI-ResourceConfig</w:t>
            </w:r>
            <w:r w:rsidRPr="00FA0D37">
              <w:rPr>
                <w:szCs w:val="22"/>
                <w:lang w:eastAsia="sv-SE"/>
              </w:rPr>
              <w:t xml:space="preserve"> indicated here contains only NZP-CSI-RS resources and/or SSB resources. This </w:t>
            </w:r>
            <w:r w:rsidRPr="00FA0D37">
              <w:rPr>
                <w:i/>
                <w:lang w:eastAsia="sv-SE"/>
              </w:rPr>
              <w:t>CSI-ReportConfig</w:t>
            </w:r>
            <w:r w:rsidRPr="00FA0D37">
              <w:rPr>
                <w:szCs w:val="22"/>
                <w:lang w:eastAsia="sv-SE"/>
              </w:rPr>
              <w:t xml:space="preserve"> is associated with the DL BWP indicated by </w:t>
            </w:r>
            <w:r w:rsidRPr="00FA0D37">
              <w:rPr>
                <w:i/>
                <w:lang w:eastAsia="sv-SE"/>
              </w:rPr>
              <w:t>bwp-Id</w:t>
            </w:r>
            <w:r w:rsidRPr="00FA0D37">
              <w:rPr>
                <w:szCs w:val="22"/>
                <w:lang w:eastAsia="sv-SE"/>
              </w:rPr>
              <w:t xml:space="preserve"> in that </w:t>
            </w:r>
            <w:r w:rsidRPr="00FA0D37">
              <w:rPr>
                <w:i/>
                <w:lang w:eastAsia="sv-SE"/>
              </w:rPr>
              <w:t>CSI-ResourceConfig</w:t>
            </w:r>
            <w:r w:rsidRPr="00FA0D37">
              <w:rPr>
                <w:szCs w:val="22"/>
                <w:lang w:eastAsia="sv-SE"/>
              </w:rPr>
              <w:t>.</w:t>
            </w:r>
          </w:p>
        </w:tc>
      </w:tr>
      <w:tr w:rsidR="005C7FF4" w:rsidRPr="00FA0D37"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205D47" w:rsidRPr="00FA0D37" w:rsidRDefault="00205D47" w:rsidP="00205D47">
            <w:pPr>
              <w:pStyle w:val="TAL"/>
              <w:rPr>
                <w:b/>
                <w:i/>
                <w:szCs w:val="22"/>
                <w:lang w:eastAsia="sv-SE"/>
              </w:rPr>
            </w:pPr>
            <w:r w:rsidRPr="00FA0D37">
              <w:rPr>
                <w:b/>
                <w:i/>
                <w:szCs w:val="22"/>
                <w:lang w:eastAsia="sv-SE"/>
              </w:rPr>
              <w:t>sharedCMR</w:t>
            </w:r>
          </w:p>
          <w:p w14:paraId="4C0E15B4" w14:textId="115641FD" w:rsidR="00205D47" w:rsidRPr="00FA0D37" w:rsidRDefault="00205D47" w:rsidP="00205D47">
            <w:pPr>
              <w:pStyle w:val="TAL"/>
              <w:rPr>
                <w:bCs/>
                <w:iCs/>
                <w:szCs w:val="22"/>
                <w:lang w:eastAsia="sv-SE"/>
              </w:rPr>
            </w:pPr>
            <w:r w:rsidRPr="00FA0D37">
              <w:rPr>
                <w:bCs/>
                <w:iCs/>
                <w:szCs w:val="22"/>
                <w:lang w:eastAsia="sv-SE"/>
              </w:rPr>
              <w:t xml:space="preserve">Enables sharing of channel measurement resources between different CSI measurement hypotheses when (1) </w:t>
            </w:r>
            <w:r w:rsidRPr="00FA0D37">
              <w:rPr>
                <w:bCs/>
                <w:i/>
                <w:szCs w:val="22"/>
                <w:lang w:eastAsia="sv-SE"/>
              </w:rPr>
              <w:t>csi-ReportMode</w:t>
            </w:r>
            <w:r w:rsidRPr="00FA0D37">
              <w:rPr>
                <w:bCs/>
                <w:iCs/>
                <w:szCs w:val="22"/>
                <w:lang w:eastAsia="sv-SE"/>
              </w:rPr>
              <w:t xml:space="preserve"> is set to 'Mode1' and </w:t>
            </w:r>
            <w:r w:rsidRPr="00FA0D37">
              <w:rPr>
                <w:bCs/>
                <w:i/>
                <w:szCs w:val="22"/>
                <w:lang w:eastAsia="sv-SE"/>
              </w:rPr>
              <w:t>numberOfSingleTRP-CSI-Mode1</w:t>
            </w:r>
            <w:r w:rsidRPr="00FA0D37">
              <w:rPr>
                <w:bCs/>
                <w:iCs/>
                <w:szCs w:val="22"/>
                <w:lang w:eastAsia="sv-SE"/>
              </w:rPr>
              <w:t xml:space="preserve"> is set to 1 or 2; or (2) </w:t>
            </w:r>
            <w:r w:rsidRPr="00FA0D37">
              <w:rPr>
                <w:bCs/>
                <w:i/>
                <w:szCs w:val="22"/>
                <w:lang w:eastAsia="sv-SE"/>
              </w:rPr>
              <w:t>csi-ReportMode</w:t>
            </w:r>
            <w:r w:rsidRPr="00FA0D37">
              <w:rPr>
                <w:bCs/>
                <w:iCs/>
                <w:szCs w:val="22"/>
                <w:lang w:eastAsia="sv-SE"/>
              </w:rPr>
              <w:t xml:space="preserve"> is set to </w:t>
            </w:r>
            <w:r w:rsidR="00584CE6" w:rsidRPr="00FA0D37">
              <w:rPr>
                <w:bCs/>
                <w:iCs/>
                <w:szCs w:val="22"/>
                <w:lang w:eastAsia="sv-SE"/>
              </w:rPr>
              <w:t>'</w:t>
            </w:r>
            <w:r w:rsidRPr="00FA0D37">
              <w:rPr>
                <w:bCs/>
                <w:iCs/>
                <w:szCs w:val="22"/>
                <w:lang w:eastAsia="sv-SE"/>
              </w:rPr>
              <w:t>Mode2</w:t>
            </w:r>
            <w:r w:rsidR="00584CE6" w:rsidRPr="00FA0D37">
              <w:rPr>
                <w:bCs/>
                <w:iCs/>
                <w:szCs w:val="22"/>
                <w:lang w:eastAsia="sv-SE"/>
              </w:rPr>
              <w:t>'</w:t>
            </w:r>
            <w:r w:rsidRPr="00FA0D37">
              <w:rPr>
                <w:bCs/>
                <w:iCs/>
                <w:szCs w:val="22"/>
                <w:lang w:eastAsia="sv-SE"/>
              </w:rPr>
              <w:t xml:space="preserve"> (see TS 38.214 [19], clause 5.2.1.4.2).</w:t>
            </w:r>
          </w:p>
        </w:tc>
      </w:tr>
      <w:tr w:rsidR="005C7FF4" w:rsidRPr="00FA0D37"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FA0D37" w:rsidRDefault="00394471" w:rsidP="00964CC4">
            <w:pPr>
              <w:pStyle w:val="TAL"/>
              <w:rPr>
                <w:szCs w:val="22"/>
                <w:lang w:eastAsia="sv-SE"/>
              </w:rPr>
            </w:pPr>
            <w:r w:rsidRPr="00FA0D37">
              <w:rPr>
                <w:b/>
                <w:i/>
                <w:szCs w:val="22"/>
                <w:lang w:eastAsia="sv-SE"/>
              </w:rPr>
              <w:t>subbandSize</w:t>
            </w:r>
          </w:p>
          <w:p w14:paraId="130D6526" w14:textId="77777777" w:rsidR="00394471" w:rsidRPr="00FA0D37" w:rsidRDefault="00394471" w:rsidP="00964CC4">
            <w:pPr>
              <w:pStyle w:val="TAL"/>
              <w:rPr>
                <w:szCs w:val="22"/>
                <w:lang w:eastAsia="sv-SE"/>
              </w:rPr>
            </w:pPr>
            <w:r w:rsidRPr="00FA0D37">
              <w:rPr>
                <w:szCs w:val="22"/>
                <w:lang w:eastAsia="sv-SE"/>
              </w:rPr>
              <w:t xml:space="preserve">Indicates one out of two possible BWP-dependent values for the subband size as indicated in TS 38.214 [19], table 5.2.1.4-2 . If </w:t>
            </w:r>
            <w:r w:rsidRPr="00FA0D37">
              <w:rPr>
                <w:i/>
                <w:szCs w:val="22"/>
                <w:lang w:eastAsia="sv-SE"/>
              </w:rPr>
              <w:t>csi-ReportingBand</w:t>
            </w:r>
            <w:r w:rsidRPr="00FA0D37">
              <w:rPr>
                <w:szCs w:val="22"/>
                <w:lang w:eastAsia="sv-SE"/>
              </w:rPr>
              <w:t xml:space="preserve"> is absent, the UE shall ignore this field.</w:t>
            </w:r>
          </w:p>
        </w:tc>
      </w:tr>
      <w:tr w:rsidR="005C7FF4" w:rsidRPr="00FA0D37"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FA0D37" w:rsidRDefault="00394471" w:rsidP="00964CC4">
            <w:pPr>
              <w:pStyle w:val="TAL"/>
              <w:rPr>
                <w:szCs w:val="22"/>
                <w:lang w:eastAsia="sv-SE"/>
              </w:rPr>
            </w:pPr>
            <w:r w:rsidRPr="00FA0D37">
              <w:rPr>
                <w:b/>
                <w:i/>
                <w:szCs w:val="22"/>
                <w:lang w:eastAsia="sv-SE"/>
              </w:rPr>
              <w:t>timeRestrictionForChannelMeasurements</w:t>
            </w:r>
          </w:p>
          <w:p w14:paraId="6967498A" w14:textId="77777777" w:rsidR="00394471" w:rsidRPr="00FA0D37" w:rsidRDefault="00394471" w:rsidP="00964CC4">
            <w:pPr>
              <w:pStyle w:val="TAL"/>
              <w:rPr>
                <w:szCs w:val="22"/>
                <w:lang w:eastAsia="sv-SE"/>
              </w:rPr>
            </w:pPr>
            <w:r w:rsidRPr="00FA0D37">
              <w:rPr>
                <w:szCs w:val="22"/>
                <w:lang w:eastAsia="sv-SE"/>
              </w:rPr>
              <w:t>Time domain measurement restriction for the channel (signal) measurements (see TS 38.214 [19], clause 5.2.1.1).</w:t>
            </w:r>
          </w:p>
        </w:tc>
      </w:tr>
      <w:tr w:rsidR="00394471" w:rsidRPr="00FA0D37"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FA0D37" w:rsidRDefault="00394471" w:rsidP="00964CC4">
            <w:pPr>
              <w:pStyle w:val="TAL"/>
              <w:rPr>
                <w:szCs w:val="22"/>
                <w:lang w:eastAsia="sv-SE"/>
              </w:rPr>
            </w:pPr>
            <w:r w:rsidRPr="00FA0D37">
              <w:rPr>
                <w:b/>
                <w:i/>
                <w:szCs w:val="22"/>
                <w:lang w:eastAsia="sv-SE"/>
              </w:rPr>
              <w:t>timeRestrictionForInterferenceMeasurements</w:t>
            </w:r>
          </w:p>
          <w:p w14:paraId="61BC730B" w14:textId="77777777" w:rsidR="00394471" w:rsidRPr="00FA0D37" w:rsidRDefault="00394471" w:rsidP="00964CC4">
            <w:pPr>
              <w:pStyle w:val="TAL"/>
              <w:rPr>
                <w:szCs w:val="22"/>
                <w:lang w:eastAsia="sv-SE"/>
              </w:rPr>
            </w:pPr>
            <w:r w:rsidRPr="00FA0D37">
              <w:rPr>
                <w:szCs w:val="22"/>
                <w:lang w:eastAsia="sv-SE"/>
              </w:rPr>
              <w:t>Time domain measurement restriction for interference measurements (see TS 38.214 [19], clause 5.2.1.1).</w:t>
            </w:r>
          </w:p>
        </w:tc>
      </w:tr>
    </w:tbl>
    <w:p w14:paraId="458F1EB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FA0D37" w:rsidRDefault="00394471" w:rsidP="00964CC4">
            <w:pPr>
              <w:pStyle w:val="TAH"/>
              <w:rPr>
                <w:szCs w:val="22"/>
                <w:lang w:eastAsia="sv-SE"/>
              </w:rPr>
            </w:pPr>
            <w:r w:rsidRPr="00FA0D37">
              <w:rPr>
                <w:i/>
                <w:szCs w:val="22"/>
                <w:lang w:eastAsia="sv-SE"/>
              </w:rPr>
              <w:t xml:space="preserve">PortIndexFor8Ranks </w:t>
            </w:r>
            <w:r w:rsidRPr="00FA0D37">
              <w:rPr>
                <w:szCs w:val="22"/>
                <w:lang w:eastAsia="sv-SE"/>
              </w:rPr>
              <w:t>field descriptions</w:t>
            </w:r>
          </w:p>
        </w:tc>
      </w:tr>
      <w:tr w:rsidR="005C7FF4" w:rsidRPr="00FA0D37"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FA0D37" w:rsidRDefault="00394471" w:rsidP="00964CC4">
            <w:pPr>
              <w:pStyle w:val="TAL"/>
              <w:rPr>
                <w:b/>
                <w:i/>
                <w:szCs w:val="22"/>
                <w:lang w:eastAsia="sv-SE"/>
              </w:rPr>
            </w:pPr>
            <w:r w:rsidRPr="00FA0D37">
              <w:rPr>
                <w:b/>
                <w:i/>
                <w:szCs w:val="22"/>
                <w:lang w:eastAsia="sv-SE"/>
              </w:rPr>
              <w:t>portIndex8</w:t>
            </w:r>
          </w:p>
          <w:p w14:paraId="0D8B2473" w14:textId="77777777" w:rsidR="00394471" w:rsidRPr="00FA0D37" w:rsidRDefault="00394471" w:rsidP="00964CC4">
            <w:pPr>
              <w:pStyle w:val="TAL"/>
              <w:rPr>
                <w:szCs w:val="22"/>
                <w:lang w:eastAsia="sv-SE"/>
              </w:rPr>
            </w:pPr>
            <w:r w:rsidRPr="00FA0D37">
              <w:rPr>
                <w:szCs w:val="22"/>
                <w:lang w:eastAsia="sv-SE"/>
              </w:rPr>
              <w:t>Port-Index configuration for up to rank 8. If present, the network configures port indexes for at least one of the ranks.</w:t>
            </w:r>
          </w:p>
        </w:tc>
      </w:tr>
      <w:tr w:rsidR="005C7FF4" w:rsidRPr="00FA0D37"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FA0D37" w:rsidRDefault="00394471" w:rsidP="00964CC4">
            <w:pPr>
              <w:pStyle w:val="TAL"/>
              <w:rPr>
                <w:b/>
                <w:i/>
                <w:szCs w:val="22"/>
                <w:lang w:eastAsia="sv-SE"/>
              </w:rPr>
            </w:pPr>
            <w:r w:rsidRPr="00FA0D37">
              <w:rPr>
                <w:b/>
                <w:i/>
                <w:szCs w:val="22"/>
                <w:lang w:eastAsia="sv-SE"/>
              </w:rPr>
              <w:t>portIndex4</w:t>
            </w:r>
          </w:p>
          <w:p w14:paraId="25F7C1C3" w14:textId="77777777" w:rsidR="00394471" w:rsidRPr="00FA0D37" w:rsidRDefault="00394471" w:rsidP="00964CC4">
            <w:pPr>
              <w:pStyle w:val="TAL"/>
              <w:rPr>
                <w:szCs w:val="22"/>
                <w:lang w:eastAsia="sv-SE"/>
              </w:rPr>
            </w:pPr>
            <w:r w:rsidRPr="00FA0D37">
              <w:rPr>
                <w:szCs w:val="22"/>
                <w:lang w:eastAsia="sv-SE"/>
              </w:rPr>
              <w:t>Port-Index configuration for up to rank 4. If present, the network configures port indexes for at least one of the ranks.</w:t>
            </w:r>
          </w:p>
        </w:tc>
      </w:tr>
      <w:tr w:rsidR="005C7FF4" w:rsidRPr="00FA0D37"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FA0D37" w:rsidRDefault="00394471" w:rsidP="00964CC4">
            <w:pPr>
              <w:pStyle w:val="TAL"/>
              <w:rPr>
                <w:b/>
                <w:i/>
                <w:szCs w:val="22"/>
                <w:lang w:eastAsia="sv-SE"/>
              </w:rPr>
            </w:pPr>
            <w:r w:rsidRPr="00FA0D37">
              <w:rPr>
                <w:b/>
                <w:i/>
                <w:szCs w:val="22"/>
                <w:lang w:eastAsia="sv-SE"/>
              </w:rPr>
              <w:t>portIndex2</w:t>
            </w:r>
          </w:p>
          <w:p w14:paraId="191A16A7" w14:textId="77777777" w:rsidR="00394471" w:rsidRPr="00FA0D37" w:rsidRDefault="00394471" w:rsidP="00964CC4">
            <w:pPr>
              <w:pStyle w:val="TAL"/>
              <w:rPr>
                <w:szCs w:val="22"/>
                <w:lang w:eastAsia="sv-SE"/>
              </w:rPr>
            </w:pPr>
            <w:r w:rsidRPr="00FA0D37">
              <w:rPr>
                <w:szCs w:val="22"/>
                <w:lang w:eastAsia="sv-SE"/>
              </w:rPr>
              <w:t>Port-Index configuration for up to rank 2. If present, the network configures port indexes for at least one of the ranks.</w:t>
            </w:r>
          </w:p>
        </w:tc>
      </w:tr>
      <w:tr w:rsidR="00394471" w:rsidRPr="00FA0D37"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FA0D37" w:rsidRDefault="00394471" w:rsidP="00964CC4">
            <w:pPr>
              <w:pStyle w:val="TAL"/>
              <w:rPr>
                <w:b/>
                <w:i/>
                <w:szCs w:val="22"/>
                <w:lang w:eastAsia="sv-SE"/>
              </w:rPr>
            </w:pPr>
            <w:r w:rsidRPr="00FA0D37">
              <w:rPr>
                <w:b/>
                <w:i/>
                <w:szCs w:val="22"/>
                <w:lang w:eastAsia="sv-SE"/>
              </w:rPr>
              <w:t>portIndex1</w:t>
            </w:r>
          </w:p>
          <w:p w14:paraId="5CE3AABE" w14:textId="77777777" w:rsidR="00394471" w:rsidRPr="00FA0D37" w:rsidRDefault="00394471" w:rsidP="00964CC4">
            <w:pPr>
              <w:pStyle w:val="TAL"/>
              <w:rPr>
                <w:szCs w:val="22"/>
                <w:lang w:eastAsia="sv-SE"/>
              </w:rPr>
            </w:pPr>
            <w:r w:rsidRPr="00FA0D37">
              <w:rPr>
                <w:szCs w:val="22"/>
                <w:lang w:eastAsia="sv-SE"/>
              </w:rPr>
              <w:t>Port-Index configuration for rank 1.</w:t>
            </w:r>
          </w:p>
        </w:tc>
      </w:tr>
    </w:tbl>
    <w:p w14:paraId="7573EA6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2327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3B34D" w14:textId="77777777" w:rsidR="00394471" w:rsidRPr="00FA0D37" w:rsidRDefault="00394471" w:rsidP="00964CC4">
            <w:pPr>
              <w:pStyle w:val="TAH"/>
              <w:rPr>
                <w:szCs w:val="22"/>
                <w:lang w:eastAsia="sv-SE"/>
              </w:rPr>
            </w:pPr>
            <w:r w:rsidRPr="00FA0D37">
              <w:rPr>
                <w:i/>
                <w:szCs w:val="22"/>
                <w:lang w:eastAsia="sv-SE"/>
              </w:rPr>
              <w:t xml:space="preserve">PUCCH-CSI-Resource </w:t>
            </w:r>
            <w:r w:rsidRPr="00FA0D37">
              <w:rPr>
                <w:szCs w:val="22"/>
                <w:lang w:eastAsia="sv-SE"/>
              </w:rPr>
              <w:t>field descriptions</w:t>
            </w:r>
          </w:p>
        </w:tc>
      </w:tr>
      <w:tr w:rsidR="00394471" w:rsidRPr="00FA0D37" w14:paraId="74B8C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A56361" w14:textId="77777777" w:rsidR="00394471" w:rsidRPr="00FA0D37" w:rsidRDefault="00394471" w:rsidP="00964CC4">
            <w:pPr>
              <w:pStyle w:val="TAL"/>
              <w:rPr>
                <w:szCs w:val="22"/>
                <w:lang w:eastAsia="sv-SE"/>
              </w:rPr>
            </w:pPr>
            <w:r w:rsidRPr="00FA0D37">
              <w:rPr>
                <w:b/>
                <w:i/>
                <w:szCs w:val="22"/>
                <w:lang w:eastAsia="sv-SE"/>
              </w:rPr>
              <w:t>pucch-Resource</w:t>
            </w:r>
          </w:p>
          <w:p w14:paraId="04E23285" w14:textId="77777777" w:rsidR="00394471" w:rsidRPr="00FA0D37" w:rsidRDefault="00394471" w:rsidP="00964CC4">
            <w:pPr>
              <w:pStyle w:val="TAL"/>
              <w:rPr>
                <w:szCs w:val="22"/>
                <w:lang w:eastAsia="sv-SE"/>
              </w:rPr>
            </w:pPr>
            <w:r w:rsidRPr="00FA0D37">
              <w:rPr>
                <w:szCs w:val="22"/>
                <w:lang w:eastAsia="sv-SE"/>
              </w:rPr>
              <w:t xml:space="preserve">PUCCH resource for the associated uplink BWP. Only PUCCH-Resource of format 2, 3 and 4 is supported. The actual PUCCH-Resource is configured in </w:t>
            </w:r>
            <w:r w:rsidRPr="00FA0D37">
              <w:rPr>
                <w:i/>
                <w:szCs w:val="22"/>
                <w:lang w:eastAsia="sv-SE"/>
              </w:rPr>
              <w:t>PUCCH-Config</w:t>
            </w:r>
            <w:r w:rsidRPr="00FA0D37">
              <w:rPr>
                <w:szCs w:val="22"/>
                <w:lang w:eastAsia="sv-SE"/>
              </w:rPr>
              <w:t xml:space="preserve"> and referred to by its ID.</w:t>
            </w:r>
            <w:r w:rsidRPr="00FA0D37">
              <w:rPr>
                <w:szCs w:val="22"/>
              </w:rPr>
              <w:t xml:space="preserve"> When two </w:t>
            </w:r>
            <w:r w:rsidRPr="00FA0D37">
              <w:rPr>
                <w:i/>
                <w:szCs w:val="22"/>
              </w:rPr>
              <w:t>PUCCH-Config</w:t>
            </w:r>
            <w:r w:rsidRPr="00FA0D37">
              <w:rPr>
                <w:szCs w:val="22"/>
              </w:rPr>
              <w:t xml:space="preserve"> are configured within </w:t>
            </w:r>
            <w:r w:rsidRPr="00FA0D37">
              <w:rPr>
                <w:i/>
                <w:szCs w:val="22"/>
              </w:rPr>
              <w:t>PUCCH-ConfigurationList</w:t>
            </w:r>
            <w:r w:rsidRPr="00FA0D37">
              <w:rPr>
                <w:szCs w:val="22"/>
              </w:rPr>
              <w:t xml:space="preserve">, </w:t>
            </w:r>
            <w:r w:rsidRPr="00FA0D37">
              <w:rPr>
                <w:i/>
                <w:szCs w:val="22"/>
              </w:rPr>
              <w:t>PUCCH-ResourceId</w:t>
            </w:r>
            <w:r w:rsidRPr="00FA0D37">
              <w:rPr>
                <w:szCs w:val="22"/>
              </w:rPr>
              <w:t xml:space="preserve"> in a </w:t>
            </w:r>
            <w:r w:rsidRPr="00FA0D37">
              <w:rPr>
                <w:i/>
                <w:szCs w:val="22"/>
              </w:rPr>
              <w:t>PUCCH-CSI-Resource</w:t>
            </w:r>
            <w:r w:rsidRPr="00FA0D37">
              <w:rPr>
                <w:szCs w:val="22"/>
              </w:rPr>
              <w:t xml:space="preserve"> refers to a PUCCH-Resource in the</w:t>
            </w:r>
            <w:r w:rsidRPr="00FA0D37">
              <w:rPr>
                <w:i/>
                <w:szCs w:val="22"/>
              </w:rPr>
              <w:t xml:space="preserve"> PUCCH-Config </w:t>
            </w:r>
            <w:r w:rsidRPr="00FA0D37">
              <w:rPr>
                <w:szCs w:val="22"/>
              </w:rPr>
              <w:t>used for HARQ-ACK with low priority.</w:t>
            </w:r>
          </w:p>
        </w:tc>
      </w:tr>
    </w:tbl>
    <w:p w14:paraId="6FBFA44E" w14:textId="77777777" w:rsidR="00394471" w:rsidRPr="00FA0D37" w:rsidRDefault="00394471" w:rsidP="00394471"/>
    <w:p w14:paraId="260F3302" w14:textId="77777777" w:rsidR="00394471" w:rsidRPr="00FA0D37" w:rsidRDefault="00394471" w:rsidP="00394471">
      <w:pPr>
        <w:pStyle w:val="4"/>
      </w:pPr>
      <w:bookmarkStart w:id="989" w:name="_Toc60777218"/>
      <w:bookmarkStart w:id="990" w:name="_Toc146781265"/>
      <w:r w:rsidRPr="00FA0D37">
        <w:t>–</w:t>
      </w:r>
      <w:r w:rsidRPr="00FA0D37">
        <w:tab/>
      </w:r>
      <w:r w:rsidRPr="00FA0D37">
        <w:rPr>
          <w:i/>
        </w:rPr>
        <w:t>CSI-ReportConfigId</w:t>
      </w:r>
      <w:bookmarkEnd w:id="989"/>
      <w:bookmarkEnd w:id="990"/>
    </w:p>
    <w:p w14:paraId="30249225" w14:textId="77777777" w:rsidR="00394471" w:rsidRPr="00FA0D37" w:rsidRDefault="00394471" w:rsidP="00394471">
      <w:r w:rsidRPr="00FA0D37">
        <w:t xml:space="preserve">The IE </w:t>
      </w:r>
      <w:r w:rsidRPr="00FA0D37">
        <w:rPr>
          <w:i/>
        </w:rPr>
        <w:t>CSI-ReportConfigId</w:t>
      </w:r>
      <w:r w:rsidRPr="00FA0D37">
        <w:t xml:space="preserve"> is used to identify one </w:t>
      </w:r>
      <w:r w:rsidRPr="00FA0D37">
        <w:rPr>
          <w:i/>
        </w:rPr>
        <w:t>CSI-ReportConfig</w:t>
      </w:r>
      <w:r w:rsidRPr="00FA0D37">
        <w:t>.</w:t>
      </w:r>
    </w:p>
    <w:p w14:paraId="060754AF" w14:textId="77777777" w:rsidR="00394471" w:rsidRPr="00FA0D37" w:rsidRDefault="00394471" w:rsidP="00394471">
      <w:pPr>
        <w:pStyle w:val="TH"/>
      </w:pPr>
      <w:r w:rsidRPr="00FA0D37">
        <w:rPr>
          <w:i/>
        </w:rPr>
        <w:t>CSI-ReportConfigId</w:t>
      </w:r>
      <w:r w:rsidRPr="00FA0D37">
        <w:t xml:space="preserve"> information element</w:t>
      </w:r>
    </w:p>
    <w:p w14:paraId="62487CBD" w14:textId="77777777" w:rsidR="00394471" w:rsidRPr="00FA0D37" w:rsidRDefault="00394471" w:rsidP="00FA0D37">
      <w:pPr>
        <w:pStyle w:val="PL"/>
        <w:rPr>
          <w:color w:val="808080"/>
        </w:rPr>
      </w:pPr>
      <w:r w:rsidRPr="00FA0D37">
        <w:rPr>
          <w:color w:val="808080"/>
        </w:rPr>
        <w:t>-- ASN1START</w:t>
      </w:r>
    </w:p>
    <w:p w14:paraId="11E63D39" w14:textId="77777777" w:rsidR="00394471" w:rsidRPr="00FA0D37" w:rsidRDefault="00394471" w:rsidP="00FA0D37">
      <w:pPr>
        <w:pStyle w:val="PL"/>
        <w:rPr>
          <w:color w:val="808080"/>
        </w:rPr>
      </w:pPr>
      <w:r w:rsidRPr="00FA0D37">
        <w:rPr>
          <w:color w:val="808080"/>
        </w:rPr>
        <w:t>-- TAG-CSI-REPORTCONFIGID-START</w:t>
      </w:r>
    </w:p>
    <w:p w14:paraId="48C77006" w14:textId="77777777" w:rsidR="00394471" w:rsidRPr="00FA0D37" w:rsidRDefault="00394471" w:rsidP="00FA0D37">
      <w:pPr>
        <w:pStyle w:val="PL"/>
      </w:pPr>
    </w:p>
    <w:p w14:paraId="2621787D" w14:textId="77777777" w:rsidR="00394471" w:rsidRPr="00FA0D37" w:rsidRDefault="00394471" w:rsidP="00FA0D37">
      <w:pPr>
        <w:pStyle w:val="PL"/>
      </w:pPr>
      <w:r w:rsidRPr="00FA0D37">
        <w:t xml:space="preserve">CSI-ReportConfigId ::=              </w:t>
      </w:r>
      <w:r w:rsidRPr="00FA0D37">
        <w:rPr>
          <w:color w:val="993366"/>
        </w:rPr>
        <w:t>INTEGER</w:t>
      </w:r>
      <w:r w:rsidRPr="00FA0D37">
        <w:t xml:space="preserve"> (0..maxNrofCSI-ReportConfigurations-1)</w:t>
      </w:r>
    </w:p>
    <w:p w14:paraId="6D1812DF" w14:textId="77777777" w:rsidR="00394471" w:rsidRPr="00FA0D37" w:rsidRDefault="00394471" w:rsidP="00FA0D37">
      <w:pPr>
        <w:pStyle w:val="PL"/>
      </w:pPr>
    </w:p>
    <w:p w14:paraId="4F98EF72" w14:textId="77777777" w:rsidR="00394471" w:rsidRPr="00FA0D37" w:rsidRDefault="00394471" w:rsidP="00FA0D37">
      <w:pPr>
        <w:pStyle w:val="PL"/>
        <w:rPr>
          <w:color w:val="808080"/>
        </w:rPr>
      </w:pPr>
      <w:r w:rsidRPr="00FA0D37">
        <w:rPr>
          <w:color w:val="808080"/>
        </w:rPr>
        <w:t>-- TAG-CSI-REPORTCONFIGID-STOP</w:t>
      </w:r>
    </w:p>
    <w:p w14:paraId="3926BAC3" w14:textId="77777777" w:rsidR="00394471" w:rsidRPr="00FA0D37" w:rsidRDefault="00394471" w:rsidP="00FA0D37">
      <w:pPr>
        <w:pStyle w:val="PL"/>
        <w:rPr>
          <w:color w:val="808080"/>
        </w:rPr>
      </w:pPr>
      <w:r w:rsidRPr="00FA0D37">
        <w:rPr>
          <w:color w:val="808080"/>
        </w:rPr>
        <w:t>-- ASN1STOP</w:t>
      </w:r>
    </w:p>
    <w:p w14:paraId="1DD79638" w14:textId="77777777" w:rsidR="00394471" w:rsidRPr="00FA0D37" w:rsidRDefault="00394471" w:rsidP="00394471"/>
    <w:p w14:paraId="72AAB1D7" w14:textId="77777777" w:rsidR="00394471" w:rsidRPr="00FA0D37" w:rsidRDefault="00394471" w:rsidP="00394471">
      <w:pPr>
        <w:pStyle w:val="4"/>
      </w:pPr>
      <w:bookmarkStart w:id="991" w:name="_Toc60777219"/>
      <w:bookmarkStart w:id="992" w:name="_Toc146781266"/>
      <w:r w:rsidRPr="00FA0D37">
        <w:t>–</w:t>
      </w:r>
      <w:r w:rsidRPr="00FA0D37">
        <w:tab/>
      </w:r>
      <w:r w:rsidRPr="00FA0D37">
        <w:rPr>
          <w:i/>
        </w:rPr>
        <w:t>CSI-ResourceConfig</w:t>
      </w:r>
      <w:bookmarkEnd w:id="991"/>
      <w:bookmarkEnd w:id="992"/>
    </w:p>
    <w:p w14:paraId="19757A99" w14:textId="77777777" w:rsidR="00394471" w:rsidRPr="00FA0D37" w:rsidRDefault="00394471" w:rsidP="00394471">
      <w:r w:rsidRPr="00FA0D37">
        <w:t xml:space="preserve">The IE </w:t>
      </w:r>
      <w:r w:rsidRPr="00FA0D37">
        <w:rPr>
          <w:i/>
        </w:rPr>
        <w:t>CSI-ResourceConfig</w:t>
      </w:r>
      <w:r w:rsidRPr="00FA0D37">
        <w:t xml:space="preserve"> defines a group of one or more </w:t>
      </w:r>
      <w:r w:rsidRPr="00FA0D37">
        <w:rPr>
          <w:i/>
        </w:rPr>
        <w:t>NZP-CSI-RS-ResourceSet</w:t>
      </w:r>
      <w:r w:rsidRPr="00FA0D37">
        <w:t xml:space="preserve">, </w:t>
      </w:r>
      <w:r w:rsidRPr="00FA0D37">
        <w:rPr>
          <w:i/>
        </w:rPr>
        <w:t>CSI-IM-ResourceSet</w:t>
      </w:r>
      <w:r w:rsidRPr="00FA0D37">
        <w:t xml:space="preserve"> and/or </w:t>
      </w:r>
      <w:r w:rsidRPr="00FA0D37">
        <w:rPr>
          <w:i/>
        </w:rPr>
        <w:t>CSI-SSB-ResourceSet</w:t>
      </w:r>
      <w:r w:rsidRPr="00FA0D37">
        <w:t>.</w:t>
      </w:r>
    </w:p>
    <w:p w14:paraId="4AECEBDD" w14:textId="77777777" w:rsidR="00394471" w:rsidRPr="00FA0D37" w:rsidRDefault="00394471" w:rsidP="00394471">
      <w:pPr>
        <w:pStyle w:val="TH"/>
      </w:pPr>
      <w:r w:rsidRPr="00FA0D37">
        <w:rPr>
          <w:i/>
        </w:rPr>
        <w:t>CSI-ResourceConfig</w:t>
      </w:r>
      <w:r w:rsidRPr="00FA0D37">
        <w:t xml:space="preserve"> information element</w:t>
      </w:r>
    </w:p>
    <w:p w14:paraId="7E216488" w14:textId="77777777" w:rsidR="00394471" w:rsidRPr="00FA0D37" w:rsidRDefault="00394471" w:rsidP="00FA0D37">
      <w:pPr>
        <w:pStyle w:val="PL"/>
        <w:rPr>
          <w:color w:val="808080"/>
        </w:rPr>
      </w:pPr>
      <w:r w:rsidRPr="00FA0D37">
        <w:rPr>
          <w:color w:val="808080"/>
        </w:rPr>
        <w:t>-- ASN1START</w:t>
      </w:r>
    </w:p>
    <w:p w14:paraId="621AC125" w14:textId="77777777" w:rsidR="00394471" w:rsidRPr="00FA0D37" w:rsidRDefault="00394471" w:rsidP="00FA0D37">
      <w:pPr>
        <w:pStyle w:val="PL"/>
        <w:rPr>
          <w:color w:val="808080"/>
        </w:rPr>
      </w:pPr>
      <w:r w:rsidRPr="00FA0D37">
        <w:rPr>
          <w:color w:val="808080"/>
        </w:rPr>
        <w:t>-- TAG-CSI-RESOURCECONFIG-START</w:t>
      </w:r>
    </w:p>
    <w:p w14:paraId="37709F81" w14:textId="77777777" w:rsidR="00394471" w:rsidRPr="00FA0D37" w:rsidRDefault="00394471" w:rsidP="00FA0D37">
      <w:pPr>
        <w:pStyle w:val="PL"/>
      </w:pPr>
    </w:p>
    <w:p w14:paraId="76A3E363" w14:textId="77777777" w:rsidR="00394471" w:rsidRPr="00FA0D37" w:rsidRDefault="00394471" w:rsidP="00FA0D37">
      <w:pPr>
        <w:pStyle w:val="PL"/>
      </w:pPr>
      <w:r w:rsidRPr="00FA0D37">
        <w:t xml:space="preserve">CSI-ResourceConfig ::=      </w:t>
      </w:r>
      <w:r w:rsidRPr="00FA0D37">
        <w:rPr>
          <w:color w:val="993366"/>
        </w:rPr>
        <w:t>SEQUENCE</w:t>
      </w:r>
      <w:r w:rsidRPr="00FA0D37">
        <w:t xml:space="preserve"> {</w:t>
      </w:r>
    </w:p>
    <w:p w14:paraId="085750C4" w14:textId="77777777" w:rsidR="00394471" w:rsidRPr="00FA0D37" w:rsidRDefault="00394471" w:rsidP="00FA0D37">
      <w:pPr>
        <w:pStyle w:val="PL"/>
      </w:pPr>
      <w:r w:rsidRPr="00FA0D37">
        <w:t xml:space="preserve">    csi-ResourceConfigId        CSI-ResourceConfigId,</w:t>
      </w:r>
    </w:p>
    <w:p w14:paraId="18C2362A" w14:textId="77777777" w:rsidR="00394471" w:rsidRPr="00FA0D37" w:rsidRDefault="00394471" w:rsidP="00FA0D37">
      <w:pPr>
        <w:pStyle w:val="PL"/>
      </w:pPr>
      <w:r w:rsidRPr="00FA0D37">
        <w:t xml:space="preserve">    csi-RS-ResourceSetList      </w:t>
      </w:r>
      <w:r w:rsidRPr="00FA0D37">
        <w:rPr>
          <w:color w:val="993366"/>
        </w:rPr>
        <w:t>CHOICE</w:t>
      </w:r>
      <w:r w:rsidRPr="00FA0D37">
        <w:t xml:space="preserve"> {</w:t>
      </w:r>
    </w:p>
    <w:p w14:paraId="6DA49D41" w14:textId="77777777" w:rsidR="00394471" w:rsidRPr="00FA0D37" w:rsidRDefault="00394471" w:rsidP="00FA0D37">
      <w:pPr>
        <w:pStyle w:val="PL"/>
      </w:pPr>
      <w:r w:rsidRPr="00FA0D37">
        <w:t xml:space="preserve">        nzp-CSI-RS-SSB              </w:t>
      </w:r>
      <w:r w:rsidRPr="00FA0D37">
        <w:rPr>
          <w:color w:val="993366"/>
        </w:rPr>
        <w:t>SEQUENCE</w:t>
      </w:r>
      <w:r w:rsidRPr="00FA0D37">
        <w:t xml:space="preserve"> {</w:t>
      </w:r>
    </w:p>
    <w:p w14:paraId="5F31C910" w14:textId="77777777" w:rsidR="00394471" w:rsidRPr="00FA0D37" w:rsidRDefault="00394471" w:rsidP="00FA0D37">
      <w:pPr>
        <w:pStyle w:val="PL"/>
      </w:pPr>
      <w:r w:rsidRPr="00FA0D37">
        <w:t xml:space="preserve">            nzp-CSI-RS-ResourceSetList  </w:t>
      </w:r>
      <w:r w:rsidRPr="00FA0D37">
        <w:rPr>
          <w:color w:val="993366"/>
        </w:rPr>
        <w:t>SEQUENCE</w:t>
      </w:r>
      <w:r w:rsidRPr="00FA0D37">
        <w:t xml:space="preserve"> (</w:t>
      </w:r>
      <w:r w:rsidRPr="00FA0D37">
        <w:rPr>
          <w:color w:val="993366"/>
        </w:rPr>
        <w:t>SIZE</w:t>
      </w:r>
      <w:r w:rsidRPr="00FA0D37">
        <w:t xml:space="preserve"> (1..maxNrofNZP-CSI-RS-ResourceSetsPerConfig))</w:t>
      </w:r>
      <w:r w:rsidRPr="00FA0D37">
        <w:rPr>
          <w:color w:val="993366"/>
        </w:rPr>
        <w:t xml:space="preserve"> OF</w:t>
      </w:r>
      <w:r w:rsidRPr="00FA0D37">
        <w:t xml:space="preserve"> NZP-CSI-RS-ResourceSetId</w:t>
      </w:r>
    </w:p>
    <w:p w14:paraId="13FB4DCC"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R</w:t>
      </w:r>
    </w:p>
    <w:p w14:paraId="2AE43C90" w14:textId="77777777" w:rsidR="00394471" w:rsidRPr="00FA0D37" w:rsidRDefault="00394471" w:rsidP="00FA0D37">
      <w:pPr>
        <w:pStyle w:val="PL"/>
        <w:rPr>
          <w:color w:val="808080"/>
        </w:rPr>
      </w:pPr>
      <w:r w:rsidRPr="00FA0D37">
        <w:t xml:space="preserve">            csi-SSB-ResourceSetList     </w:t>
      </w:r>
      <w:r w:rsidRPr="00FA0D37">
        <w:rPr>
          <w:color w:val="993366"/>
        </w:rPr>
        <w:t>SEQUENCE</w:t>
      </w:r>
      <w:r w:rsidRPr="00FA0D37">
        <w:t xml:space="preserve"> (</w:t>
      </w:r>
      <w:r w:rsidRPr="00FA0D37">
        <w:rPr>
          <w:color w:val="993366"/>
        </w:rPr>
        <w:t>SIZE</w:t>
      </w:r>
      <w:r w:rsidRPr="00FA0D37">
        <w:t xml:space="preserve"> (1..maxNrofCSI-SSB-ResourceSetsPerConfig))</w:t>
      </w:r>
      <w:r w:rsidRPr="00FA0D37">
        <w:rPr>
          <w:color w:val="993366"/>
        </w:rPr>
        <w:t xml:space="preserve"> OF</w:t>
      </w:r>
      <w:r w:rsidRPr="00FA0D37">
        <w:t xml:space="preserve"> CSI-SSB-ResourceSetId  </w:t>
      </w:r>
      <w:r w:rsidRPr="00FA0D37">
        <w:rPr>
          <w:color w:val="993366"/>
        </w:rPr>
        <w:t>OPTIONAL</w:t>
      </w:r>
      <w:r w:rsidRPr="00FA0D37">
        <w:t xml:space="preserve">  </w:t>
      </w:r>
      <w:r w:rsidRPr="00FA0D37">
        <w:rPr>
          <w:color w:val="808080"/>
        </w:rPr>
        <w:t>-- Need R</w:t>
      </w:r>
    </w:p>
    <w:p w14:paraId="10F435A9" w14:textId="77777777" w:rsidR="00394471" w:rsidRPr="00FA0D37" w:rsidRDefault="00394471" w:rsidP="00FA0D37">
      <w:pPr>
        <w:pStyle w:val="PL"/>
      </w:pPr>
      <w:r w:rsidRPr="00FA0D37">
        <w:t xml:space="preserve">        },</w:t>
      </w:r>
    </w:p>
    <w:p w14:paraId="03BB439A" w14:textId="77777777" w:rsidR="00394471" w:rsidRPr="00FA0D37" w:rsidRDefault="00394471" w:rsidP="00FA0D37">
      <w:pPr>
        <w:pStyle w:val="PL"/>
      </w:pPr>
      <w:r w:rsidRPr="00FA0D37">
        <w:t xml:space="preserve">        csi-IM-ResourceSetList      </w:t>
      </w:r>
      <w:r w:rsidRPr="00FA0D37">
        <w:rPr>
          <w:color w:val="993366"/>
        </w:rPr>
        <w:t>SEQUENCE</w:t>
      </w:r>
      <w:r w:rsidRPr="00FA0D37">
        <w:t xml:space="preserve"> (</w:t>
      </w:r>
      <w:r w:rsidRPr="00FA0D37">
        <w:rPr>
          <w:color w:val="993366"/>
        </w:rPr>
        <w:t>SIZE</w:t>
      </w:r>
      <w:r w:rsidRPr="00FA0D37">
        <w:t xml:space="preserve"> (1..maxNrofCSI-IM-ResourceSetsPerConfig))</w:t>
      </w:r>
      <w:r w:rsidRPr="00FA0D37">
        <w:rPr>
          <w:color w:val="993366"/>
        </w:rPr>
        <w:t xml:space="preserve"> OF</w:t>
      </w:r>
      <w:r w:rsidRPr="00FA0D37">
        <w:t xml:space="preserve"> CSI-IM-ResourceSetId</w:t>
      </w:r>
    </w:p>
    <w:p w14:paraId="421D2F0E" w14:textId="77777777" w:rsidR="00394471" w:rsidRPr="00FA0D37" w:rsidRDefault="00394471" w:rsidP="00FA0D37">
      <w:pPr>
        <w:pStyle w:val="PL"/>
      </w:pPr>
      <w:r w:rsidRPr="00FA0D37">
        <w:t xml:space="preserve">    },</w:t>
      </w:r>
    </w:p>
    <w:p w14:paraId="74A30A31" w14:textId="77777777" w:rsidR="00394471" w:rsidRPr="00FA0D37" w:rsidRDefault="00394471" w:rsidP="00FA0D37">
      <w:pPr>
        <w:pStyle w:val="PL"/>
      </w:pPr>
    </w:p>
    <w:p w14:paraId="2DCAFF66" w14:textId="77777777" w:rsidR="00394471" w:rsidRPr="00FA0D37" w:rsidRDefault="00394471" w:rsidP="00FA0D37">
      <w:pPr>
        <w:pStyle w:val="PL"/>
      </w:pPr>
      <w:r w:rsidRPr="00FA0D37">
        <w:t xml:space="preserve">    bwp-Id                      BWP-Id,</w:t>
      </w:r>
    </w:p>
    <w:p w14:paraId="5FB4C0CC" w14:textId="77777777" w:rsidR="00394471" w:rsidRPr="00FA0D37" w:rsidRDefault="00394471" w:rsidP="00FA0D37">
      <w:pPr>
        <w:pStyle w:val="PL"/>
      </w:pPr>
      <w:r w:rsidRPr="00FA0D37">
        <w:t xml:space="preserve">    resourceType                </w:t>
      </w:r>
      <w:r w:rsidRPr="00FA0D37">
        <w:rPr>
          <w:color w:val="993366"/>
        </w:rPr>
        <w:t>ENUMERATED</w:t>
      </w:r>
      <w:r w:rsidRPr="00FA0D37">
        <w:t xml:space="preserve"> { aperiodic, semiPersistent, periodic },</w:t>
      </w:r>
    </w:p>
    <w:p w14:paraId="67686FCD" w14:textId="13B06873" w:rsidR="00205D47" w:rsidRPr="00FA0D37" w:rsidRDefault="00394471" w:rsidP="00FA0D37">
      <w:pPr>
        <w:pStyle w:val="PL"/>
      </w:pPr>
      <w:r w:rsidRPr="00FA0D37">
        <w:t xml:space="preserve">    ...</w:t>
      </w:r>
      <w:r w:rsidR="00205D47" w:rsidRPr="00FA0D37">
        <w:t>,</w:t>
      </w:r>
    </w:p>
    <w:p w14:paraId="2C95FCB1" w14:textId="77777777" w:rsidR="00205D47" w:rsidRPr="00FA0D37" w:rsidRDefault="00205D47" w:rsidP="00FA0D37">
      <w:pPr>
        <w:pStyle w:val="PL"/>
      </w:pPr>
      <w:r w:rsidRPr="00FA0D37">
        <w:t xml:space="preserve">    [[</w:t>
      </w:r>
    </w:p>
    <w:p w14:paraId="110BD763" w14:textId="29AF5BB2" w:rsidR="00205D47" w:rsidRPr="00FA0D37" w:rsidRDefault="00205D47" w:rsidP="00FA0D37">
      <w:pPr>
        <w:pStyle w:val="PL"/>
        <w:rPr>
          <w:color w:val="808080"/>
        </w:rPr>
      </w:pPr>
      <w:r w:rsidRPr="00FA0D37">
        <w:t xml:space="preserve">    csi-SSB-ResourceSetListExt-r17      CSI-SSB-ResourceSetId                                                  </w:t>
      </w:r>
      <w:r w:rsidRPr="00FA0D37">
        <w:rPr>
          <w:color w:val="993366"/>
        </w:rPr>
        <w:t>OPTIONAL</w:t>
      </w:r>
      <w:r w:rsidRPr="00FA0D37">
        <w:t xml:space="preserve">  </w:t>
      </w:r>
      <w:r w:rsidRPr="00FA0D37">
        <w:rPr>
          <w:color w:val="808080"/>
        </w:rPr>
        <w:t>-- Need R</w:t>
      </w:r>
    </w:p>
    <w:p w14:paraId="34553CA9" w14:textId="0E52B694" w:rsidR="00394471" w:rsidRPr="00FA0D37" w:rsidRDefault="00205D47" w:rsidP="00FA0D37">
      <w:pPr>
        <w:pStyle w:val="PL"/>
      </w:pPr>
      <w:r w:rsidRPr="00FA0D37">
        <w:t xml:space="preserve">    ]]</w:t>
      </w:r>
    </w:p>
    <w:p w14:paraId="4504DE1C" w14:textId="77777777" w:rsidR="00394471" w:rsidRPr="00FA0D37" w:rsidRDefault="00394471" w:rsidP="00FA0D37">
      <w:pPr>
        <w:pStyle w:val="PL"/>
      </w:pPr>
      <w:r w:rsidRPr="00FA0D37">
        <w:t>}</w:t>
      </w:r>
    </w:p>
    <w:p w14:paraId="66C9B348" w14:textId="77777777" w:rsidR="00394471" w:rsidRPr="00FA0D37" w:rsidRDefault="00394471" w:rsidP="00FA0D37">
      <w:pPr>
        <w:pStyle w:val="PL"/>
      </w:pPr>
    </w:p>
    <w:p w14:paraId="62EFCC90" w14:textId="77777777" w:rsidR="00394471" w:rsidRPr="00FA0D37" w:rsidRDefault="00394471" w:rsidP="00FA0D37">
      <w:pPr>
        <w:pStyle w:val="PL"/>
        <w:rPr>
          <w:color w:val="808080"/>
        </w:rPr>
      </w:pPr>
      <w:r w:rsidRPr="00FA0D37">
        <w:rPr>
          <w:color w:val="808080"/>
        </w:rPr>
        <w:t>-- TAG-CSI-RESOURCECONFIG-STOP</w:t>
      </w:r>
    </w:p>
    <w:p w14:paraId="2487905F" w14:textId="77777777" w:rsidR="00394471" w:rsidRPr="00FA0D37" w:rsidRDefault="00394471" w:rsidP="00FA0D37">
      <w:pPr>
        <w:pStyle w:val="PL"/>
        <w:rPr>
          <w:color w:val="808080"/>
        </w:rPr>
      </w:pPr>
      <w:r w:rsidRPr="00FA0D37">
        <w:rPr>
          <w:color w:val="808080"/>
        </w:rPr>
        <w:t>-- ASN1STOP</w:t>
      </w:r>
    </w:p>
    <w:p w14:paraId="7FBA611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FA0D37" w:rsidRDefault="00394471" w:rsidP="00964CC4">
            <w:pPr>
              <w:pStyle w:val="TAH"/>
              <w:rPr>
                <w:szCs w:val="22"/>
                <w:lang w:eastAsia="sv-SE"/>
              </w:rPr>
            </w:pPr>
            <w:r w:rsidRPr="00FA0D37">
              <w:rPr>
                <w:i/>
                <w:szCs w:val="22"/>
                <w:lang w:eastAsia="sv-SE"/>
              </w:rPr>
              <w:lastRenderedPageBreak/>
              <w:t xml:space="preserve">CSI-ResourceConfig </w:t>
            </w:r>
            <w:r w:rsidRPr="00FA0D37">
              <w:rPr>
                <w:szCs w:val="22"/>
                <w:lang w:eastAsia="sv-SE"/>
              </w:rPr>
              <w:t>field descriptions</w:t>
            </w:r>
          </w:p>
        </w:tc>
      </w:tr>
      <w:tr w:rsidR="005C7FF4" w:rsidRPr="00FA0D37"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FA0D37" w:rsidRDefault="00394471" w:rsidP="00964CC4">
            <w:pPr>
              <w:pStyle w:val="TAL"/>
              <w:rPr>
                <w:szCs w:val="22"/>
                <w:lang w:eastAsia="sv-SE"/>
              </w:rPr>
            </w:pPr>
            <w:r w:rsidRPr="00FA0D37">
              <w:rPr>
                <w:b/>
                <w:i/>
                <w:szCs w:val="22"/>
                <w:lang w:eastAsia="sv-SE"/>
              </w:rPr>
              <w:t>bwp-Id</w:t>
            </w:r>
          </w:p>
          <w:p w14:paraId="7EF53057" w14:textId="77777777" w:rsidR="00394471" w:rsidRPr="00FA0D37" w:rsidRDefault="00394471" w:rsidP="00964CC4">
            <w:pPr>
              <w:pStyle w:val="TAL"/>
              <w:rPr>
                <w:szCs w:val="22"/>
                <w:lang w:eastAsia="sv-SE"/>
              </w:rPr>
            </w:pPr>
            <w:r w:rsidRPr="00FA0D37">
              <w:rPr>
                <w:szCs w:val="22"/>
                <w:lang w:eastAsia="sv-SE"/>
              </w:rPr>
              <w:t xml:space="preserve">The DL BWP which the CSI-RS associated with this </w:t>
            </w:r>
            <w:r w:rsidRPr="00FA0D37">
              <w:rPr>
                <w:i/>
                <w:lang w:eastAsia="sv-SE"/>
              </w:rPr>
              <w:t>CSI-ResourceConfig</w:t>
            </w:r>
            <w:r w:rsidRPr="00FA0D37">
              <w:rPr>
                <w:szCs w:val="22"/>
                <w:lang w:eastAsia="sv-SE"/>
              </w:rPr>
              <w:t xml:space="preserve"> are located in (see TS 38.214 [19], clause 5.2.1.2.</w:t>
            </w:r>
          </w:p>
        </w:tc>
      </w:tr>
      <w:tr w:rsidR="005C7FF4" w:rsidRPr="00FA0D37"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FA0D37" w:rsidRDefault="00394471" w:rsidP="00964CC4">
            <w:pPr>
              <w:pStyle w:val="TAL"/>
              <w:rPr>
                <w:b/>
                <w:i/>
                <w:szCs w:val="22"/>
                <w:lang w:eastAsia="sv-SE"/>
              </w:rPr>
            </w:pPr>
            <w:r w:rsidRPr="00FA0D37">
              <w:rPr>
                <w:b/>
                <w:i/>
                <w:szCs w:val="22"/>
                <w:lang w:eastAsia="sv-SE"/>
              </w:rPr>
              <w:t>csi-IM-ResourceSetList</w:t>
            </w:r>
          </w:p>
          <w:p w14:paraId="6A87102B" w14:textId="41E38C83" w:rsidR="00394471" w:rsidRPr="00FA0D37" w:rsidRDefault="00394471" w:rsidP="00964CC4">
            <w:pPr>
              <w:pStyle w:val="TAL"/>
              <w:rPr>
                <w:lang w:eastAsia="sv-SE"/>
              </w:rPr>
            </w:pPr>
            <w:r w:rsidRPr="00FA0D37">
              <w:rPr>
                <w:lang w:eastAsia="sv-SE"/>
              </w:rPr>
              <w:t xml:space="preserve">List of references to CSI-IM resources used for </w:t>
            </w:r>
            <w:r w:rsidR="00835C66" w:rsidRPr="00FA0D37">
              <w:rPr>
                <w:lang w:eastAsia="sv-SE"/>
              </w:rPr>
              <w:t xml:space="preserve">CSI </w:t>
            </w:r>
            <w:r w:rsidRPr="00FA0D37">
              <w:rPr>
                <w:lang w:eastAsia="sv-SE"/>
              </w:rPr>
              <w:t xml:space="preserve">measurement and reporting in a CSI-RS resource set. Contains up to </w:t>
            </w:r>
            <w:r w:rsidRPr="00FA0D37">
              <w:rPr>
                <w:i/>
                <w:lang w:eastAsia="sv-SE"/>
              </w:rPr>
              <w:t>maxNrofCSI-IM-ResourceSetsPerConfig</w:t>
            </w:r>
            <w:r w:rsidRPr="00FA0D37">
              <w:rPr>
                <w:lang w:eastAsia="sv-SE"/>
              </w:rPr>
              <w:t xml:space="preserve"> resource sets if </w:t>
            </w:r>
            <w:r w:rsidRPr="00FA0D37">
              <w:rPr>
                <w:i/>
                <w:lang w:eastAsia="sv-SE"/>
              </w:rPr>
              <w:t>resourceType</w:t>
            </w:r>
            <w:r w:rsidRPr="00FA0D37">
              <w:rPr>
                <w:lang w:eastAsia="sv-SE"/>
              </w:rPr>
              <w:t xml:space="preserve"> is 'aperiodic' and 1 otherwise (see TS 38.214 [19], clause 5.2.1.2).</w:t>
            </w:r>
          </w:p>
        </w:tc>
      </w:tr>
      <w:tr w:rsidR="005C7FF4" w:rsidRPr="00FA0D37"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FA0D37" w:rsidRDefault="00394471" w:rsidP="00964CC4">
            <w:pPr>
              <w:pStyle w:val="TAL"/>
              <w:rPr>
                <w:szCs w:val="22"/>
                <w:lang w:eastAsia="sv-SE"/>
              </w:rPr>
            </w:pPr>
            <w:r w:rsidRPr="00FA0D37">
              <w:rPr>
                <w:b/>
                <w:i/>
                <w:szCs w:val="22"/>
                <w:lang w:eastAsia="sv-SE"/>
              </w:rPr>
              <w:t>csi-ResourceConfigId</w:t>
            </w:r>
          </w:p>
          <w:p w14:paraId="12A45D53" w14:textId="77777777" w:rsidR="00394471" w:rsidRPr="00FA0D37" w:rsidRDefault="00394471" w:rsidP="00964CC4">
            <w:pPr>
              <w:pStyle w:val="TAL"/>
              <w:rPr>
                <w:szCs w:val="22"/>
                <w:lang w:eastAsia="sv-SE"/>
              </w:rPr>
            </w:pPr>
            <w:r w:rsidRPr="00FA0D37">
              <w:rPr>
                <w:szCs w:val="22"/>
                <w:lang w:eastAsia="sv-SE"/>
              </w:rPr>
              <w:t xml:space="preserve">Used in </w:t>
            </w:r>
            <w:r w:rsidRPr="00FA0D37">
              <w:rPr>
                <w:i/>
                <w:lang w:eastAsia="sv-SE"/>
              </w:rPr>
              <w:t>CSI-ReportConfig</w:t>
            </w:r>
            <w:r w:rsidRPr="00FA0D37">
              <w:rPr>
                <w:szCs w:val="22"/>
                <w:lang w:eastAsia="sv-SE"/>
              </w:rPr>
              <w:t xml:space="preserve"> to refer to an instance of </w:t>
            </w:r>
            <w:r w:rsidRPr="00FA0D37">
              <w:rPr>
                <w:i/>
                <w:lang w:eastAsia="sv-SE"/>
              </w:rPr>
              <w:t>CSI-ResourceConfig.</w:t>
            </w:r>
          </w:p>
        </w:tc>
      </w:tr>
      <w:tr w:rsidR="005C7FF4" w:rsidRPr="00FA0D37"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FA0D37" w:rsidRDefault="00394471" w:rsidP="00964CC4">
            <w:pPr>
              <w:pStyle w:val="TAL"/>
              <w:rPr>
                <w:szCs w:val="22"/>
                <w:lang w:eastAsia="sv-SE"/>
              </w:rPr>
            </w:pPr>
            <w:r w:rsidRPr="00FA0D37">
              <w:rPr>
                <w:b/>
                <w:i/>
                <w:szCs w:val="22"/>
                <w:lang w:eastAsia="sv-SE"/>
              </w:rPr>
              <w:t>csi-SSB-ResourceSetList</w:t>
            </w:r>
            <w:r w:rsidR="003C4B12" w:rsidRPr="00FA0D37">
              <w:rPr>
                <w:b/>
                <w:i/>
                <w:szCs w:val="22"/>
                <w:lang w:eastAsia="sv-SE"/>
              </w:rPr>
              <w:t>,</w:t>
            </w:r>
            <w:r w:rsidR="003C4B12" w:rsidRPr="00FA0D37">
              <w:rPr>
                <w:b/>
                <w:bCs/>
                <w:i/>
                <w:iCs/>
              </w:rPr>
              <w:t xml:space="preserve"> csi-SSB-ResourceSetListExt</w:t>
            </w:r>
          </w:p>
          <w:p w14:paraId="11C9A526" w14:textId="78A60534" w:rsidR="00394471" w:rsidRPr="00FA0D37" w:rsidRDefault="00394471" w:rsidP="003C4B12">
            <w:pPr>
              <w:pStyle w:val="TAL"/>
              <w:rPr>
                <w:szCs w:val="22"/>
                <w:lang w:eastAsia="sv-SE"/>
              </w:rPr>
            </w:pPr>
            <w:r w:rsidRPr="00FA0D37">
              <w:rPr>
                <w:szCs w:val="22"/>
                <w:lang w:eastAsia="sv-SE"/>
              </w:rPr>
              <w:t xml:space="preserve">List of references to SSB resources used for </w:t>
            </w:r>
            <w:r w:rsidR="005A6121" w:rsidRPr="00FA0D37">
              <w:rPr>
                <w:szCs w:val="22"/>
                <w:lang w:eastAsia="sv-SE"/>
              </w:rPr>
              <w:t xml:space="preserve">CSI </w:t>
            </w:r>
            <w:r w:rsidRPr="00FA0D37">
              <w:rPr>
                <w:szCs w:val="22"/>
                <w:lang w:eastAsia="sv-SE"/>
              </w:rPr>
              <w:t>measurement and reporting in a</w:t>
            </w:r>
            <w:r w:rsidRPr="00FA0D37">
              <w:rPr>
                <w:lang w:eastAsia="sv-SE"/>
              </w:rPr>
              <w:t xml:space="preserve"> CSI-RS</w:t>
            </w:r>
            <w:r w:rsidRPr="00FA0D37">
              <w:rPr>
                <w:szCs w:val="22"/>
                <w:lang w:eastAsia="sv-SE"/>
              </w:rPr>
              <w:t xml:space="preserve"> resource set (see TS 38.214 [19], clause 5.2.1.2).</w:t>
            </w:r>
            <w:r w:rsidR="003C4B12" w:rsidRPr="00FA0D37">
              <w:t xml:space="preserve"> </w:t>
            </w:r>
            <w:r w:rsidR="00184EE0" w:rsidRPr="00FA0D37">
              <w:t xml:space="preserve">The </w:t>
            </w:r>
            <w:r w:rsidR="00184EE0" w:rsidRPr="00FA0D37">
              <w:rPr>
                <w:i/>
                <w:iCs/>
              </w:rPr>
              <w:t>csi-SSB-ResourceSetListExt</w:t>
            </w:r>
            <w:r w:rsidR="00184EE0" w:rsidRPr="00FA0D37">
              <w:t xml:space="preserve"> provides additional references and can </w:t>
            </w:r>
            <w:r w:rsidR="00184EE0" w:rsidRPr="00FA0D37">
              <w:rPr>
                <w:iCs/>
              </w:rPr>
              <w:t xml:space="preserve">only be configured if </w:t>
            </w:r>
            <w:r w:rsidR="00184EE0" w:rsidRPr="00FA0D37">
              <w:rPr>
                <w:i/>
                <w:iCs/>
              </w:rPr>
              <w:t>csi-SSB-ResourceSetList</w:t>
            </w:r>
            <w:r w:rsidR="00184EE0" w:rsidRPr="00FA0D37">
              <w:rPr>
                <w:iCs/>
              </w:rPr>
              <w:t xml:space="preserve"> is configured and </w:t>
            </w:r>
            <w:r w:rsidR="00184EE0" w:rsidRPr="00FA0D37">
              <w:rPr>
                <w:i/>
                <w:iCs/>
              </w:rPr>
              <w:t>groupBasedBeamReporting-v1710</w:t>
            </w:r>
            <w:r w:rsidR="00184EE0" w:rsidRPr="00FA0D37">
              <w:t xml:space="preserve"> is configured in the </w:t>
            </w:r>
            <w:r w:rsidR="00184EE0" w:rsidRPr="00FA0D37">
              <w:rPr>
                <w:i/>
                <w:iCs/>
              </w:rPr>
              <w:t>CSI-ReportConfig</w:t>
            </w:r>
            <w:r w:rsidR="00184EE0" w:rsidRPr="00FA0D37">
              <w:rPr>
                <w:iCs/>
              </w:rPr>
              <w:t xml:space="preserve"> that indicates this </w:t>
            </w:r>
            <w:r w:rsidR="00184EE0" w:rsidRPr="00FA0D37">
              <w:rPr>
                <w:i/>
                <w:iCs/>
              </w:rPr>
              <w:t>CSI-ResourceConfig</w:t>
            </w:r>
            <w:r w:rsidR="00184EE0" w:rsidRPr="00FA0D37">
              <w:rPr>
                <w:iCs/>
              </w:rPr>
              <w:t xml:space="preserve"> as </w:t>
            </w:r>
            <w:r w:rsidR="00184EE0" w:rsidRPr="00FA0D37">
              <w:rPr>
                <w:i/>
                <w:szCs w:val="22"/>
                <w:lang w:eastAsia="sv-SE"/>
              </w:rPr>
              <w:t>resourcesForChannelMeasurement</w:t>
            </w:r>
            <w:r w:rsidR="00184EE0" w:rsidRPr="00FA0D37">
              <w:t xml:space="preserve">. </w:t>
            </w:r>
            <w:r w:rsidR="003C4B12" w:rsidRPr="00FA0D37">
              <w:t xml:space="preserve">If </w:t>
            </w:r>
            <w:r w:rsidR="003C4B12" w:rsidRPr="00FA0D37">
              <w:rPr>
                <w:i/>
              </w:rPr>
              <w:t>groupBasedBeamReporting-v1710</w:t>
            </w:r>
            <w:r w:rsidR="003C4B12" w:rsidRPr="00FA0D37">
              <w:t xml:space="preserve"> is configured in the IE </w:t>
            </w:r>
            <w:r w:rsidR="003C4B12" w:rsidRPr="00FA0D37">
              <w:rPr>
                <w:i/>
                <w:iCs/>
              </w:rPr>
              <w:t>CSI-ReportConfig</w:t>
            </w:r>
            <w:r w:rsidR="003C4B12" w:rsidRPr="00FA0D37">
              <w:rPr>
                <w:iCs/>
              </w:rPr>
              <w:t xml:space="preserve"> that indicates this </w:t>
            </w:r>
            <w:r w:rsidR="003C4B12" w:rsidRPr="00FA0D37">
              <w:rPr>
                <w:i/>
                <w:iCs/>
              </w:rPr>
              <w:t>CSI-ResourceConfig</w:t>
            </w:r>
            <w:r w:rsidR="003C4B12" w:rsidRPr="00FA0D37">
              <w:rPr>
                <w:iCs/>
              </w:rPr>
              <w:t xml:space="preserve"> as </w:t>
            </w:r>
            <w:r w:rsidR="003C4B12" w:rsidRPr="00FA0D37">
              <w:rPr>
                <w:i/>
                <w:szCs w:val="22"/>
                <w:lang w:eastAsia="sv-SE"/>
              </w:rPr>
              <w:t>resourceForChannelMeasurement</w:t>
            </w:r>
            <w:r w:rsidR="003C4B12" w:rsidRPr="00FA0D37">
              <w:rPr>
                <w:szCs w:val="22"/>
                <w:lang w:eastAsia="sv-SE"/>
              </w:rPr>
              <w:t>,</w:t>
            </w:r>
            <w:r w:rsidR="003C4B12" w:rsidRPr="00FA0D37">
              <w:t xml:space="preserve"> the network configures 2 resource sets, which may be two CSI SSB resource sets </w:t>
            </w:r>
            <w:r w:rsidR="003C4B12" w:rsidRPr="00FA0D37">
              <w:rPr>
                <w:szCs w:val="22"/>
                <w:lang w:eastAsia="sv-SE"/>
              </w:rPr>
              <w:t>(see TS 38.214 [19], clause 5.2.1.2</w:t>
            </w:r>
            <w:r w:rsidR="003C4B12" w:rsidRPr="00FA0D37">
              <w:t xml:space="preserve"> and 5.2.1.4.2</w:t>
            </w:r>
            <w:r w:rsidR="003C4B12" w:rsidRPr="00FA0D37">
              <w:rPr>
                <w:szCs w:val="22"/>
                <w:lang w:eastAsia="sv-SE"/>
              </w:rPr>
              <w:t xml:space="preserve">). In this case, in TS 38.212 [17] </w:t>
            </w:r>
            <w:r w:rsidR="003C4B12" w:rsidRPr="00FA0D37">
              <w:t xml:space="preserve">Table </w:t>
            </w:r>
            <w:r w:rsidR="003C4B12" w:rsidRPr="00FA0D37">
              <w:rPr>
                <w:lang w:eastAsia="zh-CN"/>
              </w:rPr>
              <w:t>6.3.1.1.2-8B</w:t>
            </w:r>
            <w:r w:rsidR="00B30C99" w:rsidRPr="00FA0D37">
              <w:rPr>
                <w:lang w:eastAsia="zh-CN"/>
              </w:rPr>
              <w:t>,</w:t>
            </w:r>
            <w:r w:rsidR="00A04187" w:rsidRPr="00FA0D37">
              <w:rPr>
                <w:lang w:eastAsia="zh-CN"/>
              </w:rPr>
              <w:t xml:space="preserve"> </w:t>
            </w:r>
            <w:r w:rsidR="003C4B12" w:rsidRPr="00FA0D37">
              <w:rPr>
                <w:szCs w:val="22"/>
                <w:lang w:eastAsia="sv-SE"/>
              </w:rPr>
              <w:t>the first resource set is indicated by a resource set indicator set to 0 and the second resource set by a resource set indicator set to 1.</w:t>
            </w:r>
          </w:p>
        </w:tc>
      </w:tr>
      <w:tr w:rsidR="005C7FF4" w:rsidRPr="00FA0D37"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FA0D37" w:rsidRDefault="00394471" w:rsidP="00964CC4">
            <w:pPr>
              <w:pStyle w:val="TAL"/>
              <w:rPr>
                <w:szCs w:val="22"/>
                <w:lang w:eastAsia="sv-SE"/>
              </w:rPr>
            </w:pPr>
            <w:r w:rsidRPr="00FA0D37">
              <w:rPr>
                <w:b/>
                <w:i/>
                <w:szCs w:val="22"/>
                <w:lang w:eastAsia="sv-SE"/>
              </w:rPr>
              <w:t>nzp-CSI-RS-ResourceSetList</w:t>
            </w:r>
          </w:p>
          <w:p w14:paraId="31F6676D" w14:textId="1220D226" w:rsidR="00184EE0" w:rsidRPr="00FA0D37" w:rsidRDefault="00394471" w:rsidP="003C4B12">
            <w:pPr>
              <w:pStyle w:val="TAL"/>
              <w:rPr>
                <w:szCs w:val="22"/>
                <w:lang w:eastAsia="sv-SE"/>
              </w:rPr>
            </w:pPr>
            <w:r w:rsidRPr="00FA0D37">
              <w:rPr>
                <w:szCs w:val="22"/>
                <w:lang w:eastAsia="sv-SE"/>
              </w:rPr>
              <w:t>List of references to NZP CSI-RS resources used for beam measurement and reporting in a CSI-RS resource set.</w:t>
            </w:r>
          </w:p>
          <w:p w14:paraId="7B9D8ACE" w14:textId="54E390B2" w:rsidR="00394471" w:rsidRPr="00FA0D37" w:rsidRDefault="00184EE0" w:rsidP="00A04187">
            <w:pPr>
              <w:pStyle w:val="TAL"/>
              <w:rPr>
                <w:b/>
                <w:i/>
                <w:szCs w:val="22"/>
                <w:lang w:eastAsia="sv-SE"/>
              </w:rPr>
            </w:pPr>
            <w:r w:rsidRPr="00FA0D37">
              <w:rPr>
                <w:lang w:eastAsia="sv-SE"/>
              </w:rPr>
              <w:t xml:space="preserve">If </w:t>
            </w:r>
            <w:r w:rsidRPr="00FA0D37">
              <w:rPr>
                <w:i/>
                <w:lang w:eastAsia="sv-SE"/>
              </w:rPr>
              <w:t>resourceType</w:t>
            </w:r>
            <w:r w:rsidRPr="00FA0D37">
              <w:rPr>
                <w:lang w:eastAsia="sv-SE"/>
              </w:rPr>
              <w:t xml:space="preserve"> is set to 'aperiodic', the network configures </w:t>
            </w:r>
            <w:r w:rsidR="00394471" w:rsidRPr="00FA0D37">
              <w:rPr>
                <w:szCs w:val="22"/>
                <w:lang w:eastAsia="sv-SE"/>
              </w:rPr>
              <w:t xml:space="preserve">up to </w:t>
            </w:r>
            <w:r w:rsidR="00394471" w:rsidRPr="00FA0D37">
              <w:rPr>
                <w:i/>
                <w:lang w:eastAsia="sv-SE"/>
              </w:rPr>
              <w:t>maxNrofNZP-CSI-RS-ResourceSetsPerConfig</w:t>
            </w:r>
            <w:r w:rsidR="00394471" w:rsidRPr="00FA0D37">
              <w:rPr>
                <w:szCs w:val="22"/>
                <w:lang w:eastAsia="sv-SE"/>
              </w:rPr>
              <w:t xml:space="preserve"> resource sets</w:t>
            </w:r>
            <w:r w:rsidRPr="00FA0D37">
              <w:rPr>
                <w:szCs w:val="22"/>
                <w:lang w:eastAsia="sv-SE"/>
              </w:rPr>
              <w:t>.</w:t>
            </w:r>
            <w:r w:rsidR="003C4B12" w:rsidRPr="00FA0D37">
              <w:rPr>
                <w:szCs w:val="22"/>
                <w:lang w:eastAsia="sv-SE"/>
              </w:rPr>
              <w:t xml:space="preserve"> </w:t>
            </w:r>
            <w:r w:rsidRPr="00FA0D37">
              <w:rPr>
                <w:lang w:eastAsia="sv-SE"/>
              </w:rPr>
              <w:t xml:space="preserve">If </w:t>
            </w:r>
            <w:r w:rsidRPr="00FA0D37">
              <w:rPr>
                <w:i/>
                <w:lang w:eastAsia="sv-SE"/>
              </w:rPr>
              <w:t>resourceType</w:t>
            </w:r>
            <w:r w:rsidRPr="00FA0D37">
              <w:rPr>
                <w:lang w:eastAsia="sv-SE"/>
              </w:rPr>
              <w:t xml:space="preserve"> is </w:t>
            </w:r>
            <w:r w:rsidRPr="00FA0D37">
              <w:t>is set to 'periodic' or 'semiPersistent' and</w:t>
            </w:r>
            <w:r w:rsidRPr="00FA0D37">
              <w:rPr>
                <w:lang w:eastAsia="sv-SE"/>
              </w:rPr>
              <w:t xml:space="preserve"> </w:t>
            </w:r>
            <w:r w:rsidRPr="00FA0D37">
              <w:rPr>
                <w:i/>
              </w:rPr>
              <w:t>groupBasedBeamReporting-v1710</w:t>
            </w:r>
            <w:r w:rsidRPr="00FA0D37">
              <w:t xml:space="preserve"> is not configured in IE </w:t>
            </w:r>
            <w:r w:rsidRPr="00FA0D37">
              <w:rPr>
                <w:i/>
                <w:iCs/>
              </w:rPr>
              <w:t>CSI-ReportConfig</w:t>
            </w:r>
            <w:r w:rsidRPr="00FA0D37">
              <w:rPr>
                <w:lang w:eastAsia="sv-SE"/>
              </w:rPr>
              <w:t>, the network configures</w:t>
            </w:r>
            <w:r w:rsidRPr="00FA0D37">
              <w:rPr>
                <w:szCs w:val="22"/>
                <w:lang w:eastAsia="sv-SE"/>
              </w:rPr>
              <w:t xml:space="preserve"> </w:t>
            </w:r>
            <w:r w:rsidR="00394471" w:rsidRPr="00FA0D37">
              <w:rPr>
                <w:szCs w:val="22"/>
                <w:lang w:eastAsia="sv-SE"/>
              </w:rPr>
              <w:t xml:space="preserve">1 </w:t>
            </w:r>
            <w:r w:rsidR="003C4B12" w:rsidRPr="00FA0D37">
              <w:rPr>
                <w:szCs w:val="22"/>
                <w:lang w:eastAsia="sv-SE"/>
              </w:rPr>
              <w:t>resource set</w:t>
            </w:r>
            <w:r w:rsidRPr="00FA0D37">
              <w:rPr>
                <w:szCs w:val="22"/>
                <w:lang w:eastAsia="sv-SE"/>
              </w:rPr>
              <w:t>.</w:t>
            </w:r>
            <w:r w:rsidR="00205D47" w:rsidRPr="00FA0D37">
              <w:t xml:space="preserve"> If </w:t>
            </w:r>
            <w:r w:rsidRPr="00FA0D37">
              <w:rPr>
                <w:i/>
                <w:lang w:eastAsia="sv-SE"/>
              </w:rPr>
              <w:t>resourceType</w:t>
            </w:r>
            <w:r w:rsidRPr="00FA0D37">
              <w:rPr>
                <w:lang w:eastAsia="sv-SE"/>
              </w:rPr>
              <w:t xml:space="preserve"> is</w:t>
            </w:r>
            <w:r w:rsidRPr="00FA0D37">
              <w:t xml:space="preserve"> set to 'periodic' or 'semiPersistent' and</w:t>
            </w:r>
            <w:r w:rsidRPr="00FA0D37">
              <w:rPr>
                <w:lang w:eastAsia="sv-SE"/>
              </w:rPr>
              <w:t xml:space="preserve"> </w:t>
            </w:r>
            <w:r w:rsidR="003C4B12" w:rsidRPr="00FA0D37">
              <w:rPr>
                <w:i/>
              </w:rPr>
              <w:t>groupBasedBeamReporting-v1710</w:t>
            </w:r>
            <w:r w:rsidR="00205D47" w:rsidRPr="00FA0D37">
              <w:t xml:space="preserve"> is configured</w:t>
            </w:r>
            <w:r w:rsidRPr="00FA0D37">
              <w:t>,</w:t>
            </w:r>
            <w:r w:rsidR="00205D47" w:rsidRPr="00FA0D37">
              <w:t xml:space="preserve"> the network configures 2 resource sets</w:t>
            </w:r>
            <w:r w:rsidR="003C4B12" w:rsidRPr="00FA0D37">
              <w:t>, which may be two NZP CSI-RS resource sets</w:t>
            </w:r>
            <w:r w:rsidR="00205D47" w:rsidRPr="00FA0D37">
              <w:rPr>
                <w:szCs w:val="22"/>
                <w:lang w:eastAsia="sv-SE"/>
              </w:rPr>
              <w:t xml:space="preserve"> </w:t>
            </w:r>
            <w:r w:rsidR="00394471" w:rsidRPr="00FA0D37">
              <w:rPr>
                <w:szCs w:val="22"/>
                <w:lang w:eastAsia="sv-SE"/>
              </w:rPr>
              <w:t>(see TS 38.214 [19], clause 5.2.1.2</w:t>
            </w:r>
            <w:r w:rsidR="00205D47" w:rsidRPr="00FA0D37">
              <w:t xml:space="preserve"> and 5.2.1.4.2</w:t>
            </w:r>
            <w:r w:rsidR="00394471" w:rsidRPr="00FA0D37">
              <w:rPr>
                <w:szCs w:val="22"/>
                <w:lang w:eastAsia="sv-SE"/>
              </w:rPr>
              <w:t>).</w:t>
            </w:r>
            <w:r w:rsidR="003C4B12" w:rsidRPr="00FA0D37">
              <w:rPr>
                <w:szCs w:val="22"/>
                <w:lang w:eastAsia="sv-SE"/>
              </w:rPr>
              <w:t xml:space="preserve"> In this case, in TS 38.212 [17] </w:t>
            </w:r>
            <w:r w:rsidR="003C4B12" w:rsidRPr="00FA0D37">
              <w:t xml:space="preserve">Table </w:t>
            </w:r>
            <w:r w:rsidR="003C4B12" w:rsidRPr="00FA0D37">
              <w:rPr>
                <w:lang w:eastAsia="zh-CN"/>
              </w:rPr>
              <w:t>6.3.1.1.2-8B</w:t>
            </w:r>
            <w:r w:rsidR="00B30C99" w:rsidRPr="00FA0D37">
              <w:rPr>
                <w:lang w:eastAsia="zh-CN"/>
              </w:rPr>
              <w:t>,</w:t>
            </w:r>
            <w:r w:rsidR="003C4B12" w:rsidRPr="00FA0D37">
              <w:rPr>
                <w:szCs w:val="22"/>
                <w:lang w:eastAsia="sv-SE"/>
              </w:rPr>
              <w:t xml:space="preserve"> the first resource set is indicated by a resource set indicator set to 0 and the second resource set by a resource set indicator set to 1.</w:t>
            </w:r>
          </w:p>
        </w:tc>
      </w:tr>
      <w:tr w:rsidR="00394471" w:rsidRPr="00FA0D37"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FA0D37" w:rsidRDefault="00394471" w:rsidP="00964CC4">
            <w:pPr>
              <w:pStyle w:val="TAL"/>
              <w:rPr>
                <w:szCs w:val="22"/>
                <w:lang w:eastAsia="sv-SE"/>
              </w:rPr>
            </w:pPr>
            <w:r w:rsidRPr="00FA0D37">
              <w:rPr>
                <w:b/>
                <w:i/>
                <w:szCs w:val="22"/>
                <w:lang w:eastAsia="sv-SE"/>
              </w:rPr>
              <w:t>resourceType</w:t>
            </w:r>
          </w:p>
          <w:p w14:paraId="0108FE54" w14:textId="77777777" w:rsidR="00394471" w:rsidRPr="00FA0D37" w:rsidRDefault="00394471" w:rsidP="00964CC4">
            <w:pPr>
              <w:pStyle w:val="TAL"/>
              <w:rPr>
                <w:szCs w:val="22"/>
                <w:lang w:eastAsia="sv-SE"/>
              </w:rPr>
            </w:pPr>
            <w:r w:rsidRPr="00FA0D37">
              <w:rPr>
                <w:szCs w:val="22"/>
                <w:lang w:eastAsia="sv-SE"/>
              </w:rPr>
              <w:t xml:space="preserve">Time domain behavior of resource configuration (see TS 38.214 [19], clause 5.2.1.2). It does not apply to resources provided in the </w:t>
            </w:r>
            <w:r w:rsidRPr="00FA0D37">
              <w:rPr>
                <w:i/>
                <w:lang w:eastAsia="sv-SE"/>
              </w:rPr>
              <w:t>csi-SSB-ResourceSetList</w:t>
            </w:r>
            <w:r w:rsidRPr="00FA0D37">
              <w:rPr>
                <w:szCs w:val="22"/>
                <w:lang w:eastAsia="sv-SE"/>
              </w:rPr>
              <w:t>.</w:t>
            </w:r>
          </w:p>
        </w:tc>
      </w:tr>
    </w:tbl>
    <w:p w14:paraId="2807A962" w14:textId="77777777" w:rsidR="00394471" w:rsidRPr="00FA0D37" w:rsidRDefault="00394471" w:rsidP="00394471"/>
    <w:p w14:paraId="48F9D20B" w14:textId="77777777" w:rsidR="00394471" w:rsidRPr="00FA0D37" w:rsidRDefault="00394471" w:rsidP="00394471">
      <w:pPr>
        <w:pStyle w:val="4"/>
      </w:pPr>
      <w:bookmarkStart w:id="993" w:name="_Toc60777220"/>
      <w:bookmarkStart w:id="994" w:name="_Toc146781267"/>
      <w:r w:rsidRPr="00FA0D37">
        <w:t>–</w:t>
      </w:r>
      <w:r w:rsidRPr="00FA0D37">
        <w:tab/>
      </w:r>
      <w:r w:rsidRPr="00FA0D37">
        <w:rPr>
          <w:i/>
        </w:rPr>
        <w:t>CSI-ResourceConfigId</w:t>
      </w:r>
      <w:bookmarkEnd w:id="993"/>
      <w:bookmarkEnd w:id="994"/>
    </w:p>
    <w:p w14:paraId="32FBC7BD" w14:textId="77777777" w:rsidR="00394471" w:rsidRPr="00FA0D37" w:rsidRDefault="00394471" w:rsidP="00394471">
      <w:r w:rsidRPr="00FA0D37">
        <w:t xml:space="preserve">The IE </w:t>
      </w:r>
      <w:r w:rsidRPr="00FA0D37">
        <w:rPr>
          <w:i/>
        </w:rPr>
        <w:t>CSI-ResourceConfigId</w:t>
      </w:r>
      <w:r w:rsidRPr="00FA0D37">
        <w:t xml:space="preserve"> is used to identify a </w:t>
      </w:r>
      <w:r w:rsidRPr="00FA0D37">
        <w:rPr>
          <w:i/>
        </w:rPr>
        <w:t>CSI-ResourceConfig</w:t>
      </w:r>
      <w:r w:rsidRPr="00FA0D37">
        <w:t>.</w:t>
      </w:r>
    </w:p>
    <w:p w14:paraId="002A6C0A" w14:textId="77777777" w:rsidR="00394471" w:rsidRPr="00FA0D37" w:rsidRDefault="00394471" w:rsidP="00394471">
      <w:pPr>
        <w:pStyle w:val="TH"/>
      </w:pPr>
      <w:r w:rsidRPr="00FA0D37">
        <w:rPr>
          <w:i/>
        </w:rPr>
        <w:t>CSI-ResourceConfigId</w:t>
      </w:r>
      <w:r w:rsidRPr="00FA0D37">
        <w:t xml:space="preserve"> information element</w:t>
      </w:r>
    </w:p>
    <w:p w14:paraId="767F6EF5" w14:textId="77777777" w:rsidR="00394471" w:rsidRPr="00FA0D37" w:rsidRDefault="00394471" w:rsidP="00FA0D37">
      <w:pPr>
        <w:pStyle w:val="PL"/>
        <w:rPr>
          <w:color w:val="808080"/>
        </w:rPr>
      </w:pPr>
      <w:r w:rsidRPr="00FA0D37">
        <w:rPr>
          <w:color w:val="808080"/>
        </w:rPr>
        <w:t>-- ASN1START</w:t>
      </w:r>
    </w:p>
    <w:p w14:paraId="11D0971B" w14:textId="77777777" w:rsidR="00394471" w:rsidRPr="00FA0D37" w:rsidRDefault="00394471" w:rsidP="00FA0D37">
      <w:pPr>
        <w:pStyle w:val="PL"/>
        <w:rPr>
          <w:color w:val="808080"/>
        </w:rPr>
      </w:pPr>
      <w:r w:rsidRPr="00FA0D37">
        <w:rPr>
          <w:color w:val="808080"/>
        </w:rPr>
        <w:t>-- TAG-CSI-RESOURCECONFIGID-START</w:t>
      </w:r>
    </w:p>
    <w:p w14:paraId="0A41B077" w14:textId="77777777" w:rsidR="00394471" w:rsidRPr="00FA0D37" w:rsidRDefault="00394471" w:rsidP="00FA0D37">
      <w:pPr>
        <w:pStyle w:val="PL"/>
      </w:pPr>
    </w:p>
    <w:p w14:paraId="151B8DEA" w14:textId="77777777" w:rsidR="00394471" w:rsidRPr="00FA0D37" w:rsidRDefault="00394471" w:rsidP="00FA0D37">
      <w:pPr>
        <w:pStyle w:val="PL"/>
      </w:pPr>
      <w:r w:rsidRPr="00FA0D37">
        <w:t xml:space="preserve">CSI-ResourceConfigId ::=            </w:t>
      </w:r>
      <w:r w:rsidRPr="00FA0D37">
        <w:rPr>
          <w:color w:val="993366"/>
        </w:rPr>
        <w:t>INTEGER</w:t>
      </w:r>
      <w:r w:rsidRPr="00FA0D37">
        <w:t xml:space="preserve"> (0..maxNrofCSI-ResourceConfigurations-1)</w:t>
      </w:r>
    </w:p>
    <w:p w14:paraId="5D2004D3" w14:textId="77777777" w:rsidR="00394471" w:rsidRPr="00FA0D37" w:rsidRDefault="00394471" w:rsidP="00FA0D37">
      <w:pPr>
        <w:pStyle w:val="PL"/>
      </w:pPr>
    </w:p>
    <w:p w14:paraId="3066030C" w14:textId="77777777" w:rsidR="00394471" w:rsidRPr="00FA0D37" w:rsidRDefault="00394471" w:rsidP="00FA0D37">
      <w:pPr>
        <w:pStyle w:val="PL"/>
        <w:rPr>
          <w:color w:val="808080"/>
        </w:rPr>
      </w:pPr>
      <w:r w:rsidRPr="00FA0D37">
        <w:rPr>
          <w:color w:val="808080"/>
        </w:rPr>
        <w:t>-- TAG-CSI-RESOURCECONFIGID-STOP</w:t>
      </w:r>
    </w:p>
    <w:p w14:paraId="548FA884" w14:textId="77777777" w:rsidR="00394471" w:rsidRPr="00FA0D37" w:rsidRDefault="00394471" w:rsidP="00FA0D37">
      <w:pPr>
        <w:pStyle w:val="PL"/>
        <w:rPr>
          <w:color w:val="808080"/>
        </w:rPr>
      </w:pPr>
      <w:r w:rsidRPr="00FA0D37">
        <w:rPr>
          <w:color w:val="808080"/>
        </w:rPr>
        <w:t>-- ASN1STOP</w:t>
      </w:r>
    </w:p>
    <w:p w14:paraId="2640C2E5" w14:textId="77777777" w:rsidR="00394471" w:rsidRPr="00FA0D37" w:rsidRDefault="00394471" w:rsidP="00394471"/>
    <w:p w14:paraId="1D819719" w14:textId="77777777" w:rsidR="00394471" w:rsidRPr="00FA0D37" w:rsidRDefault="00394471" w:rsidP="00394471">
      <w:pPr>
        <w:pStyle w:val="4"/>
      </w:pPr>
      <w:bookmarkStart w:id="995" w:name="_Toc60777221"/>
      <w:bookmarkStart w:id="996" w:name="_Toc146781268"/>
      <w:r w:rsidRPr="00FA0D37">
        <w:lastRenderedPageBreak/>
        <w:t>–</w:t>
      </w:r>
      <w:r w:rsidRPr="00FA0D37">
        <w:tab/>
      </w:r>
      <w:r w:rsidRPr="00FA0D37">
        <w:rPr>
          <w:i/>
        </w:rPr>
        <w:t>CSI-ResourcePeriodicityAndOffset</w:t>
      </w:r>
      <w:bookmarkEnd w:id="995"/>
      <w:bookmarkEnd w:id="996"/>
    </w:p>
    <w:p w14:paraId="0F8E4DA3" w14:textId="77777777" w:rsidR="00394471" w:rsidRPr="00FA0D37" w:rsidRDefault="00394471" w:rsidP="00394471">
      <w:r w:rsidRPr="00FA0D37">
        <w:t xml:space="preserve">The IE </w:t>
      </w:r>
      <w:r w:rsidRPr="00FA0D37">
        <w:rPr>
          <w:i/>
        </w:rPr>
        <w:t>CSI-ResourcePeriodicityAndOffset</w:t>
      </w:r>
      <w:r w:rsidRPr="00FA0D37">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A0D37">
        <w:rPr>
          <w:i/>
        </w:rPr>
        <w:t>slots4</w:t>
      </w:r>
      <w:r w:rsidRPr="00FA0D37">
        <w:t xml:space="preserve"> corresponds to 4 slots, value </w:t>
      </w:r>
      <w:r w:rsidRPr="00FA0D37">
        <w:rPr>
          <w:i/>
        </w:rPr>
        <w:t>slots5</w:t>
      </w:r>
      <w:r w:rsidRPr="00FA0D37">
        <w:t xml:space="preserve"> corresponds to 5 slots, and so on.</w:t>
      </w:r>
    </w:p>
    <w:p w14:paraId="6145187D" w14:textId="77777777" w:rsidR="00394471" w:rsidRPr="00FA0D37" w:rsidRDefault="00394471" w:rsidP="00394471">
      <w:pPr>
        <w:pStyle w:val="TH"/>
      </w:pPr>
      <w:r w:rsidRPr="00FA0D37">
        <w:rPr>
          <w:i/>
        </w:rPr>
        <w:t xml:space="preserve">CSI-ResourcePeriodicityAndOffset </w:t>
      </w:r>
      <w:r w:rsidRPr="00FA0D37">
        <w:t>information element</w:t>
      </w:r>
    </w:p>
    <w:p w14:paraId="32C96F0B" w14:textId="77777777" w:rsidR="00394471" w:rsidRPr="00FA0D37" w:rsidRDefault="00394471" w:rsidP="00FA0D37">
      <w:pPr>
        <w:pStyle w:val="PL"/>
        <w:rPr>
          <w:color w:val="808080"/>
        </w:rPr>
      </w:pPr>
      <w:r w:rsidRPr="00FA0D37">
        <w:rPr>
          <w:color w:val="808080"/>
        </w:rPr>
        <w:t>-- ASN1START</w:t>
      </w:r>
    </w:p>
    <w:p w14:paraId="74B5C798" w14:textId="77777777" w:rsidR="00394471" w:rsidRPr="00FA0D37" w:rsidRDefault="00394471" w:rsidP="00FA0D37">
      <w:pPr>
        <w:pStyle w:val="PL"/>
        <w:rPr>
          <w:color w:val="808080"/>
        </w:rPr>
      </w:pPr>
      <w:r w:rsidRPr="00FA0D37">
        <w:rPr>
          <w:color w:val="808080"/>
        </w:rPr>
        <w:t>-- TAG-CSI-RESOURCEPERIODICITYANDOFFSET-START</w:t>
      </w:r>
    </w:p>
    <w:p w14:paraId="7CB700CF" w14:textId="77777777" w:rsidR="00394471" w:rsidRPr="00FA0D37" w:rsidRDefault="00394471" w:rsidP="00FA0D37">
      <w:pPr>
        <w:pStyle w:val="PL"/>
      </w:pPr>
    </w:p>
    <w:p w14:paraId="13A7094D" w14:textId="77777777" w:rsidR="00394471" w:rsidRPr="00FA0D37" w:rsidRDefault="00394471" w:rsidP="00FA0D37">
      <w:pPr>
        <w:pStyle w:val="PL"/>
      </w:pPr>
      <w:r w:rsidRPr="00FA0D37">
        <w:t xml:space="preserve">CSI-ResourcePeriodicityAndOffset ::=    </w:t>
      </w:r>
      <w:r w:rsidRPr="00FA0D37">
        <w:rPr>
          <w:color w:val="993366"/>
        </w:rPr>
        <w:t>CHOICE</w:t>
      </w:r>
      <w:r w:rsidRPr="00FA0D37">
        <w:t xml:space="preserve"> {</w:t>
      </w:r>
    </w:p>
    <w:p w14:paraId="0A1C8B72" w14:textId="77777777" w:rsidR="00394471" w:rsidRPr="00FA0D37" w:rsidRDefault="00394471" w:rsidP="00FA0D37">
      <w:pPr>
        <w:pStyle w:val="PL"/>
      </w:pPr>
      <w:r w:rsidRPr="00FA0D37">
        <w:t xml:space="preserve">    slots4                                  </w:t>
      </w:r>
      <w:r w:rsidRPr="00FA0D37">
        <w:rPr>
          <w:color w:val="993366"/>
        </w:rPr>
        <w:t>INTEGER</w:t>
      </w:r>
      <w:r w:rsidRPr="00FA0D37">
        <w:t xml:space="preserve"> (0..3),</w:t>
      </w:r>
    </w:p>
    <w:p w14:paraId="041E37EF" w14:textId="77777777" w:rsidR="00394471" w:rsidRPr="00FA0D37" w:rsidRDefault="00394471" w:rsidP="00FA0D37">
      <w:pPr>
        <w:pStyle w:val="PL"/>
      </w:pPr>
      <w:r w:rsidRPr="00FA0D37">
        <w:t xml:space="preserve">    slots5                                  </w:t>
      </w:r>
      <w:r w:rsidRPr="00FA0D37">
        <w:rPr>
          <w:color w:val="993366"/>
        </w:rPr>
        <w:t>INTEGER</w:t>
      </w:r>
      <w:r w:rsidRPr="00FA0D37">
        <w:t xml:space="preserve"> (0..4),</w:t>
      </w:r>
    </w:p>
    <w:p w14:paraId="1654830D" w14:textId="77777777" w:rsidR="00394471" w:rsidRPr="00FA0D37" w:rsidRDefault="00394471" w:rsidP="00FA0D37">
      <w:pPr>
        <w:pStyle w:val="PL"/>
      </w:pPr>
      <w:r w:rsidRPr="00FA0D37">
        <w:t xml:space="preserve">    slots8                                  </w:t>
      </w:r>
      <w:r w:rsidRPr="00FA0D37">
        <w:rPr>
          <w:color w:val="993366"/>
        </w:rPr>
        <w:t>INTEGER</w:t>
      </w:r>
      <w:r w:rsidRPr="00FA0D37">
        <w:t xml:space="preserve"> (0..7),</w:t>
      </w:r>
    </w:p>
    <w:p w14:paraId="4334382E" w14:textId="77777777" w:rsidR="00394471" w:rsidRPr="00FA0D37" w:rsidRDefault="00394471" w:rsidP="00FA0D37">
      <w:pPr>
        <w:pStyle w:val="PL"/>
      </w:pPr>
      <w:r w:rsidRPr="00FA0D37">
        <w:t xml:space="preserve">    slots10                                 </w:t>
      </w:r>
      <w:r w:rsidRPr="00FA0D37">
        <w:rPr>
          <w:color w:val="993366"/>
        </w:rPr>
        <w:t>INTEGER</w:t>
      </w:r>
      <w:r w:rsidRPr="00FA0D37">
        <w:t xml:space="preserve"> (0..9),</w:t>
      </w:r>
    </w:p>
    <w:p w14:paraId="455C07DD" w14:textId="77777777" w:rsidR="00394471" w:rsidRPr="00FA0D37" w:rsidRDefault="00394471" w:rsidP="00FA0D37">
      <w:pPr>
        <w:pStyle w:val="PL"/>
      </w:pPr>
      <w:r w:rsidRPr="00FA0D37">
        <w:t xml:space="preserve">    slots16                                 </w:t>
      </w:r>
      <w:r w:rsidRPr="00FA0D37">
        <w:rPr>
          <w:color w:val="993366"/>
        </w:rPr>
        <w:t>INTEGER</w:t>
      </w:r>
      <w:r w:rsidRPr="00FA0D37">
        <w:t xml:space="preserve"> (0..15),</w:t>
      </w:r>
    </w:p>
    <w:p w14:paraId="76A68A3D" w14:textId="77777777" w:rsidR="00394471" w:rsidRPr="00FA0D37" w:rsidRDefault="00394471" w:rsidP="00FA0D37">
      <w:pPr>
        <w:pStyle w:val="PL"/>
      </w:pPr>
      <w:r w:rsidRPr="00FA0D37">
        <w:t xml:space="preserve">    slots20                                 </w:t>
      </w:r>
      <w:r w:rsidRPr="00FA0D37">
        <w:rPr>
          <w:color w:val="993366"/>
        </w:rPr>
        <w:t>INTEGER</w:t>
      </w:r>
      <w:r w:rsidRPr="00FA0D37">
        <w:t xml:space="preserve"> (0..19),</w:t>
      </w:r>
    </w:p>
    <w:p w14:paraId="6E124802" w14:textId="77777777" w:rsidR="00394471" w:rsidRPr="00FA0D37" w:rsidRDefault="00394471" w:rsidP="00FA0D37">
      <w:pPr>
        <w:pStyle w:val="PL"/>
      </w:pPr>
      <w:r w:rsidRPr="00FA0D37">
        <w:t xml:space="preserve">    slots32                                 </w:t>
      </w:r>
      <w:r w:rsidRPr="00FA0D37">
        <w:rPr>
          <w:color w:val="993366"/>
        </w:rPr>
        <w:t>INTEGER</w:t>
      </w:r>
      <w:r w:rsidRPr="00FA0D37">
        <w:t xml:space="preserve"> (0..31),</w:t>
      </w:r>
    </w:p>
    <w:p w14:paraId="4E616CB0" w14:textId="77777777" w:rsidR="00394471" w:rsidRPr="00FA0D37" w:rsidRDefault="00394471" w:rsidP="00FA0D37">
      <w:pPr>
        <w:pStyle w:val="PL"/>
      </w:pPr>
      <w:r w:rsidRPr="00FA0D37">
        <w:t xml:space="preserve">    slots40                                 </w:t>
      </w:r>
      <w:r w:rsidRPr="00FA0D37">
        <w:rPr>
          <w:color w:val="993366"/>
        </w:rPr>
        <w:t>INTEGER</w:t>
      </w:r>
      <w:r w:rsidRPr="00FA0D37">
        <w:t xml:space="preserve"> (0..39),</w:t>
      </w:r>
    </w:p>
    <w:p w14:paraId="0A936E70" w14:textId="77777777" w:rsidR="00394471" w:rsidRPr="00FA0D37" w:rsidRDefault="00394471" w:rsidP="00FA0D37">
      <w:pPr>
        <w:pStyle w:val="PL"/>
      </w:pPr>
      <w:r w:rsidRPr="00FA0D37">
        <w:t xml:space="preserve">    slots64                                 </w:t>
      </w:r>
      <w:r w:rsidRPr="00FA0D37">
        <w:rPr>
          <w:color w:val="993366"/>
        </w:rPr>
        <w:t>INTEGER</w:t>
      </w:r>
      <w:r w:rsidRPr="00FA0D37">
        <w:t xml:space="preserve"> (0..63),</w:t>
      </w:r>
    </w:p>
    <w:p w14:paraId="550071A3" w14:textId="77777777" w:rsidR="00394471" w:rsidRPr="00FA0D37" w:rsidRDefault="00394471" w:rsidP="00FA0D37">
      <w:pPr>
        <w:pStyle w:val="PL"/>
      </w:pPr>
      <w:r w:rsidRPr="00FA0D37">
        <w:t xml:space="preserve">    slots80                                 </w:t>
      </w:r>
      <w:r w:rsidRPr="00FA0D37">
        <w:rPr>
          <w:color w:val="993366"/>
        </w:rPr>
        <w:t>INTEGER</w:t>
      </w:r>
      <w:r w:rsidRPr="00FA0D37">
        <w:t xml:space="preserve"> (0..79),</w:t>
      </w:r>
    </w:p>
    <w:p w14:paraId="0D1467D7" w14:textId="77777777" w:rsidR="00394471" w:rsidRPr="00FA0D37" w:rsidRDefault="00394471" w:rsidP="00FA0D37">
      <w:pPr>
        <w:pStyle w:val="PL"/>
      </w:pPr>
      <w:r w:rsidRPr="00FA0D37">
        <w:t xml:space="preserve">    slots160                                </w:t>
      </w:r>
      <w:r w:rsidRPr="00FA0D37">
        <w:rPr>
          <w:color w:val="993366"/>
        </w:rPr>
        <w:t>INTEGER</w:t>
      </w:r>
      <w:r w:rsidRPr="00FA0D37">
        <w:t xml:space="preserve"> (0..159),</w:t>
      </w:r>
    </w:p>
    <w:p w14:paraId="62E04C9D" w14:textId="77777777" w:rsidR="00394471" w:rsidRPr="00FA0D37" w:rsidRDefault="00394471" w:rsidP="00FA0D37">
      <w:pPr>
        <w:pStyle w:val="PL"/>
      </w:pPr>
      <w:r w:rsidRPr="00FA0D37">
        <w:t xml:space="preserve">    slots320                                </w:t>
      </w:r>
      <w:r w:rsidRPr="00FA0D37">
        <w:rPr>
          <w:color w:val="993366"/>
        </w:rPr>
        <w:t>INTEGER</w:t>
      </w:r>
      <w:r w:rsidRPr="00FA0D37">
        <w:t xml:space="preserve"> (0..319),</w:t>
      </w:r>
    </w:p>
    <w:p w14:paraId="51E81500" w14:textId="77777777" w:rsidR="00394471" w:rsidRPr="00FA0D37" w:rsidRDefault="00394471" w:rsidP="00FA0D37">
      <w:pPr>
        <w:pStyle w:val="PL"/>
      </w:pPr>
      <w:r w:rsidRPr="00FA0D37">
        <w:t xml:space="preserve">    slots640                                </w:t>
      </w:r>
      <w:r w:rsidRPr="00FA0D37">
        <w:rPr>
          <w:color w:val="993366"/>
        </w:rPr>
        <w:t>INTEGER</w:t>
      </w:r>
      <w:r w:rsidRPr="00FA0D37">
        <w:t xml:space="preserve"> (0..639)</w:t>
      </w:r>
    </w:p>
    <w:p w14:paraId="4F7A8567" w14:textId="77777777" w:rsidR="00394471" w:rsidRPr="00FA0D37" w:rsidRDefault="00394471" w:rsidP="00FA0D37">
      <w:pPr>
        <w:pStyle w:val="PL"/>
      </w:pPr>
      <w:r w:rsidRPr="00FA0D37">
        <w:t>}</w:t>
      </w:r>
    </w:p>
    <w:p w14:paraId="2A5CA98B" w14:textId="77777777" w:rsidR="00394471" w:rsidRPr="00FA0D37" w:rsidRDefault="00394471" w:rsidP="00FA0D37">
      <w:pPr>
        <w:pStyle w:val="PL"/>
      </w:pPr>
    </w:p>
    <w:p w14:paraId="3FE10D44" w14:textId="77777777" w:rsidR="00394471" w:rsidRPr="00FA0D37" w:rsidRDefault="00394471" w:rsidP="00FA0D37">
      <w:pPr>
        <w:pStyle w:val="PL"/>
        <w:rPr>
          <w:color w:val="808080"/>
        </w:rPr>
      </w:pPr>
      <w:r w:rsidRPr="00FA0D37">
        <w:rPr>
          <w:color w:val="808080"/>
        </w:rPr>
        <w:t>-- TAG-CSI-RESOURCEPERIODICITYANDOFFSET-STOP</w:t>
      </w:r>
    </w:p>
    <w:p w14:paraId="37C6C664" w14:textId="77777777" w:rsidR="00394471" w:rsidRPr="00FA0D37" w:rsidRDefault="00394471" w:rsidP="00FA0D37">
      <w:pPr>
        <w:pStyle w:val="PL"/>
        <w:rPr>
          <w:color w:val="808080"/>
        </w:rPr>
      </w:pPr>
      <w:r w:rsidRPr="00FA0D37">
        <w:rPr>
          <w:color w:val="808080"/>
        </w:rPr>
        <w:t>-- ASN1STOP</w:t>
      </w:r>
    </w:p>
    <w:p w14:paraId="5FB5B840" w14:textId="77777777" w:rsidR="00394471" w:rsidRPr="00FA0D37" w:rsidRDefault="00394471" w:rsidP="00394471"/>
    <w:p w14:paraId="596A6BDB" w14:textId="77777777" w:rsidR="00394471" w:rsidRPr="00FA0D37" w:rsidRDefault="00394471" w:rsidP="00394471">
      <w:pPr>
        <w:pStyle w:val="4"/>
      </w:pPr>
      <w:bookmarkStart w:id="997" w:name="_Toc60777222"/>
      <w:bookmarkStart w:id="998" w:name="_Toc146781269"/>
      <w:r w:rsidRPr="00FA0D37">
        <w:t>–</w:t>
      </w:r>
      <w:r w:rsidRPr="00FA0D37">
        <w:tab/>
      </w:r>
      <w:r w:rsidRPr="00FA0D37">
        <w:rPr>
          <w:i/>
        </w:rPr>
        <w:t>CSI-RS-ResourceConfigMobility</w:t>
      </w:r>
      <w:bookmarkEnd w:id="997"/>
      <w:bookmarkEnd w:id="998"/>
    </w:p>
    <w:p w14:paraId="62B88D05" w14:textId="77777777" w:rsidR="00394471" w:rsidRPr="00FA0D37" w:rsidRDefault="00394471" w:rsidP="00394471">
      <w:r w:rsidRPr="00FA0D37">
        <w:t xml:space="preserve">The IE </w:t>
      </w:r>
      <w:r w:rsidRPr="00FA0D37">
        <w:rPr>
          <w:i/>
        </w:rPr>
        <w:t>CSI-RS-ResourceConfigMobility</w:t>
      </w:r>
      <w:r w:rsidRPr="00FA0D37">
        <w:t xml:space="preserve"> is used to configure CSI-RS based RRM measurements.</w:t>
      </w:r>
    </w:p>
    <w:p w14:paraId="5D06D833" w14:textId="77777777" w:rsidR="00394471" w:rsidRPr="00FA0D37" w:rsidRDefault="00394471" w:rsidP="00394471">
      <w:pPr>
        <w:pStyle w:val="TH"/>
      </w:pPr>
      <w:r w:rsidRPr="00FA0D37">
        <w:rPr>
          <w:i/>
        </w:rPr>
        <w:t>CSI-RS-ResourceConfigMobility</w:t>
      </w:r>
      <w:r w:rsidRPr="00FA0D37">
        <w:t xml:space="preserve"> information element</w:t>
      </w:r>
    </w:p>
    <w:p w14:paraId="6AA0FF21" w14:textId="77777777" w:rsidR="00394471" w:rsidRPr="00FA0D37" w:rsidRDefault="00394471" w:rsidP="00FA0D37">
      <w:pPr>
        <w:pStyle w:val="PL"/>
        <w:rPr>
          <w:color w:val="808080"/>
        </w:rPr>
      </w:pPr>
      <w:r w:rsidRPr="00FA0D37">
        <w:rPr>
          <w:color w:val="808080"/>
        </w:rPr>
        <w:t>-- ASN1START</w:t>
      </w:r>
    </w:p>
    <w:p w14:paraId="3D6896B1" w14:textId="77777777" w:rsidR="00394471" w:rsidRPr="00FA0D37" w:rsidRDefault="00394471" w:rsidP="00FA0D37">
      <w:pPr>
        <w:pStyle w:val="PL"/>
        <w:rPr>
          <w:color w:val="808080"/>
        </w:rPr>
      </w:pPr>
      <w:r w:rsidRPr="00FA0D37">
        <w:rPr>
          <w:color w:val="808080"/>
        </w:rPr>
        <w:t>-- TAG-CSI-RS-RESOURCECONFIGMOBILITY-START</w:t>
      </w:r>
    </w:p>
    <w:p w14:paraId="7069C7E2" w14:textId="77777777" w:rsidR="00394471" w:rsidRPr="00FA0D37" w:rsidRDefault="00394471" w:rsidP="00FA0D37">
      <w:pPr>
        <w:pStyle w:val="PL"/>
      </w:pPr>
    </w:p>
    <w:p w14:paraId="25262329" w14:textId="77777777" w:rsidR="00394471" w:rsidRPr="00FA0D37" w:rsidRDefault="00394471" w:rsidP="00FA0D37">
      <w:pPr>
        <w:pStyle w:val="PL"/>
      </w:pPr>
      <w:r w:rsidRPr="00FA0D37">
        <w:t xml:space="preserve">CSI-RS-ResourceConfigMobility ::=   </w:t>
      </w:r>
      <w:r w:rsidRPr="00FA0D37">
        <w:rPr>
          <w:color w:val="993366"/>
        </w:rPr>
        <w:t>SEQUENCE</w:t>
      </w:r>
      <w:r w:rsidRPr="00FA0D37">
        <w:t xml:space="preserve"> {</w:t>
      </w:r>
    </w:p>
    <w:p w14:paraId="431FB1B0" w14:textId="77777777" w:rsidR="00394471" w:rsidRPr="00FA0D37" w:rsidRDefault="00394471" w:rsidP="00FA0D37">
      <w:pPr>
        <w:pStyle w:val="PL"/>
      </w:pPr>
      <w:r w:rsidRPr="00FA0D37">
        <w:t xml:space="preserve">    subcarrierSpacing                   SubcarrierSpacing,</w:t>
      </w:r>
    </w:p>
    <w:p w14:paraId="31F085F4" w14:textId="77777777" w:rsidR="00394471" w:rsidRPr="00FA0D37" w:rsidRDefault="00394471" w:rsidP="00FA0D37">
      <w:pPr>
        <w:pStyle w:val="PL"/>
      </w:pPr>
      <w:r w:rsidRPr="00FA0D37">
        <w:t xml:space="preserve">    csi-RS-CellList-Mobility            </w:t>
      </w:r>
      <w:r w:rsidRPr="00FA0D37">
        <w:rPr>
          <w:color w:val="993366"/>
        </w:rPr>
        <w:t>SEQUENCE</w:t>
      </w:r>
      <w:r w:rsidRPr="00FA0D37">
        <w:t xml:space="preserve"> (</w:t>
      </w:r>
      <w:r w:rsidRPr="00FA0D37">
        <w:rPr>
          <w:color w:val="993366"/>
        </w:rPr>
        <w:t>SIZE</w:t>
      </w:r>
      <w:r w:rsidRPr="00FA0D37">
        <w:t xml:space="preserve"> (1..maxNrofCSI-RS-CellsRRM))</w:t>
      </w:r>
      <w:r w:rsidRPr="00FA0D37">
        <w:rPr>
          <w:color w:val="993366"/>
        </w:rPr>
        <w:t xml:space="preserve"> OF</w:t>
      </w:r>
      <w:r w:rsidRPr="00FA0D37">
        <w:t xml:space="preserve"> CSI-RS-CellMobility,</w:t>
      </w:r>
    </w:p>
    <w:p w14:paraId="734FB362" w14:textId="77777777" w:rsidR="00394471" w:rsidRPr="00FA0D37" w:rsidRDefault="00394471" w:rsidP="00FA0D37">
      <w:pPr>
        <w:pStyle w:val="PL"/>
      </w:pPr>
      <w:r w:rsidRPr="00FA0D37">
        <w:t xml:space="preserve">    ...,</w:t>
      </w:r>
    </w:p>
    <w:p w14:paraId="53A1BD52" w14:textId="77777777" w:rsidR="00394471" w:rsidRPr="00FA0D37" w:rsidRDefault="00394471" w:rsidP="00FA0D37">
      <w:pPr>
        <w:pStyle w:val="PL"/>
      </w:pPr>
      <w:r w:rsidRPr="00FA0D37">
        <w:t xml:space="preserve">    [[</w:t>
      </w:r>
    </w:p>
    <w:p w14:paraId="7EE8E367" w14:textId="77777777" w:rsidR="00394471" w:rsidRPr="00FA0D37" w:rsidRDefault="00394471" w:rsidP="00FA0D37">
      <w:pPr>
        <w:pStyle w:val="PL"/>
        <w:rPr>
          <w:color w:val="808080"/>
        </w:rPr>
      </w:pPr>
      <w:r w:rsidRPr="00FA0D37">
        <w:t xml:space="preserve">    refServCellIndex                    ServCellIndex                                                           </w:t>
      </w:r>
      <w:r w:rsidRPr="00FA0D37">
        <w:rPr>
          <w:color w:val="993366"/>
        </w:rPr>
        <w:t>OPTIONAL</w:t>
      </w:r>
      <w:r w:rsidRPr="00FA0D37">
        <w:t xml:space="preserve">    </w:t>
      </w:r>
      <w:r w:rsidRPr="00FA0D37">
        <w:rPr>
          <w:color w:val="808080"/>
        </w:rPr>
        <w:t>-- Need S</w:t>
      </w:r>
    </w:p>
    <w:p w14:paraId="4768E6D8" w14:textId="77777777" w:rsidR="00394471" w:rsidRPr="00FA0D37" w:rsidRDefault="00394471" w:rsidP="00FA0D37">
      <w:pPr>
        <w:pStyle w:val="PL"/>
      </w:pPr>
      <w:r w:rsidRPr="00FA0D37">
        <w:t xml:space="preserve">    ]]</w:t>
      </w:r>
    </w:p>
    <w:p w14:paraId="1E6CD333" w14:textId="77777777" w:rsidR="00394471" w:rsidRPr="00FA0D37" w:rsidRDefault="00394471" w:rsidP="00FA0D37">
      <w:pPr>
        <w:pStyle w:val="PL"/>
      </w:pPr>
    </w:p>
    <w:p w14:paraId="4FEF0020" w14:textId="77777777" w:rsidR="00394471" w:rsidRPr="00FA0D37" w:rsidRDefault="00394471" w:rsidP="00FA0D37">
      <w:pPr>
        <w:pStyle w:val="PL"/>
      </w:pPr>
    </w:p>
    <w:p w14:paraId="1EE4B919" w14:textId="77777777" w:rsidR="00394471" w:rsidRPr="00FA0D37" w:rsidRDefault="00394471" w:rsidP="00FA0D37">
      <w:pPr>
        <w:pStyle w:val="PL"/>
      </w:pPr>
      <w:r w:rsidRPr="00FA0D37">
        <w:t>}</w:t>
      </w:r>
    </w:p>
    <w:p w14:paraId="479DB605" w14:textId="77777777" w:rsidR="00394471" w:rsidRPr="00FA0D37" w:rsidRDefault="00394471" w:rsidP="00FA0D37">
      <w:pPr>
        <w:pStyle w:val="PL"/>
      </w:pPr>
    </w:p>
    <w:p w14:paraId="085CB1AA" w14:textId="77777777" w:rsidR="00394471" w:rsidRPr="00FA0D37" w:rsidRDefault="00394471" w:rsidP="00FA0D37">
      <w:pPr>
        <w:pStyle w:val="PL"/>
      </w:pPr>
      <w:r w:rsidRPr="00FA0D37">
        <w:t xml:space="preserve">CSI-RS-CellMobility ::=             </w:t>
      </w:r>
      <w:r w:rsidRPr="00FA0D37">
        <w:rPr>
          <w:color w:val="993366"/>
        </w:rPr>
        <w:t>SEQUENCE</w:t>
      </w:r>
      <w:r w:rsidRPr="00FA0D37">
        <w:t xml:space="preserve"> {</w:t>
      </w:r>
    </w:p>
    <w:p w14:paraId="6718840C" w14:textId="77777777" w:rsidR="00394471" w:rsidRPr="00FA0D37" w:rsidRDefault="00394471" w:rsidP="00FA0D37">
      <w:pPr>
        <w:pStyle w:val="PL"/>
      </w:pPr>
      <w:r w:rsidRPr="00FA0D37">
        <w:t xml:space="preserve">    cellId                              PhysCellId,</w:t>
      </w:r>
    </w:p>
    <w:p w14:paraId="328EB087" w14:textId="77777777" w:rsidR="00394471" w:rsidRPr="00FA0D37" w:rsidRDefault="00394471" w:rsidP="00FA0D37">
      <w:pPr>
        <w:pStyle w:val="PL"/>
      </w:pPr>
      <w:r w:rsidRPr="00FA0D37">
        <w:t xml:space="preserve">    csi-rs-MeasurementBW                </w:t>
      </w:r>
      <w:r w:rsidRPr="00FA0D37">
        <w:rPr>
          <w:color w:val="993366"/>
        </w:rPr>
        <w:t>SEQUENCE</w:t>
      </w:r>
      <w:r w:rsidRPr="00FA0D37">
        <w:t xml:space="preserve"> {</w:t>
      </w:r>
    </w:p>
    <w:p w14:paraId="271701A9" w14:textId="77777777" w:rsidR="00394471" w:rsidRPr="00FA0D37" w:rsidRDefault="00394471" w:rsidP="00FA0D37">
      <w:pPr>
        <w:pStyle w:val="PL"/>
      </w:pPr>
      <w:r w:rsidRPr="00FA0D37">
        <w:t xml:space="preserve">        nrofPRBs                            </w:t>
      </w:r>
      <w:r w:rsidRPr="00FA0D37">
        <w:rPr>
          <w:color w:val="993366"/>
        </w:rPr>
        <w:t>ENUMERATED</w:t>
      </w:r>
      <w:r w:rsidRPr="00FA0D37">
        <w:t xml:space="preserve"> { size24, size48, size96, size192, size264},</w:t>
      </w:r>
    </w:p>
    <w:p w14:paraId="38A78956" w14:textId="77777777" w:rsidR="00394471" w:rsidRPr="00FA0D37" w:rsidRDefault="00394471" w:rsidP="00FA0D37">
      <w:pPr>
        <w:pStyle w:val="PL"/>
      </w:pPr>
      <w:r w:rsidRPr="00FA0D37">
        <w:t xml:space="preserve">        startPRB                            </w:t>
      </w:r>
      <w:r w:rsidRPr="00FA0D37">
        <w:rPr>
          <w:color w:val="993366"/>
        </w:rPr>
        <w:t>INTEGER</w:t>
      </w:r>
      <w:r w:rsidRPr="00FA0D37">
        <w:t>(0..2169)</w:t>
      </w:r>
    </w:p>
    <w:p w14:paraId="0E4C7306" w14:textId="77777777" w:rsidR="00394471" w:rsidRPr="00FA0D37" w:rsidRDefault="00394471" w:rsidP="00FA0D37">
      <w:pPr>
        <w:pStyle w:val="PL"/>
      </w:pPr>
      <w:r w:rsidRPr="00FA0D37">
        <w:t xml:space="preserve">    },</w:t>
      </w:r>
    </w:p>
    <w:p w14:paraId="25E56B4C" w14:textId="77777777" w:rsidR="00394471" w:rsidRPr="00FA0D37" w:rsidRDefault="00394471" w:rsidP="00FA0D37">
      <w:pPr>
        <w:pStyle w:val="PL"/>
        <w:rPr>
          <w:color w:val="808080"/>
        </w:rPr>
      </w:pPr>
      <w:r w:rsidRPr="00FA0D37">
        <w:t xml:space="preserve">    density                             </w:t>
      </w:r>
      <w:r w:rsidRPr="00FA0D37">
        <w:rPr>
          <w:color w:val="993366"/>
        </w:rPr>
        <w:t>ENUMERATED</w:t>
      </w:r>
      <w:r w:rsidRPr="00FA0D37">
        <w:t xml:space="preserve"> {d1,d3}                                                      </w:t>
      </w:r>
      <w:r w:rsidRPr="00FA0D37">
        <w:rPr>
          <w:color w:val="993366"/>
        </w:rPr>
        <w:t>OPTIONAL</w:t>
      </w:r>
      <w:r w:rsidRPr="00FA0D37">
        <w:t xml:space="preserve">,   </w:t>
      </w:r>
      <w:r w:rsidRPr="00FA0D37">
        <w:rPr>
          <w:color w:val="808080"/>
        </w:rPr>
        <w:t>-- Need R</w:t>
      </w:r>
    </w:p>
    <w:p w14:paraId="6D520C56" w14:textId="77777777" w:rsidR="00394471" w:rsidRPr="00FA0D37" w:rsidRDefault="00394471" w:rsidP="00FA0D37">
      <w:pPr>
        <w:pStyle w:val="PL"/>
      </w:pPr>
      <w:r w:rsidRPr="00FA0D37">
        <w:t xml:space="preserve">    csi-rs-ResourceList-Mobility        </w:t>
      </w:r>
      <w:r w:rsidRPr="00FA0D37">
        <w:rPr>
          <w:color w:val="993366"/>
        </w:rPr>
        <w:t>SEQUENCE</w:t>
      </w:r>
      <w:r w:rsidRPr="00FA0D37">
        <w:t xml:space="preserve"> (</w:t>
      </w:r>
      <w:r w:rsidRPr="00FA0D37">
        <w:rPr>
          <w:color w:val="993366"/>
        </w:rPr>
        <w:t>SIZE</w:t>
      </w:r>
      <w:r w:rsidRPr="00FA0D37">
        <w:t xml:space="preserve"> (1..maxNrofCSI-RS-ResourcesRRM))</w:t>
      </w:r>
      <w:r w:rsidRPr="00FA0D37">
        <w:rPr>
          <w:color w:val="993366"/>
        </w:rPr>
        <w:t xml:space="preserve"> OF</w:t>
      </w:r>
      <w:r w:rsidRPr="00FA0D37">
        <w:t xml:space="preserve"> CSI-RS-Resource-Mobility</w:t>
      </w:r>
    </w:p>
    <w:p w14:paraId="7FB03540" w14:textId="77777777" w:rsidR="00394471" w:rsidRPr="00FA0D37" w:rsidRDefault="00394471" w:rsidP="00FA0D37">
      <w:pPr>
        <w:pStyle w:val="PL"/>
      </w:pPr>
      <w:r w:rsidRPr="00FA0D37">
        <w:t>}</w:t>
      </w:r>
    </w:p>
    <w:p w14:paraId="25F7DBC0" w14:textId="77777777" w:rsidR="00394471" w:rsidRPr="00FA0D37" w:rsidRDefault="00394471" w:rsidP="00FA0D37">
      <w:pPr>
        <w:pStyle w:val="PL"/>
      </w:pPr>
    </w:p>
    <w:p w14:paraId="30B62633" w14:textId="77777777" w:rsidR="00394471" w:rsidRPr="00FA0D37" w:rsidRDefault="00394471" w:rsidP="00FA0D37">
      <w:pPr>
        <w:pStyle w:val="PL"/>
      </w:pPr>
      <w:r w:rsidRPr="00FA0D37">
        <w:t xml:space="preserve">CSI-RS-Resource-Mobility ::=        </w:t>
      </w:r>
      <w:r w:rsidRPr="00FA0D37">
        <w:rPr>
          <w:color w:val="993366"/>
        </w:rPr>
        <w:t>SEQUENCE</w:t>
      </w:r>
      <w:r w:rsidRPr="00FA0D37">
        <w:t xml:space="preserve"> {</w:t>
      </w:r>
    </w:p>
    <w:p w14:paraId="56E43703" w14:textId="77777777" w:rsidR="00394471" w:rsidRPr="00FA0D37" w:rsidRDefault="00394471" w:rsidP="00FA0D37">
      <w:pPr>
        <w:pStyle w:val="PL"/>
      </w:pPr>
      <w:r w:rsidRPr="00FA0D37">
        <w:t xml:space="preserve">    csi-RS-Index                        CSI-RS-Index,</w:t>
      </w:r>
    </w:p>
    <w:p w14:paraId="0C1F48AF" w14:textId="77777777" w:rsidR="00394471" w:rsidRPr="00FA0D37" w:rsidRDefault="00394471" w:rsidP="00FA0D37">
      <w:pPr>
        <w:pStyle w:val="PL"/>
      </w:pPr>
      <w:r w:rsidRPr="00FA0D37">
        <w:t xml:space="preserve">    slotConfig                          </w:t>
      </w:r>
      <w:r w:rsidRPr="00FA0D37">
        <w:rPr>
          <w:color w:val="993366"/>
        </w:rPr>
        <w:t>CHOICE</w:t>
      </w:r>
      <w:r w:rsidRPr="00FA0D37">
        <w:t xml:space="preserve"> {</w:t>
      </w:r>
    </w:p>
    <w:p w14:paraId="273405D7" w14:textId="77777777" w:rsidR="00394471" w:rsidRPr="00FA0D37" w:rsidRDefault="00394471" w:rsidP="00FA0D37">
      <w:pPr>
        <w:pStyle w:val="PL"/>
      </w:pPr>
      <w:r w:rsidRPr="00FA0D37">
        <w:t xml:space="preserve">        ms4                                 </w:t>
      </w:r>
      <w:r w:rsidRPr="00FA0D37">
        <w:rPr>
          <w:color w:val="993366"/>
        </w:rPr>
        <w:t>INTEGER</w:t>
      </w:r>
      <w:r w:rsidRPr="00FA0D37">
        <w:t xml:space="preserve"> (0..31),</w:t>
      </w:r>
    </w:p>
    <w:p w14:paraId="11D0DFA7" w14:textId="77777777" w:rsidR="00394471" w:rsidRPr="00FA0D37" w:rsidRDefault="00394471" w:rsidP="00FA0D37">
      <w:pPr>
        <w:pStyle w:val="PL"/>
      </w:pPr>
      <w:r w:rsidRPr="00FA0D37">
        <w:t xml:space="preserve">        ms5                                 </w:t>
      </w:r>
      <w:r w:rsidRPr="00FA0D37">
        <w:rPr>
          <w:color w:val="993366"/>
        </w:rPr>
        <w:t>INTEGER</w:t>
      </w:r>
      <w:r w:rsidRPr="00FA0D37">
        <w:t xml:space="preserve"> (0..39),</w:t>
      </w:r>
    </w:p>
    <w:p w14:paraId="1520B547" w14:textId="77777777" w:rsidR="00394471" w:rsidRPr="00FA0D37" w:rsidRDefault="00394471" w:rsidP="00FA0D37">
      <w:pPr>
        <w:pStyle w:val="PL"/>
      </w:pPr>
      <w:r w:rsidRPr="00FA0D37">
        <w:t xml:space="preserve">        ms10                                </w:t>
      </w:r>
      <w:r w:rsidRPr="00FA0D37">
        <w:rPr>
          <w:color w:val="993366"/>
        </w:rPr>
        <w:t>INTEGER</w:t>
      </w:r>
      <w:r w:rsidRPr="00FA0D37">
        <w:t xml:space="preserve"> (0..79),</w:t>
      </w:r>
    </w:p>
    <w:p w14:paraId="22D733B2" w14:textId="77777777" w:rsidR="00394471" w:rsidRPr="00FA0D37" w:rsidRDefault="00394471" w:rsidP="00FA0D37">
      <w:pPr>
        <w:pStyle w:val="PL"/>
      </w:pPr>
      <w:r w:rsidRPr="00FA0D37">
        <w:t xml:space="preserve">        ms20                                </w:t>
      </w:r>
      <w:r w:rsidRPr="00FA0D37">
        <w:rPr>
          <w:color w:val="993366"/>
        </w:rPr>
        <w:t>INTEGER</w:t>
      </w:r>
      <w:r w:rsidRPr="00FA0D37">
        <w:t xml:space="preserve"> (0..159),</w:t>
      </w:r>
    </w:p>
    <w:p w14:paraId="34E6F168" w14:textId="77777777" w:rsidR="00394471" w:rsidRPr="00FA0D37" w:rsidRDefault="00394471" w:rsidP="00FA0D37">
      <w:pPr>
        <w:pStyle w:val="PL"/>
      </w:pPr>
      <w:r w:rsidRPr="00FA0D37">
        <w:t xml:space="preserve">        ms40                                </w:t>
      </w:r>
      <w:r w:rsidRPr="00FA0D37">
        <w:rPr>
          <w:color w:val="993366"/>
        </w:rPr>
        <w:t>INTEGER</w:t>
      </w:r>
      <w:r w:rsidRPr="00FA0D37">
        <w:t xml:space="preserve"> (0..319)</w:t>
      </w:r>
    </w:p>
    <w:p w14:paraId="1AC7F009" w14:textId="77777777" w:rsidR="00394471" w:rsidRPr="00FA0D37" w:rsidRDefault="00394471" w:rsidP="00FA0D37">
      <w:pPr>
        <w:pStyle w:val="PL"/>
      </w:pPr>
      <w:r w:rsidRPr="00FA0D37">
        <w:t xml:space="preserve">    },</w:t>
      </w:r>
    </w:p>
    <w:p w14:paraId="0350472A" w14:textId="77777777" w:rsidR="00394471" w:rsidRPr="00FA0D37" w:rsidRDefault="00394471" w:rsidP="00FA0D37">
      <w:pPr>
        <w:pStyle w:val="PL"/>
      </w:pPr>
      <w:r w:rsidRPr="00FA0D37">
        <w:t xml:space="preserve">    associatedSSB                       </w:t>
      </w:r>
      <w:r w:rsidRPr="00FA0D37">
        <w:rPr>
          <w:color w:val="993366"/>
        </w:rPr>
        <w:t>SEQUENCE</w:t>
      </w:r>
      <w:r w:rsidRPr="00FA0D37">
        <w:t xml:space="preserve"> {</w:t>
      </w:r>
    </w:p>
    <w:p w14:paraId="39C6CB15" w14:textId="77777777" w:rsidR="00394471" w:rsidRPr="00FA0D37" w:rsidRDefault="00394471" w:rsidP="00FA0D37">
      <w:pPr>
        <w:pStyle w:val="PL"/>
      </w:pPr>
      <w:r w:rsidRPr="00FA0D37">
        <w:t xml:space="preserve">        ssb-Index                           SSB-Index,</w:t>
      </w:r>
    </w:p>
    <w:p w14:paraId="1A69C0A5" w14:textId="77777777" w:rsidR="00394471" w:rsidRPr="00FA0D37" w:rsidRDefault="00394471" w:rsidP="00FA0D37">
      <w:pPr>
        <w:pStyle w:val="PL"/>
      </w:pPr>
      <w:r w:rsidRPr="00FA0D37">
        <w:t xml:space="preserve">        isQuasiColocated                    </w:t>
      </w:r>
      <w:r w:rsidRPr="00FA0D37">
        <w:rPr>
          <w:color w:val="993366"/>
        </w:rPr>
        <w:t>BOOLEAN</w:t>
      </w:r>
    </w:p>
    <w:p w14:paraId="66104684"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196E2839" w14:textId="77777777" w:rsidR="00394471" w:rsidRPr="00FA0D37" w:rsidRDefault="00394471" w:rsidP="00FA0D37">
      <w:pPr>
        <w:pStyle w:val="PL"/>
      </w:pPr>
      <w:r w:rsidRPr="00FA0D37">
        <w:t xml:space="preserve">    frequencyDomainAllocation           </w:t>
      </w:r>
      <w:r w:rsidRPr="00FA0D37">
        <w:rPr>
          <w:color w:val="993366"/>
        </w:rPr>
        <w:t>CHOICE</w:t>
      </w:r>
      <w:r w:rsidRPr="00FA0D37">
        <w:t xml:space="preserve"> {</w:t>
      </w:r>
    </w:p>
    <w:p w14:paraId="3209C642" w14:textId="77777777" w:rsidR="00394471" w:rsidRPr="00FA0D37" w:rsidRDefault="00394471" w:rsidP="00FA0D37">
      <w:pPr>
        <w:pStyle w:val="PL"/>
      </w:pPr>
      <w:r w:rsidRPr="00FA0D37">
        <w:t xml:space="preserve">        row1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3C07AA9E" w14:textId="77777777" w:rsidR="00394471" w:rsidRPr="00FA0D37" w:rsidRDefault="00394471" w:rsidP="00FA0D37">
      <w:pPr>
        <w:pStyle w:val="PL"/>
      </w:pPr>
      <w:r w:rsidRPr="00FA0D37">
        <w:t xml:space="preserve">        row2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w:t>
      </w:r>
    </w:p>
    <w:p w14:paraId="0D2944AC" w14:textId="77777777" w:rsidR="00394471" w:rsidRPr="00FA0D37" w:rsidRDefault="00394471" w:rsidP="00FA0D37">
      <w:pPr>
        <w:pStyle w:val="PL"/>
      </w:pPr>
      <w:r w:rsidRPr="00FA0D37">
        <w:t xml:space="preserve">    },</w:t>
      </w:r>
    </w:p>
    <w:p w14:paraId="033C22BA" w14:textId="77777777" w:rsidR="00394471" w:rsidRPr="00FA0D37" w:rsidRDefault="00394471" w:rsidP="00FA0D37">
      <w:pPr>
        <w:pStyle w:val="PL"/>
      </w:pPr>
      <w:r w:rsidRPr="00FA0D37">
        <w:t xml:space="preserve">    firstOFDMSymbolInTimeDomain         </w:t>
      </w:r>
      <w:r w:rsidRPr="00FA0D37">
        <w:rPr>
          <w:color w:val="993366"/>
        </w:rPr>
        <w:t>INTEGER</w:t>
      </w:r>
      <w:r w:rsidRPr="00FA0D37">
        <w:t xml:space="preserve"> (0..13),</w:t>
      </w:r>
    </w:p>
    <w:p w14:paraId="350CDB70" w14:textId="77777777" w:rsidR="00394471" w:rsidRPr="00FA0D37" w:rsidRDefault="00394471" w:rsidP="00FA0D37">
      <w:pPr>
        <w:pStyle w:val="PL"/>
      </w:pPr>
      <w:r w:rsidRPr="00FA0D37">
        <w:t xml:space="preserve">    sequenceGenerationConfig            </w:t>
      </w:r>
      <w:r w:rsidRPr="00FA0D37">
        <w:rPr>
          <w:color w:val="993366"/>
        </w:rPr>
        <w:t>INTEGER</w:t>
      </w:r>
      <w:r w:rsidRPr="00FA0D37">
        <w:t xml:space="preserve"> (0..1023),</w:t>
      </w:r>
    </w:p>
    <w:p w14:paraId="51BB999D" w14:textId="47E55C5B" w:rsidR="00D50BCB" w:rsidRPr="00FA0D37" w:rsidRDefault="00394471" w:rsidP="00FA0D37">
      <w:pPr>
        <w:pStyle w:val="PL"/>
      </w:pPr>
      <w:r w:rsidRPr="00FA0D37">
        <w:t xml:space="preserve">    ...</w:t>
      </w:r>
      <w:r w:rsidR="00D50BCB" w:rsidRPr="00FA0D37">
        <w:t>,</w:t>
      </w:r>
    </w:p>
    <w:p w14:paraId="2500FC65" w14:textId="77777777" w:rsidR="00D50BCB" w:rsidRPr="00FA0D37" w:rsidRDefault="00D50BCB" w:rsidP="00FA0D37">
      <w:pPr>
        <w:pStyle w:val="PL"/>
      </w:pPr>
      <w:r w:rsidRPr="00FA0D37">
        <w:t xml:space="preserve">    [[</w:t>
      </w:r>
    </w:p>
    <w:p w14:paraId="31DF78CC" w14:textId="2040B1AA" w:rsidR="00D50BCB" w:rsidRPr="00FA0D37" w:rsidRDefault="00D50BCB" w:rsidP="00FA0D37">
      <w:pPr>
        <w:pStyle w:val="PL"/>
      </w:pPr>
      <w:r w:rsidRPr="00FA0D37">
        <w:t xml:space="preserve">    slotConfig-r17                      </w:t>
      </w:r>
      <w:r w:rsidRPr="00FA0D37">
        <w:rPr>
          <w:color w:val="993366"/>
        </w:rPr>
        <w:t>CHOICE</w:t>
      </w:r>
      <w:r w:rsidRPr="00FA0D37">
        <w:t xml:space="preserve"> {</w:t>
      </w:r>
    </w:p>
    <w:p w14:paraId="6529F63C" w14:textId="77777777" w:rsidR="00D50BCB" w:rsidRPr="00FA0D37" w:rsidRDefault="00D50BCB" w:rsidP="00FA0D37">
      <w:pPr>
        <w:pStyle w:val="PL"/>
      </w:pPr>
      <w:r w:rsidRPr="00FA0D37">
        <w:t xml:space="preserve">        ms4                                 </w:t>
      </w:r>
      <w:r w:rsidRPr="00FA0D37">
        <w:rPr>
          <w:color w:val="993366"/>
        </w:rPr>
        <w:t>INTEGER</w:t>
      </w:r>
      <w:r w:rsidRPr="00FA0D37">
        <w:t xml:space="preserve"> (0..255),</w:t>
      </w:r>
    </w:p>
    <w:p w14:paraId="15D84A9E" w14:textId="77777777" w:rsidR="00D50BCB" w:rsidRPr="00FA0D37" w:rsidRDefault="00D50BCB" w:rsidP="00FA0D37">
      <w:pPr>
        <w:pStyle w:val="PL"/>
      </w:pPr>
      <w:r w:rsidRPr="00FA0D37">
        <w:t xml:space="preserve">        ms5                                 </w:t>
      </w:r>
      <w:r w:rsidRPr="00FA0D37">
        <w:rPr>
          <w:color w:val="993366"/>
        </w:rPr>
        <w:t>INTEGER</w:t>
      </w:r>
      <w:r w:rsidRPr="00FA0D37">
        <w:t xml:space="preserve"> (0..319),</w:t>
      </w:r>
    </w:p>
    <w:p w14:paraId="25B35BAD" w14:textId="77777777" w:rsidR="00D50BCB" w:rsidRPr="00FA0D37" w:rsidRDefault="00D50BCB" w:rsidP="00FA0D37">
      <w:pPr>
        <w:pStyle w:val="PL"/>
      </w:pPr>
      <w:r w:rsidRPr="00FA0D37">
        <w:t xml:space="preserve">        ms10                                </w:t>
      </w:r>
      <w:r w:rsidRPr="00FA0D37">
        <w:rPr>
          <w:color w:val="993366"/>
        </w:rPr>
        <w:t>INTEGER</w:t>
      </w:r>
      <w:r w:rsidRPr="00FA0D37">
        <w:t xml:space="preserve"> (0..639),</w:t>
      </w:r>
    </w:p>
    <w:p w14:paraId="6CD0D23D" w14:textId="77777777" w:rsidR="00D50BCB" w:rsidRPr="00FA0D37" w:rsidRDefault="00D50BCB" w:rsidP="00FA0D37">
      <w:pPr>
        <w:pStyle w:val="PL"/>
      </w:pPr>
      <w:r w:rsidRPr="00FA0D37">
        <w:t xml:space="preserve">        ms20                                </w:t>
      </w:r>
      <w:r w:rsidRPr="00FA0D37">
        <w:rPr>
          <w:color w:val="993366"/>
        </w:rPr>
        <w:t>INTEGER</w:t>
      </w:r>
      <w:r w:rsidRPr="00FA0D37">
        <w:t xml:space="preserve"> (0..1279),</w:t>
      </w:r>
    </w:p>
    <w:p w14:paraId="221E588F" w14:textId="77777777" w:rsidR="00D50BCB" w:rsidRPr="00FA0D37" w:rsidRDefault="00D50BCB" w:rsidP="00FA0D37">
      <w:pPr>
        <w:pStyle w:val="PL"/>
      </w:pPr>
      <w:r w:rsidRPr="00FA0D37">
        <w:t xml:space="preserve">        ms40                                </w:t>
      </w:r>
      <w:r w:rsidRPr="00FA0D37">
        <w:rPr>
          <w:color w:val="993366"/>
        </w:rPr>
        <w:t>INTEGER</w:t>
      </w:r>
      <w:r w:rsidRPr="00FA0D37">
        <w:t xml:space="preserve"> (0..2559)</w:t>
      </w:r>
    </w:p>
    <w:p w14:paraId="01383D18" w14:textId="17DCBE64" w:rsidR="00D50BCB" w:rsidRPr="00FA0D37" w:rsidRDefault="00D50BCB"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494B356D" w14:textId="658C7EB5" w:rsidR="00394471" w:rsidRPr="00FA0D37" w:rsidRDefault="00D50BCB" w:rsidP="00FA0D37">
      <w:pPr>
        <w:pStyle w:val="PL"/>
      </w:pPr>
      <w:r w:rsidRPr="00FA0D37">
        <w:t xml:space="preserve">    ]]</w:t>
      </w:r>
    </w:p>
    <w:p w14:paraId="654D69FE" w14:textId="77777777" w:rsidR="00394471" w:rsidRPr="00FA0D37" w:rsidRDefault="00394471" w:rsidP="00FA0D37">
      <w:pPr>
        <w:pStyle w:val="PL"/>
      </w:pPr>
      <w:r w:rsidRPr="00FA0D37">
        <w:t>}</w:t>
      </w:r>
    </w:p>
    <w:p w14:paraId="65E8157B" w14:textId="77777777" w:rsidR="00394471" w:rsidRPr="00FA0D37" w:rsidRDefault="00394471" w:rsidP="00FA0D37">
      <w:pPr>
        <w:pStyle w:val="PL"/>
      </w:pPr>
    </w:p>
    <w:p w14:paraId="138CF238" w14:textId="77777777" w:rsidR="00394471" w:rsidRPr="00FA0D37" w:rsidRDefault="00394471" w:rsidP="00FA0D37">
      <w:pPr>
        <w:pStyle w:val="PL"/>
      </w:pPr>
      <w:r w:rsidRPr="00FA0D37">
        <w:t xml:space="preserve">CSI-RS-Index ::=                    </w:t>
      </w:r>
      <w:r w:rsidRPr="00FA0D37">
        <w:rPr>
          <w:color w:val="993366"/>
        </w:rPr>
        <w:t>INTEGER</w:t>
      </w:r>
      <w:r w:rsidRPr="00FA0D37">
        <w:t xml:space="preserve"> (0..maxNrofCSI-RS-ResourcesRRM-1)</w:t>
      </w:r>
    </w:p>
    <w:p w14:paraId="2134FC5A" w14:textId="77777777" w:rsidR="00394471" w:rsidRPr="00FA0D37" w:rsidRDefault="00394471" w:rsidP="00FA0D37">
      <w:pPr>
        <w:pStyle w:val="PL"/>
      </w:pPr>
    </w:p>
    <w:p w14:paraId="08C1D068" w14:textId="77777777" w:rsidR="00394471" w:rsidRPr="00FA0D37" w:rsidRDefault="00394471" w:rsidP="00FA0D37">
      <w:pPr>
        <w:pStyle w:val="PL"/>
        <w:rPr>
          <w:color w:val="808080"/>
        </w:rPr>
      </w:pPr>
      <w:r w:rsidRPr="00FA0D37">
        <w:rPr>
          <w:color w:val="808080"/>
        </w:rPr>
        <w:t>-- TAG-CSI-RS-RESOURCECONFIGMOBILITY-STOP</w:t>
      </w:r>
    </w:p>
    <w:p w14:paraId="0E64D2BE" w14:textId="77777777" w:rsidR="00394471" w:rsidRPr="00FA0D37" w:rsidRDefault="00394471" w:rsidP="00FA0D37">
      <w:pPr>
        <w:pStyle w:val="PL"/>
        <w:rPr>
          <w:color w:val="808080"/>
        </w:rPr>
      </w:pPr>
      <w:r w:rsidRPr="00FA0D37">
        <w:rPr>
          <w:color w:val="808080"/>
        </w:rPr>
        <w:t>-- ASN1STOP</w:t>
      </w:r>
    </w:p>
    <w:p w14:paraId="4CF575E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FA0D37" w:rsidRDefault="00394471" w:rsidP="00964CC4">
            <w:pPr>
              <w:pStyle w:val="TAH"/>
              <w:rPr>
                <w:szCs w:val="22"/>
                <w:lang w:eastAsia="sv-SE"/>
              </w:rPr>
            </w:pPr>
            <w:r w:rsidRPr="00FA0D37">
              <w:rPr>
                <w:i/>
                <w:szCs w:val="22"/>
                <w:lang w:eastAsia="sv-SE"/>
              </w:rPr>
              <w:lastRenderedPageBreak/>
              <w:t xml:space="preserve">CSI-RS-CellMobility </w:t>
            </w:r>
            <w:r w:rsidRPr="00FA0D37">
              <w:rPr>
                <w:szCs w:val="22"/>
                <w:lang w:eastAsia="sv-SE"/>
              </w:rPr>
              <w:t>field descriptions</w:t>
            </w:r>
          </w:p>
        </w:tc>
      </w:tr>
      <w:tr w:rsidR="005C7FF4" w:rsidRPr="00FA0D37"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FA0D37" w:rsidRDefault="00394471" w:rsidP="00964CC4">
            <w:pPr>
              <w:pStyle w:val="TAL"/>
              <w:rPr>
                <w:szCs w:val="22"/>
                <w:lang w:eastAsia="sv-SE"/>
              </w:rPr>
            </w:pPr>
            <w:r w:rsidRPr="00FA0D37">
              <w:rPr>
                <w:b/>
                <w:i/>
                <w:szCs w:val="22"/>
                <w:lang w:eastAsia="sv-SE"/>
              </w:rPr>
              <w:t>csi-rs-ResourceList-Mobility</w:t>
            </w:r>
          </w:p>
          <w:p w14:paraId="1263B232" w14:textId="0E4E6480" w:rsidR="00394471" w:rsidRPr="00FA0D37" w:rsidRDefault="00394471" w:rsidP="00964CC4">
            <w:pPr>
              <w:pStyle w:val="TAL"/>
              <w:rPr>
                <w:szCs w:val="22"/>
                <w:lang w:eastAsia="sv-SE"/>
              </w:rPr>
            </w:pPr>
            <w:r w:rsidRPr="00FA0D37">
              <w:rPr>
                <w:szCs w:val="22"/>
                <w:lang w:eastAsia="sv-SE"/>
              </w:rPr>
              <w:t>List of CSI-RS resources</w:t>
            </w:r>
            <w:r w:rsidRPr="00FA0D37">
              <w:rPr>
                <w:rFonts w:eastAsia="宋体"/>
                <w:szCs w:val="22"/>
                <w:lang w:eastAsia="zh-CN"/>
              </w:rPr>
              <w:t xml:space="preserve"> for mobility. The maximum number of CSI-RS resources that can be configured per </w:t>
            </w:r>
            <w:r w:rsidRPr="00FA0D37">
              <w:rPr>
                <w:rFonts w:eastAsia="宋体"/>
                <w:i/>
                <w:szCs w:val="22"/>
                <w:lang w:eastAsia="zh-CN"/>
              </w:rPr>
              <w:t>measObjectNR</w:t>
            </w:r>
            <w:r w:rsidRPr="00FA0D37">
              <w:rPr>
                <w:rFonts w:eastAsia="宋体"/>
                <w:szCs w:val="22"/>
                <w:lang w:eastAsia="zh-CN"/>
              </w:rPr>
              <w:t xml:space="preserve"> depends on the configuration of </w:t>
            </w:r>
            <w:r w:rsidRPr="00FA0D37">
              <w:rPr>
                <w:rFonts w:eastAsia="宋体"/>
                <w:i/>
                <w:iCs/>
                <w:szCs w:val="22"/>
                <w:lang w:eastAsia="zh-CN"/>
              </w:rPr>
              <w:t xml:space="preserve">associatedSSB </w:t>
            </w:r>
            <w:r w:rsidR="002E5C20" w:rsidRPr="00FA0D37">
              <w:rPr>
                <w:iCs/>
                <w:szCs w:val="22"/>
                <w:lang w:eastAsia="zh-CN"/>
              </w:rPr>
              <w:t>and</w:t>
            </w:r>
            <w:r w:rsidR="002E5C20" w:rsidRPr="00FA0D37">
              <w:rPr>
                <w:szCs w:val="22"/>
                <w:lang w:eastAsia="zh-CN"/>
              </w:rPr>
              <w:t xml:space="preserve"> the support of </w:t>
            </w:r>
            <w:r w:rsidR="002E5C20" w:rsidRPr="00FA0D37">
              <w:rPr>
                <w:i/>
                <w:szCs w:val="22"/>
                <w:lang w:eastAsia="zh-CN"/>
              </w:rPr>
              <w:t xml:space="preserve">increasedNumberofCSIRSPerMO </w:t>
            </w:r>
            <w:r w:rsidR="002E5C20" w:rsidRPr="00FA0D37">
              <w:rPr>
                <w:szCs w:val="22"/>
                <w:lang w:eastAsia="zh-CN"/>
              </w:rPr>
              <w:t xml:space="preserve">capability </w:t>
            </w:r>
            <w:r w:rsidRPr="00FA0D37">
              <w:rPr>
                <w:rFonts w:eastAsia="宋体"/>
                <w:szCs w:val="22"/>
                <w:lang w:eastAsia="zh-CN"/>
              </w:rPr>
              <w:t>(see TS 38.214 [19], clause 5.1.6.1.3).</w:t>
            </w:r>
          </w:p>
        </w:tc>
      </w:tr>
      <w:tr w:rsidR="005C7FF4" w:rsidRPr="00FA0D37"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FA0D37" w:rsidRDefault="00394471" w:rsidP="00964CC4">
            <w:pPr>
              <w:pStyle w:val="TAL"/>
              <w:rPr>
                <w:szCs w:val="22"/>
                <w:lang w:eastAsia="sv-SE"/>
              </w:rPr>
            </w:pPr>
            <w:r w:rsidRPr="00FA0D37">
              <w:rPr>
                <w:b/>
                <w:i/>
                <w:szCs w:val="22"/>
                <w:lang w:eastAsia="sv-SE"/>
              </w:rPr>
              <w:t>density</w:t>
            </w:r>
          </w:p>
          <w:p w14:paraId="5B142617" w14:textId="77777777" w:rsidR="00394471" w:rsidRPr="00FA0D37" w:rsidRDefault="00394471" w:rsidP="00964CC4">
            <w:pPr>
              <w:pStyle w:val="TAL"/>
              <w:rPr>
                <w:szCs w:val="22"/>
                <w:lang w:eastAsia="sv-SE"/>
              </w:rPr>
            </w:pPr>
            <w:r w:rsidRPr="00FA0D37">
              <w:rPr>
                <w:szCs w:val="22"/>
                <w:lang w:eastAsia="sv-SE"/>
              </w:rPr>
              <w:t xml:space="preserve">Frequency domain density for the 1-port CSI-RS for L3 mobility. See TS 38.211 </w:t>
            </w:r>
            <w:r w:rsidRPr="00FA0D37">
              <w:rPr>
                <w:lang w:eastAsia="zh-CN"/>
              </w:rPr>
              <w:t>[16], clause 7.4.1</w:t>
            </w:r>
            <w:r w:rsidRPr="00FA0D37">
              <w:rPr>
                <w:szCs w:val="22"/>
                <w:lang w:eastAsia="sv-SE"/>
              </w:rPr>
              <w:t>.</w:t>
            </w:r>
          </w:p>
        </w:tc>
      </w:tr>
      <w:tr w:rsidR="005C7FF4" w:rsidRPr="00FA0D37"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FA0D37" w:rsidRDefault="00394471" w:rsidP="00964CC4">
            <w:pPr>
              <w:pStyle w:val="TAL"/>
              <w:rPr>
                <w:szCs w:val="22"/>
                <w:lang w:eastAsia="sv-SE"/>
              </w:rPr>
            </w:pPr>
            <w:r w:rsidRPr="00FA0D37">
              <w:rPr>
                <w:b/>
                <w:i/>
                <w:szCs w:val="22"/>
                <w:lang w:eastAsia="sv-SE"/>
              </w:rPr>
              <w:t>nrofPRBs</w:t>
            </w:r>
          </w:p>
          <w:p w14:paraId="55560A5D" w14:textId="77777777" w:rsidR="00394471" w:rsidRPr="00FA0D37" w:rsidRDefault="00394471" w:rsidP="00964CC4">
            <w:pPr>
              <w:pStyle w:val="TAL"/>
              <w:rPr>
                <w:szCs w:val="22"/>
                <w:lang w:eastAsia="sv-SE"/>
              </w:rPr>
            </w:pPr>
            <w:r w:rsidRPr="00FA0D37">
              <w:rPr>
                <w:szCs w:val="22"/>
                <w:lang w:eastAsia="sv-SE"/>
              </w:rPr>
              <w:t xml:space="preserve">Allowed size of the measurement BW in PRBs. See TS 38.211 </w:t>
            </w:r>
            <w:r w:rsidRPr="00FA0D37">
              <w:rPr>
                <w:lang w:eastAsia="zh-CN"/>
              </w:rPr>
              <w:t>[16], clause 7.4.1</w:t>
            </w:r>
            <w:r w:rsidRPr="00FA0D37">
              <w:rPr>
                <w:szCs w:val="22"/>
                <w:lang w:eastAsia="sv-SE"/>
              </w:rPr>
              <w:t>.</w:t>
            </w:r>
          </w:p>
        </w:tc>
      </w:tr>
      <w:tr w:rsidR="00394471" w:rsidRPr="00FA0D37"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FA0D37" w:rsidRDefault="00394471" w:rsidP="00964CC4">
            <w:pPr>
              <w:pStyle w:val="TAL"/>
              <w:rPr>
                <w:szCs w:val="22"/>
                <w:lang w:eastAsia="sv-SE"/>
              </w:rPr>
            </w:pPr>
            <w:r w:rsidRPr="00FA0D37">
              <w:rPr>
                <w:b/>
                <w:i/>
                <w:szCs w:val="22"/>
                <w:lang w:eastAsia="sv-SE"/>
              </w:rPr>
              <w:t>startPRB</w:t>
            </w:r>
          </w:p>
          <w:p w14:paraId="69D2C38D" w14:textId="77777777" w:rsidR="00394471" w:rsidRPr="00FA0D37" w:rsidRDefault="00394471" w:rsidP="00964CC4">
            <w:pPr>
              <w:pStyle w:val="TAL"/>
              <w:rPr>
                <w:szCs w:val="22"/>
                <w:lang w:eastAsia="sv-SE"/>
              </w:rPr>
            </w:pPr>
            <w:r w:rsidRPr="00FA0D37">
              <w:rPr>
                <w:szCs w:val="22"/>
                <w:lang w:eastAsia="sv-SE"/>
              </w:rPr>
              <w:t xml:space="preserve">Starting PRB index of the measurement bandwidth. See TS 38.211 </w:t>
            </w:r>
            <w:r w:rsidRPr="00FA0D37">
              <w:rPr>
                <w:lang w:eastAsia="zh-CN"/>
              </w:rPr>
              <w:t>[16], clause 7.4.1</w:t>
            </w:r>
            <w:r w:rsidRPr="00FA0D37">
              <w:rPr>
                <w:szCs w:val="22"/>
                <w:lang w:eastAsia="sv-SE"/>
              </w:rPr>
              <w:t>.</w:t>
            </w:r>
          </w:p>
        </w:tc>
      </w:tr>
    </w:tbl>
    <w:p w14:paraId="33E9CA2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FA0D37" w:rsidRDefault="00394471" w:rsidP="00964CC4">
            <w:pPr>
              <w:pStyle w:val="TAH"/>
              <w:rPr>
                <w:szCs w:val="22"/>
                <w:lang w:eastAsia="sv-SE"/>
              </w:rPr>
            </w:pPr>
            <w:r w:rsidRPr="00FA0D37">
              <w:rPr>
                <w:i/>
                <w:szCs w:val="22"/>
                <w:lang w:eastAsia="sv-SE"/>
              </w:rPr>
              <w:t xml:space="preserve">CSI-RS-ResourceConfigMobility </w:t>
            </w:r>
            <w:r w:rsidRPr="00FA0D37">
              <w:rPr>
                <w:szCs w:val="22"/>
                <w:lang w:eastAsia="sv-SE"/>
              </w:rPr>
              <w:t>field descriptions</w:t>
            </w:r>
          </w:p>
        </w:tc>
      </w:tr>
      <w:tr w:rsidR="005C7FF4" w:rsidRPr="00FA0D37"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FA0D37" w:rsidRDefault="00394471" w:rsidP="00964CC4">
            <w:pPr>
              <w:pStyle w:val="TAL"/>
              <w:rPr>
                <w:szCs w:val="22"/>
                <w:lang w:eastAsia="sv-SE"/>
              </w:rPr>
            </w:pPr>
            <w:r w:rsidRPr="00FA0D37">
              <w:rPr>
                <w:b/>
                <w:i/>
                <w:szCs w:val="22"/>
                <w:lang w:eastAsia="sv-SE"/>
              </w:rPr>
              <w:t>csi-RS-CellList-Mobility</w:t>
            </w:r>
          </w:p>
          <w:p w14:paraId="130E09C7" w14:textId="77777777" w:rsidR="00394471" w:rsidRPr="00FA0D37" w:rsidRDefault="00394471" w:rsidP="00964CC4">
            <w:pPr>
              <w:pStyle w:val="TAL"/>
              <w:rPr>
                <w:szCs w:val="22"/>
                <w:lang w:eastAsia="sv-SE"/>
              </w:rPr>
            </w:pPr>
            <w:r w:rsidRPr="00FA0D37">
              <w:rPr>
                <w:szCs w:val="22"/>
                <w:lang w:eastAsia="sv-SE"/>
              </w:rPr>
              <w:t>List of cells for</w:t>
            </w:r>
            <w:r w:rsidRPr="00FA0D37">
              <w:rPr>
                <w:lang w:eastAsia="sv-SE"/>
              </w:rPr>
              <w:t xml:space="preserve"> CSI-RS based RRM measurements</w:t>
            </w:r>
            <w:r w:rsidRPr="00FA0D37">
              <w:rPr>
                <w:szCs w:val="22"/>
                <w:lang w:eastAsia="sv-SE"/>
              </w:rPr>
              <w:t>.</w:t>
            </w:r>
          </w:p>
        </w:tc>
      </w:tr>
      <w:tr w:rsidR="005C7FF4" w:rsidRPr="00FA0D37"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FA0D37" w:rsidRDefault="00394471" w:rsidP="00964CC4">
            <w:pPr>
              <w:pStyle w:val="TAL"/>
              <w:rPr>
                <w:b/>
                <w:bCs/>
                <w:i/>
                <w:iCs/>
                <w:noProof/>
                <w:lang w:eastAsia="sv-SE"/>
              </w:rPr>
            </w:pPr>
            <w:r w:rsidRPr="00FA0D37">
              <w:rPr>
                <w:b/>
                <w:bCs/>
                <w:i/>
                <w:iCs/>
                <w:lang w:eastAsia="sv-SE"/>
              </w:rPr>
              <w:t>refServCellIndex</w:t>
            </w:r>
          </w:p>
          <w:p w14:paraId="0ED091F6" w14:textId="77777777" w:rsidR="00394471" w:rsidRPr="00FA0D37" w:rsidRDefault="00394471" w:rsidP="00964CC4">
            <w:pPr>
              <w:pStyle w:val="TAL"/>
              <w:rPr>
                <w:b/>
                <w:i/>
                <w:szCs w:val="22"/>
                <w:lang w:eastAsia="sv-SE"/>
              </w:rPr>
            </w:pPr>
            <w:r w:rsidRPr="00FA0D37">
              <w:rPr>
                <w:szCs w:val="22"/>
                <w:lang w:eastAsia="en-GB"/>
              </w:rPr>
              <w:t xml:space="preserve">Indicates the serving cell providing the timing reference for CSI-RS resources without </w:t>
            </w:r>
            <w:r w:rsidRPr="00FA0D37">
              <w:rPr>
                <w:i/>
                <w:szCs w:val="22"/>
                <w:lang w:eastAsia="en-GB"/>
              </w:rPr>
              <w:t>associatedSSB</w:t>
            </w:r>
            <w:r w:rsidRPr="00FA0D37">
              <w:rPr>
                <w:szCs w:val="22"/>
                <w:lang w:eastAsia="en-GB"/>
              </w:rPr>
              <w:t xml:space="preserve">. The field may be present only if there is at least one CSI-RS resource configured without </w:t>
            </w:r>
            <w:r w:rsidRPr="00FA0D37">
              <w:rPr>
                <w:i/>
                <w:szCs w:val="22"/>
                <w:lang w:eastAsia="en-GB"/>
              </w:rPr>
              <w:t>associatedSSB</w:t>
            </w:r>
            <w:r w:rsidRPr="00FA0D37">
              <w:rPr>
                <w:szCs w:val="22"/>
                <w:lang w:eastAsia="en-GB"/>
              </w:rPr>
              <w:t xml:space="preserve">. If this field is absent, the UE shall use the timing of the PCell for measurements on the CSI-RS resources without </w:t>
            </w:r>
            <w:r w:rsidRPr="00FA0D37">
              <w:rPr>
                <w:i/>
                <w:szCs w:val="22"/>
                <w:lang w:eastAsia="en-GB"/>
              </w:rPr>
              <w:t>associatedSSB</w:t>
            </w:r>
            <w:r w:rsidRPr="00FA0D37">
              <w:rPr>
                <w:szCs w:val="22"/>
                <w:lang w:eastAsia="en-GB"/>
              </w:rPr>
              <w:t xml:space="preserve">. The CSI-RS resources and the serving cell indicated by </w:t>
            </w:r>
            <w:r w:rsidRPr="00FA0D37">
              <w:rPr>
                <w:i/>
                <w:szCs w:val="22"/>
                <w:lang w:eastAsia="en-GB"/>
              </w:rPr>
              <w:t>refServCellIndex</w:t>
            </w:r>
            <w:r w:rsidRPr="00FA0D37">
              <w:rPr>
                <w:szCs w:val="22"/>
                <w:lang w:eastAsia="en-GB"/>
              </w:rPr>
              <w:t xml:space="preserve"> for timing reference should be located in the same band.</w:t>
            </w:r>
          </w:p>
        </w:tc>
      </w:tr>
      <w:tr w:rsidR="00394471" w:rsidRPr="00FA0D37"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FA0D37" w:rsidRDefault="00394471" w:rsidP="00964CC4">
            <w:pPr>
              <w:pStyle w:val="TAL"/>
              <w:rPr>
                <w:szCs w:val="22"/>
                <w:lang w:eastAsia="sv-SE"/>
              </w:rPr>
            </w:pPr>
            <w:r w:rsidRPr="00FA0D37">
              <w:rPr>
                <w:b/>
                <w:i/>
                <w:szCs w:val="22"/>
                <w:lang w:eastAsia="sv-SE"/>
              </w:rPr>
              <w:t>subcarrierSpacing</w:t>
            </w:r>
          </w:p>
          <w:p w14:paraId="3891A68A" w14:textId="6C2C084F" w:rsidR="00394471" w:rsidRPr="00FA0D37" w:rsidRDefault="00394471" w:rsidP="00964CC4">
            <w:pPr>
              <w:pStyle w:val="TAL"/>
              <w:rPr>
                <w:szCs w:val="22"/>
                <w:lang w:eastAsia="sv-SE"/>
              </w:rPr>
            </w:pPr>
            <w:r w:rsidRPr="00FA0D37">
              <w:rPr>
                <w:szCs w:val="22"/>
                <w:lang w:eastAsia="sv-SE"/>
              </w:rPr>
              <w:t>Subcarrier spacing of CSI-RS.</w:t>
            </w:r>
          </w:p>
          <w:p w14:paraId="5EE92C4E" w14:textId="77777777" w:rsidR="006C501F" w:rsidRPr="00FA0D37" w:rsidRDefault="006C501F" w:rsidP="006C501F">
            <w:pPr>
              <w:pStyle w:val="TAL"/>
              <w:rPr>
                <w:szCs w:val="22"/>
                <w:lang w:eastAsia="sv-SE"/>
              </w:rPr>
            </w:pPr>
            <w:r w:rsidRPr="00FA0D37">
              <w:rPr>
                <w:szCs w:val="22"/>
                <w:lang w:eastAsia="sv-SE"/>
              </w:rPr>
              <w:t>Only the following values are applicable depending on the used frequency:</w:t>
            </w:r>
          </w:p>
          <w:p w14:paraId="3255A1F9" w14:textId="77777777" w:rsidR="006C501F" w:rsidRPr="00FA0D37" w:rsidRDefault="006C501F" w:rsidP="006C501F">
            <w:pPr>
              <w:pStyle w:val="TAL"/>
              <w:rPr>
                <w:szCs w:val="22"/>
                <w:lang w:eastAsia="sv-SE"/>
              </w:rPr>
            </w:pPr>
            <w:r w:rsidRPr="00FA0D37">
              <w:rPr>
                <w:szCs w:val="22"/>
                <w:lang w:eastAsia="sv-SE"/>
              </w:rPr>
              <w:t>FR1:    15, 30, or 60 kHz</w:t>
            </w:r>
          </w:p>
          <w:p w14:paraId="3230E88F" w14:textId="46937D16" w:rsidR="00F747EB" w:rsidRPr="00FA0D37" w:rsidRDefault="006C501F" w:rsidP="006C501F">
            <w:pPr>
              <w:pStyle w:val="TAL"/>
              <w:rPr>
                <w:szCs w:val="22"/>
                <w:lang w:eastAsia="sv-SE"/>
              </w:rPr>
            </w:pPr>
            <w:r w:rsidRPr="00FA0D37">
              <w:rPr>
                <w:szCs w:val="22"/>
                <w:lang w:eastAsia="sv-SE"/>
              </w:rPr>
              <w:t xml:space="preserve">FR2-1:  </w:t>
            </w:r>
            <w:r w:rsidR="00D50BCB" w:rsidRPr="00FA0D37">
              <w:rPr>
                <w:szCs w:val="22"/>
                <w:lang w:eastAsia="sv-SE"/>
              </w:rPr>
              <w:t>60</w:t>
            </w:r>
            <w:r w:rsidRPr="00FA0D37">
              <w:rPr>
                <w:szCs w:val="22"/>
                <w:lang w:eastAsia="sv-SE"/>
              </w:rPr>
              <w:t xml:space="preserve"> or </w:t>
            </w:r>
            <w:r w:rsidR="00D50BCB" w:rsidRPr="00FA0D37">
              <w:rPr>
                <w:szCs w:val="22"/>
                <w:lang w:eastAsia="sv-SE"/>
              </w:rPr>
              <w:t>120</w:t>
            </w:r>
            <w:r w:rsidRPr="00FA0D37">
              <w:rPr>
                <w:szCs w:val="22"/>
                <w:lang w:eastAsia="sv-SE"/>
              </w:rPr>
              <w:t xml:space="preserve"> kHz</w:t>
            </w:r>
          </w:p>
          <w:p w14:paraId="00525388" w14:textId="19568BE5" w:rsidR="006C501F" w:rsidRPr="00FA0D37" w:rsidRDefault="006C501F" w:rsidP="006C501F">
            <w:pPr>
              <w:pStyle w:val="TAL"/>
              <w:rPr>
                <w:szCs w:val="22"/>
                <w:lang w:eastAsia="sv-SE"/>
              </w:rPr>
            </w:pPr>
            <w:r w:rsidRPr="00FA0D37">
              <w:rPr>
                <w:szCs w:val="22"/>
                <w:lang w:eastAsia="sv-SE"/>
              </w:rPr>
              <w:t>FR2-2:  120, 480, or 960 kHz</w:t>
            </w:r>
          </w:p>
        </w:tc>
      </w:tr>
    </w:tbl>
    <w:p w14:paraId="5679633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FA0D37" w:rsidRDefault="00394471" w:rsidP="00964CC4">
            <w:pPr>
              <w:pStyle w:val="TAH"/>
              <w:rPr>
                <w:szCs w:val="22"/>
                <w:lang w:eastAsia="sv-SE"/>
              </w:rPr>
            </w:pPr>
            <w:r w:rsidRPr="00FA0D37">
              <w:rPr>
                <w:i/>
                <w:szCs w:val="22"/>
                <w:lang w:eastAsia="sv-SE"/>
              </w:rPr>
              <w:lastRenderedPageBreak/>
              <w:t xml:space="preserve">CSI-RS-Resource-Mobility </w:t>
            </w:r>
            <w:r w:rsidRPr="00FA0D37">
              <w:rPr>
                <w:szCs w:val="22"/>
                <w:lang w:eastAsia="sv-SE"/>
              </w:rPr>
              <w:t>field descriptions</w:t>
            </w:r>
          </w:p>
        </w:tc>
      </w:tr>
      <w:tr w:rsidR="005C7FF4" w:rsidRPr="00FA0D37"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FA0D37" w:rsidRDefault="00394471" w:rsidP="00964CC4">
            <w:pPr>
              <w:pStyle w:val="TAL"/>
              <w:rPr>
                <w:rFonts w:cs="Arial"/>
                <w:b/>
                <w:i/>
                <w:iCs/>
                <w:szCs w:val="18"/>
                <w:lang w:eastAsia="sv-SE"/>
              </w:rPr>
            </w:pPr>
            <w:r w:rsidRPr="00FA0D37">
              <w:rPr>
                <w:rFonts w:cs="Arial"/>
                <w:b/>
                <w:i/>
                <w:iCs/>
                <w:szCs w:val="18"/>
                <w:lang w:eastAsia="sv-SE"/>
              </w:rPr>
              <w:t>associatedSSB</w:t>
            </w:r>
          </w:p>
          <w:p w14:paraId="1E067F70" w14:textId="77777777" w:rsidR="00394471" w:rsidRPr="00FA0D37" w:rsidRDefault="00394471" w:rsidP="00964CC4">
            <w:pPr>
              <w:pStyle w:val="TAL"/>
              <w:rPr>
                <w:rFonts w:eastAsia="宋体" w:cs="Arial"/>
                <w:iCs/>
                <w:szCs w:val="18"/>
                <w:lang w:eastAsia="zh-CN"/>
              </w:rPr>
            </w:pPr>
            <w:r w:rsidRPr="00FA0D37">
              <w:rPr>
                <w:rFonts w:cs="Arial"/>
                <w:iCs/>
                <w:szCs w:val="18"/>
                <w:lang w:eastAsia="sv-SE"/>
              </w:rPr>
              <w:t xml:space="preserve">If this field is present, the UE may base the timing of the CSI-RS resource indicated in </w:t>
            </w:r>
            <w:r w:rsidRPr="00FA0D37">
              <w:rPr>
                <w:i/>
                <w:szCs w:val="22"/>
                <w:lang w:eastAsia="sv-SE"/>
              </w:rPr>
              <w:t xml:space="preserve">CSI-RS-Resource-Mobility </w:t>
            </w:r>
            <w:r w:rsidRPr="00FA0D37">
              <w:rPr>
                <w:rFonts w:cs="Arial"/>
                <w:iCs/>
                <w:szCs w:val="18"/>
                <w:lang w:eastAsia="sv-SE"/>
              </w:rPr>
              <w:t xml:space="preserve">on the timing of the cell indicated by the </w:t>
            </w:r>
            <w:r w:rsidRPr="00FA0D37">
              <w:rPr>
                <w:rFonts w:cs="Arial"/>
                <w:i/>
                <w:iCs/>
                <w:szCs w:val="18"/>
                <w:lang w:eastAsia="sv-SE"/>
              </w:rPr>
              <w:t xml:space="preserve">cellId </w:t>
            </w:r>
            <w:r w:rsidRPr="00FA0D37">
              <w:rPr>
                <w:rFonts w:cs="Arial"/>
                <w:iCs/>
                <w:szCs w:val="18"/>
                <w:lang w:eastAsia="sv-SE"/>
              </w:rPr>
              <w:t xml:space="preserve">in the </w:t>
            </w:r>
            <w:r w:rsidRPr="00FA0D37">
              <w:rPr>
                <w:rFonts w:cs="Arial"/>
                <w:i/>
                <w:iCs/>
                <w:szCs w:val="18"/>
                <w:lang w:eastAsia="sv-SE"/>
              </w:rPr>
              <w:t>CSI-RS-CellMobility</w:t>
            </w:r>
            <w:r w:rsidRPr="00FA0D37">
              <w:rPr>
                <w:rFonts w:cs="Arial"/>
                <w:iCs/>
                <w:szCs w:val="18"/>
                <w:lang w:eastAsia="sv-SE"/>
              </w:rPr>
              <w:t xml:space="preserve">. In this case, the UE is not required to monitor that CSI-RS resource if the UE cannot detect the SS/PBCH block indicated by this </w:t>
            </w:r>
            <w:r w:rsidRPr="00FA0D37">
              <w:rPr>
                <w:rFonts w:cs="Arial"/>
                <w:i/>
                <w:iCs/>
                <w:szCs w:val="18"/>
                <w:lang w:eastAsia="sv-SE"/>
              </w:rPr>
              <w:t xml:space="preserve">associatedSSB </w:t>
            </w:r>
            <w:r w:rsidRPr="00FA0D37">
              <w:rPr>
                <w:rFonts w:cs="Arial"/>
                <w:iCs/>
                <w:szCs w:val="18"/>
                <w:lang w:eastAsia="sv-SE"/>
              </w:rPr>
              <w:t xml:space="preserve">and </w:t>
            </w:r>
            <w:r w:rsidRPr="00FA0D37">
              <w:rPr>
                <w:rFonts w:cs="Arial"/>
                <w:i/>
                <w:iCs/>
                <w:szCs w:val="18"/>
                <w:lang w:eastAsia="sv-SE"/>
              </w:rPr>
              <w:t>cellId</w:t>
            </w:r>
            <w:r w:rsidRPr="00FA0D37">
              <w:rPr>
                <w:rFonts w:cs="Arial"/>
                <w:iCs/>
                <w:szCs w:val="18"/>
                <w:lang w:eastAsia="sv-SE"/>
              </w:rPr>
              <w:t xml:space="preserve">. If this field is absent, the UE shall base the timing of the CSI-RS resource indicated in </w:t>
            </w:r>
            <w:r w:rsidRPr="00FA0D37">
              <w:rPr>
                <w:i/>
                <w:szCs w:val="22"/>
                <w:lang w:eastAsia="sv-SE"/>
              </w:rPr>
              <w:t xml:space="preserve">CSI-RS-Resource-Mobility </w:t>
            </w:r>
            <w:r w:rsidRPr="00FA0D37">
              <w:rPr>
                <w:rFonts w:cs="Arial"/>
                <w:iCs/>
                <w:szCs w:val="18"/>
                <w:lang w:eastAsia="sv-SE"/>
              </w:rPr>
              <w:t xml:space="preserve">on the timing of the serving cell indicated by </w:t>
            </w:r>
            <w:r w:rsidRPr="00FA0D37">
              <w:rPr>
                <w:rFonts w:cs="Arial"/>
                <w:i/>
                <w:iCs/>
                <w:szCs w:val="18"/>
                <w:lang w:eastAsia="sv-SE"/>
              </w:rPr>
              <w:t>refServCellIndex</w:t>
            </w:r>
            <w:r w:rsidRPr="00FA0D37">
              <w:rPr>
                <w:rFonts w:cs="Arial"/>
                <w:iCs/>
                <w:szCs w:val="18"/>
                <w:lang w:eastAsia="sv-SE"/>
              </w:rPr>
              <w:t xml:space="preserve">. In this case, the UE is required to measure the CSI-RS resource even if SS/PBCH block(s) with </w:t>
            </w:r>
            <w:r w:rsidRPr="00FA0D37">
              <w:rPr>
                <w:rFonts w:cs="Arial"/>
                <w:i/>
                <w:iCs/>
                <w:szCs w:val="18"/>
                <w:lang w:eastAsia="sv-SE"/>
              </w:rPr>
              <w:t xml:space="preserve">cellId </w:t>
            </w:r>
            <w:r w:rsidRPr="00FA0D37">
              <w:rPr>
                <w:rFonts w:cs="Arial"/>
                <w:iCs/>
                <w:szCs w:val="18"/>
                <w:lang w:eastAsia="sv-SE"/>
              </w:rPr>
              <w:t xml:space="preserve">in the </w:t>
            </w:r>
            <w:r w:rsidRPr="00FA0D37">
              <w:rPr>
                <w:rFonts w:cs="Arial"/>
                <w:i/>
                <w:iCs/>
                <w:szCs w:val="18"/>
                <w:lang w:eastAsia="sv-SE"/>
              </w:rPr>
              <w:t xml:space="preserve">CSI-RS-CellMobility </w:t>
            </w:r>
            <w:r w:rsidRPr="00FA0D37">
              <w:rPr>
                <w:rFonts w:cs="Arial"/>
                <w:iCs/>
                <w:szCs w:val="18"/>
                <w:lang w:eastAsia="sv-SE"/>
              </w:rPr>
              <w:t>are not detected.</w:t>
            </w:r>
          </w:p>
          <w:p w14:paraId="7A53C06E" w14:textId="77777777" w:rsidR="00394471" w:rsidRPr="00FA0D37" w:rsidRDefault="00394471" w:rsidP="00964CC4">
            <w:pPr>
              <w:pStyle w:val="TAL"/>
              <w:rPr>
                <w:rFonts w:cs="Arial"/>
                <w:iCs/>
                <w:szCs w:val="18"/>
                <w:lang w:eastAsia="sv-SE"/>
              </w:rPr>
            </w:pPr>
            <w:r w:rsidRPr="00FA0D37">
              <w:rPr>
                <w:lang w:eastAsia="sv-SE"/>
              </w:rPr>
              <w:t xml:space="preserve">CSI-RS resources with and without </w:t>
            </w:r>
            <w:r w:rsidRPr="00FA0D37">
              <w:rPr>
                <w:i/>
                <w:lang w:eastAsia="sv-SE"/>
              </w:rPr>
              <w:t>associatedSSB</w:t>
            </w:r>
            <w:r w:rsidRPr="00FA0D37">
              <w:rPr>
                <w:lang w:eastAsia="sv-SE"/>
              </w:rPr>
              <w:t xml:space="preserve"> may be configured in accordance with the rules in TS 38.214 [19], clause 5.1.6.1.3.</w:t>
            </w:r>
          </w:p>
        </w:tc>
      </w:tr>
      <w:tr w:rsidR="005C7FF4" w:rsidRPr="00FA0D37"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FA0D37" w:rsidRDefault="00394471" w:rsidP="00964CC4">
            <w:pPr>
              <w:pStyle w:val="TAL"/>
              <w:rPr>
                <w:b/>
                <w:i/>
                <w:szCs w:val="22"/>
                <w:lang w:eastAsia="sv-SE"/>
              </w:rPr>
            </w:pPr>
            <w:r w:rsidRPr="00FA0D37">
              <w:rPr>
                <w:b/>
                <w:i/>
                <w:szCs w:val="22"/>
                <w:lang w:eastAsia="sv-SE"/>
              </w:rPr>
              <w:t>csi-RS-Index</w:t>
            </w:r>
          </w:p>
          <w:p w14:paraId="6E270143" w14:textId="77777777" w:rsidR="00394471" w:rsidRPr="00FA0D37" w:rsidRDefault="00394471" w:rsidP="00964CC4">
            <w:pPr>
              <w:pStyle w:val="TAL"/>
              <w:rPr>
                <w:szCs w:val="22"/>
                <w:lang w:eastAsia="sv-SE"/>
              </w:rPr>
            </w:pPr>
            <w:r w:rsidRPr="00FA0D37">
              <w:rPr>
                <w:szCs w:val="22"/>
                <w:lang w:eastAsia="sv-SE"/>
              </w:rPr>
              <w:t>CSI-RS resource index associated to the CSI-RS resource to be measured (and used for reporting).</w:t>
            </w:r>
          </w:p>
        </w:tc>
      </w:tr>
      <w:tr w:rsidR="005C7FF4" w:rsidRPr="00FA0D37"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FA0D37" w:rsidRDefault="00394471" w:rsidP="00964CC4">
            <w:pPr>
              <w:pStyle w:val="TAL"/>
              <w:rPr>
                <w:szCs w:val="22"/>
                <w:lang w:eastAsia="sv-SE"/>
              </w:rPr>
            </w:pPr>
            <w:r w:rsidRPr="00FA0D37">
              <w:rPr>
                <w:b/>
                <w:i/>
                <w:szCs w:val="22"/>
                <w:lang w:eastAsia="sv-SE"/>
              </w:rPr>
              <w:t>firstOFDMSymbolInTimeDomain</w:t>
            </w:r>
          </w:p>
          <w:p w14:paraId="2EF640A1" w14:textId="2A42B6FE" w:rsidR="00394471" w:rsidRPr="00FA0D37" w:rsidRDefault="00394471" w:rsidP="00964CC4">
            <w:pPr>
              <w:pStyle w:val="TAL"/>
              <w:rPr>
                <w:szCs w:val="22"/>
                <w:lang w:eastAsia="sv-SE"/>
              </w:rPr>
            </w:pPr>
            <w:r w:rsidRPr="00FA0D37">
              <w:rPr>
                <w:szCs w:val="22"/>
                <w:lang w:eastAsia="sv-SE"/>
              </w:rPr>
              <w:t>Time domain allocation within a physical resource block. The field indicates the first OFDM symbol in the PRB used for CSI-RS, see TS 38.211 [16], clause 7.4.1.5.3.</w:t>
            </w:r>
          </w:p>
        </w:tc>
      </w:tr>
      <w:tr w:rsidR="005C7FF4" w:rsidRPr="00FA0D37"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FA0D37" w:rsidRDefault="00394471" w:rsidP="00964CC4">
            <w:pPr>
              <w:pStyle w:val="TAL"/>
              <w:rPr>
                <w:szCs w:val="22"/>
                <w:lang w:eastAsia="sv-SE"/>
              </w:rPr>
            </w:pPr>
            <w:r w:rsidRPr="00FA0D37">
              <w:rPr>
                <w:b/>
                <w:i/>
                <w:szCs w:val="22"/>
                <w:lang w:eastAsia="sv-SE"/>
              </w:rPr>
              <w:t>frequencyDomainAllocation</w:t>
            </w:r>
          </w:p>
          <w:p w14:paraId="3133D38B" w14:textId="77777777" w:rsidR="00394471" w:rsidRPr="00FA0D37" w:rsidRDefault="00394471" w:rsidP="00964CC4">
            <w:pPr>
              <w:pStyle w:val="TAL"/>
              <w:rPr>
                <w:szCs w:val="22"/>
                <w:lang w:eastAsia="sv-SE"/>
              </w:rPr>
            </w:pPr>
            <w:r w:rsidRPr="00FA0D37">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5C7FF4" w:rsidRPr="00FA0D37"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FA0D37" w:rsidRDefault="00394471" w:rsidP="00964CC4">
            <w:pPr>
              <w:pStyle w:val="TAL"/>
              <w:rPr>
                <w:szCs w:val="22"/>
                <w:lang w:eastAsia="sv-SE"/>
              </w:rPr>
            </w:pPr>
            <w:r w:rsidRPr="00FA0D37">
              <w:rPr>
                <w:b/>
                <w:i/>
                <w:szCs w:val="22"/>
                <w:lang w:eastAsia="sv-SE"/>
              </w:rPr>
              <w:t>isQuasiColocated</w:t>
            </w:r>
          </w:p>
          <w:p w14:paraId="526C07F0" w14:textId="77777777" w:rsidR="00394471" w:rsidRPr="00FA0D37" w:rsidRDefault="00394471" w:rsidP="00964CC4">
            <w:pPr>
              <w:pStyle w:val="TAL"/>
              <w:rPr>
                <w:szCs w:val="22"/>
                <w:lang w:eastAsia="sv-SE"/>
              </w:rPr>
            </w:pPr>
            <w:r w:rsidRPr="00FA0D37">
              <w:rPr>
                <w:szCs w:val="22"/>
                <w:lang w:eastAsia="sv-SE"/>
              </w:rPr>
              <w:t>Indicates that the CSI-RS resource is quasi co-located with the associated SS</w:t>
            </w:r>
            <w:r w:rsidRPr="00FA0D37">
              <w:rPr>
                <w:lang w:eastAsia="sv-SE"/>
              </w:rPr>
              <w:t>/PBCH block</w:t>
            </w:r>
            <w:r w:rsidRPr="00FA0D37">
              <w:rPr>
                <w:szCs w:val="22"/>
                <w:lang w:eastAsia="sv-SE"/>
              </w:rPr>
              <w:t>, see TS 38.214 [19], clause 5.1.6.1.3.</w:t>
            </w:r>
          </w:p>
        </w:tc>
      </w:tr>
      <w:tr w:rsidR="005C7FF4" w:rsidRPr="00FA0D37"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FA0D37" w:rsidRDefault="00394471" w:rsidP="00964CC4">
            <w:pPr>
              <w:pStyle w:val="TAL"/>
              <w:rPr>
                <w:szCs w:val="22"/>
                <w:lang w:eastAsia="sv-SE"/>
              </w:rPr>
            </w:pPr>
            <w:r w:rsidRPr="00FA0D37">
              <w:rPr>
                <w:b/>
                <w:i/>
                <w:szCs w:val="22"/>
                <w:lang w:eastAsia="sv-SE"/>
              </w:rPr>
              <w:t>sequenceGenerationConfig</w:t>
            </w:r>
          </w:p>
          <w:p w14:paraId="77645B10" w14:textId="77777777" w:rsidR="00394471" w:rsidRPr="00FA0D37" w:rsidRDefault="00394471" w:rsidP="00964CC4">
            <w:pPr>
              <w:pStyle w:val="TAL"/>
              <w:rPr>
                <w:szCs w:val="22"/>
                <w:lang w:eastAsia="sv-SE"/>
              </w:rPr>
            </w:pPr>
            <w:r w:rsidRPr="00FA0D37">
              <w:rPr>
                <w:szCs w:val="22"/>
                <w:lang w:eastAsia="sv-SE"/>
              </w:rPr>
              <w:t>Scrambling ID for CSI-RS (see TS 38.211 [16], clause 7.4.1.5.2).</w:t>
            </w:r>
          </w:p>
        </w:tc>
      </w:tr>
      <w:tr w:rsidR="00394471" w:rsidRPr="00FA0D37"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FA0D37" w:rsidRDefault="00394471" w:rsidP="00964CC4">
            <w:pPr>
              <w:pStyle w:val="TAL"/>
              <w:rPr>
                <w:szCs w:val="22"/>
                <w:lang w:eastAsia="sv-SE"/>
              </w:rPr>
            </w:pPr>
            <w:r w:rsidRPr="00FA0D37">
              <w:rPr>
                <w:b/>
                <w:i/>
                <w:szCs w:val="22"/>
                <w:lang w:eastAsia="sv-SE"/>
              </w:rPr>
              <w:t>slotConfig</w:t>
            </w:r>
          </w:p>
          <w:p w14:paraId="51D3E629" w14:textId="515E43FE" w:rsidR="00394471" w:rsidRPr="00FA0D37" w:rsidRDefault="00394471" w:rsidP="00964CC4">
            <w:pPr>
              <w:pStyle w:val="TAL"/>
              <w:rPr>
                <w:szCs w:val="22"/>
                <w:lang w:eastAsia="sv-SE"/>
              </w:rPr>
            </w:pPr>
            <w:r w:rsidRPr="00FA0D37">
              <w:rPr>
                <w:szCs w:val="22"/>
                <w:lang w:eastAsia="sv-SE"/>
              </w:rPr>
              <w:t xml:space="preserve">Indicates the CSI-RS periodicity (in milliseconds) and for each periodicity the offset (in number of slots). When </w:t>
            </w:r>
            <w:r w:rsidRPr="00FA0D37">
              <w:rPr>
                <w:i/>
                <w:lang w:eastAsia="sv-SE"/>
              </w:rPr>
              <w:t>subcarrierSpacing</w:t>
            </w:r>
            <w:r w:rsidRPr="00FA0D37">
              <w:rPr>
                <w:szCs w:val="22"/>
                <w:lang w:eastAsia="sv-SE"/>
              </w:rPr>
              <w:t xml:space="preserve"> is set to </w:t>
            </w:r>
            <w:r w:rsidRPr="00FA0D37">
              <w:rPr>
                <w:i/>
                <w:szCs w:val="22"/>
                <w:lang w:eastAsia="sv-SE"/>
              </w:rPr>
              <w:t>kHz15</w:t>
            </w:r>
            <w:r w:rsidRPr="00FA0D37">
              <w:rPr>
                <w:szCs w:val="22"/>
                <w:lang w:eastAsia="sv-SE"/>
              </w:rPr>
              <w:t xml:space="preserve">, the maximum offset values for periodicities </w:t>
            </w:r>
            <w:r w:rsidRPr="00FA0D37">
              <w:rPr>
                <w:i/>
                <w:lang w:eastAsia="sv-SE"/>
              </w:rPr>
              <w:t>ms4/ms5/ms10/ms20/ms40</w:t>
            </w:r>
            <w:r w:rsidRPr="00FA0D37">
              <w:rPr>
                <w:szCs w:val="22"/>
                <w:lang w:eastAsia="sv-SE"/>
              </w:rPr>
              <w:t xml:space="preserve"> are 3/4/9/19/39 slots. When </w:t>
            </w:r>
            <w:r w:rsidRPr="00FA0D37">
              <w:rPr>
                <w:i/>
                <w:lang w:eastAsia="sv-SE"/>
              </w:rPr>
              <w:t>subcarrierSpacing</w:t>
            </w:r>
            <w:r w:rsidRPr="00FA0D37">
              <w:rPr>
                <w:szCs w:val="22"/>
                <w:lang w:eastAsia="sv-SE"/>
              </w:rPr>
              <w:t xml:space="preserve"> is set to </w:t>
            </w:r>
            <w:r w:rsidRPr="00FA0D37">
              <w:rPr>
                <w:i/>
                <w:szCs w:val="22"/>
                <w:lang w:eastAsia="sv-SE"/>
              </w:rPr>
              <w:t>kHz30</w:t>
            </w:r>
            <w:r w:rsidRPr="00FA0D37">
              <w:rPr>
                <w:szCs w:val="22"/>
                <w:lang w:eastAsia="sv-SE"/>
              </w:rPr>
              <w:t xml:space="preserve">, the maximum offset values for periodicities </w:t>
            </w:r>
            <w:r w:rsidRPr="00FA0D37">
              <w:rPr>
                <w:i/>
                <w:lang w:eastAsia="sv-SE"/>
              </w:rPr>
              <w:t>ms4/ms5/ms10/ms20/ms40</w:t>
            </w:r>
            <w:r w:rsidRPr="00FA0D37">
              <w:rPr>
                <w:szCs w:val="22"/>
                <w:lang w:eastAsia="sv-SE"/>
              </w:rPr>
              <w:t xml:space="preserve"> are 7/9/19/39/79 slots. When </w:t>
            </w:r>
            <w:r w:rsidRPr="00FA0D37">
              <w:rPr>
                <w:i/>
                <w:szCs w:val="22"/>
                <w:lang w:eastAsia="sv-SE"/>
              </w:rPr>
              <w:t>subcarrierSpacing</w:t>
            </w:r>
            <w:r w:rsidRPr="00FA0D37">
              <w:rPr>
                <w:szCs w:val="22"/>
                <w:lang w:eastAsia="sv-SE"/>
              </w:rPr>
              <w:t xml:space="preserve"> is set to </w:t>
            </w:r>
            <w:r w:rsidRPr="00FA0D37">
              <w:rPr>
                <w:i/>
                <w:szCs w:val="22"/>
                <w:lang w:eastAsia="sv-SE"/>
              </w:rPr>
              <w:t>kHz60</w:t>
            </w:r>
            <w:r w:rsidRPr="00FA0D37">
              <w:rPr>
                <w:szCs w:val="22"/>
                <w:lang w:eastAsia="sv-SE"/>
              </w:rPr>
              <w:t xml:space="preserve">, the maximum offset values for periodicities </w:t>
            </w:r>
            <w:r w:rsidRPr="00FA0D37">
              <w:rPr>
                <w:i/>
                <w:lang w:eastAsia="sv-SE"/>
              </w:rPr>
              <w:t>ms4/ms5/ms10/ms20/ms40</w:t>
            </w:r>
            <w:r w:rsidRPr="00FA0D37">
              <w:rPr>
                <w:szCs w:val="22"/>
                <w:lang w:eastAsia="sv-SE"/>
              </w:rPr>
              <w:t xml:space="preserve"> are 15/19/39/79/159 slots. When </w:t>
            </w:r>
            <w:r w:rsidRPr="00FA0D37">
              <w:rPr>
                <w:i/>
                <w:lang w:eastAsia="sv-SE"/>
              </w:rPr>
              <w:t xml:space="preserve">subcarrierSpacing </w:t>
            </w:r>
            <w:r w:rsidRPr="00FA0D37">
              <w:rPr>
                <w:szCs w:val="22"/>
                <w:lang w:eastAsia="sv-SE"/>
              </w:rPr>
              <w:t xml:space="preserve">is set </w:t>
            </w:r>
            <w:r w:rsidRPr="00FA0D37">
              <w:rPr>
                <w:i/>
                <w:szCs w:val="22"/>
                <w:lang w:eastAsia="sv-SE"/>
              </w:rPr>
              <w:t>kHz120</w:t>
            </w:r>
            <w:r w:rsidRPr="00FA0D37">
              <w:rPr>
                <w:szCs w:val="22"/>
                <w:lang w:eastAsia="sv-SE"/>
              </w:rPr>
              <w:t xml:space="preserve">, the maximum offset values for periodicities </w:t>
            </w:r>
            <w:r w:rsidRPr="00FA0D37">
              <w:rPr>
                <w:i/>
                <w:lang w:eastAsia="sv-SE"/>
              </w:rPr>
              <w:t>ms4/ms5/ms10/ms20/ms40</w:t>
            </w:r>
            <w:r w:rsidRPr="00FA0D37">
              <w:rPr>
                <w:szCs w:val="22"/>
                <w:lang w:eastAsia="sv-SE"/>
              </w:rPr>
              <w:t xml:space="preserve"> are 31/39/79/159/319 slots.</w:t>
            </w:r>
            <w:r w:rsidR="00D50BCB" w:rsidRPr="00FA0D37">
              <w:rPr>
                <w:szCs w:val="22"/>
                <w:lang w:eastAsia="sv-SE"/>
              </w:rPr>
              <w:t xml:space="preserve"> When </w:t>
            </w:r>
            <w:r w:rsidR="00D50BCB" w:rsidRPr="00FA0D37">
              <w:rPr>
                <w:i/>
                <w:lang w:eastAsia="sv-SE"/>
              </w:rPr>
              <w:t xml:space="preserve">subcarrierSpacing </w:t>
            </w:r>
            <w:r w:rsidR="00D50BCB" w:rsidRPr="00FA0D37">
              <w:rPr>
                <w:szCs w:val="22"/>
                <w:lang w:eastAsia="sv-SE"/>
              </w:rPr>
              <w:t xml:space="preserve">is set to </w:t>
            </w:r>
            <w:r w:rsidR="00D50BCB" w:rsidRPr="00FA0D37">
              <w:rPr>
                <w:i/>
                <w:szCs w:val="22"/>
                <w:lang w:eastAsia="sv-SE"/>
              </w:rPr>
              <w:t>kHz</w:t>
            </w:r>
            <w:r w:rsidR="00D50BCB" w:rsidRPr="00FA0D37">
              <w:rPr>
                <w:rFonts w:eastAsia="宋体"/>
                <w:i/>
                <w:szCs w:val="22"/>
                <w:lang w:eastAsia="zh-CN"/>
              </w:rPr>
              <w:t>480</w:t>
            </w:r>
            <w:r w:rsidR="00D50BCB" w:rsidRPr="00FA0D37">
              <w:rPr>
                <w:szCs w:val="22"/>
                <w:lang w:eastAsia="sv-SE"/>
              </w:rPr>
              <w:t xml:space="preserve">, the maximum offset values for periodicities </w:t>
            </w:r>
            <w:r w:rsidR="00D50BCB" w:rsidRPr="00FA0D37">
              <w:rPr>
                <w:i/>
                <w:lang w:eastAsia="sv-SE"/>
              </w:rPr>
              <w:t>ms4/ms5/ms10/ms20/ms40</w:t>
            </w:r>
            <w:r w:rsidR="00D50BCB" w:rsidRPr="00FA0D37">
              <w:rPr>
                <w:szCs w:val="22"/>
                <w:lang w:eastAsia="sv-SE"/>
              </w:rPr>
              <w:t xml:space="preserve"> are </w:t>
            </w:r>
            <w:r w:rsidR="00D50BCB" w:rsidRPr="00FA0D37">
              <w:rPr>
                <w:rFonts w:eastAsia="宋体"/>
                <w:szCs w:val="22"/>
                <w:lang w:eastAsia="zh-CN"/>
              </w:rPr>
              <w:t>127</w:t>
            </w:r>
            <w:r w:rsidR="00D50BCB" w:rsidRPr="00FA0D37">
              <w:rPr>
                <w:szCs w:val="22"/>
                <w:lang w:eastAsia="sv-SE"/>
              </w:rPr>
              <w:t>/</w:t>
            </w:r>
            <w:r w:rsidR="00D50BCB" w:rsidRPr="00FA0D37">
              <w:rPr>
                <w:rFonts w:eastAsia="宋体"/>
                <w:szCs w:val="22"/>
                <w:lang w:eastAsia="zh-CN"/>
              </w:rPr>
              <w:t>159</w:t>
            </w:r>
            <w:r w:rsidR="00D50BCB" w:rsidRPr="00FA0D37">
              <w:rPr>
                <w:szCs w:val="22"/>
                <w:lang w:eastAsia="sv-SE"/>
              </w:rPr>
              <w:t>/</w:t>
            </w:r>
            <w:r w:rsidR="00D50BCB" w:rsidRPr="00FA0D37">
              <w:rPr>
                <w:rFonts w:eastAsia="宋体"/>
                <w:szCs w:val="22"/>
                <w:lang w:eastAsia="zh-CN"/>
              </w:rPr>
              <w:t>319</w:t>
            </w:r>
            <w:r w:rsidR="00D50BCB" w:rsidRPr="00FA0D37">
              <w:rPr>
                <w:szCs w:val="22"/>
                <w:lang w:eastAsia="sv-SE"/>
              </w:rPr>
              <w:t>/</w:t>
            </w:r>
            <w:r w:rsidR="00D50BCB" w:rsidRPr="00FA0D37">
              <w:rPr>
                <w:rFonts w:eastAsia="宋体"/>
                <w:szCs w:val="22"/>
                <w:lang w:eastAsia="zh-CN"/>
              </w:rPr>
              <w:t>639</w:t>
            </w:r>
            <w:r w:rsidR="00D50BCB" w:rsidRPr="00FA0D37">
              <w:rPr>
                <w:szCs w:val="22"/>
                <w:lang w:eastAsia="sv-SE"/>
              </w:rPr>
              <w:t>/</w:t>
            </w:r>
            <w:r w:rsidR="00D50BCB" w:rsidRPr="00FA0D37">
              <w:rPr>
                <w:rFonts w:eastAsia="宋体"/>
                <w:szCs w:val="22"/>
                <w:lang w:eastAsia="zh-CN"/>
              </w:rPr>
              <w:t>1279</w:t>
            </w:r>
            <w:r w:rsidR="00D50BCB" w:rsidRPr="00FA0D37">
              <w:rPr>
                <w:szCs w:val="22"/>
                <w:lang w:eastAsia="sv-SE"/>
              </w:rPr>
              <w:t xml:space="preserve"> slots.</w:t>
            </w:r>
            <w:r w:rsidR="00D50BCB" w:rsidRPr="00FA0D37">
              <w:rPr>
                <w:rFonts w:eastAsia="宋体"/>
                <w:szCs w:val="22"/>
                <w:lang w:eastAsia="zh-CN"/>
              </w:rPr>
              <w:t xml:space="preserve"> </w:t>
            </w:r>
            <w:r w:rsidR="00D50BCB" w:rsidRPr="00FA0D37">
              <w:rPr>
                <w:szCs w:val="22"/>
                <w:lang w:eastAsia="sv-SE"/>
              </w:rPr>
              <w:t xml:space="preserve">When </w:t>
            </w:r>
            <w:r w:rsidR="00D50BCB" w:rsidRPr="00FA0D37">
              <w:rPr>
                <w:i/>
                <w:lang w:eastAsia="sv-SE"/>
              </w:rPr>
              <w:t xml:space="preserve">subcarrierSpacing </w:t>
            </w:r>
            <w:r w:rsidR="00D50BCB" w:rsidRPr="00FA0D37">
              <w:rPr>
                <w:szCs w:val="22"/>
                <w:lang w:eastAsia="sv-SE"/>
              </w:rPr>
              <w:t xml:space="preserve">is set to </w:t>
            </w:r>
            <w:r w:rsidR="00D50BCB" w:rsidRPr="00FA0D37">
              <w:rPr>
                <w:i/>
                <w:szCs w:val="22"/>
                <w:lang w:eastAsia="sv-SE"/>
              </w:rPr>
              <w:t>kHz</w:t>
            </w:r>
            <w:r w:rsidR="00D50BCB" w:rsidRPr="00FA0D37">
              <w:rPr>
                <w:rFonts w:eastAsia="宋体"/>
                <w:i/>
                <w:szCs w:val="22"/>
                <w:lang w:eastAsia="zh-CN"/>
              </w:rPr>
              <w:t>960</w:t>
            </w:r>
            <w:r w:rsidR="00D50BCB" w:rsidRPr="00FA0D37">
              <w:rPr>
                <w:szCs w:val="22"/>
                <w:lang w:eastAsia="sv-SE"/>
              </w:rPr>
              <w:t xml:space="preserve">, the maximum offset values for periodicities </w:t>
            </w:r>
            <w:r w:rsidR="00D50BCB" w:rsidRPr="00FA0D37">
              <w:rPr>
                <w:i/>
                <w:lang w:eastAsia="sv-SE"/>
              </w:rPr>
              <w:t>ms4/ms5/ms10/ms20/ms40</w:t>
            </w:r>
            <w:r w:rsidR="00D50BCB" w:rsidRPr="00FA0D37">
              <w:rPr>
                <w:szCs w:val="22"/>
                <w:lang w:eastAsia="sv-SE"/>
              </w:rPr>
              <w:t xml:space="preserve"> are </w:t>
            </w:r>
            <w:r w:rsidR="00D50BCB" w:rsidRPr="00FA0D37">
              <w:rPr>
                <w:rFonts w:eastAsia="宋体"/>
                <w:szCs w:val="22"/>
                <w:lang w:eastAsia="zh-CN"/>
              </w:rPr>
              <w:t>255</w:t>
            </w:r>
            <w:r w:rsidR="00D50BCB" w:rsidRPr="00FA0D37">
              <w:rPr>
                <w:szCs w:val="22"/>
                <w:lang w:eastAsia="sv-SE"/>
              </w:rPr>
              <w:t>/3</w:t>
            </w:r>
            <w:r w:rsidR="00D50BCB" w:rsidRPr="00FA0D37">
              <w:rPr>
                <w:rFonts w:eastAsia="宋体"/>
                <w:szCs w:val="22"/>
                <w:lang w:eastAsia="zh-CN"/>
              </w:rPr>
              <w:t>1</w:t>
            </w:r>
            <w:r w:rsidR="00D50BCB" w:rsidRPr="00FA0D37">
              <w:rPr>
                <w:szCs w:val="22"/>
                <w:lang w:eastAsia="sv-SE"/>
              </w:rPr>
              <w:t>9/</w:t>
            </w:r>
            <w:r w:rsidR="00D50BCB" w:rsidRPr="00FA0D37">
              <w:rPr>
                <w:rFonts w:eastAsia="宋体"/>
                <w:szCs w:val="22"/>
                <w:lang w:eastAsia="zh-CN"/>
              </w:rPr>
              <w:t>639</w:t>
            </w:r>
            <w:r w:rsidR="00D50BCB" w:rsidRPr="00FA0D37">
              <w:rPr>
                <w:szCs w:val="22"/>
                <w:lang w:eastAsia="sv-SE"/>
              </w:rPr>
              <w:t>/</w:t>
            </w:r>
            <w:r w:rsidR="00D50BCB" w:rsidRPr="00FA0D37">
              <w:rPr>
                <w:rFonts w:eastAsia="宋体"/>
                <w:szCs w:val="22"/>
                <w:lang w:eastAsia="zh-CN"/>
              </w:rPr>
              <w:t>1279</w:t>
            </w:r>
            <w:r w:rsidR="00D50BCB" w:rsidRPr="00FA0D37">
              <w:rPr>
                <w:szCs w:val="22"/>
                <w:lang w:eastAsia="sv-SE"/>
              </w:rPr>
              <w:t>/</w:t>
            </w:r>
            <w:r w:rsidR="00D50BCB" w:rsidRPr="00FA0D37">
              <w:rPr>
                <w:rFonts w:eastAsia="宋体"/>
                <w:szCs w:val="22"/>
                <w:lang w:eastAsia="zh-CN"/>
              </w:rPr>
              <w:t>2559</w:t>
            </w:r>
            <w:r w:rsidR="00D50BCB" w:rsidRPr="00FA0D37">
              <w:rPr>
                <w:szCs w:val="22"/>
                <w:lang w:eastAsia="sv-SE"/>
              </w:rPr>
              <w:t xml:space="preserve"> slots.</w:t>
            </w:r>
            <w:r w:rsidR="00D50BCB" w:rsidRPr="00FA0D37">
              <w:rPr>
                <w:rFonts w:eastAsia="宋体"/>
                <w:szCs w:val="22"/>
                <w:lang w:eastAsia="zh-CN"/>
              </w:rPr>
              <w:t xml:space="preserve"> If </w:t>
            </w:r>
            <w:r w:rsidR="00D50BCB" w:rsidRPr="00FA0D37">
              <w:rPr>
                <w:i/>
                <w:iCs/>
              </w:rPr>
              <w:t>slotConfig</w:t>
            </w:r>
            <w:r w:rsidR="00D50BCB" w:rsidRPr="00FA0D37">
              <w:rPr>
                <w:rFonts w:eastAsia="宋体"/>
                <w:i/>
                <w:iCs/>
                <w:lang w:eastAsia="zh-CN"/>
              </w:rPr>
              <w:t xml:space="preserve">-r17 </w:t>
            </w:r>
            <w:r w:rsidR="00D50BCB" w:rsidRPr="00FA0D37">
              <w:rPr>
                <w:rFonts w:eastAsia="宋体"/>
                <w:lang w:eastAsia="zh-CN"/>
              </w:rPr>
              <w:t xml:space="preserve">is </w:t>
            </w:r>
            <w:r w:rsidR="00D50BCB" w:rsidRPr="00FA0D37">
              <w:rPr>
                <w:szCs w:val="22"/>
                <w:lang w:eastAsia="sv-SE"/>
              </w:rPr>
              <w:t xml:space="preserve">present, UE shall ignore the </w:t>
            </w:r>
            <w:r w:rsidR="00D50BCB" w:rsidRPr="00FA0D37">
              <w:rPr>
                <w:rFonts w:eastAsia="宋体"/>
                <w:i/>
                <w:szCs w:val="22"/>
                <w:lang w:eastAsia="zh-CN"/>
              </w:rPr>
              <w:t>slotConfig</w:t>
            </w:r>
            <w:r w:rsidR="00D50BCB" w:rsidRPr="00FA0D37">
              <w:rPr>
                <w:szCs w:val="22"/>
                <w:lang w:eastAsia="sv-SE"/>
              </w:rPr>
              <w:t xml:space="preserve"> (without suffix).</w:t>
            </w:r>
          </w:p>
        </w:tc>
      </w:tr>
    </w:tbl>
    <w:p w14:paraId="0D35D6DE" w14:textId="77777777" w:rsidR="00394471" w:rsidRPr="00FA0D37" w:rsidRDefault="00394471" w:rsidP="00394471"/>
    <w:p w14:paraId="6580C5DB" w14:textId="77777777" w:rsidR="00394471" w:rsidRPr="00FA0D37" w:rsidRDefault="00394471" w:rsidP="00394471">
      <w:pPr>
        <w:pStyle w:val="4"/>
      </w:pPr>
      <w:bookmarkStart w:id="999" w:name="_Toc60777223"/>
      <w:bookmarkStart w:id="1000" w:name="_Toc146781270"/>
      <w:r w:rsidRPr="00FA0D37">
        <w:t>–</w:t>
      </w:r>
      <w:r w:rsidRPr="00FA0D37">
        <w:tab/>
      </w:r>
      <w:r w:rsidRPr="00FA0D37">
        <w:rPr>
          <w:i/>
        </w:rPr>
        <w:t>CSI-RS-ResourceMapping</w:t>
      </w:r>
      <w:bookmarkEnd w:id="999"/>
      <w:bookmarkEnd w:id="1000"/>
    </w:p>
    <w:p w14:paraId="18336024" w14:textId="77777777" w:rsidR="00394471" w:rsidRPr="00FA0D37" w:rsidRDefault="00394471" w:rsidP="00394471">
      <w:r w:rsidRPr="00FA0D37">
        <w:t xml:space="preserve">The IE </w:t>
      </w:r>
      <w:r w:rsidRPr="00FA0D37">
        <w:rPr>
          <w:i/>
        </w:rPr>
        <w:t>CSI-RS-ResourceMapping</w:t>
      </w:r>
      <w:r w:rsidRPr="00FA0D37">
        <w:t xml:space="preserve"> is used to configure the resource element mapping of a CSI-RS resource in time- and frequency domain.</w:t>
      </w:r>
    </w:p>
    <w:p w14:paraId="05FC090B" w14:textId="77777777" w:rsidR="00394471" w:rsidRPr="00FA0D37" w:rsidRDefault="00394471" w:rsidP="00394471">
      <w:pPr>
        <w:pStyle w:val="TH"/>
      </w:pPr>
      <w:r w:rsidRPr="00FA0D37">
        <w:rPr>
          <w:i/>
        </w:rPr>
        <w:t>CSI-RS-ResourceMapping</w:t>
      </w:r>
      <w:r w:rsidRPr="00FA0D37">
        <w:t xml:space="preserve"> information element</w:t>
      </w:r>
    </w:p>
    <w:p w14:paraId="30F394CF" w14:textId="77777777" w:rsidR="00394471" w:rsidRPr="00FA0D37" w:rsidRDefault="00394471" w:rsidP="00FA0D37">
      <w:pPr>
        <w:pStyle w:val="PL"/>
        <w:rPr>
          <w:color w:val="808080"/>
        </w:rPr>
      </w:pPr>
      <w:r w:rsidRPr="00FA0D37">
        <w:rPr>
          <w:color w:val="808080"/>
        </w:rPr>
        <w:t>-- ASN1START</w:t>
      </w:r>
    </w:p>
    <w:p w14:paraId="0BA08A51" w14:textId="77777777" w:rsidR="00394471" w:rsidRPr="00FA0D37" w:rsidRDefault="00394471" w:rsidP="00FA0D37">
      <w:pPr>
        <w:pStyle w:val="PL"/>
        <w:rPr>
          <w:color w:val="808080"/>
        </w:rPr>
      </w:pPr>
      <w:r w:rsidRPr="00FA0D37">
        <w:rPr>
          <w:color w:val="808080"/>
        </w:rPr>
        <w:t>-- TAG-CSI-RS-RESOURCEMAPPING-START</w:t>
      </w:r>
    </w:p>
    <w:p w14:paraId="28E6F2FC" w14:textId="77777777" w:rsidR="00394471" w:rsidRPr="00FA0D37" w:rsidRDefault="00394471" w:rsidP="00FA0D37">
      <w:pPr>
        <w:pStyle w:val="PL"/>
      </w:pPr>
    </w:p>
    <w:p w14:paraId="3F0471CF" w14:textId="77777777" w:rsidR="00394471" w:rsidRPr="00FA0D37" w:rsidRDefault="00394471" w:rsidP="00FA0D37">
      <w:pPr>
        <w:pStyle w:val="PL"/>
      </w:pPr>
      <w:r w:rsidRPr="00FA0D37">
        <w:t xml:space="preserve">CSI-RS-ResourceMapping ::=          </w:t>
      </w:r>
      <w:r w:rsidRPr="00FA0D37">
        <w:rPr>
          <w:color w:val="993366"/>
        </w:rPr>
        <w:t>SEQUENCE</w:t>
      </w:r>
      <w:r w:rsidRPr="00FA0D37">
        <w:t xml:space="preserve"> {</w:t>
      </w:r>
    </w:p>
    <w:p w14:paraId="288ED7E2" w14:textId="77777777" w:rsidR="00394471" w:rsidRPr="00FA0D37" w:rsidRDefault="00394471" w:rsidP="00FA0D37">
      <w:pPr>
        <w:pStyle w:val="PL"/>
      </w:pPr>
      <w:r w:rsidRPr="00FA0D37">
        <w:t xml:space="preserve">    frequencyDomainAllocation           </w:t>
      </w:r>
      <w:r w:rsidRPr="00FA0D37">
        <w:rPr>
          <w:color w:val="993366"/>
        </w:rPr>
        <w:t>CHOICE</w:t>
      </w:r>
      <w:r w:rsidRPr="00FA0D37">
        <w:t xml:space="preserve"> {</w:t>
      </w:r>
    </w:p>
    <w:p w14:paraId="0AFCD019" w14:textId="77777777" w:rsidR="00394471" w:rsidRPr="00FA0D37" w:rsidRDefault="00394471" w:rsidP="00FA0D37">
      <w:pPr>
        <w:pStyle w:val="PL"/>
      </w:pPr>
      <w:r w:rsidRPr="00FA0D37">
        <w:t xml:space="preserve">        row1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1FC7FE24" w14:textId="77777777" w:rsidR="00394471" w:rsidRPr="00FA0D37" w:rsidRDefault="00394471" w:rsidP="00FA0D37">
      <w:pPr>
        <w:pStyle w:val="PL"/>
      </w:pPr>
      <w:r w:rsidRPr="00FA0D37">
        <w:t xml:space="preserve">        row2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w:t>
      </w:r>
    </w:p>
    <w:p w14:paraId="566D6140" w14:textId="77777777" w:rsidR="00394471" w:rsidRPr="00FA0D37" w:rsidRDefault="00394471" w:rsidP="00FA0D37">
      <w:pPr>
        <w:pStyle w:val="PL"/>
      </w:pPr>
      <w:r w:rsidRPr="00FA0D37">
        <w:t xml:space="preserve">        row4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w:t>
      </w:r>
    </w:p>
    <w:p w14:paraId="3D38BA9A" w14:textId="77777777" w:rsidR="00394471" w:rsidRPr="00FA0D37" w:rsidRDefault="00394471" w:rsidP="00FA0D37">
      <w:pPr>
        <w:pStyle w:val="PL"/>
      </w:pPr>
      <w:r w:rsidRPr="00FA0D37">
        <w:t xml:space="preserve">        other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w:t>
      </w:r>
    </w:p>
    <w:p w14:paraId="445B846E" w14:textId="77777777" w:rsidR="00394471" w:rsidRPr="00FA0D37" w:rsidRDefault="00394471" w:rsidP="00FA0D37">
      <w:pPr>
        <w:pStyle w:val="PL"/>
      </w:pPr>
      <w:r w:rsidRPr="00FA0D37">
        <w:t xml:space="preserve">    },</w:t>
      </w:r>
    </w:p>
    <w:p w14:paraId="05F44BAD" w14:textId="77777777" w:rsidR="00394471" w:rsidRPr="00FA0D37" w:rsidRDefault="00394471" w:rsidP="00FA0D37">
      <w:pPr>
        <w:pStyle w:val="PL"/>
      </w:pPr>
      <w:r w:rsidRPr="00FA0D37">
        <w:t xml:space="preserve">    nrofPorts                           </w:t>
      </w:r>
      <w:r w:rsidRPr="00FA0D37">
        <w:rPr>
          <w:color w:val="993366"/>
        </w:rPr>
        <w:t>ENUMERATED</w:t>
      </w:r>
      <w:r w:rsidRPr="00FA0D37">
        <w:t xml:space="preserve"> {p1,p2,p4,p8,p12,p16,p24,p32},</w:t>
      </w:r>
    </w:p>
    <w:p w14:paraId="0807EBEA" w14:textId="77777777" w:rsidR="00394471" w:rsidRPr="00FA0D37" w:rsidRDefault="00394471" w:rsidP="00FA0D37">
      <w:pPr>
        <w:pStyle w:val="PL"/>
      </w:pPr>
      <w:r w:rsidRPr="00FA0D37">
        <w:lastRenderedPageBreak/>
        <w:t xml:space="preserve">    firstOFDMSymbolInTimeDomain         </w:t>
      </w:r>
      <w:r w:rsidRPr="00FA0D37">
        <w:rPr>
          <w:color w:val="993366"/>
        </w:rPr>
        <w:t>INTEGER</w:t>
      </w:r>
      <w:r w:rsidRPr="00FA0D37">
        <w:t xml:space="preserve"> (0..13),</w:t>
      </w:r>
    </w:p>
    <w:p w14:paraId="32F22F19" w14:textId="77777777" w:rsidR="00394471" w:rsidRPr="00FA0D37" w:rsidRDefault="00394471" w:rsidP="00FA0D37">
      <w:pPr>
        <w:pStyle w:val="PL"/>
        <w:rPr>
          <w:color w:val="808080"/>
        </w:rPr>
      </w:pPr>
      <w:r w:rsidRPr="00FA0D37">
        <w:t xml:space="preserve">    firstOFDMSymbolInTimeDomain2        </w:t>
      </w:r>
      <w:r w:rsidRPr="00FA0D37">
        <w:rPr>
          <w:color w:val="993366"/>
        </w:rPr>
        <w:t>INTEGER</w:t>
      </w:r>
      <w:r w:rsidRPr="00FA0D37">
        <w:t xml:space="preserve"> (2..12)                                                         </w:t>
      </w:r>
      <w:r w:rsidRPr="00FA0D37">
        <w:rPr>
          <w:color w:val="993366"/>
        </w:rPr>
        <w:t>OPTIONAL</w:t>
      </w:r>
      <w:r w:rsidRPr="00FA0D37">
        <w:t xml:space="preserve">,   </w:t>
      </w:r>
      <w:r w:rsidRPr="00FA0D37">
        <w:rPr>
          <w:color w:val="808080"/>
        </w:rPr>
        <w:t>-- Need R</w:t>
      </w:r>
    </w:p>
    <w:p w14:paraId="1005A9AD" w14:textId="77777777" w:rsidR="00394471" w:rsidRPr="00FA0D37" w:rsidRDefault="00394471" w:rsidP="00FA0D37">
      <w:pPr>
        <w:pStyle w:val="PL"/>
      </w:pPr>
      <w:r w:rsidRPr="00FA0D37">
        <w:t xml:space="preserve">    cdm-Type                            </w:t>
      </w:r>
      <w:r w:rsidRPr="00FA0D37">
        <w:rPr>
          <w:color w:val="993366"/>
        </w:rPr>
        <w:t>ENUMERATED</w:t>
      </w:r>
      <w:r w:rsidRPr="00FA0D37">
        <w:t xml:space="preserve"> {noCDM, fd-CDM2, cdm4-FD2-TD2, cdm8-FD2-TD4},</w:t>
      </w:r>
    </w:p>
    <w:p w14:paraId="444B1249" w14:textId="77777777" w:rsidR="00394471" w:rsidRPr="00FA0D37" w:rsidRDefault="00394471" w:rsidP="00FA0D37">
      <w:pPr>
        <w:pStyle w:val="PL"/>
      </w:pPr>
      <w:r w:rsidRPr="00FA0D37">
        <w:t xml:space="preserve">    density                             </w:t>
      </w:r>
      <w:r w:rsidRPr="00FA0D37">
        <w:rPr>
          <w:color w:val="993366"/>
        </w:rPr>
        <w:t>CHOICE</w:t>
      </w:r>
      <w:r w:rsidRPr="00FA0D37">
        <w:t xml:space="preserve"> {</w:t>
      </w:r>
    </w:p>
    <w:p w14:paraId="0F095C74" w14:textId="77777777" w:rsidR="00394471" w:rsidRPr="00FA0D37" w:rsidRDefault="00394471" w:rsidP="00FA0D37">
      <w:pPr>
        <w:pStyle w:val="PL"/>
      </w:pPr>
      <w:r w:rsidRPr="00FA0D37">
        <w:t xml:space="preserve">        dot5                                </w:t>
      </w:r>
      <w:r w:rsidRPr="00FA0D37">
        <w:rPr>
          <w:color w:val="993366"/>
        </w:rPr>
        <w:t>ENUMERATED</w:t>
      </w:r>
      <w:r w:rsidRPr="00FA0D37">
        <w:t xml:space="preserve"> {evenPRBs, oddPRBs},</w:t>
      </w:r>
    </w:p>
    <w:p w14:paraId="752C9120" w14:textId="77777777" w:rsidR="00394471" w:rsidRPr="00FA0D37" w:rsidRDefault="00394471" w:rsidP="00FA0D37">
      <w:pPr>
        <w:pStyle w:val="PL"/>
      </w:pPr>
      <w:r w:rsidRPr="00FA0D37">
        <w:t xml:space="preserve">        one                                 </w:t>
      </w:r>
      <w:r w:rsidRPr="00FA0D37">
        <w:rPr>
          <w:color w:val="993366"/>
        </w:rPr>
        <w:t>NULL</w:t>
      </w:r>
      <w:r w:rsidRPr="00FA0D37">
        <w:t>,</w:t>
      </w:r>
    </w:p>
    <w:p w14:paraId="49C8614D" w14:textId="77777777" w:rsidR="00394471" w:rsidRPr="00FA0D37" w:rsidRDefault="00394471" w:rsidP="00FA0D37">
      <w:pPr>
        <w:pStyle w:val="PL"/>
      </w:pPr>
      <w:r w:rsidRPr="00FA0D37">
        <w:t xml:space="preserve">        three                               </w:t>
      </w:r>
      <w:r w:rsidRPr="00FA0D37">
        <w:rPr>
          <w:color w:val="993366"/>
        </w:rPr>
        <w:t>NULL</w:t>
      </w:r>
      <w:r w:rsidRPr="00FA0D37">
        <w:t>,</w:t>
      </w:r>
    </w:p>
    <w:p w14:paraId="2749975F" w14:textId="77777777" w:rsidR="00394471" w:rsidRPr="00FA0D37" w:rsidRDefault="00394471" w:rsidP="00FA0D37">
      <w:pPr>
        <w:pStyle w:val="PL"/>
      </w:pPr>
      <w:r w:rsidRPr="00FA0D37">
        <w:t xml:space="preserve">        spare                               </w:t>
      </w:r>
      <w:r w:rsidRPr="00FA0D37">
        <w:rPr>
          <w:color w:val="993366"/>
        </w:rPr>
        <w:t>NULL</w:t>
      </w:r>
    </w:p>
    <w:p w14:paraId="4D40ED87" w14:textId="77777777" w:rsidR="00394471" w:rsidRPr="00FA0D37" w:rsidRDefault="00394471" w:rsidP="00FA0D37">
      <w:pPr>
        <w:pStyle w:val="PL"/>
      </w:pPr>
      <w:r w:rsidRPr="00FA0D37">
        <w:t xml:space="preserve">    },</w:t>
      </w:r>
    </w:p>
    <w:p w14:paraId="4EE541F6" w14:textId="77777777" w:rsidR="00394471" w:rsidRPr="00FA0D37" w:rsidRDefault="00394471" w:rsidP="00FA0D37">
      <w:pPr>
        <w:pStyle w:val="PL"/>
      </w:pPr>
      <w:r w:rsidRPr="00FA0D37">
        <w:t xml:space="preserve">    freqBand                            CSI-FrequencyOccupation,</w:t>
      </w:r>
    </w:p>
    <w:p w14:paraId="4C20661D" w14:textId="77777777" w:rsidR="00394471" w:rsidRPr="00FA0D37" w:rsidRDefault="00394471" w:rsidP="00FA0D37">
      <w:pPr>
        <w:pStyle w:val="PL"/>
      </w:pPr>
      <w:r w:rsidRPr="00FA0D37">
        <w:t xml:space="preserve">    ...</w:t>
      </w:r>
    </w:p>
    <w:p w14:paraId="11FA4805" w14:textId="77777777" w:rsidR="00394471" w:rsidRPr="00FA0D37" w:rsidRDefault="00394471" w:rsidP="00FA0D37">
      <w:pPr>
        <w:pStyle w:val="PL"/>
      </w:pPr>
      <w:r w:rsidRPr="00FA0D37">
        <w:t>}</w:t>
      </w:r>
    </w:p>
    <w:p w14:paraId="49A9A75B" w14:textId="77777777" w:rsidR="00394471" w:rsidRPr="00FA0D37" w:rsidRDefault="00394471" w:rsidP="00FA0D37">
      <w:pPr>
        <w:pStyle w:val="PL"/>
      </w:pPr>
    </w:p>
    <w:p w14:paraId="0C86291A" w14:textId="77777777" w:rsidR="00394471" w:rsidRPr="00FA0D37" w:rsidRDefault="00394471" w:rsidP="00FA0D37">
      <w:pPr>
        <w:pStyle w:val="PL"/>
        <w:rPr>
          <w:color w:val="808080"/>
        </w:rPr>
      </w:pPr>
      <w:r w:rsidRPr="00FA0D37">
        <w:rPr>
          <w:color w:val="808080"/>
        </w:rPr>
        <w:t>-- TAG-CSI-RS-RESOURCEMAPPING-STOP</w:t>
      </w:r>
    </w:p>
    <w:p w14:paraId="11E37229" w14:textId="77777777" w:rsidR="00394471" w:rsidRPr="00FA0D37" w:rsidRDefault="00394471" w:rsidP="00FA0D37">
      <w:pPr>
        <w:pStyle w:val="PL"/>
        <w:rPr>
          <w:color w:val="808080"/>
        </w:rPr>
      </w:pPr>
      <w:r w:rsidRPr="00FA0D37">
        <w:rPr>
          <w:color w:val="808080"/>
        </w:rPr>
        <w:t>-- ASN1STOP</w:t>
      </w:r>
    </w:p>
    <w:p w14:paraId="5D9F4CB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FA0D37" w:rsidRDefault="00394471" w:rsidP="00964CC4">
            <w:pPr>
              <w:pStyle w:val="TAH"/>
              <w:rPr>
                <w:szCs w:val="22"/>
                <w:lang w:eastAsia="sv-SE"/>
              </w:rPr>
            </w:pPr>
            <w:r w:rsidRPr="00FA0D37">
              <w:rPr>
                <w:i/>
                <w:szCs w:val="22"/>
                <w:lang w:eastAsia="sv-SE"/>
              </w:rPr>
              <w:t xml:space="preserve">CSI-RS-ResourceMapping </w:t>
            </w:r>
            <w:r w:rsidRPr="00FA0D37">
              <w:rPr>
                <w:szCs w:val="22"/>
                <w:lang w:eastAsia="sv-SE"/>
              </w:rPr>
              <w:t>field descriptions</w:t>
            </w:r>
          </w:p>
        </w:tc>
      </w:tr>
      <w:tr w:rsidR="005C7FF4" w:rsidRPr="00FA0D37"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FA0D37" w:rsidRDefault="00394471" w:rsidP="00964CC4">
            <w:pPr>
              <w:pStyle w:val="TAL"/>
              <w:rPr>
                <w:szCs w:val="22"/>
                <w:lang w:eastAsia="sv-SE"/>
              </w:rPr>
            </w:pPr>
            <w:r w:rsidRPr="00FA0D37">
              <w:rPr>
                <w:b/>
                <w:i/>
                <w:szCs w:val="22"/>
                <w:lang w:eastAsia="sv-SE"/>
              </w:rPr>
              <w:t>cdm-Type</w:t>
            </w:r>
          </w:p>
          <w:p w14:paraId="1921D02E" w14:textId="77777777" w:rsidR="00394471" w:rsidRPr="00FA0D37" w:rsidRDefault="00394471" w:rsidP="00964CC4">
            <w:pPr>
              <w:pStyle w:val="TAL"/>
              <w:rPr>
                <w:szCs w:val="22"/>
                <w:lang w:eastAsia="sv-SE"/>
              </w:rPr>
            </w:pPr>
            <w:r w:rsidRPr="00FA0D37">
              <w:rPr>
                <w:szCs w:val="22"/>
                <w:lang w:eastAsia="sv-SE"/>
              </w:rPr>
              <w:t>CDM type (see TS 38.214 [19], clause 5.2.2.3.1).</w:t>
            </w:r>
          </w:p>
        </w:tc>
      </w:tr>
      <w:tr w:rsidR="005C7FF4" w:rsidRPr="00FA0D37"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FA0D37" w:rsidRDefault="00394471" w:rsidP="00964CC4">
            <w:pPr>
              <w:pStyle w:val="TAL"/>
              <w:rPr>
                <w:szCs w:val="22"/>
                <w:lang w:eastAsia="sv-SE"/>
              </w:rPr>
            </w:pPr>
            <w:r w:rsidRPr="00FA0D37">
              <w:rPr>
                <w:b/>
                <w:i/>
                <w:szCs w:val="22"/>
                <w:lang w:eastAsia="sv-SE"/>
              </w:rPr>
              <w:t>density</w:t>
            </w:r>
          </w:p>
          <w:p w14:paraId="0A6F2797" w14:textId="77777777" w:rsidR="00394471" w:rsidRPr="00FA0D37" w:rsidRDefault="00394471" w:rsidP="00964CC4">
            <w:pPr>
              <w:pStyle w:val="TAL"/>
              <w:rPr>
                <w:szCs w:val="22"/>
                <w:lang w:eastAsia="sv-SE"/>
              </w:rPr>
            </w:pPr>
            <w:r w:rsidRPr="00FA0D37">
              <w:rPr>
                <w:szCs w:val="22"/>
                <w:lang w:eastAsia="sv-SE"/>
              </w:rPr>
              <w:t>Density of CSI-RS resource measured in RE/port/PRB (see TS 38.211 [16], clause 7.4.1.5.3).</w:t>
            </w:r>
          </w:p>
          <w:p w14:paraId="654E8A45" w14:textId="77777777" w:rsidR="00394471" w:rsidRPr="00FA0D37" w:rsidRDefault="00394471" w:rsidP="00964CC4">
            <w:pPr>
              <w:pStyle w:val="TAL"/>
              <w:rPr>
                <w:szCs w:val="22"/>
                <w:lang w:eastAsia="sv-SE"/>
              </w:rPr>
            </w:pPr>
            <w:r w:rsidRPr="00FA0D37">
              <w:rPr>
                <w:szCs w:val="22"/>
                <w:lang w:eastAsia="sv-SE"/>
              </w:rPr>
              <w:t>Values 0.5 (</w:t>
            </w:r>
            <w:r w:rsidRPr="00FA0D37">
              <w:rPr>
                <w:i/>
                <w:szCs w:val="22"/>
                <w:lang w:eastAsia="sv-SE"/>
              </w:rPr>
              <w:t>dot5</w:t>
            </w:r>
            <w:r w:rsidRPr="00FA0D37">
              <w:rPr>
                <w:szCs w:val="22"/>
                <w:lang w:eastAsia="sv-SE"/>
              </w:rPr>
              <w:t>), 1 (</w:t>
            </w:r>
            <w:r w:rsidRPr="00FA0D37">
              <w:rPr>
                <w:i/>
                <w:lang w:eastAsia="sv-SE"/>
              </w:rPr>
              <w:t>one</w:t>
            </w:r>
            <w:r w:rsidRPr="00FA0D37">
              <w:rPr>
                <w:szCs w:val="22"/>
                <w:lang w:eastAsia="sv-SE"/>
              </w:rPr>
              <w:t>) and 3 (</w:t>
            </w:r>
            <w:r w:rsidRPr="00FA0D37">
              <w:rPr>
                <w:i/>
                <w:lang w:eastAsia="sv-SE"/>
              </w:rPr>
              <w:t>three</w:t>
            </w:r>
            <w:r w:rsidRPr="00FA0D37">
              <w:rPr>
                <w:szCs w:val="22"/>
                <w:lang w:eastAsia="sv-SE"/>
              </w:rPr>
              <w:t>) are allowed for X=1, values 0.5 (</w:t>
            </w:r>
            <w:r w:rsidRPr="00FA0D37">
              <w:rPr>
                <w:i/>
                <w:szCs w:val="22"/>
                <w:lang w:eastAsia="sv-SE"/>
              </w:rPr>
              <w:t>dot5</w:t>
            </w:r>
            <w:r w:rsidRPr="00FA0D37">
              <w:rPr>
                <w:szCs w:val="22"/>
                <w:lang w:eastAsia="sv-SE"/>
              </w:rPr>
              <w:t>) and 1 (</w:t>
            </w:r>
            <w:r w:rsidRPr="00FA0D37">
              <w:rPr>
                <w:i/>
                <w:lang w:eastAsia="sv-SE"/>
              </w:rPr>
              <w:t>one</w:t>
            </w:r>
            <w:r w:rsidRPr="00FA0D37">
              <w:rPr>
                <w:szCs w:val="22"/>
                <w:lang w:eastAsia="sv-SE"/>
              </w:rPr>
              <w:t>) are allowed for X=2, 16, 24 and 32, value 1 (</w:t>
            </w:r>
            <w:r w:rsidRPr="00FA0D37">
              <w:rPr>
                <w:i/>
                <w:lang w:eastAsia="sv-SE"/>
              </w:rPr>
              <w:t>one</w:t>
            </w:r>
            <w:r w:rsidRPr="00FA0D37">
              <w:rPr>
                <w:szCs w:val="22"/>
                <w:lang w:eastAsia="sv-SE"/>
              </w:rPr>
              <w:t>) is allowed for X=4, 8, 12.</w:t>
            </w:r>
          </w:p>
          <w:p w14:paraId="111B5EAC" w14:textId="77777777" w:rsidR="00394471" w:rsidRPr="00FA0D37" w:rsidRDefault="00394471" w:rsidP="00964CC4">
            <w:pPr>
              <w:pStyle w:val="TAL"/>
              <w:rPr>
                <w:szCs w:val="22"/>
                <w:lang w:eastAsia="sv-SE"/>
              </w:rPr>
            </w:pPr>
            <w:r w:rsidRPr="00FA0D37">
              <w:rPr>
                <w:szCs w:val="22"/>
                <w:lang w:eastAsia="sv-SE"/>
              </w:rPr>
              <w:t>For density = 1/2, includes 1-bit indication for RB level comb offset indicating whether odd or even RBs are occupied by CSI-RS.</w:t>
            </w:r>
          </w:p>
        </w:tc>
      </w:tr>
      <w:tr w:rsidR="005C7FF4" w:rsidRPr="00FA0D37"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FA0D37" w:rsidRDefault="00394471" w:rsidP="00964CC4">
            <w:pPr>
              <w:pStyle w:val="TAL"/>
              <w:rPr>
                <w:szCs w:val="22"/>
                <w:lang w:eastAsia="sv-SE"/>
              </w:rPr>
            </w:pPr>
            <w:r w:rsidRPr="00FA0D37">
              <w:rPr>
                <w:b/>
                <w:i/>
                <w:szCs w:val="22"/>
                <w:lang w:eastAsia="sv-SE"/>
              </w:rPr>
              <w:t>firstOFDMSymbolInTimeDomain2</w:t>
            </w:r>
          </w:p>
          <w:p w14:paraId="3F8049F7" w14:textId="77777777" w:rsidR="00394471" w:rsidRPr="00FA0D37" w:rsidRDefault="00394471" w:rsidP="00964CC4">
            <w:pPr>
              <w:pStyle w:val="TAL"/>
              <w:rPr>
                <w:szCs w:val="22"/>
                <w:lang w:eastAsia="sv-SE"/>
              </w:rPr>
            </w:pPr>
            <w:r w:rsidRPr="00FA0D37">
              <w:rPr>
                <w:szCs w:val="22"/>
                <w:lang w:eastAsia="sv-SE"/>
              </w:rPr>
              <w:t>Time domain allocation within a physical resource block. See TS 38.211 [16], clause 7.4.1.5.3.</w:t>
            </w:r>
          </w:p>
        </w:tc>
      </w:tr>
      <w:tr w:rsidR="005C7FF4" w:rsidRPr="00FA0D37"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FA0D37" w:rsidRDefault="00394471" w:rsidP="00964CC4">
            <w:pPr>
              <w:pStyle w:val="TAL"/>
              <w:rPr>
                <w:szCs w:val="22"/>
                <w:lang w:eastAsia="sv-SE"/>
              </w:rPr>
            </w:pPr>
            <w:r w:rsidRPr="00FA0D37">
              <w:rPr>
                <w:b/>
                <w:i/>
                <w:szCs w:val="22"/>
                <w:lang w:eastAsia="sv-SE"/>
              </w:rPr>
              <w:t>firstOFDMSymbolInTimeDomain</w:t>
            </w:r>
          </w:p>
          <w:p w14:paraId="6762E30A" w14:textId="50E04A5F" w:rsidR="00394471" w:rsidRPr="00FA0D37" w:rsidRDefault="00394471" w:rsidP="00964CC4">
            <w:pPr>
              <w:pStyle w:val="TAL"/>
              <w:rPr>
                <w:szCs w:val="22"/>
                <w:lang w:eastAsia="sv-SE"/>
              </w:rPr>
            </w:pPr>
            <w:r w:rsidRPr="00FA0D37">
              <w:rPr>
                <w:szCs w:val="22"/>
                <w:lang w:eastAsia="sv-SE"/>
              </w:rPr>
              <w:t>Time domain allocation within a physical resource block. The field indicates the first OFDM symbol in the PRB used for CSI-RS. See TS 38.211 [16], clause 7.4.1.5.3.</w:t>
            </w:r>
          </w:p>
        </w:tc>
      </w:tr>
      <w:tr w:rsidR="005C7FF4" w:rsidRPr="00FA0D37"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FA0D37" w:rsidRDefault="00394471" w:rsidP="00964CC4">
            <w:pPr>
              <w:pStyle w:val="TAL"/>
              <w:rPr>
                <w:szCs w:val="22"/>
                <w:lang w:eastAsia="sv-SE"/>
              </w:rPr>
            </w:pPr>
            <w:r w:rsidRPr="00FA0D37">
              <w:rPr>
                <w:b/>
                <w:i/>
                <w:szCs w:val="22"/>
                <w:lang w:eastAsia="sv-SE"/>
              </w:rPr>
              <w:t>freqBand</w:t>
            </w:r>
          </w:p>
          <w:p w14:paraId="5C20A364" w14:textId="77777777" w:rsidR="00394471" w:rsidRPr="00FA0D37" w:rsidRDefault="00394471" w:rsidP="00964CC4">
            <w:pPr>
              <w:pStyle w:val="TAL"/>
              <w:rPr>
                <w:szCs w:val="22"/>
                <w:lang w:eastAsia="sv-SE"/>
              </w:rPr>
            </w:pPr>
            <w:r w:rsidRPr="00FA0D37">
              <w:rPr>
                <w:szCs w:val="22"/>
                <w:lang w:eastAsia="sv-SE"/>
              </w:rPr>
              <w:t>Wideband or partial band CSI-RS, (see TS 38.214 [19], clause 5.2.2.3.1).</w:t>
            </w:r>
          </w:p>
        </w:tc>
      </w:tr>
      <w:tr w:rsidR="005C7FF4" w:rsidRPr="00FA0D37"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FA0D37" w:rsidRDefault="00394471" w:rsidP="00964CC4">
            <w:pPr>
              <w:pStyle w:val="TAL"/>
              <w:rPr>
                <w:szCs w:val="22"/>
                <w:lang w:eastAsia="sv-SE"/>
              </w:rPr>
            </w:pPr>
            <w:r w:rsidRPr="00FA0D37">
              <w:rPr>
                <w:b/>
                <w:i/>
                <w:szCs w:val="22"/>
                <w:lang w:eastAsia="sv-SE"/>
              </w:rPr>
              <w:t>frequencyDomainAllocation</w:t>
            </w:r>
          </w:p>
          <w:p w14:paraId="02DC8A2F" w14:textId="77777777" w:rsidR="00394471" w:rsidRPr="00FA0D37" w:rsidRDefault="00394471" w:rsidP="00964CC4">
            <w:pPr>
              <w:pStyle w:val="TAL"/>
              <w:rPr>
                <w:szCs w:val="22"/>
                <w:lang w:eastAsia="sv-SE"/>
              </w:rPr>
            </w:pPr>
            <w:r w:rsidRPr="00FA0D37">
              <w:rPr>
                <w:szCs w:val="22"/>
                <w:lang w:eastAsia="sv-SE"/>
              </w:rPr>
              <w:t xml:space="preserve">Frequency domain allocation within a physical resource block in accordance with TS 38.211 [16], clause 7.4.1.5.3. The applicable row number in table 7.4.1.5.3-1 is determined by the </w:t>
            </w:r>
            <w:r w:rsidRPr="00FA0D37">
              <w:rPr>
                <w:i/>
                <w:lang w:eastAsia="sv-SE"/>
              </w:rPr>
              <w:t>frequencyDomainAllocation</w:t>
            </w:r>
            <w:r w:rsidRPr="00FA0D37">
              <w:rPr>
                <w:szCs w:val="22"/>
                <w:lang w:eastAsia="sv-SE"/>
              </w:rPr>
              <w:t xml:space="preserve"> for rows 1, 2 and 4, and for other rows by matching the values in the column Ports, Density and CDMtype in table 7.4.1.5.3-1 with the values of </w:t>
            </w:r>
            <w:r w:rsidRPr="00FA0D37">
              <w:rPr>
                <w:i/>
                <w:lang w:eastAsia="sv-SE"/>
              </w:rPr>
              <w:t>nrofPorts</w:t>
            </w:r>
            <w:r w:rsidRPr="00FA0D37">
              <w:rPr>
                <w:szCs w:val="22"/>
                <w:lang w:eastAsia="sv-SE"/>
              </w:rPr>
              <w:t xml:space="preserve">, </w:t>
            </w:r>
            <w:r w:rsidRPr="00FA0D37">
              <w:rPr>
                <w:i/>
                <w:lang w:eastAsia="sv-SE"/>
              </w:rPr>
              <w:t>cdm-Type</w:t>
            </w:r>
            <w:r w:rsidRPr="00FA0D37">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FA0D37">
              <w:rPr>
                <w:i/>
                <w:lang w:eastAsia="sv-SE"/>
              </w:rPr>
              <w:t>frequencyDomainAllocation</w:t>
            </w:r>
            <w:r w:rsidRPr="00FA0D37">
              <w:rPr>
                <w:szCs w:val="22"/>
                <w:lang w:eastAsia="sv-SE"/>
              </w:rPr>
              <w:t>.</w:t>
            </w:r>
          </w:p>
        </w:tc>
      </w:tr>
      <w:tr w:rsidR="00394471" w:rsidRPr="00FA0D37"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FA0D37" w:rsidRDefault="00394471" w:rsidP="00964CC4">
            <w:pPr>
              <w:pStyle w:val="TAL"/>
              <w:rPr>
                <w:szCs w:val="22"/>
                <w:lang w:eastAsia="sv-SE"/>
              </w:rPr>
            </w:pPr>
            <w:r w:rsidRPr="00FA0D37">
              <w:rPr>
                <w:b/>
                <w:i/>
                <w:szCs w:val="22"/>
                <w:lang w:eastAsia="sv-SE"/>
              </w:rPr>
              <w:t>nrofPorts</w:t>
            </w:r>
          </w:p>
          <w:p w14:paraId="1CF2CBA0" w14:textId="77777777" w:rsidR="00394471" w:rsidRPr="00FA0D37" w:rsidRDefault="00394471" w:rsidP="00964CC4">
            <w:pPr>
              <w:pStyle w:val="TAL"/>
              <w:rPr>
                <w:szCs w:val="22"/>
                <w:lang w:eastAsia="sv-SE"/>
              </w:rPr>
            </w:pPr>
            <w:r w:rsidRPr="00FA0D37">
              <w:rPr>
                <w:szCs w:val="22"/>
                <w:lang w:eastAsia="sv-SE"/>
              </w:rPr>
              <w:t>Number of ports (see TS 38.214 [19], clause 5.2.2.3.1).</w:t>
            </w:r>
          </w:p>
        </w:tc>
      </w:tr>
    </w:tbl>
    <w:p w14:paraId="5D87895C" w14:textId="77777777" w:rsidR="00394471" w:rsidRPr="00FA0D37" w:rsidRDefault="00394471" w:rsidP="00394471"/>
    <w:p w14:paraId="33AD723A" w14:textId="77777777" w:rsidR="00394471" w:rsidRPr="00FA0D37" w:rsidRDefault="00394471" w:rsidP="00394471">
      <w:pPr>
        <w:pStyle w:val="4"/>
      </w:pPr>
      <w:bookmarkStart w:id="1001" w:name="_Toc60777224"/>
      <w:bookmarkStart w:id="1002" w:name="_Toc146781271"/>
      <w:r w:rsidRPr="00FA0D37">
        <w:t>–</w:t>
      </w:r>
      <w:r w:rsidRPr="00FA0D37">
        <w:tab/>
      </w:r>
      <w:r w:rsidRPr="00FA0D37">
        <w:rPr>
          <w:i/>
        </w:rPr>
        <w:t>CSI-SemiPersistentOnPUSCH-TriggerStateList</w:t>
      </w:r>
      <w:bookmarkEnd w:id="1001"/>
      <w:bookmarkEnd w:id="1002"/>
    </w:p>
    <w:p w14:paraId="2003F2D0" w14:textId="77777777" w:rsidR="00394471" w:rsidRPr="00FA0D37" w:rsidRDefault="00394471" w:rsidP="00394471">
      <w:r w:rsidRPr="00FA0D37">
        <w:t xml:space="preserve">The </w:t>
      </w:r>
      <w:r w:rsidRPr="00FA0D37">
        <w:rPr>
          <w:i/>
        </w:rPr>
        <w:t xml:space="preserve">CSI-SemiPersistentOnPUSCH-TriggerStateList </w:t>
      </w:r>
      <w:r w:rsidRPr="00FA0D37">
        <w:t>IE is used to configure the UE with list of trigger states for semi-persistent reporting of channel state information on L1. See also TS 38.214 [19], clause 5.2.</w:t>
      </w:r>
    </w:p>
    <w:p w14:paraId="5286E3F0" w14:textId="77777777" w:rsidR="00394471" w:rsidRPr="00FA0D37" w:rsidRDefault="00394471" w:rsidP="00394471">
      <w:pPr>
        <w:pStyle w:val="TH"/>
      </w:pPr>
      <w:r w:rsidRPr="00FA0D37">
        <w:rPr>
          <w:i/>
        </w:rPr>
        <w:lastRenderedPageBreak/>
        <w:t>CSI-SemiPersistentOnPUSCH-TriggerStateList</w:t>
      </w:r>
      <w:r w:rsidRPr="00FA0D37">
        <w:t xml:space="preserve"> information element</w:t>
      </w:r>
    </w:p>
    <w:p w14:paraId="1BE347E1" w14:textId="77777777" w:rsidR="00394471" w:rsidRPr="00FA0D37" w:rsidRDefault="00394471" w:rsidP="00FA0D37">
      <w:pPr>
        <w:pStyle w:val="PL"/>
        <w:rPr>
          <w:color w:val="808080"/>
        </w:rPr>
      </w:pPr>
      <w:r w:rsidRPr="00FA0D37">
        <w:rPr>
          <w:color w:val="808080"/>
        </w:rPr>
        <w:t>-- ASN1START</w:t>
      </w:r>
    </w:p>
    <w:p w14:paraId="79494678" w14:textId="77777777" w:rsidR="00394471" w:rsidRPr="00FA0D37" w:rsidRDefault="00394471" w:rsidP="00FA0D37">
      <w:pPr>
        <w:pStyle w:val="PL"/>
        <w:rPr>
          <w:color w:val="808080"/>
        </w:rPr>
      </w:pPr>
      <w:r w:rsidRPr="00FA0D37">
        <w:rPr>
          <w:color w:val="808080"/>
        </w:rPr>
        <w:t>-- TAG-CSI-SEMIPERSISTENTONPUSCHTRIGGERSTATELIST-START</w:t>
      </w:r>
    </w:p>
    <w:p w14:paraId="0B217198" w14:textId="77777777" w:rsidR="00394471" w:rsidRPr="00FA0D37" w:rsidRDefault="00394471" w:rsidP="00FA0D37">
      <w:pPr>
        <w:pStyle w:val="PL"/>
      </w:pPr>
    </w:p>
    <w:p w14:paraId="1D0F7B69" w14:textId="77777777" w:rsidR="00394471" w:rsidRPr="00FA0D37" w:rsidRDefault="00394471" w:rsidP="00FA0D37">
      <w:pPr>
        <w:pStyle w:val="PL"/>
      </w:pPr>
      <w:r w:rsidRPr="00FA0D37">
        <w:t xml:space="preserve">CSI-SemiPersistentOnPUSCH-TriggerStateList ::= </w:t>
      </w:r>
      <w:r w:rsidRPr="00FA0D37">
        <w:rPr>
          <w:color w:val="993366"/>
        </w:rPr>
        <w:t>SEQUENCE</w:t>
      </w:r>
      <w:r w:rsidRPr="00FA0D37">
        <w:t>(</w:t>
      </w:r>
      <w:r w:rsidRPr="00FA0D37">
        <w:rPr>
          <w:color w:val="993366"/>
        </w:rPr>
        <w:t>SIZE</w:t>
      </w:r>
      <w:r w:rsidRPr="00FA0D37">
        <w:t xml:space="preserve"> (1..maxNrOfSemiPersistentPUSCH-Triggers))</w:t>
      </w:r>
      <w:r w:rsidRPr="00FA0D37">
        <w:rPr>
          <w:color w:val="993366"/>
        </w:rPr>
        <w:t xml:space="preserve"> OF</w:t>
      </w:r>
      <w:r w:rsidRPr="00FA0D37">
        <w:t xml:space="preserve"> CSI-SemiPersistentOnPUSCH-TriggerState</w:t>
      </w:r>
    </w:p>
    <w:p w14:paraId="75FE1E8B" w14:textId="77777777" w:rsidR="00394471" w:rsidRPr="00FA0D37" w:rsidRDefault="00394471" w:rsidP="00FA0D37">
      <w:pPr>
        <w:pStyle w:val="PL"/>
      </w:pPr>
    </w:p>
    <w:p w14:paraId="30E6AB90" w14:textId="77777777" w:rsidR="00394471" w:rsidRPr="00FA0D37" w:rsidRDefault="00394471" w:rsidP="00FA0D37">
      <w:pPr>
        <w:pStyle w:val="PL"/>
      </w:pPr>
      <w:r w:rsidRPr="00FA0D37">
        <w:t xml:space="preserve">CSI-SemiPersistentOnPUSCH-TriggerState ::=     </w:t>
      </w:r>
      <w:r w:rsidRPr="00FA0D37">
        <w:rPr>
          <w:color w:val="993366"/>
        </w:rPr>
        <w:t>SEQUENCE</w:t>
      </w:r>
      <w:r w:rsidRPr="00FA0D37">
        <w:t xml:space="preserve"> {</w:t>
      </w:r>
    </w:p>
    <w:p w14:paraId="1C5090E7" w14:textId="77777777" w:rsidR="00394471" w:rsidRPr="00FA0D37" w:rsidRDefault="00394471" w:rsidP="00FA0D37">
      <w:pPr>
        <w:pStyle w:val="PL"/>
      </w:pPr>
      <w:r w:rsidRPr="00FA0D37">
        <w:t xml:space="preserve">    associatedReportConfigInfo                     CSI-ReportConfigId,</w:t>
      </w:r>
    </w:p>
    <w:p w14:paraId="6883CEAE" w14:textId="3686B9DD" w:rsidR="00205D47" w:rsidRPr="00FA0D37" w:rsidRDefault="00394471" w:rsidP="00FA0D37">
      <w:pPr>
        <w:pStyle w:val="PL"/>
      </w:pPr>
      <w:r w:rsidRPr="00FA0D37">
        <w:t xml:space="preserve">    ...</w:t>
      </w:r>
      <w:r w:rsidR="00205D47" w:rsidRPr="00FA0D37">
        <w:t>,</w:t>
      </w:r>
    </w:p>
    <w:p w14:paraId="239CDFF9" w14:textId="77FDB5EE" w:rsidR="00205D47" w:rsidRPr="00FA0D37" w:rsidRDefault="00205D47" w:rsidP="00FA0D37">
      <w:pPr>
        <w:pStyle w:val="PL"/>
      </w:pPr>
      <w:r w:rsidRPr="00FA0D37">
        <w:t xml:space="preserve">    [[</w:t>
      </w:r>
    </w:p>
    <w:p w14:paraId="15C8F4E1" w14:textId="1D7885EB" w:rsidR="00205D47" w:rsidRPr="00FA0D37" w:rsidRDefault="00205D47" w:rsidP="00FA0D37">
      <w:pPr>
        <w:pStyle w:val="PL"/>
        <w:rPr>
          <w:color w:val="808080"/>
        </w:rPr>
      </w:pPr>
      <w:r w:rsidRPr="00FA0D37">
        <w:t xml:space="preserve">    sp-CSI-MultiplexingMode-r17                </w:t>
      </w:r>
      <w:r w:rsidRPr="00FA0D37">
        <w:rPr>
          <w:color w:val="993366"/>
        </w:rPr>
        <w:t>ENUMERATED</w:t>
      </w:r>
      <w:r w:rsidR="00015613" w:rsidRPr="00FA0D37">
        <w:t xml:space="preserve"> </w:t>
      </w:r>
      <w:r w:rsidRPr="00FA0D37">
        <w:t xml:space="preserve">{enabled}                                           </w:t>
      </w:r>
      <w:r w:rsidRPr="00FA0D37">
        <w:rPr>
          <w:color w:val="993366"/>
        </w:rPr>
        <w:t>OPTIONAL</w:t>
      </w:r>
      <w:r w:rsidRPr="00FA0D37">
        <w:t xml:space="preserve">   </w:t>
      </w:r>
      <w:r w:rsidRPr="00FA0D37">
        <w:rPr>
          <w:color w:val="808080"/>
        </w:rPr>
        <w:t>-- Need R</w:t>
      </w:r>
    </w:p>
    <w:p w14:paraId="59D39C5F" w14:textId="348AAB29" w:rsidR="00394471" w:rsidRPr="00FA0D37" w:rsidRDefault="00205D47" w:rsidP="00FA0D37">
      <w:pPr>
        <w:pStyle w:val="PL"/>
      </w:pPr>
      <w:r w:rsidRPr="00FA0D37">
        <w:t xml:space="preserve">    ]]</w:t>
      </w:r>
    </w:p>
    <w:p w14:paraId="2622DA08" w14:textId="77777777" w:rsidR="00394471" w:rsidRPr="00FA0D37" w:rsidRDefault="00394471" w:rsidP="00FA0D37">
      <w:pPr>
        <w:pStyle w:val="PL"/>
      </w:pPr>
      <w:r w:rsidRPr="00FA0D37">
        <w:t>}</w:t>
      </w:r>
    </w:p>
    <w:p w14:paraId="22131F81" w14:textId="77777777" w:rsidR="00394471" w:rsidRPr="00FA0D37" w:rsidRDefault="00394471" w:rsidP="00FA0D37">
      <w:pPr>
        <w:pStyle w:val="PL"/>
      </w:pPr>
    </w:p>
    <w:p w14:paraId="52AC4CFD" w14:textId="77777777" w:rsidR="00394471" w:rsidRPr="00FA0D37" w:rsidRDefault="00394471" w:rsidP="00FA0D37">
      <w:pPr>
        <w:pStyle w:val="PL"/>
        <w:rPr>
          <w:color w:val="808080"/>
        </w:rPr>
      </w:pPr>
      <w:r w:rsidRPr="00FA0D37">
        <w:rPr>
          <w:color w:val="808080"/>
        </w:rPr>
        <w:t>-- TAG-CSI-SEMIPERSISTENTONPUSCHTRIGGERSTATELIST-STOP</w:t>
      </w:r>
    </w:p>
    <w:p w14:paraId="3712576F" w14:textId="77777777" w:rsidR="00394471" w:rsidRPr="00FA0D37" w:rsidRDefault="00394471" w:rsidP="00FA0D37">
      <w:pPr>
        <w:pStyle w:val="PL"/>
        <w:rPr>
          <w:color w:val="808080"/>
        </w:rPr>
      </w:pPr>
      <w:r w:rsidRPr="00FA0D37">
        <w:rPr>
          <w:color w:val="808080"/>
        </w:rPr>
        <w:t>-- ASN1STOP</w:t>
      </w:r>
    </w:p>
    <w:p w14:paraId="55B108C7" w14:textId="7285F21A"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FA0D37" w:rsidRDefault="00205D47" w:rsidP="00771058">
            <w:pPr>
              <w:pStyle w:val="TAH"/>
              <w:rPr>
                <w:szCs w:val="22"/>
                <w:lang w:eastAsia="sv-SE"/>
              </w:rPr>
            </w:pPr>
            <w:r w:rsidRPr="00FA0D37">
              <w:rPr>
                <w:i/>
              </w:rPr>
              <w:t>CSI-SemiPersistentOnPUSCH-TriggerStateList</w:t>
            </w:r>
            <w:r w:rsidRPr="00FA0D37">
              <w:rPr>
                <w:szCs w:val="22"/>
                <w:lang w:eastAsia="sv-SE"/>
              </w:rPr>
              <w:t xml:space="preserve"> field descriptions</w:t>
            </w:r>
          </w:p>
        </w:tc>
      </w:tr>
      <w:tr w:rsidR="000830BB" w:rsidRPr="00FA0D37"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FA0D37" w:rsidRDefault="00205D47" w:rsidP="00771058">
            <w:pPr>
              <w:pStyle w:val="TAL"/>
              <w:rPr>
                <w:b/>
                <w:i/>
                <w:szCs w:val="22"/>
                <w:lang w:eastAsia="sv-SE"/>
              </w:rPr>
            </w:pPr>
            <w:r w:rsidRPr="00FA0D37">
              <w:rPr>
                <w:b/>
                <w:i/>
                <w:szCs w:val="22"/>
                <w:lang w:eastAsia="sv-SE"/>
              </w:rPr>
              <w:t>sp-CSI-MultiplexingMode</w:t>
            </w:r>
          </w:p>
          <w:p w14:paraId="2DD2F263" w14:textId="1320FDF1" w:rsidR="00205D47" w:rsidRPr="00FA0D37" w:rsidRDefault="00205D47" w:rsidP="00771058">
            <w:pPr>
              <w:pStyle w:val="TAL"/>
              <w:rPr>
                <w:szCs w:val="22"/>
                <w:lang w:eastAsia="sv-SE"/>
              </w:rPr>
            </w:pPr>
            <w:r w:rsidRPr="00FA0D37">
              <w:rPr>
                <w:szCs w:val="22"/>
                <w:lang w:eastAsia="sv-SE"/>
              </w:rPr>
              <w:t>Indicates if the behavior of transmitting SP-CSI on the first PUSCH repetitions cor</w:t>
            </w:r>
            <w:r w:rsidR="00DF1A5D" w:rsidRPr="00FA0D37">
              <w:rPr>
                <w:szCs w:val="22"/>
                <w:lang w:eastAsia="sv-SE"/>
              </w:rPr>
              <w:t>r</w:t>
            </w:r>
            <w:r w:rsidRPr="00FA0D37">
              <w:rPr>
                <w:szCs w:val="22"/>
                <w:lang w:eastAsia="sv-SE"/>
              </w:rPr>
              <w:t xml:space="preserve">esponding to two SRS resource sets </w:t>
            </w:r>
            <w:r w:rsidR="003C4B12" w:rsidRPr="00FA0D37">
              <w:rPr>
                <w:lang w:eastAsia="x-none"/>
              </w:rPr>
              <w:t xml:space="preserve">configured in </w:t>
            </w:r>
            <w:r w:rsidR="003C4B12" w:rsidRPr="00FA0D37">
              <w:rPr>
                <w:rFonts w:cs="Arial"/>
                <w:i/>
                <w:iCs/>
              </w:rPr>
              <w:t>srs-ResourceSetToAddModList</w:t>
            </w:r>
            <w:r w:rsidR="003C4B12" w:rsidRPr="00FA0D37">
              <w:rPr>
                <w:rFonts w:cs="Arial"/>
              </w:rPr>
              <w:t xml:space="preserve"> or </w:t>
            </w:r>
            <w:r w:rsidR="003C4B12" w:rsidRPr="00FA0D37">
              <w:rPr>
                <w:rFonts w:cs="Arial"/>
                <w:i/>
                <w:iCs/>
              </w:rPr>
              <w:t>srs-ResourceSetToAddModListDCI-0-2</w:t>
            </w:r>
            <w:r w:rsidR="003C4B12" w:rsidRPr="00FA0D37">
              <w:rPr>
                <w:rFonts w:cs="Arial"/>
              </w:rPr>
              <w:t xml:space="preserve"> with usage </w:t>
            </w:r>
            <w:r w:rsidR="00743BF8" w:rsidRPr="00FA0D37">
              <w:rPr>
                <w:rFonts w:cs="Arial"/>
              </w:rPr>
              <w:t>'</w:t>
            </w:r>
            <w:r w:rsidR="003C4B12" w:rsidRPr="00FA0D37">
              <w:rPr>
                <w:rFonts w:cs="Arial"/>
              </w:rPr>
              <w:t>codebook</w:t>
            </w:r>
            <w:r w:rsidR="00743BF8" w:rsidRPr="00FA0D37">
              <w:rPr>
                <w:rFonts w:cs="Arial"/>
              </w:rPr>
              <w:t>'</w:t>
            </w:r>
            <w:r w:rsidR="003C4B12" w:rsidRPr="00FA0D37">
              <w:rPr>
                <w:lang w:eastAsia="x-none"/>
              </w:rPr>
              <w:t xml:space="preserve"> or </w:t>
            </w:r>
            <w:r w:rsidR="00743BF8" w:rsidRPr="00FA0D37">
              <w:rPr>
                <w:rFonts w:cs="Arial"/>
              </w:rPr>
              <w:t>'</w:t>
            </w:r>
            <w:r w:rsidR="003C4B12" w:rsidRPr="00FA0D37">
              <w:rPr>
                <w:rFonts w:cs="Arial"/>
              </w:rPr>
              <w:t>noncodebook</w:t>
            </w:r>
            <w:r w:rsidR="00743BF8" w:rsidRPr="00FA0D37">
              <w:rPr>
                <w:rFonts w:cs="Arial"/>
              </w:rPr>
              <w:t>'</w:t>
            </w:r>
            <w:r w:rsidR="003C4B12" w:rsidRPr="00FA0D37">
              <w:rPr>
                <w:rFonts w:cs="Arial"/>
              </w:rPr>
              <w:t xml:space="preserve"> </w:t>
            </w:r>
            <w:r w:rsidRPr="00FA0D37">
              <w:rPr>
                <w:szCs w:val="22"/>
                <w:lang w:eastAsia="sv-SE"/>
              </w:rPr>
              <w:t>is enabled or not.</w:t>
            </w:r>
          </w:p>
        </w:tc>
      </w:tr>
    </w:tbl>
    <w:p w14:paraId="17A5BF51" w14:textId="77777777" w:rsidR="00205D47" w:rsidRPr="00FA0D37" w:rsidRDefault="00205D47" w:rsidP="00394471"/>
    <w:p w14:paraId="03AA90C4" w14:textId="77777777" w:rsidR="00394471" w:rsidRPr="00FA0D37" w:rsidRDefault="00394471" w:rsidP="00394471">
      <w:pPr>
        <w:pStyle w:val="4"/>
      </w:pPr>
      <w:bookmarkStart w:id="1003" w:name="_Toc60777225"/>
      <w:bookmarkStart w:id="1004" w:name="_Toc146781272"/>
      <w:r w:rsidRPr="00FA0D37">
        <w:t>–</w:t>
      </w:r>
      <w:r w:rsidRPr="00FA0D37">
        <w:tab/>
      </w:r>
      <w:r w:rsidRPr="00FA0D37">
        <w:rPr>
          <w:i/>
        </w:rPr>
        <w:t>CSI-SSB-ResourceSet</w:t>
      </w:r>
      <w:bookmarkEnd w:id="1003"/>
      <w:bookmarkEnd w:id="1004"/>
    </w:p>
    <w:p w14:paraId="418053D8" w14:textId="5711B5F4" w:rsidR="00394471" w:rsidRPr="00FA0D37" w:rsidRDefault="00394471" w:rsidP="00394471">
      <w:r w:rsidRPr="00FA0D37">
        <w:t xml:space="preserve">The IE </w:t>
      </w:r>
      <w:r w:rsidRPr="00FA0D37">
        <w:rPr>
          <w:i/>
        </w:rPr>
        <w:t>CSI-SSB-ResourceSet</w:t>
      </w:r>
      <w:r w:rsidRPr="00FA0D37">
        <w:t xml:space="preserve"> is used to configure one SS/PBCH block resource set which refers to SS/PBCH as indicated in </w:t>
      </w:r>
      <w:r w:rsidRPr="00FA0D37">
        <w:rPr>
          <w:i/>
        </w:rPr>
        <w:t>ServingCellConfigCommon</w:t>
      </w:r>
      <w:r w:rsidR="003C4B12" w:rsidRPr="00FA0D37">
        <w:t xml:space="preserve"> and </w:t>
      </w:r>
      <w:r w:rsidR="003C4B12" w:rsidRPr="00FA0D37">
        <w:rPr>
          <w:i/>
        </w:rPr>
        <w:t>ServingCellConfig</w:t>
      </w:r>
      <w:r w:rsidRPr="00FA0D37">
        <w:t>.</w:t>
      </w:r>
    </w:p>
    <w:p w14:paraId="731D587D" w14:textId="77777777" w:rsidR="00394471" w:rsidRPr="00FA0D37" w:rsidRDefault="00394471" w:rsidP="00394471">
      <w:pPr>
        <w:pStyle w:val="TH"/>
      </w:pPr>
      <w:r w:rsidRPr="00FA0D37">
        <w:rPr>
          <w:i/>
        </w:rPr>
        <w:t>CSI-SSB-ResourceSet</w:t>
      </w:r>
      <w:r w:rsidRPr="00FA0D37">
        <w:t xml:space="preserve"> information element</w:t>
      </w:r>
    </w:p>
    <w:p w14:paraId="47D89724" w14:textId="77777777" w:rsidR="00394471" w:rsidRPr="00FA0D37" w:rsidRDefault="00394471" w:rsidP="00FA0D37">
      <w:pPr>
        <w:pStyle w:val="PL"/>
        <w:rPr>
          <w:color w:val="808080"/>
        </w:rPr>
      </w:pPr>
      <w:r w:rsidRPr="00FA0D37">
        <w:rPr>
          <w:color w:val="808080"/>
        </w:rPr>
        <w:t>-- ASN1START</w:t>
      </w:r>
    </w:p>
    <w:p w14:paraId="5B2B10ED" w14:textId="77777777" w:rsidR="00394471" w:rsidRPr="00FA0D37" w:rsidRDefault="00394471" w:rsidP="00FA0D37">
      <w:pPr>
        <w:pStyle w:val="PL"/>
        <w:rPr>
          <w:color w:val="808080"/>
        </w:rPr>
      </w:pPr>
      <w:r w:rsidRPr="00FA0D37">
        <w:rPr>
          <w:color w:val="808080"/>
        </w:rPr>
        <w:t>-- TAG-CSI-SSB-RESOURCESET-START</w:t>
      </w:r>
    </w:p>
    <w:p w14:paraId="1E352D90" w14:textId="77777777" w:rsidR="00394471" w:rsidRPr="00FA0D37" w:rsidRDefault="00394471" w:rsidP="00FA0D37">
      <w:pPr>
        <w:pStyle w:val="PL"/>
      </w:pPr>
    </w:p>
    <w:p w14:paraId="7921C281" w14:textId="77777777" w:rsidR="00394471" w:rsidRPr="00FA0D37" w:rsidRDefault="00394471" w:rsidP="00FA0D37">
      <w:pPr>
        <w:pStyle w:val="PL"/>
      </w:pPr>
      <w:r w:rsidRPr="00FA0D37">
        <w:t xml:space="preserve">CSI-SSB-ResourceSet ::=             </w:t>
      </w:r>
      <w:r w:rsidRPr="00FA0D37">
        <w:rPr>
          <w:color w:val="993366"/>
        </w:rPr>
        <w:t>SEQUENCE</w:t>
      </w:r>
      <w:r w:rsidRPr="00FA0D37">
        <w:t xml:space="preserve"> {</w:t>
      </w:r>
    </w:p>
    <w:p w14:paraId="1F2FBCDC" w14:textId="77777777" w:rsidR="00394471" w:rsidRPr="00FA0D37" w:rsidRDefault="00394471" w:rsidP="00FA0D37">
      <w:pPr>
        <w:pStyle w:val="PL"/>
      </w:pPr>
      <w:r w:rsidRPr="00FA0D37">
        <w:t xml:space="preserve">    csi-SSB-ResourceSetId               CSI-SSB-ResourceSetId,</w:t>
      </w:r>
    </w:p>
    <w:p w14:paraId="056D1047" w14:textId="77777777" w:rsidR="00394471" w:rsidRPr="00FA0D37" w:rsidRDefault="00394471" w:rsidP="00FA0D37">
      <w:pPr>
        <w:pStyle w:val="PL"/>
      </w:pPr>
      <w:r w:rsidRPr="00FA0D37">
        <w:t xml:space="preserve">    csi-SSB-ResourceList                </w:t>
      </w:r>
      <w:r w:rsidRPr="00FA0D37">
        <w:rPr>
          <w:color w:val="993366"/>
        </w:rPr>
        <w:t>SEQUENCE</w:t>
      </w:r>
      <w:r w:rsidRPr="00FA0D37">
        <w:t xml:space="preserve"> (</w:t>
      </w:r>
      <w:r w:rsidRPr="00FA0D37">
        <w:rPr>
          <w:color w:val="993366"/>
        </w:rPr>
        <w:t>SIZE</w:t>
      </w:r>
      <w:r w:rsidRPr="00FA0D37">
        <w:t>(1..maxNrofCSI-SSB-ResourcePerSet))</w:t>
      </w:r>
      <w:r w:rsidRPr="00FA0D37">
        <w:rPr>
          <w:color w:val="993366"/>
        </w:rPr>
        <w:t xml:space="preserve"> OF</w:t>
      </w:r>
      <w:r w:rsidRPr="00FA0D37">
        <w:t xml:space="preserve"> SSB-Index,</w:t>
      </w:r>
    </w:p>
    <w:p w14:paraId="5C748109" w14:textId="4695BFB5" w:rsidR="00205D47" w:rsidRPr="00FA0D37" w:rsidRDefault="00394471" w:rsidP="00FA0D37">
      <w:pPr>
        <w:pStyle w:val="PL"/>
      </w:pPr>
      <w:r w:rsidRPr="00FA0D37">
        <w:t xml:space="preserve">    ...</w:t>
      </w:r>
      <w:r w:rsidR="00205D47" w:rsidRPr="00FA0D37">
        <w:t>,</w:t>
      </w:r>
    </w:p>
    <w:p w14:paraId="7C871473" w14:textId="67CD0007" w:rsidR="00205D47" w:rsidRPr="00FA0D37" w:rsidRDefault="00205D47" w:rsidP="00FA0D37">
      <w:pPr>
        <w:pStyle w:val="PL"/>
      </w:pPr>
      <w:r w:rsidRPr="00FA0D37">
        <w:t xml:space="preserve">    [[</w:t>
      </w:r>
    </w:p>
    <w:p w14:paraId="5F9CDC84" w14:textId="640841B8" w:rsidR="00205D47" w:rsidRPr="00FA0D37" w:rsidRDefault="00205D47" w:rsidP="00FA0D37">
      <w:pPr>
        <w:pStyle w:val="PL"/>
        <w:rPr>
          <w:color w:val="808080"/>
        </w:rPr>
      </w:pPr>
      <w:r w:rsidRPr="00FA0D37">
        <w:t xml:space="preserve">    </w:t>
      </w:r>
      <w:r w:rsidR="003C4B12" w:rsidRPr="00FA0D37">
        <w:t>servingA</w:t>
      </w:r>
      <w:r w:rsidRPr="00FA0D37">
        <w:t xml:space="preserve">dditionalPCIList-r17        </w:t>
      </w:r>
      <w:r w:rsidRPr="00FA0D37">
        <w:rPr>
          <w:color w:val="993366"/>
        </w:rPr>
        <w:t>SEQUENCE</w:t>
      </w:r>
      <w:r w:rsidRPr="00FA0D37">
        <w:t xml:space="preserve"> (</w:t>
      </w:r>
      <w:r w:rsidRPr="00FA0D37">
        <w:rPr>
          <w:color w:val="993366"/>
        </w:rPr>
        <w:t>SIZE</w:t>
      </w:r>
      <w:r w:rsidRPr="00FA0D37">
        <w:t>(1..maxNrofCSI-SSB-ResourcePerSet))</w:t>
      </w:r>
      <w:r w:rsidRPr="00FA0D37">
        <w:rPr>
          <w:color w:val="993366"/>
        </w:rPr>
        <w:t xml:space="preserve"> OF</w:t>
      </w:r>
      <w:r w:rsidRPr="00FA0D37">
        <w:t xml:space="preserve"> </w:t>
      </w:r>
      <w:r w:rsidR="003C4B12" w:rsidRPr="00FA0D37">
        <w:t>Serving</w:t>
      </w:r>
      <w:r w:rsidRPr="00FA0D37">
        <w:t xml:space="preserve">AdditionalPCIIndex-r17  </w:t>
      </w:r>
      <w:r w:rsidRPr="00FA0D37">
        <w:rPr>
          <w:color w:val="993366"/>
        </w:rPr>
        <w:t>OPTIONAL</w:t>
      </w:r>
      <w:r w:rsidRPr="00FA0D37">
        <w:t xml:space="preserve">  </w:t>
      </w:r>
      <w:r w:rsidRPr="00FA0D37">
        <w:rPr>
          <w:color w:val="808080"/>
        </w:rPr>
        <w:t>-- Need R</w:t>
      </w:r>
    </w:p>
    <w:p w14:paraId="44162ACA" w14:textId="4B48B52C" w:rsidR="00394471" w:rsidRPr="00FA0D37" w:rsidRDefault="00205D47" w:rsidP="00FA0D37">
      <w:pPr>
        <w:pStyle w:val="PL"/>
      </w:pPr>
      <w:r w:rsidRPr="00FA0D37">
        <w:t xml:space="preserve">    ]]</w:t>
      </w:r>
    </w:p>
    <w:p w14:paraId="21746DAA" w14:textId="77777777" w:rsidR="00394471" w:rsidRPr="00FA0D37" w:rsidRDefault="00394471" w:rsidP="00FA0D37">
      <w:pPr>
        <w:pStyle w:val="PL"/>
      </w:pPr>
      <w:r w:rsidRPr="00FA0D37">
        <w:t>}</w:t>
      </w:r>
    </w:p>
    <w:p w14:paraId="0A9FC3EA" w14:textId="688A303C" w:rsidR="00394471" w:rsidRPr="00FA0D37" w:rsidRDefault="00394471" w:rsidP="00FA0D37">
      <w:pPr>
        <w:pStyle w:val="PL"/>
      </w:pPr>
    </w:p>
    <w:p w14:paraId="18696A2E" w14:textId="679E34F4" w:rsidR="003C4B12" w:rsidRPr="00FA0D37" w:rsidRDefault="003C4B12" w:rsidP="00FA0D37">
      <w:pPr>
        <w:pStyle w:val="PL"/>
      </w:pPr>
      <w:r w:rsidRPr="00FA0D37">
        <w:t xml:space="preserve">ServingAdditionalPCIIndex-r17  ::=  </w:t>
      </w:r>
      <w:r w:rsidRPr="00FA0D37">
        <w:rPr>
          <w:color w:val="993366"/>
        </w:rPr>
        <w:t>INTEGER</w:t>
      </w:r>
      <w:r w:rsidRPr="00FA0D37">
        <w:t>(0..maxNrofAdditionalPCI-r17)</w:t>
      </w:r>
    </w:p>
    <w:p w14:paraId="3B6256A6" w14:textId="77777777" w:rsidR="003C4B12" w:rsidRPr="00FA0D37" w:rsidRDefault="003C4B12" w:rsidP="00FA0D37">
      <w:pPr>
        <w:pStyle w:val="PL"/>
      </w:pPr>
    </w:p>
    <w:p w14:paraId="2E2BA17B" w14:textId="77777777" w:rsidR="00394471" w:rsidRPr="00FA0D37" w:rsidRDefault="00394471" w:rsidP="00FA0D37">
      <w:pPr>
        <w:pStyle w:val="PL"/>
        <w:rPr>
          <w:color w:val="808080"/>
        </w:rPr>
      </w:pPr>
      <w:r w:rsidRPr="00FA0D37">
        <w:rPr>
          <w:color w:val="808080"/>
        </w:rPr>
        <w:t>-- TAG-CSI-SSB-RESOURCESET-STOP</w:t>
      </w:r>
    </w:p>
    <w:p w14:paraId="5ADEAB5F" w14:textId="77777777" w:rsidR="00394471" w:rsidRPr="00FA0D37" w:rsidRDefault="00394471" w:rsidP="00FA0D37">
      <w:pPr>
        <w:pStyle w:val="PL"/>
        <w:rPr>
          <w:color w:val="808080"/>
        </w:rPr>
      </w:pPr>
      <w:r w:rsidRPr="00FA0D37">
        <w:rPr>
          <w:color w:val="808080"/>
        </w:rPr>
        <w:t>-- ASN1STOP</w:t>
      </w:r>
    </w:p>
    <w:p w14:paraId="79C7150F" w14:textId="77777777" w:rsidR="00205D47" w:rsidRPr="00FA0D37"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FA0D37" w:rsidRDefault="00205D47" w:rsidP="00771058">
            <w:pPr>
              <w:pStyle w:val="TAH"/>
              <w:rPr>
                <w:szCs w:val="22"/>
                <w:lang w:eastAsia="sv-SE"/>
              </w:rPr>
            </w:pPr>
            <w:r w:rsidRPr="00FA0D37">
              <w:rPr>
                <w:i/>
              </w:rPr>
              <w:lastRenderedPageBreak/>
              <w:t>CSI-SSB-ResourceSet</w:t>
            </w:r>
            <w:r w:rsidRPr="00FA0D37">
              <w:t xml:space="preserve"> </w:t>
            </w:r>
            <w:r w:rsidRPr="00FA0D37">
              <w:rPr>
                <w:szCs w:val="22"/>
                <w:lang w:eastAsia="sv-SE"/>
              </w:rPr>
              <w:t>field descriptions</w:t>
            </w:r>
          </w:p>
        </w:tc>
      </w:tr>
      <w:tr w:rsidR="000830BB" w:rsidRPr="00FA0D37"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FA0D37" w:rsidRDefault="003C4B12" w:rsidP="00771058">
            <w:pPr>
              <w:pStyle w:val="TAL"/>
              <w:rPr>
                <w:b/>
                <w:bCs/>
                <w:i/>
                <w:iCs/>
                <w:szCs w:val="22"/>
                <w:lang w:eastAsia="sv-SE"/>
              </w:rPr>
            </w:pPr>
            <w:r w:rsidRPr="00FA0D37">
              <w:rPr>
                <w:b/>
                <w:bCs/>
                <w:i/>
                <w:iCs/>
              </w:rPr>
              <w:t>servingA</w:t>
            </w:r>
            <w:r w:rsidR="00205D47" w:rsidRPr="00FA0D37">
              <w:rPr>
                <w:b/>
                <w:bCs/>
                <w:i/>
                <w:iCs/>
              </w:rPr>
              <w:t>dditionalPCIList</w:t>
            </w:r>
          </w:p>
          <w:p w14:paraId="06804DAD" w14:textId="2443992C" w:rsidR="003C4B12" w:rsidRPr="00FA0D37" w:rsidRDefault="00205D47" w:rsidP="003C4B12">
            <w:pPr>
              <w:pStyle w:val="TAL"/>
            </w:pPr>
            <w:r w:rsidRPr="00FA0D37">
              <w:t xml:space="preserve">Indicates the physical cell IDs (PCI) of the SSBs in the </w:t>
            </w:r>
            <w:r w:rsidRPr="00FA0D37">
              <w:rPr>
                <w:i/>
                <w:iCs/>
              </w:rPr>
              <w:t>csi-SSB-ResourceList</w:t>
            </w:r>
            <w:r w:rsidRPr="00FA0D37">
              <w:t xml:space="preserve">. If present, the list has the same number of entries as </w:t>
            </w:r>
            <w:r w:rsidRPr="00FA0D37">
              <w:rPr>
                <w:i/>
                <w:iCs/>
              </w:rPr>
              <w:t>csi-SSB-ResourceList</w:t>
            </w:r>
            <w:r w:rsidR="00095E61" w:rsidRPr="00FA0D37">
              <w:t>.</w:t>
            </w:r>
            <w:r w:rsidR="003C4B12" w:rsidRPr="00FA0D37">
              <w:t xml:space="preserve"> </w:t>
            </w:r>
            <w:r w:rsidR="00095E61" w:rsidRPr="00FA0D37">
              <w:t>T</w:t>
            </w:r>
            <w:r w:rsidR="003C4B12" w:rsidRPr="00FA0D37">
              <w:t>he first entry of th</w:t>
            </w:r>
            <w:r w:rsidR="00095E61" w:rsidRPr="00FA0D37">
              <w:t>e</w:t>
            </w:r>
            <w:r w:rsidR="003C4B12" w:rsidRPr="00FA0D37">
              <w:t xml:space="preserve"> list indicates the value of the PCI for the first entry of </w:t>
            </w:r>
            <w:r w:rsidR="003C4B12" w:rsidRPr="00FA0D37">
              <w:rPr>
                <w:i/>
              </w:rPr>
              <w:t>csi-SSB-ResourceList</w:t>
            </w:r>
            <w:r w:rsidR="003C4B12" w:rsidRPr="00FA0D37">
              <w:t xml:space="preserve">, the second entry of this list indicates the value of the PCI for the second entry of </w:t>
            </w:r>
            <w:r w:rsidR="003C4B12" w:rsidRPr="00FA0D37">
              <w:rPr>
                <w:i/>
              </w:rPr>
              <w:t>csi-SSB-ResourceList</w:t>
            </w:r>
            <w:r w:rsidR="003C4B12" w:rsidRPr="00FA0D37">
              <w:t>, and so on. For each entry</w:t>
            </w:r>
            <w:r w:rsidR="00095E61" w:rsidRPr="00FA0D37">
              <w:t>, the following applies</w:t>
            </w:r>
            <w:r w:rsidR="003C4B12" w:rsidRPr="00FA0D37">
              <w:t>:</w:t>
            </w:r>
          </w:p>
          <w:p w14:paraId="0330A4CB" w14:textId="5057FAAF" w:rsidR="003C4B12" w:rsidRPr="00FA0D37" w:rsidRDefault="003C4B12" w:rsidP="003C4B12">
            <w:pPr>
              <w:pStyle w:val="TAL"/>
            </w:pPr>
            <w:r w:rsidRPr="00FA0D37">
              <w:t xml:space="preserve">- </w:t>
            </w:r>
            <w:r w:rsidR="00571D55" w:rsidRPr="00FA0D37">
              <w:t>I</w:t>
            </w:r>
            <w:r w:rsidRPr="00FA0D37">
              <w:t xml:space="preserve">f the value is zero, the PCI is the PCI of the serving cell in which this </w:t>
            </w:r>
            <w:r w:rsidRPr="00FA0D37">
              <w:rPr>
                <w:i/>
              </w:rPr>
              <w:t>CSI-SSB-ResourceSet</w:t>
            </w:r>
            <w:r w:rsidRPr="00FA0D37">
              <w:t xml:space="preserve"> is defined;</w:t>
            </w:r>
          </w:p>
          <w:p w14:paraId="2D4A0274" w14:textId="2332A0D1" w:rsidR="00205D47" w:rsidRPr="00FA0D37" w:rsidRDefault="003C4B12" w:rsidP="00771058">
            <w:pPr>
              <w:pStyle w:val="TAL"/>
            </w:pPr>
            <w:r w:rsidRPr="00FA0D37">
              <w:t xml:space="preserve">- otherwise, the value is </w:t>
            </w:r>
            <w:r w:rsidRPr="00FA0D37">
              <w:rPr>
                <w:i/>
              </w:rPr>
              <w:t>additionalPCIIndex-r17</w:t>
            </w:r>
            <w:r w:rsidRPr="00FA0D37">
              <w:t xml:space="preserve"> of an </w:t>
            </w:r>
            <w:r w:rsidRPr="00FA0D37">
              <w:rPr>
                <w:i/>
              </w:rPr>
              <w:t>SSB-MTC-AdditionalPCI-r17</w:t>
            </w:r>
            <w:r w:rsidRPr="00FA0D37">
              <w:t xml:space="preserve"> </w:t>
            </w:r>
            <w:r w:rsidR="0005240D" w:rsidRPr="00FA0D37">
              <w:t>configured using</w:t>
            </w:r>
            <w:r w:rsidRPr="00FA0D37">
              <w:t xml:space="preserve"> the </w:t>
            </w:r>
            <w:r w:rsidRPr="00FA0D37">
              <w:rPr>
                <w:i/>
              </w:rPr>
              <w:t>additionalPCI</w:t>
            </w:r>
            <w:r w:rsidR="0005240D" w:rsidRPr="00FA0D37">
              <w:rPr>
                <w:i/>
              </w:rPr>
              <w:t>-ToAddMod</w:t>
            </w:r>
            <w:r w:rsidRPr="00FA0D37">
              <w:rPr>
                <w:i/>
              </w:rPr>
              <w:t>List-r17</w:t>
            </w:r>
            <w:r w:rsidRPr="00FA0D37">
              <w:t xml:space="preserve"> in </w:t>
            </w:r>
            <w:r w:rsidRPr="00FA0D37">
              <w:rPr>
                <w:i/>
              </w:rPr>
              <w:t>ServingCellConfig</w:t>
            </w:r>
            <w:r w:rsidRPr="00FA0D37">
              <w:t xml:space="preserve">, and the PCI is the </w:t>
            </w:r>
            <w:r w:rsidRPr="00FA0D37">
              <w:rPr>
                <w:i/>
              </w:rPr>
              <w:t>additionalPCI-r17</w:t>
            </w:r>
            <w:r w:rsidRPr="00FA0D37">
              <w:t xml:space="preserve"> in this </w:t>
            </w:r>
            <w:r w:rsidRPr="00FA0D37">
              <w:rPr>
                <w:i/>
              </w:rPr>
              <w:t>SSB-MTC-AdditionalPCI-r17</w:t>
            </w:r>
            <w:r w:rsidR="00205D47" w:rsidRPr="00FA0D37">
              <w:t>.</w:t>
            </w:r>
          </w:p>
        </w:tc>
      </w:tr>
    </w:tbl>
    <w:p w14:paraId="2B61447D" w14:textId="77777777" w:rsidR="00394471" w:rsidRPr="00FA0D37" w:rsidRDefault="00394471" w:rsidP="00394471"/>
    <w:p w14:paraId="4D8D353E" w14:textId="77777777" w:rsidR="00394471" w:rsidRPr="00FA0D37" w:rsidRDefault="00394471" w:rsidP="00394471">
      <w:pPr>
        <w:pStyle w:val="4"/>
      </w:pPr>
      <w:bookmarkStart w:id="1005" w:name="_Toc60777226"/>
      <w:bookmarkStart w:id="1006" w:name="_Toc146781273"/>
      <w:r w:rsidRPr="00FA0D37">
        <w:t>–</w:t>
      </w:r>
      <w:r w:rsidRPr="00FA0D37">
        <w:tab/>
      </w:r>
      <w:r w:rsidRPr="00FA0D37">
        <w:rPr>
          <w:i/>
        </w:rPr>
        <w:t>CSI-SSB-ResourceSetId</w:t>
      </w:r>
      <w:bookmarkEnd w:id="1005"/>
      <w:bookmarkEnd w:id="1006"/>
    </w:p>
    <w:p w14:paraId="3D407074" w14:textId="77777777" w:rsidR="00394471" w:rsidRPr="00FA0D37" w:rsidRDefault="00394471" w:rsidP="00394471">
      <w:r w:rsidRPr="00FA0D37">
        <w:t xml:space="preserve">The IE </w:t>
      </w:r>
      <w:r w:rsidRPr="00FA0D37">
        <w:rPr>
          <w:i/>
        </w:rPr>
        <w:t>CSI-SSB-ResourceSetId</w:t>
      </w:r>
      <w:r w:rsidRPr="00FA0D37">
        <w:t xml:space="preserve"> is used to identify one SS/PBCH block resource set.</w:t>
      </w:r>
    </w:p>
    <w:p w14:paraId="6C26DF50" w14:textId="77777777" w:rsidR="00394471" w:rsidRPr="00FA0D37" w:rsidRDefault="00394471" w:rsidP="00394471">
      <w:pPr>
        <w:pStyle w:val="TH"/>
      </w:pPr>
      <w:r w:rsidRPr="00FA0D37">
        <w:rPr>
          <w:i/>
        </w:rPr>
        <w:t>CSI-SSB-ResourceId</w:t>
      </w:r>
      <w:r w:rsidRPr="00FA0D37">
        <w:t xml:space="preserve"> information element</w:t>
      </w:r>
    </w:p>
    <w:p w14:paraId="2A5203B7" w14:textId="77777777" w:rsidR="00394471" w:rsidRPr="00FA0D37" w:rsidRDefault="00394471" w:rsidP="00FA0D37">
      <w:pPr>
        <w:pStyle w:val="PL"/>
        <w:rPr>
          <w:color w:val="808080"/>
        </w:rPr>
      </w:pPr>
      <w:r w:rsidRPr="00FA0D37">
        <w:rPr>
          <w:color w:val="808080"/>
        </w:rPr>
        <w:t>-- ASN1START</w:t>
      </w:r>
    </w:p>
    <w:p w14:paraId="27653C81" w14:textId="77777777" w:rsidR="00394471" w:rsidRPr="00FA0D37" w:rsidRDefault="00394471" w:rsidP="00FA0D37">
      <w:pPr>
        <w:pStyle w:val="PL"/>
        <w:rPr>
          <w:color w:val="808080"/>
        </w:rPr>
      </w:pPr>
      <w:r w:rsidRPr="00FA0D37">
        <w:rPr>
          <w:color w:val="808080"/>
        </w:rPr>
        <w:t>-- TAG-CSI-SSB-RESOURCESETID-START</w:t>
      </w:r>
    </w:p>
    <w:p w14:paraId="71CEDD1A" w14:textId="77777777" w:rsidR="00394471" w:rsidRPr="00FA0D37" w:rsidRDefault="00394471" w:rsidP="00FA0D37">
      <w:pPr>
        <w:pStyle w:val="PL"/>
      </w:pPr>
    </w:p>
    <w:p w14:paraId="28053026" w14:textId="77777777" w:rsidR="00394471" w:rsidRPr="00FA0D37" w:rsidRDefault="00394471" w:rsidP="00FA0D37">
      <w:pPr>
        <w:pStyle w:val="PL"/>
      </w:pPr>
      <w:r w:rsidRPr="00FA0D37">
        <w:t xml:space="preserve">CSI-SSB-ResourceSetId ::=           </w:t>
      </w:r>
      <w:r w:rsidRPr="00FA0D37">
        <w:rPr>
          <w:color w:val="993366"/>
        </w:rPr>
        <w:t>INTEGER</w:t>
      </w:r>
      <w:r w:rsidRPr="00FA0D37">
        <w:t xml:space="preserve"> (0..maxNrofCSI-SSB-ResourceSets-1)</w:t>
      </w:r>
    </w:p>
    <w:p w14:paraId="6A14E576" w14:textId="77777777" w:rsidR="00394471" w:rsidRPr="00FA0D37" w:rsidRDefault="00394471" w:rsidP="00FA0D37">
      <w:pPr>
        <w:pStyle w:val="PL"/>
      </w:pPr>
    </w:p>
    <w:p w14:paraId="3EB3E0E5" w14:textId="77777777" w:rsidR="00394471" w:rsidRPr="00FA0D37" w:rsidRDefault="00394471" w:rsidP="00FA0D37">
      <w:pPr>
        <w:pStyle w:val="PL"/>
        <w:rPr>
          <w:color w:val="808080"/>
        </w:rPr>
      </w:pPr>
      <w:r w:rsidRPr="00FA0D37">
        <w:rPr>
          <w:color w:val="808080"/>
        </w:rPr>
        <w:t>-- TAG-CSI-SSB-RESOURCESETID-STOP</w:t>
      </w:r>
    </w:p>
    <w:p w14:paraId="15C782CB" w14:textId="77777777" w:rsidR="00394471" w:rsidRPr="00FA0D37" w:rsidRDefault="00394471" w:rsidP="00FA0D37">
      <w:pPr>
        <w:pStyle w:val="PL"/>
        <w:rPr>
          <w:color w:val="808080"/>
        </w:rPr>
      </w:pPr>
      <w:r w:rsidRPr="00FA0D37">
        <w:rPr>
          <w:color w:val="808080"/>
        </w:rPr>
        <w:t>-- ASN1STOP</w:t>
      </w:r>
    </w:p>
    <w:p w14:paraId="21F151CE" w14:textId="77777777" w:rsidR="00394471" w:rsidRPr="00FA0D37" w:rsidRDefault="00394471" w:rsidP="00394471"/>
    <w:p w14:paraId="41DC1E2F" w14:textId="77777777" w:rsidR="00394471" w:rsidRPr="00FA0D37" w:rsidRDefault="00394471" w:rsidP="00394471">
      <w:pPr>
        <w:pStyle w:val="4"/>
      </w:pPr>
      <w:bookmarkStart w:id="1007" w:name="_Toc60777227"/>
      <w:bookmarkStart w:id="1008" w:name="_Toc146781274"/>
      <w:r w:rsidRPr="00FA0D37">
        <w:t>–</w:t>
      </w:r>
      <w:r w:rsidRPr="00FA0D37">
        <w:tab/>
      </w:r>
      <w:r w:rsidRPr="00FA0D37">
        <w:rPr>
          <w:i/>
          <w:noProof/>
        </w:rPr>
        <w:t>DedicatedNAS-Message</w:t>
      </w:r>
      <w:bookmarkEnd w:id="1007"/>
      <w:bookmarkEnd w:id="1008"/>
    </w:p>
    <w:p w14:paraId="347EBC74" w14:textId="77777777" w:rsidR="00394471" w:rsidRPr="00FA0D37" w:rsidRDefault="00394471" w:rsidP="00394471">
      <w:pPr>
        <w:tabs>
          <w:tab w:val="left" w:pos="2448"/>
        </w:tabs>
      </w:pPr>
      <w:r w:rsidRPr="00FA0D37">
        <w:t xml:space="preserve">The IE </w:t>
      </w:r>
      <w:r w:rsidRPr="00FA0D37">
        <w:rPr>
          <w:i/>
          <w:noProof/>
        </w:rPr>
        <w:t xml:space="preserve">DedicatedNAS-Message </w:t>
      </w:r>
      <w:r w:rsidRPr="00FA0D37">
        <w:t>is used to transfer UE specific NAS layer information between the 5GC CN and the UE. The RRC layer is transparent for this information.</w:t>
      </w:r>
    </w:p>
    <w:p w14:paraId="7D107DA3" w14:textId="77777777" w:rsidR="00394471" w:rsidRPr="00FA0D37" w:rsidRDefault="00394471" w:rsidP="00394471">
      <w:pPr>
        <w:pStyle w:val="TH"/>
      </w:pPr>
      <w:r w:rsidRPr="00FA0D37">
        <w:rPr>
          <w:bCs/>
          <w:i/>
          <w:iCs/>
        </w:rPr>
        <w:t xml:space="preserve">DedicatedNAS-Message </w:t>
      </w:r>
      <w:r w:rsidRPr="00FA0D37">
        <w:t>information element</w:t>
      </w:r>
    </w:p>
    <w:p w14:paraId="7CB0CBB3" w14:textId="77777777" w:rsidR="00394471" w:rsidRPr="00FA0D37" w:rsidRDefault="00394471" w:rsidP="00FA0D37">
      <w:pPr>
        <w:pStyle w:val="PL"/>
        <w:rPr>
          <w:color w:val="808080"/>
        </w:rPr>
      </w:pPr>
      <w:r w:rsidRPr="00FA0D37">
        <w:rPr>
          <w:color w:val="808080"/>
        </w:rPr>
        <w:t>-- ASN1START</w:t>
      </w:r>
    </w:p>
    <w:p w14:paraId="25838B0A" w14:textId="77777777" w:rsidR="00394471" w:rsidRPr="00FA0D37" w:rsidRDefault="00394471" w:rsidP="00FA0D37">
      <w:pPr>
        <w:pStyle w:val="PL"/>
        <w:rPr>
          <w:color w:val="808080"/>
        </w:rPr>
      </w:pPr>
      <w:r w:rsidRPr="00FA0D37">
        <w:rPr>
          <w:color w:val="808080"/>
        </w:rPr>
        <w:t>-- TAG-DEDICATED-NAS-MESSAGE-START</w:t>
      </w:r>
    </w:p>
    <w:p w14:paraId="4279BF99" w14:textId="77777777" w:rsidR="00394471" w:rsidRPr="00FA0D37" w:rsidRDefault="00394471" w:rsidP="00FA0D37">
      <w:pPr>
        <w:pStyle w:val="PL"/>
      </w:pPr>
    </w:p>
    <w:p w14:paraId="53B81690" w14:textId="77777777" w:rsidR="00394471" w:rsidRPr="00FA0D37" w:rsidRDefault="00394471" w:rsidP="00FA0D37">
      <w:pPr>
        <w:pStyle w:val="PL"/>
      </w:pPr>
      <w:r w:rsidRPr="00FA0D37">
        <w:t xml:space="preserve">DedicatedNAS-Message ::=        </w:t>
      </w:r>
      <w:r w:rsidRPr="00FA0D37">
        <w:rPr>
          <w:color w:val="993366"/>
        </w:rPr>
        <w:t>OCTET</w:t>
      </w:r>
      <w:r w:rsidRPr="00FA0D37">
        <w:t xml:space="preserve"> </w:t>
      </w:r>
      <w:r w:rsidRPr="00FA0D37">
        <w:rPr>
          <w:color w:val="993366"/>
        </w:rPr>
        <w:t>STRING</w:t>
      </w:r>
    </w:p>
    <w:p w14:paraId="5846852D" w14:textId="77777777" w:rsidR="00394471" w:rsidRPr="00FA0D37" w:rsidRDefault="00394471" w:rsidP="00FA0D37">
      <w:pPr>
        <w:pStyle w:val="PL"/>
      </w:pPr>
    </w:p>
    <w:p w14:paraId="246FFAA6" w14:textId="77777777" w:rsidR="00394471" w:rsidRPr="00FA0D37" w:rsidRDefault="00394471" w:rsidP="00FA0D37">
      <w:pPr>
        <w:pStyle w:val="PL"/>
        <w:rPr>
          <w:color w:val="808080"/>
        </w:rPr>
      </w:pPr>
      <w:r w:rsidRPr="00FA0D37">
        <w:rPr>
          <w:color w:val="808080"/>
        </w:rPr>
        <w:t>-- TAG-DEDICATED-NAS-MESSAGE-STOP</w:t>
      </w:r>
    </w:p>
    <w:p w14:paraId="76EF69F9" w14:textId="77777777" w:rsidR="00394471" w:rsidRPr="00FA0D37" w:rsidRDefault="00394471" w:rsidP="00FA0D37">
      <w:pPr>
        <w:pStyle w:val="PL"/>
        <w:rPr>
          <w:color w:val="808080"/>
        </w:rPr>
      </w:pPr>
      <w:r w:rsidRPr="00FA0D37">
        <w:rPr>
          <w:color w:val="808080"/>
        </w:rPr>
        <w:t>-- ASN1STOP</w:t>
      </w:r>
    </w:p>
    <w:p w14:paraId="59C17416" w14:textId="7B664D60" w:rsidR="00394471" w:rsidRPr="00FA0D37" w:rsidRDefault="00394471" w:rsidP="00394471"/>
    <w:p w14:paraId="56DCEF78" w14:textId="55D9AD41" w:rsidR="009B1D75" w:rsidRPr="00FA0D37" w:rsidRDefault="009B1D75" w:rsidP="009B1D75">
      <w:pPr>
        <w:pStyle w:val="4"/>
        <w:rPr>
          <w:i/>
        </w:rPr>
      </w:pPr>
      <w:bookmarkStart w:id="1009" w:name="_Toc146781275"/>
      <w:r w:rsidRPr="00FA0D37">
        <w:t>–</w:t>
      </w:r>
      <w:r w:rsidRPr="00FA0D37">
        <w:tab/>
      </w:r>
      <w:r w:rsidRPr="00FA0D37">
        <w:rPr>
          <w:i/>
        </w:rPr>
        <w:t>DL-</w:t>
      </w:r>
      <w:r w:rsidR="00212830" w:rsidRPr="00FA0D37">
        <w:rPr>
          <w:i/>
        </w:rPr>
        <w:t>PPW-</w:t>
      </w:r>
      <w:r w:rsidRPr="00FA0D37">
        <w:rPr>
          <w:i/>
        </w:rPr>
        <w:t>PreConfig</w:t>
      </w:r>
      <w:bookmarkEnd w:id="1009"/>
    </w:p>
    <w:p w14:paraId="74DBC4D4" w14:textId="7D087C2E" w:rsidR="009B1D75" w:rsidRPr="00FA0D37" w:rsidRDefault="009B1D75" w:rsidP="009B1D75">
      <w:r w:rsidRPr="00FA0D37">
        <w:t xml:space="preserve">The IE </w:t>
      </w:r>
      <w:r w:rsidRPr="00FA0D37">
        <w:rPr>
          <w:i/>
        </w:rPr>
        <w:t>DL-</w:t>
      </w:r>
      <w:r w:rsidR="00212830" w:rsidRPr="00FA0D37">
        <w:rPr>
          <w:i/>
        </w:rPr>
        <w:t>PPW-</w:t>
      </w:r>
      <w:r w:rsidRPr="00FA0D37">
        <w:rPr>
          <w:i/>
        </w:rPr>
        <w:t xml:space="preserve">PreConfig </w:t>
      </w:r>
      <w:r w:rsidR="00212830" w:rsidRPr="00FA0D37">
        <w:t xml:space="preserve">provides configuration for a measurement window where a UE </w:t>
      </w:r>
      <w:r w:rsidR="00212830" w:rsidRPr="00FA0D37">
        <w:rPr>
          <w:shd w:val="clear" w:color="auto" w:fill="FFFFFF"/>
        </w:rPr>
        <w:t>is expected to measure the DL PRS</w:t>
      </w:r>
      <w:r w:rsidR="00212830" w:rsidRPr="00FA0D37">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FA0D37" w:rsidRDefault="00480E01" w:rsidP="00480E01">
      <w:pPr>
        <w:pStyle w:val="TH"/>
      </w:pPr>
      <w:r w:rsidRPr="00FA0D37">
        <w:rPr>
          <w:i/>
          <w:iCs/>
        </w:rPr>
        <w:lastRenderedPageBreak/>
        <w:t>DL-</w:t>
      </w:r>
      <w:r w:rsidR="00212830" w:rsidRPr="00FA0D37">
        <w:rPr>
          <w:i/>
          <w:iCs/>
        </w:rPr>
        <w:t>PPW-</w:t>
      </w:r>
      <w:r w:rsidRPr="00FA0D37">
        <w:rPr>
          <w:i/>
          <w:iCs/>
        </w:rPr>
        <w:t>PreConfig</w:t>
      </w:r>
      <w:r w:rsidRPr="00FA0D37">
        <w:t xml:space="preserve"> information element</w:t>
      </w:r>
    </w:p>
    <w:p w14:paraId="2E1AEAFC" w14:textId="77777777" w:rsidR="009B1D75" w:rsidRPr="00FA0D37" w:rsidRDefault="009B1D75" w:rsidP="00FA0D37">
      <w:pPr>
        <w:pStyle w:val="PL"/>
        <w:rPr>
          <w:color w:val="808080"/>
        </w:rPr>
      </w:pPr>
      <w:r w:rsidRPr="00FA0D37">
        <w:rPr>
          <w:color w:val="808080"/>
        </w:rPr>
        <w:t>-- ASN1START</w:t>
      </w:r>
    </w:p>
    <w:p w14:paraId="59B583A9" w14:textId="567489D4" w:rsidR="009B1D75" w:rsidRPr="00FA0D37" w:rsidRDefault="009B1D75" w:rsidP="00FA0D37">
      <w:pPr>
        <w:pStyle w:val="PL"/>
        <w:rPr>
          <w:color w:val="808080"/>
        </w:rPr>
      </w:pPr>
      <w:r w:rsidRPr="00FA0D37">
        <w:rPr>
          <w:color w:val="808080"/>
        </w:rPr>
        <w:t>-- TAG-DL-</w:t>
      </w:r>
      <w:r w:rsidR="00212830" w:rsidRPr="00FA0D37">
        <w:rPr>
          <w:color w:val="808080"/>
        </w:rPr>
        <w:t>PPW-</w:t>
      </w:r>
      <w:r w:rsidRPr="00FA0D37">
        <w:rPr>
          <w:color w:val="808080"/>
        </w:rPr>
        <w:t>PRECONFIG-START</w:t>
      </w:r>
    </w:p>
    <w:p w14:paraId="2388DA7D" w14:textId="77777777" w:rsidR="009B1D75" w:rsidRPr="00FA0D37" w:rsidRDefault="009B1D75" w:rsidP="00FA0D37">
      <w:pPr>
        <w:pStyle w:val="PL"/>
      </w:pPr>
    </w:p>
    <w:p w14:paraId="5432BD0F" w14:textId="3CBAABE0" w:rsidR="009B1D75" w:rsidRPr="00FA0D37" w:rsidRDefault="009B1D75" w:rsidP="00FA0D37">
      <w:pPr>
        <w:pStyle w:val="PL"/>
      </w:pPr>
      <w:r w:rsidRPr="00FA0D37">
        <w:t>DL-</w:t>
      </w:r>
      <w:r w:rsidR="00212830" w:rsidRPr="00FA0D37">
        <w:t>PPW-</w:t>
      </w:r>
      <w:r w:rsidRPr="00FA0D37">
        <w:t xml:space="preserve">PreConfig-r17 ::= </w:t>
      </w:r>
      <w:r w:rsidRPr="00FA0D37">
        <w:rPr>
          <w:color w:val="993366"/>
        </w:rPr>
        <w:t>SEQUENCE</w:t>
      </w:r>
      <w:r w:rsidRPr="00FA0D37">
        <w:t xml:space="preserve"> {</w:t>
      </w:r>
    </w:p>
    <w:p w14:paraId="398BC583" w14:textId="0C659D1F" w:rsidR="009B1D75" w:rsidRPr="00FA0D37" w:rsidRDefault="009B1D75" w:rsidP="00FA0D37">
      <w:pPr>
        <w:pStyle w:val="PL"/>
      </w:pPr>
      <w:r w:rsidRPr="00FA0D37">
        <w:t xml:space="preserve">    dl-</w:t>
      </w:r>
      <w:r w:rsidR="00212830" w:rsidRPr="00FA0D37">
        <w:t>PPW-</w:t>
      </w:r>
      <w:r w:rsidRPr="00FA0D37">
        <w:t xml:space="preserve">ID-r17            </w:t>
      </w:r>
      <w:r w:rsidR="00212830" w:rsidRPr="00FA0D37">
        <w:t>DL-PPW-ID-r17,</w:t>
      </w:r>
    </w:p>
    <w:p w14:paraId="0B31EAB1" w14:textId="62DFE8EB" w:rsidR="00212830" w:rsidRPr="00FA0D37" w:rsidRDefault="00212830" w:rsidP="00FA0D37">
      <w:pPr>
        <w:pStyle w:val="PL"/>
      </w:pPr>
      <w:r w:rsidRPr="00FA0D37">
        <w:t xml:space="preserve">    dl-PPW-Periodicity</w:t>
      </w:r>
      <w:r w:rsidR="00CB6369" w:rsidRPr="00FA0D37">
        <w:t>A</w:t>
      </w:r>
      <w:r w:rsidRPr="00FA0D37">
        <w:t>ndStartSlot-r17     DL-PPW-Periodicity</w:t>
      </w:r>
      <w:r w:rsidR="00CB6369" w:rsidRPr="00FA0D37">
        <w:t>A</w:t>
      </w:r>
      <w:r w:rsidRPr="00FA0D37">
        <w:t>ndStartSlot-r17,</w:t>
      </w:r>
    </w:p>
    <w:p w14:paraId="53545B1F" w14:textId="613E32AC" w:rsidR="009B1D75" w:rsidRPr="00FA0D37" w:rsidRDefault="009B1D75" w:rsidP="00FA0D37">
      <w:pPr>
        <w:pStyle w:val="PL"/>
      </w:pPr>
      <w:r w:rsidRPr="00FA0D37">
        <w:t xml:space="preserve">    length-r17                               </w:t>
      </w:r>
      <w:r w:rsidR="00212830" w:rsidRPr="00FA0D37">
        <w:rPr>
          <w:color w:val="993366"/>
        </w:rPr>
        <w:t>INTEGER</w:t>
      </w:r>
      <w:r w:rsidR="00212830" w:rsidRPr="00FA0D37">
        <w:t xml:space="preserve"> (1..160)</w:t>
      </w:r>
      <w:r w:rsidRPr="00FA0D37">
        <w:t>,</w:t>
      </w:r>
    </w:p>
    <w:p w14:paraId="43980DE3" w14:textId="7808572C" w:rsidR="00212830" w:rsidRPr="00FA0D37" w:rsidRDefault="00212830" w:rsidP="00FA0D37">
      <w:pPr>
        <w:pStyle w:val="PL"/>
        <w:rPr>
          <w:color w:val="808080"/>
        </w:rPr>
      </w:pPr>
      <w:r w:rsidRPr="00FA0D37">
        <w:t xml:space="preserve">    type-r17                                 </w:t>
      </w:r>
      <w:r w:rsidRPr="00FA0D37">
        <w:rPr>
          <w:color w:val="993366"/>
        </w:rPr>
        <w:t>ENUMERATED</w:t>
      </w:r>
      <w:r w:rsidRPr="00FA0D37">
        <w:t xml:space="preserve"> {type1A, type1B, type2}                            </w:t>
      </w:r>
      <w:r w:rsidRPr="00FA0D37">
        <w:rPr>
          <w:color w:val="993366"/>
        </w:rPr>
        <w:t>OPTIONAL</w:t>
      </w:r>
      <w:r w:rsidRPr="00FA0D37">
        <w:t xml:space="preserve">, </w:t>
      </w:r>
      <w:r w:rsidRPr="00FA0D37">
        <w:rPr>
          <w:color w:val="808080"/>
        </w:rPr>
        <w:t xml:space="preserve">-- Cond </w:t>
      </w:r>
      <w:r w:rsidR="00571D55" w:rsidRPr="00FA0D37">
        <w:rPr>
          <w:color w:val="808080"/>
        </w:rPr>
        <w:t>M</w:t>
      </w:r>
      <w:r w:rsidRPr="00FA0D37">
        <w:rPr>
          <w:color w:val="808080"/>
        </w:rPr>
        <w:t>ultiType</w:t>
      </w:r>
    </w:p>
    <w:p w14:paraId="23EC7EE5" w14:textId="26E048E9" w:rsidR="009B1D75" w:rsidRPr="00FA0D37" w:rsidRDefault="009B1D75" w:rsidP="00FA0D37">
      <w:pPr>
        <w:pStyle w:val="PL"/>
        <w:rPr>
          <w:color w:val="808080"/>
        </w:rPr>
      </w:pPr>
      <w:r w:rsidRPr="00FA0D37">
        <w:t xml:space="preserve">    priority-r17                             </w:t>
      </w:r>
      <w:r w:rsidRPr="00FA0D37">
        <w:rPr>
          <w:color w:val="993366"/>
        </w:rPr>
        <w:t>ENUMERATED</w:t>
      </w:r>
      <w:r w:rsidRPr="00FA0D37">
        <w:t xml:space="preserve"> {st1, st2, st3}</w:t>
      </w:r>
      <w:r w:rsidR="009F3B91" w:rsidRPr="00FA0D37">
        <w:t xml:space="preserve"> </w:t>
      </w:r>
      <w:r w:rsidR="00212830" w:rsidRPr="00FA0D37">
        <w:t xml:space="preserve">                                   </w:t>
      </w:r>
      <w:r w:rsidR="00212830" w:rsidRPr="00FA0D37">
        <w:rPr>
          <w:color w:val="993366"/>
        </w:rPr>
        <w:t>OPTIONAL</w:t>
      </w:r>
      <w:r w:rsidR="00212830" w:rsidRPr="00FA0D37">
        <w:t xml:space="preserve">  </w:t>
      </w:r>
      <w:r w:rsidR="00212830" w:rsidRPr="00FA0D37">
        <w:rPr>
          <w:color w:val="808080"/>
        </w:rPr>
        <w:t xml:space="preserve">-- Cond </w:t>
      </w:r>
      <w:r w:rsidR="00571D55" w:rsidRPr="00FA0D37">
        <w:rPr>
          <w:color w:val="808080"/>
        </w:rPr>
        <w:t>M</w:t>
      </w:r>
      <w:r w:rsidR="00212830" w:rsidRPr="00FA0D37">
        <w:rPr>
          <w:color w:val="808080"/>
        </w:rPr>
        <w:t>ultiState</w:t>
      </w:r>
    </w:p>
    <w:p w14:paraId="4684C86A" w14:textId="77777777" w:rsidR="009B1D75" w:rsidRPr="00FA0D37" w:rsidRDefault="009B1D75" w:rsidP="00FA0D37">
      <w:pPr>
        <w:pStyle w:val="PL"/>
      </w:pPr>
      <w:r w:rsidRPr="00FA0D37">
        <w:t>}</w:t>
      </w:r>
    </w:p>
    <w:p w14:paraId="700836A7" w14:textId="77777777" w:rsidR="00212830" w:rsidRPr="00FA0D37" w:rsidRDefault="00212830" w:rsidP="00FA0D37">
      <w:pPr>
        <w:pStyle w:val="PL"/>
      </w:pPr>
    </w:p>
    <w:p w14:paraId="06258987" w14:textId="77777777" w:rsidR="00212830" w:rsidRPr="00FA0D37" w:rsidRDefault="00212830" w:rsidP="00FA0D37">
      <w:pPr>
        <w:pStyle w:val="PL"/>
      </w:pPr>
      <w:r w:rsidRPr="00FA0D37">
        <w:t xml:space="preserve">DL-PPW-ID-r17 ::= </w:t>
      </w:r>
      <w:r w:rsidRPr="00FA0D37">
        <w:rPr>
          <w:color w:val="993366"/>
        </w:rPr>
        <w:t>INTEGER</w:t>
      </w:r>
      <w:r w:rsidRPr="00FA0D37">
        <w:t xml:space="preserve">  (0..maxNrofPPW-ID-1-r17)</w:t>
      </w:r>
    </w:p>
    <w:p w14:paraId="6919AB6D" w14:textId="77777777" w:rsidR="00212830" w:rsidRPr="00FA0D37" w:rsidRDefault="00212830" w:rsidP="00FA0D37">
      <w:pPr>
        <w:pStyle w:val="PL"/>
      </w:pPr>
    </w:p>
    <w:p w14:paraId="18D254F5" w14:textId="459DA152" w:rsidR="00212830" w:rsidRPr="00FA0D37" w:rsidRDefault="00212830" w:rsidP="00FA0D37">
      <w:pPr>
        <w:pStyle w:val="PL"/>
      </w:pPr>
      <w:r w:rsidRPr="00FA0D37">
        <w:t>DL-PPW-Periodicity</w:t>
      </w:r>
      <w:r w:rsidR="00CB6369" w:rsidRPr="00FA0D37">
        <w:t>A</w:t>
      </w:r>
      <w:r w:rsidRPr="00FA0D37">
        <w:t xml:space="preserve">ndStartSlot-r17 ::= </w:t>
      </w:r>
      <w:r w:rsidRPr="00FA0D37">
        <w:rPr>
          <w:color w:val="993366"/>
        </w:rPr>
        <w:t>CHOICE</w:t>
      </w:r>
      <w:r w:rsidRPr="00FA0D37">
        <w:t xml:space="preserve"> {</w:t>
      </w:r>
    </w:p>
    <w:p w14:paraId="5812051B" w14:textId="4B429F21" w:rsidR="00212830" w:rsidRPr="00FA0D37" w:rsidRDefault="00212830" w:rsidP="00FA0D37">
      <w:pPr>
        <w:pStyle w:val="PL"/>
      </w:pPr>
      <w:r w:rsidRPr="00FA0D37">
        <w:t xml:space="preserve">    scs15                                </w:t>
      </w:r>
      <w:r w:rsidR="00F35EF5" w:rsidRPr="00FA0D37">
        <w:t xml:space="preserve">    </w:t>
      </w:r>
      <w:r w:rsidRPr="00FA0D37">
        <w:rPr>
          <w:color w:val="993366"/>
        </w:rPr>
        <w:t>CHOICE</w:t>
      </w:r>
      <w:r w:rsidRPr="00FA0D37">
        <w:t xml:space="preserve"> {</w:t>
      </w:r>
    </w:p>
    <w:p w14:paraId="465ACF4D" w14:textId="55DF94BF" w:rsidR="00212830" w:rsidRPr="00FA0D37" w:rsidRDefault="00212830" w:rsidP="00FA0D37">
      <w:pPr>
        <w:pStyle w:val="PL"/>
      </w:pPr>
      <w:r w:rsidRPr="00FA0D37">
        <w:t xml:space="preserve">                      n4                     </w:t>
      </w:r>
      <w:r w:rsidR="00F35EF5" w:rsidRPr="00FA0D37">
        <w:t xml:space="preserve">    </w:t>
      </w:r>
      <w:r w:rsidRPr="00FA0D37">
        <w:rPr>
          <w:color w:val="993366"/>
        </w:rPr>
        <w:t>INTEGER</w:t>
      </w:r>
      <w:r w:rsidRPr="00FA0D37">
        <w:t xml:space="preserve"> (0..3),</w:t>
      </w:r>
    </w:p>
    <w:p w14:paraId="24CF856E" w14:textId="7D5A4278" w:rsidR="00212830" w:rsidRPr="00FA0D37" w:rsidRDefault="00212830" w:rsidP="00FA0D37">
      <w:pPr>
        <w:pStyle w:val="PL"/>
      </w:pPr>
      <w:r w:rsidRPr="00FA0D37">
        <w:t xml:space="preserve">                      n5                     </w:t>
      </w:r>
      <w:r w:rsidR="00F35EF5" w:rsidRPr="00FA0D37">
        <w:t xml:space="preserve">    </w:t>
      </w:r>
      <w:r w:rsidRPr="00FA0D37">
        <w:rPr>
          <w:color w:val="993366"/>
        </w:rPr>
        <w:t>INTEGER</w:t>
      </w:r>
      <w:r w:rsidRPr="00FA0D37">
        <w:t xml:space="preserve"> (0..4),</w:t>
      </w:r>
    </w:p>
    <w:p w14:paraId="483E993D" w14:textId="0AB4E2B1" w:rsidR="00212830" w:rsidRPr="00FA0D37" w:rsidRDefault="00212830" w:rsidP="00FA0D37">
      <w:pPr>
        <w:pStyle w:val="PL"/>
      </w:pPr>
      <w:r w:rsidRPr="00FA0D37">
        <w:t xml:space="preserve">                      n8                     </w:t>
      </w:r>
      <w:r w:rsidR="00F35EF5" w:rsidRPr="00FA0D37">
        <w:t xml:space="preserve">    </w:t>
      </w:r>
      <w:r w:rsidRPr="00FA0D37">
        <w:rPr>
          <w:color w:val="993366"/>
        </w:rPr>
        <w:t>INTEGER</w:t>
      </w:r>
      <w:r w:rsidRPr="00FA0D37">
        <w:t xml:space="preserve"> (0..7),</w:t>
      </w:r>
    </w:p>
    <w:p w14:paraId="24898F8E" w14:textId="586965C2" w:rsidR="00212830" w:rsidRPr="00FA0D37" w:rsidRDefault="00212830" w:rsidP="00FA0D37">
      <w:pPr>
        <w:pStyle w:val="PL"/>
      </w:pPr>
      <w:r w:rsidRPr="00FA0D37">
        <w:t xml:space="preserve">                      n10                    </w:t>
      </w:r>
      <w:r w:rsidR="00F35EF5" w:rsidRPr="00FA0D37">
        <w:t xml:space="preserve">    </w:t>
      </w:r>
      <w:r w:rsidRPr="00FA0D37">
        <w:rPr>
          <w:color w:val="993366"/>
        </w:rPr>
        <w:t>INTEGER</w:t>
      </w:r>
      <w:r w:rsidRPr="00FA0D37">
        <w:t xml:space="preserve"> (0..9),</w:t>
      </w:r>
    </w:p>
    <w:p w14:paraId="4C54FE9F" w14:textId="5E71ABED" w:rsidR="00212830" w:rsidRPr="00FA0D37" w:rsidRDefault="00212830" w:rsidP="00FA0D37">
      <w:pPr>
        <w:pStyle w:val="PL"/>
      </w:pPr>
      <w:r w:rsidRPr="00FA0D37">
        <w:t xml:space="preserve">                      n16                    </w:t>
      </w:r>
      <w:r w:rsidR="00F35EF5" w:rsidRPr="00FA0D37">
        <w:t xml:space="preserve">    </w:t>
      </w:r>
      <w:r w:rsidRPr="00FA0D37">
        <w:rPr>
          <w:color w:val="993366"/>
        </w:rPr>
        <w:t>INTEGER</w:t>
      </w:r>
      <w:r w:rsidRPr="00FA0D37">
        <w:t xml:space="preserve"> (0..15),</w:t>
      </w:r>
    </w:p>
    <w:p w14:paraId="73B8F0E7" w14:textId="49DD84E1" w:rsidR="00212830" w:rsidRPr="00FA0D37" w:rsidRDefault="00212830" w:rsidP="00FA0D37">
      <w:pPr>
        <w:pStyle w:val="PL"/>
      </w:pPr>
      <w:r w:rsidRPr="00FA0D37">
        <w:t xml:space="preserve">                      n20                    </w:t>
      </w:r>
      <w:r w:rsidR="00F35EF5" w:rsidRPr="00FA0D37">
        <w:t xml:space="preserve">    </w:t>
      </w:r>
      <w:r w:rsidRPr="00FA0D37">
        <w:rPr>
          <w:color w:val="993366"/>
        </w:rPr>
        <w:t>INTEGER</w:t>
      </w:r>
      <w:r w:rsidRPr="00FA0D37">
        <w:t xml:space="preserve"> (0..19),</w:t>
      </w:r>
    </w:p>
    <w:p w14:paraId="18FEB147" w14:textId="523F8726" w:rsidR="00212830" w:rsidRPr="00FA0D37" w:rsidRDefault="00212830" w:rsidP="00FA0D37">
      <w:pPr>
        <w:pStyle w:val="PL"/>
      </w:pPr>
      <w:r w:rsidRPr="00FA0D37">
        <w:t xml:space="preserve">                      n32                    </w:t>
      </w:r>
      <w:r w:rsidR="00F35EF5" w:rsidRPr="00FA0D37">
        <w:t xml:space="preserve">    </w:t>
      </w:r>
      <w:r w:rsidRPr="00FA0D37">
        <w:rPr>
          <w:color w:val="993366"/>
        </w:rPr>
        <w:t>INTEGER</w:t>
      </w:r>
      <w:r w:rsidRPr="00FA0D37">
        <w:t xml:space="preserve"> (0..31),</w:t>
      </w:r>
    </w:p>
    <w:p w14:paraId="7DE39EDF" w14:textId="6A30ADB8" w:rsidR="00212830" w:rsidRPr="00FA0D37" w:rsidRDefault="00212830" w:rsidP="00FA0D37">
      <w:pPr>
        <w:pStyle w:val="PL"/>
      </w:pPr>
      <w:r w:rsidRPr="00FA0D37">
        <w:t xml:space="preserve">                      n40                    </w:t>
      </w:r>
      <w:r w:rsidR="00F35EF5" w:rsidRPr="00FA0D37">
        <w:t xml:space="preserve">    </w:t>
      </w:r>
      <w:r w:rsidRPr="00FA0D37">
        <w:rPr>
          <w:color w:val="993366"/>
        </w:rPr>
        <w:t>INTEGER</w:t>
      </w:r>
      <w:r w:rsidRPr="00FA0D37">
        <w:t xml:space="preserve"> (0..39),</w:t>
      </w:r>
    </w:p>
    <w:p w14:paraId="2052C60D" w14:textId="688561C7" w:rsidR="00212830" w:rsidRPr="00FA0D37" w:rsidRDefault="00212830" w:rsidP="00FA0D37">
      <w:pPr>
        <w:pStyle w:val="PL"/>
      </w:pPr>
      <w:r w:rsidRPr="00FA0D37">
        <w:t xml:space="preserve">                      n64                    </w:t>
      </w:r>
      <w:r w:rsidR="00F35EF5" w:rsidRPr="00FA0D37">
        <w:t xml:space="preserve">    </w:t>
      </w:r>
      <w:r w:rsidRPr="00FA0D37">
        <w:rPr>
          <w:color w:val="993366"/>
        </w:rPr>
        <w:t>INTEGER</w:t>
      </w:r>
      <w:r w:rsidRPr="00FA0D37">
        <w:t xml:space="preserve"> (0..63),</w:t>
      </w:r>
    </w:p>
    <w:p w14:paraId="2284B013" w14:textId="60050BBF" w:rsidR="00212830" w:rsidRPr="00FA0D37" w:rsidRDefault="00212830" w:rsidP="00FA0D37">
      <w:pPr>
        <w:pStyle w:val="PL"/>
      </w:pPr>
      <w:r w:rsidRPr="00FA0D37">
        <w:t xml:space="preserve">                      n80                    </w:t>
      </w:r>
      <w:r w:rsidR="00F35EF5" w:rsidRPr="00FA0D37">
        <w:t xml:space="preserve">    </w:t>
      </w:r>
      <w:r w:rsidRPr="00FA0D37">
        <w:rPr>
          <w:color w:val="993366"/>
        </w:rPr>
        <w:t>INTEGER</w:t>
      </w:r>
      <w:r w:rsidRPr="00FA0D37">
        <w:t xml:space="preserve"> (0..79),</w:t>
      </w:r>
    </w:p>
    <w:p w14:paraId="57638A17" w14:textId="3CA09346" w:rsidR="00212830" w:rsidRPr="00FA0D37" w:rsidRDefault="00212830" w:rsidP="00FA0D37">
      <w:pPr>
        <w:pStyle w:val="PL"/>
      </w:pPr>
      <w:r w:rsidRPr="00FA0D37">
        <w:t xml:space="preserve">                      n160                   </w:t>
      </w:r>
      <w:r w:rsidR="00F35EF5" w:rsidRPr="00FA0D37">
        <w:t xml:space="preserve">    </w:t>
      </w:r>
      <w:r w:rsidRPr="00FA0D37">
        <w:rPr>
          <w:color w:val="993366"/>
        </w:rPr>
        <w:t>INTEGER</w:t>
      </w:r>
      <w:r w:rsidRPr="00FA0D37">
        <w:t xml:space="preserve"> (0..159),</w:t>
      </w:r>
    </w:p>
    <w:p w14:paraId="20B56F3F" w14:textId="773ECC0D" w:rsidR="00212830" w:rsidRPr="00FA0D37" w:rsidRDefault="00212830" w:rsidP="00FA0D37">
      <w:pPr>
        <w:pStyle w:val="PL"/>
      </w:pPr>
      <w:r w:rsidRPr="00FA0D37">
        <w:t xml:space="preserve">                      n320                   </w:t>
      </w:r>
      <w:r w:rsidR="00F35EF5" w:rsidRPr="00FA0D37">
        <w:t xml:space="preserve">    </w:t>
      </w:r>
      <w:r w:rsidRPr="00FA0D37">
        <w:rPr>
          <w:color w:val="993366"/>
        </w:rPr>
        <w:t>INTEGER</w:t>
      </w:r>
      <w:r w:rsidRPr="00FA0D37">
        <w:t xml:space="preserve"> (0..319),</w:t>
      </w:r>
    </w:p>
    <w:p w14:paraId="6B798406" w14:textId="3F2716F1" w:rsidR="00212830" w:rsidRPr="00FA0D37" w:rsidRDefault="00212830" w:rsidP="00FA0D37">
      <w:pPr>
        <w:pStyle w:val="PL"/>
      </w:pPr>
      <w:r w:rsidRPr="00FA0D37">
        <w:t xml:space="preserve">                      n640                   </w:t>
      </w:r>
      <w:r w:rsidR="00F35EF5" w:rsidRPr="00FA0D37">
        <w:t xml:space="preserve">    </w:t>
      </w:r>
      <w:r w:rsidRPr="00FA0D37">
        <w:rPr>
          <w:color w:val="993366"/>
        </w:rPr>
        <w:t>INTEGER</w:t>
      </w:r>
      <w:r w:rsidRPr="00FA0D37">
        <w:t xml:space="preserve"> (0..639),</w:t>
      </w:r>
    </w:p>
    <w:p w14:paraId="2FCAC69A" w14:textId="59A7FE15" w:rsidR="00212830" w:rsidRPr="00FA0D37" w:rsidRDefault="00212830" w:rsidP="00FA0D37">
      <w:pPr>
        <w:pStyle w:val="PL"/>
      </w:pPr>
      <w:r w:rsidRPr="00FA0D37">
        <w:t xml:space="preserve">                      n1280                  </w:t>
      </w:r>
      <w:r w:rsidR="00F35EF5" w:rsidRPr="00FA0D37">
        <w:t xml:space="preserve">    </w:t>
      </w:r>
      <w:r w:rsidRPr="00FA0D37">
        <w:rPr>
          <w:color w:val="993366"/>
        </w:rPr>
        <w:t>INTEGER</w:t>
      </w:r>
      <w:r w:rsidRPr="00FA0D37">
        <w:t xml:space="preserve"> (0..1279),</w:t>
      </w:r>
    </w:p>
    <w:p w14:paraId="1131D57E" w14:textId="1CCB4000" w:rsidR="00212830" w:rsidRPr="00FA0D37" w:rsidRDefault="00212830" w:rsidP="00FA0D37">
      <w:pPr>
        <w:pStyle w:val="PL"/>
      </w:pPr>
      <w:r w:rsidRPr="00FA0D37">
        <w:t xml:space="preserve">                      n2560                  </w:t>
      </w:r>
      <w:r w:rsidR="00F35EF5" w:rsidRPr="00FA0D37">
        <w:t xml:space="preserve">    </w:t>
      </w:r>
      <w:r w:rsidRPr="00FA0D37">
        <w:rPr>
          <w:color w:val="993366"/>
        </w:rPr>
        <w:t>INTEGER</w:t>
      </w:r>
      <w:r w:rsidRPr="00FA0D37">
        <w:t xml:space="preserve"> (0..2559),</w:t>
      </w:r>
    </w:p>
    <w:p w14:paraId="3FD80A8E" w14:textId="3C6307B5" w:rsidR="00212830" w:rsidRPr="00FA0D37" w:rsidRDefault="00212830" w:rsidP="00FA0D37">
      <w:pPr>
        <w:pStyle w:val="PL"/>
      </w:pPr>
      <w:r w:rsidRPr="00FA0D37">
        <w:t xml:space="preserve">                      n5120                  </w:t>
      </w:r>
      <w:r w:rsidR="00F35EF5" w:rsidRPr="00FA0D37">
        <w:t xml:space="preserve">    </w:t>
      </w:r>
      <w:r w:rsidRPr="00FA0D37">
        <w:rPr>
          <w:color w:val="993366"/>
        </w:rPr>
        <w:t>INTEGER</w:t>
      </w:r>
      <w:r w:rsidRPr="00FA0D37">
        <w:t xml:space="preserve"> (0..5119),</w:t>
      </w:r>
    </w:p>
    <w:p w14:paraId="5E19C3DF" w14:textId="25907825" w:rsidR="00212830" w:rsidRPr="00FA0D37" w:rsidRDefault="00212830" w:rsidP="00FA0D37">
      <w:pPr>
        <w:pStyle w:val="PL"/>
      </w:pPr>
      <w:r w:rsidRPr="00FA0D37">
        <w:t xml:space="preserve">                      n10240                 </w:t>
      </w:r>
      <w:r w:rsidR="00F35EF5" w:rsidRPr="00FA0D37">
        <w:t xml:space="preserve">    </w:t>
      </w:r>
      <w:r w:rsidRPr="00FA0D37">
        <w:rPr>
          <w:color w:val="993366"/>
        </w:rPr>
        <w:t>INTEGER</w:t>
      </w:r>
      <w:r w:rsidRPr="00FA0D37">
        <w:t xml:space="preserve"> (0..10239),</w:t>
      </w:r>
    </w:p>
    <w:p w14:paraId="1D7C3D7F" w14:textId="15CDCAB4" w:rsidR="00212830" w:rsidRPr="00FA0D37" w:rsidRDefault="00212830" w:rsidP="00FA0D37">
      <w:pPr>
        <w:pStyle w:val="PL"/>
      </w:pPr>
      <w:r w:rsidRPr="00FA0D37">
        <w:t xml:space="preserve">                     ...</w:t>
      </w:r>
    </w:p>
    <w:p w14:paraId="424FF1CD" w14:textId="1F7105EE" w:rsidR="00212830" w:rsidRPr="00FA0D37" w:rsidRDefault="00212830" w:rsidP="00FA0D37">
      <w:pPr>
        <w:pStyle w:val="PL"/>
      </w:pPr>
      <w:r w:rsidRPr="00FA0D37">
        <w:t xml:space="preserve">    },</w:t>
      </w:r>
    </w:p>
    <w:p w14:paraId="0FFC15F3" w14:textId="325DE3BB" w:rsidR="00212830" w:rsidRPr="00FA0D37" w:rsidRDefault="00212830" w:rsidP="00FA0D37">
      <w:pPr>
        <w:pStyle w:val="PL"/>
      </w:pPr>
      <w:r w:rsidRPr="00FA0D37">
        <w:t xml:space="preserve">    scs30                                </w:t>
      </w:r>
      <w:r w:rsidR="00F35EF5" w:rsidRPr="00FA0D37">
        <w:t xml:space="preserve">    </w:t>
      </w:r>
      <w:r w:rsidRPr="00FA0D37">
        <w:rPr>
          <w:color w:val="993366"/>
        </w:rPr>
        <w:t>CHOICE</w:t>
      </w:r>
      <w:r w:rsidRPr="00FA0D37">
        <w:t xml:space="preserve"> {</w:t>
      </w:r>
    </w:p>
    <w:p w14:paraId="54E2C1E6" w14:textId="56F650ED" w:rsidR="00212830" w:rsidRPr="00FA0D37" w:rsidRDefault="00212830" w:rsidP="00FA0D37">
      <w:pPr>
        <w:pStyle w:val="PL"/>
      </w:pPr>
      <w:r w:rsidRPr="00FA0D37">
        <w:t xml:space="preserve">                      n8                     </w:t>
      </w:r>
      <w:r w:rsidR="00F35EF5" w:rsidRPr="00FA0D37">
        <w:t xml:space="preserve">    </w:t>
      </w:r>
      <w:r w:rsidRPr="00FA0D37">
        <w:rPr>
          <w:color w:val="993366"/>
        </w:rPr>
        <w:t>INTEGER</w:t>
      </w:r>
      <w:r w:rsidRPr="00FA0D37">
        <w:t xml:space="preserve"> (0..7),</w:t>
      </w:r>
    </w:p>
    <w:p w14:paraId="1A357E5B" w14:textId="428B85B0" w:rsidR="00212830" w:rsidRPr="00FA0D37" w:rsidRDefault="00212830" w:rsidP="00FA0D37">
      <w:pPr>
        <w:pStyle w:val="PL"/>
      </w:pPr>
      <w:r w:rsidRPr="00FA0D37">
        <w:t xml:space="preserve">                      n10                    </w:t>
      </w:r>
      <w:r w:rsidR="00F35EF5" w:rsidRPr="00FA0D37">
        <w:t xml:space="preserve">    </w:t>
      </w:r>
      <w:r w:rsidRPr="00FA0D37">
        <w:rPr>
          <w:color w:val="993366"/>
        </w:rPr>
        <w:t>INTEGER</w:t>
      </w:r>
      <w:r w:rsidRPr="00FA0D37">
        <w:t xml:space="preserve"> (0..9),</w:t>
      </w:r>
    </w:p>
    <w:p w14:paraId="113D2ED2" w14:textId="7D9498DC" w:rsidR="00212830" w:rsidRPr="00FA0D37" w:rsidRDefault="00212830" w:rsidP="00FA0D37">
      <w:pPr>
        <w:pStyle w:val="PL"/>
      </w:pPr>
      <w:r w:rsidRPr="00FA0D37">
        <w:t xml:space="preserve">                      n16                    </w:t>
      </w:r>
      <w:r w:rsidR="00F35EF5" w:rsidRPr="00FA0D37">
        <w:t xml:space="preserve">    </w:t>
      </w:r>
      <w:r w:rsidRPr="00FA0D37">
        <w:rPr>
          <w:color w:val="993366"/>
        </w:rPr>
        <w:t>INTEGER</w:t>
      </w:r>
      <w:r w:rsidRPr="00FA0D37">
        <w:t xml:space="preserve"> (0..15),</w:t>
      </w:r>
    </w:p>
    <w:p w14:paraId="7339E5E2" w14:textId="48B92DA7" w:rsidR="00212830" w:rsidRPr="00FA0D37" w:rsidRDefault="00212830" w:rsidP="00FA0D37">
      <w:pPr>
        <w:pStyle w:val="PL"/>
      </w:pPr>
      <w:r w:rsidRPr="00FA0D37">
        <w:t xml:space="preserve">                      n20                    </w:t>
      </w:r>
      <w:r w:rsidR="00F35EF5" w:rsidRPr="00FA0D37">
        <w:t xml:space="preserve">    </w:t>
      </w:r>
      <w:r w:rsidRPr="00FA0D37">
        <w:rPr>
          <w:color w:val="993366"/>
        </w:rPr>
        <w:t>INTEGER</w:t>
      </w:r>
      <w:r w:rsidRPr="00FA0D37">
        <w:t xml:space="preserve"> (0..19),</w:t>
      </w:r>
    </w:p>
    <w:p w14:paraId="0F3506C4" w14:textId="031931B8" w:rsidR="00212830" w:rsidRPr="00FA0D37" w:rsidRDefault="00212830" w:rsidP="00FA0D37">
      <w:pPr>
        <w:pStyle w:val="PL"/>
      </w:pPr>
      <w:r w:rsidRPr="00FA0D37">
        <w:t xml:space="preserve">                      n32                    </w:t>
      </w:r>
      <w:r w:rsidR="00F35EF5" w:rsidRPr="00FA0D37">
        <w:t xml:space="preserve">    </w:t>
      </w:r>
      <w:r w:rsidRPr="00FA0D37">
        <w:rPr>
          <w:color w:val="993366"/>
        </w:rPr>
        <w:t>INTEGER</w:t>
      </w:r>
      <w:r w:rsidRPr="00FA0D37">
        <w:t xml:space="preserve"> (0..31),</w:t>
      </w:r>
    </w:p>
    <w:p w14:paraId="005143D4" w14:textId="097AA952" w:rsidR="00212830" w:rsidRPr="00FA0D37" w:rsidRDefault="00212830" w:rsidP="00FA0D37">
      <w:pPr>
        <w:pStyle w:val="PL"/>
      </w:pPr>
      <w:r w:rsidRPr="00FA0D37">
        <w:t xml:space="preserve">                      n40                    </w:t>
      </w:r>
      <w:r w:rsidR="00F35EF5" w:rsidRPr="00FA0D37">
        <w:t xml:space="preserve">    </w:t>
      </w:r>
      <w:r w:rsidRPr="00FA0D37">
        <w:rPr>
          <w:color w:val="993366"/>
        </w:rPr>
        <w:t>INTEGER</w:t>
      </w:r>
      <w:r w:rsidRPr="00FA0D37">
        <w:t xml:space="preserve"> (0..39),</w:t>
      </w:r>
    </w:p>
    <w:p w14:paraId="48A3DF73" w14:textId="41BE6D0E" w:rsidR="00212830" w:rsidRPr="00FA0D37" w:rsidRDefault="00212830" w:rsidP="00FA0D37">
      <w:pPr>
        <w:pStyle w:val="PL"/>
      </w:pPr>
      <w:r w:rsidRPr="00FA0D37">
        <w:t xml:space="preserve">                      n64                    </w:t>
      </w:r>
      <w:r w:rsidR="00F35EF5" w:rsidRPr="00FA0D37">
        <w:t xml:space="preserve">    </w:t>
      </w:r>
      <w:r w:rsidRPr="00FA0D37">
        <w:rPr>
          <w:color w:val="993366"/>
        </w:rPr>
        <w:t>INTEGER</w:t>
      </w:r>
      <w:r w:rsidRPr="00FA0D37">
        <w:t xml:space="preserve"> (0..63),</w:t>
      </w:r>
    </w:p>
    <w:p w14:paraId="51C02AE6" w14:textId="416A89C1" w:rsidR="00212830" w:rsidRPr="00FA0D37" w:rsidRDefault="00212830" w:rsidP="00FA0D37">
      <w:pPr>
        <w:pStyle w:val="PL"/>
      </w:pPr>
      <w:r w:rsidRPr="00FA0D37">
        <w:t xml:space="preserve">                      n80                    </w:t>
      </w:r>
      <w:r w:rsidR="00F35EF5" w:rsidRPr="00FA0D37">
        <w:t xml:space="preserve">    </w:t>
      </w:r>
      <w:r w:rsidRPr="00FA0D37">
        <w:rPr>
          <w:color w:val="993366"/>
        </w:rPr>
        <w:t>INTEGER</w:t>
      </w:r>
      <w:r w:rsidRPr="00FA0D37">
        <w:t xml:space="preserve"> (0..79),</w:t>
      </w:r>
    </w:p>
    <w:p w14:paraId="543AA5E6" w14:textId="2F337885" w:rsidR="00212830" w:rsidRPr="00FA0D37" w:rsidRDefault="00212830" w:rsidP="00FA0D37">
      <w:pPr>
        <w:pStyle w:val="PL"/>
      </w:pPr>
      <w:r w:rsidRPr="00FA0D37">
        <w:t xml:space="preserve">                      n128                   </w:t>
      </w:r>
      <w:r w:rsidR="00F35EF5" w:rsidRPr="00FA0D37">
        <w:t xml:space="preserve">    </w:t>
      </w:r>
      <w:r w:rsidRPr="00FA0D37">
        <w:rPr>
          <w:color w:val="993366"/>
        </w:rPr>
        <w:t>INTEGER</w:t>
      </w:r>
      <w:r w:rsidRPr="00FA0D37">
        <w:t xml:space="preserve"> (0..127),</w:t>
      </w:r>
    </w:p>
    <w:p w14:paraId="68FB5B6B" w14:textId="64A36420" w:rsidR="00212830" w:rsidRPr="00FA0D37" w:rsidRDefault="00212830" w:rsidP="00FA0D37">
      <w:pPr>
        <w:pStyle w:val="PL"/>
      </w:pPr>
      <w:r w:rsidRPr="00FA0D37">
        <w:t xml:space="preserve">                      n160                   </w:t>
      </w:r>
      <w:r w:rsidR="00F35EF5" w:rsidRPr="00FA0D37">
        <w:t xml:space="preserve">    </w:t>
      </w:r>
      <w:r w:rsidRPr="00FA0D37">
        <w:rPr>
          <w:color w:val="993366"/>
        </w:rPr>
        <w:t>INTEGER</w:t>
      </w:r>
      <w:r w:rsidRPr="00FA0D37">
        <w:t xml:space="preserve"> (0..159),</w:t>
      </w:r>
    </w:p>
    <w:p w14:paraId="0DEF032C" w14:textId="6B450959" w:rsidR="00212830" w:rsidRPr="00FA0D37" w:rsidRDefault="00212830" w:rsidP="00FA0D37">
      <w:pPr>
        <w:pStyle w:val="PL"/>
      </w:pPr>
      <w:r w:rsidRPr="00FA0D37">
        <w:t xml:space="preserve">                      n320                   </w:t>
      </w:r>
      <w:r w:rsidR="00F35EF5" w:rsidRPr="00FA0D37">
        <w:t xml:space="preserve">    </w:t>
      </w:r>
      <w:r w:rsidRPr="00FA0D37">
        <w:rPr>
          <w:color w:val="993366"/>
        </w:rPr>
        <w:t>INTEGER</w:t>
      </w:r>
      <w:r w:rsidRPr="00FA0D37">
        <w:t xml:space="preserve"> (0..319),</w:t>
      </w:r>
    </w:p>
    <w:p w14:paraId="255966A8" w14:textId="5284807C" w:rsidR="00212830" w:rsidRPr="00FA0D37" w:rsidRDefault="00212830" w:rsidP="00FA0D37">
      <w:pPr>
        <w:pStyle w:val="PL"/>
      </w:pPr>
      <w:r w:rsidRPr="00FA0D37">
        <w:t xml:space="preserve">                      n640                   </w:t>
      </w:r>
      <w:r w:rsidR="00F35EF5" w:rsidRPr="00FA0D37">
        <w:t xml:space="preserve">    </w:t>
      </w:r>
      <w:r w:rsidRPr="00FA0D37">
        <w:rPr>
          <w:color w:val="993366"/>
        </w:rPr>
        <w:t>INTEGER</w:t>
      </w:r>
      <w:r w:rsidRPr="00FA0D37">
        <w:t xml:space="preserve"> (0..639),</w:t>
      </w:r>
    </w:p>
    <w:p w14:paraId="71C4134B" w14:textId="4041F747" w:rsidR="00212830" w:rsidRPr="00FA0D37" w:rsidRDefault="00212830" w:rsidP="00FA0D37">
      <w:pPr>
        <w:pStyle w:val="PL"/>
      </w:pPr>
      <w:r w:rsidRPr="00FA0D37">
        <w:t xml:space="preserve">                      n1280                  </w:t>
      </w:r>
      <w:r w:rsidR="00F35EF5" w:rsidRPr="00FA0D37">
        <w:t xml:space="preserve">    </w:t>
      </w:r>
      <w:r w:rsidRPr="00FA0D37">
        <w:rPr>
          <w:color w:val="993366"/>
        </w:rPr>
        <w:t>INTEGER</w:t>
      </w:r>
      <w:r w:rsidRPr="00FA0D37">
        <w:t xml:space="preserve"> (0..1279),</w:t>
      </w:r>
    </w:p>
    <w:p w14:paraId="0A252367" w14:textId="3DB83DA7" w:rsidR="00212830" w:rsidRPr="00FA0D37" w:rsidRDefault="00212830" w:rsidP="00FA0D37">
      <w:pPr>
        <w:pStyle w:val="PL"/>
      </w:pPr>
      <w:r w:rsidRPr="00FA0D37">
        <w:t xml:space="preserve">                      n2560                  </w:t>
      </w:r>
      <w:r w:rsidR="00F35EF5" w:rsidRPr="00FA0D37">
        <w:t xml:space="preserve">    </w:t>
      </w:r>
      <w:r w:rsidRPr="00FA0D37">
        <w:rPr>
          <w:color w:val="993366"/>
        </w:rPr>
        <w:t>INTEGER</w:t>
      </w:r>
      <w:r w:rsidRPr="00FA0D37">
        <w:t xml:space="preserve"> (0..2559),</w:t>
      </w:r>
    </w:p>
    <w:p w14:paraId="4DCBE356" w14:textId="602207DB" w:rsidR="00212830" w:rsidRPr="00FA0D37" w:rsidRDefault="00212830" w:rsidP="00FA0D37">
      <w:pPr>
        <w:pStyle w:val="PL"/>
      </w:pPr>
      <w:r w:rsidRPr="00FA0D37">
        <w:lastRenderedPageBreak/>
        <w:t xml:space="preserve">                      n5120                  </w:t>
      </w:r>
      <w:r w:rsidR="00F35EF5" w:rsidRPr="00FA0D37">
        <w:t xml:space="preserve">    </w:t>
      </w:r>
      <w:r w:rsidRPr="00FA0D37">
        <w:rPr>
          <w:color w:val="993366"/>
        </w:rPr>
        <w:t>INTEGER</w:t>
      </w:r>
      <w:r w:rsidRPr="00FA0D37">
        <w:t xml:space="preserve"> (0..5119),</w:t>
      </w:r>
    </w:p>
    <w:p w14:paraId="21DD2792" w14:textId="149454BF" w:rsidR="00212830" w:rsidRPr="00FA0D37" w:rsidRDefault="00212830" w:rsidP="00FA0D37">
      <w:pPr>
        <w:pStyle w:val="PL"/>
      </w:pPr>
      <w:r w:rsidRPr="00FA0D37">
        <w:t xml:space="preserve">                      n10240                 </w:t>
      </w:r>
      <w:r w:rsidR="00F35EF5" w:rsidRPr="00FA0D37">
        <w:t xml:space="preserve">    </w:t>
      </w:r>
      <w:r w:rsidRPr="00FA0D37">
        <w:rPr>
          <w:color w:val="993366"/>
        </w:rPr>
        <w:t>INTEGER</w:t>
      </w:r>
      <w:r w:rsidRPr="00FA0D37">
        <w:t xml:space="preserve"> (0..10239),</w:t>
      </w:r>
    </w:p>
    <w:p w14:paraId="3C43D0E6" w14:textId="1983E45A" w:rsidR="00212830" w:rsidRPr="00FA0D37" w:rsidRDefault="00212830" w:rsidP="00FA0D37">
      <w:pPr>
        <w:pStyle w:val="PL"/>
      </w:pPr>
      <w:r w:rsidRPr="00FA0D37">
        <w:t xml:space="preserve">                      n20480                 </w:t>
      </w:r>
      <w:r w:rsidR="00F35EF5" w:rsidRPr="00FA0D37">
        <w:t xml:space="preserve">    </w:t>
      </w:r>
      <w:r w:rsidRPr="00FA0D37">
        <w:rPr>
          <w:color w:val="993366"/>
        </w:rPr>
        <w:t>INTEGER</w:t>
      </w:r>
      <w:r w:rsidRPr="00FA0D37">
        <w:t xml:space="preserve"> (0..20479),</w:t>
      </w:r>
    </w:p>
    <w:p w14:paraId="10B1DEA0" w14:textId="5BC5AA27" w:rsidR="00212830" w:rsidRPr="00FA0D37" w:rsidRDefault="00212830" w:rsidP="00FA0D37">
      <w:pPr>
        <w:pStyle w:val="PL"/>
      </w:pPr>
      <w:r w:rsidRPr="00FA0D37">
        <w:t xml:space="preserve">                      ...</w:t>
      </w:r>
    </w:p>
    <w:p w14:paraId="12B65627" w14:textId="471CB31A" w:rsidR="00212830" w:rsidRPr="00FA0D37" w:rsidRDefault="00212830" w:rsidP="00FA0D37">
      <w:pPr>
        <w:pStyle w:val="PL"/>
      </w:pPr>
      <w:r w:rsidRPr="00FA0D37">
        <w:t xml:space="preserve">    },</w:t>
      </w:r>
    </w:p>
    <w:p w14:paraId="7813C838" w14:textId="73DC16AD" w:rsidR="00212830" w:rsidRPr="00FA0D37" w:rsidRDefault="00212830" w:rsidP="00FA0D37">
      <w:pPr>
        <w:pStyle w:val="PL"/>
      </w:pPr>
      <w:r w:rsidRPr="00FA0D37">
        <w:t xml:space="preserve">    scs60                                </w:t>
      </w:r>
      <w:r w:rsidR="00F35EF5" w:rsidRPr="00FA0D37">
        <w:t xml:space="preserve">    </w:t>
      </w:r>
      <w:r w:rsidRPr="00FA0D37">
        <w:rPr>
          <w:color w:val="993366"/>
        </w:rPr>
        <w:t>CHOICE</w:t>
      </w:r>
      <w:r w:rsidRPr="00FA0D37">
        <w:t xml:space="preserve"> {</w:t>
      </w:r>
    </w:p>
    <w:p w14:paraId="29F4F312" w14:textId="5D5EDDB6" w:rsidR="00212830" w:rsidRPr="00FA0D37" w:rsidRDefault="00212830" w:rsidP="00FA0D37">
      <w:pPr>
        <w:pStyle w:val="PL"/>
      </w:pPr>
      <w:r w:rsidRPr="00FA0D37">
        <w:t xml:space="preserve">                      n16                    </w:t>
      </w:r>
      <w:r w:rsidR="00F35EF5" w:rsidRPr="00FA0D37">
        <w:t xml:space="preserve">    </w:t>
      </w:r>
      <w:r w:rsidRPr="00FA0D37">
        <w:rPr>
          <w:color w:val="993366"/>
        </w:rPr>
        <w:t>INTEGER</w:t>
      </w:r>
      <w:r w:rsidRPr="00FA0D37">
        <w:t xml:space="preserve"> (0..15),</w:t>
      </w:r>
    </w:p>
    <w:p w14:paraId="351DD494" w14:textId="1B6C7A7E" w:rsidR="00212830" w:rsidRPr="00FA0D37" w:rsidRDefault="00212830" w:rsidP="00FA0D37">
      <w:pPr>
        <w:pStyle w:val="PL"/>
      </w:pPr>
      <w:r w:rsidRPr="00FA0D37">
        <w:t xml:space="preserve">                      n20                    </w:t>
      </w:r>
      <w:r w:rsidR="00F35EF5" w:rsidRPr="00FA0D37">
        <w:t xml:space="preserve">    </w:t>
      </w:r>
      <w:r w:rsidRPr="00FA0D37">
        <w:rPr>
          <w:color w:val="993366"/>
        </w:rPr>
        <w:t>INTEGER</w:t>
      </w:r>
      <w:r w:rsidRPr="00FA0D37">
        <w:t xml:space="preserve"> (0..19),</w:t>
      </w:r>
    </w:p>
    <w:p w14:paraId="5470FFD7" w14:textId="2BA3F26A" w:rsidR="00212830" w:rsidRPr="00FA0D37" w:rsidRDefault="00212830" w:rsidP="00FA0D37">
      <w:pPr>
        <w:pStyle w:val="PL"/>
      </w:pPr>
      <w:r w:rsidRPr="00FA0D37">
        <w:t xml:space="preserve">                      n32                    </w:t>
      </w:r>
      <w:r w:rsidR="00F35EF5" w:rsidRPr="00FA0D37">
        <w:t xml:space="preserve">    </w:t>
      </w:r>
      <w:r w:rsidRPr="00FA0D37">
        <w:rPr>
          <w:color w:val="993366"/>
        </w:rPr>
        <w:t>INTEGER</w:t>
      </w:r>
      <w:r w:rsidRPr="00FA0D37">
        <w:t xml:space="preserve"> (0..31),</w:t>
      </w:r>
    </w:p>
    <w:p w14:paraId="0E13BF4A" w14:textId="4B97A0A7" w:rsidR="00212830" w:rsidRPr="00FA0D37" w:rsidRDefault="00212830" w:rsidP="00FA0D37">
      <w:pPr>
        <w:pStyle w:val="PL"/>
      </w:pPr>
      <w:r w:rsidRPr="00FA0D37">
        <w:t xml:space="preserve">                      n40                    </w:t>
      </w:r>
      <w:r w:rsidR="00F35EF5" w:rsidRPr="00FA0D37">
        <w:t xml:space="preserve">    </w:t>
      </w:r>
      <w:r w:rsidRPr="00FA0D37">
        <w:rPr>
          <w:color w:val="993366"/>
        </w:rPr>
        <w:t>INTEGER</w:t>
      </w:r>
      <w:r w:rsidRPr="00FA0D37">
        <w:t xml:space="preserve"> (0..39),</w:t>
      </w:r>
    </w:p>
    <w:p w14:paraId="269E27BE" w14:textId="12FAFFD6" w:rsidR="00212830" w:rsidRPr="00FA0D37" w:rsidRDefault="00212830" w:rsidP="00FA0D37">
      <w:pPr>
        <w:pStyle w:val="PL"/>
      </w:pPr>
      <w:r w:rsidRPr="00FA0D37">
        <w:t xml:space="preserve">                      n64                    </w:t>
      </w:r>
      <w:r w:rsidR="00F35EF5" w:rsidRPr="00FA0D37">
        <w:t xml:space="preserve">    </w:t>
      </w:r>
      <w:r w:rsidRPr="00FA0D37">
        <w:rPr>
          <w:color w:val="993366"/>
        </w:rPr>
        <w:t>INTEGER</w:t>
      </w:r>
      <w:r w:rsidRPr="00FA0D37">
        <w:t xml:space="preserve"> (0..63),</w:t>
      </w:r>
    </w:p>
    <w:p w14:paraId="1C675DCC" w14:textId="42356E10" w:rsidR="00212830" w:rsidRPr="00FA0D37" w:rsidRDefault="00212830" w:rsidP="00FA0D37">
      <w:pPr>
        <w:pStyle w:val="PL"/>
      </w:pPr>
      <w:r w:rsidRPr="00FA0D37">
        <w:t xml:space="preserve">                      n80                    </w:t>
      </w:r>
      <w:r w:rsidR="00F35EF5" w:rsidRPr="00FA0D37">
        <w:t xml:space="preserve">    </w:t>
      </w:r>
      <w:r w:rsidRPr="00FA0D37">
        <w:rPr>
          <w:color w:val="993366"/>
        </w:rPr>
        <w:t>INTEGER</w:t>
      </w:r>
      <w:r w:rsidRPr="00FA0D37">
        <w:t xml:space="preserve"> (0..79),</w:t>
      </w:r>
    </w:p>
    <w:p w14:paraId="4486104F" w14:textId="16CC33EE" w:rsidR="00212830" w:rsidRPr="00FA0D37" w:rsidRDefault="00212830" w:rsidP="00FA0D37">
      <w:pPr>
        <w:pStyle w:val="PL"/>
      </w:pPr>
      <w:r w:rsidRPr="00FA0D37">
        <w:t xml:space="preserve">                      n128                   </w:t>
      </w:r>
      <w:r w:rsidR="00F35EF5" w:rsidRPr="00FA0D37">
        <w:t xml:space="preserve">    </w:t>
      </w:r>
      <w:r w:rsidRPr="00FA0D37">
        <w:rPr>
          <w:color w:val="993366"/>
        </w:rPr>
        <w:t>INTEGER</w:t>
      </w:r>
      <w:r w:rsidRPr="00FA0D37">
        <w:t xml:space="preserve"> (0..127),</w:t>
      </w:r>
    </w:p>
    <w:p w14:paraId="662C7F30" w14:textId="32F0FC51" w:rsidR="00212830" w:rsidRPr="00FA0D37" w:rsidRDefault="00212830" w:rsidP="00FA0D37">
      <w:pPr>
        <w:pStyle w:val="PL"/>
      </w:pPr>
      <w:r w:rsidRPr="00FA0D37">
        <w:t xml:space="preserve">                      n160                   </w:t>
      </w:r>
      <w:r w:rsidR="00F35EF5" w:rsidRPr="00FA0D37">
        <w:t xml:space="preserve">    </w:t>
      </w:r>
      <w:r w:rsidRPr="00FA0D37">
        <w:rPr>
          <w:color w:val="993366"/>
        </w:rPr>
        <w:t>INTEGER</w:t>
      </w:r>
      <w:r w:rsidRPr="00FA0D37">
        <w:t xml:space="preserve"> (0..159),</w:t>
      </w:r>
    </w:p>
    <w:p w14:paraId="54184222" w14:textId="620C7482" w:rsidR="00212830" w:rsidRPr="00FA0D37" w:rsidRDefault="00212830" w:rsidP="00FA0D37">
      <w:pPr>
        <w:pStyle w:val="PL"/>
      </w:pPr>
      <w:r w:rsidRPr="00FA0D37">
        <w:t xml:space="preserve">                      n256                   </w:t>
      </w:r>
      <w:r w:rsidR="00F35EF5" w:rsidRPr="00FA0D37">
        <w:t xml:space="preserve">    </w:t>
      </w:r>
      <w:r w:rsidRPr="00FA0D37">
        <w:rPr>
          <w:color w:val="993366"/>
        </w:rPr>
        <w:t>INTEGER</w:t>
      </w:r>
      <w:r w:rsidRPr="00FA0D37">
        <w:t xml:space="preserve"> (0..255),</w:t>
      </w:r>
    </w:p>
    <w:p w14:paraId="41ADE932" w14:textId="12DE8B34" w:rsidR="00212830" w:rsidRPr="00FA0D37" w:rsidRDefault="00212830" w:rsidP="00FA0D37">
      <w:pPr>
        <w:pStyle w:val="PL"/>
      </w:pPr>
      <w:r w:rsidRPr="00FA0D37">
        <w:t xml:space="preserve">                      n320                   </w:t>
      </w:r>
      <w:r w:rsidR="00F35EF5" w:rsidRPr="00FA0D37">
        <w:t xml:space="preserve">    </w:t>
      </w:r>
      <w:r w:rsidRPr="00FA0D37">
        <w:rPr>
          <w:color w:val="993366"/>
        </w:rPr>
        <w:t>INTEGER</w:t>
      </w:r>
      <w:r w:rsidRPr="00FA0D37">
        <w:t xml:space="preserve"> (0..319),</w:t>
      </w:r>
    </w:p>
    <w:p w14:paraId="47D7EAA5" w14:textId="7E8EF38C" w:rsidR="00212830" w:rsidRPr="00FA0D37" w:rsidRDefault="00212830" w:rsidP="00FA0D37">
      <w:pPr>
        <w:pStyle w:val="PL"/>
      </w:pPr>
      <w:r w:rsidRPr="00FA0D37">
        <w:t xml:space="preserve">                      n640                   </w:t>
      </w:r>
      <w:r w:rsidR="00F35EF5" w:rsidRPr="00FA0D37">
        <w:t xml:space="preserve">    </w:t>
      </w:r>
      <w:r w:rsidRPr="00FA0D37">
        <w:rPr>
          <w:color w:val="993366"/>
        </w:rPr>
        <w:t>INTEGER</w:t>
      </w:r>
      <w:r w:rsidRPr="00FA0D37">
        <w:t xml:space="preserve"> (0..639),</w:t>
      </w:r>
    </w:p>
    <w:p w14:paraId="4151A0B8" w14:textId="4D2241C3" w:rsidR="00212830" w:rsidRPr="00FA0D37" w:rsidRDefault="00212830" w:rsidP="00FA0D37">
      <w:pPr>
        <w:pStyle w:val="PL"/>
      </w:pPr>
      <w:r w:rsidRPr="00FA0D37">
        <w:t xml:space="preserve">                      n1280                  </w:t>
      </w:r>
      <w:r w:rsidR="00F35EF5" w:rsidRPr="00FA0D37">
        <w:t xml:space="preserve">    </w:t>
      </w:r>
      <w:r w:rsidRPr="00FA0D37">
        <w:rPr>
          <w:color w:val="993366"/>
        </w:rPr>
        <w:t>INTEGER</w:t>
      </w:r>
      <w:r w:rsidRPr="00FA0D37">
        <w:t xml:space="preserve"> (0..1279),</w:t>
      </w:r>
    </w:p>
    <w:p w14:paraId="738F9872" w14:textId="3641B214" w:rsidR="00212830" w:rsidRPr="00FA0D37" w:rsidRDefault="00212830" w:rsidP="00FA0D37">
      <w:pPr>
        <w:pStyle w:val="PL"/>
      </w:pPr>
      <w:r w:rsidRPr="00FA0D37">
        <w:t xml:space="preserve">                      n2560                  </w:t>
      </w:r>
      <w:r w:rsidR="00F35EF5" w:rsidRPr="00FA0D37">
        <w:t xml:space="preserve">    </w:t>
      </w:r>
      <w:r w:rsidRPr="00FA0D37">
        <w:rPr>
          <w:color w:val="993366"/>
        </w:rPr>
        <w:t>INTEGER</w:t>
      </w:r>
      <w:r w:rsidRPr="00FA0D37">
        <w:t xml:space="preserve"> (0..2559),</w:t>
      </w:r>
    </w:p>
    <w:p w14:paraId="66D832F1" w14:textId="115973BF" w:rsidR="00212830" w:rsidRPr="00FA0D37" w:rsidRDefault="00212830" w:rsidP="00FA0D37">
      <w:pPr>
        <w:pStyle w:val="PL"/>
      </w:pPr>
      <w:r w:rsidRPr="00FA0D37">
        <w:t xml:space="preserve">                      n5120                  </w:t>
      </w:r>
      <w:r w:rsidR="00F35EF5" w:rsidRPr="00FA0D37">
        <w:t xml:space="preserve">    </w:t>
      </w:r>
      <w:r w:rsidRPr="00FA0D37">
        <w:rPr>
          <w:color w:val="993366"/>
        </w:rPr>
        <w:t>INTEGER</w:t>
      </w:r>
      <w:r w:rsidRPr="00FA0D37">
        <w:t xml:space="preserve"> (0..5119),</w:t>
      </w:r>
    </w:p>
    <w:p w14:paraId="0F272630" w14:textId="2FBA2EFE" w:rsidR="00212830" w:rsidRPr="00FA0D37" w:rsidRDefault="00212830" w:rsidP="00FA0D37">
      <w:pPr>
        <w:pStyle w:val="PL"/>
      </w:pPr>
      <w:r w:rsidRPr="00FA0D37">
        <w:t xml:space="preserve">                      n10240                 </w:t>
      </w:r>
      <w:r w:rsidR="00F35EF5" w:rsidRPr="00FA0D37">
        <w:t xml:space="preserve">    </w:t>
      </w:r>
      <w:r w:rsidRPr="00FA0D37">
        <w:rPr>
          <w:color w:val="993366"/>
        </w:rPr>
        <w:t>INTEGER</w:t>
      </w:r>
      <w:r w:rsidRPr="00FA0D37">
        <w:t xml:space="preserve"> (0..10239),</w:t>
      </w:r>
    </w:p>
    <w:p w14:paraId="6BF0C2B9" w14:textId="14A9A07D" w:rsidR="00212830" w:rsidRPr="00FA0D37" w:rsidRDefault="00212830" w:rsidP="00FA0D37">
      <w:pPr>
        <w:pStyle w:val="PL"/>
      </w:pPr>
      <w:r w:rsidRPr="00FA0D37">
        <w:t xml:space="preserve">                      n20480                 </w:t>
      </w:r>
      <w:r w:rsidR="00F35EF5" w:rsidRPr="00FA0D37">
        <w:t xml:space="preserve">    </w:t>
      </w:r>
      <w:r w:rsidRPr="00FA0D37">
        <w:rPr>
          <w:color w:val="993366"/>
        </w:rPr>
        <w:t>INTEGER</w:t>
      </w:r>
      <w:r w:rsidRPr="00FA0D37">
        <w:t xml:space="preserve"> (0..20479),</w:t>
      </w:r>
    </w:p>
    <w:p w14:paraId="0E6B1165" w14:textId="4A7EA98F" w:rsidR="00212830" w:rsidRPr="00FA0D37" w:rsidRDefault="00212830" w:rsidP="00FA0D37">
      <w:pPr>
        <w:pStyle w:val="PL"/>
      </w:pPr>
      <w:r w:rsidRPr="00FA0D37">
        <w:t xml:space="preserve">                      n40960                 </w:t>
      </w:r>
      <w:r w:rsidR="00F35EF5" w:rsidRPr="00FA0D37">
        <w:t xml:space="preserve">    </w:t>
      </w:r>
      <w:r w:rsidRPr="00FA0D37">
        <w:rPr>
          <w:color w:val="993366"/>
        </w:rPr>
        <w:t>INTEGER</w:t>
      </w:r>
      <w:r w:rsidRPr="00FA0D37">
        <w:t xml:space="preserve"> (0..40959),</w:t>
      </w:r>
    </w:p>
    <w:p w14:paraId="3C870F9B" w14:textId="10E08DDE" w:rsidR="00212830" w:rsidRPr="00FA0D37" w:rsidRDefault="00212830" w:rsidP="00FA0D37">
      <w:pPr>
        <w:pStyle w:val="PL"/>
      </w:pPr>
      <w:r w:rsidRPr="00FA0D37">
        <w:t xml:space="preserve">                      ...</w:t>
      </w:r>
    </w:p>
    <w:p w14:paraId="246E84D4" w14:textId="0099698D" w:rsidR="00212830" w:rsidRPr="00FA0D37" w:rsidRDefault="00212830" w:rsidP="00FA0D37">
      <w:pPr>
        <w:pStyle w:val="PL"/>
      </w:pPr>
      <w:r w:rsidRPr="00FA0D37">
        <w:t xml:space="preserve">    },</w:t>
      </w:r>
    </w:p>
    <w:p w14:paraId="3EEA727C" w14:textId="783BBE18" w:rsidR="00212830" w:rsidRPr="00FA0D37" w:rsidRDefault="00212830" w:rsidP="00FA0D37">
      <w:pPr>
        <w:pStyle w:val="PL"/>
      </w:pPr>
      <w:r w:rsidRPr="00FA0D37">
        <w:t xml:space="preserve">    scs120                               </w:t>
      </w:r>
      <w:r w:rsidR="00F35EF5" w:rsidRPr="00FA0D37">
        <w:t xml:space="preserve">    </w:t>
      </w:r>
      <w:r w:rsidRPr="00FA0D37">
        <w:rPr>
          <w:color w:val="993366"/>
        </w:rPr>
        <w:t>CHOICE</w:t>
      </w:r>
      <w:r w:rsidRPr="00FA0D37">
        <w:t xml:space="preserve"> {</w:t>
      </w:r>
    </w:p>
    <w:p w14:paraId="4336E519" w14:textId="26F8952F" w:rsidR="00212830" w:rsidRPr="00FA0D37" w:rsidRDefault="00212830" w:rsidP="00FA0D37">
      <w:pPr>
        <w:pStyle w:val="PL"/>
      </w:pPr>
      <w:r w:rsidRPr="00FA0D37">
        <w:t xml:space="preserve">                      n32                    </w:t>
      </w:r>
      <w:r w:rsidR="00F35EF5" w:rsidRPr="00FA0D37">
        <w:t xml:space="preserve">    </w:t>
      </w:r>
      <w:r w:rsidRPr="00FA0D37">
        <w:rPr>
          <w:color w:val="993366"/>
        </w:rPr>
        <w:t>INTEGER</w:t>
      </w:r>
      <w:r w:rsidRPr="00FA0D37">
        <w:t xml:space="preserve"> (0..31),</w:t>
      </w:r>
    </w:p>
    <w:p w14:paraId="2BFFD90F" w14:textId="297FE64C" w:rsidR="00212830" w:rsidRPr="00FA0D37" w:rsidRDefault="00212830" w:rsidP="00FA0D37">
      <w:pPr>
        <w:pStyle w:val="PL"/>
      </w:pPr>
      <w:r w:rsidRPr="00FA0D37">
        <w:t xml:space="preserve">                      n40                    </w:t>
      </w:r>
      <w:r w:rsidR="00F35EF5" w:rsidRPr="00FA0D37">
        <w:t xml:space="preserve">    </w:t>
      </w:r>
      <w:r w:rsidRPr="00FA0D37">
        <w:rPr>
          <w:color w:val="993366"/>
        </w:rPr>
        <w:t>INTEGER</w:t>
      </w:r>
      <w:r w:rsidRPr="00FA0D37">
        <w:t xml:space="preserve"> (0..39),</w:t>
      </w:r>
    </w:p>
    <w:p w14:paraId="1136DA49" w14:textId="2AB2AA42" w:rsidR="00212830" w:rsidRPr="00FA0D37" w:rsidRDefault="00212830" w:rsidP="00FA0D37">
      <w:pPr>
        <w:pStyle w:val="PL"/>
      </w:pPr>
      <w:r w:rsidRPr="00FA0D37">
        <w:t xml:space="preserve">                      n64                    </w:t>
      </w:r>
      <w:r w:rsidR="00F35EF5" w:rsidRPr="00FA0D37">
        <w:t xml:space="preserve">    </w:t>
      </w:r>
      <w:r w:rsidRPr="00FA0D37">
        <w:rPr>
          <w:color w:val="993366"/>
        </w:rPr>
        <w:t>INTEGER</w:t>
      </w:r>
      <w:r w:rsidRPr="00FA0D37">
        <w:t xml:space="preserve"> (0..63),</w:t>
      </w:r>
    </w:p>
    <w:p w14:paraId="0060E117" w14:textId="233A65BE" w:rsidR="00212830" w:rsidRPr="00FA0D37" w:rsidRDefault="00212830" w:rsidP="00FA0D37">
      <w:pPr>
        <w:pStyle w:val="PL"/>
      </w:pPr>
      <w:r w:rsidRPr="00FA0D37">
        <w:t xml:space="preserve">                      n80                    </w:t>
      </w:r>
      <w:r w:rsidR="00F35EF5" w:rsidRPr="00FA0D37">
        <w:t xml:space="preserve">    </w:t>
      </w:r>
      <w:r w:rsidRPr="00FA0D37">
        <w:rPr>
          <w:color w:val="993366"/>
        </w:rPr>
        <w:t>INTEGER</w:t>
      </w:r>
      <w:r w:rsidRPr="00FA0D37">
        <w:t xml:space="preserve"> (0..79),</w:t>
      </w:r>
    </w:p>
    <w:p w14:paraId="1FA7D62C" w14:textId="125DF39B" w:rsidR="00212830" w:rsidRPr="00FA0D37" w:rsidRDefault="00212830" w:rsidP="00FA0D37">
      <w:pPr>
        <w:pStyle w:val="PL"/>
      </w:pPr>
      <w:r w:rsidRPr="00FA0D37">
        <w:t xml:space="preserve">                      n128                   </w:t>
      </w:r>
      <w:r w:rsidR="00F35EF5" w:rsidRPr="00FA0D37">
        <w:t xml:space="preserve">    </w:t>
      </w:r>
      <w:r w:rsidRPr="00FA0D37">
        <w:rPr>
          <w:color w:val="993366"/>
        </w:rPr>
        <w:t>INTEGER</w:t>
      </w:r>
      <w:r w:rsidRPr="00FA0D37">
        <w:t xml:space="preserve"> (0..127),</w:t>
      </w:r>
    </w:p>
    <w:p w14:paraId="04D00CEA" w14:textId="39574305" w:rsidR="00212830" w:rsidRPr="00FA0D37" w:rsidRDefault="00212830" w:rsidP="00FA0D37">
      <w:pPr>
        <w:pStyle w:val="PL"/>
      </w:pPr>
      <w:r w:rsidRPr="00FA0D37">
        <w:t xml:space="preserve">                      n160                   </w:t>
      </w:r>
      <w:r w:rsidR="00F35EF5" w:rsidRPr="00FA0D37">
        <w:t xml:space="preserve">    </w:t>
      </w:r>
      <w:r w:rsidRPr="00FA0D37">
        <w:rPr>
          <w:color w:val="993366"/>
        </w:rPr>
        <w:t>INTEGER</w:t>
      </w:r>
      <w:r w:rsidRPr="00FA0D37">
        <w:t xml:space="preserve"> (0..159),</w:t>
      </w:r>
    </w:p>
    <w:p w14:paraId="3C8C0DFA" w14:textId="63B2FC1E" w:rsidR="00212830" w:rsidRPr="00FA0D37" w:rsidRDefault="00212830" w:rsidP="00FA0D37">
      <w:pPr>
        <w:pStyle w:val="PL"/>
      </w:pPr>
      <w:r w:rsidRPr="00FA0D37">
        <w:t xml:space="preserve">                      n256                   </w:t>
      </w:r>
      <w:r w:rsidR="00F35EF5" w:rsidRPr="00FA0D37">
        <w:t xml:space="preserve">    </w:t>
      </w:r>
      <w:r w:rsidRPr="00FA0D37">
        <w:rPr>
          <w:color w:val="993366"/>
        </w:rPr>
        <w:t>INTEGER</w:t>
      </w:r>
      <w:r w:rsidRPr="00FA0D37">
        <w:t xml:space="preserve"> (0..255),</w:t>
      </w:r>
    </w:p>
    <w:p w14:paraId="640106A9" w14:textId="647EFAEA" w:rsidR="00212830" w:rsidRPr="00FA0D37" w:rsidRDefault="00212830" w:rsidP="00FA0D37">
      <w:pPr>
        <w:pStyle w:val="PL"/>
      </w:pPr>
      <w:r w:rsidRPr="00FA0D37">
        <w:t xml:space="preserve">                      n320                   </w:t>
      </w:r>
      <w:r w:rsidR="00F35EF5" w:rsidRPr="00FA0D37">
        <w:t xml:space="preserve">    </w:t>
      </w:r>
      <w:r w:rsidRPr="00FA0D37">
        <w:rPr>
          <w:color w:val="993366"/>
        </w:rPr>
        <w:t>INTEGER</w:t>
      </w:r>
      <w:r w:rsidRPr="00FA0D37">
        <w:t xml:space="preserve"> (0..319),</w:t>
      </w:r>
    </w:p>
    <w:p w14:paraId="16696F3E" w14:textId="766CD20C" w:rsidR="00212830" w:rsidRPr="00FA0D37" w:rsidRDefault="00212830" w:rsidP="00FA0D37">
      <w:pPr>
        <w:pStyle w:val="PL"/>
      </w:pPr>
      <w:r w:rsidRPr="00FA0D37">
        <w:t xml:space="preserve">                      n512                   </w:t>
      </w:r>
      <w:r w:rsidR="00F35EF5" w:rsidRPr="00FA0D37">
        <w:t xml:space="preserve">    </w:t>
      </w:r>
      <w:r w:rsidRPr="00FA0D37">
        <w:rPr>
          <w:color w:val="993366"/>
        </w:rPr>
        <w:t>INTEGER</w:t>
      </w:r>
      <w:r w:rsidRPr="00FA0D37">
        <w:t xml:space="preserve"> (0..511),</w:t>
      </w:r>
    </w:p>
    <w:p w14:paraId="65DD5BF0" w14:textId="47C31DE8" w:rsidR="00212830" w:rsidRPr="00FA0D37" w:rsidRDefault="00212830" w:rsidP="00FA0D37">
      <w:pPr>
        <w:pStyle w:val="PL"/>
      </w:pPr>
      <w:r w:rsidRPr="00FA0D37">
        <w:t xml:space="preserve">                      n640                   </w:t>
      </w:r>
      <w:r w:rsidR="00F35EF5" w:rsidRPr="00FA0D37">
        <w:t xml:space="preserve">    </w:t>
      </w:r>
      <w:r w:rsidRPr="00FA0D37">
        <w:rPr>
          <w:color w:val="993366"/>
        </w:rPr>
        <w:t>INTEGER</w:t>
      </w:r>
      <w:r w:rsidRPr="00FA0D37">
        <w:t xml:space="preserve"> (0..639),</w:t>
      </w:r>
    </w:p>
    <w:p w14:paraId="781CEBCA" w14:textId="235F1763" w:rsidR="00212830" w:rsidRPr="00FA0D37" w:rsidRDefault="00212830" w:rsidP="00FA0D37">
      <w:pPr>
        <w:pStyle w:val="PL"/>
      </w:pPr>
      <w:r w:rsidRPr="00FA0D37">
        <w:t xml:space="preserve">                      n1280                  </w:t>
      </w:r>
      <w:r w:rsidR="00F35EF5" w:rsidRPr="00FA0D37">
        <w:t xml:space="preserve">    </w:t>
      </w:r>
      <w:r w:rsidRPr="00FA0D37">
        <w:rPr>
          <w:color w:val="993366"/>
        </w:rPr>
        <w:t>INTEGER</w:t>
      </w:r>
      <w:r w:rsidRPr="00FA0D37">
        <w:t xml:space="preserve"> (0..1279),</w:t>
      </w:r>
    </w:p>
    <w:p w14:paraId="088E89EA" w14:textId="1210FD18" w:rsidR="00212830" w:rsidRPr="00FA0D37" w:rsidRDefault="00212830" w:rsidP="00FA0D37">
      <w:pPr>
        <w:pStyle w:val="PL"/>
      </w:pPr>
      <w:r w:rsidRPr="00FA0D37">
        <w:t xml:space="preserve">                      n2560                  </w:t>
      </w:r>
      <w:r w:rsidR="00F35EF5" w:rsidRPr="00FA0D37">
        <w:t xml:space="preserve">    </w:t>
      </w:r>
      <w:r w:rsidRPr="00FA0D37">
        <w:rPr>
          <w:color w:val="993366"/>
        </w:rPr>
        <w:t>INTEGER</w:t>
      </w:r>
      <w:r w:rsidRPr="00FA0D37">
        <w:t xml:space="preserve"> (0..2559),</w:t>
      </w:r>
    </w:p>
    <w:p w14:paraId="5F4D8E47" w14:textId="30CA4A2D" w:rsidR="00212830" w:rsidRPr="00FA0D37" w:rsidRDefault="00212830" w:rsidP="00FA0D37">
      <w:pPr>
        <w:pStyle w:val="PL"/>
      </w:pPr>
      <w:r w:rsidRPr="00FA0D37">
        <w:t xml:space="preserve">                      n5120                  </w:t>
      </w:r>
      <w:r w:rsidR="00F35EF5" w:rsidRPr="00FA0D37">
        <w:t xml:space="preserve">    </w:t>
      </w:r>
      <w:r w:rsidRPr="00FA0D37">
        <w:rPr>
          <w:color w:val="993366"/>
        </w:rPr>
        <w:t>INTEGER</w:t>
      </w:r>
      <w:r w:rsidRPr="00FA0D37">
        <w:t xml:space="preserve"> (0..5119),</w:t>
      </w:r>
    </w:p>
    <w:p w14:paraId="3D582371" w14:textId="5B8C6CA0" w:rsidR="00212830" w:rsidRPr="00FA0D37" w:rsidRDefault="00212830" w:rsidP="00FA0D37">
      <w:pPr>
        <w:pStyle w:val="PL"/>
      </w:pPr>
      <w:r w:rsidRPr="00FA0D37">
        <w:t xml:space="preserve">                      n10240                 </w:t>
      </w:r>
      <w:r w:rsidR="00F35EF5" w:rsidRPr="00FA0D37">
        <w:t xml:space="preserve">    </w:t>
      </w:r>
      <w:r w:rsidRPr="00FA0D37">
        <w:rPr>
          <w:color w:val="993366"/>
        </w:rPr>
        <w:t>INTEGER</w:t>
      </w:r>
      <w:r w:rsidRPr="00FA0D37">
        <w:t xml:space="preserve"> (0..10239),</w:t>
      </w:r>
    </w:p>
    <w:p w14:paraId="7954843C" w14:textId="35300C85" w:rsidR="00212830" w:rsidRPr="00FA0D37" w:rsidRDefault="00212830" w:rsidP="00FA0D37">
      <w:pPr>
        <w:pStyle w:val="PL"/>
      </w:pPr>
      <w:r w:rsidRPr="00FA0D37">
        <w:t xml:space="preserve">                      n20480                 </w:t>
      </w:r>
      <w:r w:rsidR="00F35EF5" w:rsidRPr="00FA0D37">
        <w:t xml:space="preserve">    </w:t>
      </w:r>
      <w:r w:rsidRPr="00FA0D37">
        <w:rPr>
          <w:color w:val="993366"/>
        </w:rPr>
        <w:t>INTEGER</w:t>
      </w:r>
      <w:r w:rsidRPr="00FA0D37">
        <w:t xml:space="preserve"> (0..20479),</w:t>
      </w:r>
    </w:p>
    <w:p w14:paraId="3A61D800" w14:textId="0F5D0E5B" w:rsidR="00212830" w:rsidRPr="00FA0D37" w:rsidRDefault="00212830" w:rsidP="00FA0D37">
      <w:pPr>
        <w:pStyle w:val="PL"/>
      </w:pPr>
      <w:r w:rsidRPr="00FA0D37">
        <w:t xml:space="preserve">                      n40960                 </w:t>
      </w:r>
      <w:r w:rsidR="00F35EF5" w:rsidRPr="00FA0D37">
        <w:t xml:space="preserve">    </w:t>
      </w:r>
      <w:r w:rsidRPr="00FA0D37">
        <w:rPr>
          <w:color w:val="993366"/>
        </w:rPr>
        <w:t>INTEGER</w:t>
      </w:r>
      <w:r w:rsidRPr="00FA0D37">
        <w:t xml:space="preserve"> (0..40959),</w:t>
      </w:r>
    </w:p>
    <w:p w14:paraId="56A8488C" w14:textId="7FFC69D5" w:rsidR="00212830" w:rsidRPr="00FA0D37" w:rsidRDefault="00212830" w:rsidP="00FA0D37">
      <w:pPr>
        <w:pStyle w:val="PL"/>
      </w:pPr>
      <w:r w:rsidRPr="00FA0D37">
        <w:t xml:space="preserve">                      n81920                 </w:t>
      </w:r>
      <w:r w:rsidR="00F35EF5" w:rsidRPr="00FA0D37">
        <w:t xml:space="preserve">    </w:t>
      </w:r>
      <w:r w:rsidRPr="00FA0D37">
        <w:rPr>
          <w:color w:val="993366"/>
        </w:rPr>
        <w:t>INTEGER</w:t>
      </w:r>
      <w:r w:rsidRPr="00FA0D37">
        <w:t xml:space="preserve"> (0..81919),</w:t>
      </w:r>
    </w:p>
    <w:p w14:paraId="10F406D1" w14:textId="552EDD17" w:rsidR="00212830" w:rsidRPr="00FA0D37" w:rsidRDefault="00212830" w:rsidP="00FA0D37">
      <w:pPr>
        <w:pStyle w:val="PL"/>
      </w:pPr>
      <w:r w:rsidRPr="00FA0D37">
        <w:t xml:space="preserve">                     ...</w:t>
      </w:r>
    </w:p>
    <w:p w14:paraId="7CB63F3D" w14:textId="2271055C" w:rsidR="00212830" w:rsidRPr="00FA0D37" w:rsidRDefault="00212830" w:rsidP="00FA0D37">
      <w:pPr>
        <w:pStyle w:val="PL"/>
      </w:pPr>
      <w:r w:rsidRPr="00FA0D37">
        <w:t xml:space="preserve">    },</w:t>
      </w:r>
    </w:p>
    <w:p w14:paraId="76A4F3A7" w14:textId="707A9758" w:rsidR="00212830" w:rsidRPr="00FA0D37" w:rsidRDefault="00212830" w:rsidP="00FA0D37">
      <w:pPr>
        <w:pStyle w:val="PL"/>
      </w:pPr>
      <w:r w:rsidRPr="00FA0D37">
        <w:t xml:space="preserve">    ...</w:t>
      </w:r>
    </w:p>
    <w:p w14:paraId="31244E79" w14:textId="77777777" w:rsidR="00212830" w:rsidRPr="00FA0D37" w:rsidRDefault="00212830" w:rsidP="00FA0D37">
      <w:pPr>
        <w:pStyle w:val="PL"/>
      </w:pPr>
      <w:r w:rsidRPr="00FA0D37">
        <w:t>}</w:t>
      </w:r>
    </w:p>
    <w:p w14:paraId="282A2915" w14:textId="77777777" w:rsidR="009B1D75" w:rsidRPr="00FA0D37" w:rsidRDefault="009B1D75" w:rsidP="00FA0D37">
      <w:pPr>
        <w:pStyle w:val="PL"/>
      </w:pPr>
    </w:p>
    <w:p w14:paraId="7476D089" w14:textId="6DE367DD" w:rsidR="009B1D75" w:rsidRPr="00FA0D37" w:rsidRDefault="009B1D75" w:rsidP="00FA0D37">
      <w:pPr>
        <w:pStyle w:val="PL"/>
        <w:rPr>
          <w:color w:val="808080"/>
        </w:rPr>
      </w:pPr>
      <w:r w:rsidRPr="00FA0D37">
        <w:rPr>
          <w:color w:val="808080"/>
        </w:rPr>
        <w:t>-- TAG-DL-</w:t>
      </w:r>
      <w:r w:rsidR="00212830" w:rsidRPr="00FA0D37">
        <w:rPr>
          <w:color w:val="808080"/>
        </w:rPr>
        <w:t>PPW-</w:t>
      </w:r>
      <w:r w:rsidRPr="00FA0D37">
        <w:rPr>
          <w:color w:val="808080"/>
        </w:rPr>
        <w:t>PRECONFIG-STOP</w:t>
      </w:r>
    </w:p>
    <w:p w14:paraId="0D2B03AB" w14:textId="77777777" w:rsidR="009B1D75" w:rsidRPr="00FA0D37" w:rsidRDefault="009B1D75" w:rsidP="00FA0D37">
      <w:pPr>
        <w:pStyle w:val="PL"/>
        <w:rPr>
          <w:color w:val="808080"/>
        </w:rPr>
      </w:pPr>
      <w:r w:rsidRPr="00FA0D37">
        <w:rPr>
          <w:color w:val="808080"/>
        </w:rPr>
        <w:t>-- ASN1STOP</w:t>
      </w:r>
    </w:p>
    <w:p w14:paraId="4638802D" w14:textId="77777777" w:rsidR="009B1D75" w:rsidRPr="00FA0D37"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FA0D37" w:rsidRDefault="009B1D75" w:rsidP="00771058">
            <w:pPr>
              <w:pStyle w:val="TAH"/>
              <w:rPr>
                <w:lang w:eastAsia="en-GB"/>
              </w:rPr>
            </w:pPr>
            <w:r w:rsidRPr="00FA0D37">
              <w:rPr>
                <w:rFonts w:eastAsia="宋体"/>
                <w:i/>
                <w:lang w:eastAsia="zh-CN"/>
              </w:rPr>
              <w:lastRenderedPageBreak/>
              <w:t>DL-</w:t>
            </w:r>
            <w:r w:rsidR="00BF02A3" w:rsidRPr="00FA0D37">
              <w:rPr>
                <w:rFonts w:eastAsia="宋体"/>
                <w:i/>
                <w:lang w:eastAsia="zh-CN"/>
              </w:rPr>
              <w:t>PPW-</w:t>
            </w:r>
            <w:r w:rsidRPr="00FA0D37">
              <w:rPr>
                <w:rFonts w:eastAsia="宋体"/>
                <w:i/>
                <w:lang w:eastAsia="zh-CN"/>
              </w:rPr>
              <w:t xml:space="preserve">PreConfig </w:t>
            </w:r>
            <w:r w:rsidRPr="00FA0D37">
              <w:rPr>
                <w:iCs/>
                <w:lang w:eastAsia="en-GB"/>
              </w:rPr>
              <w:t>field descriptions</w:t>
            </w:r>
          </w:p>
        </w:tc>
      </w:tr>
      <w:tr w:rsidR="005C7FF4" w:rsidRPr="00FA0D37"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FA0D37" w:rsidRDefault="009B1D75" w:rsidP="00771058">
            <w:pPr>
              <w:pStyle w:val="TAL"/>
              <w:rPr>
                <w:lang w:eastAsia="zh-CN"/>
              </w:rPr>
            </w:pPr>
            <w:r w:rsidRPr="00FA0D37">
              <w:rPr>
                <w:rFonts w:cs="Arial"/>
                <w:b/>
                <w:i/>
                <w:lang w:eastAsia="en-GB"/>
              </w:rPr>
              <w:t>dl-</w:t>
            </w:r>
            <w:r w:rsidR="00BF02A3" w:rsidRPr="00FA0D37">
              <w:rPr>
                <w:rFonts w:cs="Arial"/>
                <w:b/>
                <w:i/>
                <w:lang w:eastAsia="en-GB"/>
              </w:rPr>
              <w:t>PPW-</w:t>
            </w:r>
            <w:r w:rsidRPr="00FA0D37">
              <w:rPr>
                <w:rFonts w:cs="Arial"/>
                <w:b/>
                <w:i/>
                <w:lang w:eastAsia="en-GB"/>
              </w:rPr>
              <w:t>ID</w:t>
            </w:r>
          </w:p>
          <w:p w14:paraId="7EDAC3EE" w14:textId="77777777" w:rsidR="009B1D75" w:rsidRPr="00FA0D37" w:rsidRDefault="009B1D75" w:rsidP="00771058">
            <w:pPr>
              <w:pStyle w:val="TAL"/>
              <w:rPr>
                <w:rFonts w:eastAsia="宋体"/>
                <w:lang w:eastAsia="zh-CN"/>
              </w:rPr>
            </w:pPr>
            <w:r w:rsidRPr="00FA0D37">
              <w:rPr>
                <w:lang w:eastAsia="zh-CN"/>
              </w:rPr>
              <w:t>Indicates the pre-configured ID for DL-PRS processing window configuration</w:t>
            </w:r>
            <w:r w:rsidRPr="00FA0D37">
              <w:rPr>
                <w:rFonts w:cs="Arial"/>
                <w:szCs w:val="18"/>
                <w:lang w:eastAsia="zh-CN"/>
              </w:rPr>
              <w:t>.</w:t>
            </w:r>
          </w:p>
        </w:tc>
      </w:tr>
      <w:tr w:rsidR="005C7FF4" w:rsidRPr="00FA0D37"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FA0D37" w:rsidRDefault="000D7C2E" w:rsidP="00A12BD9">
            <w:pPr>
              <w:pStyle w:val="TAL"/>
              <w:rPr>
                <w:rFonts w:eastAsia="宋体"/>
                <w:b/>
                <w:bCs/>
                <w:i/>
                <w:iCs/>
                <w:lang w:eastAsia="zh-CN"/>
              </w:rPr>
            </w:pPr>
            <w:r w:rsidRPr="00FA0D37">
              <w:rPr>
                <w:rFonts w:eastAsia="宋体"/>
                <w:b/>
                <w:bCs/>
                <w:i/>
                <w:iCs/>
                <w:lang w:eastAsia="zh-CN"/>
              </w:rPr>
              <w:t>dl-PPW-Periodicity</w:t>
            </w:r>
            <w:r w:rsidR="00167A48" w:rsidRPr="00FA0D37">
              <w:rPr>
                <w:rFonts w:eastAsia="宋体"/>
                <w:b/>
                <w:bCs/>
                <w:i/>
                <w:iCs/>
                <w:lang w:eastAsia="zh-CN"/>
              </w:rPr>
              <w:t>A</w:t>
            </w:r>
            <w:r w:rsidRPr="00FA0D37">
              <w:rPr>
                <w:rFonts w:eastAsia="宋体"/>
                <w:b/>
                <w:bCs/>
                <w:i/>
                <w:iCs/>
                <w:lang w:eastAsia="zh-CN"/>
              </w:rPr>
              <w:t>ndStartSlot</w:t>
            </w:r>
          </w:p>
          <w:p w14:paraId="029B51DE" w14:textId="77777777" w:rsidR="000D7C2E" w:rsidRPr="00FA0D37" w:rsidRDefault="000D7C2E" w:rsidP="00A12BD9">
            <w:pPr>
              <w:pStyle w:val="TAL"/>
              <w:rPr>
                <w:rFonts w:eastAsia="宋体"/>
                <w:lang w:eastAsia="zh-CN"/>
              </w:rPr>
            </w:pPr>
            <w:r w:rsidRPr="00FA0D37">
              <w:rPr>
                <w:rFonts w:eastAsia="宋体"/>
                <w:lang w:eastAsia="zh-CN"/>
              </w:rPr>
              <w:t>Indicates the periodicity in slots and the offset of the starting slot with respect to SFN #0 slot #0 of the serving cell where the DL-PRS processing window is configured.</w:t>
            </w:r>
          </w:p>
        </w:tc>
      </w:tr>
      <w:tr w:rsidR="005C7FF4" w:rsidRPr="00FA0D37"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FA0D37" w:rsidRDefault="009B1D75" w:rsidP="00771058">
            <w:pPr>
              <w:pStyle w:val="TAL"/>
              <w:rPr>
                <w:rFonts w:eastAsia="宋体"/>
                <w:b/>
                <w:i/>
                <w:lang w:eastAsia="zh-CN"/>
              </w:rPr>
            </w:pPr>
            <w:r w:rsidRPr="00FA0D37">
              <w:rPr>
                <w:rFonts w:eastAsia="宋体"/>
                <w:b/>
                <w:i/>
                <w:lang w:eastAsia="zh-CN"/>
              </w:rPr>
              <w:t>length</w:t>
            </w:r>
          </w:p>
          <w:p w14:paraId="71CAC91B" w14:textId="68503403" w:rsidR="009B1D75" w:rsidRPr="00FA0D37" w:rsidRDefault="009B1D75" w:rsidP="00771058">
            <w:pPr>
              <w:pStyle w:val="TAL"/>
              <w:rPr>
                <w:rFonts w:eastAsia="宋体"/>
                <w:lang w:eastAsia="zh-CN"/>
              </w:rPr>
            </w:pPr>
            <w:r w:rsidRPr="00FA0D37">
              <w:rPr>
                <w:rFonts w:eastAsia="宋体"/>
                <w:lang w:eastAsia="zh-CN"/>
              </w:rPr>
              <w:t>Indicates the length of DL-PRS</w:t>
            </w:r>
            <w:r w:rsidR="003A2D9D" w:rsidRPr="00FA0D37">
              <w:rPr>
                <w:rFonts w:eastAsia="宋体"/>
                <w:lang w:eastAsia="zh-CN"/>
              </w:rPr>
              <w:t xml:space="preserve"> </w:t>
            </w:r>
            <w:r w:rsidRPr="00FA0D37">
              <w:rPr>
                <w:rFonts w:eastAsia="宋体"/>
                <w:lang w:eastAsia="zh-CN"/>
              </w:rPr>
              <w:t>processing window</w:t>
            </w:r>
            <w:r w:rsidR="00BF02A3" w:rsidRPr="00FA0D37">
              <w:rPr>
                <w:rFonts w:eastAsia="宋体"/>
                <w:lang w:eastAsia="zh-CN"/>
              </w:rPr>
              <w:t xml:space="preserve"> in slots</w:t>
            </w:r>
            <w:r w:rsidRPr="00FA0D37">
              <w:rPr>
                <w:rFonts w:eastAsia="宋体"/>
                <w:lang w:eastAsia="zh-CN"/>
              </w:rPr>
              <w:t>.</w:t>
            </w:r>
            <w:r w:rsidR="00BF02A3" w:rsidRPr="00FA0D37">
              <w:rPr>
                <w:rFonts w:eastAsia="宋体"/>
                <w:lang w:eastAsia="zh-CN"/>
              </w:rPr>
              <w:t xml:space="preserve"> Value 1 indicates </w:t>
            </w:r>
            <w:r w:rsidR="00BF02A3" w:rsidRPr="00FA0D37">
              <w:rPr>
                <w:rFonts w:eastAsia="宋体"/>
                <w:i/>
                <w:lang w:eastAsia="zh-CN"/>
              </w:rPr>
              <w:t>length</w:t>
            </w:r>
            <w:r w:rsidR="00BF02A3" w:rsidRPr="00FA0D37">
              <w:rPr>
                <w:rFonts w:eastAsia="宋体"/>
                <w:lang w:eastAsia="zh-CN"/>
              </w:rPr>
              <w:t xml:space="preserve"> of one slot, value 2 indicates </w:t>
            </w:r>
            <w:r w:rsidR="00BF02A3" w:rsidRPr="00FA0D37">
              <w:rPr>
                <w:rFonts w:eastAsia="宋体"/>
                <w:i/>
                <w:lang w:eastAsia="zh-CN"/>
              </w:rPr>
              <w:t>length</w:t>
            </w:r>
            <w:r w:rsidR="00BF02A3" w:rsidRPr="00FA0D37">
              <w:rPr>
                <w:rFonts w:eastAsia="宋体"/>
                <w:lang w:eastAsia="zh-CN"/>
              </w:rPr>
              <w:t xml:space="preserve"> of two slots and so on.</w:t>
            </w:r>
          </w:p>
        </w:tc>
      </w:tr>
      <w:tr w:rsidR="005C7FF4" w:rsidRPr="00FA0D37"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FA0D37" w:rsidRDefault="009B1D75" w:rsidP="00771058">
            <w:pPr>
              <w:pStyle w:val="TAL"/>
              <w:rPr>
                <w:rFonts w:eastAsia="宋体"/>
                <w:b/>
                <w:i/>
                <w:lang w:eastAsia="zh-CN"/>
              </w:rPr>
            </w:pPr>
            <w:r w:rsidRPr="00FA0D37">
              <w:rPr>
                <w:rFonts w:eastAsia="宋体"/>
                <w:b/>
                <w:i/>
                <w:lang w:eastAsia="zh-CN"/>
              </w:rPr>
              <w:t>priority</w:t>
            </w:r>
          </w:p>
          <w:p w14:paraId="1A8E0BD6" w14:textId="09F23742" w:rsidR="009B1D75" w:rsidRPr="00FA0D37" w:rsidRDefault="009B1D75" w:rsidP="00771058">
            <w:pPr>
              <w:pStyle w:val="TAL"/>
              <w:rPr>
                <w:rFonts w:eastAsia="宋体"/>
                <w:b/>
                <w:i/>
                <w:lang w:eastAsia="zh-CN"/>
              </w:rPr>
            </w:pPr>
            <w:r w:rsidRPr="00FA0D37">
              <w:rPr>
                <w:rFonts w:eastAsia="宋体"/>
                <w:lang w:eastAsia="zh-CN"/>
              </w:rPr>
              <w:t>Indicates the priority between PDCCH/PDSCH/CSI-RS and PRS</w:t>
            </w:r>
            <w:r w:rsidR="00F42915" w:rsidRPr="00FA0D37">
              <w:rPr>
                <w:rFonts w:eastAsia="宋体"/>
                <w:lang w:eastAsia="zh-CN"/>
              </w:rPr>
              <w:t xml:space="preserve"> as specified in TS 38.214 [19</w:t>
            </w:r>
            <w:r w:rsidR="00F42915" w:rsidRPr="00FA0D37">
              <w:rPr>
                <w:rFonts w:eastAsiaTheme="minorEastAsia"/>
              </w:rPr>
              <w:t>]</w:t>
            </w:r>
            <w:r w:rsidRPr="00FA0D37">
              <w:rPr>
                <w:rFonts w:eastAsia="宋体"/>
                <w:lang w:eastAsia="zh-CN"/>
              </w:rPr>
              <w:t>.</w:t>
            </w:r>
          </w:p>
        </w:tc>
      </w:tr>
      <w:tr w:rsidR="00F747EB" w:rsidRPr="00FA0D37"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FA0D37" w:rsidRDefault="00F42915" w:rsidP="00F42915">
            <w:pPr>
              <w:pStyle w:val="TAL"/>
              <w:rPr>
                <w:rFonts w:eastAsia="宋体"/>
                <w:b/>
                <w:i/>
                <w:lang w:eastAsia="zh-CN"/>
              </w:rPr>
            </w:pPr>
            <w:r w:rsidRPr="00FA0D37">
              <w:rPr>
                <w:rFonts w:eastAsia="宋体"/>
                <w:b/>
                <w:i/>
                <w:lang w:eastAsia="zh-CN"/>
              </w:rPr>
              <w:t>type</w:t>
            </w:r>
          </w:p>
          <w:p w14:paraId="1D19C15E" w14:textId="5E4F42AC" w:rsidR="00F42915" w:rsidRPr="00FA0D37" w:rsidRDefault="00F42915" w:rsidP="00F42915">
            <w:pPr>
              <w:pStyle w:val="TAL"/>
              <w:rPr>
                <w:rFonts w:eastAsia="宋体"/>
                <w:b/>
                <w:i/>
                <w:lang w:eastAsia="zh-CN"/>
              </w:rPr>
            </w:pPr>
            <w:r w:rsidRPr="00FA0D37">
              <w:rPr>
                <w:rFonts w:eastAsia="宋体"/>
                <w:lang w:eastAsia="zh-CN"/>
              </w:rPr>
              <w:t>Indicates the DL-PRS processing window type as specified in TS 38.214 [19].</w:t>
            </w:r>
          </w:p>
        </w:tc>
      </w:tr>
    </w:tbl>
    <w:p w14:paraId="1EB35A22" w14:textId="32ABBA30" w:rsidR="009B1D75" w:rsidRPr="00FA0D37"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5C7FF4" w:rsidRPr="00FA0D37"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FA0D37" w:rsidRDefault="00F42915" w:rsidP="0071565C">
            <w:pPr>
              <w:pStyle w:val="TAH"/>
              <w:rPr>
                <w:rFonts w:eastAsia="宋体"/>
                <w:lang w:eastAsia="sv-SE"/>
              </w:rPr>
            </w:pPr>
            <w:r w:rsidRPr="00FA0D37">
              <w:rPr>
                <w:rFonts w:eastAsia="宋体"/>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FA0D37" w:rsidRDefault="00F42915" w:rsidP="0071565C">
            <w:pPr>
              <w:pStyle w:val="TAH"/>
              <w:rPr>
                <w:rFonts w:eastAsia="宋体"/>
                <w:lang w:eastAsia="sv-SE"/>
              </w:rPr>
            </w:pPr>
            <w:r w:rsidRPr="00FA0D37">
              <w:rPr>
                <w:rFonts w:eastAsia="宋体"/>
                <w:lang w:eastAsia="sv-SE"/>
              </w:rPr>
              <w:t>Explanation</w:t>
            </w:r>
          </w:p>
        </w:tc>
      </w:tr>
      <w:tr w:rsidR="005C7FF4" w:rsidRPr="00FA0D37"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FA0D37" w:rsidRDefault="00571D55" w:rsidP="0071565C">
            <w:pPr>
              <w:pStyle w:val="TAL"/>
              <w:rPr>
                <w:rFonts w:eastAsia="宋体"/>
                <w:i/>
              </w:rPr>
            </w:pPr>
            <w:r w:rsidRPr="00FA0D37">
              <w:rPr>
                <w:rFonts w:eastAsia="宋体"/>
                <w:i/>
              </w:rPr>
              <w:t>M</w:t>
            </w:r>
            <w:r w:rsidR="00F42915" w:rsidRPr="00FA0D37">
              <w:rPr>
                <w:rFonts w:eastAsia="宋体"/>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FA0D37" w:rsidRDefault="00F42915" w:rsidP="0071565C">
            <w:pPr>
              <w:pStyle w:val="TAL"/>
              <w:rPr>
                <w:rFonts w:eastAsia="宋体"/>
                <w:lang w:eastAsia="sv-SE"/>
              </w:rPr>
            </w:pPr>
            <w:r w:rsidRPr="00FA0D37">
              <w:rPr>
                <w:lang w:eastAsia="sv-SE"/>
              </w:rPr>
              <w:t xml:space="preserve">The field is mandatory present when the UE reports its capability on supporting multiple processing types, otherwise it is </w:t>
            </w:r>
            <w:r w:rsidRPr="00FA0D37">
              <w:rPr>
                <w:lang w:eastAsia="en-GB"/>
              </w:rPr>
              <w:t>absent</w:t>
            </w:r>
            <w:r w:rsidRPr="00FA0D37">
              <w:rPr>
                <w:lang w:eastAsia="sv-SE"/>
              </w:rPr>
              <w:t>.</w:t>
            </w:r>
          </w:p>
        </w:tc>
      </w:tr>
      <w:tr w:rsidR="00F747EB" w:rsidRPr="00FA0D37"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FA0D37" w:rsidRDefault="00571D55" w:rsidP="0071565C">
            <w:pPr>
              <w:pStyle w:val="TAL"/>
              <w:rPr>
                <w:rFonts w:eastAsia="宋体"/>
                <w:i/>
              </w:rPr>
            </w:pPr>
            <w:r w:rsidRPr="00FA0D37">
              <w:rPr>
                <w:rFonts w:eastAsia="宋体"/>
                <w:i/>
              </w:rPr>
              <w:t>M</w:t>
            </w:r>
            <w:r w:rsidR="00F42915" w:rsidRPr="00FA0D37">
              <w:rPr>
                <w:rFonts w:eastAsia="宋体"/>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FA0D37" w:rsidRDefault="00F42915" w:rsidP="0071565C">
            <w:pPr>
              <w:pStyle w:val="TAL"/>
              <w:rPr>
                <w:lang w:eastAsia="sv-SE"/>
              </w:rPr>
            </w:pPr>
            <w:r w:rsidRPr="00FA0D37">
              <w:rPr>
                <w:lang w:eastAsia="sv-SE"/>
              </w:rPr>
              <w:t>The field is mandatory present when the UE reports its capability on supporting option 1 or option 2 for the configured type, otherwise it is absent</w:t>
            </w:r>
            <w:r w:rsidR="000D7C2E" w:rsidRPr="00FA0D37">
              <w:rPr>
                <w:lang w:eastAsia="sv-SE"/>
              </w:rPr>
              <w:t>.</w:t>
            </w:r>
          </w:p>
        </w:tc>
      </w:tr>
    </w:tbl>
    <w:p w14:paraId="01129796" w14:textId="77777777" w:rsidR="00F42915" w:rsidRPr="00FA0D37" w:rsidRDefault="00F42915" w:rsidP="00394471"/>
    <w:p w14:paraId="565E576C" w14:textId="77777777" w:rsidR="00876032" w:rsidRPr="00FA0D37" w:rsidRDefault="00876032" w:rsidP="00876032">
      <w:pPr>
        <w:pStyle w:val="4"/>
      </w:pPr>
      <w:bookmarkStart w:id="1010" w:name="_Toc146781276"/>
      <w:r w:rsidRPr="00FA0D37">
        <w:t>–</w:t>
      </w:r>
      <w:r w:rsidRPr="00FA0D37">
        <w:tab/>
      </w:r>
      <w:r w:rsidRPr="00FA0D37">
        <w:rPr>
          <w:i/>
        </w:rPr>
        <w:t>DMRS-BundlingPUCCH-Config</w:t>
      </w:r>
      <w:bookmarkEnd w:id="1010"/>
    </w:p>
    <w:p w14:paraId="7C4CA532" w14:textId="77777777" w:rsidR="00876032" w:rsidRPr="00FA0D37" w:rsidRDefault="00876032" w:rsidP="00876032">
      <w:r w:rsidRPr="00FA0D37">
        <w:t xml:space="preserve">The IE </w:t>
      </w:r>
      <w:r w:rsidRPr="00FA0D37">
        <w:rPr>
          <w:i/>
        </w:rPr>
        <w:t>DMRS-BundlingPUCCH-Config-r17</w:t>
      </w:r>
      <w:r w:rsidRPr="00FA0D37">
        <w:t xml:space="preserve"> is used to configure DMRS bundling for PUCCH.</w:t>
      </w:r>
    </w:p>
    <w:p w14:paraId="236A5CA3" w14:textId="77777777" w:rsidR="00876032" w:rsidRPr="00FA0D37" w:rsidRDefault="00876032" w:rsidP="00876032">
      <w:pPr>
        <w:pStyle w:val="TH"/>
      </w:pPr>
      <w:r w:rsidRPr="00FA0D37">
        <w:rPr>
          <w:i/>
        </w:rPr>
        <w:t xml:space="preserve">DMRS-BundlingPUCCH-Config </w:t>
      </w:r>
      <w:r w:rsidRPr="00FA0D37">
        <w:t>information element</w:t>
      </w:r>
    </w:p>
    <w:p w14:paraId="42709B3A" w14:textId="77777777" w:rsidR="00876032" w:rsidRPr="00FA0D37" w:rsidRDefault="00876032" w:rsidP="00FA0D37">
      <w:pPr>
        <w:pStyle w:val="PL"/>
        <w:rPr>
          <w:color w:val="808080"/>
        </w:rPr>
      </w:pPr>
      <w:r w:rsidRPr="00FA0D37">
        <w:rPr>
          <w:color w:val="808080"/>
        </w:rPr>
        <w:t>-- ASN1START</w:t>
      </w:r>
    </w:p>
    <w:p w14:paraId="74FFDAE1" w14:textId="77777777" w:rsidR="00876032" w:rsidRPr="00FA0D37" w:rsidRDefault="00876032" w:rsidP="00FA0D37">
      <w:pPr>
        <w:pStyle w:val="PL"/>
        <w:rPr>
          <w:color w:val="808080"/>
        </w:rPr>
      </w:pPr>
      <w:r w:rsidRPr="00FA0D37">
        <w:rPr>
          <w:color w:val="808080"/>
        </w:rPr>
        <w:t>-- TAG-DMRS-BUNDLINGPUCCH-CONFIG-START</w:t>
      </w:r>
    </w:p>
    <w:p w14:paraId="167CEFA3" w14:textId="77777777" w:rsidR="00876032" w:rsidRPr="00FA0D37" w:rsidRDefault="00876032" w:rsidP="00FA0D37">
      <w:pPr>
        <w:pStyle w:val="PL"/>
      </w:pPr>
    </w:p>
    <w:p w14:paraId="52020A78" w14:textId="2B998CAD" w:rsidR="00876032" w:rsidRPr="00FA0D37" w:rsidRDefault="00876032" w:rsidP="00FA0D37">
      <w:pPr>
        <w:pStyle w:val="PL"/>
      </w:pPr>
      <w:r w:rsidRPr="00FA0D37">
        <w:t xml:space="preserve">DMRS-BundlingPUCCH-Config-r17 ::=         </w:t>
      </w:r>
      <w:r w:rsidRPr="00FA0D37">
        <w:rPr>
          <w:color w:val="993366"/>
        </w:rPr>
        <w:t>SEQUENCE</w:t>
      </w:r>
      <w:r w:rsidRPr="00FA0D37">
        <w:t xml:space="preserve"> {</w:t>
      </w:r>
    </w:p>
    <w:p w14:paraId="335877A9" w14:textId="52DA9E6C" w:rsidR="00876032" w:rsidRPr="00FA0D37" w:rsidRDefault="00876032" w:rsidP="00FA0D37">
      <w:pPr>
        <w:pStyle w:val="PL"/>
        <w:rPr>
          <w:color w:val="808080"/>
        </w:rPr>
      </w:pPr>
      <w:r w:rsidRPr="00FA0D37">
        <w:t xml:space="preserve">    pucch-DMRS-Bundling-r17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xml:space="preserve">-- Need </w:t>
      </w:r>
      <w:r w:rsidR="00295D02" w:rsidRPr="00FA0D37">
        <w:rPr>
          <w:color w:val="808080"/>
        </w:rPr>
        <w:t>R</w:t>
      </w:r>
    </w:p>
    <w:p w14:paraId="63F34E9B" w14:textId="6772A7DF" w:rsidR="00876032" w:rsidRPr="00FA0D37" w:rsidRDefault="00876032" w:rsidP="00FA0D37">
      <w:pPr>
        <w:pStyle w:val="PL"/>
        <w:rPr>
          <w:color w:val="808080"/>
        </w:rPr>
      </w:pPr>
      <w:r w:rsidRPr="00FA0D37">
        <w:t xml:space="preserve">    pucch-TimeDomainWindowLength-r17          </w:t>
      </w:r>
      <w:r w:rsidRPr="00FA0D37">
        <w:rPr>
          <w:color w:val="993366"/>
        </w:rPr>
        <w:t>INTEGER</w:t>
      </w:r>
      <w:r w:rsidRPr="00FA0D37">
        <w:t xml:space="preserve"> (2..8)                                                  </w:t>
      </w:r>
      <w:r w:rsidRPr="00FA0D37">
        <w:rPr>
          <w:color w:val="993366"/>
        </w:rPr>
        <w:t>OPTIONAL</w:t>
      </w:r>
      <w:r w:rsidRPr="00FA0D37">
        <w:t xml:space="preserve">,   </w:t>
      </w:r>
      <w:r w:rsidRPr="00FA0D37">
        <w:rPr>
          <w:color w:val="808080"/>
        </w:rPr>
        <w:t>-- Need S</w:t>
      </w:r>
    </w:p>
    <w:p w14:paraId="081B83B4" w14:textId="27FC8627" w:rsidR="00876032" w:rsidRPr="00FA0D37" w:rsidRDefault="00876032" w:rsidP="00FA0D37">
      <w:pPr>
        <w:pStyle w:val="PL"/>
        <w:rPr>
          <w:color w:val="808080"/>
        </w:rPr>
      </w:pPr>
      <w:r w:rsidRPr="00FA0D37">
        <w:t xml:space="preserve">    pucch-WindowRestart-r17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xml:space="preserve">-- Need </w:t>
      </w:r>
      <w:r w:rsidR="00295D02" w:rsidRPr="00FA0D37">
        <w:rPr>
          <w:color w:val="808080"/>
        </w:rPr>
        <w:t>R</w:t>
      </w:r>
    </w:p>
    <w:p w14:paraId="22983961" w14:textId="5414CF6F" w:rsidR="00876032" w:rsidRPr="00FA0D37" w:rsidRDefault="00876032" w:rsidP="00FA0D37">
      <w:pPr>
        <w:pStyle w:val="PL"/>
        <w:rPr>
          <w:color w:val="808080"/>
        </w:rPr>
      </w:pPr>
      <w:r w:rsidRPr="00FA0D37">
        <w:t xml:space="preserve">    pucch-FrequencyHoppingInterval-r17        </w:t>
      </w:r>
      <w:r w:rsidRPr="00FA0D37">
        <w:rPr>
          <w:color w:val="993366"/>
        </w:rPr>
        <w:t>ENUMERATED</w:t>
      </w:r>
      <w:r w:rsidRPr="00FA0D37">
        <w:t xml:space="preserve"> {s2, s4, s5, s10}                                    </w:t>
      </w:r>
      <w:r w:rsidRPr="00FA0D37">
        <w:rPr>
          <w:color w:val="993366"/>
        </w:rPr>
        <w:t>OPTIONAL</w:t>
      </w:r>
      <w:r w:rsidRPr="00FA0D37">
        <w:t xml:space="preserve">,   </w:t>
      </w:r>
      <w:r w:rsidRPr="00FA0D37">
        <w:rPr>
          <w:color w:val="808080"/>
        </w:rPr>
        <w:t>-- Need S</w:t>
      </w:r>
    </w:p>
    <w:p w14:paraId="44DDFF6D" w14:textId="77777777" w:rsidR="00876032" w:rsidRPr="00FA0D37" w:rsidRDefault="00876032" w:rsidP="00FA0D37">
      <w:pPr>
        <w:pStyle w:val="PL"/>
      </w:pPr>
      <w:r w:rsidRPr="00FA0D37">
        <w:t xml:space="preserve">    ...</w:t>
      </w:r>
    </w:p>
    <w:p w14:paraId="139CD37D" w14:textId="77777777" w:rsidR="00876032" w:rsidRPr="00FA0D37" w:rsidRDefault="00876032" w:rsidP="00FA0D37">
      <w:pPr>
        <w:pStyle w:val="PL"/>
      </w:pPr>
      <w:r w:rsidRPr="00FA0D37">
        <w:t>}</w:t>
      </w:r>
    </w:p>
    <w:p w14:paraId="026A228E" w14:textId="77777777" w:rsidR="00876032" w:rsidRPr="00FA0D37" w:rsidRDefault="00876032" w:rsidP="00FA0D37">
      <w:pPr>
        <w:pStyle w:val="PL"/>
      </w:pPr>
    </w:p>
    <w:p w14:paraId="3CBC4148" w14:textId="77777777" w:rsidR="00876032" w:rsidRPr="00FA0D37" w:rsidRDefault="00876032" w:rsidP="00FA0D37">
      <w:pPr>
        <w:pStyle w:val="PL"/>
        <w:rPr>
          <w:color w:val="808080"/>
        </w:rPr>
      </w:pPr>
      <w:r w:rsidRPr="00FA0D37">
        <w:rPr>
          <w:color w:val="808080"/>
        </w:rPr>
        <w:t>-- TAG-DMRS-BUNDLINGPUCCH-CONFIG-STOP</w:t>
      </w:r>
    </w:p>
    <w:p w14:paraId="1D213AA2" w14:textId="77777777" w:rsidR="00876032" w:rsidRPr="00FA0D37" w:rsidRDefault="00876032" w:rsidP="00FA0D37">
      <w:pPr>
        <w:pStyle w:val="PL"/>
        <w:rPr>
          <w:color w:val="808080"/>
        </w:rPr>
      </w:pPr>
      <w:r w:rsidRPr="00FA0D37">
        <w:rPr>
          <w:color w:val="808080"/>
        </w:rPr>
        <w:t>-- ASN1STOP</w:t>
      </w:r>
    </w:p>
    <w:p w14:paraId="1ED30A4E" w14:textId="77777777" w:rsidR="00876032" w:rsidRPr="00FA0D3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FA0D37" w:rsidRDefault="00876032" w:rsidP="00771058">
            <w:pPr>
              <w:pStyle w:val="TAH"/>
              <w:rPr>
                <w:szCs w:val="22"/>
                <w:lang w:eastAsia="sv-SE"/>
              </w:rPr>
            </w:pPr>
            <w:r w:rsidRPr="00FA0D37">
              <w:rPr>
                <w:i/>
                <w:szCs w:val="22"/>
                <w:lang w:eastAsia="sv-SE"/>
              </w:rPr>
              <w:lastRenderedPageBreak/>
              <w:t xml:space="preserve">DMRS-BundlingPUCCH-Config </w:t>
            </w:r>
            <w:r w:rsidRPr="00FA0D37">
              <w:rPr>
                <w:szCs w:val="22"/>
                <w:lang w:eastAsia="sv-SE"/>
              </w:rPr>
              <w:t>field descriptions</w:t>
            </w:r>
          </w:p>
        </w:tc>
      </w:tr>
      <w:tr w:rsidR="005C7FF4" w:rsidRPr="00FA0D37"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FA0D37" w:rsidRDefault="00876032" w:rsidP="00771058">
            <w:pPr>
              <w:pStyle w:val="TAL"/>
              <w:rPr>
                <w:szCs w:val="22"/>
                <w:lang w:eastAsia="sv-SE"/>
              </w:rPr>
            </w:pPr>
            <w:r w:rsidRPr="00FA0D37">
              <w:rPr>
                <w:b/>
                <w:i/>
                <w:szCs w:val="22"/>
                <w:lang w:eastAsia="sv-SE"/>
              </w:rPr>
              <w:t>pucch-DMRS-Bundling</w:t>
            </w:r>
          </w:p>
          <w:p w14:paraId="16207451" w14:textId="1DB355BF" w:rsidR="00876032" w:rsidRPr="00FA0D37" w:rsidRDefault="00876032" w:rsidP="00771058">
            <w:pPr>
              <w:pStyle w:val="TAL"/>
              <w:rPr>
                <w:szCs w:val="22"/>
                <w:lang w:eastAsia="sv-SE"/>
              </w:rPr>
            </w:pPr>
            <w:r w:rsidRPr="00FA0D37">
              <w:rPr>
                <w:szCs w:val="22"/>
              </w:rPr>
              <w:t>Indicates whether DMRS bundling and time domain window for PUCCH are jointly enabled.</w:t>
            </w:r>
          </w:p>
        </w:tc>
      </w:tr>
      <w:tr w:rsidR="005C7FF4" w:rsidRPr="00FA0D37"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FA0D37" w:rsidRDefault="00876032" w:rsidP="00771058">
            <w:pPr>
              <w:pStyle w:val="TAL"/>
              <w:rPr>
                <w:szCs w:val="22"/>
                <w:lang w:eastAsia="sv-SE"/>
              </w:rPr>
            </w:pPr>
            <w:r w:rsidRPr="00FA0D37">
              <w:rPr>
                <w:b/>
                <w:i/>
                <w:szCs w:val="22"/>
                <w:lang w:eastAsia="sv-SE"/>
              </w:rPr>
              <w:t>pucch-FrequencyHoppingInterval</w:t>
            </w:r>
          </w:p>
          <w:p w14:paraId="3566DF86" w14:textId="77777777" w:rsidR="00876032" w:rsidRPr="00FA0D37" w:rsidRDefault="00876032" w:rsidP="00771058">
            <w:pPr>
              <w:pStyle w:val="TAL"/>
              <w:rPr>
                <w:b/>
                <w:i/>
              </w:rPr>
            </w:pPr>
            <w:r w:rsidRPr="00FA0D37">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FA0D37">
              <w:rPr>
                <w:i/>
                <w:szCs w:val="22"/>
              </w:rPr>
              <w:t>pucch-FrequencyHoppingInterval-r17</w:t>
            </w:r>
            <w:r w:rsidRPr="00FA0D37">
              <w:rPr>
                <w:szCs w:val="22"/>
              </w:rPr>
              <w:t xml:space="preserve"> and </w:t>
            </w:r>
            <w:r w:rsidRPr="00FA0D37">
              <w:rPr>
                <w:i/>
                <w:szCs w:val="22"/>
              </w:rPr>
              <w:t>pucch-TimeDomainWindowLength-r17</w:t>
            </w:r>
            <w:r w:rsidRPr="00FA0D37">
              <w:rPr>
                <w:szCs w:val="22"/>
              </w:rPr>
              <w:t xml:space="preserve">. When DMRS bundling for PUCCH is enabled by </w:t>
            </w:r>
            <w:r w:rsidRPr="00FA0D37">
              <w:rPr>
                <w:i/>
                <w:szCs w:val="22"/>
              </w:rPr>
              <w:t>pucch-DMRS-Bundling-r17,</w:t>
            </w:r>
            <w:r w:rsidRPr="00FA0D37">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FA0D37">
              <w:rPr>
                <w:i/>
                <w:szCs w:val="22"/>
              </w:rPr>
              <w:t>pucch-TimeDomainWindowLength-r17.</w:t>
            </w:r>
          </w:p>
        </w:tc>
      </w:tr>
      <w:tr w:rsidR="005C7FF4" w:rsidRPr="00FA0D37"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FA0D37" w:rsidRDefault="00876032" w:rsidP="00771058">
            <w:pPr>
              <w:pStyle w:val="TAL"/>
              <w:rPr>
                <w:szCs w:val="22"/>
                <w:lang w:eastAsia="sv-SE"/>
              </w:rPr>
            </w:pPr>
            <w:r w:rsidRPr="00FA0D37">
              <w:rPr>
                <w:b/>
                <w:i/>
                <w:szCs w:val="22"/>
                <w:lang w:eastAsia="sv-SE"/>
              </w:rPr>
              <w:t>pucch-TimeDomainWindowLength</w:t>
            </w:r>
          </w:p>
          <w:p w14:paraId="17F55288" w14:textId="49A006D1" w:rsidR="00876032" w:rsidRPr="00FA0D37" w:rsidRDefault="00876032" w:rsidP="00771058">
            <w:pPr>
              <w:pStyle w:val="TAL"/>
              <w:rPr>
                <w:rFonts w:eastAsiaTheme="minorEastAsia"/>
                <w:szCs w:val="22"/>
              </w:rPr>
            </w:pPr>
            <w:r w:rsidRPr="00FA0D37">
              <w:rPr>
                <w:szCs w:val="22"/>
              </w:rPr>
              <w:t xml:space="preserve">Configures the length of a nominal time domain window in slots for DMRS bundling for PUCCH. The value shall not exceed the maximum </w:t>
            </w:r>
            <w:r w:rsidR="00571D55" w:rsidRPr="00FA0D37">
              <w:rPr>
                <w:szCs w:val="22"/>
              </w:rPr>
              <w:t>duration</w:t>
            </w:r>
            <w:r w:rsidR="00571D55" w:rsidRPr="00FA0D37">
              <w:t xml:space="preserve"> </w:t>
            </w:r>
            <w:r w:rsidR="00DC3894" w:rsidRPr="00FA0D37">
              <w:rPr>
                <w:szCs w:val="22"/>
              </w:rPr>
              <w:t>for DMRS bundling for PUCCH as specified in TS 38.306 [26]</w:t>
            </w:r>
            <w:r w:rsidRPr="00FA0D37">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FA0D37">
              <w:rPr>
                <w:szCs w:val="22"/>
              </w:rPr>
              <w:t>for DMRS bundling for PUCCH as specified in TS 38.306 [26]</w:t>
            </w:r>
            <w:r w:rsidRPr="00FA0D37">
              <w:rPr>
                <w:szCs w:val="22"/>
              </w:rPr>
              <w:t>.</w:t>
            </w:r>
          </w:p>
        </w:tc>
      </w:tr>
      <w:tr w:rsidR="00876032" w:rsidRPr="00FA0D37"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FA0D37" w:rsidRDefault="00876032" w:rsidP="00771058">
            <w:pPr>
              <w:pStyle w:val="TAL"/>
              <w:rPr>
                <w:szCs w:val="22"/>
                <w:lang w:eastAsia="sv-SE"/>
              </w:rPr>
            </w:pPr>
            <w:r w:rsidRPr="00FA0D37">
              <w:rPr>
                <w:b/>
                <w:i/>
                <w:szCs w:val="22"/>
                <w:lang w:eastAsia="sv-SE"/>
              </w:rPr>
              <w:t>pucch-WindowRestart</w:t>
            </w:r>
          </w:p>
          <w:p w14:paraId="7C4E9973" w14:textId="3D5BBD6C" w:rsidR="00876032" w:rsidRPr="00FA0D37" w:rsidRDefault="00876032" w:rsidP="00771058">
            <w:pPr>
              <w:pStyle w:val="TAL"/>
              <w:rPr>
                <w:szCs w:val="22"/>
              </w:rPr>
            </w:pPr>
            <w:r w:rsidRPr="00FA0D37">
              <w:rPr>
                <w:szCs w:val="22"/>
              </w:rPr>
              <w:t>Indicates whether UE bundles PUCCH DMRS remaining in a nominal time domain window after event(s) triggered by DCI or MAC CE that violate power consistency and phase continuity requirements is enabled</w:t>
            </w:r>
            <w:r w:rsidR="00DC3894" w:rsidRPr="00FA0D37">
              <w:rPr>
                <w:szCs w:val="22"/>
              </w:rPr>
              <w:t xml:space="preserve"> </w:t>
            </w:r>
            <w:r w:rsidR="00DC3894" w:rsidRPr="00FA0D37">
              <w:rPr>
                <w:lang w:eastAsia="zh-CN"/>
              </w:rPr>
              <w:t xml:space="preserve">(see </w:t>
            </w:r>
            <w:r w:rsidR="003A2D9D" w:rsidRPr="00FA0D37">
              <w:rPr>
                <w:lang w:eastAsia="zh-CN"/>
              </w:rPr>
              <w:t xml:space="preserve">TS </w:t>
            </w:r>
            <w:r w:rsidR="00DC3894" w:rsidRPr="00FA0D37">
              <w:rPr>
                <w:lang w:eastAsia="zh-CN"/>
              </w:rPr>
              <w:t>38.214 [19], clause 6.1.7)</w:t>
            </w:r>
            <w:r w:rsidRPr="00FA0D37">
              <w:rPr>
                <w:szCs w:val="22"/>
              </w:rPr>
              <w:t>.</w:t>
            </w:r>
          </w:p>
          <w:p w14:paraId="6E61DB9E" w14:textId="112F7AAD" w:rsidR="00876032" w:rsidRPr="00FA0D37" w:rsidRDefault="00876032" w:rsidP="000830BB">
            <w:pPr>
              <w:pStyle w:val="TAN"/>
              <w:rPr>
                <w:lang w:eastAsia="sv-SE"/>
              </w:rPr>
            </w:pPr>
            <w:r w:rsidRPr="00FA0D37">
              <w:t>N</w:t>
            </w:r>
            <w:r w:rsidR="00DC3894" w:rsidRPr="00FA0D37">
              <w:t>OTE</w:t>
            </w:r>
            <w:r w:rsidRPr="00FA0D37">
              <w:t>:</w:t>
            </w:r>
            <w:r w:rsidR="003E7B2B" w:rsidRPr="00FA0D37">
              <w:tab/>
            </w:r>
            <w:r w:rsidRPr="00FA0D37">
              <w:t xml:space="preserve">Events, which are triggered by DCI or MAC CE, but </w:t>
            </w:r>
            <w:r w:rsidR="00032481" w:rsidRPr="00FA0D37">
              <w:t>do not require UE capability to resume maintaining power consistency and/or phase continuity as specified in clause 6.1.7 of TS 38.214 [19]</w:t>
            </w:r>
            <w:r w:rsidRPr="00FA0D37">
              <w:t>, are excluded.</w:t>
            </w:r>
          </w:p>
        </w:tc>
      </w:tr>
    </w:tbl>
    <w:p w14:paraId="35418D5E" w14:textId="77777777" w:rsidR="00876032" w:rsidRPr="00FA0D37" w:rsidRDefault="00876032" w:rsidP="00876032">
      <w:pPr>
        <w:rPr>
          <w:rFonts w:eastAsiaTheme="minorEastAsia"/>
        </w:rPr>
      </w:pPr>
    </w:p>
    <w:p w14:paraId="2ED92F0F" w14:textId="77777777" w:rsidR="00876032" w:rsidRPr="00FA0D37" w:rsidRDefault="00876032" w:rsidP="00876032">
      <w:pPr>
        <w:pStyle w:val="4"/>
      </w:pPr>
      <w:bookmarkStart w:id="1011" w:name="_Toc146781277"/>
      <w:r w:rsidRPr="00FA0D37">
        <w:t>–</w:t>
      </w:r>
      <w:r w:rsidRPr="00FA0D37">
        <w:tab/>
      </w:r>
      <w:r w:rsidRPr="00FA0D37">
        <w:rPr>
          <w:i/>
        </w:rPr>
        <w:t>DMRS-BundlingPUSCH-Config</w:t>
      </w:r>
      <w:bookmarkEnd w:id="1011"/>
    </w:p>
    <w:p w14:paraId="5CEF191B" w14:textId="77777777" w:rsidR="00876032" w:rsidRPr="00FA0D37" w:rsidRDefault="00876032" w:rsidP="00876032">
      <w:r w:rsidRPr="00FA0D37">
        <w:t xml:space="preserve">The IE </w:t>
      </w:r>
      <w:r w:rsidRPr="00FA0D37">
        <w:rPr>
          <w:i/>
        </w:rPr>
        <w:t>DMRS-BundlingPUSCH-Config-r17</w:t>
      </w:r>
      <w:r w:rsidRPr="00FA0D37">
        <w:t xml:space="preserve"> is used to configure DMRS bundling for PUSCH.</w:t>
      </w:r>
    </w:p>
    <w:p w14:paraId="5BA305A9" w14:textId="77777777" w:rsidR="00876032" w:rsidRPr="00FA0D37" w:rsidRDefault="00876032" w:rsidP="00876032">
      <w:pPr>
        <w:pStyle w:val="TH"/>
      </w:pPr>
      <w:r w:rsidRPr="00FA0D37">
        <w:rPr>
          <w:i/>
        </w:rPr>
        <w:t xml:space="preserve">DMRS-BundlingPUSCH-Config </w:t>
      </w:r>
      <w:r w:rsidRPr="00FA0D37">
        <w:t>information element</w:t>
      </w:r>
    </w:p>
    <w:p w14:paraId="181D10F8" w14:textId="77777777" w:rsidR="00876032" w:rsidRPr="00FA0D37" w:rsidRDefault="00876032" w:rsidP="00FA0D37">
      <w:pPr>
        <w:pStyle w:val="PL"/>
        <w:rPr>
          <w:color w:val="808080"/>
        </w:rPr>
      </w:pPr>
      <w:r w:rsidRPr="00FA0D37">
        <w:rPr>
          <w:color w:val="808080"/>
        </w:rPr>
        <w:t>-- ASN1START</w:t>
      </w:r>
    </w:p>
    <w:p w14:paraId="2E20B523" w14:textId="77777777" w:rsidR="00876032" w:rsidRPr="00FA0D37" w:rsidRDefault="00876032" w:rsidP="00FA0D37">
      <w:pPr>
        <w:pStyle w:val="PL"/>
        <w:rPr>
          <w:color w:val="808080"/>
        </w:rPr>
      </w:pPr>
      <w:r w:rsidRPr="00FA0D37">
        <w:rPr>
          <w:color w:val="808080"/>
        </w:rPr>
        <w:t>-- TAG-DMRS-BUNDLINGPUSCH-CONFIG-START</w:t>
      </w:r>
    </w:p>
    <w:p w14:paraId="37D1DEA6" w14:textId="77777777" w:rsidR="00876032" w:rsidRPr="00FA0D37" w:rsidRDefault="00876032" w:rsidP="00FA0D37">
      <w:pPr>
        <w:pStyle w:val="PL"/>
      </w:pPr>
    </w:p>
    <w:p w14:paraId="09576578" w14:textId="238FA91A" w:rsidR="00876032" w:rsidRPr="00FA0D37" w:rsidRDefault="00876032" w:rsidP="00FA0D37">
      <w:pPr>
        <w:pStyle w:val="PL"/>
      </w:pPr>
      <w:r w:rsidRPr="00FA0D37">
        <w:t xml:space="preserve">DMRS-BundlingPUSCH-Config-r17 ::=          </w:t>
      </w:r>
      <w:r w:rsidRPr="00FA0D37">
        <w:rPr>
          <w:color w:val="993366"/>
        </w:rPr>
        <w:t>SEQUENCE</w:t>
      </w:r>
      <w:r w:rsidRPr="00FA0D37">
        <w:t xml:space="preserve"> {</w:t>
      </w:r>
    </w:p>
    <w:p w14:paraId="78DC53EE" w14:textId="037EBFDD" w:rsidR="00876032" w:rsidRPr="00FA0D37" w:rsidRDefault="00876032" w:rsidP="00FA0D37">
      <w:pPr>
        <w:pStyle w:val="PL"/>
        <w:rPr>
          <w:color w:val="808080"/>
        </w:rPr>
      </w:pPr>
      <w:r w:rsidRPr="00FA0D37">
        <w:t xml:space="preserve">    pusch-DMRS-Bundling-r17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xml:space="preserve">-- Need </w:t>
      </w:r>
      <w:r w:rsidR="00295D02" w:rsidRPr="00FA0D37">
        <w:rPr>
          <w:color w:val="808080"/>
        </w:rPr>
        <w:t>R</w:t>
      </w:r>
    </w:p>
    <w:p w14:paraId="378CB92A" w14:textId="7AD61FD0" w:rsidR="00876032" w:rsidRPr="00FA0D37" w:rsidRDefault="00876032" w:rsidP="00FA0D37">
      <w:pPr>
        <w:pStyle w:val="PL"/>
        <w:rPr>
          <w:color w:val="808080"/>
        </w:rPr>
      </w:pPr>
      <w:r w:rsidRPr="00FA0D37">
        <w:t xml:space="preserve">    pusch-TimeDomainWindowLength-r17           </w:t>
      </w:r>
      <w:r w:rsidRPr="00FA0D37">
        <w:rPr>
          <w:color w:val="993366"/>
        </w:rPr>
        <w:t>INTEGER</w:t>
      </w:r>
      <w:r w:rsidRPr="00FA0D37">
        <w:t xml:space="preserve"> (2..32)                                                 </w:t>
      </w:r>
      <w:r w:rsidRPr="00FA0D37">
        <w:rPr>
          <w:color w:val="993366"/>
        </w:rPr>
        <w:t>OPTIONAL</w:t>
      </w:r>
      <w:r w:rsidRPr="00FA0D37">
        <w:t xml:space="preserve">,   </w:t>
      </w:r>
      <w:r w:rsidRPr="00FA0D37">
        <w:rPr>
          <w:color w:val="808080"/>
        </w:rPr>
        <w:t>-- Need S</w:t>
      </w:r>
    </w:p>
    <w:p w14:paraId="2CA842B9" w14:textId="30933CC8" w:rsidR="00876032" w:rsidRPr="00FA0D37" w:rsidRDefault="00876032" w:rsidP="00FA0D37">
      <w:pPr>
        <w:pStyle w:val="PL"/>
        <w:rPr>
          <w:color w:val="808080"/>
        </w:rPr>
      </w:pPr>
      <w:r w:rsidRPr="00FA0D37">
        <w:t xml:space="preserve">    pusch-WindowRestart-r17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xml:space="preserve">-- Need </w:t>
      </w:r>
      <w:r w:rsidR="00295D02" w:rsidRPr="00FA0D37">
        <w:rPr>
          <w:color w:val="808080"/>
        </w:rPr>
        <w:t>R</w:t>
      </w:r>
    </w:p>
    <w:p w14:paraId="4E146B1A" w14:textId="0D28A698" w:rsidR="00876032" w:rsidRPr="00FA0D37" w:rsidRDefault="00876032" w:rsidP="00FA0D37">
      <w:pPr>
        <w:pStyle w:val="PL"/>
        <w:rPr>
          <w:color w:val="808080"/>
        </w:rPr>
      </w:pPr>
      <w:r w:rsidRPr="00FA0D37">
        <w:t xml:space="preserve">    pusch-FrequencyHoppingInterval-r17         </w:t>
      </w:r>
      <w:r w:rsidRPr="00FA0D37">
        <w:rPr>
          <w:color w:val="993366"/>
        </w:rPr>
        <w:t>ENUMERATED</w:t>
      </w:r>
      <w:r w:rsidRPr="00FA0D37">
        <w:t xml:space="preserve"> {s2, s4, s5, s6, s8, s10, s12, s14, s16, s20}        </w:t>
      </w:r>
      <w:r w:rsidRPr="00FA0D37">
        <w:rPr>
          <w:color w:val="993366"/>
        </w:rPr>
        <w:t>OPTIONAL</w:t>
      </w:r>
      <w:r w:rsidRPr="00FA0D37">
        <w:t xml:space="preserve">,   </w:t>
      </w:r>
      <w:r w:rsidRPr="00FA0D37">
        <w:rPr>
          <w:color w:val="808080"/>
        </w:rPr>
        <w:t>-- Need S</w:t>
      </w:r>
    </w:p>
    <w:p w14:paraId="005DB19F" w14:textId="77777777" w:rsidR="00876032" w:rsidRPr="00FA0D37" w:rsidRDefault="00876032" w:rsidP="00FA0D37">
      <w:pPr>
        <w:pStyle w:val="PL"/>
      </w:pPr>
      <w:r w:rsidRPr="00FA0D37">
        <w:t xml:space="preserve">    ...</w:t>
      </w:r>
    </w:p>
    <w:p w14:paraId="2573C6D4" w14:textId="77777777" w:rsidR="00876032" w:rsidRPr="00FA0D37" w:rsidRDefault="00876032" w:rsidP="00FA0D37">
      <w:pPr>
        <w:pStyle w:val="PL"/>
      </w:pPr>
      <w:r w:rsidRPr="00FA0D37">
        <w:t>}</w:t>
      </w:r>
    </w:p>
    <w:p w14:paraId="659F70FB" w14:textId="77777777" w:rsidR="00876032" w:rsidRPr="00FA0D37" w:rsidRDefault="00876032" w:rsidP="00FA0D37">
      <w:pPr>
        <w:pStyle w:val="PL"/>
      </w:pPr>
    </w:p>
    <w:p w14:paraId="30BE3DBA" w14:textId="77777777" w:rsidR="00876032" w:rsidRPr="00FA0D37" w:rsidRDefault="00876032" w:rsidP="00FA0D37">
      <w:pPr>
        <w:pStyle w:val="PL"/>
        <w:rPr>
          <w:color w:val="808080"/>
        </w:rPr>
      </w:pPr>
      <w:r w:rsidRPr="00FA0D37">
        <w:rPr>
          <w:color w:val="808080"/>
        </w:rPr>
        <w:t>-- TAG-DMRS-BUNDLINGPUSCH-CONFIG-STOP</w:t>
      </w:r>
    </w:p>
    <w:p w14:paraId="0D52DBAB" w14:textId="77777777" w:rsidR="00876032" w:rsidRPr="00FA0D37" w:rsidRDefault="00876032" w:rsidP="00FA0D37">
      <w:pPr>
        <w:pStyle w:val="PL"/>
        <w:rPr>
          <w:color w:val="808080"/>
        </w:rPr>
      </w:pPr>
      <w:r w:rsidRPr="00FA0D37">
        <w:rPr>
          <w:color w:val="808080"/>
        </w:rPr>
        <w:t>-- ASN1STOP</w:t>
      </w:r>
    </w:p>
    <w:p w14:paraId="3EC1F375" w14:textId="77777777" w:rsidR="00876032" w:rsidRPr="00FA0D3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FA0D37" w:rsidRDefault="00876032" w:rsidP="00771058">
            <w:pPr>
              <w:pStyle w:val="TAH"/>
              <w:rPr>
                <w:szCs w:val="22"/>
                <w:lang w:eastAsia="sv-SE"/>
              </w:rPr>
            </w:pPr>
            <w:r w:rsidRPr="00FA0D37">
              <w:rPr>
                <w:i/>
                <w:szCs w:val="22"/>
                <w:lang w:eastAsia="sv-SE"/>
              </w:rPr>
              <w:lastRenderedPageBreak/>
              <w:t xml:space="preserve">DMRS-BundlingPUSCH-Config </w:t>
            </w:r>
            <w:r w:rsidRPr="00FA0D37">
              <w:rPr>
                <w:szCs w:val="22"/>
                <w:lang w:eastAsia="sv-SE"/>
              </w:rPr>
              <w:t>field descriptions</w:t>
            </w:r>
          </w:p>
        </w:tc>
      </w:tr>
      <w:tr w:rsidR="005C7FF4" w:rsidRPr="00FA0D37"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FA0D37" w:rsidRDefault="00876032" w:rsidP="00771058">
            <w:pPr>
              <w:pStyle w:val="TAL"/>
              <w:rPr>
                <w:szCs w:val="22"/>
                <w:lang w:eastAsia="sv-SE"/>
              </w:rPr>
            </w:pPr>
            <w:r w:rsidRPr="00FA0D37">
              <w:rPr>
                <w:b/>
                <w:i/>
                <w:szCs w:val="22"/>
                <w:lang w:eastAsia="sv-SE"/>
              </w:rPr>
              <w:t>pusch-DMRS-Bundling</w:t>
            </w:r>
          </w:p>
          <w:p w14:paraId="29C726A2" w14:textId="1B8F80AD" w:rsidR="00876032" w:rsidRPr="00FA0D37" w:rsidRDefault="00876032" w:rsidP="00771058">
            <w:pPr>
              <w:pStyle w:val="TAL"/>
              <w:rPr>
                <w:szCs w:val="22"/>
                <w:lang w:eastAsia="sv-SE"/>
              </w:rPr>
            </w:pPr>
            <w:r w:rsidRPr="00FA0D37">
              <w:rPr>
                <w:szCs w:val="22"/>
              </w:rPr>
              <w:t>Indicates whether DMRS bundling and time domain window for PUSCH are jointly enabled.</w:t>
            </w:r>
          </w:p>
        </w:tc>
      </w:tr>
      <w:tr w:rsidR="005C7FF4" w:rsidRPr="00FA0D37"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FA0D37" w:rsidRDefault="00876032" w:rsidP="00771058">
            <w:pPr>
              <w:pStyle w:val="TAL"/>
              <w:rPr>
                <w:szCs w:val="22"/>
                <w:lang w:eastAsia="sv-SE"/>
              </w:rPr>
            </w:pPr>
            <w:r w:rsidRPr="00FA0D37">
              <w:rPr>
                <w:b/>
                <w:i/>
                <w:szCs w:val="22"/>
                <w:lang w:eastAsia="sv-SE"/>
              </w:rPr>
              <w:t>pusch-FrequencyHoppingInterval</w:t>
            </w:r>
          </w:p>
          <w:p w14:paraId="1B0BF6A8" w14:textId="77777777" w:rsidR="00876032" w:rsidRPr="00FA0D37" w:rsidRDefault="00876032" w:rsidP="00771058">
            <w:pPr>
              <w:pStyle w:val="TAL"/>
              <w:rPr>
                <w:i/>
                <w:szCs w:val="22"/>
              </w:rPr>
            </w:pPr>
            <w:r w:rsidRPr="00FA0D37">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FA0D37">
              <w:rPr>
                <w:i/>
                <w:szCs w:val="22"/>
              </w:rPr>
              <w:t>pusch-FrequencyHoppingInterval-r17</w:t>
            </w:r>
            <w:r w:rsidRPr="00FA0D37">
              <w:rPr>
                <w:szCs w:val="22"/>
              </w:rPr>
              <w:t xml:space="preserve"> and </w:t>
            </w:r>
            <w:r w:rsidRPr="00FA0D37">
              <w:rPr>
                <w:i/>
                <w:szCs w:val="22"/>
              </w:rPr>
              <w:t>pusch-TimeDomainWindowLength-r17</w:t>
            </w:r>
            <w:r w:rsidRPr="00FA0D37">
              <w:rPr>
                <w:szCs w:val="22"/>
              </w:rPr>
              <w:t>. This</w:t>
            </w:r>
            <w:r w:rsidRPr="00FA0D37">
              <w:t xml:space="preserve"> </w:t>
            </w:r>
            <w:r w:rsidRPr="00FA0D37">
              <w:rPr>
                <w:szCs w:val="22"/>
              </w:rPr>
              <w:t>parameter is shared for both DG-PUSCH and CG-PUSCH</w:t>
            </w:r>
            <w:r w:rsidRPr="00FA0D37">
              <w:rPr>
                <w:rFonts w:eastAsia="等线"/>
                <w:szCs w:val="22"/>
                <w:lang w:eastAsia="zh-CN"/>
              </w:rPr>
              <w:t xml:space="preserve">. </w:t>
            </w:r>
            <w:r w:rsidRPr="00FA0D37">
              <w:rPr>
                <w:szCs w:val="22"/>
              </w:rPr>
              <w:t xml:space="preserve">When DMRS bundling for PUSCH is enabled by </w:t>
            </w:r>
            <w:r w:rsidRPr="00FA0D37">
              <w:rPr>
                <w:i/>
                <w:szCs w:val="22"/>
              </w:rPr>
              <w:t>pusch-DMRS-Bundling-r17,</w:t>
            </w:r>
            <w:r w:rsidRPr="00FA0D37">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FA0D37">
              <w:rPr>
                <w:i/>
                <w:szCs w:val="22"/>
              </w:rPr>
              <w:t>pusch-TimeDomainWindowLength-r17.</w:t>
            </w:r>
          </w:p>
          <w:p w14:paraId="35025729" w14:textId="0B9C673F" w:rsidR="00876032" w:rsidRPr="00FA0D37" w:rsidRDefault="00876032" w:rsidP="00771058">
            <w:pPr>
              <w:pStyle w:val="TAL"/>
              <w:rPr>
                <w:b/>
                <w:i/>
                <w:szCs w:val="22"/>
                <w:lang w:eastAsia="sv-SE"/>
              </w:rPr>
            </w:pPr>
            <w:r w:rsidRPr="00FA0D37">
              <w:rPr>
                <w:szCs w:val="22"/>
              </w:rPr>
              <w:t>Note: For unpaired spectrum, the UE is not expected to be configured the value of s6, s8, s12</w:t>
            </w:r>
            <w:r w:rsidR="00DC3894" w:rsidRPr="00FA0D37">
              <w:rPr>
                <w:szCs w:val="22"/>
              </w:rPr>
              <w:t>, s14</w:t>
            </w:r>
            <w:r w:rsidRPr="00FA0D37">
              <w:rPr>
                <w:szCs w:val="22"/>
              </w:rPr>
              <w:t xml:space="preserve"> and s16.</w:t>
            </w:r>
          </w:p>
        </w:tc>
      </w:tr>
      <w:tr w:rsidR="005C7FF4" w:rsidRPr="00FA0D37"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FA0D37" w:rsidRDefault="00876032" w:rsidP="00771058">
            <w:pPr>
              <w:pStyle w:val="TAL"/>
              <w:rPr>
                <w:szCs w:val="22"/>
                <w:lang w:eastAsia="sv-SE"/>
              </w:rPr>
            </w:pPr>
            <w:r w:rsidRPr="00FA0D37">
              <w:rPr>
                <w:b/>
                <w:i/>
                <w:szCs w:val="22"/>
                <w:lang w:eastAsia="sv-SE"/>
              </w:rPr>
              <w:t>pusch-TimeDomainWindowLength</w:t>
            </w:r>
          </w:p>
          <w:p w14:paraId="7A4716D9" w14:textId="0F2DB802" w:rsidR="00876032" w:rsidRPr="00FA0D37" w:rsidRDefault="00876032" w:rsidP="00771058">
            <w:pPr>
              <w:pStyle w:val="TAL"/>
              <w:rPr>
                <w:b/>
                <w:i/>
                <w:szCs w:val="22"/>
                <w:lang w:eastAsia="sv-SE"/>
              </w:rPr>
            </w:pPr>
            <w:r w:rsidRPr="00FA0D37">
              <w:rPr>
                <w:szCs w:val="22"/>
              </w:rPr>
              <w:t xml:space="preserve">Configures the length of a nominal time domain window in number of consecutive slots for DMRS bundling for PUSCH. The value shall not exceed the maximum duration </w:t>
            </w:r>
            <w:r w:rsidR="00DC3894" w:rsidRPr="00FA0D37">
              <w:rPr>
                <w:lang w:eastAsia="zh-CN"/>
              </w:rPr>
              <w:t>for DMRS bundling for PUSCH as specified in TS 38.306 [26]</w:t>
            </w:r>
            <w:r w:rsidRPr="00FA0D37">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FA0D37">
              <w:rPr>
                <w:lang w:eastAsia="zh-CN"/>
              </w:rPr>
              <w:t>for DMRS bundling for PUSCH as specified in TS 38.306 [26]</w:t>
            </w:r>
            <w:r w:rsidRPr="00FA0D37">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FA0D37">
              <w:rPr>
                <w:lang w:eastAsia="zh-CN"/>
              </w:rPr>
              <w:t>for DMRS bundling for PUSCH as specified in TS 38.306 [26]</w:t>
            </w:r>
            <w:r w:rsidRPr="00FA0D37">
              <w:rPr>
                <w:szCs w:val="22"/>
              </w:rPr>
              <w:t>.</w:t>
            </w:r>
          </w:p>
        </w:tc>
      </w:tr>
      <w:tr w:rsidR="000830BB" w:rsidRPr="00FA0D37"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FA0D37" w:rsidRDefault="00876032" w:rsidP="00771058">
            <w:pPr>
              <w:pStyle w:val="TAL"/>
              <w:rPr>
                <w:szCs w:val="22"/>
                <w:lang w:eastAsia="sv-SE"/>
              </w:rPr>
            </w:pPr>
            <w:r w:rsidRPr="00FA0D37">
              <w:rPr>
                <w:b/>
                <w:i/>
                <w:szCs w:val="22"/>
                <w:lang w:eastAsia="sv-SE"/>
              </w:rPr>
              <w:t>pusch-WindowRestart</w:t>
            </w:r>
          </w:p>
          <w:p w14:paraId="6E7F0DEC" w14:textId="6B483347" w:rsidR="00876032" w:rsidRPr="00FA0D37" w:rsidRDefault="00876032" w:rsidP="00771058">
            <w:pPr>
              <w:pStyle w:val="TAL"/>
              <w:rPr>
                <w:szCs w:val="22"/>
              </w:rPr>
            </w:pPr>
            <w:r w:rsidRPr="00FA0D37">
              <w:rPr>
                <w:szCs w:val="22"/>
              </w:rPr>
              <w:t>Indicates whether UE bundles PUSCH DMRS remaining in a nominal time domain window after event(s) triggered by DCI or MAC CE that violate power consistency and phase continuity requirements is enabled</w:t>
            </w:r>
            <w:r w:rsidR="00DC3894" w:rsidRPr="00FA0D37">
              <w:rPr>
                <w:szCs w:val="22"/>
              </w:rPr>
              <w:t xml:space="preserve"> </w:t>
            </w:r>
            <w:r w:rsidR="00DC3894" w:rsidRPr="00FA0D37">
              <w:rPr>
                <w:lang w:eastAsia="zh-CN"/>
              </w:rPr>
              <w:t xml:space="preserve">(see </w:t>
            </w:r>
            <w:r w:rsidR="003A2D9D" w:rsidRPr="00FA0D37">
              <w:rPr>
                <w:lang w:eastAsia="zh-CN"/>
              </w:rPr>
              <w:t xml:space="preserve">TS </w:t>
            </w:r>
            <w:r w:rsidR="00DC3894" w:rsidRPr="00FA0D37">
              <w:rPr>
                <w:lang w:eastAsia="zh-CN"/>
              </w:rPr>
              <w:t>38.214 [19], clause 6.1.7)</w:t>
            </w:r>
            <w:r w:rsidRPr="00FA0D37">
              <w:rPr>
                <w:szCs w:val="22"/>
              </w:rPr>
              <w:t>.</w:t>
            </w:r>
          </w:p>
          <w:p w14:paraId="1B460E19" w14:textId="304B1BAC" w:rsidR="00876032" w:rsidRPr="00FA0D37" w:rsidRDefault="00876032" w:rsidP="000830BB">
            <w:pPr>
              <w:pStyle w:val="TAN"/>
              <w:rPr>
                <w:lang w:eastAsia="sv-SE"/>
              </w:rPr>
            </w:pPr>
            <w:r w:rsidRPr="00FA0D37">
              <w:t>N</w:t>
            </w:r>
            <w:r w:rsidR="00295D02" w:rsidRPr="00FA0D37">
              <w:t>OTE</w:t>
            </w:r>
            <w:r w:rsidRPr="00FA0D37">
              <w:t>:</w:t>
            </w:r>
            <w:r w:rsidR="003E7B2B" w:rsidRPr="00FA0D37">
              <w:tab/>
            </w:r>
            <w:r w:rsidRPr="00FA0D37">
              <w:t xml:space="preserve">Events, which are triggered by DCI or MAC CE, but </w:t>
            </w:r>
            <w:r w:rsidR="00032481" w:rsidRPr="00FA0D37">
              <w:t>do not require UE capability to resume maintaining power consistency and/or phase continuity as specified in clause 6.1.7 of TS 38.214 [19]</w:t>
            </w:r>
            <w:r w:rsidRPr="00FA0D37">
              <w:t>, are excluded.</w:t>
            </w:r>
          </w:p>
        </w:tc>
      </w:tr>
    </w:tbl>
    <w:p w14:paraId="24C3D63A" w14:textId="77777777" w:rsidR="00876032" w:rsidRPr="00FA0D37" w:rsidRDefault="00876032" w:rsidP="00394471"/>
    <w:p w14:paraId="6D8F48EE" w14:textId="77777777" w:rsidR="00394471" w:rsidRPr="00FA0D37" w:rsidRDefault="00394471" w:rsidP="00394471">
      <w:pPr>
        <w:pStyle w:val="4"/>
      </w:pPr>
      <w:bookmarkStart w:id="1012" w:name="_Toc60777228"/>
      <w:bookmarkStart w:id="1013" w:name="_Toc146781278"/>
      <w:r w:rsidRPr="00FA0D37">
        <w:t>–</w:t>
      </w:r>
      <w:r w:rsidRPr="00FA0D37">
        <w:tab/>
      </w:r>
      <w:r w:rsidRPr="00FA0D37">
        <w:rPr>
          <w:i/>
        </w:rPr>
        <w:t>DMRS-DownlinkConfig</w:t>
      </w:r>
      <w:bookmarkEnd w:id="1012"/>
      <w:bookmarkEnd w:id="1013"/>
    </w:p>
    <w:p w14:paraId="2CEDC39B" w14:textId="77777777" w:rsidR="00394471" w:rsidRPr="00FA0D37" w:rsidRDefault="00394471" w:rsidP="00394471">
      <w:r w:rsidRPr="00FA0D37">
        <w:t xml:space="preserve">The IE </w:t>
      </w:r>
      <w:r w:rsidRPr="00FA0D37">
        <w:rPr>
          <w:i/>
        </w:rPr>
        <w:t>DMRS-DownlinkConfig</w:t>
      </w:r>
      <w:r w:rsidRPr="00FA0D37">
        <w:t xml:space="preserve"> is used to configure downlink demodulation reference signals for PDSCH.</w:t>
      </w:r>
    </w:p>
    <w:p w14:paraId="3875CF93" w14:textId="77777777" w:rsidR="00394471" w:rsidRPr="00FA0D37" w:rsidRDefault="00394471" w:rsidP="00394471">
      <w:pPr>
        <w:pStyle w:val="TH"/>
      </w:pPr>
      <w:r w:rsidRPr="00FA0D37">
        <w:rPr>
          <w:i/>
        </w:rPr>
        <w:t xml:space="preserve">DMRS-DownlinkConfig </w:t>
      </w:r>
      <w:r w:rsidRPr="00FA0D37">
        <w:t>information element</w:t>
      </w:r>
    </w:p>
    <w:p w14:paraId="1AA91212" w14:textId="77777777" w:rsidR="00394471" w:rsidRPr="00FA0D37" w:rsidRDefault="00394471" w:rsidP="00FA0D37">
      <w:pPr>
        <w:pStyle w:val="PL"/>
        <w:rPr>
          <w:color w:val="808080"/>
        </w:rPr>
      </w:pPr>
      <w:r w:rsidRPr="00FA0D37">
        <w:rPr>
          <w:color w:val="808080"/>
        </w:rPr>
        <w:t>-- ASN1START</w:t>
      </w:r>
    </w:p>
    <w:p w14:paraId="632703F2" w14:textId="77777777" w:rsidR="00394471" w:rsidRPr="00FA0D37" w:rsidRDefault="00394471" w:rsidP="00FA0D37">
      <w:pPr>
        <w:pStyle w:val="PL"/>
        <w:rPr>
          <w:color w:val="808080"/>
        </w:rPr>
      </w:pPr>
      <w:r w:rsidRPr="00FA0D37">
        <w:rPr>
          <w:color w:val="808080"/>
        </w:rPr>
        <w:t>-- TAG-DMRS-DOWNLINKCONFIG-START</w:t>
      </w:r>
    </w:p>
    <w:p w14:paraId="6ACF38B9" w14:textId="77777777" w:rsidR="00394471" w:rsidRPr="00FA0D37" w:rsidRDefault="00394471" w:rsidP="00FA0D37">
      <w:pPr>
        <w:pStyle w:val="PL"/>
      </w:pPr>
    </w:p>
    <w:p w14:paraId="2ABFFAEF" w14:textId="77777777" w:rsidR="00394471" w:rsidRPr="00FA0D37" w:rsidRDefault="00394471" w:rsidP="00FA0D37">
      <w:pPr>
        <w:pStyle w:val="PL"/>
      </w:pPr>
      <w:r w:rsidRPr="00FA0D37">
        <w:t xml:space="preserve">DMRS-DownlinkConfig ::=             </w:t>
      </w:r>
      <w:r w:rsidRPr="00FA0D37">
        <w:rPr>
          <w:color w:val="993366"/>
        </w:rPr>
        <w:t>SEQUENCE</w:t>
      </w:r>
      <w:r w:rsidRPr="00FA0D37">
        <w:t xml:space="preserve"> {</w:t>
      </w:r>
    </w:p>
    <w:p w14:paraId="220A61B1" w14:textId="77777777" w:rsidR="00394471" w:rsidRPr="00FA0D37" w:rsidRDefault="00394471" w:rsidP="00FA0D37">
      <w:pPr>
        <w:pStyle w:val="PL"/>
        <w:rPr>
          <w:color w:val="808080"/>
        </w:rPr>
      </w:pPr>
      <w:r w:rsidRPr="00FA0D37">
        <w:t xml:space="preserve">    dmrs-Type                           </w:t>
      </w:r>
      <w:r w:rsidRPr="00FA0D37">
        <w:rPr>
          <w:color w:val="993366"/>
        </w:rPr>
        <w:t>ENUMERATED</w:t>
      </w:r>
      <w:r w:rsidRPr="00FA0D37">
        <w:t xml:space="preserve"> {type2}                                                      </w:t>
      </w:r>
      <w:r w:rsidRPr="00FA0D37">
        <w:rPr>
          <w:color w:val="993366"/>
        </w:rPr>
        <w:t>OPTIONAL</w:t>
      </w:r>
      <w:r w:rsidRPr="00FA0D37">
        <w:t xml:space="preserve">,   </w:t>
      </w:r>
      <w:r w:rsidRPr="00FA0D37">
        <w:rPr>
          <w:color w:val="808080"/>
        </w:rPr>
        <w:t>-- Need S</w:t>
      </w:r>
    </w:p>
    <w:p w14:paraId="035285FE" w14:textId="77777777" w:rsidR="00394471" w:rsidRPr="00FA0D37" w:rsidRDefault="00394471" w:rsidP="00FA0D37">
      <w:pPr>
        <w:pStyle w:val="PL"/>
        <w:rPr>
          <w:color w:val="808080"/>
        </w:rPr>
      </w:pPr>
      <w:r w:rsidRPr="00FA0D37">
        <w:t xml:space="preserve">    dmrs-AdditionalPosition             </w:t>
      </w:r>
      <w:r w:rsidRPr="00FA0D37">
        <w:rPr>
          <w:color w:val="993366"/>
        </w:rPr>
        <w:t>ENUMERATED</w:t>
      </w:r>
      <w:r w:rsidRPr="00FA0D37">
        <w:t xml:space="preserve"> {pos0, pos1, pos3}                                           </w:t>
      </w:r>
      <w:r w:rsidRPr="00FA0D37">
        <w:rPr>
          <w:color w:val="993366"/>
        </w:rPr>
        <w:t>OPTIONAL</w:t>
      </w:r>
      <w:r w:rsidRPr="00FA0D37">
        <w:t xml:space="preserve">,   </w:t>
      </w:r>
      <w:r w:rsidRPr="00FA0D37">
        <w:rPr>
          <w:color w:val="808080"/>
        </w:rPr>
        <w:t>-- Need S</w:t>
      </w:r>
    </w:p>
    <w:p w14:paraId="0FEB07B7" w14:textId="77777777" w:rsidR="00394471" w:rsidRPr="00FA0D37" w:rsidRDefault="00394471" w:rsidP="00FA0D37">
      <w:pPr>
        <w:pStyle w:val="PL"/>
        <w:rPr>
          <w:color w:val="808080"/>
        </w:rPr>
      </w:pPr>
      <w:r w:rsidRPr="00FA0D37">
        <w:t xml:space="preserve">    maxLength                           </w:t>
      </w:r>
      <w:r w:rsidRPr="00FA0D37">
        <w:rPr>
          <w:color w:val="993366"/>
        </w:rPr>
        <w:t>ENUMERATED</w:t>
      </w:r>
      <w:r w:rsidRPr="00FA0D37">
        <w:t xml:space="preserve"> {len2}                                                       </w:t>
      </w:r>
      <w:r w:rsidRPr="00FA0D37">
        <w:rPr>
          <w:color w:val="993366"/>
        </w:rPr>
        <w:t>OPTIONAL</w:t>
      </w:r>
      <w:r w:rsidRPr="00FA0D37">
        <w:t xml:space="preserve">,   </w:t>
      </w:r>
      <w:r w:rsidRPr="00FA0D37">
        <w:rPr>
          <w:color w:val="808080"/>
        </w:rPr>
        <w:t>-- Need S</w:t>
      </w:r>
    </w:p>
    <w:p w14:paraId="4693B1ED" w14:textId="77777777" w:rsidR="00394471" w:rsidRPr="00FA0D37" w:rsidRDefault="00394471" w:rsidP="00FA0D37">
      <w:pPr>
        <w:pStyle w:val="PL"/>
        <w:rPr>
          <w:color w:val="808080"/>
        </w:rPr>
      </w:pPr>
      <w:r w:rsidRPr="00FA0D37">
        <w:t xml:space="preserve">    scramblingID0                       </w:t>
      </w:r>
      <w:r w:rsidRPr="00FA0D37">
        <w:rPr>
          <w:color w:val="993366"/>
        </w:rPr>
        <w:t>INTEGER</w:t>
      </w:r>
      <w:r w:rsidRPr="00FA0D37">
        <w:t xml:space="preserve"> (0..65535)                                                      </w:t>
      </w:r>
      <w:r w:rsidRPr="00FA0D37">
        <w:rPr>
          <w:color w:val="993366"/>
        </w:rPr>
        <w:t>OPTIONAL</w:t>
      </w:r>
      <w:r w:rsidRPr="00FA0D37">
        <w:t xml:space="preserve">,   </w:t>
      </w:r>
      <w:r w:rsidRPr="00FA0D37">
        <w:rPr>
          <w:color w:val="808080"/>
        </w:rPr>
        <w:t>-- Need S</w:t>
      </w:r>
    </w:p>
    <w:p w14:paraId="2B1DB5A7" w14:textId="77777777" w:rsidR="00394471" w:rsidRPr="00FA0D37" w:rsidRDefault="00394471" w:rsidP="00FA0D37">
      <w:pPr>
        <w:pStyle w:val="PL"/>
        <w:rPr>
          <w:color w:val="808080"/>
        </w:rPr>
      </w:pPr>
      <w:r w:rsidRPr="00FA0D37">
        <w:t xml:space="preserve">    scramblingID1                       </w:t>
      </w:r>
      <w:r w:rsidRPr="00FA0D37">
        <w:rPr>
          <w:color w:val="993366"/>
        </w:rPr>
        <w:t>INTEGER</w:t>
      </w:r>
      <w:r w:rsidRPr="00FA0D37">
        <w:t xml:space="preserve"> (0..65535)                                                      </w:t>
      </w:r>
      <w:r w:rsidRPr="00FA0D37">
        <w:rPr>
          <w:color w:val="993366"/>
        </w:rPr>
        <w:t>OPTIONAL</w:t>
      </w:r>
      <w:r w:rsidRPr="00FA0D37">
        <w:t xml:space="preserve">,   </w:t>
      </w:r>
      <w:r w:rsidRPr="00FA0D37">
        <w:rPr>
          <w:color w:val="808080"/>
        </w:rPr>
        <w:t>-- Need S</w:t>
      </w:r>
    </w:p>
    <w:p w14:paraId="2DCE985E" w14:textId="77777777" w:rsidR="00394471" w:rsidRPr="00FA0D37" w:rsidRDefault="00394471" w:rsidP="00FA0D37">
      <w:pPr>
        <w:pStyle w:val="PL"/>
        <w:rPr>
          <w:color w:val="808080"/>
        </w:rPr>
      </w:pPr>
      <w:r w:rsidRPr="00FA0D37">
        <w:t xml:space="preserve">    phaseTrackingRS                     SetupRelease { PTRS-DownlinkConfig  }                                   </w:t>
      </w:r>
      <w:r w:rsidRPr="00FA0D37">
        <w:rPr>
          <w:color w:val="993366"/>
        </w:rPr>
        <w:t>OPTIONAL</w:t>
      </w:r>
      <w:r w:rsidRPr="00FA0D37">
        <w:t xml:space="preserve">,   </w:t>
      </w:r>
      <w:r w:rsidRPr="00FA0D37">
        <w:rPr>
          <w:color w:val="808080"/>
        </w:rPr>
        <w:t>-- Need M</w:t>
      </w:r>
    </w:p>
    <w:p w14:paraId="69B819AD" w14:textId="77777777" w:rsidR="00394471" w:rsidRPr="00FA0D37" w:rsidRDefault="00394471" w:rsidP="00FA0D37">
      <w:pPr>
        <w:pStyle w:val="PL"/>
      </w:pPr>
      <w:r w:rsidRPr="00FA0D37">
        <w:t xml:space="preserve">    ...,</w:t>
      </w:r>
    </w:p>
    <w:p w14:paraId="56BDDF48" w14:textId="77777777" w:rsidR="00394471" w:rsidRPr="00FA0D37" w:rsidRDefault="00394471" w:rsidP="00FA0D37">
      <w:pPr>
        <w:pStyle w:val="PL"/>
      </w:pPr>
      <w:r w:rsidRPr="00FA0D37">
        <w:t xml:space="preserve">    [[</w:t>
      </w:r>
    </w:p>
    <w:p w14:paraId="4D2BBA67" w14:textId="77777777" w:rsidR="00394471" w:rsidRPr="00FA0D37" w:rsidRDefault="00394471" w:rsidP="00FA0D37">
      <w:pPr>
        <w:pStyle w:val="PL"/>
        <w:rPr>
          <w:color w:val="808080"/>
        </w:rPr>
      </w:pPr>
      <w:r w:rsidRPr="00FA0D37">
        <w:t xml:space="preserve">    dmrs-Downlink-r16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19AD4D1" w14:textId="77777777" w:rsidR="00394471" w:rsidRPr="00FA0D37" w:rsidRDefault="00394471" w:rsidP="00FA0D37">
      <w:pPr>
        <w:pStyle w:val="PL"/>
      </w:pPr>
      <w:r w:rsidRPr="00FA0D37">
        <w:t xml:space="preserve">    ]]</w:t>
      </w:r>
    </w:p>
    <w:p w14:paraId="4BE30FC5" w14:textId="77777777" w:rsidR="00394471" w:rsidRPr="00FA0D37" w:rsidRDefault="00394471" w:rsidP="00FA0D37">
      <w:pPr>
        <w:pStyle w:val="PL"/>
      </w:pPr>
    </w:p>
    <w:p w14:paraId="60E0DB18" w14:textId="77777777" w:rsidR="00394471" w:rsidRPr="00FA0D37" w:rsidRDefault="00394471" w:rsidP="00FA0D37">
      <w:pPr>
        <w:pStyle w:val="PL"/>
      </w:pPr>
      <w:r w:rsidRPr="00FA0D37">
        <w:t>}</w:t>
      </w:r>
    </w:p>
    <w:p w14:paraId="2D422274" w14:textId="77777777" w:rsidR="00394471" w:rsidRPr="00FA0D37" w:rsidRDefault="00394471" w:rsidP="00FA0D37">
      <w:pPr>
        <w:pStyle w:val="PL"/>
      </w:pPr>
    </w:p>
    <w:p w14:paraId="5D3083D8" w14:textId="77777777" w:rsidR="00394471" w:rsidRPr="00FA0D37" w:rsidRDefault="00394471" w:rsidP="00FA0D37">
      <w:pPr>
        <w:pStyle w:val="PL"/>
        <w:rPr>
          <w:color w:val="808080"/>
        </w:rPr>
      </w:pPr>
      <w:r w:rsidRPr="00FA0D37">
        <w:rPr>
          <w:color w:val="808080"/>
        </w:rPr>
        <w:lastRenderedPageBreak/>
        <w:t>-- TAG-DMRS-DOWNLINKCONFIG-STOP</w:t>
      </w:r>
    </w:p>
    <w:p w14:paraId="293EEF27" w14:textId="77777777" w:rsidR="00394471" w:rsidRPr="00FA0D37" w:rsidRDefault="00394471" w:rsidP="00FA0D37">
      <w:pPr>
        <w:pStyle w:val="PL"/>
        <w:rPr>
          <w:color w:val="808080"/>
        </w:rPr>
      </w:pPr>
      <w:r w:rsidRPr="00FA0D37">
        <w:rPr>
          <w:color w:val="808080"/>
        </w:rPr>
        <w:t>-- ASN1STOP</w:t>
      </w:r>
    </w:p>
    <w:p w14:paraId="6E69846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FA0D37" w:rsidRDefault="00394471" w:rsidP="00964CC4">
            <w:pPr>
              <w:pStyle w:val="TAH"/>
              <w:rPr>
                <w:szCs w:val="22"/>
                <w:lang w:eastAsia="sv-SE"/>
              </w:rPr>
            </w:pPr>
            <w:r w:rsidRPr="00FA0D37">
              <w:rPr>
                <w:i/>
                <w:szCs w:val="22"/>
                <w:lang w:eastAsia="sv-SE"/>
              </w:rPr>
              <w:t xml:space="preserve">DMRS-DownlinkConfig </w:t>
            </w:r>
            <w:r w:rsidRPr="00FA0D37">
              <w:rPr>
                <w:szCs w:val="22"/>
                <w:lang w:eastAsia="sv-SE"/>
              </w:rPr>
              <w:t>field descriptions</w:t>
            </w:r>
          </w:p>
        </w:tc>
      </w:tr>
      <w:tr w:rsidR="005C7FF4" w:rsidRPr="00FA0D37"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FA0D37" w:rsidRDefault="00394471" w:rsidP="00964CC4">
            <w:pPr>
              <w:pStyle w:val="TAL"/>
              <w:rPr>
                <w:szCs w:val="22"/>
                <w:lang w:eastAsia="sv-SE"/>
              </w:rPr>
            </w:pPr>
            <w:r w:rsidRPr="00FA0D37">
              <w:rPr>
                <w:b/>
                <w:i/>
                <w:szCs w:val="22"/>
                <w:lang w:eastAsia="sv-SE"/>
              </w:rPr>
              <w:t>dmrs-AdditionalPosition</w:t>
            </w:r>
          </w:p>
          <w:p w14:paraId="31C3CC29" w14:textId="77777777" w:rsidR="00394471" w:rsidRPr="00FA0D37" w:rsidRDefault="00394471" w:rsidP="00964CC4">
            <w:pPr>
              <w:pStyle w:val="TAL"/>
              <w:rPr>
                <w:szCs w:val="22"/>
                <w:lang w:eastAsia="sv-SE"/>
              </w:rPr>
            </w:pPr>
            <w:r w:rsidRPr="00FA0D37">
              <w:rPr>
                <w:szCs w:val="22"/>
                <w:lang w:eastAsia="sv-SE"/>
              </w:rPr>
              <w:t>Position for additional DM-RS in DL, see Tables 7.4.1.1.2-3 and 7.4.1.1.2-4 in TS 38.211 [16]. If the field is absent, the UE applies the value pos2.</w:t>
            </w:r>
            <w:r w:rsidRPr="00FA0D37">
              <w:rPr>
                <w:lang w:eastAsia="sv-SE"/>
              </w:rPr>
              <w:t xml:space="preserve"> </w:t>
            </w:r>
            <w:r w:rsidRPr="00FA0D37">
              <w:rPr>
                <w:szCs w:val="22"/>
                <w:lang w:eastAsia="sv-SE"/>
              </w:rPr>
              <w:t>See also clause 7.4.1.1.2 for additional constraints on how the network may set this field depending on the setting of other fields.</w:t>
            </w:r>
          </w:p>
        </w:tc>
      </w:tr>
      <w:tr w:rsidR="005C7FF4" w:rsidRPr="00FA0D37"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FA0D37" w:rsidRDefault="00394471" w:rsidP="00964CC4">
            <w:pPr>
              <w:pStyle w:val="TAL"/>
              <w:rPr>
                <w:b/>
                <w:i/>
                <w:szCs w:val="22"/>
                <w:lang w:eastAsia="sv-SE"/>
              </w:rPr>
            </w:pPr>
            <w:r w:rsidRPr="00FA0D37">
              <w:rPr>
                <w:b/>
                <w:i/>
                <w:szCs w:val="22"/>
                <w:lang w:eastAsia="sv-SE"/>
              </w:rPr>
              <w:t>dmrs-Downlink</w:t>
            </w:r>
          </w:p>
          <w:p w14:paraId="03F2D300" w14:textId="77777777" w:rsidR="00394471" w:rsidRPr="00FA0D37" w:rsidRDefault="00394471" w:rsidP="00964CC4">
            <w:pPr>
              <w:pStyle w:val="TAL"/>
              <w:rPr>
                <w:b/>
                <w:i/>
                <w:szCs w:val="22"/>
                <w:lang w:eastAsia="sv-SE"/>
              </w:rPr>
            </w:pPr>
            <w:r w:rsidRPr="00FA0D37">
              <w:rPr>
                <w:szCs w:val="22"/>
              </w:rPr>
              <w:t>This field indicates whether low PAPR DMRS is used, as specified in TS38.211 [16], clause 7.4.1.1.1.</w:t>
            </w:r>
          </w:p>
        </w:tc>
      </w:tr>
      <w:tr w:rsidR="005C7FF4" w:rsidRPr="00FA0D37"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FA0D37" w:rsidRDefault="00394471" w:rsidP="00964CC4">
            <w:pPr>
              <w:pStyle w:val="TAL"/>
              <w:rPr>
                <w:szCs w:val="22"/>
                <w:lang w:eastAsia="sv-SE"/>
              </w:rPr>
            </w:pPr>
            <w:r w:rsidRPr="00FA0D37">
              <w:rPr>
                <w:b/>
                <w:i/>
                <w:szCs w:val="22"/>
                <w:lang w:eastAsia="sv-SE"/>
              </w:rPr>
              <w:t>dmrs-Type</w:t>
            </w:r>
          </w:p>
          <w:p w14:paraId="2D7AC234" w14:textId="77777777" w:rsidR="00394471" w:rsidRPr="00FA0D37" w:rsidRDefault="00394471" w:rsidP="00964CC4">
            <w:pPr>
              <w:pStyle w:val="TAL"/>
              <w:rPr>
                <w:szCs w:val="22"/>
                <w:lang w:eastAsia="sv-SE"/>
              </w:rPr>
            </w:pPr>
            <w:r w:rsidRPr="00FA0D37">
              <w:rPr>
                <w:szCs w:val="22"/>
                <w:lang w:eastAsia="sv-SE"/>
              </w:rPr>
              <w:t>Selection of the DMRS type to be used for DL (see TS 38.211 [16], clause 7.4.1.1.1). If the field is absent, the UE uses DMRS type 1.</w:t>
            </w:r>
          </w:p>
        </w:tc>
      </w:tr>
      <w:tr w:rsidR="005C7FF4" w:rsidRPr="00FA0D37"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FA0D37" w:rsidRDefault="00394471" w:rsidP="00964CC4">
            <w:pPr>
              <w:pStyle w:val="TAL"/>
              <w:rPr>
                <w:szCs w:val="22"/>
                <w:lang w:eastAsia="sv-SE"/>
              </w:rPr>
            </w:pPr>
            <w:r w:rsidRPr="00FA0D37">
              <w:rPr>
                <w:b/>
                <w:i/>
                <w:szCs w:val="22"/>
                <w:lang w:eastAsia="sv-SE"/>
              </w:rPr>
              <w:t>maxLength</w:t>
            </w:r>
          </w:p>
          <w:p w14:paraId="70A98F4E" w14:textId="77777777" w:rsidR="00394471" w:rsidRPr="00FA0D37" w:rsidRDefault="00394471" w:rsidP="00964CC4">
            <w:pPr>
              <w:pStyle w:val="TAL"/>
              <w:rPr>
                <w:szCs w:val="22"/>
                <w:lang w:eastAsia="sv-SE"/>
              </w:rPr>
            </w:pPr>
            <w:r w:rsidRPr="00FA0D37">
              <w:rPr>
                <w:szCs w:val="22"/>
                <w:lang w:eastAsia="sv-SE"/>
              </w:rPr>
              <w:t xml:space="preserve">The maximum number of OFDM symbols for DL front loaded DMRS. </w:t>
            </w:r>
            <w:r w:rsidRPr="00FA0D37">
              <w:rPr>
                <w:i/>
                <w:lang w:eastAsia="sv-SE"/>
              </w:rPr>
              <w:t>len1</w:t>
            </w:r>
            <w:r w:rsidRPr="00FA0D37">
              <w:rPr>
                <w:szCs w:val="22"/>
                <w:lang w:eastAsia="sv-SE"/>
              </w:rPr>
              <w:t xml:space="preserve"> corresponds to value 1. </w:t>
            </w:r>
            <w:r w:rsidRPr="00FA0D37">
              <w:rPr>
                <w:i/>
                <w:lang w:eastAsia="sv-SE"/>
              </w:rPr>
              <w:t>len2</w:t>
            </w:r>
            <w:r w:rsidRPr="00FA0D37">
              <w:rPr>
                <w:szCs w:val="22"/>
                <w:lang w:eastAsia="sv-SE"/>
              </w:rPr>
              <w:t xml:space="preserve"> corresponds to value 2. If the field is absent, the UE applies value </w:t>
            </w:r>
            <w:r w:rsidRPr="00FA0D37">
              <w:rPr>
                <w:i/>
                <w:lang w:eastAsia="sv-SE"/>
              </w:rPr>
              <w:t>len1</w:t>
            </w:r>
            <w:r w:rsidRPr="00FA0D37">
              <w:rPr>
                <w:szCs w:val="22"/>
                <w:lang w:eastAsia="sv-SE"/>
              </w:rPr>
              <w:t xml:space="preserve">. If set to </w:t>
            </w:r>
            <w:r w:rsidRPr="00FA0D37">
              <w:rPr>
                <w:i/>
                <w:lang w:eastAsia="sv-SE"/>
              </w:rPr>
              <w:t>len2</w:t>
            </w:r>
            <w:r w:rsidRPr="00FA0D37">
              <w:rPr>
                <w:szCs w:val="22"/>
                <w:lang w:eastAsia="sv-SE"/>
              </w:rPr>
              <w:t>, the UE determines the actual number of DM-RS symbols by the associated DCI. (see TS 38.211 [16], clause 7.4.1.1.2).</w:t>
            </w:r>
          </w:p>
        </w:tc>
      </w:tr>
      <w:tr w:rsidR="005C7FF4" w:rsidRPr="00FA0D37"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FA0D37" w:rsidRDefault="00394471" w:rsidP="00964CC4">
            <w:pPr>
              <w:pStyle w:val="TAL"/>
              <w:rPr>
                <w:szCs w:val="22"/>
                <w:lang w:eastAsia="sv-SE"/>
              </w:rPr>
            </w:pPr>
            <w:r w:rsidRPr="00FA0D37">
              <w:rPr>
                <w:b/>
                <w:i/>
                <w:szCs w:val="22"/>
                <w:lang w:eastAsia="sv-SE"/>
              </w:rPr>
              <w:t>phaseTrackingRS</w:t>
            </w:r>
          </w:p>
          <w:p w14:paraId="478DB619" w14:textId="77777777" w:rsidR="00394471" w:rsidRPr="00FA0D37" w:rsidRDefault="00394471" w:rsidP="00964CC4">
            <w:pPr>
              <w:pStyle w:val="TAL"/>
              <w:rPr>
                <w:szCs w:val="22"/>
                <w:lang w:eastAsia="sv-SE"/>
              </w:rPr>
            </w:pPr>
            <w:r w:rsidRPr="00FA0D37">
              <w:rPr>
                <w:szCs w:val="22"/>
                <w:lang w:eastAsia="sv-SE"/>
              </w:rPr>
              <w:t>Configures downlink PTRS. If the field is not configured, the UE assumes that downlink PTRS are absent. See TS 38.214 [19] clause 5.1.6.3.</w:t>
            </w:r>
          </w:p>
        </w:tc>
      </w:tr>
      <w:tr w:rsidR="005C7FF4" w:rsidRPr="00FA0D37"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FA0D37" w:rsidRDefault="00394471" w:rsidP="00964CC4">
            <w:pPr>
              <w:pStyle w:val="TAL"/>
              <w:rPr>
                <w:szCs w:val="22"/>
                <w:lang w:eastAsia="sv-SE"/>
              </w:rPr>
            </w:pPr>
            <w:r w:rsidRPr="00FA0D37">
              <w:rPr>
                <w:b/>
                <w:i/>
                <w:szCs w:val="22"/>
                <w:lang w:eastAsia="sv-SE"/>
              </w:rPr>
              <w:t>scramblingID0</w:t>
            </w:r>
          </w:p>
          <w:p w14:paraId="0F955EEB" w14:textId="77777777" w:rsidR="00394471" w:rsidRPr="00FA0D37" w:rsidRDefault="00394471" w:rsidP="00964CC4">
            <w:pPr>
              <w:pStyle w:val="TAL"/>
              <w:rPr>
                <w:szCs w:val="22"/>
                <w:lang w:eastAsia="sv-SE"/>
              </w:rPr>
            </w:pPr>
            <w:r w:rsidRPr="00FA0D37">
              <w:rPr>
                <w:szCs w:val="22"/>
                <w:lang w:eastAsia="sv-SE"/>
              </w:rPr>
              <w:t xml:space="preserve">DL DMRS scrambling initialization (see TS 38.211 [16], clause 7.4.1.1.1). When the field is absent the UE applies the value </w:t>
            </w:r>
            <w:r w:rsidRPr="00FA0D37">
              <w:rPr>
                <w:i/>
                <w:lang w:eastAsia="sv-SE"/>
              </w:rPr>
              <w:t>physCellId</w:t>
            </w:r>
            <w:r w:rsidRPr="00FA0D37">
              <w:rPr>
                <w:szCs w:val="22"/>
                <w:lang w:eastAsia="sv-SE"/>
              </w:rPr>
              <w:t xml:space="preserve"> configured for this serving cell.</w:t>
            </w:r>
          </w:p>
        </w:tc>
      </w:tr>
      <w:tr w:rsidR="00394471" w:rsidRPr="00FA0D37"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FA0D37" w:rsidRDefault="00394471" w:rsidP="00964CC4">
            <w:pPr>
              <w:pStyle w:val="TAL"/>
              <w:rPr>
                <w:szCs w:val="22"/>
                <w:lang w:eastAsia="sv-SE"/>
              </w:rPr>
            </w:pPr>
            <w:r w:rsidRPr="00FA0D37">
              <w:rPr>
                <w:b/>
                <w:i/>
                <w:szCs w:val="22"/>
                <w:lang w:eastAsia="sv-SE"/>
              </w:rPr>
              <w:t>scramblingID1</w:t>
            </w:r>
          </w:p>
          <w:p w14:paraId="4255AAD7" w14:textId="77777777" w:rsidR="00394471" w:rsidRPr="00FA0D37" w:rsidRDefault="00394471" w:rsidP="00964CC4">
            <w:pPr>
              <w:pStyle w:val="TAL"/>
              <w:rPr>
                <w:szCs w:val="22"/>
                <w:lang w:eastAsia="sv-SE"/>
              </w:rPr>
            </w:pPr>
            <w:r w:rsidRPr="00FA0D37">
              <w:rPr>
                <w:szCs w:val="22"/>
                <w:lang w:eastAsia="sv-SE"/>
              </w:rPr>
              <w:t xml:space="preserve">DL DMRS scrambling initialization (see TS 38.211 [16], clause 7.4.1.1.1). When the field is absent the UE applies the value </w:t>
            </w:r>
            <w:r w:rsidRPr="00FA0D37">
              <w:rPr>
                <w:i/>
                <w:lang w:eastAsia="sv-SE"/>
              </w:rPr>
              <w:t>physCellId</w:t>
            </w:r>
            <w:r w:rsidRPr="00FA0D37">
              <w:rPr>
                <w:szCs w:val="22"/>
                <w:lang w:eastAsia="sv-SE"/>
              </w:rPr>
              <w:t xml:space="preserve"> configured for this serving cell.</w:t>
            </w:r>
          </w:p>
        </w:tc>
      </w:tr>
    </w:tbl>
    <w:p w14:paraId="55115A21" w14:textId="77777777" w:rsidR="00394471" w:rsidRPr="00FA0D37" w:rsidRDefault="00394471" w:rsidP="00394471"/>
    <w:p w14:paraId="15BB7BE2" w14:textId="77777777" w:rsidR="00394471" w:rsidRPr="00FA0D37" w:rsidRDefault="00394471" w:rsidP="00394471">
      <w:pPr>
        <w:pStyle w:val="4"/>
      </w:pPr>
      <w:bookmarkStart w:id="1014" w:name="_Toc60777229"/>
      <w:bookmarkStart w:id="1015" w:name="_Toc146781279"/>
      <w:r w:rsidRPr="00FA0D37">
        <w:t>–</w:t>
      </w:r>
      <w:r w:rsidRPr="00FA0D37">
        <w:tab/>
      </w:r>
      <w:r w:rsidRPr="00FA0D37">
        <w:rPr>
          <w:i/>
        </w:rPr>
        <w:t>DMRS-UplinkConfig</w:t>
      </w:r>
      <w:bookmarkEnd w:id="1014"/>
      <w:bookmarkEnd w:id="1015"/>
    </w:p>
    <w:p w14:paraId="548C430D" w14:textId="77777777" w:rsidR="00394471" w:rsidRPr="00FA0D37" w:rsidRDefault="00394471" w:rsidP="00394471">
      <w:r w:rsidRPr="00FA0D37">
        <w:t xml:space="preserve">The IE </w:t>
      </w:r>
      <w:r w:rsidRPr="00FA0D37">
        <w:rPr>
          <w:i/>
        </w:rPr>
        <w:t>DMRS-UplinkConfig</w:t>
      </w:r>
      <w:r w:rsidRPr="00FA0D37">
        <w:t xml:space="preserve"> is used to configure uplink demodulation reference signals for PUSCH.</w:t>
      </w:r>
    </w:p>
    <w:p w14:paraId="23F51B2C" w14:textId="77777777" w:rsidR="00394471" w:rsidRPr="00FA0D37" w:rsidRDefault="00394471" w:rsidP="00394471">
      <w:pPr>
        <w:pStyle w:val="TH"/>
      </w:pPr>
      <w:r w:rsidRPr="00FA0D37">
        <w:rPr>
          <w:i/>
        </w:rPr>
        <w:t>DMRS-UplinkConfig</w:t>
      </w:r>
      <w:r w:rsidRPr="00FA0D37">
        <w:t xml:space="preserve"> information element</w:t>
      </w:r>
    </w:p>
    <w:p w14:paraId="0D202B79" w14:textId="77777777" w:rsidR="00394471" w:rsidRPr="00FA0D37" w:rsidRDefault="00394471" w:rsidP="00FA0D37">
      <w:pPr>
        <w:pStyle w:val="PL"/>
        <w:rPr>
          <w:color w:val="808080"/>
        </w:rPr>
      </w:pPr>
      <w:r w:rsidRPr="00FA0D37">
        <w:rPr>
          <w:color w:val="808080"/>
        </w:rPr>
        <w:t>-- ASN1START</w:t>
      </w:r>
    </w:p>
    <w:p w14:paraId="2630752F" w14:textId="77777777" w:rsidR="00394471" w:rsidRPr="00FA0D37" w:rsidRDefault="00394471" w:rsidP="00FA0D37">
      <w:pPr>
        <w:pStyle w:val="PL"/>
        <w:rPr>
          <w:color w:val="808080"/>
        </w:rPr>
      </w:pPr>
      <w:r w:rsidRPr="00FA0D37">
        <w:rPr>
          <w:color w:val="808080"/>
        </w:rPr>
        <w:t>-- TAG-DMRS-UPLINKCONFIG-START</w:t>
      </w:r>
    </w:p>
    <w:p w14:paraId="2C0C56B4" w14:textId="77777777" w:rsidR="00394471" w:rsidRPr="00FA0D37" w:rsidRDefault="00394471" w:rsidP="00FA0D37">
      <w:pPr>
        <w:pStyle w:val="PL"/>
      </w:pPr>
    </w:p>
    <w:p w14:paraId="70670DEE" w14:textId="77777777" w:rsidR="00394471" w:rsidRPr="00FA0D37" w:rsidRDefault="00394471" w:rsidP="00FA0D37">
      <w:pPr>
        <w:pStyle w:val="PL"/>
      </w:pPr>
      <w:r w:rsidRPr="00FA0D37">
        <w:t xml:space="preserve">DMRS-UplinkConfig ::=               </w:t>
      </w:r>
      <w:r w:rsidRPr="00FA0D37">
        <w:rPr>
          <w:color w:val="993366"/>
        </w:rPr>
        <w:t>SEQUENCE</w:t>
      </w:r>
      <w:r w:rsidRPr="00FA0D37">
        <w:t xml:space="preserve"> {</w:t>
      </w:r>
    </w:p>
    <w:p w14:paraId="3C8E5BCC" w14:textId="77777777" w:rsidR="00394471" w:rsidRPr="00FA0D37" w:rsidRDefault="00394471" w:rsidP="00FA0D37">
      <w:pPr>
        <w:pStyle w:val="PL"/>
        <w:rPr>
          <w:color w:val="808080"/>
        </w:rPr>
      </w:pPr>
      <w:r w:rsidRPr="00FA0D37">
        <w:t xml:space="preserve">    dmrs-Type                           </w:t>
      </w:r>
      <w:r w:rsidRPr="00FA0D37">
        <w:rPr>
          <w:color w:val="993366"/>
        </w:rPr>
        <w:t>ENUMERATED</w:t>
      </w:r>
      <w:r w:rsidRPr="00FA0D37">
        <w:t xml:space="preserve"> {type2}                                                  </w:t>
      </w:r>
      <w:r w:rsidRPr="00FA0D37">
        <w:rPr>
          <w:color w:val="993366"/>
        </w:rPr>
        <w:t>OPTIONAL</w:t>
      </w:r>
      <w:r w:rsidRPr="00FA0D37">
        <w:t xml:space="preserve">,   </w:t>
      </w:r>
      <w:r w:rsidRPr="00FA0D37">
        <w:rPr>
          <w:color w:val="808080"/>
        </w:rPr>
        <w:t>-- Need S</w:t>
      </w:r>
    </w:p>
    <w:p w14:paraId="3C647029" w14:textId="77777777" w:rsidR="00394471" w:rsidRPr="00FA0D37" w:rsidRDefault="00394471" w:rsidP="00FA0D37">
      <w:pPr>
        <w:pStyle w:val="PL"/>
        <w:rPr>
          <w:color w:val="808080"/>
        </w:rPr>
      </w:pPr>
      <w:r w:rsidRPr="00FA0D37">
        <w:t xml:space="preserve">    dmrs-AdditionalPosition             </w:t>
      </w:r>
      <w:r w:rsidRPr="00FA0D37">
        <w:rPr>
          <w:color w:val="993366"/>
        </w:rPr>
        <w:t>ENUMERATED</w:t>
      </w:r>
      <w:r w:rsidRPr="00FA0D37">
        <w:t xml:space="preserve"> {pos0, pos1, pos3}                                       </w:t>
      </w:r>
      <w:r w:rsidRPr="00FA0D37">
        <w:rPr>
          <w:color w:val="993366"/>
        </w:rPr>
        <w:t>OPTIONAL</w:t>
      </w:r>
      <w:r w:rsidRPr="00FA0D37">
        <w:t xml:space="preserve">,   </w:t>
      </w:r>
      <w:r w:rsidRPr="00FA0D37">
        <w:rPr>
          <w:color w:val="808080"/>
        </w:rPr>
        <w:t>-- Need S</w:t>
      </w:r>
    </w:p>
    <w:p w14:paraId="742FA092" w14:textId="77777777" w:rsidR="00394471" w:rsidRPr="00FA0D37" w:rsidRDefault="00394471" w:rsidP="00FA0D37">
      <w:pPr>
        <w:pStyle w:val="PL"/>
        <w:rPr>
          <w:color w:val="808080"/>
        </w:rPr>
      </w:pPr>
      <w:r w:rsidRPr="00FA0D37">
        <w:t xml:space="preserve">    phaseTrackingRS                     SetupRelease { PTRS-UplinkConfig }                                  </w:t>
      </w:r>
      <w:r w:rsidRPr="00FA0D37">
        <w:rPr>
          <w:color w:val="993366"/>
        </w:rPr>
        <w:t>OPTIONAL</w:t>
      </w:r>
      <w:r w:rsidRPr="00FA0D37">
        <w:t xml:space="preserve">,   </w:t>
      </w:r>
      <w:r w:rsidRPr="00FA0D37">
        <w:rPr>
          <w:color w:val="808080"/>
        </w:rPr>
        <w:t>-- Need M</w:t>
      </w:r>
    </w:p>
    <w:p w14:paraId="622FEC69" w14:textId="77777777" w:rsidR="00394471" w:rsidRPr="00FA0D37" w:rsidRDefault="00394471" w:rsidP="00FA0D37">
      <w:pPr>
        <w:pStyle w:val="PL"/>
        <w:rPr>
          <w:color w:val="808080"/>
        </w:rPr>
      </w:pPr>
      <w:r w:rsidRPr="00FA0D37">
        <w:t xml:space="preserve">    maxLength                           </w:t>
      </w:r>
      <w:r w:rsidRPr="00FA0D37">
        <w:rPr>
          <w:color w:val="993366"/>
        </w:rPr>
        <w:t>ENUMERATED</w:t>
      </w:r>
      <w:r w:rsidRPr="00FA0D37">
        <w:t xml:space="preserve"> {len2}                                                   </w:t>
      </w:r>
      <w:r w:rsidRPr="00FA0D37">
        <w:rPr>
          <w:color w:val="993366"/>
        </w:rPr>
        <w:t>OPTIONAL</w:t>
      </w:r>
      <w:r w:rsidRPr="00FA0D37">
        <w:t xml:space="preserve">,   </w:t>
      </w:r>
      <w:r w:rsidRPr="00FA0D37">
        <w:rPr>
          <w:color w:val="808080"/>
        </w:rPr>
        <w:t>-- Need S</w:t>
      </w:r>
    </w:p>
    <w:p w14:paraId="638D5D39" w14:textId="77777777" w:rsidR="00394471" w:rsidRPr="00FA0D37" w:rsidRDefault="00394471" w:rsidP="00FA0D37">
      <w:pPr>
        <w:pStyle w:val="PL"/>
      </w:pPr>
      <w:r w:rsidRPr="00FA0D37">
        <w:t xml:space="preserve">    transformPrecodingDisabled          </w:t>
      </w:r>
      <w:r w:rsidRPr="00FA0D37">
        <w:rPr>
          <w:color w:val="993366"/>
        </w:rPr>
        <w:t>SEQUENCE</w:t>
      </w:r>
      <w:r w:rsidRPr="00FA0D37">
        <w:t xml:space="preserve"> {</w:t>
      </w:r>
    </w:p>
    <w:p w14:paraId="413E2ED2" w14:textId="77777777" w:rsidR="00394471" w:rsidRPr="00FA0D37" w:rsidRDefault="00394471" w:rsidP="00FA0D37">
      <w:pPr>
        <w:pStyle w:val="PL"/>
        <w:rPr>
          <w:color w:val="808080"/>
        </w:rPr>
      </w:pPr>
      <w:r w:rsidRPr="00FA0D37">
        <w:t xml:space="preserve">        scramblingID0                       </w:t>
      </w:r>
      <w:r w:rsidRPr="00FA0D37">
        <w:rPr>
          <w:color w:val="993366"/>
        </w:rPr>
        <w:t>INTEGER</w:t>
      </w:r>
      <w:r w:rsidRPr="00FA0D37">
        <w:t xml:space="preserve"> (0..65535)                                              </w:t>
      </w:r>
      <w:r w:rsidRPr="00FA0D37">
        <w:rPr>
          <w:color w:val="993366"/>
        </w:rPr>
        <w:t>OPTIONAL</w:t>
      </w:r>
      <w:r w:rsidRPr="00FA0D37">
        <w:t xml:space="preserve">,   </w:t>
      </w:r>
      <w:r w:rsidRPr="00FA0D37">
        <w:rPr>
          <w:color w:val="808080"/>
        </w:rPr>
        <w:t>-- Need S</w:t>
      </w:r>
    </w:p>
    <w:p w14:paraId="09970356" w14:textId="77777777" w:rsidR="00394471" w:rsidRPr="00FA0D37" w:rsidRDefault="00394471" w:rsidP="00FA0D37">
      <w:pPr>
        <w:pStyle w:val="PL"/>
        <w:rPr>
          <w:color w:val="808080"/>
        </w:rPr>
      </w:pPr>
      <w:r w:rsidRPr="00FA0D37">
        <w:t xml:space="preserve">        scramblingID1                       </w:t>
      </w:r>
      <w:r w:rsidRPr="00FA0D37">
        <w:rPr>
          <w:color w:val="993366"/>
        </w:rPr>
        <w:t>INTEGER</w:t>
      </w:r>
      <w:r w:rsidRPr="00FA0D37">
        <w:t xml:space="preserve"> (0..65535)                                              </w:t>
      </w:r>
      <w:r w:rsidRPr="00FA0D37">
        <w:rPr>
          <w:color w:val="993366"/>
        </w:rPr>
        <w:t>OPTIONAL</w:t>
      </w:r>
      <w:r w:rsidRPr="00FA0D37">
        <w:t xml:space="preserve">,   </w:t>
      </w:r>
      <w:r w:rsidRPr="00FA0D37">
        <w:rPr>
          <w:color w:val="808080"/>
        </w:rPr>
        <w:t>-- Need S</w:t>
      </w:r>
    </w:p>
    <w:p w14:paraId="0167B3F1" w14:textId="77777777" w:rsidR="00394471" w:rsidRPr="00FA0D37" w:rsidRDefault="00394471" w:rsidP="00FA0D37">
      <w:pPr>
        <w:pStyle w:val="PL"/>
      </w:pPr>
      <w:r w:rsidRPr="00FA0D37">
        <w:t xml:space="preserve">        ...,</w:t>
      </w:r>
    </w:p>
    <w:p w14:paraId="026ED2C9" w14:textId="77777777" w:rsidR="00394471" w:rsidRPr="00FA0D37" w:rsidRDefault="00394471" w:rsidP="00FA0D37">
      <w:pPr>
        <w:pStyle w:val="PL"/>
      </w:pPr>
      <w:r w:rsidRPr="00FA0D37">
        <w:t xml:space="preserve">        [[</w:t>
      </w:r>
    </w:p>
    <w:p w14:paraId="70991F44" w14:textId="77777777" w:rsidR="00394471" w:rsidRPr="00FA0D37" w:rsidRDefault="00394471" w:rsidP="00FA0D37">
      <w:pPr>
        <w:pStyle w:val="PL"/>
        <w:rPr>
          <w:color w:val="808080"/>
        </w:rPr>
      </w:pPr>
      <w:r w:rsidRPr="00FA0D37">
        <w:t xml:space="preserve">        dmrs-Uplink-r16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3D516C86" w14:textId="77777777" w:rsidR="00394471" w:rsidRPr="00FA0D37" w:rsidRDefault="00394471" w:rsidP="00FA0D37">
      <w:pPr>
        <w:pStyle w:val="PL"/>
      </w:pPr>
      <w:r w:rsidRPr="00FA0D37">
        <w:t xml:space="preserve">        ]]</w:t>
      </w:r>
    </w:p>
    <w:p w14:paraId="77BD22B9"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2DEA0F71" w14:textId="77777777" w:rsidR="00394471" w:rsidRPr="00FA0D37" w:rsidRDefault="00394471" w:rsidP="00FA0D37">
      <w:pPr>
        <w:pStyle w:val="PL"/>
      </w:pPr>
      <w:r w:rsidRPr="00FA0D37">
        <w:t xml:space="preserve">    transformPrecodingEnabled           </w:t>
      </w:r>
      <w:r w:rsidRPr="00FA0D37">
        <w:rPr>
          <w:color w:val="993366"/>
        </w:rPr>
        <w:t>SEQUENCE</w:t>
      </w:r>
      <w:r w:rsidRPr="00FA0D37">
        <w:t xml:space="preserve"> {</w:t>
      </w:r>
    </w:p>
    <w:p w14:paraId="075F1BD3" w14:textId="77777777" w:rsidR="00394471" w:rsidRPr="00FA0D37" w:rsidRDefault="00394471" w:rsidP="00FA0D37">
      <w:pPr>
        <w:pStyle w:val="PL"/>
        <w:rPr>
          <w:color w:val="808080"/>
        </w:rPr>
      </w:pPr>
      <w:r w:rsidRPr="00FA0D37">
        <w:lastRenderedPageBreak/>
        <w:t xml:space="preserve">        nPUSCH-Identity                     </w:t>
      </w:r>
      <w:r w:rsidRPr="00FA0D37">
        <w:rPr>
          <w:color w:val="993366"/>
        </w:rPr>
        <w:t>INTEGER</w:t>
      </w:r>
      <w:r w:rsidRPr="00FA0D37">
        <w:t xml:space="preserve">(0..1007)                                                </w:t>
      </w:r>
      <w:r w:rsidRPr="00FA0D37">
        <w:rPr>
          <w:color w:val="993366"/>
        </w:rPr>
        <w:t>OPTIONAL</w:t>
      </w:r>
      <w:r w:rsidRPr="00FA0D37">
        <w:t xml:space="preserve">,   </w:t>
      </w:r>
      <w:r w:rsidRPr="00FA0D37">
        <w:rPr>
          <w:color w:val="808080"/>
        </w:rPr>
        <w:t>-- Need S</w:t>
      </w:r>
    </w:p>
    <w:p w14:paraId="66BB22D9" w14:textId="77777777" w:rsidR="00394471" w:rsidRPr="00FA0D37" w:rsidRDefault="00394471" w:rsidP="00FA0D37">
      <w:pPr>
        <w:pStyle w:val="PL"/>
        <w:rPr>
          <w:color w:val="808080"/>
        </w:rPr>
      </w:pPr>
      <w:r w:rsidRPr="00FA0D37">
        <w:t xml:space="preserve">        sequenceGroupHopping                </w:t>
      </w:r>
      <w:r w:rsidRPr="00FA0D37">
        <w:rPr>
          <w:color w:val="993366"/>
        </w:rPr>
        <w:t>ENUMERATED</w:t>
      </w:r>
      <w:r w:rsidRPr="00FA0D37">
        <w:t xml:space="preserve"> {disabled}                                           </w:t>
      </w:r>
      <w:r w:rsidRPr="00FA0D37">
        <w:rPr>
          <w:color w:val="993366"/>
        </w:rPr>
        <w:t>OPTIONAL</w:t>
      </w:r>
      <w:r w:rsidRPr="00FA0D37">
        <w:t xml:space="preserve">,   </w:t>
      </w:r>
      <w:r w:rsidRPr="00FA0D37">
        <w:rPr>
          <w:color w:val="808080"/>
        </w:rPr>
        <w:t>-- Need S</w:t>
      </w:r>
    </w:p>
    <w:p w14:paraId="3434DDB0" w14:textId="77777777" w:rsidR="00394471" w:rsidRPr="00FA0D37" w:rsidRDefault="00394471" w:rsidP="00FA0D37">
      <w:pPr>
        <w:pStyle w:val="PL"/>
        <w:rPr>
          <w:color w:val="808080"/>
        </w:rPr>
      </w:pPr>
      <w:r w:rsidRPr="00FA0D37">
        <w:t xml:space="preserve">        sequenceHopping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6B297044" w14:textId="77777777" w:rsidR="00394471" w:rsidRPr="00FA0D37" w:rsidRDefault="00394471" w:rsidP="00FA0D37">
      <w:pPr>
        <w:pStyle w:val="PL"/>
      </w:pPr>
      <w:r w:rsidRPr="00FA0D37">
        <w:t xml:space="preserve">        ...,</w:t>
      </w:r>
    </w:p>
    <w:p w14:paraId="2FC4DDE9" w14:textId="77777777" w:rsidR="00394471" w:rsidRPr="00FA0D37" w:rsidRDefault="00394471" w:rsidP="00FA0D37">
      <w:pPr>
        <w:pStyle w:val="PL"/>
      </w:pPr>
      <w:r w:rsidRPr="00FA0D37">
        <w:t xml:space="preserve">        [[</w:t>
      </w:r>
    </w:p>
    <w:p w14:paraId="2E81FB34" w14:textId="77777777" w:rsidR="00394471" w:rsidRPr="00FA0D37" w:rsidRDefault="00394471" w:rsidP="00FA0D37">
      <w:pPr>
        <w:pStyle w:val="PL"/>
        <w:rPr>
          <w:color w:val="808080"/>
        </w:rPr>
      </w:pPr>
      <w:r w:rsidRPr="00FA0D37">
        <w:t xml:space="preserve">        dmrs-UplinkTransformPrecoding-r16   SetupRelease {DMRS-UplinkTransformPrecoding-r16}                </w:t>
      </w:r>
      <w:r w:rsidRPr="00FA0D37">
        <w:rPr>
          <w:color w:val="993366"/>
        </w:rPr>
        <w:t>OPTIONAL</w:t>
      </w:r>
      <w:r w:rsidRPr="00FA0D37">
        <w:t xml:space="preserve">    </w:t>
      </w:r>
      <w:r w:rsidRPr="00FA0D37">
        <w:rPr>
          <w:color w:val="808080"/>
        </w:rPr>
        <w:t>-- Need M</w:t>
      </w:r>
    </w:p>
    <w:p w14:paraId="4B8EBF46" w14:textId="77777777" w:rsidR="00394471" w:rsidRPr="00FA0D37" w:rsidRDefault="00394471" w:rsidP="00FA0D37">
      <w:pPr>
        <w:pStyle w:val="PL"/>
      </w:pPr>
      <w:r w:rsidRPr="00FA0D37">
        <w:t xml:space="preserve">        ]]</w:t>
      </w:r>
    </w:p>
    <w:p w14:paraId="3E4CC1E9"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21B7ED8D" w14:textId="77777777" w:rsidR="00394471" w:rsidRPr="00FA0D37" w:rsidRDefault="00394471" w:rsidP="00FA0D37">
      <w:pPr>
        <w:pStyle w:val="PL"/>
      </w:pPr>
      <w:r w:rsidRPr="00FA0D37">
        <w:t xml:space="preserve">    ...</w:t>
      </w:r>
    </w:p>
    <w:p w14:paraId="2820EEE6" w14:textId="77777777" w:rsidR="00394471" w:rsidRPr="00FA0D37" w:rsidRDefault="00394471" w:rsidP="00FA0D37">
      <w:pPr>
        <w:pStyle w:val="PL"/>
      </w:pPr>
      <w:r w:rsidRPr="00FA0D37">
        <w:t>}</w:t>
      </w:r>
    </w:p>
    <w:p w14:paraId="1279BBA2" w14:textId="77777777" w:rsidR="00394471" w:rsidRPr="00FA0D37" w:rsidRDefault="00394471" w:rsidP="00FA0D37">
      <w:pPr>
        <w:pStyle w:val="PL"/>
      </w:pPr>
    </w:p>
    <w:p w14:paraId="631FF3AA" w14:textId="77777777" w:rsidR="00394471" w:rsidRPr="00FA0D37" w:rsidRDefault="00394471" w:rsidP="00FA0D37">
      <w:pPr>
        <w:pStyle w:val="PL"/>
      </w:pPr>
      <w:r w:rsidRPr="00FA0D37">
        <w:t xml:space="preserve">DMRS-UplinkTransformPrecoding-r16  ::=  </w:t>
      </w:r>
      <w:r w:rsidRPr="00FA0D37">
        <w:rPr>
          <w:color w:val="993366"/>
        </w:rPr>
        <w:t>SEQUENCE</w:t>
      </w:r>
      <w:r w:rsidRPr="00FA0D37">
        <w:t xml:space="preserve"> {</w:t>
      </w:r>
    </w:p>
    <w:p w14:paraId="5BD3BB57" w14:textId="77777777" w:rsidR="00394471" w:rsidRPr="00FA0D37" w:rsidRDefault="00394471" w:rsidP="00FA0D37">
      <w:pPr>
        <w:pStyle w:val="PL"/>
        <w:rPr>
          <w:color w:val="808080"/>
        </w:rPr>
      </w:pPr>
      <w:r w:rsidRPr="00FA0D37">
        <w:t xml:space="preserve">    pi2BPSK-ScramblingID0                   </w:t>
      </w:r>
      <w:r w:rsidRPr="00FA0D37">
        <w:rPr>
          <w:color w:val="993366"/>
        </w:rPr>
        <w:t>INTEGER</w:t>
      </w:r>
      <w:r w:rsidRPr="00FA0D37">
        <w:t xml:space="preserve">(0..65535)                                               </w:t>
      </w:r>
      <w:r w:rsidRPr="00FA0D37">
        <w:rPr>
          <w:color w:val="993366"/>
        </w:rPr>
        <w:t>OPTIONAL</w:t>
      </w:r>
      <w:r w:rsidRPr="00FA0D37">
        <w:t xml:space="preserve">,   </w:t>
      </w:r>
      <w:r w:rsidRPr="00FA0D37">
        <w:rPr>
          <w:color w:val="808080"/>
        </w:rPr>
        <w:t>-- Need S</w:t>
      </w:r>
    </w:p>
    <w:p w14:paraId="64C6D8BD" w14:textId="77777777" w:rsidR="00394471" w:rsidRPr="00FA0D37" w:rsidRDefault="00394471" w:rsidP="00FA0D37">
      <w:pPr>
        <w:pStyle w:val="PL"/>
        <w:rPr>
          <w:color w:val="808080"/>
        </w:rPr>
      </w:pPr>
      <w:r w:rsidRPr="00FA0D37">
        <w:t xml:space="preserve">    pi2BPSK-ScramblingID1                   </w:t>
      </w:r>
      <w:r w:rsidRPr="00FA0D37">
        <w:rPr>
          <w:color w:val="993366"/>
        </w:rPr>
        <w:t>INTEGER</w:t>
      </w:r>
      <w:r w:rsidRPr="00FA0D37">
        <w:t xml:space="preserve">(0..65535)                                               </w:t>
      </w:r>
      <w:r w:rsidRPr="00FA0D37">
        <w:rPr>
          <w:color w:val="993366"/>
        </w:rPr>
        <w:t>OPTIONAL</w:t>
      </w:r>
      <w:r w:rsidRPr="00FA0D37">
        <w:t xml:space="preserve">    </w:t>
      </w:r>
      <w:r w:rsidRPr="00FA0D37">
        <w:rPr>
          <w:color w:val="808080"/>
        </w:rPr>
        <w:t>-- Need S</w:t>
      </w:r>
    </w:p>
    <w:p w14:paraId="3B75A639" w14:textId="77777777" w:rsidR="00394471" w:rsidRPr="00FA0D37" w:rsidRDefault="00394471" w:rsidP="00FA0D37">
      <w:pPr>
        <w:pStyle w:val="PL"/>
      </w:pPr>
      <w:r w:rsidRPr="00FA0D37">
        <w:t>}</w:t>
      </w:r>
    </w:p>
    <w:p w14:paraId="2B76B133" w14:textId="77777777" w:rsidR="00394471" w:rsidRPr="00FA0D37" w:rsidRDefault="00394471" w:rsidP="00FA0D37">
      <w:pPr>
        <w:pStyle w:val="PL"/>
      </w:pPr>
    </w:p>
    <w:p w14:paraId="0378B8DD" w14:textId="77777777" w:rsidR="00394471" w:rsidRPr="00FA0D37" w:rsidRDefault="00394471" w:rsidP="00FA0D37">
      <w:pPr>
        <w:pStyle w:val="PL"/>
        <w:rPr>
          <w:color w:val="808080"/>
        </w:rPr>
      </w:pPr>
      <w:r w:rsidRPr="00FA0D37">
        <w:rPr>
          <w:color w:val="808080"/>
        </w:rPr>
        <w:t>-- TAG-DMRS-UPLINKCONFIG-STOP</w:t>
      </w:r>
    </w:p>
    <w:p w14:paraId="4958A6C3" w14:textId="77777777" w:rsidR="00394471" w:rsidRPr="00FA0D37" w:rsidRDefault="00394471" w:rsidP="00FA0D37">
      <w:pPr>
        <w:pStyle w:val="PL"/>
        <w:rPr>
          <w:color w:val="808080"/>
        </w:rPr>
      </w:pPr>
      <w:r w:rsidRPr="00FA0D37">
        <w:rPr>
          <w:color w:val="808080"/>
        </w:rPr>
        <w:t>-- ASN1STOP</w:t>
      </w:r>
    </w:p>
    <w:p w14:paraId="690274AF" w14:textId="77777777" w:rsidR="00394471" w:rsidRPr="00FA0D37"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5C7FF4" w:rsidRPr="00FA0D37"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FA0D37" w:rsidRDefault="00394471" w:rsidP="00964CC4">
            <w:pPr>
              <w:pStyle w:val="TAH"/>
              <w:rPr>
                <w:szCs w:val="22"/>
                <w:lang w:eastAsia="sv-SE"/>
              </w:rPr>
            </w:pPr>
            <w:r w:rsidRPr="00FA0D37">
              <w:rPr>
                <w:i/>
                <w:szCs w:val="22"/>
                <w:lang w:eastAsia="sv-SE"/>
              </w:rPr>
              <w:lastRenderedPageBreak/>
              <w:t xml:space="preserve">DMRS-UplinkConfig </w:t>
            </w:r>
            <w:r w:rsidRPr="00FA0D37">
              <w:rPr>
                <w:szCs w:val="22"/>
                <w:lang w:eastAsia="sv-SE"/>
              </w:rPr>
              <w:t>field descriptions</w:t>
            </w:r>
          </w:p>
        </w:tc>
      </w:tr>
      <w:tr w:rsidR="005C7FF4" w:rsidRPr="00FA0D37"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FA0D37" w:rsidRDefault="00394471" w:rsidP="00964CC4">
            <w:pPr>
              <w:pStyle w:val="TAL"/>
              <w:rPr>
                <w:szCs w:val="22"/>
                <w:lang w:eastAsia="sv-SE"/>
              </w:rPr>
            </w:pPr>
            <w:r w:rsidRPr="00FA0D37">
              <w:rPr>
                <w:b/>
                <w:i/>
                <w:szCs w:val="22"/>
                <w:lang w:eastAsia="sv-SE"/>
              </w:rPr>
              <w:t>dmrs-AdditionalPosition</w:t>
            </w:r>
          </w:p>
          <w:p w14:paraId="76ABDE45" w14:textId="77777777" w:rsidR="00394471" w:rsidRPr="00FA0D37" w:rsidRDefault="00394471" w:rsidP="00964CC4">
            <w:pPr>
              <w:pStyle w:val="TAL"/>
              <w:rPr>
                <w:szCs w:val="22"/>
                <w:lang w:eastAsia="sv-SE"/>
              </w:rPr>
            </w:pPr>
            <w:r w:rsidRPr="00FA0D37">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5C7FF4" w:rsidRPr="00FA0D37"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FA0D37" w:rsidRDefault="00394471" w:rsidP="00964CC4">
            <w:pPr>
              <w:pStyle w:val="TAL"/>
              <w:rPr>
                <w:szCs w:val="22"/>
                <w:lang w:eastAsia="sv-SE"/>
              </w:rPr>
            </w:pPr>
            <w:r w:rsidRPr="00FA0D37">
              <w:rPr>
                <w:b/>
                <w:i/>
                <w:szCs w:val="22"/>
                <w:lang w:eastAsia="sv-SE"/>
              </w:rPr>
              <w:t>dmrs-Type</w:t>
            </w:r>
          </w:p>
          <w:p w14:paraId="31540805" w14:textId="77777777" w:rsidR="00394471" w:rsidRPr="00FA0D37" w:rsidRDefault="00394471" w:rsidP="00964CC4">
            <w:pPr>
              <w:pStyle w:val="TAL"/>
              <w:rPr>
                <w:szCs w:val="22"/>
                <w:lang w:eastAsia="sv-SE"/>
              </w:rPr>
            </w:pPr>
            <w:r w:rsidRPr="00FA0D37">
              <w:rPr>
                <w:szCs w:val="22"/>
                <w:lang w:eastAsia="sv-SE"/>
              </w:rPr>
              <w:t>Selection of the DMRS type to be used for UL (see TS 38.211 [16], clause 6.4.1.1.3) If the field is absent, the UE uses DMRS type 1.</w:t>
            </w:r>
          </w:p>
        </w:tc>
      </w:tr>
      <w:tr w:rsidR="005C7FF4" w:rsidRPr="00FA0D37"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FA0D37" w:rsidRDefault="00394471" w:rsidP="00964CC4">
            <w:pPr>
              <w:pStyle w:val="TAL"/>
              <w:rPr>
                <w:b/>
                <w:i/>
                <w:szCs w:val="22"/>
                <w:lang w:eastAsia="sv-SE"/>
              </w:rPr>
            </w:pPr>
            <w:r w:rsidRPr="00FA0D37">
              <w:rPr>
                <w:b/>
                <w:i/>
                <w:szCs w:val="22"/>
                <w:lang w:eastAsia="sv-SE"/>
              </w:rPr>
              <w:t>dmrs-Uplink</w:t>
            </w:r>
          </w:p>
          <w:p w14:paraId="62E0C85C" w14:textId="77777777" w:rsidR="00394471" w:rsidRPr="00FA0D37" w:rsidRDefault="00394471" w:rsidP="00964CC4">
            <w:pPr>
              <w:pStyle w:val="TAL"/>
              <w:rPr>
                <w:b/>
                <w:i/>
                <w:szCs w:val="22"/>
                <w:lang w:eastAsia="sv-SE"/>
              </w:rPr>
            </w:pPr>
            <w:r w:rsidRPr="00FA0D37">
              <w:rPr>
                <w:szCs w:val="22"/>
              </w:rPr>
              <w:t>This field indicates whether low PAPR DMRS is used, as specified in TS38.211 [16], clause 6.4.1.1.1.1.</w:t>
            </w:r>
          </w:p>
        </w:tc>
      </w:tr>
      <w:tr w:rsidR="005C7FF4" w:rsidRPr="00FA0D37"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FA0D37" w:rsidRDefault="00394471" w:rsidP="00964CC4">
            <w:pPr>
              <w:pStyle w:val="TAL"/>
              <w:rPr>
                <w:b/>
                <w:i/>
                <w:szCs w:val="22"/>
                <w:lang w:eastAsia="sv-SE"/>
              </w:rPr>
            </w:pPr>
            <w:r w:rsidRPr="00FA0D37">
              <w:rPr>
                <w:b/>
                <w:i/>
                <w:szCs w:val="22"/>
                <w:lang w:eastAsia="sv-SE"/>
              </w:rPr>
              <w:t>dmrs-UplinkTransformPrecoding</w:t>
            </w:r>
          </w:p>
          <w:p w14:paraId="6F8D7E4A" w14:textId="77777777" w:rsidR="00394471" w:rsidRPr="00FA0D37" w:rsidRDefault="00394471" w:rsidP="00964CC4">
            <w:pPr>
              <w:pStyle w:val="TAL"/>
              <w:rPr>
                <w:b/>
                <w:i/>
                <w:szCs w:val="22"/>
                <w:lang w:eastAsia="sv-SE"/>
              </w:rPr>
            </w:pPr>
            <w:r w:rsidRPr="00FA0D37">
              <w:rPr>
                <w:szCs w:val="22"/>
              </w:rPr>
              <w:t xml:space="preserve">This field indicates whether low PAPR DMRS is used for PUSCH with pi/2 BPSK modulation, as specified in TS38.211 [16], clause 6.4.1.1.1.2. The network configures this field only if </w:t>
            </w:r>
            <w:r w:rsidRPr="00FA0D37">
              <w:rPr>
                <w:i/>
                <w:iCs/>
                <w:szCs w:val="22"/>
              </w:rPr>
              <w:t>tp-pi2BPSK</w:t>
            </w:r>
            <w:r w:rsidRPr="00FA0D37">
              <w:rPr>
                <w:szCs w:val="22"/>
              </w:rPr>
              <w:t xml:space="preserve"> is configured in </w:t>
            </w:r>
            <w:r w:rsidRPr="00FA0D37">
              <w:rPr>
                <w:i/>
                <w:iCs/>
                <w:szCs w:val="22"/>
              </w:rPr>
              <w:t>PUSCH-Config</w:t>
            </w:r>
            <w:r w:rsidRPr="00FA0D37">
              <w:rPr>
                <w:szCs w:val="22"/>
              </w:rPr>
              <w:t>.</w:t>
            </w:r>
          </w:p>
        </w:tc>
      </w:tr>
      <w:tr w:rsidR="005C7FF4" w:rsidRPr="00FA0D37"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FA0D37" w:rsidRDefault="00394471" w:rsidP="00964CC4">
            <w:pPr>
              <w:pStyle w:val="TAL"/>
              <w:rPr>
                <w:szCs w:val="22"/>
                <w:lang w:eastAsia="sv-SE"/>
              </w:rPr>
            </w:pPr>
            <w:r w:rsidRPr="00FA0D37">
              <w:rPr>
                <w:b/>
                <w:i/>
                <w:szCs w:val="22"/>
                <w:lang w:eastAsia="sv-SE"/>
              </w:rPr>
              <w:t>maxLength</w:t>
            </w:r>
          </w:p>
          <w:p w14:paraId="67B3F1F2" w14:textId="77777777" w:rsidR="00394471" w:rsidRPr="00FA0D37" w:rsidRDefault="00394471" w:rsidP="00964CC4">
            <w:pPr>
              <w:pStyle w:val="TAL"/>
              <w:rPr>
                <w:szCs w:val="22"/>
                <w:lang w:eastAsia="sv-SE"/>
              </w:rPr>
            </w:pPr>
            <w:r w:rsidRPr="00FA0D37">
              <w:rPr>
                <w:szCs w:val="22"/>
                <w:lang w:eastAsia="sv-SE"/>
              </w:rPr>
              <w:t xml:space="preserve">The maximum number of OFDM symbols for UL front loaded DMRS. </w:t>
            </w:r>
            <w:r w:rsidRPr="00FA0D37">
              <w:rPr>
                <w:i/>
                <w:lang w:eastAsia="sv-SE"/>
              </w:rPr>
              <w:t>len1</w:t>
            </w:r>
            <w:r w:rsidRPr="00FA0D37">
              <w:rPr>
                <w:szCs w:val="22"/>
                <w:lang w:eastAsia="sv-SE"/>
              </w:rPr>
              <w:t xml:space="preserve"> corresponds to value 1. </w:t>
            </w:r>
            <w:r w:rsidRPr="00FA0D37">
              <w:rPr>
                <w:i/>
                <w:lang w:eastAsia="sv-SE"/>
              </w:rPr>
              <w:t>len2</w:t>
            </w:r>
            <w:r w:rsidRPr="00FA0D37">
              <w:rPr>
                <w:szCs w:val="22"/>
                <w:lang w:eastAsia="sv-SE"/>
              </w:rPr>
              <w:t xml:space="preserve"> corresponds to value 2. If the field is absent, the UE applies value </w:t>
            </w:r>
            <w:r w:rsidRPr="00FA0D37">
              <w:rPr>
                <w:i/>
                <w:lang w:eastAsia="sv-SE"/>
              </w:rPr>
              <w:t>len1</w:t>
            </w:r>
            <w:r w:rsidRPr="00FA0D37">
              <w:rPr>
                <w:szCs w:val="22"/>
                <w:lang w:eastAsia="sv-SE"/>
              </w:rPr>
              <w:t xml:space="preserve">. If set to </w:t>
            </w:r>
            <w:r w:rsidRPr="00FA0D37">
              <w:rPr>
                <w:i/>
                <w:lang w:eastAsia="sv-SE"/>
              </w:rPr>
              <w:t>len2</w:t>
            </w:r>
            <w:r w:rsidRPr="00FA0D37">
              <w:rPr>
                <w:szCs w:val="22"/>
                <w:lang w:eastAsia="sv-SE"/>
              </w:rPr>
              <w:t>, the UE determines the actual number of DM-RS symbols by the associated DCI. (see TS 38.211 [16], clause 6.4.1.1.3).</w:t>
            </w:r>
          </w:p>
        </w:tc>
      </w:tr>
      <w:tr w:rsidR="005C7FF4" w:rsidRPr="00FA0D37"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FA0D37" w:rsidRDefault="00394471" w:rsidP="00964CC4">
            <w:pPr>
              <w:pStyle w:val="TAL"/>
              <w:rPr>
                <w:szCs w:val="22"/>
                <w:lang w:eastAsia="sv-SE"/>
              </w:rPr>
            </w:pPr>
            <w:r w:rsidRPr="00FA0D37">
              <w:rPr>
                <w:b/>
                <w:i/>
                <w:szCs w:val="22"/>
                <w:lang w:eastAsia="sv-SE"/>
              </w:rPr>
              <w:t>nPUSCH-Identity</w:t>
            </w:r>
          </w:p>
          <w:p w14:paraId="47500B12" w14:textId="77777777" w:rsidR="00394471" w:rsidRPr="00FA0D37" w:rsidRDefault="00394471" w:rsidP="00964CC4">
            <w:pPr>
              <w:pStyle w:val="TAL"/>
              <w:rPr>
                <w:szCs w:val="22"/>
                <w:lang w:eastAsia="sv-SE"/>
              </w:rPr>
            </w:pPr>
            <w:r w:rsidRPr="00FA0D37">
              <w:rPr>
                <w:szCs w:val="22"/>
                <w:lang w:eastAsia="sv-SE"/>
              </w:rPr>
              <w:t>Parameter: N_ID^(PUSCH) for DFT-s-OFDM DMRS. If the value is absent or released, the UE uses the value Physical cell ID (</w:t>
            </w:r>
            <w:r w:rsidRPr="00FA0D37">
              <w:rPr>
                <w:i/>
                <w:szCs w:val="22"/>
                <w:lang w:eastAsia="sv-SE"/>
              </w:rPr>
              <w:t>physCellId</w:t>
            </w:r>
            <w:r w:rsidRPr="00FA0D37">
              <w:rPr>
                <w:szCs w:val="22"/>
                <w:lang w:eastAsia="sv-SE"/>
              </w:rPr>
              <w:t>). See TS 38.211 [16].</w:t>
            </w:r>
          </w:p>
        </w:tc>
      </w:tr>
      <w:tr w:rsidR="005C7FF4" w:rsidRPr="00FA0D37"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FA0D37" w:rsidRDefault="00394471" w:rsidP="00964CC4">
            <w:pPr>
              <w:pStyle w:val="TAL"/>
              <w:rPr>
                <w:szCs w:val="22"/>
                <w:lang w:eastAsia="sv-SE"/>
              </w:rPr>
            </w:pPr>
            <w:r w:rsidRPr="00FA0D37">
              <w:rPr>
                <w:b/>
                <w:i/>
                <w:szCs w:val="22"/>
                <w:lang w:eastAsia="sv-SE"/>
              </w:rPr>
              <w:t>phaseTrackingRS</w:t>
            </w:r>
          </w:p>
          <w:p w14:paraId="798B6246" w14:textId="77777777" w:rsidR="00394471" w:rsidRPr="00FA0D37" w:rsidRDefault="00394471" w:rsidP="00964CC4">
            <w:pPr>
              <w:pStyle w:val="TAL"/>
              <w:rPr>
                <w:szCs w:val="22"/>
                <w:lang w:eastAsia="sv-SE"/>
              </w:rPr>
            </w:pPr>
            <w:r w:rsidRPr="00FA0D37">
              <w:rPr>
                <w:szCs w:val="22"/>
                <w:lang w:eastAsia="sv-SE"/>
              </w:rPr>
              <w:t>Configures uplink PTRS (see TS 38.211 [16]).</w:t>
            </w:r>
          </w:p>
        </w:tc>
      </w:tr>
      <w:tr w:rsidR="005C7FF4" w:rsidRPr="00FA0D37"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FA0D37" w:rsidRDefault="00394471" w:rsidP="00964CC4">
            <w:pPr>
              <w:pStyle w:val="TAL"/>
              <w:rPr>
                <w:b/>
                <w:i/>
                <w:lang w:eastAsia="sv-SE"/>
              </w:rPr>
            </w:pPr>
            <w:r w:rsidRPr="00FA0D37">
              <w:rPr>
                <w:b/>
                <w:i/>
                <w:lang w:eastAsia="sv-SE"/>
              </w:rPr>
              <w:t>pi2BPSK-ScramblingID0, pi2BPSK-ScramblingID1</w:t>
            </w:r>
          </w:p>
          <w:p w14:paraId="7898D624" w14:textId="77777777" w:rsidR="00394471" w:rsidRPr="00FA0D37" w:rsidRDefault="00394471" w:rsidP="00964CC4">
            <w:pPr>
              <w:pStyle w:val="TAL"/>
              <w:rPr>
                <w:b/>
                <w:i/>
                <w:szCs w:val="22"/>
                <w:lang w:eastAsia="sv-SE"/>
              </w:rPr>
            </w:pPr>
            <w:r w:rsidRPr="00FA0D37">
              <w:rPr>
                <w:szCs w:val="22"/>
                <w:lang w:eastAsia="sv-SE"/>
              </w:rPr>
              <w:t>UL DMRS scrambling initialization for pi/2 BPSK DMRS for PUSCH (see TS 38.211 [16], Clause 6.4.1.1.2). When the field is absent the UE applies the value Physical cell ID (physCellId) of the serving cell.</w:t>
            </w:r>
          </w:p>
        </w:tc>
      </w:tr>
      <w:tr w:rsidR="005C7FF4" w:rsidRPr="00FA0D37"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FA0D37" w:rsidRDefault="00394471" w:rsidP="00964CC4">
            <w:pPr>
              <w:pStyle w:val="TAL"/>
              <w:rPr>
                <w:szCs w:val="22"/>
                <w:lang w:eastAsia="sv-SE"/>
              </w:rPr>
            </w:pPr>
            <w:r w:rsidRPr="00FA0D37">
              <w:rPr>
                <w:b/>
                <w:i/>
                <w:szCs w:val="22"/>
                <w:lang w:eastAsia="sv-SE"/>
              </w:rPr>
              <w:t>scramblingID0</w:t>
            </w:r>
          </w:p>
          <w:p w14:paraId="40FD4092" w14:textId="77777777" w:rsidR="00394471" w:rsidRPr="00FA0D37" w:rsidRDefault="00394471" w:rsidP="00964CC4">
            <w:pPr>
              <w:pStyle w:val="TAL"/>
              <w:rPr>
                <w:szCs w:val="22"/>
                <w:lang w:eastAsia="sv-SE"/>
              </w:rPr>
            </w:pPr>
            <w:r w:rsidRPr="00FA0D37">
              <w:rPr>
                <w:szCs w:val="22"/>
                <w:lang w:eastAsia="sv-SE"/>
              </w:rPr>
              <w:t>UL DMRS scrambling initialization for CP-OFDM (see TS 38.211 [16], clause 6.4.1.1.1.1). When the field is absent the UE applies the value Physical cell ID (</w:t>
            </w:r>
            <w:r w:rsidRPr="00FA0D37">
              <w:rPr>
                <w:i/>
                <w:lang w:eastAsia="sv-SE"/>
              </w:rPr>
              <w:t>physCellId</w:t>
            </w:r>
            <w:r w:rsidRPr="00FA0D37">
              <w:rPr>
                <w:szCs w:val="22"/>
                <w:lang w:eastAsia="sv-SE"/>
              </w:rPr>
              <w:t>).</w:t>
            </w:r>
          </w:p>
        </w:tc>
      </w:tr>
      <w:tr w:rsidR="005C7FF4" w:rsidRPr="00FA0D37"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FA0D37" w:rsidRDefault="00394471" w:rsidP="00964CC4">
            <w:pPr>
              <w:pStyle w:val="TAL"/>
              <w:rPr>
                <w:szCs w:val="22"/>
                <w:lang w:eastAsia="sv-SE"/>
              </w:rPr>
            </w:pPr>
            <w:r w:rsidRPr="00FA0D37">
              <w:rPr>
                <w:b/>
                <w:i/>
                <w:szCs w:val="22"/>
                <w:lang w:eastAsia="sv-SE"/>
              </w:rPr>
              <w:t>scramblingID1</w:t>
            </w:r>
          </w:p>
          <w:p w14:paraId="2B2281A1" w14:textId="77777777" w:rsidR="00394471" w:rsidRPr="00FA0D37" w:rsidRDefault="00394471" w:rsidP="00964CC4">
            <w:pPr>
              <w:pStyle w:val="TAL"/>
              <w:rPr>
                <w:szCs w:val="22"/>
                <w:lang w:eastAsia="sv-SE"/>
              </w:rPr>
            </w:pPr>
            <w:r w:rsidRPr="00FA0D37">
              <w:rPr>
                <w:szCs w:val="22"/>
                <w:lang w:eastAsia="sv-SE"/>
              </w:rPr>
              <w:t>UL DMRS scrambling initialization for CP-OFDM. (see TS 38.211 [16], clause 6.4.1.1.1.1). When the field is absent the UE applies the value Physical cell ID (</w:t>
            </w:r>
            <w:r w:rsidRPr="00FA0D37">
              <w:rPr>
                <w:i/>
                <w:lang w:eastAsia="sv-SE"/>
              </w:rPr>
              <w:t>physCellId</w:t>
            </w:r>
            <w:r w:rsidRPr="00FA0D37">
              <w:rPr>
                <w:szCs w:val="22"/>
                <w:lang w:eastAsia="sv-SE"/>
              </w:rPr>
              <w:t>).</w:t>
            </w:r>
          </w:p>
        </w:tc>
      </w:tr>
      <w:tr w:rsidR="005C7FF4" w:rsidRPr="00FA0D37"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FA0D37" w:rsidRDefault="00394471" w:rsidP="00964CC4">
            <w:pPr>
              <w:pStyle w:val="TAL"/>
              <w:rPr>
                <w:szCs w:val="22"/>
                <w:lang w:eastAsia="sv-SE"/>
              </w:rPr>
            </w:pPr>
            <w:r w:rsidRPr="00FA0D37">
              <w:rPr>
                <w:b/>
                <w:i/>
                <w:szCs w:val="22"/>
                <w:lang w:eastAsia="sv-SE"/>
              </w:rPr>
              <w:t>sequenceGroupHopping</w:t>
            </w:r>
          </w:p>
          <w:p w14:paraId="2C6AD63E" w14:textId="77777777" w:rsidR="00394471" w:rsidRPr="00FA0D37" w:rsidRDefault="00394471" w:rsidP="00964CC4">
            <w:pPr>
              <w:pStyle w:val="TAL"/>
              <w:rPr>
                <w:szCs w:val="22"/>
                <w:lang w:eastAsia="sv-SE"/>
              </w:rPr>
            </w:pPr>
            <w:r w:rsidRPr="00FA0D37">
              <w:rPr>
                <w:szCs w:val="22"/>
                <w:lang w:eastAsia="sv-SE"/>
              </w:rPr>
              <w:t xml:space="preserve">For DMRS transmission with transform precoder the NW may configure group hopping by the cell-specific parameter </w:t>
            </w:r>
            <w:r w:rsidRPr="00FA0D37">
              <w:rPr>
                <w:i/>
                <w:lang w:eastAsia="sv-SE"/>
              </w:rPr>
              <w:t>groupHoppingEnabledTransformPrecoding</w:t>
            </w:r>
            <w:r w:rsidRPr="00FA0D37">
              <w:rPr>
                <w:szCs w:val="22"/>
                <w:lang w:eastAsia="sv-SE"/>
              </w:rPr>
              <w:t xml:space="preserve"> in </w:t>
            </w:r>
            <w:r w:rsidRPr="00FA0D37">
              <w:rPr>
                <w:i/>
                <w:lang w:eastAsia="sv-SE"/>
              </w:rPr>
              <w:t>PUSCH-ConfigCommon</w:t>
            </w:r>
            <w:r w:rsidRPr="00FA0D37">
              <w:rPr>
                <w:szCs w:val="22"/>
                <w:lang w:eastAsia="sv-SE"/>
              </w:rPr>
              <w:t xml:space="preserve">. In this case, the NW may include this UE specific field to disable group hopping for PUSCH transmission except for Msg3, i.e., to override the configuration in </w:t>
            </w:r>
            <w:r w:rsidRPr="00FA0D37">
              <w:rPr>
                <w:i/>
                <w:lang w:eastAsia="sv-SE"/>
              </w:rPr>
              <w:t>PUSCH-ConfigCommon</w:t>
            </w:r>
            <w:r w:rsidRPr="00FA0D37">
              <w:rPr>
                <w:szCs w:val="22"/>
                <w:lang w:eastAsia="sv-SE"/>
              </w:rPr>
              <w:t xml:space="preserve"> (see TS 38.211 [16]).</w:t>
            </w:r>
            <w:r w:rsidRPr="00FA0D37">
              <w:rPr>
                <w:rFonts w:cs="Arial"/>
                <w:lang w:eastAsia="sv-SE"/>
              </w:rPr>
              <w:t xml:space="preserve"> If the field is absent, the UE uses the same hopping mode as for Msg3.</w:t>
            </w:r>
          </w:p>
        </w:tc>
      </w:tr>
      <w:tr w:rsidR="005C7FF4" w:rsidRPr="00FA0D37"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FA0D37" w:rsidRDefault="00394471" w:rsidP="00964CC4">
            <w:pPr>
              <w:pStyle w:val="TAL"/>
              <w:rPr>
                <w:szCs w:val="22"/>
                <w:lang w:eastAsia="sv-SE"/>
              </w:rPr>
            </w:pPr>
            <w:r w:rsidRPr="00FA0D37">
              <w:rPr>
                <w:b/>
                <w:i/>
                <w:szCs w:val="22"/>
                <w:lang w:eastAsia="sv-SE"/>
              </w:rPr>
              <w:t>sequenceHopping</w:t>
            </w:r>
          </w:p>
          <w:p w14:paraId="69D069F3" w14:textId="77777777" w:rsidR="00394471" w:rsidRPr="00FA0D37" w:rsidRDefault="00394471" w:rsidP="00964CC4">
            <w:pPr>
              <w:pStyle w:val="TAL"/>
              <w:rPr>
                <w:szCs w:val="22"/>
                <w:lang w:eastAsia="sv-SE"/>
              </w:rPr>
            </w:pPr>
            <w:r w:rsidRPr="00FA0D37">
              <w:rPr>
                <w:szCs w:val="22"/>
                <w:lang w:eastAsia="sv-SE"/>
              </w:rPr>
              <w:t>Determines if sequence hopping is enabled for DMRS transmission with transform precoder</w:t>
            </w:r>
            <w:r w:rsidRPr="00FA0D37">
              <w:rPr>
                <w:lang w:eastAsia="sv-SE"/>
              </w:rPr>
              <w:t xml:space="preserve"> </w:t>
            </w:r>
            <w:r w:rsidRPr="00FA0D37">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5C7FF4" w:rsidRPr="00FA0D37"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FA0D37" w:rsidRDefault="00394471" w:rsidP="00964CC4">
            <w:pPr>
              <w:pStyle w:val="TAL"/>
              <w:rPr>
                <w:b/>
                <w:i/>
                <w:szCs w:val="22"/>
                <w:lang w:eastAsia="sv-SE"/>
              </w:rPr>
            </w:pPr>
            <w:r w:rsidRPr="00FA0D37">
              <w:rPr>
                <w:b/>
                <w:i/>
                <w:szCs w:val="22"/>
                <w:lang w:eastAsia="sv-SE"/>
              </w:rPr>
              <w:t>transformPrecodingDisabled</w:t>
            </w:r>
          </w:p>
          <w:p w14:paraId="3BC40BC6" w14:textId="77777777" w:rsidR="00394471" w:rsidRPr="00FA0D37" w:rsidRDefault="00394471" w:rsidP="00964CC4">
            <w:pPr>
              <w:pStyle w:val="TAL"/>
              <w:rPr>
                <w:lang w:eastAsia="sv-SE"/>
              </w:rPr>
            </w:pPr>
            <w:r w:rsidRPr="00FA0D37">
              <w:rPr>
                <w:lang w:eastAsia="sv-SE"/>
              </w:rPr>
              <w:t>DMRS related parameters for Cyclic Prefix OFDM.</w:t>
            </w:r>
          </w:p>
        </w:tc>
      </w:tr>
      <w:tr w:rsidR="00394471" w:rsidRPr="00FA0D37"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FA0D37" w:rsidRDefault="00394471" w:rsidP="00964CC4">
            <w:pPr>
              <w:pStyle w:val="TAL"/>
              <w:rPr>
                <w:b/>
                <w:i/>
                <w:szCs w:val="22"/>
                <w:lang w:eastAsia="sv-SE"/>
              </w:rPr>
            </w:pPr>
            <w:r w:rsidRPr="00FA0D37">
              <w:rPr>
                <w:b/>
                <w:i/>
                <w:szCs w:val="22"/>
                <w:lang w:eastAsia="sv-SE"/>
              </w:rPr>
              <w:t>transformPrecodingEnabled</w:t>
            </w:r>
          </w:p>
          <w:p w14:paraId="08E5E0BC" w14:textId="77777777" w:rsidR="00394471" w:rsidRPr="00FA0D37" w:rsidRDefault="00394471" w:rsidP="00964CC4">
            <w:pPr>
              <w:pStyle w:val="TAL"/>
              <w:rPr>
                <w:lang w:eastAsia="sv-SE"/>
              </w:rPr>
            </w:pPr>
            <w:r w:rsidRPr="00FA0D37">
              <w:rPr>
                <w:lang w:eastAsia="sv-SE"/>
              </w:rPr>
              <w:t>DMRS related parameters for DFT-s-OFDM (Transform Precoding).</w:t>
            </w:r>
          </w:p>
        </w:tc>
      </w:tr>
    </w:tbl>
    <w:p w14:paraId="5AC9D9D2" w14:textId="77777777" w:rsidR="00394471" w:rsidRPr="00FA0D37" w:rsidRDefault="00394471" w:rsidP="00394471"/>
    <w:p w14:paraId="0CB624BC" w14:textId="77777777" w:rsidR="00394471" w:rsidRPr="00FA0D37" w:rsidRDefault="00394471" w:rsidP="00394471">
      <w:pPr>
        <w:pStyle w:val="4"/>
        <w:rPr>
          <w:i/>
          <w:iCs/>
        </w:rPr>
      </w:pPr>
      <w:bookmarkStart w:id="1016" w:name="_Toc60777230"/>
      <w:bookmarkStart w:id="1017" w:name="_Toc146781280"/>
      <w:r w:rsidRPr="00FA0D37">
        <w:rPr>
          <w:i/>
          <w:iCs/>
        </w:rPr>
        <w:t>–</w:t>
      </w:r>
      <w:r w:rsidRPr="00FA0D37">
        <w:rPr>
          <w:i/>
          <w:iCs/>
        </w:rPr>
        <w:tab/>
        <w:t>DownlinkConfigCommon</w:t>
      </w:r>
      <w:bookmarkEnd w:id="1016"/>
      <w:bookmarkEnd w:id="1017"/>
    </w:p>
    <w:p w14:paraId="42ABF2CC" w14:textId="77777777" w:rsidR="00394471" w:rsidRPr="00FA0D37" w:rsidRDefault="00394471" w:rsidP="00394471">
      <w:r w:rsidRPr="00FA0D37">
        <w:t xml:space="preserve">The IE </w:t>
      </w:r>
      <w:r w:rsidRPr="00FA0D37">
        <w:rPr>
          <w:i/>
        </w:rPr>
        <w:t xml:space="preserve">DownlinkConfigCommon </w:t>
      </w:r>
      <w:r w:rsidRPr="00FA0D37">
        <w:t>provides common downlink parameters of a cell.</w:t>
      </w:r>
    </w:p>
    <w:p w14:paraId="598E6648" w14:textId="77777777" w:rsidR="00394471" w:rsidRPr="00FA0D37" w:rsidRDefault="00394471" w:rsidP="00394471">
      <w:pPr>
        <w:pStyle w:val="TH"/>
      </w:pPr>
      <w:r w:rsidRPr="00FA0D37">
        <w:rPr>
          <w:i/>
        </w:rPr>
        <w:lastRenderedPageBreak/>
        <w:t>DownlinkConfigCommon</w:t>
      </w:r>
      <w:r w:rsidRPr="00FA0D37">
        <w:t xml:space="preserve"> information element</w:t>
      </w:r>
    </w:p>
    <w:p w14:paraId="46F6C0C2" w14:textId="77777777" w:rsidR="00394471" w:rsidRPr="00FA0D37" w:rsidRDefault="00394471" w:rsidP="00FA0D37">
      <w:pPr>
        <w:pStyle w:val="PL"/>
        <w:rPr>
          <w:color w:val="808080"/>
        </w:rPr>
      </w:pPr>
      <w:r w:rsidRPr="00FA0D37">
        <w:rPr>
          <w:color w:val="808080"/>
        </w:rPr>
        <w:t>-- ASN1START</w:t>
      </w:r>
    </w:p>
    <w:p w14:paraId="034D9BD6" w14:textId="77777777" w:rsidR="00394471" w:rsidRPr="00FA0D37" w:rsidRDefault="00394471" w:rsidP="00FA0D37">
      <w:pPr>
        <w:pStyle w:val="PL"/>
        <w:rPr>
          <w:color w:val="808080"/>
        </w:rPr>
      </w:pPr>
      <w:r w:rsidRPr="00FA0D37">
        <w:rPr>
          <w:color w:val="808080"/>
        </w:rPr>
        <w:t>-- TAG-DOWNLINKCONFIGCOMMON-START</w:t>
      </w:r>
    </w:p>
    <w:p w14:paraId="53600D8C" w14:textId="77777777" w:rsidR="00394471" w:rsidRPr="00FA0D37" w:rsidRDefault="00394471" w:rsidP="00FA0D37">
      <w:pPr>
        <w:pStyle w:val="PL"/>
      </w:pPr>
    </w:p>
    <w:p w14:paraId="26F4A588" w14:textId="77777777" w:rsidR="00394471" w:rsidRPr="00FA0D37" w:rsidRDefault="00394471" w:rsidP="00FA0D37">
      <w:pPr>
        <w:pStyle w:val="PL"/>
      </w:pPr>
      <w:r w:rsidRPr="00FA0D37">
        <w:t xml:space="preserve">DownlinkConfigCommon ::=        </w:t>
      </w:r>
      <w:r w:rsidRPr="00FA0D37">
        <w:rPr>
          <w:color w:val="993366"/>
        </w:rPr>
        <w:t>SEQUENCE</w:t>
      </w:r>
      <w:r w:rsidRPr="00FA0D37">
        <w:t xml:space="preserve"> {</w:t>
      </w:r>
    </w:p>
    <w:p w14:paraId="127F0B94" w14:textId="77777777" w:rsidR="00394471" w:rsidRPr="00FA0D37" w:rsidRDefault="00394471" w:rsidP="00FA0D37">
      <w:pPr>
        <w:pStyle w:val="PL"/>
        <w:rPr>
          <w:color w:val="808080"/>
        </w:rPr>
      </w:pPr>
      <w:r w:rsidRPr="00FA0D37">
        <w:t xml:space="preserve">    frequencyInfoDL                 FrequencyInfoDL                                 </w:t>
      </w:r>
      <w:r w:rsidRPr="00FA0D37">
        <w:rPr>
          <w:color w:val="993366"/>
        </w:rPr>
        <w:t>OPTIONAL</w:t>
      </w:r>
      <w:r w:rsidRPr="00FA0D37">
        <w:t xml:space="preserve">,   </w:t>
      </w:r>
      <w:r w:rsidRPr="00FA0D37">
        <w:rPr>
          <w:color w:val="808080"/>
        </w:rPr>
        <w:t>-- Cond InterFreqHOAndServCellAdd</w:t>
      </w:r>
    </w:p>
    <w:p w14:paraId="2EEBF6F2" w14:textId="77777777" w:rsidR="00394471" w:rsidRPr="00FA0D37" w:rsidRDefault="00394471" w:rsidP="00FA0D37">
      <w:pPr>
        <w:pStyle w:val="PL"/>
        <w:rPr>
          <w:color w:val="808080"/>
        </w:rPr>
      </w:pPr>
      <w:r w:rsidRPr="00FA0D37">
        <w:t xml:space="preserve">    initialDownlinkBWP              BWP-DownlinkCommon                              </w:t>
      </w:r>
      <w:r w:rsidRPr="00FA0D37">
        <w:rPr>
          <w:color w:val="993366"/>
        </w:rPr>
        <w:t>OPTIONAL</w:t>
      </w:r>
      <w:r w:rsidRPr="00FA0D37">
        <w:t xml:space="preserve">,   </w:t>
      </w:r>
      <w:r w:rsidRPr="00FA0D37">
        <w:rPr>
          <w:color w:val="808080"/>
        </w:rPr>
        <w:t>-- Cond ServCellAdd</w:t>
      </w:r>
    </w:p>
    <w:p w14:paraId="401B2081" w14:textId="0EA5BED9" w:rsidR="005B7637" w:rsidRPr="00FA0D37" w:rsidRDefault="00394471" w:rsidP="00FA0D37">
      <w:pPr>
        <w:pStyle w:val="PL"/>
      </w:pPr>
      <w:r w:rsidRPr="00FA0D37">
        <w:t xml:space="preserve">    ...</w:t>
      </w:r>
      <w:r w:rsidR="005B7637" w:rsidRPr="00FA0D37">
        <w:t>,</w:t>
      </w:r>
    </w:p>
    <w:p w14:paraId="6BBABA9F" w14:textId="77777777" w:rsidR="005B7637" w:rsidRPr="00FA0D37" w:rsidRDefault="005B7637" w:rsidP="00FA0D37">
      <w:pPr>
        <w:pStyle w:val="PL"/>
      </w:pPr>
      <w:r w:rsidRPr="00FA0D37">
        <w:t xml:space="preserve">    [[</w:t>
      </w:r>
    </w:p>
    <w:p w14:paraId="2F573CCF" w14:textId="35B6FFBD" w:rsidR="00B37B2F" w:rsidRPr="00FA0D37" w:rsidRDefault="00B37B2F" w:rsidP="00FA0D37">
      <w:pPr>
        <w:pStyle w:val="PL"/>
        <w:rPr>
          <w:color w:val="808080"/>
        </w:rPr>
      </w:pPr>
      <w:r w:rsidRPr="00FA0D37">
        <w:t xml:space="preserve">    initialDownlinkBWP-RedCap-r17   BWP-DownlinkCommon                              </w:t>
      </w:r>
      <w:r w:rsidRPr="00FA0D37">
        <w:rPr>
          <w:color w:val="993366"/>
        </w:rPr>
        <w:t>OPTIONAL</w:t>
      </w:r>
      <w:r w:rsidRPr="00FA0D37">
        <w:t xml:space="preserve">    </w:t>
      </w:r>
      <w:r w:rsidRPr="00FA0D37">
        <w:rPr>
          <w:color w:val="808080"/>
        </w:rPr>
        <w:t>-- Need R</w:t>
      </w:r>
    </w:p>
    <w:p w14:paraId="5EFC4E84" w14:textId="77777777" w:rsidR="005B7637" w:rsidRPr="00FA0D37" w:rsidRDefault="005B7637" w:rsidP="00FA0D37">
      <w:pPr>
        <w:pStyle w:val="PL"/>
      </w:pPr>
    </w:p>
    <w:p w14:paraId="25428104" w14:textId="1A0F1E3F" w:rsidR="005B7637" w:rsidRPr="00FA0D37" w:rsidRDefault="005B7637" w:rsidP="00FA0D37">
      <w:pPr>
        <w:pStyle w:val="PL"/>
      </w:pPr>
      <w:r w:rsidRPr="00FA0D37">
        <w:t xml:space="preserve">    ]]</w:t>
      </w:r>
    </w:p>
    <w:p w14:paraId="5B2EB86C" w14:textId="77777777" w:rsidR="00394471" w:rsidRPr="00FA0D37" w:rsidRDefault="00394471" w:rsidP="00FA0D37">
      <w:pPr>
        <w:pStyle w:val="PL"/>
      </w:pPr>
      <w:r w:rsidRPr="00FA0D37">
        <w:t>}</w:t>
      </w:r>
    </w:p>
    <w:p w14:paraId="2A65FA40" w14:textId="77777777" w:rsidR="00394471" w:rsidRPr="00FA0D37" w:rsidRDefault="00394471" w:rsidP="00FA0D37">
      <w:pPr>
        <w:pStyle w:val="PL"/>
      </w:pPr>
    </w:p>
    <w:p w14:paraId="253E3C1F" w14:textId="77777777" w:rsidR="00394471" w:rsidRPr="00FA0D37" w:rsidRDefault="00394471" w:rsidP="00FA0D37">
      <w:pPr>
        <w:pStyle w:val="PL"/>
        <w:rPr>
          <w:color w:val="808080"/>
        </w:rPr>
      </w:pPr>
      <w:r w:rsidRPr="00FA0D37">
        <w:rPr>
          <w:color w:val="808080"/>
        </w:rPr>
        <w:t>-- TAG-DOWNLINKCONFIGCOMMON-STOP</w:t>
      </w:r>
    </w:p>
    <w:p w14:paraId="5F95470E" w14:textId="77777777" w:rsidR="00394471" w:rsidRPr="00FA0D37" w:rsidRDefault="00394471" w:rsidP="00FA0D37">
      <w:pPr>
        <w:pStyle w:val="PL"/>
        <w:rPr>
          <w:color w:val="808080"/>
        </w:rPr>
      </w:pPr>
      <w:r w:rsidRPr="00FA0D37">
        <w:rPr>
          <w:color w:val="808080"/>
        </w:rPr>
        <w:t>-- ASN1STOP</w:t>
      </w:r>
    </w:p>
    <w:p w14:paraId="7CD3BD1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FA0D37" w:rsidRDefault="00394471" w:rsidP="00964CC4">
            <w:pPr>
              <w:pStyle w:val="TAH"/>
              <w:rPr>
                <w:lang w:eastAsia="sv-SE"/>
              </w:rPr>
            </w:pPr>
            <w:r w:rsidRPr="00FA0D37">
              <w:rPr>
                <w:i/>
                <w:lang w:eastAsia="sv-SE"/>
              </w:rPr>
              <w:t>DownlinkConfigCommon</w:t>
            </w:r>
            <w:r w:rsidRPr="00FA0D37">
              <w:rPr>
                <w:lang w:eastAsia="sv-SE"/>
              </w:rPr>
              <w:t xml:space="preserve"> field descriptions</w:t>
            </w:r>
          </w:p>
        </w:tc>
      </w:tr>
      <w:tr w:rsidR="005C7FF4" w:rsidRPr="00FA0D37"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FA0D37" w:rsidRDefault="00394471" w:rsidP="00964CC4">
            <w:pPr>
              <w:pStyle w:val="TAL"/>
              <w:rPr>
                <w:b/>
                <w:i/>
                <w:lang w:eastAsia="sv-SE"/>
              </w:rPr>
            </w:pPr>
            <w:r w:rsidRPr="00FA0D37">
              <w:rPr>
                <w:b/>
                <w:i/>
                <w:lang w:eastAsia="sv-SE"/>
              </w:rPr>
              <w:t>frequencyInfoDL</w:t>
            </w:r>
          </w:p>
          <w:p w14:paraId="4C19E104" w14:textId="77777777" w:rsidR="00394471" w:rsidRPr="00FA0D37" w:rsidRDefault="00394471" w:rsidP="00964CC4">
            <w:pPr>
              <w:pStyle w:val="TAL"/>
              <w:rPr>
                <w:lang w:eastAsia="sv-SE"/>
              </w:rPr>
            </w:pPr>
            <w:r w:rsidRPr="00FA0D37">
              <w:rPr>
                <w:lang w:eastAsia="sv-SE"/>
              </w:rPr>
              <w:t>Basic parameters of a downlink carrier and transmission thereon.</w:t>
            </w:r>
          </w:p>
        </w:tc>
      </w:tr>
      <w:tr w:rsidR="005C7FF4" w:rsidRPr="00FA0D37"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FA0D37" w:rsidRDefault="00394471" w:rsidP="00964CC4">
            <w:pPr>
              <w:pStyle w:val="TAL"/>
              <w:rPr>
                <w:b/>
                <w:i/>
                <w:lang w:eastAsia="sv-SE"/>
              </w:rPr>
            </w:pPr>
            <w:r w:rsidRPr="00FA0D37">
              <w:rPr>
                <w:b/>
                <w:i/>
                <w:lang w:eastAsia="sv-SE"/>
              </w:rPr>
              <w:t>initialDownlinkBWP</w:t>
            </w:r>
          </w:p>
          <w:p w14:paraId="6924B999" w14:textId="4CF91920" w:rsidR="00394471" w:rsidRPr="00FA0D37" w:rsidRDefault="00394471" w:rsidP="00964CC4">
            <w:pPr>
              <w:pStyle w:val="TAL"/>
              <w:rPr>
                <w:lang w:eastAsia="sv-SE"/>
              </w:rPr>
            </w:pPr>
            <w:r w:rsidRPr="00FA0D37">
              <w:rPr>
                <w:lang w:eastAsia="sv-SE"/>
              </w:rPr>
              <w:t>The initial downlink BWP configuration for a serving cell.</w:t>
            </w:r>
            <w:r w:rsidR="00B37B2F" w:rsidRPr="00FA0D37">
              <w:rPr>
                <w:lang w:eastAsia="sv-SE"/>
              </w:rPr>
              <w:t xml:space="preserve"> </w:t>
            </w:r>
            <w:r w:rsidRPr="00FA0D37">
              <w:rPr>
                <w:lang w:eastAsia="sv-SE"/>
              </w:rPr>
              <w:t xml:space="preserve">The network configures the </w:t>
            </w:r>
            <w:r w:rsidRPr="00FA0D37">
              <w:rPr>
                <w:i/>
                <w:lang w:eastAsia="sv-SE"/>
              </w:rPr>
              <w:t>locationAndBandwidth</w:t>
            </w:r>
            <w:r w:rsidRPr="00FA0D37">
              <w:rPr>
                <w:lang w:eastAsia="sv-SE"/>
              </w:rPr>
              <w:t xml:space="preserve"> so that the initial downlink BWP contains the entire CORESET#0 of this serving cell in the frequency domain.</w:t>
            </w:r>
          </w:p>
        </w:tc>
      </w:tr>
      <w:tr w:rsidR="000830BB" w:rsidRPr="00FA0D37"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FA0D37" w:rsidRDefault="00B37B2F" w:rsidP="00B37B2F">
            <w:pPr>
              <w:pStyle w:val="TAL"/>
              <w:rPr>
                <w:b/>
                <w:i/>
                <w:lang w:eastAsia="sv-SE"/>
              </w:rPr>
            </w:pPr>
            <w:r w:rsidRPr="00FA0D37">
              <w:rPr>
                <w:b/>
                <w:i/>
                <w:lang w:eastAsia="sv-SE"/>
              </w:rPr>
              <w:t>initialDownlinkBWP-RedCap</w:t>
            </w:r>
          </w:p>
          <w:p w14:paraId="05E6E21F" w14:textId="3DFC198D" w:rsidR="00B37B2F" w:rsidRPr="00FA0D37" w:rsidRDefault="00B37B2F" w:rsidP="00B37B2F">
            <w:pPr>
              <w:pStyle w:val="TAL"/>
              <w:rPr>
                <w:lang w:eastAsia="sv-SE"/>
              </w:rPr>
            </w:pPr>
            <w:r w:rsidRPr="00FA0D37">
              <w:rPr>
                <w:lang w:eastAsia="sv-SE"/>
              </w:rPr>
              <w:t xml:space="preserve">If present, RedCap UEs use this DL BWP instead of </w:t>
            </w:r>
            <w:r w:rsidRPr="00FA0D37">
              <w:rPr>
                <w:i/>
                <w:iCs/>
                <w:lang w:eastAsia="sv-SE"/>
              </w:rPr>
              <w:t>initialDownlinkBWP</w:t>
            </w:r>
            <w:r w:rsidRPr="00FA0D37">
              <w:rPr>
                <w:lang w:eastAsia="sv-SE"/>
              </w:rPr>
              <w:t>.</w:t>
            </w:r>
          </w:p>
          <w:p w14:paraId="633C0D3A" w14:textId="1FDDD69F" w:rsidR="00B37B2F" w:rsidRPr="00FA0D37" w:rsidRDefault="00B37B2F" w:rsidP="00B37B2F">
            <w:pPr>
              <w:pStyle w:val="TAL"/>
              <w:rPr>
                <w:b/>
                <w:i/>
                <w:lang w:eastAsia="sv-SE"/>
              </w:rPr>
            </w:pPr>
            <w:r w:rsidRPr="00FA0D37">
              <w:rPr>
                <w:lang w:eastAsia="sv-SE"/>
              </w:rPr>
              <w:t xml:space="preserve">If absent, RedCap UEs use </w:t>
            </w:r>
            <w:r w:rsidRPr="00FA0D37">
              <w:rPr>
                <w:i/>
                <w:iCs/>
                <w:lang w:eastAsia="sv-SE"/>
              </w:rPr>
              <w:t>initialDownlinkBWP</w:t>
            </w:r>
            <w:r w:rsidRPr="00FA0D37">
              <w:rPr>
                <w:lang w:eastAsia="sv-SE"/>
              </w:rPr>
              <w:t xml:space="preserve"> provided that it does not exceed the RedCap UE maximum bandwidth (see also </w:t>
            </w:r>
            <w:r w:rsidR="00947949" w:rsidRPr="00FA0D37">
              <w:rPr>
                <w:lang w:eastAsia="sv-SE"/>
              </w:rPr>
              <w:t>clause</w:t>
            </w:r>
            <w:r w:rsidRPr="00FA0D37">
              <w:rPr>
                <w:lang w:eastAsia="sv-SE"/>
              </w:rPr>
              <w:t xml:space="preserve"> 5.2.2.4.2).</w:t>
            </w:r>
          </w:p>
        </w:tc>
      </w:tr>
    </w:tbl>
    <w:p w14:paraId="7AD3AD17" w14:textId="77777777" w:rsidR="00394471" w:rsidRPr="00FA0D3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5C7FF4" w:rsidRPr="00FA0D37"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FA0D37" w:rsidRDefault="00394471" w:rsidP="00964CC4">
            <w:pPr>
              <w:pStyle w:val="TAH"/>
              <w:rPr>
                <w:lang w:eastAsia="sv-SE"/>
              </w:rPr>
            </w:pPr>
            <w:r w:rsidRPr="00FA0D3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FA0D37" w:rsidRDefault="00394471" w:rsidP="00964CC4">
            <w:pPr>
              <w:pStyle w:val="TAH"/>
              <w:rPr>
                <w:lang w:eastAsia="sv-SE"/>
              </w:rPr>
            </w:pPr>
            <w:r w:rsidRPr="00FA0D37">
              <w:rPr>
                <w:lang w:eastAsia="sv-SE"/>
              </w:rPr>
              <w:t>Explanation</w:t>
            </w:r>
          </w:p>
        </w:tc>
      </w:tr>
      <w:tr w:rsidR="005C7FF4" w:rsidRPr="00FA0D37"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FA0D37" w:rsidRDefault="00394471" w:rsidP="00964CC4">
            <w:pPr>
              <w:pStyle w:val="TAL"/>
              <w:rPr>
                <w:i/>
                <w:iCs/>
                <w:lang w:eastAsia="sv-SE"/>
              </w:rPr>
            </w:pPr>
            <w:r w:rsidRPr="00FA0D37">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FA0D37" w:rsidRDefault="00394471" w:rsidP="00964CC4">
            <w:pPr>
              <w:pStyle w:val="TAL"/>
              <w:rPr>
                <w:lang w:eastAsia="sv-SE"/>
              </w:rPr>
            </w:pPr>
            <w:r w:rsidRPr="00FA0D37">
              <w:rPr>
                <w:lang w:eastAsia="sv-SE"/>
              </w:rPr>
              <w:t>This field is mandatory present for inter-frequency handover, and upon serving cell (PSCell/SCell) addition. Otherwise, the field is optionally present, Need M.</w:t>
            </w:r>
          </w:p>
        </w:tc>
      </w:tr>
      <w:tr w:rsidR="00394471" w:rsidRPr="00FA0D37"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FA0D37" w:rsidRDefault="00394471" w:rsidP="00964CC4">
            <w:pPr>
              <w:pStyle w:val="TAL"/>
              <w:rPr>
                <w:i/>
                <w:iCs/>
                <w:lang w:eastAsia="sv-SE"/>
              </w:rPr>
            </w:pPr>
            <w:r w:rsidRPr="00FA0D37">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FA0D37" w:rsidRDefault="00394471" w:rsidP="00964CC4">
            <w:pPr>
              <w:pStyle w:val="TAL"/>
              <w:rPr>
                <w:lang w:eastAsia="sv-SE"/>
              </w:rPr>
            </w:pPr>
            <w:r w:rsidRPr="00FA0D37">
              <w:rPr>
                <w:lang w:eastAsia="sv-SE"/>
              </w:rPr>
              <w:t>This field is mandatory present upon serving cell addition (for PSCell and SCell) and upon handover from E-UTRA to NR. It is optionally present, Need M otherwise.</w:t>
            </w:r>
          </w:p>
        </w:tc>
      </w:tr>
    </w:tbl>
    <w:p w14:paraId="15A31CCF" w14:textId="77777777" w:rsidR="00394471" w:rsidRPr="00FA0D37" w:rsidRDefault="00394471" w:rsidP="00394471"/>
    <w:p w14:paraId="2D94F097" w14:textId="77777777" w:rsidR="00394471" w:rsidRPr="00FA0D37" w:rsidRDefault="00394471" w:rsidP="00394471">
      <w:pPr>
        <w:pStyle w:val="4"/>
      </w:pPr>
      <w:bookmarkStart w:id="1018" w:name="_Toc60777231"/>
      <w:bookmarkStart w:id="1019" w:name="_Toc146781281"/>
      <w:r w:rsidRPr="00FA0D37">
        <w:t>–</w:t>
      </w:r>
      <w:r w:rsidRPr="00FA0D37">
        <w:tab/>
      </w:r>
      <w:r w:rsidRPr="00FA0D37">
        <w:rPr>
          <w:i/>
        </w:rPr>
        <w:t>DownlinkConfigCommonSIB</w:t>
      </w:r>
      <w:bookmarkEnd w:id="1018"/>
      <w:bookmarkEnd w:id="1019"/>
    </w:p>
    <w:p w14:paraId="45DE9DF5" w14:textId="77777777" w:rsidR="00394471" w:rsidRPr="00FA0D37" w:rsidRDefault="00394471" w:rsidP="00394471">
      <w:r w:rsidRPr="00FA0D37">
        <w:t xml:space="preserve">The IE </w:t>
      </w:r>
      <w:r w:rsidRPr="00FA0D37">
        <w:rPr>
          <w:i/>
        </w:rPr>
        <w:t xml:space="preserve">DownlinkConfigCommonSIB </w:t>
      </w:r>
      <w:r w:rsidRPr="00FA0D37">
        <w:t>provides common downlink parameters of a cell.</w:t>
      </w:r>
    </w:p>
    <w:p w14:paraId="085E9653" w14:textId="77777777" w:rsidR="00394471" w:rsidRPr="00FA0D37" w:rsidRDefault="00394471" w:rsidP="00394471">
      <w:pPr>
        <w:pStyle w:val="TH"/>
      </w:pPr>
      <w:r w:rsidRPr="00FA0D37">
        <w:rPr>
          <w:i/>
        </w:rPr>
        <w:t>DownlinkConfigCommonSIB</w:t>
      </w:r>
      <w:r w:rsidRPr="00FA0D37">
        <w:t xml:space="preserve"> information element</w:t>
      </w:r>
    </w:p>
    <w:p w14:paraId="2FB9AB38" w14:textId="77777777" w:rsidR="00394471" w:rsidRPr="00FA0D37" w:rsidRDefault="00394471" w:rsidP="00FA0D37">
      <w:pPr>
        <w:pStyle w:val="PL"/>
        <w:rPr>
          <w:color w:val="808080"/>
        </w:rPr>
      </w:pPr>
      <w:r w:rsidRPr="00FA0D37">
        <w:rPr>
          <w:color w:val="808080"/>
        </w:rPr>
        <w:t>-- ASN1START</w:t>
      </w:r>
    </w:p>
    <w:p w14:paraId="00EA5E9C" w14:textId="77777777" w:rsidR="00394471" w:rsidRPr="00FA0D37" w:rsidRDefault="00394471" w:rsidP="00FA0D37">
      <w:pPr>
        <w:pStyle w:val="PL"/>
        <w:rPr>
          <w:color w:val="808080"/>
        </w:rPr>
      </w:pPr>
      <w:r w:rsidRPr="00FA0D37">
        <w:rPr>
          <w:color w:val="808080"/>
        </w:rPr>
        <w:t>-- TAG-DOWNLINKCONFIGCOMMONSIB-START</w:t>
      </w:r>
    </w:p>
    <w:p w14:paraId="3A3C434A" w14:textId="77777777" w:rsidR="00394471" w:rsidRPr="00FA0D37" w:rsidRDefault="00394471" w:rsidP="00FA0D37">
      <w:pPr>
        <w:pStyle w:val="PL"/>
      </w:pPr>
    </w:p>
    <w:p w14:paraId="34EE45B3" w14:textId="77777777" w:rsidR="00394471" w:rsidRPr="00FA0D37" w:rsidRDefault="00394471" w:rsidP="00FA0D37">
      <w:pPr>
        <w:pStyle w:val="PL"/>
      </w:pPr>
      <w:r w:rsidRPr="00FA0D37">
        <w:lastRenderedPageBreak/>
        <w:t xml:space="preserve">DownlinkConfigCommonSIB ::=     </w:t>
      </w:r>
      <w:r w:rsidRPr="00FA0D37">
        <w:rPr>
          <w:color w:val="993366"/>
        </w:rPr>
        <w:t>SEQUENCE</w:t>
      </w:r>
      <w:r w:rsidRPr="00FA0D37">
        <w:t xml:space="preserve"> {</w:t>
      </w:r>
    </w:p>
    <w:p w14:paraId="33F4C4D6" w14:textId="77777777" w:rsidR="00394471" w:rsidRPr="00FA0D37" w:rsidRDefault="00394471" w:rsidP="00FA0D37">
      <w:pPr>
        <w:pStyle w:val="PL"/>
      </w:pPr>
      <w:r w:rsidRPr="00FA0D37">
        <w:t xml:space="preserve">    frequencyInfoDL                 FrequencyInfoDL-SIB,</w:t>
      </w:r>
    </w:p>
    <w:p w14:paraId="5030134B" w14:textId="77777777" w:rsidR="00394471" w:rsidRPr="00FA0D37" w:rsidRDefault="00394471" w:rsidP="00FA0D37">
      <w:pPr>
        <w:pStyle w:val="PL"/>
      </w:pPr>
      <w:r w:rsidRPr="00FA0D37">
        <w:t xml:space="preserve">    initialDownlinkBWP              BWP-DownlinkCommon,</w:t>
      </w:r>
    </w:p>
    <w:p w14:paraId="5F60FE02" w14:textId="5AB91586" w:rsidR="00394471" w:rsidRPr="00FA0D37" w:rsidRDefault="00394471" w:rsidP="00FA0D37">
      <w:pPr>
        <w:pStyle w:val="PL"/>
      </w:pPr>
      <w:r w:rsidRPr="00FA0D37">
        <w:t xml:space="preserve">    bcch-Config                     BCCH-Config,</w:t>
      </w:r>
    </w:p>
    <w:p w14:paraId="26FD83CC" w14:textId="097BA2A1" w:rsidR="00394471" w:rsidRPr="00FA0D37" w:rsidRDefault="00394471" w:rsidP="00FA0D37">
      <w:pPr>
        <w:pStyle w:val="PL"/>
      </w:pPr>
      <w:r w:rsidRPr="00FA0D37">
        <w:t xml:space="preserve">    pcch-Config                     PCCH-Config,</w:t>
      </w:r>
    </w:p>
    <w:p w14:paraId="290E3003" w14:textId="671AB202" w:rsidR="0078452E" w:rsidRPr="00FA0D37" w:rsidRDefault="00394471" w:rsidP="00FA0D37">
      <w:pPr>
        <w:pStyle w:val="PL"/>
      </w:pPr>
      <w:r w:rsidRPr="00FA0D37">
        <w:t xml:space="preserve">    ...</w:t>
      </w:r>
      <w:r w:rsidR="0078452E" w:rsidRPr="00FA0D37">
        <w:t>,</w:t>
      </w:r>
    </w:p>
    <w:p w14:paraId="20549E96" w14:textId="22BA2E71" w:rsidR="0078452E" w:rsidRPr="00FA0D37" w:rsidRDefault="0078452E" w:rsidP="00FA0D37">
      <w:pPr>
        <w:pStyle w:val="PL"/>
      </w:pPr>
      <w:r w:rsidRPr="00FA0D37">
        <w:t xml:space="preserve">    [[</w:t>
      </w:r>
    </w:p>
    <w:p w14:paraId="69549C82" w14:textId="062BE76C" w:rsidR="0078452E" w:rsidRPr="00FA0D37" w:rsidRDefault="0078452E" w:rsidP="00FA0D37">
      <w:pPr>
        <w:pStyle w:val="PL"/>
        <w:rPr>
          <w:color w:val="808080"/>
        </w:rPr>
      </w:pPr>
      <w:r w:rsidRPr="00FA0D37">
        <w:t xml:space="preserve">    pei-Config-r17                  PEI-Config-r17                         </w:t>
      </w:r>
      <w:r w:rsidRPr="00FA0D37">
        <w:rPr>
          <w:color w:val="993366"/>
        </w:rPr>
        <w:t>OPTIONAL</w:t>
      </w:r>
      <w:r w:rsidR="0044265B" w:rsidRPr="00FA0D37">
        <w:t>,</w:t>
      </w:r>
      <w:r w:rsidRPr="00FA0D37">
        <w:t xml:space="preserve">     </w:t>
      </w:r>
      <w:r w:rsidRPr="00FA0D37">
        <w:rPr>
          <w:color w:val="808080"/>
        </w:rPr>
        <w:t>-- Need R</w:t>
      </w:r>
    </w:p>
    <w:p w14:paraId="43119D96" w14:textId="5D59D4E7" w:rsidR="00B37B2F" w:rsidRPr="00FA0D37" w:rsidRDefault="00B37B2F" w:rsidP="00FA0D37">
      <w:pPr>
        <w:pStyle w:val="PL"/>
        <w:rPr>
          <w:color w:val="808080"/>
        </w:rPr>
      </w:pPr>
      <w:r w:rsidRPr="00FA0D37">
        <w:t xml:space="preserve">    initialDownlinkBWP-RedCap-r17   BWP-DownlinkCommon                     </w:t>
      </w:r>
      <w:r w:rsidRPr="00FA0D37">
        <w:rPr>
          <w:color w:val="993366"/>
        </w:rPr>
        <w:t>OPTIONAL</w:t>
      </w:r>
      <w:r w:rsidRPr="00FA0D37">
        <w:t xml:space="preserve">      </w:t>
      </w:r>
      <w:r w:rsidRPr="00FA0D37">
        <w:rPr>
          <w:color w:val="808080"/>
        </w:rPr>
        <w:t>-</w:t>
      </w:r>
      <w:r w:rsidR="00681E30" w:rsidRPr="00FA0D37">
        <w:rPr>
          <w:color w:val="808080"/>
        </w:rPr>
        <w:t>-</w:t>
      </w:r>
      <w:r w:rsidRPr="00FA0D37">
        <w:rPr>
          <w:color w:val="808080"/>
        </w:rPr>
        <w:t xml:space="preserve"> Need R</w:t>
      </w:r>
    </w:p>
    <w:p w14:paraId="66B5E041" w14:textId="534BB74D" w:rsidR="00394471" w:rsidRPr="00FA0D37" w:rsidRDefault="0078452E" w:rsidP="00FA0D37">
      <w:pPr>
        <w:pStyle w:val="PL"/>
      </w:pPr>
      <w:r w:rsidRPr="00FA0D37">
        <w:t xml:space="preserve">    ]]</w:t>
      </w:r>
    </w:p>
    <w:p w14:paraId="6A6911D3" w14:textId="77777777" w:rsidR="00394471" w:rsidRPr="00FA0D37" w:rsidRDefault="00394471" w:rsidP="00FA0D37">
      <w:pPr>
        <w:pStyle w:val="PL"/>
      </w:pPr>
      <w:r w:rsidRPr="00FA0D37">
        <w:t>}</w:t>
      </w:r>
    </w:p>
    <w:p w14:paraId="5BDDC14A" w14:textId="77777777" w:rsidR="00394471" w:rsidRPr="00FA0D37" w:rsidRDefault="00394471" w:rsidP="00FA0D37">
      <w:pPr>
        <w:pStyle w:val="PL"/>
      </w:pPr>
    </w:p>
    <w:p w14:paraId="6BD8524B" w14:textId="1DE3B52C" w:rsidR="00BD4216" w:rsidRPr="00FA0D37" w:rsidRDefault="00BD4216" w:rsidP="00FA0D37">
      <w:pPr>
        <w:pStyle w:val="PL"/>
      </w:pPr>
      <w:r w:rsidRPr="00FA0D37">
        <w:t xml:space="preserve">DownlinkConfigCommonSIB-v1760 ::=   </w:t>
      </w:r>
      <w:r w:rsidRPr="00FA0D37">
        <w:rPr>
          <w:color w:val="993366"/>
        </w:rPr>
        <w:t>SEQUENCE</w:t>
      </w:r>
      <w:r w:rsidRPr="00FA0D37">
        <w:t xml:space="preserve"> {</w:t>
      </w:r>
    </w:p>
    <w:p w14:paraId="64DA06B2" w14:textId="63EA767A" w:rsidR="00BD4216" w:rsidRPr="00FA0D37" w:rsidRDefault="00BD4216" w:rsidP="00FA0D37">
      <w:pPr>
        <w:pStyle w:val="PL"/>
      </w:pPr>
      <w:r w:rsidRPr="00FA0D37">
        <w:t xml:space="preserve">    frequencyInfoDL-v1760               FrequencyInfoDL-SIB-v1760</w:t>
      </w:r>
    </w:p>
    <w:p w14:paraId="654D1477" w14:textId="1B3FD9D2" w:rsidR="00394471" w:rsidRPr="00FA0D37" w:rsidRDefault="00BD4216" w:rsidP="00FA0D37">
      <w:pPr>
        <w:pStyle w:val="PL"/>
      </w:pPr>
      <w:r w:rsidRPr="00FA0D37">
        <w:t>}</w:t>
      </w:r>
    </w:p>
    <w:p w14:paraId="4A1302B3" w14:textId="77777777" w:rsidR="00BD4216" w:rsidRPr="00FA0D37" w:rsidRDefault="00BD4216" w:rsidP="00FA0D37">
      <w:pPr>
        <w:pStyle w:val="PL"/>
      </w:pPr>
    </w:p>
    <w:p w14:paraId="5916F83D" w14:textId="77777777" w:rsidR="00394471" w:rsidRPr="00FA0D37" w:rsidRDefault="00394471" w:rsidP="00FA0D37">
      <w:pPr>
        <w:pStyle w:val="PL"/>
      </w:pPr>
      <w:r w:rsidRPr="00FA0D37">
        <w:t xml:space="preserve">BCCH-Config ::=                 </w:t>
      </w:r>
      <w:r w:rsidRPr="00FA0D37">
        <w:rPr>
          <w:color w:val="993366"/>
        </w:rPr>
        <w:t>SEQUENCE</w:t>
      </w:r>
      <w:r w:rsidRPr="00FA0D37">
        <w:t xml:space="preserve"> {</w:t>
      </w:r>
    </w:p>
    <w:p w14:paraId="613E2249" w14:textId="77777777" w:rsidR="00394471" w:rsidRPr="00FA0D37" w:rsidRDefault="00394471" w:rsidP="00FA0D37">
      <w:pPr>
        <w:pStyle w:val="PL"/>
      </w:pPr>
      <w:r w:rsidRPr="00FA0D37">
        <w:t xml:space="preserve">    modificationPeriodCoeff         </w:t>
      </w:r>
      <w:r w:rsidRPr="00FA0D37">
        <w:rPr>
          <w:color w:val="993366"/>
        </w:rPr>
        <w:t>ENUMERATED</w:t>
      </w:r>
      <w:r w:rsidRPr="00FA0D37">
        <w:t xml:space="preserve"> {n2, n4, n8, n16},</w:t>
      </w:r>
    </w:p>
    <w:p w14:paraId="27B63A77" w14:textId="77777777" w:rsidR="00394471" w:rsidRPr="00FA0D37" w:rsidRDefault="00394471" w:rsidP="00FA0D37">
      <w:pPr>
        <w:pStyle w:val="PL"/>
      </w:pPr>
      <w:r w:rsidRPr="00FA0D37">
        <w:t xml:space="preserve">    ...</w:t>
      </w:r>
    </w:p>
    <w:p w14:paraId="14EDA8F2" w14:textId="77777777" w:rsidR="00394471" w:rsidRPr="00FA0D37" w:rsidRDefault="00394471" w:rsidP="00FA0D37">
      <w:pPr>
        <w:pStyle w:val="PL"/>
      </w:pPr>
      <w:r w:rsidRPr="00FA0D37">
        <w:t>}</w:t>
      </w:r>
    </w:p>
    <w:p w14:paraId="7C770ADA" w14:textId="77777777" w:rsidR="00394471" w:rsidRPr="00FA0D37" w:rsidRDefault="00394471" w:rsidP="00FA0D37">
      <w:pPr>
        <w:pStyle w:val="PL"/>
      </w:pPr>
    </w:p>
    <w:p w14:paraId="7DE83D36" w14:textId="77777777" w:rsidR="00394471" w:rsidRPr="00FA0D37" w:rsidRDefault="00394471" w:rsidP="00FA0D37">
      <w:pPr>
        <w:pStyle w:val="PL"/>
      </w:pPr>
    </w:p>
    <w:p w14:paraId="51812FBC" w14:textId="77777777" w:rsidR="00394471" w:rsidRPr="00FA0D37" w:rsidRDefault="00394471" w:rsidP="00FA0D37">
      <w:pPr>
        <w:pStyle w:val="PL"/>
      </w:pPr>
      <w:r w:rsidRPr="00FA0D37">
        <w:t xml:space="preserve">PCCH-Config ::=             </w:t>
      </w:r>
      <w:r w:rsidRPr="00FA0D37">
        <w:rPr>
          <w:color w:val="993366"/>
        </w:rPr>
        <w:t>SEQUENCE</w:t>
      </w:r>
      <w:r w:rsidRPr="00FA0D37">
        <w:t xml:space="preserve"> {</w:t>
      </w:r>
    </w:p>
    <w:p w14:paraId="64112785" w14:textId="77777777" w:rsidR="00394471" w:rsidRPr="00FA0D37" w:rsidRDefault="00394471" w:rsidP="00FA0D37">
      <w:pPr>
        <w:pStyle w:val="PL"/>
      </w:pPr>
      <w:r w:rsidRPr="00FA0D37">
        <w:t xml:space="preserve">    defaultPagingCycle                  PagingCycle,</w:t>
      </w:r>
    </w:p>
    <w:p w14:paraId="01260C8F" w14:textId="77777777" w:rsidR="00394471" w:rsidRPr="00FA0D37" w:rsidRDefault="00394471" w:rsidP="00FA0D37">
      <w:pPr>
        <w:pStyle w:val="PL"/>
      </w:pPr>
      <w:r w:rsidRPr="00FA0D37">
        <w:t xml:space="preserve">    nAndPagingFrameOffset               </w:t>
      </w:r>
      <w:r w:rsidRPr="00FA0D37">
        <w:rPr>
          <w:color w:val="993366"/>
        </w:rPr>
        <w:t>CHOICE</w:t>
      </w:r>
      <w:r w:rsidRPr="00FA0D37">
        <w:t xml:space="preserve"> {</w:t>
      </w:r>
    </w:p>
    <w:p w14:paraId="2BBC8B5D" w14:textId="77777777" w:rsidR="00394471" w:rsidRPr="00FA0D37" w:rsidRDefault="00394471" w:rsidP="00FA0D37">
      <w:pPr>
        <w:pStyle w:val="PL"/>
      </w:pPr>
      <w:r w:rsidRPr="00FA0D37">
        <w:t xml:space="preserve">        oneT                                </w:t>
      </w:r>
      <w:r w:rsidRPr="00FA0D37">
        <w:rPr>
          <w:color w:val="993366"/>
        </w:rPr>
        <w:t>NULL</w:t>
      </w:r>
      <w:r w:rsidRPr="00FA0D37">
        <w:t>,</w:t>
      </w:r>
    </w:p>
    <w:p w14:paraId="7B3B3836" w14:textId="77777777" w:rsidR="00394471" w:rsidRPr="00FA0D37" w:rsidRDefault="00394471" w:rsidP="00FA0D37">
      <w:pPr>
        <w:pStyle w:val="PL"/>
      </w:pPr>
      <w:r w:rsidRPr="00FA0D37">
        <w:t xml:space="preserve">        halfT                               </w:t>
      </w:r>
      <w:r w:rsidRPr="00FA0D37">
        <w:rPr>
          <w:color w:val="993366"/>
        </w:rPr>
        <w:t>INTEGER</w:t>
      </w:r>
      <w:r w:rsidRPr="00FA0D37">
        <w:t xml:space="preserve"> (0..1),</w:t>
      </w:r>
    </w:p>
    <w:p w14:paraId="29E87B9F" w14:textId="77777777" w:rsidR="00394471" w:rsidRPr="00FA0D37" w:rsidRDefault="00394471" w:rsidP="00FA0D37">
      <w:pPr>
        <w:pStyle w:val="PL"/>
      </w:pPr>
      <w:r w:rsidRPr="00FA0D37">
        <w:t xml:space="preserve">        quarterT                            </w:t>
      </w:r>
      <w:r w:rsidRPr="00FA0D37">
        <w:rPr>
          <w:color w:val="993366"/>
        </w:rPr>
        <w:t>INTEGER</w:t>
      </w:r>
      <w:r w:rsidRPr="00FA0D37">
        <w:t xml:space="preserve"> (0..3),</w:t>
      </w:r>
    </w:p>
    <w:p w14:paraId="56DB58B4" w14:textId="77777777" w:rsidR="00394471" w:rsidRPr="00FA0D37" w:rsidRDefault="00394471" w:rsidP="00FA0D37">
      <w:pPr>
        <w:pStyle w:val="PL"/>
      </w:pPr>
      <w:r w:rsidRPr="00FA0D37">
        <w:t xml:space="preserve">        oneEighthT                          </w:t>
      </w:r>
      <w:r w:rsidRPr="00FA0D37">
        <w:rPr>
          <w:color w:val="993366"/>
        </w:rPr>
        <w:t>INTEGER</w:t>
      </w:r>
      <w:r w:rsidRPr="00FA0D37">
        <w:t xml:space="preserve"> (0..7),</w:t>
      </w:r>
    </w:p>
    <w:p w14:paraId="37E6D858" w14:textId="77777777" w:rsidR="00394471" w:rsidRPr="00FA0D37" w:rsidRDefault="00394471" w:rsidP="00FA0D37">
      <w:pPr>
        <w:pStyle w:val="PL"/>
      </w:pPr>
      <w:r w:rsidRPr="00FA0D37">
        <w:t xml:space="preserve">        oneSixteenthT                       </w:t>
      </w:r>
      <w:r w:rsidRPr="00FA0D37">
        <w:rPr>
          <w:color w:val="993366"/>
        </w:rPr>
        <w:t>INTEGER</w:t>
      </w:r>
      <w:r w:rsidRPr="00FA0D37">
        <w:t xml:space="preserve"> (0..15)</w:t>
      </w:r>
    </w:p>
    <w:p w14:paraId="2E06717A" w14:textId="77777777" w:rsidR="00394471" w:rsidRPr="00FA0D37" w:rsidRDefault="00394471" w:rsidP="00FA0D37">
      <w:pPr>
        <w:pStyle w:val="PL"/>
      </w:pPr>
      <w:r w:rsidRPr="00FA0D37">
        <w:t xml:space="preserve">    },</w:t>
      </w:r>
    </w:p>
    <w:p w14:paraId="483C1010" w14:textId="77777777" w:rsidR="00394471" w:rsidRPr="00FA0D37" w:rsidRDefault="00394471" w:rsidP="00FA0D37">
      <w:pPr>
        <w:pStyle w:val="PL"/>
      </w:pPr>
      <w:r w:rsidRPr="00FA0D37">
        <w:t xml:space="preserve">    ns                                  </w:t>
      </w:r>
      <w:r w:rsidRPr="00FA0D37">
        <w:rPr>
          <w:color w:val="993366"/>
        </w:rPr>
        <w:t>ENUMERATED</w:t>
      </w:r>
      <w:r w:rsidRPr="00FA0D37">
        <w:t xml:space="preserve"> {four, two, one},</w:t>
      </w:r>
    </w:p>
    <w:p w14:paraId="43411F3D" w14:textId="77777777" w:rsidR="00394471" w:rsidRPr="00FA0D37" w:rsidRDefault="00394471" w:rsidP="00FA0D37">
      <w:pPr>
        <w:pStyle w:val="PL"/>
      </w:pPr>
      <w:r w:rsidRPr="00FA0D37">
        <w:t xml:space="preserve">    firstPDCCH-MonitoringOccasionOfPO   </w:t>
      </w:r>
      <w:r w:rsidRPr="00FA0D37">
        <w:rPr>
          <w:color w:val="993366"/>
        </w:rPr>
        <w:t>CHOICE</w:t>
      </w:r>
      <w:r w:rsidRPr="00FA0D37">
        <w:t xml:space="preserve"> {</w:t>
      </w:r>
    </w:p>
    <w:p w14:paraId="34583071" w14:textId="77777777" w:rsidR="00394471" w:rsidRPr="00FA0D37" w:rsidRDefault="00394471" w:rsidP="00FA0D37">
      <w:pPr>
        <w:pStyle w:val="PL"/>
      </w:pPr>
      <w:r w:rsidRPr="00FA0D37">
        <w:t xml:space="preserve">        sCS15KHZoneT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(0..139),</w:t>
      </w:r>
    </w:p>
    <w:p w14:paraId="36472B41" w14:textId="77777777" w:rsidR="00394471" w:rsidRPr="00FA0D37" w:rsidRDefault="00394471" w:rsidP="00FA0D37">
      <w:pPr>
        <w:pStyle w:val="PL"/>
      </w:pPr>
      <w:r w:rsidRPr="00FA0D37">
        <w:t xml:space="preserve">        sCS30KHZoneT-SCS15KHZhalfT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(0..279),</w:t>
      </w:r>
    </w:p>
    <w:p w14:paraId="63532C09" w14:textId="77777777" w:rsidR="00394471" w:rsidRPr="00FA0D37" w:rsidRDefault="00394471" w:rsidP="00FA0D37">
      <w:pPr>
        <w:pStyle w:val="PL"/>
      </w:pPr>
      <w:r w:rsidRPr="00FA0D37">
        <w:t xml:space="preserve">        sCS60KHZoneT-SCS30KHZhalfT-SCS15KHZquarterT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(0..559),</w:t>
      </w:r>
    </w:p>
    <w:p w14:paraId="08CD43CB" w14:textId="77777777" w:rsidR="00394471" w:rsidRPr="00FA0D37" w:rsidRDefault="00394471" w:rsidP="00FA0D37">
      <w:pPr>
        <w:pStyle w:val="PL"/>
      </w:pPr>
      <w:r w:rsidRPr="00FA0D37">
        <w:t xml:space="preserve">        sCS120KHZoneT-SCS60KHZhalfT-SCS30KHZquarterT-SCS15KHZoneEighthT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(0..1119),</w:t>
      </w:r>
    </w:p>
    <w:p w14:paraId="45AE7326" w14:textId="77777777" w:rsidR="00394471" w:rsidRPr="00FA0D37" w:rsidRDefault="00394471" w:rsidP="00FA0D37">
      <w:pPr>
        <w:pStyle w:val="PL"/>
      </w:pPr>
      <w:r w:rsidRPr="00FA0D37">
        <w:t xml:space="preserve">        sCS120KHZhalfT-SCS60KHZquarterT-SCS30KHZoneEighthT-SCS15KHZoneSixteenthT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(0..2239),</w:t>
      </w:r>
    </w:p>
    <w:p w14:paraId="50845FAE" w14:textId="7005BEE4" w:rsidR="00394471" w:rsidRPr="00FA0D37" w:rsidRDefault="00394471" w:rsidP="00FA0D37">
      <w:pPr>
        <w:pStyle w:val="PL"/>
      </w:pPr>
      <w:r w:rsidRPr="00FA0D37">
        <w:t xml:space="preserve">        </w:t>
      </w:r>
      <w:r w:rsidR="00287CE6" w:rsidRPr="00FA0D37">
        <w:t>sCS480KHZoneT-S</w:t>
      </w:r>
      <w:r w:rsidRPr="00FA0D37">
        <w:t xml:space="preserve">CS120KHZquarterT-SCS60KHZoneEighthT-SCS30KHZoneSixteenthT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(0..4479),</w:t>
      </w:r>
    </w:p>
    <w:p w14:paraId="01577F1D" w14:textId="6C165736" w:rsidR="00394471" w:rsidRPr="00FA0D37" w:rsidRDefault="00394471" w:rsidP="00FA0D37">
      <w:pPr>
        <w:pStyle w:val="PL"/>
      </w:pPr>
      <w:r w:rsidRPr="00FA0D37">
        <w:t xml:space="preserve">        </w:t>
      </w:r>
      <w:r w:rsidR="00287CE6" w:rsidRPr="00FA0D37">
        <w:t>sCS480KHZhalfT-S</w:t>
      </w:r>
      <w:r w:rsidRPr="00FA0D37">
        <w:t xml:space="preserve">CS120KHZoneEighthT-SCS60KHZoneSixteenthT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(0..8959),</w:t>
      </w:r>
    </w:p>
    <w:p w14:paraId="14B43A67" w14:textId="53B245E6" w:rsidR="00394471" w:rsidRPr="00FA0D37" w:rsidRDefault="00394471" w:rsidP="00FA0D37">
      <w:pPr>
        <w:pStyle w:val="PL"/>
      </w:pPr>
      <w:r w:rsidRPr="00FA0D37">
        <w:t xml:space="preserve">        </w:t>
      </w:r>
      <w:r w:rsidR="00287CE6" w:rsidRPr="00FA0D37">
        <w:t>sCS480KHZquarterT-S</w:t>
      </w:r>
      <w:r w:rsidRPr="00FA0D37">
        <w:t xml:space="preserve">CS120KHZoneSixteenthT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(0..17919)</w:t>
      </w:r>
    </w:p>
    <w:p w14:paraId="6131441B"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A0E981D" w14:textId="77777777" w:rsidR="00394471" w:rsidRPr="00FA0D37" w:rsidRDefault="00394471" w:rsidP="00FA0D37">
      <w:pPr>
        <w:pStyle w:val="PL"/>
      </w:pPr>
      <w:r w:rsidRPr="00FA0D37">
        <w:t xml:space="preserve">    ...,</w:t>
      </w:r>
    </w:p>
    <w:p w14:paraId="5CEE59AA" w14:textId="77777777" w:rsidR="00394471" w:rsidRPr="00FA0D37" w:rsidRDefault="00394471" w:rsidP="00FA0D37">
      <w:pPr>
        <w:pStyle w:val="PL"/>
      </w:pPr>
      <w:r w:rsidRPr="00FA0D37">
        <w:t xml:space="preserve">    [[</w:t>
      </w:r>
    </w:p>
    <w:p w14:paraId="3EF2B363" w14:textId="7D6509CD" w:rsidR="00394471" w:rsidRPr="00FA0D37" w:rsidRDefault="00394471" w:rsidP="00FA0D37">
      <w:pPr>
        <w:pStyle w:val="PL"/>
        <w:rPr>
          <w:color w:val="808080"/>
        </w:rPr>
      </w:pPr>
      <w:r w:rsidRPr="00FA0D37">
        <w:t xml:space="preserve">    nrofPDCCH-MonitoringOccasionPerSSB-InPO-r16        </w:t>
      </w:r>
      <w:r w:rsidRPr="00FA0D37">
        <w:rPr>
          <w:color w:val="993366"/>
        </w:rPr>
        <w:t>INTEGER</w:t>
      </w:r>
      <w:r w:rsidRPr="00FA0D37">
        <w:t xml:space="preserve"> (2..4)             </w:t>
      </w:r>
      <w:r w:rsidR="00287CE6" w:rsidRPr="00FA0D37">
        <w:t xml:space="preserve">  </w:t>
      </w:r>
      <w:r w:rsidRPr="00FA0D37">
        <w:rPr>
          <w:color w:val="993366"/>
        </w:rPr>
        <w:t>OPTIONAL</w:t>
      </w:r>
      <w:r w:rsidRPr="00FA0D37">
        <w:t xml:space="preserve">  </w:t>
      </w:r>
      <w:r w:rsidRPr="00FA0D37">
        <w:rPr>
          <w:color w:val="808080"/>
        </w:rPr>
        <w:t>-- Cond SharedSpectrum2</w:t>
      </w:r>
    </w:p>
    <w:p w14:paraId="215E39C4" w14:textId="4921AB93" w:rsidR="0091616E" w:rsidRPr="00FA0D37" w:rsidRDefault="00394471" w:rsidP="00FA0D37">
      <w:pPr>
        <w:pStyle w:val="PL"/>
      </w:pPr>
      <w:r w:rsidRPr="00FA0D37">
        <w:t xml:space="preserve">    ]]</w:t>
      </w:r>
      <w:r w:rsidR="0091616E" w:rsidRPr="00FA0D37">
        <w:t>,</w:t>
      </w:r>
    </w:p>
    <w:p w14:paraId="36DAE234" w14:textId="612B5391" w:rsidR="0091616E" w:rsidRPr="00FA0D37" w:rsidRDefault="0091616E" w:rsidP="00FA0D37">
      <w:pPr>
        <w:pStyle w:val="PL"/>
      </w:pPr>
      <w:r w:rsidRPr="00FA0D37">
        <w:t xml:space="preserve">    [[</w:t>
      </w:r>
    </w:p>
    <w:p w14:paraId="0624C21B" w14:textId="1DFCB8EF" w:rsidR="0091616E" w:rsidRPr="00FA0D37" w:rsidRDefault="0091616E" w:rsidP="00FA0D37">
      <w:pPr>
        <w:pStyle w:val="PL"/>
        <w:rPr>
          <w:color w:val="808080"/>
        </w:rPr>
      </w:pPr>
      <w:r w:rsidRPr="00FA0D37">
        <w:t xml:space="preserve">    ranPagingInIdlePO-r17                              </w:t>
      </w:r>
      <w:r w:rsidRPr="00FA0D37">
        <w:rPr>
          <w:color w:val="993366"/>
        </w:rPr>
        <w:t>ENUMERATED</w:t>
      </w:r>
      <w:r w:rsidR="00015613" w:rsidRPr="00FA0D37">
        <w:t xml:space="preserve"> </w:t>
      </w:r>
      <w:r w:rsidRPr="00FA0D37">
        <w:t xml:space="preserve">{true}           </w:t>
      </w:r>
      <w:r w:rsidR="00287CE6" w:rsidRPr="00FA0D37">
        <w:t xml:space="preserve"> </w:t>
      </w:r>
      <w:r w:rsidRPr="00FA0D37">
        <w:rPr>
          <w:color w:val="993366"/>
        </w:rPr>
        <w:t>OPTIONAL</w:t>
      </w:r>
      <w:r w:rsidR="00287CE6" w:rsidRPr="00FA0D37">
        <w:t>,</w:t>
      </w:r>
      <w:r w:rsidRPr="00FA0D37">
        <w:t xml:space="preserve">  </w:t>
      </w:r>
      <w:r w:rsidRPr="00FA0D37">
        <w:rPr>
          <w:color w:val="808080"/>
        </w:rPr>
        <w:t>-- Need R</w:t>
      </w:r>
    </w:p>
    <w:p w14:paraId="4A06D919" w14:textId="77777777" w:rsidR="00287CE6" w:rsidRPr="00FA0D37" w:rsidRDefault="00287CE6" w:rsidP="00FA0D37">
      <w:pPr>
        <w:pStyle w:val="PL"/>
      </w:pPr>
    </w:p>
    <w:p w14:paraId="03C37B6A" w14:textId="2A89AFF7" w:rsidR="00287CE6" w:rsidRPr="00FA0D37" w:rsidRDefault="00287CE6" w:rsidP="00FA0D37">
      <w:pPr>
        <w:pStyle w:val="PL"/>
      </w:pPr>
      <w:r w:rsidRPr="00FA0D37">
        <w:t xml:space="preserve">    firstPDCCH-MonitoringOccasionOfPO-v1710  </w:t>
      </w:r>
      <w:r w:rsidRPr="00FA0D37">
        <w:rPr>
          <w:color w:val="993366"/>
        </w:rPr>
        <w:t>CHOICE</w:t>
      </w:r>
      <w:r w:rsidRPr="00FA0D37">
        <w:t xml:space="preserve"> {</w:t>
      </w:r>
    </w:p>
    <w:p w14:paraId="7D623120" w14:textId="77777777" w:rsidR="00287CE6" w:rsidRPr="00FA0D37" w:rsidRDefault="00287CE6" w:rsidP="00FA0D37">
      <w:pPr>
        <w:pStyle w:val="PL"/>
      </w:pPr>
      <w:r w:rsidRPr="00FA0D37">
        <w:t xml:space="preserve">       sCS480KHZoneEighthT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(0..35839),</w:t>
      </w:r>
    </w:p>
    <w:p w14:paraId="3B038B7E" w14:textId="77777777" w:rsidR="00287CE6" w:rsidRPr="00FA0D37" w:rsidRDefault="00287CE6" w:rsidP="00FA0D37">
      <w:pPr>
        <w:pStyle w:val="PL"/>
      </w:pPr>
      <w:r w:rsidRPr="00FA0D37">
        <w:lastRenderedPageBreak/>
        <w:t xml:space="preserve">       sCS480KHZoneSixteenthT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(0..71679)</w:t>
      </w:r>
    </w:p>
    <w:p w14:paraId="55C1353B" w14:textId="77777777" w:rsidR="00287CE6" w:rsidRPr="00FA0D37" w:rsidRDefault="00287CE6"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R</w:t>
      </w:r>
    </w:p>
    <w:p w14:paraId="7FD8B4A1" w14:textId="10C0F69A" w:rsidR="00394471" w:rsidRPr="00FA0D37" w:rsidRDefault="0091616E" w:rsidP="00FA0D37">
      <w:pPr>
        <w:pStyle w:val="PL"/>
      </w:pPr>
      <w:r w:rsidRPr="00FA0D37">
        <w:t xml:space="preserve">    ]]</w:t>
      </w:r>
    </w:p>
    <w:p w14:paraId="37967242" w14:textId="77777777" w:rsidR="00394471" w:rsidRPr="00FA0D37" w:rsidRDefault="00394471" w:rsidP="00FA0D37">
      <w:pPr>
        <w:pStyle w:val="PL"/>
      </w:pPr>
      <w:r w:rsidRPr="00FA0D37">
        <w:t>}</w:t>
      </w:r>
    </w:p>
    <w:p w14:paraId="21AA2BDD" w14:textId="2EBEBE59" w:rsidR="00394471" w:rsidRPr="00FA0D37" w:rsidRDefault="00394471" w:rsidP="00FA0D37">
      <w:pPr>
        <w:pStyle w:val="PL"/>
      </w:pPr>
    </w:p>
    <w:p w14:paraId="48DE8BB3" w14:textId="438EC3DB" w:rsidR="0078452E" w:rsidRPr="00FA0D37" w:rsidRDefault="0078452E" w:rsidP="00FA0D37">
      <w:pPr>
        <w:pStyle w:val="PL"/>
      </w:pPr>
      <w:r w:rsidRPr="00FA0D37">
        <w:t xml:space="preserve">PEI-Config-r17 ::=                        </w:t>
      </w:r>
      <w:r w:rsidRPr="00FA0D37">
        <w:rPr>
          <w:color w:val="993366"/>
        </w:rPr>
        <w:t>SEQUENCE</w:t>
      </w:r>
      <w:r w:rsidRPr="00FA0D37">
        <w:t xml:space="preserve"> {</w:t>
      </w:r>
    </w:p>
    <w:p w14:paraId="12744C9A" w14:textId="6437F700" w:rsidR="0078452E" w:rsidRPr="00FA0D37" w:rsidRDefault="0078452E" w:rsidP="00FA0D37">
      <w:pPr>
        <w:pStyle w:val="PL"/>
      </w:pPr>
      <w:r w:rsidRPr="00FA0D37">
        <w:t xml:space="preserve">    po-NumPerPEI-r17                          </w:t>
      </w:r>
      <w:r w:rsidRPr="00FA0D37">
        <w:rPr>
          <w:color w:val="993366"/>
        </w:rPr>
        <w:t>ENUMERATED</w:t>
      </w:r>
      <w:r w:rsidRPr="00FA0D37">
        <w:t xml:space="preserve"> {po1, po2, po4, po8},</w:t>
      </w:r>
    </w:p>
    <w:p w14:paraId="12AB6FDD" w14:textId="7EA14933" w:rsidR="0078452E" w:rsidRPr="00FA0D37" w:rsidRDefault="0078452E" w:rsidP="00FA0D37">
      <w:pPr>
        <w:pStyle w:val="PL"/>
      </w:pPr>
      <w:r w:rsidRPr="00FA0D37">
        <w:t xml:space="preserve">    payloadSizeDCI-2-7-r17                    </w:t>
      </w:r>
      <w:r w:rsidRPr="00FA0D37">
        <w:rPr>
          <w:color w:val="993366"/>
        </w:rPr>
        <w:t>INTEGER</w:t>
      </w:r>
      <w:r w:rsidRPr="00FA0D37">
        <w:t xml:space="preserve"> (1..maxDCI-2-7-Size-r17),</w:t>
      </w:r>
    </w:p>
    <w:p w14:paraId="55EF2270" w14:textId="3BEDAD4C" w:rsidR="0078452E" w:rsidRPr="00FA0D37" w:rsidRDefault="0078452E" w:rsidP="00FA0D37">
      <w:pPr>
        <w:pStyle w:val="PL"/>
      </w:pPr>
      <w:r w:rsidRPr="00FA0D37">
        <w:t xml:space="preserve">    pei-FrameOffset-r17                       </w:t>
      </w:r>
      <w:r w:rsidRPr="00FA0D37">
        <w:rPr>
          <w:color w:val="993366"/>
        </w:rPr>
        <w:t>INTEGER</w:t>
      </w:r>
      <w:r w:rsidRPr="00FA0D37">
        <w:t xml:space="preserve"> (0..16),</w:t>
      </w:r>
    </w:p>
    <w:p w14:paraId="0A39B704" w14:textId="40408095" w:rsidR="0078452E" w:rsidRPr="00FA0D37" w:rsidRDefault="0078452E" w:rsidP="00FA0D37">
      <w:pPr>
        <w:pStyle w:val="PL"/>
      </w:pPr>
      <w:r w:rsidRPr="00FA0D37">
        <w:t xml:space="preserve">    subgroupConfig-r17                        SubgroupConfig-r17,</w:t>
      </w:r>
    </w:p>
    <w:p w14:paraId="632EC022" w14:textId="49F0B3D0" w:rsidR="0078452E" w:rsidRPr="00FA0D37" w:rsidRDefault="0078452E" w:rsidP="00FA0D37">
      <w:pPr>
        <w:pStyle w:val="PL"/>
        <w:rPr>
          <w:color w:val="808080"/>
        </w:rPr>
      </w:pPr>
      <w:r w:rsidRPr="00FA0D37">
        <w:t xml:space="preserve">    lastUsedCellOnly-r17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138DD496" w14:textId="54DCDC8A" w:rsidR="0078452E" w:rsidRPr="00FA0D37" w:rsidRDefault="0078452E" w:rsidP="00FA0D37">
      <w:pPr>
        <w:pStyle w:val="PL"/>
      </w:pPr>
      <w:r w:rsidRPr="00FA0D37">
        <w:t xml:space="preserve">    ...</w:t>
      </w:r>
    </w:p>
    <w:p w14:paraId="4321381D" w14:textId="77777777" w:rsidR="0078452E" w:rsidRPr="00FA0D37" w:rsidRDefault="0078452E" w:rsidP="00FA0D37">
      <w:pPr>
        <w:pStyle w:val="PL"/>
      </w:pPr>
      <w:r w:rsidRPr="00FA0D37">
        <w:t>}</w:t>
      </w:r>
    </w:p>
    <w:p w14:paraId="6C727E29" w14:textId="77777777" w:rsidR="0078452E" w:rsidRPr="00FA0D37" w:rsidRDefault="0078452E" w:rsidP="00FA0D37">
      <w:pPr>
        <w:pStyle w:val="PL"/>
      </w:pPr>
    </w:p>
    <w:p w14:paraId="7F5ECBA0" w14:textId="5E03A14D" w:rsidR="0078452E" w:rsidRPr="00FA0D37" w:rsidRDefault="0078452E" w:rsidP="00FA0D37">
      <w:pPr>
        <w:pStyle w:val="PL"/>
      </w:pPr>
      <w:r w:rsidRPr="00FA0D37">
        <w:t xml:space="preserve">SubgroupConfig-r17 ::=     </w:t>
      </w:r>
      <w:r w:rsidRPr="00FA0D37">
        <w:rPr>
          <w:color w:val="993366"/>
        </w:rPr>
        <w:t>SEQUENCE</w:t>
      </w:r>
      <w:r w:rsidRPr="00FA0D37">
        <w:t xml:space="preserve"> {</w:t>
      </w:r>
    </w:p>
    <w:p w14:paraId="72B6A625" w14:textId="2240DF8D" w:rsidR="0078452E" w:rsidRPr="00FA0D37" w:rsidRDefault="0078452E" w:rsidP="00FA0D37">
      <w:pPr>
        <w:pStyle w:val="PL"/>
      </w:pPr>
      <w:r w:rsidRPr="00FA0D37">
        <w:t xml:space="preserve">    subgroupsNumPerPO-r17      </w:t>
      </w:r>
      <w:r w:rsidRPr="00FA0D37">
        <w:rPr>
          <w:color w:val="993366"/>
        </w:rPr>
        <w:t>INTEGER</w:t>
      </w:r>
      <w:r w:rsidRPr="00FA0D37">
        <w:t xml:space="preserve"> (1.. maxNrofPagingSubgroups-r17),</w:t>
      </w:r>
    </w:p>
    <w:p w14:paraId="6410BE5E" w14:textId="437DE218" w:rsidR="0078452E" w:rsidRPr="00FA0D37" w:rsidRDefault="0078452E" w:rsidP="00FA0D37">
      <w:pPr>
        <w:pStyle w:val="PL"/>
        <w:rPr>
          <w:color w:val="808080"/>
        </w:rPr>
      </w:pPr>
      <w:r w:rsidRPr="00FA0D37">
        <w:t xml:space="preserve">    subgroupsNumForUEID-r17    </w:t>
      </w:r>
      <w:r w:rsidRPr="00FA0D37">
        <w:rPr>
          <w:color w:val="993366"/>
        </w:rPr>
        <w:t>INTEGER</w:t>
      </w:r>
      <w:r w:rsidRPr="00FA0D37">
        <w:t xml:space="preserve"> (1.. maxNrofPagingSubgroups-r17)                                        </w:t>
      </w:r>
      <w:r w:rsidRPr="00FA0D37">
        <w:rPr>
          <w:color w:val="993366"/>
        </w:rPr>
        <w:t>OPTIONAL</w:t>
      </w:r>
      <w:r w:rsidRPr="00FA0D37">
        <w:t xml:space="preserve">,  </w:t>
      </w:r>
      <w:r w:rsidRPr="00FA0D37">
        <w:rPr>
          <w:color w:val="808080"/>
        </w:rPr>
        <w:t xml:space="preserve">-- Need </w:t>
      </w:r>
      <w:r w:rsidR="00827A1B" w:rsidRPr="00FA0D37">
        <w:rPr>
          <w:color w:val="808080"/>
        </w:rPr>
        <w:t>S</w:t>
      </w:r>
    </w:p>
    <w:p w14:paraId="71640FC3" w14:textId="526FE2F1" w:rsidR="0078452E" w:rsidRPr="00FA0D37" w:rsidRDefault="0078452E" w:rsidP="00FA0D37">
      <w:pPr>
        <w:pStyle w:val="PL"/>
      </w:pPr>
      <w:r w:rsidRPr="00FA0D37">
        <w:t xml:space="preserve">    ...</w:t>
      </w:r>
    </w:p>
    <w:p w14:paraId="6699198C" w14:textId="07185349" w:rsidR="0078452E" w:rsidRPr="00FA0D37" w:rsidRDefault="0078452E" w:rsidP="00FA0D37">
      <w:pPr>
        <w:pStyle w:val="PL"/>
      </w:pPr>
      <w:r w:rsidRPr="00FA0D37">
        <w:t>}</w:t>
      </w:r>
    </w:p>
    <w:p w14:paraId="4B3FD9C1" w14:textId="77777777" w:rsidR="0078452E" w:rsidRPr="00FA0D37" w:rsidRDefault="0078452E" w:rsidP="00FA0D37">
      <w:pPr>
        <w:pStyle w:val="PL"/>
      </w:pPr>
    </w:p>
    <w:p w14:paraId="1861879E" w14:textId="77777777" w:rsidR="00394471" w:rsidRPr="00FA0D37" w:rsidRDefault="00394471" w:rsidP="00FA0D37">
      <w:pPr>
        <w:pStyle w:val="PL"/>
        <w:rPr>
          <w:color w:val="808080"/>
        </w:rPr>
      </w:pPr>
      <w:r w:rsidRPr="00FA0D37">
        <w:rPr>
          <w:color w:val="808080"/>
        </w:rPr>
        <w:t>-- TAG-DOWNLINKCONFIGCOMMONSIB-STOP</w:t>
      </w:r>
    </w:p>
    <w:p w14:paraId="709C7311" w14:textId="77777777" w:rsidR="00394471" w:rsidRPr="00FA0D37" w:rsidRDefault="00394471" w:rsidP="00FA0D37">
      <w:pPr>
        <w:pStyle w:val="PL"/>
        <w:rPr>
          <w:color w:val="808080"/>
        </w:rPr>
      </w:pPr>
      <w:r w:rsidRPr="00FA0D37">
        <w:rPr>
          <w:color w:val="808080"/>
        </w:rPr>
        <w:t>-- ASN1STOP</w:t>
      </w:r>
    </w:p>
    <w:p w14:paraId="3CF735A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FA0D37" w:rsidRDefault="00394471" w:rsidP="00964CC4">
            <w:pPr>
              <w:pStyle w:val="TAH"/>
              <w:rPr>
                <w:lang w:eastAsia="sv-SE"/>
              </w:rPr>
            </w:pPr>
            <w:r w:rsidRPr="00FA0D37">
              <w:rPr>
                <w:i/>
                <w:lang w:eastAsia="sv-SE"/>
              </w:rPr>
              <w:lastRenderedPageBreak/>
              <w:t>DownlinkConfigCommonSIB</w:t>
            </w:r>
            <w:r w:rsidRPr="00FA0D37">
              <w:rPr>
                <w:lang w:eastAsia="sv-SE"/>
              </w:rPr>
              <w:t xml:space="preserve"> field descriptions</w:t>
            </w:r>
          </w:p>
        </w:tc>
      </w:tr>
      <w:tr w:rsidR="005C7FF4" w:rsidRPr="00FA0D37"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FA0D37" w:rsidRDefault="00394471" w:rsidP="00964CC4">
            <w:pPr>
              <w:pStyle w:val="TAL"/>
              <w:rPr>
                <w:b/>
                <w:i/>
                <w:lang w:eastAsia="sv-SE"/>
              </w:rPr>
            </w:pPr>
            <w:r w:rsidRPr="00FA0D37">
              <w:rPr>
                <w:b/>
                <w:i/>
                <w:lang w:eastAsia="sv-SE"/>
              </w:rPr>
              <w:t>bcch-Config</w:t>
            </w:r>
          </w:p>
          <w:p w14:paraId="5C9BCA8B" w14:textId="77777777" w:rsidR="00394471" w:rsidRPr="00FA0D37" w:rsidRDefault="00394471" w:rsidP="00964CC4">
            <w:pPr>
              <w:pStyle w:val="TAL"/>
              <w:rPr>
                <w:lang w:eastAsia="sv-SE"/>
              </w:rPr>
            </w:pPr>
            <w:r w:rsidRPr="00FA0D37">
              <w:rPr>
                <w:lang w:eastAsia="sv-SE"/>
              </w:rPr>
              <w:t>The modification period related configuration.</w:t>
            </w:r>
          </w:p>
        </w:tc>
      </w:tr>
      <w:tr w:rsidR="005C7FF4" w:rsidRPr="00FA0D37"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FA0D37" w:rsidRDefault="00394471" w:rsidP="00964CC4">
            <w:pPr>
              <w:pStyle w:val="TAL"/>
              <w:rPr>
                <w:b/>
                <w:i/>
                <w:lang w:eastAsia="sv-SE"/>
              </w:rPr>
            </w:pPr>
            <w:r w:rsidRPr="00FA0D37">
              <w:rPr>
                <w:b/>
                <w:i/>
                <w:lang w:eastAsia="sv-SE"/>
              </w:rPr>
              <w:t>frequencyInfoDL-SIB</w:t>
            </w:r>
          </w:p>
          <w:p w14:paraId="0290F7F1" w14:textId="77777777" w:rsidR="00394471" w:rsidRPr="00FA0D37" w:rsidRDefault="00394471" w:rsidP="00964CC4">
            <w:pPr>
              <w:pStyle w:val="TAL"/>
              <w:rPr>
                <w:lang w:eastAsia="sv-SE"/>
              </w:rPr>
            </w:pPr>
            <w:r w:rsidRPr="00FA0D37">
              <w:rPr>
                <w:lang w:eastAsia="sv-SE"/>
              </w:rPr>
              <w:t>Basic parameters of a downlink carrier and transmission thereon.</w:t>
            </w:r>
          </w:p>
        </w:tc>
      </w:tr>
      <w:tr w:rsidR="005C7FF4" w:rsidRPr="00FA0D37"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FA0D37" w:rsidRDefault="00394471" w:rsidP="00964CC4">
            <w:pPr>
              <w:pStyle w:val="TAL"/>
              <w:rPr>
                <w:b/>
                <w:i/>
                <w:lang w:eastAsia="sv-SE"/>
              </w:rPr>
            </w:pPr>
            <w:r w:rsidRPr="00FA0D37">
              <w:rPr>
                <w:b/>
                <w:i/>
                <w:lang w:eastAsia="sv-SE"/>
              </w:rPr>
              <w:t>initialDownlinkBWP</w:t>
            </w:r>
          </w:p>
          <w:p w14:paraId="0E0792FD" w14:textId="77777777" w:rsidR="00394471" w:rsidRPr="00FA0D37" w:rsidRDefault="00394471" w:rsidP="00964CC4">
            <w:pPr>
              <w:pStyle w:val="TAL"/>
              <w:rPr>
                <w:lang w:eastAsia="sv-SE"/>
              </w:rPr>
            </w:pPr>
            <w:r w:rsidRPr="00FA0D37">
              <w:rPr>
                <w:lang w:eastAsia="sv-SE"/>
              </w:rPr>
              <w:t xml:space="preserve">The initial downlink BWP configuration for a PCell. The network configures the </w:t>
            </w:r>
            <w:r w:rsidRPr="00FA0D37">
              <w:rPr>
                <w:i/>
                <w:lang w:eastAsia="sv-SE"/>
              </w:rPr>
              <w:t>locationAndBandwidth</w:t>
            </w:r>
            <w:r w:rsidRPr="00FA0D37">
              <w:rPr>
                <w:lang w:eastAsia="sv-SE"/>
              </w:rPr>
              <w:t xml:space="preserve"> so that the initial downlink BWP contains the entire CORESET#0 of this serving cell in the frequency domain. The UE applies the </w:t>
            </w:r>
            <w:r w:rsidRPr="00FA0D37">
              <w:rPr>
                <w:i/>
                <w:lang w:eastAsia="sv-SE"/>
              </w:rPr>
              <w:t>locationAndBandwidth</w:t>
            </w:r>
            <w:r w:rsidRPr="00FA0D37">
              <w:rPr>
                <w:lang w:eastAsia="sv-SE"/>
              </w:rPr>
              <w:t xml:space="preserve"> </w:t>
            </w:r>
            <w:r w:rsidRPr="00FA0D37">
              <w:rPr>
                <w:rFonts w:cs="Arial"/>
                <w:szCs w:val="18"/>
                <w:lang w:eastAsia="sv-SE"/>
              </w:rPr>
              <w:t xml:space="preserve">upon reception of this field (e.g. to determine the frequency position of signals described in relation to this </w:t>
            </w:r>
            <w:r w:rsidRPr="00FA0D37">
              <w:rPr>
                <w:rFonts w:cs="Arial"/>
                <w:i/>
                <w:iCs/>
                <w:szCs w:val="18"/>
                <w:lang w:eastAsia="sv-SE"/>
              </w:rPr>
              <w:t>locationAndBandwidth</w:t>
            </w:r>
            <w:r w:rsidRPr="00FA0D37">
              <w:rPr>
                <w:rFonts w:cs="Arial"/>
                <w:szCs w:val="18"/>
                <w:lang w:eastAsia="sv-SE"/>
              </w:rPr>
              <w:t>) but it keeps CORESET#0 until</w:t>
            </w:r>
            <w:r w:rsidRPr="00FA0D37">
              <w:rPr>
                <w:lang w:eastAsia="sv-SE"/>
              </w:rPr>
              <w:t xml:space="preserve"> after reception of </w:t>
            </w:r>
            <w:r w:rsidRPr="00FA0D37">
              <w:rPr>
                <w:i/>
                <w:lang w:eastAsia="sv-SE"/>
              </w:rPr>
              <w:t>RRCSetup</w:t>
            </w:r>
            <w:r w:rsidRPr="00FA0D37">
              <w:rPr>
                <w:lang w:eastAsia="sv-SE"/>
              </w:rPr>
              <w:t>/</w:t>
            </w:r>
            <w:r w:rsidRPr="00FA0D37">
              <w:rPr>
                <w:i/>
                <w:lang w:eastAsia="sv-SE"/>
              </w:rPr>
              <w:t>RRCResume/RRCReestablishment</w:t>
            </w:r>
            <w:r w:rsidRPr="00FA0D37">
              <w:rPr>
                <w:lang w:eastAsia="sv-SE"/>
              </w:rPr>
              <w:t>.</w:t>
            </w:r>
          </w:p>
        </w:tc>
      </w:tr>
      <w:tr w:rsidR="005C7FF4" w:rsidRPr="00FA0D37"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FA0D37" w:rsidRDefault="00B37B2F" w:rsidP="00771058">
            <w:pPr>
              <w:pStyle w:val="TAL"/>
              <w:rPr>
                <w:b/>
                <w:i/>
                <w:lang w:eastAsia="sv-SE"/>
              </w:rPr>
            </w:pPr>
            <w:r w:rsidRPr="00FA0D37">
              <w:rPr>
                <w:b/>
                <w:i/>
                <w:lang w:eastAsia="sv-SE"/>
              </w:rPr>
              <w:t>initialDownlinkBWP-RedCap</w:t>
            </w:r>
          </w:p>
          <w:p w14:paraId="14C6A0BB" w14:textId="6D1F96F7" w:rsidR="00B37B2F" w:rsidRPr="00FA0D37" w:rsidRDefault="00B37B2F" w:rsidP="00771058">
            <w:pPr>
              <w:pStyle w:val="TAL"/>
              <w:rPr>
                <w:lang w:eastAsia="sv-SE"/>
              </w:rPr>
            </w:pPr>
            <w:r w:rsidRPr="00FA0D37">
              <w:rPr>
                <w:lang w:eastAsia="sv-SE"/>
              </w:rPr>
              <w:t xml:space="preserve">If present, RedCap UEs use this DL BWP instead of </w:t>
            </w:r>
            <w:r w:rsidRPr="00FA0D37">
              <w:rPr>
                <w:i/>
                <w:iCs/>
                <w:lang w:eastAsia="sv-SE"/>
              </w:rPr>
              <w:t>initialDownlinkBWP</w:t>
            </w:r>
            <w:r w:rsidRPr="00FA0D37">
              <w:rPr>
                <w:lang w:eastAsia="sv-SE"/>
              </w:rPr>
              <w:t xml:space="preserve">. </w:t>
            </w:r>
            <w:r w:rsidRPr="00FA0D37">
              <w:t xml:space="preserve">If the </w:t>
            </w:r>
            <w:r w:rsidRPr="00FA0D37">
              <w:rPr>
                <w:i/>
                <w:iCs/>
              </w:rPr>
              <w:t>locationAndBandwidth</w:t>
            </w:r>
            <w:r w:rsidRPr="00FA0D37">
              <w:t xml:space="preserve"> of this BWP contains the entire CORESET#0, </w:t>
            </w:r>
            <w:r w:rsidRPr="00FA0D37">
              <w:rPr>
                <w:lang w:eastAsia="sv-SE"/>
              </w:rPr>
              <w:t xml:space="preserve">the UE applies the </w:t>
            </w:r>
            <w:r w:rsidRPr="00FA0D37">
              <w:rPr>
                <w:i/>
                <w:lang w:eastAsia="sv-SE"/>
              </w:rPr>
              <w:t>locationAndBandwidth</w:t>
            </w:r>
            <w:r w:rsidRPr="00FA0D37">
              <w:rPr>
                <w:lang w:eastAsia="sv-SE"/>
              </w:rPr>
              <w:t xml:space="preserve"> </w:t>
            </w:r>
            <w:r w:rsidRPr="00FA0D37">
              <w:rPr>
                <w:rFonts w:cs="Arial"/>
                <w:szCs w:val="18"/>
                <w:lang w:eastAsia="sv-SE"/>
              </w:rPr>
              <w:t xml:space="preserve">upon reception of this field (e.g. to determine the frequency position of signals described in relation to this </w:t>
            </w:r>
            <w:r w:rsidRPr="00FA0D37">
              <w:rPr>
                <w:rFonts w:cs="Arial"/>
                <w:i/>
                <w:iCs/>
                <w:szCs w:val="18"/>
                <w:lang w:eastAsia="sv-SE"/>
              </w:rPr>
              <w:t>locationAndBandwidth</w:t>
            </w:r>
            <w:r w:rsidRPr="00FA0D37">
              <w:rPr>
                <w:rFonts w:cs="Arial"/>
                <w:szCs w:val="18"/>
                <w:lang w:eastAsia="sv-SE"/>
              </w:rPr>
              <w:t>) but it keeps CORESET#0 until</w:t>
            </w:r>
            <w:r w:rsidRPr="00FA0D37">
              <w:rPr>
                <w:lang w:eastAsia="sv-SE"/>
              </w:rPr>
              <w:t xml:space="preserve"> after reception of </w:t>
            </w:r>
            <w:r w:rsidRPr="00FA0D37">
              <w:rPr>
                <w:i/>
                <w:lang w:eastAsia="sv-SE"/>
              </w:rPr>
              <w:t>RRCSetup</w:t>
            </w:r>
            <w:r w:rsidRPr="00FA0D37">
              <w:rPr>
                <w:lang w:eastAsia="sv-SE"/>
              </w:rPr>
              <w:t>/</w:t>
            </w:r>
            <w:r w:rsidRPr="00FA0D37">
              <w:rPr>
                <w:i/>
                <w:lang w:eastAsia="sv-SE"/>
              </w:rPr>
              <w:t>RRCResume/RRCReestablishment</w:t>
            </w:r>
            <w:r w:rsidRPr="00FA0D37">
              <w:rPr>
                <w:lang w:eastAsia="sv-SE"/>
              </w:rPr>
              <w:t xml:space="preserve">. Otherwise, i.e., if the </w:t>
            </w:r>
            <w:r w:rsidRPr="00FA0D37">
              <w:rPr>
                <w:i/>
                <w:iCs/>
                <w:lang w:eastAsia="sv-SE"/>
              </w:rPr>
              <w:t>locationAndBandwidth</w:t>
            </w:r>
            <w:r w:rsidRPr="00FA0D37">
              <w:rPr>
                <w:lang w:eastAsia="sv-SE"/>
              </w:rPr>
              <w:t xml:space="preserve"> of this BWP does not contain the entire CORESET#0, the UE uses this BWP for receiving DL messages during initial access (Msg2, </w:t>
            </w:r>
            <w:r w:rsidR="00AE678F" w:rsidRPr="00FA0D37">
              <w:rPr>
                <w:lang w:eastAsia="sv-SE"/>
              </w:rPr>
              <w:t xml:space="preserve">MsgB, </w:t>
            </w:r>
            <w:r w:rsidRPr="00FA0D37">
              <w:rPr>
                <w:lang w:eastAsia="sv-SE"/>
              </w:rPr>
              <w:t>Msg4) and after initial access.</w:t>
            </w:r>
          </w:p>
          <w:p w14:paraId="2310F549" w14:textId="3B18E5CE" w:rsidR="00B37B2F" w:rsidRPr="00FA0D37" w:rsidRDefault="00B37B2F" w:rsidP="00771058">
            <w:pPr>
              <w:pStyle w:val="TAL"/>
              <w:rPr>
                <w:b/>
                <w:i/>
                <w:lang w:eastAsia="sv-SE"/>
              </w:rPr>
            </w:pPr>
            <w:r w:rsidRPr="00FA0D37">
              <w:rPr>
                <w:lang w:eastAsia="sv-SE"/>
              </w:rPr>
              <w:t xml:space="preserve">If absent, RedCap UEs use </w:t>
            </w:r>
            <w:r w:rsidRPr="00FA0D37">
              <w:rPr>
                <w:i/>
                <w:iCs/>
                <w:lang w:eastAsia="sv-SE"/>
              </w:rPr>
              <w:t>initialDownlinkBWP</w:t>
            </w:r>
            <w:r w:rsidRPr="00FA0D37">
              <w:rPr>
                <w:lang w:eastAsia="sv-SE"/>
              </w:rPr>
              <w:t xml:space="preserve"> provided that it does not exceed the RedCap UE maximum bandwidth (see also </w:t>
            </w:r>
            <w:r w:rsidR="00947949" w:rsidRPr="00FA0D37">
              <w:rPr>
                <w:lang w:eastAsia="sv-SE"/>
              </w:rPr>
              <w:t>clause</w:t>
            </w:r>
            <w:r w:rsidRPr="00FA0D37">
              <w:rPr>
                <w:lang w:eastAsia="sv-SE"/>
              </w:rPr>
              <w:t xml:space="preserve"> 5.2.2.4.2).</w:t>
            </w:r>
          </w:p>
        </w:tc>
      </w:tr>
      <w:tr w:rsidR="005C7FF4" w:rsidRPr="00FA0D37"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FA0D37" w:rsidRDefault="00940426" w:rsidP="00940426">
            <w:pPr>
              <w:pStyle w:val="TAL"/>
              <w:rPr>
                <w:b/>
                <w:i/>
                <w:lang w:eastAsia="sv-SE"/>
              </w:rPr>
            </w:pPr>
            <w:r w:rsidRPr="00FA0D37">
              <w:rPr>
                <w:b/>
                <w:i/>
                <w:lang w:eastAsia="sv-SE"/>
              </w:rPr>
              <w:t>lastUsedCellOnly</w:t>
            </w:r>
          </w:p>
          <w:p w14:paraId="4FFF49DE" w14:textId="4D4AF9C4" w:rsidR="00940426" w:rsidRPr="00FA0D37" w:rsidRDefault="00940426" w:rsidP="00940426">
            <w:pPr>
              <w:pStyle w:val="TAL"/>
              <w:rPr>
                <w:b/>
                <w:i/>
                <w:lang w:eastAsia="sv-SE"/>
              </w:rPr>
            </w:pPr>
            <w:r w:rsidRPr="00FA0D37">
              <w:rPr>
                <w:bCs/>
                <w:lang w:eastAsia="sv-SE"/>
              </w:rPr>
              <w:t>When present, the fiel</w:t>
            </w:r>
            <w:r w:rsidRPr="00FA0D37">
              <w:rPr>
                <w:rFonts w:eastAsia="等线"/>
                <w:bCs/>
                <w:lang w:eastAsia="zh-CN"/>
              </w:rPr>
              <w:t>d</w:t>
            </w:r>
            <w:r w:rsidRPr="00FA0D37">
              <w:rPr>
                <w:bCs/>
                <w:lang w:eastAsia="sv-SE"/>
              </w:rPr>
              <w:t xml:space="preserve"> indicates that the UE monitors PEI only if </w:t>
            </w:r>
            <w:r w:rsidR="00827A1B" w:rsidRPr="00FA0D37">
              <w:rPr>
                <w:rFonts w:eastAsia="MS Mincho"/>
                <w:lang w:eastAsia="ko-KR"/>
              </w:rPr>
              <w:t xml:space="preserve">the latest received </w:t>
            </w:r>
            <w:r w:rsidR="00827A1B" w:rsidRPr="00FA0D37">
              <w:rPr>
                <w:rFonts w:eastAsia="MS Mincho"/>
                <w:i/>
                <w:lang w:eastAsia="ko-KR"/>
              </w:rPr>
              <w:t>RRCRelease</w:t>
            </w:r>
            <w:r w:rsidR="00827A1B" w:rsidRPr="00FA0D37">
              <w:rPr>
                <w:rFonts w:eastAsia="MS Mincho"/>
                <w:lang w:eastAsia="ko-KR"/>
              </w:rPr>
              <w:t xml:space="preserve"> without </w:t>
            </w:r>
            <w:r w:rsidR="00827A1B" w:rsidRPr="00FA0D37">
              <w:rPr>
                <w:rFonts w:eastAsia="MS Mincho"/>
                <w:i/>
                <w:lang w:eastAsia="ko-KR"/>
              </w:rPr>
              <w:t>noLastCellUpdate</w:t>
            </w:r>
            <w:r w:rsidR="00827A1B" w:rsidRPr="00FA0D37">
              <w:rPr>
                <w:rFonts w:eastAsia="MS Mincho"/>
                <w:lang w:eastAsia="ko-KR"/>
              </w:rPr>
              <w:t xml:space="preserve"> is from this cell</w:t>
            </w:r>
            <w:r w:rsidRPr="00FA0D37">
              <w:rPr>
                <w:bCs/>
                <w:lang w:eastAsia="sv-SE"/>
              </w:rPr>
              <w:t>. A PEI-capable UE stores its last used cell information.</w:t>
            </w:r>
          </w:p>
        </w:tc>
      </w:tr>
      <w:tr w:rsidR="005C7FF4" w:rsidRPr="00FA0D37"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940426" w:rsidRPr="00FA0D37" w:rsidRDefault="00940426" w:rsidP="00940426">
            <w:pPr>
              <w:pStyle w:val="TAL"/>
              <w:rPr>
                <w:b/>
                <w:i/>
                <w:iCs/>
                <w:lang w:eastAsia="sv-SE"/>
              </w:rPr>
            </w:pPr>
            <w:r w:rsidRPr="00FA0D37">
              <w:rPr>
                <w:b/>
                <w:i/>
                <w:iCs/>
                <w:lang w:eastAsia="sv-SE"/>
              </w:rPr>
              <w:t>nrofPDCCH-MonitoringOccasionPerSSB-InPO</w:t>
            </w:r>
          </w:p>
          <w:p w14:paraId="518F03D5" w14:textId="77777777" w:rsidR="00940426" w:rsidRPr="00FA0D37" w:rsidRDefault="00940426" w:rsidP="00940426">
            <w:pPr>
              <w:pStyle w:val="TAL"/>
              <w:rPr>
                <w:b/>
                <w:i/>
                <w:lang w:eastAsia="sv-SE"/>
              </w:rPr>
            </w:pPr>
            <w:r w:rsidRPr="00FA0D37">
              <w:rPr>
                <w:rFonts w:cs="Arial"/>
                <w:szCs w:val="22"/>
                <w:lang w:eastAsia="sv-SE"/>
              </w:rPr>
              <w:t xml:space="preserve">The number of PDCCH monitoring occasions corresponding to an SSB </w:t>
            </w:r>
            <w:r w:rsidRPr="00FA0D37">
              <w:rPr>
                <w:rFonts w:cs="Arial"/>
                <w:szCs w:val="22"/>
              </w:rPr>
              <w:t>within a Paging Occasion</w:t>
            </w:r>
            <w:r w:rsidRPr="00FA0D37">
              <w:rPr>
                <w:rFonts w:cs="Arial"/>
                <w:szCs w:val="22"/>
                <w:lang w:eastAsia="sv-SE"/>
              </w:rPr>
              <w:t>, see TS 38.304 [20], clause 7.1.</w:t>
            </w:r>
          </w:p>
        </w:tc>
      </w:tr>
      <w:tr w:rsidR="005C7FF4" w:rsidRPr="00FA0D37"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FA0D37" w:rsidRDefault="00940426" w:rsidP="00940426">
            <w:pPr>
              <w:pStyle w:val="TAL"/>
              <w:rPr>
                <w:b/>
                <w:i/>
                <w:lang w:eastAsia="sv-SE"/>
              </w:rPr>
            </w:pPr>
            <w:r w:rsidRPr="00FA0D37">
              <w:rPr>
                <w:b/>
                <w:i/>
                <w:lang w:eastAsia="sv-SE"/>
              </w:rPr>
              <w:t>pcch-Config</w:t>
            </w:r>
          </w:p>
          <w:p w14:paraId="7A1E0020" w14:textId="77777777" w:rsidR="00940426" w:rsidRPr="00FA0D37" w:rsidRDefault="00940426" w:rsidP="00940426">
            <w:pPr>
              <w:pStyle w:val="TAL"/>
              <w:rPr>
                <w:lang w:eastAsia="sv-SE"/>
              </w:rPr>
            </w:pPr>
            <w:r w:rsidRPr="00FA0D37">
              <w:rPr>
                <w:lang w:eastAsia="sv-SE"/>
              </w:rPr>
              <w:t>The paging related configuration.</w:t>
            </w:r>
          </w:p>
        </w:tc>
      </w:tr>
      <w:tr w:rsidR="005C7FF4" w:rsidRPr="00FA0D37"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FA0D37" w:rsidRDefault="00940426" w:rsidP="00940426">
            <w:pPr>
              <w:pStyle w:val="TAL"/>
              <w:rPr>
                <w:b/>
                <w:i/>
                <w:lang w:eastAsia="sv-SE"/>
              </w:rPr>
            </w:pPr>
            <w:r w:rsidRPr="00FA0D37">
              <w:rPr>
                <w:b/>
                <w:i/>
                <w:lang w:eastAsia="sv-SE"/>
              </w:rPr>
              <w:t>pei-Config</w:t>
            </w:r>
          </w:p>
          <w:p w14:paraId="2FFB1B0A" w14:textId="23A6D42F" w:rsidR="00940426" w:rsidRPr="00FA0D37" w:rsidRDefault="00940426" w:rsidP="00940426">
            <w:pPr>
              <w:pStyle w:val="TAL"/>
              <w:rPr>
                <w:b/>
                <w:i/>
                <w:lang w:eastAsia="sv-SE"/>
              </w:rPr>
            </w:pPr>
            <w:r w:rsidRPr="00FA0D37">
              <w:rPr>
                <w:lang w:eastAsia="sv-SE"/>
              </w:rPr>
              <w:t>The PEI related configuration.</w:t>
            </w:r>
          </w:p>
        </w:tc>
      </w:tr>
      <w:tr w:rsidR="000830BB" w:rsidRPr="00FA0D37"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FA0D37" w:rsidRDefault="00940426" w:rsidP="00940426">
            <w:pPr>
              <w:pStyle w:val="TAL"/>
              <w:rPr>
                <w:b/>
                <w:i/>
                <w:lang w:eastAsia="sv-SE"/>
              </w:rPr>
            </w:pPr>
            <w:r w:rsidRPr="00FA0D37">
              <w:rPr>
                <w:b/>
                <w:i/>
                <w:lang w:eastAsia="sv-SE"/>
              </w:rPr>
              <w:t>subgroupConfig</w:t>
            </w:r>
          </w:p>
          <w:p w14:paraId="1F8A7E38" w14:textId="0A4014DB" w:rsidR="00940426" w:rsidRPr="00FA0D37" w:rsidRDefault="00940426" w:rsidP="00940426">
            <w:pPr>
              <w:pStyle w:val="TAL"/>
              <w:rPr>
                <w:b/>
                <w:i/>
                <w:lang w:eastAsia="sv-SE"/>
              </w:rPr>
            </w:pPr>
            <w:r w:rsidRPr="00FA0D37">
              <w:rPr>
                <w:lang w:eastAsia="sv-SE"/>
              </w:rPr>
              <w:t>The paging subgroup related configuration.</w:t>
            </w:r>
          </w:p>
        </w:tc>
      </w:tr>
    </w:tbl>
    <w:p w14:paraId="1A426D9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FA0D37" w:rsidRDefault="00394471" w:rsidP="00964CC4">
            <w:pPr>
              <w:pStyle w:val="TAH"/>
              <w:rPr>
                <w:szCs w:val="22"/>
                <w:lang w:eastAsia="sv-SE"/>
              </w:rPr>
            </w:pPr>
            <w:r w:rsidRPr="00FA0D37">
              <w:rPr>
                <w:i/>
                <w:szCs w:val="22"/>
                <w:lang w:eastAsia="sv-SE"/>
              </w:rPr>
              <w:t xml:space="preserve">BCCH-Config </w:t>
            </w:r>
            <w:r w:rsidRPr="00FA0D37">
              <w:rPr>
                <w:szCs w:val="22"/>
                <w:lang w:eastAsia="sv-SE"/>
              </w:rPr>
              <w:t>field descriptions</w:t>
            </w:r>
          </w:p>
        </w:tc>
      </w:tr>
      <w:tr w:rsidR="00394471" w:rsidRPr="00FA0D37"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FA0D37" w:rsidRDefault="00394471" w:rsidP="00964CC4">
            <w:pPr>
              <w:pStyle w:val="TAL"/>
              <w:rPr>
                <w:szCs w:val="22"/>
                <w:lang w:eastAsia="sv-SE"/>
              </w:rPr>
            </w:pPr>
            <w:r w:rsidRPr="00FA0D37">
              <w:rPr>
                <w:b/>
                <w:i/>
                <w:szCs w:val="22"/>
                <w:lang w:eastAsia="sv-SE"/>
              </w:rPr>
              <w:t>modificationPeriodCoeff</w:t>
            </w:r>
          </w:p>
          <w:p w14:paraId="29F8748F" w14:textId="77777777" w:rsidR="00394471" w:rsidRPr="00FA0D37" w:rsidRDefault="00394471" w:rsidP="00964CC4">
            <w:pPr>
              <w:pStyle w:val="TAL"/>
              <w:rPr>
                <w:szCs w:val="22"/>
                <w:lang w:eastAsia="sv-SE"/>
              </w:rPr>
            </w:pPr>
            <w:r w:rsidRPr="00FA0D37">
              <w:rPr>
                <w:szCs w:val="22"/>
                <w:lang w:eastAsia="sv-SE"/>
              </w:rPr>
              <w:t xml:space="preserve">Actual modification period, expressed in number of radio frames m = </w:t>
            </w:r>
            <w:r w:rsidRPr="00FA0D37">
              <w:rPr>
                <w:i/>
                <w:szCs w:val="22"/>
                <w:lang w:eastAsia="sv-SE"/>
              </w:rPr>
              <w:t>modificationPeriodCoeff</w:t>
            </w:r>
            <w:r w:rsidRPr="00FA0D37">
              <w:rPr>
                <w:szCs w:val="22"/>
                <w:lang w:eastAsia="sv-SE"/>
              </w:rPr>
              <w:t xml:space="preserve"> * </w:t>
            </w:r>
            <w:r w:rsidRPr="00FA0D37">
              <w:rPr>
                <w:i/>
                <w:szCs w:val="22"/>
                <w:lang w:eastAsia="sv-SE"/>
              </w:rPr>
              <w:t>defaultPagingCycle</w:t>
            </w:r>
            <w:r w:rsidRPr="00FA0D37">
              <w:rPr>
                <w:szCs w:val="22"/>
                <w:lang w:eastAsia="sv-SE"/>
              </w:rPr>
              <w:t>, see clause</w:t>
            </w:r>
            <w:r w:rsidRPr="00FA0D37">
              <w:rPr>
                <w:lang w:eastAsia="sv-SE"/>
              </w:rPr>
              <w:t xml:space="preserve"> 5.2.2.2.2</w:t>
            </w:r>
            <w:r w:rsidRPr="00FA0D37">
              <w:rPr>
                <w:szCs w:val="22"/>
                <w:lang w:eastAsia="sv-SE"/>
              </w:rPr>
              <w:t xml:space="preserve">. </w:t>
            </w:r>
            <w:r w:rsidRPr="00FA0D37">
              <w:rPr>
                <w:i/>
                <w:lang w:eastAsia="sv-SE"/>
              </w:rPr>
              <w:t>n2</w:t>
            </w:r>
            <w:r w:rsidRPr="00FA0D37">
              <w:rPr>
                <w:szCs w:val="22"/>
                <w:lang w:eastAsia="sv-SE"/>
              </w:rPr>
              <w:t xml:space="preserve"> corresponds to value 2, </w:t>
            </w:r>
            <w:r w:rsidRPr="00FA0D37">
              <w:rPr>
                <w:i/>
                <w:lang w:eastAsia="sv-SE"/>
              </w:rPr>
              <w:t>n4</w:t>
            </w:r>
            <w:r w:rsidRPr="00FA0D37">
              <w:rPr>
                <w:szCs w:val="22"/>
                <w:lang w:eastAsia="sv-SE"/>
              </w:rPr>
              <w:t xml:space="preserve"> corresponds to value 4, and so on.</w:t>
            </w:r>
          </w:p>
        </w:tc>
      </w:tr>
    </w:tbl>
    <w:p w14:paraId="7A9AF928" w14:textId="77777777" w:rsidR="00394471" w:rsidRPr="00FA0D3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FA0D37" w:rsidRDefault="00394471" w:rsidP="00964CC4">
            <w:pPr>
              <w:pStyle w:val="TAH"/>
              <w:rPr>
                <w:lang w:eastAsia="sv-SE"/>
              </w:rPr>
            </w:pPr>
            <w:r w:rsidRPr="00FA0D37">
              <w:rPr>
                <w:i/>
                <w:lang w:eastAsia="sv-SE"/>
              </w:rPr>
              <w:lastRenderedPageBreak/>
              <w:t>PCCH-Config</w:t>
            </w:r>
            <w:r w:rsidRPr="00FA0D37">
              <w:rPr>
                <w:lang w:eastAsia="sv-SE"/>
              </w:rPr>
              <w:t xml:space="preserve"> field descriptions</w:t>
            </w:r>
          </w:p>
        </w:tc>
      </w:tr>
      <w:tr w:rsidR="005C7FF4" w:rsidRPr="00FA0D37"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FA0D37" w:rsidRDefault="00394471" w:rsidP="00964CC4">
            <w:pPr>
              <w:pStyle w:val="TAL"/>
              <w:rPr>
                <w:b/>
                <w:i/>
                <w:lang w:eastAsia="sv-SE"/>
              </w:rPr>
            </w:pPr>
            <w:r w:rsidRPr="00FA0D37">
              <w:rPr>
                <w:b/>
                <w:i/>
                <w:lang w:eastAsia="sv-SE"/>
              </w:rPr>
              <w:t>defaultPagingCycle</w:t>
            </w:r>
          </w:p>
          <w:p w14:paraId="1E503B27" w14:textId="77777777" w:rsidR="00394471" w:rsidRPr="00FA0D37" w:rsidRDefault="00394471" w:rsidP="00964CC4">
            <w:pPr>
              <w:pStyle w:val="TAL"/>
              <w:rPr>
                <w:lang w:eastAsia="sv-SE"/>
              </w:rPr>
            </w:pPr>
            <w:r w:rsidRPr="00FA0D37">
              <w:rPr>
                <w:lang w:eastAsia="sv-SE"/>
              </w:rPr>
              <w:t xml:space="preserve">Default paging cycle, used to derive 'T' in TS 38.304 [20]. Value </w:t>
            </w:r>
            <w:r w:rsidRPr="00FA0D37">
              <w:rPr>
                <w:i/>
                <w:lang w:eastAsia="sv-SE"/>
              </w:rPr>
              <w:t>rf32</w:t>
            </w:r>
            <w:r w:rsidRPr="00FA0D37">
              <w:rPr>
                <w:lang w:eastAsia="sv-SE"/>
              </w:rPr>
              <w:t xml:space="preserve"> corresponds to 32 radio frames, value </w:t>
            </w:r>
            <w:r w:rsidRPr="00FA0D37">
              <w:rPr>
                <w:i/>
                <w:lang w:eastAsia="sv-SE"/>
              </w:rPr>
              <w:t>rf64</w:t>
            </w:r>
            <w:r w:rsidRPr="00FA0D37">
              <w:rPr>
                <w:lang w:eastAsia="sv-SE"/>
              </w:rPr>
              <w:t xml:space="preserve"> corresponds to 64 radio frames and so on.</w:t>
            </w:r>
          </w:p>
        </w:tc>
      </w:tr>
      <w:tr w:rsidR="005C7FF4" w:rsidRPr="00FA0D37"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FA0D37" w:rsidRDefault="00394471" w:rsidP="00964CC4">
            <w:pPr>
              <w:pStyle w:val="TAL"/>
              <w:rPr>
                <w:b/>
                <w:i/>
                <w:lang w:eastAsia="sv-SE"/>
              </w:rPr>
            </w:pPr>
            <w:r w:rsidRPr="00FA0D37">
              <w:rPr>
                <w:b/>
                <w:i/>
                <w:lang w:eastAsia="sv-SE"/>
              </w:rPr>
              <w:t>firstPDCCH-MonitoringOccasionOfPO</w:t>
            </w:r>
          </w:p>
          <w:p w14:paraId="5547B639" w14:textId="77777777" w:rsidR="00394471" w:rsidRPr="00FA0D37" w:rsidRDefault="00394471" w:rsidP="00964CC4">
            <w:pPr>
              <w:pStyle w:val="TAL"/>
              <w:rPr>
                <w:b/>
                <w:i/>
                <w:lang w:eastAsia="sv-SE"/>
              </w:rPr>
            </w:pPr>
            <w:r w:rsidRPr="00FA0D37">
              <w:rPr>
                <w:lang w:eastAsia="sv-SE"/>
              </w:rPr>
              <w:t>Points out the first PDCCH monitoring occasion for paging of each PO of the PF, see TS 38.304 [20].</w:t>
            </w:r>
          </w:p>
        </w:tc>
      </w:tr>
      <w:tr w:rsidR="005C7FF4" w:rsidRPr="00FA0D37"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FA0D37" w:rsidRDefault="00394471" w:rsidP="00964CC4">
            <w:pPr>
              <w:pStyle w:val="TAL"/>
              <w:rPr>
                <w:b/>
                <w:i/>
                <w:lang w:eastAsia="sv-SE"/>
              </w:rPr>
            </w:pPr>
            <w:r w:rsidRPr="00FA0D37">
              <w:rPr>
                <w:b/>
                <w:i/>
                <w:lang w:eastAsia="sv-SE"/>
              </w:rPr>
              <w:t>nAndPagingFrameOffset</w:t>
            </w:r>
          </w:p>
          <w:p w14:paraId="44650BBB" w14:textId="77777777" w:rsidR="00394471" w:rsidRPr="00FA0D37" w:rsidRDefault="00394471" w:rsidP="00964CC4">
            <w:pPr>
              <w:pStyle w:val="TAL"/>
              <w:rPr>
                <w:bCs/>
                <w:lang w:eastAsia="sv-SE"/>
              </w:rPr>
            </w:pPr>
            <w:r w:rsidRPr="00FA0D37">
              <w:rPr>
                <w:bCs/>
                <w:lang w:eastAsia="sv-SE"/>
              </w:rPr>
              <w:t xml:space="preserve">Used to derive the number of total paging </w:t>
            </w:r>
            <w:r w:rsidRPr="00FA0D37">
              <w:rPr>
                <w:bCs/>
                <w:lang w:eastAsia="ko-KR"/>
              </w:rPr>
              <w:t>frames</w:t>
            </w:r>
            <w:r w:rsidRPr="00FA0D37">
              <w:rPr>
                <w:bCs/>
                <w:lang w:eastAsia="sv-SE"/>
              </w:rPr>
              <w:t xml:space="preserve"> in T (corresponding to parameter N in TS 38.304 [20]) and paging frame offset (corresponding to parameter PF_offset in TS 38.304 [20]). A value of </w:t>
            </w:r>
            <w:r w:rsidRPr="00FA0D37">
              <w:rPr>
                <w:i/>
                <w:lang w:eastAsia="sv-SE"/>
              </w:rPr>
              <w:t>oneSixteenthT</w:t>
            </w:r>
            <w:r w:rsidRPr="00FA0D37">
              <w:rPr>
                <w:bCs/>
                <w:lang w:eastAsia="sv-SE"/>
              </w:rPr>
              <w:t xml:space="preserve"> corresponds to T / 16, a value of oneEighthT corresponds to T / 8, and so on.</w:t>
            </w:r>
          </w:p>
          <w:p w14:paraId="737FD40E" w14:textId="77777777" w:rsidR="00394471" w:rsidRPr="00FA0D37" w:rsidRDefault="00394471" w:rsidP="00964CC4">
            <w:pPr>
              <w:pStyle w:val="TAL"/>
              <w:rPr>
                <w:bCs/>
                <w:lang w:eastAsia="sv-SE"/>
              </w:rPr>
            </w:pPr>
            <w:r w:rsidRPr="00FA0D37">
              <w:rPr>
                <w:bCs/>
                <w:lang w:eastAsia="sv-SE"/>
              </w:rPr>
              <w:t xml:space="preserve">If </w:t>
            </w:r>
            <w:r w:rsidRPr="00FA0D37">
              <w:rPr>
                <w:bCs/>
                <w:i/>
                <w:lang w:eastAsia="sv-SE"/>
              </w:rPr>
              <w:t>pagingSearchSpace</w:t>
            </w:r>
            <w:r w:rsidRPr="00FA0D37">
              <w:rPr>
                <w:bCs/>
                <w:lang w:eastAsia="sv-SE"/>
              </w:rPr>
              <w:t xml:space="preserve"> is set to zero and if SS/PBCH block and CORESET multiplexing pattern is 2 or 3 (as specified in TS 38.213 [13]):</w:t>
            </w:r>
          </w:p>
          <w:p w14:paraId="09F71619" w14:textId="77777777" w:rsidR="00394471" w:rsidRPr="00FA0D37" w:rsidRDefault="00394471" w:rsidP="00964CC4">
            <w:pPr>
              <w:pStyle w:val="TAL"/>
              <w:rPr>
                <w:bCs/>
                <w:lang w:eastAsia="sv-SE"/>
              </w:rPr>
            </w:pPr>
            <w:r w:rsidRPr="00FA0D37">
              <w:rPr>
                <w:bCs/>
                <w:lang w:eastAsia="sv-SE"/>
              </w:rPr>
              <w:t>-</w:t>
            </w:r>
            <w:r w:rsidRPr="00FA0D37">
              <w:rPr>
                <w:bCs/>
                <w:lang w:eastAsia="sv-SE"/>
              </w:rPr>
              <w:tab/>
              <w:t xml:space="preserve">for </w:t>
            </w:r>
            <w:r w:rsidRPr="00FA0D37">
              <w:rPr>
                <w:bCs/>
                <w:i/>
                <w:lang w:eastAsia="sv-SE"/>
              </w:rPr>
              <w:t>ssb-periodicityServingCell</w:t>
            </w:r>
            <w:r w:rsidRPr="00FA0D37">
              <w:rPr>
                <w:bCs/>
                <w:lang w:eastAsia="sv-SE"/>
              </w:rPr>
              <w:t xml:space="preserve"> of 5 or 10 ms, N can be set to one of {</w:t>
            </w:r>
            <w:r w:rsidRPr="00FA0D37">
              <w:rPr>
                <w:i/>
                <w:lang w:eastAsia="sv-SE"/>
              </w:rPr>
              <w:t>oneT, halfT, quarterT, oneEighthT, oneSixteenthT</w:t>
            </w:r>
            <w:r w:rsidRPr="00FA0D37">
              <w:rPr>
                <w:bCs/>
                <w:lang w:eastAsia="sv-SE"/>
              </w:rPr>
              <w:t>}</w:t>
            </w:r>
          </w:p>
          <w:p w14:paraId="67177E0B" w14:textId="77777777" w:rsidR="00394471" w:rsidRPr="00FA0D37" w:rsidRDefault="00394471" w:rsidP="00964CC4">
            <w:pPr>
              <w:pStyle w:val="TAL"/>
              <w:rPr>
                <w:bCs/>
                <w:lang w:eastAsia="sv-SE"/>
              </w:rPr>
            </w:pPr>
            <w:r w:rsidRPr="00FA0D37">
              <w:rPr>
                <w:bCs/>
                <w:lang w:eastAsia="sv-SE"/>
              </w:rPr>
              <w:t>-</w:t>
            </w:r>
            <w:r w:rsidRPr="00FA0D37">
              <w:rPr>
                <w:bCs/>
                <w:lang w:eastAsia="sv-SE"/>
              </w:rPr>
              <w:tab/>
              <w:t xml:space="preserve">for </w:t>
            </w:r>
            <w:r w:rsidRPr="00FA0D37">
              <w:rPr>
                <w:bCs/>
                <w:i/>
                <w:lang w:eastAsia="sv-SE"/>
              </w:rPr>
              <w:t>ssb-periodicityServingCell</w:t>
            </w:r>
            <w:r w:rsidRPr="00FA0D37">
              <w:rPr>
                <w:bCs/>
                <w:lang w:eastAsia="sv-SE"/>
              </w:rPr>
              <w:t xml:space="preserve"> of 20 ms, N can be set to one of {</w:t>
            </w:r>
            <w:r w:rsidRPr="00FA0D37">
              <w:rPr>
                <w:i/>
                <w:lang w:eastAsia="sv-SE"/>
              </w:rPr>
              <w:t>halfT, quarterT, oneEighthT, oneSixteenthT</w:t>
            </w:r>
            <w:r w:rsidRPr="00FA0D37">
              <w:rPr>
                <w:bCs/>
                <w:lang w:eastAsia="sv-SE"/>
              </w:rPr>
              <w:t>}</w:t>
            </w:r>
          </w:p>
          <w:p w14:paraId="0B4B5859" w14:textId="77777777" w:rsidR="00394471" w:rsidRPr="00FA0D37" w:rsidRDefault="00394471" w:rsidP="00964CC4">
            <w:pPr>
              <w:pStyle w:val="TAL"/>
              <w:rPr>
                <w:bCs/>
                <w:lang w:eastAsia="sv-SE"/>
              </w:rPr>
            </w:pPr>
            <w:r w:rsidRPr="00FA0D37">
              <w:rPr>
                <w:bCs/>
                <w:lang w:eastAsia="sv-SE"/>
              </w:rPr>
              <w:t>-</w:t>
            </w:r>
            <w:r w:rsidRPr="00FA0D37">
              <w:rPr>
                <w:bCs/>
                <w:lang w:eastAsia="sv-SE"/>
              </w:rPr>
              <w:tab/>
              <w:t xml:space="preserve">for </w:t>
            </w:r>
            <w:r w:rsidRPr="00FA0D37">
              <w:rPr>
                <w:bCs/>
                <w:i/>
                <w:lang w:eastAsia="sv-SE"/>
              </w:rPr>
              <w:t>ssb-periodicityServingCell</w:t>
            </w:r>
            <w:r w:rsidRPr="00FA0D37">
              <w:rPr>
                <w:bCs/>
                <w:lang w:eastAsia="sv-SE"/>
              </w:rPr>
              <w:t xml:space="preserve"> of 40 ms, N can be set to one of {</w:t>
            </w:r>
            <w:r w:rsidRPr="00FA0D37">
              <w:rPr>
                <w:i/>
                <w:lang w:eastAsia="sv-SE"/>
              </w:rPr>
              <w:t>quarterT, oneEighthT, oneSixteenthT</w:t>
            </w:r>
            <w:r w:rsidRPr="00FA0D37">
              <w:rPr>
                <w:bCs/>
                <w:lang w:eastAsia="sv-SE"/>
              </w:rPr>
              <w:t>}</w:t>
            </w:r>
          </w:p>
          <w:p w14:paraId="6488F478" w14:textId="77777777" w:rsidR="00394471" w:rsidRPr="00FA0D37" w:rsidRDefault="00394471" w:rsidP="00964CC4">
            <w:pPr>
              <w:pStyle w:val="TAL"/>
              <w:rPr>
                <w:bCs/>
                <w:lang w:eastAsia="sv-SE"/>
              </w:rPr>
            </w:pPr>
            <w:r w:rsidRPr="00FA0D37">
              <w:rPr>
                <w:bCs/>
                <w:lang w:eastAsia="sv-SE"/>
              </w:rPr>
              <w:t>-</w:t>
            </w:r>
            <w:r w:rsidRPr="00FA0D37">
              <w:rPr>
                <w:bCs/>
                <w:lang w:eastAsia="sv-SE"/>
              </w:rPr>
              <w:tab/>
              <w:t xml:space="preserve">for </w:t>
            </w:r>
            <w:r w:rsidRPr="00FA0D37">
              <w:rPr>
                <w:bCs/>
                <w:i/>
                <w:lang w:eastAsia="sv-SE"/>
              </w:rPr>
              <w:t>ssb-periodicityServingCell</w:t>
            </w:r>
            <w:r w:rsidRPr="00FA0D37">
              <w:rPr>
                <w:bCs/>
                <w:lang w:eastAsia="sv-SE"/>
              </w:rPr>
              <w:t xml:space="preserve"> of 80 ms, N can be set to one of {</w:t>
            </w:r>
            <w:r w:rsidRPr="00FA0D37">
              <w:rPr>
                <w:i/>
                <w:lang w:eastAsia="sv-SE"/>
              </w:rPr>
              <w:t>oneEighthT, oneSixteenthT</w:t>
            </w:r>
            <w:r w:rsidRPr="00FA0D37">
              <w:rPr>
                <w:bCs/>
                <w:lang w:eastAsia="sv-SE"/>
              </w:rPr>
              <w:t>}</w:t>
            </w:r>
          </w:p>
          <w:p w14:paraId="75178AE3" w14:textId="77777777" w:rsidR="00394471" w:rsidRPr="00FA0D37" w:rsidRDefault="00394471" w:rsidP="00964CC4">
            <w:pPr>
              <w:pStyle w:val="TAL"/>
              <w:rPr>
                <w:bCs/>
                <w:lang w:eastAsia="sv-SE"/>
              </w:rPr>
            </w:pPr>
            <w:r w:rsidRPr="00FA0D37">
              <w:rPr>
                <w:bCs/>
                <w:lang w:eastAsia="sv-SE"/>
              </w:rPr>
              <w:t>-</w:t>
            </w:r>
            <w:r w:rsidRPr="00FA0D37">
              <w:rPr>
                <w:bCs/>
                <w:lang w:eastAsia="sv-SE"/>
              </w:rPr>
              <w:tab/>
              <w:t xml:space="preserve">for </w:t>
            </w:r>
            <w:r w:rsidRPr="00FA0D37">
              <w:rPr>
                <w:bCs/>
                <w:i/>
                <w:lang w:eastAsia="sv-SE"/>
              </w:rPr>
              <w:t>ssb-periodicityServingCell</w:t>
            </w:r>
            <w:r w:rsidRPr="00FA0D37">
              <w:rPr>
                <w:bCs/>
                <w:lang w:eastAsia="sv-SE"/>
              </w:rPr>
              <w:t xml:space="preserve"> of 160 ms, N can be set to </w:t>
            </w:r>
            <w:r w:rsidRPr="00FA0D37">
              <w:rPr>
                <w:i/>
                <w:lang w:eastAsia="sv-SE"/>
              </w:rPr>
              <w:t>oneSixteenthT</w:t>
            </w:r>
          </w:p>
          <w:p w14:paraId="23382ADD" w14:textId="77777777" w:rsidR="00394471" w:rsidRPr="00FA0D37" w:rsidRDefault="00394471" w:rsidP="00964CC4">
            <w:pPr>
              <w:pStyle w:val="TAL"/>
              <w:rPr>
                <w:bCs/>
                <w:lang w:eastAsia="sv-SE"/>
              </w:rPr>
            </w:pPr>
            <w:r w:rsidRPr="00FA0D37">
              <w:rPr>
                <w:bCs/>
                <w:lang w:eastAsia="sv-SE"/>
              </w:rPr>
              <w:t xml:space="preserve">If </w:t>
            </w:r>
            <w:r w:rsidRPr="00FA0D37">
              <w:rPr>
                <w:bCs/>
                <w:i/>
                <w:lang w:eastAsia="sv-SE"/>
              </w:rPr>
              <w:t>pagingSearchSpace</w:t>
            </w:r>
            <w:r w:rsidRPr="00FA0D37">
              <w:rPr>
                <w:bCs/>
                <w:lang w:eastAsia="sv-SE"/>
              </w:rPr>
              <w:t xml:space="preserve"> is set to zero and if SS/PBCH block and CORESET multiplexing pattern is 1 (as specified in TS 38.213 [13]), N can be set to one of {</w:t>
            </w:r>
            <w:r w:rsidRPr="00FA0D37">
              <w:rPr>
                <w:i/>
                <w:lang w:eastAsia="sv-SE"/>
              </w:rPr>
              <w:t>halfT, quarterT, oneEighthT, oneSixteenthT</w:t>
            </w:r>
            <w:r w:rsidRPr="00FA0D37">
              <w:rPr>
                <w:bCs/>
                <w:lang w:eastAsia="sv-SE"/>
              </w:rPr>
              <w:t>}</w:t>
            </w:r>
          </w:p>
          <w:p w14:paraId="3CD138A0" w14:textId="77777777" w:rsidR="00394471" w:rsidRPr="00FA0D37" w:rsidRDefault="00394471" w:rsidP="00964CC4">
            <w:pPr>
              <w:pStyle w:val="TAL"/>
              <w:rPr>
                <w:lang w:eastAsia="sv-SE"/>
              </w:rPr>
            </w:pPr>
            <w:r w:rsidRPr="00FA0D37">
              <w:rPr>
                <w:bCs/>
                <w:lang w:eastAsia="sv-SE"/>
              </w:rPr>
              <w:t xml:space="preserve">If </w:t>
            </w:r>
            <w:r w:rsidRPr="00FA0D37">
              <w:rPr>
                <w:bCs/>
                <w:i/>
                <w:lang w:eastAsia="sv-SE"/>
              </w:rPr>
              <w:t>pagingSearchSpace</w:t>
            </w:r>
            <w:r w:rsidRPr="00FA0D37">
              <w:rPr>
                <w:bCs/>
                <w:lang w:eastAsia="sv-SE"/>
              </w:rPr>
              <w:t xml:space="preserve"> is not set to zero, N can be configured to one of {</w:t>
            </w:r>
            <w:r w:rsidRPr="00FA0D37">
              <w:rPr>
                <w:i/>
                <w:lang w:eastAsia="sv-SE"/>
              </w:rPr>
              <w:t>oneT, halfT, quarterT, oneEighthT, oneSixteenthT</w:t>
            </w:r>
            <w:r w:rsidRPr="00FA0D37">
              <w:rPr>
                <w:bCs/>
                <w:lang w:eastAsia="sv-SE"/>
              </w:rPr>
              <w:t>}</w:t>
            </w:r>
          </w:p>
        </w:tc>
      </w:tr>
      <w:tr w:rsidR="005C7FF4" w:rsidRPr="00FA0D37"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FA0D37" w:rsidRDefault="00394471" w:rsidP="00964CC4">
            <w:pPr>
              <w:pStyle w:val="TAL"/>
              <w:rPr>
                <w:b/>
                <w:i/>
                <w:lang w:eastAsia="sv-SE"/>
              </w:rPr>
            </w:pPr>
            <w:r w:rsidRPr="00FA0D37">
              <w:rPr>
                <w:b/>
                <w:i/>
                <w:lang w:eastAsia="sv-SE"/>
              </w:rPr>
              <w:t>ns</w:t>
            </w:r>
          </w:p>
          <w:p w14:paraId="22161A2C" w14:textId="77777777" w:rsidR="00394471" w:rsidRPr="00FA0D37" w:rsidRDefault="00394471" w:rsidP="00964CC4">
            <w:pPr>
              <w:pStyle w:val="TAL"/>
              <w:rPr>
                <w:lang w:eastAsia="sv-SE"/>
              </w:rPr>
            </w:pPr>
            <w:r w:rsidRPr="00FA0D37">
              <w:rPr>
                <w:lang w:eastAsia="sv-SE"/>
              </w:rPr>
              <w:t>Number of paging occasions per paging frame.</w:t>
            </w:r>
          </w:p>
        </w:tc>
      </w:tr>
      <w:tr w:rsidR="0091616E" w:rsidRPr="00FA0D37"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FA0D37" w:rsidRDefault="0091616E" w:rsidP="0091616E">
            <w:pPr>
              <w:pStyle w:val="TAL"/>
              <w:rPr>
                <w:b/>
                <w:i/>
                <w:lang w:eastAsia="sv-SE"/>
              </w:rPr>
            </w:pPr>
            <w:r w:rsidRPr="00FA0D37">
              <w:rPr>
                <w:b/>
                <w:i/>
                <w:lang w:eastAsia="sv-SE"/>
              </w:rPr>
              <w:t>ranPagingInIdlePO</w:t>
            </w:r>
          </w:p>
          <w:p w14:paraId="34F93D0E" w14:textId="5EF1EA31" w:rsidR="0091616E" w:rsidRPr="00FA0D37" w:rsidRDefault="0091616E" w:rsidP="0091616E">
            <w:pPr>
              <w:pStyle w:val="TAL"/>
              <w:rPr>
                <w:bCs/>
                <w:iCs/>
                <w:lang w:eastAsia="sv-SE"/>
              </w:rPr>
            </w:pPr>
            <w:r w:rsidRPr="00FA0D37">
              <w:rPr>
                <w:bCs/>
                <w:iCs/>
                <w:lang w:eastAsia="sv-SE"/>
              </w:rPr>
              <w:t>Indicates that the network supports to send RAN paging in PO that corresponds to the i_s as determined by UE in RRC_IDLE state, see TS38.304 [20].</w:t>
            </w:r>
          </w:p>
        </w:tc>
      </w:tr>
    </w:tbl>
    <w:p w14:paraId="23B61F31" w14:textId="77777777" w:rsidR="00940426" w:rsidRPr="00FA0D37"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FA0D37" w:rsidRDefault="00940426" w:rsidP="00771058">
            <w:pPr>
              <w:pStyle w:val="TAH"/>
              <w:rPr>
                <w:szCs w:val="22"/>
                <w:lang w:eastAsia="sv-SE"/>
              </w:rPr>
            </w:pPr>
            <w:r w:rsidRPr="00FA0D37">
              <w:rPr>
                <w:i/>
                <w:szCs w:val="22"/>
                <w:lang w:eastAsia="sv-SE"/>
              </w:rPr>
              <w:t xml:space="preserve">PEI-Config </w:t>
            </w:r>
            <w:r w:rsidRPr="00FA0D37">
              <w:rPr>
                <w:szCs w:val="22"/>
                <w:lang w:eastAsia="sv-SE"/>
              </w:rPr>
              <w:t>field descriptions</w:t>
            </w:r>
          </w:p>
        </w:tc>
      </w:tr>
      <w:tr w:rsidR="005C7FF4" w:rsidRPr="00FA0D37"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FA0D37" w:rsidRDefault="00940426" w:rsidP="000830BB">
            <w:pPr>
              <w:pStyle w:val="TAL"/>
              <w:rPr>
                <w:bCs/>
                <w:i/>
                <w:iCs/>
                <w:lang w:eastAsia="sv-SE"/>
              </w:rPr>
            </w:pPr>
            <w:r w:rsidRPr="00FA0D37">
              <w:rPr>
                <w:b/>
                <w:bCs/>
                <w:i/>
                <w:iCs/>
                <w:lang w:eastAsia="sv-SE"/>
              </w:rPr>
              <w:t>payloadSizeDCI-2-7</w:t>
            </w:r>
          </w:p>
          <w:p w14:paraId="3679ECEF" w14:textId="77777777" w:rsidR="00940426" w:rsidRPr="00FA0D37" w:rsidRDefault="00940426" w:rsidP="000830BB">
            <w:pPr>
              <w:pStyle w:val="TAL"/>
              <w:rPr>
                <w:bCs/>
                <w:iCs/>
                <w:szCs w:val="18"/>
                <w:lang w:eastAsia="sv-SE"/>
              </w:rPr>
            </w:pPr>
            <w:r w:rsidRPr="00FA0D37">
              <w:rPr>
                <w:bCs/>
                <w:iCs/>
                <w:szCs w:val="18"/>
                <w:lang w:eastAsia="sv-SE"/>
              </w:rPr>
              <w:t>Payload size of PEI DCI, i.e., DCI format 2_7. The size is no larger than the payload size of paging DCI which has maximum of 41 bits and 43 bits for licensed and unlicensed spectrums, respectively.</w:t>
            </w:r>
          </w:p>
        </w:tc>
      </w:tr>
      <w:tr w:rsidR="005C7FF4" w:rsidRPr="00FA0D37"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FA0D37" w:rsidRDefault="00940426" w:rsidP="000830BB">
            <w:pPr>
              <w:pStyle w:val="TAL"/>
              <w:rPr>
                <w:bCs/>
                <w:i/>
                <w:iCs/>
                <w:lang w:eastAsia="sv-SE"/>
              </w:rPr>
            </w:pPr>
            <w:r w:rsidRPr="00FA0D37">
              <w:rPr>
                <w:b/>
                <w:bCs/>
                <w:i/>
                <w:iCs/>
                <w:lang w:eastAsia="sv-SE"/>
              </w:rPr>
              <w:t>pei-FrameOffset</w:t>
            </w:r>
          </w:p>
          <w:p w14:paraId="6DD1283D" w14:textId="485CB1DD" w:rsidR="00940426" w:rsidRPr="00FA0D37" w:rsidRDefault="00940426" w:rsidP="000830BB">
            <w:pPr>
              <w:pStyle w:val="TAL"/>
              <w:rPr>
                <w:rFonts w:eastAsia="等线"/>
                <w:bCs/>
                <w:iCs/>
                <w:szCs w:val="18"/>
                <w:lang w:eastAsia="zh-CN"/>
              </w:rPr>
            </w:pPr>
            <w:r w:rsidRPr="00FA0D37">
              <w:rPr>
                <w:rFonts w:eastAsia="等线"/>
                <w:bCs/>
                <w:iCs/>
                <w:szCs w:val="18"/>
                <w:lang w:eastAsia="zh-CN"/>
              </w:rPr>
              <w:t>Offset, in</w:t>
            </w:r>
            <w:r w:rsidRPr="00FA0D37">
              <w:rPr>
                <w:bCs/>
                <w:iCs/>
                <w:szCs w:val="18"/>
                <w:lang w:eastAsia="sv-SE"/>
              </w:rPr>
              <w:t xml:space="preserve"> number of frames</w:t>
            </w:r>
            <w:r w:rsidRPr="00FA0D37">
              <w:rPr>
                <w:rFonts w:eastAsia="等线"/>
                <w:bCs/>
                <w:iCs/>
                <w:szCs w:val="18"/>
                <w:lang w:eastAsia="zh-CN"/>
              </w:rPr>
              <w:t xml:space="preserve"> from the start of a </w:t>
            </w:r>
            <w:r w:rsidR="00827A1B" w:rsidRPr="00FA0D37">
              <w:rPr>
                <w:bCs/>
                <w:iCs/>
                <w:szCs w:val="18"/>
                <w:lang w:eastAsia="sv-SE"/>
              </w:rPr>
              <w:t>reference frame for PEI-O</w:t>
            </w:r>
            <w:r w:rsidR="00827A1B" w:rsidRPr="00FA0D37">
              <w:rPr>
                <w:rFonts w:eastAsia="等线"/>
                <w:bCs/>
                <w:iCs/>
                <w:szCs w:val="18"/>
                <w:lang w:eastAsia="zh-CN"/>
              </w:rPr>
              <w:t xml:space="preserve"> </w:t>
            </w:r>
            <w:r w:rsidRPr="00FA0D37">
              <w:rPr>
                <w:bCs/>
                <w:iCs/>
                <w:szCs w:val="18"/>
                <w:lang w:eastAsia="sv-SE"/>
              </w:rPr>
              <w:t xml:space="preserve">to the start of a </w:t>
            </w:r>
            <w:r w:rsidR="00827A1B" w:rsidRPr="00FA0D37">
              <w:rPr>
                <w:rFonts w:eastAsia="等线"/>
                <w:bCs/>
                <w:iCs/>
                <w:szCs w:val="18"/>
                <w:lang w:eastAsia="zh-CN"/>
              </w:rPr>
              <w:t>first paging frame of the paging frames associated with the PEI-O</w:t>
            </w:r>
            <w:r w:rsidRPr="00FA0D37">
              <w:rPr>
                <w:bCs/>
                <w:iCs/>
                <w:szCs w:val="18"/>
                <w:lang w:eastAsia="sv-SE"/>
              </w:rPr>
              <w:t>, see TS 38.213 [13], clause 10.4A</w:t>
            </w:r>
            <w:r w:rsidRPr="00FA0D37">
              <w:rPr>
                <w:rFonts w:eastAsia="等线"/>
                <w:bCs/>
                <w:iCs/>
                <w:szCs w:val="18"/>
                <w:lang w:eastAsia="zh-CN"/>
              </w:rPr>
              <w:t>.</w:t>
            </w:r>
          </w:p>
        </w:tc>
      </w:tr>
      <w:tr w:rsidR="00940426" w:rsidRPr="00FA0D37"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FA0D37" w:rsidRDefault="00940426" w:rsidP="00940426">
            <w:pPr>
              <w:pStyle w:val="TAL"/>
              <w:rPr>
                <w:b/>
                <w:i/>
                <w:iCs/>
                <w:lang w:eastAsia="sv-SE"/>
              </w:rPr>
            </w:pPr>
            <w:r w:rsidRPr="00FA0D37">
              <w:rPr>
                <w:b/>
                <w:i/>
                <w:iCs/>
                <w:lang w:eastAsia="sv-SE"/>
              </w:rPr>
              <w:t>po-NumPerPEI</w:t>
            </w:r>
          </w:p>
          <w:p w14:paraId="451ECB60" w14:textId="7113C773" w:rsidR="00940426" w:rsidRPr="00FA0D37" w:rsidRDefault="00940426" w:rsidP="00940426">
            <w:pPr>
              <w:pStyle w:val="TAL"/>
              <w:rPr>
                <w:bCs/>
                <w:iCs/>
                <w:sz w:val="20"/>
                <w:lang w:eastAsia="zh-CN"/>
              </w:rPr>
            </w:pPr>
            <w:r w:rsidRPr="00FA0D37">
              <w:rPr>
                <w:bCs/>
                <w:iCs/>
                <w:szCs w:val="18"/>
                <w:lang w:eastAsia="sv-SE"/>
              </w:rPr>
              <w:t>The number of PO(s) associated with one PEI</w:t>
            </w:r>
            <w:r w:rsidRPr="00FA0D37">
              <w:rPr>
                <w:rFonts w:eastAsia="等线"/>
                <w:bCs/>
                <w:iCs/>
                <w:szCs w:val="18"/>
                <w:lang w:eastAsia="zh-CN"/>
              </w:rPr>
              <w:t xml:space="preserve"> monitoring occa</w:t>
            </w:r>
            <w:r w:rsidR="00827A1B" w:rsidRPr="00FA0D37">
              <w:rPr>
                <w:rFonts w:eastAsia="等线"/>
                <w:bCs/>
                <w:iCs/>
                <w:szCs w:val="18"/>
                <w:lang w:eastAsia="zh-CN"/>
              </w:rPr>
              <w:t>s</w:t>
            </w:r>
            <w:r w:rsidRPr="00FA0D37">
              <w:rPr>
                <w:rFonts w:eastAsia="等线"/>
                <w:bCs/>
                <w:iCs/>
                <w:szCs w:val="18"/>
                <w:lang w:eastAsia="zh-CN"/>
              </w:rPr>
              <w:t>ion</w:t>
            </w:r>
            <w:r w:rsidRPr="00FA0D37">
              <w:rPr>
                <w:bCs/>
                <w:iCs/>
                <w:szCs w:val="18"/>
                <w:lang w:eastAsia="sv-SE"/>
              </w:rPr>
              <w:t xml:space="preserve">. It is a factor of </w:t>
            </w:r>
            <w:r w:rsidR="00827A1B" w:rsidRPr="00FA0D37">
              <w:rPr>
                <w:bCs/>
                <w:iCs/>
                <w:szCs w:val="18"/>
                <w:lang w:eastAsia="sv-SE"/>
              </w:rPr>
              <w:t xml:space="preserve">the </w:t>
            </w:r>
            <w:r w:rsidRPr="00FA0D37">
              <w:rPr>
                <w:bCs/>
                <w:iCs/>
                <w:szCs w:val="18"/>
                <w:lang w:eastAsia="sv-SE"/>
              </w:rPr>
              <w:t>total PO number in a paging cycle</w:t>
            </w:r>
            <w:r w:rsidR="00827A1B" w:rsidRPr="00FA0D37">
              <w:rPr>
                <w:szCs w:val="18"/>
              </w:rPr>
              <w:t>, i.e N x Ns, as specified in TS 38.304 [20]</w:t>
            </w:r>
            <w:r w:rsidRPr="00FA0D37">
              <w:rPr>
                <w:bCs/>
                <w:iCs/>
                <w:szCs w:val="18"/>
                <w:lang w:eastAsia="sv-SE"/>
              </w:rPr>
              <w:t xml:space="preserve">. The </w:t>
            </w:r>
            <w:r w:rsidR="00827A1B" w:rsidRPr="00FA0D37">
              <w:rPr>
                <w:bCs/>
                <w:iCs/>
                <w:szCs w:val="18"/>
                <w:lang w:eastAsia="sv-SE"/>
              </w:rPr>
              <w:t>m</w:t>
            </w:r>
            <w:r w:rsidRPr="00FA0D37">
              <w:rPr>
                <w:bCs/>
                <w:iCs/>
                <w:szCs w:val="18"/>
                <w:lang w:eastAsia="sv-SE"/>
              </w:rPr>
              <w:t xml:space="preserve">aximum number of PF associated with one </w:t>
            </w:r>
            <w:r w:rsidRPr="00FA0D37">
              <w:rPr>
                <w:rFonts w:eastAsia="等线"/>
                <w:bCs/>
                <w:iCs/>
                <w:szCs w:val="18"/>
                <w:lang w:eastAsia="zh-CN"/>
              </w:rPr>
              <w:t>PEI monitoring occa</w:t>
            </w:r>
            <w:r w:rsidR="00827A1B" w:rsidRPr="00FA0D37">
              <w:rPr>
                <w:rFonts w:eastAsia="等线"/>
                <w:bCs/>
                <w:iCs/>
                <w:szCs w:val="18"/>
                <w:lang w:eastAsia="zh-CN"/>
              </w:rPr>
              <w:t>s</w:t>
            </w:r>
            <w:r w:rsidRPr="00FA0D37">
              <w:rPr>
                <w:rFonts w:eastAsia="等线"/>
                <w:bCs/>
                <w:iCs/>
                <w:szCs w:val="18"/>
                <w:lang w:eastAsia="zh-CN"/>
              </w:rPr>
              <w:t>ion</w:t>
            </w:r>
            <w:r w:rsidRPr="00FA0D37">
              <w:rPr>
                <w:bCs/>
                <w:iCs/>
                <w:szCs w:val="18"/>
                <w:lang w:eastAsia="sv-SE"/>
              </w:rPr>
              <w:t xml:space="preserve"> is 2.</w:t>
            </w:r>
            <w:r w:rsidRPr="00FA0D37">
              <w:rPr>
                <w:bCs/>
                <w:iCs/>
                <w:szCs w:val="18"/>
                <w:lang w:eastAsia="zh-CN"/>
              </w:rPr>
              <w:t xml:space="preserve"> </w:t>
            </w:r>
            <w:r w:rsidRPr="00FA0D37">
              <w:t xml:space="preserve">The number of PO mapping to one PEI should be multiple of Ns when </w:t>
            </w:r>
            <w:r w:rsidRPr="00FA0D37">
              <w:rPr>
                <w:i/>
                <w:iCs/>
              </w:rPr>
              <w:t>po-NumPerPEI</w:t>
            </w:r>
            <w:r w:rsidRPr="00FA0D37">
              <w:t xml:space="preserve"> is larger than Ns</w:t>
            </w:r>
            <w:r w:rsidRPr="00FA0D37">
              <w:rPr>
                <w:lang w:eastAsia="zh-CN"/>
              </w:rPr>
              <w:t>.</w:t>
            </w:r>
          </w:p>
        </w:tc>
      </w:tr>
    </w:tbl>
    <w:p w14:paraId="76407ECB" w14:textId="77777777" w:rsidR="00940426" w:rsidRPr="00FA0D37" w:rsidRDefault="00940426" w:rsidP="00940426">
      <w:pPr>
        <w:rPr>
          <w:rFonts w:eastAsia="等线"/>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FA0D37" w:rsidRDefault="00940426" w:rsidP="00771058">
            <w:pPr>
              <w:pStyle w:val="TAH"/>
              <w:rPr>
                <w:szCs w:val="22"/>
                <w:lang w:eastAsia="sv-SE"/>
              </w:rPr>
            </w:pPr>
            <w:r w:rsidRPr="00FA0D37">
              <w:rPr>
                <w:i/>
                <w:szCs w:val="22"/>
                <w:lang w:eastAsia="sv-SE"/>
              </w:rPr>
              <w:lastRenderedPageBreak/>
              <w:t xml:space="preserve">SubgroupConfig </w:t>
            </w:r>
            <w:r w:rsidRPr="00FA0D37">
              <w:rPr>
                <w:szCs w:val="22"/>
                <w:lang w:eastAsia="sv-SE"/>
              </w:rPr>
              <w:t>field descriptions</w:t>
            </w:r>
          </w:p>
        </w:tc>
      </w:tr>
      <w:tr w:rsidR="005C7FF4" w:rsidRPr="00FA0D37"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FA0D37" w:rsidRDefault="00940426" w:rsidP="00771058">
            <w:pPr>
              <w:pStyle w:val="TAL"/>
              <w:rPr>
                <w:szCs w:val="22"/>
                <w:lang w:eastAsia="sv-SE"/>
              </w:rPr>
            </w:pPr>
            <w:r w:rsidRPr="00FA0D37">
              <w:rPr>
                <w:b/>
                <w:i/>
                <w:szCs w:val="22"/>
                <w:lang w:eastAsia="sv-SE"/>
              </w:rPr>
              <w:t>subgroupsNumPerPO</w:t>
            </w:r>
          </w:p>
          <w:p w14:paraId="51D46409" w14:textId="4C91D212" w:rsidR="00940426" w:rsidRPr="00FA0D37" w:rsidRDefault="00940426" w:rsidP="00771058">
            <w:pPr>
              <w:pStyle w:val="TAL"/>
              <w:rPr>
                <w:szCs w:val="22"/>
                <w:lang w:eastAsia="sv-SE"/>
              </w:rPr>
            </w:pPr>
            <w:r w:rsidRPr="00FA0D37">
              <w:rPr>
                <w:szCs w:val="22"/>
                <w:lang w:eastAsia="sv-SE"/>
              </w:rPr>
              <w:t>Total number of subgroups per Paging Occasion (PO) for UE to read subgroups indication from physical-layer signaling</w:t>
            </w:r>
            <w:r w:rsidR="00827A1B" w:rsidRPr="00FA0D37">
              <w:rPr>
                <w:szCs w:val="22"/>
                <w:lang w:eastAsia="sv-SE"/>
              </w:rPr>
              <w:t>.</w:t>
            </w:r>
            <w:r w:rsidRPr="00FA0D37">
              <w:rPr>
                <w:rFonts w:eastAsia="等线"/>
                <w:szCs w:val="22"/>
                <w:lang w:eastAsia="zh-CN"/>
              </w:rPr>
              <w:t xml:space="preserve"> The field</w:t>
            </w:r>
            <w:r w:rsidRPr="00FA0D37">
              <w:rPr>
                <w:szCs w:val="22"/>
                <w:lang w:eastAsia="sv-SE"/>
              </w:rPr>
              <w:t xml:space="preserve"> represents the sum of CN-assigned and </w:t>
            </w:r>
            <w:r w:rsidRPr="00FA0D37">
              <w:t xml:space="preserve">UEID-based subgroups </w:t>
            </w:r>
            <w:r w:rsidRPr="00FA0D37">
              <w:rPr>
                <w:rFonts w:eastAsia="等线"/>
                <w:lang w:eastAsia="zh-CN"/>
              </w:rPr>
              <w:t>supported</w:t>
            </w:r>
            <w:r w:rsidRPr="00FA0D37">
              <w:t xml:space="preserve"> by the network</w:t>
            </w:r>
            <w:r w:rsidRPr="00FA0D37">
              <w:rPr>
                <w:szCs w:val="22"/>
                <w:lang w:eastAsia="sv-SE"/>
              </w:rPr>
              <w:t>.</w:t>
            </w:r>
            <w:r w:rsidR="00827A1B" w:rsidRPr="00FA0D37">
              <w:rPr>
                <w:szCs w:val="22"/>
                <w:lang w:eastAsia="sv-SE"/>
              </w:rPr>
              <w:t xml:space="preserve"> When </w:t>
            </w:r>
            <w:r w:rsidR="00827A1B" w:rsidRPr="00FA0D37">
              <w:rPr>
                <w:i/>
              </w:rPr>
              <w:t>PEI-Config</w:t>
            </w:r>
            <w:r w:rsidR="00827A1B" w:rsidRPr="00FA0D37">
              <w:rPr>
                <w:szCs w:val="22"/>
                <w:lang w:eastAsia="sv-SE"/>
              </w:rPr>
              <w:t xml:space="preserve"> is configured, there is always at least one subgroup (UEID-based subgroup or CN-assigned subgroup) configured.</w:t>
            </w:r>
          </w:p>
        </w:tc>
      </w:tr>
      <w:tr w:rsidR="000830BB" w:rsidRPr="00FA0D37"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FA0D37" w:rsidRDefault="00940426" w:rsidP="00771058">
            <w:pPr>
              <w:pStyle w:val="TAL"/>
              <w:rPr>
                <w:szCs w:val="22"/>
                <w:lang w:eastAsia="sv-SE"/>
              </w:rPr>
            </w:pPr>
            <w:r w:rsidRPr="00FA0D37">
              <w:rPr>
                <w:b/>
                <w:i/>
                <w:szCs w:val="22"/>
                <w:lang w:eastAsia="sv-SE"/>
              </w:rPr>
              <w:t>subgroupsNumForUEID</w:t>
            </w:r>
          </w:p>
          <w:p w14:paraId="4BDE1E13" w14:textId="3E1F0346" w:rsidR="00940426" w:rsidRPr="00FA0D37" w:rsidRDefault="00940426" w:rsidP="00771058">
            <w:pPr>
              <w:pStyle w:val="TAL"/>
              <w:rPr>
                <w:b/>
                <w:i/>
                <w:szCs w:val="22"/>
                <w:lang w:eastAsia="sv-SE"/>
              </w:rPr>
            </w:pPr>
            <w:r w:rsidRPr="00FA0D37">
              <w:rPr>
                <w:szCs w:val="22"/>
                <w:lang w:eastAsia="sv-SE"/>
              </w:rPr>
              <w:t xml:space="preserve">Number of subgroups per Paging Occasion (PO) for UE to read subgroups indication from physical-layer signaling, </w:t>
            </w:r>
            <w:r w:rsidRPr="00FA0D37">
              <w:t>for UEID-based subgrouping method. When present, the field</w:t>
            </w:r>
            <w:r w:rsidRPr="00FA0D37">
              <w:rPr>
                <w:i/>
              </w:rPr>
              <w:t xml:space="preserve"> </w:t>
            </w:r>
            <w:r w:rsidRPr="00FA0D37">
              <w:t xml:space="preserve">is set to an integer smaller than or equal to </w:t>
            </w:r>
            <w:r w:rsidRPr="00FA0D37">
              <w:rPr>
                <w:i/>
              </w:rPr>
              <w:t>subgroupsNumPerPO. subgroupsNumPerPO</w:t>
            </w:r>
            <w:r w:rsidRPr="00FA0D37">
              <w:t xml:space="preserve"> equals to </w:t>
            </w:r>
            <w:r w:rsidRPr="00FA0D37">
              <w:rPr>
                <w:i/>
              </w:rPr>
              <w:t>subgroupsNumForUEID</w:t>
            </w:r>
            <w:r w:rsidRPr="00FA0D37">
              <w:t xml:space="preserve"> when the network does not </w:t>
            </w:r>
            <w:r w:rsidR="00882585" w:rsidRPr="00FA0D37">
              <w:rPr>
                <w:rFonts w:hint="eastAsia"/>
              </w:rPr>
              <w:t>configure</w:t>
            </w:r>
            <w:r w:rsidRPr="00FA0D37">
              <w:t xml:space="preserve"> CN-assigned subgrouping. </w:t>
            </w:r>
            <w:r w:rsidR="00882585" w:rsidRPr="00FA0D37">
              <w:t xml:space="preserve">When </w:t>
            </w:r>
            <w:r w:rsidR="00322C8D" w:rsidRPr="00FA0D37">
              <w:rPr>
                <w:i/>
                <w:iCs/>
              </w:rPr>
              <w:t>pei</w:t>
            </w:r>
            <w:r w:rsidR="00882585" w:rsidRPr="00FA0D37">
              <w:rPr>
                <w:i/>
              </w:rPr>
              <w:t>-Config</w:t>
            </w:r>
            <w:r w:rsidR="00882585" w:rsidRPr="00FA0D37">
              <w:t xml:space="preserve"> is configured, t</w:t>
            </w:r>
            <w:r w:rsidRPr="00FA0D37">
              <w:t xml:space="preserve">he field is absent when the network </w:t>
            </w:r>
            <w:r w:rsidR="00827A1B" w:rsidRPr="00FA0D37">
              <w:t xml:space="preserve">only </w:t>
            </w:r>
            <w:r w:rsidR="00882585" w:rsidRPr="00FA0D37">
              <w:rPr>
                <w:rFonts w:hint="eastAsia"/>
              </w:rPr>
              <w:t>configures</w:t>
            </w:r>
            <w:r w:rsidR="00827A1B" w:rsidRPr="00FA0D37">
              <w:t xml:space="preserve"> CN-assigned</w:t>
            </w:r>
            <w:r w:rsidRPr="00FA0D37">
              <w:t xml:space="preserve"> subgrouping. </w:t>
            </w:r>
            <w:r w:rsidRPr="00FA0D37">
              <w:rPr>
                <w:szCs w:val="22"/>
                <w:lang w:eastAsia="sv-SE"/>
              </w:rPr>
              <w:t xml:space="preserve">Both this field and </w:t>
            </w:r>
            <w:r w:rsidRPr="00FA0D37">
              <w:rPr>
                <w:i/>
                <w:szCs w:val="22"/>
                <w:lang w:eastAsia="sv-SE"/>
              </w:rPr>
              <w:t xml:space="preserve">subgroupsNumPerPO </w:t>
            </w:r>
            <w:r w:rsidRPr="00FA0D37">
              <w:rPr>
                <w:szCs w:val="22"/>
                <w:lang w:eastAsia="sv-SE"/>
              </w:rPr>
              <w:t xml:space="preserve">are equal to 1 when the network does not </w:t>
            </w:r>
            <w:r w:rsidR="00882585" w:rsidRPr="00FA0D37">
              <w:rPr>
                <w:szCs w:val="22"/>
                <w:lang w:eastAsia="sv-SE"/>
              </w:rPr>
              <w:t>configure</w:t>
            </w:r>
            <w:r w:rsidRPr="00FA0D37">
              <w:rPr>
                <w:szCs w:val="22"/>
                <w:lang w:eastAsia="sv-SE"/>
              </w:rPr>
              <w:t xml:space="preserve"> subgrouping.</w:t>
            </w:r>
            <w:r w:rsidR="00882585" w:rsidRPr="00FA0D37">
              <w:rPr>
                <w:szCs w:val="22"/>
                <w:lang w:eastAsia="sv-SE"/>
              </w:rPr>
              <w:t xml:space="preserve"> When </w:t>
            </w:r>
            <w:r w:rsidR="00322C8D" w:rsidRPr="00FA0D37">
              <w:rPr>
                <w:i/>
                <w:iCs/>
                <w:szCs w:val="22"/>
                <w:lang w:eastAsia="sv-SE"/>
              </w:rPr>
              <w:t>pei</w:t>
            </w:r>
            <w:r w:rsidR="00882585" w:rsidRPr="00FA0D37">
              <w:rPr>
                <w:i/>
              </w:rPr>
              <w:t>-Config</w:t>
            </w:r>
            <w:r w:rsidR="00882585" w:rsidRPr="00FA0D37">
              <w:rPr>
                <w:szCs w:val="22"/>
                <w:lang w:eastAsia="sv-SE"/>
              </w:rPr>
              <w:t xml:space="preserve"> is configured, if the field is absent, the UE uses subgrouping according to TS 38.304 [20], clause 7.3.0.</w:t>
            </w:r>
          </w:p>
        </w:tc>
      </w:tr>
    </w:tbl>
    <w:p w14:paraId="4B810A8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FA0D37" w:rsidRDefault="00394471" w:rsidP="00964CC4">
            <w:pPr>
              <w:pStyle w:val="TAH"/>
              <w:rPr>
                <w:szCs w:val="22"/>
                <w:lang w:eastAsia="en-US"/>
              </w:rPr>
            </w:pPr>
            <w:r w:rsidRPr="00FA0D3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FA0D37" w:rsidRDefault="00394471" w:rsidP="00964CC4">
            <w:pPr>
              <w:pStyle w:val="TAH"/>
              <w:rPr>
                <w:szCs w:val="22"/>
                <w:lang w:eastAsia="en-US"/>
              </w:rPr>
            </w:pPr>
            <w:r w:rsidRPr="00FA0D37">
              <w:rPr>
                <w:szCs w:val="22"/>
                <w:lang w:eastAsia="en-US"/>
              </w:rPr>
              <w:t>Explanation</w:t>
            </w:r>
          </w:p>
        </w:tc>
      </w:tr>
      <w:tr w:rsidR="00394471" w:rsidRPr="00FA0D37"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FA0D37" w:rsidRDefault="00394471" w:rsidP="00964CC4">
            <w:pPr>
              <w:pStyle w:val="TAL"/>
              <w:rPr>
                <w:i/>
                <w:iCs/>
                <w:lang w:eastAsia="x-none"/>
              </w:rPr>
            </w:pPr>
            <w:r w:rsidRPr="00FA0D3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FA0D37" w:rsidRDefault="00394471" w:rsidP="00964CC4">
            <w:pPr>
              <w:pStyle w:val="TAL"/>
              <w:rPr>
                <w:szCs w:val="22"/>
              </w:rPr>
            </w:pPr>
            <w:r w:rsidRPr="00FA0D37">
              <w:rPr>
                <w:szCs w:val="22"/>
              </w:rPr>
              <w:t>The field is optional present, Need R, if this cell operates with shared spectrum channel access. Otherwise, it is absent, Need R.</w:t>
            </w:r>
          </w:p>
        </w:tc>
      </w:tr>
    </w:tbl>
    <w:p w14:paraId="7C30EB1C" w14:textId="77777777" w:rsidR="00394471" w:rsidRPr="00FA0D37" w:rsidRDefault="00394471" w:rsidP="00394471"/>
    <w:p w14:paraId="7BB89963" w14:textId="77777777" w:rsidR="00394471" w:rsidRPr="00FA0D37" w:rsidRDefault="00394471" w:rsidP="00394471">
      <w:pPr>
        <w:pStyle w:val="4"/>
      </w:pPr>
      <w:bookmarkStart w:id="1020" w:name="_Toc60777232"/>
      <w:bookmarkStart w:id="1021" w:name="_Toc146781282"/>
      <w:r w:rsidRPr="00FA0D37">
        <w:t>–</w:t>
      </w:r>
      <w:r w:rsidRPr="00FA0D37">
        <w:tab/>
      </w:r>
      <w:r w:rsidRPr="00FA0D37">
        <w:rPr>
          <w:i/>
        </w:rPr>
        <w:t>DownlinkPreemption</w:t>
      </w:r>
      <w:bookmarkEnd w:id="1020"/>
      <w:bookmarkEnd w:id="1021"/>
    </w:p>
    <w:p w14:paraId="73E173DB" w14:textId="77777777" w:rsidR="00394471" w:rsidRPr="00FA0D37" w:rsidRDefault="00394471" w:rsidP="00394471">
      <w:r w:rsidRPr="00FA0D37">
        <w:t xml:space="preserve">The IE </w:t>
      </w:r>
      <w:r w:rsidRPr="00FA0D37">
        <w:rPr>
          <w:i/>
        </w:rPr>
        <w:t>DownlinkPreemption</w:t>
      </w:r>
      <w:r w:rsidRPr="00FA0D37">
        <w:t xml:space="preserve"> is used to configure the UE to monitor PDCCH for the INT-RNTI (interruption).</w:t>
      </w:r>
    </w:p>
    <w:p w14:paraId="2B26935E" w14:textId="77777777" w:rsidR="00394471" w:rsidRPr="00FA0D37" w:rsidRDefault="00394471" w:rsidP="00394471">
      <w:pPr>
        <w:pStyle w:val="TH"/>
      </w:pPr>
      <w:r w:rsidRPr="00FA0D37">
        <w:rPr>
          <w:i/>
        </w:rPr>
        <w:t>DownlinkPreemption</w:t>
      </w:r>
      <w:r w:rsidRPr="00FA0D37">
        <w:t xml:space="preserve"> information element</w:t>
      </w:r>
    </w:p>
    <w:p w14:paraId="01F04BE7" w14:textId="77777777" w:rsidR="00394471" w:rsidRPr="00FA0D37" w:rsidRDefault="00394471" w:rsidP="00FA0D37">
      <w:pPr>
        <w:pStyle w:val="PL"/>
        <w:rPr>
          <w:color w:val="808080"/>
        </w:rPr>
      </w:pPr>
      <w:r w:rsidRPr="00FA0D37">
        <w:rPr>
          <w:color w:val="808080"/>
        </w:rPr>
        <w:t>-- ASN1START</w:t>
      </w:r>
    </w:p>
    <w:p w14:paraId="7A9C8CB8" w14:textId="77777777" w:rsidR="00394471" w:rsidRPr="00FA0D37" w:rsidRDefault="00394471" w:rsidP="00FA0D37">
      <w:pPr>
        <w:pStyle w:val="PL"/>
        <w:rPr>
          <w:color w:val="808080"/>
        </w:rPr>
      </w:pPr>
      <w:r w:rsidRPr="00FA0D37">
        <w:rPr>
          <w:color w:val="808080"/>
        </w:rPr>
        <w:t>-- TAG-DOWNLINKPREEMPTION-START</w:t>
      </w:r>
    </w:p>
    <w:p w14:paraId="62CF6AB3" w14:textId="77777777" w:rsidR="00394471" w:rsidRPr="00FA0D37" w:rsidRDefault="00394471" w:rsidP="00FA0D37">
      <w:pPr>
        <w:pStyle w:val="PL"/>
      </w:pPr>
    </w:p>
    <w:p w14:paraId="4A3D4F89" w14:textId="77777777" w:rsidR="00394471" w:rsidRPr="00FA0D37" w:rsidRDefault="00394471" w:rsidP="00FA0D37">
      <w:pPr>
        <w:pStyle w:val="PL"/>
      </w:pPr>
      <w:r w:rsidRPr="00FA0D37">
        <w:t xml:space="preserve">DownlinkPreemption ::=              </w:t>
      </w:r>
      <w:r w:rsidRPr="00FA0D37">
        <w:rPr>
          <w:color w:val="993366"/>
        </w:rPr>
        <w:t>SEQUENCE</w:t>
      </w:r>
      <w:r w:rsidRPr="00FA0D37">
        <w:t xml:space="preserve"> {</w:t>
      </w:r>
    </w:p>
    <w:p w14:paraId="2D2113F0" w14:textId="77777777" w:rsidR="00394471" w:rsidRPr="00FA0D37" w:rsidRDefault="00394471" w:rsidP="00FA0D37">
      <w:pPr>
        <w:pStyle w:val="PL"/>
      </w:pPr>
      <w:r w:rsidRPr="00FA0D37">
        <w:t xml:space="preserve">    int-RNTI                            RNTI-Value,</w:t>
      </w:r>
    </w:p>
    <w:p w14:paraId="69069781" w14:textId="77777777" w:rsidR="00394471" w:rsidRPr="00FA0D37" w:rsidRDefault="00394471" w:rsidP="00FA0D37">
      <w:pPr>
        <w:pStyle w:val="PL"/>
      </w:pPr>
      <w:r w:rsidRPr="00FA0D37">
        <w:t xml:space="preserve">    timeFrequencySet                    </w:t>
      </w:r>
      <w:r w:rsidRPr="00FA0D37">
        <w:rPr>
          <w:color w:val="993366"/>
        </w:rPr>
        <w:t>ENUMERATED</w:t>
      </w:r>
      <w:r w:rsidRPr="00FA0D37">
        <w:t xml:space="preserve"> {set0, set1},</w:t>
      </w:r>
    </w:p>
    <w:p w14:paraId="3CEF2E58" w14:textId="77777777" w:rsidR="00394471" w:rsidRPr="00FA0D37" w:rsidRDefault="00394471" w:rsidP="00FA0D37">
      <w:pPr>
        <w:pStyle w:val="PL"/>
      </w:pPr>
      <w:r w:rsidRPr="00FA0D37">
        <w:t xml:space="preserve">    dci-PayloadSize                     </w:t>
      </w:r>
      <w:r w:rsidRPr="00FA0D37">
        <w:rPr>
          <w:color w:val="993366"/>
        </w:rPr>
        <w:t>INTEGER</w:t>
      </w:r>
      <w:r w:rsidRPr="00FA0D37">
        <w:t xml:space="preserve"> (0..maxINT-DCI-PayloadSize),</w:t>
      </w:r>
    </w:p>
    <w:p w14:paraId="3ED1B0D3" w14:textId="77777777" w:rsidR="00394471" w:rsidRPr="00FA0D37" w:rsidRDefault="00394471" w:rsidP="00FA0D37">
      <w:pPr>
        <w:pStyle w:val="PL"/>
      </w:pPr>
      <w:r w:rsidRPr="00FA0D37">
        <w:t xml:space="preserve">    int-ConfigurationPerServingCell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INT-ConfigurationPerServingCell,</w:t>
      </w:r>
    </w:p>
    <w:p w14:paraId="0D7953BD" w14:textId="77777777" w:rsidR="00394471" w:rsidRPr="00FA0D37" w:rsidRDefault="00394471" w:rsidP="00FA0D37">
      <w:pPr>
        <w:pStyle w:val="PL"/>
      </w:pPr>
      <w:r w:rsidRPr="00FA0D37">
        <w:t xml:space="preserve">    ...</w:t>
      </w:r>
    </w:p>
    <w:p w14:paraId="028E3F46" w14:textId="77777777" w:rsidR="00394471" w:rsidRPr="00FA0D37" w:rsidRDefault="00394471" w:rsidP="00FA0D37">
      <w:pPr>
        <w:pStyle w:val="PL"/>
      </w:pPr>
      <w:r w:rsidRPr="00FA0D37">
        <w:t>}</w:t>
      </w:r>
    </w:p>
    <w:p w14:paraId="261E0A17" w14:textId="77777777" w:rsidR="00394471" w:rsidRPr="00FA0D37" w:rsidRDefault="00394471" w:rsidP="00FA0D37">
      <w:pPr>
        <w:pStyle w:val="PL"/>
      </w:pPr>
    </w:p>
    <w:p w14:paraId="6975EDE5" w14:textId="77777777" w:rsidR="00394471" w:rsidRPr="00FA0D37" w:rsidRDefault="00394471" w:rsidP="00FA0D37">
      <w:pPr>
        <w:pStyle w:val="PL"/>
      </w:pPr>
      <w:r w:rsidRPr="00FA0D37">
        <w:t xml:space="preserve">INT-ConfigurationPerServingCell ::= </w:t>
      </w:r>
      <w:r w:rsidRPr="00FA0D37">
        <w:rPr>
          <w:color w:val="993366"/>
        </w:rPr>
        <w:t>SEQUENCE</w:t>
      </w:r>
      <w:r w:rsidRPr="00FA0D37">
        <w:t xml:space="preserve"> {</w:t>
      </w:r>
    </w:p>
    <w:p w14:paraId="6C345D5B" w14:textId="77777777" w:rsidR="00394471" w:rsidRPr="00FA0D37" w:rsidRDefault="00394471" w:rsidP="00FA0D37">
      <w:pPr>
        <w:pStyle w:val="PL"/>
      </w:pPr>
      <w:r w:rsidRPr="00FA0D37">
        <w:t xml:space="preserve">    servingCellId                       ServCellIndex,</w:t>
      </w:r>
    </w:p>
    <w:p w14:paraId="2FEE4CDE" w14:textId="77777777" w:rsidR="00394471" w:rsidRPr="00FA0D37" w:rsidRDefault="00394471" w:rsidP="00FA0D37">
      <w:pPr>
        <w:pStyle w:val="PL"/>
      </w:pPr>
      <w:r w:rsidRPr="00FA0D37">
        <w:t xml:space="preserve">    positionInDCI                       </w:t>
      </w:r>
      <w:r w:rsidRPr="00FA0D37">
        <w:rPr>
          <w:color w:val="993366"/>
        </w:rPr>
        <w:t>INTEGER</w:t>
      </w:r>
      <w:r w:rsidRPr="00FA0D37">
        <w:t xml:space="preserve"> (0..maxINT-DCI-PayloadSize-1)</w:t>
      </w:r>
    </w:p>
    <w:p w14:paraId="6407AE33" w14:textId="77777777" w:rsidR="00394471" w:rsidRPr="00FA0D37" w:rsidRDefault="00394471" w:rsidP="00FA0D37">
      <w:pPr>
        <w:pStyle w:val="PL"/>
      </w:pPr>
      <w:r w:rsidRPr="00FA0D37">
        <w:t>}</w:t>
      </w:r>
    </w:p>
    <w:p w14:paraId="15B2B44B" w14:textId="77777777" w:rsidR="00394471" w:rsidRPr="00FA0D37" w:rsidRDefault="00394471" w:rsidP="00FA0D37">
      <w:pPr>
        <w:pStyle w:val="PL"/>
      </w:pPr>
    </w:p>
    <w:p w14:paraId="03BB6BF4" w14:textId="77777777" w:rsidR="00394471" w:rsidRPr="00FA0D37" w:rsidRDefault="00394471" w:rsidP="00FA0D37">
      <w:pPr>
        <w:pStyle w:val="PL"/>
        <w:rPr>
          <w:color w:val="808080"/>
        </w:rPr>
      </w:pPr>
      <w:r w:rsidRPr="00FA0D37">
        <w:rPr>
          <w:color w:val="808080"/>
        </w:rPr>
        <w:t>-- TAG-DOWNLINKPREEMPTION-STOP</w:t>
      </w:r>
    </w:p>
    <w:p w14:paraId="482926CA" w14:textId="77777777" w:rsidR="00394471" w:rsidRPr="00FA0D37" w:rsidRDefault="00394471" w:rsidP="00FA0D37">
      <w:pPr>
        <w:pStyle w:val="PL"/>
        <w:rPr>
          <w:color w:val="808080"/>
        </w:rPr>
      </w:pPr>
      <w:r w:rsidRPr="00FA0D37">
        <w:rPr>
          <w:color w:val="808080"/>
        </w:rPr>
        <w:t>-- ASN1STOP</w:t>
      </w:r>
    </w:p>
    <w:p w14:paraId="6DC1E13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FA0D37" w:rsidRDefault="00394471" w:rsidP="00964CC4">
            <w:pPr>
              <w:pStyle w:val="TAH"/>
              <w:rPr>
                <w:szCs w:val="22"/>
                <w:lang w:eastAsia="sv-SE"/>
              </w:rPr>
            </w:pPr>
            <w:r w:rsidRPr="00FA0D37">
              <w:rPr>
                <w:i/>
                <w:szCs w:val="22"/>
                <w:lang w:eastAsia="sv-SE"/>
              </w:rPr>
              <w:lastRenderedPageBreak/>
              <w:t xml:space="preserve">DownlinkPreemption </w:t>
            </w:r>
            <w:r w:rsidRPr="00FA0D37">
              <w:rPr>
                <w:szCs w:val="22"/>
                <w:lang w:eastAsia="sv-SE"/>
              </w:rPr>
              <w:t>field descriptions</w:t>
            </w:r>
          </w:p>
        </w:tc>
      </w:tr>
      <w:tr w:rsidR="005C7FF4" w:rsidRPr="00FA0D37"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FA0D37" w:rsidRDefault="00394471" w:rsidP="00964CC4">
            <w:pPr>
              <w:pStyle w:val="TAL"/>
              <w:rPr>
                <w:szCs w:val="22"/>
                <w:lang w:eastAsia="sv-SE"/>
              </w:rPr>
            </w:pPr>
            <w:r w:rsidRPr="00FA0D37">
              <w:rPr>
                <w:b/>
                <w:i/>
                <w:szCs w:val="22"/>
                <w:lang w:eastAsia="sv-SE"/>
              </w:rPr>
              <w:t>dci-PayloadSize</w:t>
            </w:r>
          </w:p>
          <w:p w14:paraId="15BF21FA" w14:textId="77777777" w:rsidR="00394471" w:rsidRPr="00FA0D37" w:rsidRDefault="00394471" w:rsidP="00964CC4">
            <w:pPr>
              <w:pStyle w:val="TAL"/>
              <w:rPr>
                <w:szCs w:val="22"/>
                <w:lang w:eastAsia="sv-SE"/>
              </w:rPr>
            </w:pPr>
            <w:r w:rsidRPr="00FA0D37">
              <w:rPr>
                <w:szCs w:val="22"/>
                <w:lang w:eastAsia="sv-SE"/>
              </w:rPr>
              <w:t>Total length of the DCI payload scrambled with INT-RNTI (see TS 38.213 [13], clause 11.2).</w:t>
            </w:r>
          </w:p>
        </w:tc>
      </w:tr>
      <w:tr w:rsidR="005C7FF4" w:rsidRPr="00FA0D37"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FA0D37" w:rsidRDefault="00394471" w:rsidP="00964CC4">
            <w:pPr>
              <w:pStyle w:val="TAL"/>
              <w:rPr>
                <w:szCs w:val="22"/>
                <w:lang w:eastAsia="sv-SE"/>
              </w:rPr>
            </w:pPr>
            <w:r w:rsidRPr="00FA0D37">
              <w:rPr>
                <w:b/>
                <w:i/>
                <w:szCs w:val="22"/>
                <w:lang w:eastAsia="sv-SE"/>
              </w:rPr>
              <w:t>int-ConfigurationPerServingCell</w:t>
            </w:r>
          </w:p>
          <w:p w14:paraId="178DAC33" w14:textId="77777777" w:rsidR="00394471" w:rsidRPr="00FA0D37" w:rsidRDefault="00394471" w:rsidP="00964CC4">
            <w:pPr>
              <w:pStyle w:val="TAL"/>
              <w:rPr>
                <w:szCs w:val="22"/>
                <w:lang w:eastAsia="sv-SE"/>
              </w:rPr>
            </w:pPr>
            <w:r w:rsidRPr="00FA0D37">
              <w:rPr>
                <w:szCs w:val="22"/>
                <w:lang w:eastAsia="sv-SE"/>
              </w:rPr>
              <w:t>Indicates (per serving cell) the position of the 14 bit INT values inside the DCI payload (see TS 38.213 [13], clause 11.2).</w:t>
            </w:r>
          </w:p>
        </w:tc>
      </w:tr>
      <w:tr w:rsidR="005C7FF4" w:rsidRPr="00FA0D37"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FA0D37" w:rsidRDefault="00394471" w:rsidP="00964CC4">
            <w:pPr>
              <w:pStyle w:val="TAL"/>
              <w:rPr>
                <w:szCs w:val="22"/>
                <w:lang w:eastAsia="sv-SE"/>
              </w:rPr>
            </w:pPr>
            <w:r w:rsidRPr="00FA0D37">
              <w:rPr>
                <w:b/>
                <w:i/>
                <w:szCs w:val="22"/>
                <w:lang w:eastAsia="sv-SE"/>
              </w:rPr>
              <w:t>int-RNTI</w:t>
            </w:r>
          </w:p>
          <w:p w14:paraId="3ED4DCD4" w14:textId="77777777" w:rsidR="00394471" w:rsidRPr="00FA0D37" w:rsidRDefault="00394471" w:rsidP="00964CC4">
            <w:pPr>
              <w:pStyle w:val="TAL"/>
              <w:rPr>
                <w:szCs w:val="22"/>
                <w:lang w:eastAsia="sv-SE"/>
              </w:rPr>
            </w:pPr>
            <w:r w:rsidRPr="00FA0D37">
              <w:rPr>
                <w:szCs w:val="22"/>
                <w:lang w:eastAsia="sv-SE"/>
              </w:rPr>
              <w:t>RNTI used for indication pre-emption in DL (see TS 38.213 [13], clause 10).</w:t>
            </w:r>
          </w:p>
        </w:tc>
      </w:tr>
      <w:tr w:rsidR="00394471" w:rsidRPr="00FA0D37"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FA0D37" w:rsidRDefault="00394471" w:rsidP="00964CC4">
            <w:pPr>
              <w:pStyle w:val="TAL"/>
              <w:rPr>
                <w:szCs w:val="22"/>
                <w:lang w:eastAsia="sv-SE"/>
              </w:rPr>
            </w:pPr>
            <w:r w:rsidRPr="00FA0D37">
              <w:rPr>
                <w:b/>
                <w:i/>
                <w:szCs w:val="22"/>
                <w:lang w:eastAsia="sv-SE"/>
              </w:rPr>
              <w:t>timeFrequencySet</w:t>
            </w:r>
          </w:p>
          <w:p w14:paraId="104C6390" w14:textId="77777777" w:rsidR="00394471" w:rsidRPr="00FA0D37" w:rsidRDefault="00394471" w:rsidP="00964CC4">
            <w:pPr>
              <w:pStyle w:val="TAL"/>
              <w:rPr>
                <w:szCs w:val="22"/>
                <w:lang w:eastAsia="sv-SE"/>
              </w:rPr>
            </w:pPr>
            <w:r w:rsidRPr="00FA0D37">
              <w:rPr>
                <w:szCs w:val="22"/>
                <w:lang w:eastAsia="sv-SE"/>
              </w:rPr>
              <w:t>Set selection for DL-preemption indication (see TS 38.213 [13], clause 11.2) The set determines how the UE interprets the DL preemption DCI payload.</w:t>
            </w:r>
          </w:p>
        </w:tc>
      </w:tr>
    </w:tbl>
    <w:p w14:paraId="1BAC97E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FA0D37" w:rsidRDefault="00394471" w:rsidP="00964CC4">
            <w:pPr>
              <w:pStyle w:val="TAH"/>
              <w:rPr>
                <w:szCs w:val="22"/>
                <w:lang w:eastAsia="sv-SE"/>
              </w:rPr>
            </w:pPr>
            <w:r w:rsidRPr="00FA0D37">
              <w:rPr>
                <w:i/>
                <w:szCs w:val="22"/>
                <w:lang w:eastAsia="sv-SE"/>
              </w:rPr>
              <w:t xml:space="preserve">INT-ConfigurationPerServingCell </w:t>
            </w:r>
            <w:r w:rsidRPr="00FA0D37">
              <w:rPr>
                <w:szCs w:val="22"/>
                <w:lang w:eastAsia="sv-SE"/>
              </w:rPr>
              <w:t>field descriptions</w:t>
            </w:r>
          </w:p>
        </w:tc>
      </w:tr>
      <w:tr w:rsidR="00394471" w:rsidRPr="00FA0D37"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FA0D37" w:rsidRDefault="00394471" w:rsidP="00964CC4">
            <w:pPr>
              <w:pStyle w:val="TAL"/>
              <w:rPr>
                <w:szCs w:val="22"/>
                <w:lang w:eastAsia="sv-SE"/>
              </w:rPr>
            </w:pPr>
            <w:r w:rsidRPr="00FA0D37">
              <w:rPr>
                <w:b/>
                <w:i/>
                <w:szCs w:val="22"/>
                <w:lang w:eastAsia="sv-SE"/>
              </w:rPr>
              <w:t>positionInDCI</w:t>
            </w:r>
          </w:p>
          <w:p w14:paraId="24FCE246" w14:textId="77777777" w:rsidR="00394471" w:rsidRPr="00FA0D37" w:rsidRDefault="00394471" w:rsidP="00964CC4">
            <w:pPr>
              <w:pStyle w:val="TAL"/>
              <w:rPr>
                <w:szCs w:val="22"/>
                <w:lang w:eastAsia="sv-SE"/>
              </w:rPr>
            </w:pPr>
            <w:r w:rsidRPr="00FA0D37">
              <w:rPr>
                <w:szCs w:val="22"/>
                <w:lang w:eastAsia="sv-SE"/>
              </w:rPr>
              <w:t>Starting position (in number of bit) of the 14 bit INT value applicable for this serving cell (</w:t>
            </w:r>
            <w:r w:rsidRPr="00FA0D37">
              <w:rPr>
                <w:i/>
                <w:lang w:eastAsia="sv-SE"/>
              </w:rPr>
              <w:t>servingCellId</w:t>
            </w:r>
            <w:r w:rsidRPr="00FA0D37">
              <w:rPr>
                <w:szCs w:val="22"/>
                <w:lang w:eastAsia="sv-SE"/>
              </w:rPr>
              <w:t>) within the DCI payload (see TS 38.213 [13], clause 11.2). Must be multiples of 14 (bit).</w:t>
            </w:r>
          </w:p>
        </w:tc>
      </w:tr>
    </w:tbl>
    <w:p w14:paraId="3FECAEE7" w14:textId="77777777" w:rsidR="00394471" w:rsidRPr="00FA0D37" w:rsidRDefault="00394471" w:rsidP="00394471"/>
    <w:p w14:paraId="75FE9960" w14:textId="77777777" w:rsidR="00394471" w:rsidRPr="00FA0D37" w:rsidRDefault="00394471" w:rsidP="00394471">
      <w:pPr>
        <w:pStyle w:val="4"/>
      </w:pPr>
      <w:bookmarkStart w:id="1022" w:name="_Toc60777233"/>
      <w:bookmarkStart w:id="1023" w:name="_Toc146781283"/>
      <w:r w:rsidRPr="00FA0D37">
        <w:t>–</w:t>
      </w:r>
      <w:r w:rsidRPr="00FA0D37">
        <w:tab/>
      </w:r>
      <w:r w:rsidRPr="00FA0D37">
        <w:rPr>
          <w:i/>
          <w:noProof/>
        </w:rPr>
        <w:t>DRB-Identity</w:t>
      </w:r>
      <w:bookmarkEnd w:id="1022"/>
      <w:bookmarkEnd w:id="1023"/>
    </w:p>
    <w:p w14:paraId="434EE053" w14:textId="77777777" w:rsidR="00394471" w:rsidRPr="00FA0D37" w:rsidRDefault="00394471" w:rsidP="00394471">
      <w:r w:rsidRPr="00FA0D37">
        <w:t xml:space="preserve">The IE </w:t>
      </w:r>
      <w:r w:rsidRPr="00FA0D37">
        <w:rPr>
          <w:i/>
        </w:rPr>
        <w:t>DRB-Identity</w:t>
      </w:r>
      <w:r w:rsidRPr="00FA0D37">
        <w:t xml:space="preserve"> is used to identify a DRB used by a UE.</w:t>
      </w:r>
    </w:p>
    <w:p w14:paraId="4400B215" w14:textId="77777777" w:rsidR="00394471" w:rsidRPr="00FA0D37" w:rsidRDefault="00394471" w:rsidP="00394471">
      <w:pPr>
        <w:pStyle w:val="TH"/>
      </w:pPr>
      <w:r w:rsidRPr="00FA0D37">
        <w:rPr>
          <w:bCs/>
          <w:i/>
          <w:iCs/>
        </w:rPr>
        <w:t>DRB-Identity</w:t>
      </w:r>
      <w:r w:rsidRPr="00FA0D37">
        <w:t xml:space="preserve"> information element</w:t>
      </w:r>
    </w:p>
    <w:p w14:paraId="69BCB8FA" w14:textId="77777777" w:rsidR="00394471" w:rsidRPr="00FA0D37" w:rsidRDefault="00394471" w:rsidP="00FA0D37">
      <w:pPr>
        <w:pStyle w:val="PL"/>
        <w:rPr>
          <w:color w:val="808080"/>
        </w:rPr>
      </w:pPr>
      <w:r w:rsidRPr="00FA0D37">
        <w:rPr>
          <w:color w:val="808080"/>
        </w:rPr>
        <w:t>-- ASN1START</w:t>
      </w:r>
    </w:p>
    <w:p w14:paraId="08113780" w14:textId="77777777" w:rsidR="00394471" w:rsidRPr="00FA0D37" w:rsidRDefault="00394471" w:rsidP="00FA0D37">
      <w:pPr>
        <w:pStyle w:val="PL"/>
        <w:rPr>
          <w:color w:val="808080"/>
        </w:rPr>
      </w:pPr>
      <w:r w:rsidRPr="00FA0D37">
        <w:rPr>
          <w:color w:val="808080"/>
        </w:rPr>
        <w:t>-- TAG-DRB-IDENTITY-START</w:t>
      </w:r>
    </w:p>
    <w:p w14:paraId="178AD376" w14:textId="77777777" w:rsidR="00394471" w:rsidRPr="00FA0D37" w:rsidRDefault="00394471" w:rsidP="00FA0D37">
      <w:pPr>
        <w:pStyle w:val="PL"/>
      </w:pPr>
    </w:p>
    <w:p w14:paraId="43DF24EB" w14:textId="77777777" w:rsidR="00394471" w:rsidRPr="00FA0D37" w:rsidRDefault="00394471" w:rsidP="00FA0D37">
      <w:pPr>
        <w:pStyle w:val="PL"/>
      </w:pPr>
      <w:r w:rsidRPr="00FA0D37">
        <w:t xml:space="preserve">DRB-Identity ::=                    </w:t>
      </w:r>
      <w:r w:rsidRPr="00FA0D37">
        <w:rPr>
          <w:color w:val="993366"/>
        </w:rPr>
        <w:t>INTEGER</w:t>
      </w:r>
      <w:r w:rsidRPr="00FA0D37">
        <w:t xml:space="preserve"> (1..32)</w:t>
      </w:r>
    </w:p>
    <w:p w14:paraId="6298170C" w14:textId="77777777" w:rsidR="00394471" w:rsidRPr="00FA0D37" w:rsidRDefault="00394471" w:rsidP="00FA0D37">
      <w:pPr>
        <w:pStyle w:val="PL"/>
      </w:pPr>
    </w:p>
    <w:p w14:paraId="7FB912BA" w14:textId="77777777" w:rsidR="00394471" w:rsidRPr="00FA0D37" w:rsidRDefault="00394471" w:rsidP="00FA0D37">
      <w:pPr>
        <w:pStyle w:val="PL"/>
        <w:rPr>
          <w:color w:val="808080"/>
        </w:rPr>
      </w:pPr>
      <w:r w:rsidRPr="00FA0D37">
        <w:rPr>
          <w:color w:val="808080"/>
        </w:rPr>
        <w:t>-- TAG-DRB-IDENTITY-STOP</w:t>
      </w:r>
    </w:p>
    <w:p w14:paraId="7A1074EF" w14:textId="77777777" w:rsidR="00394471" w:rsidRPr="00FA0D37" w:rsidRDefault="00394471" w:rsidP="00FA0D37">
      <w:pPr>
        <w:pStyle w:val="PL"/>
        <w:rPr>
          <w:color w:val="808080"/>
        </w:rPr>
      </w:pPr>
      <w:r w:rsidRPr="00FA0D37">
        <w:rPr>
          <w:color w:val="808080"/>
        </w:rPr>
        <w:t>-- ASN1STOP</w:t>
      </w:r>
    </w:p>
    <w:p w14:paraId="6462EF55" w14:textId="77777777" w:rsidR="00394471" w:rsidRPr="00FA0D37" w:rsidRDefault="00394471" w:rsidP="00394471"/>
    <w:p w14:paraId="4284691E" w14:textId="77777777" w:rsidR="00394471" w:rsidRPr="00FA0D37" w:rsidRDefault="00394471" w:rsidP="00394471">
      <w:pPr>
        <w:pStyle w:val="4"/>
      </w:pPr>
      <w:bookmarkStart w:id="1024" w:name="_Toc60777234"/>
      <w:bookmarkStart w:id="1025" w:name="_Toc146781284"/>
      <w:r w:rsidRPr="00FA0D37">
        <w:t>–</w:t>
      </w:r>
      <w:r w:rsidRPr="00FA0D37">
        <w:tab/>
      </w:r>
      <w:r w:rsidRPr="00FA0D37">
        <w:rPr>
          <w:i/>
        </w:rPr>
        <w:t>DRX-Config</w:t>
      </w:r>
      <w:bookmarkEnd w:id="1024"/>
      <w:bookmarkEnd w:id="1025"/>
    </w:p>
    <w:p w14:paraId="6CC18A8C" w14:textId="77777777" w:rsidR="00394471" w:rsidRPr="00FA0D37" w:rsidRDefault="00394471" w:rsidP="00394471">
      <w:r w:rsidRPr="00FA0D37">
        <w:t xml:space="preserve">The IE </w:t>
      </w:r>
      <w:r w:rsidRPr="00FA0D37">
        <w:rPr>
          <w:i/>
        </w:rPr>
        <w:t>DRX-Config</w:t>
      </w:r>
      <w:r w:rsidRPr="00FA0D37">
        <w:t xml:space="preserve"> is used to configure DRX related parameters.</w:t>
      </w:r>
    </w:p>
    <w:p w14:paraId="57ED1737" w14:textId="77777777" w:rsidR="00394471" w:rsidRPr="00FA0D37" w:rsidRDefault="00394471" w:rsidP="00394471">
      <w:pPr>
        <w:pStyle w:val="TH"/>
      </w:pPr>
      <w:r w:rsidRPr="00FA0D37">
        <w:rPr>
          <w:i/>
        </w:rPr>
        <w:t>DRX-Config</w:t>
      </w:r>
      <w:r w:rsidRPr="00FA0D37">
        <w:t xml:space="preserve"> information element</w:t>
      </w:r>
    </w:p>
    <w:p w14:paraId="3DA08AA6" w14:textId="77777777" w:rsidR="00394471" w:rsidRPr="00FA0D37" w:rsidRDefault="00394471" w:rsidP="00FA0D37">
      <w:pPr>
        <w:pStyle w:val="PL"/>
        <w:rPr>
          <w:color w:val="808080"/>
        </w:rPr>
      </w:pPr>
      <w:r w:rsidRPr="00FA0D37">
        <w:rPr>
          <w:color w:val="808080"/>
        </w:rPr>
        <w:t>-- ASN1START</w:t>
      </w:r>
    </w:p>
    <w:p w14:paraId="52F3CAD6" w14:textId="77777777" w:rsidR="00394471" w:rsidRPr="00FA0D37" w:rsidRDefault="00394471" w:rsidP="00FA0D37">
      <w:pPr>
        <w:pStyle w:val="PL"/>
        <w:rPr>
          <w:color w:val="808080"/>
        </w:rPr>
      </w:pPr>
      <w:r w:rsidRPr="00FA0D37">
        <w:rPr>
          <w:color w:val="808080"/>
        </w:rPr>
        <w:t>-- TAG-DRX-CONFIG-START</w:t>
      </w:r>
    </w:p>
    <w:p w14:paraId="6DB946FC" w14:textId="77777777" w:rsidR="00394471" w:rsidRPr="00FA0D37" w:rsidRDefault="00394471" w:rsidP="00FA0D37">
      <w:pPr>
        <w:pStyle w:val="PL"/>
      </w:pPr>
    </w:p>
    <w:p w14:paraId="77E52A2E" w14:textId="77777777" w:rsidR="00394471" w:rsidRPr="00FA0D37" w:rsidRDefault="00394471" w:rsidP="00FA0D37">
      <w:pPr>
        <w:pStyle w:val="PL"/>
      </w:pPr>
      <w:r w:rsidRPr="00FA0D37">
        <w:t xml:space="preserve">DRX-Config ::=                      </w:t>
      </w:r>
      <w:r w:rsidRPr="00FA0D37">
        <w:rPr>
          <w:color w:val="993366"/>
        </w:rPr>
        <w:t>SEQUENCE</w:t>
      </w:r>
      <w:r w:rsidRPr="00FA0D37">
        <w:t xml:space="preserve"> {</w:t>
      </w:r>
    </w:p>
    <w:p w14:paraId="2D9011A3" w14:textId="77777777" w:rsidR="00394471" w:rsidRPr="00FA0D37" w:rsidRDefault="00394471" w:rsidP="00FA0D37">
      <w:pPr>
        <w:pStyle w:val="PL"/>
      </w:pPr>
      <w:r w:rsidRPr="00FA0D37">
        <w:t xml:space="preserve">    drx-onDurationTimer                 </w:t>
      </w:r>
      <w:r w:rsidRPr="00FA0D37">
        <w:rPr>
          <w:color w:val="993366"/>
        </w:rPr>
        <w:t>CHOICE</w:t>
      </w:r>
      <w:r w:rsidRPr="00FA0D37">
        <w:t xml:space="preserve"> {</w:t>
      </w:r>
    </w:p>
    <w:p w14:paraId="0B01557D" w14:textId="77777777" w:rsidR="00394471" w:rsidRPr="00FA0D37" w:rsidRDefault="00394471" w:rsidP="00FA0D37">
      <w:pPr>
        <w:pStyle w:val="PL"/>
      </w:pPr>
      <w:r w:rsidRPr="00FA0D37">
        <w:t xml:space="preserve">                                            subMilliSeconds </w:t>
      </w:r>
      <w:r w:rsidRPr="00FA0D37">
        <w:rPr>
          <w:color w:val="993366"/>
        </w:rPr>
        <w:t>INTEGER</w:t>
      </w:r>
      <w:r w:rsidRPr="00FA0D37">
        <w:t xml:space="preserve"> (1..31),</w:t>
      </w:r>
    </w:p>
    <w:p w14:paraId="4D394386" w14:textId="77777777" w:rsidR="00394471" w:rsidRPr="00FA0D37" w:rsidRDefault="00394471" w:rsidP="00FA0D37">
      <w:pPr>
        <w:pStyle w:val="PL"/>
      </w:pPr>
      <w:r w:rsidRPr="00FA0D37">
        <w:t xml:space="preserve">                                            milliSeconds    </w:t>
      </w:r>
      <w:r w:rsidRPr="00FA0D37">
        <w:rPr>
          <w:color w:val="993366"/>
        </w:rPr>
        <w:t>ENUMERATED</w:t>
      </w:r>
      <w:r w:rsidRPr="00FA0D37">
        <w:t xml:space="preserve"> {</w:t>
      </w:r>
    </w:p>
    <w:p w14:paraId="28E03E7A" w14:textId="77777777" w:rsidR="00394471" w:rsidRPr="00FA0D37" w:rsidRDefault="00394471" w:rsidP="00FA0D37">
      <w:pPr>
        <w:pStyle w:val="PL"/>
      </w:pPr>
      <w:r w:rsidRPr="00FA0D37">
        <w:t xml:space="preserve">                                                ms1, ms2, ms3, ms4, ms5, ms6, ms8, ms10, ms20, ms30, ms40, ms50, ms60,</w:t>
      </w:r>
    </w:p>
    <w:p w14:paraId="3DC99D25" w14:textId="77777777" w:rsidR="00394471" w:rsidRPr="00FA0D37" w:rsidRDefault="00394471" w:rsidP="00FA0D37">
      <w:pPr>
        <w:pStyle w:val="PL"/>
      </w:pPr>
      <w:r w:rsidRPr="00FA0D37">
        <w:lastRenderedPageBreak/>
        <w:t xml:space="preserve">                                                ms80, ms100, ms200, ms300, ms400, ms500, ms600, ms800, ms1000, ms1200,</w:t>
      </w:r>
    </w:p>
    <w:p w14:paraId="7A9E7193" w14:textId="77777777" w:rsidR="00394471" w:rsidRPr="00FA0D37" w:rsidRDefault="00394471" w:rsidP="00FA0D37">
      <w:pPr>
        <w:pStyle w:val="PL"/>
      </w:pPr>
      <w:r w:rsidRPr="00FA0D37">
        <w:t xml:space="preserve">                                                ms1600, spare8, spare7, spare6, spare5, spare4, spare3, spare2, spare1 }</w:t>
      </w:r>
    </w:p>
    <w:p w14:paraId="2B780C24" w14:textId="77777777" w:rsidR="00394471" w:rsidRPr="00FA0D37" w:rsidRDefault="00394471" w:rsidP="00FA0D37">
      <w:pPr>
        <w:pStyle w:val="PL"/>
      </w:pPr>
      <w:r w:rsidRPr="00FA0D37">
        <w:t xml:space="preserve">                                            },</w:t>
      </w:r>
    </w:p>
    <w:p w14:paraId="37767EBF" w14:textId="77777777" w:rsidR="00394471" w:rsidRPr="00FA0D37" w:rsidRDefault="00394471" w:rsidP="00FA0D37">
      <w:pPr>
        <w:pStyle w:val="PL"/>
      </w:pPr>
      <w:r w:rsidRPr="00FA0D37">
        <w:t xml:space="preserve">    drx-InactivityTimer                 </w:t>
      </w:r>
      <w:r w:rsidRPr="00FA0D37">
        <w:rPr>
          <w:color w:val="993366"/>
        </w:rPr>
        <w:t>ENUMERATED</w:t>
      </w:r>
      <w:r w:rsidRPr="00FA0D37">
        <w:t xml:space="preserve"> {</w:t>
      </w:r>
    </w:p>
    <w:p w14:paraId="57E92BAB" w14:textId="77777777" w:rsidR="00394471" w:rsidRPr="00FA0D37" w:rsidRDefault="00394471" w:rsidP="00FA0D37">
      <w:pPr>
        <w:pStyle w:val="PL"/>
      </w:pPr>
      <w:r w:rsidRPr="00FA0D37">
        <w:t xml:space="preserve">                                            ms0, ms1, ms2, ms3, ms4, ms5, ms6, ms8, ms10, ms20, ms30, ms40, ms50, ms60, ms80,</w:t>
      </w:r>
    </w:p>
    <w:p w14:paraId="273D277F" w14:textId="77777777" w:rsidR="00394471" w:rsidRPr="00FA0D37" w:rsidRDefault="00394471" w:rsidP="00FA0D37">
      <w:pPr>
        <w:pStyle w:val="PL"/>
      </w:pPr>
      <w:r w:rsidRPr="00FA0D37">
        <w:t xml:space="preserve">                                            ms100, ms200, ms300, ms500, ms750, ms1280, ms1920, ms2560, spare9, spare8,</w:t>
      </w:r>
    </w:p>
    <w:p w14:paraId="70210DF2" w14:textId="77777777" w:rsidR="00394471" w:rsidRPr="00FA0D37" w:rsidRDefault="00394471" w:rsidP="00FA0D37">
      <w:pPr>
        <w:pStyle w:val="PL"/>
      </w:pPr>
      <w:r w:rsidRPr="00FA0D37">
        <w:t xml:space="preserve">                                            spare7, spare6, spare5, spare4, spare3, spare2, spare1},</w:t>
      </w:r>
    </w:p>
    <w:p w14:paraId="3F2102D0" w14:textId="77777777" w:rsidR="00394471" w:rsidRPr="00FA0D37" w:rsidRDefault="00394471" w:rsidP="00FA0D37">
      <w:pPr>
        <w:pStyle w:val="PL"/>
      </w:pPr>
      <w:r w:rsidRPr="00FA0D37">
        <w:t xml:space="preserve">    drx-HARQ-RTT-TimerDL                </w:t>
      </w:r>
      <w:r w:rsidRPr="00FA0D37">
        <w:rPr>
          <w:color w:val="993366"/>
        </w:rPr>
        <w:t>INTEGER</w:t>
      </w:r>
      <w:r w:rsidRPr="00FA0D37">
        <w:t xml:space="preserve"> (0..56),</w:t>
      </w:r>
    </w:p>
    <w:p w14:paraId="7075AFD0" w14:textId="77777777" w:rsidR="00394471" w:rsidRPr="00FA0D37" w:rsidRDefault="00394471" w:rsidP="00FA0D37">
      <w:pPr>
        <w:pStyle w:val="PL"/>
      </w:pPr>
      <w:r w:rsidRPr="00FA0D37">
        <w:t xml:space="preserve">    drx-HARQ-RTT-TimerUL                </w:t>
      </w:r>
      <w:r w:rsidRPr="00FA0D37">
        <w:rPr>
          <w:color w:val="993366"/>
        </w:rPr>
        <w:t>INTEGER</w:t>
      </w:r>
      <w:r w:rsidRPr="00FA0D37">
        <w:t xml:space="preserve"> (0..56),</w:t>
      </w:r>
    </w:p>
    <w:p w14:paraId="6DE6BEFD" w14:textId="77777777" w:rsidR="00394471" w:rsidRPr="00FA0D37" w:rsidRDefault="00394471" w:rsidP="00FA0D37">
      <w:pPr>
        <w:pStyle w:val="PL"/>
      </w:pPr>
      <w:r w:rsidRPr="00FA0D37">
        <w:t xml:space="preserve">    drx-RetransmissionTimerDL           </w:t>
      </w:r>
      <w:r w:rsidRPr="00FA0D37">
        <w:rPr>
          <w:color w:val="993366"/>
        </w:rPr>
        <w:t>ENUMERATED</w:t>
      </w:r>
      <w:r w:rsidRPr="00FA0D37">
        <w:t xml:space="preserve"> {</w:t>
      </w:r>
    </w:p>
    <w:p w14:paraId="4839D6A3" w14:textId="77777777" w:rsidR="00394471" w:rsidRPr="00FA0D37" w:rsidRDefault="00394471" w:rsidP="00FA0D37">
      <w:pPr>
        <w:pStyle w:val="PL"/>
      </w:pPr>
      <w:r w:rsidRPr="00FA0D37">
        <w:t xml:space="preserve">                                            sl0, sl1, sl2, sl4, sl6, sl8, sl16, sl24, sl33, sl40, sl64, sl80, sl96, sl112, sl128,</w:t>
      </w:r>
    </w:p>
    <w:p w14:paraId="6DEC0640" w14:textId="77777777" w:rsidR="00394471" w:rsidRPr="00FA0D37" w:rsidRDefault="00394471" w:rsidP="00FA0D37">
      <w:pPr>
        <w:pStyle w:val="PL"/>
      </w:pPr>
      <w:r w:rsidRPr="00FA0D37">
        <w:t xml:space="preserve">                                            sl160, sl320, spare15, spare14, spare13, spare12, spare11, spare10, spare9,</w:t>
      </w:r>
    </w:p>
    <w:p w14:paraId="12B8B9B1" w14:textId="77777777" w:rsidR="00394471" w:rsidRPr="00FA0D37" w:rsidRDefault="00394471" w:rsidP="00FA0D37">
      <w:pPr>
        <w:pStyle w:val="PL"/>
      </w:pPr>
      <w:r w:rsidRPr="00FA0D37">
        <w:t xml:space="preserve">                                            spare8, spare7, spare6, spare5, spare4, spare3, spare2, spare1},</w:t>
      </w:r>
    </w:p>
    <w:p w14:paraId="53B87944" w14:textId="77777777" w:rsidR="00394471" w:rsidRPr="00FA0D37" w:rsidRDefault="00394471" w:rsidP="00FA0D37">
      <w:pPr>
        <w:pStyle w:val="PL"/>
      </w:pPr>
      <w:r w:rsidRPr="00FA0D37">
        <w:t xml:space="preserve">    drx-RetransmissionTimerUL           </w:t>
      </w:r>
      <w:r w:rsidRPr="00FA0D37">
        <w:rPr>
          <w:color w:val="993366"/>
        </w:rPr>
        <w:t>ENUMERATED</w:t>
      </w:r>
      <w:r w:rsidRPr="00FA0D37">
        <w:t xml:space="preserve"> {</w:t>
      </w:r>
    </w:p>
    <w:p w14:paraId="671107DB" w14:textId="77777777" w:rsidR="00394471" w:rsidRPr="00FA0D37" w:rsidRDefault="00394471" w:rsidP="00FA0D37">
      <w:pPr>
        <w:pStyle w:val="PL"/>
      </w:pPr>
      <w:r w:rsidRPr="00FA0D37">
        <w:t xml:space="preserve">                                            sl0, sl1, sl2, sl4, sl6, sl8, sl16, sl24, sl33, sl40, sl64, sl80, sl96, sl112, sl128,</w:t>
      </w:r>
    </w:p>
    <w:p w14:paraId="13675AD1" w14:textId="77777777" w:rsidR="00394471" w:rsidRPr="00FA0D37" w:rsidRDefault="00394471" w:rsidP="00FA0D37">
      <w:pPr>
        <w:pStyle w:val="PL"/>
      </w:pPr>
      <w:r w:rsidRPr="00FA0D37">
        <w:t xml:space="preserve">                                            sl160, sl320, spare15, spare14, spare13, spare12, spare11, spare10, spare9,</w:t>
      </w:r>
    </w:p>
    <w:p w14:paraId="7F13B9DF" w14:textId="77777777" w:rsidR="00394471" w:rsidRPr="00FA0D37" w:rsidRDefault="00394471" w:rsidP="00FA0D37">
      <w:pPr>
        <w:pStyle w:val="PL"/>
      </w:pPr>
      <w:r w:rsidRPr="00FA0D37">
        <w:t xml:space="preserve">                                            spare8, spare7, spare6, spare5, spare4, spare3, spare2, spare1 },</w:t>
      </w:r>
    </w:p>
    <w:p w14:paraId="32CE97D3" w14:textId="77777777" w:rsidR="00394471" w:rsidRPr="00FA0D37" w:rsidRDefault="00394471" w:rsidP="00FA0D37">
      <w:pPr>
        <w:pStyle w:val="PL"/>
      </w:pPr>
      <w:r w:rsidRPr="00FA0D37">
        <w:t xml:space="preserve">    drx-LongCycleStartOffset            </w:t>
      </w:r>
      <w:r w:rsidRPr="00FA0D37">
        <w:rPr>
          <w:color w:val="993366"/>
        </w:rPr>
        <w:t>CHOICE</w:t>
      </w:r>
      <w:r w:rsidRPr="00FA0D37">
        <w:t xml:space="preserve"> {</w:t>
      </w:r>
    </w:p>
    <w:p w14:paraId="3AA33E36" w14:textId="77777777" w:rsidR="00394471" w:rsidRPr="00FA0D37" w:rsidRDefault="00394471" w:rsidP="00FA0D37">
      <w:pPr>
        <w:pStyle w:val="PL"/>
      </w:pPr>
      <w:r w:rsidRPr="00FA0D37">
        <w:t xml:space="preserve">        ms10                                </w:t>
      </w:r>
      <w:r w:rsidRPr="00FA0D37">
        <w:rPr>
          <w:color w:val="993366"/>
        </w:rPr>
        <w:t>INTEGER</w:t>
      </w:r>
      <w:r w:rsidRPr="00FA0D37">
        <w:t>(0..9),</w:t>
      </w:r>
    </w:p>
    <w:p w14:paraId="23967F2D" w14:textId="77777777" w:rsidR="00394471" w:rsidRPr="00FA0D37" w:rsidRDefault="00394471" w:rsidP="00FA0D37">
      <w:pPr>
        <w:pStyle w:val="PL"/>
      </w:pPr>
      <w:r w:rsidRPr="00FA0D37">
        <w:t xml:space="preserve">        ms20                                </w:t>
      </w:r>
      <w:r w:rsidRPr="00FA0D37">
        <w:rPr>
          <w:color w:val="993366"/>
        </w:rPr>
        <w:t>INTEGER</w:t>
      </w:r>
      <w:r w:rsidRPr="00FA0D37">
        <w:t>(0..19),</w:t>
      </w:r>
    </w:p>
    <w:p w14:paraId="5F99A7DB" w14:textId="77777777" w:rsidR="00394471" w:rsidRPr="00FA0D37" w:rsidRDefault="00394471" w:rsidP="00FA0D37">
      <w:pPr>
        <w:pStyle w:val="PL"/>
      </w:pPr>
      <w:r w:rsidRPr="00FA0D37">
        <w:t xml:space="preserve">        ms32                                </w:t>
      </w:r>
      <w:r w:rsidRPr="00FA0D37">
        <w:rPr>
          <w:color w:val="993366"/>
        </w:rPr>
        <w:t>INTEGER</w:t>
      </w:r>
      <w:r w:rsidRPr="00FA0D37">
        <w:t>(0..31),</w:t>
      </w:r>
    </w:p>
    <w:p w14:paraId="24C9537A" w14:textId="77777777" w:rsidR="00394471" w:rsidRPr="00FA0D37" w:rsidRDefault="00394471" w:rsidP="00FA0D37">
      <w:pPr>
        <w:pStyle w:val="PL"/>
      </w:pPr>
      <w:r w:rsidRPr="00FA0D37">
        <w:t xml:space="preserve">        ms40                                </w:t>
      </w:r>
      <w:r w:rsidRPr="00FA0D37">
        <w:rPr>
          <w:color w:val="993366"/>
        </w:rPr>
        <w:t>INTEGER</w:t>
      </w:r>
      <w:r w:rsidRPr="00FA0D37">
        <w:t>(0..39),</w:t>
      </w:r>
    </w:p>
    <w:p w14:paraId="5A943DC5" w14:textId="77777777" w:rsidR="00394471" w:rsidRPr="00FA0D37" w:rsidRDefault="00394471" w:rsidP="00FA0D37">
      <w:pPr>
        <w:pStyle w:val="PL"/>
      </w:pPr>
      <w:r w:rsidRPr="00FA0D37">
        <w:t xml:space="preserve">        ms60                                </w:t>
      </w:r>
      <w:r w:rsidRPr="00FA0D37">
        <w:rPr>
          <w:color w:val="993366"/>
        </w:rPr>
        <w:t>INTEGER</w:t>
      </w:r>
      <w:r w:rsidRPr="00FA0D37">
        <w:t>(0..59),</w:t>
      </w:r>
    </w:p>
    <w:p w14:paraId="04128F3A" w14:textId="77777777" w:rsidR="00394471" w:rsidRPr="00FA0D37" w:rsidRDefault="00394471" w:rsidP="00FA0D37">
      <w:pPr>
        <w:pStyle w:val="PL"/>
      </w:pPr>
      <w:r w:rsidRPr="00FA0D37">
        <w:t xml:space="preserve">        ms64                                </w:t>
      </w:r>
      <w:r w:rsidRPr="00FA0D37">
        <w:rPr>
          <w:color w:val="993366"/>
        </w:rPr>
        <w:t>INTEGER</w:t>
      </w:r>
      <w:r w:rsidRPr="00FA0D37">
        <w:t>(0..63),</w:t>
      </w:r>
    </w:p>
    <w:p w14:paraId="570D63AF" w14:textId="77777777" w:rsidR="00394471" w:rsidRPr="00FA0D37" w:rsidRDefault="00394471" w:rsidP="00FA0D37">
      <w:pPr>
        <w:pStyle w:val="PL"/>
      </w:pPr>
      <w:r w:rsidRPr="00FA0D37">
        <w:t xml:space="preserve">        ms70                                </w:t>
      </w:r>
      <w:r w:rsidRPr="00FA0D37">
        <w:rPr>
          <w:color w:val="993366"/>
        </w:rPr>
        <w:t>INTEGER</w:t>
      </w:r>
      <w:r w:rsidRPr="00FA0D37">
        <w:t>(0..69),</w:t>
      </w:r>
    </w:p>
    <w:p w14:paraId="37B61295" w14:textId="77777777" w:rsidR="00394471" w:rsidRPr="00FA0D37" w:rsidRDefault="00394471" w:rsidP="00FA0D37">
      <w:pPr>
        <w:pStyle w:val="PL"/>
      </w:pPr>
      <w:r w:rsidRPr="00FA0D37">
        <w:t xml:space="preserve">        ms80                                </w:t>
      </w:r>
      <w:r w:rsidRPr="00FA0D37">
        <w:rPr>
          <w:color w:val="993366"/>
        </w:rPr>
        <w:t>INTEGER</w:t>
      </w:r>
      <w:r w:rsidRPr="00FA0D37">
        <w:t>(0..79),</w:t>
      </w:r>
    </w:p>
    <w:p w14:paraId="5EF3A815" w14:textId="77777777" w:rsidR="00394471" w:rsidRPr="00FA0D37" w:rsidRDefault="00394471" w:rsidP="00FA0D37">
      <w:pPr>
        <w:pStyle w:val="PL"/>
      </w:pPr>
      <w:r w:rsidRPr="00FA0D37">
        <w:t xml:space="preserve">        ms128                               </w:t>
      </w:r>
      <w:r w:rsidRPr="00FA0D37">
        <w:rPr>
          <w:color w:val="993366"/>
        </w:rPr>
        <w:t>INTEGER</w:t>
      </w:r>
      <w:r w:rsidRPr="00FA0D37">
        <w:t>(0..127),</w:t>
      </w:r>
    </w:p>
    <w:p w14:paraId="4484122F" w14:textId="77777777" w:rsidR="00394471" w:rsidRPr="00FA0D37" w:rsidRDefault="00394471" w:rsidP="00FA0D37">
      <w:pPr>
        <w:pStyle w:val="PL"/>
      </w:pPr>
      <w:r w:rsidRPr="00FA0D37">
        <w:t xml:space="preserve">        ms160                               </w:t>
      </w:r>
      <w:r w:rsidRPr="00FA0D37">
        <w:rPr>
          <w:color w:val="993366"/>
        </w:rPr>
        <w:t>INTEGER</w:t>
      </w:r>
      <w:r w:rsidRPr="00FA0D37">
        <w:t>(0..159),</w:t>
      </w:r>
    </w:p>
    <w:p w14:paraId="19BA65C6" w14:textId="77777777" w:rsidR="00394471" w:rsidRPr="00FA0D37" w:rsidRDefault="00394471" w:rsidP="00FA0D37">
      <w:pPr>
        <w:pStyle w:val="PL"/>
      </w:pPr>
      <w:r w:rsidRPr="00FA0D37">
        <w:t xml:space="preserve">        ms256                               </w:t>
      </w:r>
      <w:r w:rsidRPr="00FA0D37">
        <w:rPr>
          <w:color w:val="993366"/>
        </w:rPr>
        <w:t>INTEGER</w:t>
      </w:r>
      <w:r w:rsidRPr="00FA0D37">
        <w:t>(0..255),</w:t>
      </w:r>
    </w:p>
    <w:p w14:paraId="1EDF2876" w14:textId="77777777" w:rsidR="00394471" w:rsidRPr="00FA0D37" w:rsidRDefault="00394471" w:rsidP="00FA0D37">
      <w:pPr>
        <w:pStyle w:val="PL"/>
      </w:pPr>
      <w:r w:rsidRPr="00FA0D37">
        <w:t xml:space="preserve">        ms320                               </w:t>
      </w:r>
      <w:r w:rsidRPr="00FA0D37">
        <w:rPr>
          <w:color w:val="993366"/>
        </w:rPr>
        <w:t>INTEGER</w:t>
      </w:r>
      <w:r w:rsidRPr="00FA0D37">
        <w:t>(0..319),</w:t>
      </w:r>
    </w:p>
    <w:p w14:paraId="721FEDF0" w14:textId="77777777" w:rsidR="00394471" w:rsidRPr="00FA0D37" w:rsidRDefault="00394471" w:rsidP="00FA0D37">
      <w:pPr>
        <w:pStyle w:val="PL"/>
      </w:pPr>
      <w:r w:rsidRPr="00FA0D37">
        <w:t xml:space="preserve">        ms512                               </w:t>
      </w:r>
      <w:r w:rsidRPr="00FA0D37">
        <w:rPr>
          <w:color w:val="993366"/>
        </w:rPr>
        <w:t>INTEGER</w:t>
      </w:r>
      <w:r w:rsidRPr="00FA0D37">
        <w:t>(0..511),</w:t>
      </w:r>
    </w:p>
    <w:p w14:paraId="4DF7FD6F" w14:textId="77777777" w:rsidR="00394471" w:rsidRPr="00FA0D37" w:rsidRDefault="00394471" w:rsidP="00FA0D37">
      <w:pPr>
        <w:pStyle w:val="PL"/>
      </w:pPr>
      <w:r w:rsidRPr="00FA0D37">
        <w:t xml:space="preserve">        ms640                               </w:t>
      </w:r>
      <w:r w:rsidRPr="00FA0D37">
        <w:rPr>
          <w:color w:val="993366"/>
        </w:rPr>
        <w:t>INTEGER</w:t>
      </w:r>
      <w:r w:rsidRPr="00FA0D37">
        <w:t>(0..639),</w:t>
      </w:r>
    </w:p>
    <w:p w14:paraId="3DC25EDF" w14:textId="77777777" w:rsidR="00394471" w:rsidRPr="00FA0D37" w:rsidRDefault="00394471" w:rsidP="00FA0D37">
      <w:pPr>
        <w:pStyle w:val="PL"/>
      </w:pPr>
      <w:r w:rsidRPr="00FA0D37">
        <w:t xml:space="preserve">        ms1024                              </w:t>
      </w:r>
      <w:r w:rsidRPr="00FA0D37">
        <w:rPr>
          <w:color w:val="993366"/>
        </w:rPr>
        <w:t>INTEGER</w:t>
      </w:r>
      <w:r w:rsidRPr="00FA0D37">
        <w:t>(0..1023),</w:t>
      </w:r>
    </w:p>
    <w:p w14:paraId="64BE58CB" w14:textId="77777777" w:rsidR="00394471" w:rsidRPr="00FA0D37" w:rsidRDefault="00394471" w:rsidP="00FA0D37">
      <w:pPr>
        <w:pStyle w:val="PL"/>
      </w:pPr>
      <w:r w:rsidRPr="00FA0D37">
        <w:t xml:space="preserve">        ms1280                              </w:t>
      </w:r>
      <w:r w:rsidRPr="00FA0D37">
        <w:rPr>
          <w:color w:val="993366"/>
        </w:rPr>
        <w:t>INTEGER</w:t>
      </w:r>
      <w:r w:rsidRPr="00FA0D37">
        <w:t>(0..1279),</w:t>
      </w:r>
    </w:p>
    <w:p w14:paraId="75613E08" w14:textId="77777777" w:rsidR="00394471" w:rsidRPr="00FA0D37" w:rsidRDefault="00394471" w:rsidP="00FA0D37">
      <w:pPr>
        <w:pStyle w:val="PL"/>
      </w:pPr>
      <w:r w:rsidRPr="00FA0D37">
        <w:t xml:space="preserve">        ms2048                              </w:t>
      </w:r>
      <w:r w:rsidRPr="00FA0D37">
        <w:rPr>
          <w:color w:val="993366"/>
        </w:rPr>
        <w:t>INTEGER</w:t>
      </w:r>
      <w:r w:rsidRPr="00FA0D37">
        <w:t>(0..2047),</w:t>
      </w:r>
    </w:p>
    <w:p w14:paraId="2E95B464" w14:textId="77777777" w:rsidR="00394471" w:rsidRPr="00FA0D37" w:rsidRDefault="00394471" w:rsidP="00FA0D37">
      <w:pPr>
        <w:pStyle w:val="PL"/>
      </w:pPr>
      <w:r w:rsidRPr="00FA0D37">
        <w:t xml:space="preserve">        ms2560                              </w:t>
      </w:r>
      <w:r w:rsidRPr="00FA0D37">
        <w:rPr>
          <w:color w:val="993366"/>
        </w:rPr>
        <w:t>INTEGER</w:t>
      </w:r>
      <w:r w:rsidRPr="00FA0D37">
        <w:t>(0..2559),</w:t>
      </w:r>
    </w:p>
    <w:p w14:paraId="403620FE" w14:textId="77777777" w:rsidR="00394471" w:rsidRPr="00FA0D37" w:rsidRDefault="00394471" w:rsidP="00FA0D37">
      <w:pPr>
        <w:pStyle w:val="PL"/>
      </w:pPr>
      <w:r w:rsidRPr="00FA0D37">
        <w:t xml:space="preserve">        ms5120                              </w:t>
      </w:r>
      <w:r w:rsidRPr="00FA0D37">
        <w:rPr>
          <w:color w:val="993366"/>
        </w:rPr>
        <w:t>INTEGER</w:t>
      </w:r>
      <w:r w:rsidRPr="00FA0D37">
        <w:t>(0..5119),</w:t>
      </w:r>
    </w:p>
    <w:p w14:paraId="779C80BE" w14:textId="77777777" w:rsidR="00394471" w:rsidRPr="00FA0D37" w:rsidRDefault="00394471" w:rsidP="00FA0D37">
      <w:pPr>
        <w:pStyle w:val="PL"/>
      </w:pPr>
      <w:r w:rsidRPr="00FA0D37">
        <w:t xml:space="preserve">        ms10240                             </w:t>
      </w:r>
      <w:r w:rsidRPr="00FA0D37">
        <w:rPr>
          <w:color w:val="993366"/>
        </w:rPr>
        <w:t>INTEGER</w:t>
      </w:r>
      <w:r w:rsidRPr="00FA0D37">
        <w:t>(0..10239)</w:t>
      </w:r>
    </w:p>
    <w:p w14:paraId="4A03FC5F" w14:textId="77777777" w:rsidR="00394471" w:rsidRPr="00FA0D37" w:rsidRDefault="00394471" w:rsidP="00FA0D37">
      <w:pPr>
        <w:pStyle w:val="PL"/>
      </w:pPr>
      <w:r w:rsidRPr="00FA0D37">
        <w:t xml:space="preserve">    },</w:t>
      </w:r>
    </w:p>
    <w:p w14:paraId="15F5B263" w14:textId="77777777" w:rsidR="00394471" w:rsidRPr="00FA0D37" w:rsidRDefault="00394471" w:rsidP="00FA0D37">
      <w:pPr>
        <w:pStyle w:val="PL"/>
      </w:pPr>
      <w:r w:rsidRPr="00FA0D37">
        <w:t xml:space="preserve">    shortDRX                            </w:t>
      </w:r>
      <w:r w:rsidRPr="00FA0D37">
        <w:rPr>
          <w:color w:val="993366"/>
        </w:rPr>
        <w:t>SEQUENCE</w:t>
      </w:r>
      <w:r w:rsidRPr="00FA0D37">
        <w:t xml:space="preserve"> {</w:t>
      </w:r>
    </w:p>
    <w:p w14:paraId="0DC94CB2" w14:textId="77777777" w:rsidR="00394471" w:rsidRPr="00FA0D37" w:rsidRDefault="00394471" w:rsidP="00FA0D37">
      <w:pPr>
        <w:pStyle w:val="PL"/>
      </w:pPr>
      <w:r w:rsidRPr="00FA0D37">
        <w:t xml:space="preserve">        drx-ShortCycle                      </w:t>
      </w:r>
      <w:r w:rsidRPr="00FA0D37">
        <w:rPr>
          <w:color w:val="993366"/>
        </w:rPr>
        <w:t>ENUMERATED</w:t>
      </w:r>
      <w:r w:rsidRPr="00FA0D37">
        <w:t xml:space="preserve">  {</w:t>
      </w:r>
    </w:p>
    <w:p w14:paraId="7E8FFC23" w14:textId="77777777" w:rsidR="00394471" w:rsidRPr="00FA0D37" w:rsidRDefault="00394471" w:rsidP="00FA0D37">
      <w:pPr>
        <w:pStyle w:val="PL"/>
      </w:pPr>
      <w:r w:rsidRPr="00FA0D37">
        <w:t xml:space="preserve">                                                ms2, ms3, ms4, ms5, ms6, ms7, ms8, ms10, ms14, ms16, ms20, ms30, ms32,</w:t>
      </w:r>
    </w:p>
    <w:p w14:paraId="74C8C2BF" w14:textId="77777777" w:rsidR="00394471" w:rsidRPr="00FA0D37" w:rsidRDefault="00394471" w:rsidP="00FA0D37">
      <w:pPr>
        <w:pStyle w:val="PL"/>
      </w:pPr>
      <w:r w:rsidRPr="00FA0D37">
        <w:t xml:space="preserve">                                                ms35, ms40, ms64, ms80, ms128, ms160, ms256, ms320, ms512, ms640, spare9,</w:t>
      </w:r>
    </w:p>
    <w:p w14:paraId="54E4194A" w14:textId="77777777" w:rsidR="00394471" w:rsidRPr="00FA0D37" w:rsidRDefault="00394471" w:rsidP="00FA0D37">
      <w:pPr>
        <w:pStyle w:val="PL"/>
      </w:pPr>
      <w:r w:rsidRPr="00FA0D37">
        <w:t xml:space="preserve">                                                spare8, spare7, spare6, spare5, spare4, spare3, spare2, spare1 },</w:t>
      </w:r>
    </w:p>
    <w:p w14:paraId="4DAB081E" w14:textId="77777777" w:rsidR="00394471" w:rsidRPr="00FA0D37" w:rsidRDefault="00394471" w:rsidP="00FA0D37">
      <w:pPr>
        <w:pStyle w:val="PL"/>
      </w:pPr>
      <w:r w:rsidRPr="00FA0D37">
        <w:t xml:space="preserve">        drx-ShortCycleTimer                 </w:t>
      </w:r>
      <w:r w:rsidRPr="00FA0D37">
        <w:rPr>
          <w:color w:val="993366"/>
        </w:rPr>
        <w:t>INTEGER</w:t>
      </w:r>
      <w:r w:rsidRPr="00FA0D37">
        <w:t xml:space="preserve"> (1..16)</w:t>
      </w:r>
    </w:p>
    <w:p w14:paraId="356357BE"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F29DCA1" w14:textId="77777777" w:rsidR="00394471" w:rsidRPr="00FA0D37" w:rsidRDefault="00394471" w:rsidP="00FA0D37">
      <w:pPr>
        <w:pStyle w:val="PL"/>
      </w:pPr>
      <w:r w:rsidRPr="00FA0D37">
        <w:t xml:space="preserve">    drx-SlotOffset                      </w:t>
      </w:r>
      <w:r w:rsidRPr="00FA0D37">
        <w:rPr>
          <w:color w:val="993366"/>
        </w:rPr>
        <w:t>INTEGER</w:t>
      </w:r>
      <w:r w:rsidRPr="00FA0D37">
        <w:t xml:space="preserve"> (0..31)</w:t>
      </w:r>
    </w:p>
    <w:p w14:paraId="4401E6B4" w14:textId="77777777" w:rsidR="00394471" w:rsidRPr="00FA0D37" w:rsidRDefault="00394471" w:rsidP="00FA0D37">
      <w:pPr>
        <w:pStyle w:val="PL"/>
      </w:pPr>
      <w:r w:rsidRPr="00FA0D37">
        <w:t>}</w:t>
      </w:r>
    </w:p>
    <w:p w14:paraId="1E987538" w14:textId="77777777" w:rsidR="006C501F" w:rsidRPr="00FA0D37" w:rsidRDefault="006C501F" w:rsidP="00FA0D37">
      <w:pPr>
        <w:pStyle w:val="PL"/>
      </w:pPr>
    </w:p>
    <w:p w14:paraId="7650F40C" w14:textId="0FE14F19" w:rsidR="006C501F" w:rsidRPr="00FA0D37" w:rsidRDefault="006C501F" w:rsidP="00FA0D37">
      <w:pPr>
        <w:pStyle w:val="PL"/>
      </w:pPr>
      <w:r w:rsidRPr="00FA0D37">
        <w:t xml:space="preserve">DRX-ConfigExt-v1700 ::=                 </w:t>
      </w:r>
      <w:r w:rsidRPr="00FA0D37">
        <w:rPr>
          <w:color w:val="993366"/>
        </w:rPr>
        <w:t>SEQUENCE</w:t>
      </w:r>
      <w:r w:rsidRPr="00FA0D37">
        <w:t xml:space="preserve"> {</w:t>
      </w:r>
    </w:p>
    <w:p w14:paraId="1AAF6AF2" w14:textId="77777777" w:rsidR="006C501F" w:rsidRPr="00FA0D37" w:rsidRDefault="006C501F" w:rsidP="00FA0D37">
      <w:pPr>
        <w:pStyle w:val="PL"/>
      </w:pPr>
      <w:r w:rsidRPr="00FA0D37">
        <w:t xml:space="preserve">    drx-HARQ-RTT-TimerDL-r17                </w:t>
      </w:r>
      <w:r w:rsidRPr="00FA0D37">
        <w:rPr>
          <w:color w:val="993366"/>
        </w:rPr>
        <w:t>INTEGER</w:t>
      </w:r>
      <w:r w:rsidRPr="00FA0D37">
        <w:t xml:space="preserve"> (0..448),</w:t>
      </w:r>
    </w:p>
    <w:p w14:paraId="56A67FAF" w14:textId="77777777" w:rsidR="006C501F" w:rsidRPr="00FA0D37" w:rsidRDefault="006C501F" w:rsidP="00FA0D37">
      <w:pPr>
        <w:pStyle w:val="PL"/>
      </w:pPr>
      <w:r w:rsidRPr="00FA0D37">
        <w:lastRenderedPageBreak/>
        <w:t xml:space="preserve">    drx-HARQ-RTT-TimerUL-r17                </w:t>
      </w:r>
      <w:r w:rsidRPr="00FA0D37">
        <w:rPr>
          <w:color w:val="993366"/>
        </w:rPr>
        <w:t>INTEGER</w:t>
      </w:r>
      <w:r w:rsidRPr="00FA0D37">
        <w:t xml:space="preserve"> (0..448)</w:t>
      </w:r>
    </w:p>
    <w:p w14:paraId="17FC558B" w14:textId="461C1DE1" w:rsidR="00394471" w:rsidRPr="00FA0D37" w:rsidRDefault="006C501F" w:rsidP="00FA0D37">
      <w:pPr>
        <w:pStyle w:val="PL"/>
      </w:pPr>
      <w:r w:rsidRPr="00FA0D37">
        <w:t>}</w:t>
      </w:r>
    </w:p>
    <w:p w14:paraId="3FB31B54" w14:textId="77777777" w:rsidR="006C501F" w:rsidRPr="00FA0D37" w:rsidRDefault="006C501F" w:rsidP="00FA0D37">
      <w:pPr>
        <w:pStyle w:val="PL"/>
      </w:pPr>
    </w:p>
    <w:p w14:paraId="466A7A48" w14:textId="77777777" w:rsidR="00394471" w:rsidRPr="00FA0D37" w:rsidRDefault="00394471" w:rsidP="00FA0D37">
      <w:pPr>
        <w:pStyle w:val="PL"/>
        <w:rPr>
          <w:color w:val="808080"/>
        </w:rPr>
      </w:pPr>
      <w:r w:rsidRPr="00FA0D37">
        <w:rPr>
          <w:color w:val="808080"/>
        </w:rPr>
        <w:t>-- TAG-DRX-CONFIG-STOP</w:t>
      </w:r>
    </w:p>
    <w:p w14:paraId="7DE1EC40" w14:textId="77777777" w:rsidR="00394471" w:rsidRPr="00FA0D37" w:rsidRDefault="00394471" w:rsidP="00FA0D37">
      <w:pPr>
        <w:pStyle w:val="PL"/>
        <w:rPr>
          <w:color w:val="808080"/>
        </w:rPr>
      </w:pPr>
      <w:r w:rsidRPr="00FA0D37">
        <w:rPr>
          <w:color w:val="808080"/>
        </w:rPr>
        <w:t>-- ASN1STOP</w:t>
      </w:r>
    </w:p>
    <w:p w14:paraId="5F315A1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FA0D37" w:rsidRDefault="00394471" w:rsidP="00964CC4">
            <w:pPr>
              <w:pStyle w:val="TAH"/>
              <w:rPr>
                <w:szCs w:val="22"/>
                <w:lang w:eastAsia="sv-SE"/>
              </w:rPr>
            </w:pPr>
            <w:r w:rsidRPr="00FA0D37">
              <w:rPr>
                <w:i/>
                <w:szCs w:val="22"/>
                <w:lang w:eastAsia="sv-SE"/>
              </w:rPr>
              <w:t xml:space="preserve">DRX-Config </w:t>
            </w:r>
            <w:r w:rsidRPr="00FA0D37">
              <w:rPr>
                <w:szCs w:val="22"/>
                <w:lang w:eastAsia="sv-SE"/>
              </w:rPr>
              <w:t>field descriptions</w:t>
            </w:r>
          </w:p>
        </w:tc>
      </w:tr>
      <w:tr w:rsidR="005C7FF4" w:rsidRPr="00FA0D37"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FA0D37" w:rsidRDefault="00394471" w:rsidP="00964CC4">
            <w:pPr>
              <w:pStyle w:val="TAL"/>
              <w:rPr>
                <w:szCs w:val="22"/>
                <w:lang w:eastAsia="sv-SE"/>
              </w:rPr>
            </w:pPr>
            <w:r w:rsidRPr="00FA0D37">
              <w:rPr>
                <w:b/>
                <w:i/>
                <w:szCs w:val="22"/>
                <w:lang w:eastAsia="sv-SE"/>
              </w:rPr>
              <w:t>drx-HARQ-RTT-TimerDL</w:t>
            </w:r>
          </w:p>
          <w:p w14:paraId="0697FC3F" w14:textId="5F518A07" w:rsidR="00394471" w:rsidRPr="00FA0D37" w:rsidRDefault="00394471" w:rsidP="00964CC4">
            <w:pPr>
              <w:pStyle w:val="TAL"/>
              <w:rPr>
                <w:szCs w:val="22"/>
                <w:lang w:eastAsia="sv-SE"/>
              </w:rPr>
            </w:pPr>
            <w:r w:rsidRPr="00FA0D37">
              <w:rPr>
                <w:szCs w:val="22"/>
                <w:lang w:eastAsia="sv-SE"/>
              </w:rPr>
              <w:t>Value in number of symbols of the BWP where the transport block was received.</w:t>
            </w:r>
            <w:r w:rsidR="006C501F" w:rsidRPr="00FA0D37">
              <w:rPr>
                <w:szCs w:val="22"/>
                <w:lang w:eastAsia="sv-SE"/>
              </w:rPr>
              <w:t xml:space="preserve"> </w:t>
            </w:r>
            <w:r w:rsidR="006C501F" w:rsidRPr="00FA0D37">
              <w:rPr>
                <w:i/>
                <w:iCs/>
                <w:szCs w:val="22"/>
                <w:lang w:eastAsia="sv-SE"/>
              </w:rPr>
              <w:t>drx-HARQ-RTT-TimerDL-r17</w:t>
            </w:r>
            <w:r w:rsidR="006C501F" w:rsidRPr="00FA0D37">
              <w:rPr>
                <w:szCs w:val="22"/>
                <w:lang w:eastAsia="sv-SE"/>
              </w:rPr>
              <w:t xml:space="preserve"> is only applicable for SCS 480 kHz and 960 kHz. If configured, the UE shall ignore </w:t>
            </w:r>
            <w:r w:rsidR="006C501F" w:rsidRPr="00FA0D37">
              <w:rPr>
                <w:i/>
                <w:iCs/>
                <w:szCs w:val="22"/>
                <w:lang w:eastAsia="sv-SE"/>
              </w:rPr>
              <w:t>drx-HARQ-RTT-TimerDL</w:t>
            </w:r>
            <w:r w:rsidR="006C501F" w:rsidRPr="00FA0D37">
              <w:rPr>
                <w:szCs w:val="22"/>
                <w:lang w:eastAsia="sv-SE"/>
              </w:rPr>
              <w:t xml:space="preserve"> (without suffix)</w:t>
            </w:r>
            <w:r w:rsidR="00AC37AE" w:rsidRPr="00FA0D37">
              <w:rPr>
                <w:rFonts w:cs="Arial"/>
                <w:szCs w:val="18"/>
                <w:lang w:eastAsia="sv-SE"/>
              </w:rPr>
              <w:t xml:space="preserve"> for SCS 480 kHz and 960 kHz</w:t>
            </w:r>
            <w:r w:rsidR="006C501F" w:rsidRPr="00FA0D37">
              <w:rPr>
                <w:szCs w:val="22"/>
                <w:lang w:eastAsia="sv-SE"/>
              </w:rPr>
              <w:t>.</w:t>
            </w:r>
          </w:p>
        </w:tc>
      </w:tr>
      <w:tr w:rsidR="005C7FF4" w:rsidRPr="00FA0D37"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FA0D37" w:rsidRDefault="00394471" w:rsidP="00964CC4">
            <w:pPr>
              <w:pStyle w:val="TAL"/>
              <w:rPr>
                <w:szCs w:val="22"/>
                <w:lang w:eastAsia="sv-SE"/>
              </w:rPr>
            </w:pPr>
            <w:r w:rsidRPr="00FA0D37">
              <w:rPr>
                <w:b/>
                <w:i/>
                <w:szCs w:val="22"/>
                <w:lang w:eastAsia="sv-SE"/>
              </w:rPr>
              <w:t>drx-HARQ-RTT-TimerUL</w:t>
            </w:r>
          </w:p>
          <w:p w14:paraId="482FF014" w14:textId="04E4F786" w:rsidR="00394471" w:rsidRPr="00FA0D37" w:rsidRDefault="00394471" w:rsidP="00964CC4">
            <w:pPr>
              <w:pStyle w:val="TAL"/>
              <w:rPr>
                <w:szCs w:val="22"/>
                <w:lang w:eastAsia="sv-SE"/>
              </w:rPr>
            </w:pPr>
            <w:r w:rsidRPr="00FA0D37">
              <w:rPr>
                <w:szCs w:val="22"/>
                <w:lang w:eastAsia="sv-SE"/>
              </w:rPr>
              <w:t>Value in number of symbols of the BWP where the transport block was transmitted.</w:t>
            </w:r>
            <w:r w:rsidR="006C501F" w:rsidRPr="00FA0D37">
              <w:rPr>
                <w:szCs w:val="22"/>
                <w:lang w:eastAsia="sv-SE"/>
              </w:rPr>
              <w:t xml:space="preserve"> </w:t>
            </w:r>
            <w:r w:rsidR="006C501F" w:rsidRPr="00FA0D37">
              <w:rPr>
                <w:i/>
                <w:iCs/>
                <w:szCs w:val="22"/>
                <w:lang w:eastAsia="sv-SE"/>
              </w:rPr>
              <w:t>drx-HARQ-RTT-TimerUL-r17</w:t>
            </w:r>
            <w:r w:rsidR="006C501F" w:rsidRPr="00FA0D37">
              <w:rPr>
                <w:szCs w:val="22"/>
                <w:lang w:eastAsia="sv-SE"/>
              </w:rPr>
              <w:t xml:space="preserve"> is only applicable for SCS 480 kHz and 960 kHz. If configured, the UE shall ignore </w:t>
            </w:r>
            <w:r w:rsidR="006C501F" w:rsidRPr="00FA0D37">
              <w:rPr>
                <w:i/>
                <w:iCs/>
                <w:szCs w:val="22"/>
                <w:lang w:eastAsia="sv-SE"/>
              </w:rPr>
              <w:t>drx-HARQ-RTT-TimerUL</w:t>
            </w:r>
            <w:r w:rsidR="006C501F" w:rsidRPr="00FA0D37">
              <w:rPr>
                <w:szCs w:val="22"/>
                <w:lang w:eastAsia="sv-SE"/>
              </w:rPr>
              <w:t xml:space="preserve"> (without suffix)</w:t>
            </w:r>
            <w:r w:rsidR="00AC37AE" w:rsidRPr="00FA0D37">
              <w:rPr>
                <w:rFonts w:cs="Arial"/>
                <w:szCs w:val="18"/>
                <w:lang w:eastAsia="sv-SE"/>
              </w:rPr>
              <w:t xml:space="preserve"> for SCS 480 kHz and 960 kHz</w:t>
            </w:r>
            <w:r w:rsidR="006C501F" w:rsidRPr="00FA0D37">
              <w:rPr>
                <w:szCs w:val="22"/>
                <w:lang w:eastAsia="sv-SE"/>
              </w:rPr>
              <w:t>.</w:t>
            </w:r>
          </w:p>
        </w:tc>
      </w:tr>
      <w:tr w:rsidR="005C7FF4" w:rsidRPr="00FA0D37"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FA0D37" w:rsidRDefault="00394471" w:rsidP="00964CC4">
            <w:pPr>
              <w:pStyle w:val="TAL"/>
              <w:rPr>
                <w:szCs w:val="22"/>
                <w:lang w:eastAsia="sv-SE"/>
              </w:rPr>
            </w:pPr>
            <w:r w:rsidRPr="00FA0D37">
              <w:rPr>
                <w:b/>
                <w:i/>
                <w:szCs w:val="22"/>
                <w:lang w:eastAsia="sv-SE"/>
              </w:rPr>
              <w:t>drx-InactivityTimer</w:t>
            </w:r>
          </w:p>
          <w:p w14:paraId="53CF9309" w14:textId="77777777" w:rsidR="00394471" w:rsidRPr="00FA0D37" w:rsidRDefault="00394471" w:rsidP="00964CC4">
            <w:pPr>
              <w:pStyle w:val="TAL"/>
              <w:rPr>
                <w:szCs w:val="22"/>
                <w:lang w:eastAsia="sv-SE"/>
              </w:rPr>
            </w:pPr>
            <w:r w:rsidRPr="00FA0D37">
              <w:rPr>
                <w:szCs w:val="22"/>
                <w:lang w:eastAsia="sv-SE"/>
              </w:rPr>
              <w:t xml:space="preserve">Value in multiple integers of 1 ms. </w:t>
            </w:r>
            <w:r w:rsidRPr="00FA0D37">
              <w:rPr>
                <w:i/>
                <w:lang w:eastAsia="sv-SE"/>
              </w:rPr>
              <w:t>ms0</w:t>
            </w:r>
            <w:r w:rsidRPr="00FA0D37">
              <w:rPr>
                <w:szCs w:val="22"/>
                <w:lang w:eastAsia="sv-SE"/>
              </w:rPr>
              <w:t xml:space="preserve"> corresponds to 0, </w:t>
            </w:r>
            <w:r w:rsidRPr="00FA0D37">
              <w:rPr>
                <w:i/>
                <w:lang w:eastAsia="sv-SE"/>
              </w:rPr>
              <w:t>ms1</w:t>
            </w:r>
            <w:r w:rsidRPr="00FA0D37">
              <w:rPr>
                <w:szCs w:val="22"/>
                <w:lang w:eastAsia="sv-SE"/>
              </w:rPr>
              <w:t xml:space="preserve"> corresponds to 1 ms, </w:t>
            </w:r>
            <w:r w:rsidRPr="00FA0D37">
              <w:rPr>
                <w:i/>
                <w:lang w:eastAsia="sv-SE"/>
              </w:rPr>
              <w:t>ms2</w:t>
            </w:r>
            <w:r w:rsidRPr="00FA0D37">
              <w:rPr>
                <w:szCs w:val="22"/>
                <w:lang w:eastAsia="sv-SE"/>
              </w:rPr>
              <w:t xml:space="preserve"> corresponds to 2 ms, and so on.</w:t>
            </w:r>
          </w:p>
        </w:tc>
      </w:tr>
      <w:tr w:rsidR="005C7FF4" w:rsidRPr="00FA0D37"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FA0D37" w:rsidRDefault="00394471" w:rsidP="00964CC4">
            <w:pPr>
              <w:pStyle w:val="TAL"/>
              <w:rPr>
                <w:szCs w:val="22"/>
                <w:lang w:eastAsia="sv-SE"/>
              </w:rPr>
            </w:pPr>
            <w:r w:rsidRPr="00FA0D37">
              <w:rPr>
                <w:b/>
                <w:i/>
                <w:szCs w:val="22"/>
                <w:lang w:eastAsia="sv-SE"/>
              </w:rPr>
              <w:t>drx-LongCycleStartOffset</w:t>
            </w:r>
          </w:p>
          <w:p w14:paraId="49E879FD" w14:textId="77777777" w:rsidR="00394471" w:rsidRPr="00FA0D37" w:rsidRDefault="00394471" w:rsidP="00964CC4">
            <w:pPr>
              <w:pStyle w:val="TAL"/>
              <w:rPr>
                <w:szCs w:val="22"/>
                <w:lang w:eastAsia="sv-SE"/>
              </w:rPr>
            </w:pPr>
            <w:r w:rsidRPr="00FA0D37">
              <w:rPr>
                <w:i/>
                <w:lang w:eastAsia="sv-SE"/>
              </w:rPr>
              <w:t>drx-LongCycle</w:t>
            </w:r>
            <w:r w:rsidRPr="00FA0D37">
              <w:rPr>
                <w:szCs w:val="22"/>
                <w:lang w:eastAsia="sv-SE"/>
              </w:rPr>
              <w:t xml:space="preserve"> in ms and </w:t>
            </w:r>
            <w:r w:rsidRPr="00FA0D37">
              <w:rPr>
                <w:i/>
                <w:lang w:eastAsia="sv-SE"/>
              </w:rPr>
              <w:t>drx-StartOffset</w:t>
            </w:r>
            <w:r w:rsidRPr="00FA0D37">
              <w:rPr>
                <w:szCs w:val="22"/>
                <w:lang w:eastAsia="sv-SE"/>
              </w:rPr>
              <w:t xml:space="preserve"> in multiples of 1 ms. If </w:t>
            </w:r>
            <w:r w:rsidRPr="00FA0D37">
              <w:rPr>
                <w:i/>
                <w:lang w:eastAsia="sv-SE"/>
              </w:rPr>
              <w:t>drx-ShortCycle</w:t>
            </w:r>
            <w:r w:rsidRPr="00FA0D37">
              <w:rPr>
                <w:szCs w:val="22"/>
                <w:lang w:eastAsia="sv-SE"/>
              </w:rPr>
              <w:t xml:space="preserve"> is configured, the value of </w:t>
            </w:r>
            <w:r w:rsidRPr="00FA0D37">
              <w:rPr>
                <w:i/>
                <w:lang w:eastAsia="sv-SE"/>
              </w:rPr>
              <w:t>drx-LongCycle</w:t>
            </w:r>
            <w:r w:rsidRPr="00FA0D37">
              <w:rPr>
                <w:szCs w:val="22"/>
                <w:lang w:eastAsia="sv-SE"/>
              </w:rPr>
              <w:t xml:space="preserve"> shall be a multiple of the </w:t>
            </w:r>
            <w:r w:rsidRPr="00FA0D37">
              <w:rPr>
                <w:i/>
                <w:lang w:eastAsia="sv-SE"/>
              </w:rPr>
              <w:t>drx-ShortCycle</w:t>
            </w:r>
            <w:r w:rsidRPr="00FA0D37">
              <w:rPr>
                <w:szCs w:val="22"/>
                <w:lang w:eastAsia="sv-SE"/>
              </w:rPr>
              <w:t xml:space="preserve"> value.</w:t>
            </w:r>
          </w:p>
        </w:tc>
      </w:tr>
      <w:tr w:rsidR="005C7FF4" w:rsidRPr="00FA0D37"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FA0D37" w:rsidRDefault="00394471" w:rsidP="00964CC4">
            <w:pPr>
              <w:pStyle w:val="TAL"/>
              <w:rPr>
                <w:szCs w:val="22"/>
                <w:lang w:eastAsia="sv-SE"/>
              </w:rPr>
            </w:pPr>
            <w:r w:rsidRPr="00FA0D37">
              <w:rPr>
                <w:b/>
                <w:i/>
                <w:szCs w:val="22"/>
                <w:lang w:eastAsia="sv-SE"/>
              </w:rPr>
              <w:t>drx-onDurationTimer</w:t>
            </w:r>
          </w:p>
          <w:p w14:paraId="5C1ABC47" w14:textId="77777777" w:rsidR="00394471" w:rsidRPr="00FA0D37" w:rsidRDefault="00394471" w:rsidP="00964CC4">
            <w:pPr>
              <w:pStyle w:val="TAL"/>
              <w:rPr>
                <w:szCs w:val="22"/>
                <w:lang w:eastAsia="sv-SE"/>
              </w:rPr>
            </w:pPr>
            <w:r w:rsidRPr="00FA0D37">
              <w:rPr>
                <w:szCs w:val="22"/>
                <w:lang w:eastAsia="sv-SE"/>
              </w:rPr>
              <w:t xml:space="preserve">Value in multiples of 1/32 ms (subMilliSeconds) or in ms (milliSecond). For the latter, value </w:t>
            </w:r>
            <w:r w:rsidRPr="00FA0D37">
              <w:rPr>
                <w:i/>
                <w:lang w:eastAsia="sv-SE"/>
              </w:rPr>
              <w:t>ms1</w:t>
            </w:r>
            <w:r w:rsidRPr="00FA0D37">
              <w:rPr>
                <w:szCs w:val="22"/>
                <w:lang w:eastAsia="sv-SE"/>
              </w:rPr>
              <w:t xml:space="preserve"> corresponds to 1 ms, value </w:t>
            </w:r>
            <w:r w:rsidRPr="00FA0D37">
              <w:rPr>
                <w:i/>
                <w:lang w:eastAsia="sv-SE"/>
              </w:rPr>
              <w:t>ms2</w:t>
            </w:r>
            <w:r w:rsidRPr="00FA0D37">
              <w:rPr>
                <w:szCs w:val="22"/>
                <w:lang w:eastAsia="sv-SE"/>
              </w:rPr>
              <w:t xml:space="preserve"> corresponds to 2 ms, and so on.</w:t>
            </w:r>
          </w:p>
        </w:tc>
      </w:tr>
      <w:tr w:rsidR="005C7FF4" w:rsidRPr="00FA0D37"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FA0D37" w:rsidRDefault="00394471" w:rsidP="00964CC4">
            <w:pPr>
              <w:pStyle w:val="TAL"/>
              <w:rPr>
                <w:szCs w:val="22"/>
                <w:lang w:eastAsia="sv-SE"/>
              </w:rPr>
            </w:pPr>
            <w:r w:rsidRPr="00FA0D37">
              <w:rPr>
                <w:b/>
                <w:i/>
                <w:szCs w:val="22"/>
                <w:lang w:eastAsia="sv-SE"/>
              </w:rPr>
              <w:t>drx-RetransmissionTimerDL</w:t>
            </w:r>
          </w:p>
          <w:p w14:paraId="35641EA2" w14:textId="77777777" w:rsidR="00394471" w:rsidRPr="00FA0D37" w:rsidRDefault="00394471" w:rsidP="00964CC4">
            <w:pPr>
              <w:pStyle w:val="TAL"/>
              <w:rPr>
                <w:szCs w:val="22"/>
                <w:lang w:eastAsia="sv-SE"/>
              </w:rPr>
            </w:pPr>
            <w:r w:rsidRPr="00FA0D37">
              <w:rPr>
                <w:szCs w:val="22"/>
                <w:lang w:eastAsia="sv-SE"/>
              </w:rPr>
              <w:t xml:space="preserve">Value in number of slot lengths of the BWP where the transport block was received. value </w:t>
            </w:r>
            <w:r w:rsidRPr="00FA0D37">
              <w:rPr>
                <w:i/>
                <w:lang w:eastAsia="sv-SE"/>
              </w:rPr>
              <w:t>sl0</w:t>
            </w:r>
            <w:r w:rsidRPr="00FA0D37">
              <w:rPr>
                <w:szCs w:val="22"/>
                <w:lang w:eastAsia="sv-SE"/>
              </w:rPr>
              <w:t xml:space="preserve"> corresponds to 0 slots, </w:t>
            </w:r>
            <w:r w:rsidRPr="00FA0D37">
              <w:rPr>
                <w:i/>
                <w:lang w:eastAsia="sv-SE"/>
              </w:rPr>
              <w:t>sl1</w:t>
            </w:r>
            <w:r w:rsidRPr="00FA0D37">
              <w:rPr>
                <w:szCs w:val="22"/>
                <w:lang w:eastAsia="sv-SE"/>
              </w:rPr>
              <w:t xml:space="preserve"> corresponds to 1 slot, </w:t>
            </w:r>
            <w:r w:rsidRPr="00FA0D37">
              <w:rPr>
                <w:i/>
                <w:lang w:eastAsia="sv-SE"/>
              </w:rPr>
              <w:t>sl2</w:t>
            </w:r>
            <w:r w:rsidRPr="00FA0D37">
              <w:rPr>
                <w:szCs w:val="22"/>
                <w:lang w:eastAsia="sv-SE"/>
              </w:rPr>
              <w:t xml:space="preserve"> corresponds to 2 slots, and so on.</w:t>
            </w:r>
          </w:p>
        </w:tc>
      </w:tr>
      <w:tr w:rsidR="005C7FF4" w:rsidRPr="00FA0D37"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FA0D37" w:rsidRDefault="00394471" w:rsidP="00964CC4">
            <w:pPr>
              <w:pStyle w:val="TAL"/>
              <w:rPr>
                <w:szCs w:val="22"/>
                <w:lang w:eastAsia="sv-SE"/>
              </w:rPr>
            </w:pPr>
            <w:r w:rsidRPr="00FA0D37">
              <w:rPr>
                <w:b/>
                <w:i/>
                <w:szCs w:val="22"/>
                <w:lang w:eastAsia="sv-SE"/>
              </w:rPr>
              <w:t>drx-RetransmissionTimerUL</w:t>
            </w:r>
          </w:p>
          <w:p w14:paraId="3D6FA39C" w14:textId="77777777" w:rsidR="00394471" w:rsidRPr="00FA0D37" w:rsidRDefault="00394471" w:rsidP="00964CC4">
            <w:pPr>
              <w:pStyle w:val="TAL"/>
              <w:rPr>
                <w:szCs w:val="22"/>
                <w:lang w:eastAsia="sv-SE"/>
              </w:rPr>
            </w:pPr>
            <w:r w:rsidRPr="00FA0D37">
              <w:rPr>
                <w:szCs w:val="22"/>
                <w:lang w:eastAsia="sv-SE"/>
              </w:rPr>
              <w:t xml:space="preserve">Value in number of slot lengths of the BWP where the transport block was transmitted. </w:t>
            </w:r>
            <w:r w:rsidRPr="00FA0D37">
              <w:rPr>
                <w:i/>
                <w:lang w:eastAsia="sv-SE"/>
              </w:rPr>
              <w:t>sl0</w:t>
            </w:r>
            <w:r w:rsidRPr="00FA0D37">
              <w:rPr>
                <w:szCs w:val="22"/>
                <w:lang w:eastAsia="sv-SE"/>
              </w:rPr>
              <w:t xml:space="preserve"> corresponds to 0 slots, </w:t>
            </w:r>
            <w:r w:rsidRPr="00FA0D37">
              <w:rPr>
                <w:i/>
                <w:lang w:eastAsia="sv-SE"/>
              </w:rPr>
              <w:t>sl1</w:t>
            </w:r>
            <w:r w:rsidRPr="00FA0D37">
              <w:rPr>
                <w:szCs w:val="22"/>
                <w:lang w:eastAsia="sv-SE"/>
              </w:rPr>
              <w:t xml:space="preserve"> corresponds to 1 slot, </w:t>
            </w:r>
            <w:r w:rsidRPr="00FA0D37">
              <w:rPr>
                <w:i/>
                <w:lang w:eastAsia="sv-SE"/>
              </w:rPr>
              <w:t>sl2</w:t>
            </w:r>
            <w:r w:rsidRPr="00FA0D37">
              <w:rPr>
                <w:szCs w:val="22"/>
                <w:lang w:eastAsia="sv-SE"/>
              </w:rPr>
              <w:t xml:space="preserve"> corresponds to 2 slots, and so on.</w:t>
            </w:r>
          </w:p>
        </w:tc>
      </w:tr>
      <w:tr w:rsidR="005C7FF4" w:rsidRPr="00FA0D37"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FA0D37" w:rsidRDefault="00394471" w:rsidP="00964CC4">
            <w:pPr>
              <w:pStyle w:val="TAL"/>
              <w:rPr>
                <w:szCs w:val="22"/>
                <w:lang w:eastAsia="sv-SE"/>
              </w:rPr>
            </w:pPr>
            <w:r w:rsidRPr="00FA0D37">
              <w:rPr>
                <w:b/>
                <w:i/>
                <w:szCs w:val="22"/>
                <w:lang w:eastAsia="sv-SE"/>
              </w:rPr>
              <w:t>drx-ShortCycleTimer</w:t>
            </w:r>
          </w:p>
          <w:p w14:paraId="6344DA7F" w14:textId="77777777" w:rsidR="00394471" w:rsidRPr="00FA0D37" w:rsidRDefault="00394471" w:rsidP="00964CC4">
            <w:pPr>
              <w:pStyle w:val="TAL"/>
              <w:rPr>
                <w:szCs w:val="22"/>
                <w:lang w:eastAsia="sv-SE"/>
              </w:rPr>
            </w:pPr>
            <w:r w:rsidRPr="00FA0D37">
              <w:rPr>
                <w:szCs w:val="22"/>
                <w:lang w:eastAsia="sv-SE"/>
              </w:rPr>
              <w:t xml:space="preserve">Value in multiples of </w:t>
            </w:r>
            <w:r w:rsidRPr="00FA0D37">
              <w:rPr>
                <w:i/>
                <w:lang w:eastAsia="sv-SE"/>
              </w:rPr>
              <w:t>drx-ShortCycle</w:t>
            </w:r>
            <w:r w:rsidRPr="00FA0D37">
              <w:rPr>
                <w:szCs w:val="22"/>
                <w:lang w:eastAsia="sv-SE"/>
              </w:rPr>
              <w:t xml:space="preserve">. A value of 1 corresponds to </w:t>
            </w:r>
            <w:r w:rsidRPr="00FA0D37">
              <w:rPr>
                <w:i/>
                <w:lang w:eastAsia="sv-SE"/>
              </w:rPr>
              <w:t>drx-ShortCycle</w:t>
            </w:r>
            <w:r w:rsidRPr="00FA0D37">
              <w:rPr>
                <w:szCs w:val="22"/>
                <w:lang w:eastAsia="sv-SE"/>
              </w:rPr>
              <w:t xml:space="preserve">, a value of 2 corresponds to 2 * </w:t>
            </w:r>
            <w:r w:rsidRPr="00FA0D37">
              <w:rPr>
                <w:i/>
                <w:lang w:eastAsia="sv-SE"/>
              </w:rPr>
              <w:t>drx-ShortCycle</w:t>
            </w:r>
            <w:r w:rsidRPr="00FA0D37">
              <w:rPr>
                <w:szCs w:val="22"/>
                <w:lang w:eastAsia="sv-SE"/>
              </w:rPr>
              <w:t xml:space="preserve"> and so on.</w:t>
            </w:r>
          </w:p>
        </w:tc>
      </w:tr>
      <w:tr w:rsidR="005C7FF4" w:rsidRPr="00FA0D37"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FA0D37" w:rsidRDefault="00394471" w:rsidP="00964CC4">
            <w:pPr>
              <w:pStyle w:val="TAL"/>
              <w:rPr>
                <w:szCs w:val="22"/>
                <w:lang w:eastAsia="sv-SE"/>
              </w:rPr>
            </w:pPr>
            <w:r w:rsidRPr="00FA0D37">
              <w:rPr>
                <w:b/>
                <w:i/>
                <w:szCs w:val="22"/>
                <w:lang w:eastAsia="sv-SE"/>
              </w:rPr>
              <w:t>drx-ShortCycle</w:t>
            </w:r>
          </w:p>
          <w:p w14:paraId="15382309" w14:textId="77777777" w:rsidR="00394471" w:rsidRPr="00FA0D37" w:rsidRDefault="00394471" w:rsidP="00964CC4">
            <w:pPr>
              <w:pStyle w:val="TAL"/>
              <w:rPr>
                <w:szCs w:val="22"/>
                <w:lang w:eastAsia="sv-SE"/>
              </w:rPr>
            </w:pPr>
            <w:r w:rsidRPr="00FA0D37">
              <w:rPr>
                <w:szCs w:val="22"/>
                <w:lang w:eastAsia="sv-SE"/>
              </w:rPr>
              <w:t xml:space="preserve">Value in ms. </w:t>
            </w:r>
            <w:r w:rsidRPr="00FA0D37">
              <w:rPr>
                <w:i/>
                <w:lang w:eastAsia="sv-SE"/>
              </w:rPr>
              <w:t>ms1</w:t>
            </w:r>
            <w:r w:rsidRPr="00FA0D37">
              <w:rPr>
                <w:szCs w:val="22"/>
                <w:lang w:eastAsia="sv-SE"/>
              </w:rPr>
              <w:t xml:space="preserve"> corresponds to 1 ms, </w:t>
            </w:r>
            <w:r w:rsidRPr="00FA0D37">
              <w:rPr>
                <w:i/>
                <w:lang w:eastAsia="sv-SE"/>
              </w:rPr>
              <w:t>ms2</w:t>
            </w:r>
            <w:r w:rsidRPr="00FA0D37">
              <w:rPr>
                <w:szCs w:val="22"/>
                <w:lang w:eastAsia="sv-SE"/>
              </w:rPr>
              <w:t xml:space="preserve"> corresponds to 2 ms, and so on.</w:t>
            </w:r>
          </w:p>
        </w:tc>
      </w:tr>
      <w:tr w:rsidR="00394471" w:rsidRPr="00FA0D37"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FA0D37" w:rsidRDefault="00394471" w:rsidP="00964CC4">
            <w:pPr>
              <w:pStyle w:val="TAL"/>
              <w:rPr>
                <w:szCs w:val="22"/>
                <w:lang w:eastAsia="sv-SE"/>
              </w:rPr>
            </w:pPr>
            <w:r w:rsidRPr="00FA0D37">
              <w:rPr>
                <w:b/>
                <w:i/>
                <w:szCs w:val="22"/>
                <w:lang w:eastAsia="sv-SE"/>
              </w:rPr>
              <w:t>drx-SlotOffset</w:t>
            </w:r>
          </w:p>
          <w:p w14:paraId="0BA23C1B" w14:textId="77777777" w:rsidR="00394471" w:rsidRPr="00FA0D37" w:rsidRDefault="00394471" w:rsidP="00964CC4">
            <w:pPr>
              <w:pStyle w:val="TAL"/>
              <w:rPr>
                <w:szCs w:val="22"/>
                <w:lang w:eastAsia="sv-SE"/>
              </w:rPr>
            </w:pPr>
            <w:r w:rsidRPr="00FA0D37">
              <w:rPr>
                <w:szCs w:val="22"/>
                <w:lang w:eastAsia="sv-SE"/>
              </w:rPr>
              <w:t>Value in 1/32 ms. Value 0 corresponds to 0 ms, value 1 corresponds to 1/32 ms, value 2 corresponds to 2/32 ms, and so on.</w:t>
            </w:r>
          </w:p>
        </w:tc>
      </w:tr>
    </w:tbl>
    <w:p w14:paraId="1914A29E" w14:textId="77777777" w:rsidR="00394471" w:rsidRPr="00FA0D37" w:rsidRDefault="00394471" w:rsidP="00394471">
      <w:pPr>
        <w:rPr>
          <w:rFonts w:eastAsia="MS Mincho"/>
        </w:rPr>
      </w:pPr>
    </w:p>
    <w:p w14:paraId="47AF4165" w14:textId="77777777" w:rsidR="00394471" w:rsidRPr="00FA0D37" w:rsidRDefault="00394471" w:rsidP="00394471">
      <w:pPr>
        <w:pStyle w:val="4"/>
      </w:pPr>
      <w:bookmarkStart w:id="1026" w:name="_Toc60777235"/>
      <w:bookmarkStart w:id="1027" w:name="_Toc146781285"/>
      <w:r w:rsidRPr="00FA0D37">
        <w:t>–</w:t>
      </w:r>
      <w:r w:rsidRPr="00FA0D37">
        <w:tab/>
      </w:r>
      <w:r w:rsidRPr="00FA0D37">
        <w:rPr>
          <w:i/>
          <w:iCs/>
        </w:rPr>
        <w:t>DRX-ConfigSecondaryGroup</w:t>
      </w:r>
      <w:bookmarkEnd w:id="1026"/>
      <w:bookmarkEnd w:id="1027"/>
    </w:p>
    <w:p w14:paraId="296C89CC" w14:textId="77777777" w:rsidR="00394471" w:rsidRPr="00FA0D37" w:rsidRDefault="00394471" w:rsidP="00394471">
      <w:r w:rsidRPr="00FA0D37">
        <w:t xml:space="preserve">The IE </w:t>
      </w:r>
      <w:r w:rsidRPr="00FA0D37">
        <w:rPr>
          <w:i/>
        </w:rPr>
        <w:t>DRX-ConfigSecondaryGroup</w:t>
      </w:r>
      <w:r w:rsidRPr="00FA0D37">
        <w:t xml:space="preserve"> is used to configure DRX related parameters for the second DRX group as specified in TS 38.321 [3].</w:t>
      </w:r>
    </w:p>
    <w:p w14:paraId="43EF233D" w14:textId="77777777" w:rsidR="00394471" w:rsidRPr="00FA0D37" w:rsidRDefault="00394471" w:rsidP="00394471">
      <w:pPr>
        <w:pStyle w:val="TH"/>
      </w:pPr>
      <w:r w:rsidRPr="00FA0D37">
        <w:rPr>
          <w:i/>
          <w:iCs/>
        </w:rPr>
        <w:t>DRX-ConfigSecondaryGroup</w:t>
      </w:r>
      <w:r w:rsidRPr="00FA0D37">
        <w:t xml:space="preserve"> information element</w:t>
      </w:r>
    </w:p>
    <w:p w14:paraId="4827A39E" w14:textId="77777777" w:rsidR="00394471" w:rsidRPr="00FA0D37" w:rsidRDefault="00394471" w:rsidP="00FA0D37">
      <w:pPr>
        <w:pStyle w:val="PL"/>
        <w:rPr>
          <w:color w:val="808080"/>
        </w:rPr>
      </w:pPr>
      <w:r w:rsidRPr="00FA0D37">
        <w:rPr>
          <w:color w:val="808080"/>
        </w:rPr>
        <w:t>-- ASN1START</w:t>
      </w:r>
    </w:p>
    <w:p w14:paraId="33BCB0AD" w14:textId="77777777" w:rsidR="00394471" w:rsidRPr="00FA0D37" w:rsidRDefault="00394471" w:rsidP="00FA0D37">
      <w:pPr>
        <w:pStyle w:val="PL"/>
        <w:rPr>
          <w:color w:val="808080"/>
        </w:rPr>
      </w:pPr>
      <w:r w:rsidRPr="00FA0D37">
        <w:rPr>
          <w:color w:val="808080"/>
        </w:rPr>
        <w:t>-- TAG-DRX-CONFIGSECONDARYGROUP-START</w:t>
      </w:r>
    </w:p>
    <w:p w14:paraId="68D2B33D" w14:textId="77777777" w:rsidR="00394471" w:rsidRPr="00FA0D37" w:rsidRDefault="00394471" w:rsidP="00FA0D37">
      <w:pPr>
        <w:pStyle w:val="PL"/>
      </w:pPr>
    </w:p>
    <w:p w14:paraId="7633158E" w14:textId="09D6DB75" w:rsidR="00394471" w:rsidRPr="00FA0D37" w:rsidRDefault="00394471" w:rsidP="00FA0D37">
      <w:pPr>
        <w:pStyle w:val="PL"/>
      </w:pPr>
      <w:r w:rsidRPr="00FA0D37">
        <w:t>DRX-ConfigSecondaryGroup</w:t>
      </w:r>
      <w:r w:rsidR="003A2D9D" w:rsidRPr="00FA0D37">
        <w:t>-r16</w:t>
      </w:r>
      <w:r w:rsidRPr="00FA0D37">
        <w:t xml:space="preserve"> ::=   </w:t>
      </w:r>
      <w:r w:rsidRPr="00FA0D37">
        <w:rPr>
          <w:color w:val="993366"/>
        </w:rPr>
        <w:t>SEQUENCE</w:t>
      </w:r>
      <w:r w:rsidRPr="00FA0D37">
        <w:t xml:space="preserve"> {</w:t>
      </w:r>
    </w:p>
    <w:p w14:paraId="20CEE618" w14:textId="12ADD865" w:rsidR="00394471" w:rsidRPr="00FA0D37" w:rsidRDefault="00394471" w:rsidP="00FA0D37">
      <w:pPr>
        <w:pStyle w:val="PL"/>
      </w:pPr>
      <w:r w:rsidRPr="00FA0D37">
        <w:t xml:space="preserve">    drx-onDurationTimer</w:t>
      </w:r>
      <w:r w:rsidR="003A2D9D" w:rsidRPr="00FA0D37">
        <w:t>-r16</w:t>
      </w:r>
      <w:r w:rsidRPr="00FA0D37">
        <w:t xml:space="preserve">            </w:t>
      </w:r>
      <w:r w:rsidRPr="00FA0D37">
        <w:rPr>
          <w:color w:val="993366"/>
        </w:rPr>
        <w:t>CHOICE</w:t>
      </w:r>
      <w:r w:rsidRPr="00FA0D37">
        <w:t xml:space="preserve"> {</w:t>
      </w:r>
    </w:p>
    <w:p w14:paraId="3C5DE3C9" w14:textId="77777777" w:rsidR="00394471" w:rsidRPr="00FA0D37" w:rsidRDefault="00394471" w:rsidP="00FA0D37">
      <w:pPr>
        <w:pStyle w:val="PL"/>
      </w:pPr>
      <w:r w:rsidRPr="00FA0D37">
        <w:lastRenderedPageBreak/>
        <w:t xml:space="preserve">                                           subMilliSeconds </w:t>
      </w:r>
      <w:r w:rsidRPr="00FA0D37">
        <w:rPr>
          <w:color w:val="993366"/>
        </w:rPr>
        <w:t>INTEGER</w:t>
      </w:r>
      <w:r w:rsidRPr="00FA0D37">
        <w:t xml:space="preserve"> (1..31),</w:t>
      </w:r>
    </w:p>
    <w:p w14:paraId="78F87147" w14:textId="77777777" w:rsidR="00394471" w:rsidRPr="00FA0D37" w:rsidRDefault="00394471" w:rsidP="00FA0D37">
      <w:pPr>
        <w:pStyle w:val="PL"/>
      </w:pPr>
      <w:r w:rsidRPr="00FA0D37">
        <w:t xml:space="preserve">                                           milliSeconds    </w:t>
      </w:r>
      <w:r w:rsidRPr="00FA0D37">
        <w:rPr>
          <w:color w:val="993366"/>
        </w:rPr>
        <w:t>ENUMERATED</w:t>
      </w:r>
      <w:r w:rsidRPr="00FA0D37">
        <w:t xml:space="preserve"> {</w:t>
      </w:r>
    </w:p>
    <w:p w14:paraId="6E1EBA22" w14:textId="77777777" w:rsidR="00394471" w:rsidRPr="00FA0D37" w:rsidRDefault="00394471" w:rsidP="00FA0D37">
      <w:pPr>
        <w:pStyle w:val="PL"/>
      </w:pPr>
      <w:r w:rsidRPr="00FA0D37">
        <w:t xml:space="preserve">                                               ms1, ms2, ms3, ms4, ms5, ms6, ms8, ms10, ms20, ms30, ms40, ms50, ms60,</w:t>
      </w:r>
    </w:p>
    <w:p w14:paraId="2BD7A89B" w14:textId="77777777" w:rsidR="00394471" w:rsidRPr="00FA0D37" w:rsidRDefault="00394471" w:rsidP="00FA0D37">
      <w:pPr>
        <w:pStyle w:val="PL"/>
      </w:pPr>
      <w:r w:rsidRPr="00FA0D37">
        <w:t xml:space="preserve">                                               ms80, ms100, ms200, ms300, ms400, ms500, ms600, ms800, ms1000, ms1200,</w:t>
      </w:r>
    </w:p>
    <w:p w14:paraId="0B6C1EB3" w14:textId="77777777" w:rsidR="00394471" w:rsidRPr="00FA0D37" w:rsidRDefault="00394471" w:rsidP="00FA0D37">
      <w:pPr>
        <w:pStyle w:val="PL"/>
      </w:pPr>
      <w:r w:rsidRPr="00FA0D37">
        <w:t xml:space="preserve">                                               ms1600, spare8, spare7, spare6, spare5, spare4, spare3, spare2, spare1 }</w:t>
      </w:r>
    </w:p>
    <w:p w14:paraId="4DE26B14" w14:textId="77777777" w:rsidR="00394471" w:rsidRPr="00FA0D37" w:rsidRDefault="00394471" w:rsidP="00FA0D37">
      <w:pPr>
        <w:pStyle w:val="PL"/>
      </w:pPr>
      <w:r w:rsidRPr="00FA0D37">
        <w:t xml:space="preserve">                                            },</w:t>
      </w:r>
    </w:p>
    <w:p w14:paraId="0232C4FF" w14:textId="325359B5" w:rsidR="00394471" w:rsidRPr="00FA0D37" w:rsidRDefault="00394471" w:rsidP="00FA0D37">
      <w:pPr>
        <w:pStyle w:val="PL"/>
      </w:pPr>
      <w:r w:rsidRPr="00FA0D37">
        <w:t xml:space="preserve">    drx-InactivityTimer</w:t>
      </w:r>
      <w:r w:rsidR="003A2D9D" w:rsidRPr="00FA0D37">
        <w:t>-r16</w:t>
      </w:r>
      <w:r w:rsidRPr="00FA0D37">
        <w:t xml:space="preserve">            </w:t>
      </w:r>
      <w:r w:rsidRPr="00FA0D37">
        <w:rPr>
          <w:color w:val="993366"/>
        </w:rPr>
        <w:t>ENUMERATED</w:t>
      </w:r>
      <w:r w:rsidRPr="00FA0D37">
        <w:t xml:space="preserve"> {</w:t>
      </w:r>
    </w:p>
    <w:p w14:paraId="70BC1F3C" w14:textId="77777777" w:rsidR="00394471" w:rsidRPr="00FA0D37" w:rsidRDefault="00394471" w:rsidP="00FA0D37">
      <w:pPr>
        <w:pStyle w:val="PL"/>
      </w:pPr>
      <w:r w:rsidRPr="00FA0D37">
        <w:t xml:space="preserve">                                           ms0, ms1, ms2, ms3, ms4, ms5, ms6, ms8, ms10, ms20, ms30, ms40, ms50, ms60, ms80,</w:t>
      </w:r>
    </w:p>
    <w:p w14:paraId="7C072E44" w14:textId="77777777" w:rsidR="00394471" w:rsidRPr="00FA0D37" w:rsidRDefault="00394471" w:rsidP="00FA0D37">
      <w:pPr>
        <w:pStyle w:val="PL"/>
      </w:pPr>
      <w:r w:rsidRPr="00FA0D37">
        <w:t xml:space="preserve">                                           ms100, ms200, ms300, ms500, ms750, ms1280, ms1920, ms2560, spare9, spare8,</w:t>
      </w:r>
    </w:p>
    <w:p w14:paraId="3A86E602" w14:textId="77777777" w:rsidR="00394471" w:rsidRPr="00FA0D37" w:rsidRDefault="00394471" w:rsidP="00FA0D37">
      <w:pPr>
        <w:pStyle w:val="PL"/>
      </w:pPr>
      <w:r w:rsidRPr="00FA0D37">
        <w:t xml:space="preserve">                                           spare7, spare6, spare5, spare4, spare3, spare2, spare1}</w:t>
      </w:r>
    </w:p>
    <w:p w14:paraId="6432A594" w14:textId="77777777" w:rsidR="00394471" w:rsidRPr="00FA0D37" w:rsidRDefault="00394471" w:rsidP="00FA0D37">
      <w:pPr>
        <w:pStyle w:val="PL"/>
      </w:pPr>
      <w:r w:rsidRPr="00FA0D37">
        <w:t>}</w:t>
      </w:r>
    </w:p>
    <w:p w14:paraId="06070A37" w14:textId="77777777" w:rsidR="00394471" w:rsidRPr="00FA0D37" w:rsidRDefault="00394471" w:rsidP="00FA0D37">
      <w:pPr>
        <w:pStyle w:val="PL"/>
      </w:pPr>
    </w:p>
    <w:p w14:paraId="571FA596" w14:textId="77777777" w:rsidR="00394471" w:rsidRPr="00FA0D37" w:rsidRDefault="00394471" w:rsidP="00FA0D37">
      <w:pPr>
        <w:pStyle w:val="PL"/>
        <w:rPr>
          <w:color w:val="808080"/>
        </w:rPr>
      </w:pPr>
      <w:r w:rsidRPr="00FA0D37">
        <w:rPr>
          <w:color w:val="808080"/>
        </w:rPr>
        <w:t>-- TAG-DRX-CONFIGSECONDARYGROUP-STOP</w:t>
      </w:r>
    </w:p>
    <w:p w14:paraId="742061E0" w14:textId="77777777" w:rsidR="00394471" w:rsidRPr="00FA0D37" w:rsidRDefault="00394471" w:rsidP="00FA0D37">
      <w:pPr>
        <w:pStyle w:val="PL"/>
        <w:rPr>
          <w:color w:val="808080"/>
        </w:rPr>
      </w:pPr>
      <w:r w:rsidRPr="00FA0D37">
        <w:rPr>
          <w:color w:val="808080"/>
        </w:rPr>
        <w:t>-- ASN1STOP</w:t>
      </w:r>
    </w:p>
    <w:p w14:paraId="1957CE48" w14:textId="77777777" w:rsidR="00394471" w:rsidRPr="00FA0D3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FA0D37" w:rsidRDefault="00394471" w:rsidP="00964CC4">
            <w:pPr>
              <w:pStyle w:val="TAH"/>
            </w:pPr>
            <w:r w:rsidRPr="00FA0D37">
              <w:rPr>
                <w:i/>
                <w:iCs/>
              </w:rPr>
              <w:t>DRX-ConfigSecondaryGroup</w:t>
            </w:r>
            <w:r w:rsidRPr="00FA0D37">
              <w:t xml:space="preserve"> field descriptions</w:t>
            </w:r>
          </w:p>
        </w:tc>
      </w:tr>
      <w:tr w:rsidR="005C7FF4" w:rsidRPr="00FA0D37"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FA0D37" w:rsidRDefault="00394471" w:rsidP="00964CC4">
            <w:pPr>
              <w:pStyle w:val="TAL"/>
              <w:rPr>
                <w:b/>
                <w:bCs/>
                <w:i/>
                <w:iCs/>
              </w:rPr>
            </w:pPr>
            <w:r w:rsidRPr="00FA0D37">
              <w:rPr>
                <w:b/>
                <w:bCs/>
                <w:i/>
                <w:iCs/>
              </w:rPr>
              <w:t>drx-InactivityTimer</w:t>
            </w:r>
          </w:p>
          <w:p w14:paraId="0A6A7442" w14:textId="7466FEA5" w:rsidR="00394471" w:rsidRPr="00FA0D37" w:rsidRDefault="00394471" w:rsidP="00964CC4">
            <w:pPr>
              <w:pStyle w:val="TAL"/>
            </w:pPr>
            <w:r w:rsidRPr="00FA0D37">
              <w:t xml:space="preserve">Value in multiple integers of 1 ms. </w:t>
            </w:r>
            <w:r w:rsidRPr="00FA0D37">
              <w:rPr>
                <w:i/>
                <w:iCs/>
                <w:lang w:eastAsia="zh-CN"/>
              </w:rPr>
              <w:t>ms0</w:t>
            </w:r>
            <w:r w:rsidRPr="00FA0D37">
              <w:t xml:space="preserve"> corresponds to 0</w:t>
            </w:r>
            <w:r w:rsidR="003A2D9D" w:rsidRPr="00FA0D37">
              <w:t xml:space="preserve"> ms</w:t>
            </w:r>
            <w:r w:rsidRPr="00FA0D37">
              <w:t xml:space="preserve">, </w:t>
            </w:r>
            <w:r w:rsidRPr="00FA0D37">
              <w:rPr>
                <w:i/>
                <w:iCs/>
                <w:lang w:eastAsia="zh-CN"/>
              </w:rPr>
              <w:t>ms1</w:t>
            </w:r>
            <w:r w:rsidRPr="00FA0D37">
              <w:t xml:space="preserve"> corresponds to 1 ms, </w:t>
            </w:r>
            <w:r w:rsidRPr="00FA0D37">
              <w:rPr>
                <w:i/>
                <w:iCs/>
                <w:lang w:eastAsia="zh-CN"/>
              </w:rPr>
              <w:t>ms2</w:t>
            </w:r>
            <w:r w:rsidRPr="00FA0D37">
              <w:t xml:space="preserve"> corresponds to 2 ms, and so on, as specified in TS 38.321 [3]. The network configures a </w:t>
            </w:r>
            <w:r w:rsidRPr="00FA0D37">
              <w:rPr>
                <w:i/>
              </w:rPr>
              <w:t>drx-InactivityTimer</w:t>
            </w:r>
            <w:r w:rsidRPr="00FA0D37">
              <w:t xml:space="preserve"> value for the second DRX group that is smaller than the </w:t>
            </w:r>
            <w:r w:rsidRPr="00FA0D37">
              <w:rPr>
                <w:i/>
              </w:rPr>
              <w:t>drx-InactivityTimer</w:t>
            </w:r>
            <w:r w:rsidRPr="00FA0D37">
              <w:t xml:space="preserve"> configured for the default DRX group in IE </w:t>
            </w:r>
            <w:r w:rsidRPr="00FA0D37">
              <w:rPr>
                <w:i/>
              </w:rPr>
              <w:t>DRX-Config</w:t>
            </w:r>
            <w:r w:rsidRPr="00FA0D37">
              <w:t>.</w:t>
            </w:r>
          </w:p>
        </w:tc>
      </w:tr>
      <w:tr w:rsidR="000830BB" w:rsidRPr="00FA0D37"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FA0D37" w:rsidRDefault="00394471" w:rsidP="00964CC4">
            <w:pPr>
              <w:pStyle w:val="TAL"/>
              <w:rPr>
                <w:b/>
                <w:bCs/>
                <w:i/>
                <w:iCs/>
              </w:rPr>
            </w:pPr>
            <w:r w:rsidRPr="00FA0D37">
              <w:rPr>
                <w:b/>
                <w:bCs/>
                <w:i/>
                <w:iCs/>
              </w:rPr>
              <w:t>drx-onDurationTimer</w:t>
            </w:r>
          </w:p>
          <w:p w14:paraId="53B9D802" w14:textId="033B3DF4" w:rsidR="00394471" w:rsidRPr="00FA0D37" w:rsidRDefault="00394471" w:rsidP="00964CC4">
            <w:pPr>
              <w:pStyle w:val="TAL"/>
            </w:pPr>
            <w:r w:rsidRPr="00FA0D37">
              <w:t>Value in multiples of 1/32 ms (subMilliSeconds) or in ms (milliSecond</w:t>
            </w:r>
            <w:r w:rsidR="003A2D9D" w:rsidRPr="00FA0D37">
              <w:t>s</w:t>
            </w:r>
            <w:r w:rsidRPr="00FA0D37">
              <w:t xml:space="preserve">). For the latter, value </w:t>
            </w:r>
            <w:r w:rsidRPr="00FA0D37">
              <w:rPr>
                <w:i/>
                <w:iCs/>
                <w:lang w:eastAsia="zh-CN"/>
              </w:rPr>
              <w:t>ms1</w:t>
            </w:r>
            <w:r w:rsidRPr="00FA0D37">
              <w:t xml:space="preserve"> corresponds to 1 ms, value </w:t>
            </w:r>
            <w:r w:rsidRPr="00FA0D37">
              <w:rPr>
                <w:i/>
                <w:iCs/>
                <w:lang w:eastAsia="zh-CN"/>
              </w:rPr>
              <w:t>ms2</w:t>
            </w:r>
            <w:r w:rsidRPr="00FA0D37">
              <w:t xml:space="preserve"> corresponds to 2 ms, and so on, as specified in TS 38.321 [3]. The network configures a </w:t>
            </w:r>
            <w:r w:rsidRPr="00FA0D37">
              <w:rPr>
                <w:i/>
              </w:rPr>
              <w:t>drx-onDurationTimer</w:t>
            </w:r>
            <w:r w:rsidRPr="00FA0D37">
              <w:t xml:space="preserve"> value for the second DRX group that is smaller than the </w:t>
            </w:r>
            <w:r w:rsidRPr="00FA0D37">
              <w:rPr>
                <w:i/>
              </w:rPr>
              <w:t xml:space="preserve">drx-onDurationTimer </w:t>
            </w:r>
            <w:r w:rsidRPr="00FA0D37">
              <w:t xml:space="preserve">configured for the default DRX group in IE </w:t>
            </w:r>
            <w:r w:rsidRPr="00FA0D37">
              <w:rPr>
                <w:i/>
              </w:rPr>
              <w:t>DRX-Config</w:t>
            </w:r>
            <w:r w:rsidRPr="00FA0D37">
              <w:t>.</w:t>
            </w:r>
          </w:p>
        </w:tc>
      </w:tr>
    </w:tbl>
    <w:p w14:paraId="7CEFC6D6" w14:textId="4D094FB2" w:rsidR="00394471" w:rsidRPr="00FA0D37" w:rsidRDefault="00394471" w:rsidP="00394471">
      <w:pPr>
        <w:rPr>
          <w:rFonts w:eastAsia="MS Mincho"/>
        </w:rPr>
      </w:pPr>
    </w:p>
    <w:p w14:paraId="13FB0D42" w14:textId="77777777" w:rsidR="00C26E98" w:rsidRPr="00FA0D37" w:rsidRDefault="00C26E98" w:rsidP="00C26E98">
      <w:pPr>
        <w:pStyle w:val="4"/>
        <w:rPr>
          <w:i/>
        </w:rPr>
      </w:pPr>
      <w:bookmarkStart w:id="1028" w:name="_Toc76423521"/>
      <w:bookmarkStart w:id="1029" w:name="_Toc146781286"/>
      <w:r w:rsidRPr="00FA0D37">
        <w:rPr>
          <w:i/>
        </w:rPr>
        <w:t>–</w:t>
      </w:r>
      <w:r w:rsidRPr="00FA0D37">
        <w:rPr>
          <w:i/>
        </w:rPr>
        <w:tab/>
        <w:t>DRX-ConfigS</w:t>
      </w:r>
      <w:bookmarkEnd w:id="1028"/>
      <w:r w:rsidRPr="00FA0D37">
        <w:rPr>
          <w:i/>
        </w:rPr>
        <w:t>L</w:t>
      </w:r>
      <w:bookmarkEnd w:id="1029"/>
    </w:p>
    <w:p w14:paraId="213854F3" w14:textId="7041DFC4" w:rsidR="00C26E98" w:rsidRPr="00FA0D37" w:rsidRDefault="00C26E98" w:rsidP="00C26E98">
      <w:r w:rsidRPr="00FA0D37">
        <w:t xml:space="preserve">The IE </w:t>
      </w:r>
      <w:r w:rsidRPr="00FA0D37">
        <w:rPr>
          <w:i/>
        </w:rPr>
        <w:t>DRX-ConfigSL</w:t>
      </w:r>
      <w:r w:rsidRPr="00FA0D37">
        <w:t xml:space="preserve"> is used to configure additional DRX parameters for the UE performing sidelink operation with resource allocation mode 1, as specified in TS 38.321 [</w:t>
      </w:r>
      <w:r w:rsidR="005F190C" w:rsidRPr="00FA0D37">
        <w:t>3</w:t>
      </w:r>
      <w:r w:rsidRPr="00FA0D37">
        <w:t>].</w:t>
      </w:r>
    </w:p>
    <w:p w14:paraId="091FBC0E" w14:textId="77777777" w:rsidR="00C26E98" w:rsidRPr="00FA0D37" w:rsidRDefault="00C26E98" w:rsidP="00C26E98">
      <w:pPr>
        <w:pStyle w:val="TH"/>
        <w:rPr>
          <w:bCs/>
          <w:i/>
          <w:iCs/>
        </w:rPr>
      </w:pPr>
      <w:r w:rsidRPr="00FA0D37">
        <w:rPr>
          <w:bCs/>
          <w:i/>
          <w:iCs/>
        </w:rPr>
        <w:t>DRX-ConfigSL</w:t>
      </w:r>
      <w:r w:rsidRPr="00FA0D37">
        <w:rPr>
          <w:bCs/>
        </w:rPr>
        <w:t xml:space="preserve"> information element</w:t>
      </w:r>
    </w:p>
    <w:p w14:paraId="217E2D65" w14:textId="77777777" w:rsidR="00C26E98" w:rsidRPr="00FA0D37" w:rsidRDefault="00C26E98" w:rsidP="00FA0D37">
      <w:pPr>
        <w:pStyle w:val="PL"/>
        <w:rPr>
          <w:color w:val="808080"/>
        </w:rPr>
      </w:pPr>
      <w:r w:rsidRPr="00FA0D37">
        <w:rPr>
          <w:color w:val="808080"/>
        </w:rPr>
        <w:t>-- ASN1START</w:t>
      </w:r>
    </w:p>
    <w:p w14:paraId="00A03A09" w14:textId="77777777" w:rsidR="00C26E98" w:rsidRPr="00FA0D37" w:rsidRDefault="00C26E98" w:rsidP="00FA0D37">
      <w:pPr>
        <w:pStyle w:val="PL"/>
        <w:rPr>
          <w:color w:val="808080"/>
        </w:rPr>
      </w:pPr>
      <w:r w:rsidRPr="00FA0D37">
        <w:rPr>
          <w:color w:val="808080"/>
        </w:rPr>
        <w:t>-- TAG-DRX-CONFIGSL-START</w:t>
      </w:r>
    </w:p>
    <w:p w14:paraId="1DDF238B" w14:textId="77777777" w:rsidR="00C26E98" w:rsidRPr="00FA0D37" w:rsidRDefault="00C26E98" w:rsidP="00FA0D37">
      <w:pPr>
        <w:pStyle w:val="PL"/>
      </w:pPr>
    </w:p>
    <w:p w14:paraId="14634EC9" w14:textId="2E790E03" w:rsidR="00C26E98" w:rsidRPr="00FA0D37" w:rsidRDefault="00C26E98" w:rsidP="00FA0D37">
      <w:pPr>
        <w:pStyle w:val="PL"/>
      </w:pPr>
      <w:r w:rsidRPr="00FA0D37">
        <w:t>DRX-ConfigSL</w:t>
      </w:r>
      <w:r w:rsidR="002714C6" w:rsidRPr="00FA0D37">
        <w:t>-r17</w:t>
      </w:r>
      <w:r w:rsidRPr="00FA0D37">
        <w:t xml:space="preserve"> ::=            </w:t>
      </w:r>
      <w:r w:rsidRPr="00FA0D37">
        <w:rPr>
          <w:color w:val="993366"/>
        </w:rPr>
        <w:t>SEQUENCE</w:t>
      </w:r>
      <w:r w:rsidRPr="00FA0D37">
        <w:t xml:space="preserve"> {</w:t>
      </w:r>
    </w:p>
    <w:p w14:paraId="40D23858" w14:textId="0A2FDD2B" w:rsidR="00C26E98" w:rsidRPr="00FA0D37" w:rsidRDefault="00C26E98" w:rsidP="00FA0D37">
      <w:pPr>
        <w:pStyle w:val="PL"/>
      </w:pPr>
      <w:r w:rsidRPr="00FA0D37">
        <w:t xml:space="preserve">    drx-HARQ-RTT-TimerSL</w:t>
      </w:r>
      <w:r w:rsidR="002714C6" w:rsidRPr="00FA0D37">
        <w:t>-r17</w:t>
      </w:r>
      <w:r w:rsidRPr="00FA0D37">
        <w:t xml:space="preserve">        </w:t>
      </w:r>
      <w:r w:rsidRPr="00FA0D37">
        <w:rPr>
          <w:color w:val="993366"/>
        </w:rPr>
        <w:t>INTEGER</w:t>
      </w:r>
      <w:r w:rsidRPr="00FA0D37">
        <w:t xml:space="preserve"> (0..56),</w:t>
      </w:r>
    </w:p>
    <w:p w14:paraId="48574C57" w14:textId="77777777" w:rsidR="002714C6" w:rsidRPr="00FA0D37" w:rsidRDefault="00C26E98" w:rsidP="00FA0D37">
      <w:pPr>
        <w:pStyle w:val="PL"/>
      </w:pPr>
      <w:r w:rsidRPr="00FA0D37">
        <w:t xml:space="preserve">    drx-RetransmissionTimerSL</w:t>
      </w:r>
      <w:r w:rsidR="002714C6" w:rsidRPr="00FA0D37">
        <w:t>-r17</w:t>
      </w:r>
      <w:r w:rsidRPr="00FA0D37">
        <w:t xml:space="preserve">   </w:t>
      </w:r>
      <w:r w:rsidRPr="00FA0D37">
        <w:rPr>
          <w:color w:val="993366"/>
        </w:rPr>
        <w:t>ENUMERATED</w:t>
      </w:r>
      <w:r w:rsidRPr="00FA0D37">
        <w:t xml:space="preserve"> {sl0, sl1, sl2, sl4, sl6, sl8, sl16, sl24, sl33, sl40, sl64, sl80, sl96, sl112, sl128,</w:t>
      </w:r>
    </w:p>
    <w:p w14:paraId="045FBBA4" w14:textId="3547D53B" w:rsidR="002714C6" w:rsidRPr="00FA0D37" w:rsidRDefault="002714C6" w:rsidP="00FA0D37">
      <w:pPr>
        <w:pStyle w:val="PL"/>
      </w:pPr>
      <w:r w:rsidRPr="00FA0D37">
        <w:t xml:space="preserve">                                               </w:t>
      </w:r>
      <w:r w:rsidR="00C26E98" w:rsidRPr="00FA0D37">
        <w:t xml:space="preserve"> sl160, sl320, spare15, spare14, spare13, spare12, spare11, spare10, spare9, spare8,</w:t>
      </w:r>
    </w:p>
    <w:p w14:paraId="145130FB" w14:textId="728CBD1C" w:rsidR="00C26E98" w:rsidRPr="00FA0D37" w:rsidRDefault="002714C6" w:rsidP="00FA0D37">
      <w:pPr>
        <w:pStyle w:val="PL"/>
      </w:pPr>
      <w:r w:rsidRPr="00FA0D37">
        <w:t xml:space="preserve">                                               </w:t>
      </w:r>
      <w:r w:rsidR="00C26E98" w:rsidRPr="00FA0D37">
        <w:t xml:space="preserve"> spare7, spare6, spare5, spare4, spare3, spare2, spare1}</w:t>
      </w:r>
    </w:p>
    <w:p w14:paraId="09D0D531" w14:textId="77777777" w:rsidR="00C26E98" w:rsidRPr="00FA0D37" w:rsidRDefault="00C26E98" w:rsidP="00FA0D37">
      <w:pPr>
        <w:pStyle w:val="PL"/>
      </w:pPr>
      <w:r w:rsidRPr="00FA0D37">
        <w:t>}</w:t>
      </w:r>
    </w:p>
    <w:p w14:paraId="2B8F81A2" w14:textId="77777777" w:rsidR="00C26E98" w:rsidRPr="00FA0D37" w:rsidRDefault="00C26E98" w:rsidP="00FA0D37">
      <w:pPr>
        <w:pStyle w:val="PL"/>
      </w:pPr>
    </w:p>
    <w:p w14:paraId="3B6CEC9C" w14:textId="77777777" w:rsidR="00C26E98" w:rsidRPr="00FA0D37" w:rsidRDefault="00C26E98" w:rsidP="00FA0D37">
      <w:pPr>
        <w:pStyle w:val="PL"/>
        <w:rPr>
          <w:color w:val="808080"/>
        </w:rPr>
      </w:pPr>
      <w:r w:rsidRPr="00FA0D37">
        <w:rPr>
          <w:color w:val="808080"/>
        </w:rPr>
        <w:t>-- TAG-DRX-CONFIGSL-STOP</w:t>
      </w:r>
    </w:p>
    <w:p w14:paraId="5CBDDE75" w14:textId="77777777" w:rsidR="00C26E98" w:rsidRPr="00FA0D37" w:rsidRDefault="00C26E98" w:rsidP="00FA0D37">
      <w:pPr>
        <w:pStyle w:val="PL"/>
        <w:rPr>
          <w:color w:val="808080"/>
        </w:rPr>
      </w:pPr>
      <w:r w:rsidRPr="00FA0D37">
        <w:rPr>
          <w:color w:val="808080"/>
        </w:rPr>
        <w:t>-- ASN1STOP</w:t>
      </w:r>
    </w:p>
    <w:p w14:paraId="7B0C1AC6" w14:textId="77777777" w:rsidR="00C26E98" w:rsidRPr="00FA0D37" w:rsidRDefault="00C26E98" w:rsidP="000830BB">
      <w:pPr>
        <w:rPr>
          <w:rFonts w:eastAsia="MS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3DC1D3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FA0D37" w:rsidRDefault="00C26E98" w:rsidP="00771058">
            <w:pPr>
              <w:pStyle w:val="TAH"/>
              <w:rPr>
                <w:i/>
              </w:rPr>
            </w:pPr>
            <w:r w:rsidRPr="00FA0D37">
              <w:rPr>
                <w:i/>
              </w:rPr>
              <w:lastRenderedPageBreak/>
              <w:t>DRX-ConfigSL</w:t>
            </w:r>
            <w:r w:rsidRPr="00FA0D37">
              <w:rPr>
                <w:iCs/>
              </w:rPr>
              <w:t xml:space="preserve"> field descriptions</w:t>
            </w:r>
          </w:p>
        </w:tc>
      </w:tr>
      <w:tr w:rsidR="005C7FF4" w:rsidRPr="00FA0D37" w14:paraId="33B4997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FA0D37" w:rsidRDefault="00C26E98" w:rsidP="00771058">
            <w:pPr>
              <w:pStyle w:val="TAL"/>
              <w:rPr>
                <w:b/>
                <w:i/>
                <w:lang w:eastAsia="sv-SE"/>
              </w:rPr>
            </w:pPr>
            <w:r w:rsidRPr="00FA0D37">
              <w:rPr>
                <w:b/>
                <w:i/>
                <w:lang w:eastAsia="sv-SE"/>
              </w:rPr>
              <w:t>drx-HARQ-RTT-TimerSL</w:t>
            </w:r>
          </w:p>
          <w:p w14:paraId="42117B51" w14:textId="3351EEBD" w:rsidR="00C26E98" w:rsidRPr="00FA0D37" w:rsidRDefault="00DE10C1" w:rsidP="00771058">
            <w:pPr>
              <w:pStyle w:val="TAL"/>
            </w:pPr>
            <w:r w:rsidRPr="00FA0D37">
              <w:rPr>
                <w:lang w:eastAsia="sv-SE"/>
              </w:rPr>
              <w:t>For sidelink configured grant Type 1, value in number of symbols of the activated DL BWP of PCell. For other cases, v</w:t>
            </w:r>
            <w:r w:rsidR="00C26E98" w:rsidRPr="00FA0D37">
              <w:rPr>
                <w:lang w:eastAsia="sv-SE"/>
              </w:rPr>
              <w:t>alue in number of symbols of the BWP where the PDCCH was transmitted.</w:t>
            </w:r>
            <w:r w:rsidR="00E36B13" w:rsidRPr="00FA0D37">
              <w:rPr>
                <w:lang w:eastAsia="sv-SE"/>
              </w:rPr>
              <w:t xml:space="preserve"> Value 0 is used in case </w:t>
            </w:r>
            <w:r w:rsidR="00E36B13" w:rsidRPr="00FA0D37">
              <w:rPr>
                <w:i/>
                <w:lang w:eastAsia="sv-SE"/>
              </w:rPr>
              <w:t>sl-PUCCH-Config</w:t>
            </w:r>
            <w:r w:rsidR="00E36B13" w:rsidRPr="00FA0D37">
              <w:rPr>
                <w:lang w:eastAsia="sv-SE"/>
              </w:rPr>
              <w:t xml:space="preserve"> is not configured and the corresponding resource pool is not configured with PSFCH.</w:t>
            </w:r>
          </w:p>
        </w:tc>
      </w:tr>
      <w:tr w:rsidR="00C26E98" w:rsidRPr="00FA0D37" w14:paraId="6F83160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FA0D37" w:rsidRDefault="00C26E98" w:rsidP="00771058">
            <w:pPr>
              <w:pStyle w:val="TAH"/>
              <w:jc w:val="left"/>
              <w:rPr>
                <w:i/>
                <w:lang w:eastAsia="sv-SE"/>
              </w:rPr>
            </w:pPr>
            <w:r w:rsidRPr="00FA0D37">
              <w:rPr>
                <w:i/>
                <w:lang w:eastAsia="sv-SE"/>
              </w:rPr>
              <w:t>drx-RetransmissionTimerSL</w:t>
            </w:r>
          </w:p>
          <w:p w14:paraId="0D902FB6" w14:textId="694090F7" w:rsidR="00C26E98" w:rsidRPr="00FA0D37" w:rsidRDefault="00DE10C1" w:rsidP="00771058">
            <w:pPr>
              <w:pStyle w:val="TAL"/>
            </w:pPr>
            <w:r w:rsidRPr="00FA0D37">
              <w:rPr>
                <w:lang w:eastAsia="sv-SE"/>
              </w:rPr>
              <w:t>For sidelink configured grant Type 1, value in number of slot lengths of the activated DL BWP of PCell. For other cases, v</w:t>
            </w:r>
            <w:r w:rsidR="00C26E98" w:rsidRPr="00FA0D37">
              <w:rPr>
                <w:lang w:eastAsia="sv-SE"/>
              </w:rPr>
              <w:t xml:space="preserve">alue in number of slot lengths of the BWP where the PDCCH was transmitted. </w:t>
            </w:r>
            <w:r w:rsidR="00C26E98" w:rsidRPr="00FA0D37">
              <w:rPr>
                <w:i/>
                <w:lang w:eastAsia="sv-SE"/>
              </w:rPr>
              <w:t>sl0</w:t>
            </w:r>
            <w:r w:rsidR="00C26E98" w:rsidRPr="00FA0D37">
              <w:rPr>
                <w:lang w:eastAsia="sv-SE"/>
              </w:rPr>
              <w:t xml:space="preserve"> corresponds to 0 slots, </w:t>
            </w:r>
            <w:r w:rsidR="00C26E98" w:rsidRPr="00FA0D37">
              <w:rPr>
                <w:i/>
                <w:lang w:eastAsia="sv-SE"/>
              </w:rPr>
              <w:t>sl1</w:t>
            </w:r>
            <w:r w:rsidR="00C26E98" w:rsidRPr="00FA0D37">
              <w:rPr>
                <w:lang w:eastAsia="sv-SE"/>
              </w:rPr>
              <w:t xml:space="preserve"> corresponds to 1 slot, </w:t>
            </w:r>
            <w:r w:rsidR="00C26E98" w:rsidRPr="00FA0D37">
              <w:rPr>
                <w:i/>
                <w:lang w:eastAsia="sv-SE"/>
              </w:rPr>
              <w:t>sl2</w:t>
            </w:r>
            <w:r w:rsidR="00C26E98" w:rsidRPr="00FA0D37">
              <w:rPr>
                <w:lang w:eastAsia="sv-SE"/>
              </w:rPr>
              <w:t xml:space="preserve"> corresponds to 2 slots, and so on.</w:t>
            </w:r>
          </w:p>
        </w:tc>
      </w:tr>
    </w:tbl>
    <w:p w14:paraId="794349FC" w14:textId="63D94EA8" w:rsidR="00C26E98" w:rsidRPr="00FA0D37" w:rsidRDefault="00C26E98" w:rsidP="00394471">
      <w:pPr>
        <w:rPr>
          <w:rFonts w:eastAsia="MS Mincho"/>
        </w:rPr>
      </w:pPr>
    </w:p>
    <w:p w14:paraId="565304B5" w14:textId="77777777" w:rsidR="005B7637" w:rsidRPr="00FA0D37" w:rsidRDefault="005B7637" w:rsidP="005B7637">
      <w:pPr>
        <w:pStyle w:val="4"/>
      </w:pPr>
      <w:bookmarkStart w:id="1030" w:name="_Toc146781287"/>
      <w:r w:rsidRPr="00FA0D37">
        <w:t>–</w:t>
      </w:r>
      <w:r w:rsidRPr="00FA0D37">
        <w:tab/>
      </w:r>
      <w:r w:rsidRPr="00FA0D37">
        <w:rPr>
          <w:i/>
        </w:rPr>
        <w:t>EphemerisInfo</w:t>
      </w:r>
      <w:bookmarkEnd w:id="1030"/>
    </w:p>
    <w:p w14:paraId="49E86FB1" w14:textId="352207D6" w:rsidR="005B7637" w:rsidRPr="00FA0D37" w:rsidRDefault="005B7637" w:rsidP="005B7637">
      <w:r w:rsidRPr="00FA0D37">
        <w:t xml:space="preserve">The IE </w:t>
      </w:r>
      <w:r w:rsidRPr="00FA0D37">
        <w:rPr>
          <w:i/>
        </w:rPr>
        <w:t>EphemerisInfo</w:t>
      </w:r>
      <w:r w:rsidRPr="00FA0D37">
        <w:t xml:space="preserve"> provides satellite ephemeris. Ephemeris may be expressed either in format of position and velocity state vector </w:t>
      </w:r>
      <w:r w:rsidR="00276FEB" w:rsidRPr="00FA0D37">
        <w:t xml:space="preserve">in ECEF </w:t>
      </w:r>
      <w:r w:rsidRPr="00FA0D37">
        <w:t>or in format of orbital parameters</w:t>
      </w:r>
      <w:r w:rsidR="00276FEB" w:rsidRPr="00FA0D37">
        <w:t xml:space="preserve"> in </w:t>
      </w:r>
      <w:r w:rsidR="008779EC" w:rsidRPr="00FA0D37">
        <w:t>ECI</w:t>
      </w:r>
      <w:r w:rsidRPr="00FA0D37">
        <w:t>.</w:t>
      </w:r>
      <w:r w:rsidR="00276FEB" w:rsidRPr="00FA0D37">
        <w:t xml:space="preserve"> Note: The ECI and ECEF coincide at </w:t>
      </w:r>
      <w:r w:rsidR="00276FEB" w:rsidRPr="00FA0D37">
        <w:rPr>
          <w:i/>
          <w:iCs/>
        </w:rPr>
        <w:t>epochTime</w:t>
      </w:r>
      <w:r w:rsidR="00276FEB" w:rsidRPr="00FA0D37">
        <w:t xml:space="preserve">, i.e., x,y,z axis in ECEF are aligned with x,y,z axis in ECI at </w:t>
      </w:r>
      <w:r w:rsidR="00276FEB" w:rsidRPr="00FA0D37">
        <w:rPr>
          <w:i/>
          <w:iCs/>
        </w:rPr>
        <w:t>epochTime</w:t>
      </w:r>
      <w:r w:rsidR="00276FEB" w:rsidRPr="00FA0D37">
        <w:t>.</w:t>
      </w:r>
    </w:p>
    <w:p w14:paraId="7511AE44" w14:textId="77777777" w:rsidR="005B7637" w:rsidRPr="00FA0D37" w:rsidRDefault="005B7637" w:rsidP="005B7637">
      <w:pPr>
        <w:pStyle w:val="TH"/>
      </w:pPr>
      <w:r w:rsidRPr="00FA0D37">
        <w:rPr>
          <w:i/>
        </w:rPr>
        <w:t>EphemerisInfo</w:t>
      </w:r>
      <w:r w:rsidRPr="00FA0D37">
        <w:t xml:space="preserve"> information element</w:t>
      </w:r>
    </w:p>
    <w:p w14:paraId="42576628" w14:textId="77777777" w:rsidR="005B7637" w:rsidRPr="00FA0D37" w:rsidRDefault="005B7637" w:rsidP="00FA0D37">
      <w:pPr>
        <w:pStyle w:val="PL"/>
        <w:rPr>
          <w:color w:val="808080"/>
        </w:rPr>
      </w:pPr>
      <w:r w:rsidRPr="00FA0D37">
        <w:rPr>
          <w:color w:val="808080"/>
        </w:rPr>
        <w:t>-- ASN1START</w:t>
      </w:r>
    </w:p>
    <w:p w14:paraId="2DF6E553" w14:textId="77777777" w:rsidR="005B7637" w:rsidRPr="00FA0D37" w:rsidRDefault="005B7637" w:rsidP="00FA0D37">
      <w:pPr>
        <w:pStyle w:val="PL"/>
        <w:rPr>
          <w:color w:val="808080"/>
        </w:rPr>
      </w:pPr>
      <w:r w:rsidRPr="00FA0D37">
        <w:rPr>
          <w:color w:val="808080"/>
        </w:rPr>
        <w:t>-- TAG-EPHEMERISINFO-START</w:t>
      </w:r>
    </w:p>
    <w:p w14:paraId="73C85DFE" w14:textId="77777777" w:rsidR="005B7637" w:rsidRPr="00FA0D37" w:rsidRDefault="005B7637" w:rsidP="00FA0D37">
      <w:pPr>
        <w:pStyle w:val="PL"/>
      </w:pPr>
    </w:p>
    <w:p w14:paraId="68CAC5FE" w14:textId="0976A051" w:rsidR="005B7637" w:rsidRPr="00FA0D37" w:rsidRDefault="005B7637" w:rsidP="00FA0D37">
      <w:pPr>
        <w:pStyle w:val="PL"/>
      </w:pPr>
      <w:r w:rsidRPr="00FA0D37">
        <w:t xml:space="preserve">EphemerisInfo-r17 ::=          </w:t>
      </w:r>
      <w:r w:rsidRPr="00FA0D37">
        <w:rPr>
          <w:color w:val="993366"/>
        </w:rPr>
        <w:t>CHOICE</w:t>
      </w:r>
      <w:r w:rsidRPr="00FA0D37">
        <w:t xml:space="preserve"> {</w:t>
      </w:r>
    </w:p>
    <w:p w14:paraId="461A90B1" w14:textId="5C874FA9" w:rsidR="005B7637" w:rsidRPr="00FA0D37" w:rsidRDefault="005B7637" w:rsidP="00FA0D37">
      <w:pPr>
        <w:pStyle w:val="PL"/>
      </w:pPr>
      <w:r w:rsidRPr="00FA0D37">
        <w:t xml:space="preserve">    positionVelocity-r17           PositionVelocity-r17,</w:t>
      </w:r>
    </w:p>
    <w:p w14:paraId="042DB3F7" w14:textId="239A9736" w:rsidR="005B7637" w:rsidRPr="00FA0D37" w:rsidRDefault="005B7637" w:rsidP="00FA0D37">
      <w:pPr>
        <w:pStyle w:val="PL"/>
      </w:pPr>
      <w:r w:rsidRPr="00FA0D37">
        <w:t xml:space="preserve">    orbital-r17                    Orbital-r17</w:t>
      </w:r>
    </w:p>
    <w:p w14:paraId="685DC027" w14:textId="77777777" w:rsidR="005B7637" w:rsidRPr="00FA0D37" w:rsidRDefault="005B7637" w:rsidP="00FA0D37">
      <w:pPr>
        <w:pStyle w:val="PL"/>
      </w:pPr>
      <w:r w:rsidRPr="00FA0D37">
        <w:t>}</w:t>
      </w:r>
    </w:p>
    <w:p w14:paraId="6FA18590" w14:textId="77777777" w:rsidR="005B7637" w:rsidRPr="00FA0D37" w:rsidRDefault="005B7637" w:rsidP="00FA0D37">
      <w:pPr>
        <w:pStyle w:val="PL"/>
      </w:pPr>
    </w:p>
    <w:p w14:paraId="228DC6A5" w14:textId="2BB19D11" w:rsidR="005B7637" w:rsidRPr="00FA0D37" w:rsidRDefault="005B7637" w:rsidP="00FA0D37">
      <w:pPr>
        <w:pStyle w:val="PL"/>
      </w:pPr>
      <w:r w:rsidRPr="00FA0D37">
        <w:t xml:space="preserve">PositionVelocity-r17 ::=       </w:t>
      </w:r>
      <w:r w:rsidRPr="00FA0D37">
        <w:rPr>
          <w:color w:val="993366"/>
        </w:rPr>
        <w:t>SEQUENCE</w:t>
      </w:r>
      <w:r w:rsidRPr="00FA0D37">
        <w:t xml:space="preserve"> {</w:t>
      </w:r>
    </w:p>
    <w:p w14:paraId="340A7FFC" w14:textId="616E8328" w:rsidR="005B7637" w:rsidRPr="00FA0D37" w:rsidRDefault="005B7637" w:rsidP="00FA0D37">
      <w:pPr>
        <w:pStyle w:val="PL"/>
      </w:pPr>
      <w:r w:rsidRPr="00FA0D37">
        <w:t xml:space="preserve">    positionX-r17                  PositionStateVector-r17,</w:t>
      </w:r>
    </w:p>
    <w:p w14:paraId="11DCAA6F" w14:textId="0B5BEABB" w:rsidR="005B7637" w:rsidRPr="00FA0D37" w:rsidRDefault="005B7637" w:rsidP="00FA0D37">
      <w:pPr>
        <w:pStyle w:val="PL"/>
      </w:pPr>
      <w:r w:rsidRPr="00FA0D37">
        <w:t xml:space="preserve">    positionY-r17                  PositionStateVector-r17,</w:t>
      </w:r>
    </w:p>
    <w:p w14:paraId="59832D87" w14:textId="4FA279EF" w:rsidR="005B7637" w:rsidRPr="00FA0D37" w:rsidRDefault="005B7637" w:rsidP="00FA0D37">
      <w:pPr>
        <w:pStyle w:val="PL"/>
      </w:pPr>
      <w:r w:rsidRPr="00FA0D37">
        <w:t xml:space="preserve">    positionZ-r17                  PositionStateVector-r17,</w:t>
      </w:r>
    </w:p>
    <w:p w14:paraId="18767FA5" w14:textId="5659993D" w:rsidR="005B7637" w:rsidRPr="00FA0D37" w:rsidRDefault="005B7637" w:rsidP="00FA0D37">
      <w:pPr>
        <w:pStyle w:val="PL"/>
      </w:pPr>
      <w:r w:rsidRPr="00FA0D37">
        <w:t xml:space="preserve">    velocityVX-r17                 VelocityStateVector-r17,</w:t>
      </w:r>
    </w:p>
    <w:p w14:paraId="150B8A20" w14:textId="56658145" w:rsidR="005B7637" w:rsidRPr="00FA0D37" w:rsidRDefault="005B7637" w:rsidP="00FA0D37">
      <w:pPr>
        <w:pStyle w:val="PL"/>
      </w:pPr>
      <w:r w:rsidRPr="00FA0D37">
        <w:t xml:space="preserve">    velocityVY-r17                 VelocityStateVector-r17,</w:t>
      </w:r>
    </w:p>
    <w:p w14:paraId="76BEB567" w14:textId="1ED37FC2" w:rsidR="005B7637" w:rsidRPr="00FA0D37" w:rsidRDefault="005B7637" w:rsidP="00FA0D37">
      <w:pPr>
        <w:pStyle w:val="PL"/>
      </w:pPr>
      <w:r w:rsidRPr="00FA0D37">
        <w:t xml:space="preserve">    velocityVZ-r17                 VelocityStateVector-r17</w:t>
      </w:r>
    </w:p>
    <w:p w14:paraId="0D423113" w14:textId="77777777" w:rsidR="005B7637" w:rsidRPr="00FA0D37" w:rsidRDefault="005B7637" w:rsidP="00FA0D37">
      <w:pPr>
        <w:pStyle w:val="PL"/>
      </w:pPr>
      <w:r w:rsidRPr="00FA0D37">
        <w:t>}</w:t>
      </w:r>
    </w:p>
    <w:p w14:paraId="13FC77EE" w14:textId="77777777" w:rsidR="005B7637" w:rsidRPr="00FA0D37" w:rsidRDefault="005B7637" w:rsidP="00FA0D37">
      <w:pPr>
        <w:pStyle w:val="PL"/>
      </w:pPr>
    </w:p>
    <w:p w14:paraId="5791B1D0" w14:textId="4893EC30" w:rsidR="005B7637" w:rsidRPr="00FA0D37" w:rsidRDefault="005B7637" w:rsidP="00FA0D37">
      <w:pPr>
        <w:pStyle w:val="PL"/>
      </w:pPr>
      <w:r w:rsidRPr="00FA0D37">
        <w:t xml:space="preserve">Orbital-r17 ::=                </w:t>
      </w:r>
      <w:r w:rsidRPr="00FA0D37">
        <w:rPr>
          <w:color w:val="993366"/>
        </w:rPr>
        <w:t>SEQUENCE</w:t>
      </w:r>
      <w:r w:rsidRPr="00FA0D37">
        <w:t xml:space="preserve"> {</w:t>
      </w:r>
    </w:p>
    <w:p w14:paraId="0B5F55ED" w14:textId="46076534" w:rsidR="005B7637" w:rsidRPr="00FA0D37" w:rsidRDefault="005B7637" w:rsidP="00FA0D37">
      <w:pPr>
        <w:pStyle w:val="PL"/>
      </w:pPr>
      <w:r w:rsidRPr="00FA0D37">
        <w:t xml:space="preserve">    semiMajorAxis-r17              </w:t>
      </w:r>
      <w:r w:rsidRPr="00FA0D37">
        <w:rPr>
          <w:color w:val="993366"/>
        </w:rPr>
        <w:t>INTEGER</w:t>
      </w:r>
      <w:r w:rsidRPr="00FA0D37">
        <w:t xml:space="preserve"> (0..8589934591),</w:t>
      </w:r>
    </w:p>
    <w:p w14:paraId="63702502" w14:textId="54E490D5" w:rsidR="005B7637" w:rsidRPr="00FA0D37" w:rsidRDefault="005B7637" w:rsidP="00FA0D37">
      <w:pPr>
        <w:pStyle w:val="PL"/>
      </w:pPr>
      <w:r w:rsidRPr="00FA0D37">
        <w:t xml:space="preserve">    eccentricity-r17              </w:t>
      </w:r>
      <w:r w:rsidR="00510F40" w:rsidRPr="00FA0D37">
        <w:t xml:space="preserve"> </w:t>
      </w:r>
      <w:r w:rsidRPr="00FA0D37">
        <w:rPr>
          <w:color w:val="993366"/>
        </w:rPr>
        <w:t>INTEGER</w:t>
      </w:r>
      <w:r w:rsidRPr="00FA0D37">
        <w:t xml:space="preserve"> (0..</w:t>
      </w:r>
      <w:r w:rsidR="00510F40" w:rsidRPr="00FA0D37">
        <w:t>1048575</w:t>
      </w:r>
      <w:r w:rsidRPr="00FA0D37">
        <w:t>),</w:t>
      </w:r>
    </w:p>
    <w:p w14:paraId="6048BB9B" w14:textId="5F950F26" w:rsidR="005B7637" w:rsidRPr="00FA0D37" w:rsidRDefault="005B7637" w:rsidP="00FA0D37">
      <w:pPr>
        <w:pStyle w:val="PL"/>
      </w:pPr>
      <w:r w:rsidRPr="00FA0D37">
        <w:t xml:space="preserve">    periapsis-r17                  </w:t>
      </w:r>
      <w:r w:rsidRPr="00FA0D37">
        <w:rPr>
          <w:color w:val="993366"/>
        </w:rPr>
        <w:t>INTEGER</w:t>
      </w:r>
      <w:r w:rsidRPr="00FA0D37">
        <w:t xml:space="preserve"> (0..</w:t>
      </w:r>
      <w:r w:rsidR="003E422B" w:rsidRPr="00FA0D37">
        <w:t>268435455</w:t>
      </w:r>
      <w:r w:rsidRPr="00FA0D37">
        <w:t>),</w:t>
      </w:r>
    </w:p>
    <w:p w14:paraId="61520924" w14:textId="7473017D" w:rsidR="005B7637" w:rsidRPr="00FA0D37" w:rsidRDefault="005B7637" w:rsidP="00FA0D37">
      <w:pPr>
        <w:pStyle w:val="PL"/>
      </w:pPr>
      <w:r w:rsidRPr="00FA0D37">
        <w:t xml:space="preserve">    longitude-r17                  </w:t>
      </w:r>
      <w:r w:rsidRPr="00FA0D37">
        <w:rPr>
          <w:color w:val="993366"/>
        </w:rPr>
        <w:t>INTEGER</w:t>
      </w:r>
      <w:r w:rsidRPr="00FA0D37">
        <w:t xml:space="preserve"> (0..</w:t>
      </w:r>
      <w:r w:rsidR="003E422B" w:rsidRPr="00FA0D37">
        <w:t>268435455</w:t>
      </w:r>
      <w:r w:rsidRPr="00FA0D37">
        <w:t>),</w:t>
      </w:r>
    </w:p>
    <w:p w14:paraId="23359022" w14:textId="0EB0049B" w:rsidR="005B7637" w:rsidRPr="00FA0D37" w:rsidRDefault="005B7637" w:rsidP="00FA0D37">
      <w:pPr>
        <w:pStyle w:val="PL"/>
      </w:pPr>
      <w:r w:rsidRPr="00FA0D37">
        <w:t xml:space="preserve">    inclination-r17               </w:t>
      </w:r>
      <w:r w:rsidR="003E422B" w:rsidRPr="00FA0D37">
        <w:t xml:space="preserve"> </w:t>
      </w:r>
      <w:r w:rsidRPr="00FA0D37">
        <w:rPr>
          <w:color w:val="993366"/>
        </w:rPr>
        <w:t>INTEGER</w:t>
      </w:r>
      <w:r w:rsidRPr="00FA0D37">
        <w:t xml:space="preserve"> (-</w:t>
      </w:r>
      <w:r w:rsidR="003E422B" w:rsidRPr="00FA0D37">
        <w:t>67108864</w:t>
      </w:r>
      <w:r w:rsidRPr="00FA0D37">
        <w:t>..</w:t>
      </w:r>
      <w:r w:rsidR="003E422B" w:rsidRPr="00FA0D37">
        <w:t>67108863</w:t>
      </w:r>
      <w:r w:rsidRPr="00FA0D37">
        <w:t>),</w:t>
      </w:r>
    </w:p>
    <w:p w14:paraId="58E72AF6" w14:textId="456D3818" w:rsidR="005B7637" w:rsidRPr="00FA0D37" w:rsidRDefault="005B7637" w:rsidP="00FA0D37">
      <w:pPr>
        <w:pStyle w:val="PL"/>
      </w:pPr>
      <w:r w:rsidRPr="00FA0D37">
        <w:t xml:space="preserve">    meanAnomaly-r17               </w:t>
      </w:r>
      <w:r w:rsidR="003E422B" w:rsidRPr="00FA0D37">
        <w:t xml:space="preserve"> </w:t>
      </w:r>
      <w:r w:rsidRPr="00FA0D37">
        <w:rPr>
          <w:color w:val="993366"/>
        </w:rPr>
        <w:t>INTEGER</w:t>
      </w:r>
      <w:r w:rsidRPr="00FA0D37">
        <w:t xml:space="preserve"> (0..</w:t>
      </w:r>
      <w:r w:rsidR="003E422B" w:rsidRPr="00FA0D37">
        <w:t>268435455</w:t>
      </w:r>
      <w:r w:rsidRPr="00FA0D37">
        <w:t>)</w:t>
      </w:r>
    </w:p>
    <w:p w14:paraId="37680B91" w14:textId="77777777" w:rsidR="005B7637" w:rsidRPr="00FA0D37" w:rsidRDefault="005B7637" w:rsidP="00FA0D37">
      <w:pPr>
        <w:pStyle w:val="PL"/>
      </w:pPr>
      <w:r w:rsidRPr="00FA0D37">
        <w:t>}</w:t>
      </w:r>
    </w:p>
    <w:p w14:paraId="2D90783E" w14:textId="77777777" w:rsidR="005B7637" w:rsidRPr="00FA0D37" w:rsidRDefault="005B7637" w:rsidP="00FA0D37">
      <w:pPr>
        <w:pStyle w:val="PL"/>
      </w:pPr>
    </w:p>
    <w:p w14:paraId="1A61AFB4" w14:textId="515B1337" w:rsidR="005B7637" w:rsidRPr="00FA0D37" w:rsidRDefault="005B7637" w:rsidP="00FA0D37">
      <w:pPr>
        <w:pStyle w:val="PL"/>
      </w:pPr>
      <w:r w:rsidRPr="00FA0D37">
        <w:t xml:space="preserve">PositionStateVector-r17 ::= </w:t>
      </w:r>
      <w:r w:rsidRPr="00FA0D37">
        <w:rPr>
          <w:color w:val="993366"/>
        </w:rPr>
        <w:t>INTEGER</w:t>
      </w:r>
      <w:r w:rsidRPr="00FA0D37">
        <w:t xml:space="preserve"> (-3355</w:t>
      </w:r>
      <w:r w:rsidR="003E422B" w:rsidRPr="00FA0D37">
        <w:t>4</w:t>
      </w:r>
      <w:r w:rsidRPr="00FA0D37">
        <w:t>432..33554431)</w:t>
      </w:r>
    </w:p>
    <w:p w14:paraId="309E4350" w14:textId="77777777" w:rsidR="005B7637" w:rsidRPr="00FA0D37" w:rsidRDefault="005B7637" w:rsidP="00FA0D37">
      <w:pPr>
        <w:pStyle w:val="PL"/>
      </w:pPr>
    </w:p>
    <w:p w14:paraId="4289335F" w14:textId="77777777" w:rsidR="005B7637" w:rsidRPr="00FA0D37" w:rsidRDefault="005B7637" w:rsidP="00FA0D37">
      <w:pPr>
        <w:pStyle w:val="PL"/>
      </w:pPr>
      <w:r w:rsidRPr="00FA0D37">
        <w:t xml:space="preserve">VelocityStateVector-r17 ::= </w:t>
      </w:r>
      <w:r w:rsidRPr="00FA0D37">
        <w:rPr>
          <w:color w:val="993366"/>
        </w:rPr>
        <w:t>INTEGER</w:t>
      </w:r>
      <w:r w:rsidRPr="00FA0D37">
        <w:t xml:space="preserve"> (-131072..131071)</w:t>
      </w:r>
    </w:p>
    <w:p w14:paraId="24849F27" w14:textId="77777777" w:rsidR="005B7637" w:rsidRPr="00FA0D37" w:rsidRDefault="005B7637" w:rsidP="00FA0D37">
      <w:pPr>
        <w:pStyle w:val="PL"/>
      </w:pPr>
    </w:p>
    <w:p w14:paraId="0EDA5444" w14:textId="77777777" w:rsidR="005B7637" w:rsidRPr="00FA0D37" w:rsidRDefault="005B7637" w:rsidP="00FA0D37">
      <w:pPr>
        <w:pStyle w:val="PL"/>
        <w:rPr>
          <w:color w:val="808080"/>
        </w:rPr>
      </w:pPr>
      <w:r w:rsidRPr="00FA0D37">
        <w:rPr>
          <w:color w:val="808080"/>
        </w:rPr>
        <w:t>-- TAG-EPHEMERISINFO-STOP</w:t>
      </w:r>
    </w:p>
    <w:p w14:paraId="68DF77E9" w14:textId="77777777" w:rsidR="005B7637" w:rsidRPr="00FA0D37" w:rsidRDefault="005B7637" w:rsidP="00FA0D37">
      <w:pPr>
        <w:pStyle w:val="PL"/>
        <w:rPr>
          <w:color w:val="808080"/>
        </w:rPr>
      </w:pPr>
      <w:r w:rsidRPr="00FA0D37">
        <w:rPr>
          <w:color w:val="808080"/>
        </w:rPr>
        <w:t>-- ASN1STOP</w:t>
      </w:r>
    </w:p>
    <w:p w14:paraId="60082339" w14:textId="77777777" w:rsidR="005B7637" w:rsidRPr="00FA0D3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FA0D37" w:rsidRDefault="005B7637" w:rsidP="00771058">
            <w:pPr>
              <w:pStyle w:val="TAH"/>
              <w:rPr>
                <w:szCs w:val="22"/>
                <w:lang w:eastAsia="sv-SE"/>
              </w:rPr>
            </w:pPr>
            <w:r w:rsidRPr="00FA0D37">
              <w:rPr>
                <w:i/>
              </w:rPr>
              <w:t>EphemerisInfo</w:t>
            </w:r>
            <w:r w:rsidRPr="00FA0D37">
              <w:rPr>
                <w:szCs w:val="22"/>
                <w:lang w:eastAsia="sv-SE"/>
              </w:rPr>
              <w:t xml:space="preserve"> field descriptions</w:t>
            </w:r>
          </w:p>
        </w:tc>
      </w:tr>
      <w:tr w:rsidR="005C7FF4" w:rsidRPr="00FA0D37"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FA0D37" w:rsidRDefault="005B7637" w:rsidP="00771058">
            <w:pPr>
              <w:pStyle w:val="TAL"/>
              <w:rPr>
                <w:b/>
                <w:bCs/>
                <w:i/>
                <w:iCs/>
                <w:kern w:val="2"/>
                <w:lang w:eastAsia="zh-CN"/>
              </w:rPr>
            </w:pPr>
            <w:r w:rsidRPr="00FA0D37">
              <w:rPr>
                <w:b/>
                <w:bCs/>
                <w:i/>
                <w:iCs/>
                <w:kern w:val="2"/>
              </w:rPr>
              <w:t>eccentricity</w:t>
            </w:r>
          </w:p>
          <w:p w14:paraId="4DD73F0C" w14:textId="043FF222" w:rsidR="005B7637" w:rsidRPr="00FA0D37" w:rsidRDefault="005B7637" w:rsidP="00771058">
            <w:pPr>
              <w:pStyle w:val="TAL"/>
            </w:pPr>
            <w:r w:rsidRPr="00FA0D37">
              <w:t xml:space="preserve">Satellite orbital parameter: eccentricity e, see NIMA TR 8350.2 </w:t>
            </w:r>
            <w:r w:rsidR="003A5D4E" w:rsidRPr="00FA0D37">
              <w:t>[71]</w:t>
            </w:r>
            <w:r w:rsidRPr="00FA0D37">
              <w:t>.</w:t>
            </w:r>
            <w:r w:rsidR="001163BA" w:rsidRPr="00FA0D37">
              <w:t xml:space="preserve"> Unit is radian.</w:t>
            </w:r>
          </w:p>
          <w:p w14:paraId="559A92DD" w14:textId="6FD860BC" w:rsidR="005B7637" w:rsidRPr="00FA0D37" w:rsidRDefault="003E422B" w:rsidP="00771058">
            <w:pPr>
              <w:pStyle w:val="TAL"/>
              <w:rPr>
                <w:szCs w:val="22"/>
                <w:lang w:eastAsia="sv-SE"/>
              </w:rPr>
            </w:pPr>
            <w:r w:rsidRPr="00FA0D37">
              <w:t xml:space="preserve">Step </w:t>
            </w:r>
            <w:r w:rsidR="001163BA" w:rsidRPr="00FA0D37">
              <w:t xml:space="preserve">of </w:t>
            </w:r>
            <w:r w:rsidRPr="00FA0D37">
              <w:t>1.431 * 10</w:t>
            </w:r>
            <w:r w:rsidRPr="00FA0D37">
              <w:rPr>
                <w:vertAlign w:val="superscript"/>
              </w:rPr>
              <w:t>-8</w:t>
            </w:r>
            <w:r w:rsidRPr="00FA0D37">
              <w:t xml:space="preserve">. </w:t>
            </w:r>
            <w:r w:rsidRPr="00FA0D37">
              <w:rPr>
                <w:lang w:eastAsia="zh-CN"/>
              </w:rPr>
              <w:t>Actual value = field value * (</w:t>
            </w:r>
            <w:r w:rsidRPr="00FA0D37">
              <w:t>1.431 * 10</w:t>
            </w:r>
            <w:r w:rsidRPr="00FA0D37">
              <w:rPr>
                <w:vertAlign w:val="superscript"/>
              </w:rPr>
              <w:t>-8</w:t>
            </w:r>
            <w:r w:rsidRPr="00FA0D37">
              <w:rPr>
                <w:lang w:eastAsia="zh-CN"/>
              </w:rPr>
              <w:t>).</w:t>
            </w:r>
          </w:p>
        </w:tc>
      </w:tr>
      <w:tr w:rsidR="005C7FF4" w:rsidRPr="00FA0D37"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FA0D37" w:rsidRDefault="005B7637" w:rsidP="00771058">
            <w:pPr>
              <w:pStyle w:val="TAL"/>
              <w:rPr>
                <w:b/>
                <w:bCs/>
                <w:i/>
                <w:iCs/>
                <w:kern w:val="2"/>
                <w:lang w:eastAsia="zh-CN"/>
              </w:rPr>
            </w:pPr>
            <w:r w:rsidRPr="00FA0D37">
              <w:rPr>
                <w:b/>
                <w:bCs/>
                <w:i/>
                <w:iCs/>
                <w:kern w:val="2"/>
              </w:rPr>
              <w:t>inclination</w:t>
            </w:r>
          </w:p>
          <w:p w14:paraId="5FDF2BC0" w14:textId="0E1A2F3A" w:rsidR="005B7637" w:rsidRPr="00FA0D37" w:rsidRDefault="005B7637" w:rsidP="00771058">
            <w:pPr>
              <w:pStyle w:val="TAL"/>
            </w:pPr>
            <w:r w:rsidRPr="00FA0D37">
              <w:t xml:space="preserve">Satellite orbital parameter: inclination i, see NIMA TR 8350.2 </w:t>
            </w:r>
            <w:r w:rsidR="003A5D4E" w:rsidRPr="00FA0D37">
              <w:t>[71]</w:t>
            </w:r>
            <w:r w:rsidRPr="00FA0D37">
              <w:t xml:space="preserve">. Unit </w:t>
            </w:r>
            <w:r w:rsidR="003E422B" w:rsidRPr="00FA0D37">
              <w:t>is</w:t>
            </w:r>
            <w:r w:rsidRPr="00FA0D37">
              <w:t xml:space="preserve"> radian.</w:t>
            </w:r>
          </w:p>
          <w:p w14:paraId="0F9E5CF0" w14:textId="59CD9DBC" w:rsidR="005B7637" w:rsidRPr="00FA0D37" w:rsidRDefault="003E422B" w:rsidP="00771058">
            <w:pPr>
              <w:pStyle w:val="TAL"/>
              <w:rPr>
                <w:b/>
                <w:bCs/>
                <w:i/>
                <w:iCs/>
                <w:szCs w:val="22"/>
                <w:lang w:eastAsia="sv-SE"/>
              </w:rPr>
            </w:pPr>
            <w:r w:rsidRPr="00FA0D37">
              <w:t>Step of 2.341* 10</w:t>
            </w:r>
            <w:r w:rsidRPr="00FA0D37">
              <w:rPr>
                <w:vertAlign w:val="superscript"/>
              </w:rPr>
              <w:t>-8</w:t>
            </w:r>
            <w:r w:rsidRPr="00FA0D37">
              <w:t xml:space="preserve"> rad. </w:t>
            </w:r>
            <w:r w:rsidRPr="00FA0D37">
              <w:rPr>
                <w:lang w:eastAsia="zh-CN"/>
              </w:rPr>
              <w:t>Actual value = field value * (</w:t>
            </w:r>
            <w:r w:rsidRPr="00FA0D37">
              <w:t>2.341* 10</w:t>
            </w:r>
            <w:r w:rsidRPr="00FA0D37">
              <w:rPr>
                <w:vertAlign w:val="superscript"/>
              </w:rPr>
              <w:t>-8</w:t>
            </w:r>
            <w:r w:rsidRPr="00FA0D37">
              <w:rPr>
                <w:lang w:eastAsia="zh-CN"/>
              </w:rPr>
              <w:t>).</w:t>
            </w:r>
          </w:p>
        </w:tc>
      </w:tr>
      <w:tr w:rsidR="005C7FF4" w:rsidRPr="00FA0D37"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FA0D37" w:rsidRDefault="005B7637" w:rsidP="00771058">
            <w:pPr>
              <w:pStyle w:val="TAL"/>
              <w:rPr>
                <w:b/>
                <w:bCs/>
                <w:i/>
                <w:iCs/>
                <w:kern w:val="2"/>
                <w:lang w:eastAsia="zh-CN"/>
              </w:rPr>
            </w:pPr>
            <w:r w:rsidRPr="00FA0D37">
              <w:rPr>
                <w:b/>
                <w:bCs/>
                <w:i/>
                <w:iCs/>
                <w:kern w:val="2"/>
              </w:rPr>
              <w:t>longitude</w:t>
            </w:r>
          </w:p>
          <w:p w14:paraId="275A4EAC" w14:textId="03A392F7" w:rsidR="005B7637" w:rsidRPr="00FA0D37" w:rsidRDefault="005B7637" w:rsidP="00771058">
            <w:pPr>
              <w:pStyle w:val="TAL"/>
            </w:pPr>
            <w:r w:rsidRPr="00FA0D37">
              <w:t xml:space="preserve">Satellite orbital parameter: longitude of ascending node </w:t>
            </w:r>
            <w:r w:rsidRPr="00FA0D37">
              <w:sym w:font="Symbol" w:char="F057"/>
            </w:r>
            <w:r w:rsidRPr="00FA0D37">
              <w:t xml:space="preserve">, see NIMA TR 8350.2 </w:t>
            </w:r>
            <w:r w:rsidR="003A5D4E" w:rsidRPr="00FA0D37">
              <w:t>[71]</w:t>
            </w:r>
            <w:r w:rsidRPr="00FA0D37">
              <w:t xml:space="preserve">. Unit </w:t>
            </w:r>
            <w:r w:rsidR="003E422B" w:rsidRPr="00FA0D37">
              <w:t>is</w:t>
            </w:r>
            <w:r w:rsidRPr="00FA0D37">
              <w:t xml:space="preserve"> radian.</w:t>
            </w:r>
          </w:p>
          <w:p w14:paraId="4E88E16B" w14:textId="097C892C" w:rsidR="005B7637" w:rsidRPr="00FA0D37" w:rsidRDefault="003E422B" w:rsidP="00771058">
            <w:pPr>
              <w:pStyle w:val="TAL"/>
              <w:rPr>
                <w:szCs w:val="22"/>
                <w:lang w:eastAsia="sv-SE"/>
              </w:rPr>
            </w:pPr>
            <w:r w:rsidRPr="00FA0D37">
              <w:t>Step of 2.341* 10</w:t>
            </w:r>
            <w:r w:rsidRPr="00FA0D37">
              <w:rPr>
                <w:vertAlign w:val="superscript"/>
              </w:rPr>
              <w:t>-8</w:t>
            </w:r>
            <w:r w:rsidRPr="00FA0D37">
              <w:t xml:space="preserve"> rad. </w:t>
            </w:r>
            <w:r w:rsidRPr="00FA0D37">
              <w:rPr>
                <w:lang w:eastAsia="zh-CN"/>
              </w:rPr>
              <w:t>Actual value = field value * (</w:t>
            </w:r>
            <w:r w:rsidRPr="00FA0D37">
              <w:t>2.341* 10</w:t>
            </w:r>
            <w:r w:rsidRPr="00FA0D37">
              <w:rPr>
                <w:vertAlign w:val="superscript"/>
              </w:rPr>
              <w:t>-8</w:t>
            </w:r>
            <w:r w:rsidRPr="00FA0D37">
              <w:rPr>
                <w:lang w:eastAsia="zh-CN"/>
              </w:rPr>
              <w:t>).</w:t>
            </w:r>
          </w:p>
        </w:tc>
      </w:tr>
      <w:tr w:rsidR="005C7FF4" w:rsidRPr="00FA0D37"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FA0D37" w:rsidRDefault="001163BA" w:rsidP="0071565C">
            <w:pPr>
              <w:pStyle w:val="TAL"/>
              <w:rPr>
                <w:b/>
                <w:bCs/>
                <w:i/>
                <w:iCs/>
                <w:kern w:val="2"/>
                <w:lang w:eastAsia="zh-CN"/>
              </w:rPr>
            </w:pPr>
            <w:r w:rsidRPr="00FA0D37">
              <w:rPr>
                <w:b/>
                <w:bCs/>
                <w:i/>
                <w:iCs/>
                <w:kern w:val="2"/>
              </w:rPr>
              <w:t>meanAnomaly</w:t>
            </w:r>
          </w:p>
          <w:p w14:paraId="46C08C57" w14:textId="77777777" w:rsidR="001163BA" w:rsidRPr="00FA0D37" w:rsidRDefault="001163BA" w:rsidP="0071565C">
            <w:pPr>
              <w:pStyle w:val="TAL"/>
            </w:pPr>
            <w:r w:rsidRPr="00FA0D37">
              <w:t>Satellite orbital parameter: Mean anomaly M at epoch time, see NIMA TR 8350.2 [71]. Unit is radian.</w:t>
            </w:r>
          </w:p>
          <w:p w14:paraId="63D4C224" w14:textId="77777777" w:rsidR="001163BA" w:rsidRPr="00FA0D37" w:rsidRDefault="001163BA" w:rsidP="0071565C">
            <w:pPr>
              <w:pStyle w:val="TAL"/>
              <w:rPr>
                <w:szCs w:val="22"/>
                <w:lang w:eastAsia="sv-SE"/>
              </w:rPr>
            </w:pPr>
            <w:r w:rsidRPr="00FA0D37">
              <w:t>Step of 2.341* 10</w:t>
            </w:r>
            <w:r w:rsidRPr="00FA0D37">
              <w:rPr>
                <w:vertAlign w:val="superscript"/>
              </w:rPr>
              <w:t>-8</w:t>
            </w:r>
            <w:r w:rsidRPr="00FA0D37">
              <w:t xml:space="preserve"> rad. </w:t>
            </w:r>
            <w:r w:rsidRPr="00FA0D37">
              <w:rPr>
                <w:lang w:eastAsia="zh-CN"/>
              </w:rPr>
              <w:t>Actual value = field value * (</w:t>
            </w:r>
            <w:r w:rsidRPr="00FA0D37">
              <w:t>2.341* 10</w:t>
            </w:r>
            <w:r w:rsidRPr="00FA0D37">
              <w:rPr>
                <w:vertAlign w:val="superscript"/>
              </w:rPr>
              <w:t>-8</w:t>
            </w:r>
            <w:r w:rsidRPr="00FA0D37">
              <w:rPr>
                <w:lang w:eastAsia="zh-CN"/>
              </w:rPr>
              <w:t>).</w:t>
            </w:r>
          </w:p>
        </w:tc>
      </w:tr>
      <w:tr w:rsidR="005C7FF4" w:rsidRPr="00FA0D37"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FA0D37" w:rsidRDefault="005B7637" w:rsidP="00771058">
            <w:pPr>
              <w:pStyle w:val="TAL"/>
              <w:rPr>
                <w:b/>
                <w:bCs/>
                <w:i/>
                <w:iCs/>
                <w:kern w:val="2"/>
              </w:rPr>
            </w:pPr>
            <w:r w:rsidRPr="00FA0D37">
              <w:rPr>
                <w:b/>
                <w:bCs/>
                <w:i/>
                <w:iCs/>
                <w:kern w:val="2"/>
              </w:rPr>
              <w:t>periapsis</w:t>
            </w:r>
          </w:p>
          <w:p w14:paraId="31887ACD" w14:textId="6A576337" w:rsidR="005B7637" w:rsidRPr="00FA0D37" w:rsidRDefault="005B7637" w:rsidP="00771058">
            <w:pPr>
              <w:pStyle w:val="TAL"/>
            </w:pPr>
            <w:r w:rsidRPr="00FA0D37">
              <w:t xml:space="preserve">Satellite orbital parameter: argument of periapsis </w:t>
            </w:r>
            <w:r w:rsidRPr="00FA0D37">
              <w:sym w:font="Symbol" w:char="F077"/>
            </w:r>
            <w:r w:rsidRPr="00FA0D37">
              <w:t xml:space="preserve">, see NIMA TR 8350.2 </w:t>
            </w:r>
            <w:r w:rsidR="003A5D4E" w:rsidRPr="00FA0D37">
              <w:t>[71]</w:t>
            </w:r>
            <w:r w:rsidRPr="00FA0D37">
              <w:t xml:space="preserve">. Unit </w:t>
            </w:r>
            <w:r w:rsidR="003E422B" w:rsidRPr="00FA0D37">
              <w:t>is</w:t>
            </w:r>
            <w:r w:rsidRPr="00FA0D37">
              <w:t xml:space="preserve"> radian.</w:t>
            </w:r>
          </w:p>
          <w:p w14:paraId="5BDBD540" w14:textId="4CFEC44B" w:rsidR="005B7637" w:rsidRPr="00FA0D37" w:rsidRDefault="003E422B" w:rsidP="00771058">
            <w:pPr>
              <w:pStyle w:val="TAL"/>
              <w:rPr>
                <w:szCs w:val="22"/>
                <w:lang w:eastAsia="sv-SE"/>
              </w:rPr>
            </w:pPr>
            <w:r w:rsidRPr="00FA0D37">
              <w:t>Step of 2.341* 10</w:t>
            </w:r>
            <w:r w:rsidRPr="00FA0D37">
              <w:rPr>
                <w:vertAlign w:val="superscript"/>
              </w:rPr>
              <w:t>-8</w:t>
            </w:r>
            <w:r w:rsidRPr="00FA0D37">
              <w:t xml:space="preserve"> rad. </w:t>
            </w:r>
            <w:r w:rsidRPr="00FA0D37">
              <w:rPr>
                <w:lang w:eastAsia="zh-CN"/>
              </w:rPr>
              <w:t>Actual value = field value * (</w:t>
            </w:r>
            <w:r w:rsidRPr="00FA0D37">
              <w:t>2.341* 10</w:t>
            </w:r>
            <w:r w:rsidRPr="00FA0D37">
              <w:rPr>
                <w:vertAlign w:val="superscript"/>
              </w:rPr>
              <w:t>-8</w:t>
            </w:r>
            <w:r w:rsidRPr="00FA0D37">
              <w:rPr>
                <w:lang w:eastAsia="zh-CN"/>
              </w:rPr>
              <w:t>).</w:t>
            </w:r>
          </w:p>
        </w:tc>
      </w:tr>
      <w:tr w:rsidR="005C7FF4" w:rsidRPr="00FA0D37"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FA0D37" w:rsidRDefault="005B7637" w:rsidP="00771058">
            <w:pPr>
              <w:pStyle w:val="TAL"/>
              <w:rPr>
                <w:b/>
                <w:bCs/>
                <w:i/>
                <w:iCs/>
              </w:rPr>
            </w:pPr>
            <w:r w:rsidRPr="00FA0D37">
              <w:rPr>
                <w:b/>
                <w:bCs/>
                <w:i/>
                <w:iCs/>
                <w:kern w:val="2"/>
              </w:rPr>
              <w:t>positionX</w:t>
            </w:r>
            <w:r w:rsidRPr="00FA0D37">
              <w:rPr>
                <w:b/>
                <w:bCs/>
                <w:i/>
                <w:iCs/>
              </w:rPr>
              <w:t>, positionY, positionZ</w:t>
            </w:r>
          </w:p>
          <w:p w14:paraId="42DC3868" w14:textId="64BD41DE" w:rsidR="005B7637" w:rsidRPr="00FA0D37" w:rsidRDefault="005B7637" w:rsidP="00771058">
            <w:pPr>
              <w:pStyle w:val="TAL"/>
            </w:pPr>
            <w:r w:rsidRPr="00FA0D37">
              <w:t xml:space="preserve">X, Y, Z coordinate of satellite position state vector in ECEF. Unit </w:t>
            </w:r>
            <w:r w:rsidR="003E422B" w:rsidRPr="00FA0D37">
              <w:t>is</w:t>
            </w:r>
            <w:r w:rsidRPr="00FA0D37">
              <w:t xml:space="preserve"> meter.</w:t>
            </w:r>
          </w:p>
          <w:p w14:paraId="156CCAD8" w14:textId="568CFB45" w:rsidR="005B7637" w:rsidRPr="00FA0D37" w:rsidRDefault="003E422B" w:rsidP="00771058">
            <w:pPr>
              <w:pStyle w:val="TAL"/>
              <w:rPr>
                <w:szCs w:val="21"/>
              </w:rPr>
            </w:pPr>
            <w:r w:rsidRPr="00FA0D37">
              <w:t xml:space="preserve">Step of 1.3 m. Actual value = </w:t>
            </w:r>
            <w:r w:rsidRPr="00FA0D37">
              <w:rPr>
                <w:lang w:eastAsia="zh-CN"/>
              </w:rPr>
              <w:t>field</w:t>
            </w:r>
            <w:r w:rsidRPr="00FA0D37">
              <w:t xml:space="preserve"> value * 1.3.</w:t>
            </w:r>
          </w:p>
        </w:tc>
      </w:tr>
      <w:tr w:rsidR="005C7FF4" w:rsidRPr="00FA0D37"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FA0D37" w:rsidRDefault="005B7637" w:rsidP="00771058">
            <w:pPr>
              <w:pStyle w:val="TAL"/>
              <w:rPr>
                <w:b/>
                <w:bCs/>
                <w:i/>
                <w:iCs/>
                <w:kern w:val="2"/>
                <w:lang w:eastAsia="zh-CN"/>
              </w:rPr>
            </w:pPr>
            <w:r w:rsidRPr="00FA0D37">
              <w:rPr>
                <w:b/>
                <w:bCs/>
                <w:i/>
                <w:iCs/>
                <w:kern w:val="2"/>
              </w:rPr>
              <w:t>semiMajorAxis</w:t>
            </w:r>
          </w:p>
          <w:p w14:paraId="471FD26D" w14:textId="36C6EA66" w:rsidR="005B7637" w:rsidRPr="00FA0D37" w:rsidRDefault="005B7637" w:rsidP="00771058">
            <w:pPr>
              <w:pStyle w:val="TAL"/>
            </w:pPr>
            <w:r w:rsidRPr="00FA0D37">
              <w:t xml:space="preserve">Satellite orbital parameter: semi major axis </w:t>
            </w:r>
            <w:r w:rsidRPr="00FA0D37">
              <w:sym w:font="Symbol" w:char="F061"/>
            </w:r>
            <w:r w:rsidRPr="00FA0D37">
              <w:t xml:space="preserve">, see NIMA TR 8350.2 </w:t>
            </w:r>
            <w:r w:rsidR="003A5D4E" w:rsidRPr="00FA0D37">
              <w:t>[71]</w:t>
            </w:r>
            <w:r w:rsidRPr="00FA0D37">
              <w:t xml:space="preserve">. Unit </w:t>
            </w:r>
            <w:r w:rsidR="003E422B" w:rsidRPr="00FA0D37">
              <w:t>is</w:t>
            </w:r>
            <w:r w:rsidRPr="00FA0D37">
              <w:t xml:space="preserve"> meter.</w:t>
            </w:r>
          </w:p>
          <w:p w14:paraId="2AD86D60" w14:textId="5E92CECC" w:rsidR="005B7637" w:rsidRPr="00FA0D37" w:rsidRDefault="003E422B" w:rsidP="00771058">
            <w:pPr>
              <w:pStyle w:val="TAL"/>
              <w:rPr>
                <w:szCs w:val="21"/>
              </w:rPr>
            </w:pPr>
            <w:r w:rsidRPr="00FA0D37">
              <w:rPr>
                <w:lang w:eastAsia="zh-CN"/>
              </w:rPr>
              <w:t>Step</w:t>
            </w:r>
            <w:r w:rsidRPr="00FA0D37">
              <w:rPr>
                <w:vertAlign w:val="superscript"/>
                <w:lang w:eastAsia="zh-CN"/>
              </w:rPr>
              <w:t xml:space="preserve"> </w:t>
            </w:r>
            <w:r w:rsidRPr="00FA0D37">
              <w:rPr>
                <w:lang w:eastAsia="zh-CN"/>
              </w:rPr>
              <w:t>of 4.249 * 10</w:t>
            </w:r>
            <w:r w:rsidRPr="00FA0D37">
              <w:rPr>
                <w:vertAlign w:val="superscript"/>
                <w:lang w:eastAsia="zh-CN"/>
              </w:rPr>
              <w:t xml:space="preserve">-3 </w:t>
            </w:r>
            <w:r w:rsidRPr="00FA0D37">
              <w:rPr>
                <w:lang w:eastAsia="zh-CN"/>
              </w:rPr>
              <w:t>m. Actual value =</w:t>
            </w:r>
            <w:r w:rsidRPr="00FA0D37">
              <w:t xml:space="preserve"> 6500000</w:t>
            </w:r>
            <w:r w:rsidRPr="00FA0D37">
              <w:rPr>
                <w:lang w:eastAsia="zh-CN"/>
              </w:rPr>
              <w:t xml:space="preserve"> + field value * (4.249 * 10</w:t>
            </w:r>
            <w:r w:rsidRPr="00FA0D37">
              <w:rPr>
                <w:vertAlign w:val="superscript"/>
                <w:lang w:eastAsia="zh-CN"/>
              </w:rPr>
              <w:t>-3</w:t>
            </w:r>
            <w:r w:rsidRPr="00FA0D37">
              <w:rPr>
                <w:lang w:eastAsia="zh-CN"/>
              </w:rPr>
              <w:t>)</w:t>
            </w:r>
            <w:r w:rsidRPr="00FA0D37">
              <w:t>.</w:t>
            </w:r>
          </w:p>
        </w:tc>
      </w:tr>
      <w:tr w:rsidR="005B7637" w:rsidRPr="00FA0D37"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FA0D37" w:rsidRDefault="005B7637" w:rsidP="00771058">
            <w:pPr>
              <w:pStyle w:val="TAL"/>
              <w:rPr>
                <w:b/>
                <w:bCs/>
                <w:i/>
                <w:iCs/>
              </w:rPr>
            </w:pPr>
            <w:r w:rsidRPr="00FA0D37">
              <w:rPr>
                <w:b/>
                <w:bCs/>
                <w:i/>
                <w:iCs/>
              </w:rPr>
              <w:t>velocityVX, velocityVY, velocityVZ</w:t>
            </w:r>
          </w:p>
          <w:p w14:paraId="0F98AA25" w14:textId="41145B20" w:rsidR="005B7637" w:rsidRPr="00FA0D37" w:rsidRDefault="005B7637" w:rsidP="00771058">
            <w:pPr>
              <w:pStyle w:val="TAL"/>
            </w:pPr>
            <w:r w:rsidRPr="00FA0D37">
              <w:t xml:space="preserve">X, Y, Z coordinate of satellite velocity state vector in ECEF. Unit </w:t>
            </w:r>
            <w:r w:rsidR="003E422B" w:rsidRPr="00FA0D37">
              <w:t>is</w:t>
            </w:r>
            <w:r w:rsidRPr="00FA0D37">
              <w:t xml:space="preserve"> meter/second.</w:t>
            </w:r>
          </w:p>
          <w:p w14:paraId="6EC410B9" w14:textId="1B619712" w:rsidR="005B7637" w:rsidRPr="00FA0D37" w:rsidRDefault="003E422B" w:rsidP="00771058">
            <w:pPr>
              <w:pStyle w:val="TAL"/>
              <w:rPr>
                <w:szCs w:val="21"/>
              </w:rPr>
            </w:pPr>
            <w:r w:rsidRPr="00FA0D37">
              <w:t xml:space="preserve">Step of 0.06 m/s. Actual value = </w:t>
            </w:r>
            <w:r w:rsidRPr="00FA0D37">
              <w:rPr>
                <w:lang w:eastAsia="zh-CN"/>
              </w:rPr>
              <w:t>field</w:t>
            </w:r>
            <w:r w:rsidRPr="00FA0D37">
              <w:t xml:space="preserve"> value * 0.06.</w:t>
            </w:r>
          </w:p>
        </w:tc>
      </w:tr>
    </w:tbl>
    <w:p w14:paraId="22AB657D" w14:textId="00F6EC20" w:rsidR="005B7637" w:rsidRPr="00FA0D37" w:rsidRDefault="005B7637" w:rsidP="00394471">
      <w:pPr>
        <w:rPr>
          <w:rFonts w:eastAsia="MS Mincho"/>
        </w:rPr>
      </w:pPr>
    </w:p>
    <w:p w14:paraId="1F8EFF39" w14:textId="77777777" w:rsidR="00276C79" w:rsidRPr="00FA0D37" w:rsidRDefault="00276C79" w:rsidP="00276C79">
      <w:pPr>
        <w:pStyle w:val="4"/>
      </w:pPr>
      <w:bookmarkStart w:id="1031" w:name="_Toc146781288"/>
      <w:r w:rsidRPr="00FA0D37">
        <w:t>–</w:t>
      </w:r>
      <w:r w:rsidRPr="00FA0D37">
        <w:tab/>
      </w:r>
      <w:r w:rsidRPr="00FA0D37">
        <w:rPr>
          <w:i/>
        </w:rPr>
        <w:t>FeatureCombination</w:t>
      </w:r>
      <w:bookmarkEnd w:id="1031"/>
    </w:p>
    <w:p w14:paraId="4BE1EA19" w14:textId="09ED478A" w:rsidR="00276C79" w:rsidRPr="00FA0D37" w:rsidRDefault="00276C79" w:rsidP="00276C79">
      <w:r w:rsidRPr="00FA0D37">
        <w:t xml:space="preserve">The IE </w:t>
      </w:r>
      <w:r w:rsidRPr="00FA0D37">
        <w:rPr>
          <w:i/>
          <w:iCs/>
        </w:rPr>
        <w:t>FeatureCombination</w:t>
      </w:r>
      <w:r w:rsidRPr="00FA0D37">
        <w:t xml:space="preserve"> indicates a </w:t>
      </w:r>
      <w:r w:rsidR="0071669F" w:rsidRPr="00FA0D37">
        <w:t xml:space="preserve">feature or a </w:t>
      </w:r>
      <w:r w:rsidRPr="00FA0D37">
        <w:t xml:space="preserve">combination of features to be associated with a </w:t>
      </w:r>
      <w:r w:rsidR="0071669F" w:rsidRPr="00FA0D37">
        <w:t>set of Random Access resources</w:t>
      </w:r>
      <w:r w:rsidRPr="00FA0D37">
        <w:t xml:space="preserve"> (i.e. an instance of </w:t>
      </w:r>
      <w:r w:rsidRPr="00FA0D37">
        <w:rPr>
          <w:i/>
          <w:iCs/>
        </w:rPr>
        <w:t>FeatureCombinationPreambles</w:t>
      </w:r>
      <w:r w:rsidRPr="00FA0D37">
        <w:t>).</w:t>
      </w:r>
    </w:p>
    <w:p w14:paraId="34DEAA5B" w14:textId="77777777" w:rsidR="00276C79" w:rsidRPr="00FA0D37" w:rsidRDefault="00276C79" w:rsidP="00276C79">
      <w:pPr>
        <w:pStyle w:val="TH"/>
      </w:pPr>
      <w:r w:rsidRPr="00FA0D37">
        <w:rPr>
          <w:i/>
        </w:rPr>
        <w:t>FeatureCombination</w:t>
      </w:r>
      <w:r w:rsidRPr="00FA0D37">
        <w:t xml:space="preserve"> information element</w:t>
      </w:r>
    </w:p>
    <w:p w14:paraId="5D3A46C3" w14:textId="77777777" w:rsidR="00276C79" w:rsidRPr="00FA0D37" w:rsidRDefault="00276C79" w:rsidP="00FA0D37">
      <w:pPr>
        <w:pStyle w:val="PL"/>
        <w:rPr>
          <w:color w:val="808080"/>
        </w:rPr>
      </w:pPr>
      <w:r w:rsidRPr="00FA0D37">
        <w:rPr>
          <w:color w:val="808080"/>
        </w:rPr>
        <w:t>-- ASN1START</w:t>
      </w:r>
    </w:p>
    <w:p w14:paraId="1FB9A1A6" w14:textId="77777777" w:rsidR="00276C79" w:rsidRPr="00FA0D37" w:rsidRDefault="00276C79" w:rsidP="00FA0D37">
      <w:pPr>
        <w:pStyle w:val="PL"/>
        <w:rPr>
          <w:color w:val="808080"/>
        </w:rPr>
      </w:pPr>
      <w:r w:rsidRPr="00FA0D37">
        <w:rPr>
          <w:color w:val="808080"/>
        </w:rPr>
        <w:t>-- TAG-FEATURECOMBINATION-START</w:t>
      </w:r>
    </w:p>
    <w:p w14:paraId="2F7B2BFB" w14:textId="77777777" w:rsidR="00276C79" w:rsidRPr="00FA0D37" w:rsidRDefault="00276C79" w:rsidP="00FA0D37">
      <w:pPr>
        <w:pStyle w:val="PL"/>
      </w:pPr>
    </w:p>
    <w:p w14:paraId="23530B63" w14:textId="74CD09D7" w:rsidR="00276C79" w:rsidRPr="00FA0D37" w:rsidRDefault="00276C79" w:rsidP="00FA0D37">
      <w:pPr>
        <w:pStyle w:val="PL"/>
      </w:pPr>
      <w:r w:rsidRPr="00FA0D37">
        <w:t xml:space="preserve">FeatureCombination-r17 ::= </w:t>
      </w:r>
      <w:r w:rsidRPr="00FA0D37">
        <w:rPr>
          <w:color w:val="993366"/>
        </w:rPr>
        <w:t>SEQUENCE</w:t>
      </w:r>
      <w:r w:rsidRPr="00FA0D37">
        <w:t xml:space="preserve"> {</w:t>
      </w:r>
    </w:p>
    <w:p w14:paraId="43E88837" w14:textId="6EDE33E0" w:rsidR="00276C79" w:rsidRPr="00FA0D37" w:rsidRDefault="00276C79" w:rsidP="00FA0D37">
      <w:pPr>
        <w:pStyle w:val="PL"/>
        <w:rPr>
          <w:color w:val="808080"/>
        </w:rPr>
      </w:pPr>
      <w:r w:rsidRPr="00FA0D37">
        <w:t xml:space="preserve">    redCap</w:t>
      </w:r>
      <w:r w:rsidR="0071669F" w:rsidRPr="00FA0D37">
        <w:t>-r17</w:t>
      </w:r>
      <w:r w:rsidRPr="00FA0D37">
        <w:t xml:space="preserv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4ABE891C" w14:textId="5D7901CC" w:rsidR="00276C79" w:rsidRPr="00FA0D37" w:rsidRDefault="00276C79" w:rsidP="00FA0D37">
      <w:pPr>
        <w:pStyle w:val="PL"/>
        <w:rPr>
          <w:color w:val="808080"/>
        </w:rPr>
      </w:pPr>
      <w:r w:rsidRPr="00FA0D37">
        <w:t xml:space="preserve">    smallData</w:t>
      </w:r>
      <w:r w:rsidR="0071669F" w:rsidRPr="00FA0D37">
        <w:t>-r17</w:t>
      </w:r>
      <w:r w:rsidRPr="00FA0D37">
        <w:t xml:space="preserv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0A9EDCEE" w14:textId="7A6182BD" w:rsidR="00276C79" w:rsidRPr="00FA0D37" w:rsidRDefault="00276C79" w:rsidP="00FA0D37">
      <w:pPr>
        <w:pStyle w:val="PL"/>
        <w:rPr>
          <w:color w:val="808080"/>
        </w:rPr>
      </w:pPr>
      <w:r w:rsidRPr="00FA0D37">
        <w:t xml:space="preserve">    </w:t>
      </w:r>
      <w:r w:rsidR="0003388D" w:rsidRPr="00FA0D37">
        <w:t>nsag</w:t>
      </w:r>
      <w:r w:rsidR="0071669F" w:rsidRPr="00FA0D37">
        <w:t>-r17</w:t>
      </w:r>
      <w:r w:rsidRPr="00FA0D37">
        <w:t xml:space="preserve">             </w:t>
      </w:r>
      <w:r w:rsidR="0003388D" w:rsidRPr="00FA0D37">
        <w:t xml:space="preserve">      NSAG</w:t>
      </w:r>
      <w:r w:rsidR="00894E1D" w:rsidRPr="00FA0D37">
        <w:t>-</w:t>
      </w:r>
      <w:r w:rsidRPr="00FA0D37">
        <w:t xml:space="preserve">List-r17                                   </w:t>
      </w:r>
      <w:r w:rsidR="0003388D" w:rsidRPr="00FA0D37">
        <w:t xml:space="preserve">     </w:t>
      </w:r>
      <w:r w:rsidRPr="00FA0D37">
        <w:rPr>
          <w:color w:val="993366"/>
        </w:rPr>
        <w:t>OPTIONAL</w:t>
      </w:r>
      <w:r w:rsidRPr="00FA0D37">
        <w:t xml:space="preserve">,  </w:t>
      </w:r>
      <w:r w:rsidRPr="00FA0D37">
        <w:rPr>
          <w:color w:val="808080"/>
        </w:rPr>
        <w:t>-- Need R</w:t>
      </w:r>
    </w:p>
    <w:p w14:paraId="0B8E3D34" w14:textId="39EC4514" w:rsidR="00276C79" w:rsidRPr="00FA0D37" w:rsidRDefault="00276C79" w:rsidP="00FA0D37">
      <w:pPr>
        <w:pStyle w:val="PL"/>
        <w:rPr>
          <w:color w:val="808080"/>
        </w:rPr>
      </w:pPr>
      <w:r w:rsidRPr="00FA0D37">
        <w:t xml:space="preserve">    </w:t>
      </w:r>
      <w:r w:rsidR="00DC3894" w:rsidRPr="00FA0D37">
        <w:t>msg3-Repetitions</w:t>
      </w:r>
      <w:r w:rsidR="0071669F" w:rsidRPr="00FA0D37">
        <w:t>-r17</w:t>
      </w:r>
      <w:r w:rsidRPr="00FA0D37">
        <w:t xml:space="preserv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1485F93" w14:textId="355B1A3C" w:rsidR="0071669F" w:rsidRPr="00FA0D37" w:rsidRDefault="0071669F" w:rsidP="00FA0D37">
      <w:pPr>
        <w:pStyle w:val="PL"/>
        <w:rPr>
          <w:color w:val="808080"/>
        </w:rPr>
      </w:pPr>
      <w:r w:rsidRPr="00FA0D37">
        <w:t xml:space="preserve">    spare4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608767C3" w14:textId="6CCB8674" w:rsidR="0071669F" w:rsidRPr="00FA0D37" w:rsidRDefault="0071669F" w:rsidP="00FA0D37">
      <w:pPr>
        <w:pStyle w:val="PL"/>
        <w:rPr>
          <w:color w:val="808080"/>
        </w:rPr>
      </w:pPr>
      <w:r w:rsidRPr="00FA0D37">
        <w:lastRenderedPageBreak/>
        <w:t xml:space="preserve">    spare3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45A48A1E" w14:textId="448791DD" w:rsidR="0071669F" w:rsidRPr="00FA0D37" w:rsidRDefault="0071669F" w:rsidP="00FA0D37">
      <w:pPr>
        <w:pStyle w:val="PL"/>
        <w:rPr>
          <w:color w:val="808080"/>
        </w:rPr>
      </w:pPr>
      <w:r w:rsidRPr="00FA0D37">
        <w:t xml:space="preserve">    spare2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453786A" w14:textId="24F91A0A" w:rsidR="0071669F" w:rsidRPr="00FA0D37" w:rsidRDefault="0071669F" w:rsidP="00FA0D37">
      <w:pPr>
        <w:pStyle w:val="PL"/>
        <w:rPr>
          <w:color w:val="808080"/>
        </w:rPr>
      </w:pPr>
      <w:r w:rsidRPr="00FA0D37">
        <w:t xml:space="preserve">    spare1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39DAEAE5" w14:textId="77777777" w:rsidR="00276C79" w:rsidRPr="00FA0D37" w:rsidRDefault="00276C79" w:rsidP="00FA0D37">
      <w:pPr>
        <w:pStyle w:val="PL"/>
      </w:pPr>
      <w:r w:rsidRPr="00FA0D37">
        <w:t>}</w:t>
      </w:r>
    </w:p>
    <w:p w14:paraId="1E7216C7" w14:textId="77777777" w:rsidR="00276C79" w:rsidRPr="00FA0D37" w:rsidRDefault="00276C79" w:rsidP="00FA0D37">
      <w:pPr>
        <w:pStyle w:val="PL"/>
      </w:pPr>
    </w:p>
    <w:p w14:paraId="19E0A3FE" w14:textId="34DD342F" w:rsidR="00276C79" w:rsidRPr="00FA0D37" w:rsidRDefault="0003388D" w:rsidP="00FA0D37">
      <w:pPr>
        <w:pStyle w:val="PL"/>
      </w:pPr>
      <w:r w:rsidRPr="00FA0D37">
        <w:t>NSAG</w:t>
      </w:r>
      <w:r w:rsidR="00894E1D" w:rsidRPr="00FA0D37">
        <w:t>-</w:t>
      </w:r>
      <w:r w:rsidR="00276C79" w:rsidRPr="00FA0D37">
        <w:t xml:space="preserve">List-r17 ::= </w:t>
      </w:r>
      <w:r w:rsidR="00276C79" w:rsidRPr="00FA0D37">
        <w:rPr>
          <w:color w:val="993366"/>
        </w:rPr>
        <w:t>SEQUENCE</w:t>
      </w:r>
      <w:r w:rsidR="00276C79" w:rsidRPr="00FA0D37">
        <w:t xml:space="preserve"> (</w:t>
      </w:r>
      <w:r w:rsidR="00276C79" w:rsidRPr="00FA0D37">
        <w:rPr>
          <w:color w:val="993366"/>
        </w:rPr>
        <w:t>SIZE</w:t>
      </w:r>
      <w:r w:rsidR="00276C79" w:rsidRPr="00FA0D37">
        <w:t xml:space="preserve"> (1..</w:t>
      </w:r>
      <w:r w:rsidRPr="00FA0D37">
        <w:rPr>
          <w:rFonts w:eastAsia="等线"/>
        </w:rPr>
        <w:t xml:space="preserve"> maxSliceInfo-r17</w:t>
      </w:r>
      <w:r w:rsidR="00276C79" w:rsidRPr="00FA0D37">
        <w:t>))</w:t>
      </w:r>
      <w:r w:rsidR="00276C79" w:rsidRPr="00FA0D37">
        <w:rPr>
          <w:color w:val="993366"/>
        </w:rPr>
        <w:t xml:space="preserve"> OF</w:t>
      </w:r>
      <w:r w:rsidR="00276C79" w:rsidRPr="00FA0D37">
        <w:t xml:space="preserve"> </w:t>
      </w:r>
      <w:r w:rsidR="00173D77" w:rsidRPr="00FA0D37">
        <w:t>NSAG-ID-r17</w:t>
      </w:r>
    </w:p>
    <w:p w14:paraId="59FFF6A0" w14:textId="77777777" w:rsidR="00276C79" w:rsidRPr="00FA0D37" w:rsidRDefault="00276C79" w:rsidP="00FA0D37">
      <w:pPr>
        <w:pStyle w:val="PL"/>
      </w:pPr>
    </w:p>
    <w:p w14:paraId="45D93C80" w14:textId="77777777" w:rsidR="00276C79" w:rsidRPr="00FA0D37" w:rsidRDefault="00276C79" w:rsidP="00FA0D37">
      <w:pPr>
        <w:pStyle w:val="PL"/>
        <w:rPr>
          <w:color w:val="808080"/>
        </w:rPr>
      </w:pPr>
      <w:r w:rsidRPr="00FA0D37">
        <w:rPr>
          <w:color w:val="808080"/>
        </w:rPr>
        <w:t>-- TAG-FEATURECOMBINATION-STOP</w:t>
      </w:r>
    </w:p>
    <w:p w14:paraId="39F2D863" w14:textId="77777777" w:rsidR="00276C79" w:rsidRPr="00FA0D37" w:rsidRDefault="00276C79" w:rsidP="00FA0D37">
      <w:pPr>
        <w:pStyle w:val="PL"/>
        <w:rPr>
          <w:color w:val="808080"/>
        </w:rPr>
      </w:pPr>
      <w:r w:rsidRPr="00FA0D37">
        <w:rPr>
          <w:color w:val="808080"/>
        </w:rPr>
        <w:t>-- ASN1STOP</w:t>
      </w:r>
    </w:p>
    <w:p w14:paraId="3464184B" w14:textId="77777777" w:rsidR="00276C79" w:rsidRPr="00FA0D3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FA0D37" w:rsidRDefault="00276C79" w:rsidP="00771058">
            <w:pPr>
              <w:pStyle w:val="TAH"/>
              <w:rPr>
                <w:szCs w:val="22"/>
                <w:lang w:eastAsia="sv-SE"/>
              </w:rPr>
            </w:pPr>
            <w:r w:rsidRPr="00FA0D37">
              <w:rPr>
                <w:i/>
              </w:rPr>
              <w:t>FeatureCombination</w:t>
            </w:r>
            <w:r w:rsidRPr="00FA0D37">
              <w:rPr>
                <w:szCs w:val="22"/>
                <w:lang w:eastAsia="sv-SE"/>
              </w:rPr>
              <w:t xml:space="preserve"> field descriptions</w:t>
            </w:r>
          </w:p>
        </w:tc>
      </w:tr>
      <w:tr w:rsidR="005C7FF4" w:rsidRPr="00FA0D37" w14:paraId="1933B0BD" w14:textId="77777777" w:rsidTr="00771058">
        <w:tc>
          <w:tcPr>
            <w:tcW w:w="14173" w:type="dxa"/>
            <w:tcBorders>
              <w:top w:val="single" w:sz="4" w:space="0" w:color="auto"/>
              <w:left w:val="single" w:sz="4" w:space="0" w:color="auto"/>
              <w:bottom w:val="single" w:sz="4" w:space="0" w:color="auto"/>
              <w:right w:val="single" w:sz="4" w:space="0" w:color="auto"/>
            </w:tcBorders>
          </w:tcPr>
          <w:p w14:paraId="675018CC" w14:textId="77777777" w:rsidR="00276C79" w:rsidRPr="00FA0D37" w:rsidRDefault="00276C79" w:rsidP="00771058">
            <w:pPr>
              <w:pStyle w:val="TAL"/>
              <w:rPr>
                <w:szCs w:val="22"/>
              </w:rPr>
            </w:pPr>
            <w:r w:rsidRPr="00FA0D37">
              <w:rPr>
                <w:b/>
                <w:i/>
                <w:szCs w:val="22"/>
              </w:rPr>
              <w:t>redCap</w:t>
            </w:r>
          </w:p>
          <w:p w14:paraId="06D44A51" w14:textId="77777777" w:rsidR="00276C79" w:rsidRPr="00FA0D37" w:rsidRDefault="00276C79" w:rsidP="00771058">
            <w:pPr>
              <w:pStyle w:val="TAL"/>
              <w:rPr>
                <w:b/>
                <w:i/>
                <w:szCs w:val="22"/>
                <w:lang w:eastAsia="sv-SE"/>
              </w:rPr>
            </w:pPr>
            <w:r w:rsidRPr="00FA0D37">
              <w:rPr>
                <w:szCs w:val="22"/>
              </w:rPr>
              <w:t>If present, this field indicates that RedCap is part of this feature combination.</w:t>
            </w:r>
          </w:p>
        </w:tc>
      </w:tr>
      <w:tr w:rsidR="005C7FF4" w:rsidRPr="00FA0D37" w14:paraId="0F8B2A03" w14:textId="77777777" w:rsidTr="00771058">
        <w:tc>
          <w:tcPr>
            <w:tcW w:w="14173" w:type="dxa"/>
            <w:tcBorders>
              <w:top w:val="single" w:sz="4" w:space="0" w:color="auto"/>
              <w:left w:val="single" w:sz="4" w:space="0" w:color="auto"/>
              <w:bottom w:val="single" w:sz="4" w:space="0" w:color="auto"/>
              <w:right w:val="single" w:sz="4" w:space="0" w:color="auto"/>
            </w:tcBorders>
          </w:tcPr>
          <w:p w14:paraId="6F0FF5AF" w14:textId="77777777" w:rsidR="00276C79" w:rsidRPr="00FA0D37" w:rsidRDefault="00276C79" w:rsidP="00771058">
            <w:pPr>
              <w:pStyle w:val="TAL"/>
              <w:rPr>
                <w:szCs w:val="22"/>
                <w:lang w:eastAsia="sv-SE"/>
              </w:rPr>
            </w:pPr>
            <w:r w:rsidRPr="00FA0D37">
              <w:rPr>
                <w:b/>
                <w:i/>
                <w:szCs w:val="22"/>
                <w:lang w:eastAsia="sv-SE"/>
              </w:rPr>
              <w:t>smallData</w:t>
            </w:r>
          </w:p>
          <w:p w14:paraId="52512F29" w14:textId="77777777" w:rsidR="00276C79" w:rsidRPr="00FA0D37" w:rsidRDefault="00276C79" w:rsidP="00771058">
            <w:pPr>
              <w:pStyle w:val="TAL"/>
              <w:rPr>
                <w:szCs w:val="22"/>
                <w:lang w:eastAsia="sv-SE"/>
              </w:rPr>
            </w:pPr>
            <w:r w:rsidRPr="00FA0D37">
              <w:rPr>
                <w:szCs w:val="22"/>
              </w:rPr>
              <w:t>If present, this field indicates that Small Data is part of this feature combination.</w:t>
            </w:r>
          </w:p>
        </w:tc>
      </w:tr>
      <w:tr w:rsidR="005C7FF4" w:rsidRPr="00FA0D37" w14:paraId="6448F5F7" w14:textId="77777777" w:rsidTr="00771058">
        <w:tc>
          <w:tcPr>
            <w:tcW w:w="14173" w:type="dxa"/>
            <w:tcBorders>
              <w:top w:val="single" w:sz="4" w:space="0" w:color="auto"/>
              <w:left w:val="single" w:sz="4" w:space="0" w:color="auto"/>
              <w:bottom w:val="single" w:sz="4" w:space="0" w:color="auto"/>
              <w:right w:val="single" w:sz="4" w:space="0" w:color="auto"/>
            </w:tcBorders>
          </w:tcPr>
          <w:p w14:paraId="68D78111" w14:textId="701EFE5F" w:rsidR="00276C79" w:rsidRPr="00FA0D37" w:rsidRDefault="00173D77" w:rsidP="00771058">
            <w:pPr>
              <w:pStyle w:val="TAL"/>
              <w:rPr>
                <w:b/>
                <w:i/>
                <w:szCs w:val="22"/>
                <w:lang w:eastAsia="sv-SE"/>
              </w:rPr>
            </w:pPr>
            <w:r w:rsidRPr="00FA0D37">
              <w:rPr>
                <w:b/>
                <w:i/>
              </w:rPr>
              <w:t>nsag</w:t>
            </w:r>
          </w:p>
          <w:p w14:paraId="2E7F4A0F" w14:textId="701164BD" w:rsidR="00276C79" w:rsidRPr="00FA0D37" w:rsidRDefault="00276C79" w:rsidP="00771058">
            <w:pPr>
              <w:pStyle w:val="TAL"/>
              <w:rPr>
                <w:szCs w:val="22"/>
                <w:lang w:eastAsia="sv-SE"/>
              </w:rPr>
            </w:pPr>
            <w:r w:rsidRPr="00FA0D37">
              <w:rPr>
                <w:szCs w:val="22"/>
              </w:rPr>
              <w:t xml:space="preserve">If present, this field indicates </w:t>
            </w:r>
            <w:r w:rsidR="00173D77" w:rsidRPr="00FA0D37">
              <w:rPr>
                <w:szCs w:val="22"/>
              </w:rPr>
              <w:t>NSAG</w:t>
            </w:r>
            <w:r w:rsidRPr="00FA0D37">
              <w:rPr>
                <w:szCs w:val="22"/>
              </w:rPr>
              <w:t>(s) that are part of this feature combination.</w:t>
            </w:r>
          </w:p>
        </w:tc>
      </w:tr>
      <w:tr w:rsidR="00F747EB" w:rsidRPr="00FA0D37"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FA0D37" w:rsidRDefault="00DC3894" w:rsidP="00771058">
            <w:pPr>
              <w:pStyle w:val="TAL"/>
              <w:rPr>
                <w:b/>
                <w:i/>
              </w:rPr>
            </w:pPr>
            <w:r w:rsidRPr="00FA0D37">
              <w:rPr>
                <w:b/>
                <w:i/>
              </w:rPr>
              <w:t>msg3-Repetitions</w:t>
            </w:r>
          </w:p>
          <w:p w14:paraId="4D561DBD" w14:textId="0C9BB53E" w:rsidR="00276C79" w:rsidRPr="00FA0D37" w:rsidRDefault="00276C79" w:rsidP="00771058">
            <w:pPr>
              <w:pStyle w:val="TAL"/>
              <w:rPr>
                <w:szCs w:val="22"/>
                <w:lang w:eastAsia="sv-SE"/>
              </w:rPr>
            </w:pPr>
            <w:r w:rsidRPr="00FA0D37">
              <w:rPr>
                <w:szCs w:val="22"/>
              </w:rPr>
              <w:t xml:space="preserve">If present, this field indicates that </w:t>
            </w:r>
            <w:r w:rsidR="00DC3894" w:rsidRPr="00FA0D37">
              <w:t>signalling of msg3 repetition</w:t>
            </w:r>
            <w:r w:rsidRPr="00FA0D37">
              <w:rPr>
                <w:szCs w:val="22"/>
              </w:rPr>
              <w:t xml:space="preserve"> is part of this feature combination.</w:t>
            </w:r>
            <w:r w:rsidR="0071669F" w:rsidRPr="00FA0D37">
              <w:rPr>
                <w:szCs w:val="22"/>
              </w:rPr>
              <w:t xml:space="preserve"> This field is not configured in a set of preambles that is configured with 2-step random-access type.</w:t>
            </w:r>
          </w:p>
        </w:tc>
      </w:tr>
    </w:tbl>
    <w:p w14:paraId="471FAAF0" w14:textId="77777777" w:rsidR="00276C79" w:rsidRPr="00FA0D37" w:rsidRDefault="00276C79" w:rsidP="00F747EB">
      <w:pPr>
        <w:rPr>
          <w:rFonts w:eastAsia="宋体"/>
        </w:rPr>
      </w:pPr>
    </w:p>
    <w:p w14:paraId="46AD420E" w14:textId="77777777" w:rsidR="00276C79" w:rsidRPr="00FA0D37" w:rsidRDefault="00276C79" w:rsidP="00276C79">
      <w:pPr>
        <w:pStyle w:val="4"/>
      </w:pPr>
      <w:bookmarkStart w:id="1032" w:name="_Toc146781289"/>
      <w:r w:rsidRPr="00FA0D37">
        <w:t>–</w:t>
      </w:r>
      <w:r w:rsidRPr="00FA0D37">
        <w:tab/>
      </w:r>
      <w:r w:rsidRPr="00FA0D37">
        <w:rPr>
          <w:i/>
        </w:rPr>
        <w:t>FeatureCombinationPreambles</w:t>
      </w:r>
      <w:bookmarkEnd w:id="1032"/>
    </w:p>
    <w:p w14:paraId="7FCBEAC0" w14:textId="273BCE40" w:rsidR="00276C79" w:rsidRPr="00FA0D37" w:rsidRDefault="00276C79" w:rsidP="00276C79">
      <w:r w:rsidRPr="00FA0D37">
        <w:t>The IE</w:t>
      </w:r>
      <w:r w:rsidRPr="00FA0D37">
        <w:rPr>
          <w:i/>
          <w:iCs/>
        </w:rPr>
        <w:t xml:space="preserve"> FeatureCombinationPreambles </w:t>
      </w:r>
      <w:r w:rsidRPr="00FA0D37">
        <w:t>associates</w:t>
      </w:r>
      <w:r w:rsidRPr="00FA0D37">
        <w:rPr>
          <w:i/>
          <w:iCs/>
        </w:rPr>
        <w:t xml:space="preserve"> </w:t>
      </w:r>
      <w:r w:rsidRPr="00FA0D37">
        <w:t>a set of preambles with a feature combination. For parameters which can be provided in this IE</w:t>
      </w:r>
      <w:r w:rsidR="0071669F" w:rsidRPr="00FA0D37">
        <w:t>,</w:t>
      </w:r>
      <w:r w:rsidRPr="00FA0D37">
        <w:t xml:space="preserve"> </w:t>
      </w:r>
      <w:r w:rsidR="0071669F" w:rsidRPr="00FA0D37">
        <w:t>the UE applies this field value when performing Random Access using a preamble in this featureCombinationPreambles, otherwise the UE applies the corresponding value as determined by applicable Need Code, e.g. Need S</w:t>
      </w:r>
      <w:r w:rsidRPr="00FA0D37">
        <w:t>.</w:t>
      </w:r>
      <w:r w:rsidR="0071669F" w:rsidRPr="00FA0D37">
        <w:t xml:space="preserve"> On a specific BWP, there can be at most one set of preambles associated with a given feature combination per RA Type (i.e. 4-step RACH or 2-step RACH).</w:t>
      </w:r>
    </w:p>
    <w:p w14:paraId="4CF9B585" w14:textId="77777777" w:rsidR="00276C79" w:rsidRPr="00FA0D37" w:rsidRDefault="00276C79" w:rsidP="00276C79">
      <w:pPr>
        <w:pStyle w:val="TH"/>
      </w:pPr>
      <w:r w:rsidRPr="00FA0D37">
        <w:rPr>
          <w:i/>
        </w:rPr>
        <w:t>FeatureCombinationPreambles</w:t>
      </w:r>
      <w:r w:rsidRPr="00FA0D37">
        <w:rPr>
          <w:bCs/>
          <w:i/>
          <w:iCs/>
        </w:rPr>
        <w:t xml:space="preserve"> </w:t>
      </w:r>
      <w:r w:rsidRPr="00FA0D37">
        <w:t>information element</w:t>
      </w:r>
    </w:p>
    <w:p w14:paraId="22B58D34" w14:textId="77777777" w:rsidR="00276C79" w:rsidRPr="00FA0D37" w:rsidRDefault="00276C79" w:rsidP="00FA0D37">
      <w:pPr>
        <w:pStyle w:val="PL"/>
        <w:rPr>
          <w:color w:val="808080"/>
        </w:rPr>
      </w:pPr>
      <w:r w:rsidRPr="00FA0D37">
        <w:rPr>
          <w:color w:val="808080"/>
        </w:rPr>
        <w:t>-- ASN1START</w:t>
      </w:r>
    </w:p>
    <w:p w14:paraId="29F6CE39" w14:textId="77777777" w:rsidR="00276C79" w:rsidRPr="00FA0D37" w:rsidRDefault="00276C79" w:rsidP="00FA0D37">
      <w:pPr>
        <w:pStyle w:val="PL"/>
        <w:rPr>
          <w:color w:val="808080"/>
        </w:rPr>
      </w:pPr>
      <w:r w:rsidRPr="00FA0D37">
        <w:rPr>
          <w:color w:val="808080"/>
        </w:rPr>
        <w:t>-- TAG-FEATURECOMBINATIONPREAMBLES-START</w:t>
      </w:r>
    </w:p>
    <w:p w14:paraId="7C521B5F" w14:textId="77777777" w:rsidR="00276C79" w:rsidRPr="00FA0D37" w:rsidRDefault="00276C79" w:rsidP="00FA0D37">
      <w:pPr>
        <w:pStyle w:val="PL"/>
      </w:pPr>
    </w:p>
    <w:p w14:paraId="74F11454" w14:textId="58C0616E" w:rsidR="00276C79" w:rsidRPr="00FA0D37" w:rsidRDefault="00276C79" w:rsidP="00FA0D37">
      <w:pPr>
        <w:pStyle w:val="PL"/>
      </w:pPr>
      <w:r w:rsidRPr="00FA0D37">
        <w:t xml:space="preserve">FeatureCombinationPreambles-r17 ::=   </w:t>
      </w:r>
      <w:r w:rsidRPr="00FA0D37">
        <w:rPr>
          <w:color w:val="993366"/>
        </w:rPr>
        <w:t>SEQUENCE</w:t>
      </w:r>
      <w:r w:rsidRPr="00FA0D37">
        <w:t xml:space="preserve"> {</w:t>
      </w:r>
    </w:p>
    <w:p w14:paraId="5FA5CE6E" w14:textId="185F6A22" w:rsidR="00276C79" w:rsidRPr="00FA0D37" w:rsidRDefault="00276C79" w:rsidP="00FA0D37">
      <w:pPr>
        <w:pStyle w:val="PL"/>
      </w:pPr>
      <w:r w:rsidRPr="00FA0D37">
        <w:t xml:space="preserve">    featureCombination-r17                FeatureCombination-r17,</w:t>
      </w:r>
    </w:p>
    <w:p w14:paraId="76ED2BCC" w14:textId="3BA12668" w:rsidR="00276C79" w:rsidRPr="00FA0D37" w:rsidRDefault="00276C79" w:rsidP="00FA0D37">
      <w:pPr>
        <w:pStyle w:val="PL"/>
      </w:pPr>
      <w:r w:rsidRPr="00FA0D37">
        <w:t xml:space="preserve">    startPreambleForThisPartition-r17     </w:t>
      </w:r>
      <w:r w:rsidRPr="00FA0D37">
        <w:rPr>
          <w:color w:val="993366"/>
        </w:rPr>
        <w:t>INTEGER</w:t>
      </w:r>
      <w:r w:rsidRPr="00FA0D37">
        <w:t xml:space="preserve"> (</w:t>
      </w:r>
      <w:r w:rsidR="008E6985" w:rsidRPr="00FA0D37">
        <w:t>0..63</w:t>
      </w:r>
      <w:r w:rsidRPr="00FA0D37">
        <w:t>),</w:t>
      </w:r>
    </w:p>
    <w:p w14:paraId="03B62926" w14:textId="52B5E623" w:rsidR="00276C79" w:rsidRPr="00FA0D37" w:rsidRDefault="00276C79" w:rsidP="00FA0D37">
      <w:pPr>
        <w:pStyle w:val="PL"/>
      </w:pPr>
      <w:r w:rsidRPr="00FA0D37">
        <w:t xml:space="preserve">    numberOfPreambles</w:t>
      </w:r>
      <w:r w:rsidR="0071669F" w:rsidRPr="00FA0D37">
        <w:t>PerSSB-</w:t>
      </w:r>
      <w:r w:rsidRPr="00FA0D37">
        <w:t xml:space="preserve">ForThisPartition-r17 </w:t>
      </w:r>
      <w:r w:rsidRPr="00FA0D37">
        <w:rPr>
          <w:color w:val="993366"/>
        </w:rPr>
        <w:t>INTEGER</w:t>
      </w:r>
      <w:r w:rsidRPr="00FA0D37">
        <w:t xml:space="preserve"> (1..64),</w:t>
      </w:r>
    </w:p>
    <w:p w14:paraId="7E5549FA" w14:textId="3C64328F" w:rsidR="00276C79" w:rsidRPr="00FA0D37" w:rsidRDefault="00276C79" w:rsidP="00FA0D37">
      <w:pPr>
        <w:pStyle w:val="PL"/>
        <w:rPr>
          <w:color w:val="808080"/>
        </w:rPr>
      </w:pPr>
      <w:r w:rsidRPr="00FA0D37">
        <w:t xml:space="preserve">    ssb-SharedRO-MaskIndex-r17            </w:t>
      </w:r>
      <w:r w:rsidRPr="00FA0D37">
        <w:rPr>
          <w:color w:val="993366"/>
        </w:rPr>
        <w:t>INTEGER</w:t>
      </w:r>
      <w:r w:rsidRPr="00FA0D37">
        <w:t xml:space="preserve"> (1..15)                                           </w:t>
      </w:r>
      <w:r w:rsidRPr="00FA0D37">
        <w:rPr>
          <w:color w:val="993366"/>
        </w:rPr>
        <w:t>OPTIONAL</w:t>
      </w:r>
      <w:r w:rsidRPr="00FA0D37">
        <w:t xml:space="preserve">, </w:t>
      </w:r>
      <w:r w:rsidRPr="00FA0D37">
        <w:rPr>
          <w:color w:val="808080"/>
        </w:rPr>
        <w:t xml:space="preserve">-- Need </w:t>
      </w:r>
      <w:r w:rsidR="0071669F" w:rsidRPr="00FA0D37">
        <w:rPr>
          <w:color w:val="808080"/>
        </w:rPr>
        <w:t>S</w:t>
      </w:r>
    </w:p>
    <w:p w14:paraId="505D0216" w14:textId="1A3950C1" w:rsidR="0071669F" w:rsidRPr="00FA0D37" w:rsidRDefault="0071669F" w:rsidP="00FA0D37">
      <w:pPr>
        <w:pStyle w:val="PL"/>
      </w:pPr>
      <w:r w:rsidRPr="00FA0D37">
        <w:t xml:space="preserve">    groupBconfigured-r17                  </w:t>
      </w:r>
      <w:r w:rsidRPr="00FA0D37">
        <w:rPr>
          <w:color w:val="993366"/>
        </w:rPr>
        <w:t>SEQUENCE</w:t>
      </w:r>
      <w:r w:rsidRPr="00FA0D37">
        <w:t xml:space="preserve"> {</w:t>
      </w:r>
    </w:p>
    <w:p w14:paraId="1B25E0E2" w14:textId="74EFD506" w:rsidR="0071669F" w:rsidRPr="00FA0D37" w:rsidRDefault="0071669F" w:rsidP="00FA0D37">
      <w:pPr>
        <w:pStyle w:val="PL"/>
      </w:pPr>
      <w:r w:rsidRPr="00FA0D37">
        <w:t xml:space="preserve">        ra-SizeGroupA-r17                     </w:t>
      </w:r>
      <w:r w:rsidRPr="00FA0D37">
        <w:rPr>
          <w:color w:val="993366"/>
        </w:rPr>
        <w:t>ENUMERATED</w:t>
      </w:r>
      <w:r w:rsidRPr="00FA0D37">
        <w:t xml:space="preserve"> {b56, b144, b208, b256, b282, b480, b640,</w:t>
      </w:r>
    </w:p>
    <w:p w14:paraId="1730FE3E" w14:textId="77777777" w:rsidR="0071669F" w:rsidRPr="00FA0D37" w:rsidRDefault="0071669F" w:rsidP="00FA0D37">
      <w:pPr>
        <w:pStyle w:val="PL"/>
      </w:pPr>
      <w:r w:rsidRPr="00FA0D37">
        <w:t xml:space="preserve">                                                        b800, b1000, b72, spare6, spare5,spare4, spare3, spare2, spare1},</w:t>
      </w:r>
    </w:p>
    <w:p w14:paraId="4D965695" w14:textId="304B323C" w:rsidR="0071669F" w:rsidRPr="00FA0D37" w:rsidRDefault="0071669F" w:rsidP="00FA0D37">
      <w:pPr>
        <w:pStyle w:val="PL"/>
      </w:pPr>
      <w:r w:rsidRPr="00FA0D37">
        <w:t xml:space="preserve">        messagePowerOffsetGroupB</w:t>
      </w:r>
      <w:r w:rsidR="003A2D9D" w:rsidRPr="00FA0D37">
        <w:t>-r17</w:t>
      </w:r>
      <w:r w:rsidRPr="00FA0D37">
        <w:t xml:space="preserve">          </w:t>
      </w:r>
      <w:r w:rsidRPr="00FA0D37">
        <w:rPr>
          <w:color w:val="993366"/>
        </w:rPr>
        <w:t>ENUMERATED</w:t>
      </w:r>
      <w:r w:rsidRPr="00FA0D37">
        <w:t xml:space="preserve"> { minusinfinity, dB0, dB5, dB8, dB10, dB12, dB15, dB18},</w:t>
      </w:r>
    </w:p>
    <w:p w14:paraId="1B84659A" w14:textId="4FD2E217" w:rsidR="0071669F" w:rsidRPr="00FA0D37" w:rsidRDefault="0071669F" w:rsidP="00FA0D37">
      <w:pPr>
        <w:pStyle w:val="PL"/>
      </w:pPr>
      <w:r w:rsidRPr="00FA0D37">
        <w:t xml:space="preserve">        numberOfRA-PreamblesGroupA</w:t>
      </w:r>
      <w:r w:rsidR="003A2D9D" w:rsidRPr="00FA0D37">
        <w:t>-r17</w:t>
      </w:r>
      <w:r w:rsidRPr="00FA0D37">
        <w:t xml:space="preserve">        </w:t>
      </w:r>
      <w:r w:rsidRPr="00FA0D37">
        <w:rPr>
          <w:color w:val="993366"/>
        </w:rPr>
        <w:t>INTEGER</w:t>
      </w:r>
      <w:r w:rsidRPr="00FA0D37">
        <w:t xml:space="preserve"> (1..64)</w:t>
      </w:r>
    </w:p>
    <w:p w14:paraId="7A87F75E" w14:textId="68387255" w:rsidR="0071669F" w:rsidRPr="00FA0D37" w:rsidRDefault="0071669F" w:rsidP="00FA0D37">
      <w:pPr>
        <w:pStyle w:val="PL"/>
        <w:rPr>
          <w:color w:val="808080"/>
        </w:rPr>
      </w:pPr>
      <w:r w:rsidRPr="00FA0D37">
        <w:t xml:space="preserve">    }                                                                                               </w:t>
      </w:r>
      <w:r w:rsidRPr="00FA0D37">
        <w:rPr>
          <w:color w:val="993366"/>
        </w:rPr>
        <w:t>OPTIONAL</w:t>
      </w:r>
      <w:r w:rsidRPr="00FA0D37">
        <w:t xml:space="preserve">, </w:t>
      </w:r>
      <w:r w:rsidRPr="00FA0D37">
        <w:rPr>
          <w:color w:val="808080"/>
        </w:rPr>
        <w:t xml:space="preserve">-- Need </w:t>
      </w:r>
      <w:r w:rsidR="008E6985" w:rsidRPr="00FA0D37">
        <w:rPr>
          <w:color w:val="808080"/>
        </w:rPr>
        <w:t>R</w:t>
      </w:r>
    </w:p>
    <w:p w14:paraId="19415FFF" w14:textId="73F43451" w:rsidR="00276C79" w:rsidRPr="00FA0D37" w:rsidRDefault="00276C79" w:rsidP="00FA0D37">
      <w:pPr>
        <w:pStyle w:val="PL"/>
        <w:rPr>
          <w:color w:val="808080"/>
        </w:rPr>
      </w:pPr>
      <w:r w:rsidRPr="00FA0D37">
        <w:t xml:space="preserve">    separateMsgA-PUSCH-Config-r17         MsgA-PUSCH-Config-r16                                     </w:t>
      </w:r>
      <w:r w:rsidRPr="00FA0D37">
        <w:rPr>
          <w:color w:val="993366"/>
        </w:rPr>
        <w:t>OPTIONAL</w:t>
      </w:r>
      <w:r w:rsidRPr="00FA0D37">
        <w:t xml:space="preserve">, </w:t>
      </w:r>
      <w:r w:rsidRPr="00FA0D37">
        <w:rPr>
          <w:color w:val="808080"/>
        </w:rPr>
        <w:t>-- Cond MsgAConfigCommon</w:t>
      </w:r>
    </w:p>
    <w:p w14:paraId="29DDBC55" w14:textId="77777777" w:rsidR="0071669F" w:rsidRPr="00FA0D37" w:rsidRDefault="0071669F" w:rsidP="00FA0D37">
      <w:pPr>
        <w:pStyle w:val="PL"/>
        <w:rPr>
          <w:color w:val="808080"/>
        </w:rPr>
      </w:pPr>
      <w:r w:rsidRPr="00FA0D37">
        <w:t xml:space="preserve">    msgA-RSRP-Threshold-r17               RSRP-Range                                                </w:t>
      </w:r>
      <w:r w:rsidRPr="00FA0D37">
        <w:rPr>
          <w:color w:val="993366"/>
        </w:rPr>
        <w:t>OPTIONAL</w:t>
      </w:r>
      <w:r w:rsidRPr="00FA0D37">
        <w:t xml:space="preserve">, </w:t>
      </w:r>
      <w:r w:rsidRPr="00FA0D37">
        <w:rPr>
          <w:color w:val="808080"/>
        </w:rPr>
        <w:t>-- Need R</w:t>
      </w:r>
    </w:p>
    <w:p w14:paraId="03E261CA" w14:textId="5ECE3752" w:rsidR="00276C79" w:rsidRPr="00FA0D37" w:rsidRDefault="00276C79" w:rsidP="00FA0D37">
      <w:pPr>
        <w:pStyle w:val="PL"/>
        <w:rPr>
          <w:color w:val="808080"/>
        </w:rPr>
      </w:pPr>
      <w:r w:rsidRPr="00FA0D37">
        <w:lastRenderedPageBreak/>
        <w:t xml:space="preserve">    rsrp-ThresholdSSB-r17                 RSRP-Range                                            </w:t>
      </w:r>
      <w:r w:rsidR="0071669F" w:rsidRPr="00FA0D37">
        <w:t xml:space="preserve">    </w:t>
      </w:r>
      <w:r w:rsidRPr="00FA0D37">
        <w:rPr>
          <w:color w:val="993366"/>
        </w:rPr>
        <w:t>OPTIONAL</w:t>
      </w:r>
      <w:r w:rsidRPr="00FA0D37">
        <w:t xml:space="preserve">, </w:t>
      </w:r>
      <w:r w:rsidRPr="00FA0D37">
        <w:rPr>
          <w:color w:val="808080"/>
        </w:rPr>
        <w:t>-- Need R</w:t>
      </w:r>
    </w:p>
    <w:p w14:paraId="7E475924" w14:textId="58E2E980" w:rsidR="00276C79" w:rsidRPr="00FA0D37" w:rsidRDefault="00276C79" w:rsidP="00FA0D37">
      <w:pPr>
        <w:pStyle w:val="PL"/>
        <w:rPr>
          <w:color w:val="808080"/>
        </w:rPr>
      </w:pPr>
      <w:r w:rsidRPr="00FA0D37">
        <w:t xml:space="preserve">    deltaPreamble-r17                     </w:t>
      </w:r>
      <w:r w:rsidRPr="00FA0D37">
        <w:rPr>
          <w:color w:val="993366"/>
        </w:rPr>
        <w:t>INTEGER</w:t>
      </w:r>
      <w:r w:rsidRPr="00FA0D37">
        <w:t xml:space="preserve"> (-1..6)                                       </w:t>
      </w:r>
      <w:r w:rsidR="0071669F" w:rsidRPr="00FA0D37">
        <w:t xml:space="preserve">    </w:t>
      </w:r>
      <w:r w:rsidRPr="00FA0D37">
        <w:rPr>
          <w:color w:val="993366"/>
        </w:rPr>
        <w:t>OPTIONAL</w:t>
      </w:r>
      <w:r w:rsidR="00894E1D" w:rsidRPr="00FA0D37">
        <w:t>,</w:t>
      </w:r>
      <w:r w:rsidRPr="00FA0D37">
        <w:t xml:space="preserve"> </w:t>
      </w:r>
      <w:r w:rsidRPr="00FA0D37">
        <w:rPr>
          <w:color w:val="808080"/>
        </w:rPr>
        <w:t>-- Need R</w:t>
      </w:r>
    </w:p>
    <w:p w14:paraId="1233C4EC" w14:textId="1424A819" w:rsidR="00276C79" w:rsidRPr="00FA0D37" w:rsidRDefault="00276C79" w:rsidP="00FA0D37">
      <w:pPr>
        <w:pStyle w:val="PL"/>
      </w:pPr>
      <w:r w:rsidRPr="00FA0D37">
        <w:t xml:space="preserve">    </w:t>
      </w:r>
      <w:r w:rsidR="0071669F" w:rsidRPr="00FA0D37">
        <w:t>...</w:t>
      </w:r>
    </w:p>
    <w:p w14:paraId="67165B89" w14:textId="77777777" w:rsidR="00276C79" w:rsidRPr="00FA0D37" w:rsidRDefault="00276C79" w:rsidP="00FA0D37">
      <w:pPr>
        <w:pStyle w:val="PL"/>
      </w:pPr>
      <w:r w:rsidRPr="00FA0D37">
        <w:t>}</w:t>
      </w:r>
    </w:p>
    <w:p w14:paraId="5FC293C0" w14:textId="77777777" w:rsidR="00276C79" w:rsidRPr="00FA0D37" w:rsidRDefault="00276C79" w:rsidP="00FA0D37">
      <w:pPr>
        <w:pStyle w:val="PL"/>
      </w:pPr>
    </w:p>
    <w:p w14:paraId="46AB05B1" w14:textId="77777777" w:rsidR="00276C79" w:rsidRPr="00FA0D37" w:rsidRDefault="00276C79" w:rsidP="00FA0D37">
      <w:pPr>
        <w:pStyle w:val="PL"/>
        <w:rPr>
          <w:color w:val="808080"/>
        </w:rPr>
      </w:pPr>
      <w:r w:rsidRPr="00FA0D37">
        <w:rPr>
          <w:color w:val="808080"/>
        </w:rPr>
        <w:t>-- TAG-FEATURECOMBINATIONPREAMBLES-STOP</w:t>
      </w:r>
    </w:p>
    <w:p w14:paraId="2A062215" w14:textId="77777777" w:rsidR="00276C79" w:rsidRPr="00FA0D37" w:rsidRDefault="00276C79" w:rsidP="00FA0D37">
      <w:pPr>
        <w:pStyle w:val="PL"/>
        <w:rPr>
          <w:color w:val="808080"/>
        </w:rPr>
      </w:pPr>
      <w:r w:rsidRPr="00FA0D37">
        <w:rPr>
          <w:color w:val="808080"/>
        </w:rPr>
        <w:t>-- ASN1STOP</w:t>
      </w:r>
    </w:p>
    <w:p w14:paraId="48563DBF" w14:textId="77777777" w:rsidR="00276C79" w:rsidRPr="00FA0D3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FA0D37" w:rsidRDefault="00276C79" w:rsidP="00771058">
            <w:pPr>
              <w:pStyle w:val="TAH"/>
              <w:rPr>
                <w:szCs w:val="22"/>
                <w:lang w:eastAsia="sv-SE"/>
              </w:rPr>
            </w:pPr>
            <w:r w:rsidRPr="00FA0D37">
              <w:rPr>
                <w:i/>
              </w:rPr>
              <w:lastRenderedPageBreak/>
              <w:t>FeatureCombinationPreambles</w:t>
            </w:r>
            <w:r w:rsidRPr="00FA0D37">
              <w:rPr>
                <w:i/>
                <w:szCs w:val="22"/>
                <w:lang w:eastAsia="sv-SE"/>
              </w:rPr>
              <w:t xml:space="preserve"> </w:t>
            </w:r>
            <w:r w:rsidRPr="00FA0D37">
              <w:rPr>
                <w:szCs w:val="22"/>
                <w:lang w:eastAsia="sv-SE"/>
              </w:rPr>
              <w:t>field descriptions</w:t>
            </w:r>
          </w:p>
        </w:tc>
      </w:tr>
      <w:tr w:rsidR="005C7FF4" w:rsidRPr="00FA0D37"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FA0D37" w:rsidRDefault="00276C79" w:rsidP="00771058">
            <w:pPr>
              <w:pStyle w:val="TAL"/>
              <w:rPr>
                <w:szCs w:val="22"/>
                <w:lang w:eastAsia="sv-SE"/>
              </w:rPr>
            </w:pPr>
            <w:r w:rsidRPr="00FA0D37">
              <w:rPr>
                <w:b/>
                <w:i/>
                <w:szCs w:val="22"/>
                <w:lang w:eastAsia="sv-SE"/>
              </w:rPr>
              <w:t>deltaPreamble</w:t>
            </w:r>
          </w:p>
          <w:p w14:paraId="035B5B24" w14:textId="078DCF6E" w:rsidR="00276C79" w:rsidRPr="00FA0D37" w:rsidRDefault="00276C79" w:rsidP="00771058">
            <w:pPr>
              <w:pStyle w:val="TAL"/>
              <w:rPr>
                <w:szCs w:val="22"/>
                <w:lang w:eastAsia="sv-SE"/>
              </w:rPr>
            </w:pPr>
            <w:r w:rsidRPr="00FA0D37">
              <w:rPr>
                <w:szCs w:val="22"/>
                <w:lang w:eastAsia="sv-SE"/>
              </w:rPr>
              <w:t xml:space="preserve">Power offset between msg3 </w:t>
            </w:r>
            <w:r w:rsidR="0071669F" w:rsidRPr="00FA0D37">
              <w:rPr>
                <w:szCs w:val="22"/>
                <w:lang w:eastAsia="sv-SE"/>
              </w:rPr>
              <w:t xml:space="preserve">or msgA-PUSCH </w:t>
            </w:r>
            <w:r w:rsidRPr="00FA0D37">
              <w:rPr>
                <w:szCs w:val="22"/>
                <w:lang w:eastAsia="sv-SE"/>
              </w:rPr>
              <w:t xml:space="preserve">and RACH preamble transmission. If configured, this parameter overrides </w:t>
            </w:r>
            <w:r w:rsidRPr="00FA0D37">
              <w:rPr>
                <w:i/>
                <w:iCs/>
                <w:szCs w:val="22"/>
                <w:lang w:eastAsia="sv-SE"/>
              </w:rPr>
              <w:t>msg3-DeltaPreamble</w:t>
            </w:r>
            <w:r w:rsidRPr="00FA0D37">
              <w:rPr>
                <w:szCs w:val="22"/>
                <w:lang w:eastAsia="sv-SE"/>
              </w:rPr>
              <w:t xml:space="preserve"> or </w:t>
            </w:r>
            <w:r w:rsidRPr="00FA0D37">
              <w:rPr>
                <w:i/>
                <w:iCs/>
                <w:szCs w:val="22"/>
                <w:lang w:eastAsia="sv-SE"/>
              </w:rPr>
              <w:t>msgA-DeltaPreamble</w:t>
            </w:r>
            <w:r w:rsidRPr="00FA0D37">
              <w:rPr>
                <w:szCs w:val="22"/>
                <w:lang w:eastAsia="sv-SE"/>
              </w:rPr>
              <w:t>, Actual value = field value * 2 [dB] (see TS 38.213 [13], clause 7.1).</w:t>
            </w:r>
            <w:r w:rsidR="0071669F" w:rsidRPr="00FA0D37">
              <w:rPr>
                <w:szCs w:val="22"/>
                <w:lang w:eastAsia="sv-SE"/>
              </w:rPr>
              <w:t xml:space="preserve"> If </w:t>
            </w:r>
            <w:r w:rsidR="0071669F" w:rsidRPr="00FA0D37">
              <w:rPr>
                <w:i/>
                <w:iCs/>
                <w:szCs w:val="22"/>
                <w:lang w:eastAsia="sv-SE"/>
              </w:rPr>
              <w:t>msgA-DeltaPreamble</w:t>
            </w:r>
            <w:r w:rsidR="0071669F" w:rsidRPr="00FA0D37">
              <w:rPr>
                <w:szCs w:val="22"/>
                <w:lang w:eastAsia="sv-SE"/>
              </w:rPr>
              <w:t xml:space="preserve"> is configured in </w:t>
            </w:r>
            <w:r w:rsidR="0071669F" w:rsidRPr="00FA0D37">
              <w:rPr>
                <w:i/>
                <w:iCs/>
                <w:szCs w:val="22"/>
                <w:lang w:eastAsia="sv-SE"/>
              </w:rPr>
              <w:t>separateMsgA-PUSCH-Config-r17</w:t>
            </w:r>
            <w:r w:rsidR="0071669F" w:rsidRPr="00FA0D37">
              <w:rPr>
                <w:szCs w:val="22"/>
                <w:lang w:eastAsia="sv-SE"/>
              </w:rPr>
              <w:t>, this field is absent.</w:t>
            </w:r>
          </w:p>
        </w:tc>
      </w:tr>
      <w:tr w:rsidR="005C7FF4" w:rsidRPr="00FA0D37"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FA0D37" w:rsidRDefault="00276C79" w:rsidP="00771058">
            <w:pPr>
              <w:pStyle w:val="TAL"/>
              <w:rPr>
                <w:szCs w:val="22"/>
                <w:lang w:eastAsia="sv-SE"/>
              </w:rPr>
            </w:pPr>
            <w:r w:rsidRPr="00FA0D37">
              <w:rPr>
                <w:b/>
                <w:i/>
                <w:szCs w:val="22"/>
                <w:lang w:eastAsia="sv-SE"/>
              </w:rPr>
              <w:t>featureCombination</w:t>
            </w:r>
          </w:p>
          <w:p w14:paraId="65F99EB3" w14:textId="588708E2" w:rsidR="00276C79" w:rsidRPr="00FA0D37" w:rsidRDefault="00276C79" w:rsidP="00771058">
            <w:pPr>
              <w:pStyle w:val="TAL"/>
              <w:rPr>
                <w:b/>
                <w:i/>
                <w:szCs w:val="22"/>
                <w:lang w:eastAsia="sv-SE"/>
              </w:rPr>
            </w:pPr>
            <w:r w:rsidRPr="00FA0D37">
              <w:rPr>
                <w:szCs w:val="22"/>
                <w:lang w:eastAsia="sv-SE"/>
              </w:rPr>
              <w:t>Indicates which combination of features that the preambles indicated by this IE are associated with.</w:t>
            </w:r>
            <w:r w:rsidR="0071669F" w:rsidRPr="00FA0D37">
              <w:rPr>
                <w:rFonts w:eastAsia="宋体"/>
                <w:lang w:eastAsia="zh-CN"/>
              </w:rPr>
              <w:t xml:space="preserve"> </w:t>
            </w:r>
            <w:bookmarkStart w:id="1033" w:name="_Hlk103939536"/>
            <w:r w:rsidR="0071669F" w:rsidRPr="00FA0D37">
              <w:rPr>
                <w:rFonts w:eastAsia="宋体"/>
                <w:lang w:eastAsia="zh-CN"/>
              </w:rPr>
              <w:t xml:space="preserve">The UE ignores a RACH resource defined by this </w:t>
            </w:r>
            <w:r w:rsidR="0071669F" w:rsidRPr="00FA0D37">
              <w:rPr>
                <w:i/>
                <w:iCs/>
              </w:rPr>
              <w:t>FeatureCombinationPreambles</w:t>
            </w:r>
            <w:r w:rsidR="0071669F" w:rsidRPr="00FA0D37">
              <w:rPr>
                <w:rFonts w:eastAsia="宋体"/>
                <w:lang w:eastAsia="zh-CN"/>
              </w:rPr>
              <w:t xml:space="preserve"> if any feature within the </w:t>
            </w:r>
            <w:r w:rsidR="0071669F" w:rsidRPr="00FA0D37">
              <w:rPr>
                <w:rFonts w:eastAsia="宋体"/>
                <w:i/>
                <w:iCs/>
                <w:lang w:eastAsia="zh-CN"/>
              </w:rPr>
              <w:t>featureCombination</w:t>
            </w:r>
            <w:r w:rsidR="0071669F" w:rsidRPr="00FA0D37">
              <w:rPr>
                <w:rFonts w:eastAsia="宋体"/>
                <w:lang w:eastAsia="zh-CN"/>
              </w:rPr>
              <w:t xml:space="preserve"> is not supported by the UE</w:t>
            </w:r>
            <w:r w:rsidR="008E6985" w:rsidRPr="00FA0D37">
              <w:rPr>
                <w:rFonts w:eastAsia="宋体"/>
                <w:lang w:eastAsia="zh-CN"/>
              </w:rPr>
              <w:t xml:space="preserve"> </w:t>
            </w:r>
            <w:r w:rsidR="00747D55" w:rsidRPr="00FA0D37">
              <w:rPr>
                <w:rFonts w:eastAsia="宋体"/>
                <w:lang w:eastAsia="zh-CN"/>
              </w:rPr>
              <w:t xml:space="preserve">or </w:t>
            </w:r>
            <w:r w:rsidR="008E6985" w:rsidRPr="00FA0D37">
              <w:rPr>
                <w:lang w:eastAsia="zh-CN"/>
              </w:rPr>
              <w:t xml:space="preserve">if any of the spare fields within the </w:t>
            </w:r>
            <w:r w:rsidR="008E6985" w:rsidRPr="00FA0D37">
              <w:rPr>
                <w:i/>
                <w:iCs/>
                <w:lang w:eastAsia="zh-CN"/>
              </w:rPr>
              <w:t>featureCombination</w:t>
            </w:r>
            <w:r w:rsidR="008E6985" w:rsidRPr="00FA0D37">
              <w:rPr>
                <w:lang w:eastAsia="zh-CN"/>
              </w:rPr>
              <w:t xml:space="preserve"> is set to </w:t>
            </w:r>
            <w:r w:rsidR="008E6985" w:rsidRPr="00FA0D37">
              <w:rPr>
                <w:i/>
                <w:lang w:eastAsia="zh-CN"/>
              </w:rPr>
              <w:t>true</w:t>
            </w:r>
            <w:bookmarkEnd w:id="1033"/>
            <w:r w:rsidR="0071669F" w:rsidRPr="00FA0D37">
              <w:rPr>
                <w:rFonts w:eastAsia="宋体"/>
                <w:lang w:eastAsia="zh-CN"/>
              </w:rPr>
              <w:t>.</w:t>
            </w:r>
          </w:p>
        </w:tc>
      </w:tr>
      <w:tr w:rsidR="005C7FF4" w:rsidRPr="00FA0D37"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FA0D37" w:rsidRDefault="00276C79" w:rsidP="00771058">
            <w:pPr>
              <w:pStyle w:val="TAL"/>
              <w:rPr>
                <w:szCs w:val="22"/>
                <w:lang w:eastAsia="sv-SE"/>
              </w:rPr>
            </w:pPr>
            <w:r w:rsidRPr="00FA0D37">
              <w:rPr>
                <w:b/>
                <w:i/>
                <w:szCs w:val="22"/>
                <w:lang w:eastAsia="sv-SE"/>
              </w:rPr>
              <w:t>messagePowerOffsetGroupB</w:t>
            </w:r>
          </w:p>
          <w:p w14:paraId="3E0440C9" w14:textId="77777777" w:rsidR="00276C79" w:rsidRPr="00FA0D37" w:rsidRDefault="00276C79" w:rsidP="00771058">
            <w:pPr>
              <w:pStyle w:val="TAL"/>
              <w:rPr>
                <w:b/>
                <w:i/>
                <w:szCs w:val="22"/>
                <w:lang w:eastAsia="sv-SE"/>
              </w:rPr>
            </w:pPr>
            <w:r w:rsidRPr="00FA0D37">
              <w:rPr>
                <w:szCs w:val="22"/>
                <w:lang w:eastAsia="sv-SE"/>
              </w:rPr>
              <w:t xml:space="preserve">Threshold for preamble selection. Value is in dB. Value </w:t>
            </w:r>
            <w:r w:rsidRPr="00FA0D37">
              <w:rPr>
                <w:i/>
                <w:szCs w:val="22"/>
                <w:lang w:eastAsia="sv-SE"/>
              </w:rPr>
              <w:t>minusinfinity</w:t>
            </w:r>
            <w:r w:rsidRPr="00FA0D37">
              <w:rPr>
                <w:szCs w:val="22"/>
                <w:lang w:eastAsia="sv-SE"/>
              </w:rPr>
              <w:t xml:space="preserve"> corresponds to –infinity. Value </w:t>
            </w:r>
            <w:r w:rsidRPr="00FA0D37">
              <w:rPr>
                <w:i/>
                <w:szCs w:val="22"/>
                <w:lang w:eastAsia="sv-SE"/>
              </w:rPr>
              <w:t>dB0</w:t>
            </w:r>
            <w:r w:rsidRPr="00FA0D37">
              <w:rPr>
                <w:szCs w:val="22"/>
                <w:lang w:eastAsia="sv-SE"/>
              </w:rPr>
              <w:t xml:space="preserve"> corresponds to 0 dB, </w:t>
            </w:r>
            <w:r w:rsidRPr="00FA0D37">
              <w:rPr>
                <w:i/>
                <w:szCs w:val="22"/>
                <w:lang w:eastAsia="sv-SE"/>
              </w:rPr>
              <w:t>dB5</w:t>
            </w:r>
            <w:r w:rsidRPr="00FA0D37">
              <w:rPr>
                <w:szCs w:val="22"/>
                <w:lang w:eastAsia="sv-SE"/>
              </w:rPr>
              <w:t xml:space="preserve"> corresponds to 5 dB and so on (see TS 38.321 [3], clause 5.1.2).</w:t>
            </w:r>
          </w:p>
        </w:tc>
      </w:tr>
      <w:tr w:rsidR="005C7FF4" w:rsidRPr="00FA0D37"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FA0D37" w:rsidRDefault="0071669F" w:rsidP="0071669F">
            <w:pPr>
              <w:pStyle w:val="TAL"/>
              <w:rPr>
                <w:b/>
                <w:i/>
                <w:szCs w:val="22"/>
                <w:lang w:eastAsia="sv-SE"/>
              </w:rPr>
            </w:pPr>
            <w:r w:rsidRPr="00FA0D37">
              <w:rPr>
                <w:b/>
                <w:i/>
                <w:szCs w:val="22"/>
                <w:lang w:eastAsia="sv-SE"/>
              </w:rPr>
              <w:t>msgA-RSRP-Threshold</w:t>
            </w:r>
          </w:p>
          <w:p w14:paraId="10F2E5BF" w14:textId="189F0B6D" w:rsidR="0071669F" w:rsidRPr="00FA0D37" w:rsidRDefault="0071669F" w:rsidP="0071669F">
            <w:pPr>
              <w:pStyle w:val="TAL"/>
              <w:rPr>
                <w:b/>
                <w:i/>
                <w:szCs w:val="22"/>
                <w:lang w:eastAsia="sv-SE"/>
              </w:rPr>
            </w:pPr>
            <w:r w:rsidRPr="00FA0D37">
              <w:rPr>
                <w:szCs w:val="22"/>
                <w:lang w:eastAsia="sv-SE"/>
              </w:rPr>
              <w:t xml:space="preserve">The UE selects 2-step random access type to perform random access based on this threshold (see TS 38.321 [3], clause 5.1.1). This field is only present </w:t>
            </w:r>
            <w:r w:rsidR="008E6985" w:rsidRPr="00FA0D37">
              <w:rPr>
                <w:szCs w:val="22"/>
                <w:lang w:eastAsia="sv-SE"/>
              </w:rPr>
              <w:t xml:space="preserve">if </w:t>
            </w:r>
            <w:r w:rsidR="008E6985" w:rsidRPr="00FA0D37">
              <w:rPr>
                <w:rFonts w:cs="Arial"/>
                <w:szCs w:val="22"/>
                <w:lang w:eastAsia="sv-SE"/>
              </w:rPr>
              <w:t>both</w:t>
            </w:r>
            <w:r w:rsidRPr="00FA0D37">
              <w:rPr>
                <w:szCs w:val="22"/>
                <w:lang w:eastAsia="sv-SE"/>
              </w:rPr>
              <w:t xml:space="preserve"> 2-step and 4-step RA type </w:t>
            </w:r>
            <w:r w:rsidR="008E6985" w:rsidRPr="00FA0D37">
              <w:rPr>
                <w:szCs w:val="22"/>
                <w:lang w:eastAsia="sv-SE"/>
              </w:rPr>
              <w:t xml:space="preserve">are configured for the concerned feature combination in </w:t>
            </w:r>
            <w:r w:rsidRPr="00FA0D37">
              <w:rPr>
                <w:szCs w:val="22"/>
                <w:lang w:eastAsia="sv-SE"/>
              </w:rPr>
              <w:t xml:space="preserve">the BWP. If configured, this parameter overrides </w:t>
            </w:r>
            <w:r w:rsidRPr="00FA0D37">
              <w:rPr>
                <w:i/>
                <w:iCs/>
                <w:szCs w:val="22"/>
                <w:lang w:eastAsia="sv-SE"/>
              </w:rPr>
              <w:t>msgA-RSRP-Threshold-r16</w:t>
            </w:r>
            <w:r w:rsidRPr="00FA0D37">
              <w:rPr>
                <w:szCs w:val="22"/>
                <w:lang w:eastAsia="sv-SE"/>
              </w:rPr>
              <w:t xml:space="preserve">. If absent, the UE applies </w:t>
            </w:r>
            <w:r w:rsidRPr="00FA0D37">
              <w:rPr>
                <w:i/>
                <w:iCs/>
                <w:szCs w:val="22"/>
                <w:lang w:eastAsia="sv-SE"/>
              </w:rPr>
              <w:t>msgA-RSRP-Threshold-r16</w:t>
            </w:r>
            <w:r w:rsidRPr="00FA0D37">
              <w:rPr>
                <w:szCs w:val="22"/>
                <w:lang w:eastAsia="sv-SE"/>
              </w:rPr>
              <w:t>, if configured</w:t>
            </w:r>
          </w:p>
        </w:tc>
      </w:tr>
      <w:tr w:rsidR="005C7FF4" w:rsidRPr="00FA0D37"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FA0D37" w:rsidRDefault="00276C79" w:rsidP="00771058">
            <w:pPr>
              <w:pStyle w:val="TAL"/>
              <w:rPr>
                <w:b/>
                <w:i/>
                <w:szCs w:val="22"/>
                <w:lang w:eastAsia="sv-SE"/>
              </w:rPr>
            </w:pPr>
            <w:r w:rsidRPr="00FA0D37">
              <w:rPr>
                <w:b/>
                <w:i/>
                <w:szCs w:val="22"/>
                <w:lang w:eastAsia="sv-SE"/>
              </w:rPr>
              <w:t>numberOfPreambles</w:t>
            </w:r>
            <w:r w:rsidR="003A2D9D" w:rsidRPr="00FA0D37">
              <w:rPr>
                <w:b/>
                <w:i/>
                <w:szCs w:val="22"/>
                <w:lang w:eastAsia="sv-SE"/>
              </w:rPr>
              <w:t>PerSSB-</w:t>
            </w:r>
            <w:r w:rsidRPr="00FA0D37">
              <w:rPr>
                <w:b/>
                <w:i/>
                <w:szCs w:val="22"/>
                <w:lang w:eastAsia="sv-SE"/>
              </w:rPr>
              <w:t>ForThisPartition</w:t>
            </w:r>
          </w:p>
          <w:p w14:paraId="7BBB1C84" w14:textId="77777777" w:rsidR="00276C79" w:rsidRPr="00FA0D37" w:rsidRDefault="00276C79" w:rsidP="00771058">
            <w:pPr>
              <w:pStyle w:val="TAL"/>
              <w:rPr>
                <w:b/>
                <w:i/>
                <w:szCs w:val="22"/>
                <w:lang w:eastAsia="sv-SE"/>
              </w:rPr>
            </w:pPr>
            <w:r w:rsidRPr="00FA0D37">
              <w:rPr>
                <w:bCs/>
                <w:iCs/>
                <w:szCs w:val="22"/>
                <w:lang w:eastAsia="sv-SE"/>
              </w:rPr>
              <w:t>It determines how many consecutive preambles are associated to the Feature Combination starting from the starting preamble(s) per SSB.</w:t>
            </w:r>
          </w:p>
        </w:tc>
      </w:tr>
      <w:tr w:rsidR="005C7FF4" w:rsidRPr="00FA0D37"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FA0D37" w:rsidRDefault="00276C79" w:rsidP="00771058">
            <w:pPr>
              <w:pStyle w:val="TAL"/>
              <w:rPr>
                <w:b/>
                <w:i/>
                <w:szCs w:val="22"/>
                <w:lang w:eastAsia="sv-SE"/>
              </w:rPr>
            </w:pPr>
            <w:r w:rsidRPr="00FA0D37">
              <w:rPr>
                <w:b/>
                <w:i/>
                <w:szCs w:val="22"/>
                <w:lang w:eastAsia="sv-SE"/>
              </w:rPr>
              <w:t>numberOfRA-PreamblesGroupA</w:t>
            </w:r>
          </w:p>
          <w:p w14:paraId="369E5DB6" w14:textId="697DBFD4" w:rsidR="00276C79" w:rsidRPr="00FA0D37" w:rsidRDefault="00276C79" w:rsidP="00771058">
            <w:pPr>
              <w:pStyle w:val="TAL"/>
              <w:rPr>
                <w:b/>
                <w:i/>
                <w:szCs w:val="22"/>
                <w:lang w:eastAsia="sv-SE"/>
              </w:rPr>
            </w:pPr>
            <w:r w:rsidRPr="00FA0D37">
              <w:rPr>
                <w:bCs/>
                <w:iCs/>
                <w:szCs w:val="22"/>
                <w:lang w:eastAsia="sv-SE"/>
              </w:rPr>
              <w:t xml:space="preserve">It determines how many consecutive preambles </w:t>
            </w:r>
            <w:r w:rsidR="0071669F" w:rsidRPr="00FA0D37">
              <w:rPr>
                <w:bCs/>
                <w:iCs/>
                <w:szCs w:val="22"/>
                <w:lang w:eastAsia="sv-SE"/>
              </w:rPr>
              <w:t xml:space="preserve">per SSB </w:t>
            </w:r>
            <w:r w:rsidRPr="00FA0D37">
              <w:rPr>
                <w:bCs/>
                <w:iCs/>
                <w:szCs w:val="22"/>
                <w:lang w:eastAsia="sv-SE"/>
              </w:rPr>
              <w:t>are associated to Group A starting from the starting preamble(s). The remaining preambles associated to the Feature Combination are associated to Group B</w:t>
            </w:r>
          </w:p>
        </w:tc>
      </w:tr>
      <w:tr w:rsidR="005C7FF4" w:rsidRPr="00FA0D37"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FA0D37" w:rsidRDefault="00276C79" w:rsidP="00771058">
            <w:pPr>
              <w:pStyle w:val="TAL"/>
              <w:rPr>
                <w:szCs w:val="22"/>
                <w:lang w:eastAsia="sv-SE"/>
              </w:rPr>
            </w:pPr>
            <w:r w:rsidRPr="00FA0D37">
              <w:rPr>
                <w:b/>
                <w:i/>
                <w:szCs w:val="22"/>
                <w:lang w:eastAsia="sv-SE"/>
              </w:rPr>
              <w:t>ra-SizeGroupA</w:t>
            </w:r>
          </w:p>
          <w:p w14:paraId="3A8DA0F0" w14:textId="1A41ECD7" w:rsidR="00276C79" w:rsidRPr="00FA0D37" w:rsidRDefault="00276C79" w:rsidP="00771058">
            <w:pPr>
              <w:pStyle w:val="TAL"/>
              <w:rPr>
                <w:b/>
                <w:i/>
                <w:szCs w:val="22"/>
                <w:lang w:eastAsia="sv-SE"/>
              </w:rPr>
            </w:pPr>
            <w:r w:rsidRPr="00FA0D37">
              <w:rPr>
                <w:szCs w:val="22"/>
                <w:lang w:eastAsia="sv-SE"/>
              </w:rPr>
              <w:t xml:space="preserve">Transport Blocks size threshold in bits below which the UE shall use a contention-based RA preamble of group A. (see TS 38.321 [3], clause 5.1.2). If this feature combination preambles are associated to a </w:t>
            </w:r>
            <w:r w:rsidRPr="00FA0D37">
              <w:rPr>
                <w:i/>
                <w:iCs/>
                <w:szCs w:val="22"/>
                <w:lang w:eastAsia="sv-SE"/>
              </w:rPr>
              <w:t>RACH-ConfigCommon-twostepRA</w:t>
            </w:r>
            <w:r w:rsidRPr="00FA0D37">
              <w:rPr>
                <w:szCs w:val="22"/>
                <w:lang w:eastAsia="sv-SE"/>
              </w:rPr>
              <w:t xml:space="preserve">, this field correspond to </w:t>
            </w:r>
            <w:r w:rsidR="0071669F" w:rsidRPr="00FA0D37">
              <w:rPr>
                <w:i/>
                <w:iCs/>
                <w:szCs w:val="22"/>
                <w:lang w:eastAsia="sv-SE"/>
              </w:rPr>
              <w:t>ra-MsgA-SizeGroupA</w:t>
            </w:r>
            <w:r w:rsidRPr="00FA0D37">
              <w:rPr>
                <w:szCs w:val="22"/>
                <w:lang w:eastAsia="sv-SE"/>
              </w:rPr>
              <w:t xml:space="preserve">, otherwise it corresponds to </w:t>
            </w:r>
            <w:r w:rsidR="0071669F" w:rsidRPr="00FA0D37">
              <w:rPr>
                <w:i/>
                <w:iCs/>
                <w:szCs w:val="22"/>
                <w:lang w:eastAsia="sv-SE"/>
              </w:rPr>
              <w:t>ra-Msg3SizeGroupA</w:t>
            </w:r>
            <w:r w:rsidRPr="00FA0D37">
              <w:rPr>
                <w:szCs w:val="22"/>
                <w:lang w:eastAsia="sv-SE"/>
              </w:rPr>
              <w:t>.</w:t>
            </w:r>
          </w:p>
        </w:tc>
      </w:tr>
      <w:tr w:rsidR="005C7FF4" w:rsidRPr="00FA0D37"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FA0D37" w:rsidRDefault="00276C79" w:rsidP="00771058">
            <w:pPr>
              <w:pStyle w:val="TAL"/>
              <w:rPr>
                <w:b/>
                <w:i/>
                <w:szCs w:val="22"/>
                <w:lang w:eastAsia="sv-SE"/>
              </w:rPr>
            </w:pPr>
            <w:r w:rsidRPr="00FA0D37">
              <w:rPr>
                <w:b/>
                <w:i/>
                <w:szCs w:val="22"/>
                <w:lang w:eastAsia="sv-SE"/>
              </w:rPr>
              <w:t>rsrp-ThresholdSSB</w:t>
            </w:r>
          </w:p>
          <w:p w14:paraId="60E495CA" w14:textId="2BD720F6" w:rsidR="00276C79" w:rsidRPr="00FA0D37" w:rsidRDefault="00276C79" w:rsidP="00771058">
            <w:pPr>
              <w:pStyle w:val="TAL"/>
              <w:rPr>
                <w:b/>
                <w:i/>
                <w:szCs w:val="22"/>
                <w:lang w:eastAsia="sv-SE"/>
              </w:rPr>
            </w:pPr>
            <w:r w:rsidRPr="00FA0D37">
              <w:rPr>
                <w:szCs w:val="22"/>
                <w:lang w:eastAsia="sv-SE"/>
              </w:rPr>
              <w:t xml:space="preserve">L1-RSRP threshold used for determining whether a candidate beam may be used by the UE. </w:t>
            </w:r>
            <w:r w:rsidR="0071669F" w:rsidRPr="00FA0D37">
              <w:rPr>
                <w:szCs w:val="22"/>
                <w:lang w:eastAsia="sv-SE"/>
              </w:rPr>
              <w:t xml:space="preserve">If this parameter is included in </w:t>
            </w:r>
            <w:r w:rsidR="0071669F" w:rsidRPr="00FA0D37">
              <w:rPr>
                <w:i/>
                <w:iCs/>
                <w:szCs w:val="22"/>
                <w:lang w:eastAsia="sv-SE"/>
              </w:rPr>
              <w:t>FeatureCombinationPreambles</w:t>
            </w:r>
            <w:r w:rsidR="0071669F" w:rsidRPr="00FA0D37">
              <w:rPr>
                <w:szCs w:val="22"/>
                <w:lang w:eastAsia="sv-SE"/>
              </w:rPr>
              <w:t xml:space="preserve"> which is included in </w:t>
            </w:r>
            <w:r w:rsidR="0071669F" w:rsidRPr="00FA0D37">
              <w:rPr>
                <w:i/>
                <w:iCs/>
                <w:szCs w:val="22"/>
                <w:lang w:eastAsia="sv-SE"/>
              </w:rPr>
              <w:t>RACH-ConfigCommonTwoStepRA</w:t>
            </w:r>
            <w:r w:rsidR="0071669F" w:rsidRPr="00FA0D37">
              <w:rPr>
                <w:szCs w:val="22"/>
                <w:lang w:eastAsia="sv-SE"/>
              </w:rPr>
              <w:t xml:space="preserve">, it corresponds to </w:t>
            </w:r>
            <w:r w:rsidR="0071669F" w:rsidRPr="00FA0D37">
              <w:rPr>
                <w:i/>
                <w:iCs/>
                <w:szCs w:val="22"/>
                <w:lang w:eastAsia="sv-SE"/>
              </w:rPr>
              <w:t>msgA-RSRP-ThresholdSSB</w:t>
            </w:r>
            <w:r w:rsidR="0071669F" w:rsidRPr="00FA0D37">
              <w:rPr>
                <w:szCs w:val="22"/>
                <w:lang w:eastAsia="sv-SE"/>
              </w:rPr>
              <w:t xml:space="preserve">, as defined in TS 38.321 [3]. If this parameter is included in </w:t>
            </w:r>
            <w:r w:rsidR="0071669F" w:rsidRPr="00FA0D37">
              <w:rPr>
                <w:i/>
                <w:iCs/>
                <w:szCs w:val="22"/>
                <w:lang w:eastAsia="sv-SE"/>
              </w:rPr>
              <w:t>FeatureCombinationPreambles</w:t>
            </w:r>
            <w:r w:rsidR="0071669F" w:rsidRPr="00FA0D37">
              <w:rPr>
                <w:szCs w:val="22"/>
                <w:lang w:eastAsia="sv-SE"/>
              </w:rPr>
              <w:t xml:space="preserve"> which is included in </w:t>
            </w:r>
            <w:r w:rsidR="0071669F" w:rsidRPr="00FA0D37">
              <w:rPr>
                <w:i/>
                <w:iCs/>
                <w:szCs w:val="22"/>
                <w:lang w:eastAsia="sv-SE"/>
              </w:rPr>
              <w:t>RACH-ConfigCommon</w:t>
            </w:r>
            <w:r w:rsidR="0071669F" w:rsidRPr="00FA0D37">
              <w:rPr>
                <w:szCs w:val="22"/>
                <w:lang w:eastAsia="sv-SE"/>
              </w:rPr>
              <w:t xml:space="preserve">, it it corresponds to </w:t>
            </w:r>
            <w:r w:rsidR="0071669F" w:rsidRPr="00FA0D37">
              <w:rPr>
                <w:i/>
                <w:iCs/>
                <w:szCs w:val="22"/>
                <w:lang w:eastAsia="sv-SE"/>
              </w:rPr>
              <w:t>rsrp-ThresholdSSB</w:t>
            </w:r>
            <w:r w:rsidR="0071669F" w:rsidRPr="00FA0D37">
              <w:rPr>
                <w:szCs w:val="22"/>
                <w:lang w:eastAsia="sv-SE"/>
              </w:rPr>
              <w:t>, as defined in TS 38.321 [3].</w:t>
            </w:r>
          </w:p>
        </w:tc>
      </w:tr>
      <w:tr w:rsidR="005C7FF4" w:rsidRPr="00FA0D37"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FA0D37" w:rsidRDefault="00276C79" w:rsidP="00771058">
            <w:pPr>
              <w:pStyle w:val="TAL"/>
              <w:rPr>
                <w:b/>
                <w:i/>
                <w:szCs w:val="22"/>
                <w:lang w:eastAsia="sv-SE"/>
              </w:rPr>
            </w:pPr>
            <w:r w:rsidRPr="00FA0D37">
              <w:rPr>
                <w:b/>
                <w:i/>
                <w:szCs w:val="22"/>
                <w:lang w:eastAsia="sv-SE"/>
              </w:rPr>
              <w:t>separateMsgA-PUSCH-Config</w:t>
            </w:r>
          </w:p>
          <w:p w14:paraId="7973D6B3" w14:textId="5B640A57" w:rsidR="00276C79" w:rsidRPr="00FA0D37" w:rsidRDefault="00276C79" w:rsidP="00771058">
            <w:pPr>
              <w:pStyle w:val="TAL"/>
              <w:rPr>
                <w:szCs w:val="22"/>
                <w:lang w:eastAsia="sv-SE"/>
              </w:rPr>
            </w:pPr>
            <w:r w:rsidRPr="00FA0D37">
              <w:rPr>
                <w:bCs/>
                <w:iCs/>
                <w:szCs w:val="22"/>
                <w:lang w:eastAsia="sv-SE"/>
              </w:rPr>
              <w:t xml:space="preserve">If present it specifies how the 2-step RACH preambles identified by this </w:t>
            </w:r>
            <w:r w:rsidRPr="00FA0D37">
              <w:rPr>
                <w:i/>
                <w:szCs w:val="22"/>
                <w:lang w:eastAsia="sv-SE"/>
              </w:rPr>
              <w:t>FeatureCombinationPreambles</w:t>
            </w:r>
            <w:r w:rsidRPr="00FA0D37">
              <w:rPr>
                <w:bCs/>
                <w:iCs/>
                <w:szCs w:val="22"/>
                <w:lang w:eastAsia="sv-SE"/>
              </w:rPr>
              <w:t xml:space="preserve"> are mapped to a PUSCH slot separate from the one defined in </w:t>
            </w:r>
            <w:r w:rsidRPr="00FA0D37">
              <w:rPr>
                <w:rFonts w:eastAsia="等线"/>
                <w:lang w:eastAsia="zh-CN"/>
              </w:rPr>
              <w:t>MsgA-ConfigCommon-r16</w:t>
            </w:r>
            <w:r w:rsidRPr="00FA0D37">
              <w:rPr>
                <w:bCs/>
                <w:iCs/>
                <w:szCs w:val="22"/>
                <w:lang w:eastAsia="sv-SE"/>
              </w:rPr>
              <w:t>.</w:t>
            </w:r>
            <w:r w:rsidR="0071669F" w:rsidRPr="00FA0D37">
              <w:rPr>
                <w:bCs/>
                <w:iCs/>
                <w:szCs w:val="22"/>
                <w:lang w:eastAsia="sv-SE"/>
              </w:rPr>
              <w:t xml:space="preserve"> If the field is absent, the UE should apply the corresponding parameter in the </w:t>
            </w:r>
            <w:r w:rsidR="0071669F" w:rsidRPr="00FA0D37">
              <w:rPr>
                <w:bCs/>
                <w:i/>
                <w:iCs/>
                <w:szCs w:val="22"/>
                <w:lang w:eastAsia="sv-SE"/>
              </w:rPr>
              <w:t xml:space="preserve">RACH-ConfigCommonTwoStepRA </w:t>
            </w:r>
            <w:r w:rsidR="0071669F" w:rsidRPr="00FA0D37">
              <w:rPr>
                <w:bCs/>
                <w:iCs/>
                <w:szCs w:val="22"/>
                <w:lang w:eastAsia="sv-SE"/>
              </w:rPr>
              <w:t>of the BWP which includes the</w:t>
            </w:r>
            <w:r w:rsidR="0071669F" w:rsidRPr="00FA0D37">
              <w:rPr>
                <w:bCs/>
                <w:i/>
                <w:iCs/>
                <w:szCs w:val="22"/>
                <w:lang w:eastAsia="sv-SE"/>
              </w:rPr>
              <w:t xml:space="preserve"> FeatureCombinationPreambles IE</w:t>
            </w:r>
            <w:r w:rsidR="0071669F" w:rsidRPr="00FA0D37">
              <w:rPr>
                <w:bCs/>
                <w:iCs/>
                <w:szCs w:val="22"/>
                <w:lang w:eastAsia="sv-SE"/>
              </w:rPr>
              <w:t>.</w:t>
            </w:r>
          </w:p>
        </w:tc>
      </w:tr>
      <w:tr w:rsidR="005C7FF4" w:rsidRPr="00FA0D37"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FA0D37" w:rsidRDefault="00276C79" w:rsidP="00771058">
            <w:pPr>
              <w:pStyle w:val="TAL"/>
              <w:rPr>
                <w:b/>
                <w:i/>
                <w:szCs w:val="22"/>
                <w:lang w:eastAsia="sv-SE"/>
              </w:rPr>
            </w:pPr>
            <w:r w:rsidRPr="00FA0D37">
              <w:rPr>
                <w:b/>
                <w:i/>
                <w:szCs w:val="22"/>
                <w:lang w:eastAsia="sv-SE"/>
              </w:rPr>
              <w:t>ssb-SharedRO-MaskIndex</w:t>
            </w:r>
          </w:p>
          <w:p w14:paraId="0DFA9688" w14:textId="34572756" w:rsidR="00276C79" w:rsidRPr="00FA0D37" w:rsidRDefault="00276C79" w:rsidP="00771058">
            <w:pPr>
              <w:pStyle w:val="TAL"/>
              <w:rPr>
                <w:bCs/>
                <w:iCs/>
                <w:szCs w:val="22"/>
                <w:lang w:eastAsia="sv-SE"/>
              </w:rPr>
            </w:pPr>
            <w:r w:rsidRPr="00FA0D37">
              <w:rPr>
                <w:bCs/>
                <w:iCs/>
                <w:szCs w:val="22"/>
                <w:lang w:eastAsia="sv-SE"/>
              </w:rPr>
              <w:t xml:space="preserve">Mask index (see </w:t>
            </w:r>
            <w:r w:rsidR="00894E1D" w:rsidRPr="00FA0D37">
              <w:rPr>
                <w:bCs/>
                <w:iCs/>
                <w:szCs w:val="22"/>
                <w:lang w:eastAsia="sv-SE"/>
              </w:rPr>
              <w:t xml:space="preserve">TS </w:t>
            </w:r>
            <w:r w:rsidRPr="00FA0D37">
              <w:rPr>
                <w:bCs/>
                <w:iCs/>
                <w:szCs w:val="22"/>
                <w:lang w:eastAsia="sv-SE"/>
              </w:rPr>
              <w:t>38.321</w:t>
            </w:r>
            <w:r w:rsidR="00894E1D" w:rsidRPr="00FA0D37">
              <w:rPr>
                <w:bCs/>
                <w:iCs/>
                <w:szCs w:val="22"/>
                <w:lang w:eastAsia="sv-SE"/>
              </w:rPr>
              <w:t xml:space="preserve"> [3]</w:t>
            </w:r>
            <w:r w:rsidRPr="00FA0D37">
              <w:rPr>
                <w:bCs/>
                <w:iCs/>
                <w:szCs w:val="22"/>
                <w:lang w:eastAsia="sv-SE"/>
              </w:rPr>
              <w:t>).</w:t>
            </w:r>
          </w:p>
          <w:p w14:paraId="25B29F97" w14:textId="75936E1D" w:rsidR="00314053" w:rsidRPr="00FA0D37" w:rsidRDefault="00276C79" w:rsidP="00876283">
            <w:pPr>
              <w:pStyle w:val="TAL"/>
              <w:rPr>
                <w:szCs w:val="22"/>
                <w:lang w:eastAsia="sv-SE"/>
              </w:rPr>
            </w:pPr>
            <w:r w:rsidRPr="00FA0D37">
              <w:rPr>
                <w:szCs w:val="22"/>
                <w:lang w:eastAsia="sv-SE"/>
              </w:rPr>
              <w:t>Indicates a subset of ROs where preambles are allocated for this feature combination.</w:t>
            </w:r>
          </w:p>
          <w:p w14:paraId="750A33E7" w14:textId="3A3EEB4B" w:rsidR="00314053" w:rsidRPr="00FA0D37" w:rsidRDefault="0071669F" w:rsidP="00876283">
            <w:pPr>
              <w:pStyle w:val="TAL"/>
              <w:rPr>
                <w:szCs w:val="22"/>
                <w:lang w:eastAsia="sv-SE"/>
              </w:rPr>
            </w:pPr>
            <w:r w:rsidRPr="00FA0D37">
              <w:rPr>
                <w:szCs w:val="22"/>
                <w:lang w:eastAsia="sv-SE"/>
              </w:rPr>
              <w:t xml:space="preserve">If this field is configured within </w:t>
            </w:r>
            <w:r w:rsidRPr="00FA0D37">
              <w:rPr>
                <w:i/>
                <w:iCs/>
                <w:szCs w:val="22"/>
                <w:lang w:eastAsia="sv-SE"/>
              </w:rPr>
              <w:t>FeatureCombinationPreambles</w:t>
            </w:r>
            <w:r w:rsidRPr="00FA0D37">
              <w:rPr>
                <w:szCs w:val="22"/>
                <w:lang w:eastAsia="sv-SE"/>
              </w:rPr>
              <w:t xml:space="preserve"> which is included in </w:t>
            </w:r>
            <w:r w:rsidRPr="00FA0D37">
              <w:rPr>
                <w:i/>
                <w:iCs/>
                <w:szCs w:val="22"/>
                <w:lang w:eastAsia="sv-SE"/>
              </w:rPr>
              <w:t>RACH-ConfigCommonTwoStepRA</w:t>
            </w:r>
            <w:r w:rsidR="00EF527E" w:rsidRPr="00FA0D37">
              <w:rPr>
                <w:szCs w:val="22"/>
                <w:lang w:eastAsia="sv-SE"/>
              </w:rPr>
              <w:t>:</w:t>
            </w:r>
          </w:p>
          <w:p w14:paraId="22B5A897" w14:textId="0173B2B7" w:rsidR="00314053" w:rsidRPr="00FA0D37" w:rsidRDefault="00314053" w:rsidP="00A12BD9">
            <w:pPr>
              <w:pStyle w:val="B1"/>
              <w:spacing w:after="0"/>
              <w:ind w:left="576" w:hanging="288"/>
              <w:rPr>
                <w:rFonts w:cs="Arial"/>
                <w:szCs w:val="18"/>
                <w:lang w:eastAsia="sv-SE"/>
              </w:rPr>
            </w:pPr>
            <w:r w:rsidRPr="00FA0D37">
              <w:rPr>
                <w:rFonts w:ascii="Arial" w:hAnsi="Arial" w:cs="Arial"/>
                <w:sz w:val="18"/>
                <w:szCs w:val="18"/>
                <w:lang w:eastAsia="sv-SE"/>
              </w:rPr>
              <w:t>-</w:t>
            </w:r>
            <w:r w:rsidRPr="00FA0D37">
              <w:rPr>
                <w:rFonts w:ascii="Arial" w:eastAsia="MS Mincho" w:hAnsi="Arial" w:cs="Arial"/>
                <w:sz w:val="18"/>
                <w:szCs w:val="18"/>
              </w:rPr>
              <w:tab/>
            </w:r>
            <w:r w:rsidR="00DC5522" w:rsidRPr="00FA0D37">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FA0D37">
              <w:rPr>
                <w:rFonts w:ascii="Arial" w:hAnsi="Arial" w:cs="Arial"/>
                <w:i/>
                <w:iCs/>
                <w:sz w:val="18"/>
                <w:szCs w:val="18"/>
                <w:lang w:eastAsia="sv-SE"/>
              </w:rPr>
              <w:t>RACH-ConfigCommonTwoStepRA</w:t>
            </w:r>
            <w:r w:rsidR="00EF527E" w:rsidRPr="00FA0D37">
              <w:rPr>
                <w:rFonts w:ascii="Arial" w:hAnsi="Arial" w:cs="Arial"/>
                <w:sz w:val="18"/>
                <w:szCs w:val="18"/>
                <w:lang w:eastAsia="sv-SE"/>
              </w:rPr>
              <w:t>;</w:t>
            </w:r>
          </w:p>
          <w:p w14:paraId="4BE08DB0" w14:textId="4ADD1578" w:rsidR="00EF527E" w:rsidRPr="00FA0D37" w:rsidRDefault="00314053" w:rsidP="00314053">
            <w:pPr>
              <w:pStyle w:val="B1"/>
              <w:spacing w:after="0"/>
              <w:ind w:left="576" w:hanging="288"/>
              <w:rPr>
                <w:rFonts w:ascii="Arial" w:hAnsi="Arial" w:cs="Arial"/>
                <w:sz w:val="18"/>
                <w:szCs w:val="18"/>
                <w:lang w:eastAsia="sv-SE"/>
              </w:rPr>
            </w:pPr>
            <w:r w:rsidRPr="00FA0D37">
              <w:rPr>
                <w:rFonts w:ascii="Arial" w:hAnsi="Arial" w:cs="Arial"/>
                <w:sz w:val="18"/>
                <w:szCs w:val="18"/>
                <w:lang w:eastAsia="sv-SE"/>
              </w:rPr>
              <w:t>-</w:t>
            </w:r>
            <w:r w:rsidRPr="00FA0D37">
              <w:rPr>
                <w:rFonts w:ascii="Arial" w:eastAsia="MS Mincho" w:hAnsi="Arial" w:cs="Arial"/>
                <w:sz w:val="18"/>
                <w:szCs w:val="18"/>
              </w:rPr>
              <w:tab/>
            </w:r>
            <w:r w:rsidR="00DC5522" w:rsidRPr="00FA0D37">
              <w:rPr>
                <w:rFonts w:ascii="Arial" w:hAnsi="Arial" w:cs="Arial"/>
                <w:sz w:val="18"/>
                <w:szCs w:val="18"/>
                <w:lang w:eastAsia="sv-SE"/>
              </w:rPr>
              <w:t xml:space="preserve">in case shared ROs are used for 4-step and 2-step random access, it indicates the subset of ROs configured within </w:t>
            </w:r>
            <w:r w:rsidR="00DC5522" w:rsidRPr="00FA0D37">
              <w:rPr>
                <w:rFonts w:ascii="Arial" w:hAnsi="Arial" w:cs="Arial"/>
                <w:i/>
                <w:iCs/>
                <w:sz w:val="18"/>
                <w:szCs w:val="18"/>
                <w:lang w:eastAsia="sv-SE"/>
              </w:rPr>
              <w:t>RACH-ConfigCommon</w:t>
            </w:r>
            <w:r w:rsidR="00DC5522" w:rsidRPr="00FA0D37">
              <w:rPr>
                <w:rFonts w:ascii="Arial" w:hAnsi="Arial" w:cs="Arial"/>
                <w:sz w:val="18"/>
                <w:szCs w:val="18"/>
                <w:lang w:eastAsia="sv-SE"/>
              </w:rPr>
              <w:t>, which are the subset of ROs configured for 2-step random access</w:t>
            </w:r>
            <w:r w:rsidR="0071669F" w:rsidRPr="00FA0D37">
              <w:rPr>
                <w:rFonts w:ascii="Arial" w:hAnsi="Arial" w:cs="Arial"/>
                <w:sz w:val="18"/>
                <w:szCs w:val="18"/>
                <w:lang w:eastAsia="sv-SE"/>
              </w:rPr>
              <w:t>.</w:t>
            </w:r>
          </w:p>
          <w:p w14:paraId="473DB085" w14:textId="3ADA3FF5" w:rsidR="00276C79" w:rsidRPr="00FA0D37" w:rsidRDefault="00276C79" w:rsidP="00876283">
            <w:pPr>
              <w:pStyle w:val="TAL"/>
              <w:rPr>
                <w:bCs/>
                <w:iCs/>
                <w:szCs w:val="22"/>
                <w:lang w:eastAsia="sv-SE"/>
              </w:rPr>
            </w:pPr>
            <w:r w:rsidRPr="00FA0D37">
              <w:rPr>
                <w:rFonts w:cs="Arial"/>
                <w:szCs w:val="18"/>
                <w:lang w:eastAsia="sv-SE"/>
              </w:rPr>
              <w:t xml:space="preserve">This field is configured when there is more than one RO per SSB. </w:t>
            </w:r>
            <w:r w:rsidRPr="00FA0D37">
              <w:rPr>
                <w:szCs w:val="22"/>
                <w:lang w:eastAsia="sv-SE"/>
              </w:rPr>
              <w:t xml:space="preserve">If the field is absent, all ROs </w:t>
            </w:r>
            <w:r w:rsidR="0071669F" w:rsidRPr="00FA0D37">
              <w:rPr>
                <w:szCs w:val="22"/>
                <w:lang w:eastAsia="sv-SE"/>
              </w:rPr>
              <w:t xml:space="preserve">configured in </w:t>
            </w:r>
            <w:r w:rsidR="0071669F" w:rsidRPr="00FA0D37">
              <w:rPr>
                <w:i/>
                <w:iCs/>
                <w:szCs w:val="22"/>
                <w:lang w:eastAsia="sv-SE"/>
              </w:rPr>
              <w:t>RACH-ConfigCommon</w:t>
            </w:r>
            <w:r w:rsidR="0071669F" w:rsidRPr="00FA0D37">
              <w:rPr>
                <w:szCs w:val="22"/>
                <w:lang w:eastAsia="sv-SE"/>
              </w:rPr>
              <w:t xml:space="preserve"> or </w:t>
            </w:r>
            <w:r w:rsidR="0071669F" w:rsidRPr="00FA0D37">
              <w:rPr>
                <w:i/>
                <w:iCs/>
                <w:szCs w:val="22"/>
                <w:lang w:eastAsia="sv-SE"/>
              </w:rPr>
              <w:t>RACH-ConfigCommonTwoStepRA</w:t>
            </w:r>
            <w:r w:rsidR="0071669F" w:rsidRPr="00FA0D37">
              <w:rPr>
                <w:szCs w:val="22"/>
                <w:lang w:eastAsia="sv-SE"/>
              </w:rPr>
              <w:t xml:space="preserve"> containing this </w:t>
            </w:r>
            <w:r w:rsidR="0071669F" w:rsidRPr="00FA0D37">
              <w:rPr>
                <w:i/>
                <w:iCs/>
                <w:szCs w:val="22"/>
                <w:lang w:eastAsia="sv-SE"/>
              </w:rPr>
              <w:t>FeatureCombinationPreambles</w:t>
            </w:r>
            <w:r w:rsidR="0071669F" w:rsidRPr="00FA0D37">
              <w:rPr>
                <w:szCs w:val="22"/>
                <w:lang w:eastAsia="sv-SE"/>
              </w:rPr>
              <w:t xml:space="preserve"> </w:t>
            </w:r>
            <w:r w:rsidRPr="00FA0D37">
              <w:rPr>
                <w:szCs w:val="22"/>
                <w:lang w:eastAsia="sv-SE"/>
              </w:rPr>
              <w:t>are shared.</w:t>
            </w:r>
          </w:p>
        </w:tc>
      </w:tr>
      <w:tr w:rsidR="00276C79" w:rsidRPr="00FA0D37"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FA0D37" w:rsidRDefault="00276C79" w:rsidP="00771058">
            <w:pPr>
              <w:pStyle w:val="TAL"/>
              <w:rPr>
                <w:szCs w:val="22"/>
                <w:lang w:eastAsia="sv-SE"/>
              </w:rPr>
            </w:pPr>
            <w:r w:rsidRPr="00FA0D37">
              <w:rPr>
                <w:b/>
                <w:i/>
                <w:szCs w:val="22"/>
                <w:lang w:eastAsia="sv-SE"/>
              </w:rPr>
              <w:lastRenderedPageBreak/>
              <w:t>startPreambleForThisPartition</w:t>
            </w:r>
          </w:p>
          <w:p w14:paraId="008E85EB" w14:textId="69056B0C" w:rsidR="00276C79" w:rsidRPr="00FA0D37" w:rsidRDefault="00276C79" w:rsidP="00771058">
            <w:pPr>
              <w:pStyle w:val="TAL"/>
              <w:rPr>
                <w:bCs/>
                <w:iCs/>
                <w:szCs w:val="22"/>
                <w:lang w:eastAsia="sv-SE"/>
              </w:rPr>
            </w:pPr>
            <w:r w:rsidRPr="00FA0D37">
              <w:rPr>
                <w:bCs/>
                <w:iCs/>
                <w:szCs w:val="22"/>
                <w:lang w:eastAsia="sv-SE"/>
              </w:rPr>
              <w:t xml:space="preserve">It defines the first preamble associated with the Feature Combination. </w:t>
            </w:r>
            <w:r w:rsidR="008E6985" w:rsidRPr="00FA0D37">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FA0D37">
              <w:rPr>
                <w:bCs/>
                <w:iCs/>
                <w:szCs w:val="22"/>
                <w:lang w:eastAsia="sv-SE"/>
              </w:rPr>
              <w:t xml:space="preserve">, each having start index </w:t>
            </w:r>
            <w:r w:rsidR="005D6B48" w:rsidRPr="00FA0D37">
              <w:object w:dxaOrig="886" w:dyaOrig="285" w14:anchorId="7B86AF06">
                <v:shape id="_x0000_i1032" type="#_x0000_t75" style="width:48.6pt;height:15.45pt" o:ole="">
                  <v:imagedata r:id="rId29" o:title=""/>
                </v:shape>
                <o:OLEObject Type="Embed" ProgID="Visio.Drawing.15" ShapeID="_x0000_i1032" DrawAspect="Content" ObjectID="_1763391809" r:id="rId30"/>
              </w:object>
            </w:r>
            <w:r w:rsidRPr="00FA0D37">
              <w:rPr>
                <w:bCs/>
                <w:iCs/>
                <w:szCs w:val="22"/>
                <w:lang w:eastAsia="sv-SE"/>
              </w:rPr>
              <w:t xml:space="preserve">+ </w:t>
            </w:r>
            <w:r w:rsidRPr="00FA0D37">
              <w:rPr>
                <w:bCs/>
                <w:i/>
                <w:szCs w:val="22"/>
                <w:lang w:eastAsia="sv-SE"/>
              </w:rPr>
              <w:t>startPreambleForThisPartition</w:t>
            </w:r>
            <w:r w:rsidR="005D6B48" w:rsidRPr="00FA0D37">
              <w:rPr>
                <w:bCs/>
                <w:iCs/>
                <w:szCs w:val="22"/>
                <w:lang w:eastAsia="sv-SE"/>
              </w:rPr>
              <w:t>, where n refers to SSB block index (see TS 38.213 [13], clause 8.1)</w:t>
            </w:r>
            <w:r w:rsidRPr="00FA0D37">
              <w:rPr>
                <w:bCs/>
                <w:iCs/>
                <w:szCs w:val="22"/>
                <w:lang w:eastAsia="sv-SE"/>
              </w:rPr>
              <w:t>.</w:t>
            </w:r>
          </w:p>
        </w:tc>
      </w:tr>
    </w:tbl>
    <w:p w14:paraId="7D237196" w14:textId="77777777" w:rsidR="00276C79" w:rsidRPr="00FA0D37"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FA0D37" w:rsidRDefault="00276C79" w:rsidP="00771058">
            <w:pPr>
              <w:pStyle w:val="TAH"/>
              <w:rPr>
                <w:szCs w:val="22"/>
                <w:lang w:eastAsia="en-US"/>
              </w:rPr>
            </w:pPr>
            <w:r w:rsidRPr="00FA0D3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FA0D37" w:rsidRDefault="00276C79" w:rsidP="00771058">
            <w:pPr>
              <w:pStyle w:val="TAH"/>
              <w:rPr>
                <w:szCs w:val="22"/>
                <w:lang w:eastAsia="en-US"/>
              </w:rPr>
            </w:pPr>
            <w:r w:rsidRPr="00FA0D37">
              <w:rPr>
                <w:szCs w:val="22"/>
                <w:lang w:eastAsia="en-US"/>
              </w:rPr>
              <w:t>Explanation</w:t>
            </w:r>
          </w:p>
        </w:tc>
      </w:tr>
      <w:tr w:rsidR="000830BB" w:rsidRPr="00FA0D37"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FA0D37" w:rsidRDefault="00276C79" w:rsidP="00771058">
            <w:pPr>
              <w:pStyle w:val="TAL"/>
              <w:rPr>
                <w:i/>
                <w:iCs/>
                <w:lang w:eastAsia="x-none"/>
              </w:rPr>
            </w:pPr>
            <w:r w:rsidRPr="00FA0D37">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FA0D37" w:rsidRDefault="0071669F" w:rsidP="00771058">
            <w:pPr>
              <w:pStyle w:val="TAL"/>
              <w:rPr>
                <w:szCs w:val="22"/>
              </w:rPr>
            </w:pPr>
            <w:r w:rsidRPr="00FA0D37">
              <w:rPr>
                <w:szCs w:val="22"/>
              </w:rPr>
              <w:t xml:space="preserve">The field is optionally present, Need S, if </w:t>
            </w:r>
            <w:r w:rsidRPr="00FA0D37">
              <w:rPr>
                <w:i/>
                <w:iCs/>
                <w:szCs w:val="22"/>
              </w:rPr>
              <w:t>FeatureCombinationPreambles</w:t>
            </w:r>
            <w:r w:rsidRPr="00FA0D37">
              <w:rPr>
                <w:szCs w:val="22"/>
              </w:rPr>
              <w:t xml:space="preserve"> is included in </w:t>
            </w:r>
            <w:r w:rsidRPr="00FA0D37">
              <w:rPr>
                <w:i/>
                <w:iCs/>
                <w:szCs w:val="22"/>
              </w:rPr>
              <w:t>RACH-ConfigCommonTwoStepRA</w:t>
            </w:r>
            <w:r w:rsidRPr="00FA0D37">
              <w:rPr>
                <w:szCs w:val="22"/>
              </w:rPr>
              <w:t xml:space="preserve">. Otherwise, it is absent. If the field is absent in </w:t>
            </w:r>
            <w:r w:rsidRPr="00FA0D37">
              <w:rPr>
                <w:i/>
                <w:iCs/>
                <w:szCs w:val="22"/>
              </w:rPr>
              <w:t>FeatureCombinationPreambles</w:t>
            </w:r>
            <w:r w:rsidRPr="00FA0D37">
              <w:rPr>
                <w:szCs w:val="22"/>
              </w:rPr>
              <w:t xml:space="preserve"> included in </w:t>
            </w:r>
            <w:r w:rsidRPr="00FA0D37">
              <w:rPr>
                <w:i/>
                <w:iCs/>
                <w:szCs w:val="22"/>
              </w:rPr>
              <w:t>RACH-ConfigCommonTwoStepRA</w:t>
            </w:r>
            <w:r w:rsidRPr="00FA0D37">
              <w:rPr>
                <w:szCs w:val="22"/>
              </w:rPr>
              <w:t xml:space="preserve">, the UE applies </w:t>
            </w:r>
            <w:r w:rsidRPr="00FA0D37">
              <w:rPr>
                <w:i/>
                <w:iCs/>
                <w:szCs w:val="22"/>
              </w:rPr>
              <w:t>MsgA-PUSCH-Config</w:t>
            </w:r>
            <w:r w:rsidRPr="00FA0D37">
              <w:rPr>
                <w:szCs w:val="22"/>
              </w:rPr>
              <w:t xml:space="preserve"> included in the corresponding </w:t>
            </w:r>
            <w:r w:rsidRPr="00FA0D37">
              <w:rPr>
                <w:i/>
                <w:iCs/>
                <w:szCs w:val="22"/>
              </w:rPr>
              <w:t>MsgA-ConfigCommon</w:t>
            </w:r>
            <w:r w:rsidRPr="00FA0D37">
              <w:rPr>
                <w:szCs w:val="22"/>
              </w:rPr>
              <w:t>.</w:t>
            </w:r>
          </w:p>
        </w:tc>
      </w:tr>
    </w:tbl>
    <w:p w14:paraId="1BCD4405" w14:textId="77777777" w:rsidR="00276C79" w:rsidRPr="00FA0D37" w:rsidRDefault="00276C79" w:rsidP="00394471">
      <w:pPr>
        <w:rPr>
          <w:rFonts w:eastAsia="MS Mincho"/>
        </w:rPr>
      </w:pPr>
    </w:p>
    <w:p w14:paraId="15ABE9FE" w14:textId="77777777" w:rsidR="00394471" w:rsidRPr="00FA0D37" w:rsidRDefault="00394471" w:rsidP="00394471">
      <w:pPr>
        <w:pStyle w:val="4"/>
        <w:rPr>
          <w:rFonts w:eastAsia="MS Mincho"/>
          <w:i/>
        </w:rPr>
      </w:pPr>
      <w:bookmarkStart w:id="1034" w:name="_Toc60777236"/>
      <w:bookmarkStart w:id="1035" w:name="_Toc146781290"/>
      <w:r w:rsidRPr="00FA0D37">
        <w:rPr>
          <w:rFonts w:eastAsia="MS Mincho"/>
        </w:rPr>
        <w:t>–</w:t>
      </w:r>
      <w:r w:rsidRPr="00FA0D37">
        <w:rPr>
          <w:rFonts w:eastAsia="MS Mincho"/>
        </w:rPr>
        <w:tab/>
      </w:r>
      <w:r w:rsidRPr="00FA0D37">
        <w:rPr>
          <w:rFonts w:eastAsia="MS Mincho"/>
          <w:i/>
        </w:rPr>
        <w:t>FilterCoefficient</w:t>
      </w:r>
      <w:bookmarkEnd w:id="1034"/>
      <w:bookmarkEnd w:id="1035"/>
    </w:p>
    <w:p w14:paraId="7F3C7EA0" w14:textId="77777777" w:rsidR="00394471" w:rsidRPr="00FA0D37" w:rsidRDefault="00394471" w:rsidP="00394471">
      <w:pPr>
        <w:rPr>
          <w:rFonts w:eastAsia="MS Mincho"/>
        </w:rPr>
      </w:pPr>
      <w:r w:rsidRPr="00FA0D37">
        <w:t xml:space="preserve">The IE </w:t>
      </w:r>
      <w:r w:rsidRPr="00FA0D37">
        <w:rPr>
          <w:i/>
        </w:rPr>
        <w:t>FilterCoefficient</w:t>
      </w:r>
      <w:r w:rsidRPr="00FA0D37">
        <w:t xml:space="preserve"> specifies the measurement filtering coefficient. Value </w:t>
      </w:r>
      <w:r w:rsidRPr="00FA0D37">
        <w:rPr>
          <w:i/>
        </w:rPr>
        <w:t>fc0</w:t>
      </w:r>
      <w:r w:rsidRPr="00FA0D37">
        <w:t xml:space="preserve"> corresponds to k = 0, </w:t>
      </w:r>
      <w:r w:rsidRPr="00FA0D37">
        <w:rPr>
          <w:i/>
        </w:rPr>
        <w:t>fc1</w:t>
      </w:r>
      <w:r w:rsidRPr="00FA0D37">
        <w:t xml:space="preserve"> corresponds to k = 1, and so on.</w:t>
      </w:r>
    </w:p>
    <w:p w14:paraId="4ED2B9A8" w14:textId="77777777" w:rsidR="00394471" w:rsidRPr="00FA0D37" w:rsidRDefault="00394471" w:rsidP="00394471">
      <w:pPr>
        <w:pStyle w:val="TH"/>
      </w:pPr>
      <w:r w:rsidRPr="00FA0D37">
        <w:rPr>
          <w:bCs/>
          <w:i/>
          <w:iCs/>
        </w:rPr>
        <w:t xml:space="preserve">FilterCoefficient </w:t>
      </w:r>
      <w:r w:rsidRPr="00FA0D37">
        <w:t>information element</w:t>
      </w:r>
    </w:p>
    <w:p w14:paraId="052953DA" w14:textId="77777777" w:rsidR="00394471" w:rsidRPr="00FA0D37" w:rsidRDefault="00394471" w:rsidP="00FA0D37">
      <w:pPr>
        <w:pStyle w:val="PL"/>
        <w:rPr>
          <w:color w:val="808080"/>
        </w:rPr>
      </w:pPr>
      <w:r w:rsidRPr="00FA0D37">
        <w:rPr>
          <w:color w:val="808080"/>
        </w:rPr>
        <w:t>-- ASN1START</w:t>
      </w:r>
    </w:p>
    <w:p w14:paraId="1D82824D" w14:textId="77777777" w:rsidR="00394471" w:rsidRPr="00FA0D37" w:rsidRDefault="00394471" w:rsidP="00FA0D37">
      <w:pPr>
        <w:pStyle w:val="PL"/>
        <w:rPr>
          <w:color w:val="808080"/>
        </w:rPr>
      </w:pPr>
      <w:r w:rsidRPr="00FA0D37">
        <w:rPr>
          <w:color w:val="808080"/>
        </w:rPr>
        <w:t>-- TAG-FILTERCOEFFICIENT-START</w:t>
      </w:r>
    </w:p>
    <w:p w14:paraId="32CD8EFA" w14:textId="77777777" w:rsidR="00394471" w:rsidRPr="00FA0D37" w:rsidRDefault="00394471" w:rsidP="00FA0D37">
      <w:pPr>
        <w:pStyle w:val="PL"/>
      </w:pPr>
    </w:p>
    <w:p w14:paraId="12F2DFD8" w14:textId="77777777" w:rsidR="00394471" w:rsidRPr="00FA0D37" w:rsidRDefault="00394471" w:rsidP="00FA0D37">
      <w:pPr>
        <w:pStyle w:val="PL"/>
      </w:pPr>
      <w:r w:rsidRPr="00FA0D37">
        <w:t xml:space="preserve">FilterCoefficient ::=       </w:t>
      </w:r>
      <w:r w:rsidRPr="00FA0D37">
        <w:rPr>
          <w:color w:val="993366"/>
        </w:rPr>
        <w:t>ENUMERATED</w:t>
      </w:r>
      <w:r w:rsidRPr="00FA0D37">
        <w:t xml:space="preserve"> { fc0, fc1, fc2, fc3, fc4, fc5, fc6, fc7, fc8, fc9, fc11, fc13, fc15, fc17, fc19, spare1, ...}</w:t>
      </w:r>
    </w:p>
    <w:p w14:paraId="0A821ED7" w14:textId="77777777" w:rsidR="00394471" w:rsidRPr="00FA0D37" w:rsidRDefault="00394471" w:rsidP="00FA0D37">
      <w:pPr>
        <w:pStyle w:val="PL"/>
      </w:pPr>
    </w:p>
    <w:p w14:paraId="3CE5C884" w14:textId="77777777" w:rsidR="00394471" w:rsidRPr="00FA0D37" w:rsidRDefault="00394471" w:rsidP="00FA0D37">
      <w:pPr>
        <w:pStyle w:val="PL"/>
        <w:rPr>
          <w:color w:val="808080"/>
        </w:rPr>
      </w:pPr>
      <w:r w:rsidRPr="00FA0D37">
        <w:rPr>
          <w:color w:val="808080"/>
        </w:rPr>
        <w:t>-- TAG-FILTERCOEFFICIENT-STOP</w:t>
      </w:r>
    </w:p>
    <w:p w14:paraId="564A4273" w14:textId="77777777" w:rsidR="00394471" w:rsidRPr="00FA0D37" w:rsidRDefault="00394471" w:rsidP="00FA0D37">
      <w:pPr>
        <w:pStyle w:val="PL"/>
        <w:rPr>
          <w:color w:val="808080"/>
        </w:rPr>
      </w:pPr>
      <w:r w:rsidRPr="00FA0D37">
        <w:rPr>
          <w:color w:val="808080"/>
        </w:rPr>
        <w:t>-- ASN1STOP</w:t>
      </w:r>
    </w:p>
    <w:p w14:paraId="79E40F17" w14:textId="77777777" w:rsidR="00394471" w:rsidRPr="00FA0D37" w:rsidRDefault="00394471" w:rsidP="00394471">
      <w:pPr>
        <w:rPr>
          <w:iCs/>
        </w:rPr>
      </w:pPr>
    </w:p>
    <w:p w14:paraId="3D23D2FA" w14:textId="77777777" w:rsidR="00394471" w:rsidRPr="00FA0D37" w:rsidRDefault="00394471" w:rsidP="00394471"/>
    <w:p w14:paraId="226190C5" w14:textId="77777777" w:rsidR="00394471" w:rsidRPr="00FA0D37" w:rsidRDefault="00394471" w:rsidP="00394471">
      <w:pPr>
        <w:pStyle w:val="4"/>
      </w:pPr>
      <w:bookmarkStart w:id="1036" w:name="_Toc60777237"/>
      <w:bookmarkStart w:id="1037" w:name="_Toc146781291"/>
      <w:r w:rsidRPr="00FA0D37">
        <w:t>–</w:t>
      </w:r>
      <w:r w:rsidRPr="00FA0D37">
        <w:tab/>
      </w:r>
      <w:r w:rsidRPr="00FA0D37">
        <w:rPr>
          <w:i/>
        </w:rPr>
        <w:t>FreqBandIndicatorNR</w:t>
      </w:r>
      <w:bookmarkEnd w:id="1036"/>
      <w:bookmarkEnd w:id="1037"/>
    </w:p>
    <w:p w14:paraId="13FBA824" w14:textId="1E8D7E27" w:rsidR="00394471" w:rsidRPr="00FA0D37" w:rsidRDefault="00394471" w:rsidP="00394471">
      <w:r w:rsidRPr="00FA0D37">
        <w:t xml:space="preserve">The IE </w:t>
      </w:r>
      <w:r w:rsidRPr="00FA0D37">
        <w:rPr>
          <w:i/>
        </w:rPr>
        <w:t>FreqBandIndicatorNR</w:t>
      </w:r>
      <w:r w:rsidRPr="00FA0D37">
        <w:t xml:space="preserve"> is used to convey an NR frequency band number as defined in TS 38.101-1 [15]</w:t>
      </w:r>
      <w:r w:rsidR="00A3134E" w:rsidRPr="00FA0D37">
        <w:t>,</w:t>
      </w:r>
      <w:r w:rsidRPr="00FA0D37">
        <w:t xml:space="preserve"> TS 38.101-2 [39]</w:t>
      </w:r>
      <w:r w:rsidR="00A3134E" w:rsidRPr="00FA0D37">
        <w:t xml:space="preserve"> and TS 38.101-5 [75]</w:t>
      </w:r>
      <w:r w:rsidRPr="00FA0D37">
        <w:t>.</w:t>
      </w:r>
    </w:p>
    <w:p w14:paraId="386E2700" w14:textId="77777777" w:rsidR="00394471" w:rsidRPr="00FA0D37" w:rsidRDefault="00394471" w:rsidP="00394471">
      <w:pPr>
        <w:pStyle w:val="TH"/>
      </w:pPr>
      <w:r w:rsidRPr="00FA0D37">
        <w:rPr>
          <w:i/>
        </w:rPr>
        <w:t>FreqBandIndicatorNR</w:t>
      </w:r>
      <w:r w:rsidRPr="00FA0D37">
        <w:t xml:space="preserve"> information element</w:t>
      </w:r>
    </w:p>
    <w:p w14:paraId="74DAEE22" w14:textId="77777777" w:rsidR="00394471" w:rsidRPr="00FA0D37" w:rsidRDefault="00394471" w:rsidP="00FA0D37">
      <w:pPr>
        <w:pStyle w:val="PL"/>
        <w:rPr>
          <w:color w:val="808080"/>
        </w:rPr>
      </w:pPr>
      <w:r w:rsidRPr="00FA0D37">
        <w:rPr>
          <w:color w:val="808080"/>
        </w:rPr>
        <w:t>-- ASN1START</w:t>
      </w:r>
    </w:p>
    <w:p w14:paraId="0DEE84F7" w14:textId="77777777" w:rsidR="00394471" w:rsidRPr="00FA0D37" w:rsidRDefault="00394471" w:rsidP="00FA0D37">
      <w:pPr>
        <w:pStyle w:val="PL"/>
        <w:rPr>
          <w:color w:val="808080"/>
        </w:rPr>
      </w:pPr>
      <w:r w:rsidRPr="00FA0D37">
        <w:rPr>
          <w:color w:val="808080"/>
        </w:rPr>
        <w:t>-- TAG-FREQBANDINDICATORNR-START</w:t>
      </w:r>
    </w:p>
    <w:p w14:paraId="126FBFE4" w14:textId="77777777" w:rsidR="00394471" w:rsidRPr="00FA0D37" w:rsidRDefault="00394471" w:rsidP="00FA0D37">
      <w:pPr>
        <w:pStyle w:val="PL"/>
      </w:pPr>
    </w:p>
    <w:p w14:paraId="64213E3B" w14:textId="77777777" w:rsidR="00394471" w:rsidRPr="00FA0D37" w:rsidRDefault="00394471" w:rsidP="00FA0D37">
      <w:pPr>
        <w:pStyle w:val="PL"/>
      </w:pPr>
      <w:r w:rsidRPr="00FA0D37">
        <w:t xml:space="preserve">FreqBandIndicatorNR ::=             </w:t>
      </w:r>
      <w:r w:rsidRPr="00FA0D37">
        <w:rPr>
          <w:color w:val="993366"/>
        </w:rPr>
        <w:t>INTEGER</w:t>
      </w:r>
      <w:r w:rsidRPr="00FA0D37">
        <w:t xml:space="preserve"> (1..1024)</w:t>
      </w:r>
    </w:p>
    <w:p w14:paraId="6A5D444F" w14:textId="77777777" w:rsidR="00394471" w:rsidRPr="00FA0D37" w:rsidRDefault="00394471" w:rsidP="00FA0D37">
      <w:pPr>
        <w:pStyle w:val="PL"/>
      </w:pPr>
    </w:p>
    <w:p w14:paraId="1712739A" w14:textId="77777777" w:rsidR="00394471" w:rsidRPr="00FA0D37" w:rsidRDefault="00394471" w:rsidP="00FA0D37">
      <w:pPr>
        <w:pStyle w:val="PL"/>
        <w:rPr>
          <w:color w:val="808080"/>
        </w:rPr>
      </w:pPr>
      <w:r w:rsidRPr="00FA0D37">
        <w:rPr>
          <w:color w:val="808080"/>
        </w:rPr>
        <w:t>-- TAG-FREQBANDINDICATORNR-STOP</w:t>
      </w:r>
    </w:p>
    <w:p w14:paraId="39E999D0" w14:textId="77777777" w:rsidR="00394471" w:rsidRPr="00FA0D37" w:rsidRDefault="00394471" w:rsidP="00FA0D37">
      <w:pPr>
        <w:pStyle w:val="PL"/>
        <w:rPr>
          <w:color w:val="808080"/>
        </w:rPr>
      </w:pPr>
      <w:r w:rsidRPr="00FA0D37">
        <w:rPr>
          <w:color w:val="808080"/>
        </w:rPr>
        <w:t>-- ASN1STOP</w:t>
      </w:r>
    </w:p>
    <w:p w14:paraId="01DF5668" w14:textId="77777777" w:rsidR="008E5FFC" w:rsidRPr="00FA0D37" w:rsidRDefault="008E5FFC" w:rsidP="008E5FFC">
      <w:pPr>
        <w:rPr>
          <w:rFonts w:eastAsiaTheme="minorEastAsia"/>
        </w:rPr>
      </w:pPr>
    </w:p>
    <w:p w14:paraId="70028DC6" w14:textId="77777777" w:rsidR="008E5FFC" w:rsidRPr="00FA0D37" w:rsidRDefault="008E5FFC" w:rsidP="008E5FFC">
      <w:pPr>
        <w:pStyle w:val="4"/>
      </w:pPr>
      <w:bookmarkStart w:id="1038" w:name="_Toc146781292"/>
      <w:r w:rsidRPr="00FA0D37">
        <w:lastRenderedPageBreak/>
        <w:t>–</w:t>
      </w:r>
      <w:r w:rsidRPr="00FA0D37">
        <w:tab/>
      </w:r>
      <w:r w:rsidRPr="00FA0D37">
        <w:rPr>
          <w:rFonts w:eastAsia="等线"/>
          <w:i/>
          <w:lang w:eastAsia="zh-CN"/>
        </w:rPr>
        <w:t>FreqPriorityListDedicatedSlicing</w:t>
      </w:r>
      <w:bookmarkEnd w:id="1038"/>
    </w:p>
    <w:p w14:paraId="2D05D567" w14:textId="0FE8A545" w:rsidR="008E5FFC" w:rsidRPr="00FA0D37" w:rsidRDefault="008E5FFC" w:rsidP="008E5FFC">
      <w:pPr>
        <w:keepNext/>
        <w:keepLines/>
        <w:rPr>
          <w:iCs/>
        </w:rPr>
      </w:pPr>
      <w:r w:rsidRPr="00FA0D37">
        <w:t xml:space="preserve">The IE </w:t>
      </w:r>
      <w:r w:rsidRPr="00FA0D37">
        <w:rPr>
          <w:rFonts w:eastAsia="等线"/>
          <w:i/>
          <w:lang w:eastAsia="zh-CN"/>
        </w:rPr>
        <w:t>FreqPriorityListDedicatedSlicing</w:t>
      </w:r>
      <w:r w:rsidRPr="00FA0D37">
        <w:rPr>
          <w:i/>
        </w:rPr>
        <w:t xml:space="preserve"> </w:t>
      </w:r>
      <w:r w:rsidR="007D3EDC" w:rsidRPr="00FA0D37">
        <w:t xml:space="preserve">provides </w:t>
      </w:r>
      <w:r w:rsidRPr="00FA0D37">
        <w:t>dedicated cell reselection priorities for slicing</w:t>
      </w:r>
      <w:r w:rsidR="007D3EDC" w:rsidRPr="00FA0D37">
        <w:t xml:space="preserve"> in </w:t>
      </w:r>
      <w:r w:rsidR="007D3EDC" w:rsidRPr="00FA0D37">
        <w:rPr>
          <w:i/>
        </w:rPr>
        <w:t>RRCRelease</w:t>
      </w:r>
      <w:r w:rsidRPr="00FA0D37">
        <w:rPr>
          <w:iCs/>
        </w:rPr>
        <w:t>.</w:t>
      </w:r>
    </w:p>
    <w:p w14:paraId="53D88D2F" w14:textId="77777777" w:rsidR="008E5FFC" w:rsidRPr="00FA0D37" w:rsidRDefault="008E5FFC" w:rsidP="008E5FFC">
      <w:pPr>
        <w:pStyle w:val="TH"/>
      </w:pPr>
      <w:r w:rsidRPr="00FA0D37">
        <w:rPr>
          <w:bCs/>
          <w:i/>
          <w:iCs/>
        </w:rPr>
        <w:t xml:space="preserve">FreqPriorityListDedicatedSlicing </w:t>
      </w:r>
      <w:r w:rsidRPr="00FA0D37">
        <w:t>information element</w:t>
      </w:r>
    </w:p>
    <w:p w14:paraId="35AD29D4" w14:textId="77777777" w:rsidR="008E5FFC" w:rsidRPr="00FA0D37" w:rsidRDefault="008E5FFC" w:rsidP="00FA0D37">
      <w:pPr>
        <w:pStyle w:val="PL"/>
        <w:rPr>
          <w:color w:val="808080"/>
        </w:rPr>
      </w:pPr>
      <w:r w:rsidRPr="00FA0D37">
        <w:rPr>
          <w:color w:val="808080"/>
        </w:rPr>
        <w:t>-- ASN1START</w:t>
      </w:r>
    </w:p>
    <w:p w14:paraId="4F2A771E" w14:textId="77777777" w:rsidR="008E5FFC" w:rsidRPr="00FA0D37" w:rsidRDefault="008E5FFC" w:rsidP="00FA0D37">
      <w:pPr>
        <w:pStyle w:val="PL"/>
        <w:rPr>
          <w:color w:val="808080"/>
        </w:rPr>
      </w:pPr>
      <w:r w:rsidRPr="00FA0D37">
        <w:rPr>
          <w:color w:val="808080"/>
        </w:rPr>
        <w:t>-- TAG-FREQPRIORITYLISTDEDICATEDSLICING-START</w:t>
      </w:r>
    </w:p>
    <w:p w14:paraId="2B289038" w14:textId="77777777" w:rsidR="008E5FFC" w:rsidRPr="00FA0D37" w:rsidRDefault="008E5FFC" w:rsidP="00FA0D37">
      <w:pPr>
        <w:pStyle w:val="PL"/>
      </w:pPr>
    </w:p>
    <w:p w14:paraId="4E317169" w14:textId="77777777" w:rsidR="008E5FFC" w:rsidRPr="00FA0D37" w:rsidRDefault="008E5FFC" w:rsidP="00FA0D37">
      <w:pPr>
        <w:pStyle w:val="PL"/>
        <w:rPr>
          <w:rFonts w:eastAsia="等线"/>
        </w:rPr>
      </w:pPr>
      <w:r w:rsidRPr="00FA0D37">
        <w:rPr>
          <w:rFonts w:eastAsia="等线"/>
        </w:rPr>
        <w:t xml:space="preserve">FreqPriorityListDedicatedSlicing-r17 ::= </w:t>
      </w:r>
      <w:r w:rsidRPr="00FA0D37">
        <w:rPr>
          <w:color w:val="993366"/>
        </w:rPr>
        <w:t>SEQUENCE</w:t>
      </w:r>
      <w:r w:rsidRPr="00FA0D37">
        <w:t xml:space="preserve"> </w:t>
      </w:r>
      <w:r w:rsidRPr="00FA0D37">
        <w:rPr>
          <w:rFonts w:eastAsia="等线"/>
        </w:rPr>
        <w:t>(</w:t>
      </w:r>
      <w:r w:rsidRPr="00FA0D37">
        <w:rPr>
          <w:color w:val="993366"/>
        </w:rPr>
        <w:t>SIZE</w:t>
      </w:r>
      <w:r w:rsidRPr="00FA0D37">
        <w:t xml:space="preserve"> </w:t>
      </w:r>
      <w:r w:rsidRPr="00FA0D37">
        <w:rPr>
          <w:rFonts w:eastAsia="等线"/>
        </w:rPr>
        <w:t>(1..</w:t>
      </w:r>
      <w:r w:rsidRPr="00FA0D37">
        <w:t xml:space="preserve"> </w:t>
      </w:r>
      <w:r w:rsidRPr="00FA0D37">
        <w:rPr>
          <w:rFonts w:eastAsia="等线"/>
        </w:rPr>
        <w:t>maxFreq))</w:t>
      </w:r>
      <w:r w:rsidRPr="00FA0D37">
        <w:rPr>
          <w:rFonts w:eastAsia="等线"/>
          <w:color w:val="993366"/>
        </w:rPr>
        <w:t xml:space="preserve"> OF</w:t>
      </w:r>
      <w:r w:rsidRPr="00FA0D37">
        <w:rPr>
          <w:rFonts w:eastAsia="等线"/>
        </w:rPr>
        <w:t xml:space="preserve"> FreqPriorityDedicatedSlicing-r17</w:t>
      </w:r>
    </w:p>
    <w:p w14:paraId="59D8A468" w14:textId="77777777" w:rsidR="008E5FFC" w:rsidRPr="00FA0D37" w:rsidRDefault="008E5FFC" w:rsidP="00FA0D37">
      <w:pPr>
        <w:pStyle w:val="PL"/>
        <w:rPr>
          <w:rFonts w:eastAsia="等线"/>
        </w:rPr>
      </w:pPr>
    </w:p>
    <w:p w14:paraId="67280CC2" w14:textId="47915E82" w:rsidR="008E5FFC" w:rsidRPr="00FA0D37" w:rsidRDefault="008E5FFC" w:rsidP="00FA0D37">
      <w:pPr>
        <w:pStyle w:val="PL"/>
        <w:rPr>
          <w:rFonts w:eastAsia="等线"/>
        </w:rPr>
      </w:pPr>
      <w:r w:rsidRPr="00FA0D37">
        <w:rPr>
          <w:rFonts w:eastAsia="等线"/>
        </w:rPr>
        <w:t>FreqPriorityDedicatedSlicing-r17 ::=</w:t>
      </w:r>
      <w:r w:rsidRPr="00FA0D37">
        <w:t xml:space="preserve">     </w:t>
      </w:r>
      <w:r w:rsidRPr="00FA0D37">
        <w:rPr>
          <w:rFonts w:eastAsia="等线"/>
          <w:color w:val="993366"/>
        </w:rPr>
        <w:t>SEQUENCE</w:t>
      </w:r>
      <w:r w:rsidRPr="00FA0D37">
        <w:rPr>
          <w:rFonts w:eastAsia="等线"/>
        </w:rPr>
        <w:t xml:space="preserve"> {</w:t>
      </w:r>
    </w:p>
    <w:p w14:paraId="067E6CA9" w14:textId="37DC6AA2" w:rsidR="008E5FFC" w:rsidRPr="00FA0D37" w:rsidRDefault="008E5FFC" w:rsidP="00FA0D37">
      <w:pPr>
        <w:pStyle w:val="PL"/>
        <w:rPr>
          <w:rFonts w:eastAsia="等线"/>
        </w:rPr>
      </w:pPr>
      <w:r w:rsidRPr="00FA0D37">
        <w:rPr>
          <w:rFonts w:eastAsia="等线"/>
        </w:rPr>
        <w:t xml:space="preserve">    </w:t>
      </w:r>
      <w:r w:rsidRPr="00FA0D37">
        <w:t xml:space="preserve"> dl-ExplicitCarrierFreq-r17               ARFCN-ValueNR,</w:t>
      </w:r>
    </w:p>
    <w:p w14:paraId="3B1B3E60" w14:textId="6B190FD8" w:rsidR="008E5FFC" w:rsidRPr="00FA0D37" w:rsidRDefault="008E5FFC" w:rsidP="00FA0D37">
      <w:pPr>
        <w:pStyle w:val="PL"/>
        <w:rPr>
          <w:rFonts w:eastAsia="等线"/>
          <w:color w:val="808080"/>
        </w:rPr>
      </w:pPr>
      <w:r w:rsidRPr="00FA0D37">
        <w:t xml:space="preserve">    </w:t>
      </w:r>
      <w:r w:rsidRPr="00FA0D37">
        <w:rPr>
          <w:rFonts w:eastAsia="等线"/>
        </w:rPr>
        <w:t>sliceInfoListDedicated-r17</w:t>
      </w:r>
      <w:r w:rsidRPr="00FA0D37">
        <w:t xml:space="preserve">               SliceInfoListDedicated-r17                                    </w:t>
      </w:r>
      <w:r w:rsidRPr="00FA0D37">
        <w:rPr>
          <w:color w:val="993366"/>
        </w:rPr>
        <w:t>OPTIONAL</w:t>
      </w:r>
      <w:r w:rsidRPr="00FA0D37">
        <w:t xml:space="preserve">  </w:t>
      </w:r>
      <w:r w:rsidRPr="00FA0D37">
        <w:rPr>
          <w:color w:val="808080"/>
        </w:rPr>
        <w:t xml:space="preserve">-- </w:t>
      </w:r>
      <w:r w:rsidR="007D3EDC" w:rsidRPr="00FA0D37">
        <w:rPr>
          <w:color w:val="808080"/>
        </w:rPr>
        <w:t>Cond Mandatory</w:t>
      </w:r>
    </w:p>
    <w:p w14:paraId="1F34BE72" w14:textId="77777777" w:rsidR="008E5FFC" w:rsidRPr="00FA0D37" w:rsidRDefault="008E5FFC" w:rsidP="00FA0D37">
      <w:pPr>
        <w:pStyle w:val="PL"/>
      </w:pPr>
      <w:r w:rsidRPr="00FA0D37">
        <w:rPr>
          <w:rFonts w:eastAsia="等线"/>
        </w:rPr>
        <w:t>}</w:t>
      </w:r>
    </w:p>
    <w:p w14:paraId="457ADF86" w14:textId="77777777" w:rsidR="008E5FFC" w:rsidRPr="00FA0D37" w:rsidRDefault="008E5FFC" w:rsidP="00FA0D37">
      <w:pPr>
        <w:pStyle w:val="PL"/>
      </w:pPr>
    </w:p>
    <w:p w14:paraId="15DDF5CB" w14:textId="3CFBEB87" w:rsidR="008E5FFC" w:rsidRPr="00FA0D37" w:rsidRDefault="008E5FFC" w:rsidP="00FA0D37">
      <w:pPr>
        <w:pStyle w:val="PL"/>
        <w:rPr>
          <w:rFonts w:eastAsia="等线"/>
        </w:rPr>
      </w:pPr>
      <w:r w:rsidRPr="00FA0D37">
        <w:rPr>
          <w:rFonts w:eastAsia="等线"/>
        </w:rPr>
        <w:t>SliceInfoListDedicated-r17 ::=</w:t>
      </w:r>
      <w:r w:rsidRPr="00FA0D37">
        <w:t xml:space="preserve">           </w:t>
      </w:r>
      <w:r w:rsidRPr="00FA0D37">
        <w:rPr>
          <w:color w:val="993366"/>
        </w:rPr>
        <w:t>SEQUENCE</w:t>
      </w:r>
      <w:r w:rsidRPr="00FA0D37">
        <w:t xml:space="preserve"> </w:t>
      </w:r>
      <w:r w:rsidRPr="00FA0D37">
        <w:rPr>
          <w:rFonts w:eastAsia="等线"/>
        </w:rPr>
        <w:t>(</w:t>
      </w:r>
      <w:r w:rsidRPr="00FA0D37">
        <w:rPr>
          <w:color w:val="993366"/>
        </w:rPr>
        <w:t>SIZE</w:t>
      </w:r>
      <w:r w:rsidRPr="00FA0D37">
        <w:t xml:space="preserve"> </w:t>
      </w:r>
      <w:r w:rsidRPr="00FA0D37">
        <w:rPr>
          <w:rFonts w:eastAsia="等线"/>
        </w:rPr>
        <w:t>(1..maxSliceInfo-r17))</w:t>
      </w:r>
      <w:r w:rsidRPr="00FA0D37">
        <w:rPr>
          <w:rFonts w:eastAsia="等线"/>
          <w:color w:val="993366"/>
        </w:rPr>
        <w:t xml:space="preserve"> </w:t>
      </w:r>
      <w:r w:rsidRPr="00FA0D37">
        <w:rPr>
          <w:color w:val="993366"/>
        </w:rPr>
        <w:t>OF</w:t>
      </w:r>
      <w:r w:rsidRPr="00FA0D37">
        <w:t xml:space="preserve"> SliceInfoDedicated-r17</w:t>
      </w:r>
    </w:p>
    <w:p w14:paraId="7F2B259D" w14:textId="77777777" w:rsidR="008E5FFC" w:rsidRPr="00FA0D37" w:rsidRDefault="008E5FFC" w:rsidP="00FA0D37">
      <w:pPr>
        <w:pStyle w:val="PL"/>
      </w:pPr>
    </w:p>
    <w:p w14:paraId="354EF312" w14:textId="43D338FA" w:rsidR="008E5FFC" w:rsidRPr="00FA0D37" w:rsidRDefault="008E5FFC" w:rsidP="00FA0D37">
      <w:pPr>
        <w:pStyle w:val="PL"/>
      </w:pPr>
      <w:r w:rsidRPr="00FA0D37">
        <w:t>SliceInfoDedicated-r17</w:t>
      </w:r>
      <w:r w:rsidRPr="00FA0D37">
        <w:rPr>
          <w:rFonts w:eastAsia="等线"/>
        </w:rPr>
        <w:t xml:space="preserve"> </w:t>
      </w:r>
      <w:r w:rsidRPr="00FA0D37">
        <w:t xml:space="preserve">::=               </w:t>
      </w:r>
      <w:r w:rsidRPr="00FA0D37">
        <w:rPr>
          <w:color w:val="993366"/>
        </w:rPr>
        <w:t>SEQUENCE</w:t>
      </w:r>
      <w:r w:rsidRPr="00FA0D37">
        <w:t xml:space="preserve"> {</w:t>
      </w:r>
    </w:p>
    <w:p w14:paraId="30CFB6E8" w14:textId="193DB241" w:rsidR="008E5FFC" w:rsidRPr="00FA0D37" w:rsidRDefault="008E5FFC" w:rsidP="00FA0D37">
      <w:pPr>
        <w:pStyle w:val="PL"/>
        <w:rPr>
          <w:rFonts w:eastAsia="宋体"/>
        </w:rPr>
      </w:pPr>
      <w:r w:rsidRPr="00FA0D37">
        <w:t xml:space="preserve">    nsag-IdentityInfo-r17                    NSAG-IdentityInfo-r17</w:t>
      </w:r>
      <w:r w:rsidRPr="00FA0D37">
        <w:rPr>
          <w:rFonts w:eastAsia="等线"/>
        </w:rPr>
        <w:t>,</w:t>
      </w:r>
    </w:p>
    <w:p w14:paraId="2BA8B30E" w14:textId="7A4FB0DD" w:rsidR="008E5FFC" w:rsidRPr="00FA0D37" w:rsidRDefault="008E5FFC" w:rsidP="00FA0D37">
      <w:pPr>
        <w:pStyle w:val="PL"/>
        <w:rPr>
          <w:color w:val="808080"/>
        </w:rPr>
      </w:pPr>
      <w:r w:rsidRPr="00FA0D37">
        <w:t xml:space="preserve">    nsag-CellReselectionPriority-r17         CellReselectionPriority                                       </w:t>
      </w:r>
      <w:r w:rsidRPr="00FA0D37">
        <w:rPr>
          <w:color w:val="993366"/>
        </w:rPr>
        <w:t>OPTIONAL</w:t>
      </w:r>
      <w:r w:rsidRPr="00FA0D37">
        <w:t xml:space="preserve">,  </w:t>
      </w:r>
      <w:r w:rsidRPr="00FA0D37">
        <w:rPr>
          <w:color w:val="808080"/>
        </w:rPr>
        <w:t>-- Need R</w:t>
      </w:r>
    </w:p>
    <w:p w14:paraId="01E9F296" w14:textId="418D1409" w:rsidR="008E5FFC" w:rsidRPr="00FA0D37" w:rsidRDefault="008E5FFC" w:rsidP="00FA0D37">
      <w:pPr>
        <w:pStyle w:val="PL"/>
        <w:rPr>
          <w:rFonts w:eastAsia="等线"/>
          <w:color w:val="808080"/>
        </w:rPr>
      </w:pPr>
      <w:r w:rsidRPr="00FA0D37">
        <w:t xml:space="preserve">    nsag-CellReselectionSubPriority-r17      CellReselectionSubPriority                                    </w:t>
      </w:r>
      <w:r w:rsidRPr="00FA0D37">
        <w:rPr>
          <w:color w:val="993366"/>
        </w:rPr>
        <w:t>OPTIONAL</w:t>
      </w:r>
      <w:r w:rsidRPr="00FA0D37">
        <w:t xml:space="preserve">   </w:t>
      </w:r>
      <w:r w:rsidRPr="00FA0D37">
        <w:rPr>
          <w:color w:val="808080"/>
        </w:rPr>
        <w:t>-- Need R</w:t>
      </w:r>
    </w:p>
    <w:p w14:paraId="070C1772" w14:textId="77777777" w:rsidR="008E5FFC" w:rsidRPr="00FA0D37" w:rsidRDefault="008E5FFC" w:rsidP="00FA0D37">
      <w:pPr>
        <w:pStyle w:val="PL"/>
      </w:pPr>
      <w:r w:rsidRPr="00FA0D37">
        <w:t>}</w:t>
      </w:r>
    </w:p>
    <w:p w14:paraId="75EC37AC" w14:textId="77777777" w:rsidR="008E5FFC" w:rsidRPr="00FA0D37" w:rsidRDefault="008E5FFC" w:rsidP="00FA0D37">
      <w:pPr>
        <w:pStyle w:val="PL"/>
      </w:pPr>
    </w:p>
    <w:p w14:paraId="0220A85B" w14:textId="77777777" w:rsidR="008E5FFC" w:rsidRPr="00FA0D37" w:rsidRDefault="008E5FFC" w:rsidP="00FA0D37">
      <w:pPr>
        <w:pStyle w:val="PL"/>
        <w:rPr>
          <w:color w:val="808080"/>
        </w:rPr>
      </w:pPr>
      <w:r w:rsidRPr="00FA0D37">
        <w:rPr>
          <w:color w:val="808080"/>
        </w:rPr>
        <w:t>-- TAG-FREQPRIORITYLISTDEDICATEDSLICING-STOP</w:t>
      </w:r>
    </w:p>
    <w:p w14:paraId="39E75E63" w14:textId="77777777" w:rsidR="008E5FFC" w:rsidRPr="00FA0D37" w:rsidRDefault="008E5FFC" w:rsidP="00FA0D37">
      <w:pPr>
        <w:pStyle w:val="PL"/>
        <w:rPr>
          <w:rFonts w:eastAsiaTheme="minorEastAsia"/>
          <w:color w:val="808080"/>
        </w:rPr>
      </w:pPr>
      <w:r w:rsidRPr="00FA0D37">
        <w:rPr>
          <w:color w:val="808080"/>
        </w:rPr>
        <w:t>-- ASN1STOP</w:t>
      </w:r>
    </w:p>
    <w:p w14:paraId="75F32EA9" w14:textId="77777777" w:rsidR="008E5FFC" w:rsidRPr="00FA0D3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FA0D37" w:rsidRDefault="008E5FFC" w:rsidP="00771058">
            <w:pPr>
              <w:pStyle w:val="TAH"/>
              <w:rPr>
                <w:lang w:eastAsia="en-GB"/>
              </w:rPr>
            </w:pPr>
            <w:r w:rsidRPr="00FA0D37">
              <w:rPr>
                <w:i/>
              </w:rPr>
              <w:t xml:space="preserve">FreqPriorityDedicatedSlicing </w:t>
            </w:r>
            <w:r w:rsidRPr="00FA0D37">
              <w:rPr>
                <w:iCs/>
                <w:lang w:eastAsia="en-GB"/>
              </w:rPr>
              <w:t>field descriptions</w:t>
            </w:r>
          </w:p>
        </w:tc>
      </w:tr>
      <w:tr w:rsidR="008E5FFC" w:rsidRPr="00FA0D37"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FA0D37" w:rsidRDefault="008E5FFC" w:rsidP="00771058">
            <w:pPr>
              <w:pStyle w:val="TAL"/>
              <w:rPr>
                <w:b/>
                <w:i/>
                <w:kern w:val="2"/>
              </w:rPr>
            </w:pPr>
            <w:r w:rsidRPr="00FA0D37">
              <w:rPr>
                <w:b/>
                <w:i/>
                <w:kern w:val="2"/>
              </w:rPr>
              <w:t>dl-ExplicitCarrierFreq</w:t>
            </w:r>
          </w:p>
          <w:p w14:paraId="0AFF63E6" w14:textId="77777777" w:rsidR="008E5FFC" w:rsidRPr="00FA0D37" w:rsidRDefault="008E5FFC" w:rsidP="00F747EB">
            <w:pPr>
              <w:pStyle w:val="TAL"/>
              <w:rPr>
                <w:rFonts w:eastAsiaTheme="minorEastAsia"/>
                <w:bCs/>
                <w:iCs/>
              </w:rPr>
            </w:pPr>
            <w:r w:rsidRPr="00FA0D37">
              <w:t xml:space="preserve">Indicates the downlink carrier frequency to which </w:t>
            </w:r>
            <w:r w:rsidRPr="00FA0D37">
              <w:rPr>
                <w:i/>
              </w:rPr>
              <w:t>SliceInfoListDedicated</w:t>
            </w:r>
            <w:r w:rsidRPr="00FA0D37">
              <w:t xml:space="preserve"> is associated.</w:t>
            </w:r>
          </w:p>
        </w:tc>
      </w:tr>
    </w:tbl>
    <w:p w14:paraId="5BACFFDD" w14:textId="77777777" w:rsidR="007D3EDC" w:rsidRPr="00FA0D3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5C7FF4" w:rsidRPr="00FA0D37"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FA0D37" w:rsidRDefault="007D3EDC" w:rsidP="0071565C">
            <w:pPr>
              <w:pStyle w:val="TAH"/>
              <w:rPr>
                <w:lang w:eastAsia="sv-SE"/>
              </w:rPr>
            </w:pPr>
            <w:r w:rsidRPr="00FA0D3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FA0D37" w:rsidRDefault="007D3EDC" w:rsidP="0071565C">
            <w:pPr>
              <w:pStyle w:val="TAH"/>
              <w:rPr>
                <w:lang w:eastAsia="sv-SE"/>
              </w:rPr>
            </w:pPr>
            <w:r w:rsidRPr="00FA0D37">
              <w:rPr>
                <w:lang w:eastAsia="sv-SE"/>
              </w:rPr>
              <w:t>Explanation</w:t>
            </w:r>
          </w:p>
        </w:tc>
      </w:tr>
      <w:tr w:rsidR="007D3EDC" w:rsidRPr="00FA0D37"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FA0D37" w:rsidRDefault="007D3EDC" w:rsidP="00DD246F">
            <w:pPr>
              <w:pStyle w:val="TAL"/>
              <w:rPr>
                <w:i/>
                <w:iCs/>
                <w:lang w:eastAsia="sv-SE"/>
              </w:rPr>
            </w:pPr>
            <w:r w:rsidRPr="00FA0D3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FA0D37" w:rsidRDefault="007D3EDC" w:rsidP="00DD246F">
            <w:pPr>
              <w:pStyle w:val="TAL"/>
              <w:rPr>
                <w:lang w:eastAsia="sv-SE"/>
              </w:rPr>
            </w:pPr>
            <w:r w:rsidRPr="00FA0D37">
              <w:rPr>
                <w:lang w:eastAsia="sv-SE"/>
              </w:rPr>
              <w:t>The field is mandatory present.</w:t>
            </w:r>
          </w:p>
        </w:tc>
      </w:tr>
    </w:tbl>
    <w:p w14:paraId="279E6634" w14:textId="77777777" w:rsidR="008E5FFC" w:rsidRPr="00FA0D37" w:rsidRDefault="008E5FFC" w:rsidP="00394471"/>
    <w:p w14:paraId="7A8AAEA5" w14:textId="4DADB2A6" w:rsidR="00EC5164" w:rsidRPr="00FA0D37" w:rsidRDefault="00EC5164" w:rsidP="00EC5164">
      <w:pPr>
        <w:pStyle w:val="4"/>
      </w:pPr>
      <w:bookmarkStart w:id="1039" w:name="_Toc76423783"/>
      <w:bookmarkStart w:id="1040" w:name="_Toc146781293"/>
      <w:r w:rsidRPr="00FA0D37">
        <w:t>–</w:t>
      </w:r>
      <w:r w:rsidRPr="00FA0D37">
        <w:tab/>
      </w:r>
      <w:r w:rsidR="008E5FFC" w:rsidRPr="00FA0D37">
        <w:rPr>
          <w:rFonts w:eastAsia="等线"/>
          <w:i/>
          <w:lang w:eastAsia="zh-CN"/>
        </w:rPr>
        <w:t>FreqPriorityListSlicing</w:t>
      </w:r>
      <w:bookmarkEnd w:id="1039"/>
      <w:bookmarkEnd w:id="1040"/>
    </w:p>
    <w:p w14:paraId="355ADCAA" w14:textId="1BAB63EC" w:rsidR="00EC5164" w:rsidRPr="00FA0D37" w:rsidRDefault="00EC5164" w:rsidP="00EC5164">
      <w:pPr>
        <w:keepNext/>
        <w:keepLines/>
        <w:rPr>
          <w:iCs/>
        </w:rPr>
      </w:pPr>
      <w:r w:rsidRPr="00FA0D37">
        <w:t>The</w:t>
      </w:r>
      <w:r w:rsidR="008E5FFC" w:rsidRPr="00FA0D37">
        <w:t xml:space="preserve"> IE</w:t>
      </w:r>
      <w:r w:rsidRPr="00FA0D37">
        <w:t xml:space="preserve"> </w:t>
      </w:r>
      <w:r w:rsidR="008E5FFC" w:rsidRPr="00FA0D37">
        <w:rPr>
          <w:rFonts w:eastAsia="等线"/>
          <w:i/>
          <w:lang w:eastAsia="zh-CN"/>
        </w:rPr>
        <w:t>FreqPriorityListSlicing</w:t>
      </w:r>
      <w:r w:rsidRPr="00FA0D37">
        <w:rPr>
          <w:i/>
        </w:rPr>
        <w:t xml:space="preserve"> </w:t>
      </w:r>
      <w:r w:rsidRPr="00FA0D37">
        <w:t>indicates cell reselection priorities for slicing</w:t>
      </w:r>
      <w:r w:rsidR="008E5FFC" w:rsidRPr="00FA0D37">
        <w:t xml:space="preserve"> in SIB16</w:t>
      </w:r>
      <w:r w:rsidRPr="00FA0D37">
        <w:rPr>
          <w:iCs/>
        </w:rPr>
        <w:t>.</w:t>
      </w:r>
    </w:p>
    <w:p w14:paraId="79D02ECF" w14:textId="19251181" w:rsidR="00EC5164" w:rsidRPr="00FA0D37" w:rsidRDefault="008E5FFC" w:rsidP="00EC5164">
      <w:pPr>
        <w:pStyle w:val="TH"/>
      </w:pPr>
      <w:r w:rsidRPr="00FA0D37">
        <w:rPr>
          <w:bCs/>
          <w:i/>
          <w:iCs/>
        </w:rPr>
        <w:t>FreqPriorityListSlicing</w:t>
      </w:r>
      <w:r w:rsidR="00EC5164" w:rsidRPr="00FA0D37">
        <w:rPr>
          <w:bCs/>
          <w:i/>
          <w:iCs/>
        </w:rPr>
        <w:t xml:space="preserve"> </w:t>
      </w:r>
      <w:r w:rsidR="00EC5164" w:rsidRPr="00FA0D37">
        <w:t>information element</w:t>
      </w:r>
    </w:p>
    <w:p w14:paraId="42A0BF39" w14:textId="77777777" w:rsidR="00EC5164" w:rsidRPr="00FA0D37" w:rsidRDefault="00EC5164" w:rsidP="00FA0D37">
      <w:pPr>
        <w:pStyle w:val="PL"/>
        <w:rPr>
          <w:color w:val="808080"/>
        </w:rPr>
      </w:pPr>
      <w:r w:rsidRPr="00FA0D37">
        <w:rPr>
          <w:color w:val="808080"/>
        </w:rPr>
        <w:t>-- ASN1START</w:t>
      </w:r>
    </w:p>
    <w:p w14:paraId="2BD4C9A5" w14:textId="3E1D4141" w:rsidR="00EC5164" w:rsidRPr="00FA0D37" w:rsidRDefault="00EC5164" w:rsidP="00FA0D37">
      <w:pPr>
        <w:pStyle w:val="PL"/>
        <w:rPr>
          <w:color w:val="808080"/>
        </w:rPr>
      </w:pPr>
      <w:r w:rsidRPr="00FA0D37">
        <w:rPr>
          <w:color w:val="808080"/>
        </w:rPr>
        <w:t>-- TAG-</w:t>
      </w:r>
      <w:r w:rsidR="008E5FFC" w:rsidRPr="00FA0D37">
        <w:rPr>
          <w:color w:val="808080"/>
        </w:rPr>
        <w:t>FREQPRIORITYLISTSLICING</w:t>
      </w:r>
      <w:r w:rsidRPr="00FA0D37">
        <w:rPr>
          <w:color w:val="808080"/>
        </w:rPr>
        <w:t>-START</w:t>
      </w:r>
    </w:p>
    <w:p w14:paraId="1D4893EA" w14:textId="77777777" w:rsidR="00EC5164" w:rsidRPr="00FA0D37" w:rsidRDefault="00EC5164" w:rsidP="00FA0D37">
      <w:pPr>
        <w:pStyle w:val="PL"/>
      </w:pPr>
    </w:p>
    <w:p w14:paraId="045F2ABD" w14:textId="32E89F66" w:rsidR="00EC5164" w:rsidRPr="00FA0D37" w:rsidRDefault="008E5FFC" w:rsidP="00FA0D37">
      <w:pPr>
        <w:pStyle w:val="PL"/>
        <w:rPr>
          <w:rFonts w:eastAsia="等线"/>
        </w:rPr>
      </w:pPr>
      <w:r w:rsidRPr="00FA0D37">
        <w:rPr>
          <w:rFonts w:eastAsia="等线"/>
        </w:rPr>
        <w:t>FreqPriorityListSlicing</w:t>
      </w:r>
      <w:r w:rsidR="00EC5164" w:rsidRPr="00FA0D37">
        <w:rPr>
          <w:rFonts w:eastAsia="等线"/>
        </w:rPr>
        <w:t xml:space="preserve">-r17 ::= </w:t>
      </w:r>
      <w:r w:rsidR="00EC5164" w:rsidRPr="00FA0D37">
        <w:rPr>
          <w:color w:val="993366"/>
        </w:rPr>
        <w:t>SEQUENCE</w:t>
      </w:r>
      <w:r w:rsidR="00EC5164" w:rsidRPr="00FA0D37">
        <w:t xml:space="preserve"> </w:t>
      </w:r>
      <w:r w:rsidR="00EC5164" w:rsidRPr="00FA0D37">
        <w:rPr>
          <w:rFonts w:eastAsia="等线"/>
        </w:rPr>
        <w:t>(</w:t>
      </w:r>
      <w:r w:rsidR="00EC5164" w:rsidRPr="00FA0D37">
        <w:rPr>
          <w:color w:val="993366"/>
        </w:rPr>
        <w:t>SIZE</w:t>
      </w:r>
      <w:r w:rsidR="00EC5164" w:rsidRPr="00FA0D37">
        <w:t xml:space="preserve"> </w:t>
      </w:r>
      <w:r w:rsidR="00EC5164" w:rsidRPr="00FA0D37">
        <w:rPr>
          <w:rFonts w:eastAsia="等线"/>
        </w:rPr>
        <w:t>(</w:t>
      </w:r>
      <w:r w:rsidRPr="00FA0D37">
        <w:rPr>
          <w:rFonts w:eastAsia="等线"/>
        </w:rPr>
        <w:t>1</w:t>
      </w:r>
      <w:r w:rsidR="00EC5164" w:rsidRPr="00FA0D37">
        <w:rPr>
          <w:rFonts w:eastAsia="等线"/>
        </w:rPr>
        <w:t>..</w:t>
      </w:r>
      <w:r w:rsidRPr="00FA0D37">
        <w:rPr>
          <w:rFonts w:eastAsia="等线"/>
        </w:rPr>
        <w:t>maxFreqPlus1</w:t>
      </w:r>
      <w:r w:rsidR="00EC5164" w:rsidRPr="00FA0D37">
        <w:rPr>
          <w:rFonts w:eastAsia="等线"/>
        </w:rPr>
        <w:t>))</w:t>
      </w:r>
      <w:r w:rsidR="00EC5164" w:rsidRPr="00FA0D37">
        <w:rPr>
          <w:rFonts w:eastAsia="等线"/>
          <w:color w:val="993366"/>
        </w:rPr>
        <w:t xml:space="preserve"> OF</w:t>
      </w:r>
      <w:r w:rsidR="00EC5164" w:rsidRPr="00FA0D37">
        <w:rPr>
          <w:rFonts w:eastAsia="等线"/>
        </w:rPr>
        <w:t xml:space="preserve"> FreqPrioritySlicing-r17</w:t>
      </w:r>
    </w:p>
    <w:p w14:paraId="51F74703" w14:textId="77777777" w:rsidR="00EC5164" w:rsidRPr="00FA0D37" w:rsidRDefault="00EC5164" w:rsidP="00FA0D37">
      <w:pPr>
        <w:pStyle w:val="PL"/>
        <w:rPr>
          <w:rFonts w:eastAsia="等线"/>
        </w:rPr>
      </w:pPr>
    </w:p>
    <w:p w14:paraId="166C1A54" w14:textId="2137C8D3" w:rsidR="00EC5164" w:rsidRPr="00FA0D37" w:rsidRDefault="00EC5164" w:rsidP="00FA0D37">
      <w:pPr>
        <w:pStyle w:val="PL"/>
        <w:rPr>
          <w:rFonts w:eastAsia="等线"/>
        </w:rPr>
      </w:pPr>
      <w:r w:rsidRPr="00FA0D37">
        <w:rPr>
          <w:rFonts w:eastAsia="等线"/>
        </w:rPr>
        <w:t>FreqPrioritySlicing-r17 ::=</w:t>
      </w:r>
      <w:r w:rsidRPr="00FA0D37">
        <w:t xml:space="preserve">     </w:t>
      </w:r>
      <w:r w:rsidRPr="00FA0D37">
        <w:rPr>
          <w:rFonts w:eastAsia="等线"/>
          <w:color w:val="993366"/>
        </w:rPr>
        <w:t>SEQUENCE</w:t>
      </w:r>
      <w:r w:rsidRPr="00FA0D37">
        <w:rPr>
          <w:rFonts w:eastAsia="等线"/>
        </w:rPr>
        <w:t xml:space="preserve"> {</w:t>
      </w:r>
    </w:p>
    <w:p w14:paraId="1C0D9848" w14:textId="77777777" w:rsidR="008E5FFC" w:rsidRPr="00FA0D37" w:rsidRDefault="008E5FFC" w:rsidP="00FA0D37">
      <w:pPr>
        <w:pStyle w:val="PL"/>
        <w:rPr>
          <w:rFonts w:eastAsia="等线"/>
        </w:rPr>
      </w:pPr>
      <w:r w:rsidRPr="00FA0D37">
        <w:rPr>
          <w:rFonts w:eastAsia="等线"/>
        </w:rPr>
        <w:t xml:space="preserve">    </w:t>
      </w:r>
      <w:r w:rsidRPr="00FA0D37">
        <w:t xml:space="preserve"> dl-ImplicitCarrierFreq-r17            </w:t>
      </w:r>
      <w:r w:rsidRPr="00FA0D37">
        <w:rPr>
          <w:color w:val="993366"/>
        </w:rPr>
        <w:t>INTEGER</w:t>
      </w:r>
      <w:r w:rsidRPr="00FA0D37">
        <w:t xml:space="preserve"> (0..maxFreq),</w:t>
      </w:r>
    </w:p>
    <w:p w14:paraId="4C3AD2FE" w14:textId="3B81D21F" w:rsidR="00EC5164" w:rsidRPr="00FA0D37" w:rsidRDefault="00EC5164" w:rsidP="00FA0D37">
      <w:pPr>
        <w:pStyle w:val="PL"/>
        <w:rPr>
          <w:rFonts w:eastAsia="等线"/>
          <w:color w:val="808080"/>
        </w:rPr>
      </w:pPr>
      <w:r w:rsidRPr="00FA0D37">
        <w:t xml:space="preserve">    </w:t>
      </w:r>
      <w:r w:rsidRPr="00FA0D37">
        <w:rPr>
          <w:rFonts w:eastAsia="等线"/>
        </w:rPr>
        <w:t>sliceInfoList-r17</w:t>
      </w:r>
      <w:r w:rsidRPr="00FA0D37">
        <w:t xml:space="preserve">                     SliceInfoList-r17                                               </w:t>
      </w:r>
      <w:r w:rsidRPr="00FA0D37">
        <w:rPr>
          <w:color w:val="993366"/>
        </w:rPr>
        <w:t>OPTIONAL</w:t>
      </w:r>
      <w:r w:rsidRPr="00FA0D37">
        <w:t xml:space="preserve">  </w:t>
      </w:r>
      <w:r w:rsidRPr="00FA0D37">
        <w:rPr>
          <w:color w:val="808080"/>
        </w:rPr>
        <w:t xml:space="preserve">-- </w:t>
      </w:r>
      <w:r w:rsidR="007D3EDC" w:rsidRPr="00FA0D37">
        <w:rPr>
          <w:color w:val="808080"/>
        </w:rPr>
        <w:t>Cond Mandatory</w:t>
      </w:r>
    </w:p>
    <w:p w14:paraId="03AFA9BE" w14:textId="77777777" w:rsidR="00EC5164" w:rsidRPr="00FA0D37" w:rsidRDefault="00EC5164" w:rsidP="00FA0D37">
      <w:pPr>
        <w:pStyle w:val="PL"/>
        <w:rPr>
          <w:rFonts w:eastAsia="等线"/>
        </w:rPr>
      </w:pPr>
      <w:r w:rsidRPr="00FA0D37">
        <w:rPr>
          <w:rFonts w:eastAsia="等线"/>
        </w:rPr>
        <w:t>}</w:t>
      </w:r>
    </w:p>
    <w:p w14:paraId="050F85D0" w14:textId="77777777" w:rsidR="00EC5164" w:rsidRPr="00FA0D37" w:rsidRDefault="00EC5164" w:rsidP="00FA0D37">
      <w:pPr>
        <w:pStyle w:val="PL"/>
      </w:pPr>
    </w:p>
    <w:p w14:paraId="3F8D4159" w14:textId="772F3D77" w:rsidR="00EC5164" w:rsidRPr="00FA0D37" w:rsidRDefault="00EC5164" w:rsidP="00FA0D37">
      <w:pPr>
        <w:pStyle w:val="PL"/>
        <w:rPr>
          <w:rFonts w:eastAsia="等线"/>
        </w:rPr>
      </w:pPr>
      <w:r w:rsidRPr="00FA0D37">
        <w:rPr>
          <w:rFonts w:eastAsia="等线"/>
        </w:rPr>
        <w:t>SliceInfoList-r17 ::=</w:t>
      </w:r>
      <w:r w:rsidRPr="00FA0D37">
        <w:t xml:space="preserve">             </w:t>
      </w:r>
      <w:r w:rsidRPr="00FA0D37">
        <w:rPr>
          <w:color w:val="993366"/>
        </w:rPr>
        <w:t>SEQUENCE</w:t>
      </w:r>
      <w:r w:rsidRPr="00FA0D37">
        <w:t xml:space="preserve"> </w:t>
      </w:r>
      <w:r w:rsidRPr="00FA0D37">
        <w:rPr>
          <w:rFonts w:eastAsia="等线"/>
        </w:rPr>
        <w:t>(</w:t>
      </w:r>
      <w:r w:rsidRPr="00FA0D37">
        <w:rPr>
          <w:color w:val="993366"/>
        </w:rPr>
        <w:t>SIZE</w:t>
      </w:r>
      <w:r w:rsidRPr="00FA0D37">
        <w:t xml:space="preserve"> </w:t>
      </w:r>
      <w:r w:rsidRPr="00FA0D37">
        <w:rPr>
          <w:rFonts w:eastAsia="等线"/>
        </w:rPr>
        <w:t>(1..maxSliceInfo-r17))</w:t>
      </w:r>
      <w:r w:rsidRPr="00FA0D37">
        <w:rPr>
          <w:rFonts w:eastAsia="等线"/>
          <w:color w:val="993366"/>
        </w:rPr>
        <w:t xml:space="preserve"> </w:t>
      </w:r>
      <w:r w:rsidRPr="00FA0D37">
        <w:rPr>
          <w:color w:val="993366"/>
        </w:rPr>
        <w:t>OF</w:t>
      </w:r>
      <w:r w:rsidRPr="00FA0D37">
        <w:t xml:space="preserve"> SliceInfo-r17</w:t>
      </w:r>
    </w:p>
    <w:p w14:paraId="2910C36F" w14:textId="77777777" w:rsidR="00EC5164" w:rsidRPr="00FA0D37" w:rsidRDefault="00EC5164" w:rsidP="00FA0D37">
      <w:pPr>
        <w:pStyle w:val="PL"/>
      </w:pPr>
    </w:p>
    <w:p w14:paraId="03263379" w14:textId="5BE1255C" w:rsidR="00EC5164" w:rsidRPr="00FA0D37" w:rsidRDefault="00EC5164" w:rsidP="00FA0D37">
      <w:pPr>
        <w:pStyle w:val="PL"/>
      </w:pPr>
      <w:r w:rsidRPr="00FA0D37">
        <w:t>SliceInfo-r17</w:t>
      </w:r>
      <w:r w:rsidRPr="00FA0D37">
        <w:rPr>
          <w:rFonts w:eastAsia="等线"/>
        </w:rPr>
        <w:t xml:space="preserve"> </w:t>
      </w:r>
      <w:r w:rsidRPr="00FA0D37">
        <w:t xml:space="preserve">::=                 </w:t>
      </w:r>
      <w:r w:rsidRPr="00FA0D37">
        <w:rPr>
          <w:color w:val="993366"/>
        </w:rPr>
        <w:t>SEQUENCE</w:t>
      </w:r>
      <w:r w:rsidRPr="00FA0D37">
        <w:t xml:space="preserve"> {</w:t>
      </w:r>
    </w:p>
    <w:p w14:paraId="6B915AA2" w14:textId="35D67566" w:rsidR="00EC5164" w:rsidRPr="00FA0D37" w:rsidRDefault="00EC5164" w:rsidP="00FA0D37">
      <w:pPr>
        <w:pStyle w:val="PL"/>
        <w:rPr>
          <w:rFonts w:eastAsia="宋体"/>
        </w:rPr>
      </w:pPr>
      <w:r w:rsidRPr="00FA0D37">
        <w:t xml:space="preserve">    </w:t>
      </w:r>
      <w:r w:rsidR="008E5FFC" w:rsidRPr="00FA0D37">
        <w:t>nsag-IdentityInfo-r17</w:t>
      </w:r>
      <w:r w:rsidRPr="00FA0D37">
        <w:t xml:space="preserve">             </w:t>
      </w:r>
      <w:r w:rsidR="008E5FFC" w:rsidRPr="00FA0D37">
        <w:t>NSAG-IdentityInfo-r17</w:t>
      </w:r>
      <w:r w:rsidRPr="00FA0D37">
        <w:rPr>
          <w:rFonts w:eastAsia="等线"/>
        </w:rPr>
        <w:t>,</w:t>
      </w:r>
    </w:p>
    <w:p w14:paraId="424EE31A" w14:textId="02736531" w:rsidR="00EC5164" w:rsidRPr="00FA0D37" w:rsidRDefault="00EC5164" w:rsidP="00FA0D37">
      <w:pPr>
        <w:pStyle w:val="PL"/>
        <w:rPr>
          <w:color w:val="808080"/>
        </w:rPr>
      </w:pPr>
      <w:r w:rsidRPr="00FA0D37">
        <w:t xml:space="preserve">    </w:t>
      </w:r>
      <w:r w:rsidR="008E5FFC" w:rsidRPr="00FA0D37">
        <w:t>nsag-C</w:t>
      </w:r>
      <w:r w:rsidRPr="00FA0D37">
        <w:t xml:space="preserve">ellReselectionPriority-r17  CellReselectionPriority                                             </w:t>
      </w:r>
      <w:r w:rsidRPr="00FA0D37">
        <w:rPr>
          <w:color w:val="993366"/>
        </w:rPr>
        <w:t>OPTIONAL</w:t>
      </w:r>
      <w:r w:rsidRPr="00FA0D37">
        <w:t xml:space="preserve">,  </w:t>
      </w:r>
      <w:r w:rsidRPr="00FA0D37">
        <w:rPr>
          <w:color w:val="808080"/>
        </w:rPr>
        <w:t>-- Need R</w:t>
      </w:r>
    </w:p>
    <w:p w14:paraId="676B3CBA" w14:textId="78B9EBEF" w:rsidR="00EC5164" w:rsidRPr="00FA0D37" w:rsidRDefault="00EC5164" w:rsidP="00FA0D37">
      <w:pPr>
        <w:pStyle w:val="PL"/>
        <w:rPr>
          <w:color w:val="808080"/>
        </w:rPr>
      </w:pPr>
      <w:r w:rsidRPr="00FA0D37">
        <w:t xml:space="preserve">    </w:t>
      </w:r>
      <w:r w:rsidR="008E5FFC" w:rsidRPr="00FA0D37">
        <w:t>nsag-C</w:t>
      </w:r>
      <w:r w:rsidRPr="00FA0D37">
        <w:t xml:space="preserve">ellReselectionSubPriority-r17 CellReselectionSubPriority                                        </w:t>
      </w:r>
      <w:r w:rsidRPr="00FA0D37">
        <w:rPr>
          <w:color w:val="993366"/>
        </w:rPr>
        <w:t>OPTIONAL</w:t>
      </w:r>
      <w:r w:rsidRPr="00FA0D37">
        <w:t xml:space="preserve">,  </w:t>
      </w:r>
      <w:r w:rsidRPr="00FA0D37">
        <w:rPr>
          <w:color w:val="808080"/>
        </w:rPr>
        <w:t>-- Need R</w:t>
      </w:r>
    </w:p>
    <w:p w14:paraId="18059512" w14:textId="2E38A4DB" w:rsidR="00EC5164" w:rsidRPr="00FA0D37" w:rsidRDefault="00EC5164" w:rsidP="00FA0D37">
      <w:pPr>
        <w:pStyle w:val="PL"/>
      </w:pPr>
      <w:r w:rsidRPr="00FA0D37">
        <w:t xml:space="preserve">    sliceCellListNR-r17               </w:t>
      </w:r>
      <w:r w:rsidRPr="00FA0D37">
        <w:rPr>
          <w:color w:val="993366"/>
        </w:rPr>
        <w:t>CHOICE</w:t>
      </w:r>
      <w:r w:rsidRPr="00FA0D37">
        <w:t xml:space="preserve"> {</w:t>
      </w:r>
    </w:p>
    <w:p w14:paraId="2934A3CA" w14:textId="0F9D16DB" w:rsidR="00EC5164" w:rsidRPr="00FA0D37" w:rsidRDefault="00EC5164" w:rsidP="00FA0D37">
      <w:pPr>
        <w:pStyle w:val="PL"/>
      </w:pPr>
      <w:r w:rsidRPr="00FA0D37">
        <w:t xml:space="preserve">        sliceAllow</w:t>
      </w:r>
      <w:r w:rsidR="008E5FFC" w:rsidRPr="00FA0D37">
        <w:t>ed</w:t>
      </w:r>
      <w:r w:rsidRPr="00FA0D37">
        <w:t>CellListNR-r17        SliceCellListNR-r17,</w:t>
      </w:r>
    </w:p>
    <w:p w14:paraId="637C4476" w14:textId="188279BF" w:rsidR="00EC5164" w:rsidRPr="00FA0D37" w:rsidRDefault="00EC5164" w:rsidP="00FA0D37">
      <w:pPr>
        <w:pStyle w:val="PL"/>
      </w:pPr>
      <w:r w:rsidRPr="00FA0D37">
        <w:t xml:space="preserve">        sliceExclude</w:t>
      </w:r>
      <w:r w:rsidR="008E5FFC" w:rsidRPr="00FA0D37">
        <w:t>d</w:t>
      </w:r>
      <w:r w:rsidRPr="00FA0D37">
        <w:t>CellListNR-r17       SliceCellListNR-r17</w:t>
      </w:r>
    </w:p>
    <w:p w14:paraId="315B5908" w14:textId="608551FA" w:rsidR="00EC5164" w:rsidRPr="00FA0D37" w:rsidRDefault="00EC5164"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1A4C32A9" w14:textId="77777777" w:rsidR="00EC5164" w:rsidRPr="00FA0D37" w:rsidRDefault="00EC5164" w:rsidP="00FA0D37">
      <w:pPr>
        <w:pStyle w:val="PL"/>
      </w:pPr>
      <w:r w:rsidRPr="00FA0D37">
        <w:t>}</w:t>
      </w:r>
    </w:p>
    <w:p w14:paraId="78403FC7" w14:textId="77777777" w:rsidR="00EC5164" w:rsidRPr="00FA0D37" w:rsidRDefault="00EC5164" w:rsidP="00FA0D37">
      <w:pPr>
        <w:pStyle w:val="PL"/>
      </w:pPr>
    </w:p>
    <w:p w14:paraId="21BEA02E" w14:textId="3EAE58B6" w:rsidR="00EC5164" w:rsidRPr="00FA0D37" w:rsidRDefault="00EC5164" w:rsidP="00FA0D37">
      <w:pPr>
        <w:pStyle w:val="PL"/>
      </w:pPr>
      <w:r w:rsidRPr="00FA0D37">
        <w:t xml:space="preserve">SliceCellListNR-r17 ::=           </w:t>
      </w:r>
      <w:r w:rsidRPr="00FA0D37">
        <w:rPr>
          <w:color w:val="993366"/>
        </w:rPr>
        <w:t>SEQUENCE</w:t>
      </w:r>
      <w:r w:rsidRPr="00FA0D37">
        <w:t xml:space="preserve"> (</w:t>
      </w:r>
      <w:r w:rsidRPr="00FA0D37">
        <w:rPr>
          <w:color w:val="993366"/>
        </w:rPr>
        <w:t>SIZE</w:t>
      </w:r>
      <w:r w:rsidRPr="00FA0D37">
        <w:t xml:space="preserve"> (1..maxCellSlice-r17))</w:t>
      </w:r>
      <w:r w:rsidRPr="00FA0D37">
        <w:rPr>
          <w:color w:val="993366"/>
        </w:rPr>
        <w:t xml:space="preserve"> OF</w:t>
      </w:r>
      <w:r w:rsidRPr="00FA0D37">
        <w:t xml:space="preserve"> PCI-Range</w:t>
      </w:r>
    </w:p>
    <w:p w14:paraId="2913C214" w14:textId="77777777" w:rsidR="00EC5164" w:rsidRPr="00FA0D37" w:rsidRDefault="00EC5164" w:rsidP="00FA0D37">
      <w:pPr>
        <w:pStyle w:val="PL"/>
      </w:pPr>
    </w:p>
    <w:p w14:paraId="76094A09" w14:textId="48D07B4F" w:rsidR="00EC5164" w:rsidRPr="00FA0D37" w:rsidRDefault="00EC5164" w:rsidP="00FA0D37">
      <w:pPr>
        <w:pStyle w:val="PL"/>
        <w:rPr>
          <w:color w:val="808080"/>
        </w:rPr>
      </w:pPr>
      <w:r w:rsidRPr="00FA0D37">
        <w:rPr>
          <w:color w:val="808080"/>
        </w:rPr>
        <w:t>-- TAG-</w:t>
      </w:r>
      <w:r w:rsidR="008E5FFC" w:rsidRPr="00FA0D37">
        <w:rPr>
          <w:color w:val="808080"/>
        </w:rPr>
        <w:t>FREQPRIORITYLISTSLICING</w:t>
      </w:r>
      <w:r w:rsidRPr="00FA0D37">
        <w:rPr>
          <w:color w:val="808080"/>
        </w:rPr>
        <w:t>-STOP</w:t>
      </w:r>
    </w:p>
    <w:p w14:paraId="5D6A3421" w14:textId="77777777" w:rsidR="00EC5164" w:rsidRPr="00FA0D37" w:rsidRDefault="00EC5164" w:rsidP="00FA0D37">
      <w:pPr>
        <w:pStyle w:val="PL"/>
        <w:rPr>
          <w:rFonts w:eastAsiaTheme="minorEastAsia"/>
          <w:color w:val="808080"/>
        </w:rPr>
      </w:pPr>
      <w:r w:rsidRPr="00FA0D37">
        <w:rPr>
          <w:color w:val="808080"/>
        </w:rPr>
        <w:t>-- ASN1STOP</w:t>
      </w:r>
    </w:p>
    <w:p w14:paraId="4E5EAF61" w14:textId="77777777" w:rsidR="00EC5164" w:rsidRPr="00FA0D37" w:rsidRDefault="00EC5164" w:rsidP="00EC5164">
      <w:pPr>
        <w:rPr>
          <w:rFonts w:eastAsia="等线"/>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FA0D37" w:rsidRDefault="00EC5164" w:rsidP="00771058">
            <w:pPr>
              <w:pStyle w:val="TAH"/>
              <w:rPr>
                <w:lang w:eastAsia="en-GB"/>
              </w:rPr>
            </w:pPr>
            <w:r w:rsidRPr="00FA0D37">
              <w:rPr>
                <w:i/>
              </w:rPr>
              <w:t>FreqPriorityListSlicing</w:t>
            </w:r>
            <w:r w:rsidRPr="00FA0D37">
              <w:rPr>
                <w:bCs/>
                <w:i/>
                <w:iCs/>
                <w:lang w:eastAsia="sv-SE"/>
              </w:rPr>
              <w:t xml:space="preserve"> </w:t>
            </w:r>
            <w:r w:rsidRPr="00FA0D37">
              <w:rPr>
                <w:iCs/>
                <w:lang w:eastAsia="en-GB"/>
              </w:rPr>
              <w:t>field descriptions</w:t>
            </w:r>
          </w:p>
        </w:tc>
      </w:tr>
      <w:tr w:rsidR="008E5FFC" w:rsidRPr="00FA0D37"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FA0D37" w:rsidRDefault="008E5FFC" w:rsidP="00771058">
            <w:pPr>
              <w:pStyle w:val="TAL"/>
              <w:rPr>
                <w:b/>
                <w:i/>
                <w:kern w:val="2"/>
              </w:rPr>
            </w:pPr>
            <w:r w:rsidRPr="00FA0D37">
              <w:rPr>
                <w:b/>
                <w:i/>
                <w:kern w:val="2"/>
              </w:rPr>
              <w:t>dl-ImplicitCarrierFreq</w:t>
            </w:r>
          </w:p>
          <w:p w14:paraId="08DA0DB9" w14:textId="1E528F09" w:rsidR="008E5FFC" w:rsidRPr="00FA0D37" w:rsidRDefault="008E5FFC" w:rsidP="00771058">
            <w:pPr>
              <w:pStyle w:val="TAL"/>
              <w:rPr>
                <w:bCs/>
                <w:iCs/>
                <w:kern w:val="2"/>
              </w:rPr>
            </w:pPr>
            <w:r w:rsidRPr="00FA0D37">
              <w:rPr>
                <w:bCs/>
                <w:iCs/>
                <w:kern w:val="2"/>
              </w:rPr>
              <w:t xml:space="preserve">Indicates the downlink carrier frequency to which </w:t>
            </w:r>
            <w:r w:rsidRPr="00FA0D37">
              <w:rPr>
                <w:bCs/>
                <w:i/>
                <w:kern w:val="2"/>
              </w:rPr>
              <w:t xml:space="preserve">sliceInfoList </w:t>
            </w:r>
            <w:r w:rsidRPr="00FA0D37">
              <w:rPr>
                <w:bCs/>
                <w:iCs/>
                <w:kern w:val="2"/>
              </w:rPr>
              <w:t xml:space="preserve">is associated with. The frequency is signalled implicitly, value 0 corresponds to the serving frequency, value 1 corresponds to the first frequency indicated by the </w:t>
            </w:r>
            <w:r w:rsidRPr="00FA0D37">
              <w:rPr>
                <w:bCs/>
                <w:i/>
                <w:kern w:val="2"/>
              </w:rPr>
              <w:t>InterFreqCarrierFreqList</w:t>
            </w:r>
            <w:r w:rsidRPr="00FA0D37">
              <w:rPr>
                <w:bCs/>
                <w:iCs/>
                <w:kern w:val="2"/>
              </w:rPr>
              <w:t xml:space="preserve"> in SIB4, and value 2 cor</w:t>
            </w:r>
            <w:r w:rsidR="00DF1A5D" w:rsidRPr="00FA0D37">
              <w:rPr>
                <w:bCs/>
                <w:iCs/>
                <w:kern w:val="2"/>
              </w:rPr>
              <w:t>r</w:t>
            </w:r>
            <w:r w:rsidRPr="00FA0D37">
              <w:rPr>
                <w:bCs/>
                <w:iCs/>
                <w:kern w:val="2"/>
              </w:rPr>
              <w:t xml:space="preserve">esponds to the second frequency indicated by the </w:t>
            </w:r>
            <w:r w:rsidRPr="00FA0D37">
              <w:rPr>
                <w:bCs/>
                <w:i/>
                <w:kern w:val="2"/>
              </w:rPr>
              <w:t>InterFreqCarrierFreqList</w:t>
            </w:r>
            <w:r w:rsidRPr="00FA0D37">
              <w:rPr>
                <w:bCs/>
                <w:iCs/>
                <w:kern w:val="2"/>
              </w:rPr>
              <w:t xml:space="preserve"> in SIB4, and so on.</w:t>
            </w:r>
          </w:p>
        </w:tc>
      </w:tr>
    </w:tbl>
    <w:p w14:paraId="0BD86E0B" w14:textId="77777777" w:rsidR="008E5FFC" w:rsidRPr="00FA0D3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FA0D37" w:rsidRDefault="008E5FFC" w:rsidP="00771058">
            <w:pPr>
              <w:pStyle w:val="TAH"/>
              <w:rPr>
                <w:lang w:eastAsia="en-GB"/>
              </w:rPr>
            </w:pPr>
            <w:r w:rsidRPr="00FA0D37">
              <w:rPr>
                <w:i/>
              </w:rPr>
              <w:t>SliceInfo</w:t>
            </w:r>
            <w:r w:rsidRPr="00FA0D37">
              <w:rPr>
                <w:bCs/>
                <w:i/>
                <w:iCs/>
                <w:lang w:eastAsia="sv-SE"/>
              </w:rPr>
              <w:t xml:space="preserve"> </w:t>
            </w:r>
            <w:r w:rsidRPr="00FA0D37">
              <w:rPr>
                <w:iCs/>
                <w:lang w:eastAsia="en-GB"/>
              </w:rPr>
              <w:t>field descriptions</w:t>
            </w:r>
          </w:p>
        </w:tc>
      </w:tr>
      <w:tr w:rsidR="005C7FF4" w:rsidRPr="00FA0D37"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FA0D37" w:rsidRDefault="008E5FFC" w:rsidP="00771058">
            <w:pPr>
              <w:pStyle w:val="TAL"/>
              <w:rPr>
                <w:b/>
                <w:i/>
                <w:kern w:val="2"/>
                <w:lang w:eastAsia="sv-SE"/>
              </w:rPr>
            </w:pPr>
            <w:r w:rsidRPr="00FA0D37">
              <w:rPr>
                <w:b/>
                <w:i/>
                <w:kern w:val="2"/>
              </w:rPr>
              <w:t>sliceAllowedCellListNR</w:t>
            </w:r>
          </w:p>
          <w:p w14:paraId="4F37C598" w14:textId="7E66C474" w:rsidR="008E5FFC" w:rsidRPr="00FA0D37" w:rsidRDefault="008E5FFC" w:rsidP="00771058">
            <w:pPr>
              <w:pStyle w:val="TAL"/>
              <w:rPr>
                <w:b/>
                <w:i/>
                <w:kern w:val="2"/>
              </w:rPr>
            </w:pPr>
            <w:r w:rsidRPr="00FA0D37">
              <w:rPr>
                <w:bCs/>
                <w:szCs w:val="22"/>
                <w:lang w:eastAsia="en-GB"/>
              </w:rPr>
              <w:t xml:space="preserve">List of allow-listed cells for slicing. </w:t>
            </w:r>
            <w:r w:rsidRPr="00FA0D37">
              <w:t xml:space="preserve">If present, </w:t>
            </w:r>
            <w:r w:rsidR="007D3EDC" w:rsidRPr="00FA0D37">
              <w:t xml:space="preserve">the cells listed in this list support the corresponding nsag-frequency pair, and the </w:t>
            </w:r>
            <w:r w:rsidRPr="00FA0D37">
              <w:t xml:space="preserve">cells not listed in this list do not support the corresponding nsag-frequency pair, according to </w:t>
            </w:r>
            <w:r w:rsidR="003A2D9D" w:rsidRPr="00FA0D37">
              <w:t xml:space="preserve">TS </w:t>
            </w:r>
            <w:r w:rsidRPr="00FA0D37">
              <w:t>38.304 [20], clause 5.2.4.11.</w:t>
            </w:r>
          </w:p>
        </w:tc>
      </w:tr>
      <w:tr w:rsidR="005C7FF4" w:rsidRPr="00FA0D37"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FA0D37" w:rsidRDefault="008E5FFC" w:rsidP="00771058">
            <w:pPr>
              <w:pStyle w:val="TAL"/>
              <w:rPr>
                <w:b/>
                <w:i/>
                <w:kern w:val="2"/>
                <w:lang w:eastAsia="sv-SE"/>
              </w:rPr>
            </w:pPr>
            <w:r w:rsidRPr="00FA0D37">
              <w:rPr>
                <w:b/>
                <w:i/>
                <w:kern w:val="2"/>
              </w:rPr>
              <w:t>sliceCellListNR</w:t>
            </w:r>
          </w:p>
          <w:p w14:paraId="7109F4AC" w14:textId="478B8423" w:rsidR="008E5FFC" w:rsidRPr="00FA0D37" w:rsidRDefault="008E5FFC" w:rsidP="00771058">
            <w:pPr>
              <w:pStyle w:val="TAL"/>
              <w:rPr>
                <w:b/>
                <w:i/>
                <w:kern w:val="2"/>
              </w:rPr>
            </w:pPr>
            <w:r w:rsidRPr="00FA0D37">
              <w:rPr>
                <w:bCs/>
                <w:szCs w:val="22"/>
                <w:lang w:eastAsia="en-GB"/>
              </w:rPr>
              <w:t>Contains either the list of allow-listed or exclude-listed cells for slicing.</w:t>
            </w:r>
            <w:r w:rsidR="007D3EDC" w:rsidRPr="00FA0D37">
              <w:rPr>
                <w:bCs/>
                <w:szCs w:val="22"/>
                <w:lang w:eastAsia="en-GB"/>
              </w:rPr>
              <w:t xml:space="preserve"> If absent, it implies all the cells support the corresponding nsag-frequency pair</w:t>
            </w:r>
            <w:r w:rsidR="007D3EDC" w:rsidRPr="00FA0D37">
              <w:t>, according to 38.304 [20], clause 5.2.4.11</w:t>
            </w:r>
            <w:r w:rsidR="007D3EDC" w:rsidRPr="00FA0D37">
              <w:rPr>
                <w:bCs/>
                <w:szCs w:val="22"/>
                <w:lang w:eastAsia="en-GB"/>
              </w:rPr>
              <w:t>.</w:t>
            </w:r>
          </w:p>
        </w:tc>
      </w:tr>
      <w:tr w:rsidR="00F747EB" w:rsidRPr="00FA0D37"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FA0D37" w:rsidRDefault="008E5FFC" w:rsidP="00771058">
            <w:pPr>
              <w:pStyle w:val="TAL"/>
              <w:rPr>
                <w:b/>
                <w:i/>
                <w:kern w:val="2"/>
                <w:lang w:eastAsia="sv-SE"/>
              </w:rPr>
            </w:pPr>
            <w:r w:rsidRPr="00FA0D37">
              <w:rPr>
                <w:b/>
                <w:i/>
                <w:kern w:val="2"/>
              </w:rPr>
              <w:t>sliceExcludedCellListNR</w:t>
            </w:r>
          </w:p>
          <w:p w14:paraId="1ED796EA" w14:textId="473E0C89" w:rsidR="008E5FFC" w:rsidRPr="00FA0D37" w:rsidRDefault="008E5FFC" w:rsidP="00771058">
            <w:pPr>
              <w:pStyle w:val="TAL"/>
              <w:rPr>
                <w:b/>
                <w:i/>
                <w:kern w:val="2"/>
              </w:rPr>
            </w:pPr>
            <w:r w:rsidRPr="00FA0D37">
              <w:rPr>
                <w:bCs/>
                <w:szCs w:val="22"/>
                <w:lang w:eastAsia="en-GB"/>
              </w:rPr>
              <w:t xml:space="preserve">List of exclude-listed cells for slicing. </w:t>
            </w:r>
            <w:r w:rsidRPr="00FA0D37">
              <w:t xml:space="preserve">If present, </w:t>
            </w:r>
            <w:r w:rsidR="007D3EDC" w:rsidRPr="00FA0D37">
              <w:t xml:space="preserve">the cells listed in this list do not support the corresponding nsag-frequency pair, and the </w:t>
            </w:r>
            <w:r w:rsidRPr="00FA0D37">
              <w:t xml:space="preserve">cells not listed in this list support the corresponding nsag-frequency pair, according to </w:t>
            </w:r>
            <w:r w:rsidR="003A2D9D" w:rsidRPr="00FA0D37">
              <w:t xml:space="preserve">TS </w:t>
            </w:r>
            <w:r w:rsidRPr="00FA0D37">
              <w:t>38.304 [20], clause 5.2.4.11.</w:t>
            </w:r>
          </w:p>
        </w:tc>
      </w:tr>
    </w:tbl>
    <w:p w14:paraId="38F4730D" w14:textId="77777777" w:rsidR="007D3EDC" w:rsidRPr="00FA0D3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5C7FF4" w:rsidRPr="00FA0D37"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FA0D37" w:rsidRDefault="007D3EDC" w:rsidP="0071565C">
            <w:pPr>
              <w:pStyle w:val="TAH"/>
              <w:rPr>
                <w:lang w:eastAsia="sv-SE"/>
              </w:rPr>
            </w:pPr>
            <w:r w:rsidRPr="00FA0D3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FA0D37" w:rsidRDefault="007D3EDC" w:rsidP="0071565C">
            <w:pPr>
              <w:pStyle w:val="TAH"/>
              <w:rPr>
                <w:lang w:eastAsia="sv-SE"/>
              </w:rPr>
            </w:pPr>
            <w:r w:rsidRPr="00FA0D37">
              <w:rPr>
                <w:lang w:eastAsia="sv-SE"/>
              </w:rPr>
              <w:t>Explanation</w:t>
            </w:r>
          </w:p>
        </w:tc>
      </w:tr>
      <w:tr w:rsidR="007D3EDC" w:rsidRPr="00FA0D37"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FA0D37" w:rsidRDefault="007D3EDC" w:rsidP="00DD246F">
            <w:pPr>
              <w:pStyle w:val="TAL"/>
              <w:rPr>
                <w:i/>
                <w:iCs/>
                <w:lang w:eastAsia="sv-SE"/>
              </w:rPr>
            </w:pPr>
            <w:r w:rsidRPr="00FA0D3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FA0D37" w:rsidRDefault="007D3EDC" w:rsidP="00DD246F">
            <w:pPr>
              <w:pStyle w:val="TAL"/>
              <w:rPr>
                <w:lang w:eastAsia="sv-SE"/>
              </w:rPr>
            </w:pPr>
            <w:r w:rsidRPr="00FA0D37">
              <w:rPr>
                <w:rFonts w:eastAsia="Calibri"/>
                <w:szCs w:val="22"/>
                <w:lang w:eastAsia="sv-SE"/>
              </w:rPr>
              <w:t>The field is mandatory present.</w:t>
            </w:r>
          </w:p>
        </w:tc>
      </w:tr>
    </w:tbl>
    <w:p w14:paraId="024B634D" w14:textId="77777777" w:rsidR="008E5FFC" w:rsidRPr="00FA0D37" w:rsidRDefault="008E5FFC" w:rsidP="00394471"/>
    <w:p w14:paraId="14BDFB0E" w14:textId="77777777" w:rsidR="00394471" w:rsidRPr="00FA0D37" w:rsidRDefault="00394471" w:rsidP="00394471">
      <w:pPr>
        <w:pStyle w:val="4"/>
        <w:rPr>
          <w:i/>
          <w:noProof/>
        </w:rPr>
      </w:pPr>
      <w:bookmarkStart w:id="1041" w:name="_Toc60777238"/>
      <w:bookmarkStart w:id="1042" w:name="_Toc146781294"/>
      <w:r w:rsidRPr="00FA0D37">
        <w:lastRenderedPageBreak/>
        <w:t>–</w:t>
      </w:r>
      <w:r w:rsidRPr="00FA0D37">
        <w:tab/>
      </w:r>
      <w:r w:rsidRPr="00FA0D37">
        <w:rPr>
          <w:i/>
        </w:rPr>
        <w:t>FrequencyInfoDL</w:t>
      </w:r>
      <w:bookmarkEnd w:id="1041"/>
      <w:bookmarkEnd w:id="1042"/>
    </w:p>
    <w:p w14:paraId="57550287" w14:textId="77777777" w:rsidR="00394471" w:rsidRPr="00FA0D37" w:rsidRDefault="00394471" w:rsidP="00394471">
      <w:r w:rsidRPr="00FA0D37">
        <w:t xml:space="preserve">The IE </w:t>
      </w:r>
      <w:r w:rsidRPr="00FA0D37">
        <w:rPr>
          <w:i/>
        </w:rPr>
        <w:t xml:space="preserve">FrequencyInfoDL </w:t>
      </w:r>
      <w:r w:rsidRPr="00FA0D37">
        <w:t>provides basic parameters of a downlink carrier and transmission thereon.</w:t>
      </w:r>
    </w:p>
    <w:p w14:paraId="734EE8F4" w14:textId="77777777" w:rsidR="00394471" w:rsidRPr="00FA0D37" w:rsidRDefault="00394471" w:rsidP="00394471">
      <w:pPr>
        <w:pStyle w:val="TH"/>
      </w:pPr>
      <w:r w:rsidRPr="00FA0D37">
        <w:rPr>
          <w:bCs/>
          <w:i/>
          <w:iCs/>
        </w:rPr>
        <w:t xml:space="preserve">FrequencyInfoDL </w:t>
      </w:r>
      <w:r w:rsidRPr="00FA0D37">
        <w:t>information element</w:t>
      </w:r>
    </w:p>
    <w:p w14:paraId="354BD8C5" w14:textId="77777777" w:rsidR="00394471" w:rsidRPr="00FA0D37" w:rsidRDefault="00394471" w:rsidP="00FA0D37">
      <w:pPr>
        <w:pStyle w:val="PL"/>
        <w:rPr>
          <w:color w:val="808080"/>
        </w:rPr>
      </w:pPr>
      <w:r w:rsidRPr="00FA0D37">
        <w:rPr>
          <w:color w:val="808080"/>
        </w:rPr>
        <w:t>-- ASN1START</w:t>
      </w:r>
    </w:p>
    <w:p w14:paraId="39C7C86C" w14:textId="77777777" w:rsidR="00394471" w:rsidRPr="00FA0D37" w:rsidRDefault="00394471" w:rsidP="00FA0D37">
      <w:pPr>
        <w:pStyle w:val="PL"/>
        <w:rPr>
          <w:color w:val="808080"/>
        </w:rPr>
      </w:pPr>
      <w:r w:rsidRPr="00FA0D37">
        <w:rPr>
          <w:color w:val="808080"/>
        </w:rPr>
        <w:t>-- TAG-FREQUENCYINFODL-START</w:t>
      </w:r>
    </w:p>
    <w:p w14:paraId="40609C52" w14:textId="77777777" w:rsidR="00394471" w:rsidRPr="00FA0D37" w:rsidRDefault="00394471" w:rsidP="00FA0D37">
      <w:pPr>
        <w:pStyle w:val="PL"/>
      </w:pPr>
    </w:p>
    <w:p w14:paraId="5559BB65" w14:textId="77777777" w:rsidR="00394471" w:rsidRPr="00FA0D37" w:rsidRDefault="00394471" w:rsidP="00FA0D37">
      <w:pPr>
        <w:pStyle w:val="PL"/>
      </w:pPr>
      <w:r w:rsidRPr="00FA0D37">
        <w:t xml:space="preserve">FrequencyInfoDL ::=                 </w:t>
      </w:r>
      <w:r w:rsidRPr="00FA0D37">
        <w:rPr>
          <w:color w:val="993366"/>
        </w:rPr>
        <w:t>SEQUENCE</w:t>
      </w:r>
      <w:r w:rsidRPr="00FA0D37">
        <w:t xml:space="preserve"> {</w:t>
      </w:r>
    </w:p>
    <w:p w14:paraId="6E770813" w14:textId="77777777" w:rsidR="00394471" w:rsidRPr="00FA0D37" w:rsidRDefault="00394471" w:rsidP="00FA0D37">
      <w:pPr>
        <w:pStyle w:val="PL"/>
        <w:rPr>
          <w:color w:val="808080"/>
        </w:rPr>
      </w:pPr>
      <w:r w:rsidRPr="00FA0D37">
        <w:t xml:space="preserve">    absoluteFrequencySSB                ARFCN-ValueNR                                                   </w:t>
      </w:r>
      <w:r w:rsidRPr="00FA0D37">
        <w:rPr>
          <w:color w:val="993366"/>
        </w:rPr>
        <w:t>OPTIONAL</w:t>
      </w:r>
      <w:r w:rsidRPr="00FA0D37">
        <w:t xml:space="preserve">,   </w:t>
      </w:r>
      <w:r w:rsidRPr="00FA0D37">
        <w:rPr>
          <w:color w:val="808080"/>
        </w:rPr>
        <w:t>-- Cond SpCellAdd</w:t>
      </w:r>
    </w:p>
    <w:p w14:paraId="677DC0CE" w14:textId="77777777" w:rsidR="00394471" w:rsidRPr="00FA0D37" w:rsidRDefault="00394471" w:rsidP="00FA0D37">
      <w:pPr>
        <w:pStyle w:val="PL"/>
      </w:pPr>
      <w:r w:rsidRPr="00FA0D37">
        <w:t xml:space="preserve">    frequencyBandList                   MultiFrequencyBandListNR,</w:t>
      </w:r>
    </w:p>
    <w:p w14:paraId="5E5A7B12" w14:textId="77777777" w:rsidR="00394471" w:rsidRPr="00FA0D37" w:rsidRDefault="00394471" w:rsidP="00FA0D37">
      <w:pPr>
        <w:pStyle w:val="PL"/>
      </w:pPr>
      <w:r w:rsidRPr="00FA0D37">
        <w:t xml:space="preserve">    absoluteFrequencyPointA             ARFCN-ValueNR,</w:t>
      </w:r>
    </w:p>
    <w:p w14:paraId="50305261" w14:textId="77777777" w:rsidR="00394471" w:rsidRPr="00FA0D37" w:rsidRDefault="00394471" w:rsidP="00FA0D37">
      <w:pPr>
        <w:pStyle w:val="PL"/>
      </w:pPr>
      <w:r w:rsidRPr="00FA0D37">
        <w:t xml:space="preserve">    scs-SpecificCarrierList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SCS-SpecificCarrier,</w:t>
      </w:r>
    </w:p>
    <w:p w14:paraId="68D54234" w14:textId="77777777" w:rsidR="00394471" w:rsidRPr="00FA0D37" w:rsidRDefault="00394471" w:rsidP="00FA0D37">
      <w:pPr>
        <w:pStyle w:val="PL"/>
      </w:pPr>
      <w:r w:rsidRPr="00FA0D37">
        <w:t xml:space="preserve">    ...</w:t>
      </w:r>
    </w:p>
    <w:p w14:paraId="5859C577" w14:textId="77777777" w:rsidR="00394471" w:rsidRPr="00FA0D37" w:rsidRDefault="00394471" w:rsidP="00FA0D37">
      <w:pPr>
        <w:pStyle w:val="PL"/>
      </w:pPr>
      <w:r w:rsidRPr="00FA0D37">
        <w:t>}</w:t>
      </w:r>
    </w:p>
    <w:p w14:paraId="06F95ABF" w14:textId="77777777" w:rsidR="00394471" w:rsidRPr="00FA0D37" w:rsidRDefault="00394471" w:rsidP="00FA0D37">
      <w:pPr>
        <w:pStyle w:val="PL"/>
      </w:pPr>
    </w:p>
    <w:p w14:paraId="271B162C" w14:textId="77777777" w:rsidR="00394471" w:rsidRPr="00FA0D37" w:rsidRDefault="00394471" w:rsidP="00FA0D37">
      <w:pPr>
        <w:pStyle w:val="PL"/>
        <w:rPr>
          <w:color w:val="808080"/>
        </w:rPr>
      </w:pPr>
      <w:r w:rsidRPr="00FA0D37">
        <w:rPr>
          <w:color w:val="808080"/>
        </w:rPr>
        <w:t>-- TAG-FREQUENCYINFODL-STOP</w:t>
      </w:r>
    </w:p>
    <w:p w14:paraId="552E6615" w14:textId="77777777" w:rsidR="00394471" w:rsidRPr="00FA0D37" w:rsidRDefault="00394471" w:rsidP="00FA0D37">
      <w:pPr>
        <w:pStyle w:val="PL"/>
        <w:rPr>
          <w:color w:val="808080"/>
        </w:rPr>
      </w:pPr>
      <w:r w:rsidRPr="00FA0D37">
        <w:rPr>
          <w:color w:val="808080"/>
        </w:rPr>
        <w:t>-- ASN1STOP</w:t>
      </w:r>
    </w:p>
    <w:p w14:paraId="700F142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FA0D37" w:rsidRDefault="00394471" w:rsidP="00964CC4">
            <w:pPr>
              <w:pStyle w:val="TAH"/>
              <w:rPr>
                <w:szCs w:val="22"/>
                <w:lang w:eastAsia="sv-SE"/>
              </w:rPr>
            </w:pPr>
            <w:r w:rsidRPr="00FA0D37">
              <w:rPr>
                <w:i/>
                <w:szCs w:val="22"/>
                <w:lang w:eastAsia="sv-SE"/>
              </w:rPr>
              <w:t xml:space="preserve">FrequencyInfoDL </w:t>
            </w:r>
            <w:r w:rsidRPr="00FA0D37">
              <w:rPr>
                <w:szCs w:val="22"/>
                <w:lang w:eastAsia="sv-SE"/>
              </w:rPr>
              <w:t>field descriptions</w:t>
            </w:r>
          </w:p>
        </w:tc>
      </w:tr>
      <w:tr w:rsidR="005C7FF4" w:rsidRPr="00FA0D37"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FA0D37" w:rsidRDefault="00394471" w:rsidP="00964CC4">
            <w:pPr>
              <w:pStyle w:val="TAL"/>
              <w:rPr>
                <w:szCs w:val="22"/>
                <w:lang w:eastAsia="sv-SE"/>
              </w:rPr>
            </w:pPr>
            <w:r w:rsidRPr="00FA0D37">
              <w:rPr>
                <w:b/>
                <w:i/>
                <w:szCs w:val="22"/>
                <w:lang w:eastAsia="sv-SE"/>
              </w:rPr>
              <w:t>absoluteFrequencyPointA</w:t>
            </w:r>
          </w:p>
          <w:p w14:paraId="123ADF67" w14:textId="77777777" w:rsidR="00394471" w:rsidRPr="00FA0D37" w:rsidRDefault="00394471" w:rsidP="00964CC4">
            <w:pPr>
              <w:pStyle w:val="TAL"/>
              <w:rPr>
                <w:szCs w:val="22"/>
                <w:lang w:eastAsia="sv-SE"/>
              </w:rPr>
            </w:pPr>
            <w:r w:rsidRPr="00FA0D37">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A0D37">
              <w:rPr>
                <w:i/>
                <w:lang w:eastAsia="sv-SE"/>
              </w:rPr>
              <w:t>scs-SpecificCarrierList</w:t>
            </w:r>
            <w:r w:rsidRPr="00FA0D37">
              <w:rPr>
                <w:szCs w:val="22"/>
                <w:lang w:eastAsia="sv-SE"/>
              </w:rPr>
              <w:t>.</w:t>
            </w:r>
          </w:p>
        </w:tc>
      </w:tr>
      <w:tr w:rsidR="005C7FF4" w:rsidRPr="00FA0D37"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FA0D37" w:rsidRDefault="00394471" w:rsidP="00964CC4">
            <w:pPr>
              <w:pStyle w:val="TAL"/>
              <w:rPr>
                <w:szCs w:val="22"/>
                <w:lang w:eastAsia="sv-SE"/>
              </w:rPr>
            </w:pPr>
            <w:r w:rsidRPr="00FA0D37">
              <w:rPr>
                <w:b/>
                <w:i/>
                <w:szCs w:val="22"/>
                <w:lang w:eastAsia="sv-SE"/>
              </w:rPr>
              <w:t>absoluteFrequencySSB</w:t>
            </w:r>
          </w:p>
          <w:p w14:paraId="534DCA26" w14:textId="3D0DCEAF" w:rsidR="00394471" w:rsidRPr="00FA0D37" w:rsidRDefault="00394471" w:rsidP="00964CC4">
            <w:pPr>
              <w:pStyle w:val="TAL"/>
              <w:rPr>
                <w:szCs w:val="22"/>
                <w:lang w:eastAsia="sv-SE"/>
              </w:rPr>
            </w:pPr>
            <w:r w:rsidRPr="00FA0D37">
              <w:rPr>
                <w:szCs w:val="22"/>
                <w:lang w:eastAsia="sv-SE"/>
              </w:rPr>
              <w:t xml:space="preserve">Frequency of the SSB to be used for this serving cell. SSB related parameters (e.g. SSB index) provided for a serving cell refer to this SSB frequency unless mentioned otherwise. The </w:t>
            </w:r>
            <w:r w:rsidR="00E358C0" w:rsidRPr="00FA0D37">
              <w:rPr>
                <w:szCs w:val="22"/>
                <w:lang w:eastAsia="sv-SE"/>
              </w:rPr>
              <w:t>CD-</w:t>
            </w:r>
            <w:r w:rsidRPr="00FA0D37">
              <w:rPr>
                <w:szCs w:val="22"/>
                <w:lang w:eastAsia="sv-SE"/>
              </w:rPr>
              <w:t>SSB of the PCell is always on the sync raster. Frequencies are considered to be on the sync raster if they are also identifiable with a GSCN value (see TS 38.101-1 [15]</w:t>
            </w:r>
            <w:r w:rsidR="00862D3D" w:rsidRPr="00FA0D37">
              <w:rPr>
                <w:szCs w:val="22"/>
                <w:lang w:eastAsia="sv-SE"/>
              </w:rPr>
              <w:t xml:space="preserve"> or TS 38.101-5 [75]</w:t>
            </w:r>
            <w:r w:rsidRPr="00FA0D37">
              <w:rPr>
                <w:szCs w:val="22"/>
                <w:lang w:eastAsia="sv-SE"/>
              </w:rPr>
              <w:t xml:space="preserve">). If the field is absent, the SSB related parameters should be absent, e.g. </w:t>
            </w:r>
            <w:r w:rsidRPr="00FA0D37">
              <w:rPr>
                <w:i/>
                <w:lang w:eastAsia="sv-SE"/>
              </w:rPr>
              <w:t>ssb-PositionsInBurst</w:t>
            </w:r>
            <w:r w:rsidRPr="00FA0D37">
              <w:rPr>
                <w:szCs w:val="22"/>
                <w:lang w:eastAsia="sv-SE"/>
              </w:rPr>
              <w:t xml:space="preserve">, </w:t>
            </w:r>
            <w:r w:rsidRPr="00FA0D37">
              <w:rPr>
                <w:i/>
                <w:lang w:eastAsia="sv-SE"/>
              </w:rPr>
              <w:t>ssb-periodicityServingCell</w:t>
            </w:r>
            <w:r w:rsidRPr="00FA0D37">
              <w:rPr>
                <w:szCs w:val="22"/>
                <w:lang w:eastAsia="sv-SE"/>
              </w:rPr>
              <w:t xml:space="preserve"> and </w:t>
            </w:r>
            <w:r w:rsidRPr="00FA0D37">
              <w:rPr>
                <w:i/>
                <w:lang w:eastAsia="sv-SE"/>
              </w:rPr>
              <w:t>subcarrierSpacing</w:t>
            </w:r>
            <w:r w:rsidRPr="00FA0D37">
              <w:rPr>
                <w:szCs w:val="22"/>
                <w:lang w:eastAsia="sv-SE"/>
              </w:rPr>
              <w:t xml:space="preserve"> in </w:t>
            </w:r>
            <w:r w:rsidRPr="00FA0D37">
              <w:rPr>
                <w:i/>
                <w:lang w:eastAsia="sv-SE"/>
              </w:rPr>
              <w:t>ServingCellConfigCommon</w:t>
            </w:r>
            <w:r w:rsidRPr="00FA0D37">
              <w:rPr>
                <w:szCs w:val="22"/>
                <w:lang w:eastAsia="sv-SE"/>
              </w:rPr>
              <w:t xml:space="preserve"> IE. If the field is absent, the UE obtains timing reference from the SpCell</w:t>
            </w:r>
            <w:r w:rsidR="003407A3" w:rsidRPr="00FA0D37">
              <w:rPr>
                <w:lang w:eastAsia="zh-CN"/>
              </w:rPr>
              <w:t xml:space="preserve"> </w:t>
            </w:r>
            <w:r w:rsidR="003407A3" w:rsidRPr="00FA0D37">
              <w:rPr>
                <w:szCs w:val="22"/>
                <w:lang w:eastAsia="sv-SE"/>
              </w:rPr>
              <w:t>or an SCell if applicable as described in TS 38.213 [13], clause 4.1</w:t>
            </w:r>
            <w:r w:rsidRPr="00FA0D37">
              <w:rPr>
                <w:szCs w:val="22"/>
                <w:lang w:eastAsia="sv-SE"/>
              </w:rPr>
              <w:t>. This is only supported in case the SCell</w:t>
            </w:r>
            <w:r w:rsidR="003407A3" w:rsidRPr="00FA0D37">
              <w:rPr>
                <w:szCs w:val="22"/>
                <w:lang w:eastAsia="sv-SE"/>
              </w:rPr>
              <w:t xml:space="preserve"> for which the UE obtains the timing reference</w:t>
            </w:r>
            <w:r w:rsidRPr="00FA0D37">
              <w:rPr>
                <w:szCs w:val="22"/>
                <w:lang w:eastAsia="sv-SE"/>
              </w:rPr>
              <w:t xml:space="preserve"> is in the same frequency band as the </w:t>
            </w:r>
            <w:r w:rsidR="003407A3" w:rsidRPr="00FA0D37">
              <w:rPr>
                <w:szCs w:val="22"/>
                <w:lang w:eastAsia="sv-SE"/>
              </w:rPr>
              <w:t xml:space="preserve">cell (i.e. the </w:t>
            </w:r>
            <w:r w:rsidRPr="00FA0D37">
              <w:rPr>
                <w:szCs w:val="22"/>
                <w:lang w:eastAsia="sv-SE"/>
              </w:rPr>
              <w:t>SpCell</w:t>
            </w:r>
            <w:r w:rsidR="003407A3" w:rsidRPr="00FA0D37">
              <w:rPr>
                <w:szCs w:val="22"/>
                <w:lang w:eastAsia="sv-SE"/>
              </w:rPr>
              <w:t xml:space="preserve"> or the SCell, respectively) from which the UE obtains the timing reference</w:t>
            </w:r>
            <w:r w:rsidRPr="00FA0D37">
              <w:rPr>
                <w:szCs w:val="22"/>
                <w:lang w:eastAsia="sv-SE"/>
              </w:rPr>
              <w:t>.</w:t>
            </w:r>
          </w:p>
          <w:p w14:paraId="052DB164" w14:textId="34E5B898" w:rsidR="00B37B2F" w:rsidRPr="00FA0D37" w:rsidRDefault="00B37B2F" w:rsidP="00964CC4">
            <w:pPr>
              <w:pStyle w:val="TAL"/>
              <w:rPr>
                <w:szCs w:val="22"/>
                <w:lang w:eastAsia="sv-SE"/>
              </w:rPr>
            </w:pPr>
            <w:r w:rsidRPr="00FA0D37">
              <w:rPr>
                <w:szCs w:val="22"/>
                <w:lang w:eastAsia="sv-SE"/>
              </w:rPr>
              <w:t xml:space="preserve">For cells supporting RedCap, </w:t>
            </w:r>
            <w:r w:rsidR="00AE678F" w:rsidRPr="00FA0D37">
              <w:t>this field</w:t>
            </w:r>
            <w:r w:rsidRPr="00FA0D37">
              <w:rPr>
                <w:szCs w:val="22"/>
                <w:lang w:eastAsia="sv-SE"/>
              </w:rPr>
              <w:t xml:space="preserve"> corresponds to the </w:t>
            </w:r>
            <w:r w:rsidR="00E358C0" w:rsidRPr="00FA0D37">
              <w:rPr>
                <w:szCs w:val="22"/>
                <w:lang w:eastAsia="sv-SE"/>
              </w:rPr>
              <w:t>CD-</w:t>
            </w:r>
            <w:r w:rsidRPr="00FA0D37">
              <w:rPr>
                <w:szCs w:val="22"/>
                <w:lang w:eastAsia="sv-SE"/>
              </w:rPr>
              <w:t>SSB.</w:t>
            </w:r>
          </w:p>
        </w:tc>
      </w:tr>
      <w:tr w:rsidR="005C7FF4" w:rsidRPr="00FA0D37"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FA0D37" w:rsidRDefault="00394471" w:rsidP="00964CC4">
            <w:pPr>
              <w:pStyle w:val="TAL"/>
              <w:rPr>
                <w:szCs w:val="22"/>
                <w:lang w:eastAsia="sv-SE"/>
              </w:rPr>
            </w:pPr>
            <w:r w:rsidRPr="00FA0D37">
              <w:rPr>
                <w:b/>
                <w:i/>
                <w:szCs w:val="22"/>
                <w:lang w:eastAsia="sv-SE"/>
              </w:rPr>
              <w:t>frequencyBandList</w:t>
            </w:r>
          </w:p>
          <w:p w14:paraId="205BE09B" w14:textId="77777777" w:rsidR="00394471" w:rsidRPr="00FA0D37" w:rsidRDefault="00394471" w:rsidP="00964CC4">
            <w:pPr>
              <w:pStyle w:val="TAL"/>
              <w:rPr>
                <w:szCs w:val="22"/>
                <w:lang w:eastAsia="sv-SE"/>
              </w:rPr>
            </w:pPr>
            <w:r w:rsidRPr="00FA0D37">
              <w:rPr>
                <w:szCs w:val="22"/>
                <w:lang w:eastAsia="sv-SE"/>
              </w:rPr>
              <w:t>List containing only one frequency band to which this carrier(s) belongs. Multiple values are not supported.</w:t>
            </w:r>
          </w:p>
        </w:tc>
      </w:tr>
      <w:tr w:rsidR="00394471" w:rsidRPr="00FA0D37"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FA0D37" w:rsidRDefault="00394471" w:rsidP="00964CC4">
            <w:pPr>
              <w:pStyle w:val="TAL"/>
              <w:rPr>
                <w:szCs w:val="22"/>
                <w:lang w:eastAsia="sv-SE"/>
              </w:rPr>
            </w:pPr>
            <w:r w:rsidRPr="00FA0D37">
              <w:rPr>
                <w:b/>
                <w:i/>
                <w:szCs w:val="22"/>
                <w:lang w:eastAsia="sv-SE"/>
              </w:rPr>
              <w:t>scs-SpecificCarrierList</w:t>
            </w:r>
          </w:p>
          <w:p w14:paraId="3B5BA7B8" w14:textId="77777777" w:rsidR="00394471" w:rsidRPr="00FA0D37" w:rsidRDefault="00394471" w:rsidP="00964CC4">
            <w:pPr>
              <w:pStyle w:val="TAL"/>
              <w:rPr>
                <w:szCs w:val="22"/>
                <w:lang w:eastAsia="sv-SE"/>
              </w:rPr>
            </w:pPr>
            <w:r w:rsidRPr="00FA0D37">
              <w:rPr>
                <w:szCs w:val="22"/>
                <w:lang w:eastAsia="sv-SE"/>
              </w:rPr>
              <w:t xml:space="preserve">A set of carriers for different subcarrier spacings (numerologies). Defined in relation to Point A. The network configures a </w:t>
            </w:r>
            <w:r w:rsidRPr="00FA0D37">
              <w:rPr>
                <w:i/>
                <w:lang w:eastAsia="sv-SE"/>
              </w:rPr>
              <w:t>scs-SpecificCarrier</w:t>
            </w:r>
            <w:r w:rsidRPr="00FA0D37">
              <w:rPr>
                <w:szCs w:val="22"/>
                <w:lang w:eastAsia="sv-SE"/>
              </w:rPr>
              <w:t xml:space="preserve"> at least for each numerology (SCS) that is used e.g. in a BWP (see TS 38.211 [16], clause 5.3).</w:t>
            </w:r>
          </w:p>
        </w:tc>
      </w:tr>
    </w:tbl>
    <w:p w14:paraId="587576DB" w14:textId="77777777" w:rsidR="00394471" w:rsidRPr="00FA0D3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5C7FF4" w:rsidRPr="00FA0D37" w14:paraId="3EB12A7B"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5D9144" w14:textId="77777777" w:rsidR="00394471" w:rsidRPr="00FA0D37" w:rsidRDefault="00394471" w:rsidP="00964CC4">
            <w:pPr>
              <w:pStyle w:val="TAH"/>
              <w:rPr>
                <w:lang w:eastAsia="sv-SE"/>
              </w:rPr>
            </w:pPr>
            <w:r w:rsidRPr="00FA0D3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99AB225" w14:textId="77777777" w:rsidR="00394471" w:rsidRPr="00FA0D37" w:rsidRDefault="00394471" w:rsidP="00964CC4">
            <w:pPr>
              <w:pStyle w:val="TAH"/>
              <w:rPr>
                <w:lang w:eastAsia="sv-SE"/>
              </w:rPr>
            </w:pPr>
            <w:r w:rsidRPr="00FA0D37">
              <w:rPr>
                <w:lang w:eastAsia="sv-SE"/>
              </w:rPr>
              <w:t>Explanation</w:t>
            </w:r>
          </w:p>
        </w:tc>
      </w:tr>
      <w:tr w:rsidR="00394471" w:rsidRPr="00FA0D37" w14:paraId="65AD5564"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B78009" w14:textId="77777777" w:rsidR="00394471" w:rsidRPr="00FA0D37" w:rsidRDefault="00394471" w:rsidP="00964CC4">
            <w:pPr>
              <w:pStyle w:val="TAL"/>
              <w:rPr>
                <w:i/>
                <w:iCs/>
                <w:lang w:eastAsia="sv-SE"/>
              </w:rPr>
            </w:pPr>
            <w:r w:rsidRPr="00FA0D37">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73B79A74" w14:textId="77777777" w:rsidR="00394471" w:rsidRPr="00FA0D37" w:rsidRDefault="00394471" w:rsidP="00964CC4">
            <w:pPr>
              <w:pStyle w:val="TAL"/>
              <w:rPr>
                <w:lang w:eastAsia="sv-SE"/>
              </w:rPr>
            </w:pPr>
            <w:r w:rsidRPr="00FA0D37">
              <w:rPr>
                <w:lang w:eastAsia="sv-SE"/>
              </w:rPr>
              <w:t xml:space="preserve">The field is mandatory present if this </w:t>
            </w:r>
            <w:r w:rsidRPr="00FA0D37">
              <w:rPr>
                <w:i/>
                <w:lang w:eastAsia="sv-SE"/>
              </w:rPr>
              <w:t>FrequencyInfoDL</w:t>
            </w:r>
            <w:r w:rsidRPr="00FA0D37">
              <w:rPr>
                <w:lang w:eastAsia="sv-SE"/>
              </w:rPr>
              <w:t xml:space="preserve"> is for SpCell. Otherwise the field is optionally present, Need S.</w:t>
            </w:r>
          </w:p>
        </w:tc>
      </w:tr>
    </w:tbl>
    <w:p w14:paraId="45B1C3E8" w14:textId="77777777" w:rsidR="00394471" w:rsidRPr="00FA0D37" w:rsidRDefault="00394471" w:rsidP="00394471"/>
    <w:p w14:paraId="4FB5684F" w14:textId="77777777" w:rsidR="00394471" w:rsidRPr="00FA0D37" w:rsidRDefault="00394471" w:rsidP="00394471">
      <w:pPr>
        <w:pStyle w:val="4"/>
        <w:rPr>
          <w:i/>
          <w:iCs/>
          <w:noProof/>
        </w:rPr>
      </w:pPr>
      <w:bookmarkStart w:id="1043" w:name="_Toc60777239"/>
      <w:bookmarkStart w:id="1044" w:name="_Toc146781295"/>
      <w:r w:rsidRPr="00FA0D37">
        <w:rPr>
          <w:i/>
          <w:iCs/>
        </w:rPr>
        <w:lastRenderedPageBreak/>
        <w:t>–</w:t>
      </w:r>
      <w:r w:rsidRPr="00FA0D37">
        <w:rPr>
          <w:i/>
          <w:iCs/>
        </w:rPr>
        <w:tab/>
        <w:t>FrequencyInfoDL-SIB</w:t>
      </w:r>
      <w:bookmarkEnd w:id="1043"/>
      <w:bookmarkEnd w:id="1044"/>
    </w:p>
    <w:p w14:paraId="7D6F6E0B" w14:textId="77777777" w:rsidR="00394471" w:rsidRPr="00FA0D37" w:rsidRDefault="00394471" w:rsidP="00394471">
      <w:r w:rsidRPr="00FA0D37">
        <w:t xml:space="preserve">The IE </w:t>
      </w:r>
      <w:r w:rsidRPr="00FA0D37">
        <w:rPr>
          <w:i/>
        </w:rPr>
        <w:t xml:space="preserve">FrequencyInfoDL-SIB </w:t>
      </w:r>
      <w:r w:rsidRPr="00FA0D37">
        <w:t>provides basic parameters of a downlink carrier and transmission thereon.</w:t>
      </w:r>
    </w:p>
    <w:p w14:paraId="36DDA9E9" w14:textId="77777777" w:rsidR="00394471" w:rsidRPr="00FA0D37" w:rsidRDefault="00394471" w:rsidP="00394471">
      <w:pPr>
        <w:pStyle w:val="TH"/>
      </w:pPr>
      <w:r w:rsidRPr="00FA0D37">
        <w:rPr>
          <w:bCs/>
          <w:i/>
          <w:iCs/>
        </w:rPr>
        <w:t xml:space="preserve">FrequencyInfoDL-SIB </w:t>
      </w:r>
      <w:r w:rsidRPr="00FA0D37">
        <w:t>information element</w:t>
      </w:r>
    </w:p>
    <w:p w14:paraId="70CC2AAE" w14:textId="77777777" w:rsidR="00394471" w:rsidRPr="00FA0D37" w:rsidRDefault="00394471" w:rsidP="00FA0D37">
      <w:pPr>
        <w:pStyle w:val="PL"/>
        <w:rPr>
          <w:color w:val="808080"/>
        </w:rPr>
      </w:pPr>
      <w:r w:rsidRPr="00FA0D37">
        <w:rPr>
          <w:color w:val="808080"/>
        </w:rPr>
        <w:t>-- ASN1START</w:t>
      </w:r>
    </w:p>
    <w:p w14:paraId="638E49A6" w14:textId="77777777" w:rsidR="00394471" w:rsidRPr="00FA0D37" w:rsidRDefault="00394471" w:rsidP="00FA0D37">
      <w:pPr>
        <w:pStyle w:val="PL"/>
        <w:rPr>
          <w:color w:val="808080"/>
        </w:rPr>
      </w:pPr>
      <w:r w:rsidRPr="00FA0D37">
        <w:rPr>
          <w:color w:val="808080"/>
        </w:rPr>
        <w:t>-- TAG-FREQUENCYINFODL-SIB-START</w:t>
      </w:r>
    </w:p>
    <w:p w14:paraId="64AC49A2" w14:textId="77777777" w:rsidR="00394471" w:rsidRPr="00FA0D37" w:rsidRDefault="00394471" w:rsidP="00FA0D37">
      <w:pPr>
        <w:pStyle w:val="PL"/>
      </w:pPr>
    </w:p>
    <w:p w14:paraId="4091AE02" w14:textId="77777777" w:rsidR="00394471" w:rsidRPr="00FA0D37" w:rsidRDefault="00394471" w:rsidP="00FA0D37">
      <w:pPr>
        <w:pStyle w:val="PL"/>
      </w:pPr>
      <w:r w:rsidRPr="00FA0D37">
        <w:t xml:space="preserve">FrequencyInfoDL-SIB ::=             </w:t>
      </w:r>
      <w:r w:rsidRPr="00FA0D37">
        <w:rPr>
          <w:color w:val="993366"/>
        </w:rPr>
        <w:t>SEQUENCE</w:t>
      </w:r>
      <w:r w:rsidRPr="00FA0D37">
        <w:t xml:space="preserve"> {</w:t>
      </w:r>
    </w:p>
    <w:p w14:paraId="2FCD5A9E" w14:textId="77777777" w:rsidR="00394471" w:rsidRPr="00FA0D37" w:rsidRDefault="00394471" w:rsidP="00FA0D37">
      <w:pPr>
        <w:pStyle w:val="PL"/>
      </w:pPr>
      <w:r w:rsidRPr="00FA0D37">
        <w:t xml:space="preserve">    frequencyBandList                   MultiFrequencyBandListNR-SIB,</w:t>
      </w:r>
    </w:p>
    <w:p w14:paraId="741A3BB5" w14:textId="77777777" w:rsidR="00394471" w:rsidRPr="00FA0D37" w:rsidRDefault="00394471" w:rsidP="00FA0D37">
      <w:pPr>
        <w:pStyle w:val="PL"/>
      </w:pPr>
      <w:r w:rsidRPr="00FA0D37">
        <w:t xml:space="preserve">    offsetToPointA                      </w:t>
      </w:r>
      <w:r w:rsidRPr="00FA0D37">
        <w:rPr>
          <w:color w:val="993366"/>
        </w:rPr>
        <w:t>INTEGER</w:t>
      </w:r>
      <w:r w:rsidRPr="00FA0D37">
        <w:t xml:space="preserve"> (0..2199),</w:t>
      </w:r>
    </w:p>
    <w:p w14:paraId="2D718691" w14:textId="77777777" w:rsidR="00394471" w:rsidRPr="00FA0D37" w:rsidRDefault="00394471" w:rsidP="00FA0D37">
      <w:pPr>
        <w:pStyle w:val="PL"/>
      </w:pPr>
      <w:r w:rsidRPr="00FA0D37">
        <w:t xml:space="preserve">    scs-SpecificCarrierList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SCS-SpecificCarrier</w:t>
      </w:r>
    </w:p>
    <w:p w14:paraId="77442D3B" w14:textId="77777777" w:rsidR="00394471" w:rsidRPr="00FA0D37" w:rsidRDefault="00394471" w:rsidP="00FA0D37">
      <w:pPr>
        <w:pStyle w:val="PL"/>
      </w:pPr>
      <w:r w:rsidRPr="00FA0D37">
        <w:t>}</w:t>
      </w:r>
    </w:p>
    <w:p w14:paraId="73E517E6" w14:textId="77777777" w:rsidR="00BD4216" w:rsidRPr="00FA0D37" w:rsidRDefault="00BD4216" w:rsidP="00FA0D37">
      <w:pPr>
        <w:pStyle w:val="PL"/>
      </w:pPr>
    </w:p>
    <w:p w14:paraId="36D2DA1A" w14:textId="466CA125" w:rsidR="00BD4216" w:rsidRPr="00FA0D37" w:rsidRDefault="00BD4216" w:rsidP="00FA0D37">
      <w:pPr>
        <w:pStyle w:val="PL"/>
      </w:pPr>
      <w:r w:rsidRPr="00FA0D37">
        <w:t xml:space="preserve">FrequencyInfoDL-SIB-v1760 ::=       </w:t>
      </w:r>
      <w:r w:rsidRPr="00FA0D37">
        <w:rPr>
          <w:color w:val="993366"/>
        </w:rPr>
        <w:t>SEQUENCE</w:t>
      </w:r>
      <w:r w:rsidRPr="00FA0D37">
        <w:t xml:space="preserve"> {</w:t>
      </w:r>
    </w:p>
    <w:p w14:paraId="5205E18C" w14:textId="1D64C03A" w:rsidR="00BD4216" w:rsidRPr="00FA0D37" w:rsidRDefault="00BD4216" w:rsidP="00FA0D37">
      <w:pPr>
        <w:pStyle w:val="PL"/>
      </w:pPr>
      <w:r w:rsidRPr="00FA0D37">
        <w:t xml:space="preserve">    frequencyBandList-v1760             MultiFrequencyBandListNR-SIB-v1760</w:t>
      </w:r>
    </w:p>
    <w:p w14:paraId="0D88385B" w14:textId="46AAAA5A" w:rsidR="00394471" w:rsidRPr="00FA0D37" w:rsidRDefault="00BD4216" w:rsidP="00FA0D37">
      <w:pPr>
        <w:pStyle w:val="PL"/>
      </w:pPr>
      <w:r w:rsidRPr="00FA0D37">
        <w:t>}</w:t>
      </w:r>
    </w:p>
    <w:p w14:paraId="21B0F9BC" w14:textId="77777777" w:rsidR="00BD4216" w:rsidRPr="00FA0D37" w:rsidRDefault="00BD4216" w:rsidP="00FA0D37">
      <w:pPr>
        <w:pStyle w:val="PL"/>
      </w:pPr>
    </w:p>
    <w:p w14:paraId="3DE6C1B7" w14:textId="77777777" w:rsidR="00394471" w:rsidRPr="00FA0D37" w:rsidRDefault="00394471" w:rsidP="00FA0D37">
      <w:pPr>
        <w:pStyle w:val="PL"/>
        <w:rPr>
          <w:color w:val="808080"/>
        </w:rPr>
      </w:pPr>
      <w:r w:rsidRPr="00FA0D37">
        <w:rPr>
          <w:color w:val="808080"/>
        </w:rPr>
        <w:t>-- TAG-FREQUENCYINFODL-SIB-STOP</w:t>
      </w:r>
    </w:p>
    <w:p w14:paraId="58A26E55" w14:textId="77777777" w:rsidR="00394471" w:rsidRPr="00FA0D37" w:rsidRDefault="00394471" w:rsidP="00FA0D37">
      <w:pPr>
        <w:pStyle w:val="PL"/>
        <w:rPr>
          <w:color w:val="808080"/>
        </w:rPr>
      </w:pPr>
      <w:r w:rsidRPr="00FA0D37">
        <w:rPr>
          <w:color w:val="808080"/>
        </w:rPr>
        <w:t>-- ASN1STOP</w:t>
      </w:r>
    </w:p>
    <w:p w14:paraId="6A6F9F7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FA0D37" w:rsidRDefault="00394471" w:rsidP="00964CC4">
            <w:pPr>
              <w:pStyle w:val="TAH"/>
              <w:rPr>
                <w:szCs w:val="22"/>
                <w:lang w:eastAsia="sv-SE"/>
              </w:rPr>
            </w:pPr>
            <w:r w:rsidRPr="00FA0D37">
              <w:rPr>
                <w:i/>
                <w:szCs w:val="22"/>
                <w:lang w:eastAsia="sv-SE"/>
              </w:rPr>
              <w:t xml:space="preserve">FrequencyInfoDL-SIB </w:t>
            </w:r>
            <w:r w:rsidRPr="00FA0D37">
              <w:rPr>
                <w:szCs w:val="22"/>
                <w:lang w:eastAsia="sv-SE"/>
              </w:rPr>
              <w:t>field descriptions</w:t>
            </w:r>
          </w:p>
        </w:tc>
      </w:tr>
      <w:tr w:rsidR="005C7FF4" w:rsidRPr="00FA0D37"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FA0D37" w:rsidRDefault="00394471" w:rsidP="00964CC4">
            <w:pPr>
              <w:pStyle w:val="TAL"/>
              <w:rPr>
                <w:b/>
                <w:i/>
                <w:szCs w:val="22"/>
                <w:lang w:eastAsia="sv-SE"/>
              </w:rPr>
            </w:pPr>
            <w:r w:rsidRPr="00FA0D37">
              <w:rPr>
                <w:b/>
                <w:i/>
                <w:szCs w:val="22"/>
                <w:lang w:eastAsia="sv-SE"/>
              </w:rPr>
              <w:t>offsetToPointA</w:t>
            </w:r>
          </w:p>
          <w:p w14:paraId="13168B2B" w14:textId="77777777" w:rsidR="00394471" w:rsidRPr="00FA0D37" w:rsidRDefault="00394471" w:rsidP="00964CC4">
            <w:pPr>
              <w:pStyle w:val="TAL"/>
              <w:rPr>
                <w:szCs w:val="22"/>
                <w:lang w:eastAsia="sv-SE"/>
              </w:rPr>
            </w:pPr>
            <w:r w:rsidRPr="00FA0D37">
              <w:rPr>
                <w:szCs w:val="22"/>
                <w:lang w:eastAsia="sv-SE"/>
              </w:rPr>
              <w:t>Represents the offset to Point A as defined in TS 38.211 [16], clause 4.4.4.2.</w:t>
            </w:r>
          </w:p>
        </w:tc>
      </w:tr>
      <w:tr w:rsidR="005C7FF4" w:rsidRPr="00FA0D37"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FA0D37" w:rsidRDefault="00394471" w:rsidP="00964CC4">
            <w:pPr>
              <w:pStyle w:val="TAL"/>
              <w:rPr>
                <w:szCs w:val="22"/>
                <w:lang w:eastAsia="sv-SE"/>
              </w:rPr>
            </w:pPr>
            <w:r w:rsidRPr="00FA0D37">
              <w:rPr>
                <w:b/>
                <w:i/>
                <w:szCs w:val="22"/>
                <w:lang w:eastAsia="sv-SE"/>
              </w:rPr>
              <w:t>frequencyBandList</w:t>
            </w:r>
          </w:p>
          <w:p w14:paraId="22D25F47" w14:textId="799F9F47" w:rsidR="00394471" w:rsidRPr="00FA0D37" w:rsidRDefault="00394471" w:rsidP="00964CC4">
            <w:pPr>
              <w:pStyle w:val="TAL"/>
              <w:rPr>
                <w:szCs w:val="22"/>
                <w:lang w:eastAsia="sv-SE"/>
              </w:rPr>
            </w:pPr>
            <w:r w:rsidRPr="00FA0D37">
              <w:rPr>
                <w:szCs w:val="22"/>
                <w:lang w:eastAsia="sv-SE"/>
              </w:rPr>
              <w:t xml:space="preserve">List of one or multiple frequency bands to which this carrier(s) belongs. </w:t>
            </w:r>
            <w:r w:rsidR="00BD4216" w:rsidRPr="00FA0D37">
              <w:rPr>
                <w:szCs w:val="22"/>
                <w:lang w:eastAsia="sv-SE"/>
              </w:rPr>
              <w:t xml:space="preserve">If </w:t>
            </w:r>
            <w:r w:rsidR="00BD4216" w:rsidRPr="00FA0D37">
              <w:rPr>
                <w:i/>
                <w:iCs/>
                <w:szCs w:val="22"/>
                <w:lang w:eastAsia="sv-SE"/>
              </w:rPr>
              <w:t>frequencyBandList-v1760</w:t>
            </w:r>
            <w:r w:rsidR="00BD4216" w:rsidRPr="00FA0D37">
              <w:rPr>
                <w:szCs w:val="22"/>
                <w:lang w:eastAsia="sv-SE"/>
              </w:rPr>
              <w:t xml:space="preserve"> is present, it shall contain the same number of entries, listed in the same order as in </w:t>
            </w:r>
            <w:r w:rsidR="00BD4216" w:rsidRPr="00FA0D37">
              <w:rPr>
                <w:i/>
                <w:iCs/>
                <w:szCs w:val="22"/>
                <w:lang w:eastAsia="sv-SE"/>
              </w:rPr>
              <w:t>frequencyBandList</w:t>
            </w:r>
            <w:r w:rsidR="00BD4216" w:rsidRPr="00FA0D37">
              <w:rPr>
                <w:szCs w:val="22"/>
                <w:lang w:eastAsia="sv-SE"/>
              </w:rPr>
              <w:t xml:space="preserve"> (without suffix)</w:t>
            </w:r>
            <w:r w:rsidR="00B30C99" w:rsidRPr="00FA0D37">
              <w:rPr>
                <w:szCs w:val="22"/>
                <w:lang w:eastAsia="sv-SE"/>
              </w:rPr>
              <w:t>.</w:t>
            </w:r>
          </w:p>
        </w:tc>
      </w:tr>
      <w:tr w:rsidR="00394471" w:rsidRPr="00FA0D37"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FA0D37" w:rsidRDefault="00394471" w:rsidP="00964CC4">
            <w:pPr>
              <w:pStyle w:val="TAL"/>
              <w:rPr>
                <w:b/>
                <w:i/>
                <w:szCs w:val="22"/>
                <w:lang w:eastAsia="sv-SE"/>
              </w:rPr>
            </w:pPr>
            <w:r w:rsidRPr="00FA0D37">
              <w:rPr>
                <w:b/>
                <w:i/>
                <w:szCs w:val="22"/>
                <w:lang w:eastAsia="sv-SE"/>
              </w:rPr>
              <w:t>scs-SpecificCarrierList</w:t>
            </w:r>
          </w:p>
          <w:p w14:paraId="445B95D7" w14:textId="77777777" w:rsidR="00394471" w:rsidRPr="00FA0D37" w:rsidRDefault="00394471" w:rsidP="00964CC4">
            <w:pPr>
              <w:pStyle w:val="TAL"/>
              <w:rPr>
                <w:szCs w:val="22"/>
                <w:lang w:eastAsia="sv-SE"/>
              </w:rPr>
            </w:pPr>
            <w:r w:rsidRPr="00FA0D37">
              <w:rPr>
                <w:szCs w:val="22"/>
                <w:lang w:eastAsia="sv-SE"/>
              </w:rPr>
              <w:t xml:space="preserve">A set of carriers for different subcarrier spacings (numerologies). Defined in relation to Point A (see TS 38.211 [16], clause 5.3). The network configures this for all SCSs that are used in DL BWPs </w:t>
            </w:r>
            <w:r w:rsidRPr="00FA0D37">
              <w:rPr>
                <w:rFonts w:eastAsia="MS Mincho"/>
                <w:szCs w:val="22"/>
                <w:lang w:eastAsia="sv-SE"/>
              </w:rPr>
              <w:t>in this serving cell.</w:t>
            </w:r>
          </w:p>
        </w:tc>
      </w:tr>
    </w:tbl>
    <w:p w14:paraId="2041311B" w14:textId="77777777" w:rsidR="00394471" w:rsidRPr="00FA0D37" w:rsidRDefault="00394471" w:rsidP="00394471"/>
    <w:p w14:paraId="00058AA4" w14:textId="77777777" w:rsidR="00394471" w:rsidRPr="00FA0D37" w:rsidRDefault="00394471" w:rsidP="00394471">
      <w:pPr>
        <w:pStyle w:val="4"/>
        <w:rPr>
          <w:i/>
          <w:noProof/>
        </w:rPr>
      </w:pPr>
      <w:bookmarkStart w:id="1045" w:name="_Toc60777240"/>
      <w:bookmarkStart w:id="1046" w:name="_Toc146781296"/>
      <w:r w:rsidRPr="00FA0D37">
        <w:t>–</w:t>
      </w:r>
      <w:r w:rsidRPr="00FA0D37">
        <w:tab/>
      </w:r>
      <w:r w:rsidRPr="00FA0D37">
        <w:rPr>
          <w:i/>
        </w:rPr>
        <w:t>FrequencyInfoUL</w:t>
      </w:r>
      <w:bookmarkEnd w:id="1045"/>
      <w:bookmarkEnd w:id="1046"/>
    </w:p>
    <w:p w14:paraId="6FA46109" w14:textId="77777777" w:rsidR="00394471" w:rsidRPr="00FA0D37" w:rsidRDefault="00394471" w:rsidP="00394471">
      <w:r w:rsidRPr="00FA0D37">
        <w:t xml:space="preserve">The IE </w:t>
      </w:r>
      <w:r w:rsidRPr="00FA0D37">
        <w:rPr>
          <w:i/>
        </w:rPr>
        <w:t xml:space="preserve">FrequencyInfoUL </w:t>
      </w:r>
      <w:r w:rsidRPr="00FA0D37">
        <w:t>provides basic parameters of an uplink carrier and transmission thereon.</w:t>
      </w:r>
    </w:p>
    <w:p w14:paraId="102B7D9A" w14:textId="77777777" w:rsidR="00394471" w:rsidRPr="00FA0D37" w:rsidRDefault="00394471" w:rsidP="00394471">
      <w:pPr>
        <w:pStyle w:val="TH"/>
      </w:pPr>
      <w:r w:rsidRPr="00FA0D37">
        <w:rPr>
          <w:bCs/>
          <w:i/>
          <w:iCs/>
        </w:rPr>
        <w:t xml:space="preserve">FrequencyInfoUL </w:t>
      </w:r>
      <w:r w:rsidRPr="00FA0D37">
        <w:t>information element</w:t>
      </w:r>
    </w:p>
    <w:p w14:paraId="6F7E2A6D" w14:textId="77777777" w:rsidR="00394471" w:rsidRPr="00FA0D37" w:rsidRDefault="00394471" w:rsidP="00FA0D37">
      <w:pPr>
        <w:pStyle w:val="PL"/>
        <w:rPr>
          <w:color w:val="808080"/>
        </w:rPr>
      </w:pPr>
      <w:r w:rsidRPr="00FA0D37">
        <w:rPr>
          <w:color w:val="808080"/>
        </w:rPr>
        <w:t>-- ASN1START</w:t>
      </w:r>
    </w:p>
    <w:p w14:paraId="562E7B40" w14:textId="77777777" w:rsidR="00394471" w:rsidRPr="00FA0D37" w:rsidRDefault="00394471" w:rsidP="00FA0D37">
      <w:pPr>
        <w:pStyle w:val="PL"/>
        <w:rPr>
          <w:color w:val="808080"/>
        </w:rPr>
      </w:pPr>
      <w:r w:rsidRPr="00FA0D37">
        <w:rPr>
          <w:color w:val="808080"/>
        </w:rPr>
        <w:t>-- TAG-FREQUENCYINFOUL-START</w:t>
      </w:r>
    </w:p>
    <w:p w14:paraId="503B3691" w14:textId="77777777" w:rsidR="00394471" w:rsidRPr="00FA0D37" w:rsidRDefault="00394471" w:rsidP="00FA0D37">
      <w:pPr>
        <w:pStyle w:val="PL"/>
      </w:pPr>
    </w:p>
    <w:p w14:paraId="0AA93D3C" w14:textId="77777777" w:rsidR="00394471" w:rsidRPr="00FA0D37" w:rsidRDefault="00394471" w:rsidP="00FA0D37">
      <w:pPr>
        <w:pStyle w:val="PL"/>
      </w:pPr>
      <w:r w:rsidRPr="00FA0D37">
        <w:t xml:space="preserve">FrequencyInfoUL ::=                 </w:t>
      </w:r>
      <w:r w:rsidRPr="00FA0D37">
        <w:rPr>
          <w:color w:val="993366"/>
        </w:rPr>
        <w:t>SEQUENCE</w:t>
      </w:r>
      <w:r w:rsidRPr="00FA0D37">
        <w:t xml:space="preserve"> {</w:t>
      </w:r>
    </w:p>
    <w:p w14:paraId="199ED122" w14:textId="77777777" w:rsidR="00394471" w:rsidRPr="00FA0D37" w:rsidRDefault="00394471" w:rsidP="00FA0D37">
      <w:pPr>
        <w:pStyle w:val="PL"/>
        <w:rPr>
          <w:color w:val="808080"/>
        </w:rPr>
      </w:pPr>
      <w:r w:rsidRPr="00FA0D37">
        <w:t xml:space="preserve">    frequencyBandList                   MultiFrequencyBandListNR                                </w:t>
      </w:r>
      <w:r w:rsidRPr="00FA0D37">
        <w:rPr>
          <w:color w:val="993366"/>
        </w:rPr>
        <w:t>OPTIONAL</w:t>
      </w:r>
      <w:r w:rsidRPr="00FA0D37">
        <w:t xml:space="preserve">,   </w:t>
      </w:r>
      <w:r w:rsidRPr="00FA0D37">
        <w:rPr>
          <w:color w:val="808080"/>
        </w:rPr>
        <w:t>-- Cond FDD-OrSUL</w:t>
      </w:r>
    </w:p>
    <w:p w14:paraId="7CC9D0E0" w14:textId="77777777" w:rsidR="00394471" w:rsidRPr="00FA0D37" w:rsidRDefault="00394471" w:rsidP="00FA0D37">
      <w:pPr>
        <w:pStyle w:val="PL"/>
        <w:rPr>
          <w:color w:val="808080"/>
        </w:rPr>
      </w:pPr>
      <w:r w:rsidRPr="00FA0D37">
        <w:t xml:space="preserve">    absoluteFrequencyPointA             ARFCN-ValueNR                                           </w:t>
      </w:r>
      <w:r w:rsidRPr="00FA0D37">
        <w:rPr>
          <w:color w:val="993366"/>
        </w:rPr>
        <w:t>OPTIONAL</w:t>
      </w:r>
      <w:r w:rsidRPr="00FA0D37">
        <w:t xml:space="preserve">,   </w:t>
      </w:r>
      <w:r w:rsidRPr="00FA0D37">
        <w:rPr>
          <w:color w:val="808080"/>
        </w:rPr>
        <w:t>-- Cond FDD-OrSUL</w:t>
      </w:r>
    </w:p>
    <w:p w14:paraId="655F252C" w14:textId="77777777" w:rsidR="00394471" w:rsidRPr="00FA0D37" w:rsidRDefault="00394471" w:rsidP="00FA0D37">
      <w:pPr>
        <w:pStyle w:val="PL"/>
      </w:pPr>
      <w:r w:rsidRPr="00FA0D37">
        <w:t xml:space="preserve">    scs-SpecificCarrierList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SCS-SpecificCarrier,</w:t>
      </w:r>
    </w:p>
    <w:p w14:paraId="0E21F64F" w14:textId="77777777" w:rsidR="00394471" w:rsidRPr="00FA0D37" w:rsidRDefault="00394471" w:rsidP="00FA0D37">
      <w:pPr>
        <w:pStyle w:val="PL"/>
        <w:rPr>
          <w:color w:val="808080"/>
        </w:rPr>
      </w:pPr>
      <w:r w:rsidRPr="00FA0D37">
        <w:lastRenderedPageBreak/>
        <w:t xml:space="preserve">    additionalSpectrumEmission          AdditionalSpectrumEmission                              </w:t>
      </w:r>
      <w:r w:rsidRPr="00FA0D37">
        <w:rPr>
          <w:color w:val="993366"/>
        </w:rPr>
        <w:t>OPTIONAL</w:t>
      </w:r>
      <w:r w:rsidRPr="00FA0D37">
        <w:t xml:space="preserve">,   </w:t>
      </w:r>
      <w:r w:rsidRPr="00FA0D37">
        <w:rPr>
          <w:color w:val="808080"/>
        </w:rPr>
        <w:t>-- Need S</w:t>
      </w:r>
    </w:p>
    <w:p w14:paraId="47F2E8B3" w14:textId="77777777" w:rsidR="00394471" w:rsidRPr="00FA0D37" w:rsidRDefault="00394471" w:rsidP="00FA0D37">
      <w:pPr>
        <w:pStyle w:val="PL"/>
        <w:rPr>
          <w:color w:val="808080"/>
        </w:rPr>
      </w:pPr>
      <w:r w:rsidRPr="00FA0D37">
        <w:t xml:space="preserve">    p-Max                               P-Max                                                   </w:t>
      </w:r>
      <w:r w:rsidRPr="00FA0D37">
        <w:rPr>
          <w:color w:val="993366"/>
        </w:rPr>
        <w:t>OPTIONAL</w:t>
      </w:r>
      <w:r w:rsidRPr="00FA0D37">
        <w:t xml:space="preserve">,   </w:t>
      </w:r>
      <w:r w:rsidRPr="00FA0D37">
        <w:rPr>
          <w:color w:val="808080"/>
        </w:rPr>
        <w:t>-- Need S</w:t>
      </w:r>
    </w:p>
    <w:p w14:paraId="4CD5F71D" w14:textId="77777777" w:rsidR="00394471" w:rsidRPr="00FA0D37" w:rsidRDefault="00394471" w:rsidP="00FA0D37">
      <w:pPr>
        <w:pStyle w:val="PL"/>
        <w:rPr>
          <w:color w:val="808080"/>
        </w:rPr>
      </w:pPr>
      <w:r w:rsidRPr="00FA0D37">
        <w:t xml:space="preserve">    frequencyShift7p5khz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FDD-TDD-OrSUL-Optional</w:t>
      </w:r>
    </w:p>
    <w:p w14:paraId="5DA85BE1" w14:textId="23DAAA6F" w:rsidR="005431A1" w:rsidRPr="00FA0D37" w:rsidRDefault="00394471" w:rsidP="00FA0D37">
      <w:pPr>
        <w:pStyle w:val="PL"/>
      </w:pPr>
      <w:r w:rsidRPr="00FA0D37">
        <w:t xml:space="preserve">    ...</w:t>
      </w:r>
      <w:r w:rsidR="005431A1" w:rsidRPr="00FA0D37">
        <w:t>,</w:t>
      </w:r>
    </w:p>
    <w:p w14:paraId="1ED9AEE4" w14:textId="44E4244B" w:rsidR="005431A1" w:rsidRPr="00FA0D37" w:rsidRDefault="005431A1" w:rsidP="00FA0D37">
      <w:pPr>
        <w:pStyle w:val="PL"/>
      </w:pPr>
      <w:r w:rsidRPr="00FA0D37">
        <w:t xml:space="preserve">    [[</w:t>
      </w:r>
    </w:p>
    <w:p w14:paraId="201726BD" w14:textId="00AC3D13" w:rsidR="005431A1" w:rsidRPr="00FA0D37" w:rsidRDefault="005431A1" w:rsidP="00FA0D37">
      <w:pPr>
        <w:pStyle w:val="PL"/>
        <w:rPr>
          <w:color w:val="808080"/>
        </w:rPr>
      </w:pPr>
      <w:r w:rsidRPr="00FA0D37">
        <w:t xml:space="preserve">    additionalSpectrumEmission-v1760    AdditionalSpectrumEmission-v1760                        </w:t>
      </w:r>
      <w:r w:rsidRPr="00FA0D37">
        <w:rPr>
          <w:color w:val="993366"/>
        </w:rPr>
        <w:t>OPTIONAL</w:t>
      </w:r>
      <w:r w:rsidRPr="00FA0D37">
        <w:t xml:space="preserve">    </w:t>
      </w:r>
      <w:r w:rsidRPr="00FA0D37">
        <w:rPr>
          <w:color w:val="808080"/>
        </w:rPr>
        <w:t>-- Need S</w:t>
      </w:r>
    </w:p>
    <w:p w14:paraId="4775F671" w14:textId="4ADA8478" w:rsidR="00394471" w:rsidRPr="00FA0D37" w:rsidRDefault="005431A1" w:rsidP="00FA0D37">
      <w:pPr>
        <w:pStyle w:val="PL"/>
      </w:pPr>
      <w:r w:rsidRPr="00FA0D37">
        <w:t xml:space="preserve">    ]]</w:t>
      </w:r>
    </w:p>
    <w:p w14:paraId="137C1DE7" w14:textId="77777777" w:rsidR="00394471" w:rsidRPr="00FA0D37" w:rsidRDefault="00394471" w:rsidP="00FA0D37">
      <w:pPr>
        <w:pStyle w:val="PL"/>
      </w:pPr>
      <w:r w:rsidRPr="00FA0D37">
        <w:t>}</w:t>
      </w:r>
    </w:p>
    <w:p w14:paraId="1B93DA06" w14:textId="77777777" w:rsidR="00394471" w:rsidRPr="00FA0D37" w:rsidRDefault="00394471" w:rsidP="00FA0D37">
      <w:pPr>
        <w:pStyle w:val="PL"/>
      </w:pPr>
    </w:p>
    <w:p w14:paraId="121FC703" w14:textId="77777777" w:rsidR="00394471" w:rsidRPr="00FA0D37" w:rsidRDefault="00394471" w:rsidP="00FA0D37">
      <w:pPr>
        <w:pStyle w:val="PL"/>
        <w:rPr>
          <w:color w:val="808080"/>
        </w:rPr>
      </w:pPr>
      <w:r w:rsidRPr="00FA0D37">
        <w:rPr>
          <w:color w:val="808080"/>
        </w:rPr>
        <w:t>-- TAG-FREQUENCYINFOUL-STOP</w:t>
      </w:r>
    </w:p>
    <w:p w14:paraId="682285B8" w14:textId="77777777" w:rsidR="00394471" w:rsidRPr="00FA0D37" w:rsidRDefault="00394471" w:rsidP="00FA0D37">
      <w:pPr>
        <w:pStyle w:val="PL"/>
        <w:rPr>
          <w:color w:val="808080"/>
        </w:rPr>
      </w:pPr>
      <w:r w:rsidRPr="00FA0D37">
        <w:rPr>
          <w:color w:val="808080"/>
        </w:rPr>
        <w:t>-- ASN1STOP</w:t>
      </w:r>
    </w:p>
    <w:p w14:paraId="0F70D69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FA0D37" w:rsidRDefault="00394471" w:rsidP="00964CC4">
            <w:pPr>
              <w:pStyle w:val="TAH"/>
              <w:rPr>
                <w:szCs w:val="22"/>
                <w:lang w:eastAsia="sv-SE"/>
              </w:rPr>
            </w:pPr>
            <w:r w:rsidRPr="00FA0D37">
              <w:rPr>
                <w:i/>
                <w:szCs w:val="22"/>
                <w:lang w:eastAsia="sv-SE"/>
              </w:rPr>
              <w:t xml:space="preserve">FrequencyInfoUL </w:t>
            </w:r>
            <w:r w:rsidRPr="00FA0D37">
              <w:rPr>
                <w:szCs w:val="22"/>
                <w:lang w:eastAsia="sv-SE"/>
              </w:rPr>
              <w:t>field descriptions</w:t>
            </w:r>
          </w:p>
        </w:tc>
      </w:tr>
      <w:tr w:rsidR="005C7FF4" w:rsidRPr="00FA0D37"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FA0D37" w:rsidRDefault="00394471" w:rsidP="00964CC4">
            <w:pPr>
              <w:pStyle w:val="TAL"/>
              <w:rPr>
                <w:szCs w:val="22"/>
                <w:lang w:eastAsia="sv-SE"/>
              </w:rPr>
            </w:pPr>
            <w:r w:rsidRPr="00FA0D37">
              <w:rPr>
                <w:b/>
                <w:i/>
                <w:szCs w:val="22"/>
                <w:lang w:eastAsia="sv-SE"/>
              </w:rPr>
              <w:t>absoluteFrequencyPointA</w:t>
            </w:r>
          </w:p>
          <w:p w14:paraId="25AAC1F3" w14:textId="77777777" w:rsidR="00394471" w:rsidRPr="00FA0D37" w:rsidRDefault="00394471" w:rsidP="00964CC4">
            <w:pPr>
              <w:pStyle w:val="TAL"/>
              <w:rPr>
                <w:szCs w:val="22"/>
                <w:lang w:eastAsia="sv-SE"/>
              </w:rPr>
            </w:pPr>
            <w:r w:rsidRPr="00FA0D37">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FA0D37">
              <w:rPr>
                <w:i/>
                <w:lang w:eastAsia="sv-SE"/>
              </w:rPr>
              <w:t>scs-SpecificCarrierList</w:t>
            </w:r>
            <w:r w:rsidRPr="00FA0D37">
              <w:rPr>
                <w:szCs w:val="22"/>
                <w:lang w:eastAsia="sv-SE"/>
              </w:rPr>
              <w:t xml:space="preserve"> (see TS 38.211 [16], clause 4.4.4.2).</w:t>
            </w:r>
          </w:p>
        </w:tc>
      </w:tr>
      <w:tr w:rsidR="005C7FF4" w:rsidRPr="00FA0D37"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FA0D37" w:rsidRDefault="00394471" w:rsidP="00964CC4">
            <w:pPr>
              <w:pStyle w:val="TAL"/>
              <w:rPr>
                <w:szCs w:val="22"/>
                <w:lang w:eastAsia="sv-SE"/>
              </w:rPr>
            </w:pPr>
            <w:r w:rsidRPr="00FA0D37">
              <w:rPr>
                <w:b/>
                <w:i/>
                <w:szCs w:val="22"/>
                <w:lang w:eastAsia="sv-SE"/>
              </w:rPr>
              <w:t>additionalSpectrumEmission</w:t>
            </w:r>
          </w:p>
          <w:p w14:paraId="262DD79A" w14:textId="04571A3B" w:rsidR="00394471" w:rsidRPr="00FA0D37" w:rsidRDefault="00394471" w:rsidP="00964CC4">
            <w:pPr>
              <w:pStyle w:val="TAL"/>
              <w:rPr>
                <w:szCs w:val="22"/>
                <w:lang w:eastAsia="sv-SE"/>
              </w:rPr>
            </w:pPr>
            <w:r w:rsidRPr="00FA0D37">
              <w:rPr>
                <w:szCs w:val="22"/>
                <w:lang w:eastAsia="sv-SE"/>
              </w:rPr>
              <w:t xml:space="preserve">The additional spectrum emission requirements to be applied by the UE on this uplink. If </w:t>
            </w:r>
            <w:r w:rsidR="00BD4216" w:rsidRPr="00FA0D37">
              <w:rPr>
                <w:szCs w:val="22"/>
                <w:lang w:eastAsia="sv-SE"/>
              </w:rPr>
              <w:t>both</w:t>
            </w:r>
            <w:r w:rsidRPr="00FA0D37">
              <w:rPr>
                <w:szCs w:val="22"/>
                <w:lang w:eastAsia="sv-SE"/>
              </w:rPr>
              <w:t xml:space="preserve"> </w:t>
            </w:r>
            <w:r w:rsidR="00322C8D" w:rsidRPr="00FA0D37">
              <w:rPr>
                <w:i/>
                <w:iCs/>
                <w:szCs w:val="22"/>
                <w:lang w:eastAsia="sv-SE"/>
              </w:rPr>
              <w:t>additionalSpectrumEmission</w:t>
            </w:r>
            <w:r w:rsidR="00322C8D" w:rsidRPr="00FA0D37">
              <w:rPr>
                <w:szCs w:val="22"/>
                <w:lang w:eastAsia="sv-SE"/>
              </w:rPr>
              <w:t xml:space="preserve"> (without suffix) and </w:t>
            </w:r>
            <w:r w:rsidR="00322C8D" w:rsidRPr="00FA0D37">
              <w:rPr>
                <w:i/>
                <w:iCs/>
                <w:szCs w:val="22"/>
                <w:lang w:eastAsia="sv-SE"/>
              </w:rPr>
              <w:t>additionalSpectrumEmission-v1760</w:t>
            </w:r>
            <w:r w:rsidR="00BD4216" w:rsidRPr="00FA0D37">
              <w:rPr>
                <w:szCs w:val="22"/>
                <w:lang w:eastAsia="sv-SE"/>
              </w:rPr>
              <w:t xml:space="preserve"> are</w:t>
            </w:r>
            <w:r w:rsidRPr="00FA0D37">
              <w:rPr>
                <w:szCs w:val="22"/>
                <w:lang w:eastAsia="sv-SE"/>
              </w:rPr>
              <w:t xml:space="preserve"> absent, the UE uses value 0 for the </w:t>
            </w:r>
            <w:r w:rsidRPr="00FA0D37">
              <w:rPr>
                <w:i/>
                <w:szCs w:val="22"/>
                <w:lang w:eastAsia="sv-SE"/>
              </w:rPr>
              <w:t>additionalSpectrumEmission</w:t>
            </w:r>
            <w:r w:rsidRPr="00FA0D37">
              <w:rPr>
                <w:szCs w:val="22"/>
                <w:lang w:eastAsia="sv-SE"/>
              </w:rPr>
              <w:t xml:space="preserve"> (see </w:t>
            </w:r>
            <w:r w:rsidRPr="00FA0D37">
              <w:rPr>
                <w:lang w:eastAsia="sv-SE"/>
              </w:rPr>
              <w:t xml:space="preserve">TS 38.101-1 [15], </w:t>
            </w:r>
            <w:r w:rsidRPr="00FA0D37">
              <w:rPr>
                <w:szCs w:val="22"/>
                <w:lang w:eastAsia="sv-SE"/>
              </w:rPr>
              <w:t>table</w:t>
            </w:r>
            <w:r w:rsidR="008779EC" w:rsidRPr="00FA0D37">
              <w:rPr>
                <w:szCs w:val="22"/>
                <w:lang w:eastAsia="sv-SE"/>
              </w:rPr>
              <w:t>s</w:t>
            </w:r>
            <w:r w:rsidRPr="00FA0D37">
              <w:rPr>
                <w:szCs w:val="22"/>
                <w:lang w:eastAsia="sv-SE"/>
              </w:rPr>
              <w:t xml:space="preserve"> 6.2.3.1-1A, </w:t>
            </w:r>
            <w:r w:rsidR="008779EC" w:rsidRPr="00FA0D37">
              <w:t>6.2A.3.1.1-2 and 6.2A.3.1.2-2</w:t>
            </w:r>
            <w:r w:rsidR="008779EC" w:rsidRPr="00FA0D37">
              <w:rPr>
                <w:szCs w:val="22"/>
                <w:lang w:eastAsia="sv-SE"/>
              </w:rPr>
              <w:t>,</w:t>
            </w:r>
            <w:r w:rsidRPr="00FA0D37">
              <w:rPr>
                <w:szCs w:val="22"/>
                <w:lang w:eastAsia="sv-SE"/>
              </w:rPr>
              <w:t xml:space="preserve"> TS 38.101-2 [39], table</w:t>
            </w:r>
            <w:r w:rsidR="008779EC" w:rsidRPr="00FA0D37">
              <w:rPr>
                <w:szCs w:val="22"/>
                <w:lang w:eastAsia="sv-SE"/>
              </w:rPr>
              <w:t>s</w:t>
            </w:r>
            <w:r w:rsidRPr="00FA0D37">
              <w:rPr>
                <w:szCs w:val="22"/>
                <w:lang w:eastAsia="sv-SE"/>
              </w:rPr>
              <w:t xml:space="preserve"> 6.2.3.1-2</w:t>
            </w:r>
            <w:r w:rsidR="008779EC" w:rsidRPr="00FA0D37">
              <w:rPr>
                <w:szCs w:val="22"/>
                <w:lang w:eastAsia="sv-SE"/>
              </w:rPr>
              <w:t xml:space="preserve"> and </w:t>
            </w:r>
            <w:r w:rsidR="008779EC" w:rsidRPr="00FA0D37">
              <w:rPr>
                <w:szCs w:val="18"/>
              </w:rPr>
              <w:t>6.2A</w:t>
            </w:r>
            <w:r w:rsidR="008779EC" w:rsidRPr="00FA0D37">
              <w:rPr>
                <w:szCs w:val="22"/>
                <w:lang w:eastAsia="sv-SE"/>
              </w:rPr>
              <w:t>.3.1-2</w:t>
            </w:r>
            <w:r w:rsidR="00862D3D" w:rsidRPr="00FA0D37">
              <w:rPr>
                <w:szCs w:val="22"/>
                <w:lang w:eastAsia="sv-SE"/>
              </w:rPr>
              <w:t xml:space="preserve">, and TS 38.101-5 [75], table </w:t>
            </w:r>
            <w:r w:rsidR="00862D3D" w:rsidRPr="00FA0D37">
              <w:rPr>
                <w:szCs w:val="18"/>
              </w:rPr>
              <w:t>6.2</w:t>
            </w:r>
            <w:r w:rsidR="00862D3D" w:rsidRPr="00FA0D37">
              <w:rPr>
                <w:szCs w:val="22"/>
                <w:lang w:eastAsia="sv-SE"/>
              </w:rPr>
              <w:t>.3.1-1A</w:t>
            </w:r>
            <w:r w:rsidRPr="00FA0D37">
              <w:rPr>
                <w:szCs w:val="22"/>
                <w:lang w:eastAsia="sv-SE"/>
              </w:rPr>
              <w:t>).</w:t>
            </w:r>
            <w:r w:rsidR="00136356" w:rsidRPr="00FA0D37">
              <w:rPr>
                <w:szCs w:val="22"/>
                <w:lang w:eastAsia="sv-SE"/>
              </w:rPr>
              <w:t xml:space="preserve"> </w:t>
            </w:r>
            <w:r w:rsidR="00136356" w:rsidRPr="00FA0D37">
              <w:rPr>
                <w:szCs w:val="18"/>
              </w:rPr>
              <w:t xml:space="preserve">Network configures the same value in </w:t>
            </w:r>
            <w:r w:rsidR="00136356" w:rsidRPr="00FA0D37">
              <w:rPr>
                <w:i/>
                <w:iCs/>
                <w:szCs w:val="18"/>
              </w:rPr>
              <w:t xml:space="preserve">additionalSpectrumEmission </w:t>
            </w:r>
            <w:r w:rsidR="00136356" w:rsidRPr="00FA0D37">
              <w:rPr>
                <w:szCs w:val="18"/>
              </w:rPr>
              <w:t>for all uplink carrier(s) of the same band with UL configured</w:t>
            </w:r>
            <w:r w:rsidR="00BD4216" w:rsidRPr="00FA0D37">
              <w:rPr>
                <w:szCs w:val="18"/>
              </w:rPr>
              <w:t xml:space="preserve"> and if signalled, the same vaue in </w:t>
            </w:r>
            <w:r w:rsidR="00BD4216" w:rsidRPr="00FA0D37">
              <w:rPr>
                <w:i/>
                <w:iCs/>
                <w:szCs w:val="18"/>
              </w:rPr>
              <w:t xml:space="preserve">additionalSpectrumEmission-v1760 </w:t>
            </w:r>
            <w:r w:rsidR="00BD4216" w:rsidRPr="00FA0D37">
              <w:rPr>
                <w:szCs w:val="18"/>
              </w:rPr>
              <w:t>for all uplink carrier(s) of the same band with UL configured</w:t>
            </w:r>
            <w:r w:rsidR="000133FD" w:rsidRPr="00FA0D37">
              <w:rPr>
                <w:szCs w:val="18"/>
              </w:rPr>
              <w:t xml:space="preserve">, except for </w:t>
            </w:r>
            <w:r w:rsidR="000133FD" w:rsidRPr="00FA0D37">
              <w:rPr>
                <w:i/>
                <w:iCs/>
                <w:szCs w:val="18"/>
              </w:rPr>
              <w:t>additionalSpectrumEmission</w:t>
            </w:r>
            <w:r w:rsidR="000133FD" w:rsidRPr="00FA0D37">
              <w:rPr>
                <w:szCs w:val="18"/>
              </w:rPr>
              <w:t xml:space="preserve"> value corresponding to NS_55</w:t>
            </w:r>
            <w:r w:rsidR="00937993" w:rsidRPr="00FA0D37">
              <w:rPr>
                <w:szCs w:val="18"/>
              </w:rPr>
              <w:t>/</w:t>
            </w:r>
            <w:r w:rsidR="00C56F47" w:rsidRPr="00FA0D37">
              <w:rPr>
                <w:szCs w:val="18"/>
              </w:rPr>
              <w:t>NS_57</w:t>
            </w:r>
            <w:r w:rsidR="000133FD" w:rsidRPr="00FA0D37">
              <w:rPr>
                <w:szCs w:val="18"/>
              </w:rPr>
              <w:t>. If NS_55</w:t>
            </w:r>
            <w:r w:rsidR="00937993" w:rsidRPr="00FA0D37">
              <w:rPr>
                <w:szCs w:val="18"/>
              </w:rPr>
              <w:t>/</w:t>
            </w:r>
            <w:r w:rsidR="00C56F47" w:rsidRPr="00FA0D37">
              <w:rPr>
                <w:szCs w:val="18"/>
              </w:rPr>
              <w:t xml:space="preserve">NS_57 </w:t>
            </w:r>
            <w:r w:rsidR="000133FD" w:rsidRPr="00FA0D37">
              <w:rPr>
                <w:szCs w:val="18"/>
              </w:rPr>
              <w:t>(see TS 38.101-1 [15], table 6.2.3.1-1) is applicable for at least one uplink carrier, the network may configure either NS_55</w:t>
            </w:r>
            <w:r w:rsidR="00937993" w:rsidRPr="00FA0D37">
              <w:rPr>
                <w:szCs w:val="18"/>
              </w:rPr>
              <w:t>/</w:t>
            </w:r>
            <w:r w:rsidR="00C56F47" w:rsidRPr="00FA0D37">
              <w:rPr>
                <w:szCs w:val="18"/>
              </w:rPr>
              <w:t xml:space="preserve">NS_57 </w:t>
            </w:r>
            <w:r w:rsidR="000133FD" w:rsidRPr="00FA0D37">
              <w:rPr>
                <w:szCs w:val="18"/>
              </w:rPr>
              <w:t>or NS_01 for these uplink carriers, and NS_01 for the remaining uplink carrier(s) of band n77</w:t>
            </w:r>
            <w:r w:rsidR="00136356" w:rsidRPr="00FA0D37">
              <w:rPr>
                <w:szCs w:val="18"/>
              </w:rPr>
              <w:t xml:space="preserve">. The </w:t>
            </w:r>
            <w:r w:rsidR="00136356" w:rsidRPr="00FA0D37">
              <w:rPr>
                <w:i/>
                <w:iCs/>
                <w:szCs w:val="18"/>
              </w:rPr>
              <w:t xml:space="preserve">additionalSpectrumEmission </w:t>
            </w:r>
            <w:r w:rsidR="00136356" w:rsidRPr="00FA0D37">
              <w:rPr>
                <w:szCs w:val="18"/>
              </w:rPr>
              <w:t>is applicable for all uplink carriers of the same band with UL configured.</w:t>
            </w:r>
          </w:p>
        </w:tc>
      </w:tr>
      <w:tr w:rsidR="005C7FF4" w:rsidRPr="00FA0D37"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FA0D37" w:rsidRDefault="00394471" w:rsidP="00964CC4">
            <w:pPr>
              <w:pStyle w:val="TAL"/>
              <w:rPr>
                <w:szCs w:val="22"/>
                <w:lang w:eastAsia="sv-SE"/>
              </w:rPr>
            </w:pPr>
            <w:r w:rsidRPr="00FA0D37">
              <w:rPr>
                <w:b/>
                <w:i/>
                <w:szCs w:val="22"/>
                <w:lang w:eastAsia="sv-SE"/>
              </w:rPr>
              <w:t>frequencyBandList</w:t>
            </w:r>
          </w:p>
          <w:p w14:paraId="107D4F94" w14:textId="77777777" w:rsidR="00394471" w:rsidRPr="00FA0D37" w:rsidRDefault="00394471" w:rsidP="00964CC4">
            <w:pPr>
              <w:pStyle w:val="TAL"/>
              <w:rPr>
                <w:szCs w:val="22"/>
                <w:lang w:eastAsia="sv-SE"/>
              </w:rPr>
            </w:pPr>
            <w:r w:rsidRPr="00FA0D37">
              <w:rPr>
                <w:szCs w:val="22"/>
                <w:lang w:eastAsia="sv-SE"/>
              </w:rPr>
              <w:t>List containing only one frequency band to which this carrier(s) belongs. Multiple values are not supported.</w:t>
            </w:r>
          </w:p>
        </w:tc>
      </w:tr>
      <w:tr w:rsidR="005C7FF4" w:rsidRPr="00FA0D37"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FA0D37" w:rsidRDefault="00394471" w:rsidP="00964CC4">
            <w:pPr>
              <w:pStyle w:val="TAL"/>
              <w:rPr>
                <w:szCs w:val="22"/>
                <w:lang w:eastAsia="sv-SE"/>
              </w:rPr>
            </w:pPr>
            <w:r w:rsidRPr="00FA0D37">
              <w:rPr>
                <w:b/>
                <w:i/>
                <w:szCs w:val="22"/>
                <w:lang w:eastAsia="sv-SE"/>
              </w:rPr>
              <w:t>frequencyShift7p5khz</w:t>
            </w:r>
          </w:p>
          <w:p w14:paraId="494B81F8" w14:textId="77777777" w:rsidR="00394471" w:rsidRPr="00FA0D37" w:rsidRDefault="00394471" w:rsidP="00964CC4">
            <w:pPr>
              <w:pStyle w:val="TAL"/>
              <w:rPr>
                <w:szCs w:val="22"/>
                <w:lang w:eastAsia="sv-SE"/>
              </w:rPr>
            </w:pPr>
            <w:r w:rsidRPr="00FA0D37">
              <w:rPr>
                <w:szCs w:val="22"/>
                <w:lang w:eastAsia="sv-SE"/>
              </w:rPr>
              <w:t>Enable the NR UL transmission with a 7.5 kHz shift to the LTE raster. If the field is absent, the frequency shift is disabled.</w:t>
            </w:r>
          </w:p>
        </w:tc>
      </w:tr>
      <w:tr w:rsidR="005C7FF4" w:rsidRPr="00FA0D37"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FA0D37" w:rsidRDefault="00394471" w:rsidP="00964CC4">
            <w:pPr>
              <w:pStyle w:val="TAL"/>
              <w:rPr>
                <w:szCs w:val="22"/>
                <w:lang w:eastAsia="sv-SE"/>
              </w:rPr>
            </w:pPr>
            <w:r w:rsidRPr="00FA0D37">
              <w:rPr>
                <w:b/>
                <w:i/>
                <w:szCs w:val="22"/>
                <w:lang w:eastAsia="sv-SE"/>
              </w:rPr>
              <w:t>p-Max</w:t>
            </w:r>
          </w:p>
          <w:p w14:paraId="1519E297" w14:textId="4F2318BA" w:rsidR="00394471" w:rsidRPr="00FA0D37" w:rsidRDefault="00394471" w:rsidP="00964CC4">
            <w:pPr>
              <w:pStyle w:val="TAL"/>
              <w:rPr>
                <w:szCs w:val="22"/>
                <w:lang w:eastAsia="sv-SE"/>
              </w:rPr>
            </w:pPr>
            <w:r w:rsidRPr="00FA0D37">
              <w:rPr>
                <w:szCs w:val="22"/>
                <w:lang w:eastAsia="sv-SE"/>
              </w:rPr>
              <w:t xml:space="preserve">Maximum transmit power allowed in this serving cell. The maximum transmit power that the UE may use on this serving cell may be additionally limited by </w:t>
            </w:r>
            <w:r w:rsidRPr="00FA0D37">
              <w:rPr>
                <w:i/>
                <w:szCs w:val="22"/>
                <w:lang w:eastAsia="sv-SE"/>
              </w:rPr>
              <w:t>p-NR-FR1</w:t>
            </w:r>
            <w:r w:rsidRPr="00FA0D37">
              <w:rPr>
                <w:szCs w:val="22"/>
                <w:lang w:eastAsia="sv-SE"/>
              </w:rPr>
              <w:t xml:space="preserve"> (configured for the cell group) and by </w:t>
            </w:r>
            <w:r w:rsidRPr="00FA0D37">
              <w:rPr>
                <w:i/>
                <w:szCs w:val="22"/>
                <w:lang w:eastAsia="sv-SE"/>
              </w:rPr>
              <w:t>p-UE-FR1</w:t>
            </w:r>
            <w:r w:rsidRPr="00FA0D37">
              <w:rPr>
                <w:szCs w:val="22"/>
                <w:lang w:eastAsia="sv-SE"/>
              </w:rPr>
              <w:t xml:space="preserve"> (configured total for all serving cells operating on FR1). If absent, the UE applies the maximum power according to TS 38.101-1 [15]</w:t>
            </w:r>
            <w:r w:rsidR="00D12F48" w:rsidRPr="00FA0D37">
              <w:rPr>
                <w:szCs w:val="22"/>
                <w:lang w:eastAsia="sv-SE"/>
              </w:rPr>
              <w:t xml:space="preserve"> </w:t>
            </w:r>
            <w:r w:rsidR="00D12F48" w:rsidRPr="00FA0D37">
              <w:rPr>
                <w:lang w:eastAsia="sv-SE"/>
              </w:rPr>
              <w:t>in case of an FR1 cell</w:t>
            </w:r>
            <w:r w:rsidR="00862D3D" w:rsidRPr="00FA0D37">
              <w:rPr>
                <w:lang w:eastAsia="sv-SE"/>
              </w:rPr>
              <w:t>,</w:t>
            </w:r>
            <w:r w:rsidR="00D12F48" w:rsidRPr="00FA0D37">
              <w:rPr>
                <w:lang w:eastAsia="sv-SE"/>
              </w:rPr>
              <w:t xml:space="preserve"> TS 38.101-2 [39] in case of an FR2 cell</w:t>
            </w:r>
            <w:r w:rsidR="00862D3D" w:rsidRPr="00FA0D37">
              <w:rPr>
                <w:lang w:eastAsia="sv-SE"/>
              </w:rPr>
              <w:t xml:space="preserve"> or TS 38.101-5 [75] in case of an NTN cell</w:t>
            </w:r>
            <w:r w:rsidRPr="00FA0D37">
              <w:rPr>
                <w:szCs w:val="22"/>
                <w:lang w:eastAsia="sv-SE"/>
              </w:rPr>
              <w:t xml:space="preserve">. </w:t>
            </w:r>
            <w:r w:rsidR="00D12F48" w:rsidRPr="00FA0D37">
              <w:rPr>
                <w:szCs w:val="22"/>
                <w:lang w:eastAsia="sv-SE"/>
              </w:rPr>
              <w:t xml:space="preserve">In this release of the specification, if p-Max is present on a carrier frequency in FR2, the UE shall ignore the field and applies the maximum power according to TS 38.101-2 [39]. </w:t>
            </w:r>
            <w:r w:rsidRPr="00FA0D37">
              <w:rPr>
                <w:szCs w:val="22"/>
                <w:lang w:eastAsia="sv-SE"/>
              </w:rPr>
              <w:t>Value in dBm.</w:t>
            </w:r>
            <w:r w:rsidR="00D027C1" w:rsidRPr="00FA0D37">
              <w:rPr>
                <w:szCs w:val="22"/>
                <w:lang w:eastAsia="sv-SE"/>
              </w:rPr>
              <w:t xml:space="preserve"> </w:t>
            </w:r>
            <w:r w:rsidR="00D027C1" w:rsidRPr="00FA0D37">
              <w:rPr>
                <w:szCs w:val="22"/>
                <w:lang w:eastAsia="en-GB"/>
              </w:rPr>
              <w:t>This field is ignored by IAB-MT, the IAB-MT applies output power and emissions requirements, as specified in TS 38.174 [63]</w:t>
            </w:r>
            <w:r w:rsidR="00D027C1" w:rsidRPr="00FA0D37">
              <w:rPr>
                <w:szCs w:val="22"/>
                <w:lang w:eastAsia="sv-SE"/>
              </w:rPr>
              <w:t>.</w:t>
            </w:r>
          </w:p>
        </w:tc>
      </w:tr>
      <w:tr w:rsidR="00394471" w:rsidRPr="00FA0D37"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FA0D37" w:rsidRDefault="00394471" w:rsidP="00964CC4">
            <w:pPr>
              <w:pStyle w:val="TAL"/>
              <w:rPr>
                <w:szCs w:val="22"/>
                <w:lang w:eastAsia="sv-SE"/>
              </w:rPr>
            </w:pPr>
            <w:r w:rsidRPr="00FA0D37">
              <w:rPr>
                <w:b/>
                <w:i/>
                <w:szCs w:val="22"/>
                <w:lang w:eastAsia="sv-SE"/>
              </w:rPr>
              <w:t>scs-SpecificCarrierList</w:t>
            </w:r>
          </w:p>
          <w:p w14:paraId="0D291635" w14:textId="77777777" w:rsidR="00394471" w:rsidRPr="00FA0D37" w:rsidRDefault="00394471" w:rsidP="00964CC4">
            <w:pPr>
              <w:pStyle w:val="TAL"/>
              <w:rPr>
                <w:szCs w:val="22"/>
                <w:lang w:eastAsia="sv-SE"/>
              </w:rPr>
            </w:pPr>
            <w:r w:rsidRPr="00FA0D37">
              <w:rPr>
                <w:szCs w:val="22"/>
                <w:lang w:eastAsia="sv-SE"/>
              </w:rPr>
              <w:t xml:space="preserve">A set of carriers for different subcarrier spacings (numerologies). Defined in relation to Point A. The network configures a </w:t>
            </w:r>
            <w:r w:rsidRPr="00FA0D37">
              <w:rPr>
                <w:i/>
                <w:lang w:eastAsia="sv-SE"/>
              </w:rPr>
              <w:t>scs-SpecificCarrier</w:t>
            </w:r>
            <w:r w:rsidRPr="00FA0D37">
              <w:rPr>
                <w:szCs w:val="22"/>
                <w:lang w:eastAsia="sv-SE"/>
              </w:rPr>
              <w:t xml:space="preserve"> at least for each numerology (SCS) that is used e.g. in a BWP (see TS 38.211 [16], clause 5.3).</w:t>
            </w:r>
          </w:p>
        </w:tc>
      </w:tr>
    </w:tbl>
    <w:p w14:paraId="149247D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FA0D37" w:rsidRDefault="00394471" w:rsidP="00964CC4">
            <w:pPr>
              <w:pStyle w:val="TAH"/>
              <w:rPr>
                <w:lang w:eastAsia="sv-SE"/>
              </w:rPr>
            </w:pPr>
            <w:r w:rsidRPr="00FA0D37">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FA0D37" w:rsidRDefault="00394471" w:rsidP="00964CC4">
            <w:pPr>
              <w:pStyle w:val="TAH"/>
              <w:rPr>
                <w:lang w:eastAsia="sv-SE"/>
              </w:rPr>
            </w:pPr>
            <w:r w:rsidRPr="00FA0D37">
              <w:rPr>
                <w:lang w:eastAsia="sv-SE"/>
              </w:rPr>
              <w:t>Explanation</w:t>
            </w:r>
          </w:p>
        </w:tc>
      </w:tr>
      <w:tr w:rsidR="005C7FF4" w:rsidRPr="00FA0D37"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FA0D37" w:rsidRDefault="00394471" w:rsidP="00964CC4">
            <w:pPr>
              <w:pStyle w:val="TAL"/>
              <w:rPr>
                <w:i/>
                <w:lang w:eastAsia="sv-SE"/>
              </w:rPr>
            </w:pPr>
            <w:r w:rsidRPr="00FA0D37">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FA0D37" w:rsidRDefault="00394471" w:rsidP="00964CC4">
            <w:pPr>
              <w:pStyle w:val="TAL"/>
              <w:rPr>
                <w:lang w:eastAsia="sv-SE"/>
              </w:rPr>
            </w:pPr>
            <w:r w:rsidRPr="00FA0D37">
              <w:rPr>
                <w:lang w:eastAsia="sv-SE"/>
              </w:rPr>
              <w:t xml:space="preserve">The field is mandatory present if this </w:t>
            </w:r>
            <w:r w:rsidRPr="00FA0D37">
              <w:rPr>
                <w:i/>
                <w:lang w:eastAsia="sv-SE"/>
              </w:rPr>
              <w:t>FrequencyInfoUL</w:t>
            </w:r>
            <w:r w:rsidRPr="00FA0D37">
              <w:rPr>
                <w:lang w:eastAsia="sv-SE"/>
              </w:rPr>
              <w:t xml:space="preserve"> is for the paired UL for a DL (defined in a </w:t>
            </w:r>
            <w:r w:rsidRPr="00FA0D37">
              <w:rPr>
                <w:i/>
                <w:lang w:eastAsia="sv-SE"/>
              </w:rPr>
              <w:t>FrequencyInfoDL</w:t>
            </w:r>
            <w:r w:rsidRPr="00FA0D37">
              <w:rPr>
                <w:lang w:eastAsia="sv-SE"/>
              </w:rPr>
              <w:t xml:space="preserve">) or if this </w:t>
            </w:r>
            <w:r w:rsidRPr="00FA0D37">
              <w:rPr>
                <w:i/>
                <w:lang w:eastAsia="sv-SE"/>
              </w:rPr>
              <w:t>FrequencyInfoUL</w:t>
            </w:r>
            <w:r w:rsidRPr="00FA0D37">
              <w:rPr>
                <w:lang w:eastAsia="sv-SE"/>
              </w:rPr>
              <w:t xml:space="preserve"> is for a supplementary uplink (SUL). It is absent, Need R, otherwise (if this </w:t>
            </w:r>
            <w:r w:rsidRPr="00FA0D37">
              <w:rPr>
                <w:i/>
                <w:lang w:eastAsia="sv-SE"/>
              </w:rPr>
              <w:t>FrequencyInfoUL</w:t>
            </w:r>
            <w:r w:rsidRPr="00FA0D37">
              <w:rPr>
                <w:lang w:eastAsia="sv-SE"/>
              </w:rPr>
              <w:t xml:space="preserve"> is for an unpaired UL (TDD).</w:t>
            </w:r>
          </w:p>
        </w:tc>
      </w:tr>
      <w:tr w:rsidR="00394471" w:rsidRPr="00FA0D37"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FA0D37" w:rsidRDefault="00394471" w:rsidP="00964CC4">
            <w:pPr>
              <w:pStyle w:val="TAL"/>
              <w:rPr>
                <w:i/>
                <w:lang w:eastAsia="sv-SE"/>
              </w:rPr>
            </w:pPr>
            <w:r w:rsidRPr="00FA0D37">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FA0D37" w:rsidRDefault="00394471" w:rsidP="00964CC4">
            <w:pPr>
              <w:pStyle w:val="TAL"/>
              <w:rPr>
                <w:lang w:eastAsia="sv-SE"/>
              </w:rPr>
            </w:pPr>
            <w:r w:rsidRPr="00FA0D37">
              <w:rPr>
                <w:lang w:eastAsia="sv-SE"/>
              </w:rPr>
              <w:t xml:space="preserve">The field is optionally present, Need R, if this </w:t>
            </w:r>
            <w:r w:rsidRPr="00FA0D37">
              <w:rPr>
                <w:i/>
                <w:lang w:eastAsia="sv-SE"/>
              </w:rPr>
              <w:t>FrequencyInfoUL</w:t>
            </w:r>
            <w:r w:rsidRPr="00FA0D37">
              <w:rPr>
                <w:lang w:eastAsia="sv-SE"/>
              </w:rPr>
              <w:t xml:space="preserve"> is for the paired UL for a DL (defined in a </w:t>
            </w:r>
            <w:r w:rsidRPr="00FA0D37">
              <w:rPr>
                <w:i/>
                <w:lang w:eastAsia="sv-SE"/>
              </w:rPr>
              <w:t>FrequencyInfoDL</w:t>
            </w:r>
            <w:r w:rsidRPr="00FA0D37">
              <w:rPr>
                <w:lang w:eastAsia="sv-SE"/>
              </w:rPr>
              <w:t xml:space="preserve">), or if this </w:t>
            </w:r>
            <w:r w:rsidRPr="00FA0D37">
              <w:rPr>
                <w:i/>
                <w:lang w:eastAsia="sv-SE"/>
              </w:rPr>
              <w:t>FrequencyInfoUL</w:t>
            </w:r>
            <w:r w:rsidRPr="00FA0D37">
              <w:rPr>
                <w:lang w:eastAsia="sv-SE"/>
              </w:rPr>
              <w:t xml:space="preserve"> is for an unpaired UL (TDD) in certain bands (as defined in clause 5.4.2.1 of TS 38.101-1 and in clause 5.4.2.1 of TS 38.104 [12]), or if this </w:t>
            </w:r>
            <w:r w:rsidRPr="00FA0D37">
              <w:rPr>
                <w:i/>
                <w:lang w:eastAsia="sv-SE"/>
              </w:rPr>
              <w:t>FrequencyInfoUL</w:t>
            </w:r>
            <w:r w:rsidRPr="00FA0D37">
              <w:rPr>
                <w:lang w:eastAsia="sv-SE"/>
              </w:rPr>
              <w:t xml:space="preserve"> is for a supplementary uplink (SUL). It is absent, Need R, otherwise.</w:t>
            </w:r>
          </w:p>
        </w:tc>
      </w:tr>
    </w:tbl>
    <w:p w14:paraId="3F99E9A6" w14:textId="77777777" w:rsidR="00394471" w:rsidRPr="00FA0D37" w:rsidRDefault="00394471" w:rsidP="00394471"/>
    <w:p w14:paraId="0EA56810" w14:textId="77777777" w:rsidR="00394471" w:rsidRPr="00FA0D37" w:rsidRDefault="00394471" w:rsidP="00394471">
      <w:pPr>
        <w:pStyle w:val="4"/>
        <w:rPr>
          <w:i/>
          <w:iCs/>
          <w:noProof/>
        </w:rPr>
      </w:pPr>
      <w:bookmarkStart w:id="1047" w:name="_Toc60777241"/>
      <w:bookmarkStart w:id="1048" w:name="_Toc146781297"/>
      <w:r w:rsidRPr="00FA0D37">
        <w:rPr>
          <w:i/>
          <w:iCs/>
        </w:rPr>
        <w:t>–</w:t>
      </w:r>
      <w:r w:rsidRPr="00FA0D37">
        <w:rPr>
          <w:i/>
          <w:iCs/>
        </w:rPr>
        <w:tab/>
        <w:t>FrequencyInfoUL-SIB</w:t>
      </w:r>
      <w:bookmarkEnd w:id="1047"/>
      <w:bookmarkEnd w:id="1048"/>
    </w:p>
    <w:p w14:paraId="7A95F0B8" w14:textId="77777777" w:rsidR="00394471" w:rsidRPr="00FA0D37" w:rsidRDefault="00394471" w:rsidP="00394471">
      <w:r w:rsidRPr="00FA0D37">
        <w:t xml:space="preserve">The IE </w:t>
      </w:r>
      <w:r w:rsidRPr="00FA0D37">
        <w:rPr>
          <w:i/>
        </w:rPr>
        <w:t xml:space="preserve">FrequencyInfoUL-SIB </w:t>
      </w:r>
      <w:r w:rsidRPr="00FA0D37">
        <w:t>provides basic parameters of an uplink carrier and transmission thereon.</w:t>
      </w:r>
    </w:p>
    <w:p w14:paraId="6540CAE9" w14:textId="77777777" w:rsidR="00394471" w:rsidRPr="00FA0D37" w:rsidRDefault="00394471" w:rsidP="00394471">
      <w:pPr>
        <w:pStyle w:val="TH"/>
        <w:rPr>
          <w:bCs/>
          <w:i/>
          <w:iCs/>
        </w:rPr>
      </w:pPr>
      <w:r w:rsidRPr="00FA0D37">
        <w:rPr>
          <w:bCs/>
          <w:i/>
          <w:iCs/>
        </w:rPr>
        <w:t xml:space="preserve">FrequencyInfoUL-SIB </w:t>
      </w:r>
      <w:r w:rsidRPr="00FA0D37">
        <w:rPr>
          <w:bCs/>
          <w:iCs/>
        </w:rPr>
        <w:t>information element</w:t>
      </w:r>
    </w:p>
    <w:p w14:paraId="01B54775" w14:textId="77777777" w:rsidR="00394471" w:rsidRPr="00FA0D37" w:rsidRDefault="00394471" w:rsidP="00FA0D37">
      <w:pPr>
        <w:pStyle w:val="PL"/>
        <w:rPr>
          <w:color w:val="808080"/>
        </w:rPr>
      </w:pPr>
      <w:r w:rsidRPr="00FA0D37">
        <w:rPr>
          <w:color w:val="808080"/>
        </w:rPr>
        <w:t>-- ASN1START</w:t>
      </w:r>
    </w:p>
    <w:p w14:paraId="2282FBD1" w14:textId="77777777" w:rsidR="00394471" w:rsidRPr="00FA0D37" w:rsidRDefault="00394471" w:rsidP="00FA0D37">
      <w:pPr>
        <w:pStyle w:val="PL"/>
        <w:rPr>
          <w:color w:val="808080"/>
        </w:rPr>
      </w:pPr>
      <w:r w:rsidRPr="00FA0D37">
        <w:rPr>
          <w:color w:val="808080"/>
        </w:rPr>
        <w:t>-- TAG-FREQUENCYINFOUL-SIB-START</w:t>
      </w:r>
    </w:p>
    <w:p w14:paraId="16035021" w14:textId="77777777" w:rsidR="00394471" w:rsidRPr="00FA0D37" w:rsidRDefault="00394471" w:rsidP="00FA0D37">
      <w:pPr>
        <w:pStyle w:val="PL"/>
      </w:pPr>
    </w:p>
    <w:p w14:paraId="1825CC3F" w14:textId="1C95E96E" w:rsidR="00394471" w:rsidRPr="00FA0D37" w:rsidRDefault="00394471" w:rsidP="00FA0D37">
      <w:pPr>
        <w:pStyle w:val="PL"/>
      </w:pPr>
      <w:r w:rsidRPr="00FA0D37">
        <w:t xml:space="preserve">FrequencyInfoUL-SIB ::=             </w:t>
      </w:r>
      <w:r w:rsidRPr="00FA0D37">
        <w:rPr>
          <w:color w:val="993366"/>
        </w:rPr>
        <w:t>SEQUENCE</w:t>
      </w:r>
      <w:r w:rsidRPr="00FA0D37">
        <w:t xml:space="preserve"> {</w:t>
      </w:r>
    </w:p>
    <w:p w14:paraId="7D194095" w14:textId="77777777" w:rsidR="00394471" w:rsidRPr="00FA0D37" w:rsidRDefault="00394471" w:rsidP="00FA0D37">
      <w:pPr>
        <w:pStyle w:val="PL"/>
        <w:rPr>
          <w:color w:val="808080"/>
        </w:rPr>
      </w:pPr>
      <w:r w:rsidRPr="00FA0D37">
        <w:t xml:space="preserve">    frequencyBandList                   MultiFrequencyBandListNR-SIB                            </w:t>
      </w:r>
      <w:r w:rsidRPr="00FA0D37">
        <w:rPr>
          <w:color w:val="993366"/>
        </w:rPr>
        <w:t>OPTIONAL</w:t>
      </w:r>
      <w:r w:rsidRPr="00FA0D37">
        <w:t xml:space="preserve">,   </w:t>
      </w:r>
      <w:r w:rsidRPr="00FA0D37">
        <w:rPr>
          <w:color w:val="808080"/>
        </w:rPr>
        <w:t>-- Cond FDD-OrSUL</w:t>
      </w:r>
    </w:p>
    <w:p w14:paraId="4CCFA112" w14:textId="77777777" w:rsidR="00394471" w:rsidRPr="00FA0D37" w:rsidRDefault="00394471" w:rsidP="00FA0D37">
      <w:pPr>
        <w:pStyle w:val="PL"/>
        <w:rPr>
          <w:color w:val="808080"/>
        </w:rPr>
      </w:pPr>
      <w:r w:rsidRPr="00FA0D37">
        <w:t xml:space="preserve">    absoluteFrequencyPointA             ARFCN-ValueNR                                           </w:t>
      </w:r>
      <w:r w:rsidRPr="00FA0D37">
        <w:rPr>
          <w:color w:val="993366"/>
        </w:rPr>
        <w:t>OPTIONAL</w:t>
      </w:r>
      <w:r w:rsidRPr="00FA0D37">
        <w:t xml:space="preserve">,   </w:t>
      </w:r>
      <w:r w:rsidRPr="00FA0D37">
        <w:rPr>
          <w:color w:val="808080"/>
        </w:rPr>
        <w:t>-- Cond FDD-OrSUL</w:t>
      </w:r>
    </w:p>
    <w:p w14:paraId="5462FCA4" w14:textId="77777777" w:rsidR="00394471" w:rsidRPr="00FA0D37" w:rsidRDefault="00394471" w:rsidP="00FA0D37">
      <w:pPr>
        <w:pStyle w:val="PL"/>
      </w:pPr>
      <w:r w:rsidRPr="00FA0D37">
        <w:t xml:space="preserve">    scs-SpecificCarrierList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SCS-SpecificCarrier,</w:t>
      </w:r>
    </w:p>
    <w:p w14:paraId="7482F5E5" w14:textId="77777777" w:rsidR="00394471" w:rsidRPr="00FA0D37" w:rsidRDefault="00394471" w:rsidP="00FA0D37">
      <w:pPr>
        <w:pStyle w:val="PL"/>
        <w:rPr>
          <w:color w:val="808080"/>
        </w:rPr>
      </w:pPr>
      <w:r w:rsidRPr="00FA0D37">
        <w:t xml:space="preserve">    p-Max                               P-Max                                                   </w:t>
      </w:r>
      <w:r w:rsidRPr="00FA0D37">
        <w:rPr>
          <w:color w:val="993366"/>
        </w:rPr>
        <w:t>OPTIONAL</w:t>
      </w:r>
      <w:r w:rsidRPr="00FA0D37">
        <w:t xml:space="preserve">,   </w:t>
      </w:r>
      <w:r w:rsidRPr="00FA0D37">
        <w:rPr>
          <w:color w:val="808080"/>
        </w:rPr>
        <w:t>-- Need S</w:t>
      </w:r>
    </w:p>
    <w:p w14:paraId="5F20359F" w14:textId="77777777" w:rsidR="00394471" w:rsidRPr="00FA0D37" w:rsidRDefault="00394471" w:rsidP="00FA0D37">
      <w:pPr>
        <w:pStyle w:val="PL"/>
        <w:rPr>
          <w:color w:val="808080"/>
        </w:rPr>
      </w:pPr>
      <w:r w:rsidRPr="00FA0D37">
        <w:t xml:space="preserve">    frequencyShift7p5khz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FDD-TDD-OrSUL-Optional</w:t>
      </w:r>
    </w:p>
    <w:p w14:paraId="71B5F019" w14:textId="77777777" w:rsidR="00394471" w:rsidRPr="00FA0D37" w:rsidRDefault="00394471" w:rsidP="00FA0D37">
      <w:pPr>
        <w:pStyle w:val="PL"/>
      </w:pPr>
      <w:r w:rsidRPr="00FA0D37">
        <w:t xml:space="preserve">    ...</w:t>
      </w:r>
    </w:p>
    <w:p w14:paraId="6BC8D907" w14:textId="77777777" w:rsidR="00394471" w:rsidRPr="00FA0D37" w:rsidRDefault="00394471" w:rsidP="00FA0D37">
      <w:pPr>
        <w:pStyle w:val="PL"/>
      </w:pPr>
      <w:r w:rsidRPr="00FA0D37">
        <w:t>}</w:t>
      </w:r>
    </w:p>
    <w:p w14:paraId="133ADBC1" w14:textId="77777777" w:rsidR="00394471" w:rsidRPr="00FA0D37" w:rsidRDefault="00394471" w:rsidP="00FA0D37">
      <w:pPr>
        <w:pStyle w:val="PL"/>
      </w:pPr>
    </w:p>
    <w:p w14:paraId="7283F146" w14:textId="61A93B7C" w:rsidR="00BD4216" w:rsidRPr="00FA0D37" w:rsidRDefault="00BD4216" w:rsidP="00FA0D37">
      <w:pPr>
        <w:pStyle w:val="PL"/>
      </w:pPr>
      <w:r w:rsidRPr="00FA0D37">
        <w:t xml:space="preserve">FrequencyInfoUL-SIB-v1760 ::=       </w:t>
      </w:r>
      <w:r w:rsidRPr="00FA0D37">
        <w:rPr>
          <w:color w:val="993366"/>
        </w:rPr>
        <w:t>SEQUENCE</w:t>
      </w:r>
      <w:r w:rsidRPr="00FA0D37">
        <w:t xml:space="preserve"> {</w:t>
      </w:r>
    </w:p>
    <w:p w14:paraId="4ACBF7F9" w14:textId="4B1FCDD8" w:rsidR="00BD4216" w:rsidRPr="00FA0D37" w:rsidRDefault="00BD4216" w:rsidP="00FA0D37">
      <w:pPr>
        <w:pStyle w:val="PL"/>
      </w:pPr>
      <w:r w:rsidRPr="00FA0D37">
        <w:t xml:space="preserve">    frequencyBandList-v1760             MultiFrequencyBandListNR-SIB-v1760</w:t>
      </w:r>
    </w:p>
    <w:p w14:paraId="6FA00857" w14:textId="0DF4FAE1" w:rsidR="00BD4216" w:rsidRPr="00FA0D37" w:rsidRDefault="00BD4216" w:rsidP="00FA0D37">
      <w:pPr>
        <w:pStyle w:val="PL"/>
      </w:pPr>
      <w:r w:rsidRPr="00FA0D37">
        <w:t>}</w:t>
      </w:r>
    </w:p>
    <w:p w14:paraId="7326C270" w14:textId="77777777" w:rsidR="00BD4216" w:rsidRPr="00FA0D37" w:rsidRDefault="00BD4216" w:rsidP="00FA0D37">
      <w:pPr>
        <w:pStyle w:val="PL"/>
      </w:pPr>
    </w:p>
    <w:p w14:paraId="540D387B" w14:textId="77777777" w:rsidR="00394471" w:rsidRPr="00FA0D37" w:rsidRDefault="00394471" w:rsidP="00FA0D37">
      <w:pPr>
        <w:pStyle w:val="PL"/>
        <w:rPr>
          <w:color w:val="808080"/>
        </w:rPr>
      </w:pPr>
      <w:r w:rsidRPr="00FA0D37">
        <w:rPr>
          <w:color w:val="808080"/>
        </w:rPr>
        <w:t>-- TAG-FREQUENCYINFOUL-SIB-STOP</w:t>
      </w:r>
    </w:p>
    <w:p w14:paraId="1A3C9775" w14:textId="77777777" w:rsidR="00394471" w:rsidRPr="00FA0D37" w:rsidRDefault="00394471" w:rsidP="00FA0D37">
      <w:pPr>
        <w:pStyle w:val="PL"/>
        <w:rPr>
          <w:color w:val="808080"/>
        </w:rPr>
      </w:pPr>
      <w:r w:rsidRPr="00FA0D37">
        <w:rPr>
          <w:color w:val="808080"/>
        </w:rPr>
        <w:t>-- ASN1STOP</w:t>
      </w:r>
    </w:p>
    <w:p w14:paraId="218B360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FA0D37" w:rsidRDefault="00394471" w:rsidP="00964CC4">
            <w:pPr>
              <w:pStyle w:val="TAH"/>
              <w:rPr>
                <w:i/>
                <w:lang w:eastAsia="sv-SE"/>
              </w:rPr>
            </w:pPr>
            <w:r w:rsidRPr="00FA0D37">
              <w:rPr>
                <w:i/>
                <w:lang w:eastAsia="sv-SE"/>
              </w:rPr>
              <w:lastRenderedPageBreak/>
              <w:t xml:space="preserve">FrequencyInfoUL-SIB </w:t>
            </w:r>
            <w:r w:rsidRPr="00FA0D37">
              <w:rPr>
                <w:lang w:eastAsia="sv-SE"/>
              </w:rPr>
              <w:t>field descriptions</w:t>
            </w:r>
          </w:p>
        </w:tc>
      </w:tr>
      <w:tr w:rsidR="005C7FF4" w:rsidRPr="00FA0D37"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FA0D37" w:rsidRDefault="00394471" w:rsidP="00964CC4">
            <w:pPr>
              <w:pStyle w:val="TAL"/>
              <w:rPr>
                <w:b/>
                <w:i/>
                <w:lang w:eastAsia="sv-SE"/>
              </w:rPr>
            </w:pPr>
            <w:r w:rsidRPr="00FA0D37">
              <w:rPr>
                <w:b/>
                <w:i/>
                <w:lang w:eastAsia="sv-SE"/>
              </w:rPr>
              <w:t>absoluteFrequencyPointA</w:t>
            </w:r>
          </w:p>
          <w:p w14:paraId="16203941" w14:textId="77777777" w:rsidR="00394471" w:rsidRPr="00FA0D37" w:rsidRDefault="00394471" w:rsidP="00964CC4">
            <w:pPr>
              <w:pStyle w:val="TAL"/>
              <w:rPr>
                <w:lang w:eastAsia="sv-SE"/>
              </w:rPr>
            </w:pPr>
            <w:r w:rsidRPr="00FA0D37">
              <w:rPr>
                <w:lang w:eastAsia="sv-SE"/>
              </w:rPr>
              <w:t xml:space="preserve">Absolute frequency of the reference resource block (Common RB 0). Its lowest subcarrier is also known as Point A. Note that the lower edge of the actual carrier is not defined by this field but rather in the </w:t>
            </w:r>
            <w:r w:rsidRPr="00FA0D37">
              <w:rPr>
                <w:i/>
                <w:lang w:eastAsia="sv-SE"/>
              </w:rPr>
              <w:t>scs-SpecificCarrierList</w:t>
            </w:r>
            <w:r w:rsidRPr="00FA0D37">
              <w:rPr>
                <w:lang w:eastAsia="sv-SE"/>
              </w:rPr>
              <w:t xml:space="preserve"> (see TS 38.211 [16], clause 4.4.4.2).</w:t>
            </w:r>
          </w:p>
        </w:tc>
      </w:tr>
      <w:tr w:rsidR="005C7FF4" w:rsidRPr="00FA0D37"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FA0D37" w:rsidRDefault="00394471" w:rsidP="00964CC4">
            <w:pPr>
              <w:pStyle w:val="TAL"/>
              <w:rPr>
                <w:b/>
                <w:i/>
                <w:lang w:eastAsia="sv-SE"/>
              </w:rPr>
            </w:pPr>
            <w:r w:rsidRPr="00FA0D37">
              <w:rPr>
                <w:b/>
                <w:i/>
                <w:lang w:eastAsia="sv-SE"/>
              </w:rPr>
              <w:t>frequencyBandList</w:t>
            </w:r>
          </w:p>
          <w:p w14:paraId="20EB0288" w14:textId="4205AADE" w:rsidR="00394471" w:rsidRPr="00FA0D37" w:rsidRDefault="00394471" w:rsidP="00964CC4">
            <w:pPr>
              <w:pStyle w:val="TAL"/>
              <w:rPr>
                <w:lang w:eastAsia="sv-SE"/>
              </w:rPr>
            </w:pPr>
            <w:r w:rsidRPr="00FA0D37">
              <w:rPr>
                <w:lang w:eastAsia="sv-SE"/>
              </w:rPr>
              <w:t xml:space="preserve">Provides the frequency band indicator and a list of </w:t>
            </w:r>
            <w:r w:rsidRPr="00FA0D37">
              <w:rPr>
                <w:i/>
                <w:lang w:eastAsia="sv-SE"/>
              </w:rPr>
              <w:t>additionalPmax</w:t>
            </w:r>
            <w:r w:rsidRPr="00FA0D37">
              <w:rPr>
                <w:lang w:eastAsia="sv-SE"/>
              </w:rPr>
              <w:t xml:space="preserve"> and </w:t>
            </w:r>
            <w:r w:rsidRPr="00FA0D37">
              <w:rPr>
                <w:i/>
                <w:lang w:eastAsia="sv-SE"/>
              </w:rPr>
              <w:t>additionalSpectrumEmission</w:t>
            </w:r>
            <w:r w:rsidRPr="00FA0D37">
              <w:rPr>
                <w:lang w:eastAsia="sv-SE"/>
              </w:rPr>
              <w:t xml:space="preserve"> values as defined in TS 38.101-1 [15], table 6.2.3.1-1, TS 38.101-2 [39], table 6.2.3.1-2</w:t>
            </w:r>
            <w:r w:rsidR="00862D3D" w:rsidRPr="00FA0D37">
              <w:rPr>
                <w:lang w:eastAsia="sv-SE"/>
              </w:rPr>
              <w:t>, and TS 38.101-5 [75], table 6.2.3.1-1</w:t>
            </w:r>
            <w:r w:rsidRPr="00FA0D37">
              <w:rPr>
                <w:lang w:eastAsia="sv-SE"/>
              </w:rPr>
              <w:t xml:space="preserve">. The UE shall apply the first listed band which it supports in the </w:t>
            </w:r>
            <w:r w:rsidRPr="00FA0D37">
              <w:rPr>
                <w:i/>
                <w:lang w:eastAsia="sv-SE"/>
              </w:rPr>
              <w:t>frequencyBandList</w:t>
            </w:r>
            <w:r w:rsidRPr="00FA0D37">
              <w:rPr>
                <w:lang w:eastAsia="sv-SE"/>
              </w:rPr>
              <w:t xml:space="preserve"> field. </w:t>
            </w:r>
            <w:r w:rsidR="00BD4216" w:rsidRPr="00FA0D37">
              <w:rPr>
                <w:szCs w:val="22"/>
                <w:lang w:eastAsia="sv-SE"/>
              </w:rPr>
              <w:t xml:space="preserve">If </w:t>
            </w:r>
            <w:r w:rsidR="00BD4216" w:rsidRPr="00FA0D37">
              <w:rPr>
                <w:i/>
                <w:iCs/>
                <w:szCs w:val="22"/>
                <w:lang w:eastAsia="sv-SE"/>
              </w:rPr>
              <w:t>frequencyBandList-v1760</w:t>
            </w:r>
            <w:r w:rsidR="00BD4216" w:rsidRPr="00FA0D37">
              <w:rPr>
                <w:szCs w:val="22"/>
                <w:lang w:eastAsia="sv-SE"/>
              </w:rPr>
              <w:t xml:space="preserve"> is present, it shall contain the same number of entries, listed in the same order as in </w:t>
            </w:r>
            <w:r w:rsidR="00BD4216" w:rsidRPr="00FA0D37">
              <w:rPr>
                <w:i/>
                <w:iCs/>
                <w:szCs w:val="22"/>
                <w:lang w:eastAsia="sv-SE"/>
              </w:rPr>
              <w:t>frequencyBandList</w:t>
            </w:r>
            <w:r w:rsidR="00BD4216" w:rsidRPr="00FA0D37">
              <w:rPr>
                <w:szCs w:val="22"/>
                <w:lang w:eastAsia="sv-SE"/>
              </w:rPr>
              <w:t xml:space="preserve"> (without suffix)</w:t>
            </w:r>
            <w:r w:rsidR="002B2F9B" w:rsidRPr="00FA0D37">
              <w:rPr>
                <w:szCs w:val="22"/>
                <w:lang w:eastAsia="sv-SE"/>
              </w:rPr>
              <w:t>.</w:t>
            </w:r>
          </w:p>
        </w:tc>
      </w:tr>
      <w:tr w:rsidR="005C7FF4" w:rsidRPr="00FA0D37"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FA0D37" w:rsidRDefault="00394471" w:rsidP="00964CC4">
            <w:pPr>
              <w:pStyle w:val="TAL"/>
              <w:rPr>
                <w:b/>
                <w:i/>
                <w:lang w:eastAsia="sv-SE"/>
              </w:rPr>
            </w:pPr>
            <w:r w:rsidRPr="00FA0D37">
              <w:rPr>
                <w:b/>
                <w:i/>
                <w:lang w:eastAsia="sv-SE"/>
              </w:rPr>
              <w:t>frequencyShift7p5khz</w:t>
            </w:r>
          </w:p>
          <w:p w14:paraId="55E8004A" w14:textId="77777777" w:rsidR="00394471" w:rsidRPr="00FA0D37" w:rsidRDefault="00394471" w:rsidP="00964CC4">
            <w:pPr>
              <w:pStyle w:val="TAL"/>
              <w:rPr>
                <w:lang w:eastAsia="sv-SE"/>
              </w:rPr>
            </w:pPr>
            <w:r w:rsidRPr="00FA0D37">
              <w:rPr>
                <w:lang w:eastAsia="sv-SE"/>
              </w:rPr>
              <w:t>Enable the NR UL transmission with a 7.5 kHz shift to the LTE raster. If the field is absent, the frequency shift is disabled.</w:t>
            </w:r>
          </w:p>
        </w:tc>
      </w:tr>
      <w:tr w:rsidR="005C7FF4" w:rsidRPr="00FA0D37"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FA0D37" w:rsidRDefault="00394471" w:rsidP="00964CC4">
            <w:pPr>
              <w:pStyle w:val="TAL"/>
              <w:rPr>
                <w:lang w:eastAsia="sv-SE"/>
              </w:rPr>
            </w:pPr>
            <w:r w:rsidRPr="00FA0D37">
              <w:rPr>
                <w:b/>
                <w:i/>
                <w:lang w:eastAsia="sv-SE"/>
              </w:rPr>
              <w:t>p-Ma</w:t>
            </w:r>
            <w:r w:rsidRPr="00FA0D37">
              <w:rPr>
                <w:lang w:eastAsia="sv-SE"/>
              </w:rPr>
              <w:t>x</w:t>
            </w:r>
          </w:p>
          <w:p w14:paraId="215A36D1" w14:textId="7955A749" w:rsidR="00394471" w:rsidRPr="00FA0D37" w:rsidRDefault="00394471" w:rsidP="00964CC4">
            <w:pPr>
              <w:pStyle w:val="TAL"/>
              <w:rPr>
                <w:lang w:eastAsia="sv-SE"/>
              </w:rPr>
            </w:pPr>
            <w:r w:rsidRPr="00FA0D37">
              <w:rPr>
                <w:lang w:eastAsia="sv-SE"/>
              </w:rPr>
              <w:t>Value in dBm applicable for the cell. If absent the UE applies the maximum power according to TS 38.101-1 [15] in case of an FR1 cell</w:t>
            </w:r>
            <w:r w:rsidR="00862D3D" w:rsidRPr="00FA0D37">
              <w:rPr>
                <w:lang w:eastAsia="sv-SE"/>
              </w:rPr>
              <w:t>,</w:t>
            </w:r>
            <w:r w:rsidRPr="00FA0D37">
              <w:rPr>
                <w:lang w:eastAsia="sv-SE"/>
              </w:rPr>
              <w:t xml:space="preserve"> TS 38.101-2 [39] in case of an FR2 cell</w:t>
            </w:r>
            <w:r w:rsidR="00862D3D" w:rsidRPr="00FA0D37">
              <w:rPr>
                <w:lang w:eastAsia="sv-SE"/>
              </w:rPr>
              <w:t xml:space="preserve"> or TS 38.101-5 [75] in case of an NTN cell</w:t>
            </w:r>
            <w:r w:rsidRPr="00FA0D37">
              <w:rPr>
                <w:lang w:eastAsia="sv-SE"/>
              </w:rPr>
              <w:t>. In this release of the specification, if p-Max is present on a carrier frequency in FR2, the UE shall ignore the field and applies the maximum power according to TS 38.101-2 [39].</w:t>
            </w:r>
            <w:r w:rsidR="00D027C1" w:rsidRPr="00FA0D37">
              <w:rPr>
                <w:szCs w:val="22"/>
                <w:lang w:eastAsia="en-GB"/>
              </w:rPr>
              <w:t xml:space="preserve"> This field is ignored by IAB-MT, the IAB-MT applies output power and emissions requirements, as specified in TS 38.174 [63]</w:t>
            </w:r>
            <w:r w:rsidR="00D027C1" w:rsidRPr="00FA0D37">
              <w:rPr>
                <w:szCs w:val="22"/>
                <w:lang w:eastAsia="sv-SE"/>
              </w:rPr>
              <w:t>.</w:t>
            </w:r>
          </w:p>
        </w:tc>
      </w:tr>
      <w:tr w:rsidR="00394471" w:rsidRPr="00FA0D37"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FA0D37" w:rsidRDefault="00394471" w:rsidP="00964CC4">
            <w:pPr>
              <w:pStyle w:val="TAL"/>
              <w:rPr>
                <w:b/>
                <w:i/>
                <w:lang w:eastAsia="sv-SE"/>
              </w:rPr>
            </w:pPr>
            <w:r w:rsidRPr="00FA0D37">
              <w:rPr>
                <w:b/>
                <w:i/>
                <w:lang w:eastAsia="sv-SE"/>
              </w:rPr>
              <w:t>scs-SpecificCarrierList</w:t>
            </w:r>
          </w:p>
          <w:p w14:paraId="744AD110" w14:textId="77777777" w:rsidR="00394471" w:rsidRPr="00FA0D37" w:rsidRDefault="00394471" w:rsidP="00964CC4">
            <w:pPr>
              <w:pStyle w:val="TAL"/>
              <w:rPr>
                <w:lang w:eastAsia="sv-SE"/>
              </w:rPr>
            </w:pPr>
            <w:r w:rsidRPr="00FA0D37">
              <w:rPr>
                <w:lang w:eastAsia="sv-SE"/>
              </w:rPr>
              <w:t xml:space="preserve">A set of carriers for different subcarrier spacings (numerologies). Defined in relation to Point A (see TS 38.211 [16], clause 5.3). </w:t>
            </w:r>
            <w:r w:rsidRPr="00FA0D37">
              <w:rPr>
                <w:rFonts w:eastAsia="MS Mincho"/>
                <w:szCs w:val="22"/>
                <w:lang w:eastAsia="sv-SE"/>
              </w:rPr>
              <w:t>The network configures this for all SCSs that are used in UL BWPs configured in this serving cell.</w:t>
            </w:r>
          </w:p>
        </w:tc>
      </w:tr>
    </w:tbl>
    <w:p w14:paraId="334A6CD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FA0D37" w:rsidRDefault="00394471" w:rsidP="00964CC4">
            <w:pPr>
              <w:pStyle w:val="TAH"/>
              <w:rPr>
                <w:lang w:eastAsia="sv-SE"/>
              </w:rPr>
            </w:pPr>
            <w:r w:rsidRPr="00FA0D37">
              <w:rPr>
                <w:lang w:eastAsia="sv-SE"/>
              </w:rPr>
              <w:t>Explanation</w:t>
            </w:r>
          </w:p>
        </w:tc>
      </w:tr>
      <w:tr w:rsidR="005C7FF4" w:rsidRPr="00FA0D37"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FA0D37" w:rsidRDefault="00394471" w:rsidP="00964CC4">
            <w:pPr>
              <w:pStyle w:val="TAL"/>
              <w:rPr>
                <w:i/>
                <w:iCs/>
                <w:lang w:eastAsia="sv-SE"/>
              </w:rPr>
            </w:pPr>
            <w:r w:rsidRPr="00FA0D37">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FA0D37" w:rsidRDefault="00394471" w:rsidP="00964CC4">
            <w:pPr>
              <w:pStyle w:val="TAL"/>
              <w:rPr>
                <w:lang w:eastAsia="sv-SE"/>
              </w:rPr>
            </w:pPr>
            <w:r w:rsidRPr="00FA0D37">
              <w:rPr>
                <w:lang w:eastAsia="sv-SE"/>
              </w:rPr>
              <w:t xml:space="preserve">The field is mandatory present if this </w:t>
            </w:r>
            <w:r w:rsidRPr="00FA0D37">
              <w:rPr>
                <w:i/>
                <w:lang w:eastAsia="sv-SE"/>
              </w:rPr>
              <w:t>FrequencyInfoUL-SIB</w:t>
            </w:r>
            <w:r w:rsidRPr="00FA0D37">
              <w:rPr>
                <w:lang w:eastAsia="sv-SE"/>
              </w:rPr>
              <w:t xml:space="preserve"> is for the paired UL for a DL (defined in a </w:t>
            </w:r>
            <w:r w:rsidRPr="00FA0D37">
              <w:rPr>
                <w:i/>
                <w:lang w:eastAsia="sv-SE"/>
              </w:rPr>
              <w:t>FrequencyInfoDL-SIB</w:t>
            </w:r>
            <w:r w:rsidRPr="00FA0D37">
              <w:rPr>
                <w:lang w:eastAsia="sv-SE"/>
              </w:rPr>
              <w:t xml:space="preserve">) or if this </w:t>
            </w:r>
            <w:r w:rsidRPr="00FA0D37">
              <w:rPr>
                <w:i/>
                <w:lang w:eastAsia="sv-SE"/>
              </w:rPr>
              <w:t>FrequencyInfoUL-SIB</w:t>
            </w:r>
            <w:r w:rsidRPr="00FA0D37">
              <w:rPr>
                <w:lang w:eastAsia="sv-SE"/>
              </w:rPr>
              <w:t xml:space="preserve"> is for a supplementary uplink (SUL). It is absent otherwise (if this </w:t>
            </w:r>
            <w:r w:rsidRPr="00FA0D37">
              <w:rPr>
                <w:i/>
                <w:lang w:eastAsia="sv-SE"/>
              </w:rPr>
              <w:t>FrequencyInfoUL-SIB</w:t>
            </w:r>
            <w:r w:rsidRPr="00FA0D37">
              <w:rPr>
                <w:lang w:eastAsia="sv-SE"/>
              </w:rPr>
              <w:t xml:space="preserve"> is for an unpaired UL (TDD).</w:t>
            </w:r>
          </w:p>
        </w:tc>
      </w:tr>
      <w:tr w:rsidR="000830BB" w:rsidRPr="00FA0D37"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FA0D37" w:rsidRDefault="00394471" w:rsidP="00964CC4">
            <w:pPr>
              <w:pStyle w:val="TAL"/>
              <w:rPr>
                <w:i/>
                <w:iCs/>
                <w:lang w:eastAsia="sv-SE"/>
              </w:rPr>
            </w:pPr>
            <w:r w:rsidRPr="00FA0D37">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FA0D37" w:rsidRDefault="00394471" w:rsidP="00964CC4">
            <w:pPr>
              <w:pStyle w:val="TAL"/>
              <w:rPr>
                <w:lang w:eastAsia="sv-SE"/>
              </w:rPr>
            </w:pPr>
            <w:r w:rsidRPr="00FA0D37">
              <w:rPr>
                <w:lang w:eastAsia="sv-SE"/>
              </w:rPr>
              <w:t xml:space="preserve">The field is optionally present, Need R, if this </w:t>
            </w:r>
            <w:r w:rsidRPr="00FA0D37">
              <w:rPr>
                <w:i/>
                <w:lang w:eastAsia="sv-SE"/>
              </w:rPr>
              <w:t>FrequencyInfoUL-SIB</w:t>
            </w:r>
            <w:r w:rsidRPr="00FA0D37">
              <w:rPr>
                <w:lang w:eastAsia="sv-SE"/>
              </w:rPr>
              <w:t xml:space="preserve"> is for the paired UL for a DL (defined in a </w:t>
            </w:r>
            <w:r w:rsidRPr="00FA0D37">
              <w:rPr>
                <w:i/>
                <w:lang w:eastAsia="sv-SE"/>
              </w:rPr>
              <w:t>FrequencyInfoDL-SIB</w:t>
            </w:r>
            <w:r w:rsidRPr="00FA0D37">
              <w:rPr>
                <w:lang w:eastAsia="sv-SE"/>
              </w:rPr>
              <w:t xml:space="preserve">), or if this </w:t>
            </w:r>
            <w:r w:rsidRPr="00FA0D37">
              <w:rPr>
                <w:i/>
                <w:lang w:eastAsia="sv-SE"/>
              </w:rPr>
              <w:t>FrequencyInfoUL-SIB</w:t>
            </w:r>
            <w:r w:rsidRPr="00FA0D37">
              <w:rPr>
                <w:lang w:eastAsia="sv-SE"/>
              </w:rPr>
              <w:t xml:space="preserve"> is for an unpaired UL (TDD) in certain bands (as defined in clause 5.4.2.1 of TS 38.101-1 and in clause 5.4.2.1 of TS 38.104 [12]), or if this </w:t>
            </w:r>
            <w:r w:rsidRPr="00FA0D37">
              <w:rPr>
                <w:i/>
                <w:lang w:eastAsia="sv-SE"/>
              </w:rPr>
              <w:t>FrequencyInfoUL-SIB</w:t>
            </w:r>
            <w:r w:rsidRPr="00FA0D37">
              <w:rPr>
                <w:lang w:eastAsia="sv-SE"/>
              </w:rPr>
              <w:t xml:space="preserve"> is for a supplementary uplink (SUL). It is absent otherwise.</w:t>
            </w:r>
          </w:p>
        </w:tc>
      </w:tr>
    </w:tbl>
    <w:p w14:paraId="104EF16A" w14:textId="315355FA" w:rsidR="00394471" w:rsidRPr="00FA0D37" w:rsidRDefault="00394471" w:rsidP="00394471"/>
    <w:p w14:paraId="48295F5D" w14:textId="77777777" w:rsidR="00E616AE" w:rsidRPr="00FA0D37" w:rsidRDefault="00E616AE" w:rsidP="000830BB">
      <w:pPr>
        <w:pStyle w:val="4"/>
      </w:pPr>
      <w:bookmarkStart w:id="1049" w:name="_Toc146781298"/>
      <w:r w:rsidRPr="00FA0D37">
        <w:t>–</w:t>
      </w:r>
      <w:r w:rsidRPr="00FA0D37">
        <w:tab/>
      </w:r>
      <w:r w:rsidRPr="00FA0D37">
        <w:rPr>
          <w:i/>
          <w:iCs/>
        </w:rPr>
        <w:t>GapPriority</w:t>
      </w:r>
      <w:bookmarkEnd w:id="1049"/>
    </w:p>
    <w:p w14:paraId="763C4E92" w14:textId="77777777" w:rsidR="00E616AE" w:rsidRPr="00FA0D37" w:rsidRDefault="00E616AE" w:rsidP="00E616AE">
      <w:r w:rsidRPr="00FA0D37">
        <w:t xml:space="preserve">The IE </w:t>
      </w:r>
      <w:r w:rsidRPr="00FA0D37">
        <w:rPr>
          <w:i/>
        </w:rPr>
        <w:t>GapPriority</w:t>
      </w:r>
      <w:r w:rsidRPr="00FA0D37">
        <w:t xml:space="preserve"> is used to identify the priority of a gap configuration.</w:t>
      </w:r>
    </w:p>
    <w:p w14:paraId="029F2470" w14:textId="77777777" w:rsidR="00E616AE" w:rsidRPr="00FA0D37" w:rsidRDefault="00E616AE" w:rsidP="000830BB">
      <w:pPr>
        <w:pStyle w:val="TH"/>
      </w:pPr>
      <w:r w:rsidRPr="00FA0D37">
        <w:rPr>
          <w:i/>
        </w:rPr>
        <w:t>GapPriority</w:t>
      </w:r>
      <w:r w:rsidRPr="00FA0D37">
        <w:t xml:space="preserve"> information element</w:t>
      </w:r>
    </w:p>
    <w:p w14:paraId="022EF1E0" w14:textId="77777777" w:rsidR="00E616AE" w:rsidRPr="00FA0D37" w:rsidRDefault="00E616AE" w:rsidP="00FA0D37">
      <w:pPr>
        <w:pStyle w:val="PL"/>
        <w:rPr>
          <w:color w:val="808080"/>
        </w:rPr>
      </w:pPr>
      <w:r w:rsidRPr="00FA0D37">
        <w:rPr>
          <w:color w:val="808080"/>
        </w:rPr>
        <w:t>-- ASN1START</w:t>
      </w:r>
    </w:p>
    <w:p w14:paraId="50C1875C" w14:textId="77777777" w:rsidR="00E616AE" w:rsidRPr="00FA0D37" w:rsidRDefault="00E616AE" w:rsidP="00FA0D37">
      <w:pPr>
        <w:pStyle w:val="PL"/>
        <w:rPr>
          <w:color w:val="808080"/>
        </w:rPr>
      </w:pPr>
      <w:r w:rsidRPr="00FA0D37">
        <w:rPr>
          <w:color w:val="808080"/>
        </w:rPr>
        <w:t>-- TAG-GAPPRIORITY-START</w:t>
      </w:r>
    </w:p>
    <w:p w14:paraId="2B72AB1E" w14:textId="77777777" w:rsidR="00E616AE" w:rsidRPr="00FA0D37" w:rsidRDefault="00E616AE" w:rsidP="00FA0D37">
      <w:pPr>
        <w:pStyle w:val="PL"/>
      </w:pPr>
    </w:p>
    <w:p w14:paraId="691B5771" w14:textId="77777777" w:rsidR="00E616AE" w:rsidRPr="00FA0D37" w:rsidRDefault="00E616AE" w:rsidP="00FA0D37">
      <w:pPr>
        <w:pStyle w:val="PL"/>
      </w:pPr>
      <w:r w:rsidRPr="00FA0D37">
        <w:t xml:space="preserve">GapPriority-r17 ::=                       </w:t>
      </w:r>
      <w:r w:rsidRPr="00FA0D37">
        <w:rPr>
          <w:color w:val="993366"/>
        </w:rPr>
        <w:t>INTEGER</w:t>
      </w:r>
      <w:r w:rsidRPr="00FA0D37">
        <w:t xml:space="preserve"> (1..maxNrOfGapPri-r17)</w:t>
      </w:r>
    </w:p>
    <w:p w14:paraId="58F67712" w14:textId="77777777" w:rsidR="00E616AE" w:rsidRPr="00FA0D37" w:rsidRDefault="00E616AE" w:rsidP="00FA0D37">
      <w:pPr>
        <w:pStyle w:val="PL"/>
      </w:pPr>
    </w:p>
    <w:p w14:paraId="64ECA184" w14:textId="77777777" w:rsidR="00E616AE" w:rsidRPr="00FA0D37" w:rsidRDefault="00E616AE" w:rsidP="00FA0D37">
      <w:pPr>
        <w:pStyle w:val="PL"/>
        <w:rPr>
          <w:color w:val="808080"/>
        </w:rPr>
      </w:pPr>
      <w:r w:rsidRPr="00FA0D37">
        <w:rPr>
          <w:color w:val="808080"/>
        </w:rPr>
        <w:t>-- TAG-GAPPRIORITY-STOP</w:t>
      </w:r>
    </w:p>
    <w:p w14:paraId="0738DAE8" w14:textId="14283101" w:rsidR="00E616AE" w:rsidRPr="00FA0D37" w:rsidRDefault="00E616AE" w:rsidP="00FA0D37">
      <w:pPr>
        <w:pStyle w:val="PL"/>
        <w:rPr>
          <w:color w:val="808080"/>
        </w:rPr>
      </w:pPr>
      <w:r w:rsidRPr="00FA0D37">
        <w:rPr>
          <w:color w:val="808080"/>
        </w:rPr>
        <w:t>-- ASN1STOP</w:t>
      </w:r>
    </w:p>
    <w:p w14:paraId="651624C5" w14:textId="77777777" w:rsidR="00E616AE" w:rsidRPr="00FA0D37" w:rsidRDefault="00E616AE" w:rsidP="00394471"/>
    <w:p w14:paraId="3F903737" w14:textId="77777777" w:rsidR="00394471" w:rsidRPr="00FA0D37" w:rsidRDefault="00394471" w:rsidP="00394471">
      <w:pPr>
        <w:pStyle w:val="4"/>
      </w:pPr>
      <w:bookmarkStart w:id="1050" w:name="_Toc60777242"/>
      <w:bookmarkStart w:id="1051" w:name="_Toc146781299"/>
      <w:r w:rsidRPr="00FA0D37">
        <w:lastRenderedPageBreak/>
        <w:t>–</w:t>
      </w:r>
      <w:r w:rsidRPr="00FA0D37">
        <w:tab/>
      </w:r>
      <w:r w:rsidRPr="00FA0D37">
        <w:rPr>
          <w:i/>
          <w:iCs/>
        </w:rPr>
        <w:t>HighSpeedConfig</w:t>
      </w:r>
      <w:bookmarkEnd w:id="1050"/>
      <w:bookmarkEnd w:id="1051"/>
    </w:p>
    <w:p w14:paraId="1AA30C4E" w14:textId="77777777" w:rsidR="00394471" w:rsidRPr="00FA0D37" w:rsidRDefault="00394471" w:rsidP="00394471">
      <w:r w:rsidRPr="00FA0D37">
        <w:t xml:space="preserve">The IE </w:t>
      </w:r>
      <w:r w:rsidRPr="00FA0D37">
        <w:rPr>
          <w:i/>
        </w:rPr>
        <w:t>HighSpeedConfig</w:t>
      </w:r>
      <w:r w:rsidRPr="00FA0D37">
        <w:t xml:space="preserve"> is used to configure parameters for high speed scenarios.</w:t>
      </w:r>
    </w:p>
    <w:p w14:paraId="7C1BBF35" w14:textId="77777777" w:rsidR="00394471" w:rsidRPr="00FA0D37" w:rsidRDefault="00394471" w:rsidP="00394471">
      <w:pPr>
        <w:pStyle w:val="TH"/>
      </w:pPr>
      <w:r w:rsidRPr="00FA0D37">
        <w:rPr>
          <w:i/>
        </w:rPr>
        <w:t>HighSpeedConfig</w:t>
      </w:r>
      <w:r w:rsidRPr="00FA0D37">
        <w:t xml:space="preserve"> information element</w:t>
      </w:r>
    </w:p>
    <w:p w14:paraId="4F836145" w14:textId="77777777" w:rsidR="00394471" w:rsidRPr="00FA0D37" w:rsidRDefault="00394471" w:rsidP="00FA0D37">
      <w:pPr>
        <w:pStyle w:val="PL"/>
        <w:rPr>
          <w:color w:val="808080"/>
        </w:rPr>
      </w:pPr>
      <w:r w:rsidRPr="00FA0D37">
        <w:rPr>
          <w:color w:val="808080"/>
        </w:rPr>
        <w:t>-- ASN1START</w:t>
      </w:r>
    </w:p>
    <w:p w14:paraId="7E376835" w14:textId="77777777" w:rsidR="00394471" w:rsidRPr="00FA0D37" w:rsidRDefault="00394471" w:rsidP="00FA0D37">
      <w:pPr>
        <w:pStyle w:val="PL"/>
        <w:rPr>
          <w:color w:val="808080"/>
        </w:rPr>
      </w:pPr>
      <w:r w:rsidRPr="00FA0D37">
        <w:rPr>
          <w:color w:val="808080"/>
        </w:rPr>
        <w:t>-- TAG-HIGHSPEEDCONFIG-START</w:t>
      </w:r>
    </w:p>
    <w:p w14:paraId="2EA5B8C9" w14:textId="77777777" w:rsidR="00394471" w:rsidRPr="00FA0D37" w:rsidRDefault="00394471" w:rsidP="00FA0D37">
      <w:pPr>
        <w:pStyle w:val="PL"/>
      </w:pPr>
    </w:p>
    <w:p w14:paraId="26AEB07E" w14:textId="77777777" w:rsidR="00394471" w:rsidRPr="00FA0D37" w:rsidRDefault="00394471" w:rsidP="00FA0D37">
      <w:pPr>
        <w:pStyle w:val="PL"/>
        <w:rPr>
          <w:rFonts w:eastAsia="Malgun Gothic"/>
        </w:rPr>
      </w:pPr>
      <w:r w:rsidRPr="00FA0D37">
        <w:t>HighSpeedConfig-</w:t>
      </w:r>
      <w:r w:rsidRPr="00FA0D37">
        <w:rPr>
          <w:rFonts w:eastAsia="等线"/>
        </w:rPr>
        <w:t>r</w:t>
      </w:r>
      <w:r w:rsidRPr="00FA0D37">
        <w:t xml:space="preserve">16 ::=  </w:t>
      </w:r>
      <w:r w:rsidRPr="00FA0D37">
        <w:rPr>
          <w:color w:val="993366"/>
        </w:rPr>
        <w:t>SEQUENCE</w:t>
      </w:r>
      <w:r w:rsidRPr="00FA0D37">
        <w:t xml:space="preserve"> {</w:t>
      </w:r>
    </w:p>
    <w:p w14:paraId="16B59177" w14:textId="6BE75D68" w:rsidR="00394471" w:rsidRPr="00FA0D37" w:rsidRDefault="00394471" w:rsidP="00FA0D37">
      <w:pPr>
        <w:pStyle w:val="PL"/>
        <w:rPr>
          <w:color w:val="808080"/>
        </w:rPr>
      </w:pPr>
      <w:r w:rsidRPr="00FA0D37">
        <w:t xml:space="preserve">    highSpeedMeasFlag-r16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xml:space="preserve">-- </w:t>
      </w:r>
      <w:r w:rsidR="005507D1" w:rsidRPr="00FA0D37">
        <w:rPr>
          <w:color w:val="808080"/>
        </w:rPr>
        <w:t>Cond SpCellOnly</w:t>
      </w:r>
    </w:p>
    <w:p w14:paraId="4E9A44D7" w14:textId="77777777" w:rsidR="00394471" w:rsidRPr="00FA0D37" w:rsidRDefault="00394471" w:rsidP="00FA0D37">
      <w:pPr>
        <w:pStyle w:val="PL"/>
        <w:rPr>
          <w:color w:val="808080"/>
        </w:rPr>
      </w:pPr>
      <w:r w:rsidRPr="00FA0D37">
        <w:t xml:space="preserve">    highSpeedDemodFlag-r16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0F4FD84E" w14:textId="77777777" w:rsidR="00394471" w:rsidRPr="00FA0D37" w:rsidRDefault="00394471" w:rsidP="00FA0D37">
      <w:pPr>
        <w:pStyle w:val="PL"/>
        <w:rPr>
          <w:rFonts w:eastAsia="Malgun Gothic"/>
        </w:rPr>
      </w:pPr>
      <w:r w:rsidRPr="00FA0D37">
        <w:rPr>
          <w:rFonts w:eastAsia="宋体"/>
        </w:rPr>
        <w:t xml:space="preserve">    </w:t>
      </w:r>
      <w:r w:rsidRPr="00FA0D37">
        <w:t>...</w:t>
      </w:r>
    </w:p>
    <w:p w14:paraId="0529E6E8" w14:textId="77777777" w:rsidR="00394471" w:rsidRPr="00FA0D37" w:rsidRDefault="00394471" w:rsidP="00FA0D37">
      <w:pPr>
        <w:pStyle w:val="PL"/>
      </w:pPr>
      <w:r w:rsidRPr="00FA0D37">
        <w:t>}</w:t>
      </w:r>
    </w:p>
    <w:p w14:paraId="339C50D2" w14:textId="77777777" w:rsidR="00F53531" w:rsidRPr="00FA0D37" w:rsidRDefault="00F53531" w:rsidP="00FA0D37">
      <w:pPr>
        <w:pStyle w:val="PL"/>
      </w:pPr>
    </w:p>
    <w:p w14:paraId="29C0CD92" w14:textId="3EF4A0F6" w:rsidR="00F53531" w:rsidRPr="00FA0D37" w:rsidRDefault="00F53531" w:rsidP="00FA0D37">
      <w:pPr>
        <w:pStyle w:val="PL"/>
      </w:pPr>
      <w:r w:rsidRPr="00FA0D37">
        <w:t>HighSpeedConfig-v17</w:t>
      </w:r>
      <w:r w:rsidR="00843B26" w:rsidRPr="00FA0D37">
        <w:t>00</w:t>
      </w:r>
      <w:r w:rsidRPr="00FA0D37">
        <w:t xml:space="preserve"> ::=  </w:t>
      </w:r>
      <w:r w:rsidRPr="00FA0D37">
        <w:rPr>
          <w:color w:val="993366"/>
        </w:rPr>
        <w:t>SEQUENCE</w:t>
      </w:r>
      <w:r w:rsidRPr="00FA0D37">
        <w:t xml:space="preserve"> {</w:t>
      </w:r>
    </w:p>
    <w:p w14:paraId="649B153B" w14:textId="25F755D8" w:rsidR="00F53531" w:rsidRPr="00FA0D37" w:rsidRDefault="00F53531" w:rsidP="00FA0D37">
      <w:pPr>
        <w:pStyle w:val="PL"/>
        <w:rPr>
          <w:color w:val="808080"/>
        </w:rPr>
      </w:pPr>
      <w:r w:rsidRPr="00FA0D37">
        <w:t xml:space="preserve">    highSpeedMeasCA-Scell-r17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xml:space="preserve">-- </w:t>
      </w:r>
      <w:r w:rsidR="0093088F" w:rsidRPr="00FA0D37">
        <w:rPr>
          <w:color w:val="808080"/>
        </w:rPr>
        <w:t>Cond SCellOnly</w:t>
      </w:r>
    </w:p>
    <w:p w14:paraId="2C8A654E" w14:textId="1CA50B13" w:rsidR="00F53531" w:rsidRPr="00FA0D37" w:rsidRDefault="00F53531" w:rsidP="00FA0D37">
      <w:pPr>
        <w:pStyle w:val="PL"/>
        <w:rPr>
          <w:color w:val="808080"/>
        </w:rPr>
      </w:pPr>
      <w:r w:rsidRPr="00FA0D37">
        <w:t xml:space="preserve">    highSpeedMeasInterFreq-r17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xml:space="preserve">-- </w:t>
      </w:r>
      <w:r w:rsidR="0093088F" w:rsidRPr="00FA0D37">
        <w:rPr>
          <w:color w:val="808080"/>
        </w:rPr>
        <w:t>Cond SpCellOnly2</w:t>
      </w:r>
    </w:p>
    <w:p w14:paraId="545D3840" w14:textId="23B4EEBE" w:rsidR="00F53531" w:rsidRPr="00FA0D37" w:rsidRDefault="00F53531" w:rsidP="00FA0D37">
      <w:pPr>
        <w:pStyle w:val="PL"/>
        <w:rPr>
          <w:color w:val="808080"/>
        </w:rPr>
      </w:pPr>
      <w:r w:rsidRPr="00FA0D37">
        <w:t xml:space="preserve">    highSpeedDemodCA-Scell-r17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1743E411" w14:textId="0EB7F6A0" w:rsidR="00F53531" w:rsidRPr="00FA0D37" w:rsidRDefault="00F53531" w:rsidP="00FA0D37">
      <w:pPr>
        <w:pStyle w:val="PL"/>
      </w:pPr>
      <w:r w:rsidRPr="00FA0D37">
        <w:t xml:space="preserve">    ...</w:t>
      </w:r>
    </w:p>
    <w:p w14:paraId="338BF918" w14:textId="49DB82DF" w:rsidR="00394471" w:rsidRPr="00FA0D37" w:rsidRDefault="00F53531" w:rsidP="00FA0D37">
      <w:pPr>
        <w:pStyle w:val="PL"/>
      </w:pPr>
      <w:r w:rsidRPr="00FA0D37">
        <w:t>}</w:t>
      </w:r>
    </w:p>
    <w:p w14:paraId="05388F6A" w14:textId="686ABB22" w:rsidR="00F53531" w:rsidRPr="00FA0D37" w:rsidRDefault="00F53531" w:rsidP="00FA0D37">
      <w:pPr>
        <w:pStyle w:val="PL"/>
      </w:pPr>
    </w:p>
    <w:p w14:paraId="2637B62E" w14:textId="77777777" w:rsidR="00A2423A" w:rsidRPr="00FA0D37" w:rsidRDefault="00A2423A" w:rsidP="00FA0D37">
      <w:pPr>
        <w:pStyle w:val="PL"/>
      </w:pPr>
      <w:r w:rsidRPr="00FA0D37">
        <w:t xml:space="preserve">HighSpeedConfigFR2-r17 ::=  </w:t>
      </w:r>
      <w:r w:rsidRPr="00FA0D37">
        <w:rPr>
          <w:color w:val="993366"/>
        </w:rPr>
        <w:t>SEQUENCE</w:t>
      </w:r>
      <w:r w:rsidRPr="00FA0D37">
        <w:t xml:space="preserve"> {</w:t>
      </w:r>
    </w:p>
    <w:p w14:paraId="4254D4C2" w14:textId="77777777" w:rsidR="00A2423A" w:rsidRPr="00FA0D37" w:rsidRDefault="00A2423A" w:rsidP="00FA0D37">
      <w:pPr>
        <w:pStyle w:val="PL"/>
        <w:rPr>
          <w:color w:val="808080"/>
        </w:rPr>
      </w:pPr>
      <w:r w:rsidRPr="00FA0D37">
        <w:t xml:space="preserve">    highSpeedMeasFlagFR2-r17                    </w:t>
      </w:r>
      <w:r w:rsidRPr="00FA0D37">
        <w:rPr>
          <w:color w:val="993366"/>
        </w:rPr>
        <w:t>ENUMERATED</w:t>
      </w:r>
      <w:r w:rsidRPr="00FA0D37">
        <w:t xml:space="preserve"> {set1, set2}                       </w:t>
      </w:r>
      <w:r w:rsidRPr="00FA0D37">
        <w:rPr>
          <w:color w:val="993366"/>
        </w:rPr>
        <w:t>OPTIONAL</w:t>
      </w:r>
      <w:r w:rsidRPr="00FA0D37">
        <w:t xml:space="preserve">,   </w:t>
      </w:r>
      <w:r w:rsidRPr="00FA0D37">
        <w:rPr>
          <w:color w:val="808080"/>
        </w:rPr>
        <w:t>-- Need R</w:t>
      </w:r>
    </w:p>
    <w:p w14:paraId="4B72EC58" w14:textId="77777777" w:rsidR="00A2423A" w:rsidRPr="00FA0D37" w:rsidRDefault="00A2423A" w:rsidP="00FA0D37">
      <w:pPr>
        <w:pStyle w:val="PL"/>
        <w:rPr>
          <w:color w:val="808080"/>
        </w:rPr>
      </w:pPr>
      <w:r w:rsidRPr="00FA0D37">
        <w:t xml:space="preserve">    highSpeedDeploymentTypeFR2-r17              </w:t>
      </w:r>
      <w:r w:rsidRPr="00FA0D37">
        <w:rPr>
          <w:color w:val="993366"/>
        </w:rPr>
        <w:t>ENUMERATED</w:t>
      </w:r>
      <w:r w:rsidRPr="00FA0D37">
        <w:t xml:space="preserve"> {unidirectional, bidirectional}    </w:t>
      </w:r>
      <w:r w:rsidRPr="00FA0D37">
        <w:rPr>
          <w:color w:val="993366"/>
        </w:rPr>
        <w:t>OPTIONAL</w:t>
      </w:r>
      <w:r w:rsidRPr="00FA0D37">
        <w:t xml:space="preserve">,   </w:t>
      </w:r>
      <w:r w:rsidRPr="00FA0D37">
        <w:rPr>
          <w:color w:val="808080"/>
        </w:rPr>
        <w:t>-- Need R</w:t>
      </w:r>
    </w:p>
    <w:p w14:paraId="12E1CBF4" w14:textId="77777777" w:rsidR="00A2423A" w:rsidRPr="00FA0D37" w:rsidRDefault="00A2423A" w:rsidP="00FA0D37">
      <w:pPr>
        <w:pStyle w:val="PL"/>
        <w:rPr>
          <w:color w:val="808080"/>
        </w:rPr>
      </w:pPr>
      <w:r w:rsidRPr="00FA0D37">
        <w:t xml:space="preserve">    highSpeedLargeOneStepUL-TimingFR2-r17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7B5A1D43" w14:textId="77777777" w:rsidR="00A2423A" w:rsidRPr="00FA0D37" w:rsidRDefault="00A2423A" w:rsidP="00FA0D37">
      <w:pPr>
        <w:pStyle w:val="PL"/>
      </w:pPr>
      <w:r w:rsidRPr="00FA0D37">
        <w:t xml:space="preserve">    ...</w:t>
      </w:r>
    </w:p>
    <w:p w14:paraId="6199F771" w14:textId="46B7D2CE" w:rsidR="00A2423A" w:rsidRPr="00FA0D37" w:rsidRDefault="00A2423A" w:rsidP="00FA0D37">
      <w:pPr>
        <w:pStyle w:val="PL"/>
      </w:pPr>
      <w:r w:rsidRPr="00FA0D37">
        <w:t>}</w:t>
      </w:r>
    </w:p>
    <w:p w14:paraId="151F0081" w14:textId="77777777" w:rsidR="00A2423A" w:rsidRPr="00FA0D37" w:rsidRDefault="00A2423A" w:rsidP="00FA0D37">
      <w:pPr>
        <w:pStyle w:val="PL"/>
      </w:pPr>
    </w:p>
    <w:p w14:paraId="1BDFEB02" w14:textId="77777777" w:rsidR="00394471" w:rsidRPr="00FA0D37" w:rsidRDefault="00394471" w:rsidP="00FA0D37">
      <w:pPr>
        <w:pStyle w:val="PL"/>
        <w:rPr>
          <w:color w:val="808080"/>
        </w:rPr>
      </w:pPr>
      <w:r w:rsidRPr="00FA0D37">
        <w:rPr>
          <w:color w:val="808080"/>
        </w:rPr>
        <w:t>-- TAG-HIGHSPEEDCONFIG-STOP</w:t>
      </w:r>
    </w:p>
    <w:p w14:paraId="784764AB" w14:textId="77777777" w:rsidR="00394471" w:rsidRPr="00FA0D37" w:rsidRDefault="00394471" w:rsidP="00FA0D37">
      <w:pPr>
        <w:pStyle w:val="PL"/>
        <w:rPr>
          <w:color w:val="808080"/>
        </w:rPr>
      </w:pPr>
      <w:r w:rsidRPr="00FA0D37">
        <w:rPr>
          <w:color w:val="808080"/>
        </w:rPr>
        <w:t>-- ASN1STOP</w:t>
      </w:r>
    </w:p>
    <w:p w14:paraId="65EDF61F" w14:textId="77777777" w:rsidR="00394471" w:rsidRPr="00FA0D3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FA0D37" w:rsidRDefault="00394471" w:rsidP="00964CC4">
            <w:pPr>
              <w:pStyle w:val="TAH"/>
              <w:rPr>
                <w:lang w:eastAsia="en-GB"/>
              </w:rPr>
            </w:pPr>
            <w:r w:rsidRPr="00FA0D37">
              <w:rPr>
                <w:i/>
                <w:noProof/>
                <w:lang w:eastAsia="en-GB"/>
              </w:rPr>
              <w:lastRenderedPageBreak/>
              <w:t>HighSpeedConfig</w:t>
            </w:r>
            <w:r w:rsidRPr="00FA0D37">
              <w:rPr>
                <w:noProof/>
                <w:lang w:eastAsia="en-GB"/>
              </w:rPr>
              <w:t xml:space="preserve"> field descriptions</w:t>
            </w:r>
          </w:p>
        </w:tc>
      </w:tr>
      <w:tr w:rsidR="005C7FF4" w:rsidRPr="00FA0D37"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FA0D37" w:rsidRDefault="00A2423A" w:rsidP="00771058">
            <w:pPr>
              <w:pStyle w:val="TAL"/>
              <w:rPr>
                <w:b/>
                <w:bCs/>
                <w:i/>
                <w:iCs/>
              </w:rPr>
            </w:pPr>
            <w:r w:rsidRPr="00FA0D37">
              <w:rPr>
                <w:b/>
                <w:bCs/>
                <w:i/>
                <w:iCs/>
              </w:rPr>
              <w:t>HighSpeedDemodCA-Scell</w:t>
            </w:r>
          </w:p>
          <w:p w14:paraId="7D167F50" w14:textId="77777777" w:rsidR="00A2423A" w:rsidRPr="00FA0D37" w:rsidRDefault="00A2423A" w:rsidP="00771058">
            <w:pPr>
              <w:pStyle w:val="TAL"/>
            </w:pPr>
            <w:r w:rsidRPr="00FA0D37">
              <w:t xml:space="preserve">If the field is present and UE supports </w:t>
            </w:r>
            <w:r w:rsidRPr="00FA0D37">
              <w:rPr>
                <w:i/>
                <w:iCs/>
              </w:rPr>
              <w:t>demodulationEnhancementCA-r17</w:t>
            </w:r>
            <w:r w:rsidRPr="00FA0D37">
              <w:t>, the UE shall apply the enhanced demodulation processing for HST-SFN joint transmission scheme with velocity up to 500km/h as specified in TS 38.101-4 [59]. This parameter only applies to SCell.</w:t>
            </w:r>
          </w:p>
        </w:tc>
      </w:tr>
      <w:tr w:rsidR="005C7FF4" w:rsidRPr="00FA0D37"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FA0D37" w:rsidRDefault="00A2423A" w:rsidP="00771058">
            <w:pPr>
              <w:pStyle w:val="TAL"/>
              <w:rPr>
                <w:b/>
                <w:bCs/>
                <w:i/>
                <w:iCs/>
              </w:rPr>
            </w:pPr>
            <w:r w:rsidRPr="00FA0D37">
              <w:rPr>
                <w:b/>
                <w:bCs/>
                <w:i/>
                <w:iCs/>
              </w:rPr>
              <w:t>highSpeedDemodFlag</w:t>
            </w:r>
          </w:p>
          <w:p w14:paraId="621A1C3F" w14:textId="77777777" w:rsidR="00A2423A" w:rsidRPr="00FA0D37" w:rsidRDefault="00A2423A" w:rsidP="00771058">
            <w:pPr>
              <w:pStyle w:val="TAL"/>
              <w:rPr>
                <w:lang w:eastAsia="zh-CN"/>
              </w:rPr>
            </w:pPr>
            <w:r w:rsidRPr="00FA0D37">
              <w:t xml:space="preserve">If the field is present and UE supports </w:t>
            </w:r>
            <w:r w:rsidRPr="00FA0D37">
              <w:rPr>
                <w:i/>
                <w:iCs/>
              </w:rPr>
              <w:t>demodulationEnhancement-r16</w:t>
            </w:r>
            <w:r w:rsidRPr="00FA0D37">
              <w:t>, the UE shall apply the enhanced demodulation processing for HST-SFN joint transmission scheme with velocity up to 500km/h as specified in TS 38.101-4 [59]. This parameter only applies to SpCell.</w:t>
            </w:r>
          </w:p>
        </w:tc>
      </w:tr>
      <w:tr w:rsidR="005C7FF4" w:rsidRPr="00FA0D37"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FA0D37" w:rsidRDefault="00A2423A" w:rsidP="000830BB">
            <w:pPr>
              <w:pStyle w:val="TAL"/>
              <w:rPr>
                <w:b/>
                <w:bCs/>
                <w:i/>
                <w:iCs/>
              </w:rPr>
            </w:pPr>
            <w:r w:rsidRPr="00FA0D37">
              <w:rPr>
                <w:b/>
                <w:bCs/>
                <w:i/>
                <w:iCs/>
              </w:rPr>
              <w:t>highSpeedDeploymentTypeFR2</w:t>
            </w:r>
          </w:p>
          <w:p w14:paraId="06DD7EA1" w14:textId="1E05939D" w:rsidR="00A2423A" w:rsidRPr="00FA0D37" w:rsidRDefault="00A2423A" w:rsidP="000830BB">
            <w:pPr>
              <w:pStyle w:val="TAL"/>
            </w:pPr>
            <w:r w:rsidRPr="00FA0D37">
              <w:t xml:space="preserve">If the field is present, and field value is </w:t>
            </w:r>
            <w:r w:rsidRPr="00FA0D37">
              <w:rPr>
                <w:i/>
                <w:iCs/>
              </w:rPr>
              <w:t>unidirectional</w:t>
            </w:r>
            <w:r w:rsidRPr="00FA0D37">
              <w:t xml:space="preserve">, the UE shall assume uni-directional deployment or if field value is </w:t>
            </w:r>
            <w:r w:rsidRPr="00FA0D37">
              <w:rPr>
                <w:i/>
                <w:iCs/>
              </w:rPr>
              <w:t>birectional</w:t>
            </w:r>
            <w:r w:rsidRPr="00FA0D37">
              <w:t xml:space="preserve"> the UE shall assume bidirectional deployment for FR2 up to 350km/h as specified in TS 38.133 [14].</w:t>
            </w:r>
          </w:p>
        </w:tc>
      </w:tr>
      <w:tr w:rsidR="005C7FF4" w:rsidRPr="00FA0D37"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77777777" w:rsidR="00A2423A" w:rsidRPr="00FA0D37" w:rsidRDefault="00A2423A" w:rsidP="00771058">
            <w:pPr>
              <w:pStyle w:val="TAL"/>
              <w:rPr>
                <w:b/>
                <w:bCs/>
                <w:i/>
                <w:iCs/>
              </w:rPr>
            </w:pPr>
            <w:r w:rsidRPr="00FA0D37">
              <w:rPr>
                <w:b/>
                <w:bCs/>
                <w:i/>
                <w:iCs/>
              </w:rPr>
              <w:t>highSpeedLargeOneSteptUL-TimingFR2</w:t>
            </w:r>
          </w:p>
          <w:p w14:paraId="118A14C4" w14:textId="77777777" w:rsidR="00A2423A" w:rsidRPr="00FA0D37" w:rsidRDefault="00A2423A" w:rsidP="00771058">
            <w:pPr>
              <w:pStyle w:val="TAL"/>
            </w:pPr>
            <w:r w:rsidRPr="00FA0D37">
              <w:t>If the field is present, large one step UE autonomous uplink transmit timing adjustment for FR2 up to 350km/h as specified in TS 38.133 [14] is enabled.</w:t>
            </w:r>
          </w:p>
        </w:tc>
      </w:tr>
      <w:tr w:rsidR="005C7FF4" w:rsidRPr="00FA0D37"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FA0D37" w:rsidRDefault="00F53531" w:rsidP="00F53531">
            <w:pPr>
              <w:pStyle w:val="TAL"/>
              <w:rPr>
                <w:b/>
                <w:bCs/>
                <w:i/>
                <w:iCs/>
              </w:rPr>
            </w:pPr>
            <w:r w:rsidRPr="00FA0D37">
              <w:rPr>
                <w:b/>
                <w:bCs/>
                <w:i/>
                <w:iCs/>
              </w:rPr>
              <w:t>highSpeedMeasCA-Scell</w:t>
            </w:r>
          </w:p>
          <w:p w14:paraId="1ACF2F79" w14:textId="02A695F2" w:rsidR="00F53531" w:rsidRPr="00FA0D37" w:rsidRDefault="00F53531" w:rsidP="00F53531">
            <w:pPr>
              <w:pStyle w:val="TAL"/>
              <w:rPr>
                <w:lang w:eastAsia="zh-CN"/>
              </w:rPr>
            </w:pPr>
            <w:r w:rsidRPr="00FA0D37">
              <w:rPr>
                <w:bCs/>
              </w:rPr>
              <w:t xml:space="preserve">If the field is present </w:t>
            </w:r>
            <w:r w:rsidRPr="00FA0D37">
              <w:rPr>
                <w:rFonts w:cs="Arial"/>
                <w:bCs/>
                <w:szCs w:val="18"/>
              </w:rPr>
              <w:t>and</w:t>
            </w:r>
            <w:r w:rsidRPr="00FA0D37">
              <w:rPr>
                <w:rFonts w:eastAsia="TimesNewRomanPSMT" w:cs="Arial"/>
                <w:bCs/>
                <w:szCs w:val="18"/>
              </w:rPr>
              <w:t xml:space="preserve"> </w:t>
            </w:r>
            <w:r w:rsidRPr="00FA0D37">
              <w:rPr>
                <w:rFonts w:cs="Arial"/>
                <w:bCs/>
                <w:szCs w:val="18"/>
              </w:rPr>
              <w:t>UE supports</w:t>
            </w:r>
            <w:r w:rsidRPr="00FA0D37">
              <w:rPr>
                <w:rFonts w:eastAsia="TimesNewRomanPSMT" w:cs="Arial"/>
                <w:bCs/>
                <w:szCs w:val="18"/>
              </w:rPr>
              <w:t xml:space="preserve"> </w:t>
            </w:r>
            <w:r w:rsidRPr="00FA0D37">
              <w:rPr>
                <w:rFonts w:cs="Arial"/>
                <w:bCs/>
                <w:i/>
                <w:iCs/>
                <w:szCs w:val="18"/>
              </w:rPr>
              <w:t>measurementEnhancementCA-r17</w:t>
            </w:r>
            <w:r w:rsidRPr="00FA0D37">
              <w:rPr>
                <w:bCs/>
              </w:rPr>
              <w:t xml:space="preserve">, the UE shall apply the enhanced RRM requirements to </w:t>
            </w:r>
            <w:r w:rsidR="0093088F" w:rsidRPr="00FA0D37">
              <w:t xml:space="preserve">the </w:t>
            </w:r>
            <w:r w:rsidR="0093088F" w:rsidRPr="00FA0D37">
              <w:rPr>
                <w:lang w:eastAsia="zh-CN"/>
              </w:rPr>
              <w:t xml:space="preserve">serving frequency </w:t>
            </w:r>
            <w:r w:rsidR="0093088F" w:rsidRPr="00FA0D37">
              <w:t xml:space="preserve">of </w:t>
            </w:r>
            <w:r w:rsidRPr="00FA0D37">
              <w:rPr>
                <w:bCs/>
              </w:rPr>
              <w:t>SCell for carrier aggregation to support high speed up to 500 km/h as specified in TS 38.133 [14].</w:t>
            </w:r>
          </w:p>
        </w:tc>
      </w:tr>
      <w:tr w:rsidR="005C7FF4" w:rsidRPr="00FA0D37"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FA0D37" w:rsidRDefault="00394471" w:rsidP="00964CC4">
            <w:pPr>
              <w:pStyle w:val="TAL"/>
              <w:rPr>
                <w:b/>
                <w:bCs/>
                <w:i/>
                <w:iCs/>
              </w:rPr>
            </w:pPr>
            <w:r w:rsidRPr="00FA0D37">
              <w:rPr>
                <w:b/>
                <w:bCs/>
                <w:i/>
                <w:iCs/>
              </w:rPr>
              <w:t>highSpeedMeasFlag</w:t>
            </w:r>
          </w:p>
          <w:p w14:paraId="7295DCCF" w14:textId="77777777" w:rsidR="00CC5F2A" w:rsidRPr="00FA0D37" w:rsidRDefault="00394471" w:rsidP="00CC5F2A">
            <w:pPr>
              <w:pStyle w:val="TAL"/>
            </w:pPr>
            <w:r w:rsidRPr="00FA0D37">
              <w:t>If the field is present</w:t>
            </w:r>
            <w:r w:rsidR="00CC5F2A" w:rsidRPr="00FA0D37">
              <w:t xml:space="preserve"> </w:t>
            </w:r>
            <w:r w:rsidR="00CC5F2A" w:rsidRPr="00FA0D37">
              <w:rPr>
                <w:rFonts w:cs="Arial"/>
                <w:szCs w:val="18"/>
              </w:rPr>
              <w:t>and</w:t>
            </w:r>
            <w:r w:rsidR="00CC5F2A" w:rsidRPr="00FA0D37">
              <w:rPr>
                <w:rFonts w:eastAsia="TimesNewRomanPSMT" w:cs="Arial"/>
                <w:szCs w:val="18"/>
              </w:rPr>
              <w:t xml:space="preserve"> </w:t>
            </w:r>
            <w:r w:rsidR="00CC5F2A" w:rsidRPr="00FA0D37">
              <w:rPr>
                <w:rFonts w:cs="Arial"/>
                <w:szCs w:val="18"/>
              </w:rPr>
              <w:t>UE supports</w:t>
            </w:r>
            <w:r w:rsidR="00CC5F2A" w:rsidRPr="00FA0D37">
              <w:rPr>
                <w:rFonts w:eastAsia="TimesNewRomanPSMT" w:cs="Arial"/>
                <w:szCs w:val="18"/>
              </w:rPr>
              <w:t xml:space="preserve"> </w:t>
            </w:r>
            <w:r w:rsidR="00CC5F2A" w:rsidRPr="00FA0D37">
              <w:rPr>
                <w:rFonts w:cs="Arial"/>
                <w:i/>
                <w:iCs/>
                <w:szCs w:val="18"/>
              </w:rPr>
              <w:t>measurementEnhancement-r16</w:t>
            </w:r>
            <w:r w:rsidRPr="00FA0D37">
              <w:t xml:space="preserve">, the UE shall apply the enhanced </w:t>
            </w:r>
            <w:r w:rsidR="00CC5F2A" w:rsidRPr="00FA0D37">
              <w:rPr>
                <w:rFonts w:cs="Arial"/>
                <w:szCs w:val="18"/>
              </w:rPr>
              <w:t>intra-NR and inter-RAT EUTRAN</w:t>
            </w:r>
            <w:r w:rsidR="00CC5F2A" w:rsidRPr="00FA0D37">
              <w:t xml:space="preserve"> </w:t>
            </w:r>
            <w:r w:rsidRPr="00FA0D37">
              <w:t>RRM requirements to support high speed up to 500 km/h as specified in TS 38.133 [14].</w:t>
            </w:r>
          </w:p>
          <w:p w14:paraId="7A44E6AF" w14:textId="77777777" w:rsidR="00CC5F2A" w:rsidRPr="00FA0D37" w:rsidRDefault="00CC5F2A" w:rsidP="00CC5F2A">
            <w:pPr>
              <w:pStyle w:val="TAL"/>
            </w:pPr>
            <w:r w:rsidRPr="00FA0D37">
              <w:t xml:space="preserve">If the field is present and UE supports </w:t>
            </w:r>
            <w:r w:rsidRPr="00FA0D37">
              <w:rPr>
                <w:i/>
                <w:iCs/>
              </w:rPr>
              <w:t>intraNR-MeasurementEnhancement-r16</w:t>
            </w:r>
            <w:r w:rsidRPr="00FA0D37">
              <w:t>, the UE shall apply enhanced intra-NR RRM requirement to support high speed up to 500 km/h as specified in TS 38.133 [14].</w:t>
            </w:r>
          </w:p>
          <w:p w14:paraId="54B78C4E" w14:textId="77777777" w:rsidR="00E266E3" w:rsidRPr="00FA0D37" w:rsidRDefault="00CC5F2A" w:rsidP="00E266E3">
            <w:pPr>
              <w:pStyle w:val="TAL"/>
            </w:pPr>
            <w:r w:rsidRPr="00FA0D37">
              <w:t>If the field is present and UE supports</w:t>
            </w:r>
            <w:r w:rsidRPr="00FA0D37">
              <w:rPr>
                <w:i/>
                <w:iCs/>
              </w:rPr>
              <w:t xml:space="preserve"> interRAT-MeasurementEnhancement-r16</w:t>
            </w:r>
            <w:r w:rsidRPr="00FA0D37">
              <w:t>, the UE shall apply enhanced inter-RAT EUTRAN RRM requirement to support high speed up to 500 km/h as specified in TS 38.133 [14].</w:t>
            </w:r>
          </w:p>
          <w:p w14:paraId="332C6C43" w14:textId="39411B79" w:rsidR="00394471" w:rsidRPr="00FA0D37" w:rsidRDefault="00E266E3" w:rsidP="00E266E3">
            <w:pPr>
              <w:pStyle w:val="TAL"/>
              <w:rPr>
                <w:lang w:eastAsia="zh-CN"/>
              </w:rPr>
            </w:pPr>
            <w:r w:rsidRPr="00FA0D37">
              <w:t xml:space="preserve">This parameter only applies to </w:t>
            </w:r>
            <w:r w:rsidR="005507D1" w:rsidRPr="00FA0D37">
              <w:t xml:space="preserve">the </w:t>
            </w:r>
            <w:r w:rsidR="005507D1" w:rsidRPr="00FA0D37">
              <w:rPr>
                <w:lang w:eastAsia="zh-CN"/>
              </w:rPr>
              <w:t xml:space="preserve">serving frequency </w:t>
            </w:r>
            <w:r w:rsidR="005507D1" w:rsidRPr="00FA0D37">
              <w:t xml:space="preserve">of </w:t>
            </w:r>
            <w:r w:rsidRPr="00FA0D37">
              <w:t>SpCell.</w:t>
            </w:r>
          </w:p>
        </w:tc>
      </w:tr>
      <w:tr w:rsidR="005C7FF4" w:rsidRPr="00FA0D37"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FA0D37" w:rsidRDefault="00A2423A" w:rsidP="000830BB">
            <w:pPr>
              <w:pStyle w:val="TAL"/>
              <w:rPr>
                <w:b/>
                <w:bCs/>
                <w:i/>
                <w:iCs/>
              </w:rPr>
            </w:pPr>
            <w:r w:rsidRPr="00FA0D37">
              <w:rPr>
                <w:b/>
                <w:bCs/>
                <w:i/>
                <w:iCs/>
              </w:rPr>
              <w:t>highSpeedMeasFlagFR2</w:t>
            </w:r>
          </w:p>
          <w:p w14:paraId="25B4B0C4" w14:textId="77777777" w:rsidR="00A2423A" w:rsidRPr="00FA0D37" w:rsidRDefault="00A2423A" w:rsidP="000830BB">
            <w:pPr>
              <w:pStyle w:val="TAL"/>
              <w:rPr>
                <w:lang w:eastAsia="zh-CN"/>
              </w:rPr>
            </w:pPr>
            <w:r w:rsidRPr="00FA0D37">
              <w:t>If the field is present, the UE shall apply enhanced intra-NR RRM requirement set one to support high speed up to 350 km/h for FR2 as specified in TS 38.133 [14], if the field value is set1 or RRM requirement set two if the field value is set2.</w:t>
            </w:r>
          </w:p>
        </w:tc>
      </w:tr>
      <w:tr w:rsidR="00375B89" w:rsidRPr="00FA0D37"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FA0D37" w:rsidRDefault="00F53531" w:rsidP="00771058">
            <w:pPr>
              <w:pStyle w:val="TAL"/>
              <w:rPr>
                <w:b/>
                <w:bCs/>
                <w:i/>
                <w:iCs/>
              </w:rPr>
            </w:pPr>
            <w:r w:rsidRPr="00FA0D37">
              <w:rPr>
                <w:b/>
                <w:bCs/>
                <w:i/>
                <w:iCs/>
              </w:rPr>
              <w:t>highSpeedMeasInterFreq</w:t>
            </w:r>
          </w:p>
          <w:p w14:paraId="68B13CC9" w14:textId="77777777" w:rsidR="00F53531" w:rsidRPr="00FA0D37" w:rsidRDefault="00F53531" w:rsidP="00771058">
            <w:pPr>
              <w:pStyle w:val="TAL"/>
              <w:rPr>
                <w:b/>
                <w:bCs/>
                <w:i/>
                <w:iCs/>
              </w:rPr>
            </w:pPr>
            <w:r w:rsidRPr="00FA0D37">
              <w:rPr>
                <w:bCs/>
              </w:rPr>
              <w:t xml:space="preserve">If the field is present </w:t>
            </w:r>
            <w:r w:rsidRPr="00FA0D37">
              <w:rPr>
                <w:rFonts w:cs="Arial"/>
                <w:bCs/>
                <w:szCs w:val="18"/>
              </w:rPr>
              <w:t>and</w:t>
            </w:r>
            <w:r w:rsidRPr="00FA0D37">
              <w:rPr>
                <w:rFonts w:eastAsia="TimesNewRomanPSMT" w:cs="Arial"/>
                <w:bCs/>
                <w:szCs w:val="18"/>
              </w:rPr>
              <w:t xml:space="preserve"> </w:t>
            </w:r>
            <w:r w:rsidRPr="00FA0D37">
              <w:rPr>
                <w:rFonts w:cs="Arial"/>
                <w:bCs/>
                <w:szCs w:val="18"/>
              </w:rPr>
              <w:t>UE supports</w:t>
            </w:r>
            <w:r w:rsidRPr="00FA0D37">
              <w:rPr>
                <w:rFonts w:eastAsia="TimesNewRomanPSMT" w:cs="Arial"/>
                <w:bCs/>
                <w:szCs w:val="18"/>
              </w:rPr>
              <w:t xml:space="preserve"> </w:t>
            </w:r>
            <w:r w:rsidRPr="00FA0D37">
              <w:rPr>
                <w:rFonts w:eastAsia="TimesNewRomanPSMT" w:cs="Arial"/>
                <w:bCs/>
                <w:i/>
                <w:iCs/>
                <w:szCs w:val="18"/>
              </w:rPr>
              <w:t>measurementEnhancementInterFreq-r17</w:t>
            </w:r>
            <w:r w:rsidRPr="00FA0D37">
              <w:rPr>
                <w:bCs/>
              </w:rPr>
              <w:t>, the UE shall apply the enhanced RRM requirements for inter-frequency measurement in RRC_CONNECTED to support high speed up to 500 km/h as specified in TS 38.133 [14].</w:t>
            </w:r>
          </w:p>
        </w:tc>
      </w:tr>
    </w:tbl>
    <w:p w14:paraId="21B89302" w14:textId="77777777" w:rsidR="0093088F" w:rsidRPr="00FA0D37"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5C7FF4" w:rsidRPr="00FA0D37"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FA0D37" w:rsidRDefault="0093088F" w:rsidP="00A12BD9">
            <w:pPr>
              <w:pStyle w:val="TAH"/>
              <w:rPr>
                <w:rFonts w:eastAsia="Calibri"/>
                <w:lang w:eastAsia="sv-SE"/>
              </w:rPr>
            </w:pPr>
            <w:r w:rsidRPr="00FA0D37">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FA0D37" w:rsidRDefault="0093088F" w:rsidP="00A12BD9">
            <w:pPr>
              <w:pStyle w:val="TAH"/>
              <w:rPr>
                <w:rFonts w:eastAsia="Calibri"/>
                <w:lang w:eastAsia="sv-SE"/>
              </w:rPr>
            </w:pPr>
            <w:r w:rsidRPr="00FA0D37">
              <w:rPr>
                <w:rFonts w:eastAsia="Calibri"/>
                <w:lang w:eastAsia="sv-SE"/>
              </w:rPr>
              <w:t>Explanation</w:t>
            </w:r>
          </w:p>
        </w:tc>
      </w:tr>
      <w:tr w:rsidR="005C7FF4" w:rsidRPr="00FA0D37"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FA0D37" w:rsidRDefault="0093088F" w:rsidP="00A12BD9">
            <w:pPr>
              <w:pStyle w:val="TAL"/>
              <w:rPr>
                <w:rFonts w:eastAsia="Calibri"/>
                <w:i/>
                <w:iCs/>
                <w:lang w:eastAsia="sv-SE"/>
              </w:rPr>
            </w:pPr>
            <w:r w:rsidRPr="00FA0D37">
              <w:rPr>
                <w:rFonts w:eastAsia="Calibri"/>
                <w:i/>
                <w:iCs/>
                <w:lang w:eastAsia="sv-SE"/>
              </w:rPr>
              <w:t>S</w:t>
            </w:r>
            <w:r w:rsidR="006D1637" w:rsidRPr="00FA0D37">
              <w:rPr>
                <w:rFonts w:eastAsia="Calibri"/>
                <w:i/>
                <w:iCs/>
                <w:lang w:eastAsia="sv-SE"/>
              </w:rPr>
              <w:t>C</w:t>
            </w:r>
            <w:r w:rsidRPr="00FA0D37">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FA0D37" w:rsidRDefault="0093088F" w:rsidP="00A12BD9">
            <w:pPr>
              <w:pStyle w:val="TAL"/>
              <w:rPr>
                <w:rFonts w:eastAsia="Calibri"/>
                <w:lang w:eastAsia="sv-SE"/>
              </w:rPr>
            </w:pPr>
            <w:r w:rsidRPr="00FA0D37">
              <w:rPr>
                <w:rFonts w:eastAsia="Calibri"/>
                <w:lang w:eastAsia="sv-SE"/>
              </w:rPr>
              <w:t xml:space="preserve">The field is optionally present, Need </w:t>
            </w:r>
            <w:r w:rsidRPr="00FA0D37">
              <w:rPr>
                <w:rFonts w:eastAsia="Calibri"/>
                <w:lang w:eastAsia="zh-CN"/>
              </w:rPr>
              <w:t>R,</w:t>
            </w:r>
            <w:r w:rsidRPr="00FA0D37">
              <w:rPr>
                <w:rFonts w:eastAsia="Calibri"/>
                <w:lang w:eastAsia="sv-SE"/>
              </w:rPr>
              <w:t xml:space="preserve"> in </w:t>
            </w:r>
            <w:r w:rsidRPr="00FA0D37">
              <w:rPr>
                <w:rFonts w:eastAsia="Calibri"/>
                <w:i/>
                <w:iCs/>
                <w:lang w:eastAsia="sv-SE"/>
              </w:rPr>
              <w:t>ServingCellConfigCommon</w:t>
            </w:r>
            <w:r w:rsidRPr="00FA0D37">
              <w:rPr>
                <w:rFonts w:eastAsia="Calibri"/>
                <w:lang w:eastAsia="sv-SE"/>
              </w:rPr>
              <w:t xml:space="preserve"> of an S</w:t>
            </w:r>
            <w:r w:rsidR="006D1637" w:rsidRPr="00FA0D37">
              <w:rPr>
                <w:rFonts w:eastAsia="Calibri"/>
                <w:lang w:eastAsia="sv-SE"/>
              </w:rPr>
              <w:t>C</w:t>
            </w:r>
            <w:r w:rsidRPr="00FA0D37">
              <w:rPr>
                <w:rFonts w:eastAsia="Calibri"/>
                <w:lang w:eastAsia="sv-SE"/>
              </w:rPr>
              <w:t>ell. It is absent otherwise.</w:t>
            </w:r>
          </w:p>
        </w:tc>
      </w:tr>
      <w:tr w:rsidR="005C7FF4" w:rsidRPr="00FA0D37"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FA0D37" w:rsidRDefault="005507D1" w:rsidP="00A12BD9">
            <w:pPr>
              <w:pStyle w:val="TAL"/>
              <w:rPr>
                <w:rFonts w:eastAsia="Calibri"/>
                <w:i/>
                <w:iCs/>
                <w:lang w:eastAsia="sv-SE"/>
              </w:rPr>
            </w:pPr>
            <w:r w:rsidRPr="00FA0D37">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FA0D37" w:rsidRDefault="005507D1" w:rsidP="00A12BD9">
            <w:pPr>
              <w:pStyle w:val="TAL"/>
              <w:rPr>
                <w:rFonts w:eastAsia="Calibri"/>
                <w:lang w:eastAsia="sv-SE"/>
              </w:rPr>
            </w:pPr>
            <w:r w:rsidRPr="00FA0D37">
              <w:rPr>
                <w:rFonts w:eastAsia="Calibri"/>
                <w:lang w:eastAsia="sv-SE"/>
              </w:rPr>
              <w:t xml:space="preserve">The field is optionally present, Need R, in </w:t>
            </w:r>
            <w:r w:rsidRPr="00FA0D37">
              <w:rPr>
                <w:i/>
                <w:iCs/>
                <w:lang w:eastAsia="sv-SE"/>
              </w:rPr>
              <w:t>ServingCellConfigCommonSIB</w:t>
            </w:r>
            <w:r w:rsidRPr="00FA0D37">
              <w:rPr>
                <w:iCs/>
              </w:rPr>
              <w:t xml:space="preserve"> or in the </w:t>
            </w:r>
            <w:r w:rsidRPr="00FA0D37">
              <w:rPr>
                <w:i/>
              </w:rPr>
              <w:t>ServingCellConfigCommon</w:t>
            </w:r>
            <w:r w:rsidRPr="00FA0D37">
              <w:rPr>
                <w:rFonts w:eastAsia="Calibri"/>
                <w:lang w:eastAsia="sv-SE"/>
              </w:rPr>
              <w:t xml:space="preserve"> of an Sp</w:t>
            </w:r>
            <w:r w:rsidR="006D1637" w:rsidRPr="00FA0D37">
              <w:rPr>
                <w:rFonts w:eastAsia="Calibri"/>
                <w:lang w:eastAsia="sv-SE"/>
              </w:rPr>
              <w:t>C</w:t>
            </w:r>
            <w:r w:rsidRPr="00FA0D37">
              <w:rPr>
                <w:rFonts w:eastAsia="Calibri"/>
                <w:lang w:eastAsia="sv-SE"/>
              </w:rPr>
              <w:t>ell. It is absent otherwise.</w:t>
            </w:r>
          </w:p>
        </w:tc>
      </w:tr>
      <w:tr w:rsidR="0093088F" w:rsidRPr="00FA0D37"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FA0D37" w:rsidRDefault="0093088F" w:rsidP="00A12BD9">
            <w:pPr>
              <w:pStyle w:val="TAL"/>
              <w:rPr>
                <w:rFonts w:eastAsia="Calibri"/>
                <w:i/>
                <w:iCs/>
                <w:lang w:eastAsia="sv-SE"/>
              </w:rPr>
            </w:pPr>
            <w:r w:rsidRPr="00FA0D37">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FA0D37" w:rsidRDefault="0093088F" w:rsidP="00A12BD9">
            <w:pPr>
              <w:pStyle w:val="TAL"/>
              <w:rPr>
                <w:rFonts w:eastAsia="Calibri"/>
                <w:lang w:eastAsia="sv-SE"/>
              </w:rPr>
            </w:pPr>
            <w:r w:rsidRPr="00FA0D37">
              <w:rPr>
                <w:rFonts w:eastAsia="Calibri"/>
                <w:lang w:eastAsia="sv-SE"/>
              </w:rPr>
              <w:t xml:space="preserve">The field is optionally present, Need R, </w:t>
            </w:r>
            <w:r w:rsidRPr="00FA0D37">
              <w:t xml:space="preserve">in </w:t>
            </w:r>
            <w:r w:rsidRPr="00FA0D37">
              <w:rPr>
                <w:i/>
              </w:rPr>
              <w:t>ServingCellConfigCommon</w:t>
            </w:r>
            <w:r w:rsidRPr="00FA0D37">
              <w:rPr>
                <w:rFonts w:eastAsia="Calibri"/>
                <w:lang w:eastAsia="sv-SE"/>
              </w:rPr>
              <w:t xml:space="preserve"> of an Sp</w:t>
            </w:r>
            <w:r w:rsidR="006D1637" w:rsidRPr="00FA0D37">
              <w:rPr>
                <w:rFonts w:eastAsia="Calibri"/>
                <w:lang w:eastAsia="sv-SE"/>
              </w:rPr>
              <w:t>C</w:t>
            </w:r>
            <w:r w:rsidRPr="00FA0D37">
              <w:rPr>
                <w:rFonts w:eastAsia="Calibri"/>
                <w:lang w:eastAsia="sv-SE"/>
              </w:rPr>
              <w:t>ell. It is absent otherwise.</w:t>
            </w:r>
          </w:p>
        </w:tc>
      </w:tr>
    </w:tbl>
    <w:p w14:paraId="60527AB8" w14:textId="77777777" w:rsidR="00394471" w:rsidRPr="00FA0D37" w:rsidRDefault="00394471" w:rsidP="00394471"/>
    <w:p w14:paraId="573AC86C" w14:textId="03051F17" w:rsidR="00394471" w:rsidRPr="00FA0D37" w:rsidRDefault="00394471" w:rsidP="00394471">
      <w:pPr>
        <w:pStyle w:val="4"/>
        <w:rPr>
          <w:rFonts w:eastAsia="MS Mincho"/>
        </w:rPr>
      </w:pPr>
      <w:bookmarkStart w:id="1052" w:name="_Toc60777243"/>
      <w:bookmarkStart w:id="1053" w:name="_Toc146781300"/>
      <w:r w:rsidRPr="00FA0D37">
        <w:rPr>
          <w:rFonts w:eastAsia="MS Mincho"/>
        </w:rPr>
        <w:t>–</w:t>
      </w:r>
      <w:r w:rsidRPr="00FA0D37">
        <w:rPr>
          <w:rFonts w:eastAsia="MS Mincho"/>
        </w:rPr>
        <w:tab/>
      </w:r>
      <w:r w:rsidRPr="00FA0D37">
        <w:rPr>
          <w:rFonts w:eastAsia="MS Mincho"/>
          <w:i/>
        </w:rPr>
        <w:t>Hysteresis</w:t>
      </w:r>
      <w:bookmarkEnd w:id="1052"/>
      <w:bookmarkEnd w:id="1053"/>
    </w:p>
    <w:p w14:paraId="0527C070" w14:textId="1DF1C315" w:rsidR="00394471" w:rsidRPr="00FA0D37" w:rsidRDefault="00394471" w:rsidP="00394471">
      <w:pPr>
        <w:rPr>
          <w:rFonts w:eastAsia="MS Mincho"/>
        </w:rPr>
      </w:pPr>
      <w:r w:rsidRPr="00FA0D37">
        <w:t xml:space="preserve">The IE </w:t>
      </w:r>
      <w:r w:rsidRPr="00FA0D37">
        <w:rPr>
          <w:i/>
        </w:rPr>
        <w:t>Hysteresis</w:t>
      </w:r>
      <w:r w:rsidRPr="00FA0D37">
        <w:t xml:space="preserve"> is a parameter used within the entry and leave condition of an event triggered reporting condition.</w:t>
      </w:r>
      <w:r w:rsidRPr="00FA0D37">
        <w:rPr>
          <w:lang w:eastAsia="ko-KR"/>
        </w:rPr>
        <w:t xml:space="preserve"> The actual value is field value * 0.5 dB.</w:t>
      </w:r>
    </w:p>
    <w:p w14:paraId="610E3D10" w14:textId="77777777" w:rsidR="00394471" w:rsidRPr="00FA0D37" w:rsidRDefault="00394471" w:rsidP="00394471">
      <w:pPr>
        <w:pStyle w:val="TH"/>
      </w:pPr>
      <w:r w:rsidRPr="00FA0D37">
        <w:rPr>
          <w:bCs/>
          <w:i/>
          <w:iCs/>
        </w:rPr>
        <w:lastRenderedPageBreak/>
        <w:t xml:space="preserve">Hysteresis </w:t>
      </w:r>
      <w:r w:rsidRPr="00FA0D37">
        <w:t>information element</w:t>
      </w:r>
    </w:p>
    <w:p w14:paraId="7A496760" w14:textId="77777777" w:rsidR="00394471" w:rsidRPr="00FA0D37" w:rsidRDefault="00394471" w:rsidP="00FA0D37">
      <w:pPr>
        <w:pStyle w:val="PL"/>
        <w:rPr>
          <w:color w:val="808080"/>
        </w:rPr>
      </w:pPr>
      <w:r w:rsidRPr="00FA0D37">
        <w:rPr>
          <w:color w:val="808080"/>
        </w:rPr>
        <w:t>-- ASN1START</w:t>
      </w:r>
    </w:p>
    <w:p w14:paraId="6D0FC289" w14:textId="77777777" w:rsidR="00394471" w:rsidRPr="00FA0D37" w:rsidRDefault="00394471" w:rsidP="00FA0D37">
      <w:pPr>
        <w:pStyle w:val="PL"/>
        <w:rPr>
          <w:color w:val="808080"/>
        </w:rPr>
      </w:pPr>
      <w:r w:rsidRPr="00FA0D37">
        <w:rPr>
          <w:color w:val="808080"/>
        </w:rPr>
        <w:t>-- TAG-HYSTERESIS-START</w:t>
      </w:r>
    </w:p>
    <w:p w14:paraId="10A6FAEF" w14:textId="77777777" w:rsidR="00394471" w:rsidRPr="00FA0D37" w:rsidRDefault="00394471" w:rsidP="00FA0D37">
      <w:pPr>
        <w:pStyle w:val="PL"/>
      </w:pPr>
    </w:p>
    <w:p w14:paraId="70F54B5C" w14:textId="77777777" w:rsidR="00394471" w:rsidRPr="00FA0D37" w:rsidRDefault="00394471" w:rsidP="00FA0D37">
      <w:pPr>
        <w:pStyle w:val="PL"/>
      </w:pPr>
      <w:r w:rsidRPr="00FA0D37">
        <w:t xml:space="preserve">Hysteresis ::=                      </w:t>
      </w:r>
      <w:r w:rsidRPr="00FA0D37">
        <w:rPr>
          <w:color w:val="993366"/>
        </w:rPr>
        <w:t>INTEGER</w:t>
      </w:r>
      <w:r w:rsidRPr="00FA0D37">
        <w:t xml:space="preserve"> (0..30)</w:t>
      </w:r>
    </w:p>
    <w:p w14:paraId="0D58EC88" w14:textId="6D1E4CED" w:rsidR="00394471" w:rsidRPr="00FA0D37" w:rsidRDefault="00394471" w:rsidP="00FA0D37">
      <w:pPr>
        <w:pStyle w:val="PL"/>
      </w:pPr>
    </w:p>
    <w:p w14:paraId="2776C44C" w14:textId="77777777" w:rsidR="00394471" w:rsidRPr="00FA0D37" w:rsidRDefault="00394471" w:rsidP="00FA0D37">
      <w:pPr>
        <w:pStyle w:val="PL"/>
        <w:rPr>
          <w:color w:val="808080"/>
        </w:rPr>
      </w:pPr>
      <w:r w:rsidRPr="00FA0D37">
        <w:rPr>
          <w:color w:val="808080"/>
        </w:rPr>
        <w:t>-- TAG-HYSTERESIS-STOP</w:t>
      </w:r>
    </w:p>
    <w:p w14:paraId="12555581" w14:textId="77777777" w:rsidR="00394471" w:rsidRPr="00FA0D37" w:rsidRDefault="00394471" w:rsidP="00FA0D37">
      <w:pPr>
        <w:pStyle w:val="PL"/>
        <w:rPr>
          <w:color w:val="808080"/>
        </w:rPr>
      </w:pPr>
      <w:r w:rsidRPr="00FA0D37">
        <w:rPr>
          <w:color w:val="808080"/>
        </w:rPr>
        <w:t>-- ASN1STOP</w:t>
      </w:r>
    </w:p>
    <w:p w14:paraId="50AC963A" w14:textId="77777777" w:rsidR="00771058" w:rsidRPr="00FA0D37" w:rsidRDefault="00771058" w:rsidP="00771058">
      <w:bookmarkStart w:id="1054" w:name="_Toc60777244"/>
    </w:p>
    <w:p w14:paraId="080C120E" w14:textId="77777777" w:rsidR="00771058" w:rsidRPr="00FA0D37" w:rsidRDefault="00771058" w:rsidP="00771058">
      <w:pPr>
        <w:pStyle w:val="4"/>
        <w:rPr>
          <w:rFonts w:eastAsia="MS Mincho"/>
        </w:rPr>
      </w:pPr>
      <w:bookmarkStart w:id="1055" w:name="_Toc146781301"/>
      <w:r w:rsidRPr="00FA0D37">
        <w:rPr>
          <w:rFonts w:eastAsia="MS Mincho"/>
        </w:rPr>
        <w:t>–</w:t>
      </w:r>
      <w:r w:rsidRPr="00FA0D37">
        <w:rPr>
          <w:rFonts w:eastAsia="MS Mincho"/>
        </w:rPr>
        <w:tab/>
      </w:r>
      <w:r w:rsidRPr="00FA0D37">
        <w:rPr>
          <w:rFonts w:eastAsia="MS Mincho"/>
          <w:i/>
        </w:rPr>
        <w:t>HysteresisLocation</w:t>
      </w:r>
      <w:bookmarkEnd w:id="1055"/>
    </w:p>
    <w:p w14:paraId="521D548A" w14:textId="19626A55" w:rsidR="00771058" w:rsidRPr="00FA0D37" w:rsidRDefault="00771058" w:rsidP="00771058">
      <w:pPr>
        <w:rPr>
          <w:rFonts w:eastAsia="MS Mincho"/>
        </w:rPr>
      </w:pPr>
      <w:r w:rsidRPr="00FA0D37">
        <w:rPr>
          <w:lang w:eastAsia="ko-KR"/>
        </w:rPr>
        <w:t>The</w:t>
      </w:r>
      <w:r w:rsidRPr="00FA0D37">
        <w:rPr>
          <w:i/>
          <w:iCs/>
          <w:lang w:eastAsia="ko-KR"/>
        </w:rPr>
        <w:t xml:space="preserve"> </w:t>
      </w:r>
      <w:r w:rsidR="001163BA" w:rsidRPr="00FA0D37">
        <w:rPr>
          <w:lang w:eastAsia="ko-KR"/>
        </w:rPr>
        <w:t>IE</w:t>
      </w:r>
      <w:r w:rsidR="001163BA" w:rsidRPr="00FA0D37">
        <w:rPr>
          <w:i/>
          <w:iCs/>
          <w:lang w:eastAsia="ko-KR"/>
        </w:rPr>
        <w:t xml:space="preserve"> </w:t>
      </w:r>
      <w:r w:rsidRPr="00FA0D37">
        <w:rPr>
          <w:i/>
          <w:iCs/>
          <w:lang w:eastAsia="ko-KR"/>
        </w:rPr>
        <w:t>HysteresisLocation</w:t>
      </w:r>
      <w:r w:rsidRPr="00FA0D37">
        <w:rPr>
          <w:lang w:eastAsia="ko-KR"/>
        </w:rPr>
        <w:t xml:space="preserve"> is a parameter used within entry and leave condition of a location based event triggered reporting condition. The actual value is field value * 10 meters</w:t>
      </w:r>
      <w:r w:rsidRPr="00FA0D37">
        <w:rPr>
          <w:rFonts w:eastAsia="MS Mincho"/>
        </w:rPr>
        <w:t>.</w:t>
      </w:r>
    </w:p>
    <w:p w14:paraId="4A41077A" w14:textId="77777777" w:rsidR="00771058" w:rsidRPr="00FA0D37" w:rsidRDefault="00771058" w:rsidP="00771058">
      <w:pPr>
        <w:pStyle w:val="TH"/>
      </w:pPr>
      <w:r w:rsidRPr="00FA0D37">
        <w:rPr>
          <w:bCs/>
          <w:i/>
          <w:iCs/>
        </w:rPr>
        <w:t xml:space="preserve">HysteresisLocation </w:t>
      </w:r>
      <w:r w:rsidRPr="00FA0D37">
        <w:t>information element</w:t>
      </w:r>
    </w:p>
    <w:p w14:paraId="3BC8A8E4" w14:textId="77777777" w:rsidR="00771058" w:rsidRPr="00FA0D37" w:rsidRDefault="00771058" w:rsidP="00FA0D37">
      <w:pPr>
        <w:pStyle w:val="PL"/>
        <w:rPr>
          <w:color w:val="808080"/>
        </w:rPr>
      </w:pPr>
      <w:r w:rsidRPr="00FA0D37">
        <w:rPr>
          <w:color w:val="808080"/>
        </w:rPr>
        <w:t>-- ASN1START</w:t>
      </w:r>
    </w:p>
    <w:p w14:paraId="1C03F6F1" w14:textId="77777777" w:rsidR="00771058" w:rsidRPr="00FA0D37" w:rsidRDefault="00771058" w:rsidP="00FA0D37">
      <w:pPr>
        <w:pStyle w:val="PL"/>
        <w:rPr>
          <w:color w:val="808080"/>
        </w:rPr>
      </w:pPr>
      <w:r w:rsidRPr="00FA0D37">
        <w:rPr>
          <w:color w:val="808080"/>
        </w:rPr>
        <w:t>-- TAG-HYSTERESISLOCATION-START</w:t>
      </w:r>
    </w:p>
    <w:p w14:paraId="312DC9D8" w14:textId="77777777" w:rsidR="00771058" w:rsidRPr="00FA0D37" w:rsidRDefault="00771058" w:rsidP="00FA0D37">
      <w:pPr>
        <w:pStyle w:val="PL"/>
      </w:pPr>
    </w:p>
    <w:p w14:paraId="44A53823" w14:textId="77777777" w:rsidR="00771058" w:rsidRPr="00FA0D37" w:rsidRDefault="00771058" w:rsidP="00FA0D37">
      <w:pPr>
        <w:pStyle w:val="PL"/>
      </w:pPr>
      <w:r w:rsidRPr="00FA0D37">
        <w:t xml:space="preserve">HysteresisLocation-r17 ::=          </w:t>
      </w:r>
      <w:r w:rsidRPr="00FA0D37">
        <w:rPr>
          <w:color w:val="993366"/>
        </w:rPr>
        <w:t>INTEGER</w:t>
      </w:r>
      <w:r w:rsidRPr="00FA0D37">
        <w:t xml:space="preserve"> (0..32768)</w:t>
      </w:r>
    </w:p>
    <w:p w14:paraId="11677A4C" w14:textId="77777777" w:rsidR="00771058" w:rsidRPr="00FA0D37" w:rsidRDefault="00771058" w:rsidP="00FA0D37">
      <w:pPr>
        <w:pStyle w:val="PL"/>
      </w:pPr>
    </w:p>
    <w:p w14:paraId="49CB7872" w14:textId="77777777" w:rsidR="00771058" w:rsidRPr="00FA0D37" w:rsidRDefault="00771058" w:rsidP="00FA0D37">
      <w:pPr>
        <w:pStyle w:val="PL"/>
        <w:rPr>
          <w:color w:val="808080"/>
        </w:rPr>
      </w:pPr>
      <w:r w:rsidRPr="00FA0D37">
        <w:rPr>
          <w:color w:val="808080"/>
        </w:rPr>
        <w:t>-- TAG-HYSTERESISLOCATION-STOP</w:t>
      </w:r>
    </w:p>
    <w:p w14:paraId="1DD88828" w14:textId="77777777" w:rsidR="00771058" w:rsidRPr="00FA0D37" w:rsidRDefault="00771058" w:rsidP="00FA0D37">
      <w:pPr>
        <w:pStyle w:val="PL"/>
        <w:rPr>
          <w:color w:val="808080"/>
        </w:rPr>
      </w:pPr>
      <w:r w:rsidRPr="00FA0D37">
        <w:rPr>
          <w:color w:val="808080"/>
        </w:rPr>
        <w:t>-- ASN1STOP</w:t>
      </w:r>
    </w:p>
    <w:p w14:paraId="29DFB718" w14:textId="77777777" w:rsidR="00771058" w:rsidRPr="00FA0D37" w:rsidRDefault="00771058" w:rsidP="00F747EB"/>
    <w:p w14:paraId="6EBDEAAF" w14:textId="4F307F89" w:rsidR="00394471" w:rsidRPr="00FA0D37" w:rsidRDefault="00394471" w:rsidP="00394471">
      <w:pPr>
        <w:pStyle w:val="4"/>
        <w:rPr>
          <w:i/>
          <w:iCs/>
          <w:lang w:eastAsia="x-none"/>
        </w:rPr>
      </w:pPr>
      <w:bookmarkStart w:id="1056" w:name="_Toc146781302"/>
      <w:r w:rsidRPr="00FA0D37">
        <w:t>–</w:t>
      </w:r>
      <w:r w:rsidRPr="00FA0D37">
        <w:tab/>
      </w:r>
      <w:r w:rsidRPr="00FA0D37">
        <w:rPr>
          <w:i/>
          <w:iCs/>
          <w:lang w:eastAsia="x-none"/>
        </w:rPr>
        <w:t>InvalidSymbolPattern</w:t>
      </w:r>
      <w:bookmarkEnd w:id="1054"/>
      <w:bookmarkEnd w:id="1056"/>
    </w:p>
    <w:p w14:paraId="06E13DF4" w14:textId="77777777" w:rsidR="00394471" w:rsidRPr="00FA0D37" w:rsidRDefault="00394471" w:rsidP="00394471">
      <w:r w:rsidRPr="00FA0D37">
        <w:t xml:space="preserve">The IE </w:t>
      </w:r>
      <w:r w:rsidRPr="00FA0D37">
        <w:rPr>
          <w:i/>
        </w:rPr>
        <w:t>InvalidSymbolPattern</w:t>
      </w:r>
      <w:r w:rsidRPr="00FA0D37">
        <w:t xml:space="preserve"> is used to configure one invalid symbol pattern for PUSCH transmission repetition type B applicable for both DCI format 0_1 and 0_2, see TS 38.214 [19], clause 6.1.</w:t>
      </w:r>
    </w:p>
    <w:p w14:paraId="0A126F38" w14:textId="77777777" w:rsidR="00394471" w:rsidRPr="00FA0D37" w:rsidRDefault="00394471" w:rsidP="00394471">
      <w:pPr>
        <w:pStyle w:val="TH"/>
        <w:rPr>
          <w:b w:val="0"/>
        </w:rPr>
      </w:pPr>
      <w:r w:rsidRPr="00FA0D37">
        <w:rPr>
          <w:i/>
        </w:rPr>
        <w:t>InvalidSymbolPattern</w:t>
      </w:r>
      <w:r w:rsidRPr="00FA0D37">
        <w:t xml:space="preserve"> information element</w:t>
      </w:r>
    </w:p>
    <w:p w14:paraId="004165F4" w14:textId="77777777" w:rsidR="00394471" w:rsidRPr="00FA0D37" w:rsidRDefault="00394471" w:rsidP="00FA0D37">
      <w:pPr>
        <w:pStyle w:val="PL"/>
        <w:rPr>
          <w:color w:val="808080"/>
        </w:rPr>
      </w:pPr>
      <w:r w:rsidRPr="00FA0D37">
        <w:rPr>
          <w:color w:val="808080"/>
        </w:rPr>
        <w:t>-- ASN1START</w:t>
      </w:r>
    </w:p>
    <w:p w14:paraId="67F0F45D" w14:textId="77777777" w:rsidR="00394471" w:rsidRPr="00FA0D37" w:rsidRDefault="00394471" w:rsidP="00FA0D37">
      <w:pPr>
        <w:pStyle w:val="PL"/>
        <w:rPr>
          <w:color w:val="808080"/>
        </w:rPr>
      </w:pPr>
      <w:r w:rsidRPr="00FA0D37">
        <w:rPr>
          <w:color w:val="808080"/>
        </w:rPr>
        <w:t>-- TAG-INVALIDSYMBOLPATTERN-START</w:t>
      </w:r>
    </w:p>
    <w:p w14:paraId="21DB92DE" w14:textId="77777777" w:rsidR="00394471" w:rsidRPr="00FA0D37" w:rsidRDefault="00394471" w:rsidP="00FA0D37">
      <w:pPr>
        <w:pStyle w:val="PL"/>
      </w:pPr>
    </w:p>
    <w:p w14:paraId="7F9E12E8" w14:textId="77777777" w:rsidR="00394471" w:rsidRPr="00FA0D37" w:rsidRDefault="00394471" w:rsidP="00FA0D37">
      <w:pPr>
        <w:pStyle w:val="PL"/>
      </w:pPr>
      <w:r w:rsidRPr="00FA0D37">
        <w:t xml:space="preserve">InvalidSymbolPattern-r16 ::=     </w:t>
      </w:r>
      <w:r w:rsidRPr="00FA0D37">
        <w:rPr>
          <w:color w:val="993366"/>
        </w:rPr>
        <w:t>SEQUENCE</w:t>
      </w:r>
      <w:r w:rsidRPr="00FA0D37">
        <w:t xml:space="preserve"> {</w:t>
      </w:r>
    </w:p>
    <w:p w14:paraId="6E483A53" w14:textId="77777777" w:rsidR="00394471" w:rsidRPr="00FA0D37" w:rsidRDefault="00394471" w:rsidP="00FA0D37">
      <w:pPr>
        <w:pStyle w:val="PL"/>
      </w:pPr>
      <w:r w:rsidRPr="00FA0D37">
        <w:t xml:space="preserve">    symbols-r16                      </w:t>
      </w:r>
      <w:r w:rsidRPr="00FA0D37">
        <w:rPr>
          <w:color w:val="993366"/>
        </w:rPr>
        <w:t>CHOICE</w:t>
      </w:r>
      <w:r w:rsidRPr="00FA0D37">
        <w:t xml:space="preserve"> {</w:t>
      </w:r>
    </w:p>
    <w:p w14:paraId="63F27FA8" w14:textId="77777777" w:rsidR="00394471" w:rsidRPr="00FA0D37" w:rsidRDefault="00394471" w:rsidP="00FA0D37">
      <w:pPr>
        <w:pStyle w:val="PL"/>
      </w:pPr>
      <w:r w:rsidRPr="00FA0D37">
        <w:t xml:space="preserve">        oneSlot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w:t>
      </w:r>
    </w:p>
    <w:p w14:paraId="69183375" w14:textId="77777777" w:rsidR="00394471" w:rsidRPr="00FA0D37" w:rsidRDefault="00394471" w:rsidP="00FA0D37">
      <w:pPr>
        <w:pStyle w:val="PL"/>
      </w:pPr>
      <w:r w:rsidRPr="00FA0D37">
        <w:t xml:space="preserve">        twoSlots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(28))</w:t>
      </w:r>
    </w:p>
    <w:p w14:paraId="607B1121" w14:textId="77777777" w:rsidR="00394471" w:rsidRPr="00FA0D37" w:rsidRDefault="00394471" w:rsidP="00FA0D37">
      <w:pPr>
        <w:pStyle w:val="PL"/>
      </w:pPr>
      <w:r w:rsidRPr="00FA0D37">
        <w:t xml:space="preserve">    },</w:t>
      </w:r>
    </w:p>
    <w:p w14:paraId="6C4D01F7" w14:textId="77777777" w:rsidR="00394471" w:rsidRPr="00FA0D37" w:rsidRDefault="00394471" w:rsidP="00FA0D37">
      <w:pPr>
        <w:pStyle w:val="PL"/>
      </w:pPr>
      <w:r w:rsidRPr="00FA0D37">
        <w:t xml:space="preserve">    periodicityAndPattern-r16        </w:t>
      </w:r>
      <w:r w:rsidRPr="00FA0D37">
        <w:rPr>
          <w:color w:val="993366"/>
        </w:rPr>
        <w:t>CHOICE</w:t>
      </w:r>
      <w:r w:rsidRPr="00FA0D37">
        <w:t xml:space="preserve"> {</w:t>
      </w:r>
    </w:p>
    <w:p w14:paraId="61515EE8" w14:textId="77777777" w:rsidR="00394471" w:rsidRPr="00FA0D37" w:rsidRDefault="00394471" w:rsidP="00FA0D37">
      <w:pPr>
        <w:pStyle w:val="PL"/>
      </w:pPr>
      <w:r w:rsidRPr="00FA0D37">
        <w:t xml:space="preserve">        n2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09B2E5FE" w14:textId="77777777" w:rsidR="00394471" w:rsidRPr="00FA0D37" w:rsidRDefault="00394471" w:rsidP="00FA0D37">
      <w:pPr>
        <w:pStyle w:val="PL"/>
      </w:pPr>
      <w:r w:rsidRPr="00FA0D37">
        <w:t xml:space="preserve">        n4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2F2DF07B" w14:textId="77777777" w:rsidR="00394471" w:rsidRPr="00FA0D37" w:rsidRDefault="00394471" w:rsidP="00FA0D37">
      <w:pPr>
        <w:pStyle w:val="PL"/>
      </w:pPr>
      <w:r w:rsidRPr="00FA0D37">
        <w:t xml:space="preserve">        n5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(5)),</w:t>
      </w:r>
    </w:p>
    <w:p w14:paraId="106F62CC" w14:textId="77777777" w:rsidR="00394471" w:rsidRPr="00FA0D37" w:rsidRDefault="00394471" w:rsidP="00FA0D37">
      <w:pPr>
        <w:pStyle w:val="PL"/>
      </w:pPr>
      <w:r w:rsidRPr="00FA0D37">
        <w:t xml:space="preserve">        n8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1C2DE3DC" w14:textId="77777777" w:rsidR="00394471" w:rsidRPr="00FA0D37" w:rsidRDefault="00394471" w:rsidP="00FA0D37">
      <w:pPr>
        <w:pStyle w:val="PL"/>
      </w:pPr>
      <w:r w:rsidRPr="00FA0D37">
        <w:lastRenderedPageBreak/>
        <w:t xml:space="preserve">        n10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w:t>
      </w:r>
    </w:p>
    <w:p w14:paraId="278B27CB" w14:textId="77777777" w:rsidR="00394471" w:rsidRPr="00FA0D37" w:rsidRDefault="00394471" w:rsidP="00FA0D37">
      <w:pPr>
        <w:pStyle w:val="PL"/>
      </w:pPr>
      <w:r w:rsidRPr="00FA0D37">
        <w:t xml:space="preserve">        n20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(20)),</w:t>
      </w:r>
    </w:p>
    <w:p w14:paraId="20826B6B" w14:textId="77777777" w:rsidR="00394471" w:rsidRPr="00FA0D37" w:rsidRDefault="00394471" w:rsidP="00FA0D37">
      <w:pPr>
        <w:pStyle w:val="PL"/>
      </w:pPr>
      <w:r w:rsidRPr="00FA0D37">
        <w:t xml:space="preserve">        n40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(40))</w:t>
      </w:r>
    </w:p>
    <w:p w14:paraId="465FA516"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5E4D2631" w14:textId="77777777" w:rsidR="00394471" w:rsidRPr="00FA0D37" w:rsidRDefault="00394471" w:rsidP="00FA0D37">
      <w:pPr>
        <w:pStyle w:val="PL"/>
      </w:pPr>
      <w:r w:rsidRPr="00FA0D37">
        <w:t xml:space="preserve">    ...</w:t>
      </w:r>
    </w:p>
    <w:p w14:paraId="50BF008A" w14:textId="77777777" w:rsidR="00394471" w:rsidRPr="00FA0D37" w:rsidRDefault="00394471" w:rsidP="00FA0D37">
      <w:pPr>
        <w:pStyle w:val="PL"/>
      </w:pPr>
      <w:r w:rsidRPr="00FA0D37">
        <w:t>}</w:t>
      </w:r>
    </w:p>
    <w:p w14:paraId="4A8486B3" w14:textId="77777777" w:rsidR="00394471" w:rsidRPr="00FA0D37" w:rsidRDefault="00394471" w:rsidP="00FA0D37">
      <w:pPr>
        <w:pStyle w:val="PL"/>
      </w:pPr>
    </w:p>
    <w:p w14:paraId="59304F54" w14:textId="77777777" w:rsidR="00394471" w:rsidRPr="00FA0D37" w:rsidRDefault="00394471" w:rsidP="00FA0D37">
      <w:pPr>
        <w:pStyle w:val="PL"/>
        <w:rPr>
          <w:color w:val="808080"/>
        </w:rPr>
      </w:pPr>
      <w:r w:rsidRPr="00FA0D37">
        <w:rPr>
          <w:color w:val="808080"/>
        </w:rPr>
        <w:t>-- TAG-INVALIDSYMBOLPATTERN-STOP</w:t>
      </w:r>
    </w:p>
    <w:p w14:paraId="2D601C3D" w14:textId="77777777" w:rsidR="00394471" w:rsidRPr="00FA0D37" w:rsidRDefault="00394471" w:rsidP="00FA0D37">
      <w:pPr>
        <w:pStyle w:val="PL"/>
        <w:rPr>
          <w:color w:val="808080"/>
        </w:rPr>
      </w:pPr>
      <w:r w:rsidRPr="00FA0D37">
        <w:rPr>
          <w:color w:val="808080"/>
        </w:rPr>
        <w:t>-- ASN1STOP</w:t>
      </w:r>
    </w:p>
    <w:p w14:paraId="5B28180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FA0D37" w:rsidRDefault="00394471" w:rsidP="00964CC4">
            <w:pPr>
              <w:pStyle w:val="TAH"/>
              <w:rPr>
                <w:lang w:eastAsia="sv-SE"/>
              </w:rPr>
            </w:pPr>
            <w:r w:rsidRPr="00FA0D37">
              <w:rPr>
                <w:i/>
                <w:iCs/>
                <w:lang w:eastAsia="x-none"/>
              </w:rPr>
              <w:t>InvalidSymbolPattern</w:t>
            </w:r>
            <w:r w:rsidRPr="00FA0D37">
              <w:rPr>
                <w:lang w:eastAsia="sv-SE"/>
              </w:rPr>
              <w:t xml:space="preserve"> field descriptions</w:t>
            </w:r>
          </w:p>
        </w:tc>
      </w:tr>
      <w:tr w:rsidR="005C7FF4" w:rsidRPr="00FA0D37"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FA0D37" w:rsidRDefault="00394471" w:rsidP="00964CC4">
            <w:pPr>
              <w:pStyle w:val="TAL"/>
              <w:rPr>
                <w:b/>
                <w:bCs/>
                <w:i/>
                <w:iCs/>
                <w:lang w:eastAsia="x-none"/>
              </w:rPr>
            </w:pPr>
            <w:r w:rsidRPr="00FA0D37">
              <w:rPr>
                <w:b/>
                <w:bCs/>
                <w:i/>
                <w:iCs/>
                <w:lang w:eastAsia="x-none"/>
              </w:rPr>
              <w:t>periodicityAndPattern</w:t>
            </w:r>
          </w:p>
          <w:p w14:paraId="3E3AB024" w14:textId="3ED13C72" w:rsidR="00394471" w:rsidRPr="00FA0D37" w:rsidRDefault="00394471" w:rsidP="00964CC4">
            <w:pPr>
              <w:pStyle w:val="TAL"/>
              <w:rPr>
                <w:lang w:eastAsia="sv-SE"/>
              </w:rPr>
            </w:pPr>
            <w:r w:rsidRPr="00FA0D37">
              <w:rPr>
                <w:lang w:eastAsia="sv-SE"/>
              </w:rPr>
              <w:t>A time domain repetition pattern at which the pattern</w:t>
            </w:r>
            <w:r w:rsidR="00990C7B" w:rsidRPr="00FA0D37">
              <w:rPr>
                <w:rFonts w:cs="Arial"/>
                <w:lang w:eastAsia="sv-SE"/>
              </w:rPr>
              <w:t xml:space="preserve"> defined by </w:t>
            </w:r>
            <w:r w:rsidR="00990C7B" w:rsidRPr="00FA0D37">
              <w:rPr>
                <w:rFonts w:cs="Arial"/>
                <w:i/>
                <w:lang w:eastAsia="sv-SE"/>
              </w:rPr>
              <w:t>symbols</w:t>
            </w:r>
            <w:r w:rsidR="00990C7B" w:rsidRPr="00FA0D37">
              <w:rPr>
                <w:rFonts w:cs="Arial"/>
                <w:lang w:eastAsia="sv-SE"/>
              </w:rPr>
              <w:t xml:space="preserve"> recurs</w:t>
            </w:r>
            <w:r w:rsidRPr="00FA0D37">
              <w:rPr>
                <w:lang w:eastAsia="sv-SE"/>
              </w:rPr>
              <w:t xml:space="preserve">. This slot pattern repeats itself continuously. </w:t>
            </w:r>
            <w:r w:rsidRPr="00FA0D37">
              <w:t xml:space="preserve">When the </w:t>
            </w:r>
            <w:r w:rsidRPr="00FA0D37">
              <w:rPr>
                <w:lang w:eastAsia="sv-SE"/>
              </w:rPr>
              <w:t xml:space="preserve">field </w:t>
            </w:r>
            <w:r w:rsidRPr="00FA0D37">
              <w:t xml:space="preserve">is not configured, the UE uses </w:t>
            </w:r>
            <w:r w:rsidRPr="00FA0D37">
              <w:rPr>
                <w:lang w:eastAsia="sv-SE"/>
              </w:rPr>
              <w:t>the value n1 (see TS 38.214 [19], clause 6.1).</w:t>
            </w:r>
          </w:p>
        </w:tc>
      </w:tr>
      <w:tr w:rsidR="00394471" w:rsidRPr="00FA0D37"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FA0D37" w:rsidRDefault="00394471" w:rsidP="00990C7B">
            <w:pPr>
              <w:pStyle w:val="TAL"/>
              <w:rPr>
                <w:b/>
                <w:bCs/>
                <w:i/>
                <w:iCs/>
              </w:rPr>
            </w:pPr>
            <w:r w:rsidRPr="00FA0D37">
              <w:rPr>
                <w:b/>
                <w:bCs/>
                <w:i/>
                <w:iCs/>
              </w:rPr>
              <w:t>symbols</w:t>
            </w:r>
          </w:p>
          <w:p w14:paraId="3FA6617B" w14:textId="77777777" w:rsidR="00990C7B" w:rsidRPr="00FA0D37" w:rsidRDefault="00394471" w:rsidP="000830BB">
            <w:pPr>
              <w:pStyle w:val="TAL"/>
              <w:rPr>
                <w:rFonts w:cs="Arial"/>
                <w:lang w:eastAsia="sv-SE"/>
              </w:rPr>
            </w:pPr>
            <w:r w:rsidRPr="00FA0D37">
              <w:rPr>
                <w:lang w:eastAsia="sv-SE"/>
              </w:rPr>
              <w:t>A symbol level bitmap in time domain (see TS 38.214[19], clause 6.1).</w:t>
            </w:r>
          </w:p>
          <w:p w14:paraId="6CF67C4E" w14:textId="77777777" w:rsidR="00990C7B" w:rsidRPr="00FA0D37" w:rsidRDefault="00990C7B" w:rsidP="000830BB">
            <w:pPr>
              <w:pStyle w:val="TAL"/>
              <w:rPr>
                <w:rFonts w:cs="Arial"/>
                <w:lang w:eastAsia="sv-SE"/>
              </w:rPr>
            </w:pPr>
            <w:r w:rsidRPr="00FA0D37">
              <w:rPr>
                <w:rFonts w:cs="Arial"/>
                <w:lang w:eastAsia="sv-SE"/>
              </w:rPr>
              <w:t>For</w:t>
            </w:r>
            <w:r w:rsidRPr="00FA0D37">
              <w:rPr>
                <w:rFonts w:cs="Arial"/>
                <w:i/>
                <w:iCs/>
                <w:lang w:eastAsia="sv-SE"/>
              </w:rPr>
              <w:t xml:space="preserve"> oneSlot</w:t>
            </w:r>
            <w:r w:rsidRPr="00FA0D37">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FA0D37" w:rsidRDefault="00990C7B" w:rsidP="000830BB">
            <w:pPr>
              <w:pStyle w:val="TAL"/>
              <w:rPr>
                <w:rFonts w:cs="Arial"/>
                <w:lang w:eastAsia="sv-SE"/>
              </w:rPr>
            </w:pPr>
            <w:r w:rsidRPr="00FA0D37">
              <w:rPr>
                <w:rFonts w:cs="Arial"/>
                <w:lang w:eastAsia="sv-SE"/>
              </w:rPr>
              <w:t xml:space="preserve">For </w:t>
            </w:r>
            <w:r w:rsidRPr="00FA0D37">
              <w:rPr>
                <w:rFonts w:cs="Arial"/>
                <w:i/>
                <w:iCs/>
                <w:lang w:eastAsia="sv-SE"/>
              </w:rPr>
              <w:t>twoSlots</w:t>
            </w:r>
            <w:r w:rsidRPr="00FA0D37">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FA0D37" w:rsidRDefault="00990C7B" w:rsidP="000830BB">
            <w:pPr>
              <w:pStyle w:val="TAL"/>
              <w:rPr>
                <w:rFonts w:cs="Arial"/>
                <w:lang w:eastAsia="sv-SE"/>
              </w:rPr>
            </w:pPr>
            <w:r w:rsidRPr="00FA0D37">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FA0D37" w:rsidRDefault="00990C7B" w:rsidP="00990C7B">
            <w:pPr>
              <w:pStyle w:val="TAL"/>
              <w:rPr>
                <w:lang w:eastAsia="sv-SE"/>
              </w:rPr>
            </w:pPr>
            <w:r w:rsidRPr="00FA0D37">
              <w:rPr>
                <w:rFonts w:cs="Arial"/>
                <w:lang w:eastAsia="sv-SE"/>
              </w:rPr>
              <w:t xml:space="preserve">This pattern recurs (in time domain) with the configured </w:t>
            </w:r>
            <w:r w:rsidRPr="00FA0D37">
              <w:rPr>
                <w:rFonts w:cs="Arial"/>
                <w:i/>
                <w:iCs/>
                <w:lang w:eastAsia="sv-SE"/>
              </w:rPr>
              <w:t>periodicityAndPattern</w:t>
            </w:r>
            <w:r w:rsidRPr="00FA0D37">
              <w:rPr>
                <w:rFonts w:cs="Arial"/>
                <w:lang w:eastAsia="sv-SE"/>
              </w:rPr>
              <w:t>.</w:t>
            </w:r>
          </w:p>
        </w:tc>
      </w:tr>
    </w:tbl>
    <w:p w14:paraId="27E18E78" w14:textId="77777777" w:rsidR="00394471" w:rsidRPr="00FA0D37" w:rsidRDefault="00394471" w:rsidP="00394471"/>
    <w:p w14:paraId="13236392" w14:textId="77777777" w:rsidR="00394471" w:rsidRPr="00FA0D37" w:rsidRDefault="00394471" w:rsidP="00394471">
      <w:pPr>
        <w:pStyle w:val="4"/>
        <w:rPr>
          <w:rFonts w:eastAsia="MS Mincho"/>
        </w:rPr>
      </w:pPr>
      <w:bookmarkStart w:id="1057" w:name="_Toc60777245"/>
      <w:bookmarkStart w:id="1058" w:name="_Toc146781303"/>
      <w:r w:rsidRPr="00FA0D37">
        <w:rPr>
          <w:rFonts w:eastAsia="MS Mincho"/>
        </w:rPr>
        <w:t>–</w:t>
      </w:r>
      <w:r w:rsidRPr="00FA0D37">
        <w:rPr>
          <w:rFonts w:eastAsia="MS Mincho"/>
        </w:rPr>
        <w:tab/>
      </w:r>
      <w:r w:rsidRPr="00FA0D37">
        <w:rPr>
          <w:rFonts w:eastAsia="MS Mincho"/>
          <w:i/>
        </w:rPr>
        <w:t>I-RNTI-Value</w:t>
      </w:r>
      <w:bookmarkEnd w:id="1057"/>
      <w:bookmarkEnd w:id="1058"/>
    </w:p>
    <w:p w14:paraId="4FAF8093" w14:textId="77777777" w:rsidR="00394471" w:rsidRPr="00FA0D37" w:rsidRDefault="00394471" w:rsidP="00394471">
      <w:pPr>
        <w:rPr>
          <w:rFonts w:eastAsia="MS Mincho"/>
        </w:rPr>
      </w:pPr>
      <w:r w:rsidRPr="00FA0D37">
        <w:rPr>
          <w:lang w:eastAsia="ko-KR"/>
        </w:rPr>
        <w:t xml:space="preserve">The IE </w:t>
      </w:r>
      <w:r w:rsidRPr="00FA0D37">
        <w:rPr>
          <w:i/>
          <w:lang w:eastAsia="ko-KR"/>
        </w:rPr>
        <w:t>I-RNTI-Value</w:t>
      </w:r>
      <w:r w:rsidRPr="00FA0D37">
        <w:rPr>
          <w:lang w:eastAsia="ko-KR"/>
        </w:rPr>
        <w:t xml:space="preserve"> is used to identify the suspended UE context of a UE in RRC_INACTIVE.</w:t>
      </w:r>
    </w:p>
    <w:p w14:paraId="1AE46B82" w14:textId="77777777" w:rsidR="00394471" w:rsidRPr="00FA0D37" w:rsidRDefault="00394471" w:rsidP="00394471">
      <w:pPr>
        <w:pStyle w:val="TH"/>
      </w:pPr>
      <w:r w:rsidRPr="00FA0D37">
        <w:rPr>
          <w:bCs/>
          <w:i/>
          <w:iCs/>
        </w:rPr>
        <w:t xml:space="preserve">I-RNTI-Value </w:t>
      </w:r>
      <w:r w:rsidRPr="00FA0D37">
        <w:t>information element</w:t>
      </w:r>
    </w:p>
    <w:p w14:paraId="47FD277A" w14:textId="77777777" w:rsidR="00394471" w:rsidRPr="00FA0D37" w:rsidRDefault="00394471" w:rsidP="00FA0D37">
      <w:pPr>
        <w:pStyle w:val="PL"/>
        <w:rPr>
          <w:color w:val="808080"/>
        </w:rPr>
      </w:pPr>
      <w:r w:rsidRPr="00FA0D37">
        <w:rPr>
          <w:color w:val="808080"/>
        </w:rPr>
        <w:t>-- ASN1START</w:t>
      </w:r>
    </w:p>
    <w:p w14:paraId="55E05793" w14:textId="77777777" w:rsidR="00394471" w:rsidRPr="00FA0D37" w:rsidRDefault="00394471" w:rsidP="00FA0D37">
      <w:pPr>
        <w:pStyle w:val="PL"/>
        <w:rPr>
          <w:color w:val="808080"/>
        </w:rPr>
      </w:pPr>
      <w:r w:rsidRPr="00FA0D37">
        <w:rPr>
          <w:color w:val="808080"/>
        </w:rPr>
        <w:t>-- TAG-I-RNTI-VALUE-START</w:t>
      </w:r>
    </w:p>
    <w:p w14:paraId="1A8C7D98" w14:textId="77777777" w:rsidR="00394471" w:rsidRPr="00FA0D37" w:rsidRDefault="00394471" w:rsidP="00FA0D37">
      <w:pPr>
        <w:pStyle w:val="PL"/>
      </w:pPr>
    </w:p>
    <w:p w14:paraId="1ABAE5DF" w14:textId="77777777" w:rsidR="00394471" w:rsidRPr="00FA0D37" w:rsidRDefault="00394471" w:rsidP="00FA0D37">
      <w:pPr>
        <w:pStyle w:val="PL"/>
      </w:pPr>
      <w:r w:rsidRPr="00FA0D37">
        <w:t xml:space="preserve">I-RNTI-Value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(40))</w:t>
      </w:r>
    </w:p>
    <w:p w14:paraId="0F115197" w14:textId="77777777" w:rsidR="00394471" w:rsidRPr="00FA0D37" w:rsidRDefault="00394471" w:rsidP="00FA0D37">
      <w:pPr>
        <w:pStyle w:val="PL"/>
      </w:pPr>
    </w:p>
    <w:p w14:paraId="2673BC76" w14:textId="77777777" w:rsidR="00394471" w:rsidRPr="00FA0D37" w:rsidRDefault="00394471" w:rsidP="00FA0D37">
      <w:pPr>
        <w:pStyle w:val="PL"/>
        <w:rPr>
          <w:color w:val="808080"/>
        </w:rPr>
      </w:pPr>
      <w:r w:rsidRPr="00FA0D37">
        <w:rPr>
          <w:color w:val="808080"/>
        </w:rPr>
        <w:t>-- TAG-I-RNTI-VALUE-STOP</w:t>
      </w:r>
    </w:p>
    <w:p w14:paraId="4111D3F5" w14:textId="77777777" w:rsidR="00394471" w:rsidRPr="00FA0D37" w:rsidRDefault="00394471" w:rsidP="00FA0D37">
      <w:pPr>
        <w:pStyle w:val="PL"/>
        <w:rPr>
          <w:rFonts w:eastAsia="MS Mincho"/>
          <w:color w:val="808080"/>
        </w:rPr>
      </w:pPr>
      <w:r w:rsidRPr="00FA0D37">
        <w:rPr>
          <w:color w:val="808080"/>
        </w:rPr>
        <w:t>-- ASN1STOP</w:t>
      </w:r>
    </w:p>
    <w:p w14:paraId="63FD36B8" w14:textId="77777777" w:rsidR="00394471" w:rsidRPr="00FA0D37" w:rsidRDefault="00394471" w:rsidP="00394471"/>
    <w:p w14:paraId="04290D16" w14:textId="77777777" w:rsidR="00394471" w:rsidRPr="00FA0D37" w:rsidRDefault="00394471" w:rsidP="00394471">
      <w:pPr>
        <w:pStyle w:val="4"/>
        <w:rPr>
          <w:rFonts w:eastAsia="宋体"/>
        </w:rPr>
      </w:pPr>
      <w:bookmarkStart w:id="1059" w:name="_Toc60777246"/>
      <w:bookmarkStart w:id="1060" w:name="_Toc146781304"/>
      <w:r w:rsidRPr="00FA0D37">
        <w:rPr>
          <w:rFonts w:eastAsia="MS Mincho"/>
        </w:rPr>
        <w:t>–</w:t>
      </w:r>
      <w:r w:rsidRPr="00FA0D37">
        <w:rPr>
          <w:rFonts w:eastAsia="宋体"/>
        </w:rPr>
        <w:tab/>
      </w:r>
      <w:r w:rsidRPr="00FA0D37">
        <w:rPr>
          <w:i/>
        </w:rPr>
        <w:t>LBT-FailureRecoveryConfig</w:t>
      </w:r>
      <w:bookmarkEnd w:id="1059"/>
      <w:bookmarkEnd w:id="1060"/>
    </w:p>
    <w:p w14:paraId="35E7A91C" w14:textId="77777777" w:rsidR="00394471" w:rsidRPr="00FA0D37" w:rsidRDefault="00394471" w:rsidP="00394471">
      <w:pPr>
        <w:rPr>
          <w:rFonts w:eastAsia="宋体"/>
          <w:lang w:eastAsia="zh-CN"/>
        </w:rPr>
      </w:pPr>
      <w:r w:rsidRPr="00FA0D37">
        <w:rPr>
          <w:rFonts w:eastAsia="宋体"/>
          <w:lang w:eastAsia="zh-CN"/>
        </w:rPr>
        <w:t xml:space="preserve">The IE </w:t>
      </w:r>
      <w:r w:rsidRPr="00FA0D37">
        <w:rPr>
          <w:rFonts w:eastAsia="宋体"/>
          <w:i/>
          <w:lang w:eastAsia="zh-CN"/>
        </w:rPr>
        <w:t xml:space="preserve">LBT-FailureRecoveryConfig-r16 </w:t>
      </w:r>
      <w:r w:rsidRPr="00FA0D37">
        <w:rPr>
          <w:rFonts w:eastAsia="宋体"/>
          <w:lang w:eastAsia="zh-CN"/>
        </w:rPr>
        <w:t>is used to configure the parameters used for detection of consistent uplink LBT failures for operation with shared spectrum channel access, as specified in TS 38.321 [3].</w:t>
      </w:r>
    </w:p>
    <w:p w14:paraId="134F5FC8" w14:textId="77777777" w:rsidR="00394471" w:rsidRPr="00FA0D37" w:rsidRDefault="00394471" w:rsidP="00394471">
      <w:pPr>
        <w:pStyle w:val="TH"/>
        <w:rPr>
          <w:rFonts w:eastAsia="宋体"/>
          <w:lang w:eastAsia="zh-CN"/>
        </w:rPr>
      </w:pPr>
      <w:r w:rsidRPr="00FA0D37">
        <w:rPr>
          <w:i/>
        </w:rPr>
        <w:lastRenderedPageBreak/>
        <w:t>LBT-FailureRecoveryConfig</w:t>
      </w:r>
      <w:r w:rsidRPr="00FA0D37">
        <w:t xml:space="preserve"> information element</w:t>
      </w:r>
    </w:p>
    <w:p w14:paraId="671A2F81" w14:textId="77777777" w:rsidR="00394471" w:rsidRPr="00FA0D37" w:rsidRDefault="00394471" w:rsidP="00FA0D37">
      <w:pPr>
        <w:pStyle w:val="PL"/>
        <w:rPr>
          <w:color w:val="808080"/>
        </w:rPr>
      </w:pPr>
      <w:r w:rsidRPr="00FA0D37">
        <w:rPr>
          <w:color w:val="808080"/>
        </w:rPr>
        <w:t>-- ASN1START</w:t>
      </w:r>
    </w:p>
    <w:p w14:paraId="729D5C60" w14:textId="77777777" w:rsidR="00394471" w:rsidRPr="00FA0D37" w:rsidRDefault="00394471" w:rsidP="00FA0D37">
      <w:pPr>
        <w:pStyle w:val="PL"/>
        <w:rPr>
          <w:color w:val="808080"/>
        </w:rPr>
      </w:pPr>
      <w:r w:rsidRPr="00FA0D37">
        <w:rPr>
          <w:color w:val="808080"/>
        </w:rPr>
        <w:t>-- TAG-LBT-FAILURERECOVERYCONFIG-START</w:t>
      </w:r>
    </w:p>
    <w:p w14:paraId="19EDBA06" w14:textId="77777777" w:rsidR="00394471" w:rsidRPr="00FA0D37" w:rsidRDefault="00394471" w:rsidP="00FA0D37">
      <w:pPr>
        <w:pStyle w:val="PL"/>
      </w:pPr>
    </w:p>
    <w:p w14:paraId="5006486D" w14:textId="77777777" w:rsidR="00394471" w:rsidRPr="00FA0D37" w:rsidRDefault="00394471" w:rsidP="00FA0D37">
      <w:pPr>
        <w:pStyle w:val="PL"/>
      </w:pPr>
      <w:r w:rsidRPr="00FA0D37">
        <w:t xml:space="preserve">LBT-FailureRecoveryConfig-r16 ::=    </w:t>
      </w:r>
      <w:r w:rsidRPr="00FA0D37">
        <w:rPr>
          <w:color w:val="993366"/>
        </w:rPr>
        <w:t>SEQUENCE</w:t>
      </w:r>
      <w:r w:rsidRPr="00FA0D37">
        <w:t xml:space="preserve"> {</w:t>
      </w:r>
    </w:p>
    <w:p w14:paraId="1C156C0B" w14:textId="77777777" w:rsidR="00394471" w:rsidRPr="00FA0D37" w:rsidRDefault="00394471" w:rsidP="00FA0D37">
      <w:pPr>
        <w:pStyle w:val="PL"/>
      </w:pPr>
      <w:r w:rsidRPr="00FA0D37">
        <w:t xml:space="preserve">    lbt-FailureInstanceMaxCount-r16      </w:t>
      </w:r>
      <w:r w:rsidRPr="00FA0D37">
        <w:rPr>
          <w:color w:val="993366"/>
        </w:rPr>
        <w:t>ENUMERATED</w:t>
      </w:r>
      <w:r w:rsidRPr="00FA0D37">
        <w:t xml:space="preserve"> {n4, n8, n16, n32, n64, n128},</w:t>
      </w:r>
    </w:p>
    <w:p w14:paraId="7CDEB1CB" w14:textId="77777777" w:rsidR="00394471" w:rsidRPr="00FA0D37" w:rsidRDefault="00394471" w:rsidP="00FA0D37">
      <w:pPr>
        <w:pStyle w:val="PL"/>
      </w:pPr>
      <w:r w:rsidRPr="00FA0D37">
        <w:t xml:space="preserve">    lbt-FailureDetectionTimer-r16        </w:t>
      </w:r>
      <w:r w:rsidRPr="00FA0D37">
        <w:rPr>
          <w:color w:val="993366"/>
        </w:rPr>
        <w:t>ENUMERATED</w:t>
      </w:r>
      <w:r w:rsidRPr="00FA0D37">
        <w:t xml:space="preserve"> {ms10, ms20, ms40, ms80, ms160, ms320},</w:t>
      </w:r>
    </w:p>
    <w:p w14:paraId="0657A3BF" w14:textId="77777777" w:rsidR="00394471" w:rsidRPr="00FA0D37" w:rsidRDefault="00394471" w:rsidP="00FA0D37">
      <w:pPr>
        <w:pStyle w:val="PL"/>
      </w:pPr>
      <w:r w:rsidRPr="00FA0D37">
        <w:t xml:space="preserve">    ...</w:t>
      </w:r>
    </w:p>
    <w:p w14:paraId="6B31988C" w14:textId="77777777" w:rsidR="00394471" w:rsidRPr="00FA0D37" w:rsidRDefault="00394471" w:rsidP="00FA0D37">
      <w:pPr>
        <w:pStyle w:val="PL"/>
      </w:pPr>
      <w:r w:rsidRPr="00FA0D37">
        <w:t>}</w:t>
      </w:r>
    </w:p>
    <w:p w14:paraId="68B61B9B" w14:textId="77777777" w:rsidR="00394471" w:rsidRPr="00FA0D37" w:rsidRDefault="00394471" w:rsidP="00FA0D37">
      <w:pPr>
        <w:pStyle w:val="PL"/>
      </w:pPr>
    </w:p>
    <w:p w14:paraId="2D4E071D" w14:textId="77777777" w:rsidR="00394471" w:rsidRPr="00FA0D37" w:rsidRDefault="00394471" w:rsidP="00FA0D37">
      <w:pPr>
        <w:pStyle w:val="PL"/>
        <w:rPr>
          <w:color w:val="808080"/>
        </w:rPr>
      </w:pPr>
      <w:r w:rsidRPr="00FA0D37">
        <w:rPr>
          <w:color w:val="808080"/>
        </w:rPr>
        <w:t>-- TAG-LBT-FAILURERECOVERYCONFIG-STOP</w:t>
      </w:r>
    </w:p>
    <w:p w14:paraId="2573BC67" w14:textId="77777777" w:rsidR="00394471" w:rsidRPr="00FA0D37" w:rsidRDefault="00394471" w:rsidP="00FA0D37">
      <w:pPr>
        <w:pStyle w:val="PL"/>
        <w:rPr>
          <w:color w:val="808080"/>
        </w:rPr>
      </w:pPr>
      <w:r w:rsidRPr="00FA0D37">
        <w:rPr>
          <w:color w:val="808080"/>
        </w:rPr>
        <w:t>-- ASN1STOP</w:t>
      </w:r>
    </w:p>
    <w:p w14:paraId="640F7F3A"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FA0D37" w:rsidRDefault="00394471" w:rsidP="00964CC4">
            <w:pPr>
              <w:pStyle w:val="TAH"/>
              <w:rPr>
                <w:lang w:eastAsia="sv-SE"/>
              </w:rPr>
            </w:pPr>
            <w:r w:rsidRPr="00FA0D37">
              <w:rPr>
                <w:i/>
                <w:lang w:eastAsia="sv-SE"/>
              </w:rPr>
              <w:t xml:space="preserve">LBT-FailureRecoveryConfig </w:t>
            </w:r>
            <w:r w:rsidRPr="00FA0D37">
              <w:rPr>
                <w:lang w:eastAsia="sv-SE"/>
              </w:rPr>
              <w:t>field descriptions</w:t>
            </w:r>
          </w:p>
        </w:tc>
      </w:tr>
      <w:tr w:rsidR="005C7FF4" w:rsidRPr="00FA0D37"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FA0D37" w:rsidRDefault="00394471" w:rsidP="00964CC4">
            <w:pPr>
              <w:pStyle w:val="TAL"/>
              <w:rPr>
                <w:b/>
                <w:i/>
                <w:lang w:eastAsia="en-GB"/>
              </w:rPr>
            </w:pPr>
            <w:r w:rsidRPr="00FA0D37">
              <w:rPr>
                <w:rFonts w:cs="Arial"/>
                <w:b/>
                <w:i/>
                <w:lang w:eastAsia="sv-SE"/>
              </w:rPr>
              <w:t>lbt-FailureDetectionTimer</w:t>
            </w:r>
          </w:p>
          <w:p w14:paraId="72A36118" w14:textId="77777777" w:rsidR="00394471" w:rsidRPr="00FA0D37" w:rsidRDefault="00394471" w:rsidP="00964CC4">
            <w:pPr>
              <w:pStyle w:val="TAL"/>
              <w:rPr>
                <w:rFonts w:cs="Arial"/>
                <w:b/>
                <w:i/>
                <w:lang w:eastAsia="sv-SE"/>
              </w:rPr>
            </w:pPr>
            <w:r w:rsidRPr="00FA0D37">
              <w:rPr>
                <w:rFonts w:cs="Arial"/>
                <w:lang w:eastAsia="sv-SE"/>
              </w:rPr>
              <w:t xml:space="preserve">Timer for consistent uplink LBT failure detection (see TS 38.321 [3]). </w:t>
            </w:r>
            <w:r w:rsidRPr="00FA0D37">
              <w:rPr>
                <w:szCs w:val="22"/>
                <w:lang w:eastAsia="sv-SE"/>
              </w:rPr>
              <w:t xml:space="preserve">Value </w:t>
            </w:r>
            <w:r w:rsidRPr="00FA0D37">
              <w:rPr>
                <w:i/>
                <w:lang w:eastAsia="sv-SE"/>
              </w:rPr>
              <w:t>ms10</w:t>
            </w:r>
            <w:r w:rsidRPr="00FA0D37">
              <w:rPr>
                <w:szCs w:val="22"/>
                <w:lang w:eastAsia="sv-SE"/>
              </w:rPr>
              <w:t xml:space="preserve"> corresponds to 10 ms, value </w:t>
            </w:r>
            <w:r w:rsidRPr="00FA0D37">
              <w:rPr>
                <w:i/>
                <w:lang w:eastAsia="sv-SE"/>
              </w:rPr>
              <w:t>ms20</w:t>
            </w:r>
            <w:r w:rsidRPr="00FA0D37">
              <w:rPr>
                <w:szCs w:val="22"/>
                <w:lang w:eastAsia="sv-SE"/>
              </w:rPr>
              <w:t xml:space="preserve"> corresponds to 20 ms, and so on.</w:t>
            </w:r>
          </w:p>
        </w:tc>
      </w:tr>
      <w:tr w:rsidR="00394471" w:rsidRPr="00FA0D37"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FA0D37" w:rsidRDefault="00394471" w:rsidP="00964CC4">
            <w:pPr>
              <w:pStyle w:val="TAL"/>
              <w:rPr>
                <w:b/>
                <w:i/>
                <w:lang w:eastAsia="en-GB"/>
              </w:rPr>
            </w:pPr>
            <w:r w:rsidRPr="00FA0D37">
              <w:rPr>
                <w:rFonts w:cs="Arial"/>
                <w:b/>
                <w:i/>
                <w:lang w:eastAsia="sv-SE"/>
              </w:rPr>
              <w:t>lbt-FailureInstanceMaxCount</w:t>
            </w:r>
          </w:p>
          <w:p w14:paraId="5D46326D" w14:textId="53F8CAAE" w:rsidR="00394471" w:rsidRPr="00FA0D37" w:rsidRDefault="00394471" w:rsidP="00964CC4">
            <w:pPr>
              <w:pStyle w:val="TAL"/>
              <w:rPr>
                <w:b/>
                <w:i/>
                <w:lang w:eastAsia="sv-SE"/>
              </w:rPr>
            </w:pPr>
            <w:r w:rsidRPr="00FA0D37">
              <w:rPr>
                <w:rFonts w:cs="Arial"/>
                <w:lang w:eastAsia="sv-SE"/>
              </w:rPr>
              <w:t xml:space="preserve">This field determines after how many </w:t>
            </w:r>
            <w:r w:rsidR="00FB04AA" w:rsidRPr="00FA0D37">
              <w:rPr>
                <w:rFonts w:cs="Arial"/>
                <w:lang w:eastAsia="sv-SE"/>
              </w:rPr>
              <w:t>LBT failure indications received from the physical layer</w:t>
            </w:r>
            <w:r w:rsidRPr="00FA0D37">
              <w:rPr>
                <w:rFonts w:cs="Arial"/>
                <w:lang w:eastAsia="sv-SE"/>
              </w:rPr>
              <w:t xml:space="preserve"> the UE triggers uplink LBT failure recovery (see TS 38.321 </w:t>
            </w:r>
            <w:r w:rsidRPr="00FA0D37">
              <w:rPr>
                <w:lang w:eastAsia="en-GB"/>
              </w:rPr>
              <w:t xml:space="preserve">[3]). </w:t>
            </w:r>
            <w:r w:rsidRPr="00FA0D37">
              <w:rPr>
                <w:iCs/>
                <w:lang w:eastAsia="en-GB"/>
              </w:rPr>
              <w:t xml:space="preserve">Value </w:t>
            </w:r>
            <w:r w:rsidRPr="00FA0D37">
              <w:rPr>
                <w:i/>
                <w:iCs/>
                <w:lang w:eastAsia="en-GB"/>
              </w:rPr>
              <w:t>n4</w:t>
            </w:r>
            <w:r w:rsidRPr="00FA0D37">
              <w:rPr>
                <w:iCs/>
                <w:lang w:eastAsia="en-GB"/>
              </w:rPr>
              <w:t xml:space="preserve"> corresponds to 4, value </w:t>
            </w:r>
            <w:r w:rsidRPr="00FA0D37">
              <w:rPr>
                <w:i/>
                <w:iCs/>
                <w:lang w:eastAsia="en-GB"/>
              </w:rPr>
              <w:t>n8</w:t>
            </w:r>
            <w:r w:rsidRPr="00FA0D37">
              <w:rPr>
                <w:iCs/>
                <w:lang w:eastAsia="en-GB"/>
              </w:rPr>
              <w:t xml:space="preserve"> corresponds to 8, and so on.</w:t>
            </w:r>
          </w:p>
        </w:tc>
      </w:tr>
    </w:tbl>
    <w:p w14:paraId="2AFA5E59" w14:textId="77777777" w:rsidR="00394471" w:rsidRPr="00FA0D37" w:rsidRDefault="00394471" w:rsidP="00394471">
      <w:pPr>
        <w:rPr>
          <w:rFonts w:eastAsiaTheme="minorEastAsia"/>
        </w:rPr>
      </w:pPr>
    </w:p>
    <w:p w14:paraId="62023A5F" w14:textId="77777777" w:rsidR="00394471" w:rsidRPr="00FA0D37" w:rsidRDefault="00394471" w:rsidP="00394471">
      <w:pPr>
        <w:pStyle w:val="4"/>
      </w:pPr>
      <w:bookmarkStart w:id="1061" w:name="_Toc60777247"/>
      <w:bookmarkStart w:id="1062" w:name="_Toc146781305"/>
      <w:r w:rsidRPr="00FA0D37">
        <w:t>–</w:t>
      </w:r>
      <w:r w:rsidRPr="00FA0D37">
        <w:tab/>
      </w:r>
      <w:r w:rsidRPr="00FA0D37">
        <w:rPr>
          <w:i/>
        </w:rPr>
        <w:t>LocationInfo</w:t>
      </w:r>
      <w:bookmarkEnd w:id="1061"/>
      <w:bookmarkEnd w:id="1062"/>
    </w:p>
    <w:p w14:paraId="0A8637A4" w14:textId="77777777" w:rsidR="00394471" w:rsidRPr="00FA0D37" w:rsidRDefault="00394471" w:rsidP="00394471">
      <w:r w:rsidRPr="00FA0D37">
        <w:t xml:space="preserve">The IE </w:t>
      </w:r>
      <w:r w:rsidRPr="00FA0D37">
        <w:rPr>
          <w:i/>
        </w:rPr>
        <w:t>LocationInfo</w:t>
      </w:r>
      <w:r w:rsidRPr="00FA0D37">
        <w:rPr>
          <w:iCs/>
        </w:rPr>
        <w:t xml:space="preserve"> is used</w:t>
      </w:r>
      <w:r w:rsidRPr="00FA0D37">
        <w:t xml:space="preserve"> to transfer available detailed </w:t>
      </w:r>
      <w:r w:rsidRPr="00FA0D37">
        <w:rPr>
          <w:iCs/>
        </w:rPr>
        <w:t>location information, Bluetooth, WLAN and sensor available measurement results at the UE.</w:t>
      </w:r>
    </w:p>
    <w:p w14:paraId="5A113BFC" w14:textId="77777777" w:rsidR="00394471" w:rsidRPr="00FA0D37" w:rsidRDefault="00394471" w:rsidP="00394471">
      <w:pPr>
        <w:pStyle w:val="TH"/>
      </w:pPr>
      <w:r w:rsidRPr="00FA0D37">
        <w:rPr>
          <w:bCs/>
          <w:i/>
          <w:iCs/>
        </w:rPr>
        <w:t>LocationInfo</w:t>
      </w:r>
      <w:r w:rsidRPr="00FA0D37">
        <w:t xml:space="preserve"> information element</w:t>
      </w:r>
    </w:p>
    <w:p w14:paraId="62370F3B" w14:textId="77777777" w:rsidR="00394471" w:rsidRPr="00FA0D37" w:rsidRDefault="00394471" w:rsidP="00FA0D37">
      <w:pPr>
        <w:pStyle w:val="PL"/>
        <w:rPr>
          <w:color w:val="808080"/>
        </w:rPr>
      </w:pPr>
      <w:r w:rsidRPr="00FA0D37">
        <w:rPr>
          <w:color w:val="808080"/>
        </w:rPr>
        <w:t>-- ASN1START</w:t>
      </w:r>
    </w:p>
    <w:p w14:paraId="75503EB8" w14:textId="77777777" w:rsidR="00394471" w:rsidRPr="00FA0D37" w:rsidRDefault="00394471" w:rsidP="00FA0D37">
      <w:pPr>
        <w:pStyle w:val="PL"/>
        <w:rPr>
          <w:color w:val="808080"/>
        </w:rPr>
      </w:pPr>
      <w:r w:rsidRPr="00FA0D37">
        <w:rPr>
          <w:color w:val="808080"/>
        </w:rPr>
        <w:t>-- TAG-LOCATIONINFO-START</w:t>
      </w:r>
    </w:p>
    <w:p w14:paraId="22831574" w14:textId="77777777" w:rsidR="00394471" w:rsidRPr="00FA0D37" w:rsidRDefault="00394471" w:rsidP="00FA0D37">
      <w:pPr>
        <w:pStyle w:val="PL"/>
      </w:pPr>
    </w:p>
    <w:p w14:paraId="19DAB951" w14:textId="77777777" w:rsidR="00394471" w:rsidRPr="00FA0D37" w:rsidRDefault="00394471" w:rsidP="00FA0D37">
      <w:pPr>
        <w:pStyle w:val="PL"/>
      </w:pPr>
      <w:r w:rsidRPr="00FA0D37">
        <w:t xml:space="preserve">LocationInfo-r16 ::=      </w:t>
      </w:r>
      <w:r w:rsidRPr="00FA0D37">
        <w:rPr>
          <w:color w:val="993366"/>
        </w:rPr>
        <w:t>SEQUENCE</w:t>
      </w:r>
      <w:r w:rsidRPr="00FA0D37">
        <w:t xml:space="preserve"> {</w:t>
      </w:r>
    </w:p>
    <w:p w14:paraId="77041869" w14:textId="77777777" w:rsidR="00394471" w:rsidRPr="00FA0D37" w:rsidRDefault="00394471" w:rsidP="00FA0D37">
      <w:pPr>
        <w:pStyle w:val="PL"/>
      </w:pPr>
      <w:r w:rsidRPr="00FA0D37">
        <w:t xml:space="preserve">    commonLocationInfo-r16    CommonLocationInfo-r16          </w:t>
      </w:r>
      <w:r w:rsidRPr="00FA0D37">
        <w:rPr>
          <w:color w:val="993366"/>
        </w:rPr>
        <w:t>OPTIONAL</w:t>
      </w:r>
      <w:r w:rsidRPr="00FA0D37">
        <w:t>,</w:t>
      </w:r>
    </w:p>
    <w:p w14:paraId="732978FD" w14:textId="77777777" w:rsidR="00394471" w:rsidRPr="00FA0D37" w:rsidRDefault="00394471" w:rsidP="00FA0D37">
      <w:pPr>
        <w:pStyle w:val="PL"/>
      </w:pPr>
      <w:r w:rsidRPr="00FA0D37">
        <w:t xml:space="preserve">    bt-LocationInfo-r16       LogMeasResultListBT-r16         </w:t>
      </w:r>
      <w:r w:rsidRPr="00FA0D37">
        <w:rPr>
          <w:color w:val="993366"/>
        </w:rPr>
        <w:t>OPTIONAL</w:t>
      </w:r>
      <w:r w:rsidRPr="00FA0D37">
        <w:t>,</w:t>
      </w:r>
    </w:p>
    <w:p w14:paraId="19138410" w14:textId="77777777" w:rsidR="00394471" w:rsidRPr="00FA0D37" w:rsidRDefault="00394471" w:rsidP="00FA0D37">
      <w:pPr>
        <w:pStyle w:val="PL"/>
      </w:pPr>
      <w:r w:rsidRPr="00FA0D37">
        <w:t xml:space="preserve">    wlan-LocationInfo-r16     LogMeasResultListWLAN-r16       </w:t>
      </w:r>
      <w:r w:rsidRPr="00FA0D37">
        <w:rPr>
          <w:color w:val="993366"/>
        </w:rPr>
        <w:t>OPTIONAL</w:t>
      </w:r>
      <w:r w:rsidRPr="00FA0D37">
        <w:t>,</w:t>
      </w:r>
    </w:p>
    <w:p w14:paraId="1CBE20EC" w14:textId="77777777" w:rsidR="00394471" w:rsidRPr="00FA0D37" w:rsidRDefault="00394471" w:rsidP="00FA0D37">
      <w:pPr>
        <w:pStyle w:val="PL"/>
      </w:pPr>
      <w:r w:rsidRPr="00FA0D37">
        <w:t xml:space="preserve">    sensor-LocationInfo-r16   Sensor-LocationInfo-r16         </w:t>
      </w:r>
      <w:r w:rsidRPr="00FA0D37">
        <w:rPr>
          <w:color w:val="993366"/>
        </w:rPr>
        <w:t>OPTIONAL</w:t>
      </w:r>
      <w:r w:rsidRPr="00FA0D37">
        <w:t>,</w:t>
      </w:r>
    </w:p>
    <w:p w14:paraId="4501BFAC" w14:textId="77777777" w:rsidR="00394471" w:rsidRPr="00FA0D37" w:rsidRDefault="00394471" w:rsidP="00FA0D37">
      <w:pPr>
        <w:pStyle w:val="PL"/>
      </w:pPr>
      <w:r w:rsidRPr="00FA0D37">
        <w:t xml:space="preserve">    ...</w:t>
      </w:r>
    </w:p>
    <w:p w14:paraId="6F22FD54" w14:textId="77777777" w:rsidR="00394471" w:rsidRPr="00FA0D37" w:rsidRDefault="00394471" w:rsidP="00FA0D37">
      <w:pPr>
        <w:pStyle w:val="PL"/>
      </w:pPr>
      <w:r w:rsidRPr="00FA0D37">
        <w:t>}</w:t>
      </w:r>
    </w:p>
    <w:p w14:paraId="2C5D632C" w14:textId="77777777" w:rsidR="00394471" w:rsidRPr="00FA0D37" w:rsidRDefault="00394471" w:rsidP="00FA0D37">
      <w:pPr>
        <w:pStyle w:val="PL"/>
      </w:pPr>
    </w:p>
    <w:p w14:paraId="15B258F1" w14:textId="77777777" w:rsidR="00394471" w:rsidRPr="00FA0D37" w:rsidRDefault="00394471" w:rsidP="00FA0D37">
      <w:pPr>
        <w:pStyle w:val="PL"/>
        <w:rPr>
          <w:color w:val="808080"/>
        </w:rPr>
      </w:pPr>
      <w:r w:rsidRPr="00FA0D37">
        <w:rPr>
          <w:color w:val="808080"/>
        </w:rPr>
        <w:t>-- TAG-LOCATIONINFO-STOP</w:t>
      </w:r>
    </w:p>
    <w:p w14:paraId="760AD3BD" w14:textId="77777777" w:rsidR="00394471" w:rsidRPr="00FA0D37" w:rsidRDefault="00394471" w:rsidP="00FA0D37">
      <w:pPr>
        <w:pStyle w:val="PL"/>
        <w:rPr>
          <w:color w:val="808080"/>
        </w:rPr>
      </w:pPr>
      <w:r w:rsidRPr="00FA0D37">
        <w:rPr>
          <w:color w:val="808080"/>
        </w:rPr>
        <w:t>-- ASN1STOP</w:t>
      </w:r>
    </w:p>
    <w:p w14:paraId="1869F0B9" w14:textId="77777777" w:rsidR="00394471" w:rsidRPr="00FA0D37" w:rsidRDefault="00394471" w:rsidP="00394471"/>
    <w:p w14:paraId="3344B4D0" w14:textId="77777777" w:rsidR="00394471" w:rsidRPr="00FA0D37" w:rsidRDefault="00394471" w:rsidP="00394471">
      <w:pPr>
        <w:pStyle w:val="4"/>
      </w:pPr>
      <w:bookmarkStart w:id="1063" w:name="_Toc60777248"/>
      <w:bookmarkStart w:id="1064" w:name="_Toc146781306"/>
      <w:r w:rsidRPr="00FA0D37">
        <w:t>–</w:t>
      </w:r>
      <w:r w:rsidRPr="00FA0D37">
        <w:tab/>
      </w:r>
      <w:r w:rsidRPr="00FA0D37">
        <w:rPr>
          <w:i/>
        </w:rPr>
        <w:t>LocationMeasurementInfo</w:t>
      </w:r>
      <w:bookmarkEnd w:id="1063"/>
      <w:bookmarkEnd w:id="1064"/>
    </w:p>
    <w:p w14:paraId="6DD94D9A" w14:textId="77777777" w:rsidR="00394471" w:rsidRPr="00FA0D37" w:rsidRDefault="00394471" w:rsidP="00394471">
      <w:r w:rsidRPr="00FA0D37">
        <w:t xml:space="preserve">The IE </w:t>
      </w:r>
      <w:r w:rsidRPr="00FA0D37">
        <w:rPr>
          <w:i/>
        </w:rPr>
        <w:t>LocationMeasurementInfo</w:t>
      </w:r>
      <w:r w:rsidRPr="00FA0D37">
        <w:t xml:space="preserve"> defines the information sent by the UE to the network to assist with the configuration of measurement gaps for location related measurements.</w:t>
      </w:r>
    </w:p>
    <w:p w14:paraId="4482F612" w14:textId="77777777" w:rsidR="00394471" w:rsidRPr="00FA0D37" w:rsidRDefault="00394471" w:rsidP="00394471">
      <w:pPr>
        <w:pStyle w:val="TH"/>
      </w:pPr>
      <w:r w:rsidRPr="00FA0D37">
        <w:rPr>
          <w:i/>
        </w:rPr>
        <w:lastRenderedPageBreak/>
        <w:t>LocationMeasurementInfo</w:t>
      </w:r>
      <w:r w:rsidRPr="00FA0D37">
        <w:t xml:space="preserve"> information element</w:t>
      </w:r>
    </w:p>
    <w:p w14:paraId="6F26E462" w14:textId="77777777" w:rsidR="00394471" w:rsidRPr="00FA0D37" w:rsidRDefault="00394471" w:rsidP="00FA0D37">
      <w:pPr>
        <w:pStyle w:val="PL"/>
        <w:rPr>
          <w:color w:val="808080"/>
        </w:rPr>
      </w:pPr>
      <w:r w:rsidRPr="00FA0D37">
        <w:rPr>
          <w:color w:val="808080"/>
        </w:rPr>
        <w:t>-- ASN1START</w:t>
      </w:r>
    </w:p>
    <w:p w14:paraId="42146742" w14:textId="77777777" w:rsidR="00394471" w:rsidRPr="00FA0D37" w:rsidRDefault="00394471" w:rsidP="00FA0D37">
      <w:pPr>
        <w:pStyle w:val="PL"/>
        <w:rPr>
          <w:color w:val="808080"/>
        </w:rPr>
      </w:pPr>
      <w:r w:rsidRPr="00FA0D37">
        <w:rPr>
          <w:color w:val="808080"/>
        </w:rPr>
        <w:t>-- TAG-LOCATIONMEASUREMENTINFO-START</w:t>
      </w:r>
    </w:p>
    <w:p w14:paraId="23CA18EF" w14:textId="77777777" w:rsidR="00394471" w:rsidRPr="00FA0D37" w:rsidRDefault="00394471" w:rsidP="00FA0D37">
      <w:pPr>
        <w:pStyle w:val="PL"/>
      </w:pPr>
    </w:p>
    <w:p w14:paraId="1B2B4704" w14:textId="77777777" w:rsidR="00394471" w:rsidRPr="00FA0D37" w:rsidRDefault="00394471" w:rsidP="00FA0D37">
      <w:pPr>
        <w:pStyle w:val="PL"/>
      </w:pPr>
      <w:r w:rsidRPr="00FA0D37">
        <w:t xml:space="preserve">LocationMeasurementInfo ::=     </w:t>
      </w:r>
      <w:r w:rsidRPr="00FA0D37">
        <w:rPr>
          <w:color w:val="993366"/>
        </w:rPr>
        <w:t>CHOICE</w:t>
      </w:r>
      <w:r w:rsidRPr="00FA0D37">
        <w:t xml:space="preserve"> {</w:t>
      </w:r>
    </w:p>
    <w:p w14:paraId="66503526" w14:textId="77777777" w:rsidR="00394471" w:rsidRPr="00FA0D37" w:rsidRDefault="00394471" w:rsidP="00FA0D37">
      <w:pPr>
        <w:pStyle w:val="PL"/>
      </w:pPr>
      <w:r w:rsidRPr="00FA0D37">
        <w:t xml:space="preserve">    eutra-RSTD                  EUTRA-RSTD-InfoList,</w:t>
      </w:r>
    </w:p>
    <w:p w14:paraId="2E13E4B2" w14:textId="77777777" w:rsidR="00394471" w:rsidRPr="00FA0D37" w:rsidRDefault="00394471" w:rsidP="00FA0D37">
      <w:pPr>
        <w:pStyle w:val="PL"/>
      </w:pPr>
      <w:r w:rsidRPr="00FA0D37">
        <w:t xml:space="preserve">    ...,</w:t>
      </w:r>
    </w:p>
    <w:p w14:paraId="4C395E19" w14:textId="77777777" w:rsidR="00394471" w:rsidRPr="00FA0D37" w:rsidRDefault="00394471" w:rsidP="00FA0D37">
      <w:pPr>
        <w:pStyle w:val="PL"/>
      </w:pPr>
      <w:r w:rsidRPr="00FA0D37">
        <w:t xml:space="preserve">    eutra-FineTimingDetection   </w:t>
      </w:r>
      <w:r w:rsidRPr="00FA0D37">
        <w:rPr>
          <w:color w:val="993366"/>
        </w:rPr>
        <w:t>NULL</w:t>
      </w:r>
      <w:r w:rsidRPr="00FA0D37">
        <w:t>,</w:t>
      </w:r>
    </w:p>
    <w:p w14:paraId="4FDBD254" w14:textId="77777777" w:rsidR="00394471" w:rsidRPr="00FA0D37" w:rsidRDefault="00394471" w:rsidP="00FA0D37">
      <w:pPr>
        <w:pStyle w:val="PL"/>
      </w:pPr>
      <w:r w:rsidRPr="00FA0D37">
        <w:t xml:space="preserve">    nr-PRS-Measurement-r16      NR-PRS-MeasurementInfoList-r16</w:t>
      </w:r>
    </w:p>
    <w:p w14:paraId="3F20B3E9" w14:textId="77777777" w:rsidR="00394471" w:rsidRPr="00FA0D37" w:rsidRDefault="00394471" w:rsidP="00FA0D37">
      <w:pPr>
        <w:pStyle w:val="PL"/>
      </w:pPr>
      <w:r w:rsidRPr="00FA0D37">
        <w:t>}</w:t>
      </w:r>
    </w:p>
    <w:p w14:paraId="64A2D1DA" w14:textId="77777777" w:rsidR="00394471" w:rsidRPr="00FA0D37" w:rsidRDefault="00394471" w:rsidP="00FA0D37">
      <w:pPr>
        <w:pStyle w:val="PL"/>
      </w:pPr>
    </w:p>
    <w:p w14:paraId="55597ABA" w14:textId="77777777" w:rsidR="00394471" w:rsidRPr="00FA0D37" w:rsidRDefault="00394471" w:rsidP="00FA0D37">
      <w:pPr>
        <w:pStyle w:val="PL"/>
      </w:pPr>
      <w:r w:rsidRPr="00FA0D37">
        <w:t xml:space="preserve">EUTRA-RSTD-InfoList ::= </w:t>
      </w:r>
      <w:r w:rsidRPr="00FA0D37">
        <w:rPr>
          <w:color w:val="993366"/>
        </w:rPr>
        <w:t>SEQUENCE</w:t>
      </w:r>
      <w:r w:rsidRPr="00FA0D37">
        <w:t xml:space="preserve"> (</w:t>
      </w:r>
      <w:r w:rsidRPr="00FA0D37">
        <w:rPr>
          <w:color w:val="993366"/>
        </w:rPr>
        <w:t>SIZE</w:t>
      </w:r>
      <w:r w:rsidRPr="00FA0D37">
        <w:t xml:space="preserve"> (1..maxInterRAT-RSTD-Freq))</w:t>
      </w:r>
      <w:r w:rsidRPr="00FA0D37">
        <w:rPr>
          <w:color w:val="993366"/>
        </w:rPr>
        <w:t xml:space="preserve"> OF</w:t>
      </w:r>
      <w:r w:rsidRPr="00FA0D37">
        <w:t xml:space="preserve"> EUTRA-RSTD-Info</w:t>
      </w:r>
    </w:p>
    <w:p w14:paraId="64C605F0" w14:textId="77777777" w:rsidR="00394471" w:rsidRPr="00FA0D37" w:rsidRDefault="00394471" w:rsidP="00FA0D37">
      <w:pPr>
        <w:pStyle w:val="PL"/>
      </w:pPr>
    </w:p>
    <w:p w14:paraId="1BDEB642" w14:textId="77777777" w:rsidR="00394471" w:rsidRPr="00FA0D37" w:rsidRDefault="00394471" w:rsidP="00FA0D37">
      <w:pPr>
        <w:pStyle w:val="PL"/>
      </w:pPr>
      <w:r w:rsidRPr="00FA0D37">
        <w:t xml:space="preserve">EUTRA-RSTD-Info ::= </w:t>
      </w:r>
      <w:r w:rsidRPr="00FA0D37">
        <w:rPr>
          <w:color w:val="993366"/>
        </w:rPr>
        <w:t>SEQUENCE</w:t>
      </w:r>
      <w:r w:rsidRPr="00FA0D37">
        <w:t xml:space="preserve"> {</w:t>
      </w:r>
    </w:p>
    <w:p w14:paraId="4A02D54C" w14:textId="77777777" w:rsidR="00394471" w:rsidRPr="00FA0D37" w:rsidRDefault="00394471" w:rsidP="00FA0D37">
      <w:pPr>
        <w:pStyle w:val="PL"/>
      </w:pPr>
      <w:r w:rsidRPr="00FA0D37">
        <w:t xml:space="preserve">    carrierFreq                 ARFCN-ValueEUTRA,</w:t>
      </w:r>
    </w:p>
    <w:p w14:paraId="69BD9DD9" w14:textId="77777777" w:rsidR="00394471" w:rsidRPr="00FA0D37" w:rsidRDefault="00394471" w:rsidP="00FA0D37">
      <w:pPr>
        <w:pStyle w:val="PL"/>
      </w:pPr>
      <w:r w:rsidRPr="00FA0D37">
        <w:t xml:space="preserve">    measPRS-Offset              </w:t>
      </w:r>
      <w:r w:rsidRPr="00FA0D37">
        <w:rPr>
          <w:color w:val="993366"/>
        </w:rPr>
        <w:t>INTEGER</w:t>
      </w:r>
      <w:r w:rsidRPr="00FA0D37">
        <w:t xml:space="preserve"> (0..39),</w:t>
      </w:r>
    </w:p>
    <w:p w14:paraId="2A5D747C" w14:textId="77777777" w:rsidR="00394471" w:rsidRPr="00FA0D37" w:rsidRDefault="00394471" w:rsidP="00FA0D37">
      <w:pPr>
        <w:pStyle w:val="PL"/>
      </w:pPr>
      <w:r w:rsidRPr="00FA0D37">
        <w:t xml:space="preserve">    ...</w:t>
      </w:r>
    </w:p>
    <w:p w14:paraId="5E4A8D0A" w14:textId="77777777" w:rsidR="00394471" w:rsidRPr="00FA0D37" w:rsidRDefault="00394471" w:rsidP="00FA0D37">
      <w:pPr>
        <w:pStyle w:val="PL"/>
      </w:pPr>
      <w:r w:rsidRPr="00FA0D37">
        <w:t>}</w:t>
      </w:r>
    </w:p>
    <w:p w14:paraId="6D11AA39" w14:textId="77777777" w:rsidR="00394471" w:rsidRPr="00FA0D37" w:rsidRDefault="00394471" w:rsidP="00FA0D37">
      <w:pPr>
        <w:pStyle w:val="PL"/>
      </w:pPr>
    </w:p>
    <w:p w14:paraId="59BC34A2" w14:textId="77777777" w:rsidR="00394471" w:rsidRPr="00FA0D37" w:rsidRDefault="00394471" w:rsidP="00FA0D37">
      <w:pPr>
        <w:pStyle w:val="PL"/>
        <w:rPr>
          <w:rFonts w:eastAsia="Batang"/>
        </w:rPr>
      </w:pPr>
      <w:r w:rsidRPr="00FA0D37">
        <w:t xml:space="preserve">NR-PRS-MeasurementInfoList-r16 ::= </w:t>
      </w:r>
      <w:r w:rsidRPr="00FA0D37">
        <w:rPr>
          <w:color w:val="993366"/>
        </w:rPr>
        <w:t>SEQUENCE</w:t>
      </w:r>
      <w:r w:rsidRPr="00FA0D37">
        <w:t xml:space="preserve"> (</w:t>
      </w:r>
      <w:r w:rsidRPr="00FA0D37">
        <w:rPr>
          <w:color w:val="993366"/>
        </w:rPr>
        <w:t>SIZE</w:t>
      </w:r>
      <w:r w:rsidRPr="00FA0D37">
        <w:t xml:space="preserve"> (1..maxFreqLayers))</w:t>
      </w:r>
      <w:r w:rsidRPr="00FA0D37">
        <w:rPr>
          <w:color w:val="993366"/>
        </w:rPr>
        <w:t xml:space="preserve"> OF</w:t>
      </w:r>
      <w:r w:rsidRPr="00FA0D37">
        <w:t xml:space="preserve"> NR-PRS-MeasurementInfo-r16</w:t>
      </w:r>
    </w:p>
    <w:p w14:paraId="243C024B" w14:textId="77777777" w:rsidR="00394471" w:rsidRPr="00FA0D37" w:rsidRDefault="00394471" w:rsidP="00FA0D37">
      <w:pPr>
        <w:pStyle w:val="PL"/>
      </w:pPr>
    </w:p>
    <w:p w14:paraId="2D30D01D" w14:textId="77777777" w:rsidR="00394471" w:rsidRPr="00FA0D37" w:rsidRDefault="00394471" w:rsidP="00FA0D37">
      <w:pPr>
        <w:pStyle w:val="PL"/>
      </w:pPr>
      <w:r w:rsidRPr="00FA0D37">
        <w:t xml:space="preserve">NR-PRS-MeasurementInfo-r16 ::=      </w:t>
      </w:r>
      <w:r w:rsidRPr="00FA0D37">
        <w:rPr>
          <w:color w:val="993366"/>
        </w:rPr>
        <w:t>SEQUENCE</w:t>
      </w:r>
      <w:r w:rsidRPr="00FA0D37">
        <w:t xml:space="preserve"> {</w:t>
      </w:r>
    </w:p>
    <w:p w14:paraId="44ACAC58" w14:textId="77777777" w:rsidR="00394471" w:rsidRPr="00FA0D37" w:rsidRDefault="00394471" w:rsidP="00FA0D37">
      <w:pPr>
        <w:pStyle w:val="PL"/>
      </w:pPr>
      <w:r w:rsidRPr="00FA0D37">
        <w:t xml:space="preserve">    dl-PRS-PointA-r16                   ARFCN-ValueNR,</w:t>
      </w:r>
    </w:p>
    <w:p w14:paraId="2F5C9492" w14:textId="77777777" w:rsidR="00394471" w:rsidRPr="00FA0D37" w:rsidRDefault="00394471" w:rsidP="00FA0D37">
      <w:pPr>
        <w:pStyle w:val="PL"/>
      </w:pPr>
      <w:r w:rsidRPr="00FA0D37">
        <w:t xml:space="preserve">    nr-MeasPRS-RepetitionAndOffset-r16  </w:t>
      </w:r>
      <w:r w:rsidRPr="00FA0D37">
        <w:rPr>
          <w:color w:val="993366"/>
        </w:rPr>
        <w:t>CHOICE</w:t>
      </w:r>
      <w:r w:rsidRPr="00FA0D37">
        <w:t xml:space="preserve"> {</w:t>
      </w:r>
    </w:p>
    <w:p w14:paraId="0DBC6E66" w14:textId="77777777" w:rsidR="00394471" w:rsidRPr="00FA0D37" w:rsidRDefault="00394471" w:rsidP="00FA0D37">
      <w:pPr>
        <w:pStyle w:val="PL"/>
      </w:pPr>
      <w:r w:rsidRPr="00FA0D37">
        <w:t xml:space="preserve">        ms20-r16                            </w:t>
      </w:r>
      <w:r w:rsidRPr="00FA0D37">
        <w:rPr>
          <w:color w:val="993366"/>
        </w:rPr>
        <w:t>INTEGER</w:t>
      </w:r>
      <w:r w:rsidRPr="00FA0D37">
        <w:t xml:space="preserve"> (0..19),</w:t>
      </w:r>
    </w:p>
    <w:p w14:paraId="10E3EBDD" w14:textId="77777777" w:rsidR="00394471" w:rsidRPr="00FA0D37" w:rsidRDefault="00394471" w:rsidP="00FA0D37">
      <w:pPr>
        <w:pStyle w:val="PL"/>
      </w:pPr>
      <w:r w:rsidRPr="00FA0D37">
        <w:t xml:space="preserve">        ms40-r16                            </w:t>
      </w:r>
      <w:r w:rsidRPr="00FA0D37">
        <w:rPr>
          <w:color w:val="993366"/>
        </w:rPr>
        <w:t>INTEGER</w:t>
      </w:r>
      <w:r w:rsidRPr="00FA0D37">
        <w:t xml:space="preserve"> (0..39),</w:t>
      </w:r>
    </w:p>
    <w:p w14:paraId="12DC4897" w14:textId="77777777" w:rsidR="00394471" w:rsidRPr="00FA0D37" w:rsidRDefault="00394471" w:rsidP="00FA0D37">
      <w:pPr>
        <w:pStyle w:val="PL"/>
      </w:pPr>
      <w:r w:rsidRPr="00FA0D37">
        <w:t xml:space="preserve">        ms80-r16                            </w:t>
      </w:r>
      <w:r w:rsidRPr="00FA0D37">
        <w:rPr>
          <w:color w:val="993366"/>
        </w:rPr>
        <w:t>INTEGER</w:t>
      </w:r>
      <w:r w:rsidRPr="00FA0D37">
        <w:t xml:space="preserve"> (0..79),</w:t>
      </w:r>
    </w:p>
    <w:p w14:paraId="27D99163" w14:textId="77777777" w:rsidR="00394471" w:rsidRPr="00FA0D37" w:rsidRDefault="00394471" w:rsidP="00FA0D37">
      <w:pPr>
        <w:pStyle w:val="PL"/>
      </w:pPr>
      <w:r w:rsidRPr="00FA0D37">
        <w:t xml:space="preserve">        ms160-r16                           </w:t>
      </w:r>
      <w:r w:rsidRPr="00FA0D37">
        <w:rPr>
          <w:color w:val="993366"/>
        </w:rPr>
        <w:t>INTEGER</w:t>
      </w:r>
      <w:r w:rsidRPr="00FA0D37">
        <w:t xml:space="preserve"> (0..159),</w:t>
      </w:r>
    </w:p>
    <w:p w14:paraId="60AB5635" w14:textId="77777777" w:rsidR="00394471" w:rsidRPr="00FA0D37" w:rsidRDefault="00394471" w:rsidP="00FA0D37">
      <w:pPr>
        <w:pStyle w:val="PL"/>
      </w:pPr>
      <w:r w:rsidRPr="00FA0D37">
        <w:t xml:space="preserve">        ...</w:t>
      </w:r>
    </w:p>
    <w:p w14:paraId="281727E4" w14:textId="77777777" w:rsidR="00394471" w:rsidRPr="00FA0D37" w:rsidRDefault="00394471" w:rsidP="00FA0D37">
      <w:pPr>
        <w:pStyle w:val="PL"/>
      </w:pPr>
      <w:r w:rsidRPr="00FA0D37">
        <w:t xml:space="preserve">    </w:t>
      </w:r>
      <w:r w:rsidRPr="00FA0D37">
        <w:rPr>
          <w:rFonts w:eastAsiaTheme="minorEastAsia"/>
        </w:rPr>
        <w:t>},</w:t>
      </w:r>
    </w:p>
    <w:p w14:paraId="1B621A3D" w14:textId="77777777" w:rsidR="00394471" w:rsidRPr="00FA0D37" w:rsidRDefault="00394471" w:rsidP="00FA0D37">
      <w:pPr>
        <w:pStyle w:val="PL"/>
      </w:pPr>
      <w:r w:rsidRPr="00FA0D37">
        <w:t xml:space="preserve">    nr-MeasPRS-length-r16               </w:t>
      </w:r>
      <w:r w:rsidRPr="00FA0D37">
        <w:rPr>
          <w:color w:val="993366"/>
        </w:rPr>
        <w:t>ENUMERATED</w:t>
      </w:r>
      <w:r w:rsidRPr="00FA0D37">
        <w:t xml:space="preserve"> {ms1dot5, ms3, ms3dot5, ms4, ms5dot5, ms6, ms10, ms20},</w:t>
      </w:r>
    </w:p>
    <w:p w14:paraId="1D9569C8" w14:textId="77777777" w:rsidR="00394471" w:rsidRPr="00FA0D37" w:rsidRDefault="00394471" w:rsidP="00FA0D37">
      <w:pPr>
        <w:pStyle w:val="PL"/>
      </w:pPr>
      <w:r w:rsidRPr="00FA0D37">
        <w:t xml:space="preserve">    ...</w:t>
      </w:r>
    </w:p>
    <w:p w14:paraId="0807EC69" w14:textId="77777777" w:rsidR="00394471" w:rsidRPr="00FA0D37" w:rsidRDefault="00394471" w:rsidP="00FA0D37">
      <w:pPr>
        <w:pStyle w:val="PL"/>
      </w:pPr>
      <w:r w:rsidRPr="00FA0D37">
        <w:t>}</w:t>
      </w:r>
    </w:p>
    <w:p w14:paraId="330527F3" w14:textId="77777777" w:rsidR="00394471" w:rsidRPr="00FA0D37" w:rsidRDefault="00394471" w:rsidP="00FA0D37">
      <w:pPr>
        <w:pStyle w:val="PL"/>
      </w:pPr>
    </w:p>
    <w:p w14:paraId="67DA6AC5" w14:textId="77777777" w:rsidR="00394471" w:rsidRPr="00FA0D37" w:rsidRDefault="00394471" w:rsidP="00FA0D37">
      <w:pPr>
        <w:pStyle w:val="PL"/>
        <w:rPr>
          <w:color w:val="808080"/>
        </w:rPr>
      </w:pPr>
      <w:r w:rsidRPr="00FA0D37">
        <w:rPr>
          <w:color w:val="808080"/>
        </w:rPr>
        <w:t>-- TAG-LOCATIONMEASUREMENTINFO-STOP</w:t>
      </w:r>
    </w:p>
    <w:p w14:paraId="413EEB12" w14:textId="77777777" w:rsidR="00394471" w:rsidRPr="00FA0D37" w:rsidRDefault="00394471" w:rsidP="00FA0D37">
      <w:pPr>
        <w:pStyle w:val="PL"/>
        <w:rPr>
          <w:color w:val="808080"/>
        </w:rPr>
      </w:pPr>
      <w:r w:rsidRPr="00FA0D37">
        <w:rPr>
          <w:color w:val="808080"/>
        </w:rPr>
        <w:t>-- ASN1STOP</w:t>
      </w:r>
    </w:p>
    <w:p w14:paraId="25CCF3C6" w14:textId="77777777" w:rsidR="00394471" w:rsidRPr="00FA0D3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5C7FF4" w:rsidRPr="00FA0D37"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FA0D37" w:rsidRDefault="00394471" w:rsidP="00964CC4">
            <w:pPr>
              <w:pStyle w:val="TAH"/>
              <w:rPr>
                <w:lang w:eastAsia="en-GB"/>
              </w:rPr>
            </w:pPr>
            <w:r w:rsidRPr="00FA0D37">
              <w:rPr>
                <w:i/>
                <w:noProof/>
                <w:lang w:eastAsia="zh-CN"/>
              </w:rPr>
              <w:lastRenderedPageBreak/>
              <w:t>LocationMeasurementInfo</w:t>
            </w:r>
            <w:r w:rsidRPr="00FA0D37">
              <w:rPr>
                <w:iCs/>
                <w:noProof/>
                <w:lang w:eastAsia="en-GB"/>
              </w:rPr>
              <w:t xml:space="preserve"> field descriptions</w:t>
            </w:r>
          </w:p>
        </w:tc>
      </w:tr>
      <w:tr w:rsidR="005C7FF4" w:rsidRPr="00FA0D37"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FA0D37" w:rsidRDefault="00394471" w:rsidP="00964CC4">
            <w:pPr>
              <w:pStyle w:val="TAL"/>
              <w:rPr>
                <w:b/>
                <w:i/>
                <w:lang w:eastAsia="zh-CN"/>
              </w:rPr>
            </w:pPr>
            <w:r w:rsidRPr="00FA0D37">
              <w:rPr>
                <w:b/>
                <w:i/>
                <w:lang w:eastAsia="zh-CN"/>
              </w:rPr>
              <w:t>carrierFreq</w:t>
            </w:r>
          </w:p>
          <w:p w14:paraId="0A52B938" w14:textId="77777777" w:rsidR="00394471" w:rsidRPr="00FA0D37" w:rsidRDefault="00394471" w:rsidP="00964CC4">
            <w:pPr>
              <w:pStyle w:val="TAL"/>
              <w:rPr>
                <w:lang w:eastAsia="zh-CN"/>
              </w:rPr>
            </w:pPr>
            <w:r w:rsidRPr="00FA0D37">
              <w:rPr>
                <w:lang w:eastAsia="zh-CN"/>
              </w:rPr>
              <w:t>The EARFCN value of the carrier received from upper layers for which the UE needs to perform the inter-RAT RSTD measurements.</w:t>
            </w:r>
          </w:p>
        </w:tc>
      </w:tr>
      <w:tr w:rsidR="005C7FF4" w:rsidRPr="00FA0D37"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FA0D37" w:rsidRDefault="00394471" w:rsidP="00964CC4">
            <w:pPr>
              <w:pStyle w:val="TAL"/>
              <w:rPr>
                <w:b/>
                <w:i/>
                <w:lang w:eastAsia="zh-CN"/>
              </w:rPr>
            </w:pPr>
            <w:r w:rsidRPr="00FA0D37">
              <w:rPr>
                <w:b/>
                <w:i/>
                <w:lang w:eastAsia="zh-CN"/>
              </w:rPr>
              <w:t>measPRS-Offset</w:t>
            </w:r>
          </w:p>
          <w:p w14:paraId="40BE12C0" w14:textId="77777777" w:rsidR="00394471" w:rsidRPr="00FA0D37" w:rsidRDefault="00394471" w:rsidP="00964CC4">
            <w:pPr>
              <w:pStyle w:val="TAL"/>
              <w:rPr>
                <w:lang w:eastAsia="zh-CN"/>
              </w:rPr>
            </w:pPr>
            <w:r w:rsidRPr="00FA0D37">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A0D37">
              <w:rPr>
                <w:i/>
                <w:lang w:eastAsia="zh-CN"/>
              </w:rPr>
              <w:t>carrierFreq</w:t>
            </w:r>
            <w:r w:rsidRPr="00FA0D37">
              <w:rPr>
                <w:lang w:eastAsia="zh-CN"/>
              </w:rPr>
              <w:t xml:space="preserve"> for which the UE needs to perform the inter-RAT RSTD measurements. The PRS positioning occasion information is received from upper layers. The value of </w:t>
            </w:r>
            <w:r w:rsidRPr="00FA0D37">
              <w:rPr>
                <w:i/>
                <w:lang w:eastAsia="zh-CN"/>
              </w:rPr>
              <w:t>measPRS-Offset</w:t>
            </w:r>
            <w:r w:rsidRPr="00FA0D37">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FA0D37" w:rsidRDefault="00394471" w:rsidP="00964CC4">
            <w:pPr>
              <w:pStyle w:val="TAL"/>
              <w:rPr>
                <w:lang w:eastAsia="zh-CN"/>
              </w:rPr>
            </w:pPr>
            <w:r w:rsidRPr="00FA0D37">
              <w:rPr>
                <w:lang w:eastAsia="zh-CN"/>
              </w:rPr>
              <w:t xml:space="preserve">The UE shall take into account any additional time required by the UE to start PRS measurements on the other carrier when it does this mapping for determining the </w:t>
            </w:r>
            <w:r w:rsidRPr="00FA0D37">
              <w:rPr>
                <w:i/>
                <w:lang w:eastAsia="zh-CN"/>
              </w:rPr>
              <w:t>measPRS-Offset</w:t>
            </w:r>
            <w:r w:rsidRPr="00FA0D37">
              <w:rPr>
                <w:lang w:eastAsia="zh-CN"/>
              </w:rPr>
              <w:t>.</w:t>
            </w:r>
          </w:p>
          <w:p w14:paraId="3E035049" w14:textId="77777777" w:rsidR="00394471" w:rsidRPr="00FA0D37" w:rsidRDefault="00394471" w:rsidP="00964CC4">
            <w:pPr>
              <w:pStyle w:val="TAN"/>
              <w:rPr>
                <w:lang w:eastAsia="zh-CN"/>
              </w:rPr>
            </w:pPr>
            <w:r w:rsidRPr="00FA0D37">
              <w:rPr>
                <w:lang w:eastAsia="en-GB"/>
              </w:rPr>
              <w:t>NOTE:</w:t>
            </w:r>
            <w:r w:rsidRPr="00FA0D37">
              <w:rPr>
                <w:rFonts w:eastAsia="宋体"/>
              </w:rPr>
              <w:tab/>
            </w:r>
            <w:r w:rsidRPr="00FA0D37">
              <w:rPr>
                <w:lang w:eastAsia="en-GB"/>
              </w:rPr>
              <w:t xml:space="preserve">Figure 6.2.2-1 in TS 36.331[10] illustrates the </w:t>
            </w:r>
            <w:r w:rsidRPr="00FA0D37">
              <w:rPr>
                <w:i/>
                <w:lang w:eastAsia="en-GB"/>
              </w:rPr>
              <w:t>measPRS-Offset</w:t>
            </w:r>
            <w:r w:rsidRPr="00FA0D37">
              <w:rPr>
                <w:lang w:eastAsia="en-GB"/>
              </w:rPr>
              <w:t xml:space="preserve"> field.</w:t>
            </w:r>
          </w:p>
        </w:tc>
      </w:tr>
      <w:tr w:rsidR="005C7FF4" w:rsidRPr="00FA0D37"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FA0D37" w:rsidRDefault="00394471" w:rsidP="00964CC4">
            <w:pPr>
              <w:pStyle w:val="TAL"/>
              <w:spacing w:line="254" w:lineRule="auto"/>
              <w:rPr>
                <w:b/>
                <w:i/>
                <w:lang w:eastAsia="zh-CN"/>
              </w:rPr>
            </w:pPr>
            <w:r w:rsidRPr="00FA0D37">
              <w:rPr>
                <w:b/>
                <w:i/>
                <w:lang w:eastAsia="zh-CN"/>
              </w:rPr>
              <w:t>dl-PRS-PointA</w:t>
            </w:r>
          </w:p>
          <w:p w14:paraId="274320A4" w14:textId="77777777" w:rsidR="00394471" w:rsidRPr="00FA0D37" w:rsidRDefault="00394471" w:rsidP="00964CC4">
            <w:pPr>
              <w:pStyle w:val="TAL"/>
              <w:rPr>
                <w:b/>
                <w:i/>
                <w:lang w:eastAsia="zh-CN"/>
              </w:rPr>
            </w:pPr>
            <w:r w:rsidRPr="00FA0D37">
              <w:rPr>
                <w:lang w:eastAsia="zh-CN"/>
              </w:rPr>
              <w:t>The ARFCN value of the carrier received from upper layers for which the UE needs to perform the NR DL-PRS measurements.</w:t>
            </w:r>
          </w:p>
        </w:tc>
      </w:tr>
      <w:tr w:rsidR="005C7FF4" w:rsidRPr="00FA0D37"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FA0D37" w:rsidRDefault="00394471" w:rsidP="00964CC4">
            <w:pPr>
              <w:pStyle w:val="TAL"/>
              <w:spacing w:line="254" w:lineRule="auto"/>
              <w:rPr>
                <w:b/>
                <w:i/>
                <w:lang w:eastAsia="zh-CN"/>
              </w:rPr>
            </w:pPr>
            <w:r w:rsidRPr="00FA0D37">
              <w:rPr>
                <w:b/>
                <w:i/>
                <w:lang w:eastAsia="zh-CN"/>
              </w:rPr>
              <w:t>nr-MeasPRS-RepetitionAndOffset</w:t>
            </w:r>
          </w:p>
          <w:p w14:paraId="2B41037D" w14:textId="77777777" w:rsidR="00394471" w:rsidRPr="00FA0D37" w:rsidRDefault="00394471" w:rsidP="00964CC4">
            <w:pPr>
              <w:pStyle w:val="TAL"/>
              <w:rPr>
                <w:b/>
                <w:i/>
                <w:lang w:eastAsia="zh-CN"/>
              </w:rPr>
            </w:pPr>
            <w:r w:rsidRPr="00FA0D37">
              <w:rPr>
                <w:lang w:eastAsia="zh-CN"/>
              </w:rPr>
              <w:t>Indicates the gap periodicity in ms and offset in number of subframes of the requested measurement gap for performing NR DL-PRS measurements.</w:t>
            </w:r>
          </w:p>
        </w:tc>
      </w:tr>
      <w:tr w:rsidR="00375B89" w:rsidRPr="00FA0D37"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FA0D37" w:rsidRDefault="00394471" w:rsidP="00964CC4">
            <w:pPr>
              <w:pStyle w:val="TAL"/>
              <w:spacing w:line="254" w:lineRule="auto"/>
              <w:rPr>
                <w:b/>
                <w:i/>
                <w:lang w:eastAsia="zh-CN"/>
              </w:rPr>
            </w:pPr>
            <w:r w:rsidRPr="00FA0D37">
              <w:rPr>
                <w:b/>
                <w:i/>
                <w:lang w:eastAsia="zh-CN"/>
              </w:rPr>
              <w:t>nr-MeasPRS-length</w:t>
            </w:r>
          </w:p>
          <w:p w14:paraId="62C42743" w14:textId="77777777" w:rsidR="00394471" w:rsidRPr="00FA0D37" w:rsidRDefault="00394471" w:rsidP="00964CC4">
            <w:pPr>
              <w:pStyle w:val="TAL"/>
              <w:rPr>
                <w:b/>
                <w:i/>
                <w:lang w:eastAsia="zh-CN"/>
              </w:rPr>
            </w:pPr>
            <w:r w:rsidRPr="00FA0D37">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FA0D37" w:rsidRDefault="00394471" w:rsidP="00394471"/>
    <w:p w14:paraId="17D3249D" w14:textId="77777777" w:rsidR="00394471" w:rsidRPr="00FA0D37" w:rsidRDefault="00394471" w:rsidP="00394471">
      <w:pPr>
        <w:pStyle w:val="4"/>
        <w:rPr>
          <w:rFonts w:eastAsia="宋体"/>
        </w:rPr>
      </w:pPr>
      <w:bookmarkStart w:id="1065" w:name="_Toc60777249"/>
      <w:bookmarkStart w:id="1066" w:name="_Toc146781307"/>
      <w:r w:rsidRPr="00FA0D37">
        <w:rPr>
          <w:rFonts w:eastAsia="MS Mincho"/>
        </w:rPr>
        <w:t>–</w:t>
      </w:r>
      <w:r w:rsidRPr="00FA0D37">
        <w:rPr>
          <w:rFonts w:eastAsia="宋体"/>
        </w:rPr>
        <w:tab/>
      </w:r>
      <w:r w:rsidRPr="00FA0D37">
        <w:rPr>
          <w:rFonts w:eastAsia="宋体"/>
          <w:i/>
        </w:rPr>
        <w:t>LogicalChannelConfig</w:t>
      </w:r>
      <w:bookmarkEnd w:id="1065"/>
      <w:bookmarkEnd w:id="1066"/>
    </w:p>
    <w:p w14:paraId="1A3061B2" w14:textId="77777777" w:rsidR="00394471" w:rsidRPr="00FA0D37" w:rsidRDefault="00394471" w:rsidP="00394471">
      <w:pPr>
        <w:rPr>
          <w:rFonts w:eastAsia="宋体"/>
          <w:lang w:eastAsia="zh-CN"/>
        </w:rPr>
      </w:pPr>
      <w:r w:rsidRPr="00FA0D37">
        <w:rPr>
          <w:rFonts w:eastAsia="宋体"/>
          <w:lang w:eastAsia="zh-CN"/>
        </w:rPr>
        <w:t xml:space="preserve">The IE </w:t>
      </w:r>
      <w:r w:rsidRPr="00FA0D37">
        <w:rPr>
          <w:rFonts w:eastAsia="宋体"/>
          <w:i/>
          <w:lang w:eastAsia="zh-CN"/>
        </w:rPr>
        <w:t>LogicalChannelConfig</w:t>
      </w:r>
      <w:r w:rsidRPr="00FA0D37">
        <w:rPr>
          <w:rFonts w:eastAsia="宋体"/>
          <w:lang w:eastAsia="zh-CN"/>
        </w:rPr>
        <w:t xml:space="preserve"> is used to configure the logical channel parameters.</w:t>
      </w:r>
    </w:p>
    <w:p w14:paraId="4D20A827" w14:textId="77777777" w:rsidR="00394471" w:rsidRPr="00FA0D37" w:rsidRDefault="00394471" w:rsidP="00394471">
      <w:pPr>
        <w:pStyle w:val="TH"/>
        <w:rPr>
          <w:rFonts w:eastAsia="宋体"/>
          <w:lang w:eastAsia="zh-CN"/>
        </w:rPr>
      </w:pPr>
      <w:r w:rsidRPr="00FA0D37">
        <w:rPr>
          <w:i/>
        </w:rPr>
        <w:t>LogicalChannelConfig</w:t>
      </w:r>
      <w:r w:rsidRPr="00FA0D37">
        <w:t xml:space="preserve"> information element</w:t>
      </w:r>
    </w:p>
    <w:p w14:paraId="78DFCCBC" w14:textId="77777777" w:rsidR="00394471" w:rsidRPr="00FA0D37" w:rsidRDefault="00394471" w:rsidP="00FA0D37">
      <w:pPr>
        <w:pStyle w:val="PL"/>
        <w:rPr>
          <w:color w:val="808080"/>
        </w:rPr>
      </w:pPr>
      <w:r w:rsidRPr="00FA0D37">
        <w:rPr>
          <w:color w:val="808080"/>
        </w:rPr>
        <w:t>-- ASN1START</w:t>
      </w:r>
    </w:p>
    <w:p w14:paraId="3CBE5011" w14:textId="77777777" w:rsidR="00394471" w:rsidRPr="00FA0D37" w:rsidRDefault="00394471" w:rsidP="00FA0D37">
      <w:pPr>
        <w:pStyle w:val="PL"/>
        <w:rPr>
          <w:color w:val="808080"/>
        </w:rPr>
      </w:pPr>
      <w:r w:rsidRPr="00FA0D37">
        <w:rPr>
          <w:color w:val="808080"/>
        </w:rPr>
        <w:t>-- TAG-LOGICALCHANNELCONFIG-START</w:t>
      </w:r>
    </w:p>
    <w:p w14:paraId="6C127B1C" w14:textId="77777777" w:rsidR="00394471" w:rsidRPr="00FA0D37" w:rsidRDefault="00394471" w:rsidP="00FA0D37">
      <w:pPr>
        <w:pStyle w:val="PL"/>
      </w:pPr>
    </w:p>
    <w:p w14:paraId="1C09C055" w14:textId="77777777" w:rsidR="00394471" w:rsidRPr="00FA0D37" w:rsidRDefault="00394471" w:rsidP="00FA0D37">
      <w:pPr>
        <w:pStyle w:val="PL"/>
      </w:pPr>
      <w:r w:rsidRPr="00FA0D37">
        <w:t xml:space="preserve">LogicalChannelConfig ::=            </w:t>
      </w:r>
      <w:r w:rsidRPr="00FA0D37">
        <w:rPr>
          <w:color w:val="993366"/>
        </w:rPr>
        <w:t>SEQUENCE</w:t>
      </w:r>
      <w:r w:rsidRPr="00FA0D37">
        <w:t xml:space="preserve"> {</w:t>
      </w:r>
    </w:p>
    <w:p w14:paraId="3D244ABB" w14:textId="77777777" w:rsidR="00394471" w:rsidRPr="00FA0D37" w:rsidRDefault="00394471" w:rsidP="00FA0D37">
      <w:pPr>
        <w:pStyle w:val="PL"/>
      </w:pPr>
      <w:r w:rsidRPr="00FA0D37">
        <w:t xml:space="preserve">    ul-SpecificParameters               </w:t>
      </w:r>
      <w:r w:rsidRPr="00FA0D37">
        <w:rPr>
          <w:color w:val="993366"/>
        </w:rPr>
        <w:t>SEQUENCE</w:t>
      </w:r>
      <w:r w:rsidRPr="00FA0D37">
        <w:t xml:space="preserve"> {</w:t>
      </w:r>
    </w:p>
    <w:p w14:paraId="3453B735" w14:textId="77777777" w:rsidR="00394471" w:rsidRPr="00FA0D37" w:rsidRDefault="00394471" w:rsidP="00FA0D37">
      <w:pPr>
        <w:pStyle w:val="PL"/>
      </w:pPr>
      <w:r w:rsidRPr="00FA0D37">
        <w:t xml:space="preserve">        priority                            </w:t>
      </w:r>
      <w:r w:rsidRPr="00FA0D37">
        <w:rPr>
          <w:color w:val="993366"/>
        </w:rPr>
        <w:t>INTEGER</w:t>
      </w:r>
      <w:r w:rsidRPr="00FA0D37">
        <w:t xml:space="preserve"> (1..16),</w:t>
      </w:r>
    </w:p>
    <w:p w14:paraId="0AA84CD7" w14:textId="77777777" w:rsidR="00394471" w:rsidRPr="00FA0D37" w:rsidRDefault="00394471" w:rsidP="00FA0D37">
      <w:pPr>
        <w:pStyle w:val="PL"/>
      </w:pPr>
      <w:r w:rsidRPr="00FA0D37">
        <w:t xml:space="preserve">        prioritisedBitRate                  </w:t>
      </w:r>
      <w:r w:rsidRPr="00FA0D37">
        <w:rPr>
          <w:color w:val="993366"/>
        </w:rPr>
        <w:t>ENUMERATED</w:t>
      </w:r>
      <w:r w:rsidRPr="00FA0D37">
        <w:t xml:space="preserve"> {kBps0, kBps8, kBps16, kBps32, kBps64, kBps128, kBps256, kBps512,</w:t>
      </w:r>
    </w:p>
    <w:p w14:paraId="75988CC0" w14:textId="77777777" w:rsidR="00394471" w:rsidRPr="00FA0D37" w:rsidRDefault="00394471" w:rsidP="00FA0D37">
      <w:pPr>
        <w:pStyle w:val="PL"/>
      </w:pPr>
      <w:r w:rsidRPr="00FA0D37">
        <w:t xml:space="preserve">                                            kBps1024, kBps2048, kBps4096, kBps8192, kBps16384, kBps32768, kBps65536, infinity},</w:t>
      </w:r>
    </w:p>
    <w:p w14:paraId="785C87E0" w14:textId="77777777" w:rsidR="00394471" w:rsidRPr="00FA0D37" w:rsidRDefault="00394471" w:rsidP="00FA0D37">
      <w:pPr>
        <w:pStyle w:val="PL"/>
      </w:pPr>
      <w:r w:rsidRPr="00FA0D37">
        <w:t xml:space="preserve">        bucketSizeDuration                  </w:t>
      </w:r>
      <w:r w:rsidRPr="00FA0D37">
        <w:rPr>
          <w:color w:val="993366"/>
        </w:rPr>
        <w:t>ENUMERATED</w:t>
      </w:r>
      <w:r w:rsidRPr="00FA0D37">
        <w:t xml:space="preserve"> {ms5, ms10, ms20, ms50, ms100, ms150, ms300, ms500, ms1000,</w:t>
      </w:r>
    </w:p>
    <w:p w14:paraId="10D58C65" w14:textId="77777777" w:rsidR="00394471" w:rsidRPr="00FA0D37" w:rsidRDefault="00394471" w:rsidP="00FA0D37">
      <w:pPr>
        <w:pStyle w:val="PL"/>
      </w:pPr>
      <w:r w:rsidRPr="00FA0D37">
        <w:t xml:space="preserve">                                                            spare7, spare6, spare5, spare4, spare3,spare2, spare1},</w:t>
      </w:r>
    </w:p>
    <w:p w14:paraId="6B77C772" w14:textId="77777777" w:rsidR="00394471" w:rsidRPr="00FA0D37" w:rsidRDefault="00394471" w:rsidP="00FA0D37">
      <w:pPr>
        <w:pStyle w:val="PL"/>
      </w:pPr>
      <w:r w:rsidRPr="00FA0D37">
        <w:t xml:space="preserve">        allowedServingCells                 </w:t>
      </w:r>
      <w:r w:rsidRPr="00FA0D37">
        <w:rPr>
          <w:color w:val="993366"/>
        </w:rPr>
        <w:t>SEQUENCE</w:t>
      </w:r>
      <w:r w:rsidRPr="00FA0D37">
        <w:t xml:space="preserve"> (</w:t>
      </w:r>
      <w:r w:rsidRPr="00FA0D37">
        <w:rPr>
          <w:color w:val="993366"/>
        </w:rPr>
        <w:t>SIZE</w:t>
      </w:r>
      <w:r w:rsidRPr="00FA0D37">
        <w:t xml:space="preserve"> (1..maxNrofServingCells-1))</w:t>
      </w:r>
      <w:r w:rsidRPr="00FA0D37">
        <w:rPr>
          <w:color w:val="993366"/>
        </w:rPr>
        <w:t xml:space="preserve"> OF</w:t>
      </w:r>
      <w:r w:rsidRPr="00FA0D37">
        <w:t xml:space="preserve"> ServCellIndex</w:t>
      </w:r>
    </w:p>
    <w:p w14:paraId="6D2B4890" w14:textId="427D6FD2"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xml:space="preserve">-- </w:t>
      </w:r>
      <w:r w:rsidR="006A5241" w:rsidRPr="00FA0D37">
        <w:rPr>
          <w:color w:val="808080"/>
        </w:rPr>
        <w:t xml:space="preserve">Cond </w:t>
      </w:r>
      <w:r w:rsidRPr="00FA0D37">
        <w:rPr>
          <w:color w:val="808080"/>
        </w:rPr>
        <w:t>PDCP-CADuplication</w:t>
      </w:r>
    </w:p>
    <w:p w14:paraId="308BA8BC" w14:textId="77777777" w:rsidR="00394471" w:rsidRPr="00FA0D37" w:rsidRDefault="00394471" w:rsidP="00FA0D37">
      <w:pPr>
        <w:pStyle w:val="PL"/>
        <w:rPr>
          <w:color w:val="808080"/>
        </w:rPr>
      </w:pPr>
      <w:r w:rsidRPr="00FA0D37">
        <w:t xml:space="preserve">        allowedSCS-List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SubcarrierSpacing                   </w:t>
      </w:r>
      <w:r w:rsidRPr="00FA0D37">
        <w:rPr>
          <w:color w:val="993366"/>
        </w:rPr>
        <w:t>OPTIONAL</w:t>
      </w:r>
      <w:r w:rsidRPr="00FA0D37">
        <w:t xml:space="preserve">,   </w:t>
      </w:r>
      <w:r w:rsidRPr="00FA0D37">
        <w:rPr>
          <w:color w:val="808080"/>
        </w:rPr>
        <w:t>-- Need R</w:t>
      </w:r>
    </w:p>
    <w:p w14:paraId="78D507D7" w14:textId="7710B324" w:rsidR="00394471" w:rsidRPr="00FA0D37" w:rsidRDefault="00394471" w:rsidP="00FA0D37">
      <w:pPr>
        <w:pStyle w:val="PL"/>
      </w:pPr>
      <w:r w:rsidRPr="00FA0D37">
        <w:t xml:space="preserve">        maxPUSCH-Duration                   </w:t>
      </w:r>
      <w:r w:rsidRPr="00FA0D37">
        <w:rPr>
          <w:color w:val="993366"/>
        </w:rPr>
        <w:t>ENUMERATED</w:t>
      </w:r>
      <w:r w:rsidRPr="00FA0D37">
        <w:t xml:space="preserve"> {ms0p02, ms0p04, ms0p0625, ms0p125, ms0p25, ms0p5, </w:t>
      </w:r>
      <w:r w:rsidR="006C501F" w:rsidRPr="00FA0D37">
        <w:t>ms0p01-v1700</w:t>
      </w:r>
      <w:r w:rsidRPr="00FA0D37">
        <w:t>, spare1}</w:t>
      </w:r>
    </w:p>
    <w:p w14:paraId="1F9AB141"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R</w:t>
      </w:r>
    </w:p>
    <w:p w14:paraId="0C8EBEB1" w14:textId="77777777" w:rsidR="00394471" w:rsidRPr="00FA0D37" w:rsidRDefault="00394471" w:rsidP="00FA0D37">
      <w:pPr>
        <w:pStyle w:val="PL"/>
        <w:rPr>
          <w:color w:val="808080"/>
        </w:rPr>
      </w:pPr>
      <w:r w:rsidRPr="00FA0D37">
        <w:t xml:space="preserve">        configuredGrantType1Allowed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B3648FE" w14:textId="77777777" w:rsidR="00394471" w:rsidRPr="00FA0D37" w:rsidRDefault="00394471" w:rsidP="00FA0D37">
      <w:pPr>
        <w:pStyle w:val="PL"/>
        <w:rPr>
          <w:color w:val="808080"/>
        </w:rPr>
      </w:pPr>
      <w:r w:rsidRPr="00FA0D37">
        <w:t xml:space="preserve">        logicalChannelGroup                 </w:t>
      </w:r>
      <w:r w:rsidRPr="00FA0D37">
        <w:rPr>
          <w:color w:val="993366"/>
        </w:rPr>
        <w:t>INTEGER</w:t>
      </w:r>
      <w:r w:rsidRPr="00FA0D37">
        <w:t xml:space="preserve"> (0..maxLCG-ID)                                              </w:t>
      </w:r>
      <w:r w:rsidRPr="00FA0D37">
        <w:rPr>
          <w:color w:val="993366"/>
        </w:rPr>
        <w:t>OPTIONAL</w:t>
      </w:r>
      <w:r w:rsidRPr="00FA0D37">
        <w:t xml:space="preserve">,   </w:t>
      </w:r>
      <w:r w:rsidRPr="00FA0D37">
        <w:rPr>
          <w:color w:val="808080"/>
        </w:rPr>
        <w:t>-- Need R</w:t>
      </w:r>
    </w:p>
    <w:p w14:paraId="4C9B170F" w14:textId="77777777" w:rsidR="00394471" w:rsidRPr="00FA0D37" w:rsidRDefault="00394471" w:rsidP="00FA0D37">
      <w:pPr>
        <w:pStyle w:val="PL"/>
        <w:rPr>
          <w:color w:val="808080"/>
        </w:rPr>
      </w:pPr>
      <w:r w:rsidRPr="00FA0D37">
        <w:t xml:space="preserve">        schedulingRequestID                 SchedulingRequestId                                                 </w:t>
      </w:r>
      <w:r w:rsidRPr="00FA0D37">
        <w:rPr>
          <w:color w:val="993366"/>
        </w:rPr>
        <w:t>OPTIONAL</w:t>
      </w:r>
      <w:r w:rsidRPr="00FA0D37">
        <w:t xml:space="preserve">,   </w:t>
      </w:r>
      <w:r w:rsidRPr="00FA0D37">
        <w:rPr>
          <w:color w:val="808080"/>
        </w:rPr>
        <w:t>-- Need R</w:t>
      </w:r>
    </w:p>
    <w:p w14:paraId="74D06BAB" w14:textId="77777777" w:rsidR="00394471" w:rsidRPr="00FA0D37" w:rsidRDefault="00394471" w:rsidP="00FA0D37">
      <w:pPr>
        <w:pStyle w:val="PL"/>
      </w:pPr>
      <w:r w:rsidRPr="00FA0D37">
        <w:t xml:space="preserve">        logicalChannelSR-Mask               </w:t>
      </w:r>
      <w:r w:rsidRPr="00FA0D37">
        <w:rPr>
          <w:color w:val="993366"/>
        </w:rPr>
        <w:t>BOOLEAN</w:t>
      </w:r>
      <w:r w:rsidRPr="00FA0D37">
        <w:t>,</w:t>
      </w:r>
    </w:p>
    <w:p w14:paraId="7ABF7B6D" w14:textId="77777777" w:rsidR="00394471" w:rsidRPr="00FA0D37" w:rsidRDefault="00394471" w:rsidP="00FA0D37">
      <w:pPr>
        <w:pStyle w:val="PL"/>
      </w:pPr>
      <w:r w:rsidRPr="00FA0D37">
        <w:lastRenderedPageBreak/>
        <w:t xml:space="preserve">        logicalChannelSR-DelayTimerApplied  </w:t>
      </w:r>
      <w:r w:rsidRPr="00FA0D37">
        <w:rPr>
          <w:color w:val="993366"/>
        </w:rPr>
        <w:t>BOOLEAN</w:t>
      </w:r>
      <w:r w:rsidRPr="00FA0D37">
        <w:t>,</w:t>
      </w:r>
    </w:p>
    <w:p w14:paraId="1EEEEBA0" w14:textId="77777777" w:rsidR="00394471" w:rsidRPr="00FA0D37" w:rsidRDefault="00394471" w:rsidP="00FA0D37">
      <w:pPr>
        <w:pStyle w:val="PL"/>
      </w:pPr>
      <w:r w:rsidRPr="00FA0D37">
        <w:t xml:space="preserve">        ...,</w:t>
      </w:r>
    </w:p>
    <w:p w14:paraId="4ED229AC" w14:textId="77777777" w:rsidR="00394471" w:rsidRPr="00FA0D37" w:rsidRDefault="00394471" w:rsidP="00FA0D37">
      <w:pPr>
        <w:pStyle w:val="PL"/>
        <w:rPr>
          <w:color w:val="808080"/>
        </w:rPr>
      </w:pPr>
      <w:r w:rsidRPr="00FA0D37">
        <w:t xml:space="preserve">        bitRateQueryProhibitTimer       </w:t>
      </w:r>
      <w:r w:rsidRPr="00FA0D37">
        <w:rPr>
          <w:color w:val="993366"/>
        </w:rPr>
        <w:t>ENUMERATED</w:t>
      </w:r>
      <w:r w:rsidRPr="00FA0D37">
        <w:t xml:space="preserve"> {s0, s0dot4, s0dot8, s1dot6, s3, s6, s12, s30}               </w:t>
      </w:r>
      <w:r w:rsidRPr="00FA0D37">
        <w:rPr>
          <w:color w:val="993366"/>
        </w:rPr>
        <w:t>OPTIONAL</w:t>
      </w:r>
      <w:r w:rsidRPr="00FA0D37">
        <w:t xml:space="preserve">,    </w:t>
      </w:r>
      <w:r w:rsidRPr="00FA0D37">
        <w:rPr>
          <w:color w:val="808080"/>
        </w:rPr>
        <w:t>-- Need R</w:t>
      </w:r>
    </w:p>
    <w:p w14:paraId="6F958F70" w14:textId="77777777" w:rsidR="00394471" w:rsidRPr="00FA0D37" w:rsidRDefault="00394471" w:rsidP="00FA0D37">
      <w:pPr>
        <w:pStyle w:val="PL"/>
      </w:pPr>
      <w:r w:rsidRPr="00FA0D37">
        <w:t xml:space="preserve">        [[</w:t>
      </w:r>
    </w:p>
    <w:p w14:paraId="57ACA15D" w14:textId="2F2438DC" w:rsidR="00394471" w:rsidRPr="00FA0D37" w:rsidRDefault="00394471" w:rsidP="00FA0D37">
      <w:pPr>
        <w:pStyle w:val="PL"/>
      </w:pPr>
      <w:r w:rsidRPr="00FA0D37">
        <w:t xml:space="preserve">        allowedCG-List-r16                  </w:t>
      </w:r>
      <w:r w:rsidRPr="00FA0D37">
        <w:rPr>
          <w:color w:val="993366"/>
        </w:rPr>
        <w:t>SEQUENCE</w:t>
      </w:r>
      <w:r w:rsidRPr="00FA0D37">
        <w:t xml:space="preserve"> (</w:t>
      </w:r>
      <w:r w:rsidRPr="00FA0D37">
        <w:rPr>
          <w:color w:val="993366"/>
        </w:rPr>
        <w:t>SIZE</w:t>
      </w:r>
      <w:r w:rsidRPr="00FA0D37">
        <w:t xml:space="preserve"> (0.. maxNrofConfiguredGrantConfigMAC-</w:t>
      </w:r>
      <w:r w:rsidR="00FB04AA" w:rsidRPr="00FA0D37">
        <w:t>1-r16</w:t>
      </w:r>
      <w:r w:rsidRPr="00FA0D37">
        <w:t>))</w:t>
      </w:r>
      <w:r w:rsidRPr="00FA0D37">
        <w:rPr>
          <w:color w:val="993366"/>
        </w:rPr>
        <w:t xml:space="preserve"> OF</w:t>
      </w:r>
      <w:r w:rsidRPr="00FA0D37">
        <w:t xml:space="preserve"> ConfiguredGrantConfigIndexMAC-r16</w:t>
      </w:r>
    </w:p>
    <w:p w14:paraId="14B7595C"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S</w:t>
      </w:r>
    </w:p>
    <w:p w14:paraId="58EBD977" w14:textId="77777777" w:rsidR="00394471" w:rsidRPr="00FA0D37" w:rsidRDefault="00394471" w:rsidP="00FA0D37">
      <w:pPr>
        <w:pStyle w:val="PL"/>
        <w:rPr>
          <w:color w:val="808080"/>
        </w:rPr>
      </w:pPr>
      <w:r w:rsidRPr="00FA0D37">
        <w:t xml:space="preserve">        allowedPHY-PriorityIndex-r16        </w:t>
      </w:r>
      <w:r w:rsidRPr="00FA0D37">
        <w:rPr>
          <w:color w:val="993366"/>
        </w:rPr>
        <w:t>ENUMERATED</w:t>
      </w:r>
      <w:r w:rsidRPr="00FA0D37">
        <w:t xml:space="preserve"> {p0, p1}                                                 </w:t>
      </w:r>
      <w:r w:rsidRPr="00FA0D37">
        <w:rPr>
          <w:color w:val="993366"/>
        </w:rPr>
        <w:t>OPTIONAL</w:t>
      </w:r>
      <w:r w:rsidRPr="00FA0D37">
        <w:t xml:space="preserve">    </w:t>
      </w:r>
      <w:r w:rsidRPr="00FA0D37">
        <w:rPr>
          <w:color w:val="808080"/>
        </w:rPr>
        <w:t>-- Need S</w:t>
      </w:r>
    </w:p>
    <w:p w14:paraId="32016693" w14:textId="6F1C328F" w:rsidR="00CF0B27" w:rsidRPr="00FA0D37" w:rsidRDefault="00394471" w:rsidP="00FA0D37">
      <w:pPr>
        <w:pStyle w:val="PL"/>
      </w:pPr>
      <w:r w:rsidRPr="00FA0D37">
        <w:t xml:space="preserve">        ]]</w:t>
      </w:r>
      <w:r w:rsidR="00CF0B27" w:rsidRPr="00FA0D37">
        <w:t>,</w:t>
      </w:r>
    </w:p>
    <w:p w14:paraId="7AC8F229" w14:textId="77777777" w:rsidR="00CF0B27" w:rsidRPr="00FA0D37" w:rsidRDefault="00CF0B27" w:rsidP="00FA0D37">
      <w:pPr>
        <w:pStyle w:val="PL"/>
      </w:pPr>
      <w:r w:rsidRPr="00FA0D37">
        <w:t xml:space="preserve">        [[</w:t>
      </w:r>
    </w:p>
    <w:p w14:paraId="09FF0A28" w14:textId="02F0905B" w:rsidR="00CF0B27" w:rsidRPr="00FA0D37" w:rsidRDefault="00CF0B27" w:rsidP="00FA0D37">
      <w:pPr>
        <w:pStyle w:val="PL"/>
        <w:rPr>
          <w:color w:val="808080"/>
        </w:rPr>
      </w:pPr>
      <w:r w:rsidRPr="00FA0D37">
        <w:t xml:space="preserve">        logicalChannelGroupIAB</w:t>
      </w:r>
      <w:r w:rsidR="00850B30" w:rsidRPr="00FA0D37">
        <w:t>-</w:t>
      </w:r>
      <w:r w:rsidRPr="00FA0D37">
        <w:t xml:space="preserve">Ext-r17     </w:t>
      </w:r>
      <w:r w:rsidR="00052615" w:rsidRPr="00FA0D37">
        <w:t xml:space="preserve"> </w:t>
      </w:r>
      <w:r w:rsidRPr="00FA0D37">
        <w:rPr>
          <w:color w:val="993366"/>
        </w:rPr>
        <w:t>INTEGER</w:t>
      </w:r>
      <w:r w:rsidRPr="00FA0D37">
        <w:t xml:space="preserve"> (</w:t>
      </w:r>
      <w:r w:rsidR="00052615" w:rsidRPr="00FA0D37">
        <w:t>0</w:t>
      </w:r>
      <w:r w:rsidRPr="00FA0D37">
        <w:t xml:space="preserve">..maxLCG-ID-IAB-r17)                                      </w:t>
      </w:r>
      <w:r w:rsidRPr="00FA0D37">
        <w:rPr>
          <w:color w:val="993366"/>
        </w:rPr>
        <w:t>OPTIONAL</w:t>
      </w:r>
      <w:r w:rsidR="005B7637" w:rsidRPr="00FA0D37">
        <w:t>,</w:t>
      </w:r>
      <w:r w:rsidRPr="00FA0D37">
        <w:t xml:space="preserve">   </w:t>
      </w:r>
      <w:r w:rsidRPr="00FA0D37">
        <w:rPr>
          <w:color w:val="808080"/>
        </w:rPr>
        <w:t>-- Need R</w:t>
      </w:r>
    </w:p>
    <w:p w14:paraId="1E06A68A" w14:textId="344BD718" w:rsidR="005B7637" w:rsidRPr="00FA0D37" w:rsidRDefault="005B7637" w:rsidP="00FA0D37">
      <w:pPr>
        <w:pStyle w:val="PL"/>
        <w:rPr>
          <w:color w:val="808080"/>
        </w:rPr>
      </w:pPr>
      <w:r w:rsidRPr="00FA0D37">
        <w:t xml:space="preserve">        allowedHARQ-mode</w:t>
      </w:r>
      <w:r w:rsidR="00771058" w:rsidRPr="00FA0D37">
        <w:t>-r17</w:t>
      </w:r>
      <w:r w:rsidRPr="00FA0D37">
        <w:t xml:space="preserve">                </w:t>
      </w:r>
      <w:r w:rsidRPr="00FA0D37">
        <w:rPr>
          <w:color w:val="993366"/>
        </w:rPr>
        <w:t>ENUMERATED</w:t>
      </w:r>
      <w:r w:rsidRPr="00FA0D37">
        <w:t xml:space="preserve"> {</w:t>
      </w:r>
      <w:r w:rsidR="004F1B8A" w:rsidRPr="00FA0D37">
        <w:t>harqModeA, harqModeB</w:t>
      </w:r>
      <w:r w:rsidRPr="00FA0D37">
        <w:t xml:space="preserve">}                                   </w:t>
      </w:r>
      <w:r w:rsidRPr="00FA0D37">
        <w:rPr>
          <w:color w:val="993366"/>
        </w:rPr>
        <w:t>OPTIONAL</w:t>
      </w:r>
      <w:r w:rsidRPr="00FA0D37">
        <w:t xml:space="preserve">    </w:t>
      </w:r>
      <w:r w:rsidRPr="00FA0D37">
        <w:rPr>
          <w:color w:val="808080"/>
        </w:rPr>
        <w:t xml:space="preserve">-- Need </w:t>
      </w:r>
      <w:r w:rsidR="00771058" w:rsidRPr="00FA0D37">
        <w:rPr>
          <w:color w:val="808080"/>
        </w:rPr>
        <w:t>R</w:t>
      </w:r>
    </w:p>
    <w:p w14:paraId="6B02892A" w14:textId="18354C5E" w:rsidR="00394471" w:rsidRPr="00FA0D37" w:rsidRDefault="00CF0B27" w:rsidP="00FA0D37">
      <w:pPr>
        <w:pStyle w:val="PL"/>
      </w:pPr>
      <w:r w:rsidRPr="00FA0D37">
        <w:t xml:space="preserve">        ]]</w:t>
      </w:r>
    </w:p>
    <w:p w14:paraId="5B54EF6A"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UL</w:t>
      </w:r>
    </w:p>
    <w:p w14:paraId="6471A9B8" w14:textId="77777777" w:rsidR="00394471" w:rsidRPr="00FA0D37" w:rsidRDefault="00394471" w:rsidP="00FA0D37">
      <w:pPr>
        <w:pStyle w:val="PL"/>
      </w:pPr>
      <w:r w:rsidRPr="00FA0D37">
        <w:t xml:space="preserve">    ...,</w:t>
      </w:r>
    </w:p>
    <w:p w14:paraId="7788ED7A" w14:textId="77777777" w:rsidR="00394471" w:rsidRPr="00FA0D37" w:rsidRDefault="00394471" w:rsidP="00FA0D37">
      <w:pPr>
        <w:pStyle w:val="PL"/>
      </w:pPr>
      <w:r w:rsidRPr="00FA0D37">
        <w:t xml:space="preserve">    [[</w:t>
      </w:r>
    </w:p>
    <w:p w14:paraId="5B0B6844" w14:textId="77777777" w:rsidR="00394471" w:rsidRPr="00FA0D37" w:rsidRDefault="00394471" w:rsidP="00FA0D37">
      <w:pPr>
        <w:pStyle w:val="PL"/>
        <w:rPr>
          <w:color w:val="808080"/>
        </w:rPr>
      </w:pPr>
      <w:r w:rsidRPr="00FA0D37">
        <w:t xml:space="preserve">    channelAccessPriority-r16           </w:t>
      </w:r>
      <w:r w:rsidRPr="00FA0D37">
        <w:rPr>
          <w:color w:val="993366"/>
        </w:rPr>
        <w:t>INTEGER</w:t>
      </w:r>
      <w:r w:rsidRPr="00FA0D37">
        <w:t xml:space="preserve"> (1..4)                                                      </w:t>
      </w:r>
      <w:r w:rsidRPr="00FA0D37">
        <w:rPr>
          <w:color w:val="993366"/>
        </w:rPr>
        <w:t>OPTIONAL</w:t>
      </w:r>
      <w:r w:rsidRPr="00FA0D37">
        <w:t xml:space="preserve">,   </w:t>
      </w:r>
      <w:r w:rsidRPr="00FA0D37">
        <w:rPr>
          <w:color w:val="808080"/>
        </w:rPr>
        <w:t>-- Need R</w:t>
      </w:r>
    </w:p>
    <w:p w14:paraId="5FABD7C9" w14:textId="77777777" w:rsidR="00394471" w:rsidRPr="00FA0D37" w:rsidRDefault="00394471" w:rsidP="00FA0D37">
      <w:pPr>
        <w:pStyle w:val="PL"/>
        <w:rPr>
          <w:color w:val="808080"/>
        </w:rPr>
      </w:pPr>
      <w:r w:rsidRPr="00FA0D37">
        <w:t xml:space="preserve">    bitRateMultiplier-r16               </w:t>
      </w:r>
      <w:r w:rsidRPr="00FA0D37">
        <w:rPr>
          <w:color w:val="993366"/>
        </w:rPr>
        <w:t>ENUMERATED</w:t>
      </w:r>
      <w:r w:rsidRPr="00FA0D37">
        <w:t xml:space="preserve"> {x40, x70, x100, x200}                                   </w:t>
      </w:r>
      <w:r w:rsidRPr="00FA0D37">
        <w:rPr>
          <w:color w:val="993366"/>
        </w:rPr>
        <w:t>OPTIONAL</w:t>
      </w:r>
      <w:r w:rsidRPr="00FA0D37">
        <w:t xml:space="preserve">    </w:t>
      </w:r>
      <w:r w:rsidRPr="00FA0D37">
        <w:rPr>
          <w:color w:val="808080"/>
        </w:rPr>
        <w:t>-- Need R</w:t>
      </w:r>
    </w:p>
    <w:p w14:paraId="5E82271D" w14:textId="77777777" w:rsidR="00394471" w:rsidRPr="00FA0D37" w:rsidRDefault="00394471" w:rsidP="00FA0D37">
      <w:pPr>
        <w:pStyle w:val="PL"/>
      </w:pPr>
      <w:r w:rsidRPr="00FA0D37">
        <w:t xml:space="preserve">    ]]</w:t>
      </w:r>
    </w:p>
    <w:p w14:paraId="42236F5B" w14:textId="77777777" w:rsidR="00394471" w:rsidRPr="00FA0D37" w:rsidRDefault="00394471" w:rsidP="00FA0D37">
      <w:pPr>
        <w:pStyle w:val="PL"/>
      </w:pPr>
      <w:r w:rsidRPr="00FA0D37">
        <w:t>}</w:t>
      </w:r>
    </w:p>
    <w:p w14:paraId="6473DE82" w14:textId="77777777" w:rsidR="00394471" w:rsidRPr="00FA0D37" w:rsidRDefault="00394471" w:rsidP="00FA0D37">
      <w:pPr>
        <w:pStyle w:val="PL"/>
      </w:pPr>
    </w:p>
    <w:p w14:paraId="4C2C0302" w14:textId="77777777" w:rsidR="00394471" w:rsidRPr="00FA0D37" w:rsidRDefault="00394471" w:rsidP="00FA0D37">
      <w:pPr>
        <w:pStyle w:val="PL"/>
        <w:rPr>
          <w:color w:val="808080"/>
        </w:rPr>
      </w:pPr>
      <w:r w:rsidRPr="00FA0D37">
        <w:rPr>
          <w:color w:val="808080"/>
        </w:rPr>
        <w:t>-- TAG-LOGICALCHANNELCONFIG-STOP</w:t>
      </w:r>
    </w:p>
    <w:p w14:paraId="4F7C3F23" w14:textId="77777777" w:rsidR="00394471" w:rsidRPr="00FA0D37" w:rsidRDefault="00394471" w:rsidP="00FA0D37">
      <w:pPr>
        <w:pStyle w:val="PL"/>
        <w:rPr>
          <w:color w:val="808080"/>
        </w:rPr>
      </w:pPr>
      <w:r w:rsidRPr="00FA0D37">
        <w:rPr>
          <w:color w:val="808080"/>
        </w:rPr>
        <w:t>-- ASN1STOP</w:t>
      </w:r>
    </w:p>
    <w:p w14:paraId="6C8F12A1"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FA0D37" w:rsidRDefault="00394471" w:rsidP="00964CC4">
            <w:pPr>
              <w:pStyle w:val="TAH"/>
              <w:rPr>
                <w:lang w:eastAsia="sv-SE"/>
              </w:rPr>
            </w:pPr>
            <w:r w:rsidRPr="00FA0D37">
              <w:rPr>
                <w:i/>
                <w:lang w:eastAsia="sv-SE"/>
              </w:rPr>
              <w:lastRenderedPageBreak/>
              <w:t xml:space="preserve">LogicalChannelConfig </w:t>
            </w:r>
            <w:r w:rsidRPr="00FA0D37">
              <w:rPr>
                <w:lang w:eastAsia="sv-SE"/>
              </w:rPr>
              <w:t>field descriptions</w:t>
            </w:r>
          </w:p>
        </w:tc>
      </w:tr>
      <w:tr w:rsidR="005C7FF4" w:rsidRPr="00FA0D37"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FA0D37" w:rsidRDefault="00394471" w:rsidP="00964CC4">
            <w:pPr>
              <w:pStyle w:val="TAL"/>
              <w:rPr>
                <w:b/>
                <w:i/>
                <w:lang w:eastAsia="en-GB"/>
              </w:rPr>
            </w:pPr>
            <w:r w:rsidRPr="00FA0D37">
              <w:rPr>
                <w:b/>
                <w:i/>
                <w:lang w:eastAsia="en-GB"/>
              </w:rPr>
              <w:t>allowedCG-List</w:t>
            </w:r>
          </w:p>
          <w:p w14:paraId="2715C110" w14:textId="2EE354E2" w:rsidR="00394471" w:rsidRPr="00FA0D37" w:rsidRDefault="00394471" w:rsidP="00964CC4">
            <w:pPr>
              <w:pStyle w:val="TAL"/>
              <w:rPr>
                <w:b/>
                <w:i/>
                <w:lang w:eastAsia="en-GB"/>
              </w:rPr>
            </w:pPr>
            <w:r w:rsidRPr="00FA0D37">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FA0D37">
              <w:rPr>
                <w:lang w:eastAsia="sv-SE"/>
              </w:rPr>
              <w:t xml:space="preserve">If the field configuredGrantType1Allowed is present, only those configured grant type 1 configuration </w:t>
            </w:r>
            <w:r w:rsidR="00A105BD" w:rsidRPr="00FA0D37">
              <w:rPr>
                <w:rFonts w:cs="Arial"/>
                <w:szCs w:val="18"/>
              </w:rPr>
              <w:t xml:space="preserve">indicated in this sequence are allowed for use by this logical channel; </w:t>
            </w:r>
            <w:r w:rsidR="00A105BD" w:rsidRPr="00FA0D37">
              <w:rPr>
                <w:lang w:eastAsia="sv-SE"/>
              </w:rPr>
              <w:t xml:space="preserve">otherwise, </w:t>
            </w:r>
            <w:r w:rsidR="00A105BD" w:rsidRPr="00FA0D37">
              <w:rPr>
                <w:rFonts w:cs="Arial"/>
                <w:szCs w:val="18"/>
              </w:rPr>
              <w:t xml:space="preserve">this sequence shall not include any </w:t>
            </w:r>
            <w:r w:rsidR="00A105BD" w:rsidRPr="00FA0D37">
              <w:rPr>
                <w:lang w:eastAsia="sv-SE"/>
              </w:rPr>
              <w:t xml:space="preserve">configured grant type 1 configuration. </w:t>
            </w:r>
            <w:r w:rsidRPr="00FA0D37">
              <w:rPr>
                <w:lang w:eastAsia="sv-SE"/>
              </w:rPr>
              <w:t>Corresponds to "allowedCG-List" as specified in TS 38.321 [3].</w:t>
            </w:r>
            <w:r w:rsidR="00156D01" w:rsidRPr="00FA0D37">
              <w:rPr>
                <w:lang w:eastAsia="sv-SE"/>
              </w:rPr>
              <w:t xml:space="preserve"> This field is ignored when SDT procedure is ongoing.</w:t>
            </w:r>
          </w:p>
        </w:tc>
      </w:tr>
      <w:tr w:rsidR="005C7FF4" w:rsidRPr="00FA0D37"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FA0D37" w:rsidRDefault="005B7637" w:rsidP="00771058">
            <w:pPr>
              <w:pStyle w:val="TAL"/>
              <w:rPr>
                <w:bCs/>
                <w:i/>
                <w:lang w:eastAsia="en-GB"/>
              </w:rPr>
            </w:pPr>
            <w:r w:rsidRPr="00FA0D37">
              <w:rPr>
                <w:b/>
                <w:i/>
                <w:lang w:eastAsia="en-GB"/>
              </w:rPr>
              <w:t>allowedHARQ-mode</w:t>
            </w:r>
          </w:p>
          <w:p w14:paraId="4AFA9252" w14:textId="26269455" w:rsidR="005B7637" w:rsidRPr="00FA0D37" w:rsidRDefault="005B7637" w:rsidP="00771058">
            <w:pPr>
              <w:pStyle w:val="TAL"/>
              <w:rPr>
                <w:b/>
                <w:i/>
                <w:lang w:eastAsia="en-GB"/>
              </w:rPr>
            </w:pPr>
            <w:r w:rsidRPr="00FA0D37">
              <w:rPr>
                <w:bCs/>
                <w:iCs/>
                <w:lang w:eastAsia="en-GB"/>
              </w:rPr>
              <w:t xml:space="preserve">Indicates the allowed HARQ mode of a HARQ process mapped to this logical channel. If the parameter is </w:t>
            </w:r>
            <w:r w:rsidR="00771058" w:rsidRPr="00FA0D37">
              <w:rPr>
                <w:bCs/>
                <w:iCs/>
                <w:lang w:eastAsia="en-GB"/>
              </w:rPr>
              <w:t>absent</w:t>
            </w:r>
            <w:r w:rsidRPr="00FA0D37">
              <w:rPr>
                <w:bCs/>
                <w:iCs/>
                <w:lang w:eastAsia="en-GB"/>
              </w:rPr>
              <w:t xml:space="preserve">, there is no restriction for HARQ mode for the mapping. </w:t>
            </w:r>
            <w:r w:rsidRPr="00FA0D37">
              <w:t xml:space="preserve">This field applies to SRB1, SRB2 </w:t>
            </w:r>
            <w:r w:rsidR="00771058" w:rsidRPr="00FA0D37">
              <w:t>and DRBs</w:t>
            </w:r>
            <w:r w:rsidRPr="00FA0D37">
              <w:t>.</w:t>
            </w:r>
          </w:p>
        </w:tc>
      </w:tr>
      <w:tr w:rsidR="005C7FF4" w:rsidRPr="00FA0D37"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FA0D37" w:rsidRDefault="00394471" w:rsidP="00964CC4">
            <w:pPr>
              <w:pStyle w:val="TAL"/>
              <w:rPr>
                <w:b/>
                <w:i/>
                <w:lang w:eastAsia="en-GB"/>
              </w:rPr>
            </w:pPr>
            <w:r w:rsidRPr="00FA0D37">
              <w:rPr>
                <w:b/>
                <w:i/>
                <w:lang w:eastAsia="en-GB"/>
              </w:rPr>
              <w:t>allowedPHY-PriorityIndex</w:t>
            </w:r>
          </w:p>
          <w:p w14:paraId="45F4342F" w14:textId="77777777" w:rsidR="00394471" w:rsidRPr="00FA0D37" w:rsidRDefault="00394471" w:rsidP="00964CC4">
            <w:pPr>
              <w:pStyle w:val="TAL"/>
              <w:rPr>
                <w:b/>
                <w:i/>
                <w:lang w:eastAsia="en-GB"/>
              </w:rPr>
            </w:pPr>
            <w:r w:rsidRPr="00FA0D37">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A0D37">
              <w:rPr>
                <w:i/>
                <w:iCs/>
                <w:lang w:eastAsia="en-GB"/>
              </w:rPr>
              <w:t>p0</w:t>
            </w:r>
            <w:r w:rsidRPr="00FA0D37">
              <w:rPr>
                <w:lang w:eastAsia="en-GB"/>
              </w:rPr>
              <w:t>, see TS 38.213 [13], clause 9.</w:t>
            </w:r>
            <w:r w:rsidRPr="00FA0D37">
              <w:rPr>
                <w:lang w:eastAsia="sv-SE"/>
              </w:rPr>
              <w:t xml:space="preserve"> If the field is not present, UL MAC SDUs from this logical channel can be mapped to any dynamic grants. Corresponds to "allowedPHY-PriorityIndex" as specified in TS 38.321 [3].</w:t>
            </w:r>
          </w:p>
        </w:tc>
      </w:tr>
      <w:tr w:rsidR="005C7FF4" w:rsidRPr="00FA0D37"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FA0D37" w:rsidRDefault="00394471" w:rsidP="00964CC4">
            <w:pPr>
              <w:pStyle w:val="TAL"/>
              <w:rPr>
                <w:b/>
                <w:i/>
                <w:lang w:eastAsia="en-GB"/>
              </w:rPr>
            </w:pPr>
            <w:r w:rsidRPr="00FA0D37">
              <w:rPr>
                <w:b/>
                <w:i/>
                <w:lang w:eastAsia="en-GB"/>
              </w:rPr>
              <w:t>allowedSCS-List</w:t>
            </w:r>
          </w:p>
          <w:p w14:paraId="41659175" w14:textId="6B986281" w:rsidR="00394471" w:rsidRPr="00FA0D37" w:rsidRDefault="00394471" w:rsidP="00964CC4">
            <w:pPr>
              <w:pStyle w:val="TAL"/>
              <w:rPr>
                <w:lang w:eastAsia="en-GB"/>
              </w:rPr>
            </w:pPr>
            <w:r w:rsidRPr="00FA0D37">
              <w:rPr>
                <w:lang w:eastAsia="en-GB"/>
              </w:rPr>
              <w:t xml:space="preserve">If present, UL MAC </w:t>
            </w:r>
            <w:r w:rsidRPr="00FA0D37">
              <w:rPr>
                <w:rFonts w:eastAsia="Yu Mincho"/>
                <w:lang w:eastAsia="sv-SE"/>
              </w:rPr>
              <w:t>S</w:t>
            </w:r>
            <w:r w:rsidRPr="00FA0D37">
              <w:rPr>
                <w:lang w:eastAsia="en-GB"/>
              </w:rPr>
              <w:t xml:space="preserve">DUs from this logical channel can only be mapped to the indicated numerology. Otherwise, UL MAC </w:t>
            </w:r>
            <w:r w:rsidRPr="00FA0D37">
              <w:rPr>
                <w:rFonts w:eastAsia="Yu Mincho"/>
                <w:lang w:eastAsia="sv-SE"/>
              </w:rPr>
              <w:t>S</w:t>
            </w:r>
            <w:r w:rsidRPr="00FA0D37">
              <w:rPr>
                <w:lang w:eastAsia="en-GB"/>
              </w:rPr>
              <w:t xml:space="preserve">DUs from this logical channel can be mapped to any configured numerology. </w:t>
            </w:r>
            <w:r w:rsidR="006C501F" w:rsidRPr="00FA0D37">
              <w:rPr>
                <w:rFonts w:eastAsia="宋体"/>
                <w:lang w:eastAsia="en-GB"/>
              </w:rPr>
              <w:t xml:space="preserve">Corresponds to </w:t>
            </w:r>
            <w:r w:rsidR="006C501F" w:rsidRPr="00FA0D37">
              <w:rPr>
                <w:rFonts w:eastAsia="宋体"/>
                <w:i/>
                <w:iCs/>
                <w:lang w:eastAsia="en-GB"/>
              </w:rPr>
              <w:t>'allowedSCS-List'</w:t>
            </w:r>
            <w:r w:rsidR="006C501F" w:rsidRPr="00FA0D37">
              <w:rPr>
                <w:rFonts w:eastAsia="宋体"/>
                <w:lang w:eastAsia="en-GB"/>
              </w:rPr>
              <w:t xml:space="preserve"> as specified in TS 38.321 [3].</w:t>
            </w:r>
          </w:p>
          <w:p w14:paraId="213925C5" w14:textId="77777777" w:rsidR="006C501F" w:rsidRPr="00FA0D37" w:rsidRDefault="006C501F" w:rsidP="006C501F">
            <w:pPr>
              <w:pStyle w:val="TAL"/>
              <w:rPr>
                <w:bCs/>
                <w:iCs/>
                <w:lang w:eastAsia="sv-SE"/>
              </w:rPr>
            </w:pPr>
            <w:r w:rsidRPr="00FA0D37">
              <w:rPr>
                <w:bCs/>
                <w:iCs/>
                <w:lang w:eastAsia="sv-SE"/>
              </w:rPr>
              <w:t>Only the following values are applicable depending on the used frequency:</w:t>
            </w:r>
          </w:p>
          <w:p w14:paraId="286AAE77" w14:textId="77777777" w:rsidR="006C501F" w:rsidRPr="00FA0D37" w:rsidRDefault="006C501F" w:rsidP="006C501F">
            <w:pPr>
              <w:pStyle w:val="TAL"/>
              <w:rPr>
                <w:bCs/>
                <w:iCs/>
                <w:lang w:eastAsia="sv-SE"/>
              </w:rPr>
            </w:pPr>
            <w:r w:rsidRPr="00FA0D37">
              <w:rPr>
                <w:bCs/>
                <w:iCs/>
                <w:lang w:eastAsia="sv-SE"/>
              </w:rPr>
              <w:t>FR1:    15, 30, or 60 kHz</w:t>
            </w:r>
          </w:p>
          <w:p w14:paraId="1FB3D20A" w14:textId="77777777" w:rsidR="006C501F" w:rsidRPr="00FA0D37" w:rsidRDefault="006C501F" w:rsidP="006C501F">
            <w:pPr>
              <w:pStyle w:val="TAL"/>
              <w:rPr>
                <w:bCs/>
                <w:iCs/>
                <w:lang w:eastAsia="sv-SE"/>
              </w:rPr>
            </w:pPr>
            <w:r w:rsidRPr="00FA0D37">
              <w:rPr>
                <w:bCs/>
                <w:iCs/>
                <w:lang w:eastAsia="sv-SE"/>
              </w:rPr>
              <w:t>FR2-1:  60 or 120 kHz</w:t>
            </w:r>
          </w:p>
          <w:p w14:paraId="316DF759" w14:textId="508D960F" w:rsidR="006C501F" w:rsidRPr="00FA0D37" w:rsidRDefault="006C501F" w:rsidP="006C501F">
            <w:pPr>
              <w:pStyle w:val="TAL"/>
              <w:rPr>
                <w:b/>
                <w:i/>
                <w:lang w:eastAsia="sv-SE"/>
              </w:rPr>
            </w:pPr>
            <w:r w:rsidRPr="00FA0D37">
              <w:rPr>
                <w:bCs/>
                <w:iCs/>
                <w:lang w:eastAsia="sv-SE"/>
              </w:rPr>
              <w:t>FR2-2:  120, 480, or 960 kHz</w:t>
            </w:r>
          </w:p>
        </w:tc>
      </w:tr>
      <w:tr w:rsidR="005C7FF4" w:rsidRPr="00FA0D37"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FA0D37" w:rsidRDefault="00394471" w:rsidP="00964CC4">
            <w:pPr>
              <w:pStyle w:val="TAL"/>
              <w:rPr>
                <w:b/>
                <w:i/>
                <w:lang w:eastAsia="sv-SE"/>
              </w:rPr>
            </w:pPr>
            <w:r w:rsidRPr="00FA0D37">
              <w:rPr>
                <w:b/>
                <w:i/>
                <w:lang w:eastAsia="sv-SE"/>
              </w:rPr>
              <w:t>allowedServingCells</w:t>
            </w:r>
          </w:p>
          <w:p w14:paraId="2F12E520" w14:textId="77777777" w:rsidR="00394471" w:rsidRPr="00FA0D37" w:rsidRDefault="00394471" w:rsidP="00964CC4">
            <w:pPr>
              <w:pStyle w:val="TAL"/>
              <w:rPr>
                <w:lang w:eastAsia="sv-SE"/>
              </w:rPr>
            </w:pPr>
            <w:r w:rsidRPr="00FA0D37">
              <w:rPr>
                <w:lang w:eastAsia="sv-SE"/>
              </w:rPr>
              <w:t xml:space="preserve">If present, </w:t>
            </w:r>
            <w:r w:rsidRPr="00FA0D37">
              <w:rPr>
                <w:rFonts w:eastAsia="Yu Mincho"/>
                <w:lang w:eastAsia="sv-SE"/>
              </w:rPr>
              <w:t>UL MAC S</w:t>
            </w:r>
            <w:r w:rsidRPr="00FA0D37">
              <w:rPr>
                <w:lang w:eastAsia="sv-SE"/>
              </w:rPr>
              <w:t xml:space="preserve">DUs </w:t>
            </w:r>
            <w:r w:rsidRPr="00FA0D37">
              <w:rPr>
                <w:rFonts w:eastAsia="Yu Mincho"/>
                <w:lang w:eastAsia="sv-SE"/>
              </w:rPr>
              <w:t>from</w:t>
            </w:r>
            <w:r w:rsidRPr="00FA0D37">
              <w:rPr>
                <w:lang w:eastAsia="sv-SE"/>
              </w:rPr>
              <w:t xml:space="preserve"> this logical channel </w:t>
            </w:r>
            <w:r w:rsidRPr="00FA0D37">
              <w:rPr>
                <w:rFonts w:eastAsia="Yu Mincho"/>
                <w:lang w:eastAsia="sv-SE"/>
              </w:rPr>
              <w:t xml:space="preserve">can </w:t>
            </w:r>
            <w:r w:rsidRPr="00FA0D37">
              <w:rPr>
                <w:lang w:eastAsia="sv-SE"/>
              </w:rPr>
              <w:t xml:space="preserve">only </w:t>
            </w:r>
            <w:r w:rsidRPr="00FA0D37">
              <w:rPr>
                <w:rFonts w:eastAsia="Yu Mincho"/>
                <w:lang w:eastAsia="sv-SE"/>
              </w:rPr>
              <w:t xml:space="preserve">be mapped </w:t>
            </w:r>
            <w:r w:rsidRPr="00FA0D37">
              <w:rPr>
                <w:lang w:eastAsia="sv-SE"/>
              </w:rPr>
              <w:t xml:space="preserve">to the serving cells indicated in this list. Otherwise, </w:t>
            </w:r>
            <w:r w:rsidRPr="00FA0D37">
              <w:rPr>
                <w:rFonts w:eastAsia="Yu Mincho"/>
                <w:lang w:eastAsia="sv-SE"/>
              </w:rPr>
              <w:t>UL MAC S</w:t>
            </w:r>
            <w:r w:rsidRPr="00FA0D37">
              <w:rPr>
                <w:lang w:eastAsia="sv-SE"/>
              </w:rPr>
              <w:t xml:space="preserve">DUs </w:t>
            </w:r>
            <w:r w:rsidRPr="00FA0D37">
              <w:rPr>
                <w:rFonts w:eastAsia="Yu Mincho"/>
                <w:lang w:eastAsia="sv-SE"/>
              </w:rPr>
              <w:t>from</w:t>
            </w:r>
            <w:r w:rsidRPr="00FA0D37">
              <w:rPr>
                <w:lang w:eastAsia="sv-SE"/>
              </w:rPr>
              <w:t xml:space="preserve"> this logical channel </w:t>
            </w:r>
            <w:r w:rsidRPr="00FA0D37">
              <w:rPr>
                <w:rFonts w:eastAsia="Yu Mincho"/>
                <w:lang w:eastAsia="sv-SE"/>
              </w:rPr>
              <w:t xml:space="preserve">can be mapped </w:t>
            </w:r>
            <w:r w:rsidRPr="00FA0D37">
              <w:rPr>
                <w:lang w:eastAsia="sv-SE"/>
              </w:rPr>
              <w:t>to any configured serving cell of this cell group. Corresponds to 'allowedServingCells' in TS 38.321 [3].</w:t>
            </w:r>
          </w:p>
        </w:tc>
      </w:tr>
      <w:tr w:rsidR="005C7FF4" w:rsidRPr="00FA0D37"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FA0D37" w:rsidRDefault="00394471" w:rsidP="00964CC4">
            <w:pPr>
              <w:pStyle w:val="TAL"/>
              <w:rPr>
                <w:b/>
                <w:i/>
                <w:noProof/>
                <w:lang w:eastAsia="en-GB"/>
              </w:rPr>
            </w:pPr>
            <w:r w:rsidRPr="00FA0D37">
              <w:rPr>
                <w:b/>
                <w:i/>
                <w:noProof/>
                <w:lang w:eastAsia="en-GB"/>
              </w:rPr>
              <w:t>bitRateMultiplier</w:t>
            </w:r>
          </w:p>
          <w:p w14:paraId="7022BFC3" w14:textId="2F424F1A" w:rsidR="00394471" w:rsidRPr="00FA0D37" w:rsidRDefault="00394471" w:rsidP="00964CC4">
            <w:pPr>
              <w:pStyle w:val="TAL"/>
              <w:rPr>
                <w:b/>
                <w:i/>
                <w:noProof/>
                <w:lang w:eastAsia="en-GB"/>
              </w:rPr>
            </w:pPr>
            <w:r w:rsidRPr="00FA0D37">
              <w:rPr>
                <w:bCs/>
                <w:iCs/>
                <w:noProof/>
                <w:lang w:eastAsia="en-GB"/>
              </w:rPr>
              <w:t xml:space="preserve">Bit rate multiplier for recommended bit rate MAC CE as specified in TS 38.321 [3]. Value </w:t>
            </w:r>
            <w:r w:rsidRPr="00FA0D37">
              <w:rPr>
                <w:bCs/>
                <w:i/>
                <w:noProof/>
                <w:lang w:eastAsia="en-GB"/>
              </w:rPr>
              <w:t>x40</w:t>
            </w:r>
            <w:r w:rsidRPr="00FA0D37">
              <w:rPr>
                <w:bCs/>
                <w:iCs/>
                <w:noProof/>
                <w:lang w:eastAsia="en-GB"/>
              </w:rPr>
              <w:t xml:space="preserve"> indicates bit rate multiplier 40, value </w:t>
            </w:r>
            <w:r w:rsidRPr="00FA0D37">
              <w:rPr>
                <w:bCs/>
                <w:i/>
                <w:noProof/>
                <w:lang w:eastAsia="en-GB"/>
              </w:rPr>
              <w:t>x70</w:t>
            </w:r>
            <w:r w:rsidRPr="00FA0D37">
              <w:rPr>
                <w:bCs/>
                <w:iCs/>
                <w:noProof/>
                <w:lang w:eastAsia="en-GB"/>
              </w:rPr>
              <w:t xml:space="preserve"> indicates bit rate multiplier 70 and so on.</w:t>
            </w:r>
          </w:p>
        </w:tc>
      </w:tr>
      <w:tr w:rsidR="005C7FF4" w:rsidRPr="00FA0D37"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FA0D37" w:rsidRDefault="00394471" w:rsidP="00964CC4">
            <w:pPr>
              <w:pStyle w:val="TAL"/>
              <w:rPr>
                <w:b/>
                <w:i/>
                <w:noProof/>
                <w:lang w:eastAsia="en-GB"/>
              </w:rPr>
            </w:pPr>
            <w:r w:rsidRPr="00FA0D37">
              <w:rPr>
                <w:b/>
                <w:i/>
                <w:noProof/>
                <w:lang w:eastAsia="en-GB"/>
              </w:rPr>
              <w:t>bitRateQueryProhibitTimer</w:t>
            </w:r>
          </w:p>
          <w:p w14:paraId="16A70E19" w14:textId="77777777" w:rsidR="00394471" w:rsidRPr="00FA0D37" w:rsidRDefault="00394471" w:rsidP="00964CC4">
            <w:pPr>
              <w:pStyle w:val="TAL"/>
              <w:rPr>
                <w:b/>
                <w:i/>
                <w:lang w:eastAsia="sv-SE"/>
              </w:rPr>
            </w:pPr>
            <w:r w:rsidRPr="00FA0D37">
              <w:rPr>
                <w:iCs/>
                <w:lang w:eastAsia="en-GB"/>
              </w:rPr>
              <w:t>The timer is used for bit rate recommendation query in TS 3</w:t>
            </w:r>
            <w:r w:rsidRPr="00FA0D37">
              <w:rPr>
                <w:iCs/>
                <w:lang w:eastAsia="zh-CN"/>
              </w:rPr>
              <w:t>8</w:t>
            </w:r>
            <w:r w:rsidRPr="00FA0D37">
              <w:rPr>
                <w:iCs/>
                <w:lang w:eastAsia="en-GB"/>
              </w:rPr>
              <w:t>.321 [</w:t>
            </w:r>
            <w:r w:rsidRPr="00FA0D37">
              <w:rPr>
                <w:iCs/>
                <w:lang w:eastAsia="zh-CN"/>
              </w:rPr>
              <w:t>3</w:t>
            </w:r>
            <w:r w:rsidRPr="00FA0D37">
              <w:rPr>
                <w:iCs/>
                <w:lang w:eastAsia="en-GB"/>
              </w:rPr>
              <w:t xml:space="preserve">], in seconds. Value </w:t>
            </w:r>
            <w:r w:rsidRPr="00FA0D37">
              <w:rPr>
                <w:i/>
                <w:lang w:eastAsia="sv-SE"/>
              </w:rPr>
              <w:t>s0</w:t>
            </w:r>
            <w:r w:rsidRPr="00FA0D37">
              <w:rPr>
                <w:iCs/>
                <w:lang w:eastAsia="en-GB"/>
              </w:rPr>
              <w:t xml:space="preserve"> means 0 s, </w:t>
            </w:r>
            <w:r w:rsidRPr="00FA0D37">
              <w:rPr>
                <w:i/>
                <w:lang w:eastAsia="sv-SE"/>
              </w:rPr>
              <w:t>s0dot4</w:t>
            </w:r>
            <w:r w:rsidRPr="00FA0D37">
              <w:rPr>
                <w:iCs/>
                <w:lang w:eastAsia="en-GB"/>
              </w:rPr>
              <w:t xml:space="preserve"> means 0.4 s and so on.</w:t>
            </w:r>
          </w:p>
        </w:tc>
      </w:tr>
      <w:tr w:rsidR="005C7FF4" w:rsidRPr="00FA0D37"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FA0D37" w:rsidRDefault="00394471" w:rsidP="00964CC4">
            <w:pPr>
              <w:pStyle w:val="TAL"/>
              <w:rPr>
                <w:b/>
                <w:i/>
                <w:lang w:eastAsia="sv-SE"/>
              </w:rPr>
            </w:pPr>
            <w:r w:rsidRPr="00FA0D37">
              <w:rPr>
                <w:b/>
                <w:i/>
                <w:lang w:eastAsia="sv-SE"/>
              </w:rPr>
              <w:t>bucketSizeDuration</w:t>
            </w:r>
          </w:p>
          <w:p w14:paraId="6A1F6AB8" w14:textId="77777777" w:rsidR="00394471" w:rsidRPr="00FA0D37" w:rsidRDefault="00394471" w:rsidP="00964CC4">
            <w:pPr>
              <w:pStyle w:val="TAL"/>
              <w:rPr>
                <w:b/>
                <w:i/>
                <w:lang w:eastAsia="en-GB"/>
              </w:rPr>
            </w:pPr>
            <w:r w:rsidRPr="00FA0D37">
              <w:rPr>
                <w:iCs/>
                <w:lang w:eastAsia="en-GB"/>
              </w:rPr>
              <w:t xml:space="preserve">Value in ms. </w:t>
            </w:r>
            <w:r w:rsidRPr="00FA0D37">
              <w:rPr>
                <w:i/>
                <w:lang w:eastAsia="sv-SE"/>
              </w:rPr>
              <w:t>ms5</w:t>
            </w:r>
            <w:r w:rsidRPr="00FA0D37">
              <w:rPr>
                <w:iCs/>
                <w:lang w:eastAsia="en-GB"/>
              </w:rPr>
              <w:t xml:space="preserve"> corresponds to 5 ms, value </w:t>
            </w:r>
            <w:r w:rsidRPr="00FA0D37">
              <w:rPr>
                <w:i/>
                <w:lang w:eastAsia="sv-SE"/>
              </w:rPr>
              <w:t>ms10</w:t>
            </w:r>
            <w:r w:rsidRPr="00FA0D37">
              <w:rPr>
                <w:iCs/>
                <w:lang w:eastAsia="en-GB"/>
              </w:rPr>
              <w:t xml:space="preserve"> corresponds to 10 ms, and so on.</w:t>
            </w:r>
          </w:p>
        </w:tc>
      </w:tr>
      <w:tr w:rsidR="005C7FF4" w:rsidRPr="00FA0D37"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FA0D37" w:rsidRDefault="00394471" w:rsidP="00964CC4">
            <w:pPr>
              <w:pStyle w:val="TAL"/>
              <w:rPr>
                <w:b/>
                <w:i/>
                <w:lang w:eastAsia="sv-SE"/>
              </w:rPr>
            </w:pPr>
            <w:r w:rsidRPr="00FA0D37">
              <w:rPr>
                <w:b/>
                <w:i/>
                <w:lang w:eastAsia="sv-SE"/>
              </w:rPr>
              <w:t>channelAccessPriority</w:t>
            </w:r>
          </w:p>
          <w:p w14:paraId="402B08F2" w14:textId="694A070D" w:rsidR="00394471" w:rsidRPr="00FA0D37" w:rsidRDefault="00394471" w:rsidP="00964CC4">
            <w:pPr>
              <w:pStyle w:val="TAL"/>
              <w:rPr>
                <w:b/>
                <w:i/>
                <w:lang w:eastAsia="sv-SE"/>
              </w:rPr>
            </w:pPr>
            <w:r w:rsidRPr="00FA0D37">
              <w:rPr>
                <w:lang w:eastAsia="sv-SE"/>
              </w:rPr>
              <w:t xml:space="preserve">Indicates the Channel Access Priority Class (CAPC), as specified in TS 38.300 [2], to be used on </w:t>
            </w:r>
            <w:r w:rsidRPr="00FA0D37">
              <w:t xml:space="preserve">uplink </w:t>
            </w:r>
            <w:r w:rsidRPr="00FA0D37">
              <w:rPr>
                <w:lang w:eastAsia="sv-SE"/>
              </w:rPr>
              <w:t xml:space="preserve">transmissions </w:t>
            </w:r>
            <w:r w:rsidRPr="00FA0D37">
              <w:t xml:space="preserve">for operation with </w:t>
            </w:r>
            <w:r w:rsidRPr="00FA0D37">
              <w:rPr>
                <w:lang w:eastAsia="sv-SE"/>
              </w:rPr>
              <w:t>shared spectrum</w:t>
            </w:r>
            <w:r w:rsidRPr="00FA0D37">
              <w:t xml:space="preserve"> channel access</w:t>
            </w:r>
            <w:r w:rsidR="001B0D59" w:rsidRPr="00FA0D37">
              <w:t xml:space="preserve"> in FR1</w:t>
            </w:r>
            <w:r w:rsidRPr="00FA0D37">
              <w:rPr>
                <w:lang w:eastAsia="sv-SE"/>
              </w:rPr>
              <w:t>. The network configures this field only for SRB2 and DRBs.</w:t>
            </w:r>
          </w:p>
        </w:tc>
      </w:tr>
      <w:tr w:rsidR="005C7FF4" w:rsidRPr="00FA0D37"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FA0D37" w:rsidRDefault="00394471" w:rsidP="00964CC4">
            <w:pPr>
              <w:pStyle w:val="TAL"/>
              <w:rPr>
                <w:b/>
                <w:i/>
                <w:lang w:eastAsia="sv-SE"/>
              </w:rPr>
            </w:pPr>
            <w:r w:rsidRPr="00FA0D37">
              <w:rPr>
                <w:b/>
                <w:i/>
                <w:lang w:eastAsia="sv-SE"/>
              </w:rPr>
              <w:t>configuredGrantType1Allowed</w:t>
            </w:r>
          </w:p>
          <w:p w14:paraId="422A81A4" w14:textId="244F2FCF" w:rsidR="00394471" w:rsidRPr="00FA0D37" w:rsidRDefault="00394471" w:rsidP="00964CC4">
            <w:pPr>
              <w:pStyle w:val="TAL"/>
              <w:rPr>
                <w:lang w:eastAsia="sv-SE"/>
              </w:rPr>
            </w:pPr>
            <w:r w:rsidRPr="00FA0D37">
              <w:rPr>
                <w:lang w:eastAsia="sv-SE"/>
              </w:rPr>
              <w:t xml:space="preserve">If present, </w:t>
            </w:r>
            <w:r w:rsidR="00A105BD" w:rsidRPr="00FA0D37">
              <w:rPr>
                <w:lang w:eastAsia="sv-SE"/>
              </w:rPr>
              <w:t xml:space="preserve">or if the capability </w:t>
            </w:r>
            <w:r w:rsidR="003C0215" w:rsidRPr="00FA0D37">
              <w:rPr>
                <w:i/>
                <w:lang w:eastAsia="sv-SE"/>
              </w:rPr>
              <w:t>lcp</w:t>
            </w:r>
            <w:r w:rsidR="00A105BD" w:rsidRPr="00FA0D37">
              <w:rPr>
                <w:i/>
                <w:lang w:eastAsia="sv-SE"/>
              </w:rPr>
              <w:t>-</w:t>
            </w:r>
            <w:r w:rsidR="003C0215" w:rsidRPr="00FA0D37">
              <w:rPr>
                <w:i/>
                <w:lang w:eastAsia="sv-SE"/>
              </w:rPr>
              <w:t>R</w:t>
            </w:r>
            <w:r w:rsidR="00A105BD" w:rsidRPr="00FA0D37">
              <w:rPr>
                <w:i/>
                <w:lang w:eastAsia="sv-SE"/>
              </w:rPr>
              <w:t>estriction</w:t>
            </w:r>
            <w:r w:rsidR="00A105BD" w:rsidRPr="00FA0D37">
              <w:rPr>
                <w:lang w:eastAsia="sv-SE"/>
              </w:rPr>
              <w:t xml:space="preserve"> as specified in TS 38.306 [26] is not supported, </w:t>
            </w:r>
            <w:r w:rsidRPr="00FA0D37">
              <w:rPr>
                <w:lang w:eastAsia="sv-SE"/>
              </w:rPr>
              <w:t xml:space="preserve">UL MAC </w:t>
            </w:r>
            <w:r w:rsidRPr="00FA0D37">
              <w:rPr>
                <w:rFonts w:eastAsia="Yu Mincho"/>
                <w:lang w:eastAsia="sv-SE"/>
              </w:rPr>
              <w:t>S</w:t>
            </w:r>
            <w:r w:rsidRPr="00FA0D37">
              <w:rPr>
                <w:lang w:eastAsia="sv-SE"/>
              </w:rPr>
              <w:t xml:space="preserve">DUs from this logical channel </w:t>
            </w:r>
            <w:r w:rsidRPr="00FA0D37">
              <w:rPr>
                <w:rFonts w:eastAsia="Yu Mincho"/>
                <w:lang w:eastAsia="sv-SE"/>
              </w:rPr>
              <w:t xml:space="preserve">can </w:t>
            </w:r>
            <w:r w:rsidRPr="00FA0D37">
              <w:rPr>
                <w:lang w:eastAsia="sv-SE"/>
              </w:rPr>
              <w:t xml:space="preserve">be transmitted on a configured grant type 1. </w:t>
            </w:r>
            <w:r w:rsidR="00A105BD" w:rsidRPr="00FA0D37">
              <w:rPr>
                <w:lang w:eastAsia="sv-SE"/>
              </w:rPr>
              <w:t xml:space="preserve">Otherwise, UL MAC SDUs from this logical channel cannot be transmitted on a configured grant type 1. </w:t>
            </w:r>
            <w:r w:rsidRPr="00FA0D37">
              <w:rPr>
                <w:lang w:eastAsia="sv-SE"/>
              </w:rPr>
              <w:t>Corresponds to 'configuredGrantType1Allowed' in TS 38.321 [3].</w:t>
            </w:r>
            <w:r w:rsidR="00156D01" w:rsidRPr="00FA0D37">
              <w:rPr>
                <w:lang w:eastAsia="sv-SE"/>
              </w:rPr>
              <w:t xml:space="preserve"> This field is ignored when SDT procedure is ongoing.</w:t>
            </w:r>
          </w:p>
        </w:tc>
      </w:tr>
      <w:tr w:rsidR="005C7FF4" w:rsidRPr="00FA0D37"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FA0D37" w:rsidRDefault="00394471" w:rsidP="00964CC4">
            <w:pPr>
              <w:pStyle w:val="TAL"/>
              <w:rPr>
                <w:b/>
                <w:i/>
                <w:lang w:eastAsia="sv-SE"/>
              </w:rPr>
            </w:pPr>
            <w:r w:rsidRPr="00FA0D37">
              <w:rPr>
                <w:b/>
                <w:i/>
                <w:lang w:eastAsia="sv-SE"/>
              </w:rPr>
              <w:t>logicalChannelGroup</w:t>
            </w:r>
            <w:r w:rsidR="00CF0B27" w:rsidRPr="00FA0D37">
              <w:rPr>
                <w:b/>
                <w:i/>
                <w:lang w:eastAsia="sv-SE"/>
              </w:rPr>
              <w:t>, logicalChannelGroupIAB</w:t>
            </w:r>
            <w:r w:rsidR="00850B30" w:rsidRPr="00FA0D37">
              <w:rPr>
                <w:b/>
                <w:i/>
                <w:lang w:eastAsia="sv-SE"/>
              </w:rPr>
              <w:t>-</w:t>
            </w:r>
            <w:r w:rsidR="00CF0B27" w:rsidRPr="00FA0D37">
              <w:rPr>
                <w:b/>
                <w:i/>
                <w:lang w:eastAsia="sv-SE"/>
              </w:rPr>
              <w:t>Ext</w:t>
            </w:r>
          </w:p>
          <w:p w14:paraId="003A6528" w14:textId="24519E3A" w:rsidR="00394471" w:rsidRPr="00FA0D37" w:rsidRDefault="00394471" w:rsidP="00964CC4">
            <w:pPr>
              <w:pStyle w:val="TAL"/>
              <w:rPr>
                <w:b/>
                <w:i/>
                <w:lang w:eastAsia="sv-SE"/>
              </w:rPr>
            </w:pPr>
            <w:r w:rsidRPr="00FA0D37">
              <w:rPr>
                <w:iCs/>
                <w:lang w:eastAsia="en-GB"/>
              </w:rPr>
              <w:t>ID of the logical channel group, as specified in TS 38.321 [3], which the logical channel belongs to.</w:t>
            </w:r>
            <w:r w:rsidR="00CF0B27" w:rsidRPr="00FA0D37">
              <w:rPr>
                <w:iCs/>
                <w:lang w:eastAsia="en-GB"/>
              </w:rPr>
              <w:t xml:space="preserve"> The </w:t>
            </w:r>
            <w:r w:rsidR="00CF0B27" w:rsidRPr="00FA0D37">
              <w:rPr>
                <w:bCs/>
                <w:i/>
                <w:lang w:eastAsia="sv-SE"/>
              </w:rPr>
              <w:t>logicalChannelGroupIAB</w:t>
            </w:r>
            <w:r w:rsidR="00850B30" w:rsidRPr="00FA0D37">
              <w:rPr>
                <w:bCs/>
                <w:i/>
                <w:lang w:eastAsia="sv-SE"/>
              </w:rPr>
              <w:t>-</w:t>
            </w:r>
            <w:r w:rsidR="00CF0B27" w:rsidRPr="00FA0D37">
              <w:rPr>
                <w:bCs/>
                <w:i/>
                <w:lang w:eastAsia="sv-SE"/>
              </w:rPr>
              <w:t>Ext</w:t>
            </w:r>
            <w:r w:rsidR="00CF0B27" w:rsidRPr="00FA0D37">
              <w:rPr>
                <w:bCs/>
                <w:iCs/>
                <w:lang w:eastAsia="sv-SE"/>
              </w:rPr>
              <w:t xml:space="preserve"> is only applicable to the IAB-MT. When </w:t>
            </w:r>
            <w:r w:rsidR="00CF0B27" w:rsidRPr="00FA0D37">
              <w:rPr>
                <w:bCs/>
                <w:i/>
                <w:lang w:eastAsia="sv-SE"/>
              </w:rPr>
              <w:t>logicalChannelGroupIAB</w:t>
            </w:r>
            <w:r w:rsidR="00850B30" w:rsidRPr="00FA0D37">
              <w:rPr>
                <w:bCs/>
                <w:i/>
                <w:lang w:eastAsia="sv-SE"/>
              </w:rPr>
              <w:t>-</w:t>
            </w:r>
            <w:r w:rsidR="00CF0B27" w:rsidRPr="00FA0D37">
              <w:rPr>
                <w:bCs/>
                <w:i/>
                <w:lang w:eastAsia="sv-SE"/>
              </w:rPr>
              <w:t xml:space="preserve">Ext </w:t>
            </w:r>
            <w:r w:rsidR="00CF0B27" w:rsidRPr="00FA0D37">
              <w:rPr>
                <w:bCs/>
                <w:iCs/>
                <w:lang w:eastAsia="sv-SE"/>
              </w:rPr>
              <w:t xml:space="preserve">is configured, </w:t>
            </w:r>
            <w:r w:rsidR="00CF0B27" w:rsidRPr="00FA0D37">
              <w:rPr>
                <w:bCs/>
                <w:i/>
                <w:lang w:eastAsia="sv-SE"/>
              </w:rPr>
              <w:t>logicalChannelGroup</w:t>
            </w:r>
            <w:r w:rsidR="00CF0B27" w:rsidRPr="00FA0D37">
              <w:rPr>
                <w:bCs/>
                <w:iCs/>
                <w:lang w:eastAsia="sv-SE"/>
              </w:rPr>
              <w:t xml:space="preserve"> shall be ignored.</w:t>
            </w:r>
          </w:p>
        </w:tc>
      </w:tr>
      <w:tr w:rsidR="005C7FF4" w:rsidRPr="00FA0D37"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FA0D37" w:rsidRDefault="00394471" w:rsidP="00964CC4">
            <w:pPr>
              <w:pStyle w:val="TAL"/>
              <w:rPr>
                <w:b/>
                <w:i/>
                <w:lang w:eastAsia="sv-SE"/>
              </w:rPr>
            </w:pPr>
            <w:r w:rsidRPr="00FA0D37">
              <w:rPr>
                <w:b/>
                <w:i/>
                <w:lang w:eastAsia="sv-SE"/>
              </w:rPr>
              <w:lastRenderedPageBreak/>
              <w:t>logicalChannelSR-Mask</w:t>
            </w:r>
          </w:p>
          <w:p w14:paraId="6C954C0E" w14:textId="77777777" w:rsidR="00394471" w:rsidRPr="00FA0D37" w:rsidRDefault="00394471" w:rsidP="00964CC4">
            <w:pPr>
              <w:pStyle w:val="TAL"/>
              <w:rPr>
                <w:b/>
                <w:i/>
                <w:lang w:eastAsia="sv-SE"/>
              </w:rPr>
            </w:pPr>
            <w:r w:rsidRPr="00FA0D37">
              <w:rPr>
                <w:iCs/>
                <w:lang w:eastAsia="en-GB"/>
              </w:rPr>
              <w:t xml:space="preserve">Controls SR triggering when a configured uplink grant of </w:t>
            </w:r>
            <w:r w:rsidRPr="00FA0D37">
              <w:rPr>
                <w:i/>
                <w:lang w:eastAsia="sv-SE"/>
              </w:rPr>
              <w:t>type1</w:t>
            </w:r>
            <w:r w:rsidRPr="00FA0D37">
              <w:rPr>
                <w:iCs/>
                <w:lang w:eastAsia="en-GB"/>
              </w:rPr>
              <w:t xml:space="preserve"> or </w:t>
            </w:r>
            <w:r w:rsidRPr="00FA0D37">
              <w:rPr>
                <w:i/>
                <w:lang w:eastAsia="sv-SE"/>
              </w:rPr>
              <w:t>type2</w:t>
            </w:r>
            <w:r w:rsidRPr="00FA0D37">
              <w:rPr>
                <w:iCs/>
                <w:lang w:eastAsia="en-GB"/>
              </w:rPr>
              <w:t xml:space="preserve"> is configured. </w:t>
            </w:r>
            <w:r w:rsidRPr="00FA0D37">
              <w:rPr>
                <w:i/>
                <w:iCs/>
                <w:lang w:eastAsia="en-GB"/>
              </w:rPr>
              <w:t>true</w:t>
            </w:r>
            <w:r w:rsidRPr="00FA0D37">
              <w:rPr>
                <w:iCs/>
                <w:lang w:eastAsia="en-GB"/>
              </w:rPr>
              <w:t xml:space="preserve"> indicates that SR masking is configured for this logical channel</w:t>
            </w:r>
            <w:r w:rsidRPr="00FA0D37">
              <w:rPr>
                <w:lang w:eastAsia="sv-SE"/>
              </w:rPr>
              <w:t xml:space="preserve"> </w:t>
            </w:r>
            <w:r w:rsidRPr="00FA0D37">
              <w:rPr>
                <w:iCs/>
                <w:lang w:eastAsia="en-GB"/>
              </w:rPr>
              <w:t>as specified in TS 38.321 [3].</w:t>
            </w:r>
          </w:p>
        </w:tc>
      </w:tr>
      <w:tr w:rsidR="005C7FF4" w:rsidRPr="00FA0D37"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FA0D37" w:rsidRDefault="00394471" w:rsidP="00964CC4">
            <w:pPr>
              <w:pStyle w:val="TAL"/>
              <w:rPr>
                <w:b/>
                <w:i/>
                <w:lang w:eastAsia="en-GB"/>
              </w:rPr>
            </w:pPr>
            <w:r w:rsidRPr="00FA0D37">
              <w:rPr>
                <w:b/>
                <w:i/>
                <w:lang w:eastAsia="en-GB"/>
              </w:rPr>
              <w:t>logicalChannelSR-DelayTimerApplied</w:t>
            </w:r>
          </w:p>
          <w:p w14:paraId="3FDCC2F8" w14:textId="77777777" w:rsidR="00394471" w:rsidRPr="00FA0D37" w:rsidRDefault="00394471" w:rsidP="00964CC4">
            <w:pPr>
              <w:pStyle w:val="TAL"/>
              <w:rPr>
                <w:b/>
                <w:i/>
                <w:lang w:eastAsia="sv-SE"/>
              </w:rPr>
            </w:pPr>
            <w:r w:rsidRPr="00FA0D37">
              <w:rPr>
                <w:iCs/>
                <w:lang w:eastAsia="en-GB"/>
              </w:rPr>
              <w:t xml:space="preserve">Indicates whether to apply the delay timer for SR transmission for this logical channel. Set to </w:t>
            </w:r>
            <w:r w:rsidRPr="00FA0D37">
              <w:rPr>
                <w:i/>
                <w:iCs/>
                <w:lang w:eastAsia="en-GB"/>
              </w:rPr>
              <w:t>false</w:t>
            </w:r>
            <w:r w:rsidRPr="00FA0D37">
              <w:rPr>
                <w:iCs/>
                <w:lang w:eastAsia="en-GB"/>
              </w:rPr>
              <w:t xml:space="preserve"> if </w:t>
            </w:r>
            <w:r w:rsidRPr="00FA0D37">
              <w:rPr>
                <w:i/>
                <w:iCs/>
                <w:lang w:eastAsia="en-GB"/>
              </w:rPr>
              <w:t>logicalChannelSR-DelayTimer</w:t>
            </w:r>
            <w:r w:rsidRPr="00FA0D37">
              <w:rPr>
                <w:iCs/>
                <w:lang w:eastAsia="en-GB"/>
              </w:rPr>
              <w:t xml:space="preserve"> is not included in </w:t>
            </w:r>
            <w:r w:rsidRPr="00FA0D37">
              <w:rPr>
                <w:i/>
                <w:iCs/>
                <w:lang w:eastAsia="en-GB"/>
              </w:rPr>
              <w:t>BSR-Config</w:t>
            </w:r>
            <w:r w:rsidRPr="00FA0D37">
              <w:rPr>
                <w:iCs/>
                <w:lang w:eastAsia="en-GB"/>
              </w:rPr>
              <w:t>.</w:t>
            </w:r>
          </w:p>
        </w:tc>
      </w:tr>
      <w:tr w:rsidR="005C7FF4" w:rsidRPr="00FA0D37"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FA0D37" w:rsidRDefault="00394471" w:rsidP="00964CC4">
            <w:pPr>
              <w:pStyle w:val="TAL"/>
              <w:rPr>
                <w:b/>
                <w:i/>
                <w:lang w:eastAsia="sv-SE"/>
              </w:rPr>
            </w:pPr>
            <w:r w:rsidRPr="00FA0D37">
              <w:rPr>
                <w:b/>
                <w:i/>
                <w:lang w:eastAsia="sv-SE"/>
              </w:rPr>
              <w:t>maxPUSCH-Duration</w:t>
            </w:r>
          </w:p>
          <w:p w14:paraId="763A9D1B" w14:textId="77777777" w:rsidR="00394471" w:rsidRPr="00FA0D37" w:rsidRDefault="00394471" w:rsidP="00964CC4">
            <w:pPr>
              <w:pStyle w:val="TAL"/>
              <w:rPr>
                <w:lang w:eastAsia="sv-SE"/>
              </w:rPr>
            </w:pPr>
            <w:r w:rsidRPr="00FA0D37">
              <w:rPr>
                <w:iCs/>
                <w:lang w:eastAsia="en-GB"/>
              </w:rPr>
              <w:t xml:space="preserve">If present, </w:t>
            </w:r>
            <w:r w:rsidRPr="00FA0D37">
              <w:rPr>
                <w:lang w:eastAsia="en-GB"/>
              </w:rPr>
              <w:t xml:space="preserve">UL MAC </w:t>
            </w:r>
            <w:r w:rsidRPr="00FA0D37">
              <w:rPr>
                <w:rFonts w:eastAsia="Yu Mincho"/>
                <w:lang w:eastAsia="sv-SE"/>
              </w:rPr>
              <w:t>S</w:t>
            </w:r>
            <w:r w:rsidRPr="00FA0D37">
              <w:rPr>
                <w:lang w:eastAsia="en-GB"/>
              </w:rPr>
              <w:t xml:space="preserve">DUs from this logical channel can only be transmitted using uplink grants that result in a PUSCH duration shorter than or equal to the duration indicated by this field. Otherwise, UL MAC </w:t>
            </w:r>
            <w:r w:rsidRPr="00FA0D37">
              <w:rPr>
                <w:rFonts w:eastAsia="Yu Mincho"/>
                <w:lang w:eastAsia="sv-SE"/>
              </w:rPr>
              <w:t>S</w:t>
            </w:r>
            <w:r w:rsidRPr="00FA0D37">
              <w:rPr>
                <w:lang w:eastAsia="en-GB"/>
              </w:rPr>
              <w:t xml:space="preserve">DUs from this logical channel </w:t>
            </w:r>
            <w:r w:rsidRPr="00FA0D37">
              <w:rPr>
                <w:rFonts w:eastAsia="Yu Mincho"/>
                <w:lang w:eastAsia="sv-SE"/>
              </w:rPr>
              <w:t>can</w:t>
            </w:r>
            <w:r w:rsidRPr="00FA0D37">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5C7FF4" w:rsidRPr="00FA0D37"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FA0D37" w:rsidRDefault="00394471" w:rsidP="00964CC4">
            <w:pPr>
              <w:pStyle w:val="TAL"/>
              <w:rPr>
                <w:b/>
                <w:i/>
                <w:lang w:eastAsia="en-GB"/>
              </w:rPr>
            </w:pPr>
            <w:r w:rsidRPr="00FA0D37">
              <w:rPr>
                <w:b/>
                <w:i/>
                <w:lang w:eastAsia="en-GB"/>
              </w:rPr>
              <w:t>priority</w:t>
            </w:r>
          </w:p>
          <w:p w14:paraId="3E29ECE4" w14:textId="77777777" w:rsidR="00394471" w:rsidRPr="00FA0D37" w:rsidRDefault="00394471" w:rsidP="00964CC4">
            <w:pPr>
              <w:pStyle w:val="TAL"/>
              <w:rPr>
                <w:b/>
                <w:i/>
                <w:lang w:eastAsia="en-GB"/>
              </w:rPr>
            </w:pPr>
            <w:r w:rsidRPr="00FA0D37">
              <w:rPr>
                <w:iCs/>
                <w:lang w:eastAsia="en-GB"/>
              </w:rPr>
              <w:t>Logical channel priority, as specified in TS 38.321 [3].</w:t>
            </w:r>
          </w:p>
        </w:tc>
      </w:tr>
      <w:tr w:rsidR="005C7FF4" w:rsidRPr="00FA0D37"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FA0D37" w:rsidRDefault="00394471" w:rsidP="00964CC4">
            <w:pPr>
              <w:pStyle w:val="TAL"/>
              <w:rPr>
                <w:b/>
                <w:i/>
                <w:lang w:eastAsia="en-GB"/>
              </w:rPr>
            </w:pPr>
            <w:r w:rsidRPr="00FA0D37">
              <w:rPr>
                <w:b/>
                <w:i/>
                <w:lang w:eastAsia="en-GB"/>
              </w:rPr>
              <w:t>prioritisedBitRate</w:t>
            </w:r>
          </w:p>
          <w:p w14:paraId="5400CEB8" w14:textId="77777777" w:rsidR="00394471" w:rsidRPr="00FA0D37" w:rsidRDefault="00394471" w:rsidP="00964CC4">
            <w:pPr>
              <w:pStyle w:val="TAL"/>
              <w:rPr>
                <w:b/>
                <w:i/>
                <w:lang w:eastAsia="en-GB"/>
              </w:rPr>
            </w:pPr>
            <w:r w:rsidRPr="00FA0D37">
              <w:rPr>
                <w:iCs/>
                <w:lang w:eastAsia="en-GB"/>
              </w:rPr>
              <w:t xml:space="preserve">Value in kiloBytes/s. Value </w:t>
            </w:r>
            <w:r w:rsidRPr="00FA0D37">
              <w:rPr>
                <w:i/>
                <w:lang w:eastAsia="sv-SE"/>
              </w:rPr>
              <w:t>kBps</w:t>
            </w:r>
            <w:r w:rsidRPr="00FA0D37">
              <w:rPr>
                <w:i/>
                <w:iCs/>
                <w:lang w:eastAsia="en-GB"/>
              </w:rPr>
              <w:t>0</w:t>
            </w:r>
            <w:r w:rsidRPr="00FA0D37">
              <w:rPr>
                <w:iCs/>
                <w:lang w:eastAsia="en-GB"/>
              </w:rPr>
              <w:t xml:space="preserve"> corresponds to 0 kiloBytes/s, value </w:t>
            </w:r>
            <w:r w:rsidRPr="00FA0D37">
              <w:rPr>
                <w:i/>
                <w:lang w:eastAsia="sv-SE"/>
              </w:rPr>
              <w:t>kBps</w:t>
            </w:r>
            <w:r w:rsidRPr="00FA0D37">
              <w:rPr>
                <w:i/>
                <w:iCs/>
                <w:lang w:eastAsia="en-GB"/>
              </w:rPr>
              <w:t>8</w:t>
            </w:r>
            <w:r w:rsidRPr="00FA0D37">
              <w:rPr>
                <w:iCs/>
                <w:lang w:eastAsia="en-GB"/>
              </w:rPr>
              <w:t xml:space="preserve"> corresponds to 8 kiloBytes/s, value </w:t>
            </w:r>
            <w:r w:rsidRPr="00FA0D37">
              <w:rPr>
                <w:i/>
                <w:iCs/>
                <w:lang w:eastAsia="en-GB"/>
              </w:rPr>
              <w:t>kBps16</w:t>
            </w:r>
            <w:r w:rsidRPr="00FA0D37">
              <w:rPr>
                <w:iCs/>
                <w:lang w:eastAsia="en-GB"/>
              </w:rPr>
              <w:t xml:space="preserve"> corresponds to 16 kiloBytes/s, and so on. </w:t>
            </w:r>
            <w:r w:rsidRPr="00FA0D37">
              <w:rPr>
                <w:lang w:eastAsia="en-GB"/>
              </w:rPr>
              <w:t xml:space="preserve">For SRBs, the value can only be set to </w:t>
            </w:r>
            <w:r w:rsidRPr="00FA0D37">
              <w:rPr>
                <w:i/>
                <w:lang w:eastAsia="sv-SE"/>
              </w:rPr>
              <w:t>infinity</w:t>
            </w:r>
            <w:r w:rsidRPr="00FA0D37">
              <w:rPr>
                <w:lang w:eastAsia="en-GB"/>
              </w:rPr>
              <w:t>.</w:t>
            </w:r>
          </w:p>
        </w:tc>
      </w:tr>
      <w:tr w:rsidR="00394471" w:rsidRPr="00FA0D37"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FA0D37" w:rsidRDefault="00394471" w:rsidP="00964CC4">
            <w:pPr>
              <w:pStyle w:val="TAL"/>
              <w:rPr>
                <w:b/>
                <w:i/>
                <w:lang w:eastAsia="en-GB"/>
              </w:rPr>
            </w:pPr>
            <w:r w:rsidRPr="00FA0D37">
              <w:rPr>
                <w:b/>
                <w:i/>
                <w:lang w:eastAsia="en-GB"/>
              </w:rPr>
              <w:t>schedulingRequestId</w:t>
            </w:r>
          </w:p>
          <w:p w14:paraId="1D590532" w14:textId="77777777" w:rsidR="00394471" w:rsidRPr="00FA0D37" w:rsidRDefault="00394471" w:rsidP="00964CC4">
            <w:pPr>
              <w:pStyle w:val="TAL"/>
              <w:rPr>
                <w:b/>
                <w:lang w:eastAsia="en-GB"/>
              </w:rPr>
            </w:pPr>
            <w:r w:rsidRPr="00FA0D37">
              <w:rPr>
                <w:lang w:eastAsia="en-GB"/>
              </w:rPr>
              <w:t>If present, it indicates the scheduling request configuration applicable for this logical channel, as specified in TS 38.321 [3].</w:t>
            </w:r>
          </w:p>
        </w:tc>
      </w:tr>
    </w:tbl>
    <w:p w14:paraId="72FA7558"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FA0D37" w:rsidRDefault="00394471" w:rsidP="00964CC4">
            <w:pPr>
              <w:pStyle w:val="TAH"/>
              <w:rPr>
                <w:lang w:eastAsia="sv-SE"/>
              </w:rPr>
            </w:pPr>
            <w:r w:rsidRPr="00FA0D37">
              <w:rPr>
                <w:lang w:eastAsia="sv-SE"/>
              </w:rPr>
              <w:t>Explanation</w:t>
            </w:r>
          </w:p>
        </w:tc>
      </w:tr>
      <w:tr w:rsidR="005C7FF4" w:rsidRPr="00FA0D37"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FA0D37" w:rsidRDefault="00394471" w:rsidP="00964CC4">
            <w:pPr>
              <w:pStyle w:val="TAL"/>
              <w:rPr>
                <w:i/>
                <w:lang w:eastAsia="sv-SE"/>
              </w:rPr>
            </w:pPr>
            <w:r w:rsidRPr="00FA0D37">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FA0D37" w:rsidRDefault="00394471" w:rsidP="00964CC4">
            <w:pPr>
              <w:pStyle w:val="TAL"/>
              <w:rPr>
                <w:lang w:eastAsia="sv-SE"/>
              </w:rPr>
            </w:pPr>
            <w:r w:rsidRPr="00FA0D37">
              <w:rPr>
                <w:lang w:eastAsia="sv-SE"/>
              </w:rPr>
              <w:t xml:space="preserve">The field is mandatory present if the DRB/SRB associated with this </w:t>
            </w:r>
            <w:r w:rsidRPr="00FA0D37">
              <w:rPr>
                <w:lang w:eastAsia="zh-CN"/>
              </w:rPr>
              <w:t>logical channel</w:t>
            </w:r>
            <w:r w:rsidRPr="00FA0D37">
              <w:rPr>
                <w:lang w:eastAsia="sv-SE"/>
              </w:rPr>
              <w:t xml:space="preserve"> is configured with PDCP CA duplication in UL </w:t>
            </w:r>
            <w:r w:rsidR="006A5241" w:rsidRPr="00FA0D37">
              <w:rPr>
                <w:lang w:eastAsia="sv-SE"/>
              </w:rPr>
              <w:t xml:space="preserve">in the cell group in which this IE is included </w:t>
            </w:r>
            <w:r w:rsidRPr="00FA0D37">
              <w:rPr>
                <w:lang w:eastAsia="sv-SE"/>
              </w:rPr>
              <w:t xml:space="preserve">(i.e. the PDCP entity is associated with multiple RLC entities belonging to </w:t>
            </w:r>
            <w:r w:rsidR="006A5241" w:rsidRPr="00FA0D37">
              <w:rPr>
                <w:lang w:eastAsia="sv-SE"/>
              </w:rPr>
              <w:t xml:space="preserve">this </w:t>
            </w:r>
            <w:r w:rsidRPr="00FA0D37">
              <w:rPr>
                <w:lang w:eastAsia="sv-SE"/>
              </w:rPr>
              <w:t>cell group). Otherwise the field is optionally present, need R.</w:t>
            </w:r>
          </w:p>
        </w:tc>
      </w:tr>
      <w:tr w:rsidR="00394471" w:rsidRPr="00FA0D37"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FA0D37" w:rsidRDefault="00394471" w:rsidP="00964CC4">
            <w:pPr>
              <w:pStyle w:val="TAL"/>
              <w:rPr>
                <w:i/>
                <w:lang w:eastAsia="sv-SE"/>
              </w:rPr>
            </w:pPr>
            <w:r w:rsidRPr="00FA0D37">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FA0D37" w:rsidRDefault="00394471" w:rsidP="00964CC4">
            <w:pPr>
              <w:pStyle w:val="TAL"/>
              <w:rPr>
                <w:lang w:eastAsia="sv-SE"/>
              </w:rPr>
            </w:pPr>
            <w:r w:rsidRPr="00FA0D37">
              <w:rPr>
                <w:lang w:eastAsia="sv-SE"/>
              </w:rPr>
              <w:t>The field is mandatory present for a logical channel with uplink if it serves DRB</w:t>
            </w:r>
            <w:r w:rsidR="002C350C" w:rsidRPr="00FA0D37">
              <w:rPr>
                <w:lang w:eastAsia="sv-SE"/>
              </w:rPr>
              <w:t xml:space="preserve"> or multicast MRB</w:t>
            </w:r>
            <w:r w:rsidRPr="00FA0D37">
              <w:rPr>
                <w:lang w:eastAsia="sv-SE"/>
              </w:rPr>
              <w:t>. It is optionally present, Need R, for a logical channel with uplink if it serves an SRB. Otherwise it is absent.</w:t>
            </w:r>
          </w:p>
        </w:tc>
      </w:tr>
    </w:tbl>
    <w:p w14:paraId="265ECD81" w14:textId="77777777" w:rsidR="00394471" w:rsidRPr="00FA0D37" w:rsidRDefault="00394471" w:rsidP="00394471"/>
    <w:p w14:paraId="1DFEA71B" w14:textId="77777777" w:rsidR="00394471" w:rsidRPr="00FA0D37" w:rsidRDefault="00394471" w:rsidP="00394471">
      <w:pPr>
        <w:pStyle w:val="4"/>
        <w:rPr>
          <w:rFonts w:eastAsia="宋体"/>
        </w:rPr>
      </w:pPr>
      <w:bookmarkStart w:id="1067" w:name="_Toc60777250"/>
      <w:bookmarkStart w:id="1068" w:name="_Toc146781308"/>
      <w:r w:rsidRPr="00FA0D37">
        <w:rPr>
          <w:rFonts w:eastAsia="宋体"/>
        </w:rPr>
        <w:t>–</w:t>
      </w:r>
      <w:r w:rsidRPr="00FA0D37">
        <w:rPr>
          <w:rFonts w:eastAsia="宋体"/>
        </w:rPr>
        <w:tab/>
      </w:r>
      <w:r w:rsidRPr="00FA0D37">
        <w:rPr>
          <w:rFonts w:eastAsia="宋体"/>
          <w:i/>
        </w:rPr>
        <w:t>LogicalChannelIdentity</w:t>
      </w:r>
      <w:bookmarkEnd w:id="1067"/>
      <w:bookmarkEnd w:id="1068"/>
    </w:p>
    <w:p w14:paraId="4D5D7719" w14:textId="6A2FEA77" w:rsidR="00394471" w:rsidRPr="00FA0D37" w:rsidRDefault="00394471" w:rsidP="00394471">
      <w:pPr>
        <w:rPr>
          <w:rFonts w:eastAsia="宋体"/>
        </w:rPr>
      </w:pPr>
      <w:r w:rsidRPr="00FA0D37">
        <w:rPr>
          <w:rFonts w:eastAsia="宋体"/>
        </w:rPr>
        <w:t xml:space="preserve">The IE </w:t>
      </w:r>
      <w:r w:rsidRPr="00FA0D37">
        <w:rPr>
          <w:rFonts w:eastAsia="宋体"/>
          <w:i/>
        </w:rPr>
        <w:t>LogicalChannelIdentity</w:t>
      </w:r>
      <w:r w:rsidRPr="00FA0D37">
        <w:rPr>
          <w:rFonts w:eastAsia="宋体"/>
        </w:rPr>
        <w:t xml:space="preserve"> is used to identify one logical channel (</w:t>
      </w:r>
      <w:r w:rsidRPr="00FA0D37">
        <w:rPr>
          <w:rFonts w:eastAsia="宋体"/>
          <w:i/>
        </w:rPr>
        <w:t>LogicalChannelConfig</w:t>
      </w:r>
      <w:r w:rsidRPr="00FA0D37">
        <w:rPr>
          <w:rFonts w:eastAsia="宋体"/>
        </w:rPr>
        <w:t>) and the corresponding RLC bearer (</w:t>
      </w:r>
      <w:r w:rsidRPr="00FA0D37">
        <w:rPr>
          <w:rFonts w:eastAsia="宋体"/>
          <w:i/>
        </w:rPr>
        <w:t>RLC-BearerConfig</w:t>
      </w:r>
      <w:r w:rsidRPr="00FA0D37">
        <w:rPr>
          <w:rFonts w:eastAsia="宋体"/>
        </w:rPr>
        <w:t>)</w:t>
      </w:r>
      <w:r w:rsidR="002A61BB" w:rsidRPr="00FA0D37">
        <w:t xml:space="preserve"> or BH RLC channel (</w:t>
      </w:r>
      <w:r w:rsidR="002A61BB" w:rsidRPr="00FA0D37">
        <w:rPr>
          <w:i/>
        </w:rPr>
        <w:t>BH-RLC-ChannelConfig</w:t>
      </w:r>
      <w:r w:rsidR="002A61BB" w:rsidRPr="00FA0D37">
        <w:t>)</w:t>
      </w:r>
      <w:r w:rsidR="00360CB9" w:rsidRPr="00FA0D37">
        <w:t xml:space="preserve"> or Uu Relay RLC channel (</w:t>
      </w:r>
      <w:r w:rsidR="00360CB9" w:rsidRPr="00FA0D37">
        <w:rPr>
          <w:i/>
        </w:rPr>
        <w:t>Uu-RelayRLC-ChannelConfig</w:t>
      </w:r>
      <w:r w:rsidR="00360CB9" w:rsidRPr="00FA0D37">
        <w:t>)</w:t>
      </w:r>
      <w:r w:rsidR="005D44A8" w:rsidRPr="00FA0D37">
        <w:t xml:space="preserve"> or PC5 Relay RLC channel (</w:t>
      </w:r>
      <w:r w:rsidR="005D44A8" w:rsidRPr="00FA0D37">
        <w:rPr>
          <w:i/>
        </w:rPr>
        <w:t>SL-RLC-ChannelConfig</w:t>
      </w:r>
      <w:r w:rsidR="005D44A8" w:rsidRPr="00FA0D37">
        <w:t>)</w:t>
      </w:r>
      <w:r w:rsidRPr="00FA0D37">
        <w:rPr>
          <w:rFonts w:eastAsia="宋体"/>
        </w:rPr>
        <w:t>.</w:t>
      </w:r>
    </w:p>
    <w:p w14:paraId="15AECE14" w14:textId="77777777" w:rsidR="00394471" w:rsidRPr="00FA0D37" w:rsidRDefault="00394471" w:rsidP="00394471">
      <w:pPr>
        <w:pStyle w:val="TH"/>
        <w:rPr>
          <w:rFonts w:eastAsia="宋体"/>
        </w:rPr>
      </w:pPr>
      <w:r w:rsidRPr="00FA0D37">
        <w:rPr>
          <w:rFonts w:eastAsia="宋体"/>
          <w:i/>
        </w:rPr>
        <w:t>LogicalChannelIdentity</w:t>
      </w:r>
      <w:r w:rsidRPr="00FA0D37">
        <w:rPr>
          <w:rFonts w:eastAsia="宋体"/>
        </w:rPr>
        <w:t xml:space="preserve"> information element</w:t>
      </w:r>
    </w:p>
    <w:p w14:paraId="6E24A07E" w14:textId="77777777" w:rsidR="00394471" w:rsidRPr="00FA0D37" w:rsidRDefault="00394471" w:rsidP="00FA0D37">
      <w:pPr>
        <w:pStyle w:val="PL"/>
        <w:rPr>
          <w:color w:val="808080"/>
        </w:rPr>
      </w:pPr>
      <w:r w:rsidRPr="00FA0D37">
        <w:rPr>
          <w:color w:val="808080"/>
        </w:rPr>
        <w:t>-- ASN1START</w:t>
      </w:r>
    </w:p>
    <w:p w14:paraId="0E2DE9B4" w14:textId="77777777" w:rsidR="00394471" w:rsidRPr="00FA0D37" w:rsidRDefault="00394471" w:rsidP="00FA0D37">
      <w:pPr>
        <w:pStyle w:val="PL"/>
        <w:rPr>
          <w:color w:val="808080"/>
        </w:rPr>
      </w:pPr>
      <w:r w:rsidRPr="00FA0D37">
        <w:rPr>
          <w:color w:val="808080"/>
        </w:rPr>
        <w:t>-- TAG-LOGICALCHANNELIDENTITY-START</w:t>
      </w:r>
    </w:p>
    <w:p w14:paraId="126B4F79" w14:textId="77777777" w:rsidR="00394471" w:rsidRPr="00FA0D37" w:rsidRDefault="00394471" w:rsidP="00FA0D37">
      <w:pPr>
        <w:pStyle w:val="PL"/>
      </w:pPr>
    </w:p>
    <w:p w14:paraId="39D48776" w14:textId="77777777" w:rsidR="00394471" w:rsidRPr="00FA0D37" w:rsidRDefault="00394471" w:rsidP="00FA0D37">
      <w:pPr>
        <w:pStyle w:val="PL"/>
      </w:pPr>
      <w:r w:rsidRPr="00FA0D37">
        <w:t xml:space="preserve">LogicalChannelIdentity ::=          </w:t>
      </w:r>
      <w:r w:rsidRPr="00FA0D37">
        <w:rPr>
          <w:color w:val="993366"/>
        </w:rPr>
        <w:t>INTEGER</w:t>
      </w:r>
      <w:r w:rsidRPr="00FA0D37">
        <w:t xml:space="preserve"> (1..maxLC-ID)</w:t>
      </w:r>
    </w:p>
    <w:p w14:paraId="295D7DAE" w14:textId="77777777" w:rsidR="00394471" w:rsidRPr="00FA0D37" w:rsidRDefault="00394471" w:rsidP="00FA0D37">
      <w:pPr>
        <w:pStyle w:val="PL"/>
      </w:pPr>
    </w:p>
    <w:p w14:paraId="02AB3E74" w14:textId="77777777" w:rsidR="00394471" w:rsidRPr="00FA0D37" w:rsidRDefault="00394471" w:rsidP="00FA0D37">
      <w:pPr>
        <w:pStyle w:val="PL"/>
        <w:rPr>
          <w:color w:val="808080"/>
        </w:rPr>
      </w:pPr>
      <w:r w:rsidRPr="00FA0D37">
        <w:rPr>
          <w:color w:val="808080"/>
        </w:rPr>
        <w:t>-- TAG-LOGICALCHANNELIDENTITY-STOP</w:t>
      </w:r>
    </w:p>
    <w:p w14:paraId="7E878B21" w14:textId="77777777" w:rsidR="00394471" w:rsidRPr="00FA0D37" w:rsidRDefault="00394471" w:rsidP="00FA0D37">
      <w:pPr>
        <w:pStyle w:val="PL"/>
        <w:rPr>
          <w:color w:val="808080"/>
        </w:rPr>
      </w:pPr>
      <w:r w:rsidRPr="00FA0D37">
        <w:rPr>
          <w:color w:val="808080"/>
        </w:rPr>
        <w:t>-- ASN1STOP</w:t>
      </w:r>
    </w:p>
    <w:p w14:paraId="30F16A87" w14:textId="24067483" w:rsidR="00394471" w:rsidRPr="00FA0D37" w:rsidRDefault="00394471" w:rsidP="00394471"/>
    <w:p w14:paraId="5EE72764" w14:textId="77777777" w:rsidR="00551FB2" w:rsidRPr="00FA0D37" w:rsidRDefault="00551FB2" w:rsidP="00F747EB">
      <w:pPr>
        <w:pStyle w:val="4"/>
      </w:pPr>
      <w:bookmarkStart w:id="1069" w:name="_Toc146781309"/>
      <w:r w:rsidRPr="00FA0D37">
        <w:lastRenderedPageBreak/>
        <w:t>–</w:t>
      </w:r>
      <w:r w:rsidRPr="00FA0D37">
        <w:tab/>
      </w:r>
      <w:r w:rsidRPr="00FA0D37">
        <w:rPr>
          <w:i/>
          <w:iCs/>
        </w:rPr>
        <w:t>LTE-NeighCellsCRS-AssistInfoList</w:t>
      </w:r>
      <w:bookmarkEnd w:id="1069"/>
    </w:p>
    <w:p w14:paraId="45319000" w14:textId="77777777" w:rsidR="00F747EB" w:rsidRPr="00FA0D37" w:rsidRDefault="00551FB2" w:rsidP="00551FB2">
      <w:r w:rsidRPr="00FA0D37">
        <w:t xml:space="preserve">The IE </w:t>
      </w:r>
      <w:r w:rsidRPr="00FA0D37">
        <w:rPr>
          <w:i/>
        </w:rPr>
        <w:t>LTE-NeighCellsCRS-AssistInfoList-r17</w:t>
      </w:r>
      <w:r w:rsidRPr="00FA0D37">
        <w:t xml:space="preserve"> is used to provide configuration information of neighbour LTE cells to assist the UE to perform CRS interference mitigation (CRS-IM) in scenarios with overlapping spectrum for LTE and NR.</w:t>
      </w:r>
    </w:p>
    <w:p w14:paraId="5F61250F" w14:textId="196E396D" w:rsidR="00551FB2" w:rsidRPr="00FA0D37" w:rsidRDefault="00551FB2" w:rsidP="00F747EB">
      <w:pPr>
        <w:pStyle w:val="TH"/>
      </w:pPr>
      <w:r w:rsidRPr="00FA0D37">
        <w:rPr>
          <w:i/>
          <w:iCs/>
        </w:rPr>
        <w:t>LTE-NeighCellsCRS-AssistInfoList</w:t>
      </w:r>
      <w:r w:rsidRPr="00FA0D37">
        <w:t xml:space="preserve"> information element</w:t>
      </w:r>
    </w:p>
    <w:p w14:paraId="5EDDACD9" w14:textId="77777777" w:rsidR="00551FB2" w:rsidRPr="00FA0D37" w:rsidRDefault="00551FB2" w:rsidP="00FA0D37">
      <w:pPr>
        <w:pStyle w:val="PL"/>
        <w:rPr>
          <w:color w:val="808080"/>
        </w:rPr>
      </w:pPr>
      <w:r w:rsidRPr="00FA0D37">
        <w:rPr>
          <w:color w:val="808080"/>
        </w:rPr>
        <w:t>-- ASN1START</w:t>
      </w:r>
    </w:p>
    <w:p w14:paraId="491AA401" w14:textId="4880C7A8" w:rsidR="00551FB2" w:rsidRPr="00FA0D37" w:rsidRDefault="00551FB2" w:rsidP="00FA0D37">
      <w:pPr>
        <w:pStyle w:val="PL"/>
        <w:rPr>
          <w:color w:val="808080"/>
        </w:rPr>
      </w:pPr>
      <w:r w:rsidRPr="00FA0D37">
        <w:rPr>
          <w:color w:val="808080"/>
        </w:rPr>
        <w:t>-- TAG-LTE-NEIGHCELLSCRS-ASSISTINFOLIST-START</w:t>
      </w:r>
    </w:p>
    <w:p w14:paraId="1E129F5E" w14:textId="77777777" w:rsidR="00551FB2" w:rsidRPr="00FA0D37" w:rsidRDefault="00551FB2" w:rsidP="00FA0D37">
      <w:pPr>
        <w:pStyle w:val="PL"/>
      </w:pPr>
    </w:p>
    <w:p w14:paraId="4B78AD4B" w14:textId="78569BF0" w:rsidR="00551FB2" w:rsidRPr="00FA0D37" w:rsidRDefault="00551FB2" w:rsidP="00FA0D37">
      <w:pPr>
        <w:pStyle w:val="PL"/>
      </w:pPr>
      <w:r w:rsidRPr="00FA0D37">
        <w:t xml:space="preserve">LTE-NeighCellsCRS-AssistInfoList-r17 ::= </w:t>
      </w:r>
      <w:r w:rsidRPr="00FA0D37">
        <w:rPr>
          <w:color w:val="993366"/>
        </w:rPr>
        <w:t>SEQUENCE</w:t>
      </w:r>
      <w:r w:rsidRPr="00FA0D37">
        <w:t xml:space="preserve"> (</w:t>
      </w:r>
      <w:r w:rsidRPr="00FA0D37">
        <w:rPr>
          <w:color w:val="993366"/>
        </w:rPr>
        <w:t>SIZE</w:t>
      </w:r>
      <w:r w:rsidRPr="00FA0D37">
        <w:t xml:space="preserve"> (1..maxNrofCRS-IM-InterfCell-r17))</w:t>
      </w:r>
      <w:r w:rsidRPr="00FA0D37">
        <w:rPr>
          <w:color w:val="993366"/>
        </w:rPr>
        <w:t xml:space="preserve"> OF</w:t>
      </w:r>
      <w:r w:rsidRPr="00FA0D37">
        <w:t xml:space="preserve"> LTE-NeighCellsCRS-AssistInfo-r17</w:t>
      </w:r>
    </w:p>
    <w:p w14:paraId="6F9CEF68" w14:textId="77777777" w:rsidR="00551FB2" w:rsidRPr="00FA0D37" w:rsidRDefault="00551FB2" w:rsidP="00FA0D37">
      <w:pPr>
        <w:pStyle w:val="PL"/>
      </w:pPr>
    </w:p>
    <w:p w14:paraId="72996ED3" w14:textId="693660CB" w:rsidR="00551FB2" w:rsidRPr="00FA0D37" w:rsidRDefault="00551FB2" w:rsidP="00FA0D37">
      <w:pPr>
        <w:pStyle w:val="PL"/>
      </w:pPr>
      <w:r w:rsidRPr="00FA0D37">
        <w:t xml:space="preserve">LTE-NeighCellsCRS-AssistInfo-r17 ::=     </w:t>
      </w:r>
      <w:r w:rsidRPr="00FA0D37">
        <w:rPr>
          <w:color w:val="993366"/>
        </w:rPr>
        <w:t>SEQUENCE</w:t>
      </w:r>
      <w:r w:rsidRPr="00FA0D37">
        <w:t xml:space="preserve"> {</w:t>
      </w:r>
    </w:p>
    <w:p w14:paraId="45A608C8" w14:textId="4AB2EE31" w:rsidR="00551FB2" w:rsidRPr="00FA0D37" w:rsidRDefault="00551FB2" w:rsidP="00FA0D37">
      <w:pPr>
        <w:pStyle w:val="PL"/>
        <w:rPr>
          <w:color w:val="808080"/>
        </w:rPr>
      </w:pPr>
      <w:r w:rsidRPr="00FA0D37">
        <w:t xml:space="preserve">    neighCarrierBandwidthDL-r17              </w:t>
      </w:r>
      <w:r w:rsidRPr="00FA0D37">
        <w:rPr>
          <w:color w:val="993366"/>
        </w:rPr>
        <w:t>ENUMERATED</w:t>
      </w:r>
      <w:r w:rsidRPr="00FA0D37">
        <w:t xml:space="preserve"> {n6, n15, n25, n50, n75, n100, spare2, spare1}   </w:t>
      </w:r>
      <w:r w:rsidRPr="00FA0D37">
        <w:rPr>
          <w:color w:val="993366"/>
        </w:rPr>
        <w:t>OPTIONAL</w:t>
      </w:r>
      <w:r w:rsidRPr="00FA0D37">
        <w:t xml:space="preserve">,   </w:t>
      </w:r>
      <w:r w:rsidRPr="00FA0D37">
        <w:rPr>
          <w:color w:val="808080"/>
        </w:rPr>
        <w:t>-- Cond CRS-IM</w:t>
      </w:r>
    </w:p>
    <w:p w14:paraId="6C452A26" w14:textId="04D3C180" w:rsidR="00551FB2" w:rsidRPr="00FA0D37" w:rsidRDefault="00551FB2" w:rsidP="00FA0D37">
      <w:pPr>
        <w:pStyle w:val="PL"/>
        <w:rPr>
          <w:color w:val="808080"/>
        </w:rPr>
      </w:pPr>
      <w:r w:rsidRPr="00FA0D37">
        <w:t xml:space="preserve">    neighCarrierFreqDL-r17                   </w:t>
      </w:r>
      <w:r w:rsidRPr="00FA0D37">
        <w:rPr>
          <w:color w:val="993366"/>
        </w:rPr>
        <w:t>INTEGER</w:t>
      </w:r>
      <w:r w:rsidRPr="00FA0D37">
        <w:t xml:space="preserve"> (0..16383)                                          </w:t>
      </w:r>
      <w:r w:rsidRPr="00FA0D37">
        <w:rPr>
          <w:color w:val="993366"/>
        </w:rPr>
        <w:t>OPTIONAL</w:t>
      </w:r>
      <w:r w:rsidRPr="00FA0D37">
        <w:t xml:space="preserve">,   </w:t>
      </w:r>
      <w:r w:rsidRPr="00FA0D37">
        <w:rPr>
          <w:color w:val="808080"/>
        </w:rPr>
        <w:t>-- Need S</w:t>
      </w:r>
    </w:p>
    <w:p w14:paraId="346EE21A" w14:textId="6F9603CF" w:rsidR="00551FB2" w:rsidRPr="00FA0D37" w:rsidRDefault="00551FB2" w:rsidP="00FA0D37">
      <w:pPr>
        <w:pStyle w:val="PL"/>
        <w:rPr>
          <w:color w:val="808080"/>
        </w:rPr>
      </w:pPr>
      <w:r w:rsidRPr="00FA0D37">
        <w:t xml:space="preserve">    neighCellId-</w:t>
      </w:r>
      <w:r w:rsidR="00697589" w:rsidRPr="00FA0D37">
        <w:t>r</w:t>
      </w:r>
      <w:r w:rsidRPr="00FA0D37">
        <w:t xml:space="preserve">17                          EUTRA-PhysCellId                                            </w:t>
      </w:r>
      <w:r w:rsidRPr="00FA0D37">
        <w:rPr>
          <w:color w:val="993366"/>
        </w:rPr>
        <w:t>OPTIONAL</w:t>
      </w:r>
      <w:r w:rsidRPr="00FA0D37">
        <w:t xml:space="preserve">,   </w:t>
      </w:r>
      <w:r w:rsidRPr="00FA0D37">
        <w:rPr>
          <w:color w:val="808080"/>
        </w:rPr>
        <w:t xml:space="preserve">-- Need </w:t>
      </w:r>
      <w:r w:rsidR="00F64D3E" w:rsidRPr="00FA0D37">
        <w:rPr>
          <w:color w:val="808080"/>
        </w:rPr>
        <w:t>S</w:t>
      </w:r>
    </w:p>
    <w:p w14:paraId="1CE4D863" w14:textId="28AC375C" w:rsidR="00551FB2" w:rsidRPr="00FA0D37" w:rsidRDefault="00551FB2" w:rsidP="00FA0D37">
      <w:pPr>
        <w:pStyle w:val="PL"/>
        <w:rPr>
          <w:color w:val="808080"/>
        </w:rPr>
      </w:pPr>
      <w:r w:rsidRPr="00FA0D37">
        <w:t xml:space="preserve">    neighCRS-muting-r17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124E18BF" w14:textId="73A8AAC5" w:rsidR="00551FB2" w:rsidRPr="00FA0D37" w:rsidRDefault="00551FB2" w:rsidP="00FA0D37">
      <w:pPr>
        <w:pStyle w:val="PL"/>
        <w:rPr>
          <w:color w:val="808080"/>
        </w:rPr>
      </w:pPr>
      <w:r w:rsidRPr="00FA0D37">
        <w:t xml:space="preserve">    neighMBSFN-SubframeConfigList-r17        EUTRA-MBSFN-SubframeConfigList                              </w:t>
      </w:r>
      <w:r w:rsidRPr="00FA0D37">
        <w:rPr>
          <w:color w:val="993366"/>
        </w:rPr>
        <w:t>OPTIONAL</w:t>
      </w:r>
      <w:r w:rsidRPr="00FA0D37">
        <w:t xml:space="preserve">,   </w:t>
      </w:r>
      <w:r w:rsidRPr="00FA0D37">
        <w:rPr>
          <w:color w:val="808080"/>
        </w:rPr>
        <w:t>-- Need S</w:t>
      </w:r>
    </w:p>
    <w:p w14:paraId="59181580" w14:textId="40809CD2" w:rsidR="00551FB2" w:rsidRPr="00FA0D37" w:rsidRDefault="00551FB2" w:rsidP="00FA0D37">
      <w:pPr>
        <w:pStyle w:val="PL"/>
        <w:rPr>
          <w:color w:val="808080"/>
        </w:rPr>
      </w:pPr>
      <w:r w:rsidRPr="00FA0D37">
        <w:t xml:space="preserve">    neighNrofCRS</w:t>
      </w:r>
      <w:r w:rsidR="00AA5AF7" w:rsidRPr="00FA0D37">
        <w:t>-</w:t>
      </w:r>
      <w:r w:rsidRPr="00FA0D37">
        <w:t>Ports</w:t>
      </w:r>
      <w:r w:rsidR="00EE46AC" w:rsidRPr="00FA0D37">
        <w:t>-r</w:t>
      </w:r>
      <w:r w:rsidRPr="00FA0D37">
        <w:t xml:space="preserve">17                   </w:t>
      </w:r>
      <w:r w:rsidRPr="00FA0D37">
        <w:rPr>
          <w:color w:val="993366"/>
        </w:rPr>
        <w:t>ENUMERATED</w:t>
      </w:r>
      <w:r w:rsidRPr="00FA0D37">
        <w:t xml:space="preserve"> {n1, n2, n4}                                     </w:t>
      </w:r>
      <w:r w:rsidRPr="00FA0D37">
        <w:rPr>
          <w:color w:val="993366"/>
        </w:rPr>
        <w:t>OPTIONAL</w:t>
      </w:r>
      <w:r w:rsidRPr="00FA0D37">
        <w:t xml:space="preserve">,   </w:t>
      </w:r>
      <w:r w:rsidRPr="00FA0D37">
        <w:rPr>
          <w:color w:val="808080"/>
        </w:rPr>
        <w:t>-- Need S</w:t>
      </w:r>
    </w:p>
    <w:p w14:paraId="0BFDBF99" w14:textId="5F4ACC26" w:rsidR="00551FB2" w:rsidRPr="00FA0D37" w:rsidRDefault="00551FB2" w:rsidP="00FA0D37">
      <w:pPr>
        <w:pStyle w:val="PL"/>
        <w:rPr>
          <w:color w:val="808080"/>
        </w:rPr>
      </w:pPr>
      <w:r w:rsidRPr="00FA0D37">
        <w:t xml:space="preserve">    neighV-Shift-r17                         </w:t>
      </w:r>
      <w:r w:rsidRPr="00FA0D37">
        <w:rPr>
          <w:color w:val="993366"/>
        </w:rPr>
        <w:t>ENUMERATED</w:t>
      </w:r>
      <w:r w:rsidRPr="00FA0D37">
        <w:t xml:space="preserve"> {n0, n1, n2, n3, n4, n5}                         </w:t>
      </w:r>
      <w:r w:rsidRPr="00FA0D37">
        <w:rPr>
          <w:color w:val="993366"/>
        </w:rPr>
        <w:t>OPTIONAL</w:t>
      </w:r>
      <w:r w:rsidRPr="00FA0D37">
        <w:t xml:space="preserve">    </w:t>
      </w:r>
      <w:r w:rsidRPr="00FA0D37">
        <w:rPr>
          <w:color w:val="808080"/>
        </w:rPr>
        <w:t>-- Cond NotCellID</w:t>
      </w:r>
    </w:p>
    <w:p w14:paraId="20ABF9DF" w14:textId="77777777" w:rsidR="00551FB2" w:rsidRPr="00FA0D37" w:rsidRDefault="00551FB2" w:rsidP="00FA0D37">
      <w:pPr>
        <w:pStyle w:val="PL"/>
      </w:pPr>
      <w:r w:rsidRPr="00FA0D37">
        <w:t>}</w:t>
      </w:r>
    </w:p>
    <w:p w14:paraId="009D96B7" w14:textId="77777777" w:rsidR="00551FB2" w:rsidRPr="00FA0D37" w:rsidRDefault="00551FB2" w:rsidP="00FA0D37">
      <w:pPr>
        <w:pStyle w:val="PL"/>
      </w:pPr>
    </w:p>
    <w:p w14:paraId="48D9E00F" w14:textId="77777777" w:rsidR="00551FB2" w:rsidRPr="00FA0D37" w:rsidRDefault="00551FB2" w:rsidP="00FA0D37">
      <w:pPr>
        <w:pStyle w:val="PL"/>
        <w:rPr>
          <w:color w:val="808080"/>
        </w:rPr>
      </w:pPr>
      <w:r w:rsidRPr="00FA0D37">
        <w:rPr>
          <w:color w:val="808080"/>
        </w:rPr>
        <w:t>-- TAG-LTE-NEIGHCELLSCRS-ASSISTINFOLIST-STOP</w:t>
      </w:r>
    </w:p>
    <w:p w14:paraId="6D72E735" w14:textId="6B91864B" w:rsidR="00551FB2" w:rsidRPr="00FA0D37" w:rsidRDefault="00551FB2" w:rsidP="00FA0D37">
      <w:pPr>
        <w:pStyle w:val="PL"/>
        <w:rPr>
          <w:color w:val="808080"/>
        </w:rPr>
      </w:pPr>
      <w:r w:rsidRPr="00FA0D37">
        <w:rPr>
          <w:color w:val="808080"/>
        </w:rPr>
        <w:t>-- ASN1STOP</w:t>
      </w:r>
    </w:p>
    <w:p w14:paraId="369B4254" w14:textId="77777777" w:rsidR="00551FB2" w:rsidRPr="00FA0D37"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FA0D37" w:rsidRDefault="00551FB2" w:rsidP="00F747EB">
            <w:pPr>
              <w:pStyle w:val="TAH"/>
              <w:rPr>
                <w:rFonts w:eastAsia="MS Mincho"/>
                <w:lang w:eastAsia="sv-SE"/>
              </w:rPr>
            </w:pPr>
            <w:r w:rsidRPr="00FA0D37">
              <w:rPr>
                <w:rFonts w:eastAsia="MS Mincho"/>
                <w:i/>
                <w:iCs/>
                <w:lang w:eastAsia="sv-SE"/>
              </w:rPr>
              <w:lastRenderedPageBreak/>
              <w:t>LTE-NeighCellsCRS-AssistInfo</w:t>
            </w:r>
            <w:r w:rsidRPr="00FA0D37">
              <w:rPr>
                <w:rFonts w:eastAsia="MS Mincho"/>
                <w:lang w:eastAsia="sv-SE"/>
              </w:rPr>
              <w:t xml:space="preserve"> field descriptions</w:t>
            </w:r>
          </w:p>
        </w:tc>
      </w:tr>
      <w:tr w:rsidR="005C7FF4" w:rsidRPr="00FA0D37"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FA0D37" w:rsidRDefault="00551FB2" w:rsidP="00F747EB">
            <w:pPr>
              <w:pStyle w:val="TAL"/>
              <w:rPr>
                <w:rFonts w:eastAsia="MS Mincho"/>
                <w:b/>
                <w:bCs/>
                <w:i/>
                <w:iCs/>
                <w:lang w:eastAsia="sv-SE"/>
              </w:rPr>
            </w:pPr>
            <w:r w:rsidRPr="00FA0D37">
              <w:rPr>
                <w:rFonts w:eastAsia="MS Mincho"/>
                <w:b/>
                <w:bCs/>
                <w:i/>
                <w:iCs/>
                <w:lang w:eastAsia="sv-SE"/>
              </w:rPr>
              <w:t>neighCarrierBandwidthDL</w:t>
            </w:r>
          </w:p>
          <w:p w14:paraId="1835F9DA" w14:textId="272BB196" w:rsidR="00551FB2" w:rsidRPr="00FA0D37" w:rsidRDefault="00551FB2" w:rsidP="00F747EB">
            <w:pPr>
              <w:pStyle w:val="TAL"/>
              <w:rPr>
                <w:rFonts w:eastAsia="MS Mincho"/>
                <w:lang w:eastAsia="sv-SE"/>
              </w:rPr>
            </w:pPr>
            <w:r w:rsidRPr="00FA0D37">
              <w:rPr>
                <w:rFonts w:eastAsia="MS Mincho"/>
                <w:lang w:eastAsia="sv-SE"/>
              </w:rPr>
              <w:t>Indicates the channel bandwidth of the neighbour LTE cell in number of PRBs.</w:t>
            </w:r>
            <w:r w:rsidRPr="00FA0D37">
              <w:rPr>
                <w:lang w:eastAsia="sv-SE"/>
              </w:rPr>
              <w:t xml:space="preserve"> </w:t>
            </w:r>
            <w:r w:rsidRPr="00FA0D37">
              <w:rPr>
                <w:rFonts w:eastAsia="MS Mincho"/>
                <w:lang w:eastAsia="sv-SE"/>
              </w:rPr>
              <w:t xml:space="preserve">If the field is absent, the UE applies the value of </w:t>
            </w:r>
            <w:r w:rsidRPr="00FA0D37">
              <w:rPr>
                <w:rFonts w:eastAsia="MS Mincho"/>
                <w:i/>
                <w:iCs/>
                <w:lang w:eastAsia="sv-SE"/>
              </w:rPr>
              <w:t>carrierBandwidthDL</w:t>
            </w:r>
            <w:r w:rsidRPr="00FA0D37">
              <w:rPr>
                <w:rFonts w:eastAsia="MS Mincho"/>
                <w:lang w:eastAsia="sv-SE"/>
              </w:rPr>
              <w:t xml:space="preserve"> indicated in </w:t>
            </w:r>
            <w:r w:rsidRPr="00FA0D37">
              <w:rPr>
                <w:rFonts w:eastAsia="MS Mincho"/>
                <w:i/>
                <w:iCs/>
                <w:lang w:eastAsia="sv-SE"/>
              </w:rPr>
              <w:t>RateMatchPatternLTE-CRS</w:t>
            </w:r>
            <w:r w:rsidRPr="00FA0D37">
              <w:rPr>
                <w:rFonts w:eastAsia="MS Mincho"/>
                <w:lang w:eastAsia="sv-SE"/>
              </w:rPr>
              <w:t xml:space="preserve"> for this serving cell, if configured.</w:t>
            </w:r>
          </w:p>
        </w:tc>
      </w:tr>
      <w:tr w:rsidR="005C7FF4" w:rsidRPr="00FA0D37"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FA0D37" w:rsidRDefault="00551FB2" w:rsidP="00F747EB">
            <w:pPr>
              <w:pStyle w:val="TAL"/>
              <w:rPr>
                <w:rFonts w:eastAsia="MS Mincho"/>
                <w:b/>
                <w:bCs/>
                <w:i/>
                <w:iCs/>
                <w:lang w:eastAsia="sv-SE"/>
              </w:rPr>
            </w:pPr>
            <w:r w:rsidRPr="00FA0D37">
              <w:rPr>
                <w:rFonts w:eastAsia="MS Mincho"/>
                <w:b/>
                <w:bCs/>
                <w:i/>
                <w:iCs/>
                <w:lang w:eastAsia="sv-SE"/>
              </w:rPr>
              <w:t>neighCarrierFreqDL</w:t>
            </w:r>
          </w:p>
          <w:p w14:paraId="0FFD6849" w14:textId="77777777" w:rsidR="00551FB2" w:rsidRPr="00FA0D37" w:rsidRDefault="00551FB2" w:rsidP="00F747EB">
            <w:pPr>
              <w:pStyle w:val="TAL"/>
              <w:rPr>
                <w:rFonts w:eastAsia="MS Mincho"/>
                <w:lang w:eastAsia="sv-SE"/>
              </w:rPr>
            </w:pPr>
            <w:r w:rsidRPr="00FA0D37">
              <w:rPr>
                <w:rFonts w:cs="Arial"/>
                <w:lang w:eastAsia="zh-CN"/>
              </w:rPr>
              <w:t xml:space="preserve">Indicates the downlink centre frequency of </w:t>
            </w:r>
            <w:r w:rsidRPr="00FA0D37">
              <w:rPr>
                <w:rFonts w:eastAsia="MS Mincho"/>
                <w:lang w:eastAsia="sv-SE"/>
              </w:rPr>
              <w:t xml:space="preserve">the neighbour LTE cell. If the field is absent, the UE applies the value of </w:t>
            </w:r>
            <w:r w:rsidRPr="00FA0D37">
              <w:rPr>
                <w:rFonts w:eastAsia="MS Mincho"/>
                <w:i/>
                <w:iCs/>
                <w:lang w:eastAsia="sv-SE"/>
              </w:rPr>
              <w:t>carrierFreqDL</w:t>
            </w:r>
            <w:r w:rsidRPr="00FA0D37">
              <w:rPr>
                <w:rFonts w:eastAsia="MS Mincho"/>
                <w:lang w:eastAsia="sv-SE"/>
              </w:rPr>
              <w:t xml:space="preserve"> indicated in </w:t>
            </w:r>
            <w:r w:rsidRPr="00FA0D37">
              <w:rPr>
                <w:rFonts w:eastAsia="MS Mincho"/>
                <w:i/>
                <w:iCs/>
                <w:lang w:eastAsia="sv-SE"/>
              </w:rPr>
              <w:t>RateMatchPatternLTE-CRS</w:t>
            </w:r>
            <w:r w:rsidRPr="00FA0D37">
              <w:rPr>
                <w:rFonts w:eastAsia="MS Mincho"/>
                <w:lang w:eastAsia="sv-SE"/>
              </w:rPr>
              <w:t xml:space="preserve"> for this serving cell, if configured.</w:t>
            </w:r>
          </w:p>
        </w:tc>
      </w:tr>
      <w:tr w:rsidR="005C7FF4" w:rsidRPr="00FA0D37"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FA0D37" w:rsidRDefault="00551FB2" w:rsidP="00F64D3E">
            <w:pPr>
              <w:pStyle w:val="TAL"/>
              <w:rPr>
                <w:rFonts w:eastAsia="MS Mincho"/>
                <w:b/>
                <w:bCs/>
                <w:i/>
                <w:iCs/>
                <w:lang w:eastAsia="sv-SE"/>
              </w:rPr>
            </w:pPr>
            <w:r w:rsidRPr="00FA0D37">
              <w:rPr>
                <w:rFonts w:eastAsia="MS Mincho"/>
                <w:b/>
                <w:bCs/>
                <w:i/>
                <w:iCs/>
                <w:lang w:eastAsia="sv-SE"/>
              </w:rPr>
              <w:t>neighCellId</w:t>
            </w:r>
          </w:p>
          <w:p w14:paraId="4AEC9D0C" w14:textId="602C5E7D" w:rsidR="00551FB2" w:rsidRPr="00FA0D37" w:rsidRDefault="00551FB2" w:rsidP="00F64D3E">
            <w:pPr>
              <w:pStyle w:val="TAL"/>
              <w:rPr>
                <w:rFonts w:eastAsia="MS Mincho"/>
                <w:lang w:eastAsia="sv-SE"/>
              </w:rPr>
            </w:pPr>
            <w:r w:rsidRPr="00FA0D37">
              <w:rPr>
                <w:rFonts w:cs="Arial"/>
                <w:lang w:eastAsia="zh-CN"/>
              </w:rPr>
              <w:t>Indicates the phys</w:t>
            </w:r>
            <w:r w:rsidR="003A2D9D" w:rsidRPr="00FA0D37">
              <w:rPr>
                <w:rFonts w:cs="Arial"/>
                <w:lang w:eastAsia="zh-CN"/>
              </w:rPr>
              <w:t>i</w:t>
            </w:r>
            <w:r w:rsidRPr="00FA0D37">
              <w:rPr>
                <w:rFonts w:cs="Arial"/>
                <w:lang w:eastAsia="zh-CN"/>
              </w:rPr>
              <w:t xml:space="preserve">cal cell ID </w:t>
            </w:r>
            <w:r w:rsidR="003A2D9D" w:rsidRPr="00FA0D37">
              <w:rPr>
                <w:rFonts w:cs="Arial"/>
                <w:lang w:eastAsia="zh-CN"/>
              </w:rPr>
              <w:t xml:space="preserve">of </w:t>
            </w:r>
            <w:r w:rsidRPr="00FA0D37">
              <w:rPr>
                <w:rFonts w:eastAsia="MS Mincho"/>
                <w:lang w:eastAsia="sv-SE"/>
              </w:rPr>
              <w:t>the neighbour LTE cell</w:t>
            </w:r>
            <w:r w:rsidR="00F64D3E" w:rsidRPr="00FA0D37">
              <w:rPr>
                <w:rFonts w:eastAsia="MS Mincho"/>
                <w:lang w:eastAsia="sv-SE"/>
              </w:rPr>
              <w:t xml:space="preserve"> for which the other fields within the same </w:t>
            </w:r>
            <w:r w:rsidR="00F64D3E" w:rsidRPr="00FA0D37">
              <w:rPr>
                <w:rFonts w:eastAsia="MS Mincho"/>
                <w:i/>
                <w:iCs/>
                <w:lang w:eastAsia="sv-SE"/>
              </w:rPr>
              <w:t>LTE-NeighCellsCRS-AssistInfo</w:t>
            </w:r>
            <w:r w:rsidR="00F64D3E" w:rsidRPr="00FA0D37">
              <w:rPr>
                <w:rFonts w:eastAsia="MS Mincho"/>
                <w:lang w:eastAsia="sv-SE"/>
              </w:rPr>
              <w:t xml:space="preserve"> apply</w:t>
            </w:r>
            <w:r w:rsidRPr="00FA0D37">
              <w:rPr>
                <w:rFonts w:eastAsia="MS Mincho"/>
                <w:lang w:eastAsia="sv-SE"/>
              </w:rPr>
              <w:t>.</w:t>
            </w:r>
          </w:p>
          <w:p w14:paraId="02C5789A" w14:textId="2131C9DD" w:rsidR="00F64D3E" w:rsidRPr="00FA0D37" w:rsidRDefault="00F64D3E" w:rsidP="00DD246F">
            <w:pPr>
              <w:pStyle w:val="TAL"/>
              <w:rPr>
                <w:rFonts w:eastAsia="MS Mincho"/>
                <w:lang w:eastAsia="sv-SE"/>
              </w:rPr>
            </w:pPr>
            <w:r w:rsidRPr="00FA0D37">
              <w:rPr>
                <w:rFonts w:eastAsia="MS Mincho"/>
                <w:lang w:eastAsia="sv-SE"/>
              </w:rPr>
              <w:t xml:space="preserve">If the IE </w:t>
            </w:r>
            <w:r w:rsidRPr="00FA0D37">
              <w:rPr>
                <w:rFonts w:eastAsia="MS Mincho"/>
                <w:i/>
                <w:iCs/>
                <w:lang w:eastAsia="sv-SE"/>
              </w:rPr>
              <w:t>LTE-NeighCellsCRS-AssistInfoList</w:t>
            </w:r>
            <w:r w:rsidRPr="00FA0D37">
              <w:rPr>
                <w:rFonts w:eastAsia="MS Mincho"/>
                <w:lang w:eastAsia="sv-SE"/>
              </w:rPr>
              <w:t xml:space="preserve"> contains multiple list entries, either this field or </w:t>
            </w:r>
            <w:r w:rsidRPr="00FA0D37">
              <w:rPr>
                <w:rFonts w:eastAsia="MS Mincho"/>
                <w:i/>
                <w:iCs/>
                <w:lang w:eastAsia="sv-SE"/>
              </w:rPr>
              <w:t>neighV-Shift</w:t>
            </w:r>
            <w:r w:rsidRPr="00FA0D37">
              <w:rPr>
                <w:rFonts w:eastAsia="MS Mincho"/>
                <w:lang w:eastAsia="sv-SE"/>
              </w:rPr>
              <w:t xml:space="preserve"> is included in each instance.</w:t>
            </w:r>
          </w:p>
          <w:p w14:paraId="6CB04B1D" w14:textId="50C8FAE7" w:rsidR="00F64D3E" w:rsidRPr="00FA0D37" w:rsidRDefault="00F64D3E" w:rsidP="00DD246F">
            <w:pPr>
              <w:pStyle w:val="TAL"/>
              <w:rPr>
                <w:rFonts w:eastAsia="MS Mincho"/>
                <w:lang w:eastAsia="sv-SE"/>
              </w:rPr>
            </w:pPr>
            <w:r w:rsidRPr="00FA0D37">
              <w:rPr>
                <w:rFonts w:eastAsia="MS Mincho"/>
                <w:lang w:eastAsia="sv-SE"/>
              </w:rPr>
              <w:t xml:space="preserve">If the IE </w:t>
            </w:r>
            <w:r w:rsidRPr="00FA0D37">
              <w:rPr>
                <w:rFonts w:eastAsia="MS Mincho"/>
                <w:i/>
                <w:iCs/>
                <w:lang w:eastAsia="sv-SE"/>
              </w:rPr>
              <w:t>LTE-NeighCellsCRS-AssistInfoList</w:t>
            </w:r>
            <w:r w:rsidRPr="00FA0D37">
              <w:rPr>
                <w:rFonts w:eastAsia="MS Mincho"/>
                <w:lang w:eastAsia="sv-SE"/>
              </w:rPr>
              <w:t xml:space="preserve"> contains multiple list entries, the entry with </w:t>
            </w:r>
            <w:r w:rsidRPr="00FA0D37">
              <w:rPr>
                <w:rFonts w:eastAsia="MS Mincho"/>
                <w:i/>
                <w:iCs/>
                <w:lang w:eastAsia="sv-SE"/>
              </w:rPr>
              <w:t>neighV-Shift</w:t>
            </w:r>
            <w:r w:rsidRPr="00FA0D37">
              <w:rPr>
                <w:rFonts w:eastAsia="MS Mincho"/>
                <w:lang w:eastAsia="sv-SE"/>
              </w:rPr>
              <w:t xml:space="preserve"> is only used for neighbour LTE cells for which </w:t>
            </w:r>
            <w:r w:rsidRPr="00FA0D37">
              <w:rPr>
                <w:rFonts w:eastAsia="MS Mincho"/>
                <w:i/>
                <w:iCs/>
                <w:lang w:eastAsia="sv-SE"/>
              </w:rPr>
              <w:t>neighCellI</w:t>
            </w:r>
            <w:r w:rsidR="00C341EB" w:rsidRPr="00FA0D37">
              <w:rPr>
                <w:rFonts w:eastAsia="MS Mincho"/>
                <w:i/>
                <w:iCs/>
                <w:lang w:eastAsia="sv-SE"/>
              </w:rPr>
              <w:t>d</w:t>
            </w:r>
            <w:r w:rsidRPr="00FA0D37">
              <w:rPr>
                <w:rFonts w:eastAsia="MS Mincho"/>
                <w:lang w:eastAsia="sv-SE"/>
              </w:rPr>
              <w:t xml:space="preserve"> is not provided (i.e. the entry with </w:t>
            </w:r>
            <w:r w:rsidRPr="00FA0D37">
              <w:rPr>
                <w:rFonts w:eastAsia="MS Mincho"/>
                <w:i/>
                <w:iCs/>
                <w:lang w:eastAsia="sv-SE"/>
              </w:rPr>
              <w:t>neighCellI</w:t>
            </w:r>
            <w:r w:rsidR="00C341EB" w:rsidRPr="00FA0D37">
              <w:rPr>
                <w:rFonts w:eastAsia="MS Mincho"/>
                <w:i/>
                <w:iCs/>
                <w:lang w:eastAsia="sv-SE"/>
              </w:rPr>
              <w:t>d</w:t>
            </w:r>
            <w:r w:rsidRPr="00FA0D37">
              <w:rPr>
                <w:rFonts w:eastAsia="MS Mincho"/>
                <w:lang w:eastAsia="sv-SE"/>
              </w:rPr>
              <w:t xml:space="preserve"> takes precedence over the entry with </w:t>
            </w:r>
            <w:r w:rsidRPr="00FA0D37">
              <w:rPr>
                <w:rFonts w:eastAsia="MS Mincho"/>
                <w:i/>
                <w:iCs/>
                <w:lang w:eastAsia="sv-SE"/>
              </w:rPr>
              <w:t>neighV-Shift</w:t>
            </w:r>
            <w:r w:rsidRPr="00FA0D37">
              <w:rPr>
                <w:rFonts w:eastAsia="MS Mincho"/>
                <w:lang w:eastAsia="sv-SE"/>
              </w:rPr>
              <w:t>, if provided).</w:t>
            </w:r>
          </w:p>
          <w:p w14:paraId="48EEE0D9" w14:textId="423E86F5" w:rsidR="00F64D3E" w:rsidRPr="00FA0D37" w:rsidRDefault="00F64D3E" w:rsidP="00F64D3E">
            <w:pPr>
              <w:pStyle w:val="TAL"/>
              <w:rPr>
                <w:rFonts w:eastAsia="MS Mincho"/>
                <w:lang w:eastAsia="sv-SE"/>
              </w:rPr>
            </w:pPr>
            <w:r w:rsidRPr="00FA0D37">
              <w:rPr>
                <w:rFonts w:eastAsia="MS Mincho"/>
                <w:lang w:eastAsia="sv-SE"/>
              </w:rPr>
              <w:t xml:space="preserve">If the </w:t>
            </w:r>
            <w:r w:rsidRPr="00FA0D37">
              <w:rPr>
                <w:rFonts w:cs="Arial"/>
                <w:szCs w:val="18"/>
                <w:lang w:eastAsia="sv-SE"/>
              </w:rPr>
              <w:t xml:space="preserve">IE </w:t>
            </w:r>
            <w:r w:rsidRPr="00FA0D37">
              <w:rPr>
                <w:rFonts w:cs="Arial"/>
                <w:i/>
                <w:iCs/>
                <w:szCs w:val="18"/>
                <w:lang w:eastAsia="sv-SE"/>
              </w:rPr>
              <w:t>LTE-NeighCellsCRS-AssistInfoList</w:t>
            </w:r>
            <w:r w:rsidRPr="00FA0D37">
              <w:rPr>
                <w:rFonts w:cs="Arial"/>
                <w:szCs w:val="18"/>
                <w:lang w:eastAsia="sv-SE"/>
              </w:rPr>
              <w:t xml:space="preserve"> contains one list entry with neither </w:t>
            </w:r>
            <w:r w:rsidRPr="00FA0D37">
              <w:rPr>
                <w:rFonts w:eastAsia="MS Mincho"/>
                <w:lang w:eastAsia="sv-SE"/>
              </w:rPr>
              <w:t xml:space="preserve">this field nor </w:t>
            </w:r>
            <w:r w:rsidRPr="00FA0D37">
              <w:rPr>
                <w:rFonts w:eastAsia="MS Mincho"/>
                <w:i/>
                <w:iCs/>
                <w:lang w:eastAsia="sv-SE"/>
              </w:rPr>
              <w:t>neighV-Shift</w:t>
            </w:r>
            <w:r w:rsidRPr="00FA0D37">
              <w:rPr>
                <w:rFonts w:eastAsia="MS Mincho"/>
                <w:lang w:eastAsia="sv-SE"/>
              </w:rPr>
              <w:t>, the information within the entry applies to all neighbour LTE cells.</w:t>
            </w:r>
          </w:p>
        </w:tc>
      </w:tr>
      <w:tr w:rsidR="005C7FF4" w:rsidRPr="00FA0D37"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FA0D37" w:rsidRDefault="00551FB2" w:rsidP="00F747EB">
            <w:pPr>
              <w:pStyle w:val="TAL"/>
              <w:rPr>
                <w:rFonts w:eastAsia="MS Mincho"/>
                <w:b/>
                <w:bCs/>
                <w:i/>
                <w:iCs/>
                <w:lang w:eastAsia="sv-SE"/>
              </w:rPr>
            </w:pPr>
            <w:r w:rsidRPr="00FA0D37">
              <w:rPr>
                <w:rFonts w:eastAsia="MS Mincho"/>
                <w:b/>
                <w:bCs/>
                <w:i/>
                <w:iCs/>
                <w:lang w:eastAsia="sv-SE"/>
              </w:rPr>
              <w:t>neighCRS-muting</w:t>
            </w:r>
          </w:p>
          <w:p w14:paraId="611DED9F" w14:textId="77777777" w:rsidR="00551FB2" w:rsidRPr="00FA0D37" w:rsidRDefault="00551FB2" w:rsidP="00F747EB">
            <w:pPr>
              <w:pStyle w:val="TAL"/>
              <w:rPr>
                <w:rFonts w:eastAsia="MS Mincho"/>
                <w:lang w:eastAsia="sv-SE"/>
              </w:rPr>
            </w:pPr>
            <w:r w:rsidRPr="00FA0D37">
              <w:rPr>
                <w:rFonts w:cs="Arial"/>
                <w:lang w:eastAsia="zh-CN"/>
              </w:rPr>
              <w:t xml:space="preserve">Indicates whether the CRS interference mitigation is enabled in </w:t>
            </w:r>
            <w:r w:rsidRPr="00FA0D37">
              <w:rPr>
                <w:rFonts w:eastAsia="MS Mincho"/>
                <w:lang w:eastAsia="sv-SE"/>
              </w:rPr>
              <w:t>the neighbour LTE cell, as specified in TS 36.133 [40], clause 3.6.1.1.</w:t>
            </w:r>
          </w:p>
        </w:tc>
      </w:tr>
      <w:tr w:rsidR="005C7FF4" w:rsidRPr="00FA0D37"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FA0D37" w:rsidRDefault="00551FB2" w:rsidP="00F747EB">
            <w:pPr>
              <w:pStyle w:val="TAL"/>
              <w:rPr>
                <w:rFonts w:eastAsia="MS Mincho"/>
                <w:b/>
                <w:bCs/>
                <w:i/>
                <w:iCs/>
                <w:lang w:eastAsia="sv-SE"/>
              </w:rPr>
            </w:pPr>
            <w:r w:rsidRPr="00FA0D37">
              <w:rPr>
                <w:rFonts w:eastAsia="MS Mincho"/>
                <w:b/>
                <w:bCs/>
                <w:i/>
                <w:iCs/>
                <w:lang w:eastAsia="sv-SE"/>
              </w:rPr>
              <w:t>neighMBSFN-SubframeConfigList</w:t>
            </w:r>
          </w:p>
          <w:p w14:paraId="3F0F1B0E" w14:textId="77777777" w:rsidR="00551FB2" w:rsidRPr="00FA0D37" w:rsidRDefault="00551FB2" w:rsidP="00F747EB">
            <w:pPr>
              <w:pStyle w:val="TAL"/>
              <w:rPr>
                <w:rFonts w:eastAsia="MS Mincho"/>
                <w:lang w:eastAsia="sv-SE"/>
              </w:rPr>
            </w:pPr>
            <w:r w:rsidRPr="00FA0D37">
              <w:rPr>
                <w:rFonts w:eastAsia="MS Mincho"/>
                <w:lang w:eastAsia="sv-SE"/>
              </w:rPr>
              <w:t xml:space="preserve">Indicates the MBSFN subframe configuration of the neighbour LTE cell. </w:t>
            </w:r>
            <w:r w:rsidRPr="00FA0D37">
              <w:rPr>
                <w:lang w:eastAsia="sv-SE"/>
              </w:rPr>
              <w:t xml:space="preserve">If </w:t>
            </w:r>
            <w:r w:rsidRPr="00FA0D37">
              <w:rPr>
                <w:rFonts w:eastAsia="MS Mincho"/>
                <w:i/>
                <w:iCs/>
                <w:lang w:eastAsia="sv-SE"/>
              </w:rPr>
              <w:t>RateMatchPatternLTE-CRS</w:t>
            </w:r>
            <w:r w:rsidRPr="00FA0D37">
              <w:rPr>
                <w:rFonts w:eastAsia="MS Mincho"/>
                <w:lang w:eastAsia="sv-SE"/>
              </w:rPr>
              <w:t xml:space="preserve"> is configured for this serving cell and the field is absent, the UE applies the value of </w:t>
            </w:r>
            <w:r w:rsidRPr="00FA0D37">
              <w:rPr>
                <w:rFonts w:eastAsia="MS Mincho"/>
                <w:i/>
                <w:iCs/>
                <w:lang w:eastAsia="sv-SE"/>
              </w:rPr>
              <w:t>mbsfn-SubframeConfigList</w:t>
            </w:r>
            <w:r w:rsidRPr="00FA0D37">
              <w:rPr>
                <w:rFonts w:eastAsia="MS Mincho"/>
                <w:lang w:eastAsia="sv-SE"/>
              </w:rPr>
              <w:t xml:space="preserve"> indicated in </w:t>
            </w:r>
            <w:r w:rsidRPr="00FA0D37">
              <w:rPr>
                <w:rFonts w:eastAsia="MS Mincho"/>
                <w:i/>
                <w:iCs/>
                <w:lang w:eastAsia="sv-SE"/>
              </w:rPr>
              <w:t>RateMatchPatternLTE-CRS</w:t>
            </w:r>
            <w:r w:rsidRPr="00FA0D37">
              <w:rPr>
                <w:rFonts w:eastAsia="MS Mincho"/>
                <w:lang w:eastAsia="sv-SE"/>
              </w:rPr>
              <w:t xml:space="preserve"> for this serving cell if configured; otherwise,</w:t>
            </w:r>
            <w:r w:rsidRPr="00FA0D37">
              <w:rPr>
                <w:lang w:eastAsia="sv-SE"/>
              </w:rPr>
              <w:t xml:space="preserve"> </w:t>
            </w:r>
            <w:r w:rsidRPr="00FA0D37">
              <w:rPr>
                <w:rFonts w:eastAsia="MS Mincho"/>
                <w:lang w:eastAsia="sv-SE"/>
              </w:rPr>
              <w:t>if the field is absent, the UE assumes MBSFN is not configured in the neighbour LTE cell.</w:t>
            </w:r>
          </w:p>
        </w:tc>
      </w:tr>
      <w:tr w:rsidR="005C7FF4" w:rsidRPr="00FA0D37"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FA0D37" w:rsidRDefault="00551FB2" w:rsidP="00F747EB">
            <w:pPr>
              <w:pStyle w:val="TAL"/>
              <w:rPr>
                <w:rFonts w:eastAsia="MS Mincho"/>
                <w:b/>
                <w:bCs/>
                <w:i/>
                <w:iCs/>
                <w:lang w:eastAsia="sv-SE"/>
              </w:rPr>
            </w:pPr>
            <w:r w:rsidRPr="00FA0D37">
              <w:rPr>
                <w:rFonts w:eastAsia="MS Mincho"/>
                <w:b/>
                <w:bCs/>
                <w:i/>
                <w:iCs/>
                <w:lang w:eastAsia="sv-SE"/>
              </w:rPr>
              <w:t>neighNrofCRS-Ports</w:t>
            </w:r>
          </w:p>
          <w:p w14:paraId="2D4F2E2A" w14:textId="77777777" w:rsidR="00551FB2" w:rsidRPr="00FA0D37" w:rsidRDefault="00551FB2" w:rsidP="00F747EB">
            <w:pPr>
              <w:pStyle w:val="TAL"/>
              <w:rPr>
                <w:rFonts w:eastAsia="MS Mincho"/>
                <w:lang w:eastAsia="sv-SE"/>
              </w:rPr>
            </w:pPr>
            <w:r w:rsidRPr="00FA0D37">
              <w:rPr>
                <w:rFonts w:eastAsia="MS Mincho"/>
                <w:lang w:eastAsia="sv-SE"/>
              </w:rPr>
              <w:t xml:space="preserve">Indicates the CRS antenna ports number of the neighbour LTE cell. If the field is absent, the UE applies the value of </w:t>
            </w:r>
            <w:r w:rsidRPr="00FA0D37">
              <w:rPr>
                <w:i/>
                <w:iCs/>
              </w:rPr>
              <w:t>nrofCRS-Ports</w:t>
            </w:r>
            <w:r w:rsidRPr="00FA0D37">
              <w:rPr>
                <w:rFonts w:eastAsia="MS Mincho"/>
                <w:lang w:eastAsia="sv-SE"/>
              </w:rPr>
              <w:t xml:space="preserve"> indicated in </w:t>
            </w:r>
            <w:r w:rsidRPr="00FA0D37">
              <w:rPr>
                <w:rFonts w:eastAsia="MS Mincho"/>
                <w:i/>
                <w:iCs/>
                <w:lang w:eastAsia="sv-SE"/>
              </w:rPr>
              <w:t>RateMatchPatternLTE-CRS</w:t>
            </w:r>
            <w:r w:rsidRPr="00FA0D37">
              <w:rPr>
                <w:rFonts w:eastAsia="MS Mincho"/>
                <w:lang w:eastAsia="sv-SE"/>
              </w:rPr>
              <w:t xml:space="preserve"> for this serving cell, if configured. </w:t>
            </w:r>
            <w:r w:rsidRPr="00FA0D37">
              <w:rPr>
                <w:lang w:eastAsia="sv-SE"/>
              </w:rPr>
              <w:t xml:space="preserve">If </w:t>
            </w:r>
            <w:r w:rsidRPr="00FA0D37">
              <w:rPr>
                <w:rFonts w:eastAsia="MS Mincho"/>
                <w:i/>
                <w:iCs/>
                <w:lang w:eastAsia="sv-SE"/>
              </w:rPr>
              <w:t>RateMatchPatternLTE-CRS</w:t>
            </w:r>
            <w:r w:rsidRPr="00FA0D37">
              <w:rPr>
                <w:rFonts w:eastAsia="MS Mincho"/>
                <w:lang w:eastAsia="sv-SE"/>
              </w:rPr>
              <w:t xml:space="preserve"> is not configured for this serving cell and the field is absent, the UE applies the default value n4.</w:t>
            </w:r>
          </w:p>
        </w:tc>
      </w:tr>
      <w:tr w:rsidR="00551FB2" w:rsidRPr="00FA0D37"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FA0D37" w:rsidRDefault="00551FB2" w:rsidP="00F747EB">
            <w:pPr>
              <w:pStyle w:val="TAL"/>
              <w:rPr>
                <w:rFonts w:eastAsia="MS Mincho"/>
                <w:b/>
                <w:bCs/>
                <w:i/>
                <w:iCs/>
                <w:lang w:eastAsia="sv-SE"/>
              </w:rPr>
            </w:pPr>
            <w:r w:rsidRPr="00FA0D37">
              <w:rPr>
                <w:rFonts w:eastAsia="MS Mincho"/>
                <w:b/>
                <w:bCs/>
                <w:i/>
                <w:iCs/>
                <w:lang w:eastAsia="sv-SE"/>
              </w:rPr>
              <w:t>neighV-Shift</w:t>
            </w:r>
          </w:p>
          <w:p w14:paraId="1761F141" w14:textId="5AE0AF9D" w:rsidR="00551FB2" w:rsidRPr="00FA0D37" w:rsidRDefault="00551FB2" w:rsidP="00F747EB">
            <w:pPr>
              <w:pStyle w:val="TAL"/>
              <w:rPr>
                <w:rFonts w:eastAsia="MS Mincho"/>
                <w:lang w:eastAsia="sv-SE"/>
              </w:rPr>
            </w:pPr>
            <w:r w:rsidRPr="00FA0D37">
              <w:rPr>
                <w:rFonts w:eastAsia="MS Mincho"/>
                <w:lang w:eastAsia="sv-SE"/>
              </w:rPr>
              <w:t>Indicates the shifting value v-shift of neighbour LTE cell</w:t>
            </w:r>
            <w:r w:rsidR="00F64D3E" w:rsidRPr="00FA0D37">
              <w:rPr>
                <w:rFonts w:eastAsia="MS Mincho"/>
                <w:lang w:eastAsia="sv-SE"/>
              </w:rPr>
              <w:t xml:space="preserve">s for which the other fields within the same </w:t>
            </w:r>
            <w:r w:rsidR="00F64D3E" w:rsidRPr="00FA0D37">
              <w:rPr>
                <w:rFonts w:eastAsia="MS Mincho"/>
                <w:i/>
                <w:iCs/>
                <w:lang w:eastAsia="sv-SE"/>
              </w:rPr>
              <w:t>LTE-NeighCellsCRS-AssistInfo</w:t>
            </w:r>
            <w:r w:rsidR="00F64D3E" w:rsidRPr="00FA0D37">
              <w:rPr>
                <w:rFonts w:eastAsia="MS Mincho"/>
                <w:lang w:eastAsia="sv-SE"/>
              </w:rPr>
              <w:t xml:space="preserve"> apply</w:t>
            </w:r>
            <w:r w:rsidRPr="00FA0D37">
              <w:rPr>
                <w:rFonts w:eastAsia="MS Mincho"/>
                <w:lang w:eastAsia="sv-SE"/>
              </w:rPr>
              <w:t>.</w:t>
            </w:r>
          </w:p>
        </w:tc>
      </w:tr>
    </w:tbl>
    <w:p w14:paraId="4054EF97" w14:textId="77777777" w:rsidR="00551FB2" w:rsidRPr="00FA0D37"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FA0D37" w:rsidRDefault="00551FB2" w:rsidP="00771058">
            <w:pPr>
              <w:pStyle w:val="TAH"/>
              <w:rPr>
                <w:szCs w:val="22"/>
              </w:rPr>
            </w:pPr>
            <w:r w:rsidRPr="00FA0D37">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FA0D37" w:rsidRDefault="00551FB2" w:rsidP="00771058">
            <w:pPr>
              <w:pStyle w:val="TAH"/>
              <w:rPr>
                <w:szCs w:val="22"/>
              </w:rPr>
            </w:pPr>
            <w:r w:rsidRPr="00FA0D37">
              <w:rPr>
                <w:szCs w:val="22"/>
              </w:rPr>
              <w:t>Explanation</w:t>
            </w:r>
          </w:p>
        </w:tc>
      </w:tr>
      <w:tr w:rsidR="005C7FF4" w:rsidRPr="00FA0D37"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FA0D37" w:rsidRDefault="00551FB2" w:rsidP="00F747EB">
            <w:pPr>
              <w:pStyle w:val="TAL"/>
              <w:rPr>
                <w:i/>
                <w:iCs/>
                <w:lang w:eastAsia="sv-SE"/>
              </w:rPr>
            </w:pPr>
            <w:r w:rsidRPr="00FA0D37">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FA0D37" w:rsidRDefault="00551FB2" w:rsidP="00F747EB">
            <w:pPr>
              <w:pStyle w:val="TAL"/>
              <w:rPr>
                <w:rFonts w:eastAsia="MS Mincho"/>
                <w:lang w:eastAsia="sv-SE"/>
              </w:rPr>
            </w:pPr>
            <w:r w:rsidRPr="00FA0D37">
              <w:rPr>
                <w:lang w:eastAsia="sv-SE"/>
              </w:rPr>
              <w:t xml:space="preserve">For the serving cell with 15kHz SCS, this field is mandatory present for the UE supporting the capability of </w:t>
            </w:r>
            <w:r w:rsidR="003A2D9D" w:rsidRPr="00FA0D37">
              <w:rPr>
                <w:i/>
                <w:iCs/>
                <w:lang w:eastAsia="sv-SE"/>
              </w:rPr>
              <w:t>crs</w:t>
            </w:r>
            <w:r w:rsidRPr="00FA0D37">
              <w:rPr>
                <w:i/>
                <w:iCs/>
                <w:lang w:eastAsia="sv-SE"/>
              </w:rPr>
              <w:t>-IM-nonDSS-NWA-15kHzSCS-r17</w:t>
            </w:r>
            <w:r w:rsidRPr="00FA0D37">
              <w:rPr>
                <w:lang w:eastAsia="sv-SE"/>
              </w:rPr>
              <w:t xml:space="preserve">, but not supporting </w:t>
            </w:r>
            <w:r w:rsidR="003A2D9D" w:rsidRPr="00FA0D37">
              <w:rPr>
                <w:i/>
                <w:iCs/>
                <w:lang w:eastAsia="sv-SE"/>
              </w:rPr>
              <w:t>crs</w:t>
            </w:r>
            <w:r w:rsidRPr="00FA0D37">
              <w:rPr>
                <w:i/>
                <w:iCs/>
                <w:lang w:eastAsia="sv-SE"/>
              </w:rPr>
              <w:t>-IM-nonDSS-15kHzSCS-r17</w:t>
            </w:r>
            <w:r w:rsidRPr="00FA0D37">
              <w:rPr>
                <w:lang w:eastAsia="sv-SE"/>
              </w:rPr>
              <w:t xml:space="preserve">, if </w:t>
            </w:r>
            <w:r w:rsidRPr="00FA0D37">
              <w:rPr>
                <w:rFonts w:eastAsia="MS Mincho"/>
                <w:i/>
                <w:iCs/>
                <w:lang w:eastAsia="sv-SE"/>
              </w:rPr>
              <w:t>RateMatchPatternLTE-CRS</w:t>
            </w:r>
            <w:r w:rsidRPr="00FA0D37">
              <w:rPr>
                <w:rFonts w:eastAsia="MS Mincho"/>
                <w:lang w:eastAsia="sv-SE"/>
              </w:rPr>
              <w:t xml:space="preserve"> is not configured for this serving cell</w:t>
            </w:r>
            <w:r w:rsidRPr="00FA0D37">
              <w:rPr>
                <w:lang w:eastAsia="sv-SE"/>
              </w:rPr>
              <w:t xml:space="preserve">. Otherwise it is optionally present, Need S if </w:t>
            </w:r>
            <w:r w:rsidRPr="00FA0D37">
              <w:rPr>
                <w:rFonts w:eastAsia="MS Mincho"/>
                <w:i/>
                <w:iCs/>
                <w:lang w:eastAsia="sv-SE"/>
              </w:rPr>
              <w:t>RateMatchPatternLTE-CRS</w:t>
            </w:r>
            <w:r w:rsidRPr="00FA0D37">
              <w:rPr>
                <w:rFonts w:eastAsia="MS Mincho"/>
                <w:lang w:eastAsia="sv-SE"/>
              </w:rPr>
              <w:t xml:space="preserve"> is configured for this serving cell; Need M otherwise.</w:t>
            </w:r>
          </w:p>
          <w:p w14:paraId="3F7C1299" w14:textId="78E96406" w:rsidR="00551FB2" w:rsidRPr="00FA0D37" w:rsidRDefault="00551FB2" w:rsidP="00F747EB">
            <w:pPr>
              <w:pStyle w:val="TAL"/>
              <w:rPr>
                <w:rFonts w:eastAsia="MS Mincho"/>
                <w:lang w:eastAsia="sv-SE"/>
              </w:rPr>
            </w:pPr>
            <w:r w:rsidRPr="00FA0D37">
              <w:rPr>
                <w:rFonts w:eastAsia="MS Mincho"/>
                <w:lang w:eastAsia="sv-SE"/>
              </w:rPr>
              <w:t xml:space="preserve">For the serving cell with 30kHz SCS, </w:t>
            </w:r>
            <w:r w:rsidRPr="00FA0D37">
              <w:rPr>
                <w:lang w:eastAsia="sv-SE"/>
              </w:rPr>
              <w:t xml:space="preserve">this field is mandatory present for the UE supporting the capability of </w:t>
            </w:r>
            <w:r w:rsidR="003A2D9D" w:rsidRPr="00FA0D37">
              <w:rPr>
                <w:i/>
                <w:iCs/>
                <w:lang w:eastAsia="sv-SE"/>
              </w:rPr>
              <w:t>crs</w:t>
            </w:r>
            <w:r w:rsidRPr="00FA0D37">
              <w:rPr>
                <w:i/>
                <w:iCs/>
                <w:lang w:eastAsia="sv-SE"/>
              </w:rPr>
              <w:t>-IM-nonDSS-NWA-30kHzSCS-r17</w:t>
            </w:r>
            <w:r w:rsidRPr="00FA0D37">
              <w:rPr>
                <w:lang w:eastAsia="sv-SE"/>
              </w:rPr>
              <w:t xml:space="preserve">, but not supporting </w:t>
            </w:r>
            <w:r w:rsidR="003A2D9D" w:rsidRPr="00FA0D37">
              <w:rPr>
                <w:i/>
                <w:iCs/>
                <w:lang w:eastAsia="sv-SE"/>
              </w:rPr>
              <w:t>crs</w:t>
            </w:r>
            <w:r w:rsidRPr="00FA0D37">
              <w:rPr>
                <w:i/>
                <w:iCs/>
                <w:lang w:eastAsia="sv-SE"/>
              </w:rPr>
              <w:t>-IM-nonDSS-30kHzSCS-r17</w:t>
            </w:r>
            <w:r w:rsidRPr="00FA0D37">
              <w:rPr>
                <w:lang w:eastAsia="sv-SE"/>
              </w:rPr>
              <w:t xml:space="preserve">, if </w:t>
            </w:r>
            <w:r w:rsidRPr="00FA0D37">
              <w:rPr>
                <w:rFonts w:eastAsia="MS Mincho"/>
                <w:i/>
                <w:iCs/>
                <w:lang w:eastAsia="sv-SE"/>
              </w:rPr>
              <w:t>RateMatchPatternLTE-CRS</w:t>
            </w:r>
            <w:r w:rsidRPr="00FA0D37">
              <w:rPr>
                <w:rFonts w:eastAsia="MS Mincho"/>
                <w:lang w:eastAsia="sv-SE"/>
              </w:rPr>
              <w:t xml:space="preserve"> is not configured for this serving cell</w:t>
            </w:r>
            <w:r w:rsidRPr="00FA0D37">
              <w:rPr>
                <w:lang w:eastAsia="sv-SE"/>
              </w:rPr>
              <w:t xml:space="preserve">. Otherwise it is optionally present, Need S if </w:t>
            </w:r>
            <w:r w:rsidRPr="00FA0D37">
              <w:rPr>
                <w:rFonts w:eastAsia="MS Mincho"/>
                <w:i/>
                <w:iCs/>
                <w:lang w:eastAsia="sv-SE"/>
              </w:rPr>
              <w:t>RateMatchPatternLTE-CRS</w:t>
            </w:r>
            <w:r w:rsidRPr="00FA0D37">
              <w:rPr>
                <w:rFonts w:eastAsia="MS Mincho"/>
                <w:lang w:eastAsia="sv-SE"/>
              </w:rPr>
              <w:t xml:space="preserve"> is configured for this serving cell; Need M otherwise.</w:t>
            </w:r>
          </w:p>
        </w:tc>
      </w:tr>
      <w:tr w:rsidR="00F747EB" w:rsidRPr="00FA0D37"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FA0D37" w:rsidRDefault="00551FB2" w:rsidP="00F747EB">
            <w:pPr>
              <w:pStyle w:val="TAL"/>
              <w:rPr>
                <w:i/>
                <w:iCs/>
                <w:lang w:eastAsia="zh-CN"/>
              </w:rPr>
            </w:pPr>
            <w:r w:rsidRPr="00FA0D37">
              <w:rPr>
                <w:i/>
                <w:iCs/>
                <w:lang w:eastAsia="zh-CN"/>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FA0D37" w:rsidRDefault="00551FB2" w:rsidP="00F747EB">
            <w:pPr>
              <w:pStyle w:val="TAL"/>
              <w:rPr>
                <w:lang w:eastAsia="sv-SE"/>
              </w:rPr>
            </w:pPr>
            <w:r w:rsidRPr="00FA0D37">
              <w:rPr>
                <w:rFonts w:eastAsia="MS Mincho"/>
                <w:lang w:eastAsia="sv-SE"/>
              </w:rPr>
              <w:t xml:space="preserve">If the field </w:t>
            </w:r>
            <w:r w:rsidRPr="00FA0D37">
              <w:rPr>
                <w:rFonts w:eastAsia="MS Mincho"/>
                <w:i/>
                <w:iCs/>
                <w:lang w:eastAsia="sv-SE"/>
              </w:rPr>
              <w:t>neighCellId</w:t>
            </w:r>
            <w:r w:rsidRPr="00FA0D37">
              <w:rPr>
                <w:rFonts w:eastAsia="MS Mincho"/>
                <w:lang w:eastAsia="sv-SE"/>
              </w:rPr>
              <w:t xml:space="preserve"> is present, this field shall be absent; otherwise,</w:t>
            </w:r>
            <w:r w:rsidRPr="00FA0D37">
              <w:rPr>
                <w:lang w:eastAsia="sv-SE"/>
              </w:rPr>
              <w:t xml:space="preserve"> it is optionally present</w:t>
            </w:r>
            <w:r w:rsidR="00F64D3E" w:rsidRPr="00FA0D37">
              <w:rPr>
                <w:lang w:eastAsia="sv-SE"/>
              </w:rPr>
              <w:t xml:space="preserve"> if </w:t>
            </w:r>
            <w:r w:rsidR="00F64D3E" w:rsidRPr="00FA0D37">
              <w:rPr>
                <w:rFonts w:eastAsia="MS Mincho"/>
                <w:lang w:eastAsia="sv-SE"/>
              </w:rPr>
              <w:t xml:space="preserve">the </w:t>
            </w:r>
            <w:r w:rsidR="00F64D3E" w:rsidRPr="00FA0D37">
              <w:rPr>
                <w:rFonts w:cs="Arial"/>
                <w:szCs w:val="18"/>
                <w:lang w:eastAsia="sv-SE"/>
              </w:rPr>
              <w:t xml:space="preserve">IE </w:t>
            </w:r>
            <w:r w:rsidR="00F64D3E" w:rsidRPr="00FA0D37">
              <w:rPr>
                <w:rFonts w:cs="Arial"/>
                <w:i/>
                <w:iCs/>
                <w:szCs w:val="18"/>
                <w:lang w:eastAsia="sv-SE"/>
              </w:rPr>
              <w:t>LTE-NeighCellsCRS-AssistInfoList</w:t>
            </w:r>
            <w:r w:rsidR="00F64D3E" w:rsidRPr="00FA0D37">
              <w:rPr>
                <w:rFonts w:cs="Arial"/>
                <w:szCs w:val="18"/>
                <w:lang w:eastAsia="sv-SE"/>
              </w:rPr>
              <w:t xml:space="preserve"> contains one list entry</w:t>
            </w:r>
            <w:r w:rsidRPr="00FA0D37">
              <w:rPr>
                <w:lang w:eastAsia="sv-SE"/>
              </w:rPr>
              <w:t>,</w:t>
            </w:r>
            <w:r w:rsidRPr="00FA0D37">
              <w:rPr>
                <w:rFonts w:eastAsia="MS Mincho"/>
                <w:lang w:eastAsia="sv-SE"/>
              </w:rPr>
              <w:t xml:space="preserve"> Need </w:t>
            </w:r>
            <w:r w:rsidR="00F64D3E" w:rsidRPr="00FA0D37">
              <w:rPr>
                <w:rFonts w:eastAsia="MS Mincho"/>
                <w:lang w:eastAsia="sv-SE"/>
              </w:rPr>
              <w:t xml:space="preserve">S, or </w:t>
            </w:r>
            <w:r w:rsidR="00F64D3E" w:rsidRPr="00FA0D37">
              <w:rPr>
                <w:rFonts w:cs="Arial"/>
                <w:szCs w:val="18"/>
                <w:lang w:eastAsia="sv-SE"/>
              </w:rPr>
              <w:t xml:space="preserve">it is mandatory present if </w:t>
            </w:r>
            <w:r w:rsidR="00F64D3E" w:rsidRPr="00FA0D37">
              <w:rPr>
                <w:rFonts w:eastAsia="MS Mincho"/>
                <w:lang w:eastAsia="sv-SE"/>
              </w:rPr>
              <w:t xml:space="preserve">the IE </w:t>
            </w:r>
            <w:r w:rsidR="00F64D3E" w:rsidRPr="00FA0D37">
              <w:rPr>
                <w:rFonts w:eastAsia="MS Mincho"/>
                <w:i/>
                <w:iCs/>
                <w:lang w:eastAsia="sv-SE"/>
              </w:rPr>
              <w:t>LTE-NeighCellsCRS-AssistInfoList</w:t>
            </w:r>
            <w:r w:rsidR="00F64D3E" w:rsidRPr="00FA0D37">
              <w:rPr>
                <w:rFonts w:eastAsia="MS Mincho"/>
                <w:lang w:eastAsia="sv-SE"/>
              </w:rPr>
              <w:t xml:space="preserve"> contains multiple list entries</w:t>
            </w:r>
            <w:r w:rsidRPr="00FA0D37">
              <w:rPr>
                <w:rFonts w:eastAsia="MS Mincho"/>
                <w:lang w:eastAsia="sv-SE"/>
              </w:rPr>
              <w:t>.</w:t>
            </w:r>
          </w:p>
        </w:tc>
      </w:tr>
    </w:tbl>
    <w:p w14:paraId="26B0923E" w14:textId="77777777" w:rsidR="00551FB2" w:rsidRPr="00FA0D37" w:rsidRDefault="00551FB2" w:rsidP="00551FB2"/>
    <w:p w14:paraId="38907910" w14:textId="77777777" w:rsidR="00394471" w:rsidRPr="00FA0D37" w:rsidRDefault="00394471" w:rsidP="00394471">
      <w:pPr>
        <w:pStyle w:val="4"/>
        <w:rPr>
          <w:rFonts w:eastAsia="宋体"/>
        </w:rPr>
      </w:pPr>
      <w:bookmarkStart w:id="1070" w:name="_Toc60777251"/>
      <w:bookmarkStart w:id="1071" w:name="_Toc146781310"/>
      <w:r w:rsidRPr="00FA0D37">
        <w:rPr>
          <w:rFonts w:eastAsia="宋体"/>
        </w:rPr>
        <w:t>–</w:t>
      </w:r>
      <w:r w:rsidRPr="00FA0D37">
        <w:rPr>
          <w:rFonts w:eastAsia="宋体"/>
        </w:rPr>
        <w:tab/>
      </w:r>
      <w:r w:rsidRPr="00FA0D37">
        <w:rPr>
          <w:i/>
        </w:rPr>
        <w:t>MAC-CellGroupConfig</w:t>
      </w:r>
      <w:bookmarkEnd w:id="1070"/>
      <w:bookmarkEnd w:id="1071"/>
    </w:p>
    <w:p w14:paraId="1981213F" w14:textId="77777777" w:rsidR="00394471" w:rsidRPr="00FA0D37" w:rsidRDefault="00394471" w:rsidP="00394471">
      <w:pPr>
        <w:rPr>
          <w:rFonts w:eastAsia="宋体"/>
          <w:lang w:eastAsia="zh-CN"/>
        </w:rPr>
      </w:pPr>
      <w:r w:rsidRPr="00FA0D37">
        <w:rPr>
          <w:rFonts w:eastAsia="宋体"/>
          <w:lang w:eastAsia="zh-CN"/>
        </w:rPr>
        <w:t xml:space="preserve">The IE </w:t>
      </w:r>
      <w:r w:rsidRPr="00FA0D37">
        <w:rPr>
          <w:i/>
        </w:rPr>
        <w:t>MAC-CellGroupConfig</w:t>
      </w:r>
      <w:r w:rsidRPr="00FA0D37">
        <w:rPr>
          <w:rFonts w:eastAsia="宋体"/>
          <w:lang w:eastAsia="zh-CN"/>
        </w:rPr>
        <w:t xml:space="preserve"> is used to configure MAC parameters for a cell group, including DRX.</w:t>
      </w:r>
    </w:p>
    <w:p w14:paraId="09E53DD7" w14:textId="77777777" w:rsidR="00394471" w:rsidRPr="00FA0D37" w:rsidRDefault="00394471" w:rsidP="00394471">
      <w:pPr>
        <w:pStyle w:val="TH"/>
        <w:rPr>
          <w:rFonts w:eastAsia="宋体"/>
          <w:lang w:eastAsia="zh-CN"/>
        </w:rPr>
      </w:pPr>
      <w:r w:rsidRPr="00FA0D37">
        <w:rPr>
          <w:i/>
        </w:rPr>
        <w:lastRenderedPageBreak/>
        <w:t>MAC-CellGroupConfig</w:t>
      </w:r>
      <w:r w:rsidRPr="00FA0D37">
        <w:t xml:space="preserve"> information element</w:t>
      </w:r>
    </w:p>
    <w:p w14:paraId="3A820D50" w14:textId="77777777" w:rsidR="00394471" w:rsidRPr="00FA0D37" w:rsidRDefault="00394471" w:rsidP="00FA0D37">
      <w:pPr>
        <w:pStyle w:val="PL"/>
        <w:rPr>
          <w:color w:val="808080"/>
        </w:rPr>
      </w:pPr>
      <w:r w:rsidRPr="00FA0D37">
        <w:rPr>
          <w:color w:val="808080"/>
        </w:rPr>
        <w:t>-- ASN1START</w:t>
      </w:r>
    </w:p>
    <w:p w14:paraId="2A459659" w14:textId="77777777" w:rsidR="00394471" w:rsidRPr="00FA0D37" w:rsidRDefault="00394471" w:rsidP="00FA0D37">
      <w:pPr>
        <w:pStyle w:val="PL"/>
        <w:rPr>
          <w:color w:val="808080"/>
        </w:rPr>
      </w:pPr>
      <w:r w:rsidRPr="00FA0D37">
        <w:rPr>
          <w:color w:val="808080"/>
        </w:rPr>
        <w:t>-- TAG-MAC-CELLGROUPCONFIG-START</w:t>
      </w:r>
    </w:p>
    <w:p w14:paraId="4AA59778" w14:textId="77777777" w:rsidR="00394471" w:rsidRPr="00FA0D37" w:rsidRDefault="00394471" w:rsidP="00FA0D37">
      <w:pPr>
        <w:pStyle w:val="PL"/>
      </w:pPr>
    </w:p>
    <w:p w14:paraId="4DB0A6D7" w14:textId="77777777" w:rsidR="00394471" w:rsidRPr="00FA0D37" w:rsidRDefault="00394471" w:rsidP="00FA0D37">
      <w:pPr>
        <w:pStyle w:val="PL"/>
      </w:pPr>
      <w:r w:rsidRPr="00FA0D37">
        <w:t xml:space="preserve">MAC-CellGroupConfig ::=             </w:t>
      </w:r>
      <w:r w:rsidRPr="00FA0D37">
        <w:rPr>
          <w:color w:val="993366"/>
        </w:rPr>
        <w:t>SEQUENCE</w:t>
      </w:r>
      <w:r w:rsidRPr="00FA0D37">
        <w:t xml:space="preserve"> {</w:t>
      </w:r>
    </w:p>
    <w:p w14:paraId="0CFD748E" w14:textId="77777777" w:rsidR="00394471" w:rsidRPr="00FA0D37" w:rsidRDefault="00394471" w:rsidP="00FA0D37">
      <w:pPr>
        <w:pStyle w:val="PL"/>
        <w:rPr>
          <w:color w:val="808080"/>
        </w:rPr>
      </w:pPr>
      <w:r w:rsidRPr="00FA0D37">
        <w:t xml:space="preserve">    drx-Config                          SetupRelease { DRX-Config }                                     </w:t>
      </w:r>
      <w:r w:rsidRPr="00FA0D37">
        <w:rPr>
          <w:color w:val="993366"/>
        </w:rPr>
        <w:t>OPTIONAL</w:t>
      </w:r>
      <w:r w:rsidRPr="00FA0D37">
        <w:t xml:space="preserve">,   </w:t>
      </w:r>
      <w:r w:rsidRPr="00FA0D37">
        <w:rPr>
          <w:color w:val="808080"/>
        </w:rPr>
        <w:t>-- Need M</w:t>
      </w:r>
    </w:p>
    <w:p w14:paraId="726D1505" w14:textId="77777777" w:rsidR="00394471" w:rsidRPr="00FA0D37" w:rsidRDefault="00394471" w:rsidP="00FA0D37">
      <w:pPr>
        <w:pStyle w:val="PL"/>
        <w:rPr>
          <w:color w:val="808080"/>
        </w:rPr>
      </w:pPr>
      <w:r w:rsidRPr="00FA0D37">
        <w:t xml:space="preserve">    schedulingRequestConfig             SchedulingRequestConfig                                         </w:t>
      </w:r>
      <w:r w:rsidRPr="00FA0D37">
        <w:rPr>
          <w:color w:val="993366"/>
        </w:rPr>
        <w:t>OPTIONAL</w:t>
      </w:r>
      <w:r w:rsidRPr="00FA0D37">
        <w:t xml:space="preserve">,   </w:t>
      </w:r>
      <w:r w:rsidRPr="00FA0D37">
        <w:rPr>
          <w:color w:val="808080"/>
        </w:rPr>
        <w:t>-- Need M</w:t>
      </w:r>
    </w:p>
    <w:p w14:paraId="5DCC4BD0" w14:textId="77777777" w:rsidR="00394471" w:rsidRPr="00FA0D37" w:rsidRDefault="00394471" w:rsidP="00FA0D37">
      <w:pPr>
        <w:pStyle w:val="PL"/>
        <w:rPr>
          <w:color w:val="808080"/>
        </w:rPr>
      </w:pPr>
      <w:r w:rsidRPr="00FA0D37">
        <w:t xml:space="preserve">    bsr-Config                          BSR-Config                                                      </w:t>
      </w:r>
      <w:r w:rsidRPr="00FA0D37">
        <w:rPr>
          <w:color w:val="993366"/>
        </w:rPr>
        <w:t>OPTIONAL</w:t>
      </w:r>
      <w:r w:rsidRPr="00FA0D37">
        <w:t xml:space="preserve">,   </w:t>
      </w:r>
      <w:r w:rsidRPr="00FA0D37">
        <w:rPr>
          <w:color w:val="808080"/>
        </w:rPr>
        <w:t>-- Need M</w:t>
      </w:r>
    </w:p>
    <w:p w14:paraId="01855317" w14:textId="77777777" w:rsidR="00394471" w:rsidRPr="00FA0D37" w:rsidRDefault="00394471" w:rsidP="00FA0D37">
      <w:pPr>
        <w:pStyle w:val="PL"/>
        <w:rPr>
          <w:color w:val="808080"/>
        </w:rPr>
      </w:pPr>
      <w:r w:rsidRPr="00FA0D37">
        <w:t xml:space="preserve">    tag-Config                          TAG-Config                                                      </w:t>
      </w:r>
      <w:r w:rsidRPr="00FA0D37">
        <w:rPr>
          <w:color w:val="993366"/>
        </w:rPr>
        <w:t>OPTIONAL</w:t>
      </w:r>
      <w:r w:rsidRPr="00FA0D37">
        <w:t xml:space="preserve">,   </w:t>
      </w:r>
      <w:r w:rsidRPr="00FA0D37">
        <w:rPr>
          <w:color w:val="808080"/>
        </w:rPr>
        <w:t>-- Need M</w:t>
      </w:r>
    </w:p>
    <w:p w14:paraId="72D15BBD" w14:textId="77777777" w:rsidR="00394471" w:rsidRPr="00FA0D37" w:rsidRDefault="00394471" w:rsidP="00FA0D37">
      <w:pPr>
        <w:pStyle w:val="PL"/>
        <w:rPr>
          <w:color w:val="808080"/>
        </w:rPr>
      </w:pPr>
      <w:r w:rsidRPr="00FA0D37">
        <w:t xml:space="preserve">    phr-Config                          SetupRelease { PHR-Config }                                     </w:t>
      </w:r>
      <w:r w:rsidRPr="00FA0D37">
        <w:rPr>
          <w:color w:val="993366"/>
        </w:rPr>
        <w:t>OPTIONAL</w:t>
      </w:r>
      <w:r w:rsidRPr="00FA0D37">
        <w:t xml:space="preserve">,   </w:t>
      </w:r>
      <w:r w:rsidRPr="00FA0D37">
        <w:rPr>
          <w:color w:val="808080"/>
        </w:rPr>
        <w:t>-- Need M</w:t>
      </w:r>
    </w:p>
    <w:p w14:paraId="64B95F50" w14:textId="77777777" w:rsidR="00394471" w:rsidRPr="00FA0D37" w:rsidRDefault="00394471" w:rsidP="00FA0D37">
      <w:pPr>
        <w:pStyle w:val="PL"/>
      </w:pPr>
      <w:r w:rsidRPr="00FA0D37">
        <w:t xml:space="preserve">    skipUplinkTxDynamic                 </w:t>
      </w:r>
      <w:r w:rsidRPr="00FA0D37">
        <w:rPr>
          <w:color w:val="993366"/>
        </w:rPr>
        <w:t>BOOLEAN</w:t>
      </w:r>
      <w:r w:rsidRPr="00FA0D37">
        <w:t>,</w:t>
      </w:r>
    </w:p>
    <w:p w14:paraId="368A7CF8" w14:textId="77777777" w:rsidR="00394471" w:rsidRPr="00FA0D37" w:rsidRDefault="00394471" w:rsidP="00FA0D37">
      <w:pPr>
        <w:pStyle w:val="PL"/>
      </w:pPr>
      <w:r w:rsidRPr="00FA0D37">
        <w:t xml:space="preserve">    ...,</w:t>
      </w:r>
    </w:p>
    <w:p w14:paraId="79E90810" w14:textId="77777777" w:rsidR="00394471" w:rsidRPr="00FA0D37" w:rsidRDefault="00394471" w:rsidP="00FA0D37">
      <w:pPr>
        <w:pStyle w:val="PL"/>
      </w:pPr>
      <w:r w:rsidRPr="00FA0D37">
        <w:t xml:space="preserve">    [[</w:t>
      </w:r>
    </w:p>
    <w:p w14:paraId="7BE74312" w14:textId="77777777" w:rsidR="00394471" w:rsidRPr="00FA0D37" w:rsidRDefault="00394471" w:rsidP="00FA0D37">
      <w:pPr>
        <w:pStyle w:val="PL"/>
        <w:rPr>
          <w:color w:val="808080"/>
        </w:rPr>
      </w:pPr>
      <w:r w:rsidRPr="00FA0D37">
        <w:t xml:space="preserve">    csi-Mask                            </w:t>
      </w:r>
      <w:r w:rsidRPr="00FA0D37">
        <w:rPr>
          <w:color w:val="993366"/>
        </w:rPr>
        <w:t>BOOLEAN</w:t>
      </w:r>
      <w:r w:rsidRPr="00FA0D37">
        <w:t xml:space="preserve">                                                         </w:t>
      </w:r>
      <w:r w:rsidRPr="00FA0D37">
        <w:rPr>
          <w:color w:val="993366"/>
        </w:rPr>
        <w:t>OPTIONAL</w:t>
      </w:r>
      <w:r w:rsidRPr="00FA0D37">
        <w:t xml:space="preserve">,   </w:t>
      </w:r>
      <w:r w:rsidRPr="00FA0D37">
        <w:rPr>
          <w:color w:val="808080"/>
        </w:rPr>
        <w:t>-- Need M</w:t>
      </w:r>
    </w:p>
    <w:p w14:paraId="72051414" w14:textId="77777777" w:rsidR="00394471" w:rsidRPr="00FA0D37" w:rsidRDefault="00394471" w:rsidP="00FA0D37">
      <w:pPr>
        <w:pStyle w:val="PL"/>
        <w:rPr>
          <w:color w:val="808080"/>
        </w:rPr>
      </w:pPr>
      <w:r w:rsidRPr="00FA0D37">
        <w:t xml:space="preserve">    dataInactivityTimer                 SetupRelease { DataInactivityTimer }                            </w:t>
      </w:r>
      <w:r w:rsidRPr="00FA0D37">
        <w:rPr>
          <w:color w:val="993366"/>
        </w:rPr>
        <w:t>OPTIONAL</w:t>
      </w:r>
      <w:r w:rsidRPr="00FA0D37">
        <w:t xml:space="preserve">    </w:t>
      </w:r>
      <w:r w:rsidRPr="00FA0D37">
        <w:rPr>
          <w:color w:val="808080"/>
        </w:rPr>
        <w:t>-- Cond MCG-Only</w:t>
      </w:r>
    </w:p>
    <w:p w14:paraId="47E03DEC" w14:textId="77777777" w:rsidR="00394471" w:rsidRPr="00FA0D37" w:rsidRDefault="00394471" w:rsidP="00FA0D37">
      <w:pPr>
        <w:pStyle w:val="PL"/>
      </w:pPr>
      <w:r w:rsidRPr="00FA0D37">
        <w:t xml:space="preserve">    ]],</w:t>
      </w:r>
    </w:p>
    <w:p w14:paraId="00B46DEA" w14:textId="77777777" w:rsidR="00394471" w:rsidRPr="00FA0D37" w:rsidRDefault="00394471" w:rsidP="00FA0D37">
      <w:pPr>
        <w:pStyle w:val="PL"/>
      </w:pPr>
      <w:r w:rsidRPr="00FA0D37">
        <w:t xml:space="preserve">    [[</w:t>
      </w:r>
    </w:p>
    <w:p w14:paraId="24E9620E" w14:textId="77777777" w:rsidR="00394471" w:rsidRPr="00FA0D37" w:rsidRDefault="00394471" w:rsidP="00FA0D37">
      <w:pPr>
        <w:pStyle w:val="PL"/>
        <w:rPr>
          <w:color w:val="808080"/>
        </w:rPr>
      </w:pPr>
      <w:r w:rsidRPr="00FA0D37">
        <w:t xml:space="preserve">    usePreBSR-r16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286387D5" w14:textId="77777777" w:rsidR="00394471" w:rsidRPr="00FA0D37" w:rsidRDefault="00394471" w:rsidP="00FA0D37">
      <w:pPr>
        <w:pStyle w:val="PL"/>
        <w:rPr>
          <w:color w:val="808080"/>
        </w:rPr>
      </w:pPr>
      <w:r w:rsidRPr="00FA0D37">
        <w:t xml:space="preserve">    schedulingRequestID-LBT-SCell-r16   SchedulingRequestId                                             </w:t>
      </w:r>
      <w:r w:rsidRPr="00FA0D37">
        <w:rPr>
          <w:color w:val="993366"/>
        </w:rPr>
        <w:t>OPTIONAL</w:t>
      </w:r>
      <w:r w:rsidRPr="00FA0D37">
        <w:t xml:space="preserve">,   </w:t>
      </w:r>
      <w:r w:rsidRPr="00FA0D37">
        <w:rPr>
          <w:color w:val="808080"/>
        </w:rPr>
        <w:t>-- Need R</w:t>
      </w:r>
    </w:p>
    <w:p w14:paraId="0D5EC612" w14:textId="77777777" w:rsidR="00394471" w:rsidRPr="00FA0D37" w:rsidRDefault="00394471" w:rsidP="00FA0D37">
      <w:pPr>
        <w:pStyle w:val="PL"/>
        <w:rPr>
          <w:color w:val="808080"/>
        </w:rPr>
      </w:pPr>
      <w:r w:rsidRPr="00FA0D37">
        <w:t xml:space="preserve">    lch-BasedPrioritization-r16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07E1478B" w14:textId="77777777" w:rsidR="00394471" w:rsidRPr="00FA0D37" w:rsidRDefault="00394471" w:rsidP="00FA0D37">
      <w:pPr>
        <w:pStyle w:val="PL"/>
        <w:rPr>
          <w:color w:val="808080"/>
        </w:rPr>
      </w:pPr>
      <w:r w:rsidRPr="00FA0D37">
        <w:t xml:space="preserve">    schedulingRequestID-BFR-SCell-r16   SchedulingRequestId                                             </w:t>
      </w:r>
      <w:r w:rsidRPr="00FA0D37">
        <w:rPr>
          <w:color w:val="993366"/>
        </w:rPr>
        <w:t>OPTIONAL</w:t>
      </w:r>
      <w:r w:rsidRPr="00FA0D37">
        <w:t xml:space="preserve">,   </w:t>
      </w:r>
      <w:r w:rsidRPr="00FA0D37">
        <w:rPr>
          <w:color w:val="808080"/>
        </w:rPr>
        <w:t>-- Need R</w:t>
      </w:r>
    </w:p>
    <w:p w14:paraId="688254A8" w14:textId="56ADB263" w:rsidR="00394471" w:rsidRPr="00FA0D37" w:rsidRDefault="00394471" w:rsidP="00FA0D37">
      <w:pPr>
        <w:pStyle w:val="PL"/>
        <w:rPr>
          <w:color w:val="808080"/>
        </w:rPr>
      </w:pPr>
      <w:r w:rsidRPr="00FA0D37">
        <w:t xml:space="preserve">    drx-ConfigSecondaryGroup-r16        SetupRelease { DRX-ConfigSecondaryGroup</w:t>
      </w:r>
      <w:r w:rsidR="003A2D9D" w:rsidRPr="00FA0D37">
        <w:t>-r16</w:t>
      </w:r>
      <w:r w:rsidRPr="00FA0D37">
        <w:t xml:space="preserve"> }                   </w:t>
      </w:r>
      <w:r w:rsidRPr="00FA0D37">
        <w:rPr>
          <w:color w:val="993366"/>
        </w:rPr>
        <w:t>OPTIONAL</w:t>
      </w:r>
      <w:r w:rsidRPr="00FA0D37">
        <w:t xml:space="preserve">    </w:t>
      </w:r>
      <w:r w:rsidRPr="00FA0D37">
        <w:rPr>
          <w:color w:val="808080"/>
        </w:rPr>
        <w:t>-- Need M</w:t>
      </w:r>
    </w:p>
    <w:p w14:paraId="6419B82F" w14:textId="3860D4B3" w:rsidR="005E7CB8" w:rsidRPr="00FA0D37" w:rsidRDefault="00394471" w:rsidP="00FA0D37">
      <w:pPr>
        <w:pStyle w:val="PL"/>
      </w:pPr>
      <w:r w:rsidRPr="00FA0D37">
        <w:t xml:space="preserve">    ]]</w:t>
      </w:r>
      <w:r w:rsidR="005E7CB8" w:rsidRPr="00FA0D37">
        <w:t>,</w:t>
      </w:r>
    </w:p>
    <w:p w14:paraId="49BBCDB2" w14:textId="6296164C" w:rsidR="005E7CB8" w:rsidRPr="00FA0D37" w:rsidRDefault="005E7CB8" w:rsidP="00FA0D37">
      <w:pPr>
        <w:pStyle w:val="PL"/>
      </w:pPr>
      <w:r w:rsidRPr="00FA0D37">
        <w:t xml:space="preserve">    [[</w:t>
      </w:r>
    </w:p>
    <w:p w14:paraId="44CF11B6" w14:textId="7FDA5728" w:rsidR="005E7CB8" w:rsidRPr="00FA0D37" w:rsidRDefault="005E7CB8" w:rsidP="00FA0D37">
      <w:pPr>
        <w:pStyle w:val="PL"/>
        <w:rPr>
          <w:color w:val="808080"/>
        </w:rPr>
      </w:pPr>
      <w:r w:rsidRPr="00FA0D37">
        <w:t xml:space="preserve">    enhancedSkipUplinkTxDynamic-r16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6E74A1C" w14:textId="17948966" w:rsidR="005E7CB8" w:rsidRPr="00FA0D37" w:rsidRDefault="005E7CB8" w:rsidP="00FA0D37">
      <w:pPr>
        <w:pStyle w:val="PL"/>
        <w:rPr>
          <w:color w:val="808080"/>
        </w:rPr>
      </w:pPr>
      <w:r w:rsidRPr="00FA0D37">
        <w:t xml:space="preserve">    enhancedSkipUplinkTxConfigured-r16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22E8D784" w14:textId="03F7E241" w:rsidR="00F27D15" w:rsidRPr="00FA0D37" w:rsidRDefault="005E7CB8" w:rsidP="00FA0D37">
      <w:pPr>
        <w:pStyle w:val="PL"/>
      </w:pPr>
      <w:r w:rsidRPr="00FA0D37">
        <w:t xml:space="preserve">    ]]</w:t>
      </w:r>
      <w:r w:rsidR="00F27D15" w:rsidRPr="00FA0D37">
        <w:t>,</w:t>
      </w:r>
    </w:p>
    <w:p w14:paraId="59A0A437" w14:textId="77777777" w:rsidR="00F27D15" w:rsidRPr="00FA0D37" w:rsidRDefault="00F27D15" w:rsidP="00FA0D37">
      <w:pPr>
        <w:pStyle w:val="PL"/>
      </w:pPr>
      <w:r w:rsidRPr="00FA0D37">
        <w:t xml:space="preserve">    [[</w:t>
      </w:r>
    </w:p>
    <w:p w14:paraId="02C8B3D7" w14:textId="5DD9CE11" w:rsidR="00F27D15" w:rsidRPr="00FA0D37" w:rsidRDefault="00F27D15" w:rsidP="00FA0D37">
      <w:pPr>
        <w:pStyle w:val="PL"/>
        <w:rPr>
          <w:color w:val="808080"/>
        </w:rPr>
      </w:pPr>
      <w:r w:rsidRPr="00FA0D37">
        <w:t xml:space="preserve">    intraCG-Prioritization-r17          </w:t>
      </w:r>
      <w:r w:rsidRPr="00FA0D37">
        <w:rPr>
          <w:color w:val="993366"/>
        </w:rPr>
        <w:t>ENUMERATED</w:t>
      </w:r>
      <w:r w:rsidRPr="00FA0D37">
        <w:t xml:space="preserve"> {enabled}                        </w:t>
      </w:r>
      <w:r w:rsidRPr="00FA0D37">
        <w:rPr>
          <w:color w:val="993366"/>
        </w:rPr>
        <w:t>OPTIONAL</w:t>
      </w:r>
      <w:r w:rsidR="00C26E98" w:rsidRPr="00FA0D37">
        <w:t>,</w:t>
      </w:r>
      <w:r w:rsidRPr="00FA0D37">
        <w:t xml:space="preserve">    </w:t>
      </w:r>
      <w:r w:rsidRPr="00FA0D37">
        <w:rPr>
          <w:color w:val="808080"/>
        </w:rPr>
        <w:t>-- Cond LCH-PrioWithReTxTimer</w:t>
      </w:r>
    </w:p>
    <w:p w14:paraId="378D4264" w14:textId="3DBB06B7" w:rsidR="00C26E98" w:rsidRPr="00FA0D37" w:rsidRDefault="00C26E98" w:rsidP="00FA0D37">
      <w:pPr>
        <w:pStyle w:val="PL"/>
        <w:rPr>
          <w:color w:val="808080"/>
        </w:rPr>
      </w:pPr>
      <w:r w:rsidRPr="00FA0D37">
        <w:t xml:space="preserve">    drx-ConfigSL-r17                    SetupRelease { DRX-ConfigSL</w:t>
      </w:r>
      <w:r w:rsidR="00894E1D" w:rsidRPr="00FA0D37">
        <w:t>-r17</w:t>
      </w:r>
      <w:r w:rsidRPr="00FA0D37">
        <w:t xml:space="preserve"> }           </w:t>
      </w:r>
      <w:r w:rsidRPr="00FA0D37">
        <w:rPr>
          <w:color w:val="993366"/>
        </w:rPr>
        <w:t>OPTIONAL</w:t>
      </w:r>
      <w:r w:rsidR="00205D47" w:rsidRPr="00FA0D37">
        <w:t>,</w:t>
      </w:r>
      <w:r w:rsidRPr="00FA0D37">
        <w:t xml:space="preserve">    </w:t>
      </w:r>
      <w:r w:rsidRPr="00FA0D37">
        <w:rPr>
          <w:color w:val="808080"/>
        </w:rPr>
        <w:t xml:space="preserve">-- </w:t>
      </w:r>
      <w:r w:rsidR="002714C6" w:rsidRPr="00FA0D37">
        <w:rPr>
          <w:color w:val="808080"/>
        </w:rPr>
        <w:t>Need M</w:t>
      </w:r>
    </w:p>
    <w:p w14:paraId="41E51B1B" w14:textId="4AFD6230" w:rsidR="006C501F" w:rsidRPr="00FA0D37" w:rsidRDefault="006C501F" w:rsidP="00FA0D37">
      <w:pPr>
        <w:pStyle w:val="PL"/>
        <w:rPr>
          <w:color w:val="808080"/>
        </w:rPr>
      </w:pPr>
      <w:r w:rsidRPr="00FA0D37">
        <w:t xml:space="preserve">    drx-ConfigExt-v1700                 SetupRelease { DRX-ConfigExt-v1700 }        </w:t>
      </w:r>
      <w:r w:rsidRPr="00FA0D37">
        <w:rPr>
          <w:color w:val="993366"/>
        </w:rPr>
        <w:t>OPTIONAL</w:t>
      </w:r>
      <w:r w:rsidRPr="00FA0D37">
        <w:t xml:space="preserve">,    </w:t>
      </w:r>
      <w:r w:rsidRPr="00FA0D37">
        <w:rPr>
          <w:color w:val="808080"/>
        </w:rPr>
        <w:t>--</w:t>
      </w:r>
      <w:r w:rsidR="00AC37AE" w:rsidRPr="00FA0D37">
        <w:rPr>
          <w:color w:val="808080"/>
        </w:rPr>
        <w:t xml:space="preserve"> Need M</w:t>
      </w:r>
    </w:p>
    <w:p w14:paraId="6AA8D665" w14:textId="5007F150" w:rsidR="00205D47" w:rsidRPr="00FA0D37" w:rsidRDefault="00205D47" w:rsidP="00FA0D37">
      <w:pPr>
        <w:pStyle w:val="PL"/>
        <w:rPr>
          <w:color w:val="808080"/>
        </w:rPr>
      </w:pPr>
      <w:r w:rsidRPr="00FA0D37">
        <w:t xml:space="preserve">    schedulingRequestID-BFR-r17         SchedulingRequestId                     </w:t>
      </w:r>
      <w:r w:rsidR="00B06511" w:rsidRPr="00FA0D37">
        <w:t xml:space="preserve">    </w:t>
      </w:r>
      <w:r w:rsidRPr="00FA0D37">
        <w:rPr>
          <w:color w:val="993366"/>
        </w:rPr>
        <w:t>OPTIONAL</w:t>
      </w:r>
      <w:r w:rsidRPr="00FA0D37">
        <w:t xml:space="preserve">, </w:t>
      </w:r>
      <w:r w:rsidR="00651368" w:rsidRPr="00FA0D37">
        <w:t xml:space="preserve">  </w:t>
      </w:r>
      <w:r w:rsidRPr="00FA0D37">
        <w:t xml:space="preserve"> </w:t>
      </w:r>
      <w:r w:rsidRPr="00FA0D37">
        <w:rPr>
          <w:color w:val="808080"/>
        </w:rPr>
        <w:t>-- Need R</w:t>
      </w:r>
    </w:p>
    <w:p w14:paraId="6A35C2EC" w14:textId="5BC16D0B" w:rsidR="00205D47" w:rsidRPr="00FA0D37" w:rsidRDefault="00205D47" w:rsidP="00FA0D37">
      <w:pPr>
        <w:pStyle w:val="PL"/>
        <w:rPr>
          <w:color w:val="808080"/>
        </w:rPr>
      </w:pPr>
      <w:r w:rsidRPr="00FA0D37">
        <w:t xml:space="preserve">    schedulingRequestID-BFR2-r17        SchedulingRequestId                   </w:t>
      </w:r>
      <w:r w:rsidR="00651368" w:rsidRPr="00FA0D37">
        <w:t xml:space="preserve"> </w:t>
      </w:r>
      <w:r w:rsidRPr="00FA0D37">
        <w:t xml:space="preserve"> </w:t>
      </w:r>
      <w:r w:rsidR="00B06511" w:rsidRPr="00FA0D37">
        <w:t xml:space="preserve">    </w:t>
      </w:r>
      <w:r w:rsidRPr="00FA0D37">
        <w:rPr>
          <w:color w:val="993366"/>
        </w:rPr>
        <w:t>OPTIONAL</w:t>
      </w:r>
      <w:r w:rsidR="005B7637" w:rsidRPr="00FA0D37">
        <w:t>,</w:t>
      </w:r>
      <w:r w:rsidRPr="00FA0D37">
        <w:t xml:space="preserve"> </w:t>
      </w:r>
      <w:r w:rsidR="00651368" w:rsidRPr="00FA0D37">
        <w:t xml:space="preserve">  </w:t>
      </w:r>
      <w:r w:rsidRPr="00FA0D37">
        <w:t xml:space="preserve"> </w:t>
      </w:r>
      <w:r w:rsidRPr="00FA0D37">
        <w:rPr>
          <w:color w:val="808080"/>
        </w:rPr>
        <w:t>-- Need R</w:t>
      </w:r>
    </w:p>
    <w:p w14:paraId="5954F5FA" w14:textId="053B0BB7" w:rsidR="005B7637" w:rsidRPr="00FA0D37" w:rsidRDefault="005B7637" w:rsidP="00FA0D37">
      <w:pPr>
        <w:pStyle w:val="PL"/>
        <w:rPr>
          <w:color w:val="808080"/>
        </w:rPr>
      </w:pPr>
      <w:r w:rsidRPr="00FA0D37">
        <w:t xml:space="preserve">    schedulingRequestConfig-v1700       SchedulingRequestConfig-v1700               </w:t>
      </w:r>
      <w:r w:rsidRPr="00FA0D37">
        <w:rPr>
          <w:color w:val="993366"/>
        </w:rPr>
        <w:t>OPTIONAL</w:t>
      </w:r>
      <w:r w:rsidRPr="00FA0D37">
        <w:t xml:space="preserve">,    </w:t>
      </w:r>
      <w:r w:rsidRPr="00FA0D37">
        <w:rPr>
          <w:color w:val="808080"/>
        </w:rPr>
        <w:t>-- Need M</w:t>
      </w:r>
    </w:p>
    <w:p w14:paraId="04BDC48B" w14:textId="77777777" w:rsidR="00771058" w:rsidRPr="00FA0D37" w:rsidRDefault="00771058" w:rsidP="00FA0D37">
      <w:pPr>
        <w:pStyle w:val="PL"/>
        <w:rPr>
          <w:color w:val="808080"/>
        </w:rPr>
      </w:pPr>
      <w:r w:rsidRPr="00FA0D37">
        <w:t xml:space="preserve">    tar-Config-r17                      SetupRelease { TAR-Config-r17  }                                </w:t>
      </w:r>
      <w:r w:rsidRPr="00FA0D37">
        <w:rPr>
          <w:color w:val="993366"/>
        </w:rPr>
        <w:t>OPTIONAL</w:t>
      </w:r>
      <w:r w:rsidRPr="00FA0D37">
        <w:t xml:space="preserve">,    </w:t>
      </w:r>
      <w:r w:rsidRPr="00FA0D37">
        <w:rPr>
          <w:color w:val="808080"/>
        </w:rPr>
        <w:t>-- Need M</w:t>
      </w:r>
    </w:p>
    <w:p w14:paraId="4E76B219" w14:textId="71167A04" w:rsidR="00EB0E28" w:rsidRPr="00FA0D37" w:rsidRDefault="00EB0E28" w:rsidP="00FA0D37">
      <w:pPr>
        <w:pStyle w:val="PL"/>
        <w:rPr>
          <w:color w:val="808080"/>
        </w:rPr>
      </w:pPr>
      <w:r w:rsidRPr="00FA0D37">
        <w:t xml:space="preserve">    g-RNTI-ConfigToAddModList-r17       </w:t>
      </w:r>
      <w:r w:rsidRPr="00FA0D37">
        <w:rPr>
          <w:color w:val="993366"/>
        </w:rPr>
        <w:t>SEQUENCE</w:t>
      </w:r>
      <w:r w:rsidRPr="00FA0D37">
        <w:t xml:space="preserve"> (</w:t>
      </w:r>
      <w:r w:rsidRPr="00FA0D37">
        <w:rPr>
          <w:color w:val="993366"/>
        </w:rPr>
        <w:t>SIZE</w:t>
      </w:r>
      <w:r w:rsidRPr="00FA0D37">
        <w:t xml:space="preserve"> (1..maxG-RNTI-r17))</w:t>
      </w:r>
      <w:r w:rsidRPr="00FA0D37">
        <w:rPr>
          <w:color w:val="993366"/>
        </w:rPr>
        <w:t xml:space="preserve"> OF</w:t>
      </w:r>
      <w:r w:rsidRPr="00FA0D37">
        <w:t xml:space="preserve"> </w:t>
      </w:r>
      <w:r w:rsidR="00297667" w:rsidRPr="00FA0D37">
        <w:t>MBS-RNTI-SpecificConfig</w:t>
      </w:r>
      <w:r w:rsidRPr="00FA0D37">
        <w:t xml:space="preserve">-r17       </w:t>
      </w:r>
      <w:r w:rsidRPr="00FA0D37">
        <w:rPr>
          <w:color w:val="993366"/>
        </w:rPr>
        <w:t>OPTIONAL</w:t>
      </w:r>
      <w:r w:rsidRPr="00FA0D37">
        <w:t xml:space="preserve">,    </w:t>
      </w:r>
      <w:r w:rsidRPr="00FA0D37">
        <w:rPr>
          <w:color w:val="808080"/>
        </w:rPr>
        <w:t>-- Need N</w:t>
      </w:r>
    </w:p>
    <w:p w14:paraId="3A9B58E0" w14:textId="5CA11C7C" w:rsidR="00EB0E28" w:rsidRPr="00FA0D37" w:rsidRDefault="00EB0E28" w:rsidP="00FA0D37">
      <w:pPr>
        <w:pStyle w:val="PL"/>
        <w:rPr>
          <w:color w:val="808080"/>
        </w:rPr>
      </w:pPr>
      <w:r w:rsidRPr="00FA0D37">
        <w:t xml:space="preserve">    g-RNTI-ConfigToReleaseList-r17      </w:t>
      </w:r>
      <w:r w:rsidRPr="00FA0D37">
        <w:rPr>
          <w:color w:val="993366"/>
        </w:rPr>
        <w:t>SEQUENCE</w:t>
      </w:r>
      <w:r w:rsidRPr="00FA0D37">
        <w:t xml:space="preserve"> (</w:t>
      </w:r>
      <w:r w:rsidRPr="00FA0D37">
        <w:rPr>
          <w:color w:val="993366"/>
        </w:rPr>
        <w:t>SIZE</w:t>
      </w:r>
      <w:r w:rsidRPr="00FA0D37">
        <w:t xml:space="preserve"> (1..maxG-RNTI-r17))</w:t>
      </w:r>
      <w:r w:rsidRPr="00FA0D37">
        <w:rPr>
          <w:color w:val="993366"/>
        </w:rPr>
        <w:t xml:space="preserve"> OF</w:t>
      </w:r>
      <w:r w:rsidRPr="00FA0D37">
        <w:t xml:space="preserve"> </w:t>
      </w:r>
      <w:r w:rsidR="00297667" w:rsidRPr="00FA0D37">
        <w:t>MBS-RNTI-SpecificConfigId</w:t>
      </w:r>
      <w:r w:rsidRPr="00FA0D37">
        <w:t xml:space="preserve">-r17     </w:t>
      </w:r>
      <w:r w:rsidRPr="00FA0D37">
        <w:rPr>
          <w:color w:val="993366"/>
        </w:rPr>
        <w:t>OPTIONAL</w:t>
      </w:r>
      <w:r w:rsidRPr="00FA0D37">
        <w:t xml:space="preserve">,    </w:t>
      </w:r>
      <w:r w:rsidRPr="00FA0D37">
        <w:rPr>
          <w:color w:val="808080"/>
        </w:rPr>
        <w:t>-- Need N</w:t>
      </w:r>
    </w:p>
    <w:p w14:paraId="74AD6383" w14:textId="08EBF3F9" w:rsidR="00EB0E28" w:rsidRPr="00FA0D37" w:rsidRDefault="00EB0E28" w:rsidP="00FA0D37">
      <w:pPr>
        <w:pStyle w:val="PL"/>
        <w:rPr>
          <w:color w:val="808080"/>
        </w:rPr>
      </w:pPr>
      <w:r w:rsidRPr="00FA0D37">
        <w:t xml:space="preserve">    g-CS-RNTI-ConfigToAddModList-r17    </w:t>
      </w:r>
      <w:r w:rsidRPr="00FA0D37">
        <w:rPr>
          <w:color w:val="993366"/>
        </w:rPr>
        <w:t>SEQUENCE</w:t>
      </w:r>
      <w:r w:rsidRPr="00FA0D37">
        <w:t xml:space="preserve"> (</w:t>
      </w:r>
      <w:r w:rsidRPr="00FA0D37">
        <w:rPr>
          <w:color w:val="993366"/>
        </w:rPr>
        <w:t>SIZE</w:t>
      </w:r>
      <w:r w:rsidRPr="00FA0D37">
        <w:t xml:space="preserve"> (1..maxG-CS-RNTI-r17))</w:t>
      </w:r>
      <w:r w:rsidRPr="00FA0D37">
        <w:rPr>
          <w:color w:val="993366"/>
        </w:rPr>
        <w:t xml:space="preserve"> OF</w:t>
      </w:r>
      <w:r w:rsidRPr="00FA0D37">
        <w:t xml:space="preserve"> </w:t>
      </w:r>
      <w:r w:rsidR="00297667" w:rsidRPr="00FA0D37">
        <w:t>MBS-RNTI-SpecificConfig</w:t>
      </w:r>
      <w:r w:rsidRPr="00FA0D37">
        <w:t xml:space="preserve">-r17    </w:t>
      </w:r>
      <w:r w:rsidRPr="00FA0D37">
        <w:rPr>
          <w:color w:val="993366"/>
        </w:rPr>
        <w:t>OPTIONAL</w:t>
      </w:r>
      <w:r w:rsidRPr="00FA0D37">
        <w:t xml:space="preserve">,    </w:t>
      </w:r>
      <w:r w:rsidRPr="00FA0D37">
        <w:rPr>
          <w:color w:val="808080"/>
        </w:rPr>
        <w:t>-- Need N</w:t>
      </w:r>
    </w:p>
    <w:p w14:paraId="3ACF8623" w14:textId="5EFB501A" w:rsidR="00EB0E28" w:rsidRPr="00FA0D37" w:rsidRDefault="00EB0E28" w:rsidP="00FA0D37">
      <w:pPr>
        <w:pStyle w:val="PL"/>
        <w:rPr>
          <w:color w:val="808080"/>
        </w:rPr>
      </w:pPr>
      <w:r w:rsidRPr="00FA0D37">
        <w:t xml:space="preserve">    g-CS-RNTI-ConfigToReleaseList-r17   </w:t>
      </w:r>
      <w:r w:rsidRPr="00FA0D37">
        <w:rPr>
          <w:color w:val="993366"/>
        </w:rPr>
        <w:t>SEQUENCE</w:t>
      </w:r>
      <w:r w:rsidRPr="00FA0D37">
        <w:t xml:space="preserve"> (</w:t>
      </w:r>
      <w:r w:rsidRPr="00FA0D37">
        <w:rPr>
          <w:color w:val="993366"/>
        </w:rPr>
        <w:t>SIZE</w:t>
      </w:r>
      <w:r w:rsidRPr="00FA0D37">
        <w:t xml:space="preserve"> (1..maxG-CS-RNTI-r17))</w:t>
      </w:r>
      <w:r w:rsidRPr="00FA0D37">
        <w:rPr>
          <w:color w:val="993366"/>
        </w:rPr>
        <w:t xml:space="preserve"> OF</w:t>
      </w:r>
      <w:r w:rsidRPr="00FA0D37">
        <w:t xml:space="preserve"> </w:t>
      </w:r>
      <w:r w:rsidR="00297667" w:rsidRPr="00FA0D37">
        <w:t>MBS-RNTI-SpecificConfigId</w:t>
      </w:r>
      <w:r w:rsidRPr="00FA0D37">
        <w:t xml:space="preserve">-r17  </w:t>
      </w:r>
      <w:r w:rsidRPr="00FA0D37">
        <w:rPr>
          <w:color w:val="993366"/>
        </w:rPr>
        <w:t>OPTIONAL</w:t>
      </w:r>
      <w:r w:rsidRPr="00FA0D37">
        <w:t xml:space="preserve">,    </w:t>
      </w:r>
      <w:r w:rsidRPr="00FA0D37">
        <w:rPr>
          <w:color w:val="808080"/>
        </w:rPr>
        <w:t>-- Need N</w:t>
      </w:r>
    </w:p>
    <w:p w14:paraId="1631EEF6" w14:textId="7FE73A7A" w:rsidR="00EB0E28" w:rsidRPr="00FA0D37" w:rsidRDefault="00EB0E28" w:rsidP="00FA0D37">
      <w:pPr>
        <w:pStyle w:val="PL"/>
        <w:rPr>
          <w:color w:val="808080"/>
        </w:rPr>
      </w:pPr>
      <w:r w:rsidRPr="00FA0D37">
        <w:t xml:space="preserve">    allowCSI-SRS-Tx-MulticastDRX-Active-r17   </w:t>
      </w:r>
      <w:r w:rsidRPr="00FA0D37">
        <w:rPr>
          <w:color w:val="993366"/>
        </w:rPr>
        <w:t>BOOLEAN</w:t>
      </w:r>
      <w:r w:rsidR="00297667" w:rsidRPr="00FA0D37">
        <w:t xml:space="preserve">                                                    </w:t>
      </w:r>
      <w:r w:rsidR="009E7517" w:rsidRPr="00FA0D37">
        <w:t xml:space="preserve">       </w:t>
      </w:r>
      <w:r w:rsidR="00297667" w:rsidRPr="00FA0D37">
        <w:rPr>
          <w:color w:val="993366"/>
        </w:rPr>
        <w:t>OPTIONAL</w:t>
      </w:r>
      <w:r w:rsidR="00297667" w:rsidRPr="00FA0D37">
        <w:t xml:space="preserve">     </w:t>
      </w:r>
      <w:r w:rsidR="00297667" w:rsidRPr="00FA0D37">
        <w:rPr>
          <w:color w:val="808080"/>
        </w:rPr>
        <w:t>-- Need M</w:t>
      </w:r>
    </w:p>
    <w:p w14:paraId="3651A47B" w14:textId="3189E1C3" w:rsidR="007D4907" w:rsidRPr="00FA0D37" w:rsidRDefault="00F27D15" w:rsidP="00FA0D37">
      <w:pPr>
        <w:pStyle w:val="PL"/>
      </w:pPr>
      <w:r w:rsidRPr="00FA0D37">
        <w:t xml:space="preserve">    ]]</w:t>
      </w:r>
      <w:r w:rsidR="007D4907" w:rsidRPr="00FA0D37">
        <w:t>,</w:t>
      </w:r>
    </w:p>
    <w:p w14:paraId="751FC61E" w14:textId="77777777" w:rsidR="007D4907" w:rsidRPr="00FA0D37" w:rsidRDefault="007D4907" w:rsidP="00FA0D37">
      <w:pPr>
        <w:pStyle w:val="PL"/>
      </w:pPr>
      <w:r w:rsidRPr="00FA0D37">
        <w:t xml:space="preserve">    [[</w:t>
      </w:r>
    </w:p>
    <w:p w14:paraId="5F005905" w14:textId="60A157EE" w:rsidR="007D4907" w:rsidRPr="00FA0D37" w:rsidRDefault="007D4907" w:rsidP="00FA0D37">
      <w:pPr>
        <w:pStyle w:val="PL"/>
        <w:rPr>
          <w:color w:val="808080"/>
        </w:rPr>
      </w:pPr>
      <w:r w:rsidRPr="00FA0D37">
        <w:t xml:space="preserve">    schedulingRequestID-PosMG-Request-r17 SchedulingRequestId                                                </w:t>
      </w:r>
      <w:r w:rsidR="0039034E" w:rsidRPr="00FA0D37">
        <w:t xml:space="preserve">   </w:t>
      </w:r>
      <w:r w:rsidRPr="00FA0D37">
        <w:rPr>
          <w:color w:val="993366"/>
        </w:rPr>
        <w:t>OPTIONAL</w:t>
      </w:r>
      <w:r w:rsidR="0039034E" w:rsidRPr="00FA0D37">
        <w:t>,</w:t>
      </w:r>
      <w:r w:rsidRPr="00FA0D37">
        <w:t xml:space="preserve">    </w:t>
      </w:r>
      <w:r w:rsidRPr="00FA0D37">
        <w:rPr>
          <w:color w:val="808080"/>
        </w:rPr>
        <w:t>-- Need R</w:t>
      </w:r>
    </w:p>
    <w:p w14:paraId="3678E22B" w14:textId="77777777" w:rsidR="0039034E" w:rsidRPr="00FA0D37" w:rsidRDefault="0039034E" w:rsidP="00FA0D37">
      <w:pPr>
        <w:pStyle w:val="PL"/>
        <w:rPr>
          <w:color w:val="808080"/>
        </w:rPr>
      </w:pPr>
      <w:r w:rsidRPr="00FA0D37">
        <w:t xml:space="preserve">    drx-LastTransmissionUL-r17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556956F" w14:textId="6A8F0BB0" w:rsidR="009410A1" w:rsidRPr="00FA0D37" w:rsidRDefault="007D4907" w:rsidP="00FA0D37">
      <w:pPr>
        <w:pStyle w:val="PL"/>
      </w:pPr>
      <w:r w:rsidRPr="00FA0D37">
        <w:t xml:space="preserve">    ]]</w:t>
      </w:r>
      <w:r w:rsidR="009410A1" w:rsidRPr="00FA0D37">
        <w:t>,</w:t>
      </w:r>
    </w:p>
    <w:p w14:paraId="45AFBC42" w14:textId="085897E9" w:rsidR="009410A1" w:rsidRPr="00FA0D37" w:rsidRDefault="009410A1" w:rsidP="00FA0D37">
      <w:pPr>
        <w:pStyle w:val="PL"/>
      </w:pPr>
      <w:r w:rsidRPr="00FA0D37">
        <w:t xml:space="preserve">    [[</w:t>
      </w:r>
    </w:p>
    <w:p w14:paraId="01D61043" w14:textId="2F1BAE63" w:rsidR="009410A1" w:rsidRPr="00FA0D37" w:rsidRDefault="009410A1" w:rsidP="00FA0D37">
      <w:pPr>
        <w:pStyle w:val="PL"/>
        <w:rPr>
          <w:color w:val="808080"/>
        </w:rPr>
      </w:pPr>
      <w:r w:rsidRPr="00FA0D37">
        <w:t xml:space="preserve">    posMG-Request-r17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AF69937" w14:textId="7A617D7B" w:rsidR="00394471" w:rsidRPr="00FA0D37" w:rsidRDefault="009410A1" w:rsidP="00FA0D37">
      <w:pPr>
        <w:pStyle w:val="PL"/>
      </w:pPr>
      <w:r w:rsidRPr="00FA0D37">
        <w:t xml:space="preserve">    ]]</w:t>
      </w:r>
    </w:p>
    <w:p w14:paraId="1160D5F5" w14:textId="77777777" w:rsidR="00394471" w:rsidRPr="00FA0D37" w:rsidRDefault="00394471" w:rsidP="00FA0D37">
      <w:pPr>
        <w:pStyle w:val="PL"/>
      </w:pPr>
      <w:r w:rsidRPr="00FA0D37">
        <w:t>}</w:t>
      </w:r>
    </w:p>
    <w:p w14:paraId="4AFCDEF6" w14:textId="77777777" w:rsidR="00394471" w:rsidRPr="00FA0D37" w:rsidRDefault="00394471" w:rsidP="00FA0D37">
      <w:pPr>
        <w:pStyle w:val="PL"/>
      </w:pPr>
    </w:p>
    <w:p w14:paraId="62025DBB" w14:textId="77777777" w:rsidR="00394471" w:rsidRPr="00FA0D37" w:rsidRDefault="00394471" w:rsidP="00FA0D37">
      <w:pPr>
        <w:pStyle w:val="PL"/>
      </w:pPr>
      <w:r w:rsidRPr="00FA0D37">
        <w:lastRenderedPageBreak/>
        <w:t xml:space="preserve">DataInactivityTimer ::=         </w:t>
      </w:r>
      <w:r w:rsidRPr="00FA0D37">
        <w:rPr>
          <w:color w:val="993366"/>
        </w:rPr>
        <w:t>ENUMERATED</w:t>
      </w:r>
      <w:r w:rsidRPr="00FA0D37">
        <w:t xml:space="preserve"> {s1, s2, s3, s5, s7, s10, s15, s20, s40, s50, s60, s80, s100, s120, s150, s180}</w:t>
      </w:r>
    </w:p>
    <w:p w14:paraId="0FD2AB06" w14:textId="2CE542F1" w:rsidR="00394471" w:rsidRPr="00FA0D37" w:rsidRDefault="00394471" w:rsidP="00FA0D37">
      <w:pPr>
        <w:pStyle w:val="PL"/>
      </w:pPr>
    </w:p>
    <w:p w14:paraId="551DB207" w14:textId="5E2F0842" w:rsidR="00EB0E28" w:rsidRPr="00FA0D37" w:rsidRDefault="009E7517" w:rsidP="00FA0D37">
      <w:pPr>
        <w:pStyle w:val="PL"/>
      </w:pPr>
      <w:r w:rsidRPr="00FA0D37">
        <w:t>MBS-RNTI-SpecificConfig</w:t>
      </w:r>
      <w:r w:rsidR="00894E1D" w:rsidRPr="00FA0D37">
        <w:t>-r17</w:t>
      </w:r>
      <w:r w:rsidR="00EB0E28" w:rsidRPr="00FA0D37">
        <w:t xml:space="preserve"> ::=        </w:t>
      </w:r>
      <w:r w:rsidR="00EB0E28" w:rsidRPr="00FA0D37">
        <w:rPr>
          <w:color w:val="993366"/>
        </w:rPr>
        <w:t>SEQUENCE</w:t>
      </w:r>
      <w:r w:rsidR="00EB0E28" w:rsidRPr="00FA0D37">
        <w:t xml:space="preserve"> {</w:t>
      </w:r>
    </w:p>
    <w:p w14:paraId="1236A933" w14:textId="5E08D2E4" w:rsidR="009E7517" w:rsidRPr="00FA0D37" w:rsidRDefault="009E7517" w:rsidP="00FA0D37">
      <w:pPr>
        <w:pStyle w:val="PL"/>
      </w:pPr>
      <w:r w:rsidRPr="00FA0D37">
        <w:t xml:space="preserve">    mbs-RNTI-SpecificConfigId-r17          MBS-RNTI-SpecificConfigId-r17,</w:t>
      </w:r>
    </w:p>
    <w:p w14:paraId="6F43A5E2" w14:textId="4D5CB147" w:rsidR="00EB0E28" w:rsidRPr="00FA0D37" w:rsidRDefault="00EB0E28" w:rsidP="00FA0D37">
      <w:pPr>
        <w:pStyle w:val="PL"/>
      </w:pPr>
      <w:r w:rsidRPr="00FA0D37">
        <w:t xml:space="preserve">    groupCommon-RNTI</w:t>
      </w:r>
      <w:r w:rsidR="009E7517" w:rsidRPr="00FA0D37">
        <w:t>-r17</w:t>
      </w:r>
      <w:r w:rsidRPr="00FA0D37">
        <w:t xml:space="preserve">                   </w:t>
      </w:r>
      <w:r w:rsidRPr="00FA0D37">
        <w:rPr>
          <w:color w:val="993366"/>
        </w:rPr>
        <w:t>CHOICE</w:t>
      </w:r>
      <w:r w:rsidRPr="00FA0D37">
        <w:t xml:space="preserve"> {</w:t>
      </w:r>
    </w:p>
    <w:p w14:paraId="66F5890A" w14:textId="25FFDC6A" w:rsidR="009E7517" w:rsidRPr="00FA0D37" w:rsidRDefault="00EB0E28" w:rsidP="00FA0D37">
      <w:pPr>
        <w:pStyle w:val="PL"/>
      </w:pPr>
      <w:r w:rsidRPr="00FA0D37">
        <w:t xml:space="preserve">        g-RNTI                                 </w:t>
      </w:r>
      <w:r w:rsidR="009E7517" w:rsidRPr="00FA0D37">
        <w:t>RNTI-Value,</w:t>
      </w:r>
    </w:p>
    <w:p w14:paraId="27C5E5EE" w14:textId="44226A3B" w:rsidR="009E7517" w:rsidRPr="00FA0D37" w:rsidRDefault="009E7517" w:rsidP="00FA0D37">
      <w:pPr>
        <w:pStyle w:val="PL"/>
      </w:pPr>
      <w:r w:rsidRPr="00FA0D37">
        <w:t xml:space="preserve">        g-CS-RNTI                              RNTI-Value</w:t>
      </w:r>
    </w:p>
    <w:p w14:paraId="39A53B02" w14:textId="4C06DE2B" w:rsidR="009E7517" w:rsidRPr="00FA0D37" w:rsidRDefault="009E7517" w:rsidP="00FA0D37">
      <w:pPr>
        <w:pStyle w:val="PL"/>
      </w:pPr>
      <w:r w:rsidRPr="00FA0D37">
        <w:t xml:space="preserve">    }</w:t>
      </w:r>
      <w:r w:rsidR="00894E1D" w:rsidRPr="00FA0D37">
        <w:t>,</w:t>
      </w:r>
    </w:p>
    <w:p w14:paraId="749E8E4C" w14:textId="237D10E1" w:rsidR="00EB0E28" w:rsidRPr="00FA0D37" w:rsidRDefault="00EB0E28" w:rsidP="00FA0D37">
      <w:pPr>
        <w:pStyle w:val="PL"/>
        <w:rPr>
          <w:color w:val="808080"/>
        </w:rPr>
      </w:pPr>
      <w:r w:rsidRPr="00FA0D37">
        <w:t xml:space="preserve">    drx-ConfigPTM-r17                      SetupRelease { DRX-ConfigPTM-r17 }                          </w:t>
      </w:r>
      <w:r w:rsidRPr="00FA0D37">
        <w:rPr>
          <w:color w:val="993366"/>
        </w:rPr>
        <w:t>OPTIONAL</w:t>
      </w:r>
      <w:r w:rsidRPr="00FA0D37">
        <w:t xml:space="preserve">,   </w:t>
      </w:r>
      <w:r w:rsidRPr="00FA0D37">
        <w:rPr>
          <w:color w:val="808080"/>
        </w:rPr>
        <w:t>-- Need M</w:t>
      </w:r>
    </w:p>
    <w:p w14:paraId="01C5E656" w14:textId="0FFD590A" w:rsidR="00EB0E28" w:rsidRPr="00FA0D37" w:rsidRDefault="00EB0E28" w:rsidP="00FA0D37">
      <w:pPr>
        <w:pStyle w:val="PL"/>
        <w:rPr>
          <w:color w:val="808080"/>
        </w:rPr>
      </w:pPr>
      <w:r w:rsidRPr="00FA0D37">
        <w:t xml:space="preserve">    harq-FeedbackEnablerMulticast-r17      </w:t>
      </w:r>
      <w:r w:rsidRPr="00FA0D37">
        <w:rPr>
          <w:color w:val="993366"/>
        </w:rPr>
        <w:t>ENUMERATED</w:t>
      </w:r>
      <w:r w:rsidRPr="00FA0D37">
        <w:t xml:space="preserve"> {dci-enabler, enabled}                           </w:t>
      </w:r>
      <w:r w:rsidRPr="00FA0D37">
        <w:rPr>
          <w:color w:val="993366"/>
        </w:rPr>
        <w:t>OPTIONAL</w:t>
      </w:r>
      <w:r w:rsidRPr="00FA0D37">
        <w:t xml:space="preserve">,   </w:t>
      </w:r>
      <w:r w:rsidRPr="00FA0D37">
        <w:rPr>
          <w:color w:val="808080"/>
        </w:rPr>
        <w:t>-- Need S</w:t>
      </w:r>
    </w:p>
    <w:p w14:paraId="202213F0" w14:textId="054D8B2F" w:rsidR="00EB0E28" w:rsidRPr="00FA0D37" w:rsidRDefault="00EB0E28" w:rsidP="00FA0D37">
      <w:pPr>
        <w:pStyle w:val="PL"/>
        <w:rPr>
          <w:color w:val="808080"/>
        </w:rPr>
      </w:pPr>
      <w:r w:rsidRPr="00FA0D37">
        <w:t xml:space="preserve">    harq-FeedbackOptionMulticast-r17       </w:t>
      </w:r>
      <w:r w:rsidRPr="00FA0D37">
        <w:rPr>
          <w:color w:val="993366"/>
        </w:rPr>
        <w:t>ENUMERATED</w:t>
      </w:r>
      <w:r w:rsidRPr="00FA0D37">
        <w:t xml:space="preserve"> {ack-nack, nack-only}                            </w:t>
      </w:r>
      <w:r w:rsidRPr="00FA0D37">
        <w:rPr>
          <w:color w:val="993366"/>
        </w:rPr>
        <w:t>OPTIONAL</w:t>
      </w:r>
      <w:r w:rsidRPr="00FA0D37">
        <w:t xml:space="preserve">,   </w:t>
      </w:r>
      <w:r w:rsidRPr="00FA0D37">
        <w:rPr>
          <w:color w:val="808080"/>
        </w:rPr>
        <w:t>-- Cond HARQFeedback</w:t>
      </w:r>
    </w:p>
    <w:p w14:paraId="5663957C" w14:textId="28B728BE" w:rsidR="00EB0E28" w:rsidRPr="00FA0D37" w:rsidRDefault="00EB0E28" w:rsidP="00FA0D37">
      <w:pPr>
        <w:pStyle w:val="PL"/>
        <w:rPr>
          <w:color w:val="808080"/>
        </w:rPr>
      </w:pPr>
      <w:r w:rsidRPr="00FA0D37">
        <w:t xml:space="preserve">    pdsch-AggregationFactor-r17   </w:t>
      </w:r>
      <w:r w:rsidR="00FD05B6" w:rsidRPr="00FA0D37">
        <w:t xml:space="preserve">         </w:t>
      </w:r>
      <w:r w:rsidRPr="00FA0D37">
        <w:rPr>
          <w:color w:val="993366"/>
        </w:rPr>
        <w:t>ENUMERATED</w:t>
      </w:r>
      <w:r w:rsidRPr="00FA0D37">
        <w:t xml:space="preserve"> {n2, n4, n8}                                     </w:t>
      </w:r>
      <w:r w:rsidRPr="00FA0D37">
        <w:rPr>
          <w:color w:val="993366"/>
        </w:rPr>
        <w:t>OPTIONAL</w:t>
      </w:r>
      <w:r w:rsidRPr="00FA0D37">
        <w:t xml:space="preserve">    </w:t>
      </w:r>
      <w:r w:rsidRPr="00FA0D37">
        <w:rPr>
          <w:color w:val="808080"/>
        </w:rPr>
        <w:t>-- Cond G-RNTI</w:t>
      </w:r>
    </w:p>
    <w:p w14:paraId="456AA8D6" w14:textId="77777777" w:rsidR="00EB0E28" w:rsidRPr="00FA0D37" w:rsidRDefault="00EB0E28" w:rsidP="00FA0D37">
      <w:pPr>
        <w:pStyle w:val="PL"/>
      </w:pPr>
      <w:r w:rsidRPr="00FA0D37">
        <w:t>}</w:t>
      </w:r>
    </w:p>
    <w:p w14:paraId="645FFE7B" w14:textId="77777777" w:rsidR="009E7517" w:rsidRPr="00FA0D37" w:rsidRDefault="009E7517" w:rsidP="00FA0D37">
      <w:pPr>
        <w:pStyle w:val="PL"/>
      </w:pPr>
    </w:p>
    <w:p w14:paraId="48AC7B57" w14:textId="5A35FE0C" w:rsidR="009E7517" w:rsidRPr="00FA0D37" w:rsidRDefault="009E7517" w:rsidP="00FA0D37">
      <w:pPr>
        <w:pStyle w:val="PL"/>
      </w:pPr>
      <w:r w:rsidRPr="00FA0D37">
        <w:t xml:space="preserve">MBS-RNTI-SpecificConfigId-r17 ::= </w:t>
      </w:r>
      <w:r w:rsidRPr="00FA0D37">
        <w:rPr>
          <w:color w:val="993366"/>
        </w:rPr>
        <w:t>INTEGER</w:t>
      </w:r>
      <w:r w:rsidRPr="00FA0D37">
        <w:t xml:space="preserve"> (0..maxG-RNTI-1-r17)</w:t>
      </w:r>
    </w:p>
    <w:p w14:paraId="7245E2A0" w14:textId="77777777" w:rsidR="00EB0E28" w:rsidRPr="00FA0D37" w:rsidRDefault="00EB0E28" w:rsidP="00FA0D37">
      <w:pPr>
        <w:pStyle w:val="PL"/>
      </w:pPr>
    </w:p>
    <w:p w14:paraId="1FF7C1B9" w14:textId="77777777" w:rsidR="00394471" w:rsidRPr="00FA0D37" w:rsidRDefault="00394471" w:rsidP="00FA0D37">
      <w:pPr>
        <w:pStyle w:val="PL"/>
        <w:rPr>
          <w:color w:val="808080"/>
        </w:rPr>
      </w:pPr>
      <w:r w:rsidRPr="00FA0D37">
        <w:rPr>
          <w:color w:val="808080"/>
        </w:rPr>
        <w:t>-- TAG-MAC-CELLGROUPCONFIG-STOP</w:t>
      </w:r>
    </w:p>
    <w:p w14:paraId="7ECFA70D" w14:textId="77777777" w:rsidR="00394471" w:rsidRPr="00FA0D37" w:rsidRDefault="00394471" w:rsidP="00FA0D37">
      <w:pPr>
        <w:pStyle w:val="PL"/>
        <w:rPr>
          <w:color w:val="808080"/>
        </w:rPr>
      </w:pPr>
      <w:r w:rsidRPr="00FA0D37">
        <w:rPr>
          <w:color w:val="808080"/>
        </w:rPr>
        <w:t>-- ASN1STOP</w:t>
      </w:r>
    </w:p>
    <w:p w14:paraId="7F489D8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FA0D37" w:rsidRDefault="00394471" w:rsidP="00964CC4">
            <w:pPr>
              <w:pStyle w:val="TAH"/>
              <w:rPr>
                <w:szCs w:val="22"/>
                <w:lang w:eastAsia="sv-SE"/>
              </w:rPr>
            </w:pPr>
            <w:r w:rsidRPr="00FA0D37">
              <w:rPr>
                <w:i/>
                <w:szCs w:val="22"/>
                <w:lang w:eastAsia="sv-SE"/>
              </w:rPr>
              <w:lastRenderedPageBreak/>
              <w:t xml:space="preserve">MAC-CellGroupConfig </w:t>
            </w:r>
            <w:r w:rsidRPr="00FA0D37">
              <w:rPr>
                <w:szCs w:val="22"/>
                <w:lang w:eastAsia="sv-SE"/>
              </w:rPr>
              <w:t>field descriptions</w:t>
            </w:r>
          </w:p>
        </w:tc>
      </w:tr>
      <w:tr w:rsidR="005C7FF4" w:rsidRPr="00FA0D37"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FA0D37" w:rsidRDefault="00EB0E28" w:rsidP="00771058">
            <w:pPr>
              <w:pStyle w:val="TAL"/>
              <w:rPr>
                <w:rFonts w:eastAsiaTheme="minorEastAsia"/>
                <w:bCs/>
                <w:i/>
                <w:iCs/>
                <w:lang w:eastAsia="sv-SE"/>
              </w:rPr>
            </w:pPr>
            <w:r w:rsidRPr="00FA0D37">
              <w:rPr>
                <w:rFonts w:eastAsiaTheme="minorEastAsia"/>
                <w:b/>
                <w:bCs/>
                <w:i/>
                <w:iCs/>
                <w:lang w:eastAsia="sv-SE"/>
              </w:rPr>
              <w:t>allowCSI-SRS-Tx-MulticastDRX-Active</w:t>
            </w:r>
          </w:p>
          <w:p w14:paraId="5AAAA800" w14:textId="4ECAA135" w:rsidR="00EB0E28" w:rsidRPr="00FA0D37" w:rsidRDefault="00EB0E28" w:rsidP="00771058">
            <w:pPr>
              <w:pStyle w:val="TAL"/>
              <w:rPr>
                <w:rFonts w:eastAsiaTheme="minorEastAsia"/>
                <w:b/>
                <w:bCs/>
                <w:i/>
                <w:iCs/>
                <w:lang w:eastAsia="sv-SE"/>
              </w:rPr>
            </w:pPr>
            <w:r w:rsidRPr="00FA0D37">
              <w:rPr>
                <w:szCs w:val="22"/>
                <w:lang w:eastAsia="sv-SE"/>
              </w:rPr>
              <w:t xml:space="preserve">Used to control the CSI/SRS transmission during MBS multicast DRX </w:t>
            </w:r>
            <w:r w:rsidR="009E7517" w:rsidRPr="00FA0D37">
              <w:rPr>
                <w:szCs w:val="22"/>
                <w:lang w:eastAsia="sv-SE"/>
              </w:rPr>
              <w:t>A</w:t>
            </w:r>
            <w:r w:rsidRPr="00FA0D37">
              <w:rPr>
                <w:szCs w:val="22"/>
                <w:lang w:eastAsia="sv-SE"/>
              </w:rPr>
              <w:t>ctive</w:t>
            </w:r>
            <w:r w:rsidR="009E7517" w:rsidRPr="00FA0D37">
              <w:rPr>
                <w:szCs w:val="22"/>
                <w:lang w:eastAsia="sv-SE"/>
              </w:rPr>
              <w:t>T</w:t>
            </w:r>
            <w:r w:rsidRPr="00FA0D37">
              <w:rPr>
                <w:szCs w:val="22"/>
                <w:lang w:eastAsia="sv-SE"/>
              </w:rPr>
              <w:t>ime, see TS 38.321 [3].</w:t>
            </w:r>
          </w:p>
        </w:tc>
      </w:tr>
      <w:tr w:rsidR="005C7FF4" w:rsidRPr="00FA0D37"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FA0D37" w:rsidRDefault="00394471" w:rsidP="00964CC4">
            <w:pPr>
              <w:pStyle w:val="TAL"/>
              <w:rPr>
                <w:szCs w:val="22"/>
                <w:lang w:eastAsia="sv-SE"/>
              </w:rPr>
            </w:pPr>
            <w:r w:rsidRPr="00FA0D37">
              <w:rPr>
                <w:b/>
                <w:i/>
                <w:szCs w:val="22"/>
                <w:lang w:eastAsia="sv-SE"/>
              </w:rPr>
              <w:t>csi-Mask</w:t>
            </w:r>
          </w:p>
          <w:p w14:paraId="6662BE73" w14:textId="77777777" w:rsidR="00394471" w:rsidRPr="00FA0D37" w:rsidRDefault="00394471" w:rsidP="00964CC4">
            <w:pPr>
              <w:pStyle w:val="TAL"/>
              <w:rPr>
                <w:szCs w:val="22"/>
                <w:lang w:eastAsia="sv-SE"/>
              </w:rPr>
            </w:pPr>
            <w:r w:rsidRPr="00FA0D37">
              <w:rPr>
                <w:szCs w:val="22"/>
                <w:lang w:eastAsia="sv-SE"/>
              </w:rPr>
              <w:t>If set to true, the UE limits CSI reports to the on-duration period of the DRX cycle, see TS 38.321 [3].</w:t>
            </w:r>
          </w:p>
        </w:tc>
      </w:tr>
      <w:tr w:rsidR="005C7FF4" w:rsidRPr="00FA0D37"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FA0D37" w:rsidRDefault="00394471" w:rsidP="00964CC4">
            <w:pPr>
              <w:pStyle w:val="TAL"/>
              <w:rPr>
                <w:szCs w:val="22"/>
                <w:lang w:eastAsia="sv-SE"/>
              </w:rPr>
            </w:pPr>
            <w:r w:rsidRPr="00FA0D37">
              <w:rPr>
                <w:b/>
                <w:i/>
                <w:szCs w:val="22"/>
                <w:lang w:eastAsia="sv-SE"/>
              </w:rPr>
              <w:t>dataInactivityTimer</w:t>
            </w:r>
          </w:p>
          <w:p w14:paraId="3FA3F816" w14:textId="77777777" w:rsidR="00394471" w:rsidRPr="00FA0D37" w:rsidRDefault="00394471" w:rsidP="00964CC4">
            <w:pPr>
              <w:pStyle w:val="TAL"/>
              <w:rPr>
                <w:szCs w:val="22"/>
                <w:lang w:eastAsia="sv-SE"/>
              </w:rPr>
            </w:pPr>
            <w:r w:rsidRPr="00FA0D37">
              <w:rPr>
                <w:szCs w:val="22"/>
                <w:lang w:eastAsia="sv-SE"/>
              </w:rPr>
              <w:t xml:space="preserve">Releases the RRC connection upon data inactivity as specified in clause 5.3.8.5 and in TS 38.321 [3]. Value </w:t>
            </w:r>
            <w:r w:rsidRPr="00FA0D37">
              <w:rPr>
                <w:i/>
                <w:lang w:eastAsia="sv-SE"/>
              </w:rPr>
              <w:t>s1</w:t>
            </w:r>
            <w:r w:rsidRPr="00FA0D37">
              <w:rPr>
                <w:szCs w:val="22"/>
                <w:lang w:eastAsia="sv-SE"/>
              </w:rPr>
              <w:t xml:space="preserve"> corresponds to 1 second, value </w:t>
            </w:r>
            <w:r w:rsidRPr="00FA0D37">
              <w:rPr>
                <w:lang w:eastAsia="sv-SE"/>
              </w:rPr>
              <w:t>s2</w:t>
            </w:r>
            <w:r w:rsidRPr="00FA0D37">
              <w:rPr>
                <w:szCs w:val="22"/>
                <w:lang w:eastAsia="sv-SE"/>
              </w:rPr>
              <w:t xml:space="preserve"> corresponds to 2 seconds, and so on.</w:t>
            </w:r>
          </w:p>
        </w:tc>
      </w:tr>
      <w:tr w:rsidR="005C7FF4" w:rsidRPr="00FA0D37"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27BC3FFC" w:rsidR="00394471" w:rsidRPr="00FA0D37" w:rsidRDefault="00394471" w:rsidP="00964CC4">
            <w:pPr>
              <w:pStyle w:val="TAL"/>
              <w:rPr>
                <w:szCs w:val="22"/>
                <w:lang w:eastAsia="sv-SE"/>
              </w:rPr>
            </w:pPr>
            <w:r w:rsidRPr="00FA0D37">
              <w:rPr>
                <w:b/>
                <w:i/>
                <w:szCs w:val="22"/>
                <w:lang w:eastAsia="sv-SE"/>
              </w:rPr>
              <w:t>drx-Config</w:t>
            </w:r>
            <w:r w:rsidR="006C501F" w:rsidRPr="00FA0D37">
              <w:rPr>
                <w:b/>
                <w:i/>
                <w:szCs w:val="22"/>
                <w:lang w:eastAsia="sv-SE"/>
              </w:rPr>
              <w:t>, drx-ConfigExt</w:t>
            </w:r>
          </w:p>
          <w:p w14:paraId="149BC52D" w14:textId="71EB302C" w:rsidR="00394471" w:rsidRPr="00FA0D37" w:rsidRDefault="00394471" w:rsidP="00964CC4">
            <w:pPr>
              <w:pStyle w:val="TAL"/>
              <w:rPr>
                <w:szCs w:val="22"/>
                <w:lang w:eastAsia="sv-SE"/>
              </w:rPr>
            </w:pPr>
            <w:r w:rsidRPr="00FA0D37">
              <w:rPr>
                <w:szCs w:val="22"/>
                <w:lang w:eastAsia="sv-SE"/>
              </w:rPr>
              <w:t>Used to configure DRX as specified in TS 38.321 [3].</w:t>
            </w:r>
            <w:r w:rsidR="00AC37AE" w:rsidRPr="00FA0D37">
              <w:t xml:space="preserve"> </w:t>
            </w:r>
            <w:r w:rsidR="00AC37AE" w:rsidRPr="00FA0D37">
              <w:rPr>
                <w:szCs w:val="22"/>
                <w:lang w:eastAsia="sv-SE"/>
              </w:rPr>
              <w:t xml:space="preserve">Network only configures </w:t>
            </w:r>
            <w:r w:rsidR="00AC37AE" w:rsidRPr="00FA0D37">
              <w:rPr>
                <w:i/>
                <w:iCs/>
                <w:szCs w:val="22"/>
                <w:lang w:eastAsia="sv-SE"/>
              </w:rPr>
              <w:t>drx-ConfigExt</w:t>
            </w:r>
            <w:r w:rsidR="00AC37AE" w:rsidRPr="00FA0D37">
              <w:rPr>
                <w:szCs w:val="22"/>
                <w:lang w:eastAsia="sv-SE"/>
              </w:rPr>
              <w:t xml:space="preserve"> when </w:t>
            </w:r>
            <w:r w:rsidR="00AC37AE" w:rsidRPr="00FA0D37">
              <w:rPr>
                <w:i/>
                <w:iCs/>
                <w:szCs w:val="22"/>
                <w:lang w:eastAsia="sv-SE"/>
              </w:rPr>
              <w:t>drx-Config</w:t>
            </w:r>
            <w:r w:rsidR="00AC37AE" w:rsidRPr="00FA0D37">
              <w:rPr>
                <w:szCs w:val="22"/>
                <w:lang w:eastAsia="sv-SE"/>
              </w:rPr>
              <w:t xml:space="preserve"> is configured.</w:t>
            </w:r>
          </w:p>
        </w:tc>
      </w:tr>
      <w:tr w:rsidR="005C7FF4" w:rsidRPr="00FA0D37"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FA0D37" w:rsidRDefault="00394471" w:rsidP="00964CC4">
            <w:pPr>
              <w:pStyle w:val="TAL"/>
              <w:rPr>
                <w:b/>
                <w:bCs/>
                <w:i/>
                <w:iCs/>
              </w:rPr>
            </w:pPr>
            <w:r w:rsidRPr="00FA0D37">
              <w:rPr>
                <w:b/>
                <w:bCs/>
                <w:i/>
                <w:iCs/>
              </w:rPr>
              <w:t>drx-ConfigSecondaryGroup</w:t>
            </w:r>
          </w:p>
          <w:p w14:paraId="70314DD0" w14:textId="77777777" w:rsidR="00394471" w:rsidRPr="00FA0D37" w:rsidRDefault="00394471" w:rsidP="00964CC4">
            <w:pPr>
              <w:pStyle w:val="TAL"/>
              <w:rPr>
                <w:b/>
                <w:i/>
                <w:szCs w:val="22"/>
                <w:lang w:eastAsia="sv-SE"/>
              </w:rPr>
            </w:pPr>
            <w:r w:rsidRPr="00FA0D37">
              <w:rPr>
                <w:szCs w:val="22"/>
              </w:rPr>
              <w:t>Used to configure DRX related parameters for the second DRX group as specified in TS 38.321 [3].</w:t>
            </w:r>
            <w:r w:rsidRPr="00FA0D37">
              <w:t xml:space="preserve"> </w:t>
            </w:r>
            <w:r w:rsidRPr="00FA0D37">
              <w:rPr>
                <w:szCs w:val="22"/>
              </w:rPr>
              <w:t>The network does not configure secondary DRX group with DCP simultaneously nor secondary DRX group with a dormant BWP simultaneously.</w:t>
            </w:r>
          </w:p>
        </w:tc>
      </w:tr>
      <w:tr w:rsidR="005C7FF4" w:rsidRPr="00FA0D37"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FA0D37" w:rsidRDefault="00C26E98" w:rsidP="00771058">
            <w:pPr>
              <w:pStyle w:val="TAL"/>
              <w:rPr>
                <w:b/>
                <w:i/>
                <w:szCs w:val="22"/>
              </w:rPr>
            </w:pPr>
            <w:r w:rsidRPr="00FA0D37">
              <w:rPr>
                <w:b/>
                <w:i/>
                <w:szCs w:val="22"/>
              </w:rPr>
              <w:t>drx-ConfigSL</w:t>
            </w:r>
          </w:p>
          <w:p w14:paraId="43284D7C" w14:textId="658E79C5" w:rsidR="00C26E98" w:rsidRPr="00FA0D37" w:rsidRDefault="00C26E98" w:rsidP="00771058">
            <w:pPr>
              <w:pStyle w:val="TAL"/>
              <w:rPr>
                <w:b/>
                <w:bCs/>
                <w:i/>
                <w:iCs/>
              </w:rPr>
            </w:pPr>
            <w:r w:rsidRPr="00FA0D37">
              <w:rPr>
                <w:szCs w:val="22"/>
              </w:rPr>
              <w:t>Used to configure additional DRX parameters for the UE performing sidelink operation with resource allocation mode 1, as specified in TS 38.321 [</w:t>
            </w:r>
            <w:r w:rsidR="005F190C" w:rsidRPr="00FA0D37">
              <w:rPr>
                <w:szCs w:val="22"/>
              </w:rPr>
              <w:t>3</w:t>
            </w:r>
            <w:r w:rsidRPr="00FA0D37">
              <w:rPr>
                <w:szCs w:val="22"/>
              </w:rPr>
              <w:t>].</w:t>
            </w:r>
            <w:r w:rsidR="002714C6" w:rsidRPr="00FA0D37">
              <w:t xml:space="preserve"> </w:t>
            </w:r>
            <w:r w:rsidR="002714C6" w:rsidRPr="00FA0D37">
              <w:rPr>
                <w:szCs w:val="22"/>
              </w:rPr>
              <w:t xml:space="preserve">Network only configures this field if </w:t>
            </w:r>
            <w:r w:rsidR="002714C6" w:rsidRPr="00FA0D37">
              <w:rPr>
                <w:i/>
                <w:szCs w:val="22"/>
              </w:rPr>
              <w:t>sl-ScheduledConfig</w:t>
            </w:r>
            <w:r w:rsidR="002714C6" w:rsidRPr="00FA0D37">
              <w:rPr>
                <w:szCs w:val="22"/>
              </w:rPr>
              <w:t xml:space="preserve"> is configured and </w:t>
            </w:r>
            <w:r w:rsidR="002714C6" w:rsidRPr="00FA0D37">
              <w:rPr>
                <w:i/>
                <w:szCs w:val="22"/>
              </w:rPr>
              <w:t>drx-Config</w:t>
            </w:r>
            <w:r w:rsidR="002714C6" w:rsidRPr="00FA0D37">
              <w:rPr>
                <w:szCs w:val="22"/>
              </w:rPr>
              <w:t xml:space="preserve"> is configured</w:t>
            </w:r>
            <w:r w:rsidR="0007748F" w:rsidRPr="00FA0D37">
              <w:rPr>
                <w:szCs w:val="22"/>
              </w:rPr>
              <w:t>.</w:t>
            </w:r>
          </w:p>
        </w:tc>
      </w:tr>
      <w:tr w:rsidR="005C7FF4" w:rsidRPr="00FA0D37"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FA0D37" w:rsidRDefault="0039034E" w:rsidP="00DD246F">
            <w:pPr>
              <w:pStyle w:val="TAL"/>
              <w:rPr>
                <w:b/>
                <w:bCs/>
                <w:i/>
                <w:iCs/>
              </w:rPr>
            </w:pPr>
            <w:r w:rsidRPr="00FA0D37">
              <w:rPr>
                <w:b/>
                <w:bCs/>
                <w:i/>
                <w:iCs/>
              </w:rPr>
              <w:t>drx-LastTransmissionUL</w:t>
            </w:r>
          </w:p>
          <w:p w14:paraId="0EF489F3" w14:textId="77777777" w:rsidR="0039034E" w:rsidRPr="00FA0D37" w:rsidRDefault="0039034E" w:rsidP="00DD246F">
            <w:pPr>
              <w:pStyle w:val="TAL"/>
            </w:pPr>
            <w:r w:rsidRPr="00FA0D37">
              <w:t xml:space="preserve">If this field is present, the start of the </w:t>
            </w:r>
            <w:r w:rsidRPr="00FA0D37">
              <w:rPr>
                <w:i/>
              </w:rPr>
              <w:t>drx-HARQ-RTT-TimerUL</w:t>
            </w:r>
            <w:r w:rsidRPr="00FA0D37">
              <w:t xml:space="preserve"> is after the last transmission within a bundle, see TS 38.321 [3].</w:t>
            </w:r>
          </w:p>
        </w:tc>
      </w:tr>
      <w:tr w:rsidR="005C7FF4" w:rsidRPr="00FA0D37"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FA0D37" w:rsidRDefault="00EB0E28" w:rsidP="00EB0E28">
            <w:pPr>
              <w:pStyle w:val="TAL"/>
              <w:rPr>
                <w:b/>
                <w:i/>
                <w:szCs w:val="22"/>
              </w:rPr>
            </w:pPr>
            <w:r w:rsidRPr="00FA0D37">
              <w:rPr>
                <w:b/>
                <w:i/>
                <w:szCs w:val="22"/>
              </w:rPr>
              <w:t>g-RNTI-</w:t>
            </w:r>
            <w:r w:rsidR="00A00ABC" w:rsidRPr="00FA0D37">
              <w:rPr>
                <w:b/>
                <w:i/>
                <w:szCs w:val="22"/>
              </w:rPr>
              <w:t>Config</w:t>
            </w:r>
            <w:r w:rsidRPr="00FA0D37">
              <w:rPr>
                <w:b/>
                <w:i/>
                <w:szCs w:val="22"/>
              </w:rPr>
              <w:t>ToAddModList</w:t>
            </w:r>
          </w:p>
          <w:p w14:paraId="7FA83581" w14:textId="5389E3D0" w:rsidR="00EB0E28" w:rsidRPr="00FA0D37" w:rsidRDefault="00EB0E28" w:rsidP="00EB0E28">
            <w:pPr>
              <w:pStyle w:val="TAL"/>
              <w:rPr>
                <w:bCs/>
                <w:iCs/>
                <w:szCs w:val="22"/>
              </w:rPr>
            </w:pPr>
            <w:r w:rsidRPr="00FA0D37">
              <w:rPr>
                <w:bCs/>
                <w:iCs/>
                <w:szCs w:val="22"/>
              </w:rPr>
              <w:t>List of G-RNTI configurations to add or modify.</w:t>
            </w:r>
            <w:r w:rsidR="00FD05B6" w:rsidRPr="00FA0D37">
              <w:rPr>
                <w:bCs/>
                <w:iCs/>
                <w:szCs w:val="22"/>
              </w:rPr>
              <w:t xml:space="preserve"> Up to 8 G-RNTIs can be configured in total in this release based on the UE capability.</w:t>
            </w:r>
          </w:p>
        </w:tc>
      </w:tr>
      <w:tr w:rsidR="005C7FF4" w:rsidRPr="00FA0D37"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FA0D37" w:rsidRDefault="00EB0E28" w:rsidP="00EB0E28">
            <w:pPr>
              <w:pStyle w:val="TAL"/>
              <w:rPr>
                <w:b/>
                <w:i/>
                <w:szCs w:val="22"/>
              </w:rPr>
            </w:pPr>
            <w:r w:rsidRPr="00FA0D37">
              <w:rPr>
                <w:b/>
                <w:i/>
                <w:szCs w:val="22"/>
              </w:rPr>
              <w:t>g-RNTI-</w:t>
            </w:r>
            <w:r w:rsidR="00A00ABC" w:rsidRPr="00FA0D37">
              <w:rPr>
                <w:b/>
                <w:i/>
                <w:szCs w:val="22"/>
              </w:rPr>
              <w:t>Config</w:t>
            </w:r>
            <w:r w:rsidRPr="00FA0D37">
              <w:rPr>
                <w:b/>
                <w:i/>
                <w:szCs w:val="22"/>
              </w:rPr>
              <w:t>ToReleaseList</w:t>
            </w:r>
          </w:p>
          <w:p w14:paraId="760F461F" w14:textId="2342C69D" w:rsidR="00EB0E28" w:rsidRPr="00FA0D37" w:rsidRDefault="00EB0E28" w:rsidP="00EB0E28">
            <w:pPr>
              <w:pStyle w:val="TAL"/>
              <w:rPr>
                <w:bCs/>
                <w:iCs/>
                <w:szCs w:val="22"/>
              </w:rPr>
            </w:pPr>
            <w:r w:rsidRPr="00FA0D37">
              <w:rPr>
                <w:bCs/>
                <w:iCs/>
                <w:szCs w:val="22"/>
              </w:rPr>
              <w:t>List of G-RNTI configurations to release.</w:t>
            </w:r>
          </w:p>
        </w:tc>
      </w:tr>
      <w:tr w:rsidR="005C7FF4" w:rsidRPr="00FA0D37"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FA0D37" w:rsidRDefault="00EB0E28" w:rsidP="00EB0E28">
            <w:pPr>
              <w:pStyle w:val="TAL"/>
              <w:rPr>
                <w:b/>
                <w:i/>
                <w:szCs w:val="22"/>
              </w:rPr>
            </w:pPr>
            <w:r w:rsidRPr="00FA0D37">
              <w:rPr>
                <w:b/>
                <w:i/>
                <w:szCs w:val="22"/>
              </w:rPr>
              <w:t>g-CS-RNTI-</w:t>
            </w:r>
            <w:r w:rsidR="00A00ABC" w:rsidRPr="00FA0D37">
              <w:rPr>
                <w:b/>
                <w:i/>
                <w:szCs w:val="22"/>
              </w:rPr>
              <w:t>Config</w:t>
            </w:r>
            <w:r w:rsidRPr="00FA0D37">
              <w:rPr>
                <w:b/>
                <w:i/>
                <w:szCs w:val="22"/>
              </w:rPr>
              <w:t>ToAddModList</w:t>
            </w:r>
          </w:p>
          <w:p w14:paraId="5F08EEED" w14:textId="1CD7FD18" w:rsidR="00EB0E28" w:rsidRPr="00FA0D37" w:rsidRDefault="00EB0E28" w:rsidP="00EB0E28">
            <w:pPr>
              <w:pStyle w:val="TAL"/>
              <w:rPr>
                <w:bCs/>
                <w:iCs/>
                <w:szCs w:val="22"/>
              </w:rPr>
            </w:pPr>
            <w:r w:rsidRPr="00FA0D37">
              <w:rPr>
                <w:bCs/>
                <w:iCs/>
                <w:szCs w:val="22"/>
              </w:rPr>
              <w:t>List of G-CS-RNTI configurations to add or modify.</w:t>
            </w:r>
            <w:r w:rsidR="00FD05B6" w:rsidRPr="00FA0D37">
              <w:rPr>
                <w:bCs/>
                <w:iCs/>
                <w:szCs w:val="22"/>
              </w:rPr>
              <w:t xml:space="preserve"> Up to 8 G-CS-RNTIs can be configured in total in this release based on the UE capability.</w:t>
            </w:r>
          </w:p>
        </w:tc>
      </w:tr>
      <w:tr w:rsidR="005C7FF4" w:rsidRPr="00FA0D37"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FA0D37" w:rsidRDefault="00EB0E28" w:rsidP="00EB0E28">
            <w:pPr>
              <w:pStyle w:val="TAL"/>
              <w:rPr>
                <w:b/>
                <w:i/>
                <w:szCs w:val="22"/>
              </w:rPr>
            </w:pPr>
            <w:r w:rsidRPr="00FA0D37">
              <w:rPr>
                <w:b/>
                <w:i/>
                <w:szCs w:val="22"/>
              </w:rPr>
              <w:t>g-</w:t>
            </w:r>
            <w:r w:rsidR="00A00ABC" w:rsidRPr="00FA0D37">
              <w:rPr>
                <w:b/>
                <w:i/>
                <w:szCs w:val="22"/>
              </w:rPr>
              <w:t>CS-</w:t>
            </w:r>
            <w:r w:rsidRPr="00FA0D37">
              <w:rPr>
                <w:b/>
                <w:i/>
                <w:szCs w:val="22"/>
              </w:rPr>
              <w:t>RNTI-</w:t>
            </w:r>
            <w:r w:rsidR="00A00ABC" w:rsidRPr="00FA0D37">
              <w:rPr>
                <w:b/>
                <w:i/>
                <w:szCs w:val="22"/>
              </w:rPr>
              <w:t>Config</w:t>
            </w:r>
            <w:r w:rsidRPr="00FA0D37">
              <w:rPr>
                <w:b/>
                <w:i/>
                <w:szCs w:val="22"/>
              </w:rPr>
              <w:t>ToReleaseList</w:t>
            </w:r>
          </w:p>
          <w:p w14:paraId="53744E37" w14:textId="1AC87597" w:rsidR="00EB0E28" w:rsidRPr="00FA0D37" w:rsidRDefault="00EB0E28" w:rsidP="00EB0E28">
            <w:pPr>
              <w:pStyle w:val="TAL"/>
              <w:rPr>
                <w:bCs/>
                <w:iCs/>
                <w:szCs w:val="22"/>
              </w:rPr>
            </w:pPr>
            <w:r w:rsidRPr="00FA0D37">
              <w:rPr>
                <w:bCs/>
                <w:iCs/>
                <w:szCs w:val="22"/>
              </w:rPr>
              <w:t>List of G-CS-RNTI configurations to release.</w:t>
            </w:r>
          </w:p>
        </w:tc>
      </w:tr>
      <w:tr w:rsidR="005C7FF4" w:rsidRPr="00FA0D37"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FA0D37" w:rsidRDefault="00F27D15" w:rsidP="00771058">
            <w:pPr>
              <w:pStyle w:val="TAL"/>
              <w:rPr>
                <w:b/>
                <w:bCs/>
                <w:i/>
                <w:iCs/>
              </w:rPr>
            </w:pPr>
            <w:r w:rsidRPr="00FA0D37">
              <w:rPr>
                <w:b/>
                <w:bCs/>
                <w:i/>
                <w:iCs/>
              </w:rPr>
              <w:t>intraCG-Prioritization</w:t>
            </w:r>
          </w:p>
          <w:p w14:paraId="28D7675B" w14:textId="4E974FA9" w:rsidR="00F27D15" w:rsidRPr="00FA0D37" w:rsidRDefault="00F27D15" w:rsidP="00771058">
            <w:pPr>
              <w:pStyle w:val="TAL"/>
              <w:rPr>
                <w:b/>
                <w:bCs/>
              </w:rPr>
            </w:pPr>
            <w:r w:rsidRPr="00FA0D37">
              <w:rPr>
                <w:szCs w:val="22"/>
                <w:lang w:eastAsia="sv-SE"/>
              </w:rPr>
              <w:t xml:space="preserve">Used to enable HARQ process ID selection based on LCH-priority for one CG as </w:t>
            </w:r>
            <w:r w:rsidR="000056EE" w:rsidRPr="00FA0D37">
              <w:rPr>
                <w:szCs w:val="22"/>
                <w:lang w:eastAsia="sv-SE"/>
              </w:rPr>
              <w:t>specified</w:t>
            </w:r>
            <w:r w:rsidRPr="00FA0D37">
              <w:rPr>
                <w:szCs w:val="22"/>
                <w:lang w:eastAsia="sv-SE"/>
              </w:rPr>
              <w:t xml:space="preserve"> in TS 38.321 [3].</w:t>
            </w:r>
          </w:p>
        </w:tc>
      </w:tr>
      <w:tr w:rsidR="005C7FF4" w:rsidRPr="00FA0D37"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FA0D37" w:rsidRDefault="00394471" w:rsidP="00964CC4">
            <w:pPr>
              <w:pStyle w:val="TAL"/>
              <w:rPr>
                <w:b/>
                <w:i/>
                <w:szCs w:val="22"/>
                <w:lang w:eastAsia="sv-SE"/>
              </w:rPr>
            </w:pPr>
            <w:r w:rsidRPr="00FA0D37">
              <w:rPr>
                <w:b/>
                <w:i/>
                <w:szCs w:val="22"/>
                <w:lang w:eastAsia="sv-SE"/>
              </w:rPr>
              <w:t>lch-BasedPrioritization</w:t>
            </w:r>
          </w:p>
          <w:p w14:paraId="737D0414" w14:textId="13B3D4ED" w:rsidR="00394471" w:rsidRPr="00FA0D37" w:rsidRDefault="00394471" w:rsidP="00964CC4">
            <w:pPr>
              <w:pStyle w:val="TAL"/>
              <w:rPr>
                <w:b/>
                <w:i/>
                <w:szCs w:val="22"/>
                <w:lang w:eastAsia="sv-SE"/>
              </w:rPr>
            </w:pPr>
            <w:r w:rsidRPr="00FA0D37">
              <w:rPr>
                <w:szCs w:val="22"/>
                <w:lang w:eastAsia="sv-SE"/>
              </w:rPr>
              <w:t xml:space="preserve">If this field is present, </w:t>
            </w:r>
            <w:r w:rsidRPr="00FA0D37">
              <w:rPr>
                <w:szCs w:val="22"/>
              </w:rPr>
              <w:t xml:space="preserve">the corresponding MAC entity of </w:t>
            </w:r>
            <w:r w:rsidRPr="00FA0D37">
              <w:rPr>
                <w:szCs w:val="22"/>
                <w:lang w:eastAsia="sv-SE"/>
              </w:rPr>
              <w:t xml:space="preserve">the UE is configured with </w:t>
            </w:r>
            <w:r w:rsidRPr="00FA0D37">
              <w:rPr>
                <w:lang w:eastAsia="sv-SE"/>
              </w:rPr>
              <w:t xml:space="preserve">prioritization between overlapping grants and between scheduling request and overlapping grants based on LCH priority, see </w:t>
            </w:r>
            <w:r w:rsidRPr="00FA0D37">
              <w:rPr>
                <w:szCs w:val="22"/>
                <w:lang w:eastAsia="sv-SE"/>
              </w:rPr>
              <w:t>TS 38.321 [3].</w:t>
            </w:r>
            <w:r w:rsidR="001F6C9F" w:rsidRPr="00FA0D37">
              <w:rPr>
                <w:szCs w:val="22"/>
                <w:lang w:eastAsia="sv-SE"/>
              </w:rPr>
              <w:t xml:space="preserve"> </w:t>
            </w:r>
            <w:r w:rsidR="001F6C9F" w:rsidRPr="00FA0D37">
              <w:rPr>
                <w:szCs w:val="22"/>
              </w:rPr>
              <w:t xml:space="preserve">The network does not configure </w:t>
            </w:r>
            <w:r w:rsidR="001F6C9F" w:rsidRPr="00FA0D37">
              <w:rPr>
                <w:i/>
                <w:szCs w:val="22"/>
                <w:lang w:eastAsia="sv-SE"/>
              </w:rPr>
              <w:t xml:space="preserve">lch-BasedPrioritization </w:t>
            </w:r>
            <w:r w:rsidR="001F6C9F" w:rsidRPr="00FA0D37">
              <w:rPr>
                <w:szCs w:val="22"/>
              </w:rPr>
              <w:t xml:space="preserve">with </w:t>
            </w:r>
            <w:r w:rsidR="001F6C9F" w:rsidRPr="00FA0D37">
              <w:rPr>
                <w:rFonts w:cs="Arial"/>
                <w:i/>
              </w:rPr>
              <w:t>enhancedSkipUplinkTxDynamic</w:t>
            </w:r>
            <w:r w:rsidR="001F6C9F" w:rsidRPr="00FA0D37">
              <w:rPr>
                <w:rFonts w:cs="Arial"/>
              </w:rPr>
              <w:t xml:space="preserve"> </w:t>
            </w:r>
            <w:r w:rsidR="001F6C9F" w:rsidRPr="00FA0D37">
              <w:rPr>
                <w:szCs w:val="22"/>
              </w:rPr>
              <w:t>simultaneously</w:t>
            </w:r>
            <w:r w:rsidR="001F6C9F" w:rsidRPr="00FA0D37">
              <w:rPr>
                <w:rFonts w:cs="Arial"/>
              </w:rPr>
              <w:t xml:space="preserve"> nor </w:t>
            </w:r>
            <w:r w:rsidR="001F6C9F" w:rsidRPr="00FA0D37">
              <w:rPr>
                <w:i/>
                <w:szCs w:val="22"/>
                <w:lang w:eastAsia="sv-SE"/>
              </w:rPr>
              <w:t xml:space="preserve">lch-BasedPrioritization </w:t>
            </w:r>
            <w:r w:rsidR="001F6C9F" w:rsidRPr="00FA0D37">
              <w:rPr>
                <w:szCs w:val="22"/>
                <w:lang w:eastAsia="sv-SE"/>
              </w:rPr>
              <w:t>with</w:t>
            </w:r>
            <w:r w:rsidR="001F6C9F" w:rsidRPr="00FA0D37">
              <w:rPr>
                <w:rFonts w:cs="Arial"/>
              </w:rPr>
              <w:t xml:space="preserve"> </w:t>
            </w:r>
            <w:r w:rsidR="001F6C9F" w:rsidRPr="00FA0D37">
              <w:rPr>
                <w:rFonts w:cs="Arial"/>
                <w:i/>
                <w:szCs w:val="22"/>
                <w:lang w:eastAsia="sv-SE"/>
              </w:rPr>
              <w:t>enhancedSkipUplinkTxConfigured</w:t>
            </w:r>
            <w:r w:rsidR="001F6C9F" w:rsidRPr="00FA0D37">
              <w:rPr>
                <w:rFonts w:cs="Arial"/>
                <w:noProof/>
              </w:rPr>
              <w:t xml:space="preserve"> </w:t>
            </w:r>
            <w:r w:rsidR="001F6C9F" w:rsidRPr="00FA0D37">
              <w:rPr>
                <w:szCs w:val="22"/>
              </w:rPr>
              <w:t>simultaneously.</w:t>
            </w:r>
          </w:p>
        </w:tc>
      </w:tr>
      <w:tr w:rsidR="005C7FF4" w:rsidRPr="00FA0D37"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FA0D37" w:rsidRDefault="009410A1" w:rsidP="0071565C">
            <w:pPr>
              <w:pStyle w:val="TAL"/>
              <w:rPr>
                <w:b/>
                <w:i/>
                <w:szCs w:val="22"/>
                <w:lang w:eastAsia="sv-SE"/>
              </w:rPr>
            </w:pPr>
            <w:r w:rsidRPr="00FA0D37">
              <w:rPr>
                <w:b/>
                <w:i/>
                <w:szCs w:val="22"/>
                <w:lang w:eastAsia="sv-SE"/>
              </w:rPr>
              <w:t>posMG-Request</w:t>
            </w:r>
          </w:p>
          <w:p w14:paraId="368122ED" w14:textId="77777777" w:rsidR="009410A1" w:rsidRPr="00FA0D37" w:rsidRDefault="009410A1" w:rsidP="0071565C">
            <w:pPr>
              <w:pStyle w:val="TAL"/>
              <w:rPr>
                <w:b/>
                <w:i/>
                <w:szCs w:val="22"/>
                <w:lang w:eastAsia="sv-SE"/>
              </w:rPr>
            </w:pPr>
            <w:r w:rsidRPr="00FA0D37">
              <w:rPr>
                <w:lang w:eastAsia="sv-SE"/>
              </w:rPr>
              <w:t>Indicates whether UE is configured to send UL MAC CE for Positioning Measurement Gap Activation/Deactivation Request, as specified in TS 38.321 [3].</w:t>
            </w:r>
          </w:p>
        </w:tc>
      </w:tr>
      <w:tr w:rsidR="005C7FF4" w:rsidRPr="00FA0D37"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FA0D37" w:rsidRDefault="00394471" w:rsidP="00964CC4">
            <w:pPr>
              <w:pStyle w:val="TAL"/>
              <w:rPr>
                <w:rFonts w:eastAsia="宋体"/>
                <w:b/>
                <w:i/>
                <w:szCs w:val="22"/>
                <w:lang w:eastAsia="sv-SE"/>
              </w:rPr>
            </w:pPr>
            <w:r w:rsidRPr="00FA0D37">
              <w:rPr>
                <w:b/>
                <w:i/>
                <w:szCs w:val="22"/>
                <w:lang w:eastAsia="sv-SE"/>
              </w:rPr>
              <w:t>schedulingRequestID-BFR-SCell</w:t>
            </w:r>
          </w:p>
          <w:p w14:paraId="66B59B56" w14:textId="77777777" w:rsidR="00394471" w:rsidRPr="00FA0D37" w:rsidRDefault="00394471" w:rsidP="00964CC4">
            <w:pPr>
              <w:pStyle w:val="TAL"/>
              <w:rPr>
                <w:b/>
                <w:i/>
                <w:szCs w:val="22"/>
                <w:lang w:eastAsia="sv-SE"/>
              </w:rPr>
            </w:pPr>
            <w:r w:rsidRPr="00FA0D37">
              <w:rPr>
                <w:rFonts w:eastAsia="宋体"/>
                <w:lang w:eastAsia="sv-SE"/>
              </w:rPr>
              <w:t>Indicates the scheduling request configuration applicable for BFR on SCell, as specified in TS 38.321 [3]</w:t>
            </w:r>
            <w:r w:rsidRPr="00FA0D37">
              <w:rPr>
                <w:szCs w:val="22"/>
                <w:lang w:eastAsia="sv-SE"/>
              </w:rPr>
              <w:t>.</w:t>
            </w:r>
          </w:p>
        </w:tc>
      </w:tr>
      <w:tr w:rsidR="005C7FF4" w:rsidRPr="00FA0D37"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FA0D37" w:rsidRDefault="00651368" w:rsidP="00651368">
            <w:pPr>
              <w:pStyle w:val="TAL"/>
              <w:rPr>
                <w:b/>
                <w:i/>
                <w:szCs w:val="22"/>
                <w:lang w:eastAsia="sv-SE"/>
              </w:rPr>
            </w:pPr>
            <w:r w:rsidRPr="00FA0D37">
              <w:rPr>
                <w:b/>
                <w:i/>
                <w:szCs w:val="22"/>
                <w:lang w:eastAsia="sv-SE"/>
              </w:rPr>
              <w:t>schedulingRequestID-BFR</w:t>
            </w:r>
          </w:p>
          <w:p w14:paraId="74DC543D" w14:textId="3CEECDC0" w:rsidR="00651368" w:rsidRPr="00FA0D37" w:rsidRDefault="00651368" w:rsidP="0005240D">
            <w:pPr>
              <w:pStyle w:val="TAL"/>
              <w:rPr>
                <w:b/>
                <w:i/>
                <w:szCs w:val="22"/>
                <w:lang w:eastAsia="sv-SE"/>
              </w:rPr>
            </w:pPr>
            <w:r w:rsidRPr="00FA0D37">
              <w:rPr>
                <w:bCs/>
                <w:iCs/>
                <w:szCs w:val="22"/>
                <w:lang w:eastAsia="sv-SE"/>
              </w:rPr>
              <w:t xml:space="preserve">Indicates the scheduling request configuration (SchedulingRequestConfig) that the UE shall use upon detecting a beam failure on the detection resources configured in </w:t>
            </w:r>
            <w:r w:rsidR="00184EE0" w:rsidRPr="00FA0D37">
              <w:rPr>
                <w:bCs/>
                <w:i/>
                <w:szCs w:val="22"/>
                <w:lang w:eastAsia="sv-SE"/>
              </w:rPr>
              <w:t>failureDetectionSet1</w:t>
            </w:r>
            <w:r w:rsidRPr="00FA0D37">
              <w:rPr>
                <w:bCs/>
                <w:iCs/>
                <w:szCs w:val="22"/>
                <w:lang w:eastAsia="sv-SE"/>
              </w:rPr>
              <w:t xml:space="preserve"> of a serving cell </w:t>
            </w:r>
            <w:r w:rsidR="0005240D" w:rsidRPr="00FA0D37">
              <w:rPr>
                <w:bCs/>
                <w:iCs/>
                <w:szCs w:val="22"/>
                <w:lang w:eastAsia="sv-SE"/>
              </w:rPr>
              <w:t xml:space="preserve">while beam failure is </w:t>
            </w:r>
            <w:r w:rsidRPr="00FA0D37">
              <w:rPr>
                <w:bCs/>
                <w:iCs/>
                <w:szCs w:val="22"/>
                <w:lang w:eastAsia="sv-SE"/>
              </w:rPr>
              <w:t xml:space="preserve">not </w:t>
            </w:r>
            <w:r w:rsidR="0005240D" w:rsidRPr="00FA0D37">
              <w:rPr>
                <w:bCs/>
                <w:iCs/>
                <w:szCs w:val="22"/>
                <w:lang w:eastAsia="sv-SE"/>
              </w:rPr>
              <w:t xml:space="preserve">detected </w:t>
            </w:r>
            <w:r w:rsidRPr="00FA0D37">
              <w:rPr>
                <w:bCs/>
                <w:iCs/>
                <w:szCs w:val="22"/>
                <w:lang w:eastAsia="sv-SE"/>
              </w:rPr>
              <w:t xml:space="preserve">on resources configured in </w:t>
            </w:r>
            <w:r w:rsidR="0005240D" w:rsidRPr="00FA0D37">
              <w:rPr>
                <w:bCs/>
                <w:i/>
                <w:szCs w:val="22"/>
                <w:lang w:eastAsia="sv-SE"/>
              </w:rPr>
              <w:t>failureDetectionSet</w:t>
            </w:r>
            <w:r w:rsidRPr="00FA0D37">
              <w:rPr>
                <w:bCs/>
                <w:i/>
                <w:szCs w:val="22"/>
                <w:lang w:eastAsia="sv-SE"/>
              </w:rPr>
              <w:t>2</w:t>
            </w:r>
            <w:r w:rsidRPr="00FA0D37">
              <w:rPr>
                <w:bCs/>
                <w:iCs/>
                <w:szCs w:val="22"/>
                <w:lang w:eastAsia="sv-SE"/>
              </w:rPr>
              <w:t xml:space="preserve"> of the same serving cell.</w:t>
            </w:r>
          </w:p>
        </w:tc>
      </w:tr>
      <w:tr w:rsidR="005C7FF4" w:rsidRPr="00FA0D37"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FA0D37" w:rsidRDefault="00651368" w:rsidP="00651368">
            <w:pPr>
              <w:pStyle w:val="TAL"/>
              <w:rPr>
                <w:b/>
                <w:i/>
                <w:szCs w:val="22"/>
                <w:lang w:eastAsia="sv-SE"/>
              </w:rPr>
            </w:pPr>
            <w:r w:rsidRPr="00FA0D37">
              <w:rPr>
                <w:b/>
                <w:i/>
                <w:szCs w:val="22"/>
                <w:lang w:eastAsia="sv-SE"/>
              </w:rPr>
              <w:t>schedulingRequestID-BFR2</w:t>
            </w:r>
          </w:p>
          <w:p w14:paraId="25939411" w14:textId="12C56B59" w:rsidR="00651368" w:rsidRPr="00FA0D37" w:rsidRDefault="00651368" w:rsidP="0005240D">
            <w:pPr>
              <w:pStyle w:val="TAL"/>
              <w:rPr>
                <w:b/>
                <w:i/>
                <w:szCs w:val="22"/>
                <w:lang w:eastAsia="sv-SE"/>
              </w:rPr>
            </w:pPr>
            <w:r w:rsidRPr="00FA0D37">
              <w:rPr>
                <w:bCs/>
                <w:iCs/>
                <w:szCs w:val="22"/>
                <w:lang w:eastAsia="sv-SE"/>
              </w:rPr>
              <w:t xml:space="preserve">Indicates the scheduling request configuration (SchedulingRequestConfig) that the UE shall use upon detecting a beam failure on the detection resources configured in </w:t>
            </w:r>
            <w:r w:rsidR="00184EE0" w:rsidRPr="00FA0D37">
              <w:rPr>
                <w:bCs/>
                <w:i/>
                <w:szCs w:val="22"/>
                <w:lang w:eastAsia="sv-SE"/>
              </w:rPr>
              <w:t>failureDetectionSet2</w:t>
            </w:r>
            <w:r w:rsidRPr="00FA0D37">
              <w:rPr>
                <w:bCs/>
                <w:iCs/>
                <w:szCs w:val="22"/>
                <w:lang w:eastAsia="sv-SE"/>
              </w:rPr>
              <w:t xml:space="preserve"> of a serving cell </w:t>
            </w:r>
            <w:r w:rsidR="0005240D" w:rsidRPr="00FA0D37">
              <w:rPr>
                <w:bCs/>
                <w:iCs/>
                <w:szCs w:val="22"/>
                <w:lang w:eastAsia="sv-SE"/>
              </w:rPr>
              <w:t xml:space="preserve">while beam failure is </w:t>
            </w:r>
            <w:r w:rsidRPr="00FA0D37">
              <w:rPr>
                <w:bCs/>
                <w:iCs/>
                <w:szCs w:val="22"/>
                <w:lang w:eastAsia="sv-SE"/>
              </w:rPr>
              <w:t xml:space="preserve">not </w:t>
            </w:r>
            <w:r w:rsidR="0005240D" w:rsidRPr="00FA0D37">
              <w:rPr>
                <w:bCs/>
                <w:iCs/>
                <w:szCs w:val="22"/>
                <w:lang w:eastAsia="sv-SE"/>
              </w:rPr>
              <w:t xml:space="preserve">detected </w:t>
            </w:r>
            <w:r w:rsidRPr="00FA0D37">
              <w:rPr>
                <w:bCs/>
                <w:iCs/>
                <w:szCs w:val="22"/>
                <w:lang w:eastAsia="sv-SE"/>
              </w:rPr>
              <w:t xml:space="preserve">on resources configured in </w:t>
            </w:r>
            <w:r w:rsidR="0005240D" w:rsidRPr="00FA0D37">
              <w:rPr>
                <w:bCs/>
                <w:i/>
                <w:szCs w:val="22"/>
                <w:lang w:eastAsia="sv-SE"/>
              </w:rPr>
              <w:t>failureDetectionSet1</w:t>
            </w:r>
            <w:r w:rsidRPr="00FA0D37">
              <w:rPr>
                <w:bCs/>
                <w:iCs/>
                <w:szCs w:val="22"/>
                <w:lang w:eastAsia="sv-SE"/>
              </w:rPr>
              <w:t xml:space="preserve"> of the same serving cell.</w:t>
            </w:r>
          </w:p>
        </w:tc>
      </w:tr>
      <w:tr w:rsidR="005C7FF4" w:rsidRPr="00FA0D37"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FA0D37" w:rsidRDefault="00394471" w:rsidP="00964CC4">
            <w:pPr>
              <w:pStyle w:val="TAL"/>
              <w:rPr>
                <w:b/>
                <w:i/>
                <w:szCs w:val="22"/>
                <w:lang w:eastAsia="sv-SE"/>
              </w:rPr>
            </w:pPr>
            <w:r w:rsidRPr="00FA0D37">
              <w:rPr>
                <w:b/>
                <w:i/>
                <w:szCs w:val="22"/>
                <w:lang w:eastAsia="sv-SE"/>
              </w:rPr>
              <w:lastRenderedPageBreak/>
              <w:t>schedulingRequestID-LBT-SCell</w:t>
            </w:r>
          </w:p>
          <w:p w14:paraId="0504183A" w14:textId="77777777" w:rsidR="00394471" w:rsidRPr="00FA0D37" w:rsidRDefault="00394471" w:rsidP="00964CC4">
            <w:pPr>
              <w:pStyle w:val="TAL"/>
              <w:rPr>
                <w:b/>
                <w:i/>
                <w:szCs w:val="22"/>
                <w:lang w:eastAsia="sv-SE"/>
              </w:rPr>
            </w:pPr>
            <w:r w:rsidRPr="00FA0D37">
              <w:rPr>
                <w:rFonts w:eastAsia="宋体"/>
                <w:lang w:eastAsia="sv-SE"/>
              </w:rPr>
              <w:t>Indicates the scheduling request configuration applicable for consistent uplink LBT recovery on SCell, as specified in TS 38.321 [3]</w:t>
            </w:r>
            <w:r w:rsidRPr="00FA0D37">
              <w:rPr>
                <w:szCs w:val="22"/>
                <w:lang w:eastAsia="sv-SE"/>
              </w:rPr>
              <w:t>.</w:t>
            </w:r>
          </w:p>
        </w:tc>
      </w:tr>
      <w:tr w:rsidR="005C7FF4" w:rsidRPr="00FA0D37"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7D4907" w:rsidRPr="00FA0D37" w:rsidRDefault="007D4907" w:rsidP="0071565C">
            <w:pPr>
              <w:pStyle w:val="TAL"/>
              <w:rPr>
                <w:b/>
                <w:i/>
                <w:szCs w:val="22"/>
                <w:lang w:eastAsia="sv-SE"/>
              </w:rPr>
            </w:pPr>
            <w:r w:rsidRPr="00FA0D37">
              <w:rPr>
                <w:b/>
                <w:i/>
                <w:szCs w:val="22"/>
                <w:lang w:eastAsia="sv-SE"/>
              </w:rPr>
              <w:t>schedulingRequestID-PosMG-Request</w:t>
            </w:r>
          </w:p>
          <w:p w14:paraId="4738E3B9" w14:textId="77777777" w:rsidR="007D4907" w:rsidRPr="00FA0D37" w:rsidRDefault="007D4907" w:rsidP="0071565C">
            <w:pPr>
              <w:pStyle w:val="TAL"/>
              <w:rPr>
                <w:bCs/>
                <w:iCs/>
                <w:szCs w:val="22"/>
                <w:lang w:eastAsia="sv-SE"/>
              </w:rPr>
            </w:pPr>
            <w:r w:rsidRPr="00FA0D37">
              <w:rPr>
                <w:bCs/>
                <w:iCs/>
                <w:szCs w:val="22"/>
                <w:lang w:eastAsia="sv-SE"/>
              </w:rPr>
              <w:t>Indicates the scheduling request configuration applicable for Positioning Measurement Gap Activation/Deactivation Request, as specified in TS 38.321 [3].</w:t>
            </w:r>
          </w:p>
        </w:tc>
      </w:tr>
      <w:tr w:rsidR="005C7FF4" w:rsidRPr="00FA0D37"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FA0D37" w:rsidRDefault="00394471" w:rsidP="00964CC4">
            <w:pPr>
              <w:pStyle w:val="TAL"/>
              <w:rPr>
                <w:szCs w:val="22"/>
                <w:lang w:eastAsia="sv-SE"/>
              </w:rPr>
            </w:pPr>
            <w:r w:rsidRPr="00FA0D37">
              <w:rPr>
                <w:b/>
                <w:i/>
                <w:szCs w:val="22"/>
                <w:lang w:eastAsia="sv-SE"/>
              </w:rPr>
              <w:t>skipUplinkTxDynamic</w:t>
            </w:r>
            <w:r w:rsidR="005E7CB8" w:rsidRPr="00FA0D37">
              <w:rPr>
                <w:b/>
                <w:i/>
                <w:szCs w:val="22"/>
                <w:lang w:eastAsia="sv-SE"/>
              </w:rPr>
              <w:t>, enhancedSkipUplinkTxDynamic, enhancedSkipUplinkTxConfigured</w:t>
            </w:r>
          </w:p>
          <w:p w14:paraId="298FDAF7" w14:textId="48C1D122" w:rsidR="00394471" w:rsidRPr="00FA0D37" w:rsidRDefault="00394471" w:rsidP="00964CC4">
            <w:pPr>
              <w:pStyle w:val="TAL"/>
              <w:rPr>
                <w:szCs w:val="22"/>
                <w:lang w:eastAsia="sv-SE"/>
              </w:rPr>
            </w:pPr>
            <w:r w:rsidRPr="00FA0D37">
              <w:rPr>
                <w:szCs w:val="22"/>
                <w:lang w:eastAsia="sv-SE"/>
              </w:rPr>
              <w:t xml:space="preserve">If set to </w:t>
            </w:r>
            <w:r w:rsidRPr="00FA0D37">
              <w:rPr>
                <w:i/>
                <w:lang w:eastAsia="sv-SE"/>
              </w:rPr>
              <w:t>true</w:t>
            </w:r>
            <w:r w:rsidRPr="00FA0D37">
              <w:rPr>
                <w:szCs w:val="22"/>
                <w:lang w:eastAsia="sv-SE"/>
              </w:rPr>
              <w:t>, the UE skips UL transmissions as described in TS 38.321 [3].</w:t>
            </w:r>
            <w:r w:rsidR="001D7738" w:rsidRPr="00FA0D37">
              <w:rPr>
                <w:rFonts w:cs="Arial"/>
                <w:szCs w:val="22"/>
                <w:lang w:eastAsia="sv-SE"/>
              </w:rPr>
              <w:t xml:space="preserve"> </w:t>
            </w:r>
            <w:r w:rsidR="001D7738" w:rsidRPr="00FA0D37">
              <w:rPr>
                <w:rFonts w:eastAsiaTheme="minorEastAsia" w:cs="Arial"/>
                <w:szCs w:val="22"/>
                <w:lang w:eastAsia="zh-CN"/>
              </w:rPr>
              <w:t xml:space="preserve">If the UE is configured with </w:t>
            </w:r>
            <w:r w:rsidR="001D7738" w:rsidRPr="00FA0D37">
              <w:rPr>
                <w:rFonts w:cs="Arial"/>
                <w:i/>
              </w:rPr>
              <w:t>enhancedSkipUplinkTxDynamic</w:t>
            </w:r>
            <w:r w:rsidR="001D7738" w:rsidRPr="00FA0D37">
              <w:rPr>
                <w:rFonts w:cs="Arial"/>
              </w:rPr>
              <w:t xml:space="preserve"> or </w:t>
            </w:r>
            <w:r w:rsidR="001D7738" w:rsidRPr="00FA0D37">
              <w:rPr>
                <w:rFonts w:cs="Arial"/>
                <w:i/>
                <w:szCs w:val="22"/>
                <w:lang w:eastAsia="sv-SE"/>
              </w:rPr>
              <w:t>enhancedSkipUplinkTxConfigured</w:t>
            </w:r>
            <w:r w:rsidR="001D7738" w:rsidRPr="00FA0D37">
              <w:rPr>
                <w:rFonts w:cs="Arial"/>
                <w:noProof/>
              </w:rPr>
              <w:t xml:space="preserve"> with value </w:t>
            </w:r>
            <w:r w:rsidR="001D7738" w:rsidRPr="00FA0D37">
              <w:rPr>
                <w:rFonts w:cs="Arial"/>
                <w:i/>
                <w:noProof/>
              </w:rPr>
              <w:t>true</w:t>
            </w:r>
            <w:r w:rsidR="001D7738" w:rsidRPr="00FA0D37">
              <w:rPr>
                <w:rFonts w:cs="Arial"/>
                <w:noProof/>
              </w:rPr>
              <w:t xml:space="preserve">, </w:t>
            </w:r>
            <w:r w:rsidR="001D7738" w:rsidRPr="00FA0D37">
              <w:rPr>
                <w:rFonts w:cs="Arial"/>
                <w:noProof/>
                <w:lang w:eastAsia="ko-KR"/>
              </w:rPr>
              <w:t xml:space="preserve">REPETITION_NUMBER </w:t>
            </w:r>
            <w:r w:rsidR="001D7738" w:rsidRPr="00FA0D37">
              <w:rPr>
                <w:rFonts w:cs="Arial"/>
              </w:rPr>
              <w:t>(as specified in</w:t>
            </w:r>
            <w:r w:rsidR="001D7738" w:rsidRPr="00FA0D37">
              <w:rPr>
                <w:rFonts w:cs="Arial"/>
                <w:noProof/>
                <w:lang w:eastAsia="ko-KR"/>
              </w:rPr>
              <w:t xml:space="preserve"> TS 38.321</w:t>
            </w:r>
            <w:r w:rsidR="001D7738" w:rsidRPr="00FA0D37">
              <w:rPr>
                <w:rFonts w:cs="Arial"/>
                <w:szCs w:val="22"/>
              </w:rPr>
              <w:t xml:space="preserve"> [3], clause </w:t>
            </w:r>
            <w:r w:rsidR="001D7738" w:rsidRPr="00FA0D37">
              <w:rPr>
                <w:rFonts w:cs="Arial"/>
                <w:noProof/>
                <w:lang w:eastAsia="ko-KR"/>
              </w:rPr>
              <w:t>5.4.2.1</w:t>
            </w:r>
            <w:r w:rsidR="001D7738" w:rsidRPr="00FA0D37">
              <w:rPr>
                <w:rFonts w:cs="Arial"/>
              </w:rPr>
              <w:t xml:space="preserve">) </w:t>
            </w:r>
            <w:r w:rsidR="001D7738" w:rsidRPr="00FA0D37">
              <w:rPr>
                <w:rFonts w:eastAsiaTheme="minorEastAsia" w:cs="Arial"/>
                <w:lang w:eastAsia="zh-CN"/>
              </w:rPr>
              <w:t>of</w:t>
            </w:r>
            <w:r w:rsidR="001D7738" w:rsidRPr="00FA0D37">
              <w:rPr>
                <w:rFonts w:cs="Arial"/>
              </w:rPr>
              <w:t xml:space="preserve"> the corresponding PUSCH transmission of the uplink grant shall be equal to 1</w:t>
            </w:r>
            <w:r w:rsidR="001D7738" w:rsidRPr="00FA0D37">
              <w:rPr>
                <w:rFonts w:cs="Arial"/>
                <w:szCs w:val="22"/>
              </w:rPr>
              <w:t>.</w:t>
            </w:r>
          </w:p>
        </w:tc>
      </w:tr>
      <w:tr w:rsidR="005C7FF4" w:rsidRPr="00FA0D37"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FA0D37" w:rsidRDefault="00394471" w:rsidP="00964CC4">
            <w:pPr>
              <w:pStyle w:val="TAL"/>
              <w:rPr>
                <w:b/>
                <w:i/>
                <w:szCs w:val="22"/>
              </w:rPr>
            </w:pPr>
            <w:r w:rsidRPr="00FA0D37">
              <w:rPr>
                <w:b/>
                <w:i/>
                <w:szCs w:val="22"/>
              </w:rPr>
              <w:t>tag-Config</w:t>
            </w:r>
          </w:p>
          <w:p w14:paraId="04E8E452" w14:textId="77777777" w:rsidR="00394471" w:rsidRPr="00FA0D37" w:rsidRDefault="00394471" w:rsidP="00964CC4">
            <w:pPr>
              <w:pStyle w:val="TAL"/>
              <w:rPr>
                <w:bCs/>
                <w:iCs/>
                <w:szCs w:val="22"/>
                <w:lang w:eastAsia="sv-SE"/>
              </w:rPr>
            </w:pPr>
            <w:r w:rsidRPr="00FA0D37">
              <w:rPr>
                <w:bCs/>
                <w:iCs/>
                <w:szCs w:val="22"/>
              </w:rPr>
              <w:t>The field is used to configure parameters for a time-alignment group. The field is not present if any DAPS bearer is configured.</w:t>
            </w:r>
          </w:p>
        </w:tc>
      </w:tr>
      <w:tr w:rsidR="000830BB" w:rsidRPr="00FA0D37"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EB0E28" w:rsidRPr="00FA0D37" w:rsidRDefault="00EB0E28" w:rsidP="00771058">
            <w:pPr>
              <w:pStyle w:val="TAL"/>
              <w:rPr>
                <w:b/>
                <w:i/>
                <w:szCs w:val="22"/>
              </w:rPr>
            </w:pPr>
            <w:r w:rsidRPr="00FA0D37">
              <w:rPr>
                <w:b/>
                <w:i/>
                <w:szCs w:val="22"/>
              </w:rPr>
              <w:t>usePreBSR</w:t>
            </w:r>
          </w:p>
          <w:p w14:paraId="0F26A20C" w14:textId="77777777" w:rsidR="00EB0E28" w:rsidRPr="00FA0D37" w:rsidRDefault="00EB0E28" w:rsidP="00771058">
            <w:pPr>
              <w:pStyle w:val="TAL"/>
              <w:rPr>
                <w:bCs/>
                <w:iCs/>
                <w:szCs w:val="22"/>
              </w:rPr>
            </w:pPr>
            <w:r w:rsidRPr="00FA0D37">
              <w:rPr>
                <w:bCs/>
                <w:iCs/>
                <w:szCs w:val="22"/>
              </w:rPr>
              <w:t>If set to true, the MAC entity of the IAB-MT may use the Pre-emptive BSR, see TS 38.321 [3].</w:t>
            </w:r>
          </w:p>
        </w:tc>
      </w:tr>
    </w:tbl>
    <w:p w14:paraId="76672560" w14:textId="77777777" w:rsidR="00EB0E28" w:rsidRPr="00FA0D37"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FA0D37" w:rsidRDefault="00A00ABC" w:rsidP="00771058">
            <w:pPr>
              <w:pStyle w:val="TAH"/>
              <w:rPr>
                <w:szCs w:val="22"/>
                <w:lang w:eastAsia="sv-SE"/>
              </w:rPr>
            </w:pPr>
            <w:r w:rsidRPr="00FA0D37">
              <w:rPr>
                <w:i/>
                <w:szCs w:val="22"/>
                <w:lang w:eastAsia="sv-SE"/>
              </w:rPr>
              <w:t>MBS-RNTI-SpecificConfig</w:t>
            </w:r>
            <w:r w:rsidR="00EB0E28" w:rsidRPr="00FA0D37">
              <w:rPr>
                <w:i/>
                <w:szCs w:val="22"/>
                <w:lang w:eastAsia="sv-SE"/>
              </w:rPr>
              <w:t xml:space="preserve"> </w:t>
            </w:r>
            <w:r w:rsidR="00EB0E28" w:rsidRPr="00FA0D37">
              <w:rPr>
                <w:szCs w:val="22"/>
                <w:lang w:eastAsia="sv-SE"/>
              </w:rPr>
              <w:t>field descriptions</w:t>
            </w:r>
          </w:p>
        </w:tc>
      </w:tr>
      <w:tr w:rsidR="005C7FF4" w:rsidRPr="00FA0D37"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FA0D37" w:rsidRDefault="00EB0E28" w:rsidP="00771058">
            <w:pPr>
              <w:pStyle w:val="TAL"/>
              <w:rPr>
                <w:b/>
                <w:bCs/>
                <w:i/>
                <w:szCs w:val="22"/>
                <w:lang w:eastAsia="en-GB"/>
              </w:rPr>
            </w:pPr>
            <w:r w:rsidRPr="00FA0D37">
              <w:rPr>
                <w:b/>
                <w:bCs/>
                <w:i/>
                <w:szCs w:val="22"/>
                <w:lang w:eastAsia="en-GB"/>
              </w:rPr>
              <w:t>drx-</w:t>
            </w:r>
            <w:r w:rsidRPr="00FA0D37">
              <w:rPr>
                <w:b/>
                <w:i/>
                <w:szCs w:val="22"/>
              </w:rPr>
              <w:t>ConfigPTM</w:t>
            </w:r>
          </w:p>
          <w:p w14:paraId="1526826B" w14:textId="77777777" w:rsidR="00EB0E28" w:rsidRPr="00FA0D37" w:rsidRDefault="00EB0E28" w:rsidP="00771058">
            <w:pPr>
              <w:pStyle w:val="TAL"/>
              <w:rPr>
                <w:bCs/>
                <w:szCs w:val="22"/>
                <w:lang w:eastAsia="en-GB"/>
              </w:rPr>
            </w:pPr>
            <w:r w:rsidRPr="00FA0D37">
              <w:rPr>
                <w:szCs w:val="22"/>
                <w:lang w:eastAsia="sv-SE"/>
              </w:rPr>
              <w:t>Used to configure DRX for PTM transmission as specified in TS 38.321 [3]</w:t>
            </w:r>
            <w:r w:rsidRPr="00FA0D37">
              <w:rPr>
                <w:szCs w:val="22"/>
                <w:lang w:eastAsia="en-GB"/>
              </w:rPr>
              <w:t>.</w:t>
            </w:r>
          </w:p>
        </w:tc>
      </w:tr>
      <w:tr w:rsidR="005C7FF4" w:rsidRPr="00FA0D37"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FA0D37" w:rsidRDefault="00A00ABC" w:rsidP="00A00ABC">
            <w:pPr>
              <w:pStyle w:val="TAL"/>
              <w:rPr>
                <w:b/>
                <w:i/>
                <w:szCs w:val="22"/>
              </w:rPr>
            </w:pPr>
            <w:r w:rsidRPr="00FA0D37">
              <w:rPr>
                <w:b/>
                <w:i/>
                <w:szCs w:val="22"/>
              </w:rPr>
              <w:t>g-CS-RNTI</w:t>
            </w:r>
          </w:p>
          <w:p w14:paraId="02C71AED" w14:textId="5E9D3842" w:rsidR="00A00ABC" w:rsidRPr="00FA0D37" w:rsidRDefault="00A00ABC" w:rsidP="00A00ABC">
            <w:pPr>
              <w:pStyle w:val="TAL"/>
              <w:rPr>
                <w:b/>
                <w:bCs/>
                <w:i/>
                <w:szCs w:val="22"/>
                <w:lang w:eastAsia="en-GB"/>
              </w:rPr>
            </w:pPr>
            <w:r w:rsidRPr="00FA0D37">
              <w:rPr>
                <w:lang w:eastAsia="en-GB"/>
              </w:rPr>
              <w:t xml:space="preserve">Used to </w:t>
            </w:r>
            <w:r w:rsidRPr="00FA0D37">
              <w:rPr>
                <w:szCs w:val="22"/>
                <w:lang w:eastAsia="sv-SE"/>
              </w:rPr>
              <w:t>scramble</w:t>
            </w:r>
            <w:r w:rsidRPr="00FA0D37">
              <w:rPr>
                <w:lang w:eastAsia="en-GB"/>
              </w:rPr>
              <w:t xml:space="preserve"> the SPS group-common PDSCH and activation/deactivation of SPS group-common PDSCH for one or more MBS multicast services.</w:t>
            </w:r>
          </w:p>
        </w:tc>
      </w:tr>
      <w:tr w:rsidR="005C7FF4" w:rsidRPr="00FA0D37"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FA0D37" w:rsidRDefault="00A00ABC" w:rsidP="00A00ABC">
            <w:pPr>
              <w:pStyle w:val="TAL"/>
              <w:rPr>
                <w:b/>
                <w:i/>
                <w:szCs w:val="22"/>
              </w:rPr>
            </w:pPr>
            <w:r w:rsidRPr="00FA0D37">
              <w:rPr>
                <w:b/>
                <w:i/>
                <w:szCs w:val="22"/>
              </w:rPr>
              <w:t>g-RNTI</w:t>
            </w:r>
          </w:p>
          <w:p w14:paraId="3A65C13B" w14:textId="791C4BED" w:rsidR="00A00ABC" w:rsidRPr="00FA0D37" w:rsidRDefault="00A00ABC" w:rsidP="00A00ABC">
            <w:pPr>
              <w:pStyle w:val="TAL"/>
              <w:rPr>
                <w:b/>
                <w:bCs/>
                <w:i/>
                <w:szCs w:val="22"/>
                <w:lang w:eastAsia="en-GB"/>
              </w:rPr>
            </w:pPr>
            <w:r w:rsidRPr="00FA0D37">
              <w:rPr>
                <w:lang w:eastAsia="en-GB"/>
              </w:rPr>
              <w:t>Used to scramble the scheduling and transmission of PTM for one or more MBS multicast services</w:t>
            </w:r>
            <w:r w:rsidRPr="00FA0D37">
              <w:rPr>
                <w:bCs/>
                <w:szCs w:val="22"/>
                <w:lang w:eastAsia="en-GB"/>
              </w:rPr>
              <w:t>.</w:t>
            </w:r>
          </w:p>
        </w:tc>
      </w:tr>
      <w:tr w:rsidR="005C7FF4" w:rsidRPr="00FA0D37"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FA0D37" w:rsidRDefault="00EB0E28" w:rsidP="00771058">
            <w:pPr>
              <w:pStyle w:val="TAL"/>
              <w:rPr>
                <w:b/>
                <w:bCs/>
                <w:i/>
                <w:szCs w:val="22"/>
                <w:lang w:eastAsia="en-GB"/>
              </w:rPr>
            </w:pPr>
            <w:r w:rsidRPr="00FA0D37">
              <w:rPr>
                <w:b/>
                <w:i/>
                <w:szCs w:val="22"/>
              </w:rPr>
              <w:t>groupCommon-RNTI</w:t>
            </w:r>
          </w:p>
          <w:p w14:paraId="0F927A84" w14:textId="7E85A6AC" w:rsidR="00EB0E28" w:rsidRPr="00FA0D37" w:rsidRDefault="00EB0E28" w:rsidP="00771058">
            <w:pPr>
              <w:pStyle w:val="TAL"/>
              <w:rPr>
                <w:szCs w:val="22"/>
                <w:lang w:eastAsia="en-GB"/>
              </w:rPr>
            </w:pPr>
            <w:r w:rsidRPr="00FA0D37">
              <w:rPr>
                <w:lang w:eastAsia="en-GB"/>
              </w:rPr>
              <w:t xml:space="preserve">Used to </w:t>
            </w:r>
            <w:r w:rsidR="00A00ABC" w:rsidRPr="00FA0D37">
              <w:rPr>
                <w:lang w:eastAsia="en-GB"/>
              </w:rPr>
              <w:t>configure g-RNTI or g-CS-RNTI</w:t>
            </w:r>
            <w:r w:rsidRPr="00FA0D37">
              <w:rPr>
                <w:bCs/>
                <w:szCs w:val="22"/>
                <w:lang w:eastAsia="en-GB"/>
              </w:rPr>
              <w:t>.</w:t>
            </w:r>
          </w:p>
        </w:tc>
      </w:tr>
      <w:tr w:rsidR="005C7FF4" w:rsidRPr="00FA0D37"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FA0D37" w:rsidRDefault="00EB0E28" w:rsidP="00771058">
            <w:pPr>
              <w:pStyle w:val="TAL"/>
              <w:rPr>
                <w:b/>
                <w:bCs/>
                <w:i/>
                <w:iCs/>
              </w:rPr>
            </w:pPr>
            <w:r w:rsidRPr="00FA0D37">
              <w:rPr>
                <w:b/>
                <w:bCs/>
                <w:i/>
                <w:iCs/>
              </w:rPr>
              <w:t>harq-FeedbackEnablerMulticast</w:t>
            </w:r>
          </w:p>
          <w:p w14:paraId="418BAA35" w14:textId="5485C2D2" w:rsidR="00EB0E28" w:rsidRPr="00FA0D37" w:rsidRDefault="00EB0E28" w:rsidP="00771058">
            <w:pPr>
              <w:pStyle w:val="TAL"/>
              <w:rPr>
                <w:b/>
                <w:bCs/>
                <w:i/>
                <w:szCs w:val="22"/>
                <w:lang w:eastAsia="en-GB"/>
              </w:rPr>
            </w:pPr>
            <w:r w:rsidRPr="00FA0D37">
              <w:rPr>
                <w:szCs w:val="22"/>
              </w:rPr>
              <w:t xml:space="preserve">Indicates whether the UE shall provide HARQ feedback for MBS multicast. Value </w:t>
            </w:r>
            <w:r w:rsidRPr="00FA0D37">
              <w:rPr>
                <w:i/>
                <w:szCs w:val="22"/>
              </w:rPr>
              <w:t>dci-enabler</w:t>
            </w:r>
            <w:r w:rsidRPr="00FA0D37">
              <w:rPr>
                <w:szCs w:val="22"/>
              </w:rPr>
              <w:t xml:space="preserve"> means that whether the UE shall provide HARQ feedback for MBS multicast is indicated by DCI</w:t>
            </w:r>
            <w:r w:rsidR="002A4990" w:rsidRPr="00FA0D37">
              <w:t xml:space="preserve"> </w:t>
            </w:r>
            <w:r w:rsidR="002A4990" w:rsidRPr="00FA0D37">
              <w:rPr>
                <w:szCs w:val="22"/>
              </w:rPr>
              <w:t>as specified in TS 38.213 [13]</w:t>
            </w:r>
            <w:r w:rsidRPr="00FA0D37">
              <w:rPr>
                <w:szCs w:val="22"/>
              </w:rPr>
              <w:t xml:space="preserve">. Value </w:t>
            </w:r>
            <w:r w:rsidRPr="00FA0D37">
              <w:rPr>
                <w:i/>
                <w:szCs w:val="22"/>
              </w:rPr>
              <w:t>enabled</w:t>
            </w:r>
            <w:r w:rsidRPr="00FA0D37">
              <w:rPr>
                <w:szCs w:val="22"/>
              </w:rPr>
              <w:t xml:space="preserve"> means the UE shall always provide HARQ feedback for MBS multicast. When the field is absent, </w:t>
            </w:r>
            <w:r w:rsidR="00154FBC" w:rsidRPr="00FA0D37">
              <w:rPr>
                <w:szCs w:val="22"/>
              </w:rPr>
              <w:t xml:space="preserve">the </w:t>
            </w:r>
            <w:r w:rsidR="002A4990" w:rsidRPr="00FA0D37">
              <w:rPr>
                <w:szCs w:val="22"/>
              </w:rPr>
              <w:t xml:space="preserve">UE </w:t>
            </w:r>
            <w:r w:rsidR="006740DB" w:rsidRPr="00FA0D37">
              <w:rPr>
                <w:szCs w:val="22"/>
              </w:rPr>
              <w:t xml:space="preserve">behavior is specified in </w:t>
            </w:r>
            <w:r w:rsidR="00154FBC" w:rsidRPr="00FA0D37">
              <w:rPr>
                <w:szCs w:val="22"/>
              </w:rPr>
              <w:t>TS 38.213 [</w:t>
            </w:r>
            <w:r w:rsidR="002A4990" w:rsidRPr="00FA0D37">
              <w:rPr>
                <w:szCs w:val="22"/>
              </w:rPr>
              <w:t>1</w:t>
            </w:r>
            <w:r w:rsidR="00154FBC" w:rsidRPr="00FA0D37">
              <w:rPr>
                <w:szCs w:val="22"/>
              </w:rPr>
              <w:t>3]</w:t>
            </w:r>
            <w:r w:rsidRPr="00FA0D37">
              <w:rPr>
                <w:szCs w:val="22"/>
              </w:rPr>
              <w:t>.</w:t>
            </w:r>
          </w:p>
        </w:tc>
      </w:tr>
      <w:tr w:rsidR="005C7FF4" w:rsidRPr="00FA0D37"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FA0D37" w:rsidRDefault="00EB0E28" w:rsidP="00771058">
            <w:pPr>
              <w:pStyle w:val="TAL"/>
              <w:rPr>
                <w:b/>
                <w:bCs/>
                <w:i/>
                <w:iCs/>
              </w:rPr>
            </w:pPr>
            <w:r w:rsidRPr="00FA0D37">
              <w:rPr>
                <w:b/>
                <w:bCs/>
                <w:i/>
                <w:iCs/>
              </w:rPr>
              <w:t>harq-FeedbackOptionMulticast</w:t>
            </w:r>
          </w:p>
          <w:p w14:paraId="6729D1C8" w14:textId="3275C436" w:rsidR="00EB0E28" w:rsidRPr="00FA0D37" w:rsidRDefault="00EB0E28" w:rsidP="00771058">
            <w:pPr>
              <w:pStyle w:val="TAL"/>
              <w:rPr>
                <w:b/>
                <w:bCs/>
                <w:i/>
                <w:szCs w:val="22"/>
                <w:lang w:eastAsia="en-GB"/>
              </w:rPr>
            </w:pPr>
            <w:r w:rsidRPr="00FA0D37">
              <w:rPr>
                <w:szCs w:val="22"/>
              </w:rPr>
              <w:t>Indicates the feedback mode for MBS multicast dynamically scheduled PDSCH</w:t>
            </w:r>
            <w:r w:rsidR="00154FBC" w:rsidRPr="00FA0D37">
              <w:rPr>
                <w:szCs w:val="22"/>
              </w:rPr>
              <w:t xml:space="preserve"> or SPS PDSCH</w:t>
            </w:r>
            <w:r w:rsidRPr="00FA0D37">
              <w:rPr>
                <w:szCs w:val="22"/>
              </w:rPr>
              <w:t>.</w:t>
            </w:r>
          </w:p>
        </w:tc>
      </w:tr>
      <w:tr w:rsidR="005C7FF4" w:rsidRPr="00FA0D37"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FA0D37" w:rsidRDefault="00A00ABC" w:rsidP="00A00ABC">
            <w:pPr>
              <w:pStyle w:val="TAL"/>
              <w:rPr>
                <w:b/>
                <w:bCs/>
                <w:i/>
                <w:iCs/>
              </w:rPr>
            </w:pPr>
            <w:r w:rsidRPr="00FA0D37">
              <w:rPr>
                <w:b/>
                <w:bCs/>
                <w:i/>
                <w:iCs/>
              </w:rPr>
              <w:t>mbs-RNTI-SpecificConfigId</w:t>
            </w:r>
          </w:p>
          <w:p w14:paraId="6B727A56" w14:textId="379CD1D4" w:rsidR="00A00ABC" w:rsidRPr="00FA0D37" w:rsidRDefault="00A00ABC" w:rsidP="00A00ABC">
            <w:pPr>
              <w:pStyle w:val="TAL"/>
              <w:rPr>
                <w:b/>
                <w:bCs/>
                <w:i/>
                <w:iCs/>
              </w:rPr>
            </w:pPr>
            <w:r w:rsidRPr="00FA0D37">
              <w:rPr>
                <w:bCs/>
                <w:iCs/>
              </w:rPr>
              <w:t>An identifier of the RNTI specific configuration for MBS multicast.</w:t>
            </w:r>
          </w:p>
        </w:tc>
      </w:tr>
      <w:tr w:rsidR="000830BB" w:rsidRPr="00FA0D37"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FA0D37" w:rsidRDefault="00EB0E28" w:rsidP="00771058">
            <w:pPr>
              <w:pStyle w:val="TAL"/>
              <w:rPr>
                <w:b/>
                <w:bCs/>
                <w:i/>
                <w:iCs/>
              </w:rPr>
            </w:pPr>
            <w:r w:rsidRPr="00FA0D37">
              <w:rPr>
                <w:b/>
                <w:bCs/>
                <w:i/>
                <w:iCs/>
              </w:rPr>
              <w:t>pdsch-</w:t>
            </w:r>
            <w:r w:rsidRPr="00FA0D37">
              <w:rPr>
                <w:b/>
                <w:i/>
                <w:szCs w:val="22"/>
                <w:lang w:eastAsia="sv-SE"/>
              </w:rPr>
              <w:t>AggregationFactor</w:t>
            </w:r>
          </w:p>
          <w:p w14:paraId="611CD477" w14:textId="37D117D0" w:rsidR="00EB0E28" w:rsidRPr="00FA0D37" w:rsidRDefault="00EB0E28" w:rsidP="00771058">
            <w:pPr>
              <w:pStyle w:val="TAL"/>
              <w:rPr>
                <w:b/>
                <w:bCs/>
                <w:i/>
                <w:iCs/>
              </w:rPr>
            </w:pPr>
            <w:r w:rsidRPr="00FA0D37">
              <w:rPr>
                <w:szCs w:val="22"/>
                <w:lang w:eastAsia="sv-SE"/>
              </w:rPr>
              <w:t>Number</w:t>
            </w:r>
            <w:r w:rsidRPr="00FA0D37">
              <w:rPr>
                <w:szCs w:val="22"/>
              </w:rPr>
              <w:t xml:space="preserve"> of repetitions for dynamically scheduled MBS multicast data (see TS 38.214 [19], clause 5.1.2.1).</w:t>
            </w:r>
            <w:r w:rsidR="00154FBC" w:rsidRPr="00FA0D37">
              <w:rPr>
                <w:szCs w:val="22"/>
              </w:rPr>
              <w:t xml:space="preserve"> When the field is absent and </w:t>
            </w:r>
            <w:r w:rsidR="00154FBC" w:rsidRPr="00FA0D37">
              <w:rPr>
                <w:i/>
                <w:szCs w:val="22"/>
              </w:rPr>
              <w:t>groupCommon-RNTI</w:t>
            </w:r>
            <w:r w:rsidR="00154FBC" w:rsidRPr="00FA0D37">
              <w:rPr>
                <w:szCs w:val="22"/>
              </w:rPr>
              <w:t xml:space="preserve"> is set to </w:t>
            </w:r>
            <w:r w:rsidR="00154FBC" w:rsidRPr="00FA0D37">
              <w:rPr>
                <w:i/>
                <w:szCs w:val="22"/>
              </w:rPr>
              <w:t>g-RNTI</w:t>
            </w:r>
            <w:r w:rsidR="00154FBC" w:rsidRPr="00FA0D37">
              <w:rPr>
                <w:szCs w:val="22"/>
              </w:rPr>
              <w:t>, the UE applies the value 1.</w:t>
            </w:r>
          </w:p>
        </w:tc>
      </w:tr>
    </w:tbl>
    <w:p w14:paraId="0DD9E70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FA0D37" w:rsidRDefault="00394471" w:rsidP="00964CC4">
            <w:pPr>
              <w:pStyle w:val="TAH"/>
              <w:rPr>
                <w:szCs w:val="22"/>
                <w:lang w:eastAsia="sv-SE"/>
              </w:rPr>
            </w:pPr>
            <w:r w:rsidRPr="00FA0D37">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FA0D37" w:rsidRDefault="00394471" w:rsidP="00964CC4">
            <w:pPr>
              <w:pStyle w:val="TAH"/>
              <w:rPr>
                <w:szCs w:val="22"/>
                <w:lang w:eastAsia="sv-SE"/>
              </w:rPr>
            </w:pPr>
            <w:r w:rsidRPr="00FA0D37">
              <w:rPr>
                <w:szCs w:val="22"/>
                <w:lang w:eastAsia="sv-SE"/>
              </w:rPr>
              <w:t>Explanation</w:t>
            </w:r>
          </w:p>
        </w:tc>
      </w:tr>
      <w:tr w:rsidR="005C7FF4" w:rsidRPr="00FA0D37"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FA0D37" w:rsidRDefault="00CE6FBC" w:rsidP="00771058">
            <w:pPr>
              <w:pStyle w:val="TAL"/>
              <w:rPr>
                <w:i/>
                <w:szCs w:val="22"/>
                <w:lang w:eastAsia="sv-SE"/>
              </w:rPr>
            </w:pPr>
            <w:r w:rsidRPr="00FA0D37">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FA0D37" w:rsidRDefault="00CE6FBC" w:rsidP="00771058">
            <w:pPr>
              <w:pStyle w:val="TAL"/>
              <w:rPr>
                <w:szCs w:val="22"/>
                <w:lang w:eastAsia="sv-SE"/>
              </w:rPr>
            </w:pPr>
            <w:r w:rsidRPr="00FA0D37">
              <w:rPr>
                <w:szCs w:val="22"/>
                <w:lang w:eastAsia="sv-SE"/>
              </w:rPr>
              <w:t>This field is optionally present</w:t>
            </w:r>
            <w:r w:rsidR="00154FBC" w:rsidRPr="00FA0D37">
              <w:rPr>
                <w:szCs w:val="22"/>
                <w:lang w:eastAsia="sv-SE"/>
              </w:rPr>
              <w:t>, Need S,</w:t>
            </w:r>
            <w:r w:rsidR="00154FBC" w:rsidRPr="00FA0D37">
              <w:rPr>
                <w:szCs w:val="22"/>
              </w:rPr>
              <w:t xml:space="preserve"> if </w:t>
            </w:r>
            <w:r w:rsidR="00154FBC" w:rsidRPr="00FA0D37">
              <w:rPr>
                <w:i/>
                <w:szCs w:val="22"/>
              </w:rPr>
              <w:t xml:space="preserve">groupCommon-RNTI </w:t>
            </w:r>
            <w:r w:rsidR="00154FBC" w:rsidRPr="00FA0D37">
              <w:rPr>
                <w:szCs w:val="22"/>
              </w:rPr>
              <w:t xml:space="preserve">is set to </w:t>
            </w:r>
            <w:r w:rsidR="00154FBC" w:rsidRPr="00FA0D37">
              <w:rPr>
                <w:i/>
                <w:szCs w:val="22"/>
              </w:rPr>
              <w:t>g-RNTI</w:t>
            </w:r>
            <w:r w:rsidR="00154FBC" w:rsidRPr="00FA0D37">
              <w:rPr>
                <w:szCs w:val="22"/>
                <w:lang w:eastAsia="sv-SE"/>
              </w:rPr>
              <w:t>.</w:t>
            </w:r>
            <w:r w:rsidRPr="00FA0D37">
              <w:rPr>
                <w:szCs w:val="22"/>
                <w:lang w:eastAsia="sv-SE"/>
              </w:rPr>
              <w:t xml:space="preserve"> The field is absent when </w:t>
            </w:r>
            <w:r w:rsidR="00154FBC" w:rsidRPr="00FA0D37">
              <w:rPr>
                <w:i/>
                <w:szCs w:val="22"/>
              </w:rPr>
              <w:t xml:space="preserve">groupCommon-RNTI </w:t>
            </w:r>
            <w:r w:rsidR="00154FBC" w:rsidRPr="00FA0D37">
              <w:rPr>
                <w:szCs w:val="22"/>
              </w:rPr>
              <w:t xml:space="preserve">is set to </w:t>
            </w:r>
            <w:r w:rsidR="00154FBC" w:rsidRPr="00FA0D37">
              <w:rPr>
                <w:i/>
                <w:szCs w:val="22"/>
              </w:rPr>
              <w:t>g-CS-RNTI</w:t>
            </w:r>
            <w:r w:rsidR="00154FBC" w:rsidRPr="00FA0D37">
              <w:rPr>
                <w:szCs w:val="22"/>
                <w:lang w:eastAsia="sv-SE"/>
              </w:rPr>
              <w:t>.</w:t>
            </w:r>
          </w:p>
        </w:tc>
      </w:tr>
      <w:tr w:rsidR="005C7FF4" w:rsidRPr="00FA0D37"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FA0D37" w:rsidRDefault="00CE6FBC" w:rsidP="00771058">
            <w:pPr>
              <w:pStyle w:val="TAL"/>
              <w:rPr>
                <w:i/>
                <w:szCs w:val="22"/>
                <w:lang w:eastAsia="sv-SE"/>
              </w:rPr>
            </w:pPr>
            <w:r w:rsidRPr="00FA0D37">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FA0D37" w:rsidRDefault="00CE6FBC" w:rsidP="00771058">
            <w:pPr>
              <w:pStyle w:val="TAL"/>
              <w:rPr>
                <w:szCs w:val="22"/>
                <w:lang w:eastAsia="sv-SE"/>
              </w:rPr>
            </w:pPr>
            <w:r w:rsidRPr="00FA0D37">
              <w:rPr>
                <w:szCs w:val="22"/>
                <w:lang w:eastAsia="sv-SE"/>
              </w:rPr>
              <w:t xml:space="preserve">The field is mandatory present when </w:t>
            </w:r>
            <w:r w:rsidRPr="00FA0D37">
              <w:rPr>
                <w:i/>
                <w:iCs/>
                <w:szCs w:val="22"/>
                <w:lang w:eastAsia="sv-SE"/>
              </w:rPr>
              <w:t>harq-FeedbackEnablerMulticast</w:t>
            </w:r>
            <w:r w:rsidRPr="00FA0D37">
              <w:rPr>
                <w:szCs w:val="22"/>
                <w:lang w:eastAsia="sv-SE"/>
              </w:rPr>
              <w:t xml:space="preserve"> is present. It is absent otherwise. </w:t>
            </w:r>
          </w:p>
        </w:tc>
      </w:tr>
      <w:tr w:rsidR="005C7FF4" w:rsidRPr="00FA0D37"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FA0D37" w:rsidRDefault="00394471" w:rsidP="00964CC4">
            <w:pPr>
              <w:pStyle w:val="TAL"/>
              <w:rPr>
                <w:i/>
                <w:szCs w:val="22"/>
                <w:lang w:eastAsia="sv-SE"/>
              </w:rPr>
            </w:pPr>
            <w:r w:rsidRPr="00FA0D37">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FA0D37" w:rsidRDefault="00394471" w:rsidP="00964CC4">
            <w:pPr>
              <w:pStyle w:val="TAL"/>
              <w:rPr>
                <w:szCs w:val="22"/>
                <w:lang w:eastAsia="sv-SE"/>
              </w:rPr>
            </w:pPr>
            <w:r w:rsidRPr="00FA0D37">
              <w:rPr>
                <w:szCs w:val="22"/>
                <w:lang w:eastAsia="sv-SE"/>
              </w:rPr>
              <w:t xml:space="preserve">This field is optionally present, Need M, for the </w:t>
            </w:r>
            <w:r w:rsidRPr="00FA0D37">
              <w:rPr>
                <w:i/>
                <w:szCs w:val="22"/>
                <w:lang w:eastAsia="sv-SE"/>
              </w:rPr>
              <w:t>MAC-CellGroupConfig</w:t>
            </w:r>
            <w:r w:rsidRPr="00FA0D37">
              <w:rPr>
                <w:szCs w:val="22"/>
                <w:lang w:eastAsia="sv-SE"/>
              </w:rPr>
              <w:t xml:space="preserve"> of the MCG. It is absent otherwise.</w:t>
            </w:r>
          </w:p>
        </w:tc>
      </w:tr>
      <w:tr w:rsidR="00F747EB" w:rsidRPr="00FA0D37"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FA0D37" w:rsidRDefault="00F27D15" w:rsidP="00771058">
            <w:pPr>
              <w:pStyle w:val="TAL"/>
              <w:rPr>
                <w:i/>
                <w:szCs w:val="22"/>
                <w:lang w:eastAsia="sv-SE"/>
              </w:rPr>
            </w:pPr>
            <w:r w:rsidRPr="00FA0D37">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FA0D37" w:rsidRDefault="00F27D15" w:rsidP="00771058">
            <w:pPr>
              <w:pStyle w:val="TAL"/>
              <w:rPr>
                <w:szCs w:val="22"/>
                <w:lang w:eastAsia="sv-SE"/>
              </w:rPr>
            </w:pPr>
            <w:r w:rsidRPr="00FA0D37">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FA0D37">
              <w:rPr>
                <w:szCs w:val="22"/>
                <w:lang w:eastAsia="sv-SE"/>
              </w:rPr>
              <w:t>, Need R</w:t>
            </w:r>
            <w:r w:rsidRPr="00FA0D37">
              <w:rPr>
                <w:szCs w:val="22"/>
                <w:lang w:eastAsia="sv-SE"/>
              </w:rPr>
              <w:t>.</w:t>
            </w:r>
          </w:p>
        </w:tc>
      </w:tr>
    </w:tbl>
    <w:p w14:paraId="6E1CEA14" w14:textId="77777777" w:rsidR="00394471" w:rsidRPr="00FA0D37" w:rsidRDefault="00394471" w:rsidP="00394471"/>
    <w:p w14:paraId="664CEA9D" w14:textId="77777777" w:rsidR="00394471" w:rsidRPr="00FA0D37" w:rsidRDefault="00394471" w:rsidP="00394471">
      <w:pPr>
        <w:pStyle w:val="4"/>
        <w:rPr>
          <w:i/>
        </w:rPr>
      </w:pPr>
      <w:bookmarkStart w:id="1072" w:name="_Toc60777252"/>
      <w:bookmarkStart w:id="1073" w:name="_Toc146781311"/>
      <w:r w:rsidRPr="00FA0D37">
        <w:t>–</w:t>
      </w:r>
      <w:r w:rsidRPr="00FA0D37">
        <w:tab/>
      </w:r>
      <w:r w:rsidRPr="00FA0D37">
        <w:rPr>
          <w:i/>
        </w:rPr>
        <w:t>MeasConfig</w:t>
      </w:r>
      <w:bookmarkEnd w:id="1072"/>
      <w:bookmarkEnd w:id="1073"/>
    </w:p>
    <w:p w14:paraId="2FD171DC" w14:textId="77777777" w:rsidR="00394471" w:rsidRPr="00FA0D37" w:rsidRDefault="00394471" w:rsidP="00394471">
      <w:r w:rsidRPr="00FA0D37">
        <w:t xml:space="preserve">The IE </w:t>
      </w:r>
      <w:r w:rsidRPr="00FA0D37">
        <w:rPr>
          <w:i/>
        </w:rPr>
        <w:t>MeasConfig</w:t>
      </w:r>
      <w:r w:rsidRPr="00FA0D37">
        <w:t xml:space="preserve"> specifies measurements to be performed by the UE, and covers intra-frequency, inter-frequency and inter-RAT mobility as well as configuration of measurement gaps.</w:t>
      </w:r>
    </w:p>
    <w:p w14:paraId="1109E32F" w14:textId="77777777" w:rsidR="00394471" w:rsidRPr="00FA0D37" w:rsidRDefault="00394471" w:rsidP="00394471">
      <w:pPr>
        <w:pStyle w:val="TH"/>
      </w:pPr>
      <w:r w:rsidRPr="00FA0D37">
        <w:rPr>
          <w:i/>
        </w:rPr>
        <w:t>MeasConfig</w:t>
      </w:r>
      <w:r w:rsidRPr="00FA0D37">
        <w:t xml:space="preserve"> information element</w:t>
      </w:r>
    </w:p>
    <w:p w14:paraId="435D48E2" w14:textId="77777777" w:rsidR="00394471" w:rsidRPr="00FA0D37" w:rsidRDefault="00394471" w:rsidP="00FA0D37">
      <w:pPr>
        <w:pStyle w:val="PL"/>
        <w:rPr>
          <w:color w:val="808080"/>
        </w:rPr>
      </w:pPr>
      <w:r w:rsidRPr="00FA0D37">
        <w:rPr>
          <w:color w:val="808080"/>
        </w:rPr>
        <w:t>-- ASN1START</w:t>
      </w:r>
    </w:p>
    <w:p w14:paraId="6CC1D287" w14:textId="77777777" w:rsidR="00394471" w:rsidRPr="00FA0D37" w:rsidRDefault="00394471" w:rsidP="00FA0D37">
      <w:pPr>
        <w:pStyle w:val="PL"/>
        <w:rPr>
          <w:color w:val="808080"/>
        </w:rPr>
      </w:pPr>
      <w:r w:rsidRPr="00FA0D37">
        <w:rPr>
          <w:color w:val="808080"/>
        </w:rPr>
        <w:t>-- TAG-MEASCONFIG-START</w:t>
      </w:r>
    </w:p>
    <w:p w14:paraId="62B6695F" w14:textId="77777777" w:rsidR="00394471" w:rsidRPr="00FA0D37" w:rsidRDefault="00394471" w:rsidP="00FA0D37">
      <w:pPr>
        <w:pStyle w:val="PL"/>
      </w:pPr>
    </w:p>
    <w:p w14:paraId="0AF543BF" w14:textId="77777777" w:rsidR="00394471" w:rsidRPr="00FA0D37" w:rsidRDefault="00394471" w:rsidP="00FA0D37">
      <w:pPr>
        <w:pStyle w:val="PL"/>
      </w:pPr>
      <w:r w:rsidRPr="00FA0D37">
        <w:t xml:space="preserve">MeasConfig ::=                      </w:t>
      </w:r>
      <w:r w:rsidRPr="00FA0D37">
        <w:rPr>
          <w:color w:val="993366"/>
        </w:rPr>
        <w:t>SEQUENCE</w:t>
      </w:r>
      <w:r w:rsidRPr="00FA0D37">
        <w:t xml:space="preserve"> {</w:t>
      </w:r>
    </w:p>
    <w:p w14:paraId="7E34AEE1" w14:textId="77777777" w:rsidR="00394471" w:rsidRPr="00FA0D37" w:rsidRDefault="00394471" w:rsidP="00FA0D37">
      <w:pPr>
        <w:pStyle w:val="PL"/>
        <w:rPr>
          <w:color w:val="808080"/>
        </w:rPr>
      </w:pPr>
      <w:r w:rsidRPr="00FA0D37">
        <w:t xml:space="preserve">    measObjectToRemoveList              MeasObjectToRemoveList                                              </w:t>
      </w:r>
      <w:r w:rsidRPr="00FA0D37">
        <w:rPr>
          <w:color w:val="993366"/>
        </w:rPr>
        <w:t>OPTIONAL</w:t>
      </w:r>
      <w:r w:rsidRPr="00FA0D37">
        <w:t xml:space="preserve">,   </w:t>
      </w:r>
      <w:r w:rsidRPr="00FA0D37">
        <w:rPr>
          <w:color w:val="808080"/>
        </w:rPr>
        <w:t>-- Need N</w:t>
      </w:r>
    </w:p>
    <w:p w14:paraId="4625EC4B" w14:textId="77777777" w:rsidR="00394471" w:rsidRPr="00FA0D37" w:rsidRDefault="00394471" w:rsidP="00FA0D37">
      <w:pPr>
        <w:pStyle w:val="PL"/>
        <w:rPr>
          <w:color w:val="808080"/>
        </w:rPr>
      </w:pPr>
      <w:r w:rsidRPr="00FA0D37">
        <w:t xml:space="preserve">    measObjectToAddModList              MeasObjectToAddModList                                              </w:t>
      </w:r>
      <w:r w:rsidRPr="00FA0D37">
        <w:rPr>
          <w:color w:val="993366"/>
        </w:rPr>
        <w:t>OPTIONAL</w:t>
      </w:r>
      <w:r w:rsidRPr="00FA0D37">
        <w:t xml:space="preserve">,   </w:t>
      </w:r>
      <w:r w:rsidRPr="00FA0D37">
        <w:rPr>
          <w:color w:val="808080"/>
        </w:rPr>
        <w:t>-- Need N</w:t>
      </w:r>
    </w:p>
    <w:p w14:paraId="37E6CB25" w14:textId="77777777" w:rsidR="00394471" w:rsidRPr="00FA0D37" w:rsidRDefault="00394471" w:rsidP="00FA0D37">
      <w:pPr>
        <w:pStyle w:val="PL"/>
        <w:rPr>
          <w:color w:val="808080"/>
        </w:rPr>
      </w:pPr>
      <w:r w:rsidRPr="00FA0D37">
        <w:t xml:space="preserve">    reportConfigToRemoveList            ReportConfigToRemoveList                                            </w:t>
      </w:r>
      <w:r w:rsidRPr="00FA0D37">
        <w:rPr>
          <w:color w:val="993366"/>
        </w:rPr>
        <w:t>OPTIONAL</w:t>
      </w:r>
      <w:r w:rsidRPr="00FA0D37">
        <w:t xml:space="preserve">,   </w:t>
      </w:r>
      <w:r w:rsidRPr="00FA0D37">
        <w:rPr>
          <w:color w:val="808080"/>
        </w:rPr>
        <w:t>-- Need N</w:t>
      </w:r>
    </w:p>
    <w:p w14:paraId="2C0C1260" w14:textId="77777777" w:rsidR="00394471" w:rsidRPr="00FA0D37" w:rsidRDefault="00394471" w:rsidP="00FA0D37">
      <w:pPr>
        <w:pStyle w:val="PL"/>
        <w:rPr>
          <w:color w:val="808080"/>
        </w:rPr>
      </w:pPr>
      <w:r w:rsidRPr="00FA0D37">
        <w:t xml:space="preserve">    reportConfigToAddModList            ReportConfigToAddModList                                            </w:t>
      </w:r>
      <w:r w:rsidRPr="00FA0D37">
        <w:rPr>
          <w:color w:val="993366"/>
        </w:rPr>
        <w:t>OPTIONAL</w:t>
      </w:r>
      <w:r w:rsidRPr="00FA0D37">
        <w:t xml:space="preserve">,   </w:t>
      </w:r>
      <w:r w:rsidRPr="00FA0D37">
        <w:rPr>
          <w:color w:val="808080"/>
        </w:rPr>
        <w:t>-- Need N</w:t>
      </w:r>
    </w:p>
    <w:p w14:paraId="6629AEBC" w14:textId="77777777" w:rsidR="00394471" w:rsidRPr="00FA0D37" w:rsidRDefault="00394471" w:rsidP="00FA0D37">
      <w:pPr>
        <w:pStyle w:val="PL"/>
        <w:rPr>
          <w:color w:val="808080"/>
        </w:rPr>
      </w:pPr>
      <w:r w:rsidRPr="00FA0D37">
        <w:t xml:space="preserve">    measIdToRemoveList                  MeasIdToRemoveList                                                  </w:t>
      </w:r>
      <w:r w:rsidRPr="00FA0D37">
        <w:rPr>
          <w:color w:val="993366"/>
        </w:rPr>
        <w:t>OPTIONAL</w:t>
      </w:r>
      <w:r w:rsidRPr="00FA0D37">
        <w:t xml:space="preserve">,   </w:t>
      </w:r>
      <w:r w:rsidRPr="00FA0D37">
        <w:rPr>
          <w:color w:val="808080"/>
        </w:rPr>
        <w:t>-- Need N</w:t>
      </w:r>
    </w:p>
    <w:p w14:paraId="68215589" w14:textId="77777777" w:rsidR="00394471" w:rsidRPr="00FA0D37" w:rsidRDefault="00394471" w:rsidP="00FA0D37">
      <w:pPr>
        <w:pStyle w:val="PL"/>
        <w:rPr>
          <w:color w:val="808080"/>
        </w:rPr>
      </w:pPr>
      <w:r w:rsidRPr="00FA0D37">
        <w:t xml:space="preserve">    measIdToAddModList                  MeasIdToAddModList                                                  </w:t>
      </w:r>
      <w:r w:rsidRPr="00FA0D37">
        <w:rPr>
          <w:color w:val="993366"/>
        </w:rPr>
        <w:t>OPTIONAL</w:t>
      </w:r>
      <w:r w:rsidRPr="00FA0D37">
        <w:t xml:space="preserve">,   </w:t>
      </w:r>
      <w:r w:rsidRPr="00FA0D37">
        <w:rPr>
          <w:color w:val="808080"/>
        </w:rPr>
        <w:t>-- Need N</w:t>
      </w:r>
    </w:p>
    <w:p w14:paraId="61DB508B" w14:textId="77777777" w:rsidR="00394471" w:rsidRPr="00FA0D37" w:rsidRDefault="00394471" w:rsidP="00FA0D37">
      <w:pPr>
        <w:pStyle w:val="PL"/>
      </w:pPr>
      <w:r w:rsidRPr="00FA0D37">
        <w:t xml:space="preserve">    s-MeasureConfig                     </w:t>
      </w:r>
      <w:r w:rsidRPr="00FA0D37">
        <w:rPr>
          <w:color w:val="993366"/>
        </w:rPr>
        <w:t>CHOICE</w:t>
      </w:r>
      <w:r w:rsidRPr="00FA0D37">
        <w:t xml:space="preserve"> {</w:t>
      </w:r>
    </w:p>
    <w:p w14:paraId="35ADD44A" w14:textId="77777777" w:rsidR="00394471" w:rsidRPr="00FA0D37" w:rsidRDefault="00394471" w:rsidP="00FA0D37">
      <w:pPr>
        <w:pStyle w:val="PL"/>
      </w:pPr>
      <w:r w:rsidRPr="00FA0D37">
        <w:t xml:space="preserve">        ssb-RSRP                            RSRP-Range,</w:t>
      </w:r>
    </w:p>
    <w:p w14:paraId="68B5F505" w14:textId="77777777" w:rsidR="00394471" w:rsidRPr="00FA0D37" w:rsidRDefault="00394471" w:rsidP="00FA0D37">
      <w:pPr>
        <w:pStyle w:val="PL"/>
      </w:pPr>
      <w:r w:rsidRPr="00FA0D37">
        <w:t xml:space="preserve">        csi-RSRP                            RSRP-Range</w:t>
      </w:r>
    </w:p>
    <w:p w14:paraId="2785AE5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4E7EEEB1" w14:textId="77777777" w:rsidR="00394471" w:rsidRPr="00FA0D37" w:rsidRDefault="00394471" w:rsidP="00FA0D37">
      <w:pPr>
        <w:pStyle w:val="PL"/>
        <w:rPr>
          <w:color w:val="808080"/>
        </w:rPr>
      </w:pPr>
      <w:r w:rsidRPr="00FA0D37">
        <w:t xml:space="preserve">    quantityConfig                      QuantityConfig                                                      </w:t>
      </w:r>
      <w:r w:rsidRPr="00FA0D37">
        <w:rPr>
          <w:color w:val="993366"/>
        </w:rPr>
        <w:t>OPTIONAL</w:t>
      </w:r>
      <w:r w:rsidRPr="00FA0D37">
        <w:t xml:space="preserve">,   </w:t>
      </w:r>
      <w:r w:rsidRPr="00FA0D37">
        <w:rPr>
          <w:color w:val="808080"/>
        </w:rPr>
        <w:t>-- Need M</w:t>
      </w:r>
    </w:p>
    <w:p w14:paraId="7697CC05" w14:textId="77777777" w:rsidR="00394471" w:rsidRPr="00FA0D37" w:rsidRDefault="00394471" w:rsidP="00FA0D37">
      <w:pPr>
        <w:pStyle w:val="PL"/>
        <w:rPr>
          <w:color w:val="808080"/>
        </w:rPr>
      </w:pPr>
      <w:r w:rsidRPr="00FA0D37">
        <w:t xml:space="preserve">    measGapConfig                       MeasGapConfig                                                       </w:t>
      </w:r>
      <w:r w:rsidRPr="00FA0D37">
        <w:rPr>
          <w:color w:val="993366"/>
        </w:rPr>
        <w:t>OPTIONAL</w:t>
      </w:r>
      <w:r w:rsidRPr="00FA0D37">
        <w:t xml:space="preserve">,   </w:t>
      </w:r>
      <w:r w:rsidRPr="00FA0D37">
        <w:rPr>
          <w:color w:val="808080"/>
        </w:rPr>
        <w:t>-- Need M</w:t>
      </w:r>
    </w:p>
    <w:p w14:paraId="387AE636" w14:textId="77777777" w:rsidR="00394471" w:rsidRPr="00FA0D37" w:rsidRDefault="00394471" w:rsidP="00FA0D37">
      <w:pPr>
        <w:pStyle w:val="PL"/>
        <w:rPr>
          <w:color w:val="808080"/>
        </w:rPr>
      </w:pPr>
      <w:r w:rsidRPr="00FA0D37">
        <w:t xml:space="preserve">    measGapSharingConfig                MeasGapSharingConfig                                                </w:t>
      </w:r>
      <w:r w:rsidRPr="00FA0D37">
        <w:rPr>
          <w:color w:val="993366"/>
        </w:rPr>
        <w:t>OPTIONAL</w:t>
      </w:r>
      <w:r w:rsidRPr="00FA0D37">
        <w:t xml:space="preserve">,   </w:t>
      </w:r>
      <w:r w:rsidRPr="00FA0D37">
        <w:rPr>
          <w:color w:val="808080"/>
        </w:rPr>
        <w:t>-- Need M</w:t>
      </w:r>
    </w:p>
    <w:p w14:paraId="5DDE6BF9" w14:textId="77777777" w:rsidR="00394471" w:rsidRPr="00FA0D37" w:rsidRDefault="00394471" w:rsidP="00FA0D37">
      <w:pPr>
        <w:pStyle w:val="PL"/>
      </w:pPr>
      <w:r w:rsidRPr="00FA0D37">
        <w:t xml:space="preserve">    ...,</w:t>
      </w:r>
    </w:p>
    <w:p w14:paraId="38E11ECD" w14:textId="77777777" w:rsidR="00394471" w:rsidRPr="00FA0D37" w:rsidRDefault="00394471" w:rsidP="00FA0D37">
      <w:pPr>
        <w:pStyle w:val="PL"/>
      </w:pPr>
      <w:r w:rsidRPr="00FA0D37">
        <w:t xml:space="preserve">    [[</w:t>
      </w:r>
    </w:p>
    <w:p w14:paraId="2F67752B" w14:textId="77777777" w:rsidR="00394471" w:rsidRPr="00FA0D37" w:rsidRDefault="00394471" w:rsidP="00FA0D37">
      <w:pPr>
        <w:pStyle w:val="PL"/>
        <w:rPr>
          <w:color w:val="808080"/>
        </w:rPr>
      </w:pPr>
      <w:r w:rsidRPr="00FA0D37">
        <w:t xml:space="preserve">    interFrequencyConfig-NoGap-r16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38AAFAF5" w14:textId="001408D1" w:rsidR="009B1D75" w:rsidRPr="00FA0D37" w:rsidRDefault="00394471" w:rsidP="00FA0D37">
      <w:pPr>
        <w:pStyle w:val="PL"/>
      </w:pPr>
      <w:r w:rsidRPr="00FA0D37">
        <w:t xml:space="preserve">    ]]</w:t>
      </w:r>
    </w:p>
    <w:p w14:paraId="2E07B448" w14:textId="77777777" w:rsidR="00394471" w:rsidRPr="00FA0D37" w:rsidRDefault="00394471" w:rsidP="00FA0D37">
      <w:pPr>
        <w:pStyle w:val="PL"/>
      </w:pPr>
      <w:r w:rsidRPr="00FA0D37">
        <w:t>}</w:t>
      </w:r>
    </w:p>
    <w:p w14:paraId="789BECA5" w14:textId="77777777" w:rsidR="00394471" w:rsidRPr="00FA0D37" w:rsidRDefault="00394471" w:rsidP="00FA0D37">
      <w:pPr>
        <w:pStyle w:val="PL"/>
      </w:pPr>
    </w:p>
    <w:p w14:paraId="10D26284" w14:textId="77777777" w:rsidR="00394471" w:rsidRPr="00FA0D37" w:rsidRDefault="00394471" w:rsidP="00FA0D37">
      <w:pPr>
        <w:pStyle w:val="PL"/>
      </w:pPr>
      <w:r w:rsidRPr="00FA0D37">
        <w:t xml:space="preserve">MeasObjectToRemoveList ::=              </w:t>
      </w:r>
      <w:r w:rsidRPr="00FA0D37">
        <w:rPr>
          <w:color w:val="993366"/>
        </w:rPr>
        <w:t>SEQUENCE</w:t>
      </w:r>
      <w:r w:rsidRPr="00FA0D37">
        <w:t xml:space="preserve"> (</w:t>
      </w:r>
      <w:r w:rsidRPr="00FA0D37">
        <w:rPr>
          <w:color w:val="993366"/>
        </w:rPr>
        <w:t>SIZE</w:t>
      </w:r>
      <w:r w:rsidRPr="00FA0D37">
        <w:t xml:space="preserve"> (1..maxNrofObjectId))</w:t>
      </w:r>
      <w:r w:rsidRPr="00FA0D37">
        <w:rPr>
          <w:color w:val="993366"/>
        </w:rPr>
        <w:t xml:space="preserve"> OF</w:t>
      </w:r>
      <w:r w:rsidRPr="00FA0D37">
        <w:t xml:space="preserve"> MeasObjectId</w:t>
      </w:r>
    </w:p>
    <w:p w14:paraId="721A1D12" w14:textId="77777777" w:rsidR="00394471" w:rsidRPr="00FA0D37" w:rsidRDefault="00394471" w:rsidP="00FA0D37">
      <w:pPr>
        <w:pStyle w:val="PL"/>
      </w:pPr>
    </w:p>
    <w:p w14:paraId="6EDA2170" w14:textId="77777777" w:rsidR="00394471" w:rsidRPr="00FA0D37" w:rsidRDefault="00394471" w:rsidP="00FA0D37">
      <w:pPr>
        <w:pStyle w:val="PL"/>
      </w:pPr>
      <w:r w:rsidRPr="00FA0D37">
        <w:t xml:space="preserve">MeasIdToRemoveList ::=                  </w:t>
      </w:r>
      <w:r w:rsidRPr="00FA0D37">
        <w:rPr>
          <w:color w:val="993366"/>
        </w:rPr>
        <w:t>SEQUENCE</w:t>
      </w:r>
      <w:r w:rsidRPr="00FA0D37">
        <w:t xml:space="preserve"> (</w:t>
      </w:r>
      <w:r w:rsidRPr="00FA0D37">
        <w:rPr>
          <w:color w:val="993366"/>
        </w:rPr>
        <w:t>SIZE</w:t>
      </w:r>
      <w:r w:rsidRPr="00FA0D37">
        <w:t xml:space="preserve"> (1..maxNrofMeasId))</w:t>
      </w:r>
      <w:r w:rsidRPr="00FA0D37">
        <w:rPr>
          <w:color w:val="993366"/>
        </w:rPr>
        <w:t xml:space="preserve"> OF</w:t>
      </w:r>
      <w:r w:rsidRPr="00FA0D37">
        <w:t xml:space="preserve"> MeasId</w:t>
      </w:r>
    </w:p>
    <w:p w14:paraId="4141C717" w14:textId="77777777" w:rsidR="00394471" w:rsidRPr="00FA0D37" w:rsidRDefault="00394471" w:rsidP="00FA0D37">
      <w:pPr>
        <w:pStyle w:val="PL"/>
      </w:pPr>
    </w:p>
    <w:p w14:paraId="137F8B82" w14:textId="77777777" w:rsidR="00394471" w:rsidRPr="00FA0D37" w:rsidRDefault="00394471" w:rsidP="00FA0D37">
      <w:pPr>
        <w:pStyle w:val="PL"/>
      </w:pPr>
      <w:r w:rsidRPr="00FA0D37">
        <w:t xml:space="preserve">ReportConfigToRemoveList ::=            </w:t>
      </w:r>
      <w:r w:rsidRPr="00FA0D37">
        <w:rPr>
          <w:color w:val="993366"/>
        </w:rPr>
        <w:t>SEQUENCE</w:t>
      </w:r>
      <w:r w:rsidRPr="00FA0D37">
        <w:t xml:space="preserve"> (</w:t>
      </w:r>
      <w:r w:rsidRPr="00FA0D37">
        <w:rPr>
          <w:color w:val="993366"/>
        </w:rPr>
        <w:t>SIZE</w:t>
      </w:r>
      <w:r w:rsidRPr="00FA0D37">
        <w:t xml:space="preserve"> (1..maxReportConfigId))</w:t>
      </w:r>
      <w:r w:rsidRPr="00FA0D37">
        <w:rPr>
          <w:color w:val="993366"/>
        </w:rPr>
        <w:t xml:space="preserve"> OF</w:t>
      </w:r>
      <w:r w:rsidRPr="00FA0D37">
        <w:t xml:space="preserve"> ReportConfigId</w:t>
      </w:r>
    </w:p>
    <w:p w14:paraId="1F17BF03" w14:textId="45959A82" w:rsidR="00394471" w:rsidRPr="00FA0D37" w:rsidRDefault="00394471" w:rsidP="00FA0D37">
      <w:pPr>
        <w:pStyle w:val="PL"/>
      </w:pPr>
    </w:p>
    <w:p w14:paraId="6D07A630" w14:textId="77777777" w:rsidR="00394471" w:rsidRPr="00FA0D37" w:rsidRDefault="00394471" w:rsidP="00FA0D37">
      <w:pPr>
        <w:pStyle w:val="PL"/>
        <w:rPr>
          <w:color w:val="808080"/>
        </w:rPr>
      </w:pPr>
      <w:r w:rsidRPr="00FA0D37">
        <w:rPr>
          <w:color w:val="808080"/>
        </w:rPr>
        <w:t>-- TAG-MEASCONFIG-STOP</w:t>
      </w:r>
    </w:p>
    <w:p w14:paraId="597F5FF2" w14:textId="77777777" w:rsidR="00394471" w:rsidRPr="00FA0D37" w:rsidRDefault="00394471" w:rsidP="00FA0D37">
      <w:pPr>
        <w:pStyle w:val="PL"/>
        <w:rPr>
          <w:color w:val="808080"/>
        </w:rPr>
      </w:pPr>
      <w:r w:rsidRPr="00FA0D37">
        <w:rPr>
          <w:color w:val="808080"/>
        </w:rPr>
        <w:t>-- ASN1STOP</w:t>
      </w:r>
    </w:p>
    <w:p w14:paraId="06909EF5" w14:textId="77777777" w:rsidR="00394471" w:rsidRPr="00FA0D3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FA0D37" w:rsidRDefault="00394471" w:rsidP="00964CC4">
            <w:pPr>
              <w:pStyle w:val="TAH"/>
              <w:rPr>
                <w:lang w:eastAsia="en-GB"/>
              </w:rPr>
            </w:pPr>
            <w:r w:rsidRPr="00FA0D37">
              <w:rPr>
                <w:rFonts w:eastAsia="宋体"/>
                <w:i/>
                <w:lang w:eastAsia="zh-CN"/>
              </w:rPr>
              <w:t xml:space="preserve">MeasConfig </w:t>
            </w:r>
            <w:r w:rsidRPr="00FA0D37">
              <w:rPr>
                <w:iCs/>
                <w:lang w:eastAsia="en-GB"/>
              </w:rPr>
              <w:t>field descriptions</w:t>
            </w:r>
          </w:p>
        </w:tc>
      </w:tr>
      <w:tr w:rsidR="005C7FF4" w:rsidRPr="00FA0D37"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FA0D37" w:rsidRDefault="00394471" w:rsidP="00964CC4">
            <w:pPr>
              <w:pStyle w:val="TAL"/>
              <w:rPr>
                <w:rFonts w:eastAsiaTheme="minorEastAsia"/>
                <w:b/>
                <w:bCs/>
                <w:i/>
                <w:iCs/>
                <w:lang w:eastAsia="zh-CN"/>
              </w:rPr>
            </w:pPr>
            <w:r w:rsidRPr="00FA0D37">
              <w:rPr>
                <w:rFonts w:eastAsiaTheme="minorEastAsia"/>
                <w:b/>
                <w:bCs/>
                <w:i/>
                <w:iCs/>
                <w:lang w:eastAsia="zh-CN"/>
              </w:rPr>
              <w:t>i</w:t>
            </w:r>
            <w:r w:rsidRPr="00FA0D37">
              <w:rPr>
                <w:b/>
                <w:bCs/>
                <w:i/>
                <w:iCs/>
                <w:lang w:eastAsia="zh-CN"/>
              </w:rPr>
              <w:t>nterFrequencyConfig-NoGap-r16</w:t>
            </w:r>
          </w:p>
          <w:p w14:paraId="1EA3E248" w14:textId="5A150CDC" w:rsidR="00394471" w:rsidRPr="00FA0D37" w:rsidRDefault="00394471" w:rsidP="00964CC4">
            <w:pPr>
              <w:pStyle w:val="TAL"/>
              <w:rPr>
                <w:rFonts w:eastAsia="宋体"/>
                <w:lang w:eastAsia="zh-CN"/>
              </w:rPr>
            </w:pPr>
            <w:r w:rsidRPr="00FA0D37">
              <w:rPr>
                <w:lang w:eastAsia="zh-CN"/>
              </w:rPr>
              <w:t xml:space="preserve">If the field is set to true, UE is configured to perform SSB based inter-frequency measurement without measurement gaps </w:t>
            </w:r>
            <w:r w:rsidRPr="00FA0D37">
              <w:rPr>
                <w:rFonts w:cs="Arial"/>
                <w:szCs w:val="18"/>
              </w:rPr>
              <w:t>when the inter-frequency SSB is completely contained in the active DL BWP of the UE</w:t>
            </w:r>
            <w:r w:rsidRPr="00FA0D37">
              <w:rPr>
                <w:rFonts w:cs="Arial"/>
                <w:szCs w:val="18"/>
                <w:lang w:eastAsia="zh-CN"/>
              </w:rPr>
              <w:t>, as specified in TS 38.133 [14], clause 9.3</w:t>
            </w:r>
            <w:r w:rsidRPr="00FA0D37">
              <w:rPr>
                <w:lang w:eastAsia="zh-CN"/>
              </w:rPr>
              <w:t>. Otherwise, the SSB based inter-frequency measurement is performed within measurement gaps.</w:t>
            </w:r>
            <w:r w:rsidR="00521DF3" w:rsidRPr="00FA0D37">
              <w:rPr>
                <w:rFonts w:cs="Arial"/>
                <w:lang w:eastAsia="zh-CN"/>
              </w:rPr>
              <w:t xml:space="preserve"> </w:t>
            </w:r>
            <w:r w:rsidR="00521DF3" w:rsidRPr="00FA0D37">
              <w:rPr>
                <w:lang w:eastAsia="zh-CN"/>
              </w:rPr>
              <w:t>In NR-DC, the field can only be configure</w:t>
            </w:r>
            <w:r w:rsidR="00521DF3" w:rsidRPr="00FA0D37">
              <w:rPr>
                <w:rFonts w:cs="Arial"/>
                <w:szCs w:val="18"/>
                <w:lang w:eastAsia="zh-CN"/>
              </w:rPr>
              <w:t xml:space="preserve">d in the </w:t>
            </w:r>
            <w:r w:rsidR="00521DF3" w:rsidRPr="00FA0D37">
              <w:rPr>
                <w:rFonts w:cs="Arial"/>
                <w:i/>
                <w:szCs w:val="18"/>
                <w:lang w:eastAsia="sv-SE"/>
              </w:rPr>
              <w:t>measConfig</w:t>
            </w:r>
            <w:r w:rsidR="00521DF3" w:rsidRPr="00FA0D37">
              <w:rPr>
                <w:rFonts w:cs="Arial"/>
                <w:szCs w:val="18"/>
                <w:lang w:eastAsia="sv-SE"/>
              </w:rPr>
              <w:t xml:space="preserve"> associated with MCG</w:t>
            </w:r>
            <w:r w:rsidR="00521DF3" w:rsidRPr="00FA0D37">
              <w:rPr>
                <w:rFonts w:cs="Arial"/>
                <w:szCs w:val="18"/>
                <w:lang w:eastAsia="zh-CN"/>
              </w:rPr>
              <w:t>, and when configured, it applies to all the inter-frequency measurements configured by MN and SN.</w:t>
            </w:r>
          </w:p>
        </w:tc>
      </w:tr>
      <w:tr w:rsidR="005C7FF4" w:rsidRPr="00FA0D37"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FA0D37" w:rsidRDefault="00394471" w:rsidP="00964CC4">
            <w:pPr>
              <w:pStyle w:val="TAL"/>
              <w:rPr>
                <w:rFonts w:eastAsia="宋体"/>
                <w:b/>
                <w:i/>
                <w:lang w:eastAsia="zh-CN"/>
              </w:rPr>
            </w:pPr>
            <w:r w:rsidRPr="00FA0D37">
              <w:rPr>
                <w:rFonts w:eastAsia="宋体"/>
                <w:b/>
                <w:i/>
                <w:lang w:eastAsia="zh-CN"/>
              </w:rPr>
              <w:t>measGapConfig</w:t>
            </w:r>
          </w:p>
          <w:p w14:paraId="4C118D74" w14:textId="77777777" w:rsidR="00394471" w:rsidRPr="00FA0D37" w:rsidRDefault="00394471" w:rsidP="00964CC4">
            <w:pPr>
              <w:pStyle w:val="TAL"/>
              <w:rPr>
                <w:rFonts w:eastAsia="MS Mincho"/>
                <w:lang w:eastAsia="en-GB"/>
              </w:rPr>
            </w:pPr>
            <w:r w:rsidRPr="00FA0D37">
              <w:rPr>
                <w:rFonts w:eastAsia="宋体"/>
                <w:lang w:eastAsia="zh-CN"/>
              </w:rPr>
              <w:t>Used to setup and release measurement gaps in NR.</w:t>
            </w:r>
          </w:p>
        </w:tc>
      </w:tr>
      <w:tr w:rsidR="005C7FF4" w:rsidRPr="00FA0D37"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FA0D37" w:rsidRDefault="00394471" w:rsidP="00964CC4">
            <w:pPr>
              <w:pStyle w:val="TAL"/>
              <w:rPr>
                <w:rFonts w:eastAsia="宋体"/>
                <w:b/>
                <w:i/>
                <w:lang w:eastAsia="zh-CN"/>
              </w:rPr>
            </w:pPr>
            <w:r w:rsidRPr="00FA0D37">
              <w:rPr>
                <w:rFonts w:eastAsia="宋体"/>
                <w:b/>
                <w:i/>
                <w:lang w:eastAsia="zh-CN"/>
              </w:rPr>
              <w:t>measIdToAddModList</w:t>
            </w:r>
          </w:p>
          <w:p w14:paraId="5E63C1C5" w14:textId="77777777" w:rsidR="00394471" w:rsidRPr="00FA0D37" w:rsidRDefault="00394471" w:rsidP="00964CC4">
            <w:pPr>
              <w:pStyle w:val="TAL"/>
              <w:rPr>
                <w:rFonts w:eastAsia="宋体"/>
                <w:lang w:eastAsia="zh-CN"/>
              </w:rPr>
            </w:pPr>
            <w:r w:rsidRPr="00FA0D37">
              <w:rPr>
                <w:rFonts w:eastAsia="宋体"/>
                <w:lang w:eastAsia="zh-CN"/>
              </w:rPr>
              <w:t>List of measurement identities</w:t>
            </w:r>
            <w:r w:rsidRPr="00FA0D37">
              <w:rPr>
                <w:lang w:eastAsia="sv-SE"/>
              </w:rPr>
              <w:t xml:space="preserve"> to add and/or modify</w:t>
            </w:r>
            <w:r w:rsidRPr="00FA0D37">
              <w:rPr>
                <w:rFonts w:eastAsia="宋体"/>
                <w:lang w:eastAsia="zh-CN"/>
              </w:rPr>
              <w:t>.</w:t>
            </w:r>
          </w:p>
        </w:tc>
      </w:tr>
      <w:tr w:rsidR="005C7FF4" w:rsidRPr="00FA0D37"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FA0D37" w:rsidRDefault="00394471" w:rsidP="00964CC4">
            <w:pPr>
              <w:pStyle w:val="TAL"/>
              <w:rPr>
                <w:rFonts w:eastAsia="宋体"/>
                <w:b/>
                <w:i/>
                <w:lang w:eastAsia="zh-CN"/>
              </w:rPr>
            </w:pPr>
            <w:r w:rsidRPr="00FA0D37">
              <w:rPr>
                <w:rFonts w:eastAsia="宋体"/>
                <w:b/>
                <w:i/>
                <w:lang w:eastAsia="zh-CN"/>
              </w:rPr>
              <w:t>measIdToRemoveList</w:t>
            </w:r>
          </w:p>
          <w:p w14:paraId="1DBAB5A4" w14:textId="77777777" w:rsidR="00394471" w:rsidRPr="00FA0D37" w:rsidRDefault="00394471" w:rsidP="00964CC4">
            <w:pPr>
              <w:pStyle w:val="TAL"/>
              <w:rPr>
                <w:rFonts w:eastAsia="宋体"/>
                <w:lang w:eastAsia="zh-CN"/>
              </w:rPr>
            </w:pPr>
            <w:r w:rsidRPr="00FA0D37">
              <w:rPr>
                <w:rFonts w:eastAsia="宋体"/>
                <w:lang w:eastAsia="zh-CN"/>
              </w:rPr>
              <w:t>List of measurement identities to remove.</w:t>
            </w:r>
          </w:p>
        </w:tc>
      </w:tr>
      <w:tr w:rsidR="005C7FF4" w:rsidRPr="00FA0D37"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FA0D37" w:rsidRDefault="00394471" w:rsidP="00964CC4">
            <w:pPr>
              <w:pStyle w:val="TAL"/>
              <w:rPr>
                <w:rFonts w:eastAsia="宋体"/>
                <w:b/>
                <w:i/>
                <w:lang w:eastAsia="zh-CN"/>
              </w:rPr>
            </w:pPr>
            <w:r w:rsidRPr="00FA0D37">
              <w:rPr>
                <w:rFonts w:eastAsia="宋体"/>
                <w:b/>
                <w:i/>
                <w:lang w:eastAsia="zh-CN"/>
              </w:rPr>
              <w:t>measObjectToAddModList</w:t>
            </w:r>
          </w:p>
          <w:p w14:paraId="314A404C" w14:textId="77777777" w:rsidR="00394471" w:rsidRPr="00FA0D37" w:rsidRDefault="00394471" w:rsidP="00964CC4">
            <w:pPr>
              <w:pStyle w:val="TAL"/>
              <w:rPr>
                <w:rFonts w:eastAsia="宋体"/>
                <w:lang w:eastAsia="zh-CN"/>
              </w:rPr>
            </w:pPr>
            <w:r w:rsidRPr="00FA0D37">
              <w:rPr>
                <w:rFonts w:eastAsia="宋体"/>
                <w:lang w:eastAsia="zh-CN"/>
              </w:rPr>
              <w:t>List of measurement objects to add and/or modify.</w:t>
            </w:r>
          </w:p>
        </w:tc>
      </w:tr>
      <w:tr w:rsidR="005C7FF4" w:rsidRPr="00FA0D37"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FA0D37" w:rsidRDefault="00394471" w:rsidP="00964CC4">
            <w:pPr>
              <w:pStyle w:val="TAL"/>
              <w:rPr>
                <w:rFonts w:eastAsia="宋体"/>
                <w:b/>
                <w:i/>
                <w:lang w:eastAsia="zh-CN"/>
              </w:rPr>
            </w:pPr>
            <w:r w:rsidRPr="00FA0D37">
              <w:rPr>
                <w:rFonts w:eastAsia="宋体"/>
                <w:b/>
                <w:i/>
                <w:lang w:eastAsia="zh-CN"/>
              </w:rPr>
              <w:t>measObjectToRemoveList</w:t>
            </w:r>
          </w:p>
          <w:p w14:paraId="7B5D7A37" w14:textId="77777777" w:rsidR="00394471" w:rsidRPr="00FA0D37" w:rsidRDefault="00394471" w:rsidP="00964CC4">
            <w:pPr>
              <w:pStyle w:val="TAL"/>
              <w:rPr>
                <w:rFonts w:eastAsia="宋体"/>
                <w:lang w:eastAsia="zh-CN"/>
              </w:rPr>
            </w:pPr>
            <w:r w:rsidRPr="00FA0D37">
              <w:rPr>
                <w:rFonts w:eastAsia="宋体"/>
                <w:lang w:eastAsia="zh-CN"/>
              </w:rPr>
              <w:t>List of measurement objects to remove.</w:t>
            </w:r>
          </w:p>
        </w:tc>
      </w:tr>
      <w:tr w:rsidR="005C7FF4" w:rsidRPr="00FA0D37"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FA0D37" w:rsidRDefault="00394471" w:rsidP="00964CC4">
            <w:pPr>
              <w:pStyle w:val="TAL"/>
              <w:rPr>
                <w:rFonts w:eastAsia="MS Mincho"/>
                <w:b/>
                <w:i/>
                <w:lang w:eastAsia="sv-SE"/>
              </w:rPr>
            </w:pPr>
            <w:r w:rsidRPr="00FA0D37">
              <w:rPr>
                <w:b/>
                <w:i/>
                <w:lang w:eastAsia="sv-SE"/>
              </w:rPr>
              <w:t>reportConfigToAddModList</w:t>
            </w:r>
          </w:p>
          <w:p w14:paraId="49E5530A" w14:textId="77777777" w:rsidR="00394471" w:rsidRPr="00FA0D37" w:rsidRDefault="00394471" w:rsidP="00964CC4">
            <w:pPr>
              <w:pStyle w:val="TAL"/>
              <w:rPr>
                <w:lang w:eastAsia="sv-SE"/>
              </w:rPr>
            </w:pPr>
            <w:r w:rsidRPr="00FA0D37">
              <w:rPr>
                <w:lang w:eastAsia="sv-SE"/>
              </w:rPr>
              <w:t>List of measurement reporting configurations to add and/or modify.</w:t>
            </w:r>
          </w:p>
        </w:tc>
      </w:tr>
      <w:tr w:rsidR="005C7FF4" w:rsidRPr="00FA0D37"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FA0D37" w:rsidRDefault="00394471" w:rsidP="00964CC4">
            <w:pPr>
              <w:pStyle w:val="TAL"/>
              <w:rPr>
                <w:rFonts w:eastAsia="宋体"/>
                <w:b/>
                <w:i/>
                <w:lang w:eastAsia="zh-CN"/>
              </w:rPr>
            </w:pPr>
            <w:r w:rsidRPr="00FA0D37">
              <w:rPr>
                <w:rFonts w:eastAsia="宋体"/>
                <w:b/>
                <w:i/>
                <w:lang w:eastAsia="zh-CN"/>
              </w:rPr>
              <w:t>reportConfigToRemoveList</w:t>
            </w:r>
          </w:p>
          <w:p w14:paraId="72DC9718" w14:textId="77777777" w:rsidR="00394471" w:rsidRPr="00FA0D37" w:rsidRDefault="00394471" w:rsidP="00964CC4">
            <w:pPr>
              <w:pStyle w:val="TAL"/>
              <w:rPr>
                <w:rFonts w:eastAsia="宋体"/>
                <w:lang w:eastAsia="zh-CN"/>
              </w:rPr>
            </w:pPr>
            <w:r w:rsidRPr="00FA0D37">
              <w:rPr>
                <w:rFonts w:eastAsia="宋体"/>
                <w:lang w:eastAsia="zh-CN"/>
              </w:rPr>
              <w:t>List of measurement reporting configurations to remove.</w:t>
            </w:r>
          </w:p>
        </w:tc>
      </w:tr>
      <w:tr w:rsidR="005C7FF4" w:rsidRPr="00FA0D37"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FA0D37" w:rsidRDefault="00394471" w:rsidP="00964CC4">
            <w:pPr>
              <w:pStyle w:val="TAL"/>
              <w:rPr>
                <w:rFonts w:eastAsia="MS Mincho"/>
                <w:b/>
                <w:i/>
                <w:lang w:eastAsia="zh-CN"/>
              </w:rPr>
            </w:pPr>
            <w:r w:rsidRPr="00FA0D37">
              <w:rPr>
                <w:b/>
                <w:i/>
                <w:lang w:eastAsia="zh-CN"/>
              </w:rPr>
              <w:t>s-MeasureConfig</w:t>
            </w:r>
          </w:p>
          <w:p w14:paraId="0E8DFDD5" w14:textId="77777777" w:rsidR="00394471" w:rsidRPr="00FA0D37" w:rsidRDefault="00394471" w:rsidP="00964CC4">
            <w:pPr>
              <w:pStyle w:val="TAL"/>
              <w:rPr>
                <w:rFonts w:eastAsia="宋体"/>
                <w:lang w:eastAsia="zh-CN"/>
              </w:rPr>
            </w:pPr>
            <w:r w:rsidRPr="00FA0D37">
              <w:rPr>
                <w:lang w:eastAsia="zh-CN"/>
              </w:rPr>
              <w:t xml:space="preserve">Threshold for NR SpCell RSRP measurement controlling when the UE is required to perform measurements on non-serving cells. Choice of </w:t>
            </w:r>
            <w:r w:rsidRPr="00FA0D37">
              <w:rPr>
                <w:i/>
                <w:lang w:eastAsia="zh-CN"/>
              </w:rPr>
              <w:t xml:space="preserve">ssb-RSRP </w:t>
            </w:r>
            <w:r w:rsidRPr="00FA0D37">
              <w:rPr>
                <w:lang w:eastAsia="zh-CN"/>
              </w:rPr>
              <w:t xml:space="preserve">corresponds to cell RSRP based on SS/PBCH block and choice of </w:t>
            </w:r>
            <w:r w:rsidRPr="00FA0D37">
              <w:rPr>
                <w:i/>
                <w:lang w:eastAsia="zh-CN"/>
              </w:rPr>
              <w:t xml:space="preserve">csi-RSRP </w:t>
            </w:r>
            <w:r w:rsidRPr="00FA0D37">
              <w:rPr>
                <w:lang w:eastAsia="zh-CN"/>
              </w:rPr>
              <w:t xml:space="preserve">corresponds to cell RSRP of CSI-RS. </w:t>
            </w:r>
          </w:p>
        </w:tc>
      </w:tr>
      <w:tr w:rsidR="000830BB" w:rsidRPr="00FA0D37"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FA0D37" w:rsidRDefault="00394471" w:rsidP="00964CC4">
            <w:pPr>
              <w:pStyle w:val="TAL"/>
              <w:rPr>
                <w:rFonts w:eastAsia="MS Mincho"/>
                <w:b/>
                <w:i/>
                <w:lang w:eastAsia="zh-CN"/>
              </w:rPr>
            </w:pPr>
            <w:r w:rsidRPr="00FA0D37">
              <w:rPr>
                <w:b/>
                <w:i/>
                <w:lang w:eastAsia="zh-CN"/>
              </w:rPr>
              <w:t>measGapSharingConfig</w:t>
            </w:r>
          </w:p>
          <w:p w14:paraId="7DD00E69" w14:textId="77777777" w:rsidR="00394471" w:rsidRPr="00FA0D37" w:rsidRDefault="00394471" w:rsidP="00964CC4">
            <w:pPr>
              <w:pStyle w:val="TAL"/>
              <w:rPr>
                <w:b/>
                <w:i/>
                <w:lang w:eastAsia="zh-CN"/>
              </w:rPr>
            </w:pPr>
            <w:r w:rsidRPr="00FA0D37">
              <w:rPr>
                <w:lang w:eastAsia="zh-CN"/>
              </w:rPr>
              <w:t xml:space="preserve">Specifies the measurement gap sharing scheme </w:t>
            </w:r>
            <w:r w:rsidRPr="00FA0D37">
              <w:rPr>
                <w:lang w:eastAsia="en-US"/>
              </w:rPr>
              <w:t>and controls setup/ release of measurement gap sharing.</w:t>
            </w:r>
          </w:p>
        </w:tc>
      </w:tr>
    </w:tbl>
    <w:p w14:paraId="0B322888" w14:textId="616679C8" w:rsidR="00394471" w:rsidRPr="00FA0D37" w:rsidRDefault="00394471" w:rsidP="00394471"/>
    <w:p w14:paraId="1E499A69" w14:textId="77777777" w:rsidR="00394471" w:rsidRPr="00FA0D37" w:rsidRDefault="00394471" w:rsidP="00394471">
      <w:pPr>
        <w:pStyle w:val="4"/>
        <w:rPr>
          <w:rFonts w:eastAsia="MS Mincho"/>
        </w:rPr>
      </w:pPr>
      <w:bookmarkStart w:id="1074" w:name="_Toc60777253"/>
      <w:bookmarkStart w:id="1075" w:name="_Toc146781312"/>
      <w:r w:rsidRPr="00FA0D37">
        <w:t>–</w:t>
      </w:r>
      <w:r w:rsidRPr="00FA0D37">
        <w:tab/>
      </w:r>
      <w:r w:rsidRPr="00FA0D37">
        <w:rPr>
          <w:i/>
        </w:rPr>
        <w:t>MeasGapConfig</w:t>
      </w:r>
      <w:bookmarkEnd w:id="1074"/>
      <w:bookmarkEnd w:id="1075"/>
    </w:p>
    <w:p w14:paraId="08B5800B" w14:textId="77777777" w:rsidR="00394471" w:rsidRPr="00FA0D37" w:rsidRDefault="00394471" w:rsidP="00394471">
      <w:r w:rsidRPr="00FA0D37">
        <w:t xml:space="preserve">The IE </w:t>
      </w:r>
      <w:r w:rsidRPr="00FA0D37">
        <w:rPr>
          <w:i/>
        </w:rPr>
        <w:t>MeasGapConfig</w:t>
      </w:r>
      <w:r w:rsidRPr="00FA0D37">
        <w:t xml:space="preserve"> specifies the measurement gap configuration and controls setup/release of measurement gaps.</w:t>
      </w:r>
    </w:p>
    <w:p w14:paraId="35FDEDEE" w14:textId="77777777" w:rsidR="00394471" w:rsidRPr="00FA0D37" w:rsidRDefault="00394471" w:rsidP="00394471">
      <w:pPr>
        <w:pStyle w:val="TH"/>
      </w:pPr>
      <w:r w:rsidRPr="00FA0D37">
        <w:rPr>
          <w:bCs/>
          <w:i/>
          <w:iCs/>
        </w:rPr>
        <w:t xml:space="preserve">MeasGapConfig </w:t>
      </w:r>
      <w:r w:rsidRPr="00FA0D37">
        <w:t>information element</w:t>
      </w:r>
    </w:p>
    <w:p w14:paraId="699D8552" w14:textId="77777777" w:rsidR="00394471" w:rsidRPr="00FA0D37" w:rsidRDefault="00394471" w:rsidP="00FA0D37">
      <w:pPr>
        <w:pStyle w:val="PL"/>
        <w:rPr>
          <w:color w:val="808080"/>
        </w:rPr>
      </w:pPr>
      <w:r w:rsidRPr="00FA0D37">
        <w:rPr>
          <w:color w:val="808080"/>
        </w:rPr>
        <w:t>-- ASN1START</w:t>
      </w:r>
    </w:p>
    <w:p w14:paraId="5B108E07" w14:textId="77777777" w:rsidR="00394471" w:rsidRPr="00FA0D37" w:rsidRDefault="00394471" w:rsidP="00FA0D37">
      <w:pPr>
        <w:pStyle w:val="PL"/>
        <w:rPr>
          <w:color w:val="808080"/>
        </w:rPr>
      </w:pPr>
      <w:r w:rsidRPr="00FA0D37">
        <w:rPr>
          <w:color w:val="808080"/>
        </w:rPr>
        <w:t>-- TAG-MEASGAPCONFIG-START</w:t>
      </w:r>
    </w:p>
    <w:p w14:paraId="25258A52" w14:textId="77777777" w:rsidR="00394471" w:rsidRPr="00FA0D37" w:rsidRDefault="00394471" w:rsidP="00FA0D37">
      <w:pPr>
        <w:pStyle w:val="PL"/>
      </w:pPr>
    </w:p>
    <w:p w14:paraId="2C383538" w14:textId="77777777" w:rsidR="00394471" w:rsidRPr="00FA0D37" w:rsidRDefault="00394471" w:rsidP="00FA0D37">
      <w:pPr>
        <w:pStyle w:val="PL"/>
      </w:pPr>
      <w:r w:rsidRPr="00FA0D37">
        <w:t xml:space="preserve">MeasGapConfig ::=                   </w:t>
      </w:r>
      <w:r w:rsidRPr="00FA0D37">
        <w:rPr>
          <w:color w:val="993366"/>
        </w:rPr>
        <w:t>SEQUENCE</w:t>
      </w:r>
      <w:r w:rsidRPr="00FA0D37">
        <w:t xml:space="preserve"> {</w:t>
      </w:r>
    </w:p>
    <w:p w14:paraId="035E7F7D" w14:textId="77777777" w:rsidR="00394471" w:rsidRPr="00FA0D37" w:rsidRDefault="00394471" w:rsidP="00FA0D37">
      <w:pPr>
        <w:pStyle w:val="PL"/>
        <w:rPr>
          <w:color w:val="808080"/>
        </w:rPr>
      </w:pPr>
      <w:r w:rsidRPr="00FA0D37">
        <w:t xml:space="preserve">    gapFR2                              SetupRelease { GapConfig }                                              </w:t>
      </w:r>
      <w:r w:rsidRPr="00FA0D37">
        <w:rPr>
          <w:color w:val="993366"/>
        </w:rPr>
        <w:t>OPTIONAL</w:t>
      </w:r>
      <w:r w:rsidRPr="00FA0D37">
        <w:t xml:space="preserve">,   </w:t>
      </w:r>
      <w:r w:rsidRPr="00FA0D37">
        <w:rPr>
          <w:color w:val="808080"/>
        </w:rPr>
        <w:t>-- Need M</w:t>
      </w:r>
    </w:p>
    <w:p w14:paraId="5B4D7F3A" w14:textId="77777777" w:rsidR="00394471" w:rsidRPr="00FA0D37" w:rsidRDefault="00394471" w:rsidP="00FA0D37">
      <w:pPr>
        <w:pStyle w:val="PL"/>
      </w:pPr>
      <w:r w:rsidRPr="00FA0D37">
        <w:t xml:space="preserve">    ...,</w:t>
      </w:r>
    </w:p>
    <w:p w14:paraId="4716C357" w14:textId="77777777" w:rsidR="00394471" w:rsidRPr="00FA0D37" w:rsidRDefault="00394471" w:rsidP="00FA0D37">
      <w:pPr>
        <w:pStyle w:val="PL"/>
      </w:pPr>
      <w:r w:rsidRPr="00FA0D37">
        <w:t xml:space="preserve">    [[</w:t>
      </w:r>
    </w:p>
    <w:p w14:paraId="4F50B054" w14:textId="77777777" w:rsidR="00394471" w:rsidRPr="00FA0D37" w:rsidRDefault="00394471" w:rsidP="00FA0D37">
      <w:pPr>
        <w:pStyle w:val="PL"/>
        <w:rPr>
          <w:color w:val="808080"/>
        </w:rPr>
      </w:pPr>
      <w:r w:rsidRPr="00FA0D37">
        <w:t xml:space="preserve">    gapFR1                              SetupRelease { GapConfig }                                              </w:t>
      </w:r>
      <w:r w:rsidRPr="00FA0D37">
        <w:rPr>
          <w:color w:val="993366"/>
        </w:rPr>
        <w:t>OPTIONAL</w:t>
      </w:r>
      <w:r w:rsidRPr="00FA0D37">
        <w:t xml:space="preserve">,   </w:t>
      </w:r>
      <w:r w:rsidRPr="00FA0D37">
        <w:rPr>
          <w:color w:val="808080"/>
        </w:rPr>
        <w:t>-- Need M</w:t>
      </w:r>
    </w:p>
    <w:p w14:paraId="65896A8B" w14:textId="77777777" w:rsidR="00394471" w:rsidRPr="00FA0D37" w:rsidRDefault="00394471" w:rsidP="00FA0D37">
      <w:pPr>
        <w:pStyle w:val="PL"/>
        <w:rPr>
          <w:color w:val="808080"/>
        </w:rPr>
      </w:pPr>
      <w:r w:rsidRPr="00FA0D37">
        <w:t xml:space="preserve">    gapUE                               SetupRelease { GapConfig }                                              </w:t>
      </w:r>
      <w:r w:rsidRPr="00FA0D37">
        <w:rPr>
          <w:color w:val="993366"/>
        </w:rPr>
        <w:t>OPTIONAL</w:t>
      </w:r>
      <w:r w:rsidRPr="00FA0D37">
        <w:t xml:space="preserve">    </w:t>
      </w:r>
      <w:r w:rsidRPr="00FA0D37">
        <w:rPr>
          <w:color w:val="808080"/>
        </w:rPr>
        <w:t>-- Need M</w:t>
      </w:r>
    </w:p>
    <w:p w14:paraId="6D168974" w14:textId="18403555" w:rsidR="00E616AE" w:rsidRPr="00FA0D37" w:rsidRDefault="00394471" w:rsidP="00FA0D37">
      <w:pPr>
        <w:pStyle w:val="PL"/>
      </w:pPr>
      <w:r w:rsidRPr="00FA0D37">
        <w:t xml:space="preserve">    ]]</w:t>
      </w:r>
      <w:r w:rsidR="00E616AE" w:rsidRPr="00FA0D37">
        <w:t>,</w:t>
      </w:r>
    </w:p>
    <w:p w14:paraId="14A40EB2" w14:textId="77777777" w:rsidR="00E616AE" w:rsidRPr="00FA0D37" w:rsidRDefault="00E616AE" w:rsidP="00FA0D37">
      <w:pPr>
        <w:pStyle w:val="PL"/>
      </w:pPr>
      <w:r w:rsidRPr="00FA0D37">
        <w:lastRenderedPageBreak/>
        <w:t xml:space="preserve">    [[</w:t>
      </w:r>
    </w:p>
    <w:p w14:paraId="74D47756" w14:textId="080DAB41" w:rsidR="00E616AE" w:rsidRPr="00FA0D37" w:rsidRDefault="00E616AE" w:rsidP="00FA0D37">
      <w:pPr>
        <w:pStyle w:val="PL"/>
        <w:rPr>
          <w:color w:val="808080"/>
        </w:rPr>
      </w:pPr>
      <w:r w:rsidRPr="00FA0D37">
        <w:t xml:space="preserve">    gapToAddModList-r17           </w:t>
      </w:r>
      <w:r w:rsidRPr="00FA0D37">
        <w:rPr>
          <w:color w:val="993366"/>
        </w:rPr>
        <w:t>SEQUENCE</w:t>
      </w:r>
      <w:r w:rsidRPr="00FA0D37">
        <w:t xml:space="preserve"> (</w:t>
      </w:r>
      <w:r w:rsidRPr="00FA0D37">
        <w:rPr>
          <w:color w:val="993366"/>
        </w:rPr>
        <w:t>SIZE</w:t>
      </w:r>
      <w:r w:rsidRPr="00FA0D37">
        <w:t xml:space="preserve"> (1..maxNrofGapId-r17))</w:t>
      </w:r>
      <w:r w:rsidRPr="00FA0D37">
        <w:rPr>
          <w:color w:val="993366"/>
        </w:rPr>
        <w:t xml:space="preserve"> OF</w:t>
      </w:r>
      <w:r w:rsidRPr="00FA0D37">
        <w:t xml:space="preserve"> GapConfig</w:t>
      </w:r>
      <w:r w:rsidR="00CE29E7" w:rsidRPr="00FA0D37">
        <w:t>-r17</w:t>
      </w:r>
      <w:r w:rsidRPr="00FA0D37">
        <w:t xml:space="preserve">                    </w:t>
      </w:r>
      <w:r w:rsidRPr="00FA0D37">
        <w:rPr>
          <w:color w:val="993366"/>
        </w:rPr>
        <w:t>OPTIONAL</w:t>
      </w:r>
      <w:r w:rsidRPr="00FA0D37">
        <w:t xml:space="preserve">,   </w:t>
      </w:r>
      <w:r w:rsidRPr="00FA0D37">
        <w:rPr>
          <w:color w:val="808080"/>
        </w:rPr>
        <w:t>-- Need N</w:t>
      </w:r>
    </w:p>
    <w:p w14:paraId="15F312AF" w14:textId="48C353D3" w:rsidR="00E616AE" w:rsidRPr="00FA0D37" w:rsidRDefault="00E616AE" w:rsidP="00FA0D37">
      <w:pPr>
        <w:pStyle w:val="PL"/>
        <w:rPr>
          <w:color w:val="808080"/>
        </w:rPr>
      </w:pPr>
      <w:r w:rsidRPr="00FA0D37">
        <w:t xml:space="preserve">    gapToReleaseList-r17          </w:t>
      </w:r>
      <w:r w:rsidRPr="00FA0D37">
        <w:rPr>
          <w:color w:val="993366"/>
        </w:rPr>
        <w:t>SEQUENCE</w:t>
      </w:r>
      <w:r w:rsidRPr="00FA0D37">
        <w:t xml:space="preserve"> (</w:t>
      </w:r>
      <w:r w:rsidRPr="00FA0D37">
        <w:rPr>
          <w:color w:val="993366"/>
        </w:rPr>
        <w:t>SIZE</w:t>
      </w:r>
      <w:r w:rsidRPr="00FA0D37">
        <w:t xml:space="preserve"> (1..maxNrofGapId-r17))</w:t>
      </w:r>
      <w:r w:rsidRPr="00FA0D37">
        <w:rPr>
          <w:color w:val="993366"/>
        </w:rPr>
        <w:t xml:space="preserve"> OF</w:t>
      </w:r>
      <w:r w:rsidRPr="00FA0D37">
        <w:t xml:space="preserve"> MeasGapId-r17                    </w:t>
      </w:r>
      <w:r w:rsidRPr="00FA0D37">
        <w:rPr>
          <w:color w:val="993366"/>
        </w:rPr>
        <w:t>OPTIONAL</w:t>
      </w:r>
      <w:r w:rsidRPr="00FA0D37">
        <w:t xml:space="preserve">,   </w:t>
      </w:r>
      <w:r w:rsidRPr="00FA0D37">
        <w:rPr>
          <w:color w:val="808080"/>
        </w:rPr>
        <w:t>-- Need N</w:t>
      </w:r>
    </w:p>
    <w:p w14:paraId="73769481" w14:textId="77777777" w:rsidR="00F42915" w:rsidRPr="00FA0D37" w:rsidRDefault="00F42915" w:rsidP="00FA0D37">
      <w:pPr>
        <w:pStyle w:val="PL"/>
        <w:rPr>
          <w:color w:val="808080"/>
        </w:rPr>
      </w:pPr>
      <w:r w:rsidRPr="00FA0D37">
        <w:t xml:space="preserve">    posMeasGapPreConfigToAddModList-r17      PosMeasGapPreConfigToAddModList-r17                                </w:t>
      </w:r>
      <w:r w:rsidRPr="00FA0D37">
        <w:rPr>
          <w:color w:val="993366"/>
        </w:rPr>
        <w:t>OPTIONAL</w:t>
      </w:r>
      <w:r w:rsidRPr="00FA0D37">
        <w:t xml:space="preserve">,   </w:t>
      </w:r>
      <w:r w:rsidRPr="00FA0D37">
        <w:rPr>
          <w:color w:val="808080"/>
        </w:rPr>
        <w:t>-- Need N</w:t>
      </w:r>
    </w:p>
    <w:p w14:paraId="272C17CB" w14:textId="77777777" w:rsidR="00F42915" w:rsidRPr="00FA0D37" w:rsidRDefault="00F42915" w:rsidP="00FA0D37">
      <w:pPr>
        <w:pStyle w:val="PL"/>
        <w:rPr>
          <w:color w:val="808080"/>
        </w:rPr>
      </w:pPr>
      <w:r w:rsidRPr="00FA0D37">
        <w:t xml:space="preserve">    posMeasGapPreConfigToReleaseList-r17     PosMeasGapPreConfigToReleaseList-r17                               </w:t>
      </w:r>
      <w:r w:rsidRPr="00FA0D37">
        <w:rPr>
          <w:color w:val="993366"/>
        </w:rPr>
        <w:t>OPTIONAL</w:t>
      </w:r>
      <w:r w:rsidRPr="00FA0D37">
        <w:t xml:space="preserve">    </w:t>
      </w:r>
      <w:r w:rsidRPr="00FA0D37">
        <w:rPr>
          <w:color w:val="808080"/>
        </w:rPr>
        <w:t>-- Need N</w:t>
      </w:r>
    </w:p>
    <w:p w14:paraId="63C94324" w14:textId="03D182F9" w:rsidR="00394471" w:rsidRPr="00FA0D37" w:rsidRDefault="00E616AE" w:rsidP="00FA0D37">
      <w:pPr>
        <w:pStyle w:val="PL"/>
      </w:pPr>
      <w:r w:rsidRPr="00FA0D37">
        <w:t xml:space="preserve">    ]]</w:t>
      </w:r>
    </w:p>
    <w:p w14:paraId="3B21A474" w14:textId="77777777" w:rsidR="00394471" w:rsidRPr="00FA0D37" w:rsidRDefault="00394471" w:rsidP="00FA0D37">
      <w:pPr>
        <w:pStyle w:val="PL"/>
      </w:pPr>
    </w:p>
    <w:p w14:paraId="14AED0F5" w14:textId="77777777" w:rsidR="00394471" w:rsidRPr="00FA0D37" w:rsidRDefault="00394471" w:rsidP="00FA0D37">
      <w:pPr>
        <w:pStyle w:val="PL"/>
      </w:pPr>
      <w:r w:rsidRPr="00FA0D37">
        <w:t>}</w:t>
      </w:r>
    </w:p>
    <w:p w14:paraId="1193002D" w14:textId="77777777" w:rsidR="00394471" w:rsidRPr="00FA0D37" w:rsidRDefault="00394471" w:rsidP="00FA0D37">
      <w:pPr>
        <w:pStyle w:val="PL"/>
      </w:pPr>
    </w:p>
    <w:p w14:paraId="4F7A8887" w14:textId="77777777" w:rsidR="00394471" w:rsidRPr="00FA0D37" w:rsidRDefault="00394471" w:rsidP="00FA0D37">
      <w:pPr>
        <w:pStyle w:val="PL"/>
      </w:pPr>
      <w:r w:rsidRPr="00FA0D37">
        <w:t xml:space="preserve">GapConfig ::=                       </w:t>
      </w:r>
      <w:r w:rsidRPr="00FA0D37">
        <w:rPr>
          <w:color w:val="993366"/>
        </w:rPr>
        <w:t>SEQUENCE</w:t>
      </w:r>
      <w:r w:rsidRPr="00FA0D37">
        <w:t xml:space="preserve"> {</w:t>
      </w:r>
    </w:p>
    <w:p w14:paraId="2AD47624" w14:textId="77777777" w:rsidR="00394471" w:rsidRPr="00FA0D37" w:rsidRDefault="00394471" w:rsidP="00FA0D37">
      <w:pPr>
        <w:pStyle w:val="PL"/>
      </w:pPr>
      <w:r w:rsidRPr="00FA0D37">
        <w:t xml:space="preserve">    gapOffset                           </w:t>
      </w:r>
      <w:r w:rsidRPr="00FA0D37">
        <w:rPr>
          <w:color w:val="993366"/>
        </w:rPr>
        <w:t>INTEGER</w:t>
      </w:r>
      <w:r w:rsidRPr="00FA0D37">
        <w:t xml:space="preserve"> (0..159),</w:t>
      </w:r>
    </w:p>
    <w:p w14:paraId="33C5076A" w14:textId="77777777" w:rsidR="00394471" w:rsidRPr="00FA0D37" w:rsidRDefault="00394471" w:rsidP="00FA0D37">
      <w:pPr>
        <w:pStyle w:val="PL"/>
      </w:pPr>
      <w:r w:rsidRPr="00FA0D37">
        <w:t xml:space="preserve">    mgl                                 </w:t>
      </w:r>
      <w:r w:rsidRPr="00FA0D37">
        <w:rPr>
          <w:color w:val="993366"/>
        </w:rPr>
        <w:t>ENUMERATED</w:t>
      </w:r>
      <w:r w:rsidRPr="00FA0D37">
        <w:t xml:space="preserve"> {ms1dot5, ms3, ms3dot5, ms4, ms5dot5, ms6},</w:t>
      </w:r>
    </w:p>
    <w:p w14:paraId="28BA3A29" w14:textId="77777777" w:rsidR="00394471" w:rsidRPr="00FA0D37" w:rsidRDefault="00394471" w:rsidP="00FA0D37">
      <w:pPr>
        <w:pStyle w:val="PL"/>
      </w:pPr>
      <w:r w:rsidRPr="00FA0D37">
        <w:t xml:space="preserve">    mgrp                                </w:t>
      </w:r>
      <w:r w:rsidRPr="00FA0D37">
        <w:rPr>
          <w:color w:val="993366"/>
        </w:rPr>
        <w:t>ENUMERATED</w:t>
      </w:r>
      <w:r w:rsidRPr="00FA0D37">
        <w:t xml:space="preserve"> {ms20, ms40, ms80, ms160},</w:t>
      </w:r>
    </w:p>
    <w:p w14:paraId="0B5609C5" w14:textId="77777777" w:rsidR="00394471" w:rsidRPr="00FA0D37" w:rsidRDefault="00394471" w:rsidP="00FA0D37">
      <w:pPr>
        <w:pStyle w:val="PL"/>
      </w:pPr>
      <w:r w:rsidRPr="00FA0D37">
        <w:t xml:space="preserve">    mgta                                </w:t>
      </w:r>
      <w:r w:rsidRPr="00FA0D37">
        <w:rPr>
          <w:color w:val="993366"/>
        </w:rPr>
        <w:t>ENUMERATED</w:t>
      </w:r>
      <w:r w:rsidRPr="00FA0D37">
        <w:t xml:space="preserve"> {ms0, ms0dot25, ms0dot5},</w:t>
      </w:r>
    </w:p>
    <w:p w14:paraId="7EC179FE" w14:textId="77777777" w:rsidR="00394471" w:rsidRPr="00FA0D37" w:rsidRDefault="00394471" w:rsidP="00FA0D37">
      <w:pPr>
        <w:pStyle w:val="PL"/>
      </w:pPr>
      <w:r w:rsidRPr="00FA0D37">
        <w:t xml:space="preserve">    ...,</w:t>
      </w:r>
    </w:p>
    <w:p w14:paraId="5F7204A6" w14:textId="77777777" w:rsidR="00394471" w:rsidRPr="00FA0D37" w:rsidRDefault="00394471" w:rsidP="00FA0D37">
      <w:pPr>
        <w:pStyle w:val="PL"/>
      </w:pPr>
      <w:r w:rsidRPr="00FA0D37">
        <w:t xml:space="preserve">    [[</w:t>
      </w:r>
    </w:p>
    <w:p w14:paraId="34294C6A" w14:textId="77777777" w:rsidR="00394471" w:rsidRPr="00FA0D37" w:rsidRDefault="00394471" w:rsidP="00FA0D37">
      <w:pPr>
        <w:pStyle w:val="PL"/>
        <w:rPr>
          <w:color w:val="808080"/>
        </w:rPr>
      </w:pPr>
      <w:r w:rsidRPr="00FA0D37">
        <w:t xml:space="preserve">    refServCellIndicator                </w:t>
      </w:r>
      <w:r w:rsidRPr="00FA0D37">
        <w:rPr>
          <w:color w:val="993366"/>
        </w:rPr>
        <w:t>ENUMERATED</w:t>
      </w:r>
      <w:r w:rsidRPr="00FA0D37">
        <w:t xml:space="preserve"> {pCell, pSCell, mcg-FR2}                                 </w:t>
      </w:r>
      <w:r w:rsidRPr="00FA0D37">
        <w:rPr>
          <w:color w:val="993366"/>
        </w:rPr>
        <w:t>OPTIONAL</w:t>
      </w:r>
      <w:r w:rsidRPr="00FA0D37">
        <w:t xml:space="preserve">   </w:t>
      </w:r>
      <w:r w:rsidRPr="00FA0D37">
        <w:rPr>
          <w:color w:val="808080"/>
        </w:rPr>
        <w:t>-- Cond NEDCorNRDC</w:t>
      </w:r>
    </w:p>
    <w:p w14:paraId="2F655EDE" w14:textId="77777777" w:rsidR="00394471" w:rsidRPr="00FA0D37" w:rsidRDefault="00394471" w:rsidP="00FA0D37">
      <w:pPr>
        <w:pStyle w:val="PL"/>
      </w:pPr>
      <w:r w:rsidRPr="00FA0D37">
        <w:t xml:space="preserve">    ]],</w:t>
      </w:r>
    </w:p>
    <w:p w14:paraId="5EF534C0" w14:textId="77777777" w:rsidR="00394471" w:rsidRPr="00FA0D37" w:rsidRDefault="00394471" w:rsidP="00FA0D37">
      <w:pPr>
        <w:pStyle w:val="PL"/>
      </w:pPr>
      <w:r w:rsidRPr="00FA0D37">
        <w:t xml:space="preserve">    [[</w:t>
      </w:r>
    </w:p>
    <w:p w14:paraId="7FF59C3D" w14:textId="77777777" w:rsidR="00394471" w:rsidRPr="00FA0D37" w:rsidRDefault="00394471" w:rsidP="00FA0D37">
      <w:pPr>
        <w:pStyle w:val="PL"/>
        <w:rPr>
          <w:color w:val="808080"/>
        </w:rPr>
      </w:pPr>
      <w:r w:rsidRPr="00FA0D37">
        <w:t xml:space="preserve">    refFR2ServCellAsyncCA-r16           ServCellIndex                                                       </w:t>
      </w:r>
      <w:r w:rsidRPr="00FA0D37">
        <w:rPr>
          <w:color w:val="993366"/>
        </w:rPr>
        <w:t>OPTIONAL</w:t>
      </w:r>
      <w:r w:rsidRPr="00FA0D37">
        <w:t xml:space="preserve">,   </w:t>
      </w:r>
      <w:r w:rsidRPr="00FA0D37">
        <w:rPr>
          <w:color w:val="808080"/>
        </w:rPr>
        <w:t>-- Cond AsyncCA</w:t>
      </w:r>
    </w:p>
    <w:p w14:paraId="0C77BEFC" w14:textId="77777777" w:rsidR="00394471" w:rsidRPr="00FA0D37" w:rsidRDefault="00394471" w:rsidP="00FA0D37">
      <w:pPr>
        <w:pStyle w:val="PL"/>
        <w:rPr>
          <w:color w:val="808080"/>
        </w:rPr>
      </w:pPr>
      <w:r w:rsidRPr="00FA0D37">
        <w:t xml:space="preserve">    mgl-r16                             </w:t>
      </w:r>
      <w:r w:rsidRPr="00FA0D37">
        <w:rPr>
          <w:color w:val="993366"/>
        </w:rPr>
        <w:t>ENUMERATED</w:t>
      </w:r>
      <w:r w:rsidRPr="00FA0D37">
        <w:t xml:space="preserve"> {ms10, ms20}                                             </w:t>
      </w:r>
      <w:r w:rsidRPr="00FA0D37">
        <w:rPr>
          <w:color w:val="993366"/>
        </w:rPr>
        <w:t>OPTIONAL</w:t>
      </w:r>
      <w:r w:rsidRPr="00FA0D37">
        <w:t xml:space="preserve">    </w:t>
      </w:r>
      <w:r w:rsidRPr="00FA0D37">
        <w:rPr>
          <w:color w:val="808080"/>
        </w:rPr>
        <w:t>-- Cond PRS</w:t>
      </w:r>
    </w:p>
    <w:p w14:paraId="68E66F89" w14:textId="0EC56FE4" w:rsidR="00394471" w:rsidRPr="00FA0D37" w:rsidRDefault="00394471" w:rsidP="00FA0D37">
      <w:pPr>
        <w:pStyle w:val="PL"/>
      </w:pPr>
      <w:r w:rsidRPr="00FA0D37">
        <w:t xml:space="preserve">    ]]</w:t>
      </w:r>
    </w:p>
    <w:p w14:paraId="6B51B821" w14:textId="77777777" w:rsidR="00394471" w:rsidRPr="00FA0D37" w:rsidRDefault="00394471" w:rsidP="00FA0D37">
      <w:pPr>
        <w:pStyle w:val="PL"/>
      </w:pPr>
      <w:r w:rsidRPr="00FA0D37">
        <w:t>}</w:t>
      </w:r>
    </w:p>
    <w:p w14:paraId="3DA1993A" w14:textId="77777777" w:rsidR="00CE29E7" w:rsidRPr="00FA0D37" w:rsidRDefault="00CE29E7" w:rsidP="00FA0D37">
      <w:pPr>
        <w:pStyle w:val="PL"/>
      </w:pPr>
    </w:p>
    <w:p w14:paraId="7B8014BE" w14:textId="77777777" w:rsidR="00CE29E7" w:rsidRPr="00FA0D37" w:rsidRDefault="00CE29E7" w:rsidP="00FA0D37">
      <w:pPr>
        <w:pStyle w:val="PL"/>
      </w:pPr>
      <w:r w:rsidRPr="00FA0D37">
        <w:t xml:space="preserve">GapConfig-r17 ::=                   </w:t>
      </w:r>
      <w:r w:rsidRPr="00FA0D37">
        <w:rPr>
          <w:color w:val="993366"/>
        </w:rPr>
        <w:t>SEQUENCE</w:t>
      </w:r>
      <w:r w:rsidRPr="00FA0D37">
        <w:t xml:space="preserve"> {</w:t>
      </w:r>
    </w:p>
    <w:p w14:paraId="7BA8B295" w14:textId="77777777" w:rsidR="00CE29E7" w:rsidRPr="00FA0D37" w:rsidRDefault="00CE29E7" w:rsidP="00FA0D37">
      <w:pPr>
        <w:pStyle w:val="PL"/>
      </w:pPr>
      <w:r w:rsidRPr="00FA0D37">
        <w:t xml:space="preserve">    measGapId-r17                       MeasGapId-r17,</w:t>
      </w:r>
    </w:p>
    <w:p w14:paraId="11D7FE2F" w14:textId="77777777" w:rsidR="00CE29E7" w:rsidRPr="00FA0D37" w:rsidRDefault="00CE29E7" w:rsidP="00FA0D37">
      <w:pPr>
        <w:pStyle w:val="PL"/>
      </w:pPr>
      <w:r w:rsidRPr="00FA0D37">
        <w:t xml:space="preserve">    gapType-r17                         </w:t>
      </w:r>
      <w:r w:rsidRPr="00FA0D37">
        <w:rPr>
          <w:color w:val="993366"/>
        </w:rPr>
        <w:t>ENUMERATED</w:t>
      </w:r>
      <w:r w:rsidRPr="00FA0D37">
        <w:t xml:space="preserve"> {perUE, perFR1, perFR2},</w:t>
      </w:r>
    </w:p>
    <w:p w14:paraId="263F14E3" w14:textId="77777777" w:rsidR="00CE29E7" w:rsidRPr="00FA0D37" w:rsidRDefault="00CE29E7" w:rsidP="00FA0D37">
      <w:pPr>
        <w:pStyle w:val="PL"/>
      </w:pPr>
      <w:r w:rsidRPr="00FA0D37">
        <w:t xml:space="preserve">    gapOffset-r17                       </w:t>
      </w:r>
      <w:r w:rsidRPr="00FA0D37">
        <w:rPr>
          <w:color w:val="993366"/>
        </w:rPr>
        <w:t>INTEGER</w:t>
      </w:r>
      <w:r w:rsidRPr="00FA0D37">
        <w:t xml:space="preserve"> (0..159),</w:t>
      </w:r>
    </w:p>
    <w:p w14:paraId="5D110AB3" w14:textId="77777777" w:rsidR="00CE29E7" w:rsidRPr="00FA0D37" w:rsidRDefault="00CE29E7" w:rsidP="00FA0D37">
      <w:pPr>
        <w:pStyle w:val="PL"/>
      </w:pPr>
      <w:r w:rsidRPr="00FA0D37">
        <w:t xml:space="preserve">    mgl-r17                             </w:t>
      </w:r>
      <w:r w:rsidRPr="00FA0D37">
        <w:rPr>
          <w:color w:val="993366"/>
        </w:rPr>
        <w:t>ENUMERATED</w:t>
      </w:r>
      <w:r w:rsidRPr="00FA0D37">
        <w:t xml:space="preserve"> {ms1, ms1dot5, ms2, ms3, ms3dot5, ms4, ms5, ms5dot5, ms6, ms10, ms20},</w:t>
      </w:r>
    </w:p>
    <w:p w14:paraId="71D464BE" w14:textId="77777777" w:rsidR="00CE29E7" w:rsidRPr="00FA0D37" w:rsidRDefault="00CE29E7" w:rsidP="00FA0D37">
      <w:pPr>
        <w:pStyle w:val="PL"/>
      </w:pPr>
      <w:r w:rsidRPr="00FA0D37">
        <w:t xml:space="preserve">    mgrp-r17                            </w:t>
      </w:r>
      <w:r w:rsidRPr="00FA0D37">
        <w:rPr>
          <w:color w:val="993366"/>
        </w:rPr>
        <w:t>ENUMERATED</w:t>
      </w:r>
      <w:r w:rsidRPr="00FA0D37">
        <w:t xml:space="preserve"> {ms20, ms40, ms80, ms160},</w:t>
      </w:r>
    </w:p>
    <w:p w14:paraId="7C29C68E" w14:textId="77777777" w:rsidR="00CE29E7" w:rsidRPr="00FA0D37" w:rsidRDefault="00CE29E7" w:rsidP="00FA0D37">
      <w:pPr>
        <w:pStyle w:val="PL"/>
      </w:pPr>
      <w:r w:rsidRPr="00FA0D37">
        <w:t xml:space="preserve">    mgta-r17                            </w:t>
      </w:r>
      <w:r w:rsidRPr="00FA0D37">
        <w:rPr>
          <w:color w:val="993366"/>
        </w:rPr>
        <w:t>ENUMERATED</w:t>
      </w:r>
      <w:r w:rsidRPr="00FA0D37">
        <w:t xml:space="preserve"> {ms0, ms0dot25, ms0dot5, ms0dot75},</w:t>
      </w:r>
    </w:p>
    <w:p w14:paraId="69B32766" w14:textId="77777777" w:rsidR="00CE29E7" w:rsidRPr="00FA0D37" w:rsidRDefault="00CE29E7" w:rsidP="00FA0D37">
      <w:pPr>
        <w:pStyle w:val="PL"/>
        <w:rPr>
          <w:color w:val="808080"/>
        </w:rPr>
      </w:pPr>
      <w:r w:rsidRPr="00FA0D37">
        <w:t xml:space="preserve">    refServCellIndicator-r17            </w:t>
      </w:r>
      <w:r w:rsidRPr="00FA0D37">
        <w:rPr>
          <w:color w:val="993366"/>
        </w:rPr>
        <w:t>ENUMERATED</w:t>
      </w:r>
      <w:r w:rsidRPr="00FA0D37">
        <w:t xml:space="preserve"> {pCell, pSCell, mcg-FR2}                                 </w:t>
      </w:r>
      <w:r w:rsidRPr="00FA0D37">
        <w:rPr>
          <w:color w:val="993366"/>
        </w:rPr>
        <w:t>OPTIONAL</w:t>
      </w:r>
      <w:r w:rsidRPr="00FA0D37">
        <w:t xml:space="preserve">,   </w:t>
      </w:r>
      <w:r w:rsidRPr="00FA0D37">
        <w:rPr>
          <w:color w:val="808080"/>
        </w:rPr>
        <w:t>-- Cond NEDCorNRDC</w:t>
      </w:r>
    </w:p>
    <w:p w14:paraId="18FB70F6" w14:textId="77777777" w:rsidR="00CE29E7" w:rsidRPr="00FA0D37" w:rsidRDefault="00CE29E7" w:rsidP="00FA0D37">
      <w:pPr>
        <w:pStyle w:val="PL"/>
        <w:rPr>
          <w:color w:val="808080"/>
        </w:rPr>
      </w:pPr>
      <w:r w:rsidRPr="00FA0D37">
        <w:t xml:space="preserve">    refFR2-ServCellAsyncCA-r17          ServCellIndex                                                       </w:t>
      </w:r>
      <w:r w:rsidRPr="00FA0D37">
        <w:rPr>
          <w:color w:val="993366"/>
        </w:rPr>
        <w:t>OPTIONAL</w:t>
      </w:r>
      <w:r w:rsidRPr="00FA0D37">
        <w:t xml:space="preserve">,   </w:t>
      </w:r>
      <w:r w:rsidRPr="00FA0D37">
        <w:rPr>
          <w:color w:val="808080"/>
        </w:rPr>
        <w:t>-- Cond AsyncCA</w:t>
      </w:r>
    </w:p>
    <w:p w14:paraId="01295F58" w14:textId="77777777" w:rsidR="00CE29E7" w:rsidRPr="00FA0D37" w:rsidRDefault="00CE29E7" w:rsidP="00FA0D37">
      <w:pPr>
        <w:pStyle w:val="PL"/>
        <w:rPr>
          <w:color w:val="808080"/>
        </w:rPr>
      </w:pPr>
      <w:r w:rsidRPr="00FA0D37">
        <w:t xml:space="preserve">    preConfigInd-r17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2B3B5B82" w14:textId="77777777" w:rsidR="00CE29E7" w:rsidRPr="00FA0D37" w:rsidRDefault="00CE29E7" w:rsidP="00FA0D37">
      <w:pPr>
        <w:pStyle w:val="PL"/>
        <w:rPr>
          <w:color w:val="808080"/>
        </w:rPr>
      </w:pPr>
      <w:r w:rsidRPr="00FA0D37">
        <w:t xml:space="preserve">    ncsgInd-r17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1F3247F9" w14:textId="77777777" w:rsidR="00CE29E7" w:rsidRPr="00FA0D37" w:rsidRDefault="00CE29E7" w:rsidP="00FA0D37">
      <w:pPr>
        <w:pStyle w:val="PL"/>
        <w:rPr>
          <w:color w:val="808080"/>
        </w:rPr>
      </w:pPr>
      <w:r w:rsidRPr="00FA0D37">
        <w:t xml:space="preserve">    gapAssociationPRS-r17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66FFCDD8" w14:textId="77777777" w:rsidR="00CE29E7" w:rsidRPr="00FA0D37" w:rsidRDefault="00CE29E7" w:rsidP="00FA0D37">
      <w:pPr>
        <w:pStyle w:val="PL"/>
        <w:rPr>
          <w:color w:val="808080"/>
        </w:rPr>
      </w:pPr>
      <w:r w:rsidRPr="00FA0D37">
        <w:t xml:space="preserve">    gapSharing-r17                      MeasGapSharingScheme                                                </w:t>
      </w:r>
      <w:r w:rsidRPr="00FA0D37">
        <w:rPr>
          <w:color w:val="993366"/>
        </w:rPr>
        <w:t>OPTIONAL</w:t>
      </w:r>
      <w:r w:rsidRPr="00FA0D37">
        <w:t xml:space="preserve">,   </w:t>
      </w:r>
      <w:r w:rsidRPr="00FA0D37">
        <w:rPr>
          <w:color w:val="808080"/>
        </w:rPr>
        <w:t>-- Need R</w:t>
      </w:r>
    </w:p>
    <w:p w14:paraId="7E88CA5E" w14:textId="77777777" w:rsidR="00CE29E7" w:rsidRPr="00FA0D37" w:rsidRDefault="00CE29E7" w:rsidP="00FA0D37">
      <w:pPr>
        <w:pStyle w:val="PL"/>
        <w:rPr>
          <w:color w:val="808080"/>
        </w:rPr>
      </w:pPr>
      <w:r w:rsidRPr="00FA0D37">
        <w:t xml:space="preserve">    gapPriority-r17                     GapPriority-r17                                                     </w:t>
      </w:r>
      <w:r w:rsidRPr="00FA0D37">
        <w:rPr>
          <w:color w:val="993366"/>
        </w:rPr>
        <w:t>OPTIONAL</w:t>
      </w:r>
      <w:r w:rsidRPr="00FA0D37">
        <w:t xml:space="preserve">,   </w:t>
      </w:r>
      <w:r w:rsidRPr="00FA0D37">
        <w:rPr>
          <w:color w:val="808080"/>
        </w:rPr>
        <w:t>-- Need R</w:t>
      </w:r>
    </w:p>
    <w:p w14:paraId="60C87A13" w14:textId="77777777" w:rsidR="00CE29E7" w:rsidRPr="00FA0D37" w:rsidRDefault="00CE29E7" w:rsidP="00FA0D37">
      <w:pPr>
        <w:pStyle w:val="PL"/>
      </w:pPr>
      <w:r w:rsidRPr="00FA0D37">
        <w:t xml:space="preserve">    ...</w:t>
      </w:r>
    </w:p>
    <w:p w14:paraId="0600038C" w14:textId="77777777" w:rsidR="00CE29E7" w:rsidRPr="00FA0D37" w:rsidRDefault="00CE29E7" w:rsidP="00FA0D37">
      <w:pPr>
        <w:pStyle w:val="PL"/>
      </w:pPr>
      <w:r w:rsidRPr="00FA0D37">
        <w:t>}</w:t>
      </w:r>
    </w:p>
    <w:p w14:paraId="5AC4EBDB" w14:textId="77777777" w:rsidR="00F42915" w:rsidRPr="00FA0D37" w:rsidRDefault="00F42915" w:rsidP="00FA0D37">
      <w:pPr>
        <w:pStyle w:val="PL"/>
      </w:pPr>
    </w:p>
    <w:p w14:paraId="4F99169C" w14:textId="77777777" w:rsidR="00F42915" w:rsidRPr="00FA0D37" w:rsidRDefault="00F42915" w:rsidP="00FA0D37">
      <w:pPr>
        <w:pStyle w:val="PL"/>
      </w:pPr>
      <w:r w:rsidRPr="00FA0D37">
        <w:t xml:space="preserve">PosMeasGapPreConfigToAddModList-r17 ::= </w:t>
      </w:r>
      <w:r w:rsidRPr="00FA0D37">
        <w:rPr>
          <w:color w:val="993366"/>
        </w:rPr>
        <w:t>SEQUENCE</w:t>
      </w:r>
      <w:r w:rsidRPr="00FA0D37">
        <w:t xml:space="preserve"> (</w:t>
      </w:r>
      <w:r w:rsidRPr="00FA0D37">
        <w:rPr>
          <w:color w:val="993366"/>
        </w:rPr>
        <w:t>SIZE</w:t>
      </w:r>
      <w:r w:rsidRPr="00FA0D37">
        <w:t xml:space="preserve"> (1..maxNrofPreConfigPosGapId-r17))</w:t>
      </w:r>
      <w:r w:rsidRPr="00FA0D37">
        <w:rPr>
          <w:color w:val="993366"/>
        </w:rPr>
        <w:t xml:space="preserve"> OF</w:t>
      </w:r>
      <w:r w:rsidRPr="00FA0D37">
        <w:t xml:space="preserve"> PosGapConfig-r17</w:t>
      </w:r>
    </w:p>
    <w:p w14:paraId="3F0547A6" w14:textId="77777777" w:rsidR="00F42915" w:rsidRPr="00FA0D37" w:rsidRDefault="00F42915" w:rsidP="00FA0D37">
      <w:pPr>
        <w:pStyle w:val="PL"/>
      </w:pPr>
    </w:p>
    <w:p w14:paraId="489A7123" w14:textId="77777777" w:rsidR="00F42915" w:rsidRPr="00FA0D37" w:rsidRDefault="00F42915" w:rsidP="00FA0D37">
      <w:pPr>
        <w:pStyle w:val="PL"/>
      </w:pPr>
      <w:r w:rsidRPr="00FA0D37">
        <w:t xml:space="preserve">PosMeasGapPreConfigToReleaseList-r17 ::= </w:t>
      </w:r>
      <w:r w:rsidRPr="00FA0D37">
        <w:rPr>
          <w:color w:val="993366"/>
        </w:rPr>
        <w:t>SEQUENCE</w:t>
      </w:r>
      <w:r w:rsidRPr="00FA0D37">
        <w:t xml:space="preserve"> (</w:t>
      </w:r>
      <w:r w:rsidRPr="00FA0D37">
        <w:rPr>
          <w:color w:val="993366"/>
        </w:rPr>
        <w:t>SIZE</w:t>
      </w:r>
      <w:r w:rsidRPr="00FA0D37">
        <w:t xml:space="preserve"> (1..maxNrofPreConfigPosGapId-r17))</w:t>
      </w:r>
      <w:r w:rsidRPr="00FA0D37">
        <w:rPr>
          <w:color w:val="993366"/>
        </w:rPr>
        <w:t xml:space="preserve"> OF</w:t>
      </w:r>
      <w:r w:rsidRPr="00FA0D37">
        <w:t xml:space="preserve"> MeasPosPreConfigGapId-r17</w:t>
      </w:r>
    </w:p>
    <w:p w14:paraId="67F330A4" w14:textId="77777777" w:rsidR="00F42915" w:rsidRPr="00FA0D37" w:rsidRDefault="00F42915" w:rsidP="00FA0D37">
      <w:pPr>
        <w:pStyle w:val="PL"/>
      </w:pPr>
    </w:p>
    <w:p w14:paraId="779DF71D" w14:textId="69FD94B7" w:rsidR="00F42915" w:rsidRPr="00FA0D37" w:rsidRDefault="00F42915" w:rsidP="00FA0D37">
      <w:pPr>
        <w:pStyle w:val="PL"/>
      </w:pPr>
      <w:r w:rsidRPr="00FA0D37">
        <w:t xml:space="preserve">PosGapConfig-r17 ::=                </w:t>
      </w:r>
      <w:r w:rsidRPr="00FA0D37">
        <w:rPr>
          <w:color w:val="993366"/>
        </w:rPr>
        <w:t>SEQUENCE</w:t>
      </w:r>
      <w:r w:rsidRPr="00FA0D37">
        <w:t xml:space="preserve"> {</w:t>
      </w:r>
    </w:p>
    <w:p w14:paraId="021E1730" w14:textId="79DB4B90" w:rsidR="00F42915" w:rsidRPr="00FA0D37" w:rsidRDefault="00F42915" w:rsidP="00FA0D37">
      <w:pPr>
        <w:pStyle w:val="PL"/>
      </w:pPr>
      <w:r w:rsidRPr="00FA0D37">
        <w:t xml:space="preserve">    </w:t>
      </w:r>
      <w:r w:rsidRPr="00FA0D37">
        <w:rPr>
          <w:rFonts w:eastAsia="等线"/>
        </w:rPr>
        <w:t>measPosPreConfigGapId-r17</w:t>
      </w:r>
      <w:r w:rsidRPr="00FA0D37">
        <w:t xml:space="preserve">           </w:t>
      </w:r>
      <w:r w:rsidRPr="00FA0D37">
        <w:rPr>
          <w:rFonts w:eastAsia="等线"/>
        </w:rPr>
        <w:t>MeasPosPreConfigGapId-r17,</w:t>
      </w:r>
    </w:p>
    <w:p w14:paraId="576C4575" w14:textId="6D504FC3" w:rsidR="00F42915" w:rsidRPr="00FA0D37" w:rsidRDefault="00F42915" w:rsidP="00FA0D37">
      <w:pPr>
        <w:pStyle w:val="PL"/>
      </w:pPr>
      <w:r w:rsidRPr="00FA0D37">
        <w:t xml:space="preserve">    gapOffset-r17                       </w:t>
      </w:r>
      <w:r w:rsidRPr="00FA0D37">
        <w:rPr>
          <w:color w:val="993366"/>
        </w:rPr>
        <w:t>INTEGER</w:t>
      </w:r>
      <w:r w:rsidRPr="00FA0D37">
        <w:t xml:space="preserve"> (0..159),</w:t>
      </w:r>
    </w:p>
    <w:p w14:paraId="6FB17C1C" w14:textId="66967EDC" w:rsidR="00F42915" w:rsidRPr="00FA0D37" w:rsidRDefault="00F42915" w:rsidP="00FA0D37">
      <w:pPr>
        <w:pStyle w:val="PL"/>
      </w:pPr>
      <w:r w:rsidRPr="00FA0D37">
        <w:t xml:space="preserve">    mgl-r17                             </w:t>
      </w:r>
      <w:r w:rsidRPr="00FA0D37">
        <w:rPr>
          <w:color w:val="993366"/>
        </w:rPr>
        <w:t>ENUMERATED</w:t>
      </w:r>
      <w:r w:rsidRPr="00FA0D37">
        <w:t xml:space="preserve"> {ms1dot5, ms3, ms3dot5, ms4, ms5dot5, ms6, ms10, ms20},</w:t>
      </w:r>
    </w:p>
    <w:p w14:paraId="06F33084" w14:textId="65FB681F" w:rsidR="00F42915" w:rsidRPr="00FA0D37" w:rsidRDefault="00F42915" w:rsidP="00FA0D37">
      <w:pPr>
        <w:pStyle w:val="PL"/>
      </w:pPr>
      <w:r w:rsidRPr="00FA0D37">
        <w:t xml:space="preserve">    mgrp-r17                            </w:t>
      </w:r>
      <w:r w:rsidRPr="00FA0D37">
        <w:rPr>
          <w:color w:val="993366"/>
        </w:rPr>
        <w:t>ENUMERATED</w:t>
      </w:r>
      <w:r w:rsidRPr="00FA0D37">
        <w:t xml:space="preserve"> {ms20, ms40, ms80, ms160},</w:t>
      </w:r>
    </w:p>
    <w:p w14:paraId="3A98F29F" w14:textId="7BF364BB" w:rsidR="00F42915" w:rsidRPr="00FA0D37" w:rsidRDefault="00F42915" w:rsidP="00FA0D37">
      <w:pPr>
        <w:pStyle w:val="PL"/>
      </w:pPr>
      <w:r w:rsidRPr="00FA0D37">
        <w:t xml:space="preserve">    mgta-r17                            </w:t>
      </w:r>
      <w:r w:rsidRPr="00FA0D37">
        <w:rPr>
          <w:color w:val="993366"/>
        </w:rPr>
        <w:t>ENUMERATED</w:t>
      </w:r>
      <w:r w:rsidRPr="00FA0D37">
        <w:t xml:space="preserve"> {ms0, ms0dot25, ms0dot5},</w:t>
      </w:r>
    </w:p>
    <w:p w14:paraId="18A0A038" w14:textId="6AF9E4A8" w:rsidR="00F42915" w:rsidRPr="00FA0D37" w:rsidRDefault="00F42915" w:rsidP="00FA0D37">
      <w:pPr>
        <w:pStyle w:val="PL"/>
      </w:pPr>
      <w:r w:rsidRPr="00FA0D37">
        <w:lastRenderedPageBreak/>
        <w:t xml:space="preserve">    </w:t>
      </w:r>
      <w:r w:rsidRPr="00FA0D37">
        <w:rPr>
          <w:rFonts w:eastAsia="等线"/>
        </w:rPr>
        <w:t>gapType-r17</w:t>
      </w:r>
      <w:r w:rsidRPr="00FA0D37">
        <w:t xml:space="preserve">                         </w:t>
      </w:r>
      <w:r w:rsidRPr="00FA0D37">
        <w:rPr>
          <w:color w:val="993366"/>
        </w:rPr>
        <w:t>ENUMERATED</w:t>
      </w:r>
      <w:r w:rsidRPr="00FA0D37">
        <w:t xml:space="preserve"> {perUE, perFR1, perFR2},</w:t>
      </w:r>
    </w:p>
    <w:p w14:paraId="652F51BE" w14:textId="77777777" w:rsidR="00F42915" w:rsidRPr="00FA0D37" w:rsidRDefault="00F42915" w:rsidP="00FA0D37">
      <w:pPr>
        <w:pStyle w:val="PL"/>
      </w:pPr>
      <w:r w:rsidRPr="00FA0D37">
        <w:t xml:space="preserve">    ...</w:t>
      </w:r>
    </w:p>
    <w:p w14:paraId="635FD836" w14:textId="77777777" w:rsidR="00F42915" w:rsidRPr="00FA0D37" w:rsidRDefault="00F42915" w:rsidP="00FA0D37">
      <w:pPr>
        <w:pStyle w:val="PL"/>
      </w:pPr>
      <w:r w:rsidRPr="00FA0D37">
        <w:t>}</w:t>
      </w:r>
    </w:p>
    <w:p w14:paraId="6EF688EC" w14:textId="77777777" w:rsidR="00F42915" w:rsidRPr="00FA0D37" w:rsidRDefault="00F42915" w:rsidP="00FA0D37">
      <w:pPr>
        <w:pStyle w:val="PL"/>
      </w:pPr>
    </w:p>
    <w:p w14:paraId="02EFC8DD" w14:textId="77777777" w:rsidR="00F42915" w:rsidRPr="00FA0D37" w:rsidRDefault="00F42915" w:rsidP="00FA0D37">
      <w:pPr>
        <w:pStyle w:val="PL"/>
      </w:pPr>
      <w:r w:rsidRPr="00FA0D37">
        <w:rPr>
          <w:rFonts w:eastAsia="等线"/>
        </w:rPr>
        <w:t xml:space="preserve">MeasPosPreConfigGapId-r17 ::= </w:t>
      </w:r>
      <w:r w:rsidRPr="00FA0D37">
        <w:rPr>
          <w:color w:val="993366"/>
        </w:rPr>
        <w:t>INTEGER</w:t>
      </w:r>
      <w:r w:rsidRPr="00FA0D37">
        <w:t xml:space="preserve"> (1..maxNrofPreConfigPosGapId-r17)</w:t>
      </w:r>
    </w:p>
    <w:p w14:paraId="319C19D9" w14:textId="77777777" w:rsidR="00F42915" w:rsidRPr="00FA0D37" w:rsidRDefault="00F42915" w:rsidP="00FA0D37">
      <w:pPr>
        <w:pStyle w:val="PL"/>
      </w:pPr>
    </w:p>
    <w:p w14:paraId="76A3F84B" w14:textId="77777777" w:rsidR="00394471" w:rsidRPr="00FA0D37" w:rsidRDefault="00394471" w:rsidP="00FA0D37">
      <w:pPr>
        <w:pStyle w:val="PL"/>
        <w:rPr>
          <w:color w:val="808080"/>
        </w:rPr>
      </w:pPr>
      <w:r w:rsidRPr="00FA0D37">
        <w:rPr>
          <w:color w:val="808080"/>
        </w:rPr>
        <w:t>-- TAG-MEASGAPCONFIG-STOP</w:t>
      </w:r>
    </w:p>
    <w:p w14:paraId="0B793C0D" w14:textId="77777777" w:rsidR="00394471" w:rsidRPr="00FA0D37" w:rsidRDefault="00394471" w:rsidP="00FA0D37">
      <w:pPr>
        <w:pStyle w:val="PL"/>
        <w:rPr>
          <w:color w:val="808080"/>
        </w:rPr>
      </w:pPr>
      <w:r w:rsidRPr="00FA0D37">
        <w:rPr>
          <w:color w:val="808080"/>
        </w:rPr>
        <w:t>-- ASN1STOP</w:t>
      </w:r>
    </w:p>
    <w:p w14:paraId="45017A4A" w14:textId="77777777" w:rsidR="00394471" w:rsidRPr="00FA0D37"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5C7FF4" w:rsidRPr="00FA0D37"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FA0D37" w:rsidRDefault="00394471" w:rsidP="00964CC4">
            <w:pPr>
              <w:pStyle w:val="TAH"/>
              <w:rPr>
                <w:lang w:eastAsia="en-GB"/>
              </w:rPr>
            </w:pPr>
            <w:r w:rsidRPr="00FA0D37">
              <w:rPr>
                <w:i/>
                <w:lang w:eastAsia="en-GB"/>
              </w:rPr>
              <w:lastRenderedPageBreak/>
              <w:t>MeasGapConfig</w:t>
            </w:r>
            <w:r w:rsidRPr="00FA0D37">
              <w:rPr>
                <w:iCs/>
                <w:lang w:eastAsia="en-GB"/>
              </w:rPr>
              <w:t xml:space="preserve"> field descriptions</w:t>
            </w:r>
          </w:p>
        </w:tc>
      </w:tr>
      <w:tr w:rsidR="005C7FF4" w:rsidRPr="00FA0D37"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FA0D37" w:rsidRDefault="00E616AE" w:rsidP="00E616AE">
            <w:pPr>
              <w:pStyle w:val="TAL"/>
              <w:rPr>
                <w:b/>
                <w:bCs/>
                <w:i/>
                <w:iCs/>
                <w:lang w:eastAsia="en-GB"/>
              </w:rPr>
            </w:pPr>
            <w:r w:rsidRPr="00FA0D37">
              <w:rPr>
                <w:b/>
                <w:bCs/>
                <w:i/>
                <w:iCs/>
                <w:lang w:eastAsia="en-GB"/>
              </w:rPr>
              <w:t>gapAssociationPRS</w:t>
            </w:r>
          </w:p>
          <w:p w14:paraId="254DBD46" w14:textId="6CC751EF" w:rsidR="00E616AE" w:rsidRPr="00FA0D37" w:rsidRDefault="00E616AE" w:rsidP="000830BB">
            <w:pPr>
              <w:pStyle w:val="TAL"/>
              <w:rPr>
                <w:lang w:eastAsia="en-GB"/>
              </w:rPr>
            </w:pPr>
            <w:r w:rsidRPr="00FA0D37">
              <w:rPr>
                <w:lang w:eastAsia="en-GB"/>
              </w:rPr>
              <w:t>Indicates that PRS measurement is associated with this measurement gap. The network only includes this field for one per</w:t>
            </w:r>
            <w:r w:rsidR="00FC1F0B" w:rsidRPr="00FA0D37">
              <w:rPr>
                <w:lang w:eastAsia="en-GB"/>
              </w:rPr>
              <w:t>-</w:t>
            </w:r>
            <w:r w:rsidRPr="00FA0D37">
              <w:rPr>
                <w:lang w:eastAsia="en-GB"/>
              </w:rPr>
              <w:t>UE gap</w:t>
            </w:r>
            <w:r w:rsidR="00FC1F0B" w:rsidRPr="00FA0D37">
              <w:rPr>
                <w:lang w:eastAsia="zh-CN"/>
              </w:rPr>
              <w:t xml:space="preserve"> or for one per-FR gap</w:t>
            </w:r>
            <w:r w:rsidRPr="00FA0D37">
              <w:rPr>
                <w:lang w:eastAsia="en-GB"/>
              </w:rPr>
              <w:t>.</w:t>
            </w:r>
            <w:r w:rsidR="00CE29E7" w:rsidRPr="00FA0D37">
              <w:rPr>
                <w:lang w:eastAsia="en-GB"/>
              </w:rPr>
              <w:t xml:space="preserve"> </w:t>
            </w:r>
            <w:r w:rsidR="00CE29E7" w:rsidRPr="00FA0D37">
              <w:rPr>
                <w:iCs/>
                <w:noProof/>
                <w:lang w:eastAsia="ko-KR"/>
              </w:rPr>
              <w:t xml:space="preserve">If concurrent gap (i.e. one of the gap combination as defined in Table 9.1.8-1 in TS 38.133 [14]) is configured and no gap is configured with this field, the </w:t>
            </w:r>
            <w:r w:rsidR="00CE29E7" w:rsidRPr="00FA0D37">
              <w:rPr>
                <w:lang w:eastAsia="en-GB"/>
              </w:rPr>
              <w:t>PRS measurement is associated with</w:t>
            </w:r>
            <w:r w:rsidR="00CE29E7" w:rsidRPr="00FA0D37">
              <w:rPr>
                <w:iCs/>
                <w:noProof/>
                <w:lang w:eastAsia="ko-KR"/>
              </w:rPr>
              <w:t xml:space="preserve"> the gap configured via </w:t>
            </w:r>
            <w:r w:rsidR="00FC1F0B" w:rsidRPr="00FA0D37">
              <w:rPr>
                <w:i/>
                <w:noProof/>
                <w:lang w:eastAsia="zh-CN"/>
              </w:rPr>
              <w:t>GapConfig</w:t>
            </w:r>
            <w:r w:rsidR="00FC1F0B" w:rsidRPr="00FA0D37">
              <w:rPr>
                <w:iCs/>
                <w:noProof/>
                <w:lang w:eastAsia="zh-CN"/>
              </w:rPr>
              <w:t xml:space="preserve"> (without suffix)</w:t>
            </w:r>
            <w:r w:rsidR="00CE29E7" w:rsidRPr="00FA0D37">
              <w:rPr>
                <w:iCs/>
                <w:noProof/>
                <w:lang w:eastAsia="ko-KR"/>
              </w:rPr>
              <w:t>, if available.</w:t>
            </w:r>
            <w:r w:rsidR="00FC1F0B" w:rsidRPr="00FA0D37">
              <w:rPr>
                <w:iCs/>
                <w:noProof/>
                <w:lang w:eastAsia="zh-CN"/>
              </w:rPr>
              <w:t xml:space="preserve"> If both per-UE gap and per-FR gap are configured via </w:t>
            </w:r>
            <w:r w:rsidR="00FC1F0B" w:rsidRPr="00FA0D37">
              <w:rPr>
                <w:i/>
                <w:iCs/>
                <w:noProof/>
                <w:lang w:eastAsia="zh-CN"/>
              </w:rPr>
              <w:t>GapConfig</w:t>
            </w:r>
            <w:r w:rsidR="00FC1F0B" w:rsidRPr="00FA0D37">
              <w:rPr>
                <w:iCs/>
                <w:noProof/>
                <w:lang w:eastAsia="zh-CN"/>
              </w:rPr>
              <w:t xml:space="preserve"> and/or </w:t>
            </w:r>
            <w:r w:rsidR="00FC1F0B" w:rsidRPr="00FA0D37">
              <w:rPr>
                <w:i/>
                <w:iCs/>
                <w:noProof/>
                <w:lang w:eastAsia="zh-CN"/>
              </w:rPr>
              <w:t>GapConfig-r17</w:t>
            </w:r>
            <w:r w:rsidR="00FC1F0B" w:rsidRPr="00FA0D37">
              <w:rPr>
                <w:iCs/>
                <w:noProof/>
                <w:lang w:eastAsia="zh-CN"/>
              </w:rPr>
              <w:t>, the PRS measurement is always associated with the per-UE gap.</w:t>
            </w:r>
          </w:p>
        </w:tc>
      </w:tr>
      <w:tr w:rsidR="005C7FF4" w:rsidRPr="00FA0D37"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FA0D37" w:rsidRDefault="00394471" w:rsidP="00964CC4">
            <w:pPr>
              <w:pStyle w:val="TAL"/>
              <w:rPr>
                <w:b/>
                <w:bCs/>
                <w:i/>
                <w:lang w:eastAsia="en-GB"/>
              </w:rPr>
            </w:pPr>
            <w:r w:rsidRPr="00FA0D37">
              <w:rPr>
                <w:b/>
                <w:bCs/>
                <w:i/>
                <w:lang w:eastAsia="en-GB"/>
              </w:rPr>
              <w:t>gapFR1</w:t>
            </w:r>
          </w:p>
          <w:p w14:paraId="7F2FEB2F" w14:textId="1EB0DC00" w:rsidR="00394471" w:rsidRPr="00FA0D37" w:rsidRDefault="00394471" w:rsidP="00964CC4">
            <w:pPr>
              <w:pStyle w:val="TAL"/>
              <w:rPr>
                <w:b/>
                <w:bCs/>
                <w:i/>
                <w:lang w:eastAsia="en-GB"/>
              </w:rPr>
            </w:pPr>
            <w:r w:rsidRPr="00FA0D37">
              <w:rPr>
                <w:rFonts w:cs="Arial"/>
                <w:szCs w:val="18"/>
                <w:lang w:eastAsia="sv-SE"/>
              </w:rPr>
              <w:t>Indicates</w:t>
            </w:r>
            <w:r w:rsidRPr="00FA0D37">
              <w:rPr>
                <w:rFonts w:cs="Arial"/>
                <w:szCs w:val="18"/>
                <w:lang w:eastAsia="zh-CN"/>
              </w:rPr>
              <w:t xml:space="preserve"> measurement gap configuration that </w:t>
            </w:r>
            <w:r w:rsidRPr="00FA0D37">
              <w:rPr>
                <w:lang w:eastAsia="sv-SE"/>
              </w:rPr>
              <w:t xml:space="preserve">applies to FR1 only. In (NG)EN-DC, </w:t>
            </w:r>
            <w:r w:rsidRPr="00FA0D37">
              <w:rPr>
                <w:i/>
                <w:lang w:eastAsia="sv-SE"/>
              </w:rPr>
              <w:t>gapFR1</w:t>
            </w:r>
            <w:r w:rsidRPr="00FA0D37">
              <w:rPr>
                <w:lang w:eastAsia="sv-SE"/>
              </w:rPr>
              <w:t xml:space="preserve"> cannot be set up by NR RRC (i.e. only LTE RRC can configure FR1 measurement gap). In NE-DC, </w:t>
            </w:r>
            <w:r w:rsidRPr="00FA0D37">
              <w:rPr>
                <w:i/>
                <w:lang w:eastAsia="sv-SE"/>
              </w:rPr>
              <w:t>gapFR1</w:t>
            </w:r>
            <w:r w:rsidRPr="00FA0D37">
              <w:rPr>
                <w:lang w:eastAsia="sv-SE"/>
              </w:rPr>
              <w:t xml:space="preserve"> can only be set up by NR RRC (i.e. LTE RRC cannot configure FR1 gap). In NR-DC, </w:t>
            </w:r>
            <w:r w:rsidRPr="00FA0D37">
              <w:rPr>
                <w:i/>
                <w:lang w:eastAsia="sv-SE"/>
              </w:rPr>
              <w:t>gapFR1</w:t>
            </w:r>
            <w:r w:rsidRPr="00FA0D37">
              <w:rPr>
                <w:lang w:eastAsia="sv-SE"/>
              </w:rPr>
              <w:t xml:space="preserve"> can only be set up in the </w:t>
            </w:r>
            <w:r w:rsidRPr="00FA0D37">
              <w:rPr>
                <w:i/>
                <w:lang w:eastAsia="sv-SE"/>
              </w:rPr>
              <w:t>measConfig</w:t>
            </w:r>
            <w:r w:rsidRPr="00FA0D37">
              <w:rPr>
                <w:lang w:eastAsia="sv-SE"/>
              </w:rPr>
              <w:t xml:space="preserve"> associated with MCG. </w:t>
            </w:r>
            <w:r w:rsidRPr="00FA0D37">
              <w:rPr>
                <w:i/>
                <w:lang w:eastAsia="sv-SE"/>
              </w:rPr>
              <w:t>gapFR1</w:t>
            </w:r>
            <w:r w:rsidRPr="00FA0D37">
              <w:rPr>
                <w:lang w:eastAsia="sv-SE"/>
              </w:rPr>
              <w:t xml:space="preserve"> can not be configured together with </w:t>
            </w:r>
            <w:r w:rsidRPr="00FA0D37">
              <w:rPr>
                <w:i/>
                <w:lang w:eastAsia="sv-SE"/>
              </w:rPr>
              <w:t>gapUE</w:t>
            </w:r>
            <w:r w:rsidRPr="00FA0D37">
              <w:rPr>
                <w:lang w:eastAsia="sv-SE"/>
              </w:rPr>
              <w:t xml:space="preserve">. The applicability of the FR1 measurement gap is according to </w:t>
            </w:r>
            <w:r w:rsidRPr="00FA0D37">
              <w:rPr>
                <w:snapToGrid w:val="0"/>
                <w:lang w:eastAsia="sv-SE"/>
              </w:rPr>
              <w:t>Table 9.1.2-2 and Table 9.1.2-3 in TS 38.133 [14]</w:t>
            </w:r>
            <w:r w:rsidRPr="00FA0D37">
              <w:rPr>
                <w:lang w:eastAsia="sv-SE"/>
              </w:rPr>
              <w:t>.</w:t>
            </w:r>
          </w:p>
        </w:tc>
      </w:tr>
      <w:tr w:rsidR="005C7FF4" w:rsidRPr="00FA0D37"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FA0D37" w:rsidRDefault="00394471" w:rsidP="00964CC4">
            <w:pPr>
              <w:pStyle w:val="TAL"/>
              <w:rPr>
                <w:b/>
                <w:bCs/>
                <w:i/>
                <w:lang w:eastAsia="en-GB"/>
              </w:rPr>
            </w:pPr>
            <w:r w:rsidRPr="00FA0D37">
              <w:rPr>
                <w:b/>
                <w:bCs/>
                <w:i/>
                <w:lang w:eastAsia="en-GB"/>
              </w:rPr>
              <w:t>gapFR2</w:t>
            </w:r>
          </w:p>
          <w:p w14:paraId="646EFC19" w14:textId="21B92FEF" w:rsidR="00394471" w:rsidRPr="00FA0D37" w:rsidRDefault="00394471" w:rsidP="00964CC4">
            <w:pPr>
              <w:pStyle w:val="TAL"/>
              <w:rPr>
                <w:lang w:eastAsia="sv-SE"/>
              </w:rPr>
            </w:pPr>
            <w:r w:rsidRPr="00FA0D37">
              <w:rPr>
                <w:rFonts w:cs="Arial"/>
                <w:szCs w:val="18"/>
                <w:lang w:eastAsia="sv-SE"/>
              </w:rPr>
              <w:t>Indicates</w:t>
            </w:r>
            <w:r w:rsidRPr="00FA0D37">
              <w:rPr>
                <w:rFonts w:cs="Arial"/>
                <w:szCs w:val="18"/>
                <w:lang w:eastAsia="zh-CN"/>
              </w:rPr>
              <w:t xml:space="preserve"> measurement gap configuration </w:t>
            </w:r>
            <w:r w:rsidRPr="00FA0D37">
              <w:rPr>
                <w:lang w:eastAsia="sv-SE"/>
              </w:rPr>
              <w:t xml:space="preserve">applies to FR2 only. In (NG)EN-DC or NE-DC, </w:t>
            </w:r>
            <w:r w:rsidRPr="00FA0D37">
              <w:rPr>
                <w:i/>
                <w:lang w:eastAsia="sv-SE"/>
              </w:rPr>
              <w:t>gapFR2</w:t>
            </w:r>
            <w:r w:rsidRPr="00FA0D37">
              <w:rPr>
                <w:lang w:eastAsia="sv-SE"/>
              </w:rPr>
              <w:t xml:space="preserve"> can only be set up by NR RRC (i.e. LTE RRC cannot configure FR2 gap). In NR-DC, </w:t>
            </w:r>
            <w:r w:rsidRPr="00FA0D37">
              <w:rPr>
                <w:i/>
                <w:lang w:eastAsia="sv-SE"/>
              </w:rPr>
              <w:t>gapFR2</w:t>
            </w:r>
            <w:r w:rsidRPr="00FA0D37">
              <w:rPr>
                <w:lang w:eastAsia="sv-SE"/>
              </w:rPr>
              <w:t xml:space="preserve"> can only be set up in the </w:t>
            </w:r>
            <w:r w:rsidRPr="00FA0D37">
              <w:rPr>
                <w:i/>
                <w:lang w:eastAsia="sv-SE"/>
              </w:rPr>
              <w:t>measConfig</w:t>
            </w:r>
            <w:r w:rsidRPr="00FA0D37">
              <w:rPr>
                <w:lang w:eastAsia="sv-SE"/>
              </w:rPr>
              <w:t xml:space="preserve"> associated with MCG. </w:t>
            </w:r>
            <w:r w:rsidRPr="00FA0D37">
              <w:rPr>
                <w:i/>
                <w:lang w:eastAsia="sv-SE"/>
              </w:rPr>
              <w:t>gapFR2</w:t>
            </w:r>
            <w:r w:rsidRPr="00FA0D37">
              <w:rPr>
                <w:lang w:eastAsia="sv-SE"/>
              </w:rPr>
              <w:t xml:space="preserve"> cannot be configured together with </w:t>
            </w:r>
            <w:r w:rsidRPr="00FA0D37">
              <w:rPr>
                <w:i/>
                <w:lang w:eastAsia="sv-SE"/>
              </w:rPr>
              <w:t>gapUE</w:t>
            </w:r>
            <w:r w:rsidRPr="00FA0D37">
              <w:rPr>
                <w:lang w:eastAsia="sv-SE"/>
              </w:rPr>
              <w:t xml:space="preserve">. The applicability of the FR2 measurement gap is according to </w:t>
            </w:r>
            <w:r w:rsidRPr="00FA0D37">
              <w:rPr>
                <w:snapToGrid w:val="0"/>
                <w:lang w:eastAsia="sv-SE"/>
              </w:rPr>
              <w:t>Table 9.1.2-2 and Table 9.1.2-3 in TS 38.133 [14]</w:t>
            </w:r>
            <w:r w:rsidRPr="00FA0D37">
              <w:rPr>
                <w:lang w:eastAsia="sv-SE"/>
              </w:rPr>
              <w:t>.</w:t>
            </w:r>
          </w:p>
        </w:tc>
      </w:tr>
      <w:tr w:rsidR="005C7FF4" w:rsidRPr="00FA0D37"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FA0D37" w:rsidRDefault="00894E1D" w:rsidP="0071565C">
            <w:pPr>
              <w:pStyle w:val="TAL"/>
              <w:rPr>
                <w:b/>
                <w:bCs/>
                <w:i/>
                <w:lang w:eastAsia="en-GB"/>
              </w:rPr>
            </w:pPr>
            <w:r w:rsidRPr="00FA0D37">
              <w:rPr>
                <w:b/>
                <w:bCs/>
                <w:i/>
                <w:lang w:eastAsia="en-GB"/>
              </w:rPr>
              <w:t>gapOffset</w:t>
            </w:r>
          </w:p>
          <w:p w14:paraId="67228C8B" w14:textId="77777777" w:rsidR="00894E1D" w:rsidRPr="00FA0D37" w:rsidRDefault="00894E1D" w:rsidP="0071565C">
            <w:pPr>
              <w:pStyle w:val="TAL"/>
              <w:rPr>
                <w:b/>
                <w:bCs/>
                <w:i/>
                <w:lang w:eastAsia="en-GB"/>
              </w:rPr>
            </w:pPr>
            <w:r w:rsidRPr="00FA0D37">
              <w:rPr>
                <w:lang w:eastAsia="en-GB"/>
              </w:rPr>
              <w:t xml:space="preserve">Value </w:t>
            </w:r>
            <w:r w:rsidRPr="00FA0D37">
              <w:rPr>
                <w:i/>
                <w:lang w:eastAsia="en-GB"/>
              </w:rPr>
              <w:t>gapOffset</w:t>
            </w:r>
            <w:r w:rsidRPr="00FA0D37">
              <w:rPr>
                <w:lang w:eastAsia="en-GB"/>
              </w:rPr>
              <w:t xml:space="preserve"> is the gap offset of the gap pattern with MGRP indicate</w:t>
            </w:r>
            <w:r w:rsidRPr="00FA0D37">
              <w:rPr>
                <w:lang w:eastAsia="sv-SE"/>
              </w:rPr>
              <w:t>d</w:t>
            </w:r>
            <w:r w:rsidRPr="00FA0D37">
              <w:rPr>
                <w:lang w:eastAsia="en-GB"/>
              </w:rPr>
              <w:t xml:space="preserve"> in the field </w:t>
            </w:r>
            <w:r w:rsidRPr="00FA0D37">
              <w:rPr>
                <w:i/>
                <w:lang w:eastAsia="en-GB"/>
              </w:rPr>
              <w:t>mgrp</w:t>
            </w:r>
            <w:r w:rsidRPr="00FA0D37">
              <w:rPr>
                <w:lang w:eastAsia="en-GB"/>
              </w:rPr>
              <w:t xml:space="preserve">. The value range is from 0 to </w:t>
            </w:r>
            <w:r w:rsidRPr="00FA0D37">
              <w:rPr>
                <w:i/>
                <w:lang w:eastAsia="en-GB"/>
              </w:rPr>
              <w:t>mgrp</w:t>
            </w:r>
            <w:r w:rsidRPr="00FA0D37">
              <w:rPr>
                <w:lang w:eastAsia="en-GB"/>
              </w:rPr>
              <w:t>-1</w:t>
            </w:r>
            <w:r w:rsidRPr="00FA0D37">
              <w:rPr>
                <w:lang w:eastAsia="sv-SE"/>
              </w:rPr>
              <w:t xml:space="preserve">. </w:t>
            </w:r>
            <w:r w:rsidRPr="00FA0D37">
              <w:rPr>
                <w:lang w:eastAsia="en-GB"/>
              </w:rPr>
              <w:t xml:space="preserve">If </w:t>
            </w:r>
            <w:r w:rsidRPr="00FA0D37">
              <w:rPr>
                <w:i/>
                <w:iCs/>
                <w:lang w:eastAsia="en-GB"/>
              </w:rPr>
              <w:t>ncsgInd-r17</w:t>
            </w:r>
            <w:r w:rsidRPr="00FA0D37">
              <w:rPr>
                <w:lang w:eastAsia="en-GB"/>
              </w:rPr>
              <w:t xml:space="preserve"> is present, this offset value refers to the starting point of VIL1 (the visible interruption length before the ML).</w:t>
            </w:r>
          </w:p>
        </w:tc>
      </w:tr>
      <w:tr w:rsidR="005C7FF4" w:rsidRPr="00FA0D37"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FA0D37" w:rsidRDefault="00E616AE" w:rsidP="00E616AE">
            <w:pPr>
              <w:pStyle w:val="TAL"/>
              <w:rPr>
                <w:b/>
                <w:bCs/>
                <w:i/>
                <w:lang w:eastAsia="en-GB"/>
              </w:rPr>
            </w:pPr>
            <w:r w:rsidRPr="00FA0D37">
              <w:rPr>
                <w:b/>
                <w:bCs/>
                <w:i/>
                <w:lang w:eastAsia="en-GB"/>
              </w:rPr>
              <w:t>gapPriority</w:t>
            </w:r>
          </w:p>
          <w:p w14:paraId="6FE929E1" w14:textId="0AFAF7D5" w:rsidR="00E616AE" w:rsidRPr="00FA0D37" w:rsidRDefault="00E616AE" w:rsidP="00E616AE">
            <w:pPr>
              <w:pStyle w:val="TAL"/>
              <w:rPr>
                <w:iCs/>
                <w:lang w:eastAsia="en-GB"/>
              </w:rPr>
            </w:pPr>
            <w:r w:rsidRPr="00FA0D37">
              <w:rPr>
                <w:iCs/>
                <w:lang w:eastAsia="en-GB"/>
              </w:rPr>
              <w:t xml:space="preserve">Indicates the priority of this measurement gap (see TS 38.133 [14], clause </w:t>
            </w:r>
            <w:r w:rsidR="00DE4805" w:rsidRPr="00FA0D37">
              <w:rPr>
                <w:iCs/>
                <w:lang w:eastAsia="en-GB"/>
              </w:rPr>
              <w:t>9.1.8.3</w:t>
            </w:r>
            <w:r w:rsidRPr="00FA0D37">
              <w:rPr>
                <w:iCs/>
                <w:lang w:eastAsia="en-GB"/>
              </w:rPr>
              <w:t xml:space="preserve">). Value </w:t>
            </w:r>
            <w:r w:rsidRPr="00FA0D37">
              <w:rPr>
                <w:i/>
                <w:lang w:eastAsia="en-GB"/>
              </w:rPr>
              <w:t>1</w:t>
            </w:r>
            <w:r w:rsidRPr="00FA0D37">
              <w:rPr>
                <w:iCs/>
                <w:lang w:eastAsia="en-GB"/>
              </w:rPr>
              <w:t xml:space="preserve"> indicates highest priority, value 2 indicates second level priority, and so on.</w:t>
            </w:r>
          </w:p>
        </w:tc>
      </w:tr>
      <w:tr w:rsidR="005C7FF4" w:rsidRPr="00FA0D37"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FA0D37" w:rsidRDefault="00E616AE" w:rsidP="00E616AE">
            <w:pPr>
              <w:keepNext/>
              <w:keepLines/>
              <w:spacing w:after="0"/>
              <w:rPr>
                <w:rFonts w:ascii="Arial" w:hAnsi="Arial"/>
                <w:b/>
                <w:bCs/>
                <w:i/>
                <w:sz w:val="18"/>
                <w:lang w:eastAsia="en-GB"/>
              </w:rPr>
            </w:pPr>
            <w:r w:rsidRPr="00FA0D37">
              <w:rPr>
                <w:rFonts w:ascii="Arial" w:hAnsi="Arial"/>
                <w:b/>
                <w:bCs/>
                <w:i/>
                <w:sz w:val="18"/>
                <w:lang w:eastAsia="en-GB"/>
              </w:rPr>
              <w:t>gapSharing</w:t>
            </w:r>
          </w:p>
          <w:p w14:paraId="2282B279" w14:textId="07B0A5DB" w:rsidR="00E616AE" w:rsidRPr="00FA0D37" w:rsidRDefault="00E616AE" w:rsidP="00E616AE">
            <w:pPr>
              <w:pStyle w:val="TAL"/>
              <w:rPr>
                <w:b/>
                <w:bCs/>
                <w:i/>
                <w:lang w:eastAsia="en-GB"/>
              </w:rPr>
            </w:pPr>
            <w:r w:rsidRPr="00FA0D37">
              <w:rPr>
                <w:rFonts w:cs="Arial"/>
                <w:szCs w:val="18"/>
                <w:lang w:eastAsia="zh-CN"/>
              </w:rPr>
              <w:t xml:space="preserve">Indicates the measurement gap sharing scheme that applies to this </w:t>
            </w:r>
            <w:r w:rsidRPr="00FA0D37">
              <w:rPr>
                <w:rFonts w:cs="Arial"/>
                <w:i/>
                <w:iCs/>
                <w:szCs w:val="18"/>
                <w:lang w:eastAsia="zh-CN"/>
              </w:rPr>
              <w:t>GapConfig</w:t>
            </w:r>
            <w:r w:rsidRPr="00FA0D37">
              <w:rPr>
                <w:rFonts w:cs="Arial"/>
                <w:szCs w:val="18"/>
                <w:lang w:eastAsia="zh-CN"/>
              </w:rPr>
              <w:t xml:space="preserve">. For applicability of the different gap sharing schemes, see TS 38.133 [14]. Value </w:t>
            </w:r>
            <w:r w:rsidRPr="00FA0D37">
              <w:rPr>
                <w:rFonts w:cs="Arial"/>
                <w:i/>
                <w:iCs/>
                <w:szCs w:val="18"/>
                <w:lang w:eastAsia="zh-CN"/>
              </w:rPr>
              <w:t>scheme00</w:t>
            </w:r>
            <w:r w:rsidRPr="00FA0D37">
              <w:rPr>
                <w:rFonts w:cs="Arial"/>
                <w:szCs w:val="18"/>
                <w:lang w:eastAsia="zh-CN"/>
              </w:rPr>
              <w:t xml:space="preserve"> corresponds to scheme "00", value </w:t>
            </w:r>
            <w:r w:rsidRPr="00FA0D37">
              <w:rPr>
                <w:rFonts w:cs="Arial"/>
                <w:i/>
                <w:iCs/>
                <w:szCs w:val="18"/>
                <w:lang w:eastAsia="zh-CN"/>
              </w:rPr>
              <w:t>scheme01</w:t>
            </w:r>
            <w:r w:rsidRPr="00FA0D37">
              <w:rPr>
                <w:rFonts w:cs="Arial"/>
                <w:szCs w:val="18"/>
                <w:lang w:eastAsia="zh-CN"/>
              </w:rPr>
              <w:t xml:space="preserve"> corresponds to scheme "01", and so on.</w:t>
            </w:r>
          </w:p>
        </w:tc>
      </w:tr>
      <w:tr w:rsidR="005C7FF4" w:rsidRPr="00FA0D37"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FA0D37" w:rsidRDefault="00CE29E7" w:rsidP="00771058">
            <w:pPr>
              <w:pStyle w:val="TAL"/>
              <w:rPr>
                <w:b/>
                <w:bCs/>
                <w:i/>
                <w:lang w:eastAsia="en-GB"/>
              </w:rPr>
            </w:pPr>
            <w:r w:rsidRPr="00FA0D37">
              <w:rPr>
                <w:b/>
                <w:bCs/>
                <w:i/>
                <w:lang w:eastAsia="en-GB"/>
              </w:rPr>
              <w:t>gapToAddModList</w:t>
            </w:r>
          </w:p>
          <w:p w14:paraId="2F930A51" w14:textId="055C7BF2" w:rsidR="00CE29E7" w:rsidRPr="00FA0D37" w:rsidRDefault="00CE29E7" w:rsidP="00771058">
            <w:pPr>
              <w:pStyle w:val="TAL"/>
              <w:rPr>
                <w:b/>
                <w:bCs/>
                <w:i/>
                <w:lang w:eastAsia="en-GB"/>
              </w:rPr>
            </w:pPr>
            <w:r w:rsidRPr="00FA0D37">
              <w:rPr>
                <w:iCs/>
                <w:lang w:eastAsia="en-GB"/>
              </w:rPr>
              <w:t>A list of of measurement gap configu</w:t>
            </w:r>
            <w:r w:rsidR="008772C0" w:rsidRPr="00FA0D37">
              <w:rPr>
                <w:iCs/>
                <w:lang w:eastAsia="en-GB"/>
              </w:rPr>
              <w:t>r</w:t>
            </w:r>
            <w:r w:rsidRPr="00FA0D37">
              <w:rPr>
                <w:iCs/>
                <w:lang w:eastAsia="en-GB"/>
              </w:rPr>
              <w:t xml:space="preserve">ation to be added or modified. If more than one measurement gap is configured (i.e. concurrent measurement gap as specified in TS 38.133[14], clause 9.1.8), the maximum number of configured measurement gap is limited by the gap combinations defined in </w:t>
            </w:r>
            <w:r w:rsidRPr="00FA0D37">
              <w:rPr>
                <w:iCs/>
                <w:noProof/>
                <w:lang w:eastAsia="ko-KR"/>
              </w:rPr>
              <w:t>Table 9.1.8-1 in TS 38.133 [14]</w:t>
            </w:r>
            <w:r w:rsidRPr="00FA0D37">
              <w:rPr>
                <w:iCs/>
                <w:lang w:eastAsia="en-GB"/>
              </w:rPr>
              <w:t>. The network configures at most one NCSG or pre-configured measurement gap for a given gap type. In this version of the specification, the network configures this field only in NR standalone.</w:t>
            </w:r>
            <w:r w:rsidR="008772C0" w:rsidRPr="00FA0D37">
              <w:rPr>
                <w:iCs/>
                <w:lang w:eastAsia="en-GB"/>
              </w:rPr>
              <w:t xml:space="preserve"> This field is used only for a UE that supports pre-configured measurement gap, concurrent measurement gap, or NCSG.</w:t>
            </w:r>
            <w:r w:rsidR="0087588F" w:rsidRPr="00FA0D37">
              <w:rPr>
                <w:iCs/>
                <w:lang w:eastAsia="en-GB"/>
              </w:rPr>
              <w:t xml:space="preserve"> </w:t>
            </w:r>
            <w:r w:rsidR="0087588F" w:rsidRPr="00FA0D37">
              <w:rPr>
                <w:bCs/>
                <w:lang w:eastAsia="en-GB"/>
              </w:rPr>
              <w:t>In this version of the specification, the network does not configure concurrent measurement gap together with MUSIM gap or preconfigured measurement gap for positioning.</w:t>
            </w:r>
          </w:p>
        </w:tc>
      </w:tr>
      <w:tr w:rsidR="005C7FF4" w:rsidRPr="00FA0D37"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FA0D37" w:rsidRDefault="00CE29E7" w:rsidP="00771058">
            <w:pPr>
              <w:pStyle w:val="TAL"/>
              <w:rPr>
                <w:b/>
                <w:bCs/>
                <w:i/>
                <w:lang w:eastAsia="en-GB"/>
              </w:rPr>
            </w:pPr>
            <w:r w:rsidRPr="00FA0D37">
              <w:rPr>
                <w:b/>
                <w:bCs/>
                <w:i/>
                <w:lang w:eastAsia="en-GB"/>
              </w:rPr>
              <w:t>gapToReleaseList</w:t>
            </w:r>
          </w:p>
          <w:p w14:paraId="60CDCAEC" w14:textId="77777777" w:rsidR="00CE29E7" w:rsidRPr="00FA0D37" w:rsidRDefault="00CE29E7" w:rsidP="00771058">
            <w:pPr>
              <w:pStyle w:val="TAL"/>
              <w:rPr>
                <w:b/>
                <w:bCs/>
                <w:i/>
                <w:lang w:eastAsia="en-GB"/>
              </w:rPr>
            </w:pPr>
            <w:r w:rsidRPr="00FA0D37">
              <w:rPr>
                <w:iCs/>
                <w:lang w:eastAsia="en-GB"/>
              </w:rPr>
              <w:t>A list of measurement gap configuration to be released.</w:t>
            </w:r>
          </w:p>
        </w:tc>
      </w:tr>
      <w:tr w:rsidR="005C7FF4" w:rsidRPr="00FA0D37"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FA0D37" w:rsidRDefault="00CE29E7" w:rsidP="00771058">
            <w:pPr>
              <w:pStyle w:val="TAL"/>
              <w:rPr>
                <w:b/>
                <w:bCs/>
                <w:i/>
                <w:lang w:eastAsia="en-GB"/>
              </w:rPr>
            </w:pPr>
            <w:r w:rsidRPr="00FA0D37">
              <w:rPr>
                <w:b/>
                <w:bCs/>
                <w:i/>
                <w:lang w:eastAsia="en-GB"/>
              </w:rPr>
              <w:t>gapType</w:t>
            </w:r>
          </w:p>
          <w:p w14:paraId="6C5B7F87" w14:textId="77777777" w:rsidR="00CE29E7" w:rsidRPr="00FA0D37" w:rsidRDefault="00CE29E7" w:rsidP="00771058">
            <w:pPr>
              <w:pStyle w:val="TAL"/>
              <w:rPr>
                <w:b/>
                <w:bCs/>
                <w:i/>
                <w:lang w:eastAsia="en-GB"/>
              </w:rPr>
            </w:pPr>
            <w:r w:rsidRPr="00FA0D37">
              <w:rPr>
                <w:iCs/>
                <w:lang w:eastAsia="en-GB"/>
              </w:rPr>
              <w:t xml:space="preserve">Indicates the type of this measurement gap. Value </w:t>
            </w:r>
            <w:r w:rsidRPr="00FA0D37">
              <w:rPr>
                <w:i/>
                <w:lang w:eastAsia="en-GB"/>
              </w:rPr>
              <w:t>perUE</w:t>
            </w:r>
            <w:r w:rsidRPr="00FA0D37">
              <w:rPr>
                <w:iCs/>
                <w:lang w:eastAsia="en-GB"/>
              </w:rPr>
              <w:t xml:space="preserve"> indicates that it is a per UE measurement gap, value </w:t>
            </w:r>
            <w:r w:rsidRPr="00FA0D37">
              <w:rPr>
                <w:i/>
                <w:lang w:eastAsia="en-GB"/>
              </w:rPr>
              <w:t>perFR1</w:t>
            </w:r>
            <w:r w:rsidRPr="00FA0D37">
              <w:rPr>
                <w:iCs/>
                <w:lang w:eastAsia="en-GB"/>
              </w:rPr>
              <w:t xml:space="preserve"> indicates that it is an FR1 measurement gap, and value </w:t>
            </w:r>
            <w:r w:rsidRPr="00FA0D37">
              <w:rPr>
                <w:i/>
                <w:lang w:eastAsia="en-GB"/>
              </w:rPr>
              <w:t>perFR2</w:t>
            </w:r>
            <w:r w:rsidRPr="00FA0D37">
              <w:rPr>
                <w:iCs/>
                <w:lang w:eastAsia="en-GB"/>
              </w:rPr>
              <w:t xml:space="preserve"> indicates that it is an FR2 measurement gap.</w:t>
            </w:r>
          </w:p>
        </w:tc>
      </w:tr>
      <w:tr w:rsidR="005C7FF4" w:rsidRPr="00FA0D37"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FA0D37" w:rsidRDefault="00394471" w:rsidP="00964CC4">
            <w:pPr>
              <w:pStyle w:val="TAL"/>
              <w:rPr>
                <w:b/>
                <w:bCs/>
                <w:i/>
                <w:lang w:eastAsia="en-GB"/>
              </w:rPr>
            </w:pPr>
            <w:r w:rsidRPr="00FA0D37">
              <w:rPr>
                <w:b/>
                <w:bCs/>
                <w:i/>
                <w:lang w:eastAsia="en-GB"/>
              </w:rPr>
              <w:t>gapUE</w:t>
            </w:r>
          </w:p>
          <w:p w14:paraId="55678040" w14:textId="4D9E08FF" w:rsidR="00394471" w:rsidRPr="00FA0D37" w:rsidRDefault="00394471" w:rsidP="00964CC4">
            <w:pPr>
              <w:pStyle w:val="TAL"/>
              <w:rPr>
                <w:b/>
                <w:bCs/>
                <w:i/>
                <w:lang w:eastAsia="en-GB"/>
              </w:rPr>
            </w:pPr>
            <w:r w:rsidRPr="00FA0D37">
              <w:rPr>
                <w:rFonts w:cs="Arial"/>
                <w:szCs w:val="18"/>
                <w:lang w:eastAsia="sv-SE"/>
              </w:rPr>
              <w:t>Indicates</w:t>
            </w:r>
            <w:r w:rsidRPr="00FA0D37">
              <w:rPr>
                <w:rFonts w:cs="Arial"/>
                <w:szCs w:val="18"/>
                <w:lang w:eastAsia="zh-CN"/>
              </w:rPr>
              <w:t xml:space="preserve"> measurement gap configuration that </w:t>
            </w:r>
            <w:r w:rsidRPr="00FA0D37">
              <w:rPr>
                <w:lang w:eastAsia="sv-SE"/>
              </w:rPr>
              <w:t xml:space="preserve">applies to all frequencies (FR1 and FR2). In (NG)EN-DC, </w:t>
            </w:r>
            <w:r w:rsidRPr="00FA0D37">
              <w:rPr>
                <w:i/>
                <w:lang w:eastAsia="sv-SE"/>
              </w:rPr>
              <w:t>gapUE</w:t>
            </w:r>
            <w:r w:rsidRPr="00FA0D37">
              <w:rPr>
                <w:lang w:eastAsia="sv-SE"/>
              </w:rPr>
              <w:t xml:space="preserve"> cannot be set up by NR RRC (i.e. only LTE RRC can configure per UE measurement gap). In NE-DC, </w:t>
            </w:r>
            <w:r w:rsidRPr="00FA0D37">
              <w:rPr>
                <w:i/>
                <w:lang w:eastAsia="sv-SE"/>
              </w:rPr>
              <w:t>gapUE</w:t>
            </w:r>
            <w:r w:rsidRPr="00FA0D37">
              <w:rPr>
                <w:lang w:eastAsia="sv-SE"/>
              </w:rPr>
              <w:t xml:space="preserve"> can only be set up by NR RRC (i.e. LTE RRC cannot configure per UE gap). In NR-DC, </w:t>
            </w:r>
            <w:r w:rsidRPr="00FA0D37">
              <w:rPr>
                <w:i/>
                <w:lang w:eastAsia="sv-SE"/>
              </w:rPr>
              <w:t>gapUE</w:t>
            </w:r>
            <w:r w:rsidRPr="00FA0D37">
              <w:rPr>
                <w:lang w:eastAsia="sv-SE"/>
              </w:rPr>
              <w:t xml:space="preserve"> can only be set up in the </w:t>
            </w:r>
            <w:r w:rsidRPr="00FA0D37">
              <w:rPr>
                <w:i/>
                <w:lang w:eastAsia="sv-SE"/>
              </w:rPr>
              <w:t>measConfig</w:t>
            </w:r>
            <w:r w:rsidRPr="00FA0D37">
              <w:rPr>
                <w:lang w:eastAsia="sv-SE"/>
              </w:rPr>
              <w:t xml:space="preserve"> associated with MCG. </w:t>
            </w:r>
            <w:r w:rsidR="00CE29E7" w:rsidRPr="00FA0D37">
              <w:rPr>
                <w:lang w:eastAsia="sv-SE"/>
              </w:rPr>
              <w:t xml:space="preserve">If </w:t>
            </w:r>
            <w:r w:rsidR="00CE29E7" w:rsidRPr="00FA0D37">
              <w:rPr>
                <w:i/>
                <w:iCs/>
                <w:lang w:eastAsia="sv-SE"/>
              </w:rPr>
              <w:t>gapUE</w:t>
            </w:r>
            <w:r w:rsidR="00CE29E7" w:rsidRPr="00FA0D37">
              <w:rPr>
                <w:lang w:eastAsia="sv-SE"/>
              </w:rPr>
              <w:t xml:space="preserve"> is configured, then neither </w:t>
            </w:r>
            <w:r w:rsidR="00CE29E7" w:rsidRPr="00FA0D37">
              <w:rPr>
                <w:i/>
                <w:iCs/>
                <w:lang w:eastAsia="sv-SE"/>
              </w:rPr>
              <w:t>gapFR1</w:t>
            </w:r>
            <w:r w:rsidR="00CE29E7" w:rsidRPr="00FA0D37">
              <w:rPr>
                <w:lang w:eastAsia="sv-SE"/>
              </w:rPr>
              <w:t xml:space="preserve"> nor </w:t>
            </w:r>
            <w:r w:rsidR="00CE29E7" w:rsidRPr="00FA0D37">
              <w:rPr>
                <w:i/>
                <w:iCs/>
                <w:lang w:eastAsia="sv-SE"/>
              </w:rPr>
              <w:t>gapFR2</w:t>
            </w:r>
            <w:r w:rsidR="00CE29E7" w:rsidRPr="00FA0D37">
              <w:rPr>
                <w:lang w:eastAsia="sv-SE"/>
              </w:rPr>
              <w:t xml:space="preserve"> can be configured.</w:t>
            </w:r>
            <w:r w:rsidR="00E616AE" w:rsidRPr="00FA0D37">
              <w:rPr>
                <w:lang w:eastAsia="sv-SE"/>
              </w:rPr>
              <w:t xml:space="preserve"> </w:t>
            </w:r>
            <w:r w:rsidRPr="00FA0D37">
              <w:rPr>
                <w:lang w:eastAsia="sv-SE"/>
              </w:rPr>
              <w:t xml:space="preserve">The applicability of the per UE measurement gap is according to </w:t>
            </w:r>
            <w:r w:rsidRPr="00FA0D37">
              <w:rPr>
                <w:snapToGrid w:val="0"/>
                <w:lang w:eastAsia="sv-SE"/>
              </w:rPr>
              <w:t>Table 9.1.2-2 and Table 9.1.2-3 in TS 38.133 [14]</w:t>
            </w:r>
            <w:r w:rsidRPr="00FA0D37">
              <w:rPr>
                <w:lang w:eastAsia="sv-SE"/>
              </w:rPr>
              <w:t>.</w:t>
            </w:r>
          </w:p>
        </w:tc>
      </w:tr>
      <w:tr w:rsidR="005C7FF4" w:rsidRPr="00FA0D37"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FA0D37" w:rsidRDefault="003F7068" w:rsidP="003F7068">
            <w:pPr>
              <w:pStyle w:val="TAL"/>
              <w:rPr>
                <w:b/>
                <w:bCs/>
                <w:i/>
                <w:lang w:eastAsia="en-GB"/>
              </w:rPr>
            </w:pPr>
            <w:r w:rsidRPr="00FA0D37">
              <w:rPr>
                <w:b/>
                <w:bCs/>
                <w:i/>
                <w:lang w:eastAsia="en-GB"/>
              </w:rPr>
              <w:t>measGapId</w:t>
            </w:r>
          </w:p>
          <w:p w14:paraId="6B72791E" w14:textId="671A6F62" w:rsidR="00E616AE" w:rsidRPr="00FA0D37" w:rsidRDefault="003F7068" w:rsidP="003F7068">
            <w:pPr>
              <w:pStyle w:val="TAL"/>
              <w:rPr>
                <w:iCs/>
                <w:lang w:eastAsia="en-GB"/>
              </w:rPr>
            </w:pPr>
            <w:r w:rsidRPr="00FA0D37">
              <w:rPr>
                <w:iCs/>
                <w:lang w:eastAsia="en-GB"/>
              </w:rPr>
              <w:t>The ID of this measurement gap configuration.</w:t>
            </w:r>
          </w:p>
        </w:tc>
      </w:tr>
      <w:tr w:rsidR="005C7FF4" w:rsidRPr="00FA0D37"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FA0D37" w:rsidRDefault="00394471" w:rsidP="00964CC4">
            <w:pPr>
              <w:pStyle w:val="TAL"/>
              <w:rPr>
                <w:b/>
                <w:bCs/>
                <w:i/>
                <w:lang w:eastAsia="en-GB"/>
              </w:rPr>
            </w:pPr>
            <w:r w:rsidRPr="00FA0D37">
              <w:rPr>
                <w:b/>
                <w:bCs/>
                <w:i/>
                <w:lang w:eastAsia="en-GB"/>
              </w:rPr>
              <w:lastRenderedPageBreak/>
              <w:t>mgl</w:t>
            </w:r>
          </w:p>
          <w:p w14:paraId="72147022" w14:textId="480BB1B4" w:rsidR="00394471" w:rsidRPr="00FA0D37" w:rsidRDefault="00394471" w:rsidP="00964CC4">
            <w:pPr>
              <w:pStyle w:val="TAL"/>
              <w:rPr>
                <w:b/>
                <w:bCs/>
                <w:i/>
                <w:lang w:eastAsia="en-GB"/>
              </w:rPr>
            </w:pPr>
            <w:r w:rsidRPr="00FA0D37">
              <w:rPr>
                <w:lang w:eastAsia="en-GB"/>
              </w:rPr>
              <w:t xml:space="preserve">Value </w:t>
            </w:r>
            <w:r w:rsidRPr="00FA0D37">
              <w:rPr>
                <w:i/>
                <w:lang w:eastAsia="en-GB"/>
              </w:rPr>
              <w:t>mgl</w:t>
            </w:r>
            <w:r w:rsidRPr="00FA0D37">
              <w:rPr>
                <w:lang w:eastAsia="en-GB"/>
              </w:rPr>
              <w:t xml:space="preserve"> is the measurement gap length in ms of the measurement gap. </w:t>
            </w:r>
            <w:r w:rsidR="003F7068" w:rsidRPr="00FA0D37">
              <w:rPr>
                <w:lang w:eastAsia="en-GB"/>
              </w:rPr>
              <w:t xml:space="preserve">If </w:t>
            </w:r>
            <w:r w:rsidR="003F7068" w:rsidRPr="00FA0D37">
              <w:rPr>
                <w:i/>
                <w:iCs/>
                <w:lang w:eastAsia="en-GB"/>
              </w:rPr>
              <w:t>nc</w:t>
            </w:r>
            <w:r w:rsidR="00CE29E7" w:rsidRPr="00FA0D37">
              <w:rPr>
                <w:i/>
                <w:iCs/>
                <w:lang w:eastAsia="en-GB"/>
              </w:rPr>
              <w:t>s</w:t>
            </w:r>
            <w:r w:rsidR="003F7068" w:rsidRPr="00FA0D37">
              <w:rPr>
                <w:i/>
                <w:iCs/>
                <w:lang w:eastAsia="en-GB"/>
              </w:rPr>
              <w:t>gInd-r17</w:t>
            </w:r>
            <w:r w:rsidR="003F7068" w:rsidRPr="00FA0D37">
              <w:rPr>
                <w:lang w:eastAsia="en-GB"/>
              </w:rPr>
              <w:t xml:space="preserve"> is not present, t</w:t>
            </w:r>
            <w:r w:rsidRPr="00FA0D37">
              <w:rPr>
                <w:lang w:eastAsia="en-GB"/>
              </w:rPr>
              <w:t xml:space="preserve">he measurement gap length is according to in Table 9.1.2-1 in TS 38.133 [14]. </w:t>
            </w:r>
            <w:r w:rsidR="003F7068" w:rsidRPr="00FA0D37">
              <w:rPr>
                <w:lang w:eastAsia="en-GB"/>
              </w:rPr>
              <w:t xml:space="preserve">If </w:t>
            </w:r>
            <w:r w:rsidR="003F7068" w:rsidRPr="00FA0D37">
              <w:rPr>
                <w:i/>
                <w:iCs/>
                <w:lang w:eastAsia="en-GB"/>
              </w:rPr>
              <w:t>nc</w:t>
            </w:r>
            <w:r w:rsidR="00CE29E7" w:rsidRPr="00FA0D37">
              <w:rPr>
                <w:i/>
                <w:iCs/>
                <w:lang w:eastAsia="en-GB"/>
              </w:rPr>
              <w:t>s</w:t>
            </w:r>
            <w:r w:rsidR="003F7068" w:rsidRPr="00FA0D37">
              <w:rPr>
                <w:i/>
                <w:iCs/>
                <w:lang w:eastAsia="en-GB"/>
              </w:rPr>
              <w:t>gInd-r17</w:t>
            </w:r>
            <w:r w:rsidR="003F7068" w:rsidRPr="00FA0D37">
              <w:rPr>
                <w:lang w:eastAsia="en-GB"/>
              </w:rPr>
              <w:t xml:space="preserve"> is present, this field indicates the measurement length (ML) in NCSG pattern and is configured according to Table 9.1.</w:t>
            </w:r>
            <w:r w:rsidR="008772C0" w:rsidRPr="00FA0D37">
              <w:rPr>
                <w:lang w:eastAsia="en-GB"/>
              </w:rPr>
              <w:t>9.3</w:t>
            </w:r>
            <w:r w:rsidR="003F7068" w:rsidRPr="00FA0D37">
              <w:rPr>
                <w:lang w:eastAsia="en-GB"/>
              </w:rPr>
              <w:t xml:space="preserve">-1 in TS 38.133 [14]. </w:t>
            </w:r>
            <w:r w:rsidRPr="00FA0D37">
              <w:rPr>
                <w:lang w:eastAsia="en-GB"/>
              </w:rPr>
              <w:t xml:space="preserve">Value </w:t>
            </w:r>
            <w:r w:rsidRPr="00FA0D37">
              <w:rPr>
                <w:i/>
                <w:lang w:eastAsia="en-GB"/>
              </w:rPr>
              <w:t>ms1dot5</w:t>
            </w:r>
            <w:r w:rsidRPr="00FA0D37">
              <w:rPr>
                <w:lang w:eastAsia="en-GB"/>
              </w:rPr>
              <w:t xml:space="preserve"> corresponds to 1.5 ms, </w:t>
            </w:r>
            <w:r w:rsidRPr="00FA0D37">
              <w:rPr>
                <w:i/>
                <w:lang w:eastAsia="en-GB"/>
              </w:rPr>
              <w:t>ms3</w:t>
            </w:r>
            <w:r w:rsidRPr="00FA0D37">
              <w:rPr>
                <w:lang w:eastAsia="en-GB"/>
              </w:rPr>
              <w:t xml:space="preserve"> corresponds to 3 ms and so on.</w:t>
            </w:r>
            <w:r w:rsidRPr="00FA0D37">
              <w:rPr>
                <w:rFonts w:cs="Arial"/>
                <w:lang w:eastAsia="en-GB"/>
              </w:rPr>
              <w:t xml:space="preserve"> If </w:t>
            </w:r>
            <w:r w:rsidRPr="00FA0D37">
              <w:rPr>
                <w:rFonts w:cs="Arial"/>
                <w:i/>
                <w:lang w:eastAsia="en-GB"/>
              </w:rPr>
              <w:t>mgl-r16</w:t>
            </w:r>
            <w:r w:rsidRPr="00FA0D37">
              <w:rPr>
                <w:rFonts w:cs="Arial"/>
                <w:lang w:eastAsia="en-GB"/>
              </w:rPr>
              <w:t xml:space="preserve"> is present, UE shall ignore the </w:t>
            </w:r>
            <w:r w:rsidRPr="00FA0D37">
              <w:rPr>
                <w:rFonts w:cs="Arial"/>
                <w:i/>
                <w:lang w:eastAsia="en-GB"/>
              </w:rPr>
              <w:t xml:space="preserve">mgl </w:t>
            </w:r>
            <w:r w:rsidRPr="00FA0D37">
              <w:rPr>
                <w:rFonts w:cs="Arial"/>
                <w:lang w:eastAsia="en-GB"/>
              </w:rPr>
              <w:t>(without suffix).</w:t>
            </w:r>
            <w:r w:rsidR="00CE29E7" w:rsidRPr="00FA0D37">
              <w:rPr>
                <w:rFonts w:cs="Arial"/>
                <w:lang w:eastAsia="en-GB"/>
              </w:rPr>
              <w:t xml:space="preserve"> Value </w:t>
            </w:r>
            <w:r w:rsidR="00CE29E7" w:rsidRPr="00FA0D37">
              <w:rPr>
                <w:rFonts w:cs="Arial"/>
                <w:i/>
                <w:iCs/>
                <w:lang w:eastAsia="en-GB"/>
              </w:rPr>
              <w:t>ms1</w:t>
            </w:r>
            <w:r w:rsidR="00CE29E7" w:rsidRPr="00FA0D37">
              <w:rPr>
                <w:rFonts w:cs="Arial"/>
                <w:lang w:eastAsia="en-GB"/>
              </w:rPr>
              <w:t xml:space="preserve">, </w:t>
            </w:r>
            <w:r w:rsidR="00CE29E7" w:rsidRPr="00FA0D37">
              <w:rPr>
                <w:rFonts w:cs="Arial"/>
                <w:i/>
                <w:iCs/>
                <w:lang w:eastAsia="en-GB"/>
              </w:rPr>
              <w:t>ms2</w:t>
            </w:r>
            <w:r w:rsidR="00CE29E7" w:rsidRPr="00FA0D37">
              <w:rPr>
                <w:rFonts w:cs="Arial"/>
                <w:lang w:eastAsia="en-GB"/>
              </w:rPr>
              <w:t xml:space="preserve">, and </w:t>
            </w:r>
            <w:r w:rsidR="00CE29E7" w:rsidRPr="00FA0D37">
              <w:rPr>
                <w:rFonts w:cs="Arial"/>
                <w:i/>
                <w:iCs/>
                <w:lang w:eastAsia="en-GB"/>
              </w:rPr>
              <w:t>ms5</w:t>
            </w:r>
            <w:r w:rsidR="00CE29E7" w:rsidRPr="00FA0D37">
              <w:rPr>
                <w:rFonts w:cs="Arial"/>
                <w:lang w:eastAsia="en-GB"/>
              </w:rPr>
              <w:t xml:space="preserve"> can only be configured if </w:t>
            </w:r>
            <w:r w:rsidR="00CE29E7" w:rsidRPr="00FA0D37">
              <w:rPr>
                <w:rFonts w:cs="Arial"/>
                <w:i/>
                <w:iCs/>
                <w:lang w:eastAsia="en-GB"/>
              </w:rPr>
              <w:t>ncsgInd</w:t>
            </w:r>
            <w:r w:rsidR="00CE29E7" w:rsidRPr="00FA0D37">
              <w:rPr>
                <w:rFonts w:cs="Arial"/>
                <w:lang w:eastAsia="en-GB"/>
              </w:rPr>
              <w:t xml:space="preserve"> is present.</w:t>
            </w:r>
          </w:p>
        </w:tc>
      </w:tr>
      <w:tr w:rsidR="005C7FF4" w:rsidRPr="00FA0D37"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FA0D37" w:rsidRDefault="00394471" w:rsidP="00964CC4">
            <w:pPr>
              <w:pStyle w:val="TAL"/>
              <w:rPr>
                <w:b/>
                <w:bCs/>
                <w:i/>
                <w:lang w:eastAsia="en-GB"/>
              </w:rPr>
            </w:pPr>
            <w:r w:rsidRPr="00FA0D37">
              <w:rPr>
                <w:b/>
                <w:bCs/>
                <w:i/>
                <w:lang w:eastAsia="en-GB"/>
              </w:rPr>
              <w:t>mgrp</w:t>
            </w:r>
          </w:p>
          <w:p w14:paraId="55D2F6BD" w14:textId="075CA111" w:rsidR="00394471" w:rsidRPr="00FA0D37" w:rsidRDefault="00DE4805" w:rsidP="00964CC4">
            <w:pPr>
              <w:pStyle w:val="TAL"/>
              <w:rPr>
                <w:b/>
                <w:bCs/>
                <w:i/>
                <w:lang w:eastAsia="en-GB"/>
              </w:rPr>
            </w:pPr>
            <w:r w:rsidRPr="00FA0D37">
              <w:rPr>
                <w:lang w:eastAsia="en-GB"/>
              </w:rPr>
              <w:t xml:space="preserve">If </w:t>
            </w:r>
            <w:r w:rsidRPr="00FA0D37">
              <w:rPr>
                <w:i/>
                <w:iCs/>
                <w:lang w:eastAsia="en-GB"/>
              </w:rPr>
              <w:t>ncsgInd-r17</w:t>
            </w:r>
            <w:r w:rsidRPr="00FA0D37">
              <w:rPr>
                <w:lang w:eastAsia="en-GB"/>
              </w:rPr>
              <w:t xml:space="preserve"> is not present, the </w:t>
            </w:r>
            <w:r w:rsidR="00394471" w:rsidRPr="00FA0D37">
              <w:rPr>
                <w:i/>
                <w:lang w:eastAsia="sv-SE"/>
              </w:rPr>
              <w:t>mgrp</w:t>
            </w:r>
            <w:r w:rsidR="00394471" w:rsidRPr="00FA0D37">
              <w:rPr>
                <w:lang w:eastAsia="sv-SE"/>
              </w:rPr>
              <w:t xml:space="preserve"> </w:t>
            </w:r>
            <w:r w:rsidRPr="00FA0D37">
              <w:rPr>
                <w:lang w:eastAsia="sv-SE"/>
              </w:rPr>
              <w:t xml:space="preserve">field indicates the </w:t>
            </w:r>
            <w:r w:rsidR="00394471" w:rsidRPr="00FA0D37">
              <w:rPr>
                <w:lang w:eastAsia="sv-SE"/>
              </w:rPr>
              <w:t>measurement gap repetition period in (ms) of the measurement gap</w:t>
            </w:r>
            <w:r w:rsidR="00394471" w:rsidRPr="00FA0D37">
              <w:rPr>
                <w:lang w:eastAsia="en-GB"/>
              </w:rPr>
              <w:t xml:space="preserve"> according to Table 9.1.2-1 in TS 38.133 [14].</w:t>
            </w:r>
            <w:r w:rsidRPr="00FA0D37">
              <w:rPr>
                <w:lang w:eastAsia="en-GB"/>
              </w:rPr>
              <w:t xml:space="preserve"> If </w:t>
            </w:r>
            <w:r w:rsidRPr="00FA0D37">
              <w:rPr>
                <w:i/>
                <w:iCs/>
                <w:lang w:eastAsia="en-GB"/>
              </w:rPr>
              <w:t>ncsgInd-r17</w:t>
            </w:r>
            <w:r w:rsidRPr="00FA0D37">
              <w:rPr>
                <w:lang w:eastAsia="en-GB"/>
              </w:rPr>
              <w:t xml:space="preserve"> is present, the </w:t>
            </w:r>
            <w:r w:rsidRPr="00FA0D37">
              <w:rPr>
                <w:i/>
                <w:iCs/>
                <w:lang w:eastAsia="en-GB"/>
              </w:rPr>
              <w:t xml:space="preserve">mgrp </w:t>
            </w:r>
            <w:r w:rsidRPr="00FA0D37">
              <w:rPr>
                <w:lang w:eastAsia="en-GB"/>
              </w:rPr>
              <w:t>field indicates the Visible Interruption Repetition Period (VIRP) of NCSG pattern and is configured according to Table 9.1.9.3-1 in TS 38.133 [14].</w:t>
            </w:r>
          </w:p>
        </w:tc>
      </w:tr>
      <w:tr w:rsidR="005C7FF4" w:rsidRPr="00FA0D37"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FA0D37" w:rsidRDefault="00394471" w:rsidP="00964CC4">
            <w:pPr>
              <w:pStyle w:val="TAL"/>
              <w:rPr>
                <w:b/>
                <w:bCs/>
                <w:i/>
                <w:lang w:eastAsia="en-GB"/>
              </w:rPr>
            </w:pPr>
            <w:r w:rsidRPr="00FA0D37">
              <w:rPr>
                <w:b/>
                <w:bCs/>
                <w:i/>
                <w:lang w:eastAsia="en-GB"/>
              </w:rPr>
              <w:t>mgta</w:t>
            </w:r>
          </w:p>
          <w:p w14:paraId="78111CD6" w14:textId="4E9FE674" w:rsidR="00394471" w:rsidRPr="00FA0D37" w:rsidRDefault="00394471" w:rsidP="00964CC4">
            <w:pPr>
              <w:pStyle w:val="TAL"/>
              <w:rPr>
                <w:bCs/>
                <w:lang w:eastAsia="en-GB"/>
              </w:rPr>
            </w:pPr>
            <w:r w:rsidRPr="00FA0D37">
              <w:rPr>
                <w:bCs/>
                <w:lang w:eastAsia="en-GB"/>
              </w:rPr>
              <w:t xml:space="preserve">Value </w:t>
            </w:r>
            <w:r w:rsidRPr="00FA0D37">
              <w:rPr>
                <w:bCs/>
                <w:i/>
                <w:lang w:eastAsia="en-GB"/>
              </w:rPr>
              <w:t>mgta</w:t>
            </w:r>
            <w:r w:rsidRPr="00FA0D37">
              <w:rPr>
                <w:bCs/>
                <w:lang w:eastAsia="en-GB"/>
              </w:rPr>
              <w:t xml:space="preserve"> is the measurement gap timing advance in ms. The applicability of the measurement gap timing advance is according to clause </w:t>
            </w:r>
            <w:r w:rsidRPr="00FA0D37">
              <w:rPr>
                <w:bCs/>
                <w:lang w:eastAsia="sv-SE"/>
              </w:rPr>
              <w:t>9.1.2</w:t>
            </w:r>
            <w:r w:rsidRPr="00FA0D37">
              <w:rPr>
                <w:bCs/>
                <w:lang w:eastAsia="en-GB"/>
              </w:rPr>
              <w:t xml:space="preserve"> of TS 38.133 [14]</w:t>
            </w:r>
            <w:r w:rsidR="008772C0" w:rsidRPr="00FA0D37">
              <w:rPr>
                <w:bCs/>
                <w:lang w:eastAsia="en-GB"/>
              </w:rPr>
              <w:t xml:space="preserve">, or according to clause 9.1.9 of TS 38.133 [14] if </w:t>
            </w:r>
            <w:r w:rsidR="008772C0" w:rsidRPr="00FA0D37">
              <w:rPr>
                <w:bCs/>
                <w:i/>
                <w:lang w:eastAsia="en-GB"/>
              </w:rPr>
              <w:t>ncsgInd</w:t>
            </w:r>
            <w:r w:rsidR="008772C0" w:rsidRPr="00FA0D37">
              <w:rPr>
                <w:bCs/>
                <w:lang w:eastAsia="en-GB"/>
              </w:rPr>
              <w:t xml:space="preserve"> is present</w:t>
            </w:r>
            <w:r w:rsidRPr="00FA0D37">
              <w:rPr>
                <w:bCs/>
                <w:lang w:eastAsia="en-GB"/>
              </w:rPr>
              <w:t xml:space="preserve">. Value </w:t>
            </w:r>
            <w:r w:rsidRPr="00FA0D37">
              <w:rPr>
                <w:bCs/>
                <w:i/>
                <w:lang w:eastAsia="en-GB"/>
              </w:rPr>
              <w:t>ms0</w:t>
            </w:r>
            <w:r w:rsidRPr="00FA0D37">
              <w:rPr>
                <w:bCs/>
                <w:lang w:eastAsia="en-GB"/>
              </w:rPr>
              <w:t xml:space="preserve"> corresponds to 0 ms, </w:t>
            </w:r>
            <w:r w:rsidRPr="00FA0D37">
              <w:rPr>
                <w:bCs/>
                <w:i/>
                <w:lang w:eastAsia="en-GB"/>
              </w:rPr>
              <w:t>ms0dot25</w:t>
            </w:r>
            <w:r w:rsidRPr="00FA0D37">
              <w:rPr>
                <w:bCs/>
                <w:lang w:eastAsia="en-GB"/>
              </w:rPr>
              <w:t xml:space="preserve"> corresponds to 0.25 ms</w:t>
            </w:r>
            <w:r w:rsidR="008772C0" w:rsidRPr="00FA0D37">
              <w:rPr>
                <w:bCs/>
                <w:lang w:eastAsia="en-GB"/>
              </w:rPr>
              <w:t>,</w:t>
            </w:r>
            <w:r w:rsidRPr="00FA0D37">
              <w:rPr>
                <w:bCs/>
                <w:lang w:eastAsia="en-GB"/>
              </w:rPr>
              <w:t xml:space="preserve"> </w:t>
            </w:r>
            <w:r w:rsidRPr="00FA0D37">
              <w:rPr>
                <w:bCs/>
                <w:i/>
                <w:lang w:eastAsia="en-GB"/>
              </w:rPr>
              <w:t>ms0dot5</w:t>
            </w:r>
            <w:r w:rsidRPr="00FA0D37">
              <w:rPr>
                <w:bCs/>
                <w:lang w:eastAsia="en-GB"/>
              </w:rPr>
              <w:t xml:space="preserve"> corresponds to 0.5 ms</w:t>
            </w:r>
            <w:r w:rsidR="008772C0" w:rsidRPr="00FA0D37">
              <w:rPr>
                <w:bCs/>
                <w:lang w:eastAsia="en-GB"/>
              </w:rPr>
              <w:t xml:space="preserve"> and </w:t>
            </w:r>
            <w:r w:rsidR="008772C0" w:rsidRPr="00FA0D37">
              <w:rPr>
                <w:bCs/>
                <w:i/>
                <w:lang w:eastAsia="en-GB"/>
              </w:rPr>
              <w:t>ms0dot75</w:t>
            </w:r>
            <w:r w:rsidR="008772C0" w:rsidRPr="00FA0D37">
              <w:rPr>
                <w:bCs/>
                <w:lang w:eastAsia="en-GB"/>
              </w:rPr>
              <w:t xml:space="preserve"> corresponds to 0.75 ms</w:t>
            </w:r>
            <w:r w:rsidRPr="00FA0D37">
              <w:rPr>
                <w:bCs/>
                <w:lang w:eastAsia="en-GB"/>
              </w:rPr>
              <w:t>. For FR2, the network only configures 0 ms and 0.25 ms</w:t>
            </w:r>
            <w:r w:rsidR="008772C0" w:rsidRPr="00FA0D37">
              <w:rPr>
                <w:bCs/>
                <w:lang w:eastAsia="en-GB"/>
              </w:rPr>
              <w:t xml:space="preserve"> if </w:t>
            </w:r>
            <w:r w:rsidR="008772C0" w:rsidRPr="00FA0D37">
              <w:rPr>
                <w:bCs/>
                <w:i/>
                <w:lang w:eastAsia="en-GB"/>
              </w:rPr>
              <w:t>ncsgInd</w:t>
            </w:r>
            <w:r w:rsidR="008772C0" w:rsidRPr="00FA0D37">
              <w:rPr>
                <w:bCs/>
                <w:lang w:eastAsia="en-GB"/>
              </w:rPr>
              <w:t xml:space="preserve"> is not present</w:t>
            </w:r>
            <w:r w:rsidRPr="00FA0D37">
              <w:rPr>
                <w:bCs/>
                <w:lang w:eastAsia="en-GB"/>
              </w:rPr>
              <w:t>.</w:t>
            </w:r>
            <w:r w:rsidR="00CE29E7" w:rsidRPr="00FA0D37">
              <w:rPr>
                <w:rFonts w:cs="Arial"/>
                <w:lang w:eastAsia="en-GB"/>
              </w:rPr>
              <w:t xml:space="preserve"> If </w:t>
            </w:r>
            <w:r w:rsidR="00CE29E7" w:rsidRPr="00FA0D37">
              <w:rPr>
                <w:rFonts w:cs="Arial"/>
                <w:i/>
                <w:iCs/>
                <w:lang w:eastAsia="en-GB"/>
              </w:rPr>
              <w:t>ncsgInd</w:t>
            </w:r>
            <w:r w:rsidR="00CE29E7" w:rsidRPr="00FA0D37">
              <w:rPr>
                <w:rFonts w:cs="Arial"/>
                <w:lang w:eastAsia="en-GB"/>
              </w:rPr>
              <w:t xml:space="preserve"> is present, </w:t>
            </w:r>
            <w:r w:rsidR="008772C0" w:rsidRPr="00FA0D37">
              <w:rPr>
                <w:rFonts w:cs="Arial"/>
                <w:lang w:eastAsia="en-GB"/>
              </w:rPr>
              <w:t>the network only configures 0ms for per-UE NCSG and FR1 NCSG and only configures 0ms or 0.75ms for FR2 NCSG</w:t>
            </w:r>
            <w:r w:rsidR="00CE29E7" w:rsidRPr="00FA0D37">
              <w:rPr>
                <w:rFonts w:cs="Arial"/>
                <w:lang w:eastAsia="en-GB"/>
              </w:rPr>
              <w:t xml:space="preserve">. Value </w:t>
            </w:r>
            <w:r w:rsidR="00CE29E7" w:rsidRPr="00FA0D37">
              <w:rPr>
                <w:i/>
                <w:iCs/>
              </w:rPr>
              <w:t>ms0dot75</w:t>
            </w:r>
            <w:r w:rsidR="00CE29E7" w:rsidRPr="00FA0D37">
              <w:t xml:space="preserve"> </w:t>
            </w:r>
            <w:r w:rsidR="00CE29E7" w:rsidRPr="00FA0D37">
              <w:rPr>
                <w:rFonts w:cs="Arial"/>
                <w:lang w:eastAsia="en-GB"/>
              </w:rPr>
              <w:t xml:space="preserve">can only be configured if </w:t>
            </w:r>
            <w:r w:rsidR="00CE29E7" w:rsidRPr="00FA0D37">
              <w:rPr>
                <w:rFonts w:cs="Arial"/>
                <w:i/>
                <w:iCs/>
                <w:lang w:eastAsia="en-GB"/>
              </w:rPr>
              <w:t>ncsgInd</w:t>
            </w:r>
            <w:r w:rsidR="00CE29E7" w:rsidRPr="00FA0D37">
              <w:rPr>
                <w:rFonts w:cs="Arial"/>
                <w:lang w:eastAsia="en-GB"/>
              </w:rPr>
              <w:t xml:space="preserve"> is present.</w:t>
            </w:r>
          </w:p>
        </w:tc>
      </w:tr>
      <w:tr w:rsidR="005C7FF4" w:rsidRPr="00FA0D37"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FA0D37" w:rsidRDefault="003F7068" w:rsidP="003F7068">
            <w:pPr>
              <w:pStyle w:val="TAL"/>
              <w:rPr>
                <w:b/>
                <w:bCs/>
                <w:i/>
                <w:lang w:eastAsia="en-GB"/>
              </w:rPr>
            </w:pPr>
            <w:r w:rsidRPr="00FA0D37">
              <w:rPr>
                <w:b/>
                <w:bCs/>
                <w:i/>
                <w:lang w:eastAsia="en-GB"/>
              </w:rPr>
              <w:t>nc</w:t>
            </w:r>
            <w:r w:rsidR="00CE29E7" w:rsidRPr="00FA0D37">
              <w:rPr>
                <w:b/>
                <w:bCs/>
                <w:i/>
                <w:lang w:eastAsia="en-GB"/>
              </w:rPr>
              <w:t>s</w:t>
            </w:r>
            <w:r w:rsidRPr="00FA0D37">
              <w:rPr>
                <w:b/>
                <w:bCs/>
                <w:i/>
                <w:lang w:eastAsia="en-GB"/>
              </w:rPr>
              <w:t>gInd</w:t>
            </w:r>
          </w:p>
          <w:p w14:paraId="29001B83" w14:textId="4AFF2774" w:rsidR="00E616AE" w:rsidRPr="00FA0D37" w:rsidRDefault="003F7068" w:rsidP="003F7068">
            <w:pPr>
              <w:pStyle w:val="TAL"/>
              <w:rPr>
                <w:iCs/>
                <w:lang w:eastAsia="en-GB"/>
              </w:rPr>
            </w:pPr>
            <w:r w:rsidRPr="00FA0D37">
              <w:rPr>
                <w:iCs/>
                <w:lang w:eastAsia="en-GB"/>
              </w:rPr>
              <w:t>Indicates that the measurement gap is a NCSG as specified in 38.133 [14].</w:t>
            </w:r>
          </w:p>
        </w:tc>
      </w:tr>
      <w:tr w:rsidR="005C7FF4" w:rsidRPr="00FA0D37"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FA0D37" w:rsidRDefault="00F42915" w:rsidP="00F42915">
            <w:pPr>
              <w:pStyle w:val="TAL"/>
              <w:rPr>
                <w:rFonts w:eastAsia="宋体"/>
                <w:b/>
                <w:i/>
                <w:lang w:eastAsia="zh-CN"/>
              </w:rPr>
            </w:pPr>
            <w:r w:rsidRPr="00FA0D37">
              <w:rPr>
                <w:rFonts w:eastAsia="宋体"/>
                <w:b/>
                <w:i/>
                <w:lang w:eastAsia="zh-CN"/>
              </w:rPr>
              <w:t>posMeasGapPreConfigToAddModList</w:t>
            </w:r>
          </w:p>
          <w:p w14:paraId="48F2C777" w14:textId="4D9BDF1D" w:rsidR="00F42915" w:rsidRPr="00FA0D37" w:rsidRDefault="00F42915" w:rsidP="00F42915">
            <w:pPr>
              <w:pStyle w:val="TAL"/>
              <w:rPr>
                <w:b/>
                <w:bCs/>
                <w:i/>
                <w:lang w:eastAsia="en-GB"/>
              </w:rPr>
            </w:pPr>
            <w:r w:rsidRPr="00FA0D37">
              <w:rPr>
                <w:rFonts w:eastAsia="宋体"/>
                <w:lang w:eastAsia="zh-CN"/>
              </w:rPr>
              <w:t>List of preconfigured measurement gap for positioning to add and/or modify. All the gaps configured are associated with the measur</w:t>
            </w:r>
            <w:r w:rsidR="00B547B2" w:rsidRPr="00FA0D37">
              <w:rPr>
                <w:rFonts w:eastAsia="宋体"/>
                <w:lang w:eastAsia="zh-CN"/>
              </w:rPr>
              <w:t>e</w:t>
            </w:r>
            <w:r w:rsidRPr="00FA0D37">
              <w:rPr>
                <w:rFonts w:eastAsia="宋体"/>
                <w:lang w:eastAsia="zh-CN"/>
              </w:rPr>
              <w:t>ment of PRS for RSTD, UE-RxTx Time Difference, PRS-RSRP and PRS-RSRPP as defined in TS 38.215 [9].</w:t>
            </w:r>
            <w:r w:rsidR="0087588F" w:rsidRPr="00FA0D37">
              <w:rPr>
                <w:rFonts w:eastAsia="宋体"/>
                <w:lang w:eastAsia="zh-CN"/>
              </w:rPr>
              <w:t xml:space="preserve"> </w:t>
            </w:r>
            <w:r w:rsidR="0087588F" w:rsidRPr="00FA0D37">
              <w:rPr>
                <w:bCs/>
                <w:lang w:eastAsia="en-GB"/>
              </w:rPr>
              <w:t xml:space="preserve">In this version of the specification, the network does not configure </w:t>
            </w:r>
            <w:r w:rsidR="0087588F" w:rsidRPr="00FA0D37">
              <w:rPr>
                <w:rFonts w:eastAsia="宋体"/>
                <w:lang w:eastAsia="zh-CN"/>
              </w:rPr>
              <w:t>preconfigured measurement gap for positioning</w:t>
            </w:r>
            <w:r w:rsidR="0087588F" w:rsidRPr="00FA0D37">
              <w:rPr>
                <w:bCs/>
                <w:lang w:eastAsia="en-GB"/>
              </w:rPr>
              <w:t xml:space="preserve"> together with concurrent measurement gap or MUSIM gap.</w:t>
            </w:r>
          </w:p>
        </w:tc>
      </w:tr>
      <w:tr w:rsidR="005C7FF4" w:rsidRPr="00FA0D37"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FA0D37" w:rsidRDefault="00F42915" w:rsidP="00F42915">
            <w:pPr>
              <w:pStyle w:val="TAL"/>
              <w:rPr>
                <w:rFonts w:eastAsia="宋体"/>
                <w:b/>
                <w:i/>
                <w:lang w:eastAsia="zh-CN"/>
              </w:rPr>
            </w:pPr>
            <w:r w:rsidRPr="00FA0D37">
              <w:rPr>
                <w:rFonts w:eastAsia="宋体"/>
                <w:b/>
                <w:i/>
                <w:lang w:eastAsia="zh-CN"/>
              </w:rPr>
              <w:t>posMeasGapPreConfigToReleas</w:t>
            </w:r>
            <w:r w:rsidR="00C341EB" w:rsidRPr="00FA0D37">
              <w:rPr>
                <w:rFonts w:eastAsia="宋体"/>
                <w:b/>
                <w:i/>
                <w:lang w:eastAsia="zh-CN"/>
              </w:rPr>
              <w:t>e</w:t>
            </w:r>
            <w:r w:rsidRPr="00FA0D37">
              <w:rPr>
                <w:rFonts w:eastAsia="宋体"/>
                <w:b/>
                <w:i/>
                <w:lang w:eastAsia="zh-CN"/>
              </w:rPr>
              <w:t>List</w:t>
            </w:r>
          </w:p>
          <w:p w14:paraId="224CC390" w14:textId="4913026E" w:rsidR="00F42915" w:rsidRPr="00FA0D37" w:rsidRDefault="00F42915" w:rsidP="00F42915">
            <w:pPr>
              <w:pStyle w:val="TAL"/>
              <w:rPr>
                <w:b/>
                <w:bCs/>
                <w:i/>
                <w:lang w:eastAsia="en-GB"/>
              </w:rPr>
            </w:pPr>
            <w:r w:rsidRPr="00FA0D37">
              <w:rPr>
                <w:rFonts w:eastAsia="宋体"/>
                <w:lang w:eastAsia="zh-CN"/>
              </w:rPr>
              <w:t>List of preconfigured measurement gap for positioning to release.</w:t>
            </w:r>
          </w:p>
        </w:tc>
      </w:tr>
      <w:tr w:rsidR="005C7FF4" w:rsidRPr="00FA0D37"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FA0D37" w:rsidRDefault="003F7068" w:rsidP="003F7068">
            <w:pPr>
              <w:pStyle w:val="TAL"/>
              <w:rPr>
                <w:b/>
                <w:bCs/>
                <w:i/>
                <w:lang w:eastAsia="en-GB"/>
              </w:rPr>
            </w:pPr>
            <w:r w:rsidRPr="00FA0D37">
              <w:rPr>
                <w:b/>
                <w:bCs/>
                <w:i/>
                <w:lang w:eastAsia="en-GB"/>
              </w:rPr>
              <w:t>preConfigInd</w:t>
            </w:r>
          </w:p>
          <w:p w14:paraId="6381B9D9" w14:textId="2BF966A0" w:rsidR="00E616AE" w:rsidRPr="00FA0D37" w:rsidRDefault="003F7068" w:rsidP="003F7068">
            <w:pPr>
              <w:pStyle w:val="TAL"/>
              <w:rPr>
                <w:iCs/>
                <w:lang w:eastAsia="en-GB"/>
              </w:rPr>
            </w:pPr>
            <w:r w:rsidRPr="00FA0D37">
              <w:rPr>
                <w:iCs/>
                <w:lang w:eastAsia="en-GB"/>
              </w:rPr>
              <w:t>Indicates whether the measurement gap is a pre-configured measurement gap.</w:t>
            </w:r>
          </w:p>
        </w:tc>
      </w:tr>
      <w:tr w:rsidR="005C7FF4" w:rsidRPr="00FA0D37"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FA0D37" w:rsidRDefault="00394471" w:rsidP="00964CC4">
            <w:pPr>
              <w:pStyle w:val="TAL"/>
              <w:rPr>
                <w:b/>
                <w:bCs/>
                <w:i/>
                <w:iCs/>
                <w:lang w:eastAsia="x-none"/>
              </w:rPr>
            </w:pPr>
            <w:r w:rsidRPr="00FA0D37">
              <w:rPr>
                <w:b/>
                <w:bCs/>
                <w:i/>
                <w:iCs/>
                <w:lang w:eastAsia="x-none"/>
              </w:rPr>
              <w:t>refFR2ServCellAsyncCA</w:t>
            </w:r>
          </w:p>
          <w:p w14:paraId="71AEDBEC" w14:textId="77777777" w:rsidR="00394471" w:rsidRPr="00FA0D37" w:rsidRDefault="00394471" w:rsidP="00964CC4">
            <w:pPr>
              <w:pStyle w:val="TAL"/>
              <w:rPr>
                <w:lang w:eastAsia="sv-SE"/>
              </w:rPr>
            </w:pPr>
            <w:r w:rsidRPr="00FA0D37">
              <w:rPr>
                <w:lang w:eastAsia="sv-SE"/>
              </w:rPr>
              <w:t xml:space="preserve">Indicates the FR2 serving cell identifier whose SFN and subframe is used for FR2 gap calculation for this gap pattern </w:t>
            </w:r>
            <w:r w:rsidRPr="00FA0D37">
              <w:rPr>
                <w:szCs w:val="22"/>
                <w:lang w:eastAsia="sv-SE"/>
              </w:rPr>
              <w:t>with asynchronous CA involving FR2 carrier(s).</w:t>
            </w:r>
          </w:p>
        </w:tc>
      </w:tr>
      <w:tr w:rsidR="00F747EB" w:rsidRPr="00FA0D37"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FA0D37" w:rsidRDefault="00394471" w:rsidP="00964CC4">
            <w:pPr>
              <w:pStyle w:val="TAL"/>
              <w:rPr>
                <w:b/>
                <w:bCs/>
                <w:i/>
                <w:lang w:eastAsia="en-GB"/>
              </w:rPr>
            </w:pPr>
            <w:r w:rsidRPr="00FA0D37">
              <w:rPr>
                <w:b/>
                <w:bCs/>
                <w:i/>
                <w:lang w:eastAsia="en-GB"/>
              </w:rPr>
              <w:t>refServCellIndicator</w:t>
            </w:r>
          </w:p>
          <w:p w14:paraId="1CBA5F6D" w14:textId="77777777" w:rsidR="00394471" w:rsidRPr="00FA0D37" w:rsidRDefault="00394471" w:rsidP="00964CC4">
            <w:pPr>
              <w:pStyle w:val="TAL"/>
              <w:rPr>
                <w:bCs/>
                <w:lang w:eastAsia="en-GB"/>
              </w:rPr>
            </w:pPr>
            <w:r w:rsidRPr="00FA0D37">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FA0D37" w:rsidRDefault="00394471" w:rsidP="00964CC4">
            <w:pPr>
              <w:pStyle w:val="TAH"/>
              <w:rPr>
                <w:szCs w:val="22"/>
                <w:lang w:eastAsia="sv-SE"/>
              </w:rPr>
            </w:pPr>
            <w:r w:rsidRPr="00FA0D3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FA0D37" w:rsidRDefault="00394471" w:rsidP="00964CC4">
            <w:pPr>
              <w:pStyle w:val="TAH"/>
              <w:rPr>
                <w:szCs w:val="22"/>
                <w:lang w:eastAsia="sv-SE"/>
              </w:rPr>
            </w:pPr>
            <w:r w:rsidRPr="00FA0D37">
              <w:rPr>
                <w:szCs w:val="22"/>
                <w:lang w:eastAsia="sv-SE"/>
              </w:rPr>
              <w:t>Explanation</w:t>
            </w:r>
          </w:p>
        </w:tc>
      </w:tr>
      <w:tr w:rsidR="005C7FF4" w:rsidRPr="00FA0D37"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FA0D37" w:rsidRDefault="00394471" w:rsidP="00964CC4">
            <w:pPr>
              <w:pStyle w:val="TAL"/>
              <w:rPr>
                <w:i/>
                <w:szCs w:val="22"/>
                <w:lang w:eastAsia="sv-SE"/>
              </w:rPr>
            </w:pPr>
            <w:r w:rsidRPr="00FA0D37">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FA0D37" w:rsidRDefault="00394471" w:rsidP="00964CC4">
            <w:pPr>
              <w:pStyle w:val="TAL"/>
              <w:rPr>
                <w:szCs w:val="22"/>
                <w:lang w:eastAsia="sv-SE"/>
              </w:rPr>
            </w:pPr>
            <w:r w:rsidRPr="00FA0D37">
              <w:rPr>
                <w:szCs w:val="22"/>
                <w:lang w:eastAsia="sv-SE"/>
              </w:rPr>
              <w:t xml:space="preserve">This field is mandatory present when configuring </w:t>
            </w:r>
            <w:r w:rsidR="00E755E8" w:rsidRPr="00FA0D37">
              <w:rPr>
                <w:szCs w:val="22"/>
                <w:lang w:eastAsia="sv-SE"/>
              </w:rPr>
              <w:t xml:space="preserve">and reconfiguring </w:t>
            </w:r>
            <w:r w:rsidRPr="00FA0D37">
              <w:rPr>
                <w:szCs w:val="22"/>
                <w:lang w:eastAsia="sv-SE"/>
              </w:rPr>
              <w:t>FR2 gap pattern to UE in:</w:t>
            </w:r>
          </w:p>
          <w:p w14:paraId="6E4C44AE" w14:textId="77777777" w:rsidR="00394471" w:rsidRPr="00FA0D37" w:rsidRDefault="00394471" w:rsidP="00964CC4">
            <w:pPr>
              <w:pStyle w:val="B1"/>
              <w:spacing w:after="0"/>
              <w:rPr>
                <w:rFonts w:cs="Arial"/>
                <w:szCs w:val="18"/>
                <w:lang w:eastAsia="sv-SE"/>
              </w:rPr>
            </w:pPr>
            <w:r w:rsidRPr="00FA0D37">
              <w:rPr>
                <w:rFonts w:ascii="Arial" w:hAnsi="Arial" w:cs="Arial"/>
                <w:sz w:val="18"/>
                <w:szCs w:val="18"/>
                <w:lang w:eastAsia="sv-SE"/>
              </w:rPr>
              <w:t>- (NG)EN-DC or NR SA with asynchronous CA involving FR2 carrier(s);</w:t>
            </w:r>
          </w:p>
          <w:p w14:paraId="7EF3B923" w14:textId="77777777" w:rsidR="00394471" w:rsidRPr="00FA0D37" w:rsidRDefault="00394471" w:rsidP="00964CC4">
            <w:pPr>
              <w:pStyle w:val="B1"/>
              <w:spacing w:after="0"/>
              <w:rPr>
                <w:lang w:eastAsia="sv-SE"/>
              </w:rPr>
            </w:pPr>
            <w:r w:rsidRPr="00FA0D37">
              <w:rPr>
                <w:rFonts w:ascii="Arial" w:hAnsi="Arial" w:cs="Arial"/>
                <w:sz w:val="18"/>
                <w:szCs w:val="18"/>
                <w:lang w:eastAsia="sv-SE"/>
              </w:rPr>
              <w:t xml:space="preserve">- NE-DC or NR-DC with asynchronous CA involving FR2 carrier(s), if </w:t>
            </w:r>
            <w:r w:rsidRPr="00FA0D37">
              <w:rPr>
                <w:rFonts w:ascii="Arial" w:hAnsi="Arial" w:cs="Arial"/>
                <w:sz w:val="18"/>
                <w:szCs w:val="18"/>
              </w:rPr>
              <w:t>the field</w:t>
            </w:r>
            <w:r w:rsidRPr="00FA0D37">
              <w:rPr>
                <w:rFonts w:ascii="Arial" w:hAnsi="Arial" w:cs="Arial"/>
                <w:sz w:val="18"/>
                <w:szCs w:val="18"/>
                <w:lang w:eastAsia="sv-SE"/>
              </w:rPr>
              <w:t xml:space="preserve"> </w:t>
            </w:r>
            <w:r w:rsidRPr="00FA0D37">
              <w:rPr>
                <w:rFonts w:ascii="Arial" w:hAnsi="Arial" w:cs="Arial"/>
                <w:i/>
                <w:iCs/>
                <w:sz w:val="18"/>
                <w:szCs w:val="18"/>
                <w:lang w:eastAsia="sv-SE"/>
              </w:rPr>
              <w:t>refServCellIndicator</w:t>
            </w:r>
            <w:r w:rsidRPr="00FA0D37">
              <w:rPr>
                <w:rFonts w:ascii="Arial" w:hAnsi="Arial" w:cs="Arial"/>
                <w:sz w:val="18"/>
                <w:szCs w:val="18"/>
                <w:lang w:eastAsia="sv-SE"/>
              </w:rPr>
              <w:t xml:space="preserve"> is set to </w:t>
            </w:r>
            <w:r w:rsidRPr="00FA0D37">
              <w:rPr>
                <w:rFonts w:ascii="Arial" w:hAnsi="Arial" w:cs="Arial"/>
                <w:i/>
                <w:iCs/>
                <w:sz w:val="18"/>
                <w:szCs w:val="18"/>
                <w:lang w:eastAsia="sv-SE"/>
              </w:rPr>
              <w:t>mcg-FR2</w:t>
            </w:r>
            <w:r w:rsidRPr="00FA0D37">
              <w:rPr>
                <w:rFonts w:ascii="Arial" w:hAnsi="Arial" w:cs="Arial"/>
                <w:sz w:val="18"/>
                <w:szCs w:val="18"/>
                <w:lang w:eastAsia="sv-SE"/>
              </w:rPr>
              <w:t>.</w:t>
            </w:r>
          </w:p>
          <w:p w14:paraId="671267ED" w14:textId="359F2108" w:rsidR="00394471" w:rsidRPr="00FA0D37" w:rsidRDefault="00394471" w:rsidP="00964CC4">
            <w:pPr>
              <w:pStyle w:val="TAL"/>
              <w:rPr>
                <w:szCs w:val="22"/>
                <w:lang w:eastAsia="sv-SE"/>
              </w:rPr>
            </w:pPr>
            <w:r w:rsidRPr="00FA0D37">
              <w:rPr>
                <w:szCs w:val="22"/>
                <w:lang w:eastAsia="sv-SE"/>
              </w:rPr>
              <w:t>Otherwise, it is absent</w:t>
            </w:r>
            <w:r w:rsidRPr="00FA0D37">
              <w:rPr>
                <w:szCs w:val="22"/>
              </w:rPr>
              <w:t>, Need R</w:t>
            </w:r>
            <w:r w:rsidRPr="00FA0D37">
              <w:rPr>
                <w:szCs w:val="22"/>
                <w:lang w:eastAsia="sv-SE"/>
              </w:rPr>
              <w:t>.</w:t>
            </w:r>
          </w:p>
        </w:tc>
      </w:tr>
      <w:tr w:rsidR="005C7FF4" w:rsidRPr="00FA0D37"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FA0D37" w:rsidRDefault="00394471" w:rsidP="00964CC4">
            <w:pPr>
              <w:pStyle w:val="TAL"/>
              <w:rPr>
                <w:i/>
                <w:szCs w:val="22"/>
                <w:lang w:eastAsia="sv-SE"/>
              </w:rPr>
            </w:pPr>
            <w:r w:rsidRPr="00FA0D37">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FA0D37" w:rsidRDefault="00394471" w:rsidP="00964CC4">
            <w:pPr>
              <w:pStyle w:val="TAL"/>
              <w:rPr>
                <w:szCs w:val="22"/>
                <w:lang w:eastAsia="sv-SE"/>
              </w:rPr>
            </w:pPr>
            <w:r w:rsidRPr="00FA0D37">
              <w:rPr>
                <w:szCs w:val="22"/>
                <w:lang w:eastAsia="sv-SE"/>
              </w:rPr>
              <w:t xml:space="preserve">This field is mandatory present when configuring </w:t>
            </w:r>
            <w:r w:rsidR="00E755E8" w:rsidRPr="00FA0D37">
              <w:rPr>
                <w:szCs w:val="22"/>
                <w:lang w:eastAsia="sv-SE"/>
              </w:rPr>
              <w:t xml:space="preserve">and reconfiguring </w:t>
            </w:r>
            <w:r w:rsidRPr="00FA0D37">
              <w:rPr>
                <w:szCs w:val="22"/>
                <w:lang w:eastAsia="sv-SE"/>
              </w:rPr>
              <w:t>gap pattern to UE in NE-DC or NR-DC. Otherwise, it is absent</w:t>
            </w:r>
            <w:r w:rsidR="003441E2" w:rsidRPr="00FA0D37">
              <w:rPr>
                <w:szCs w:val="22"/>
                <w:lang w:eastAsia="sv-SE"/>
              </w:rPr>
              <w:t>, Need R</w:t>
            </w:r>
            <w:r w:rsidRPr="00FA0D37">
              <w:rPr>
                <w:szCs w:val="22"/>
                <w:lang w:eastAsia="sv-SE"/>
              </w:rPr>
              <w:t>.</w:t>
            </w:r>
          </w:p>
        </w:tc>
      </w:tr>
      <w:tr w:rsidR="000830BB" w:rsidRPr="00FA0D37"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FA0D37" w:rsidRDefault="00394471" w:rsidP="00964CC4">
            <w:pPr>
              <w:pStyle w:val="TAL"/>
              <w:rPr>
                <w:i/>
                <w:szCs w:val="22"/>
                <w:lang w:eastAsia="sv-SE"/>
              </w:rPr>
            </w:pPr>
            <w:r w:rsidRPr="00FA0D37">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FA0D37" w:rsidRDefault="00394471" w:rsidP="00964CC4">
            <w:pPr>
              <w:pStyle w:val="TAL"/>
              <w:rPr>
                <w:szCs w:val="22"/>
                <w:lang w:eastAsia="sv-SE"/>
              </w:rPr>
            </w:pPr>
            <w:r w:rsidRPr="00FA0D37">
              <w:rPr>
                <w:rFonts w:cs="Arial"/>
                <w:szCs w:val="18"/>
              </w:rPr>
              <w:t>This field is optionally present, Need R, when configuring gap pattern to UE for measurements of DL-PRS configured via LPP (TS 37.355 [49]).</w:t>
            </w:r>
            <w:r w:rsidRPr="00FA0D37">
              <w:t xml:space="preserve"> </w:t>
            </w:r>
            <w:r w:rsidRPr="00FA0D37">
              <w:rPr>
                <w:rFonts w:cs="Arial"/>
                <w:szCs w:val="18"/>
              </w:rPr>
              <w:t>Otherwise, it is absent.</w:t>
            </w:r>
          </w:p>
        </w:tc>
      </w:tr>
    </w:tbl>
    <w:p w14:paraId="2527007D" w14:textId="5DCDBD4D" w:rsidR="00394471" w:rsidRPr="00FA0D37" w:rsidRDefault="00394471" w:rsidP="00394471"/>
    <w:p w14:paraId="724531AA" w14:textId="77777777" w:rsidR="003F7068" w:rsidRPr="00FA0D37" w:rsidRDefault="003F7068" w:rsidP="000830BB">
      <w:pPr>
        <w:pStyle w:val="4"/>
      </w:pPr>
      <w:bookmarkStart w:id="1076" w:name="_Toc146781313"/>
      <w:r w:rsidRPr="00FA0D37">
        <w:lastRenderedPageBreak/>
        <w:t>–</w:t>
      </w:r>
      <w:r w:rsidRPr="00FA0D37">
        <w:tab/>
      </w:r>
      <w:r w:rsidRPr="00FA0D37">
        <w:rPr>
          <w:i/>
          <w:iCs/>
        </w:rPr>
        <w:t>MeasGapId</w:t>
      </w:r>
      <w:bookmarkEnd w:id="1076"/>
    </w:p>
    <w:p w14:paraId="638F47C8" w14:textId="77777777" w:rsidR="003F7068" w:rsidRPr="00FA0D37" w:rsidRDefault="003F7068" w:rsidP="003F7068">
      <w:r w:rsidRPr="00FA0D37">
        <w:t xml:space="preserve">The IE </w:t>
      </w:r>
      <w:r w:rsidRPr="00FA0D37">
        <w:rPr>
          <w:i/>
        </w:rPr>
        <w:t>MeasGapId</w:t>
      </w:r>
      <w:r w:rsidRPr="00FA0D37">
        <w:t xml:space="preserve"> used to identify a per UE or per FR measurement gap configuration.</w:t>
      </w:r>
    </w:p>
    <w:p w14:paraId="0AC1BBC5" w14:textId="77777777" w:rsidR="003F7068" w:rsidRPr="00FA0D37" w:rsidRDefault="003F7068" w:rsidP="000830BB">
      <w:pPr>
        <w:pStyle w:val="TH"/>
      </w:pPr>
      <w:r w:rsidRPr="00FA0D37">
        <w:rPr>
          <w:i/>
        </w:rPr>
        <w:t>MeasGapId</w:t>
      </w:r>
      <w:r w:rsidRPr="00FA0D37">
        <w:t xml:space="preserve"> information element</w:t>
      </w:r>
    </w:p>
    <w:p w14:paraId="5414CBF9" w14:textId="77777777" w:rsidR="003F7068" w:rsidRPr="00FA0D37" w:rsidRDefault="003F7068" w:rsidP="00FA0D37">
      <w:pPr>
        <w:pStyle w:val="PL"/>
        <w:rPr>
          <w:color w:val="808080"/>
        </w:rPr>
      </w:pPr>
      <w:r w:rsidRPr="00FA0D37">
        <w:rPr>
          <w:color w:val="808080"/>
        </w:rPr>
        <w:t>-- ASN1START</w:t>
      </w:r>
    </w:p>
    <w:p w14:paraId="7405523D" w14:textId="77777777" w:rsidR="003F7068" w:rsidRPr="00FA0D37" w:rsidRDefault="003F7068" w:rsidP="00FA0D37">
      <w:pPr>
        <w:pStyle w:val="PL"/>
        <w:rPr>
          <w:color w:val="808080"/>
        </w:rPr>
      </w:pPr>
      <w:r w:rsidRPr="00FA0D37">
        <w:rPr>
          <w:color w:val="808080"/>
        </w:rPr>
        <w:t>-- TAG-MEASGAPID-START</w:t>
      </w:r>
    </w:p>
    <w:p w14:paraId="0B30E24D" w14:textId="77777777" w:rsidR="003F7068" w:rsidRPr="00FA0D37" w:rsidRDefault="003F7068" w:rsidP="00FA0D37">
      <w:pPr>
        <w:pStyle w:val="PL"/>
      </w:pPr>
    </w:p>
    <w:p w14:paraId="6D666C6D" w14:textId="77777777" w:rsidR="003F7068" w:rsidRPr="00FA0D37" w:rsidRDefault="003F7068" w:rsidP="00FA0D37">
      <w:pPr>
        <w:pStyle w:val="PL"/>
      </w:pPr>
      <w:r w:rsidRPr="00FA0D37">
        <w:t xml:space="preserve">MeasGapId-r17 ::=                       </w:t>
      </w:r>
      <w:r w:rsidRPr="00FA0D37">
        <w:rPr>
          <w:color w:val="993366"/>
        </w:rPr>
        <w:t>INTEGER</w:t>
      </w:r>
      <w:r w:rsidRPr="00FA0D37">
        <w:t xml:space="preserve"> (1..maxNrofGapId-r17)</w:t>
      </w:r>
    </w:p>
    <w:p w14:paraId="0D5A843E" w14:textId="77777777" w:rsidR="003F7068" w:rsidRPr="00FA0D37" w:rsidRDefault="003F7068" w:rsidP="00FA0D37">
      <w:pPr>
        <w:pStyle w:val="PL"/>
      </w:pPr>
    </w:p>
    <w:p w14:paraId="2D3CAFC0" w14:textId="77777777" w:rsidR="003F7068" w:rsidRPr="00FA0D37" w:rsidRDefault="003F7068" w:rsidP="00FA0D37">
      <w:pPr>
        <w:pStyle w:val="PL"/>
        <w:rPr>
          <w:color w:val="808080"/>
        </w:rPr>
      </w:pPr>
      <w:r w:rsidRPr="00FA0D37">
        <w:rPr>
          <w:color w:val="808080"/>
        </w:rPr>
        <w:t>-- TAG-MEASGAPID-STOP</w:t>
      </w:r>
    </w:p>
    <w:p w14:paraId="2F91990F" w14:textId="4FF60C24" w:rsidR="003F7068" w:rsidRPr="00FA0D37" w:rsidRDefault="003F7068" w:rsidP="00FA0D37">
      <w:pPr>
        <w:pStyle w:val="PL"/>
        <w:rPr>
          <w:color w:val="808080"/>
        </w:rPr>
      </w:pPr>
      <w:r w:rsidRPr="00FA0D37">
        <w:rPr>
          <w:color w:val="808080"/>
        </w:rPr>
        <w:t>-- ASN1STOP</w:t>
      </w:r>
    </w:p>
    <w:p w14:paraId="38E41A4D" w14:textId="77777777" w:rsidR="003F7068" w:rsidRPr="00FA0D37" w:rsidRDefault="003F7068" w:rsidP="00394471"/>
    <w:p w14:paraId="644A9027" w14:textId="77777777" w:rsidR="00394471" w:rsidRPr="00FA0D37" w:rsidRDefault="00394471" w:rsidP="00394471">
      <w:pPr>
        <w:pStyle w:val="4"/>
        <w:rPr>
          <w:lang w:eastAsia="en-US"/>
        </w:rPr>
      </w:pPr>
      <w:bookmarkStart w:id="1077" w:name="_Toc60777254"/>
      <w:bookmarkStart w:id="1078" w:name="_Toc146781314"/>
      <w:r w:rsidRPr="00FA0D37">
        <w:rPr>
          <w:lang w:eastAsia="en-US"/>
        </w:rPr>
        <w:t>–</w:t>
      </w:r>
      <w:r w:rsidRPr="00FA0D37">
        <w:rPr>
          <w:lang w:eastAsia="en-US"/>
        </w:rPr>
        <w:tab/>
      </w:r>
      <w:r w:rsidRPr="00FA0D37">
        <w:rPr>
          <w:i/>
          <w:noProof/>
          <w:lang w:eastAsia="en-US"/>
        </w:rPr>
        <w:t>MeasGapSharingConfig</w:t>
      </w:r>
      <w:bookmarkEnd w:id="1077"/>
      <w:bookmarkEnd w:id="1078"/>
    </w:p>
    <w:p w14:paraId="1B8912B8" w14:textId="77777777" w:rsidR="00394471" w:rsidRPr="00FA0D37" w:rsidRDefault="00394471" w:rsidP="00394471">
      <w:pPr>
        <w:overflowPunct/>
        <w:autoSpaceDE/>
        <w:adjustRightInd/>
        <w:rPr>
          <w:lang w:eastAsia="en-US"/>
        </w:rPr>
      </w:pPr>
      <w:r w:rsidRPr="00FA0D37">
        <w:rPr>
          <w:lang w:eastAsia="en-US"/>
        </w:rPr>
        <w:t xml:space="preserve">The IE </w:t>
      </w:r>
      <w:r w:rsidRPr="00FA0D37">
        <w:rPr>
          <w:i/>
          <w:noProof/>
          <w:lang w:eastAsia="en-US"/>
        </w:rPr>
        <w:t>MeasGapSharingConfig</w:t>
      </w:r>
      <w:r w:rsidRPr="00FA0D37">
        <w:rPr>
          <w:lang w:eastAsia="en-US"/>
        </w:rPr>
        <w:t xml:space="preserve"> specifies the measurement gap sharing scheme and controls setup/ release of measurement gap sharing.</w:t>
      </w:r>
    </w:p>
    <w:p w14:paraId="749FDB8E" w14:textId="77777777" w:rsidR="00394471" w:rsidRPr="00FA0D37" w:rsidRDefault="00394471" w:rsidP="00394471">
      <w:pPr>
        <w:pStyle w:val="TH"/>
      </w:pPr>
      <w:r w:rsidRPr="00FA0D37">
        <w:rPr>
          <w:i/>
        </w:rPr>
        <w:t>MeasGapSharingConfig</w:t>
      </w:r>
      <w:r w:rsidRPr="00FA0D37">
        <w:t xml:space="preserve"> information element</w:t>
      </w:r>
    </w:p>
    <w:p w14:paraId="33B6D810" w14:textId="77777777" w:rsidR="00394471" w:rsidRPr="00FA0D37" w:rsidRDefault="00394471" w:rsidP="00FA0D37">
      <w:pPr>
        <w:pStyle w:val="PL"/>
        <w:rPr>
          <w:color w:val="808080"/>
        </w:rPr>
      </w:pPr>
      <w:r w:rsidRPr="00FA0D37">
        <w:rPr>
          <w:color w:val="808080"/>
        </w:rPr>
        <w:t>-- ASN1START</w:t>
      </w:r>
    </w:p>
    <w:p w14:paraId="088BB2DC" w14:textId="77777777" w:rsidR="00394471" w:rsidRPr="00FA0D37" w:rsidRDefault="00394471" w:rsidP="00FA0D37">
      <w:pPr>
        <w:pStyle w:val="PL"/>
        <w:rPr>
          <w:color w:val="808080"/>
        </w:rPr>
      </w:pPr>
      <w:r w:rsidRPr="00FA0D37">
        <w:rPr>
          <w:color w:val="808080"/>
        </w:rPr>
        <w:t>-- TAG-MEASGAPSHARINGCONFIG-START</w:t>
      </w:r>
    </w:p>
    <w:p w14:paraId="72595B9D" w14:textId="77777777" w:rsidR="00394471" w:rsidRPr="00FA0D37" w:rsidRDefault="00394471" w:rsidP="00FA0D37">
      <w:pPr>
        <w:pStyle w:val="PL"/>
      </w:pPr>
    </w:p>
    <w:p w14:paraId="691C90FE" w14:textId="77777777" w:rsidR="00394471" w:rsidRPr="00FA0D37" w:rsidRDefault="00394471" w:rsidP="00FA0D37">
      <w:pPr>
        <w:pStyle w:val="PL"/>
      </w:pPr>
      <w:r w:rsidRPr="00FA0D37">
        <w:t xml:space="preserve">MeasGapSharingConfig ::=        </w:t>
      </w:r>
      <w:r w:rsidRPr="00FA0D37">
        <w:rPr>
          <w:color w:val="993366"/>
        </w:rPr>
        <w:t>SEQUENCE</w:t>
      </w:r>
      <w:r w:rsidRPr="00FA0D37">
        <w:t xml:space="preserve"> {</w:t>
      </w:r>
    </w:p>
    <w:p w14:paraId="07F33CF7" w14:textId="77777777" w:rsidR="00394471" w:rsidRPr="00FA0D37" w:rsidRDefault="00394471" w:rsidP="00FA0D37">
      <w:pPr>
        <w:pStyle w:val="PL"/>
        <w:rPr>
          <w:color w:val="808080"/>
        </w:rPr>
      </w:pPr>
      <w:r w:rsidRPr="00FA0D37">
        <w:t xml:space="preserve">    gapSharingFR2                   SetupRelease { MeasGapSharingScheme }       </w:t>
      </w:r>
      <w:r w:rsidRPr="00FA0D37">
        <w:rPr>
          <w:color w:val="993366"/>
        </w:rPr>
        <w:t>OPTIONAL</w:t>
      </w:r>
      <w:r w:rsidRPr="00FA0D37">
        <w:t xml:space="preserve">,   </w:t>
      </w:r>
      <w:r w:rsidRPr="00FA0D37">
        <w:rPr>
          <w:color w:val="808080"/>
        </w:rPr>
        <w:t>-- Need M</w:t>
      </w:r>
    </w:p>
    <w:p w14:paraId="1976774C" w14:textId="77777777" w:rsidR="00394471" w:rsidRPr="00FA0D37" w:rsidRDefault="00394471" w:rsidP="00FA0D37">
      <w:pPr>
        <w:pStyle w:val="PL"/>
      </w:pPr>
      <w:r w:rsidRPr="00FA0D37">
        <w:t xml:space="preserve">    ...,</w:t>
      </w:r>
    </w:p>
    <w:p w14:paraId="70CB4E7C" w14:textId="77777777" w:rsidR="00394471" w:rsidRPr="00FA0D37" w:rsidRDefault="00394471" w:rsidP="00FA0D37">
      <w:pPr>
        <w:pStyle w:val="PL"/>
      </w:pPr>
      <w:r w:rsidRPr="00FA0D37">
        <w:t xml:space="preserve">    [[</w:t>
      </w:r>
    </w:p>
    <w:p w14:paraId="428EEDDF" w14:textId="77777777" w:rsidR="00394471" w:rsidRPr="00FA0D37" w:rsidRDefault="00394471" w:rsidP="00FA0D37">
      <w:pPr>
        <w:pStyle w:val="PL"/>
        <w:rPr>
          <w:color w:val="808080"/>
        </w:rPr>
      </w:pPr>
      <w:r w:rsidRPr="00FA0D37">
        <w:t xml:space="preserve">    gapSharingFR1                   SetupRelease { MeasGapSharingScheme }       </w:t>
      </w:r>
      <w:r w:rsidRPr="00FA0D37">
        <w:rPr>
          <w:color w:val="993366"/>
        </w:rPr>
        <w:t>OPTIONAL</w:t>
      </w:r>
      <w:r w:rsidRPr="00FA0D37">
        <w:t xml:space="preserve">,   </w:t>
      </w:r>
      <w:r w:rsidRPr="00FA0D37">
        <w:rPr>
          <w:color w:val="808080"/>
        </w:rPr>
        <w:t>--Need M</w:t>
      </w:r>
    </w:p>
    <w:p w14:paraId="0048638D" w14:textId="77777777" w:rsidR="00394471" w:rsidRPr="00FA0D37" w:rsidRDefault="00394471" w:rsidP="00FA0D37">
      <w:pPr>
        <w:pStyle w:val="PL"/>
        <w:rPr>
          <w:color w:val="808080"/>
        </w:rPr>
      </w:pPr>
      <w:r w:rsidRPr="00FA0D37">
        <w:t xml:space="preserve">    gapSharingUE                    SetupRelease { MeasGapSharingScheme }       </w:t>
      </w:r>
      <w:r w:rsidRPr="00FA0D37">
        <w:rPr>
          <w:color w:val="993366"/>
        </w:rPr>
        <w:t>OPTIONAL</w:t>
      </w:r>
      <w:r w:rsidRPr="00FA0D37">
        <w:t xml:space="preserve">    </w:t>
      </w:r>
      <w:r w:rsidRPr="00FA0D37">
        <w:rPr>
          <w:color w:val="808080"/>
        </w:rPr>
        <w:t>--Need M</w:t>
      </w:r>
    </w:p>
    <w:p w14:paraId="741FBC09" w14:textId="77777777" w:rsidR="00394471" w:rsidRPr="00FA0D37" w:rsidRDefault="00394471" w:rsidP="00FA0D37">
      <w:pPr>
        <w:pStyle w:val="PL"/>
      </w:pPr>
      <w:r w:rsidRPr="00FA0D37">
        <w:t xml:space="preserve">    ]]</w:t>
      </w:r>
    </w:p>
    <w:p w14:paraId="007D9EBC" w14:textId="77777777" w:rsidR="00394471" w:rsidRPr="00FA0D37" w:rsidRDefault="00394471" w:rsidP="00FA0D37">
      <w:pPr>
        <w:pStyle w:val="PL"/>
      </w:pPr>
      <w:r w:rsidRPr="00FA0D37">
        <w:t>}</w:t>
      </w:r>
    </w:p>
    <w:p w14:paraId="6E3F3EBA" w14:textId="77777777" w:rsidR="00394471" w:rsidRPr="00FA0D37" w:rsidRDefault="00394471" w:rsidP="00FA0D37">
      <w:pPr>
        <w:pStyle w:val="PL"/>
      </w:pPr>
    </w:p>
    <w:p w14:paraId="0B565AC3" w14:textId="77777777" w:rsidR="00394471" w:rsidRPr="00FA0D37" w:rsidRDefault="00394471" w:rsidP="00FA0D37">
      <w:pPr>
        <w:pStyle w:val="PL"/>
      </w:pPr>
      <w:r w:rsidRPr="00FA0D37">
        <w:t xml:space="preserve">MeasGapSharingScheme::=         </w:t>
      </w:r>
      <w:r w:rsidRPr="00FA0D37">
        <w:rPr>
          <w:color w:val="993366"/>
        </w:rPr>
        <w:t>ENUMERATED</w:t>
      </w:r>
      <w:r w:rsidRPr="00FA0D37">
        <w:t xml:space="preserve"> {scheme00, scheme01, scheme10, scheme11}</w:t>
      </w:r>
    </w:p>
    <w:p w14:paraId="0AE4AD28" w14:textId="77777777" w:rsidR="00394471" w:rsidRPr="00FA0D37" w:rsidRDefault="00394471" w:rsidP="00FA0D37">
      <w:pPr>
        <w:pStyle w:val="PL"/>
      </w:pPr>
    </w:p>
    <w:p w14:paraId="01D3817F" w14:textId="77777777" w:rsidR="00394471" w:rsidRPr="00FA0D37" w:rsidRDefault="00394471" w:rsidP="00FA0D37">
      <w:pPr>
        <w:pStyle w:val="PL"/>
        <w:rPr>
          <w:color w:val="808080"/>
        </w:rPr>
      </w:pPr>
      <w:r w:rsidRPr="00FA0D37">
        <w:rPr>
          <w:color w:val="808080"/>
        </w:rPr>
        <w:t>-- TAG-MEASGAPSHARINGCONFIG-STOP</w:t>
      </w:r>
    </w:p>
    <w:p w14:paraId="2A1B8DD3" w14:textId="77777777" w:rsidR="00394471" w:rsidRPr="00FA0D37" w:rsidRDefault="00394471" w:rsidP="00FA0D37">
      <w:pPr>
        <w:pStyle w:val="PL"/>
        <w:rPr>
          <w:color w:val="808080"/>
        </w:rPr>
      </w:pPr>
      <w:r w:rsidRPr="00FA0D37">
        <w:rPr>
          <w:color w:val="808080"/>
        </w:rPr>
        <w:t>-- ASN1STOP</w:t>
      </w:r>
    </w:p>
    <w:p w14:paraId="7E1CA35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FA0D37" w:rsidRDefault="00394471" w:rsidP="00964CC4">
            <w:pPr>
              <w:pStyle w:val="TAH"/>
              <w:rPr>
                <w:szCs w:val="22"/>
                <w:lang w:eastAsia="sv-SE"/>
              </w:rPr>
            </w:pPr>
            <w:r w:rsidRPr="00FA0D37">
              <w:rPr>
                <w:i/>
                <w:szCs w:val="22"/>
                <w:lang w:eastAsia="sv-SE"/>
              </w:rPr>
              <w:lastRenderedPageBreak/>
              <w:t xml:space="preserve">MeasGapSharingConfig </w:t>
            </w:r>
            <w:r w:rsidRPr="00FA0D37">
              <w:rPr>
                <w:szCs w:val="22"/>
                <w:lang w:eastAsia="sv-SE"/>
              </w:rPr>
              <w:t>field descriptions</w:t>
            </w:r>
          </w:p>
        </w:tc>
      </w:tr>
      <w:tr w:rsidR="005C7FF4" w:rsidRPr="00FA0D37"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FA0D37" w:rsidRDefault="00394471" w:rsidP="00964CC4">
            <w:pPr>
              <w:pStyle w:val="TAL"/>
              <w:rPr>
                <w:szCs w:val="22"/>
                <w:lang w:eastAsia="sv-SE"/>
              </w:rPr>
            </w:pPr>
            <w:r w:rsidRPr="00FA0D37">
              <w:rPr>
                <w:b/>
                <w:i/>
                <w:szCs w:val="22"/>
                <w:lang w:eastAsia="sv-SE"/>
              </w:rPr>
              <w:t>gapSharingFR1</w:t>
            </w:r>
          </w:p>
          <w:p w14:paraId="6FB01612" w14:textId="3299E880" w:rsidR="00394471" w:rsidRPr="00FA0D37" w:rsidRDefault="00394471" w:rsidP="00964CC4">
            <w:pPr>
              <w:pStyle w:val="TAL"/>
              <w:rPr>
                <w:b/>
                <w:i/>
                <w:szCs w:val="22"/>
                <w:lang w:eastAsia="sv-SE"/>
              </w:rPr>
            </w:pPr>
            <w:r w:rsidRPr="00FA0D37">
              <w:rPr>
                <w:szCs w:val="22"/>
                <w:lang w:eastAsia="sv-SE"/>
              </w:rPr>
              <w:t xml:space="preserve">Indicates the measurement gap sharing scheme that applies to the gap set </w:t>
            </w:r>
            <w:r w:rsidR="003F7068" w:rsidRPr="00FA0D37">
              <w:rPr>
                <w:szCs w:val="22"/>
                <w:lang w:eastAsia="sv-SE"/>
              </w:rPr>
              <w:t xml:space="preserve">via </w:t>
            </w:r>
            <w:r w:rsidR="003F7068" w:rsidRPr="00FA0D37">
              <w:rPr>
                <w:i/>
                <w:iCs/>
                <w:szCs w:val="22"/>
                <w:lang w:eastAsia="sv-SE"/>
              </w:rPr>
              <w:t>gapFR1</w:t>
            </w:r>
            <w:r w:rsidRPr="00FA0D37">
              <w:rPr>
                <w:szCs w:val="22"/>
                <w:lang w:eastAsia="sv-SE"/>
              </w:rPr>
              <w:t xml:space="preserve">. In (NG)EN-DC, </w:t>
            </w:r>
            <w:r w:rsidRPr="00FA0D37">
              <w:rPr>
                <w:i/>
                <w:szCs w:val="22"/>
                <w:lang w:eastAsia="sv-SE"/>
              </w:rPr>
              <w:t>gapSharingFR1</w:t>
            </w:r>
            <w:r w:rsidRPr="00FA0D37">
              <w:rPr>
                <w:szCs w:val="22"/>
                <w:lang w:eastAsia="sv-SE"/>
              </w:rPr>
              <w:t xml:space="preserve"> cannot be set up by NR RRC (i.e. only LTE RRC can configure FR1 gap sharing). In NE-DC, </w:t>
            </w:r>
            <w:r w:rsidRPr="00FA0D37">
              <w:rPr>
                <w:i/>
                <w:szCs w:val="22"/>
                <w:lang w:eastAsia="sv-SE"/>
              </w:rPr>
              <w:t>gapSharingFR1</w:t>
            </w:r>
            <w:r w:rsidRPr="00FA0D37">
              <w:rPr>
                <w:szCs w:val="22"/>
                <w:lang w:eastAsia="sv-SE"/>
              </w:rPr>
              <w:t xml:space="preserve"> can only be set up by NR RRC (i.e. LTE RRC cannot configure FR1 gap sharing). In NR-DC, </w:t>
            </w:r>
            <w:r w:rsidRPr="00FA0D37">
              <w:rPr>
                <w:i/>
                <w:szCs w:val="22"/>
                <w:lang w:eastAsia="sv-SE"/>
              </w:rPr>
              <w:t>gapSharingFR1</w:t>
            </w:r>
            <w:r w:rsidRPr="00FA0D37">
              <w:rPr>
                <w:szCs w:val="22"/>
                <w:lang w:eastAsia="sv-SE"/>
              </w:rPr>
              <w:t xml:space="preserve"> can only be set up</w:t>
            </w:r>
            <w:r w:rsidRPr="00FA0D37">
              <w:rPr>
                <w:lang w:eastAsia="sv-SE"/>
              </w:rPr>
              <w:t xml:space="preserve"> in the </w:t>
            </w:r>
            <w:r w:rsidRPr="00FA0D37">
              <w:rPr>
                <w:i/>
                <w:lang w:eastAsia="sv-SE"/>
              </w:rPr>
              <w:t>measConfig</w:t>
            </w:r>
            <w:r w:rsidRPr="00FA0D37">
              <w:rPr>
                <w:lang w:eastAsia="sv-SE"/>
              </w:rPr>
              <w:t xml:space="preserve"> associated with MCG</w:t>
            </w:r>
            <w:r w:rsidRPr="00FA0D37">
              <w:rPr>
                <w:szCs w:val="22"/>
                <w:lang w:eastAsia="sv-SE"/>
              </w:rPr>
              <w:t xml:space="preserve">. </w:t>
            </w:r>
            <w:r w:rsidRPr="00FA0D37">
              <w:rPr>
                <w:i/>
                <w:szCs w:val="22"/>
                <w:lang w:eastAsia="sv-SE"/>
              </w:rPr>
              <w:t xml:space="preserve">gapSharingFR1 </w:t>
            </w:r>
            <w:r w:rsidRPr="00FA0D37">
              <w:rPr>
                <w:szCs w:val="22"/>
                <w:lang w:eastAsia="sv-SE"/>
              </w:rPr>
              <w:t xml:space="preserve">can not be configured together with </w:t>
            </w:r>
            <w:r w:rsidRPr="00FA0D37">
              <w:rPr>
                <w:i/>
                <w:szCs w:val="22"/>
                <w:lang w:eastAsia="sv-SE"/>
              </w:rPr>
              <w:t>gapSharingUE</w:t>
            </w:r>
            <w:r w:rsidRPr="00FA0D37">
              <w:rPr>
                <w:szCs w:val="22"/>
                <w:lang w:eastAsia="sv-SE"/>
              </w:rPr>
              <w:t xml:space="preserve">. For the applicability of the different gap sharing schemes, see TS 38.133 [14]. Value </w:t>
            </w:r>
            <w:r w:rsidRPr="00FA0D37">
              <w:rPr>
                <w:i/>
                <w:lang w:eastAsia="sv-SE"/>
              </w:rPr>
              <w:t>scheme00</w:t>
            </w:r>
            <w:r w:rsidRPr="00FA0D37">
              <w:rPr>
                <w:szCs w:val="22"/>
                <w:lang w:eastAsia="sv-SE"/>
              </w:rPr>
              <w:t xml:space="preserve"> corresponds to scheme "00", value </w:t>
            </w:r>
            <w:r w:rsidRPr="00FA0D37">
              <w:rPr>
                <w:i/>
                <w:lang w:eastAsia="sv-SE"/>
              </w:rPr>
              <w:t>scheme01</w:t>
            </w:r>
            <w:r w:rsidRPr="00FA0D37">
              <w:rPr>
                <w:szCs w:val="22"/>
                <w:lang w:eastAsia="sv-SE"/>
              </w:rPr>
              <w:t xml:space="preserve"> corresponds to scheme "01", and so on.</w:t>
            </w:r>
          </w:p>
        </w:tc>
      </w:tr>
      <w:tr w:rsidR="005C7FF4" w:rsidRPr="00FA0D37"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FA0D37" w:rsidRDefault="00394471" w:rsidP="00964CC4">
            <w:pPr>
              <w:pStyle w:val="TAL"/>
              <w:rPr>
                <w:szCs w:val="22"/>
                <w:lang w:eastAsia="sv-SE"/>
              </w:rPr>
            </w:pPr>
            <w:r w:rsidRPr="00FA0D37">
              <w:rPr>
                <w:b/>
                <w:i/>
                <w:szCs w:val="22"/>
                <w:lang w:eastAsia="sv-SE"/>
              </w:rPr>
              <w:t>gapSharingFR2</w:t>
            </w:r>
          </w:p>
          <w:p w14:paraId="296063B2" w14:textId="2A5C67A8" w:rsidR="00394471" w:rsidRPr="00FA0D37" w:rsidRDefault="00394471" w:rsidP="00964CC4">
            <w:pPr>
              <w:pStyle w:val="TAL"/>
              <w:rPr>
                <w:szCs w:val="22"/>
                <w:lang w:eastAsia="sv-SE"/>
              </w:rPr>
            </w:pPr>
            <w:r w:rsidRPr="00FA0D37">
              <w:rPr>
                <w:szCs w:val="22"/>
                <w:lang w:eastAsia="sv-SE"/>
              </w:rPr>
              <w:t xml:space="preserve">Indicates the measurement gap sharing scheme that applies to the gap set </w:t>
            </w:r>
            <w:r w:rsidR="003F7068" w:rsidRPr="00FA0D37">
              <w:rPr>
                <w:szCs w:val="22"/>
                <w:lang w:eastAsia="sv-SE"/>
              </w:rPr>
              <w:t xml:space="preserve">via </w:t>
            </w:r>
            <w:r w:rsidR="003F7068" w:rsidRPr="00FA0D37">
              <w:rPr>
                <w:i/>
                <w:iCs/>
                <w:szCs w:val="22"/>
                <w:lang w:eastAsia="sv-SE"/>
              </w:rPr>
              <w:t>gapFR2</w:t>
            </w:r>
            <w:r w:rsidRPr="00FA0D37">
              <w:rPr>
                <w:szCs w:val="22"/>
                <w:lang w:eastAsia="sv-SE"/>
              </w:rPr>
              <w:t xml:space="preserve">. In (NG)EN-DC or NE-DC, </w:t>
            </w:r>
            <w:r w:rsidRPr="00FA0D37">
              <w:rPr>
                <w:i/>
                <w:szCs w:val="22"/>
                <w:lang w:eastAsia="sv-SE"/>
              </w:rPr>
              <w:t>gapSharingFR2</w:t>
            </w:r>
            <w:r w:rsidRPr="00FA0D37">
              <w:rPr>
                <w:szCs w:val="22"/>
                <w:lang w:eastAsia="sv-SE"/>
              </w:rPr>
              <w:t xml:space="preserve"> can only be set up by NR RRC (i.e. LTE RRC cannot configure FR2 gap sharing). In NR-DC, </w:t>
            </w:r>
            <w:r w:rsidRPr="00FA0D37">
              <w:rPr>
                <w:i/>
                <w:szCs w:val="22"/>
                <w:lang w:eastAsia="sv-SE"/>
              </w:rPr>
              <w:t>gapSharingFR2</w:t>
            </w:r>
            <w:r w:rsidRPr="00FA0D37">
              <w:rPr>
                <w:szCs w:val="22"/>
                <w:lang w:eastAsia="sv-SE"/>
              </w:rPr>
              <w:t xml:space="preserve"> can only be set up by MCG </w:t>
            </w:r>
            <w:r w:rsidRPr="00FA0D37">
              <w:rPr>
                <w:lang w:eastAsia="sv-SE"/>
              </w:rPr>
              <w:t xml:space="preserve">in the </w:t>
            </w:r>
            <w:r w:rsidRPr="00FA0D37">
              <w:rPr>
                <w:i/>
                <w:lang w:eastAsia="sv-SE"/>
              </w:rPr>
              <w:t>measConfig</w:t>
            </w:r>
            <w:r w:rsidRPr="00FA0D37">
              <w:rPr>
                <w:lang w:eastAsia="sv-SE"/>
              </w:rPr>
              <w:t xml:space="preserve"> associated with MCG</w:t>
            </w:r>
            <w:r w:rsidRPr="00FA0D37">
              <w:rPr>
                <w:szCs w:val="22"/>
                <w:lang w:eastAsia="sv-SE"/>
              </w:rPr>
              <w:t xml:space="preserve">. </w:t>
            </w:r>
            <w:r w:rsidRPr="00FA0D37">
              <w:rPr>
                <w:i/>
                <w:szCs w:val="22"/>
                <w:lang w:eastAsia="sv-SE"/>
              </w:rPr>
              <w:t>gapSharingFR2</w:t>
            </w:r>
            <w:r w:rsidRPr="00FA0D37">
              <w:rPr>
                <w:szCs w:val="22"/>
                <w:lang w:eastAsia="sv-SE"/>
              </w:rPr>
              <w:t xml:space="preserve"> cannot be configured together with </w:t>
            </w:r>
            <w:r w:rsidRPr="00FA0D37">
              <w:rPr>
                <w:i/>
                <w:szCs w:val="22"/>
                <w:lang w:eastAsia="sv-SE"/>
              </w:rPr>
              <w:t>gapSharingUE</w:t>
            </w:r>
            <w:r w:rsidRPr="00FA0D37">
              <w:rPr>
                <w:szCs w:val="22"/>
                <w:lang w:eastAsia="sv-SE"/>
              </w:rPr>
              <w:t xml:space="preserve">. For applicability of the different gap sharing schemes, see TS 38.133 [14]. Value </w:t>
            </w:r>
            <w:r w:rsidRPr="00FA0D37">
              <w:rPr>
                <w:i/>
                <w:lang w:eastAsia="sv-SE"/>
              </w:rPr>
              <w:t>scheme00</w:t>
            </w:r>
            <w:r w:rsidRPr="00FA0D37">
              <w:rPr>
                <w:szCs w:val="22"/>
                <w:lang w:eastAsia="sv-SE"/>
              </w:rPr>
              <w:t xml:space="preserve"> corresponds to scheme "00", value </w:t>
            </w:r>
            <w:r w:rsidRPr="00FA0D37">
              <w:rPr>
                <w:i/>
                <w:lang w:eastAsia="sv-SE"/>
              </w:rPr>
              <w:t>scheme01</w:t>
            </w:r>
            <w:r w:rsidRPr="00FA0D37">
              <w:rPr>
                <w:szCs w:val="22"/>
                <w:lang w:eastAsia="sv-SE"/>
              </w:rPr>
              <w:t xml:space="preserve"> corresponds to scheme "01", and so on.</w:t>
            </w:r>
          </w:p>
        </w:tc>
      </w:tr>
      <w:tr w:rsidR="00394471" w:rsidRPr="00FA0D37"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FA0D37" w:rsidRDefault="00394471" w:rsidP="00964CC4">
            <w:pPr>
              <w:pStyle w:val="TAL"/>
              <w:rPr>
                <w:szCs w:val="22"/>
                <w:lang w:eastAsia="sv-SE"/>
              </w:rPr>
            </w:pPr>
            <w:r w:rsidRPr="00FA0D37">
              <w:rPr>
                <w:b/>
                <w:i/>
                <w:szCs w:val="22"/>
                <w:lang w:eastAsia="sv-SE"/>
              </w:rPr>
              <w:t>gapSharingUE</w:t>
            </w:r>
          </w:p>
          <w:p w14:paraId="5760314E" w14:textId="3601711F" w:rsidR="00394471" w:rsidRPr="00FA0D37" w:rsidRDefault="00394471" w:rsidP="00964CC4">
            <w:pPr>
              <w:pStyle w:val="TAL"/>
              <w:rPr>
                <w:b/>
                <w:i/>
                <w:szCs w:val="22"/>
                <w:lang w:eastAsia="sv-SE"/>
              </w:rPr>
            </w:pPr>
            <w:r w:rsidRPr="00FA0D37">
              <w:rPr>
                <w:szCs w:val="22"/>
                <w:lang w:eastAsia="sv-SE"/>
              </w:rPr>
              <w:t xml:space="preserve">Indicates the measurement gap sharing scheme that applies to the gap set </w:t>
            </w:r>
            <w:r w:rsidR="003F7068" w:rsidRPr="00FA0D37">
              <w:rPr>
                <w:szCs w:val="22"/>
                <w:lang w:eastAsia="sv-SE"/>
              </w:rPr>
              <w:t xml:space="preserve">via </w:t>
            </w:r>
            <w:r w:rsidR="003F7068" w:rsidRPr="00FA0D37">
              <w:rPr>
                <w:i/>
                <w:iCs/>
                <w:szCs w:val="22"/>
                <w:lang w:eastAsia="sv-SE"/>
              </w:rPr>
              <w:t>gapUE</w:t>
            </w:r>
            <w:r w:rsidRPr="00FA0D37">
              <w:rPr>
                <w:szCs w:val="22"/>
                <w:lang w:eastAsia="sv-SE"/>
              </w:rPr>
              <w:t xml:space="preserve">. In (NG)EN-DC, </w:t>
            </w:r>
            <w:r w:rsidRPr="00FA0D37">
              <w:rPr>
                <w:i/>
                <w:szCs w:val="22"/>
                <w:lang w:eastAsia="sv-SE"/>
              </w:rPr>
              <w:t>gapSharingUE</w:t>
            </w:r>
            <w:r w:rsidRPr="00FA0D37">
              <w:rPr>
                <w:szCs w:val="22"/>
                <w:lang w:eastAsia="sv-SE"/>
              </w:rPr>
              <w:t xml:space="preserve"> cannot be set up by NR RRC (i.e. only LTE RRC can configure per UE gap sharing). In NE-DC, </w:t>
            </w:r>
            <w:r w:rsidRPr="00FA0D37">
              <w:rPr>
                <w:i/>
                <w:szCs w:val="22"/>
                <w:lang w:eastAsia="sv-SE"/>
              </w:rPr>
              <w:t>gapSharingUE</w:t>
            </w:r>
            <w:r w:rsidRPr="00FA0D37">
              <w:rPr>
                <w:szCs w:val="22"/>
                <w:lang w:eastAsia="sv-SE"/>
              </w:rPr>
              <w:t xml:space="preserve"> can only be set up by NR RRC (i.e. LTE RRC cannot configure per UE gap sharing). In NR-DC, </w:t>
            </w:r>
            <w:r w:rsidRPr="00FA0D37">
              <w:rPr>
                <w:i/>
                <w:szCs w:val="22"/>
                <w:lang w:eastAsia="sv-SE"/>
              </w:rPr>
              <w:t>gapSharingUE</w:t>
            </w:r>
            <w:r w:rsidRPr="00FA0D37">
              <w:rPr>
                <w:szCs w:val="22"/>
                <w:lang w:eastAsia="sv-SE"/>
              </w:rPr>
              <w:t xml:space="preserve"> can only be set up </w:t>
            </w:r>
            <w:r w:rsidRPr="00FA0D37">
              <w:rPr>
                <w:lang w:eastAsia="sv-SE"/>
              </w:rPr>
              <w:t xml:space="preserve">in the </w:t>
            </w:r>
            <w:r w:rsidRPr="00FA0D37">
              <w:rPr>
                <w:i/>
                <w:lang w:eastAsia="sv-SE"/>
              </w:rPr>
              <w:t>measConfig</w:t>
            </w:r>
            <w:r w:rsidRPr="00FA0D37">
              <w:rPr>
                <w:lang w:eastAsia="sv-SE"/>
              </w:rPr>
              <w:t xml:space="preserve"> associated with MCG</w:t>
            </w:r>
            <w:r w:rsidRPr="00FA0D37">
              <w:rPr>
                <w:szCs w:val="22"/>
                <w:lang w:eastAsia="sv-SE"/>
              </w:rPr>
              <w:t xml:space="preserve">. If </w:t>
            </w:r>
            <w:r w:rsidRPr="00FA0D37">
              <w:rPr>
                <w:i/>
                <w:szCs w:val="22"/>
                <w:lang w:eastAsia="sv-SE"/>
              </w:rPr>
              <w:t>gapSharingUE</w:t>
            </w:r>
            <w:r w:rsidRPr="00FA0D37">
              <w:rPr>
                <w:szCs w:val="22"/>
                <w:lang w:eastAsia="sv-SE"/>
              </w:rPr>
              <w:t xml:space="preserve"> is configured, then neither </w:t>
            </w:r>
            <w:r w:rsidRPr="00FA0D37">
              <w:rPr>
                <w:i/>
                <w:szCs w:val="22"/>
                <w:lang w:eastAsia="sv-SE"/>
              </w:rPr>
              <w:t>gapSharingFR1</w:t>
            </w:r>
            <w:r w:rsidRPr="00FA0D37">
              <w:rPr>
                <w:szCs w:val="22"/>
                <w:lang w:eastAsia="sv-SE"/>
              </w:rPr>
              <w:t xml:space="preserve"> nor </w:t>
            </w:r>
            <w:r w:rsidRPr="00FA0D37">
              <w:rPr>
                <w:i/>
                <w:szCs w:val="22"/>
                <w:lang w:eastAsia="sv-SE"/>
              </w:rPr>
              <w:t>gapSharingFR2</w:t>
            </w:r>
            <w:r w:rsidRPr="00FA0D37">
              <w:rPr>
                <w:szCs w:val="22"/>
                <w:lang w:eastAsia="sv-SE"/>
              </w:rPr>
              <w:t xml:space="preserve"> can be configured. For the applicability of the different gap sharing schemes, see TS 38.133 [14]. Value </w:t>
            </w:r>
            <w:r w:rsidRPr="00FA0D37">
              <w:rPr>
                <w:i/>
                <w:lang w:eastAsia="sv-SE"/>
              </w:rPr>
              <w:t>scheme00</w:t>
            </w:r>
            <w:r w:rsidRPr="00FA0D37">
              <w:rPr>
                <w:szCs w:val="22"/>
                <w:lang w:eastAsia="sv-SE"/>
              </w:rPr>
              <w:t xml:space="preserve"> corresponds to scheme "00", value </w:t>
            </w:r>
            <w:r w:rsidRPr="00FA0D37">
              <w:rPr>
                <w:i/>
                <w:lang w:eastAsia="sv-SE"/>
              </w:rPr>
              <w:t>scheme01</w:t>
            </w:r>
            <w:r w:rsidRPr="00FA0D37">
              <w:rPr>
                <w:szCs w:val="22"/>
                <w:lang w:eastAsia="sv-SE"/>
              </w:rPr>
              <w:t xml:space="preserve"> corresponds to scheme "01", and so on.</w:t>
            </w:r>
          </w:p>
        </w:tc>
      </w:tr>
    </w:tbl>
    <w:p w14:paraId="47C52D25" w14:textId="77777777" w:rsidR="00394471" w:rsidRPr="00FA0D37" w:rsidRDefault="00394471" w:rsidP="00394471"/>
    <w:p w14:paraId="7261C4F2" w14:textId="77777777" w:rsidR="00394471" w:rsidRPr="00FA0D37" w:rsidRDefault="00394471" w:rsidP="00394471">
      <w:pPr>
        <w:pStyle w:val="4"/>
        <w:rPr>
          <w:i/>
        </w:rPr>
      </w:pPr>
      <w:bookmarkStart w:id="1079" w:name="_Toc60777255"/>
      <w:bookmarkStart w:id="1080" w:name="_Toc146781315"/>
      <w:r w:rsidRPr="00FA0D37">
        <w:t>–</w:t>
      </w:r>
      <w:r w:rsidRPr="00FA0D37">
        <w:tab/>
      </w:r>
      <w:r w:rsidRPr="00FA0D37">
        <w:rPr>
          <w:i/>
        </w:rPr>
        <w:t>MeasId</w:t>
      </w:r>
      <w:bookmarkEnd w:id="1079"/>
      <w:bookmarkEnd w:id="1080"/>
    </w:p>
    <w:p w14:paraId="2BCD7652" w14:textId="77777777" w:rsidR="00394471" w:rsidRPr="00FA0D37" w:rsidRDefault="00394471" w:rsidP="00394471">
      <w:r w:rsidRPr="00FA0D37">
        <w:t xml:space="preserve">The IE </w:t>
      </w:r>
      <w:r w:rsidRPr="00FA0D37">
        <w:rPr>
          <w:i/>
        </w:rPr>
        <w:t>MeasId</w:t>
      </w:r>
      <w:r w:rsidRPr="00FA0D37">
        <w:t xml:space="preserve"> is used to identify a measurement configuration, i.e., linking of a measurement object and a reporting configuration.</w:t>
      </w:r>
    </w:p>
    <w:p w14:paraId="0440EBC1" w14:textId="77777777" w:rsidR="00394471" w:rsidRPr="00FA0D37" w:rsidRDefault="00394471" w:rsidP="00394471">
      <w:pPr>
        <w:pStyle w:val="TH"/>
      </w:pPr>
      <w:r w:rsidRPr="00FA0D37">
        <w:rPr>
          <w:i/>
        </w:rPr>
        <w:t>MeasId</w:t>
      </w:r>
      <w:r w:rsidRPr="00FA0D37">
        <w:t xml:space="preserve"> information element</w:t>
      </w:r>
    </w:p>
    <w:p w14:paraId="49A0F4EC" w14:textId="77777777" w:rsidR="00394471" w:rsidRPr="00FA0D37" w:rsidRDefault="00394471" w:rsidP="00FA0D37">
      <w:pPr>
        <w:pStyle w:val="PL"/>
        <w:rPr>
          <w:color w:val="808080"/>
        </w:rPr>
      </w:pPr>
      <w:r w:rsidRPr="00FA0D37">
        <w:rPr>
          <w:color w:val="808080"/>
        </w:rPr>
        <w:t>-- ASN1START</w:t>
      </w:r>
    </w:p>
    <w:p w14:paraId="3EE0E936" w14:textId="77777777" w:rsidR="00394471" w:rsidRPr="00FA0D37" w:rsidRDefault="00394471" w:rsidP="00FA0D37">
      <w:pPr>
        <w:pStyle w:val="PL"/>
        <w:rPr>
          <w:color w:val="808080"/>
        </w:rPr>
      </w:pPr>
      <w:r w:rsidRPr="00FA0D37">
        <w:rPr>
          <w:color w:val="808080"/>
        </w:rPr>
        <w:t>-- TAG-MEASID-START</w:t>
      </w:r>
    </w:p>
    <w:p w14:paraId="555F9089" w14:textId="77777777" w:rsidR="00394471" w:rsidRPr="00FA0D37" w:rsidRDefault="00394471" w:rsidP="00FA0D37">
      <w:pPr>
        <w:pStyle w:val="PL"/>
      </w:pPr>
    </w:p>
    <w:p w14:paraId="4E38C264" w14:textId="77777777" w:rsidR="00394471" w:rsidRPr="00FA0D37" w:rsidRDefault="00394471" w:rsidP="00FA0D37">
      <w:pPr>
        <w:pStyle w:val="PL"/>
      </w:pPr>
      <w:r w:rsidRPr="00FA0D37">
        <w:t xml:space="preserve">MeasId ::=                          </w:t>
      </w:r>
      <w:r w:rsidRPr="00FA0D37">
        <w:rPr>
          <w:color w:val="993366"/>
        </w:rPr>
        <w:t>INTEGER</w:t>
      </w:r>
      <w:r w:rsidRPr="00FA0D37">
        <w:t xml:space="preserve"> (1..maxNrofMeasId)</w:t>
      </w:r>
    </w:p>
    <w:p w14:paraId="7286625F" w14:textId="77777777" w:rsidR="00394471" w:rsidRPr="00FA0D37" w:rsidRDefault="00394471" w:rsidP="00FA0D37">
      <w:pPr>
        <w:pStyle w:val="PL"/>
      </w:pPr>
    </w:p>
    <w:p w14:paraId="2878D3DE" w14:textId="77777777" w:rsidR="00394471" w:rsidRPr="00FA0D37" w:rsidRDefault="00394471" w:rsidP="00FA0D37">
      <w:pPr>
        <w:pStyle w:val="PL"/>
        <w:rPr>
          <w:color w:val="808080"/>
        </w:rPr>
      </w:pPr>
      <w:r w:rsidRPr="00FA0D37">
        <w:rPr>
          <w:color w:val="808080"/>
        </w:rPr>
        <w:t>-- TAG-MEASID-STOP</w:t>
      </w:r>
    </w:p>
    <w:p w14:paraId="3E64C124" w14:textId="77777777" w:rsidR="00394471" w:rsidRPr="00FA0D37" w:rsidRDefault="00394471" w:rsidP="00FA0D37">
      <w:pPr>
        <w:pStyle w:val="PL"/>
        <w:rPr>
          <w:color w:val="808080"/>
        </w:rPr>
      </w:pPr>
      <w:r w:rsidRPr="00FA0D37">
        <w:rPr>
          <w:color w:val="808080"/>
        </w:rPr>
        <w:t>-- ASN1STOP</w:t>
      </w:r>
    </w:p>
    <w:p w14:paraId="3A526595" w14:textId="77777777" w:rsidR="00394471" w:rsidRPr="00FA0D37" w:rsidRDefault="00394471" w:rsidP="00394471"/>
    <w:p w14:paraId="060FE75D" w14:textId="77777777" w:rsidR="00394471" w:rsidRPr="00FA0D37" w:rsidRDefault="00394471" w:rsidP="00394471">
      <w:pPr>
        <w:pStyle w:val="4"/>
      </w:pPr>
      <w:bookmarkStart w:id="1081" w:name="_Toc60777256"/>
      <w:bookmarkStart w:id="1082" w:name="_Toc146781316"/>
      <w:r w:rsidRPr="00FA0D37">
        <w:t>–</w:t>
      </w:r>
      <w:r w:rsidRPr="00FA0D37">
        <w:tab/>
      </w:r>
      <w:r w:rsidRPr="00FA0D37">
        <w:rPr>
          <w:i/>
          <w:iCs/>
        </w:rPr>
        <w:t>MeasIdleConfig</w:t>
      </w:r>
      <w:bookmarkEnd w:id="1081"/>
      <w:bookmarkEnd w:id="1082"/>
    </w:p>
    <w:p w14:paraId="2B2B9348" w14:textId="77777777" w:rsidR="00394471" w:rsidRPr="00FA0D37" w:rsidRDefault="00394471" w:rsidP="00394471">
      <w:r w:rsidRPr="00FA0D37">
        <w:t xml:space="preserve">The IE </w:t>
      </w:r>
      <w:r w:rsidRPr="00FA0D37">
        <w:rPr>
          <w:i/>
          <w:noProof/>
        </w:rPr>
        <w:t>MeasIdleConfig</w:t>
      </w:r>
      <w:r w:rsidRPr="00FA0D37">
        <w:t xml:space="preserve"> is used to convey information to UE about measurements requested to be done while in RRC_IDLE or RRC_INACTIVE.</w:t>
      </w:r>
    </w:p>
    <w:p w14:paraId="41BE0959" w14:textId="77777777" w:rsidR="00394471" w:rsidRPr="00FA0D37" w:rsidRDefault="00394471" w:rsidP="00394471">
      <w:pPr>
        <w:pStyle w:val="TH"/>
        <w:rPr>
          <w:b w:val="0"/>
        </w:rPr>
      </w:pPr>
      <w:r w:rsidRPr="00FA0D37">
        <w:rPr>
          <w:bCs/>
          <w:i/>
          <w:iCs/>
        </w:rPr>
        <w:t xml:space="preserve">MeasIdleConfig </w:t>
      </w:r>
      <w:r w:rsidRPr="00FA0D37">
        <w:t>information element</w:t>
      </w:r>
    </w:p>
    <w:p w14:paraId="32796D28" w14:textId="77777777" w:rsidR="00394471" w:rsidRPr="00FA0D37" w:rsidRDefault="00394471" w:rsidP="00FA0D37">
      <w:pPr>
        <w:pStyle w:val="PL"/>
        <w:rPr>
          <w:color w:val="808080"/>
        </w:rPr>
      </w:pPr>
      <w:r w:rsidRPr="00FA0D37">
        <w:rPr>
          <w:color w:val="808080"/>
        </w:rPr>
        <w:t>-- ASN1START</w:t>
      </w:r>
    </w:p>
    <w:p w14:paraId="775D587E" w14:textId="77777777" w:rsidR="00394471" w:rsidRPr="00FA0D37" w:rsidRDefault="00394471" w:rsidP="00FA0D37">
      <w:pPr>
        <w:pStyle w:val="PL"/>
        <w:rPr>
          <w:color w:val="808080"/>
        </w:rPr>
      </w:pPr>
      <w:r w:rsidRPr="00FA0D37">
        <w:rPr>
          <w:color w:val="808080"/>
        </w:rPr>
        <w:t>-- TAG-MEASIDLECONFIG-START</w:t>
      </w:r>
    </w:p>
    <w:p w14:paraId="5318C61E" w14:textId="77777777" w:rsidR="00394471" w:rsidRPr="00FA0D37" w:rsidRDefault="00394471" w:rsidP="00FA0D37">
      <w:pPr>
        <w:pStyle w:val="PL"/>
      </w:pPr>
    </w:p>
    <w:p w14:paraId="78755FE9" w14:textId="77777777" w:rsidR="00394471" w:rsidRPr="00FA0D37" w:rsidRDefault="00394471" w:rsidP="00FA0D37">
      <w:pPr>
        <w:pStyle w:val="PL"/>
      </w:pPr>
      <w:r w:rsidRPr="00FA0D37">
        <w:t xml:space="preserve">MeasIdleConfigSIB-r16 ::= </w:t>
      </w:r>
      <w:r w:rsidRPr="00FA0D37">
        <w:rPr>
          <w:color w:val="993366"/>
        </w:rPr>
        <w:t>SEQUENCE</w:t>
      </w:r>
      <w:r w:rsidRPr="00FA0D37">
        <w:t xml:space="preserve"> {</w:t>
      </w:r>
    </w:p>
    <w:p w14:paraId="49ED66E1" w14:textId="77777777" w:rsidR="00394471" w:rsidRPr="00FA0D37" w:rsidRDefault="00394471" w:rsidP="00FA0D37">
      <w:pPr>
        <w:pStyle w:val="PL"/>
        <w:rPr>
          <w:color w:val="808080"/>
        </w:rPr>
      </w:pPr>
      <w:r w:rsidRPr="00FA0D37">
        <w:t xml:space="preserve">    measIdleCarrierListNR-r16       </w:t>
      </w:r>
      <w:r w:rsidRPr="00FA0D37">
        <w:rPr>
          <w:color w:val="993366"/>
        </w:rPr>
        <w:t>SEQUENCE</w:t>
      </w:r>
      <w:r w:rsidRPr="00FA0D37">
        <w:t xml:space="preserve"> (</w:t>
      </w:r>
      <w:r w:rsidRPr="00FA0D37">
        <w:rPr>
          <w:color w:val="993366"/>
        </w:rPr>
        <w:t>SIZE</w:t>
      </w:r>
      <w:r w:rsidRPr="00FA0D37">
        <w:t xml:space="preserve"> (1..maxFreqIdle-r16))</w:t>
      </w:r>
      <w:r w:rsidRPr="00FA0D37">
        <w:rPr>
          <w:color w:val="993366"/>
        </w:rPr>
        <w:t xml:space="preserve"> OF</w:t>
      </w:r>
      <w:r w:rsidRPr="00FA0D37">
        <w:t xml:space="preserve"> MeasIdleCarrierNR-r16          </w:t>
      </w:r>
      <w:r w:rsidRPr="00FA0D37">
        <w:rPr>
          <w:color w:val="993366"/>
        </w:rPr>
        <w:t>OPTIONAL</w:t>
      </w:r>
      <w:r w:rsidRPr="00FA0D37">
        <w:t xml:space="preserve">,     </w:t>
      </w:r>
      <w:r w:rsidRPr="00FA0D37">
        <w:rPr>
          <w:color w:val="808080"/>
        </w:rPr>
        <w:t>-- Need S</w:t>
      </w:r>
    </w:p>
    <w:p w14:paraId="33909BAF" w14:textId="77777777" w:rsidR="00394471" w:rsidRPr="00FA0D37" w:rsidRDefault="00394471" w:rsidP="00FA0D37">
      <w:pPr>
        <w:pStyle w:val="PL"/>
        <w:rPr>
          <w:color w:val="808080"/>
        </w:rPr>
      </w:pPr>
      <w:r w:rsidRPr="00FA0D37">
        <w:t xml:space="preserve">    measIdleCarrierListEUTRA-r16    </w:t>
      </w:r>
      <w:r w:rsidRPr="00FA0D37">
        <w:rPr>
          <w:color w:val="993366"/>
        </w:rPr>
        <w:t>SEQUENCE</w:t>
      </w:r>
      <w:r w:rsidRPr="00FA0D37">
        <w:t xml:space="preserve"> (</w:t>
      </w:r>
      <w:r w:rsidRPr="00FA0D37">
        <w:rPr>
          <w:color w:val="993366"/>
        </w:rPr>
        <w:t>SIZE</w:t>
      </w:r>
      <w:r w:rsidRPr="00FA0D37">
        <w:t xml:space="preserve"> (1..maxFreqIdle-r16))</w:t>
      </w:r>
      <w:r w:rsidRPr="00FA0D37">
        <w:rPr>
          <w:color w:val="993366"/>
        </w:rPr>
        <w:t xml:space="preserve"> OF</w:t>
      </w:r>
      <w:r w:rsidRPr="00FA0D37">
        <w:t xml:space="preserve"> MeasIdleCarrierEUTRA-r16       </w:t>
      </w:r>
      <w:r w:rsidRPr="00FA0D37">
        <w:rPr>
          <w:color w:val="993366"/>
        </w:rPr>
        <w:t>OPTIONAL</w:t>
      </w:r>
      <w:r w:rsidRPr="00FA0D37">
        <w:t xml:space="preserve">,     </w:t>
      </w:r>
      <w:r w:rsidRPr="00FA0D37">
        <w:rPr>
          <w:color w:val="808080"/>
        </w:rPr>
        <w:t>-- Need S</w:t>
      </w:r>
    </w:p>
    <w:p w14:paraId="4DB14929" w14:textId="77777777" w:rsidR="00394471" w:rsidRPr="00FA0D37" w:rsidRDefault="00394471" w:rsidP="00FA0D37">
      <w:pPr>
        <w:pStyle w:val="PL"/>
      </w:pPr>
      <w:r w:rsidRPr="00FA0D37">
        <w:t xml:space="preserve">    ...</w:t>
      </w:r>
    </w:p>
    <w:p w14:paraId="255099C4" w14:textId="77777777" w:rsidR="00394471" w:rsidRPr="00FA0D37" w:rsidRDefault="00394471" w:rsidP="00FA0D37">
      <w:pPr>
        <w:pStyle w:val="PL"/>
      </w:pPr>
      <w:r w:rsidRPr="00FA0D37">
        <w:lastRenderedPageBreak/>
        <w:t>}</w:t>
      </w:r>
    </w:p>
    <w:p w14:paraId="2027AEF3" w14:textId="77777777" w:rsidR="00394471" w:rsidRPr="00FA0D37" w:rsidRDefault="00394471" w:rsidP="00FA0D37">
      <w:pPr>
        <w:pStyle w:val="PL"/>
      </w:pPr>
    </w:p>
    <w:p w14:paraId="2D6F6357" w14:textId="77777777" w:rsidR="00394471" w:rsidRPr="00FA0D37" w:rsidRDefault="00394471" w:rsidP="00FA0D37">
      <w:pPr>
        <w:pStyle w:val="PL"/>
      </w:pPr>
      <w:r w:rsidRPr="00FA0D37">
        <w:t xml:space="preserve">MeasIdleConfigDedicated-r16 ::= </w:t>
      </w:r>
      <w:r w:rsidRPr="00FA0D37">
        <w:rPr>
          <w:color w:val="993366"/>
        </w:rPr>
        <w:t>SEQUENCE</w:t>
      </w:r>
      <w:r w:rsidRPr="00FA0D37">
        <w:t xml:space="preserve"> {</w:t>
      </w:r>
    </w:p>
    <w:p w14:paraId="2542C9E3" w14:textId="77777777" w:rsidR="00394471" w:rsidRPr="00FA0D37" w:rsidRDefault="00394471" w:rsidP="00FA0D37">
      <w:pPr>
        <w:pStyle w:val="PL"/>
        <w:rPr>
          <w:color w:val="808080"/>
        </w:rPr>
      </w:pPr>
      <w:r w:rsidRPr="00FA0D37">
        <w:t xml:space="preserve">    measIdleCarrierListNR-r16       </w:t>
      </w:r>
      <w:r w:rsidRPr="00FA0D37">
        <w:rPr>
          <w:color w:val="993366"/>
        </w:rPr>
        <w:t>SEQUENCE</w:t>
      </w:r>
      <w:r w:rsidRPr="00FA0D37">
        <w:t xml:space="preserve"> (</w:t>
      </w:r>
      <w:r w:rsidRPr="00FA0D37">
        <w:rPr>
          <w:color w:val="993366"/>
        </w:rPr>
        <w:t>SIZE</w:t>
      </w:r>
      <w:r w:rsidRPr="00FA0D37">
        <w:t xml:space="preserve"> (1..maxFreqIdle-r16))</w:t>
      </w:r>
      <w:r w:rsidRPr="00FA0D37">
        <w:rPr>
          <w:color w:val="993366"/>
        </w:rPr>
        <w:t xml:space="preserve"> OF</w:t>
      </w:r>
      <w:r w:rsidRPr="00FA0D37">
        <w:t xml:space="preserve"> MeasIdleCarrierNR-r16          </w:t>
      </w:r>
      <w:r w:rsidRPr="00FA0D37">
        <w:rPr>
          <w:color w:val="993366"/>
        </w:rPr>
        <w:t>OPTIONAL</w:t>
      </w:r>
      <w:r w:rsidRPr="00FA0D37">
        <w:t xml:space="preserve">,     </w:t>
      </w:r>
      <w:r w:rsidRPr="00FA0D37">
        <w:rPr>
          <w:color w:val="808080"/>
        </w:rPr>
        <w:t>-- Need N</w:t>
      </w:r>
    </w:p>
    <w:p w14:paraId="0E47D5AC" w14:textId="77777777" w:rsidR="00394471" w:rsidRPr="00FA0D37" w:rsidRDefault="00394471" w:rsidP="00FA0D37">
      <w:pPr>
        <w:pStyle w:val="PL"/>
        <w:rPr>
          <w:color w:val="808080"/>
        </w:rPr>
      </w:pPr>
      <w:r w:rsidRPr="00FA0D37">
        <w:t xml:space="preserve">    measIdleCarrierListEUTRA-r16    </w:t>
      </w:r>
      <w:r w:rsidRPr="00FA0D37">
        <w:rPr>
          <w:color w:val="993366"/>
        </w:rPr>
        <w:t>SEQUENCE</w:t>
      </w:r>
      <w:r w:rsidRPr="00FA0D37">
        <w:t xml:space="preserve"> (</w:t>
      </w:r>
      <w:r w:rsidRPr="00FA0D37">
        <w:rPr>
          <w:color w:val="993366"/>
        </w:rPr>
        <w:t>SIZE</w:t>
      </w:r>
      <w:r w:rsidRPr="00FA0D37">
        <w:t xml:space="preserve"> (1..maxFreqIdle-r16))</w:t>
      </w:r>
      <w:r w:rsidRPr="00FA0D37">
        <w:rPr>
          <w:color w:val="993366"/>
        </w:rPr>
        <w:t xml:space="preserve"> OF</w:t>
      </w:r>
      <w:r w:rsidRPr="00FA0D37">
        <w:t xml:space="preserve"> MeasIdleCarrierEUTRA-r16       </w:t>
      </w:r>
      <w:r w:rsidRPr="00FA0D37">
        <w:rPr>
          <w:color w:val="993366"/>
        </w:rPr>
        <w:t>OPTIONAL</w:t>
      </w:r>
      <w:r w:rsidRPr="00FA0D37">
        <w:t xml:space="preserve">,     </w:t>
      </w:r>
      <w:r w:rsidRPr="00FA0D37">
        <w:rPr>
          <w:color w:val="808080"/>
        </w:rPr>
        <w:t>-- Need N</w:t>
      </w:r>
    </w:p>
    <w:p w14:paraId="74DCD08B" w14:textId="77777777" w:rsidR="00394471" w:rsidRPr="00FA0D37" w:rsidRDefault="00394471" w:rsidP="00FA0D37">
      <w:pPr>
        <w:pStyle w:val="PL"/>
      </w:pPr>
      <w:r w:rsidRPr="00FA0D37">
        <w:t xml:space="preserve">    measIdleDuration-r16            </w:t>
      </w:r>
      <w:r w:rsidRPr="00FA0D37">
        <w:rPr>
          <w:color w:val="993366"/>
        </w:rPr>
        <w:t>ENUMERATED</w:t>
      </w:r>
      <w:r w:rsidRPr="00FA0D37">
        <w:t>{sec10, sec30, sec60, sec120, sec180, sec240, sec300, spare},</w:t>
      </w:r>
    </w:p>
    <w:p w14:paraId="56395304" w14:textId="77777777" w:rsidR="00394471" w:rsidRPr="00FA0D37" w:rsidRDefault="00394471" w:rsidP="00FA0D37">
      <w:pPr>
        <w:pStyle w:val="PL"/>
        <w:rPr>
          <w:color w:val="808080"/>
        </w:rPr>
      </w:pPr>
      <w:r w:rsidRPr="00FA0D37">
        <w:t xml:space="preserve">    validityAreaList-r16            ValidityAreaList-r16                                                   </w:t>
      </w:r>
      <w:r w:rsidRPr="00FA0D37">
        <w:rPr>
          <w:color w:val="993366"/>
        </w:rPr>
        <w:t>OPTIONAL</w:t>
      </w:r>
      <w:r w:rsidRPr="00FA0D37">
        <w:t xml:space="preserve">,     </w:t>
      </w:r>
      <w:r w:rsidRPr="00FA0D37">
        <w:rPr>
          <w:color w:val="808080"/>
        </w:rPr>
        <w:t>-- Need N</w:t>
      </w:r>
    </w:p>
    <w:p w14:paraId="7032974B" w14:textId="77777777" w:rsidR="00394471" w:rsidRPr="00FA0D37" w:rsidRDefault="00394471" w:rsidP="00FA0D37">
      <w:pPr>
        <w:pStyle w:val="PL"/>
      </w:pPr>
      <w:r w:rsidRPr="00FA0D37">
        <w:t xml:space="preserve">    ...</w:t>
      </w:r>
    </w:p>
    <w:p w14:paraId="5FE30617" w14:textId="77777777" w:rsidR="00394471" w:rsidRPr="00FA0D37" w:rsidRDefault="00394471" w:rsidP="00FA0D37">
      <w:pPr>
        <w:pStyle w:val="PL"/>
      </w:pPr>
      <w:r w:rsidRPr="00FA0D37">
        <w:t>}</w:t>
      </w:r>
    </w:p>
    <w:p w14:paraId="236D8549" w14:textId="77777777" w:rsidR="00394471" w:rsidRPr="00FA0D37" w:rsidRDefault="00394471" w:rsidP="00FA0D37">
      <w:pPr>
        <w:pStyle w:val="PL"/>
      </w:pPr>
    </w:p>
    <w:p w14:paraId="3B9F0EB2" w14:textId="77777777" w:rsidR="00394471" w:rsidRPr="00FA0D37" w:rsidRDefault="00394471" w:rsidP="00FA0D37">
      <w:pPr>
        <w:pStyle w:val="PL"/>
      </w:pPr>
      <w:r w:rsidRPr="00FA0D37">
        <w:t xml:space="preserve">ValidityAreaList-r16 ::= </w:t>
      </w:r>
      <w:r w:rsidRPr="00FA0D37">
        <w:rPr>
          <w:color w:val="993366"/>
        </w:rPr>
        <w:t>SEQUENCE</w:t>
      </w:r>
      <w:r w:rsidRPr="00FA0D37">
        <w:t xml:space="preserve"> (</w:t>
      </w:r>
      <w:r w:rsidRPr="00FA0D37">
        <w:rPr>
          <w:color w:val="993366"/>
        </w:rPr>
        <w:t>SIZE</w:t>
      </w:r>
      <w:r w:rsidRPr="00FA0D37">
        <w:t xml:space="preserve"> (1..maxFreqIdle-r16))</w:t>
      </w:r>
      <w:r w:rsidRPr="00FA0D37">
        <w:rPr>
          <w:color w:val="993366"/>
        </w:rPr>
        <w:t xml:space="preserve"> OF</w:t>
      </w:r>
      <w:r w:rsidRPr="00FA0D37">
        <w:t xml:space="preserve"> ValidityArea-r16</w:t>
      </w:r>
    </w:p>
    <w:p w14:paraId="60039FF3" w14:textId="77777777" w:rsidR="00394471" w:rsidRPr="00FA0D37" w:rsidRDefault="00394471" w:rsidP="00FA0D37">
      <w:pPr>
        <w:pStyle w:val="PL"/>
      </w:pPr>
    </w:p>
    <w:p w14:paraId="061C0C97" w14:textId="77777777" w:rsidR="00394471" w:rsidRPr="00FA0D37" w:rsidRDefault="00394471" w:rsidP="00FA0D37">
      <w:pPr>
        <w:pStyle w:val="PL"/>
      </w:pPr>
      <w:r w:rsidRPr="00FA0D37">
        <w:t xml:space="preserve">ValidityArea-r16 ::=             </w:t>
      </w:r>
      <w:r w:rsidRPr="00FA0D37">
        <w:rPr>
          <w:color w:val="993366"/>
        </w:rPr>
        <w:t>SEQUENCE</w:t>
      </w:r>
      <w:r w:rsidRPr="00FA0D37">
        <w:t xml:space="preserve"> {</w:t>
      </w:r>
    </w:p>
    <w:p w14:paraId="7D1BB220" w14:textId="77777777" w:rsidR="00394471" w:rsidRPr="00FA0D37" w:rsidRDefault="00394471" w:rsidP="00FA0D37">
      <w:pPr>
        <w:pStyle w:val="PL"/>
      </w:pPr>
      <w:r w:rsidRPr="00FA0D37">
        <w:t xml:space="preserve">    carrierFreq-r16                  ARFCN-ValueNR,</w:t>
      </w:r>
    </w:p>
    <w:p w14:paraId="2A8D7B73" w14:textId="77777777" w:rsidR="00394471" w:rsidRPr="00FA0D37" w:rsidRDefault="00394471" w:rsidP="00FA0D37">
      <w:pPr>
        <w:pStyle w:val="PL"/>
        <w:rPr>
          <w:color w:val="808080"/>
        </w:rPr>
      </w:pPr>
      <w:r w:rsidRPr="00FA0D37">
        <w:t xml:space="preserve">    validityCellList-r16             ValidityCellList                                                     </w:t>
      </w:r>
      <w:r w:rsidRPr="00FA0D37">
        <w:rPr>
          <w:color w:val="993366"/>
        </w:rPr>
        <w:t>OPTIONAL</w:t>
      </w:r>
      <w:r w:rsidRPr="00FA0D37">
        <w:t xml:space="preserve">   </w:t>
      </w:r>
      <w:r w:rsidRPr="00FA0D37">
        <w:rPr>
          <w:color w:val="808080"/>
        </w:rPr>
        <w:t>-- Need N</w:t>
      </w:r>
    </w:p>
    <w:p w14:paraId="10C5AE24" w14:textId="77777777" w:rsidR="00394471" w:rsidRPr="00FA0D37" w:rsidRDefault="00394471" w:rsidP="00FA0D37">
      <w:pPr>
        <w:pStyle w:val="PL"/>
      </w:pPr>
      <w:r w:rsidRPr="00FA0D37">
        <w:t>}</w:t>
      </w:r>
    </w:p>
    <w:p w14:paraId="0AB659DF" w14:textId="77777777" w:rsidR="00394471" w:rsidRPr="00FA0D37" w:rsidRDefault="00394471" w:rsidP="00FA0D37">
      <w:pPr>
        <w:pStyle w:val="PL"/>
      </w:pPr>
    </w:p>
    <w:p w14:paraId="10A27BBC" w14:textId="77777777" w:rsidR="00394471" w:rsidRPr="00FA0D37" w:rsidRDefault="00394471" w:rsidP="00FA0D37">
      <w:pPr>
        <w:pStyle w:val="PL"/>
      </w:pPr>
      <w:r w:rsidRPr="00FA0D37">
        <w:t xml:space="preserve">ValidityCellList ::= </w:t>
      </w:r>
      <w:r w:rsidRPr="00FA0D37">
        <w:rPr>
          <w:color w:val="993366"/>
        </w:rPr>
        <w:t>SEQUENCE</w:t>
      </w:r>
      <w:r w:rsidRPr="00FA0D37">
        <w:t xml:space="preserve"> (</w:t>
      </w:r>
      <w:r w:rsidRPr="00FA0D37">
        <w:rPr>
          <w:color w:val="993366"/>
        </w:rPr>
        <w:t>SIZE</w:t>
      </w:r>
      <w:r w:rsidRPr="00FA0D37">
        <w:t xml:space="preserve"> (1.. maxCellMeasIdle-r16))</w:t>
      </w:r>
      <w:r w:rsidRPr="00FA0D37">
        <w:rPr>
          <w:color w:val="993366"/>
        </w:rPr>
        <w:t xml:space="preserve"> OF</w:t>
      </w:r>
      <w:r w:rsidRPr="00FA0D37">
        <w:t xml:space="preserve"> PCI-Range</w:t>
      </w:r>
    </w:p>
    <w:p w14:paraId="447185DB" w14:textId="77777777" w:rsidR="00394471" w:rsidRPr="00FA0D37" w:rsidRDefault="00394471" w:rsidP="00FA0D37">
      <w:pPr>
        <w:pStyle w:val="PL"/>
      </w:pPr>
    </w:p>
    <w:p w14:paraId="522902FE" w14:textId="77777777" w:rsidR="00394471" w:rsidRPr="00FA0D37" w:rsidRDefault="00394471" w:rsidP="00FA0D37">
      <w:pPr>
        <w:pStyle w:val="PL"/>
      </w:pPr>
      <w:r w:rsidRPr="00FA0D37">
        <w:t xml:space="preserve">MeasIdleCarrierNR-r16 ::=        </w:t>
      </w:r>
      <w:r w:rsidRPr="00FA0D37">
        <w:rPr>
          <w:color w:val="993366"/>
        </w:rPr>
        <w:t>SEQUENCE</w:t>
      </w:r>
      <w:r w:rsidRPr="00FA0D37">
        <w:t xml:space="preserve"> {</w:t>
      </w:r>
    </w:p>
    <w:p w14:paraId="0A649B59" w14:textId="77777777" w:rsidR="00394471" w:rsidRPr="00FA0D37" w:rsidRDefault="00394471" w:rsidP="00FA0D37">
      <w:pPr>
        <w:pStyle w:val="PL"/>
      </w:pPr>
      <w:r w:rsidRPr="00FA0D37">
        <w:t xml:space="preserve">    carrierFreq-r16                  ARFCN-ValueNR,</w:t>
      </w:r>
    </w:p>
    <w:p w14:paraId="50A86D56" w14:textId="77777777" w:rsidR="00394471" w:rsidRPr="00FA0D37" w:rsidRDefault="00394471" w:rsidP="00FA0D37">
      <w:pPr>
        <w:pStyle w:val="PL"/>
      </w:pPr>
      <w:r w:rsidRPr="00FA0D37">
        <w:t xml:space="preserve">    ssbSubcarrierSpacing-r16         SubcarrierSpacing,</w:t>
      </w:r>
    </w:p>
    <w:p w14:paraId="68776B6F" w14:textId="77777777" w:rsidR="00394471" w:rsidRPr="00FA0D37" w:rsidRDefault="00394471" w:rsidP="00FA0D37">
      <w:pPr>
        <w:pStyle w:val="PL"/>
        <w:rPr>
          <w:color w:val="808080"/>
        </w:rPr>
      </w:pPr>
      <w:r w:rsidRPr="00FA0D37">
        <w:t xml:space="preserve">    frequencyBandList                MultiFrequencyBandListNR                                             </w:t>
      </w:r>
      <w:r w:rsidRPr="00FA0D37">
        <w:rPr>
          <w:color w:val="993366"/>
        </w:rPr>
        <w:t>OPTIONAL</w:t>
      </w:r>
      <w:r w:rsidRPr="00FA0D37">
        <w:t xml:space="preserve">,  </w:t>
      </w:r>
      <w:r w:rsidRPr="00FA0D37">
        <w:rPr>
          <w:color w:val="808080"/>
        </w:rPr>
        <w:t>-- Need R</w:t>
      </w:r>
    </w:p>
    <w:p w14:paraId="48617071" w14:textId="77777777" w:rsidR="00394471" w:rsidRPr="00FA0D37" w:rsidRDefault="00394471" w:rsidP="00FA0D37">
      <w:pPr>
        <w:pStyle w:val="PL"/>
        <w:rPr>
          <w:color w:val="808080"/>
        </w:rPr>
      </w:pPr>
      <w:r w:rsidRPr="00FA0D37">
        <w:t xml:space="preserve">    measCellListNR-r16               CellListNR-r16                                                       </w:t>
      </w:r>
      <w:r w:rsidRPr="00FA0D37">
        <w:rPr>
          <w:color w:val="993366"/>
        </w:rPr>
        <w:t>OPTIONAL</w:t>
      </w:r>
      <w:r w:rsidRPr="00FA0D37">
        <w:t xml:space="preserve">,  </w:t>
      </w:r>
      <w:r w:rsidRPr="00FA0D37">
        <w:rPr>
          <w:color w:val="808080"/>
        </w:rPr>
        <w:t>-- Need R</w:t>
      </w:r>
    </w:p>
    <w:p w14:paraId="5D238733" w14:textId="77777777" w:rsidR="00394471" w:rsidRPr="00FA0D37" w:rsidRDefault="00394471" w:rsidP="00FA0D37">
      <w:pPr>
        <w:pStyle w:val="PL"/>
      </w:pPr>
      <w:r w:rsidRPr="00FA0D37">
        <w:t xml:space="preserve">    reportQuantities-r16             </w:t>
      </w:r>
      <w:r w:rsidRPr="00FA0D37">
        <w:rPr>
          <w:color w:val="993366"/>
        </w:rPr>
        <w:t>ENUMERATED</w:t>
      </w:r>
      <w:r w:rsidRPr="00FA0D37">
        <w:t xml:space="preserve"> {rsrp, rsrq, both},</w:t>
      </w:r>
    </w:p>
    <w:p w14:paraId="37069BCD" w14:textId="77777777" w:rsidR="00394471" w:rsidRPr="00FA0D37" w:rsidRDefault="00394471" w:rsidP="00FA0D37">
      <w:pPr>
        <w:pStyle w:val="PL"/>
      </w:pPr>
      <w:r w:rsidRPr="00FA0D37">
        <w:t xml:space="preserve">    qualityThreshold-r16             </w:t>
      </w:r>
      <w:r w:rsidRPr="00FA0D37">
        <w:rPr>
          <w:color w:val="993366"/>
        </w:rPr>
        <w:t>SEQUENCE</w:t>
      </w:r>
      <w:r w:rsidRPr="00FA0D37">
        <w:t xml:space="preserve"> {</w:t>
      </w:r>
    </w:p>
    <w:p w14:paraId="1393CD02" w14:textId="77777777" w:rsidR="00394471" w:rsidRPr="00FA0D37" w:rsidRDefault="00394471" w:rsidP="00FA0D37">
      <w:pPr>
        <w:pStyle w:val="PL"/>
        <w:rPr>
          <w:color w:val="808080"/>
        </w:rPr>
      </w:pPr>
      <w:r w:rsidRPr="00FA0D37">
        <w:t xml:space="preserve">        idleRSRP-Threshold-NR-r16        RSRP-Range                                                           </w:t>
      </w:r>
      <w:r w:rsidRPr="00FA0D37">
        <w:rPr>
          <w:color w:val="993366"/>
        </w:rPr>
        <w:t>OPTIONAL</w:t>
      </w:r>
      <w:r w:rsidRPr="00FA0D37">
        <w:t xml:space="preserve">,  </w:t>
      </w:r>
      <w:r w:rsidRPr="00FA0D37">
        <w:rPr>
          <w:color w:val="808080"/>
        </w:rPr>
        <w:t>-- Need R</w:t>
      </w:r>
    </w:p>
    <w:p w14:paraId="282C8EC9" w14:textId="77777777" w:rsidR="00394471" w:rsidRPr="00FA0D37" w:rsidRDefault="00394471" w:rsidP="00FA0D37">
      <w:pPr>
        <w:pStyle w:val="PL"/>
        <w:rPr>
          <w:color w:val="808080"/>
        </w:rPr>
      </w:pPr>
      <w:r w:rsidRPr="00FA0D37">
        <w:t xml:space="preserve">        idleRSRQ-Threshold-NR-r16        RSRQ-Range                                                           </w:t>
      </w:r>
      <w:r w:rsidRPr="00FA0D37">
        <w:rPr>
          <w:color w:val="993366"/>
        </w:rPr>
        <w:t>OPTIONAL</w:t>
      </w:r>
      <w:r w:rsidRPr="00FA0D37">
        <w:t xml:space="preserve">   </w:t>
      </w:r>
      <w:r w:rsidRPr="00FA0D37">
        <w:rPr>
          <w:color w:val="808080"/>
        </w:rPr>
        <w:t>-- Need R</w:t>
      </w:r>
    </w:p>
    <w:p w14:paraId="506E6C51"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73E3B37" w14:textId="77777777" w:rsidR="00394471" w:rsidRPr="00FA0D37" w:rsidRDefault="00394471" w:rsidP="00FA0D37">
      <w:pPr>
        <w:pStyle w:val="PL"/>
      </w:pPr>
      <w:r w:rsidRPr="00FA0D37">
        <w:t xml:space="preserve">    ssb-MeasConfig-r16               </w:t>
      </w:r>
      <w:r w:rsidRPr="00FA0D37">
        <w:rPr>
          <w:color w:val="993366"/>
        </w:rPr>
        <w:t>SEQUENCE</w:t>
      </w:r>
      <w:r w:rsidRPr="00FA0D37">
        <w:t xml:space="preserve"> {</w:t>
      </w:r>
    </w:p>
    <w:p w14:paraId="69727403" w14:textId="77777777" w:rsidR="00394471" w:rsidRPr="00FA0D37" w:rsidRDefault="00394471" w:rsidP="00FA0D37">
      <w:pPr>
        <w:pStyle w:val="PL"/>
        <w:rPr>
          <w:color w:val="808080"/>
        </w:rPr>
      </w:pPr>
      <w:r w:rsidRPr="00FA0D37">
        <w:t xml:space="preserve">        nrofSS-BlocksToAverage-r16          </w:t>
      </w:r>
      <w:r w:rsidRPr="00FA0D37">
        <w:rPr>
          <w:color w:val="993366"/>
        </w:rPr>
        <w:t>INTEGER</w:t>
      </w:r>
      <w:r w:rsidRPr="00FA0D37">
        <w:t xml:space="preserve"> (2..maxNrofSS-BlocksToAverage)                            </w:t>
      </w:r>
      <w:r w:rsidRPr="00FA0D37">
        <w:rPr>
          <w:color w:val="993366"/>
        </w:rPr>
        <w:t>OPTIONAL</w:t>
      </w:r>
      <w:r w:rsidRPr="00FA0D37">
        <w:t xml:space="preserve">,   </w:t>
      </w:r>
      <w:r w:rsidRPr="00FA0D37">
        <w:rPr>
          <w:color w:val="808080"/>
        </w:rPr>
        <w:t>-- Need S</w:t>
      </w:r>
    </w:p>
    <w:p w14:paraId="66D9786B" w14:textId="77777777" w:rsidR="00394471" w:rsidRPr="00FA0D37" w:rsidRDefault="00394471" w:rsidP="00FA0D37">
      <w:pPr>
        <w:pStyle w:val="PL"/>
        <w:rPr>
          <w:color w:val="808080"/>
        </w:rPr>
      </w:pPr>
      <w:r w:rsidRPr="00FA0D37">
        <w:t xml:space="preserve">        absThreshSS-BlocksConsolidation-r16 ThresholdNR                                                       </w:t>
      </w:r>
      <w:r w:rsidRPr="00FA0D37">
        <w:rPr>
          <w:color w:val="993366"/>
        </w:rPr>
        <w:t>OPTIONAL</w:t>
      </w:r>
      <w:r w:rsidRPr="00FA0D37">
        <w:t xml:space="preserve">,   </w:t>
      </w:r>
      <w:r w:rsidRPr="00FA0D37">
        <w:rPr>
          <w:color w:val="808080"/>
        </w:rPr>
        <w:t>-- Need S</w:t>
      </w:r>
    </w:p>
    <w:p w14:paraId="3FED9F33" w14:textId="77777777" w:rsidR="00394471" w:rsidRPr="00FA0D37" w:rsidRDefault="00394471" w:rsidP="00FA0D37">
      <w:pPr>
        <w:pStyle w:val="PL"/>
        <w:rPr>
          <w:color w:val="808080"/>
        </w:rPr>
      </w:pPr>
      <w:r w:rsidRPr="00FA0D37">
        <w:t xml:space="preserve">        smtc-r16                            SSB-MTC                                                           </w:t>
      </w:r>
      <w:r w:rsidRPr="00FA0D37">
        <w:rPr>
          <w:color w:val="993366"/>
        </w:rPr>
        <w:t>OPTIONAL</w:t>
      </w:r>
      <w:r w:rsidRPr="00FA0D37">
        <w:t xml:space="preserve">,   </w:t>
      </w:r>
      <w:r w:rsidRPr="00FA0D37">
        <w:rPr>
          <w:color w:val="808080"/>
        </w:rPr>
        <w:t>-- Need S</w:t>
      </w:r>
    </w:p>
    <w:p w14:paraId="1A014ACF" w14:textId="77777777" w:rsidR="00394471" w:rsidRPr="00FA0D37" w:rsidRDefault="00394471" w:rsidP="00FA0D37">
      <w:pPr>
        <w:pStyle w:val="PL"/>
        <w:rPr>
          <w:color w:val="808080"/>
        </w:rPr>
      </w:pPr>
      <w:r w:rsidRPr="00FA0D37">
        <w:t xml:space="preserve">        ssb-ToMeasure-r16                   SSB-ToMeasure                                                     </w:t>
      </w:r>
      <w:r w:rsidRPr="00FA0D37">
        <w:rPr>
          <w:color w:val="993366"/>
        </w:rPr>
        <w:t>OPTIONAL</w:t>
      </w:r>
      <w:r w:rsidRPr="00FA0D37">
        <w:t xml:space="preserve">,   </w:t>
      </w:r>
      <w:r w:rsidRPr="00FA0D37">
        <w:rPr>
          <w:color w:val="808080"/>
        </w:rPr>
        <w:t>-- Need S</w:t>
      </w:r>
    </w:p>
    <w:p w14:paraId="3E9FB487" w14:textId="77777777" w:rsidR="00394471" w:rsidRPr="00FA0D37" w:rsidRDefault="00394471" w:rsidP="00FA0D37">
      <w:pPr>
        <w:pStyle w:val="PL"/>
      </w:pPr>
      <w:r w:rsidRPr="00FA0D37">
        <w:t xml:space="preserve">        deriveSSB-IndexFromCell-r16         </w:t>
      </w:r>
      <w:r w:rsidRPr="00FA0D37">
        <w:rPr>
          <w:color w:val="993366"/>
        </w:rPr>
        <w:t>BOOLEAN</w:t>
      </w:r>
      <w:r w:rsidRPr="00FA0D37">
        <w:t>,</w:t>
      </w:r>
    </w:p>
    <w:p w14:paraId="0FDD63E8" w14:textId="77777777" w:rsidR="00394471" w:rsidRPr="00FA0D37" w:rsidRDefault="00394471" w:rsidP="00FA0D37">
      <w:pPr>
        <w:pStyle w:val="PL"/>
        <w:rPr>
          <w:color w:val="808080"/>
        </w:rPr>
      </w:pPr>
      <w:r w:rsidRPr="00FA0D37">
        <w:t xml:space="preserve">        ss-RSSI-Measurement-r16             SS-RSSI-Measurement                                               </w:t>
      </w:r>
      <w:r w:rsidRPr="00FA0D37">
        <w:rPr>
          <w:color w:val="993366"/>
        </w:rPr>
        <w:t>OPTIONAL</w:t>
      </w:r>
      <w:r w:rsidRPr="00FA0D37">
        <w:t xml:space="preserve">    </w:t>
      </w:r>
      <w:r w:rsidRPr="00FA0D37">
        <w:rPr>
          <w:color w:val="808080"/>
        </w:rPr>
        <w:t>-- Need S</w:t>
      </w:r>
    </w:p>
    <w:p w14:paraId="3B4E6BFC"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S</w:t>
      </w:r>
    </w:p>
    <w:p w14:paraId="4A917EEF" w14:textId="77777777" w:rsidR="00394471" w:rsidRPr="00FA0D37" w:rsidRDefault="00394471" w:rsidP="00FA0D37">
      <w:pPr>
        <w:pStyle w:val="PL"/>
        <w:rPr>
          <w:color w:val="808080"/>
        </w:rPr>
      </w:pPr>
      <w:r w:rsidRPr="00FA0D37">
        <w:t xml:space="preserve">    beamMeasConfigIdle-r16           BeamMeasConfigIdle-NR-r16                                            </w:t>
      </w:r>
      <w:r w:rsidRPr="00FA0D37">
        <w:rPr>
          <w:color w:val="993366"/>
        </w:rPr>
        <w:t>OPTIONAL</w:t>
      </w:r>
      <w:r w:rsidRPr="00FA0D37">
        <w:t xml:space="preserve">,  </w:t>
      </w:r>
      <w:r w:rsidRPr="00FA0D37">
        <w:rPr>
          <w:color w:val="808080"/>
        </w:rPr>
        <w:t>-- Need R</w:t>
      </w:r>
    </w:p>
    <w:p w14:paraId="4ABF6F3D" w14:textId="77777777" w:rsidR="00394471" w:rsidRPr="00FA0D37" w:rsidRDefault="00394471" w:rsidP="00FA0D37">
      <w:pPr>
        <w:pStyle w:val="PL"/>
      </w:pPr>
      <w:r w:rsidRPr="00FA0D37">
        <w:t xml:space="preserve">    ...</w:t>
      </w:r>
    </w:p>
    <w:p w14:paraId="2D1B5DE3" w14:textId="77777777" w:rsidR="00394471" w:rsidRPr="00FA0D37" w:rsidRDefault="00394471" w:rsidP="00FA0D37">
      <w:pPr>
        <w:pStyle w:val="PL"/>
      </w:pPr>
      <w:r w:rsidRPr="00FA0D37">
        <w:t>}</w:t>
      </w:r>
    </w:p>
    <w:p w14:paraId="0DEDA86E" w14:textId="77777777" w:rsidR="00394471" w:rsidRPr="00FA0D37" w:rsidRDefault="00394471" w:rsidP="00FA0D37">
      <w:pPr>
        <w:pStyle w:val="PL"/>
      </w:pPr>
    </w:p>
    <w:p w14:paraId="71634B11" w14:textId="77777777" w:rsidR="00394471" w:rsidRPr="00FA0D37" w:rsidRDefault="00394471" w:rsidP="00FA0D37">
      <w:pPr>
        <w:pStyle w:val="PL"/>
      </w:pPr>
      <w:r w:rsidRPr="00FA0D37">
        <w:t xml:space="preserve">MeasIdleCarrierEUTRA-r16 ::=     </w:t>
      </w:r>
      <w:r w:rsidRPr="00FA0D37">
        <w:rPr>
          <w:color w:val="993366"/>
        </w:rPr>
        <w:t>SEQUENCE</w:t>
      </w:r>
      <w:r w:rsidRPr="00FA0D37">
        <w:t xml:space="preserve"> {</w:t>
      </w:r>
    </w:p>
    <w:p w14:paraId="0943B37B" w14:textId="77777777" w:rsidR="00394471" w:rsidRPr="00FA0D37" w:rsidRDefault="00394471" w:rsidP="00FA0D37">
      <w:pPr>
        <w:pStyle w:val="PL"/>
      </w:pPr>
      <w:r w:rsidRPr="00FA0D37">
        <w:t xml:space="preserve">    carrierFreqEUTRA-r16             ARFCN-ValueEUTRA,</w:t>
      </w:r>
    </w:p>
    <w:p w14:paraId="0549232B" w14:textId="77777777" w:rsidR="00394471" w:rsidRPr="00FA0D37" w:rsidRDefault="00394471" w:rsidP="00FA0D37">
      <w:pPr>
        <w:pStyle w:val="PL"/>
      </w:pPr>
      <w:r w:rsidRPr="00FA0D37">
        <w:t xml:space="preserve">    allowedMeasBandwidth-r16         EUTRA-AllowedMeasBandwidth,</w:t>
      </w:r>
    </w:p>
    <w:p w14:paraId="61D6E5E9" w14:textId="77777777" w:rsidR="00394471" w:rsidRPr="00FA0D37" w:rsidRDefault="00394471" w:rsidP="00FA0D37">
      <w:pPr>
        <w:pStyle w:val="PL"/>
        <w:rPr>
          <w:color w:val="808080"/>
        </w:rPr>
      </w:pPr>
      <w:r w:rsidRPr="00FA0D37">
        <w:t xml:space="preserve">    measCellListEUTRA-r16            CellListEUTRA-r16                                                    </w:t>
      </w:r>
      <w:r w:rsidRPr="00FA0D37">
        <w:rPr>
          <w:color w:val="993366"/>
        </w:rPr>
        <w:t>OPTIONAL</w:t>
      </w:r>
      <w:r w:rsidRPr="00FA0D37">
        <w:t xml:space="preserve">,  </w:t>
      </w:r>
      <w:r w:rsidRPr="00FA0D37">
        <w:rPr>
          <w:color w:val="808080"/>
        </w:rPr>
        <w:t>-- Need R</w:t>
      </w:r>
    </w:p>
    <w:p w14:paraId="0C3F0BD1" w14:textId="77777777" w:rsidR="00394471" w:rsidRPr="00FA0D37" w:rsidRDefault="00394471" w:rsidP="00FA0D37">
      <w:pPr>
        <w:pStyle w:val="PL"/>
      </w:pPr>
      <w:r w:rsidRPr="00FA0D37">
        <w:t xml:space="preserve">    reportQuantitiesEUTRA-r16        </w:t>
      </w:r>
      <w:r w:rsidRPr="00FA0D37">
        <w:rPr>
          <w:color w:val="993366"/>
        </w:rPr>
        <w:t>ENUMERATED</w:t>
      </w:r>
      <w:r w:rsidRPr="00FA0D37">
        <w:t xml:space="preserve"> {rsrp, rsrq, both},</w:t>
      </w:r>
    </w:p>
    <w:p w14:paraId="69B5012D" w14:textId="77777777" w:rsidR="00394471" w:rsidRPr="00FA0D37" w:rsidRDefault="00394471" w:rsidP="00FA0D37">
      <w:pPr>
        <w:pStyle w:val="PL"/>
      </w:pPr>
      <w:r w:rsidRPr="00FA0D37">
        <w:t xml:space="preserve">    qualityThresholdEUTRA-r16        </w:t>
      </w:r>
      <w:r w:rsidRPr="00FA0D37">
        <w:rPr>
          <w:color w:val="993366"/>
        </w:rPr>
        <w:t>SEQUENCE</w:t>
      </w:r>
      <w:r w:rsidRPr="00FA0D37">
        <w:t xml:space="preserve"> {</w:t>
      </w:r>
    </w:p>
    <w:p w14:paraId="5FFB1AA6" w14:textId="77777777" w:rsidR="00394471" w:rsidRPr="00FA0D37" w:rsidRDefault="00394471" w:rsidP="00FA0D37">
      <w:pPr>
        <w:pStyle w:val="PL"/>
        <w:rPr>
          <w:color w:val="808080"/>
        </w:rPr>
      </w:pPr>
      <w:r w:rsidRPr="00FA0D37">
        <w:t xml:space="preserve">        idleRSRP-Threshold-EUTRA-r16     RSRP-RangeEUTRA                                                      </w:t>
      </w:r>
      <w:r w:rsidRPr="00FA0D37">
        <w:rPr>
          <w:color w:val="993366"/>
        </w:rPr>
        <w:t>OPTIONAL</w:t>
      </w:r>
      <w:r w:rsidRPr="00FA0D37">
        <w:t xml:space="preserve">,  </w:t>
      </w:r>
      <w:r w:rsidRPr="00FA0D37">
        <w:rPr>
          <w:color w:val="808080"/>
        </w:rPr>
        <w:t>-- Need R</w:t>
      </w:r>
    </w:p>
    <w:p w14:paraId="3F3A4372" w14:textId="77777777" w:rsidR="00394471" w:rsidRPr="00FA0D37" w:rsidRDefault="00394471" w:rsidP="00FA0D37">
      <w:pPr>
        <w:pStyle w:val="PL"/>
        <w:rPr>
          <w:color w:val="808080"/>
        </w:rPr>
      </w:pPr>
      <w:r w:rsidRPr="00FA0D37">
        <w:t xml:space="preserve">        idleRSRQ-Threshold-EUTRA-r16     RSRQ-RangeEUTRA-r16                                                  </w:t>
      </w:r>
      <w:r w:rsidRPr="00FA0D37">
        <w:rPr>
          <w:color w:val="993366"/>
        </w:rPr>
        <w:t>OPTIONAL</w:t>
      </w:r>
      <w:r w:rsidRPr="00FA0D37">
        <w:t xml:space="preserve">   </w:t>
      </w:r>
      <w:r w:rsidRPr="00FA0D37">
        <w:rPr>
          <w:color w:val="808080"/>
        </w:rPr>
        <w:t>-- Need R</w:t>
      </w:r>
    </w:p>
    <w:p w14:paraId="393A50E5"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S</w:t>
      </w:r>
    </w:p>
    <w:p w14:paraId="0D3E2AED" w14:textId="77777777" w:rsidR="00394471" w:rsidRPr="00FA0D37" w:rsidRDefault="00394471" w:rsidP="00FA0D37">
      <w:pPr>
        <w:pStyle w:val="PL"/>
      </w:pPr>
      <w:r w:rsidRPr="00FA0D37">
        <w:t xml:space="preserve">    ...</w:t>
      </w:r>
    </w:p>
    <w:p w14:paraId="25016F63" w14:textId="77777777" w:rsidR="00394471" w:rsidRPr="00FA0D37" w:rsidRDefault="00394471" w:rsidP="00FA0D37">
      <w:pPr>
        <w:pStyle w:val="PL"/>
      </w:pPr>
      <w:r w:rsidRPr="00FA0D37">
        <w:lastRenderedPageBreak/>
        <w:t>}</w:t>
      </w:r>
    </w:p>
    <w:p w14:paraId="431ADFAA" w14:textId="77777777" w:rsidR="00394471" w:rsidRPr="00FA0D37" w:rsidRDefault="00394471" w:rsidP="00FA0D37">
      <w:pPr>
        <w:pStyle w:val="PL"/>
      </w:pPr>
    </w:p>
    <w:p w14:paraId="79034729" w14:textId="77777777" w:rsidR="00394471" w:rsidRPr="00FA0D37" w:rsidRDefault="00394471" w:rsidP="00FA0D37">
      <w:pPr>
        <w:pStyle w:val="PL"/>
      </w:pPr>
      <w:r w:rsidRPr="00FA0D37">
        <w:t xml:space="preserve">CellListNR-r16  ::=       </w:t>
      </w:r>
      <w:r w:rsidRPr="00FA0D37">
        <w:rPr>
          <w:color w:val="993366"/>
        </w:rPr>
        <w:t>SEQUENCE</w:t>
      </w:r>
      <w:r w:rsidRPr="00FA0D37">
        <w:t xml:space="preserve"> (</w:t>
      </w:r>
      <w:r w:rsidRPr="00FA0D37">
        <w:rPr>
          <w:color w:val="993366"/>
        </w:rPr>
        <w:t>SIZE</w:t>
      </w:r>
      <w:r w:rsidRPr="00FA0D37">
        <w:t xml:space="preserve"> (1..maxCellMeasIdle-r16))</w:t>
      </w:r>
      <w:r w:rsidRPr="00FA0D37">
        <w:rPr>
          <w:color w:val="993366"/>
        </w:rPr>
        <w:t xml:space="preserve"> OF</w:t>
      </w:r>
      <w:r w:rsidRPr="00FA0D37">
        <w:t xml:space="preserve"> PCI-Range</w:t>
      </w:r>
    </w:p>
    <w:p w14:paraId="0DCDD7E6" w14:textId="77777777" w:rsidR="00394471" w:rsidRPr="00FA0D37" w:rsidRDefault="00394471" w:rsidP="00FA0D37">
      <w:pPr>
        <w:pStyle w:val="PL"/>
      </w:pPr>
    </w:p>
    <w:p w14:paraId="2CE04A87" w14:textId="77777777" w:rsidR="00394471" w:rsidRPr="00FA0D37" w:rsidRDefault="00394471" w:rsidP="00FA0D37">
      <w:pPr>
        <w:pStyle w:val="PL"/>
      </w:pPr>
      <w:r w:rsidRPr="00FA0D37">
        <w:t xml:space="preserve">CellListEUTRA-r16  ::=    </w:t>
      </w:r>
      <w:r w:rsidRPr="00FA0D37">
        <w:rPr>
          <w:color w:val="993366"/>
        </w:rPr>
        <w:t>SEQUENCE</w:t>
      </w:r>
      <w:r w:rsidRPr="00FA0D37">
        <w:t xml:space="preserve"> (</w:t>
      </w:r>
      <w:r w:rsidRPr="00FA0D37">
        <w:rPr>
          <w:color w:val="993366"/>
        </w:rPr>
        <w:t>SIZE</w:t>
      </w:r>
      <w:r w:rsidRPr="00FA0D37">
        <w:t xml:space="preserve"> (1..maxCellMeasIdle-r16))</w:t>
      </w:r>
      <w:r w:rsidRPr="00FA0D37">
        <w:rPr>
          <w:color w:val="993366"/>
        </w:rPr>
        <w:t xml:space="preserve"> OF</w:t>
      </w:r>
      <w:r w:rsidRPr="00FA0D37">
        <w:t xml:space="preserve"> EUTRA-PhysCellIdRange</w:t>
      </w:r>
    </w:p>
    <w:p w14:paraId="3397EAD2" w14:textId="77777777" w:rsidR="00394471" w:rsidRPr="00FA0D37" w:rsidRDefault="00394471" w:rsidP="00FA0D37">
      <w:pPr>
        <w:pStyle w:val="PL"/>
      </w:pPr>
    </w:p>
    <w:p w14:paraId="66184298" w14:textId="77777777" w:rsidR="00394471" w:rsidRPr="00FA0D37" w:rsidRDefault="00394471" w:rsidP="00FA0D37">
      <w:pPr>
        <w:pStyle w:val="PL"/>
      </w:pPr>
      <w:r w:rsidRPr="00FA0D37">
        <w:t xml:space="preserve">BeamMeasConfigIdle-NR-r16  ::=   </w:t>
      </w:r>
      <w:r w:rsidRPr="00FA0D37">
        <w:rPr>
          <w:color w:val="993366"/>
        </w:rPr>
        <w:t>SEQUENCE</w:t>
      </w:r>
      <w:r w:rsidRPr="00FA0D37">
        <w:t xml:space="preserve"> {</w:t>
      </w:r>
    </w:p>
    <w:p w14:paraId="4BBFA5EC" w14:textId="77777777" w:rsidR="00394471" w:rsidRPr="00FA0D37" w:rsidRDefault="00394471" w:rsidP="00FA0D37">
      <w:pPr>
        <w:pStyle w:val="PL"/>
      </w:pPr>
      <w:r w:rsidRPr="00FA0D37">
        <w:t xml:space="preserve">    reportQuantityRS-Indexes-r16     </w:t>
      </w:r>
      <w:r w:rsidRPr="00FA0D37">
        <w:rPr>
          <w:color w:val="993366"/>
        </w:rPr>
        <w:t>ENUMERATED</w:t>
      </w:r>
      <w:r w:rsidRPr="00FA0D37">
        <w:t xml:space="preserve"> {rsrp, rsrq, both},</w:t>
      </w:r>
    </w:p>
    <w:p w14:paraId="124D2D5F" w14:textId="77777777" w:rsidR="00394471" w:rsidRPr="00FA0D37" w:rsidRDefault="00394471" w:rsidP="00FA0D37">
      <w:pPr>
        <w:pStyle w:val="PL"/>
      </w:pPr>
      <w:r w:rsidRPr="00FA0D37">
        <w:t xml:space="preserve">    maxNrofRS-IndexesToReport-r16    </w:t>
      </w:r>
      <w:r w:rsidRPr="00FA0D37">
        <w:rPr>
          <w:color w:val="993366"/>
        </w:rPr>
        <w:t>INTEGER</w:t>
      </w:r>
      <w:r w:rsidRPr="00FA0D37">
        <w:t xml:space="preserve"> (1.. maxNrofIndexesToReport),</w:t>
      </w:r>
    </w:p>
    <w:p w14:paraId="35D258CC" w14:textId="77777777" w:rsidR="00394471" w:rsidRPr="00FA0D37" w:rsidRDefault="00394471" w:rsidP="00FA0D37">
      <w:pPr>
        <w:pStyle w:val="PL"/>
      </w:pPr>
      <w:r w:rsidRPr="00FA0D37">
        <w:t xml:space="preserve">    includeBeamMeasurements-r16      </w:t>
      </w:r>
      <w:r w:rsidRPr="00FA0D37">
        <w:rPr>
          <w:color w:val="993366"/>
        </w:rPr>
        <w:t>BOOLEAN</w:t>
      </w:r>
    </w:p>
    <w:p w14:paraId="61A5684B" w14:textId="77777777" w:rsidR="00394471" w:rsidRPr="00FA0D37" w:rsidRDefault="00394471" w:rsidP="00FA0D37">
      <w:pPr>
        <w:pStyle w:val="PL"/>
      </w:pPr>
      <w:r w:rsidRPr="00FA0D37">
        <w:t>}</w:t>
      </w:r>
    </w:p>
    <w:p w14:paraId="219EEB73" w14:textId="77777777" w:rsidR="00394471" w:rsidRPr="00FA0D37" w:rsidRDefault="00394471" w:rsidP="00FA0D37">
      <w:pPr>
        <w:pStyle w:val="PL"/>
      </w:pPr>
    </w:p>
    <w:p w14:paraId="68BB6B53" w14:textId="77777777" w:rsidR="00394471" w:rsidRPr="00FA0D37" w:rsidRDefault="00394471" w:rsidP="00FA0D37">
      <w:pPr>
        <w:pStyle w:val="PL"/>
      </w:pPr>
      <w:r w:rsidRPr="00FA0D37">
        <w:t xml:space="preserve">RSRQ-RangeEUTRA-r16 ::=   </w:t>
      </w:r>
      <w:r w:rsidRPr="00FA0D37">
        <w:rPr>
          <w:color w:val="993366"/>
        </w:rPr>
        <w:t>INTEGER</w:t>
      </w:r>
      <w:r w:rsidRPr="00FA0D37">
        <w:t xml:space="preserve"> (-30..46)</w:t>
      </w:r>
    </w:p>
    <w:p w14:paraId="7911331B" w14:textId="77777777" w:rsidR="00394471" w:rsidRPr="00FA0D37" w:rsidRDefault="00394471" w:rsidP="00FA0D37">
      <w:pPr>
        <w:pStyle w:val="PL"/>
      </w:pPr>
    </w:p>
    <w:p w14:paraId="23E2787D" w14:textId="77777777" w:rsidR="00394471" w:rsidRPr="00FA0D37" w:rsidRDefault="00394471" w:rsidP="00FA0D37">
      <w:pPr>
        <w:pStyle w:val="PL"/>
        <w:rPr>
          <w:color w:val="808080"/>
        </w:rPr>
      </w:pPr>
      <w:r w:rsidRPr="00FA0D37">
        <w:rPr>
          <w:color w:val="808080"/>
        </w:rPr>
        <w:t>-- TAG-MEASIDLECONFIG-STOP</w:t>
      </w:r>
    </w:p>
    <w:p w14:paraId="4235199E" w14:textId="77777777" w:rsidR="00394471" w:rsidRPr="00FA0D37" w:rsidRDefault="00394471" w:rsidP="00FA0D37">
      <w:pPr>
        <w:pStyle w:val="PL"/>
        <w:rPr>
          <w:color w:val="808080"/>
        </w:rPr>
      </w:pPr>
      <w:r w:rsidRPr="00FA0D37">
        <w:rPr>
          <w:color w:val="808080"/>
        </w:rPr>
        <w:t>-- ASN1STOP</w:t>
      </w:r>
    </w:p>
    <w:p w14:paraId="0A24A3C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FA0D37" w:rsidRDefault="00394471" w:rsidP="00964CC4">
            <w:pPr>
              <w:pStyle w:val="TAH"/>
              <w:rPr>
                <w:szCs w:val="22"/>
                <w:lang w:eastAsia="sv-SE"/>
              </w:rPr>
            </w:pPr>
            <w:r w:rsidRPr="00FA0D37">
              <w:rPr>
                <w:i/>
                <w:szCs w:val="22"/>
                <w:lang w:eastAsia="sv-SE"/>
              </w:rPr>
              <w:lastRenderedPageBreak/>
              <w:t xml:space="preserve">MeasIdleConfig </w:t>
            </w:r>
            <w:r w:rsidRPr="00FA0D37">
              <w:rPr>
                <w:szCs w:val="22"/>
                <w:lang w:eastAsia="sv-SE"/>
              </w:rPr>
              <w:t>field descriptions</w:t>
            </w:r>
          </w:p>
        </w:tc>
      </w:tr>
      <w:tr w:rsidR="005C7FF4" w:rsidRPr="00FA0D37"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FA0D37" w:rsidRDefault="00394471" w:rsidP="00964CC4">
            <w:pPr>
              <w:pStyle w:val="TAL"/>
              <w:rPr>
                <w:b/>
                <w:i/>
                <w:noProof/>
                <w:lang w:eastAsia="en-GB"/>
              </w:rPr>
            </w:pPr>
            <w:r w:rsidRPr="00FA0D37">
              <w:rPr>
                <w:b/>
                <w:i/>
                <w:noProof/>
                <w:lang w:eastAsia="en-GB"/>
              </w:rPr>
              <w:t>absThreshSS-BlocksConsolidation</w:t>
            </w:r>
          </w:p>
          <w:p w14:paraId="1EA95FC5" w14:textId="77777777" w:rsidR="00394471" w:rsidRPr="00FA0D37" w:rsidRDefault="00394471" w:rsidP="00964CC4">
            <w:pPr>
              <w:pStyle w:val="TAL"/>
              <w:rPr>
                <w:szCs w:val="22"/>
                <w:lang w:eastAsia="en-GB"/>
              </w:rPr>
            </w:pPr>
            <w:r w:rsidRPr="00FA0D37">
              <w:rPr>
                <w:bCs/>
                <w:iCs/>
                <w:noProof/>
                <w:lang w:eastAsia="en-GB"/>
              </w:rPr>
              <w:t>Threshold for consolidation of L1 measurements per RS index.</w:t>
            </w:r>
          </w:p>
        </w:tc>
      </w:tr>
      <w:tr w:rsidR="005C7FF4" w:rsidRPr="00FA0D37"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FA0D37" w:rsidRDefault="00394471" w:rsidP="00964CC4">
            <w:pPr>
              <w:pStyle w:val="TAL"/>
              <w:rPr>
                <w:b/>
                <w:i/>
                <w:noProof/>
                <w:lang w:eastAsia="en-GB"/>
              </w:rPr>
            </w:pPr>
            <w:r w:rsidRPr="00FA0D37">
              <w:rPr>
                <w:b/>
                <w:i/>
                <w:noProof/>
                <w:lang w:eastAsia="en-GB"/>
              </w:rPr>
              <w:t>beamMeasConfigIdle</w:t>
            </w:r>
          </w:p>
          <w:p w14:paraId="7BD70AA4" w14:textId="77777777" w:rsidR="00394471" w:rsidRPr="00FA0D37" w:rsidRDefault="00394471" w:rsidP="00964CC4">
            <w:pPr>
              <w:pStyle w:val="TAL"/>
              <w:rPr>
                <w:bCs/>
                <w:iCs/>
                <w:noProof/>
                <w:lang w:eastAsia="en-GB"/>
              </w:rPr>
            </w:pPr>
            <w:r w:rsidRPr="00FA0D37">
              <w:rPr>
                <w:bCs/>
                <w:iCs/>
                <w:noProof/>
                <w:lang w:eastAsia="en-GB"/>
              </w:rPr>
              <w:t>Indicates the beam level measurement configuration.</w:t>
            </w:r>
          </w:p>
        </w:tc>
      </w:tr>
      <w:tr w:rsidR="005C7FF4" w:rsidRPr="00FA0D37"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FA0D37" w:rsidRDefault="00394471" w:rsidP="00964CC4">
            <w:pPr>
              <w:pStyle w:val="TAL"/>
              <w:rPr>
                <w:b/>
                <w:i/>
                <w:noProof/>
                <w:lang w:eastAsia="en-GB"/>
              </w:rPr>
            </w:pPr>
            <w:r w:rsidRPr="00FA0D37">
              <w:rPr>
                <w:b/>
                <w:i/>
                <w:noProof/>
                <w:lang w:eastAsia="en-GB"/>
              </w:rPr>
              <w:t>carrierFreq</w:t>
            </w:r>
          </w:p>
          <w:p w14:paraId="1C6F647B" w14:textId="77777777" w:rsidR="00394471" w:rsidRPr="00FA0D37" w:rsidRDefault="00394471" w:rsidP="00964CC4">
            <w:pPr>
              <w:pStyle w:val="TAL"/>
              <w:rPr>
                <w:bCs/>
                <w:iCs/>
                <w:noProof/>
                <w:lang w:eastAsia="en-GB"/>
              </w:rPr>
            </w:pPr>
            <w:r w:rsidRPr="00FA0D37">
              <w:rPr>
                <w:bCs/>
                <w:iCs/>
                <w:noProof/>
                <w:lang w:eastAsia="en-GB"/>
              </w:rPr>
              <w:t>Indicates the NR carrier frequency to be used for measurements during RRC_IDLE or RRC_INACTIVE.</w:t>
            </w:r>
          </w:p>
        </w:tc>
      </w:tr>
      <w:tr w:rsidR="005C7FF4" w:rsidRPr="00FA0D37"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FA0D37" w:rsidRDefault="00394471" w:rsidP="00964CC4">
            <w:pPr>
              <w:pStyle w:val="TAL"/>
              <w:rPr>
                <w:b/>
                <w:i/>
                <w:noProof/>
                <w:lang w:eastAsia="en-GB"/>
              </w:rPr>
            </w:pPr>
            <w:r w:rsidRPr="00FA0D37">
              <w:rPr>
                <w:b/>
                <w:i/>
                <w:noProof/>
                <w:lang w:eastAsia="en-GB"/>
              </w:rPr>
              <w:t>carrierFreqEUTRA</w:t>
            </w:r>
          </w:p>
          <w:p w14:paraId="10C8AAD8" w14:textId="77777777" w:rsidR="00394471" w:rsidRPr="00FA0D37" w:rsidRDefault="00394471" w:rsidP="00964CC4">
            <w:pPr>
              <w:pStyle w:val="TAL"/>
              <w:rPr>
                <w:bCs/>
                <w:iCs/>
                <w:noProof/>
                <w:lang w:eastAsia="en-GB"/>
              </w:rPr>
            </w:pPr>
            <w:r w:rsidRPr="00FA0D37">
              <w:rPr>
                <w:bCs/>
                <w:iCs/>
                <w:noProof/>
                <w:lang w:eastAsia="en-GB"/>
              </w:rPr>
              <w:t>Indicates the E-UTRA carrier frequency to be used for measurements during RRC_IDLE or RRC_INACTIVE.</w:t>
            </w:r>
          </w:p>
        </w:tc>
      </w:tr>
      <w:tr w:rsidR="005C7FF4" w:rsidRPr="00FA0D37"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FA0D37" w:rsidRDefault="00394471" w:rsidP="00964CC4">
            <w:pPr>
              <w:pStyle w:val="TAL"/>
              <w:rPr>
                <w:b/>
                <w:i/>
                <w:noProof/>
                <w:lang w:eastAsia="en-GB"/>
              </w:rPr>
            </w:pPr>
            <w:r w:rsidRPr="00FA0D37">
              <w:rPr>
                <w:b/>
                <w:i/>
                <w:noProof/>
                <w:lang w:eastAsia="en-GB"/>
              </w:rPr>
              <w:t>deriveSSB-IndexFromCell</w:t>
            </w:r>
          </w:p>
          <w:p w14:paraId="7045CFAF" w14:textId="77777777" w:rsidR="00394471" w:rsidRPr="00FA0D37" w:rsidRDefault="00394471" w:rsidP="00964CC4">
            <w:pPr>
              <w:pStyle w:val="TAL"/>
              <w:rPr>
                <w:bCs/>
                <w:iCs/>
                <w:noProof/>
                <w:lang w:eastAsia="en-GB"/>
              </w:rPr>
            </w:pPr>
            <w:r w:rsidRPr="00FA0D37">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5C7FF4" w:rsidRPr="00FA0D37"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FA0D37" w:rsidRDefault="00394471" w:rsidP="00964CC4">
            <w:pPr>
              <w:pStyle w:val="TAL"/>
              <w:rPr>
                <w:b/>
                <w:i/>
                <w:noProof/>
                <w:lang w:eastAsia="en-GB"/>
              </w:rPr>
            </w:pPr>
            <w:r w:rsidRPr="00FA0D37">
              <w:rPr>
                <w:b/>
                <w:i/>
                <w:noProof/>
                <w:lang w:eastAsia="en-GB"/>
              </w:rPr>
              <w:t>frequencyBandList</w:t>
            </w:r>
          </w:p>
          <w:p w14:paraId="1B36F193" w14:textId="77777777" w:rsidR="00394471" w:rsidRPr="00FA0D37" w:rsidRDefault="00394471" w:rsidP="00964CC4">
            <w:pPr>
              <w:pStyle w:val="TAL"/>
              <w:rPr>
                <w:bCs/>
                <w:iCs/>
                <w:noProof/>
                <w:lang w:eastAsia="en-GB"/>
              </w:rPr>
            </w:pPr>
            <w:r w:rsidRPr="00FA0D37">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5C7FF4" w:rsidRPr="00FA0D37"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FA0D37" w:rsidRDefault="00394471" w:rsidP="00964CC4">
            <w:pPr>
              <w:pStyle w:val="TAL"/>
              <w:rPr>
                <w:b/>
                <w:i/>
                <w:noProof/>
                <w:lang w:eastAsia="en-GB"/>
              </w:rPr>
            </w:pPr>
            <w:r w:rsidRPr="00FA0D37">
              <w:rPr>
                <w:b/>
                <w:i/>
                <w:noProof/>
                <w:lang w:eastAsia="en-GB"/>
              </w:rPr>
              <w:t>includeBeamMeasurements</w:t>
            </w:r>
          </w:p>
          <w:p w14:paraId="1BE9EF8D" w14:textId="77777777" w:rsidR="00394471" w:rsidRPr="00FA0D37" w:rsidRDefault="00394471" w:rsidP="00964CC4">
            <w:pPr>
              <w:pStyle w:val="TAL"/>
              <w:rPr>
                <w:bCs/>
                <w:iCs/>
                <w:noProof/>
                <w:lang w:eastAsia="en-GB"/>
              </w:rPr>
            </w:pPr>
            <w:r w:rsidRPr="00FA0D37">
              <w:rPr>
                <w:bCs/>
                <w:iCs/>
                <w:noProof/>
                <w:lang w:eastAsia="en-GB"/>
              </w:rPr>
              <w:t>Indicates whether or not the UE shall include beam measurements in the NR idle/inactive measurement results.</w:t>
            </w:r>
          </w:p>
        </w:tc>
      </w:tr>
      <w:tr w:rsidR="005C7FF4" w:rsidRPr="00FA0D37"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FA0D37" w:rsidRDefault="00394471" w:rsidP="00964CC4">
            <w:pPr>
              <w:pStyle w:val="TAL"/>
              <w:rPr>
                <w:b/>
                <w:i/>
                <w:noProof/>
                <w:lang w:eastAsia="en-GB"/>
              </w:rPr>
            </w:pPr>
            <w:r w:rsidRPr="00FA0D37">
              <w:rPr>
                <w:b/>
                <w:i/>
                <w:noProof/>
                <w:lang w:eastAsia="en-GB"/>
              </w:rPr>
              <w:t>maxNrofRS-IndexesToReport</w:t>
            </w:r>
          </w:p>
          <w:p w14:paraId="3E401874" w14:textId="77777777" w:rsidR="00394471" w:rsidRPr="00FA0D37" w:rsidRDefault="00394471" w:rsidP="00964CC4">
            <w:pPr>
              <w:pStyle w:val="TAL"/>
              <w:rPr>
                <w:bCs/>
                <w:iCs/>
                <w:noProof/>
                <w:lang w:eastAsia="en-GB"/>
              </w:rPr>
            </w:pPr>
            <w:r w:rsidRPr="00FA0D37">
              <w:rPr>
                <w:bCs/>
                <w:iCs/>
                <w:noProof/>
                <w:lang w:eastAsia="en-GB"/>
              </w:rPr>
              <w:t>Max number of beam indices to include in the idle/inactive measurement result.</w:t>
            </w:r>
          </w:p>
        </w:tc>
      </w:tr>
      <w:tr w:rsidR="005C7FF4" w:rsidRPr="00FA0D37"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FA0D37" w:rsidRDefault="00394471" w:rsidP="00964CC4">
            <w:pPr>
              <w:pStyle w:val="TAL"/>
              <w:rPr>
                <w:b/>
                <w:i/>
                <w:noProof/>
                <w:lang w:eastAsia="en-GB"/>
              </w:rPr>
            </w:pPr>
            <w:r w:rsidRPr="00FA0D37">
              <w:rPr>
                <w:b/>
                <w:i/>
                <w:noProof/>
                <w:lang w:eastAsia="en-GB"/>
              </w:rPr>
              <w:t>measCellListEUTRA</w:t>
            </w:r>
          </w:p>
          <w:p w14:paraId="04A03D64" w14:textId="77777777" w:rsidR="00394471" w:rsidRPr="00FA0D37" w:rsidRDefault="00394471" w:rsidP="00964CC4">
            <w:pPr>
              <w:pStyle w:val="TAL"/>
              <w:rPr>
                <w:b/>
                <w:i/>
                <w:noProof/>
                <w:lang w:eastAsia="en-GB"/>
              </w:rPr>
            </w:pPr>
            <w:r w:rsidRPr="00FA0D37">
              <w:rPr>
                <w:lang w:eastAsia="en-GB"/>
              </w:rPr>
              <w:t>Indicates the list of E-UTRA cells which the UE is requested to measure and report for idle/inactive measurements.</w:t>
            </w:r>
          </w:p>
        </w:tc>
      </w:tr>
      <w:tr w:rsidR="005C7FF4" w:rsidRPr="00FA0D37"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FA0D37" w:rsidRDefault="00394471" w:rsidP="00964CC4">
            <w:pPr>
              <w:pStyle w:val="TAL"/>
              <w:rPr>
                <w:b/>
                <w:i/>
                <w:noProof/>
                <w:lang w:eastAsia="en-GB"/>
              </w:rPr>
            </w:pPr>
            <w:r w:rsidRPr="00FA0D37">
              <w:rPr>
                <w:b/>
                <w:i/>
                <w:noProof/>
                <w:lang w:eastAsia="en-GB"/>
              </w:rPr>
              <w:t>measCellListNR</w:t>
            </w:r>
          </w:p>
          <w:p w14:paraId="43B9D6C3" w14:textId="77777777" w:rsidR="00394471" w:rsidRPr="00FA0D37" w:rsidRDefault="00394471" w:rsidP="00964CC4">
            <w:pPr>
              <w:pStyle w:val="TAL"/>
              <w:rPr>
                <w:b/>
                <w:i/>
                <w:noProof/>
                <w:lang w:eastAsia="en-GB"/>
              </w:rPr>
            </w:pPr>
            <w:r w:rsidRPr="00FA0D37">
              <w:rPr>
                <w:lang w:eastAsia="en-GB"/>
              </w:rPr>
              <w:t>Indicates the list of NR cells which the UE is requested to measure and report for idle/inactive measurements.</w:t>
            </w:r>
          </w:p>
        </w:tc>
      </w:tr>
      <w:tr w:rsidR="005C7FF4" w:rsidRPr="00FA0D37"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FA0D37" w:rsidRDefault="00394471" w:rsidP="00964CC4">
            <w:pPr>
              <w:pStyle w:val="TAL"/>
              <w:rPr>
                <w:b/>
                <w:i/>
                <w:noProof/>
                <w:lang w:eastAsia="en-GB"/>
              </w:rPr>
            </w:pPr>
            <w:r w:rsidRPr="00FA0D37">
              <w:rPr>
                <w:b/>
                <w:i/>
                <w:noProof/>
                <w:lang w:eastAsia="en-GB"/>
              </w:rPr>
              <w:t>measIdleCarrierListEUTRA</w:t>
            </w:r>
          </w:p>
          <w:p w14:paraId="6F3ED926" w14:textId="77777777" w:rsidR="00394471" w:rsidRPr="00FA0D37" w:rsidRDefault="00394471" w:rsidP="00964CC4">
            <w:pPr>
              <w:pStyle w:val="TAL"/>
              <w:rPr>
                <w:bCs/>
                <w:iCs/>
                <w:noProof/>
                <w:lang w:eastAsia="en-GB"/>
              </w:rPr>
            </w:pPr>
            <w:r w:rsidRPr="00FA0D37">
              <w:rPr>
                <w:bCs/>
                <w:iCs/>
                <w:noProof/>
                <w:lang w:eastAsia="en-GB"/>
              </w:rPr>
              <w:t>Indicates the E-UTRA carriers to be measured during RRC_IDLE or RRC_INACTIVE.</w:t>
            </w:r>
          </w:p>
        </w:tc>
      </w:tr>
      <w:tr w:rsidR="005C7FF4" w:rsidRPr="00FA0D37"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FA0D37" w:rsidRDefault="00394471" w:rsidP="00964CC4">
            <w:pPr>
              <w:pStyle w:val="TAL"/>
              <w:rPr>
                <w:b/>
                <w:i/>
                <w:noProof/>
                <w:lang w:eastAsia="en-GB"/>
              </w:rPr>
            </w:pPr>
            <w:r w:rsidRPr="00FA0D37">
              <w:rPr>
                <w:b/>
                <w:i/>
                <w:noProof/>
                <w:lang w:eastAsia="en-GB"/>
              </w:rPr>
              <w:t>measIdleCarrierListNR</w:t>
            </w:r>
          </w:p>
          <w:p w14:paraId="7981D667" w14:textId="77777777" w:rsidR="00394471" w:rsidRPr="00FA0D37" w:rsidRDefault="00394471" w:rsidP="00964CC4">
            <w:pPr>
              <w:pStyle w:val="TAL"/>
              <w:rPr>
                <w:bCs/>
                <w:iCs/>
                <w:noProof/>
                <w:lang w:eastAsia="en-GB"/>
              </w:rPr>
            </w:pPr>
            <w:r w:rsidRPr="00FA0D37">
              <w:rPr>
                <w:bCs/>
                <w:iCs/>
                <w:noProof/>
                <w:lang w:eastAsia="en-GB"/>
              </w:rPr>
              <w:t>Indicates the NR carriers to be measured during RRC_IDLE or RRC_INACTIVE.</w:t>
            </w:r>
          </w:p>
        </w:tc>
      </w:tr>
      <w:tr w:rsidR="005C7FF4" w:rsidRPr="00FA0D37"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FA0D37" w:rsidRDefault="00394471" w:rsidP="00964CC4">
            <w:pPr>
              <w:pStyle w:val="TAL"/>
              <w:rPr>
                <w:b/>
                <w:i/>
                <w:szCs w:val="22"/>
                <w:lang w:eastAsia="sv-SE"/>
              </w:rPr>
            </w:pPr>
            <w:r w:rsidRPr="00FA0D37">
              <w:rPr>
                <w:b/>
                <w:i/>
                <w:noProof/>
                <w:lang w:eastAsia="en-GB"/>
              </w:rPr>
              <w:t>measIdleDuration</w:t>
            </w:r>
          </w:p>
          <w:p w14:paraId="40DF70BD" w14:textId="77777777" w:rsidR="00394471" w:rsidRPr="00FA0D37" w:rsidRDefault="00394471" w:rsidP="00964CC4">
            <w:pPr>
              <w:pStyle w:val="TAL"/>
              <w:rPr>
                <w:szCs w:val="22"/>
                <w:lang w:eastAsia="sv-SE"/>
              </w:rPr>
            </w:pPr>
            <w:r w:rsidRPr="00FA0D37">
              <w:rPr>
                <w:lang w:eastAsia="en-GB"/>
              </w:rPr>
              <w:t>Indicates the duration for performing idle/inactive measurements while in RRC_IDLE or RRC_INACTIVE. Value sec10 correspond to 10 seconds, value sec30 to 30 seconds and so on</w:t>
            </w:r>
            <w:r w:rsidRPr="00FA0D37">
              <w:rPr>
                <w:szCs w:val="22"/>
                <w:lang w:eastAsia="sv-SE"/>
              </w:rPr>
              <w:t>.</w:t>
            </w:r>
          </w:p>
        </w:tc>
      </w:tr>
      <w:tr w:rsidR="005C7FF4" w:rsidRPr="00FA0D37"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FA0D37" w:rsidRDefault="00394471" w:rsidP="00964CC4">
            <w:pPr>
              <w:pStyle w:val="TAL"/>
              <w:rPr>
                <w:b/>
                <w:i/>
                <w:noProof/>
                <w:lang w:eastAsia="en-GB"/>
              </w:rPr>
            </w:pPr>
            <w:r w:rsidRPr="00FA0D37">
              <w:rPr>
                <w:b/>
                <w:i/>
                <w:noProof/>
                <w:lang w:eastAsia="en-GB"/>
              </w:rPr>
              <w:t>nrofSS-BlocksToAverage</w:t>
            </w:r>
          </w:p>
          <w:p w14:paraId="4D2A241E" w14:textId="77777777" w:rsidR="00394471" w:rsidRPr="00FA0D37" w:rsidRDefault="00394471" w:rsidP="00964CC4">
            <w:pPr>
              <w:pStyle w:val="TAL"/>
              <w:rPr>
                <w:bCs/>
                <w:iCs/>
                <w:noProof/>
                <w:lang w:eastAsia="en-GB"/>
              </w:rPr>
            </w:pPr>
            <w:r w:rsidRPr="00FA0D37">
              <w:rPr>
                <w:bCs/>
                <w:iCs/>
                <w:noProof/>
                <w:lang w:eastAsia="en-GB"/>
              </w:rPr>
              <w:t>Number of SS blocks to average for cell measurement derivation.</w:t>
            </w:r>
          </w:p>
        </w:tc>
      </w:tr>
      <w:tr w:rsidR="005C7FF4" w:rsidRPr="00FA0D37"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FA0D37" w:rsidRDefault="00394471" w:rsidP="00964CC4">
            <w:pPr>
              <w:pStyle w:val="TAL"/>
              <w:rPr>
                <w:b/>
                <w:i/>
                <w:noProof/>
                <w:lang w:eastAsia="en-GB"/>
              </w:rPr>
            </w:pPr>
            <w:r w:rsidRPr="00FA0D37">
              <w:rPr>
                <w:b/>
                <w:i/>
                <w:noProof/>
                <w:lang w:eastAsia="en-GB"/>
              </w:rPr>
              <w:t>qualityThreshold</w:t>
            </w:r>
          </w:p>
          <w:p w14:paraId="3BE3BAF7" w14:textId="77777777" w:rsidR="00394471" w:rsidRPr="00FA0D37" w:rsidRDefault="00394471" w:rsidP="00964CC4">
            <w:pPr>
              <w:pStyle w:val="TAL"/>
              <w:rPr>
                <w:bCs/>
                <w:iCs/>
                <w:noProof/>
                <w:lang w:eastAsia="en-GB"/>
              </w:rPr>
            </w:pPr>
            <w:r w:rsidRPr="00FA0D37">
              <w:rPr>
                <w:bCs/>
                <w:iCs/>
                <w:noProof/>
                <w:lang w:eastAsia="en-GB"/>
              </w:rPr>
              <w:t>Indicates the quality thresholds for reporting the measured cells for idle/inactive NR measurements.</w:t>
            </w:r>
          </w:p>
        </w:tc>
      </w:tr>
      <w:tr w:rsidR="005C7FF4" w:rsidRPr="00FA0D37"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FA0D37" w:rsidRDefault="00394471" w:rsidP="00964CC4">
            <w:pPr>
              <w:pStyle w:val="TAL"/>
              <w:rPr>
                <w:b/>
                <w:i/>
                <w:noProof/>
                <w:lang w:eastAsia="en-GB"/>
              </w:rPr>
            </w:pPr>
            <w:r w:rsidRPr="00FA0D37">
              <w:rPr>
                <w:b/>
                <w:i/>
                <w:noProof/>
                <w:lang w:eastAsia="en-GB"/>
              </w:rPr>
              <w:t>qualityThresholdEUTRA</w:t>
            </w:r>
          </w:p>
          <w:p w14:paraId="151ABAFB" w14:textId="77777777" w:rsidR="00394471" w:rsidRPr="00FA0D37" w:rsidRDefault="00394471" w:rsidP="00964CC4">
            <w:pPr>
              <w:pStyle w:val="TAL"/>
              <w:rPr>
                <w:bCs/>
                <w:iCs/>
                <w:noProof/>
                <w:lang w:eastAsia="en-GB"/>
              </w:rPr>
            </w:pPr>
            <w:r w:rsidRPr="00FA0D37">
              <w:rPr>
                <w:bCs/>
                <w:iCs/>
                <w:noProof/>
                <w:lang w:eastAsia="en-GB"/>
              </w:rPr>
              <w:t>Indicates the quality thresholds for reporting the measured cells for idle/inactive E-UTRA measurements.</w:t>
            </w:r>
          </w:p>
        </w:tc>
      </w:tr>
      <w:tr w:rsidR="005C7FF4" w:rsidRPr="00FA0D37"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FA0D37" w:rsidRDefault="00394471" w:rsidP="00964CC4">
            <w:pPr>
              <w:pStyle w:val="TAL"/>
              <w:rPr>
                <w:b/>
                <w:i/>
                <w:noProof/>
                <w:lang w:eastAsia="en-GB"/>
              </w:rPr>
            </w:pPr>
            <w:r w:rsidRPr="00FA0D37">
              <w:rPr>
                <w:b/>
                <w:i/>
                <w:noProof/>
                <w:lang w:eastAsia="en-GB"/>
              </w:rPr>
              <w:t>reportQuantities</w:t>
            </w:r>
          </w:p>
          <w:p w14:paraId="4C6E1FDC" w14:textId="77777777" w:rsidR="00394471" w:rsidRPr="00FA0D37" w:rsidRDefault="00394471" w:rsidP="00964CC4">
            <w:pPr>
              <w:pStyle w:val="TAL"/>
              <w:rPr>
                <w:b/>
                <w:i/>
                <w:noProof/>
                <w:lang w:eastAsia="en-GB"/>
              </w:rPr>
            </w:pPr>
            <w:r w:rsidRPr="00FA0D37">
              <w:rPr>
                <w:lang w:eastAsia="en-GB"/>
              </w:rPr>
              <w:t xml:space="preserve">Indicates which measurement quantities UE is requested to report in the idle/inactive measurement report. </w:t>
            </w:r>
          </w:p>
        </w:tc>
      </w:tr>
      <w:tr w:rsidR="005C7FF4" w:rsidRPr="00FA0D37"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FA0D37" w:rsidRDefault="00394471" w:rsidP="00964CC4">
            <w:pPr>
              <w:pStyle w:val="TAL"/>
              <w:rPr>
                <w:b/>
                <w:i/>
                <w:noProof/>
                <w:lang w:eastAsia="en-GB"/>
              </w:rPr>
            </w:pPr>
            <w:r w:rsidRPr="00FA0D37">
              <w:rPr>
                <w:b/>
                <w:i/>
                <w:noProof/>
                <w:lang w:eastAsia="en-GB"/>
              </w:rPr>
              <w:t>reportQuantitiesEUTRA</w:t>
            </w:r>
          </w:p>
          <w:p w14:paraId="18D2B06B" w14:textId="77777777" w:rsidR="00394471" w:rsidRPr="00FA0D37" w:rsidRDefault="00394471" w:rsidP="00964CC4">
            <w:pPr>
              <w:pStyle w:val="TAL"/>
              <w:rPr>
                <w:bCs/>
                <w:iCs/>
                <w:noProof/>
                <w:lang w:eastAsia="en-GB"/>
              </w:rPr>
            </w:pPr>
            <w:r w:rsidRPr="00FA0D37">
              <w:rPr>
                <w:bCs/>
                <w:iCs/>
                <w:noProof/>
                <w:lang w:eastAsia="en-GB"/>
              </w:rPr>
              <w:t>Indicates which E-UTRA measurement quantities the UE is requested to report in the idle/inactive measurement report.</w:t>
            </w:r>
          </w:p>
        </w:tc>
      </w:tr>
      <w:tr w:rsidR="005C7FF4" w:rsidRPr="00FA0D37"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FA0D37" w:rsidRDefault="00394471" w:rsidP="00964CC4">
            <w:pPr>
              <w:pStyle w:val="TAL"/>
              <w:rPr>
                <w:b/>
                <w:i/>
                <w:noProof/>
                <w:lang w:eastAsia="en-GB"/>
              </w:rPr>
            </w:pPr>
            <w:r w:rsidRPr="00FA0D37">
              <w:rPr>
                <w:b/>
                <w:i/>
                <w:noProof/>
                <w:lang w:eastAsia="en-GB"/>
              </w:rPr>
              <w:t>reportQuantityRS-Indexes</w:t>
            </w:r>
          </w:p>
          <w:p w14:paraId="12239BE6" w14:textId="77777777" w:rsidR="00394471" w:rsidRPr="00FA0D37" w:rsidRDefault="00394471" w:rsidP="00964CC4">
            <w:pPr>
              <w:pStyle w:val="TAL"/>
              <w:rPr>
                <w:bCs/>
                <w:iCs/>
                <w:noProof/>
                <w:lang w:eastAsia="en-GB"/>
              </w:rPr>
            </w:pPr>
            <w:r w:rsidRPr="00FA0D37">
              <w:rPr>
                <w:bCs/>
                <w:iCs/>
                <w:noProof/>
                <w:lang w:eastAsia="en-GB"/>
              </w:rPr>
              <w:t>Indicates which measurement information per beam index the UE shall include in the NR idle/inactive measurement results.</w:t>
            </w:r>
          </w:p>
        </w:tc>
      </w:tr>
      <w:tr w:rsidR="005C7FF4" w:rsidRPr="00FA0D37"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FA0D37" w:rsidRDefault="00394471" w:rsidP="00964CC4">
            <w:pPr>
              <w:pStyle w:val="TAL"/>
              <w:rPr>
                <w:b/>
                <w:i/>
                <w:noProof/>
                <w:lang w:eastAsia="en-GB"/>
              </w:rPr>
            </w:pPr>
            <w:r w:rsidRPr="00FA0D37">
              <w:rPr>
                <w:b/>
                <w:i/>
                <w:noProof/>
                <w:lang w:eastAsia="en-GB"/>
              </w:rPr>
              <w:lastRenderedPageBreak/>
              <w:t>smtc</w:t>
            </w:r>
          </w:p>
          <w:p w14:paraId="092350D0" w14:textId="77777777" w:rsidR="00394471" w:rsidRPr="00FA0D37" w:rsidRDefault="00394471" w:rsidP="00964CC4">
            <w:pPr>
              <w:pStyle w:val="TAL"/>
              <w:rPr>
                <w:bCs/>
                <w:iCs/>
                <w:noProof/>
                <w:lang w:eastAsia="en-GB"/>
              </w:rPr>
            </w:pPr>
            <w:r w:rsidRPr="00FA0D37">
              <w:rPr>
                <w:bCs/>
                <w:iCs/>
                <w:noProof/>
                <w:lang w:eastAsia="en-GB"/>
              </w:rPr>
              <w:t xml:space="preserve">Indicates the measurement timing configuration for inter-frequency measurement. If this field is absent in </w:t>
            </w:r>
            <w:r w:rsidRPr="00FA0D37">
              <w:rPr>
                <w:bCs/>
                <w:i/>
                <w:noProof/>
                <w:lang w:eastAsia="en-GB"/>
              </w:rPr>
              <w:t>VarMeasIdleConfig</w:t>
            </w:r>
            <w:r w:rsidRPr="00FA0D37">
              <w:rPr>
                <w:bCs/>
                <w:iCs/>
                <w:noProof/>
                <w:lang w:eastAsia="en-GB"/>
              </w:rPr>
              <w:t>, the UE assumes that SSB periodicity is 5 ms in this frequency.</w:t>
            </w:r>
          </w:p>
        </w:tc>
      </w:tr>
      <w:tr w:rsidR="005C7FF4" w:rsidRPr="00FA0D37"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FA0D37" w:rsidRDefault="00394471" w:rsidP="00964CC4">
            <w:pPr>
              <w:pStyle w:val="TAL"/>
              <w:rPr>
                <w:b/>
                <w:i/>
                <w:noProof/>
                <w:lang w:eastAsia="en-GB"/>
              </w:rPr>
            </w:pPr>
            <w:r w:rsidRPr="00FA0D37">
              <w:rPr>
                <w:b/>
                <w:i/>
                <w:noProof/>
                <w:lang w:eastAsia="en-GB"/>
              </w:rPr>
              <w:t>ssbSubcarrierSpacing</w:t>
            </w:r>
          </w:p>
          <w:p w14:paraId="42DB1E9D" w14:textId="4FA9750E" w:rsidR="00394471" w:rsidRPr="00FA0D37" w:rsidRDefault="00394471" w:rsidP="00964CC4">
            <w:pPr>
              <w:pStyle w:val="TAL"/>
              <w:rPr>
                <w:bCs/>
                <w:iCs/>
                <w:noProof/>
                <w:lang w:eastAsia="en-GB"/>
              </w:rPr>
            </w:pPr>
            <w:r w:rsidRPr="00FA0D37">
              <w:rPr>
                <w:bCs/>
                <w:iCs/>
                <w:noProof/>
                <w:lang w:eastAsia="en-GB"/>
              </w:rPr>
              <w:t>Indicates subcarrier spacing of SSB.</w:t>
            </w:r>
          </w:p>
          <w:p w14:paraId="5DE7823C" w14:textId="77777777" w:rsidR="006C501F" w:rsidRPr="00FA0D37" w:rsidRDefault="006C501F" w:rsidP="006C501F">
            <w:pPr>
              <w:pStyle w:val="TAL"/>
              <w:rPr>
                <w:bCs/>
                <w:iCs/>
                <w:noProof/>
                <w:lang w:eastAsia="en-GB"/>
              </w:rPr>
            </w:pPr>
            <w:r w:rsidRPr="00FA0D37">
              <w:rPr>
                <w:bCs/>
                <w:iCs/>
                <w:noProof/>
                <w:lang w:eastAsia="en-GB"/>
              </w:rPr>
              <w:t>Only the following values are applicable depending on the used frequency:</w:t>
            </w:r>
          </w:p>
          <w:p w14:paraId="157C32FB" w14:textId="77777777" w:rsidR="006C501F" w:rsidRPr="00FA0D37" w:rsidRDefault="006C501F" w:rsidP="006C501F">
            <w:pPr>
              <w:pStyle w:val="TAL"/>
              <w:rPr>
                <w:bCs/>
                <w:iCs/>
                <w:noProof/>
                <w:lang w:eastAsia="en-GB"/>
              </w:rPr>
            </w:pPr>
            <w:r w:rsidRPr="00FA0D37">
              <w:rPr>
                <w:bCs/>
                <w:iCs/>
                <w:noProof/>
                <w:lang w:eastAsia="en-GB"/>
              </w:rPr>
              <w:t>FR1:    15 or 30 kHz</w:t>
            </w:r>
          </w:p>
          <w:p w14:paraId="243A2EFA" w14:textId="77777777" w:rsidR="00F747EB" w:rsidRPr="00FA0D37" w:rsidRDefault="006C501F" w:rsidP="006C501F">
            <w:pPr>
              <w:pStyle w:val="TAL"/>
              <w:rPr>
                <w:bCs/>
                <w:iCs/>
                <w:noProof/>
                <w:lang w:eastAsia="en-GB"/>
              </w:rPr>
            </w:pPr>
            <w:r w:rsidRPr="00FA0D37">
              <w:rPr>
                <w:bCs/>
                <w:iCs/>
                <w:noProof/>
                <w:lang w:eastAsia="en-GB"/>
              </w:rPr>
              <w:t>FR2-1:  120 or 240 kHz</w:t>
            </w:r>
          </w:p>
          <w:p w14:paraId="618482F5" w14:textId="6728F4F9" w:rsidR="006C501F" w:rsidRPr="00FA0D37" w:rsidRDefault="006C501F" w:rsidP="006C501F">
            <w:pPr>
              <w:pStyle w:val="TAL"/>
              <w:rPr>
                <w:bCs/>
                <w:iCs/>
                <w:noProof/>
                <w:lang w:eastAsia="en-GB"/>
              </w:rPr>
            </w:pPr>
            <w:r w:rsidRPr="00FA0D37">
              <w:rPr>
                <w:bCs/>
                <w:iCs/>
                <w:noProof/>
                <w:lang w:eastAsia="en-GB"/>
              </w:rPr>
              <w:t>FR2-2:  120, 480, or 960 kHz</w:t>
            </w:r>
          </w:p>
        </w:tc>
      </w:tr>
      <w:tr w:rsidR="005C7FF4" w:rsidRPr="00FA0D37"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FA0D37" w:rsidRDefault="00394471" w:rsidP="00964CC4">
            <w:pPr>
              <w:pStyle w:val="TAL"/>
              <w:rPr>
                <w:b/>
                <w:i/>
                <w:noProof/>
                <w:lang w:eastAsia="en-GB"/>
              </w:rPr>
            </w:pPr>
            <w:r w:rsidRPr="00FA0D37">
              <w:rPr>
                <w:b/>
                <w:i/>
                <w:noProof/>
                <w:lang w:eastAsia="en-GB"/>
              </w:rPr>
              <w:t>ssb-ToMeasure</w:t>
            </w:r>
          </w:p>
          <w:p w14:paraId="7FCF6D9B" w14:textId="77777777" w:rsidR="00394471" w:rsidRPr="00FA0D37" w:rsidRDefault="00394471" w:rsidP="00964CC4">
            <w:pPr>
              <w:pStyle w:val="TAL"/>
              <w:rPr>
                <w:bCs/>
                <w:iCs/>
                <w:noProof/>
                <w:lang w:eastAsia="en-GB"/>
              </w:rPr>
            </w:pPr>
            <w:r w:rsidRPr="00FA0D37">
              <w:rPr>
                <w:bCs/>
                <w:iCs/>
                <w:noProof/>
                <w:lang w:eastAsia="en-GB"/>
              </w:rPr>
              <w:t xml:space="preserve">The set of SS blocks to be measured within the SMTC measurement duration (see TS 38.215 [9]). When the field is absent in </w:t>
            </w:r>
            <w:r w:rsidRPr="00FA0D37">
              <w:rPr>
                <w:bCs/>
                <w:i/>
                <w:noProof/>
                <w:lang w:eastAsia="en-GB"/>
              </w:rPr>
              <w:t>VarMeasIdleConfig</w:t>
            </w:r>
            <w:r w:rsidRPr="00FA0D37">
              <w:rPr>
                <w:bCs/>
                <w:iCs/>
                <w:noProof/>
                <w:lang w:eastAsia="en-GB"/>
              </w:rPr>
              <w:t>, the UE measures on all SS-blocks.</w:t>
            </w:r>
          </w:p>
        </w:tc>
      </w:tr>
      <w:tr w:rsidR="005C7FF4" w:rsidRPr="00FA0D37"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FA0D37" w:rsidRDefault="00394471" w:rsidP="00964CC4">
            <w:pPr>
              <w:pStyle w:val="TAL"/>
              <w:rPr>
                <w:b/>
                <w:i/>
                <w:noProof/>
                <w:lang w:eastAsia="en-GB"/>
              </w:rPr>
            </w:pPr>
            <w:r w:rsidRPr="00FA0D37">
              <w:rPr>
                <w:b/>
                <w:i/>
                <w:noProof/>
                <w:lang w:eastAsia="en-GB"/>
              </w:rPr>
              <w:t>ss-RSSI-Measurement</w:t>
            </w:r>
          </w:p>
          <w:p w14:paraId="5194D24C" w14:textId="77777777" w:rsidR="00394471" w:rsidRPr="00FA0D37" w:rsidRDefault="00394471" w:rsidP="00964CC4">
            <w:pPr>
              <w:pStyle w:val="TAL"/>
              <w:rPr>
                <w:bCs/>
                <w:iCs/>
                <w:noProof/>
                <w:lang w:eastAsia="en-GB"/>
              </w:rPr>
            </w:pPr>
            <w:r w:rsidRPr="00FA0D37">
              <w:rPr>
                <w:bCs/>
                <w:iCs/>
                <w:noProof/>
                <w:lang w:eastAsia="en-GB"/>
              </w:rPr>
              <w:t xml:space="preserve">Indicates the SSB-based RSSI measurement configuration. If the field is absent in </w:t>
            </w:r>
            <w:r w:rsidRPr="00FA0D37">
              <w:rPr>
                <w:bCs/>
                <w:i/>
                <w:noProof/>
                <w:lang w:eastAsia="en-GB"/>
              </w:rPr>
              <w:t>VarMeasIdleConfig</w:t>
            </w:r>
            <w:r w:rsidRPr="00FA0D37">
              <w:rPr>
                <w:bCs/>
                <w:iCs/>
                <w:noProof/>
                <w:lang w:eastAsia="en-GB"/>
              </w:rPr>
              <w:t>, the UE behaviour is defined in TS 38.215 [89], clause 5.1.3.</w:t>
            </w:r>
          </w:p>
        </w:tc>
      </w:tr>
      <w:tr w:rsidR="00394471" w:rsidRPr="00FA0D37"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FA0D37" w:rsidRDefault="00394471" w:rsidP="00964CC4">
            <w:pPr>
              <w:pStyle w:val="TAL"/>
              <w:rPr>
                <w:b/>
                <w:i/>
                <w:iCs/>
                <w:szCs w:val="22"/>
                <w:lang w:eastAsia="en-GB"/>
              </w:rPr>
            </w:pPr>
            <w:r w:rsidRPr="00FA0D37">
              <w:rPr>
                <w:b/>
                <w:i/>
                <w:iCs/>
                <w:szCs w:val="22"/>
                <w:lang w:eastAsia="en-GB"/>
              </w:rPr>
              <w:t>validityAreaList</w:t>
            </w:r>
          </w:p>
          <w:p w14:paraId="0CA87705" w14:textId="77777777" w:rsidR="00394471" w:rsidRPr="00FA0D37" w:rsidRDefault="00394471" w:rsidP="00964CC4">
            <w:pPr>
              <w:pStyle w:val="TAL"/>
              <w:rPr>
                <w:b/>
                <w:i/>
                <w:iCs/>
                <w:szCs w:val="22"/>
                <w:lang w:eastAsia="en-GB"/>
              </w:rPr>
            </w:pPr>
            <w:r w:rsidRPr="00FA0D37">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FA0D37" w:rsidRDefault="00394471" w:rsidP="00394471"/>
    <w:p w14:paraId="258F30F1" w14:textId="77777777" w:rsidR="00394471" w:rsidRPr="00FA0D37" w:rsidRDefault="00394471" w:rsidP="00394471">
      <w:pPr>
        <w:pStyle w:val="4"/>
        <w:rPr>
          <w:i/>
        </w:rPr>
      </w:pPr>
      <w:bookmarkStart w:id="1083" w:name="_Toc60777257"/>
      <w:bookmarkStart w:id="1084" w:name="_Toc146781317"/>
      <w:r w:rsidRPr="00FA0D37">
        <w:t>–</w:t>
      </w:r>
      <w:r w:rsidRPr="00FA0D37">
        <w:tab/>
      </w:r>
      <w:r w:rsidRPr="00FA0D37">
        <w:rPr>
          <w:i/>
        </w:rPr>
        <w:t>MeasIdToAddModList</w:t>
      </w:r>
      <w:bookmarkEnd w:id="1083"/>
      <w:bookmarkEnd w:id="1084"/>
    </w:p>
    <w:p w14:paraId="01554C1F" w14:textId="77777777" w:rsidR="00394471" w:rsidRPr="00FA0D37" w:rsidRDefault="00394471" w:rsidP="00394471">
      <w:r w:rsidRPr="00FA0D37">
        <w:t xml:space="preserve">The IE </w:t>
      </w:r>
      <w:r w:rsidRPr="00FA0D37">
        <w:rPr>
          <w:i/>
        </w:rPr>
        <w:t xml:space="preserve">MeasIdToAddModList </w:t>
      </w:r>
      <w:r w:rsidRPr="00FA0D37">
        <w:t xml:space="preserve">concerns a list of measurement identities to add or modify, with for each entry the measId, the associated </w:t>
      </w:r>
      <w:r w:rsidRPr="00FA0D37">
        <w:rPr>
          <w:i/>
        </w:rPr>
        <w:t>measObjectId</w:t>
      </w:r>
      <w:r w:rsidRPr="00FA0D37">
        <w:t xml:space="preserve"> and the associated </w:t>
      </w:r>
      <w:r w:rsidRPr="00FA0D37">
        <w:rPr>
          <w:i/>
        </w:rPr>
        <w:t>reportConfigId</w:t>
      </w:r>
      <w:r w:rsidRPr="00FA0D37">
        <w:t>.</w:t>
      </w:r>
    </w:p>
    <w:p w14:paraId="4055E813" w14:textId="77777777" w:rsidR="00394471" w:rsidRPr="00FA0D37" w:rsidRDefault="00394471" w:rsidP="00394471">
      <w:pPr>
        <w:pStyle w:val="TH"/>
      </w:pPr>
      <w:r w:rsidRPr="00FA0D37">
        <w:rPr>
          <w:i/>
        </w:rPr>
        <w:t xml:space="preserve">MeasIdToAddModList </w:t>
      </w:r>
      <w:r w:rsidRPr="00FA0D37">
        <w:t>information element</w:t>
      </w:r>
    </w:p>
    <w:p w14:paraId="3AB4FE31" w14:textId="77777777" w:rsidR="00394471" w:rsidRPr="00FA0D37" w:rsidRDefault="00394471" w:rsidP="00FA0D37">
      <w:pPr>
        <w:pStyle w:val="PL"/>
        <w:rPr>
          <w:color w:val="808080"/>
        </w:rPr>
      </w:pPr>
      <w:r w:rsidRPr="00FA0D37">
        <w:rPr>
          <w:color w:val="808080"/>
        </w:rPr>
        <w:t>-- ASN1START</w:t>
      </w:r>
    </w:p>
    <w:p w14:paraId="4C886236" w14:textId="77777777" w:rsidR="00394471" w:rsidRPr="00FA0D37" w:rsidRDefault="00394471" w:rsidP="00FA0D37">
      <w:pPr>
        <w:pStyle w:val="PL"/>
        <w:rPr>
          <w:color w:val="808080"/>
        </w:rPr>
      </w:pPr>
      <w:r w:rsidRPr="00FA0D37">
        <w:rPr>
          <w:color w:val="808080"/>
        </w:rPr>
        <w:t>-- TAG-MEASIDTOADDMODLIST-START</w:t>
      </w:r>
    </w:p>
    <w:p w14:paraId="272C853D" w14:textId="77777777" w:rsidR="00394471" w:rsidRPr="00FA0D37" w:rsidRDefault="00394471" w:rsidP="00FA0D37">
      <w:pPr>
        <w:pStyle w:val="PL"/>
      </w:pPr>
    </w:p>
    <w:p w14:paraId="720043E8" w14:textId="77777777" w:rsidR="00394471" w:rsidRPr="00FA0D37" w:rsidRDefault="00394471" w:rsidP="00FA0D37">
      <w:pPr>
        <w:pStyle w:val="PL"/>
      </w:pPr>
      <w:r w:rsidRPr="00FA0D37">
        <w:t xml:space="preserve">MeasIdToAddModList ::=              </w:t>
      </w:r>
      <w:r w:rsidRPr="00FA0D37">
        <w:rPr>
          <w:color w:val="993366"/>
        </w:rPr>
        <w:t>SEQUENCE</w:t>
      </w:r>
      <w:r w:rsidRPr="00FA0D37">
        <w:t xml:space="preserve"> (</w:t>
      </w:r>
      <w:r w:rsidRPr="00FA0D37">
        <w:rPr>
          <w:color w:val="993366"/>
        </w:rPr>
        <w:t>SIZE</w:t>
      </w:r>
      <w:r w:rsidRPr="00FA0D37">
        <w:t xml:space="preserve"> (1..maxNrofMeasId))</w:t>
      </w:r>
      <w:r w:rsidRPr="00FA0D37">
        <w:rPr>
          <w:color w:val="993366"/>
        </w:rPr>
        <w:t xml:space="preserve"> OF</w:t>
      </w:r>
      <w:r w:rsidRPr="00FA0D37">
        <w:t xml:space="preserve"> MeasIdToAddMod</w:t>
      </w:r>
    </w:p>
    <w:p w14:paraId="0F3A17D1" w14:textId="77777777" w:rsidR="00394471" w:rsidRPr="00FA0D37" w:rsidRDefault="00394471" w:rsidP="00FA0D37">
      <w:pPr>
        <w:pStyle w:val="PL"/>
      </w:pPr>
    </w:p>
    <w:p w14:paraId="42B05C35" w14:textId="77777777" w:rsidR="00394471" w:rsidRPr="00FA0D37" w:rsidRDefault="00394471" w:rsidP="00FA0D37">
      <w:pPr>
        <w:pStyle w:val="PL"/>
      </w:pPr>
      <w:r w:rsidRPr="00FA0D37">
        <w:t xml:space="preserve">MeasIdToAddMod ::=                  </w:t>
      </w:r>
      <w:r w:rsidRPr="00FA0D37">
        <w:rPr>
          <w:color w:val="993366"/>
        </w:rPr>
        <w:t>SEQUENCE</w:t>
      </w:r>
      <w:r w:rsidRPr="00FA0D37">
        <w:t xml:space="preserve"> {</w:t>
      </w:r>
    </w:p>
    <w:p w14:paraId="02CE2856" w14:textId="77777777" w:rsidR="00394471" w:rsidRPr="00FA0D37" w:rsidRDefault="00394471" w:rsidP="00FA0D37">
      <w:pPr>
        <w:pStyle w:val="PL"/>
      </w:pPr>
      <w:r w:rsidRPr="00FA0D37">
        <w:t xml:space="preserve">    measId                              MeasId,</w:t>
      </w:r>
    </w:p>
    <w:p w14:paraId="39EE1EDE" w14:textId="77777777" w:rsidR="00394471" w:rsidRPr="00FA0D37" w:rsidRDefault="00394471" w:rsidP="00FA0D37">
      <w:pPr>
        <w:pStyle w:val="PL"/>
      </w:pPr>
      <w:r w:rsidRPr="00FA0D37">
        <w:t xml:space="preserve">    measObjectId                        MeasObjectId,</w:t>
      </w:r>
    </w:p>
    <w:p w14:paraId="7F230A41" w14:textId="77777777" w:rsidR="00394471" w:rsidRPr="00FA0D37" w:rsidRDefault="00394471" w:rsidP="00FA0D37">
      <w:pPr>
        <w:pStyle w:val="PL"/>
      </w:pPr>
      <w:r w:rsidRPr="00FA0D37">
        <w:t xml:space="preserve">    reportConfigId                      ReportConfigId</w:t>
      </w:r>
    </w:p>
    <w:p w14:paraId="7E4D6E20" w14:textId="77777777" w:rsidR="00394471" w:rsidRPr="00FA0D37" w:rsidRDefault="00394471" w:rsidP="00FA0D37">
      <w:pPr>
        <w:pStyle w:val="PL"/>
      </w:pPr>
      <w:r w:rsidRPr="00FA0D37">
        <w:t>}</w:t>
      </w:r>
    </w:p>
    <w:p w14:paraId="7B86AE0B" w14:textId="77777777" w:rsidR="00394471" w:rsidRPr="00FA0D37" w:rsidRDefault="00394471" w:rsidP="00FA0D37">
      <w:pPr>
        <w:pStyle w:val="PL"/>
      </w:pPr>
    </w:p>
    <w:p w14:paraId="78CFD5E7" w14:textId="77777777" w:rsidR="00394471" w:rsidRPr="00FA0D37" w:rsidRDefault="00394471" w:rsidP="00FA0D37">
      <w:pPr>
        <w:pStyle w:val="PL"/>
        <w:rPr>
          <w:color w:val="808080"/>
        </w:rPr>
      </w:pPr>
      <w:r w:rsidRPr="00FA0D37">
        <w:rPr>
          <w:color w:val="808080"/>
        </w:rPr>
        <w:t>-- TAG-MEASIDTOADDMODLIST-STOP</w:t>
      </w:r>
    </w:p>
    <w:p w14:paraId="584DED23" w14:textId="77777777" w:rsidR="00394471" w:rsidRPr="00FA0D37" w:rsidRDefault="00394471" w:rsidP="00FA0D37">
      <w:pPr>
        <w:pStyle w:val="PL"/>
        <w:rPr>
          <w:color w:val="808080"/>
        </w:rPr>
      </w:pPr>
      <w:r w:rsidRPr="00FA0D37">
        <w:rPr>
          <w:color w:val="808080"/>
        </w:rPr>
        <w:t>-- ASN1STOP</w:t>
      </w:r>
    </w:p>
    <w:p w14:paraId="408F390C" w14:textId="77777777" w:rsidR="00394471" w:rsidRPr="00FA0D37" w:rsidRDefault="00394471" w:rsidP="00394471"/>
    <w:p w14:paraId="518C5953" w14:textId="77777777" w:rsidR="00394471" w:rsidRPr="00FA0D37" w:rsidRDefault="00394471" w:rsidP="00394471">
      <w:pPr>
        <w:pStyle w:val="4"/>
        <w:rPr>
          <w:i/>
          <w:iCs/>
        </w:rPr>
      </w:pPr>
      <w:bookmarkStart w:id="1085" w:name="_Toc60777258"/>
      <w:bookmarkStart w:id="1086" w:name="_Toc146781318"/>
      <w:r w:rsidRPr="00FA0D37">
        <w:rPr>
          <w:i/>
          <w:iCs/>
        </w:rPr>
        <w:t>–</w:t>
      </w:r>
      <w:r w:rsidRPr="00FA0D37">
        <w:rPr>
          <w:i/>
          <w:iCs/>
        </w:rPr>
        <w:tab/>
        <w:t>MeasObjectCLI</w:t>
      </w:r>
      <w:bookmarkEnd w:id="1085"/>
      <w:bookmarkEnd w:id="1086"/>
    </w:p>
    <w:p w14:paraId="104BA870" w14:textId="77777777" w:rsidR="00394471" w:rsidRPr="00FA0D37" w:rsidRDefault="00394471" w:rsidP="00394471">
      <w:r w:rsidRPr="00FA0D37">
        <w:t xml:space="preserve">The IE </w:t>
      </w:r>
      <w:r w:rsidRPr="00FA0D37">
        <w:rPr>
          <w:i/>
        </w:rPr>
        <w:t>MeasObjectCLI</w:t>
      </w:r>
      <w:r w:rsidRPr="00FA0D37">
        <w:t xml:space="preserve"> specifies information applicable for SRS-RSRP measurements and/or CLI-RSSI measurements.</w:t>
      </w:r>
    </w:p>
    <w:p w14:paraId="418977A7" w14:textId="77777777" w:rsidR="00394471" w:rsidRPr="00FA0D37" w:rsidRDefault="00394471" w:rsidP="00394471">
      <w:pPr>
        <w:pStyle w:val="TH"/>
      </w:pPr>
      <w:r w:rsidRPr="00FA0D37">
        <w:rPr>
          <w:i/>
        </w:rPr>
        <w:lastRenderedPageBreak/>
        <w:t>MeasObjectCLI</w:t>
      </w:r>
      <w:r w:rsidRPr="00FA0D37">
        <w:t xml:space="preserve"> information element</w:t>
      </w:r>
    </w:p>
    <w:p w14:paraId="51C00687" w14:textId="77777777" w:rsidR="00394471" w:rsidRPr="00FA0D37" w:rsidRDefault="00394471" w:rsidP="00FA0D37">
      <w:pPr>
        <w:pStyle w:val="PL"/>
        <w:rPr>
          <w:color w:val="808080"/>
        </w:rPr>
      </w:pPr>
      <w:r w:rsidRPr="00FA0D37">
        <w:rPr>
          <w:color w:val="808080"/>
        </w:rPr>
        <w:t>-- ASN1START</w:t>
      </w:r>
    </w:p>
    <w:p w14:paraId="4EC7401C" w14:textId="77777777" w:rsidR="00394471" w:rsidRPr="00FA0D37" w:rsidRDefault="00394471" w:rsidP="00FA0D37">
      <w:pPr>
        <w:pStyle w:val="PL"/>
        <w:rPr>
          <w:color w:val="808080"/>
        </w:rPr>
      </w:pPr>
      <w:r w:rsidRPr="00FA0D37">
        <w:rPr>
          <w:color w:val="808080"/>
        </w:rPr>
        <w:t>-- TAG-MEASOBJECTCLI-START</w:t>
      </w:r>
    </w:p>
    <w:p w14:paraId="4CF34E8F" w14:textId="77777777" w:rsidR="00394471" w:rsidRPr="00FA0D37" w:rsidRDefault="00394471" w:rsidP="00FA0D37">
      <w:pPr>
        <w:pStyle w:val="PL"/>
      </w:pPr>
    </w:p>
    <w:p w14:paraId="2D199C5E" w14:textId="77777777" w:rsidR="00394471" w:rsidRPr="00FA0D37" w:rsidRDefault="00394471" w:rsidP="00FA0D37">
      <w:pPr>
        <w:pStyle w:val="PL"/>
        <w:rPr>
          <w:rFonts w:eastAsia="Malgun Gothic"/>
        </w:rPr>
      </w:pPr>
      <w:r w:rsidRPr="00FA0D37">
        <w:t xml:space="preserve">MeasObjectCLI-r16 ::=                  </w:t>
      </w:r>
      <w:r w:rsidRPr="00FA0D37">
        <w:rPr>
          <w:color w:val="993366"/>
        </w:rPr>
        <w:t>SEQUENCE</w:t>
      </w:r>
      <w:r w:rsidRPr="00FA0D37">
        <w:t xml:space="preserve"> {</w:t>
      </w:r>
    </w:p>
    <w:p w14:paraId="4A908283" w14:textId="77777777" w:rsidR="00394471" w:rsidRPr="00FA0D37" w:rsidRDefault="00394471" w:rsidP="00FA0D37">
      <w:pPr>
        <w:pStyle w:val="PL"/>
      </w:pPr>
      <w:r w:rsidRPr="00FA0D37">
        <w:rPr>
          <w:rFonts w:eastAsia="Malgun Gothic"/>
        </w:rPr>
        <w:t xml:space="preserve">     </w:t>
      </w:r>
      <w:r w:rsidRPr="00FA0D37">
        <w:t>cli-ResourceConfig-r16               CLI-ResourceConfig-r16,</w:t>
      </w:r>
    </w:p>
    <w:p w14:paraId="24EBB68E" w14:textId="77777777" w:rsidR="00394471" w:rsidRPr="00FA0D37" w:rsidRDefault="00394471" w:rsidP="00FA0D37">
      <w:pPr>
        <w:pStyle w:val="PL"/>
        <w:rPr>
          <w:rFonts w:eastAsia="Malgun Gothic"/>
        </w:rPr>
      </w:pPr>
      <w:r w:rsidRPr="00FA0D37">
        <w:t xml:space="preserve">    ...</w:t>
      </w:r>
    </w:p>
    <w:p w14:paraId="01C72CB2" w14:textId="77777777" w:rsidR="00394471" w:rsidRPr="00FA0D37" w:rsidRDefault="00394471" w:rsidP="00FA0D37">
      <w:pPr>
        <w:pStyle w:val="PL"/>
      </w:pPr>
      <w:r w:rsidRPr="00FA0D37">
        <w:t>}</w:t>
      </w:r>
    </w:p>
    <w:p w14:paraId="510A6A9A" w14:textId="77777777" w:rsidR="00394471" w:rsidRPr="00FA0D37" w:rsidRDefault="00394471" w:rsidP="00FA0D37">
      <w:pPr>
        <w:pStyle w:val="PL"/>
      </w:pPr>
    </w:p>
    <w:p w14:paraId="17A869CC" w14:textId="77777777" w:rsidR="00394471" w:rsidRPr="00FA0D37" w:rsidRDefault="00394471" w:rsidP="00FA0D37">
      <w:pPr>
        <w:pStyle w:val="PL"/>
      </w:pPr>
      <w:r w:rsidRPr="00FA0D37">
        <w:t xml:space="preserve">CLI-ResourceConfig-r16 ::=          </w:t>
      </w:r>
      <w:r w:rsidRPr="00FA0D37">
        <w:rPr>
          <w:color w:val="993366"/>
        </w:rPr>
        <w:t>SEQUENCE</w:t>
      </w:r>
      <w:r w:rsidRPr="00FA0D37">
        <w:t xml:space="preserve"> {</w:t>
      </w:r>
    </w:p>
    <w:p w14:paraId="32EF650B" w14:textId="77777777" w:rsidR="00394471" w:rsidRPr="00FA0D37" w:rsidRDefault="00394471" w:rsidP="00FA0D37">
      <w:pPr>
        <w:pStyle w:val="PL"/>
        <w:rPr>
          <w:color w:val="808080"/>
        </w:rPr>
      </w:pPr>
      <w:r w:rsidRPr="00FA0D37">
        <w:t xml:space="preserve">    srs-ResourceConfig-r16              SetupRelease { SRS-ResourceListConfigCLI-r16 }                 </w:t>
      </w:r>
      <w:r w:rsidRPr="00FA0D37">
        <w:rPr>
          <w:color w:val="993366"/>
        </w:rPr>
        <w:t>OPTIONAL</w:t>
      </w:r>
      <w:r w:rsidRPr="00FA0D37">
        <w:t xml:space="preserve">,   </w:t>
      </w:r>
      <w:r w:rsidRPr="00FA0D37">
        <w:rPr>
          <w:color w:val="808080"/>
        </w:rPr>
        <w:t>-- Need M</w:t>
      </w:r>
    </w:p>
    <w:p w14:paraId="250417BC" w14:textId="77777777" w:rsidR="00394471" w:rsidRPr="00FA0D37" w:rsidRDefault="00394471" w:rsidP="00FA0D37">
      <w:pPr>
        <w:pStyle w:val="PL"/>
        <w:rPr>
          <w:color w:val="808080"/>
        </w:rPr>
      </w:pPr>
      <w:r w:rsidRPr="00FA0D37">
        <w:t xml:space="preserve">    rssi-ResourceConfig-r16             SetupRelease { RSSI-ResourceListConfigCLI-r16 }                </w:t>
      </w:r>
      <w:r w:rsidRPr="00FA0D37">
        <w:rPr>
          <w:color w:val="993366"/>
        </w:rPr>
        <w:t>OPTIONAL</w:t>
      </w:r>
      <w:r w:rsidRPr="00FA0D37">
        <w:t xml:space="preserve">    </w:t>
      </w:r>
      <w:r w:rsidRPr="00FA0D37">
        <w:rPr>
          <w:color w:val="808080"/>
        </w:rPr>
        <w:t>-- Need M</w:t>
      </w:r>
    </w:p>
    <w:p w14:paraId="290F5EBD" w14:textId="77777777" w:rsidR="00394471" w:rsidRPr="00FA0D37" w:rsidRDefault="00394471" w:rsidP="00FA0D37">
      <w:pPr>
        <w:pStyle w:val="PL"/>
      </w:pPr>
      <w:r w:rsidRPr="00FA0D37">
        <w:t>}</w:t>
      </w:r>
    </w:p>
    <w:p w14:paraId="4DB25186" w14:textId="77777777" w:rsidR="00394471" w:rsidRPr="00FA0D37" w:rsidRDefault="00394471" w:rsidP="00FA0D37">
      <w:pPr>
        <w:pStyle w:val="PL"/>
      </w:pPr>
    </w:p>
    <w:p w14:paraId="4CEE6BDA" w14:textId="77777777" w:rsidR="00394471" w:rsidRPr="00FA0D37" w:rsidRDefault="00394471" w:rsidP="00FA0D37">
      <w:pPr>
        <w:pStyle w:val="PL"/>
      </w:pPr>
      <w:r w:rsidRPr="00FA0D37">
        <w:t xml:space="preserve">SRS-ResourceListConfigCLI-r16 ::=   </w:t>
      </w:r>
      <w:r w:rsidRPr="00FA0D37">
        <w:rPr>
          <w:color w:val="993366"/>
        </w:rPr>
        <w:t>SEQUENCE</w:t>
      </w:r>
      <w:r w:rsidRPr="00FA0D37">
        <w:t xml:space="preserve"> (</w:t>
      </w:r>
      <w:r w:rsidRPr="00FA0D37">
        <w:rPr>
          <w:color w:val="993366"/>
        </w:rPr>
        <w:t>SIZE</w:t>
      </w:r>
      <w:r w:rsidRPr="00FA0D37">
        <w:t xml:space="preserve"> (1.. maxNrofCLI-SRS-Resources-r16))</w:t>
      </w:r>
      <w:r w:rsidRPr="00FA0D37">
        <w:rPr>
          <w:color w:val="993366"/>
        </w:rPr>
        <w:t xml:space="preserve"> OF</w:t>
      </w:r>
      <w:r w:rsidRPr="00FA0D37">
        <w:t xml:space="preserve"> SRS-ResourceConfigCLI-r16</w:t>
      </w:r>
    </w:p>
    <w:p w14:paraId="71AC72CB" w14:textId="77777777" w:rsidR="00394471" w:rsidRPr="00FA0D37" w:rsidRDefault="00394471" w:rsidP="00FA0D37">
      <w:pPr>
        <w:pStyle w:val="PL"/>
      </w:pPr>
    </w:p>
    <w:p w14:paraId="7FBCC576" w14:textId="77777777" w:rsidR="00394471" w:rsidRPr="00FA0D37" w:rsidRDefault="00394471" w:rsidP="00FA0D37">
      <w:pPr>
        <w:pStyle w:val="PL"/>
      </w:pPr>
      <w:r w:rsidRPr="00FA0D37">
        <w:t xml:space="preserve">RSSI-ResourceListConfigCLI-r16 ::=  </w:t>
      </w:r>
      <w:r w:rsidRPr="00FA0D37">
        <w:rPr>
          <w:color w:val="993366"/>
        </w:rPr>
        <w:t>SEQUENCE</w:t>
      </w:r>
      <w:r w:rsidRPr="00FA0D37">
        <w:t xml:space="preserve"> (</w:t>
      </w:r>
      <w:r w:rsidRPr="00FA0D37">
        <w:rPr>
          <w:color w:val="993366"/>
        </w:rPr>
        <w:t>SIZE</w:t>
      </w:r>
      <w:r w:rsidRPr="00FA0D37">
        <w:t xml:space="preserve"> (1.. maxNrofCLI-RSSI-Resources-r16))</w:t>
      </w:r>
      <w:r w:rsidRPr="00FA0D37">
        <w:rPr>
          <w:color w:val="993366"/>
        </w:rPr>
        <w:t xml:space="preserve"> OF</w:t>
      </w:r>
      <w:r w:rsidRPr="00FA0D37">
        <w:t xml:space="preserve"> RSSI-ResourceConfigCLI-r16</w:t>
      </w:r>
    </w:p>
    <w:p w14:paraId="07F0397B" w14:textId="77777777" w:rsidR="00394471" w:rsidRPr="00FA0D37" w:rsidRDefault="00394471" w:rsidP="00FA0D37">
      <w:pPr>
        <w:pStyle w:val="PL"/>
      </w:pPr>
    </w:p>
    <w:p w14:paraId="25D9CFAB" w14:textId="77777777" w:rsidR="00394471" w:rsidRPr="00FA0D37" w:rsidRDefault="00394471" w:rsidP="00FA0D37">
      <w:pPr>
        <w:pStyle w:val="PL"/>
      </w:pPr>
      <w:r w:rsidRPr="00FA0D37">
        <w:t xml:space="preserve">SRS-ResourceConfigCLI-r16 ::=       </w:t>
      </w:r>
      <w:r w:rsidRPr="00FA0D37">
        <w:rPr>
          <w:color w:val="993366"/>
        </w:rPr>
        <w:t>SEQUENCE</w:t>
      </w:r>
      <w:r w:rsidRPr="00FA0D37">
        <w:t xml:space="preserve"> {</w:t>
      </w:r>
    </w:p>
    <w:p w14:paraId="30009E80" w14:textId="77777777" w:rsidR="00394471" w:rsidRPr="00FA0D37" w:rsidRDefault="00394471" w:rsidP="00FA0D37">
      <w:pPr>
        <w:pStyle w:val="PL"/>
      </w:pPr>
      <w:r w:rsidRPr="00FA0D37">
        <w:t xml:space="preserve">    srs-Resource-r16                    SRS-Resource,</w:t>
      </w:r>
    </w:p>
    <w:p w14:paraId="22CD6400" w14:textId="77777777" w:rsidR="00394471" w:rsidRPr="00FA0D37" w:rsidRDefault="00394471" w:rsidP="00FA0D37">
      <w:pPr>
        <w:pStyle w:val="PL"/>
      </w:pPr>
      <w:r w:rsidRPr="00FA0D37">
        <w:t xml:space="preserve">    srs-SCS-r16                         SubcarrierSpacing,</w:t>
      </w:r>
    </w:p>
    <w:p w14:paraId="3C822320" w14:textId="77777777" w:rsidR="00394471" w:rsidRPr="00FA0D37" w:rsidRDefault="00394471" w:rsidP="00FA0D37">
      <w:pPr>
        <w:pStyle w:val="PL"/>
        <w:rPr>
          <w:color w:val="808080"/>
        </w:rPr>
      </w:pPr>
      <w:r w:rsidRPr="00FA0D37">
        <w:t xml:space="preserve">    refServCellIndex-r16                ServCellIndex                                                  </w:t>
      </w:r>
      <w:r w:rsidRPr="00FA0D37">
        <w:rPr>
          <w:color w:val="993366"/>
        </w:rPr>
        <w:t>OPTIONAL</w:t>
      </w:r>
      <w:r w:rsidRPr="00FA0D37">
        <w:t xml:space="preserve">,   </w:t>
      </w:r>
      <w:r w:rsidRPr="00FA0D37">
        <w:rPr>
          <w:color w:val="808080"/>
        </w:rPr>
        <w:t>-- Need S</w:t>
      </w:r>
    </w:p>
    <w:p w14:paraId="678A5545" w14:textId="77777777" w:rsidR="00394471" w:rsidRPr="00FA0D37" w:rsidRDefault="00394471" w:rsidP="00FA0D37">
      <w:pPr>
        <w:pStyle w:val="PL"/>
      </w:pPr>
      <w:r w:rsidRPr="00FA0D37">
        <w:t xml:space="preserve">    refBWP-r16                          BWP-Id,</w:t>
      </w:r>
    </w:p>
    <w:p w14:paraId="40F61F51" w14:textId="77777777" w:rsidR="00394471" w:rsidRPr="00FA0D37" w:rsidRDefault="00394471" w:rsidP="00FA0D37">
      <w:pPr>
        <w:pStyle w:val="PL"/>
      </w:pPr>
      <w:r w:rsidRPr="00FA0D37">
        <w:t xml:space="preserve">    ...</w:t>
      </w:r>
    </w:p>
    <w:p w14:paraId="3D1C4BCE" w14:textId="77777777" w:rsidR="00394471" w:rsidRPr="00FA0D37" w:rsidRDefault="00394471" w:rsidP="00FA0D37">
      <w:pPr>
        <w:pStyle w:val="PL"/>
      </w:pPr>
      <w:r w:rsidRPr="00FA0D37">
        <w:t>}</w:t>
      </w:r>
    </w:p>
    <w:p w14:paraId="0194EE77" w14:textId="77777777" w:rsidR="00394471" w:rsidRPr="00FA0D37" w:rsidRDefault="00394471" w:rsidP="00FA0D37">
      <w:pPr>
        <w:pStyle w:val="PL"/>
      </w:pPr>
    </w:p>
    <w:p w14:paraId="498CE96D" w14:textId="77777777" w:rsidR="00394471" w:rsidRPr="00FA0D37" w:rsidRDefault="00394471" w:rsidP="00FA0D37">
      <w:pPr>
        <w:pStyle w:val="PL"/>
      </w:pPr>
      <w:r w:rsidRPr="00FA0D37">
        <w:t xml:space="preserve">RSSI-ResourceConfigCLI-r16 ::=      </w:t>
      </w:r>
      <w:r w:rsidRPr="00FA0D37">
        <w:rPr>
          <w:color w:val="993366"/>
        </w:rPr>
        <w:t>SEQUENCE</w:t>
      </w:r>
      <w:r w:rsidRPr="00FA0D37">
        <w:t xml:space="preserve"> {</w:t>
      </w:r>
    </w:p>
    <w:p w14:paraId="3DE3DC28" w14:textId="77777777" w:rsidR="00394471" w:rsidRPr="00FA0D37" w:rsidRDefault="00394471" w:rsidP="00FA0D37">
      <w:pPr>
        <w:pStyle w:val="PL"/>
      </w:pPr>
      <w:r w:rsidRPr="00FA0D37">
        <w:t xml:space="preserve">    rssi-ResourceId-r16                 RSSI-ResourceId-r16,</w:t>
      </w:r>
    </w:p>
    <w:p w14:paraId="6981BC80" w14:textId="77777777" w:rsidR="00394471" w:rsidRPr="00FA0D37" w:rsidRDefault="00394471" w:rsidP="00FA0D37">
      <w:pPr>
        <w:pStyle w:val="PL"/>
      </w:pPr>
      <w:r w:rsidRPr="00FA0D37">
        <w:t xml:space="preserve">    rssi-SCS-r16                        SubcarrierSpacing,</w:t>
      </w:r>
    </w:p>
    <w:p w14:paraId="31296FC4" w14:textId="77777777" w:rsidR="00394471" w:rsidRPr="00FA0D37" w:rsidRDefault="00394471" w:rsidP="00FA0D37">
      <w:pPr>
        <w:pStyle w:val="PL"/>
      </w:pPr>
      <w:r w:rsidRPr="00FA0D37">
        <w:t xml:space="preserve">    startPRB-r16                        </w:t>
      </w:r>
      <w:r w:rsidRPr="00FA0D37">
        <w:rPr>
          <w:color w:val="993366"/>
        </w:rPr>
        <w:t>INTEGER</w:t>
      </w:r>
      <w:r w:rsidRPr="00FA0D37">
        <w:t xml:space="preserve"> (0..2169),</w:t>
      </w:r>
    </w:p>
    <w:p w14:paraId="1DB16FF2" w14:textId="77777777" w:rsidR="00394471" w:rsidRPr="00FA0D37" w:rsidRDefault="00394471" w:rsidP="00FA0D37">
      <w:pPr>
        <w:pStyle w:val="PL"/>
      </w:pPr>
      <w:r w:rsidRPr="00FA0D37">
        <w:t xml:space="preserve">    nrofPRBs-r16                        </w:t>
      </w:r>
      <w:r w:rsidRPr="00FA0D37">
        <w:rPr>
          <w:color w:val="993366"/>
        </w:rPr>
        <w:t>INTEGER</w:t>
      </w:r>
      <w:r w:rsidRPr="00FA0D37">
        <w:t xml:space="preserve"> (4..maxNrofPhysicalResourceBlocksPlus1),</w:t>
      </w:r>
    </w:p>
    <w:p w14:paraId="3B20642A" w14:textId="77777777" w:rsidR="00394471" w:rsidRPr="00FA0D37" w:rsidRDefault="00394471" w:rsidP="00FA0D37">
      <w:pPr>
        <w:pStyle w:val="PL"/>
      </w:pPr>
      <w:r w:rsidRPr="00FA0D37">
        <w:t xml:space="preserve">    startPosition-r16                   </w:t>
      </w:r>
      <w:r w:rsidRPr="00FA0D37">
        <w:rPr>
          <w:color w:val="993366"/>
        </w:rPr>
        <w:t>INTEGER</w:t>
      </w:r>
      <w:r w:rsidRPr="00FA0D37">
        <w:t xml:space="preserve"> (0..13),</w:t>
      </w:r>
    </w:p>
    <w:p w14:paraId="64AF8383" w14:textId="77777777" w:rsidR="00394471" w:rsidRPr="00FA0D37" w:rsidRDefault="00394471" w:rsidP="00FA0D37">
      <w:pPr>
        <w:pStyle w:val="PL"/>
      </w:pPr>
      <w:r w:rsidRPr="00FA0D37">
        <w:t xml:space="preserve">    nrofSymbols-r16                     </w:t>
      </w:r>
      <w:r w:rsidRPr="00FA0D37">
        <w:rPr>
          <w:color w:val="993366"/>
        </w:rPr>
        <w:t>INTEGER</w:t>
      </w:r>
      <w:r w:rsidRPr="00FA0D37">
        <w:t xml:space="preserve"> (1..14),</w:t>
      </w:r>
    </w:p>
    <w:p w14:paraId="3C5513C7" w14:textId="77777777" w:rsidR="00394471" w:rsidRPr="00FA0D37" w:rsidRDefault="00394471" w:rsidP="00FA0D37">
      <w:pPr>
        <w:pStyle w:val="PL"/>
      </w:pPr>
      <w:r w:rsidRPr="00FA0D37">
        <w:t xml:space="preserve">    rssi-PeriodicityAndOffset-r16       RSSI-PeriodicityAndOffset-r16,</w:t>
      </w:r>
    </w:p>
    <w:p w14:paraId="26E4954F" w14:textId="77777777" w:rsidR="00394471" w:rsidRPr="00FA0D37" w:rsidRDefault="00394471" w:rsidP="00FA0D37">
      <w:pPr>
        <w:pStyle w:val="PL"/>
        <w:rPr>
          <w:color w:val="808080"/>
        </w:rPr>
      </w:pPr>
      <w:r w:rsidRPr="00FA0D37">
        <w:t xml:space="preserve">    refServCellIndex-r16                ServCellIndex                                                  </w:t>
      </w:r>
      <w:r w:rsidRPr="00FA0D37">
        <w:rPr>
          <w:color w:val="993366"/>
        </w:rPr>
        <w:t>OPTIONAL</w:t>
      </w:r>
      <w:r w:rsidRPr="00FA0D37">
        <w:t xml:space="preserve">,   </w:t>
      </w:r>
      <w:r w:rsidRPr="00FA0D37">
        <w:rPr>
          <w:color w:val="808080"/>
        </w:rPr>
        <w:t>-- Need S</w:t>
      </w:r>
    </w:p>
    <w:p w14:paraId="2A40AD46" w14:textId="77777777" w:rsidR="00394471" w:rsidRPr="00FA0D37" w:rsidRDefault="00394471" w:rsidP="00FA0D37">
      <w:pPr>
        <w:pStyle w:val="PL"/>
      </w:pPr>
      <w:r w:rsidRPr="00FA0D37">
        <w:t xml:space="preserve">    ...</w:t>
      </w:r>
    </w:p>
    <w:p w14:paraId="0E442B67" w14:textId="77777777" w:rsidR="00394471" w:rsidRPr="00FA0D37" w:rsidRDefault="00394471" w:rsidP="00FA0D37">
      <w:pPr>
        <w:pStyle w:val="PL"/>
      </w:pPr>
      <w:r w:rsidRPr="00FA0D37">
        <w:t>}</w:t>
      </w:r>
    </w:p>
    <w:p w14:paraId="6841C124" w14:textId="77777777" w:rsidR="00394471" w:rsidRPr="00FA0D37" w:rsidRDefault="00394471" w:rsidP="00FA0D37">
      <w:pPr>
        <w:pStyle w:val="PL"/>
      </w:pPr>
    </w:p>
    <w:p w14:paraId="3D9B8128" w14:textId="478301D2" w:rsidR="00394471" w:rsidRPr="00FA0D37" w:rsidRDefault="00394471" w:rsidP="00FA0D37">
      <w:pPr>
        <w:pStyle w:val="PL"/>
      </w:pPr>
      <w:r w:rsidRPr="00FA0D37">
        <w:t xml:space="preserve">RSSI-ResourceId-r16 ::=             </w:t>
      </w:r>
      <w:r w:rsidRPr="00FA0D37">
        <w:rPr>
          <w:color w:val="993366"/>
        </w:rPr>
        <w:t>INTEGER</w:t>
      </w:r>
      <w:r w:rsidRPr="00FA0D37">
        <w:t xml:space="preserve"> (0.. maxNrofCLI-RSSI-Resources-</w:t>
      </w:r>
      <w:r w:rsidR="00FB04AA" w:rsidRPr="00FA0D37">
        <w:t>1-r16</w:t>
      </w:r>
      <w:r w:rsidRPr="00FA0D37">
        <w:t>)</w:t>
      </w:r>
    </w:p>
    <w:p w14:paraId="11B6B7C5" w14:textId="77777777" w:rsidR="00394471" w:rsidRPr="00FA0D37" w:rsidRDefault="00394471" w:rsidP="00FA0D37">
      <w:pPr>
        <w:pStyle w:val="PL"/>
      </w:pPr>
    </w:p>
    <w:p w14:paraId="29B4CB0C" w14:textId="77777777" w:rsidR="00394471" w:rsidRPr="00FA0D37" w:rsidRDefault="00394471" w:rsidP="00FA0D37">
      <w:pPr>
        <w:pStyle w:val="PL"/>
      </w:pPr>
      <w:r w:rsidRPr="00FA0D37">
        <w:t xml:space="preserve">RSSI-PeriodicityAndOffset-r16 ::=   </w:t>
      </w:r>
      <w:r w:rsidRPr="00FA0D37">
        <w:rPr>
          <w:color w:val="993366"/>
        </w:rPr>
        <w:t>CHOICE</w:t>
      </w:r>
      <w:r w:rsidRPr="00FA0D37">
        <w:t xml:space="preserve"> {</w:t>
      </w:r>
    </w:p>
    <w:p w14:paraId="17DE53F8" w14:textId="77777777" w:rsidR="00394471" w:rsidRPr="00FA0D37" w:rsidRDefault="00394471" w:rsidP="00FA0D37">
      <w:pPr>
        <w:pStyle w:val="PL"/>
      </w:pPr>
      <w:r w:rsidRPr="00FA0D37">
        <w:t xml:space="preserve">    sl10                                </w:t>
      </w:r>
      <w:r w:rsidRPr="00FA0D37">
        <w:rPr>
          <w:color w:val="993366"/>
        </w:rPr>
        <w:t>INTEGER</w:t>
      </w:r>
      <w:r w:rsidRPr="00FA0D37">
        <w:t>(0..9),</w:t>
      </w:r>
    </w:p>
    <w:p w14:paraId="474804F2" w14:textId="77777777" w:rsidR="00394471" w:rsidRPr="00FA0D37" w:rsidRDefault="00394471" w:rsidP="00FA0D37">
      <w:pPr>
        <w:pStyle w:val="PL"/>
      </w:pPr>
      <w:r w:rsidRPr="00FA0D37">
        <w:t xml:space="preserve">    sl20                                </w:t>
      </w:r>
      <w:r w:rsidRPr="00FA0D37">
        <w:rPr>
          <w:color w:val="993366"/>
        </w:rPr>
        <w:t>INTEGER</w:t>
      </w:r>
      <w:r w:rsidRPr="00FA0D37">
        <w:t>(0..19),</w:t>
      </w:r>
    </w:p>
    <w:p w14:paraId="30F28611" w14:textId="77777777" w:rsidR="00394471" w:rsidRPr="00FA0D37" w:rsidRDefault="00394471" w:rsidP="00FA0D37">
      <w:pPr>
        <w:pStyle w:val="PL"/>
      </w:pPr>
      <w:r w:rsidRPr="00FA0D37">
        <w:t xml:space="preserve">    sl40                                </w:t>
      </w:r>
      <w:r w:rsidRPr="00FA0D37">
        <w:rPr>
          <w:color w:val="993366"/>
        </w:rPr>
        <w:t>INTEGER</w:t>
      </w:r>
      <w:r w:rsidRPr="00FA0D37">
        <w:t>(0..39),</w:t>
      </w:r>
    </w:p>
    <w:p w14:paraId="630DFEF5" w14:textId="77777777" w:rsidR="00394471" w:rsidRPr="00FA0D37" w:rsidRDefault="00394471" w:rsidP="00FA0D37">
      <w:pPr>
        <w:pStyle w:val="PL"/>
      </w:pPr>
      <w:r w:rsidRPr="00FA0D37">
        <w:t xml:space="preserve">    sl80                                </w:t>
      </w:r>
      <w:r w:rsidRPr="00FA0D37">
        <w:rPr>
          <w:color w:val="993366"/>
        </w:rPr>
        <w:t>INTEGER</w:t>
      </w:r>
      <w:r w:rsidRPr="00FA0D37">
        <w:t>(0..79),</w:t>
      </w:r>
    </w:p>
    <w:p w14:paraId="2AFAF378" w14:textId="77777777" w:rsidR="00394471" w:rsidRPr="00FA0D37" w:rsidRDefault="00394471" w:rsidP="00FA0D37">
      <w:pPr>
        <w:pStyle w:val="PL"/>
      </w:pPr>
      <w:r w:rsidRPr="00FA0D37">
        <w:t xml:space="preserve">    sl160                               </w:t>
      </w:r>
      <w:r w:rsidRPr="00FA0D37">
        <w:rPr>
          <w:color w:val="993366"/>
        </w:rPr>
        <w:t>INTEGER</w:t>
      </w:r>
      <w:r w:rsidRPr="00FA0D37">
        <w:t>(0..159),</w:t>
      </w:r>
    </w:p>
    <w:p w14:paraId="785AFCBC" w14:textId="77777777" w:rsidR="00394471" w:rsidRPr="00FA0D37" w:rsidRDefault="00394471" w:rsidP="00FA0D37">
      <w:pPr>
        <w:pStyle w:val="PL"/>
      </w:pPr>
      <w:r w:rsidRPr="00FA0D37">
        <w:t xml:space="preserve">    sl320                               </w:t>
      </w:r>
      <w:r w:rsidRPr="00FA0D37">
        <w:rPr>
          <w:color w:val="993366"/>
        </w:rPr>
        <w:t>INTEGER</w:t>
      </w:r>
      <w:r w:rsidRPr="00FA0D37">
        <w:t>(0..319),</w:t>
      </w:r>
    </w:p>
    <w:p w14:paraId="559EB6B3" w14:textId="77777777" w:rsidR="00394471" w:rsidRPr="00FA0D37" w:rsidRDefault="00394471" w:rsidP="00FA0D37">
      <w:pPr>
        <w:pStyle w:val="PL"/>
      </w:pPr>
      <w:r w:rsidRPr="00FA0D37">
        <w:t xml:space="preserve">    s1640                               </w:t>
      </w:r>
      <w:r w:rsidRPr="00FA0D37">
        <w:rPr>
          <w:color w:val="993366"/>
        </w:rPr>
        <w:t>INTEGER</w:t>
      </w:r>
      <w:r w:rsidRPr="00FA0D37">
        <w:t>(0..639),</w:t>
      </w:r>
    </w:p>
    <w:p w14:paraId="44D3DB5A" w14:textId="77777777" w:rsidR="00394471" w:rsidRPr="00FA0D37" w:rsidRDefault="00394471" w:rsidP="00FA0D37">
      <w:pPr>
        <w:pStyle w:val="PL"/>
      </w:pPr>
      <w:r w:rsidRPr="00FA0D37">
        <w:t xml:space="preserve">    ...</w:t>
      </w:r>
    </w:p>
    <w:p w14:paraId="0E92DBDF" w14:textId="77777777" w:rsidR="00394471" w:rsidRPr="00FA0D37" w:rsidRDefault="00394471" w:rsidP="00FA0D37">
      <w:pPr>
        <w:pStyle w:val="PL"/>
      </w:pPr>
      <w:r w:rsidRPr="00FA0D37">
        <w:t>}</w:t>
      </w:r>
    </w:p>
    <w:p w14:paraId="3309BB20" w14:textId="77777777" w:rsidR="00394471" w:rsidRPr="00FA0D37" w:rsidRDefault="00394471" w:rsidP="00FA0D37">
      <w:pPr>
        <w:pStyle w:val="PL"/>
      </w:pPr>
    </w:p>
    <w:p w14:paraId="175C8E8C" w14:textId="77777777" w:rsidR="00394471" w:rsidRPr="00FA0D37" w:rsidRDefault="00394471" w:rsidP="00FA0D37">
      <w:pPr>
        <w:pStyle w:val="PL"/>
        <w:rPr>
          <w:color w:val="808080"/>
        </w:rPr>
      </w:pPr>
      <w:r w:rsidRPr="00FA0D37">
        <w:rPr>
          <w:color w:val="808080"/>
        </w:rPr>
        <w:t>-- TAG-MEASOBJECTCLI-STOP</w:t>
      </w:r>
    </w:p>
    <w:p w14:paraId="54D5551E" w14:textId="77777777" w:rsidR="00394471" w:rsidRPr="00FA0D37" w:rsidRDefault="00394471" w:rsidP="00FA0D37">
      <w:pPr>
        <w:pStyle w:val="PL"/>
        <w:rPr>
          <w:color w:val="808080"/>
        </w:rPr>
      </w:pPr>
      <w:r w:rsidRPr="00FA0D37">
        <w:rPr>
          <w:color w:val="808080"/>
        </w:rPr>
        <w:t>-- ASN1STOP</w:t>
      </w:r>
    </w:p>
    <w:p w14:paraId="172F4BF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FA0D37" w:rsidRDefault="00394471" w:rsidP="00964CC4">
            <w:pPr>
              <w:pStyle w:val="TAH"/>
              <w:rPr>
                <w:szCs w:val="22"/>
                <w:lang w:eastAsia="sv-SE"/>
              </w:rPr>
            </w:pPr>
            <w:r w:rsidRPr="00FA0D37">
              <w:rPr>
                <w:i/>
                <w:szCs w:val="22"/>
                <w:lang w:eastAsia="sv-SE"/>
              </w:rPr>
              <w:t xml:space="preserve">CLI-ResourceConfig </w:t>
            </w:r>
            <w:r w:rsidRPr="00FA0D37">
              <w:rPr>
                <w:szCs w:val="22"/>
                <w:lang w:eastAsia="sv-SE"/>
              </w:rPr>
              <w:t>field descriptions</w:t>
            </w:r>
          </w:p>
        </w:tc>
      </w:tr>
      <w:tr w:rsidR="005C7FF4" w:rsidRPr="00FA0D37"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FA0D37" w:rsidRDefault="00394471" w:rsidP="00964CC4">
            <w:pPr>
              <w:pStyle w:val="TAL"/>
              <w:rPr>
                <w:b/>
                <w:i/>
                <w:szCs w:val="22"/>
                <w:lang w:eastAsia="sv-SE"/>
              </w:rPr>
            </w:pPr>
            <w:r w:rsidRPr="00FA0D37">
              <w:rPr>
                <w:b/>
                <w:i/>
                <w:szCs w:val="22"/>
                <w:lang w:eastAsia="sv-SE"/>
              </w:rPr>
              <w:t>srs-ResourceConfig</w:t>
            </w:r>
          </w:p>
          <w:p w14:paraId="26E9EBAB" w14:textId="77777777" w:rsidR="00394471" w:rsidRPr="00FA0D37" w:rsidRDefault="00394471" w:rsidP="00964CC4">
            <w:pPr>
              <w:pStyle w:val="TAL"/>
              <w:rPr>
                <w:szCs w:val="22"/>
                <w:lang w:eastAsia="sv-SE"/>
              </w:rPr>
            </w:pPr>
            <w:r w:rsidRPr="00FA0D37">
              <w:rPr>
                <w:szCs w:val="22"/>
                <w:lang w:eastAsia="sv-SE"/>
              </w:rPr>
              <w:t>SRS resources to be used for CLI measurements.</w:t>
            </w:r>
          </w:p>
        </w:tc>
      </w:tr>
      <w:tr w:rsidR="00394471" w:rsidRPr="00FA0D37"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FA0D37" w:rsidRDefault="00394471" w:rsidP="00964CC4">
            <w:pPr>
              <w:pStyle w:val="TAL"/>
              <w:rPr>
                <w:b/>
                <w:i/>
                <w:iCs/>
                <w:szCs w:val="22"/>
                <w:lang w:eastAsia="en-GB"/>
              </w:rPr>
            </w:pPr>
            <w:r w:rsidRPr="00FA0D37">
              <w:rPr>
                <w:b/>
                <w:i/>
                <w:iCs/>
                <w:szCs w:val="22"/>
                <w:lang w:eastAsia="en-GB"/>
              </w:rPr>
              <w:t>rssi-ResourceConfig</w:t>
            </w:r>
          </w:p>
          <w:p w14:paraId="3702613A" w14:textId="77777777" w:rsidR="00394471" w:rsidRPr="00FA0D37" w:rsidRDefault="00394471" w:rsidP="00964CC4">
            <w:pPr>
              <w:pStyle w:val="TAL"/>
              <w:rPr>
                <w:b/>
                <w:i/>
                <w:szCs w:val="22"/>
                <w:lang w:eastAsia="sv-SE"/>
              </w:rPr>
            </w:pPr>
            <w:r w:rsidRPr="00FA0D37">
              <w:rPr>
                <w:szCs w:val="22"/>
                <w:lang w:eastAsia="sv-SE"/>
              </w:rPr>
              <w:t>CLI-RSSI resources to be used for CLI measurements</w:t>
            </w:r>
            <w:r w:rsidRPr="00FA0D37">
              <w:rPr>
                <w:szCs w:val="22"/>
                <w:lang w:eastAsia="en-GB"/>
              </w:rPr>
              <w:t>.</w:t>
            </w:r>
          </w:p>
        </w:tc>
      </w:tr>
    </w:tbl>
    <w:p w14:paraId="71F7D57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FA0D37" w:rsidRDefault="00394471" w:rsidP="00964CC4">
            <w:pPr>
              <w:pStyle w:val="TAH"/>
              <w:rPr>
                <w:szCs w:val="22"/>
                <w:lang w:eastAsia="sv-SE"/>
              </w:rPr>
            </w:pPr>
            <w:r w:rsidRPr="00FA0D37">
              <w:rPr>
                <w:i/>
                <w:szCs w:val="22"/>
                <w:lang w:eastAsia="sv-SE"/>
              </w:rPr>
              <w:t xml:space="preserve">MeasObjectCLI </w:t>
            </w:r>
            <w:r w:rsidRPr="00FA0D37">
              <w:rPr>
                <w:szCs w:val="22"/>
                <w:lang w:eastAsia="sv-SE"/>
              </w:rPr>
              <w:t>field descriptions</w:t>
            </w:r>
          </w:p>
        </w:tc>
      </w:tr>
      <w:tr w:rsidR="00394471" w:rsidRPr="00FA0D37"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FA0D37" w:rsidRDefault="00394471" w:rsidP="00964CC4">
            <w:pPr>
              <w:pStyle w:val="TAL"/>
              <w:rPr>
                <w:b/>
                <w:i/>
                <w:szCs w:val="22"/>
                <w:lang w:eastAsia="en-GB"/>
              </w:rPr>
            </w:pPr>
            <w:r w:rsidRPr="00FA0D37">
              <w:rPr>
                <w:b/>
                <w:i/>
                <w:szCs w:val="22"/>
                <w:lang w:eastAsia="en-GB"/>
              </w:rPr>
              <w:t>cli-ResourceConfig</w:t>
            </w:r>
          </w:p>
          <w:p w14:paraId="03B19036" w14:textId="77777777" w:rsidR="00394471" w:rsidRPr="00FA0D37" w:rsidRDefault="00394471" w:rsidP="00964CC4">
            <w:pPr>
              <w:pStyle w:val="TAL"/>
              <w:rPr>
                <w:b/>
                <w:i/>
                <w:szCs w:val="22"/>
                <w:lang w:eastAsia="en-GB"/>
              </w:rPr>
            </w:pPr>
            <w:r w:rsidRPr="00FA0D37">
              <w:rPr>
                <w:szCs w:val="22"/>
                <w:lang w:eastAsia="en-GB"/>
              </w:rPr>
              <w:t xml:space="preserve">SRS and/or </w:t>
            </w:r>
            <w:r w:rsidRPr="00FA0D37">
              <w:rPr>
                <w:szCs w:val="22"/>
                <w:lang w:eastAsia="sv-SE"/>
              </w:rPr>
              <w:t>CLI-</w:t>
            </w:r>
            <w:r w:rsidRPr="00FA0D37">
              <w:rPr>
                <w:szCs w:val="22"/>
                <w:lang w:eastAsia="en-GB"/>
              </w:rPr>
              <w:t>RSSI resource configuration for CLI measurement.</w:t>
            </w:r>
          </w:p>
        </w:tc>
      </w:tr>
    </w:tbl>
    <w:p w14:paraId="754C3B7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FA0D37" w:rsidRDefault="00394471" w:rsidP="00964CC4">
            <w:pPr>
              <w:pStyle w:val="TAH"/>
              <w:rPr>
                <w:szCs w:val="22"/>
                <w:lang w:eastAsia="sv-SE"/>
              </w:rPr>
            </w:pPr>
            <w:r w:rsidRPr="00FA0D37">
              <w:rPr>
                <w:i/>
                <w:szCs w:val="22"/>
                <w:lang w:eastAsia="sv-SE"/>
              </w:rPr>
              <w:t xml:space="preserve">SRS-ResourceConfigCLI </w:t>
            </w:r>
            <w:r w:rsidRPr="00FA0D37">
              <w:rPr>
                <w:szCs w:val="22"/>
                <w:lang w:eastAsia="sv-SE"/>
              </w:rPr>
              <w:t>field descriptions</w:t>
            </w:r>
          </w:p>
        </w:tc>
      </w:tr>
      <w:tr w:rsidR="005C7FF4" w:rsidRPr="00FA0D37"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FA0D37" w:rsidRDefault="00394471" w:rsidP="00964CC4">
            <w:pPr>
              <w:pStyle w:val="TAL"/>
              <w:rPr>
                <w:b/>
                <w:i/>
                <w:szCs w:val="22"/>
              </w:rPr>
            </w:pPr>
            <w:r w:rsidRPr="00FA0D37">
              <w:rPr>
                <w:b/>
                <w:i/>
                <w:szCs w:val="22"/>
              </w:rPr>
              <w:t>refBWP</w:t>
            </w:r>
          </w:p>
          <w:p w14:paraId="304AE59D" w14:textId="77777777" w:rsidR="00394471" w:rsidRPr="00FA0D37" w:rsidRDefault="00394471" w:rsidP="00964CC4">
            <w:pPr>
              <w:pStyle w:val="TAL"/>
              <w:rPr>
                <w:i/>
                <w:szCs w:val="22"/>
                <w:lang w:eastAsia="sv-SE"/>
              </w:rPr>
            </w:pPr>
            <w:r w:rsidRPr="00FA0D37">
              <w:rPr>
                <w:szCs w:val="22"/>
                <w:lang w:eastAsia="sv-SE"/>
              </w:rPr>
              <w:t>DL BWP id that is used to derive the reference point of the SRS resource (see TS 38.211[16], clause 6.4.1.4.3)</w:t>
            </w:r>
          </w:p>
        </w:tc>
      </w:tr>
      <w:tr w:rsidR="005C7FF4" w:rsidRPr="00FA0D37"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FA0D37" w:rsidRDefault="00394471" w:rsidP="00964CC4">
            <w:pPr>
              <w:pStyle w:val="TAL"/>
              <w:rPr>
                <w:b/>
                <w:i/>
                <w:szCs w:val="22"/>
              </w:rPr>
            </w:pPr>
            <w:r w:rsidRPr="00FA0D37">
              <w:rPr>
                <w:b/>
                <w:i/>
                <w:szCs w:val="22"/>
              </w:rPr>
              <w:t>refServCellIndex</w:t>
            </w:r>
          </w:p>
          <w:p w14:paraId="329DF4A9" w14:textId="77777777" w:rsidR="00394471" w:rsidRPr="00FA0D37" w:rsidRDefault="00394471" w:rsidP="00964CC4">
            <w:pPr>
              <w:pStyle w:val="TAL"/>
              <w:rPr>
                <w:i/>
                <w:szCs w:val="22"/>
                <w:lang w:eastAsia="sv-SE"/>
              </w:rPr>
            </w:pPr>
            <w:r w:rsidRPr="00FA0D37">
              <w:rPr>
                <w:szCs w:val="22"/>
                <w:lang w:eastAsia="sv-SE"/>
              </w:rPr>
              <w:t xml:space="preserve">The index of the reference serving cell that the </w:t>
            </w:r>
            <w:r w:rsidRPr="00FA0D37">
              <w:rPr>
                <w:i/>
                <w:szCs w:val="22"/>
                <w:lang w:eastAsia="sv-SE"/>
              </w:rPr>
              <w:t>refBWP</w:t>
            </w:r>
            <w:r w:rsidRPr="00FA0D37">
              <w:rPr>
                <w:szCs w:val="22"/>
                <w:lang w:eastAsia="sv-SE"/>
              </w:rPr>
              <w:t xml:space="preserve"> belongs to. If this field is absent, the reference serving cell is PCell.</w:t>
            </w:r>
          </w:p>
        </w:tc>
      </w:tr>
      <w:tr w:rsidR="00394471" w:rsidRPr="00FA0D37"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FA0D37" w:rsidRDefault="00394471" w:rsidP="00964CC4">
            <w:pPr>
              <w:pStyle w:val="TAL"/>
              <w:rPr>
                <w:b/>
                <w:i/>
                <w:szCs w:val="22"/>
                <w:lang w:eastAsia="sv-SE"/>
              </w:rPr>
            </w:pPr>
            <w:r w:rsidRPr="00FA0D37">
              <w:rPr>
                <w:b/>
                <w:i/>
                <w:szCs w:val="22"/>
                <w:lang w:eastAsia="sv-SE"/>
              </w:rPr>
              <w:t>srs-SCS</w:t>
            </w:r>
          </w:p>
          <w:p w14:paraId="04FE5FE0" w14:textId="32FC8B01" w:rsidR="00394471" w:rsidRPr="00FA0D37" w:rsidRDefault="00394471" w:rsidP="00964CC4">
            <w:pPr>
              <w:pStyle w:val="TAL"/>
              <w:rPr>
                <w:szCs w:val="22"/>
                <w:lang w:eastAsia="sv-SE"/>
              </w:rPr>
            </w:pPr>
            <w:r w:rsidRPr="00FA0D37">
              <w:rPr>
                <w:szCs w:val="22"/>
                <w:lang w:eastAsia="sv-SE"/>
              </w:rPr>
              <w:t>Subcarrier spacing for SRS.</w:t>
            </w:r>
          </w:p>
          <w:p w14:paraId="269B9EF4" w14:textId="77777777" w:rsidR="006C501F" w:rsidRPr="00FA0D37" w:rsidRDefault="006C501F" w:rsidP="006C501F">
            <w:pPr>
              <w:pStyle w:val="TAL"/>
              <w:rPr>
                <w:bCs/>
                <w:iCs/>
                <w:szCs w:val="22"/>
                <w:lang w:eastAsia="en-GB"/>
              </w:rPr>
            </w:pPr>
            <w:r w:rsidRPr="00FA0D37">
              <w:rPr>
                <w:bCs/>
                <w:iCs/>
                <w:szCs w:val="22"/>
                <w:lang w:eastAsia="en-GB"/>
              </w:rPr>
              <w:t>Only the following values are applicable depending on the used frequency:</w:t>
            </w:r>
          </w:p>
          <w:p w14:paraId="3B2DC5C4" w14:textId="77777777" w:rsidR="006C501F" w:rsidRPr="00FA0D37" w:rsidRDefault="006C501F" w:rsidP="006C501F">
            <w:pPr>
              <w:pStyle w:val="TAL"/>
              <w:rPr>
                <w:bCs/>
                <w:iCs/>
                <w:szCs w:val="22"/>
                <w:lang w:eastAsia="en-GB"/>
              </w:rPr>
            </w:pPr>
            <w:r w:rsidRPr="00FA0D37">
              <w:rPr>
                <w:bCs/>
                <w:iCs/>
                <w:szCs w:val="22"/>
                <w:lang w:eastAsia="en-GB"/>
              </w:rPr>
              <w:t>FR1:    15, 30, or 60 kHz</w:t>
            </w:r>
          </w:p>
          <w:p w14:paraId="6608C2D9" w14:textId="1EAAB278" w:rsidR="006C501F" w:rsidRPr="00FA0D37" w:rsidRDefault="006C501F" w:rsidP="006C501F">
            <w:pPr>
              <w:pStyle w:val="TAL"/>
              <w:rPr>
                <w:bCs/>
                <w:iCs/>
                <w:szCs w:val="22"/>
                <w:lang w:eastAsia="en-GB"/>
              </w:rPr>
            </w:pPr>
            <w:r w:rsidRPr="00FA0D37">
              <w:rPr>
                <w:bCs/>
                <w:iCs/>
                <w:szCs w:val="22"/>
                <w:lang w:eastAsia="en-GB"/>
              </w:rPr>
              <w:t>FR2-1:  60 or 120 kHz</w:t>
            </w:r>
          </w:p>
          <w:p w14:paraId="5791D6B1" w14:textId="7927E614" w:rsidR="006C501F" w:rsidRPr="00FA0D37" w:rsidRDefault="006C501F" w:rsidP="006C501F">
            <w:pPr>
              <w:pStyle w:val="TAL"/>
              <w:rPr>
                <w:bCs/>
                <w:iCs/>
                <w:szCs w:val="22"/>
                <w:lang w:eastAsia="en-GB"/>
              </w:rPr>
            </w:pPr>
            <w:r w:rsidRPr="00FA0D37">
              <w:rPr>
                <w:bCs/>
                <w:iCs/>
                <w:szCs w:val="22"/>
                <w:lang w:eastAsia="en-GB"/>
              </w:rPr>
              <w:t>FR2-2:  120, 480, or 960 kHz</w:t>
            </w:r>
          </w:p>
        </w:tc>
      </w:tr>
    </w:tbl>
    <w:p w14:paraId="6641C6B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FA0D37" w:rsidRDefault="00394471" w:rsidP="00964CC4">
            <w:pPr>
              <w:pStyle w:val="TAH"/>
              <w:rPr>
                <w:szCs w:val="22"/>
                <w:lang w:eastAsia="sv-SE"/>
              </w:rPr>
            </w:pPr>
            <w:r w:rsidRPr="00FA0D37">
              <w:rPr>
                <w:i/>
                <w:szCs w:val="22"/>
                <w:lang w:eastAsia="sv-SE"/>
              </w:rPr>
              <w:lastRenderedPageBreak/>
              <w:t xml:space="preserve">RSSI-ResourceConfigCLI </w:t>
            </w:r>
            <w:r w:rsidRPr="00FA0D37">
              <w:rPr>
                <w:szCs w:val="22"/>
                <w:lang w:eastAsia="sv-SE"/>
              </w:rPr>
              <w:t>field descriptions</w:t>
            </w:r>
          </w:p>
        </w:tc>
      </w:tr>
      <w:tr w:rsidR="005C7FF4" w:rsidRPr="00FA0D37"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FA0D37" w:rsidRDefault="00394471" w:rsidP="00964CC4">
            <w:pPr>
              <w:pStyle w:val="TAL"/>
              <w:rPr>
                <w:szCs w:val="22"/>
                <w:lang w:eastAsia="sv-SE"/>
              </w:rPr>
            </w:pPr>
            <w:r w:rsidRPr="00FA0D37">
              <w:rPr>
                <w:b/>
                <w:i/>
                <w:szCs w:val="22"/>
                <w:lang w:eastAsia="sv-SE"/>
              </w:rPr>
              <w:t>nrofPRBs</w:t>
            </w:r>
          </w:p>
          <w:p w14:paraId="5A3E2CAF" w14:textId="77777777" w:rsidR="00394471" w:rsidRPr="00FA0D37" w:rsidRDefault="00394471" w:rsidP="00964CC4">
            <w:pPr>
              <w:pStyle w:val="TAL"/>
              <w:rPr>
                <w:szCs w:val="22"/>
                <w:lang w:eastAsia="sv-SE"/>
              </w:rPr>
            </w:pPr>
            <w:r w:rsidRPr="00FA0D37">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5C7FF4" w:rsidRPr="00FA0D37"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FA0D37" w:rsidRDefault="00394471" w:rsidP="00964CC4">
            <w:pPr>
              <w:pStyle w:val="TAL"/>
              <w:rPr>
                <w:b/>
                <w:i/>
                <w:szCs w:val="22"/>
                <w:lang w:eastAsia="sv-SE"/>
              </w:rPr>
            </w:pPr>
            <w:r w:rsidRPr="00FA0D37">
              <w:rPr>
                <w:b/>
                <w:i/>
                <w:szCs w:val="22"/>
                <w:lang w:eastAsia="sv-SE"/>
              </w:rPr>
              <w:t>nrofSymbols</w:t>
            </w:r>
          </w:p>
          <w:p w14:paraId="415D9B0A" w14:textId="77777777" w:rsidR="00394471" w:rsidRPr="00FA0D37" w:rsidRDefault="00394471" w:rsidP="00964CC4">
            <w:pPr>
              <w:pStyle w:val="TAL"/>
              <w:rPr>
                <w:szCs w:val="22"/>
                <w:lang w:eastAsia="sv-SE"/>
              </w:rPr>
            </w:pPr>
            <w:r w:rsidRPr="00FA0D37">
              <w:rPr>
                <w:szCs w:val="22"/>
                <w:lang w:eastAsia="sv-SE"/>
              </w:rPr>
              <w:t xml:space="preserve">Within a slot that is configured for CLI-RSSI measurement (see slotConfiguration), the UE measures the RSSI from </w:t>
            </w:r>
            <w:r w:rsidRPr="00FA0D37">
              <w:rPr>
                <w:i/>
                <w:szCs w:val="22"/>
                <w:lang w:eastAsia="sv-SE"/>
              </w:rPr>
              <w:t>startPosition</w:t>
            </w:r>
            <w:r w:rsidRPr="00FA0D37">
              <w:rPr>
                <w:szCs w:val="22"/>
                <w:lang w:eastAsia="sv-SE"/>
              </w:rPr>
              <w:t xml:space="preserve"> to </w:t>
            </w:r>
            <w:r w:rsidRPr="00FA0D37">
              <w:rPr>
                <w:i/>
                <w:szCs w:val="22"/>
                <w:lang w:eastAsia="sv-SE"/>
              </w:rPr>
              <w:t>startPosition</w:t>
            </w:r>
            <w:r w:rsidRPr="00FA0D37">
              <w:rPr>
                <w:szCs w:val="22"/>
                <w:lang w:eastAsia="sv-SE"/>
              </w:rPr>
              <w:t xml:space="preserve"> + </w:t>
            </w:r>
            <w:r w:rsidRPr="00FA0D37">
              <w:rPr>
                <w:i/>
                <w:szCs w:val="22"/>
                <w:lang w:eastAsia="sv-SE"/>
              </w:rPr>
              <w:t xml:space="preserve">nrofSymbols </w:t>
            </w:r>
            <w:r w:rsidRPr="00FA0D37">
              <w:rPr>
                <w:szCs w:val="22"/>
                <w:lang w:eastAsia="sv-SE"/>
              </w:rPr>
              <w:t xml:space="preserve">- 1. The configured CLI-RSSI resource does not exceed the slot boundary of the reference SCS. If the SCS of configured DL BWP(s) is larger than the reference SCS, network configures </w:t>
            </w:r>
            <w:r w:rsidRPr="00FA0D37">
              <w:rPr>
                <w:i/>
                <w:szCs w:val="22"/>
                <w:lang w:eastAsia="sv-SE"/>
              </w:rPr>
              <w:t>startPosition</w:t>
            </w:r>
            <w:r w:rsidRPr="00FA0D37">
              <w:rPr>
                <w:szCs w:val="22"/>
                <w:lang w:eastAsia="sv-SE"/>
              </w:rPr>
              <w:t xml:space="preserve"> and </w:t>
            </w:r>
            <w:r w:rsidRPr="00FA0D37">
              <w:rPr>
                <w:i/>
                <w:szCs w:val="22"/>
                <w:lang w:eastAsia="sv-SE"/>
              </w:rPr>
              <w:t>nrofSymbols</w:t>
            </w:r>
            <w:r w:rsidRPr="00FA0D37">
              <w:rPr>
                <w:szCs w:val="22"/>
                <w:lang w:eastAsia="sv-SE"/>
              </w:rPr>
              <w:t xml:space="preserve"> such that the configured CLI-RSSI resource not to exceed the slot boundary corresponding to the </w:t>
            </w:r>
            <w:r w:rsidRPr="00FA0D37">
              <w:rPr>
                <w:szCs w:val="22"/>
              </w:rPr>
              <w:t xml:space="preserve">configured </w:t>
            </w:r>
            <w:r w:rsidRPr="00FA0D37">
              <w:rPr>
                <w:szCs w:val="22"/>
                <w:lang w:eastAsia="sv-SE"/>
              </w:rPr>
              <w:t xml:space="preserve">BWP SCS. If the reference SCS is larger than SCS of </w:t>
            </w:r>
            <w:r w:rsidRPr="00FA0D37">
              <w:rPr>
                <w:szCs w:val="22"/>
              </w:rPr>
              <w:t xml:space="preserve">configured </w:t>
            </w:r>
            <w:r w:rsidRPr="00FA0D37">
              <w:rPr>
                <w:szCs w:val="22"/>
                <w:lang w:eastAsia="sv-SE"/>
              </w:rPr>
              <w:t xml:space="preserve">DL BWP(s), network ensures </w:t>
            </w:r>
            <w:r w:rsidRPr="00FA0D37">
              <w:rPr>
                <w:i/>
                <w:szCs w:val="22"/>
                <w:lang w:eastAsia="sv-SE"/>
              </w:rPr>
              <w:t>startPosition</w:t>
            </w:r>
            <w:r w:rsidRPr="00FA0D37">
              <w:rPr>
                <w:szCs w:val="22"/>
                <w:lang w:eastAsia="sv-SE"/>
              </w:rPr>
              <w:t xml:space="preserve"> and </w:t>
            </w:r>
            <w:r w:rsidRPr="00FA0D37">
              <w:rPr>
                <w:i/>
                <w:szCs w:val="22"/>
                <w:lang w:eastAsia="sv-SE"/>
              </w:rPr>
              <w:t>nrofSymbols</w:t>
            </w:r>
            <w:r w:rsidRPr="00FA0D37">
              <w:rPr>
                <w:szCs w:val="22"/>
                <w:lang w:eastAsia="sv-SE"/>
              </w:rPr>
              <w:t xml:space="preserve"> are integer multiple of reference SCS divided by </w:t>
            </w:r>
            <w:r w:rsidRPr="00FA0D37">
              <w:rPr>
                <w:szCs w:val="22"/>
              </w:rPr>
              <w:t xml:space="preserve">configured </w:t>
            </w:r>
            <w:r w:rsidRPr="00FA0D37">
              <w:rPr>
                <w:szCs w:val="22"/>
                <w:lang w:eastAsia="sv-SE"/>
              </w:rPr>
              <w:t>BWP SCS.</w:t>
            </w:r>
          </w:p>
        </w:tc>
      </w:tr>
      <w:tr w:rsidR="005C7FF4" w:rsidRPr="00FA0D37"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FA0D37" w:rsidRDefault="00394471" w:rsidP="00964CC4">
            <w:pPr>
              <w:pStyle w:val="TAL"/>
              <w:rPr>
                <w:b/>
                <w:i/>
                <w:szCs w:val="22"/>
              </w:rPr>
            </w:pPr>
            <w:r w:rsidRPr="00FA0D37">
              <w:rPr>
                <w:b/>
                <w:i/>
                <w:szCs w:val="22"/>
              </w:rPr>
              <w:t>refServCellIndex</w:t>
            </w:r>
          </w:p>
          <w:p w14:paraId="77A4656E" w14:textId="77777777" w:rsidR="00394471" w:rsidRPr="00FA0D37" w:rsidRDefault="00394471" w:rsidP="00964CC4">
            <w:pPr>
              <w:pStyle w:val="TAL"/>
              <w:rPr>
                <w:b/>
                <w:i/>
                <w:szCs w:val="22"/>
                <w:lang w:eastAsia="sv-SE"/>
              </w:rPr>
            </w:pPr>
            <w:r w:rsidRPr="00FA0D37">
              <w:rPr>
                <w:szCs w:val="22"/>
                <w:lang w:eastAsia="en-GB"/>
              </w:rPr>
              <w:t xml:space="preserve">The index of the reference serving cell. </w:t>
            </w:r>
            <w:r w:rsidRPr="00FA0D37">
              <w:rPr>
                <w:szCs w:val="22"/>
              </w:rPr>
              <w:t xml:space="preserve">Frequency reference point of the RSSI resource is subcarrier 0 of CRB0 of the reference serving cell. </w:t>
            </w:r>
            <w:r w:rsidRPr="00FA0D37">
              <w:rPr>
                <w:szCs w:val="22"/>
                <w:lang w:eastAsia="en-GB"/>
              </w:rPr>
              <w:t>If this field is absent, the reference serving cell is PCell.</w:t>
            </w:r>
          </w:p>
        </w:tc>
      </w:tr>
      <w:tr w:rsidR="005C7FF4" w:rsidRPr="00FA0D37"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FA0D37" w:rsidRDefault="00394471" w:rsidP="00964CC4">
            <w:pPr>
              <w:pStyle w:val="TAL"/>
              <w:rPr>
                <w:b/>
                <w:i/>
                <w:szCs w:val="22"/>
                <w:lang w:eastAsia="sv-SE"/>
              </w:rPr>
            </w:pPr>
            <w:r w:rsidRPr="00FA0D37">
              <w:rPr>
                <w:b/>
                <w:i/>
                <w:szCs w:val="22"/>
                <w:lang w:eastAsia="sv-SE"/>
              </w:rPr>
              <w:t>rssi-PeriodicityAndOffset</w:t>
            </w:r>
          </w:p>
          <w:p w14:paraId="4892A6B0" w14:textId="77777777" w:rsidR="00394471" w:rsidRPr="00FA0D37" w:rsidRDefault="00394471" w:rsidP="00964CC4">
            <w:pPr>
              <w:pStyle w:val="TAL"/>
              <w:rPr>
                <w:szCs w:val="22"/>
                <w:lang w:eastAsia="sv-SE"/>
              </w:rPr>
            </w:pPr>
            <w:r w:rsidRPr="00FA0D37">
              <w:rPr>
                <w:szCs w:val="22"/>
                <w:lang w:eastAsia="sv-SE"/>
              </w:rPr>
              <w:t>Periodicity and slot offset for this CLI-RSSI resource.</w:t>
            </w:r>
            <w:r w:rsidRPr="00FA0D37">
              <w:rPr>
                <w:rFonts w:eastAsia="Malgun Gothic"/>
                <w:szCs w:val="22"/>
                <w:lang w:eastAsia="ko-KR"/>
              </w:rPr>
              <w:t xml:space="preserve"> </w:t>
            </w:r>
            <w:r w:rsidRPr="00FA0D37">
              <w:rPr>
                <w:szCs w:val="22"/>
                <w:lang w:eastAsia="sv-SE"/>
              </w:rPr>
              <w:t xml:space="preserve">All values are in "number of slots". Value </w:t>
            </w:r>
            <w:r w:rsidRPr="00FA0D37">
              <w:rPr>
                <w:i/>
                <w:szCs w:val="22"/>
                <w:lang w:eastAsia="sv-SE"/>
              </w:rPr>
              <w:t>sl1</w:t>
            </w:r>
            <w:r w:rsidRPr="00FA0D37">
              <w:rPr>
                <w:szCs w:val="22"/>
                <w:lang w:eastAsia="sv-SE"/>
              </w:rPr>
              <w:t xml:space="preserve"> corresponds to a periodicity of 1 slot, value </w:t>
            </w:r>
            <w:r w:rsidRPr="00FA0D37">
              <w:rPr>
                <w:i/>
                <w:szCs w:val="22"/>
                <w:lang w:eastAsia="sv-SE"/>
              </w:rPr>
              <w:t>sl2</w:t>
            </w:r>
            <w:r w:rsidRPr="00FA0D37">
              <w:rPr>
                <w:szCs w:val="22"/>
                <w:lang w:eastAsia="sv-SE"/>
              </w:rPr>
              <w:t xml:space="preserve"> corresponds to a periodicity of 2 slots, and so on. For each periodicity the corresponding offset is given in number of slots.</w:t>
            </w:r>
          </w:p>
        </w:tc>
      </w:tr>
      <w:tr w:rsidR="005C7FF4" w:rsidRPr="00FA0D37"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FA0D37" w:rsidRDefault="00394471" w:rsidP="00964CC4">
            <w:pPr>
              <w:pStyle w:val="TAL"/>
              <w:rPr>
                <w:b/>
                <w:i/>
                <w:szCs w:val="22"/>
                <w:lang w:eastAsia="sv-SE"/>
              </w:rPr>
            </w:pPr>
            <w:r w:rsidRPr="00FA0D37">
              <w:rPr>
                <w:b/>
                <w:i/>
                <w:szCs w:val="22"/>
                <w:lang w:eastAsia="sv-SE"/>
              </w:rPr>
              <w:t>rssi-</w:t>
            </w:r>
            <w:r w:rsidR="00FB04AA" w:rsidRPr="00FA0D37">
              <w:rPr>
                <w:b/>
                <w:i/>
                <w:szCs w:val="22"/>
                <w:lang w:eastAsia="sv-SE"/>
              </w:rPr>
              <w:t>SCS</w:t>
            </w:r>
          </w:p>
          <w:p w14:paraId="461F750C" w14:textId="77777777" w:rsidR="00F747EB" w:rsidRPr="00FA0D37" w:rsidRDefault="00394471" w:rsidP="00964CC4">
            <w:pPr>
              <w:pStyle w:val="TAL"/>
              <w:rPr>
                <w:szCs w:val="22"/>
              </w:rPr>
            </w:pPr>
            <w:r w:rsidRPr="00FA0D37">
              <w:rPr>
                <w:szCs w:val="22"/>
                <w:lang w:eastAsia="sv-SE"/>
              </w:rPr>
              <w:t>Reference subcarrier spacing for CLI-RSSI measurement.</w:t>
            </w:r>
          </w:p>
          <w:p w14:paraId="1E44D202" w14:textId="3FDA3296" w:rsidR="006C501F" w:rsidRPr="00FA0D37" w:rsidRDefault="006C501F" w:rsidP="006C501F">
            <w:pPr>
              <w:pStyle w:val="TAL"/>
              <w:rPr>
                <w:szCs w:val="22"/>
              </w:rPr>
            </w:pPr>
            <w:r w:rsidRPr="00FA0D37">
              <w:rPr>
                <w:szCs w:val="22"/>
              </w:rPr>
              <w:t>Only the following values are applicable depending on the used frequency:</w:t>
            </w:r>
          </w:p>
          <w:p w14:paraId="51395A03" w14:textId="77777777" w:rsidR="006C501F" w:rsidRPr="00FA0D37" w:rsidRDefault="006C501F" w:rsidP="006C501F">
            <w:pPr>
              <w:pStyle w:val="TAL"/>
              <w:rPr>
                <w:szCs w:val="22"/>
              </w:rPr>
            </w:pPr>
            <w:r w:rsidRPr="00FA0D37">
              <w:rPr>
                <w:szCs w:val="22"/>
              </w:rPr>
              <w:t>FR1:    15, 30, or 60 kHz</w:t>
            </w:r>
          </w:p>
          <w:p w14:paraId="203F0347" w14:textId="4D0C1EAD" w:rsidR="006C501F" w:rsidRPr="00FA0D37" w:rsidRDefault="006C501F" w:rsidP="006C501F">
            <w:pPr>
              <w:pStyle w:val="TAL"/>
              <w:rPr>
                <w:szCs w:val="22"/>
              </w:rPr>
            </w:pPr>
            <w:r w:rsidRPr="00FA0D37">
              <w:rPr>
                <w:szCs w:val="22"/>
              </w:rPr>
              <w:t>FR2-1:  60 or 120 kHz</w:t>
            </w:r>
          </w:p>
          <w:p w14:paraId="2237DC21" w14:textId="2C6D7AA2" w:rsidR="006C501F" w:rsidRPr="00FA0D37" w:rsidRDefault="006C501F" w:rsidP="006C501F">
            <w:pPr>
              <w:pStyle w:val="TAL"/>
              <w:rPr>
                <w:szCs w:val="22"/>
              </w:rPr>
            </w:pPr>
            <w:r w:rsidRPr="00FA0D37">
              <w:rPr>
                <w:szCs w:val="22"/>
              </w:rPr>
              <w:t>FR2-2:  120, 480, or 960 kHz</w:t>
            </w:r>
          </w:p>
          <w:p w14:paraId="44B6C8A0" w14:textId="3ECEE51A" w:rsidR="00394471" w:rsidRPr="00FA0D37" w:rsidRDefault="00394471" w:rsidP="00964CC4">
            <w:pPr>
              <w:pStyle w:val="TAL"/>
              <w:rPr>
                <w:b/>
                <w:i/>
                <w:szCs w:val="22"/>
                <w:lang w:eastAsia="sv-SE"/>
              </w:rPr>
            </w:pPr>
            <w:r w:rsidRPr="00FA0D37">
              <w:rPr>
                <w:szCs w:val="22"/>
              </w:rPr>
              <w:t>UE performs CLI-RSSI measurement with the SCS of the active bandwidth part within the configured CLI-RSSI resource in the active BWP regardless of the reference SCS of the measurement resource.</w:t>
            </w:r>
          </w:p>
        </w:tc>
      </w:tr>
      <w:tr w:rsidR="005C7FF4" w:rsidRPr="00FA0D37"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FA0D37" w:rsidRDefault="00394471" w:rsidP="00964CC4">
            <w:pPr>
              <w:pStyle w:val="TAL"/>
              <w:rPr>
                <w:b/>
                <w:i/>
                <w:szCs w:val="22"/>
                <w:lang w:eastAsia="sv-SE"/>
              </w:rPr>
            </w:pPr>
            <w:r w:rsidRPr="00FA0D37">
              <w:rPr>
                <w:b/>
                <w:i/>
                <w:szCs w:val="22"/>
                <w:lang w:eastAsia="sv-SE"/>
              </w:rPr>
              <w:t>startPosition</w:t>
            </w:r>
          </w:p>
          <w:p w14:paraId="3CE7E341" w14:textId="77777777" w:rsidR="00394471" w:rsidRPr="00FA0D37" w:rsidRDefault="00394471" w:rsidP="00964CC4">
            <w:pPr>
              <w:pStyle w:val="TAL"/>
              <w:rPr>
                <w:b/>
                <w:i/>
                <w:szCs w:val="22"/>
                <w:lang w:eastAsia="sv-SE"/>
              </w:rPr>
            </w:pPr>
            <w:r w:rsidRPr="00FA0D37">
              <w:rPr>
                <w:szCs w:val="22"/>
                <w:lang w:eastAsia="sv-SE"/>
              </w:rPr>
              <w:t>OFDM symbol location of the CLI-RSSI resource within a slot.</w:t>
            </w:r>
          </w:p>
        </w:tc>
      </w:tr>
      <w:tr w:rsidR="00394471" w:rsidRPr="00FA0D37"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FA0D37" w:rsidRDefault="00394471" w:rsidP="00964CC4">
            <w:pPr>
              <w:pStyle w:val="TAL"/>
              <w:rPr>
                <w:b/>
                <w:i/>
                <w:szCs w:val="22"/>
                <w:lang w:eastAsia="sv-SE"/>
              </w:rPr>
            </w:pPr>
            <w:r w:rsidRPr="00FA0D37">
              <w:rPr>
                <w:b/>
                <w:i/>
                <w:szCs w:val="22"/>
                <w:lang w:eastAsia="sv-SE"/>
              </w:rPr>
              <w:t>startPRB</w:t>
            </w:r>
          </w:p>
          <w:p w14:paraId="10A63D2C" w14:textId="77777777" w:rsidR="00394471" w:rsidRPr="00FA0D37" w:rsidRDefault="00394471" w:rsidP="00964CC4">
            <w:pPr>
              <w:pStyle w:val="TAL"/>
              <w:rPr>
                <w:b/>
                <w:i/>
                <w:szCs w:val="22"/>
                <w:lang w:eastAsia="sv-SE"/>
              </w:rPr>
            </w:pPr>
            <w:r w:rsidRPr="00FA0D37">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FA0D37" w:rsidRDefault="00394471" w:rsidP="00394471"/>
    <w:p w14:paraId="0D0F4693" w14:textId="77777777" w:rsidR="00394471" w:rsidRPr="00FA0D37" w:rsidRDefault="00394471" w:rsidP="00394471">
      <w:pPr>
        <w:pStyle w:val="4"/>
        <w:rPr>
          <w:i/>
          <w:iCs/>
        </w:rPr>
      </w:pPr>
      <w:bookmarkStart w:id="1087" w:name="_Toc60777259"/>
      <w:bookmarkStart w:id="1088" w:name="_Toc146781319"/>
      <w:r w:rsidRPr="00FA0D37">
        <w:rPr>
          <w:i/>
          <w:iCs/>
        </w:rPr>
        <w:t>–</w:t>
      </w:r>
      <w:r w:rsidRPr="00FA0D37">
        <w:rPr>
          <w:i/>
          <w:iCs/>
        </w:rPr>
        <w:tab/>
        <w:t>MeasObjectEUTRA</w:t>
      </w:r>
      <w:bookmarkEnd w:id="1087"/>
      <w:bookmarkEnd w:id="1088"/>
    </w:p>
    <w:p w14:paraId="1E132762" w14:textId="77777777" w:rsidR="00394471" w:rsidRPr="00FA0D37" w:rsidRDefault="00394471" w:rsidP="00394471">
      <w:r w:rsidRPr="00FA0D37">
        <w:t xml:space="preserve">The IE </w:t>
      </w:r>
      <w:r w:rsidRPr="00FA0D37">
        <w:rPr>
          <w:i/>
        </w:rPr>
        <w:t>MeasObjectEUTRA</w:t>
      </w:r>
      <w:r w:rsidRPr="00FA0D37">
        <w:t xml:space="preserve"> specifies information applicable for E</w:t>
      </w:r>
      <w:r w:rsidRPr="00FA0D37">
        <w:noBreakHyphen/>
        <w:t>UTRA cells.</w:t>
      </w:r>
    </w:p>
    <w:p w14:paraId="5FDA93FF" w14:textId="77777777" w:rsidR="00394471" w:rsidRPr="00FA0D37" w:rsidRDefault="00394471" w:rsidP="00394471">
      <w:pPr>
        <w:pStyle w:val="TH"/>
      </w:pPr>
      <w:r w:rsidRPr="00FA0D37">
        <w:rPr>
          <w:i/>
        </w:rPr>
        <w:t>MeasObjectEUTRA</w:t>
      </w:r>
      <w:r w:rsidRPr="00FA0D37">
        <w:t xml:space="preserve"> information element</w:t>
      </w:r>
    </w:p>
    <w:p w14:paraId="5F6C7CB8" w14:textId="77777777" w:rsidR="00394471" w:rsidRPr="00FA0D37" w:rsidRDefault="00394471" w:rsidP="00FA0D37">
      <w:pPr>
        <w:pStyle w:val="PL"/>
        <w:rPr>
          <w:color w:val="808080"/>
        </w:rPr>
      </w:pPr>
      <w:r w:rsidRPr="00FA0D37">
        <w:rPr>
          <w:color w:val="808080"/>
        </w:rPr>
        <w:t>-- ASN1START</w:t>
      </w:r>
    </w:p>
    <w:p w14:paraId="5FF98BF0" w14:textId="77777777" w:rsidR="00394471" w:rsidRPr="00FA0D37" w:rsidRDefault="00394471" w:rsidP="00FA0D37">
      <w:pPr>
        <w:pStyle w:val="PL"/>
        <w:rPr>
          <w:color w:val="808080"/>
        </w:rPr>
      </w:pPr>
      <w:r w:rsidRPr="00FA0D37">
        <w:rPr>
          <w:color w:val="808080"/>
        </w:rPr>
        <w:t>-- TAG-MEASOBJECTEUTRA-START</w:t>
      </w:r>
    </w:p>
    <w:p w14:paraId="037A6203" w14:textId="77777777" w:rsidR="00394471" w:rsidRPr="00FA0D37" w:rsidRDefault="00394471" w:rsidP="00FA0D37">
      <w:pPr>
        <w:pStyle w:val="PL"/>
      </w:pPr>
    </w:p>
    <w:p w14:paraId="090ECF2E" w14:textId="77777777" w:rsidR="00394471" w:rsidRPr="00FA0D37" w:rsidRDefault="00394471" w:rsidP="00FA0D37">
      <w:pPr>
        <w:pStyle w:val="PL"/>
      </w:pPr>
      <w:r w:rsidRPr="00FA0D37">
        <w:t xml:space="preserve">MeasObjectEUTRA::=                          </w:t>
      </w:r>
      <w:r w:rsidRPr="00FA0D37">
        <w:rPr>
          <w:color w:val="993366"/>
        </w:rPr>
        <w:t>SEQUENCE</w:t>
      </w:r>
      <w:r w:rsidRPr="00FA0D37">
        <w:t xml:space="preserve"> {</w:t>
      </w:r>
    </w:p>
    <w:p w14:paraId="182ED322" w14:textId="77777777" w:rsidR="00394471" w:rsidRPr="00FA0D37" w:rsidRDefault="00394471" w:rsidP="00FA0D37">
      <w:pPr>
        <w:pStyle w:val="PL"/>
      </w:pPr>
      <w:r w:rsidRPr="00FA0D37">
        <w:t xml:space="preserve">    carrierFreq                                 ARFCN-ValueEUTRA,</w:t>
      </w:r>
    </w:p>
    <w:p w14:paraId="57667466" w14:textId="77777777" w:rsidR="00394471" w:rsidRPr="00FA0D37" w:rsidRDefault="00394471" w:rsidP="00FA0D37">
      <w:pPr>
        <w:pStyle w:val="PL"/>
      </w:pPr>
      <w:r w:rsidRPr="00FA0D37">
        <w:t xml:space="preserve">    allowedMeasBandwidth                        EUTRA-AllowedMeasBandwidth,</w:t>
      </w:r>
    </w:p>
    <w:p w14:paraId="108C5DFA" w14:textId="77777777" w:rsidR="00394471" w:rsidRPr="00FA0D37" w:rsidRDefault="00394471" w:rsidP="00FA0D37">
      <w:pPr>
        <w:pStyle w:val="PL"/>
        <w:rPr>
          <w:color w:val="808080"/>
        </w:rPr>
      </w:pPr>
      <w:r w:rsidRPr="00FA0D37">
        <w:t xml:space="preserve">    cellsToRemoveListEUTRAN                     EUTRA-CellIndexList                                         </w:t>
      </w:r>
      <w:r w:rsidRPr="00FA0D37">
        <w:rPr>
          <w:color w:val="993366"/>
        </w:rPr>
        <w:t>OPTIONAL</w:t>
      </w:r>
      <w:r w:rsidRPr="00FA0D37">
        <w:t xml:space="preserve">,    </w:t>
      </w:r>
      <w:r w:rsidRPr="00FA0D37">
        <w:rPr>
          <w:color w:val="808080"/>
        </w:rPr>
        <w:t>-- Need N</w:t>
      </w:r>
    </w:p>
    <w:p w14:paraId="73FDE907" w14:textId="77777777" w:rsidR="00394471" w:rsidRPr="00FA0D37" w:rsidRDefault="00394471" w:rsidP="00FA0D37">
      <w:pPr>
        <w:pStyle w:val="PL"/>
        <w:rPr>
          <w:color w:val="808080"/>
        </w:rPr>
      </w:pPr>
      <w:r w:rsidRPr="00FA0D37">
        <w:t xml:space="preserve">    cellsToAddModListEUTRAN                     </w:t>
      </w:r>
      <w:r w:rsidRPr="00FA0D37">
        <w:rPr>
          <w:color w:val="993366"/>
        </w:rPr>
        <w:t>SEQUENCE</w:t>
      </w:r>
      <w:r w:rsidRPr="00FA0D37">
        <w:t xml:space="preserve"> (</w:t>
      </w:r>
      <w:r w:rsidRPr="00FA0D37">
        <w:rPr>
          <w:color w:val="993366"/>
        </w:rPr>
        <w:t>SIZE</w:t>
      </w:r>
      <w:r w:rsidRPr="00FA0D37">
        <w:t xml:space="preserve"> (1..maxCellMeasEUTRA))</w:t>
      </w:r>
      <w:r w:rsidRPr="00FA0D37">
        <w:rPr>
          <w:color w:val="993366"/>
        </w:rPr>
        <w:t xml:space="preserve"> OF</w:t>
      </w:r>
      <w:r w:rsidRPr="00FA0D37">
        <w:t xml:space="preserve"> EUTRA-Cell         </w:t>
      </w:r>
      <w:r w:rsidRPr="00FA0D37">
        <w:rPr>
          <w:color w:val="993366"/>
        </w:rPr>
        <w:t>OPTIONAL</w:t>
      </w:r>
      <w:r w:rsidRPr="00FA0D37">
        <w:t xml:space="preserve">,    </w:t>
      </w:r>
      <w:r w:rsidRPr="00FA0D37">
        <w:rPr>
          <w:color w:val="808080"/>
        </w:rPr>
        <w:t>-- Need N</w:t>
      </w:r>
    </w:p>
    <w:p w14:paraId="6EE1ADFF" w14:textId="78B66BD5" w:rsidR="00394471" w:rsidRPr="00FA0D37" w:rsidRDefault="00394471" w:rsidP="00FA0D37">
      <w:pPr>
        <w:pStyle w:val="PL"/>
        <w:rPr>
          <w:color w:val="808080"/>
        </w:rPr>
      </w:pPr>
      <w:r w:rsidRPr="00FA0D37">
        <w:lastRenderedPageBreak/>
        <w:t xml:space="preserve">    </w:t>
      </w:r>
      <w:r w:rsidR="00214979" w:rsidRPr="00FA0D37">
        <w:t>excluded</w:t>
      </w:r>
      <w:r w:rsidRPr="00FA0D37">
        <w:t xml:space="preserve">CellsToRemoveListEUTRAN             EUTRA-CellIndexList                                         </w:t>
      </w:r>
      <w:r w:rsidRPr="00FA0D37">
        <w:rPr>
          <w:color w:val="993366"/>
        </w:rPr>
        <w:t>OPTIONAL</w:t>
      </w:r>
      <w:r w:rsidRPr="00FA0D37">
        <w:t xml:space="preserve">,    </w:t>
      </w:r>
      <w:r w:rsidRPr="00FA0D37">
        <w:rPr>
          <w:color w:val="808080"/>
        </w:rPr>
        <w:t>-- Need N</w:t>
      </w:r>
    </w:p>
    <w:p w14:paraId="62DD0499" w14:textId="2ACD9EE8" w:rsidR="00394471" w:rsidRPr="00FA0D37" w:rsidRDefault="00394471" w:rsidP="00FA0D37">
      <w:pPr>
        <w:pStyle w:val="PL"/>
        <w:rPr>
          <w:color w:val="808080"/>
        </w:rPr>
      </w:pPr>
      <w:r w:rsidRPr="00FA0D37">
        <w:t xml:space="preserve">    </w:t>
      </w:r>
      <w:r w:rsidR="00214979" w:rsidRPr="00FA0D37">
        <w:t>excluded</w:t>
      </w:r>
      <w:r w:rsidRPr="00FA0D37">
        <w:t xml:space="preserve">CellsToAddModListEUTRAN             </w:t>
      </w:r>
      <w:r w:rsidRPr="00FA0D37">
        <w:rPr>
          <w:color w:val="993366"/>
        </w:rPr>
        <w:t>SEQUENCE</w:t>
      </w:r>
      <w:r w:rsidRPr="00FA0D37">
        <w:t xml:space="preserve"> (</w:t>
      </w:r>
      <w:r w:rsidRPr="00FA0D37">
        <w:rPr>
          <w:color w:val="993366"/>
        </w:rPr>
        <w:t>SIZE</w:t>
      </w:r>
      <w:r w:rsidRPr="00FA0D37">
        <w:t xml:space="preserve"> (1..maxCellMeasEUTRA))</w:t>
      </w:r>
      <w:r w:rsidRPr="00FA0D37">
        <w:rPr>
          <w:color w:val="993366"/>
        </w:rPr>
        <w:t xml:space="preserve"> OF</w:t>
      </w:r>
      <w:r w:rsidRPr="00FA0D37">
        <w:t xml:space="preserve"> EUTRA-</w:t>
      </w:r>
      <w:r w:rsidR="005B6C6E" w:rsidRPr="00FA0D37">
        <w:t>E</w:t>
      </w:r>
      <w:r w:rsidR="00214979" w:rsidRPr="00FA0D37">
        <w:t>xcluded</w:t>
      </w:r>
      <w:r w:rsidRPr="00FA0D37">
        <w:t xml:space="preserve">Cell    </w:t>
      </w:r>
      <w:r w:rsidRPr="00FA0D37">
        <w:rPr>
          <w:color w:val="993366"/>
        </w:rPr>
        <w:t>OPTIONAL</w:t>
      </w:r>
      <w:r w:rsidRPr="00FA0D37">
        <w:t xml:space="preserve">,    </w:t>
      </w:r>
      <w:r w:rsidRPr="00FA0D37">
        <w:rPr>
          <w:color w:val="808080"/>
        </w:rPr>
        <w:t>-- Need N</w:t>
      </w:r>
    </w:p>
    <w:p w14:paraId="54065040" w14:textId="77777777" w:rsidR="00394471" w:rsidRPr="00FA0D37" w:rsidRDefault="00394471" w:rsidP="00FA0D37">
      <w:pPr>
        <w:pStyle w:val="PL"/>
      </w:pPr>
      <w:r w:rsidRPr="00FA0D37">
        <w:t xml:space="preserve">    eutra-PresenceAntennaPort1                  EUTRA-PresenceAntennaPort1,</w:t>
      </w:r>
    </w:p>
    <w:p w14:paraId="11418BF5" w14:textId="77777777" w:rsidR="00394471" w:rsidRPr="00FA0D37" w:rsidRDefault="00394471" w:rsidP="00FA0D37">
      <w:pPr>
        <w:pStyle w:val="PL"/>
        <w:rPr>
          <w:color w:val="808080"/>
        </w:rPr>
      </w:pPr>
      <w:r w:rsidRPr="00FA0D37">
        <w:t xml:space="preserve">    eutra-Q-OffsetRange                         EUTRA-Q-OffsetRange                                         </w:t>
      </w:r>
      <w:r w:rsidRPr="00FA0D37">
        <w:rPr>
          <w:color w:val="993366"/>
        </w:rPr>
        <w:t>OPTIONAL</w:t>
      </w:r>
      <w:r w:rsidRPr="00FA0D37">
        <w:t xml:space="preserve">,    </w:t>
      </w:r>
      <w:r w:rsidRPr="00FA0D37">
        <w:rPr>
          <w:color w:val="808080"/>
        </w:rPr>
        <w:t>-- Need R</w:t>
      </w:r>
    </w:p>
    <w:p w14:paraId="1AA2EE47" w14:textId="77777777" w:rsidR="00394471" w:rsidRPr="00FA0D37" w:rsidRDefault="00394471" w:rsidP="00FA0D37">
      <w:pPr>
        <w:pStyle w:val="PL"/>
      </w:pPr>
      <w:r w:rsidRPr="00FA0D37">
        <w:t xml:space="preserve">    widebandRSRQ-Meas                           </w:t>
      </w:r>
      <w:r w:rsidRPr="00FA0D37">
        <w:rPr>
          <w:color w:val="993366"/>
        </w:rPr>
        <w:t>BOOLEAN</w:t>
      </w:r>
      <w:r w:rsidRPr="00FA0D37">
        <w:t>,</w:t>
      </w:r>
    </w:p>
    <w:p w14:paraId="783950BD" w14:textId="6EF7AEB9" w:rsidR="003F7068" w:rsidRPr="00FA0D37" w:rsidRDefault="00394471" w:rsidP="00FA0D37">
      <w:pPr>
        <w:pStyle w:val="PL"/>
      </w:pPr>
      <w:r w:rsidRPr="00FA0D37">
        <w:t xml:space="preserve">    ...</w:t>
      </w:r>
      <w:r w:rsidR="003F7068" w:rsidRPr="00FA0D37">
        <w:t>,</w:t>
      </w:r>
    </w:p>
    <w:p w14:paraId="49DB4843" w14:textId="77777777" w:rsidR="003F7068" w:rsidRPr="00FA0D37" w:rsidRDefault="003F7068" w:rsidP="00FA0D37">
      <w:pPr>
        <w:pStyle w:val="PL"/>
      </w:pPr>
      <w:r w:rsidRPr="00FA0D37">
        <w:t xml:space="preserve">    [[</w:t>
      </w:r>
    </w:p>
    <w:p w14:paraId="7C7017DD" w14:textId="77777777" w:rsidR="003F7068" w:rsidRPr="00FA0D37" w:rsidRDefault="003F7068" w:rsidP="00FA0D37">
      <w:pPr>
        <w:pStyle w:val="PL"/>
        <w:rPr>
          <w:color w:val="808080"/>
        </w:rPr>
      </w:pPr>
      <w:r w:rsidRPr="00FA0D37">
        <w:t xml:space="preserve">    associatedMeasGap-r17                       MeasGapId-r17                                               </w:t>
      </w:r>
      <w:r w:rsidRPr="00FA0D37">
        <w:rPr>
          <w:color w:val="993366"/>
        </w:rPr>
        <w:t>OPTIONAL</w:t>
      </w:r>
      <w:r w:rsidRPr="00FA0D37">
        <w:t xml:space="preserve">     </w:t>
      </w:r>
      <w:r w:rsidRPr="00FA0D37">
        <w:rPr>
          <w:color w:val="808080"/>
        </w:rPr>
        <w:t>-- Need R</w:t>
      </w:r>
    </w:p>
    <w:p w14:paraId="779BDD13" w14:textId="73507E35" w:rsidR="00394471" w:rsidRPr="00FA0D37" w:rsidRDefault="003F7068" w:rsidP="00FA0D37">
      <w:pPr>
        <w:pStyle w:val="PL"/>
      </w:pPr>
      <w:r w:rsidRPr="00FA0D37">
        <w:t xml:space="preserve">    ]]</w:t>
      </w:r>
    </w:p>
    <w:p w14:paraId="317D2674" w14:textId="77777777" w:rsidR="00394471" w:rsidRPr="00FA0D37" w:rsidRDefault="00394471" w:rsidP="00FA0D37">
      <w:pPr>
        <w:pStyle w:val="PL"/>
      </w:pPr>
      <w:r w:rsidRPr="00FA0D37">
        <w:t>}</w:t>
      </w:r>
    </w:p>
    <w:p w14:paraId="2938F00E" w14:textId="77777777" w:rsidR="00394471" w:rsidRPr="00FA0D37" w:rsidRDefault="00394471" w:rsidP="00FA0D37">
      <w:pPr>
        <w:pStyle w:val="PL"/>
      </w:pPr>
    </w:p>
    <w:p w14:paraId="085E209B" w14:textId="77777777" w:rsidR="00394471" w:rsidRPr="00FA0D37" w:rsidRDefault="00394471" w:rsidP="00FA0D37">
      <w:pPr>
        <w:pStyle w:val="PL"/>
      </w:pPr>
      <w:r w:rsidRPr="00FA0D37">
        <w:t xml:space="preserve">EUTRA-CellIndexList ::=                     </w:t>
      </w:r>
      <w:r w:rsidRPr="00FA0D37">
        <w:rPr>
          <w:color w:val="993366"/>
        </w:rPr>
        <w:t>SEQUENCE</w:t>
      </w:r>
      <w:r w:rsidRPr="00FA0D37">
        <w:t xml:space="preserve"> (</w:t>
      </w:r>
      <w:r w:rsidRPr="00FA0D37">
        <w:rPr>
          <w:color w:val="993366"/>
        </w:rPr>
        <w:t>SIZE</w:t>
      </w:r>
      <w:r w:rsidRPr="00FA0D37">
        <w:t xml:space="preserve"> (1..maxCellMeasEUTRA))</w:t>
      </w:r>
      <w:r w:rsidRPr="00FA0D37">
        <w:rPr>
          <w:color w:val="993366"/>
        </w:rPr>
        <w:t xml:space="preserve"> OF</w:t>
      </w:r>
      <w:r w:rsidRPr="00FA0D37">
        <w:t xml:space="preserve"> EUTRA-CellIndex</w:t>
      </w:r>
    </w:p>
    <w:p w14:paraId="1E1593C8" w14:textId="77777777" w:rsidR="00394471" w:rsidRPr="00FA0D37" w:rsidRDefault="00394471" w:rsidP="00FA0D37">
      <w:pPr>
        <w:pStyle w:val="PL"/>
      </w:pPr>
    </w:p>
    <w:p w14:paraId="3CD31F59" w14:textId="77777777" w:rsidR="00394471" w:rsidRPr="00FA0D37" w:rsidRDefault="00394471" w:rsidP="00FA0D37">
      <w:pPr>
        <w:pStyle w:val="PL"/>
      </w:pPr>
      <w:r w:rsidRPr="00FA0D37">
        <w:t xml:space="preserve">EUTRA-CellIndex ::=                         </w:t>
      </w:r>
      <w:r w:rsidRPr="00FA0D37">
        <w:rPr>
          <w:color w:val="993366"/>
        </w:rPr>
        <w:t>INTEGER</w:t>
      </w:r>
      <w:r w:rsidRPr="00FA0D37">
        <w:t xml:space="preserve"> (1..maxCellMeasEUTRA)</w:t>
      </w:r>
    </w:p>
    <w:p w14:paraId="0A665BF2" w14:textId="77777777" w:rsidR="00394471" w:rsidRPr="00FA0D37" w:rsidRDefault="00394471" w:rsidP="00FA0D37">
      <w:pPr>
        <w:pStyle w:val="PL"/>
      </w:pPr>
    </w:p>
    <w:p w14:paraId="13E218C0" w14:textId="77777777" w:rsidR="00394471" w:rsidRPr="00FA0D37" w:rsidRDefault="00394471" w:rsidP="00FA0D37">
      <w:pPr>
        <w:pStyle w:val="PL"/>
      </w:pPr>
    </w:p>
    <w:p w14:paraId="63DC3C50" w14:textId="77777777" w:rsidR="00394471" w:rsidRPr="00FA0D37" w:rsidRDefault="00394471" w:rsidP="00FA0D37">
      <w:pPr>
        <w:pStyle w:val="PL"/>
      </w:pPr>
      <w:r w:rsidRPr="00FA0D37">
        <w:t xml:space="preserve">EUTRA-Cell ::=                              </w:t>
      </w:r>
      <w:r w:rsidRPr="00FA0D37">
        <w:rPr>
          <w:color w:val="993366"/>
        </w:rPr>
        <w:t>SEQUENCE</w:t>
      </w:r>
      <w:r w:rsidRPr="00FA0D37">
        <w:t xml:space="preserve"> {</w:t>
      </w:r>
    </w:p>
    <w:p w14:paraId="1302BC9B" w14:textId="77777777" w:rsidR="00394471" w:rsidRPr="00FA0D37" w:rsidRDefault="00394471" w:rsidP="00FA0D37">
      <w:pPr>
        <w:pStyle w:val="PL"/>
      </w:pPr>
      <w:r w:rsidRPr="00FA0D37">
        <w:t xml:space="preserve">    cellIndexEUTRA                              EUTRA-CellIndex,</w:t>
      </w:r>
    </w:p>
    <w:p w14:paraId="6B0A3D3B" w14:textId="77777777" w:rsidR="00394471" w:rsidRPr="00FA0D37" w:rsidRDefault="00394471" w:rsidP="00FA0D37">
      <w:pPr>
        <w:pStyle w:val="PL"/>
      </w:pPr>
      <w:r w:rsidRPr="00FA0D37">
        <w:t xml:space="preserve">    physCellId                                  EUTRA-PhysCellId,</w:t>
      </w:r>
    </w:p>
    <w:p w14:paraId="02DBDFBF" w14:textId="77777777" w:rsidR="00394471" w:rsidRPr="00FA0D37" w:rsidRDefault="00394471" w:rsidP="00FA0D37">
      <w:pPr>
        <w:pStyle w:val="PL"/>
      </w:pPr>
      <w:r w:rsidRPr="00FA0D37">
        <w:t xml:space="preserve">    cellIndividualOffset                        EUTRA-Q-OffsetRange</w:t>
      </w:r>
    </w:p>
    <w:p w14:paraId="482357A9" w14:textId="77777777" w:rsidR="00394471" w:rsidRPr="00FA0D37" w:rsidRDefault="00394471" w:rsidP="00FA0D37">
      <w:pPr>
        <w:pStyle w:val="PL"/>
      </w:pPr>
      <w:r w:rsidRPr="00FA0D37">
        <w:t>}</w:t>
      </w:r>
    </w:p>
    <w:p w14:paraId="0EE6CDDC" w14:textId="77777777" w:rsidR="00394471" w:rsidRPr="00FA0D37" w:rsidRDefault="00394471" w:rsidP="00FA0D37">
      <w:pPr>
        <w:pStyle w:val="PL"/>
      </w:pPr>
    </w:p>
    <w:p w14:paraId="477424C6" w14:textId="77777777" w:rsidR="00394471" w:rsidRPr="00FA0D37" w:rsidRDefault="00394471" w:rsidP="00FA0D37">
      <w:pPr>
        <w:pStyle w:val="PL"/>
      </w:pPr>
    </w:p>
    <w:p w14:paraId="4DB38E14" w14:textId="553709F9" w:rsidR="00394471" w:rsidRPr="00FA0D37" w:rsidRDefault="00394471" w:rsidP="00FA0D37">
      <w:pPr>
        <w:pStyle w:val="PL"/>
      </w:pPr>
      <w:r w:rsidRPr="00FA0D37">
        <w:t>EUTRA-</w:t>
      </w:r>
      <w:r w:rsidR="005B6C6E" w:rsidRPr="00FA0D37">
        <w:t>Excluded</w:t>
      </w:r>
      <w:r w:rsidRPr="00FA0D37">
        <w:t xml:space="preserve">Cell ::=                      </w:t>
      </w:r>
      <w:r w:rsidRPr="00FA0D37">
        <w:rPr>
          <w:color w:val="993366"/>
        </w:rPr>
        <w:t>SEQUENCE</w:t>
      </w:r>
      <w:r w:rsidRPr="00FA0D37">
        <w:t xml:space="preserve"> {</w:t>
      </w:r>
    </w:p>
    <w:p w14:paraId="7C5E8069" w14:textId="77777777" w:rsidR="00394471" w:rsidRPr="00FA0D37" w:rsidRDefault="00394471" w:rsidP="00FA0D37">
      <w:pPr>
        <w:pStyle w:val="PL"/>
      </w:pPr>
      <w:r w:rsidRPr="00FA0D37">
        <w:t xml:space="preserve">    cellIndexEUTRA                              EUTRA-CellIndex,</w:t>
      </w:r>
    </w:p>
    <w:p w14:paraId="5071329B" w14:textId="77777777" w:rsidR="00394471" w:rsidRPr="00FA0D37" w:rsidRDefault="00394471" w:rsidP="00FA0D37">
      <w:pPr>
        <w:pStyle w:val="PL"/>
      </w:pPr>
      <w:r w:rsidRPr="00FA0D37">
        <w:t xml:space="preserve">    physCellIdRange                             EUTRA-PhysCellIdRange</w:t>
      </w:r>
    </w:p>
    <w:p w14:paraId="21AF44E5" w14:textId="77777777" w:rsidR="00394471" w:rsidRPr="00FA0D37" w:rsidRDefault="00394471" w:rsidP="00FA0D37">
      <w:pPr>
        <w:pStyle w:val="PL"/>
      </w:pPr>
      <w:r w:rsidRPr="00FA0D37">
        <w:t>}</w:t>
      </w:r>
    </w:p>
    <w:p w14:paraId="5BF2BDD6" w14:textId="77777777" w:rsidR="00394471" w:rsidRPr="00FA0D37" w:rsidRDefault="00394471" w:rsidP="00FA0D37">
      <w:pPr>
        <w:pStyle w:val="PL"/>
      </w:pPr>
    </w:p>
    <w:p w14:paraId="0A69A0DF" w14:textId="77777777" w:rsidR="00394471" w:rsidRPr="00FA0D37" w:rsidRDefault="00394471" w:rsidP="00FA0D37">
      <w:pPr>
        <w:pStyle w:val="PL"/>
        <w:rPr>
          <w:color w:val="808080"/>
        </w:rPr>
      </w:pPr>
      <w:r w:rsidRPr="00FA0D37">
        <w:rPr>
          <w:color w:val="808080"/>
        </w:rPr>
        <w:t>-- TAG-MEASOBJECTEUTRA-STOP</w:t>
      </w:r>
    </w:p>
    <w:p w14:paraId="114D5498" w14:textId="77777777" w:rsidR="00394471" w:rsidRPr="00FA0D37" w:rsidRDefault="00394471" w:rsidP="00FA0D37">
      <w:pPr>
        <w:pStyle w:val="PL"/>
        <w:rPr>
          <w:color w:val="808080"/>
        </w:rPr>
      </w:pPr>
      <w:r w:rsidRPr="00FA0D37">
        <w:rPr>
          <w:color w:val="808080"/>
        </w:rPr>
        <w:t>-- ASN1STOP</w:t>
      </w:r>
    </w:p>
    <w:p w14:paraId="5EB30CE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FA0D37" w:rsidRDefault="00394471" w:rsidP="00964CC4">
            <w:pPr>
              <w:pStyle w:val="TAH"/>
              <w:rPr>
                <w:lang w:eastAsia="sv-SE"/>
              </w:rPr>
            </w:pPr>
            <w:r w:rsidRPr="00FA0D37">
              <w:rPr>
                <w:i/>
                <w:lang w:eastAsia="sv-SE"/>
              </w:rPr>
              <w:t>EUTRAN-</w:t>
            </w:r>
            <w:r w:rsidR="005B6C6E" w:rsidRPr="00FA0D37">
              <w:rPr>
                <w:i/>
                <w:lang w:eastAsia="sv-SE"/>
              </w:rPr>
              <w:t>Excluded</w:t>
            </w:r>
            <w:r w:rsidRPr="00FA0D37">
              <w:rPr>
                <w:i/>
                <w:lang w:eastAsia="sv-SE"/>
              </w:rPr>
              <w:t xml:space="preserve">Cell </w:t>
            </w:r>
            <w:r w:rsidRPr="00FA0D37">
              <w:rPr>
                <w:lang w:eastAsia="sv-SE"/>
              </w:rPr>
              <w:t>field descriptions</w:t>
            </w:r>
          </w:p>
        </w:tc>
      </w:tr>
      <w:tr w:rsidR="005C7FF4" w:rsidRPr="00FA0D37"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FA0D37" w:rsidRDefault="00394471" w:rsidP="00964CC4">
            <w:pPr>
              <w:pStyle w:val="TAL"/>
              <w:rPr>
                <w:b/>
                <w:bCs/>
                <w:i/>
                <w:noProof/>
                <w:lang w:eastAsia="en-GB"/>
              </w:rPr>
            </w:pPr>
            <w:r w:rsidRPr="00FA0D37">
              <w:rPr>
                <w:b/>
                <w:bCs/>
                <w:i/>
                <w:noProof/>
                <w:lang w:eastAsia="en-GB"/>
              </w:rPr>
              <w:t>cellIndexEUTRA</w:t>
            </w:r>
          </w:p>
          <w:p w14:paraId="3F8FB421" w14:textId="77777777" w:rsidR="00394471" w:rsidRPr="00FA0D37" w:rsidRDefault="00394471" w:rsidP="00964CC4">
            <w:pPr>
              <w:pStyle w:val="TAL"/>
              <w:rPr>
                <w:iCs/>
                <w:noProof/>
                <w:lang w:eastAsia="en-GB"/>
              </w:rPr>
            </w:pPr>
            <w:r w:rsidRPr="00FA0D37">
              <w:rPr>
                <w:lang w:eastAsia="en-GB"/>
              </w:rPr>
              <w:t>Entry index in the cell list.</w:t>
            </w:r>
          </w:p>
        </w:tc>
      </w:tr>
      <w:tr w:rsidR="00394471" w:rsidRPr="00FA0D37"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FA0D37" w:rsidRDefault="00394471" w:rsidP="00964CC4">
            <w:pPr>
              <w:pStyle w:val="TAL"/>
              <w:rPr>
                <w:b/>
                <w:i/>
                <w:iCs/>
                <w:lang w:eastAsia="en-GB"/>
              </w:rPr>
            </w:pPr>
            <w:r w:rsidRPr="00FA0D37">
              <w:rPr>
                <w:b/>
                <w:i/>
                <w:lang w:eastAsia="en-GB"/>
              </w:rPr>
              <w:t>physicalCellIdRange</w:t>
            </w:r>
          </w:p>
          <w:p w14:paraId="6BDA5765" w14:textId="77777777" w:rsidR="00394471" w:rsidRPr="00FA0D37" w:rsidRDefault="00394471" w:rsidP="00964CC4">
            <w:pPr>
              <w:pStyle w:val="TAL"/>
              <w:rPr>
                <w:b/>
                <w:bCs/>
                <w:i/>
                <w:noProof/>
                <w:lang w:eastAsia="en-GB"/>
              </w:rPr>
            </w:pPr>
            <w:r w:rsidRPr="00FA0D37">
              <w:rPr>
                <w:iCs/>
                <w:noProof/>
                <w:lang w:eastAsia="en-GB"/>
              </w:rPr>
              <w:t>Physical cell identity or a range of physical cell identities.</w:t>
            </w:r>
          </w:p>
        </w:tc>
      </w:tr>
    </w:tbl>
    <w:p w14:paraId="690623F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FA0D37" w:rsidRDefault="00394471" w:rsidP="00964CC4">
            <w:pPr>
              <w:pStyle w:val="TAH"/>
              <w:rPr>
                <w:lang w:eastAsia="sv-SE"/>
              </w:rPr>
            </w:pPr>
            <w:r w:rsidRPr="00FA0D37">
              <w:rPr>
                <w:i/>
                <w:lang w:eastAsia="sv-SE"/>
              </w:rPr>
              <w:t xml:space="preserve">EUTRAN-Cell </w:t>
            </w:r>
            <w:r w:rsidRPr="00FA0D37">
              <w:rPr>
                <w:lang w:eastAsia="sv-SE"/>
              </w:rPr>
              <w:t>field descriptions</w:t>
            </w:r>
          </w:p>
        </w:tc>
      </w:tr>
      <w:tr w:rsidR="005C7FF4" w:rsidRPr="00FA0D37"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FA0D37" w:rsidRDefault="00394471" w:rsidP="00964CC4">
            <w:pPr>
              <w:pStyle w:val="TAL"/>
              <w:rPr>
                <w:b/>
                <w:bCs/>
                <w:i/>
                <w:noProof/>
                <w:lang w:eastAsia="en-GB"/>
              </w:rPr>
            </w:pPr>
            <w:r w:rsidRPr="00FA0D37">
              <w:rPr>
                <w:b/>
                <w:bCs/>
                <w:i/>
                <w:noProof/>
                <w:lang w:eastAsia="en-GB"/>
              </w:rPr>
              <w:t>physicalCellId</w:t>
            </w:r>
          </w:p>
          <w:p w14:paraId="0B0528C8" w14:textId="77777777" w:rsidR="00394471" w:rsidRPr="00FA0D37" w:rsidRDefault="00394471" w:rsidP="00964CC4">
            <w:pPr>
              <w:pStyle w:val="TAL"/>
              <w:rPr>
                <w:iCs/>
                <w:noProof/>
                <w:lang w:eastAsia="en-GB"/>
              </w:rPr>
            </w:pPr>
            <w:r w:rsidRPr="00FA0D37">
              <w:rPr>
                <w:lang w:eastAsia="en-GB"/>
              </w:rPr>
              <w:t>Physical cell identity of a cell in the cell list.</w:t>
            </w:r>
          </w:p>
        </w:tc>
      </w:tr>
      <w:tr w:rsidR="00394471" w:rsidRPr="00FA0D37"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FA0D37" w:rsidRDefault="00394471" w:rsidP="00964CC4">
            <w:pPr>
              <w:pStyle w:val="TAL"/>
              <w:rPr>
                <w:b/>
                <w:bCs/>
                <w:i/>
                <w:noProof/>
                <w:lang w:eastAsia="en-GB"/>
              </w:rPr>
            </w:pPr>
            <w:r w:rsidRPr="00FA0D37">
              <w:rPr>
                <w:b/>
                <w:bCs/>
                <w:i/>
                <w:noProof/>
                <w:lang w:eastAsia="en-GB"/>
              </w:rPr>
              <w:t>cellIndividualOffset</w:t>
            </w:r>
          </w:p>
          <w:p w14:paraId="76A01FF8" w14:textId="77777777" w:rsidR="00394471" w:rsidRPr="00FA0D37" w:rsidRDefault="00394471" w:rsidP="00964CC4">
            <w:pPr>
              <w:pStyle w:val="TAL"/>
              <w:rPr>
                <w:b/>
                <w:bCs/>
                <w:i/>
                <w:noProof/>
                <w:lang w:eastAsia="en-GB"/>
              </w:rPr>
            </w:pPr>
            <w:r w:rsidRPr="00FA0D37">
              <w:rPr>
                <w:lang w:eastAsia="en-GB"/>
              </w:rPr>
              <w:t xml:space="preserve">Cell individual offset applicable to a specific cell. Value </w:t>
            </w:r>
            <w:r w:rsidRPr="00FA0D37">
              <w:rPr>
                <w:i/>
                <w:lang w:eastAsia="sv-SE"/>
              </w:rPr>
              <w:t>dB-24</w:t>
            </w:r>
            <w:r w:rsidRPr="00FA0D37">
              <w:rPr>
                <w:lang w:eastAsia="en-GB"/>
              </w:rPr>
              <w:t xml:space="preserve"> corresponds to -24 dB, </w:t>
            </w:r>
            <w:r w:rsidRPr="00FA0D37">
              <w:rPr>
                <w:i/>
                <w:lang w:eastAsia="sv-SE"/>
              </w:rPr>
              <w:t>dB-22</w:t>
            </w:r>
            <w:r w:rsidRPr="00FA0D37">
              <w:rPr>
                <w:lang w:eastAsia="en-GB"/>
              </w:rPr>
              <w:t xml:space="preserve"> corresponds to -22 dB and so on.</w:t>
            </w:r>
          </w:p>
        </w:tc>
      </w:tr>
    </w:tbl>
    <w:p w14:paraId="6765AE2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FA0D37" w:rsidRDefault="00394471" w:rsidP="00964CC4">
            <w:pPr>
              <w:pStyle w:val="TAH"/>
              <w:rPr>
                <w:szCs w:val="22"/>
                <w:lang w:eastAsia="sv-SE"/>
              </w:rPr>
            </w:pPr>
            <w:r w:rsidRPr="00FA0D37">
              <w:rPr>
                <w:i/>
                <w:szCs w:val="22"/>
                <w:lang w:eastAsia="sv-SE"/>
              </w:rPr>
              <w:lastRenderedPageBreak/>
              <w:t xml:space="preserve">MeasObjectEUTRA </w:t>
            </w:r>
            <w:r w:rsidRPr="00FA0D37">
              <w:rPr>
                <w:szCs w:val="22"/>
                <w:lang w:eastAsia="sv-SE"/>
              </w:rPr>
              <w:t>field descriptions</w:t>
            </w:r>
          </w:p>
        </w:tc>
      </w:tr>
      <w:tr w:rsidR="005C7FF4" w:rsidRPr="00FA0D37"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FA0D37" w:rsidRDefault="00394471" w:rsidP="00964CC4">
            <w:pPr>
              <w:pStyle w:val="TAL"/>
              <w:rPr>
                <w:b/>
                <w:bCs/>
                <w:i/>
                <w:noProof/>
                <w:lang w:eastAsia="ko-KR"/>
              </w:rPr>
            </w:pPr>
            <w:r w:rsidRPr="00FA0D37">
              <w:rPr>
                <w:b/>
                <w:bCs/>
                <w:i/>
                <w:noProof/>
                <w:lang w:eastAsia="ko-KR"/>
              </w:rPr>
              <w:t>allowedMeasBandwidth</w:t>
            </w:r>
          </w:p>
          <w:p w14:paraId="2F00D0F4" w14:textId="77777777" w:rsidR="00394471" w:rsidRPr="00FA0D37" w:rsidRDefault="00394471" w:rsidP="00964CC4">
            <w:pPr>
              <w:pStyle w:val="TAL"/>
              <w:rPr>
                <w:iCs/>
                <w:noProof/>
                <w:lang w:eastAsia="en-GB"/>
              </w:rPr>
            </w:pPr>
            <w:r w:rsidRPr="00FA0D37">
              <w:rPr>
                <w:iCs/>
                <w:lang w:eastAsia="sv-SE"/>
              </w:rPr>
              <w:t xml:space="preserve">The maximum allowed measurement bandwidth on a carrier frequency as defined by the parameter </w:t>
            </w:r>
            <w:r w:rsidRPr="00FA0D37">
              <w:rPr>
                <w:lang w:eastAsia="sv-SE"/>
              </w:rPr>
              <w:t>Transmission Bandwidth Configuration "N</w:t>
            </w:r>
            <w:r w:rsidRPr="00FA0D37">
              <w:rPr>
                <w:vertAlign w:val="subscript"/>
                <w:lang w:eastAsia="sv-SE"/>
              </w:rPr>
              <w:t>RB</w:t>
            </w:r>
            <w:r w:rsidRPr="00FA0D37">
              <w:rPr>
                <w:lang w:eastAsia="sv-SE"/>
              </w:rPr>
              <w:t>" TS 36.104 [33].</w:t>
            </w:r>
          </w:p>
        </w:tc>
      </w:tr>
      <w:tr w:rsidR="005C7FF4" w:rsidRPr="00FA0D37"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FA0D37" w:rsidRDefault="003F7068" w:rsidP="003F7068">
            <w:pPr>
              <w:pStyle w:val="TAL"/>
              <w:rPr>
                <w:b/>
                <w:bCs/>
                <w:i/>
                <w:noProof/>
                <w:lang w:eastAsia="ko-KR"/>
              </w:rPr>
            </w:pPr>
            <w:r w:rsidRPr="00FA0D37">
              <w:rPr>
                <w:b/>
                <w:bCs/>
                <w:i/>
                <w:noProof/>
                <w:lang w:eastAsia="ko-KR"/>
              </w:rPr>
              <w:t>associatedMeasGap</w:t>
            </w:r>
          </w:p>
          <w:p w14:paraId="01FB678A" w14:textId="06080E4F" w:rsidR="003F7068" w:rsidRPr="00FA0D37" w:rsidRDefault="003F7068" w:rsidP="003F7068">
            <w:pPr>
              <w:pStyle w:val="TAL"/>
              <w:rPr>
                <w:iCs/>
                <w:noProof/>
                <w:lang w:eastAsia="ko-KR"/>
              </w:rPr>
            </w:pPr>
            <w:r w:rsidRPr="00FA0D37">
              <w:rPr>
                <w:iCs/>
                <w:noProof/>
                <w:lang w:eastAsia="ko-KR"/>
              </w:rPr>
              <w:t>Indicates the associated measurement gap for measuring this EUTRA frequency.</w:t>
            </w:r>
            <w:r w:rsidR="00CE29E7" w:rsidRPr="00FA0D37">
              <w:rPr>
                <w:iCs/>
                <w:noProof/>
                <w:lang w:eastAsia="ko-KR"/>
              </w:rPr>
              <w:t xml:space="preserve"> If this field is absent, the associated meaurment gap is the gap configured via </w:t>
            </w:r>
            <w:r w:rsidR="00CE29E7" w:rsidRPr="00FA0D37">
              <w:rPr>
                <w:i/>
                <w:noProof/>
                <w:lang w:eastAsia="ko-KR"/>
              </w:rPr>
              <w:t>gapFR1</w:t>
            </w:r>
            <w:r w:rsidR="00CE29E7" w:rsidRPr="00FA0D37">
              <w:rPr>
                <w:iCs/>
                <w:noProof/>
                <w:lang w:eastAsia="ko-KR"/>
              </w:rPr>
              <w:t xml:space="preserve"> or </w:t>
            </w:r>
            <w:r w:rsidR="00CE29E7" w:rsidRPr="00FA0D37">
              <w:rPr>
                <w:i/>
                <w:noProof/>
                <w:lang w:eastAsia="ko-KR"/>
              </w:rPr>
              <w:t>gapUE</w:t>
            </w:r>
            <w:r w:rsidR="00CE29E7" w:rsidRPr="00FA0D37">
              <w:rPr>
                <w:iCs/>
                <w:noProof/>
                <w:lang w:eastAsia="ko-KR"/>
              </w:rPr>
              <w:t>.</w:t>
            </w:r>
          </w:p>
        </w:tc>
      </w:tr>
      <w:tr w:rsidR="005C7FF4" w:rsidRPr="00FA0D37"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FA0D37" w:rsidRDefault="00394471" w:rsidP="00964CC4">
            <w:pPr>
              <w:pStyle w:val="TAL"/>
              <w:rPr>
                <w:b/>
                <w:bCs/>
                <w:i/>
                <w:noProof/>
                <w:lang w:eastAsia="en-GB"/>
              </w:rPr>
            </w:pPr>
            <w:r w:rsidRPr="00FA0D37">
              <w:rPr>
                <w:b/>
                <w:bCs/>
                <w:i/>
                <w:noProof/>
                <w:lang w:eastAsia="en-GB"/>
              </w:rPr>
              <w:t>carrierFreq</w:t>
            </w:r>
          </w:p>
          <w:p w14:paraId="36568DF0" w14:textId="77777777" w:rsidR="00394471" w:rsidRPr="00FA0D37" w:rsidRDefault="00394471" w:rsidP="00964CC4">
            <w:pPr>
              <w:pStyle w:val="TAL"/>
              <w:rPr>
                <w:bCs/>
                <w:i/>
                <w:noProof/>
                <w:lang w:eastAsia="en-GB"/>
              </w:rPr>
            </w:pPr>
            <w:r w:rsidRPr="00FA0D37">
              <w:rPr>
                <w:lang w:eastAsia="en-GB"/>
              </w:rPr>
              <w:t>Identifies E</w:t>
            </w:r>
            <w:r w:rsidRPr="00FA0D37">
              <w:rPr>
                <w:lang w:eastAsia="en-GB"/>
              </w:rPr>
              <w:noBreakHyphen/>
              <w:t xml:space="preserve">UTRA carrier frequency for which this configuration is valid. </w:t>
            </w:r>
            <w:r w:rsidRPr="00FA0D37">
              <w:rPr>
                <w:bCs/>
                <w:noProof/>
                <w:lang w:eastAsia="ko-KR"/>
              </w:rPr>
              <w:t xml:space="preserve">Network does not configure more than one </w:t>
            </w:r>
            <w:r w:rsidRPr="00FA0D37">
              <w:rPr>
                <w:bCs/>
                <w:i/>
                <w:noProof/>
                <w:lang w:eastAsia="ko-KR"/>
              </w:rPr>
              <w:t>MeasObjectEUTRA</w:t>
            </w:r>
            <w:r w:rsidRPr="00FA0D37">
              <w:rPr>
                <w:bCs/>
                <w:noProof/>
                <w:lang w:eastAsia="ko-KR"/>
              </w:rPr>
              <w:t xml:space="preserve"> for the same physical frequency, regardless of the E-ARFCN used to indicate this.</w:t>
            </w:r>
          </w:p>
        </w:tc>
      </w:tr>
      <w:tr w:rsidR="005C7FF4" w:rsidRPr="00FA0D37"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FA0D37" w:rsidRDefault="00394471" w:rsidP="00964CC4">
            <w:pPr>
              <w:pStyle w:val="TAL"/>
              <w:rPr>
                <w:b/>
                <w:bCs/>
                <w:i/>
                <w:noProof/>
                <w:lang w:eastAsia="en-GB"/>
              </w:rPr>
            </w:pPr>
            <w:r w:rsidRPr="00FA0D37">
              <w:rPr>
                <w:b/>
                <w:bCs/>
                <w:i/>
                <w:noProof/>
                <w:lang w:eastAsia="en-GB"/>
              </w:rPr>
              <w:t>cellsToAddModListEUTRAN</w:t>
            </w:r>
          </w:p>
          <w:p w14:paraId="599B551F" w14:textId="77777777" w:rsidR="00394471" w:rsidRPr="00FA0D37" w:rsidRDefault="00394471" w:rsidP="00964CC4">
            <w:pPr>
              <w:pStyle w:val="TAL"/>
              <w:rPr>
                <w:b/>
                <w:bCs/>
                <w:i/>
                <w:noProof/>
                <w:lang w:eastAsia="en-GB"/>
              </w:rPr>
            </w:pPr>
            <w:r w:rsidRPr="00FA0D37">
              <w:rPr>
                <w:lang w:eastAsia="en-GB"/>
              </w:rPr>
              <w:t>List of cells to add/ modify in the cell list.</w:t>
            </w:r>
          </w:p>
        </w:tc>
      </w:tr>
      <w:tr w:rsidR="005C7FF4" w:rsidRPr="00FA0D37"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FA0D37" w:rsidRDefault="00394471" w:rsidP="00964CC4">
            <w:pPr>
              <w:pStyle w:val="TAL"/>
              <w:rPr>
                <w:b/>
                <w:bCs/>
                <w:i/>
                <w:noProof/>
                <w:lang w:eastAsia="en-GB"/>
              </w:rPr>
            </w:pPr>
            <w:r w:rsidRPr="00FA0D37">
              <w:rPr>
                <w:b/>
                <w:bCs/>
                <w:i/>
                <w:noProof/>
                <w:lang w:eastAsia="en-GB"/>
              </w:rPr>
              <w:t>cellsToRemoveListEUTRAN</w:t>
            </w:r>
          </w:p>
          <w:p w14:paraId="00C1BEDD" w14:textId="77777777" w:rsidR="00394471" w:rsidRPr="00FA0D37" w:rsidRDefault="00394471" w:rsidP="00964CC4">
            <w:pPr>
              <w:pStyle w:val="TAL"/>
              <w:rPr>
                <w:b/>
                <w:bCs/>
                <w:i/>
                <w:noProof/>
                <w:lang w:eastAsia="en-GB"/>
              </w:rPr>
            </w:pPr>
            <w:r w:rsidRPr="00FA0D37">
              <w:rPr>
                <w:lang w:eastAsia="en-GB"/>
              </w:rPr>
              <w:t>List of cells to remove from the cell list.</w:t>
            </w:r>
          </w:p>
        </w:tc>
      </w:tr>
      <w:tr w:rsidR="005C7FF4" w:rsidRPr="00FA0D37"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FA0D37" w:rsidRDefault="00394471" w:rsidP="00964CC4">
            <w:pPr>
              <w:pStyle w:val="TAL"/>
              <w:rPr>
                <w:b/>
                <w:i/>
                <w:lang w:eastAsia="sv-SE"/>
              </w:rPr>
            </w:pPr>
            <w:r w:rsidRPr="00FA0D37">
              <w:rPr>
                <w:b/>
                <w:i/>
                <w:lang w:eastAsia="sv-SE"/>
              </w:rPr>
              <w:t>eutra-PresenceAntennaPort1</w:t>
            </w:r>
          </w:p>
          <w:p w14:paraId="57EF6E24" w14:textId="77777777" w:rsidR="00394471" w:rsidRPr="00FA0D37" w:rsidRDefault="00394471" w:rsidP="00964CC4">
            <w:pPr>
              <w:pStyle w:val="TAL"/>
              <w:rPr>
                <w:b/>
                <w:bCs/>
                <w:i/>
                <w:noProof/>
                <w:lang w:eastAsia="en-GB"/>
              </w:rPr>
            </w:pPr>
            <w:r w:rsidRPr="00FA0D37">
              <w:rPr>
                <w:lang w:eastAsia="sv-SE"/>
              </w:rPr>
              <w:t xml:space="preserve">When set to </w:t>
            </w:r>
            <w:r w:rsidRPr="00FA0D37">
              <w:rPr>
                <w:i/>
                <w:iCs/>
                <w:lang w:eastAsia="en-GB"/>
              </w:rPr>
              <w:t>true</w:t>
            </w:r>
            <w:r w:rsidRPr="00FA0D37">
              <w:rPr>
                <w:lang w:eastAsia="sv-SE"/>
              </w:rPr>
              <w:t>, the UE may assume that at least two cell-specific antenna ports are used in all neighbouring cells.</w:t>
            </w:r>
          </w:p>
        </w:tc>
      </w:tr>
      <w:tr w:rsidR="005C7FF4" w:rsidRPr="00FA0D37"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FA0D37" w:rsidRDefault="00394471" w:rsidP="00964CC4">
            <w:pPr>
              <w:pStyle w:val="TAL"/>
              <w:rPr>
                <w:b/>
                <w:i/>
                <w:lang w:eastAsia="sv-SE"/>
              </w:rPr>
            </w:pPr>
            <w:r w:rsidRPr="00FA0D37">
              <w:rPr>
                <w:b/>
                <w:i/>
                <w:lang w:eastAsia="sv-SE"/>
              </w:rPr>
              <w:t>eutra-Q-OffsetRange</w:t>
            </w:r>
          </w:p>
          <w:p w14:paraId="30A4724F" w14:textId="77777777" w:rsidR="00394471" w:rsidRPr="00FA0D37" w:rsidRDefault="00394471" w:rsidP="00964CC4">
            <w:pPr>
              <w:pStyle w:val="TAL"/>
              <w:rPr>
                <w:b/>
                <w:bCs/>
                <w:i/>
                <w:noProof/>
                <w:lang w:eastAsia="en-GB"/>
              </w:rPr>
            </w:pPr>
            <w:r w:rsidRPr="00FA0D37">
              <w:rPr>
                <w:lang w:eastAsia="sv-SE"/>
              </w:rPr>
              <w:t xml:space="preserve">Used to indicate a cell, or frequency specific offset to be applied when evaluating triggering conditions for measurement reporting. The value is in dB. Value </w:t>
            </w:r>
            <w:r w:rsidRPr="00FA0D37">
              <w:rPr>
                <w:i/>
                <w:lang w:eastAsia="sv-SE"/>
              </w:rPr>
              <w:t>dB-24</w:t>
            </w:r>
            <w:r w:rsidRPr="00FA0D37">
              <w:rPr>
                <w:lang w:eastAsia="sv-SE"/>
              </w:rPr>
              <w:t xml:space="preserve"> corresponds to -24 dB, value </w:t>
            </w:r>
            <w:r w:rsidRPr="00FA0D37">
              <w:rPr>
                <w:i/>
                <w:lang w:eastAsia="sv-SE"/>
              </w:rPr>
              <w:t>dB-22</w:t>
            </w:r>
            <w:r w:rsidRPr="00FA0D37">
              <w:rPr>
                <w:lang w:eastAsia="sv-SE"/>
              </w:rPr>
              <w:t xml:space="preserve"> corresponds to -22 dB and so on.</w:t>
            </w:r>
          </w:p>
        </w:tc>
      </w:tr>
      <w:tr w:rsidR="005C7FF4" w:rsidRPr="00FA0D37"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FA0D37" w:rsidRDefault="005B6C6E" w:rsidP="00771058">
            <w:pPr>
              <w:pStyle w:val="TAL"/>
              <w:rPr>
                <w:b/>
                <w:bCs/>
                <w:i/>
                <w:noProof/>
                <w:lang w:eastAsia="en-GB"/>
              </w:rPr>
            </w:pPr>
            <w:r w:rsidRPr="00FA0D37">
              <w:rPr>
                <w:b/>
                <w:bCs/>
                <w:i/>
                <w:noProof/>
                <w:lang w:eastAsia="en-GB"/>
              </w:rPr>
              <w:t>excludedCellsToAddModListEUTRAN</w:t>
            </w:r>
          </w:p>
          <w:p w14:paraId="01F51FBF" w14:textId="77777777" w:rsidR="005B6C6E" w:rsidRPr="00FA0D37" w:rsidRDefault="005B6C6E" w:rsidP="00771058">
            <w:pPr>
              <w:pStyle w:val="TAL"/>
              <w:rPr>
                <w:b/>
                <w:i/>
                <w:szCs w:val="22"/>
                <w:lang w:eastAsia="sv-SE"/>
              </w:rPr>
            </w:pPr>
            <w:r w:rsidRPr="00FA0D37">
              <w:rPr>
                <w:iCs/>
                <w:noProof/>
                <w:lang w:eastAsia="en-GB"/>
              </w:rPr>
              <w:t>List of cells to add/ modify in the exclude-list of cells.</w:t>
            </w:r>
          </w:p>
        </w:tc>
      </w:tr>
      <w:tr w:rsidR="005C7FF4" w:rsidRPr="00FA0D37"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FA0D37" w:rsidRDefault="005B6C6E" w:rsidP="00771058">
            <w:pPr>
              <w:pStyle w:val="TAL"/>
              <w:rPr>
                <w:b/>
                <w:bCs/>
                <w:i/>
                <w:noProof/>
                <w:lang w:eastAsia="en-GB"/>
              </w:rPr>
            </w:pPr>
            <w:r w:rsidRPr="00FA0D37">
              <w:rPr>
                <w:b/>
                <w:bCs/>
                <w:i/>
                <w:noProof/>
                <w:lang w:eastAsia="en-GB"/>
              </w:rPr>
              <w:t>excludedCellsToRemoveListEUTRAN</w:t>
            </w:r>
          </w:p>
          <w:p w14:paraId="1940FE58" w14:textId="77777777" w:rsidR="005B6C6E" w:rsidRPr="00FA0D37" w:rsidRDefault="005B6C6E" w:rsidP="00771058">
            <w:pPr>
              <w:pStyle w:val="TAL"/>
              <w:rPr>
                <w:b/>
                <w:i/>
                <w:szCs w:val="22"/>
                <w:lang w:eastAsia="sv-SE"/>
              </w:rPr>
            </w:pPr>
            <w:r w:rsidRPr="00FA0D37">
              <w:rPr>
                <w:iCs/>
                <w:noProof/>
                <w:lang w:eastAsia="en-GB"/>
              </w:rPr>
              <w:t>List of cells to remove from the exclude-list of cells.</w:t>
            </w:r>
          </w:p>
        </w:tc>
      </w:tr>
      <w:tr w:rsidR="00394471" w:rsidRPr="00FA0D37"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FA0D37" w:rsidRDefault="00394471" w:rsidP="00964CC4">
            <w:pPr>
              <w:pStyle w:val="TAL"/>
              <w:rPr>
                <w:szCs w:val="22"/>
                <w:lang w:eastAsia="sv-SE"/>
              </w:rPr>
            </w:pPr>
            <w:r w:rsidRPr="00FA0D37">
              <w:rPr>
                <w:b/>
                <w:i/>
                <w:szCs w:val="22"/>
                <w:lang w:eastAsia="sv-SE"/>
              </w:rPr>
              <w:t>widebandRSRQ-Meas</w:t>
            </w:r>
          </w:p>
          <w:p w14:paraId="2FF34D6C" w14:textId="77777777" w:rsidR="00394471" w:rsidRPr="00FA0D37" w:rsidRDefault="00394471" w:rsidP="00964CC4">
            <w:pPr>
              <w:pStyle w:val="TAL"/>
              <w:rPr>
                <w:szCs w:val="22"/>
                <w:lang w:eastAsia="sv-SE"/>
              </w:rPr>
            </w:pPr>
            <w:r w:rsidRPr="00FA0D37">
              <w:rPr>
                <w:szCs w:val="22"/>
                <w:lang w:eastAsia="sv-SE"/>
              </w:rPr>
              <w:t xml:space="preserve">If set to </w:t>
            </w:r>
            <w:r w:rsidRPr="00FA0D37">
              <w:rPr>
                <w:i/>
                <w:iCs/>
                <w:lang w:eastAsia="en-GB"/>
              </w:rPr>
              <w:t>true</w:t>
            </w:r>
            <w:r w:rsidRPr="00FA0D37">
              <w:rPr>
                <w:szCs w:val="22"/>
                <w:lang w:eastAsia="sv-SE"/>
              </w:rPr>
              <w:t xml:space="preserve">, the UE shall, when performing RSRQ measurements, use a wider bandwidth in accordance with TS 36.133 [40]. The network may set the field to </w:t>
            </w:r>
            <w:r w:rsidRPr="00FA0D37">
              <w:rPr>
                <w:i/>
                <w:iCs/>
                <w:lang w:eastAsia="en-GB"/>
              </w:rPr>
              <w:t>true</w:t>
            </w:r>
            <w:r w:rsidRPr="00FA0D37">
              <w:rPr>
                <w:i/>
                <w:lang w:eastAsia="sv-SE"/>
              </w:rPr>
              <w:t xml:space="preserve"> </w:t>
            </w:r>
            <w:r w:rsidRPr="00FA0D37">
              <w:rPr>
                <w:szCs w:val="22"/>
                <w:lang w:eastAsia="sv-SE"/>
              </w:rPr>
              <w:t xml:space="preserve">if the measurement bandwidth indicated by </w:t>
            </w:r>
            <w:r w:rsidRPr="00FA0D37">
              <w:rPr>
                <w:i/>
                <w:szCs w:val="22"/>
                <w:lang w:eastAsia="sv-SE"/>
              </w:rPr>
              <w:t>allowedMeasBandwidth</w:t>
            </w:r>
            <w:r w:rsidRPr="00FA0D37">
              <w:rPr>
                <w:szCs w:val="22"/>
                <w:lang w:eastAsia="sv-SE"/>
              </w:rPr>
              <w:t xml:space="preserve"> is 50 resource blocks or larger; otherwise the network sets this field to </w:t>
            </w:r>
            <w:r w:rsidRPr="00FA0D37">
              <w:rPr>
                <w:i/>
                <w:szCs w:val="22"/>
                <w:lang w:eastAsia="sv-SE"/>
              </w:rPr>
              <w:t>false</w:t>
            </w:r>
            <w:r w:rsidRPr="00FA0D37">
              <w:rPr>
                <w:szCs w:val="22"/>
                <w:lang w:eastAsia="sv-SE"/>
              </w:rPr>
              <w:t>.</w:t>
            </w:r>
          </w:p>
        </w:tc>
      </w:tr>
    </w:tbl>
    <w:p w14:paraId="7B2EB774" w14:textId="77777777" w:rsidR="00394471" w:rsidRPr="00FA0D37" w:rsidRDefault="00394471" w:rsidP="00394471"/>
    <w:p w14:paraId="4A40D0C1" w14:textId="77777777" w:rsidR="00394471" w:rsidRPr="00FA0D37" w:rsidRDefault="00394471" w:rsidP="00394471">
      <w:pPr>
        <w:pStyle w:val="4"/>
        <w:rPr>
          <w:i/>
          <w:iCs/>
        </w:rPr>
      </w:pPr>
      <w:bookmarkStart w:id="1089" w:name="_Toc60777260"/>
      <w:bookmarkStart w:id="1090" w:name="_Toc146781320"/>
      <w:r w:rsidRPr="00FA0D37">
        <w:rPr>
          <w:i/>
          <w:iCs/>
        </w:rPr>
        <w:t>–</w:t>
      </w:r>
      <w:r w:rsidRPr="00FA0D37">
        <w:rPr>
          <w:i/>
          <w:iCs/>
        </w:rPr>
        <w:tab/>
        <w:t>MeasObjectId</w:t>
      </w:r>
      <w:bookmarkEnd w:id="1089"/>
      <w:bookmarkEnd w:id="1090"/>
    </w:p>
    <w:p w14:paraId="33956071" w14:textId="77777777" w:rsidR="00394471" w:rsidRPr="00FA0D37" w:rsidRDefault="00394471" w:rsidP="00394471">
      <w:r w:rsidRPr="00FA0D37">
        <w:t xml:space="preserve">The IE </w:t>
      </w:r>
      <w:r w:rsidRPr="00FA0D37">
        <w:rPr>
          <w:i/>
        </w:rPr>
        <w:t>MeasObjectId</w:t>
      </w:r>
      <w:r w:rsidRPr="00FA0D37">
        <w:t xml:space="preserve"> used to identify a measurement object configuration.</w:t>
      </w:r>
    </w:p>
    <w:p w14:paraId="04A1B136" w14:textId="77777777" w:rsidR="00394471" w:rsidRPr="00FA0D37" w:rsidRDefault="00394471" w:rsidP="00394471">
      <w:pPr>
        <w:pStyle w:val="TH"/>
      </w:pPr>
      <w:r w:rsidRPr="00FA0D37">
        <w:rPr>
          <w:i/>
        </w:rPr>
        <w:t>MeasObjectId</w:t>
      </w:r>
      <w:r w:rsidRPr="00FA0D37">
        <w:t xml:space="preserve"> information element</w:t>
      </w:r>
    </w:p>
    <w:p w14:paraId="4A181625" w14:textId="77777777" w:rsidR="00394471" w:rsidRPr="00FA0D37" w:rsidRDefault="00394471" w:rsidP="00FA0D37">
      <w:pPr>
        <w:pStyle w:val="PL"/>
        <w:rPr>
          <w:color w:val="808080"/>
        </w:rPr>
      </w:pPr>
      <w:r w:rsidRPr="00FA0D37">
        <w:rPr>
          <w:color w:val="808080"/>
        </w:rPr>
        <w:t>-- ASN1START</w:t>
      </w:r>
    </w:p>
    <w:p w14:paraId="191665C1" w14:textId="77777777" w:rsidR="00394471" w:rsidRPr="00FA0D37" w:rsidRDefault="00394471" w:rsidP="00FA0D37">
      <w:pPr>
        <w:pStyle w:val="PL"/>
        <w:rPr>
          <w:color w:val="808080"/>
        </w:rPr>
      </w:pPr>
      <w:r w:rsidRPr="00FA0D37">
        <w:rPr>
          <w:color w:val="808080"/>
        </w:rPr>
        <w:t>-- TAG-MEASOBJECTID-START</w:t>
      </w:r>
    </w:p>
    <w:p w14:paraId="0B4A6E90" w14:textId="77777777" w:rsidR="00394471" w:rsidRPr="00FA0D37" w:rsidRDefault="00394471" w:rsidP="00FA0D37">
      <w:pPr>
        <w:pStyle w:val="PL"/>
      </w:pPr>
    </w:p>
    <w:p w14:paraId="41804ECC" w14:textId="77777777" w:rsidR="00394471" w:rsidRPr="00FA0D37" w:rsidRDefault="00394471" w:rsidP="00FA0D37">
      <w:pPr>
        <w:pStyle w:val="PL"/>
      </w:pPr>
      <w:r w:rsidRPr="00FA0D37">
        <w:t xml:space="preserve">MeasObjectId ::=                    </w:t>
      </w:r>
      <w:r w:rsidRPr="00FA0D37">
        <w:rPr>
          <w:color w:val="993366"/>
        </w:rPr>
        <w:t>INTEGER</w:t>
      </w:r>
      <w:r w:rsidRPr="00FA0D37">
        <w:t xml:space="preserve"> (1..maxNrofObjectId)</w:t>
      </w:r>
    </w:p>
    <w:p w14:paraId="725BC2B2" w14:textId="77777777" w:rsidR="00394471" w:rsidRPr="00FA0D37" w:rsidRDefault="00394471" w:rsidP="00FA0D37">
      <w:pPr>
        <w:pStyle w:val="PL"/>
      </w:pPr>
    </w:p>
    <w:p w14:paraId="454917A8" w14:textId="77777777" w:rsidR="00394471" w:rsidRPr="00FA0D37" w:rsidRDefault="00394471" w:rsidP="00FA0D37">
      <w:pPr>
        <w:pStyle w:val="PL"/>
        <w:rPr>
          <w:color w:val="808080"/>
        </w:rPr>
      </w:pPr>
      <w:r w:rsidRPr="00FA0D37">
        <w:rPr>
          <w:color w:val="808080"/>
        </w:rPr>
        <w:t>-- TAG-MEASOBJECTID-STOP</w:t>
      </w:r>
    </w:p>
    <w:p w14:paraId="201D5E93" w14:textId="77777777" w:rsidR="00394471" w:rsidRPr="00FA0D37" w:rsidRDefault="00394471" w:rsidP="00FA0D37">
      <w:pPr>
        <w:pStyle w:val="PL"/>
        <w:rPr>
          <w:color w:val="808080"/>
        </w:rPr>
      </w:pPr>
      <w:r w:rsidRPr="00FA0D37">
        <w:rPr>
          <w:color w:val="808080"/>
        </w:rPr>
        <w:t>-- ASN1STOP</w:t>
      </w:r>
    </w:p>
    <w:p w14:paraId="21C1FF60" w14:textId="77777777" w:rsidR="00394471" w:rsidRPr="00FA0D37" w:rsidRDefault="00394471" w:rsidP="00394471"/>
    <w:p w14:paraId="2A6ED4C7" w14:textId="77777777" w:rsidR="00394471" w:rsidRPr="00FA0D37" w:rsidRDefault="00394471" w:rsidP="00394471">
      <w:pPr>
        <w:pStyle w:val="4"/>
        <w:rPr>
          <w:i/>
          <w:iCs/>
        </w:rPr>
      </w:pPr>
      <w:bookmarkStart w:id="1091" w:name="_Toc60777261"/>
      <w:bookmarkStart w:id="1092" w:name="_Toc146781321"/>
      <w:r w:rsidRPr="00FA0D37">
        <w:rPr>
          <w:i/>
          <w:iCs/>
        </w:rPr>
        <w:lastRenderedPageBreak/>
        <w:t>–</w:t>
      </w:r>
      <w:r w:rsidRPr="00FA0D37">
        <w:rPr>
          <w:i/>
          <w:iCs/>
        </w:rPr>
        <w:tab/>
        <w:t>MeasObjectNR</w:t>
      </w:r>
      <w:bookmarkEnd w:id="1091"/>
      <w:bookmarkEnd w:id="1092"/>
    </w:p>
    <w:p w14:paraId="78E59408" w14:textId="77777777" w:rsidR="00394471" w:rsidRPr="00FA0D37" w:rsidRDefault="00394471" w:rsidP="00394471">
      <w:r w:rsidRPr="00FA0D37">
        <w:t xml:space="preserve">The IE </w:t>
      </w:r>
      <w:r w:rsidRPr="00FA0D37">
        <w:rPr>
          <w:i/>
        </w:rPr>
        <w:t>MeasObjectNR</w:t>
      </w:r>
      <w:r w:rsidRPr="00FA0D37">
        <w:t xml:space="preserve"> specifies information applicable for SS/PBCH block(s) intra/inter-frequency measurements and/or CSI-RS intra/inter-frequency measurements.</w:t>
      </w:r>
    </w:p>
    <w:p w14:paraId="1A6CEA86" w14:textId="77777777" w:rsidR="00394471" w:rsidRPr="00FA0D37" w:rsidRDefault="00394471" w:rsidP="00394471">
      <w:pPr>
        <w:pStyle w:val="TH"/>
      </w:pPr>
      <w:r w:rsidRPr="00FA0D37">
        <w:rPr>
          <w:i/>
        </w:rPr>
        <w:t>MeasObjectNR</w:t>
      </w:r>
      <w:r w:rsidRPr="00FA0D37">
        <w:t xml:space="preserve"> information element</w:t>
      </w:r>
    </w:p>
    <w:p w14:paraId="5F6DD4A5" w14:textId="77777777" w:rsidR="00394471" w:rsidRPr="00FA0D37" w:rsidRDefault="00394471" w:rsidP="00FA0D37">
      <w:pPr>
        <w:pStyle w:val="PL"/>
        <w:rPr>
          <w:color w:val="808080"/>
        </w:rPr>
      </w:pPr>
      <w:r w:rsidRPr="00FA0D37">
        <w:rPr>
          <w:color w:val="808080"/>
        </w:rPr>
        <w:t>-- ASN1START</w:t>
      </w:r>
    </w:p>
    <w:p w14:paraId="1383A01A" w14:textId="77777777" w:rsidR="00394471" w:rsidRPr="00FA0D37" w:rsidRDefault="00394471" w:rsidP="00FA0D37">
      <w:pPr>
        <w:pStyle w:val="PL"/>
        <w:rPr>
          <w:color w:val="808080"/>
        </w:rPr>
      </w:pPr>
      <w:r w:rsidRPr="00FA0D37">
        <w:rPr>
          <w:color w:val="808080"/>
        </w:rPr>
        <w:t>-- TAG-MEASOBJECTNR-START</w:t>
      </w:r>
    </w:p>
    <w:p w14:paraId="3BA1B6F9" w14:textId="77777777" w:rsidR="00394471" w:rsidRPr="00FA0D37" w:rsidRDefault="00394471" w:rsidP="00FA0D37">
      <w:pPr>
        <w:pStyle w:val="PL"/>
      </w:pPr>
    </w:p>
    <w:p w14:paraId="45F54AC5" w14:textId="77777777" w:rsidR="00394471" w:rsidRPr="00FA0D37" w:rsidRDefault="00394471" w:rsidP="00FA0D37">
      <w:pPr>
        <w:pStyle w:val="PL"/>
      </w:pPr>
      <w:r w:rsidRPr="00FA0D37">
        <w:t xml:space="preserve">MeasObjectNR ::=                    </w:t>
      </w:r>
      <w:r w:rsidRPr="00FA0D37">
        <w:rPr>
          <w:color w:val="993366"/>
        </w:rPr>
        <w:t>SEQUENCE</w:t>
      </w:r>
      <w:r w:rsidRPr="00FA0D37">
        <w:t xml:space="preserve"> {</w:t>
      </w:r>
    </w:p>
    <w:p w14:paraId="6E423903" w14:textId="77777777" w:rsidR="00394471" w:rsidRPr="00FA0D37" w:rsidRDefault="00394471" w:rsidP="00FA0D37">
      <w:pPr>
        <w:pStyle w:val="PL"/>
        <w:rPr>
          <w:color w:val="808080"/>
        </w:rPr>
      </w:pPr>
      <w:r w:rsidRPr="00FA0D37">
        <w:t xml:space="preserve">    ssbFrequency                        ARFCN-ValueNR                                                   </w:t>
      </w:r>
      <w:r w:rsidRPr="00FA0D37">
        <w:rPr>
          <w:color w:val="993366"/>
        </w:rPr>
        <w:t>OPTIONAL</w:t>
      </w:r>
      <w:r w:rsidRPr="00FA0D37">
        <w:t xml:space="preserve">,   </w:t>
      </w:r>
      <w:r w:rsidRPr="00FA0D37">
        <w:rPr>
          <w:color w:val="808080"/>
        </w:rPr>
        <w:t>-- Cond SSBorAssociatedSSB</w:t>
      </w:r>
    </w:p>
    <w:p w14:paraId="7D9212EF" w14:textId="77777777" w:rsidR="00394471" w:rsidRPr="00FA0D37" w:rsidRDefault="00394471" w:rsidP="00FA0D37">
      <w:pPr>
        <w:pStyle w:val="PL"/>
        <w:rPr>
          <w:color w:val="808080"/>
        </w:rPr>
      </w:pPr>
      <w:r w:rsidRPr="00FA0D37">
        <w:t xml:space="preserve">    ssbSubcarrierSpacing                SubcarrierSpacing                                               </w:t>
      </w:r>
      <w:r w:rsidRPr="00FA0D37">
        <w:rPr>
          <w:color w:val="993366"/>
        </w:rPr>
        <w:t>OPTIONAL</w:t>
      </w:r>
      <w:r w:rsidRPr="00FA0D37">
        <w:t xml:space="preserve">,   </w:t>
      </w:r>
      <w:r w:rsidRPr="00FA0D37">
        <w:rPr>
          <w:color w:val="808080"/>
        </w:rPr>
        <w:t>-- Cond SSBorAssociatedSSB</w:t>
      </w:r>
    </w:p>
    <w:p w14:paraId="67ED5BEC" w14:textId="77777777" w:rsidR="00394471" w:rsidRPr="00FA0D37" w:rsidRDefault="00394471" w:rsidP="00FA0D37">
      <w:pPr>
        <w:pStyle w:val="PL"/>
        <w:rPr>
          <w:color w:val="808080"/>
        </w:rPr>
      </w:pPr>
      <w:r w:rsidRPr="00FA0D37">
        <w:t xml:space="preserve">    smtc1                               SSB-MTC                                                         </w:t>
      </w:r>
      <w:r w:rsidRPr="00FA0D37">
        <w:rPr>
          <w:color w:val="993366"/>
        </w:rPr>
        <w:t>OPTIONAL</w:t>
      </w:r>
      <w:r w:rsidRPr="00FA0D37">
        <w:t xml:space="preserve">,   </w:t>
      </w:r>
      <w:r w:rsidRPr="00FA0D37">
        <w:rPr>
          <w:color w:val="808080"/>
        </w:rPr>
        <w:t>-- Cond SSBorAssociatedSSB</w:t>
      </w:r>
    </w:p>
    <w:p w14:paraId="17EC6BBE" w14:textId="77777777" w:rsidR="00394471" w:rsidRPr="00FA0D37" w:rsidRDefault="00394471" w:rsidP="00FA0D37">
      <w:pPr>
        <w:pStyle w:val="PL"/>
        <w:rPr>
          <w:color w:val="808080"/>
        </w:rPr>
      </w:pPr>
      <w:r w:rsidRPr="00FA0D37">
        <w:t xml:space="preserve">    smtc2                               SSB-MTC2                                                        </w:t>
      </w:r>
      <w:r w:rsidRPr="00FA0D37">
        <w:rPr>
          <w:color w:val="993366"/>
        </w:rPr>
        <w:t>OPTIONAL</w:t>
      </w:r>
      <w:r w:rsidRPr="00FA0D37">
        <w:t xml:space="preserve">,   </w:t>
      </w:r>
      <w:r w:rsidRPr="00FA0D37">
        <w:rPr>
          <w:color w:val="808080"/>
        </w:rPr>
        <w:t>-- Cond IntraFreqConnected</w:t>
      </w:r>
    </w:p>
    <w:p w14:paraId="63EE06ED" w14:textId="77777777" w:rsidR="00394471" w:rsidRPr="00FA0D37" w:rsidRDefault="00394471" w:rsidP="00FA0D37">
      <w:pPr>
        <w:pStyle w:val="PL"/>
        <w:rPr>
          <w:color w:val="808080"/>
        </w:rPr>
      </w:pPr>
      <w:r w:rsidRPr="00FA0D37">
        <w:t xml:space="preserve">    refFreqCSI-RS                       ARFCN-ValueNR                                                   </w:t>
      </w:r>
      <w:r w:rsidRPr="00FA0D37">
        <w:rPr>
          <w:color w:val="993366"/>
        </w:rPr>
        <w:t>OPTIONAL</w:t>
      </w:r>
      <w:r w:rsidRPr="00FA0D37">
        <w:t xml:space="preserve">,   </w:t>
      </w:r>
      <w:r w:rsidRPr="00FA0D37">
        <w:rPr>
          <w:color w:val="808080"/>
        </w:rPr>
        <w:t>-- Cond CSI-RS</w:t>
      </w:r>
    </w:p>
    <w:p w14:paraId="3D8CA710" w14:textId="77777777" w:rsidR="00394471" w:rsidRPr="00FA0D37" w:rsidRDefault="00394471" w:rsidP="00FA0D37">
      <w:pPr>
        <w:pStyle w:val="PL"/>
      </w:pPr>
      <w:r w:rsidRPr="00FA0D37">
        <w:t xml:space="preserve">    referenceSignalConfig               ReferenceSignalConfig,</w:t>
      </w:r>
    </w:p>
    <w:p w14:paraId="57F1D90B" w14:textId="77777777" w:rsidR="00394471" w:rsidRPr="00FA0D37" w:rsidRDefault="00394471" w:rsidP="00FA0D37">
      <w:pPr>
        <w:pStyle w:val="PL"/>
        <w:rPr>
          <w:color w:val="808080"/>
        </w:rPr>
      </w:pPr>
      <w:r w:rsidRPr="00FA0D37">
        <w:t xml:space="preserve">    absThreshSS-BlocksConsolidation     ThresholdNR                                                     </w:t>
      </w:r>
      <w:r w:rsidRPr="00FA0D37">
        <w:rPr>
          <w:color w:val="993366"/>
        </w:rPr>
        <w:t>OPTIONAL</w:t>
      </w:r>
      <w:r w:rsidRPr="00FA0D37">
        <w:t xml:space="preserve">,   </w:t>
      </w:r>
      <w:r w:rsidRPr="00FA0D37">
        <w:rPr>
          <w:color w:val="808080"/>
        </w:rPr>
        <w:t>-- Need R</w:t>
      </w:r>
    </w:p>
    <w:p w14:paraId="742058BB" w14:textId="77777777" w:rsidR="00394471" w:rsidRPr="00FA0D37" w:rsidRDefault="00394471" w:rsidP="00FA0D37">
      <w:pPr>
        <w:pStyle w:val="PL"/>
        <w:rPr>
          <w:color w:val="808080"/>
        </w:rPr>
      </w:pPr>
      <w:r w:rsidRPr="00FA0D37">
        <w:t xml:space="preserve">    absThreshCSI-RS-Consolidation       ThresholdNR                                                     </w:t>
      </w:r>
      <w:r w:rsidRPr="00FA0D37">
        <w:rPr>
          <w:color w:val="993366"/>
        </w:rPr>
        <w:t>OPTIONAL</w:t>
      </w:r>
      <w:r w:rsidRPr="00FA0D37">
        <w:t xml:space="preserve">,   </w:t>
      </w:r>
      <w:r w:rsidRPr="00FA0D37">
        <w:rPr>
          <w:color w:val="808080"/>
        </w:rPr>
        <w:t>-- Need R</w:t>
      </w:r>
    </w:p>
    <w:p w14:paraId="17F8E0B1" w14:textId="77777777" w:rsidR="00394471" w:rsidRPr="00FA0D37" w:rsidRDefault="00394471" w:rsidP="00FA0D37">
      <w:pPr>
        <w:pStyle w:val="PL"/>
        <w:rPr>
          <w:color w:val="808080"/>
        </w:rPr>
      </w:pPr>
      <w:r w:rsidRPr="00FA0D37">
        <w:t xml:space="preserve">    nrofSS-BlocksToAverage              </w:t>
      </w:r>
      <w:r w:rsidRPr="00FA0D37">
        <w:rPr>
          <w:color w:val="993366"/>
        </w:rPr>
        <w:t>INTEGER</w:t>
      </w:r>
      <w:r w:rsidRPr="00FA0D37">
        <w:t xml:space="preserve"> (2..maxNrofSS-BlocksToAverage)                          </w:t>
      </w:r>
      <w:r w:rsidRPr="00FA0D37">
        <w:rPr>
          <w:color w:val="993366"/>
        </w:rPr>
        <w:t>OPTIONAL</w:t>
      </w:r>
      <w:r w:rsidRPr="00FA0D37">
        <w:t xml:space="preserve">,   </w:t>
      </w:r>
      <w:r w:rsidRPr="00FA0D37">
        <w:rPr>
          <w:color w:val="808080"/>
        </w:rPr>
        <w:t>-- Need R</w:t>
      </w:r>
    </w:p>
    <w:p w14:paraId="41D0A95D" w14:textId="77777777" w:rsidR="00394471" w:rsidRPr="00FA0D37" w:rsidRDefault="00394471" w:rsidP="00FA0D37">
      <w:pPr>
        <w:pStyle w:val="PL"/>
        <w:rPr>
          <w:color w:val="808080"/>
        </w:rPr>
      </w:pPr>
      <w:r w:rsidRPr="00FA0D37">
        <w:t xml:space="preserve">    nrofCSI-RS-ResourcesToAverage       </w:t>
      </w:r>
      <w:r w:rsidRPr="00FA0D37">
        <w:rPr>
          <w:color w:val="993366"/>
        </w:rPr>
        <w:t>INTEGER</w:t>
      </w:r>
      <w:r w:rsidRPr="00FA0D37">
        <w:t xml:space="preserve"> (2..maxNrofCSI-RS-ResourcesToAverage)                   </w:t>
      </w:r>
      <w:r w:rsidRPr="00FA0D37">
        <w:rPr>
          <w:color w:val="993366"/>
        </w:rPr>
        <w:t>OPTIONAL</w:t>
      </w:r>
      <w:r w:rsidRPr="00FA0D37">
        <w:t xml:space="preserve">,   </w:t>
      </w:r>
      <w:r w:rsidRPr="00FA0D37">
        <w:rPr>
          <w:color w:val="808080"/>
        </w:rPr>
        <w:t>-- Need R</w:t>
      </w:r>
    </w:p>
    <w:p w14:paraId="7CFE1E10" w14:textId="77777777" w:rsidR="00394471" w:rsidRPr="00FA0D37" w:rsidRDefault="00394471" w:rsidP="00FA0D37">
      <w:pPr>
        <w:pStyle w:val="PL"/>
      </w:pPr>
      <w:r w:rsidRPr="00FA0D37">
        <w:t xml:space="preserve">    quantityConfigIndex                 </w:t>
      </w:r>
      <w:r w:rsidRPr="00FA0D37">
        <w:rPr>
          <w:color w:val="993366"/>
        </w:rPr>
        <w:t>INTEGER</w:t>
      </w:r>
      <w:r w:rsidRPr="00FA0D37">
        <w:t xml:space="preserve"> (1..maxNrofQuantityConfig),</w:t>
      </w:r>
    </w:p>
    <w:p w14:paraId="3BD43E61" w14:textId="77777777" w:rsidR="00394471" w:rsidRPr="00FA0D37" w:rsidRDefault="00394471" w:rsidP="00FA0D37">
      <w:pPr>
        <w:pStyle w:val="PL"/>
      </w:pPr>
      <w:r w:rsidRPr="00FA0D37">
        <w:t xml:space="preserve">    offsetMO                            Q-OffsetRangeList,</w:t>
      </w:r>
    </w:p>
    <w:p w14:paraId="5869DEBC" w14:textId="77777777" w:rsidR="00394471" w:rsidRPr="00FA0D37" w:rsidRDefault="00394471" w:rsidP="00FA0D37">
      <w:pPr>
        <w:pStyle w:val="PL"/>
        <w:rPr>
          <w:color w:val="808080"/>
        </w:rPr>
      </w:pPr>
      <w:r w:rsidRPr="00FA0D37">
        <w:t xml:space="preserve">    cellsToRemoveList                   PCI-List                                                        </w:t>
      </w:r>
      <w:r w:rsidRPr="00FA0D37">
        <w:rPr>
          <w:color w:val="993366"/>
        </w:rPr>
        <w:t>OPTIONAL</w:t>
      </w:r>
      <w:r w:rsidRPr="00FA0D37">
        <w:t xml:space="preserve">,   </w:t>
      </w:r>
      <w:r w:rsidRPr="00FA0D37">
        <w:rPr>
          <w:color w:val="808080"/>
        </w:rPr>
        <w:t>-- Need N</w:t>
      </w:r>
    </w:p>
    <w:p w14:paraId="7092C7C8" w14:textId="77777777" w:rsidR="00394471" w:rsidRPr="00FA0D37" w:rsidRDefault="00394471" w:rsidP="00FA0D37">
      <w:pPr>
        <w:pStyle w:val="PL"/>
        <w:rPr>
          <w:color w:val="808080"/>
        </w:rPr>
      </w:pPr>
      <w:r w:rsidRPr="00FA0D37">
        <w:t xml:space="preserve">    cellsToAddModList                   CellsToAddModList                                               </w:t>
      </w:r>
      <w:r w:rsidRPr="00FA0D37">
        <w:rPr>
          <w:color w:val="993366"/>
        </w:rPr>
        <w:t>OPTIONAL</w:t>
      </w:r>
      <w:r w:rsidRPr="00FA0D37">
        <w:t xml:space="preserve">,   </w:t>
      </w:r>
      <w:r w:rsidRPr="00FA0D37">
        <w:rPr>
          <w:color w:val="808080"/>
        </w:rPr>
        <w:t>-- Need N</w:t>
      </w:r>
    </w:p>
    <w:p w14:paraId="4A073CAA" w14:textId="03CC3C74" w:rsidR="00394471" w:rsidRPr="00FA0D37" w:rsidRDefault="00394471" w:rsidP="00FA0D37">
      <w:pPr>
        <w:pStyle w:val="PL"/>
        <w:rPr>
          <w:color w:val="808080"/>
        </w:rPr>
      </w:pPr>
      <w:r w:rsidRPr="00FA0D37">
        <w:t xml:space="preserve">    </w:t>
      </w:r>
      <w:r w:rsidR="005B6C6E" w:rsidRPr="00FA0D37">
        <w:t>excluded</w:t>
      </w:r>
      <w:r w:rsidRPr="00FA0D37">
        <w:t xml:space="preserve">CellsToRemoveList           PCI-RangeIndexList                                              </w:t>
      </w:r>
      <w:r w:rsidRPr="00FA0D37">
        <w:rPr>
          <w:color w:val="993366"/>
        </w:rPr>
        <w:t>OPTIONAL</w:t>
      </w:r>
      <w:r w:rsidRPr="00FA0D37">
        <w:t xml:space="preserve">,   </w:t>
      </w:r>
      <w:r w:rsidRPr="00FA0D37">
        <w:rPr>
          <w:color w:val="808080"/>
        </w:rPr>
        <w:t>-- Need N</w:t>
      </w:r>
    </w:p>
    <w:p w14:paraId="12AF2D16" w14:textId="71397A33" w:rsidR="00394471" w:rsidRPr="00FA0D37" w:rsidRDefault="00394471" w:rsidP="00FA0D37">
      <w:pPr>
        <w:pStyle w:val="PL"/>
        <w:rPr>
          <w:color w:val="808080"/>
        </w:rPr>
      </w:pPr>
      <w:r w:rsidRPr="00FA0D37">
        <w:t xml:space="preserve">    </w:t>
      </w:r>
      <w:r w:rsidR="005B6C6E" w:rsidRPr="00FA0D37">
        <w:t>excluded</w:t>
      </w:r>
      <w:r w:rsidRPr="00FA0D37">
        <w:t xml:space="preserve">CellsToAddModList           </w:t>
      </w:r>
      <w:r w:rsidRPr="00FA0D37">
        <w:rPr>
          <w:color w:val="993366"/>
        </w:rPr>
        <w:t>SEQUENCE</w:t>
      </w:r>
      <w:r w:rsidRPr="00FA0D37">
        <w:t xml:space="preserve"> (</w:t>
      </w:r>
      <w:r w:rsidRPr="00FA0D37">
        <w:rPr>
          <w:color w:val="993366"/>
        </w:rPr>
        <w:t>SIZE</w:t>
      </w:r>
      <w:r w:rsidRPr="00FA0D37">
        <w:t xml:space="preserve"> (1..maxNrofPCI-Ranges))</w:t>
      </w:r>
      <w:r w:rsidRPr="00FA0D37">
        <w:rPr>
          <w:color w:val="993366"/>
        </w:rPr>
        <w:t xml:space="preserve"> OF</w:t>
      </w:r>
      <w:r w:rsidRPr="00FA0D37">
        <w:t xml:space="preserve"> PCI-RangeElement      </w:t>
      </w:r>
      <w:r w:rsidRPr="00FA0D37">
        <w:rPr>
          <w:color w:val="993366"/>
        </w:rPr>
        <w:t>OPTIONAL</w:t>
      </w:r>
      <w:r w:rsidRPr="00FA0D37">
        <w:t xml:space="preserve">,   </w:t>
      </w:r>
      <w:r w:rsidRPr="00FA0D37">
        <w:rPr>
          <w:color w:val="808080"/>
        </w:rPr>
        <w:t>-- Need N</w:t>
      </w:r>
    </w:p>
    <w:p w14:paraId="65616AF9" w14:textId="5D4D1471" w:rsidR="00394471" w:rsidRPr="00FA0D37" w:rsidRDefault="00394471" w:rsidP="00FA0D37">
      <w:pPr>
        <w:pStyle w:val="PL"/>
        <w:rPr>
          <w:color w:val="808080"/>
        </w:rPr>
      </w:pPr>
      <w:r w:rsidRPr="00FA0D37">
        <w:t xml:space="preserve">    </w:t>
      </w:r>
      <w:r w:rsidR="005B6C6E" w:rsidRPr="00FA0D37">
        <w:t>allowed</w:t>
      </w:r>
      <w:r w:rsidRPr="00FA0D37">
        <w:t xml:space="preserve">CellsToRemoveList            PCI-RangeIndexList                                              </w:t>
      </w:r>
      <w:r w:rsidRPr="00FA0D37">
        <w:rPr>
          <w:color w:val="993366"/>
        </w:rPr>
        <w:t>OPTIONAL</w:t>
      </w:r>
      <w:r w:rsidRPr="00FA0D37">
        <w:t xml:space="preserve">,   </w:t>
      </w:r>
      <w:r w:rsidRPr="00FA0D37">
        <w:rPr>
          <w:color w:val="808080"/>
        </w:rPr>
        <w:t>-- Need N</w:t>
      </w:r>
    </w:p>
    <w:p w14:paraId="6551C552" w14:textId="7618F713" w:rsidR="00394471" w:rsidRPr="00FA0D37" w:rsidRDefault="00394471" w:rsidP="00FA0D37">
      <w:pPr>
        <w:pStyle w:val="PL"/>
        <w:rPr>
          <w:color w:val="808080"/>
        </w:rPr>
      </w:pPr>
      <w:r w:rsidRPr="00FA0D37">
        <w:t xml:space="preserve">    </w:t>
      </w:r>
      <w:r w:rsidR="005B6C6E" w:rsidRPr="00FA0D37">
        <w:t>allowed</w:t>
      </w:r>
      <w:r w:rsidRPr="00FA0D37">
        <w:t xml:space="preserve">CellsToAddModList            </w:t>
      </w:r>
      <w:r w:rsidRPr="00FA0D37">
        <w:rPr>
          <w:color w:val="993366"/>
        </w:rPr>
        <w:t>SEQUENCE</w:t>
      </w:r>
      <w:r w:rsidRPr="00FA0D37">
        <w:t xml:space="preserve"> (</w:t>
      </w:r>
      <w:r w:rsidRPr="00FA0D37">
        <w:rPr>
          <w:color w:val="993366"/>
        </w:rPr>
        <w:t>SIZE</w:t>
      </w:r>
      <w:r w:rsidRPr="00FA0D37">
        <w:t xml:space="preserve"> (1..maxNrofPCI-Ranges))</w:t>
      </w:r>
      <w:r w:rsidRPr="00FA0D37">
        <w:rPr>
          <w:color w:val="993366"/>
        </w:rPr>
        <w:t xml:space="preserve"> OF</w:t>
      </w:r>
      <w:r w:rsidRPr="00FA0D37">
        <w:t xml:space="preserve"> PCI-RangeElement      </w:t>
      </w:r>
      <w:r w:rsidRPr="00FA0D37">
        <w:rPr>
          <w:color w:val="993366"/>
        </w:rPr>
        <w:t>OPTIONAL</w:t>
      </w:r>
      <w:r w:rsidRPr="00FA0D37">
        <w:t xml:space="preserve">,   </w:t>
      </w:r>
      <w:r w:rsidRPr="00FA0D37">
        <w:rPr>
          <w:color w:val="808080"/>
        </w:rPr>
        <w:t>-- Need N</w:t>
      </w:r>
    </w:p>
    <w:p w14:paraId="0D0BC617" w14:textId="77777777" w:rsidR="00394471" w:rsidRPr="00FA0D37" w:rsidRDefault="00394471" w:rsidP="00FA0D37">
      <w:pPr>
        <w:pStyle w:val="PL"/>
      </w:pPr>
      <w:r w:rsidRPr="00FA0D37">
        <w:t xml:space="preserve">    ...,</w:t>
      </w:r>
    </w:p>
    <w:p w14:paraId="17BB1808" w14:textId="77777777" w:rsidR="00394471" w:rsidRPr="00FA0D37" w:rsidRDefault="00394471" w:rsidP="00FA0D37">
      <w:pPr>
        <w:pStyle w:val="PL"/>
      </w:pPr>
      <w:r w:rsidRPr="00FA0D37">
        <w:t xml:space="preserve">    [[</w:t>
      </w:r>
    </w:p>
    <w:p w14:paraId="7F959CCE" w14:textId="77777777" w:rsidR="00394471" w:rsidRPr="00FA0D37" w:rsidRDefault="00394471" w:rsidP="00FA0D37">
      <w:pPr>
        <w:pStyle w:val="PL"/>
        <w:rPr>
          <w:color w:val="808080"/>
        </w:rPr>
      </w:pPr>
      <w:r w:rsidRPr="00FA0D37">
        <w:t xml:space="preserve">    freqBandIndicatorNR                 FreqBandIndicatorNR                                             </w:t>
      </w:r>
      <w:r w:rsidRPr="00FA0D37">
        <w:rPr>
          <w:color w:val="993366"/>
        </w:rPr>
        <w:t>OPTIONAL</w:t>
      </w:r>
      <w:r w:rsidRPr="00FA0D37">
        <w:t xml:space="preserve">,   </w:t>
      </w:r>
      <w:r w:rsidRPr="00FA0D37">
        <w:rPr>
          <w:color w:val="808080"/>
        </w:rPr>
        <w:t>-- Need R</w:t>
      </w:r>
    </w:p>
    <w:p w14:paraId="29AD89FE" w14:textId="77777777" w:rsidR="00394471" w:rsidRPr="00FA0D37" w:rsidRDefault="00394471" w:rsidP="00FA0D37">
      <w:pPr>
        <w:pStyle w:val="PL"/>
        <w:rPr>
          <w:color w:val="808080"/>
        </w:rPr>
      </w:pPr>
      <w:r w:rsidRPr="00FA0D37">
        <w:t xml:space="preserve">    measCycleSCell                      </w:t>
      </w:r>
      <w:r w:rsidRPr="00FA0D37">
        <w:rPr>
          <w:color w:val="993366"/>
        </w:rPr>
        <w:t>ENUMERATED</w:t>
      </w:r>
      <w:r w:rsidRPr="00FA0D37">
        <w:t xml:space="preserve"> {sf160, sf256, sf320, sf512, sf640, sf1024, sf1280}  </w:t>
      </w:r>
      <w:r w:rsidRPr="00FA0D37">
        <w:rPr>
          <w:color w:val="993366"/>
        </w:rPr>
        <w:t>OPTIONAL</w:t>
      </w:r>
      <w:r w:rsidRPr="00FA0D37">
        <w:t xml:space="preserve">    </w:t>
      </w:r>
      <w:r w:rsidRPr="00FA0D37">
        <w:rPr>
          <w:color w:val="808080"/>
        </w:rPr>
        <w:t>-- Need R</w:t>
      </w:r>
    </w:p>
    <w:p w14:paraId="01939232" w14:textId="77777777" w:rsidR="00394471" w:rsidRPr="00FA0D37" w:rsidRDefault="00394471" w:rsidP="00FA0D37">
      <w:pPr>
        <w:pStyle w:val="PL"/>
      </w:pPr>
      <w:r w:rsidRPr="00FA0D37">
        <w:t xml:space="preserve">    ]],</w:t>
      </w:r>
    </w:p>
    <w:p w14:paraId="155C2F21" w14:textId="77777777" w:rsidR="00394471" w:rsidRPr="00FA0D37" w:rsidRDefault="00394471" w:rsidP="00FA0D37">
      <w:pPr>
        <w:pStyle w:val="PL"/>
      </w:pPr>
      <w:r w:rsidRPr="00FA0D37">
        <w:t xml:space="preserve">    [[</w:t>
      </w:r>
    </w:p>
    <w:p w14:paraId="0C88C9DA" w14:textId="36CB8CC3" w:rsidR="00394471" w:rsidRPr="00FA0D37" w:rsidRDefault="00394471" w:rsidP="00FA0D37">
      <w:pPr>
        <w:pStyle w:val="PL"/>
        <w:rPr>
          <w:color w:val="808080"/>
        </w:rPr>
      </w:pPr>
      <w:r w:rsidRPr="00FA0D37">
        <w:t xml:space="preserve">    smtc3list-r16                     </w:t>
      </w:r>
      <w:r w:rsidR="003F7068" w:rsidRPr="00FA0D37">
        <w:t xml:space="preserve">  </w:t>
      </w:r>
      <w:r w:rsidRPr="00FA0D37">
        <w:t xml:space="preserve">SSB-MTC3List-r16                                                </w:t>
      </w:r>
      <w:r w:rsidRPr="00FA0D37">
        <w:rPr>
          <w:color w:val="993366"/>
        </w:rPr>
        <w:t>OPTIONAL</w:t>
      </w:r>
      <w:r w:rsidRPr="00FA0D37">
        <w:t xml:space="preserve">,   </w:t>
      </w:r>
      <w:r w:rsidRPr="00FA0D37">
        <w:rPr>
          <w:color w:val="808080"/>
        </w:rPr>
        <w:t>-- Need R</w:t>
      </w:r>
    </w:p>
    <w:p w14:paraId="76B46C66" w14:textId="77777777" w:rsidR="00394471" w:rsidRPr="00FA0D37" w:rsidRDefault="00394471" w:rsidP="00FA0D37">
      <w:pPr>
        <w:pStyle w:val="PL"/>
        <w:rPr>
          <w:color w:val="808080"/>
        </w:rPr>
      </w:pPr>
      <w:r w:rsidRPr="00FA0D37">
        <w:t xml:space="preserve">    rmtc-Config-r16                     SetupRelease {RMTC-Config-r16}                                  </w:t>
      </w:r>
      <w:r w:rsidRPr="00FA0D37">
        <w:rPr>
          <w:color w:val="993366"/>
        </w:rPr>
        <w:t>OPTIONAL</w:t>
      </w:r>
      <w:r w:rsidRPr="00FA0D37">
        <w:t xml:space="preserve">,   </w:t>
      </w:r>
      <w:r w:rsidRPr="00FA0D37">
        <w:rPr>
          <w:color w:val="808080"/>
        </w:rPr>
        <w:t>-- Need M</w:t>
      </w:r>
    </w:p>
    <w:p w14:paraId="02AF7018" w14:textId="77777777" w:rsidR="00394471" w:rsidRPr="00FA0D37" w:rsidRDefault="00394471" w:rsidP="00FA0D37">
      <w:pPr>
        <w:pStyle w:val="PL"/>
        <w:rPr>
          <w:color w:val="808080"/>
        </w:rPr>
      </w:pPr>
      <w:r w:rsidRPr="00FA0D37">
        <w:t xml:space="preserve">    t312-r16                            SetupRelease { T312-r16 }                                       </w:t>
      </w:r>
      <w:r w:rsidRPr="00FA0D37">
        <w:rPr>
          <w:color w:val="993366"/>
        </w:rPr>
        <w:t>OPTIONAL</w:t>
      </w:r>
      <w:r w:rsidRPr="00FA0D37">
        <w:t xml:space="preserve">    </w:t>
      </w:r>
      <w:r w:rsidRPr="00FA0D37">
        <w:rPr>
          <w:color w:val="808080"/>
        </w:rPr>
        <w:t>-- Need M</w:t>
      </w:r>
    </w:p>
    <w:p w14:paraId="48B43ADF" w14:textId="26F0F1CF" w:rsidR="003F7068" w:rsidRPr="00FA0D37" w:rsidRDefault="00394471" w:rsidP="00FA0D37">
      <w:pPr>
        <w:pStyle w:val="PL"/>
      </w:pPr>
      <w:r w:rsidRPr="00FA0D37">
        <w:t xml:space="preserve">    ]]</w:t>
      </w:r>
      <w:r w:rsidR="003F7068" w:rsidRPr="00FA0D37">
        <w:t>,</w:t>
      </w:r>
    </w:p>
    <w:p w14:paraId="454355F4" w14:textId="77777777" w:rsidR="003F7068" w:rsidRPr="00FA0D37" w:rsidRDefault="003F7068" w:rsidP="00FA0D37">
      <w:pPr>
        <w:pStyle w:val="PL"/>
      </w:pPr>
      <w:r w:rsidRPr="00FA0D37">
        <w:t xml:space="preserve">    [[</w:t>
      </w:r>
    </w:p>
    <w:p w14:paraId="43453C6B" w14:textId="77777777" w:rsidR="003F7068" w:rsidRPr="00FA0D37" w:rsidRDefault="003F7068" w:rsidP="00FA0D37">
      <w:pPr>
        <w:pStyle w:val="PL"/>
        <w:rPr>
          <w:color w:val="808080"/>
        </w:rPr>
      </w:pPr>
      <w:r w:rsidRPr="00FA0D37">
        <w:t xml:space="preserve">    associatedMeasGapSSB-r17            MeasGapId-r17                                                   </w:t>
      </w:r>
      <w:r w:rsidRPr="00FA0D37">
        <w:rPr>
          <w:color w:val="993366"/>
        </w:rPr>
        <w:t>OPTIONAL</w:t>
      </w:r>
      <w:r w:rsidRPr="00FA0D37">
        <w:t xml:space="preserve">,   </w:t>
      </w:r>
      <w:r w:rsidRPr="00FA0D37">
        <w:rPr>
          <w:color w:val="808080"/>
        </w:rPr>
        <w:t>-- Need R</w:t>
      </w:r>
    </w:p>
    <w:p w14:paraId="522BB959" w14:textId="7839E8BD" w:rsidR="003F7068" w:rsidRPr="00FA0D37" w:rsidRDefault="003F7068" w:rsidP="00FA0D37">
      <w:pPr>
        <w:pStyle w:val="PL"/>
        <w:rPr>
          <w:color w:val="808080"/>
        </w:rPr>
      </w:pPr>
      <w:r w:rsidRPr="00FA0D37">
        <w:t xml:space="preserve">    associatedMeasGapCSIRS-r17          MeasGapId-r17                                                   </w:t>
      </w:r>
      <w:r w:rsidRPr="00FA0D37">
        <w:rPr>
          <w:color w:val="993366"/>
        </w:rPr>
        <w:t>OPTIONAL</w:t>
      </w:r>
      <w:r w:rsidR="005B7637" w:rsidRPr="00FA0D37">
        <w:t>,</w:t>
      </w:r>
      <w:r w:rsidRPr="00FA0D37">
        <w:t xml:space="preserve">   </w:t>
      </w:r>
      <w:r w:rsidRPr="00FA0D37">
        <w:rPr>
          <w:color w:val="808080"/>
        </w:rPr>
        <w:t>-- Need R</w:t>
      </w:r>
    </w:p>
    <w:p w14:paraId="0D1184B4" w14:textId="6ACBAF3E" w:rsidR="005B7637" w:rsidRPr="00FA0D37" w:rsidRDefault="005B7637" w:rsidP="00FA0D37">
      <w:pPr>
        <w:pStyle w:val="PL"/>
        <w:rPr>
          <w:color w:val="808080"/>
        </w:rPr>
      </w:pPr>
      <w:r w:rsidRPr="00FA0D37">
        <w:t xml:space="preserve">    smtc4</w:t>
      </w:r>
      <w:r w:rsidR="00771058" w:rsidRPr="00FA0D37">
        <w:t>l</w:t>
      </w:r>
      <w:r w:rsidRPr="00FA0D37">
        <w:t xml:space="preserve">ist-r17                       SSB-MTC4List-r17                                        </w:t>
      </w:r>
      <w:r w:rsidR="00567F03" w:rsidRPr="00FA0D37">
        <w:t xml:space="preserve">        </w:t>
      </w:r>
      <w:r w:rsidRPr="00FA0D37">
        <w:rPr>
          <w:color w:val="993366"/>
        </w:rPr>
        <w:t>OPTIONAL</w:t>
      </w:r>
      <w:r w:rsidR="00DB6B82" w:rsidRPr="00FA0D37">
        <w:t>,</w:t>
      </w:r>
      <w:r w:rsidRPr="00FA0D37">
        <w:t xml:space="preserve">    </w:t>
      </w:r>
      <w:r w:rsidRPr="00FA0D37">
        <w:rPr>
          <w:color w:val="808080"/>
        </w:rPr>
        <w:t xml:space="preserve">-- </w:t>
      </w:r>
      <w:r w:rsidR="00771058" w:rsidRPr="00FA0D37">
        <w:rPr>
          <w:color w:val="808080"/>
        </w:rPr>
        <w:t>Need R</w:t>
      </w:r>
    </w:p>
    <w:p w14:paraId="29CD1D80" w14:textId="230EDD6E" w:rsidR="00627E02" w:rsidRPr="00FA0D37" w:rsidRDefault="00DB6B82" w:rsidP="00FA0D37">
      <w:pPr>
        <w:pStyle w:val="PL"/>
      </w:pPr>
      <w:r w:rsidRPr="00FA0D37">
        <w:t xml:space="preserve">    measCyclePSCell-r17                 </w:t>
      </w:r>
      <w:r w:rsidRPr="00FA0D37">
        <w:rPr>
          <w:color w:val="993366"/>
        </w:rPr>
        <w:t>ENUMERATED</w:t>
      </w:r>
      <w:r w:rsidRPr="00FA0D37">
        <w:t xml:space="preserve"> {</w:t>
      </w:r>
      <w:r w:rsidR="00627E02" w:rsidRPr="00FA0D37">
        <w:t>ms160, ms256, ms320, ms512, ms640, ms1024, ms1280, spare1</w:t>
      </w:r>
      <w:r w:rsidRPr="00FA0D37">
        <w:t>}</w:t>
      </w:r>
    </w:p>
    <w:p w14:paraId="6E6C89A3" w14:textId="6758DF55" w:rsidR="00DB6B82" w:rsidRPr="00FA0D37" w:rsidRDefault="00627E02" w:rsidP="00FA0D37">
      <w:pPr>
        <w:pStyle w:val="PL"/>
        <w:rPr>
          <w:color w:val="808080"/>
        </w:rPr>
      </w:pPr>
      <w:r w:rsidRPr="00FA0D37">
        <w:t xml:space="preserve">                                                        </w:t>
      </w:r>
      <w:r w:rsidR="00DB6B82" w:rsidRPr="00FA0D37">
        <w:t xml:space="preserve">                                                </w:t>
      </w:r>
      <w:r w:rsidR="00DB6B82" w:rsidRPr="00FA0D37">
        <w:rPr>
          <w:color w:val="993366"/>
        </w:rPr>
        <w:t>OPTIONAL</w:t>
      </w:r>
      <w:r w:rsidR="00894E1D" w:rsidRPr="00FA0D37">
        <w:t>,</w:t>
      </w:r>
      <w:r w:rsidR="00DB6B82" w:rsidRPr="00FA0D37">
        <w:t xml:space="preserve">   </w:t>
      </w:r>
      <w:r w:rsidR="00DB6B82" w:rsidRPr="00FA0D37">
        <w:rPr>
          <w:color w:val="808080"/>
        </w:rPr>
        <w:t xml:space="preserve">-- </w:t>
      </w:r>
      <w:r w:rsidR="009C015E" w:rsidRPr="00FA0D37">
        <w:rPr>
          <w:color w:val="808080"/>
        </w:rPr>
        <w:t>Cond SCG</w:t>
      </w:r>
    </w:p>
    <w:p w14:paraId="64396666" w14:textId="57A8B620" w:rsidR="00771058" w:rsidRPr="00FA0D37" w:rsidRDefault="00771058" w:rsidP="00FA0D37">
      <w:pPr>
        <w:pStyle w:val="PL"/>
        <w:rPr>
          <w:color w:val="808080"/>
        </w:rPr>
      </w:pPr>
      <w:r w:rsidRPr="00FA0D37">
        <w:t xml:space="preserve">    cellsToAddModListExt-v1710          CellsToAddModListExt-v1710                                      </w:t>
      </w:r>
      <w:r w:rsidRPr="00FA0D37">
        <w:rPr>
          <w:color w:val="993366"/>
        </w:rPr>
        <w:t>OPTIONAL</w:t>
      </w:r>
      <w:r w:rsidRPr="00FA0D37">
        <w:t xml:space="preserve">    </w:t>
      </w:r>
      <w:r w:rsidRPr="00FA0D37">
        <w:rPr>
          <w:color w:val="808080"/>
        </w:rPr>
        <w:t>-- Need N</w:t>
      </w:r>
    </w:p>
    <w:p w14:paraId="415C3553" w14:textId="209618A5" w:rsidR="001163BA" w:rsidRPr="00FA0D37" w:rsidRDefault="00771058" w:rsidP="00FA0D37">
      <w:pPr>
        <w:pStyle w:val="PL"/>
      </w:pPr>
      <w:r w:rsidRPr="00FA0D37">
        <w:t xml:space="preserve">   ]]</w:t>
      </w:r>
      <w:r w:rsidR="001163BA" w:rsidRPr="00FA0D37">
        <w:t>,</w:t>
      </w:r>
    </w:p>
    <w:p w14:paraId="0976999B" w14:textId="77777777" w:rsidR="001163BA" w:rsidRPr="00FA0D37" w:rsidRDefault="001163BA" w:rsidP="00FA0D37">
      <w:pPr>
        <w:pStyle w:val="PL"/>
      </w:pPr>
      <w:r w:rsidRPr="00FA0D37">
        <w:t xml:space="preserve">   [[</w:t>
      </w:r>
    </w:p>
    <w:p w14:paraId="25EF8ABB" w14:textId="577CAEFF" w:rsidR="001163BA" w:rsidRPr="00FA0D37" w:rsidRDefault="001163BA" w:rsidP="00FA0D37">
      <w:pPr>
        <w:pStyle w:val="PL"/>
        <w:rPr>
          <w:color w:val="808080"/>
        </w:rPr>
      </w:pPr>
      <w:r w:rsidRPr="00FA0D37">
        <w:t xml:space="preserve">    associatedMeasGapSSB2-v1720         MeasGapId-r17                                               </w:t>
      </w:r>
      <w:r w:rsidR="00F72B2C" w:rsidRPr="00FA0D37">
        <w:rPr>
          <w:color w:val="993366"/>
        </w:rPr>
        <w:t>OPTIONAL</w:t>
      </w:r>
      <w:r w:rsidR="00847ACB" w:rsidRPr="00FA0D37">
        <w:t>,</w:t>
      </w:r>
      <w:r w:rsidR="00F72B2C" w:rsidRPr="00FA0D37">
        <w:t xml:space="preserve"> </w:t>
      </w:r>
      <w:r w:rsidRPr="00FA0D37">
        <w:rPr>
          <w:color w:val="808080"/>
        </w:rPr>
        <w:t>-- Cond AssociatedGapSSB</w:t>
      </w:r>
    </w:p>
    <w:p w14:paraId="71A9DCFB" w14:textId="228B8F4B" w:rsidR="001163BA" w:rsidRPr="00FA0D37" w:rsidRDefault="001163BA" w:rsidP="00FA0D37">
      <w:pPr>
        <w:pStyle w:val="PL"/>
        <w:rPr>
          <w:color w:val="808080"/>
        </w:rPr>
      </w:pPr>
      <w:r w:rsidRPr="00FA0D37">
        <w:t xml:space="preserve">    associatedMeasGapCSIRS2-v1720       MeasGapId-r17                                               </w:t>
      </w:r>
      <w:r w:rsidR="00F72B2C" w:rsidRPr="00FA0D37">
        <w:rPr>
          <w:color w:val="993366"/>
        </w:rPr>
        <w:t>OPTIONAL</w:t>
      </w:r>
      <w:r w:rsidR="00847ACB" w:rsidRPr="00FA0D37">
        <w:t xml:space="preserve"> </w:t>
      </w:r>
      <w:r w:rsidR="00F72B2C" w:rsidRPr="00FA0D37">
        <w:t xml:space="preserve"> </w:t>
      </w:r>
      <w:r w:rsidRPr="00FA0D37">
        <w:rPr>
          <w:color w:val="808080"/>
        </w:rPr>
        <w:t>-- Cond AssociatedGapCSIRS</w:t>
      </w:r>
    </w:p>
    <w:p w14:paraId="1F6BFB4C" w14:textId="1C8F7A1A" w:rsidR="00394471" w:rsidRPr="00FA0D37" w:rsidRDefault="001163BA" w:rsidP="00FA0D37">
      <w:pPr>
        <w:pStyle w:val="PL"/>
      </w:pPr>
      <w:r w:rsidRPr="00FA0D37">
        <w:t xml:space="preserve">   ]]</w:t>
      </w:r>
    </w:p>
    <w:p w14:paraId="0C945D65" w14:textId="77777777" w:rsidR="00394471" w:rsidRPr="00FA0D37" w:rsidRDefault="00394471" w:rsidP="00FA0D37">
      <w:pPr>
        <w:pStyle w:val="PL"/>
      </w:pPr>
      <w:r w:rsidRPr="00FA0D37">
        <w:lastRenderedPageBreak/>
        <w:t>}</w:t>
      </w:r>
    </w:p>
    <w:p w14:paraId="32CF9A73" w14:textId="77777777" w:rsidR="00394471" w:rsidRPr="00FA0D37" w:rsidRDefault="00394471" w:rsidP="00FA0D37">
      <w:pPr>
        <w:pStyle w:val="PL"/>
      </w:pPr>
    </w:p>
    <w:p w14:paraId="6164EE70" w14:textId="77777777" w:rsidR="00394471" w:rsidRPr="00FA0D37" w:rsidRDefault="00394471" w:rsidP="00FA0D37">
      <w:pPr>
        <w:pStyle w:val="PL"/>
      </w:pPr>
      <w:r w:rsidRPr="00FA0D37">
        <w:t xml:space="preserve">SSB-MTC3List-r16::=                 </w:t>
      </w:r>
      <w:r w:rsidRPr="00FA0D37">
        <w:rPr>
          <w:color w:val="993366"/>
        </w:rPr>
        <w:t>SEQUENCE</w:t>
      </w:r>
      <w:r w:rsidRPr="00FA0D37">
        <w:t xml:space="preserve"> (</w:t>
      </w:r>
      <w:r w:rsidRPr="00FA0D37">
        <w:rPr>
          <w:color w:val="993366"/>
        </w:rPr>
        <w:t>SIZE</w:t>
      </w:r>
      <w:r w:rsidRPr="00FA0D37">
        <w:t>(1..4))</w:t>
      </w:r>
      <w:r w:rsidRPr="00FA0D37">
        <w:rPr>
          <w:color w:val="993366"/>
        </w:rPr>
        <w:t xml:space="preserve"> OF</w:t>
      </w:r>
      <w:r w:rsidRPr="00FA0D37">
        <w:t xml:space="preserve"> SSB-MTC3-r16</w:t>
      </w:r>
    </w:p>
    <w:p w14:paraId="781C3585" w14:textId="1EF2BC8D" w:rsidR="00394471" w:rsidRPr="00FA0D37" w:rsidRDefault="00394471" w:rsidP="00FA0D37">
      <w:pPr>
        <w:pStyle w:val="PL"/>
      </w:pPr>
    </w:p>
    <w:p w14:paraId="5FA1D95A" w14:textId="722311B2" w:rsidR="005B7637" w:rsidRPr="00FA0D37" w:rsidRDefault="005B7637" w:rsidP="00FA0D37">
      <w:pPr>
        <w:pStyle w:val="PL"/>
      </w:pPr>
      <w:r w:rsidRPr="00FA0D37">
        <w:t xml:space="preserve">SSB-MTC4List-r17::=                 </w:t>
      </w:r>
      <w:r w:rsidRPr="00FA0D37">
        <w:rPr>
          <w:color w:val="993366"/>
        </w:rPr>
        <w:t>SEQUENCE</w:t>
      </w:r>
      <w:r w:rsidRPr="00FA0D37">
        <w:t xml:space="preserve"> (</w:t>
      </w:r>
      <w:r w:rsidRPr="00FA0D37">
        <w:rPr>
          <w:color w:val="993366"/>
        </w:rPr>
        <w:t>SIZE</w:t>
      </w:r>
      <w:r w:rsidRPr="00FA0D37">
        <w:t>(1..</w:t>
      </w:r>
      <w:r w:rsidR="00771058" w:rsidRPr="00FA0D37">
        <w:t>3</w:t>
      </w:r>
      <w:r w:rsidRPr="00FA0D37">
        <w:t>))</w:t>
      </w:r>
      <w:r w:rsidRPr="00FA0D37">
        <w:rPr>
          <w:color w:val="993366"/>
        </w:rPr>
        <w:t xml:space="preserve"> OF</w:t>
      </w:r>
      <w:r w:rsidRPr="00FA0D37">
        <w:t xml:space="preserve"> SSB-MTC4-r17</w:t>
      </w:r>
    </w:p>
    <w:p w14:paraId="61381E99" w14:textId="77777777" w:rsidR="005B7637" w:rsidRPr="00FA0D37" w:rsidRDefault="005B7637" w:rsidP="00FA0D37">
      <w:pPr>
        <w:pStyle w:val="PL"/>
      </w:pPr>
    </w:p>
    <w:p w14:paraId="6D3E32AA" w14:textId="77777777" w:rsidR="00394471" w:rsidRPr="00FA0D37" w:rsidRDefault="00394471" w:rsidP="00FA0D37">
      <w:pPr>
        <w:pStyle w:val="PL"/>
      </w:pPr>
      <w:r w:rsidRPr="00FA0D37">
        <w:t xml:space="preserve">T312-r16 ::=                        </w:t>
      </w:r>
      <w:r w:rsidRPr="00FA0D37">
        <w:rPr>
          <w:color w:val="993366"/>
        </w:rPr>
        <w:t>ENUMERATED</w:t>
      </w:r>
      <w:r w:rsidRPr="00FA0D37">
        <w:t xml:space="preserve"> { ms0, ms50, ms100, ms200, ms300, ms400, ms500, ms1000}</w:t>
      </w:r>
    </w:p>
    <w:p w14:paraId="062A8DA3" w14:textId="77777777" w:rsidR="00394471" w:rsidRPr="00FA0D37" w:rsidRDefault="00394471" w:rsidP="00FA0D37">
      <w:pPr>
        <w:pStyle w:val="PL"/>
      </w:pPr>
    </w:p>
    <w:p w14:paraId="29884CA8" w14:textId="77777777" w:rsidR="00394471" w:rsidRPr="00FA0D37" w:rsidRDefault="00394471" w:rsidP="00FA0D37">
      <w:pPr>
        <w:pStyle w:val="PL"/>
      </w:pPr>
      <w:r w:rsidRPr="00FA0D37">
        <w:t xml:space="preserve">ReferenceSignalConfig::=            </w:t>
      </w:r>
      <w:r w:rsidRPr="00FA0D37">
        <w:rPr>
          <w:color w:val="993366"/>
        </w:rPr>
        <w:t>SEQUENCE</w:t>
      </w:r>
      <w:r w:rsidRPr="00FA0D37">
        <w:t xml:space="preserve"> {</w:t>
      </w:r>
    </w:p>
    <w:p w14:paraId="6CF18379" w14:textId="77777777" w:rsidR="00394471" w:rsidRPr="00FA0D37" w:rsidRDefault="00394471" w:rsidP="00FA0D37">
      <w:pPr>
        <w:pStyle w:val="PL"/>
        <w:rPr>
          <w:color w:val="808080"/>
        </w:rPr>
      </w:pPr>
      <w:r w:rsidRPr="00FA0D37">
        <w:t xml:space="preserve">    ssb-ConfigMobility                  SSB-ConfigMobility                                              </w:t>
      </w:r>
      <w:r w:rsidRPr="00FA0D37">
        <w:rPr>
          <w:color w:val="993366"/>
        </w:rPr>
        <w:t>OPTIONAL</w:t>
      </w:r>
      <w:r w:rsidRPr="00FA0D37">
        <w:t xml:space="preserve">,   </w:t>
      </w:r>
      <w:r w:rsidRPr="00FA0D37">
        <w:rPr>
          <w:color w:val="808080"/>
        </w:rPr>
        <w:t>-- Need M</w:t>
      </w:r>
    </w:p>
    <w:p w14:paraId="084DACE0" w14:textId="77777777" w:rsidR="00394471" w:rsidRPr="00FA0D37" w:rsidRDefault="00394471" w:rsidP="00FA0D37">
      <w:pPr>
        <w:pStyle w:val="PL"/>
        <w:rPr>
          <w:color w:val="808080"/>
        </w:rPr>
      </w:pPr>
      <w:r w:rsidRPr="00FA0D37">
        <w:t xml:space="preserve">    csi-rs-ResourceConfigMobility       SetupRelease { CSI-RS-ResourceConfigMobility }                  </w:t>
      </w:r>
      <w:r w:rsidRPr="00FA0D37">
        <w:rPr>
          <w:color w:val="993366"/>
        </w:rPr>
        <w:t>OPTIONAL</w:t>
      </w:r>
      <w:r w:rsidRPr="00FA0D37">
        <w:t xml:space="preserve">    </w:t>
      </w:r>
      <w:r w:rsidRPr="00FA0D37">
        <w:rPr>
          <w:color w:val="808080"/>
        </w:rPr>
        <w:t>-- Need M</w:t>
      </w:r>
    </w:p>
    <w:p w14:paraId="26EDC0DA" w14:textId="77777777" w:rsidR="00394471" w:rsidRPr="00FA0D37" w:rsidRDefault="00394471" w:rsidP="00FA0D37">
      <w:pPr>
        <w:pStyle w:val="PL"/>
      </w:pPr>
      <w:r w:rsidRPr="00FA0D37">
        <w:t>}</w:t>
      </w:r>
    </w:p>
    <w:p w14:paraId="0A0C3CDF" w14:textId="77777777" w:rsidR="00394471" w:rsidRPr="00FA0D37" w:rsidRDefault="00394471" w:rsidP="00FA0D37">
      <w:pPr>
        <w:pStyle w:val="PL"/>
      </w:pPr>
    </w:p>
    <w:p w14:paraId="1287EA0A" w14:textId="77777777" w:rsidR="00394471" w:rsidRPr="00FA0D37" w:rsidRDefault="00394471" w:rsidP="00FA0D37">
      <w:pPr>
        <w:pStyle w:val="PL"/>
      </w:pPr>
      <w:r w:rsidRPr="00FA0D37">
        <w:t xml:space="preserve">SSB-ConfigMobility::=               </w:t>
      </w:r>
      <w:r w:rsidRPr="00FA0D37">
        <w:rPr>
          <w:color w:val="993366"/>
        </w:rPr>
        <w:t>SEQUENCE</w:t>
      </w:r>
      <w:r w:rsidRPr="00FA0D37">
        <w:t xml:space="preserve"> {</w:t>
      </w:r>
    </w:p>
    <w:p w14:paraId="032A4FDD" w14:textId="78371BA8" w:rsidR="00394471" w:rsidRPr="00FA0D37" w:rsidRDefault="00394471" w:rsidP="00FA0D37">
      <w:pPr>
        <w:pStyle w:val="PL"/>
        <w:rPr>
          <w:color w:val="808080"/>
        </w:rPr>
      </w:pPr>
      <w:r w:rsidRPr="00FA0D37">
        <w:t xml:space="preserve">    ssb-ToMeasure                       SetupRelease { SSB-ToMeasure }                              </w:t>
      </w:r>
      <w:r w:rsidR="003F7068" w:rsidRPr="00FA0D37">
        <w:t xml:space="preserve">    </w:t>
      </w:r>
      <w:r w:rsidRPr="00FA0D37">
        <w:rPr>
          <w:color w:val="993366"/>
        </w:rPr>
        <w:t>OPTIONAL</w:t>
      </w:r>
      <w:r w:rsidRPr="00FA0D37">
        <w:t xml:space="preserve">,   </w:t>
      </w:r>
      <w:r w:rsidRPr="00FA0D37">
        <w:rPr>
          <w:color w:val="808080"/>
        </w:rPr>
        <w:t>-- Need M</w:t>
      </w:r>
    </w:p>
    <w:p w14:paraId="094676AE" w14:textId="77777777" w:rsidR="00394471" w:rsidRPr="00FA0D37" w:rsidRDefault="00394471" w:rsidP="00FA0D37">
      <w:pPr>
        <w:pStyle w:val="PL"/>
      </w:pPr>
      <w:r w:rsidRPr="00FA0D37">
        <w:t xml:space="preserve">    deriveSSB-IndexFromCell             </w:t>
      </w:r>
      <w:r w:rsidRPr="00FA0D37">
        <w:rPr>
          <w:color w:val="993366"/>
        </w:rPr>
        <w:t>BOOLEAN</w:t>
      </w:r>
      <w:r w:rsidRPr="00FA0D37">
        <w:t>,</w:t>
      </w:r>
    </w:p>
    <w:p w14:paraId="6F4396D3" w14:textId="752CEE25" w:rsidR="00394471" w:rsidRPr="00FA0D37" w:rsidRDefault="00394471" w:rsidP="00FA0D37">
      <w:pPr>
        <w:pStyle w:val="PL"/>
        <w:rPr>
          <w:color w:val="808080"/>
        </w:rPr>
      </w:pPr>
      <w:r w:rsidRPr="00FA0D37">
        <w:t xml:space="preserve">    ss-RSSI-Measurement                 SS-RSSI-Measurement                                     </w:t>
      </w:r>
      <w:r w:rsidR="003F7068" w:rsidRPr="00FA0D37">
        <w:t xml:space="preserve">        </w:t>
      </w:r>
      <w:r w:rsidRPr="00FA0D37">
        <w:rPr>
          <w:color w:val="993366"/>
        </w:rPr>
        <w:t>OPTIONAL</w:t>
      </w:r>
      <w:r w:rsidRPr="00FA0D37">
        <w:t xml:space="preserve">,   </w:t>
      </w:r>
      <w:r w:rsidRPr="00FA0D37">
        <w:rPr>
          <w:color w:val="808080"/>
        </w:rPr>
        <w:t>-- Need M</w:t>
      </w:r>
    </w:p>
    <w:p w14:paraId="0EFE1488" w14:textId="77777777" w:rsidR="00394471" w:rsidRPr="00FA0D37" w:rsidRDefault="00394471" w:rsidP="00FA0D37">
      <w:pPr>
        <w:pStyle w:val="PL"/>
      </w:pPr>
      <w:r w:rsidRPr="00FA0D37">
        <w:t xml:space="preserve">    ...,</w:t>
      </w:r>
    </w:p>
    <w:p w14:paraId="446661B9" w14:textId="77777777" w:rsidR="00394471" w:rsidRPr="00FA0D37" w:rsidRDefault="00394471" w:rsidP="00FA0D37">
      <w:pPr>
        <w:pStyle w:val="PL"/>
      </w:pPr>
      <w:r w:rsidRPr="00FA0D37">
        <w:t xml:space="preserve">    [[</w:t>
      </w:r>
    </w:p>
    <w:p w14:paraId="26BFD884" w14:textId="77777777" w:rsidR="00394471" w:rsidRPr="00FA0D37" w:rsidRDefault="00394471" w:rsidP="00FA0D37">
      <w:pPr>
        <w:pStyle w:val="PL"/>
        <w:rPr>
          <w:color w:val="808080"/>
        </w:rPr>
      </w:pPr>
      <w:r w:rsidRPr="00FA0D37">
        <w:t xml:space="preserve">    ssb-PositionQCL-Common-r16              SSB-PositionQCL-Relation-r16                                </w:t>
      </w:r>
      <w:r w:rsidRPr="00FA0D37">
        <w:rPr>
          <w:color w:val="993366"/>
        </w:rPr>
        <w:t>OPTIONAL</w:t>
      </w:r>
      <w:r w:rsidRPr="00FA0D37">
        <w:t xml:space="preserve">,   </w:t>
      </w:r>
      <w:r w:rsidRPr="00FA0D37">
        <w:rPr>
          <w:color w:val="808080"/>
        </w:rPr>
        <w:t>-- Cond SharedSpectrum</w:t>
      </w:r>
    </w:p>
    <w:p w14:paraId="28E1FF6B" w14:textId="77777777" w:rsidR="00394471" w:rsidRPr="00FA0D37" w:rsidRDefault="00394471" w:rsidP="00FA0D37">
      <w:pPr>
        <w:pStyle w:val="PL"/>
        <w:rPr>
          <w:color w:val="808080"/>
        </w:rPr>
      </w:pPr>
      <w:r w:rsidRPr="00FA0D37">
        <w:t xml:space="preserve">    ssb-PositionQCL-CellsToAddModList-r16   SSB-PositionQCL-CellsToAddModList-r16                       </w:t>
      </w:r>
      <w:r w:rsidRPr="00FA0D37">
        <w:rPr>
          <w:color w:val="993366"/>
        </w:rPr>
        <w:t>OPTIONAL</w:t>
      </w:r>
      <w:r w:rsidRPr="00FA0D37">
        <w:t xml:space="preserve">,   </w:t>
      </w:r>
      <w:r w:rsidRPr="00FA0D37">
        <w:rPr>
          <w:color w:val="808080"/>
        </w:rPr>
        <w:t>-- Need N</w:t>
      </w:r>
    </w:p>
    <w:p w14:paraId="01107FF2" w14:textId="77777777" w:rsidR="00394471" w:rsidRPr="00FA0D37" w:rsidRDefault="00394471" w:rsidP="00FA0D37">
      <w:pPr>
        <w:pStyle w:val="PL"/>
        <w:rPr>
          <w:color w:val="808080"/>
        </w:rPr>
      </w:pPr>
      <w:r w:rsidRPr="00FA0D37">
        <w:t xml:space="preserve">    ssb-PositionQCL-CellsToRemoveList-r16   PCI-List                                                    </w:t>
      </w:r>
      <w:r w:rsidRPr="00FA0D37">
        <w:rPr>
          <w:color w:val="993366"/>
        </w:rPr>
        <w:t>OPTIONAL</w:t>
      </w:r>
      <w:r w:rsidRPr="00FA0D37">
        <w:t xml:space="preserve">    </w:t>
      </w:r>
      <w:r w:rsidRPr="00FA0D37">
        <w:rPr>
          <w:color w:val="808080"/>
        </w:rPr>
        <w:t>-- Need N</w:t>
      </w:r>
    </w:p>
    <w:p w14:paraId="6C374DF3" w14:textId="2D93CEA9" w:rsidR="003F7068" w:rsidRPr="00FA0D37" w:rsidRDefault="00394471" w:rsidP="00FA0D37">
      <w:pPr>
        <w:pStyle w:val="PL"/>
      </w:pPr>
      <w:r w:rsidRPr="00FA0D37">
        <w:t xml:space="preserve">    ]]</w:t>
      </w:r>
      <w:r w:rsidR="003F7068" w:rsidRPr="00FA0D37">
        <w:t>,</w:t>
      </w:r>
    </w:p>
    <w:p w14:paraId="20B6474F" w14:textId="466AD020" w:rsidR="003F7068" w:rsidRPr="00FA0D37" w:rsidRDefault="003F7068" w:rsidP="00FA0D37">
      <w:pPr>
        <w:pStyle w:val="PL"/>
      </w:pPr>
      <w:r w:rsidRPr="00FA0D37">
        <w:t xml:space="preserve">    [[</w:t>
      </w:r>
    </w:p>
    <w:p w14:paraId="0BDA680F" w14:textId="0ABF3C36" w:rsidR="003F7068" w:rsidRPr="00FA0D37" w:rsidRDefault="003F7068" w:rsidP="00FA0D37">
      <w:pPr>
        <w:pStyle w:val="PL"/>
        <w:rPr>
          <w:color w:val="808080"/>
        </w:rPr>
      </w:pPr>
      <w:r w:rsidRPr="00FA0D37">
        <w:t xml:space="preserve">    deriveSSB-IndexFromCellInter-r17    ServCellIndex                                                   </w:t>
      </w:r>
      <w:r w:rsidRPr="00FA0D37">
        <w:rPr>
          <w:color w:val="993366"/>
        </w:rPr>
        <w:t>OPTIONAL</w:t>
      </w:r>
      <w:r w:rsidR="00CF2FD1" w:rsidRPr="00FA0D37">
        <w:t>,</w:t>
      </w:r>
      <w:r w:rsidRPr="00FA0D37">
        <w:t xml:space="preserve">   </w:t>
      </w:r>
      <w:r w:rsidRPr="00FA0D37">
        <w:rPr>
          <w:color w:val="808080"/>
        </w:rPr>
        <w:t>-- Need R</w:t>
      </w:r>
    </w:p>
    <w:p w14:paraId="214FEE49" w14:textId="4EB2E90D" w:rsidR="00CF2FD1" w:rsidRPr="00FA0D37" w:rsidRDefault="00CF2FD1" w:rsidP="00FA0D37">
      <w:pPr>
        <w:pStyle w:val="PL"/>
        <w:rPr>
          <w:color w:val="808080"/>
        </w:rPr>
      </w:pPr>
      <w:r w:rsidRPr="00FA0D37">
        <w:t xml:space="preserve">    ssb-PositionQCL-Common-r17          SSB-PositionQCL-Relation-r17                                </w:t>
      </w:r>
      <w:r w:rsidRPr="00FA0D37">
        <w:rPr>
          <w:color w:val="993366"/>
        </w:rPr>
        <w:t>OPTIONAL</w:t>
      </w:r>
      <w:r w:rsidRPr="00FA0D37">
        <w:t xml:space="preserve">,   </w:t>
      </w:r>
      <w:r w:rsidRPr="00FA0D37">
        <w:rPr>
          <w:color w:val="808080"/>
        </w:rPr>
        <w:t>-- Cond SharedSpectrum2</w:t>
      </w:r>
    </w:p>
    <w:p w14:paraId="2E80DEA0" w14:textId="65759C43" w:rsidR="00CF2FD1" w:rsidRPr="00FA0D37" w:rsidRDefault="00CF2FD1" w:rsidP="00FA0D37">
      <w:pPr>
        <w:pStyle w:val="PL"/>
        <w:rPr>
          <w:color w:val="808080"/>
        </w:rPr>
      </w:pPr>
      <w:r w:rsidRPr="00FA0D37">
        <w:t xml:space="preserve">    ssb-PositionQCL-Cells-r17           SetupRelease {SSB-PositionQCL-CellList-r17}                     </w:t>
      </w:r>
      <w:r w:rsidRPr="00FA0D37">
        <w:rPr>
          <w:color w:val="993366"/>
        </w:rPr>
        <w:t>OPTIONAL</w:t>
      </w:r>
      <w:r w:rsidRPr="00FA0D37">
        <w:t xml:space="preserve">    </w:t>
      </w:r>
      <w:r w:rsidRPr="00FA0D37">
        <w:rPr>
          <w:color w:val="808080"/>
        </w:rPr>
        <w:t>-- Need M</w:t>
      </w:r>
    </w:p>
    <w:p w14:paraId="3EB38535" w14:textId="66D97AD8" w:rsidR="00775C81" w:rsidRPr="00FA0D37" w:rsidRDefault="003F7068" w:rsidP="00FA0D37">
      <w:pPr>
        <w:pStyle w:val="PL"/>
      </w:pPr>
      <w:r w:rsidRPr="00FA0D37">
        <w:t xml:space="preserve">    ]]</w:t>
      </w:r>
      <w:r w:rsidR="00775C81" w:rsidRPr="00FA0D37">
        <w:t>,</w:t>
      </w:r>
    </w:p>
    <w:p w14:paraId="080A241D" w14:textId="77777777" w:rsidR="00775C81" w:rsidRPr="00FA0D37" w:rsidRDefault="00775C81" w:rsidP="00FA0D37">
      <w:pPr>
        <w:pStyle w:val="PL"/>
      </w:pPr>
      <w:r w:rsidRPr="00FA0D37">
        <w:t xml:space="preserve">    [[</w:t>
      </w:r>
    </w:p>
    <w:p w14:paraId="0818288E" w14:textId="079BB7C9" w:rsidR="00775C81" w:rsidRPr="00FA0D37" w:rsidRDefault="00775C81" w:rsidP="00FA0D37">
      <w:pPr>
        <w:pStyle w:val="PL"/>
        <w:rPr>
          <w:color w:val="808080"/>
        </w:rPr>
      </w:pPr>
      <w:r w:rsidRPr="00FA0D37">
        <w:t xml:space="preserve">    cca-CellsToAddModList-r17           </w:t>
      </w:r>
      <w:r w:rsidR="00694BA2" w:rsidRPr="00FA0D37">
        <w:t>PCI-List</w:t>
      </w:r>
      <w:r w:rsidRPr="00FA0D37">
        <w:t xml:space="preserve">                                       </w:t>
      </w:r>
      <w:r w:rsidR="00694BA2" w:rsidRPr="00FA0D37">
        <w:t xml:space="preserve">                 </w:t>
      </w:r>
      <w:r w:rsidRPr="00FA0D37">
        <w:rPr>
          <w:color w:val="993366"/>
        </w:rPr>
        <w:t>OPTIONAL</w:t>
      </w:r>
      <w:r w:rsidRPr="00FA0D37">
        <w:t xml:space="preserve">,   </w:t>
      </w:r>
      <w:r w:rsidRPr="00FA0D37">
        <w:rPr>
          <w:color w:val="808080"/>
        </w:rPr>
        <w:t>-- Need N</w:t>
      </w:r>
    </w:p>
    <w:p w14:paraId="21D89605" w14:textId="77777777" w:rsidR="00775C81" w:rsidRPr="00FA0D37" w:rsidRDefault="00775C81" w:rsidP="00FA0D37">
      <w:pPr>
        <w:pStyle w:val="PL"/>
        <w:rPr>
          <w:color w:val="808080"/>
        </w:rPr>
      </w:pPr>
      <w:r w:rsidRPr="00FA0D37">
        <w:t xml:space="preserve">    cca-CellsToRemoveList-r17           PCI-List                                                        </w:t>
      </w:r>
      <w:r w:rsidRPr="00FA0D37">
        <w:rPr>
          <w:color w:val="993366"/>
        </w:rPr>
        <w:t>OPTIONAL</w:t>
      </w:r>
      <w:r w:rsidRPr="00FA0D37">
        <w:t xml:space="preserve">    </w:t>
      </w:r>
      <w:r w:rsidRPr="00FA0D37">
        <w:rPr>
          <w:color w:val="808080"/>
        </w:rPr>
        <w:t>-- Need N</w:t>
      </w:r>
    </w:p>
    <w:p w14:paraId="710912BF" w14:textId="0D000DC5" w:rsidR="00394471" w:rsidRPr="00FA0D37" w:rsidRDefault="00775C81" w:rsidP="00FA0D37">
      <w:pPr>
        <w:pStyle w:val="PL"/>
      </w:pPr>
      <w:r w:rsidRPr="00FA0D37">
        <w:t xml:space="preserve">    ]]</w:t>
      </w:r>
    </w:p>
    <w:p w14:paraId="04210D32" w14:textId="77777777" w:rsidR="00394471" w:rsidRPr="00FA0D37" w:rsidRDefault="00394471" w:rsidP="00FA0D37">
      <w:pPr>
        <w:pStyle w:val="PL"/>
      </w:pPr>
      <w:r w:rsidRPr="00FA0D37">
        <w:t>}</w:t>
      </w:r>
    </w:p>
    <w:p w14:paraId="0303F416" w14:textId="77777777" w:rsidR="00394471" w:rsidRPr="00FA0D37" w:rsidRDefault="00394471" w:rsidP="00FA0D37">
      <w:pPr>
        <w:pStyle w:val="PL"/>
      </w:pPr>
    </w:p>
    <w:p w14:paraId="49B796F4" w14:textId="77777777" w:rsidR="00394471" w:rsidRPr="00FA0D37" w:rsidRDefault="00394471" w:rsidP="00FA0D37">
      <w:pPr>
        <w:pStyle w:val="PL"/>
      </w:pPr>
      <w:r w:rsidRPr="00FA0D37">
        <w:t xml:space="preserve">Q-OffsetRangeList ::=               </w:t>
      </w:r>
      <w:r w:rsidRPr="00FA0D37">
        <w:rPr>
          <w:color w:val="993366"/>
        </w:rPr>
        <w:t>SEQUENCE</w:t>
      </w:r>
      <w:r w:rsidRPr="00FA0D37">
        <w:t xml:space="preserve"> {</w:t>
      </w:r>
    </w:p>
    <w:p w14:paraId="2326F9DE" w14:textId="77777777" w:rsidR="00394471" w:rsidRPr="00FA0D37" w:rsidRDefault="00394471" w:rsidP="00FA0D37">
      <w:pPr>
        <w:pStyle w:val="PL"/>
      </w:pPr>
      <w:r w:rsidRPr="00FA0D37">
        <w:t xml:space="preserve">    rsrpOffsetSSB                       Q-OffsetRange               DEFAULT dB0,</w:t>
      </w:r>
    </w:p>
    <w:p w14:paraId="294C815B" w14:textId="77777777" w:rsidR="00394471" w:rsidRPr="00FA0D37" w:rsidRDefault="00394471" w:rsidP="00FA0D37">
      <w:pPr>
        <w:pStyle w:val="PL"/>
      </w:pPr>
      <w:r w:rsidRPr="00FA0D37">
        <w:t xml:space="preserve">    rsrqOffsetSSB                       Q-OffsetRange               DEFAULT dB0,</w:t>
      </w:r>
    </w:p>
    <w:p w14:paraId="770B5360" w14:textId="77777777" w:rsidR="00394471" w:rsidRPr="00FA0D37" w:rsidRDefault="00394471" w:rsidP="00FA0D37">
      <w:pPr>
        <w:pStyle w:val="PL"/>
      </w:pPr>
      <w:r w:rsidRPr="00FA0D37">
        <w:t xml:space="preserve">    sinrOffsetSSB                       Q-OffsetRange               DEFAULT dB0,</w:t>
      </w:r>
    </w:p>
    <w:p w14:paraId="088A897B" w14:textId="77777777" w:rsidR="00394471" w:rsidRPr="00FA0D37" w:rsidRDefault="00394471" w:rsidP="00FA0D37">
      <w:pPr>
        <w:pStyle w:val="PL"/>
      </w:pPr>
      <w:r w:rsidRPr="00FA0D37">
        <w:t xml:space="preserve">    rsrpOffsetCSI-RS                    Q-OffsetRange               DEFAULT dB0,</w:t>
      </w:r>
    </w:p>
    <w:p w14:paraId="45C8F40C" w14:textId="77777777" w:rsidR="00394471" w:rsidRPr="00FA0D37" w:rsidRDefault="00394471" w:rsidP="00FA0D37">
      <w:pPr>
        <w:pStyle w:val="PL"/>
      </w:pPr>
      <w:r w:rsidRPr="00FA0D37">
        <w:t xml:space="preserve">    rsrqOffsetCSI-RS                    Q-OffsetRange               DEFAULT dB0,</w:t>
      </w:r>
    </w:p>
    <w:p w14:paraId="49474B52" w14:textId="77777777" w:rsidR="00394471" w:rsidRPr="00FA0D37" w:rsidRDefault="00394471" w:rsidP="00FA0D37">
      <w:pPr>
        <w:pStyle w:val="PL"/>
      </w:pPr>
      <w:r w:rsidRPr="00FA0D37">
        <w:t xml:space="preserve">    sinrOffsetCSI-RS                    Q-OffsetRange               DEFAULT dB0</w:t>
      </w:r>
    </w:p>
    <w:p w14:paraId="4F217642" w14:textId="77777777" w:rsidR="00394471" w:rsidRPr="00FA0D37" w:rsidRDefault="00394471" w:rsidP="00FA0D37">
      <w:pPr>
        <w:pStyle w:val="PL"/>
      </w:pPr>
      <w:r w:rsidRPr="00FA0D37">
        <w:t>}</w:t>
      </w:r>
    </w:p>
    <w:p w14:paraId="51C2AA47" w14:textId="77777777" w:rsidR="00394471" w:rsidRPr="00FA0D37" w:rsidRDefault="00394471" w:rsidP="00FA0D37">
      <w:pPr>
        <w:pStyle w:val="PL"/>
      </w:pPr>
    </w:p>
    <w:p w14:paraId="340B39A4" w14:textId="77777777" w:rsidR="00394471" w:rsidRPr="00FA0D37" w:rsidRDefault="00394471" w:rsidP="00FA0D37">
      <w:pPr>
        <w:pStyle w:val="PL"/>
      </w:pPr>
    </w:p>
    <w:p w14:paraId="2DAF05DF" w14:textId="77777777" w:rsidR="00394471" w:rsidRPr="00FA0D37" w:rsidRDefault="00394471" w:rsidP="00FA0D37">
      <w:pPr>
        <w:pStyle w:val="PL"/>
      </w:pPr>
      <w:r w:rsidRPr="00FA0D37">
        <w:t xml:space="preserve">ThresholdNR ::=                     </w:t>
      </w:r>
      <w:r w:rsidRPr="00FA0D37">
        <w:rPr>
          <w:color w:val="993366"/>
        </w:rPr>
        <w:t>SEQUENCE</w:t>
      </w:r>
      <w:r w:rsidRPr="00FA0D37">
        <w:t>{</w:t>
      </w:r>
    </w:p>
    <w:p w14:paraId="2E8105D1" w14:textId="77777777" w:rsidR="00394471" w:rsidRPr="00FA0D37" w:rsidRDefault="00394471" w:rsidP="00FA0D37">
      <w:pPr>
        <w:pStyle w:val="PL"/>
        <w:rPr>
          <w:color w:val="808080"/>
        </w:rPr>
      </w:pPr>
      <w:r w:rsidRPr="00FA0D37">
        <w:t xml:space="preserve">    thresholdRSRP                       RSRP-Range                                                      </w:t>
      </w:r>
      <w:r w:rsidRPr="00FA0D37">
        <w:rPr>
          <w:color w:val="993366"/>
        </w:rPr>
        <w:t>OPTIONAL</w:t>
      </w:r>
      <w:r w:rsidRPr="00FA0D37">
        <w:t xml:space="preserve">,   </w:t>
      </w:r>
      <w:r w:rsidRPr="00FA0D37">
        <w:rPr>
          <w:color w:val="808080"/>
        </w:rPr>
        <w:t>-- Need R</w:t>
      </w:r>
    </w:p>
    <w:p w14:paraId="26C8F98B" w14:textId="77777777" w:rsidR="00394471" w:rsidRPr="00FA0D37" w:rsidRDefault="00394471" w:rsidP="00FA0D37">
      <w:pPr>
        <w:pStyle w:val="PL"/>
        <w:rPr>
          <w:color w:val="808080"/>
        </w:rPr>
      </w:pPr>
      <w:r w:rsidRPr="00FA0D37">
        <w:t xml:space="preserve">    thresholdRSRQ                       RSRQ-Range                                                      </w:t>
      </w:r>
      <w:r w:rsidRPr="00FA0D37">
        <w:rPr>
          <w:color w:val="993366"/>
        </w:rPr>
        <w:t>OPTIONAL</w:t>
      </w:r>
      <w:r w:rsidRPr="00FA0D37">
        <w:t xml:space="preserve">,   </w:t>
      </w:r>
      <w:r w:rsidRPr="00FA0D37">
        <w:rPr>
          <w:color w:val="808080"/>
        </w:rPr>
        <w:t>-- Need R</w:t>
      </w:r>
    </w:p>
    <w:p w14:paraId="071A2271" w14:textId="77777777" w:rsidR="00394471" w:rsidRPr="00FA0D37" w:rsidRDefault="00394471" w:rsidP="00FA0D37">
      <w:pPr>
        <w:pStyle w:val="PL"/>
        <w:rPr>
          <w:color w:val="808080"/>
        </w:rPr>
      </w:pPr>
      <w:r w:rsidRPr="00FA0D37">
        <w:t xml:space="preserve">    thresholdSINR                       SINR-Range                                                      </w:t>
      </w:r>
      <w:r w:rsidRPr="00FA0D37">
        <w:rPr>
          <w:color w:val="993366"/>
        </w:rPr>
        <w:t>OPTIONAL</w:t>
      </w:r>
      <w:r w:rsidRPr="00FA0D37">
        <w:t xml:space="preserve">    </w:t>
      </w:r>
      <w:r w:rsidRPr="00FA0D37">
        <w:rPr>
          <w:color w:val="808080"/>
        </w:rPr>
        <w:t>-- Need R</w:t>
      </w:r>
    </w:p>
    <w:p w14:paraId="10A7ED78" w14:textId="77777777" w:rsidR="00394471" w:rsidRPr="00FA0D37" w:rsidRDefault="00394471" w:rsidP="00FA0D37">
      <w:pPr>
        <w:pStyle w:val="PL"/>
      </w:pPr>
      <w:r w:rsidRPr="00FA0D37">
        <w:t>}</w:t>
      </w:r>
    </w:p>
    <w:p w14:paraId="154DD2B6" w14:textId="77777777" w:rsidR="00394471" w:rsidRPr="00FA0D37" w:rsidRDefault="00394471" w:rsidP="00FA0D37">
      <w:pPr>
        <w:pStyle w:val="PL"/>
      </w:pPr>
    </w:p>
    <w:p w14:paraId="659959D8" w14:textId="77777777" w:rsidR="00394471" w:rsidRPr="00FA0D37" w:rsidRDefault="00394471" w:rsidP="00FA0D37">
      <w:pPr>
        <w:pStyle w:val="PL"/>
      </w:pPr>
      <w:r w:rsidRPr="00FA0D37">
        <w:t xml:space="preserve">CellsToAddModList ::=               </w:t>
      </w:r>
      <w:r w:rsidRPr="00FA0D37">
        <w:rPr>
          <w:color w:val="993366"/>
        </w:rPr>
        <w:t>SEQUENCE</w:t>
      </w:r>
      <w:r w:rsidRPr="00FA0D37">
        <w:t xml:space="preserve"> (</w:t>
      </w:r>
      <w:r w:rsidRPr="00FA0D37">
        <w:rPr>
          <w:color w:val="993366"/>
        </w:rPr>
        <w:t>SIZE</w:t>
      </w:r>
      <w:r w:rsidRPr="00FA0D37">
        <w:t xml:space="preserve"> (1..maxNrofCellMeas))</w:t>
      </w:r>
      <w:r w:rsidRPr="00FA0D37">
        <w:rPr>
          <w:color w:val="993366"/>
        </w:rPr>
        <w:t xml:space="preserve"> OF</w:t>
      </w:r>
      <w:r w:rsidRPr="00FA0D37">
        <w:t xml:space="preserve"> CellsToAddMod</w:t>
      </w:r>
    </w:p>
    <w:p w14:paraId="4718A97B" w14:textId="36D4FB1B" w:rsidR="00394471" w:rsidRPr="00FA0D37" w:rsidRDefault="00394471" w:rsidP="00FA0D37">
      <w:pPr>
        <w:pStyle w:val="PL"/>
      </w:pPr>
    </w:p>
    <w:p w14:paraId="23B21B51" w14:textId="7FA8D4D3" w:rsidR="00771058" w:rsidRPr="00FA0D37" w:rsidRDefault="00771058" w:rsidP="00FA0D37">
      <w:pPr>
        <w:pStyle w:val="PL"/>
      </w:pPr>
      <w:r w:rsidRPr="00FA0D37">
        <w:t xml:space="preserve">CellsToAddModListExt-v1710 ::=      </w:t>
      </w:r>
      <w:r w:rsidRPr="00FA0D37">
        <w:rPr>
          <w:color w:val="993366"/>
        </w:rPr>
        <w:t>SEQUENCE</w:t>
      </w:r>
      <w:r w:rsidRPr="00FA0D37">
        <w:t xml:space="preserve"> (</w:t>
      </w:r>
      <w:r w:rsidRPr="00FA0D37">
        <w:rPr>
          <w:color w:val="993366"/>
        </w:rPr>
        <w:t>SIZE</w:t>
      </w:r>
      <w:r w:rsidRPr="00FA0D37">
        <w:t xml:space="preserve"> (1..maxNrofCellMeas))</w:t>
      </w:r>
      <w:r w:rsidRPr="00FA0D37">
        <w:rPr>
          <w:color w:val="993366"/>
        </w:rPr>
        <w:t xml:space="preserve"> OF</w:t>
      </w:r>
      <w:r w:rsidRPr="00FA0D37">
        <w:t xml:space="preserve"> CellsToAddModExt-v1710</w:t>
      </w:r>
    </w:p>
    <w:p w14:paraId="7211FD74" w14:textId="77777777" w:rsidR="00771058" w:rsidRPr="00FA0D37" w:rsidRDefault="00771058" w:rsidP="00FA0D37">
      <w:pPr>
        <w:pStyle w:val="PL"/>
      </w:pPr>
    </w:p>
    <w:p w14:paraId="182AB0BF" w14:textId="77777777" w:rsidR="00394471" w:rsidRPr="00FA0D37" w:rsidRDefault="00394471" w:rsidP="00FA0D37">
      <w:pPr>
        <w:pStyle w:val="PL"/>
      </w:pPr>
      <w:r w:rsidRPr="00FA0D37">
        <w:t xml:space="preserve">CellsToAddMod ::=                   </w:t>
      </w:r>
      <w:r w:rsidRPr="00FA0D37">
        <w:rPr>
          <w:color w:val="993366"/>
        </w:rPr>
        <w:t>SEQUENCE</w:t>
      </w:r>
      <w:r w:rsidRPr="00FA0D37">
        <w:t xml:space="preserve"> {</w:t>
      </w:r>
    </w:p>
    <w:p w14:paraId="38CB59CB" w14:textId="77777777" w:rsidR="00394471" w:rsidRPr="00FA0D37" w:rsidRDefault="00394471" w:rsidP="00FA0D37">
      <w:pPr>
        <w:pStyle w:val="PL"/>
      </w:pPr>
      <w:r w:rsidRPr="00FA0D37">
        <w:t xml:space="preserve">    physCellId                          PhysCellId,</w:t>
      </w:r>
    </w:p>
    <w:p w14:paraId="6C408262" w14:textId="77777777" w:rsidR="00394471" w:rsidRPr="00FA0D37" w:rsidRDefault="00394471" w:rsidP="00FA0D37">
      <w:pPr>
        <w:pStyle w:val="PL"/>
      </w:pPr>
      <w:r w:rsidRPr="00FA0D37">
        <w:t xml:space="preserve">    cellIndividualOffset                Q-OffsetRangeList</w:t>
      </w:r>
    </w:p>
    <w:p w14:paraId="01D6C7F1" w14:textId="77777777" w:rsidR="00394471" w:rsidRPr="00FA0D37" w:rsidRDefault="00394471" w:rsidP="00FA0D37">
      <w:pPr>
        <w:pStyle w:val="PL"/>
      </w:pPr>
      <w:r w:rsidRPr="00FA0D37">
        <w:t>}</w:t>
      </w:r>
    </w:p>
    <w:p w14:paraId="5487A6E9" w14:textId="77777777" w:rsidR="00771058" w:rsidRPr="00FA0D37" w:rsidRDefault="00771058" w:rsidP="00FA0D37">
      <w:pPr>
        <w:pStyle w:val="PL"/>
      </w:pPr>
    </w:p>
    <w:p w14:paraId="731B27C3" w14:textId="4439B624" w:rsidR="00771058" w:rsidRPr="00FA0D37" w:rsidRDefault="00771058" w:rsidP="00FA0D37">
      <w:pPr>
        <w:pStyle w:val="PL"/>
      </w:pPr>
      <w:r w:rsidRPr="00FA0D37">
        <w:t xml:space="preserve">CellsToAddModExt-v1710 ::=          </w:t>
      </w:r>
      <w:r w:rsidRPr="00FA0D37">
        <w:rPr>
          <w:color w:val="993366"/>
        </w:rPr>
        <w:t>SEQUENCE</w:t>
      </w:r>
      <w:r w:rsidRPr="00FA0D37">
        <w:t xml:space="preserve"> {</w:t>
      </w:r>
    </w:p>
    <w:p w14:paraId="73D14BFD" w14:textId="556A81A0" w:rsidR="00771058" w:rsidRPr="00FA0D37" w:rsidRDefault="00771058" w:rsidP="00FA0D37">
      <w:pPr>
        <w:pStyle w:val="PL"/>
        <w:rPr>
          <w:color w:val="808080"/>
        </w:rPr>
      </w:pPr>
      <w:r w:rsidRPr="00FA0D37">
        <w:t xml:space="preserve">    ntn-PolarizationDL-r17              </w:t>
      </w:r>
      <w:r w:rsidRPr="00FA0D37">
        <w:rPr>
          <w:color w:val="993366"/>
        </w:rPr>
        <w:t>ENUMERATED</w:t>
      </w:r>
      <w:r w:rsidRPr="00FA0D37">
        <w:t xml:space="preserve"> {rhcp,lhcp,linear}                                   </w:t>
      </w:r>
      <w:r w:rsidRPr="00FA0D37">
        <w:rPr>
          <w:color w:val="993366"/>
        </w:rPr>
        <w:t>OPTIONAL</w:t>
      </w:r>
      <w:r w:rsidRPr="00FA0D37">
        <w:t xml:space="preserve">,  </w:t>
      </w:r>
      <w:r w:rsidRPr="00FA0D37">
        <w:rPr>
          <w:color w:val="808080"/>
        </w:rPr>
        <w:t>-- Need R</w:t>
      </w:r>
    </w:p>
    <w:p w14:paraId="3F5D1555" w14:textId="7F8FD802" w:rsidR="00771058" w:rsidRPr="00FA0D37" w:rsidRDefault="00771058" w:rsidP="00FA0D37">
      <w:pPr>
        <w:pStyle w:val="PL"/>
        <w:rPr>
          <w:color w:val="808080"/>
        </w:rPr>
      </w:pPr>
      <w:r w:rsidRPr="00FA0D37">
        <w:t xml:space="preserve">    ntn-PolarizationUL-r17              </w:t>
      </w:r>
      <w:r w:rsidRPr="00FA0D37">
        <w:rPr>
          <w:color w:val="993366"/>
        </w:rPr>
        <w:t>ENUMERATED</w:t>
      </w:r>
      <w:r w:rsidRPr="00FA0D37">
        <w:t xml:space="preserve"> {rhcp,lhcp,linear}                                   </w:t>
      </w:r>
      <w:r w:rsidRPr="00FA0D37">
        <w:rPr>
          <w:color w:val="993366"/>
        </w:rPr>
        <w:t>OPTIONAL</w:t>
      </w:r>
      <w:r w:rsidRPr="00FA0D37">
        <w:t xml:space="preserve">   </w:t>
      </w:r>
      <w:r w:rsidRPr="00FA0D37">
        <w:rPr>
          <w:color w:val="808080"/>
        </w:rPr>
        <w:t>-- Need R</w:t>
      </w:r>
    </w:p>
    <w:p w14:paraId="27C1100A" w14:textId="00BFC569" w:rsidR="00394471" w:rsidRPr="00FA0D37" w:rsidRDefault="00771058" w:rsidP="00FA0D37">
      <w:pPr>
        <w:pStyle w:val="PL"/>
      </w:pPr>
      <w:r w:rsidRPr="00FA0D37">
        <w:t>}</w:t>
      </w:r>
    </w:p>
    <w:p w14:paraId="43D84B04" w14:textId="77777777" w:rsidR="00771058" w:rsidRPr="00FA0D37" w:rsidRDefault="00771058" w:rsidP="00FA0D37">
      <w:pPr>
        <w:pStyle w:val="PL"/>
      </w:pPr>
    </w:p>
    <w:p w14:paraId="34911EE9" w14:textId="77777777" w:rsidR="00394471" w:rsidRPr="00FA0D37" w:rsidRDefault="00394471" w:rsidP="00FA0D37">
      <w:pPr>
        <w:pStyle w:val="PL"/>
      </w:pPr>
      <w:r w:rsidRPr="00FA0D37">
        <w:t xml:space="preserve">RMTC-Config-r16 ::=                 </w:t>
      </w:r>
      <w:r w:rsidRPr="00FA0D37">
        <w:rPr>
          <w:color w:val="993366"/>
        </w:rPr>
        <w:t>SEQUENCE</w:t>
      </w:r>
      <w:r w:rsidRPr="00FA0D37">
        <w:t xml:space="preserve"> {</w:t>
      </w:r>
    </w:p>
    <w:p w14:paraId="3E5BA1DE" w14:textId="77777777" w:rsidR="00394471" w:rsidRPr="00FA0D37" w:rsidRDefault="00394471" w:rsidP="00FA0D37">
      <w:pPr>
        <w:pStyle w:val="PL"/>
      </w:pPr>
      <w:r w:rsidRPr="00FA0D37">
        <w:t xml:space="preserve">    rmtc-Periodicity-r16                </w:t>
      </w:r>
      <w:r w:rsidRPr="00FA0D37">
        <w:rPr>
          <w:color w:val="993366"/>
        </w:rPr>
        <w:t>ENUMERATED</w:t>
      </w:r>
      <w:r w:rsidRPr="00FA0D37">
        <w:t xml:space="preserve"> {ms40, ms80, ms160, ms320, ms640},</w:t>
      </w:r>
    </w:p>
    <w:p w14:paraId="5C5D9797" w14:textId="77777777" w:rsidR="00394471" w:rsidRPr="00FA0D37" w:rsidRDefault="00394471" w:rsidP="00FA0D37">
      <w:pPr>
        <w:pStyle w:val="PL"/>
        <w:rPr>
          <w:color w:val="808080"/>
        </w:rPr>
      </w:pPr>
      <w:r w:rsidRPr="00FA0D37">
        <w:t xml:space="preserve">    rmtc-SubframeOffset-r16             </w:t>
      </w:r>
      <w:r w:rsidRPr="00FA0D37">
        <w:rPr>
          <w:color w:val="993366"/>
        </w:rPr>
        <w:t>INTEGER</w:t>
      </w:r>
      <w:r w:rsidRPr="00FA0D37">
        <w:t xml:space="preserve">(0..639)                                                 </w:t>
      </w:r>
      <w:r w:rsidRPr="00FA0D37">
        <w:rPr>
          <w:color w:val="993366"/>
        </w:rPr>
        <w:t>OPTIONAL</w:t>
      </w:r>
      <w:r w:rsidRPr="00FA0D37">
        <w:t xml:space="preserve">,   </w:t>
      </w:r>
      <w:r w:rsidRPr="00FA0D37">
        <w:rPr>
          <w:color w:val="808080"/>
        </w:rPr>
        <w:t>-- Need M</w:t>
      </w:r>
    </w:p>
    <w:p w14:paraId="0D8D62CF" w14:textId="77777777" w:rsidR="00394471" w:rsidRPr="00FA0D37" w:rsidRDefault="00394471" w:rsidP="00FA0D37">
      <w:pPr>
        <w:pStyle w:val="PL"/>
      </w:pPr>
      <w:r w:rsidRPr="00FA0D37">
        <w:t xml:space="preserve">    measDurationSymbols-r16             </w:t>
      </w:r>
      <w:r w:rsidRPr="00FA0D37">
        <w:rPr>
          <w:color w:val="993366"/>
        </w:rPr>
        <w:t>ENUMERATED</w:t>
      </w:r>
      <w:r w:rsidRPr="00FA0D37">
        <w:t xml:space="preserve"> {sym1, sym14or12, sym28or24, sym42or36, sym70or60},</w:t>
      </w:r>
    </w:p>
    <w:p w14:paraId="041468B5" w14:textId="77777777" w:rsidR="00394471" w:rsidRPr="00FA0D37" w:rsidRDefault="00394471" w:rsidP="00FA0D37">
      <w:pPr>
        <w:pStyle w:val="PL"/>
      </w:pPr>
      <w:r w:rsidRPr="00FA0D37">
        <w:t xml:space="preserve">    rmtc-Frequency-r16                  ARFCN-ValueNR,</w:t>
      </w:r>
    </w:p>
    <w:p w14:paraId="1E01A280" w14:textId="77777777" w:rsidR="00394471" w:rsidRPr="00FA0D37" w:rsidRDefault="00394471" w:rsidP="00FA0D37">
      <w:pPr>
        <w:pStyle w:val="PL"/>
      </w:pPr>
      <w:r w:rsidRPr="00FA0D37">
        <w:t xml:space="preserve">    ref-SCS-CP-r16                      </w:t>
      </w:r>
      <w:r w:rsidRPr="00FA0D37">
        <w:rPr>
          <w:color w:val="993366"/>
        </w:rPr>
        <w:t>ENUMERATED</w:t>
      </w:r>
      <w:r w:rsidRPr="00FA0D37">
        <w:t xml:space="preserve"> {kHz15, kHz30, kHz60-NCP, kHz60-ECP},</w:t>
      </w:r>
    </w:p>
    <w:p w14:paraId="23BB8714" w14:textId="76E5F652" w:rsidR="006C501F" w:rsidRPr="00FA0D37" w:rsidRDefault="00394471" w:rsidP="00FA0D37">
      <w:pPr>
        <w:pStyle w:val="PL"/>
      </w:pPr>
      <w:r w:rsidRPr="00FA0D37">
        <w:t xml:space="preserve">    ...</w:t>
      </w:r>
      <w:r w:rsidR="006C501F" w:rsidRPr="00FA0D37">
        <w:t>,</w:t>
      </w:r>
    </w:p>
    <w:p w14:paraId="6C39D5F1" w14:textId="77777777" w:rsidR="006C501F" w:rsidRPr="00FA0D37" w:rsidRDefault="006C501F" w:rsidP="00FA0D37">
      <w:pPr>
        <w:pStyle w:val="PL"/>
      </w:pPr>
      <w:r w:rsidRPr="00FA0D37">
        <w:t xml:space="preserve">    [[</w:t>
      </w:r>
    </w:p>
    <w:p w14:paraId="01D169ED" w14:textId="2B086F62" w:rsidR="006C501F" w:rsidRPr="00FA0D37" w:rsidRDefault="006C501F" w:rsidP="00FA0D37">
      <w:pPr>
        <w:pStyle w:val="PL"/>
        <w:rPr>
          <w:color w:val="808080"/>
        </w:rPr>
      </w:pPr>
      <w:r w:rsidRPr="00FA0D37">
        <w:t xml:space="preserve">    rmtc-Bandwidth-r17                  </w:t>
      </w:r>
      <w:r w:rsidRPr="00FA0D37">
        <w:rPr>
          <w:color w:val="993366"/>
        </w:rPr>
        <w:t>ENUMERATED</w:t>
      </w:r>
      <w:r w:rsidRPr="00FA0D37">
        <w:t xml:space="preserve"> {mhz100, mhz400, mhz800, mhz1600, mhz2000}           </w:t>
      </w:r>
      <w:r w:rsidRPr="00FA0D37">
        <w:rPr>
          <w:color w:val="993366"/>
        </w:rPr>
        <w:t>OPTIONAL</w:t>
      </w:r>
      <w:r w:rsidRPr="00FA0D37">
        <w:t xml:space="preserve">,   </w:t>
      </w:r>
      <w:r w:rsidRPr="00FA0D37">
        <w:rPr>
          <w:color w:val="808080"/>
        </w:rPr>
        <w:t>-- Need R</w:t>
      </w:r>
    </w:p>
    <w:p w14:paraId="59D967D0" w14:textId="4A7E3F07" w:rsidR="006C501F" w:rsidRPr="00FA0D37" w:rsidRDefault="006C501F" w:rsidP="00FA0D37">
      <w:pPr>
        <w:pStyle w:val="PL"/>
        <w:rPr>
          <w:color w:val="808080"/>
        </w:rPr>
      </w:pPr>
      <w:r w:rsidRPr="00FA0D37">
        <w:t xml:space="preserve">    measDurationSymbols-v1700           </w:t>
      </w:r>
      <w:r w:rsidRPr="00FA0D37">
        <w:rPr>
          <w:color w:val="993366"/>
        </w:rPr>
        <w:t>ENUMERATED</w:t>
      </w:r>
      <w:r w:rsidRPr="00FA0D37">
        <w:t xml:space="preserve"> {sym140, sym560, sym1120}                            </w:t>
      </w:r>
      <w:r w:rsidRPr="00FA0D37">
        <w:rPr>
          <w:color w:val="993366"/>
        </w:rPr>
        <w:t>OPTIONAL</w:t>
      </w:r>
      <w:r w:rsidRPr="00FA0D37">
        <w:t xml:space="preserve">,   </w:t>
      </w:r>
      <w:r w:rsidRPr="00FA0D37">
        <w:rPr>
          <w:color w:val="808080"/>
        </w:rPr>
        <w:t>-- Need R</w:t>
      </w:r>
    </w:p>
    <w:p w14:paraId="047071AE" w14:textId="5F04F5C7" w:rsidR="006C501F" w:rsidRPr="00FA0D37" w:rsidRDefault="006C501F" w:rsidP="00FA0D37">
      <w:pPr>
        <w:pStyle w:val="PL"/>
        <w:rPr>
          <w:color w:val="808080"/>
        </w:rPr>
      </w:pPr>
      <w:r w:rsidRPr="00FA0D37">
        <w:t xml:space="preserve">    ref-SCS-CP-v1700                    </w:t>
      </w:r>
      <w:r w:rsidRPr="00FA0D37">
        <w:rPr>
          <w:color w:val="993366"/>
        </w:rPr>
        <w:t>ENUMERATED</w:t>
      </w:r>
      <w:r w:rsidRPr="00FA0D37">
        <w:t xml:space="preserve"> {kHz120, kHz480, kHz960}                             </w:t>
      </w:r>
      <w:r w:rsidRPr="00FA0D37">
        <w:rPr>
          <w:color w:val="993366"/>
        </w:rPr>
        <w:t>OPTIONAL</w:t>
      </w:r>
      <w:r w:rsidR="00CF2FD1" w:rsidRPr="00FA0D37">
        <w:t>,</w:t>
      </w:r>
      <w:r w:rsidRPr="00FA0D37">
        <w:t xml:space="preserve">   </w:t>
      </w:r>
      <w:r w:rsidRPr="00FA0D37">
        <w:rPr>
          <w:color w:val="808080"/>
        </w:rPr>
        <w:t>-- Need R</w:t>
      </w:r>
    </w:p>
    <w:p w14:paraId="72456A36" w14:textId="77777777" w:rsidR="00CF2FD1" w:rsidRPr="00FA0D37" w:rsidRDefault="00CF2FD1" w:rsidP="00FA0D37">
      <w:pPr>
        <w:pStyle w:val="PL"/>
      </w:pPr>
      <w:r w:rsidRPr="00FA0D37">
        <w:t xml:space="preserve">    tci-StateInfo-r17               </w:t>
      </w:r>
      <w:r w:rsidRPr="00FA0D37">
        <w:rPr>
          <w:color w:val="993366"/>
        </w:rPr>
        <w:t>SEQUENCE</w:t>
      </w:r>
      <w:r w:rsidRPr="00FA0D37">
        <w:t xml:space="preserve"> {</w:t>
      </w:r>
    </w:p>
    <w:p w14:paraId="6C088297" w14:textId="5C55C2B6" w:rsidR="00CF2FD1" w:rsidRPr="00FA0D37" w:rsidRDefault="00CF2FD1" w:rsidP="00FA0D37">
      <w:pPr>
        <w:pStyle w:val="PL"/>
      </w:pPr>
      <w:r w:rsidRPr="00FA0D37">
        <w:t xml:space="preserve">        tci-StateId</w:t>
      </w:r>
      <w:r w:rsidR="003A2D9D" w:rsidRPr="00FA0D37">
        <w:t>-r17</w:t>
      </w:r>
      <w:r w:rsidRPr="00FA0D37">
        <w:t xml:space="preserve">                  TCI-StateId,</w:t>
      </w:r>
    </w:p>
    <w:p w14:paraId="1D86C721" w14:textId="611B9DC7" w:rsidR="00CF2FD1" w:rsidRPr="00FA0D37" w:rsidRDefault="00CF2FD1" w:rsidP="00FA0D37">
      <w:pPr>
        <w:pStyle w:val="PL"/>
        <w:rPr>
          <w:color w:val="808080"/>
        </w:rPr>
      </w:pPr>
      <w:r w:rsidRPr="00FA0D37">
        <w:t xml:space="preserve">        ref-ServCellId</w:t>
      </w:r>
      <w:r w:rsidR="003A2D9D" w:rsidRPr="00FA0D37">
        <w:t>-r17</w:t>
      </w:r>
      <w:r w:rsidRPr="00FA0D37">
        <w:t xml:space="preserve">               ServCellIndex                                                  </w:t>
      </w:r>
      <w:r w:rsidRPr="00FA0D37">
        <w:rPr>
          <w:color w:val="993366"/>
        </w:rPr>
        <w:t>OPTIONAL</w:t>
      </w:r>
      <w:r w:rsidRPr="00FA0D37">
        <w:t xml:space="preserve">   </w:t>
      </w:r>
      <w:r w:rsidRPr="00FA0D37">
        <w:rPr>
          <w:color w:val="808080"/>
        </w:rPr>
        <w:t>-- Need R</w:t>
      </w:r>
    </w:p>
    <w:p w14:paraId="56920298" w14:textId="77777777" w:rsidR="00CF2FD1" w:rsidRPr="00FA0D37" w:rsidRDefault="00CF2FD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17F2FD1A" w14:textId="60CDA566" w:rsidR="00D50BCB" w:rsidRPr="00FA0D37" w:rsidRDefault="006C501F" w:rsidP="00FA0D37">
      <w:pPr>
        <w:pStyle w:val="PL"/>
      </w:pPr>
      <w:r w:rsidRPr="00FA0D37">
        <w:t xml:space="preserve">    ]]</w:t>
      </w:r>
      <w:r w:rsidR="00D50BCB" w:rsidRPr="00FA0D37">
        <w:t>,</w:t>
      </w:r>
    </w:p>
    <w:p w14:paraId="5FE496C0" w14:textId="77777777" w:rsidR="00D50BCB" w:rsidRPr="00FA0D37" w:rsidRDefault="00D50BCB" w:rsidP="00FA0D37">
      <w:pPr>
        <w:pStyle w:val="PL"/>
      </w:pPr>
      <w:r w:rsidRPr="00FA0D37">
        <w:t xml:space="preserve">    [[</w:t>
      </w:r>
    </w:p>
    <w:p w14:paraId="5F782874" w14:textId="27564230" w:rsidR="00D50BCB" w:rsidRPr="00FA0D37" w:rsidRDefault="00D50BCB" w:rsidP="00FA0D37">
      <w:pPr>
        <w:pStyle w:val="PL"/>
        <w:rPr>
          <w:color w:val="808080"/>
        </w:rPr>
      </w:pPr>
      <w:r w:rsidRPr="00FA0D37">
        <w:t xml:space="preserve">    ref-BWPId-r17                   BWP-Id                                                              </w:t>
      </w:r>
      <w:r w:rsidRPr="00FA0D37">
        <w:rPr>
          <w:color w:val="993366"/>
        </w:rPr>
        <w:t>OPTIONAL</w:t>
      </w:r>
      <w:r w:rsidRPr="00FA0D37">
        <w:t xml:space="preserve">   </w:t>
      </w:r>
      <w:r w:rsidRPr="00FA0D37">
        <w:rPr>
          <w:color w:val="808080"/>
        </w:rPr>
        <w:t>-- Need R</w:t>
      </w:r>
    </w:p>
    <w:p w14:paraId="3FC3CB90" w14:textId="1FB4C8C7" w:rsidR="00394471" w:rsidRPr="00FA0D37" w:rsidRDefault="00D50BCB" w:rsidP="00FA0D37">
      <w:pPr>
        <w:pStyle w:val="PL"/>
      </w:pPr>
      <w:r w:rsidRPr="00FA0D37">
        <w:t xml:space="preserve">    ]]</w:t>
      </w:r>
    </w:p>
    <w:p w14:paraId="55651C97" w14:textId="77777777" w:rsidR="00394471" w:rsidRPr="00FA0D37" w:rsidRDefault="00394471" w:rsidP="00FA0D37">
      <w:pPr>
        <w:pStyle w:val="PL"/>
      </w:pPr>
      <w:r w:rsidRPr="00FA0D37">
        <w:t>}</w:t>
      </w:r>
    </w:p>
    <w:p w14:paraId="2306BF6C" w14:textId="77777777" w:rsidR="00394471" w:rsidRPr="00FA0D37" w:rsidRDefault="00394471" w:rsidP="00FA0D37">
      <w:pPr>
        <w:pStyle w:val="PL"/>
      </w:pPr>
    </w:p>
    <w:p w14:paraId="54EA61A8" w14:textId="77777777" w:rsidR="00394471" w:rsidRPr="00FA0D37" w:rsidRDefault="00394471" w:rsidP="00FA0D37">
      <w:pPr>
        <w:pStyle w:val="PL"/>
      </w:pPr>
      <w:r w:rsidRPr="00FA0D37">
        <w:t xml:space="preserve">SSB-PositionQCL-CellsToAddModList-r16 ::= </w:t>
      </w:r>
      <w:r w:rsidRPr="00FA0D37">
        <w:rPr>
          <w:color w:val="993366"/>
        </w:rPr>
        <w:t>SEQUENCE</w:t>
      </w:r>
      <w:r w:rsidRPr="00FA0D37">
        <w:t xml:space="preserve"> (</w:t>
      </w:r>
      <w:r w:rsidRPr="00FA0D37">
        <w:rPr>
          <w:color w:val="993366"/>
        </w:rPr>
        <w:t>SIZE</w:t>
      </w:r>
      <w:r w:rsidRPr="00FA0D37">
        <w:t xml:space="preserve"> (1..maxNrofCellMeas))</w:t>
      </w:r>
      <w:r w:rsidRPr="00FA0D37">
        <w:rPr>
          <w:color w:val="993366"/>
        </w:rPr>
        <w:t xml:space="preserve"> OF</w:t>
      </w:r>
      <w:r w:rsidRPr="00FA0D37">
        <w:t xml:space="preserve"> SSB-PositionQCL-CellsToAddMod-r16</w:t>
      </w:r>
    </w:p>
    <w:p w14:paraId="3EB1588D" w14:textId="77777777" w:rsidR="00394471" w:rsidRPr="00FA0D37" w:rsidRDefault="00394471" w:rsidP="00FA0D37">
      <w:pPr>
        <w:pStyle w:val="PL"/>
      </w:pPr>
    </w:p>
    <w:p w14:paraId="349EEFFE" w14:textId="77777777" w:rsidR="00394471" w:rsidRPr="00FA0D37" w:rsidRDefault="00394471" w:rsidP="00FA0D37">
      <w:pPr>
        <w:pStyle w:val="PL"/>
      </w:pPr>
      <w:r w:rsidRPr="00FA0D37">
        <w:t xml:space="preserve">SSB-PositionQCL-CellsToAddMod-r16 ::= </w:t>
      </w:r>
      <w:r w:rsidRPr="00FA0D37">
        <w:rPr>
          <w:color w:val="993366"/>
        </w:rPr>
        <w:t>SEQUENCE</w:t>
      </w:r>
      <w:r w:rsidRPr="00FA0D37">
        <w:t xml:space="preserve"> {</w:t>
      </w:r>
    </w:p>
    <w:p w14:paraId="5069A3C9" w14:textId="77777777" w:rsidR="00394471" w:rsidRPr="00FA0D37" w:rsidRDefault="00394471" w:rsidP="00FA0D37">
      <w:pPr>
        <w:pStyle w:val="PL"/>
      </w:pPr>
      <w:r w:rsidRPr="00FA0D37">
        <w:t xml:space="preserve">    physCellId-r16                        PhysCellId,</w:t>
      </w:r>
    </w:p>
    <w:p w14:paraId="7FBD3EEA" w14:textId="77777777" w:rsidR="00394471" w:rsidRPr="00FA0D37" w:rsidRDefault="00394471" w:rsidP="00FA0D37">
      <w:pPr>
        <w:pStyle w:val="PL"/>
      </w:pPr>
      <w:r w:rsidRPr="00FA0D37">
        <w:t xml:space="preserve">    ssb-PositionQCL-r16                   SSB-PositionQCL-Relation-r16</w:t>
      </w:r>
    </w:p>
    <w:p w14:paraId="1A23A29A" w14:textId="7BE64CBE" w:rsidR="00394471" w:rsidRPr="00FA0D37" w:rsidRDefault="00394471" w:rsidP="00FA0D37">
      <w:pPr>
        <w:pStyle w:val="PL"/>
      </w:pPr>
      <w:r w:rsidRPr="00FA0D37">
        <w:t>}</w:t>
      </w:r>
    </w:p>
    <w:p w14:paraId="2F3B91F0" w14:textId="77777777" w:rsidR="00CF2FD1" w:rsidRPr="00FA0D37" w:rsidRDefault="00CF2FD1" w:rsidP="00FA0D37">
      <w:pPr>
        <w:pStyle w:val="PL"/>
      </w:pPr>
    </w:p>
    <w:p w14:paraId="1D3D4506" w14:textId="31F56BF6" w:rsidR="00CF2FD1" w:rsidRPr="00FA0D37" w:rsidRDefault="00CF2FD1" w:rsidP="00FA0D37">
      <w:pPr>
        <w:pStyle w:val="PL"/>
      </w:pPr>
      <w:r w:rsidRPr="00FA0D37">
        <w:t xml:space="preserve">SSB-PositionQCL-CellList-r17 ::= </w:t>
      </w:r>
      <w:r w:rsidRPr="00FA0D37">
        <w:rPr>
          <w:color w:val="993366"/>
        </w:rPr>
        <w:t>SEQUENCE</w:t>
      </w:r>
      <w:r w:rsidRPr="00FA0D37">
        <w:t xml:space="preserve"> (</w:t>
      </w:r>
      <w:r w:rsidRPr="00FA0D37">
        <w:rPr>
          <w:color w:val="993366"/>
        </w:rPr>
        <w:t>SIZE</w:t>
      </w:r>
      <w:r w:rsidRPr="00FA0D37">
        <w:t xml:space="preserve"> (1..maxNrofCellMeas))</w:t>
      </w:r>
      <w:r w:rsidRPr="00FA0D37">
        <w:rPr>
          <w:color w:val="993366"/>
        </w:rPr>
        <w:t xml:space="preserve"> OF</w:t>
      </w:r>
      <w:r w:rsidRPr="00FA0D37">
        <w:t xml:space="preserve"> SSB-PositionQCL-Cell-r17</w:t>
      </w:r>
    </w:p>
    <w:p w14:paraId="528DB691" w14:textId="77777777" w:rsidR="00CF2FD1" w:rsidRPr="00FA0D37" w:rsidRDefault="00CF2FD1" w:rsidP="00FA0D37">
      <w:pPr>
        <w:pStyle w:val="PL"/>
      </w:pPr>
    </w:p>
    <w:p w14:paraId="21A1CC24" w14:textId="77777777" w:rsidR="00CF2FD1" w:rsidRPr="00FA0D37" w:rsidRDefault="00CF2FD1" w:rsidP="00FA0D37">
      <w:pPr>
        <w:pStyle w:val="PL"/>
      </w:pPr>
      <w:r w:rsidRPr="00FA0D37">
        <w:t xml:space="preserve">SSB-PositionQCL-Cell-r17         ::= </w:t>
      </w:r>
      <w:r w:rsidRPr="00FA0D37">
        <w:rPr>
          <w:color w:val="993366"/>
        </w:rPr>
        <w:t>SEQUENCE</w:t>
      </w:r>
      <w:r w:rsidRPr="00FA0D37">
        <w:t xml:space="preserve"> {</w:t>
      </w:r>
    </w:p>
    <w:p w14:paraId="57215765" w14:textId="77777777" w:rsidR="00CF2FD1" w:rsidRPr="00FA0D37" w:rsidRDefault="00CF2FD1" w:rsidP="00FA0D37">
      <w:pPr>
        <w:pStyle w:val="PL"/>
      </w:pPr>
      <w:r w:rsidRPr="00FA0D37">
        <w:t xml:space="preserve">    physCellId-r17                        PhysCellId,</w:t>
      </w:r>
    </w:p>
    <w:p w14:paraId="3522A11F" w14:textId="77777777" w:rsidR="00CF2FD1" w:rsidRPr="00FA0D37" w:rsidRDefault="00CF2FD1" w:rsidP="00FA0D37">
      <w:pPr>
        <w:pStyle w:val="PL"/>
      </w:pPr>
      <w:r w:rsidRPr="00FA0D37">
        <w:t xml:space="preserve">    ssb-PositionQCL-r17                   SSB-PositionQCL-Relation-r17</w:t>
      </w:r>
    </w:p>
    <w:p w14:paraId="02F90EB8" w14:textId="77777777" w:rsidR="008779EC" w:rsidRPr="00FA0D37" w:rsidRDefault="00CF2FD1" w:rsidP="00FA0D37">
      <w:pPr>
        <w:pStyle w:val="PL"/>
      </w:pPr>
      <w:r w:rsidRPr="00FA0D37">
        <w:t>}</w:t>
      </w:r>
    </w:p>
    <w:p w14:paraId="6421B0B4" w14:textId="77777777" w:rsidR="00394471" w:rsidRPr="00FA0D37" w:rsidRDefault="00394471" w:rsidP="00FA0D37">
      <w:pPr>
        <w:pStyle w:val="PL"/>
      </w:pPr>
    </w:p>
    <w:p w14:paraId="7B84E385" w14:textId="77777777" w:rsidR="00394471" w:rsidRPr="00FA0D37" w:rsidRDefault="00394471" w:rsidP="00FA0D37">
      <w:pPr>
        <w:pStyle w:val="PL"/>
        <w:rPr>
          <w:color w:val="808080"/>
        </w:rPr>
      </w:pPr>
      <w:r w:rsidRPr="00FA0D37">
        <w:rPr>
          <w:color w:val="808080"/>
        </w:rPr>
        <w:t>-- TAG-MEASOBJECTNR-STOP</w:t>
      </w:r>
    </w:p>
    <w:p w14:paraId="3419685E" w14:textId="77777777" w:rsidR="00394471" w:rsidRPr="00FA0D37" w:rsidRDefault="00394471" w:rsidP="00FA0D37">
      <w:pPr>
        <w:pStyle w:val="PL"/>
        <w:rPr>
          <w:color w:val="808080"/>
        </w:rPr>
      </w:pPr>
      <w:r w:rsidRPr="00FA0D37">
        <w:rPr>
          <w:color w:val="808080"/>
        </w:rPr>
        <w:t>-- ASN1STOP</w:t>
      </w:r>
    </w:p>
    <w:p w14:paraId="5FCC30DD" w14:textId="77777777" w:rsidR="00850B30" w:rsidRPr="00FA0D37"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FA0D37" w:rsidRDefault="00394471" w:rsidP="00964CC4">
            <w:pPr>
              <w:pStyle w:val="TAH"/>
              <w:rPr>
                <w:szCs w:val="22"/>
                <w:lang w:eastAsia="sv-SE"/>
              </w:rPr>
            </w:pPr>
            <w:r w:rsidRPr="00FA0D37">
              <w:rPr>
                <w:i/>
                <w:szCs w:val="22"/>
                <w:lang w:eastAsia="sv-SE"/>
              </w:rPr>
              <w:lastRenderedPageBreak/>
              <w:t xml:space="preserve">CellsToAddMod </w:t>
            </w:r>
            <w:r w:rsidRPr="00FA0D37">
              <w:rPr>
                <w:szCs w:val="22"/>
                <w:lang w:eastAsia="sv-SE"/>
              </w:rPr>
              <w:t>field descriptions</w:t>
            </w:r>
          </w:p>
        </w:tc>
      </w:tr>
      <w:tr w:rsidR="005C7FF4" w:rsidRPr="00FA0D37"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FA0D37" w:rsidRDefault="00394471" w:rsidP="00964CC4">
            <w:pPr>
              <w:pStyle w:val="TAL"/>
              <w:rPr>
                <w:b/>
                <w:i/>
                <w:szCs w:val="22"/>
                <w:lang w:eastAsia="sv-SE"/>
              </w:rPr>
            </w:pPr>
            <w:r w:rsidRPr="00FA0D37">
              <w:rPr>
                <w:b/>
                <w:i/>
                <w:szCs w:val="22"/>
                <w:lang w:eastAsia="sv-SE"/>
              </w:rPr>
              <w:t>cellIndividualOffset</w:t>
            </w:r>
          </w:p>
          <w:p w14:paraId="4AA162F2" w14:textId="77777777" w:rsidR="00394471" w:rsidRPr="00FA0D37" w:rsidRDefault="00394471" w:rsidP="00964CC4">
            <w:pPr>
              <w:pStyle w:val="TAL"/>
              <w:rPr>
                <w:szCs w:val="22"/>
                <w:lang w:eastAsia="sv-SE"/>
              </w:rPr>
            </w:pPr>
            <w:r w:rsidRPr="00FA0D37">
              <w:rPr>
                <w:szCs w:val="22"/>
                <w:lang w:eastAsia="sv-SE"/>
              </w:rPr>
              <w:t>Cell individual offsets applicable to a specific cell.</w:t>
            </w:r>
          </w:p>
        </w:tc>
      </w:tr>
      <w:tr w:rsidR="00394471" w:rsidRPr="00FA0D37"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FA0D37" w:rsidRDefault="00394471" w:rsidP="00964CC4">
            <w:pPr>
              <w:pStyle w:val="TAL"/>
              <w:rPr>
                <w:b/>
                <w:i/>
                <w:iCs/>
                <w:szCs w:val="22"/>
                <w:lang w:eastAsia="en-GB"/>
              </w:rPr>
            </w:pPr>
            <w:r w:rsidRPr="00FA0D37">
              <w:rPr>
                <w:b/>
                <w:i/>
                <w:iCs/>
                <w:szCs w:val="22"/>
                <w:lang w:eastAsia="en-GB"/>
              </w:rPr>
              <w:t>physCellId</w:t>
            </w:r>
          </w:p>
          <w:p w14:paraId="6EC29E4F" w14:textId="77777777" w:rsidR="00394471" w:rsidRPr="00FA0D37" w:rsidRDefault="00394471" w:rsidP="00964CC4">
            <w:pPr>
              <w:pStyle w:val="TAL"/>
              <w:rPr>
                <w:b/>
                <w:i/>
                <w:szCs w:val="22"/>
                <w:lang w:eastAsia="sv-SE"/>
              </w:rPr>
            </w:pPr>
            <w:r w:rsidRPr="00FA0D37">
              <w:rPr>
                <w:szCs w:val="22"/>
                <w:lang w:eastAsia="en-GB"/>
              </w:rPr>
              <w:t>Physical cell identity of a cell in the cell list.</w:t>
            </w:r>
          </w:p>
        </w:tc>
      </w:tr>
    </w:tbl>
    <w:p w14:paraId="25DE302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7A71B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FA0D37" w:rsidRDefault="00394471" w:rsidP="00964CC4">
            <w:pPr>
              <w:pStyle w:val="TAH"/>
              <w:rPr>
                <w:szCs w:val="22"/>
                <w:lang w:eastAsia="sv-SE"/>
              </w:rPr>
            </w:pPr>
            <w:r w:rsidRPr="00FA0D37">
              <w:rPr>
                <w:i/>
                <w:szCs w:val="22"/>
                <w:lang w:eastAsia="sv-SE"/>
              </w:rPr>
              <w:lastRenderedPageBreak/>
              <w:t xml:space="preserve">MeasObjectNR </w:t>
            </w:r>
            <w:r w:rsidRPr="00FA0D37">
              <w:rPr>
                <w:szCs w:val="22"/>
                <w:lang w:eastAsia="sv-SE"/>
              </w:rPr>
              <w:t>field descriptions</w:t>
            </w:r>
          </w:p>
        </w:tc>
      </w:tr>
      <w:tr w:rsidR="005C7FF4" w:rsidRPr="00FA0D37" w14:paraId="74152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FA0D37" w:rsidRDefault="00394471" w:rsidP="00964CC4">
            <w:pPr>
              <w:pStyle w:val="TAL"/>
              <w:rPr>
                <w:rFonts w:cs="Arial"/>
                <w:b/>
                <w:i/>
                <w:iCs/>
                <w:szCs w:val="18"/>
                <w:lang w:eastAsia="sv-SE"/>
              </w:rPr>
            </w:pPr>
            <w:r w:rsidRPr="00FA0D37">
              <w:rPr>
                <w:rFonts w:cs="Arial"/>
                <w:b/>
                <w:i/>
                <w:iCs/>
                <w:szCs w:val="18"/>
                <w:lang w:eastAsia="sv-SE"/>
              </w:rPr>
              <w:t>absThreshCSI-RS-Consolidation</w:t>
            </w:r>
          </w:p>
          <w:p w14:paraId="2502B637" w14:textId="77777777" w:rsidR="00394471" w:rsidRPr="00FA0D37" w:rsidRDefault="00394471" w:rsidP="00964CC4">
            <w:pPr>
              <w:pStyle w:val="TAL"/>
              <w:rPr>
                <w:szCs w:val="22"/>
                <w:lang w:eastAsia="sv-SE"/>
              </w:rPr>
            </w:pPr>
            <w:r w:rsidRPr="00FA0D37">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5C7FF4" w:rsidRPr="00FA0D37" w14:paraId="349BB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FA0D37" w:rsidRDefault="00394471" w:rsidP="00964CC4">
            <w:pPr>
              <w:pStyle w:val="TAL"/>
              <w:rPr>
                <w:rFonts w:cs="Arial"/>
                <w:b/>
                <w:i/>
                <w:iCs/>
                <w:szCs w:val="18"/>
                <w:lang w:eastAsia="sv-SE"/>
              </w:rPr>
            </w:pPr>
            <w:r w:rsidRPr="00FA0D37">
              <w:rPr>
                <w:rFonts w:cs="Arial"/>
                <w:b/>
                <w:i/>
                <w:iCs/>
                <w:szCs w:val="18"/>
                <w:lang w:eastAsia="sv-SE"/>
              </w:rPr>
              <w:t>absThreshSS-BlocksConsolidation</w:t>
            </w:r>
          </w:p>
          <w:p w14:paraId="31DE34C8" w14:textId="77777777" w:rsidR="00394471" w:rsidRPr="00FA0D37" w:rsidRDefault="00394471" w:rsidP="00964CC4">
            <w:pPr>
              <w:pStyle w:val="TAL"/>
              <w:rPr>
                <w:rFonts w:cs="Arial"/>
                <w:b/>
                <w:i/>
                <w:iCs/>
                <w:szCs w:val="18"/>
                <w:lang w:eastAsia="sv-SE"/>
              </w:rPr>
            </w:pPr>
            <w:r w:rsidRPr="00FA0D37">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5C7FF4" w:rsidRPr="00FA0D37" w14:paraId="19674272" w14:textId="77777777" w:rsidTr="00771058">
        <w:tc>
          <w:tcPr>
            <w:tcW w:w="14173" w:type="dxa"/>
            <w:tcBorders>
              <w:top w:val="single" w:sz="4" w:space="0" w:color="auto"/>
              <w:left w:val="single" w:sz="4" w:space="0" w:color="auto"/>
              <w:bottom w:val="single" w:sz="4" w:space="0" w:color="auto"/>
              <w:right w:val="single" w:sz="4" w:space="0" w:color="auto"/>
            </w:tcBorders>
          </w:tcPr>
          <w:p w14:paraId="22F29BB6" w14:textId="77777777" w:rsidR="005B6C6E" w:rsidRPr="00FA0D37" w:rsidRDefault="005B6C6E" w:rsidP="00771058">
            <w:pPr>
              <w:pStyle w:val="TAL"/>
              <w:rPr>
                <w:b/>
                <w:i/>
                <w:szCs w:val="22"/>
                <w:lang w:eastAsia="sv-SE"/>
              </w:rPr>
            </w:pPr>
            <w:r w:rsidRPr="00FA0D37">
              <w:rPr>
                <w:b/>
                <w:i/>
                <w:szCs w:val="22"/>
                <w:lang w:eastAsia="sv-SE"/>
              </w:rPr>
              <w:t>allowedCellsToAddModList</w:t>
            </w:r>
          </w:p>
          <w:p w14:paraId="504C47B1" w14:textId="77777777" w:rsidR="005B6C6E" w:rsidRPr="00FA0D37" w:rsidRDefault="005B6C6E" w:rsidP="00771058">
            <w:pPr>
              <w:pStyle w:val="TAL"/>
              <w:rPr>
                <w:rFonts w:cs="Arial"/>
                <w:b/>
                <w:i/>
                <w:iCs/>
                <w:szCs w:val="18"/>
                <w:lang w:eastAsia="sv-SE"/>
              </w:rPr>
            </w:pPr>
            <w:r w:rsidRPr="00FA0D37">
              <w:rPr>
                <w:szCs w:val="22"/>
                <w:lang w:eastAsia="sv-SE"/>
              </w:rPr>
              <w:t>List of cells to add/modify in the allow-list of cells.</w:t>
            </w:r>
            <w:r w:rsidRPr="00FA0D37">
              <w:rPr>
                <w:lang w:eastAsia="sv-SE"/>
              </w:rPr>
              <w:t xml:space="preserve"> </w:t>
            </w:r>
            <w:r w:rsidRPr="00FA0D37">
              <w:rPr>
                <w:szCs w:val="22"/>
                <w:lang w:eastAsia="sv-SE"/>
              </w:rPr>
              <w:t>It applies only to SSB resources.</w:t>
            </w:r>
          </w:p>
        </w:tc>
      </w:tr>
      <w:tr w:rsidR="005C7FF4" w:rsidRPr="00FA0D37" w14:paraId="2F46A25D" w14:textId="77777777" w:rsidTr="00771058">
        <w:tc>
          <w:tcPr>
            <w:tcW w:w="14173" w:type="dxa"/>
            <w:tcBorders>
              <w:top w:val="single" w:sz="4" w:space="0" w:color="auto"/>
              <w:left w:val="single" w:sz="4" w:space="0" w:color="auto"/>
              <w:bottom w:val="single" w:sz="4" w:space="0" w:color="auto"/>
              <w:right w:val="single" w:sz="4" w:space="0" w:color="auto"/>
            </w:tcBorders>
          </w:tcPr>
          <w:p w14:paraId="296CCD88" w14:textId="77777777" w:rsidR="005B6C6E" w:rsidRPr="00FA0D37" w:rsidRDefault="005B6C6E" w:rsidP="00771058">
            <w:pPr>
              <w:pStyle w:val="TAL"/>
              <w:rPr>
                <w:b/>
                <w:i/>
                <w:szCs w:val="22"/>
                <w:lang w:eastAsia="en-GB"/>
              </w:rPr>
            </w:pPr>
            <w:r w:rsidRPr="00FA0D37">
              <w:rPr>
                <w:b/>
                <w:i/>
                <w:szCs w:val="22"/>
                <w:lang w:eastAsia="en-GB"/>
              </w:rPr>
              <w:t>allowedCellsToRemoveList</w:t>
            </w:r>
          </w:p>
          <w:p w14:paraId="4E15A423" w14:textId="77777777" w:rsidR="005B6C6E" w:rsidRPr="00FA0D37" w:rsidRDefault="005B6C6E" w:rsidP="00771058">
            <w:pPr>
              <w:pStyle w:val="TAL"/>
              <w:rPr>
                <w:rFonts w:cs="Arial"/>
                <w:b/>
                <w:i/>
                <w:iCs/>
                <w:szCs w:val="18"/>
                <w:lang w:eastAsia="sv-SE"/>
              </w:rPr>
            </w:pPr>
            <w:r w:rsidRPr="00FA0D37">
              <w:rPr>
                <w:szCs w:val="22"/>
                <w:lang w:eastAsia="sv-SE"/>
              </w:rPr>
              <w:t>List of cells to remove from the allow-list of cells.</w:t>
            </w:r>
          </w:p>
        </w:tc>
      </w:tr>
      <w:tr w:rsidR="005C7FF4" w:rsidRPr="00FA0D37" w:rsidDel="005B6C6E" w14:paraId="40391A29" w14:textId="77777777" w:rsidTr="00964CC4">
        <w:tc>
          <w:tcPr>
            <w:tcW w:w="14173" w:type="dxa"/>
            <w:tcBorders>
              <w:top w:val="single" w:sz="4" w:space="0" w:color="auto"/>
              <w:left w:val="single" w:sz="4" w:space="0" w:color="auto"/>
              <w:bottom w:val="single" w:sz="4" w:space="0" w:color="auto"/>
              <w:right w:val="single" w:sz="4" w:space="0" w:color="auto"/>
            </w:tcBorders>
          </w:tcPr>
          <w:p w14:paraId="26D08D4C" w14:textId="77777777" w:rsidR="003F7068" w:rsidRPr="00FA0D37" w:rsidRDefault="003F7068" w:rsidP="000830BB">
            <w:pPr>
              <w:pStyle w:val="TAL"/>
              <w:rPr>
                <w:b/>
                <w:bCs/>
                <w:i/>
                <w:iCs/>
                <w:noProof/>
                <w:lang w:eastAsia="ko-KR"/>
              </w:rPr>
            </w:pPr>
            <w:r w:rsidRPr="00FA0D37">
              <w:rPr>
                <w:b/>
                <w:bCs/>
                <w:i/>
                <w:iCs/>
                <w:noProof/>
                <w:lang w:eastAsia="ko-KR"/>
              </w:rPr>
              <w:t>associatedMeasGapSSB</w:t>
            </w:r>
          </w:p>
          <w:p w14:paraId="6ABBC31D" w14:textId="687CD044" w:rsidR="003F7068" w:rsidRPr="00FA0D37" w:rsidDel="005B6C6E" w:rsidRDefault="003F7068" w:rsidP="003F7068">
            <w:pPr>
              <w:pStyle w:val="TAL"/>
              <w:rPr>
                <w:b/>
                <w:i/>
                <w:szCs w:val="22"/>
                <w:lang w:eastAsia="en-GB"/>
              </w:rPr>
            </w:pPr>
            <w:r w:rsidRPr="00FA0D37">
              <w:rPr>
                <w:iCs/>
                <w:lang w:eastAsia="sv-SE"/>
              </w:rPr>
              <w:t xml:space="preserve">Indicates the associated measurement gap for SSB measuring identified by </w:t>
            </w:r>
            <w:r w:rsidRPr="00FA0D37">
              <w:rPr>
                <w:i/>
                <w:iCs/>
                <w:lang w:eastAsia="sv-SE"/>
              </w:rPr>
              <w:t>ssb-ConfigMobility</w:t>
            </w:r>
            <w:r w:rsidRPr="00FA0D37">
              <w:rPr>
                <w:iCs/>
                <w:lang w:eastAsia="sv-SE"/>
              </w:rPr>
              <w:t xml:space="preserve"> in this measurement object.</w:t>
            </w:r>
            <w:r w:rsidRPr="00FA0D37">
              <w:t xml:space="preserve"> </w:t>
            </w:r>
            <w:r w:rsidRPr="00FA0D37">
              <w:rPr>
                <w:iCs/>
                <w:lang w:eastAsia="sv-SE"/>
              </w:rPr>
              <w:t xml:space="preserve">When multiple </w:t>
            </w:r>
            <w:r w:rsidRPr="00FA0D37">
              <w:rPr>
                <w:i/>
                <w:lang w:eastAsia="sv-SE"/>
              </w:rPr>
              <w:t>MeasObjectNR</w:t>
            </w:r>
            <w:r w:rsidRPr="00FA0D37">
              <w:rPr>
                <w:iCs/>
                <w:lang w:eastAsia="sv-SE"/>
              </w:rPr>
              <w:t xml:space="preserve"> with the same SSB frequency are configured, the network configures the same measurement gap ID in this field for each </w:t>
            </w:r>
            <w:r w:rsidRPr="00FA0D37">
              <w:rPr>
                <w:i/>
                <w:lang w:eastAsia="sv-SE"/>
              </w:rPr>
              <w:t>MeasObjectNR</w:t>
            </w:r>
            <w:r w:rsidRPr="00FA0D37">
              <w:rPr>
                <w:iCs/>
                <w:lang w:eastAsia="sv-SE"/>
              </w:rPr>
              <w:t>.</w:t>
            </w:r>
            <w:r w:rsidR="00CE29E7" w:rsidRPr="00FA0D37">
              <w:rPr>
                <w:iCs/>
                <w:noProof/>
                <w:lang w:eastAsia="ko-KR"/>
              </w:rPr>
              <w:t xml:space="preserve"> If this field is absent, the associated measurement gap is the gap configured via </w:t>
            </w:r>
            <w:r w:rsidR="00CE29E7" w:rsidRPr="00FA0D37">
              <w:rPr>
                <w:i/>
                <w:noProof/>
                <w:lang w:eastAsia="ko-KR"/>
              </w:rPr>
              <w:t>gapFR1</w:t>
            </w:r>
            <w:r w:rsidR="00CE29E7" w:rsidRPr="00FA0D37">
              <w:rPr>
                <w:iCs/>
                <w:noProof/>
                <w:lang w:eastAsia="ko-KR"/>
              </w:rPr>
              <w:t xml:space="preserve">, </w:t>
            </w:r>
            <w:r w:rsidR="00CE29E7" w:rsidRPr="00FA0D37">
              <w:rPr>
                <w:i/>
                <w:noProof/>
                <w:lang w:eastAsia="ko-KR"/>
              </w:rPr>
              <w:t>gapFR2</w:t>
            </w:r>
            <w:r w:rsidR="00CE29E7" w:rsidRPr="00FA0D37">
              <w:rPr>
                <w:iCs/>
                <w:noProof/>
                <w:lang w:eastAsia="ko-KR"/>
              </w:rPr>
              <w:t xml:space="preserve">, or </w:t>
            </w:r>
            <w:r w:rsidR="00CE29E7" w:rsidRPr="00FA0D37">
              <w:rPr>
                <w:i/>
                <w:noProof/>
                <w:lang w:eastAsia="ko-KR"/>
              </w:rPr>
              <w:t>gapUE</w:t>
            </w:r>
            <w:r w:rsidR="00CE29E7" w:rsidRPr="00FA0D37">
              <w:rPr>
                <w:iCs/>
                <w:noProof/>
                <w:lang w:eastAsia="ko-KR"/>
              </w:rPr>
              <w:t>.</w:t>
            </w:r>
          </w:p>
        </w:tc>
      </w:tr>
      <w:tr w:rsidR="005C7FF4" w:rsidRPr="00FA0D37" w14:paraId="36D4BD1A" w14:textId="77777777" w:rsidTr="0071565C">
        <w:tc>
          <w:tcPr>
            <w:tcW w:w="14173" w:type="dxa"/>
            <w:tcBorders>
              <w:top w:val="single" w:sz="4" w:space="0" w:color="auto"/>
              <w:left w:val="single" w:sz="4" w:space="0" w:color="auto"/>
              <w:bottom w:val="single" w:sz="4" w:space="0" w:color="auto"/>
              <w:right w:val="single" w:sz="4" w:space="0" w:color="auto"/>
            </w:tcBorders>
          </w:tcPr>
          <w:p w14:paraId="393F28B1" w14:textId="77777777" w:rsidR="00C148E4" w:rsidRPr="00FA0D37" w:rsidRDefault="001163BA" w:rsidP="0071565C">
            <w:pPr>
              <w:pStyle w:val="TAL"/>
              <w:rPr>
                <w:iCs/>
                <w:lang w:eastAsia="sv-SE"/>
              </w:rPr>
            </w:pPr>
            <w:r w:rsidRPr="00FA0D37">
              <w:rPr>
                <w:b/>
                <w:bCs/>
                <w:i/>
                <w:iCs/>
                <w:lang w:eastAsia="ko-KR"/>
              </w:rPr>
              <w:t>associatedMeasGapSSB2</w:t>
            </w:r>
          </w:p>
          <w:p w14:paraId="1DD2B0C8" w14:textId="4708F374" w:rsidR="001163BA" w:rsidRPr="00FA0D37" w:rsidRDefault="001163BA" w:rsidP="0071565C">
            <w:pPr>
              <w:pStyle w:val="TAL"/>
              <w:rPr>
                <w:b/>
                <w:bCs/>
                <w:i/>
                <w:iCs/>
                <w:lang w:eastAsia="ko-KR"/>
              </w:rPr>
            </w:pPr>
            <w:r w:rsidRPr="00FA0D37">
              <w:rPr>
                <w:iCs/>
                <w:lang w:eastAsia="sv-SE"/>
              </w:rPr>
              <w:t xml:space="preserve">Indicates the associated additional measurement gap for SSB measuring identified by </w:t>
            </w:r>
            <w:r w:rsidRPr="00FA0D37">
              <w:rPr>
                <w:i/>
                <w:iCs/>
                <w:lang w:eastAsia="sv-SE"/>
              </w:rPr>
              <w:t>ssb-ConfigMobility</w:t>
            </w:r>
            <w:r w:rsidRPr="00FA0D37">
              <w:rPr>
                <w:iCs/>
                <w:lang w:eastAsia="sv-SE"/>
              </w:rPr>
              <w:t xml:space="preserve"> in this measurement object</w:t>
            </w:r>
            <w:r w:rsidRPr="00FA0D37">
              <w:rPr>
                <w:bCs/>
                <w:iCs/>
                <w:szCs w:val="22"/>
                <w:lang w:eastAsia="en-GB"/>
              </w:rPr>
              <w:t xml:space="preserve"> for NTN deployments</w:t>
            </w:r>
            <w:r w:rsidRPr="00FA0D37">
              <w:rPr>
                <w:iCs/>
                <w:lang w:eastAsia="sv-SE"/>
              </w:rPr>
              <w:t>.</w:t>
            </w:r>
            <w:r w:rsidRPr="00FA0D37">
              <w:t xml:space="preserve"> </w:t>
            </w:r>
            <w:r w:rsidRPr="00FA0D37">
              <w:rPr>
                <w:iCs/>
                <w:lang w:eastAsia="sv-SE"/>
              </w:rPr>
              <w:t xml:space="preserve">When multiple </w:t>
            </w:r>
            <w:r w:rsidRPr="00FA0D37">
              <w:rPr>
                <w:i/>
                <w:lang w:eastAsia="sv-SE"/>
              </w:rPr>
              <w:t>MeasObjectNR</w:t>
            </w:r>
            <w:r w:rsidRPr="00FA0D37">
              <w:rPr>
                <w:iCs/>
                <w:lang w:eastAsia="sv-SE"/>
              </w:rPr>
              <w:t xml:space="preserve"> with the same SSB frequency are configured, the network configures the same measurement gap ID in this field for each </w:t>
            </w:r>
            <w:r w:rsidRPr="00FA0D37">
              <w:rPr>
                <w:i/>
                <w:lang w:eastAsia="sv-SE"/>
              </w:rPr>
              <w:t>MeasObjectNR</w:t>
            </w:r>
            <w:r w:rsidRPr="00FA0D37">
              <w:rPr>
                <w:iCs/>
                <w:lang w:eastAsia="sv-SE"/>
              </w:rPr>
              <w:t>.</w:t>
            </w:r>
            <w:r w:rsidRPr="00FA0D37">
              <w:rPr>
                <w:iCs/>
                <w:lang w:eastAsia="ko-KR"/>
              </w:rPr>
              <w:t xml:space="preserve"> If this field is absent, the associated measurement gap is the gap indicated by </w:t>
            </w:r>
            <w:r w:rsidRPr="00FA0D37">
              <w:rPr>
                <w:i/>
                <w:iCs/>
                <w:lang w:eastAsia="ko-KR"/>
              </w:rPr>
              <w:t>associatedMeasGapSSB</w:t>
            </w:r>
            <w:r w:rsidRPr="00FA0D37">
              <w:rPr>
                <w:iCs/>
                <w:lang w:eastAsia="ko-KR"/>
              </w:rPr>
              <w:t>.</w:t>
            </w:r>
          </w:p>
        </w:tc>
      </w:tr>
      <w:tr w:rsidR="005C7FF4" w:rsidRPr="00FA0D37" w:rsidDel="005B6C6E" w14:paraId="79DC5A04" w14:textId="77777777" w:rsidTr="00964CC4">
        <w:tc>
          <w:tcPr>
            <w:tcW w:w="14173" w:type="dxa"/>
            <w:tcBorders>
              <w:top w:val="single" w:sz="4" w:space="0" w:color="auto"/>
              <w:left w:val="single" w:sz="4" w:space="0" w:color="auto"/>
              <w:bottom w:val="single" w:sz="4" w:space="0" w:color="auto"/>
              <w:right w:val="single" w:sz="4" w:space="0" w:color="auto"/>
            </w:tcBorders>
          </w:tcPr>
          <w:p w14:paraId="5D649926" w14:textId="77777777" w:rsidR="003F7068" w:rsidRPr="00FA0D37" w:rsidRDefault="003F7068" w:rsidP="000830BB">
            <w:pPr>
              <w:pStyle w:val="TAL"/>
              <w:rPr>
                <w:b/>
                <w:bCs/>
                <w:i/>
                <w:iCs/>
                <w:noProof/>
                <w:lang w:eastAsia="ko-KR"/>
              </w:rPr>
            </w:pPr>
            <w:r w:rsidRPr="00FA0D37">
              <w:rPr>
                <w:b/>
                <w:bCs/>
                <w:i/>
                <w:iCs/>
                <w:noProof/>
                <w:lang w:eastAsia="ko-KR"/>
              </w:rPr>
              <w:t>associatedMeasGapCSIRS</w:t>
            </w:r>
          </w:p>
          <w:p w14:paraId="5CDF340A" w14:textId="2B11ED10" w:rsidR="003F7068" w:rsidRPr="00FA0D37" w:rsidDel="005B6C6E" w:rsidRDefault="003F7068" w:rsidP="003F7068">
            <w:pPr>
              <w:pStyle w:val="TAL"/>
              <w:rPr>
                <w:b/>
                <w:i/>
                <w:szCs w:val="22"/>
                <w:lang w:eastAsia="en-GB"/>
              </w:rPr>
            </w:pPr>
            <w:r w:rsidRPr="00FA0D37">
              <w:rPr>
                <w:iCs/>
                <w:lang w:eastAsia="sv-SE"/>
              </w:rPr>
              <w:t xml:space="preserve">Indicates the associated measurement gap for CSI-RS measuring identified by </w:t>
            </w:r>
            <w:r w:rsidRPr="00FA0D37">
              <w:rPr>
                <w:i/>
                <w:iCs/>
                <w:lang w:eastAsia="sv-SE"/>
              </w:rPr>
              <w:t>csi-rs-ResourceConfigMobility</w:t>
            </w:r>
            <w:r w:rsidRPr="00FA0D37">
              <w:rPr>
                <w:iCs/>
                <w:lang w:eastAsia="sv-SE"/>
              </w:rPr>
              <w:t xml:space="preserve"> in this measurement object.</w:t>
            </w:r>
            <w:r w:rsidR="00CE29E7" w:rsidRPr="00FA0D37">
              <w:rPr>
                <w:iCs/>
                <w:lang w:eastAsia="sv-SE"/>
              </w:rPr>
              <w:t xml:space="preserve"> </w:t>
            </w:r>
            <w:r w:rsidR="00CE29E7" w:rsidRPr="00FA0D37">
              <w:rPr>
                <w:iCs/>
                <w:noProof/>
                <w:lang w:eastAsia="ko-KR"/>
              </w:rPr>
              <w:t xml:space="preserve">If this field is absent, the associated measurement gap is the gap configured via </w:t>
            </w:r>
            <w:r w:rsidR="00CE29E7" w:rsidRPr="00FA0D37">
              <w:rPr>
                <w:i/>
                <w:noProof/>
                <w:lang w:eastAsia="ko-KR"/>
              </w:rPr>
              <w:t>gapFR1</w:t>
            </w:r>
            <w:r w:rsidR="00CE29E7" w:rsidRPr="00FA0D37">
              <w:rPr>
                <w:iCs/>
                <w:noProof/>
                <w:lang w:eastAsia="ko-KR"/>
              </w:rPr>
              <w:t xml:space="preserve">, </w:t>
            </w:r>
            <w:r w:rsidR="00CE29E7" w:rsidRPr="00FA0D37">
              <w:rPr>
                <w:i/>
                <w:noProof/>
                <w:lang w:eastAsia="ko-KR"/>
              </w:rPr>
              <w:t>gapFR2</w:t>
            </w:r>
            <w:r w:rsidR="00CE29E7" w:rsidRPr="00FA0D37">
              <w:rPr>
                <w:iCs/>
                <w:noProof/>
                <w:lang w:eastAsia="ko-KR"/>
              </w:rPr>
              <w:t xml:space="preserve">, or </w:t>
            </w:r>
            <w:r w:rsidR="00CE29E7" w:rsidRPr="00FA0D37">
              <w:rPr>
                <w:i/>
                <w:noProof/>
                <w:lang w:eastAsia="ko-KR"/>
              </w:rPr>
              <w:t>gapUE</w:t>
            </w:r>
            <w:r w:rsidR="00CE29E7" w:rsidRPr="00FA0D37">
              <w:rPr>
                <w:iCs/>
                <w:noProof/>
                <w:lang w:eastAsia="ko-KR"/>
              </w:rPr>
              <w:t>.</w:t>
            </w:r>
          </w:p>
        </w:tc>
      </w:tr>
      <w:tr w:rsidR="005C7FF4" w:rsidRPr="00FA0D37" w14:paraId="490EDD98" w14:textId="77777777" w:rsidTr="0071565C">
        <w:tc>
          <w:tcPr>
            <w:tcW w:w="14173" w:type="dxa"/>
            <w:tcBorders>
              <w:top w:val="single" w:sz="4" w:space="0" w:color="auto"/>
              <w:left w:val="single" w:sz="4" w:space="0" w:color="auto"/>
              <w:bottom w:val="single" w:sz="4" w:space="0" w:color="auto"/>
              <w:right w:val="single" w:sz="4" w:space="0" w:color="auto"/>
            </w:tcBorders>
          </w:tcPr>
          <w:p w14:paraId="752A7793" w14:textId="77777777" w:rsidR="001163BA" w:rsidRPr="00FA0D37" w:rsidRDefault="001163BA" w:rsidP="0071565C">
            <w:pPr>
              <w:pStyle w:val="TAL"/>
              <w:rPr>
                <w:b/>
                <w:bCs/>
                <w:i/>
                <w:iCs/>
                <w:lang w:eastAsia="ko-KR"/>
              </w:rPr>
            </w:pPr>
            <w:r w:rsidRPr="00FA0D37">
              <w:rPr>
                <w:b/>
                <w:bCs/>
                <w:i/>
                <w:iCs/>
                <w:lang w:eastAsia="ko-KR"/>
              </w:rPr>
              <w:t>associatedMeasGapCSIRS</w:t>
            </w:r>
            <w:r w:rsidRPr="00FA0D37">
              <w:rPr>
                <w:b/>
                <w:bCs/>
                <w:lang w:eastAsia="ko-KR"/>
              </w:rPr>
              <w:t>2</w:t>
            </w:r>
          </w:p>
          <w:p w14:paraId="793A34F7" w14:textId="3DA1F898" w:rsidR="001163BA" w:rsidRPr="00FA0D37" w:rsidRDefault="001163BA" w:rsidP="0071565C">
            <w:pPr>
              <w:pStyle w:val="TAL"/>
              <w:rPr>
                <w:b/>
                <w:bCs/>
                <w:i/>
                <w:iCs/>
                <w:lang w:eastAsia="ko-KR"/>
              </w:rPr>
            </w:pPr>
            <w:r w:rsidRPr="00FA0D37">
              <w:rPr>
                <w:iCs/>
                <w:lang w:eastAsia="sv-SE"/>
              </w:rPr>
              <w:t xml:space="preserve">Indicates the associated additional measurement gap for CSI-RS measuring identified by </w:t>
            </w:r>
            <w:r w:rsidRPr="00FA0D37">
              <w:rPr>
                <w:i/>
                <w:iCs/>
                <w:lang w:eastAsia="sv-SE"/>
              </w:rPr>
              <w:t>csi-rs-ResourceConfigMobility</w:t>
            </w:r>
            <w:r w:rsidRPr="00FA0D37">
              <w:rPr>
                <w:iCs/>
                <w:lang w:eastAsia="sv-SE"/>
              </w:rPr>
              <w:t xml:space="preserve"> in this measurement object</w:t>
            </w:r>
            <w:r w:rsidRPr="00FA0D37">
              <w:rPr>
                <w:bCs/>
                <w:iCs/>
                <w:szCs w:val="22"/>
                <w:lang w:eastAsia="en-GB"/>
              </w:rPr>
              <w:t xml:space="preserve"> for NTN deployments</w:t>
            </w:r>
            <w:r w:rsidRPr="00FA0D37">
              <w:rPr>
                <w:iCs/>
                <w:lang w:eastAsia="sv-SE"/>
              </w:rPr>
              <w:t xml:space="preserve">. </w:t>
            </w:r>
            <w:r w:rsidRPr="00FA0D37">
              <w:rPr>
                <w:iCs/>
                <w:lang w:eastAsia="ko-KR"/>
              </w:rPr>
              <w:t xml:space="preserve">If this field is absent, the associated measurement gap is the gap indicated by </w:t>
            </w:r>
            <w:r w:rsidRPr="00FA0D37">
              <w:rPr>
                <w:i/>
                <w:iCs/>
                <w:lang w:eastAsia="ko-KR"/>
              </w:rPr>
              <w:t>associatedMeasGapCSIRS.</w:t>
            </w:r>
            <w:r w:rsidR="00A3134E" w:rsidRPr="00FA0D37">
              <w:t xml:space="preserve"> </w:t>
            </w:r>
            <w:r w:rsidR="008779EC" w:rsidRPr="00FA0D37">
              <w:t>I</w:t>
            </w:r>
            <w:r w:rsidR="008779EC" w:rsidRPr="00FA0D37">
              <w:rPr>
                <w:lang w:eastAsia="ko-KR"/>
              </w:rPr>
              <w:t>n this release of the specification, this</w:t>
            </w:r>
            <w:r w:rsidR="00A3134E" w:rsidRPr="00FA0D37">
              <w:rPr>
                <w:lang w:eastAsia="ko-KR"/>
              </w:rPr>
              <w:t xml:space="preserve"> field is not configured for NTN deployments.</w:t>
            </w:r>
          </w:p>
        </w:tc>
      </w:tr>
      <w:tr w:rsidR="005C7FF4" w:rsidRPr="00FA0D37" w14:paraId="40C7A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F7068" w:rsidRPr="00FA0D37" w:rsidRDefault="003F7068" w:rsidP="003F7068">
            <w:pPr>
              <w:pStyle w:val="TAL"/>
              <w:rPr>
                <w:b/>
                <w:i/>
                <w:szCs w:val="22"/>
                <w:lang w:eastAsia="en-GB"/>
              </w:rPr>
            </w:pPr>
            <w:r w:rsidRPr="00FA0D37">
              <w:rPr>
                <w:b/>
                <w:i/>
                <w:szCs w:val="22"/>
                <w:lang w:eastAsia="en-GB"/>
              </w:rPr>
              <w:t>cellsToAddModList</w:t>
            </w:r>
          </w:p>
          <w:p w14:paraId="57A71B1A" w14:textId="77777777" w:rsidR="003F7068" w:rsidRPr="00FA0D37" w:rsidRDefault="003F7068" w:rsidP="003F7068">
            <w:pPr>
              <w:pStyle w:val="TAL"/>
              <w:rPr>
                <w:b/>
                <w:i/>
                <w:szCs w:val="22"/>
                <w:lang w:eastAsia="en-GB"/>
              </w:rPr>
            </w:pPr>
            <w:r w:rsidRPr="00FA0D37">
              <w:rPr>
                <w:szCs w:val="22"/>
                <w:lang w:eastAsia="en-GB"/>
              </w:rPr>
              <w:t>List of cells to add/modify in the cell list.</w:t>
            </w:r>
          </w:p>
        </w:tc>
      </w:tr>
      <w:tr w:rsidR="005C7FF4" w:rsidRPr="00FA0D37" w14:paraId="69E17D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F7068" w:rsidRPr="00FA0D37" w:rsidRDefault="003F7068" w:rsidP="003F7068">
            <w:pPr>
              <w:pStyle w:val="TAL"/>
              <w:rPr>
                <w:b/>
                <w:i/>
                <w:szCs w:val="22"/>
                <w:lang w:eastAsia="en-GB"/>
              </w:rPr>
            </w:pPr>
            <w:r w:rsidRPr="00FA0D37">
              <w:rPr>
                <w:b/>
                <w:i/>
                <w:szCs w:val="22"/>
                <w:lang w:eastAsia="en-GB"/>
              </w:rPr>
              <w:t>cellsToRemoveList</w:t>
            </w:r>
          </w:p>
          <w:p w14:paraId="77F76B6F" w14:textId="77777777" w:rsidR="003F7068" w:rsidRPr="00FA0D37" w:rsidRDefault="003F7068" w:rsidP="003F7068">
            <w:pPr>
              <w:pStyle w:val="TAL"/>
              <w:rPr>
                <w:b/>
                <w:i/>
                <w:szCs w:val="22"/>
                <w:lang w:eastAsia="en-GB"/>
              </w:rPr>
            </w:pPr>
            <w:r w:rsidRPr="00FA0D37">
              <w:rPr>
                <w:szCs w:val="22"/>
                <w:lang w:eastAsia="en-GB"/>
              </w:rPr>
              <w:t xml:space="preserve">List of cells to remove from the cell list. </w:t>
            </w:r>
          </w:p>
        </w:tc>
      </w:tr>
      <w:tr w:rsidR="005C7FF4" w:rsidRPr="00FA0D37" w14:paraId="37A8E6CD" w14:textId="77777777" w:rsidTr="00771058">
        <w:tc>
          <w:tcPr>
            <w:tcW w:w="14173" w:type="dxa"/>
            <w:tcBorders>
              <w:top w:val="single" w:sz="4" w:space="0" w:color="auto"/>
              <w:left w:val="single" w:sz="4" w:space="0" w:color="auto"/>
              <w:bottom w:val="single" w:sz="4" w:space="0" w:color="auto"/>
              <w:right w:val="single" w:sz="4" w:space="0" w:color="auto"/>
            </w:tcBorders>
          </w:tcPr>
          <w:p w14:paraId="18E5BBBC" w14:textId="77777777" w:rsidR="003F7068" w:rsidRPr="00FA0D37" w:rsidRDefault="003F7068" w:rsidP="003F7068">
            <w:pPr>
              <w:pStyle w:val="TAL"/>
              <w:rPr>
                <w:b/>
                <w:i/>
                <w:szCs w:val="22"/>
                <w:lang w:eastAsia="en-GB"/>
              </w:rPr>
            </w:pPr>
            <w:r w:rsidRPr="00FA0D37">
              <w:rPr>
                <w:b/>
                <w:i/>
                <w:szCs w:val="22"/>
                <w:lang w:eastAsia="en-GB"/>
              </w:rPr>
              <w:t>excludedCellsToAddModList</w:t>
            </w:r>
          </w:p>
          <w:p w14:paraId="405FD631" w14:textId="77777777" w:rsidR="003F7068" w:rsidRPr="00FA0D37" w:rsidRDefault="003F7068" w:rsidP="003F7068">
            <w:pPr>
              <w:pStyle w:val="TAL"/>
              <w:rPr>
                <w:b/>
                <w:i/>
                <w:szCs w:val="22"/>
                <w:lang w:eastAsia="en-GB"/>
              </w:rPr>
            </w:pPr>
            <w:r w:rsidRPr="00FA0D37">
              <w:rPr>
                <w:iCs/>
                <w:szCs w:val="22"/>
                <w:lang w:eastAsia="en-GB"/>
              </w:rPr>
              <w:t>List of cells to add/modify in the exclude-list of cells. It applies only to SSB resources.</w:t>
            </w:r>
          </w:p>
        </w:tc>
      </w:tr>
      <w:tr w:rsidR="005C7FF4" w:rsidRPr="00FA0D37" w14:paraId="16B111E1" w14:textId="77777777" w:rsidTr="00771058">
        <w:tc>
          <w:tcPr>
            <w:tcW w:w="14173" w:type="dxa"/>
            <w:tcBorders>
              <w:top w:val="single" w:sz="4" w:space="0" w:color="auto"/>
              <w:left w:val="single" w:sz="4" w:space="0" w:color="auto"/>
              <w:bottom w:val="single" w:sz="4" w:space="0" w:color="auto"/>
              <w:right w:val="single" w:sz="4" w:space="0" w:color="auto"/>
            </w:tcBorders>
          </w:tcPr>
          <w:p w14:paraId="65AB0782" w14:textId="77777777" w:rsidR="003F7068" w:rsidRPr="00FA0D37" w:rsidRDefault="003F7068" w:rsidP="003F7068">
            <w:pPr>
              <w:pStyle w:val="TAL"/>
              <w:rPr>
                <w:b/>
                <w:i/>
                <w:szCs w:val="22"/>
                <w:lang w:eastAsia="en-GB"/>
              </w:rPr>
            </w:pPr>
            <w:r w:rsidRPr="00FA0D37">
              <w:rPr>
                <w:b/>
                <w:i/>
                <w:szCs w:val="22"/>
                <w:lang w:eastAsia="en-GB"/>
              </w:rPr>
              <w:t>excludedCellsToRemoveList</w:t>
            </w:r>
          </w:p>
          <w:p w14:paraId="6D4BF98A" w14:textId="77777777" w:rsidR="003F7068" w:rsidRPr="00FA0D37" w:rsidRDefault="003F7068" w:rsidP="003F7068">
            <w:pPr>
              <w:pStyle w:val="TAL"/>
              <w:rPr>
                <w:b/>
                <w:i/>
                <w:szCs w:val="22"/>
                <w:lang w:eastAsia="en-GB"/>
              </w:rPr>
            </w:pPr>
            <w:r w:rsidRPr="00FA0D37">
              <w:rPr>
                <w:iCs/>
                <w:szCs w:val="22"/>
                <w:lang w:eastAsia="en-GB"/>
              </w:rPr>
              <w:t>List of cells to remove from the exclude-list of cells.</w:t>
            </w:r>
          </w:p>
        </w:tc>
      </w:tr>
      <w:tr w:rsidR="005C7FF4" w:rsidRPr="00FA0D37" w14:paraId="60A019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F7068" w:rsidRPr="00FA0D37" w:rsidRDefault="003F7068" w:rsidP="003F7068">
            <w:pPr>
              <w:pStyle w:val="TAL"/>
              <w:rPr>
                <w:szCs w:val="22"/>
                <w:lang w:eastAsia="en-GB"/>
              </w:rPr>
            </w:pPr>
            <w:r w:rsidRPr="00FA0D37">
              <w:rPr>
                <w:b/>
                <w:i/>
                <w:szCs w:val="22"/>
                <w:lang w:eastAsia="en-GB"/>
              </w:rPr>
              <w:t>freqBandIndicatorNR</w:t>
            </w:r>
          </w:p>
          <w:p w14:paraId="1BD8A0DE" w14:textId="77777777" w:rsidR="003F7068" w:rsidRPr="00FA0D37" w:rsidRDefault="003F7068" w:rsidP="003F7068">
            <w:pPr>
              <w:pStyle w:val="TAL"/>
              <w:rPr>
                <w:szCs w:val="22"/>
                <w:lang w:eastAsia="en-GB"/>
              </w:rPr>
            </w:pPr>
            <w:r w:rsidRPr="00FA0D37">
              <w:rPr>
                <w:szCs w:val="22"/>
                <w:lang w:eastAsia="en-GB"/>
              </w:rPr>
              <w:t xml:space="preserve">The frequency band in which the SSB and/or CSI-RS indicated in this </w:t>
            </w:r>
            <w:r w:rsidRPr="00FA0D37">
              <w:rPr>
                <w:i/>
                <w:szCs w:val="22"/>
                <w:lang w:eastAsia="en-GB"/>
              </w:rPr>
              <w:t>MeasObjectNR</w:t>
            </w:r>
            <w:r w:rsidRPr="00FA0D37">
              <w:rPr>
                <w:szCs w:val="22"/>
                <w:lang w:eastAsia="en-GB"/>
              </w:rPr>
              <w:t xml:space="preserve"> are located and according to which the UE shall perform the RRM measurements. This field is always provided when the network configures measurements with this </w:t>
            </w:r>
            <w:r w:rsidRPr="00FA0D37">
              <w:rPr>
                <w:i/>
                <w:szCs w:val="22"/>
                <w:lang w:eastAsia="en-GB"/>
              </w:rPr>
              <w:t>MeasObjectNR</w:t>
            </w:r>
            <w:r w:rsidRPr="00FA0D37">
              <w:rPr>
                <w:szCs w:val="22"/>
                <w:lang w:eastAsia="en-GB"/>
              </w:rPr>
              <w:t>.</w:t>
            </w:r>
          </w:p>
        </w:tc>
      </w:tr>
      <w:tr w:rsidR="005C7FF4" w:rsidRPr="00FA0D37" w14:paraId="308E7491" w14:textId="77777777" w:rsidTr="00771058">
        <w:tc>
          <w:tcPr>
            <w:tcW w:w="14173" w:type="dxa"/>
            <w:tcBorders>
              <w:top w:val="single" w:sz="4" w:space="0" w:color="auto"/>
              <w:left w:val="single" w:sz="4" w:space="0" w:color="auto"/>
              <w:bottom w:val="single" w:sz="4" w:space="0" w:color="auto"/>
              <w:right w:val="single" w:sz="4" w:space="0" w:color="auto"/>
            </w:tcBorders>
          </w:tcPr>
          <w:p w14:paraId="13616449" w14:textId="77777777" w:rsidR="00DB6B82" w:rsidRPr="00FA0D37" w:rsidRDefault="00DB6B82" w:rsidP="00771058">
            <w:pPr>
              <w:pStyle w:val="TAL"/>
              <w:rPr>
                <w:b/>
                <w:i/>
                <w:szCs w:val="22"/>
                <w:lang w:eastAsia="en-GB"/>
              </w:rPr>
            </w:pPr>
            <w:r w:rsidRPr="00FA0D37">
              <w:rPr>
                <w:b/>
                <w:i/>
                <w:szCs w:val="22"/>
                <w:lang w:eastAsia="en-GB"/>
              </w:rPr>
              <w:t>measCyclePSCell</w:t>
            </w:r>
          </w:p>
          <w:p w14:paraId="1A51008A" w14:textId="0B5F5ED3" w:rsidR="00DB6B82" w:rsidRPr="00FA0D37" w:rsidRDefault="00DB6B82" w:rsidP="00771058">
            <w:pPr>
              <w:pStyle w:val="TAL"/>
              <w:rPr>
                <w:szCs w:val="22"/>
                <w:lang w:eastAsia="en-GB"/>
              </w:rPr>
            </w:pPr>
            <w:r w:rsidRPr="00FA0D37">
              <w:rPr>
                <w:szCs w:val="22"/>
                <w:lang w:eastAsia="en-GB"/>
              </w:rPr>
              <w:t xml:space="preserve">The parameter is used only when the PSCell is configured on the frequency indicated by the </w:t>
            </w:r>
            <w:r w:rsidRPr="00FA0D37">
              <w:rPr>
                <w:i/>
                <w:szCs w:val="22"/>
                <w:lang w:eastAsia="en-GB"/>
              </w:rPr>
              <w:t>measObjectNR</w:t>
            </w:r>
            <w:r w:rsidRPr="00FA0D37">
              <w:rPr>
                <w:szCs w:val="22"/>
                <w:lang w:eastAsia="en-GB"/>
              </w:rPr>
              <w:t xml:space="preserve"> and the SCG is deactivated, see TS 38.133 [14]. The field may also be configured when the PSCell is not configured on that frequency.</w:t>
            </w:r>
            <w:r w:rsidR="00627E02" w:rsidRPr="00FA0D37">
              <w:rPr>
                <w:szCs w:val="22"/>
                <w:lang w:eastAsia="en-GB"/>
              </w:rPr>
              <w:t xml:space="preserve"> </w:t>
            </w:r>
            <w:r w:rsidR="00165A07" w:rsidRPr="00FA0D37">
              <w:rPr>
                <w:szCs w:val="22"/>
                <w:lang w:eastAsia="en-GB"/>
              </w:rPr>
              <w:t xml:space="preserve">The network always configures </w:t>
            </w:r>
            <w:r w:rsidR="00165A07" w:rsidRPr="00FA0D37">
              <w:rPr>
                <w:i/>
                <w:iCs/>
                <w:szCs w:val="22"/>
                <w:lang w:eastAsia="en-GB"/>
              </w:rPr>
              <w:t>measCyclePSCell</w:t>
            </w:r>
            <w:r w:rsidR="00165A07" w:rsidRPr="00FA0D37">
              <w:rPr>
                <w:szCs w:val="22"/>
                <w:lang w:eastAsia="en-GB"/>
              </w:rPr>
              <w:t xml:space="preserve"> for the </w:t>
            </w:r>
            <w:r w:rsidR="00165A07" w:rsidRPr="00FA0D37">
              <w:rPr>
                <w:i/>
                <w:iCs/>
                <w:szCs w:val="22"/>
                <w:lang w:eastAsia="en-GB"/>
              </w:rPr>
              <w:t>measObjectNR</w:t>
            </w:r>
            <w:r w:rsidR="00165A07" w:rsidRPr="00FA0D37">
              <w:rPr>
                <w:szCs w:val="22"/>
                <w:lang w:eastAsia="en-GB"/>
              </w:rPr>
              <w:t xml:space="preserve"> associated with the PSCell if </w:t>
            </w:r>
            <w:r w:rsidR="00165A07" w:rsidRPr="00FA0D37">
              <w:rPr>
                <w:i/>
                <w:iCs/>
                <w:szCs w:val="22"/>
                <w:lang w:eastAsia="en-GB"/>
              </w:rPr>
              <w:t>bfd-and-RLM</w:t>
            </w:r>
            <w:r w:rsidR="00165A07" w:rsidRPr="00FA0D37">
              <w:rPr>
                <w:szCs w:val="22"/>
                <w:lang w:eastAsia="en-GB"/>
              </w:rPr>
              <w:t xml:space="preserve"> is set to </w:t>
            </w:r>
            <w:r w:rsidR="00165A07" w:rsidRPr="00FA0D37">
              <w:rPr>
                <w:i/>
                <w:iCs/>
                <w:szCs w:val="22"/>
                <w:lang w:eastAsia="en-GB"/>
              </w:rPr>
              <w:t>true</w:t>
            </w:r>
            <w:r w:rsidR="00165A07" w:rsidRPr="00FA0D37">
              <w:rPr>
                <w:szCs w:val="22"/>
                <w:lang w:eastAsia="en-GB"/>
              </w:rPr>
              <w:t xml:space="preserve"> and the SCG is deactivated. </w:t>
            </w:r>
            <w:r w:rsidR="00627E02" w:rsidRPr="00FA0D37">
              <w:rPr>
                <w:szCs w:val="22"/>
                <w:lang w:eastAsia="en-GB"/>
              </w:rPr>
              <w:t>Value ms</w:t>
            </w:r>
            <w:r w:rsidR="00627E02" w:rsidRPr="00FA0D37">
              <w:rPr>
                <w:i/>
                <w:szCs w:val="22"/>
                <w:lang w:eastAsia="en-GB"/>
              </w:rPr>
              <w:t>160</w:t>
            </w:r>
            <w:r w:rsidR="00627E02" w:rsidRPr="00FA0D37">
              <w:rPr>
                <w:szCs w:val="22"/>
                <w:lang w:eastAsia="en-GB"/>
              </w:rPr>
              <w:t xml:space="preserve"> corresponds to 160 ms,</w:t>
            </w:r>
            <w:r w:rsidR="00627E02" w:rsidRPr="00FA0D37">
              <w:rPr>
                <w:lang w:eastAsia="sv-SE"/>
              </w:rPr>
              <w:t xml:space="preserve"> value</w:t>
            </w:r>
            <w:r w:rsidR="00627E02" w:rsidRPr="00FA0D37">
              <w:rPr>
                <w:szCs w:val="22"/>
                <w:lang w:eastAsia="en-GB"/>
              </w:rPr>
              <w:t xml:space="preserve"> </w:t>
            </w:r>
            <w:r w:rsidR="00627E02" w:rsidRPr="00FA0D37">
              <w:rPr>
                <w:i/>
                <w:szCs w:val="22"/>
                <w:lang w:eastAsia="en-GB"/>
              </w:rPr>
              <w:t>ms256</w:t>
            </w:r>
            <w:r w:rsidR="00627E02" w:rsidRPr="00FA0D37">
              <w:rPr>
                <w:szCs w:val="22"/>
                <w:lang w:eastAsia="en-GB"/>
              </w:rPr>
              <w:t xml:space="preserve"> corresponds to 256 ms and so on.</w:t>
            </w:r>
          </w:p>
        </w:tc>
      </w:tr>
      <w:tr w:rsidR="005C7FF4" w:rsidRPr="00FA0D37" w14:paraId="77159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F7068" w:rsidRPr="00FA0D37" w:rsidRDefault="003F7068" w:rsidP="003F7068">
            <w:pPr>
              <w:pStyle w:val="TAL"/>
              <w:rPr>
                <w:szCs w:val="22"/>
                <w:lang w:eastAsia="en-GB"/>
              </w:rPr>
            </w:pPr>
            <w:r w:rsidRPr="00FA0D37">
              <w:rPr>
                <w:b/>
                <w:i/>
                <w:szCs w:val="22"/>
                <w:lang w:eastAsia="en-GB"/>
              </w:rPr>
              <w:lastRenderedPageBreak/>
              <w:t>measCycleSCell</w:t>
            </w:r>
          </w:p>
          <w:p w14:paraId="7F443797" w14:textId="77777777" w:rsidR="003F7068" w:rsidRPr="00FA0D37" w:rsidRDefault="003F7068" w:rsidP="003F7068">
            <w:pPr>
              <w:pStyle w:val="TAL"/>
              <w:rPr>
                <w:szCs w:val="22"/>
                <w:lang w:eastAsia="en-GB"/>
              </w:rPr>
            </w:pPr>
            <w:r w:rsidRPr="00FA0D37">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A0D37">
              <w:rPr>
                <w:i/>
                <w:szCs w:val="22"/>
                <w:lang w:eastAsia="en-GB"/>
              </w:rPr>
              <w:t>measObjectNR</w:t>
            </w:r>
            <w:r w:rsidRPr="00FA0D37">
              <w:rPr>
                <w:szCs w:val="22"/>
                <w:lang w:eastAsia="en-GB"/>
              </w:rPr>
              <w:t xml:space="preserve">, but the field may also be signalled when an SCell is not configured. Value </w:t>
            </w:r>
            <w:r w:rsidRPr="00FA0D37">
              <w:rPr>
                <w:i/>
                <w:szCs w:val="22"/>
                <w:lang w:eastAsia="en-GB"/>
              </w:rPr>
              <w:t>sf160</w:t>
            </w:r>
            <w:r w:rsidRPr="00FA0D37">
              <w:rPr>
                <w:szCs w:val="22"/>
                <w:lang w:eastAsia="en-GB"/>
              </w:rPr>
              <w:t xml:space="preserve"> corresponds to 160 sub-frames,</w:t>
            </w:r>
            <w:r w:rsidRPr="00FA0D37">
              <w:rPr>
                <w:lang w:eastAsia="sv-SE"/>
              </w:rPr>
              <w:t xml:space="preserve"> value</w:t>
            </w:r>
            <w:r w:rsidRPr="00FA0D37">
              <w:rPr>
                <w:szCs w:val="22"/>
                <w:lang w:eastAsia="en-GB"/>
              </w:rPr>
              <w:t xml:space="preserve"> </w:t>
            </w:r>
            <w:r w:rsidRPr="00FA0D37">
              <w:rPr>
                <w:i/>
                <w:szCs w:val="22"/>
                <w:lang w:eastAsia="en-GB"/>
              </w:rPr>
              <w:t>sf256</w:t>
            </w:r>
            <w:r w:rsidRPr="00FA0D37">
              <w:rPr>
                <w:szCs w:val="22"/>
                <w:lang w:eastAsia="en-GB"/>
              </w:rPr>
              <w:t xml:space="preserve"> corresponds to 256 sub-frames and so on.</w:t>
            </w:r>
          </w:p>
        </w:tc>
      </w:tr>
      <w:tr w:rsidR="005C7FF4" w:rsidRPr="00FA0D37" w14:paraId="3D0D80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F7068" w:rsidRPr="00FA0D37" w:rsidRDefault="003F7068" w:rsidP="003F7068">
            <w:pPr>
              <w:pStyle w:val="TAL"/>
              <w:rPr>
                <w:b/>
                <w:i/>
                <w:szCs w:val="22"/>
                <w:lang w:eastAsia="en-GB"/>
              </w:rPr>
            </w:pPr>
            <w:r w:rsidRPr="00FA0D37">
              <w:rPr>
                <w:b/>
                <w:i/>
                <w:szCs w:val="22"/>
                <w:lang w:eastAsia="en-GB"/>
              </w:rPr>
              <w:t>nrofCSInrofCSI-RS-ResourcesToAverage</w:t>
            </w:r>
          </w:p>
          <w:p w14:paraId="101CD469" w14:textId="77777777" w:rsidR="003F7068" w:rsidRPr="00FA0D37" w:rsidRDefault="003F7068" w:rsidP="003F7068">
            <w:pPr>
              <w:pStyle w:val="TAL"/>
              <w:rPr>
                <w:b/>
                <w:i/>
                <w:szCs w:val="22"/>
                <w:lang w:eastAsia="en-GB"/>
              </w:rPr>
            </w:pPr>
            <w:r w:rsidRPr="00FA0D37">
              <w:rPr>
                <w:szCs w:val="22"/>
                <w:lang w:eastAsia="en-GB"/>
              </w:rPr>
              <w:t xml:space="preserve">Indicates the maximum number of measurement results per beam based on CSI-RS resources to be averaged. The same value applies for each detected cell associated with this </w:t>
            </w:r>
            <w:r w:rsidRPr="00FA0D37">
              <w:rPr>
                <w:i/>
                <w:lang w:eastAsia="sv-SE"/>
              </w:rPr>
              <w:t>MeasObjectNR</w:t>
            </w:r>
            <w:r w:rsidRPr="00FA0D37">
              <w:rPr>
                <w:szCs w:val="22"/>
                <w:lang w:eastAsia="en-GB"/>
              </w:rPr>
              <w:t>.</w:t>
            </w:r>
          </w:p>
        </w:tc>
      </w:tr>
      <w:tr w:rsidR="005C7FF4" w:rsidRPr="00FA0D37" w14:paraId="0AFC89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F7068" w:rsidRPr="00FA0D37" w:rsidRDefault="003F7068" w:rsidP="003F7068">
            <w:pPr>
              <w:pStyle w:val="TAL"/>
              <w:rPr>
                <w:b/>
                <w:i/>
                <w:szCs w:val="22"/>
                <w:lang w:eastAsia="en-GB"/>
              </w:rPr>
            </w:pPr>
            <w:r w:rsidRPr="00FA0D37">
              <w:rPr>
                <w:b/>
                <w:i/>
                <w:szCs w:val="22"/>
                <w:lang w:eastAsia="en-GB"/>
              </w:rPr>
              <w:t>nrofSS-BlocksToAverage</w:t>
            </w:r>
          </w:p>
          <w:p w14:paraId="74841A94" w14:textId="77777777" w:rsidR="003F7068" w:rsidRPr="00FA0D37" w:rsidRDefault="003F7068" w:rsidP="003F7068">
            <w:pPr>
              <w:pStyle w:val="TAL"/>
              <w:rPr>
                <w:b/>
                <w:i/>
                <w:szCs w:val="22"/>
                <w:lang w:eastAsia="en-GB"/>
              </w:rPr>
            </w:pPr>
            <w:r w:rsidRPr="00FA0D37">
              <w:rPr>
                <w:szCs w:val="22"/>
                <w:lang w:eastAsia="en-GB"/>
              </w:rPr>
              <w:t xml:space="preserve">Indicates the maximum number of measurement results per beam based on SS/PBCH blocks to be averaged. The same value applies for each detected cell associated with this </w:t>
            </w:r>
            <w:r w:rsidRPr="00FA0D37">
              <w:rPr>
                <w:i/>
                <w:lang w:eastAsia="sv-SE"/>
              </w:rPr>
              <w:t>MeasObject</w:t>
            </w:r>
            <w:r w:rsidRPr="00FA0D37">
              <w:rPr>
                <w:szCs w:val="22"/>
                <w:lang w:eastAsia="en-GB"/>
              </w:rPr>
              <w:t>.</w:t>
            </w:r>
          </w:p>
        </w:tc>
      </w:tr>
      <w:tr w:rsidR="005C7FF4" w:rsidRPr="00FA0D37" w14:paraId="32502E5C" w14:textId="77777777" w:rsidTr="00964CC4">
        <w:tc>
          <w:tcPr>
            <w:tcW w:w="14173" w:type="dxa"/>
            <w:tcBorders>
              <w:top w:val="single" w:sz="4" w:space="0" w:color="auto"/>
              <w:left w:val="single" w:sz="4" w:space="0" w:color="auto"/>
              <w:bottom w:val="single" w:sz="4" w:space="0" w:color="auto"/>
              <w:right w:val="single" w:sz="4" w:space="0" w:color="auto"/>
            </w:tcBorders>
          </w:tcPr>
          <w:p w14:paraId="12D9A3AE" w14:textId="77777777" w:rsidR="00771058" w:rsidRPr="00FA0D37" w:rsidRDefault="00771058" w:rsidP="00771058">
            <w:pPr>
              <w:pStyle w:val="TAL"/>
              <w:rPr>
                <w:b/>
                <w:bCs/>
                <w:i/>
                <w:iCs/>
              </w:rPr>
            </w:pPr>
            <w:r w:rsidRPr="00FA0D37">
              <w:rPr>
                <w:b/>
                <w:bCs/>
                <w:i/>
                <w:iCs/>
              </w:rPr>
              <w:t>ntn-PolarizationDL</w:t>
            </w:r>
          </w:p>
          <w:p w14:paraId="3AAA4CC6" w14:textId="42690D59" w:rsidR="00771058" w:rsidRPr="00FA0D37" w:rsidRDefault="00771058" w:rsidP="00771058">
            <w:pPr>
              <w:pStyle w:val="TAL"/>
              <w:rPr>
                <w:lang w:eastAsia="en-GB"/>
              </w:rPr>
            </w:pPr>
            <w:r w:rsidRPr="00FA0D37">
              <w:t>If present, this parameter indicates polarization information for downlink transmission on service link: including Right hand, Left hand circular polarizations (RHCP, LHCP) and Linear polarization.</w:t>
            </w:r>
          </w:p>
        </w:tc>
      </w:tr>
      <w:tr w:rsidR="005C7FF4" w:rsidRPr="00FA0D37" w14:paraId="42E737E4" w14:textId="77777777" w:rsidTr="00964CC4">
        <w:tc>
          <w:tcPr>
            <w:tcW w:w="14173" w:type="dxa"/>
            <w:tcBorders>
              <w:top w:val="single" w:sz="4" w:space="0" w:color="auto"/>
              <w:left w:val="single" w:sz="4" w:space="0" w:color="auto"/>
              <w:bottom w:val="single" w:sz="4" w:space="0" w:color="auto"/>
              <w:right w:val="single" w:sz="4" w:space="0" w:color="auto"/>
            </w:tcBorders>
          </w:tcPr>
          <w:p w14:paraId="5331DF94" w14:textId="77777777" w:rsidR="00771058" w:rsidRPr="00FA0D37" w:rsidRDefault="00771058" w:rsidP="00771058">
            <w:pPr>
              <w:pStyle w:val="TAL"/>
              <w:rPr>
                <w:b/>
                <w:bCs/>
                <w:i/>
                <w:iCs/>
              </w:rPr>
            </w:pPr>
            <w:r w:rsidRPr="00FA0D37">
              <w:rPr>
                <w:b/>
                <w:bCs/>
                <w:i/>
                <w:iCs/>
              </w:rPr>
              <w:t>ntn-PolarizationUL</w:t>
            </w:r>
          </w:p>
          <w:p w14:paraId="049E2B13" w14:textId="51CFC3FD" w:rsidR="00771058" w:rsidRPr="00FA0D37" w:rsidRDefault="00771058" w:rsidP="00771058">
            <w:pPr>
              <w:pStyle w:val="TAL"/>
              <w:rPr>
                <w:lang w:eastAsia="en-GB"/>
              </w:rPr>
            </w:pPr>
            <w:r w:rsidRPr="00FA0D37">
              <w:t xml:space="preserve">If present, this parameter indicates polarization information for uplink transmission on service link. If not present and </w:t>
            </w:r>
            <w:r w:rsidRPr="00FA0D37">
              <w:rPr>
                <w:i/>
                <w:iCs/>
              </w:rPr>
              <w:t>ntn</w:t>
            </w:r>
            <w:r w:rsidR="001163BA" w:rsidRPr="00FA0D37">
              <w:rPr>
                <w:i/>
                <w:iCs/>
              </w:rPr>
              <w:t>-</w:t>
            </w:r>
            <w:r w:rsidRPr="00FA0D37">
              <w:rPr>
                <w:i/>
                <w:iCs/>
              </w:rPr>
              <w:t>PolarizationDL</w:t>
            </w:r>
            <w:r w:rsidRPr="00FA0D37">
              <w:t xml:space="preserve"> is present, UE assumes the same polarization for UL and DL.</w:t>
            </w:r>
          </w:p>
        </w:tc>
      </w:tr>
      <w:tr w:rsidR="005C7FF4" w:rsidRPr="00FA0D37" w14:paraId="672547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F7068" w:rsidRPr="00FA0D37" w:rsidRDefault="003F7068" w:rsidP="003F7068">
            <w:pPr>
              <w:pStyle w:val="TAL"/>
              <w:rPr>
                <w:b/>
                <w:i/>
                <w:szCs w:val="22"/>
                <w:lang w:eastAsia="en-GB"/>
              </w:rPr>
            </w:pPr>
            <w:r w:rsidRPr="00FA0D37">
              <w:rPr>
                <w:b/>
                <w:i/>
                <w:szCs w:val="22"/>
                <w:lang w:eastAsia="en-GB"/>
              </w:rPr>
              <w:t>offsetMO</w:t>
            </w:r>
          </w:p>
          <w:p w14:paraId="36B55FB4" w14:textId="77777777" w:rsidR="003F7068" w:rsidRPr="00FA0D37" w:rsidRDefault="003F7068" w:rsidP="003F7068">
            <w:pPr>
              <w:pStyle w:val="TAL"/>
              <w:rPr>
                <w:b/>
                <w:i/>
                <w:szCs w:val="22"/>
                <w:lang w:eastAsia="en-GB"/>
              </w:rPr>
            </w:pPr>
            <w:r w:rsidRPr="00FA0D37">
              <w:rPr>
                <w:szCs w:val="22"/>
                <w:lang w:eastAsia="en-GB"/>
              </w:rPr>
              <w:t xml:space="preserve">Offset values applicable to all measured cells with reference signal(s) indicated in this </w:t>
            </w:r>
            <w:r w:rsidRPr="00FA0D37">
              <w:rPr>
                <w:i/>
                <w:szCs w:val="22"/>
                <w:lang w:eastAsia="en-GB"/>
              </w:rPr>
              <w:t>MeasObjectNR</w:t>
            </w:r>
            <w:r w:rsidRPr="00FA0D37">
              <w:rPr>
                <w:szCs w:val="22"/>
                <w:lang w:eastAsia="en-GB"/>
              </w:rPr>
              <w:t>.</w:t>
            </w:r>
          </w:p>
        </w:tc>
      </w:tr>
      <w:tr w:rsidR="005C7FF4" w:rsidRPr="00FA0D37" w14:paraId="5C123B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F7068" w:rsidRPr="00FA0D37" w:rsidRDefault="003F7068" w:rsidP="003F7068">
            <w:pPr>
              <w:pStyle w:val="TAL"/>
              <w:rPr>
                <w:b/>
                <w:i/>
                <w:iCs/>
                <w:szCs w:val="22"/>
                <w:lang w:eastAsia="en-GB"/>
              </w:rPr>
            </w:pPr>
            <w:r w:rsidRPr="00FA0D37">
              <w:rPr>
                <w:b/>
                <w:i/>
                <w:iCs/>
                <w:szCs w:val="22"/>
                <w:lang w:eastAsia="en-GB"/>
              </w:rPr>
              <w:t>quantityConfigIndex</w:t>
            </w:r>
          </w:p>
          <w:p w14:paraId="4E779169" w14:textId="77777777" w:rsidR="003F7068" w:rsidRPr="00FA0D37" w:rsidRDefault="003F7068" w:rsidP="003F7068">
            <w:pPr>
              <w:pStyle w:val="TAL"/>
              <w:rPr>
                <w:b/>
                <w:i/>
                <w:szCs w:val="22"/>
                <w:lang w:eastAsia="en-GB"/>
              </w:rPr>
            </w:pPr>
            <w:r w:rsidRPr="00FA0D37">
              <w:rPr>
                <w:szCs w:val="22"/>
                <w:lang w:eastAsia="en-GB"/>
              </w:rPr>
              <w:t>Indicates the n-</w:t>
            </w:r>
            <w:r w:rsidRPr="00FA0D37">
              <w:rPr>
                <w:i/>
                <w:szCs w:val="22"/>
                <w:lang w:eastAsia="en-GB"/>
              </w:rPr>
              <w:t>th</w:t>
            </w:r>
            <w:r w:rsidRPr="00FA0D37">
              <w:rPr>
                <w:szCs w:val="22"/>
                <w:lang w:eastAsia="en-GB"/>
              </w:rPr>
              <w:t xml:space="preserve"> element of </w:t>
            </w:r>
            <w:r w:rsidRPr="00FA0D37">
              <w:rPr>
                <w:i/>
                <w:szCs w:val="22"/>
                <w:lang w:eastAsia="en-GB"/>
              </w:rPr>
              <w:t xml:space="preserve">quantityConfigNR-List </w:t>
            </w:r>
            <w:r w:rsidRPr="00FA0D37">
              <w:rPr>
                <w:szCs w:val="22"/>
                <w:lang w:eastAsia="en-GB"/>
              </w:rPr>
              <w:t xml:space="preserve">provided in </w:t>
            </w:r>
            <w:r w:rsidRPr="00FA0D37">
              <w:rPr>
                <w:i/>
                <w:szCs w:val="22"/>
                <w:lang w:eastAsia="en-GB"/>
              </w:rPr>
              <w:t>MeasConfig</w:t>
            </w:r>
            <w:r w:rsidRPr="00FA0D37">
              <w:rPr>
                <w:szCs w:val="22"/>
                <w:lang w:eastAsia="en-GB"/>
              </w:rPr>
              <w:t>.</w:t>
            </w:r>
          </w:p>
        </w:tc>
      </w:tr>
      <w:tr w:rsidR="005C7FF4" w:rsidRPr="00FA0D37" w14:paraId="1F75C6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F7068" w:rsidRPr="00FA0D37" w:rsidRDefault="003F7068" w:rsidP="003F7068">
            <w:pPr>
              <w:pStyle w:val="TAL"/>
              <w:rPr>
                <w:szCs w:val="22"/>
                <w:lang w:eastAsia="en-GB"/>
              </w:rPr>
            </w:pPr>
            <w:r w:rsidRPr="00FA0D37">
              <w:rPr>
                <w:b/>
                <w:i/>
                <w:szCs w:val="22"/>
                <w:lang w:eastAsia="en-GB"/>
              </w:rPr>
              <w:t>referenceSignalConfig</w:t>
            </w:r>
          </w:p>
          <w:p w14:paraId="7FDB69C6" w14:textId="77777777" w:rsidR="003F7068" w:rsidRPr="00FA0D37" w:rsidRDefault="003F7068" w:rsidP="003F7068">
            <w:pPr>
              <w:pStyle w:val="TAL"/>
              <w:rPr>
                <w:b/>
                <w:i/>
                <w:iCs/>
                <w:szCs w:val="22"/>
                <w:lang w:eastAsia="en-GB"/>
              </w:rPr>
            </w:pPr>
            <w:r w:rsidRPr="00FA0D37">
              <w:rPr>
                <w:szCs w:val="22"/>
                <w:lang w:eastAsia="en-GB"/>
              </w:rPr>
              <w:t>RS configuration for SS/PBCH block and CSI-RS.</w:t>
            </w:r>
          </w:p>
        </w:tc>
      </w:tr>
      <w:tr w:rsidR="005C7FF4" w:rsidRPr="00FA0D37" w14:paraId="7C0AED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F7068" w:rsidRPr="00FA0D37" w:rsidRDefault="003F7068" w:rsidP="003F7068">
            <w:pPr>
              <w:pStyle w:val="TAL"/>
              <w:rPr>
                <w:b/>
                <w:i/>
                <w:szCs w:val="22"/>
                <w:lang w:eastAsia="en-GB"/>
              </w:rPr>
            </w:pPr>
            <w:r w:rsidRPr="00FA0D37">
              <w:rPr>
                <w:b/>
                <w:i/>
                <w:szCs w:val="22"/>
                <w:lang w:eastAsia="en-GB"/>
              </w:rPr>
              <w:t>refFreqCSI-RS</w:t>
            </w:r>
          </w:p>
          <w:p w14:paraId="7667829E" w14:textId="77777777" w:rsidR="003F7068" w:rsidRPr="00FA0D37" w:rsidRDefault="003F7068" w:rsidP="003F7068">
            <w:pPr>
              <w:pStyle w:val="TAL"/>
              <w:rPr>
                <w:b/>
                <w:i/>
                <w:szCs w:val="22"/>
                <w:lang w:eastAsia="en-GB"/>
              </w:rPr>
            </w:pPr>
            <w:r w:rsidRPr="00FA0D37">
              <w:rPr>
                <w:szCs w:val="22"/>
                <w:lang w:eastAsia="en-GB"/>
              </w:rPr>
              <w:t>Point A which is used for mapping of CSI-RS to physical resources according to TS 38.211 [16] clause 7.4.1.5.3.</w:t>
            </w:r>
          </w:p>
        </w:tc>
      </w:tr>
      <w:tr w:rsidR="005C7FF4" w:rsidRPr="00FA0D37" w14:paraId="459A8A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F7068" w:rsidRPr="00FA0D37" w:rsidRDefault="003F7068" w:rsidP="003F7068">
            <w:pPr>
              <w:pStyle w:val="TAL"/>
              <w:rPr>
                <w:szCs w:val="22"/>
                <w:lang w:eastAsia="sv-SE"/>
              </w:rPr>
            </w:pPr>
            <w:r w:rsidRPr="00FA0D37">
              <w:rPr>
                <w:b/>
                <w:i/>
                <w:szCs w:val="22"/>
                <w:lang w:eastAsia="sv-SE"/>
              </w:rPr>
              <w:t>smtc1</w:t>
            </w:r>
          </w:p>
          <w:p w14:paraId="75A492A4" w14:textId="77777777" w:rsidR="003F7068" w:rsidRPr="00FA0D37" w:rsidRDefault="003F7068" w:rsidP="003F7068">
            <w:pPr>
              <w:pStyle w:val="TAL"/>
              <w:rPr>
                <w:szCs w:val="22"/>
                <w:lang w:eastAsia="sv-SE"/>
              </w:rPr>
            </w:pPr>
            <w:r w:rsidRPr="00FA0D37">
              <w:rPr>
                <w:szCs w:val="22"/>
                <w:lang w:eastAsia="sv-SE"/>
              </w:rPr>
              <w:t>Primary measurement timing configuration. (see clause 5.5.2.10).</w:t>
            </w:r>
          </w:p>
        </w:tc>
      </w:tr>
      <w:tr w:rsidR="005C7FF4" w:rsidRPr="00FA0D37" w14:paraId="13196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F7068" w:rsidRPr="00FA0D37" w:rsidRDefault="003F7068" w:rsidP="003F7068">
            <w:pPr>
              <w:pStyle w:val="TAL"/>
              <w:rPr>
                <w:szCs w:val="22"/>
                <w:lang w:eastAsia="sv-SE"/>
              </w:rPr>
            </w:pPr>
            <w:r w:rsidRPr="00FA0D37">
              <w:rPr>
                <w:b/>
                <w:i/>
                <w:szCs w:val="22"/>
                <w:lang w:eastAsia="sv-SE"/>
              </w:rPr>
              <w:t>smtc2</w:t>
            </w:r>
          </w:p>
          <w:p w14:paraId="31B1F539" w14:textId="77777777" w:rsidR="003F7068" w:rsidRPr="00FA0D37" w:rsidRDefault="003F7068" w:rsidP="003F7068">
            <w:pPr>
              <w:pStyle w:val="TAL"/>
              <w:rPr>
                <w:szCs w:val="22"/>
                <w:lang w:eastAsia="sv-SE"/>
              </w:rPr>
            </w:pPr>
            <w:r w:rsidRPr="00FA0D37">
              <w:rPr>
                <w:szCs w:val="22"/>
                <w:lang w:eastAsia="sv-SE"/>
              </w:rPr>
              <w:t xml:space="preserve">Secondary measurement timing configuration for SS corresponding to this </w:t>
            </w:r>
            <w:r w:rsidRPr="00FA0D37">
              <w:rPr>
                <w:i/>
                <w:lang w:eastAsia="sv-SE"/>
              </w:rPr>
              <w:t>MeasObjectNR</w:t>
            </w:r>
            <w:r w:rsidRPr="00FA0D37">
              <w:rPr>
                <w:szCs w:val="22"/>
                <w:lang w:eastAsia="sv-SE"/>
              </w:rPr>
              <w:t xml:space="preserve"> with PCI listed in </w:t>
            </w:r>
            <w:r w:rsidRPr="00FA0D37">
              <w:rPr>
                <w:i/>
                <w:lang w:eastAsia="sv-SE"/>
              </w:rPr>
              <w:t>pci-List</w:t>
            </w:r>
            <w:r w:rsidRPr="00FA0D37">
              <w:rPr>
                <w:szCs w:val="22"/>
                <w:lang w:eastAsia="sv-SE"/>
              </w:rPr>
              <w:t xml:space="preserve">. For these SS, the periodicity is indicated by </w:t>
            </w:r>
            <w:r w:rsidRPr="00FA0D37">
              <w:rPr>
                <w:i/>
                <w:lang w:eastAsia="sv-SE"/>
              </w:rPr>
              <w:t>periodicity</w:t>
            </w:r>
            <w:r w:rsidRPr="00FA0D37">
              <w:rPr>
                <w:szCs w:val="22"/>
                <w:lang w:eastAsia="sv-SE"/>
              </w:rPr>
              <w:t xml:space="preserve"> in </w:t>
            </w:r>
            <w:r w:rsidRPr="00FA0D37">
              <w:rPr>
                <w:i/>
                <w:lang w:eastAsia="sv-SE"/>
              </w:rPr>
              <w:t>smtc2</w:t>
            </w:r>
            <w:r w:rsidRPr="00FA0D37">
              <w:rPr>
                <w:szCs w:val="22"/>
                <w:lang w:eastAsia="sv-SE"/>
              </w:rPr>
              <w:t xml:space="preserve"> and the timing offset is equal to the offset indicated in </w:t>
            </w:r>
            <w:r w:rsidRPr="00FA0D37">
              <w:rPr>
                <w:i/>
                <w:lang w:eastAsia="sv-SE"/>
              </w:rPr>
              <w:t>periodicityAndOffset</w:t>
            </w:r>
            <w:r w:rsidRPr="00FA0D37">
              <w:rPr>
                <w:szCs w:val="22"/>
                <w:lang w:eastAsia="sv-SE"/>
              </w:rPr>
              <w:t xml:space="preserve"> modulo </w:t>
            </w:r>
            <w:r w:rsidRPr="00FA0D37">
              <w:rPr>
                <w:i/>
                <w:lang w:eastAsia="sv-SE"/>
              </w:rPr>
              <w:t>periodicity</w:t>
            </w:r>
            <w:r w:rsidRPr="00FA0D37">
              <w:rPr>
                <w:szCs w:val="22"/>
                <w:lang w:eastAsia="sv-SE"/>
              </w:rPr>
              <w:t xml:space="preserve">. </w:t>
            </w:r>
            <w:r w:rsidRPr="00FA0D37">
              <w:rPr>
                <w:i/>
                <w:lang w:eastAsia="sv-SE"/>
              </w:rPr>
              <w:t>periodicity</w:t>
            </w:r>
            <w:r w:rsidRPr="00FA0D37">
              <w:rPr>
                <w:szCs w:val="22"/>
                <w:lang w:eastAsia="sv-SE"/>
              </w:rPr>
              <w:t xml:space="preserve"> in smtc2 can only be set to a value strictly shorter than the periodicity indicated by </w:t>
            </w:r>
            <w:r w:rsidRPr="00FA0D37">
              <w:rPr>
                <w:i/>
                <w:lang w:eastAsia="sv-SE"/>
              </w:rPr>
              <w:t>periodicityAndOffset</w:t>
            </w:r>
            <w:r w:rsidRPr="00FA0D37">
              <w:rPr>
                <w:szCs w:val="22"/>
                <w:lang w:eastAsia="sv-SE"/>
              </w:rPr>
              <w:t xml:space="preserve"> in </w:t>
            </w:r>
            <w:r w:rsidRPr="00FA0D37">
              <w:rPr>
                <w:i/>
                <w:lang w:eastAsia="sv-SE"/>
              </w:rPr>
              <w:t>smtc1</w:t>
            </w:r>
            <w:r w:rsidRPr="00FA0D37">
              <w:rPr>
                <w:szCs w:val="22"/>
                <w:lang w:eastAsia="sv-SE"/>
              </w:rPr>
              <w:t xml:space="preserve"> (e.g. if </w:t>
            </w:r>
            <w:r w:rsidRPr="00FA0D37">
              <w:rPr>
                <w:i/>
                <w:lang w:eastAsia="sv-SE"/>
              </w:rPr>
              <w:t>periodicityAndOffset</w:t>
            </w:r>
            <w:r w:rsidRPr="00FA0D37">
              <w:rPr>
                <w:szCs w:val="22"/>
                <w:lang w:eastAsia="sv-SE"/>
              </w:rPr>
              <w:t xml:space="preserve"> indicates </w:t>
            </w:r>
            <w:r w:rsidRPr="00FA0D37">
              <w:rPr>
                <w:i/>
                <w:lang w:eastAsia="sv-SE"/>
              </w:rPr>
              <w:t>sf10</w:t>
            </w:r>
            <w:r w:rsidRPr="00FA0D37">
              <w:rPr>
                <w:szCs w:val="22"/>
                <w:lang w:eastAsia="sv-SE"/>
              </w:rPr>
              <w:t xml:space="preserve">, </w:t>
            </w:r>
            <w:r w:rsidRPr="00FA0D37">
              <w:rPr>
                <w:i/>
                <w:lang w:eastAsia="sv-SE"/>
              </w:rPr>
              <w:t>periodicity</w:t>
            </w:r>
            <w:r w:rsidRPr="00FA0D37">
              <w:rPr>
                <w:szCs w:val="22"/>
                <w:lang w:eastAsia="sv-SE"/>
              </w:rPr>
              <w:t xml:space="preserve"> can only be set of </w:t>
            </w:r>
            <w:r w:rsidRPr="00FA0D37">
              <w:rPr>
                <w:i/>
                <w:lang w:eastAsia="sv-SE"/>
              </w:rPr>
              <w:t>sf5</w:t>
            </w:r>
            <w:r w:rsidRPr="00FA0D37">
              <w:rPr>
                <w:szCs w:val="22"/>
                <w:lang w:eastAsia="sv-SE"/>
              </w:rPr>
              <w:t xml:space="preserve">, if </w:t>
            </w:r>
            <w:r w:rsidRPr="00FA0D37">
              <w:rPr>
                <w:i/>
                <w:lang w:eastAsia="sv-SE"/>
              </w:rPr>
              <w:t>periodicityAndOffset</w:t>
            </w:r>
            <w:r w:rsidRPr="00FA0D37">
              <w:rPr>
                <w:szCs w:val="22"/>
                <w:lang w:eastAsia="sv-SE"/>
              </w:rPr>
              <w:t xml:space="preserve"> indicates </w:t>
            </w:r>
            <w:r w:rsidRPr="00FA0D37">
              <w:rPr>
                <w:i/>
                <w:lang w:eastAsia="sv-SE"/>
              </w:rPr>
              <w:t>sf5</w:t>
            </w:r>
            <w:r w:rsidRPr="00FA0D37">
              <w:rPr>
                <w:szCs w:val="22"/>
                <w:lang w:eastAsia="sv-SE"/>
              </w:rPr>
              <w:t xml:space="preserve">, </w:t>
            </w:r>
            <w:r w:rsidRPr="00FA0D37">
              <w:rPr>
                <w:i/>
                <w:lang w:eastAsia="sv-SE"/>
              </w:rPr>
              <w:t>smtc2</w:t>
            </w:r>
            <w:r w:rsidRPr="00FA0D37">
              <w:rPr>
                <w:szCs w:val="22"/>
                <w:lang w:eastAsia="sv-SE"/>
              </w:rPr>
              <w:t xml:space="preserve"> cannot be configured).</w:t>
            </w:r>
          </w:p>
        </w:tc>
      </w:tr>
      <w:tr w:rsidR="005C7FF4" w:rsidRPr="00FA0D37" w14:paraId="6B0888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F7068" w:rsidRPr="00FA0D37" w:rsidRDefault="003F7068" w:rsidP="003F7068">
            <w:pPr>
              <w:pStyle w:val="TAL"/>
              <w:rPr>
                <w:b/>
                <w:i/>
                <w:szCs w:val="22"/>
                <w:lang w:eastAsia="en-GB"/>
              </w:rPr>
            </w:pPr>
            <w:r w:rsidRPr="00FA0D37">
              <w:rPr>
                <w:b/>
                <w:i/>
                <w:szCs w:val="22"/>
                <w:lang w:eastAsia="en-GB"/>
              </w:rPr>
              <w:t>smtc3list</w:t>
            </w:r>
          </w:p>
          <w:p w14:paraId="1FD93665" w14:textId="77777777" w:rsidR="003F7068" w:rsidRPr="00FA0D37" w:rsidRDefault="003F7068" w:rsidP="003F7068">
            <w:pPr>
              <w:pStyle w:val="TAL"/>
              <w:rPr>
                <w:szCs w:val="22"/>
                <w:lang w:eastAsia="sv-SE"/>
              </w:rPr>
            </w:pPr>
            <w:r w:rsidRPr="00FA0D37">
              <w:rPr>
                <w:szCs w:val="22"/>
                <w:lang w:eastAsia="sv-SE"/>
              </w:rPr>
              <w:t>Measurement timing configuration list for SS corresponding to IAB-MT.</w:t>
            </w:r>
            <w:r w:rsidRPr="00FA0D37">
              <w:rPr>
                <w:szCs w:val="22"/>
              </w:rPr>
              <w:t xml:space="preserve"> This is used for the IAB-node's discovery of other IAB-nodes and the IAB-Donor-DUs.</w:t>
            </w:r>
          </w:p>
        </w:tc>
      </w:tr>
      <w:tr w:rsidR="005C7FF4" w:rsidRPr="00FA0D37" w14:paraId="7B325C3C" w14:textId="77777777" w:rsidTr="00964CC4">
        <w:tc>
          <w:tcPr>
            <w:tcW w:w="14173" w:type="dxa"/>
            <w:tcBorders>
              <w:top w:val="single" w:sz="4" w:space="0" w:color="auto"/>
              <w:left w:val="single" w:sz="4" w:space="0" w:color="auto"/>
              <w:bottom w:val="single" w:sz="4" w:space="0" w:color="auto"/>
              <w:right w:val="single" w:sz="4" w:space="0" w:color="auto"/>
            </w:tcBorders>
          </w:tcPr>
          <w:p w14:paraId="4959A560" w14:textId="3D7F1D7E" w:rsidR="005B7637" w:rsidRPr="00FA0D37" w:rsidRDefault="005B7637" w:rsidP="005B7637">
            <w:pPr>
              <w:pStyle w:val="TAL"/>
              <w:rPr>
                <w:b/>
                <w:i/>
                <w:szCs w:val="22"/>
                <w:lang w:eastAsia="en-GB"/>
              </w:rPr>
            </w:pPr>
            <w:r w:rsidRPr="00FA0D37">
              <w:rPr>
                <w:b/>
                <w:i/>
                <w:szCs w:val="22"/>
                <w:lang w:eastAsia="en-GB"/>
              </w:rPr>
              <w:t>smtc4</w:t>
            </w:r>
            <w:r w:rsidR="00771058" w:rsidRPr="00FA0D37">
              <w:rPr>
                <w:b/>
                <w:i/>
                <w:szCs w:val="22"/>
                <w:lang w:eastAsia="en-GB"/>
              </w:rPr>
              <w:t>l</w:t>
            </w:r>
            <w:r w:rsidRPr="00FA0D37">
              <w:rPr>
                <w:b/>
                <w:i/>
                <w:szCs w:val="22"/>
                <w:lang w:eastAsia="en-GB"/>
              </w:rPr>
              <w:t>ist</w:t>
            </w:r>
          </w:p>
          <w:p w14:paraId="2F697175" w14:textId="28FF7EFD" w:rsidR="005B7637" w:rsidRPr="00FA0D37" w:rsidRDefault="005B7637" w:rsidP="005B7637">
            <w:pPr>
              <w:pStyle w:val="TAL"/>
              <w:rPr>
                <w:b/>
                <w:i/>
                <w:szCs w:val="22"/>
                <w:lang w:eastAsia="en-GB"/>
              </w:rPr>
            </w:pPr>
            <w:r w:rsidRPr="00FA0D37">
              <w:rPr>
                <w:bCs/>
                <w:iCs/>
                <w:szCs w:val="22"/>
                <w:lang w:eastAsia="en-GB"/>
              </w:rPr>
              <w:t>Measurement timing configuration list for NTN deployments</w:t>
            </w:r>
            <w:r w:rsidR="001163BA" w:rsidRPr="00FA0D37">
              <w:rPr>
                <w:bCs/>
                <w:iCs/>
                <w:szCs w:val="22"/>
                <w:lang w:eastAsia="en-GB"/>
              </w:rPr>
              <w:t>, see clause 5.5.2.10</w:t>
            </w:r>
            <w:r w:rsidRPr="00FA0D37">
              <w:rPr>
                <w:bCs/>
                <w:iCs/>
                <w:szCs w:val="22"/>
                <w:lang w:eastAsia="en-GB"/>
              </w:rPr>
              <w:t>.</w:t>
            </w:r>
          </w:p>
        </w:tc>
      </w:tr>
      <w:tr w:rsidR="005C7FF4" w:rsidRPr="00FA0D37" w14:paraId="15F44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3E3BB" w14:textId="3D3B7EEF" w:rsidR="003F7068" w:rsidRPr="00FA0D37" w:rsidRDefault="003F7068" w:rsidP="003F7068">
            <w:pPr>
              <w:pStyle w:val="TAL"/>
              <w:rPr>
                <w:b/>
                <w:i/>
                <w:szCs w:val="22"/>
                <w:lang w:eastAsia="en-GB"/>
              </w:rPr>
            </w:pPr>
            <w:r w:rsidRPr="00FA0D37">
              <w:rPr>
                <w:rFonts w:cs="Arial"/>
                <w:b/>
                <w:i/>
                <w:iCs/>
                <w:szCs w:val="18"/>
                <w:lang w:eastAsia="sv-SE"/>
              </w:rPr>
              <w:t>ssbFrequency</w:t>
            </w:r>
            <w:r w:rsidRPr="00FA0D37">
              <w:rPr>
                <w:rFonts w:cs="Arial"/>
                <w:b/>
                <w:i/>
                <w:iCs/>
                <w:szCs w:val="18"/>
                <w:lang w:eastAsia="sv-SE"/>
              </w:rPr>
              <w:br/>
            </w:r>
            <w:r w:rsidRPr="00FA0D37">
              <w:rPr>
                <w:rFonts w:cs="Arial"/>
                <w:iCs/>
                <w:szCs w:val="18"/>
                <w:lang w:eastAsia="sv-SE"/>
              </w:rPr>
              <w:t xml:space="preserve">Indicates the frequency of the SS associated to this </w:t>
            </w:r>
            <w:r w:rsidRPr="00FA0D37">
              <w:rPr>
                <w:i/>
                <w:lang w:eastAsia="sv-SE"/>
              </w:rPr>
              <w:t>MeasObjectNR</w:t>
            </w:r>
            <w:r w:rsidRPr="00FA0D37">
              <w:rPr>
                <w:rFonts w:cs="Arial"/>
                <w:iCs/>
                <w:szCs w:val="18"/>
                <w:lang w:eastAsia="sv-SE"/>
              </w:rPr>
              <w:t>.</w:t>
            </w:r>
            <w:r w:rsidRPr="00FA0D37">
              <w:t xml:space="preserve"> For operation with shared spectrum channel access, this field is a k*30 kHz shift from the sync raster where k = 0,1,2, and so on if the </w:t>
            </w:r>
            <w:r w:rsidRPr="00FA0D37">
              <w:rPr>
                <w:i/>
                <w:iCs/>
              </w:rPr>
              <w:t>reportType</w:t>
            </w:r>
            <w:r w:rsidRPr="00FA0D37">
              <w:t xml:space="preserve"> within the corresponding </w:t>
            </w:r>
            <w:r w:rsidRPr="00FA0D37">
              <w:rPr>
                <w:i/>
                <w:iCs/>
              </w:rPr>
              <w:t>ReportConfigNR</w:t>
            </w:r>
            <w:r w:rsidRPr="00FA0D37">
              <w:t xml:space="preserve"> is set to reportCGI (see TS 38.211 [16], clause 7.4.3.1). Frequencies are considered to be on the sync raster if they are also identifiable with a GSCN value (see TS 38.101-1 [15]</w:t>
            </w:r>
            <w:r w:rsidR="00862D3D" w:rsidRPr="00FA0D37">
              <w:t>, or TS 38.101-5 [75]</w:t>
            </w:r>
            <w:r w:rsidRPr="00FA0D37">
              <w:t>).</w:t>
            </w:r>
          </w:p>
        </w:tc>
      </w:tr>
      <w:tr w:rsidR="005C7FF4" w:rsidRPr="00FA0D37" w14:paraId="52DF4449" w14:textId="77777777" w:rsidTr="00964CC4">
        <w:tc>
          <w:tcPr>
            <w:tcW w:w="14173" w:type="dxa"/>
            <w:tcBorders>
              <w:top w:val="single" w:sz="4" w:space="0" w:color="auto"/>
              <w:left w:val="single" w:sz="4" w:space="0" w:color="auto"/>
              <w:bottom w:val="single" w:sz="4" w:space="0" w:color="auto"/>
              <w:right w:val="single" w:sz="4" w:space="0" w:color="auto"/>
            </w:tcBorders>
          </w:tcPr>
          <w:p w14:paraId="56872012" w14:textId="77777777" w:rsidR="003F7068" w:rsidRPr="00FA0D37" w:rsidRDefault="003F7068" w:rsidP="003F7068">
            <w:pPr>
              <w:pStyle w:val="TAL"/>
              <w:rPr>
                <w:rFonts w:cs="Arial"/>
                <w:bCs/>
                <w:szCs w:val="18"/>
                <w:lang w:eastAsia="sv-SE"/>
              </w:rPr>
            </w:pPr>
            <w:r w:rsidRPr="00FA0D37">
              <w:rPr>
                <w:rFonts w:cs="Arial"/>
                <w:b/>
                <w:i/>
                <w:iCs/>
                <w:szCs w:val="18"/>
                <w:lang w:eastAsia="sv-SE"/>
              </w:rPr>
              <w:t>ssb-PositionQCL-Common</w:t>
            </w:r>
          </w:p>
          <w:p w14:paraId="18E6372C" w14:textId="77777777" w:rsidR="003F7068" w:rsidRPr="00FA0D37" w:rsidRDefault="003F7068" w:rsidP="003F7068">
            <w:pPr>
              <w:pStyle w:val="TAL"/>
              <w:rPr>
                <w:rFonts w:cs="Arial"/>
                <w:b/>
                <w:i/>
                <w:iCs/>
                <w:szCs w:val="18"/>
                <w:lang w:eastAsia="sv-SE"/>
              </w:rPr>
            </w:pPr>
            <w:r w:rsidRPr="00FA0D37">
              <w:rPr>
                <w:rFonts w:cs="Arial"/>
                <w:bCs/>
                <w:szCs w:val="18"/>
                <w:lang w:eastAsia="sv-SE"/>
              </w:rPr>
              <w:t>Indicates the QCL relationship between SS/PBCH blocks for all measured cells as specified in TS 38.213 [13], clause 4.1.</w:t>
            </w:r>
          </w:p>
        </w:tc>
      </w:tr>
      <w:tr w:rsidR="005C7FF4" w:rsidRPr="00FA0D37" w14:paraId="1F32B6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F7068" w:rsidRPr="00FA0D37" w:rsidRDefault="003F7068" w:rsidP="003F7068">
            <w:pPr>
              <w:pStyle w:val="TAL"/>
              <w:rPr>
                <w:szCs w:val="22"/>
                <w:lang w:eastAsia="sv-SE"/>
              </w:rPr>
            </w:pPr>
            <w:r w:rsidRPr="00FA0D37">
              <w:rPr>
                <w:b/>
                <w:i/>
                <w:szCs w:val="22"/>
                <w:lang w:eastAsia="sv-SE"/>
              </w:rPr>
              <w:lastRenderedPageBreak/>
              <w:t>ssbSubcarrierSpacing</w:t>
            </w:r>
          </w:p>
          <w:p w14:paraId="53ABD26C" w14:textId="57B8F3DB" w:rsidR="003F7068" w:rsidRPr="00FA0D37" w:rsidRDefault="003F7068" w:rsidP="003F7068">
            <w:pPr>
              <w:pStyle w:val="TAL"/>
              <w:rPr>
                <w:szCs w:val="22"/>
                <w:lang w:eastAsia="sv-SE"/>
              </w:rPr>
            </w:pPr>
            <w:r w:rsidRPr="00FA0D37">
              <w:rPr>
                <w:szCs w:val="22"/>
                <w:lang w:eastAsia="sv-SE"/>
              </w:rPr>
              <w:t>Subcarrier spacing of SSB.</w:t>
            </w:r>
          </w:p>
          <w:p w14:paraId="33767422" w14:textId="77777777" w:rsidR="006C501F" w:rsidRPr="00FA0D37" w:rsidRDefault="006C501F" w:rsidP="006C501F">
            <w:pPr>
              <w:pStyle w:val="TAL"/>
              <w:rPr>
                <w:rFonts w:cs="Arial"/>
                <w:bCs/>
                <w:szCs w:val="18"/>
                <w:lang w:eastAsia="sv-SE"/>
              </w:rPr>
            </w:pPr>
            <w:r w:rsidRPr="00FA0D37">
              <w:rPr>
                <w:rFonts w:cs="Arial"/>
                <w:bCs/>
                <w:szCs w:val="18"/>
                <w:lang w:eastAsia="sv-SE"/>
              </w:rPr>
              <w:t>Only the following values are applicable depending on the used frequency:</w:t>
            </w:r>
          </w:p>
          <w:p w14:paraId="625200FC" w14:textId="77777777" w:rsidR="006C501F" w:rsidRPr="00FA0D37" w:rsidRDefault="006C501F" w:rsidP="006C501F">
            <w:pPr>
              <w:pStyle w:val="TAL"/>
              <w:rPr>
                <w:rFonts w:cs="Arial"/>
                <w:bCs/>
                <w:szCs w:val="18"/>
                <w:lang w:eastAsia="sv-SE"/>
              </w:rPr>
            </w:pPr>
            <w:r w:rsidRPr="00FA0D37">
              <w:rPr>
                <w:rFonts w:cs="Arial"/>
                <w:bCs/>
                <w:szCs w:val="18"/>
                <w:lang w:eastAsia="sv-SE"/>
              </w:rPr>
              <w:t>FR1:    15 or 30 kHz</w:t>
            </w:r>
          </w:p>
          <w:p w14:paraId="7EFCAC11" w14:textId="7DAB4A2E" w:rsidR="006C501F" w:rsidRPr="00FA0D37" w:rsidRDefault="006C501F" w:rsidP="006C501F">
            <w:pPr>
              <w:pStyle w:val="TAL"/>
              <w:rPr>
                <w:rFonts w:cs="Arial"/>
                <w:bCs/>
                <w:szCs w:val="18"/>
                <w:lang w:eastAsia="sv-SE"/>
              </w:rPr>
            </w:pPr>
            <w:r w:rsidRPr="00FA0D37">
              <w:rPr>
                <w:rFonts w:cs="Arial"/>
                <w:bCs/>
                <w:szCs w:val="18"/>
                <w:lang w:eastAsia="sv-SE"/>
              </w:rPr>
              <w:t>FR2-1:  120 or 240 kHz</w:t>
            </w:r>
          </w:p>
          <w:p w14:paraId="2037FEB2" w14:textId="3E62174A" w:rsidR="006C501F" w:rsidRPr="00FA0D37" w:rsidRDefault="006C501F" w:rsidP="006C501F">
            <w:pPr>
              <w:pStyle w:val="TAL"/>
              <w:rPr>
                <w:rFonts w:cs="Arial"/>
                <w:bCs/>
                <w:szCs w:val="18"/>
                <w:lang w:eastAsia="sv-SE"/>
              </w:rPr>
            </w:pPr>
            <w:r w:rsidRPr="00FA0D37">
              <w:rPr>
                <w:rFonts w:cs="Arial"/>
                <w:bCs/>
                <w:szCs w:val="18"/>
                <w:lang w:eastAsia="sv-SE"/>
              </w:rPr>
              <w:t>FR2-2:  120, 480, or 960 kHz</w:t>
            </w:r>
          </w:p>
        </w:tc>
      </w:tr>
      <w:tr w:rsidR="000830BB" w:rsidRPr="00FA0D37" w14:paraId="5ED505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F7068" w:rsidRPr="00FA0D37" w:rsidRDefault="003F7068" w:rsidP="003F7068">
            <w:pPr>
              <w:pStyle w:val="TAL"/>
              <w:rPr>
                <w:b/>
                <w:i/>
                <w:noProof/>
                <w:lang w:eastAsia="sv-SE"/>
              </w:rPr>
            </w:pPr>
            <w:r w:rsidRPr="00FA0D37">
              <w:rPr>
                <w:b/>
                <w:i/>
                <w:noProof/>
                <w:lang w:eastAsia="sv-SE"/>
              </w:rPr>
              <w:t>t312</w:t>
            </w:r>
          </w:p>
          <w:p w14:paraId="346D43F6" w14:textId="77777777" w:rsidR="003F7068" w:rsidRPr="00FA0D37" w:rsidRDefault="003F7068" w:rsidP="003F7068">
            <w:pPr>
              <w:pStyle w:val="TAL"/>
              <w:rPr>
                <w:b/>
                <w:i/>
                <w:szCs w:val="22"/>
                <w:lang w:eastAsia="sv-SE"/>
              </w:rPr>
            </w:pPr>
            <w:r w:rsidRPr="00FA0D37">
              <w:rPr>
                <w:lang w:eastAsia="en-GB"/>
              </w:rPr>
              <w:t>The value of timer T312. Value ms0 represents 0 ms, ms50 represents 50 ms and so on.</w:t>
            </w:r>
          </w:p>
        </w:tc>
      </w:tr>
    </w:tbl>
    <w:p w14:paraId="5F12FDD3" w14:textId="3FF47C7E"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FA0D37" w:rsidRDefault="002D214E" w:rsidP="0071565C">
            <w:pPr>
              <w:pStyle w:val="TAH"/>
              <w:rPr>
                <w:szCs w:val="22"/>
                <w:lang w:eastAsia="sv-SE"/>
              </w:rPr>
            </w:pPr>
            <w:r w:rsidRPr="00FA0D37">
              <w:rPr>
                <w:i/>
                <w:szCs w:val="22"/>
                <w:lang w:eastAsia="sv-SE"/>
              </w:rPr>
              <w:t xml:space="preserve">ReferenceSignalConfig </w:t>
            </w:r>
            <w:r w:rsidRPr="00FA0D37">
              <w:rPr>
                <w:szCs w:val="22"/>
                <w:lang w:eastAsia="sv-SE"/>
              </w:rPr>
              <w:t>field descriptions</w:t>
            </w:r>
          </w:p>
        </w:tc>
      </w:tr>
      <w:tr w:rsidR="005C7FF4" w:rsidRPr="00FA0D37"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FA0D37" w:rsidRDefault="002D214E" w:rsidP="0071565C">
            <w:pPr>
              <w:pStyle w:val="TAL"/>
              <w:rPr>
                <w:szCs w:val="22"/>
                <w:lang w:eastAsia="sv-SE"/>
              </w:rPr>
            </w:pPr>
            <w:r w:rsidRPr="00FA0D37">
              <w:rPr>
                <w:b/>
                <w:i/>
                <w:szCs w:val="22"/>
                <w:lang w:eastAsia="sv-SE"/>
              </w:rPr>
              <w:t>csi-rs-ResourceConfigMobility</w:t>
            </w:r>
          </w:p>
          <w:p w14:paraId="49386D49" w14:textId="77777777" w:rsidR="002D214E" w:rsidRPr="00FA0D37" w:rsidRDefault="002D214E" w:rsidP="0071565C">
            <w:pPr>
              <w:pStyle w:val="TAL"/>
              <w:rPr>
                <w:szCs w:val="22"/>
                <w:lang w:eastAsia="sv-SE"/>
              </w:rPr>
            </w:pPr>
            <w:r w:rsidRPr="00FA0D37">
              <w:rPr>
                <w:szCs w:val="22"/>
                <w:lang w:eastAsia="sv-SE"/>
              </w:rPr>
              <w:t>CSI-RS resources to be used for CSI-RS based RRM measurements.</w:t>
            </w:r>
          </w:p>
        </w:tc>
      </w:tr>
      <w:tr w:rsidR="002D214E" w:rsidRPr="00FA0D37"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FA0D37" w:rsidRDefault="002D214E" w:rsidP="0071565C">
            <w:pPr>
              <w:pStyle w:val="TAL"/>
              <w:rPr>
                <w:szCs w:val="22"/>
                <w:lang w:eastAsia="sv-SE"/>
              </w:rPr>
            </w:pPr>
            <w:r w:rsidRPr="00FA0D37">
              <w:rPr>
                <w:b/>
                <w:i/>
                <w:szCs w:val="22"/>
                <w:lang w:eastAsia="sv-SE"/>
              </w:rPr>
              <w:t>ssb-ConfigMobility</w:t>
            </w:r>
          </w:p>
          <w:p w14:paraId="65A93589" w14:textId="77777777" w:rsidR="002D214E" w:rsidRPr="00FA0D37" w:rsidRDefault="002D214E" w:rsidP="0071565C">
            <w:pPr>
              <w:pStyle w:val="TAL"/>
              <w:rPr>
                <w:szCs w:val="22"/>
                <w:lang w:eastAsia="sv-SE"/>
              </w:rPr>
            </w:pPr>
            <w:r w:rsidRPr="00FA0D37">
              <w:rPr>
                <w:szCs w:val="22"/>
                <w:lang w:eastAsia="sv-SE"/>
              </w:rPr>
              <w:t>SSB configuration for mobility (nominal SSBs, timing configuration).</w:t>
            </w:r>
          </w:p>
        </w:tc>
      </w:tr>
    </w:tbl>
    <w:p w14:paraId="73DF3A1C" w14:textId="77777777" w:rsidR="002D214E" w:rsidRPr="00FA0D37"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FA0D37" w:rsidRDefault="00394471" w:rsidP="00964CC4">
            <w:pPr>
              <w:pStyle w:val="TAH"/>
              <w:rPr>
                <w:szCs w:val="22"/>
                <w:lang w:eastAsia="sv-SE"/>
              </w:rPr>
            </w:pPr>
            <w:r w:rsidRPr="00FA0D37">
              <w:rPr>
                <w:rFonts w:cs="Courier New"/>
                <w:i/>
                <w:iCs/>
                <w:lang w:eastAsia="sv-SE"/>
              </w:rPr>
              <w:lastRenderedPageBreak/>
              <w:t>RMTC-Config</w:t>
            </w:r>
            <w:r w:rsidRPr="00FA0D37">
              <w:rPr>
                <w:i/>
                <w:szCs w:val="22"/>
                <w:lang w:eastAsia="sv-SE"/>
              </w:rPr>
              <w:t xml:space="preserve"> </w:t>
            </w:r>
            <w:r w:rsidRPr="00FA0D37">
              <w:rPr>
                <w:szCs w:val="22"/>
                <w:lang w:eastAsia="sv-SE"/>
              </w:rPr>
              <w:t>field descriptions</w:t>
            </w:r>
          </w:p>
        </w:tc>
      </w:tr>
      <w:tr w:rsidR="005C7FF4" w:rsidRPr="00FA0D37"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FA0D37" w:rsidRDefault="00394471" w:rsidP="00964CC4">
            <w:pPr>
              <w:pStyle w:val="TAL"/>
              <w:rPr>
                <w:szCs w:val="22"/>
                <w:lang w:eastAsia="en-GB"/>
              </w:rPr>
            </w:pPr>
            <w:r w:rsidRPr="00FA0D37">
              <w:rPr>
                <w:b/>
                <w:bCs/>
                <w:i/>
                <w:noProof/>
                <w:lang w:eastAsia="ko-KR"/>
              </w:rPr>
              <w:t>measDurationSymbols</w:t>
            </w:r>
          </w:p>
          <w:p w14:paraId="4BFF8B83" w14:textId="77777777" w:rsidR="006C501F" w:rsidRPr="00FA0D37" w:rsidRDefault="00394471" w:rsidP="006C501F">
            <w:pPr>
              <w:pStyle w:val="TAL"/>
              <w:rPr>
                <w:szCs w:val="22"/>
                <w:lang w:eastAsia="en-GB"/>
              </w:rPr>
            </w:pPr>
            <w:r w:rsidRPr="00FA0D37">
              <w:rPr>
                <w:lang w:eastAsia="sv-SE"/>
              </w:rPr>
              <w:t>Number of consecutive symbols for which the Physical Layer reports samples of RSSI (see TS 38.215 [9]</w:t>
            </w:r>
            <w:r w:rsidRPr="00FA0D37">
              <w:rPr>
                <w:rFonts w:cs="Arial"/>
                <w:szCs w:val="18"/>
              </w:rPr>
              <w:t>, clause 5.1.21</w:t>
            </w:r>
            <w:r w:rsidRPr="00FA0D37">
              <w:rPr>
                <w:lang w:eastAsia="sv-SE"/>
              </w:rPr>
              <w:t xml:space="preserve">). Value </w:t>
            </w:r>
            <w:r w:rsidRPr="00FA0D37">
              <w:rPr>
                <w:i/>
                <w:lang w:eastAsia="sv-SE"/>
              </w:rPr>
              <w:t>sym1</w:t>
            </w:r>
            <w:r w:rsidRPr="00FA0D37">
              <w:rPr>
                <w:lang w:eastAsia="sv-SE"/>
              </w:rPr>
              <w:t xml:space="preserve"> corresponds to one symbol, </w:t>
            </w:r>
            <w:r w:rsidRPr="00FA0D37">
              <w:rPr>
                <w:i/>
                <w:lang w:eastAsia="sv-SE"/>
              </w:rPr>
              <w:t>sym14</w:t>
            </w:r>
            <w:r w:rsidRPr="00FA0D37">
              <w:rPr>
                <w:i/>
              </w:rPr>
              <w:t>or12</w:t>
            </w:r>
            <w:r w:rsidRPr="00FA0D37">
              <w:rPr>
                <w:lang w:eastAsia="sv-SE"/>
              </w:rPr>
              <w:t xml:space="preserve"> corresponds to 14 symbols</w:t>
            </w:r>
            <w:r w:rsidRPr="00FA0D37">
              <w:t xml:space="preserve"> </w:t>
            </w:r>
            <w:r w:rsidRPr="00FA0D37">
              <w:rPr>
                <w:rFonts w:cs="Arial"/>
                <w:iCs/>
                <w:szCs w:val="18"/>
              </w:rPr>
              <w:t>of the reference numerology for NCP and 12 symbols for ECP</w:t>
            </w:r>
            <w:r w:rsidRPr="00FA0D37">
              <w:rPr>
                <w:lang w:eastAsia="sv-SE"/>
              </w:rPr>
              <w:t>, and so on</w:t>
            </w:r>
            <w:r w:rsidRPr="00FA0D37">
              <w:rPr>
                <w:szCs w:val="22"/>
                <w:lang w:eastAsia="en-GB"/>
              </w:rPr>
              <w:t>.</w:t>
            </w:r>
          </w:p>
          <w:p w14:paraId="6AC7E4B8" w14:textId="6D70007B" w:rsidR="00394471" w:rsidRPr="00FA0D37" w:rsidRDefault="006C501F" w:rsidP="006C501F">
            <w:pPr>
              <w:pStyle w:val="TAL"/>
              <w:rPr>
                <w:rFonts w:cs="Arial"/>
                <w:b/>
                <w:i/>
                <w:szCs w:val="18"/>
                <w:lang w:eastAsia="en-GB"/>
              </w:rPr>
            </w:pPr>
            <w:r w:rsidRPr="00FA0D37">
              <w:rPr>
                <w:szCs w:val="22"/>
                <w:lang w:eastAsia="en-GB"/>
              </w:rPr>
              <w:t xml:space="preserve">If </w:t>
            </w:r>
            <w:r w:rsidRPr="00FA0D37">
              <w:rPr>
                <w:i/>
                <w:iCs/>
                <w:szCs w:val="22"/>
                <w:lang w:eastAsia="en-GB"/>
              </w:rPr>
              <w:t>measDurationSymbols-v17</w:t>
            </w:r>
            <w:r w:rsidR="00AB7BE4" w:rsidRPr="00FA0D37">
              <w:rPr>
                <w:i/>
                <w:iCs/>
                <w:szCs w:val="22"/>
                <w:lang w:eastAsia="en-GB"/>
              </w:rPr>
              <w:t>00</w:t>
            </w:r>
            <w:r w:rsidRPr="00FA0D37">
              <w:rPr>
                <w:szCs w:val="22"/>
                <w:lang w:eastAsia="en-GB"/>
              </w:rPr>
              <w:t xml:space="preserve"> is signalled, the UE ignores </w:t>
            </w:r>
            <w:r w:rsidRPr="00FA0D37">
              <w:rPr>
                <w:i/>
                <w:iCs/>
                <w:szCs w:val="22"/>
                <w:lang w:eastAsia="en-GB"/>
              </w:rPr>
              <w:t>measDurationSymbols-r16</w:t>
            </w:r>
            <w:r w:rsidRPr="00FA0D37">
              <w:rPr>
                <w:szCs w:val="22"/>
                <w:lang w:eastAsia="en-GB"/>
              </w:rPr>
              <w:t>.</w:t>
            </w:r>
          </w:p>
        </w:tc>
      </w:tr>
      <w:tr w:rsidR="005C7FF4" w:rsidRPr="00FA0D37"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FA0D37" w:rsidRDefault="00A345A2" w:rsidP="00DD246F">
            <w:pPr>
              <w:pStyle w:val="TAL"/>
              <w:rPr>
                <w:b/>
                <w:bCs/>
                <w:i/>
                <w:iCs/>
                <w:szCs w:val="22"/>
                <w:lang w:eastAsia="en-GB"/>
              </w:rPr>
            </w:pPr>
            <w:r w:rsidRPr="00FA0D37">
              <w:rPr>
                <w:b/>
                <w:bCs/>
                <w:i/>
                <w:iCs/>
                <w:lang w:eastAsia="en-GB"/>
              </w:rPr>
              <w:t>ref-BWPId</w:t>
            </w:r>
          </w:p>
          <w:p w14:paraId="1CE71B0E" w14:textId="0ACF299B" w:rsidR="00A345A2" w:rsidRPr="00FA0D37" w:rsidRDefault="00A345A2" w:rsidP="0071565C">
            <w:pPr>
              <w:pStyle w:val="TAL"/>
              <w:rPr>
                <w:b/>
                <w:bCs/>
                <w:i/>
                <w:noProof/>
                <w:lang w:eastAsia="ko-KR"/>
              </w:rPr>
            </w:pPr>
            <w:r w:rsidRPr="00FA0D37">
              <w:rPr>
                <w:rFonts w:cs="Arial"/>
                <w:szCs w:val="18"/>
                <w:lang w:eastAsia="en-GB"/>
              </w:rPr>
              <w:t xml:space="preserve">Indicates the reference BWP for the TCI state indicated in </w:t>
            </w:r>
            <w:r w:rsidRPr="00FA0D37">
              <w:rPr>
                <w:rFonts w:cs="Arial"/>
                <w:i/>
                <w:szCs w:val="18"/>
                <w:lang w:eastAsia="en-GB"/>
              </w:rPr>
              <w:t xml:space="preserve">tci-StateInfo. </w:t>
            </w:r>
            <w:r w:rsidRPr="00FA0D37">
              <w:rPr>
                <w:bCs/>
                <w:szCs w:val="18"/>
              </w:rPr>
              <w:t xml:space="preserve">Network </w:t>
            </w:r>
            <w:r w:rsidRPr="00FA0D37">
              <w:rPr>
                <w:bCs/>
                <w:szCs w:val="18"/>
                <w:lang w:eastAsia="en-GB"/>
              </w:rPr>
              <w:t xml:space="preserve">includes this field if </w:t>
            </w:r>
            <w:r w:rsidRPr="00FA0D37">
              <w:rPr>
                <w:bCs/>
                <w:i/>
                <w:iCs/>
                <w:szCs w:val="18"/>
              </w:rPr>
              <w:t>tci-StateInfo</w:t>
            </w:r>
            <w:r w:rsidRPr="00FA0D37">
              <w:rPr>
                <w:bCs/>
                <w:szCs w:val="18"/>
              </w:rPr>
              <w:t xml:space="preserve"> is present.</w:t>
            </w:r>
            <w:r w:rsidR="00165DBD" w:rsidRPr="00FA0D37">
              <w:rPr>
                <w:bCs/>
                <w:szCs w:val="18"/>
              </w:rPr>
              <w:t xml:space="preserve"> This field is only applicable for operation with shared spectrum channel access in FR2-2 and network does not configure this if the UE does not have any serving cells in FR2-2.</w:t>
            </w:r>
          </w:p>
        </w:tc>
      </w:tr>
      <w:tr w:rsidR="005C7FF4" w:rsidRPr="00FA0D37"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FA0D37" w:rsidRDefault="00394471" w:rsidP="00964CC4">
            <w:pPr>
              <w:pStyle w:val="TAL"/>
              <w:rPr>
                <w:b/>
                <w:bCs/>
                <w:i/>
                <w:noProof/>
                <w:lang w:eastAsia="ko-KR"/>
              </w:rPr>
            </w:pPr>
            <w:r w:rsidRPr="00FA0D37">
              <w:rPr>
                <w:b/>
                <w:bCs/>
                <w:i/>
                <w:noProof/>
                <w:lang w:eastAsia="ko-KR"/>
              </w:rPr>
              <w:t>ref-SCS-CP</w:t>
            </w:r>
          </w:p>
          <w:p w14:paraId="5542BED7" w14:textId="77777777" w:rsidR="00394471" w:rsidRPr="00FA0D37" w:rsidRDefault="00394471" w:rsidP="00964CC4">
            <w:pPr>
              <w:pStyle w:val="TAL"/>
            </w:pPr>
            <w:r w:rsidRPr="00FA0D37">
              <w:rPr>
                <w:iCs/>
                <w:noProof/>
                <w:lang w:eastAsia="ko-KR"/>
              </w:rPr>
              <w:t xml:space="preserve">Indicates </w:t>
            </w:r>
            <w:r w:rsidRPr="00FA0D37">
              <w:rPr>
                <w:rFonts w:cs="Times"/>
                <w:lang w:eastAsia="ko-KR"/>
              </w:rPr>
              <w:t xml:space="preserve">a reference subcarrier spacing and cyclic prefix to be used for RSSI measurements </w:t>
            </w:r>
            <w:r w:rsidRPr="00FA0D37">
              <w:rPr>
                <w:rFonts w:cs="Arial"/>
                <w:szCs w:val="18"/>
              </w:rPr>
              <w:t>(see TS 38.215 [9])</w:t>
            </w:r>
            <w:r w:rsidRPr="00FA0D37">
              <w:rPr>
                <w:rFonts w:cs="Arial"/>
                <w:szCs w:val="18"/>
                <w:lang w:eastAsia="en-GB"/>
              </w:rPr>
              <w:t xml:space="preserve">. </w:t>
            </w:r>
            <w:r w:rsidRPr="00FA0D37">
              <w:t>Value kHz15 corresponds to 15kHz, kHz30 corresponds to 30 kHz, value kHz60-NCP corresponds to 60 kHz using normal cyclic prefix (NCP), and kHz60-ECP corresponds to 60 kHz using extended cyclic prefix (ECP).</w:t>
            </w:r>
          </w:p>
          <w:p w14:paraId="692CBA8F" w14:textId="7CCF6C69" w:rsidR="006C501F" w:rsidRPr="00FA0D37" w:rsidRDefault="006C501F" w:rsidP="00964CC4">
            <w:pPr>
              <w:pStyle w:val="TAL"/>
              <w:rPr>
                <w:bCs/>
                <w:iCs/>
                <w:noProof/>
                <w:lang w:eastAsia="ko-KR"/>
              </w:rPr>
            </w:pPr>
            <w:r w:rsidRPr="00FA0D37">
              <w:rPr>
                <w:bCs/>
                <w:iCs/>
                <w:noProof/>
                <w:lang w:eastAsia="ko-KR"/>
              </w:rPr>
              <w:t xml:space="preserve">If </w:t>
            </w:r>
            <w:r w:rsidRPr="00FA0D37">
              <w:rPr>
                <w:bCs/>
                <w:i/>
                <w:noProof/>
                <w:lang w:eastAsia="ko-KR"/>
              </w:rPr>
              <w:t>ref-SCS-CP-v17</w:t>
            </w:r>
            <w:r w:rsidR="00AB7BE4" w:rsidRPr="00FA0D37">
              <w:rPr>
                <w:bCs/>
                <w:i/>
                <w:noProof/>
                <w:lang w:eastAsia="ko-KR"/>
              </w:rPr>
              <w:t>00</w:t>
            </w:r>
            <w:r w:rsidRPr="00FA0D37">
              <w:rPr>
                <w:bCs/>
                <w:iCs/>
                <w:noProof/>
                <w:lang w:eastAsia="ko-KR"/>
              </w:rPr>
              <w:t xml:space="preserve"> is signalled, the UE ignores </w:t>
            </w:r>
            <w:r w:rsidRPr="00FA0D37">
              <w:rPr>
                <w:bCs/>
                <w:i/>
                <w:noProof/>
                <w:lang w:eastAsia="ko-KR"/>
              </w:rPr>
              <w:t>ref-SCS-CP-r16</w:t>
            </w:r>
            <w:r w:rsidRPr="00FA0D37">
              <w:rPr>
                <w:bCs/>
                <w:iCs/>
                <w:noProof/>
                <w:lang w:eastAsia="ko-KR"/>
              </w:rPr>
              <w:t>.</w:t>
            </w:r>
          </w:p>
        </w:tc>
      </w:tr>
      <w:tr w:rsidR="005C7FF4" w:rsidRPr="00FA0D37"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FA0D37" w:rsidRDefault="00A345A2" w:rsidP="00DD246F">
            <w:pPr>
              <w:pStyle w:val="TAL"/>
              <w:rPr>
                <w:b/>
                <w:bCs/>
                <w:i/>
                <w:iCs/>
                <w:szCs w:val="22"/>
                <w:lang w:eastAsia="en-GB"/>
              </w:rPr>
            </w:pPr>
            <w:r w:rsidRPr="00FA0D37">
              <w:rPr>
                <w:b/>
                <w:bCs/>
                <w:i/>
                <w:iCs/>
                <w:lang w:eastAsia="en-GB"/>
              </w:rPr>
              <w:t>ref-ServCellId</w:t>
            </w:r>
          </w:p>
          <w:p w14:paraId="657F8796" w14:textId="011C1383" w:rsidR="00A345A2" w:rsidRPr="00FA0D37" w:rsidRDefault="00A345A2" w:rsidP="00A345A2">
            <w:pPr>
              <w:pStyle w:val="TAL"/>
              <w:rPr>
                <w:b/>
                <w:bCs/>
                <w:i/>
                <w:noProof/>
                <w:lang w:eastAsia="ko-KR"/>
              </w:rPr>
            </w:pPr>
            <w:r w:rsidRPr="00FA0D37">
              <w:rPr>
                <w:rFonts w:cs="Arial"/>
                <w:szCs w:val="18"/>
                <w:lang w:eastAsia="en-GB"/>
              </w:rPr>
              <w:t xml:space="preserve">Indicates the </w:t>
            </w:r>
            <w:r w:rsidR="00165DBD" w:rsidRPr="00FA0D37">
              <w:rPr>
                <w:rFonts w:cs="Arial"/>
                <w:szCs w:val="18"/>
                <w:lang w:eastAsia="en-GB"/>
              </w:rPr>
              <w:t xml:space="preserve">FR2-2 </w:t>
            </w:r>
            <w:r w:rsidRPr="00FA0D37">
              <w:rPr>
                <w:rFonts w:cs="Arial"/>
                <w:szCs w:val="18"/>
                <w:lang w:eastAsia="en-GB"/>
              </w:rPr>
              <w:t>reference serving cell index for the TCI state.</w:t>
            </w:r>
            <w:r w:rsidRPr="00FA0D37">
              <w:rPr>
                <w:bCs/>
                <w:szCs w:val="18"/>
              </w:rPr>
              <w:t xml:space="preserve"> Network </w:t>
            </w:r>
            <w:r w:rsidRPr="00FA0D37">
              <w:rPr>
                <w:bCs/>
                <w:szCs w:val="18"/>
                <w:lang w:eastAsia="en-GB"/>
              </w:rPr>
              <w:t xml:space="preserve">includes this field if </w:t>
            </w:r>
            <w:r w:rsidRPr="00FA0D37">
              <w:rPr>
                <w:bCs/>
                <w:i/>
                <w:iCs/>
                <w:szCs w:val="18"/>
              </w:rPr>
              <w:t>tci-StateInfo</w:t>
            </w:r>
            <w:r w:rsidRPr="00FA0D37">
              <w:rPr>
                <w:bCs/>
                <w:szCs w:val="18"/>
              </w:rPr>
              <w:t xml:space="preserve"> is present.</w:t>
            </w:r>
            <w:r w:rsidR="00165DBD" w:rsidRPr="00FA0D37">
              <w:rPr>
                <w:bCs/>
                <w:szCs w:val="18"/>
              </w:rPr>
              <w:t xml:space="preserve"> </w:t>
            </w:r>
            <w:r w:rsidR="00165DBD" w:rsidRPr="00FA0D37">
              <w:rPr>
                <w:rFonts w:cs="Arial"/>
                <w:bCs/>
                <w:iCs/>
                <w:szCs w:val="18"/>
                <w:lang w:eastAsia="en-GB"/>
              </w:rPr>
              <w:t>This field is only applicable for operation with shared spectrum channel access in FR2-2 and network does not configure this if the UE does not have any serving cells in FR2-2.</w:t>
            </w:r>
          </w:p>
        </w:tc>
      </w:tr>
      <w:tr w:rsidR="005C7FF4" w:rsidRPr="00FA0D37"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FA0D37" w:rsidRDefault="006C501F" w:rsidP="000830BB">
            <w:pPr>
              <w:pStyle w:val="TAL"/>
              <w:rPr>
                <w:b/>
                <w:bCs/>
                <w:i/>
                <w:iCs/>
                <w:szCs w:val="22"/>
                <w:lang w:eastAsia="en-GB"/>
              </w:rPr>
            </w:pPr>
            <w:r w:rsidRPr="00FA0D37">
              <w:rPr>
                <w:b/>
                <w:bCs/>
                <w:i/>
                <w:iCs/>
                <w:lang w:eastAsia="en-GB"/>
              </w:rPr>
              <w:t>rmtc-Bandwidth</w:t>
            </w:r>
          </w:p>
          <w:p w14:paraId="7B373BE0" w14:textId="77777777" w:rsidR="006C501F" w:rsidRPr="00FA0D37" w:rsidRDefault="006C501F" w:rsidP="000830BB">
            <w:pPr>
              <w:pStyle w:val="TAL"/>
              <w:rPr>
                <w:szCs w:val="22"/>
                <w:lang w:eastAsia="sv-SE"/>
              </w:rPr>
            </w:pPr>
            <w:r w:rsidRPr="00FA0D37">
              <w:rPr>
                <w:lang w:eastAsia="sv-SE"/>
              </w:rPr>
              <w:t>Indicates the bandwidth for the RSSI measurement (see TS 38.</w:t>
            </w:r>
            <w:r w:rsidRPr="00FA0D37">
              <w:t xml:space="preserve"> 215 [9]</w:t>
            </w:r>
            <w:r w:rsidRPr="00FA0D37">
              <w:rPr>
                <w:lang w:eastAsia="sv-SE"/>
              </w:rPr>
              <w:t xml:space="preserve">, clause </w:t>
            </w:r>
            <w:r w:rsidRPr="00FA0D37">
              <w:t>5.1.21</w:t>
            </w:r>
            <w:r w:rsidRPr="00FA0D37">
              <w:rPr>
                <w:lang w:eastAsia="sv-SE"/>
              </w:rPr>
              <w:t>)</w:t>
            </w:r>
            <w:r w:rsidRPr="00FA0D37">
              <w:rPr>
                <w:szCs w:val="22"/>
                <w:lang w:eastAsia="en-GB"/>
              </w:rPr>
              <w:t>.</w:t>
            </w:r>
          </w:p>
        </w:tc>
      </w:tr>
      <w:tr w:rsidR="005C7FF4" w:rsidRPr="00FA0D37"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FA0D37" w:rsidRDefault="00394471" w:rsidP="00964CC4">
            <w:pPr>
              <w:pStyle w:val="TAL"/>
              <w:rPr>
                <w:b/>
                <w:i/>
                <w:szCs w:val="22"/>
                <w:lang w:eastAsia="en-GB"/>
              </w:rPr>
            </w:pPr>
            <w:r w:rsidRPr="00FA0D37">
              <w:rPr>
                <w:rFonts w:cs="Arial"/>
                <w:b/>
                <w:i/>
                <w:szCs w:val="18"/>
                <w:lang w:eastAsia="en-GB"/>
              </w:rPr>
              <w:t>rmtc-Frequency</w:t>
            </w:r>
          </w:p>
          <w:p w14:paraId="66916CC4" w14:textId="7BE32ADC" w:rsidR="00394471" w:rsidRPr="00FA0D37" w:rsidRDefault="00394471" w:rsidP="00964CC4">
            <w:pPr>
              <w:pStyle w:val="TAL"/>
              <w:rPr>
                <w:b/>
                <w:i/>
                <w:szCs w:val="22"/>
                <w:lang w:eastAsia="sv-SE"/>
              </w:rPr>
            </w:pPr>
            <w:r w:rsidRPr="00FA0D37">
              <w:rPr>
                <w:rFonts w:cs="Arial"/>
                <w:szCs w:val="18"/>
                <w:lang w:eastAsia="sv-SE"/>
              </w:rPr>
              <w:t xml:space="preserve">Indicates the center frequency of the measured bandwidth </w:t>
            </w:r>
            <w:r w:rsidR="00D87FCE" w:rsidRPr="00FA0D37">
              <w:rPr>
                <w:szCs w:val="22"/>
              </w:rPr>
              <w:t>for a frequency which operates with shared spectrum channel access</w:t>
            </w:r>
            <w:r w:rsidR="00D87FCE" w:rsidRPr="00FA0D37">
              <w:rPr>
                <w:rFonts w:cs="Arial"/>
                <w:szCs w:val="18"/>
                <w:lang w:eastAsia="sv-SE"/>
              </w:rPr>
              <w:t xml:space="preserve"> </w:t>
            </w:r>
            <w:r w:rsidRPr="00FA0D37">
              <w:rPr>
                <w:rFonts w:cs="Arial"/>
                <w:szCs w:val="18"/>
                <w:lang w:eastAsia="sv-SE"/>
              </w:rPr>
              <w:t>(see TS 38.</w:t>
            </w:r>
            <w:r w:rsidRPr="00FA0D37">
              <w:rPr>
                <w:rFonts w:cs="Arial"/>
                <w:szCs w:val="18"/>
              </w:rPr>
              <w:t xml:space="preserve"> 215 [9]</w:t>
            </w:r>
            <w:r w:rsidRPr="00FA0D37">
              <w:rPr>
                <w:rFonts w:cs="Arial"/>
                <w:szCs w:val="18"/>
                <w:lang w:eastAsia="sv-SE"/>
              </w:rPr>
              <w:t xml:space="preserve">, clause </w:t>
            </w:r>
            <w:r w:rsidRPr="00FA0D37">
              <w:rPr>
                <w:rFonts w:cs="Arial"/>
                <w:szCs w:val="18"/>
              </w:rPr>
              <w:t>5.1.21</w:t>
            </w:r>
            <w:r w:rsidRPr="00FA0D37">
              <w:rPr>
                <w:rFonts w:cs="Arial"/>
                <w:szCs w:val="18"/>
                <w:lang w:eastAsia="sv-SE"/>
              </w:rPr>
              <w:t>)</w:t>
            </w:r>
            <w:r w:rsidRPr="00FA0D37">
              <w:rPr>
                <w:szCs w:val="22"/>
                <w:lang w:eastAsia="en-GB"/>
              </w:rPr>
              <w:t>.</w:t>
            </w:r>
          </w:p>
        </w:tc>
      </w:tr>
      <w:tr w:rsidR="005C7FF4" w:rsidRPr="00FA0D37"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FA0D37" w:rsidRDefault="00394471" w:rsidP="00964CC4">
            <w:pPr>
              <w:pStyle w:val="TAL"/>
              <w:rPr>
                <w:b/>
                <w:i/>
                <w:szCs w:val="22"/>
                <w:lang w:eastAsia="en-GB"/>
              </w:rPr>
            </w:pPr>
            <w:r w:rsidRPr="00FA0D37">
              <w:rPr>
                <w:rFonts w:cs="Arial"/>
                <w:b/>
                <w:i/>
                <w:szCs w:val="18"/>
                <w:lang w:eastAsia="en-GB"/>
              </w:rPr>
              <w:t>rmtc-Periodicity</w:t>
            </w:r>
          </w:p>
          <w:p w14:paraId="176FD2BD" w14:textId="77777777" w:rsidR="00394471" w:rsidRPr="00FA0D37" w:rsidRDefault="00394471" w:rsidP="00964CC4">
            <w:pPr>
              <w:pStyle w:val="TAL"/>
              <w:rPr>
                <w:b/>
                <w:i/>
                <w:szCs w:val="22"/>
                <w:lang w:eastAsia="sv-SE"/>
              </w:rPr>
            </w:pPr>
            <w:r w:rsidRPr="00FA0D37">
              <w:rPr>
                <w:rFonts w:cs="Arial"/>
                <w:szCs w:val="18"/>
                <w:lang w:eastAsia="en-GB"/>
              </w:rPr>
              <w:t xml:space="preserve">Indicates the RSSI measurement timing configuration (RMTC) periodicity </w:t>
            </w:r>
            <w:r w:rsidRPr="00FA0D37">
              <w:rPr>
                <w:rFonts w:cs="Arial"/>
                <w:szCs w:val="18"/>
                <w:lang w:eastAsia="sv-SE"/>
              </w:rPr>
              <w:t>(see TS 38.215 [9]</w:t>
            </w:r>
            <w:r w:rsidRPr="00FA0D37">
              <w:rPr>
                <w:rFonts w:cs="Arial"/>
                <w:szCs w:val="18"/>
              </w:rPr>
              <w:t>, clause 5.1.21</w:t>
            </w:r>
            <w:r w:rsidRPr="00FA0D37">
              <w:rPr>
                <w:rFonts w:cs="Arial"/>
                <w:szCs w:val="18"/>
                <w:lang w:eastAsia="sv-SE"/>
              </w:rPr>
              <w:t>)</w:t>
            </w:r>
            <w:r w:rsidRPr="00FA0D37">
              <w:rPr>
                <w:rFonts w:cs="Arial"/>
                <w:szCs w:val="18"/>
                <w:lang w:eastAsia="en-GB"/>
              </w:rPr>
              <w:t>.</w:t>
            </w:r>
          </w:p>
        </w:tc>
      </w:tr>
      <w:tr w:rsidR="005C7FF4" w:rsidRPr="00FA0D37"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FA0D37" w:rsidRDefault="00394471" w:rsidP="00964CC4">
            <w:pPr>
              <w:pStyle w:val="TAL"/>
              <w:rPr>
                <w:b/>
                <w:i/>
                <w:szCs w:val="22"/>
                <w:lang w:eastAsia="en-GB"/>
              </w:rPr>
            </w:pPr>
            <w:r w:rsidRPr="00FA0D37">
              <w:rPr>
                <w:rFonts w:cs="Arial"/>
                <w:b/>
                <w:i/>
                <w:szCs w:val="18"/>
                <w:lang w:eastAsia="en-GB"/>
              </w:rPr>
              <w:t>rmtc-SubframeOffset</w:t>
            </w:r>
          </w:p>
          <w:p w14:paraId="12920F4A" w14:textId="77777777" w:rsidR="00394471" w:rsidRPr="00FA0D37" w:rsidRDefault="00394471" w:rsidP="00964CC4">
            <w:pPr>
              <w:pStyle w:val="TAL"/>
              <w:rPr>
                <w:b/>
                <w:i/>
                <w:szCs w:val="22"/>
                <w:lang w:eastAsia="sv-SE"/>
              </w:rPr>
            </w:pPr>
            <w:r w:rsidRPr="00FA0D37">
              <w:rPr>
                <w:rFonts w:cs="Arial"/>
                <w:szCs w:val="18"/>
                <w:lang w:eastAsia="en-GB"/>
              </w:rPr>
              <w:t xml:space="preserve">Indicates the RSSI measurement timing configuration (RMTC) subframe offset for this frequency </w:t>
            </w:r>
            <w:r w:rsidRPr="00FA0D37">
              <w:rPr>
                <w:rFonts w:cs="Arial"/>
                <w:szCs w:val="18"/>
                <w:lang w:eastAsia="sv-SE"/>
              </w:rPr>
              <w:t>(see TS 38.215 [9]</w:t>
            </w:r>
            <w:r w:rsidRPr="00FA0D37">
              <w:rPr>
                <w:rFonts w:cs="Arial"/>
                <w:szCs w:val="18"/>
              </w:rPr>
              <w:t>, clause 5.1.21</w:t>
            </w:r>
            <w:r w:rsidRPr="00FA0D37">
              <w:rPr>
                <w:rFonts w:cs="Arial"/>
                <w:szCs w:val="18"/>
                <w:lang w:eastAsia="sv-SE"/>
              </w:rPr>
              <w:t>)</w:t>
            </w:r>
            <w:r w:rsidRPr="00FA0D37">
              <w:rPr>
                <w:rFonts w:cs="Arial"/>
                <w:szCs w:val="18"/>
                <w:lang w:eastAsia="en-GB"/>
              </w:rPr>
              <w:t>.</w:t>
            </w:r>
            <w:r w:rsidRPr="00FA0D37">
              <w:rPr>
                <w:lang w:eastAsia="en-GB"/>
              </w:rPr>
              <w:t xml:space="preserve"> For inter-frequency measurements, this field is optional present and if it is not configured, the UE chooses a random value as </w:t>
            </w:r>
            <w:r w:rsidRPr="00FA0D37">
              <w:rPr>
                <w:i/>
                <w:lang w:eastAsia="en-GB"/>
              </w:rPr>
              <w:t>rmtc-SubframeOffset</w:t>
            </w:r>
            <w:r w:rsidRPr="00FA0D37">
              <w:rPr>
                <w:lang w:eastAsia="en-GB"/>
              </w:rPr>
              <w:t xml:space="preserve"> for </w:t>
            </w:r>
            <w:r w:rsidRPr="00FA0D37">
              <w:rPr>
                <w:i/>
                <w:lang w:eastAsia="en-GB"/>
              </w:rPr>
              <w:t>measDurationSymbols</w:t>
            </w:r>
            <w:r w:rsidRPr="00FA0D37">
              <w:rPr>
                <w:lang w:eastAsia="en-GB"/>
              </w:rPr>
              <w:t xml:space="preserve"> which shall be selected to be between 0 and the configured </w:t>
            </w:r>
            <w:r w:rsidRPr="00FA0D37">
              <w:rPr>
                <w:i/>
                <w:lang w:eastAsia="en-GB"/>
              </w:rPr>
              <w:t>rmtc-Periodicity</w:t>
            </w:r>
            <w:r w:rsidRPr="00FA0D37">
              <w:rPr>
                <w:lang w:eastAsia="en-GB"/>
              </w:rPr>
              <w:t xml:space="preserve"> with equal probability.</w:t>
            </w:r>
          </w:p>
        </w:tc>
      </w:tr>
      <w:tr w:rsidR="00F747EB" w:rsidRPr="00FA0D37"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FA0D37" w:rsidRDefault="00CF2FD1" w:rsidP="00771058">
            <w:pPr>
              <w:pStyle w:val="TAL"/>
              <w:rPr>
                <w:rFonts w:cs="Arial"/>
                <w:b/>
                <w:i/>
                <w:szCs w:val="18"/>
                <w:lang w:eastAsia="en-GB"/>
              </w:rPr>
            </w:pPr>
            <w:r w:rsidRPr="00FA0D37">
              <w:rPr>
                <w:rFonts w:cs="Arial"/>
                <w:b/>
                <w:i/>
                <w:szCs w:val="18"/>
                <w:lang w:eastAsia="en-GB"/>
              </w:rPr>
              <w:t>tci-StateId</w:t>
            </w:r>
          </w:p>
          <w:p w14:paraId="1F22F230" w14:textId="6398E042" w:rsidR="00CF2FD1" w:rsidRPr="00FA0D37" w:rsidRDefault="00CF2FD1" w:rsidP="00771058">
            <w:pPr>
              <w:pStyle w:val="TAL"/>
              <w:rPr>
                <w:rFonts w:cs="Arial"/>
                <w:bCs/>
                <w:iCs/>
                <w:szCs w:val="18"/>
                <w:lang w:eastAsia="en-GB"/>
              </w:rPr>
            </w:pPr>
            <w:r w:rsidRPr="00FA0D37">
              <w:rPr>
                <w:rFonts w:cs="Arial"/>
                <w:bCs/>
                <w:iCs/>
                <w:szCs w:val="18"/>
                <w:lang w:eastAsia="en-GB"/>
              </w:rPr>
              <w:t>Indicates the TCI state to be used for RSSI measurements. This field is only applicable for shared spectrum channel access in FR2-2.</w:t>
            </w:r>
            <w:r w:rsidR="00165DBD" w:rsidRPr="00FA0D37">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FA0D37" w:rsidRDefault="00394471" w:rsidP="00964CC4">
            <w:pPr>
              <w:pStyle w:val="TAH"/>
              <w:rPr>
                <w:szCs w:val="22"/>
                <w:lang w:eastAsia="sv-SE"/>
              </w:rPr>
            </w:pPr>
            <w:r w:rsidRPr="00FA0D37">
              <w:rPr>
                <w:i/>
                <w:szCs w:val="22"/>
                <w:lang w:eastAsia="sv-SE"/>
              </w:rPr>
              <w:lastRenderedPageBreak/>
              <w:t xml:space="preserve">SSB-ConfigMobility </w:t>
            </w:r>
            <w:r w:rsidRPr="00FA0D37">
              <w:rPr>
                <w:szCs w:val="22"/>
                <w:lang w:eastAsia="sv-SE"/>
              </w:rPr>
              <w:t>field descriptions</w:t>
            </w:r>
          </w:p>
        </w:tc>
      </w:tr>
      <w:tr w:rsidR="005C7FF4" w:rsidRPr="00FA0D37"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FA0D37" w:rsidRDefault="00694BA2" w:rsidP="00694BA2">
            <w:pPr>
              <w:pStyle w:val="TAL"/>
              <w:rPr>
                <w:b/>
                <w:bCs/>
                <w:i/>
                <w:iCs/>
                <w:lang w:eastAsia="sv-SE"/>
              </w:rPr>
            </w:pPr>
            <w:r w:rsidRPr="00FA0D37">
              <w:rPr>
                <w:b/>
                <w:bCs/>
                <w:i/>
                <w:iCs/>
                <w:lang w:eastAsia="sv-SE"/>
              </w:rPr>
              <w:t>cca-CellsToAddModList, cca-CellsToRemoveList</w:t>
            </w:r>
          </w:p>
          <w:p w14:paraId="7CA46408" w14:textId="62B5CC87" w:rsidR="00694BA2" w:rsidRPr="00FA0D37" w:rsidRDefault="00694BA2" w:rsidP="00A12BD9">
            <w:pPr>
              <w:pStyle w:val="TAL"/>
              <w:rPr>
                <w:lang w:eastAsia="sv-SE"/>
              </w:rPr>
            </w:pPr>
            <w:r w:rsidRPr="00FA0D37">
              <w:rPr>
                <w:lang w:eastAsia="sv-SE"/>
              </w:rPr>
              <w:t>Lists of cells to be added or removed from the list of neighbor cells that apply channel access mode procedures for operation with shared spectrum channel access in accordance with TS 37.213 [48], clause 4.4 for FR2-2.</w:t>
            </w:r>
          </w:p>
        </w:tc>
      </w:tr>
      <w:tr w:rsidR="005C7FF4" w:rsidRPr="00FA0D37"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FA0D37" w:rsidRDefault="00394471" w:rsidP="00964CC4">
            <w:pPr>
              <w:pStyle w:val="TAL"/>
              <w:rPr>
                <w:b/>
                <w:i/>
                <w:szCs w:val="22"/>
                <w:lang w:eastAsia="sv-SE"/>
              </w:rPr>
            </w:pPr>
            <w:r w:rsidRPr="00FA0D37">
              <w:rPr>
                <w:b/>
                <w:i/>
                <w:szCs w:val="22"/>
                <w:lang w:eastAsia="sv-SE"/>
              </w:rPr>
              <w:t>deriveSSB-IndexFromCell</w:t>
            </w:r>
          </w:p>
          <w:p w14:paraId="25EEC200" w14:textId="77777777" w:rsidR="00394471" w:rsidRPr="00FA0D37" w:rsidRDefault="00394471" w:rsidP="00964CC4">
            <w:pPr>
              <w:pStyle w:val="TAL"/>
              <w:rPr>
                <w:szCs w:val="22"/>
                <w:lang w:eastAsia="sv-SE"/>
              </w:rPr>
            </w:pPr>
            <w:r w:rsidRPr="00FA0D37">
              <w:rPr>
                <w:szCs w:val="22"/>
                <w:lang w:eastAsia="sv-SE"/>
              </w:rPr>
              <w:t xml:space="preserve">If this field is set to </w:t>
            </w:r>
            <w:r w:rsidRPr="00FA0D37">
              <w:rPr>
                <w:i/>
                <w:iCs/>
                <w:lang w:eastAsia="en-GB"/>
              </w:rPr>
              <w:t>true</w:t>
            </w:r>
            <w:r w:rsidRPr="00FA0D37">
              <w:rPr>
                <w:szCs w:val="22"/>
                <w:lang w:eastAsia="sv-SE"/>
              </w:rPr>
              <w:t>, UE assumes SFN and frame boundary alignment across cells on the same frequency carrier as specified in TS 38.133 [14]. Hence, if the UE is configured with a serving cell for which (</w:t>
            </w:r>
            <w:r w:rsidRPr="00FA0D37">
              <w:rPr>
                <w:i/>
                <w:szCs w:val="22"/>
                <w:lang w:eastAsia="sv-SE"/>
              </w:rPr>
              <w:t>absoluteFrequencySSB</w:t>
            </w:r>
            <w:r w:rsidRPr="00FA0D37">
              <w:rPr>
                <w:szCs w:val="22"/>
                <w:lang w:eastAsia="sv-SE"/>
              </w:rPr>
              <w:t xml:space="preserve">, </w:t>
            </w:r>
            <w:r w:rsidRPr="00FA0D37">
              <w:rPr>
                <w:i/>
                <w:szCs w:val="22"/>
                <w:lang w:eastAsia="sv-SE"/>
              </w:rPr>
              <w:t>subcarrierSpacing</w:t>
            </w:r>
            <w:r w:rsidRPr="00FA0D37">
              <w:rPr>
                <w:szCs w:val="22"/>
                <w:lang w:eastAsia="sv-SE"/>
              </w:rPr>
              <w:t xml:space="preserve">) in </w:t>
            </w:r>
            <w:r w:rsidRPr="00FA0D37">
              <w:rPr>
                <w:i/>
                <w:szCs w:val="22"/>
                <w:lang w:eastAsia="sv-SE"/>
              </w:rPr>
              <w:t>ServingCellConfigCommon</w:t>
            </w:r>
            <w:r w:rsidRPr="00FA0D37">
              <w:rPr>
                <w:szCs w:val="22"/>
                <w:lang w:eastAsia="sv-SE"/>
              </w:rPr>
              <w:t xml:space="preserve"> is equal to (</w:t>
            </w:r>
            <w:r w:rsidRPr="00FA0D37">
              <w:rPr>
                <w:i/>
                <w:szCs w:val="22"/>
                <w:lang w:eastAsia="sv-SE"/>
              </w:rPr>
              <w:t>ssbFrequency</w:t>
            </w:r>
            <w:r w:rsidRPr="00FA0D37">
              <w:rPr>
                <w:szCs w:val="22"/>
                <w:lang w:eastAsia="sv-SE"/>
              </w:rPr>
              <w:t xml:space="preserve">, </w:t>
            </w:r>
            <w:r w:rsidRPr="00FA0D37">
              <w:rPr>
                <w:i/>
                <w:szCs w:val="22"/>
                <w:lang w:eastAsia="sv-SE"/>
              </w:rPr>
              <w:t>ssbSubcarrierSpacing</w:t>
            </w:r>
            <w:r w:rsidRPr="00FA0D37">
              <w:rPr>
                <w:szCs w:val="22"/>
                <w:lang w:eastAsia="sv-SE"/>
              </w:rPr>
              <w:t xml:space="preserve">) in this </w:t>
            </w:r>
            <w:r w:rsidRPr="00FA0D37">
              <w:rPr>
                <w:i/>
                <w:szCs w:val="22"/>
                <w:lang w:eastAsia="sv-SE"/>
              </w:rPr>
              <w:t>MeasObjectNR</w:t>
            </w:r>
            <w:r w:rsidRPr="00FA0D37">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5C7FF4" w:rsidRPr="00FA0D37"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FA0D37" w:rsidRDefault="00D6273A" w:rsidP="000830BB">
            <w:pPr>
              <w:pStyle w:val="TAL"/>
              <w:rPr>
                <w:b/>
                <w:bCs/>
                <w:i/>
                <w:iCs/>
                <w:lang w:eastAsia="sv-SE"/>
              </w:rPr>
            </w:pPr>
            <w:bookmarkStart w:id="1093" w:name="_Hlk97458315"/>
            <w:r w:rsidRPr="00FA0D37">
              <w:rPr>
                <w:b/>
                <w:bCs/>
                <w:i/>
                <w:iCs/>
                <w:lang w:eastAsia="sv-SE"/>
              </w:rPr>
              <w:t>deriveSSB-IndexFromCellInter</w:t>
            </w:r>
          </w:p>
          <w:bookmarkEnd w:id="1093"/>
          <w:p w14:paraId="2A4DB474" w14:textId="71BAB4A6" w:rsidR="00D6273A" w:rsidRPr="00FA0D37" w:rsidRDefault="00D6273A" w:rsidP="00D6273A">
            <w:pPr>
              <w:pStyle w:val="TAL"/>
              <w:rPr>
                <w:b/>
                <w:i/>
                <w:szCs w:val="22"/>
                <w:lang w:eastAsia="sv-SE"/>
              </w:rPr>
            </w:pPr>
            <w:r w:rsidRPr="00FA0D37">
              <w:rPr>
                <w:rFonts w:cs="Arial"/>
                <w:szCs w:val="18"/>
                <w:lang w:eastAsia="sv-SE"/>
              </w:rPr>
              <w:t xml:space="preserve">If this field is present, UE assumes SFN and frame boundary alignment between the </w:t>
            </w:r>
            <w:r w:rsidRPr="00FA0D37">
              <w:rPr>
                <w:rFonts w:cs="Arial"/>
                <w:szCs w:val="18"/>
                <w:lang w:eastAsia="en-GB"/>
              </w:rPr>
              <w:t>reference serving cell</w:t>
            </w:r>
            <w:r w:rsidRPr="00FA0D37">
              <w:rPr>
                <w:rFonts w:cs="Arial"/>
                <w:szCs w:val="18"/>
                <w:lang w:eastAsia="sv-SE"/>
              </w:rPr>
              <w:t xml:space="preserve"> indicated by </w:t>
            </w:r>
            <w:r w:rsidRPr="00FA0D37">
              <w:rPr>
                <w:rFonts w:cs="Arial"/>
                <w:i/>
                <w:szCs w:val="18"/>
                <w:lang w:eastAsia="sv-SE"/>
              </w:rPr>
              <w:t xml:space="preserve">ServCellIndex </w:t>
            </w:r>
            <w:r w:rsidRPr="00FA0D37">
              <w:rPr>
                <w:rFonts w:cs="Arial"/>
                <w:szCs w:val="18"/>
                <w:lang w:eastAsia="sv-SE"/>
              </w:rPr>
              <w:t xml:space="preserve">and all neighbour cells in this </w:t>
            </w:r>
            <w:r w:rsidRPr="00FA0D37">
              <w:rPr>
                <w:rFonts w:cs="Arial"/>
                <w:i/>
                <w:szCs w:val="18"/>
                <w:lang w:eastAsia="sv-SE"/>
              </w:rPr>
              <w:t>MeasObjectNR</w:t>
            </w:r>
            <w:r w:rsidRPr="00FA0D37">
              <w:rPr>
                <w:rFonts w:cs="Arial"/>
                <w:szCs w:val="18"/>
                <w:lang w:eastAsia="sv-SE"/>
              </w:rPr>
              <w:t xml:space="preserve"> as specified in TS 38.133 [14]. This field also indicates that the UE can utilize the timing of the </w:t>
            </w:r>
            <w:r w:rsidRPr="00FA0D37">
              <w:rPr>
                <w:rFonts w:cs="Arial"/>
                <w:szCs w:val="18"/>
                <w:lang w:eastAsia="en-GB"/>
              </w:rPr>
              <w:t>reference serving cell</w:t>
            </w:r>
            <w:r w:rsidRPr="00FA0D37">
              <w:rPr>
                <w:rFonts w:cs="Arial"/>
                <w:szCs w:val="18"/>
                <w:lang w:eastAsia="sv-SE"/>
              </w:rPr>
              <w:t xml:space="preserve"> indicated by </w:t>
            </w:r>
            <w:r w:rsidRPr="00FA0D37">
              <w:rPr>
                <w:rFonts w:cs="Arial"/>
                <w:i/>
                <w:szCs w:val="18"/>
                <w:lang w:eastAsia="sv-SE"/>
              </w:rPr>
              <w:t>ServCellIndex</w:t>
            </w:r>
            <w:r w:rsidRPr="00FA0D37">
              <w:rPr>
                <w:rFonts w:cs="Arial"/>
                <w:szCs w:val="18"/>
                <w:lang w:eastAsia="sv-SE"/>
              </w:rPr>
              <w:t xml:space="preserve"> to derive the index of SS block transmitted by all </w:t>
            </w:r>
            <w:r w:rsidR="00CE29E7" w:rsidRPr="00FA0D37">
              <w:rPr>
                <w:rFonts w:cs="Arial"/>
                <w:szCs w:val="18"/>
                <w:lang w:eastAsia="sv-SE"/>
              </w:rPr>
              <w:t xml:space="preserve">inter-frequency </w:t>
            </w:r>
            <w:r w:rsidRPr="00FA0D37">
              <w:rPr>
                <w:rFonts w:cs="Arial"/>
                <w:szCs w:val="18"/>
                <w:lang w:eastAsia="sv-SE"/>
              </w:rPr>
              <w:t xml:space="preserve">neighbour cells </w:t>
            </w:r>
            <w:r w:rsidR="00CE29E7" w:rsidRPr="00FA0D37">
              <w:rPr>
                <w:rFonts w:cs="Arial"/>
                <w:szCs w:val="18"/>
                <w:lang w:eastAsia="sv-SE"/>
              </w:rPr>
              <w:t>on the frequency indicated by the</w:t>
            </w:r>
            <w:r w:rsidRPr="00FA0D37">
              <w:rPr>
                <w:rFonts w:cs="Arial"/>
                <w:szCs w:val="18"/>
                <w:lang w:eastAsia="sv-SE"/>
              </w:rPr>
              <w:t xml:space="preserve"> </w:t>
            </w:r>
            <w:r w:rsidRPr="00FA0D37">
              <w:rPr>
                <w:rFonts w:cs="Arial"/>
                <w:i/>
                <w:szCs w:val="18"/>
                <w:lang w:eastAsia="sv-SE"/>
              </w:rPr>
              <w:t>MeasObjectNR</w:t>
            </w:r>
            <w:r w:rsidRPr="00FA0D37">
              <w:rPr>
                <w:rFonts w:cs="Arial"/>
                <w:szCs w:val="18"/>
                <w:lang w:eastAsia="sv-SE"/>
              </w:rPr>
              <w:t>.</w:t>
            </w:r>
            <w:r w:rsidR="00CE29E7" w:rsidRPr="00FA0D37">
              <w:rPr>
                <w:rFonts w:cs="Arial"/>
                <w:szCs w:val="18"/>
                <w:lang w:eastAsia="sv-SE"/>
              </w:rPr>
              <w:t xml:space="preserve"> When this field is included, the network should set </w:t>
            </w:r>
            <w:r w:rsidR="00CE29E7" w:rsidRPr="00FA0D37">
              <w:rPr>
                <w:rFonts w:cs="Arial"/>
                <w:i/>
                <w:iCs/>
                <w:szCs w:val="18"/>
                <w:lang w:eastAsia="sv-SE"/>
              </w:rPr>
              <w:t>deriveSSB-IndexFromCell</w:t>
            </w:r>
            <w:r w:rsidR="00CE29E7" w:rsidRPr="00FA0D37">
              <w:rPr>
                <w:rFonts w:cs="Arial"/>
                <w:szCs w:val="18"/>
                <w:lang w:eastAsia="sv-SE"/>
              </w:rPr>
              <w:t xml:space="preserve"> to </w:t>
            </w:r>
            <w:r w:rsidR="00CE29E7" w:rsidRPr="00FA0D37">
              <w:rPr>
                <w:rFonts w:cs="Arial"/>
                <w:i/>
                <w:iCs/>
                <w:szCs w:val="18"/>
                <w:lang w:eastAsia="sv-SE"/>
              </w:rPr>
              <w:t>true</w:t>
            </w:r>
            <w:r w:rsidR="00CE29E7" w:rsidRPr="00FA0D37">
              <w:rPr>
                <w:rFonts w:cs="Arial"/>
                <w:szCs w:val="18"/>
                <w:lang w:eastAsia="sv-SE"/>
              </w:rPr>
              <w:t>.</w:t>
            </w:r>
          </w:p>
        </w:tc>
      </w:tr>
      <w:tr w:rsidR="00394471" w:rsidRPr="00FA0D37"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FA0D37" w:rsidRDefault="00394471" w:rsidP="00964CC4">
            <w:pPr>
              <w:pStyle w:val="TAL"/>
              <w:rPr>
                <w:szCs w:val="22"/>
                <w:lang w:eastAsia="sv-SE"/>
              </w:rPr>
            </w:pPr>
            <w:r w:rsidRPr="00FA0D37">
              <w:rPr>
                <w:b/>
                <w:i/>
                <w:szCs w:val="22"/>
                <w:lang w:eastAsia="sv-SE"/>
              </w:rPr>
              <w:t>ssb-ToMeasure</w:t>
            </w:r>
          </w:p>
          <w:p w14:paraId="6BA16D26" w14:textId="77777777" w:rsidR="00394471" w:rsidRPr="00FA0D37" w:rsidRDefault="00394471" w:rsidP="00964CC4">
            <w:pPr>
              <w:pStyle w:val="TAL"/>
              <w:rPr>
                <w:szCs w:val="22"/>
                <w:lang w:eastAsia="sv-SE"/>
              </w:rPr>
            </w:pPr>
            <w:r w:rsidRPr="00FA0D37">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A0D37">
              <w:rPr>
                <w:i/>
                <w:szCs w:val="22"/>
                <w:lang w:eastAsia="sv-SE"/>
              </w:rPr>
              <w:t>smtc</w:t>
            </w:r>
            <w:r w:rsidRPr="00FA0D37">
              <w:rPr>
                <w:szCs w:val="22"/>
                <w:lang w:eastAsia="sv-SE"/>
              </w:rPr>
              <w:t xml:space="preserve"> are not to be measured. See TS 38.215 [9] clause 5.1.1.</w:t>
            </w:r>
          </w:p>
        </w:tc>
      </w:tr>
    </w:tbl>
    <w:p w14:paraId="34EF31E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FA0D37" w:rsidRDefault="00394471" w:rsidP="00964CC4">
            <w:pPr>
              <w:pStyle w:val="TAH"/>
              <w:rPr>
                <w:szCs w:val="22"/>
              </w:rPr>
            </w:pPr>
            <w:r w:rsidRPr="00FA0D37">
              <w:rPr>
                <w:i/>
                <w:szCs w:val="22"/>
              </w:rPr>
              <w:t xml:space="preserve">SSB-PositionQCL-CellsToAddMod </w:t>
            </w:r>
            <w:r w:rsidRPr="00FA0D37">
              <w:rPr>
                <w:szCs w:val="22"/>
              </w:rPr>
              <w:t>field descriptions</w:t>
            </w:r>
          </w:p>
        </w:tc>
      </w:tr>
      <w:tr w:rsidR="005C7FF4" w:rsidRPr="00FA0D37"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FA0D37" w:rsidRDefault="00394471" w:rsidP="00964CC4">
            <w:pPr>
              <w:pStyle w:val="TAL"/>
              <w:rPr>
                <w:b/>
                <w:i/>
                <w:iCs/>
                <w:szCs w:val="22"/>
                <w:lang w:eastAsia="en-GB"/>
              </w:rPr>
            </w:pPr>
            <w:r w:rsidRPr="00FA0D37">
              <w:rPr>
                <w:b/>
                <w:i/>
                <w:iCs/>
                <w:szCs w:val="22"/>
                <w:lang w:eastAsia="en-GB"/>
              </w:rPr>
              <w:t>physCellId</w:t>
            </w:r>
          </w:p>
          <w:p w14:paraId="778DB37C" w14:textId="77777777" w:rsidR="00394471" w:rsidRPr="00FA0D37" w:rsidRDefault="00394471" w:rsidP="00964CC4">
            <w:pPr>
              <w:pStyle w:val="TAL"/>
              <w:rPr>
                <w:szCs w:val="22"/>
                <w:lang w:eastAsia="x-none"/>
              </w:rPr>
            </w:pPr>
            <w:r w:rsidRPr="00FA0D37">
              <w:rPr>
                <w:szCs w:val="22"/>
                <w:lang w:eastAsia="en-GB"/>
              </w:rPr>
              <w:t>Physical cell identity of a cell in the cell list.</w:t>
            </w:r>
          </w:p>
        </w:tc>
      </w:tr>
      <w:tr w:rsidR="00394471" w:rsidRPr="00FA0D37"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FA0D37" w:rsidRDefault="00394471" w:rsidP="00964CC4">
            <w:pPr>
              <w:pStyle w:val="TAL"/>
              <w:rPr>
                <w:rFonts w:cs="Arial"/>
                <w:b/>
                <w:i/>
                <w:iCs/>
                <w:szCs w:val="18"/>
              </w:rPr>
            </w:pPr>
            <w:r w:rsidRPr="00FA0D37">
              <w:rPr>
                <w:rFonts w:cs="Arial"/>
                <w:b/>
                <w:i/>
                <w:iCs/>
                <w:szCs w:val="18"/>
              </w:rPr>
              <w:t>ssb-PositionQCL</w:t>
            </w:r>
          </w:p>
          <w:p w14:paraId="3FD7C693" w14:textId="04E027F2" w:rsidR="00394471" w:rsidRPr="00FA0D37" w:rsidRDefault="00394471" w:rsidP="00964CC4">
            <w:pPr>
              <w:pStyle w:val="TAL"/>
              <w:rPr>
                <w:szCs w:val="22"/>
              </w:rPr>
            </w:pPr>
            <w:r w:rsidRPr="00FA0D37">
              <w:rPr>
                <w:rFonts w:cs="Arial"/>
                <w:bCs/>
                <w:lang w:eastAsia="en-GB"/>
              </w:rPr>
              <w:t xml:space="preserve">Indicates the QCL relation between SS/PBCH blocks for a specific cell as specified in TS 38.213 [13], clause 4.1. If provided, the cell specific value overwrites the value signalled by </w:t>
            </w:r>
            <w:r w:rsidRPr="00FA0D37">
              <w:rPr>
                <w:rFonts w:cs="Courier New"/>
                <w:i/>
                <w:iCs/>
              </w:rPr>
              <w:t>ssb-PositionQCL-Common</w:t>
            </w:r>
            <w:r w:rsidRPr="00FA0D37">
              <w:rPr>
                <w:lang w:eastAsia="en-GB"/>
              </w:rPr>
              <w:t>.</w:t>
            </w:r>
          </w:p>
        </w:tc>
      </w:tr>
    </w:tbl>
    <w:p w14:paraId="4D5E3C9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FA0D37" w:rsidRDefault="00394471" w:rsidP="00964CC4">
            <w:pPr>
              <w:pStyle w:val="TAH"/>
              <w:rPr>
                <w:szCs w:val="22"/>
                <w:lang w:eastAsia="sv-SE"/>
              </w:rPr>
            </w:pPr>
            <w:r w:rsidRPr="00FA0D37">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FA0D37" w:rsidRDefault="00394471" w:rsidP="00964CC4">
            <w:pPr>
              <w:pStyle w:val="TAH"/>
              <w:rPr>
                <w:szCs w:val="22"/>
                <w:lang w:eastAsia="sv-SE"/>
              </w:rPr>
            </w:pPr>
            <w:r w:rsidRPr="00FA0D37">
              <w:rPr>
                <w:szCs w:val="22"/>
                <w:lang w:eastAsia="sv-SE"/>
              </w:rPr>
              <w:t>Explanation</w:t>
            </w:r>
          </w:p>
        </w:tc>
      </w:tr>
      <w:tr w:rsidR="005C7FF4" w:rsidRPr="00FA0D37"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FA0D37" w:rsidRDefault="001163BA" w:rsidP="0071565C">
            <w:pPr>
              <w:pStyle w:val="TAL"/>
              <w:rPr>
                <w:i/>
                <w:iCs/>
              </w:rPr>
            </w:pPr>
            <w:r w:rsidRPr="00FA0D37">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FA0D37" w:rsidRDefault="001163BA" w:rsidP="0071565C">
            <w:pPr>
              <w:pStyle w:val="TAL"/>
              <w:rPr>
                <w:szCs w:val="22"/>
              </w:rPr>
            </w:pPr>
            <w:r w:rsidRPr="00FA0D37">
              <w:rPr>
                <w:szCs w:val="22"/>
                <w:lang w:eastAsia="sv-SE"/>
              </w:rPr>
              <w:t xml:space="preserve">This field is optionally present, Need R if </w:t>
            </w:r>
            <w:r w:rsidRPr="00FA0D37">
              <w:rPr>
                <w:rFonts w:cs="Arial"/>
                <w:i/>
                <w:iCs/>
                <w:lang w:eastAsia="sv-SE"/>
              </w:rPr>
              <w:t>associatedMeasGapCSIRS</w:t>
            </w:r>
            <w:r w:rsidRPr="00FA0D37">
              <w:rPr>
                <w:rFonts w:cs="Arial"/>
                <w:iCs/>
                <w:lang w:eastAsia="sv-SE"/>
              </w:rPr>
              <w:t xml:space="preserve"> </w:t>
            </w:r>
            <w:r w:rsidRPr="00FA0D37">
              <w:rPr>
                <w:szCs w:val="22"/>
                <w:lang w:eastAsia="sv-SE"/>
              </w:rPr>
              <w:t>is configured, otherwise, it is absent.</w:t>
            </w:r>
          </w:p>
        </w:tc>
      </w:tr>
      <w:tr w:rsidR="005C7FF4" w:rsidRPr="00FA0D37"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FA0D37" w:rsidRDefault="001163BA" w:rsidP="0071565C">
            <w:pPr>
              <w:pStyle w:val="TAL"/>
              <w:rPr>
                <w:i/>
                <w:iCs/>
              </w:rPr>
            </w:pPr>
            <w:r w:rsidRPr="00FA0D37">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FA0D37" w:rsidRDefault="001163BA" w:rsidP="0071565C">
            <w:pPr>
              <w:pStyle w:val="TAL"/>
              <w:rPr>
                <w:szCs w:val="22"/>
              </w:rPr>
            </w:pPr>
            <w:r w:rsidRPr="00FA0D37">
              <w:rPr>
                <w:szCs w:val="22"/>
                <w:lang w:eastAsia="sv-SE"/>
              </w:rPr>
              <w:t xml:space="preserve">This field is optionally present, Need R if </w:t>
            </w:r>
            <w:r w:rsidRPr="00FA0D37">
              <w:rPr>
                <w:rFonts w:cs="Arial"/>
                <w:i/>
                <w:iCs/>
                <w:lang w:eastAsia="sv-SE"/>
              </w:rPr>
              <w:t>associatedMeasGapSSB</w:t>
            </w:r>
            <w:r w:rsidRPr="00FA0D37">
              <w:rPr>
                <w:rFonts w:cs="Arial"/>
                <w:iCs/>
                <w:lang w:eastAsia="sv-SE"/>
              </w:rPr>
              <w:t xml:space="preserve"> </w:t>
            </w:r>
            <w:r w:rsidRPr="00FA0D37">
              <w:rPr>
                <w:szCs w:val="22"/>
                <w:lang w:eastAsia="sv-SE"/>
              </w:rPr>
              <w:t>is configured, otherwise, it is absent.</w:t>
            </w:r>
          </w:p>
        </w:tc>
      </w:tr>
      <w:tr w:rsidR="005C7FF4" w:rsidRPr="00FA0D37"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FA0D37" w:rsidRDefault="00394471" w:rsidP="00964CC4">
            <w:pPr>
              <w:pStyle w:val="TAL"/>
              <w:rPr>
                <w:i/>
                <w:szCs w:val="22"/>
                <w:lang w:eastAsia="sv-SE"/>
              </w:rPr>
            </w:pPr>
            <w:r w:rsidRPr="00FA0D37">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FA0D37" w:rsidRDefault="00394471" w:rsidP="00964CC4">
            <w:pPr>
              <w:pStyle w:val="TAL"/>
              <w:rPr>
                <w:szCs w:val="22"/>
                <w:lang w:eastAsia="sv-SE"/>
              </w:rPr>
            </w:pPr>
            <w:r w:rsidRPr="00FA0D37">
              <w:rPr>
                <w:szCs w:val="22"/>
                <w:lang w:eastAsia="sv-SE"/>
              </w:rPr>
              <w:t xml:space="preserve">This field is mandatory present if </w:t>
            </w:r>
            <w:r w:rsidRPr="00FA0D37">
              <w:rPr>
                <w:i/>
                <w:szCs w:val="22"/>
                <w:lang w:eastAsia="sv-SE"/>
              </w:rPr>
              <w:t>csi-rs-ResourceConfigMobility</w:t>
            </w:r>
            <w:r w:rsidRPr="00FA0D37">
              <w:rPr>
                <w:szCs w:val="22"/>
                <w:lang w:eastAsia="sv-SE"/>
              </w:rPr>
              <w:t xml:space="preserve"> is configured, otherwise, it is absent.</w:t>
            </w:r>
          </w:p>
        </w:tc>
      </w:tr>
      <w:tr w:rsidR="005C7FF4" w:rsidRPr="00FA0D37"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FA0D37" w:rsidRDefault="00394471" w:rsidP="00964CC4">
            <w:pPr>
              <w:pStyle w:val="TAL"/>
              <w:rPr>
                <w:i/>
                <w:szCs w:val="22"/>
                <w:lang w:eastAsia="sv-SE"/>
              </w:rPr>
            </w:pPr>
            <w:r w:rsidRPr="00FA0D37">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FA0D37" w:rsidRDefault="00394471" w:rsidP="00964CC4">
            <w:pPr>
              <w:pStyle w:val="TAL"/>
              <w:rPr>
                <w:szCs w:val="22"/>
                <w:lang w:eastAsia="sv-SE"/>
              </w:rPr>
            </w:pPr>
            <w:r w:rsidRPr="00FA0D37">
              <w:rPr>
                <w:szCs w:val="22"/>
                <w:lang w:eastAsia="sv-SE"/>
              </w:rPr>
              <w:t>This field is optionally present, Need R if the UE is configured with a serving cell for which (absoluteFrequencySSB, subcarrierSpacing) in ServingCellConfigCommon is equal to (</w:t>
            </w:r>
            <w:r w:rsidRPr="00FA0D37">
              <w:rPr>
                <w:i/>
                <w:lang w:eastAsia="sv-SE"/>
              </w:rPr>
              <w:t>ssbFrequency</w:t>
            </w:r>
            <w:r w:rsidRPr="00FA0D37">
              <w:rPr>
                <w:szCs w:val="22"/>
                <w:lang w:eastAsia="sv-SE"/>
              </w:rPr>
              <w:t xml:space="preserve">, </w:t>
            </w:r>
            <w:r w:rsidRPr="00FA0D37">
              <w:rPr>
                <w:i/>
                <w:lang w:eastAsia="sv-SE"/>
              </w:rPr>
              <w:t>ssbSubcarrierSpacing</w:t>
            </w:r>
            <w:r w:rsidRPr="00FA0D37">
              <w:rPr>
                <w:szCs w:val="22"/>
                <w:lang w:eastAsia="sv-SE"/>
              </w:rPr>
              <w:t xml:space="preserve">) in this </w:t>
            </w:r>
            <w:r w:rsidRPr="00FA0D37">
              <w:rPr>
                <w:i/>
                <w:lang w:eastAsia="sv-SE"/>
              </w:rPr>
              <w:t>MeasObjectNR</w:t>
            </w:r>
            <w:r w:rsidRPr="00FA0D37">
              <w:rPr>
                <w:szCs w:val="22"/>
                <w:lang w:eastAsia="sv-SE"/>
              </w:rPr>
              <w:t>, otherwise, it is absent.</w:t>
            </w:r>
          </w:p>
        </w:tc>
      </w:tr>
      <w:tr w:rsidR="005C7FF4" w:rsidRPr="00FA0D37"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FA0D37" w:rsidRDefault="009C015E" w:rsidP="0071565C">
            <w:pPr>
              <w:pStyle w:val="TAL"/>
              <w:rPr>
                <w:i/>
                <w:szCs w:val="22"/>
                <w:lang w:eastAsia="sv-SE"/>
              </w:rPr>
            </w:pPr>
            <w:r w:rsidRPr="00FA0D37">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FA0D37" w:rsidRDefault="009C015E" w:rsidP="0071565C">
            <w:pPr>
              <w:pStyle w:val="TAL"/>
              <w:rPr>
                <w:szCs w:val="22"/>
                <w:lang w:eastAsia="sv-SE"/>
              </w:rPr>
            </w:pPr>
            <w:r w:rsidRPr="00FA0D37">
              <w:rPr>
                <w:szCs w:val="22"/>
                <w:lang w:eastAsia="sv-SE"/>
              </w:rPr>
              <w:t xml:space="preserve">This field is optionallly present, Need R, in the </w:t>
            </w:r>
            <w:r w:rsidRPr="00FA0D37">
              <w:rPr>
                <w:i/>
                <w:szCs w:val="22"/>
                <w:lang w:eastAsia="sv-SE"/>
              </w:rPr>
              <w:t>measConfig</w:t>
            </w:r>
            <w:r w:rsidRPr="00FA0D37">
              <w:rPr>
                <w:szCs w:val="22"/>
                <w:lang w:eastAsia="sv-SE"/>
              </w:rPr>
              <w:t xml:space="preserve"> associated with the SCG. It is absent in the </w:t>
            </w:r>
            <w:r w:rsidRPr="00FA0D37">
              <w:rPr>
                <w:i/>
                <w:szCs w:val="22"/>
                <w:lang w:eastAsia="sv-SE"/>
              </w:rPr>
              <w:t>measConfig</w:t>
            </w:r>
            <w:r w:rsidRPr="00FA0D37">
              <w:rPr>
                <w:szCs w:val="22"/>
                <w:lang w:eastAsia="sv-SE"/>
              </w:rPr>
              <w:t xml:space="preserve"> associated with the MCG.</w:t>
            </w:r>
          </w:p>
        </w:tc>
      </w:tr>
      <w:tr w:rsidR="005C7FF4" w:rsidRPr="00FA0D37"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FA0D37" w:rsidRDefault="00394471" w:rsidP="00964CC4">
            <w:pPr>
              <w:pStyle w:val="TAL"/>
              <w:rPr>
                <w:i/>
                <w:iCs/>
                <w:szCs w:val="22"/>
              </w:rPr>
            </w:pPr>
            <w:r w:rsidRPr="00FA0D3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FA0D37" w:rsidRDefault="00394471" w:rsidP="00964CC4">
            <w:pPr>
              <w:pStyle w:val="TAL"/>
              <w:rPr>
                <w:szCs w:val="22"/>
              </w:rPr>
            </w:pPr>
            <w:r w:rsidRPr="00FA0D37">
              <w:rPr>
                <w:szCs w:val="22"/>
              </w:rPr>
              <w:t xml:space="preserve">This field is mandatory present if this </w:t>
            </w:r>
            <w:r w:rsidRPr="00FA0D37">
              <w:rPr>
                <w:i/>
                <w:iCs/>
                <w:szCs w:val="22"/>
              </w:rPr>
              <w:t>MeasObject</w:t>
            </w:r>
            <w:r w:rsidRPr="00FA0D37">
              <w:rPr>
                <w:szCs w:val="22"/>
              </w:rPr>
              <w:t xml:space="preserve"> is for a frequency which operates with shared spectrum channel access</w:t>
            </w:r>
            <w:r w:rsidR="00CF2FD1" w:rsidRPr="00FA0D37">
              <w:rPr>
                <w:szCs w:val="22"/>
              </w:rPr>
              <w:t xml:space="preserve"> in FR1</w:t>
            </w:r>
            <w:r w:rsidRPr="00FA0D37">
              <w:rPr>
                <w:szCs w:val="22"/>
              </w:rPr>
              <w:t>. Otherwise, it is absent, Need R.</w:t>
            </w:r>
          </w:p>
        </w:tc>
      </w:tr>
      <w:tr w:rsidR="005C7FF4" w:rsidRPr="00FA0D37"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FA0D37" w:rsidRDefault="00CF2FD1" w:rsidP="00771058">
            <w:pPr>
              <w:pStyle w:val="TAL"/>
              <w:rPr>
                <w:i/>
                <w:iCs/>
              </w:rPr>
            </w:pPr>
            <w:r w:rsidRPr="00FA0D3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FA0D37" w:rsidRDefault="00CF2FD1" w:rsidP="00771058">
            <w:pPr>
              <w:pStyle w:val="TAL"/>
              <w:rPr>
                <w:szCs w:val="22"/>
              </w:rPr>
            </w:pPr>
            <w:r w:rsidRPr="00FA0D37">
              <w:rPr>
                <w:szCs w:val="22"/>
              </w:rPr>
              <w:t xml:space="preserve">This field is optionally present if this </w:t>
            </w:r>
            <w:r w:rsidRPr="00FA0D37">
              <w:rPr>
                <w:i/>
                <w:iCs/>
                <w:szCs w:val="22"/>
              </w:rPr>
              <w:t>MeasObject</w:t>
            </w:r>
            <w:r w:rsidRPr="00FA0D37">
              <w:rPr>
                <w:szCs w:val="22"/>
              </w:rPr>
              <w:t xml:space="preserve"> is for a frequency which operates with shared spectrum channel access in FR2-2</w:t>
            </w:r>
            <w:r w:rsidR="00A345A2" w:rsidRPr="00FA0D37">
              <w:rPr>
                <w:szCs w:val="22"/>
              </w:rPr>
              <w:t>, Need R</w:t>
            </w:r>
            <w:r w:rsidRPr="00FA0D37">
              <w:rPr>
                <w:szCs w:val="22"/>
              </w:rPr>
              <w:t>. Otherwise, it is absent, Need R.</w:t>
            </w:r>
          </w:p>
        </w:tc>
      </w:tr>
      <w:tr w:rsidR="001163BA" w:rsidRPr="00FA0D37"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FA0D37" w:rsidRDefault="001163BA" w:rsidP="0071565C">
            <w:pPr>
              <w:pStyle w:val="TAL"/>
              <w:rPr>
                <w:i/>
                <w:iCs/>
              </w:rPr>
            </w:pPr>
            <w:r w:rsidRPr="00FA0D37">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FA0D37" w:rsidRDefault="001163BA" w:rsidP="0071565C">
            <w:pPr>
              <w:pStyle w:val="TAL"/>
              <w:rPr>
                <w:szCs w:val="22"/>
              </w:rPr>
            </w:pPr>
            <w:r w:rsidRPr="00FA0D37">
              <w:rPr>
                <w:szCs w:val="22"/>
              </w:rPr>
              <w:t>This field is mandatory present if ssb-ConfigMobility is configured or associatedSSB is configured in at least one cell. Otherwise, it is absent, Need R.</w:t>
            </w:r>
          </w:p>
        </w:tc>
      </w:tr>
    </w:tbl>
    <w:p w14:paraId="63277599" w14:textId="77777777" w:rsidR="00394471" w:rsidRPr="00FA0D37" w:rsidRDefault="00394471" w:rsidP="00394471"/>
    <w:p w14:paraId="7BD76869" w14:textId="77777777" w:rsidR="00394471" w:rsidRPr="00FA0D37" w:rsidRDefault="00394471" w:rsidP="00394471">
      <w:pPr>
        <w:pStyle w:val="4"/>
      </w:pPr>
      <w:bookmarkStart w:id="1094" w:name="_Toc60777262"/>
      <w:bookmarkStart w:id="1095" w:name="_Toc146781322"/>
      <w:r w:rsidRPr="00FA0D37">
        <w:t>–</w:t>
      </w:r>
      <w:r w:rsidRPr="00FA0D37">
        <w:tab/>
      </w:r>
      <w:r w:rsidRPr="00FA0D37">
        <w:rPr>
          <w:i/>
          <w:iCs/>
        </w:rPr>
        <w:t>MeasObjectNR-SL</w:t>
      </w:r>
      <w:bookmarkEnd w:id="1094"/>
      <w:bookmarkEnd w:id="1095"/>
    </w:p>
    <w:p w14:paraId="11CD91B0" w14:textId="551945B2" w:rsidR="00394471" w:rsidRPr="00FA0D37" w:rsidRDefault="00394471" w:rsidP="00394471">
      <w:r w:rsidRPr="00FA0D37">
        <w:t xml:space="preserve">The IE </w:t>
      </w:r>
      <w:r w:rsidRPr="00FA0D37">
        <w:rPr>
          <w:i/>
        </w:rPr>
        <w:t>MeasObjectNR-SL</w:t>
      </w:r>
      <w:r w:rsidRPr="00FA0D37">
        <w:t xml:space="preserve"> concerns a measurement object including a list of transmission resource pool(s) for which CBR measurement is performed for NR sidelink communication</w:t>
      </w:r>
      <w:r w:rsidR="0039645C" w:rsidRPr="00FA0D37">
        <w:t>/discovery</w:t>
      </w:r>
      <w:r w:rsidRPr="00FA0D37">
        <w:t>.</w:t>
      </w:r>
    </w:p>
    <w:p w14:paraId="165AC510" w14:textId="77777777" w:rsidR="00394471" w:rsidRPr="00FA0D37" w:rsidRDefault="00394471" w:rsidP="00394471">
      <w:pPr>
        <w:pStyle w:val="TH"/>
        <w:rPr>
          <w:b w:val="0"/>
        </w:rPr>
      </w:pPr>
      <w:r w:rsidRPr="00FA0D37">
        <w:rPr>
          <w:i/>
        </w:rPr>
        <w:t>MeasObjectNR-SL</w:t>
      </w:r>
      <w:r w:rsidRPr="00FA0D37">
        <w:t xml:space="preserve"> information element</w:t>
      </w:r>
    </w:p>
    <w:p w14:paraId="3346AC2A" w14:textId="77777777" w:rsidR="00394471" w:rsidRPr="00FA0D37" w:rsidRDefault="00394471" w:rsidP="00FA0D37">
      <w:pPr>
        <w:pStyle w:val="PL"/>
        <w:rPr>
          <w:color w:val="808080"/>
        </w:rPr>
      </w:pPr>
      <w:r w:rsidRPr="00FA0D37">
        <w:rPr>
          <w:color w:val="808080"/>
        </w:rPr>
        <w:t>-- ASN1START</w:t>
      </w:r>
    </w:p>
    <w:p w14:paraId="39478752" w14:textId="77777777" w:rsidR="00394471" w:rsidRPr="00FA0D37" w:rsidRDefault="00394471" w:rsidP="00FA0D37">
      <w:pPr>
        <w:pStyle w:val="PL"/>
        <w:rPr>
          <w:color w:val="808080"/>
        </w:rPr>
      </w:pPr>
      <w:r w:rsidRPr="00FA0D37">
        <w:rPr>
          <w:color w:val="808080"/>
        </w:rPr>
        <w:t>-- TAG-MEASOBJECTNR-SL-START</w:t>
      </w:r>
    </w:p>
    <w:p w14:paraId="081F3A3F" w14:textId="77777777" w:rsidR="00394471" w:rsidRPr="00FA0D37" w:rsidRDefault="00394471" w:rsidP="00FA0D37">
      <w:pPr>
        <w:pStyle w:val="PL"/>
      </w:pPr>
    </w:p>
    <w:p w14:paraId="310A341E" w14:textId="77777777" w:rsidR="00394471" w:rsidRPr="00FA0D37" w:rsidRDefault="00394471" w:rsidP="00FA0D37">
      <w:pPr>
        <w:pStyle w:val="PL"/>
      </w:pPr>
      <w:r w:rsidRPr="00FA0D37">
        <w:t xml:space="preserve">MeasObjectNR-SL-r16 ::=      </w:t>
      </w:r>
      <w:r w:rsidRPr="00FA0D37">
        <w:rPr>
          <w:color w:val="993366"/>
        </w:rPr>
        <w:t>SEQUENCE</w:t>
      </w:r>
      <w:r w:rsidRPr="00FA0D37">
        <w:t xml:space="preserve"> {</w:t>
      </w:r>
    </w:p>
    <w:p w14:paraId="6F7E2356" w14:textId="77777777" w:rsidR="00394471" w:rsidRPr="00FA0D37" w:rsidRDefault="00394471" w:rsidP="00FA0D37">
      <w:pPr>
        <w:pStyle w:val="PL"/>
        <w:rPr>
          <w:color w:val="808080"/>
        </w:rPr>
      </w:pPr>
      <w:r w:rsidRPr="00FA0D37">
        <w:t xml:space="preserve">    tx-PoolMeasToRemoveList-r16  Tx-PoolMeasList-r16                           </w:t>
      </w:r>
      <w:r w:rsidRPr="00FA0D37">
        <w:rPr>
          <w:color w:val="993366"/>
        </w:rPr>
        <w:t>OPTIONAL</w:t>
      </w:r>
      <w:r w:rsidRPr="00FA0D37">
        <w:t xml:space="preserve">,       </w:t>
      </w:r>
      <w:r w:rsidRPr="00FA0D37">
        <w:rPr>
          <w:color w:val="808080"/>
        </w:rPr>
        <w:t>-- Need N</w:t>
      </w:r>
    </w:p>
    <w:p w14:paraId="551E7C2C" w14:textId="77777777" w:rsidR="00394471" w:rsidRPr="00FA0D37" w:rsidRDefault="00394471" w:rsidP="00FA0D37">
      <w:pPr>
        <w:pStyle w:val="PL"/>
        <w:rPr>
          <w:color w:val="808080"/>
        </w:rPr>
      </w:pPr>
      <w:r w:rsidRPr="00FA0D37">
        <w:t xml:space="preserve">    tx-PoolMeasToAddModList-r16  Tx-PoolMeasList-r16                           </w:t>
      </w:r>
      <w:r w:rsidRPr="00FA0D37">
        <w:rPr>
          <w:color w:val="993366"/>
        </w:rPr>
        <w:t>OPTIONAL</w:t>
      </w:r>
      <w:r w:rsidRPr="00FA0D37">
        <w:t xml:space="preserve">        </w:t>
      </w:r>
      <w:r w:rsidRPr="00FA0D37">
        <w:rPr>
          <w:color w:val="808080"/>
        </w:rPr>
        <w:t>-- Need N</w:t>
      </w:r>
    </w:p>
    <w:p w14:paraId="0D8E8D69" w14:textId="77777777" w:rsidR="00394471" w:rsidRPr="00FA0D37" w:rsidRDefault="00394471" w:rsidP="00FA0D37">
      <w:pPr>
        <w:pStyle w:val="PL"/>
      </w:pPr>
      <w:r w:rsidRPr="00FA0D37">
        <w:t>}</w:t>
      </w:r>
    </w:p>
    <w:p w14:paraId="30D3BE6D" w14:textId="77777777" w:rsidR="00394471" w:rsidRPr="00FA0D37" w:rsidRDefault="00394471" w:rsidP="00FA0D37">
      <w:pPr>
        <w:pStyle w:val="PL"/>
      </w:pPr>
    </w:p>
    <w:p w14:paraId="463D27CD" w14:textId="77777777" w:rsidR="00394471" w:rsidRPr="00FA0D37" w:rsidRDefault="00394471" w:rsidP="00FA0D37">
      <w:pPr>
        <w:pStyle w:val="PL"/>
      </w:pPr>
      <w:r w:rsidRPr="00FA0D37">
        <w:t xml:space="preserve">Tx-PoolMeasList-r16 ::= </w:t>
      </w:r>
      <w:r w:rsidRPr="00FA0D37">
        <w:rPr>
          <w:color w:val="993366"/>
        </w:rPr>
        <w:t>SEQUENCE</w:t>
      </w:r>
      <w:r w:rsidRPr="00FA0D37">
        <w:t xml:space="preserve"> (</w:t>
      </w:r>
      <w:r w:rsidRPr="00FA0D37">
        <w:rPr>
          <w:color w:val="993366"/>
        </w:rPr>
        <w:t>SIZE</w:t>
      </w:r>
      <w:r w:rsidRPr="00FA0D37">
        <w:t xml:space="preserve"> (1..maxNrofSL-PoolToMeasureNR-r16))</w:t>
      </w:r>
      <w:r w:rsidRPr="00FA0D37">
        <w:rPr>
          <w:color w:val="993366"/>
        </w:rPr>
        <w:t xml:space="preserve"> OF</w:t>
      </w:r>
      <w:r w:rsidRPr="00FA0D37">
        <w:t xml:space="preserve"> SL-ResourcePoolID-r16</w:t>
      </w:r>
    </w:p>
    <w:p w14:paraId="332CB2E6" w14:textId="77777777" w:rsidR="00394471" w:rsidRPr="00FA0D37" w:rsidRDefault="00394471" w:rsidP="00FA0D37">
      <w:pPr>
        <w:pStyle w:val="PL"/>
      </w:pPr>
    </w:p>
    <w:p w14:paraId="54D7E9B6" w14:textId="77777777" w:rsidR="00394471" w:rsidRPr="00FA0D37" w:rsidRDefault="00394471" w:rsidP="00FA0D37">
      <w:pPr>
        <w:pStyle w:val="PL"/>
        <w:rPr>
          <w:color w:val="808080"/>
        </w:rPr>
      </w:pPr>
      <w:r w:rsidRPr="00FA0D37">
        <w:rPr>
          <w:color w:val="808080"/>
        </w:rPr>
        <w:t>-- TAG-MEASOBJECTNR-SL-STOP</w:t>
      </w:r>
    </w:p>
    <w:p w14:paraId="7A2DC1E2" w14:textId="77777777" w:rsidR="00394471" w:rsidRPr="00FA0D37" w:rsidRDefault="00394471" w:rsidP="00FA0D37">
      <w:pPr>
        <w:pStyle w:val="PL"/>
        <w:rPr>
          <w:color w:val="808080"/>
        </w:rPr>
      </w:pPr>
      <w:r w:rsidRPr="00FA0D37">
        <w:rPr>
          <w:color w:val="808080"/>
        </w:rPr>
        <w:t>-- ASN1STOP</w:t>
      </w:r>
    </w:p>
    <w:p w14:paraId="4873E1FA" w14:textId="51251E50" w:rsidR="00394471" w:rsidRPr="00FA0D37" w:rsidRDefault="00394471" w:rsidP="00394471"/>
    <w:p w14:paraId="3C355C13" w14:textId="77777777" w:rsidR="00F27D15" w:rsidRPr="00FA0D37" w:rsidRDefault="00F27D15" w:rsidP="00F27D15">
      <w:pPr>
        <w:pStyle w:val="4"/>
      </w:pPr>
      <w:bookmarkStart w:id="1096" w:name="_Toc146781323"/>
      <w:r w:rsidRPr="00FA0D37">
        <w:t>–</w:t>
      </w:r>
      <w:r w:rsidRPr="00FA0D37">
        <w:tab/>
      </w:r>
      <w:r w:rsidRPr="00FA0D37">
        <w:rPr>
          <w:i/>
          <w:iCs/>
        </w:rPr>
        <w:t>M</w:t>
      </w:r>
      <w:r w:rsidRPr="00FA0D37">
        <w:rPr>
          <w:i/>
        </w:rPr>
        <w:t>easObjectRxTxDiff</w:t>
      </w:r>
      <w:bookmarkEnd w:id="1096"/>
    </w:p>
    <w:p w14:paraId="661A1346" w14:textId="77777777" w:rsidR="00F27D15" w:rsidRPr="00FA0D37" w:rsidRDefault="00F27D15" w:rsidP="00F27D15">
      <w:r w:rsidRPr="00FA0D37">
        <w:t xml:space="preserve">The IE </w:t>
      </w:r>
      <w:r w:rsidRPr="00FA0D37">
        <w:rPr>
          <w:i/>
          <w:iCs/>
        </w:rPr>
        <w:t>M</w:t>
      </w:r>
      <w:r w:rsidRPr="00FA0D37">
        <w:rPr>
          <w:i/>
        </w:rPr>
        <w:t>easObjectRxTxDiff</w:t>
      </w:r>
      <w:r w:rsidRPr="00FA0D37">
        <w:t xml:space="preserve"> is used to configure the measurement object for UE Rx-Tx time difference measurement.</w:t>
      </w:r>
    </w:p>
    <w:p w14:paraId="1162647C" w14:textId="77777777" w:rsidR="00F27D15" w:rsidRPr="00FA0D37" w:rsidRDefault="00F27D15" w:rsidP="00F27D15">
      <w:pPr>
        <w:pStyle w:val="TH"/>
      </w:pPr>
      <w:r w:rsidRPr="00FA0D37">
        <w:rPr>
          <w:i/>
        </w:rPr>
        <w:t>MeasObjectRxTxDiff</w:t>
      </w:r>
      <w:r w:rsidRPr="00FA0D37">
        <w:t xml:space="preserve"> information element</w:t>
      </w:r>
    </w:p>
    <w:p w14:paraId="06B5ACC9" w14:textId="77777777" w:rsidR="00F27D15" w:rsidRPr="00FA0D37" w:rsidRDefault="00F27D15" w:rsidP="00FA0D37">
      <w:pPr>
        <w:pStyle w:val="PL"/>
        <w:rPr>
          <w:color w:val="808080"/>
        </w:rPr>
      </w:pPr>
      <w:r w:rsidRPr="00FA0D37">
        <w:rPr>
          <w:color w:val="808080"/>
        </w:rPr>
        <w:t>-- ASN1START</w:t>
      </w:r>
    </w:p>
    <w:p w14:paraId="02B2564B" w14:textId="77777777" w:rsidR="00F27D15" w:rsidRPr="00FA0D37" w:rsidRDefault="00F27D15" w:rsidP="00FA0D37">
      <w:pPr>
        <w:pStyle w:val="PL"/>
        <w:rPr>
          <w:color w:val="808080"/>
        </w:rPr>
      </w:pPr>
      <w:r w:rsidRPr="00FA0D37">
        <w:rPr>
          <w:color w:val="808080"/>
        </w:rPr>
        <w:lastRenderedPageBreak/>
        <w:t>-- TAG-MEASOBJECTRXTXDIFF-START</w:t>
      </w:r>
    </w:p>
    <w:p w14:paraId="0EA5225D" w14:textId="77777777" w:rsidR="00F27D15" w:rsidRPr="00FA0D37" w:rsidRDefault="00F27D15" w:rsidP="00FA0D37">
      <w:pPr>
        <w:pStyle w:val="PL"/>
      </w:pPr>
    </w:p>
    <w:p w14:paraId="7023F638" w14:textId="77777777" w:rsidR="00F27D15" w:rsidRPr="00FA0D37" w:rsidRDefault="00F27D15" w:rsidP="00FA0D37">
      <w:pPr>
        <w:pStyle w:val="PL"/>
      </w:pPr>
    </w:p>
    <w:p w14:paraId="2EA9A82C" w14:textId="77777777" w:rsidR="00F27D15" w:rsidRPr="00FA0D37" w:rsidRDefault="00F27D15" w:rsidP="00FA0D37">
      <w:pPr>
        <w:pStyle w:val="PL"/>
      </w:pPr>
      <w:r w:rsidRPr="00FA0D37">
        <w:t xml:space="preserve">MeasObjectRxTxDiff-r17 ::=      </w:t>
      </w:r>
      <w:r w:rsidRPr="00FA0D37">
        <w:rPr>
          <w:color w:val="993366"/>
        </w:rPr>
        <w:t>SEQUENCE</w:t>
      </w:r>
      <w:r w:rsidRPr="00FA0D37">
        <w:t xml:space="preserve"> {</w:t>
      </w:r>
    </w:p>
    <w:p w14:paraId="3DA57421" w14:textId="77777777" w:rsidR="00F27D15" w:rsidRPr="00FA0D37" w:rsidRDefault="00F27D15" w:rsidP="00FA0D37">
      <w:pPr>
        <w:pStyle w:val="PL"/>
      </w:pPr>
      <w:r w:rsidRPr="00FA0D37">
        <w:t xml:space="preserve">    dl-Ref-r17      </w:t>
      </w:r>
      <w:r w:rsidRPr="00FA0D37">
        <w:rPr>
          <w:color w:val="993366"/>
        </w:rPr>
        <w:t>CHOICE</w:t>
      </w:r>
      <w:r w:rsidRPr="00FA0D37">
        <w:t xml:space="preserve"> {</w:t>
      </w:r>
    </w:p>
    <w:p w14:paraId="0F64EF28" w14:textId="77777777" w:rsidR="00F27D15" w:rsidRPr="00FA0D37" w:rsidRDefault="00F27D15" w:rsidP="00FA0D37">
      <w:pPr>
        <w:pStyle w:val="PL"/>
      </w:pPr>
      <w:r w:rsidRPr="00FA0D37">
        <w:t xml:space="preserve">        prs-Ref-r17             </w:t>
      </w:r>
      <w:r w:rsidRPr="00FA0D37">
        <w:rPr>
          <w:color w:val="993366"/>
        </w:rPr>
        <w:t>NULL</w:t>
      </w:r>
      <w:r w:rsidRPr="00FA0D37">
        <w:t>,</w:t>
      </w:r>
    </w:p>
    <w:p w14:paraId="2E378ADA" w14:textId="77777777" w:rsidR="00F27D15" w:rsidRPr="00FA0D37" w:rsidRDefault="00F27D15" w:rsidP="00FA0D37">
      <w:pPr>
        <w:pStyle w:val="PL"/>
      </w:pPr>
      <w:r w:rsidRPr="00FA0D37">
        <w:t xml:space="preserve">        csi-RS-Ref-r17          </w:t>
      </w:r>
      <w:r w:rsidRPr="00FA0D37">
        <w:rPr>
          <w:color w:val="993366"/>
        </w:rPr>
        <w:t>NULL</w:t>
      </w:r>
      <w:r w:rsidRPr="00FA0D37">
        <w:t>,</w:t>
      </w:r>
    </w:p>
    <w:p w14:paraId="23D6A550" w14:textId="77777777" w:rsidR="00F27D15" w:rsidRPr="00FA0D37" w:rsidRDefault="00F27D15" w:rsidP="00FA0D37">
      <w:pPr>
        <w:pStyle w:val="PL"/>
      </w:pPr>
      <w:r w:rsidRPr="00FA0D37">
        <w:t xml:space="preserve">        ...</w:t>
      </w:r>
    </w:p>
    <w:p w14:paraId="7C90B8EA" w14:textId="77777777" w:rsidR="00F27D15" w:rsidRPr="00FA0D37" w:rsidRDefault="00F27D15"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5712D474" w14:textId="77777777" w:rsidR="00F27D15" w:rsidRPr="00FA0D37" w:rsidRDefault="00F27D15" w:rsidP="00FA0D37">
      <w:pPr>
        <w:pStyle w:val="PL"/>
      </w:pPr>
      <w:r w:rsidRPr="00FA0D37">
        <w:t xml:space="preserve">    ...</w:t>
      </w:r>
    </w:p>
    <w:p w14:paraId="086D5244" w14:textId="77777777" w:rsidR="00F27D15" w:rsidRPr="00FA0D37" w:rsidRDefault="00F27D15" w:rsidP="00FA0D37">
      <w:pPr>
        <w:pStyle w:val="PL"/>
      </w:pPr>
      <w:r w:rsidRPr="00FA0D37">
        <w:t>}</w:t>
      </w:r>
    </w:p>
    <w:p w14:paraId="64F9B24C" w14:textId="77777777" w:rsidR="00F27D15" w:rsidRPr="00FA0D37" w:rsidRDefault="00F27D15" w:rsidP="00FA0D37">
      <w:pPr>
        <w:pStyle w:val="PL"/>
      </w:pPr>
    </w:p>
    <w:p w14:paraId="5A3A0545" w14:textId="77777777" w:rsidR="00F27D15" w:rsidRPr="00FA0D37" w:rsidRDefault="00F27D15" w:rsidP="00FA0D37">
      <w:pPr>
        <w:pStyle w:val="PL"/>
        <w:rPr>
          <w:color w:val="808080"/>
        </w:rPr>
      </w:pPr>
      <w:r w:rsidRPr="00FA0D37">
        <w:rPr>
          <w:color w:val="808080"/>
        </w:rPr>
        <w:t>-- TAG-MEASOBJECTRXTXDIFF-STOP</w:t>
      </w:r>
    </w:p>
    <w:p w14:paraId="7EE904F9" w14:textId="77777777" w:rsidR="00F27D15" w:rsidRPr="00FA0D37" w:rsidRDefault="00F27D15" w:rsidP="00FA0D37">
      <w:pPr>
        <w:pStyle w:val="PL"/>
        <w:rPr>
          <w:color w:val="808080"/>
        </w:rPr>
      </w:pPr>
      <w:r w:rsidRPr="00FA0D37">
        <w:rPr>
          <w:color w:val="808080"/>
        </w:rPr>
        <w:t>-- ASN1STOP</w:t>
      </w:r>
    </w:p>
    <w:p w14:paraId="4C70CDA6" w14:textId="77777777" w:rsidR="00F27D15" w:rsidRPr="00FA0D37" w:rsidRDefault="00F27D15" w:rsidP="00F27D15"/>
    <w:tbl>
      <w:tblPr>
        <w:tblStyle w:val="af8"/>
        <w:tblW w:w="14173" w:type="dxa"/>
        <w:tblInd w:w="0" w:type="dxa"/>
        <w:tblLook w:val="04A0" w:firstRow="1" w:lastRow="0" w:firstColumn="1" w:lastColumn="0" w:noHBand="0" w:noVBand="1"/>
      </w:tblPr>
      <w:tblGrid>
        <w:gridCol w:w="14173"/>
      </w:tblGrid>
      <w:tr w:rsidR="005C7FF4" w:rsidRPr="00FA0D37" w14:paraId="53AB3D51" w14:textId="77777777" w:rsidTr="00771058">
        <w:tc>
          <w:tcPr>
            <w:tcW w:w="14281" w:type="dxa"/>
          </w:tcPr>
          <w:p w14:paraId="1E8E49A0" w14:textId="77777777" w:rsidR="00F27D15" w:rsidRPr="00FA0D37" w:rsidRDefault="00F27D15" w:rsidP="00771058">
            <w:pPr>
              <w:pStyle w:val="TAH"/>
            </w:pPr>
            <w:r w:rsidRPr="00FA0D37">
              <w:rPr>
                <w:i/>
              </w:rPr>
              <w:t>MeasObjectRxTxDiff field descriptions</w:t>
            </w:r>
          </w:p>
        </w:tc>
      </w:tr>
      <w:tr w:rsidR="000830BB" w:rsidRPr="00FA0D37" w14:paraId="148CE232" w14:textId="77777777" w:rsidTr="00771058">
        <w:tc>
          <w:tcPr>
            <w:tcW w:w="14281" w:type="dxa"/>
          </w:tcPr>
          <w:p w14:paraId="6B5C1D1F" w14:textId="7C69B847" w:rsidR="00F27D15" w:rsidRPr="00FA0D37" w:rsidRDefault="00F27D15" w:rsidP="00771058">
            <w:pPr>
              <w:pStyle w:val="TAL"/>
              <w:rPr>
                <w:b/>
                <w:i/>
              </w:rPr>
            </w:pPr>
            <w:r w:rsidRPr="00FA0D37">
              <w:rPr>
                <w:b/>
                <w:i/>
              </w:rPr>
              <w:t>dl-Ref</w:t>
            </w:r>
          </w:p>
          <w:p w14:paraId="47D62027" w14:textId="50650B52" w:rsidR="00F27D15" w:rsidRPr="00FA0D37" w:rsidRDefault="00F27D15" w:rsidP="00771058">
            <w:pPr>
              <w:pStyle w:val="TAL"/>
            </w:pPr>
            <w:r w:rsidRPr="00FA0D37">
              <w:t xml:space="preserve">configures the DL references signals to measure Rx-Tx time difference. </w:t>
            </w:r>
            <w:r w:rsidRPr="00FA0D37">
              <w:rPr>
                <w:i/>
                <w:iCs/>
              </w:rPr>
              <w:t xml:space="preserve">prs-Ref-r17 </w:t>
            </w:r>
            <w:r w:rsidRPr="00FA0D37">
              <w:t xml:space="preserve">indicates PRS is chosen, and </w:t>
            </w:r>
            <w:r w:rsidRPr="00FA0D37">
              <w:rPr>
                <w:i/>
                <w:iCs/>
              </w:rPr>
              <w:t>csi-RS-Ref-</w:t>
            </w:r>
            <w:r w:rsidR="00C11704" w:rsidRPr="00FA0D37">
              <w:rPr>
                <w:i/>
                <w:iCs/>
              </w:rPr>
              <w:t>r</w:t>
            </w:r>
            <w:r w:rsidRPr="00FA0D37">
              <w:rPr>
                <w:i/>
                <w:iCs/>
              </w:rPr>
              <w:t xml:space="preserve">17 </w:t>
            </w:r>
            <w:r w:rsidRPr="00FA0D37">
              <w:t>indicates that CSI-RS for tracking is chosen.</w:t>
            </w:r>
          </w:p>
          <w:p w14:paraId="7C9C559A" w14:textId="49A43695" w:rsidR="00F27D15" w:rsidRPr="00FA0D37" w:rsidRDefault="00F27D15" w:rsidP="00771058">
            <w:pPr>
              <w:pStyle w:val="TAL"/>
            </w:pPr>
            <w:r w:rsidRPr="00FA0D37">
              <w:t xml:space="preserve">Only one PRS resource </w:t>
            </w:r>
            <w:r w:rsidR="000056EE" w:rsidRPr="00FA0D37">
              <w:t xml:space="preserve">set </w:t>
            </w:r>
            <w:r w:rsidRPr="00FA0D37">
              <w:t xml:space="preserve">is configured by the network. Only one </w:t>
            </w:r>
            <w:r w:rsidRPr="00FA0D37">
              <w:rPr>
                <w:i/>
                <w:iCs/>
              </w:rPr>
              <w:t>NZP-CSI-RS-ResourceSet</w:t>
            </w:r>
            <w:r w:rsidRPr="00FA0D37">
              <w:t xml:space="preserve"> can be configured with </w:t>
            </w:r>
            <w:r w:rsidRPr="00FA0D37">
              <w:rPr>
                <w:i/>
                <w:iCs/>
              </w:rPr>
              <w:t xml:space="preserve">pdc-Info-r17 </w:t>
            </w:r>
            <w:r w:rsidRPr="00FA0D37">
              <w:t xml:space="preserve">set to </w:t>
            </w:r>
            <w:r w:rsidRPr="00FA0D37">
              <w:rPr>
                <w:i/>
                <w:iCs/>
              </w:rPr>
              <w:t>true</w:t>
            </w:r>
            <w:r w:rsidRPr="00FA0D37">
              <w:t xml:space="preserve"> and it is used for UE Rx-Tx time difference measurement. Only reference signals from the PCell of the MCG can be configured by the network.</w:t>
            </w:r>
          </w:p>
        </w:tc>
      </w:tr>
    </w:tbl>
    <w:p w14:paraId="1808C021" w14:textId="77777777" w:rsidR="00F27D15" w:rsidRPr="00FA0D37" w:rsidRDefault="00F27D15" w:rsidP="00394471"/>
    <w:p w14:paraId="20B11CCC" w14:textId="77777777" w:rsidR="00394471" w:rsidRPr="00FA0D37" w:rsidRDefault="00394471" w:rsidP="00394471">
      <w:pPr>
        <w:pStyle w:val="4"/>
        <w:rPr>
          <w:i/>
        </w:rPr>
      </w:pPr>
      <w:bookmarkStart w:id="1097" w:name="_Toc60777263"/>
      <w:bookmarkStart w:id="1098" w:name="_Toc146781324"/>
      <w:r w:rsidRPr="00FA0D37">
        <w:t>–</w:t>
      </w:r>
      <w:r w:rsidRPr="00FA0D37">
        <w:tab/>
      </w:r>
      <w:r w:rsidRPr="00FA0D37">
        <w:rPr>
          <w:i/>
        </w:rPr>
        <w:t>MeasObjectToAddModList</w:t>
      </w:r>
      <w:bookmarkEnd w:id="1097"/>
      <w:bookmarkEnd w:id="1098"/>
    </w:p>
    <w:p w14:paraId="45AA83F1" w14:textId="77777777" w:rsidR="00394471" w:rsidRPr="00FA0D37" w:rsidRDefault="00394471" w:rsidP="00394471">
      <w:r w:rsidRPr="00FA0D37">
        <w:t xml:space="preserve">The IE </w:t>
      </w:r>
      <w:r w:rsidRPr="00FA0D37">
        <w:rPr>
          <w:i/>
        </w:rPr>
        <w:t>MeasObjectToAddModList</w:t>
      </w:r>
      <w:r w:rsidRPr="00FA0D37">
        <w:t xml:space="preserve"> concerns a list of measurement objects to add or modify.</w:t>
      </w:r>
    </w:p>
    <w:p w14:paraId="3994997B" w14:textId="77777777" w:rsidR="00394471" w:rsidRPr="00FA0D37" w:rsidRDefault="00394471" w:rsidP="00394471">
      <w:pPr>
        <w:pStyle w:val="TH"/>
      </w:pPr>
      <w:r w:rsidRPr="00FA0D37">
        <w:rPr>
          <w:i/>
        </w:rPr>
        <w:t>MeasObjectToAddModList</w:t>
      </w:r>
      <w:r w:rsidRPr="00FA0D37">
        <w:t xml:space="preserve"> information element</w:t>
      </w:r>
    </w:p>
    <w:p w14:paraId="14D0D0DD" w14:textId="77777777" w:rsidR="00394471" w:rsidRPr="00FA0D37" w:rsidRDefault="00394471" w:rsidP="00FA0D37">
      <w:pPr>
        <w:pStyle w:val="PL"/>
        <w:rPr>
          <w:color w:val="808080"/>
        </w:rPr>
      </w:pPr>
      <w:r w:rsidRPr="00FA0D37">
        <w:rPr>
          <w:color w:val="808080"/>
        </w:rPr>
        <w:t>-- ASN1START</w:t>
      </w:r>
    </w:p>
    <w:p w14:paraId="29E96536" w14:textId="77777777" w:rsidR="00394471" w:rsidRPr="00FA0D37" w:rsidRDefault="00394471" w:rsidP="00FA0D37">
      <w:pPr>
        <w:pStyle w:val="PL"/>
        <w:rPr>
          <w:color w:val="808080"/>
        </w:rPr>
      </w:pPr>
      <w:r w:rsidRPr="00FA0D37">
        <w:rPr>
          <w:color w:val="808080"/>
        </w:rPr>
        <w:t>-- TAG-MEASOBJECTTOADDMODLIST-START</w:t>
      </w:r>
    </w:p>
    <w:p w14:paraId="79DC818F" w14:textId="77777777" w:rsidR="00394471" w:rsidRPr="00FA0D37" w:rsidRDefault="00394471" w:rsidP="00FA0D37">
      <w:pPr>
        <w:pStyle w:val="PL"/>
      </w:pPr>
    </w:p>
    <w:p w14:paraId="1B634CF4" w14:textId="77777777" w:rsidR="00394471" w:rsidRPr="00FA0D37" w:rsidRDefault="00394471" w:rsidP="00FA0D37">
      <w:pPr>
        <w:pStyle w:val="PL"/>
      </w:pPr>
      <w:r w:rsidRPr="00FA0D37">
        <w:t xml:space="preserve">MeasObjectToAddModList ::=                  </w:t>
      </w:r>
      <w:r w:rsidRPr="00FA0D37">
        <w:rPr>
          <w:color w:val="993366"/>
        </w:rPr>
        <w:t>SEQUENCE</w:t>
      </w:r>
      <w:r w:rsidRPr="00FA0D37">
        <w:t xml:space="preserve"> (</w:t>
      </w:r>
      <w:r w:rsidRPr="00FA0D37">
        <w:rPr>
          <w:color w:val="993366"/>
        </w:rPr>
        <w:t>SIZE</w:t>
      </w:r>
      <w:r w:rsidRPr="00FA0D37">
        <w:t xml:space="preserve"> (1..maxNrofObjectId))</w:t>
      </w:r>
      <w:r w:rsidRPr="00FA0D37">
        <w:rPr>
          <w:color w:val="993366"/>
        </w:rPr>
        <w:t xml:space="preserve"> OF</w:t>
      </w:r>
      <w:r w:rsidRPr="00FA0D37">
        <w:t xml:space="preserve"> MeasObjectToAddMod</w:t>
      </w:r>
    </w:p>
    <w:p w14:paraId="4B8BE5CF" w14:textId="77777777" w:rsidR="00394471" w:rsidRPr="00FA0D37" w:rsidRDefault="00394471" w:rsidP="00FA0D37">
      <w:pPr>
        <w:pStyle w:val="PL"/>
      </w:pPr>
    </w:p>
    <w:p w14:paraId="50FC26BE" w14:textId="77777777" w:rsidR="00394471" w:rsidRPr="00FA0D37" w:rsidRDefault="00394471" w:rsidP="00FA0D37">
      <w:pPr>
        <w:pStyle w:val="PL"/>
      </w:pPr>
      <w:r w:rsidRPr="00FA0D37">
        <w:t xml:space="preserve">MeasObjectToAddMod ::=                      </w:t>
      </w:r>
      <w:r w:rsidRPr="00FA0D37">
        <w:rPr>
          <w:color w:val="993366"/>
        </w:rPr>
        <w:t>SEQUENCE</w:t>
      </w:r>
      <w:r w:rsidRPr="00FA0D37">
        <w:t xml:space="preserve"> {</w:t>
      </w:r>
    </w:p>
    <w:p w14:paraId="74671A1E" w14:textId="77777777" w:rsidR="00394471" w:rsidRPr="00FA0D37" w:rsidRDefault="00394471" w:rsidP="00FA0D37">
      <w:pPr>
        <w:pStyle w:val="PL"/>
      </w:pPr>
      <w:r w:rsidRPr="00FA0D37">
        <w:t xml:space="preserve">    measObjectId                                MeasObjectId,</w:t>
      </w:r>
    </w:p>
    <w:p w14:paraId="3261DB99" w14:textId="77777777" w:rsidR="00394471" w:rsidRPr="00FA0D37" w:rsidRDefault="00394471" w:rsidP="00FA0D37">
      <w:pPr>
        <w:pStyle w:val="PL"/>
      </w:pPr>
      <w:r w:rsidRPr="00FA0D37">
        <w:t xml:space="preserve">    measObject                                  </w:t>
      </w:r>
      <w:r w:rsidRPr="00FA0D37">
        <w:rPr>
          <w:color w:val="993366"/>
        </w:rPr>
        <w:t>CHOICE</w:t>
      </w:r>
      <w:r w:rsidRPr="00FA0D37">
        <w:t xml:space="preserve"> {</w:t>
      </w:r>
    </w:p>
    <w:p w14:paraId="6F32493B" w14:textId="77777777" w:rsidR="00394471" w:rsidRPr="00FA0D37" w:rsidRDefault="00394471" w:rsidP="00FA0D37">
      <w:pPr>
        <w:pStyle w:val="PL"/>
      </w:pPr>
      <w:r w:rsidRPr="00FA0D37">
        <w:t xml:space="preserve">        measObjectNR                                MeasObjectNR,</w:t>
      </w:r>
    </w:p>
    <w:p w14:paraId="773055AA" w14:textId="77777777" w:rsidR="00394471" w:rsidRPr="00FA0D37" w:rsidRDefault="00394471" w:rsidP="00FA0D37">
      <w:pPr>
        <w:pStyle w:val="PL"/>
      </w:pPr>
      <w:r w:rsidRPr="00FA0D37">
        <w:t xml:space="preserve">        ...,</w:t>
      </w:r>
    </w:p>
    <w:p w14:paraId="14535711" w14:textId="77777777" w:rsidR="00394471" w:rsidRPr="00FA0D37" w:rsidRDefault="00394471" w:rsidP="00FA0D37">
      <w:pPr>
        <w:pStyle w:val="PL"/>
      </w:pPr>
      <w:r w:rsidRPr="00FA0D37">
        <w:t xml:space="preserve">        measObjectEUTRA                             MeasObjectEUTRA,</w:t>
      </w:r>
    </w:p>
    <w:p w14:paraId="5C3FE7D6" w14:textId="77777777" w:rsidR="00394471" w:rsidRPr="00FA0D37" w:rsidRDefault="00394471" w:rsidP="00FA0D37">
      <w:pPr>
        <w:pStyle w:val="PL"/>
      </w:pPr>
      <w:r w:rsidRPr="00FA0D37">
        <w:t xml:space="preserve">        measObjectUTRA-FDD-r16                      MeasObjectUTRA-FDD-r16,</w:t>
      </w:r>
    </w:p>
    <w:p w14:paraId="1AADF395" w14:textId="77777777" w:rsidR="00394471" w:rsidRPr="00FA0D37" w:rsidRDefault="00394471" w:rsidP="00FA0D37">
      <w:pPr>
        <w:pStyle w:val="PL"/>
      </w:pPr>
      <w:r w:rsidRPr="00FA0D37">
        <w:t xml:space="preserve">        measObjectNR-SL-r16                         MeasObjectNR-SL-r16,</w:t>
      </w:r>
    </w:p>
    <w:p w14:paraId="1E6651C1" w14:textId="5696BAAC" w:rsidR="00394471" w:rsidRPr="00FA0D37" w:rsidRDefault="00394471" w:rsidP="00FA0D37">
      <w:pPr>
        <w:pStyle w:val="PL"/>
      </w:pPr>
      <w:r w:rsidRPr="00FA0D37">
        <w:t xml:space="preserve">        measObjectCLI-r16                           MeasObjectCLI-r16</w:t>
      </w:r>
      <w:r w:rsidR="00F27D15" w:rsidRPr="00FA0D37">
        <w:t>,</w:t>
      </w:r>
    </w:p>
    <w:p w14:paraId="62C010C4" w14:textId="77777777" w:rsidR="00360CB9" w:rsidRPr="00FA0D37" w:rsidRDefault="00F27D15" w:rsidP="00FA0D37">
      <w:pPr>
        <w:pStyle w:val="PL"/>
      </w:pPr>
      <w:r w:rsidRPr="00FA0D37">
        <w:t xml:space="preserve">        measObjectRxTxDiff-r17                      MeasObjectRxTxDiff-r17</w:t>
      </w:r>
      <w:r w:rsidR="00360CB9" w:rsidRPr="00FA0D37">
        <w:t>,</w:t>
      </w:r>
    </w:p>
    <w:p w14:paraId="3F97FF1D" w14:textId="7D502510" w:rsidR="00F27D15" w:rsidRPr="00FA0D37" w:rsidRDefault="00360CB9" w:rsidP="00FA0D37">
      <w:pPr>
        <w:pStyle w:val="PL"/>
      </w:pPr>
      <w:r w:rsidRPr="00FA0D37">
        <w:t xml:space="preserve">        measObjectRelay-r17                         SL-MeasObject-r16</w:t>
      </w:r>
    </w:p>
    <w:p w14:paraId="565B1C8C" w14:textId="1AE0DD56" w:rsidR="00394471" w:rsidRPr="00FA0D37" w:rsidRDefault="00394471" w:rsidP="00FA0D37">
      <w:pPr>
        <w:pStyle w:val="PL"/>
      </w:pPr>
      <w:r w:rsidRPr="00FA0D37">
        <w:t xml:space="preserve">    }</w:t>
      </w:r>
    </w:p>
    <w:p w14:paraId="006312FC" w14:textId="77777777" w:rsidR="00394471" w:rsidRPr="00FA0D37" w:rsidRDefault="00394471" w:rsidP="00FA0D37">
      <w:pPr>
        <w:pStyle w:val="PL"/>
      </w:pPr>
      <w:r w:rsidRPr="00FA0D37">
        <w:t>}</w:t>
      </w:r>
    </w:p>
    <w:p w14:paraId="73DC0524" w14:textId="77777777" w:rsidR="00394471" w:rsidRPr="00FA0D37" w:rsidRDefault="00394471" w:rsidP="00FA0D37">
      <w:pPr>
        <w:pStyle w:val="PL"/>
      </w:pPr>
    </w:p>
    <w:p w14:paraId="5ABE2DBD" w14:textId="77777777" w:rsidR="00394471" w:rsidRPr="00FA0D37" w:rsidRDefault="00394471" w:rsidP="00FA0D37">
      <w:pPr>
        <w:pStyle w:val="PL"/>
        <w:rPr>
          <w:color w:val="808080"/>
        </w:rPr>
      </w:pPr>
      <w:r w:rsidRPr="00FA0D37">
        <w:rPr>
          <w:color w:val="808080"/>
        </w:rPr>
        <w:lastRenderedPageBreak/>
        <w:t>-- TAG-MEASOBJECTTOADDMODLIST-STOP</w:t>
      </w:r>
    </w:p>
    <w:p w14:paraId="4CED9708" w14:textId="77777777" w:rsidR="00394471" w:rsidRPr="00FA0D37" w:rsidRDefault="00394471" w:rsidP="00FA0D37">
      <w:pPr>
        <w:pStyle w:val="PL"/>
        <w:rPr>
          <w:color w:val="808080"/>
        </w:rPr>
      </w:pPr>
      <w:r w:rsidRPr="00FA0D37">
        <w:rPr>
          <w:color w:val="808080"/>
        </w:rPr>
        <w:t>-- ASN1STOP</w:t>
      </w:r>
    </w:p>
    <w:p w14:paraId="51C7F2E9" w14:textId="77777777" w:rsidR="00394471" w:rsidRPr="00FA0D37" w:rsidRDefault="00394471" w:rsidP="00394471"/>
    <w:p w14:paraId="7EBEA8C9" w14:textId="77777777" w:rsidR="00394471" w:rsidRPr="00FA0D37" w:rsidRDefault="00394471" w:rsidP="00394471">
      <w:pPr>
        <w:pStyle w:val="4"/>
        <w:ind w:left="1416" w:hangingChars="590" w:hanging="1416"/>
        <w:rPr>
          <w:lang w:eastAsia="en-US"/>
        </w:rPr>
      </w:pPr>
      <w:bookmarkStart w:id="1099" w:name="_Toc60777264"/>
      <w:bookmarkStart w:id="1100" w:name="_Toc146781325"/>
      <w:r w:rsidRPr="00FA0D37">
        <w:t>–</w:t>
      </w:r>
      <w:r w:rsidRPr="00FA0D37">
        <w:tab/>
      </w:r>
      <w:r w:rsidRPr="00FA0D37">
        <w:rPr>
          <w:i/>
          <w:noProof/>
        </w:rPr>
        <w:t>MeasObjectUTRA-FDD</w:t>
      </w:r>
      <w:bookmarkEnd w:id="1099"/>
      <w:bookmarkEnd w:id="1100"/>
    </w:p>
    <w:p w14:paraId="735E268B" w14:textId="77777777" w:rsidR="00394471" w:rsidRPr="00FA0D37" w:rsidRDefault="00394471" w:rsidP="00394471">
      <w:r w:rsidRPr="00FA0D37">
        <w:t xml:space="preserve">The IE </w:t>
      </w:r>
      <w:r w:rsidRPr="00FA0D37">
        <w:rPr>
          <w:i/>
          <w:noProof/>
        </w:rPr>
        <w:t>MeasObjectUTRA-FDD</w:t>
      </w:r>
      <w:r w:rsidRPr="00FA0D37">
        <w:t xml:space="preserve"> specifies information applicable for inter-RAT UTRA-FDD neighbouring cells.</w:t>
      </w:r>
    </w:p>
    <w:p w14:paraId="7DF9A8B0" w14:textId="77777777" w:rsidR="00394471" w:rsidRPr="00FA0D37" w:rsidRDefault="00394471" w:rsidP="00394471">
      <w:pPr>
        <w:pStyle w:val="TH"/>
      </w:pPr>
      <w:r w:rsidRPr="00FA0D37">
        <w:rPr>
          <w:bCs/>
          <w:i/>
          <w:iCs/>
        </w:rPr>
        <w:t>MeasObjectUTRA-FDD</w:t>
      </w:r>
      <w:r w:rsidRPr="00FA0D37">
        <w:t xml:space="preserve"> information element</w:t>
      </w:r>
    </w:p>
    <w:p w14:paraId="6DC9746D" w14:textId="77777777" w:rsidR="00394471" w:rsidRPr="00FA0D37" w:rsidRDefault="00394471" w:rsidP="00FA0D37">
      <w:pPr>
        <w:pStyle w:val="PL"/>
        <w:rPr>
          <w:color w:val="808080"/>
        </w:rPr>
      </w:pPr>
      <w:r w:rsidRPr="00FA0D37">
        <w:rPr>
          <w:color w:val="808080"/>
        </w:rPr>
        <w:t>-- ASN1START</w:t>
      </w:r>
    </w:p>
    <w:p w14:paraId="6484699D" w14:textId="77777777" w:rsidR="00394471" w:rsidRPr="00FA0D37" w:rsidRDefault="00394471" w:rsidP="00FA0D37">
      <w:pPr>
        <w:pStyle w:val="PL"/>
        <w:rPr>
          <w:color w:val="808080"/>
        </w:rPr>
      </w:pPr>
      <w:r w:rsidRPr="00FA0D37">
        <w:rPr>
          <w:color w:val="808080"/>
        </w:rPr>
        <w:t>-- TAG-MEASOBJECTUTRA-FDD-START</w:t>
      </w:r>
    </w:p>
    <w:p w14:paraId="46D49B27" w14:textId="77777777" w:rsidR="00394471" w:rsidRPr="00FA0D37" w:rsidRDefault="00394471" w:rsidP="00FA0D37">
      <w:pPr>
        <w:pStyle w:val="PL"/>
      </w:pPr>
    </w:p>
    <w:p w14:paraId="65510F51" w14:textId="77777777" w:rsidR="00394471" w:rsidRPr="00FA0D37" w:rsidRDefault="00394471" w:rsidP="00FA0D37">
      <w:pPr>
        <w:pStyle w:val="PL"/>
      </w:pPr>
      <w:r w:rsidRPr="00FA0D37">
        <w:t>MeasObjectUTRA-FDD-</w:t>
      </w:r>
      <w:r w:rsidRPr="00FA0D37">
        <w:rPr>
          <w:rFonts w:eastAsia="宋体"/>
        </w:rPr>
        <w:t>r16</w:t>
      </w:r>
      <w:r w:rsidRPr="00FA0D37">
        <w:t xml:space="preserve"> ::=                  </w:t>
      </w:r>
      <w:r w:rsidRPr="00FA0D37">
        <w:rPr>
          <w:color w:val="993366"/>
        </w:rPr>
        <w:t>SEQUENCE</w:t>
      </w:r>
      <w:r w:rsidRPr="00FA0D37">
        <w:t xml:space="preserve"> {</w:t>
      </w:r>
    </w:p>
    <w:p w14:paraId="71C582B2" w14:textId="77777777" w:rsidR="00394471" w:rsidRPr="00FA0D37" w:rsidRDefault="00394471" w:rsidP="00FA0D37">
      <w:pPr>
        <w:pStyle w:val="PL"/>
      </w:pPr>
      <w:r w:rsidRPr="00FA0D37">
        <w:t xml:space="preserve">    carrierFreq-r16                             ARFCN-ValueUTRA-FDD-r16,</w:t>
      </w:r>
    </w:p>
    <w:p w14:paraId="4133D290" w14:textId="77777777" w:rsidR="00394471" w:rsidRPr="00FA0D37" w:rsidRDefault="00394471" w:rsidP="00FA0D37">
      <w:pPr>
        <w:pStyle w:val="PL"/>
        <w:rPr>
          <w:color w:val="808080"/>
        </w:rPr>
      </w:pPr>
      <w:r w:rsidRPr="00FA0D37">
        <w:t xml:space="preserve">    utra-FDD-Q-OffsetRange-r16                  UTRA-FDD-Q-OffsetRange-r16              </w:t>
      </w:r>
      <w:r w:rsidRPr="00FA0D37">
        <w:rPr>
          <w:color w:val="993366"/>
        </w:rPr>
        <w:t>OPTIONAL</w:t>
      </w:r>
      <w:r w:rsidRPr="00FA0D37">
        <w:t xml:space="preserve">,         </w:t>
      </w:r>
      <w:r w:rsidRPr="00FA0D37">
        <w:rPr>
          <w:color w:val="808080"/>
        </w:rPr>
        <w:t>-- Need R</w:t>
      </w:r>
    </w:p>
    <w:p w14:paraId="7C21A75D" w14:textId="77777777" w:rsidR="00394471" w:rsidRPr="00FA0D37" w:rsidRDefault="00394471" w:rsidP="00FA0D37">
      <w:pPr>
        <w:pStyle w:val="PL"/>
        <w:rPr>
          <w:color w:val="808080"/>
        </w:rPr>
      </w:pPr>
      <w:r w:rsidRPr="00FA0D37">
        <w:t xml:space="preserve">    cellsToRemoveList-r16                       UTRA-FDD-CellIndexList-r16              </w:t>
      </w:r>
      <w:r w:rsidRPr="00FA0D37">
        <w:rPr>
          <w:color w:val="993366"/>
        </w:rPr>
        <w:t>OPTIONAL</w:t>
      </w:r>
      <w:r w:rsidRPr="00FA0D37">
        <w:t xml:space="preserve">,         </w:t>
      </w:r>
      <w:r w:rsidRPr="00FA0D37">
        <w:rPr>
          <w:color w:val="808080"/>
        </w:rPr>
        <w:t>-- Need N</w:t>
      </w:r>
    </w:p>
    <w:p w14:paraId="321E9ECF" w14:textId="77777777" w:rsidR="00394471" w:rsidRPr="00FA0D37" w:rsidRDefault="00394471" w:rsidP="00FA0D37">
      <w:pPr>
        <w:pStyle w:val="PL"/>
        <w:rPr>
          <w:color w:val="808080"/>
        </w:rPr>
      </w:pPr>
      <w:r w:rsidRPr="00FA0D37">
        <w:t xml:space="preserve">    cellsToAddModList-r16                       CellsToAddModListUTRA-FDD-r16           </w:t>
      </w:r>
      <w:r w:rsidRPr="00FA0D37">
        <w:rPr>
          <w:color w:val="993366"/>
        </w:rPr>
        <w:t>OPTIONAL</w:t>
      </w:r>
      <w:r w:rsidRPr="00FA0D37">
        <w:t xml:space="preserve">,         </w:t>
      </w:r>
      <w:r w:rsidRPr="00FA0D37">
        <w:rPr>
          <w:color w:val="808080"/>
        </w:rPr>
        <w:t>-- Need N</w:t>
      </w:r>
    </w:p>
    <w:p w14:paraId="5BBF4723" w14:textId="77777777" w:rsidR="00394471" w:rsidRPr="00FA0D37" w:rsidRDefault="00394471" w:rsidP="00FA0D37">
      <w:pPr>
        <w:pStyle w:val="PL"/>
      </w:pPr>
      <w:r w:rsidRPr="00FA0D37">
        <w:t xml:space="preserve">    ...</w:t>
      </w:r>
    </w:p>
    <w:p w14:paraId="5418DEAF" w14:textId="77777777" w:rsidR="00394471" w:rsidRPr="00FA0D37" w:rsidRDefault="00394471" w:rsidP="00FA0D37">
      <w:pPr>
        <w:pStyle w:val="PL"/>
      </w:pPr>
      <w:r w:rsidRPr="00FA0D37">
        <w:t>}</w:t>
      </w:r>
    </w:p>
    <w:p w14:paraId="5923B8AA" w14:textId="77777777" w:rsidR="00394471" w:rsidRPr="00FA0D37" w:rsidRDefault="00394471" w:rsidP="00FA0D37">
      <w:pPr>
        <w:pStyle w:val="PL"/>
      </w:pPr>
    </w:p>
    <w:p w14:paraId="4A702A79" w14:textId="77777777" w:rsidR="00394471" w:rsidRPr="00FA0D37" w:rsidRDefault="00394471" w:rsidP="00FA0D37">
      <w:pPr>
        <w:pStyle w:val="PL"/>
      </w:pPr>
      <w:r w:rsidRPr="00FA0D37">
        <w:t xml:space="preserve">CellsToAddModListUTRA-FDD-r16 ::=           </w:t>
      </w:r>
      <w:r w:rsidRPr="00FA0D37">
        <w:rPr>
          <w:color w:val="993366"/>
        </w:rPr>
        <w:t>SEQUENCE</w:t>
      </w:r>
      <w:r w:rsidRPr="00FA0D37">
        <w:t xml:space="preserve"> (</w:t>
      </w:r>
      <w:r w:rsidRPr="00FA0D37">
        <w:rPr>
          <w:color w:val="993366"/>
        </w:rPr>
        <w:t>SIZE</w:t>
      </w:r>
      <w:r w:rsidRPr="00FA0D37">
        <w:t xml:space="preserve"> (1..maxCellMeasUTRA-FDD-r16))</w:t>
      </w:r>
      <w:r w:rsidRPr="00FA0D37">
        <w:rPr>
          <w:color w:val="993366"/>
        </w:rPr>
        <w:t xml:space="preserve"> OF</w:t>
      </w:r>
      <w:r w:rsidRPr="00FA0D37">
        <w:t xml:space="preserve"> CellsToAddModUTRA-FDD-r16</w:t>
      </w:r>
    </w:p>
    <w:p w14:paraId="4C1A4031" w14:textId="77777777" w:rsidR="00394471" w:rsidRPr="00FA0D37" w:rsidRDefault="00394471" w:rsidP="00FA0D37">
      <w:pPr>
        <w:pStyle w:val="PL"/>
      </w:pPr>
    </w:p>
    <w:p w14:paraId="261D88A5" w14:textId="77777777" w:rsidR="00394471" w:rsidRPr="00FA0D37" w:rsidRDefault="00394471" w:rsidP="00FA0D37">
      <w:pPr>
        <w:pStyle w:val="PL"/>
      </w:pPr>
      <w:r w:rsidRPr="00FA0D37">
        <w:t xml:space="preserve">CellsToAddModUTRA-FDD-r16 ::=               </w:t>
      </w:r>
      <w:r w:rsidRPr="00FA0D37">
        <w:rPr>
          <w:color w:val="993366"/>
        </w:rPr>
        <w:t>SEQUENCE</w:t>
      </w:r>
      <w:r w:rsidRPr="00FA0D37">
        <w:t xml:space="preserve"> {</w:t>
      </w:r>
    </w:p>
    <w:p w14:paraId="560FEA8C" w14:textId="77777777" w:rsidR="00394471" w:rsidRPr="00FA0D37" w:rsidRDefault="00394471" w:rsidP="00FA0D37">
      <w:pPr>
        <w:pStyle w:val="PL"/>
      </w:pPr>
      <w:r w:rsidRPr="00FA0D37">
        <w:t xml:space="preserve">    cellIndexUTRA-FDD-r16                       UTRA-FDD-CellIndex-r16,</w:t>
      </w:r>
    </w:p>
    <w:p w14:paraId="3BA5D713" w14:textId="77777777" w:rsidR="00394471" w:rsidRPr="00FA0D37" w:rsidRDefault="00394471" w:rsidP="00FA0D37">
      <w:pPr>
        <w:pStyle w:val="PL"/>
      </w:pPr>
      <w:r w:rsidRPr="00FA0D37">
        <w:t xml:space="preserve">    physCellId-r16                              PhysCellIdUTRA-FDD-r16</w:t>
      </w:r>
    </w:p>
    <w:p w14:paraId="6438C20D" w14:textId="77777777" w:rsidR="00394471" w:rsidRPr="00FA0D37" w:rsidRDefault="00394471" w:rsidP="00FA0D37">
      <w:pPr>
        <w:pStyle w:val="PL"/>
      </w:pPr>
      <w:r w:rsidRPr="00FA0D37">
        <w:t>}</w:t>
      </w:r>
    </w:p>
    <w:p w14:paraId="707957DE" w14:textId="77777777" w:rsidR="00394471" w:rsidRPr="00FA0D37" w:rsidRDefault="00394471" w:rsidP="00FA0D37">
      <w:pPr>
        <w:pStyle w:val="PL"/>
      </w:pPr>
    </w:p>
    <w:p w14:paraId="7A2CD61B" w14:textId="77777777" w:rsidR="00394471" w:rsidRPr="00FA0D37" w:rsidRDefault="00394471" w:rsidP="00FA0D37">
      <w:pPr>
        <w:pStyle w:val="PL"/>
      </w:pPr>
      <w:r w:rsidRPr="00FA0D37">
        <w:t xml:space="preserve">UTRA-FDD-CellIndexList-r16 ::=              </w:t>
      </w:r>
      <w:r w:rsidRPr="00FA0D37">
        <w:rPr>
          <w:color w:val="993366"/>
        </w:rPr>
        <w:t>SEQUENCE</w:t>
      </w:r>
      <w:r w:rsidRPr="00FA0D37">
        <w:t xml:space="preserve"> (</w:t>
      </w:r>
      <w:r w:rsidRPr="00FA0D37">
        <w:rPr>
          <w:color w:val="993366"/>
        </w:rPr>
        <w:t>SIZE</w:t>
      </w:r>
      <w:r w:rsidRPr="00FA0D37">
        <w:t xml:space="preserve"> (1..maxCellMeasUTRA-FDD-r16))</w:t>
      </w:r>
      <w:r w:rsidRPr="00FA0D37">
        <w:rPr>
          <w:color w:val="993366"/>
        </w:rPr>
        <w:t xml:space="preserve"> OF</w:t>
      </w:r>
      <w:r w:rsidRPr="00FA0D37">
        <w:t xml:space="preserve"> UTRA-FDD-CellIndex-r16</w:t>
      </w:r>
    </w:p>
    <w:p w14:paraId="251ED0C2" w14:textId="77777777" w:rsidR="00394471" w:rsidRPr="00FA0D37" w:rsidRDefault="00394471" w:rsidP="00FA0D37">
      <w:pPr>
        <w:pStyle w:val="PL"/>
      </w:pPr>
    </w:p>
    <w:p w14:paraId="2A3B5B33" w14:textId="77777777" w:rsidR="00394471" w:rsidRPr="00FA0D37" w:rsidRDefault="00394471" w:rsidP="00FA0D37">
      <w:pPr>
        <w:pStyle w:val="PL"/>
      </w:pPr>
      <w:r w:rsidRPr="00FA0D37">
        <w:t xml:space="preserve">UTRA-FDD-CellIndex-r16 ::=                  </w:t>
      </w:r>
      <w:r w:rsidRPr="00FA0D37">
        <w:rPr>
          <w:color w:val="993366"/>
        </w:rPr>
        <w:t>INTEGER</w:t>
      </w:r>
      <w:r w:rsidRPr="00FA0D37">
        <w:t xml:space="preserve"> (1..maxCellMeasUTRA-FDD-r16)</w:t>
      </w:r>
    </w:p>
    <w:p w14:paraId="42267A43" w14:textId="77777777" w:rsidR="00394471" w:rsidRPr="00FA0D37" w:rsidRDefault="00394471" w:rsidP="00FA0D37">
      <w:pPr>
        <w:pStyle w:val="PL"/>
      </w:pPr>
    </w:p>
    <w:p w14:paraId="592D21CC" w14:textId="77777777" w:rsidR="00394471" w:rsidRPr="00FA0D37" w:rsidRDefault="00394471" w:rsidP="00FA0D37">
      <w:pPr>
        <w:pStyle w:val="PL"/>
        <w:rPr>
          <w:color w:val="808080"/>
        </w:rPr>
      </w:pPr>
      <w:r w:rsidRPr="00FA0D37">
        <w:rPr>
          <w:color w:val="808080"/>
        </w:rPr>
        <w:t>-- TAG-MEASOBJECTUTRA-FDD-STOP</w:t>
      </w:r>
    </w:p>
    <w:p w14:paraId="3376778F" w14:textId="77777777" w:rsidR="00394471" w:rsidRPr="00FA0D37" w:rsidRDefault="00394471" w:rsidP="00FA0D37">
      <w:pPr>
        <w:pStyle w:val="PL"/>
        <w:rPr>
          <w:color w:val="808080"/>
        </w:rPr>
      </w:pPr>
      <w:r w:rsidRPr="00FA0D37">
        <w:rPr>
          <w:color w:val="808080"/>
        </w:rPr>
        <w:t>-- ASN1STOP</w:t>
      </w:r>
    </w:p>
    <w:p w14:paraId="62D58ABB" w14:textId="77777777" w:rsidR="00394471" w:rsidRPr="00FA0D37"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5C7FF4" w:rsidRPr="00FA0D37"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FA0D37" w:rsidRDefault="00394471" w:rsidP="00964CC4">
            <w:pPr>
              <w:pStyle w:val="TAH"/>
              <w:rPr>
                <w:lang w:eastAsia="en-GB"/>
              </w:rPr>
            </w:pPr>
            <w:r w:rsidRPr="00FA0D37">
              <w:rPr>
                <w:i/>
                <w:noProof/>
                <w:lang w:eastAsia="en-GB"/>
              </w:rPr>
              <w:lastRenderedPageBreak/>
              <w:t>MeasObjectUTRA-FDD</w:t>
            </w:r>
            <w:r w:rsidRPr="00FA0D37">
              <w:rPr>
                <w:iCs/>
                <w:noProof/>
                <w:lang w:eastAsia="en-GB"/>
              </w:rPr>
              <w:t xml:space="preserve"> field descriptions</w:t>
            </w:r>
          </w:p>
        </w:tc>
      </w:tr>
      <w:tr w:rsidR="005C7FF4" w:rsidRPr="00FA0D37"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FA0D37" w:rsidRDefault="00394471" w:rsidP="00964CC4">
            <w:pPr>
              <w:pStyle w:val="TAL"/>
              <w:rPr>
                <w:b/>
                <w:bCs/>
                <w:i/>
                <w:noProof/>
                <w:lang w:eastAsia="en-GB"/>
              </w:rPr>
            </w:pPr>
            <w:r w:rsidRPr="00FA0D37">
              <w:rPr>
                <w:b/>
                <w:bCs/>
                <w:i/>
                <w:noProof/>
                <w:lang w:eastAsia="en-GB"/>
              </w:rPr>
              <w:t>carrierFreq</w:t>
            </w:r>
          </w:p>
          <w:p w14:paraId="251C88BA" w14:textId="77777777" w:rsidR="00394471" w:rsidRPr="00FA0D37" w:rsidRDefault="00394471" w:rsidP="00964CC4">
            <w:pPr>
              <w:pStyle w:val="TAL"/>
              <w:rPr>
                <w:lang w:eastAsia="en-GB"/>
              </w:rPr>
            </w:pPr>
            <w:r w:rsidRPr="00FA0D37">
              <w:rPr>
                <w:lang w:eastAsia="en-GB"/>
              </w:rPr>
              <w:t>Identifies UTRA</w:t>
            </w:r>
            <w:r w:rsidRPr="00FA0D37">
              <w:rPr>
                <w:lang w:eastAsia="sv-SE"/>
              </w:rPr>
              <w:t>-FDD</w:t>
            </w:r>
            <w:r w:rsidRPr="00FA0D37">
              <w:rPr>
                <w:lang w:eastAsia="en-GB"/>
              </w:rPr>
              <w:t xml:space="preserve"> carrier frequency for which this configuration is valid.</w:t>
            </w:r>
            <w:r w:rsidRPr="00FA0D37">
              <w:rPr>
                <w:lang w:eastAsia="ko-KR"/>
              </w:rPr>
              <w:t xml:space="preserve"> </w:t>
            </w:r>
            <w:r w:rsidRPr="00FA0D37">
              <w:rPr>
                <w:bCs/>
                <w:noProof/>
                <w:lang w:eastAsia="ko-KR"/>
              </w:rPr>
              <w:t>NR does not configure more than one measurement object for the same physical frequency regardless of the ARFCN used to indicate this.</w:t>
            </w:r>
          </w:p>
        </w:tc>
      </w:tr>
      <w:tr w:rsidR="005C7FF4" w:rsidRPr="00FA0D37"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FA0D37" w:rsidRDefault="00394471" w:rsidP="00964CC4">
            <w:pPr>
              <w:pStyle w:val="TAL"/>
              <w:rPr>
                <w:b/>
                <w:bCs/>
                <w:i/>
                <w:noProof/>
                <w:lang w:eastAsia="en-GB"/>
              </w:rPr>
            </w:pPr>
            <w:r w:rsidRPr="00FA0D37">
              <w:rPr>
                <w:b/>
                <w:bCs/>
                <w:i/>
                <w:noProof/>
                <w:lang w:eastAsia="en-GB"/>
              </w:rPr>
              <w:t>cellIndexUTRA</w:t>
            </w:r>
            <w:r w:rsidRPr="00FA0D37">
              <w:rPr>
                <w:b/>
                <w:i/>
                <w:lang w:eastAsia="sv-SE"/>
              </w:rPr>
              <w:t>-FDD</w:t>
            </w:r>
          </w:p>
          <w:p w14:paraId="2C4DD7D4" w14:textId="77777777" w:rsidR="00394471" w:rsidRPr="00FA0D37" w:rsidRDefault="00394471" w:rsidP="00964CC4">
            <w:pPr>
              <w:pStyle w:val="TAL"/>
              <w:rPr>
                <w:lang w:eastAsia="en-GB"/>
              </w:rPr>
            </w:pPr>
            <w:r w:rsidRPr="00FA0D37">
              <w:rPr>
                <w:lang w:eastAsia="en-GB"/>
              </w:rPr>
              <w:t>Entry index in the neighbouring cell list.</w:t>
            </w:r>
          </w:p>
        </w:tc>
      </w:tr>
      <w:tr w:rsidR="005C7FF4" w:rsidRPr="00FA0D37"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FA0D37" w:rsidRDefault="00394471" w:rsidP="00964CC4">
            <w:pPr>
              <w:pStyle w:val="TAL"/>
              <w:rPr>
                <w:b/>
                <w:bCs/>
                <w:i/>
                <w:noProof/>
                <w:lang w:eastAsia="en-GB"/>
              </w:rPr>
            </w:pPr>
            <w:r w:rsidRPr="00FA0D37">
              <w:rPr>
                <w:b/>
                <w:bCs/>
                <w:i/>
                <w:noProof/>
                <w:lang w:eastAsia="en-GB"/>
              </w:rPr>
              <w:t>cellsToAddModList</w:t>
            </w:r>
          </w:p>
          <w:p w14:paraId="5A8E8856" w14:textId="77777777" w:rsidR="00394471" w:rsidRPr="00FA0D37" w:rsidRDefault="00394471" w:rsidP="00964CC4">
            <w:pPr>
              <w:pStyle w:val="TAL"/>
              <w:rPr>
                <w:lang w:eastAsia="en-GB"/>
              </w:rPr>
            </w:pPr>
            <w:r w:rsidRPr="00FA0D37">
              <w:rPr>
                <w:lang w:eastAsia="en-GB"/>
              </w:rPr>
              <w:t xml:space="preserve">List of </w:t>
            </w:r>
            <w:r w:rsidRPr="00FA0D37">
              <w:rPr>
                <w:lang w:eastAsia="zh-CN"/>
              </w:rPr>
              <w:t xml:space="preserve">UTRA-FDD </w:t>
            </w:r>
            <w:r w:rsidRPr="00FA0D37">
              <w:rPr>
                <w:lang w:eastAsia="en-GB"/>
              </w:rPr>
              <w:t>cells to add/modify in the neighbouring cell list.</w:t>
            </w:r>
          </w:p>
        </w:tc>
      </w:tr>
      <w:tr w:rsidR="005C7FF4" w:rsidRPr="00FA0D37"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FA0D37" w:rsidRDefault="00394471" w:rsidP="00964CC4">
            <w:pPr>
              <w:pStyle w:val="TAL"/>
              <w:rPr>
                <w:b/>
                <w:bCs/>
                <w:i/>
                <w:noProof/>
                <w:lang w:eastAsia="en-GB"/>
              </w:rPr>
            </w:pPr>
            <w:r w:rsidRPr="00FA0D37">
              <w:rPr>
                <w:b/>
                <w:bCs/>
                <w:i/>
                <w:noProof/>
                <w:lang w:eastAsia="en-GB"/>
              </w:rPr>
              <w:t>cellsToRemoveList</w:t>
            </w:r>
          </w:p>
          <w:p w14:paraId="147BD3FE" w14:textId="77777777" w:rsidR="00394471" w:rsidRPr="00FA0D37" w:rsidRDefault="00394471" w:rsidP="00964CC4">
            <w:pPr>
              <w:pStyle w:val="TAL"/>
              <w:rPr>
                <w:lang w:eastAsia="en-GB"/>
              </w:rPr>
            </w:pPr>
            <w:r w:rsidRPr="00FA0D37">
              <w:rPr>
                <w:lang w:eastAsia="en-GB"/>
              </w:rPr>
              <w:t>List of cells to remove from the neighbouring cell list.</w:t>
            </w:r>
          </w:p>
        </w:tc>
      </w:tr>
      <w:tr w:rsidR="00375B89" w:rsidRPr="00FA0D37"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FA0D37" w:rsidRDefault="00394471" w:rsidP="00964CC4">
            <w:pPr>
              <w:pStyle w:val="TAL"/>
              <w:rPr>
                <w:b/>
                <w:i/>
                <w:lang w:eastAsia="sv-SE"/>
              </w:rPr>
            </w:pPr>
            <w:r w:rsidRPr="00FA0D37">
              <w:rPr>
                <w:b/>
                <w:i/>
                <w:lang w:eastAsia="sv-SE"/>
              </w:rPr>
              <w:t>utra</w:t>
            </w:r>
            <w:r w:rsidRPr="00FA0D37">
              <w:rPr>
                <w:b/>
                <w:lang w:eastAsia="sv-SE"/>
              </w:rPr>
              <w:t>-</w:t>
            </w:r>
            <w:r w:rsidRPr="00FA0D37">
              <w:rPr>
                <w:b/>
                <w:i/>
                <w:lang w:eastAsia="sv-SE"/>
              </w:rPr>
              <w:t>FDD-Q-OffsetRange</w:t>
            </w:r>
          </w:p>
          <w:p w14:paraId="60832BC4" w14:textId="77777777" w:rsidR="00394471" w:rsidRPr="00FA0D37" w:rsidRDefault="00394471" w:rsidP="00964CC4">
            <w:pPr>
              <w:pStyle w:val="TAL"/>
              <w:rPr>
                <w:b/>
                <w:bCs/>
                <w:i/>
                <w:noProof/>
                <w:lang w:eastAsia="en-GB"/>
              </w:rPr>
            </w:pPr>
            <w:r w:rsidRPr="00FA0D37">
              <w:rPr>
                <w:lang w:eastAsia="sv-SE"/>
              </w:rPr>
              <w:t>Used to indicate a frequency specific offset to be applied when evaluating triggering conditions for measurement reporting. The value is in dB.</w:t>
            </w:r>
          </w:p>
        </w:tc>
      </w:tr>
    </w:tbl>
    <w:p w14:paraId="7542B9DE" w14:textId="77777777" w:rsidR="00394471" w:rsidRPr="00FA0D37" w:rsidRDefault="00394471" w:rsidP="00394471"/>
    <w:p w14:paraId="1BE15F07" w14:textId="77777777" w:rsidR="00394471" w:rsidRPr="00FA0D37" w:rsidRDefault="00394471" w:rsidP="00394471">
      <w:pPr>
        <w:pStyle w:val="4"/>
        <w:rPr>
          <w:i/>
        </w:rPr>
      </w:pPr>
      <w:bookmarkStart w:id="1101" w:name="_Toc60777265"/>
      <w:bookmarkStart w:id="1102" w:name="_Toc146781326"/>
      <w:r w:rsidRPr="00FA0D37">
        <w:rPr>
          <w:i/>
        </w:rPr>
        <w:t>–</w:t>
      </w:r>
      <w:r w:rsidRPr="00FA0D37">
        <w:rPr>
          <w:i/>
        </w:rPr>
        <w:tab/>
        <w:t>MeasResultCellListSFTD-NR</w:t>
      </w:r>
      <w:bookmarkEnd w:id="1101"/>
      <w:bookmarkEnd w:id="1102"/>
    </w:p>
    <w:p w14:paraId="3007603E" w14:textId="77777777" w:rsidR="00394471" w:rsidRPr="00FA0D37" w:rsidRDefault="00394471" w:rsidP="00394471">
      <w:r w:rsidRPr="00FA0D37">
        <w:t xml:space="preserve">The IE </w:t>
      </w:r>
      <w:r w:rsidRPr="00FA0D37">
        <w:rPr>
          <w:i/>
          <w:iCs/>
        </w:rPr>
        <w:t>MeasResult</w:t>
      </w:r>
      <w:r w:rsidRPr="00FA0D37">
        <w:rPr>
          <w:i/>
        </w:rPr>
        <w:t>CellList</w:t>
      </w:r>
      <w:r w:rsidRPr="00FA0D37">
        <w:rPr>
          <w:i/>
          <w:iCs/>
        </w:rPr>
        <w:t>SFTD-NR</w:t>
      </w:r>
      <w:r w:rsidRPr="00FA0D37">
        <w:t xml:space="preserve"> consists of SFN and radio frame boundary difference between the PCell and an NR cell as specified in TS 38.215 [9] and TS 38.133 [14].</w:t>
      </w:r>
    </w:p>
    <w:p w14:paraId="2603F60E" w14:textId="77777777" w:rsidR="00394471" w:rsidRPr="00FA0D37" w:rsidRDefault="00394471" w:rsidP="00394471">
      <w:pPr>
        <w:pStyle w:val="TH"/>
      </w:pPr>
      <w:r w:rsidRPr="00FA0D37">
        <w:rPr>
          <w:i/>
          <w:iCs/>
        </w:rPr>
        <w:t>MeasResult</w:t>
      </w:r>
      <w:r w:rsidRPr="00FA0D37">
        <w:rPr>
          <w:i/>
        </w:rPr>
        <w:t>CellList</w:t>
      </w:r>
      <w:r w:rsidRPr="00FA0D37">
        <w:rPr>
          <w:i/>
          <w:iCs/>
        </w:rPr>
        <w:t>SFTD-NR</w:t>
      </w:r>
      <w:r w:rsidRPr="00FA0D37">
        <w:rPr>
          <w:iCs/>
        </w:rPr>
        <w:t xml:space="preserve"> </w:t>
      </w:r>
      <w:r w:rsidRPr="00FA0D37">
        <w:t>information element</w:t>
      </w:r>
    </w:p>
    <w:p w14:paraId="01032E2A" w14:textId="77777777" w:rsidR="00394471" w:rsidRPr="00FA0D37" w:rsidRDefault="00394471" w:rsidP="00FA0D37">
      <w:pPr>
        <w:pStyle w:val="PL"/>
        <w:rPr>
          <w:color w:val="808080"/>
        </w:rPr>
      </w:pPr>
      <w:r w:rsidRPr="00FA0D37">
        <w:rPr>
          <w:color w:val="808080"/>
        </w:rPr>
        <w:t>-- ASN1START</w:t>
      </w:r>
    </w:p>
    <w:p w14:paraId="720EA1C6" w14:textId="77777777" w:rsidR="00394471" w:rsidRPr="00FA0D37" w:rsidRDefault="00394471" w:rsidP="00FA0D37">
      <w:pPr>
        <w:pStyle w:val="PL"/>
        <w:rPr>
          <w:color w:val="808080"/>
        </w:rPr>
      </w:pPr>
      <w:r w:rsidRPr="00FA0D37">
        <w:rPr>
          <w:color w:val="808080"/>
        </w:rPr>
        <w:t>-- TAG-MEASRESULTCELLLISTSFTD-NR-START</w:t>
      </w:r>
    </w:p>
    <w:p w14:paraId="366122B1" w14:textId="77777777" w:rsidR="00394471" w:rsidRPr="00FA0D37" w:rsidRDefault="00394471" w:rsidP="00FA0D37">
      <w:pPr>
        <w:pStyle w:val="PL"/>
      </w:pPr>
    </w:p>
    <w:p w14:paraId="477CA5C2" w14:textId="77777777" w:rsidR="00394471" w:rsidRPr="00FA0D37" w:rsidRDefault="00394471" w:rsidP="00FA0D37">
      <w:pPr>
        <w:pStyle w:val="PL"/>
      </w:pPr>
      <w:r w:rsidRPr="00FA0D37">
        <w:t xml:space="preserve">MeasResultCellListSFTD-NR ::=          </w:t>
      </w:r>
      <w:r w:rsidRPr="00FA0D37">
        <w:rPr>
          <w:color w:val="993366"/>
        </w:rPr>
        <w:t>SEQUENCE</w:t>
      </w:r>
      <w:r w:rsidRPr="00FA0D37">
        <w:t xml:space="preserve"> (</w:t>
      </w:r>
      <w:r w:rsidRPr="00FA0D37">
        <w:rPr>
          <w:color w:val="993366"/>
        </w:rPr>
        <w:t>SIZE</w:t>
      </w:r>
      <w:r w:rsidRPr="00FA0D37">
        <w:t xml:space="preserve"> (1..maxCellSFTD))</w:t>
      </w:r>
      <w:r w:rsidRPr="00FA0D37">
        <w:rPr>
          <w:color w:val="993366"/>
        </w:rPr>
        <w:t xml:space="preserve"> OF</w:t>
      </w:r>
      <w:r w:rsidRPr="00FA0D37">
        <w:t xml:space="preserve"> MeasResultCellSFTD-NR</w:t>
      </w:r>
    </w:p>
    <w:p w14:paraId="13EFEBEE" w14:textId="77777777" w:rsidR="00394471" w:rsidRPr="00FA0D37" w:rsidRDefault="00394471" w:rsidP="00FA0D37">
      <w:pPr>
        <w:pStyle w:val="PL"/>
      </w:pPr>
    </w:p>
    <w:p w14:paraId="763AC4E0" w14:textId="77777777" w:rsidR="00394471" w:rsidRPr="00FA0D37" w:rsidRDefault="00394471" w:rsidP="00FA0D37">
      <w:pPr>
        <w:pStyle w:val="PL"/>
      </w:pPr>
      <w:r w:rsidRPr="00FA0D37">
        <w:t xml:space="preserve">MeasResultCellSFTD-NR ::=              </w:t>
      </w:r>
      <w:r w:rsidRPr="00FA0D37">
        <w:rPr>
          <w:color w:val="993366"/>
        </w:rPr>
        <w:t>SEQUENCE</w:t>
      </w:r>
      <w:r w:rsidRPr="00FA0D37">
        <w:t xml:space="preserve"> {</w:t>
      </w:r>
    </w:p>
    <w:p w14:paraId="479FC727" w14:textId="77777777" w:rsidR="00394471" w:rsidRPr="00FA0D37" w:rsidRDefault="00394471" w:rsidP="00FA0D37">
      <w:pPr>
        <w:pStyle w:val="PL"/>
      </w:pPr>
      <w:r w:rsidRPr="00FA0D37">
        <w:t xml:space="preserve">    physCellId                            PhysCellId,</w:t>
      </w:r>
    </w:p>
    <w:p w14:paraId="57A7EDB8" w14:textId="77777777" w:rsidR="00394471" w:rsidRPr="00FA0D37" w:rsidRDefault="00394471" w:rsidP="00FA0D37">
      <w:pPr>
        <w:pStyle w:val="PL"/>
      </w:pPr>
      <w:r w:rsidRPr="00FA0D37">
        <w:t xml:space="preserve">    sfn-OffsetResult                      </w:t>
      </w:r>
      <w:r w:rsidRPr="00FA0D37">
        <w:rPr>
          <w:color w:val="993366"/>
        </w:rPr>
        <w:t>INTEGER</w:t>
      </w:r>
      <w:r w:rsidRPr="00FA0D37">
        <w:t xml:space="preserve"> (0..1023),</w:t>
      </w:r>
    </w:p>
    <w:p w14:paraId="6057A1C7" w14:textId="77777777" w:rsidR="00394471" w:rsidRPr="00FA0D37" w:rsidRDefault="00394471" w:rsidP="00FA0D37">
      <w:pPr>
        <w:pStyle w:val="PL"/>
      </w:pPr>
      <w:r w:rsidRPr="00FA0D37">
        <w:t xml:space="preserve">    frameBoundaryOffsetResult             </w:t>
      </w:r>
      <w:r w:rsidRPr="00FA0D37">
        <w:rPr>
          <w:color w:val="993366"/>
        </w:rPr>
        <w:t>INTEGER</w:t>
      </w:r>
      <w:r w:rsidRPr="00FA0D37">
        <w:t xml:space="preserve"> (-30720..30719),</w:t>
      </w:r>
    </w:p>
    <w:p w14:paraId="1CE64BC0" w14:textId="77777777" w:rsidR="00394471" w:rsidRPr="00FA0D37" w:rsidRDefault="00394471" w:rsidP="00FA0D37">
      <w:pPr>
        <w:pStyle w:val="PL"/>
      </w:pPr>
      <w:r w:rsidRPr="00FA0D37">
        <w:t xml:space="preserve">    rsrp-Result                           RSRP-Range                      </w:t>
      </w:r>
      <w:r w:rsidRPr="00FA0D37">
        <w:rPr>
          <w:color w:val="993366"/>
        </w:rPr>
        <w:t>OPTIONAL</w:t>
      </w:r>
    </w:p>
    <w:p w14:paraId="49F4D346" w14:textId="77777777" w:rsidR="00394471" w:rsidRPr="00FA0D37" w:rsidRDefault="00394471" w:rsidP="00FA0D37">
      <w:pPr>
        <w:pStyle w:val="PL"/>
      </w:pPr>
      <w:r w:rsidRPr="00FA0D37">
        <w:t>}</w:t>
      </w:r>
    </w:p>
    <w:p w14:paraId="505A0C0E" w14:textId="77777777" w:rsidR="00394471" w:rsidRPr="00FA0D37" w:rsidRDefault="00394471" w:rsidP="00FA0D37">
      <w:pPr>
        <w:pStyle w:val="PL"/>
      </w:pPr>
    </w:p>
    <w:p w14:paraId="298D56F2" w14:textId="77777777" w:rsidR="00394471" w:rsidRPr="00FA0D37" w:rsidRDefault="00394471" w:rsidP="00FA0D37">
      <w:pPr>
        <w:pStyle w:val="PL"/>
        <w:rPr>
          <w:color w:val="808080"/>
        </w:rPr>
      </w:pPr>
      <w:r w:rsidRPr="00FA0D37">
        <w:rPr>
          <w:color w:val="808080"/>
        </w:rPr>
        <w:t>-- TAG-MEASRESULTCELLLISTSFTD-NR-STOP</w:t>
      </w:r>
    </w:p>
    <w:p w14:paraId="2E4D3DEF" w14:textId="77777777" w:rsidR="00394471" w:rsidRPr="00FA0D37" w:rsidRDefault="00394471" w:rsidP="00FA0D37">
      <w:pPr>
        <w:pStyle w:val="PL"/>
        <w:rPr>
          <w:color w:val="808080"/>
        </w:rPr>
      </w:pPr>
      <w:r w:rsidRPr="00FA0D37">
        <w:rPr>
          <w:color w:val="808080"/>
        </w:rPr>
        <w:t>-- ASN1STOP</w:t>
      </w:r>
    </w:p>
    <w:p w14:paraId="644DC041" w14:textId="77777777" w:rsidR="00394471" w:rsidRPr="00FA0D3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5C7FF4" w:rsidRPr="00FA0D37"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FA0D37" w:rsidRDefault="00394471" w:rsidP="00964CC4">
            <w:pPr>
              <w:pStyle w:val="TAH"/>
              <w:rPr>
                <w:lang w:eastAsia="en-GB"/>
              </w:rPr>
            </w:pPr>
            <w:r w:rsidRPr="00FA0D37">
              <w:rPr>
                <w:i/>
                <w:lang w:eastAsia="en-GB"/>
              </w:rPr>
              <w:t>MeasResultCellSFTD-NR</w:t>
            </w:r>
            <w:r w:rsidRPr="00FA0D37">
              <w:rPr>
                <w:lang w:eastAsia="en-GB"/>
              </w:rPr>
              <w:t xml:space="preserve"> field descriptions</w:t>
            </w:r>
          </w:p>
        </w:tc>
      </w:tr>
      <w:tr w:rsidR="005C7FF4" w:rsidRPr="00FA0D37"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FA0D37" w:rsidRDefault="00394471" w:rsidP="00964CC4">
            <w:pPr>
              <w:pStyle w:val="TAL"/>
              <w:rPr>
                <w:b/>
                <w:i/>
                <w:lang w:eastAsia="en-GB"/>
              </w:rPr>
            </w:pPr>
            <w:r w:rsidRPr="00FA0D37">
              <w:rPr>
                <w:b/>
                <w:i/>
                <w:lang w:eastAsia="en-GB"/>
              </w:rPr>
              <w:t>sfn-OffsetResult</w:t>
            </w:r>
          </w:p>
          <w:p w14:paraId="598D9DEA" w14:textId="77777777" w:rsidR="00394471" w:rsidRPr="00FA0D37" w:rsidRDefault="00394471" w:rsidP="00964CC4">
            <w:pPr>
              <w:pStyle w:val="TAL"/>
              <w:rPr>
                <w:lang w:eastAsia="en-GB"/>
              </w:rPr>
            </w:pPr>
            <w:r w:rsidRPr="00FA0D37">
              <w:rPr>
                <w:lang w:eastAsia="en-GB"/>
              </w:rPr>
              <w:t>Indicates the SFN difference between the PCell and the NR cell as an integer value according to TS 38.215 [9].</w:t>
            </w:r>
          </w:p>
        </w:tc>
      </w:tr>
      <w:tr w:rsidR="00394471" w:rsidRPr="00FA0D37"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FA0D37" w:rsidRDefault="00394471" w:rsidP="00964CC4">
            <w:pPr>
              <w:pStyle w:val="TAL"/>
              <w:rPr>
                <w:b/>
                <w:i/>
                <w:lang w:eastAsia="en-GB"/>
              </w:rPr>
            </w:pPr>
            <w:r w:rsidRPr="00FA0D37">
              <w:rPr>
                <w:b/>
                <w:i/>
                <w:lang w:eastAsia="en-GB"/>
              </w:rPr>
              <w:t>frameBoundaryOffsetResult</w:t>
            </w:r>
          </w:p>
          <w:p w14:paraId="36C80D45" w14:textId="77777777" w:rsidR="00394471" w:rsidRPr="00FA0D37" w:rsidRDefault="00394471" w:rsidP="00964CC4">
            <w:pPr>
              <w:pStyle w:val="TAL"/>
              <w:rPr>
                <w:lang w:eastAsia="en-GB"/>
              </w:rPr>
            </w:pPr>
            <w:r w:rsidRPr="00FA0D37">
              <w:rPr>
                <w:lang w:eastAsia="en-GB"/>
              </w:rPr>
              <w:t>Indicates the frame boundary difference between the PCell and the NR cell as an integer value according to TS 38.215 [9].</w:t>
            </w:r>
          </w:p>
        </w:tc>
      </w:tr>
    </w:tbl>
    <w:p w14:paraId="4839BF8D" w14:textId="77777777" w:rsidR="00394471" w:rsidRPr="00FA0D37" w:rsidRDefault="00394471" w:rsidP="00394471"/>
    <w:p w14:paraId="6A766CF8" w14:textId="77777777" w:rsidR="00394471" w:rsidRPr="00FA0D37" w:rsidRDefault="00394471" w:rsidP="00394471">
      <w:pPr>
        <w:pStyle w:val="4"/>
        <w:rPr>
          <w:i/>
        </w:rPr>
      </w:pPr>
      <w:bookmarkStart w:id="1103" w:name="_Toc60777266"/>
      <w:bookmarkStart w:id="1104" w:name="_Toc146781327"/>
      <w:r w:rsidRPr="00FA0D37">
        <w:rPr>
          <w:i/>
        </w:rPr>
        <w:lastRenderedPageBreak/>
        <w:t>–</w:t>
      </w:r>
      <w:r w:rsidRPr="00FA0D37">
        <w:rPr>
          <w:i/>
        </w:rPr>
        <w:tab/>
        <w:t>MeasResultCellListSFTD-EUTRA</w:t>
      </w:r>
      <w:bookmarkEnd w:id="1103"/>
      <w:bookmarkEnd w:id="1104"/>
    </w:p>
    <w:p w14:paraId="5C3F63BF" w14:textId="77777777" w:rsidR="00394471" w:rsidRPr="00FA0D37" w:rsidRDefault="00394471" w:rsidP="00394471">
      <w:r w:rsidRPr="00FA0D37">
        <w:t xml:space="preserve">The IE </w:t>
      </w:r>
      <w:r w:rsidRPr="00FA0D37">
        <w:rPr>
          <w:i/>
          <w:iCs/>
        </w:rPr>
        <w:t>MeasResult</w:t>
      </w:r>
      <w:r w:rsidRPr="00FA0D37">
        <w:rPr>
          <w:i/>
        </w:rPr>
        <w:t>CellList</w:t>
      </w:r>
      <w:r w:rsidRPr="00FA0D37">
        <w:rPr>
          <w:i/>
          <w:iCs/>
        </w:rPr>
        <w:t>SFTD-EUTRA</w:t>
      </w:r>
      <w:r w:rsidRPr="00FA0D37">
        <w:t xml:space="preserve"> consists of SFN and radio frame boundary difference between the PCell and an E-UTRA PSCell.</w:t>
      </w:r>
    </w:p>
    <w:p w14:paraId="06E287AF" w14:textId="77777777" w:rsidR="00394471" w:rsidRPr="00FA0D37" w:rsidRDefault="00394471" w:rsidP="00394471">
      <w:pPr>
        <w:pStyle w:val="TH"/>
      </w:pPr>
      <w:r w:rsidRPr="00FA0D37">
        <w:rPr>
          <w:i/>
          <w:iCs/>
        </w:rPr>
        <w:t>MeasResult</w:t>
      </w:r>
      <w:r w:rsidRPr="00FA0D37">
        <w:rPr>
          <w:i/>
        </w:rPr>
        <w:t>CellList</w:t>
      </w:r>
      <w:r w:rsidRPr="00FA0D37">
        <w:rPr>
          <w:i/>
          <w:iCs/>
        </w:rPr>
        <w:t>SFTD-EUTRA</w:t>
      </w:r>
      <w:r w:rsidRPr="00FA0D37">
        <w:rPr>
          <w:iCs/>
        </w:rPr>
        <w:t xml:space="preserve"> </w:t>
      </w:r>
      <w:r w:rsidRPr="00FA0D37">
        <w:t>information element</w:t>
      </w:r>
    </w:p>
    <w:p w14:paraId="3B7BEA44" w14:textId="77777777" w:rsidR="00394471" w:rsidRPr="00FA0D37" w:rsidRDefault="00394471" w:rsidP="00FA0D37">
      <w:pPr>
        <w:pStyle w:val="PL"/>
        <w:rPr>
          <w:color w:val="808080"/>
        </w:rPr>
      </w:pPr>
      <w:r w:rsidRPr="00FA0D37">
        <w:rPr>
          <w:color w:val="808080"/>
        </w:rPr>
        <w:t>-- ASN1START</w:t>
      </w:r>
    </w:p>
    <w:p w14:paraId="1BD6F431" w14:textId="77777777" w:rsidR="00394471" w:rsidRPr="00FA0D37" w:rsidRDefault="00394471" w:rsidP="00FA0D37">
      <w:pPr>
        <w:pStyle w:val="PL"/>
        <w:rPr>
          <w:color w:val="808080"/>
        </w:rPr>
      </w:pPr>
      <w:r w:rsidRPr="00FA0D37">
        <w:rPr>
          <w:color w:val="808080"/>
        </w:rPr>
        <w:t>-- TAG-MEASRESULTCELLLISTSFTD-EUTRA-START</w:t>
      </w:r>
    </w:p>
    <w:p w14:paraId="2062CC33" w14:textId="77777777" w:rsidR="00394471" w:rsidRPr="00FA0D37" w:rsidRDefault="00394471" w:rsidP="00FA0D37">
      <w:pPr>
        <w:pStyle w:val="PL"/>
      </w:pPr>
    </w:p>
    <w:p w14:paraId="0940968C" w14:textId="77777777" w:rsidR="00394471" w:rsidRPr="00FA0D37" w:rsidRDefault="00394471" w:rsidP="00FA0D37">
      <w:pPr>
        <w:pStyle w:val="PL"/>
      </w:pPr>
      <w:r w:rsidRPr="00FA0D37">
        <w:t xml:space="preserve">MeasResultCellListSFTD-EUTRA ::=          </w:t>
      </w:r>
      <w:r w:rsidRPr="00FA0D37">
        <w:rPr>
          <w:color w:val="993366"/>
        </w:rPr>
        <w:t>SEQUENCE</w:t>
      </w:r>
      <w:r w:rsidRPr="00FA0D37">
        <w:t xml:space="preserve"> (</w:t>
      </w:r>
      <w:r w:rsidRPr="00FA0D37">
        <w:rPr>
          <w:color w:val="993366"/>
        </w:rPr>
        <w:t>SIZE</w:t>
      </w:r>
      <w:r w:rsidRPr="00FA0D37">
        <w:t xml:space="preserve"> (1..maxCellSFTD))</w:t>
      </w:r>
      <w:r w:rsidRPr="00FA0D37">
        <w:rPr>
          <w:color w:val="993366"/>
        </w:rPr>
        <w:t xml:space="preserve"> OF</w:t>
      </w:r>
      <w:r w:rsidRPr="00FA0D37">
        <w:t xml:space="preserve"> MeasResultSFTD-EUTRA</w:t>
      </w:r>
    </w:p>
    <w:p w14:paraId="0DDC406B" w14:textId="77777777" w:rsidR="00394471" w:rsidRPr="00FA0D37" w:rsidRDefault="00394471" w:rsidP="00FA0D37">
      <w:pPr>
        <w:pStyle w:val="PL"/>
      </w:pPr>
    </w:p>
    <w:p w14:paraId="55A00E41" w14:textId="77777777" w:rsidR="00394471" w:rsidRPr="00FA0D37" w:rsidRDefault="00394471" w:rsidP="00FA0D37">
      <w:pPr>
        <w:pStyle w:val="PL"/>
      </w:pPr>
      <w:r w:rsidRPr="00FA0D37">
        <w:t xml:space="preserve">MeasResultSFTD-EUTRA ::=           </w:t>
      </w:r>
      <w:r w:rsidRPr="00FA0D37">
        <w:rPr>
          <w:color w:val="993366"/>
        </w:rPr>
        <w:t>SEQUENCE</w:t>
      </w:r>
      <w:r w:rsidRPr="00FA0D37">
        <w:t xml:space="preserve"> {</w:t>
      </w:r>
    </w:p>
    <w:p w14:paraId="784FB518" w14:textId="77777777" w:rsidR="00394471" w:rsidRPr="00FA0D37" w:rsidRDefault="00394471" w:rsidP="00FA0D37">
      <w:pPr>
        <w:pStyle w:val="PL"/>
      </w:pPr>
      <w:r w:rsidRPr="00FA0D37">
        <w:t xml:space="preserve">    eutra-PhysCellId                    EUTRA-PhysCellId,</w:t>
      </w:r>
    </w:p>
    <w:p w14:paraId="24E33FA0" w14:textId="77777777" w:rsidR="00394471" w:rsidRPr="00FA0D37" w:rsidRDefault="00394471" w:rsidP="00FA0D37">
      <w:pPr>
        <w:pStyle w:val="PL"/>
      </w:pPr>
      <w:r w:rsidRPr="00FA0D37">
        <w:t xml:space="preserve">    sfn-OffsetResult                    </w:t>
      </w:r>
      <w:r w:rsidRPr="00FA0D37">
        <w:rPr>
          <w:color w:val="993366"/>
        </w:rPr>
        <w:t>INTEGER</w:t>
      </w:r>
      <w:r w:rsidRPr="00FA0D37">
        <w:t xml:space="preserve"> (0..1023),</w:t>
      </w:r>
    </w:p>
    <w:p w14:paraId="3D0C91CD" w14:textId="77777777" w:rsidR="00394471" w:rsidRPr="00FA0D37" w:rsidRDefault="00394471" w:rsidP="00FA0D37">
      <w:pPr>
        <w:pStyle w:val="PL"/>
      </w:pPr>
      <w:r w:rsidRPr="00FA0D37">
        <w:t xml:space="preserve">    frameBoundaryOffsetResult           </w:t>
      </w:r>
      <w:r w:rsidRPr="00FA0D37">
        <w:rPr>
          <w:color w:val="993366"/>
        </w:rPr>
        <w:t>INTEGER</w:t>
      </w:r>
      <w:r w:rsidRPr="00FA0D37">
        <w:t xml:space="preserve"> (-30720..30719),</w:t>
      </w:r>
    </w:p>
    <w:p w14:paraId="2642338D" w14:textId="77777777" w:rsidR="00394471" w:rsidRPr="00FA0D37" w:rsidRDefault="00394471" w:rsidP="00FA0D37">
      <w:pPr>
        <w:pStyle w:val="PL"/>
      </w:pPr>
      <w:r w:rsidRPr="00FA0D37">
        <w:t xml:space="preserve">    rsrp-Result                         RSRP-Range                      </w:t>
      </w:r>
      <w:r w:rsidRPr="00FA0D37">
        <w:rPr>
          <w:color w:val="993366"/>
        </w:rPr>
        <w:t>OPTIONAL</w:t>
      </w:r>
    </w:p>
    <w:p w14:paraId="54C0660A" w14:textId="77777777" w:rsidR="00394471" w:rsidRPr="00FA0D37" w:rsidRDefault="00394471" w:rsidP="00FA0D37">
      <w:pPr>
        <w:pStyle w:val="PL"/>
      </w:pPr>
      <w:r w:rsidRPr="00FA0D37">
        <w:t>}</w:t>
      </w:r>
    </w:p>
    <w:p w14:paraId="741761D9" w14:textId="77777777" w:rsidR="00394471" w:rsidRPr="00FA0D37" w:rsidRDefault="00394471" w:rsidP="00FA0D37">
      <w:pPr>
        <w:pStyle w:val="PL"/>
      </w:pPr>
    </w:p>
    <w:p w14:paraId="4011C854" w14:textId="77777777" w:rsidR="00394471" w:rsidRPr="00FA0D37" w:rsidRDefault="00394471" w:rsidP="00FA0D37">
      <w:pPr>
        <w:pStyle w:val="PL"/>
        <w:rPr>
          <w:color w:val="808080"/>
        </w:rPr>
      </w:pPr>
      <w:r w:rsidRPr="00FA0D37">
        <w:rPr>
          <w:color w:val="808080"/>
        </w:rPr>
        <w:t>-- TAG-MEASRESULTCELLLISTSFTD-EUTRA-STOP</w:t>
      </w:r>
    </w:p>
    <w:p w14:paraId="053F1A28" w14:textId="77777777" w:rsidR="00394471" w:rsidRPr="00FA0D37" w:rsidRDefault="00394471" w:rsidP="00FA0D37">
      <w:pPr>
        <w:pStyle w:val="PL"/>
        <w:rPr>
          <w:color w:val="808080"/>
        </w:rPr>
      </w:pPr>
      <w:r w:rsidRPr="00FA0D37">
        <w:rPr>
          <w:color w:val="808080"/>
        </w:rPr>
        <w:t>-- ASN1STOP</w:t>
      </w:r>
    </w:p>
    <w:p w14:paraId="60DB29A0" w14:textId="77777777" w:rsidR="00394471" w:rsidRPr="00FA0D3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5C7FF4" w:rsidRPr="00FA0D37"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FA0D37" w:rsidRDefault="00394471" w:rsidP="00964CC4">
            <w:pPr>
              <w:pStyle w:val="TAH"/>
              <w:rPr>
                <w:lang w:eastAsia="en-GB"/>
              </w:rPr>
            </w:pPr>
            <w:r w:rsidRPr="00FA0D37">
              <w:rPr>
                <w:i/>
                <w:lang w:eastAsia="en-GB"/>
              </w:rPr>
              <w:t>MeasResultSFTD-EUTRA</w:t>
            </w:r>
            <w:r w:rsidRPr="00FA0D37">
              <w:rPr>
                <w:lang w:eastAsia="en-GB"/>
              </w:rPr>
              <w:t xml:space="preserve"> field descriptions</w:t>
            </w:r>
          </w:p>
        </w:tc>
      </w:tr>
      <w:tr w:rsidR="005C7FF4" w:rsidRPr="00FA0D37"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FA0D37" w:rsidRDefault="00394471" w:rsidP="00964CC4">
            <w:pPr>
              <w:pStyle w:val="TAL"/>
              <w:rPr>
                <w:i/>
                <w:lang w:eastAsia="sv-SE"/>
              </w:rPr>
            </w:pPr>
            <w:r w:rsidRPr="00FA0D37">
              <w:rPr>
                <w:b/>
                <w:i/>
                <w:lang w:eastAsia="sv-SE"/>
              </w:rPr>
              <w:t>eutra-PhysCellId</w:t>
            </w:r>
          </w:p>
          <w:p w14:paraId="01189B02" w14:textId="77777777" w:rsidR="00394471" w:rsidRPr="00FA0D37" w:rsidRDefault="00394471" w:rsidP="00964CC4">
            <w:pPr>
              <w:pStyle w:val="TAL"/>
              <w:rPr>
                <w:lang w:eastAsia="sv-SE"/>
              </w:rPr>
            </w:pPr>
            <w:r w:rsidRPr="00FA0D37">
              <w:rPr>
                <w:lang w:eastAsia="sv-SE"/>
              </w:rPr>
              <w:t>Identifies the physical cell identity of the E-UTRA cell for which the reporting is being performed.</w:t>
            </w:r>
          </w:p>
        </w:tc>
      </w:tr>
      <w:tr w:rsidR="005C7FF4" w:rsidRPr="00FA0D37"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FA0D37" w:rsidRDefault="00394471" w:rsidP="00964CC4">
            <w:pPr>
              <w:pStyle w:val="TAL"/>
              <w:rPr>
                <w:b/>
                <w:i/>
                <w:lang w:eastAsia="sv-SE"/>
              </w:rPr>
            </w:pPr>
            <w:r w:rsidRPr="00FA0D37">
              <w:rPr>
                <w:b/>
                <w:i/>
                <w:lang w:eastAsia="sv-SE"/>
              </w:rPr>
              <w:t>sfn-OffsetResult</w:t>
            </w:r>
          </w:p>
          <w:p w14:paraId="3C9E744E" w14:textId="77777777" w:rsidR="00394471" w:rsidRPr="00FA0D37" w:rsidRDefault="00394471" w:rsidP="00964CC4">
            <w:pPr>
              <w:pStyle w:val="TAL"/>
              <w:rPr>
                <w:lang w:eastAsia="sv-SE"/>
              </w:rPr>
            </w:pPr>
            <w:r w:rsidRPr="00FA0D37">
              <w:rPr>
                <w:lang w:eastAsia="sv-SE"/>
              </w:rPr>
              <w:t>Indicates the SFN difference between the PCell and the E-UTRA cell as an integer value according to TS 38.215 [9].</w:t>
            </w:r>
          </w:p>
        </w:tc>
      </w:tr>
      <w:tr w:rsidR="00394471" w:rsidRPr="00FA0D37"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FA0D37" w:rsidRDefault="00394471" w:rsidP="00964CC4">
            <w:pPr>
              <w:pStyle w:val="TAL"/>
              <w:rPr>
                <w:b/>
                <w:i/>
                <w:lang w:eastAsia="sv-SE"/>
              </w:rPr>
            </w:pPr>
            <w:r w:rsidRPr="00FA0D37">
              <w:rPr>
                <w:b/>
                <w:i/>
                <w:lang w:eastAsia="sv-SE"/>
              </w:rPr>
              <w:t>frameBoundaryOffsetResult</w:t>
            </w:r>
          </w:p>
          <w:p w14:paraId="1F2EB04F" w14:textId="77777777" w:rsidR="00394471" w:rsidRPr="00FA0D37" w:rsidRDefault="00394471" w:rsidP="00964CC4">
            <w:pPr>
              <w:pStyle w:val="TAL"/>
              <w:rPr>
                <w:lang w:eastAsia="sv-SE"/>
              </w:rPr>
            </w:pPr>
            <w:r w:rsidRPr="00FA0D37">
              <w:rPr>
                <w:lang w:eastAsia="sv-SE"/>
              </w:rPr>
              <w:t>Indicates the frame boundary difference between the PCell and the E-UTRA cell as an integer value according to TS 38.215 [9].</w:t>
            </w:r>
          </w:p>
        </w:tc>
      </w:tr>
    </w:tbl>
    <w:p w14:paraId="5E229EB6" w14:textId="77777777" w:rsidR="00394471" w:rsidRPr="00FA0D37" w:rsidRDefault="00394471" w:rsidP="00394471"/>
    <w:p w14:paraId="712F9F5B" w14:textId="77777777" w:rsidR="00394471" w:rsidRPr="00FA0D37" w:rsidRDefault="00394471" w:rsidP="00394471">
      <w:pPr>
        <w:pStyle w:val="4"/>
        <w:rPr>
          <w:i/>
        </w:rPr>
      </w:pPr>
      <w:bookmarkStart w:id="1105" w:name="_Toc60777267"/>
      <w:bookmarkStart w:id="1106" w:name="_Toc146781328"/>
      <w:r w:rsidRPr="00FA0D37">
        <w:t>–</w:t>
      </w:r>
      <w:r w:rsidRPr="00FA0D37">
        <w:tab/>
      </w:r>
      <w:r w:rsidRPr="00FA0D37">
        <w:rPr>
          <w:i/>
        </w:rPr>
        <w:t>MeasResults</w:t>
      </w:r>
      <w:bookmarkEnd w:id="1105"/>
      <w:bookmarkEnd w:id="1106"/>
    </w:p>
    <w:p w14:paraId="4B014DD5" w14:textId="7498711C" w:rsidR="00394471" w:rsidRPr="00FA0D37" w:rsidRDefault="00394471" w:rsidP="00394471">
      <w:r w:rsidRPr="00FA0D37">
        <w:t xml:space="preserve">The IE </w:t>
      </w:r>
      <w:r w:rsidRPr="00FA0D37">
        <w:rPr>
          <w:i/>
        </w:rPr>
        <w:t>MeasResults</w:t>
      </w:r>
      <w:r w:rsidRPr="00FA0D37">
        <w:t xml:space="preserve"> covers measured results for intra-frequency, inter-frequency, inter-RAT mobility and measured results for </w:t>
      </w:r>
      <w:r w:rsidR="002E688F" w:rsidRPr="00FA0D37">
        <w:t xml:space="preserve">NR </w:t>
      </w:r>
      <w:r w:rsidRPr="00FA0D37">
        <w:t>sidelink</w:t>
      </w:r>
      <w:r w:rsidR="002E688F" w:rsidRPr="00FA0D37">
        <w:t xml:space="preserve"> communication</w:t>
      </w:r>
      <w:r w:rsidR="0039645C" w:rsidRPr="00FA0D37">
        <w:t>/discovery</w:t>
      </w:r>
      <w:r w:rsidRPr="00FA0D37">
        <w:t>.</w:t>
      </w:r>
    </w:p>
    <w:p w14:paraId="0C13D440" w14:textId="77777777" w:rsidR="00394471" w:rsidRPr="00FA0D37" w:rsidRDefault="00394471" w:rsidP="00394471">
      <w:pPr>
        <w:pStyle w:val="TH"/>
      </w:pPr>
      <w:r w:rsidRPr="00FA0D37">
        <w:rPr>
          <w:i/>
        </w:rPr>
        <w:t>MeasResults</w:t>
      </w:r>
      <w:r w:rsidRPr="00FA0D37">
        <w:t xml:space="preserve"> information element</w:t>
      </w:r>
    </w:p>
    <w:p w14:paraId="6FC255FE" w14:textId="77777777" w:rsidR="00394471" w:rsidRPr="00FA0D37" w:rsidRDefault="00394471" w:rsidP="00FA0D37">
      <w:pPr>
        <w:pStyle w:val="PL"/>
        <w:rPr>
          <w:color w:val="808080"/>
        </w:rPr>
      </w:pPr>
      <w:r w:rsidRPr="00FA0D37">
        <w:rPr>
          <w:color w:val="808080"/>
        </w:rPr>
        <w:t>-- ASN1START</w:t>
      </w:r>
    </w:p>
    <w:p w14:paraId="0D69DAB3" w14:textId="77777777" w:rsidR="00394471" w:rsidRPr="00FA0D37" w:rsidRDefault="00394471" w:rsidP="00FA0D37">
      <w:pPr>
        <w:pStyle w:val="PL"/>
        <w:rPr>
          <w:color w:val="808080"/>
        </w:rPr>
      </w:pPr>
      <w:r w:rsidRPr="00FA0D37">
        <w:rPr>
          <w:color w:val="808080"/>
        </w:rPr>
        <w:t>-- TAG-MEASRESULTS-START</w:t>
      </w:r>
    </w:p>
    <w:p w14:paraId="30F7CE62" w14:textId="77777777" w:rsidR="00394471" w:rsidRPr="00FA0D37" w:rsidRDefault="00394471" w:rsidP="00FA0D37">
      <w:pPr>
        <w:pStyle w:val="PL"/>
      </w:pPr>
    </w:p>
    <w:p w14:paraId="2DB558C6" w14:textId="77777777" w:rsidR="00394471" w:rsidRPr="00FA0D37" w:rsidRDefault="00394471" w:rsidP="00FA0D37">
      <w:pPr>
        <w:pStyle w:val="PL"/>
      </w:pPr>
      <w:r w:rsidRPr="00FA0D37">
        <w:t xml:space="preserve">MeasResults ::=                         </w:t>
      </w:r>
      <w:r w:rsidRPr="00FA0D37">
        <w:rPr>
          <w:color w:val="993366"/>
        </w:rPr>
        <w:t>SEQUENCE</w:t>
      </w:r>
      <w:r w:rsidRPr="00FA0D37">
        <w:t xml:space="preserve"> {</w:t>
      </w:r>
    </w:p>
    <w:p w14:paraId="211B6F3C" w14:textId="77777777" w:rsidR="00394471" w:rsidRPr="00FA0D37" w:rsidRDefault="00394471" w:rsidP="00FA0D37">
      <w:pPr>
        <w:pStyle w:val="PL"/>
      </w:pPr>
      <w:r w:rsidRPr="00FA0D37">
        <w:t xml:space="preserve">    measId                                  MeasId,</w:t>
      </w:r>
    </w:p>
    <w:p w14:paraId="34871954" w14:textId="77777777" w:rsidR="00394471" w:rsidRPr="00FA0D37" w:rsidRDefault="00394471" w:rsidP="00FA0D37">
      <w:pPr>
        <w:pStyle w:val="PL"/>
      </w:pPr>
      <w:r w:rsidRPr="00FA0D37">
        <w:t xml:space="preserve">    measResultServingMOList                 MeasResultServMOList,</w:t>
      </w:r>
    </w:p>
    <w:p w14:paraId="3DE37EC3" w14:textId="77777777" w:rsidR="00394471" w:rsidRPr="00FA0D37" w:rsidRDefault="00394471" w:rsidP="00FA0D37">
      <w:pPr>
        <w:pStyle w:val="PL"/>
      </w:pPr>
      <w:r w:rsidRPr="00FA0D37">
        <w:t xml:space="preserve">    measResultNeighCells                    </w:t>
      </w:r>
      <w:r w:rsidRPr="00FA0D37">
        <w:rPr>
          <w:color w:val="993366"/>
        </w:rPr>
        <w:t>CHOICE</w:t>
      </w:r>
      <w:r w:rsidRPr="00FA0D37">
        <w:t xml:space="preserve"> {</w:t>
      </w:r>
    </w:p>
    <w:p w14:paraId="5B82D11C" w14:textId="77777777" w:rsidR="00394471" w:rsidRPr="00FA0D37" w:rsidRDefault="00394471" w:rsidP="00FA0D37">
      <w:pPr>
        <w:pStyle w:val="PL"/>
      </w:pPr>
      <w:r w:rsidRPr="00FA0D37">
        <w:t xml:space="preserve">        measResultListNR                        MeasResultListNR,</w:t>
      </w:r>
    </w:p>
    <w:p w14:paraId="449D09F2" w14:textId="77777777" w:rsidR="00394471" w:rsidRPr="00FA0D37" w:rsidRDefault="00394471" w:rsidP="00FA0D37">
      <w:pPr>
        <w:pStyle w:val="PL"/>
      </w:pPr>
      <w:r w:rsidRPr="00FA0D37">
        <w:t xml:space="preserve">        ...,</w:t>
      </w:r>
    </w:p>
    <w:p w14:paraId="57935C88" w14:textId="77777777" w:rsidR="00394471" w:rsidRPr="00FA0D37" w:rsidRDefault="00394471" w:rsidP="00FA0D37">
      <w:pPr>
        <w:pStyle w:val="PL"/>
      </w:pPr>
      <w:r w:rsidRPr="00FA0D37">
        <w:t xml:space="preserve">        measResultListEUTRA                     MeasResultListEUTRA,</w:t>
      </w:r>
    </w:p>
    <w:p w14:paraId="2BE0EFB5" w14:textId="77777777" w:rsidR="00360CB9" w:rsidRPr="00FA0D37" w:rsidRDefault="00394471" w:rsidP="00FA0D37">
      <w:pPr>
        <w:pStyle w:val="PL"/>
      </w:pPr>
      <w:r w:rsidRPr="00FA0D37">
        <w:lastRenderedPageBreak/>
        <w:t xml:space="preserve">        measResultListUTRA-FDD-r16              MeasResultListUTRA-FDD-r16</w:t>
      </w:r>
      <w:r w:rsidR="00360CB9" w:rsidRPr="00FA0D37">
        <w:t>,</w:t>
      </w:r>
    </w:p>
    <w:p w14:paraId="4B51C285" w14:textId="05A98076" w:rsidR="00394471" w:rsidRPr="00FA0D37" w:rsidRDefault="00360CB9" w:rsidP="00FA0D37">
      <w:pPr>
        <w:pStyle w:val="PL"/>
        <w:rPr>
          <w:color w:val="808080"/>
        </w:rPr>
      </w:pPr>
      <w:r w:rsidRPr="00FA0D37">
        <w:t xml:space="preserve">        sl-MeasResultsCandRelay-r17             </w:t>
      </w:r>
      <w:r w:rsidR="00EF7B91" w:rsidRPr="00FA0D37">
        <w:rPr>
          <w:color w:val="993366"/>
        </w:rPr>
        <w:t>OCTET</w:t>
      </w:r>
      <w:r w:rsidR="00EF7B91" w:rsidRPr="00FA0D37">
        <w:t xml:space="preserve"> </w:t>
      </w:r>
      <w:r w:rsidR="00EF7B91" w:rsidRPr="00FA0D37">
        <w:rPr>
          <w:color w:val="993366"/>
        </w:rPr>
        <w:t>STRING</w:t>
      </w:r>
      <w:r w:rsidR="00EF7B91" w:rsidRPr="00FA0D37">
        <w:t xml:space="preserve">        </w:t>
      </w:r>
      <w:r w:rsidR="00EF7B91" w:rsidRPr="00FA0D37">
        <w:rPr>
          <w:color w:val="808080"/>
        </w:rPr>
        <w:t>-- Contains PC5 SL-MeasResult</w:t>
      </w:r>
      <w:r w:rsidR="00130254" w:rsidRPr="00FA0D37">
        <w:rPr>
          <w:color w:val="808080"/>
        </w:rPr>
        <w:t>List</w:t>
      </w:r>
      <w:r w:rsidR="00EF7B91" w:rsidRPr="00FA0D37">
        <w:rPr>
          <w:color w:val="808080"/>
        </w:rPr>
        <w:t>Relay-r17</w:t>
      </w:r>
    </w:p>
    <w:p w14:paraId="1AA03E7D" w14:textId="77777777" w:rsidR="00394471" w:rsidRPr="00FA0D37" w:rsidRDefault="00394471" w:rsidP="00FA0D37">
      <w:pPr>
        <w:pStyle w:val="PL"/>
      </w:pPr>
      <w:r w:rsidRPr="00FA0D37">
        <w:t xml:space="preserve">    }                                                                                                                   </w:t>
      </w:r>
      <w:r w:rsidRPr="00FA0D37">
        <w:rPr>
          <w:color w:val="993366"/>
        </w:rPr>
        <w:t>OPTIONAL</w:t>
      </w:r>
      <w:r w:rsidRPr="00FA0D37">
        <w:t>,</w:t>
      </w:r>
    </w:p>
    <w:p w14:paraId="1089F08B" w14:textId="77777777" w:rsidR="00394471" w:rsidRPr="00FA0D37" w:rsidRDefault="00394471" w:rsidP="00FA0D37">
      <w:pPr>
        <w:pStyle w:val="PL"/>
      </w:pPr>
      <w:r w:rsidRPr="00FA0D37">
        <w:t xml:space="preserve">    ...,</w:t>
      </w:r>
    </w:p>
    <w:p w14:paraId="16DDC1A4" w14:textId="77777777" w:rsidR="00394471" w:rsidRPr="00FA0D37" w:rsidRDefault="00394471" w:rsidP="00FA0D37">
      <w:pPr>
        <w:pStyle w:val="PL"/>
      </w:pPr>
      <w:r w:rsidRPr="00FA0D37">
        <w:t xml:space="preserve">    [[</w:t>
      </w:r>
    </w:p>
    <w:p w14:paraId="545A6C72" w14:textId="77777777" w:rsidR="00394471" w:rsidRPr="00FA0D37" w:rsidRDefault="00394471" w:rsidP="00FA0D37">
      <w:pPr>
        <w:pStyle w:val="PL"/>
      </w:pPr>
      <w:r w:rsidRPr="00FA0D37">
        <w:t xml:space="preserve">    measResultServFreqListEUTRA-SCG         MeasResultServFreqListEUTRA-SCG                                             </w:t>
      </w:r>
      <w:r w:rsidRPr="00FA0D37">
        <w:rPr>
          <w:rFonts w:eastAsia="Batang"/>
          <w:color w:val="993366"/>
        </w:rPr>
        <w:t>OPTIONAL</w:t>
      </w:r>
      <w:r w:rsidRPr="00FA0D37">
        <w:rPr>
          <w:rFonts w:eastAsia="Batang"/>
        </w:rPr>
        <w:t>,</w:t>
      </w:r>
    </w:p>
    <w:p w14:paraId="2BFF3046" w14:textId="77777777" w:rsidR="00394471" w:rsidRPr="00FA0D37" w:rsidRDefault="00394471" w:rsidP="00FA0D37">
      <w:pPr>
        <w:pStyle w:val="PL"/>
      </w:pPr>
      <w:r w:rsidRPr="00FA0D37">
        <w:t xml:space="preserve">    measResultServFreqListNR-SCG            MeasResultServFreqListNR-SCG                                                </w:t>
      </w:r>
      <w:r w:rsidRPr="00FA0D37">
        <w:rPr>
          <w:rFonts w:eastAsia="Batang"/>
          <w:color w:val="993366"/>
        </w:rPr>
        <w:t>OPTIONAL</w:t>
      </w:r>
      <w:r w:rsidRPr="00FA0D37">
        <w:t>,</w:t>
      </w:r>
    </w:p>
    <w:p w14:paraId="77EBC59E" w14:textId="77777777" w:rsidR="00394471" w:rsidRPr="00FA0D37" w:rsidRDefault="00394471" w:rsidP="00FA0D37">
      <w:pPr>
        <w:pStyle w:val="PL"/>
      </w:pPr>
      <w:r w:rsidRPr="00FA0D37">
        <w:t xml:space="preserve">    measResultSFTD-EUTRA                    MeasResultSFTD-EUTRA                                                        </w:t>
      </w:r>
      <w:r w:rsidRPr="00FA0D37">
        <w:rPr>
          <w:color w:val="993366"/>
        </w:rPr>
        <w:t>OPTIONAL</w:t>
      </w:r>
      <w:r w:rsidRPr="00FA0D37">
        <w:t>,</w:t>
      </w:r>
    </w:p>
    <w:p w14:paraId="2B093696" w14:textId="77777777" w:rsidR="00394471" w:rsidRPr="00FA0D37" w:rsidRDefault="00394471" w:rsidP="00FA0D37">
      <w:pPr>
        <w:pStyle w:val="PL"/>
        <w:rPr>
          <w:rFonts w:eastAsia="Batang"/>
        </w:rPr>
      </w:pPr>
      <w:r w:rsidRPr="00FA0D37">
        <w:t xml:space="preserve">    measResultSFTD-NR                       MeasResultCellSFTD-NR                                                       </w:t>
      </w:r>
      <w:r w:rsidRPr="00FA0D37">
        <w:rPr>
          <w:color w:val="993366"/>
        </w:rPr>
        <w:t>OPTIONAL</w:t>
      </w:r>
    </w:p>
    <w:p w14:paraId="1B7FD975" w14:textId="77777777" w:rsidR="00394471" w:rsidRPr="00FA0D37" w:rsidRDefault="00394471" w:rsidP="00FA0D37">
      <w:pPr>
        <w:pStyle w:val="PL"/>
        <w:rPr>
          <w:rFonts w:eastAsia="Batang"/>
        </w:rPr>
      </w:pPr>
      <w:r w:rsidRPr="00FA0D37">
        <w:rPr>
          <w:rFonts w:eastAsia="Batang"/>
        </w:rPr>
        <w:t xml:space="preserve">     ]],</w:t>
      </w:r>
    </w:p>
    <w:p w14:paraId="12C6237D" w14:textId="77777777" w:rsidR="00394471" w:rsidRPr="00FA0D37" w:rsidRDefault="00394471" w:rsidP="00FA0D37">
      <w:pPr>
        <w:pStyle w:val="PL"/>
        <w:rPr>
          <w:rFonts w:eastAsia="Batang"/>
        </w:rPr>
      </w:pPr>
      <w:r w:rsidRPr="00FA0D37">
        <w:t xml:space="preserve">    </w:t>
      </w:r>
      <w:r w:rsidRPr="00FA0D37">
        <w:rPr>
          <w:rFonts w:eastAsia="Batang"/>
        </w:rPr>
        <w:t xml:space="preserve"> [[</w:t>
      </w:r>
    </w:p>
    <w:p w14:paraId="564C3EE9" w14:textId="77777777" w:rsidR="00394471" w:rsidRPr="00FA0D37" w:rsidRDefault="00394471" w:rsidP="00FA0D37">
      <w:pPr>
        <w:pStyle w:val="PL"/>
        <w:rPr>
          <w:rFonts w:eastAsia="Batang"/>
        </w:rPr>
      </w:pPr>
      <w:r w:rsidRPr="00FA0D37">
        <w:t xml:space="preserve">    </w:t>
      </w:r>
      <w:r w:rsidRPr="00FA0D37">
        <w:rPr>
          <w:rFonts w:eastAsia="Batang"/>
        </w:rPr>
        <w:t>measResultCellListSFTD-NR</w:t>
      </w:r>
      <w:r w:rsidRPr="00FA0D37">
        <w:t xml:space="preserve">               </w:t>
      </w:r>
      <w:r w:rsidRPr="00FA0D37">
        <w:rPr>
          <w:rFonts w:eastAsia="Batang"/>
        </w:rPr>
        <w:t>MeasResultCellListSFTD-NR</w:t>
      </w:r>
      <w:r w:rsidRPr="00FA0D37">
        <w:t xml:space="preserve">                                                   </w:t>
      </w:r>
      <w:r w:rsidRPr="00FA0D37">
        <w:rPr>
          <w:rFonts w:eastAsia="Batang"/>
          <w:color w:val="993366"/>
        </w:rPr>
        <w:t>OPTIONAL</w:t>
      </w:r>
    </w:p>
    <w:p w14:paraId="46165BF1" w14:textId="77777777" w:rsidR="00394471" w:rsidRPr="00FA0D37" w:rsidRDefault="00394471" w:rsidP="00FA0D37">
      <w:pPr>
        <w:pStyle w:val="PL"/>
        <w:rPr>
          <w:rFonts w:eastAsia="Batang"/>
        </w:rPr>
      </w:pPr>
      <w:r w:rsidRPr="00FA0D37">
        <w:t xml:space="preserve">    </w:t>
      </w:r>
      <w:r w:rsidRPr="00FA0D37">
        <w:rPr>
          <w:rFonts w:eastAsia="Batang"/>
        </w:rPr>
        <w:t>]],</w:t>
      </w:r>
    </w:p>
    <w:p w14:paraId="62D20A96" w14:textId="77777777" w:rsidR="00394471" w:rsidRPr="00FA0D37" w:rsidRDefault="00394471" w:rsidP="00FA0D37">
      <w:pPr>
        <w:pStyle w:val="PL"/>
        <w:rPr>
          <w:rFonts w:eastAsia="Batang"/>
        </w:rPr>
      </w:pPr>
      <w:r w:rsidRPr="00FA0D37">
        <w:t xml:space="preserve">    </w:t>
      </w:r>
      <w:r w:rsidRPr="00FA0D37">
        <w:rPr>
          <w:rFonts w:eastAsia="Batang"/>
        </w:rPr>
        <w:t>[[</w:t>
      </w:r>
    </w:p>
    <w:p w14:paraId="2EECF4C2" w14:textId="77777777" w:rsidR="00394471" w:rsidRPr="00FA0D37" w:rsidRDefault="00394471" w:rsidP="00FA0D37">
      <w:pPr>
        <w:pStyle w:val="PL"/>
        <w:rPr>
          <w:rFonts w:eastAsia="Batang"/>
        </w:rPr>
      </w:pPr>
      <w:r w:rsidRPr="00FA0D37">
        <w:t xml:space="preserve">    measResultForRSSI-r16                   MeasResultForRSSI-r16                                                       </w:t>
      </w:r>
      <w:r w:rsidRPr="00FA0D37">
        <w:rPr>
          <w:color w:val="993366"/>
        </w:rPr>
        <w:t>OPTIONAL</w:t>
      </w:r>
      <w:r w:rsidRPr="00FA0D37">
        <w:t>,</w:t>
      </w:r>
    </w:p>
    <w:p w14:paraId="53768F44" w14:textId="77777777" w:rsidR="00394471" w:rsidRPr="00FA0D37" w:rsidRDefault="00394471" w:rsidP="00FA0D37">
      <w:pPr>
        <w:pStyle w:val="PL"/>
        <w:rPr>
          <w:rFonts w:eastAsia="等线"/>
        </w:rPr>
      </w:pPr>
      <w:r w:rsidRPr="00FA0D37">
        <w:t xml:space="preserve">    </w:t>
      </w:r>
      <w:r w:rsidRPr="00FA0D37">
        <w:rPr>
          <w:rFonts w:eastAsia="Batang"/>
        </w:rPr>
        <w:t>locationInfo-r16</w:t>
      </w:r>
      <w:r w:rsidRPr="00FA0D37">
        <w:t xml:space="preserve">                        </w:t>
      </w:r>
      <w:r w:rsidRPr="00FA0D37">
        <w:rPr>
          <w:rFonts w:eastAsia="Batang"/>
        </w:rPr>
        <w:t>LocationInfo-r16</w:t>
      </w:r>
      <w:r w:rsidRPr="00FA0D37">
        <w:t xml:space="preserve">                                                            </w:t>
      </w:r>
      <w:r w:rsidRPr="00FA0D37">
        <w:rPr>
          <w:rFonts w:eastAsia="Batang"/>
          <w:color w:val="993366"/>
        </w:rPr>
        <w:t>OPTIONAL</w:t>
      </w:r>
      <w:r w:rsidRPr="00FA0D37">
        <w:rPr>
          <w:rFonts w:eastAsia="等线"/>
        </w:rPr>
        <w:t>,</w:t>
      </w:r>
    </w:p>
    <w:p w14:paraId="066306E9" w14:textId="77777777" w:rsidR="00394471" w:rsidRPr="00FA0D37" w:rsidRDefault="00394471" w:rsidP="00FA0D37">
      <w:pPr>
        <w:pStyle w:val="PL"/>
        <w:rPr>
          <w:rFonts w:eastAsia="Batang"/>
        </w:rPr>
      </w:pPr>
      <w:r w:rsidRPr="00FA0D37">
        <w:t xml:space="preserve">    </w:t>
      </w:r>
      <w:r w:rsidRPr="00FA0D37">
        <w:rPr>
          <w:rFonts w:eastAsia="Batang"/>
        </w:rPr>
        <w:t>ul-PDCP-DelayValueResultList-r16</w:t>
      </w:r>
      <w:r w:rsidRPr="00FA0D37">
        <w:t xml:space="preserve">        </w:t>
      </w:r>
      <w:r w:rsidRPr="00FA0D37">
        <w:rPr>
          <w:rFonts w:eastAsia="Batang"/>
        </w:rPr>
        <w:t>UL-PDCP-DelayValueResultList-r16</w:t>
      </w:r>
      <w:r w:rsidRPr="00FA0D37">
        <w:t xml:space="preserve">                                            </w:t>
      </w:r>
      <w:r w:rsidRPr="00FA0D37">
        <w:rPr>
          <w:rFonts w:eastAsia="Batang"/>
          <w:color w:val="993366"/>
        </w:rPr>
        <w:t>OPTIONAL</w:t>
      </w:r>
      <w:r w:rsidRPr="00FA0D37">
        <w:rPr>
          <w:rFonts w:eastAsia="Batang"/>
        </w:rPr>
        <w:t>,</w:t>
      </w:r>
    </w:p>
    <w:p w14:paraId="200CDF01" w14:textId="77777777" w:rsidR="00394471" w:rsidRPr="00FA0D37" w:rsidRDefault="00394471" w:rsidP="00FA0D37">
      <w:pPr>
        <w:pStyle w:val="PL"/>
        <w:rPr>
          <w:rFonts w:eastAsia="Batang"/>
        </w:rPr>
      </w:pPr>
      <w:r w:rsidRPr="00FA0D37">
        <w:t xml:space="preserve">    </w:t>
      </w:r>
      <w:r w:rsidRPr="00FA0D37">
        <w:rPr>
          <w:rFonts w:eastAsia="Batang"/>
        </w:rPr>
        <w:t>measResultsSL-r16</w:t>
      </w:r>
      <w:r w:rsidRPr="00FA0D37">
        <w:t xml:space="preserve">                       </w:t>
      </w:r>
      <w:r w:rsidRPr="00FA0D37">
        <w:rPr>
          <w:rFonts w:eastAsia="Batang"/>
        </w:rPr>
        <w:t>MeasResultsSL-r16</w:t>
      </w:r>
      <w:r w:rsidRPr="00FA0D37">
        <w:t xml:space="preserve">                                                           </w:t>
      </w:r>
      <w:r w:rsidRPr="00FA0D37">
        <w:rPr>
          <w:rFonts w:eastAsia="Batang"/>
          <w:color w:val="993366"/>
        </w:rPr>
        <w:t>OPTIONAL</w:t>
      </w:r>
      <w:r w:rsidRPr="00FA0D37">
        <w:rPr>
          <w:rFonts w:eastAsia="Batang"/>
        </w:rPr>
        <w:t>,</w:t>
      </w:r>
    </w:p>
    <w:p w14:paraId="28D3F258" w14:textId="77777777" w:rsidR="00394471" w:rsidRPr="00FA0D37" w:rsidRDefault="00394471" w:rsidP="00FA0D37">
      <w:pPr>
        <w:pStyle w:val="PL"/>
      </w:pPr>
      <w:r w:rsidRPr="00FA0D37">
        <w:t xml:space="preserve">    measResultCLI-r16                       MeasResultCLI-r16                                                           </w:t>
      </w:r>
      <w:r w:rsidRPr="00FA0D37">
        <w:rPr>
          <w:rFonts w:eastAsia="Batang"/>
          <w:color w:val="993366"/>
        </w:rPr>
        <w:t>OPTIONAL</w:t>
      </w:r>
    </w:p>
    <w:p w14:paraId="3675C3E2" w14:textId="362E3EBF" w:rsidR="00F27D15" w:rsidRPr="00FA0D37" w:rsidRDefault="00394471" w:rsidP="00FA0D37">
      <w:pPr>
        <w:pStyle w:val="PL"/>
        <w:rPr>
          <w:rFonts w:eastAsia="Batang"/>
        </w:rPr>
      </w:pPr>
      <w:r w:rsidRPr="00FA0D37">
        <w:t xml:space="preserve">    </w:t>
      </w:r>
      <w:r w:rsidRPr="00FA0D37">
        <w:rPr>
          <w:rFonts w:eastAsia="Batang"/>
        </w:rPr>
        <w:t>]]</w:t>
      </w:r>
      <w:r w:rsidR="00F27D15" w:rsidRPr="00FA0D37">
        <w:rPr>
          <w:rFonts w:eastAsia="Batang"/>
        </w:rPr>
        <w:t>,</w:t>
      </w:r>
    </w:p>
    <w:p w14:paraId="5EE888B8" w14:textId="435BFB72" w:rsidR="00F27D15" w:rsidRPr="00FA0D37" w:rsidRDefault="00F27D15" w:rsidP="00FA0D37">
      <w:pPr>
        <w:pStyle w:val="PL"/>
        <w:rPr>
          <w:rFonts w:eastAsia="Batang"/>
        </w:rPr>
      </w:pPr>
      <w:r w:rsidRPr="00FA0D37">
        <w:t xml:space="preserve">    </w:t>
      </w:r>
      <w:r w:rsidRPr="00FA0D37">
        <w:rPr>
          <w:rFonts w:eastAsia="Batang"/>
        </w:rPr>
        <w:t>[[</w:t>
      </w:r>
    </w:p>
    <w:p w14:paraId="19D1EFF6" w14:textId="0FEBE4DC" w:rsidR="00F27D15" w:rsidRPr="00FA0D37" w:rsidRDefault="00F27D15" w:rsidP="00FA0D37">
      <w:pPr>
        <w:pStyle w:val="PL"/>
        <w:rPr>
          <w:rFonts w:eastAsia="Batang"/>
        </w:rPr>
      </w:pPr>
      <w:r w:rsidRPr="00FA0D37">
        <w:t xml:space="preserve">    </w:t>
      </w:r>
      <w:r w:rsidRPr="00FA0D37">
        <w:rPr>
          <w:rFonts w:eastAsia="Batang"/>
        </w:rPr>
        <w:t>measResultRxTxTimeDiff-r17</w:t>
      </w:r>
      <w:r w:rsidRPr="00FA0D37">
        <w:t xml:space="preserve">              </w:t>
      </w:r>
      <w:r w:rsidRPr="00FA0D37">
        <w:rPr>
          <w:rFonts w:eastAsia="Batang"/>
        </w:rPr>
        <w:t>MeasResultRxTxTimeDiff-r17</w:t>
      </w:r>
      <w:r w:rsidRPr="00FA0D37">
        <w:t xml:space="preserve">                                                  </w:t>
      </w:r>
      <w:r w:rsidRPr="00FA0D37">
        <w:rPr>
          <w:rFonts w:eastAsia="Batang"/>
          <w:color w:val="993366"/>
        </w:rPr>
        <w:t>OPTIONAL</w:t>
      </w:r>
      <w:r w:rsidR="00360CB9" w:rsidRPr="00FA0D37">
        <w:rPr>
          <w:rFonts w:eastAsia="Batang"/>
        </w:rPr>
        <w:t>,</w:t>
      </w:r>
    </w:p>
    <w:p w14:paraId="78310A4D" w14:textId="52B1D860" w:rsidR="005B0782" w:rsidRPr="00FA0D37" w:rsidRDefault="00360CB9" w:rsidP="00FA0D37">
      <w:pPr>
        <w:pStyle w:val="PL"/>
        <w:rPr>
          <w:rFonts w:eastAsia="Batang"/>
        </w:rPr>
      </w:pPr>
      <w:r w:rsidRPr="00FA0D37">
        <w:t xml:space="preserve">    sl-MeasResultServingRelay-r17           </w:t>
      </w:r>
      <w:r w:rsidR="00EF7B91" w:rsidRPr="00FA0D37">
        <w:rPr>
          <w:color w:val="993366"/>
        </w:rPr>
        <w:t>OCTET</w:t>
      </w:r>
      <w:r w:rsidR="00EF7B91" w:rsidRPr="00FA0D37">
        <w:t xml:space="preserve"> </w:t>
      </w:r>
      <w:r w:rsidR="00EF7B91" w:rsidRPr="00FA0D37">
        <w:rPr>
          <w:color w:val="993366"/>
        </w:rPr>
        <w:t>STRING</w:t>
      </w:r>
      <w:r w:rsidRPr="00FA0D37">
        <w:t xml:space="preserve">                                                      </w:t>
      </w:r>
      <w:r w:rsidR="00EF7B91" w:rsidRPr="00FA0D37">
        <w:t xml:space="preserve">          </w:t>
      </w:r>
      <w:r w:rsidRPr="00FA0D37">
        <w:rPr>
          <w:rFonts w:eastAsia="Batang"/>
          <w:color w:val="993366"/>
        </w:rPr>
        <w:t>OPTIONAL</w:t>
      </w:r>
      <w:r w:rsidR="00E84B6D" w:rsidRPr="00FA0D37">
        <w:rPr>
          <w:rFonts w:eastAsia="Batang"/>
        </w:rPr>
        <w:t>,</w:t>
      </w:r>
    </w:p>
    <w:p w14:paraId="2861273F" w14:textId="4786D638" w:rsidR="00360CB9" w:rsidRPr="00FA0D37" w:rsidRDefault="005B0782" w:rsidP="00FA0D37">
      <w:pPr>
        <w:pStyle w:val="PL"/>
        <w:rPr>
          <w:color w:val="808080"/>
        </w:rPr>
      </w:pPr>
      <w:r w:rsidRPr="00FA0D37">
        <w:t xml:space="preserve">                                                                                         </w:t>
      </w:r>
      <w:r w:rsidRPr="00FA0D37">
        <w:rPr>
          <w:rFonts w:eastAsia="Batang"/>
        </w:rPr>
        <w:t xml:space="preserve"> </w:t>
      </w:r>
      <w:r w:rsidR="00EF7B91" w:rsidRPr="00FA0D37">
        <w:rPr>
          <w:rFonts w:eastAsia="Batang"/>
          <w:color w:val="808080"/>
        </w:rPr>
        <w:t xml:space="preserve">-- </w:t>
      </w:r>
      <w:r w:rsidR="00EF7B91" w:rsidRPr="00FA0D37">
        <w:rPr>
          <w:color w:val="808080"/>
        </w:rPr>
        <w:t>Contains PC5 SL-MeasResultRelay-r17</w:t>
      </w:r>
    </w:p>
    <w:p w14:paraId="39695775" w14:textId="41898029" w:rsidR="00E84B6D" w:rsidRPr="00FA0D37" w:rsidRDefault="00E84B6D" w:rsidP="00FA0D37">
      <w:pPr>
        <w:pStyle w:val="PL"/>
        <w:rPr>
          <w:rFonts w:eastAsia="等线"/>
        </w:rPr>
      </w:pPr>
      <w:r w:rsidRPr="00FA0D37">
        <w:t xml:space="preserve">    </w:t>
      </w:r>
      <w:r w:rsidRPr="00FA0D37">
        <w:rPr>
          <w:rFonts w:eastAsia="Batang"/>
        </w:rPr>
        <w:t>ul-PDCP-ExcessDelayResultList-r17</w:t>
      </w:r>
      <w:r w:rsidRPr="00FA0D37">
        <w:t xml:space="preserve">       </w:t>
      </w:r>
      <w:r w:rsidRPr="00FA0D37">
        <w:rPr>
          <w:rFonts w:eastAsia="Batang"/>
        </w:rPr>
        <w:t>UL-PDCP-ExcessDelayResultList-r17</w:t>
      </w:r>
      <w:r w:rsidRPr="00FA0D37">
        <w:t xml:space="preserve">                                           </w:t>
      </w:r>
      <w:r w:rsidRPr="00FA0D37">
        <w:rPr>
          <w:rFonts w:eastAsia="Batang"/>
          <w:color w:val="993366"/>
        </w:rPr>
        <w:t>OPTIONAL</w:t>
      </w:r>
      <w:r w:rsidR="00771058" w:rsidRPr="00FA0D37">
        <w:rPr>
          <w:rFonts w:eastAsia="Batang"/>
        </w:rPr>
        <w:t>,</w:t>
      </w:r>
    </w:p>
    <w:p w14:paraId="0B657EC5" w14:textId="77777777" w:rsidR="00771058" w:rsidRPr="00FA0D37" w:rsidRDefault="00771058" w:rsidP="00FA0D37">
      <w:pPr>
        <w:pStyle w:val="PL"/>
      </w:pPr>
      <w:r w:rsidRPr="00FA0D37">
        <w:t xml:space="preserve">    coarseLocationInfo-r17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p>
    <w:p w14:paraId="6604F0A9" w14:textId="0FF62EAF" w:rsidR="00394471" w:rsidRPr="00FA0D37" w:rsidRDefault="00F27D15" w:rsidP="00FA0D37">
      <w:pPr>
        <w:pStyle w:val="PL"/>
        <w:rPr>
          <w:rFonts w:eastAsia="Batang"/>
        </w:rPr>
      </w:pPr>
      <w:r w:rsidRPr="00FA0D37">
        <w:t xml:space="preserve">    </w:t>
      </w:r>
      <w:r w:rsidRPr="00FA0D37">
        <w:rPr>
          <w:rFonts w:eastAsia="Batang"/>
        </w:rPr>
        <w:t>]]</w:t>
      </w:r>
    </w:p>
    <w:p w14:paraId="4FD78E20" w14:textId="77777777" w:rsidR="00394471" w:rsidRPr="00FA0D37" w:rsidRDefault="00394471" w:rsidP="00FA0D37">
      <w:pPr>
        <w:pStyle w:val="PL"/>
      </w:pPr>
      <w:r w:rsidRPr="00FA0D37">
        <w:t>}</w:t>
      </w:r>
    </w:p>
    <w:p w14:paraId="1B744E59" w14:textId="77777777" w:rsidR="00394471" w:rsidRPr="00FA0D37" w:rsidRDefault="00394471" w:rsidP="00FA0D37">
      <w:pPr>
        <w:pStyle w:val="PL"/>
      </w:pPr>
    </w:p>
    <w:p w14:paraId="57EE7550" w14:textId="77777777" w:rsidR="00394471" w:rsidRPr="00FA0D37" w:rsidRDefault="00394471" w:rsidP="00FA0D37">
      <w:pPr>
        <w:pStyle w:val="PL"/>
      </w:pPr>
      <w:r w:rsidRPr="00FA0D37">
        <w:t xml:space="preserve">MeasResultServMOList ::=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MeasResultServMO</w:t>
      </w:r>
    </w:p>
    <w:p w14:paraId="721754C0" w14:textId="77777777" w:rsidR="00394471" w:rsidRPr="00FA0D37" w:rsidRDefault="00394471" w:rsidP="00FA0D37">
      <w:pPr>
        <w:pStyle w:val="PL"/>
      </w:pPr>
    </w:p>
    <w:p w14:paraId="041B5007" w14:textId="77777777" w:rsidR="00394471" w:rsidRPr="00FA0D37" w:rsidRDefault="00394471" w:rsidP="00FA0D37">
      <w:pPr>
        <w:pStyle w:val="PL"/>
      </w:pPr>
      <w:r w:rsidRPr="00FA0D37">
        <w:t xml:space="preserve">MeasResultServMO ::=                    </w:t>
      </w:r>
      <w:r w:rsidRPr="00FA0D37">
        <w:rPr>
          <w:color w:val="993366"/>
        </w:rPr>
        <w:t>SEQUENCE</w:t>
      </w:r>
      <w:r w:rsidRPr="00FA0D37">
        <w:t xml:space="preserve"> {</w:t>
      </w:r>
    </w:p>
    <w:p w14:paraId="26D9BCD7" w14:textId="77777777" w:rsidR="00394471" w:rsidRPr="00FA0D37" w:rsidRDefault="00394471" w:rsidP="00FA0D37">
      <w:pPr>
        <w:pStyle w:val="PL"/>
      </w:pPr>
      <w:r w:rsidRPr="00FA0D37">
        <w:t xml:space="preserve">    servCellId                              ServCellIndex,</w:t>
      </w:r>
    </w:p>
    <w:p w14:paraId="0A2E4299" w14:textId="77777777" w:rsidR="00394471" w:rsidRPr="00FA0D37" w:rsidRDefault="00394471" w:rsidP="00FA0D37">
      <w:pPr>
        <w:pStyle w:val="PL"/>
      </w:pPr>
      <w:r w:rsidRPr="00FA0D37">
        <w:t xml:space="preserve">    measResultServingCell                   MeasResultNR,</w:t>
      </w:r>
    </w:p>
    <w:p w14:paraId="2BBDADCB" w14:textId="77777777" w:rsidR="00394471" w:rsidRPr="00FA0D37" w:rsidRDefault="00394471" w:rsidP="00FA0D37">
      <w:pPr>
        <w:pStyle w:val="PL"/>
      </w:pPr>
      <w:r w:rsidRPr="00FA0D37">
        <w:t xml:space="preserve">    measResultBestNeighCell                 MeasResultNR                                                                </w:t>
      </w:r>
      <w:r w:rsidRPr="00FA0D37">
        <w:rPr>
          <w:color w:val="993366"/>
        </w:rPr>
        <w:t>OPTIONAL</w:t>
      </w:r>
      <w:r w:rsidRPr="00FA0D37">
        <w:t>,</w:t>
      </w:r>
    </w:p>
    <w:p w14:paraId="26C0FFCB" w14:textId="77777777" w:rsidR="00394471" w:rsidRPr="00FA0D37" w:rsidRDefault="00394471" w:rsidP="00FA0D37">
      <w:pPr>
        <w:pStyle w:val="PL"/>
      </w:pPr>
      <w:r w:rsidRPr="00FA0D37">
        <w:t xml:space="preserve">    ...</w:t>
      </w:r>
    </w:p>
    <w:p w14:paraId="5521C751" w14:textId="77777777" w:rsidR="00394471" w:rsidRPr="00FA0D37" w:rsidRDefault="00394471" w:rsidP="00FA0D37">
      <w:pPr>
        <w:pStyle w:val="PL"/>
      </w:pPr>
      <w:r w:rsidRPr="00FA0D37">
        <w:t>}</w:t>
      </w:r>
    </w:p>
    <w:p w14:paraId="0BE84D97" w14:textId="77777777" w:rsidR="00394471" w:rsidRPr="00FA0D37" w:rsidRDefault="00394471" w:rsidP="00FA0D37">
      <w:pPr>
        <w:pStyle w:val="PL"/>
      </w:pPr>
    </w:p>
    <w:p w14:paraId="69F54131" w14:textId="77777777" w:rsidR="00394471" w:rsidRPr="00FA0D37" w:rsidRDefault="00394471" w:rsidP="00FA0D37">
      <w:pPr>
        <w:pStyle w:val="PL"/>
      </w:pPr>
      <w:r w:rsidRPr="00FA0D37">
        <w:t xml:space="preserve">MeasResultListNR ::=                    </w:t>
      </w:r>
      <w:r w:rsidRPr="00FA0D37">
        <w:rPr>
          <w:color w:val="993366"/>
        </w:rPr>
        <w:t>SEQUENCE</w:t>
      </w:r>
      <w:r w:rsidRPr="00FA0D37">
        <w:t xml:space="preserve"> (</w:t>
      </w:r>
      <w:r w:rsidRPr="00FA0D37">
        <w:rPr>
          <w:color w:val="993366"/>
        </w:rPr>
        <w:t>SIZE</w:t>
      </w:r>
      <w:r w:rsidRPr="00FA0D37">
        <w:t xml:space="preserve"> (1..maxCellReport))</w:t>
      </w:r>
      <w:r w:rsidRPr="00FA0D37">
        <w:rPr>
          <w:color w:val="993366"/>
        </w:rPr>
        <w:t xml:space="preserve"> OF</w:t>
      </w:r>
      <w:r w:rsidRPr="00FA0D37">
        <w:t xml:space="preserve"> MeasResultNR</w:t>
      </w:r>
    </w:p>
    <w:p w14:paraId="00D2DC81" w14:textId="77777777" w:rsidR="00394471" w:rsidRPr="00FA0D37" w:rsidRDefault="00394471" w:rsidP="00FA0D37">
      <w:pPr>
        <w:pStyle w:val="PL"/>
      </w:pPr>
    </w:p>
    <w:p w14:paraId="34620353" w14:textId="77777777" w:rsidR="00394471" w:rsidRPr="00FA0D37" w:rsidRDefault="00394471" w:rsidP="00FA0D37">
      <w:pPr>
        <w:pStyle w:val="PL"/>
      </w:pPr>
      <w:r w:rsidRPr="00FA0D37">
        <w:t xml:space="preserve">MeasResultNR ::=                        </w:t>
      </w:r>
      <w:r w:rsidRPr="00FA0D37">
        <w:rPr>
          <w:color w:val="993366"/>
        </w:rPr>
        <w:t>SEQUENCE</w:t>
      </w:r>
      <w:r w:rsidRPr="00FA0D37">
        <w:t xml:space="preserve"> {</w:t>
      </w:r>
    </w:p>
    <w:p w14:paraId="2F26656A" w14:textId="77777777" w:rsidR="00394471" w:rsidRPr="00FA0D37" w:rsidRDefault="00394471" w:rsidP="00FA0D37">
      <w:pPr>
        <w:pStyle w:val="PL"/>
      </w:pPr>
      <w:r w:rsidRPr="00FA0D37">
        <w:t xml:space="preserve">    physCellId                              PhysCellId                                                                  </w:t>
      </w:r>
      <w:r w:rsidRPr="00FA0D37">
        <w:rPr>
          <w:color w:val="993366"/>
        </w:rPr>
        <w:t>OPTIONAL</w:t>
      </w:r>
      <w:r w:rsidRPr="00FA0D37">
        <w:t>,</w:t>
      </w:r>
    </w:p>
    <w:p w14:paraId="6F0D65D0" w14:textId="77777777" w:rsidR="00394471" w:rsidRPr="00FA0D37" w:rsidRDefault="00394471" w:rsidP="00FA0D37">
      <w:pPr>
        <w:pStyle w:val="PL"/>
      </w:pPr>
      <w:r w:rsidRPr="00FA0D37">
        <w:t xml:space="preserve">    measResult                              </w:t>
      </w:r>
      <w:r w:rsidRPr="00FA0D37">
        <w:rPr>
          <w:color w:val="993366"/>
        </w:rPr>
        <w:t>SEQUENCE</w:t>
      </w:r>
      <w:r w:rsidRPr="00FA0D37">
        <w:t xml:space="preserve"> {</w:t>
      </w:r>
    </w:p>
    <w:p w14:paraId="7007DE00" w14:textId="77777777" w:rsidR="00394471" w:rsidRPr="00FA0D37" w:rsidRDefault="00394471" w:rsidP="00FA0D37">
      <w:pPr>
        <w:pStyle w:val="PL"/>
      </w:pPr>
      <w:r w:rsidRPr="00FA0D37">
        <w:t xml:space="preserve">        cellResults                             </w:t>
      </w:r>
      <w:r w:rsidRPr="00FA0D37">
        <w:rPr>
          <w:color w:val="993366"/>
        </w:rPr>
        <w:t>SEQUENCE</w:t>
      </w:r>
      <w:r w:rsidRPr="00FA0D37">
        <w:t>{</w:t>
      </w:r>
    </w:p>
    <w:p w14:paraId="78DC8AC7" w14:textId="77777777" w:rsidR="00394471" w:rsidRPr="00FA0D37" w:rsidRDefault="00394471" w:rsidP="00FA0D37">
      <w:pPr>
        <w:pStyle w:val="PL"/>
      </w:pPr>
      <w:r w:rsidRPr="00FA0D37">
        <w:t xml:space="preserve">            resultsSSB-Cell                         MeasQuantityResults                                                 </w:t>
      </w:r>
      <w:r w:rsidRPr="00FA0D37">
        <w:rPr>
          <w:color w:val="993366"/>
        </w:rPr>
        <w:t>OPTIONAL</w:t>
      </w:r>
      <w:r w:rsidRPr="00FA0D37">
        <w:t>,</w:t>
      </w:r>
    </w:p>
    <w:p w14:paraId="3FC4D9F9" w14:textId="77777777" w:rsidR="00394471" w:rsidRPr="00FA0D37" w:rsidRDefault="00394471" w:rsidP="00FA0D37">
      <w:pPr>
        <w:pStyle w:val="PL"/>
      </w:pPr>
      <w:r w:rsidRPr="00FA0D37">
        <w:t xml:space="preserve">            resultsCSI-RS-Cell                      MeasQuantityResults                                                 </w:t>
      </w:r>
      <w:r w:rsidRPr="00FA0D37">
        <w:rPr>
          <w:color w:val="993366"/>
        </w:rPr>
        <w:t>OPTIONAL</w:t>
      </w:r>
    </w:p>
    <w:p w14:paraId="7DEAEBA9" w14:textId="77777777" w:rsidR="00394471" w:rsidRPr="00FA0D37" w:rsidRDefault="00394471" w:rsidP="00FA0D37">
      <w:pPr>
        <w:pStyle w:val="PL"/>
      </w:pPr>
      <w:r w:rsidRPr="00FA0D37">
        <w:t xml:space="preserve">        },</w:t>
      </w:r>
    </w:p>
    <w:p w14:paraId="385FBA2A" w14:textId="77777777" w:rsidR="00394471" w:rsidRPr="00FA0D37" w:rsidRDefault="00394471" w:rsidP="00FA0D37">
      <w:pPr>
        <w:pStyle w:val="PL"/>
      </w:pPr>
      <w:r w:rsidRPr="00FA0D37">
        <w:t xml:space="preserve">        rsIndexResults                          </w:t>
      </w:r>
      <w:r w:rsidRPr="00FA0D37">
        <w:rPr>
          <w:color w:val="993366"/>
        </w:rPr>
        <w:t>SEQUENCE</w:t>
      </w:r>
      <w:r w:rsidRPr="00FA0D37">
        <w:t>{</w:t>
      </w:r>
    </w:p>
    <w:p w14:paraId="4B75BC31" w14:textId="77777777" w:rsidR="00394471" w:rsidRPr="00FA0D37" w:rsidRDefault="00394471" w:rsidP="00FA0D37">
      <w:pPr>
        <w:pStyle w:val="PL"/>
      </w:pPr>
      <w:r w:rsidRPr="00FA0D37">
        <w:t xml:space="preserve">            resultsSSB-Indexes                      ResultsPerSSB-IndexList                                             </w:t>
      </w:r>
      <w:r w:rsidRPr="00FA0D37">
        <w:rPr>
          <w:color w:val="993366"/>
        </w:rPr>
        <w:t>OPTIONAL</w:t>
      </w:r>
      <w:r w:rsidRPr="00FA0D37">
        <w:t>,</w:t>
      </w:r>
    </w:p>
    <w:p w14:paraId="7EC182F5" w14:textId="77777777" w:rsidR="00394471" w:rsidRPr="00FA0D37" w:rsidRDefault="00394471" w:rsidP="00FA0D37">
      <w:pPr>
        <w:pStyle w:val="PL"/>
      </w:pPr>
      <w:r w:rsidRPr="00FA0D37">
        <w:t xml:space="preserve">            resultsCSI-RS-Indexes                   ResultsPerCSI-RS-IndexList                                          </w:t>
      </w:r>
      <w:r w:rsidRPr="00FA0D37">
        <w:rPr>
          <w:color w:val="993366"/>
        </w:rPr>
        <w:t>OPTIONAL</w:t>
      </w:r>
    </w:p>
    <w:p w14:paraId="60C9E511" w14:textId="77777777" w:rsidR="00394471" w:rsidRPr="00FA0D37" w:rsidRDefault="00394471" w:rsidP="00FA0D37">
      <w:pPr>
        <w:pStyle w:val="PL"/>
      </w:pPr>
      <w:r w:rsidRPr="00FA0D37">
        <w:t xml:space="preserve">        }                                                                                                               </w:t>
      </w:r>
      <w:r w:rsidRPr="00FA0D37">
        <w:rPr>
          <w:color w:val="993366"/>
        </w:rPr>
        <w:t>OPTIONAL</w:t>
      </w:r>
    </w:p>
    <w:p w14:paraId="3C65A4F4" w14:textId="77777777" w:rsidR="00394471" w:rsidRPr="00FA0D37" w:rsidRDefault="00394471" w:rsidP="00FA0D37">
      <w:pPr>
        <w:pStyle w:val="PL"/>
      </w:pPr>
      <w:r w:rsidRPr="00FA0D37">
        <w:lastRenderedPageBreak/>
        <w:t xml:space="preserve">    },</w:t>
      </w:r>
    </w:p>
    <w:p w14:paraId="2275EE13" w14:textId="77777777" w:rsidR="00394471" w:rsidRPr="00FA0D37" w:rsidRDefault="00394471" w:rsidP="00FA0D37">
      <w:pPr>
        <w:pStyle w:val="PL"/>
      </w:pPr>
      <w:r w:rsidRPr="00FA0D37">
        <w:t xml:space="preserve">    ...,</w:t>
      </w:r>
    </w:p>
    <w:p w14:paraId="213B02AE" w14:textId="77777777" w:rsidR="00394471" w:rsidRPr="00FA0D37" w:rsidRDefault="00394471" w:rsidP="00FA0D37">
      <w:pPr>
        <w:pStyle w:val="PL"/>
      </w:pPr>
      <w:r w:rsidRPr="00FA0D37">
        <w:t xml:space="preserve">    [[</w:t>
      </w:r>
    </w:p>
    <w:p w14:paraId="6FE29464" w14:textId="5A229EB1" w:rsidR="00394471" w:rsidRPr="00FA0D37" w:rsidRDefault="00394471" w:rsidP="00FA0D37">
      <w:pPr>
        <w:pStyle w:val="PL"/>
      </w:pPr>
      <w:r w:rsidRPr="00FA0D37">
        <w:t xml:space="preserve">    cgi-Info                                CGI-InfoNR                                                                  </w:t>
      </w:r>
      <w:r w:rsidRPr="00FA0D37">
        <w:rPr>
          <w:color w:val="993366"/>
        </w:rPr>
        <w:t>OPTIONAL</w:t>
      </w:r>
    </w:p>
    <w:p w14:paraId="38BC47F4" w14:textId="35723A9F" w:rsidR="00E84B6D" w:rsidRPr="00FA0D37" w:rsidRDefault="00394471" w:rsidP="00FA0D37">
      <w:pPr>
        <w:pStyle w:val="PL"/>
      </w:pPr>
      <w:r w:rsidRPr="00FA0D37">
        <w:t xml:space="preserve">    ]]</w:t>
      </w:r>
      <w:r w:rsidR="00E84B6D" w:rsidRPr="00FA0D37">
        <w:t xml:space="preserve"> ,</w:t>
      </w:r>
    </w:p>
    <w:p w14:paraId="2A213A47" w14:textId="77777777" w:rsidR="00E84B6D" w:rsidRPr="00FA0D37" w:rsidRDefault="00E84B6D" w:rsidP="00FA0D37">
      <w:pPr>
        <w:pStyle w:val="PL"/>
      </w:pPr>
      <w:r w:rsidRPr="00FA0D37">
        <w:t xml:space="preserve">    [[</w:t>
      </w:r>
    </w:p>
    <w:p w14:paraId="57C57914" w14:textId="21F20604" w:rsidR="00E84B6D" w:rsidRPr="00FA0D37" w:rsidRDefault="00E84B6D" w:rsidP="00FA0D37">
      <w:pPr>
        <w:pStyle w:val="PL"/>
      </w:pPr>
      <w:r w:rsidRPr="00FA0D37">
        <w:t xml:space="preserve">    choCandidate-r17                        </w:t>
      </w:r>
      <w:r w:rsidRPr="00FA0D37">
        <w:rPr>
          <w:color w:val="993366"/>
        </w:rPr>
        <w:t>ENUMERATED</w:t>
      </w:r>
      <w:r w:rsidRPr="00FA0D37">
        <w:t xml:space="preserve"> {true}                                                           </w:t>
      </w:r>
      <w:r w:rsidRPr="00FA0D37">
        <w:rPr>
          <w:color w:val="993366"/>
        </w:rPr>
        <w:t>OPTIONAL</w:t>
      </w:r>
      <w:r w:rsidRPr="00FA0D37">
        <w:t>,</w:t>
      </w:r>
    </w:p>
    <w:p w14:paraId="4DC2D273" w14:textId="5AD7222E" w:rsidR="00E84B6D" w:rsidRPr="00FA0D37" w:rsidRDefault="00E84B6D" w:rsidP="00FA0D37">
      <w:pPr>
        <w:pStyle w:val="PL"/>
        <w:rPr>
          <w:rFonts w:eastAsiaTheme="minorEastAsia"/>
        </w:rPr>
      </w:pPr>
      <w:r w:rsidRPr="00FA0D37">
        <w:t xml:space="preserve">    choConfig-r17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CondTriggerConfig-r16                             </w:t>
      </w:r>
      <w:r w:rsidRPr="00FA0D37">
        <w:rPr>
          <w:color w:val="993366"/>
        </w:rPr>
        <w:t>OPTIONAL</w:t>
      </w:r>
      <w:r w:rsidRPr="00FA0D37">
        <w:t>,</w:t>
      </w:r>
    </w:p>
    <w:p w14:paraId="46106BFB" w14:textId="072ABC1A" w:rsidR="00E84B6D" w:rsidRPr="00FA0D37" w:rsidRDefault="00E84B6D" w:rsidP="00FA0D37">
      <w:pPr>
        <w:pStyle w:val="PL"/>
      </w:pPr>
      <w:r w:rsidRPr="00FA0D37">
        <w:t xml:space="preserve">    triggeredEvent-r17                      </w:t>
      </w:r>
      <w:r w:rsidRPr="00FA0D37">
        <w:rPr>
          <w:color w:val="993366"/>
        </w:rPr>
        <w:t>SEQUENCE</w:t>
      </w:r>
      <w:r w:rsidRPr="00FA0D37">
        <w:t xml:space="preserve"> {</w:t>
      </w:r>
    </w:p>
    <w:p w14:paraId="569C3B4B" w14:textId="16842A85" w:rsidR="00E84B6D" w:rsidRPr="00FA0D37" w:rsidRDefault="00E84B6D" w:rsidP="00FA0D37">
      <w:pPr>
        <w:pStyle w:val="PL"/>
      </w:pPr>
      <w:r w:rsidRPr="00FA0D37">
        <w:t xml:space="preserve">        timeBetweenEvents-r17                   TimeBetweenEvent-r17                                                    </w:t>
      </w:r>
      <w:r w:rsidRPr="00FA0D37">
        <w:rPr>
          <w:color w:val="993366"/>
        </w:rPr>
        <w:t>OPTIONAL</w:t>
      </w:r>
      <w:r w:rsidRPr="00FA0D37">
        <w:t>,</w:t>
      </w:r>
    </w:p>
    <w:p w14:paraId="429B8064" w14:textId="51517E01" w:rsidR="00E84B6D" w:rsidRPr="00FA0D37" w:rsidRDefault="00E84B6D" w:rsidP="00FA0D37">
      <w:pPr>
        <w:pStyle w:val="PL"/>
      </w:pPr>
      <w:r w:rsidRPr="00FA0D37">
        <w:t xml:space="preserve">        firstTriggeredEvent                     </w:t>
      </w:r>
      <w:r w:rsidRPr="00FA0D37">
        <w:rPr>
          <w:color w:val="993366"/>
        </w:rPr>
        <w:t>ENUMERATED</w:t>
      </w:r>
      <w:r w:rsidRPr="00FA0D37">
        <w:t xml:space="preserve"> {condFirstEvent, condSecondEvent}                            </w:t>
      </w:r>
      <w:r w:rsidRPr="00FA0D37">
        <w:rPr>
          <w:color w:val="993366"/>
        </w:rPr>
        <w:t>OPTIONAL</w:t>
      </w:r>
    </w:p>
    <w:p w14:paraId="6299557E" w14:textId="6F4E24A9" w:rsidR="00E84B6D" w:rsidRPr="00FA0D37" w:rsidRDefault="00E84B6D" w:rsidP="00FA0D37">
      <w:pPr>
        <w:pStyle w:val="PL"/>
      </w:pPr>
      <w:r w:rsidRPr="00FA0D37">
        <w:t xml:space="preserve">        }                                                                                                               </w:t>
      </w:r>
      <w:r w:rsidRPr="00FA0D37">
        <w:rPr>
          <w:color w:val="993366"/>
        </w:rPr>
        <w:t>OPTIONAL</w:t>
      </w:r>
    </w:p>
    <w:p w14:paraId="6263AF98" w14:textId="2F71A275" w:rsidR="00394471" w:rsidRPr="00FA0D37" w:rsidRDefault="00E84B6D" w:rsidP="00FA0D37">
      <w:pPr>
        <w:pStyle w:val="PL"/>
      </w:pPr>
      <w:r w:rsidRPr="00FA0D37">
        <w:t xml:space="preserve">    ]]</w:t>
      </w:r>
    </w:p>
    <w:p w14:paraId="25545062" w14:textId="77777777" w:rsidR="00394471" w:rsidRPr="00FA0D37" w:rsidRDefault="00394471" w:rsidP="00FA0D37">
      <w:pPr>
        <w:pStyle w:val="PL"/>
      </w:pPr>
      <w:r w:rsidRPr="00FA0D37">
        <w:t>}</w:t>
      </w:r>
    </w:p>
    <w:p w14:paraId="2E9C843D" w14:textId="77777777" w:rsidR="00394471" w:rsidRPr="00FA0D37" w:rsidRDefault="00394471" w:rsidP="00FA0D37">
      <w:pPr>
        <w:pStyle w:val="PL"/>
      </w:pPr>
    </w:p>
    <w:p w14:paraId="4589DA52" w14:textId="77777777" w:rsidR="00394471" w:rsidRPr="00FA0D37" w:rsidRDefault="00394471" w:rsidP="00FA0D37">
      <w:pPr>
        <w:pStyle w:val="PL"/>
      </w:pPr>
      <w:r w:rsidRPr="00FA0D37">
        <w:t xml:space="preserve">MeasResultListEUTRA ::=                 </w:t>
      </w:r>
      <w:r w:rsidRPr="00FA0D37">
        <w:rPr>
          <w:color w:val="993366"/>
        </w:rPr>
        <w:t>SEQUENCE</w:t>
      </w:r>
      <w:r w:rsidRPr="00FA0D37">
        <w:t xml:space="preserve"> (</w:t>
      </w:r>
      <w:r w:rsidRPr="00FA0D37">
        <w:rPr>
          <w:color w:val="993366"/>
        </w:rPr>
        <w:t>SIZE</w:t>
      </w:r>
      <w:r w:rsidRPr="00FA0D37">
        <w:t xml:space="preserve"> (1..maxCellReport))</w:t>
      </w:r>
      <w:r w:rsidRPr="00FA0D37">
        <w:rPr>
          <w:color w:val="993366"/>
        </w:rPr>
        <w:t xml:space="preserve"> OF</w:t>
      </w:r>
      <w:r w:rsidRPr="00FA0D37">
        <w:t xml:space="preserve"> MeasResultEUTRA</w:t>
      </w:r>
    </w:p>
    <w:p w14:paraId="5489648A" w14:textId="77777777" w:rsidR="00394471" w:rsidRPr="00FA0D37" w:rsidRDefault="00394471" w:rsidP="00FA0D37">
      <w:pPr>
        <w:pStyle w:val="PL"/>
      </w:pPr>
    </w:p>
    <w:p w14:paraId="35E2D96D" w14:textId="77777777" w:rsidR="00394471" w:rsidRPr="00FA0D37" w:rsidRDefault="00394471" w:rsidP="00FA0D37">
      <w:pPr>
        <w:pStyle w:val="PL"/>
      </w:pPr>
      <w:r w:rsidRPr="00FA0D37">
        <w:t xml:space="preserve">MeasResultEUTRA ::=                     </w:t>
      </w:r>
      <w:r w:rsidRPr="00FA0D37">
        <w:rPr>
          <w:color w:val="993366"/>
        </w:rPr>
        <w:t>SEQUENCE</w:t>
      </w:r>
      <w:r w:rsidRPr="00FA0D37">
        <w:t xml:space="preserve"> {</w:t>
      </w:r>
    </w:p>
    <w:p w14:paraId="5ABBF586" w14:textId="77777777" w:rsidR="00394471" w:rsidRPr="00FA0D37" w:rsidRDefault="00394471" w:rsidP="00FA0D37">
      <w:pPr>
        <w:pStyle w:val="PL"/>
      </w:pPr>
      <w:r w:rsidRPr="00FA0D37">
        <w:t xml:space="preserve">    eutra-PhysCellId                        PhysCellId,</w:t>
      </w:r>
    </w:p>
    <w:p w14:paraId="77C70818" w14:textId="77777777" w:rsidR="00394471" w:rsidRPr="00FA0D37" w:rsidRDefault="00394471" w:rsidP="00FA0D37">
      <w:pPr>
        <w:pStyle w:val="PL"/>
      </w:pPr>
      <w:r w:rsidRPr="00FA0D37">
        <w:t xml:space="preserve">    measResult                              MeasQuantityResultsEUTRA,</w:t>
      </w:r>
    </w:p>
    <w:p w14:paraId="298E6892" w14:textId="77777777" w:rsidR="00394471" w:rsidRPr="00FA0D37" w:rsidRDefault="00394471" w:rsidP="00FA0D37">
      <w:pPr>
        <w:pStyle w:val="PL"/>
      </w:pPr>
    </w:p>
    <w:p w14:paraId="574E7996" w14:textId="77777777" w:rsidR="00394471" w:rsidRPr="00FA0D37" w:rsidRDefault="00394471" w:rsidP="00FA0D37">
      <w:pPr>
        <w:pStyle w:val="PL"/>
      </w:pPr>
      <w:r w:rsidRPr="00FA0D37">
        <w:t xml:space="preserve">    cgi-Info                                CGI-InfoEUTRA                                                               </w:t>
      </w:r>
      <w:r w:rsidRPr="00FA0D37">
        <w:rPr>
          <w:color w:val="993366"/>
        </w:rPr>
        <w:t>OPTIONAL</w:t>
      </w:r>
      <w:r w:rsidRPr="00FA0D37">
        <w:t>,</w:t>
      </w:r>
    </w:p>
    <w:p w14:paraId="789B5372" w14:textId="77777777" w:rsidR="00394471" w:rsidRPr="00FA0D37" w:rsidRDefault="00394471" w:rsidP="00FA0D37">
      <w:pPr>
        <w:pStyle w:val="PL"/>
      </w:pPr>
      <w:r w:rsidRPr="00FA0D37">
        <w:t xml:space="preserve">    ...</w:t>
      </w:r>
    </w:p>
    <w:p w14:paraId="79DD2217" w14:textId="77777777" w:rsidR="00394471" w:rsidRPr="00FA0D37" w:rsidRDefault="00394471" w:rsidP="00FA0D37">
      <w:pPr>
        <w:pStyle w:val="PL"/>
      </w:pPr>
      <w:r w:rsidRPr="00FA0D37">
        <w:t>}</w:t>
      </w:r>
    </w:p>
    <w:p w14:paraId="3371B8ED" w14:textId="77777777" w:rsidR="00394471" w:rsidRPr="00FA0D37" w:rsidRDefault="00394471" w:rsidP="00FA0D37">
      <w:pPr>
        <w:pStyle w:val="PL"/>
      </w:pPr>
    </w:p>
    <w:p w14:paraId="2CD03D95" w14:textId="77777777" w:rsidR="00394471" w:rsidRPr="00FA0D37" w:rsidRDefault="00394471" w:rsidP="00FA0D37">
      <w:pPr>
        <w:pStyle w:val="PL"/>
      </w:pPr>
      <w:r w:rsidRPr="00FA0D37">
        <w:t xml:space="preserve">MultiBandInfoListEUTRA ::=              </w:t>
      </w:r>
      <w:r w:rsidRPr="00FA0D37">
        <w:rPr>
          <w:color w:val="993366"/>
        </w:rPr>
        <w:t>SEQUENCE</w:t>
      </w:r>
      <w:r w:rsidRPr="00FA0D37">
        <w:t xml:space="preserve"> (</w:t>
      </w:r>
      <w:r w:rsidRPr="00FA0D37">
        <w:rPr>
          <w:color w:val="993366"/>
        </w:rPr>
        <w:t>SIZE</w:t>
      </w:r>
      <w:r w:rsidRPr="00FA0D37">
        <w:t xml:space="preserve"> (1..maxMultiBands))</w:t>
      </w:r>
      <w:r w:rsidRPr="00FA0D37">
        <w:rPr>
          <w:color w:val="993366"/>
        </w:rPr>
        <w:t xml:space="preserve"> OF</w:t>
      </w:r>
      <w:r w:rsidRPr="00FA0D37">
        <w:t xml:space="preserve"> FreqBandIndicatorEUTRA</w:t>
      </w:r>
    </w:p>
    <w:p w14:paraId="4BD73CAB" w14:textId="77777777" w:rsidR="00394471" w:rsidRPr="00FA0D37" w:rsidRDefault="00394471" w:rsidP="00FA0D37">
      <w:pPr>
        <w:pStyle w:val="PL"/>
      </w:pPr>
    </w:p>
    <w:p w14:paraId="1B3F4729" w14:textId="77777777" w:rsidR="00394471" w:rsidRPr="00FA0D37" w:rsidRDefault="00394471" w:rsidP="00FA0D37">
      <w:pPr>
        <w:pStyle w:val="PL"/>
      </w:pPr>
      <w:r w:rsidRPr="00FA0D37">
        <w:t xml:space="preserve">MeasQuantityResults ::=                 </w:t>
      </w:r>
      <w:r w:rsidRPr="00FA0D37">
        <w:rPr>
          <w:color w:val="993366"/>
        </w:rPr>
        <w:t>SEQUENCE</w:t>
      </w:r>
      <w:r w:rsidRPr="00FA0D37">
        <w:t xml:space="preserve"> {</w:t>
      </w:r>
    </w:p>
    <w:p w14:paraId="6599BDF8" w14:textId="77777777" w:rsidR="00394471" w:rsidRPr="00FA0D37" w:rsidRDefault="00394471" w:rsidP="00FA0D37">
      <w:pPr>
        <w:pStyle w:val="PL"/>
      </w:pPr>
      <w:r w:rsidRPr="00FA0D37">
        <w:t xml:space="preserve">    rsrp                                    RSRP-Range                                                                  </w:t>
      </w:r>
      <w:r w:rsidRPr="00FA0D37">
        <w:rPr>
          <w:color w:val="993366"/>
        </w:rPr>
        <w:t>OPTIONAL</w:t>
      </w:r>
      <w:r w:rsidRPr="00FA0D37">
        <w:t>,</w:t>
      </w:r>
    </w:p>
    <w:p w14:paraId="5619B746" w14:textId="77777777" w:rsidR="00394471" w:rsidRPr="00FA0D37" w:rsidRDefault="00394471" w:rsidP="00FA0D37">
      <w:pPr>
        <w:pStyle w:val="PL"/>
      </w:pPr>
      <w:r w:rsidRPr="00FA0D37">
        <w:t xml:space="preserve">    rsrq                                    RSRQ-Range                                                                  </w:t>
      </w:r>
      <w:r w:rsidRPr="00FA0D37">
        <w:rPr>
          <w:color w:val="993366"/>
        </w:rPr>
        <w:t>OPTIONAL</w:t>
      </w:r>
      <w:r w:rsidRPr="00FA0D37">
        <w:t>,</w:t>
      </w:r>
    </w:p>
    <w:p w14:paraId="3398CCA6" w14:textId="77777777" w:rsidR="00394471" w:rsidRPr="00FA0D37" w:rsidRDefault="00394471" w:rsidP="00FA0D37">
      <w:pPr>
        <w:pStyle w:val="PL"/>
      </w:pPr>
      <w:r w:rsidRPr="00FA0D37">
        <w:t xml:space="preserve">    sinr                                    SINR-Range                                                                  </w:t>
      </w:r>
      <w:r w:rsidRPr="00FA0D37">
        <w:rPr>
          <w:color w:val="993366"/>
        </w:rPr>
        <w:t>OPTIONAL</w:t>
      </w:r>
    </w:p>
    <w:p w14:paraId="07EFDC71" w14:textId="77777777" w:rsidR="00394471" w:rsidRPr="00FA0D37" w:rsidRDefault="00394471" w:rsidP="00FA0D37">
      <w:pPr>
        <w:pStyle w:val="PL"/>
      </w:pPr>
      <w:r w:rsidRPr="00FA0D37">
        <w:t>}</w:t>
      </w:r>
    </w:p>
    <w:p w14:paraId="17E89041" w14:textId="77777777" w:rsidR="00394471" w:rsidRPr="00FA0D37" w:rsidRDefault="00394471" w:rsidP="00FA0D37">
      <w:pPr>
        <w:pStyle w:val="PL"/>
      </w:pPr>
    </w:p>
    <w:p w14:paraId="4FF2BFBD" w14:textId="77777777" w:rsidR="00394471" w:rsidRPr="00FA0D37" w:rsidRDefault="00394471" w:rsidP="00FA0D37">
      <w:pPr>
        <w:pStyle w:val="PL"/>
      </w:pPr>
      <w:r w:rsidRPr="00FA0D37">
        <w:t xml:space="preserve">MeasQuantityResultsEUTRA ::=            </w:t>
      </w:r>
      <w:r w:rsidRPr="00FA0D37">
        <w:rPr>
          <w:color w:val="993366"/>
        </w:rPr>
        <w:t>SEQUENCE</w:t>
      </w:r>
      <w:r w:rsidRPr="00FA0D37">
        <w:t xml:space="preserve"> {</w:t>
      </w:r>
    </w:p>
    <w:p w14:paraId="2EB2A35B" w14:textId="77777777" w:rsidR="00394471" w:rsidRPr="00FA0D37" w:rsidRDefault="00394471" w:rsidP="00FA0D37">
      <w:pPr>
        <w:pStyle w:val="PL"/>
      </w:pPr>
      <w:r w:rsidRPr="00FA0D37">
        <w:t xml:space="preserve">    rsrp                                    RSRP-RangeEUTRA                                                             </w:t>
      </w:r>
      <w:r w:rsidRPr="00FA0D37">
        <w:rPr>
          <w:color w:val="993366"/>
        </w:rPr>
        <w:t>OPTIONAL</w:t>
      </w:r>
      <w:r w:rsidRPr="00FA0D37">
        <w:t>,</w:t>
      </w:r>
    </w:p>
    <w:p w14:paraId="1631B0E7" w14:textId="77777777" w:rsidR="00394471" w:rsidRPr="00FA0D37" w:rsidRDefault="00394471" w:rsidP="00FA0D37">
      <w:pPr>
        <w:pStyle w:val="PL"/>
      </w:pPr>
      <w:r w:rsidRPr="00FA0D37">
        <w:t xml:space="preserve">    rsrq                                    RSRQ-RangeEUTRA                                                             </w:t>
      </w:r>
      <w:r w:rsidRPr="00FA0D37">
        <w:rPr>
          <w:color w:val="993366"/>
        </w:rPr>
        <w:t>OPTIONAL</w:t>
      </w:r>
      <w:r w:rsidRPr="00FA0D37">
        <w:t>,</w:t>
      </w:r>
    </w:p>
    <w:p w14:paraId="0B5C5567" w14:textId="77777777" w:rsidR="00394471" w:rsidRPr="00FA0D37" w:rsidRDefault="00394471" w:rsidP="00FA0D37">
      <w:pPr>
        <w:pStyle w:val="PL"/>
      </w:pPr>
      <w:r w:rsidRPr="00FA0D37">
        <w:t xml:space="preserve">    sinr                                    SINR-RangeEUTRA                                                             </w:t>
      </w:r>
      <w:r w:rsidRPr="00FA0D37">
        <w:rPr>
          <w:color w:val="993366"/>
        </w:rPr>
        <w:t>OPTIONAL</w:t>
      </w:r>
    </w:p>
    <w:p w14:paraId="70450ED5" w14:textId="77777777" w:rsidR="00394471" w:rsidRPr="00FA0D37" w:rsidRDefault="00394471" w:rsidP="00FA0D37">
      <w:pPr>
        <w:pStyle w:val="PL"/>
      </w:pPr>
      <w:r w:rsidRPr="00FA0D37">
        <w:t>}</w:t>
      </w:r>
    </w:p>
    <w:p w14:paraId="2456E6FC" w14:textId="77777777" w:rsidR="00394471" w:rsidRPr="00FA0D37" w:rsidRDefault="00394471" w:rsidP="00FA0D37">
      <w:pPr>
        <w:pStyle w:val="PL"/>
      </w:pPr>
    </w:p>
    <w:p w14:paraId="34E810B6" w14:textId="77777777" w:rsidR="00394471" w:rsidRPr="00FA0D37" w:rsidRDefault="00394471" w:rsidP="00FA0D37">
      <w:pPr>
        <w:pStyle w:val="PL"/>
      </w:pPr>
      <w:r w:rsidRPr="00FA0D37">
        <w:t xml:space="preserve">ResultsPerSSB-IndexList::=              </w:t>
      </w:r>
      <w:r w:rsidRPr="00FA0D37">
        <w:rPr>
          <w:color w:val="993366"/>
        </w:rPr>
        <w:t>SEQUENCE</w:t>
      </w:r>
      <w:r w:rsidRPr="00FA0D37">
        <w:t xml:space="preserve"> (</w:t>
      </w:r>
      <w:r w:rsidRPr="00FA0D37">
        <w:rPr>
          <w:color w:val="993366"/>
        </w:rPr>
        <w:t>SIZE</w:t>
      </w:r>
      <w:r w:rsidRPr="00FA0D37">
        <w:t xml:space="preserve"> (1..maxNrofIndexesToReport2))</w:t>
      </w:r>
      <w:r w:rsidRPr="00FA0D37">
        <w:rPr>
          <w:color w:val="993366"/>
        </w:rPr>
        <w:t xml:space="preserve"> OF</w:t>
      </w:r>
      <w:r w:rsidRPr="00FA0D37">
        <w:t xml:space="preserve"> ResultsPerSSB-Index</w:t>
      </w:r>
    </w:p>
    <w:p w14:paraId="45D5F4AD" w14:textId="77777777" w:rsidR="00394471" w:rsidRPr="00FA0D37" w:rsidRDefault="00394471" w:rsidP="00FA0D37">
      <w:pPr>
        <w:pStyle w:val="PL"/>
      </w:pPr>
    </w:p>
    <w:p w14:paraId="3C187387" w14:textId="77777777" w:rsidR="00394471" w:rsidRPr="00FA0D37" w:rsidRDefault="00394471" w:rsidP="00FA0D37">
      <w:pPr>
        <w:pStyle w:val="PL"/>
      </w:pPr>
      <w:r w:rsidRPr="00FA0D37">
        <w:t xml:space="preserve">ResultsPerSSB-Index ::=                 </w:t>
      </w:r>
      <w:r w:rsidRPr="00FA0D37">
        <w:rPr>
          <w:color w:val="993366"/>
        </w:rPr>
        <w:t>SEQUENCE</w:t>
      </w:r>
      <w:r w:rsidRPr="00FA0D37">
        <w:t xml:space="preserve"> {</w:t>
      </w:r>
    </w:p>
    <w:p w14:paraId="1114E45A" w14:textId="77777777" w:rsidR="00394471" w:rsidRPr="00FA0D37" w:rsidRDefault="00394471" w:rsidP="00FA0D37">
      <w:pPr>
        <w:pStyle w:val="PL"/>
      </w:pPr>
      <w:r w:rsidRPr="00FA0D37">
        <w:t xml:space="preserve">    ssb-Index                               SSB-Index,</w:t>
      </w:r>
    </w:p>
    <w:p w14:paraId="69891028" w14:textId="77777777" w:rsidR="00394471" w:rsidRPr="00FA0D37" w:rsidRDefault="00394471" w:rsidP="00FA0D37">
      <w:pPr>
        <w:pStyle w:val="PL"/>
      </w:pPr>
      <w:r w:rsidRPr="00FA0D37">
        <w:t xml:space="preserve">    ssb-Results                             MeasQuantityResults                                                         </w:t>
      </w:r>
      <w:r w:rsidRPr="00FA0D37">
        <w:rPr>
          <w:color w:val="993366"/>
        </w:rPr>
        <w:t>OPTIONAL</w:t>
      </w:r>
    </w:p>
    <w:p w14:paraId="4A3DC8F7" w14:textId="77777777" w:rsidR="00394471" w:rsidRPr="00FA0D37" w:rsidRDefault="00394471" w:rsidP="00FA0D37">
      <w:pPr>
        <w:pStyle w:val="PL"/>
      </w:pPr>
      <w:r w:rsidRPr="00FA0D37">
        <w:t>}</w:t>
      </w:r>
    </w:p>
    <w:p w14:paraId="3F537DED" w14:textId="77777777" w:rsidR="00394471" w:rsidRPr="00FA0D37" w:rsidRDefault="00394471" w:rsidP="00FA0D37">
      <w:pPr>
        <w:pStyle w:val="PL"/>
      </w:pPr>
    </w:p>
    <w:p w14:paraId="0112D0E8" w14:textId="77777777" w:rsidR="00394471" w:rsidRPr="00FA0D37" w:rsidRDefault="00394471" w:rsidP="00FA0D37">
      <w:pPr>
        <w:pStyle w:val="PL"/>
      </w:pPr>
      <w:r w:rsidRPr="00FA0D37">
        <w:t xml:space="preserve">ResultsPerCSI-RS-IndexList::=           </w:t>
      </w:r>
      <w:r w:rsidRPr="00FA0D37">
        <w:rPr>
          <w:color w:val="993366"/>
        </w:rPr>
        <w:t>SEQUENCE</w:t>
      </w:r>
      <w:r w:rsidRPr="00FA0D37">
        <w:t xml:space="preserve"> (</w:t>
      </w:r>
      <w:r w:rsidRPr="00FA0D37">
        <w:rPr>
          <w:color w:val="993366"/>
        </w:rPr>
        <w:t>SIZE</w:t>
      </w:r>
      <w:r w:rsidRPr="00FA0D37">
        <w:t xml:space="preserve"> (1..maxNrofIndexesToReport2))</w:t>
      </w:r>
      <w:r w:rsidRPr="00FA0D37">
        <w:rPr>
          <w:color w:val="993366"/>
        </w:rPr>
        <w:t xml:space="preserve"> OF</w:t>
      </w:r>
      <w:r w:rsidRPr="00FA0D37">
        <w:t xml:space="preserve"> ResultsPerCSI-RS-Index</w:t>
      </w:r>
    </w:p>
    <w:p w14:paraId="49E505A9" w14:textId="77777777" w:rsidR="00394471" w:rsidRPr="00FA0D37" w:rsidRDefault="00394471" w:rsidP="00FA0D37">
      <w:pPr>
        <w:pStyle w:val="PL"/>
      </w:pPr>
    </w:p>
    <w:p w14:paraId="7216F2C5" w14:textId="77777777" w:rsidR="00394471" w:rsidRPr="00FA0D37" w:rsidRDefault="00394471" w:rsidP="00FA0D37">
      <w:pPr>
        <w:pStyle w:val="PL"/>
      </w:pPr>
      <w:r w:rsidRPr="00FA0D37">
        <w:t xml:space="preserve">ResultsPerCSI-RS-Index ::=              </w:t>
      </w:r>
      <w:r w:rsidRPr="00FA0D37">
        <w:rPr>
          <w:color w:val="993366"/>
        </w:rPr>
        <w:t>SEQUENCE</w:t>
      </w:r>
      <w:r w:rsidRPr="00FA0D37">
        <w:t xml:space="preserve"> {</w:t>
      </w:r>
    </w:p>
    <w:p w14:paraId="756C54B7" w14:textId="77777777" w:rsidR="00394471" w:rsidRPr="00FA0D37" w:rsidRDefault="00394471" w:rsidP="00FA0D37">
      <w:pPr>
        <w:pStyle w:val="PL"/>
      </w:pPr>
      <w:r w:rsidRPr="00FA0D37">
        <w:t xml:space="preserve">    csi-RS-Index                            CSI-RS-Index,</w:t>
      </w:r>
    </w:p>
    <w:p w14:paraId="57FAF913" w14:textId="77777777" w:rsidR="00394471" w:rsidRPr="00FA0D37" w:rsidRDefault="00394471" w:rsidP="00FA0D37">
      <w:pPr>
        <w:pStyle w:val="PL"/>
      </w:pPr>
      <w:r w:rsidRPr="00FA0D37">
        <w:t xml:space="preserve">    csi-RS-Results                          MeasQuantityResults                                                         </w:t>
      </w:r>
      <w:r w:rsidRPr="00FA0D37">
        <w:rPr>
          <w:color w:val="993366"/>
        </w:rPr>
        <w:t>OPTIONAL</w:t>
      </w:r>
    </w:p>
    <w:p w14:paraId="52322CD6" w14:textId="77777777" w:rsidR="00394471" w:rsidRPr="00FA0D37" w:rsidRDefault="00394471" w:rsidP="00FA0D37">
      <w:pPr>
        <w:pStyle w:val="PL"/>
      </w:pPr>
      <w:r w:rsidRPr="00FA0D37">
        <w:lastRenderedPageBreak/>
        <w:t>}</w:t>
      </w:r>
    </w:p>
    <w:p w14:paraId="69EEECE6" w14:textId="77777777" w:rsidR="00394471" w:rsidRPr="00FA0D37" w:rsidRDefault="00394471" w:rsidP="00FA0D37">
      <w:pPr>
        <w:pStyle w:val="PL"/>
      </w:pPr>
      <w:r w:rsidRPr="00FA0D37">
        <w:t xml:space="preserve">MeasResultServFreqListEUTRA-SCG ::= </w:t>
      </w:r>
      <w:r w:rsidRPr="00FA0D37">
        <w:rPr>
          <w:color w:val="993366"/>
        </w:rPr>
        <w:t>SEQUENCE</w:t>
      </w:r>
      <w:r w:rsidRPr="00FA0D37">
        <w:t xml:space="preserve"> (</w:t>
      </w:r>
      <w:r w:rsidRPr="00FA0D37">
        <w:rPr>
          <w:color w:val="993366"/>
        </w:rPr>
        <w:t>SIZE</w:t>
      </w:r>
      <w:r w:rsidRPr="00FA0D37">
        <w:t xml:space="preserve"> (1..maxNrofServingCellsEUTRA))</w:t>
      </w:r>
      <w:r w:rsidRPr="00FA0D37">
        <w:rPr>
          <w:color w:val="993366"/>
        </w:rPr>
        <w:t xml:space="preserve"> OF</w:t>
      </w:r>
      <w:r w:rsidRPr="00FA0D37">
        <w:t xml:space="preserve"> MeasResult2EUTRA</w:t>
      </w:r>
    </w:p>
    <w:p w14:paraId="0E03279F" w14:textId="77777777" w:rsidR="00394471" w:rsidRPr="00FA0D37" w:rsidRDefault="00394471" w:rsidP="00FA0D37">
      <w:pPr>
        <w:pStyle w:val="PL"/>
      </w:pPr>
    </w:p>
    <w:p w14:paraId="2A13C01A" w14:textId="77777777" w:rsidR="00394471" w:rsidRPr="00FA0D37" w:rsidRDefault="00394471" w:rsidP="00FA0D37">
      <w:pPr>
        <w:pStyle w:val="PL"/>
      </w:pPr>
      <w:r w:rsidRPr="00FA0D37">
        <w:t xml:space="preserve">MeasResultServFreqListNR-SCG ::=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MeasResult2NR</w:t>
      </w:r>
    </w:p>
    <w:p w14:paraId="52BD67E8" w14:textId="77777777" w:rsidR="00394471" w:rsidRPr="00FA0D37" w:rsidRDefault="00394471" w:rsidP="00FA0D37">
      <w:pPr>
        <w:pStyle w:val="PL"/>
      </w:pPr>
    </w:p>
    <w:p w14:paraId="47480D8A" w14:textId="77777777" w:rsidR="00394471" w:rsidRPr="00FA0D37" w:rsidRDefault="00394471" w:rsidP="00FA0D37">
      <w:pPr>
        <w:pStyle w:val="PL"/>
      </w:pPr>
      <w:r w:rsidRPr="00FA0D37">
        <w:t xml:space="preserve">MeasResultListUTRA-FDD-r16 ::=          </w:t>
      </w:r>
      <w:r w:rsidRPr="00FA0D37">
        <w:rPr>
          <w:color w:val="993366"/>
        </w:rPr>
        <w:t>SEQUENCE</w:t>
      </w:r>
      <w:r w:rsidRPr="00FA0D37">
        <w:t xml:space="preserve"> (</w:t>
      </w:r>
      <w:r w:rsidRPr="00FA0D37">
        <w:rPr>
          <w:color w:val="993366"/>
        </w:rPr>
        <w:t>SIZE</w:t>
      </w:r>
      <w:r w:rsidRPr="00FA0D37">
        <w:t xml:space="preserve"> (1..maxCellReport))</w:t>
      </w:r>
      <w:r w:rsidRPr="00FA0D37">
        <w:rPr>
          <w:color w:val="993366"/>
        </w:rPr>
        <w:t xml:space="preserve"> OF</w:t>
      </w:r>
      <w:r w:rsidRPr="00FA0D37">
        <w:t xml:space="preserve"> MeasResultUTRA-FDD-r16</w:t>
      </w:r>
    </w:p>
    <w:p w14:paraId="323C544E" w14:textId="77777777" w:rsidR="00394471" w:rsidRPr="00FA0D37" w:rsidRDefault="00394471" w:rsidP="00FA0D37">
      <w:pPr>
        <w:pStyle w:val="PL"/>
      </w:pPr>
    </w:p>
    <w:p w14:paraId="4F7B00C3" w14:textId="77777777" w:rsidR="00394471" w:rsidRPr="00FA0D37" w:rsidRDefault="00394471" w:rsidP="00FA0D37">
      <w:pPr>
        <w:pStyle w:val="PL"/>
      </w:pPr>
      <w:r w:rsidRPr="00FA0D37">
        <w:t xml:space="preserve">MeasResultUTRA-FDD-r16 ::=              </w:t>
      </w:r>
      <w:r w:rsidRPr="00FA0D37">
        <w:rPr>
          <w:color w:val="993366"/>
        </w:rPr>
        <w:t>SEQUENCE</w:t>
      </w:r>
      <w:r w:rsidRPr="00FA0D37">
        <w:t xml:space="preserve"> {</w:t>
      </w:r>
    </w:p>
    <w:p w14:paraId="3CD91D2B" w14:textId="77777777" w:rsidR="00394471" w:rsidRPr="00FA0D37" w:rsidRDefault="00394471" w:rsidP="00FA0D37">
      <w:pPr>
        <w:pStyle w:val="PL"/>
      </w:pPr>
      <w:r w:rsidRPr="00FA0D37">
        <w:t xml:space="preserve">    physCellId-r16                          PhysCellIdUTRA-FDD-r16,</w:t>
      </w:r>
    </w:p>
    <w:p w14:paraId="7040DCC6" w14:textId="77777777" w:rsidR="00394471" w:rsidRPr="00FA0D37" w:rsidRDefault="00394471" w:rsidP="00FA0D37">
      <w:pPr>
        <w:pStyle w:val="PL"/>
      </w:pPr>
      <w:r w:rsidRPr="00FA0D37">
        <w:t xml:space="preserve">    measResult-r16                          </w:t>
      </w:r>
      <w:r w:rsidRPr="00FA0D37">
        <w:rPr>
          <w:color w:val="993366"/>
        </w:rPr>
        <w:t>SEQUENCE</w:t>
      </w:r>
      <w:r w:rsidRPr="00FA0D37">
        <w:t xml:space="preserve"> {</w:t>
      </w:r>
    </w:p>
    <w:p w14:paraId="03629630" w14:textId="77777777" w:rsidR="00394471" w:rsidRPr="00FA0D37" w:rsidRDefault="00394471" w:rsidP="00FA0D37">
      <w:pPr>
        <w:pStyle w:val="PL"/>
      </w:pPr>
      <w:r w:rsidRPr="00FA0D37">
        <w:t xml:space="preserve">        utra-FDD-RSCP-r16                       </w:t>
      </w:r>
      <w:r w:rsidRPr="00FA0D37">
        <w:rPr>
          <w:color w:val="993366"/>
        </w:rPr>
        <w:t>INTEGER</w:t>
      </w:r>
      <w:r w:rsidRPr="00FA0D37">
        <w:t xml:space="preserve"> (-5..91)          </w:t>
      </w:r>
      <w:r w:rsidRPr="00FA0D37">
        <w:rPr>
          <w:color w:val="993366"/>
        </w:rPr>
        <w:t>OPTIONAL</w:t>
      </w:r>
      <w:r w:rsidRPr="00FA0D37">
        <w:t>,</w:t>
      </w:r>
    </w:p>
    <w:p w14:paraId="78286575" w14:textId="77777777" w:rsidR="00394471" w:rsidRPr="00FA0D37" w:rsidRDefault="00394471" w:rsidP="00FA0D37">
      <w:pPr>
        <w:pStyle w:val="PL"/>
      </w:pPr>
      <w:r w:rsidRPr="00FA0D37">
        <w:t xml:space="preserve">        utra-FDD-EcN0-r16                       </w:t>
      </w:r>
      <w:r w:rsidRPr="00FA0D37">
        <w:rPr>
          <w:color w:val="993366"/>
        </w:rPr>
        <w:t>INTEGER</w:t>
      </w:r>
      <w:r w:rsidRPr="00FA0D37">
        <w:t xml:space="preserve"> (0..49)           </w:t>
      </w:r>
      <w:r w:rsidRPr="00FA0D37">
        <w:rPr>
          <w:color w:val="993366"/>
        </w:rPr>
        <w:t>OPTIONAL</w:t>
      </w:r>
    </w:p>
    <w:p w14:paraId="40C93848" w14:textId="77777777" w:rsidR="00394471" w:rsidRPr="00FA0D37" w:rsidRDefault="00394471" w:rsidP="00FA0D37">
      <w:pPr>
        <w:pStyle w:val="PL"/>
      </w:pPr>
      <w:r w:rsidRPr="00FA0D37">
        <w:t xml:space="preserve">    }</w:t>
      </w:r>
    </w:p>
    <w:p w14:paraId="028108E3" w14:textId="77777777" w:rsidR="00394471" w:rsidRPr="00FA0D37" w:rsidRDefault="00394471" w:rsidP="00FA0D37">
      <w:pPr>
        <w:pStyle w:val="PL"/>
      </w:pPr>
      <w:r w:rsidRPr="00FA0D37">
        <w:t>}</w:t>
      </w:r>
    </w:p>
    <w:p w14:paraId="2B3EA111" w14:textId="77777777" w:rsidR="00394471" w:rsidRPr="00FA0D37" w:rsidRDefault="00394471" w:rsidP="00FA0D37">
      <w:pPr>
        <w:pStyle w:val="PL"/>
      </w:pPr>
    </w:p>
    <w:p w14:paraId="1CB5D04A" w14:textId="77777777" w:rsidR="00394471" w:rsidRPr="00FA0D37" w:rsidRDefault="00394471" w:rsidP="00FA0D37">
      <w:pPr>
        <w:pStyle w:val="PL"/>
      </w:pPr>
      <w:r w:rsidRPr="00FA0D37">
        <w:t xml:space="preserve">MeasResultForRSSI-r16 ::=        </w:t>
      </w:r>
      <w:r w:rsidRPr="00FA0D37">
        <w:rPr>
          <w:color w:val="993366"/>
        </w:rPr>
        <w:t>SEQUENCE</w:t>
      </w:r>
      <w:r w:rsidRPr="00FA0D37">
        <w:t xml:space="preserve"> {</w:t>
      </w:r>
    </w:p>
    <w:p w14:paraId="06045977" w14:textId="77777777" w:rsidR="00394471" w:rsidRPr="00FA0D37" w:rsidRDefault="00394471" w:rsidP="00FA0D37">
      <w:pPr>
        <w:pStyle w:val="PL"/>
      </w:pPr>
      <w:r w:rsidRPr="00FA0D37">
        <w:t xml:space="preserve">    rssi-Result-r16                  RSSI-Range-r16,</w:t>
      </w:r>
    </w:p>
    <w:p w14:paraId="6FE8CEA5" w14:textId="77777777" w:rsidR="00394471" w:rsidRPr="00FA0D37" w:rsidRDefault="00394471" w:rsidP="00FA0D37">
      <w:pPr>
        <w:pStyle w:val="PL"/>
      </w:pPr>
      <w:r w:rsidRPr="00FA0D37">
        <w:t xml:space="preserve">    channelOccupancy-r16             </w:t>
      </w:r>
      <w:r w:rsidRPr="00FA0D37">
        <w:rPr>
          <w:color w:val="993366"/>
        </w:rPr>
        <w:t>INTEGER</w:t>
      </w:r>
      <w:r w:rsidRPr="00FA0D37">
        <w:t xml:space="preserve"> (0..100)</w:t>
      </w:r>
    </w:p>
    <w:p w14:paraId="514C746B" w14:textId="77777777" w:rsidR="00394471" w:rsidRPr="00FA0D37" w:rsidRDefault="00394471" w:rsidP="00FA0D37">
      <w:pPr>
        <w:pStyle w:val="PL"/>
      </w:pPr>
      <w:r w:rsidRPr="00FA0D37">
        <w:t>}</w:t>
      </w:r>
    </w:p>
    <w:p w14:paraId="7D1B1D09" w14:textId="77777777" w:rsidR="00394471" w:rsidRPr="00FA0D37" w:rsidRDefault="00394471" w:rsidP="00FA0D37">
      <w:pPr>
        <w:pStyle w:val="PL"/>
      </w:pPr>
    </w:p>
    <w:p w14:paraId="1435DF41" w14:textId="77777777" w:rsidR="00394471" w:rsidRPr="00FA0D37" w:rsidRDefault="00394471" w:rsidP="00FA0D37">
      <w:pPr>
        <w:pStyle w:val="PL"/>
      </w:pPr>
      <w:r w:rsidRPr="00FA0D37">
        <w:t xml:space="preserve">MeasResultCLI-r16 ::=            </w:t>
      </w:r>
      <w:r w:rsidRPr="00FA0D37">
        <w:rPr>
          <w:color w:val="993366"/>
        </w:rPr>
        <w:t>SEQUENCE</w:t>
      </w:r>
      <w:r w:rsidRPr="00FA0D37">
        <w:t xml:space="preserve"> {</w:t>
      </w:r>
    </w:p>
    <w:p w14:paraId="71C27330" w14:textId="77777777" w:rsidR="00394471" w:rsidRPr="00FA0D37" w:rsidRDefault="00394471" w:rsidP="00FA0D37">
      <w:pPr>
        <w:pStyle w:val="PL"/>
      </w:pPr>
      <w:r w:rsidRPr="00FA0D37">
        <w:t xml:space="preserve">    measResultListSRS-RSRP-r16       MeasResultListSRS-RSRP-r16                                                         </w:t>
      </w:r>
      <w:r w:rsidRPr="00FA0D37">
        <w:rPr>
          <w:color w:val="993366"/>
        </w:rPr>
        <w:t>OPTIONAL</w:t>
      </w:r>
      <w:r w:rsidRPr="00FA0D37">
        <w:t>,</w:t>
      </w:r>
    </w:p>
    <w:p w14:paraId="4BC9E994" w14:textId="77777777" w:rsidR="00394471" w:rsidRPr="00FA0D37" w:rsidRDefault="00394471" w:rsidP="00FA0D37">
      <w:pPr>
        <w:pStyle w:val="PL"/>
      </w:pPr>
      <w:r w:rsidRPr="00FA0D37">
        <w:t xml:space="preserve">    measResultListCLI-RSSI-r16       MeasResultListCLI-RSSI-r16                                                         </w:t>
      </w:r>
      <w:r w:rsidRPr="00FA0D37">
        <w:rPr>
          <w:color w:val="993366"/>
        </w:rPr>
        <w:t>OPTIONAL</w:t>
      </w:r>
    </w:p>
    <w:p w14:paraId="1C12B766" w14:textId="77777777" w:rsidR="00394471" w:rsidRPr="00FA0D37" w:rsidRDefault="00394471" w:rsidP="00FA0D37">
      <w:pPr>
        <w:pStyle w:val="PL"/>
      </w:pPr>
      <w:r w:rsidRPr="00FA0D37">
        <w:t>}</w:t>
      </w:r>
    </w:p>
    <w:p w14:paraId="1512755C" w14:textId="77777777" w:rsidR="00394471" w:rsidRPr="00FA0D37" w:rsidRDefault="00394471" w:rsidP="00FA0D37">
      <w:pPr>
        <w:pStyle w:val="PL"/>
      </w:pPr>
    </w:p>
    <w:p w14:paraId="002D11D5" w14:textId="77777777" w:rsidR="00394471" w:rsidRPr="00FA0D37" w:rsidRDefault="00394471" w:rsidP="00FA0D37">
      <w:pPr>
        <w:pStyle w:val="PL"/>
      </w:pPr>
      <w:r w:rsidRPr="00FA0D37">
        <w:t xml:space="preserve">MeasResultListSRS-RSRP-r16 ::=   </w:t>
      </w:r>
      <w:r w:rsidRPr="00FA0D37">
        <w:rPr>
          <w:color w:val="993366"/>
        </w:rPr>
        <w:t>SEQUENCE</w:t>
      </w:r>
      <w:r w:rsidRPr="00FA0D37">
        <w:t xml:space="preserve"> (</w:t>
      </w:r>
      <w:r w:rsidRPr="00FA0D37">
        <w:rPr>
          <w:color w:val="993366"/>
        </w:rPr>
        <w:t>SIZE</w:t>
      </w:r>
      <w:r w:rsidRPr="00FA0D37">
        <w:t xml:space="preserve"> (1.. maxCLI-Report-r16))</w:t>
      </w:r>
      <w:r w:rsidRPr="00FA0D37">
        <w:rPr>
          <w:color w:val="993366"/>
        </w:rPr>
        <w:t xml:space="preserve"> OF</w:t>
      </w:r>
      <w:r w:rsidRPr="00FA0D37">
        <w:t xml:space="preserve"> MeasResultSRS-RSRP-r16</w:t>
      </w:r>
    </w:p>
    <w:p w14:paraId="5C11CFD3" w14:textId="77777777" w:rsidR="00394471" w:rsidRPr="00FA0D37" w:rsidRDefault="00394471" w:rsidP="00FA0D37">
      <w:pPr>
        <w:pStyle w:val="PL"/>
      </w:pPr>
    </w:p>
    <w:p w14:paraId="325EBB61" w14:textId="77777777" w:rsidR="00394471" w:rsidRPr="00FA0D37" w:rsidRDefault="00394471" w:rsidP="00FA0D37">
      <w:pPr>
        <w:pStyle w:val="PL"/>
      </w:pPr>
      <w:r w:rsidRPr="00FA0D37">
        <w:t xml:space="preserve">MeasResultSRS-RSRP-r16 ::=       </w:t>
      </w:r>
      <w:r w:rsidRPr="00FA0D37">
        <w:rPr>
          <w:color w:val="993366"/>
        </w:rPr>
        <w:t>SEQUENCE</w:t>
      </w:r>
      <w:r w:rsidRPr="00FA0D37">
        <w:t xml:space="preserve"> {</w:t>
      </w:r>
    </w:p>
    <w:p w14:paraId="77474569" w14:textId="77777777" w:rsidR="00394471" w:rsidRPr="00FA0D37" w:rsidRDefault="00394471" w:rsidP="00FA0D37">
      <w:pPr>
        <w:pStyle w:val="PL"/>
      </w:pPr>
      <w:r w:rsidRPr="00FA0D37">
        <w:t xml:space="preserve">    srs-ResourceId-r16               SRS-ResourceId,</w:t>
      </w:r>
    </w:p>
    <w:p w14:paraId="043ED0CC" w14:textId="77777777" w:rsidR="00394471" w:rsidRPr="00FA0D37" w:rsidRDefault="00394471" w:rsidP="00FA0D37">
      <w:pPr>
        <w:pStyle w:val="PL"/>
      </w:pPr>
      <w:r w:rsidRPr="00FA0D37">
        <w:t xml:space="preserve">    srs-RSRP-Result-r16              SRS-RSRP-Range-r16</w:t>
      </w:r>
    </w:p>
    <w:p w14:paraId="78DCDB20" w14:textId="77777777" w:rsidR="00394471" w:rsidRPr="00FA0D37" w:rsidRDefault="00394471" w:rsidP="00FA0D37">
      <w:pPr>
        <w:pStyle w:val="PL"/>
      </w:pPr>
      <w:r w:rsidRPr="00FA0D37">
        <w:t>}</w:t>
      </w:r>
    </w:p>
    <w:p w14:paraId="4BCF6398" w14:textId="77777777" w:rsidR="00394471" w:rsidRPr="00FA0D37" w:rsidRDefault="00394471" w:rsidP="00FA0D37">
      <w:pPr>
        <w:pStyle w:val="PL"/>
      </w:pPr>
    </w:p>
    <w:p w14:paraId="6E2C998E" w14:textId="77777777" w:rsidR="00394471" w:rsidRPr="00FA0D37" w:rsidRDefault="00394471" w:rsidP="00FA0D37">
      <w:pPr>
        <w:pStyle w:val="PL"/>
      </w:pPr>
      <w:r w:rsidRPr="00FA0D37">
        <w:t xml:space="preserve">MeasResultListCLI-RSSI-r16 ::=   </w:t>
      </w:r>
      <w:r w:rsidRPr="00FA0D37">
        <w:rPr>
          <w:color w:val="993366"/>
        </w:rPr>
        <w:t>SEQUENCE</w:t>
      </w:r>
      <w:r w:rsidRPr="00FA0D37">
        <w:t xml:space="preserve"> (</w:t>
      </w:r>
      <w:r w:rsidRPr="00FA0D37">
        <w:rPr>
          <w:color w:val="993366"/>
        </w:rPr>
        <w:t>SIZE</w:t>
      </w:r>
      <w:r w:rsidRPr="00FA0D37">
        <w:t xml:space="preserve"> (1.. maxCLI-Report-r16))</w:t>
      </w:r>
      <w:r w:rsidRPr="00FA0D37">
        <w:rPr>
          <w:color w:val="993366"/>
        </w:rPr>
        <w:t xml:space="preserve"> OF</w:t>
      </w:r>
      <w:r w:rsidRPr="00FA0D37">
        <w:t xml:space="preserve"> MeasResultCLI-RSSI-r16</w:t>
      </w:r>
    </w:p>
    <w:p w14:paraId="400BC689" w14:textId="77777777" w:rsidR="00394471" w:rsidRPr="00FA0D37" w:rsidRDefault="00394471" w:rsidP="00FA0D37">
      <w:pPr>
        <w:pStyle w:val="PL"/>
      </w:pPr>
    </w:p>
    <w:p w14:paraId="1ECC499E" w14:textId="77777777" w:rsidR="00394471" w:rsidRPr="00FA0D37" w:rsidRDefault="00394471" w:rsidP="00FA0D37">
      <w:pPr>
        <w:pStyle w:val="PL"/>
      </w:pPr>
      <w:r w:rsidRPr="00FA0D37">
        <w:t xml:space="preserve">MeasResultCLI-RSSI-r16 ::=       </w:t>
      </w:r>
      <w:r w:rsidRPr="00FA0D37">
        <w:rPr>
          <w:color w:val="993366"/>
        </w:rPr>
        <w:t>SEQUENCE</w:t>
      </w:r>
      <w:r w:rsidRPr="00FA0D37">
        <w:t xml:space="preserve"> {</w:t>
      </w:r>
    </w:p>
    <w:p w14:paraId="1E30EFB1" w14:textId="77777777" w:rsidR="00394471" w:rsidRPr="00FA0D37" w:rsidRDefault="00394471" w:rsidP="00FA0D37">
      <w:pPr>
        <w:pStyle w:val="PL"/>
      </w:pPr>
      <w:r w:rsidRPr="00FA0D37">
        <w:t xml:space="preserve">    rssi-ResourceId-r16              RSSI-ResourceId-r16,</w:t>
      </w:r>
    </w:p>
    <w:p w14:paraId="5668231B" w14:textId="77777777" w:rsidR="00394471" w:rsidRPr="00FA0D37" w:rsidRDefault="00394471" w:rsidP="00FA0D37">
      <w:pPr>
        <w:pStyle w:val="PL"/>
      </w:pPr>
      <w:r w:rsidRPr="00FA0D37">
        <w:t xml:space="preserve">    cli-RSSI-Result-r16              CLI-RSSI-Range-r16</w:t>
      </w:r>
    </w:p>
    <w:p w14:paraId="7417996C" w14:textId="77777777" w:rsidR="00394471" w:rsidRPr="00FA0D37" w:rsidRDefault="00394471" w:rsidP="00FA0D37">
      <w:pPr>
        <w:pStyle w:val="PL"/>
      </w:pPr>
      <w:r w:rsidRPr="00FA0D37">
        <w:t>}</w:t>
      </w:r>
    </w:p>
    <w:p w14:paraId="4865C38A" w14:textId="77777777" w:rsidR="00394471" w:rsidRPr="00FA0D37" w:rsidRDefault="00394471" w:rsidP="00FA0D37">
      <w:pPr>
        <w:pStyle w:val="PL"/>
      </w:pPr>
    </w:p>
    <w:p w14:paraId="030B4FFD" w14:textId="77777777" w:rsidR="00394471" w:rsidRPr="00FA0D37" w:rsidRDefault="00394471" w:rsidP="00FA0D37">
      <w:pPr>
        <w:pStyle w:val="PL"/>
      </w:pPr>
      <w:r w:rsidRPr="00FA0D37">
        <w:t xml:space="preserve">UL-PDCP-DelayValueResultList-r16 ::= </w:t>
      </w:r>
      <w:r w:rsidRPr="00FA0D37">
        <w:rPr>
          <w:color w:val="993366"/>
        </w:rPr>
        <w:t>SEQUENCE</w:t>
      </w:r>
      <w:r w:rsidRPr="00FA0D37">
        <w:t xml:space="preserve"> (</w:t>
      </w:r>
      <w:r w:rsidRPr="00FA0D37">
        <w:rPr>
          <w:color w:val="993366"/>
        </w:rPr>
        <w:t>SIZE</w:t>
      </w:r>
      <w:r w:rsidRPr="00FA0D37">
        <w:t xml:space="preserve"> (1..maxDRB))</w:t>
      </w:r>
      <w:r w:rsidRPr="00FA0D37">
        <w:rPr>
          <w:color w:val="993366"/>
        </w:rPr>
        <w:t xml:space="preserve"> OF</w:t>
      </w:r>
      <w:r w:rsidRPr="00FA0D37">
        <w:t xml:space="preserve"> UL-PDCP-DelayValueResult-r16</w:t>
      </w:r>
    </w:p>
    <w:p w14:paraId="640861FE" w14:textId="77777777" w:rsidR="00394471" w:rsidRPr="00FA0D37" w:rsidRDefault="00394471" w:rsidP="00FA0D37">
      <w:pPr>
        <w:pStyle w:val="PL"/>
      </w:pPr>
    </w:p>
    <w:p w14:paraId="30A43940" w14:textId="77777777" w:rsidR="00394471" w:rsidRPr="00FA0D37" w:rsidRDefault="00394471" w:rsidP="00FA0D37">
      <w:pPr>
        <w:pStyle w:val="PL"/>
      </w:pPr>
      <w:r w:rsidRPr="00FA0D37">
        <w:t xml:space="preserve">UL-PDCP-DelayValueResult-r16 ::= </w:t>
      </w:r>
      <w:r w:rsidRPr="00FA0D37">
        <w:rPr>
          <w:color w:val="993366"/>
        </w:rPr>
        <w:t>SEQUENCE</w:t>
      </w:r>
      <w:r w:rsidRPr="00FA0D37">
        <w:t xml:space="preserve"> {</w:t>
      </w:r>
    </w:p>
    <w:p w14:paraId="27350CEA" w14:textId="77777777" w:rsidR="00394471" w:rsidRPr="00FA0D37" w:rsidRDefault="00394471" w:rsidP="00FA0D37">
      <w:pPr>
        <w:pStyle w:val="PL"/>
      </w:pPr>
      <w:r w:rsidRPr="00FA0D37">
        <w:t xml:space="preserve">    drb-Id-r16                       DRB-Identity,</w:t>
      </w:r>
    </w:p>
    <w:p w14:paraId="393D3D7B" w14:textId="77777777" w:rsidR="00394471" w:rsidRPr="00FA0D37" w:rsidRDefault="00394471" w:rsidP="00FA0D37">
      <w:pPr>
        <w:pStyle w:val="PL"/>
      </w:pPr>
      <w:r w:rsidRPr="00FA0D37">
        <w:t xml:space="preserve">    averageDelay-r16                 </w:t>
      </w:r>
      <w:r w:rsidRPr="00FA0D37">
        <w:rPr>
          <w:color w:val="993366"/>
        </w:rPr>
        <w:t>INTEGER</w:t>
      </w:r>
      <w:r w:rsidRPr="00FA0D37">
        <w:t xml:space="preserve"> (0..10000),</w:t>
      </w:r>
    </w:p>
    <w:p w14:paraId="7D6C74AB" w14:textId="77777777" w:rsidR="00394471" w:rsidRPr="00FA0D37" w:rsidRDefault="00394471" w:rsidP="00FA0D37">
      <w:pPr>
        <w:pStyle w:val="PL"/>
      </w:pPr>
      <w:r w:rsidRPr="00FA0D37">
        <w:t xml:space="preserve">    ...</w:t>
      </w:r>
    </w:p>
    <w:p w14:paraId="44C4ADEB" w14:textId="77777777" w:rsidR="00394471" w:rsidRPr="00FA0D37" w:rsidRDefault="00394471" w:rsidP="00FA0D37">
      <w:pPr>
        <w:pStyle w:val="PL"/>
      </w:pPr>
      <w:r w:rsidRPr="00FA0D37">
        <w:t>}</w:t>
      </w:r>
    </w:p>
    <w:p w14:paraId="49CB0A1E" w14:textId="77777777" w:rsidR="00E84B6D" w:rsidRPr="00FA0D37" w:rsidRDefault="00E84B6D" w:rsidP="00FA0D37">
      <w:pPr>
        <w:pStyle w:val="PL"/>
      </w:pPr>
    </w:p>
    <w:p w14:paraId="305795B7" w14:textId="18C49D16" w:rsidR="00E84B6D" w:rsidRPr="00FA0D37" w:rsidRDefault="00E84B6D" w:rsidP="00FA0D37">
      <w:pPr>
        <w:pStyle w:val="PL"/>
      </w:pPr>
      <w:r w:rsidRPr="00FA0D37">
        <w:t xml:space="preserve">UL-PDCP-ExcessDelayResultList-r17 ::= </w:t>
      </w:r>
      <w:r w:rsidRPr="00FA0D37">
        <w:rPr>
          <w:color w:val="993366"/>
        </w:rPr>
        <w:t>SEQUENCE</w:t>
      </w:r>
      <w:r w:rsidRPr="00FA0D37">
        <w:t xml:space="preserve"> (</w:t>
      </w:r>
      <w:r w:rsidRPr="00FA0D37">
        <w:rPr>
          <w:color w:val="993366"/>
        </w:rPr>
        <w:t>SIZE</w:t>
      </w:r>
      <w:r w:rsidRPr="00FA0D37">
        <w:t xml:space="preserve"> (1..maxDRB))</w:t>
      </w:r>
      <w:r w:rsidRPr="00FA0D37">
        <w:rPr>
          <w:color w:val="993366"/>
        </w:rPr>
        <w:t xml:space="preserve"> OF</w:t>
      </w:r>
      <w:r w:rsidRPr="00FA0D37">
        <w:t xml:space="preserve"> UL-PDCP-ExcessDelayResult-r17</w:t>
      </w:r>
    </w:p>
    <w:p w14:paraId="2B1761A0" w14:textId="77777777" w:rsidR="00E84B6D" w:rsidRPr="00FA0D37" w:rsidRDefault="00E84B6D" w:rsidP="00FA0D37">
      <w:pPr>
        <w:pStyle w:val="PL"/>
      </w:pPr>
    </w:p>
    <w:p w14:paraId="3B09104A" w14:textId="77777777" w:rsidR="00E84B6D" w:rsidRPr="00FA0D37" w:rsidRDefault="00E84B6D" w:rsidP="00FA0D37">
      <w:pPr>
        <w:pStyle w:val="PL"/>
      </w:pPr>
      <w:r w:rsidRPr="00FA0D37">
        <w:t xml:space="preserve">UL-PDCP-ExcessDelayResult-r17 ::= </w:t>
      </w:r>
      <w:r w:rsidRPr="00FA0D37">
        <w:rPr>
          <w:color w:val="993366"/>
        </w:rPr>
        <w:t>SEQUENCE</w:t>
      </w:r>
      <w:r w:rsidRPr="00FA0D37">
        <w:t xml:space="preserve"> {</w:t>
      </w:r>
    </w:p>
    <w:p w14:paraId="65C2C690" w14:textId="30FCE6D2" w:rsidR="00E84B6D" w:rsidRPr="00FA0D37" w:rsidRDefault="00E84B6D" w:rsidP="00FA0D37">
      <w:pPr>
        <w:pStyle w:val="PL"/>
      </w:pPr>
      <w:r w:rsidRPr="00FA0D37">
        <w:t xml:space="preserve">    drb-Id-r17                        DRB-Identity,</w:t>
      </w:r>
    </w:p>
    <w:p w14:paraId="7C4880CA" w14:textId="082A7E3A" w:rsidR="00E84B6D" w:rsidRPr="00FA0D37" w:rsidRDefault="00E84B6D" w:rsidP="00FA0D37">
      <w:pPr>
        <w:pStyle w:val="PL"/>
      </w:pPr>
      <w:r w:rsidRPr="00FA0D37">
        <w:lastRenderedPageBreak/>
        <w:t xml:space="preserve">    excessDelay-r17                   </w:t>
      </w:r>
      <w:r w:rsidRPr="00FA0D37">
        <w:rPr>
          <w:color w:val="993366"/>
        </w:rPr>
        <w:t>INTEGER</w:t>
      </w:r>
      <w:r w:rsidRPr="00FA0D37">
        <w:t xml:space="preserve"> (0..31),</w:t>
      </w:r>
    </w:p>
    <w:p w14:paraId="0481B69A" w14:textId="77777777" w:rsidR="00E84B6D" w:rsidRPr="00FA0D37" w:rsidRDefault="00E84B6D" w:rsidP="00FA0D37">
      <w:pPr>
        <w:pStyle w:val="PL"/>
      </w:pPr>
      <w:r w:rsidRPr="00FA0D37">
        <w:t xml:space="preserve">    ...</w:t>
      </w:r>
    </w:p>
    <w:p w14:paraId="7F46F71A" w14:textId="77777777" w:rsidR="00E84B6D" w:rsidRPr="00FA0D37" w:rsidRDefault="00E84B6D" w:rsidP="00FA0D37">
      <w:pPr>
        <w:pStyle w:val="PL"/>
      </w:pPr>
      <w:r w:rsidRPr="00FA0D37">
        <w:t>}</w:t>
      </w:r>
    </w:p>
    <w:p w14:paraId="0C5D0905" w14:textId="77777777" w:rsidR="00E84B6D" w:rsidRPr="00FA0D37" w:rsidRDefault="00E84B6D" w:rsidP="00FA0D37">
      <w:pPr>
        <w:pStyle w:val="PL"/>
      </w:pPr>
    </w:p>
    <w:p w14:paraId="682FC64D" w14:textId="77777777" w:rsidR="00E84B6D" w:rsidRPr="00FA0D37" w:rsidRDefault="00E84B6D" w:rsidP="00FA0D37">
      <w:pPr>
        <w:pStyle w:val="PL"/>
      </w:pPr>
      <w:r w:rsidRPr="00FA0D37">
        <w:t xml:space="preserve">TimeBetweenEvent-r17 ::= </w:t>
      </w:r>
      <w:r w:rsidRPr="00FA0D37">
        <w:rPr>
          <w:color w:val="993366"/>
        </w:rPr>
        <w:t>INTEGER</w:t>
      </w:r>
      <w:r w:rsidRPr="00FA0D37">
        <w:t xml:space="preserve"> (0..1023)</w:t>
      </w:r>
    </w:p>
    <w:p w14:paraId="4850FC7E" w14:textId="77777777" w:rsidR="00394471" w:rsidRPr="00FA0D37" w:rsidRDefault="00394471" w:rsidP="00FA0D37">
      <w:pPr>
        <w:pStyle w:val="PL"/>
      </w:pPr>
    </w:p>
    <w:p w14:paraId="65F34BBB" w14:textId="77777777" w:rsidR="00394471" w:rsidRPr="00FA0D37" w:rsidRDefault="00394471" w:rsidP="00FA0D37">
      <w:pPr>
        <w:pStyle w:val="PL"/>
        <w:rPr>
          <w:color w:val="808080"/>
        </w:rPr>
      </w:pPr>
      <w:r w:rsidRPr="00FA0D37">
        <w:rPr>
          <w:color w:val="808080"/>
        </w:rPr>
        <w:t>-- TAG-MEASRESULTS-STOP</w:t>
      </w:r>
    </w:p>
    <w:p w14:paraId="41AD3C98" w14:textId="77777777" w:rsidR="00394471" w:rsidRPr="00FA0D37" w:rsidRDefault="00394471" w:rsidP="00FA0D37">
      <w:pPr>
        <w:pStyle w:val="PL"/>
        <w:rPr>
          <w:color w:val="808080"/>
        </w:rPr>
      </w:pPr>
      <w:r w:rsidRPr="00FA0D37">
        <w:rPr>
          <w:color w:val="808080"/>
        </w:rPr>
        <w:t>-- ASN1STOP</w:t>
      </w:r>
    </w:p>
    <w:p w14:paraId="2DFA702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FA0D37" w:rsidRDefault="00394471" w:rsidP="00964CC4">
            <w:pPr>
              <w:pStyle w:val="TAH"/>
              <w:rPr>
                <w:szCs w:val="22"/>
                <w:lang w:eastAsia="sv-SE"/>
              </w:rPr>
            </w:pPr>
            <w:r w:rsidRPr="00FA0D37">
              <w:rPr>
                <w:i/>
                <w:szCs w:val="22"/>
                <w:lang w:eastAsia="sv-SE"/>
              </w:rPr>
              <w:t xml:space="preserve">MeasResultEUTRA </w:t>
            </w:r>
            <w:r w:rsidRPr="00FA0D37">
              <w:rPr>
                <w:szCs w:val="22"/>
                <w:lang w:eastAsia="sv-SE"/>
              </w:rPr>
              <w:t>field descriptions</w:t>
            </w:r>
          </w:p>
        </w:tc>
      </w:tr>
      <w:tr w:rsidR="00394471" w:rsidRPr="00FA0D37"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FA0D37" w:rsidRDefault="00394471" w:rsidP="00964CC4">
            <w:pPr>
              <w:pStyle w:val="TAL"/>
              <w:rPr>
                <w:b/>
                <w:i/>
                <w:szCs w:val="22"/>
                <w:lang w:eastAsia="sv-SE"/>
              </w:rPr>
            </w:pPr>
            <w:r w:rsidRPr="00FA0D37">
              <w:rPr>
                <w:b/>
                <w:i/>
                <w:szCs w:val="22"/>
                <w:lang w:eastAsia="sv-SE"/>
              </w:rPr>
              <w:t>eutra-PhysCellId</w:t>
            </w:r>
          </w:p>
          <w:p w14:paraId="0CD09ED1" w14:textId="77777777" w:rsidR="00394471" w:rsidRPr="00FA0D37" w:rsidRDefault="00394471" w:rsidP="00964CC4">
            <w:pPr>
              <w:pStyle w:val="TAL"/>
              <w:rPr>
                <w:b/>
                <w:i/>
                <w:szCs w:val="22"/>
                <w:lang w:eastAsia="sv-SE"/>
              </w:rPr>
            </w:pPr>
            <w:r w:rsidRPr="00FA0D37">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FA0D37" w:rsidRDefault="00394471" w:rsidP="00964CC4">
            <w:pPr>
              <w:pStyle w:val="TAH"/>
              <w:rPr>
                <w:i/>
                <w:lang w:eastAsia="sv-SE"/>
              </w:rPr>
            </w:pPr>
            <w:r w:rsidRPr="00FA0D37">
              <w:rPr>
                <w:i/>
                <w:lang w:eastAsia="sv-SE"/>
              </w:rPr>
              <w:lastRenderedPageBreak/>
              <w:t xml:space="preserve">MeasResultNR </w:t>
            </w:r>
            <w:r w:rsidRPr="00FA0D37">
              <w:rPr>
                <w:lang w:eastAsia="sv-SE"/>
              </w:rPr>
              <w:t>field descriptions</w:t>
            </w:r>
          </w:p>
        </w:tc>
      </w:tr>
      <w:tr w:rsidR="005C7FF4" w:rsidRPr="00FA0D37"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FA0D37" w:rsidRDefault="00394471" w:rsidP="00964CC4">
            <w:pPr>
              <w:pStyle w:val="TAL"/>
              <w:rPr>
                <w:b/>
                <w:i/>
                <w:lang w:eastAsia="en-GB"/>
              </w:rPr>
            </w:pPr>
            <w:r w:rsidRPr="00FA0D37">
              <w:rPr>
                <w:b/>
                <w:i/>
                <w:lang w:eastAsia="en-GB"/>
              </w:rPr>
              <w:t>averageDelay</w:t>
            </w:r>
          </w:p>
          <w:p w14:paraId="4432CDCA" w14:textId="77777777" w:rsidR="00394471" w:rsidRPr="00FA0D37" w:rsidRDefault="00394471" w:rsidP="00964CC4">
            <w:pPr>
              <w:pStyle w:val="TAL"/>
              <w:rPr>
                <w:b/>
                <w:i/>
                <w:lang w:eastAsia="sv-SE"/>
              </w:rPr>
            </w:pPr>
            <w:r w:rsidRPr="00FA0D37">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5C7FF4" w:rsidRPr="00FA0D37"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FA0D37" w:rsidRDefault="00394471" w:rsidP="00964CC4">
            <w:pPr>
              <w:pStyle w:val="TAL"/>
              <w:rPr>
                <w:b/>
                <w:i/>
                <w:lang w:eastAsia="sv-SE"/>
              </w:rPr>
            </w:pPr>
            <w:r w:rsidRPr="00FA0D37">
              <w:rPr>
                <w:b/>
                <w:i/>
                <w:lang w:eastAsia="sv-SE"/>
              </w:rPr>
              <w:t>cellResults</w:t>
            </w:r>
          </w:p>
          <w:p w14:paraId="00A63123" w14:textId="77777777" w:rsidR="00394471" w:rsidRPr="00FA0D37" w:rsidRDefault="00394471" w:rsidP="00964CC4">
            <w:pPr>
              <w:pStyle w:val="TAL"/>
              <w:rPr>
                <w:lang w:eastAsia="sv-SE"/>
              </w:rPr>
            </w:pPr>
            <w:r w:rsidRPr="00FA0D37">
              <w:rPr>
                <w:lang w:eastAsia="sv-SE"/>
              </w:rPr>
              <w:t>Cell level measurement results.</w:t>
            </w:r>
          </w:p>
        </w:tc>
      </w:tr>
      <w:tr w:rsidR="005C7FF4" w:rsidRPr="00FA0D37"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FA0D37" w:rsidRDefault="00E84B6D" w:rsidP="00771058">
            <w:pPr>
              <w:pStyle w:val="TAL"/>
              <w:rPr>
                <w:b/>
                <w:i/>
                <w:lang w:eastAsia="sv-SE"/>
              </w:rPr>
            </w:pPr>
            <w:r w:rsidRPr="00FA0D37">
              <w:rPr>
                <w:b/>
                <w:i/>
                <w:lang w:eastAsia="sv-SE"/>
              </w:rPr>
              <w:t>choCandidate</w:t>
            </w:r>
          </w:p>
          <w:p w14:paraId="5244FC4C" w14:textId="561A3639" w:rsidR="00E84B6D" w:rsidRPr="00FA0D37" w:rsidRDefault="00E84B6D" w:rsidP="00771058">
            <w:pPr>
              <w:pStyle w:val="TAL"/>
              <w:rPr>
                <w:i/>
                <w:iCs/>
                <w:lang w:eastAsia="sv-SE"/>
              </w:rPr>
            </w:pPr>
            <w:r w:rsidRPr="00FA0D37">
              <w:rPr>
                <w:lang w:eastAsia="sv-SE"/>
              </w:rPr>
              <w:t xml:space="preserve">This field indicates whether the associated cell is a </w:t>
            </w:r>
            <w:r w:rsidRPr="00FA0D37">
              <w:rPr>
                <w:lang w:eastAsia="ko-KR"/>
              </w:rPr>
              <w:t xml:space="preserve">candidate target cell </w:t>
            </w:r>
            <w:r w:rsidRPr="00FA0D37">
              <w:rPr>
                <w:lang w:eastAsia="en-GB"/>
              </w:rPr>
              <w:t>for conditional handover</w:t>
            </w:r>
            <w:r w:rsidRPr="00FA0D37">
              <w:rPr>
                <w:lang w:eastAsia="sv-SE"/>
              </w:rPr>
              <w:t xml:space="preserve">. This field may be included only in the </w:t>
            </w:r>
            <w:r w:rsidR="004B0FA9" w:rsidRPr="00FA0D37">
              <w:rPr>
                <w:i/>
                <w:iCs/>
                <w:lang w:eastAsia="sv-SE"/>
              </w:rPr>
              <w:t>SuccessHO-Report</w:t>
            </w:r>
            <w:r w:rsidR="004B0FA9" w:rsidRPr="00FA0D37">
              <w:rPr>
                <w:lang w:eastAsia="sv-SE"/>
              </w:rPr>
              <w:t xml:space="preserve"> within</w:t>
            </w:r>
            <w:r w:rsidRPr="00FA0D37">
              <w:rPr>
                <w:lang w:eastAsia="sv-SE"/>
              </w:rPr>
              <w:t xml:space="preserve"> </w:t>
            </w:r>
            <w:r w:rsidRPr="00FA0D37">
              <w:rPr>
                <w:i/>
                <w:iCs/>
                <w:lang w:eastAsia="sv-SE"/>
              </w:rPr>
              <w:t>UEInformationResponse</w:t>
            </w:r>
            <w:r w:rsidRPr="00FA0D37">
              <w:rPr>
                <w:lang w:eastAsia="sv-SE"/>
              </w:rPr>
              <w:t xml:space="preserve"> message.</w:t>
            </w:r>
          </w:p>
        </w:tc>
      </w:tr>
      <w:tr w:rsidR="005C7FF4" w:rsidRPr="00FA0D37"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FA0D37" w:rsidRDefault="00E84B6D" w:rsidP="00771058">
            <w:pPr>
              <w:pStyle w:val="TAL"/>
              <w:rPr>
                <w:b/>
                <w:i/>
                <w:lang w:eastAsia="sv-SE"/>
              </w:rPr>
            </w:pPr>
            <w:r w:rsidRPr="00FA0D37">
              <w:rPr>
                <w:b/>
                <w:i/>
                <w:lang w:eastAsia="sv-SE"/>
              </w:rPr>
              <w:t>choConfig</w:t>
            </w:r>
          </w:p>
          <w:p w14:paraId="62C7FD67" w14:textId="39C0DBEB" w:rsidR="00E84B6D" w:rsidRPr="00FA0D37" w:rsidRDefault="00E84B6D" w:rsidP="00771058">
            <w:pPr>
              <w:pStyle w:val="TAL"/>
              <w:rPr>
                <w:lang w:eastAsia="sv-SE"/>
              </w:rPr>
            </w:pPr>
            <w:r w:rsidRPr="00FA0D37">
              <w:rPr>
                <w:lang w:eastAsia="sv-SE"/>
              </w:rPr>
              <w:t xml:space="preserve">If the associated cell is a candidate target cell for conditional handover, this field indicates the conditional handover </w:t>
            </w:r>
            <w:r w:rsidRPr="00FA0D37">
              <w:t xml:space="preserve">execution condition for each </w:t>
            </w:r>
            <w:r w:rsidRPr="00FA0D37">
              <w:rPr>
                <w:rFonts w:eastAsia="宋体"/>
                <w:i/>
              </w:rPr>
              <w:t>measId</w:t>
            </w:r>
            <w:r w:rsidRPr="00FA0D37">
              <w:rPr>
                <w:rFonts w:eastAsia="宋体"/>
              </w:rPr>
              <w:t xml:space="preserve"> within </w:t>
            </w:r>
            <w:r w:rsidRPr="00FA0D37">
              <w:rPr>
                <w:i/>
              </w:rPr>
              <w:t>condTriggerConfig</w:t>
            </w:r>
            <w:r w:rsidRPr="00FA0D37">
              <w:rPr>
                <w:rFonts w:eastAsia="宋体"/>
              </w:rPr>
              <w:t xml:space="preserve"> associated to the cell</w:t>
            </w:r>
            <w:r w:rsidRPr="00FA0D37">
              <w:rPr>
                <w:lang w:eastAsia="sv-SE"/>
              </w:rPr>
              <w:t>. This field may be included only in the</w:t>
            </w:r>
            <w:r w:rsidR="00946331" w:rsidRPr="00FA0D37">
              <w:rPr>
                <w:i/>
                <w:iCs/>
                <w:lang w:eastAsia="sv-SE"/>
              </w:rPr>
              <w:t xml:space="preserve"> rlf-report</w:t>
            </w:r>
            <w:r w:rsidR="00894E1D" w:rsidRPr="00FA0D37">
              <w:rPr>
                <w:lang w:eastAsia="sv-SE"/>
              </w:rPr>
              <w:t xml:space="preserve"> </w:t>
            </w:r>
            <w:r w:rsidR="00946331" w:rsidRPr="00FA0D37">
              <w:rPr>
                <w:lang w:eastAsia="sv-SE"/>
              </w:rPr>
              <w:t>within</w:t>
            </w:r>
            <w:r w:rsidRPr="00FA0D37">
              <w:rPr>
                <w:lang w:eastAsia="sv-SE"/>
              </w:rPr>
              <w:t xml:space="preserve"> </w:t>
            </w:r>
            <w:r w:rsidRPr="00FA0D37">
              <w:rPr>
                <w:i/>
                <w:iCs/>
                <w:lang w:eastAsia="sv-SE"/>
              </w:rPr>
              <w:t>UEInformationResponse</w:t>
            </w:r>
            <w:r w:rsidRPr="00FA0D37">
              <w:rPr>
                <w:lang w:eastAsia="sv-SE"/>
              </w:rPr>
              <w:t xml:space="preserve"> message.</w:t>
            </w:r>
          </w:p>
        </w:tc>
      </w:tr>
      <w:tr w:rsidR="005C7FF4" w:rsidRPr="00FA0D37"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FA0D37" w:rsidRDefault="00394471" w:rsidP="00964CC4">
            <w:pPr>
              <w:pStyle w:val="TAL"/>
              <w:rPr>
                <w:b/>
                <w:i/>
                <w:lang w:eastAsia="en-GB"/>
              </w:rPr>
            </w:pPr>
            <w:r w:rsidRPr="00FA0D37">
              <w:rPr>
                <w:b/>
                <w:i/>
                <w:lang w:eastAsia="en-GB"/>
              </w:rPr>
              <w:t>drb-Id</w:t>
            </w:r>
          </w:p>
          <w:p w14:paraId="7446E1BA" w14:textId="77777777" w:rsidR="00394471" w:rsidRPr="00FA0D37" w:rsidRDefault="00394471" w:rsidP="00964CC4">
            <w:pPr>
              <w:pStyle w:val="TAL"/>
              <w:rPr>
                <w:b/>
                <w:i/>
                <w:lang w:eastAsia="sv-SE"/>
              </w:rPr>
            </w:pPr>
            <w:r w:rsidRPr="00FA0D37">
              <w:rPr>
                <w:lang w:eastAsia="sv-SE"/>
              </w:rPr>
              <w:t>Indicates DRB value for which uplink PDCP delay ratio or value is provided, according to TS 38.314 [53].</w:t>
            </w:r>
          </w:p>
        </w:tc>
      </w:tr>
      <w:tr w:rsidR="005C7FF4" w:rsidRPr="00FA0D37"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FA0D37" w:rsidRDefault="00E84B6D" w:rsidP="00E84B6D">
            <w:pPr>
              <w:pStyle w:val="TAL"/>
              <w:rPr>
                <w:b/>
                <w:i/>
                <w:lang w:eastAsia="en-GB"/>
              </w:rPr>
            </w:pPr>
            <w:r w:rsidRPr="00FA0D37">
              <w:rPr>
                <w:b/>
                <w:i/>
                <w:lang w:eastAsia="en-GB"/>
              </w:rPr>
              <w:t>firstTriggeredEvent</w:t>
            </w:r>
          </w:p>
          <w:p w14:paraId="59647089" w14:textId="03057FC6" w:rsidR="00E84B6D" w:rsidRPr="00FA0D37" w:rsidRDefault="00E84B6D" w:rsidP="00E84B6D">
            <w:pPr>
              <w:pStyle w:val="TAL"/>
              <w:rPr>
                <w:bCs/>
                <w:iCs/>
                <w:lang w:eastAsia="en-GB"/>
              </w:rPr>
            </w:pPr>
            <w:r w:rsidRPr="00FA0D37">
              <w:rPr>
                <w:bCs/>
                <w:iCs/>
                <w:lang w:eastAsia="en-GB"/>
              </w:rPr>
              <w:t xml:space="preserve">This field is set to </w:t>
            </w:r>
            <w:r w:rsidRPr="00FA0D37">
              <w:rPr>
                <w:bCs/>
                <w:i/>
                <w:lang w:eastAsia="en-GB"/>
              </w:rPr>
              <w:t>condFirstEvent</w:t>
            </w:r>
            <w:r w:rsidRPr="00FA0D37">
              <w:rPr>
                <w:bCs/>
                <w:iCs/>
                <w:lang w:eastAsia="en-GB"/>
              </w:rPr>
              <w:t xml:space="preserve"> if the execution condition associated to the first entry of </w:t>
            </w:r>
            <w:r w:rsidRPr="00FA0D37">
              <w:rPr>
                <w:bCs/>
                <w:i/>
                <w:lang w:eastAsia="en-GB"/>
              </w:rPr>
              <w:t>choConfig</w:t>
            </w:r>
            <w:r w:rsidRPr="00FA0D37">
              <w:rPr>
                <w:bCs/>
                <w:iCs/>
                <w:lang w:eastAsia="en-GB"/>
              </w:rPr>
              <w:t xml:space="preserve"> was fulfilled first in time. This field is set to </w:t>
            </w:r>
            <w:r w:rsidRPr="00FA0D37">
              <w:rPr>
                <w:bCs/>
                <w:i/>
                <w:lang w:eastAsia="en-GB"/>
              </w:rPr>
              <w:t>condSecondEvent</w:t>
            </w:r>
            <w:r w:rsidRPr="00FA0D37">
              <w:rPr>
                <w:bCs/>
                <w:iCs/>
                <w:lang w:eastAsia="en-GB"/>
              </w:rPr>
              <w:t xml:space="preserve"> if the execution condition associated to the second entry of </w:t>
            </w:r>
            <w:r w:rsidRPr="00FA0D37">
              <w:rPr>
                <w:bCs/>
                <w:i/>
                <w:lang w:eastAsia="en-GB"/>
              </w:rPr>
              <w:t>choConfig</w:t>
            </w:r>
            <w:r w:rsidRPr="00FA0D37">
              <w:rPr>
                <w:bCs/>
                <w:iCs/>
                <w:lang w:eastAsia="en-GB"/>
              </w:rPr>
              <w:t xml:space="preserve"> was fulfilled first in time. This field may be included only in </w:t>
            </w:r>
            <w:r w:rsidR="00946331" w:rsidRPr="00FA0D37">
              <w:rPr>
                <w:bCs/>
                <w:i/>
                <w:lang w:eastAsia="en-GB"/>
              </w:rPr>
              <w:t xml:space="preserve">rlf-report </w:t>
            </w:r>
            <w:r w:rsidR="00946331" w:rsidRPr="00FA0D37">
              <w:rPr>
                <w:bCs/>
                <w:iCs/>
                <w:lang w:eastAsia="en-GB"/>
              </w:rPr>
              <w:t xml:space="preserve">within </w:t>
            </w:r>
            <w:r w:rsidRPr="00FA0D37">
              <w:rPr>
                <w:bCs/>
                <w:i/>
                <w:lang w:eastAsia="en-GB"/>
              </w:rPr>
              <w:t>UEInformationResponse</w:t>
            </w:r>
            <w:r w:rsidRPr="00FA0D37">
              <w:rPr>
                <w:bCs/>
                <w:iCs/>
                <w:lang w:eastAsia="en-GB"/>
              </w:rPr>
              <w:t xml:space="preserve"> message.</w:t>
            </w:r>
          </w:p>
        </w:tc>
      </w:tr>
      <w:tr w:rsidR="005C7FF4" w:rsidRPr="00FA0D37"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FA0D37" w:rsidRDefault="00394471" w:rsidP="00964CC4">
            <w:pPr>
              <w:pStyle w:val="TAL"/>
              <w:rPr>
                <w:b/>
                <w:bCs/>
                <w:i/>
                <w:lang w:eastAsia="en-GB"/>
              </w:rPr>
            </w:pPr>
            <w:r w:rsidRPr="00FA0D37">
              <w:rPr>
                <w:b/>
                <w:bCs/>
                <w:i/>
                <w:lang w:eastAsia="en-GB"/>
              </w:rPr>
              <w:t>locationInfo</w:t>
            </w:r>
          </w:p>
          <w:p w14:paraId="1268B27B" w14:textId="77777777" w:rsidR="00394471" w:rsidRPr="00FA0D37" w:rsidRDefault="00394471" w:rsidP="00964CC4">
            <w:pPr>
              <w:pStyle w:val="TAL"/>
              <w:rPr>
                <w:b/>
                <w:i/>
                <w:lang w:eastAsia="sv-SE"/>
              </w:rPr>
            </w:pPr>
            <w:r w:rsidRPr="00FA0D37">
              <w:rPr>
                <w:lang w:eastAsia="sv-SE"/>
              </w:rPr>
              <w:t>Positioning related information and measurements.</w:t>
            </w:r>
          </w:p>
        </w:tc>
      </w:tr>
      <w:tr w:rsidR="005C7FF4" w:rsidRPr="00FA0D37"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FA0D37" w:rsidRDefault="00394471" w:rsidP="00964CC4">
            <w:pPr>
              <w:pStyle w:val="TAL"/>
              <w:rPr>
                <w:b/>
                <w:i/>
                <w:lang w:eastAsia="sv-SE"/>
              </w:rPr>
            </w:pPr>
            <w:r w:rsidRPr="00FA0D37">
              <w:rPr>
                <w:b/>
                <w:i/>
                <w:lang w:eastAsia="sv-SE"/>
              </w:rPr>
              <w:t>physCellId</w:t>
            </w:r>
          </w:p>
          <w:p w14:paraId="633AF09F" w14:textId="77777777" w:rsidR="00394471" w:rsidRPr="00FA0D37" w:rsidRDefault="00394471" w:rsidP="00964CC4">
            <w:pPr>
              <w:pStyle w:val="TAL"/>
              <w:rPr>
                <w:lang w:eastAsia="sv-SE"/>
              </w:rPr>
            </w:pPr>
            <w:r w:rsidRPr="00FA0D37">
              <w:rPr>
                <w:lang w:eastAsia="sv-SE"/>
              </w:rPr>
              <w:t>The physical cell identity of the NR cell for which the reporting is being performed.</w:t>
            </w:r>
          </w:p>
        </w:tc>
      </w:tr>
      <w:tr w:rsidR="005C7FF4" w:rsidRPr="00FA0D37"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FA0D37" w:rsidRDefault="00394471" w:rsidP="00964CC4">
            <w:pPr>
              <w:pStyle w:val="TAL"/>
              <w:rPr>
                <w:b/>
                <w:i/>
                <w:lang w:eastAsia="sv-SE"/>
              </w:rPr>
            </w:pPr>
            <w:r w:rsidRPr="00FA0D37">
              <w:rPr>
                <w:b/>
                <w:i/>
                <w:lang w:eastAsia="sv-SE"/>
              </w:rPr>
              <w:t>resultsSSB-Cell</w:t>
            </w:r>
          </w:p>
          <w:p w14:paraId="4A3FAC7A" w14:textId="77777777" w:rsidR="00394471" w:rsidRPr="00FA0D37" w:rsidRDefault="00394471" w:rsidP="00964CC4">
            <w:pPr>
              <w:pStyle w:val="TAL"/>
              <w:rPr>
                <w:lang w:eastAsia="sv-SE"/>
              </w:rPr>
            </w:pPr>
            <w:r w:rsidRPr="00FA0D37">
              <w:rPr>
                <w:lang w:eastAsia="sv-SE"/>
              </w:rPr>
              <w:t>Cell level measurement results based on SS/PBCH related measurements.</w:t>
            </w:r>
          </w:p>
        </w:tc>
      </w:tr>
      <w:tr w:rsidR="005C7FF4" w:rsidRPr="00FA0D37"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FA0D37" w:rsidRDefault="00394471" w:rsidP="00964CC4">
            <w:pPr>
              <w:pStyle w:val="TAL"/>
              <w:rPr>
                <w:b/>
                <w:i/>
                <w:lang w:eastAsia="sv-SE"/>
              </w:rPr>
            </w:pPr>
            <w:r w:rsidRPr="00FA0D37">
              <w:rPr>
                <w:b/>
                <w:i/>
                <w:lang w:eastAsia="sv-SE"/>
              </w:rPr>
              <w:t>resultsSSB-Indexes</w:t>
            </w:r>
          </w:p>
          <w:p w14:paraId="48971177" w14:textId="77777777" w:rsidR="00394471" w:rsidRPr="00FA0D37" w:rsidRDefault="00394471" w:rsidP="00964CC4">
            <w:pPr>
              <w:pStyle w:val="TAL"/>
              <w:rPr>
                <w:lang w:eastAsia="sv-SE"/>
              </w:rPr>
            </w:pPr>
            <w:r w:rsidRPr="00FA0D37">
              <w:rPr>
                <w:lang w:eastAsia="sv-SE"/>
              </w:rPr>
              <w:t>Beam level measurement results based on SS/PBCH related measurements.</w:t>
            </w:r>
          </w:p>
        </w:tc>
      </w:tr>
      <w:tr w:rsidR="005C7FF4" w:rsidRPr="00FA0D37"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FA0D37" w:rsidRDefault="00394471" w:rsidP="00964CC4">
            <w:pPr>
              <w:pStyle w:val="TAL"/>
              <w:rPr>
                <w:b/>
                <w:i/>
                <w:lang w:eastAsia="sv-SE"/>
              </w:rPr>
            </w:pPr>
            <w:r w:rsidRPr="00FA0D37">
              <w:rPr>
                <w:b/>
                <w:i/>
                <w:lang w:eastAsia="sv-SE"/>
              </w:rPr>
              <w:t>resultsCSI-RS-Cell</w:t>
            </w:r>
          </w:p>
          <w:p w14:paraId="70FB4AE8" w14:textId="77777777" w:rsidR="00394471" w:rsidRPr="00FA0D37" w:rsidRDefault="00394471" w:rsidP="00964CC4">
            <w:pPr>
              <w:pStyle w:val="TAL"/>
              <w:rPr>
                <w:lang w:eastAsia="sv-SE"/>
              </w:rPr>
            </w:pPr>
            <w:r w:rsidRPr="00FA0D37">
              <w:rPr>
                <w:lang w:eastAsia="sv-SE"/>
              </w:rPr>
              <w:t>Cell level measurement results based on CSI-RS related measurements.</w:t>
            </w:r>
          </w:p>
        </w:tc>
      </w:tr>
      <w:tr w:rsidR="005C7FF4" w:rsidRPr="00FA0D37"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FA0D37" w:rsidRDefault="00394471" w:rsidP="00964CC4">
            <w:pPr>
              <w:pStyle w:val="TAL"/>
              <w:rPr>
                <w:b/>
                <w:i/>
                <w:lang w:eastAsia="sv-SE"/>
              </w:rPr>
            </w:pPr>
            <w:r w:rsidRPr="00FA0D37">
              <w:rPr>
                <w:b/>
                <w:i/>
                <w:lang w:eastAsia="sv-SE"/>
              </w:rPr>
              <w:t>resultsCSI-RS-Indexes</w:t>
            </w:r>
          </w:p>
          <w:p w14:paraId="75958C89" w14:textId="77777777" w:rsidR="00394471" w:rsidRPr="00FA0D37" w:rsidRDefault="00394471" w:rsidP="00964CC4">
            <w:pPr>
              <w:pStyle w:val="TAL"/>
              <w:rPr>
                <w:lang w:eastAsia="sv-SE"/>
              </w:rPr>
            </w:pPr>
            <w:r w:rsidRPr="00FA0D37">
              <w:rPr>
                <w:lang w:eastAsia="sv-SE"/>
              </w:rPr>
              <w:t>Beam level measurement results based on CSI-RS related measurements.</w:t>
            </w:r>
          </w:p>
        </w:tc>
      </w:tr>
      <w:tr w:rsidR="005C7FF4" w:rsidRPr="00FA0D37"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FA0D37" w:rsidRDefault="00394471" w:rsidP="00964CC4">
            <w:pPr>
              <w:pStyle w:val="TAL"/>
              <w:rPr>
                <w:b/>
                <w:i/>
                <w:lang w:eastAsia="sv-SE"/>
              </w:rPr>
            </w:pPr>
            <w:r w:rsidRPr="00FA0D37">
              <w:rPr>
                <w:b/>
                <w:i/>
                <w:lang w:eastAsia="sv-SE"/>
              </w:rPr>
              <w:t>rsIndexResults</w:t>
            </w:r>
          </w:p>
          <w:p w14:paraId="7726A157" w14:textId="77777777" w:rsidR="00394471" w:rsidRPr="00FA0D37" w:rsidRDefault="00394471" w:rsidP="00964CC4">
            <w:pPr>
              <w:pStyle w:val="TAL"/>
              <w:rPr>
                <w:lang w:eastAsia="sv-SE"/>
              </w:rPr>
            </w:pPr>
            <w:r w:rsidRPr="00FA0D37">
              <w:rPr>
                <w:lang w:eastAsia="sv-SE"/>
              </w:rPr>
              <w:t>Beam level measurement results.</w:t>
            </w:r>
          </w:p>
        </w:tc>
      </w:tr>
      <w:tr w:rsidR="000830BB" w:rsidRPr="00FA0D37"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FA0D37" w:rsidRDefault="00E84B6D" w:rsidP="00771058">
            <w:pPr>
              <w:pStyle w:val="TAL"/>
              <w:rPr>
                <w:b/>
                <w:i/>
                <w:lang w:eastAsia="sv-SE"/>
              </w:rPr>
            </w:pPr>
            <w:r w:rsidRPr="00FA0D37">
              <w:rPr>
                <w:b/>
                <w:i/>
                <w:lang w:eastAsia="sv-SE"/>
              </w:rPr>
              <w:t>timeBetweenEvents</w:t>
            </w:r>
          </w:p>
          <w:p w14:paraId="5CB8436A" w14:textId="77777777" w:rsidR="00E84B6D" w:rsidRPr="00FA0D37" w:rsidRDefault="00E84B6D" w:rsidP="00771058">
            <w:pPr>
              <w:pStyle w:val="TAL"/>
              <w:rPr>
                <w:bCs/>
                <w:iCs/>
                <w:lang w:eastAsia="sv-SE"/>
              </w:rPr>
            </w:pPr>
            <w:r w:rsidRPr="00FA0D37">
              <w:rPr>
                <w:bCs/>
                <w:iCs/>
                <w:lang w:eastAsia="sv-SE"/>
              </w:rPr>
              <w:t xml:space="preserve">Indicates the time elapsed between fulfilling the conditional execution conditions included in </w:t>
            </w:r>
            <w:r w:rsidRPr="00FA0D37">
              <w:rPr>
                <w:bCs/>
                <w:i/>
                <w:lang w:eastAsia="sv-SE"/>
              </w:rPr>
              <w:t>choConfig</w:t>
            </w:r>
            <w:r w:rsidRPr="00FA0D37">
              <w:rPr>
                <w:bCs/>
                <w:iCs/>
                <w:lang w:eastAsia="sv-SE"/>
              </w:rPr>
              <w:t xml:space="preserve">. Value in milliseconds. The maximum value 1023 means 1023ms or longer. This field may be included only in the reports associated to </w:t>
            </w:r>
            <w:r w:rsidRPr="00FA0D37">
              <w:rPr>
                <w:bCs/>
                <w:i/>
                <w:lang w:eastAsia="sv-SE"/>
              </w:rPr>
              <w:t>UEInformationResponse</w:t>
            </w:r>
            <w:r w:rsidRPr="00FA0D37">
              <w:rPr>
                <w:bCs/>
                <w:iCs/>
                <w:lang w:eastAsia="sv-SE"/>
              </w:rPr>
              <w:t xml:space="preserve"> message, e.g.,</w:t>
            </w:r>
            <w:r w:rsidRPr="00FA0D37">
              <w:rPr>
                <w:bCs/>
                <w:i/>
                <w:lang w:eastAsia="sv-SE"/>
              </w:rPr>
              <w:t xml:space="preserve"> rlf-Report</w:t>
            </w:r>
            <w:r w:rsidRPr="00FA0D37">
              <w:rPr>
                <w:bCs/>
                <w:iCs/>
                <w:lang w:eastAsia="sv-SE"/>
              </w:rPr>
              <w:t>.</w:t>
            </w:r>
          </w:p>
        </w:tc>
      </w:tr>
    </w:tbl>
    <w:p w14:paraId="02734196" w14:textId="77777777" w:rsidR="00394471" w:rsidRPr="00FA0D3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5C7FF4" w:rsidRPr="00FA0D37"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FA0D37" w:rsidRDefault="00394471" w:rsidP="00964CC4">
            <w:pPr>
              <w:pStyle w:val="TAH"/>
              <w:rPr>
                <w:i/>
                <w:lang w:eastAsia="sv-SE"/>
              </w:rPr>
            </w:pPr>
            <w:r w:rsidRPr="00FA0D37">
              <w:rPr>
                <w:i/>
                <w:lang w:eastAsia="sv-SE"/>
              </w:rPr>
              <w:lastRenderedPageBreak/>
              <w:t xml:space="preserve">MeasResultUTRA-FDD </w:t>
            </w:r>
            <w:r w:rsidRPr="00FA0D37">
              <w:rPr>
                <w:lang w:eastAsia="sv-SE"/>
              </w:rPr>
              <w:t>field descriptions</w:t>
            </w:r>
          </w:p>
        </w:tc>
      </w:tr>
      <w:tr w:rsidR="005C7FF4" w:rsidRPr="00FA0D37"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FA0D37" w:rsidRDefault="00394471" w:rsidP="00964CC4">
            <w:pPr>
              <w:pStyle w:val="TAL"/>
              <w:rPr>
                <w:b/>
                <w:i/>
                <w:lang w:eastAsia="sv-SE"/>
              </w:rPr>
            </w:pPr>
            <w:r w:rsidRPr="00FA0D37">
              <w:rPr>
                <w:b/>
                <w:i/>
                <w:lang w:eastAsia="sv-SE"/>
              </w:rPr>
              <w:t>physCellId</w:t>
            </w:r>
          </w:p>
          <w:p w14:paraId="5C68E1E0" w14:textId="77777777" w:rsidR="00394471" w:rsidRPr="00FA0D37" w:rsidRDefault="00394471" w:rsidP="00964CC4">
            <w:pPr>
              <w:pStyle w:val="TAL"/>
              <w:rPr>
                <w:lang w:eastAsia="sv-SE"/>
              </w:rPr>
            </w:pPr>
            <w:r w:rsidRPr="00FA0D37">
              <w:rPr>
                <w:lang w:eastAsia="sv-SE"/>
              </w:rPr>
              <w:t>The physical cell identity of the UTRA-FDD cell for which the reporting is being performed.</w:t>
            </w:r>
          </w:p>
        </w:tc>
      </w:tr>
      <w:tr w:rsidR="005C7FF4" w:rsidRPr="00FA0D37"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FA0D37" w:rsidRDefault="00394471" w:rsidP="00964CC4">
            <w:pPr>
              <w:pStyle w:val="TAL"/>
              <w:rPr>
                <w:b/>
                <w:i/>
                <w:noProof/>
                <w:lang w:eastAsia="en-GB"/>
              </w:rPr>
            </w:pPr>
            <w:r w:rsidRPr="00FA0D37">
              <w:rPr>
                <w:b/>
                <w:bCs/>
                <w:i/>
                <w:noProof/>
                <w:lang w:eastAsia="en-GB"/>
              </w:rPr>
              <w:t>u</w:t>
            </w:r>
            <w:r w:rsidRPr="00FA0D37">
              <w:rPr>
                <w:b/>
                <w:i/>
                <w:noProof/>
                <w:lang w:eastAsia="en-GB"/>
              </w:rPr>
              <w:t>tra-FDD-EcN0</w:t>
            </w:r>
          </w:p>
          <w:p w14:paraId="6B7E7E8E" w14:textId="77777777" w:rsidR="00394471" w:rsidRPr="00FA0D37" w:rsidRDefault="00394471" w:rsidP="00964CC4">
            <w:pPr>
              <w:pStyle w:val="TAL"/>
              <w:rPr>
                <w:lang w:eastAsia="sv-SE"/>
              </w:rPr>
            </w:pPr>
            <w:r w:rsidRPr="00FA0D37">
              <w:rPr>
                <w:noProof/>
                <w:lang w:eastAsia="en-GB"/>
              </w:rPr>
              <w:t>According to CPICH_Ec/No in TS 25.133 [46]</w:t>
            </w:r>
            <w:r w:rsidRPr="00FA0D37">
              <w:rPr>
                <w:lang w:eastAsia="en-GB"/>
              </w:rPr>
              <w:t xml:space="preserve"> </w:t>
            </w:r>
            <w:r w:rsidRPr="00FA0D37">
              <w:rPr>
                <w:noProof/>
                <w:lang w:eastAsia="en-GB"/>
              </w:rPr>
              <w:t>for FDD.</w:t>
            </w:r>
          </w:p>
        </w:tc>
      </w:tr>
      <w:tr w:rsidR="00394471" w:rsidRPr="00FA0D37"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FA0D37" w:rsidRDefault="00394471" w:rsidP="00964CC4">
            <w:pPr>
              <w:pStyle w:val="TAL"/>
              <w:rPr>
                <w:b/>
                <w:i/>
                <w:noProof/>
                <w:lang w:eastAsia="en-GB"/>
              </w:rPr>
            </w:pPr>
            <w:r w:rsidRPr="00FA0D37">
              <w:rPr>
                <w:b/>
                <w:bCs/>
                <w:i/>
                <w:noProof/>
                <w:lang w:eastAsia="en-GB"/>
              </w:rPr>
              <w:t>u</w:t>
            </w:r>
            <w:r w:rsidRPr="00FA0D37">
              <w:rPr>
                <w:b/>
                <w:i/>
                <w:noProof/>
                <w:lang w:eastAsia="en-GB"/>
              </w:rPr>
              <w:t>tra-FDD-RSCP</w:t>
            </w:r>
          </w:p>
          <w:p w14:paraId="09B936FF" w14:textId="77777777" w:rsidR="00394471" w:rsidRPr="00FA0D37" w:rsidRDefault="00394471" w:rsidP="00964CC4">
            <w:pPr>
              <w:pStyle w:val="TAL"/>
              <w:rPr>
                <w:b/>
                <w:i/>
                <w:lang w:eastAsia="sv-SE"/>
              </w:rPr>
            </w:pPr>
            <w:r w:rsidRPr="00FA0D37">
              <w:rPr>
                <w:noProof/>
                <w:lang w:eastAsia="en-GB"/>
              </w:rPr>
              <w:t>According to CPICH_RSCP in TS 25.133 [46]</w:t>
            </w:r>
            <w:r w:rsidRPr="00FA0D37">
              <w:rPr>
                <w:lang w:eastAsia="en-GB"/>
              </w:rPr>
              <w:t xml:space="preserve"> </w:t>
            </w:r>
            <w:r w:rsidRPr="00FA0D37">
              <w:rPr>
                <w:noProof/>
                <w:lang w:eastAsia="en-GB"/>
              </w:rPr>
              <w:t>for FDD.</w:t>
            </w:r>
          </w:p>
        </w:tc>
      </w:tr>
    </w:tbl>
    <w:p w14:paraId="33733F45" w14:textId="77777777" w:rsidR="00394471" w:rsidRPr="00FA0D3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5C7FF4" w:rsidRPr="00FA0D37"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FA0D37" w:rsidRDefault="00394471" w:rsidP="00964CC4">
            <w:pPr>
              <w:pStyle w:val="TAH"/>
              <w:rPr>
                <w:lang w:eastAsia="en-GB"/>
              </w:rPr>
            </w:pPr>
            <w:r w:rsidRPr="00FA0D37">
              <w:rPr>
                <w:i/>
                <w:lang w:eastAsia="en-GB"/>
              </w:rPr>
              <w:lastRenderedPageBreak/>
              <w:t xml:space="preserve">MeasResults </w:t>
            </w:r>
            <w:r w:rsidRPr="00FA0D37">
              <w:rPr>
                <w:lang w:eastAsia="en-GB"/>
              </w:rPr>
              <w:t>field descriptions</w:t>
            </w:r>
          </w:p>
        </w:tc>
      </w:tr>
      <w:tr w:rsidR="005C7FF4" w:rsidRPr="00FA0D37"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FA0D37" w:rsidRDefault="00771058" w:rsidP="00771058">
            <w:pPr>
              <w:keepNext/>
              <w:keepLines/>
              <w:spacing w:after="0"/>
              <w:rPr>
                <w:rFonts w:ascii="Arial" w:hAnsi="Arial"/>
                <w:b/>
                <w:i/>
                <w:sz w:val="18"/>
                <w:lang w:eastAsia="sv-SE"/>
              </w:rPr>
            </w:pPr>
            <w:r w:rsidRPr="00FA0D37">
              <w:rPr>
                <w:rFonts w:ascii="Arial" w:hAnsi="Arial"/>
                <w:b/>
                <w:i/>
                <w:sz w:val="18"/>
                <w:lang w:eastAsia="sv-SE"/>
              </w:rPr>
              <w:t>coarseLocationInfo</w:t>
            </w:r>
          </w:p>
          <w:p w14:paraId="0B2B9681" w14:textId="7B80B714" w:rsidR="00771058" w:rsidRPr="00FA0D37" w:rsidRDefault="001163BA" w:rsidP="00771058">
            <w:pPr>
              <w:keepNext/>
              <w:keepLines/>
              <w:spacing w:after="0"/>
              <w:rPr>
                <w:rFonts w:ascii="Arial" w:hAnsi="Arial" w:cs="Arial"/>
                <w:sz w:val="18"/>
                <w:szCs w:val="18"/>
                <w:lang w:eastAsia="ko-KR"/>
              </w:rPr>
            </w:pPr>
            <w:r w:rsidRPr="00FA0D37">
              <w:rPr>
                <w:rFonts w:ascii="Arial" w:hAnsi="Arial"/>
                <w:sz w:val="18"/>
                <w:lang w:eastAsia="sv-SE"/>
              </w:rPr>
              <w:t xml:space="preserve">This field indicates the coarse location information reported by the UE. This field is coded as the </w:t>
            </w:r>
            <w:r w:rsidR="00771058" w:rsidRPr="00FA0D37">
              <w:rPr>
                <w:rFonts w:ascii="Arial" w:hAnsi="Arial"/>
                <w:i/>
                <w:iCs/>
                <w:sz w:val="18"/>
                <w:lang w:eastAsia="sv-SE"/>
              </w:rPr>
              <w:t>Ellipsoid-Point</w:t>
            </w:r>
            <w:r w:rsidR="00771058" w:rsidRPr="00FA0D37">
              <w:rPr>
                <w:rFonts w:ascii="Arial" w:hAnsi="Arial"/>
                <w:sz w:val="18"/>
                <w:lang w:eastAsia="sv-SE"/>
              </w:rPr>
              <w:t xml:space="preserve"> defined in TS 37.355 [49]. The first/leftmost bit of the first octet contains the most significant bit. </w:t>
            </w:r>
            <w:r w:rsidR="00771058" w:rsidRPr="00FA0D37">
              <w:rPr>
                <w:rFonts w:ascii="Arial" w:hAnsi="Arial" w:cs="Arial"/>
                <w:iCs/>
                <w:sz w:val="18"/>
                <w:szCs w:val="18"/>
              </w:rPr>
              <w:t xml:space="preserve">The least significant bits of </w:t>
            </w:r>
            <w:r w:rsidR="00771058" w:rsidRPr="00FA0D37">
              <w:rPr>
                <w:rFonts w:ascii="Arial" w:hAnsi="Arial" w:cs="Arial"/>
                <w:i/>
                <w:iCs/>
                <w:sz w:val="18"/>
                <w:szCs w:val="18"/>
              </w:rPr>
              <w:t>degreesLatitude</w:t>
            </w:r>
            <w:r w:rsidR="00771058" w:rsidRPr="00FA0D37">
              <w:rPr>
                <w:rFonts w:ascii="Arial" w:hAnsi="Arial" w:cs="Arial"/>
                <w:iCs/>
                <w:sz w:val="18"/>
                <w:szCs w:val="18"/>
              </w:rPr>
              <w:t xml:space="preserve"> and </w:t>
            </w:r>
            <w:r w:rsidR="00771058" w:rsidRPr="00FA0D37">
              <w:rPr>
                <w:rFonts w:ascii="Arial" w:hAnsi="Arial" w:cs="Arial"/>
                <w:i/>
                <w:iCs/>
                <w:sz w:val="18"/>
                <w:szCs w:val="18"/>
              </w:rPr>
              <w:t xml:space="preserve">degreesLongitude </w:t>
            </w:r>
            <w:r w:rsidR="00771058" w:rsidRPr="00FA0D37">
              <w:rPr>
                <w:rFonts w:ascii="Arial" w:hAnsi="Arial" w:cs="Arial"/>
                <w:iCs/>
                <w:sz w:val="18"/>
                <w:szCs w:val="18"/>
              </w:rPr>
              <w:t>are set to 0 to meet the accuracy requirement corresponds to a granularity of approximately 2 km</w:t>
            </w:r>
            <w:r w:rsidR="00771058" w:rsidRPr="00FA0D37">
              <w:rPr>
                <w:rFonts w:ascii="Arial" w:hAnsi="Arial" w:cs="Arial"/>
                <w:sz w:val="18"/>
                <w:szCs w:val="18"/>
                <w:lang w:eastAsia="ko-KR"/>
              </w:rPr>
              <w:t>.</w:t>
            </w:r>
          </w:p>
          <w:p w14:paraId="6BC06098" w14:textId="22399421" w:rsidR="00771058" w:rsidRPr="00FA0D37" w:rsidRDefault="00771058" w:rsidP="00F747EB">
            <w:pPr>
              <w:pStyle w:val="TAL"/>
              <w:rPr>
                <w:lang w:eastAsia="en-GB"/>
              </w:rPr>
            </w:pPr>
            <w:r w:rsidRPr="00FA0D37">
              <w:rPr>
                <w:rFonts w:cs="Arial"/>
                <w:iCs/>
                <w:szCs w:val="18"/>
              </w:rPr>
              <w:t>It is up to UE implementation how many LSBs are set to 0 to meet the accuracy requirement</w:t>
            </w:r>
          </w:p>
        </w:tc>
      </w:tr>
      <w:tr w:rsidR="005C7FF4" w:rsidRPr="00FA0D37"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FA0D37" w:rsidRDefault="00E84B6D" w:rsidP="00E84B6D">
            <w:pPr>
              <w:pStyle w:val="TAL"/>
              <w:rPr>
                <w:b/>
                <w:bCs/>
                <w:i/>
                <w:iCs/>
                <w:lang w:eastAsia="en-GB"/>
              </w:rPr>
            </w:pPr>
            <w:r w:rsidRPr="00FA0D37">
              <w:rPr>
                <w:b/>
                <w:bCs/>
                <w:i/>
                <w:iCs/>
                <w:lang w:eastAsia="en-GB"/>
              </w:rPr>
              <w:t>excessDelay</w:t>
            </w:r>
          </w:p>
          <w:p w14:paraId="48FC2E7E" w14:textId="1F2CF51A" w:rsidR="00E84B6D" w:rsidRPr="00FA0D37" w:rsidRDefault="00E84B6D" w:rsidP="000830BB">
            <w:pPr>
              <w:pStyle w:val="TAL"/>
              <w:rPr>
                <w:lang w:eastAsia="en-GB"/>
              </w:rPr>
            </w:pPr>
            <w:r w:rsidRPr="00FA0D37">
              <w:rPr>
                <w:lang w:eastAsia="en-GB"/>
              </w:rPr>
              <w:t>Indicates the ratio of packets in UL per DRB exceeding the configured delay threshold among the UL PDCP SDUs, according to the UL PDCP Excess Packet Delay per DRB mapping table, as defined in TS 38.314 [53], Table 4.3.1.e-1.</w:t>
            </w:r>
          </w:p>
        </w:tc>
      </w:tr>
      <w:tr w:rsidR="005C7FF4" w:rsidRPr="00FA0D37"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FA0D37" w:rsidRDefault="00394471" w:rsidP="00964CC4">
            <w:pPr>
              <w:pStyle w:val="TAL"/>
              <w:rPr>
                <w:b/>
                <w:bCs/>
                <w:i/>
                <w:lang w:eastAsia="en-GB"/>
              </w:rPr>
            </w:pPr>
            <w:r w:rsidRPr="00FA0D37">
              <w:rPr>
                <w:b/>
                <w:bCs/>
                <w:i/>
                <w:lang w:eastAsia="en-GB"/>
              </w:rPr>
              <w:t>measId</w:t>
            </w:r>
          </w:p>
          <w:p w14:paraId="58BFDE4D" w14:textId="77777777" w:rsidR="00394471" w:rsidRPr="00FA0D37" w:rsidRDefault="00394471" w:rsidP="00964CC4">
            <w:pPr>
              <w:pStyle w:val="TAL"/>
              <w:rPr>
                <w:lang w:eastAsia="en-GB"/>
              </w:rPr>
            </w:pPr>
            <w:r w:rsidRPr="00FA0D37">
              <w:rPr>
                <w:lang w:eastAsia="en-GB"/>
              </w:rPr>
              <w:t>Identifies the measurement identity for which the reporting is being performed.</w:t>
            </w:r>
          </w:p>
        </w:tc>
      </w:tr>
      <w:tr w:rsidR="005C7FF4" w:rsidRPr="00FA0D37"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FA0D37" w:rsidRDefault="00394471" w:rsidP="00964CC4">
            <w:pPr>
              <w:pStyle w:val="TAL"/>
              <w:rPr>
                <w:b/>
                <w:bCs/>
                <w:i/>
                <w:lang w:eastAsia="en-GB"/>
              </w:rPr>
            </w:pPr>
            <w:r w:rsidRPr="00FA0D37">
              <w:rPr>
                <w:b/>
                <w:bCs/>
                <w:i/>
                <w:lang w:eastAsia="en-GB"/>
              </w:rPr>
              <w:t>measQuantityResults</w:t>
            </w:r>
          </w:p>
          <w:p w14:paraId="40CC96F9" w14:textId="77777777" w:rsidR="00394471" w:rsidRPr="00FA0D37" w:rsidRDefault="00394471" w:rsidP="00964CC4">
            <w:pPr>
              <w:pStyle w:val="TAL"/>
              <w:rPr>
                <w:b/>
                <w:bCs/>
                <w:i/>
                <w:lang w:eastAsia="en-GB"/>
              </w:rPr>
            </w:pPr>
            <w:r w:rsidRPr="00FA0D37">
              <w:rPr>
                <w:lang w:eastAsia="en-GB"/>
              </w:rPr>
              <w:t xml:space="preserve">The value sinr is not included when it is used for </w:t>
            </w:r>
            <w:r w:rsidRPr="00FA0D37">
              <w:rPr>
                <w:i/>
                <w:iCs/>
              </w:rPr>
              <w:t>LogMeasReport-r16</w:t>
            </w:r>
            <w:r w:rsidRPr="00FA0D37">
              <w:rPr>
                <w:lang w:eastAsia="en-GB"/>
              </w:rPr>
              <w:t>.</w:t>
            </w:r>
          </w:p>
        </w:tc>
      </w:tr>
      <w:tr w:rsidR="005C7FF4" w:rsidRPr="00FA0D37"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FA0D37" w:rsidRDefault="00394471" w:rsidP="00964CC4">
            <w:pPr>
              <w:pStyle w:val="TAL"/>
              <w:rPr>
                <w:b/>
                <w:bCs/>
                <w:i/>
                <w:lang w:eastAsia="en-GB"/>
              </w:rPr>
            </w:pPr>
            <w:r w:rsidRPr="00FA0D37">
              <w:rPr>
                <w:b/>
                <w:bCs/>
                <w:i/>
                <w:lang w:eastAsia="en-GB"/>
              </w:rPr>
              <w:t>measResultCellListSFTD-NR</w:t>
            </w:r>
          </w:p>
          <w:p w14:paraId="2CA7C468" w14:textId="77777777" w:rsidR="00394471" w:rsidRPr="00FA0D37" w:rsidRDefault="00394471" w:rsidP="00964CC4">
            <w:pPr>
              <w:pStyle w:val="TAL"/>
              <w:rPr>
                <w:bCs/>
                <w:lang w:eastAsia="en-GB"/>
              </w:rPr>
            </w:pPr>
            <w:r w:rsidRPr="00FA0D37">
              <w:rPr>
                <w:bCs/>
                <w:lang w:eastAsia="en-GB"/>
              </w:rPr>
              <w:t>SFTD measurement results between the PCell and the NR neighbour cell(s) in NR standalone.</w:t>
            </w:r>
          </w:p>
        </w:tc>
      </w:tr>
      <w:tr w:rsidR="005C7FF4" w:rsidRPr="00FA0D37"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FA0D37" w:rsidRDefault="00394471" w:rsidP="00964CC4">
            <w:pPr>
              <w:pStyle w:val="TAL"/>
              <w:rPr>
                <w:b/>
                <w:bCs/>
                <w:i/>
                <w:lang w:eastAsia="en-GB"/>
              </w:rPr>
            </w:pPr>
            <w:r w:rsidRPr="00FA0D37">
              <w:rPr>
                <w:b/>
                <w:bCs/>
                <w:i/>
                <w:lang w:eastAsia="en-GB"/>
              </w:rPr>
              <w:t>measResultCLI</w:t>
            </w:r>
          </w:p>
          <w:p w14:paraId="1A9521F5" w14:textId="77777777" w:rsidR="00394471" w:rsidRPr="00FA0D37" w:rsidRDefault="00394471" w:rsidP="00964CC4">
            <w:pPr>
              <w:pStyle w:val="TAL"/>
              <w:rPr>
                <w:b/>
                <w:bCs/>
                <w:i/>
                <w:lang w:eastAsia="en-GB"/>
              </w:rPr>
            </w:pPr>
            <w:r w:rsidRPr="00FA0D37">
              <w:rPr>
                <w:bCs/>
                <w:lang w:eastAsia="en-GB"/>
              </w:rPr>
              <w:t>CLI measurement results.</w:t>
            </w:r>
          </w:p>
        </w:tc>
      </w:tr>
      <w:tr w:rsidR="005C7FF4" w:rsidRPr="00FA0D37"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FA0D37" w:rsidRDefault="00394471" w:rsidP="00964CC4">
            <w:pPr>
              <w:pStyle w:val="TAL"/>
              <w:rPr>
                <w:b/>
                <w:bCs/>
                <w:i/>
                <w:lang w:eastAsia="en-GB"/>
              </w:rPr>
            </w:pPr>
            <w:r w:rsidRPr="00FA0D37">
              <w:rPr>
                <w:b/>
                <w:bCs/>
                <w:i/>
                <w:lang w:eastAsia="en-GB"/>
              </w:rPr>
              <w:t>measResultEUTRA</w:t>
            </w:r>
          </w:p>
          <w:p w14:paraId="357D79A9" w14:textId="77777777" w:rsidR="00394471" w:rsidRPr="00FA0D37" w:rsidRDefault="00394471" w:rsidP="00964CC4">
            <w:pPr>
              <w:pStyle w:val="TAL"/>
              <w:rPr>
                <w:b/>
                <w:bCs/>
                <w:i/>
                <w:lang w:eastAsia="en-GB"/>
              </w:rPr>
            </w:pPr>
            <w:r w:rsidRPr="00FA0D37">
              <w:rPr>
                <w:lang w:eastAsia="en-GB"/>
              </w:rPr>
              <w:t>Measured results of an E-UTRA cell.</w:t>
            </w:r>
          </w:p>
        </w:tc>
      </w:tr>
      <w:tr w:rsidR="005C7FF4" w:rsidRPr="00FA0D37"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FA0D37" w:rsidRDefault="00394471" w:rsidP="00964CC4">
            <w:pPr>
              <w:pStyle w:val="TAL"/>
              <w:rPr>
                <w:b/>
                <w:bCs/>
                <w:i/>
                <w:lang w:eastAsia="en-GB"/>
              </w:rPr>
            </w:pPr>
            <w:r w:rsidRPr="00FA0D37">
              <w:rPr>
                <w:b/>
                <w:bCs/>
                <w:i/>
                <w:lang w:eastAsia="en-GB"/>
              </w:rPr>
              <w:t>measResultForRSSI</w:t>
            </w:r>
          </w:p>
          <w:p w14:paraId="642237B9" w14:textId="77777777" w:rsidR="00394471" w:rsidRPr="00FA0D37" w:rsidRDefault="00394471" w:rsidP="00964CC4">
            <w:pPr>
              <w:pStyle w:val="TAL"/>
              <w:rPr>
                <w:b/>
                <w:bCs/>
                <w:i/>
                <w:lang w:eastAsia="en-GB"/>
              </w:rPr>
            </w:pPr>
            <w:r w:rsidRPr="00FA0D37">
              <w:rPr>
                <w:rFonts w:cs="Arial"/>
                <w:noProof/>
                <w:szCs w:val="18"/>
                <w:lang w:eastAsia="en-GB"/>
              </w:rPr>
              <w:t xml:space="preserve">Includes measured RSSI result in dBm (see TS 38.215 [9]) and </w:t>
            </w:r>
            <w:r w:rsidRPr="00FA0D37">
              <w:rPr>
                <w:rFonts w:cs="Arial"/>
                <w:i/>
                <w:noProof/>
                <w:szCs w:val="18"/>
                <w:lang w:eastAsia="en-GB"/>
              </w:rPr>
              <w:t>channelOccupancy</w:t>
            </w:r>
            <w:r w:rsidRPr="00FA0D37">
              <w:rPr>
                <w:rFonts w:cs="Arial"/>
                <w:noProof/>
                <w:szCs w:val="18"/>
                <w:lang w:eastAsia="en-GB"/>
              </w:rPr>
              <w:t xml:space="preserve"> which is </w:t>
            </w:r>
            <w:r w:rsidRPr="00FA0D37">
              <w:rPr>
                <w:rFonts w:cs="Arial"/>
                <w:szCs w:val="18"/>
                <w:lang w:eastAsia="en-GB"/>
              </w:rPr>
              <w:t xml:space="preserve">the percentage of samples when the RSSI was above the configured </w:t>
            </w:r>
            <w:r w:rsidRPr="00FA0D37">
              <w:rPr>
                <w:rFonts w:cs="Arial"/>
                <w:i/>
                <w:szCs w:val="18"/>
                <w:lang w:eastAsia="en-GB"/>
              </w:rPr>
              <w:t xml:space="preserve">channelOccupancyThreshold </w:t>
            </w:r>
            <w:r w:rsidRPr="00FA0D37">
              <w:rPr>
                <w:rFonts w:cs="Arial"/>
                <w:szCs w:val="18"/>
                <w:lang w:eastAsia="en-GB"/>
              </w:rPr>
              <w:t xml:space="preserve">for the associated </w:t>
            </w:r>
            <w:r w:rsidRPr="00FA0D37">
              <w:rPr>
                <w:rFonts w:cs="Arial"/>
                <w:i/>
                <w:iCs/>
                <w:szCs w:val="18"/>
                <w:lang w:eastAsia="en-GB"/>
              </w:rPr>
              <w:t>reportConfig</w:t>
            </w:r>
            <w:r w:rsidRPr="00FA0D37">
              <w:rPr>
                <w:lang w:eastAsia="en-GB"/>
              </w:rPr>
              <w:t>.</w:t>
            </w:r>
          </w:p>
        </w:tc>
      </w:tr>
      <w:tr w:rsidR="005C7FF4" w:rsidRPr="00FA0D37"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FA0D37" w:rsidRDefault="00394471" w:rsidP="00964CC4">
            <w:pPr>
              <w:pStyle w:val="TAL"/>
              <w:rPr>
                <w:b/>
                <w:bCs/>
                <w:i/>
                <w:lang w:eastAsia="en-GB"/>
              </w:rPr>
            </w:pPr>
            <w:r w:rsidRPr="00FA0D37">
              <w:rPr>
                <w:b/>
                <w:bCs/>
                <w:i/>
                <w:lang w:eastAsia="en-GB"/>
              </w:rPr>
              <w:t>measResultListEUTRA</w:t>
            </w:r>
          </w:p>
          <w:p w14:paraId="1F9DA000" w14:textId="77777777" w:rsidR="00394471" w:rsidRPr="00FA0D37" w:rsidRDefault="00394471" w:rsidP="00964CC4">
            <w:pPr>
              <w:pStyle w:val="TAL"/>
              <w:rPr>
                <w:b/>
                <w:bCs/>
                <w:i/>
                <w:lang w:eastAsia="en-GB"/>
              </w:rPr>
            </w:pPr>
            <w:r w:rsidRPr="00FA0D37">
              <w:rPr>
                <w:lang w:eastAsia="en-GB"/>
              </w:rPr>
              <w:t>List of measured results for the maximum number of reported best cells for an E-UTRA measurement identity.</w:t>
            </w:r>
          </w:p>
        </w:tc>
      </w:tr>
      <w:tr w:rsidR="005C7FF4" w:rsidRPr="00FA0D37"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FA0D37" w:rsidRDefault="00394471" w:rsidP="00964CC4">
            <w:pPr>
              <w:pStyle w:val="TAL"/>
              <w:rPr>
                <w:b/>
                <w:bCs/>
                <w:i/>
                <w:lang w:eastAsia="en-GB"/>
              </w:rPr>
            </w:pPr>
            <w:r w:rsidRPr="00FA0D37">
              <w:rPr>
                <w:b/>
                <w:bCs/>
                <w:i/>
                <w:lang w:eastAsia="en-GB"/>
              </w:rPr>
              <w:t>measResultListNR</w:t>
            </w:r>
          </w:p>
          <w:p w14:paraId="637BC326" w14:textId="77777777" w:rsidR="00394471" w:rsidRPr="00FA0D37" w:rsidRDefault="00394471" w:rsidP="00964CC4">
            <w:pPr>
              <w:pStyle w:val="TAL"/>
              <w:rPr>
                <w:bCs/>
                <w:lang w:eastAsia="en-GB"/>
              </w:rPr>
            </w:pPr>
            <w:r w:rsidRPr="00FA0D37">
              <w:rPr>
                <w:lang w:eastAsia="en-GB"/>
              </w:rPr>
              <w:t>List of measured results for the maximum number of reported best cells for an NR measurement identity.</w:t>
            </w:r>
          </w:p>
        </w:tc>
      </w:tr>
      <w:tr w:rsidR="005C7FF4" w:rsidRPr="00FA0D37"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FA0D37" w:rsidRDefault="00394471" w:rsidP="00964CC4">
            <w:pPr>
              <w:pStyle w:val="TAL"/>
              <w:rPr>
                <w:b/>
                <w:bCs/>
                <w:i/>
                <w:iCs/>
                <w:noProof/>
                <w:lang w:eastAsia="sv-SE"/>
              </w:rPr>
            </w:pPr>
            <w:r w:rsidRPr="00FA0D37">
              <w:rPr>
                <w:b/>
                <w:bCs/>
                <w:i/>
                <w:iCs/>
                <w:noProof/>
                <w:lang w:eastAsia="sv-SE"/>
              </w:rPr>
              <w:t>measResultListUTRA-FDD</w:t>
            </w:r>
          </w:p>
          <w:p w14:paraId="23C913BA" w14:textId="77777777" w:rsidR="00394471" w:rsidRPr="00FA0D37" w:rsidRDefault="00394471" w:rsidP="00964CC4">
            <w:pPr>
              <w:pStyle w:val="TAL"/>
              <w:rPr>
                <w:lang w:eastAsia="sv-SE"/>
              </w:rPr>
            </w:pPr>
            <w:r w:rsidRPr="00FA0D37">
              <w:rPr>
                <w:lang w:eastAsia="sv-SE"/>
              </w:rPr>
              <w:t>List of measured results for the maximum number of reported best cells for a UTRA-FDD measurement identity.</w:t>
            </w:r>
          </w:p>
        </w:tc>
      </w:tr>
      <w:tr w:rsidR="005C7FF4" w:rsidRPr="00FA0D37"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FA0D37" w:rsidRDefault="00394471" w:rsidP="00964CC4">
            <w:pPr>
              <w:pStyle w:val="TAL"/>
              <w:rPr>
                <w:b/>
                <w:bCs/>
                <w:i/>
                <w:lang w:eastAsia="en-GB"/>
              </w:rPr>
            </w:pPr>
            <w:r w:rsidRPr="00FA0D37">
              <w:rPr>
                <w:b/>
                <w:bCs/>
                <w:i/>
                <w:lang w:eastAsia="en-GB"/>
              </w:rPr>
              <w:t>measResultNR</w:t>
            </w:r>
          </w:p>
          <w:p w14:paraId="327E6AE6" w14:textId="77777777" w:rsidR="00394471" w:rsidRPr="00FA0D37" w:rsidRDefault="00394471" w:rsidP="00964CC4">
            <w:pPr>
              <w:pStyle w:val="TAL"/>
              <w:rPr>
                <w:b/>
                <w:bCs/>
                <w:i/>
                <w:lang w:eastAsia="en-GB"/>
              </w:rPr>
            </w:pPr>
            <w:r w:rsidRPr="00FA0D37">
              <w:rPr>
                <w:lang w:eastAsia="en-GB"/>
              </w:rPr>
              <w:t>Measured results of an NR cell.</w:t>
            </w:r>
          </w:p>
        </w:tc>
      </w:tr>
      <w:tr w:rsidR="005C7FF4" w:rsidRPr="00FA0D37"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FA0D37" w:rsidRDefault="00394471" w:rsidP="00964CC4">
            <w:pPr>
              <w:pStyle w:val="TAL"/>
              <w:rPr>
                <w:b/>
                <w:bCs/>
                <w:i/>
                <w:noProof/>
                <w:lang w:eastAsia="en-GB"/>
              </w:rPr>
            </w:pPr>
            <w:r w:rsidRPr="00FA0D37">
              <w:rPr>
                <w:b/>
                <w:bCs/>
                <w:i/>
                <w:noProof/>
                <w:lang w:eastAsia="en-GB"/>
              </w:rPr>
              <w:t>measResultServFreqListEUTRA-SCG</w:t>
            </w:r>
          </w:p>
          <w:p w14:paraId="0787B2F9" w14:textId="77777777" w:rsidR="00394471" w:rsidRPr="00FA0D37" w:rsidRDefault="00394471" w:rsidP="00964CC4">
            <w:pPr>
              <w:pStyle w:val="TAL"/>
              <w:rPr>
                <w:b/>
                <w:bCs/>
                <w:i/>
                <w:lang w:eastAsia="en-GB"/>
              </w:rPr>
            </w:pPr>
            <w:r w:rsidRPr="00FA0D37">
              <w:rPr>
                <w:lang w:eastAsia="en-GB"/>
              </w:rPr>
              <w:t>Measured results of the E-UTRA SCG serving frequencies: the measurement result of PSCell and each SCell, if any, and of the best neighbouring cell on each E-UTRA SCG serving frequency.</w:t>
            </w:r>
          </w:p>
        </w:tc>
      </w:tr>
      <w:tr w:rsidR="005C7FF4" w:rsidRPr="00FA0D37"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FA0D37" w:rsidRDefault="00394471" w:rsidP="00964CC4">
            <w:pPr>
              <w:pStyle w:val="TAL"/>
              <w:rPr>
                <w:b/>
                <w:bCs/>
                <w:i/>
                <w:noProof/>
                <w:lang w:eastAsia="en-GB"/>
              </w:rPr>
            </w:pPr>
            <w:r w:rsidRPr="00FA0D37">
              <w:rPr>
                <w:b/>
                <w:bCs/>
                <w:i/>
                <w:noProof/>
                <w:lang w:eastAsia="en-GB"/>
              </w:rPr>
              <w:t>measResultServFreqListNR-SCG</w:t>
            </w:r>
          </w:p>
          <w:p w14:paraId="5F52419A" w14:textId="77777777" w:rsidR="00394471" w:rsidRPr="00FA0D37" w:rsidRDefault="00394471" w:rsidP="00964CC4">
            <w:pPr>
              <w:pStyle w:val="TAL"/>
              <w:rPr>
                <w:b/>
                <w:bCs/>
                <w:i/>
                <w:lang w:eastAsia="en-GB"/>
              </w:rPr>
            </w:pPr>
            <w:r w:rsidRPr="00FA0D37">
              <w:rPr>
                <w:lang w:eastAsia="en-GB"/>
              </w:rPr>
              <w:t>Measured results of the NR SCG serving frequencies: the measurement result of PSCell and each SCell, if any, and of the best neighbouring cell on each NR SCG serving frequency.</w:t>
            </w:r>
          </w:p>
        </w:tc>
      </w:tr>
      <w:tr w:rsidR="005C7FF4" w:rsidRPr="00FA0D37"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FA0D37" w:rsidRDefault="00394471" w:rsidP="00964CC4">
            <w:pPr>
              <w:pStyle w:val="TAL"/>
              <w:rPr>
                <w:b/>
                <w:bCs/>
                <w:i/>
                <w:lang w:eastAsia="en-GB"/>
              </w:rPr>
            </w:pPr>
            <w:r w:rsidRPr="00FA0D37">
              <w:rPr>
                <w:b/>
                <w:bCs/>
                <w:i/>
                <w:lang w:eastAsia="en-GB"/>
              </w:rPr>
              <w:t>measResultServingMOList</w:t>
            </w:r>
          </w:p>
          <w:p w14:paraId="23648915" w14:textId="02A0BEC6" w:rsidR="00394471" w:rsidRPr="00FA0D37" w:rsidRDefault="00394471" w:rsidP="00964CC4">
            <w:pPr>
              <w:pStyle w:val="TAL"/>
              <w:rPr>
                <w:bCs/>
                <w:lang w:eastAsia="en-GB"/>
              </w:rPr>
            </w:pPr>
            <w:r w:rsidRPr="00FA0D37">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FA0D37">
              <w:rPr>
                <w:i/>
                <w:iCs/>
                <w:lang w:eastAsia="en-GB"/>
              </w:rPr>
              <w:t>MeasurementReport</w:t>
            </w:r>
            <w:r w:rsidRPr="00FA0D37">
              <w:rPr>
                <w:lang w:eastAsia="en-GB"/>
              </w:rPr>
              <w:t xml:space="preserve"> message is triggered by a measurement configured by </w:t>
            </w:r>
            <w:r w:rsidR="00EB0151" w:rsidRPr="00FA0D37">
              <w:rPr>
                <w:lang w:eastAsia="en-GB"/>
              </w:rPr>
              <w:t xml:space="preserve">the field </w:t>
            </w:r>
            <w:r w:rsidR="00EB0151" w:rsidRPr="00FA0D37">
              <w:rPr>
                <w:i/>
                <w:iCs/>
                <w:lang w:eastAsia="en-GB"/>
              </w:rPr>
              <w:t>sl-ConfigDedicatedForNR</w:t>
            </w:r>
            <w:r w:rsidR="00EB0151" w:rsidRPr="00FA0D37">
              <w:rPr>
                <w:lang w:eastAsia="en-GB"/>
              </w:rPr>
              <w:t xml:space="preserve"> received </w:t>
            </w:r>
            <w:r w:rsidRPr="00FA0D37">
              <w:rPr>
                <w:lang w:eastAsia="en-GB"/>
              </w:rPr>
              <w:t xml:space="preserve">within an E-UTRA </w:t>
            </w:r>
            <w:r w:rsidRPr="00FA0D37">
              <w:rPr>
                <w:i/>
                <w:iCs/>
                <w:lang w:eastAsia="en-GB"/>
              </w:rPr>
              <w:t>RRCConnectionReconfiguration</w:t>
            </w:r>
            <w:r w:rsidRPr="00FA0D37">
              <w:rPr>
                <w:lang w:eastAsia="en-GB"/>
              </w:rPr>
              <w:t xml:space="preserve"> message (i.e. CBR measurements), this field is not applicable and its contents is ignored by the network.</w:t>
            </w:r>
          </w:p>
        </w:tc>
      </w:tr>
      <w:tr w:rsidR="005C7FF4" w:rsidRPr="00FA0D37"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FA0D37" w:rsidRDefault="00394471" w:rsidP="00964CC4">
            <w:pPr>
              <w:pStyle w:val="TAL"/>
              <w:rPr>
                <w:b/>
                <w:bCs/>
                <w:i/>
                <w:lang w:eastAsia="en-GB"/>
              </w:rPr>
            </w:pPr>
            <w:r w:rsidRPr="00FA0D37">
              <w:rPr>
                <w:b/>
                <w:bCs/>
                <w:i/>
                <w:lang w:eastAsia="en-GB"/>
              </w:rPr>
              <w:t>measResultSFTD-EUTRA</w:t>
            </w:r>
          </w:p>
          <w:p w14:paraId="3692F657" w14:textId="77777777" w:rsidR="00394471" w:rsidRPr="00FA0D37" w:rsidRDefault="00394471" w:rsidP="00964CC4">
            <w:pPr>
              <w:pStyle w:val="TAL"/>
              <w:rPr>
                <w:bCs/>
                <w:lang w:eastAsia="en-GB"/>
              </w:rPr>
            </w:pPr>
            <w:r w:rsidRPr="00FA0D37">
              <w:rPr>
                <w:bCs/>
                <w:lang w:eastAsia="en-GB"/>
              </w:rPr>
              <w:t>SFTD measurement results between the PCell and the E-UTRA PScell in NE-DC.</w:t>
            </w:r>
          </w:p>
        </w:tc>
      </w:tr>
      <w:tr w:rsidR="005C7FF4" w:rsidRPr="00FA0D37"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FA0D37" w:rsidRDefault="00394471" w:rsidP="00964CC4">
            <w:pPr>
              <w:pStyle w:val="TAL"/>
              <w:rPr>
                <w:b/>
                <w:bCs/>
                <w:i/>
                <w:lang w:eastAsia="en-GB"/>
              </w:rPr>
            </w:pPr>
            <w:r w:rsidRPr="00FA0D37">
              <w:rPr>
                <w:b/>
                <w:bCs/>
                <w:i/>
                <w:lang w:eastAsia="en-GB"/>
              </w:rPr>
              <w:lastRenderedPageBreak/>
              <w:t>measResultSFTD-NR</w:t>
            </w:r>
          </w:p>
          <w:p w14:paraId="5CEFB0A9" w14:textId="77777777" w:rsidR="00394471" w:rsidRPr="00FA0D37" w:rsidRDefault="00394471" w:rsidP="00964CC4">
            <w:pPr>
              <w:pStyle w:val="TAL"/>
              <w:rPr>
                <w:b/>
                <w:bCs/>
                <w:i/>
                <w:lang w:eastAsia="en-GB"/>
              </w:rPr>
            </w:pPr>
            <w:r w:rsidRPr="00FA0D37">
              <w:rPr>
                <w:bCs/>
                <w:lang w:eastAsia="en-GB"/>
              </w:rPr>
              <w:t>SFTD measurement results between the PCell and the NR PScell in NR-DC.</w:t>
            </w:r>
          </w:p>
        </w:tc>
      </w:tr>
      <w:tr w:rsidR="005C7FF4" w:rsidRPr="00FA0D37"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FA0D37" w:rsidRDefault="008D2002" w:rsidP="008D2002">
            <w:pPr>
              <w:pStyle w:val="TAL"/>
              <w:rPr>
                <w:b/>
                <w:bCs/>
                <w:i/>
                <w:iCs/>
                <w:lang w:eastAsia="en-GB"/>
              </w:rPr>
            </w:pPr>
            <w:r w:rsidRPr="00FA0D37">
              <w:rPr>
                <w:b/>
                <w:bCs/>
                <w:i/>
                <w:iCs/>
                <w:lang w:eastAsia="en-GB"/>
              </w:rPr>
              <w:t>measResultsSL</w:t>
            </w:r>
          </w:p>
          <w:p w14:paraId="2044D52B" w14:textId="19091E62" w:rsidR="008D2002" w:rsidRPr="00FA0D37" w:rsidRDefault="008D2002" w:rsidP="00255542">
            <w:pPr>
              <w:pStyle w:val="TAL"/>
              <w:rPr>
                <w:rFonts w:cs="Arial"/>
                <w:lang w:eastAsia="en-GB"/>
              </w:rPr>
            </w:pPr>
            <w:r w:rsidRPr="00FA0D37">
              <w:rPr>
                <w:rFonts w:cs="Arial"/>
                <w:lang w:eastAsia="en-GB"/>
              </w:rPr>
              <w:t>CBR measurements results for NR sidelink communication</w:t>
            </w:r>
            <w:r w:rsidR="0039645C" w:rsidRPr="00FA0D37">
              <w:rPr>
                <w:rFonts w:cs="Arial"/>
                <w:lang w:eastAsia="en-GB"/>
              </w:rPr>
              <w:t>/discovery</w:t>
            </w:r>
            <w:r w:rsidRPr="00FA0D37">
              <w:rPr>
                <w:rFonts w:cs="Arial"/>
                <w:lang w:eastAsia="en-GB"/>
              </w:rPr>
              <w:t>.</w:t>
            </w:r>
          </w:p>
        </w:tc>
      </w:tr>
      <w:tr w:rsidR="005C7FF4" w:rsidRPr="00FA0D37"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FA0D37" w:rsidRDefault="00394471" w:rsidP="00964CC4">
            <w:pPr>
              <w:pStyle w:val="TAL"/>
              <w:rPr>
                <w:b/>
                <w:bCs/>
                <w:i/>
                <w:iCs/>
                <w:noProof/>
                <w:lang w:eastAsia="sv-SE"/>
              </w:rPr>
            </w:pPr>
            <w:r w:rsidRPr="00FA0D37">
              <w:rPr>
                <w:b/>
                <w:bCs/>
                <w:i/>
                <w:iCs/>
                <w:noProof/>
                <w:lang w:eastAsia="sv-SE"/>
              </w:rPr>
              <w:t>measResultUTRA-FDD</w:t>
            </w:r>
          </w:p>
          <w:p w14:paraId="0F156C6E" w14:textId="77777777" w:rsidR="00394471" w:rsidRPr="00FA0D37" w:rsidRDefault="00394471" w:rsidP="00964CC4">
            <w:pPr>
              <w:pStyle w:val="TAL"/>
              <w:rPr>
                <w:lang w:eastAsia="sv-SE"/>
              </w:rPr>
            </w:pPr>
            <w:r w:rsidRPr="00FA0D37">
              <w:rPr>
                <w:lang w:eastAsia="sv-SE"/>
              </w:rPr>
              <w:t>Measured result of a UTRA-FDD cell.</w:t>
            </w:r>
          </w:p>
        </w:tc>
      </w:tr>
      <w:tr w:rsidR="005C7FF4" w:rsidRPr="00FA0D37"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FA0D37" w:rsidRDefault="005D44A8" w:rsidP="0071565C">
            <w:pPr>
              <w:pStyle w:val="TAL"/>
              <w:rPr>
                <w:b/>
                <w:bCs/>
                <w:i/>
                <w:iCs/>
                <w:noProof/>
                <w:lang w:eastAsia="sv-SE"/>
              </w:rPr>
            </w:pPr>
            <w:r w:rsidRPr="00FA0D37">
              <w:rPr>
                <w:b/>
                <w:bCs/>
                <w:i/>
                <w:iCs/>
                <w:noProof/>
                <w:lang w:eastAsia="sv-SE"/>
              </w:rPr>
              <w:t>sl-MeasResultsCandRelay</w:t>
            </w:r>
          </w:p>
          <w:p w14:paraId="542F48F4" w14:textId="77777777" w:rsidR="005D44A8" w:rsidRPr="00FA0D37" w:rsidRDefault="005D44A8" w:rsidP="0071565C">
            <w:pPr>
              <w:pStyle w:val="TAL"/>
              <w:rPr>
                <w:noProof/>
                <w:lang w:eastAsia="sv-SE"/>
              </w:rPr>
            </w:pPr>
            <w:r w:rsidRPr="00FA0D37">
              <w:rPr>
                <w:noProof/>
                <w:lang w:eastAsia="sv-SE"/>
              </w:rPr>
              <w:t>Measurement result(s) of candiate L2 U2N relay UE(s).</w:t>
            </w:r>
          </w:p>
        </w:tc>
      </w:tr>
      <w:tr w:rsidR="00F747EB" w:rsidRPr="00FA0D37"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FA0D37" w:rsidRDefault="005D44A8" w:rsidP="0071565C">
            <w:pPr>
              <w:pStyle w:val="TAL"/>
              <w:rPr>
                <w:b/>
                <w:bCs/>
                <w:i/>
                <w:iCs/>
                <w:noProof/>
                <w:lang w:eastAsia="sv-SE"/>
              </w:rPr>
            </w:pPr>
            <w:r w:rsidRPr="00FA0D37">
              <w:rPr>
                <w:b/>
                <w:bCs/>
                <w:i/>
                <w:iCs/>
                <w:noProof/>
                <w:lang w:eastAsia="sv-SE"/>
              </w:rPr>
              <w:t>sl-MeasResultServingRelay</w:t>
            </w:r>
          </w:p>
          <w:p w14:paraId="4F0784C2" w14:textId="77777777" w:rsidR="005D44A8" w:rsidRPr="00FA0D37" w:rsidRDefault="005D44A8" w:rsidP="0071565C">
            <w:pPr>
              <w:pStyle w:val="TAL"/>
              <w:rPr>
                <w:noProof/>
                <w:lang w:eastAsia="sv-SE"/>
              </w:rPr>
            </w:pPr>
            <w:r w:rsidRPr="00FA0D37">
              <w:rPr>
                <w:noProof/>
                <w:lang w:eastAsia="sv-SE"/>
              </w:rPr>
              <w:t>Measurement result of serving L2 U2N relay UE.</w:t>
            </w:r>
          </w:p>
        </w:tc>
      </w:tr>
    </w:tbl>
    <w:p w14:paraId="05ACDFF5" w14:textId="77777777" w:rsidR="00394471" w:rsidRPr="00FA0D37" w:rsidRDefault="00394471" w:rsidP="00394471"/>
    <w:p w14:paraId="54187F63" w14:textId="77777777" w:rsidR="00394471" w:rsidRPr="00FA0D37" w:rsidRDefault="00394471" w:rsidP="00394471">
      <w:pPr>
        <w:pStyle w:val="4"/>
        <w:rPr>
          <w:i/>
          <w:iCs/>
        </w:rPr>
      </w:pPr>
      <w:bookmarkStart w:id="1107" w:name="_Toc60777268"/>
      <w:bookmarkStart w:id="1108" w:name="_Toc146781329"/>
      <w:r w:rsidRPr="00FA0D37">
        <w:rPr>
          <w:i/>
          <w:iCs/>
        </w:rPr>
        <w:t>–</w:t>
      </w:r>
      <w:r w:rsidRPr="00FA0D37">
        <w:rPr>
          <w:i/>
          <w:iCs/>
        </w:rPr>
        <w:tab/>
      </w:r>
      <w:r w:rsidRPr="00FA0D37">
        <w:rPr>
          <w:i/>
          <w:iCs/>
          <w:noProof/>
        </w:rPr>
        <w:t>MeasResult2EUTRA</w:t>
      </w:r>
      <w:bookmarkEnd w:id="1107"/>
      <w:bookmarkEnd w:id="1108"/>
    </w:p>
    <w:p w14:paraId="4ADBDA72" w14:textId="77777777" w:rsidR="00394471" w:rsidRPr="00FA0D37" w:rsidRDefault="00394471" w:rsidP="00394471">
      <w:r w:rsidRPr="00FA0D37">
        <w:t xml:space="preserve">The IE </w:t>
      </w:r>
      <w:r w:rsidRPr="00FA0D37">
        <w:rPr>
          <w:i/>
        </w:rPr>
        <w:t>MeasResult2EUTRA</w:t>
      </w:r>
      <w:r w:rsidRPr="00FA0D37">
        <w:t xml:space="preserve"> contains measurements on E-UTRA frequencies.</w:t>
      </w:r>
    </w:p>
    <w:p w14:paraId="6F582D50" w14:textId="77777777" w:rsidR="00394471" w:rsidRPr="00FA0D37" w:rsidRDefault="00394471" w:rsidP="00394471">
      <w:pPr>
        <w:pStyle w:val="TH"/>
        <w:rPr>
          <w:bCs/>
          <w:i/>
          <w:iCs/>
        </w:rPr>
      </w:pPr>
      <w:r w:rsidRPr="00FA0D37">
        <w:rPr>
          <w:bCs/>
          <w:i/>
          <w:iCs/>
        </w:rPr>
        <w:t xml:space="preserve">MeasResult2EUTRA </w:t>
      </w:r>
      <w:r w:rsidRPr="00FA0D37">
        <w:t>information element</w:t>
      </w:r>
    </w:p>
    <w:p w14:paraId="24CF5777" w14:textId="77777777" w:rsidR="00394471" w:rsidRPr="00FA0D37" w:rsidRDefault="00394471" w:rsidP="00FA0D37">
      <w:pPr>
        <w:pStyle w:val="PL"/>
        <w:rPr>
          <w:color w:val="808080"/>
        </w:rPr>
      </w:pPr>
      <w:r w:rsidRPr="00FA0D37">
        <w:rPr>
          <w:color w:val="808080"/>
        </w:rPr>
        <w:t>-- ASN1START</w:t>
      </w:r>
    </w:p>
    <w:p w14:paraId="415B3E62" w14:textId="77777777" w:rsidR="00394471" w:rsidRPr="00FA0D37" w:rsidRDefault="00394471" w:rsidP="00FA0D37">
      <w:pPr>
        <w:pStyle w:val="PL"/>
        <w:rPr>
          <w:color w:val="808080"/>
        </w:rPr>
      </w:pPr>
      <w:r w:rsidRPr="00FA0D37">
        <w:rPr>
          <w:color w:val="808080"/>
        </w:rPr>
        <w:t>-- TAG-MEASRESULT2EUTRA-START</w:t>
      </w:r>
    </w:p>
    <w:p w14:paraId="6474FA62" w14:textId="77777777" w:rsidR="00394471" w:rsidRPr="00FA0D37" w:rsidRDefault="00394471" w:rsidP="00FA0D37">
      <w:pPr>
        <w:pStyle w:val="PL"/>
      </w:pPr>
    </w:p>
    <w:p w14:paraId="76B6780F" w14:textId="77777777" w:rsidR="00394471" w:rsidRPr="00FA0D37" w:rsidRDefault="00394471" w:rsidP="00FA0D37">
      <w:pPr>
        <w:pStyle w:val="PL"/>
      </w:pPr>
      <w:r w:rsidRPr="00FA0D37">
        <w:t xml:space="preserve">MeasResult2EUTRA ::=       </w:t>
      </w:r>
      <w:r w:rsidRPr="00FA0D37">
        <w:rPr>
          <w:color w:val="993366"/>
        </w:rPr>
        <w:t>SEQUENCE</w:t>
      </w:r>
      <w:r w:rsidRPr="00FA0D37">
        <w:t xml:space="preserve"> {</w:t>
      </w:r>
    </w:p>
    <w:p w14:paraId="5128DE52" w14:textId="77777777" w:rsidR="00394471" w:rsidRPr="00FA0D37" w:rsidRDefault="00394471" w:rsidP="00FA0D37">
      <w:pPr>
        <w:pStyle w:val="PL"/>
      </w:pPr>
      <w:r w:rsidRPr="00FA0D37">
        <w:t xml:space="preserve">    carrierFreq                         ARFCN-ValueEUTRA,</w:t>
      </w:r>
    </w:p>
    <w:p w14:paraId="27E5C7D5" w14:textId="77777777" w:rsidR="00394471" w:rsidRPr="00FA0D37" w:rsidRDefault="00394471" w:rsidP="00FA0D37">
      <w:pPr>
        <w:pStyle w:val="PL"/>
      </w:pPr>
      <w:r w:rsidRPr="00FA0D37">
        <w:t xml:space="preserve">    measResultServingCell               MeasResultEUTRA                 </w:t>
      </w:r>
      <w:r w:rsidRPr="00FA0D37">
        <w:rPr>
          <w:color w:val="993366"/>
        </w:rPr>
        <w:t>OPTIONAL</w:t>
      </w:r>
      <w:r w:rsidRPr="00FA0D37">
        <w:t>,</w:t>
      </w:r>
    </w:p>
    <w:p w14:paraId="352FFA44" w14:textId="77777777" w:rsidR="00394471" w:rsidRPr="00FA0D37" w:rsidRDefault="00394471" w:rsidP="00FA0D37">
      <w:pPr>
        <w:pStyle w:val="PL"/>
      </w:pPr>
      <w:r w:rsidRPr="00FA0D37">
        <w:t xml:space="preserve">    measResultBestNeighCell             MeasResultEUTRA                 </w:t>
      </w:r>
      <w:r w:rsidRPr="00FA0D37">
        <w:rPr>
          <w:color w:val="993366"/>
        </w:rPr>
        <w:t>OPTIONAL</w:t>
      </w:r>
      <w:r w:rsidRPr="00FA0D37">
        <w:t>,</w:t>
      </w:r>
    </w:p>
    <w:p w14:paraId="0CA0CBE9" w14:textId="77777777" w:rsidR="00394471" w:rsidRPr="00FA0D37" w:rsidRDefault="00394471" w:rsidP="00FA0D37">
      <w:pPr>
        <w:pStyle w:val="PL"/>
      </w:pPr>
      <w:r w:rsidRPr="00FA0D37">
        <w:t xml:space="preserve">    ...</w:t>
      </w:r>
    </w:p>
    <w:p w14:paraId="0FBB6EE2" w14:textId="77777777" w:rsidR="00394471" w:rsidRPr="00FA0D37" w:rsidRDefault="00394471" w:rsidP="00FA0D37">
      <w:pPr>
        <w:pStyle w:val="PL"/>
      </w:pPr>
      <w:r w:rsidRPr="00FA0D37">
        <w:t>}</w:t>
      </w:r>
    </w:p>
    <w:p w14:paraId="24998149" w14:textId="77777777" w:rsidR="00394471" w:rsidRPr="00FA0D37" w:rsidRDefault="00394471" w:rsidP="00FA0D37">
      <w:pPr>
        <w:pStyle w:val="PL"/>
      </w:pPr>
    </w:p>
    <w:p w14:paraId="3001954D" w14:textId="77777777" w:rsidR="00394471" w:rsidRPr="00FA0D37" w:rsidRDefault="00394471" w:rsidP="00FA0D37">
      <w:pPr>
        <w:pStyle w:val="PL"/>
        <w:rPr>
          <w:color w:val="808080"/>
        </w:rPr>
      </w:pPr>
      <w:r w:rsidRPr="00FA0D37">
        <w:rPr>
          <w:color w:val="808080"/>
        </w:rPr>
        <w:t>-- TAG-MEASRESULT2EUTRA-STOP</w:t>
      </w:r>
    </w:p>
    <w:p w14:paraId="47C98543" w14:textId="77777777" w:rsidR="00394471" w:rsidRPr="00FA0D37" w:rsidRDefault="00394471" w:rsidP="00FA0D37">
      <w:pPr>
        <w:pStyle w:val="PL"/>
        <w:rPr>
          <w:color w:val="808080"/>
        </w:rPr>
      </w:pPr>
      <w:r w:rsidRPr="00FA0D37">
        <w:rPr>
          <w:color w:val="808080"/>
        </w:rPr>
        <w:t>-- ASN1STOP</w:t>
      </w:r>
    </w:p>
    <w:p w14:paraId="190A3076" w14:textId="77777777" w:rsidR="00394471" w:rsidRPr="00FA0D37" w:rsidRDefault="00394471" w:rsidP="00394471"/>
    <w:p w14:paraId="36F1DF88" w14:textId="77777777" w:rsidR="00394471" w:rsidRPr="00FA0D37" w:rsidRDefault="00394471" w:rsidP="00394471">
      <w:pPr>
        <w:pStyle w:val="4"/>
        <w:rPr>
          <w:i/>
          <w:iCs/>
        </w:rPr>
      </w:pPr>
      <w:bookmarkStart w:id="1109" w:name="_Toc60777269"/>
      <w:bookmarkStart w:id="1110" w:name="_Toc146781330"/>
      <w:r w:rsidRPr="00FA0D37">
        <w:rPr>
          <w:i/>
          <w:iCs/>
        </w:rPr>
        <w:t>–</w:t>
      </w:r>
      <w:r w:rsidRPr="00FA0D37">
        <w:rPr>
          <w:i/>
          <w:iCs/>
        </w:rPr>
        <w:tab/>
      </w:r>
      <w:r w:rsidRPr="00FA0D37">
        <w:rPr>
          <w:i/>
          <w:iCs/>
          <w:noProof/>
        </w:rPr>
        <w:t>MeasResult2NR</w:t>
      </w:r>
      <w:bookmarkEnd w:id="1109"/>
      <w:bookmarkEnd w:id="1110"/>
    </w:p>
    <w:p w14:paraId="781934E0" w14:textId="77777777" w:rsidR="00394471" w:rsidRPr="00FA0D37" w:rsidRDefault="00394471" w:rsidP="00394471">
      <w:r w:rsidRPr="00FA0D37">
        <w:t xml:space="preserve">The IE </w:t>
      </w:r>
      <w:r w:rsidRPr="00FA0D37">
        <w:rPr>
          <w:i/>
        </w:rPr>
        <w:t>MeasResult2NR</w:t>
      </w:r>
      <w:r w:rsidRPr="00FA0D37">
        <w:t xml:space="preserve"> contains measurements on NR frequencies.</w:t>
      </w:r>
    </w:p>
    <w:p w14:paraId="7A0E78B9" w14:textId="77777777" w:rsidR="00394471" w:rsidRPr="00FA0D37" w:rsidRDefault="00394471" w:rsidP="00394471">
      <w:pPr>
        <w:pStyle w:val="TH"/>
        <w:rPr>
          <w:bCs/>
          <w:i/>
          <w:iCs/>
        </w:rPr>
      </w:pPr>
      <w:r w:rsidRPr="00FA0D37">
        <w:rPr>
          <w:bCs/>
          <w:i/>
          <w:iCs/>
        </w:rPr>
        <w:lastRenderedPageBreak/>
        <w:t xml:space="preserve">MeasResult2NR </w:t>
      </w:r>
      <w:r w:rsidRPr="00FA0D37">
        <w:t>information element</w:t>
      </w:r>
    </w:p>
    <w:p w14:paraId="183A3B15" w14:textId="77777777" w:rsidR="00394471" w:rsidRPr="00FA0D37" w:rsidRDefault="00394471" w:rsidP="00FA0D37">
      <w:pPr>
        <w:pStyle w:val="PL"/>
        <w:rPr>
          <w:color w:val="808080"/>
        </w:rPr>
      </w:pPr>
      <w:r w:rsidRPr="00FA0D37">
        <w:rPr>
          <w:color w:val="808080"/>
        </w:rPr>
        <w:t>-- ASN1START</w:t>
      </w:r>
    </w:p>
    <w:p w14:paraId="0CF9616F" w14:textId="77777777" w:rsidR="00394471" w:rsidRPr="00FA0D37" w:rsidRDefault="00394471" w:rsidP="00FA0D37">
      <w:pPr>
        <w:pStyle w:val="PL"/>
        <w:rPr>
          <w:color w:val="808080"/>
        </w:rPr>
      </w:pPr>
      <w:r w:rsidRPr="00FA0D37">
        <w:rPr>
          <w:color w:val="808080"/>
        </w:rPr>
        <w:t>-- TAG-MEASRESULT2NR-START</w:t>
      </w:r>
    </w:p>
    <w:p w14:paraId="561B99C4" w14:textId="77777777" w:rsidR="00394471" w:rsidRPr="00FA0D37" w:rsidRDefault="00394471" w:rsidP="00FA0D37">
      <w:pPr>
        <w:pStyle w:val="PL"/>
      </w:pPr>
    </w:p>
    <w:p w14:paraId="7BE6E81D" w14:textId="77777777" w:rsidR="00394471" w:rsidRPr="00FA0D37" w:rsidRDefault="00394471" w:rsidP="00FA0D37">
      <w:pPr>
        <w:pStyle w:val="PL"/>
      </w:pPr>
      <w:r w:rsidRPr="00FA0D37">
        <w:t xml:space="preserve">MeasResult2NR ::=                   </w:t>
      </w:r>
      <w:r w:rsidRPr="00FA0D37">
        <w:rPr>
          <w:color w:val="993366"/>
        </w:rPr>
        <w:t>SEQUENCE</w:t>
      </w:r>
      <w:r w:rsidRPr="00FA0D37">
        <w:t xml:space="preserve"> {</w:t>
      </w:r>
    </w:p>
    <w:p w14:paraId="6463A0A9" w14:textId="77777777" w:rsidR="00394471" w:rsidRPr="00FA0D37" w:rsidRDefault="00394471" w:rsidP="00FA0D37">
      <w:pPr>
        <w:pStyle w:val="PL"/>
      </w:pPr>
      <w:r w:rsidRPr="00FA0D37">
        <w:t xml:space="preserve">    ssbFrequency                        ARFCN-ValueNR                           </w:t>
      </w:r>
      <w:r w:rsidRPr="00FA0D37">
        <w:rPr>
          <w:color w:val="993366"/>
        </w:rPr>
        <w:t>OPTIONAL</w:t>
      </w:r>
      <w:r w:rsidRPr="00FA0D37">
        <w:t>,</w:t>
      </w:r>
    </w:p>
    <w:p w14:paraId="5D17649C" w14:textId="77777777" w:rsidR="00394471" w:rsidRPr="00FA0D37" w:rsidRDefault="00394471" w:rsidP="00FA0D37">
      <w:pPr>
        <w:pStyle w:val="PL"/>
      </w:pPr>
      <w:r w:rsidRPr="00FA0D37">
        <w:t xml:space="preserve">    refFreqCSI-RS                       ARFCN-ValueNR                           </w:t>
      </w:r>
      <w:r w:rsidRPr="00FA0D37">
        <w:rPr>
          <w:color w:val="993366"/>
        </w:rPr>
        <w:t>OPTIONAL</w:t>
      </w:r>
      <w:r w:rsidRPr="00FA0D37">
        <w:t>,</w:t>
      </w:r>
    </w:p>
    <w:p w14:paraId="657BA01E" w14:textId="77777777" w:rsidR="00394471" w:rsidRPr="00FA0D37" w:rsidRDefault="00394471" w:rsidP="00FA0D37">
      <w:pPr>
        <w:pStyle w:val="PL"/>
      </w:pPr>
      <w:r w:rsidRPr="00FA0D37">
        <w:t xml:space="preserve">    measResultServingCell               MeasResultNR                            </w:t>
      </w:r>
      <w:r w:rsidRPr="00FA0D37">
        <w:rPr>
          <w:color w:val="993366"/>
        </w:rPr>
        <w:t>OPTIONAL</w:t>
      </w:r>
      <w:r w:rsidRPr="00FA0D37">
        <w:t>,</w:t>
      </w:r>
    </w:p>
    <w:p w14:paraId="52BA8ADF" w14:textId="77777777" w:rsidR="00394471" w:rsidRPr="00FA0D37" w:rsidRDefault="00394471" w:rsidP="00FA0D37">
      <w:pPr>
        <w:pStyle w:val="PL"/>
      </w:pPr>
      <w:r w:rsidRPr="00FA0D37">
        <w:t xml:space="preserve">    measResultNeighCellListNR           MeasResultListNR                        </w:t>
      </w:r>
      <w:r w:rsidRPr="00FA0D37">
        <w:rPr>
          <w:color w:val="993366"/>
        </w:rPr>
        <w:t>OPTIONAL</w:t>
      </w:r>
      <w:r w:rsidRPr="00FA0D37">
        <w:t>,</w:t>
      </w:r>
    </w:p>
    <w:p w14:paraId="596E5D09" w14:textId="77777777" w:rsidR="00394471" w:rsidRPr="00FA0D37" w:rsidRDefault="00394471" w:rsidP="00FA0D37">
      <w:pPr>
        <w:pStyle w:val="PL"/>
      </w:pPr>
      <w:r w:rsidRPr="00FA0D37">
        <w:t xml:space="preserve">    ...</w:t>
      </w:r>
    </w:p>
    <w:p w14:paraId="79F3FBCE" w14:textId="77777777" w:rsidR="00394471" w:rsidRPr="00FA0D37" w:rsidRDefault="00394471" w:rsidP="00FA0D37">
      <w:pPr>
        <w:pStyle w:val="PL"/>
      </w:pPr>
      <w:r w:rsidRPr="00FA0D37">
        <w:t>}</w:t>
      </w:r>
    </w:p>
    <w:p w14:paraId="2010105D" w14:textId="77777777" w:rsidR="00394471" w:rsidRPr="00FA0D37" w:rsidRDefault="00394471" w:rsidP="00FA0D37">
      <w:pPr>
        <w:pStyle w:val="PL"/>
      </w:pPr>
    </w:p>
    <w:p w14:paraId="23508373" w14:textId="77777777" w:rsidR="00394471" w:rsidRPr="00FA0D37" w:rsidRDefault="00394471" w:rsidP="00FA0D37">
      <w:pPr>
        <w:pStyle w:val="PL"/>
        <w:rPr>
          <w:color w:val="808080"/>
        </w:rPr>
      </w:pPr>
      <w:r w:rsidRPr="00FA0D37">
        <w:rPr>
          <w:color w:val="808080"/>
        </w:rPr>
        <w:t>-- TAG-MEASRESULT2NR-STOP</w:t>
      </w:r>
    </w:p>
    <w:p w14:paraId="62CF8713" w14:textId="77777777" w:rsidR="00394471" w:rsidRPr="00FA0D37" w:rsidRDefault="00394471" w:rsidP="00FA0D37">
      <w:pPr>
        <w:pStyle w:val="PL"/>
        <w:rPr>
          <w:color w:val="808080"/>
        </w:rPr>
      </w:pPr>
      <w:r w:rsidRPr="00FA0D37">
        <w:rPr>
          <w:color w:val="808080"/>
        </w:rPr>
        <w:t>-- ASN1STOP</w:t>
      </w:r>
    </w:p>
    <w:p w14:paraId="4E7DDBDD" w14:textId="77777777" w:rsidR="00394471" w:rsidRPr="00FA0D37" w:rsidRDefault="00394471" w:rsidP="00394471"/>
    <w:p w14:paraId="4D687FB5" w14:textId="77777777" w:rsidR="00394471" w:rsidRPr="00FA0D37" w:rsidRDefault="00394471" w:rsidP="00394471">
      <w:pPr>
        <w:pStyle w:val="4"/>
      </w:pPr>
      <w:bookmarkStart w:id="1111" w:name="_Toc60777270"/>
      <w:bookmarkStart w:id="1112" w:name="_Toc146781331"/>
      <w:r w:rsidRPr="00FA0D37">
        <w:t>–</w:t>
      </w:r>
      <w:r w:rsidRPr="00FA0D37">
        <w:tab/>
      </w:r>
      <w:r w:rsidRPr="00FA0D37">
        <w:rPr>
          <w:i/>
          <w:iCs/>
          <w:lang w:eastAsia="x-none"/>
        </w:rPr>
        <w:t>MeasResultIdleEUTRA</w:t>
      </w:r>
      <w:bookmarkEnd w:id="1111"/>
      <w:bookmarkEnd w:id="1112"/>
    </w:p>
    <w:p w14:paraId="3CF8151A" w14:textId="77777777" w:rsidR="00394471" w:rsidRPr="00FA0D37" w:rsidRDefault="00394471" w:rsidP="00394471">
      <w:r w:rsidRPr="00FA0D37">
        <w:t xml:space="preserve">The IE </w:t>
      </w:r>
      <w:r w:rsidRPr="00FA0D37">
        <w:rPr>
          <w:i/>
        </w:rPr>
        <w:t>MeasResultIdleEUTRA</w:t>
      </w:r>
      <w:r w:rsidRPr="00FA0D37">
        <w:t xml:space="preserve"> covers the E-UTRA measurement results performed in RRC_IDLE and RRC_INACTIVE.</w:t>
      </w:r>
    </w:p>
    <w:p w14:paraId="144E51D3" w14:textId="77777777" w:rsidR="00394471" w:rsidRPr="00FA0D37" w:rsidRDefault="00394471" w:rsidP="00394471">
      <w:pPr>
        <w:pStyle w:val="TH"/>
        <w:rPr>
          <w:b w:val="0"/>
        </w:rPr>
      </w:pPr>
      <w:r w:rsidRPr="00FA0D37">
        <w:rPr>
          <w:i/>
        </w:rPr>
        <w:t>MeasResultIdleEUTRA</w:t>
      </w:r>
      <w:r w:rsidRPr="00FA0D37">
        <w:t xml:space="preserve"> information element</w:t>
      </w:r>
    </w:p>
    <w:p w14:paraId="1BA5DB27" w14:textId="77777777" w:rsidR="00394471" w:rsidRPr="00FA0D37" w:rsidRDefault="00394471" w:rsidP="00FA0D37">
      <w:pPr>
        <w:pStyle w:val="PL"/>
        <w:rPr>
          <w:color w:val="808080"/>
        </w:rPr>
      </w:pPr>
      <w:r w:rsidRPr="00FA0D37">
        <w:rPr>
          <w:color w:val="808080"/>
        </w:rPr>
        <w:t>-- ASN1START</w:t>
      </w:r>
    </w:p>
    <w:p w14:paraId="44D5364B" w14:textId="77777777" w:rsidR="00394471" w:rsidRPr="00FA0D37" w:rsidRDefault="00394471" w:rsidP="00FA0D37">
      <w:pPr>
        <w:pStyle w:val="PL"/>
        <w:rPr>
          <w:color w:val="808080"/>
        </w:rPr>
      </w:pPr>
      <w:r w:rsidRPr="00FA0D37">
        <w:rPr>
          <w:color w:val="808080"/>
        </w:rPr>
        <w:t>-- TAG-MEASRESULTIDLEEUTRA-START</w:t>
      </w:r>
    </w:p>
    <w:p w14:paraId="4290ADE4" w14:textId="77777777" w:rsidR="00394471" w:rsidRPr="00FA0D37" w:rsidRDefault="00394471" w:rsidP="00FA0D37">
      <w:pPr>
        <w:pStyle w:val="PL"/>
      </w:pPr>
    </w:p>
    <w:p w14:paraId="436BEB14" w14:textId="77777777" w:rsidR="00394471" w:rsidRPr="00FA0D37" w:rsidRDefault="00394471" w:rsidP="00FA0D37">
      <w:pPr>
        <w:pStyle w:val="PL"/>
      </w:pPr>
      <w:r w:rsidRPr="00FA0D37">
        <w:t xml:space="preserve">MeasResultIdleEUTRA-r16 ::= </w:t>
      </w:r>
      <w:r w:rsidRPr="00FA0D37">
        <w:rPr>
          <w:color w:val="993366"/>
        </w:rPr>
        <w:t>SEQUENCE</w:t>
      </w:r>
      <w:r w:rsidRPr="00FA0D37">
        <w:t xml:space="preserve"> {</w:t>
      </w:r>
    </w:p>
    <w:p w14:paraId="1E2643A5" w14:textId="77777777" w:rsidR="00394471" w:rsidRPr="00FA0D37" w:rsidRDefault="00394471" w:rsidP="00FA0D37">
      <w:pPr>
        <w:pStyle w:val="PL"/>
      </w:pPr>
      <w:r w:rsidRPr="00FA0D37">
        <w:t xml:space="preserve">    measResultsPerCarrierListIdleEUTRA-r16   </w:t>
      </w:r>
      <w:r w:rsidRPr="00FA0D37">
        <w:rPr>
          <w:color w:val="993366"/>
        </w:rPr>
        <w:t>SEQUENCE</w:t>
      </w:r>
      <w:r w:rsidRPr="00FA0D37">
        <w:t xml:space="preserve"> (</w:t>
      </w:r>
      <w:r w:rsidRPr="00FA0D37">
        <w:rPr>
          <w:color w:val="993366"/>
        </w:rPr>
        <w:t>SIZE</w:t>
      </w:r>
      <w:r w:rsidRPr="00FA0D37">
        <w:t xml:space="preserve"> (1.. maxFreqIdle-r16))</w:t>
      </w:r>
      <w:r w:rsidRPr="00FA0D37">
        <w:rPr>
          <w:color w:val="993366"/>
        </w:rPr>
        <w:t xml:space="preserve"> OF</w:t>
      </w:r>
      <w:r w:rsidRPr="00FA0D37">
        <w:t xml:space="preserve"> MeasResultsPerCarrierIdleEUTRA-r16,</w:t>
      </w:r>
    </w:p>
    <w:p w14:paraId="3CFDE191" w14:textId="77777777" w:rsidR="00394471" w:rsidRPr="00FA0D37" w:rsidRDefault="00394471" w:rsidP="00FA0D37">
      <w:pPr>
        <w:pStyle w:val="PL"/>
      </w:pPr>
      <w:r w:rsidRPr="00FA0D37">
        <w:t xml:space="preserve">    ...</w:t>
      </w:r>
    </w:p>
    <w:p w14:paraId="72C33C3B" w14:textId="77777777" w:rsidR="00394471" w:rsidRPr="00FA0D37" w:rsidRDefault="00394471" w:rsidP="00FA0D37">
      <w:pPr>
        <w:pStyle w:val="PL"/>
      </w:pPr>
      <w:r w:rsidRPr="00FA0D37">
        <w:t>}</w:t>
      </w:r>
    </w:p>
    <w:p w14:paraId="46EAAB5A" w14:textId="77777777" w:rsidR="00394471" w:rsidRPr="00FA0D37" w:rsidRDefault="00394471" w:rsidP="00FA0D37">
      <w:pPr>
        <w:pStyle w:val="PL"/>
      </w:pPr>
    </w:p>
    <w:p w14:paraId="33BC88B8" w14:textId="77777777" w:rsidR="00394471" w:rsidRPr="00FA0D37" w:rsidRDefault="00394471" w:rsidP="00FA0D37">
      <w:pPr>
        <w:pStyle w:val="PL"/>
      </w:pPr>
      <w:r w:rsidRPr="00FA0D37">
        <w:t xml:space="preserve">MeasResultsPerCarrierIdleEUTRA-r16 ::=  </w:t>
      </w:r>
      <w:r w:rsidRPr="00FA0D37">
        <w:rPr>
          <w:color w:val="993366"/>
        </w:rPr>
        <w:t>SEQUENCE</w:t>
      </w:r>
      <w:r w:rsidRPr="00FA0D37">
        <w:t xml:space="preserve"> {</w:t>
      </w:r>
    </w:p>
    <w:p w14:paraId="62D5B955" w14:textId="77777777" w:rsidR="00394471" w:rsidRPr="00FA0D37" w:rsidRDefault="00394471" w:rsidP="00FA0D37">
      <w:pPr>
        <w:pStyle w:val="PL"/>
      </w:pPr>
      <w:r w:rsidRPr="00FA0D37">
        <w:t xml:space="preserve">    carrierFreqEUTRA-r16                    ARFCN-ValueEUTRA,</w:t>
      </w:r>
    </w:p>
    <w:p w14:paraId="3C33DE73" w14:textId="77777777" w:rsidR="00394471" w:rsidRPr="00FA0D37" w:rsidRDefault="00394471" w:rsidP="00FA0D37">
      <w:pPr>
        <w:pStyle w:val="PL"/>
      </w:pPr>
      <w:r w:rsidRPr="00FA0D37">
        <w:t xml:space="preserve">    measResultsPerCellListIdleEUTRA-r16     </w:t>
      </w:r>
      <w:r w:rsidRPr="00FA0D37">
        <w:rPr>
          <w:color w:val="993366"/>
        </w:rPr>
        <w:t>SEQUENCE</w:t>
      </w:r>
      <w:r w:rsidRPr="00FA0D37">
        <w:t xml:space="preserve"> (</w:t>
      </w:r>
      <w:r w:rsidRPr="00FA0D37">
        <w:rPr>
          <w:color w:val="993366"/>
        </w:rPr>
        <w:t>SIZE</w:t>
      </w:r>
      <w:r w:rsidRPr="00FA0D37">
        <w:t xml:space="preserve"> (1..maxCellMeasIdle-r16))</w:t>
      </w:r>
      <w:r w:rsidRPr="00FA0D37">
        <w:rPr>
          <w:color w:val="993366"/>
        </w:rPr>
        <w:t xml:space="preserve"> OF</w:t>
      </w:r>
      <w:r w:rsidRPr="00FA0D37">
        <w:t xml:space="preserve"> MeasResultsPerCellIdleEUTRA-r16,</w:t>
      </w:r>
    </w:p>
    <w:p w14:paraId="2CE9C330" w14:textId="77777777" w:rsidR="00394471" w:rsidRPr="00FA0D37" w:rsidRDefault="00394471" w:rsidP="00FA0D37">
      <w:pPr>
        <w:pStyle w:val="PL"/>
      </w:pPr>
      <w:r w:rsidRPr="00FA0D37">
        <w:t xml:space="preserve">    ...</w:t>
      </w:r>
    </w:p>
    <w:p w14:paraId="1EF1C103" w14:textId="77777777" w:rsidR="00394471" w:rsidRPr="00FA0D37" w:rsidRDefault="00394471" w:rsidP="00FA0D37">
      <w:pPr>
        <w:pStyle w:val="PL"/>
      </w:pPr>
      <w:r w:rsidRPr="00FA0D37">
        <w:t>}</w:t>
      </w:r>
    </w:p>
    <w:p w14:paraId="3B8648E3" w14:textId="77777777" w:rsidR="00394471" w:rsidRPr="00FA0D37" w:rsidRDefault="00394471" w:rsidP="00FA0D37">
      <w:pPr>
        <w:pStyle w:val="PL"/>
      </w:pPr>
    </w:p>
    <w:p w14:paraId="29A6FA2B" w14:textId="77777777" w:rsidR="00394471" w:rsidRPr="00FA0D37" w:rsidRDefault="00394471" w:rsidP="00FA0D37">
      <w:pPr>
        <w:pStyle w:val="PL"/>
      </w:pPr>
      <w:r w:rsidRPr="00FA0D37">
        <w:t xml:space="preserve">MeasResultsPerCellIdleEUTRA-r16 ::=     </w:t>
      </w:r>
      <w:r w:rsidRPr="00FA0D37">
        <w:rPr>
          <w:color w:val="993366"/>
        </w:rPr>
        <w:t>SEQUENCE</w:t>
      </w:r>
      <w:r w:rsidRPr="00FA0D37">
        <w:t xml:space="preserve"> {</w:t>
      </w:r>
    </w:p>
    <w:p w14:paraId="05D804F6" w14:textId="77777777" w:rsidR="00394471" w:rsidRPr="00FA0D37" w:rsidRDefault="00394471" w:rsidP="00FA0D37">
      <w:pPr>
        <w:pStyle w:val="PL"/>
      </w:pPr>
      <w:r w:rsidRPr="00FA0D37">
        <w:t xml:space="preserve">    eutra-PhysCellId-r16                    EUTRA-PhysCellId,</w:t>
      </w:r>
    </w:p>
    <w:p w14:paraId="4B4313D4" w14:textId="77777777" w:rsidR="00394471" w:rsidRPr="00FA0D37" w:rsidRDefault="00394471" w:rsidP="00FA0D37">
      <w:pPr>
        <w:pStyle w:val="PL"/>
      </w:pPr>
      <w:r w:rsidRPr="00FA0D37">
        <w:t xml:space="preserve">    measIdleResultEUTRA-r16                 </w:t>
      </w:r>
      <w:r w:rsidRPr="00FA0D37">
        <w:rPr>
          <w:color w:val="993366"/>
        </w:rPr>
        <w:t>SEQUENCE</w:t>
      </w:r>
      <w:r w:rsidRPr="00FA0D37">
        <w:t xml:space="preserve"> {</w:t>
      </w:r>
    </w:p>
    <w:p w14:paraId="675C8A46" w14:textId="77777777" w:rsidR="00394471" w:rsidRPr="00FA0D37" w:rsidRDefault="00394471" w:rsidP="00FA0D37">
      <w:pPr>
        <w:pStyle w:val="PL"/>
      </w:pPr>
      <w:r w:rsidRPr="00FA0D37">
        <w:t xml:space="preserve">       rsrp-ResultEUTRA-r16                     RSRP-RangeEUTRA                                                     </w:t>
      </w:r>
      <w:r w:rsidRPr="00FA0D37">
        <w:rPr>
          <w:color w:val="993366"/>
        </w:rPr>
        <w:t>OPTIONAL</w:t>
      </w:r>
      <w:r w:rsidRPr="00FA0D37">
        <w:t>,</w:t>
      </w:r>
    </w:p>
    <w:p w14:paraId="64318C99" w14:textId="77777777" w:rsidR="00394471" w:rsidRPr="00FA0D37" w:rsidRDefault="00394471" w:rsidP="00FA0D37">
      <w:pPr>
        <w:pStyle w:val="PL"/>
      </w:pPr>
      <w:r w:rsidRPr="00FA0D37">
        <w:t xml:space="preserve">       rsrq-ResultEUTRA-r16                     RSRQ-RangeEUTRA-r16                                                 </w:t>
      </w:r>
      <w:r w:rsidRPr="00FA0D37">
        <w:rPr>
          <w:color w:val="993366"/>
        </w:rPr>
        <w:t>OPTIONAL</w:t>
      </w:r>
    </w:p>
    <w:p w14:paraId="5BEBBC5F" w14:textId="77777777" w:rsidR="00394471" w:rsidRPr="00FA0D37" w:rsidRDefault="00394471" w:rsidP="00FA0D37">
      <w:pPr>
        <w:pStyle w:val="PL"/>
      </w:pPr>
      <w:r w:rsidRPr="00FA0D37">
        <w:t xml:space="preserve">    },</w:t>
      </w:r>
    </w:p>
    <w:p w14:paraId="7DA66CD6" w14:textId="77777777" w:rsidR="00394471" w:rsidRPr="00FA0D37" w:rsidRDefault="00394471" w:rsidP="00FA0D37">
      <w:pPr>
        <w:pStyle w:val="PL"/>
      </w:pPr>
      <w:r w:rsidRPr="00FA0D37">
        <w:t xml:space="preserve">    ...</w:t>
      </w:r>
    </w:p>
    <w:p w14:paraId="74AA5642" w14:textId="77777777" w:rsidR="00394471" w:rsidRPr="00FA0D37" w:rsidRDefault="00394471" w:rsidP="00FA0D37">
      <w:pPr>
        <w:pStyle w:val="PL"/>
      </w:pPr>
      <w:r w:rsidRPr="00FA0D37">
        <w:t>}</w:t>
      </w:r>
    </w:p>
    <w:p w14:paraId="45BC2061" w14:textId="77777777" w:rsidR="00394471" w:rsidRPr="00FA0D37" w:rsidRDefault="00394471" w:rsidP="00FA0D37">
      <w:pPr>
        <w:pStyle w:val="PL"/>
      </w:pPr>
    </w:p>
    <w:p w14:paraId="5D33138F" w14:textId="77777777" w:rsidR="00394471" w:rsidRPr="00FA0D37" w:rsidRDefault="00394471" w:rsidP="00FA0D37">
      <w:pPr>
        <w:pStyle w:val="PL"/>
        <w:rPr>
          <w:color w:val="808080"/>
        </w:rPr>
      </w:pPr>
      <w:r w:rsidRPr="00FA0D37">
        <w:rPr>
          <w:color w:val="808080"/>
        </w:rPr>
        <w:t>-- TAG-MEASRESULTIDLEEUTRA-STOP</w:t>
      </w:r>
    </w:p>
    <w:p w14:paraId="0B824B7D" w14:textId="77777777" w:rsidR="00394471" w:rsidRPr="00FA0D37" w:rsidRDefault="00394471" w:rsidP="00FA0D37">
      <w:pPr>
        <w:pStyle w:val="PL"/>
        <w:rPr>
          <w:color w:val="808080"/>
        </w:rPr>
      </w:pPr>
      <w:r w:rsidRPr="00FA0D37">
        <w:rPr>
          <w:color w:val="808080"/>
        </w:rPr>
        <w:t>-- ASN1STOP</w:t>
      </w:r>
    </w:p>
    <w:p w14:paraId="2096BB86" w14:textId="77777777" w:rsidR="00394471" w:rsidRPr="00FA0D3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FA0D37" w:rsidRDefault="00394471" w:rsidP="00964CC4">
            <w:pPr>
              <w:pStyle w:val="TAH"/>
              <w:rPr>
                <w:b w:val="0"/>
                <w:i/>
                <w:iCs/>
              </w:rPr>
            </w:pPr>
            <w:r w:rsidRPr="00FA0D37">
              <w:rPr>
                <w:i/>
                <w:iCs/>
              </w:rPr>
              <w:lastRenderedPageBreak/>
              <w:t>MeasResultIdleEUTRA field descriptions</w:t>
            </w:r>
          </w:p>
        </w:tc>
      </w:tr>
      <w:tr w:rsidR="005C7FF4" w:rsidRPr="00FA0D37"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FA0D37" w:rsidRDefault="00394471" w:rsidP="00964CC4">
            <w:pPr>
              <w:pStyle w:val="TAL"/>
              <w:rPr>
                <w:b/>
                <w:bCs/>
                <w:i/>
                <w:iCs/>
                <w:noProof/>
                <w:lang w:eastAsia="en-GB"/>
              </w:rPr>
            </w:pPr>
            <w:r w:rsidRPr="00FA0D37">
              <w:rPr>
                <w:b/>
                <w:bCs/>
                <w:i/>
                <w:iCs/>
                <w:noProof/>
              </w:rPr>
              <w:t>carrierFreqEUTRA</w:t>
            </w:r>
          </w:p>
          <w:p w14:paraId="0787B72F" w14:textId="77777777" w:rsidR="00394471" w:rsidRPr="00FA0D37" w:rsidRDefault="00394471" w:rsidP="00964CC4">
            <w:pPr>
              <w:pStyle w:val="TAL"/>
              <w:rPr>
                <w:noProof/>
              </w:rPr>
            </w:pPr>
            <w:r w:rsidRPr="00FA0D37">
              <w:t>Indicates the E-UTRA carrier frequency.</w:t>
            </w:r>
          </w:p>
        </w:tc>
      </w:tr>
      <w:tr w:rsidR="005C7FF4" w:rsidRPr="00FA0D37"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FA0D37" w:rsidRDefault="00394471" w:rsidP="00964CC4">
            <w:pPr>
              <w:pStyle w:val="TAL"/>
              <w:rPr>
                <w:b/>
                <w:bCs/>
                <w:i/>
                <w:iCs/>
                <w:noProof/>
              </w:rPr>
            </w:pPr>
            <w:r w:rsidRPr="00FA0D37">
              <w:rPr>
                <w:b/>
                <w:bCs/>
                <w:i/>
                <w:iCs/>
                <w:noProof/>
              </w:rPr>
              <w:t>eutra-PhysCellId</w:t>
            </w:r>
          </w:p>
          <w:p w14:paraId="1DE0D7ED" w14:textId="77777777" w:rsidR="00394471" w:rsidRPr="00FA0D37" w:rsidRDefault="00394471" w:rsidP="00964CC4">
            <w:pPr>
              <w:pStyle w:val="TAL"/>
              <w:rPr>
                <w:bCs/>
                <w:iCs/>
                <w:noProof/>
                <w:szCs w:val="24"/>
              </w:rPr>
            </w:pPr>
            <w:r w:rsidRPr="00FA0D37">
              <w:rPr>
                <w:bCs/>
                <w:iCs/>
                <w:noProof/>
              </w:rPr>
              <w:t>Indicates the physical cell identity of an E-UTRA cell.</w:t>
            </w:r>
          </w:p>
        </w:tc>
      </w:tr>
      <w:tr w:rsidR="005C7FF4" w:rsidRPr="00FA0D37"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FA0D37" w:rsidRDefault="00394471" w:rsidP="00964CC4">
            <w:pPr>
              <w:pStyle w:val="TAL"/>
              <w:rPr>
                <w:b/>
                <w:bCs/>
                <w:i/>
                <w:iCs/>
                <w:noProof/>
              </w:rPr>
            </w:pPr>
            <w:r w:rsidRPr="00FA0D37">
              <w:rPr>
                <w:b/>
                <w:bCs/>
                <w:i/>
                <w:iCs/>
                <w:noProof/>
              </w:rPr>
              <w:t>measIdleResultEUTRA</w:t>
            </w:r>
          </w:p>
          <w:p w14:paraId="6C2E9FF7" w14:textId="77777777" w:rsidR="00394471" w:rsidRPr="00FA0D37" w:rsidRDefault="00394471" w:rsidP="00964CC4">
            <w:pPr>
              <w:pStyle w:val="TAL"/>
              <w:rPr>
                <w:bCs/>
                <w:iCs/>
                <w:noProof/>
              </w:rPr>
            </w:pPr>
            <w:r w:rsidRPr="00FA0D37">
              <w:rPr>
                <w:bCs/>
                <w:iCs/>
                <w:noProof/>
              </w:rPr>
              <w:t>Idle/inactive measurement results for an E-UTRA cell.</w:t>
            </w:r>
          </w:p>
        </w:tc>
      </w:tr>
      <w:tr w:rsidR="005C7FF4" w:rsidRPr="00FA0D37"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FA0D37" w:rsidRDefault="00394471" w:rsidP="00964CC4">
            <w:pPr>
              <w:pStyle w:val="TAL"/>
              <w:rPr>
                <w:b/>
                <w:bCs/>
                <w:i/>
                <w:iCs/>
                <w:noProof/>
              </w:rPr>
            </w:pPr>
            <w:r w:rsidRPr="00FA0D37">
              <w:rPr>
                <w:b/>
                <w:bCs/>
                <w:i/>
                <w:iCs/>
                <w:noProof/>
              </w:rPr>
              <w:t>measResultsPerCarrierListIdleEUTRA</w:t>
            </w:r>
          </w:p>
          <w:p w14:paraId="4D94561F" w14:textId="77777777" w:rsidR="00394471" w:rsidRPr="00FA0D37" w:rsidRDefault="00394471" w:rsidP="00964CC4">
            <w:pPr>
              <w:pStyle w:val="TAL"/>
              <w:rPr>
                <w:noProof/>
              </w:rPr>
            </w:pPr>
            <w:r w:rsidRPr="00FA0D37">
              <w:rPr>
                <w:bCs/>
                <w:iCs/>
                <w:noProof/>
              </w:rPr>
              <w:t>List of idle/inactive measured results for the maximum number of reported E-UTRA carriers.</w:t>
            </w:r>
          </w:p>
        </w:tc>
      </w:tr>
      <w:tr w:rsidR="00394471" w:rsidRPr="00FA0D37"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FA0D37" w:rsidRDefault="00394471" w:rsidP="00964CC4">
            <w:pPr>
              <w:pStyle w:val="TAL"/>
              <w:rPr>
                <w:b/>
                <w:bCs/>
                <w:i/>
                <w:iCs/>
                <w:noProof/>
              </w:rPr>
            </w:pPr>
            <w:r w:rsidRPr="00FA0D37">
              <w:rPr>
                <w:b/>
                <w:bCs/>
                <w:i/>
                <w:iCs/>
                <w:noProof/>
              </w:rPr>
              <w:t>measResultsPerCellListIdleEUTRA</w:t>
            </w:r>
          </w:p>
          <w:p w14:paraId="3C00259C" w14:textId="77777777" w:rsidR="00394471" w:rsidRPr="00FA0D37" w:rsidRDefault="00394471" w:rsidP="00964CC4">
            <w:pPr>
              <w:pStyle w:val="TAL"/>
              <w:rPr>
                <w:bCs/>
                <w:iCs/>
                <w:noProof/>
              </w:rPr>
            </w:pPr>
            <w:r w:rsidRPr="00FA0D37">
              <w:rPr>
                <w:bCs/>
                <w:iCs/>
                <w:noProof/>
              </w:rPr>
              <w:t>List of idle/inactive measured results for the maximum number of reported best cells for a given E-UTRA carrier.</w:t>
            </w:r>
          </w:p>
        </w:tc>
      </w:tr>
    </w:tbl>
    <w:p w14:paraId="2AC96CF6" w14:textId="77777777" w:rsidR="00394471" w:rsidRPr="00FA0D37" w:rsidRDefault="00394471" w:rsidP="00394471">
      <w:pPr>
        <w:rPr>
          <w:iCs/>
        </w:rPr>
      </w:pPr>
    </w:p>
    <w:p w14:paraId="0C65E353" w14:textId="77777777" w:rsidR="00394471" w:rsidRPr="00FA0D37" w:rsidRDefault="00394471" w:rsidP="00394471">
      <w:pPr>
        <w:pStyle w:val="4"/>
      </w:pPr>
      <w:bookmarkStart w:id="1113" w:name="_Toc60777271"/>
      <w:bookmarkStart w:id="1114" w:name="_Toc146781332"/>
      <w:r w:rsidRPr="00FA0D37">
        <w:t>–</w:t>
      </w:r>
      <w:r w:rsidRPr="00FA0D37">
        <w:tab/>
      </w:r>
      <w:r w:rsidRPr="00FA0D37">
        <w:rPr>
          <w:i/>
          <w:iCs/>
          <w:lang w:eastAsia="x-none"/>
        </w:rPr>
        <w:t>MeasResultIdleNR</w:t>
      </w:r>
      <w:bookmarkEnd w:id="1113"/>
      <w:bookmarkEnd w:id="1114"/>
    </w:p>
    <w:p w14:paraId="3BCEA558" w14:textId="77777777" w:rsidR="00394471" w:rsidRPr="00FA0D37" w:rsidRDefault="00394471" w:rsidP="00394471">
      <w:r w:rsidRPr="00FA0D37">
        <w:t xml:space="preserve">The IE </w:t>
      </w:r>
      <w:r w:rsidRPr="00FA0D37">
        <w:rPr>
          <w:i/>
        </w:rPr>
        <w:t>MeasResultIdleNR</w:t>
      </w:r>
      <w:r w:rsidRPr="00FA0D37">
        <w:t xml:space="preserve"> covers the NR measurement results performed in RRC_IDLE and RRC_INACTIVE.</w:t>
      </w:r>
    </w:p>
    <w:p w14:paraId="01A9F1AC" w14:textId="77777777" w:rsidR="00394471" w:rsidRPr="00FA0D37" w:rsidRDefault="00394471" w:rsidP="00394471">
      <w:pPr>
        <w:pStyle w:val="TH"/>
        <w:rPr>
          <w:b w:val="0"/>
        </w:rPr>
      </w:pPr>
      <w:r w:rsidRPr="00FA0D37">
        <w:rPr>
          <w:i/>
        </w:rPr>
        <w:t>MeasResultIdleNR</w:t>
      </w:r>
      <w:r w:rsidRPr="00FA0D37">
        <w:t xml:space="preserve"> information element</w:t>
      </w:r>
    </w:p>
    <w:p w14:paraId="6FA8F8A5" w14:textId="77777777" w:rsidR="00394471" w:rsidRPr="00FA0D37" w:rsidRDefault="00394471" w:rsidP="00FA0D37">
      <w:pPr>
        <w:pStyle w:val="PL"/>
        <w:rPr>
          <w:color w:val="808080"/>
        </w:rPr>
      </w:pPr>
      <w:r w:rsidRPr="00FA0D37">
        <w:rPr>
          <w:color w:val="808080"/>
        </w:rPr>
        <w:t>-- ASN1START</w:t>
      </w:r>
    </w:p>
    <w:p w14:paraId="4057D5BE" w14:textId="77777777" w:rsidR="00394471" w:rsidRPr="00FA0D37" w:rsidRDefault="00394471" w:rsidP="00FA0D37">
      <w:pPr>
        <w:pStyle w:val="PL"/>
        <w:rPr>
          <w:color w:val="808080"/>
        </w:rPr>
      </w:pPr>
      <w:r w:rsidRPr="00FA0D37">
        <w:rPr>
          <w:color w:val="808080"/>
        </w:rPr>
        <w:t>-- TAG-MEASRESULTIDLENR-START</w:t>
      </w:r>
    </w:p>
    <w:p w14:paraId="04AFAC86" w14:textId="77777777" w:rsidR="00394471" w:rsidRPr="00FA0D37" w:rsidRDefault="00394471" w:rsidP="00FA0D37">
      <w:pPr>
        <w:pStyle w:val="PL"/>
      </w:pPr>
    </w:p>
    <w:p w14:paraId="627A43A1" w14:textId="77777777" w:rsidR="00394471" w:rsidRPr="00FA0D37" w:rsidRDefault="00394471" w:rsidP="00FA0D37">
      <w:pPr>
        <w:pStyle w:val="PL"/>
      </w:pPr>
      <w:r w:rsidRPr="00FA0D37">
        <w:t xml:space="preserve">MeasResultIdleNR-r16 ::=  </w:t>
      </w:r>
      <w:r w:rsidRPr="00FA0D37">
        <w:rPr>
          <w:color w:val="993366"/>
        </w:rPr>
        <w:t>SEQUENCE</w:t>
      </w:r>
      <w:r w:rsidRPr="00FA0D37">
        <w:t xml:space="preserve"> {</w:t>
      </w:r>
    </w:p>
    <w:p w14:paraId="0781651D" w14:textId="77777777" w:rsidR="00394471" w:rsidRPr="00FA0D37" w:rsidRDefault="00394471" w:rsidP="00FA0D37">
      <w:pPr>
        <w:pStyle w:val="PL"/>
      </w:pPr>
      <w:r w:rsidRPr="00FA0D37">
        <w:t xml:space="preserve">    measResultServingCell-r16 </w:t>
      </w:r>
      <w:r w:rsidRPr="00FA0D37">
        <w:rPr>
          <w:color w:val="993366"/>
        </w:rPr>
        <w:t>SEQUENCE</w:t>
      </w:r>
      <w:r w:rsidRPr="00FA0D37">
        <w:t xml:space="preserve"> {</w:t>
      </w:r>
    </w:p>
    <w:p w14:paraId="0A10B30D" w14:textId="77777777" w:rsidR="00394471" w:rsidRPr="00FA0D37" w:rsidRDefault="00394471" w:rsidP="00FA0D37">
      <w:pPr>
        <w:pStyle w:val="PL"/>
      </w:pPr>
      <w:r w:rsidRPr="00FA0D37">
        <w:t xml:space="preserve">        rsrp-Result-r16           RSRP-Range                                                                        </w:t>
      </w:r>
      <w:r w:rsidRPr="00FA0D37">
        <w:rPr>
          <w:color w:val="993366"/>
        </w:rPr>
        <w:t>OPTIONAL</w:t>
      </w:r>
      <w:r w:rsidRPr="00FA0D37">
        <w:t>,</w:t>
      </w:r>
    </w:p>
    <w:p w14:paraId="3DB19EF6" w14:textId="77777777" w:rsidR="00394471" w:rsidRPr="00FA0D37" w:rsidRDefault="00394471" w:rsidP="00FA0D37">
      <w:pPr>
        <w:pStyle w:val="PL"/>
      </w:pPr>
      <w:r w:rsidRPr="00FA0D37">
        <w:t xml:space="preserve">        rsrq-Result-r16           RSRQ-Range                                                                        </w:t>
      </w:r>
      <w:r w:rsidRPr="00FA0D37">
        <w:rPr>
          <w:color w:val="993366"/>
        </w:rPr>
        <w:t>OPTIONAL</w:t>
      </w:r>
      <w:r w:rsidRPr="00FA0D37">
        <w:t>,</w:t>
      </w:r>
    </w:p>
    <w:p w14:paraId="622C27C5" w14:textId="77777777" w:rsidR="00394471" w:rsidRPr="00FA0D37" w:rsidRDefault="00394471" w:rsidP="00FA0D37">
      <w:pPr>
        <w:pStyle w:val="PL"/>
      </w:pPr>
      <w:r w:rsidRPr="00FA0D37">
        <w:t xml:space="preserve">        resultsSSB-Indexes-r16    ResultsPerSSB-IndexList-r16                                                       </w:t>
      </w:r>
      <w:r w:rsidRPr="00FA0D37">
        <w:rPr>
          <w:color w:val="993366"/>
        </w:rPr>
        <w:t>OPTIONAL</w:t>
      </w:r>
    </w:p>
    <w:p w14:paraId="52FE99B1" w14:textId="77777777" w:rsidR="00394471" w:rsidRPr="00FA0D37" w:rsidRDefault="00394471" w:rsidP="00FA0D37">
      <w:pPr>
        <w:pStyle w:val="PL"/>
      </w:pPr>
      <w:r w:rsidRPr="00FA0D37">
        <w:t xml:space="preserve">    },</w:t>
      </w:r>
    </w:p>
    <w:p w14:paraId="0C5AEF13" w14:textId="77777777" w:rsidR="00394471" w:rsidRPr="00FA0D37" w:rsidRDefault="00394471" w:rsidP="00FA0D37">
      <w:pPr>
        <w:pStyle w:val="PL"/>
      </w:pPr>
      <w:r w:rsidRPr="00FA0D37">
        <w:t xml:space="preserve">    measResultsPerCarrierListIdleNR-r16 </w:t>
      </w:r>
      <w:r w:rsidRPr="00FA0D37">
        <w:rPr>
          <w:color w:val="993366"/>
        </w:rPr>
        <w:t>SEQUENCE</w:t>
      </w:r>
      <w:r w:rsidRPr="00FA0D37">
        <w:t xml:space="preserve"> (</w:t>
      </w:r>
      <w:r w:rsidRPr="00FA0D37">
        <w:rPr>
          <w:color w:val="993366"/>
        </w:rPr>
        <w:t>SIZE</w:t>
      </w:r>
      <w:r w:rsidRPr="00FA0D37">
        <w:t xml:space="preserve"> (1.. maxFreqIdle-r16))</w:t>
      </w:r>
      <w:r w:rsidRPr="00FA0D37">
        <w:rPr>
          <w:color w:val="993366"/>
        </w:rPr>
        <w:t xml:space="preserve"> OF</w:t>
      </w:r>
      <w:r w:rsidRPr="00FA0D37">
        <w:t xml:space="preserve"> MeasResultsPerCarrierIdleNR-r16    </w:t>
      </w:r>
      <w:r w:rsidRPr="00FA0D37">
        <w:rPr>
          <w:color w:val="993366"/>
        </w:rPr>
        <w:t>OPTIONAL</w:t>
      </w:r>
      <w:r w:rsidRPr="00FA0D37">
        <w:t>,</w:t>
      </w:r>
    </w:p>
    <w:p w14:paraId="1792623A" w14:textId="77777777" w:rsidR="00394471" w:rsidRPr="00FA0D37" w:rsidRDefault="00394471" w:rsidP="00FA0D37">
      <w:pPr>
        <w:pStyle w:val="PL"/>
      </w:pPr>
      <w:r w:rsidRPr="00FA0D37">
        <w:t xml:space="preserve">    ...</w:t>
      </w:r>
    </w:p>
    <w:p w14:paraId="65CF18FE" w14:textId="77777777" w:rsidR="00394471" w:rsidRPr="00FA0D37" w:rsidRDefault="00394471" w:rsidP="00FA0D37">
      <w:pPr>
        <w:pStyle w:val="PL"/>
      </w:pPr>
      <w:r w:rsidRPr="00FA0D37">
        <w:t>}</w:t>
      </w:r>
    </w:p>
    <w:p w14:paraId="54FEC4E1" w14:textId="77777777" w:rsidR="00394471" w:rsidRPr="00FA0D37" w:rsidRDefault="00394471" w:rsidP="00FA0D37">
      <w:pPr>
        <w:pStyle w:val="PL"/>
      </w:pPr>
    </w:p>
    <w:p w14:paraId="4CD3C833" w14:textId="77777777" w:rsidR="00394471" w:rsidRPr="00FA0D37" w:rsidRDefault="00394471" w:rsidP="00FA0D37">
      <w:pPr>
        <w:pStyle w:val="PL"/>
      </w:pPr>
      <w:r w:rsidRPr="00FA0D37">
        <w:t xml:space="preserve">MeasResultsPerCarrierIdleNR-r16 ::=   </w:t>
      </w:r>
      <w:r w:rsidRPr="00FA0D37">
        <w:rPr>
          <w:color w:val="993366"/>
        </w:rPr>
        <w:t>SEQUENCE</w:t>
      </w:r>
      <w:r w:rsidRPr="00FA0D37">
        <w:t xml:space="preserve"> {</w:t>
      </w:r>
    </w:p>
    <w:p w14:paraId="73B42BE9" w14:textId="77777777" w:rsidR="00394471" w:rsidRPr="00FA0D37" w:rsidRDefault="00394471" w:rsidP="00FA0D37">
      <w:pPr>
        <w:pStyle w:val="PL"/>
      </w:pPr>
      <w:r w:rsidRPr="00FA0D37">
        <w:t xml:space="preserve">    carrierFreq-r16                       ARFCN-ValueNR,</w:t>
      </w:r>
    </w:p>
    <w:p w14:paraId="62056C40" w14:textId="77777777" w:rsidR="00394471" w:rsidRPr="00FA0D37" w:rsidRDefault="00394471" w:rsidP="00FA0D37">
      <w:pPr>
        <w:pStyle w:val="PL"/>
      </w:pPr>
      <w:r w:rsidRPr="00FA0D37">
        <w:t xml:space="preserve">    measResultsPerCellListIdleNR-r16      </w:t>
      </w:r>
      <w:r w:rsidRPr="00FA0D37">
        <w:rPr>
          <w:color w:val="993366"/>
        </w:rPr>
        <w:t>SEQUENCE</w:t>
      </w:r>
      <w:r w:rsidRPr="00FA0D37">
        <w:t xml:space="preserve"> (</w:t>
      </w:r>
      <w:r w:rsidRPr="00FA0D37">
        <w:rPr>
          <w:color w:val="993366"/>
        </w:rPr>
        <w:t>SIZE</w:t>
      </w:r>
      <w:r w:rsidRPr="00FA0D37">
        <w:t xml:space="preserve"> (1..maxCellMeasIdle-r16))</w:t>
      </w:r>
      <w:r w:rsidRPr="00FA0D37">
        <w:rPr>
          <w:color w:val="993366"/>
        </w:rPr>
        <w:t xml:space="preserve"> OF</w:t>
      </w:r>
      <w:r w:rsidRPr="00FA0D37">
        <w:t xml:space="preserve"> MeasResultsPerCellIdleNR-r16,</w:t>
      </w:r>
    </w:p>
    <w:p w14:paraId="0516AE97" w14:textId="77777777" w:rsidR="00394471" w:rsidRPr="00FA0D37" w:rsidRDefault="00394471" w:rsidP="00FA0D37">
      <w:pPr>
        <w:pStyle w:val="PL"/>
      </w:pPr>
      <w:r w:rsidRPr="00FA0D37">
        <w:t xml:space="preserve">    ...</w:t>
      </w:r>
    </w:p>
    <w:p w14:paraId="52349A71" w14:textId="77777777" w:rsidR="00394471" w:rsidRPr="00FA0D37" w:rsidRDefault="00394471" w:rsidP="00FA0D37">
      <w:pPr>
        <w:pStyle w:val="PL"/>
      </w:pPr>
      <w:r w:rsidRPr="00FA0D37">
        <w:t>}</w:t>
      </w:r>
    </w:p>
    <w:p w14:paraId="4715B4BF" w14:textId="77777777" w:rsidR="00394471" w:rsidRPr="00FA0D37" w:rsidRDefault="00394471" w:rsidP="00FA0D37">
      <w:pPr>
        <w:pStyle w:val="PL"/>
      </w:pPr>
    </w:p>
    <w:p w14:paraId="26C3D91B" w14:textId="77777777" w:rsidR="00394471" w:rsidRPr="00FA0D37" w:rsidRDefault="00394471" w:rsidP="00FA0D37">
      <w:pPr>
        <w:pStyle w:val="PL"/>
      </w:pPr>
      <w:r w:rsidRPr="00FA0D37">
        <w:t xml:space="preserve">MeasResultsPerCellIdleNR-r16 ::=  </w:t>
      </w:r>
      <w:r w:rsidRPr="00FA0D37">
        <w:rPr>
          <w:color w:val="993366"/>
        </w:rPr>
        <w:t>SEQUENCE</w:t>
      </w:r>
      <w:r w:rsidRPr="00FA0D37">
        <w:t xml:space="preserve"> {</w:t>
      </w:r>
    </w:p>
    <w:p w14:paraId="426CB2DB" w14:textId="77777777" w:rsidR="00394471" w:rsidRPr="00FA0D37" w:rsidRDefault="00394471" w:rsidP="00FA0D37">
      <w:pPr>
        <w:pStyle w:val="PL"/>
      </w:pPr>
      <w:r w:rsidRPr="00FA0D37">
        <w:t xml:space="preserve">    physCellId-r16                    PhysCellId,</w:t>
      </w:r>
    </w:p>
    <w:p w14:paraId="5F16516D" w14:textId="77777777" w:rsidR="00394471" w:rsidRPr="00FA0D37" w:rsidRDefault="00394471" w:rsidP="00FA0D37">
      <w:pPr>
        <w:pStyle w:val="PL"/>
      </w:pPr>
      <w:r w:rsidRPr="00FA0D37">
        <w:t xml:space="preserve">    measIdleResultNR-r16              </w:t>
      </w:r>
      <w:r w:rsidRPr="00FA0D37">
        <w:rPr>
          <w:color w:val="993366"/>
        </w:rPr>
        <w:t>SEQUENCE</w:t>
      </w:r>
      <w:r w:rsidRPr="00FA0D37">
        <w:t xml:space="preserve"> {</w:t>
      </w:r>
    </w:p>
    <w:p w14:paraId="763EA294" w14:textId="77777777" w:rsidR="00394471" w:rsidRPr="00FA0D37" w:rsidRDefault="00394471" w:rsidP="00FA0D37">
      <w:pPr>
        <w:pStyle w:val="PL"/>
      </w:pPr>
      <w:r w:rsidRPr="00FA0D37">
        <w:t xml:space="preserve">        rsrp-Result-r16                   RSRP-Range                                                              </w:t>
      </w:r>
      <w:r w:rsidRPr="00FA0D37">
        <w:rPr>
          <w:color w:val="993366"/>
        </w:rPr>
        <w:t>OPTIONAL</w:t>
      </w:r>
      <w:r w:rsidRPr="00FA0D37">
        <w:t>,</w:t>
      </w:r>
    </w:p>
    <w:p w14:paraId="5BEFFBC1" w14:textId="77777777" w:rsidR="00394471" w:rsidRPr="00FA0D37" w:rsidRDefault="00394471" w:rsidP="00FA0D37">
      <w:pPr>
        <w:pStyle w:val="PL"/>
      </w:pPr>
      <w:r w:rsidRPr="00FA0D37">
        <w:t xml:space="preserve">        rsrq-Result-r16                   RSRQ-Range                                                              </w:t>
      </w:r>
      <w:r w:rsidRPr="00FA0D37">
        <w:rPr>
          <w:color w:val="993366"/>
        </w:rPr>
        <w:t>OPTIONAL</w:t>
      </w:r>
      <w:r w:rsidRPr="00FA0D37">
        <w:t>,</w:t>
      </w:r>
    </w:p>
    <w:p w14:paraId="2099FBD9" w14:textId="77777777" w:rsidR="00394471" w:rsidRPr="00FA0D37" w:rsidRDefault="00394471" w:rsidP="00FA0D37">
      <w:pPr>
        <w:pStyle w:val="PL"/>
      </w:pPr>
      <w:r w:rsidRPr="00FA0D37">
        <w:t xml:space="preserve">        resultsSSB-Indexes-r16            ResultsPerSSB-IndexList-r16                                             </w:t>
      </w:r>
      <w:r w:rsidRPr="00FA0D37">
        <w:rPr>
          <w:color w:val="993366"/>
        </w:rPr>
        <w:t>OPTIONAL</w:t>
      </w:r>
    </w:p>
    <w:p w14:paraId="4E5F7A6A" w14:textId="77777777" w:rsidR="00394471" w:rsidRPr="00FA0D37" w:rsidRDefault="00394471" w:rsidP="00FA0D37">
      <w:pPr>
        <w:pStyle w:val="PL"/>
      </w:pPr>
      <w:r w:rsidRPr="00FA0D37">
        <w:t xml:space="preserve">    },</w:t>
      </w:r>
    </w:p>
    <w:p w14:paraId="3FE81265" w14:textId="77777777" w:rsidR="00394471" w:rsidRPr="00FA0D37" w:rsidRDefault="00394471" w:rsidP="00FA0D37">
      <w:pPr>
        <w:pStyle w:val="PL"/>
      </w:pPr>
      <w:r w:rsidRPr="00FA0D37">
        <w:t xml:space="preserve">    ...</w:t>
      </w:r>
    </w:p>
    <w:p w14:paraId="45167705" w14:textId="77777777" w:rsidR="00394471" w:rsidRPr="00FA0D37" w:rsidRDefault="00394471" w:rsidP="00FA0D37">
      <w:pPr>
        <w:pStyle w:val="PL"/>
      </w:pPr>
      <w:r w:rsidRPr="00FA0D37">
        <w:t>}</w:t>
      </w:r>
    </w:p>
    <w:p w14:paraId="09E0DBDA" w14:textId="77777777" w:rsidR="00394471" w:rsidRPr="00FA0D37" w:rsidRDefault="00394471" w:rsidP="00FA0D37">
      <w:pPr>
        <w:pStyle w:val="PL"/>
      </w:pPr>
    </w:p>
    <w:p w14:paraId="125EF64A" w14:textId="77777777" w:rsidR="00394471" w:rsidRPr="00FA0D37" w:rsidRDefault="00394471" w:rsidP="00FA0D37">
      <w:pPr>
        <w:pStyle w:val="PL"/>
      </w:pPr>
      <w:r w:rsidRPr="00FA0D37">
        <w:lastRenderedPageBreak/>
        <w:t xml:space="preserve">ResultsPerSSB-IndexList-r16 ::=   </w:t>
      </w:r>
      <w:r w:rsidRPr="00FA0D37">
        <w:rPr>
          <w:color w:val="993366"/>
        </w:rPr>
        <w:t>SEQUENCE</w:t>
      </w:r>
      <w:r w:rsidRPr="00FA0D37">
        <w:t xml:space="preserve"> (</w:t>
      </w:r>
      <w:r w:rsidRPr="00FA0D37">
        <w:rPr>
          <w:color w:val="993366"/>
        </w:rPr>
        <w:t>SIZE</w:t>
      </w:r>
      <w:r w:rsidRPr="00FA0D37">
        <w:t xml:space="preserve"> (1.. maxNrofIndexesToReport))</w:t>
      </w:r>
      <w:r w:rsidRPr="00FA0D37">
        <w:rPr>
          <w:color w:val="993366"/>
        </w:rPr>
        <w:t xml:space="preserve"> OF</w:t>
      </w:r>
      <w:r w:rsidRPr="00FA0D37">
        <w:t xml:space="preserve"> ResultsPerSSB-IndexIdle-r16</w:t>
      </w:r>
    </w:p>
    <w:p w14:paraId="601B4248" w14:textId="77777777" w:rsidR="00394471" w:rsidRPr="00FA0D37" w:rsidRDefault="00394471" w:rsidP="00FA0D37">
      <w:pPr>
        <w:pStyle w:val="PL"/>
      </w:pPr>
    </w:p>
    <w:p w14:paraId="10CAB65A" w14:textId="77777777" w:rsidR="00394471" w:rsidRPr="00FA0D37" w:rsidRDefault="00394471" w:rsidP="00FA0D37">
      <w:pPr>
        <w:pStyle w:val="PL"/>
      </w:pPr>
      <w:r w:rsidRPr="00FA0D37">
        <w:t xml:space="preserve">ResultsPerSSB-IndexIdle-r16 ::=   </w:t>
      </w:r>
      <w:r w:rsidRPr="00FA0D37">
        <w:rPr>
          <w:color w:val="993366"/>
        </w:rPr>
        <w:t>SEQUENCE</w:t>
      </w:r>
      <w:r w:rsidRPr="00FA0D37">
        <w:t xml:space="preserve"> {</w:t>
      </w:r>
    </w:p>
    <w:p w14:paraId="4BC24747" w14:textId="77777777" w:rsidR="00394471" w:rsidRPr="00FA0D37" w:rsidRDefault="00394471" w:rsidP="00FA0D37">
      <w:pPr>
        <w:pStyle w:val="PL"/>
      </w:pPr>
      <w:r w:rsidRPr="00FA0D37">
        <w:t xml:space="preserve">    ssb-Index-r16                     SSB-Index,</w:t>
      </w:r>
    </w:p>
    <w:p w14:paraId="77354B8D" w14:textId="77777777" w:rsidR="00394471" w:rsidRPr="00FA0D37" w:rsidRDefault="00394471" w:rsidP="00FA0D37">
      <w:pPr>
        <w:pStyle w:val="PL"/>
      </w:pPr>
      <w:r w:rsidRPr="00FA0D37">
        <w:t xml:space="preserve">    ssb-Results-r16                   </w:t>
      </w:r>
      <w:r w:rsidRPr="00FA0D37">
        <w:rPr>
          <w:color w:val="993366"/>
        </w:rPr>
        <w:t>SEQUENCE</w:t>
      </w:r>
      <w:r w:rsidRPr="00FA0D37">
        <w:t xml:space="preserve"> {</w:t>
      </w:r>
    </w:p>
    <w:p w14:paraId="52A05B7B" w14:textId="77777777" w:rsidR="00394471" w:rsidRPr="00FA0D37" w:rsidRDefault="00394471" w:rsidP="00FA0D37">
      <w:pPr>
        <w:pStyle w:val="PL"/>
      </w:pPr>
      <w:r w:rsidRPr="00FA0D37">
        <w:t xml:space="preserve">        ssb-RSRP-Result-r16               RSRP-Range                                                              </w:t>
      </w:r>
      <w:r w:rsidRPr="00FA0D37">
        <w:rPr>
          <w:color w:val="993366"/>
        </w:rPr>
        <w:t>OPTIONAL</w:t>
      </w:r>
      <w:r w:rsidRPr="00FA0D37">
        <w:t>,</w:t>
      </w:r>
    </w:p>
    <w:p w14:paraId="6CE24FE1" w14:textId="77777777" w:rsidR="00394471" w:rsidRPr="00FA0D37" w:rsidRDefault="00394471" w:rsidP="00FA0D37">
      <w:pPr>
        <w:pStyle w:val="PL"/>
      </w:pPr>
      <w:r w:rsidRPr="00FA0D37">
        <w:t xml:space="preserve">        ssb-RSRQ-Result-r16               RSRQ-Range                                                              </w:t>
      </w:r>
      <w:r w:rsidRPr="00FA0D37">
        <w:rPr>
          <w:color w:val="993366"/>
        </w:rPr>
        <w:t>OPTIONAL</w:t>
      </w:r>
    </w:p>
    <w:p w14:paraId="411F4E8B" w14:textId="77777777" w:rsidR="00394471" w:rsidRPr="00FA0D37" w:rsidRDefault="00394471" w:rsidP="00FA0D37">
      <w:pPr>
        <w:pStyle w:val="PL"/>
      </w:pPr>
      <w:r w:rsidRPr="00FA0D37">
        <w:t xml:space="preserve">    }                                                                                                     </w:t>
      </w:r>
      <w:r w:rsidRPr="00FA0D37">
        <w:rPr>
          <w:color w:val="993366"/>
        </w:rPr>
        <w:t>OPTIONAL</w:t>
      </w:r>
    </w:p>
    <w:p w14:paraId="6915023C" w14:textId="77777777" w:rsidR="00394471" w:rsidRPr="00FA0D37" w:rsidRDefault="00394471" w:rsidP="00FA0D37">
      <w:pPr>
        <w:pStyle w:val="PL"/>
      </w:pPr>
      <w:r w:rsidRPr="00FA0D37">
        <w:t>}</w:t>
      </w:r>
    </w:p>
    <w:p w14:paraId="6603AC88" w14:textId="77777777" w:rsidR="00394471" w:rsidRPr="00FA0D37" w:rsidRDefault="00394471" w:rsidP="00FA0D37">
      <w:pPr>
        <w:pStyle w:val="PL"/>
      </w:pPr>
    </w:p>
    <w:p w14:paraId="35FEDD76" w14:textId="77777777" w:rsidR="00394471" w:rsidRPr="00FA0D37" w:rsidRDefault="00394471" w:rsidP="00FA0D37">
      <w:pPr>
        <w:pStyle w:val="PL"/>
        <w:rPr>
          <w:color w:val="808080"/>
        </w:rPr>
      </w:pPr>
      <w:r w:rsidRPr="00FA0D37">
        <w:rPr>
          <w:color w:val="808080"/>
        </w:rPr>
        <w:t>-- TAG-MEASRESULTIDLENR-STOP</w:t>
      </w:r>
    </w:p>
    <w:p w14:paraId="0D82BB9B" w14:textId="77777777" w:rsidR="00394471" w:rsidRPr="00FA0D37" w:rsidRDefault="00394471" w:rsidP="00FA0D37">
      <w:pPr>
        <w:pStyle w:val="PL"/>
        <w:rPr>
          <w:color w:val="808080"/>
        </w:rPr>
      </w:pPr>
      <w:r w:rsidRPr="00FA0D37">
        <w:rPr>
          <w:color w:val="808080"/>
        </w:rPr>
        <w:t>-- ASN1STOP</w:t>
      </w:r>
    </w:p>
    <w:p w14:paraId="6B63E49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FA0D37" w:rsidRDefault="00394471" w:rsidP="00964CC4">
            <w:pPr>
              <w:pStyle w:val="TAH"/>
            </w:pPr>
            <w:r w:rsidRPr="00FA0D37">
              <w:rPr>
                <w:i/>
              </w:rPr>
              <w:t xml:space="preserve">MeasResultIdleNR </w:t>
            </w:r>
            <w:r w:rsidRPr="00FA0D37">
              <w:t>field descriptions</w:t>
            </w:r>
          </w:p>
        </w:tc>
      </w:tr>
      <w:tr w:rsidR="005C7FF4" w:rsidRPr="00FA0D37"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FA0D37" w:rsidRDefault="00394471" w:rsidP="00964CC4">
            <w:pPr>
              <w:pStyle w:val="TAL"/>
              <w:rPr>
                <w:b/>
                <w:bCs/>
                <w:i/>
                <w:iCs/>
                <w:noProof/>
                <w:lang w:eastAsia="en-GB"/>
              </w:rPr>
            </w:pPr>
            <w:r w:rsidRPr="00FA0D37">
              <w:rPr>
                <w:b/>
                <w:bCs/>
                <w:i/>
                <w:iCs/>
                <w:noProof/>
              </w:rPr>
              <w:t>carrierFreq</w:t>
            </w:r>
          </w:p>
          <w:p w14:paraId="5E379FD2" w14:textId="77777777" w:rsidR="00394471" w:rsidRPr="00FA0D37" w:rsidRDefault="00394471" w:rsidP="00964CC4">
            <w:pPr>
              <w:pStyle w:val="TAL"/>
              <w:rPr>
                <w:noProof/>
              </w:rPr>
            </w:pPr>
            <w:r w:rsidRPr="00FA0D37">
              <w:t>Indicates the NR carrier frequency.</w:t>
            </w:r>
          </w:p>
        </w:tc>
      </w:tr>
      <w:tr w:rsidR="005C7FF4" w:rsidRPr="00FA0D37"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FA0D37" w:rsidRDefault="00394471" w:rsidP="00964CC4">
            <w:pPr>
              <w:pStyle w:val="TAL"/>
              <w:rPr>
                <w:b/>
                <w:bCs/>
                <w:i/>
                <w:iCs/>
                <w:noProof/>
                <w:szCs w:val="24"/>
              </w:rPr>
            </w:pPr>
            <w:r w:rsidRPr="00FA0D37">
              <w:rPr>
                <w:b/>
                <w:bCs/>
                <w:i/>
                <w:iCs/>
                <w:noProof/>
              </w:rPr>
              <w:t>measIdleResultNR</w:t>
            </w:r>
          </w:p>
          <w:p w14:paraId="258EEE15" w14:textId="77777777" w:rsidR="00394471" w:rsidRPr="00FA0D37" w:rsidRDefault="00394471" w:rsidP="00964CC4">
            <w:pPr>
              <w:pStyle w:val="TAL"/>
              <w:rPr>
                <w:noProof/>
              </w:rPr>
            </w:pPr>
            <w:r w:rsidRPr="00FA0D37">
              <w:rPr>
                <w:bCs/>
                <w:iCs/>
                <w:noProof/>
              </w:rPr>
              <w:t>Idle/inactive measurement results for an NR cell (optionally including beam level measurements).</w:t>
            </w:r>
          </w:p>
        </w:tc>
      </w:tr>
      <w:tr w:rsidR="005C7FF4" w:rsidRPr="00FA0D37"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FA0D37" w:rsidRDefault="00394471" w:rsidP="00964CC4">
            <w:pPr>
              <w:pStyle w:val="TAL"/>
              <w:rPr>
                <w:b/>
                <w:bCs/>
                <w:i/>
                <w:iCs/>
                <w:noProof/>
              </w:rPr>
            </w:pPr>
            <w:r w:rsidRPr="00FA0D37">
              <w:rPr>
                <w:b/>
                <w:bCs/>
                <w:i/>
                <w:iCs/>
                <w:noProof/>
              </w:rPr>
              <w:t>measResultServingCell</w:t>
            </w:r>
          </w:p>
          <w:p w14:paraId="62294582" w14:textId="77777777" w:rsidR="00394471" w:rsidRPr="00FA0D37" w:rsidRDefault="00394471" w:rsidP="00964CC4">
            <w:pPr>
              <w:pStyle w:val="TAL"/>
              <w:rPr>
                <w:bCs/>
                <w:iCs/>
                <w:noProof/>
              </w:rPr>
            </w:pPr>
            <w:r w:rsidRPr="00FA0D37">
              <w:rPr>
                <w:bCs/>
                <w:iCs/>
                <w:noProof/>
              </w:rPr>
              <w:t>Measured results of the serving cell (i.e., PCell) from idle/inactive measurements.</w:t>
            </w:r>
          </w:p>
        </w:tc>
      </w:tr>
      <w:tr w:rsidR="005C7FF4" w:rsidRPr="00FA0D37"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FA0D37" w:rsidRDefault="00394471" w:rsidP="00964CC4">
            <w:pPr>
              <w:pStyle w:val="TAL"/>
              <w:rPr>
                <w:b/>
                <w:bCs/>
                <w:i/>
                <w:iCs/>
                <w:noProof/>
              </w:rPr>
            </w:pPr>
            <w:r w:rsidRPr="00FA0D37">
              <w:rPr>
                <w:b/>
                <w:bCs/>
                <w:i/>
                <w:iCs/>
                <w:noProof/>
              </w:rPr>
              <w:t>measResultsPerCellListIdleNR</w:t>
            </w:r>
          </w:p>
          <w:p w14:paraId="4701FAD0" w14:textId="77777777" w:rsidR="00394471" w:rsidRPr="00FA0D37" w:rsidRDefault="00394471" w:rsidP="00964CC4">
            <w:pPr>
              <w:pStyle w:val="TAL"/>
              <w:rPr>
                <w:bCs/>
                <w:iCs/>
                <w:noProof/>
              </w:rPr>
            </w:pPr>
            <w:r w:rsidRPr="00FA0D37">
              <w:rPr>
                <w:bCs/>
                <w:iCs/>
                <w:noProof/>
              </w:rPr>
              <w:t>List of idle/inactive measured results for the maximum number of reported best cells for a given NR carrier.</w:t>
            </w:r>
          </w:p>
        </w:tc>
      </w:tr>
      <w:tr w:rsidR="000830BB" w:rsidRPr="00FA0D37"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FA0D37" w:rsidRDefault="00394471" w:rsidP="00964CC4">
            <w:pPr>
              <w:pStyle w:val="TAL"/>
              <w:rPr>
                <w:b/>
                <w:i/>
                <w:iCs/>
                <w:noProof/>
                <w:lang w:eastAsia="en-GB"/>
              </w:rPr>
            </w:pPr>
            <w:r w:rsidRPr="00FA0D37">
              <w:rPr>
                <w:b/>
                <w:i/>
                <w:iCs/>
                <w:noProof/>
                <w:lang w:eastAsia="en-GB"/>
              </w:rPr>
              <w:t>resultsSSB-Indexes</w:t>
            </w:r>
          </w:p>
          <w:p w14:paraId="7F6DF696" w14:textId="77777777" w:rsidR="00394471" w:rsidRPr="00FA0D37" w:rsidRDefault="00394471" w:rsidP="00964CC4">
            <w:pPr>
              <w:pStyle w:val="TAL"/>
              <w:rPr>
                <w:noProof/>
                <w:lang w:eastAsia="en-GB"/>
              </w:rPr>
            </w:pPr>
            <w:r w:rsidRPr="00FA0D37">
              <w:rPr>
                <w:iCs/>
                <w:noProof/>
              </w:rPr>
              <w:t>Beam level measurement results (indexes and optionally, beam measurements).</w:t>
            </w:r>
          </w:p>
        </w:tc>
      </w:tr>
    </w:tbl>
    <w:p w14:paraId="7DE7BB57" w14:textId="1012CB97" w:rsidR="00394471" w:rsidRPr="00FA0D37" w:rsidRDefault="00394471" w:rsidP="00394471"/>
    <w:p w14:paraId="799E3378" w14:textId="77777777" w:rsidR="00F27D15" w:rsidRPr="00FA0D37" w:rsidRDefault="00F27D15" w:rsidP="00F27D15">
      <w:pPr>
        <w:pStyle w:val="4"/>
      </w:pPr>
      <w:bookmarkStart w:id="1115" w:name="_Toc146781333"/>
      <w:r w:rsidRPr="00FA0D37">
        <w:t>–</w:t>
      </w:r>
      <w:r w:rsidRPr="00FA0D37">
        <w:tab/>
      </w:r>
      <w:r w:rsidRPr="00FA0D37">
        <w:rPr>
          <w:i/>
        </w:rPr>
        <w:t>MeasResultRxTxTimeDiff</w:t>
      </w:r>
      <w:bookmarkEnd w:id="1115"/>
    </w:p>
    <w:p w14:paraId="452973F6" w14:textId="77777777" w:rsidR="00F27D15" w:rsidRPr="00FA0D37" w:rsidRDefault="00F27D15" w:rsidP="00F27D15">
      <w:r w:rsidRPr="00FA0D37">
        <w:t xml:space="preserve">The IE </w:t>
      </w:r>
      <w:r w:rsidRPr="00FA0D37">
        <w:rPr>
          <w:i/>
        </w:rPr>
        <w:t>MeasResultRxTxTimeDiff</w:t>
      </w:r>
      <w:r w:rsidRPr="00FA0D37">
        <w:t xml:space="preserve"> is used to provide Rx-Tx time difference measurement result.</w:t>
      </w:r>
    </w:p>
    <w:p w14:paraId="62527776" w14:textId="77777777" w:rsidR="00F27D15" w:rsidRPr="00FA0D37" w:rsidRDefault="00F27D15" w:rsidP="00F27D15">
      <w:pPr>
        <w:pStyle w:val="TH"/>
      </w:pPr>
      <w:r w:rsidRPr="00FA0D37">
        <w:rPr>
          <w:i/>
        </w:rPr>
        <w:t>MeasResultRxTxTimeDiff</w:t>
      </w:r>
      <w:r w:rsidRPr="00FA0D37">
        <w:t xml:space="preserve"> information element</w:t>
      </w:r>
    </w:p>
    <w:p w14:paraId="10BDD491" w14:textId="77777777" w:rsidR="00F27D15" w:rsidRPr="00FA0D37" w:rsidRDefault="00F27D15" w:rsidP="00FA0D37">
      <w:pPr>
        <w:pStyle w:val="PL"/>
        <w:rPr>
          <w:color w:val="808080"/>
        </w:rPr>
      </w:pPr>
      <w:r w:rsidRPr="00FA0D37">
        <w:rPr>
          <w:color w:val="808080"/>
        </w:rPr>
        <w:t>-- ASN1START</w:t>
      </w:r>
    </w:p>
    <w:p w14:paraId="5D908B53" w14:textId="77777777" w:rsidR="00F27D15" w:rsidRPr="00FA0D37" w:rsidRDefault="00F27D15" w:rsidP="00FA0D37">
      <w:pPr>
        <w:pStyle w:val="PL"/>
        <w:rPr>
          <w:color w:val="808080"/>
        </w:rPr>
      </w:pPr>
      <w:r w:rsidRPr="00FA0D37">
        <w:rPr>
          <w:color w:val="808080"/>
        </w:rPr>
        <w:t>-- TAG-MEASRESULTRXTXTIMEDIFF-START</w:t>
      </w:r>
    </w:p>
    <w:p w14:paraId="1B08F3C3" w14:textId="77777777" w:rsidR="00F27D15" w:rsidRPr="00FA0D37" w:rsidRDefault="00F27D15" w:rsidP="00FA0D37">
      <w:pPr>
        <w:pStyle w:val="PL"/>
      </w:pPr>
    </w:p>
    <w:p w14:paraId="417C327E" w14:textId="52DB9693" w:rsidR="00F27D15" w:rsidRPr="00FA0D37" w:rsidRDefault="00F27D15" w:rsidP="00FA0D37">
      <w:pPr>
        <w:pStyle w:val="PL"/>
      </w:pPr>
      <w:r w:rsidRPr="00FA0D37">
        <w:t xml:space="preserve">MeasResultRxTxTimeDiff-r17 ::= </w:t>
      </w:r>
      <w:r w:rsidRPr="00FA0D37">
        <w:rPr>
          <w:color w:val="993366"/>
        </w:rPr>
        <w:t>SEQUENCE</w:t>
      </w:r>
      <w:r w:rsidRPr="00FA0D37">
        <w:t xml:space="preserve"> {</w:t>
      </w:r>
    </w:p>
    <w:p w14:paraId="54A9DD85" w14:textId="714D115C" w:rsidR="00F27D15" w:rsidRPr="00FA0D37" w:rsidRDefault="00F27D15" w:rsidP="00FA0D37">
      <w:pPr>
        <w:pStyle w:val="PL"/>
      </w:pPr>
      <w:r w:rsidRPr="00FA0D37">
        <w:t xml:space="preserve">    rxTxTimeDiff-ue-r17            RxTxTimeDiff-r17      </w:t>
      </w:r>
      <w:r w:rsidRPr="00FA0D37">
        <w:rPr>
          <w:color w:val="993366"/>
        </w:rPr>
        <w:t>OPTIONAL</w:t>
      </w:r>
      <w:r w:rsidRPr="00FA0D37">
        <w:t>,</w:t>
      </w:r>
    </w:p>
    <w:p w14:paraId="13A417AD" w14:textId="77777777" w:rsidR="00F27D15" w:rsidRPr="00FA0D37" w:rsidRDefault="00F27D15" w:rsidP="00FA0D37">
      <w:pPr>
        <w:pStyle w:val="PL"/>
      </w:pPr>
      <w:r w:rsidRPr="00FA0D37">
        <w:t xml:space="preserve">    ...</w:t>
      </w:r>
    </w:p>
    <w:p w14:paraId="192D11F4" w14:textId="77777777" w:rsidR="00F27D15" w:rsidRPr="00FA0D37" w:rsidRDefault="00F27D15" w:rsidP="00FA0D37">
      <w:pPr>
        <w:pStyle w:val="PL"/>
      </w:pPr>
      <w:r w:rsidRPr="00FA0D37">
        <w:t>}</w:t>
      </w:r>
    </w:p>
    <w:p w14:paraId="08B01307" w14:textId="77777777" w:rsidR="00F27D15" w:rsidRPr="00FA0D37" w:rsidRDefault="00F27D15" w:rsidP="00FA0D37">
      <w:pPr>
        <w:pStyle w:val="PL"/>
      </w:pPr>
    </w:p>
    <w:p w14:paraId="65D69988" w14:textId="77777777" w:rsidR="00F27D15" w:rsidRPr="00FA0D37" w:rsidRDefault="00F27D15" w:rsidP="00FA0D37">
      <w:pPr>
        <w:pStyle w:val="PL"/>
        <w:rPr>
          <w:color w:val="808080"/>
        </w:rPr>
      </w:pPr>
      <w:r w:rsidRPr="00FA0D37">
        <w:rPr>
          <w:color w:val="808080"/>
        </w:rPr>
        <w:t>-- TAG-MEASRESULTRXTXTIMEDIFF-STOP</w:t>
      </w:r>
    </w:p>
    <w:p w14:paraId="74CCD3C4" w14:textId="77777777" w:rsidR="00F27D15" w:rsidRPr="00FA0D37" w:rsidRDefault="00F27D15" w:rsidP="00FA0D37">
      <w:pPr>
        <w:pStyle w:val="PL"/>
        <w:rPr>
          <w:color w:val="808080"/>
        </w:rPr>
      </w:pPr>
      <w:r w:rsidRPr="00FA0D37">
        <w:rPr>
          <w:color w:val="808080"/>
        </w:rPr>
        <w:t>-- ASN1STOP</w:t>
      </w:r>
    </w:p>
    <w:p w14:paraId="70E4EC7A" w14:textId="77777777" w:rsidR="00F27D15" w:rsidRPr="00FA0D37" w:rsidRDefault="00F27D15" w:rsidP="00F27D15"/>
    <w:tbl>
      <w:tblPr>
        <w:tblStyle w:val="af8"/>
        <w:tblW w:w="14173" w:type="dxa"/>
        <w:tblInd w:w="0" w:type="dxa"/>
        <w:tblLook w:val="04A0" w:firstRow="1" w:lastRow="0" w:firstColumn="1" w:lastColumn="0" w:noHBand="0" w:noVBand="1"/>
      </w:tblPr>
      <w:tblGrid>
        <w:gridCol w:w="14173"/>
      </w:tblGrid>
      <w:tr w:rsidR="005C7FF4" w:rsidRPr="00FA0D37" w14:paraId="53D11E4E" w14:textId="77777777" w:rsidTr="00771058">
        <w:tc>
          <w:tcPr>
            <w:tcW w:w="14278" w:type="dxa"/>
          </w:tcPr>
          <w:p w14:paraId="19510247" w14:textId="77777777" w:rsidR="00F27D15" w:rsidRPr="00FA0D37" w:rsidRDefault="00F27D15" w:rsidP="00771058">
            <w:pPr>
              <w:pStyle w:val="TAH"/>
            </w:pPr>
            <w:r w:rsidRPr="00FA0D37">
              <w:rPr>
                <w:i/>
              </w:rPr>
              <w:lastRenderedPageBreak/>
              <w:t>MeasResultRxTxTimeDiff field descriptions</w:t>
            </w:r>
          </w:p>
        </w:tc>
      </w:tr>
      <w:tr w:rsidR="000830BB" w:rsidRPr="00FA0D37" w14:paraId="047DFD3C" w14:textId="77777777" w:rsidTr="00771058">
        <w:tc>
          <w:tcPr>
            <w:tcW w:w="14278" w:type="dxa"/>
          </w:tcPr>
          <w:p w14:paraId="18847F3D" w14:textId="77777777" w:rsidR="00F27D15" w:rsidRPr="00FA0D37" w:rsidRDefault="00F27D15" w:rsidP="00771058">
            <w:pPr>
              <w:pStyle w:val="TAL"/>
              <w:rPr>
                <w:b/>
                <w:i/>
              </w:rPr>
            </w:pPr>
            <w:r w:rsidRPr="00FA0D37">
              <w:rPr>
                <w:b/>
                <w:i/>
              </w:rPr>
              <w:t>rxTxTimeDiff-ue</w:t>
            </w:r>
          </w:p>
          <w:p w14:paraId="2E120607" w14:textId="77777777" w:rsidR="00F27D15" w:rsidRPr="00FA0D37" w:rsidRDefault="00F27D15" w:rsidP="00771058">
            <w:pPr>
              <w:pStyle w:val="TAL"/>
            </w:pPr>
            <w:r w:rsidRPr="00FA0D37">
              <w:t>indicates the Rx-Tx Time difference measurement at the UE (see clause 5.1.30, TS 38.215 [9]).</w:t>
            </w:r>
          </w:p>
        </w:tc>
      </w:tr>
    </w:tbl>
    <w:p w14:paraId="3C19149B" w14:textId="77777777" w:rsidR="00F27D15" w:rsidRPr="00FA0D37" w:rsidRDefault="00F27D15" w:rsidP="00394471"/>
    <w:p w14:paraId="3E0AF789" w14:textId="77777777" w:rsidR="00394471" w:rsidRPr="00FA0D37" w:rsidRDefault="00394471" w:rsidP="00394471">
      <w:pPr>
        <w:pStyle w:val="4"/>
        <w:rPr>
          <w:i/>
          <w:iCs/>
        </w:rPr>
      </w:pPr>
      <w:bookmarkStart w:id="1116" w:name="_Toc60777272"/>
      <w:bookmarkStart w:id="1117" w:name="_Toc146781334"/>
      <w:r w:rsidRPr="00FA0D37">
        <w:rPr>
          <w:i/>
          <w:iCs/>
        </w:rPr>
        <w:t>–</w:t>
      </w:r>
      <w:r w:rsidRPr="00FA0D37">
        <w:rPr>
          <w:i/>
          <w:iCs/>
        </w:rPr>
        <w:tab/>
      </w:r>
      <w:r w:rsidRPr="00FA0D37">
        <w:rPr>
          <w:i/>
          <w:iCs/>
          <w:noProof/>
        </w:rPr>
        <w:t>MeasResultSCG-Failure</w:t>
      </w:r>
      <w:bookmarkEnd w:id="1116"/>
      <w:bookmarkEnd w:id="1117"/>
    </w:p>
    <w:p w14:paraId="45C71138" w14:textId="77777777" w:rsidR="00394471" w:rsidRPr="00FA0D37" w:rsidRDefault="00394471" w:rsidP="00394471">
      <w:r w:rsidRPr="00FA0D37">
        <w:t xml:space="preserve">The IE </w:t>
      </w:r>
      <w:r w:rsidRPr="00FA0D37">
        <w:rPr>
          <w:i/>
        </w:rPr>
        <w:t>MeasResultSCG-Failure</w:t>
      </w:r>
      <w:r w:rsidRPr="00FA0D37">
        <w:t xml:space="preserve"> is used to provide information regarding failures detected by the UE in (NG)EN-DC and NR-DC.</w:t>
      </w:r>
    </w:p>
    <w:p w14:paraId="00EC7201" w14:textId="77777777" w:rsidR="00394471" w:rsidRPr="00FA0D37" w:rsidRDefault="00394471" w:rsidP="00394471">
      <w:pPr>
        <w:pStyle w:val="TH"/>
        <w:rPr>
          <w:bCs/>
          <w:i/>
          <w:iCs/>
        </w:rPr>
      </w:pPr>
      <w:r w:rsidRPr="00FA0D37">
        <w:rPr>
          <w:bCs/>
          <w:i/>
          <w:iCs/>
        </w:rPr>
        <w:t xml:space="preserve">MeasResultSCG-Failure </w:t>
      </w:r>
      <w:r w:rsidRPr="00FA0D37">
        <w:t>information element</w:t>
      </w:r>
    </w:p>
    <w:p w14:paraId="09DE4FFB" w14:textId="77777777" w:rsidR="00394471" w:rsidRPr="00FA0D37" w:rsidRDefault="00394471" w:rsidP="00FA0D37">
      <w:pPr>
        <w:pStyle w:val="PL"/>
        <w:rPr>
          <w:color w:val="808080"/>
        </w:rPr>
      </w:pPr>
      <w:r w:rsidRPr="00FA0D37">
        <w:rPr>
          <w:color w:val="808080"/>
        </w:rPr>
        <w:t>-- ASN1START</w:t>
      </w:r>
    </w:p>
    <w:p w14:paraId="30AF0BD4" w14:textId="77777777" w:rsidR="00394471" w:rsidRPr="00FA0D37" w:rsidRDefault="00394471" w:rsidP="00FA0D37">
      <w:pPr>
        <w:pStyle w:val="PL"/>
        <w:rPr>
          <w:color w:val="808080"/>
        </w:rPr>
      </w:pPr>
      <w:r w:rsidRPr="00FA0D37">
        <w:rPr>
          <w:color w:val="808080"/>
        </w:rPr>
        <w:t>-- TAG-MEASRESULTSCG-FAILURE-START</w:t>
      </w:r>
    </w:p>
    <w:p w14:paraId="46659979" w14:textId="77777777" w:rsidR="00394471" w:rsidRPr="00FA0D37" w:rsidRDefault="00394471" w:rsidP="00FA0D37">
      <w:pPr>
        <w:pStyle w:val="PL"/>
      </w:pPr>
    </w:p>
    <w:p w14:paraId="42BD83CC" w14:textId="77777777" w:rsidR="00394471" w:rsidRPr="00FA0D37" w:rsidRDefault="00394471" w:rsidP="00FA0D37">
      <w:pPr>
        <w:pStyle w:val="PL"/>
      </w:pPr>
      <w:r w:rsidRPr="00FA0D37">
        <w:t xml:space="preserve">MeasResultSCG-Failure ::=           </w:t>
      </w:r>
      <w:r w:rsidRPr="00FA0D37">
        <w:rPr>
          <w:color w:val="993366"/>
        </w:rPr>
        <w:t>SEQUENCE</w:t>
      </w:r>
      <w:r w:rsidRPr="00FA0D37">
        <w:t xml:space="preserve"> {</w:t>
      </w:r>
    </w:p>
    <w:p w14:paraId="7B75FA2E" w14:textId="77777777" w:rsidR="00394471" w:rsidRPr="00FA0D37" w:rsidRDefault="00394471" w:rsidP="00FA0D37">
      <w:pPr>
        <w:pStyle w:val="PL"/>
      </w:pPr>
      <w:r w:rsidRPr="00FA0D37">
        <w:t xml:space="preserve">    measResultPerMOList                 MeasResultList2NR,</w:t>
      </w:r>
    </w:p>
    <w:p w14:paraId="780BA514" w14:textId="77777777" w:rsidR="00394471" w:rsidRPr="00FA0D37" w:rsidRDefault="00394471" w:rsidP="00FA0D37">
      <w:pPr>
        <w:pStyle w:val="PL"/>
      </w:pPr>
      <w:r w:rsidRPr="00FA0D37">
        <w:t xml:space="preserve">    ...,</w:t>
      </w:r>
    </w:p>
    <w:p w14:paraId="71C8DF88" w14:textId="77777777" w:rsidR="00394471" w:rsidRPr="00FA0D37" w:rsidRDefault="00394471" w:rsidP="00FA0D37">
      <w:pPr>
        <w:pStyle w:val="PL"/>
      </w:pPr>
      <w:r w:rsidRPr="00FA0D37">
        <w:t xml:space="preserve">    [[</w:t>
      </w:r>
    </w:p>
    <w:p w14:paraId="42345A92" w14:textId="77777777" w:rsidR="00394471" w:rsidRPr="00FA0D37" w:rsidRDefault="00394471" w:rsidP="00FA0D37">
      <w:pPr>
        <w:pStyle w:val="PL"/>
      </w:pPr>
      <w:r w:rsidRPr="00FA0D37">
        <w:t xml:space="preserve">    locationInfo-r16                    LocationInfo-r16            </w:t>
      </w:r>
      <w:r w:rsidRPr="00FA0D37">
        <w:rPr>
          <w:color w:val="993366"/>
        </w:rPr>
        <w:t>OPTIONAL</w:t>
      </w:r>
    </w:p>
    <w:p w14:paraId="6D8357BF" w14:textId="77777777" w:rsidR="00394471" w:rsidRPr="00FA0D37" w:rsidRDefault="00394471" w:rsidP="00FA0D37">
      <w:pPr>
        <w:pStyle w:val="PL"/>
      </w:pPr>
      <w:r w:rsidRPr="00FA0D37">
        <w:t xml:space="preserve">    ]]</w:t>
      </w:r>
    </w:p>
    <w:p w14:paraId="62CA29E1" w14:textId="77777777" w:rsidR="00394471" w:rsidRPr="00FA0D37" w:rsidRDefault="00394471" w:rsidP="00FA0D37">
      <w:pPr>
        <w:pStyle w:val="PL"/>
      </w:pPr>
      <w:r w:rsidRPr="00FA0D37">
        <w:t>}</w:t>
      </w:r>
    </w:p>
    <w:p w14:paraId="00B5815F" w14:textId="77777777" w:rsidR="00394471" w:rsidRPr="00FA0D37" w:rsidRDefault="00394471" w:rsidP="00FA0D37">
      <w:pPr>
        <w:pStyle w:val="PL"/>
      </w:pPr>
    </w:p>
    <w:p w14:paraId="4E30CAD0" w14:textId="77777777" w:rsidR="00394471" w:rsidRPr="00FA0D37" w:rsidRDefault="00394471" w:rsidP="00FA0D37">
      <w:pPr>
        <w:pStyle w:val="PL"/>
      </w:pPr>
      <w:r w:rsidRPr="00FA0D37">
        <w:t xml:space="preserve">MeasResultList2NR ::=               </w:t>
      </w:r>
      <w:r w:rsidRPr="00FA0D37">
        <w:rPr>
          <w:color w:val="993366"/>
        </w:rPr>
        <w:t>SEQUENCE</w:t>
      </w:r>
      <w:r w:rsidRPr="00FA0D37">
        <w:t xml:space="preserve"> (</w:t>
      </w:r>
      <w:r w:rsidRPr="00FA0D37">
        <w:rPr>
          <w:color w:val="993366"/>
        </w:rPr>
        <w:t>SIZE</w:t>
      </w:r>
      <w:r w:rsidRPr="00FA0D37">
        <w:t xml:space="preserve"> (1..maxFreq))</w:t>
      </w:r>
      <w:r w:rsidRPr="00FA0D37">
        <w:rPr>
          <w:color w:val="993366"/>
        </w:rPr>
        <w:t xml:space="preserve"> OF</w:t>
      </w:r>
      <w:r w:rsidRPr="00FA0D37">
        <w:t xml:space="preserve"> MeasResult2NR</w:t>
      </w:r>
    </w:p>
    <w:p w14:paraId="40E17B55" w14:textId="77777777" w:rsidR="00394471" w:rsidRPr="00FA0D37" w:rsidRDefault="00394471" w:rsidP="00FA0D37">
      <w:pPr>
        <w:pStyle w:val="PL"/>
      </w:pPr>
    </w:p>
    <w:p w14:paraId="25455528" w14:textId="77777777" w:rsidR="00394471" w:rsidRPr="00FA0D37" w:rsidRDefault="00394471" w:rsidP="00FA0D37">
      <w:pPr>
        <w:pStyle w:val="PL"/>
        <w:rPr>
          <w:color w:val="808080"/>
        </w:rPr>
      </w:pPr>
      <w:r w:rsidRPr="00FA0D37">
        <w:rPr>
          <w:color w:val="808080"/>
        </w:rPr>
        <w:t>-- TAG-MEASRESULTSCG-FAILURE-STOP</w:t>
      </w:r>
    </w:p>
    <w:p w14:paraId="6FE09ADF" w14:textId="77777777" w:rsidR="00394471" w:rsidRPr="00FA0D37" w:rsidRDefault="00394471" w:rsidP="00FA0D37">
      <w:pPr>
        <w:pStyle w:val="PL"/>
        <w:rPr>
          <w:color w:val="808080"/>
        </w:rPr>
      </w:pPr>
      <w:r w:rsidRPr="00FA0D37">
        <w:rPr>
          <w:color w:val="808080"/>
        </w:rPr>
        <w:t>-- ASN1STOP</w:t>
      </w:r>
    </w:p>
    <w:p w14:paraId="16A257D2" w14:textId="77777777" w:rsidR="00394471" w:rsidRPr="00FA0D37" w:rsidRDefault="00394471" w:rsidP="00394471"/>
    <w:p w14:paraId="6D0FE209" w14:textId="77777777" w:rsidR="00394471" w:rsidRPr="00FA0D37" w:rsidRDefault="00394471" w:rsidP="00394471">
      <w:pPr>
        <w:pStyle w:val="4"/>
      </w:pPr>
      <w:bookmarkStart w:id="1118" w:name="_Toc60777273"/>
      <w:bookmarkStart w:id="1119" w:name="_Toc146781335"/>
      <w:r w:rsidRPr="00FA0D37">
        <w:t>–</w:t>
      </w:r>
      <w:r w:rsidRPr="00FA0D37">
        <w:tab/>
      </w:r>
      <w:r w:rsidRPr="00FA0D37">
        <w:rPr>
          <w:i/>
          <w:iCs/>
        </w:rPr>
        <w:t>MeasResultsSL</w:t>
      </w:r>
      <w:bookmarkEnd w:id="1118"/>
      <w:bookmarkEnd w:id="1119"/>
    </w:p>
    <w:p w14:paraId="155F6FCE" w14:textId="1EAB6279" w:rsidR="00394471" w:rsidRPr="00FA0D37" w:rsidRDefault="00394471" w:rsidP="00394471">
      <w:r w:rsidRPr="00FA0D37">
        <w:t xml:space="preserve">The IE </w:t>
      </w:r>
      <w:r w:rsidRPr="00FA0D37">
        <w:rPr>
          <w:i/>
        </w:rPr>
        <w:t>MeasResultsSL</w:t>
      </w:r>
      <w:r w:rsidRPr="00FA0D37">
        <w:t xml:space="preserve"> covers measured results for NR sidelink communication</w:t>
      </w:r>
      <w:r w:rsidR="0039645C" w:rsidRPr="00FA0D37">
        <w:rPr>
          <w:lang w:eastAsia="en-GB"/>
        </w:rPr>
        <w:t>/discovery</w:t>
      </w:r>
      <w:r w:rsidRPr="00FA0D37">
        <w:t>.</w:t>
      </w:r>
    </w:p>
    <w:p w14:paraId="0950E11F" w14:textId="77777777" w:rsidR="00394471" w:rsidRPr="00FA0D37" w:rsidRDefault="00394471" w:rsidP="00394471">
      <w:pPr>
        <w:pStyle w:val="TH"/>
      </w:pPr>
      <w:r w:rsidRPr="00FA0D37">
        <w:rPr>
          <w:i/>
        </w:rPr>
        <w:t>MeasResultsSL</w:t>
      </w:r>
      <w:r w:rsidRPr="00FA0D37">
        <w:t xml:space="preserve"> information element</w:t>
      </w:r>
    </w:p>
    <w:p w14:paraId="7ED906F9" w14:textId="77777777" w:rsidR="00394471" w:rsidRPr="00FA0D37" w:rsidRDefault="00394471" w:rsidP="00FA0D37">
      <w:pPr>
        <w:pStyle w:val="PL"/>
        <w:rPr>
          <w:color w:val="808080"/>
        </w:rPr>
      </w:pPr>
      <w:r w:rsidRPr="00FA0D37">
        <w:rPr>
          <w:color w:val="808080"/>
        </w:rPr>
        <w:t>-- ASN1START</w:t>
      </w:r>
    </w:p>
    <w:p w14:paraId="66ED7ECF" w14:textId="77777777" w:rsidR="00394471" w:rsidRPr="00FA0D37" w:rsidRDefault="00394471" w:rsidP="00FA0D37">
      <w:pPr>
        <w:pStyle w:val="PL"/>
        <w:rPr>
          <w:color w:val="808080"/>
        </w:rPr>
      </w:pPr>
      <w:r w:rsidRPr="00FA0D37">
        <w:rPr>
          <w:color w:val="808080"/>
        </w:rPr>
        <w:t>-- TAG-MEASRESULTSSL-START</w:t>
      </w:r>
    </w:p>
    <w:p w14:paraId="4026AAE2" w14:textId="77777777" w:rsidR="00394471" w:rsidRPr="00FA0D37" w:rsidRDefault="00394471" w:rsidP="00FA0D37">
      <w:pPr>
        <w:pStyle w:val="PL"/>
      </w:pPr>
    </w:p>
    <w:p w14:paraId="26767838" w14:textId="77777777" w:rsidR="00394471" w:rsidRPr="00FA0D37" w:rsidRDefault="00394471" w:rsidP="00FA0D37">
      <w:pPr>
        <w:pStyle w:val="PL"/>
      </w:pPr>
      <w:r w:rsidRPr="00FA0D37">
        <w:t xml:space="preserve">MeasResultsSL-r16 ::=         </w:t>
      </w:r>
      <w:r w:rsidRPr="00FA0D37">
        <w:rPr>
          <w:color w:val="993366"/>
        </w:rPr>
        <w:t>SEQUENCE</w:t>
      </w:r>
      <w:r w:rsidRPr="00FA0D37">
        <w:t xml:space="preserve"> {</w:t>
      </w:r>
    </w:p>
    <w:p w14:paraId="29EEC733" w14:textId="77777777" w:rsidR="00394471" w:rsidRPr="00FA0D37" w:rsidRDefault="00394471" w:rsidP="00FA0D37">
      <w:pPr>
        <w:pStyle w:val="PL"/>
      </w:pPr>
      <w:r w:rsidRPr="00FA0D37">
        <w:t xml:space="preserve">    measResultsListSL-r16         </w:t>
      </w:r>
      <w:r w:rsidRPr="00FA0D37">
        <w:rPr>
          <w:color w:val="993366"/>
        </w:rPr>
        <w:t>CHOICE</w:t>
      </w:r>
      <w:r w:rsidRPr="00FA0D37">
        <w:t xml:space="preserve"> {</w:t>
      </w:r>
    </w:p>
    <w:p w14:paraId="485CB49C" w14:textId="77777777" w:rsidR="00394471" w:rsidRPr="00FA0D37" w:rsidRDefault="00394471" w:rsidP="00FA0D37">
      <w:pPr>
        <w:pStyle w:val="PL"/>
      </w:pPr>
      <w:r w:rsidRPr="00FA0D37">
        <w:t xml:space="preserve">        measResultNR-SL-r16           MeasResultNR-SL-r16,</w:t>
      </w:r>
    </w:p>
    <w:p w14:paraId="2789B0A5" w14:textId="77777777" w:rsidR="00394471" w:rsidRPr="00FA0D37" w:rsidRDefault="00394471" w:rsidP="00FA0D37">
      <w:pPr>
        <w:pStyle w:val="PL"/>
      </w:pPr>
      <w:r w:rsidRPr="00FA0D37">
        <w:t xml:space="preserve">        ...</w:t>
      </w:r>
    </w:p>
    <w:p w14:paraId="684A79F6" w14:textId="77777777" w:rsidR="00394471" w:rsidRPr="00FA0D37" w:rsidRDefault="00394471" w:rsidP="00FA0D37">
      <w:pPr>
        <w:pStyle w:val="PL"/>
      </w:pPr>
      <w:r w:rsidRPr="00FA0D37">
        <w:t xml:space="preserve">    },</w:t>
      </w:r>
    </w:p>
    <w:p w14:paraId="0C35D246" w14:textId="77777777" w:rsidR="00394471" w:rsidRPr="00FA0D37" w:rsidRDefault="00394471" w:rsidP="00FA0D37">
      <w:pPr>
        <w:pStyle w:val="PL"/>
      </w:pPr>
      <w:r w:rsidRPr="00FA0D37">
        <w:t xml:space="preserve">    ...</w:t>
      </w:r>
    </w:p>
    <w:p w14:paraId="07D07D3B" w14:textId="77777777" w:rsidR="00394471" w:rsidRPr="00FA0D37" w:rsidRDefault="00394471" w:rsidP="00FA0D37">
      <w:pPr>
        <w:pStyle w:val="PL"/>
      </w:pPr>
      <w:r w:rsidRPr="00FA0D37">
        <w:t>}</w:t>
      </w:r>
    </w:p>
    <w:p w14:paraId="646103F1" w14:textId="77777777" w:rsidR="00394471" w:rsidRPr="00FA0D37" w:rsidRDefault="00394471" w:rsidP="00FA0D37">
      <w:pPr>
        <w:pStyle w:val="PL"/>
      </w:pPr>
    </w:p>
    <w:p w14:paraId="78E127A3" w14:textId="77777777" w:rsidR="00394471" w:rsidRPr="00FA0D37" w:rsidRDefault="00394471" w:rsidP="00FA0D37">
      <w:pPr>
        <w:pStyle w:val="PL"/>
      </w:pPr>
      <w:r w:rsidRPr="00FA0D37">
        <w:t xml:space="preserve">MeasResultNR-SL-r16 ::=       </w:t>
      </w:r>
      <w:r w:rsidRPr="00FA0D37">
        <w:rPr>
          <w:color w:val="993366"/>
        </w:rPr>
        <w:t>SEQUENCE</w:t>
      </w:r>
      <w:r w:rsidRPr="00FA0D37">
        <w:t xml:space="preserve"> {</w:t>
      </w:r>
    </w:p>
    <w:p w14:paraId="70BA986A" w14:textId="77777777" w:rsidR="00394471" w:rsidRPr="00FA0D37" w:rsidRDefault="00394471" w:rsidP="00FA0D37">
      <w:pPr>
        <w:pStyle w:val="PL"/>
      </w:pPr>
      <w:r w:rsidRPr="00FA0D37">
        <w:t xml:space="preserve">    measResultListCBR-NR-r16      </w:t>
      </w:r>
      <w:r w:rsidRPr="00FA0D37">
        <w:rPr>
          <w:color w:val="993366"/>
        </w:rPr>
        <w:t>SEQUENCE</w:t>
      </w:r>
      <w:r w:rsidRPr="00FA0D37">
        <w:t xml:space="preserve"> (</w:t>
      </w:r>
      <w:r w:rsidRPr="00FA0D37">
        <w:rPr>
          <w:color w:val="993366"/>
        </w:rPr>
        <w:t>SIZE</w:t>
      </w:r>
      <w:r w:rsidRPr="00FA0D37">
        <w:t xml:space="preserve"> (1.. maxNrofSL-PoolToMeasureNR-r16))</w:t>
      </w:r>
      <w:r w:rsidRPr="00FA0D37">
        <w:rPr>
          <w:color w:val="993366"/>
        </w:rPr>
        <w:t xml:space="preserve"> OF</w:t>
      </w:r>
      <w:r w:rsidRPr="00FA0D37">
        <w:t xml:space="preserve"> MeasResultCBR-NR-r16,</w:t>
      </w:r>
    </w:p>
    <w:p w14:paraId="4176129E" w14:textId="77777777" w:rsidR="00394471" w:rsidRPr="00FA0D37" w:rsidRDefault="00394471" w:rsidP="00FA0D37">
      <w:pPr>
        <w:pStyle w:val="PL"/>
      </w:pPr>
      <w:r w:rsidRPr="00FA0D37">
        <w:t xml:space="preserve">    ...</w:t>
      </w:r>
    </w:p>
    <w:p w14:paraId="69B517D4" w14:textId="77777777" w:rsidR="00394471" w:rsidRPr="00FA0D37" w:rsidRDefault="00394471" w:rsidP="00FA0D37">
      <w:pPr>
        <w:pStyle w:val="PL"/>
      </w:pPr>
      <w:r w:rsidRPr="00FA0D37">
        <w:lastRenderedPageBreak/>
        <w:t>}</w:t>
      </w:r>
    </w:p>
    <w:p w14:paraId="63601773" w14:textId="77777777" w:rsidR="00394471" w:rsidRPr="00FA0D37" w:rsidRDefault="00394471" w:rsidP="00FA0D37">
      <w:pPr>
        <w:pStyle w:val="PL"/>
      </w:pPr>
    </w:p>
    <w:p w14:paraId="78708525" w14:textId="77777777" w:rsidR="00394471" w:rsidRPr="00FA0D37" w:rsidRDefault="00394471" w:rsidP="00FA0D37">
      <w:pPr>
        <w:pStyle w:val="PL"/>
      </w:pPr>
      <w:r w:rsidRPr="00FA0D37">
        <w:t xml:space="preserve">MeasResultCBR-NR-r16 ::=      </w:t>
      </w:r>
      <w:r w:rsidRPr="00FA0D37">
        <w:rPr>
          <w:color w:val="993366"/>
        </w:rPr>
        <w:t>SEQUENCE</w:t>
      </w:r>
      <w:r w:rsidRPr="00FA0D37">
        <w:t xml:space="preserve"> {</w:t>
      </w:r>
    </w:p>
    <w:p w14:paraId="0FB0CBA3" w14:textId="77777777" w:rsidR="00394471" w:rsidRPr="00FA0D37" w:rsidRDefault="00394471" w:rsidP="00FA0D37">
      <w:pPr>
        <w:pStyle w:val="PL"/>
      </w:pPr>
      <w:r w:rsidRPr="00FA0D37">
        <w:t xml:space="preserve">    sl-poolReportIdentity-r16     SL-ResourcePoolID-r16,</w:t>
      </w:r>
    </w:p>
    <w:p w14:paraId="0C80F4F9" w14:textId="77777777" w:rsidR="00394471" w:rsidRPr="00FA0D37" w:rsidRDefault="00394471" w:rsidP="00FA0D37">
      <w:pPr>
        <w:pStyle w:val="PL"/>
      </w:pPr>
      <w:r w:rsidRPr="00FA0D37">
        <w:t xml:space="preserve">    sl-CBR-ResultsNR-r16          SL-CBR-r16,</w:t>
      </w:r>
    </w:p>
    <w:p w14:paraId="4A42B63E" w14:textId="77777777" w:rsidR="00394471" w:rsidRPr="00FA0D37" w:rsidRDefault="00394471" w:rsidP="00FA0D37">
      <w:pPr>
        <w:pStyle w:val="PL"/>
      </w:pPr>
      <w:r w:rsidRPr="00FA0D37">
        <w:t xml:space="preserve">    ...</w:t>
      </w:r>
    </w:p>
    <w:p w14:paraId="7C5654CB" w14:textId="77777777" w:rsidR="00394471" w:rsidRPr="00FA0D37" w:rsidRDefault="00394471" w:rsidP="00FA0D37">
      <w:pPr>
        <w:pStyle w:val="PL"/>
        <w:rPr>
          <w:rFonts w:eastAsiaTheme="minorEastAsia"/>
        </w:rPr>
      </w:pPr>
      <w:r w:rsidRPr="00FA0D37">
        <w:rPr>
          <w:rFonts w:eastAsiaTheme="minorEastAsia"/>
        </w:rPr>
        <w:t>}</w:t>
      </w:r>
    </w:p>
    <w:p w14:paraId="16FFDBA5" w14:textId="77777777" w:rsidR="00394471" w:rsidRPr="00FA0D37" w:rsidRDefault="00394471" w:rsidP="00FA0D37">
      <w:pPr>
        <w:pStyle w:val="PL"/>
      </w:pPr>
    </w:p>
    <w:p w14:paraId="709A11FE" w14:textId="77777777" w:rsidR="00394471" w:rsidRPr="00FA0D37" w:rsidRDefault="00394471" w:rsidP="00FA0D37">
      <w:pPr>
        <w:pStyle w:val="PL"/>
        <w:rPr>
          <w:color w:val="808080"/>
        </w:rPr>
      </w:pPr>
      <w:r w:rsidRPr="00FA0D37">
        <w:rPr>
          <w:color w:val="808080"/>
        </w:rPr>
        <w:t>-- TAG-MEASRESULTSSL-STOP</w:t>
      </w:r>
    </w:p>
    <w:p w14:paraId="61B1414C" w14:textId="77777777" w:rsidR="00394471" w:rsidRPr="00FA0D37" w:rsidRDefault="00394471" w:rsidP="00FA0D37">
      <w:pPr>
        <w:pStyle w:val="PL"/>
        <w:rPr>
          <w:color w:val="808080"/>
        </w:rPr>
      </w:pPr>
      <w:r w:rsidRPr="00FA0D37">
        <w:rPr>
          <w:color w:val="808080"/>
        </w:rPr>
        <w:t>-- ASN1STOP</w:t>
      </w:r>
    </w:p>
    <w:p w14:paraId="6822DC8B" w14:textId="77777777" w:rsidR="00394471" w:rsidRPr="00FA0D3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5C7FF4" w:rsidRPr="00FA0D37"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FA0D37" w:rsidRDefault="00394471" w:rsidP="00964CC4">
            <w:pPr>
              <w:pStyle w:val="TAH"/>
              <w:rPr>
                <w:lang w:eastAsia="en-GB"/>
              </w:rPr>
            </w:pPr>
            <w:r w:rsidRPr="00FA0D37">
              <w:rPr>
                <w:i/>
                <w:lang w:eastAsia="en-GB"/>
              </w:rPr>
              <w:t xml:space="preserve">MeasResultsSL </w:t>
            </w:r>
            <w:r w:rsidRPr="00FA0D37">
              <w:rPr>
                <w:lang w:eastAsia="en-GB"/>
              </w:rPr>
              <w:t>field descriptions</w:t>
            </w:r>
          </w:p>
        </w:tc>
      </w:tr>
      <w:tr w:rsidR="00394471" w:rsidRPr="00FA0D37"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FA0D37" w:rsidRDefault="00394471" w:rsidP="00964CC4">
            <w:pPr>
              <w:pStyle w:val="TAL"/>
              <w:rPr>
                <w:b/>
                <w:bCs/>
                <w:i/>
                <w:iCs/>
                <w:szCs w:val="22"/>
                <w:lang w:eastAsia="sv-SE"/>
              </w:rPr>
            </w:pPr>
            <w:r w:rsidRPr="00FA0D37">
              <w:rPr>
                <w:b/>
                <w:bCs/>
                <w:i/>
                <w:iCs/>
                <w:szCs w:val="22"/>
                <w:lang w:eastAsia="sv-SE"/>
              </w:rPr>
              <w:t>measResultNR-SL</w:t>
            </w:r>
          </w:p>
          <w:p w14:paraId="342479EB" w14:textId="13FC67AA" w:rsidR="00394471" w:rsidRPr="00FA0D37" w:rsidRDefault="00394471" w:rsidP="00964CC4">
            <w:pPr>
              <w:pStyle w:val="TAL"/>
              <w:rPr>
                <w:rFonts w:eastAsiaTheme="minorEastAsia"/>
                <w:szCs w:val="22"/>
                <w:lang w:eastAsia="zh-CN"/>
              </w:rPr>
            </w:pPr>
            <w:r w:rsidRPr="00FA0D37">
              <w:rPr>
                <w:lang w:eastAsia="en-GB"/>
              </w:rPr>
              <w:t>Include the measured results for NR sidelink communication</w:t>
            </w:r>
            <w:r w:rsidR="0039645C" w:rsidRPr="00FA0D37">
              <w:rPr>
                <w:rFonts w:cs="Arial"/>
                <w:lang w:eastAsia="en-GB"/>
              </w:rPr>
              <w:t>/discovery</w:t>
            </w:r>
            <w:r w:rsidRPr="00FA0D37">
              <w:rPr>
                <w:lang w:eastAsia="en-GB"/>
              </w:rPr>
              <w:t>.</w:t>
            </w:r>
          </w:p>
        </w:tc>
      </w:tr>
    </w:tbl>
    <w:p w14:paraId="40BBD1C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FA0D37" w:rsidRDefault="00394471" w:rsidP="00964CC4">
            <w:pPr>
              <w:pStyle w:val="TAH"/>
              <w:rPr>
                <w:i/>
                <w:lang w:eastAsia="sv-SE"/>
              </w:rPr>
            </w:pPr>
            <w:r w:rsidRPr="00FA0D37">
              <w:rPr>
                <w:i/>
                <w:lang w:eastAsia="sv-SE"/>
              </w:rPr>
              <w:t xml:space="preserve">MeasResultNR-SL </w:t>
            </w:r>
            <w:r w:rsidRPr="00FA0D37">
              <w:rPr>
                <w:lang w:eastAsia="sv-SE"/>
              </w:rPr>
              <w:t>field descriptions</w:t>
            </w:r>
          </w:p>
        </w:tc>
      </w:tr>
      <w:tr w:rsidR="005C7FF4" w:rsidRPr="00FA0D37"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FA0D37" w:rsidRDefault="00394471" w:rsidP="00964CC4">
            <w:pPr>
              <w:pStyle w:val="TAL"/>
              <w:rPr>
                <w:b/>
                <w:bCs/>
                <w:i/>
                <w:iCs/>
                <w:lang w:eastAsia="sv-SE"/>
              </w:rPr>
            </w:pPr>
            <w:r w:rsidRPr="00FA0D37">
              <w:rPr>
                <w:b/>
                <w:bCs/>
                <w:i/>
                <w:iCs/>
                <w:lang w:eastAsia="sv-SE"/>
              </w:rPr>
              <w:t>measResultListCBR-NR</w:t>
            </w:r>
          </w:p>
          <w:p w14:paraId="5E7C24D7" w14:textId="0A9428FA" w:rsidR="00394471" w:rsidRPr="00FA0D37" w:rsidRDefault="00394471" w:rsidP="00964CC4">
            <w:pPr>
              <w:pStyle w:val="TAL"/>
              <w:rPr>
                <w:lang w:eastAsia="sv-SE"/>
              </w:rPr>
            </w:pPr>
            <w:r w:rsidRPr="00FA0D37">
              <w:rPr>
                <w:lang w:eastAsia="zh-CN"/>
              </w:rPr>
              <w:t>CBR measurement results for NR sidelink communication</w:t>
            </w:r>
            <w:r w:rsidR="0039645C" w:rsidRPr="00FA0D37">
              <w:rPr>
                <w:rFonts w:cs="Arial"/>
                <w:lang w:eastAsia="en-GB"/>
              </w:rPr>
              <w:t>/discovery</w:t>
            </w:r>
            <w:r w:rsidRPr="00FA0D37">
              <w:rPr>
                <w:lang w:eastAsia="zh-CN"/>
              </w:rPr>
              <w:t>.</w:t>
            </w:r>
          </w:p>
        </w:tc>
      </w:tr>
      <w:tr w:rsidR="00394471" w:rsidRPr="00FA0D37"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FA0D37" w:rsidRDefault="00394471" w:rsidP="00964CC4">
            <w:pPr>
              <w:pStyle w:val="TAL"/>
              <w:rPr>
                <w:b/>
                <w:bCs/>
                <w:i/>
                <w:iCs/>
                <w:lang w:eastAsia="sv-SE"/>
              </w:rPr>
            </w:pPr>
            <w:r w:rsidRPr="00FA0D37">
              <w:rPr>
                <w:b/>
                <w:bCs/>
                <w:i/>
                <w:iCs/>
                <w:lang w:eastAsia="sv-SE"/>
              </w:rPr>
              <w:t>sl-poolReportIdentity</w:t>
            </w:r>
          </w:p>
          <w:p w14:paraId="1D84E703" w14:textId="47AFC7C2" w:rsidR="00394471" w:rsidRPr="00FA0D37" w:rsidRDefault="00394471" w:rsidP="00964CC4">
            <w:pPr>
              <w:pStyle w:val="TAL"/>
              <w:rPr>
                <w:lang w:eastAsia="sv-SE"/>
              </w:rPr>
            </w:pPr>
            <w:r w:rsidRPr="00FA0D37">
              <w:rPr>
                <w:bCs/>
                <w:lang w:eastAsia="sv-SE"/>
              </w:rPr>
              <w:t xml:space="preserve">The identity of the transmission resource pool which is corresponding to the </w:t>
            </w:r>
            <w:r w:rsidRPr="00FA0D37">
              <w:rPr>
                <w:bCs/>
                <w:i/>
                <w:lang w:eastAsia="sv-SE"/>
              </w:rPr>
              <w:t>sl-ResourcePoolID</w:t>
            </w:r>
            <w:r w:rsidRPr="00FA0D37">
              <w:rPr>
                <w:lang w:eastAsia="sv-SE"/>
              </w:rPr>
              <w:t xml:space="preserve"> configured in a resource pool for NR sidelink communication</w:t>
            </w:r>
            <w:r w:rsidR="0039645C" w:rsidRPr="00FA0D37">
              <w:rPr>
                <w:rFonts w:cs="Arial"/>
                <w:lang w:eastAsia="en-GB"/>
              </w:rPr>
              <w:t>/discovery</w:t>
            </w:r>
            <w:r w:rsidRPr="00FA0D37">
              <w:rPr>
                <w:lang w:eastAsia="sv-SE"/>
              </w:rPr>
              <w:t>.</w:t>
            </w:r>
          </w:p>
        </w:tc>
      </w:tr>
    </w:tbl>
    <w:p w14:paraId="07CDB537" w14:textId="77777777" w:rsidR="00394471" w:rsidRPr="00FA0D37" w:rsidRDefault="00394471" w:rsidP="00394471"/>
    <w:p w14:paraId="79ADA138" w14:textId="77777777" w:rsidR="00394471" w:rsidRPr="00FA0D37" w:rsidRDefault="00394471" w:rsidP="00394471">
      <w:pPr>
        <w:pStyle w:val="4"/>
      </w:pPr>
      <w:bookmarkStart w:id="1120" w:name="_Toc60777274"/>
      <w:bookmarkStart w:id="1121" w:name="_Toc146781336"/>
      <w:r w:rsidRPr="00FA0D37">
        <w:t>–</w:t>
      </w:r>
      <w:r w:rsidRPr="00FA0D37">
        <w:tab/>
      </w:r>
      <w:r w:rsidRPr="00FA0D37">
        <w:rPr>
          <w:i/>
        </w:rPr>
        <w:t>MeasTriggerQuantityEUTRA</w:t>
      </w:r>
      <w:bookmarkEnd w:id="1120"/>
      <w:bookmarkEnd w:id="1121"/>
    </w:p>
    <w:p w14:paraId="150EE1EC" w14:textId="77777777" w:rsidR="00394471" w:rsidRPr="00FA0D37" w:rsidRDefault="00394471" w:rsidP="00394471">
      <w:r w:rsidRPr="00FA0D37">
        <w:t xml:space="preserve">The IE </w:t>
      </w:r>
      <w:r w:rsidRPr="00FA0D37">
        <w:rPr>
          <w:i/>
        </w:rPr>
        <w:t>MeasTriggerQuantityEUTRA</w:t>
      </w:r>
      <w:r w:rsidRPr="00FA0D37">
        <w:t xml:space="preserve"> is used to configure the trigger quantity and reporting range for E-UTRA measurements. The RSRP, RSRQ and SINR ranges correspond to </w:t>
      </w:r>
      <w:r w:rsidRPr="00FA0D37">
        <w:rPr>
          <w:i/>
        </w:rPr>
        <w:t>RSRP-Range</w:t>
      </w:r>
      <w:r w:rsidRPr="00FA0D37">
        <w:t xml:space="preserve">, </w:t>
      </w:r>
      <w:r w:rsidRPr="00FA0D37">
        <w:rPr>
          <w:i/>
        </w:rPr>
        <w:t>RSRQ-Range</w:t>
      </w:r>
      <w:r w:rsidRPr="00FA0D37">
        <w:t xml:space="preserve"> and </w:t>
      </w:r>
      <w:r w:rsidRPr="00FA0D37">
        <w:rPr>
          <w:i/>
        </w:rPr>
        <w:t>RS-SINR-Range</w:t>
      </w:r>
      <w:r w:rsidRPr="00FA0D37">
        <w:t xml:space="preserve"> in TS 36.331 [10], respectively.</w:t>
      </w:r>
    </w:p>
    <w:p w14:paraId="76FDE8E2" w14:textId="77777777" w:rsidR="00394471" w:rsidRPr="00FA0D37" w:rsidRDefault="00394471" w:rsidP="00394471">
      <w:pPr>
        <w:pStyle w:val="TH"/>
      </w:pPr>
      <w:r w:rsidRPr="00FA0D37">
        <w:rPr>
          <w:i/>
        </w:rPr>
        <w:t>MeasTriggerQuantityEUTRA</w:t>
      </w:r>
      <w:r w:rsidRPr="00FA0D37">
        <w:t xml:space="preserve"> information element</w:t>
      </w:r>
    </w:p>
    <w:p w14:paraId="05DC1141" w14:textId="77777777" w:rsidR="00394471" w:rsidRPr="00FA0D37" w:rsidRDefault="00394471" w:rsidP="00FA0D37">
      <w:pPr>
        <w:pStyle w:val="PL"/>
        <w:rPr>
          <w:color w:val="808080"/>
        </w:rPr>
      </w:pPr>
      <w:r w:rsidRPr="00FA0D37">
        <w:rPr>
          <w:color w:val="808080"/>
        </w:rPr>
        <w:t>-- ASN1START</w:t>
      </w:r>
    </w:p>
    <w:p w14:paraId="668E947F" w14:textId="77777777" w:rsidR="00394471" w:rsidRPr="00FA0D37" w:rsidRDefault="00394471" w:rsidP="00FA0D37">
      <w:pPr>
        <w:pStyle w:val="PL"/>
        <w:rPr>
          <w:color w:val="808080"/>
        </w:rPr>
      </w:pPr>
      <w:r w:rsidRPr="00FA0D37">
        <w:rPr>
          <w:color w:val="808080"/>
        </w:rPr>
        <w:t>-- TAG-MEASTRIGGERQUANTITYEUTRA-START</w:t>
      </w:r>
    </w:p>
    <w:p w14:paraId="06E3BA96" w14:textId="77777777" w:rsidR="00394471" w:rsidRPr="00FA0D37" w:rsidRDefault="00394471" w:rsidP="00FA0D37">
      <w:pPr>
        <w:pStyle w:val="PL"/>
      </w:pPr>
    </w:p>
    <w:p w14:paraId="6979B5ED" w14:textId="77777777" w:rsidR="00394471" w:rsidRPr="00FA0D37" w:rsidRDefault="00394471" w:rsidP="00FA0D37">
      <w:pPr>
        <w:pStyle w:val="PL"/>
      </w:pPr>
      <w:r w:rsidRPr="00FA0D37">
        <w:t xml:space="preserve">MeasTriggerQuantityEUTRA::=                 </w:t>
      </w:r>
      <w:r w:rsidRPr="00FA0D37">
        <w:rPr>
          <w:color w:val="993366"/>
        </w:rPr>
        <w:t>CHOICE</w:t>
      </w:r>
      <w:r w:rsidRPr="00FA0D37">
        <w:t xml:space="preserve"> {</w:t>
      </w:r>
    </w:p>
    <w:p w14:paraId="7D453018" w14:textId="77777777" w:rsidR="00394471" w:rsidRPr="00FA0D37" w:rsidRDefault="00394471" w:rsidP="00FA0D37">
      <w:pPr>
        <w:pStyle w:val="PL"/>
      </w:pPr>
      <w:r w:rsidRPr="00FA0D37">
        <w:t xml:space="preserve">    rsrp                                        RSRP-RangeEUTRA,</w:t>
      </w:r>
    </w:p>
    <w:p w14:paraId="6252F13E" w14:textId="77777777" w:rsidR="00394471" w:rsidRPr="00FA0D37" w:rsidRDefault="00394471" w:rsidP="00FA0D37">
      <w:pPr>
        <w:pStyle w:val="PL"/>
      </w:pPr>
      <w:r w:rsidRPr="00FA0D37">
        <w:t xml:space="preserve">    rsrq                                        RSRQ-RangeEUTRA,</w:t>
      </w:r>
    </w:p>
    <w:p w14:paraId="22FDC05A" w14:textId="77777777" w:rsidR="00394471" w:rsidRPr="00FA0D37" w:rsidRDefault="00394471" w:rsidP="00FA0D37">
      <w:pPr>
        <w:pStyle w:val="PL"/>
      </w:pPr>
      <w:r w:rsidRPr="00FA0D37">
        <w:t xml:space="preserve">    sinr                                        SINR-RangeEUTRA</w:t>
      </w:r>
    </w:p>
    <w:p w14:paraId="7BC8F497" w14:textId="77777777" w:rsidR="00394471" w:rsidRPr="00FA0D37" w:rsidRDefault="00394471" w:rsidP="00FA0D37">
      <w:pPr>
        <w:pStyle w:val="PL"/>
      </w:pPr>
      <w:r w:rsidRPr="00FA0D37">
        <w:t>}</w:t>
      </w:r>
    </w:p>
    <w:p w14:paraId="675C3206" w14:textId="77777777" w:rsidR="00394471" w:rsidRPr="00FA0D37" w:rsidRDefault="00394471" w:rsidP="00FA0D37">
      <w:pPr>
        <w:pStyle w:val="PL"/>
      </w:pPr>
    </w:p>
    <w:p w14:paraId="56F8030B" w14:textId="77777777" w:rsidR="00394471" w:rsidRPr="00FA0D37" w:rsidRDefault="00394471" w:rsidP="00FA0D37">
      <w:pPr>
        <w:pStyle w:val="PL"/>
      </w:pPr>
      <w:r w:rsidRPr="00FA0D37">
        <w:t xml:space="preserve">RSRP-RangeEUTRA ::=                 </w:t>
      </w:r>
      <w:r w:rsidRPr="00FA0D37">
        <w:rPr>
          <w:color w:val="993366"/>
        </w:rPr>
        <w:t>INTEGER</w:t>
      </w:r>
      <w:r w:rsidRPr="00FA0D37">
        <w:t xml:space="preserve"> (0..97)</w:t>
      </w:r>
    </w:p>
    <w:p w14:paraId="0399A84C" w14:textId="77777777" w:rsidR="00394471" w:rsidRPr="00FA0D37" w:rsidRDefault="00394471" w:rsidP="00FA0D37">
      <w:pPr>
        <w:pStyle w:val="PL"/>
      </w:pPr>
    </w:p>
    <w:p w14:paraId="38DA2348" w14:textId="77777777" w:rsidR="00394471" w:rsidRPr="00FA0D37" w:rsidRDefault="00394471" w:rsidP="00FA0D37">
      <w:pPr>
        <w:pStyle w:val="PL"/>
      </w:pPr>
      <w:r w:rsidRPr="00FA0D37">
        <w:t xml:space="preserve">RSRQ-RangeEUTRA ::=                 </w:t>
      </w:r>
      <w:r w:rsidRPr="00FA0D37">
        <w:rPr>
          <w:color w:val="993366"/>
        </w:rPr>
        <w:t>INTEGER</w:t>
      </w:r>
      <w:r w:rsidRPr="00FA0D37">
        <w:t xml:space="preserve"> (0..34)</w:t>
      </w:r>
    </w:p>
    <w:p w14:paraId="2388596D" w14:textId="77777777" w:rsidR="00394471" w:rsidRPr="00FA0D37" w:rsidRDefault="00394471" w:rsidP="00FA0D37">
      <w:pPr>
        <w:pStyle w:val="PL"/>
      </w:pPr>
    </w:p>
    <w:p w14:paraId="40DB5D06" w14:textId="77777777" w:rsidR="00394471" w:rsidRPr="00FA0D37" w:rsidRDefault="00394471" w:rsidP="00FA0D37">
      <w:pPr>
        <w:pStyle w:val="PL"/>
      </w:pPr>
      <w:r w:rsidRPr="00FA0D37">
        <w:t xml:space="preserve">SINR-RangeEUTRA ::=                 </w:t>
      </w:r>
      <w:r w:rsidRPr="00FA0D37">
        <w:rPr>
          <w:color w:val="993366"/>
        </w:rPr>
        <w:t>INTEGER</w:t>
      </w:r>
      <w:r w:rsidRPr="00FA0D37">
        <w:t xml:space="preserve"> (0..127)</w:t>
      </w:r>
    </w:p>
    <w:p w14:paraId="3A8C9263" w14:textId="77777777" w:rsidR="00394471" w:rsidRPr="00FA0D37" w:rsidRDefault="00394471" w:rsidP="00FA0D37">
      <w:pPr>
        <w:pStyle w:val="PL"/>
      </w:pPr>
    </w:p>
    <w:p w14:paraId="3DD8A653" w14:textId="77777777" w:rsidR="00394471" w:rsidRPr="00FA0D37" w:rsidRDefault="00394471" w:rsidP="00FA0D37">
      <w:pPr>
        <w:pStyle w:val="PL"/>
        <w:rPr>
          <w:color w:val="808080"/>
        </w:rPr>
      </w:pPr>
      <w:r w:rsidRPr="00FA0D37">
        <w:rPr>
          <w:color w:val="808080"/>
        </w:rPr>
        <w:t>-- TAG-MEASTRIGGERQUANTITYEUTRA-STOP</w:t>
      </w:r>
    </w:p>
    <w:p w14:paraId="3B718722" w14:textId="77777777" w:rsidR="00394471" w:rsidRPr="00FA0D37" w:rsidRDefault="00394471" w:rsidP="00FA0D37">
      <w:pPr>
        <w:pStyle w:val="PL"/>
        <w:rPr>
          <w:color w:val="808080"/>
        </w:rPr>
      </w:pPr>
      <w:r w:rsidRPr="00FA0D37">
        <w:rPr>
          <w:color w:val="808080"/>
        </w:rPr>
        <w:lastRenderedPageBreak/>
        <w:t>-- ASN1STOP</w:t>
      </w:r>
    </w:p>
    <w:p w14:paraId="0D59FA0C" w14:textId="77777777" w:rsidR="00394471" w:rsidRPr="00FA0D37" w:rsidRDefault="00394471" w:rsidP="00394471">
      <w:pPr>
        <w:rPr>
          <w:rFonts w:eastAsiaTheme="minorEastAsia"/>
        </w:rPr>
      </w:pPr>
    </w:p>
    <w:p w14:paraId="4FDA57E7" w14:textId="77777777" w:rsidR="00394471" w:rsidRPr="00FA0D37" w:rsidRDefault="00394471" w:rsidP="00394471">
      <w:pPr>
        <w:pStyle w:val="4"/>
        <w:rPr>
          <w:i/>
          <w:noProof/>
        </w:rPr>
      </w:pPr>
      <w:bookmarkStart w:id="1122" w:name="_Toc60777275"/>
      <w:bookmarkStart w:id="1123" w:name="_Toc146781337"/>
      <w:r w:rsidRPr="00FA0D37">
        <w:t>–</w:t>
      </w:r>
      <w:r w:rsidRPr="00FA0D37">
        <w:tab/>
      </w:r>
      <w:r w:rsidRPr="00FA0D37">
        <w:rPr>
          <w:i/>
          <w:noProof/>
        </w:rPr>
        <w:t>MobilityStateParameters</w:t>
      </w:r>
      <w:bookmarkEnd w:id="1122"/>
      <w:bookmarkEnd w:id="1123"/>
    </w:p>
    <w:p w14:paraId="066B25F1" w14:textId="77777777" w:rsidR="00394471" w:rsidRPr="00FA0D37" w:rsidRDefault="00394471" w:rsidP="00394471">
      <w:r w:rsidRPr="00FA0D37">
        <w:t xml:space="preserve">The IE </w:t>
      </w:r>
      <w:r w:rsidRPr="00FA0D37">
        <w:rPr>
          <w:i/>
          <w:noProof/>
        </w:rPr>
        <w:t>MobilityStateParameters</w:t>
      </w:r>
      <w:r w:rsidRPr="00FA0D37">
        <w:t xml:space="preserve"> contains parameters to determine UE mobility state.</w:t>
      </w:r>
    </w:p>
    <w:p w14:paraId="579B4D0A" w14:textId="77777777" w:rsidR="00394471" w:rsidRPr="00FA0D37" w:rsidRDefault="00394471" w:rsidP="00394471">
      <w:pPr>
        <w:pStyle w:val="TH"/>
      </w:pPr>
      <w:r w:rsidRPr="00FA0D37">
        <w:rPr>
          <w:bCs/>
          <w:i/>
          <w:iCs/>
        </w:rPr>
        <w:t xml:space="preserve">MobilityStateParameters </w:t>
      </w:r>
      <w:r w:rsidRPr="00FA0D37">
        <w:t>information element</w:t>
      </w:r>
    </w:p>
    <w:p w14:paraId="7BE76533" w14:textId="77777777" w:rsidR="00394471" w:rsidRPr="00FA0D37" w:rsidRDefault="00394471" w:rsidP="00FA0D37">
      <w:pPr>
        <w:pStyle w:val="PL"/>
        <w:rPr>
          <w:color w:val="808080"/>
        </w:rPr>
      </w:pPr>
      <w:r w:rsidRPr="00FA0D37">
        <w:rPr>
          <w:color w:val="808080"/>
        </w:rPr>
        <w:t>-- ASN1START</w:t>
      </w:r>
    </w:p>
    <w:p w14:paraId="77225D4B" w14:textId="77777777" w:rsidR="00394471" w:rsidRPr="00FA0D37" w:rsidRDefault="00394471" w:rsidP="00FA0D37">
      <w:pPr>
        <w:pStyle w:val="PL"/>
        <w:rPr>
          <w:color w:val="808080"/>
        </w:rPr>
      </w:pPr>
      <w:r w:rsidRPr="00FA0D37">
        <w:rPr>
          <w:color w:val="808080"/>
        </w:rPr>
        <w:t>-- TAG-MOBILITYSTATEPARAMETERS-START</w:t>
      </w:r>
    </w:p>
    <w:p w14:paraId="7C620B8A" w14:textId="77777777" w:rsidR="00394471" w:rsidRPr="00FA0D37" w:rsidRDefault="00394471" w:rsidP="00FA0D37">
      <w:pPr>
        <w:pStyle w:val="PL"/>
      </w:pPr>
    </w:p>
    <w:p w14:paraId="5861B2BB" w14:textId="77777777" w:rsidR="00394471" w:rsidRPr="00FA0D37" w:rsidRDefault="00394471" w:rsidP="00FA0D37">
      <w:pPr>
        <w:pStyle w:val="PL"/>
      </w:pPr>
      <w:r w:rsidRPr="00FA0D37">
        <w:t xml:space="preserve">MobilityStateParameters ::=         </w:t>
      </w:r>
      <w:r w:rsidRPr="00FA0D37">
        <w:rPr>
          <w:color w:val="993366"/>
        </w:rPr>
        <w:t>SEQUENCE</w:t>
      </w:r>
      <w:r w:rsidRPr="00FA0D37">
        <w:t>{</w:t>
      </w:r>
    </w:p>
    <w:p w14:paraId="371284AE" w14:textId="77777777" w:rsidR="00394471" w:rsidRPr="00FA0D37" w:rsidRDefault="00394471" w:rsidP="00FA0D37">
      <w:pPr>
        <w:pStyle w:val="PL"/>
      </w:pPr>
      <w:r w:rsidRPr="00FA0D37">
        <w:t xml:space="preserve">    t-Evaluation                        </w:t>
      </w:r>
      <w:r w:rsidRPr="00FA0D37">
        <w:rPr>
          <w:color w:val="993366"/>
        </w:rPr>
        <w:t>ENUMERATED</w:t>
      </w:r>
      <w:r w:rsidRPr="00FA0D37">
        <w:t xml:space="preserve"> {</w:t>
      </w:r>
    </w:p>
    <w:p w14:paraId="5C78CB65" w14:textId="77777777" w:rsidR="00394471" w:rsidRPr="00FA0D37" w:rsidRDefault="00394471" w:rsidP="00FA0D37">
      <w:pPr>
        <w:pStyle w:val="PL"/>
      </w:pPr>
      <w:r w:rsidRPr="00FA0D37">
        <w:t xml:space="preserve">                                            s30, s60, s120, s180, s240, spare3, spare2, spare1},</w:t>
      </w:r>
    </w:p>
    <w:p w14:paraId="211FC6C6" w14:textId="77777777" w:rsidR="00394471" w:rsidRPr="00FA0D37" w:rsidRDefault="00394471" w:rsidP="00FA0D37">
      <w:pPr>
        <w:pStyle w:val="PL"/>
      </w:pPr>
      <w:r w:rsidRPr="00FA0D37">
        <w:t xml:space="preserve">    t-HystNormal                        </w:t>
      </w:r>
      <w:r w:rsidRPr="00FA0D37">
        <w:rPr>
          <w:color w:val="993366"/>
        </w:rPr>
        <w:t>ENUMERATED</w:t>
      </w:r>
      <w:r w:rsidRPr="00FA0D37">
        <w:t xml:space="preserve"> {</w:t>
      </w:r>
    </w:p>
    <w:p w14:paraId="5B194EAE" w14:textId="77777777" w:rsidR="00394471" w:rsidRPr="00FA0D37" w:rsidRDefault="00394471" w:rsidP="00FA0D37">
      <w:pPr>
        <w:pStyle w:val="PL"/>
      </w:pPr>
      <w:r w:rsidRPr="00FA0D37">
        <w:t xml:space="preserve">                                            s30, s60, s120, s180, s240, spare3, spare2, spare1},</w:t>
      </w:r>
    </w:p>
    <w:p w14:paraId="74EC3E40" w14:textId="77777777" w:rsidR="00394471" w:rsidRPr="00FA0D37" w:rsidRDefault="00394471" w:rsidP="00FA0D37">
      <w:pPr>
        <w:pStyle w:val="PL"/>
      </w:pPr>
      <w:r w:rsidRPr="00FA0D37">
        <w:t xml:space="preserve">    n-CellChangeMedium                  </w:t>
      </w:r>
      <w:r w:rsidRPr="00FA0D37">
        <w:rPr>
          <w:color w:val="993366"/>
        </w:rPr>
        <w:t>INTEGER</w:t>
      </w:r>
      <w:r w:rsidRPr="00FA0D37">
        <w:t xml:space="preserve"> (1..16),</w:t>
      </w:r>
    </w:p>
    <w:p w14:paraId="261D23AC" w14:textId="77777777" w:rsidR="00394471" w:rsidRPr="00FA0D37" w:rsidRDefault="00394471" w:rsidP="00FA0D37">
      <w:pPr>
        <w:pStyle w:val="PL"/>
      </w:pPr>
      <w:r w:rsidRPr="00FA0D37">
        <w:t xml:space="preserve">    n-CellChangeHigh                    </w:t>
      </w:r>
      <w:r w:rsidRPr="00FA0D37">
        <w:rPr>
          <w:color w:val="993366"/>
        </w:rPr>
        <w:t>INTEGER</w:t>
      </w:r>
      <w:r w:rsidRPr="00FA0D37">
        <w:t xml:space="preserve"> (1..16)</w:t>
      </w:r>
    </w:p>
    <w:p w14:paraId="46EE523A" w14:textId="77777777" w:rsidR="00394471" w:rsidRPr="00FA0D37" w:rsidRDefault="00394471" w:rsidP="00FA0D37">
      <w:pPr>
        <w:pStyle w:val="PL"/>
      </w:pPr>
      <w:r w:rsidRPr="00FA0D37">
        <w:t>}</w:t>
      </w:r>
    </w:p>
    <w:p w14:paraId="3FD5659E" w14:textId="77777777" w:rsidR="00394471" w:rsidRPr="00FA0D37" w:rsidRDefault="00394471" w:rsidP="00FA0D37">
      <w:pPr>
        <w:pStyle w:val="PL"/>
      </w:pPr>
    </w:p>
    <w:p w14:paraId="78A84379" w14:textId="77777777" w:rsidR="00394471" w:rsidRPr="00FA0D37" w:rsidRDefault="00394471" w:rsidP="00FA0D37">
      <w:pPr>
        <w:pStyle w:val="PL"/>
        <w:rPr>
          <w:color w:val="808080"/>
        </w:rPr>
      </w:pPr>
      <w:r w:rsidRPr="00FA0D37">
        <w:rPr>
          <w:color w:val="808080"/>
        </w:rPr>
        <w:t>-- TAG-MOBILITYSTATEPARAMETERS-STOP</w:t>
      </w:r>
    </w:p>
    <w:p w14:paraId="6A317A6E" w14:textId="77777777" w:rsidR="00394471" w:rsidRPr="00FA0D37" w:rsidRDefault="00394471" w:rsidP="00FA0D37">
      <w:pPr>
        <w:pStyle w:val="PL"/>
        <w:rPr>
          <w:color w:val="808080"/>
        </w:rPr>
      </w:pPr>
      <w:r w:rsidRPr="00FA0D37">
        <w:rPr>
          <w:color w:val="808080"/>
        </w:rPr>
        <w:t>-- ASN1STOP</w:t>
      </w:r>
    </w:p>
    <w:p w14:paraId="0732C95F" w14:textId="77777777" w:rsidR="00394471" w:rsidRPr="00FA0D3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FA0D37" w:rsidRDefault="00394471" w:rsidP="00964CC4">
            <w:pPr>
              <w:pStyle w:val="TAH"/>
              <w:rPr>
                <w:lang w:eastAsia="en-GB"/>
              </w:rPr>
            </w:pPr>
            <w:r w:rsidRPr="00FA0D37">
              <w:rPr>
                <w:i/>
                <w:noProof/>
                <w:lang w:eastAsia="en-GB"/>
              </w:rPr>
              <w:t>MobilityStateParameters</w:t>
            </w:r>
            <w:r w:rsidRPr="00FA0D37">
              <w:rPr>
                <w:iCs/>
                <w:noProof/>
                <w:lang w:eastAsia="en-GB"/>
              </w:rPr>
              <w:t xml:space="preserve"> field descriptions</w:t>
            </w:r>
          </w:p>
        </w:tc>
      </w:tr>
      <w:tr w:rsidR="005C7FF4" w:rsidRPr="00FA0D37"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FA0D37" w:rsidRDefault="00394471" w:rsidP="00964CC4">
            <w:pPr>
              <w:pStyle w:val="TAL"/>
              <w:rPr>
                <w:b/>
                <w:i/>
                <w:lang w:eastAsia="en-GB"/>
              </w:rPr>
            </w:pPr>
            <w:r w:rsidRPr="00FA0D37">
              <w:rPr>
                <w:b/>
                <w:i/>
                <w:lang w:eastAsia="en-GB"/>
              </w:rPr>
              <w:t>n-CellChangeHigh</w:t>
            </w:r>
          </w:p>
          <w:p w14:paraId="13CBAD60" w14:textId="77777777" w:rsidR="00394471" w:rsidRPr="00FA0D37" w:rsidRDefault="00394471" w:rsidP="00964CC4">
            <w:pPr>
              <w:pStyle w:val="TAL"/>
              <w:rPr>
                <w:lang w:eastAsia="en-GB"/>
              </w:rPr>
            </w:pPr>
            <w:r w:rsidRPr="00FA0D37">
              <w:rPr>
                <w:lang w:eastAsia="en-GB"/>
              </w:rPr>
              <w:t>The number of cell changes to enter high mobility state. Corresponds to N</w:t>
            </w:r>
            <w:r w:rsidRPr="00FA0D37">
              <w:rPr>
                <w:vertAlign w:val="subscript"/>
                <w:lang w:eastAsia="en-GB"/>
              </w:rPr>
              <w:t>CR_H</w:t>
            </w:r>
            <w:r w:rsidRPr="00FA0D37">
              <w:rPr>
                <w:lang w:eastAsia="en-GB"/>
              </w:rPr>
              <w:t xml:space="preserve"> in TS 38.304 [20].</w:t>
            </w:r>
          </w:p>
        </w:tc>
      </w:tr>
      <w:tr w:rsidR="005C7FF4" w:rsidRPr="00FA0D37"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FA0D37" w:rsidRDefault="00394471" w:rsidP="00964CC4">
            <w:pPr>
              <w:pStyle w:val="TAL"/>
              <w:rPr>
                <w:b/>
                <w:i/>
                <w:lang w:eastAsia="en-GB"/>
              </w:rPr>
            </w:pPr>
            <w:r w:rsidRPr="00FA0D37">
              <w:rPr>
                <w:b/>
                <w:i/>
                <w:lang w:eastAsia="en-GB"/>
              </w:rPr>
              <w:t>n-CellChangeMedium</w:t>
            </w:r>
          </w:p>
          <w:p w14:paraId="29CED1C6" w14:textId="77777777" w:rsidR="00394471" w:rsidRPr="00FA0D37" w:rsidRDefault="00394471" w:rsidP="00964CC4">
            <w:pPr>
              <w:pStyle w:val="TAL"/>
              <w:rPr>
                <w:lang w:eastAsia="en-GB"/>
              </w:rPr>
            </w:pPr>
            <w:r w:rsidRPr="00FA0D37">
              <w:rPr>
                <w:lang w:eastAsia="en-GB"/>
              </w:rPr>
              <w:t>The number of cell changes to enter medium mobility state. Corresponds to N</w:t>
            </w:r>
            <w:r w:rsidRPr="00FA0D37">
              <w:rPr>
                <w:vertAlign w:val="subscript"/>
                <w:lang w:eastAsia="en-GB"/>
              </w:rPr>
              <w:t>CR_M</w:t>
            </w:r>
            <w:r w:rsidRPr="00FA0D37">
              <w:rPr>
                <w:lang w:eastAsia="en-GB"/>
              </w:rPr>
              <w:t xml:space="preserve"> in TS 38.304 [20].</w:t>
            </w:r>
          </w:p>
        </w:tc>
      </w:tr>
      <w:tr w:rsidR="005C7FF4" w:rsidRPr="00FA0D37"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FA0D37" w:rsidRDefault="00394471" w:rsidP="00964CC4">
            <w:pPr>
              <w:pStyle w:val="TAL"/>
              <w:rPr>
                <w:b/>
                <w:i/>
                <w:lang w:eastAsia="en-GB"/>
              </w:rPr>
            </w:pPr>
            <w:r w:rsidRPr="00FA0D37">
              <w:rPr>
                <w:b/>
                <w:i/>
                <w:lang w:eastAsia="en-GB"/>
              </w:rPr>
              <w:t>t-Evaluation</w:t>
            </w:r>
          </w:p>
          <w:p w14:paraId="2C4577D2" w14:textId="77777777" w:rsidR="00394471" w:rsidRPr="00FA0D37" w:rsidRDefault="00394471" w:rsidP="00964CC4">
            <w:pPr>
              <w:pStyle w:val="TAL"/>
              <w:rPr>
                <w:lang w:eastAsia="en-GB"/>
              </w:rPr>
            </w:pPr>
            <w:r w:rsidRPr="00FA0D37">
              <w:rPr>
                <w:lang w:eastAsia="en-GB"/>
              </w:rPr>
              <w:t>The duration for evaluating criteria to enter mobility states. Corresponds to T</w:t>
            </w:r>
            <w:r w:rsidRPr="00FA0D37">
              <w:rPr>
                <w:vertAlign w:val="subscript"/>
                <w:lang w:eastAsia="en-GB"/>
              </w:rPr>
              <w:t>CRmax</w:t>
            </w:r>
            <w:r w:rsidRPr="00FA0D37">
              <w:rPr>
                <w:lang w:eastAsia="en-GB"/>
              </w:rPr>
              <w:t xml:space="preserve"> in TS 38.304 [20]. Value in seconds, </w:t>
            </w:r>
            <w:r w:rsidRPr="00FA0D37">
              <w:rPr>
                <w:i/>
                <w:lang w:eastAsia="en-GB"/>
              </w:rPr>
              <w:t>s30</w:t>
            </w:r>
            <w:r w:rsidRPr="00FA0D37">
              <w:rPr>
                <w:lang w:eastAsia="en-GB"/>
              </w:rPr>
              <w:t xml:space="preserve"> corresponds to 30 s and so on.</w:t>
            </w:r>
          </w:p>
        </w:tc>
      </w:tr>
      <w:tr w:rsidR="000830BB" w:rsidRPr="00FA0D37"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FA0D37" w:rsidRDefault="00394471" w:rsidP="00964CC4">
            <w:pPr>
              <w:pStyle w:val="TAL"/>
              <w:rPr>
                <w:b/>
                <w:i/>
                <w:lang w:eastAsia="en-GB"/>
              </w:rPr>
            </w:pPr>
            <w:r w:rsidRPr="00FA0D37">
              <w:rPr>
                <w:b/>
                <w:i/>
                <w:lang w:eastAsia="en-GB"/>
              </w:rPr>
              <w:t>t-HystNormal</w:t>
            </w:r>
          </w:p>
          <w:p w14:paraId="79882504" w14:textId="77777777" w:rsidR="00394471" w:rsidRPr="00FA0D37" w:rsidRDefault="00394471" w:rsidP="00964CC4">
            <w:pPr>
              <w:pStyle w:val="TAL"/>
              <w:rPr>
                <w:lang w:eastAsia="en-GB"/>
              </w:rPr>
            </w:pPr>
            <w:r w:rsidRPr="00FA0D37">
              <w:rPr>
                <w:lang w:eastAsia="en-GB"/>
              </w:rPr>
              <w:t>The additional duration for evaluating criteria to enter normal mobility state. Corresponds to T</w:t>
            </w:r>
            <w:r w:rsidRPr="00FA0D37">
              <w:rPr>
                <w:vertAlign w:val="subscript"/>
                <w:lang w:eastAsia="en-GB"/>
              </w:rPr>
              <w:t>CRmaxHyst</w:t>
            </w:r>
            <w:r w:rsidRPr="00FA0D37">
              <w:rPr>
                <w:lang w:eastAsia="en-GB"/>
              </w:rPr>
              <w:t xml:space="preserve"> in TS 38.304 [20]. Value in seconds, value </w:t>
            </w:r>
            <w:r w:rsidRPr="00FA0D37">
              <w:rPr>
                <w:i/>
                <w:lang w:eastAsia="en-GB"/>
              </w:rPr>
              <w:t>s30</w:t>
            </w:r>
            <w:r w:rsidRPr="00FA0D37">
              <w:rPr>
                <w:lang w:eastAsia="en-GB"/>
              </w:rPr>
              <w:t xml:space="preserve"> corresponds to 30 seconds and so on.</w:t>
            </w:r>
          </w:p>
        </w:tc>
      </w:tr>
    </w:tbl>
    <w:p w14:paraId="7B1D0224" w14:textId="3FA5297B" w:rsidR="00394471" w:rsidRPr="00FA0D37" w:rsidRDefault="00394471" w:rsidP="00394471"/>
    <w:p w14:paraId="79CA742D" w14:textId="77777777" w:rsidR="00CE6FBC" w:rsidRPr="00FA0D37" w:rsidRDefault="00CE6FBC" w:rsidP="00CE6FBC">
      <w:pPr>
        <w:pStyle w:val="4"/>
      </w:pPr>
      <w:bookmarkStart w:id="1124" w:name="_Toc146781338"/>
      <w:r w:rsidRPr="00FA0D37">
        <w:t>–</w:t>
      </w:r>
      <w:r w:rsidRPr="00FA0D37">
        <w:tab/>
      </w:r>
      <w:r w:rsidRPr="00FA0D37">
        <w:rPr>
          <w:i/>
        </w:rPr>
        <w:t>MRB-</w:t>
      </w:r>
      <w:r w:rsidRPr="00FA0D37">
        <w:rPr>
          <w:i/>
          <w:noProof/>
        </w:rPr>
        <w:t>Identity</w:t>
      </w:r>
      <w:bookmarkEnd w:id="1124"/>
    </w:p>
    <w:p w14:paraId="66D7C913" w14:textId="77777777" w:rsidR="00CE6FBC" w:rsidRPr="00FA0D37" w:rsidRDefault="00CE6FBC" w:rsidP="00CE6FBC">
      <w:r w:rsidRPr="00FA0D37">
        <w:t xml:space="preserve">The IE </w:t>
      </w:r>
      <w:r w:rsidRPr="00FA0D37">
        <w:rPr>
          <w:i/>
        </w:rPr>
        <w:t>MRB-Identity</w:t>
      </w:r>
      <w:r w:rsidRPr="00FA0D37">
        <w:t xml:space="preserve"> is used to identify a multicast MRB used by a UE.</w:t>
      </w:r>
    </w:p>
    <w:p w14:paraId="7F49B8F0" w14:textId="77777777" w:rsidR="00CE6FBC" w:rsidRPr="00FA0D37" w:rsidRDefault="00CE6FBC" w:rsidP="00CE6FBC">
      <w:pPr>
        <w:pStyle w:val="TH"/>
        <w:rPr>
          <w:b w:val="0"/>
        </w:rPr>
      </w:pPr>
      <w:r w:rsidRPr="00FA0D37">
        <w:rPr>
          <w:bCs/>
          <w:i/>
          <w:iCs/>
        </w:rPr>
        <w:t>MRB-Identity</w:t>
      </w:r>
      <w:r w:rsidRPr="00FA0D37">
        <w:t xml:space="preserve"> information element</w:t>
      </w:r>
    </w:p>
    <w:p w14:paraId="4A48C3A0" w14:textId="77777777" w:rsidR="00CE6FBC" w:rsidRPr="00FA0D37" w:rsidRDefault="00CE6FBC" w:rsidP="00FA0D37">
      <w:pPr>
        <w:pStyle w:val="PL"/>
        <w:rPr>
          <w:color w:val="808080"/>
        </w:rPr>
      </w:pPr>
      <w:r w:rsidRPr="00FA0D37">
        <w:rPr>
          <w:color w:val="808080"/>
        </w:rPr>
        <w:t>-- ASN1START</w:t>
      </w:r>
    </w:p>
    <w:p w14:paraId="6485B574" w14:textId="77777777" w:rsidR="00CE6FBC" w:rsidRPr="00FA0D37" w:rsidRDefault="00CE6FBC" w:rsidP="00FA0D37">
      <w:pPr>
        <w:pStyle w:val="PL"/>
        <w:rPr>
          <w:color w:val="808080"/>
        </w:rPr>
      </w:pPr>
      <w:r w:rsidRPr="00FA0D37">
        <w:rPr>
          <w:color w:val="808080"/>
        </w:rPr>
        <w:t>-- TAG-MRB-IDENTITY-START</w:t>
      </w:r>
    </w:p>
    <w:p w14:paraId="788F054B" w14:textId="77777777" w:rsidR="00CE6FBC" w:rsidRPr="00FA0D37" w:rsidRDefault="00CE6FBC" w:rsidP="00FA0D37">
      <w:pPr>
        <w:pStyle w:val="PL"/>
      </w:pPr>
    </w:p>
    <w:p w14:paraId="21CB0C81" w14:textId="77777777" w:rsidR="00CE6FBC" w:rsidRPr="00FA0D37" w:rsidRDefault="00CE6FBC" w:rsidP="00FA0D37">
      <w:pPr>
        <w:pStyle w:val="PL"/>
      </w:pPr>
      <w:r w:rsidRPr="00FA0D37">
        <w:lastRenderedPageBreak/>
        <w:t xml:space="preserve">MRB-Identity-r17 ::=                    </w:t>
      </w:r>
      <w:r w:rsidRPr="00FA0D37">
        <w:rPr>
          <w:color w:val="993366"/>
        </w:rPr>
        <w:t>INTEGER</w:t>
      </w:r>
      <w:r w:rsidRPr="00FA0D37">
        <w:t xml:space="preserve"> (1..512)</w:t>
      </w:r>
    </w:p>
    <w:p w14:paraId="05AB66E4" w14:textId="77777777" w:rsidR="00CE6FBC" w:rsidRPr="00FA0D37" w:rsidRDefault="00CE6FBC" w:rsidP="00FA0D37">
      <w:pPr>
        <w:pStyle w:val="PL"/>
      </w:pPr>
    </w:p>
    <w:p w14:paraId="1B96EAE2" w14:textId="77777777" w:rsidR="00CE6FBC" w:rsidRPr="00FA0D37" w:rsidRDefault="00CE6FBC" w:rsidP="00FA0D37">
      <w:pPr>
        <w:pStyle w:val="PL"/>
        <w:rPr>
          <w:color w:val="808080"/>
        </w:rPr>
      </w:pPr>
      <w:r w:rsidRPr="00FA0D37">
        <w:rPr>
          <w:color w:val="808080"/>
        </w:rPr>
        <w:t>-- TAG-MRB-IDENTITY-STOP</w:t>
      </w:r>
    </w:p>
    <w:p w14:paraId="07BDA078" w14:textId="77777777" w:rsidR="00CE6FBC" w:rsidRPr="00FA0D37" w:rsidRDefault="00CE6FBC" w:rsidP="00FA0D37">
      <w:pPr>
        <w:pStyle w:val="PL"/>
        <w:rPr>
          <w:color w:val="808080"/>
        </w:rPr>
      </w:pPr>
      <w:r w:rsidRPr="00FA0D37">
        <w:rPr>
          <w:color w:val="808080"/>
        </w:rPr>
        <w:t>-- ASN1STOP</w:t>
      </w:r>
    </w:p>
    <w:p w14:paraId="3E352C66" w14:textId="77777777" w:rsidR="00CE6FBC" w:rsidRPr="00FA0D37" w:rsidRDefault="00CE6FBC" w:rsidP="00394471"/>
    <w:p w14:paraId="22E81AF0" w14:textId="77777777" w:rsidR="00394471" w:rsidRPr="00FA0D37" w:rsidRDefault="00394471" w:rsidP="00394471">
      <w:pPr>
        <w:pStyle w:val="4"/>
        <w:ind w:left="864" w:hanging="864"/>
        <w:rPr>
          <w:i/>
        </w:rPr>
      </w:pPr>
      <w:bookmarkStart w:id="1125" w:name="_Toc60777276"/>
      <w:bookmarkStart w:id="1126" w:name="_Toc146781339"/>
      <w:r w:rsidRPr="00FA0D37">
        <w:t>–</w:t>
      </w:r>
      <w:r w:rsidRPr="00FA0D37">
        <w:tab/>
      </w:r>
      <w:r w:rsidRPr="00FA0D37">
        <w:rPr>
          <w:i/>
        </w:rPr>
        <w:t>MsgA-</w:t>
      </w:r>
      <w:r w:rsidRPr="00FA0D37">
        <w:rPr>
          <w:i/>
          <w:noProof/>
        </w:rPr>
        <w:t>ConfigCommon</w:t>
      </w:r>
      <w:bookmarkEnd w:id="1125"/>
      <w:bookmarkEnd w:id="1126"/>
    </w:p>
    <w:p w14:paraId="3D5E2668" w14:textId="77777777" w:rsidR="00394471" w:rsidRPr="00FA0D37" w:rsidRDefault="00394471" w:rsidP="00394471">
      <w:pPr>
        <w:rPr>
          <w:rFonts w:eastAsia="等线"/>
        </w:rPr>
      </w:pPr>
      <w:r w:rsidRPr="00FA0D37">
        <w:rPr>
          <w:rFonts w:eastAsia="等线"/>
        </w:rPr>
        <w:t xml:space="preserve">The IE </w:t>
      </w:r>
      <w:r w:rsidRPr="00FA0D37">
        <w:rPr>
          <w:rFonts w:eastAsia="等线"/>
          <w:i/>
        </w:rPr>
        <w:t>MsgA-ConfigCommon</w:t>
      </w:r>
      <w:r w:rsidRPr="00FA0D37">
        <w:rPr>
          <w:rFonts w:eastAsia="等线"/>
        </w:rPr>
        <w:t xml:space="preserve"> is used to configure the PRACH and PUSCH resource for transmission of MsgA in 2-step random access type procedure.</w:t>
      </w:r>
    </w:p>
    <w:p w14:paraId="5FF4269E" w14:textId="77777777" w:rsidR="00394471" w:rsidRPr="00FA0D37" w:rsidRDefault="00394471" w:rsidP="00FA0D37">
      <w:pPr>
        <w:pStyle w:val="PL"/>
        <w:rPr>
          <w:color w:val="808080"/>
        </w:rPr>
      </w:pPr>
      <w:r w:rsidRPr="00FA0D37">
        <w:rPr>
          <w:color w:val="808080"/>
        </w:rPr>
        <w:t>-- ASN1START</w:t>
      </w:r>
    </w:p>
    <w:p w14:paraId="347A5623" w14:textId="77777777" w:rsidR="00394471" w:rsidRPr="00FA0D37" w:rsidRDefault="00394471" w:rsidP="00FA0D37">
      <w:pPr>
        <w:pStyle w:val="PL"/>
        <w:rPr>
          <w:color w:val="808080"/>
        </w:rPr>
      </w:pPr>
      <w:r w:rsidRPr="00FA0D37">
        <w:rPr>
          <w:color w:val="808080"/>
        </w:rPr>
        <w:t>-- TAG-MSGACONFIGCOMMON-START</w:t>
      </w:r>
    </w:p>
    <w:p w14:paraId="54475547" w14:textId="77777777" w:rsidR="00394471" w:rsidRPr="00FA0D37" w:rsidRDefault="00394471" w:rsidP="00FA0D37">
      <w:pPr>
        <w:pStyle w:val="PL"/>
      </w:pPr>
    </w:p>
    <w:p w14:paraId="4F9F7975" w14:textId="77777777" w:rsidR="00394471" w:rsidRPr="00FA0D37" w:rsidRDefault="00394471" w:rsidP="00FA0D37">
      <w:pPr>
        <w:pStyle w:val="PL"/>
      </w:pPr>
      <w:r w:rsidRPr="00FA0D37">
        <w:t xml:space="preserve">MsgA-ConfigCommon-r16 ::=           </w:t>
      </w:r>
      <w:r w:rsidRPr="00FA0D37">
        <w:rPr>
          <w:color w:val="993366"/>
        </w:rPr>
        <w:t>SEQUENCE</w:t>
      </w:r>
      <w:r w:rsidRPr="00FA0D37">
        <w:t xml:space="preserve"> {</w:t>
      </w:r>
    </w:p>
    <w:p w14:paraId="3403503A" w14:textId="77777777" w:rsidR="00394471" w:rsidRPr="00FA0D37" w:rsidRDefault="00394471" w:rsidP="00FA0D37">
      <w:pPr>
        <w:pStyle w:val="PL"/>
      </w:pPr>
      <w:r w:rsidRPr="00FA0D37">
        <w:t xml:space="preserve">    rach-ConfigCommonTwoStepRA-r16      RACH-ConfigCommonTwoStepRA-r16,</w:t>
      </w:r>
    </w:p>
    <w:p w14:paraId="7E2988EC" w14:textId="77777777" w:rsidR="00394471" w:rsidRPr="00FA0D37" w:rsidRDefault="00394471" w:rsidP="00FA0D37">
      <w:pPr>
        <w:pStyle w:val="PL"/>
        <w:rPr>
          <w:color w:val="808080"/>
        </w:rPr>
      </w:pPr>
      <w:r w:rsidRPr="00FA0D37">
        <w:t xml:space="preserve">    msgA-PUSCH-Config-r16               MsgA-PUSCH-Config-r16                                      </w:t>
      </w:r>
      <w:r w:rsidRPr="00FA0D37">
        <w:rPr>
          <w:color w:val="993366"/>
        </w:rPr>
        <w:t>OPTIONAL</w:t>
      </w:r>
      <w:r w:rsidRPr="00FA0D37">
        <w:t xml:space="preserve"> </w:t>
      </w:r>
      <w:r w:rsidRPr="00FA0D37">
        <w:rPr>
          <w:color w:val="808080"/>
        </w:rPr>
        <w:t>--Cond InitialBWPConfig</w:t>
      </w:r>
    </w:p>
    <w:p w14:paraId="1A76CD5B" w14:textId="60B552BF" w:rsidR="00394471" w:rsidRPr="00FA0D37" w:rsidRDefault="00394471" w:rsidP="00FA0D37">
      <w:pPr>
        <w:pStyle w:val="PL"/>
      </w:pPr>
      <w:r w:rsidRPr="00FA0D37">
        <w:t>}</w:t>
      </w:r>
    </w:p>
    <w:p w14:paraId="27345C2E" w14:textId="77777777" w:rsidR="00567F03" w:rsidRPr="00FA0D37" w:rsidRDefault="00567F03" w:rsidP="00FA0D37">
      <w:pPr>
        <w:pStyle w:val="PL"/>
      </w:pPr>
    </w:p>
    <w:p w14:paraId="5AB0ED34" w14:textId="77777777" w:rsidR="00394471" w:rsidRPr="00FA0D37" w:rsidRDefault="00394471" w:rsidP="00FA0D37">
      <w:pPr>
        <w:pStyle w:val="PL"/>
        <w:rPr>
          <w:color w:val="808080"/>
        </w:rPr>
      </w:pPr>
      <w:r w:rsidRPr="00FA0D37">
        <w:rPr>
          <w:color w:val="808080"/>
        </w:rPr>
        <w:t>-- TAG-MSGACONFIGCOMMON-STOP</w:t>
      </w:r>
    </w:p>
    <w:p w14:paraId="5088D93A" w14:textId="77777777" w:rsidR="00394471" w:rsidRPr="00FA0D37" w:rsidRDefault="00394471" w:rsidP="00FA0D37">
      <w:pPr>
        <w:pStyle w:val="PL"/>
        <w:rPr>
          <w:color w:val="808080"/>
        </w:rPr>
      </w:pPr>
      <w:r w:rsidRPr="00FA0D37">
        <w:rPr>
          <w:color w:val="808080"/>
        </w:rPr>
        <w:t>-- ASN1STOP</w:t>
      </w:r>
    </w:p>
    <w:p w14:paraId="2D027125" w14:textId="77777777" w:rsidR="00394471" w:rsidRPr="00FA0D37" w:rsidRDefault="00394471" w:rsidP="00394471">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5C7FF4" w:rsidRPr="00FA0D37"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FA0D37" w:rsidRDefault="00394471" w:rsidP="00964CC4">
            <w:pPr>
              <w:pStyle w:val="TAH"/>
              <w:rPr>
                <w:lang w:eastAsia="en-GB"/>
              </w:rPr>
            </w:pPr>
            <w:r w:rsidRPr="00FA0D37">
              <w:rPr>
                <w:i/>
                <w:iCs/>
                <w:lang w:eastAsia="sv-SE"/>
              </w:rPr>
              <w:t>MsgA-ConfigCommon</w:t>
            </w:r>
            <w:r w:rsidRPr="00FA0D37">
              <w:rPr>
                <w:lang w:eastAsia="sv-SE"/>
              </w:rPr>
              <w:t xml:space="preserve"> field descriptions</w:t>
            </w:r>
          </w:p>
        </w:tc>
      </w:tr>
      <w:tr w:rsidR="005C7FF4" w:rsidRPr="00FA0D37"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FA0D37" w:rsidRDefault="00394471" w:rsidP="00964CC4">
            <w:pPr>
              <w:pStyle w:val="TAL"/>
              <w:rPr>
                <w:b/>
                <w:bCs/>
                <w:i/>
                <w:iCs/>
                <w:lang w:eastAsia="sv-SE"/>
              </w:rPr>
            </w:pPr>
            <w:r w:rsidRPr="00FA0D37">
              <w:rPr>
                <w:b/>
                <w:bCs/>
                <w:i/>
                <w:iCs/>
                <w:lang w:eastAsia="sv-SE"/>
              </w:rPr>
              <w:t>msgA-PUSCH-Config</w:t>
            </w:r>
          </w:p>
          <w:p w14:paraId="11FCD9CB" w14:textId="77777777" w:rsidR="00394471" w:rsidRPr="00FA0D37" w:rsidRDefault="00394471" w:rsidP="00964CC4">
            <w:pPr>
              <w:pStyle w:val="TAL"/>
              <w:rPr>
                <w:lang w:eastAsia="en-GB"/>
              </w:rPr>
            </w:pPr>
            <w:r w:rsidRPr="00FA0D37">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FA0D37"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FA0D37" w:rsidRDefault="00394471" w:rsidP="00964CC4">
            <w:pPr>
              <w:pStyle w:val="TAL"/>
              <w:rPr>
                <w:b/>
                <w:bCs/>
                <w:i/>
                <w:iCs/>
                <w:lang w:eastAsia="sv-SE"/>
              </w:rPr>
            </w:pPr>
            <w:r w:rsidRPr="00FA0D37">
              <w:rPr>
                <w:b/>
                <w:bCs/>
                <w:i/>
                <w:iCs/>
                <w:lang w:eastAsia="sv-SE"/>
              </w:rPr>
              <w:t>rach-ConfigCommonTwoStepRA</w:t>
            </w:r>
          </w:p>
          <w:p w14:paraId="7FC2C720" w14:textId="77777777" w:rsidR="00394471" w:rsidRPr="00FA0D37" w:rsidRDefault="00394471" w:rsidP="00964CC4">
            <w:pPr>
              <w:pStyle w:val="TAL"/>
              <w:rPr>
                <w:lang w:eastAsia="sv-SE"/>
              </w:rPr>
            </w:pPr>
            <w:r w:rsidRPr="00FA0D37">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FA0D37" w:rsidRDefault="00394471" w:rsidP="00394471">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FA0D37" w:rsidRDefault="00394471" w:rsidP="00964CC4">
            <w:pPr>
              <w:pStyle w:val="TAH"/>
              <w:rPr>
                <w:rFonts w:eastAsia="Calibri"/>
                <w:lang w:eastAsia="sv-SE"/>
              </w:rPr>
            </w:pPr>
            <w:r w:rsidRPr="00FA0D3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FA0D37" w:rsidRDefault="00394471" w:rsidP="00964CC4">
            <w:pPr>
              <w:pStyle w:val="TAH"/>
              <w:rPr>
                <w:rFonts w:eastAsia="Calibri"/>
                <w:lang w:eastAsia="sv-SE"/>
              </w:rPr>
            </w:pPr>
            <w:r w:rsidRPr="00FA0D37">
              <w:rPr>
                <w:rFonts w:eastAsia="Calibri"/>
                <w:lang w:eastAsia="sv-SE"/>
              </w:rPr>
              <w:t>Explanation</w:t>
            </w:r>
          </w:p>
        </w:tc>
      </w:tr>
      <w:tr w:rsidR="00394471" w:rsidRPr="00FA0D37"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FA0D37" w:rsidRDefault="00394471" w:rsidP="00964CC4">
            <w:pPr>
              <w:pStyle w:val="TAL"/>
              <w:rPr>
                <w:i/>
                <w:iCs/>
                <w:lang w:eastAsia="sv-SE"/>
              </w:rPr>
            </w:pPr>
            <w:r w:rsidRPr="00FA0D3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FA0D37" w:rsidRDefault="00394471" w:rsidP="00964CC4">
            <w:pPr>
              <w:pStyle w:val="TAL"/>
              <w:rPr>
                <w:rFonts w:eastAsia="Calibri"/>
                <w:lang w:eastAsia="sv-SE"/>
              </w:rPr>
            </w:pPr>
            <w:r w:rsidRPr="00FA0D37">
              <w:rPr>
                <w:rFonts w:eastAsia="Calibri"/>
                <w:lang w:eastAsia="sv-SE"/>
              </w:rPr>
              <w:t xml:space="preserve">The field is mandatory present when </w:t>
            </w:r>
            <w:r w:rsidRPr="00FA0D37">
              <w:rPr>
                <w:rFonts w:cs="Arial"/>
                <w:i/>
                <w:lang w:eastAsia="sv-SE"/>
              </w:rPr>
              <w:t>MsgA-</w:t>
            </w:r>
            <w:r w:rsidRPr="00FA0D37">
              <w:rPr>
                <w:rFonts w:cs="Arial"/>
                <w:i/>
                <w:noProof/>
                <w:lang w:eastAsia="sv-SE"/>
              </w:rPr>
              <w:t>ConfigCommon</w:t>
            </w:r>
            <w:r w:rsidRPr="00FA0D37">
              <w:rPr>
                <w:rFonts w:cs="Arial"/>
                <w:szCs w:val="22"/>
                <w:lang w:eastAsia="sv-SE"/>
              </w:rPr>
              <w:t xml:space="preserve"> is configured for the initial uplink BWP, or when </w:t>
            </w:r>
            <w:r w:rsidRPr="00FA0D37">
              <w:rPr>
                <w:rFonts w:cs="Arial"/>
                <w:i/>
                <w:lang w:eastAsia="sv-SE"/>
              </w:rPr>
              <w:t>MsgA-</w:t>
            </w:r>
            <w:r w:rsidRPr="00FA0D37">
              <w:rPr>
                <w:rFonts w:cs="Arial"/>
                <w:i/>
                <w:noProof/>
                <w:lang w:eastAsia="sv-SE"/>
              </w:rPr>
              <w:t>ConfigCommon</w:t>
            </w:r>
            <w:r w:rsidRPr="00FA0D37">
              <w:rPr>
                <w:rFonts w:cs="Arial"/>
                <w:szCs w:val="22"/>
                <w:lang w:eastAsia="sv-SE"/>
              </w:rPr>
              <w:t xml:space="preserve"> is configured for a non-initial uplink BWP and </w:t>
            </w:r>
            <w:r w:rsidRPr="00FA0D37">
              <w:rPr>
                <w:rFonts w:cs="Arial"/>
                <w:i/>
                <w:lang w:eastAsia="sv-SE"/>
              </w:rPr>
              <w:t>MsgA-</w:t>
            </w:r>
            <w:r w:rsidRPr="00FA0D37">
              <w:rPr>
                <w:rFonts w:cs="Arial"/>
                <w:i/>
                <w:noProof/>
                <w:lang w:eastAsia="sv-SE"/>
              </w:rPr>
              <w:t>ConfigCommon</w:t>
            </w:r>
            <w:r w:rsidRPr="00FA0D37">
              <w:rPr>
                <w:rFonts w:cs="Arial"/>
                <w:szCs w:val="22"/>
                <w:lang w:eastAsia="sv-SE"/>
              </w:rPr>
              <w:t xml:space="preserve"> is not configured for the initial uplink BWP</w:t>
            </w:r>
            <w:r w:rsidRPr="00FA0D37">
              <w:rPr>
                <w:rFonts w:eastAsia="Calibri"/>
                <w:lang w:eastAsia="sv-SE"/>
              </w:rPr>
              <w:t>, otherwise the field is optionally present, Need S.</w:t>
            </w:r>
          </w:p>
        </w:tc>
      </w:tr>
    </w:tbl>
    <w:p w14:paraId="552B5D71" w14:textId="77777777" w:rsidR="00394471" w:rsidRPr="00FA0D37" w:rsidRDefault="00394471" w:rsidP="00394471"/>
    <w:p w14:paraId="7BACACA3" w14:textId="77777777" w:rsidR="00394471" w:rsidRPr="00FA0D37" w:rsidRDefault="00394471" w:rsidP="00394471">
      <w:pPr>
        <w:pStyle w:val="4"/>
        <w:ind w:left="864" w:hanging="864"/>
      </w:pPr>
      <w:bookmarkStart w:id="1127" w:name="_Toc60777277"/>
      <w:bookmarkStart w:id="1128" w:name="_Toc146781340"/>
      <w:r w:rsidRPr="00FA0D37">
        <w:t>–</w:t>
      </w:r>
      <w:r w:rsidRPr="00FA0D37">
        <w:tab/>
      </w:r>
      <w:r w:rsidRPr="00FA0D37">
        <w:rPr>
          <w:i/>
          <w:noProof/>
        </w:rPr>
        <w:t>MsgA-PUSCH-Config</w:t>
      </w:r>
      <w:bookmarkEnd w:id="1127"/>
      <w:bookmarkEnd w:id="1128"/>
    </w:p>
    <w:p w14:paraId="2A67DB55" w14:textId="77777777" w:rsidR="00394471" w:rsidRPr="00FA0D37" w:rsidRDefault="00394471" w:rsidP="00394471">
      <w:r w:rsidRPr="00FA0D37">
        <w:t xml:space="preserve">The IE </w:t>
      </w:r>
      <w:r w:rsidRPr="00FA0D37">
        <w:rPr>
          <w:i/>
          <w:noProof/>
        </w:rPr>
        <w:t>MsgA-PUSCH-Config</w:t>
      </w:r>
      <w:r w:rsidRPr="00FA0D37">
        <w:t xml:space="preserve"> is used to specify the PUSCH allocation for MsgA in 2-step random access type procedure.</w:t>
      </w:r>
    </w:p>
    <w:p w14:paraId="6D5617EE" w14:textId="77777777" w:rsidR="00394471" w:rsidRPr="00FA0D37" w:rsidRDefault="00394471" w:rsidP="00394471">
      <w:pPr>
        <w:pStyle w:val="TH"/>
      </w:pPr>
      <w:r w:rsidRPr="00FA0D37">
        <w:rPr>
          <w:bCs/>
          <w:i/>
          <w:iCs/>
        </w:rPr>
        <w:t>MsgA-PUSCH-Config</w:t>
      </w:r>
      <w:r w:rsidRPr="00FA0D37">
        <w:t xml:space="preserve"> information element</w:t>
      </w:r>
    </w:p>
    <w:p w14:paraId="1AE0ED50" w14:textId="77777777" w:rsidR="00394471" w:rsidRPr="00FA0D37" w:rsidRDefault="00394471" w:rsidP="00FA0D37">
      <w:pPr>
        <w:pStyle w:val="PL"/>
        <w:rPr>
          <w:color w:val="808080"/>
        </w:rPr>
      </w:pPr>
      <w:r w:rsidRPr="00FA0D37">
        <w:rPr>
          <w:color w:val="808080"/>
        </w:rPr>
        <w:t>-- ASN1START</w:t>
      </w:r>
    </w:p>
    <w:p w14:paraId="41FCE69C" w14:textId="77777777" w:rsidR="00394471" w:rsidRPr="00FA0D37" w:rsidRDefault="00394471" w:rsidP="00FA0D37">
      <w:pPr>
        <w:pStyle w:val="PL"/>
        <w:rPr>
          <w:color w:val="808080"/>
        </w:rPr>
      </w:pPr>
      <w:r w:rsidRPr="00FA0D37">
        <w:rPr>
          <w:color w:val="808080"/>
        </w:rPr>
        <w:t>-- TAG-MSGA-PUSCH-CONFIG-START</w:t>
      </w:r>
    </w:p>
    <w:p w14:paraId="1E27D2A1" w14:textId="77777777" w:rsidR="00394471" w:rsidRPr="00FA0D37" w:rsidRDefault="00394471" w:rsidP="00FA0D37">
      <w:pPr>
        <w:pStyle w:val="PL"/>
      </w:pPr>
    </w:p>
    <w:p w14:paraId="78C829CD" w14:textId="77777777" w:rsidR="00394471" w:rsidRPr="00FA0D37" w:rsidRDefault="00394471" w:rsidP="00FA0D37">
      <w:pPr>
        <w:pStyle w:val="PL"/>
      </w:pPr>
      <w:r w:rsidRPr="00FA0D37">
        <w:lastRenderedPageBreak/>
        <w:t xml:space="preserve">MsgA-PUSCH-Config-r16 ::=                      </w:t>
      </w:r>
      <w:r w:rsidRPr="00FA0D37">
        <w:rPr>
          <w:color w:val="993366"/>
        </w:rPr>
        <w:t>SEQUENCE</w:t>
      </w:r>
      <w:r w:rsidRPr="00FA0D37">
        <w:t xml:space="preserve"> {</w:t>
      </w:r>
    </w:p>
    <w:p w14:paraId="31F889F8" w14:textId="77777777" w:rsidR="00394471" w:rsidRPr="00FA0D37" w:rsidRDefault="00394471" w:rsidP="00FA0D37">
      <w:pPr>
        <w:pStyle w:val="PL"/>
        <w:rPr>
          <w:color w:val="808080"/>
        </w:rPr>
      </w:pPr>
      <w:r w:rsidRPr="00FA0D37">
        <w:t xml:space="preserve">    msgA-PUSCH-ResourceGroupA-r16                  MsgA-PUSCH-Resource-r16                                       </w:t>
      </w:r>
      <w:r w:rsidRPr="00FA0D37">
        <w:rPr>
          <w:color w:val="993366"/>
        </w:rPr>
        <w:t>OPTIONAL</w:t>
      </w:r>
      <w:r w:rsidRPr="00FA0D37">
        <w:t xml:space="preserve">, </w:t>
      </w:r>
      <w:r w:rsidRPr="00FA0D37">
        <w:rPr>
          <w:color w:val="808080"/>
        </w:rPr>
        <w:t>-- Cond InitialBWPConfig</w:t>
      </w:r>
    </w:p>
    <w:p w14:paraId="26D1C989" w14:textId="77777777" w:rsidR="00394471" w:rsidRPr="00FA0D37" w:rsidRDefault="00394471" w:rsidP="00FA0D37">
      <w:pPr>
        <w:pStyle w:val="PL"/>
        <w:rPr>
          <w:color w:val="808080"/>
        </w:rPr>
      </w:pPr>
      <w:r w:rsidRPr="00FA0D37">
        <w:t xml:space="preserve">    msgA-PUSCH-ResourceGroupB-r16                  MsgA-PUSCH-Resource-r16                                       </w:t>
      </w:r>
      <w:r w:rsidRPr="00FA0D37">
        <w:rPr>
          <w:color w:val="993366"/>
        </w:rPr>
        <w:t>OPTIONAL</w:t>
      </w:r>
      <w:r w:rsidRPr="00FA0D37">
        <w:t xml:space="preserve">, </w:t>
      </w:r>
      <w:r w:rsidRPr="00FA0D37">
        <w:rPr>
          <w:color w:val="808080"/>
        </w:rPr>
        <w:t>-- Cond GroupBConfigured</w:t>
      </w:r>
    </w:p>
    <w:p w14:paraId="592D4976" w14:textId="77777777" w:rsidR="00394471" w:rsidRPr="00FA0D37" w:rsidRDefault="00394471" w:rsidP="00FA0D37">
      <w:pPr>
        <w:pStyle w:val="PL"/>
        <w:rPr>
          <w:color w:val="808080"/>
        </w:rPr>
      </w:pPr>
      <w:r w:rsidRPr="00FA0D37">
        <w:t xml:space="preserve">    msgA-TransformPrecoder-r16                    </w:t>
      </w:r>
      <w:r w:rsidRPr="00FA0D37">
        <w:rPr>
          <w:color w:val="993366"/>
        </w:rPr>
        <w:t>ENUMERATED</w:t>
      </w:r>
      <w:r w:rsidRPr="00FA0D37">
        <w:t xml:space="preserve"> {enabled, disabled}                                 </w:t>
      </w:r>
      <w:r w:rsidRPr="00FA0D37">
        <w:rPr>
          <w:color w:val="993366"/>
        </w:rPr>
        <w:t>OPTIONAL</w:t>
      </w:r>
      <w:r w:rsidRPr="00FA0D37">
        <w:t xml:space="preserve">, </w:t>
      </w:r>
      <w:r w:rsidRPr="00FA0D37">
        <w:rPr>
          <w:color w:val="808080"/>
        </w:rPr>
        <w:t>-- Need R</w:t>
      </w:r>
    </w:p>
    <w:p w14:paraId="396812A7" w14:textId="77777777" w:rsidR="00394471" w:rsidRPr="00FA0D37" w:rsidRDefault="00394471" w:rsidP="00FA0D37">
      <w:pPr>
        <w:pStyle w:val="PL"/>
        <w:rPr>
          <w:color w:val="808080"/>
        </w:rPr>
      </w:pPr>
      <w:r w:rsidRPr="00FA0D37">
        <w:t xml:space="preserve">    msgA-DataScramblingIndex-r16                   </w:t>
      </w:r>
      <w:r w:rsidRPr="00FA0D37">
        <w:rPr>
          <w:color w:val="993366"/>
        </w:rPr>
        <w:t>INTEGER</w:t>
      </w:r>
      <w:r w:rsidRPr="00FA0D37">
        <w:t xml:space="preserve"> (0..1023)                                             </w:t>
      </w:r>
      <w:r w:rsidRPr="00FA0D37">
        <w:rPr>
          <w:color w:val="993366"/>
        </w:rPr>
        <w:t>OPTIONAL</w:t>
      </w:r>
      <w:r w:rsidRPr="00FA0D37">
        <w:t xml:space="preserve">, </w:t>
      </w:r>
      <w:r w:rsidRPr="00FA0D37">
        <w:rPr>
          <w:color w:val="808080"/>
        </w:rPr>
        <w:t>-- Need S</w:t>
      </w:r>
    </w:p>
    <w:p w14:paraId="68A061E3" w14:textId="77777777" w:rsidR="00394471" w:rsidRPr="00FA0D37" w:rsidRDefault="00394471" w:rsidP="00FA0D37">
      <w:pPr>
        <w:pStyle w:val="PL"/>
        <w:rPr>
          <w:color w:val="808080"/>
        </w:rPr>
      </w:pPr>
      <w:r w:rsidRPr="00FA0D37">
        <w:t xml:space="preserve">    msgA-DeltaPreamble-r16                         </w:t>
      </w:r>
      <w:r w:rsidRPr="00FA0D37">
        <w:rPr>
          <w:color w:val="993366"/>
        </w:rPr>
        <w:t>INTEGER</w:t>
      </w:r>
      <w:r w:rsidRPr="00FA0D37">
        <w:t xml:space="preserve"> (-1..6)                                               </w:t>
      </w:r>
      <w:r w:rsidRPr="00FA0D37">
        <w:rPr>
          <w:color w:val="993366"/>
        </w:rPr>
        <w:t>OPTIONAL</w:t>
      </w:r>
      <w:r w:rsidRPr="00FA0D37">
        <w:t xml:space="preserve">  </w:t>
      </w:r>
      <w:r w:rsidRPr="00FA0D37">
        <w:rPr>
          <w:color w:val="808080"/>
        </w:rPr>
        <w:t>-- Need R</w:t>
      </w:r>
    </w:p>
    <w:p w14:paraId="6BD83DC5" w14:textId="77777777" w:rsidR="00394471" w:rsidRPr="00FA0D37" w:rsidRDefault="00394471" w:rsidP="00FA0D37">
      <w:pPr>
        <w:pStyle w:val="PL"/>
      </w:pPr>
      <w:r w:rsidRPr="00FA0D37">
        <w:t>}</w:t>
      </w:r>
    </w:p>
    <w:p w14:paraId="61C69584" w14:textId="77777777" w:rsidR="00394471" w:rsidRPr="00FA0D37" w:rsidRDefault="00394471" w:rsidP="00FA0D37">
      <w:pPr>
        <w:pStyle w:val="PL"/>
      </w:pPr>
    </w:p>
    <w:p w14:paraId="1A62D8F9" w14:textId="77777777" w:rsidR="00394471" w:rsidRPr="00FA0D37" w:rsidRDefault="00394471" w:rsidP="00FA0D37">
      <w:pPr>
        <w:pStyle w:val="PL"/>
      </w:pPr>
      <w:r w:rsidRPr="00FA0D37">
        <w:t xml:space="preserve">MsgA-PUSCH-Resource-r16 ::=                    </w:t>
      </w:r>
      <w:r w:rsidRPr="00FA0D37">
        <w:rPr>
          <w:color w:val="993366"/>
        </w:rPr>
        <w:t>SEQUENCE</w:t>
      </w:r>
      <w:r w:rsidRPr="00FA0D37">
        <w:t xml:space="preserve"> {</w:t>
      </w:r>
    </w:p>
    <w:p w14:paraId="5D2A9123" w14:textId="77777777" w:rsidR="00394471" w:rsidRPr="00FA0D37" w:rsidRDefault="00394471" w:rsidP="00FA0D37">
      <w:pPr>
        <w:pStyle w:val="PL"/>
      </w:pPr>
      <w:r w:rsidRPr="00FA0D37">
        <w:t xml:space="preserve">    msgA-MCS-r16                                   </w:t>
      </w:r>
      <w:r w:rsidRPr="00FA0D37">
        <w:rPr>
          <w:color w:val="993366"/>
        </w:rPr>
        <w:t>INTEGER</w:t>
      </w:r>
      <w:r w:rsidRPr="00FA0D37">
        <w:t xml:space="preserve"> (0..15),</w:t>
      </w:r>
    </w:p>
    <w:p w14:paraId="450ECCE6" w14:textId="77777777" w:rsidR="00394471" w:rsidRPr="00FA0D37" w:rsidRDefault="00394471" w:rsidP="00FA0D37">
      <w:pPr>
        <w:pStyle w:val="PL"/>
      </w:pPr>
      <w:r w:rsidRPr="00FA0D37">
        <w:t xml:space="preserve">    nrofSlotsMsgA-PUSCH-r16                        </w:t>
      </w:r>
      <w:r w:rsidRPr="00FA0D37">
        <w:rPr>
          <w:color w:val="993366"/>
        </w:rPr>
        <w:t>INTEGER</w:t>
      </w:r>
      <w:r w:rsidRPr="00FA0D37">
        <w:t xml:space="preserve"> (1..4),</w:t>
      </w:r>
    </w:p>
    <w:p w14:paraId="63D75D95" w14:textId="77777777" w:rsidR="00394471" w:rsidRPr="00FA0D37" w:rsidRDefault="00394471" w:rsidP="00FA0D37">
      <w:pPr>
        <w:pStyle w:val="PL"/>
      </w:pPr>
      <w:r w:rsidRPr="00FA0D37">
        <w:t xml:space="preserve">    nrofMsgA-PO-PerSlot-r16                        </w:t>
      </w:r>
      <w:r w:rsidRPr="00FA0D37">
        <w:rPr>
          <w:color w:val="993366"/>
        </w:rPr>
        <w:t>ENUMERATED</w:t>
      </w:r>
      <w:r w:rsidRPr="00FA0D37">
        <w:t xml:space="preserve"> {one, two, three, six},</w:t>
      </w:r>
    </w:p>
    <w:p w14:paraId="582E08A6" w14:textId="77777777" w:rsidR="00394471" w:rsidRPr="00FA0D37" w:rsidRDefault="00394471" w:rsidP="00FA0D37">
      <w:pPr>
        <w:pStyle w:val="PL"/>
      </w:pPr>
      <w:r w:rsidRPr="00FA0D37">
        <w:t xml:space="preserve">    msgA-PUSCH-TimeDomainOffset-r16                </w:t>
      </w:r>
      <w:r w:rsidRPr="00FA0D37">
        <w:rPr>
          <w:color w:val="993366"/>
        </w:rPr>
        <w:t>INTEGER</w:t>
      </w:r>
      <w:r w:rsidRPr="00FA0D37">
        <w:t xml:space="preserve"> (1..32),</w:t>
      </w:r>
    </w:p>
    <w:p w14:paraId="790EBB3E" w14:textId="77777777" w:rsidR="00394471" w:rsidRPr="00FA0D37" w:rsidRDefault="00394471" w:rsidP="00FA0D37">
      <w:pPr>
        <w:pStyle w:val="PL"/>
        <w:rPr>
          <w:color w:val="808080"/>
        </w:rPr>
      </w:pPr>
      <w:r w:rsidRPr="00FA0D37">
        <w:t xml:space="preserve">    msgA-PUSCH-TimeDomainAllocation-r16            </w:t>
      </w:r>
      <w:r w:rsidRPr="00FA0D37">
        <w:rPr>
          <w:color w:val="993366"/>
        </w:rPr>
        <w:t>INTEGER</w:t>
      </w:r>
      <w:r w:rsidRPr="00FA0D37">
        <w:t xml:space="preserve"> (1..maxNrofUL-Allocations)                            </w:t>
      </w:r>
      <w:r w:rsidRPr="00FA0D37">
        <w:rPr>
          <w:color w:val="993366"/>
        </w:rPr>
        <w:t>OPTIONAL</w:t>
      </w:r>
      <w:r w:rsidRPr="00FA0D37">
        <w:t xml:space="preserve">, </w:t>
      </w:r>
      <w:r w:rsidRPr="00FA0D37">
        <w:rPr>
          <w:color w:val="808080"/>
        </w:rPr>
        <w:t>-- Need S</w:t>
      </w:r>
    </w:p>
    <w:p w14:paraId="45322BCA" w14:textId="77777777" w:rsidR="00394471" w:rsidRPr="00FA0D37" w:rsidRDefault="00394471" w:rsidP="00FA0D37">
      <w:pPr>
        <w:pStyle w:val="PL"/>
        <w:rPr>
          <w:color w:val="808080"/>
        </w:rPr>
      </w:pPr>
      <w:r w:rsidRPr="00FA0D37">
        <w:t xml:space="preserve">    startSymbolAndLengthMsgA-PO-r16                </w:t>
      </w:r>
      <w:r w:rsidRPr="00FA0D37">
        <w:rPr>
          <w:color w:val="993366"/>
        </w:rPr>
        <w:t>INTEGER</w:t>
      </w:r>
      <w:r w:rsidRPr="00FA0D37">
        <w:t xml:space="preserve"> (0..127)                                              </w:t>
      </w:r>
      <w:r w:rsidRPr="00FA0D37">
        <w:rPr>
          <w:color w:val="993366"/>
        </w:rPr>
        <w:t>OPTIONAL</w:t>
      </w:r>
      <w:r w:rsidRPr="00FA0D37">
        <w:t xml:space="preserve">, </w:t>
      </w:r>
      <w:r w:rsidRPr="00FA0D37">
        <w:rPr>
          <w:color w:val="808080"/>
        </w:rPr>
        <w:t>-- Need S</w:t>
      </w:r>
    </w:p>
    <w:p w14:paraId="30C6BE5F" w14:textId="77777777" w:rsidR="00394471" w:rsidRPr="00FA0D37" w:rsidRDefault="00394471" w:rsidP="00FA0D37">
      <w:pPr>
        <w:pStyle w:val="PL"/>
        <w:rPr>
          <w:color w:val="808080"/>
        </w:rPr>
      </w:pPr>
      <w:r w:rsidRPr="00FA0D37">
        <w:t xml:space="preserve">    mappingTypeMsgA-PUSCH-r16                      </w:t>
      </w:r>
      <w:r w:rsidRPr="00FA0D37">
        <w:rPr>
          <w:color w:val="993366"/>
        </w:rPr>
        <w:t>ENUMERATED</w:t>
      </w:r>
      <w:r w:rsidRPr="00FA0D37">
        <w:t xml:space="preserve"> {typeA, typeB}                                     </w:t>
      </w:r>
      <w:r w:rsidRPr="00FA0D37">
        <w:rPr>
          <w:color w:val="993366"/>
        </w:rPr>
        <w:t>OPTIONAL</w:t>
      </w:r>
      <w:r w:rsidRPr="00FA0D37">
        <w:t xml:space="preserve">, </w:t>
      </w:r>
      <w:r w:rsidRPr="00FA0D37">
        <w:rPr>
          <w:color w:val="808080"/>
        </w:rPr>
        <w:t>-- Need S</w:t>
      </w:r>
    </w:p>
    <w:p w14:paraId="5382221F" w14:textId="77777777" w:rsidR="00394471" w:rsidRPr="00FA0D37" w:rsidRDefault="00394471" w:rsidP="00FA0D37">
      <w:pPr>
        <w:pStyle w:val="PL"/>
        <w:rPr>
          <w:color w:val="808080"/>
        </w:rPr>
      </w:pPr>
      <w:r w:rsidRPr="00FA0D37">
        <w:t xml:space="preserve">    guardPeriodMsgA-PUSCH-r16                      </w:t>
      </w:r>
      <w:r w:rsidRPr="00FA0D37">
        <w:rPr>
          <w:color w:val="993366"/>
        </w:rPr>
        <w:t>INTEGER</w:t>
      </w:r>
      <w:r w:rsidRPr="00FA0D37">
        <w:t xml:space="preserve"> (0..3)                                                </w:t>
      </w:r>
      <w:r w:rsidRPr="00FA0D37">
        <w:rPr>
          <w:color w:val="993366"/>
        </w:rPr>
        <w:t>OPTIONAL</w:t>
      </w:r>
      <w:r w:rsidRPr="00FA0D37">
        <w:t xml:space="preserve">, </w:t>
      </w:r>
      <w:r w:rsidRPr="00FA0D37">
        <w:rPr>
          <w:color w:val="808080"/>
        </w:rPr>
        <w:t>-- Need R</w:t>
      </w:r>
    </w:p>
    <w:p w14:paraId="4263D069" w14:textId="77777777" w:rsidR="00394471" w:rsidRPr="00FA0D37" w:rsidRDefault="00394471" w:rsidP="00FA0D37">
      <w:pPr>
        <w:pStyle w:val="PL"/>
      </w:pPr>
      <w:r w:rsidRPr="00FA0D37">
        <w:t xml:space="preserve">    guardBandMsgA-PUSCH-r16                        </w:t>
      </w:r>
      <w:r w:rsidRPr="00FA0D37">
        <w:rPr>
          <w:color w:val="993366"/>
        </w:rPr>
        <w:t>INTEGER</w:t>
      </w:r>
      <w:r w:rsidRPr="00FA0D37">
        <w:t xml:space="preserve"> (0..1),</w:t>
      </w:r>
    </w:p>
    <w:p w14:paraId="0A3F1B1F" w14:textId="77777777" w:rsidR="00394471" w:rsidRPr="00FA0D37" w:rsidRDefault="00394471" w:rsidP="00FA0D37">
      <w:pPr>
        <w:pStyle w:val="PL"/>
      </w:pPr>
      <w:r w:rsidRPr="00FA0D37">
        <w:t xml:space="preserve">    frequencyStartMsgA-PUSCH-r16                   </w:t>
      </w:r>
      <w:r w:rsidRPr="00FA0D37">
        <w:rPr>
          <w:color w:val="993366"/>
        </w:rPr>
        <w:t>INTEGER</w:t>
      </w:r>
      <w:r w:rsidRPr="00FA0D37">
        <w:t xml:space="preserve"> (0..maxNrofPhysicalResourceBlocks-1),</w:t>
      </w:r>
    </w:p>
    <w:p w14:paraId="320038F9" w14:textId="77777777" w:rsidR="00394471" w:rsidRPr="00FA0D37" w:rsidRDefault="00394471" w:rsidP="00FA0D37">
      <w:pPr>
        <w:pStyle w:val="PL"/>
      </w:pPr>
      <w:r w:rsidRPr="00FA0D37">
        <w:t xml:space="preserve">    nrofPRBs-PerMsgA-PO-r16                        </w:t>
      </w:r>
      <w:r w:rsidRPr="00FA0D37">
        <w:rPr>
          <w:color w:val="993366"/>
        </w:rPr>
        <w:t>INTEGER</w:t>
      </w:r>
      <w:r w:rsidRPr="00FA0D37">
        <w:t xml:space="preserve"> (1..32),</w:t>
      </w:r>
    </w:p>
    <w:p w14:paraId="4D967196" w14:textId="77777777" w:rsidR="00394471" w:rsidRPr="00FA0D37" w:rsidRDefault="00394471" w:rsidP="00FA0D37">
      <w:pPr>
        <w:pStyle w:val="PL"/>
      </w:pPr>
      <w:r w:rsidRPr="00FA0D37">
        <w:t xml:space="preserve">    nrofMsgA-PO-FDM-r16                            </w:t>
      </w:r>
      <w:r w:rsidRPr="00FA0D37">
        <w:rPr>
          <w:color w:val="993366"/>
        </w:rPr>
        <w:t>ENUMERATED</w:t>
      </w:r>
      <w:r w:rsidRPr="00FA0D37">
        <w:t xml:space="preserve"> {one, two, four, eight},</w:t>
      </w:r>
    </w:p>
    <w:p w14:paraId="1F906C20" w14:textId="77777777" w:rsidR="00394471" w:rsidRPr="00FA0D37" w:rsidRDefault="00394471" w:rsidP="00FA0D37">
      <w:pPr>
        <w:pStyle w:val="PL"/>
        <w:rPr>
          <w:color w:val="808080"/>
        </w:rPr>
      </w:pPr>
      <w:r w:rsidRPr="00FA0D37">
        <w:t xml:space="preserve">    msgA-IntraSlotFrequencyHopping-r16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0290B8EF" w14:textId="6BC36AF3" w:rsidR="00394471" w:rsidRPr="00FA0D37" w:rsidRDefault="00394471" w:rsidP="00FA0D37">
      <w:pPr>
        <w:pStyle w:val="PL"/>
        <w:rPr>
          <w:color w:val="808080"/>
        </w:rPr>
      </w:pPr>
      <w:r w:rsidRPr="00FA0D37">
        <w:t xml:space="preserve">    msgA-HoppingBits-r16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(2))                                          </w:t>
      </w:r>
      <w:r w:rsidRPr="00FA0D37">
        <w:rPr>
          <w:color w:val="993366"/>
        </w:rPr>
        <w:t>OPTIONAL</w:t>
      </w:r>
      <w:r w:rsidRPr="00FA0D37">
        <w:t xml:space="preserve">, </w:t>
      </w:r>
      <w:r w:rsidRPr="00FA0D37">
        <w:rPr>
          <w:color w:val="808080"/>
        </w:rPr>
        <w:t xml:space="preserve">-- </w:t>
      </w:r>
      <w:r w:rsidR="00173614" w:rsidRPr="00FA0D37">
        <w:rPr>
          <w:color w:val="808080"/>
        </w:rPr>
        <w:t>Cond FreqHopConfigured</w:t>
      </w:r>
    </w:p>
    <w:p w14:paraId="051349DF" w14:textId="77777777" w:rsidR="00394471" w:rsidRPr="00FA0D37" w:rsidRDefault="00394471" w:rsidP="00FA0D37">
      <w:pPr>
        <w:pStyle w:val="PL"/>
      </w:pPr>
      <w:r w:rsidRPr="00FA0D37">
        <w:t xml:space="preserve">    msgA-DMRS-Config-r16                           MsgA-DMRS-Config-r16,</w:t>
      </w:r>
    </w:p>
    <w:p w14:paraId="5005A776" w14:textId="77777777" w:rsidR="00394471" w:rsidRPr="00FA0D37" w:rsidRDefault="00394471" w:rsidP="00FA0D37">
      <w:pPr>
        <w:pStyle w:val="PL"/>
      </w:pPr>
      <w:r w:rsidRPr="00FA0D37">
        <w:t xml:space="preserve">    nrofDMRS-Sequences-r16                         </w:t>
      </w:r>
      <w:r w:rsidRPr="00FA0D37">
        <w:rPr>
          <w:color w:val="993366"/>
        </w:rPr>
        <w:t>INTEGER</w:t>
      </w:r>
      <w:r w:rsidRPr="00FA0D37">
        <w:t xml:space="preserve"> (1..2),</w:t>
      </w:r>
    </w:p>
    <w:p w14:paraId="03F6343A" w14:textId="77777777" w:rsidR="00394471" w:rsidRPr="00FA0D37" w:rsidRDefault="00394471" w:rsidP="00FA0D37">
      <w:pPr>
        <w:pStyle w:val="PL"/>
      </w:pPr>
      <w:r w:rsidRPr="00FA0D37">
        <w:t xml:space="preserve">    msgA-Alpha-r16                                 </w:t>
      </w:r>
      <w:r w:rsidRPr="00FA0D37">
        <w:rPr>
          <w:color w:val="993366"/>
        </w:rPr>
        <w:t>ENUMERATED</w:t>
      </w:r>
      <w:r w:rsidRPr="00FA0D37">
        <w:t xml:space="preserve"> {alpha0, alpha04, alpha05, alpha06,</w:t>
      </w:r>
    </w:p>
    <w:p w14:paraId="173E3B83" w14:textId="77777777" w:rsidR="00394471" w:rsidRPr="00FA0D37" w:rsidRDefault="00394471" w:rsidP="00FA0D37">
      <w:pPr>
        <w:pStyle w:val="PL"/>
        <w:rPr>
          <w:color w:val="808080"/>
        </w:rPr>
      </w:pPr>
      <w:r w:rsidRPr="00FA0D37">
        <w:t xml:space="preserve">                                                               alpha07, alpha08, alpha09, alpha1}                </w:t>
      </w:r>
      <w:r w:rsidRPr="00FA0D37">
        <w:rPr>
          <w:color w:val="993366"/>
        </w:rPr>
        <w:t>OPTIONAL</w:t>
      </w:r>
      <w:r w:rsidRPr="00FA0D37">
        <w:t xml:space="preserve">, </w:t>
      </w:r>
      <w:r w:rsidRPr="00FA0D37">
        <w:rPr>
          <w:color w:val="808080"/>
        </w:rPr>
        <w:t>-- Need S</w:t>
      </w:r>
    </w:p>
    <w:p w14:paraId="497DCB09" w14:textId="77777777" w:rsidR="00394471" w:rsidRPr="00FA0D37" w:rsidRDefault="00394471" w:rsidP="00FA0D37">
      <w:pPr>
        <w:pStyle w:val="PL"/>
        <w:rPr>
          <w:color w:val="808080"/>
        </w:rPr>
      </w:pPr>
      <w:r w:rsidRPr="00FA0D37">
        <w:t xml:space="preserve">    interlaceIndexFirstPO-MsgA-PUSCH-r16           </w:t>
      </w:r>
      <w:r w:rsidRPr="00FA0D37">
        <w:rPr>
          <w:color w:val="993366"/>
        </w:rPr>
        <w:t>INTEGER</w:t>
      </w:r>
      <w:r w:rsidRPr="00FA0D37">
        <w:t xml:space="preserve"> (1..10)                                               </w:t>
      </w:r>
      <w:r w:rsidRPr="00FA0D37">
        <w:rPr>
          <w:color w:val="993366"/>
        </w:rPr>
        <w:t>OPTIONAL</w:t>
      </w:r>
      <w:r w:rsidRPr="00FA0D37">
        <w:t xml:space="preserve">, </w:t>
      </w:r>
      <w:r w:rsidRPr="00FA0D37">
        <w:rPr>
          <w:color w:val="808080"/>
        </w:rPr>
        <w:t>-- Need R</w:t>
      </w:r>
    </w:p>
    <w:p w14:paraId="79E2E5D1" w14:textId="77777777" w:rsidR="00394471" w:rsidRPr="00FA0D37" w:rsidRDefault="00394471" w:rsidP="00FA0D37">
      <w:pPr>
        <w:pStyle w:val="PL"/>
        <w:rPr>
          <w:color w:val="808080"/>
        </w:rPr>
      </w:pPr>
      <w:r w:rsidRPr="00FA0D37">
        <w:t xml:space="preserve">    nrofInterlacesPerMsgA-PO-r16                   </w:t>
      </w:r>
      <w:r w:rsidRPr="00FA0D37">
        <w:rPr>
          <w:color w:val="993366"/>
        </w:rPr>
        <w:t>INTEGER</w:t>
      </w:r>
      <w:r w:rsidRPr="00FA0D37">
        <w:t xml:space="preserve"> (1..10)                                               </w:t>
      </w:r>
      <w:r w:rsidRPr="00FA0D37">
        <w:rPr>
          <w:color w:val="993366"/>
        </w:rPr>
        <w:t>OPTIONAL</w:t>
      </w:r>
      <w:r w:rsidRPr="00FA0D37">
        <w:t xml:space="preserve">, </w:t>
      </w:r>
      <w:r w:rsidRPr="00FA0D37">
        <w:rPr>
          <w:color w:val="808080"/>
        </w:rPr>
        <w:t>-- Need R</w:t>
      </w:r>
    </w:p>
    <w:p w14:paraId="1097830E" w14:textId="77777777" w:rsidR="00394471" w:rsidRPr="00FA0D37" w:rsidRDefault="00394471" w:rsidP="00FA0D37">
      <w:pPr>
        <w:pStyle w:val="PL"/>
      </w:pPr>
      <w:r w:rsidRPr="00FA0D37">
        <w:t xml:space="preserve">    ...</w:t>
      </w:r>
    </w:p>
    <w:p w14:paraId="1F8B7AF1" w14:textId="77777777" w:rsidR="00394471" w:rsidRPr="00FA0D37" w:rsidRDefault="00394471" w:rsidP="00FA0D37">
      <w:pPr>
        <w:pStyle w:val="PL"/>
      </w:pPr>
      <w:r w:rsidRPr="00FA0D37">
        <w:t>}</w:t>
      </w:r>
    </w:p>
    <w:p w14:paraId="44F834A2" w14:textId="77777777" w:rsidR="00394471" w:rsidRPr="00FA0D37" w:rsidRDefault="00394471" w:rsidP="00FA0D37">
      <w:pPr>
        <w:pStyle w:val="PL"/>
      </w:pPr>
    </w:p>
    <w:p w14:paraId="010816D4" w14:textId="77777777" w:rsidR="00394471" w:rsidRPr="00FA0D37" w:rsidRDefault="00394471" w:rsidP="00FA0D37">
      <w:pPr>
        <w:pStyle w:val="PL"/>
      </w:pPr>
      <w:r w:rsidRPr="00FA0D37">
        <w:t xml:space="preserve">MsgA-DMRS-Config-r16 ::=                       </w:t>
      </w:r>
      <w:r w:rsidRPr="00FA0D37">
        <w:rPr>
          <w:color w:val="993366"/>
        </w:rPr>
        <w:t>SEQUENCE</w:t>
      </w:r>
      <w:r w:rsidRPr="00FA0D37">
        <w:t xml:space="preserve"> {</w:t>
      </w:r>
    </w:p>
    <w:p w14:paraId="2E606CAD" w14:textId="77777777" w:rsidR="00394471" w:rsidRPr="00FA0D37" w:rsidRDefault="00394471" w:rsidP="00FA0D37">
      <w:pPr>
        <w:pStyle w:val="PL"/>
        <w:rPr>
          <w:color w:val="808080"/>
        </w:rPr>
      </w:pPr>
      <w:r w:rsidRPr="00FA0D37">
        <w:t xml:space="preserve">    msgA-DMRS-AdditionalPosition-r16               </w:t>
      </w:r>
      <w:r w:rsidRPr="00FA0D37">
        <w:rPr>
          <w:color w:val="993366"/>
        </w:rPr>
        <w:t>ENUMERATED</w:t>
      </w:r>
      <w:r w:rsidRPr="00FA0D37">
        <w:t xml:space="preserve"> {pos0, pos1, pos3}                                 </w:t>
      </w:r>
      <w:r w:rsidRPr="00FA0D37">
        <w:rPr>
          <w:color w:val="993366"/>
        </w:rPr>
        <w:t>OPTIONAL</w:t>
      </w:r>
      <w:r w:rsidRPr="00FA0D37">
        <w:t xml:space="preserve">, </w:t>
      </w:r>
      <w:r w:rsidRPr="00FA0D37">
        <w:rPr>
          <w:color w:val="808080"/>
        </w:rPr>
        <w:t>-- Need S</w:t>
      </w:r>
    </w:p>
    <w:p w14:paraId="44360263" w14:textId="77777777" w:rsidR="00394471" w:rsidRPr="00FA0D37" w:rsidRDefault="00394471" w:rsidP="00FA0D37">
      <w:pPr>
        <w:pStyle w:val="PL"/>
        <w:rPr>
          <w:color w:val="808080"/>
        </w:rPr>
      </w:pPr>
      <w:r w:rsidRPr="00FA0D37">
        <w:t xml:space="preserve">    msgA-MaxLength-r16                             </w:t>
      </w:r>
      <w:r w:rsidRPr="00FA0D37">
        <w:rPr>
          <w:color w:val="993366"/>
        </w:rPr>
        <w:t>ENUMERATED</w:t>
      </w:r>
      <w:r w:rsidRPr="00FA0D37">
        <w:t xml:space="preserve"> {len2}                                             </w:t>
      </w:r>
      <w:r w:rsidRPr="00FA0D37">
        <w:rPr>
          <w:color w:val="993366"/>
        </w:rPr>
        <w:t>OPTIONAL</w:t>
      </w:r>
      <w:r w:rsidRPr="00FA0D37">
        <w:t xml:space="preserve">, </w:t>
      </w:r>
      <w:r w:rsidRPr="00FA0D37">
        <w:rPr>
          <w:color w:val="808080"/>
        </w:rPr>
        <w:t>-- Need S</w:t>
      </w:r>
    </w:p>
    <w:p w14:paraId="670677A0" w14:textId="77777777" w:rsidR="00394471" w:rsidRPr="00FA0D37" w:rsidRDefault="00394471" w:rsidP="00FA0D37">
      <w:pPr>
        <w:pStyle w:val="PL"/>
        <w:rPr>
          <w:color w:val="808080"/>
        </w:rPr>
      </w:pPr>
      <w:r w:rsidRPr="00FA0D37">
        <w:t xml:space="preserve">    msgA-PUSCH-DMRS-CDM-Group-r16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S</w:t>
      </w:r>
    </w:p>
    <w:p w14:paraId="7E282D9B" w14:textId="77777777" w:rsidR="00394471" w:rsidRPr="00FA0D37" w:rsidRDefault="00394471" w:rsidP="00FA0D37">
      <w:pPr>
        <w:pStyle w:val="PL"/>
        <w:rPr>
          <w:color w:val="808080"/>
        </w:rPr>
      </w:pPr>
      <w:r w:rsidRPr="00FA0D37">
        <w:t xml:space="preserve">    msgA-PUSCH-NrofPorts-r16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S</w:t>
      </w:r>
    </w:p>
    <w:p w14:paraId="666A9682" w14:textId="77777777" w:rsidR="00394471" w:rsidRPr="00FA0D37" w:rsidRDefault="00394471" w:rsidP="00FA0D37">
      <w:pPr>
        <w:pStyle w:val="PL"/>
        <w:rPr>
          <w:color w:val="808080"/>
        </w:rPr>
      </w:pPr>
      <w:r w:rsidRPr="00FA0D37">
        <w:t xml:space="preserve">    msgA-ScramblingID0-r16                         </w:t>
      </w:r>
      <w:r w:rsidRPr="00FA0D37">
        <w:rPr>
          <w:color w:val="993366"/>
        </w:rPr>
        <w:t>INTEGER</w:t>
      </w:r>
      <w:r w:rsidRPr="00FA0D37">
        <w:t xml:space="preserve"> (0..65535)                                            </w:t>
      </w:r>
      <w:r w:rsidRPr="00FA0D37">
        <w:rPr>
          <w:color w:val="993366"/>
        </w:rPr>
        <w:t>OPTIONAL</w:t>
      </w:r>
      <w:r w:rsidRPr="00FA0D37">
        <w:t xml:space="preserve">, </w:t>
      </w:r>
      <w:r w:rsidRPr="00FA0D37">
        <w:rPr>
          <w:color w:val="808080"/>
        </w:rPr>
        <w:t>-- Need S</w:t>
      </w:r>
    </w:p>
    <w:p w14:paraId="221CD52A" w14:textId="77777777" w:rsidR="00394471" w:rsidRPr="00FA0D37" w:rsidRDefault="00394471" w:rsidP="00FA0D37">
      <w:pPr>
        <w:pStyle w:val="PL"/>
        <w:rPr>
          <w:color w:val="808080"/>
        </w:rPr>
      </w:pPr>
      <w:r w:rsidRPr="00FA0D37">
        <w:t xml:space="preserve">    msgA-ScramblingID1-r16                         </w:t>
      </w:r>
      <w:r w:rsidRPr="00FA0D37">
        <w:rPr>
          <w:color w:val="993366"/>
        </w:rPr>
        <w:t>INTEGER</w:t>
      </w:r>
      <w:r w:rsidRPr="00FA0D37">
        <w:t xml:space="preserve"> (0..65535)                                            </w:t>
      </w:r>
      <w:r w:rsidRPr="00FA0D37">
        <w:rPr>
          <w:color w:val="993366"/>
        </w:rPr>
        <w:t>OPTIONAL</w:t>
      </w:r>
      <w:r w:rsidRPr="00FA0D37">
        <w:t xml:space="preserve">  </w:t>
      </w:r>
      <w:r w:rsidRPr="00FA0D37">
        <w:rPr>
          <w:color w:val="808080"/>
        </w:rPr>
        <w:t>-- Need S</w:t>
      </w:r>
    </w:p>
    <w:p w14:paraId="472A813A" w14:textId="77777777" w:rsidR="00394471" w:rsidRPr="00FA0D37" w:rsidRDefault="00394471" w:rsidP="00FA0D37">
      <w:pPr>
        <w:pStyle w:val="PL"/>
      </w:pPr>
      <w:r w:rsidRPr="00FA0D37">
        <w:t>}</w:t>
      </w:r>
    </w:p>
    <w:p w14:paraId="44AC6729" w14:textId="77777777" w:rsidR="00394471" w:rsidRPr="00FA0D37" w:rsidRDefault="00394471" w:rsidP="00FA0D37">
      <w:pPr>
        <w:pStyle w:val="PL"/>
      </w:pPr>
    </w:p>
    <w:p w14:paraId="24FE689D" w14:textId="77777777" w:rsidR="00394471" w:rsidRPr="00FA0D37" w:rsidRDefault="00394471" w:rsidP="00FA0D37">
      <w:pPr>
        <w:pStyle w:val="PL"/>
        <w:rPr>
          <w:color w:val="808080"/>
        </w:rPr>
      </w:pPr>
      <w:r w:rsidRPr="00FA0D37">
        <w:rPr>
          <w:color w:val="808080"/>
        </w:rPr>
        <w:t>-- TAG-MSGA-PUSCH-CONFIG-STOP</w:t>
      </w:r>
    </w:p>
    <w:p w14:paraId="4F0004E8" w14:textId="77777777" w:rsidR="00394471" w:rsidRPr="00FA0D37" w:rsidRDefault="00394471" w:rsidP="00FA0D37">
      <w:pPr>
        <w:pStyle w:val="PL"/>
        <w:rPr>
          <w:color w:val="808080"/>
        </w:rPr>
      </w:pPr>
      <w:r w:rsidRPr="00FA0D37">
        <w:rPr>
          <w:color w:val="808080"/>
        </w:rPr>
        <w:t>-- ASN1STOP</w:t>
      </w:r>
    </w:p>
    <w:p w14:paraId="4EC9291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FA0D37" w:rsidRDefault="00394471" w:rsidP="00964CC4">
            <w:pPr>
              <w:pStyle w:val="TAH"/>
              <w:rPr>
                <w:szCs w:val="22"/>
                <w:lang w:eastAsia="sv-SE"/>
              </w:rPr>
            </w:pPr>
            <w:r w:rsidRPr="00FA0D37">
              <w:rPr>
                <w:i/>
                <w:szCs w:val="22"/>
                <w:lang w:eastAsia="sv-SE"/>
              </w:rPr>
              <w:lastRenderedPageBreak/>
              <w:t xml:space="preserve">MsgA-PUSCH-Config </w:t>
            </w:r>
            <w:r w:rsidRPr="00FA0D37">
              <w:rPr>
                <w:szCs w:val="22"/>
                <w:lang w:eastAsia="sv-SE"/>
              </w:rPr>
              <w:t>field descriptions</w:t>
            </w:r>
            <w:r w:rsidRPr="00FA0D37">
              <w:rPr>
                <w:i/>
                <w:szCs w:val="22"/>
                <w:lang w:eastAsia="sv-SE"/>
              </w:rPr>
              <w:t xml:space="preserve"> </w:t>
            </w:r>
          </w:p>
        </w:tc>
      </w:tr>
      <w:tr w:rsidR="005C7FF4" w:rsidRPr="00FA0D37"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FA0D37" w:rsidRDefault="00394471" w:rsidP="00964CC4">
            <w:pPr>
              <w:pStyle w:val="TAL"/>
              <w:rPr>
                <w:b/>
                <w:i/>
                <w:szCs w:val="22"/>
                <w:lang w:eastAsia="sv-SE"/>
              </w:rPr>
            </w:pPr>
            <w:r w:rsidRPr="00FA0D37">
              <w:rPr>
                <w:b/>
                <w:i/>
                <w:szCs w:val="22"/>
                <w:lang w:eastAsia="sv-SE"/>
              </w:rPr>
              <w:t>msgA-DataScramblingIndex</w:t>
            </w:r>
          </w:p>
          <w:p w14:paraId="0708D94B" w14:textId="77777777" w:rsidR="00394471" w:rsidRPr="00FA0D37" w:rsidRDefault="00394471" w:rsidP="00964CC4">
            <w:pPr>
              <w:pStyle w:val="TAL"/>
              <w:rPr>
                <w:szCs w:val="22"/>
                <w:lang w:eastAsia="sv-SE"/>
              </w:rPr>
            </w:pPr>
            <w:r w:rsidRPr="00FA0D37">
              <w:rPr>
                <w:szCs w:val="22"/>
                <w:lang w:eastAsia="sv-SE"/>
              </w:rPr>
              <w:t>Identifier used to initiate data scrambling (c_init) for msgA PUSCH. If the field is absent the UE applies the value Physical cell ID (</w:t>
            </w:r>
            <w:r w:rsidRPr="00FA0D37">
              <w:rPr>
                <w:i/>
                <w:szCs w:val="22"/>
                <w:lang w:eastAsia="sv-SE"/>
              </w:rPr>
              <w:t>physCellID</w:t>
            </w:r>
            <w:r w:rsidRPr="00FA0D37">
              <w:rPr>
                <w:szCs w:val="22"/>
                <w:lang w:eastAsia="sv-SE"/>
              </w:rPr>
              <w:t>).</w:t>
            </w:r>
          </w:p>
        </w:tc>
      </w:tr>
      <w:tr w:rsidR="005C7FF4" w:rsidRPr="00FA0D37"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FA0D37" w:rsidRDefault="00394471" w:rsidP="00964CC4">
            <w:pPr>
              <w:pStyle w:val="TAL"/>
              <w:rPr>
                <w:b/>
                <w:i/>
                <w:szCs w:val="22"/>
                <w:lang w:eastAsia="sv-SE"/>
              </w:rPr>
            </w:pPr>
            <w:r w:rsidRPr="00FA0D37">
              <w:rPr>
                <w:b/>
                <w:i/>
                <w:szCs w:val="22"/>
                <w:lang w:eastAsia="sv-SE"/>
              </w:rPr>
              <w:t>msgA-DeltaPreamble</w:t>
            </w:r>
          </w:p>
          <w:p w14:paraId="25C396DA" w14:textId="7B06831F" w:rsidR="00394471" w:rsidRPr="00FA0D37" w:rsidRDefault="00394471" w:rsidP="00964CC4">
            <w:pPr>
              <w:pStyle w:val="TAL"/>
              <w:rPr>
                <w:szCs w:val="22"/>
                <w:lang w:eastAsia="sv-SE"/>
              </w:rPr>
            </w:pPr>
            <w:r w:rsidRPr="00FA0D37">
              <w:rPr>
                <w:szCs w:val="22"/>
                <w:lang w:eastAsia="sv-SE"/>
              </w:rPr>
              <w:t>Power offset of msgA PUSCH relative to the preamble received target power</w:t>
            </w:r>
            <w:r w:rsidR="00425E6C" w:rsidRPr="00FA0D37">
              <w:rPr>
                <w:szCs w:val="22"/>
                <w:lang w:eastAsia="sv-SE"/>
              </w:rPr>
              <w:t>.</w:t>
            </w:r>
            <w:r w:rsidRPr="00FA0D37">
              <w:rPr>
                <w:szCs w:val="22"/>
                <w:lang w:eastAsia="sv-SE"/>
              </w:rPr>
              <w:t xml:space="preserve"> </w:t>
            </w:r>
            <w:r w:rsidR="00425E6C" w:rsidRPr="00FA0D37">
              <w:rPr>
                <w:szCs w:val="22"/>
                <w:lang w:eastAsia="sv-SE"/>
              </w:rPr>
              <w:t xml:space="preserve">Actual value = field value * 2 [dB] </w:t>
            </w:r>
            <w:r w:rsidRPr="00FA0D37">
              <w:rPr>
                <w:szCs w:val="22"/>
                <w:lang w:eastAsia="sv-SE"/>
              </w:rPr>
              <w:t>(see TS 38.213 [13], clause 7.1).</w:t>
            </w:r>
          </w:p>
        </w:tc>
      </w:tr>
      <w:tr w:rsidR="005C7FF4" w:rsidRPr="00FA0D37"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FA0D37" w:rsidRDefault="00394471" w:rsidP="00964CC4">
            <w:pPr>
              <w:pStyle w:val="TAL"/>
              <w:rPr>
                <w:b/>
                <w:i/>
                <w:szCs w:val="22"/>
                <w:lang w:eastAsia="sv-SE"/>
              </w:rPr>
            </w:pPr>
            <w:r w:rsidRPr="00FA0D37">
              <w:rPr>
                <w:b/>
                <w:i/>
                <w:szCs w:val="22"/>
                <w:lang w:eastAsia="sv-SE"/>
              </w:rPr>
              <w:t>msgA-PUSCH-ResourceGroupA</w:t>
            </w:r>
          </w:p>
          <w:p w14:paraId="3B7FD9CF" w14:textId="79A0C1A1" w:rsidR="00394471" w:rsidRPr="00FA0D37" w:rsidDel="00EA1F7F" w:rsidRDefault="00394471" w:rsidP="00964CC4">
            <w:pPr>
              <w:pStyle w:val="TAL"/>
              <w:rPr>
                <w:b/>
                <w:i/>
                <w:szCs w:val="22"/>
                <w:lang w:eastAsia="sv-SE"/>
              </w:rPr>
            </w:pPr>
            <w:r w:rsidRPr="00FA0D37">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FA0D37">
              <w:rPr>
                <w:szCs w:val="22"/>
                <w:lang w:eastAsia="sv-SE"/>
              </w:rPr>
              <w:t xml:space="preserve"> or RedCap-specific initial UL BWP (if configured) for RedCap UEs</w:t>
            </w:r>
            <w:r w:rsidRPr="00FA0D37">
              <w:rPr>
                <w:szCs w:val="22"/>
                <w:lang w:eastAsia="sv-SE"/>
              </w:rPr>
              <w:t>.</w:t>
            </w:r>
          </w:p>
        </w:tc>
      </w:tr>
      <w:tr w:rsidR="005C7FF4" w:rsidRPr="00FA0D37"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FA0D37" w:rsidRDefault="00394471" w:rsidP="00964CC4">
            <w:pPr>
              <w:pStyle w:val="TAL"/>
              <w:rPr>
                <w:b/>
                <w:i/>
                <w:szCs w:val="22"/>
                <w:lang w:eastAsia="sv-SE"/>
              </w:rPr>
            </w:pPr>
            <w:r w:rsidRPr="00FA0D37">
              <w:rPr>
                <w:b/>
                <w:i/>
                <w:szCs w:val="22"/>
                <w:lang w:eastAsia="sv-SE"/>
              </w:rPr>
              <w:t>msgA-PUSCH-ResourceGroupB</w:t>
            </w:r>
          </w:p>
          <w:p w14:paraId="21661B0D" w14:textId="77777777" w:rsidR="00394471" w:rsidRPr="00FA0D37" w:rsidDel="00EA1F7F" w:rsidRDefault="00394471" w:rsidP="00964CC4">
            <w:pPr>
              <w:pStyle w:val="TAL"/>
              <w:rPr>
                <w:b/>
                <w:i/>
                <w:szCs w:val="22"/>
                <w:lang w:eastAsia="sv-SE"/>
              </w:rPr>
            </w:pPr>
            <w:r w:rsidRPr="00FA0D37">
              <w:rPr>
                <w:szCs w:val="22"/>
                <w:lang w:eastAsia="sv-SE"/>
              </w:rPr>
              <w:t>MsgA PUSCH resources that the UE shall use when performing MsgA transmission using preambles group B.</w:t>
            </w:r>
          </w:p>
        </w:tc>
      </w:tr>
      <w:tr w:rsidR="00394471" w:rsidRPr="00FA0D37"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FA0D37" w:rsidRDefault="00394471" w:rsidP="00964CC4">
            <w:pPr>
              <w:pStyle w:val="TAL"/>
              <w:rPr>
                <w:b/>
                <w:i/>
                <w:szCs w:val="22"/>
                <w:lang w:eastAsia="sv-SE"/>
              </w:rPr>
            </w:pPr>
            <w:r w:rsidRPr="00FA0D37">
              <w:rPr>
                <w:b/>
                <w:i/>
                <w:szCs w:val="22"/>
                <w:lang w:eastAsia="sv-SE"/>
              </w:rPr>
              <w:t>msgA-TransformPrecoder</w:t>
            </w:r>
          </w:p>
          <w:p w14:paraId="1C95914D" w14:textId="77777777" w:rsidR="00394471" w:rsidRPr="00FA0D37" w:rsidRDefault="00394471" w:rsidP="00964CC4">
            <w:pPr>
              <w:pStyle w:val="TAL"/>
              <w:rPr>
                <w:szCs w:val="22"/>
                <w:lang w:eastAsia="sv-SE"/>
              </w:rPr>
            </w:pPr>
            <w:r w:rsidRPr="00FA0D37">
              <w:rPr>
                <w:szCs w:val="22"/>
                <w:lang w:eastAsia="sv-SE"/>
              </w:rPr>
              <w:t>Enables or disables the transform precoder for MsgA transmission (see clause 6.1.3 of TS 38.214 [19]).</w:t>
            </w:r>
          </w:p>
        </w:tc>
      </w:tr>
    </w:tbl>
    <w:p w14:paraId="1D193A0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FA0D37" w:rsidRDefault="00394471" w:rsidP="00964CC4">
            <w:pPr>
              <w:pStyle w:val="TAH"/>
              <w:rPr>
                <w:szCs w:val="22"/>
                <w:lang w:eastAsia="sv-SE"/>
              </w:rPr>
            </w:pPr>
            <w:r w:rsidRPr="00FA0D37">
              <w:rPr>
                <w:i/>
                <w:szCs w:val="22"/>
                <w:lang w:eastAsia="sv-SE"/>
              </w:rPr>
              <w:lastRenderedPageBreak/>
              <w:t xml:space="preserve">MsgA-PUSCH-Resource </w:t>
            </w:r>
            <w:r w:rsidRPr="00FA0D37">
              <w:rPr>
                <w:szCs w:val="22"/>
                <w:lang w:eastAsia="sv-SE"/>
              </w:rPr>
              <w:t>field descriptions</w:t>
            </w:r>
            <w:r w:rsidRPr="00FA0D37">
              <w:rPr>
                <w:i/>
                <w:szCs w:val="22"/>
                <w:lang w:eastAsia="sv-SE"/>
              </w:rPr>
              <w:t xml:space="preserve"> </w:t>
            </w:r>
          </w:p>
        </w:tc>
      </w:tr>
      <w:tr w:rsidR="005C7FF4" w:rsidRPr="00FA0D37"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FA0D37" w:rsidRDefault="00394471" w:rsidP="00964CC4">
            <w:pPr>
              <w:pStyle w:val="TAL"/>
              <w:rPr>
                <w:b/>
                <w:i/>
                <w:szCs w:val="22"/>
                <w:lang w:eastAsia="sv-SE"/>
              </w:rPr>
            </w:pPr>
            <w:r w:rsidRPr="00FA0D37">
              <w:rPr>
                <w:b/>
                <w:i/>
                <w:szCs w:val="22"/>
                <w:lang w:eastAsia="sv-SE"/>
              </w:rPr>
              <w:t>guardBandMsgA-PUSCH</w:t>
            </w:r>
          </w:p>
          <w:p w14:paraId="297F45B4" w14:textId="77777777" w:rsidR="00394471" w:rsidRPr="00FA0D37" w:rsidRDefault="00394471" w:rsidP="00964CC4">
            <w:pPr>
              <w:pStyle w:val="TAL"/>
              <w:rPr>
                <w:szCs w:val="22"/>
                <w:lang w:eastAsia="sv-SE"/>
              </w:rPr>
            </w:pPr>
            <w:r w:rsidRPr="00FA0D37">
              <w:rPr>
                <w:szCs w:val="22"/>
                <w:lang w:eastAsia="sv-SE"/>
              </w:rPr>
              <w:t>PRB-level guard band between FDMed PUSCH occasions (see TS 38.213 [13], clause 8.1A). If interlaced PUSCH is configured, value 0 is applied.</w:t>
            </w:r>
          </w:p>
        </w:tc>
      </w:tr>
      <w:tr w:rsidR="005C7FF4" w:rsidRPr="00FA0D37"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FA0D37" w:rsidRDefault="00394471" w:rsidP="00964CC4">
            <w:pPr>
              <w:pStyle w:val="TAL"/>
              <w:rPr>
                <w:b/>
                <w:i/>
                <w:szCs w:val="22"/>
                <w:lang w:eastAsia="sv-SE"/>
              </w:rPr>
            </w:pPr>
            <w:r w:rsidRPr="00FA0D37">
              <w:rPr>
                <w:b/>
                <w:i/>
                <w:szCs w:val="22"/>
                <w:lang w:eastAsia="sv-SE"/>
              </w:rPr>
              <w:t>guardPeriodMsgA-PUSCH</w:t>
            </w:r>
          </w:p>
          <w:p w14:paraId="48BCD09F" w14:textId="77777777" w:rsidR="00394471" w:rsidRPr="00FA0D37" w:rsidRDefault="00394471" w:rsidP="00964CC4">
            <w:pPr>
              <w:pStyle w:val="TAL"/>
              <w:rPr>
                <w:szCs w:val="22"/>
                <w:lang w:eastAsia="sv-SE"/>
              </w:rPr>
            </w:pPr>
            <w:r w:rsidRPr="00FA0D37">
              <w:rPr>
                <w:szCs w:val="22"/>
                <w:lang w:eastAsia="sv-SE"/>
              </w:rPr>
              <w:t>Guard period between PUSCH occasions in the unit of symbols (see TS 38.213 [13], clause 8.1A).</w:t>
            </w:r>
          </w:p>
        </w:tc>
      </w:tr>
      <w:tr w:rsidR="005C7FF4" w:rsidRPr="00FA0D37"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FA0D37" w:rsidRDefault="00394471" w:rsidP="00964CC4">
            <w:pPr>
              <w:pStyle w:val="TAL"/>
              <w:rPr>
                <w:b/>
                <w:i/>
                <w:szCs w:val="22"/>
                <w:lang w:eastAsia="sv-SE"/>
              </w:rPr>
            </w:pPr>
            <w:r w:rsidRPr="00FA0D37">
              <w:rPr>
                <w:b/>
                <w:i/>
                <w:szCs w:val="22"/>
                <w:lang w:eastAsia="sv-SE"/>
              </w:rPr>
              <w:t>frequencyStartMsgA-PUSCH</w:t>
            </w:r>
          </w:p>
          <w:p w14:paraId="60F42BED" w14:textId="77777777" w:rsidR="00394471" w:rsidRPr="00FA0D37" w:rsidRDefault="00394471" w:rsidP="00964CC4">
            <w:pPr>
              <w:pStyle w:val="TAL"/>
              <w:rPr>
                <w:szCs w:val="22"/>
                <w:lang w:eastAsia="sv-SE"/>
              </w:rPr>
            </w:pPr>
            <w:r w:rsidRPr="00FA0D37">
              <w:rPr>
                <w:szCs w:val="22"/>
                <w:lang w:eastAsia="sv-SE"/>
              </w:rPr>
              <w:t>Offset of lowest PUSCH occasion in frequency domain with respect to PRB 0 (see TS 38.213 [13], clause 8.1A).</w:t>
            </w:r>
          </w:p>
        </w:tc>
      </w:tr>
      <w:tr w:rsidR="005C7FF4" w:rsidRPr="00FA0D37"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FA0D37" w:rsidRDefault="00394471" w:rsidP="00964CC4">
            <w:pPr>
              <w:pStyle w:val="TAL"/>
              <w:rPr>
                <w:b/>
                <w:i/>
                <w:szCs w:val="22"/>
                <w:lang w:eastAsia="sv-SE"/>
              </w:rPr>
            </w:pPr>
            <w:r w:rsidRPr="00FA0D37">
              <w:rPr>
                <w:b/>
                <w:i/>
                <w:szCs w:val="22"/>
                <w:lang w:eastAsia="sv-SE"/>
              </w:rPr>
              <w:t>interlaceIndexFirstPO-MsgA-PUSCH</w:t>
            </w:r>
          </w:p>
          <w:p w14:paraId="4F23CBF9" w14:textId="77777777" w:rsidR="00394471" w:rsidRPr="00FA0D37" w:rsidRDefault="00394471" w:rsidP="00964CC4">
            <w:pPr>
              <w:pStyle w:val="TAL"/>
              <w:rPr>
                <w:szCs w:val="22"/>
                <w:lang w:eastAsia="sv-SE"/>
              </w:rPr>
            </w:pPr>
            <w:r w:rsidRPr="00FA0D37">
              <w:rPr>
                <w:szCs w:val="22"/>
                <w:lang w:eastAsia="sv-SE"/>
              </w:rPr>
              <w:t>Interlace index of the first PUSCH occasion in frequency domain if interlaced PUSCH is configured. For 30kHz SCS only the integers 1, 2, 3, 4, 5 are applicable (see TS 38.213 [13], clause 8.1A).</w:t>
            </w:r>
          </w:p>
        </w:tc>
      </w:tr>
      <w:tr w:rsidR="005C7FF4" w:rsidRPr="00FA0D37"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FA0D37" w:rsidRDefault="00394471" w:rsidP="00964CC4">
            <w:pPr>
              <w:pStyle w:val="TAL"/>
              <w:rPr>
                <w:b/>
                <w:i/>
                <w:szCs w:val="22"/>
                <w:lang w:eastAsia="sv-SE"/>
              </w:rPr>
            </w:pPr>
            <w:r w:rsidRPr="00FA0D37">
              <w:rPr>
                <w:b/>
                <w:i/>
                <w:szCs w:val="22"/>
                <w:lang w:eastAsia="sv-SE"/>
              </w:rPr>
              <w:t>mappingTypeMsgA-PUSCH</w:t>
            </w:r>
          </w:p>
          <w:p w14:paraId="09C341C8" w14:textId="77777777" w:rsidR="00394471" w:rsidRPr="00FA0D37" w:rsidRDefault="00394471" w:rsidP="00964CC4">
            <w:pPr>
              <w:pStyle w:val="TAL"/>
              <w:rPr>
                <w:szCs w:val="22"/>
                <w:lang w:eastAsia="sv-SE"/>
              </w:rPr>
            </w:pPr>
            <w:r w:rsidRPr="00FA0D37">
              <w:rPr>
                <w:szCs w:val="22"/>
                <w:lang w:eastAsia="sv-SE"/>
              </w:rPr>
              <w:t xml:space="preserve">PUSCH mapping type A or B. If the field is absent, the UE shall use the parameter </w:t>
            </w:r>
            <w:r w:rsidRPr="00FA0D37">
              <w:rPr>
                <w:i/>
                <w:szCs w:val="22"/>
                <w:lang w:eastAsia="sv-SE"/>
              </w:rPr>
              <w:t>msgA-PUSCH-TimeDomainAllocation</w:t>
            </w:r>
            <w:r w:rsidRPr="00FA0D37">
              <w:rPr>
                <w:szCs w:val="22"/>
                <w:lang w:eastAsia="sv-SE"/>
              </w:rPr>
              <w:t xml:space="preserve"> (see TS 38.213 [13], clause 8.1A).</w:t>
            </w:r>
          </w:p>
        </w:tc>
      </w:tr>
      <w:tr w:rsidR="005C7FF4" w:rsidRPr="00FA0D37"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FA0D37" w:rsidRDefault="00394471" w:rsidP="00964CC4">
            <w:pPr>
              <w:pStyle w:val="TAL"/>
              <w:rPr>
                <w:b/>
                <w:i/>
                <w:szCs w:val="22"/>
                <w:lang w:eastAsia="sv-SE"/>
              </w:rPr>
            </w:pPr>
            <w:r w:rsidRPr="00FA0D37">
              <w:rPr>
                <w:b/>
                <w:i/>
                <w:szCs w:val="22"/>
                <w:lang w:eastAsia="sv-SE"/>
              </w:rPr>
              <w:t>msgA-Alpha</w:t>
            </w:r>
          </w:p>
          <w:p w14:paraId="152EDAB3" w14:textId="42EACEE3" w:rsidR="00394471" w:rsidRPr="00FA0D37" w:rsidRDefault="00394471" w:rsidP="00964CC4">
            <w:pPr>
              <w:pStyle w:val="TAL"/>
              <w:rPr>
                <w:szCs w:val="22"/>
                <w:lang w:eastAsia="sv-SE"/>
              </w:rPr>
            </w:pPr>
            <w:r w:rsidRPr="00FA0D37">
              <w:rPr>
                <w:szCs w:val="22"/>
                <w:lang w:eastAsia="sv-SE"/>
              </w:rPr>
              <w:t xml:space="preserve">Dedicated alpha value for MsgA PUSCH. If </w:t>
            </w:r>
            <w:r w:rsidR="00173614" w:rsidRPr="00FA0D37">
              <w:rPr>
                <w:szCs w:val="22"/>
                <w:lang w:eastAsia="sv-SE"/>
              </w:rPr>
              <w:t xml:space="preserve">the field </w:t>
            </w:r>
            <w:r w:rsidRPr="00FA0D37">
              <w:rPr>
                <w:szCs w:val="22"/>
                <w:lang w:eastAsia="sv-SE"/>
              </w:rPr>
              <w:t xml:space="preserve">is absent, the UE shall use the value of </w:t>
            </w:r>
            <w:r w:rsidRPr="00FA0D37">
              <w:rPr>
                <w:i/>
                <w:szCs w:val="22"/>
                <w:lang w:eastAsia="sv-SE"/>
              </w:rPr>
              <w:t>msg3-Alpha</w:t>
            </w:r>
            <w:r w:rsidRPr="00FA0D37">
              <w:rPr>
                <w:szCs w:val="22"/>
                <w:lang w:eastAsia="sv-SE"/>
              </w:rPr>
              <w:t xml:space="preserve"> if configured, else UE applies value 1 (see TS 38.213 [13], clause 7.1.1).</w:t>
            </w:r>
          </w:p>
        </w:tc>
      </w:tr>
      <w:tr w:rsidR="005C7FF4" w:rsidRPr="00FA0D37"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FA0D37" w:rsidRDefault="00394471" w:rsidP="00964CC4">
            <w:pPr>
              <w:pStyle w:val="TAL"/>
              <w:rPr>
                <w:b/>
                <w:i/>
                <w:szCs w:val="22"/>
                <w:lang w:eastAsia="sv-SE"/>
              </w:rPr>
            </w:pPr>
            <w:r w:rsidRPr="00FA0D37">
              <w:rPr>
                <w:b/>
                <w:i/>
                <w:szCs w:val="22"/>
                <w:lang w:eastAsia="sv-SE"/>
              </w:rPr>
              <w:t>msgA-DMRS-Config</w:t>
            </w:r>
          </w:p>
          <w:p w14:paraId="360672BF" w14:textId="77777777" w:rsidR="00394471" w:rsidRPr="00FA0D37" w:rsidRDefault="00394471" w:rsidP="00964CC4">
            <w:pPr>
              <w:pStyle w:val="TAL"/>
              <w:rPr>
                <w:szCs w:val="22"/>
                <w:lang w:eastAsia="sv-SE"/>
              </w:rPr>
            </w:pPr>
            <w:r w:rsidRPr="00FA0D37">
              <w:rPr>
                <w:szCs w:val="22"/>
                <w:lang w:eastAsia="sv-SE"/>
              </w:rPr>
              <w:t>DMRS configuration for msgA PUSCH (see TS 38.213 [13], clause 8.1A and TS 38.214 [19] clause 6.2.2).</w:t>
            </w:r>
          </w:p>
        </w:tc>
      </w:tr>
      <w:tr w:rsidR="005C7FF4" w:rsidRPr="00FA0D37"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FA0D37" w:rsidRDefault="00394471" w:rsidP="00964CC4">
            <w:pPr>
              <w:pStyle w:val="TAL"/>
              <w:rPr>
                <w:b/>
                <w:i/>
                <w:szCs w:val="22"/>
                <w:lang w:eastAsia="sv-SE"/>
              </w:rPr>
            </w:pPr>
            <w:r w:rsidRPr="00FA0D37">
              <w:rPr>
                <w:b/>
                <w:i/>
                <w:szCs w:val="22"/>
                <w:lang w:eastAsia="sv-SE"/>
              </w:rPr>
              <w:t>msgA-HoppingBits</w:t>
            </w:r>
          </w:p>
          <w:p w14:paraId="12FF1441" w14:textId="70DC983B" w:rsidR="00394471" w:rsidRPr="00FA0D37" w:rsidRDefault="00394471" w:rsidP="00964CC4">
            <w:pPr>
              <w:pStyle w:val="TAL"/>
              <w:rPr>
                <w:szCs w:val="22"/>
                <w:lang w:eastAsia="sv-SE"/>
              </w:rPr>
            </w:pPr>
            <w:r w:rsidRPr="00FA0D37">
              <w:rPr>
                <w:szCs w:val="22"/>
                <w:lang w:eastAsia="sv-SE"/>
              </w:rPr>
              <w:t xml:space="preserve">Value of hopping bits to indicate which frequency offset to be used for second hop. See Table 8.3-1 in </w:t>
            </w:r>
            <w:r w:rsidR="00173614" w:rsidRPr="00FA0D37">
              <w:rPr>
                <w:szCs w:val="22"/>
                <w:lang w:eastAsia="sv-SE"/>
              </w:rPr>
              <w:t xml:space="preserve">TS </w:t>
            </w:r>
            <w:r w:rsidRPr="00FA0D37">
              <w:rPr>
                <w:szCs w:val="22"/>
                <w:lang w:eastAsia="sv-SE"/>
              </w:rPr>
              <w:t>38.213 [13].</w:t>
            </w:r>
          </w:p>
        </w:tc>
      </w:tr>
      <w:tr w:rsidR="005C7FF4" w:rsidRPr="00FA0D37"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FA0D37" w:rsidRDefault="00394471" w:rsidP="00964CC4">
            <w:pPr>
              <w:pStyle w:val="TAL"/>
              <w:rPr>
                <w:b/>
                <w:i/>
                <w:szCs w:val="22"/>
                <w:lang w:eastAsia="sv-SE"/>
              </w:rPr>
            </w:pPr>
            <w:r w:rsidRPr="00FA0D37">
              <w:rPr>
                <w:b/>
                <w:i/>
                <w:szCs w:val="22"/>
                <w:lang w:eastAsia="sv-SE"/>
              </w:rPr>
              <w:t>msgA-IntraSlotFrequencyHopping</w:t>
            </w:r>
          </w:p>
          <w:p w14:paraId="46F0AA1C" w14:textId="77777777" w:rsidR="00394471" w:rsidRPr="00FA0D37" w:rsidRDefault="00394471" w:rsidP="00964CC4">
            <w:pPr>
              <w:pStyle w:val="TAL"/>
              <w:rPr>
                <w:szCs w:val="22"/>
                <w:lang w:eastAsia="sv-SE"/>
              </w:rPr>
            </w:pPr>
            <w:r w:rsidRPr="00FA0D37">
              <w:rPr>
                <w:szCs w:val="22"/>
                <w:lang w:eastAsia="sv-SE"/>
              </w:rPr>
              <w:t>Intra-slot frequency hopping per PUSCH occasion (see TS 38.213 [13], clause 8.1A).</w:t>
            </w:r>
          </w:p>
        </w:tc>
      </w:tr>
      <w:tr w:rsidR="005C7FF4" w:rsidRPr="00FA0D37"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FA0D37" w:rsidRDefault="00394471" w:rsidP="00964CC4">
            <w:pPr>
              <w:pStyle w:val="TAL"/>
              <w:rPr>
                <w:b/>
                <w:i/>
                <w:szCs w:val="22"/>
                <w:lang w:eastAsia="sv-SE"/>
              </w:rPr>
            </w:pPr>
            <w:r w:rsidRPr="00FA0D37">
              <w:rPr>
                <w:b/>
                <w:i/>
                <w:szCs w:val="22"/>
                <w:lang w:eastAsia="sv-SE"/>
              </w:rPr>
              <w:t>msgA-MCS</w:t>
            </w:r>
          </w:p>
          <w:p w14:paraId="1F865F0A" w14:textId="5169449A" w:rsidR="00394471" w:rsidRPr="00FA0D37" w:rsidRDefault="00394471" w:rsidP="00964CC4">
            <w:pPr>
              <w:pStyle w:val="TAL"/>
              <w:rPr>
                <w:szCs w:val="22"/>
                <w:lang w:eastAsia="sv-SE"/>
              </w:rPr>
            </w:pPr>
            <w:r w:rsidRPr="00FA0D37">
              <w:rPr>
                <w:szCs w:val="22"/>
                <w:lang w:eastAsia="sv-SE"/>
              </w:rPr>
              <w:t xml:space="preserve">Indicates the MCS index for msgA PUSCH from the Table 6.1.4.1-1 for DFT-s-OFDM and Table 5.1.3.1-1 for CP-OFDM in </w:t>
            </w:r>
            <w:r w:rsidR="00173614" w:rsidRPr="00FA0D37">
              <w:rPr>
                <w:szCs w:val="22"/>
                <w:lang w:eastAsia="sv-SE"/>
              </w:rPr>
              <w:t xml:space="preserve">TS </w:t>
            </w:r>
            <w:r w:rsidRPr="00FA0D37">
              <w:rPr>
                <w:szCs w:val="22"/>
                <w:lang w:eastAsia="sv-SE"/>
              </w:rPr>
              <w:t>38.214 [19].</w:t>
            </w:r>
          </w:p>
        </w:tc>
      </w:tr>
      <w:tr w:rsidR="005C7FF4" w:rsidRPr="00FA0D37"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FA0D37" w:rsidRDefault="00394471" w:rsidP="00964CC4">
            <w:pPr>
              <w:pStyle w:val="TAL"/>
              <w:rPr>
                <w:b/>
                <w:i/>
                <w:szCs w:val="22"/>
                <w:lang w:eastAsia="sv-SE"/>
              </w:rPr>
            </w:pPr>
            <w:r w:rsidRPr="00FA0D37">
              <w:rPr>
                <w:b/>
                <w:i/>
                <w:szCs w:val="22"/>
                <w:lang w:eastAsia="sv-SE"/>
              </w:rPr>
              <w:t>msgA-PUSCH-TimeDomainAllocation</w:t>
            </w:r>
          </w:p>
          <w:p w14:paraId="02EBEDE1" w14:textId="77777777" w:rsidR="00394471" w:rsidRPr="00FA0D37" w:rsidRDefault="00394471" w:rsidP="00964CC4">
            <w:pPr>
              <w:pStyle w:val="TAL"/>
              <w:rPr>
                <w:szCs w:val="22"/>
                <w:lang w:eastAsia="sv-SE"/>
              </w:rPr>
            </w:pPr>
            <w:r w:rsidRPr="00FA0D37">
              <w:rPr>
                <w:szCs w:val="22"/>
                <w:lang w:eastAsia="sv-SE"/>
              </w:rPr>
              <w:t>Indicates a combination of start symbol and length and PUSCH mapping type from the TDRA table (</w:t>
            </w:r>
            <w:r w:rsidRPr="00FA0D37">
              <w:rPr>
                <w:i/>
                <w:szCs w:val="22"/>
                <w:lang w:eastAsia="sv-SE"/>
              </w:rPr>
              <w:t>PUSCH-TimeDomainResourceAllocationList</w:t>
            </w:r>
            <w:r w:rsidRPr="00FA0D37">
              <w:rPr>
                <w:szCs w:val="22"/>
                <w:lang w:eastAsia="sv-SE"/>
              </w:rPr>
              <w:t xml:space="preserve"> if provided in </w:t>
            </w:r>
            <w:r w:rsidRPr="00FA0D37">
              <w:rPr>
                <w:i/>
                <w:iCs/>
                <w:szCs w:val="22"/>
                <w:lang w:eastAsia="sv-SE"/>
              </w:rPr>
              <w:t>PUSCH-ConfigCommon</w:t>
            </w:r>
            <w:r w:rsidRPr="00FA0D37">
              <w:rPr>
                <w:szCs w:val="22"/>
                <w:lang w:eastAsia="sv-SE"/>
              </w:rPr>
              <w:t>, or else the default Table 6.1.2.1.1-2 in 38.214 [19]</w:t>
            </w:r>
            <w:r w:rsidRPr="00FA0D37">
              <w:t xml:space="preserve"> is used if </w:t>
            </w:r>
            <w:r w:rsidRPr="00FA0D37">
              <w:rPr>
                <w:i/>
                <w:iCs/>
              </w:rPr>
              <w:t>pusch-TimeDomainAllocationList</w:t>
            </w:r>
            <w:r w:rsidRPr="00FA0D37">
              <w:t xml:space="preserve"> is not provided in PUSCH-ConfigCommon</w:t>
            </w:r>
            <w:r w:rsidRPr="00FA0D37">
              <w:rPr>
                <w:szCs w:val="22"/>
              </w:rPr>
              <w:t xml:space="preserve">). The parameter K2 in the table is not used for msgA PUSCH. The network configures one of </w:t>
            </w:r>
            <w:r w:rsidRPr="00FA0D37">
              <w:rPr>
                <w:i/>
                <w:iCs/>
                <w:szCs w:val="22"/>
              </w:rPr>
              <w:t xml:space="preserve">msgA-PUSCH-TimeDomainAllocation </w:t>
            </w:r>
            <w:r w:rsidRPr="00FA0D37">
              <w:rPr>
                <w:szCs w:val="22"/>
              </w:rPr>
              <w:t xml:space="preserve">and </w:t>
            </w:r>
            <w:r w:rsidRPr="00FA0D37">
              <w:rPr>
                <w:i/>
                <w:iCs/>
                <w:szCs w:val="22"/>
              </w:rPr>
              <w:t>startSymbolAndLengthMsgA-PO,</w:t>
            </w:r>
            <w:r w:rsidRPr="00FA0D37">
              <w:rPr>
                <w:szCs w:val="22"/>
              </w:rPr>
              <w:t xml:space="preserve"> but not both. If the field is absent, the UE shall use the value of startSymbolAndLenghtMsgA-PO.</w:t>
            </w:r>
          </w:p>
        </w:tc>
      </w:tr>
      <w:tr w:rsidR="005C7FF4" w:rsidRPr="00FA0D37"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FA0D37" w:rsidRDefault="00394471" w:rsidP="00964CC4">
            <w:pPr>
              <w:pStyle w:val="TAL"/>
              <w:rPr>
                <w:b/>
                <w:i/>
                <w:szCs w:val="22"/>
                <w:lang w:eastAsia="sv-SE"/>
              </w:rPr>
            </w:pPr>
            <w:r w:rsidRPr="00FA0D37">
              <w:rPr>
                <w:b/>
                <w:i/>
                <w:szCs w:val="22"/>
                <w:lang w:eastAsia="sv-SE"/>
              </w:rPr>
              <w:t>msgA-PUSCH-TimeDomainOffset</w:t>
            </w:r>
          </w:p>
          <w:p w14:paraId="400ED75C" w14:textId="3507C677" w:rsidR="00394471" w:rsidRPr="00FA0D37" w:rsidRDefault="00394471" w:rsidP="00964CC4">
            <w:pPr>
              <w:pStyle w:val="TAL"/>
              <w:rPr>
                <w:szCs w:val="22"/>
                <w:lang w:eastAsia="sv-SE"/>
              </w:rPr>
            </w:pPr>
            <w:r w:rsidRPr="00FA0D37">
              <w:rPr>
                <w:szCs w:val="22"/>
                <w:lang w:eastAsia="sv-SE"/>
              </w:rPr>
              <w:t xml:space="preserve">A single time offset with respect to the start of each PRACH slot (with at least one valid RO), counted as the number of slots (based on the numerology of active UL BWP). See </w:t>
            </w:r>
            <w:r w:rsidR="00173614" w:rsidRPr="00FA0D37">
              <w:rPr>
                <w:szCs w:val="22"/>
                <w:lang w:eastAsia="sv-SE"/>
              </w:rPr>
              <w:t xml:space="preserve">TS </w:t>
            </w:r>
            <w:r w:rsidRPr="00FA0D37">
              <w:rPr>
                <w:szCs w:val="22"/>
                <w:lang w:eastAsia="sv-SE"/>
              </w:rPr>
              <w:t>38.213 [13], clause 8.1A.</w:t>
            </w:r>
          </w:p>
        </w:tc>
      </w:tr>
      <w:tr w:rsidR="005C7FF4" w:rsidRPr="00FA0D37"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FA0D37" w:rsidRDefault="00394471" w:rsidP="00964CC4">
            <w:pPr>
              <w:pStyle w:val="TAL"/>
              <w:rPr>
                <w:b/>
                <w:i/>
                <w:szCs w:val="22"/>
                <w:lang w:eastAsia="sv-SE"/>
              </w:rPr>
            </w:pPr>
            <w:r w:rsidRPr="00FA0D37">
              <w:rPr>
                <w:b/>
                <w:i/>
                <w:szCs w:val="22"/>
                <w:lang w:eastAsia="sv-SE"/>
              </w:rPr>
              <w:t>nrofDMRS-Sequences</w:t>
            </w:r>
          </w:p>
          <w:p w14:paraId="2CBF2B26" w14:textId="77777777" w:rsidR="00394471" w:rsidRPr="00FA0D37" w:rsidRDefault="00394471" w:rsidP="00964CC4">
            <w:pPr>
              <w:pStyle w:val="TAL"/>
              <w:rPr>
                <w:szCs w:val="22"/>
                <w:lang w:eastAsia="sv-SE"/>
              </w:rPr>
            </w:pPr>
            <w:r w:rsidRPr="00FA0D37">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A0D37">
              <w:rPr>
                <w:i/>
                <w:szCs w:val="22"/>
                <w:lang w:eastAsia="sv-SE"/>
              </w:rPr>
              <w:t>len2</w:t>
            </w:r>
            <w:r w:rsidRPr="00FA0D37">
              <w:rPr>
                <w:szCs w:val="22"/>
                <w:lang w:eastAsia="sv-SE"/>
              </w:rPr>
              <w:t xml:space="preserve">) or 4 (for </w:t>
            </w:r>
            <w:r w:rsidRPr="00FA0D37">
              <w:rPr>
                <w:i/>
                <w:szCs w:val="22"/>
                <w:lang w:eastAsia="sv-SE"/>
              </w:rPr>
              <w:t>len1</w:t>
            </w:r>
            <w:r w:rsidRPr="00FA0D37">
              <w:rPr>
                <w:szCs w:val="22"/>
                <w:lang w:eastAsia="sv-SE"/>
              </w:rPr>
              <w:t>), then only DMRS port is configured.</w:t>
            </w:r>
          </w:p>
        </w:tc>
      </w:tr>
      <w:tr w:rsidR="005C7FF4" w:rsidRPr="00FA0D37"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FA0D37" w:rsidRDefault="00394471" w:rsidP="00964CC4">
            <w:pPr>
              <w:pStyle w:val="TAL"/>
              <w:rPr>
                <w:b/>
                <w:i/>
                <w:szCs w:val="22"/>
                <w:lang w:eastAsia="sv-SE"/>
              </w:rPr>
            </w:pPr>
            <w:r w:rsidRPr="00FA0D37">
              <w:rPr>
                <w:b/>
                <w:i/>
                <w:szCs w:val="22"/>
                <w:lang w:eastAsia="sv-SE"/>
              </w:rPr>
              <w:t>nrofInterlacesPerMsgA-PO</w:t>
            </w:r>
          </w:p>
          <w:p w14:paraId="42395BBD" w14:textId="77777777" w:rsidR="00394471" w:rsidRPr="00FA0D37" w:rsidRDefault="00394471" w:rsidP="00964CC4">
            <w:pPr>
              <w:pStyle w:val="TAL"/>
              <w:rPr>
                <w:szCs w:val="22"/>
                <w:lang w:eastAsia="sv-SE"/>
              </w:rPr>
            </w:pPr>
            <w:r w:rsidRPr="00FA0D37">
              <w:rPr>
                <w:szCs w:val="22"/>
                <w:lang w:eastAsia="sv-SE"/>
              </w:rPr>
              <w:t>Number of consecutive interlaces per PUSCH occasion if interlaced PUSCH is configured. For 30kHz SCS only the integers 1, 2, 3, 4, 5 are applicable (see TS 38.213 [13], clause 8.1A).</w:t>
            </w:r>
          </w:p>
        </w:tc>
      </w:tr>
      <w:tr w:rsidR="005C7FF4" w:rsidRPr="00FA0D37"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FA0D37" w:rsidRDefault="00394471" w:rsidP="00964CC4">
            <w:pPr>
              <w:pStyle w:val="TAL"/>
              <w:rPr>
                <w:b/>
                <w:i/>
                <w:szCs w:val="22"/>
                <w:lang w:eastAsia="sv-SE"/>
              </w:rPr>
            </w:pPr>
            <w:r w:rsidRPr="00FA0D37">
              <w:rPr>
                <w:b/>
                <w:i/>
                <w:szCs w:val="22"/>
                <w:lang w:eastAsia="sv-SE"/>
              </w:rPr>
              <w:t>nrofMsgA-PO-FDM</w:t>
            </w:r>
          </w:p>
          <w:p w14:paraId="189B32E5" w14:textId="77777777" w:rsidR="00394471" w:rsidRPr="00FA0D37" w:rsidRDefault="00394471" w:rsidP="00964CC4">
            <w:pPr>
              <w:pStyle w:val="TAL"/>
              <w:rPr>
                <w:szCs w:val="22"/>
                <w:lang w:eastAsia="sv-SE"/>
              </w:rPr>
            </w:pPr>
            <w:r w:rsidRPr="00FA0D37">
              <w:rPr>
                <w:szCs w:val="22"/>
                <w:lang w:eastAsia="sv-SE"/>
              </w:rPr>
              <w:t>The number of msgA PUSCH occasions FDMed in one time instance (see TS 38.213 [13], clause 8.1A).</w:t>
            </w:r>
          </w:p>
        </w:tc>
      </w:tr>
      <w:tr w:rsidR="005C7FF4" w:rsidRPr="00FA0D37"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FA0D37" w:rsidRDefault="00394471" w:rsidP="00964CC4">
            <w:pPr>
              <w:pStyle w:val="TAL"/>
              <w:rPr>
                <w:b/>
                <w:i/>
                <w:szCs w:val="22"/>
                <w:lang w:eastAsia="sv-SE"/>
              </w:rPr>
            </w:pPr>
            <w:r w:rsidRPr="00FA0D37">
              <w:rPr>
                <w:b/>
                <w:i/>
                <w:szCs w:val="22"/>
                <w:lang w:eastAsia="sv-SE"/>
              </w:rPr>
              <w:t>nrofMsgA-PO-PerSlot</w:t>
            </w:r>
          </w:p>
          <w:p w14:paraId="08A37BAF" w14:textId="77777777" w:rsidR="00394471" w:rsidRPr="00FA0D37" w:rsidRDefault="00394471" w:rsidP="00964CC4">
            <w:pPr>
              <w:pStyle w:val="TAL"/>
              <w:rPr>
                <w:szCs w:val="22"/>
                <w:lang w:eastAsia="sv-SE"/>
              </w:rPr>
            </w:pPr>
            <w:r w:rsidRPr="00FA0D37">
              <w:rPr>
                <w:szCs w:val="22"/>
                <w:lang w:eastAsia="sv-SE"/>
              </w:rPr>
              <w:t>Number of time domain PUSCH occasions in each slot. PUSCH occasions including guard period are contiguous in time domain within a slot (see TS 38.213 [13], clause 8.1A).</w:t>
            </w:r>
          </w:p>
        </w:tc>
      </w:tr>
      <w:tr w:rsidR="005C7FF4" w:rsidRPr="00FA0D37"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FA0D37" w:rsidRDefault="00394471" w:rsidP="00964CC4">
            <w:pPr>
              <w:pStyle w:val="TAL"/>
              <w:rPr>
                <w:b/>
                <w:i/>
                <w:szCs w:val="22"/>
                <w:lang w:eastAsia="sv-SE"/>
              </w:rPr>
            </w:pPr>
            <w:r w:rsidRPr="00FA0D37">
              <w:rPr>
                <w:b/>
                <w:i/>
                <w:szCs w:val="22"/>
                <w:lang w:eastAsia="sv-SE"/>
              </w:rPr>
              <w:t>nrofPRBs-PerMsgA-PO</w:t>
            </w:r>
          </w:p>
          <w:p w14:paraId="441F70B3" w14:textId="77777777" w:rsidR="00394471" w:rsidRPr="00FA0D37" w:rsidRDefault="00394471" w:rsidP="00964CC4">
            <w:pPr>
              <w:pStyle w:val="TAL"/>
              <w:rPr>
                <w:szCs w:val="22"/>
                <w:lang w:eastAsia="sv-SE"/>
              </w:rPr>
            </w:pPr>
            <w:r w:rsidRPr="00FA0D37">
              <w:rPr>
                <w:szCs w:val="22"/>
                <w:lang w:eastAsia="sv-SE"/>
              </w:rPr>
              <w:t>Number of PRBs per PUSCH occasion (see TS 38.213 [13], clause 8.1A).</w:t>
            </w:r>
          </w:p>
        </w:tc>
      </w:tr>
      <w:tr w:rsidR="005C7FF4" w:rsidRPr="00FA0D37"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FA0D37" w:rsidRDefault="00394471" w:rsidP="00964CC4">
            <w:pPr>
              <w:pStyle w:val="TAL"/>
              <w:rPr>
                <w:b/>
                <w:i/>
                <w:szCs w:val="22"/>
                <w:lang w:eastAsia="sv-SE"/>
              </w:rPr>
            </w:pPr>
            <w:r w:rsidRPr="00FA0D37">
              <w:rPr>
                <w:b/>
                <w:i/>
                <w:szCs w:val="22"/>
                <w:lang w:eastAsia="sv-SE"/>
              </w:rPr>
              <w:lastRenderedPageBreak/>
              <w:t>nrofSlotsMsgA-PUSCH</w:t>
            </w:r>
          </w:p>
          <w:p w14:paraId="42FD01E0" w14:textId="77777777" w:rsidR="00394471" w:rsidRPr="00FA0D37" w:rsidRDefault="00394471" w:rsidP="00964CC4">
            <w:pPr>
              <w:pStyle w:val="TAL"/>
              <w:rPr>
                <w:szCs w:val="22"/>
                <w:lang w:eastAsia="sv-SE"/>
              </w:rPr>
            </w:pPr>
            <w:r w:rsidRPr="00FA0D37">
              <w:rPr>
                <w:szCs w:val="22"/>
                <w:lang w:eastAsia="sv-SE"/>
              </w:rPr>
              <w:t>Number of slots (in active UL BWP numerology) containing one or multiple PUSCH occasions, each slot has the same time domain resource allocation (see TS 38.213 [13], clause 8.1A).</w:t>
            </w:r>
          </w:p>
        </w:tc>
      </w:tr>
      <w:tr w:rsidR="00394471" w:rsidRPr="00FA0D37"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FA0D37" w:rsidRDefault="00394471" w:rsidP="00964CC4">
            <w:pPr>
              <w:pStyle w:val="TAL"/>
              <w:rPr>
                <w:b/>
                <w:i/>
                <w:szCs w:val="22"/>
                <w:lang w:eastAsia="sv-SE"/>
              </w:rPr>
            </w:pPr>
            <w:r w:rsidRPr="00FA0D37">
              <w:rPr>
                <w:b/>
                <w:i/>
                <w:szCs w:val="22"/>
                <w:lang w:eastAsia="sv-SE"/>
              </w:rPr>
              <w:t>startSymbolAndLengthMsgA-PO</w:t>
            </w:r>
          </w:p>
          <w:p w14:paraId="3C388ACF" w14:textId="77777777" w:rsidR="00394471" w:rsidRPr="00FA0D37" w:rsidRDefault="00394471" w:rsidP="00964CC4">
            <w:pPr>
              <w:pStyle w:val="TAL"/>
              <w:rPr>
                <w:szCs w:val="22"/>
                <w:lang w:eastAsia="sv-SE"/>
              </w:rPr>
            </w:pPr>
            <w:r w:rsidRPr="00FA0D37">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A0D37">
              <w:rPr>
                <w:i/>
                <w:szCs w:val="22"/>
                <w:lang w:eastAsia="sv-SE"/>
              </w:rPr>
              <w:t>msgA-PUSCH-TimeDomainAllocation</w:t>
            </w:r>
            <w:r w:rsidRPr="00FA0D37">
              <w:rPr>
                <w:szCs w:val="22"/>
                <w:lang w:eastAsia="sv-SE"/>
              </w:rPr>
              <w:t xml:space="preserve"> (see TS 38.213 [13], clause 8.1A).</w:t>
            </w:r>
            <w:r w:rsidRPr="00FA0D37">
              <w:rPr>
                <w:szCs w:val="22"/>
              </w:rPr>
              <w:t xml:space="preserve"> The network configures one of </w:t>
            </w:r>
            <w:r w:rsidRPr="00FA0D37">
              <w:rPr>
                <w:i/>
                <w:iCs/>
                <w:szCs w:val="22"/>
              </w:rPr>
              <w:t xml:space="preserve">msgA-PUSCH-TimeDomainAllocation </w:t>
            </w:r>
            <w:r w:rsidRPr="00FA0D37">
              <w:rPr>
                <w:szCs w:val="22"/>
              </w:rPr>
              <w:t xml:space="preserve">and </w:t>
            </w:r>
            <w:r w:rsidRPr="00FA0D37">
              <w:rPr>
                <w:i/>
                <w:iCs/>
                <w:szCs w:val="22"/>
              </w:rPr>
              <w:t xml:space="preserve">startSymbolAndLengthMsgA-PO, </w:t>
            </w:r>
            <w:r w:rsidRPr="00FA0D37">
              <w:rPr>
                <w:szCs w:val="22"/>
              </w:rPr>
              <w:t xml:space="preserve">but not both. If the field is absent, the UE shall use the value of </w:t>
            </w:r>
            <w:r w:rsidRPr="00FA0D37">
              <w:rPr>
                <w:bCs/>
                <w:i/>
                <w:szCs w:val="22"/>
              </w:rPr>
              <w:t>msgA-PUSCH-TimeDomainAllocation</w:t>
            </w:r>
            <w:r w:rsidRPr="00FA0D37">
              <w:rPr>
                <w:b/>
                <w:bCs/>
                <w:i/>
                <w:szCs w:val="22"/>
              </w:rPr>
              <w:t>.</w:t>
            </w:r>
          </w:p>
        </w:tc>
      </w:tr>
    </w:tbl>
    <w:p w14:paraId="7A479AD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FA0D37" w:rsidRDefault="00394471" w:rsidP="00964CC4">
            <w:pPr>
              <w:pStyle w:val="TAH"/>
              <w:rPr>
                <w:szCs w:val="22"/>
                <w:lang w:eastAsia="sv-SE"/>
              </w:rPr>
            </w:pPr>
            <w:r w:rsidRPr="00FA0D37">
              <w:rPr>
                <w:i/>
                <w:szCs w:val="22"/>
                <w:lang w:eastAsia="sv-SE"/>
              </w:rPr>
              <w:t xml:space="preserve">MsgA-DMRS-Config </w:t>
            </w:r>
            <w:r w:rsidRPr="00FA0D37">
              <w:rPr>
                <w:szCs w:val="22"/>
                <w:lang w:eastAsia="sv-SE"/>
              </w:rPr>
              <w:t>field descriptions</w:t>
            </w:r>
            <w:r w:rsidRPr="00FA0D37">
              <w:rPr>
                <w:i/>
                <w:szCs w:val="22"/>
                <w:lang w:eastAsia="sv-SE"/>
              </w:rPr>
              <w:t xml:space="preserve"> </w:t>
            </w:r>
          </w:p>
        </w:tc>
      </w:tr>
      <w:tr w:rsidR="005C7FF4" w:rsidRPr="00FA0D37"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FA0D37" w:rsidRDefault="00394471" w:rsidP="00964CC4">
            <w:pPr>
              <w:pStyle w:val="TAL"/>
              <w:rPr>
                <w:b/>
                <w:i/>
                <w:szCs w:val="22"/>
                <w:lang w:eastAsia="sv-SE"/>
              </w:rPr>
            </w:pPr>
            <w:r w:rsidRPr="00FA0D37">
              <w:rPr>
                <w:b/>
                <w:i/>
                <w:szCs w:val="22"/>
                <w:lang w:eastAsia="sv-SE"/>
              </w:rPr>
              <w:t>msgA-DMRS-AdditionalPosition</w:t>
            </w:r>
          </w:p>
          <w:p w14:paraId="2CBA1EDC" w14:textId="77777777" w:rsidR="00394471" w:rsidRPr="00FA0D37" w:rsidRDefault="00394471" w:rsidP="00964CC4">
            <w:pPr>
              <w:pStyle w:val="TAL"/>
              <w:rPr>
                <w:rFonts w:eastAsiaTheme="minorEastAsia"/>
                <w:szCs w:val="22"/>
                <w:lang w:eastAsia="sv-SE"/>
              </w:rPr>
            </w:pPr>
            <w:r w:rsidRPr="00FA0D37">
              <w:rPr>
                <w:szCs w:val="22"/>
                <w:lang w:eastAsia="sv-SE"/>
              </w:rPr>
              <w:t xml:space="preserve">Indicates the position for additional DM-RS. If the field is absent, the UE applies value </w:t>
            </w:r>
            <w:r w:rsidRPr="00FA0D37">
              <w:rPr>
                <w:i/>
                <w:szCs w:val="22"/>
                <w:lang w:eastAsia="sv-SE"/>
              </w:rPr>
              <w:t>pos2</w:t>
            </w:r>
            <w:r w:rsidRPr="00FA0D37">
              <w:rPr>
                <w:szCs w:val="22"/>
                <w:lang w:eastAsia="sv-SE"/>
              </w:rPr>
              <w:t>.</w:t>
            </w:r>
          </w:p>
        </w:tc>
      </w:tr>
      <w:tr w:rsidR="005C7FF4" w:rsidRPr="00FA0D37"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FA0D37" w:rsidRDefault="00394471" w:rsidP="00964CC4">
            <w:pPr>
              <w:pStyle w:val="TAL"/>
              <w:rPr>
                <w:b/>
                <w:i/>
                <w:szCs w:val="22"/>
                <w:lang w:eastAsia="sv-SE"/>
              </w:rPr>
            </w:pPr>
            <w:r w:rsidRPr="00FA0D37">
              <w:rPr>
                <w:b/>
                <w:i/>
                <w:szCs w:val="22"/>
                <w:lang w:eastAsia="sv-SE"/>
              </w:rPr>
              <w:t>msgA-MaxLength</w:t>
            </w:r>
          </w:p>
          <w:p w14:paraId="20B59DAE" w14:textId="77777777" w:rsidR="00394471" w:rsidRPr="00FA0D37" w:rsidRDefault="00394471" w:rsidP="00964CC4">
            <w:pPr>
              <w:pStyle w:val="TAL"/>
              <w:rPr>
                <w:szCs w:val="22"/>
                <w:lang w:eastAsia="sv-SE"/>
              </w:rPr>
            </w:pPr>
            <w:r w:rsidRPr="00FA0D37">
              <w:rPr>
                <w:szCs w:val="22"/>
                <w:lang w:eastAsia="sv-SE"/>
              </w:rPr>
              <w:t xml:space="preserve">indicates single-symbol or double-symbol DMRS. If the field is absent, the UE applies value </w:t>
            </w:r>
            <w:r w:rsidRPr="00FA0D37">
              <w:rPr>
                <w:i/>
                <w:szCs w:val="22"/>
                <w:lang w:eastAsia="sv-SE"/>
              </w:rPr>
              <w:t>len1</w:t>
            </w:r>
            <w:r w:rsidRPr="00FA0D37">
              <w:rPr>
                <w:szCs w:val="22"/>
                <w:lang w:eastAsia="sv-SE"/>
              </w:rPr>
              <w:t>.</w:t>
            </w:r>
          </w:p>
        </w:tc>
      </w:tr>
      <w:tr w:rsidR="005C7FF4" w:rsidRPr="00FA0D37"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FA0D37" w:rsidRDefault="00394471" w:rsidP="00964CC4">
            <w:pPr>
              <w:pStyle w:val="TAL"/>
              <w:rPr>
                <w:b/>
                <w:i/>
                <w:szCs w:val="22"/>
                <w:lang w:eastAsia="sv-SE"/>
              </w:rPr>
            </w:pPr>
            <w:r w:rsidRPr="00FA0D37">
              <w:rPr>
                <w:b/>
                <w:i/>
                <w:szCs w:val="22"/>
                <w:lang w:eastAsia="sv-SE"/>
              </w:rPr>
              <w:t>msgA-PUSCH-DMRS-CDM-</w:t>
            </w:r>
            <w:r w:rsidR="00173614" w:rsidRPr="00FA0D37">
              <w:rPr>
                <w:b/>
                <w:i/>
                <w:szCs w:val="22"/>
                <w:lang w:eastAsia="sv-SE"/>
              </w:rPr>
              <w:t>G</w:t>
            </w:r>
            <w:r w:rsidRPr="00FA0D37">
              <w:rPr>
                <w:b/>
                <w:i/>
                <w:szCs w:val="22"/>
                <w:lang w:eastAsia="sv-SE"/>
              </w:rPr>
              <w:t>roup</w:t>
            </w:r>
          </w:p>
          <w:p w14:paraId="7DB69890" w14:textId="77777777" w:rsidR="00394471" w:rsidRPr="00FA0D37" w:rsidRDefault="00394471" w:rsidP="00964CC4">
            <w:pPr>
              <w:pStyle w:val="TAL"/>
              <w:rPr>
                <w:szCs w:val="22"/>
                <w:lang w:eastAsia="sv-SE"/>
              </w:rPr>
            </w:pPr>
            <w:r w:rsidRPr="00FA0D37">
              <w:rPr>
                <w:szCs w:val="22"/>
                <w:lang w:eastAsia="sv-SE"/>
              </w:rPr>
              <w:t>1-bit indication of indices of CDM group(s). If the field is absent, then both CDM groups are used.</w:t>
            </w:r>
          </w:p>
        </w:tc>
      </w:tr>
      <w:tr w:rsidR="005C7FF4" w:rsidRPr="00FA0D37"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FA0D37" w:rsidRDefault="00394471" w:rsidP="00964CC4">
            <w:pPr>
              <w:pStyle w:val="TAL"/>
              <w:rPr>
                <w:b/>
                <w:i/>
                <w:szCs w:val="22"/>
                <w:lang w:eastAsia="sv-SE"/>
              </w:rPr>
            </w:pPr>
            <w:r w:rsidRPr="00FA0D37">
              <w:rPr>
                <w:b/>
                <w:i/>
                <w:szCs w:val="22"/>
                <w:lang w:eastAsia="sv-SE"/>
              </w:rPr>
              <w:t>msgA-PUSCH-NrofPort</w:t>
            </w:r>
            <w:r w:rsidR="00173614" w:rsidRPr="00FA0D37">
              <w:rPr>
                <w:b/>
                <w:i/>
                <w:szCs w:val="22"/>
                <w:lang w:eastAsia="sv-SE"/>
              </w:rPr>
              <w:t>s</w:t>
            </w:r>
          </w:p>
          <w:p w14:paraId="2AE49366" w14:textId="437A7A14" w:rsidR="00394471" w:rsidRPr="00FA0D37" w:rsidRDefault="00394471" w:rsidP="00964CC4">
            <w:pPr>
              <w:pStyle w:val="TAL"/>
              <w:rPr>
                <w:szCs w:val="22"/>
                <w:lang w:eastAsia="sv-SE"/>
              </w:rPr>
            </w:pPr>
            <w:r w:rsidRPr="00FA0D37">
              <w:rPr>
                <w:szCs w:val="22"/>
                <w:lang w:eastAsia="sv-SE"/>
              </w:rPr>
              <w:t>0 indicates 1 port per CDM group, 1 indicates 2 ports per CDM group. If the field is absent then 4 ports per CDM group are used</w:t>
            </w:r>
            <w:r w:rsidR="00425E6C" w:rsidRPr="00FA0D37">
              <w:rPr>
                <w:szCs w:val="22"/>
                <w:lang w:eastAsia="sv-SE"/>
              </w:rPr>
              <w:t xml:space="preserve"> (see TS 38.213 [13], clause 8.1A)</w:t>
            </w:r>
            <w:r w:rsidRPr="00FA0D37">
              <w:rPr>
                <w:szCs w:val="22"/>
                <w:lang w:eastAsia="sv-SE"/>
              </w:rPr>
              <w:t>.</w:t>
            </w:r>
          </w:p>
        </w:tc>
      </w:tr>
      <w:tr w:rsidR="005C7FF4" w:rsidRPr="00FA0D37"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FA0D37" w:rsidRDefault="00394471" w:rsidP="00964CC4">
            <w:pPr>
              <w:pStyle w:val="TAL"/>
              <w:rPr>
                <w:b/>
                <w:i/>
                <w:szCs w:val="22"/>
                <w:lang w:eastAsia="sv-SE"/>
              </w:rPr>
            </w:pPr>
            <w:r w:rsidRPr="00FA0D37">
              <w:rPr>
                <w:b/>
                <w:i/>
                <w:szCs w:val="22"/>
                <w:lang w:eastAsia="sv-SE"/>
              </w:rPr>
              <w:t>msgA-ScramblingID0</w:t>
            </w:r>
          </w:p>
          <w:p w14:paraId="6EEA8C39" w14:textId="77777777" w:rsidR="00394471" w:rsidRPr="00FA0D37" w:rsidRDefault="00394471" w:rsidP="00964CC4">
            <w:pPr>
              <w:pStyle w:val="TAL"/>
              <w:rPr>
                <w:szCs w:val="22"/>
                <w:lang w:eastAsia="sv-SE"/>
              </w:rPr>
            </w:pPr>
            <w:r w:rsidRPr="00FA0D37">
              <w:rPr>
                <w:szCs w:val="22"/>
                <w:lang w:eastAsia="sv-SE"/>
              </w:rPr>
              <w:t>UL DMRS scrambling initialization for CP-OFDM. If the field is absent the UE applies the value Physical cell ID (</w:t>
            </w:r>
            <w:r w:rsidRPr="00FA0D37">
              <w:rPr>
                <w:i/>
                <w:szCs w:val="22"/>
                <w:lang w:eastAsia="sv-SE"/>
              </w:rPr>
              <w:t>physCellID</w:t>
            </w:r>
            <w:r w:rsidRPr="00FA0D37">
              <w:rPr>
                <w:szCs w:val="22"/>
                <w:lang w:eastAsia="sv-SE"/>
              </w:rPr>
              <w:t>).</w:t>
            </w:r>
          </w:p>
        </w:tc>
      </w:tr>
      <w:tr w:rsidR="00394471" w:rsidRPr="00FA0D37"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FA0D37" w:rsidRDefault="00394471" w:rsidP="00964CC4">
            <w:pPr>
              <w:pStyle w:val="TAL"/>
              <w:rPr>
                <w:b/>
                <w:i/>
                <w:szCs w:val="22"/>
                <w:lang w:eastAsia="sv-SE"/>
              </w:rPr>
            </w:pPr>
            <w:r w:rsidRPr="00FA0D37">
              <w:rPr>
                <w:b/>
                <w:i/>
                <w:szCs w:val="22"/>
                <w:lang w:eastAsia="sv-SE"/>
              </w:rPr>
              <w:t>msgA-ScramblingID1</w:t>
            </w:r>
          </w:p>
          <w:p w14:paraId="21AAA825" w14:textId="77777777" w:rsidR="00394471" w:rsidRPr="00FA0D37" w:rsidRDefault="00394471" w:rsidP="00964CC4">
            <w:pPr>
              <w:pStyle w:val="TAL"/>
              <w:rPr>
                <w:b/>
                <w:i/>
                <w:szCs w:val="22"/>
                <w:lang w:eastAsia="sv-SE"/>
              </w:rPr>
            </w:pPr>
            <w:r w:rsidRPr="00FA0D37">
              <w:rPr>
                <w:szCs w:val="22"/>
                <w:lang w:eastAsia="sv-SE"/>
              </w:rPr>
              <w:t>UL DMRS scrambling initialization for CP-OFDM. If the field is absent the UE applies the value Physical cell ID (</w:t>
            </w:r>
            <w:r w:rsidRPr="00FA0D37">
              <w:rPr>
                <w:i/>
                <w:szCs w:val="22"/>
                <w:lang w:eastAsia="sv-SE"/>
              </w:rPr>
              <w:t>physCellID</w:t>
            </w:r>
            <w:r w:rsidRPr="00FA0D37">
              <w:rPr>
                <w:szCs w:val="22"/>
                <w:lang w:eastAsia="sv-SE"/>
              </w:rPr>
              <w:t>).</w:t>
            </w:r>
          </w:p>
        </w:tc>
      </w:tr>
    </w:tbl>
    <w:p w14:paraId="6B49B43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FA0D37" w:rsidRDefault="00394471" w:rsidP="00964CC4">
            <w:pPr>
              <w:pStyle w:val="TAH"/>
              <w:rPr>
                <w:rFonts w:eastAsia="Calibri"/>
                <w:lang w:eastAsia="sv-SE"/>
              </w:rPr>
            </w:pPr>
            <w:r w:rsidRPr="00FA0D3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FA0D37" w:rsidRDefault="00394471" w:rsidP="00964CC4">
            <w:pPr>
              <w:pStyle w:val="TAH"/>
              <w:rPr>
                <w:rFonts w:eastAsia="Calibri"/>
                <w:lang w:eastAsia="sv-SE"/>
              </w:rPr>
            </w:pPr>
            <w:r w:rsidRPr="00FA0D37">
              <w:rPr>
                <w:rFonts w:eastAsia="Calibri"/>
                <w:lang w:eastAsia="sv-SE"/>
              </w:rPr>
              <w:t>Explanation</w:t>
            </w:r>
          </w:p>
        </w:tc>
      </w:tr>
      <w:tr w:rsidR="005C7FF4" w:rsidRPr="00FA0D37"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FA0D37" w:rsidRDefault="00173614" w:rsidP="008E4C89">
            <w:pPr>
              <w:pStyle w:val="TAL"/>
              <w:rPr>
                <w:i/>
                <w:iCs/>
                <w:lang w:eastAsia="sv-SE"/>
              </w:rPr>
            </w:pPr>
            <w:r w:rsidRPr="00FA0D37">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FA0D37" w:rsidRDefault="00173614" w:rsidP="008E4C89">
            <w:pPr>
              <w:pStyle w:val="TAL"/>
              <w:rPr>
                <w:lang w:eastAsia="sv-SE"/>
              </w:rPr>
            </w:pPr>
            <w:r w:rsidRPr="00FA0D37">
              <w:rPr>
                <w:lang w:eastAsia="sv-SE"/>
              </w:rPr>
              <w:t xml:space="preserve">This field is mandatory present when the field </w:t>
            </w:r>
            <w:r w:rsidRPr="00FA0D37">
              <w:rPr>
                <w:i/>
                <w:iCs/>
                <w:lang w:eastAsia="sv-SE"/>
              </w:rPr>
              <w:t>msgA-IntraSlotFrequencyHopping</w:t>
            </w:r>
            <w:r w:rsidRPr="00FA0D37">
              <w:rPr>
                <w:lang w:eastAsia="sv-SE"/>
              </w:rPr>
              <w:t xml:space="preserve"> is configured. Otherwise, the field is absent.</w:t>
            </w:r>
          </w:p>
        </w:tc>
      </w:tr>
      <w:tr w:rsidR="005C7FF4" w:rsidRPr="00FA0D37"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FA0D37" w:rsidRDefault="00394471" w:rsidP="00964CC4">
            <w:pPr>
              <w:pStyle w:val="TAL"/>
              <w:rPr>
                <w:rFonts w:eastAsia="Calibri"/>
                <w:i/>
                <w:iCs/>
                <w:lang w:eastAsia="sv-SE"/>
              </w:rPr>
            </w:pPr>
            <w:r w:rsidRPr="00FA0D37">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FA0D37" w:rsidRDefault="00394471" w:rsidP="00964CC4">
            <w:pPr>
              <w:pStyle w:val="TAL"/>
              <w:rPr>
                <w:rFonts w:eastAsia="Calibri"/>
                <w:lang w:eastAsia="sv-SE"/>
              </w:rPr>
            </w:pPr>
            <w:r w:rsidRPr="00FA0D37">
              <w:rPr>
                <w:lang w:eastAsia="sv-SE"/>
              </w:rPr>
              <w:t xml:space="preserve">The field is mandatory present if </w:t>
            </w:r>
            <w:r w:rsidRPr="00FA0D37">
              <w:rPr>
                <w:i/>
                <w:iCs/>
                <w:lang w:eastAsia="sv-SE"/>
              </w:rPr>
              <w:t>groupB-ConfiguredTwoStepRA</w:t>
            </w:r>
            <w:r w:rsidRPr="00FA0D37">
              <w:rPr>
                <w:lang w:eastAsia="sv-SE"/>
              </w:rPr>
              <w:t xml:space="preserve"> is configured in </w:t>
            </w:r>
            <w:r w:rsidRPr="00FA0D37">
              <w:rPr>
                <w:i/>
                <w:iCs/>
                <w:lang w:eastAsia="sv-SE"/>
              </w:rPr>
              <w:t>RACH-ConfigCommonTwoStepRA</w:t>
            </w:r>
            <w:r w:rsidRPr="00FA0D37">
              <w:rPr>
                <w:lang w:eastAsia="sv-SE"/>
              </w:rPr>
              <w:t>, otherwise the field is absent.</w:t>
            </w:r>
          </w:p>
        </w:tc>
      </w:tr>
      <w:tr w:rsidR="00394471" w:rsidRPr="00FA0D37"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FA0D37" w:rsidRDefault="00394471" w:rsidP="00964CC4">
            <w:pPr>
              <w:pStyle w:val="TAL"/>
              <w:rPr>
                <w:i/>
                <w:iCs/>
                <w:lang w:eastAsia="sv-SE"/>
              </w:rPr>
            </w:pPr>
            <w:r w:rsidRPr="00FA0D3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FA0D37" w:rsidRDefault="00394471" w:rsidP="00964CC4">
            <w:pPr>
              <w:pStyle w:val="TAL"/>
              <w:rPr>
                <w:rFonts w:eastAsia="Calibri"/>
                <w:lang w:eastAsia="sv-SE"/>
              </w:rPr>
            </w:pPr>
            <w:r w:rsidRPr="00FA0D37">
              <w:rPr>
                <w:rFonts w:eastAsia="Calibri"/>
                <w:lang w:eastAsia="sv-SE"/>
              </w:rPr>
              <w:t xml:space="preserve">The field is mandatory present </w:t>
            </w:r>
            <w:r w:rsidRPr="00FA0D37">
              <w:rPr>
                <w:rFonts w:eastAsia="Calibri"/>
              </w:rPr>
              <w:t xml:space="preserve">when </w:t>
            </w:r>
            <w:r w:rsidRPr="00FA0D37">
              <w:rPr>
                <w:rFonts w:cs="Arial"/>
                <w:i/>
              </w:rPr>
              <w:t>MsgA-</w:t>
            </w:r>
            <w:r w:rsidRPr="00FA0D37">
              <w:rPr>
                <w:rFonts w:cs="Arial"/>
                <w:i/>
                <w:noProof/>
              </w:rPr>
              <w:t>ConfigCommon</w:t>
            </w:r>
            <w:r w:rsidRPr="00FA0D37">
              <w:rPr>
                <w:rFonts w:cs="Arial"/>
                <w:szCs w:val="22"/>
              </w:rPr>
              <w:t xml:space="preserve"> is configured for the initial uplink BWP, or when </w:t>
            </w:r>
            <w:r w:rsidRPr="00FA0D37">
              <w:rPr>
                <w:rFonts w:cs="Arial"/>
                <w:i/>
              </w:rPr>
              <w:t>MsgA-</w:t>
            </w:r>
            <w:r w:rsidRPr="00FA0D37">
              <w:rPr>
                <w:rFonts w:cs="Arial"/>
                <w:i/>
                <w:noProof/>
              </w:rPr>
              <w:t>ConfigCommon</w:t>
            </w:r>
            <w:r w:rsidRPr="00FA0D37">
              <w:rPr>
                <w:rFonts w:cs="Arial"/>
                <w:szCs w:val="22"/>
              </w:rPr>
              <w:t xml:space="preserve"> is configured for a non-initial uplink BWP and </w:t>
            </w:r>
            <w:r w:rsidRPr="00FA0D37">
              <w:rPr>
                <w:rFonts w:cs="Arial"/>
                <w:i/>
              </w:rPr>
              <w:t>MsgA-</w:t>
            </w:r>
            <w:r w:rsidRPr="00FA0D37">
              <w:rPr>
                <w:rFonts w:cs="Arial"/>
                <w:i/>
                <w:noProof/>
              </w:rPr>
              <w:t>ConfigCommon</w:t>
            </w:r>
            <w:r w:rsidRPr="00FA0D37">
              <w:rPr>
                <w:rFonts w:cs="Arial"/>
                <w:szCs w:val="22"/>
              </w:rPr>
              <w:t xml:space="preserve"> is not configured for the initial uplink BWP</w:t>
            </w:r>
            <w:r w:rsidRPr="00FA0D37">
              <w:rPr>
                <w:rFonts w:eastAsia="Calibri"/>
                <w:lang w:eastAsia="sv-SE"/>
              </w:rPr>
              <w:t>, otherwise the field is optionally present, Need S.</w:t>
            </w:r>
          </w:p>
        </w:tc>
      </w:tr>
    </w:tbl>
    <w:p w14:paraId="3575B767" w14:textId="77777777" w:rsidR="00394471" w:rsidRPr="00FA0D37" w:rsidRDefault="00394471" w:rsidP="00394471"/>
    <w:p w14:paraId="0009C28A" w14:textId="77777777" w:rsidR="00394471" w:rsidRPr="00FA0D37" w:rsidRDefault="00394471" w:rsidP="00394471">
      <w:pPr>
        <w:pStyle w:val="4"/>
      </w:pPr>
      <w:bookmarkStart w:id="1129" w:name="_Toc60777278"/>
      <w:bookmarkStart w:id="1130" w:name="_Toc146781341"/>
      <w:r w:rsidRPr="00FA0D37">
        <w:t>–</w:t>
      </w:r>
      <w:r w:rsidRPr="00FA0D37">
        <w:tab/>
      </w:r>
      <w:r w:rsidRPr="00FA0D37">
        <w:rPr>
          <w:i/>
        </w:rPr>
        <w:t>MultiFrequencyBandListNR</w:t>
      </w:r>
      <w:bookmarkEnd w:id="1129"/>
      <w:bookmarkEnd w:id="1130"/>
    </w:p>
    <w:p w14:paraId="1178CCA0" w14:textId="77777777" w:rsidR="00394471" w:rsidRPr="00FA0D37" w:rsidRDefault="00394471" w:rsidP="00394471">
      <w:r w:rsidRPr="00FA0D37">
        <w:t xml:space="preserve">The IE </w:t>
      </w:r>
      <w:r w:rsidRPr="00FA0D37">
        <w:rPr>
          <w:i/>
        </w:rPr>
        <w:t>MultiFrequencyBandListNR</w:t>
      </w:r>
      <w:r w:rsidRPr="00FA0D37">
        <w:t xml:space="preserve"> is used to configure a list of one or multiple NR frequency bands.</w:t>
      </w:r>
    </w:p>
    <w:p w14:paraId="624EDB35" w14:textId="77777777" w:rsidR="00394471" w:rsidRPr="00FA0D37" w:rsidRDefault="00394471" w:rsidP="00394471">
      <w:pPr>
        <w:pStyle w:val="TH"/>
      </w:pPr>
      <w:r w:rsidRPr="00FA0D37">
        <w:rPr>
          <w:i/>
        </w:rPr>
        <w:t>MultiFrequencyBandListNR</w:t>
      </w:r>
      <w:r w:rsidRPr="00FA0D37">
        <w:t xml:space="preserve"> information element</w:t>
      </w:r>
    </w:p>
    <w:p w14:paraId="063C79E3" w14:textId="77777777" w:rsidR="00394471" w:rsidRPr="00FA0D37" w:rsidRDefault="00394471" w:rsidP="00FA0D37">
      <w:pPr>
        <w:pStyle w:val="PL"/>
        <w:rPr>
          <w:color w:val="808080"/>
        </w:rPr>
      </w:pPr>
      <w:r w:rsidRPr="00FA0D37">
        <w:rPr>
          <w:color w:val="808080"/>
        </w:rPr>
        <w:t>-- ASN1START</w:t>
      </w:r>
    </w:p>
    <w:p w14:paraId="591C9D81" w14:textId="77777777" w:rsidR="00394471" w:rsidRPr="00FA0D37" w:rsidRDefault="00394471" w:rsidP="00FA0D37">
      <w:pPr>
        <w:pStyle w:val="PL"/>
        <w:rPr>
          <w:color w:val="808080"/>
        </w:rPr>
      </w:pPr>
      <w:r w:rsidRPr="00FA0D37">
        <w:rPr>
          <w:color w:val="808080"/>
        </w:rPr>
        <w:t>-- TAG-MULTIFREQUENCYBANDLISTNR-START</w:t>
      </w:r>
    </w:p>
    <w:p w14:paraId="39D345DD" w14:textId="77777777" w:rsidR="00394471" w:rsidRPr="00FA0D37" w:rsidRDefault="00394471" w:rsidP="00FA0D37">
      <w:pPr>
        <w:pStyle w:val="PL"/>
      </w:pPr>
    </w:p>
    <w:p w14:paraId="792C0D9E" w14:textId="77777777" w:rsidR="00394471" w:rsidRPr="00FA0D37" w:rsidRDefault="00394471" w:rsidP="00FA0D37">
      <w:pPr>
        <w:pStyle w:val="PL"/>
      </w:pPr>
      <w:r w:rsidRPr="00FA0D37">
        <w:lastRenderedPageBreak/>
        <w:t xml:space="preserve">MultiFrequencyBandListNR ::=        </w:t>
      </w:r>
      <w:r w:rsidRPr="00FA0D37">
        <w:rPr>
          <w:color w:val="993366"/>
        </w:rPr>
        <w:t>SEQUENCE</w:t>
      </w:r>
      <w:r w:rsidRPr="00FA0D37">
        <w:t xml:space="preserve"> (</w:t>
      </w:r>
      <w:r w:rsidRPr="00FA0D37">
        <w:rPr>
          <w:color w:val="993366"/>
        </w:rPr>
        <w:t>SIZE</w:t>
      </w:r>
      <w:r w:rsidRPr="00FA0D37">
        <w:t xml:space="preserve"> (1..maxNrofMultiBands))</w:t>
      </w:r>
      <w:r w:rsidRPr="00FA0D37">
        <w:rPr>
          <w:color w:val="993366"/>
        </w:rPr>
        <w:t xml:space="preserve"> OF</w:t>
      </w:r>
      <w:r w:rsidRPr="00FA0D37">
        <w:t xml:space="preserve"> FreqBandIndicatorNR</w:t>
      </w:r>
    </w:p>
    <w:p w14:paraId="2A135A8A" w14:textId="77777777" w:rsidR="00394471" w:rsidRPr="00FA0D37" w:rsidRDefault="00394471" w:rsidP="00FA0D37">
      <w:pPr>
        <w:pStyle w:val="PL"/>
      </w:pPr>
    </w:p>
    <w:p w14:paraId="43852897" w14:textId="77777777" w:rsidR="00394471" w:rsidRPr="00FA0D37" w:rsidRDefault="00394471" w:rsidP="00FA0D37">
      <w:pPr>
        <w:pStyle w:val="PL"/>
        <w:rPr>
          <w:color w:val="808080"/>
        </w:rPr>
      </w:pPr>
      <w:r w:rsidRPr="00FA0D37">
        <w:rPr>
          <w:color w:val="808080"/>
        </w:rPr>
        <w:t>-- TAG-MULTIFREQUENCYBANDLISTNR-STOP</w:t>
      </w:r>
    </w:p>
    <w:p w14:paraId="6672F521" w14:textId="77777777" w:rsidR="00394471" w:rsidRPr="00FA0D37" w:rsidRDefault="00394471" w:rsidP="00FA0D37">
      <w:pPr>
        <w:pStyle w:val="PL"/>
        <w:rPr>
          <w:color w:val="808080"/>
        </w:rPr>
      </w:pPr>
      <w:r w:rsidRPr="00FA0D37">
        <w:rPr>
          <w:color w:val="808080"/>
        </w:rPr>
        <w:t>-- ASN1STOP</w:t>
      </w:r>
    </w:p>
    <w:p w14:paraId="6332EFBE" w14:textId="77777777" w:rsidR="00394471" w:rsidRPr="00FA0D37" w:rsidRDefault="00394471" w:rsidP="00394471"/>
    <w:p w14:paraId="3424366C" w14:textId="77777777" w:rsidR="00394471" w:rsidRPr="00FA0D37" w:rsidRDefault="00394471" w:rsidP="00394471">
      <w:pPr>
        <w:pStyle w:val="4"/>
        <w:rPr>
          <w:rFonts w:eastAsia="宋体"/>
          <w:lang w:eastAsia="en-GB"/>
        </w:rPr>
      </w:pPr>
      <w:bookmarkStart w:id="1131" w:name="_Toc60777279"/>
      <w:bookmarkStart w:id="1132" w:name="_Toc146781342"/>
      <w:r w:rsidRPr="00FA0D37">
        <w:rPr>
          <w:rFonts w:eastAsia="宋体"/>
          <w:lang w:eastAsia="en-GB"/>
        </w:rPr>
        <w:t>–</w:t>
      </w:r>
      <w:r w:rsidRPr="00FA0D37">
        <w:rPr>
          <w:rFonts w:eastAsia="宋体"/>
          <w:lang w:eastAsia="en-GB"/>
        </w:rPr>
        <w:tab/>
      </w:r>
      <w:r w:rsidRPr="00FA0D37">
        <w:rPr>
          <w:rFonts w:eastAsia="宋体"/>
          <w:i/>
          <w:lang w:eastAsia="en-GB"/>
        </w:rPr>
        <w:t>MultiFrequencyBandListNR-SIB</w:t>
      </w:r>
      <w:bookmarkEnd w:id="1131"/>
      <w:bookmarkEnd w:id="1132"/>
    </w:p>
    <w:p w14:paraId="6C48A460" w14:textId="77777777" w:rsidR="00394471" w:rsidRPr="00FA0D37" w:rsidRDefault="00394471" w:rsidP="00394471">
      <w:pPr>
        <w:rPr>
          <w:rFonts w:eastAsia="宋体"/>
          <w:lang w:eastAsia="en-GB"/>
        </w:rPr>
      </w:pPr>
      <w:r w:rsidRPr="00FA0D37">
        <w:rPr>
          <w:rFonts w:eastAsia="宋体"/>
          <w:lang w:eastAsia="en-GB"/>
        </w:rPr>
        <w:t xml:space="preserve">The IE </w:t>
      </w:r>
      <w:r w:rsidRPr="00FA0D37">
        <w:rPr>
          <w:rFonts w:eastAsia="宋体"/>
          <w:i/>
          <w:lang w:eastAsia="en-GB"/>
        </w:rPr>
        <w:t>MultiFrequencyBandListNR-SIB</w:t>
      </w:r>
      <w:r w:rsidRPr="00FA0D37">
        <w:rPr>
          <w:rFonts w:eastAsia="宋体"/>
          <w:lang w:eastAsia="en-GB"/>
        </w:rPr>
        <w:t xml:space="preserve"> indicates the list of frequency bands, for which cell (re-)selection parameters are common, and a list of </w:t>
      </w:r>
      <w:r w:rsidRPr="00FA0D37">
        <w:rPr>
          <w:rFonts w:eastAsia="宋体"/>
          <w:i/>
        </w:rPr>
        <w:t>additionalPmax</w:t>
      </w:r>
      <w:r w:rsidRPr="00FA0D37">
        <w:rPr>
          <w:rFonts w:eastAsia="宋体"/>
          <w:lang w:eastAsia="en-GB"/>
        </w:rPr>
        <w:t xml:space="preserve"> and </w:t>
      </w:r>
      <w:r w:rsidRPr="00FA0D37">
        <w:rPr>
          <w:rFonts w:eastAsia="宋体"/>
          <w:i/>
          <w:lang w:eastAsia="en-GB"/>
        </w:rPr>
        <w:t>additionalSpectrumEmission.</w:t>
      </w:r>
    </w:p>
    <w:p w14:paraId="39D6DA3B" w14:textId="77777777" w:rsidR="00394471" w:rsidRPr="00FA0D37" w:rsidRDefault="00394471" w:rsidP="00394471">
      <w:pPr>
        <w:pStyle w:val="TH"/>
        <w:rPr>
          <w:rFonts w:eastAsia="宋体"/>
          <w:lang w:eastAsia="en-GB"/>
        </w:rPr>
      </w:pPr>
      <w:r w:rsidRPr="00FA0D37">
        <w:rPr>
          <w:rFonts w:eastAsia="宋体"/>
          <w:i/>
          <w:lang w:eastAsia="en-GB"/>
        </w:rPr>
        <w:t>MultiFrequencyBandListNR-SIB</w:t>
      </w:r>
      <w:r w:rsidRPr="00FA0D37">
        <w:rPr>
          <w:rFonts w:eastAsia="宋体"/>
          <w:lang w:eastAsia="en-GB"/>
        </w:rPr>
        <w:t xml:space="preserve"> information element</w:t>
      </w:r>
    </w:p>
    <w:p w14:paraId="027EDDE2" w14:textId="77777777" w:rsidR="00394471" w:rsidRPr="00FA0D37" w:rsidRDefault="00394471" w:rsidP="00FA0D37">
      <w:pPr>
        <w:pStyle w:val="PL"/>
        <w:rPr>
          <w:color w:val="808080"/>
        </w:rPr>
      </w:pPr>
      <w:r w:rsidRPr="00FA0D37">
        <w:rPr>
          <w:color w:val="808080"/>
        </w:rPr>
        <w:t>-- ASN1START</w:t>
      </w:r>
    </w:p>
    <w:p w14:paraId="5812CF69" w14:textId="77777777" w:rsidR="00394471" w:rsidRPr="00FA0D37" w:rsidRDefault="00394471" w:rsidP="00FA0D37">
      <w:pPr>
        <w:pStyle w:val="PL"/>
        <w:rPr>
          <w:color w:val="808080"/>
        </w:rPr>
      </w:pPr>
      <w:r w:rsidRPr="00FA0D37">
        <w:rPr>
          <w:color w:val="808080"/>
        </w:rPr>
        <w:t>-- TAG-MULTIFREQUENCYBANDLISTNR-SIB-START</w:t>
      </w:r>
    </w:p>
    <w:p w14:paraId="64ABE4B5" w14:textId="77777777" w:rsidR="00394471" w:rsidRPr="00FA0D37" w:rsidRDefault="00394471" w:rsidP="00FA0D37">
      <w:pPr>
        <w:pStyle w:val="PL"/>
      </w:pPr>
    </w:p>
    <w:p w14:paraId="3171E45F" w14:textId="77777777" w:rsidR="00394471" w:rsidRPr="00FA0D37" w:rsidRDefault="00394471" w:rsidP="00FA0D37">
      <w:pPr>
        <w:pStyle w:val="PL"/>
      </w:pPr>
      <w:r w:rsidRPr="00FA0D37">
        <w:t xml:space="preserve">MultiFrequencyBandListNR-SIB ::=            </w:t>
      </w:r>
      <w:r w:rsidRPr="00FA0D37">
        <w:rPr>
          <w:color w:val="993366"/>
        </w:rPr>
        <w:t>SEQUENCE</w:t>
      </w:r>
      <w:r w:rsidRPr="00FA0D37">
        <w:t xml:space="preserve"> (</w:t>
      </w:r>
      <w:r w:rsidRPr="00FA0D37">
        <w:rPr>
          <w:color w:val="993366"/>
        </w:rPr>
        <w:t>SIZE</w:t>
      </w:r>
      <w:r w:rsidRPr="00FA0D37">
        <w:t xml:space="preserve"> (1.. maxNrofMultiBands))</w:t>
      </w:r>
      <w:r w:rsidRPr="00FA0D37">
        <w:rPr>
          <w:color w:val="993366"/>
        </w:rPr>
        <w:t xml:space="preserve"> OF</w:t>
      </w:r>
      <w:r w:rsidRPr="00FA0D37">
        <w:t xml:space="preserve"> NR-MultiBandInfo</w:t>
      </w:r>
    </w:p>
    <w:p w14:paraId="7952EA93" w14:textId="77777777" w:rsidR="00394471" w:rsidRPr="00FA0D37" w:rsidRDefault="00394471" w:rsidP="00FA0D37">
      <w:pPr>
        <w:pStyle w:val="PL"/>
      </w:pPr>
    </w:p>
    <w:p w14:paraId="7CFDEFFA" w14:textId="77777777" w:rsidR="00394471" w:rsidRPr="00FA0D37" w:rsidRDefault="00394471" w:rsidP="00FA0D37">
      <w:pPr>
        <w:pStyle w:val="PL"/>
      </w:pPr>
      <w:r w:rsidRPr="00FA0D37">
        <w:t xml:space="preserve">NR-MultiBandInfo ::=                        </w:t>
      </w:r>
      <w:r w:rsidRPr="00FA0D37">
        <w:rPr>
          <w:color w:val="993366"/>
        </w:rPr>
        <w:t>SEQUENCE</w:t>
      </w:r>
      <w:r w:rsidRPr="00FA0D37">
        <w:t xml:space="preserve"> {</w:t>
      </w:r>
    </w:p>
    <w:p w14:paraId="34EC3D49" w14:textId="77777777" w:rsidR="00394471" w:rsidRPr="00FA0D37" w:rsidRDefault="00394471" w:rsidP="00FA0D37">
      <w:pPr>
        <w:pStyle w:val="PL"/>
        <w:rPr>
          <w:color w:val="808080"/>
        </w:rPr>
      </w:pPr>
      <w:r w:rsidRPr="00FA0D37">
        <w:t xml:space="preserve">    freqBandIndicatorNR                         FreqBandIndicatorNR         </w:t>
      </w:r>
      <w:r w:rsidRPr="00FA0D37">
        <w:rPr>
          <w:color w:val="993366"/>
        </w:rPr>
        <w:t>OPTIONAL</w:t>
      </w:r>
      <w:r w:rsidRPr="00FA0D37">
        <w:t xml:space="preserve">,   </w:t>
      </w:r>
      <w:r w:rsidRPr="00FA0D37">
        <w:rPr>
          <w:color w:val="808080"/>
        </w:rPr>
        <w:t>-- Cond OptULNotSIB2</w:t>
      </w:r>
    </w:p>
    <w:p w14:paraId="65F7EFE9" w14:textId="77777777" w:rsidR="00394471" w:rsidRPr="00FA0D37" w:rsidRDefault="00394471" w:rsidP="00FA0D37">
      <w:pPr>
        <w:pStyle w:val="PL"/>
        <w:rPr>
          <w:color w:val="808080"/>
        </w:rPr>
      </w:pPr>
      <w:r w:rsidRPr="00FA0D37">
        <w:t xml:space="preserve">    nr-NS-PmaxList                              NR-NS-PmaxList              </w:t>
      </w:r>
      <w:r w:rsidRPr="00FA0D37">
        <w:rPr>
          <w:color w:val="993366"/>
        </w:rPr>
        <w:t>OPTIONAL</w:t>
      </w:r>
      <w:r w:rsidRPr="00FA0D37">
        <w:t xml:space="preserve">    </w:t>
      </w:r>
      <w:r w:rsidRPr="00FA0D37">
        <w:rPr>
          <w:color w:val="808080"/>
        </w:rPr>
        <w:t>-- Need S</w:t>
      </w:r>
    </w:p>
    <w:p w14:paraId="73BBA80A" w14:textId="77777777" w:rsidR="00394471" w:rsidRPr="00FA0D37" w:rsidRDefault="00394471" w:rsidP="00FA0D37">
      <w:pPr>
        <w:pStyle w:val="PL"/>
      </w:pPr>
      <w:r w:rsidRPr="00FA0D37">
        <w:t>}</w:t>
      </w:r>
    </w:p>
    <w:p w14:paraId="20C53E54" w14:textId="77777777" w:rsidR="00BD4216" w:rsidRPr="00FA0D37" w:rsidRDefault="00BD4216" w:rsidP="00FA0D37">
      <w:pPr>
        <w:pStyle w:val="PL"/>
      </w:pPr>
    </w:p>
    <w:p w14:paraId="49F4E44C" w14:textId="30259EFE" w:rsidR="00BD4216" w:rsidRPr="00FA0D37" w:rsidRDefault="00BD4216" w:rsidP="00FA0D37">
      <w:pPr>
        <w:pStyle w:val="PL"/>
      </w:pPr>
      <w:r w:rsidRPr="00FA0D37">
        <w:t xml:space="preserve">MultiFrequencyBandListNR-SIB-v1760 ::=      </w:t>
      </w:r>
      <w:r w:rsidRPr="00FA0D37">
        <w:rPr>
          <w:color w:val="993366"/>
        </w:rPr>
        <w:t>SEQUENCE</w:t>
      </w:r>
      <w:r w:rsidRPr="00FA0D37">
        <w:t xml:space="preserve"> (</w:t>
      </w:r>
      <w:r w:rsidRPr="00FA0D37">
        <w:rPr>
          <w:color w:val="993366"/>
        </w:rPr>
        <w:t>SIZE</w:t>
      </w:r>
      <w:r w:rsidRPr="00FA0D37">
        <w:t xml:space="preserve"> (1.. maxNrofMultiBands))</w:t>
      </w:r>
      <w:r w:rsidRPr="00FA0D37">
        <w:rPr>
          <w:color w:val="993366"/>
        </w:rPr>
        <w:t xml:space="preserve"> OF</w:t>
      </w:r>
      <w:r w:rsidRPr="00FA0D37">
        <w:t xml:space="preserve"> NR-MultiBandInfo-v1760</w:t>
      </w:r>
    </w:p>
    <w:p w14:paraId="52E711E6" w14:textId="77777777" w:rsidR="00BD4216" w:rsidRPr="00FA0D37" w:rsidRDefault="00BD4216" w:rsidP="00FA0D37">
      <w:pPr>
        <w:pStyle w:val="PL"/>
      </w:pPr>
    </w:p>
    <w:p w14:paraId="05A679AD" w14:textId="61F924D3" w:rsidR="00BD4216" w:rsidRPr="00FA0D37" w:rsidRDefault="00BD4216" w:rsidP="00FA0D37">
      <w:pPr>
        <w:pStyle w:val="PL"/>
      </w:pPr>
      <w:r w:rsidRPr="00FA0D37">
        <w:t xml:space="preserve">NR-MultiBandInfo-v1760 ::=                  </w:t>
      </w:r>
      <w:r w:rsidRPr="00FA0D37">
        <w:rPr>
          <w:color w:val="993366"/>
        </w:rPr>
        <w:t>SEQUENCE</w:t>
      </w:r>
      <w:r w:rsidRPr="00FA0D37">
        <w:t xml:space="preserve"> {</w:t>
      </w:r>
    </w:p>
    <w:p w14:paraId="5E96A282" w14:textId="722B94E1" w:rsidR="00BD4216" w:rsidRPr="00FA0D37" w:rsidRDefault="00BD4216" w:rsidP="00FA0D37">
      <w:pPr>
        <w:pStyle w:val="PL"/>
        <w:rPr>
          <w:color w:val="808080"/>
        </w:rPr>
      </w:pPr>
      <w:r w:rsidRPr="00FA0D37">
        <w:t xml:space="preserve">    nr-NS-PmaxList-v1760                        NR-NS-PmaxList-v1760        </w:t>
      </w:r>
      <w:r w:rsidRPr="00FA0D37">
        <w:rPr>
          <w:color w:val="993366"/>
        </w:rPr>
        <w:t>OPTIONAL</w:t>
      </w:r>
      <w:r w:rsidRPr="00FA0D37">
        <w:t xml:space="preserve">    </w:t>
      </w:r>
      <w:r w:rsidRPr="00FA0D37">
        <w:rPr>
          <w:color w:val="808080"/>
        </w:rPr>
        <w:t>-- Need S</w:t>
      </w:r>
    </w:p>
    <w:p w14:paraId="012A8524" w14:textId="53E54C10" w:rsidR="00394471" w:rsidRPr="00FA0D37" w:rsidRDefault="00BD4216" w:rsidP="00FA0D37">
      <w:pPr>
        <w:pStyle w:val="PL"/>
      </w:pPr>
      <w:r w:rsidRPr="00FA0D37">
        <w:t>}</w:t>
      </w:r>
    </w:p>
    <w:p w14:paraId="23A5ECAF" w14:textId="77777777" w:rsidR="00BD4216" w:rsidRPr="00FA0D37" w:rsidRDefault="00BD4216" w:rsidP="00FA0D37">
      <w:pPr>
        <w:pStyle w:val="PL"/>
      </w:pPr>
    </w:p>
    <w:p w14:paraId="57427325" w14:textId="77777777" w:rsidR="00394471" w:rsidRPr="00FA0D37" w:rsidRDefault="00394471" w:rsidP="00FA0D37">
      <w:pPr>
        <w:pStyle w:val="PL"/>
        <w:rPr>
          <w:color w:val="808080"/>
        </w:rPr>
      </w:pPr>
      <w:r w:rsidRPr="00FA0D37">
        <w:rPr>
          <w:color w:val="808080"/>
        </w:rPr>
        <w:t>-- TAG-MULTIFREQUENCYBANDLISTNR-SIB-STOP</w:t>
      </w:r>
    </w:p>
    <w:p w14:paraId="2B482DB5" w14:textId="77777777" w:rsidR="00394471" w:rsidRPr="00FA0D37" w:rsidRDefault="00394471" w:rsidP="00FA0D37">
      <w:pPr>
        <w:pStyle w:val="PL"/>
        <w:rPr>
          <w:color w:val="808080"/>
        </w:rPr>
      </w:pPr>
      <w:r w:rsidRPr="00FA0D37">
        <w:rPr>
          <w:color w:val="808080"/>
        </w:rPr>
        <w:t>-- ASN1STOP</w:t>
      </w:r>
    </w:p>
    <w:p w14:paraId="0B0E40D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745962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DA218B" w14:textId="77777777" w:rsidR="00394471" w:rsidRPr="00FA0D37" w:rsidRDefault="00394471" w:rsidP="00964CC4">
            <w:pPr>
              <w:pStyle w:val="TAH"/>
              <w:rPr>
                <w:szCs w:val="22"/>
                <w:lang w:eastAsia="sv-SE"/>
              </w:rPr>
            </w:pPr>
            <w:r w:rsidRPr="00FA0D37">
              <w:rPr>
                <w:i/>
                <w:szCs w:val="22"/>
                <w:lang w:eastAsia="sv-SE"/>
              </w:rPr>
              <w:t xml:space="preserve">NR-MultiBandInfo </w:t>
            </w:r>
            <w:r w:rsidRPr="00FA0D37">
              <w:rPr>
                <w:szCs w:val="22"/>
                <w:lang w:eastAsia="sv-SE"/>
              </w:rPr>
              <w:t>field descriptions</w:t>
            </w:r>
          </w:p>
        </w:tc>
      </w:tr>
      <w:tr w:rsidR="005C7FF4" w:rsidRPr="00FA0D37" w14:paraId="52EA1A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39D5883" w14:textId="77777777" w:rsidR="00394471" w:rsidRPr="00FA0D37" w:rsidRDefault="00394471" w:rsidP="00964CC4">
            <w:pPr>
              <w:pStyle w:val="TAL"/>
              <w:rPr>
                <w:szCs w:val="22"/>
                <w:lang w:eastAsia="sv-SE"/>
              </w:rPr>
            </w:pPr>
            <w:r w:rsidRPr="00FA0D37">
              <w:rPr>
                <w:b/>
                <w:i/>
                <w:szCs w:val="22"/>
                <w:lang w:eastAsia="sv-SE"/>
              </w:rPr>
              <w:t>freqBandIndicatorNR</w:t>
            </w:r>
          </w:p>
          <w:p w14:paraId="26598257" w14:textId="4226AB44" w:rsidR="00394471" w:rsidRPr="00FA0D37" w:rsidRDefault="00394471" w:rsidP="00964CC4">
            <w:pPr>
              <w:pStyle w:val="TAL"/>
              <w:rPr>
                <w:szCs w:val="22"/>
                <w:lang w:eastAsia="sv-SE"/>
              </w:rPr>
            </w:pPr>
            <w:r w:rsidRPr="00FA0D37">
              <w:rPr>
                <w:szCs w:val="22"/>
                <w:lang w:eastAsia="sv-SE"/>
              </w:rPr>
              <w:t>Provides an NR frequency band number as defined in TS 38.101-1 [15]</w:t>
            </w:r>
            <w:r w:rsidR="009A73F3" w:rsidRPr="00FA0D37">
              <w:rPr>
                <w:szCs w:val="22"/>
                <w:lang w:eastAsia="sv-SE"/>
              </w:rPr>
              <w:t>,</w:t>
            </w:r>
            <w:r w:rsidRPr="00FA0D37">
              <w:rPr>
                <w:szCs w:val="22"/>
                <w:lang w:eastAsia="sv-SE"/>
              </w:rPr>
              <w:t xml:space="preserve"> TS 38.101-2 [39], table 5.2-1</w:t>
            </w:r>
            <w:r w:rsidR="00862D3D" w:rsidRPr="00FA0D37">
              <w:rPr>
                <w:szCs w:val="22"/>
                <w:lang w:eastAsia="sv-SE"/>
              </w:rPr>
              <w:t xml:space="preserve">, </w:t>
            </w:r>
            <w:r w:rsidR="009A73F3" w:rsidRPr="00FA0D37">
              <w:rPr>
                <w:szCs w:val="22"/>
                <w:lang w:eastAsia="sv-SE"/>
              </w:rPr>
              <w:t>and</w:t>
            </w:r>
            <w:r w:rsidR="00862D3D" w:rsidRPr="00FA0D37">
              <w:rPr>
                <w:szCs w:val="22"/>
                <w:lang w:eastAsia="sv-SE"/>
              </w:rPr>
              <w:t xml:space="preserve"> TS 38.101-5 [75], table 5.2.2-1</w:t>
            </w:r>
            <w:r w:rsidRPr="00FA0D37">
              <w:rPr>
                <w:szCs w:val="22"/>
                <w:lang w:eastAsia="sv-SE"/>
              </w:rPr>
              <w:t>.</w:t>
            </w:r>
          </w:p>
        </w:tc>
      </w:tr>
      <w:tr w:rsidR="00394471" w:rsidRPr="00FA0D37" w14:paraId="089438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A16B47B" w14:textId="77777777" w:rsidR="00394471" w:rsidRPr="00FA0D37" w:rsidRDefault="00394471" w:rsidP="00964CC4">
            <w:pPr>
              <w:pStyle w:val="TAL"/>
              <w:rPr>
                <w:szCs w:val="22"/>
                <w:lang w:eastAsia="sv-SE"/>
              </w:rPr>
            </w:pPr>
            <w:r w:rsidRPr="00FA0D37">
              <w:rPr>
                <w:b/>
                <w:i/>
                <w:szCs w:val="22"/>
                <w:lang w:eastAsia="sv-SE"/>
              </w:rPr>
              <w:t>nr-NS-PmaxList</w:t>
            </w:r>
          </w:p>
          <w:p w14:paraId="5416C519" w14:textId="097D8CDE" w:rsidR="00394471" w:rsidRPr="00FA0D37" w:rsidRDefault="00394471" w:rsidP="00964CC4">
            <w:pPr>
              <w:pStyle w:val="TAL"/>
              <w:rPr>
                <w:szCs w:val="22"/>
                <w:lang w:eastAsia="sv-SE"/>
              </w:rPr>
            </w:pPr>
            <w:r w:rsidRPr="00FA0D37">
              <w:rPr>
                <w:szCs w:val="22"/>
                <w:lang w:eastAsia="sv-SE"/>
              </w:rPr>
              <w:t xml:space="preserve">Provides a list of </w:t>
            </w:r>
            <w:r w:rsidRPr="00FA0D37">
              <w:rPr>
                <w:i/>
                <w:lang w:eastAsia="sv-SE"/>
              </w:rPr>
              <w:t>additionalPmax</w:t>
            </w:r>
            <w:r w:rsidRPr="00FA0D37">
              <w:rPr>
                <w:szCs w:val="22"/>
                <w:lang w:eastAsia="sv-SE"/>
              </w:rPr>
              <w:t xml:space="preserve"> and </w:t>
            </w:r>
            <w:r w:rsidRPr="00FA0D37">
              <w:rPr>
                <w:i/>
                <w:lang w:eastAsia="sv-SE"/>
              </w:rPr>
              <w:t>additionalSpectrumEmission</w:t>
            </w:r>
            <w:r w:rsidRPr="00FA0D37">
              <w:rPr>
                <w:szCs w:val="22"/>
                <w:lang w:eastAsia="sv-SE"/>
              </w:rPr>
              <w:t xml:space="preserve"> values. If the field is absent the UE uses value 0 for the </w:t>
            </w:r>
            <w:r w:rsidRPr="00FA0D37">
              <w:rPr>
                <w:i/>
                <w:szCs w:val="22"/>
                <w:lang w:eastAsia="sv-SE"/>
              </w:rPr>
              <w:t>additionalSpectrumEmission</w:t>
            </w:r>
            <w:r w:rsidRPr="00FA0D37">
              <w:rPr>
                <w:szCs w:val="22"/>
                <w:lang w:eastAsia="sv-SE"/>
              </w:rPr>
              <w:t xml:space="preserve"> (see TS 38.101-1 [15] table 6.2.3.1-1A, TS 38.101-2 [39], table 6.2.3.1-2</w:t>
            </w:r>
            <w:r w:rsidR="00862D3D" w:rsidRPr="00FA0D37">
              <w:rPr>
                <w:szCs w:val="22"/>
                <w:lang w:eastAsia="sv-SE"/>
              </w:rPr>
              <w:t>, and TS 38.101-5 [75], table 6.2.3.1-1A</w:t>
            </w:r>
            <w:r w:rsidRPr="00FA0D37">
              <w:rPr>
                <w:szCs w:val="22"/>
                <w:lang w:eastAsia="sv-SE"/>
              </w:rPr>
              <w:t>).</w:t>
            </w:r>
            <w:r w:rsidR="00D027C1" w:rsidRPr="00FA0D37">
              <w:rPr>
                <w:szCs w:val="22"/>
                <w:lang w:eastAsia="en-GB"/>
              </w:rPr>
              <w:t xml:space="preserve"> This field is ignored by IAB-MT, the IAB-MT applies output power and emissions requirements, as specified in TS 38.174 [63]</w:t>
            </w:r>
            <w:r w:rsidR="00D027C1" w:rsidRPr="00FA0D37">
              <w:rPr>
                <w:szCs w:val="22"/>
                <w:lang w:eastAsia="sv-SE"/>
              </w:rPr>
              <w:t>.</w:t>
            </w:r>
            <w:r w:rsidR="00BD4216" w:rsidRPr="00FA0D37">
              <w:rPr>
                <w:szCs w:val="22"/>
                <w:lang w:eastAsia="sv-SE"/>
              </w:rPr>
              <w:t xml:space="preserve"> If </w:t>
            </w:r>
            <w:r w:rsidR="00BD4216" w:rsidRPr="00FA0D37">
              <w:rPr>
                <w:i/>
                <w:lang w:eastAsia="sv-SE"/>
              </w:rPr>
              <w:t xml:space="preserve">nr-NS-PmaxList-v1760 </w:t>
            </w:r>
            <w:r w:rsidR="00BD4216" w:rsidRPr="00FA0D37">
              <w:rPr>
                <w:szCs w:val="22"/>
                <w:lang w:eastAsia="sv-SE"/>
              </w:rPr>
              <w:t xml:space="preserve">is present, it shall contain the same number of entries, listed in the same order as in </w:t>
            </w:r>
            <w:r w:rsidR="00BD4216" w:rsidRPr="00FA0D37">
              <w:rPr>
                <w:i/>
                <w:iCs/>
                <w:szCs w:val="22"/>
                <w:lang w:eastAsia="sv-SE"/>
              </w:rPr>
              <w:t xml:space="preserve">nr-NS-PmaxList </w:t>
            </w:r>
            <w:r w:rsidR="00BD4216" w:rsidRPr="00FA0D37">
              <w:rPr>
                <w:szCs w:val="22"/>
                <w:lang w:eastAsia="sv-SE"/>
              </w:rPr>
              <w:t>(without suffix).</w:t>
            </w:r>
          </w:p>
        </w:tc>
      </w:tr>
    </w:tbl>
    <w:p w14:paraId="39357C18"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5C7FF4" w:rsidRPr="00FA0D37"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FA0D37" w:rsidRDefault="00394471" w:rsidP="00964CC4">
            <w:pPr>
              <w:pStyle w:val="TAH"/>
              <w:rPr>
                <w:szCs w:val="22"/>
                <w:lang w:eastAsia="sv-SE"/>
              </w:rPr>
            </w:pPr>
            <w:r w:rsidRPr="00FA0D37">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FA0D37" w:rsidRDefault="00394471" w:rsidP="00964CC4">
            <w:pPr>
              <w:pStyle w:val="TAH"/>
              <w:rPr>
                <w:szCs w:val="22"/>
                <w:lang w:eastAsia="sv-SE"/>
              </w:rPr>
            </w:pPr>
            <w:r w:rsidRPr="00FA0D37">
              <w:rPr>
                <w:szCs w:val="22"/>
                <w:lang w:eastAsia="sv-SE"/>
              </w:rPr>
              <w:t>Explanation</w:t>
            </w:r>
          </w:p>
        </w:tc>
      </w:tr>
      <w:tr w:rsidR="000830BB" w:rsidRPr="00FA0D37"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FA0D37" w:rsidRDefault="00394471" w:rsidP="00964CC4">
            <w:pPr>
              <w:pStyle w:val="TAL"/>
              <w:rPr>
                <w:i/>
                <w:szCs w:val="22"/>
                <w:lang w:eastAsia="sv-SE"/>
              </w:rPr>
            </w:pPr>
            <w:r w:rsidRPr="00FA0D37">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77777777" w:rsidR="00394471" w:rsidRPr="00FA0D37" w:rsidRDefault="00394471" w:rsidP="00964CC4">
            <w:pPr>
              <w:pStyle w:val="TAL"/>
              <w:rPr>
                <w:szCs w:val="22"/>
                <w:lang w:eastAsia="sv-SE"/>
              </w:rPr>
            </w:pPr>
            <w:r w:rsidRPr="00FA0D37">
              <w:rPr>
                <w:szCs w:val="22"/>
                <w:lang w:eastAsia="sv-SE"/>
              </w:rPr>
              <w:t xml:space="preserve">The field is absent for </w:t>
            </w:r>
            <w:r w:rsidRPr="00FA0D37">
              <w:rPr>
                <w:i/>
                <w:lang w:eastAsia="sv-SE"/>
              </w:rPr>
              <w:t>SIB2</w:t>
            </w:r>
            <w:r w:rsidRPr="00FA0D37">
              <w:rPr>
                <w:szCs w:val="22"/>
                <w:lang w:eastAsia="sv-SE"/>
              </w:rPr>
              <w:t xml:space="preserve"> and is mandatory present in </w:t>
            </w:r>
            <w:r w:rsidRPr="00FA0D37">
              <w:rPr>
                <w:i/>
                <w:szCs w:val="22"/>
                <w:lang w:eastAsia="sv-SE"/>
              </w:rPr>
              <w:t>SIB4</w:t>
            </w:r>
            <w:r w:rsidRPr="00FA0D37">
              <w:rPr>
                <w:szCs w:val="22"/>
                <w:lang w:eastAsia="sv-SE"/>
              </w:rPr>
              <w:t xml:space="preserve"> and </w:t>
            </w:r>
            <w:r w:rsidRPr="00FA0D37">
              <w:rPr>
                <w:i/>
                <w:szCs w:val="22"/>
                <w:lang w:eastAsia="sv-SE"/>
              </w:rPr>
              <w:t>frequencyInfoDL-SIB</w:t>
            </w:r>
            <w:r w:rsidRPr="00FA0D37">
              <w:rPr>
                <w:szCs w:val="22"/>
                <w:lang w:eastAsia="sv-SE"/>
              </w:rPr>
              <w:t xml:space="preserve">. Otherwise, if the field is absent in </w:t>
            </w:r>
            <w:r w:rsidRPr="00FA0D37">
              <w:rPr>
                <w:i/>
                <w:szCs w:val="22"/>
                <w:lang w:eastAsia="sv-SE"/>
              </w:rPr>
              <w:t>frequencyInfoUL-SIB</w:t>
            </w:r>
            <w:r w:rsidRPr="00FA0D37">
              <w:rPr>
                <w:szCs w:val="22"/>
                <w:lang w:eastAsia="sv-SE"/>
              </w:rPr>
              <w:t xml:space="preserve"> in </w:t>
            </w:r>
            <w:r w:rsidRPr="00FA0D37">
              <w:rPr>
                <w:i/>
                <w:szCs w:val="22"/>
                <w:lang w:eastAsia="sv-SE"/>
              </w:rPr>
              <w:t>UplinkConfigCommonSIB</w:t>
            </w:r>
            <w:r w:rsidRPr="00FA0D37">
              <w:rPr>
                <w:szCs w:val="22"/>
                <w:lang w:eastAsia="sv-SE"/>
              </w:rPr>
              <w:t xml:space="preserve">, the UE will use the frequency band indicated in </w:t>
            </w:r>
            <w:r w:rsidRPr="00FA0D37">
              <w:rPr>
                <w:i/>
                <w:szCs w:val="22"/>
                <w:lang w:eastAsia="sv-SE"/>
              </w:rPr>
              <w:t>frequencyInfoDL-SIB</w:t>
            </w:r>
            <w:r w:rsidRPr="00FA0D37">
              <w:rPr>
                <w:szCs w:val="22"/>
                <w:lang w:eastAsia="sv-SE"/>
              </w:rPr>
              <w:t xml:space="preserve"> in </w:t>
            </w:r>
            <w:r w:rsidRPr="00FA0D37">
              <w:rPr>
                <w:i/>
                <w:szCs w:val="22"/>
                <w:lang w:eastAsia="sv-SE"/>
              </w:rPr>
              <w:t>DownlinkConfigCommonSIB</w:t>
            </w:r>
            <w:r w:rsidRPr="00FA0D37">
              <w:rPr>
                <w:szCs w:val="22"/>
                <w:lang w:eastAsia="sv-SE"/>
              </w:rPr>
              <w:t>.</w:t>
            </w:r>
          </w:p>
        </w:tc>
      </w:tr>
    </w:tbl>
    <w:p w14:paraId="3E69D79F" w14:textId="737E4DD0" w:rsidR="00394471" w:rsidRPr="00FA0D37" w:rsidRDefault="00394471" w:rsidP="00394471"/>
    <w:p w14:paraId="522AF7DA" w14:textId="77777777" w:rsidR="000A6CD2" w:rsidRPr="00FA0D37" w:rsidRDefault="000A6CD2" w:rsidP="000830BB">
      <w:pPr>
        <w:pStyle w:val="4"/>
        <w:rPr>
          <w:rFonts w:eastAsia="MS Mincho"/>
        </w:rPr>
      </w:pPr>
      <w:bookmarkStart w:id="1133" w:name="_Toc146781343"/>
      <w:r w:rsidRPr="00FA0D37">
        <w:lastRenderedPageBreak/>
        <w:t>–</w:t>
      </w:r>
      <w:r w:rsidRPr="00FA0D37">
        <w:tab/>
      </w:r>
      <w:r w:rsidRPr="00FA0D37">
        <w:rPr>
          <w:i/>
          <w:iCs/>
        </w:rPr>
        <w:t>MUSIM-GapConfig</w:t>
      </w:r>
      <w:bookmarkEnd w:id="1133"/>
    </w:p>
    <w:p w14:paraId="557336AB" w14:textId="77777777" w:rsidR="000A6CD2" w:rsidRPr="00FA0D37" w:rsidRDefault="000A6CD2" w:rsidP="000A6CD2">
      <w:r w:rsidRPr="00FA0D37">
        <w:t xml:space="preserve">The IE </w:t>
      </w:r>
      <w:r w:rsidRPr="00FA0D37">
        <w:rPr>
          <w:i/>
        </w:rPr>
        <w:t>MUSIM-GapConfig</w:t>
      </w:r>
      <w:r w:rsidRPr="00FA0D37">
        <w:t xml:space="preserve"> specifies the MUSIM gap configuration and controls setup/release of MUSIM gaps.</w:t>
      </w:r>
    </w:p>
    <w:p w14:paraId="40051B1C" w14:textId="77777777" w:rsidR="000A6CD2" w:rsidRPr="00FA0D37" w:rsidRDefault="000A6CD2" w:rsidP="000830BB">
      <w:pPr>
        <w:pStyle w:val="TH"/>
      </w:pPr>
      <w:r w:rsidRPr="00FA0D37">
        <w:rPr>
          <w:bCs/>
          <w:i/>
          <w:iCs/>
        </w:rPr>
        <w:t xml:space="preserve">MUSIM-GapConfig </w:t>
      </w:r>
      <w:r w:rsidRPr="00FA0D37">
        <w:t>information element</w:t>
      </w:r>
    </w:p>
    <w:p w14:paraId="0814F1C0" w14:textId="77777777" w:rsidR="000A6CD2" w:rsidRPr="00FA0D37" w:rsidRDefault="000A6CD2" w:rsidP="00FA0D37">
      <w:pPr>
        <w:pStyle w:val="PL"/>
        <w:rPr>
          <w:color w:val="808080"/>
        </w:rPr>
      </w:pPr>
      <w:r w:rsidRPr="00FA0D37">
        <w:rPr>
          <w:color w:val="808080"/>
        </w:rPr>
        <w:t>-- ASN1START</w:t>
      </w:r>
    </w:p>
    <w:p w14:paraId="79FFD5D6" w14:textId="77777777" w:rsidR="000A6CD2" w:rsidRPr="00FA0D37" w:rsidRDefault="000A6CD2" w:rsidP="00FA0D37">
      <w:pPr>
        <w:pStyle w:val="PL"/>
        <w:rPr>
          <w:color w:val="808080"/>
        </w:rPr>
      </w:pPr>
      <w:r w:rsidRPr="00FA0D37">
        <w:rPr>
          <w:color w:val="808080"/>
        </w:rPr>
        <w:t>-- TAG-MUSIM-GAPCONFIG-START</w:t>
      </w:r>
    </w:p>
    <w:p w14:paraId="66BB7B56" w14:textId="77777777" w:rsidR="000A6CD2" w:rsidRPr="00FA0D37" w:rsidRDefault="000A6CD2" w:rsidP="00FA0D37">
      <w:pPr>
        <w:pStyle w:val="PL"/>
      </w:pPr>
    </w:p>
    <w:p w14:paraId="4177712D" w14:textId="77777777" w:rsidR="000A6CD2" w:rsidRPr="00FA0D37" w:rsidRDefault="000A6CD2" w:rsidP="00FA0D37">
      <w:pPr>
        <w:pStyle w:val="PL"/>
      </w:pPr>
      <w:r w:rsidRPr="00FA0D37">
        <w:t xml:space="preserve">MUSIM-GapConfig-r17 ::=                  </w:t>
      </w:r>
      <w:r w:rsidRPr="00FA0D37">
        <w:rPr>
          <w:color w:val="993366"/>
        </w:rPr>
        <w:t>SEQUENCE</w:t>
      </w:r>
      <w:r w:rsidRPr="00FA0D37">
        <w:t xml:space="preserve"> {</w:t>
      </w:r>
    </w:p>
    <w:p w14:paraId="1E3DAA82" w14:textId="55219FBA" w:rsidR="000A6CD2" w:rsidRPr="00FA0D37" w:rsidRDefault="000A6CD2" w:rsidP="00FA0D37">
      <w:pPr>
        <w:pStyle w:val="PL"/>
        <w:rPr>
          <w:color w:val="808080"/>
        </w:rPr>
      </w:pPr>
      <w:r w:rsidRPr="00FA0D37">
        <w:tab/>
        <w:t xml:space="preserve">musim-GapToReleaseList-r17       </w:t>
      </w:r>
      <w:r w:rsidRPr="00FA0D37">
        <w:rPr>
          <w:color w:val="993366"/>
        </w:rPr>
        <w:t>SEQUENCE</w:t>
      </w:r>
      <w:r w:rsidRPr="00FA0D37">
        <w:t xml:space="preserve"> (</w:t>
      </w:r>
      <w:r w:rsidRPr="00FA0D37">
        <w:rPr>
          <w:color w:val="993366"/>
        </w:rPr>
        <w:t>SIZE</w:t>
      </w:r>
      <w:r w:rsidRPr="00FA0D37">
        <w:t xml:space="preserve"> (1..</w:t>
      </w:r>
      <w:r w:rsidR="0005611B" w:rsidRPr="00FA0D37">
        <w:t>3</w:t>
      </w:r>
      <w:r w:rsidRPr="00FA0D37">
        <w:t>))</w:t>
      </w:r>
      <w:r w:rsidRPr="00FA0D37">
        <w:rPr>
          <w:color w:val="993366"/>
        </w:rPr>
        <w:t xml:space="preserve"> OF</w:t>
      </w:r>
      <w:r w:rsidRPr="00FA0D37">
        <w:t xml:space="preserve"> MUSIM-GapI</w:t>
      </w:r>
      <w:r w:rsidR="005A5831" w:rsidRPr="00FA0D37">
        <w:t>d</w:t>
      </w:r>
      <w:r w:rsidRPr="00FA0D37">
        <w:t xml:space="preserve">-r17               </w:t>
      </w:r>
      <w:r w:rsidRPr="00FA0D37">
        <w:rPr>
          <w:color w:val="993366"/>
        </w:rPr>
        <w:t>OPTIONAL</w:t>
      </w:r>
      <w:r w:rsidRPr="00FA0D37">
        <w:t>,</w:t>
      </w:r>
      <w:r w:rsidR="0005611B" w:rsidRPr="00FA0D37">
        <w:t xml:space="preserve"> </w:t>
      </w:r>
      <w:r w:rsidR="0005611B" w:rsidRPr="00FA0D37">
        <w:rPr>
          <w:color w:val="808080"/>
        </w:rPr>
        <w:t>-- Need N</w:t>
      </w:r>
    </w:p>
    <w:p w14:paraId="3EC30AED" w14:textId="3FF49033" w:rsidR="000A6CD2" w:rsidRPr="00FA0D37" w:rsidRDefault="000A6CD2" w:rsidP="00FA0D37">
      <w:pPr>
        <w:pStyle w:val="PL"/>
        <w:rPr>
          <w:color w:val="808080"/>
        </w:rPr>
      </w:pPr>
      <w:r w:rsidRPr="00FA0D37">
        <w:tab/>
        <w:t xml:space="preserve">musim-GapToAddModList-r17        </w:t>
      </w:r>
      <w:r w:rsidRPr="00FA0D37">
        <w:rPr>
          <w:color w:val="993366"/>
        </w:rPr>
        <w:t>SEQUENCE</w:t>
      </w:r>
      <w:r w:rsidRPr="00FA0D37">
        <w:t xml:space="preserve"> (</w:t>
      </w:r>
      <w:r w:rsidRPr="00FA0D37">
        <w:rPr>
          <w:color w:val="993366"/>
        </w:rPr>
        <w:t>SIZE</w:t>
      </w:r>
      <w:r w:rsidRPr="00FA0D37">
        <w:t xml:space="preserve"> (1..</w:t>
      </w:r>
      <w:r w:rsidR="0005611B" w:rsidRPr="00FA0D37">
        <w:t>3</w:t>
      </w:r>
      <w:r w:rsidRPr="00FA0D37">
        <w:t>))</w:t>
      </w:r>
      <w:r w:rsidRPr="00FA0D37">
        <w:rPr>
          <w:color w:val="993366"/>
        </w:rPr>
        <w:t xml:space="preserve"> OF</w:t>
      </w:r>
      <w:r w:rsidRPr="00FA0D37">
        <w:t xml:space="preserve"> MUSIM-Gap-r17             </w:t>
      </w:r>
      <w:r w:rsidRPr="00FA0D37">
        <w:rPr>
          <w:color w:val="993366"/>
        </w:rPr>
        <w:t>OPTIONAL</w:t>
      </w:r>
      <w:r w:rsidRPr="00FA0D37">
        <w:t>,</w:t>
      </w:r>
      <w:r w:rsidR="0005611B" w:rsidRPr="00FA0D37">
        <w:t xml:space="preserve"> </w:t>
      </w:r>
      <w:r w:rsidR="0005611B" w:rsidRPr="00FA0D37">
        <w:rPr>
          <w:color w:val="808080"/>
        </w:rPr>
        <w:t>-- Need N</w:t>
      </w:r>
    </w:p>
    <w:p w14:paraId="5B870DCC" w14:textId="77777777" w:rsidR="000A6CD2" w:rsidRPr="00FA0D37" w:rsidRDefault="000A6CD2" w:rsidP="00FA0D37">
      <w:pPr>
        <w:pStyle w:val="PL"/>
        <w:rPr>
          <w:color w:val="808080"/>
        </w:rPr>
      </w:pPr>
      <w:r w:rsidRPr="00FA0D37">
        <w:tab/>
        <w:t xml:space="preserve">musim-AperiodicGap-r17           MUSIM-GapInfo-r17                </w:t>
      </w:r>
      <w:r w:rsidRPr="00FA0D37">
        <w:rPr>
          <w:color w:val="993366"/>
        </w:rPr>
        <w:t>OPTIONAL</w:t>
      </w:r>
      <w:r w:rsidRPr="00FA0D37">
        <w:t xml:space="preserve">, </w:t>
      </w:r>
      <w:r w:rsidRPr="00FA0D37">
        <w:rPr>
          <w:color w:val="808080"/>
        </w:rPr>
        <w:t>-- Need N</w:t>
      </w:r>
    </w:p>
    <w:p w14:paraId="672933EF" w14:textId="77777777" w:rsidR="000A6CD2" w:rsidRPr="00FA0D37" w:rsidRDefault="000A6CD2" w:rsidP="00FA0D37">
      <w:pPr>
        <w:pStyle w:val="PL"/>
      </w:pPr>
      <w:r w:rsidRPr="00FA0D37">
        <w:t xml:space="preserve">   ...</w:t>
      </w:r>
    </w:p>
    <w:p w14:paraId="32BA3616" w14:textId="77777777" w:rsidR="000A6CD2" w:rsidRPr="00FA0D37" w:rsidRDefault="000A6CD2" w:rsidP="00FA0D37">
      <w:pPr>
        <w:pStyle w:val="PL"/>
      </w:pPr>
      <w:r w:rsidRPr="00FA0D37">
        <w:t>}</w:t>
      </w:r>
    </w:p>
    <w:p w14:paraId="2CB9B0CD" w14:textId="244CCEE5" w:rsidR="000A6CD2" w:rsidRPr="00FA0D37" w:rsidRDefault="000A6CD2" w:rsidP="00FA0D37">
      <w:pPr>
        <w:pStyle w:val="PL"/>
      </w:pPr>
      <w:r w:rsidRPr="00FA0D37">
        <w:t xml:space="preserve">MUSIM-Gap-r17 ::=          </w:t>
      </w:r>
      <w:r w:rsidRPr="00FA0D37">
        <w:rPr>
          <w:color w:val="993366"/>
        </w:rPr>
        <w:t>SEQUENCE</w:t>
      </w:r>
      <w:r w:rsidRPr="00FA0D37">
        <w:t xml:space="preserve"> {</w:t>
      </w:r>
    </w:p>
    <w:p w14:paraId="6AC074E6" w14:textId="4EDEBD0D" w:rsidR="000A6CD2" w:rsidRPr="00FA0D37" w:rsidRDefault="000A6CD2" w:rsidP="00FA0D37">
      <w:pPr>
        <w:pStyle w:val="PL"/>
      </w:pPr>
      <w:r w:rsidRPr="00FA0D37">
        <w:t xml:space="preserve">    musim-GapI</w:t>
      </w:r>
      <w:r w:rsidR="005A5831" w:rsidRPr="00FA0D37">
        <w:t>d</w:t>
      </w:r>
      <w:r w:rsidRPr="00FA0D37">
        <w:t>-r17                        MUSIM-GapI</w:t>
      </w:r>
      <w:r w:rsidR="005A5831" w:rsidRPr="00FA0D37">
        <w:t>d</w:t>
      </w:r>
      <w:r w:rsidRPr="00FA0D37">
        <w:t>-r17,</w:t>
      </w:r>
    </w:p>
    <w:p w14:paraId="7353958F" w14:textId="77777777" w:rsidR="0005611B" w:rsidRPr="00FA0D37" w:rsidRDefault="000A6CD2" w:rsidP="00FA0D37">
      <w:pPr>
        <w:pStyle w:val="PL"/>
      </w:pPr>
      <w:r w:rsidRPr="00FA0D37">
        <w:t xml:space="preserve">    </w:t>
      </w:r>
      <w:r w:rsidR="0005611B" w:rsidRPr="00FA0D37">
        <w:t>musim-GapInfo-r17                      MUSIM-GapInfo-r17</w:t>
      </w:r>
    </w:p>
    <w:p w14:paraId="2E06F227" w14:textId="61BABFC9" w:rsidR="000A6CD2" w:rsidRPr="00FA0D37" w:rsidRDefault="000A6CD2" w:rsidP="00FA0D37">
      <w:pPr>
        <w:pStyle w:val="PL"/>
      </w:pPr>
    </w:p>
    <w:p w14:paraId="5B849A5B" w14:textId="77777777" w:rsidR="000A6CD2" w:rsidRPr="00FA0D37" w:rsidRDefault="000A6CD2" w:rsidP="00FA0D37">
      <w:pPr>
        <w:pStyle w:val="PL"/>
      </w:pPr>
      <w:r w:rsidRPr="00FA0D37">
        <w:t>}</w:t>
      </w:r>
    </w:p>
    <w:p w14:paraId="4C441AEA" w14:textId="77777777" w:rsidR="000A6CD2" w:rsidRPr="00FA0D37" w:rsidRDefault="000A6CD2" w:rsidP="00FA0D37">
      <w:pPr>
        <w:pStyle w:val="PL"/>
      </w:pPr>
    </w:p>
    <w:p w14:paraId="42C8D248" w14:textId="77777777" w:rsidR="000A6CD2" w:rsidRPr="00FA0D37" w:rsidRDefault="000A6CD2" w:rsidP="00FA0D37">
      <w:pPr>
        <w:pStyle w:val="PL"/>
        <w:rPr>
          <w:color w:val="808080"/>
        </w:rPr>
      </w:pPr>
      <w:r w:rsidRPr="00FA0D37">
        <w:rPr>
          <w:color w:val="808080"/>
        </w:rPr>
        <w:t>-- TAG-MUSIM-GAPCONFIG-STOP</w:t>
      </w:r>
    </w:p>
    <w:p w14:paraId="6C0AD183" w14:textId="279CBB43" w:rsidR="000A6CD2" w:rsidRPr="00FA0D37" w:rsidRDefault="000A6CD2" w:rsidP="00FA0D37">
      <w:pPr>
        <w:pStyle w:val="PL"/>
        <w:rPr>
          <w:color w:val="808080"/>
        </w:rPr>
      </w:pPr>
      <w:r w:rsidRPr="00FA0D37">
        <w:rPr>
          <w:color w:val="808080"/>
        </w:rPr>
        <w:t>-- ASN1STOP</w:t>
      </w:r>
    </w:p>
    <w:p w14:paraId="47CC8557" w14:textId="77777777" w:rsidR="000A6CD2" w:rsidRPr="00FA0D37"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5C7FF4" w:rsidRPr="00FA0D37"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FA0D37" w:rsidRDefault="000A6CD2" w:rsidP="000830BB">
            <w:pPr>
              <w:pStyle w:val="TAH"/>
              <w:rPr>
                <w:lang w:eastAsia="en-GB"/>
              </w:rPr>
            </w:pPr>
            <w:r w:rsidRPr="00FA0D37">
              <w:rPr>
                <w:i/>
                <w:lang w:eastAsia="en-GB"/>
              </w:rPr>
              <w:t>MUSIM-GapConfig</w:t>
            </w:r>
            <w:r w:rsidRPr="00FA0D37">
              <w:rPr>
                <w:lang w:eastAsia="en-GB"/>
              </w:rPr>
              <w:t xml:space="preserve"> field descriptions</w:t>
            </w:r>
          </w:p>
        </w:tc>
      </w:tr>
      <w:tr w:rsidR="005C7FF4" w:rsidRPr="00FA0D37"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FA0D37" w:rsidRDefault="000A6CD2" w:rsidP="000A6CD2">
            <w:pPr>
              <w:pStyle w:val="TAL"/>
              <w:rPr>
                <w:b/>
                <w:bCs/>
                <w:i/>
                <w:iCs/>
                <w:lang w:eastAsia="en-GB"/>
              </w:rPr>
            </w:pPr>
            <w:r w:rsidRPr="00FA0D37">
              <w:rPr>
                <w:b/>
                <w:bCs/>
                <w:i/>
                <w:iCs/>
                <w:lang w:eastAsia="en-GB"/>
              </w:rPr>
              <w:t>musim-AperiodicGap</w:t>
            </w:r>
          </w:p>
          <w:p w14:paraId="2C500D04" w14:textId="466F2EF7" w:rsidR="000A6CD2" w:rsidRPr="00FA0D37" w:rsidRDefault="000A6CD2" w:rsidP="000830BB">
            <w:pPr>
              <w:pStyle w:val="TAL"/>
              <w:rPr>
                <w:lang w:eastAsia="en-GB"/>
              </w:rPr>
            </w:pPr>
            <w:r w:rsidRPr="00FA0D37">
              <w:rPr>
                <w:lang w:eastAsia="sv-SE"/>
              </w:rPr>
              <w:t>Indicate</w:t>
            </w:r>
            <w:r w:rsidR="0005611B" w:rsidRPr="00FA0D37">
              <w:rPr>
                <w:lang w:eastAsia="sv-SE"/>
              </w:rPr>
              <w:t>s</w:t>
            </w:r>
            <w:r w:rsidRPr="00FA0D37">
              <w:rPr>
                <w:lang w:eastAsia="sv-SE"/>
              </w:rPr>
              <w:t xml:space="preserve"> the MUSIM aperiodic gap </w:t>
            </w:r>
            <w:r w:rsidR="0005611B" w:rsidRPr="00FA0D37">
              <w:rPr>
                <w:lang w:eastAsia="zh-CN"/>
              </w:rPr>
              <w:t xml:space="preserve">as specified in TS 38.133 [14] </w:t>
            </w:r>
            <w:r w:rsidR="00FF79B1" w:rsidRPr="00FA0D37">
              <w:rPr>
                <w:lang w:eastAsia="zh-CN"/>
              </w:rPr>
              <w:t>clause</w:t>
            </w:r>
            <w:r w:rsidR="0005611B" w:rsidRPr="00FA0D37">
              <w:rPr>
                <w:lang w:eastAsia="zh-CN"/>
              </w:rPr>
              <w:t xml:space="preserve"> 9.1.</w:t>
            </w:r>
            <w:r w:rsidR="005A5831" w:rsidRPr="00FA0D37">
              <w:rPr>
                <w:lang w:eastAsia="zh-CN"/>
              </w:rPr>
              <w:t>10</w:t>
            </w:r>
            <w:r w:rsidRPr="00FA0D37">
              <w:rPr>
                <w:lang w:eastAsia="sv-SE"/>
              </w:rPr>
              <w:t>.</w:t>
            </w:r>
            <w:r w:rsidR="00655495" w:rsidRPr="00FA0D37">
              <w:rPr>
                <w:lang w:eastAsia="zh-CN"/>
              </w:rPr>
              <w:t xml:space="preserve"> If UE indicates the </w:t>
            </w:r>
            <w:r w:rsidR="00655495" w:rsidRPr="00FA0D37">
              <w:rPr>
                <w:i/>
                <w:lang w:eastAsia="zh-CN"/>
              </w:rPr>
              <w:t>musim-Starting-SFN-AndSubframe</w:t>
            </w:r>
            <w:r w:rsidR="00655495" w:rsidRPr="00FA0D37">
              <w:rPr>
                <w:lang w:eastAsia="zh-CN"/>
              </w:rPr>
              <w:t xml:space="preserve"> when requesting aperiodic gap the network can only configure the aperiodic gap with the same start point or no aperiodic gap. If the field </w:t>
            </w:r>
            <w:r w:rsidR="00655495" w:rsidRPr="00FA0D37">
              <w:rPr>
                <w:i/>
                <w:lang w:eastAsia="zh-CN"/>
              </w:rPr>
              <w:t>musim-Starting-SFN-AndSubframe</w:t>
            </w:r>
            <w:r w:rsidR="00655495" w:rsidRPr="00FA0D37">
              <w:rPr>
                <w:lang w:eastAsia="zh-CN"/>
              </w:rPr>
              <w:t xml:space="preserve"> is absent for aperiodic gap, network can configure any timing as the starting point for aperiodic gap or configure no aperiodic gap.</w:t>
            </w:r>
          </w:p>
        </w:tc>
      </w:tr>
      <w:tr w:rsidR="005C7FF4" w:rsidRPr="00FA0D37"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FA0D37" w:rsidRDefault="0005611B" w:rsidP="00771058">
            <w:pPr>
              <w:pStyle w:val="TAL"/>
              <w:rPr>
                <w:rFonts w:cs="Arial"/>
                <w:b/>
                <w:i/>
                <w:szCs w:val="18"/>
                <w:lang w:eastAsia="zh-CN"/>
              </w:rPr>
            </w:pPr>
            <w:r w:rsidRPr="00FA0D37">
              <w:rPr>
                <w:rFonts w:cs="Arial"/>
                <w:b/>
                <w:i/>
                <w:szCs w:val="18"/>
                <w:lang w:eastAsia="zh-CN"/>
              </w:rPr>
              <w:t>musim-GapInfo</w:t>
            </w:r>
          </w:p>
          <w:p w14:paraId="2CB16E25" w14:textId="4C59D256" w:rsidR="0005611B" w:rsidRPr="00FA0D37" w:rsidRDefault="0005611B" w:rsidP="00771058">
            <w:pPr>
              <w:pStyle w:val="TAL"/>
              <w:rPr>
                <w:b/>
                <w:bCs/>
                <w:i/>
                <w:iCs/>
                <w:lang w:eastAsia="en-GB"/>
              </w:rPr>
            </w:pPr>
            <w:r w:rsidRPr="00FA0D37">
              <w:rPr>
                <w:lang w:eastAsia="zh-CN"/>
              </w:rPr>
              <w:t xml:space="preserve">Indicates the values for </w:t>
            </w:r>
            <w:r w:rsidRPr="00FA0D37">
              <w:rPr>
                <w:i/>
                <w:lang w:eastAsia="zh-CN"/>
              </w:rPr>
              <w:t>musim-GapLength</w:t>
            </w:r>
            <w:r w:rsidRPr="00FA0D37">
              <w:rPr>
                <w:lang w:eastAsia="zh-CN"/>
              </w:rPr>
              <w:t xml:space="preserve"> </w:t>
            </w:r>
            <w:r w:rsidR="00655495" w:rsidRPr="00FA0D37">
              <w:rPr>
                <w:lang w:eastAsia="zh-CN"/>
              </w:rPr>
              <w:t>and</w:t>
            </w:r>
            <w:r w:rsidR="00655495" w:rsidRPr="00FA0D37">
              <w:rPr>
                <w:i/>
                <w:lang w:eastAsia="zh-CN"/>
              </w:rPr>
              <w:t xml:space="preserve"> </w:t>
            </w:r>
            <w:r w:rsidRPr="00FA0D37">
              <w:rPr>
                <w:i/>
                <w:lang w:eastAsia="zh-CN"/>
              </w:rPr>
              <w:t>musim-GapRepetitionAndOffset</w:t>
            </w:r>
            <w:r w:rsidRPr="00FA0D37">
              <w:rPr>
                <w:lang w:eastAsia="zh-CN"/>
              </w:rPr>
              <w:t>.</w:t>
            </w:r>
            <w:r w:rsidR="005A5831" w:rsidRPr="00FA0D37">
              <w:rPr>
                <w:lang w:eastAsia="zh-CN"/>
              </w:rPr>
              <w:t xml:space="preserve"> When network provides periodic gap, network always signals the </w:t>
            </w:r>
            <w:r w:rsidR="005A5831" w:rsidRPr="00FA0D37">
              <w:rPr>
                <w:i/>
                <w:lang w:eastAsia="zh-CN"/>
              </w:rPr>
              <w:t>musim-GapLength</w:t>
            </w:r>
            <w:r w:rsidR="005A5831" w:rsidRPr="00FA0D37">
              <w:rPr>
                <w:lang w:eastAsia="zh-CN"/>
              </w:rPr>
              <w:t xml:space="preserve"> and </w:t>
            </w:r>
            <w:r w:rsidR="005A5831" w:rsidRPr="00FA0D37">
              <w:rPr>
                <w:i/>
                <w:lang w:eastAsia="zh-CN"/>
              </w:rPr>
              <w:t>musim-GapRepetitionAndOffset</w:t>
            </w:r>
            <w:r w:rsidR="005A5831" w:rsidRPr="00FA0D37">
              <w:rPr>
                <w:lang w:eastAsia="zh-CN"/>
              </w:rPr>
              <w:t xml:space="preserve"> as indicated by the UE</w:t>
            </w:r>
            <w:r w:rsidR="00432ECC" w:rsidRPr="00FA0D37">
              <w:rPr>
                <w:lang w:eastAsia="zh-CN"/>
              </w:rPr>
              <w:t>'</w:t>
            </w:r>
            <w:r w:rsidR="005A5831" w:rsidRPr="00FA0D37">
              <w:rPr>
                <w:lang w:eastAsia="zh-CN"/>
              </w:rPr>
              <w:t>s preferred MUSIM gap configuration.</w:t>
            </w:r>
          </w:p>
        </w:tc>
      </w:tr>
      <w:tr w:rsidR="005C7FF4" w:rsidRPr="00FA0D37"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FA0D37" w:rsidRDefault="000A6CD2" w:rsidP="000A6CD2">
            <w:pPr>
              <w:pStyle w:val="TAL"/>
              <w:rPr>
                <w:b/>
                <w:bCs/>
                <w:i/>
                <w:iCs/>
                <w:lang w:eastAsia="en-GB"/>
              </w:rPr>
            </w:pPr>
            <w:r w:rsidRPr="00FA0D37">
              <w:rPr>
                <w:b/>
                <w:bCs/>
                <w:i/>
                <w:iCs/>
                <w:lang w:eastAsia="en-GB"/>
              </w:rPr>
              <w:t>musim-GapToAddModList</w:t>
            </w:r>
          </w:p>
          <w:p w14:paraId="43D01F58" w14:textId="11C8C6F3" w:rsidR="000A6CD2" w:rsidRPr="00FA0D37" w:rsidRDefault="000A6CD2" w:rsidP="001775F2">
            <w:pPr>
              <w:pStyle w:val="TAL"/>
            </w:pPr>
            <w:r w:rsidRPr="00FA0D37">
              <w:rPr>
                <w:lang w:eastAsia="zh-CN"/>
              </w:rPr>
              <w:t>List of MUSIM periodic gap pattern</w:t>
            </w:r>
            <w:r w:rsidR="0005611B" w:rsidRPr="00FA0D37">
              <w:rPr>
                <w:lang w:eastAsia="zh-CN"/>
              </w:rPr>
              <w:t>s</w:t>
            </w:r>
            <w:r w:rsidRPr="00FA0D37">
              <w:rPr>
                <w:lang w:eastAsia="zh-CN"/>
              </w:rPr>
              <w:t xml:space="preserve"> to add or modify.</w:t>
            </w:r>
          </w:p>
        </w:tc>
      </w:tr>
      <w:tr w:rsidR="000A6CD2" w:rsidRPr="00FA0D37"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FA0D37" w:rsidRDefault="000A6CD2" w:rsidP="000A6CD2">
            <w:pPr>
              <w:pStyle w:val="TAL"/>
              <w:rPr>
                <w:b/>
                <w:bCs/>
                <w:i/>
                <w:iCs/>
                <w:lang w:eastAsia="en-GB"/>
              </w:rPr>
            </w:pPr>
            <w:r w:rsidRPr="00FA0D37">
              <w:rPr>
                <w:b/>
                <w:bCs/>
                <w:i/>
                <w:iCs/>
                <w:lang w:eastAsia="en-GB"/>
              </w:rPr>
              <w:t>musim-GapToReleaseList</w:t>
            </w:r>
          </w:p>
          <w:p w14:paraId="3CF74483" w14:textId="34CCB27F" w:rsidR="000A6CD2" w:rsidRPr="00FA0D37" w:rsidRDefault="000A6CD2" w:rsidP="001775F2">
            <w:pPr>
              <w:pStyle w:val="TAL"/>
              <w:rPr>
                <w:lang w:eastAsia="en-GB"/>
              </w:rPr>
            </w:pPr>
            <w:r w:rsidRPr="00FA0D37">
              <w:rPr>
                <w:lang w:eastAsia="zh-CN"/>
              </w:rPr>
              <w:t>List of MUSIM periodic gap pattern</w:t>
            </w:r>
            <w:r w:rsidR="0005611B" w:rsidRPr="00FA0D37">
              <w:rPr>
                <w:lang w:eastAsia="zh-CN"/>
              </w:rPr>
              <w:t>s</w:t>
            </w:r>
            <w:r w:rsidRPr="00FA0D37">
              <w:rPr>
                <w:lang w:eastAsia="zh-CN"/>
              </w:rPr>
              <w:t xml:space="preserve"> to release.</w:t>
            </w:r>
          </w:p>
        </w:tc>
      </w:tr>
    </w:tbl>
    <w:p w14:paraId="5879D1E2" w14:textId="77777777" w:rsidR="000A6CD2" w:rsidRPr="00FA0D37" w:rsidRDefault="000A6CD2" w:rsidP="000A6CD2"/>
    <w:p w14:paraId="7B8F4C56" w14:textId="56E40E6A" w:rsidR="000A6CD2" w:rsidRPr="00FA0D37" w:rsidRDefault="000A6CD2" w:rsidP="000830BB">
      <w:pPr>
        <w:pStyle w:val="4"/>
        <w:rPr>
          <w:rFonts w:eastAsia="MS Mincho"/>
        </w:rPr>
      </w:pPr>
      <w:bookmarkStart w:id="1134" w:name="_Toc146781344"/>
      <w:r w:rsidRPr="00FA0D37">
        <w:t>–</w:t>
      </w:r>
      <w:r w:rsidRPr="00FA0D37">
        <w:tab/>
      </w:r>
      <w:r w:rsidRPr="00FA0D37">
        <w:rPr>
          <w:i/>
          <w:iCs/>
        </w:rPr>
        <w:t>MUSIM-GapI</w:t>
      </w:r>
      <w:r w:rsidR="005A5831" w:rsidRPr="00FA0D37">
        <w:rPr>
          <w:i/>
          <w:iCs/>
        </w:rPr>
        <w:t>d</w:t>
      </w:r>
      <w:bookmarkEnd w:id="1134"/>
    </w:p>
    <w:p w14:paraId="437086DD" w14:textId="0609D366" w:rsidR="000A6CD2" w:rsidRPr="00FA0D37" w:rsidRDefault="000A6CD2" w:rsidP="000A6CD2">
      <w:r w:rsidRPr="00FA0D37">
        <w:t xml:space="preserve">The </w:t>
      </w:r>
      <w:r w:rsidR="003A2D9D" w:rsidRPr="00FA0D37">
        <w:t xml:space="preserve">IE </w:t>
      </w:r>
      <w:r w:rsidRPr="00FA0D37">
        <w:rPr>
          <w:i/>
        </w:rPr>
        <w:t>MUSIM-GapI</w:t>
      </w:r>
      <w:r w:rsidR="005A5831" w:rsidRPr="00FA0D37">
        <w:rPr>
          <w:i/>
        </w:rPr>
        <w:t>d</w:t>
      </w:r>
      <w:r w:rsidRPr="00FA0D37">
        <w:t xml:space="preserve"> is used to identify UE periodic MUSIM gap(s) to add, modify or release.</w:t>
      </w:r>
    </w:p>
    <w:p w14:paraId="4EF29D6F" w14:textId="41FFB032" w:rsidR="000A6CD2" w:rsidRPr="00FA0D37" w:rsidRDefault="000A6CD2" w:rsidP="000830BB">
      <w:pPr>
        <w:pStyle w:val="TH"/>
      </w:pPr>
      <w:r w:rsidRPr="00FA0D37">
        <w:rPr>
          <w:bCs/>
          <w:i/>
          <w:iCs/>
        </w:rPr>
        <w:t>MUSIM-GapI</w:t>
      </w:r>
      <w:r w:rsidR="005A5831" w:rsidRPr="00FA0D37">
        <w:rPr>
          <w:bCs/>
          <w:i/>
          <w:iCs/>
        </w:rPr>
        <w:t>d</w:t>
      </w:r>
      <w:r w:rsidRPr="00FA0D37">
        <w:rPr>
          <w:bCs/>
          <w:i/>
          <w:iCs/>
        </w:rPr>
        <w:t xml:space="preserve"> </w:t>
      </w:r>
      <w:r w:rsidRPr="00FA0D37">
        <w:t>information element</w:t>
      </w:r>
    </w:p>
    <w:p w14:paraId="6D7F7037" w14:textId="77777777" w:rsidR="000A6CD2" w:rsidRPr="00FA0D37" w:rsidRDefault="000A6CD2" w:rsidP="00FA0D37">
      <w:pPr>
        <w:pStyle w:val="PL"/>
        <w:rPr>
          <w:color w:val="808080"/>
        </w:rPr>
      </w:pPr>
      <w:r w:rsidRPr="00FA0D37">
        <w:rPr>
          <w:color w:val="808080"/>
        </w:rPr>
        <w:t>-- ASN1START</w:t>
      </w:r>
    </w:p>
    <w:p w14:paraId="30D52B17" w14:textId="77777777" w:rsidR="000A6CD2" w:rsidRPr="00FA0D37" w:rsidRDefault="000A6CD2" w:rsidP="00FA0D37">
      <w:pPr>
        <w:pStyle w:val="PL"/>
        <w:rPr>
          <w:color w:val="808080"/>
        </w:rPr>
      </w:pPr>
      <w:r w:rsidRPr="00FA0D37">
        <w:rPr>
          <w:color w:val="808080"/>
        </w:rPr>
        <w:lastRenderedPageBreak/>
        <w:t>-- TAG-MUSIM-GAPID-START</w:t>
      </w:r>
    </w:p>
    <w:p w14:paraId="7CE2CD4B" w14:textId="77777777" w:rsidR="000A6CD2" w:rsidRPr="00FA0D37" w:rsidRDefault="000A6CD2" w:rsidP="00FA0D37">
      <w:pPr>
        <w:pStyle w:val="PL"/>
      </w:pPr>
    </w:p>
    <w:p w14:paraId="23EAC270" w14:textId="0917343A" w:rsidR="000A6CD2" w:rsidRPr="00FA0D37" w:rsidRDefault="000A6CD2" w:rsidP="00FA0D37">
      <w:pPr>
        <w:pStyle w:val="PL"/>
      </w:pPr>
      <w:r w:rsidRPr="00FA0D37">
        <w:t>MUSIM-GapI</w:t>
      </w:r>
      <w:r w:rsidR="005A5831" w:rsidRPr="00FA0D37">
        <w:t>d</w:t>
      </w:r>
      <w:r w:rsidRPr="00FA0D37">
        <w:t xml:space="preserve">-r17 ::=                  </w:t>
      </w:r>
      <w:r w:rsidRPr="00FA0D37">
        <w:rPr>
          <w:color w:val="993366"/>
        </w:rPr>
        <w:t>INTEGER</w:t>
      </w:r>
      <w:r w:rsidRPr="00FA0D37">
        <w:t xml:space="preserve"> (0..</w:t>
      </w:r>
      <w:r w:rsidR="0005611B" w:rsidRPr="00FA0D37">
        <w:t>2</w:t>
      </w:r>
      <w:r w:rsidRPr="00FA0D37">
        <w:t>)</w:t>
      </w:r>
    </w:p>
    <w:p w14:paraId="003216D6" w14:textId="77777777" w:rsidR="000A6CD2" w:rsidRPr="00FA0D37" w:rsidRDefault="000A6CD2" w:rsidP="00FA0D37">
      <w:pPr>
        <w:pStyle w:val="PL"/>
      </w:pPr>
    </w:p>
    <w:p w14:paraId="67FACCFC" w14:textId="77777777" w:rsidR="000A6CD2" w:rsidRPr="00FA0D37" w:rsidRDefault="000A6CD2" w:rsidP="00FA0D37">
      <w:pPr>
        <w:pStyle w:val="PL"/>
        <w:rPr>
          <w:color w:val="808080"/>
        </w:rPr>
      </w:pPr>
      <w:r w:rsidRPr="00FA0D37">
        <w:rPr>
          <w:color w:val="808080"/>
        </w:rPr>
        <w:t>-- TAG-MUSIM-GAPID-STOP</w:t>
      </w:r>
    </w:p>
    <w:p w14:paraId="262A188C" w14:textId="7360E9EB" w:rsidR="000A6CD2" w:rsidRPr="00FA0D37" w:rsidRDefault="000A6CD2" w:rsidP="00FA0D37">
      <w:pPr>
        <w:pStyle w:val="PL"/>
        <w:rPr>
          <w:color w:val="808080"/>
        </w:rPr>
      </w:pPr>
      <w:r w:rsidRPr="00FA0D37">
        <w:rPr>
          <w:color w:val="808080"/>
        </w:rPr>
        <w:t>-- ASN1STOP</w:t>
      </w:r>
    </w:p>
    <w:p w14:paraId="6088A4A4" w14:textId="77777777" w:rsidR="001E5F8F" w:rsidRPr="00FA0D37" w:rsidRDefault="001E5F8F" w:rsidP="001E5F8F"/>
    <w:p w14:paraId="75211FFC" w14:textId="77777777" w:rsidR="001E5F8F" w:rsidRPr="00FA0D37" w:rsidRDefault="001E5F8F" w:rsidP="001E5F8F">
      <w:pPr>
        <w:pStyle w:val="4"/>
        <w:rPr>
          <w:rFonts w:eastAsia="MS Mincho"/>
        </w:rPr>
      </w:pPr>
      <w:bookmarkStart w:id="1135" w:name="_Toc146781345"/>
      <w:r w:rsidRPr="00FA0D37">
        <w:t>–</w:t>
      </w:r>
      <w:r w:rsidRPr="00FA0D37">
        <w:tab/>
      </w:r>
      <w:r w:rsidRPr="00FA0D37">
        <w:rPr>
          <w:i/>
          <w:iCs/>
        </w:rPr>
        <w:t>MUSIM-GapInfo</w:t>
      </w:r>
      <w:bookmarkEnd w:id="1135"/>
    </w:p>
    <w:p w14:paraId="12D502C8" w14:textId="77777777" w:rsidR="001E5F8F" w:rsidRPr="00FA0D37" w:rsidRDefault="001E5F8F" w:rsidP="001E5F8F">
      <w:r w:rsidRPr="00FA0D37">
        <w:t xml:space="preserve">The IE </w:t>
      </w:r>
      <w:r w:rsidRPr="00FA0D37">
        <w:rPr>
          <w:i/>
        </w:rPr>
        <w:t>MUSIM-GapInfo</w:t>
      </w:r>
      <w:r w:rsidRPr="00FA0D37">
        <w:t xml:space="preserve"> is used to indicate MUSIM gap parameters.</w:t>
      </w:r>
    </w:p>
    <w:p w14:paraId="10D86C6E" w14:textId="77777777" w:rsidR="001E5F8F" w:rsidRPr="00FA0D37" w:rsidRDefault="001E5F8F" w:rsidP="001E5F8F">
      <w:pPr>
        <w:pStyle w:val="TH"/>
      </w:pPr>
      <w:r w:rsidRPr="00FA0D37">
        <w:rPr>
          <w:bCs/>
          <w:i/>
          <w:iCs/>
        </w:rPr>
        <w:t xml:space="preserve">MUSIM-GapInfo </w:t>
      </w:r>
      <w:r w:rsidRPr="00FA0D37">
        <w:t>information element</w:t>
      </w:r>
    </w:p>
    <w:p w14:paraId="59C46D29" w14:textId="77777777" w:rsidR="001E5F8F" w:rsidRPr="00FA0D37" w:rsidRDefault="001E5F8F" w:rsidP="00FA0D37">
      <w:pPr>
        <w:pStyle w:val="PL"/>
        <w:rPr>
          <w:color w:val="808080"/>
        </w:rPr>
      </w:pPr>
      <w:r w:rsidRPr="00FA0D37">
        <w:rPr>
          <w:color w:val="808080"/>
        </w:rPr>
        <w:t>-- ASN1START</w:t>
      </w:r>
    </w:p>
    <w:p w14:paraId="5F9C9662" w14:textId="77777777" w:rsidR="001E5F8F" w:rsidRPr="00FA0D37" w:rsidRDefault="001E5F8F" w:rsidP="00FA0D37">
      <w:pPr>
        <w:pStyle w:val="PL"/>
        <w:rPr>
          <w:color w:val="808080"/>
        </w:rPr>
      </w:pPr>
      <w:r w:rsidRPr="00FA0D37">
        <w:rPr>
          <w:color w:val="808080"/>
        </w:rPr>
        <w:t>-- TAG-MUSIM-GAPINFO-START</w:t>
      </w:r>
    </w:p>
    <w:p w14:paraId="15421B4D" w14:textId="77777777" w:rsidR="001E5F8F" w:rsidRPr="00FA0D37" w:rsidRDefault="001E5F8F" w:rsidP="00FA0D37">
      <w:pPr>
        <w:pStyle w:val="PL"/>
      </w:pPr>
    </w:p>
    <w:p w14:paraId="241E0974" w14:textId="1B1482AA" w:rsidR="001E5F8F" w:rsidRPr="00FA0D37" w:rsidRDefault="001E5F8F" w:rsidP="00FA0D37">
      <w:pPr>
        <w:pStyle w:val="PL"/>
      </w:pPr>
      <w:r w:rsidRPr="00FA0D37">
        <w:t xml:space="preserve">MUSIM-GapInfo-r17 ::=               </w:t>
      </w:r>
      <w:r w:rsidRPr="00FA0D37">
        <w:rPr>
          <w:color w:val="993366"/>
        </w:rPr>
        <w:t>SEQUENCE</w:t>
      </w:r>
      <w:r w:rsidRPr="00FA0D37">
        <w:t xml:space="preserve"> {</w:t>
      </w:r>
    </w:p>
    <w:p w14:paraId="2F5D6EA0" w14:textId="3EEEE24D" w:rsidR="001E5F8F" w:rsidRPr="00FA0D37" w:rsidRDefault="001E5F8F" w:rsidP="00FA0D37">
      <w:pPr>
        <w:pStyle w:val="PL"/>
        <w:rPr>
          <w:color w:val="808080"/>
        </w:rPr>
      </w:pPr>
      <w:r w:rsidRPr="00FA0D37">
        <w:t xml:space="preserve">    musim-Starting-SFN-AndSubframe-r17  MUSIM-Starting-SFN-AndSubframe-r17             </w:t>
      </w:r>
      <w:r w:rsidRPr="00FA0D37">
        <w:rPr>
          <w:color w:val="993366"/>
        </w:rPr>
        <w:t>OPTIONAL</w:t>
      </w:r>
      <w:r w:rsidRPr="00FA0D37">
        <w:t xml:space="preserve">, </w:t>
      </w:r>
      <w:r w:rsidRPr="00FA0D37">
        <w:rPr>
          <w:color w:val="808080"/>
        </w:rPr>
        <w:t>-- Cond aperiodic</w:t>
      </w:r>
    </w:p>
    <w:p w14:paraId="2759C9BD" w14:textId="5A3B422D" w:rsidR="001E5F8F" w:rsidRPr="00FA0D37" w:rsidRDefault="001E5F8F" w:rsidP="00FA0D37">
      <w:pPr>
        <w:pStyle w:val="PL"/>
        <w:rPr>
          <w:color w:val="808080"/>
        </w:rPr>
      </w:pPr>
      <w:r w:rsidRPr="00FA0D37">
        <w:t xml:space="preserve">    musim-GapLength-r17                 </w:t>
      </w:r>
      <w:r w:rsidRPr="00FA0D37">
        <w:rPr>
          <w:color w:val="993366"/>
        </w:rPr>
        <w:t>ENUMERATED</w:t>
      </w:r>
      <w:r w:rsidRPr="00FA0D37">
        <w:t xml:space="preserve"> {ms3, ms4, ms6, ms10, ms20}         </w:t>
      </w:r>
      <w:r w:rsidRPr="00FA0D37">
        <w:rPr>
          <w:color w:val="993366"/>
        </w:rPr>
        <w:t>OPTIONAL</w:t>
      </w:r>
      <w:r w:rsidRPr="00FA0D37">
        <w:t xml:space="preserve">, </w:t>
      </w:r>
      <w:r w:rsidRPr="00FA0D37">
        <w:rPr>
          <w:color w:val="808080"/>
        </w:rPr>
        <w:t xml:space="preserve">-- </w:t>
      </w:r>
      <w:r w:rsidR="005A5831" w:rsidRPr="00FA0D37">
        <w:rPr>
          <w:color w:val="808080"/>
        </w:rPr>
        <w:t>Cond gapSetup</w:t>
      </w:r>
    </w:p>
    <w:p w14:paraId="3A9D16D3" w14:textId="3C244FE2" w:rsidR="001E5F8F" w:rsidRPr="00FA0D37" w:rsidRDefault="001E5F8F" w:rsidP="00FA0D37">
      <w:pPr>
        <w:pStyle w:val="PL"/>
      </w:pPr>
      <w:r w:rsidRPr="00FA0D37">
        <w:t xml:space="preserve">    musim-GapRepetitionAndOffset-r17    </w:t>
      </w:r>
      <w:r w:rsidRPr="00FA0D37">
        <w:rPr>
          <w:color w:val="993366"/>
        </w:rPr>
        <w:t>CHOICE</w:t>
      </w:r>
      <w:r w:rsidRPr="00FA0D37">
        <w:t xml:space="preserve"> {</w:t>
      </w:r>
    </w:p>
    <w:p w14:paraId="37817B36" w14:textId="77777777" w:rsidR="001E5F8F" w:rsidRPr="00FA0D37" w:rsidRDefault="001E5F8F" w:rsidP="00FA0D37">
      <w:pPr>
        <w:pStyle w:val="PL"/>
      </w:pPr>
      <w:r w:rsidRPr="00FA0D37">
        <w:t xml:space="preserve">        ms20-r17                            </w:t>
      </w:r>
      <w:r w:rsidRPr="00FA0D37">
        <w:rPr>
          <w:color w:val="993366"/>
        </w:rPr>
        <w:t>INTEGER</w:t>
      </w:r>
      <w:r w:rsidRPr="00FA0D37">
        <w:t xml:space="preserve"> (0..19),</w:t>
      </w:r>
    </w:p>
    <w:p w14:paraId="7D60A94B" w14:textId="77777777" w:rsidR="001E5F8F" w:rsidRPr="00FA0D37" w:rsidRDefault="001E5F8F" w:rsidP="00FA0D37">
      <w:pPr>
        <w:pStyle w:val="PL"/>
      </w:pPr>
      <w:r w:rsidRPr="00FA0D37">
        <w:t xml:space="preserve">        ms40-r17                            </w:t>
      </w:r>
      <w:r w:rsidRPr="00FA0D37">
        <w:rPr>
          <w:color w:val="993366"/>
        </w:rPr>
        <w:t>INTEGER</w:t>
      </w:r>
      <w:r w:rsidRPr="00FA0D37">
        <w:t xml:space="preserve"> (0..39),</w:t>
      </w:r>
    </w:p>
    <w:p w14:paraId="004BAAEB" w14:textId="77777777" w:rsidR="001E5F8F" w:rsidRPr="00FA0D37" w:rsidRDefault="001E5F8F" w:rsidP="00FA0D37">
      <w:pPr>
        <w:pStyle w:val="PL"/>
      </w:pPr>
      <w:r w:rsidRPr="00FA0D37">
        <w:t xml:space="preserve">        ms80-r17                            </w:t>
      </w:r>
      <w:r w:rsidRPr="00FA0D37">
        <w:rPr>
          <w:color w:val="993366"/>
        </w:rPr>
        <w:t>INTEGER</w:t>
      </w:r>
      <w:r w:rsidRPr="00FA0D37">
        <w:t xml:space="preserve"> (0..79),</w:t>
      </w:r>
    </w:p>
    <w:p w14:paraId="71E8B8D5" w14:textId="77777777" w:rsidR="001E5F8F" w:rsidRPr="00FA0D37" w:rsidRDefault="001E5F8F" w:rsidP="00FA0D37">
      <w:pPr>
        <w:pStyle w:val="PL"/>
      </w:pPr>
      <w:r w:rsidRPr="00FA0D37">
        <w:t xml:space="preserve">        ms160-r17                           </w:t>
      </w:r>
      <w:r w:rsidRPr="00FA0D37">
        <w:rPr>
          <w:color w:val="993366"/>
        </w:rPr>
        <w:t>INTEGER</w:t>
      </w:r>
      <w:r w:rsidRPr="00FA0D37">
        <w:t xml:space="preserve"> (0..159),</w:t>
      </w:r>
    </w:p>
    <w:p w14:paraId="0807BDD1" w14:textId="77777777" w:rsidR="001E5F8F" w:rsidRPr="00FA0D37" w:rsidRDefault="001E5F8F" w:rsidP="00FA0D37">
      <w:pPr>
        <w:pStyle w:val="PL"/>
      </w:pPr>
      <w:r w:rsidRPr="00FA0D37">
        <w:t xml:space="preserve">        ms320-r17                           </w:t>
      </w:r>
      <w:r w:rsidRPr="00FA0D37">
        <w:rPr>
          <w:color w:val="993366"/>
        </w:rPr>
        <w:t>INTEGER</w:t>
      </w:r>
      <w:r w:rsidRPr="00FA0D37">
        <w:t xml:space="preserve"> (0..319),</w:t>
      </w:r>
    </w:p>
    <w:p w14:paraId="2C09B526" w14:textId="77777777" w:rsidR="001E5F8F" w:rsidRPr="00FA0D37" w:rsidRDefault="001E5F8F" w:rsidP="00FA0D37">
      <w:pPr>
        <w:pStyle w:val="PL"/>
      </w:pPr>
      <w:r w:rsidRPr="00FA0D37">
        <w:t xml:space="preserve">        ms640-r17                           </w:t>
      </w:r>
      <w:r w:rsidRPr="00FA0D37">
        <w:rPr>
          <w:color w:val="993366"/>
        </w:rPr>
        <w:t>INTEGER</w:t>
      </w:r>
      <w:r w:rsidRPr="00FA0D37">
        <w:t xml:space="preserve"> (0..639),</w:t>
      </w:r>
    </w:p>
    <w:p w14:paraId="0B772B74" w14:textId="77777777" w:rsidR="001E5F8F" w:rsidRPr="00FA0D37" w:rsidRDefault="001E5F8F" w:rsidP="00FA0D37">
      <w:pPr>
        <w:pStyle w:val="PL"/>
      </w:pPr>
      <w:r w:rsidRPr="00FA0D37">
        <w:t xml:space="preserve">        ms1280-r17                          </w:t>
      </w:r>
      <w:r w:rsidRPr="00FA0D37">
        <w:rPr>
          <w:color w:val="993366"/>
        </w:rPr>
        <w:t>INTEGER</w:t>
      </w:r>
      <w:r w:rsidRPr="00FA0D37">
        <w:t xml:space="preserve"> (0..1279),</w:t>
      </w:r>
    </w:p>
    <w:p w14:paraId="75CAC0E7" w14:textId="77777777" w:rsidR="001E5F8F" w:rsidRPr="00FA0D37" w:rsidRDefault="001E5F8F" w:rsidP="00FA0D37">
      <w:pPr>
        <w:pStyle w:val="PL"/>
      </w:pPr>
      <w:r w:rsidRPr="00FA0D37">
        <w:t xml:space="preserve">        ms2560-r17                          </w:t>
      </w:r>
      <w:r w:rsidRPr="00FA0D37">
        <w:rPr>
          <w:color w:val="993366"/>
        </w:rPr>
        <w:t>INTEGER</w:t>
      </w:r>
      <w:r w:rsidRPr="00FA0D37">
        <w:t xml:space="preserve"> (0..2559),</w:t>
      </w:r>
    </w:p>
    <w:p w14:paraId="7E574DDB" w14:textId="77777777" w:rsidR="001E5F8F" w:rsidRPr="00FA0D37" w:rsidRDefault="001E5F8F" w:rsidP="00FA0D37">
      <w:pPr>
        <w:pStyle w:val="PL"/>
      </w:pPr>
      <w:r w:rsidRPr="00FA0D37">
        <w:t xml:space="preserve">        ms5120-r17                          </w:t>
      </w:r>
      <w:r w:rsidRPr="00FA0D37">
        <w:rPr>
          <w:color w:val="993366"/>
        </w:rPr>
        <w:t>INTEGER</w:t>
      </w:r>
      <w:r w:rsidRPr="00FA0D37">
        <w:t xml:space="preserve"> (0..5119),</w:t>
      </w:r>
    </w:p>
    <w:p w14:paraId="7652D925" w14:textId="77777777" w:rsidR="001E5F8F" w:rsidRPr="00FA0D37" w:rsidRDefault="001E5F8F" w:rsidP="00FA0D37">
      <w:pPr>
        <w:pStyle w:val="PL"/>
      </w:pPr>
      <w:r w:rsidRPr="00FA0D37">
        <w:t xml:space="preserve">        ...</w:t>
      </w:r>
    </w:p>
    <w:p w14:paraId="636153C1" w14:textId="5AC254E2" w:rsidR="001E5F8F" w:rsidRPr="00FA0D37" w:rsidRDefault="001E5F8F"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periodic</w:t>
      </w:r>
    </w:p>
    <w:p w14:paraId="27D701EF" w14:textId="544CF406" w:rsidR="001E5F8F" w:rsidRPr="00FA0D37" w:rsidRDefault="001E5F8F" w:rsidP="00FA0D37">
      <w:pPr>
        <w:pStyle w:val="PL"/>
      </w:pPr>
      <w:r w:rsidRPr="00FA0D37">
        <w:t>}</w:t>
      </w:r>
    </w:p>
    <w:p w14:paraId="273A7434" w14:textId="77777777" w:rsidR="001E5F8F" w:rsidRPr="00FA0D37" w:rsidRDefault="001E5F8F" w:rsidP="00FA0D37">
      <w:pPr>
        <w:pStyle w:val="PL"/>
      </w:pPr>
    </w:p>
    <w:p w14:paraId="7E71FA19" w14:textId="2DB9EE0D" w:rsidR="001E5F8F" w:rsidRPr="00FA0D37" w:rsidRDefault="001E5F8F" w:rsidP="00FA0D37">
      <w:pPr>
        <w:pStyle w:val="PL"/>
      </w:pPr>
      <w:r w:rsidRPr="00FA0D37">
        <w:t xml:space="preserve">MUSIM-Starting-SFN-AndSubframe-r17 ::= </w:t>
      </w:r>
      <w:r w:rsidRPr="00FA0D37">
        <w:rPr>
          <w:color w:val="993366"/>
        </w:rPr>
        <w:t>SEQUENCE</w:t>
      </w:r>
      <w:r w:rsidRPr="00FA0D37">
        <w:t xml:space="preserve"> {</w:t>
      </w:r>
    </w:p>
    <w:p w14:paraId="75948DD6" w14:textId="415DDBF3" w:rsidR="001E5F8F" w:rsidRPr="00FA0D37" w:rsidRDefault="001E5F8F" w:rsidP="00FA0D37">
      <w:pPr>
        <w:pStyle w:val="PL"/>
      </w:pPr>
      <w:r w:rsidRPr="00FA0D37">
        <w:t xml:space="preserve">    starting-SFN-r17                       </w:t>
      </w:r>
      <w:r w:rsidRPr="00FA0D37">
        <w:rPr>
          <w:color w:val="993366"/>
        </w:rPr>
        <w:t>INTEGER</w:t>
      </w:r>
      <w:r w:rsidRPr="00FA0D37">
        <w:t xml:space="preserve"> (0..1023),</w:t>
      </w:r>
    </w:p>
    <w:p w14:paraId="5F123537" w14:textId="57C19095" w:rsidR="001E5F8F" w:rsidRPr="00FA0D37" w:rsidRDefault="001E5F8F" w:rsidP="00FA0D37">
      <w:pPr>
        <w:pStyle w:val="PL"/>
      </w:pPr>
      <w:r w:rsidRPr="00FA0D37">
        <w:t xml:space="preserve">    startingSubframe-r17                   </w:t>
      </w:r>
      <w:r w:rsidRPr="00FA0D37">
        <w:rPr>
          <w:color w:val="993366"/>
        </w:rPr>
        <w:t>INTEGER</w:t>
      </w:r>
      <w:r w:rsidRPr="00FA0D37">
        <w:t xml:space="preserve"> (0..9)</w:t>
      </w:r>
    </w:p>
    <w:p w14:paraId="58905D2A" w14:textId="77777777" w:rsidR="001E5F8F" w:rsidRPr="00FA0D37" w:rsidRDefault="001E5F8F" w:rsidP="00FA0D37">
      <w:pPr>
        <w:pStyle w:val="PL"/>
      </w:pPr>
      <w:r w:rsidRPr="00FA0D37">
        <w:t>}</w:t>
      </w:r>
    </w:p>
    <w:p w14:paraId="3552FA76" w14:textId="77777777" w:rsidR="001E5F8F" w:rsidRPr="00FA0D37" w:rsidRDefault="001E5F8F" w:rsidP="00FA0D37">
      <w:pPr>
        <w:pStyle w:val="PL"/>
      </w:pPr>
    </w:p>
    <w:p w14:paraId="4B5F516A" w14:textId="77777777" w:rsidR="001E5F8F" w:rsidRPr="00FA0D37" w:rsidRDefault="001E5F8F" w:rsidP="00FA0D37">
      <w:pPr>
        <w:pStyle w:val="PL"/>
        <w:rPr>
          <w:color w:val="808080"/>
        </w:rPr>
      </w:pPr>
      <w:r w:rsidRPr="00FA0D37">
        <w:rPr>
          <w:color w:val="808080"/>
        </w:rPr>
        <w:t>-- TAG-MUSIM-GAPINFO-STOP</w:t>
      </w:r>
    </w:p>
    <w:p w14:paraId="22C33377" w14:textId="77777777" w:rsidR="001E5F8F" w:rsidRPr="00FA0D37" w:rsidRDefault="001E5F8F" w:rsidP="00FA0D37">
      <w:pPr>
        <w:pStyle w:val="PL"/>
        <w:rPr>
          <w:color w:val="808080"/>
        </w:rPr>
      </w:pPr>
      <w:r w:rsidRPr="00FA0D37">
        <w:rPr>
          <w:color w:val="808080"/>
        </w:rPr>
        <w:t>-- ASN1STOP</w:t>
      </w:r>
    </w:p>
    <w:p w14:paraId="359A1B8C" w14:textId="77777777" w:rsidR="001E5F8F" w:rsidRPr="00FA0D37"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5C7FF4" w:rsidRPr="00FA0D37"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FA0D37" w:rsidRDefault="001E5F8F" w:rsidP="00771058">
            <w:pPr>
              <w:pStyle w:val="TAH"/>
              <w:rPr>
                <w:lang w:eastAsia="en-GB"/>
              </w:rPr>
            </w:pPr>
            <w:r w:rsidRPr="00FA0D37">
              <w:rPr>
                <w:i/>
                <w:lang w:eastAsia="en-GB"/>
              </w:rPr>
              <w:lastRenderedPageBreak/>
              <w:t>MUSIM-GapInfo</w:t>
            </w:r>
            <w:r w:rsidRPr="00FA0D37">
              <w:rPr>
                <w:lang w:eastAsia="en-GB"/>
              </w:rPr>
              <w:t xml:space="preserve"> field descriptions</w:t>
            </w:r>
          </w:p>
        </w:tc>
      </w:tr>
      <w:tr w:rsidR="005C7FF4" w:rsidRPr="00FA0D37"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FA0D37" w:rsidRDefault="001E5F8F" w:rsidP="00771058">
            <w:pPr>
              <w:pStyle w:val="TAL"/>
              <w:rPr>
                <w:b/>
                <w:bCs/>
                <w:i/>
                <w:iCs/>
                <w:lang w:eastAsia="en-GB"/>
              </w:rPr>
            </w:pPr>
            <w:r w:rsidRPr="00FA0D37">
              <w:rPr>
                <w:b/>
                <w:bCs/>
                <w:i/>
                <w:iCs/>
                <w:lang w:eastAsia="en-GB"/>
              </w:rPr>
              <w:t>musim-GapLength</w:t>
            </w:r>
          </w:p>
          <w:p w14:paraId="3FD4C0B7" w14:textId="3202B617" w:rsidR="001E5F8F" w:rsidRPr="00FA0D37" w:rsidRDefault="001E5F8F" w:rsidP="00771058">
            <w:pPr>
              <w:pStyle w:val="TAL"/>
              <w:rPr>
                <w:lang w:eastAsia="en-GB"/>
              </w:rPr>
            </w:pPr>
            <w:r w:rsidRPr="00FA0D37">
              <w:rPr>
                <w:bCs/>
                <w:iCs/>
                <w:lang w:eastAsia="en-GB"/>
              </w:rPr>
              <w:t xml:space="preserve">Indicates the length of the UE's MUSIM gap </w:t>
            </w:r>
            <w:r w:rsidRPr="00FA0D37">
              <w:t xml:space="preserve">as specified in TS 38.133 [14] </w:t>
            </w:r>
            <w:r w:rsidR="00FF79B1" w:rsidRPr="00FA0D37">
              <w:t>clause</w:t>
            </w:r>
            <w:r w:rsidRPr="00FA0D37">
              <w:t xml:space="preserve"> 9.1.</w:t>
            </w:r>
            <w:r w:rsidR="005A5831" w:rsidRPr="00FA0D37">
              <w:rPr>
                <w:lang w:eastAsia="en-GB"/>
              </w:rPr>
              <w:t>10</w:t>
            </w:r>
            <w:r w:rsidRPr="00FA0D37">
              <w:t>.</w:t>
            </w:r>
            <w:r w:rsidR="005A5831" w:rsidRPr="00FA0D37">
              <w:rPr>
                <w:lang w:eastAsia="en-GB"/>
              </w:rPr>
              <w:t xml:space="preserve"> This field is mandatory present for both periodic gap and aperiodic gap preference indication.</w:t>
            </w:r>
          </w:p>
        </w:tc>
      </w:tr>
      <w:tr w:rsidR="005C7FF4" w:rsidRPr="00FA0D37"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FA0D37" w:rsidRDefault="001E5F8F" w:rsidP="00771058">
            <w:pPr>
              <w:pStyle w:val="TAL"/>
              <w:rPr>
                <w:rFonts w:eastAsia="宋体"/>
                <w:b/>
                <w:bCs/>
                <w:i/>
                <w:iCs/>
                <w:lang w:eastAsia="zh-CN" w:bidi="ar"/>
              </w:rPr>
            </w:pPr>
            <w:r w:rsidRPr="00FA0D37">
              <w:rPr>
                <w:rFonts w:eastAsia="宋体"/>
                <w:b/>
                <w:bCs/>
                <w:i/>
                <w:iCs/>
                <w:lang w:eastAsia="zh-CN" w:bidi="ar"/>
              </w:rPr>
              <w:t>musim-GapRepetitionAndOffset</w:t>
            </w:r>
          </w:p>
          <w:p w14:paraId="7F8633AC" w14:textId="166C2E1C" w:rsidR="001E5F8F" w:rsidRPr="00FA0D37" w:rsidRDefault="001E5F8F" w:rsidP="00771058">
            <w:pPr>
              <w:pStyle w:val="TAL"/>
              <w:rPr>
                <w:lang w:eastAsia="en-GB"/>
              </w:rPr>
            </w:pPr>
            <w:r w:rsidRPr="00FA0D37">
              <w:rPr>
                <w:lang w:eastAsia="sv-SE"/>
              </w:rPr>
              <w:t xml:space="preserve">Indicates the gap repetition period in ms and gap offset in number of subframes for the periodic MUSIM gap as specified in TS 38.133 [14] </w:t>
            </w:r>
            <w:r w:rsidR="00FF79B1" w:rsidRPr="00FA0D37">
              <w:rPr>
                <w:lang w:eastAsia="sv-SE"/>
              </w:rPr>
              <w:t>clause</w:t>
            </w:r>
            <w:r w:rsidRPr="00FA0D37">
              <w:rPr>
                <w:lang w:eastAsia="sv-SE"/>
              </w:rPr>
              <w:t xml:space="preserve"> 9.1.</w:t>
            </w:r>
            <w:r w:rsidR="005A5831" w:rsidRPr="00FA0D37">
              <w:rPr>
                <w:lang w:eastAsia="sv-SE"/>
              </w:rPr>
              <w:t>10</w:t>
            </w:r>
            <w:r w:rsidRPr="00FA0D37">
              <w:rPr>
                <w:lang w:eastAsia="sv-SE"/>
              </w:rPr>
              <w:t>.</w:t>
            </w:r>
            <w:r w:rsidR="005A5831" w:rsidRPr="00FA0D37">
              <w:rPr>
                <w:lang w:eastAsia="en-GB"/>
              </w:rPr>
              <w:t xml:space="preserve"> This field is mandatory present for the periodic MUSIM gap </w:t>
            </w:r>
            <w:r w:rsidR="00655495" w:rsidRPr="00FA0D37">
              <w:rPr>
                <w:lang w:eastAsia="en-GB"/>
              </w:rPr>
              <w:t xml:space="preserve">preference </w:t>
            </w:r>
            <w:r w:rsidR="005A5831" w:rsidRPr="00FA0D37">
              <w:rPr>
                <w:lang w:eastAsia="en-GB"/>
              </w:rPr>
              <w:t>indication.</w:t>
            </w:r>
          </w:p>
        </w:tc>
      </w:tr>
      <w:tr w:rsidR="005C7FF4" w:rsidRPr="00FA0D37"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FA0D37" w:rsidRDefault="001E5F8F" w:rsidP="00771058">
            <w:pPr>
              <w:pStyle w:val="TAL"/>
              <w:rPr>
                <w:b/>
                <w:bCs/>
                <w:i/>
                <w:iCs/>
              </w:rPr>
            </w:pPr>
            <w:r w:rsidRPr="00FA0D37">
              <w:rPr>
                <w:b/>
                <w:bCs/>
                <w:i/>
                <w:iCs/>
              </w:rPr>
              <w:t>musim-Starting-SFN-AndSubframe</w:t>
            </w:r>
          </w:p>
          <w:p w14:paraId="440CC6FE" w14:textId="0323385A" w:rsidR="001E5F8F" w:rsidRPr="00FA0D37" w:rsidRDefault="001E5F8F" w:rsidP="00771058">
            <w:pPr>
              <w:pStyle w:val="TAL"/>
              <w:rPr>
                <w:lang w:eastAsia="en-GB"/>
              </w:rPr>
            </w:pPr>
            <w:r w:rsidRPr="00FA0D37">
              <w:rPr>
                <w:lang w:eastAsia="sv-SE"/>
              </w:rPr>
              <w:t xml:space="preserve">Indicates </w:t>
            </w:r>
            <w:r w:rsidRPr="00FA0D37">
              <w:t xml:space="preserve">gap starting position </w:t>
            </w:r>
            <w:r w:rsidRPr="00FA0D37">
              <w:rPr>
                <w:lang w:eastAsia="sv-SE"/>
              </w:rPr>
              <w:t>for the aperiodic MUSIM gap.</w:t>
            </w:r>
            <w:r w:rsidR="005A5831" w:rsidRPr="00FA0D37">
              <w:rPr>
                <w:lang w:eastAsia="en-GB"/>
              </w:rPr>
              <w:t xml:space="preserve"> This field is optionally present for the aperiodic MUSIM gap </w:t>
            </w:r>
            <w:r w:rsidR="00655495" w:rsidRPr="00FA0D37">
              <w:rPr>
                <w:lang w:eastAsia="en-GB"/>
              </w:rPr>
              <w:t xml:space="preserve">preference </w:t>
            </w:r>
            <w:r w:rsidR="005A5831" w:rsidRPr="00FA0D37">
              <w:rPr>
                <w:lang w:eastAsia="en-GB"/>
              </w:rPr>
              <w:t>indication.</w:t>
            </w:r>
          </w:p>
        </w:tc>
      </w:tr>
      <w:tr w:rsidR="005C7FF4" w:rsidRPr="00FA0D37"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FA0D37" w:rsidRDefault="001E5F8F" w:rsidP="00771058">
            <w:pPr>
              <w:keepNext/>
              <w:keepLines/>
              <w:spacing w:after="0"/>
              <w:rPr>
                <w:rFonts w:ascii="Arial" w:hAnsi="Arial"/>
                <w:b/>
                <w:bCs/>
                <w:i/>
                <w:iCs/>
                <w:sz w:val="18"/>
                <w:lang w:eastAsia="en-GB"/>
              </w:rPr>
            </w:pPr>
            <w:r w:rsidRPr="00FA0D37">
              <w:rPr>
                <w:rFonts w:ascii="Arial" w:hAnsi="Arial"/>
                <w:b/>
                <w:bCs/>
                <w:i/>
                <w:iCs/>
                <w:sz w:val="18"/>
                <w:lang w:eastAsia="en-GB"/>
              </w:rPr>
              <w:t>starting-SFN</w:t>
            </w:r>
          </w:p>
          <w:p w14:paraId="2A547AB7" w14:textId="2CE6FCBE" w:rsidR="001E5F8F" w:rsidRPr="00FA0D37" w:rsidRDefault="005A5831" w:rsidP="00771058">
            <w:pPr>
              <w:pStyle w:val="TAL"/>
              <w:rPr>
                <w:b/>
                <w:bCs/>
                <w:i/>
                <w:iCs/>
                <w:lang w:eastAsia="en-GB"/>
              </w:rPr>
            </w:pPr>
            <w:r w:rsidRPr="00FA0D37">
              <w:rPr>
                <w:lang w:eastAsia="en-GB"/>
              </w:rPr>
              <w:t>I</w:t>
            </w:r>
            <w:r w:rsidR="001E5F8F" w:rsidRPr="00FA0D37">
              <w:rPr>
                <w:lang w:eastAsia="en-GB"/>
              </w:rPr>
              <w:t>ndicates gap starting SFN number for the aperiodic MUSIM gap.</w:t>
            </w:r>
          </w:p>
        </w:tc>
      </w:tr>
      <w:tr w:rsidR="001E5F8F" w:rsidRPr="00FA0D37"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FA0D37" w:rsidRDefault="001E5F8F" w:rsidP="00771058">
            <w:pPr>
              <w:keepNext/>
              <w:keepLines/>
              <w:spacing w:after="0"/>
              <w:rPr>
                <w:rFonts w:ascii="Arial" w:hAnsi="Arial"/>
                <w:b/>
                <w:bCs/>
                <w:i/>
                <w:iCs/>
                <w:sz w:val="18"/>
                <w:lang w:eastAsia="en-GB"/>
              </w:rPr>
            </w:pPr>
            <w:r w:rsidRPr="00FA0D37">
              <w:rPr>
                <w:rFonts w:ascii="Arial" w:hAnsi="Arial"/>
                <w:b/>
                <w:bCs/>
                <w:i/>
                <w:iCs/>
                <w:sz w:val="18"/>
                <w:lang w:eastAsia="en-GB"/>
              </w:rPr>
              <w:t>startingSubframe</w:t>
            </w:r>
          </w:p>
          <w:p w14:paraId="31C43082" w14:textId="485D37A8" w:rsidR="001E5F8F" w:rsidRPr="00FA0D37" w:rsidRDefault="005A5831" w:rsidP="00771058">
            <w:pPr>
              <w:pStyle w:val="TAL"/>
              <w:rPr>
                <w:b/>
                <w:bCs/>
                <w:i/>
                <w:iCs/>
                <w:lang w:eastAsia="en-GB"/>
              </w:rPr>
            </w:pPr>
            <w:r w:rsidRPr="00FA0D37">
              <w:rPr>
                <w:lang w:eastAsia="en-GB"/>
              </w:rPr>
              <w:t>I</w:t>
            </w:r>
            <w:r w:rsidR="001E5F8F" w:rsidRPr="00FA0D37">
              <w:rPr>
                <w:lang w:eastAsia="en-GB"/>
              </w:rPr>
              <w:t>ndicates gap starting subframe number for the aperiodic MUSIM gap.</w:t>
            </w:r>
          </w:p>
        </w:tc>
      </w:tr>
    </w:tbl>
    <w:p w14:paraId="7DFFA22C" w14:textId="77777777" w:rsidR="001E5F8F" w:rsidRPr="00FA0D37"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FA0D37" w:rsidRDefault="001E5F8F" w:rsidP="00771058">
            <w:pPr>
              <w:pStyle w:val="TAH"/>
              <w:rPr>
                <w:szCs w:val="22"/>
                <w:lang w:eastAsia="sv-SE"/>
              </w:rPr>
            </w:pPr>
            <w:r w:rsidRPr="00FA0D3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FA0D37" w:rsidRDefault="001E5F8F" w:rsidP="00771058">
            <w:pPr>
              <w:pStyle w:val="TAH"/>
              <w:rPr>
                <w:szCs w:val="22"/>
                <w:lang w:eastAsia="sv-SE"/>
              </w:rPr>
            </w:pPr>
            <w:r w:rsidRPr="00FA0D37">
              <w:rPr>
                <w:szCs w:val="22"/>
                <w:lang w:eastAsia="sv-SE"/>
              </w:rPr>
              <w:t>Explanation</w:t>
            </w:r>
          </w:p>
        </w:tc>
      </w:tr>
      <w:tr w:rsidR="005C7FF4" w:rsidRPr="00FA0D37"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FA0D37" w:rsidRDefault="001E5F8F" w:rsidP="00771058">
            <w:pPr>
              <w:pStyle w:val="TAL"/>
              <w:rPr>
                <w:szCs w:val="22"/>
                <w:lang w:eastAsia="sv-SE"/>
              </w:rPr>
            </w:pPr>
            <w:r w:rsidRPr="00FA0D37">
              <w:rPr>
                <w:i/>
                <w:iCs/>
                <w:szCs w:val="22"/>
                <w:lang w:eastAsia="sv-SE"/>
              </w:rPr>
              <w:t>a</w:t>
            </w:r>
            <w:r w:rsidRPr="00FA0D3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FA0D37" w:rsidRDefault="001E5F8F" w:rsidP="00771058">
            <w:pPr>
              <w:pStyle w:val="TAL"/>
              <w:rPr>
                <w:szCs w:val="22"/>
                <w:lang w:eastAsia="sv-SE"/>
              </w:rPr>
            </w:pPr>
            <w:r w:rsidRPr="00FA0D37">
              <w:rPr>
                <w:szCs w:val="22"/>
                <w:lang w:eastAsia="sv-SE"/>
              </w:rPr>
              <w:t>This field is mandatory present in case of aperiodic MUSIM gap configuration. Otherwise it is absent.</w:t>
            </w:r>
          </w:p>
        </w:tc>
      </w:tr>
      <w:tr w:rsidR="005C7FF4" w:rsidRPr="00FA0D37"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FA0D37" w:rsidRDefault="005A5831" w:rsidP="0071565C">
            <w:pPr>
              <w:pStyle w:val="TAL"/>
              <w:rPr>
                <w:i/>
                <w:szCs w:val="22"/>
                <w:lang w:eastAsia="sv-SE"/>
              </w:rPr>
            </w:pPr>
            <w:r w:rsidRPr="00FA0D37">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FA0D37" w:rsidRDefault="005A5831" w:rsidP="0071565C">
            <w:pPr>
              <w:pStyle w:val="TAL"/>
              <w:rPr>
                <w:szCs w:val="22"/>
                <w:lang w:eastAsia="sv-SE"/>
              </w:rPr>
            </w:pPr>
            <w:r w:rsidRPr="00FA0D37">
              <w:rPr>
                <w:szCs w:val="22"/>
                <w:lang w:eastAsia="sv-SE"/>
              </w:rPr>
              <w:t>The field is mandatory present upon configuration of a new MUSIM gap. The field is optionally present, Need M, otherwise.</w:t>
            </w:r>
          </w:p>
        </w:tc>
      </w:tr>
      <w:tr w:rsidR="00F747EB" w:rsidRPr="00FA0D37"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FA0D37" w:rsidRDefault="001E5F8F" w:rsidP="00771058">
            <w:pPr>
              <w:pStyle w:val="TAL"/>
              <w:rPr>
                <w:i/>
                <w:szCs w:val="22"/>
                <w:lang w:eastAsia="sv-SE"/>
              </w:rPr>
            </w:pPr>
            <w:r w:rsidRPr="00FA0D3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FA0D37" w:rsidRDefault="001E5F8F" w:rsidP="00771058">
            <w:pPr>
              <w:pStyle w:val="TAL"/>
              <w:rPr>
                <w:szCs w:val="22"/>
                <w:lang w:eastAsia="sv-SE"/>
              </w:rPr>
            </w:pPr>
            <w:r w:rsidRPr="00FA0D37">
              <w:rPr>
                <w:szCs w:val="22"/>
                <w:lang w:eastAsia="sv-SE"/>
              </w:rPr>
              <w:t>This field is mandatory present in case of periodic MUSIM gap configuration. Otherwise it is absent.</w:t>
            </w:r>
          </w:p>
        </w:tc>
      </w:tr>
    </w:tbl>
    <w:p w14:paraId="1569C041" w14:textId="77777777" w:rsidR="001E5F8F" w:rsidRPr="00FA0D37" w:rsidRDefault="001E5F8F" w:rsidP="00394471"/>
    <w:p w14:paraId="7D81B6B0" w14:textId="77777777" w:rsidR="00394471" w:rsidRPr="00FA0D37" w:rsidRDefault="00394471" w:rsidP="00394471">
      <w:pPr>
        <w:pStyle w:val="4"/>
        <w:rPr>
          <w:rFonts w:eastAsia="宋体"/>
          <w:lang w:eastAsia="en-GB"/>
        </w:rPr>
      </w:pPr>
      <w:bookmarkStart w:id="1136" w:name="_Toc60777280"/>
      <w:bookmarkStart w:id="1137" w:name="_Toc146781346"/>
      <w:r w:rsidRPr="00FA0D37">
        <w:rPr>
          <w:rFonts w:eastAsia="宋体"/>
          <w:lang w:eastAsia="en-GB"/>
        </w:rPr>
        <w:t>–</w:t>
      </w:r>
      <w:r w:rsidRPr="00FA0D37">
        <w:rPr>
          <w:rFonts w:eastAsia="宋体"/>
          <w:lang w:eastAsia="en-GB"/>
        </w:rPr>
        <w:tab/>
      </w:r>
      <w:r w:rsidRPr="00FA0D37">
        <w:rPr>
          <w:rFonts w:eastAsia="宋体"/>
          <w:i/>
          <w:iCs/>
          <w:lang w:eastAsia="en-GB"/>
        </w:rPr>
        <w:t>NeedForGapsConfigNR</w:t>
      </w:r>
      <w:bookmarkEnd w:id="1136"/>
      <w:bookmarkEnd w:id="1137"/>
    </w:p>
    <w:p w14:paraId="744A8C86" w14:textId="77777777" w:rsidR="00394471" w:rsidRPr="00FA0D37" w:rsidRDefault="00394471" w:rsidP="00394471">
      <w:pPr>
        <w:rPr>
          <w:rFonts w:eastAsia="宋体"/>
          <w:lang w:eastAsia="en-GB"/>
        </w:rPr>
      </w:pPr>
      <w:r w:rsidRPr="00FA0D37">
        <w:rPr>
          <w:rFonts w:eastAsia="宋体"/>
          <w:lang w:eastAsia="en-GB"/>
        </w:rPr>
        <w:t xml:space="preserve">The IE </w:t>
      </w:r>
      <w:r w:rsidRPr="00FA0D37">
        <w:rPr>
          <w:rFonts w:eastAsia="宋体"/>
          <w:i/>
          <w:lang w:eastAsia="en-GB"/>
        </w:rPr>
        <w:t>NeedForGapsConfigNR</w:t>
      </w:r>
      <w:r w:rsidRPr="00FA0D37">
        <w:rPr>
          <w:rFonts w:eastAsia="宋体"/>
          <w:lang w:eastAsia="en-GB"/>
        </w:rPr>
        <w:t xml:space="preserve"> contains configuration related to the reporting of measurement gap </w:t>
      </w:r>
      <w:r w:rsidRPr="00FA0D37">
        <w:t xml:space="preserve">requirement </w:t>
      </w:r>
      <w:r w:rsidRPr="00FA0D37">
        <w:rPr>
          <w:rFonts w:eastAsia="宋体"/>
          <w:lang w:eastAsia="en-GB"/>
        </w:rPr>
        <w:t>information.</w:t>
      </w:r>
    </w:p>
    <w:p w14:paraId="6AFDE3FE" w14:textId="77777777" w:rsidR="00394471" w:rsidRPr="00FA0D37" w:rsidRDefault="00394471" w:rsidP="00394471">
      <w:pPr>
        <w:pStyle w:val="TH"/>
        <w:rPr>
          <w:rFonts w:eastAsia="宋体"/>
          <w:lang w:eastAsia="en-GB"/>
        </w:rPr>
      </w:pPr>
      <w:r w:rsidRPr="00FA0D37">
        <w:rPr>
          <w:rFonts w:eastAsia="宋体"/>
          <w:i/>
          <w:lang w:eastAsia="en-GB"/>
        </w:rPr>
        <w:t>NeedForGapsConfigNR</w:t>
      </w:r>
      <w:r w:rsidRPr="00FA0D37">
        <w:rPr>
          <w:rFonts w:eastAsia="宋体"/>
          <w:lang w:eastAsia="en-GB"/>
        </w:rPr>
        <w:t xml:space="preserve"> information element</w:t>
      </w:r>
    </w:p>
    <w:p w14:paraId="29207618" w14:textId="77777777" w:rsidR="00394471" w:rsidRPr="00FA0D37" w:rsidRDefault="00394471" w:rsidP="00FA0D37">
      <w:pPr>
        <w:pStyle w:val="PL"/>
        <w:rPr>
          <w:color w:val="808080"/>
        </w:rPr>
      </w:pPr>
      <w:r w:rsidRPr="00FA0D37">
        <w:rPr>
          <w:color w:val="808080"/>
        </w:rPr>
        <w:t>-- ASN1START</w:t>
      </w:r>
    </w:p>
    <w:p w14:paraId="5D5F4312" w14:textId="77777777" w:rsidR="00394471" w:rsidRPr="00FA0D37" w:rsidRDefault="00394471" w:rsidP="00FA0D37">
      <w:pPr>
        <w:pStyle w:val="PL"/>
        <w:rPr>
          <w:color w:val="808080"/>
        </w:rPr>
      </w:pPr>
      <w:r w:rsidRPr="00FA0D37">
        <w:rPr>
          <w:color w:val="808080"/>
        </w:rPr>
        <w:t>-- TAG-NeedForGapsConfigNR-START</w:t>
      </w:r>
    </w:p>
    <w:p w14:paraId="2A9CE6E7" w14:textId="77777777" w:rsidR="00394471" w:rsidRPr="00FA0D37" w:rsidRDefault="00394471" w:rsidP="00FA0D37">
      <w:pPr>
        <w:pStyle w:val="PL"/>
      </w:pPr>
    </w:p>
    <w:p w14:paraId="6052EBD5" w14:textId="77777777" w:rsidR="00394471" w:rsidRPr="00FA0D37" w:rsidRDefault="00394471" w:rsidP="00FA0D37">
      <w:pPr>
        <w:pStyle w:val="PL"/>
      </w:pPr>
      <w:r w:rsidRPr="00FA0D37">
        <w:t xml:space="preserve">NeedForGapsConfigNR-r16 ::=        </w:t>
      </w:r>
      <w:r w:rsidRPr="00FA0D37">
        <w:rPr>
          <w:color w:val="993366"/>
        </w:rPr>
        <w:t>SEQUENCE</w:t>
      </w:r>
      <w:r w:rsidRPr="00FA0D37">
        <w:t xml:space="preserve"> {</w:t>
      </w:r>
    </w:p>
    <w:p w14:paraId="682E21E5" w14:textId="77777777" w:rsidR="00394471" w:rsidRPr="00FA0D37" w:rsidRDefault="00394471" w:rsidP="00FA0D37">
      <w:pPr>
        <w:pStyle w:val="PL"/>
        <w:rPr>
          <w:color w:val="808080"/>
        </w:rPr>
      </w:pPr>
      <w:r w:rsidRPr="00FA0D37">
        <w:t xml:space="preserve">    requestedTargetBandFilterNR-r16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FreqBandIndicatorNR               </w:t>
      </w:r>
      <w:r w:rsidRPr="00FA0D37">
        <w:rPr>
          <w:color w:val="993366"/>
        </w:rPr>
        <w:t>OPTIONAL</w:t>
      </w:r>
      <w:r w:rsidRPr="00FA0D37">
        <w:t xml:space="preserve">          </w:t>
      </w:r>
      <w:r w:rsidRPr="00FA0D37">
        <w:rPr>
          <w:color w:val="808080"/>
        </w:rPr>
        <w:t>-- Need R</w:t>
      </w:r>
    </w:p>
    <w:p w14:paraId="4CD72E06" w14:textId="77777777" w:rsidR="00394471" w:rsidRPr="00FA0D37" w:rsidRDefault="00394471" w:rsidP="00FA0D37">
      <w:pPr>
        <w:pStyle w:val="PL"/>
      </w:pPr>
      <w:r w:rsidRPr="00FA0D37">
        <w:t>}</w:t>
      </w:r>
    </w:p>
    <w:p w14:paraId="760D823B" w14:textId="77777777" w:rsidR="00394471" w:rsidRPr="00FA0D37" w:rsidRDefault="00394471" w:rsidP="00FA0D37">
      <w:pPr>
        <w:pStyle w:val="PL"/>
      </w:pPr>
    </w:p>
    <w:p w14:paraId="7F49FA68" w14:textId="77777777" w:rsidR="00394471" w:rsidRPr="00FA0D37" w:rsidRDefault="00394471" w:rsidP="00FA0D37">
      <w:pPr>
        <w:pStyle w:val="PL"/>
        <w:rPr>
          <w:color w:val="808080"/>
        </w:rPr>
      </w:pPr>
      <w:r w:rsidRPr="00FA0D37">
        <w:rPr>
          <w:color w:val="808080"/>
        </w:rPr>
        <w:t>-- TAG-NeedForGapsConfigNR-STOP</w:t>
      </w:r>
    </w:p>
    <w:p w14:paraId="5418540D" w14:textId="77777777" w:rsidR="00394471" w:rsidRPr="00FA0D37" w:rsidRDefault="00394471" w:rsidP="00FA0D37">
      <w:pPr>
        <w:pStyle w:val="PL"/>
        <w:rPr>
          <w:color w:val="808080"/>
        </w:rPr>
      </w:pPr>
      <w:r w:rsidRPr="00FA0D37">
        <w:rPr>
          <w:color w:val="808080"/>
        </w:rPr>
        <w:t>-- ASN1STOP</w:t>
      </w:r>
    </w:p>
    <w:p w14:paraId="445D62B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FA0D37" w:rsidRDefault="00394471" w:rsidP="00964CC4">
            <w:pPr>
              <w:pStyle w:val="TAH"/>
              <w:rPr>
                <w:b w:val="0"/>
                <w:i/>
                <w:iCs/>
              </w:rPr>
            </w:pPr>
            <w:r w:rsidRPr="00FA0D37">
              <w:rPr>
                <w:i/>
                <w:iCs/>
              </w:rPr>
              <w:t>NeedForGapsConfigNR field descriptions</w:t>
            </w:r>
          </w:p>
        </w:tc>
      </w:tr>
      <w:tr w:rsidR="00394471" w:rsidRPr="00FA0D37"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FA0D37" w:rsidRDefault="00394471" w:rsidP="00964CC4">
            <w:pPr>
              <w:pStyle w:val="TAL"/>
              <w:rPr>
                <w:b/>
                <w:bCs/>
                <w:i/>
                <w:iCs/>
              </w:rPr>
            </w:pPr>
            <w:r w:rsidRPr="00FA0D37">
              <w:rPr>
                <w:b/>
                <w:bCs/>
                <w:i/>
                <w:iCs/>
              </w:rPr>
              <w:t>requestedTargetBandFilterNR</w:t>
            </w:r>
          </w:p>
          <w:p w14:paraId="19F89B8F" w14:textId="77777777" w:rsidR="00394471" w:rsidRPr="00FA0D37" w:rsidRDefault="00394471" w:rsidP="00964CC4">
            <w:pPr>
              <w:pStyle w:val="TAL"/>
            </w:pPr>
            <w:r w:rsidRPr="00FA0D37">
              <w:t>Indicates the target NR bands that the UE is requested to report the gap requirement information.</w:t>
            </w:r>
          </w:p>
        </w:tc>
      </w:tr>
    </w:tbl>
    <w:p w14:paraId="1ED28BB0" w14:textId="77777777" w:rsidR="00394471" w:rsidRPr="00FA0D37" w:rsidRDefault="00394471" w:rsidP="00394471"/>
    <w:p w14:paraId="0E45B0B0" w14:textId="77777777" w:rsidR="00394471" w:rsidRPr="00FA0D37" w:rsidRDefault="00394471" w:rsidP="00394471">
      <w:pPr>
        <w:keepNext/>
        <w:keepLines/>
        <w:spacing w:before="120"/>
        <w:ind w:left="1418" w:hanging="1418"/>
        <w:outlineLvl w:val="3"/>
        <w:rPr>
          <w:rFonts w:ascii="Arial" w:eastAsia="宋体" w:hAnsi="Arial"/>
          <w:sz w:val="24"/>
          <w:lang w:eastAsia="en-GB"/>
        </w:rPr>
      </w:pPr>
      <w:r w:rsidRPr="00FA0D37">
        <w:rPr>
          <w:rFonts w:ascii="Arial" w:eastAsia="宋体" w:hAnsi="Arial"/>
          <w:sz w:val="24"/>
          <w:lang w:eastAsia="en-GB"/>
        </w:rPr>
        <w:lastRenderedPageBreak/>
        <w:t>–</w:t>
      </w:r>
      <w:r w:rsidRPr="00FA0D37">
        <w:rPr>
          <w:rFonts w:ascii="Arial" w:eastAsia="宋体" w:hAnsi="Arial"/>
          <w:sz w:val="24"/>
          <w:lang w:eastAsia="en-GB"/>
        </w:rPr>
        <w:tab/>
      </w:r>
      <w:r w:rsidRPr="00FA0D37">
        <w:rPr>
          <w:rFonts w:ascii="Arial" w:eastAsia="宋体" w:hAnsi="Arial"/>
          <w:i/>
          <w:sz w:val="24"/>
          <w:lang w:eastAsia="en-GB"/>
        </w:rPr>
        <w:t>NeedForGapsInfoNR</w:t>
      </w:r>
    </w:p>
    <w:p w14:paraId="229809EF" w14:textId="77777777" w:rsidR="00394471" w:rsidRPr="00FA0D37" w:rsidRDefault="00394471" w:rsidP="00394471">
      <w:pPr>
        <w:rPr>
          <w:rFonts w:eastAsia="宋体"/>
          <w:lang w:eastAsia="en-GB"/>
        </w:rPr>
      </w:pPr>
      <w:r w:rsidRPr="00FA0D37">
        <w:rPr>
          <w:rFonts w:eastAsia="宋体"/>
          <w:lang w:eastAsia="en-GB"/>
        </w:rPr>
        <w:t xml:space="preserve">The IE </w:t>
      </w:r>
      <w:r w:rsidRPr="00FA0D37">
        <w:rPr>
          <w:rFonts w:eastAsia="宋体"/>
          <w:i/>
          <w:lang w:eastAsia="en-GB"/>
        </w:rPr>
        <w:t>NeedForGapsInfoNR</w:t>
      </w:r>
      <w:r w:rsidRPr="00FA0D37">
        <w:rPr>
          <w:rFonts w:eastAsia="宋体"/>
          <w:lang w:eastAsia="en-GB"/>
        </w:rPr>
        <w:t xml:space="preserve"> indicates whether measurement gap is required for the UE to perform </w:t>
      </w:r>
      <w:r w:rsidRPr="00FA0D37">
        <w:t>SSB based measurements on an NR target band while NR-DC or NE-DC is not configured.</w:t>
      </w:r>
    </w:p>
    <w:p w14:paraId="3DC1DFEE" w14:textId="77777777" w:rsidR="00394471" w:rsidRPr="00FA0D37" w:rsidRDefault="00394471" w:rsidP="00394471">
      <w:pPr>
        <w:pStyle w:val="TH"/>
        <w:rPr>
          <w:rFonts w:eastAsia="宋体"/>
          <w:lang w:eastAsia="en-GB"/>
        </w:rPr>
      </w:pPr>
      <w:r w:rsidRPr="00FA0D37">
        <w:rPr>
          <w:rFonts w:eastAsia="宋体"/>
          <w:i/>
          <w:lang w:eastAsia="en-GB"/>
        </w:rPr>
        <w:t>NeedForGapsInfoNR</w:t>
      </w:r>
      <w:r w:rsidRPr="00FA0D37">
        <w:rPr>
          <w:rFonts w:eastAsia="宋体"/>
          <w:lang w:eastAsia="en-GB"/>
        </w:rPr>
        <w:t xml:space="preserve"> information element</w:t>
      </w:r>
    </w:p>
    <w:p w14:paraId="51B87996" w14:textId="77777777" w:rsidR="00394471" w:rsidRPr="00FA0D37" w:rsidRDefault="00394471" w:rsidP="00FA0D37">
      <w:pPr>
        <w:pStyle w:val="PL"/>
        <w:rPr>
          <w:color w:val="808080"/>
        </w:rPr>
      </w:pPr>
      <w:r w:rsidRPr="00FA0D37">
        <w:rPr>
          <w:color w:val="808080"/>
        </w:rPr>
        <w:t>-- ASN1START</w:t>
      </w:r>
    </w:p>
    <w:p w14:paraId="2D1D5E50" w14:textId="77777777" w:rsidR="00394471" w:rsidRPr="00FA0D37" w:rsidRDefault="00394471" w:rsidP="00FA0D37">
      <w:pPr>
        <w:pStyle w:val="PL"/>
        <w:rPr>
          <w:color w:val="808080"/>
        </w:rPr>
      </w:pPr>
      <w:r w:rsidRPr="00FA0D37">
        <w:rPr>
          <w:color w:val="808080"/>
        </w:rPr>
        <w:t>-- TAG-NeedForGapsInfoNR-START</w:t>
      </w:r>
    </w:p>
    <w:p w14:paraId="5AB7EF57" w14:textId="77777777" w:rsidR="00394471" w:rsidRPr="00FA0D37" w:rsidRDefault="00394471" w:rsidP="00FA0D37">
      <w:pPr>
        <w:pStyle w:val="PL"/>
      </w:pPr>
    </w:p>
    <w:p w14:paraId="5D65B2FF" w14:textId="77777777" w:rsidR="00394471" w:rsidRPr="00FA0D37" w:rsidRDefault="00394471" w:rsidP="00FA0D37">
      <w:pPr>
        <w:pStyle w:val="PL"/>
      </w:pPr>
      <w:r w:rsidRPr="00FA0D37">
        <w:t xml:space="preserve">NeedForGapsInfoNR-r16 ::=        </w:t>
      </w:r>
      <w:r w:rsidRPr="00FA0D37">
        <w:rPr>
          <w:color w:val="993366"/>
        </w:rPr>
        <w:t>SEQUENCE</w:t>
      </w:r>
      <w:r w:rsidRPr="00FA0D37">
        <w:t xml:space="preserve"> {</w:t>
      </w:r>
    </w:p>
    <w:p w14:paraId="2190CB09" w14:textId="72204781" w:rsidR="00394471" w:rsidRPr="00FA0D37" w:rsidRDefault="00394471" w:rsidP="00FA0D37">
      <w:pPr>
        <w:pStyle w:val="PL"/>
      </w:pPr>
      <w:r w:rsidRPr="00FA0D37">
        <w:t xml:space="preserve">    intraFreq-needForGap-r16      NeedForGapsIntraFreq</w:t>
      </w:r>
      <w:r w:rsidR="00137D47" w:rsidRPr="00FA0D37">
        <w:t>L</w:t>
      </w:r>
      <w:r w:rsidRPr="00FA0D37">
        <w:t>ist-r16,</w:t>
      </w:r>
    </w:p>
    <w:p w14:paraId="4AC9EF69" w14:textId="5B641281" w:rsidR="00394471" w:rsidRPr="00FA0D37" w:rsidRDefault="00394471" w:rsidP="00FA0D37">
      <w:pPr>
        <w:pStyle w:val="PL"/>
      </w:pPr>
      <w:r w:rsidRPr="00FA0D37">
        <w:t xml:space="preserve">    interFreq-needForGap-r16      NeedForGapsBand</w:t>
      </w:r>
      <w:r w:rsidR="00137D47" w:rsidRPr="00FA0D37">
        <w:t>L</w:t>
      </w:r>
      <w:r w:rsidRPr="00FA0D37">
        <w:t>istNR-r16</w:t>
      </w:r>
    </w:p>
    <w:p w14:paraId="3FF27280" w14:textId="77777777" w:rsidR="00394471" w:rsidRPr="00FA0D37" w:rsidRDefault="00394471" w:rsidP="00FA0D37">
      <w:pPr>
        <w:pStyle w:val="PL"/>
      </w:pPr>
      <w:r w:rsidRPr="00FA0D37">
        <w:t>}</w:t>
      </w:r>
    </w:p>
    <w:p w14:paraId="531F6CCB" w14:textId="77777777" w:rsidR="00394471" w:rsidRPr="00FA0D37" w:rsidRDefault="00394471" w:rsidP="00FA0D37">
      <w:pPr>
        <w:pStyle w:val="PL"/>
      </w:pPr>
    </w:p>
    <w:p w14:paraId="779D8ED8" w14:textId="2926B568" w:rsidR="00394471" w:rsidRPr="00FA0D37" w:rsidRDefault="00394471" w:rsidP="00FA0D37">
      <w:pPr>
        <w:pStyle w:val="PL"/>
      </w:pPr>
      <w:r w:rsidRPr="00FA0D37">
        <w:t>NeedForGapsIntraFreq</w:t>
      </w:r>
      <w:r w:rsidR="00137D47" w:rsidRPr="00FA0D37">
        <w:t>L</w:t>
      </w:r>
      <w:r w:rsidRPr="00FA0D37">
        <w:t xml:space="preserve">ist-r16 ::=          </w:t>
      </w:r>
      <w:r w:rsidRPr="00FA0D37">
        <w:rPr>
          <w:color w:val="993366"/>
        </w:rPr>
        <w:t>SEQUENCE</w:t>
      </w:r>
      <w:r w:rsidRPr="00FA0D37">
        <w:t xml:space="preserve"> (</w:t>
      </w:r>
      <w:r w:rsidRPr="00FA0D37">
        <w:rPr>
          <w:color w:val="993366"/>
        </w:rPr>
        <w:t>SIZE</w:t>
      </w:r>
      <w:r w:rsidRPr="00FA0D37">
        <w:t xml:space="preserve"> (1.. maxNrofServingCells))</w:t>
      </w:r>
      <w:r w:rsidRPr="00FA0D37">
        <w:rPr>
          <w:color w:val="993366"/>
        </w:rPr>
        <w:t xml:space="preserve"> OF</w:t>
      </w:r>
      <w:r w:rsidRPr="00FA0D37">
        <w:t xml:space="preserve"> NeedForGapsIntraFreq-r16</w:t>
      </w:r>
    </w:p>
    <w:p w14:paraId="727DF245" w14:textId="77777777" w:rsidR="00394471" w:rsidRPr="00FA0D37" w:rsidRDefault="00394471" w:rsidP="00FA0D37">
      <w:pPr>
        <w:pStyle w:val="PL"/>
      </w:pPr>
    </w:p>
    <w:p w14:paraId="64C4405E" w14:textId="4D0A28C1" w:rsidR="00394471" w:rsidRPr="00FA0D37" w:rsidRDefault="00394471" w:rsidP="00FA0D37">
      <w:pPr>
        <w:pStyle w:val="PL"/>
      </w:pPr>
      <w:r w:rsidRPr="00FA0D37">
        <w:t>NeedForGapsBand</w:t>
      </w:r>
      <w:r w:rsidR="00137D47" w:rsidRPr="00FA0D37">
        <w:t>L</w:t>
      </w:r>
      <w:r w:rsidRPr="00FA0D37">
        <w:t xml:space="preserve">istNR-r16 ::=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NeedForGapsNR-r16</w:t>
      </w:r>
    </w:p>
    <w:p w14:paraId="57E6475D" w14:textId="77777777" w:rsidR="00394471" w:rsidRPr="00FA0D37" w:rsidRDefault="00394471" w:rsidP="00FA0D37">
      <w:pPr>
        <w:pStyle w:val="PL"/>
      </w:pPr>
    </w:p>
    <w:p w14:paraId="384CA63C" w14:textId="77777777" w:rsidR="00394471" w:rsidRPr="00FA0D37" w:rsidRDefault="00394471" w:rsidP="00FA0D37">
      <w:pPr>
        <w:pStyle w:val="PL"/>
      </w:pPr>
      <w:r w:rsidRPr="00FA0D37">
        <w:t xml:space="preserve">NeedForGapsIntraFreq-r16  ::=                 </w:t>
      </w:r>
      <w:r w:rsidRPr="00FA0D37">
        <w:rPr>
          <w:color w:val="993366"/>
        </w:rPr>
        <w:t>SEQUENCE</w:t>
      </w:r>
      <w:r w:rsidRPr="00FA0D37">
        <w:t xml:space="preserve"> {</w:t>
      </w:r>
    </w:p>
    <w:p w14:paraId="6F921167" w14:textId="77777777" w:rsidR="00394471" w:rsidRPr="00FA0D37" w:rsidRDefault="00394471" w:rsidP="00FA0D37">
      <w:pPr>
        <w:pStyle w:val="PL"/>
      </w:pPr>
      <w:r w:rsidRPr="00FA0D37">
        <w:t xml:space="preserve">    servCellId-r16                               ServCellIndex,</w:t>
      </w:r>
    </w:p>
    <w:p w14:paraId="51B292CE" w14:textId="77777777" w:rsidR="00394471" w:rsidRPr="00FA0D37" w:rsidRDefault="00394471" w:rsidP="00FA0D37">
      <w:pPr>
        <w:pStyle w:val="PL"/>
      </w:pPr>
      <w:r w:rsidRPr="00FA0D37">
        <w:t xml:space="preserve">    gapIndicationIntra-r16                       </w:t>
      </w:r>
      <w:r w:rsidRPr="00FA0D37">
        <w:rPr>
          <w:color w:val="993366"/>
        </w:rPr>
        <w:t>ENUMERATED</w:t>
      </w:r>
      <w:r w:rsidRPr="00FA0D37">
        <w:t xml:space="preserve"> {gap, no-gap}</w:t>
      </w:r>
    </w:p>
    <w:p w14:paraId="4AB6C260" w14:textId="77777777" w:rsidR="00394471" w:rsidRPr="00FA0D37" w:rsidRDefault="00394471" w:rsidP="00FA0D37">
      <w:pPr>
        <w:pStyle w:val="PL"/>
      </w:pPr>
      <w:r w:rsidRPr="00FA0D37">
        <w:t>}</w:t>
      </w:r>
    </w:p>
    <w:p w14:paraId="604BB909" w14:textId="77777777" w:rsidR="00394471" w:rsidRPr="00FA0D37" w:rsidRDefault="00394471" w:rsidP="00FA0D37">
      <w:pPr>
        <w:pStyle w:val="PL"/>
      </w:pPr>
    </w:p>
    <w:p w14:paraId="54067824" w14:textId="77777777" w:rsidR="00394471" w:rsidRPr="00FA0D37" w:rsidRDefault="00394471" w:rsidP="00FA0D37">
      <w:pPr>
        <w:pStyle w:val="PL"/>
      </w:pPr>
      <w:r w:rsidRPr="00FA0D37">
        <w:t xml:space="preserve">NeedForGapsNR-r16  ::=                        </w:t>
      </w:r>
      <w:r w:rsidRPr="00FA0D37">
        <w:rPr>
          <w:color w:val="993366"/>
        </w:rPr>
        <w:t>SEQUENCE</w:t>
      </w:r>
      <w:r w:rsidRPr="00FA0D37">
        <w:t xml:space="preserve"> {</w:t>
      </w:r>
    </w:p>
    <w:p w14:paraId="173BF02C" w14:textId="77777777" w:rsidR="00394471" w:rsidRPr="00FA0D37" w:rsidRDefault="00394471" w:rsidP="00FA0D37">
      <w:pPr>
        <w:pStyle w:val="PL"/>
      </w:pPr>
      <w:r w:rsidRPr="00FA0D37">
        <w:t xml:space="preserve">    bandNR-r16                                   FreqBandIndicatorNR,</w:t>
      </w:r>
    </w:p>
    <w:p w14:paraId="71797B75" w14:textId="77777777" w:rsidR="00394471" w:rsidRPr="00FA0D37" w:rsidRDefault="00394471" w:rsidP="00FA0D37">
      <w:pPr>
        <w:pStyle w:val="PL"/>
      </w:pPr>
      <w:r w:rsidRPr="00FA0D37">
        <w:t xml:space="preserve">    gapIndication-r16                            </w:t>
      </w:r>
      <w:r w:rsidRPr="00FA0D37">
        <w:rPr>
          <w:color w:val="993366"/>
        </w:rPr>
        <w:t>ENUMERATED</w:t>
      </w:r>
      <w:r w:rsidRPr="00FA0D37">
        <w:t xml:space="preserve"> {gap, no-gap}</w:t>
      </w:r>
    </w:p>
    <w:p w14:paraId="5C822F8A" w14:textId="77777777" w:rsidR="00394471" w:rsidRPr="00FA0D37" w:rsidRDefault="00394471" w:rsidP="00FA0D37">
      <w:pPr>
        <w:pStyle w:val="PL"/>
      </w:pPr>
      <w:r w:rsidRPr="00FA0D37">
        <w:t>}</w:t>
      </w:r>
    </w:p>
    <w:p w14:paraId="09669AAD" w14:textId="77777777" w:rsidR="00394471" w:rsidRPr="00FA0D37" w:rsidRDefault="00394471" w:rsidP="00FA0D37">
      <w:pPr>
        <w:pStyle w:val="PL"/>
      </w:pPr>
    </w:p>
    <w:p w14:paraId="404894A5" w14:textId="77777777" w:rsidR="00394471" w:rsidRPr="00FA0D37" w:rsidRDefault="00394471" w:rsidP="00FA0D37">
      <w:pPr>
        <w:pStyle w:val="PL"/>
        <w:rPr>
          <w:color w:val="808080"/>
        </w:rPr>
      </w:pPr>
      <w:r w:rsidRPr="00FA0D37">
        <w:rPr>
          <w:color w:val="808080"/>
        </w:rPr>
        <w:t>-- TAG-NeedForGapsInfoNR-STOP</w:t>
      </w:r>
    </w:p>
    <w:p w14:paraId="3B7B67D1" w14:textId="77777777" w:rsidR="00394471" w:rsidRPr="00FA0D37" w:rsidRDefault="00394471" w:rsidP="00FA0D37">
      <w:pPr>
        <w:pStyle w:val="PL"/>
        <w:rPr>
          <w:color w:val="808080"/>
        </w:rPr>
      </w:pPr>
      <w:r w:rsidRPr="00FA0D37">
        <w:rPr>
          <w:color w:val="808080"/>
        </w:rPr>
        <w:t>-- ASN1STOP</w:t>
      </w:r>
    </w:p>
    <w:p w14:paraId="084A89A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FA0D37" w:rsidRDefault="00394471" w:rsidP="00964CC4">
            <w:pPr>
              <w:pStyle w:val="TAH"/>
            </w:pPr>
            <w:r w:rsidRPr="00FA0D37">
              <w:rPr>
                <w:i/>
              </w:rPr>
              <w:t xml:space="preserve">NeedForGapsInfoNR </w:t>
            </w:r>
            <w:r w:rsidRPr="00FA0D37">
              <w:t>field descriptions</w:t>
            </w:r>
          </w:p>
        </w:tc>
      </w:tr>
      <w:tr w:rsidR="005C7FF4" w:rsidRPr="00FA0D37"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FA0D37" w:rsidRDefault="00394471" w:rsidP="00964CC4">
            <w:pPr>
              <w:pStyle w:val="TAL"/>
              <w:rPr>
                <w:b/>
                <w:bCs/>
                <w:i/>
                <w:iCs/>
              </w:rPr>
            </w:pPr>
            <w:r w:rsidRPr="00FA0D37">
              <w:rPr>
                <w:b/>
                <w:bCs/>
                <w:i/>
                <w:iCs/>
              </w:rPr>
              <w:t>intraFreq-needForGap</w:t>
            </w:r>
          </w:p>
          <w:p w14:paraId="7A6F0723" w14:textId="77777777" w:rsidR="00394471" w:rsidRPr="00FA0D37" w:rsidRDefault="00394471" w:rsidP="00964CC4">
            <w:pPr>
              <w:pStyle w:val="TAL"/>
            </w:pPr>
            <w:r w:rsidRPr="00FA0D37">
              <w:t>Indicates the measurement gap requirement information for NR intra-frequency measurement.</w:t>
            </w:r>
          </w:p>
        </w:tc>
      </w:tr>
      <w:tr w:rsidR="00394471" w:rsidRPr="00FA0D37"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FA0D37" w:rsidRDefault="00394471" w:rsidP="00964CC4">
            <w:pPr>
              <w:pStyle w:val="TAL"/>
              <w:rPr>
                <w:b/>
                <w:bCs/>
                <w:i/>
                <w:iCs/>
              </w:rPr>
            </w:pPr>
            <w:r w:rsidRPr="00FA0D37">
              <w:rPr>
                <w:b/>
                <w:bCs/>
                <w:i/>
                <w:iCs/>
              </w:rPr>
              <w:t>interFreq-needForGap</w:t>
            </w:r>
          </w:p>
          <w:p w14:paraId="02E0B1D1" w14:textId="77777777" w:rsidR="00394471" w:rsidRPr="00FA0D37" w:rsidRDefault="00394471" w:rsidP="00964CC4">
            <w:pPr>
              <w:pStyle w:val="TAL"/>
            </w:pPr>
            <w:r w:rsidRPr="00FA0D37">
              <w:t>Indicates the measurement gap requirement information for NR inter-frequency measurement.</w:t>
            </w:r>
          </w:p>
        </w:tc>
      </w:tr>
    </w:tbl>
    <w:p w14:paraId="358B9B2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FA0D37" w:rsidRDefault="00394471" w:rsidP="00964CC4">
            <w:pPr>
              <w:pStyle w:val="TAH"/>
              <w:rPr>
                <w:b w:val="0"/>
                <w:i/>
                <w:iCs/>
              </w:rPr>
            </w:pPr>
            <w:r w:rsidRPr="00FA0D37">
              <w:rPr>
                <w:i/>
                <w:iCs/>
              </w:rPr>
              <w:lastRenderedPageBreak/>
              <w:t>NeedForGapsIntraFreq field descriptions</w:t>
            </w:r>
          </w:p>
        </w:tc>
      </w:tr>
      <w:tr w:rsidR="005C7FF4" w:rsidRPr="00FA0D37"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FA0D37" w:rsidRDefault="00394471" w:rsidP="00964CC4">
            <w:pPr>
              <w:pStyle w:val="TAL"/>
              <w:rPr>
                <w:b/>
                <w:bCs/>
                <w:i/>
                <w:iCs/>
              </w:rPr>
            </w:pPr>
            <w:r w:rsidRPr="00FA0D37">
              <w:rPr>
                <w:b/>
                <w:bCs/>
                <w:i/>
                <w:iCs/>
              </w:rPr>
              <w:t>servCellId</w:t>
            </w:r>
          </w:p>
          <w:p w14:paraId="76DC6612" w14:textId="77777777" w:rsidR="00394471" w:rsidRPr="00FA0D37" w:rsidRDefault="00394471" w:rsidP="00964CC4">
            <w:pPr>
              <w:pStyle w:val="TAL"/>
            </w:pPr>
            <w:r w:rsidRPr="00FA0D37">
              <w:t xml:space="preserve">Indicates the serving cell which contains the target SSB (associated with the initial DL BWP) to be measured. </w:t>
            </w:r>
          </w:p>
        </w:tc>
      </w:tr>
      <w:tr w:rsidR="00140A8D" w:rsidRPr="00FA0D37"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FA0D37" w:rsidRDefault="00394471" w:rsidP="00964CC4">
            <w:pPr>
              <w:pStyle w:val="TAL"/>
              <w:rPr>
                <w:b/>
                <w:bCs/>
                <w:i/>
                <w:iCs/>
              </w:rPr>
            </w:pPr>
            <w:r w:rsidRPr="00FA0D37">
              <w:rPr>
                <w:b/>
                <w:bCs/>
                <w:i/>
                <w:iCs/>
              </w:rPr>
              <w:t>gapIndicationIntra</w:t>
            </w:r>
          </w:p>
          <w:p w14:paraId="116A0A53" w14:textId="67298873" w:rsidR="00394471" w:rsidRPr="00FA0D37" w:rsidRDefault="00394471" w:rsidP="00964CC4">
            <w:pPr>
              <w:pStyle w:val="TAL"/>
            </w:pPr>
            <w:r w:rsidRPr="00FA0D37">
              <w:t xml:space="preserve">Indicates whether measurement gap is required for the UE to perform intra-frequency SSB based measurements on the concerned serving cell. Value </w:t>
            </w:r>
            <w:r w:rsidRPr="00FA0D37">
              <w:rPr>
                <w:i/>
                <w:iCs/>
              </w:rPr>
              <w:t>gap</w:t>
            </w:r>
            <w:r w:rsidRPr="00FA0D37">
              <w:t xml:space="preserve"> indicates that a measurement gap is needed if any of the UE configured BWPs </w:t>
            </w:r>
            <w:r w:rsidR="00982714" w:rsidRPr="00FA0D37">
              <w:rPr>
                <w:rFonts w:eastAsia="Arial Unicode MS" w:cs="Arial"/>
                <w:szCs w:val="18"/>
              </w:rPr>
              <w:t xml:space="preserve">(except the BWP(s) configured with </w:t>
            </w:r>
            <w:r w:rsidR="00140A8D" w:rsidRPr="00FA0D37">
              <w:rPr>
                <w:rStyle w:val="afa"/>
                <w:rFonts w:eastAsia="Arial Unicode MS" w:cs="Arial"/>
                <w:szCs w:val="18"/>
              </w:rPr>
              <w:t>s</w:t>
            </w:r>
            <w:r w:rsidR="00982714" w:rsidRPr="00FA0D37">
              <w:rPr>
                <w:rStyle w:val="afa"/>
                <w:rFonts w:eastAsia="Arial Unicode MS" w:cs="Arial"/>
                <w:szCs w:val="18"/>
              </w:rPr>
              <w:t xml:space="preserve">ervingCellMO </w:t>
            </w:r>
            <w:r w:rsidR="00982714" w:rsidRPr="00FA0D37">
              <w:rPr>
                <w:rFonts w:eastAsia="Arial Unicode MS" w:cs="Arial"/>
                <w:szCs w:val="18"/>
              </w:rPr>
              <w:t xml:space="preserve">associated with NCD-SSB) </w:t>
            </w:r>
            <w:r w:rsidRPr="00FA0D37">
              <w:t>do not contain the frequency domain resources of the SSB associated to the initial DL BWP</w:t>
            </w:r>
            <w:r w:rsidR="00982714" w:rsidRPr="00FA0D37">
              <w:rPr>
                <w:lang w:eastAsia="zh-CN"/>
              </w:rPr>
              <w:t xml:space="preserve"> (CD-SSB)</w:t>
            </w:r>
            <w:r w:rsidRPr="00FA0D37">
              <w:t xml:space="preserve">. Value </w:t>
            </w:r>
            <w:r w:rsidRPr="00FA0D37">
              <w:rPr>
                <w:i/>
                <w:iCs/>
              </w:rPr>
              <w:t>no-gap</w:t>
            </w:r>
            <w:r w:rsidRPr="00FA0D37">
              <w:t xml:space="preserve"> indicates a measurement gap is not needed to measure the SSB associated to the initial DL BWP</w:t>
            </w:r>
            <w:r w:rsidR="00982714" w:rsidRPr="00FA0D37">
              <w:rPr>
                <w:lang w:eastAsia="zh-CN"/>
              </w:rPr>
              <w:t xml:space="preserve"> (CD-SSB)</w:t>
            </w:r>
            <w:r w:rsidRPr="00FA0D37">
              <w:t xml:space="preserve"> for all configured BWPs</w:t>
            </w:r>
            <w:r w:rsidR="00982714" w:rsidRPr="00FA0D37">
              <w:rPr>
                <w:rFonts w:cs="Arial"/>
                <w:szCs w:val="18"/>
                <w:lang w:eastAsia="zh-CN"/>
              </w:rPr>
              <w:t xml:space="preserve"> </w:t>
            </w:r>
            <w:r w:rsidR="00982714" w:rsidRPr="00FA0D37">
              <w:rPr>
                <w:rFonts w:eastAsia="Arial Unicode MS" w:cs="Arial"/>
                <w:szCs w:val="18"/>
              </w:rPr>
              <w:t xml:space="preserve">(except the BWP(s) configured with </w:t>
            </w:r>
            <w:r w:rsidR="00140A8D" w:rsidRPr="00FA0D37">
              <w:rPr>
                <w:rStyle w:val="afa"/>
                <w:rFonts w:eastAsia="Arial Unicode MS" w:cs="Arial"/>
                <w:szCs w:val="18"/>
              </w:rPr>
              <w:t>s</w:t>
            </w:r>
            <w:r w:rsidR="00982714" w:rsidRPr="00FA0D37">
              <w:rPr>
                <w:rStyle w:val="afa"/>
                <w:rFonts w:eastAsia="Arial Unicode MS" w:cs="Arial"/>
                <w:szCs w:val="18"/>
              </w:rPr>
              <w:t xml:space="preserve">ervingCellMO </w:t>
            </w:r>
            <w:r w:rsidR="00982714" w:rsidRPr="00FA0D37">
              <w:rPr>
                <w:rFonts w:eastAsia="Arial Unicode MS" w:cs="Arial"/>
                <w:szCs w:val="18"/>
              </w:rPr>
              <w:t>associated with NCD-SSB)</w:t>
            </w:r>
            <w:r w:rsidRPr="00FA0D37">
              <w:t xml:space="preserve">, no matter the SSB is within the configured BWP or not. </w:t>
            </w:r>
          </w:p>
        </w:tc>
      </w:tr>
    </w:tbl>
    <w:p w14:paraId="1B8C729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FA0D37" w:rsidRDefault="00394471" w:rsidP="00964CC4">
            <w:pPr>
              <w:pStyle w:val="TAH"/>
            </w:pPr>
            <w:r w:rsidRPr="00FA0D37">
              <w:rPr>
                <w:i/>
              </w:rPr>
              <w:t xml:space="preserve">NeedForGapsNR </w:t>
            </w:r>
            <w:r w:rsidRPr="00FA0D37">
              <w:t>field descriptions</w:t>
            </w:r>
          </w:p>
        </w:tc>
      </w:tr>
      <w:tr w:rsidR="005C7FF4" w:rsidRPr="00FA0D37"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FA0D37" w:rsidRDefault="00394471" w:rsidP="00964CC4">
            <w:pPr>
              <w:pStyle w:val="TAL"/>
              <w:rPr>
                <w:b/>
                <w:bCs/>
                <w:i/>
                <w:iCs/>
              </w:rPr>
            </w:pPr>
            <w:r w:rsidRPr="00FA0D37">
              <w:rPr>
                <w:b/>
                <w:bCs/>
                <w:i/>
                <w:iCs/>
              </w:rPr>
              <w:t>bandNR</w:t>
            </w:r>
          </w:p>
          <w:p w14:paraId="42D69B14" w14:textId="77777777" w:rsidR="00394471" w:rsidRPr="00FA0D37" w:rsidRDefault="00394471" w:rsidP="00964CC4">
            <w:pPr>
              <w:pStyle w:val="TAL"/>
            </w:pPr>
            <w:r w:rsidRPr="00FA0D37">
              <w:t>Indicates the NR target band to be measured.</w:t>
            </w:r>
          </w:p>
        </w:tc>
      </w:tr>
      <w:tr w:rsidR="000830BB" w:rsidRPr="00FA0D37"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FA0D37" w:rsidRDefault="00394471" w:rsidP="00964CC4">
            <w:pPr>
              <w:pStyle w:val="TAL"/>
              <w:rPr>
                <w:b/>
                <w:bCs/>
                <w:i/>
                <w:iCs/>
              </w:rPr>
            </w:pPr>
            <w:r w:rsidRPr="00FA0D37">
              <w:rPr>
                <w:b/>
                <w:bCs/>
                <w:i/>
                <w:iCs/>
              </w:rPr>
              <w:t>gapIndication</w:t>
            </w:r>
          </w:p>
          <w:p w14:paraId="240CCCCD" w14:textId="77777777" w:rsidR="00394471" w:rsidRPr="00FA0D37" w:rsidRDefault="00394471" w:rsidP="00964CC4">
            <w:pPr>
              <w:pStyle w:val="TAL"/>
            </w:pPr>
            <w:r w:rsidRPr="00FA0D37">
              <w:t xml:space="preserve">Indicates whether measurement gap is required for the UE to perform SSB based measurements on the concerned NR target band while NR-DC or NE-DC is not configured. The UE determines this information based on the resultant configuration of the </w:t>
            </w:r>
            <w:r w:rsidRPr="00FA0D37">
              <w:rPr>
                <w:i/>
                <w:iCs/>
              </w:rPr>
              <w:t>RRCReconfiguration</w:t>
            </w:r>
            <w:r w:rsidRPr="00FA0D37">
              <w:t xml:space="preserve"> or </w:t>
            </w:r>
            <w:r w:rsidRPr="00FA0D37">
              <w:rPr>
                <w:bCs/>
                <w:i/>
                <w:iCs/>
                <w:noProof/>
                <w:lang w:eastAsia="en-GB"/>
              </w:rPr>
              <w:t>RRCResume</w:t>
            </w:r>
            <w:r w:rsidRPr="00FA0D37">
              <w:rPr>
                <w:bCs/>
                <w:noProof/>
                <w:lang w:eastAsia="en-GB"/>
              </w:rPr>
              <w:t xml:space="preserve"> </w:t>
            </w:r>
            <w:r w:rsidRPr="00FA0D37">
              <w:t xml:space="preserve">message that triggers this response. Value </w:t>
            </w:r>
            <w:r w:rsidRPr="00FA0D37">
              <w:rPr>
                <w:i/>
                <w:iCs/>
              </w:rPr>
              <w:t>gap</w:t>
            </w:r>
            <w:r w:rsidRPr="00FA0D37">
              <w:t xml:space="preserve"> indicates that a measurement gap is needed, value </w:t>
            </w:r>
            <w:r w:rsidRPr="00FA0D37">
              <w:rPr>
                <w:i/>
                <w:iCs/>
              </w:rPr>
              <w:t>no-gap</w:t>
            </w:r>
            <w:r w:rsidRPr="00FA0D37">
              <w:t xml:space="preserve"> indicates a measurement gap is not needed. </w:t>
            </w:r>
          </w:p>
        </w:tc>
      </w:tr>
    </w:tbl>
    <w:p w14:paraId="657AADA8" w14:textId="12112D09" w:rsidR="00394471" w:rsidRPr="00FA0D37" w:rsidRDefault="00394471" w:rsidP="00394471"/>
    <w:p w14:paraId="2DE98211" w14:textId="272B678A" w:rsidR="00D6273A" w:rsidRPr="00FA0D37" w:rsidRDefault="00D6273A" w:rsidP="00D6273A">
      <w:pPr>
        <w:pStyle w:val="4"/>
        <w:rPr>
          <w:rFonts w:eastAsia="宋体"/>
          <w:lang w:eastAsia="en-GB"/>
        </w:rPr>
      </w:pPr>
      <w:bookmarkStart w:id="1138" w:name="_Toc146781347"/>
      <w:r w:rsidRPr="00FA0D37">
        <w:rPr>
          <w:rFonts w:eastAsia="宋体"/>
          <w:lang w:eastAsia="en-GB"/>
        </w:rPr>
        <w:t>–</w:t>
      </w:r>
      <w:r w:rsidRPr="00FA0D37">
        <w:rPr>
          <w:rFonts w:eastAsia="宋体"/>
          <w:lang w:eastAsia="en-GB"/>
        </w:rPr>
        <w:tab/>
      </w:r>
      <w:r w:rsidRPr="00FA0D37">
        <w:rPr>
          <w:rFonts w:eastAsia="宋体"/>
          <w:i/>
          <w:iCs/>
          <w:lang w:eastAsia="en-GB"/>
        </w:rPr>
        <w:t>NeedFor</w:t>
      </w:r>
      <w:r w:rsidR="00CE29E7" w:rsidRPr="00FA0D37">
        <w:rPr>
          <w:rFonts w:eastAsia="宋体"/>
          <w:i/>
          <w:iCs/>
          <w:lang w:eastAsia="en-GB"/>
        </w:rPr>
        <w:t>Gap</w:t>
      </w:r>
      <w:r w:rsidRPr="00FA0D37">
        <w:rPr>
          <w:rFonts w:eastAsia="宋体"/>
          <w:i/>
          <w:iCs/>
          <w:lang w:eastAsia="en-GB"/>
        </w:rPr>
        <w:t>NCSG-ConfigEUTRA</w:t>
      </w:r>
      <w:bookmarkEnd w:id="1138"/>
    </w:p>
    <w:p w14:paraId="722F9765" w14:textId="22069366" w:rsidR="00D6273A" w:rsidRPr="00FA0D37" w:rsidRDefault="00D6273A" w:rsidP="00D6273A">
      <w:pPr>
        <w:rPr>
          <w:rFonts w:eastAsia="宋体"/>
          <w:lang w:eastAsia="en-GB"/>
        </w:rPr>
      </w:pPr>
      <w:r w:rsidRPr="00FA0D37">
        <w:rPr>
          <w:rFonts w:eastAsia="宋体"/>
          <w:lang w:eastAsia="en-GB"/>
        </w:rPr>
        <w:t xml:space="preserve">The IE </w:t>
      </w:r>
      <w:r w:rsidRPr="00FA0D37">
        <w:rPr>
          <w:rFonts w:eastAsia="宋体"/>
          <w:i/>
          <w:lang w:eastAsia="en-GB"/>
        </w:rPr>
        <w:t>NeedFor</w:t>
      </w:r>
      <w:r w:rsidR="00CE29E7" w:rsidRPr="00FA0D37">
        <w:rPr>
          <w:rFonts w:eastAsia="宋体"/>
          <w:i/>
          <w:lang w:eastAsia="en-GB"/>
        </w:rPr>
        <w:t>Gap</w:t>
      </w:r>
      <w:r w:rsidRPr="00FA0D37">
        <w:rPr>
          <w:rFonts w:eastAsia="宋体"/>
          <w:i/>
          <w:lang w:eastAsia="en-GB"/>
        </w:rPr>
        <w:t>NCSG-ConfigEUTRA</w:t>
      </w:r>
      <w:r w:rsidRPr="00FA0D37">
        <w:rPr>
          <w:rFonts w:eastAsia="宋体"/>
          <w:lang w:eastAsia="en-GB"/>
        </w:rPr>
        <w:t xml:space="preserve"> contains configuration related to the reporting of measurement gap and NCSG </w:t>
      </w:r>
      <w:r w:rsidRPr="00FA0D37">
        <w:t xml:space="preserve">requirement </w:t>
      </w:r>
      <w:r w:rsidRPr="00FA0D37">
        <w:rPr>
          <w:rFonts w:eastAsia="宋体"/>
          <w:lang w:eastAsia="en-GB"/>
        </w:rPr>
        <w:t>information.</w:t>
      </w:r>
    </w:p>
    <w:p w14:paraId="26CFFA00" w14:textId="7866A2BE" w:rsidR="00D6273A" w:rsidRPr="00FA0D37" w:rsidRDefault="00D6273A" w:rsidP="00D6273A">
      <w:pPr>
        <w:pStyle w:val="TH"/>
        <w:rPr>
          <w:rFonts w:eastAsia="宋体"/>
          <w:lang w:eastAsia="en-GB"/>
        </w:rPr>
      </w:pPr>
      <w:r w:rsidRPr="00FA0D37">
        <w:rPr>
          <w:rFonts w:eastAsia="宋体"/>
          <w:i/>
          <w:lang w:eastAsia="en-GB"/>
        </w:rPr>
        <w:t>NeedFor</w:t>
      </w:r>
      <w:r w:rsidR="00CE29E7" w:rsidRPr="00FA0D37">
        <w:rPr>
          <w:rFonts w:eastAsia="宋体"/>
          <w:i/>
          <w:lang w:eastAsia="en-GB"/>
        </w:rPr>
        <w:t>Gap</w:t>
      </w:r>
      <w:r w:rsidRPr="00FA0D37">
        <w:rPr>
          <w:rFonts w:eastAsia="宋体"/>
          <w:i/>
          <w:lang w:eastAsia="en-GB"/>
        </w:rPr>
        <w:t>NCSG-ConfigEUTRA</w:t>
      </w:r>
      <w:r w:rsidRPr="00FA0D37">
        <w:rPr>
          <w:rFonts w:eastAsia="宋体"/>
          <w:lang w:eastAsia="en-GB"/>
        </w:rPr>
        <w:t xml:space="preserve"> information element</w:t>
      </w:r>
    </w:p>
    <w:p w14:paraId="13B692AB" w14:textId="77777777" w:rsidR="00D6273A" w:rsidRPr="00FA0D37" w:rsidRDefault="00D6273A" w:rsidP="00FA0D37">
      <w:pPr>
        <w:pStyle w:val="PL"/>
        <w:rPr>
          <w:color w:val="808080"/>
        </w:rPr>
      </w:pPr>
      <w:r w:rsidRPr="00FA0D37">
        <w:rPr>
          <w:color w:val="808080"/>
        </w:rPr>
        <w:t>-- ASN1START</w:t>
      </w:r>
    </w:p>
    <w:p w14:paraId="5E25543B" w14:textId="5DC0405E" w:rsidR="00D6273A" w:rsidRPr="00FA0D37" w:rsidRDefault="00D6273A" w:rsidP="00FA0D37">
      <w:pPr>
        <w:pStyle w:val="PL"/>
        <w:rPr>
          <w:color w:val="808080"/>
        </w:rPr>
      </w:pPr>
      <w:r w:rsidRPr="00FA0D37">
        <w:rPr>
          <w:color w:val="808080"/>
        </w:rPr>
        <w:t>-- TAG-NeedFor</w:t>
      </w:r>
      <w:r w:rsidR="00CE29E7" w:rsidRPr="00FA0D37">
        <w:rPr>
          <w:color w:val="808080"/>
        </w:rPr>
        <w:t>Gap</w:t>
      </w:r>
      <w:r w:rsidRPr="00FA0D37">
        <w:rPr>
          <w:color w:val="808080"/>
        </w:rPr>
        <w:t>NCSG-ConfigEUTRA-START</w:t>
      </w:r>
    </w:p>
    <w:p w14:paraId="591D386B" w14:textId="77777777" w:rsidR="00D6273A" w:rsidRPr="00FA0D37" w:rsidRDefault="00D6273A" w:rsidP="00FA0D37">
      <w:pPr>
        <w:pStyle w:val="PL"/>
      </w:pPr>
    </w:p>
    <w:p w14:paraId="510A4AAB" w14:textId="1282B0AD" w:rsidR="00D6273A" w:rsidRPr="00FA0D37" w:rsidRDefault="00D6273A" w:rsidP="00FA0D37">
      <w:pPr>
        <w:pStyle w:val="PL"/>
      </w:pPr>
      <w:r w:rsidRPr="00FA0D37">
        <w:t>NeedFor</w:t>
      </w:r>
      <w:r w:rsidR="00CE29E7" w:rsidRPr="00FA0D37">
        <w:t>Gap</w:t>
      </w:r>
      <w:r w:rsidRPr="00FA0D37">
        <w:t xml:space="preserve">NCSG-ConfigEUTRA-r17 ::=        </w:t>
      </w:r>
      <w:r w:rsidRPr="00FA0D37">
        <w:rPr>
          <w:color w:val="993366"/>
        </w:rPr>
        <w:t>SEQUENCE</w:t>
      </w:r>
      <w:r w:rsidRPr="00FA0D37">
        <w:t xml:space="preserve"> {</w:t>
      </w:r>
    </w:p>
    <w:p w14:paraId="12DF6E3F" w14:textId="53CCDB5A" w:rsidR="00D6273A" w:rsidRPr="00FA0D37" w:rsidRDefault="00D6273A" w:rsidP="00FA0D37">
      <w:pPr>
        <w:pStyle w:val="PL"/>
        <w:rPr>
          <w:color w:val="808080"/>
        </w:rPr>
      </w:pPr>
      <w:r w:rsidRPr="00FA0D37">
        <w:t xml:space="preserve">    requestedTargetBandFilterNCSG-EUTRA-r17   </w:t>
      </w:r>
      <w:r w:rsidRPr="00FA0D37">
        <w:rPr>
          <w:color w:val="993366"/>
        </w:rPr>
        <w:t>SEQUENCE</w:t>
      </w:r>
      <w:r w:rsidRPr="00FA0D37">
        <w:t xml:space="preserve"> (</w:t>
      </w:r>
      <w:r w:rsidRPr="00FA0D37">
        <w:rPr>
          <w:color w:val="993366"/>
        </w:rPr>
        <w:t>SIZE</w:t>
      </w:r>
      <w:r w:rsidRPr="00FA0D37">
        <w:t xml:space="preserve"> (1..maxBandsEUTRA))</w:t>
      </w:r>
      <w:r w:rsidRPr="00FA0D37">
        <w:rPr>
          <w:color w:val="993366"/>
        </w:rPr>
        <w:t xml:space="preserve"> OF</w:t>
      </w:r>
      <w:r w:rsidRPr="00FA0D37">
        <w:t xml:space="preserve"> FreqBandIndicatorEUTRA     </w:t>
      </w:r>
      <w:r w:rsidRPr="00FA0D37">
        <w:rPr>
          <w:color w:val="993366"/>
        </w:rPr>
        <w:t>OPTIONAL</w:t>
      </w:r>
      <w:r w:rsidRPr="00FA0D37">
        <w:t xml:space="preserve">    </w:t>
      </w:r>
      <w:r w:rsidRPr="00FA0D37">
        <w:rPr>
          <w:color w:val="808080"/>
        </w:rPr>
        <w:t>-- Need R</w:t>
      </w:r>
    </w:p>
    <w:p w14:paraId="20951E7C" w14:textId="77777777" w:rsidR="00D6273A" w:rsidRPr="00FA0D37" w:rsidRDefault="00D6273A" w:rsidP="00FA0D37">
      <w:pPr>
        <w:pStyle w:val="PL"/>
      </w:pPr>
      <w:r w:rsidRPr="00FA0D37">
        <w:t>}</w:t>
      </w:r>
    </w:p>
    <w:p w14:paraId="13BF4C59" w14:textId="77777777" w:rsidR="00D6273A" w:rsidRPr="00FA0D37" w:rsidRDefault="00D6273A" w:rsidP="00FA0D37">
      <w:pPr>
        <w:pStyle w:val="PL"/>
      </w:pPr>
    </w:p>
    <w:p w14:paraId="2CE0A8E2" w14:textId="32283266" w:rsidR="00D6273A" w:rsidRPr="00FA0D37" w:rsidRDefault="00D6273A" w:rsidP="00FA0D37">
      <w:pPr>
        <w:pStyle w:val="PL"/>
        <w:rPr>
          <w:color w:val="808080"/>
        </w:rPr>
      </w:pPr>
      <w:r w:rsidRPr="00FA0D37">
        <w:rPr>
          <w:color w:val="808080"/>
        </w:rPr>
        <w:t>-- TAG-NeedFor</w:t>
      </w:r>
      <w:r w:rsidR="00CE29E7" w:rsidRPr="00FA0D37">
        <w:rPr>
          <w:color w:val="808080"/>
        </w:rPr>
        <w:t>Gap</w:t>
      </w:r>
      <w:r w:rsidRPr="00FA0D37">
        <w:rPr>
          <w:color w:val="808080"/>
        </w:rPr>
        <w:t>NCSG-ConfigEUTRA-STOP</w:t>
      </w:r>
    </w:p>
    <w:p w14:paraId="41BBA292" w14:textId="77777777" w:rsidR="00D6273A" w:rsidRPr="00FA0D37" w:rsidRDefault="00D6273A" w:rsidP="00FA0D37">
      <w:pPr>
        <w:pStyle w:val="PL"/>
        <w:rPr>
          <w:color w:val="808080"/>
        </w:rPr>
      </w:pPr>
      <w:r w:rsidRPr="00FA0D37">
        <w:rPr>
          <w:color w:val="808080"/>
        </w:rPr>
        <w:t>-- ASN1STOP</w:t>
      </w:r>
    </w:p>
    <w:p w14:paraId="565884EB" w14:textId="77777777" w:rsidR="00D6273A" w:rsidRPr="00FA0D3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FA0D37" w:rsidRDefault="00D6273A" w:rsidP="00771058">
            <w:pPr>
              <w:pStyle w:val="TAH"/>
              <w:rPr>
                <w:b w:val="0"/>
                <w:i/>
                <w:iCs/>
              </w:rPr>
            </w:pPr>
            <w:r w:rsidRPr="00FA0D37">
              <w:rPr>
                <w:i/>
                <w:iCs/>
              </w:rPr>
              <w:t>NeedFor</w:t>
            </w:r>
            <w:r w:rsidR="00CE29E7" w:rsidRPr="00FA0D37">
              <w:rPr>
                <w:i/>
                <w:iCs/>
              </w:rPr>
              <w:t>Gap</w:t>
            </w:r>
            <w:r w:rsidRPr="00FA0D37">
              <w:rPr>
                <w:i/>
                <w:iCs/>
              </w:rPr>
              <w:t>NCSG-ConfigEUTRA</w:t>
            </w:r>
            <w:r w:rsidRPr="00FA0D37">
              <w:t xml:space="preserve"> field descriptions</w:t>
            </w:r>
          </w:p>
        </w:tc>
      </w:tr>
      <w:tr w:rsidR="00D6273A" w:rsidRPr="00FA0D37"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FA0D37" w:rsidRDefault="00D6273A" w:rsidP="00771058">
            <w:pPr>
              <w:pStyle w:val="TAL"/>
              <w:rPr>
                <w:b/>
                <w:bCs/>
                <w:i/>
                <w:iCs/>
              </w:rPr>
            </w:pPr>
            <w:r w:rsidRPr="00FA0D37">
              <w:rPr>
                <w:b/>
                <w:bCs/>
                <w:i/>
                <w:iCs/>
              </w:rPr>
              <w:t>requestedTargetBandFilterNCSG-EUTRA</w:t>
            </w:r>
          </w:p>
          <w:p w14:paraId="63592FCB" w14:textId="77777777" w:rsidR="00D6273A" w:rsidRPr="00FA0D37" w:rsidRDefault="00D6273A" w:rsidP="00771058">
            <w:pPr>
              <w:pStyle w:val="TAL"/>
            </w:pPr>
            <w:r w:rsidRPr="00FA0D37">
              <w:t xml:space="preserve">Indicates the target E-UTRA bands that the UE is requested to report the </w:t>
            </w:r>
            <w:r w:rsidRPr="00FA0D37">
              <w:rPr>
                <w:rFonts w:eastAsia="宋体"/>
                <w:lang w:eastAsia="en-GB"/>
              </w:rPr>
              <w:t>measurement gap and NCSG</w:t>
            </w:r>
            <w:r w:rsidRPr="00FA0D37">
              <w:t xml:space="preserve"> requirement information.</w:t>
            </w:r>
          </w:p>
        </w:tc>
      </w:tr>
    </w:tbl>
    <w:p w14:paraId="50118151" w14:textId="77777777" w:rsidR="00D6273A" w:rsidRPr="00FA0D37" w:rsidRDefault="00D6273A" w:rsidP="00D6273A"/>
    <w:p w14:paraId="4A9AF23E" w14:textId="0FC91F07" w:rsidR="00D6273A" w:rsidRPr="00FA0D37" w:rsidRDefault="00D6273A" w:rsidP="00D6273A">
      <w:pPr>
        <w:pStyle w:val="4"/>
        <w:rPr>
          <w:rFonts w:eastAsia="宋体"/>
          <w:lang w:eastAsia="en-GB"/>
        </w:rPr>
      </w:pPr>
      <w:bookmarkStart w:id="1139" w:name="_Toc146781348"/>
      <w:r w:rsidRPr="00FA0D37">
        <w:rPr>
          <w:rFonts w:eastAsia="宋体"/>
          <w:lang w:eastAsia="en-GB"/>
        </w:rPr>
        <w:t>–</w:t>
      </w:r>
      <w:r w:rsidRPr="00FA0D37">
        <w:rPr>
          <w:rFonts w:eastAsia="宋体"/>
          <w:lang w:eastAsia="en-GB"/>
        </w:rPr>
        <w:tab/>
      </w:r>
      <w:r w:rsidRPr="00FA0D37">
        <w:rPr>
          <w:rFonts w:eastAsia="宋体"/>
          <w:i/>
          <w:iCs/>
          <w:lang w:eastAsia="en-GB"/>
        </w:rPr>
        <w:t>NeedFor</w:t>
      </w:r>
      <w:r w:rsidR="00CE29E7" w:rsidRPr="00FA0D37">
        <w:rPr>
          <w:rFonts w:eastAsia="宋体"/>
          <w:i/>
          <w:iCs/>
          <w:lang w:eastAsia="en-GB"/>
        </w:rPr>
        <w:t>Gap</w:t>
      </w:r>
      <w:r w:rsidRPr="00FA0D37">
        <w:rPr>
          <w:rFonts w:eastAsia="宋体"/>
          <w:i/>
          <w:iCs/>
          <w:lang w:eastAsia="en-GB"/>
        </w:rPr>
        <w:t>NCSG-ConfigNR</w:t>
      </w:r>
      <w:bookmarkEnd w:id="1139"/>
    </w:p>
    <w:p w14:paraId="354C0AFE" w14:textId="708578F2" w:rsidR="00D6273A" w:rsidRPr="00FA0D37" w:rsidRDefault="00D6273A" w:rsidP="00D6273A">
      <w:pPr>
        <w:rPr>
          <w:rFonts w:eastAsia="宋体"/>
          <w:lang w:eastAsia="en-GB"/>
        </w:rPr>
      </w:pPr>
      <w:r w:rsidRPr="00FA0D37">
        <w:rPr>
          <w:rFonts w:eastAsia="宋体"/>
          <w:lang w:eastAsia="en-GB"/>
        </w:rPr>
        <w:t xml:space="preserve">The IE </w:t>
      </w:r>
      <w:r w:rsidRPr="00FA0D37">
        <w:rPr>
          <w:rFonts w:eastAsia="宋体"/>
          <w:i/>
          <w:lang w:eastAsia="en-GB"/>
        </w:rPr>
        <w:t>NeedFor</w:t>
      </w:r>
      <w:r w:rsidR="00CE29E7" w:rsidRPr="00FA0D37">
        <w:rPr>
          <w:rFonts w:eastAsia="宋体"/>
          <w:i/>
          <w:lang w:eastAsia="en-GB"/>
        </w:rPr>
        <w:t>Gap</w:t>
      </w:r>
      <w:r w:rsidRPr="00FA0D37">
        <w:rPr>
          <w:rFonts w:eastAsia="宋体"/>
          <w:i/>
          <w:lang w:eastAsia="en-GB"/>
        </w:rPr>
        <w:t>NCSG-ConfigNR</w:t>
      </w:r>
      <w:r w:rsidRPr="00FA0D37">
        <w:rPr>
          <w:rFonts w:eastAsia="宋体"/>
          <w:lang w:eastAsia="en-GB"/>
        </w:rPr>
        <w:t xml:space="preserve"> contains configuration related to the reporting of measurement gap and NCSG </w:t>
      </w:r>
      <w:r w:rsidRPr="00FA0D37">
        <w:t xml:space="preserve">requirement </w:t>
      </w:r>
      <w:r w:rsidRPr="00FA0D37">
        <w:rPr>
          <w:rFonts w:eastAsia="宋体"/>
          <w:lang w:eastAsia="en-GB"/>
        </w:rPr>
        <w:t>information.</w:t>
      </w:r>
    </w:p>
    <w:p w14:paraId="414E7D47" w14:textId="3CD5D6F2" w:rsidR="00D6273A" w:rsidRPr="00FA0D37" w:rsidRDefault="00D6273A" w:rsidP="00D6273A">
      <w:pPr>
        <w:pStyle w:val="TH"/>
        <w:rPr>
          <w:rFonts w:eastAsia="宋体"/>
          <w:lang w:eastAsia="en-GB"/>
        </w:rPr>
      </w:pPr>
      <w:r w:rsidRPr="00FA0D37">
        <w:rPr>
          <w:rFonts w:eastAsia="宋体"/>
          <w:i/>
          <w:lang w:eastAsia="en-GB"/>
        </w:rPr>
        <w:lastRenderedPageBreak/>
        <w:t>NeedFor</w:t>
      </w:r>
      <w:r w:rsidR="00CE29E7" w:rsidRPr="00FA0D37">
        <w:rPr>
          <w:rFonts w:eastAsia="宋体"/>
          <w:i/>
          <w:lang w:eastAsia="en-GB"/>
        </w:rPr>
        <w:t>Gap</w:t>
      </w:r>
      <w:r w:rsidRPr="00FA0D37">
        <w:rPr>
          <w:rFonts w:eastAsia="宋体"/>
          <w:i/>
          <w:lang w:eastAsia="en-GB"/>
        </w:rPr>
        <w:t>NCSG-ConfigNR</w:t>
      </w:r>
      <w:r w:rsidRPr="00FA0D37">
        <w:rPr>
          <w:rFonts w:eastAsia="宋体"/>
          <w:lang w:eastAsia="en-GB"/>
        </w:rPr>
        <w:t xml:space="preserve"> information element</w:t>
      </w:r>
    </w:p>
    <w:p w14:paraId="7B28DFCF" w14:textId="77777777" w:rsidR="00D6273A" w:rsidRPr="00FA0D37" w:rsidRDefault="00D6273A" w:rsidP="00FA0D37">
      <w:pPr>
        <w:pStyle w:val="PL"/>
        <w:rPr>
          <w:color w:val="808080"/>
        </w:rPr>
      </w:pPr>
      <w:r w:rsidRPr="00FA0D37">
        <w:rPr>
          <w:color w:val="808080"/>
        </w:rPr>
        <w:t>-- ASN1START</w:t>
      </w:r>
    </w:p>
    <w:p w14:paraId="6A1F124A" w14:textId="1F24709A" w:rsidR="00D6273A" w:rsidRPr="00FA0D37" w:rsidRDefault="00D6273A" w:rsidP="00FA0D37">
      <w:pPr>
        <w:pStyle w:val="PL"/>
        <w:rPr>
          <w:color w:val="808080"/>
        </w:rPr>
      </w:pPr>
      <w:r w:rsidRPr="00FA0D37">
        <w:rPr>
          <w:color w:val="808080"/>
        </w:rPr>
        <w:t>-- TAG-</w:t>
      </w:r>
      <w:r w:rsidR="00894E1D" w:rsidRPr="00FA0D37">
        <w:rPr>
          <w:color w:val="808080"/>
        </w:rPr>
        <w:t>NEEDFORGAPNCSG</w:t>
      </w:r>
      <w:r w:rsidR="00AC470F" w:rsidRPr="00FA0D37">
        <w:rPr>
          <w:color w:val="808080"/>
        </w:rPr>
        <w:t>-</w:t>
      </w:r>
      <w:r w:rsidR="00894E1D" w:rsidRPr="00FA0D37">
        <w:rPr>
          <w:color w:val="808080"/>
        </w:rPr>
        <w:t>CONFIGNR</w:t>
      </w:r>
      <w:r w:rsidRPr="00FA0D37">
        <w:rPr>
          <w:color w:val="808080"/>
        </w:rPr>
        <w:t>-START</w:t>
      </w:r>
    </w:p>
    <w:p w14:paraId="450D9818" w14:textId="77777777" w:rsidR="00D6273A" w:rsidRPr="00FA0D37" w:rsidRDefault="00D6273A" w:rsidP="00FA0D37">
      <w:pPr>
        <w:pStyle w:val="PL"/>
      </w:pPr>
    </w:p>
    <w:p w14:paraId="3590AA2F" w14:textId="54009517" w:rsidR="00D6273A" w:rsidRPr="00FA0D37" w:rsidRDefault="00D6273A" w:rsidP="00FA0D37">
      <w:pPr>
        <w:pStyle w:val="PL"/>
      </w:pPr>
      <w:r w:rsidRPr="00FA0D37">
        <w:t>NeedFor</w:t>
      </w:r>
      <w:r w:rsidR="00CE29E7" w:rsidRPr="00FA0D37">
        <w:rPr>
          <w:rFonts w:eastAsia="宋体"/>
        </w:rPr>
        <w:t>Gap</w:t>
      </w:r>
      <w:r w:rsidRPr="00FA0D37">
        <w:t xml:space="preserve">NCSG-ConfigNR-r17 ::=        </w:t>
      </w:r>
      <w:r w:rsidRPr="00FA0D37">
        <w:rPr>
          <w:color w:val="993366"/>
        </w:rPr>
        <w:t>SEQUENCE</w:t>
      </w:r>
      <w:r w:rsidRPr="00FA0D37">
        <w:t xml:space="preserve"> {</w:t>
      </w:r>
    </w:p>
    <w:p w14:paraId="09DDA245" w14:textId="655F8333" w:rsidR="00D6273A" w:rsidRPr="00FA0D37" w:rsidRDefault="00D6273A" w:rsidP="00FA0D37">
      <w:pPr>
        <w:pStyle w:val="PL"/>
        <w:rPr>
          <w:color w:val="808080"/>
        </w:rPr>
      </w:pPr>
      <w:r w:rsidRPr="00FA0D37">
        <w:t xml:space="preserve">    requestedTargetBandFilterNCSG-NR-r17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FreqBandIndicatorNR          </w:t>
      </w:r>
      <w:r w:rsidRPr="00FA0D37">
        <w:rPr>
          <w:color w:val="993366"/>
        </w:rPr>
        <w:t>OPTIONAL</w:t>
      </w:r>
      <w:r w:rsidRPr="00FA0D37">
        <w:t xml:space="preserve">          </w:t>
      </w:r>
      <w:r w:rsidRPr="00FA0D37">
        <w:rPr>
          <w:color w:val="808080"/>
        </w:rPr>
        <w:t>-- Need R</w:t>
      </w:r>
    </w:p>
    <w:p w14:paraId="16A6F8B3" w14:textId="77777777" w:rsidR="00D6273A" w:rsidRPr="00FA0D37" w:rsidRDefault="00D6273A" w:rsidP="00FA0D37">
      <w:pPr>
        <w:pStyle w:val="PL"/>
      </w:pPr>
      <w:r w:rsidRPr="00FA0D37">
        <w:t>}</w:t>
      </w:r>
    </w:p>
    <w:p w14:paraId="1E9FB762" w14:textId="77777777" w:rsidR="00D6273A" w:rsidRPr="00FA0D37" w:rsidRDefault="00D6273A" w:rsidP="00FA0D37">
      <w:pPr>
        <w:pStyle w:val="PL"/>
      </w:pPr>
    </w:p>
    <w:p w14:paraId="704AE199" w14:textId="6F8C0101" w:rsidR="00D6273A" w:rsidRPr="00FA0D37" w:rsidRDefault="00D6273A" w:rsidP="00FA0D37">
      <w:pPr>
        <w:pStyle w:val="PL"/>
        <w:rPr>
          <w:color w:val="808080"/>
        </w:rPr>
      </w:pPr>
      <w:r w:rsidRPr="00FA0D37">
        <w:rPr>
          <w:color w:val="808080"/>
        </w:rPr>
        <w:t>-- TAG-</w:t>
      </w:r>
      <w:r w:rsidR="00894E1D" w:rsidRPr="00FA0D37">
        <w:rPr>
          <w:color w:val="808080"/>
        </w:rPr>
        <w:t>NEEDFORGAPNCSG</w:t>
      </w:r>
      <w:r w:rsidR="00AC470F" w:rsidRPr="00FA0D37">
        <w:rPr>
          <w:color w:val="808080"/>
        </w:rPr>
        <w:t>-</w:t>
      </w:r>
      <w:r w:rsidR="00894E1D" w:rsidRPr="00FA0D37">
        <w:rPr>
          <w:color w:val="808080"/>
        </w:rPr>
        <w:t>CONFIGNR</w:t>
      </w:r>
      <w:r w:rsidRPr="00FA0D37">
        <w:rPr>
          <w:color w:val="808080"/>
        </w:rPr>
        <w:t>-STOP</w:t>
      </w:r>
    </w:p>
    <w:p w14:paraId="03BD90DD" w14:textId="77777777" w:rsidR="00D6273A" w:rsidRPr="00FA0D37" w:rsidRDefault="00D6273A" w:rsidP="00FA0D37">
      <w:pPr>
        <w:pStyle w:val="PL"/>
        <w:rPr>
          <w:color w:val="808080"/>
        </w:rPr>
      </w:pPr>
      <w:r w:rsidRPr="00FA0D37">
        <w:rPr>
          <w:color w:val="808080"/>
        </w:rPr>
        <w:t>-- ASN1STOP</w:t>
      </w:r>
    </w:p>
    <w:p w14:paraId="1A6B1F84" w14:textId="77777777" w:rsidR="00D6273A" w:rsidRPr="00FA0D3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FA0D37" w:rsidRDefault="00D6273A" w:rsidP="00771058">
            <w:pPr>
              <w:pStyle w:val="TAH"/>
              <w:rPr>
                <w:b w:val="0"/>
                <w:i/>
                <w:iCs/>
              </w:rPr>
            </w:pPr>
            <w:r w:rsidRPr="00FA0D37">
              <w:rPr>
                <w:i/>
                <w:iCs/>
              </w:rPr>
              <w:t>NeedFor</w:t>
            </w:r>
            <w:r w:rsidR="00CE29E7" w:rsidRPr="00FA0D37">
              <w:rPr>
                <w:i/>
                <w:iCs/>
              </w:rPr>
              <w:t>Gap</w:t>
            </w:r>
            <w:r w:rsidRPr="00FA0D37">
              <w:rPr>
                <w:i/>
                <w:iCs/>
              </w:rPr>
              <w:t>NCSG-ConfigNR field descriptions</w:t>
            </w:r>
          </w:p>
        </w:tc>
      </w:tr>
      <w:tr w:rsidR="00D6273A" w:rsidRPr="00FA0D37"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FA0D37" w:rsidRDefault="00D6273A" w:rsidP="00771058">
            <w:pPr>
              <w:pStyle w:val="TAL"/>
              <w:rPr>
                <w:b/>
                <w:bCs/>
                <w:i/>
                <w:iCs/>
              </w:rPr>
            </w:pPr>
            <w:r w:rsidRPr="00FA0D37">
              <w:rPr>
                <w:b/>
                <w:bCs/>
                <w:i/>
                <w:iCs/>
              </w:rPr>
              <w:t>requestedTargetBandFilterNCSG-NR</w:t>
            </w:r>
          </w:p>
          <w:p w14:paraId="676716D3" w14:textId="77777777" w:rsidR="00D6273A" w:rsidRPr="00FA0D37" w:rsidRDefault="00D6273A" w:rsidP="00771058">
            <w:pPr>
              <w:pStyle w:val="TAL"/>
            </w:pPr>
            <w:r w:rsidRPr="00FA0D37">
              <w:t xml:space="preserve">Indicates the target NR bands that the UE is requested to report the </w:t>
            </w:r>
            <w:r w:rsidRPr="00FA0D37">
              <w:rPr>
                <w:rFonts w:eastAsia="宋体"/>
                <w:lang w:eastAsia="en-GB"/>
              </w:rPr>
              <w:t>measurement gap and NCSG</w:t>
            </w:r>
            <w:r w:rsidRPr="00FA0D37">
              <w:t xml:space="preserve"> requirement information.</w:t>
            </w:r>
          </w:p>
        </w:tc>
      </w:tr>
    </w:tbl>
    <w:p w14:paraId="4D983FA8" w14:textId="77777777" w:rsidR="00D6273A" w:rsidRPr="00FA0D37" w:rsidRDefault="00D6273A" w:rsidP="00D6273A"/>
    <w:p w14:paraId="64CEDBC8" w14:textId="164EC9E8" w:rsidR="00D6273A" w:rsidRPr="00FA0D37" w:rsidRDefault="00D6273A" w:rsidP="000830BB">
      <w:pPr>
        <w:pStyle w:val="4"/>
        <w:rPr>
          <w:rFonts w:eastAsia="宋体"/>
          <w:i/>
          <w:iCs/>
          <w:lang w:eastAsia="en-GB"/>
        </w:rPr>
      </w:pPr>
      <w:bookmarkStart w:id="1140" w:name="_Toc146781349"/>
      <w:r w:rsidRPr="00FA0D37">
        <w:rPr>
          <w:rFonts w:eastAsia="宋体"/>
          <w:lang w:eastAsia="en-GB"/>
        </w:rPr>
        <w:t>–</w:t>
      </w:r>
      <w:r w:rsidRPr="00FA0D37">
        <w:rPr>
          <w:rFonts w:eastAsia="宋体"/>
          <w:lang w:eastAsia="en-GB"/>
        </w:rPr>
        <w:tab/>
      </w:r>
      <w:r w:rsidRPr="00FA0D37">
        <w:rPr>
          <w:rFonts w:eastAsia="宋体"/>
          <w:i/>
          <w:iCs/>
          <w:lang w:eastAsia="en-GB"/>
        </w:rPr>
        <w:t>NeedFor</w:t>
      </w:r>
      <w:r w:rsidR="00CE29E7" w:rsidRPr="00FA0D37">
        <w:rPr>
          <w:i/>
          <w:iCs/>
        </w:rPr>
        <w:t>Gap</w:t>
      </w:r>
      <w:r w:rsidRPr="00FA0D37">
        <w:rPr>
          <w:rFonts w:eastAsia="宋体"/>
          <w:i/>
          <w:iCs/>
          <w:lang w:eastAsia="en-GB"/>
        </w:rPr>
        <w:t>NCSG-InfoEUTRA</w:t>
      </w:r>
      <w:bookmarkEnd w:id="1140"/>
    </w:p>
    <w:p w14:paraId="6ED279FF" w14:textId="527749AA" w:rsidR="00D6273A" w:rsidRPr="00FA0D37" w:rsidRDefault="00D6273A" w:rsidP="00D6273A">
      <w:pPr>
        <w:rPr>
          <w:rFonts w:eastAsia="宋体"/>
          <w:lang w:eastAsia="en-GB"/>
        </w:rPr>
      </w:pPr>
      <w:r w:rsidRPr="00FA0D37">
        <w:rPr>
          <w:rFonts w:eastAsia="宋体"/>
          <w:lang w:eastAsia="en-GB"/>
        </w:rPr>
        <w:t xml:space="preserve">The IE </w:t>
      </w:r>
      <w:r w:rsidRPr="00FA0D37">
        <w:rPr>
          <w:rFonts w:eastAsia="宋体"/>
          <w:i/>
          <w:lang w:eastAsia="en-GB"/>
        </w:rPr>
        <w:t>NeedFor</w:t>
      </w:r>
      <w:r w:rsidR="00CE29E7" w:rsidRPr="00FA0D37">
        <w:rPr>
          <w:rFonts w:eastAsia="宋体"/>
          <w:i/>
          <w:lang w:eastAsia="en-GB"/>
        </w:rPr>
        <w:t>Gap</w:t>
      </w:r>
      <w:r w:rsidRPr="00FA0D37">
        <w:rPr>
          <w:rFonts w:eastAsia="宋体"/>
          <w:i/>
          <w:lang w:eastAsia="en-GB"/>
        </w:rPr>
        <w:t>NCSG-InfoEUTRA</w:t>
      </w:r>
      <w:r w:rsidRPr="00FA0D37">
        <w:rPr>
          <w:rFonts w:eastAsia="宋体"/>
          <w:lang w:eastAsia="en-GB"/>
        </w:rPr>
        <w:t xml:space="preserve"> indicates whether measurement gap or NCSG is required for the UE to perform </w:t>
      </w:r>
      <w:r w:rsidRPr="00FA0D37">
        <w:t>measurements on an E</w:t>
      </w:r>
      <w:r w:rsidRPr="00FA0D37">
        <w:noBreakHyphen/>
        <w:t>UTRA target band while NR-DC or NE-DC is not configured.</w:t>
      </w:r>
    </w:p>
    <w:p w14:paraId="1B9F0C86" w14:textId="0D09E017" w:rsidR="00D6273A" w:rsidRPr="00FA0D37" w:rsidRDefault="00D6273A" w:rsidP="00D6273A">
      <w:pPr>
        <w:pStyle w:val="TH"/>
        <w:rPr>
          <w:rFonts w:eastAsia="宋体"/>
          <w:lang w:eastAsia="en-GB"/>
        </w:rPr>
      </w:pPr>
      <w:r w:rsidRPr="00FA0D37">
        <w:rPr>
          <w:rFonts w:eastAsia="宋体"/>
          <w:i/>
          <w:lang w:eastAsia="en-GB"/>
        </w:rPr>
        <w:t>NeedFor</w:t>
      </w:r>
      <w:r w:rsidR="00CE29E7" w:rsidRPr="00FA0D37">
        <w:rPr>
          <w:rFonts w:eastAsia="宋体"/>
          <w:i/>
          <w:lang w:eastAsia="en-GB"/>
        </w:rPr>
        <w:t>Gap</w:t>
      </w:r>
      <w:r w:rsidRPr="00FA0D37">
        <w:rPr>
          <w:rFonts w:eastAsia="宋体"/>
          <w:i/>
          <w:lang w:eastAsia="en-GB"/>
        </w:rPr>
        <w:t>NCSG-InfoEUTRA</w:t>
      </w:r>
      <w:r w:rsidRPr="00FA0D37">
        <w:rPr>
          <w:rFonts w:eastAsia="宋体"/>
          <w:lang w:eastAsia="en-GB"/>
        </w:rPr>
        <w:t xml:space="preserve"> information element</w:t>
      </w:r>
    </w:p>
    <w:p w14:paraId="3FB01EE9" w14:textId="77777777" w:rsidR="00D6273A" w:rsidRPr="00FA0D37" w:rsidRDefault="00D6273A" w:rsidP="00FA0D37">
      <w:pPr>
        <w:pStyle w:val="PL"/>
        <w:rPr>
          <w:color w:val="808080"/>
        </w:rPr>
      </w:pPr>
      <w:r w:rsidRPr="00FA0D37">
        <w:rPr>
          <w:color w:val="808080"/>
        </w:rPr>
        <w:t>-- ASN1START</w:t>
      </w:r>
    </w:p>
    <w:p w14:paraId="629EAD41" w14:textId="6F5A34B4" w:rsidR="00D6273A" w:rsidRPr="00FA0D37" w:rsidRDefault="00D6273A" w:rsidP="00FA0D37">
      <w:pPr>
        <w:pStyle w:val="PL"/>
        <w:rPr>
          <w:color w:val="808080"/>
        </w:rPr>
      </w:pPr>
      <w:r w:rsidRPr="00FA0D37">
        <w:rPr>
          <w:color w:val="808080"/>
        </w:rPr>
        <w:t>-- TAG-</w:t>
      </w:r>
      <w:r w:rsidR="00894E1D" w:rsidRPr="00FA0D37">
        <w:rPr>
          <w:color w:val="808080"/>
        </w:rPr>
        <w:t>NEEDFORGAPNC</w:t>
      </w:r>
      <w:r w:rsidR="0055685D" w:rsidRPr="00FA0D37">
        <w:rPr>
          <w:color w:val="808080"/>
        </w:rPr>
        <w:t>S</w:t>
      </w:r>
      <w:r w:rsidR="00894E1D" w:rsidRPr="00FA0D37">
        <w:rPr>
          <w:color w:val="808080"/>
        </w:rPr>
        <w:t>G</w:t>
      </w:r>
      <w:r w:rsidR="0055685D" w:rsidRPr="00FA0D37">
        <w:rPr>
          <w:color w:val="808080"/>
        </w:rPr>
        <w:t>-</w:t>
      </w:r>
      <w:r w:rsidR="00894E1D" w:rsidRPr="00FA0D37">
        <w:rPr>
          <w:color w:val="808080"/>
        </w:rPr>
        <w:t>INFOEUTRA</w:t>
      </w:r>
      <w:r w:rsidRPr="00FA0D37">
        <w:rPr>
          <w:color w:val="808080"/>
        </w:rPr>
        <w:t>-START</w:t>
      </w:r>
    </w:p>
    <w:p w14:paraId="7C6983EE" w14:textId="77777777" w:rsidR="00D6273A" w:rsidRPr="00FA0D37" w:rsidRDefault="00D6273A" w:rsidP="00FA0D37">
      <w:pPr>
        <w:pStyle w:val="PL"/>
      </w:pPr>
    </w:p>
    <w:p w14:paraId="76F7422F" w14:textId="72A4C77C" w:rsidR="00D6273A" w:rsidRPr="00FA0D37" w:rsidRDefault="00D6273A" w:rsidP="00FA0D37">
      <w:pPr>
        <w:pStyle w:val="PL"/>
      </w:pPr>
      <w:r w:rsidRPr="00FA0D37">
        <w:t>NeedFor</w:t>
      </w:r>
      <w:r w:rsidR="00CE29E7" w:rsidRPr="00FA0D37">
        <w:t>Gap</w:t>
      </w:r>
      <w:r w:rsidRPr="00FA0D37">
        <w:t xml:space="preserve">NCSG-InfoEUTRA-r17 ::=   </w:t>
      </w:r>
      <w:r w:rsidRPr="00FA0D37">
        <w:rPr>
          <w:color w:val="993366"/>
        </w:rPr>
        <w:t>SEQUENCE</w:t>
      </w:r>
      <w:r w:rsidRPr="00FA0D37">
        <w:t xml:space="preserve"> {</w:t>
      </w:r>
    </w:p>
    <w:p w14:paraId="06B307AE" w14:textId="3685E80B" w:rsidR="00D6273A" w:rsidRPr="00FA0D37" w:rsidRDefault="00D6273A" w:rsidP="00FA0D37">
      <w:pPr>
        <w:pStyle w:val="PL"/>
      </w:pPr>
      <w:r w:rsidRPr="00FA0D37">
        <w:t xml:space="preserve">    needForNCSG-EUTRA-r17              </w:t>
      </w:r>
      <w:r w:rsidR="00CE29E7" w:rsidRPr="00FA0D37">
        <w:rPr>
          <w:color w:val="993366"/>
        </w:rPr>
        <w:t>SEQUENCE</w:t>
      </w:r>
      <w:r w:rsidR="00CE29E7" w:rsidRPr="00FA0D37">
        <w:t xml:space="preserve"> (</w:t>
      </w:r>
      <w:r w:rsidR="00CE29E7" w:rsidRPr="00FA0D37">
        <w:rPr>
          <w:color w:val="993366"/>
        </w:rPr>
        <w:t>SIZE</w:t>
      </w:r>
      <w:r w:rsidR="00CE29E7" w:rsidRPr="00FA0D37">
        <w:t xml:space="preserve"> (1..maxBandsEUTRA))</w:t>
      </w:r>
      <w:r w:rsidR="00CE29E7" w:rsidRPr="00FA0D37">
        <w:rPr>
          <w:color w:val="993366"/>
        </w:rPr>
        <w:t xml:space="preserve"> OF</w:t>
      </w:r>
      <w:r w:rsidR="00CE29E7" w:rsidRPr="00FA0D37">
        <w:t xml:space="preserve"> NeedForNCSG-EUTRA-r17</w:t>
      </w:r>
    </w:p>
    <w:p w14:paraId="1D3A4267" w14:textId="77777777" w:rsidR="00D6273A" w:rsidRPr="00FA0D37" w:rsidRDefault="00D6273A" w:rsidP="00FA0D37">
      <w:pPr>
        <w:pStyle w:val="PL"/>
      </w:pPr>
      <w:r w:rsidRPr="00FA0D37">
        <w:t>}</w:t>
      </w:r>
    </w:p>
    <w:p w14:paraId="6B626AAC" w14:textId="77777777" w:rsidR="00D6273A" w:rsidRPr="00FA0D37" w:rsidRDefault="00D6273A" w:rsidP="00FA0D37">
      <w:pPr>
        <w:pStyle w:val="PL"/>
      </w:pPr>
    </w:p>
    <w:p w14:paraId="39A3301C" w14:textId="0D45986F" w:rsidR="00D6273A" w:rsidRPr="00FA0D37" w:rsidRDefault="00D6273A" w:rsidP="00FA0D37">
      <w:pPr>
        <w:pStyle w:val="PL"/>
      </w:pPr>
      <w:r w:rsidRPr="00FA0D37">
        <w:t xml:space="preserve">NeedForNCSG-EUTRA-r17  ::=         </w:t>
      </w:r>
      <w:r w:rsidRPr="00FA0D37">
        <w:rPr>
          <w:color w:val="993366"/>
        </w:rPr>
        <w:t>SEQUENCE</w:t>
      </w:r>
      <w:r w:rsidRPr="00FA0D37">
        <w:t xml:space="preserve"> {</w:t>
      </w:r>
    </w:p>
    <w:p w14:paraId="4479841A" w14:textId="7129EBD4" w:rsidR="00D6273A" w:rsidRPr="00FA0D37" w:rsidRDefault="00D6273A" w:rsidP="00FA0D37">
      <w:pPr>
        <w:pStyle w:val="PL"/>
      </w:pPr>
      <w:r w:rsidRPr="00FA0D37">
        <w:t xml:space="preserve">    bandEUTRA-r17                      FreqBandIndicatorEUTRA,</w:t>
      </w:r>
    </w:p>
    <w:p w14:paraId="04CDC2CC" w14:textId="7E8971B9" w:rsidR="00D6273A" w:rsidRPr="00FA0D37" w:rsidRDefault="00D6273A" w:rsidP="00FA0D37">
      <w:pPr>
        <w:pStyle w:val="PL"/>
      </w:pPr>
      <w:r w:rsidRPr="00FA0D37">
        <w:t xml:space="preserve">    gapIndication-r17                  </w:t>
      </w:r>
      <w:r w:rsidRPr="00FA0D37">
        <w:rPr>
          <w:color w:val="993366"/>
        </w:rPr>
        <w:t>ENUMERATED</w:t>
      </w:r>
      <w:r w:rsidRPr="00FA0D37">
        <w:t xml:space="preserve"> {gap, ncsg, nogap-noncsg}</w:t>
      </w:r>
    </w:p>
    <w:p w14:paraId="64B6CE6B" w14:textId="77777777" w:rsidR="00D6273A" w:rsidRPr="00FA0D37" w:rsidRDefault="00D6273A" w:rsidP="00FA0D37">
      <w:pPr>
        <w:pStyle w:val="PL"/>
      </w:pPr>
      <w:r w:rsidRPr="00FA0D37">
        <w:t>}</w:t>
      </w:r>
    </w:p>
    <w:p w14:paraId="5419D58E" w14:textId="77777777" w:rsidR="00D6273A" w:rsidRPr="00FA0D37" w:rsidRDefault="00D6273A" w:rsidP="00FA0D37">
      <w:pPr>
        <w:pStyle w:val="PL"/>
      </w:pPr>
    </w:p>
    <w:p w14:paraId="7E229DFF" w14:textId="402B5E9A" w:rsidR="00D6273A" w:rsidRPr="00FA0D37" w:rsidRDefault="00D6273A" w:rsidP="00FA0D37">
      <w:pPr>
        <w:pStyle w:val="PL"/>
        <w:rPr>
          <w:color w:val="808080"/>
        </w:rPr>
      </w:pPr>
      <w:r w:rsidRPr="00FA0D37">
        <w:rPr>
          <w:color w:val="808080"/>
        </w:rPr>
        <w:t>-- TAG-</w:t>
      </w:r>
      <w:r w:rsidR="00894E1D" w:rsidRPr="00FA0D37">
        <w:rPr>
          <w:color w:val="808080"/>
        </w:rPr>
        <w:t>NEEDFORGAPNC</w:t>
      </w:r>
      <w:r w:rsidR="0055685D" w:rsidRPr="00FA0D37">
        <w:rPr>
          <w:color w:val="808080"/>
        </w:rPr>
        <w:t>S</w:t>
      </w:r>
      <w:r w:rsidR="00894E1D" w:rsidRPr="00FA0D37">
        <w:rPr>
          <w:color w:val="808080"/>
        </w:rPr>
        <w:t>G</w:t>
      </w:r>
      <w:r w:rsidR="0055685D" w:rsidRPr="00FA0D37">
        <w:rPr>
          <w:color w:val="808080"/>
        </w:rPr>
        <w:t>-</w:t>
      </w:r>
      <w:r w:rsidR="00894E1D" w:rsidRPr="00FA0D37">
        <w:rPr>
          <w:color w:val="808080"/>
        </w:rPr>
        <w:t>INFOEUTRA</w:t>
      </w:r>
      <w:r w:rsidRPr="00FA0D37">
        <w:rPr>
          <w:color w:val="808080"/>
        </w:rPr>
        <w:t>-STOP</w:t>
      </w:r>
    </w:p>
    <w:p w14:paraId="111431AE" w14:textId="77777777" w:rsidR="00D6273A" w:rsidRPr="00FA0D37" w:rsidRDefault="00D6273A" w:rsidP="00FA0D37">
      <w:pPr>
        <w:pStyle w:val="PL"/>
        <w:rPr>
          <w:color w:val="808080"/>
        </w:rPr>
      </w:pPr>
      <w:r w:rsidRPr="00FA0D37">
        <w:rPr>
          <w:color w:val="808080"/>
        </w:rPr>
        <w:t>-- ASN1STOP</w:t>
      </w:r>
    </w:p>
    <w:p w14:paraId="4EC2A55F" w14:textId="77777777" w:rsidR="00D6273A" w:rsidRPr="00FA0D3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FA0D37" w:rsidRDefault="00D6273A" w:rsidP="00771058">
            <w:pPr>
              <w:pStyle w:val="TAH"/>
            </w:pPr>
            <w:r w:rsidRPr="00FA0D37">
              <w:rPr>
                <w:i/>
              </w:rPr>
              <w:t>NeedFor</w:t>
            </w:r>
            <w:r w:rsidR="00706928" w:rsidRPr="00FA0D37">
              <w:rPr>
                <w:i/>
              </w:rPr>
              <w:t>Gap</w:t>
            </w:r>
            <w:r w:rsidRPr="00FA0D37">
              <w:rPr>
                <w:i/>
              </w:rPr>
              <w:t xml:space="preserve">NCSG-InfoEUTRA </w:t>
            </w:r>
            <w:r w:rsidRPr="00FA0D37">
              <w:t>field descriptions</w:t>
            </w:r>
          </w:p>
        </w:tc>
      </w:tr>
      <w:tr w:rsidR="00D6273A" w:rsidRPr="00FA0D37"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FA0D37" w:rsidRDefault="00D6273A" w:rsidP="00771058">
            <w:pPr>
              <w:pStyle w:val="TAL"/>
              <w:rPr>
                <w:b/>
                <w:bCs/>
                <w:i/>
                <w:iCs/>
              </w:rPr>
            </w:pPr>
            <w:r w:rsidRPr="00FA0D37">
              <w:rPr>
                <w:b/>
                <w:bCs/>
                <w:i/>
                <w:iCs/>
              </w:rPr>
              <w:t>needForNCSG-EUTRA</w:t>
            </w:r>
          </w:p>
          <w:p w14:paraId="666398E2" w14:textId="77777777" w:rsidR="00D6273A" w:rsidRPr="00FA0D37" w:rsidRDefault="00D6273A" w:rsidP="00771058">
            <w:pPr>
              <w:pStyle w:val="TAL"/>
            </w:pPr>
            <w:r w:rsidRPr="00FA0D37">
              <w:t>Indicates the measurement gap and NCSG requirement information for E-UTRA measurement.</w:t>
            </w:r>
          </w:p>
        </w:tc>
      </w:tr>
    </w:tbl>
    <w:p w14:paraId="40DCDE45" w14:textId="77777777" w:rsidR="00D6273A" w:rsidRPr="00FA0D3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FA0D37" w:rsidRDefault="00D6273A" w:rsidP="00771058">
            <w:pPr>
              <w:pStyle w:val="TAH"/>
            </w:pPr>
            <w:r w:rsidRPr="00FA0D37">
              <w:rPr>
                <w:i/>
              </w:rPr>
              <w:lastRenderedPageBreak/>
              <w:t xml:space="preserve">NeedForNCSG-EUTRA </w:t>
            </w:r>
            <w:r w:rsidRPr="00FA0D37">
              <w:t>field descriptions</w:t>
            </w:r>
          </w:p>
        </w:tc>
      </w:tr>
      <w:tr w:rsidR="005C7FF4" w:rsidRPr="00FA0D37"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FA0D37" w:rsidRDefault="00D6273A" w:rsidP="00771058">
            <w:pPr>
              <w:pStyle w:val="TAL"/>
              <w:rPr>
                <w:b/>
                <w:bCs/>
                <w:i/>
                <w:iCs/>
              </w:rPr>
            </w:pPr>
            <w:r w:rsidRPr="00FA0D37">
              <w:rPr>
                <w:b/>
                <w:bCs/>
                <w:i/>
                <w:iCs/>
              </w:rPr>
              <w:t>bandEUTRA</w:t>
            </w:r>
          </w:p>
          <w:p w14:paraId="0FCB7ADA" w14:textId="77777777" w:rsidR="00D6273A" w:rsidRPr="00FA0D37" w:rsidRDefault="00D6273A" w:rsidP="00771058">
            <w:pPr>
              <w:pStyle w:val="TAL"/>
            </w:pPr>
            <w:r w:rsidRPr="00FA0D37">
              <w:t>Indicates the E</w:t>
            </w:r>
            <w:r w:rsidRPr="00FA0D37">
              <w:noBreakHyphen/>
              <w:t>UTRA target band to be measured.</w:t>
            </w:r>
          </w:p>
        </w:tc>
      </w:tr>
      <w:tr w:rsidR="00D6273A" w:rsidRPr="00FA0D37"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FA0D37" w:rsidRDefault="00D6273A" w:rsidP="00771058">
            <w:pPr>
              <w:pStyle w:val="TAL"/>
              <w:rPr>
                <w:b/>
                <w:bCs/>
                <w:i/>
                <w:iCs/>
              </w:rPr>
            </w:pPr>
            <w:r w:rsidRPr="00FA0D37">
              <w:rPr>
                <w:b/>
                <w:bCs/>
                <w:i/>
                <w:iCs/>
              </w:rPr>
              <w:t>gapIndication</w:t>
            </w:r>
          </w:p>
          <w:p w14:paraId="3E6D3D87" w14:textId="77777777" w:rsidR="00D6273A" w:rsidRPr="00FA0D37" w:rsidRDefault="00D6273A" w:rsidP="00771058">
            <w:pPr>
              <w:pStyle w:val="TAL"/>
            </w:pPr>
            <w:r w:rsidRPr="00FA0D37">
              <w:t>Indicates whether measurement gap or NCSG is required for the UE to perform measurements on the concerned E</w:t>
            </w:r>
            <w:r w:rsidRPr="00FA0D37">
              <w:noBreakHyphen/>
              <w:t xml:space="preserve">UTRA target band while NR-DC or NE-DC is not configured. The UE determines this information based on the resultant configuration of the </w:t>
            </w:r>
            <w:r w:rsidRPr="00FA0D37">
              <w:rPr>
                <w:i/>
                <w:iCs/>
              </w:rPr>
              <w:t>RRCReconfiguration</w:t>
            </w:r>
            <w:r w:rsidRPr="00FA0D37">
              <w:rPr>
                <w:bCs/>
                <w:noProof/>
                <w:lang w:eastAsia="en-GB"/>
              </w:rPr>
              <w:t xml:space="preserve"> </w:t>
            </w:r>
            <w:r w:rsidRPr="00FA0D37">
              <w:t xml:space="preserve">message or </w:t>
            </w:r>
            <w:r w:rsidRPr="00FA0D37">
              <w:rPr>
                <w:bCs/>
                <w:i/>
                <w:iCs/>
                <w:noProof/>
                <w:lang w:eastAsia="en-GB"/>
              </w:rPr>
              <w:t>RRCResume</w:t>
            </w:r>
            <w:r w:rsidRPr="00FA0D37">
              <w:rPr>
                <w:bCs/>
                <w:noProof/>
                <w:lang w:eastAsia="en-GB"/>
              </w:rPr>
              <w:t xml:space="preserve"> </w:t>
            </w:r>
            <w:r w:rsidRPr="00FA0D37">
              <w:t xml:space="preserve">message that triggers this response. Value </w:t>
            </w:r>
            <w:r w:rsidRPr="00FA0D37">
              <w:rPr>
                <w:i/>
                <w:iCs/>
              </w:rPr>
              <w:t>gap</w:t>
            </w:r>
            <w:r w:rsidRPr="00FA0D37">
              <w:t xml:space="preserve"> indicates that a measurement gap is needed, value </w:t>
            </w:r>
            <w:r w:rsidRPr="00FA0D37">
              <w:rPr>
                <w:i/>
              </w:rPr>
              <w:t>ncsg</w:t>
            </w:r>
            <w:r w:rsidRPr="00FA0D37">
              <w:t xml:space="preserve"> indicates that NCSG is needed, value </w:t>
            </w:r>
            <w:r w:rsidRPr="00FA0D37">
              <w:rPr>
                <w:i/>
                <w:iCs/>
              </w:rPr>
              <w:t>nogap-noncsg</w:t>
            </w:r>
            <w:r w:rsidRPr="00FA0D37">
              <w:t xml:space="preserve"> indicates </w:t>
            </w:r>
            <w:r w:rsidRPr="00FA0D37">
              <w:rPr>
                <w:bCs/>
                <w:noProof/>
                <w:lang w:eastAsia="en-GB"/>
              </w:rPr>
              <w:t>neither a measurement gap nor a NCSG</w:t>
            </w:r>
            <w:r w:rsidRPr="00FA0D37">
              <w:t xml:space="preserve"> is needed.</w:t>
            </w:r>
          </w:p>
        </w:tc>
      </w:tr>
    </w:tbl>
    <w:p w14:paraId="08979FB4" w14:textId="77777777" w:rsidR="00D6273A" w:rsidRPr="00FA0D37" w:rsidRDefault="00D6273A" w:rsidP="00D6273A">
      <w:pPr>
        <w:rPr>
          <w:rFonts w:eastAsia="Yu Mincho"/>
        </w:rPr>
      </w:pPr>
    </w:p>
    <w:p w14:paraId="3BD67C4E" w14:textId="5DC7633B" w:rsidR="00D6273A" w:rsidRPr="00FA0D37" w:rsidRDefault="00D6273A" w:rsidP="000830BB">
      <w:pPr>
        <w:pStyle w:val="4"/>
        <w:rPr>
          <w:rFonts w:eastAsia="宋体"/>
          <w:lang w:eastAsia="en-GB"/>
        </w:rPr>
      </w:pPr>
      <w:bookmarkStart w:id="1141" w:name="_Toc146781350"/>
      <w:r w:rsidRPr="00FA0D37">
        <w:rPr>
          <w:rFonts w:eastAsia="宋体"/>
          <w:lang w:eastAsia="en-GB"/>
        </w:rPr>
        <w:t>–</w:t>
      </w:r>
      <w:r w:rsidRPr="00FA0D37">
        <w:rPr>
          <w:rFonts w:eastAsia="宋体"/>
          <w:lang w:eastAsia="en-GB"/>
        </w:rPr>
        <w:tab/>
      </w:r>
      <w:r w:rsidRPr="00FA0D37">
        <w:rPr>
          <w:rFonts w:eastAsia="宋体"/>
          <w:i/>
          <w:iCs/>
          <w:lang w:eastAsia="en-GB"/>
        </w:rPr>
        <w:t>NeedFor</w:t>
      </w:r>
      <w:r w:rsidR="00706928" w:rsidRPr="00FA0D37">
        <w:rPr>
          <w:rFonts w:eastAsia="宋体"/>
          <w:i/>
          <w:iCs/>
          <w:lang w:eastAsia="en-GB"/>
        </w:rPr>
        <w:t>Gap</w:t>
      </w:r>
      <w:r w:rsidRPr="00FA0D37">
        <w:rPr>
          <w:rFonts w:eastAsia="宋体"/>
          <w:i/>
          <w:iCs/>
          <w:lang w:eastAsia="en-GB"/>
        </w:rPr>
        <w:t>NCSG-InfoNR</w:t>
      </w:r>
      <w:bookmarkEnd w:id="1141"/>
    </w:p>
    <w:p w14:paraId="2E6B93DB" w14:textId="5E749786" w:rsidR="00D6273A" w:rsidRPr="00FA0D37" w:rsidRDefault="00D6273A" w:rsidP="00D6273A">
      <w:pPr>
        <w:rPr>
          <w:rFonts w:eastAsia="宋体"/>
          <w:lang w:eastAsia="en-GB"/>
        </w:rPr>
      </w:pPr>
      <w:r w:rsidRPr="00FA0D37">
        <w:rPr>
          <w:rFonts w:eastAsia="宋体"/>
          <w:lang w:eastAsia="en-GB"/>
        </w:rPr>
        <w:t xml:space="preserve">The IE </w:t>
      </w:r>
      <w:r w:rsidRPr="00FA0D37">
        <w:rPr>
          <w:rFonts w:eastAsia="宋体"/>
          <w:i/>
          <w:lang w:eastAsia="en-GB"/>
        </w:rPr>
        <w:t>NeedFor</w:t>
      </w:r>
      <w:r w:rsidR="00706928" w:rsidRPr="00FA0D37">
        <w:rPr>
          <w:rFonts w:eastAsia="宋体"/>
          <w:i/>
          <w:lang w:eastAsia="en-GB"/>
        </w:rPr>
        <w:t>Gap</w:t>
      </w:r>
      <w:r w:rsidRPr="00FA0D37">
        <w:rPr>
          <w:rFonts w:eastAsia="宋体"/>
          <w:i/>
          <w:lang w:eastAsia="en-GB"/>
        </w:rPr>
        <w:t>NCSG-InfoNR</w:t>
      </w:r>
      <w:r w:rsidRPr="00FA0D37">
        <w:rPr>
          <w:rFonts w:eastAsia="宋体"/>
          <w:lang w:eastAsia="en-GB"/>
        </w:rPr>
        <w:t xml:space="preserve"> indicates whether measurement gap or NCSG is required for the UE to perform </w:t>
      </w:r>
      <w:r w:rsidRPr="00FA0D37">
        <w:t>SSB based measurements on an NR target band while NR-DC or NE-DC is not configured.</w:t>
      </w:r>
    </w:p>
    <w:p w14:paraId="7013F207" w14:textId="4E86781D" w:rsidR="00D6273A" w:rsidRPr="00FA0D37" w:rsidRDefault="00D6273A" w:rsidP="00D6273A">
      <w:pPr>
        <w:pStyle w:val="TH"/>
        <w:rPr>
          <w:rFonts w:eastAsia="宋体"/>
          <w:lang w:eastAsia="en-GB"/>
        </w:rPr>
      </w:pPr>
      <w:r w:rsidRPr="00FA0D37">
        <w:rPr>
          <w:rFonts w:eastAsia="宋体"/>
          <w:i/>
          <w:lang w:eastAsia="en-GB"/>
        </w:rPr>
        <w:t>NeedFor</w:t>
      </w:r>
      <w:r w:rsidR="00706928" w:rsidRPr="00FA0D37">
        <w:rPr>
          <w:rFonts w:eastAsia="宋体"/>
          <w:i/>
          <w:lang w:eastAsia="en-GB"/>
        </w:rPr>
        <w:t>Gap</w:t>
      </w:r>
      <w:r w:rsidRPr="00FA0D37">
        <w:rPr>
          <w:rFonts w:eastAsia="宋体"/>
          <w:i/>
          <w:lang w:eastAsia="en-GB"/>
        </w:rPr>
        <w:t>NCSG-InfoNR</w:t>
      </w:r>
      <w:r w:rsidRPr="00FA0D37">
        <w:rPr>
          <w:rFonts w:eastAsia="宋体"/>
          <w:lang w:eastAsia="en-GB"/>
        </w:rPr>
        <w:t xml:space="preserve"> information element</w:t>
      </w:r>
    </w:p>
    <w:p w14:paraId="4838DC98" w14:textId="77777777" w:rsidR="00D6273A" w:rsidRPr="00FA0D37" w:rsidRDefault="00D6273A" w:rsidP="00FA0D37">
      <w:pPr>
        <w:pStyle w:val="PL"/>
        <w:rPr>
          <w:color w:val="808080"/>
        </w:rPr>
      </w:pPr>
      <w:r w:rsidRPr="00FA0D37">
        <w:rPr>
          <w:color w:val="808080"/>
        </w:rPr>
        <w:t>-- ASN1START</w:t>
      </w:r>
    </w:p>
    <w:p w14:paraId="48739C58" w14:textId="6726958C" w:rsidR="00D6273A" w:rsidRPr="00FA0D37" w:rsidRDefault="00D6273A" w:rsidP="00FA0D37">
      <w:pPr>
        <w:pStyle w:val="PL"/>
        <w:rPr>
          <w:color w:val="808080"/>
        </w:rPr>
      </w:pPr>
      <w:r w:rsidRPr="00FA0D37">
        <w:rPr>
          <w:color w:val="808080"/>
        </w:rPr>
        <w:t>-- TAG-</w:t>
      </w:r>
      <w:r w:rsidR="00894E1D" w:rsidRPr="00FA0D37">
        <w:rPr>
          <w:color w:val="808080"/>
        </w:rPr>
        <w:t>NEEDFORGAPNCSG</w:t>
      </w:r>
      <w:r w:rsidR="0055685D" w:rsidRPr="00FA0D37">
        <w:rPr>
          <w:color w:val="808080"/>
        </w:rPr>
        <w:t>-</w:t>
      </w:r>
      <w:r w:rsidR="00894E1D" w:rsidRPr="00FA0D37">
        <w:rPr>
          <w:color w:val="808080"/>
        </w:rPr>
        <w:t>INFONR</w:t>
      </w:r>
      <w:r w:rsidRPr="00FA0D37">
        <w:rPr>
          <w:color w:val="808080"/>
        </w:rPr>
        <w:t>-START</w:t>
      </w:r>
    </w:p>
    <w:p w14:paraId="1641AFBE" w14:textId="77777777" w:rsidR="00D6273A" w:rsidRPr="00FA0D37" w:rsidRDefault="00D6273A" w:rsidP="00FA0D37">
      <w:pPr>
        <w:pStyle w:val="PL"/>
      </w:pPr>
    </w:p>
    <w:p w14:paraId="70FFC258" w14:textId="4E440C40" w:rsidR="00D6273A" w:rsidRPr="00FA0D37" w:rsidRDefault="00D6273A" w:rsidP="00FA0D37">
      <w:pPr>
        <w:pStyle w:val="PL"/>
      </w:pPr>
      <w:r w:rsidRPr="00FA0D37">
        <w:t>NeedFor</w:t>
      </w:r>
      <w:r w:rsidR="00706928" w:rsidRPr="00FA0D37">
        <w:t>Gap</w:t>
      </w:r>
      <w:r w:rsidRPr="00FA0D37">
        <w:t xml:space="preserve">NCSG-InfoNR-r17 ::=     </w:t>
      </w:r>
      <w:r w:rsidRPr="00FA0D37">
        <w:rPr>
          <w:color w:val="993366"/>
        </w:rPr>
        <w:t>SEQUENCE</w:t>
      </w:r>
      <w:r w:rsidRPr="00FA0D37">
        <w:t xml:space="preserve"> {</w:t>
      </w:r>
    </w:p>
    <w:p w14:paraId="1ECF9E43" w14:textId="12DB10AD" w:rsidR="00D6273A" w:rsidRPr="00FA0D37" w:rsidRDefault="00D6273A" w:rsidP="00FA0D37">
      <w:pPr>
        <w:pStyle w:val="PL"/>
      </w:pPr>
      <w:r w:rsidRPr="00FA0D37">
        <w:t xml:space="preserve">    intraFreq-needForNCSG-r17         NeedForNCSG-IntraFreqList-r17,</w:t>
      </w:r>
    </w:p>
    <w:p w14:paraId="1DF72039" w14:textId="78272215" w:rsidR="00D6273A" w:rsidRPr="00FA0D37" w:rsidRDefault="00D6273A" w:rsidP="00FA0D37">
      <w:pPr>
        <w:pStyle w:val="PL"/>
      </w:pPr>
      <w:r w:rsidRPr="00FA0D37">
        <w:t xml:space="preserve">    interFreq-needForNCSG-r17         NeedForNCSG-BandListNR-r17</w:t>
      </w:r>
    </w:p>
    <w:p w14:paraId="2C9BE0CF" w14:textId="77777777" w:rsidR="00D6273A" w:rsidRPr="00FA0D37" w:rsidRDefault="00D6273A" w:rsidP="00FA0D37">
      <w:pPr>
        <w:pStyle w:val="PL"/>
      </w:pPr>
      <w:r w:rsidRPr="00FA0D37">
        <w:t>}</w:t>
      </w:r>
    </w:p>
    <w:p w14:paraId="730C1E38" w14:textId="77777777" w:rsidR="00D6273A" w:rsidRPr="00FA0D37" w:rsidRDefault="00D6273A" w:rsidP="00FA0D37">
      <w:pPr>
        <w:pStyle w:val="PL"/>
      </w:pPr>
    </w:p>
    <w:p w14:paraId="32F02CF3" w14:textId="18CAAF05" w:rsidR="00D6273A" w:rsidRPr="00FA0D37" w:rsidRDefault="00D6273A" w:rsidP="00FA0D37">
      <w:pPr>
        <w:pStyle w:val="PL"/>
      </w:pPr>
      <w:r w:rsidRPr="00FA0D37">
        <w:t xml:space="preserve">NeedForNCSG-IntraFreqList-r17 ::= </w:t>
      </w:r>
      <w:r w:rsidRPr="00FA0D37">
        <w:rPr>
          <w:color w:val="993366"/>
        </w:rPr>
        <w:t>SEQUENCE</w:t>
      </w:r>
      <w:r w:rsidRPr="00FA0D37">
        <w:t xml:space="preserve"> (</w:t>
      </w:r>
      <w:r w:rsidRPr="00FA0D37">
        <w:rPr>
          <w:color w:val="993366"/>
        </w:rPr>
        <w:t>SIZE</w:t>
      </w:r>
      <w:r w:rsidRPr="00FA0D37">
        <w:t xml:space="preserve"> (1.. maxNrofServingCells))</w:t>
      </w:r>
      <w:r w:rsidRPr="00FA0D37">
        <w:rPr>
          <w:color w:val="993366"/>
        </w:rPr>
        <w:t xml:space="preserve"> OF</w:t>
      </w:r>
      <w:r w:rsidRPr="00FA0D37">
        <w:t xml:space="preserve"> NeedForNCSG-IntraFreq-r17</w:t>
      </w:r>
    </w:p>
    <w:p w14:paraId="42F9419D" w14:textId="77777777" w:rsidR="00D6273A" w:rsidRPr="00FA0D37" w:rsidRDefault="00D6273A" w:rsidP="00FA0D37">
      <w:pPr>
        <w:pStyle w:val="PL"/>
      </w:pPr>
    </w:p>
    <w:p w14:paraId="6F570DFB" w14:textId="019FF01E" w:rsidR="00D6273A" w:rsidRPr="00FA0D37" w:rsidRDefault="00D6273A" w:rsidP="00FA0D37">
      <w:pPr>
        <w:pStyle w:val="PL"/>
      </w:pPr>
      <w:r w:rsidRPr="00FA0D37">
        <w:t xml:space="preserve">NeedForNCSG-BandListNR-r17 ::=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NeedForNCSG-NR-r17</w:t>
      </w:r>
    </w:p>
    <w:p w14:paraId="79C0503D" w14:textId="77777777" w:rsidR="00D6273A" w:rsidRPr="00FA0D37" w:rsidRDefault="00D6273A" w:rsidP="00FA0D37">
      <w:pPr>
        <w:pStyle w:val="PL"/>
      </w:pPr>
    </w:p>
    <w:p w14:paraId="61D33051" w14:textId="2409F036" w:rsidR="00D6273A" w:rsidRPr="00FA0D37" w:rsidRDefault="00D6273A" w:rsidP="00FA0D37">
      <w:pPr>
        <w:pStyle w:val="PL"/>
      </w:pPr>
      <w:r w:rsidRPr="00FA0D37">
        <w:t xml:space="preserve">NeedForNCSG-IntraFreq-r17  ::=    </w:t>
      </w:r>
      <w:r w:rsidRPr="00FA0D37">
        <w:rPr>
          <w:color w:val="993366"/>
        </w:rPr>
        <w:t>SEQUENCE</w:t>
      </w:r>
      <w:r w:rsidRPr="00FA0D37">
        <w:t xml:space="preserve"> {</w:t>
      </w:r>
    </w:p>
    <w:p w14:paraId="7DF16C83" w14:textId="12D018A0" w:rsidR="00D6273A" w:rsidRPr="00FA0D37" w:rsidRDefault="00D6273A" w:rsidP="00FA0D37">
      <w:pPr>
        <w:pStyle w:val="PL"/>
      </w:pPr>
      <w:r w:rsidRPr="00FA0D37">
        <w:t xml:space="preserve">    servCellId-r17                    ServCellIndex,</w:t>
      </w:r>
    </w:p>
    <w:p w14:paraId="31DCDCAB" w14:textId="413D9F5B" w:rsidR="00D6273A" w:rsidRPr="00FA0D37" w:rsidRDefault="00D6273A" w:rsidP="00FA0D37">
      <w:pPr>
        <w:pStyle w:val="PL"/>
      </w:pPr>
      <w:r w:rsidRPr="00FA0D37">
        <w:t xml:space="preserve">    gapIndicationIntra-r17            </w:t>
      </w:r>
      <w:r w:rsidRPr="00FA0D37">
        <w:rPr>
          <w:color w:val="993366"/>
        </w:rPr>
        <w:t>ENUMERATED</w:t>
      </w:r>
      <w:r w:rsidRPr="00FA0D37">
        <w:t xml:space="preserve"> {gap, ncsg, nogap-noncsg}</w:t>
      </w:r>
    </w:p>
    <w:p w14:paraId="010A685D" w14:textId="77777777" w:rsidR="00D6273A" w:rsidRPr="00FA0D37" w:rsidRDefault="00D6273A" w:rsidP="00FA0D37">
      <w:pPr>
        <w:pStyle w:val="PL"/>
      </w:pPr>
      <w:r w:rsidRPr="00FA0D37">
        <w:t>}</w:t>
      </w:r>
    </w:p>
    <w:p w14:paraId="07525BE8" w14:textId="77777777" w:rsidR="00D6273A" w:rsidRPr="00FA0D37" w:rsidRDefault="00D6273A" w:rsidP="00FA0D37">
      <w:pPr>
        <w:pStyle w:val="PL"/>
      </w:pPr>
    </w:p>
    <w:p w14:paraId="7D9C7585" w14:textId="4B296260" w:rsidR="00D6273A" w:rsidRPr="00FA0D37" w:rsidRDefault="00D6273A" w:rsidP="00FA0D37">
      <w:pPr>
        <w:pStyle w:val="PL"/>
      </w:pPr>
      <w:r w:rsidRPr="00FA0D37">
        <w:t xml:space="preserve">NeedForNCSG-NR-r17  ::=           </w:t>
      </w:r>
      <w:r w:rsidRPr="00FA0D37">
        <w:rPr>
          <w:color w:val="993366"/>
        </w:rPr>
        <w:t>SEQUENCE</w:t>
      </w:r>
      <w:r w:rsidRPr="00FA0D37">
        <w:t xml:space="preserve"> {</w:t>
      </w:r>
    </w:p>
    <w:p w14:paraId="76557B64" w14:textId="218A99D9" w:rsidR="00D6273A" w:rsidRPr="00FA0D37" w:rsidRDefault="00D6273A" w:rsidP="00FA0D37">
      <w:pPr>
        <w:pStyle w:val="PL"/>
      </w:pPr>
      <w:r w:rsidRPr="00FA0D37">
        <w:t xml:space="preserve">    bandNR-r17                        FreqBandIndicatorNR,</w:t>
      </w:r>
    </w:p>
    <w:p w14:paraId="486BAE87" w14:textId="5BBF42A0" w:rsidR="00D6273A" w:rsidRPr="00FA0D37" w:rsidRDefault="00D6273A" w:rsidP="00FA0D37">
      <w:pPr>
        <w:pStyle w:val="PL"/>
      </w:pPr>
      <w:r w:rsidRPr="00FA0D37">
        <w:t xml:space="preserve">    gapIndication-r17                 </w:t>
      </w:r>
      <w:r w:rsidRPr="00FA0D37">
        <w:rPr>
          <w:color w:val="993366"/>
        </w:rPr>
        <w:t>ENUMERATED</w:t>
      </w:r>
      <w:r w:rsidRPr="00FA0D37">
        <w:t xml:space="preserve"> {gap, ncsg, nogap-noncsg}</w:t>
      </w:r>
    </w:p>
    <w:p w14:paraId="66134CFA" w14:textId="77777777" w:rsidR="00D6273A" w:rsidRPr="00FA0D37" w:rsidRDefault="00D6273A" w:rsidP="00FA0D37">
      <w:pPr>
        <w:pStyle w:val="PL"/>
      </w:pPr>
      <w:r w:rsidRPr="00FA0D37">
        <w:t>}</w:t>
      </w:r>
    </w:p>
    <w:p w14:paraId="0D7D0E28" w14:textId="77777777" w:rsidR="00D6273A" w:rsidRPr="00FA0D37" w:rsidRDefault="00D6273A" w:rsidP="00FA0D37">
      <w:pPr>
        <w:pStyle w:val="PL"/>
      </w:pPr>
    </w:p>
    <w:p w14:paraId="1194C743" w14:textId="3CB82D21" w:rsidR="00D6273A" w:rsidRPr="00FA0D37" w:rsidRDefault="00D6273A" w:rsidP="00FA0D37">
      <w:pPr>
        <w:pStyle w:val="PL"/>
        <w:rPr>
          <w:color w:val="808080"/>
        </w:rPr>
      </w:pPr>
      <w:r w:rsidRPr="00FA0D37">
        <w:rPr>
          <w:color w:val="808080"/>
        </w:rPr>
        <w:t>-- TAG-</w:t>
      </w:r>
      <w:r w:rsidR="00894E1D" w:rsidRPr="00FA0D37">
        <w:rPr>
          <w:color w:val="808080"/>
        </w:rPr>
        <w:t>NEEDFORGAPNCSG</w:t>
      </w:r>
      <w:r w:rsidR="0055685D" w:rsidRPr="00FA0D37">
        <w:rPr>
          <w:color w:val="808080"/>
        </w:rPr>
        <w:t>-</w:t>
      </w:r>
      <w:r w:rsidR="00894E1D" w:rsidRPr="00FA0D37">
        <w:rPr>
          <w:color w:val="808080"/>
        </w:rPr>
        <w:t>INFONR</w:t>
      </w:r>
      <w:r w:rsidRPr="00FA0D37">
        <w:rPr>
          <w:color w:val="808080"/>
        </w:rPr>
        <w:t>-STOP</w:t>
      </w:r>
    </w:p>
    <w:p w14:paraId="13AD07B2" w14:textId="77777777" w:rsidR="00D6273A" w:rsidRPr="00FA0D37" w:rsidRDefault="00D6273A" w:rsidP="00FA0D37">
      <w:pPr>
        <w:pStyle w:val="PL"/>
        <w:rPr>
          <w:color w:val="808080"/>
        </w:rPr>
      </w:pPr>
      <w:r w:rsidRPr="00FA0D37">
        <w:rPr>
          <w:color w:val="808080"/>
        </w:rPr>
        <w:t>-- ASN1STOP</w:t>
      </w:r>
    </w:p>
    <w:p w14:paraId="700CED89" w14:textId="77777777" w:rsidR="00D6273A" w:rsidRPr="00FA0D3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FA0D37" w:rsidRDefault="00D6273A" w:rsidP="00771058">
            <w:pPr>
              <w:pStyle w:val="TAH"/>
            </w:pPr>
            <w:r w:rsidRPr="00FA0D37">
              <w:rPr>
                <w:i/>
              </w:rPr>
              <w:lastRenderedPageBreak/>
              <w:t>NeedFor</w:t>
            </w:r>
            <w:r w:rsidR="00706928" w:rsidRPr="00FA0D37">
              <w:rPr>
                <w:i/>
              </w:rPr>
              <w:t>Gap</w:t>
            </w:r>
            <w:r w:rsidRPr="00FA0D37">
              <w:rPr>
                <w:i/>
              </w:rPr>
              <w:t xml:space="preserve">NCSG-InfoNR </w:t>
            </w:r>
            <w:r w:rsidRPr="00FA0D37">
              <w:t>field descriptions</w:t>
            </w:r>
          </w:p>
        </w:tc>
      </w:tr>
      <w:tr w:rsidR="005C7FF4" w:rsidRPr="00FA0D37"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FA0D37" w:rsidRDefault="00D6273A" w:rsidP="00771058">
            <w:pPr>
              <w:pStyle w:val="TAL"/>
              <w:rPr>
                <w:b/>
                <w:bCs/>
                <w:i/>
                <w:iCs/>
              </w:rPr>
            </w:pPr>
            <w:r w:rsidRPr="00FA0D37">
              <w:rPr>
                <w:b/>
                <w:bCs/>
                <w:i/>
                <w:iCs/>
              </w:rPr>
              <w:t>intraFreq-needForNCSG</w:t>
            </w:r>
          </w:p>
          <w:p w14:paraId="54A382AD" w14:textId="77777777" w:rsidR="00D6273A" w:rsidRPr="00FA0D37" w:rsidRDefault="00D6273A" w:rsidP="00771058">
            <w:pPr>
              <w:pStyle w:val="TAL"/>
            </w:pPr>
            <w:r w:rsidRPr="00FA0D37">
              <w:t>Indicates the measurement gap and NCSG requirement information for NR intra-frequency measurement.</w:t>
            </w:r>
          </w:p>
        </w:tc>
      </w:tr>
      <w:tr w:rsidR="00D6273A" w:rsidRPr="00FA0D37"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FA0D37" w:rsidRDefault="00D6273A" w:rsidP="00771058">
            <w:pPr>
              <w:pStyle w:val="TAL"/>
              <w:rPr>
                <w:b/>
                <w:bCs/>
                <w:i/>
                <w:iCs/>
              </w:rPr>
            </w:pPr>
            <w:r w:rsidRPr="00FA0D37">
              <w:rPr>
                <w:b/>
                <w:bCs/>
                <w:i/>
                <w:iCs/>
              </w:rPr>
              <w:t>interFreq-needForNCSG</w:t>
            </w:r>
          </w:p>
          <w:p w14:paraId="5051B6B6" w14:textId="77777777" w:rsidR="00D6273A" w:rsidRPr="00FA0D37" w:rsidRDefault="00D6273A" w:rsidP="00771058">
            <w:pPr>
              <w:pStyle w:val="TAL"/>
            </w:pPr>
            <w:r w:rsidRPr="00FA0D37">
              <w:t>Indicates the measurement gap and NCSG requirement information for NR inter-frequency measurement.</w:t>
            </w:r>
          </w:p>
        </w:tc>
      </w:tr>
    </w:tbl>
    <w:p w14:paraId="1B2F6E51" w14:textId="77777777" w:rsidR="00D6273A" w:rsidRPr="00FA0D3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FA0D37" w:rsidRDefault="00D6273A" w:rsidP="00771058">
            <w:pPr>
              <w:pStyle w:val="TAH"/>
              <w:rPr>
                <w:b w:val="0"/>
                <w:i/>
                <w:iCs/>
              </w:rPr>
            </w:pPr>
            <w:r w:rsidRPr="00FA0D37">
              <w:rPr>
                <w:i/>
                <w:iCs/>
              </w:rPr>
              <w:t>NeedForNCSG-IntraFreq field descriptions</w:t>
            </w:r>
          </w:p>
        </w:tc>
      </w:tr>
      <w:tr w:rsidR="005C7FF4" w:rsidRPr="00FA0D37"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FA0D37" w:rsidRDefault="00D6273A" w:rsidP="00771058">
            <w:pPr>
              <w:pStyle w:val="TAL"/>
              <w:rPr>
                <w:b/>
                <w:bCs/>
                <w:i/>
                <w:iCs/>
              </w:rPr>
            </w:pPr>
            <w:r w:rsidRPr="00FA0D37">
              <w:rPr>
                <w:b/>
                <w:bCs/>
                <w:i/>
                <w:iCs/>
              </w:rPr>
              <w:t>servCellId</w:t>
            </w:r>
          </w:p>
          <w:p w14:paraId="0ABD0864" w14:textId="77777777" w:rsidR="00D6273A" w:rsidRPr="00FA0D37" w:rsidRDefault="00D6273A" w:rsidP="00771058">
            <w:pPr>
              <w:pStyle w:val="TAL"/>
            </w:pPr>
            <w:r w:rsidRPr="00FA0D37">
              <w:t>Indicates the serving cell which contains the target SSB (associated with the initial DL BWP) to be measured.</w:t>
            </w:r>
          </w:p>
        </w:tc>
      </w:tr>
      <w:tr w:rsidR="00140A8D" w:rsidRPr="00FA0D37"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FA0D37" w:rsidRDefault="00D6273A" w:rsidP="00771058">
            <w:pPr>
              <w:pStyle w:val="TAL"/>
              <w:rPr>
                <w:b/>
                <w:bCs/>
                <w:i/>
                <w:iCs/>
              </w:rPr>
            </w:pPr>
            <w:r w:rsidRPr="00FA0D37">
              <w:rPr>
                <w:b/>
                <w:bCs/>
                <w:i/>
                <w:iCs/>
              </w:rPr>
              <w:t>gapIndicationIntra</w:t>
            </w:r>
          </w:p>
          <w:p w14:paraId="2BCFCA40" w14:textId="0F3670ED" w:rsidR="00D6273A" w:rsidRPr="00FA0D37" w:rsidRDefault="00D6273A" w:rsidP="00771058">
            <w:pPr>
              <w:pStyle w:val="TAL"/>
            </w:pPr>
            <w:r w:rsidRPr="00FA0D37">
              <w:t xml:space="preserve">Indicates whether measurement gap or NCSG is required for the UE to perform intra-frequency SSB based measurements on the concerned serving cell. Value </w:t>
            </w:r>
            <w:r w:rsidRPr="00FA0D37">
              <w:rPr>
                <w:i/>
                <w:iCs/>
              </w:rPr>
              <w:t>gap</w:t>
            </w:r>
            <w:r w:rsidRPr="00FA0D37">
              <w:t xml:space="preserve"> indicates that a measurement gap is needed if any of the UE configured BWPs </w:t>
            </w:r>
            <w:r w:rsidR="00982714" w:rsidRPr="00FA0D37">
              <w:rPr>
                <w:rFonts w:eastAsia="Arial Unicode MS" w:cs="Arial"/>
                <w:szCs w:val="18"/>
              </w:rPr>
              <w:t xml:space="preserve">(except the BWP(s) configured with </w:t>
            </w:r>
            <w:r w:rsidR="00140A8D" w:rsidRPr="00FA0D37">
              <w:rPr>
                <w:rStyle w:val="afa"/>
                <w:rFonts w:eastAsia="Arial Unicode MS" w:cs="Arial"/>
                <w:szCs w:val="18"/>
              </w:rPr>
              <w:t>s</w:t>
            </w:r>
            <w:r w:rsidR="00982714" w:rsidRPr="00FA0D37">
              <w:rPr>
                <w:rStyle w:val="afa"/>
                <w:rFonts w:eastAsia="Arial Unicode MS" w:cs="Arial"/>
                <w:szCs w:val="18"/>
              </w:rPr>
              <w:t xml:space="preserve">ervingCellMO </w:t>
            </w:r>
            <w:r w:rsidR="00982714" w:rsidRPr="00FA0D37">
              <w:rPr>
                <w:rFonts w:eastAsia="Arial Unicode MS" w:cs="Arial"/>
                <w:szCs w:val="18"/>
              </w:rPr>
              <w:t xml:space="preserve">associated with NCD-SSB) </w:t>
            </w:r>
            <w:r w:rsidRPr="00FA0D37">
              <w:t>do not contain the frequency domain resources of the SSB associated to the initial DL BWP</w:t>
            </w:r>
            <w:r w:rsidR="00982714" w:rsidRPr="00FA0D37">
              <w:rPr>
                <w:lang w:eastAsia="zh-CN"/>
              </w:rPr>
              <w:t xml:space="preserve"> (CD-SSB)</w:t>
            </w:r>
            <w:r w:rsidRPr="00FA0D37">
              <w:t xml:space="preserve">. Value </w:t>
            </w:r>
            <w:r w:rsidRPr="00FA0D37">
              <w:rPr>
                <w:i/>
                <w:iCs/>
              </w:rPr>
              <w:t>ncsg</w:t>
            </w:r>
            <w:r w:rsidRPr="00FA0D37">
              <w:t xml:space="preserve"> indicates that a NCSG is needed if any of the UE configured BWPs do not contain the frequency domain resources of the SSB associated to the initial DL BWP. Value </w:t>
            </w:r>
            <w:r w:rsidRPr="00FA0D37">
              <w:rPr>
                <w:i/>
                <w:iCs/>
              </w:rPr>
              <w:t>nogap-noncsg</w:t>
            </w:r>
            <w:r w:rsidRPr="00FA0D37">
              <w:t xml:space="preserve"> indicates </w:t>
            </w:r>
            <w:r w:rsidRPr="00FA0D37">
              <w:rPr>
                <w:bCs/>
                <w:noProof/>
                <w:lang w:eastAsia="en-GB"/>
              </w:rPr>
              <w:t>that neither a measurement gap nor a NCSG is</w:t>
            </w:r>
            <w:r w:rsidRPr="00FA0D37">
              <w:t xml:space="preserve"> needed to measure the SSB associated to the initial DL BWP</w:t>
            </w:r>
            <w:r w:rsidR="00982714" w:rsidRPr="00FA0D37">
              <w:rPr>
                <w:lang w:eastAsia="zh-CN"/>
              </w:rPr>
              <w:t xml:space="preserve"> (CD-SSB)</w:t>
            </w:r>
            <w:r w:rsidRPr="00FA0D37">
              <w:t xml:space="preserve"> for all configured BWPs</w:t>
            </w:r>
            <w:r w:rsidR="00982714" w:rsidRPr="00FA0D37">
              <w:rPr>
                <w:rFonts w:cs="Arial"/>
                <w:szCs w:val="18"/>
                <w:lang w:eastAsia="zh-CN"/>
              </w:rPr>
              <w:t xml:space="preserve"> </w:t>
            </w:r>
            <w:r w:rsidR="00982714" w:rsidRPr="00FA0D37">
              <w:rPr>
                <w:rFonts w:eastAsia="Arial Unicode MS" w:cs="Arial"/>
                <w:szCs w:val="18"/>
              </w:rPr>
              <w:t xml:space="preserve">(except the BWP(s) configured with </w:t>
            </w:r>
            <w:r w:rsidR="00140A8D" w:rsidRPr="00FA0D37">
              <w:rPr>
                <w:rStyle w:val="afa"/>
                <w:rFonts w:eastAsia="Arial Unicode MS" w:cs="Arial"/>
                <w:szCs w:val="18"/>
              </w:rPr>
              <w:t>s</w:t>
            </w:r>
            <w:r w:rsidR="00982714" w:rsidRPr="00FA0D37">
              <w:rPr>
                <w:rStyle w:val="afa"/>
                <w:rFonts w:eastAsia="Arial Unicode MS" w:cs="Arial"/>
                <w:szCs w:val="18"/>
              </w:rPr>
              <w:t xml:space="preserve">ervingCellMO </w:t>
            </w:r>
            <w:r w:rsidR="00982714" w:rsidRPr="00FA0D37">
              <w:rPr>
                <w:rFonts w:eastAsia="Arial Unicode MS" w:cs="Arial"/>
                <w:szCs w:val="18"/>
              </w:rPr>
              <w:t>associated with NCD-SSB)</w:t>
            </w:r>
            <w:r w:rsidRPr="00FA0D37">
              <w:t>, no matter the SSB is within the configured BWP or not.</w:t>
            </w:r>
          </w:p>
        </w:tc>
      </w:tr>
    </w:tbl>
    <w:p w14:paraId="4B0E4D7C" w14:textId="77777777" w:rsidR="00D6273A" w:rsidRPr="00FA0D3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FA0D37" w:rsidRDefault="00D6273A" w:rsidP="00771058">
            <w:pPr>
              <w:pStyle w:val="TAH"/>
            </w:pPr>
            <w:r w:rsidRPr="00FA0D37">
              <w:rPr>
                <w:i/>
              </w:rPr>
              <w:t xml:space="preserve">NeedForNCSG-NR </w:t>
            </w:r>
            <w:r w:rsidRPr="00FA0D37">
              <w:t>field descriptions</w:t>
            </w:r>
          </w:p>
        </w:tc>
      </w:tr>
      <w:tr w:rsidR="005C7FF4" w:rsidRPr="00FA0D37"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FA0D37" w:rsidRDefault="00D6273A" w:rsidP="00771058">
            <w:pPr>
              <w:pStyle w:val="TAL"/>
              <w:rPr>
                <w:b/>
                <w:bCs/>
                <w:i/>
                <w:iCs/>
              </w:rPr>
            </w:pPr>
            <w:r w:rsidRPr="00FA0D37">
              <w:rPr>
                <w:b/>
                <w:bCs/>
                <w:i/>
                <w:iCs/>
              </w:rPr>
              <w:t>bandNR</w:t>
            </w:r>
          </w:p>
          <w:p w14:paraId="4EA82DF2" w14:textId="77777777" w:rsidR="00D6273A" w:rsidRPr="00FA0D37" w:rsidRDefault="00D6273A" w:rsidP="00771058">
            <w:pPr>
              <w:pStyle w:val="TAL"/>
            </w:pPr>
            <w:r w:rsidRPr="00FA0D37">
              <w:t>Indicates the NR target band to be measured.</w:t>
            </w:r>
          </w:p>
        </w:tc>
      </w:tr>
      <w:tr w:rsidR="000830BB" w:rsidRPr="00FA0D37"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FA0D37" w:rsidRDefault="00D6273A" w:rsidP="00771058">
            <w:pPr>
              <w:pStyle w:val="TAL"/>
              <w:rPr>
                <w:b/>
                <w:bCs/>
                <w:i/>
                <w:iCs/>
              </w:rPr>
            </w:pPr>
            <w:r w:rsidRPr="00FA0D37">
              <w:rPr>
                <w:b/>
                <w:bCs/>
                <w:i/>
                <w:iCs/>
              </w:rPr>
              <w:t>gapIndication</w:t>
            </w:r>
          </w:p>
          <w:p w14:paraId="2AB3B71A" w14:textId="77777777" w:rsidR="00D6273A" w:rsidRPr="00FA0D37" w:rsidRDefault="00D6273A" w:rsidP="00771058">
            <w:pPr>
              <w:pStyle w:val="TAL"/>
            </w:pPr>
            <w:r w:rsidRPr="00FA0D37">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FA0D37">
              <w:rPr>
                <w:i/>
                <w:iCs/>
              </w:rPr>
              <w:t>RRCReconfiguration</w:t>
            </w:r>
            <w:r w:rsidRPr="00FA0D37">
              <w:t xml:space="preserve"> or </w:t>
            </w:r>
            <w:r w:rsidRPr="00FA0D37">
              <w:rPr>
                <w:bCs/>
                <w:i/>
                <w:iCs/>
                <w:noProof/>
                <w:lang w:eastAsia="en-GB"/>
              </w:rPr>
              <w:t>RRCResume</w:t>
            </w:r>
            <w:r w:rsidRPr="00FA0D37">
              <w:rPr>
                <w:bCs/>
                <w:noProof/>
                <w:lang w:eastAsia="en-GB"/>
              </w:rPr>
              <w:t xml:space="preserve"> </w:t>
            </w:r>
            <w:r w:rsidRPr="00FA0D37">
              <w:t xml:space="preserve">message that triggers this response. Value </w:t>
            </w:r>
            <w:r w:rsidRPr="00FA0D37">
              <w:rPr>
                <w:i/>
                <w:iCs/>
              </w:rPr>
              <w:t>gap</w:t>
            </w:r>
            <w:r w:rsidRPr="00FA0D37">
              <w:t xml:space="preserve"> indicates that a measurement gap is needed, value </w:t>
            </w:r>
            <w:r w:rsidRPr="00FA0D37">
              <w:rPr>
                <w:i/>
              </w:rPr>
              <w:t>ncsg</w:t>
            </w:r>
            <w:r w:rsidRPr="00FA0D37">
              <w:t xml:space="preserve"> indicates that a NCSG is needed, and value </w:t>
            </w:r>
            <w:r w:rsidRPr="00FA0D37">
              <w:rPr>
                <w:i/>
                <w:iCs/>
              </w:rPr>
              <w:t>nogap-noncsg</w:t>
            </w:r>
            <w:r w:rsidRPr="00FA0D37">
              <w:t xml:space="preserve"> indicates </w:t>
            </w:r>
            <w:r w:rsidRPr="00FA0D37">
              <w:rPr>
                <w:bCs/>
                <w:noProof/>
                <w:lang w:eastAsia="en-GB"/>
              </w:rPr>
              <w:t>neither a measurement gap nor a NCSG</w:t>
            </w:r>
            <w:r w:rsidRPr="00FA0D37">
              <w:t xml:space="preserve"> is needed. </w:t>
            </w:r>
          </w:p>
        </w:tc>
      </w:tr>
    </w:tbl>
    <w:p w14:paraId="37F95E1A" w14:textId="77777777" w:rsidR="00D6273A" w:rsidRPr="00FA0D37" w:rsidRDefault="00D6273A" w:rsidP="00394471"/>
    <w:p w14:paraId="2E64EF3B" w14:textId="77777777" w:rsidR="00394471" w:rsidRPr="00FA0D37" w:rsidRDefault="00394471" w:rsidP="00394471">
      <w:pPr>
        <w:pStyle w:val="4"/>
        <w:rPr>
          <w:lang w:eastAsia="ko-KR"/>
        </w:rPr>
      </w:pPr>
      <w:bookmarkStart w:id="1142" w:name="_Toc60777281"/>
      <w:bookmarkStart w:id="1143" w:name="_Toc146781351"/>
      <w:r w:rsidRPr="00FA0D37">
        <w:t>–</w:t>
      </w:r>
      <w:r w:rsidRPr="00FA0D37">
        <w:tab/>
      </w:r>
      <w:r w:rsidRPr="00FA0D37">
        <w:rPr>
          <w:i/>
          <w:noProof/>
          <w:lang w:eastAsia="ko-KR"/>
        </w:rPr>
        <w:t>NextHopChainingCount</w:t>
      </w:r>
      <w:bookmarkEnd w:id="1142"/>
      <w:bookmarkEnd w:id="1143"/>
    </w:p>
    <w:p w14:paraId="713A852B" w14:textId="77777777" w:rsidR="00394471" w:rsidRPr="00FA0D37" w:rsidRDefault="00394471" w:rsidP="00394471">
      <w:pPr>
        <w:rPr>
          <w:iCs/>
        </w:rPr>
      </w:pPr>
      <w:r w:rsidRPr="00FA0D37">
        <w:t xml:space="preserve">The IE </w:t>
      </w:r>
      <w:r w:rsidRPr="00FA0D37">
        <w:rPr>
          <w:i/>
          <w:noProof/>
          <w:lang w:eastAsia="ko-KR"/>
        </w:rPr>
        <w:t>NextHopChainingCount</w:t>
      </w:r>
      <w:r w:rsidRPr="00FA0D37">
        <w:rPr>
          <w:iCs/>
        </w:rPr>
        <w:t xml:space="preserve"> is used to update the K</w:t>
      </w:r>
      <w:r w:rsidRPr="00FA0D37">
        <w:rPr>
          <w:iCs/>
          <w:vertAlign w:val="subscript"/>
        </w:rPr>
        <w:t>gNB</w:t>
      </w:r>
      <w:r w:rsidRPr="00FA0D37">
        <w:rPr>
          <w:iCs/>
        </w:rPr>
        <w:t xml:space="preserve"> key</w:t>
      </w:r>
      <w:r w:rsidRPr="00FA0D37">
        <w:t xml:space="preserve"> and corresponds to p</w:t>
      </w:r>
      <w:r w:rsidRPr="00FA0D37">
        <w:rPr>
          <w:iCs/>
        </w:rPr>
        <w:t>arameter NCC: See TS 33.501 [11].</w:t>
      </w:r>
    </w:p>
    <w:p w14:paraId="6D13C18C" w14:textId="77777777" w:rsidR="00394471" w:rsidRPr="00FA0D37" w:rsidRDefault="00394471" w:rsidP="00394471">
      <w:pPr>
        <w:pStyle w:val="TH"/>
      </w:pPr>
      <w:r w:rsidRPr="00FA0D37">
        <w:rPr>
          <w:i/>
        </w:rPr>
        <w:t xml:space="preserve">NextHopChainingCount </w:t>
      </w:r>
      <w:r w:rsidRPr="00FA0D37">
        <w:t>information element</w:t>
      </w:r>
    </w:p>
    <w:p w14:paraId="29F50CAD" w14:textId="77777777" w:rsidR="00394471" w:rsidRPr="00FA0D37" w:rsidRDefault="00394471" w:rsidP="00FA0D37">
      <w:pPr>
        <w:pStyle w:val="PL"/>
        <w:rPr>
          <w:color w:val="808080"/>
        </w:rPr>
      </w:pPr>
      <w:r w:rsidRPr="00FA0D37">
        <w:rPr>
          <w:color w:val="808080"/>
        </w:rPr>
        <w:t>-- ASN1START</w:t>
      </w:r>
    </w:p>
    <w:p w14:paraId="38F40338" w14:textId="77777777" w:rsidR="00394471" w:rsidRPr="00FA0D37" w:rsidRDefault="00394471" w:rsidP="00FA0D37">
      <w:pPr>
        <w:pStyle w:val="PL"/>
        <w:rPr>
          <w:color w:val="808080"/>
        </w:rPr>
      </w:pPr>
      <w:r w:rsidRPr="00FA0D37">
        <w:rPr>
          <w:color w:val="808080"/>
        </w:rPr>
        <w:t>-- TAG-NEXTHOPCHAININGCOUNT-START</w:t>
      </w:r>
    </w:p>
    <w:p w14:paraId="042C41EE" w14:textId="77777777" w:rsidR="00394471" w:rsidRPr="00FA0D37" w:rsidRDefault="00394471" w:rsidP="00FA0D37">
      <w:pPr>
        <w:pStyle w:val="PL"/>
      </w:pPr>
    </w:p>
    <w:p w14:paraId="30E9FEFC" w14:textId="77777777" w:rsidR="00394471" w:rsidRPr="00FA0D37" w:rsidRDefault="00394471" w:rsidP="00FA0D37">
      <w:pPr>
        <w:pStyle w:val="PL"/>
      </w:pPr>
      <w:r w:rsidRPr="00FA0D37">
        <w:t xml:space="preserve">NextHopChainingCount ::=                    </w:t>
      </w:r>
      <w:r w:rsidRPr="00FA0D37">
        <w:rPr>
          <w:color w:val="993366"/>
        </w:rPr>
        <w:t>INTEGER</w:t>
      </w:r>
      <w:r w:rsidRPr="00FA0D37">
        <w:t xml:space="preserve"> (0..7)</w:t>
      </w:r>
    </w:p>
    <w:p w14:paraId="1BE7D3E1" w14:textId="77777777" w:rsidR="00394471" w:rsidRPr="00FA0D37" w:rsidRDefault="00394471" w:rsidP="00FA0D37">
      <w:pPr>
        <w:pStyle w:val="PL"/>
      </w:pPr>
    </w:p>
    <w:p w14:paraId="27B81969" w14:textId="77777777" w:rsidR="00394471" w:rsidRPr="00FA0D37" w:rsidRDefault="00394471" w:rsidP="00FA0D37">
      <w:pPr>
        <w:pStyle w:val="PL"/>
        <w:rPr>
          <w:color w:val="808080"/>
        </w:rPr>
      </w:pPr>
      <w:r w:rsidRPr="00FA0D37">
        <w:rPr>
          <w:color w:val="808080"/>
        </w:rPr>
        <w:t>-- TAG-NEXTHOPCHAININGCOUNT-STOP</w:t>
      </w:r>
    </w:p>
    <w:p w14:paraId="5CB38D3C" w14:textId="77777777" w:rsidR="00394471" w:rsidRPr="00FA0D37" w:rsidRDefault="00394471" w:rsidP="00FA0D37">
      <w:pPr>
        <w:pStyle w:val="PL"/>
        <w:rPr>
          <w:color w:val="808080"/>
        </w:rPr>
      </w:pPr>
      <w:r w:rsidRPr="00FA0D37">
        <w:rPr>
          <w:color w:val="808080"/>
        </w:rPr>
        <w:t>-- ASN1STOP</w:t>
      </w:r>
    </w:p>
    <w:p w14:paraId="6F3E2A8F" w14:textId="77777777" w:rsidR="00394471" w:rsidRPr="00FA0D37" w:rsidRDefault="00394471" w:rsidP="00394471"/>
    <w:p w14:paraId="3EF3A224" w14:textId="77777777" w:rsidR="00394471" w:rsidRPr="00FA0D37" w:rsidRDefault="00394471" w:rsidP="00394471">
      <w:pPr>
        <w:pStyle w:val="4"/>
      </w:pPr>
      <w:bookmarkStart w:id="1144" w:name="_Toc60777282"/>
      <w:bookmarkStart w:id="1145" w:name="_Toc146781352"/>
      <w:r w:rsidRPr="00FA0D37">
        <w:lastRenderedPageBreak/>
        <w:t>–</w:t>
      </w:r>
      <w:r w:rsidRPr="00FA0D37">
        <w:tab/>
      </w:r>
      <w:r w:rsidRPr="00FA0D37">
        <w:rPr>
          <w:i/>
        </w:rPr>
        <w:t>NG-5G-S-TMSI</w:t>
      </w:r>
      <w:bookmarkEnd w:id="1144"/>
      <w:bookmarkEnd w:id="1145"/>
    </w:p>
    <w:p w14:paraId="23A01207" w14:textId="77777777" w:rsidR="00394471" w:rsidRPr="00FA0D37" w:rsidRDefault="00394471" w:rsidP="00394471">
      <w:r w:rsidRPr="00FA0D37">
        <w:t xml:space="preserve">The IE </w:t>
      </w:r>
      <w:r w:rsidRPr="00FA0D37">
        <w:rPr>
          <w:i/>
        </w:rPr>
        <w:t>NG-5G-S-TMSI</w:t>
      </w:r>
      <w:r w:rsidRPr="00FA0D37">
        <w:t xml:space="preserve"> contains a 5G S-Temporary Mobile Subscription Identifier (5G-S-TMSI), a temporary UE identity provided by the 5GC which uniquely identifies the UE within the tracking area, see TS 23.003 [21].</w:t>
      </w:r>
    </w:p>
    <w:p w14:paraId="4EE04CF1" w14:textId="77777777" w:rsidR="00394471" w:rsidRPr="00FA0D37" w:rsidRDefault="00394471" w:rsidP="00394471">
      <w:pPr>
        <w:pStyle w:val="TH"/>
      </w:pPr>
      <w:r w:rsidRPr="00FA0D37">
        <w:rPr>
          <w:i/>
        </w:rPr>
        <w:t>NG-5G-S-TMSI</w:t>
      </w:r>
      <w:r w:rsidRPr="00FA0D37">
        <w:t xml:space="preserve"> information element</w:t>
      </w:r>
    </w:p>
    <w:p w14:paraId="0DF48E73" w14:textId="77777777" w:rsidR="00394471" w:rsidRPr="00FA0D37" w:rsidRDefault="00394471" w:rsidP="00FA0D37">
      <w:pPr>
        <w:pStyle w:val="PL"/>
        <w:rPr>
          <w:color w:val="808080"/>
        </w:rPr>
      </w:pPr>
      <w:r w:rsidRPr="00FA0D37">
        <w:rPr>
          <w:color w:val="808080"/>
        </w:rPr>
        <w:t>-- ASN1START</w:t>
      </w:r>
    </w:p>
    <w:p w14:paraId="7A097D88" w14:textId="77777777" w:rsidR="00394471" w:rsidRPr="00FA0D37" w:rsidRDefault="00394471" w:rsidP="00FA0D37">
      <w:pPr>
        <w:pStyle w:val="PL"/>
        <w:rPr>
          <w:color w:val="808080"/>
        </w:rPr>
      </w:pPr>
      <w:r w:rsidRPr="00FA0D37">
        <w:rPr>
          <w:color w:val="808080"/>
        </w:rPr>
        <w:t>-- TAG-NG-5G-S-TMSI-START</w:t>
      </w:r>
    </w:p>
    <w:p w14:paraId="5921CD9B" w14:textId="77777777" w:rsidR="00394471" w:rsidRPr="00FA0D37" w:rsidRDefault="00394471" w:rsidP="00FA0D37">
      <w:pPr>
        <w:pStyle w:val="PL"/>
      </w:pPr>
    </w:p>
    <w:p w14:paraId="00D98F40" w14:textId="77777777" w:rsidR="00394471" w:rsidRPr="00FA0D37" w:rsidRDefault="00394471" w:rsidP="00FA0D37">
      <w:pPr>
        <w:pStyle w:val="PL"/>
      </w:pPr>
      <w:r w:rsidRPr="00FA0D37">
        <w:t xml:space="preserve">NG-5G-S-TMSI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(48))</w:t>
      </w:r>
    </w:p>
    <w:p w14:paraId="355938DB" w14:textId="77777777" w:rsidR="00394471" w:rsidRPr="00FA0D37" w:rsidRDefault="00394471" w:rsidP="00FA0D37">
      <w:pPr>
        <w:pStyle w:val="PL"/>
      </w:pPr>
    </w:p>
    <w:p w14:paraId="3AE702A6" w14:textId="77777777" w:rsidR="00394471" w:rsidRPr="00FA0D37" w:rsidRDefault="00394471" w:rsidP="00FA0D37">
      <w:pPr>
        <w:pStyle w:val="PL"/>
        <w:rPr>
          <w:color w:val="808080"/>
        </w:rPr>
      </w:pPr>
      <w:r w:rsidRPr="00FA0D37">
        <w:rPr>
          <w:color w:val="808080"/>
        </w:rPr>
        <w:t>-- TAG-NG-5G-S-TMSI-STOP</w:t>
      </w:r>
    </w:p>
    <w:p w14:paraId="4B5D7E85" w14:textId="77777777" w:rsidR="00394471" w:rsidRPr="00FA0D37" w:rsidRDefault="00394471" w:rsidP="00FA0D37">
      <w:pPr>
        <w:pStyle w:val="PL"/>
        <w:rPr>
          <w:color w:val="808080"/>
        </w:rPr>
      </w:pPr>
      <w:r w:rsidRPr="00FA0D37">
        <w:rPr>
          <w:color w:val="808080"/>
        </w:rPr>
        <w:t>-- ASN1STOP</w:t>
      </w:r>
    </w:p>
    <w:p w14:paraId="5CCB9F2A" w14:textId="223172D7" w:rsidR="00394471" w:rsidRPr="00FA0D37" w:rsidRDefault="00394471" w:rsidP="00394471"/>
    <w:p w14:paraId="7DB5C5A7" w14:textId="77777777" w:rsidR="00B37B2F" w:rsidRPr="00FA0D37" w:rsidRDefault="00B37B2F" w:rsidP="00B37B2F">
      <w:pPr>
        <w:pStyle w:val="4"/>
      </w:pPr>
      <w:bookmarkStart w:id="1146" w:name="_Toc146781353"/>
      <w:r w:rsidRPr="00FA0D37">
        <w:t>–</w:t>
      </w:r>
      <w:r w:rsidRPr="00FA0D37">
        <w:tab/>
      </w:r>
      <w:r w:rsidRPr="00FA0D37">
        <w:rPr>
          <w:i/>
        </w:rPr>
        <w:t>NonCellDefiningSSB</w:t>
      </w:r>
      <w:bookmarkEnd w:id="1146"/>
    </w:p>
    <w:p w14:paraId="416C9DDD" w14:textId="3FB496EF" w:rsidR="00B37B2F" w:rsidRPr="00FA0D37" w:rsidRDefault="00B37B2F" w:rsidP="00B37B2F">
      <w:r w:rsidRPr="00FA0D37">
        <w:t xml:space="preserve">The IE </w:t>
      </w:r>
      <w:r w:rsidRPr="00FA0D37">
        <w:rPr>
          <w:i/>
        </w:rPr>
        <w:t>NonCellDefiningSSB</w:t>
      </w:r>
      <w:r w:rsidRPr="00FA0D37">
        <w:t xml:space="preserve"> is used to configure a </w:t>
      </w:r>
      <w:r w:rsidR="00E358C0" w:rsidRPr="00FA0D37">
        <w:t>NCD-</w:t>
      </w:r>
      <w:r w:rsidRPr="00FA0D37">
        <w:t xml:space="preserve">SSB to be used while the UE operates in a </w:t>
      </w:r>
      <w:r w:rsidR="00AE678F" w:rsidRPr="00FA0D37">
        <w:rPr>
          <w:rFonts w:eastAsia="宋体"/>
          <w:lang w:eastAsia="sv-SE"/>
        </w:rPr>
        <w:t>RedCap-specific initial BWP or</w:t>
      </w:r>
      <w:r w:rsidR="00AE678F" w:rsidRPr="00FA0D37">
        <w:t xml:space="preserve"> </w:t>
      </w:r>
      <w:r w:rsidRPr="00FA0D37">
        <w:t>dedicated BWP.</w:t>
      </w:r>
    </w:p>
    <w:p w14:paraId="7EF10D69" w14:textId="77777777" w:rsidR="00B37B2F" w:rsidRPr="00FA0D37" w:rsidRDefault="00B37B2F" w:rsidP="00B37B2F">
      <w:pPr>
        <w:pStyle w:val="TH"/>
      </w:pPr>
      <w:r w:rsidRPr="00FA0D37">
        <w:rPr>
          <w:i/>
        </w:rPr>
        <w:t>NonCellDefiningSSB</w:t>
      </w:r>
      <w:r w:rsidRPr="00FA0D37">
        <w:t xml:space="preserve"> information element</w:t>
      </w:r>
    </w:p>
    <w:p w14:paraId="009C6517" w14:textId="77777777" w:rsidR="00B37B2F" w:rsidRPr="00FA0D37" w:rsidRDefault="00B37B2F" w:rsidP="00FA0D37">
      <w:pPr>
        <w:pStyle w:val="PL"/>
        <w:rPr>
          <w:color w:val="808080"/>
        </w:rPr>
      </w:pPr>
      <w:r w:rsidRPr="00FA0D37">
        <w:rPr>
          <w:color w:val="808080"/>
        </w:rPr>
        <w:t>-- ASN1START</w:t>
      </w:r>
    </w:p>
    <w:p w14:paraId="0ADEE539" w14:textId="77777777" w:rsidR="00B37B2F" w:rsidRPr="00FA0D37" w:rsidRDefault="00B37B2F" w:rsidP="00FA0D37">
      <w:pPr>
        <w:pStyle w:val="PL"/>
        <w:rPr>
          <w:color w:val="808080"/>
        </w:rPr>
      </w:pPr>
      <w:r w:rsidRPr="00FA0D37">
        <w:rPr>
          <w:color w:val="808080"/>
        </w:rPr>
        <w:t>-- TAG-NONCELLDEFININGSSB-START</w:t>
      </w:r>
    </w:p>
    <w:p w14:paraId="240C6239" w14:textId="77777777" w:rsidR="00B37B2F" w:rsidRPr="00FA0D37" w:rsidRDefault="00B37B2F" w:rsidP="00FA0D37">
      <w:pPr>
        <w:pStyle w:val="PL"/>
      </w:pPr>
    </w:p>
    <w:p w14:paraId="0A20F1A0" w14:textId="34AB1965" w:rsidR="00B37B2F" w:rsidRPr="00FA0D37" w:rsidRDefault="00B37B2F" w:rsidP="00FA0D37">
      <w:pPr>
        <w:pStyle w:val="PL"/>
      </w:pPr>
      <w:r w:rsidRPr="00FA0D37">
        <w:t xml:space="preserve">NonCellDefiningSSB-r17 ::=      </w:t>
      </w:r>
      <w:r w:rsidRPr="00FA0D37">
        <w:rPr>
          <w:color w:val="993366"/>
        </w:rPr>
        <w:t>SEQUENCE</w:t>
      </w:r>
      <w:r w:rsidRPr="00FA0D37">
        <w:t xml:space="preserve"> {</w:t>
      </w:r>
    </w:p>
    <w:p w14:paraId="2CE238D7" w14:textId="5C95B726" w:rsidR="00B37B2F" w:rsidRPr="00FA0D37" w:rsidRDefault="00B37B2F" w:rsidP="00FA0D37">
      <w:pPr>
        <w:pStyle w:val="PL"/>
      </w:pPr>
      <w:r w:rsidRPr="00FA0D37">
        <w:t xml:space="preserve">    absoluteFrequencySSB-r17        ARFCN-ValueNR,</w:t>
      </w:r>
    </w:p>
    <w:p w14:paraId="7CAF4FC0" w14:textId="4D9F6A6E" w:rsidR="00AE678F" w:rsidRPr="00FA0D37" w:rsidRDefault="00B37B2F" w:rsidP="00FA0D37">
      <w:pPr>
        <w:pStyle w:val="PL"/>
        <w:rPr>
          <w:color w:val="808080"/>
        </w:rPr>
      </w:pPr>
      <w:r w:rsidRPr="00FA0D37">
        <w:t xml:space="preserve">    ssb-Periodicity</w:t>
      </w:r>
      <w:r w:rsidR="00AE678F" w:rsidRPr="00FA0D37">
        <w:t>-r17</w:t>
      </w:r>
      <w:r w:rsidRPr="00FA0D37">
        <w:t xml:space="preserve">             </w:t>
      </w:r>
      <w:r w:rsidRPr="00FA0D37">
        <w:rPr>
          <w:color w:val="993366"/>
        </w:rPr>
        <w:t>ENUMERATED</w:t>
      </w:r>
      <w:r w:rsidRPr="00FA0D37">
        <w:t xml:space="preserve"> { ms5, ms10, ms20, ms40, ms80, ms160, spare2, spare1 }       </w:t>
      </w:r>
      <w:r w:rsidRPr="00FA0D37">
        <w:rPr>
          <w:color w:val="993366"/>
        </w:rPr>
        <w:t>OPTIONAL</w:t>
      </w:r>
      <w:r w:rsidRPr="00FA0D37">
        <w:t xml:space="preserve">,   </w:t>
      </w:r>
      <w:r w:rsidRPr="00FA0D37">
        <w:rPr>
          <w:color w:val="808080"/>
        </w:rPr>
        <w:t>-- Need S</w:t>
      </w:r>
    </w:p>
    <w:p w14:paraId="7DAB6AA7" w14:textId="09EBDC37" w:rsidR="00B37B2F" w:rsidRPr="00FA0D37" w:rsidRDefault="00AE678F" w:rsidP="00FA0D37">
      <w:pPr>
        <w:pStyle w:val="PL"/>
        <w:rPr>
          <w:color w:val="808080"/>
        </w:rPr>
      </w:pPr>
      <w:r w:rsidRPr="00FA0D37">
        <w:t xml:space="preserve">    ssb-TimeOffset-r17              </w:t>
      </w:r>
      <w:r w:rsidRPr="00FA0D37">
        <w:rPr>
          <w:color w:val="993366"/>
        </w:rPr>
        <w:t>ENUMERATED</w:t>
      </w:r>
      <w:r w:rsidRPr="00FA0D37">
        <w:t xml:space="preserve"> { </w:t>
      </w:r>
      <w:r w:rsidR="004A5E25" w:rsidRPr="00FA0D37">
        <w:t>ms</w:t>
      </w:r>
      <w:r w:rsidRPr="00FA0D37">
        <w:t xml:space="preserve">5, </w:t>
      </w:r>
      <w:r w:rsidR="004A5E25" w:rsidRPr="00FA0D37">
        <w:t>ms</w:t>
      </w:r>
      <w:r w:rsidRPr="00FA0D37">
        <w:t xml:space="preserve">10, </w:t>
      </w:r>
      <w:r w:rsidR="004A5E25" w:rsidRPr="00FA0D37">
        <w:t>ms</w:t>
      </w:r>
      <w:r w:rsidRPr="00FA0D37">
        <w:t xml:space="preserve">15, </w:t>
      </w:r>
      <w:r w:rsidR="004A5E25" w:rsidRPr="00FA0D37">
        <w:t>ms20</w:t>
      </w:r>
      <w:r w:rsidRPr="00FA0D37">
        <w:t xml:space="preserve">, </w:t>
      </w:r>
      <w:r w:rsidR="004A5E25" w:rsidRPr="00FA0D37">
        <w:t>ms40</w:t>
      </w:r>
      <w:r w:rsidRPr="00FA0D37">
        <w:t xml:space="preserve">, </w:t>
      </w:r>
      <w:r w:rsidR="004A5E25" w:rsidRPr="00FA0D37">
        <w:t>ms80</w:t>
      </w:r>
      <w:r w:rsidRPr="00FA0D37">
        <w:t xml:space="preserve">, spare2, spare1 }      </w:t>
      </w:r>
      <w:r w:rsidRPr="00FA0D37">
        <w:rPr>
          <w:color w:val="993366"/>
        </w:rPr>
        <w:t>OPTIONAL</w:t>
      </w:r>
      <w:r w:rsidRPr="00FA0D37">
        <w:t xml:space="preserve">,   </w:t>
      </w:r>
      <w:r w:rsidRPr="00FA0D37">
        <w:rPr>
          <w:color w:val="808080"/>
        </w:rPr>
        <w:t>-- Need S</w:t>
      </w:r>
    </w:p>
    <w:p w14:paraId="6BCD53E1" w14:textId="77777777" w:rsidR="00B37B2F" w:rsidRPr="00FA0D37" w:rsidRDefault="00B37B2F" w:rsidP="00FA0D37">
      <w:pPr>
        <w:pStyle w:val="PL"/>
      </w:pPr>
      <w:r w:rsidRPr="00FA0D37">
        <w:t xml:space="preserve">    ...</w:t>
      </w:r>
    </w:p>
    <w:p w14:paraId="3F17C730" w14:textId="77777777" w:rsidR="00B37B2F" w:rsidRPr="00FA0D37" w:rsidRDefault="00B37B2F" w:rsidP="00FA0D37">
      <w:pPr>
        <w:pStyle w:val="PL"/>
      </w:pPr>
      <w:r w:rsidRPr="00FA0D37">
        <w:t>}</w:t>
      </w:r>
    </w:p>
    <w:p w14:paraId="0E415E5F" w14:textId="77777777" w:rsidR="00B37B2F" w:rsidRPr="00FA0D37" w:rsidRDefault="00B37B2F" w:rsidP="00FA0D37">
      <w:pPr>
        <w:pStyle w:val="PL"/>
      </w:pPr>
    </w:p>
    <w:p w14:paraId="7CCE257F" w14:textId="77777777" w:rsidR="00B37B2F" w:rsidRPr="00FA0D37" w:rsidRDefault="00B37B2F" w:rsidP="00FA0D37">
      <w:pPr>
        <w:pStyle w:val="PL"/>
        <w:rPr>
          <w:color w:val="808080"/>
        </w:rPr>
      </w:pPr>
      <w:r w:rsidRPr="00FA0D37">
        <w:rPr>
          <w:color w:val="808080"/>
        </w:rPr>
        <w:t>-- TAG-NONCELLDEFININGSSB-STOP</w:t>
      </w:r>
    </w:p>
    <w:p w14:paraId="0B8161D1" w14:textId="77777777" w:rsidR="00B37B2F" w:rsidRPr="00FA0D37" w:rsidRDefault="00B37B2F" w:rsidP="00FA0D37">
      <w:pPr>
        <w:pStyle w:val="PL"/>
        <w:rPr>
          <w:color w:val="808080"/>
        </w:rPr>
      </w:pPr>
      <w:r w:rsidRPr="00FA0D37">
        <w:rPr>
          <w:color w:val="808080"/>
        </w:rPr>
        <w:t>-- ASN1STOP</w:t>
      </w:r>
    </w:p>
    <w:p w14:paraId="7D9238F5" w14:textId="77777777" w:rsidR="00B37B2F" w:rsidRPr="00FA0D37" w:rsidRDefault="00B37B2F" w:rsidP="00B37B2F"/>
    <w:tbl>
      <w:tblPr>
        <w:tblStyle w:val="af8"/>
        <w:tblW w:w="14173" w:type="dxa"/>
        <w:tblInd w:w="0" w:type="dxa"/>
        <w:tblLook w:val="04A0" w:firstRow="1" w:lastRow="0" w:firstColumn="1" w:lastColumn="0" w:noHBand="0" w:noVBand="1"/>
      </w:tblPr>
      <w:tblGrid>
        <w:gridCol w:w="14173"/>
      </w:tblGrid>
      <w:tr w:rsidR="005C7FF4" w:rsidRPr="00FA0D37" w14:paraId="2FE19C86" w14:textId="77777777" w:rsidTr="00771058">
        <w:tc>
          <w:tcPr>
            <w:tcW w:w="14281" w:type="dxa"/>
          </w:tcPr>
          <w:p w14:paraId="6DA00B62" w14:textId="386BDD15" w:rsidR="00B37B2F" w:rsidRPr="00FA0D37" w:rsidRDefault="00B37B2F" w:rsidP="00771058">
            <w:pPr>
              <w:pStyle w:val="TAH"/>
            </w:pPr>
            <w:r w:rsidRPr="00FA0D37">
              <w:rPr>
                <w:i/>
              </w:rPr>
              <w:lastRenderedPageBreak/>
              <w:t>NonCellDefiningSSB</w:t>
            </w:r>
            <w:r w:rsidRPr="00FA0D37">
              <w:rPr>
                <w:iCs/>
              </w:rPr>
              <w:t xml:space="preserve"> field descriptions</w:t>
            </w:r>
          </w:p>
        </w:tc>
      </w:tr>
      <w:tr w:rsidR="005C7FF4" w:rsidRPr="00FA0D37" w14:paraId="1B7A8E31" w14:textId="77777777" w:rsidTr="00771058">
        <w:tc>
          <w:tcPr>
            <w:tcW w:w="14281" w:type="dxa"/>
          </w:tcPr>
          <w:p w14:paraId="7D3E8623" w14:textId="77777777" w:rsidR="00B37B2F" w:rsidRPr="00FA0D37" w:rsidRDefault="00B37B2F" w:rsidP="00771058">
            <w:pPr>
              <w:pStyle w:val="TAL"/>
            </w:pPr>
            <w:r w:rsidRPr="00FA0D37">
              <w:rPr>
                <w:b/>
                <w:i/>
              </w:rPr>
              <w:t>absoluteFrequencySSB</w:t>
            </w:r>
          </w:p>
          <w:p w14:paraId="62ACD52A" w14:textId="0E0F26DE" w:rsidR="00B37B2F" w:rsidRPr="00FA0D37" w:rsidRDefault="00B37B2F" w:rsidP="00771058">
            <w:pPr>
              <w:pStyle w:val="TAL"/>
            </w:pPr>
            <w:r w:rsidRPr="00FA0D37">
              <w:t xml:space="preserve">Frequency of the </w:t>
            </w:r>
            <w:r w:rsidR="00E358C0" w:rsidRPr="00FA0D37">
              <w:t>NCD-</w:t>
            </w:r>
            <w:r w:rsidRPr="00FA0D37">
              <w:t xml:space="preserve">SSB. The network configures this field so that the SSB is within the bandwidth of the BWP configured in </w:t>
            </w:r>
            <w:r w:rsidRPr="00FA0D37">
              <w:rPr>
                <w:i/>
                <w:iCs/>
              </w:rPr>
              <w:t>BWP-DownlinkCommon</w:t>
            </w:r>
            <w:r w:rsidRPr="00FA0D37">
              <w:t>.</w:t>
            </w:r>
          </w:p>
        </w:tc>
      </w:tr>
      <w:tr w:rsidR="005C7FF4" w:rsidRPr="00FA0D37" w14:paraId="2F2237FD" w14:textId="77777777" w:rsidTr="00771058">
        <w:tc>
          <w:tcPr>
            <w:tcW w:w="14281" w:type="dxa"/>
          </w:tcPr>
          <w:p w14:paraId="47ADB0C9" w14:textId="77777777" w:rsidR="00B37B2F" w:rsidRPr="00FA0D37" w:rsidRDefault="00B37B2F" w:rsidP="00771058">
            <w:pPr>
              <w:pStyle w:val="TAL"/>
            </w:pPr>
            <w:r w:rsidRPr="00FA0D37">
              <w:rPr>
                <w:b/>
                <w:i/>
              </w:rPr>
              <w:t>ssb-Periodicity</w:t>
            </w:r>
          </w:p>
          <w:p w14:paraId="6D63F7B1" w14:textId="0E108812" w:rsidR="00B37B2F" w:rsidRPr="00FA0D37" w:rsidRDefault="00B37B2F" w:rsidP="00771058">
            <w:pPr>
              <w:pStyle w:val="TAL"/>
            </w:pPr>
            <w:r w:rsidRPr="00FA0D37">
              <w:t xml:space="preserve">The periodicity of this </w:t>
            </w:r>
            <w:r w:rsidR="00E358C0" w:rsidRPr="00FA0D37">
              <w:t>NCD-</w:t>
            </w:r>
            <w:r w:rsidRPr="00FA0D37">
              <w:t>SSB. The network configures only periodicities that are larger than the periodicity of serving cell</w:t>
            </w:r>
            <w:r w:rsidR="00D537E2" w:rsidRPr="00FA0D37">
              <w:t>'</w:t>
            </w:r>
            <w:r w:rsidRPr="00FA0D37">
              <w:t xml:space="preserve">s CD-SSB. If the field is absent, the UE applies the SSB periodicity of the </w:t>
            </w:r>
            <w:r w:rsidR="00E358C0" w:rsidRPr="00FA0D37">
              <w:t>CD-</w:t>
            </w:r>
            <w:r w:rsidRPr="00FA0D37">
              <w:t>SSB (</w:t>
            </w:r>
            <w:r w:rsidRPr="00FA0D37">
              <w:rPr>
                <w:i/>
                <w:iCs/>
              </w:rPr>
              <w:t>ssb-periodicityServingCell</w:t>
            </w:r>
            <w:r w:rsidRPr="00FA0D37">
              <w:t xml:space="preserve"> configured in </w:t>
            </w:r>
            <w:r w:rsidRPr="00FA0D37">
              <w:rPr>
                <w:i/>
                <w:iCs/>
              </w:rPr>
              <w:t>ServingCellConfigCommon</w:t>
            </w:r>
            <w:r w:rsidR="00BF20EE" w:rsidRPr="00FA0D37">
              <w:rPr>
                <w:iCs/>
              </w:rPr>
              <w:t xml:space="preserve"> or </w:t>
            </w:r>
            <w:r w:rsidR="00BF20EE" w:rsidRPr="00FA0D37">
              <w:rPr>
                <w:i/>
                <w:iCs/>
              </w:rPr>
              <w:t>ServingCellConfigCommonSIB</w:t>
            </w:r>
            <w:r w:rsidRPr="00FA0D37">
              <w:t>).</w:t>
            </w:r>
          </w:p>
        </w:tc>
      </w:tr>
      <w:tr w:rsidR="00F747EB" w:rsidRPr="00FA0D37" w14:paraId="5EF7AA24" w14:textId="77777777" w:rsidTr="00771058">
        <w:tc>
          <w:tcPr>
            <w:tcW w:w="14281" w:type="dxa"/>
          </w:tcPr>
          <w:p w14:paraId="0A36A14F" w14:textId="77777777" w:rsidR="00AE678F" w:rsidRPr="00FA0D37" w:rsidRDefault="00AE678F" w:rsidP="00AE678F">
            <w:pPr>
              <w:pStyle w:val="TAL"/>
              <w:rPr>
                <w:b/>
                <w:i/>
              </w:rPr>
            </w:pPr>
            <w:r w:rsidRPr="00FA0D37">
              <w:rPr>
                <w:b/>
                <w:i/>
              </w:rPr>
              <w:t>ssb-TimeOffset</w:t>
            </w:r>
          </w:p>
          <w:p w14:paraId="5390396B" w14:textId="3AE67A83" w:rsidR="00AE678F" w:rsidRPr="00FA0D37" w:rsidRDefault="00AE678F" w:rsidP="00AE678F">
            <w:pPr>
              <w:pStyle w:val="TAL"/>
              <w:rPr>
                <w:b/>
                <w:i/>
              </w:rPr>
            </w:pPr>
            <w:r w:rsidRPr="00FA0D37">
              <w:rPr>
                <w:rFonts w:cs="Arial"/>
                <w:szCs w:val="18"/>
              </w:rPr>
              <w:t xml:space="preserve">The time offset between CD-SSB of the serving cell and this </w:t>
            </w:r>
            <w:r w:rsidR="00E358C0" w:rsidRPr="00FA0D37">
              <w:rPr>
                <w:rFonts w:cs="Arial"/>
                <w:szCs w:val="18"/>
              </w:rPr>
              <w:t>NCD-</w:t>
            </w:r>
            <w:r w:rsidRPr="00FA0D37">
              <w:rPr>
                <w:rFonts w:cs="Arial"/>
                <w:szCs w:val="18"/>
              </w:rPr>
              <w:t xml:space="preserve">SSB. Value </w:t>
            </w:r>
            <w:r w:rsidR="004A5E25" w:rsidRPr="00FA0D37">
              <w:rPr>
                <w:rFonts w:cs="Arial"/>
                <w:i/>
                <w:iCs/>
                <w:szCs w:val="18"/>
              </w:rPr>
              <w:t>ms</w:t>
            </w:r>
            <w:r w:rsidRPr="00FA0D37">
              <w:rPr>
                <w:rFonts w:cs="Arial"/>
                <w:i/>
                <w:iCs/>
                <w:szCs w:val="18"/>
              </w:rPr>
              <w:t>5</w:t>
            </w:r>
            <w:r w:rsidRPr="00FA0D37">
              <w:rPr>
                <w:rFonts w:cs="Arial"/>
                <w:szCs w:val="18"/>
              </w:rPr>
              <w:t xml:space="preserve"> means the first burst of </w:t>
            </w:r>
            <w:r w:rsidR="00E358C0" w:rsidRPr="00FA0D37">
              <w:rPr>
                <w:rFonts w:cs="Arial"/>
                <w:szCs w:val="18"/>
              </w:rPr>
              <w:t>NCD-</w:t>
            </w:r>
            <w:r w:rsidRPr="00FA0D37">
              <w:rPr>
                <w:rFonts w:cs="Arial"/>
                <w:szCs w:val="18"/>
              </w:rPr>
              <w:t xml:space="preserve">SSB is transmitted 5ms later than the first burst of CD-SSB transmitted after the first symbol of SFN=0 of the serving cell, value </w:t>
            </w:r>
            <w:r w:rsidR="004A5E25" w:rsidRPr="00FA0D37">
              <w:rPr>
                <w:rFonts w:cs="Arial"/>
                <w:i/>
                <w:iCs/>
                <w:szCs w:val="18"/>
              </w:rPr>
              <w:t>ms</w:t>
            </w:r>
            <w:r w:rsidRPr="00FA0D37">
              <w:rPr>
                <w:rFonts w:cs="Arial"/>
                <w:i/>
                <w:iCs/>
                <w:szCs w:val="18"/>
              </w:rPr>
              <w:t>10</w:t>
            </w:r>
            <w:r w:rsidRPr="00FA0D37">
              <w:rPr>
                <w:rFonts w:cs="Arial"/>
                <w:szCs w:val="18"/>
              </w:rPr>
              <w:t xml:space="preserve"> means the first burst of </w:t>
            </w:r>
            <w:r w:rsidR="00E358C0" w:rsidRPr="00FA0D37">
              <w:rPr>
                <w:rFonts w:cs="Arial"/>
                <w:szCs w:val="18"/>
              </w:rPr>
              <w:t>NCD-</w:t>
            </w:r>
            <w:r w:rsidRPr="00FA0D37">
              <w:rPr>
                <w:rFonts w:cs="Arial"/>
                <w:szCs w:val="18"/>
              </w:rPr>
              <w:t xml:space="preserve">SSB is transmitted 10ms later than the first burst of CD-SSB transmitted after the first symbol in SFN=0 of the serving cell, and so on. If the field is absent, RedCap UE considers that the time offset between the first burst of CD-SSB transmitted in the serving cell and the first burst of this </w:t>
            </w:r>
            <w:r w:rsidR="00E358C0" w:rsidRPr="00FA0D37">
              <w:rPr>
                <w:rFonts w:cs="Arial"/>
                <w:szCs w:val="18"/>
              </w:rPr>
              <w:t>NCD-</w:t>
            </w:r>
            <w:r w:rsidRPr="00FA0D37">
              <w:rPr>
                <w:rFonts w:cs="Arial"/>
                <w:szCs w:val="18"/>
              </w:rPr>
              <w:t>SSB transmitted is zero.</w:t>
            </w:r>
          </w:p>
        </w:tc>
      </w:tr>
    </w:tbl>
    <w:p w14:paraId="5E0F63E4" w14:textId="77777777" w:rsidR="00B37B2F" w:rsidRPr="00FA0D37" w:rsidRDefault="00B37B2F" w:rsidP="00394471"/>
    <w:p w14:paraId="0AA5E8DA" w14:textId="77777777" w:rsidR="00394471" w:rsidRPr="00FA0D37" w:rsidRDefault="00394471" w:rsidP="00394471">
      <w:pPr>
        <w:pStyle w:val="4"/>
      </w:pPr>
      <w:bookmarkStart w:id="1147" w:name="_Toc60777283"/>
      <w:bookmarkStart w:id="1148" w:name="_Toc146781354"/>
      <w:r w:rsidRPr="00FA0D37">
        <w:t>–</w:t>
      </w:r>
      <w:r w:rsidRPr="00FA0D37">
        <w:tab/>
      </w:r>
      <w:r w:rsidRPr="00FA0D37">
        <w:rPr>
          <w:i/>
        </w:rPr>
        <w:t>NPN-Identity</w:t>
      </w:r>
      <w:bookmarkEnd w:id="1147"/>
      <w:bookmarkEnd w:id="1148"/>
    </w:p>
    <w:p w14:paraId="19E29777" w14:textId="77777777" w:rsidR="00394471" w:rsidRPr="00FA0D37" w:rsidRDefault="00394471" w:rsidP="00394471">
      <w:r w:rsidRPr="00FA0D37">
        <w:t xml:space="preserve">The IE </w:t>
      </w:r>
      <w:r w:rsidRPr="00FA0D37">
        <w:rPr>
          <w:i/>
        </w:rPr>
        <w:t xml:space="preserve">NPN-Identity </w:t>
      </w:r>
      <w:r w:rsidRPr="00FA0D37">
        <w:t xml:space="preserve">includes either a list of CAG-IDs or a list of NIDs per PLMN Identity. Further information regarding how to set the IE </w:t>
      </w:r>
      <w:r w:rsidRPr="00FA0D37">
        <w:rPr>
          <w:lang w:eastAsia="zh-CN"/>
        </w:rPr>
        <w:t>is</w:t>
      </w:r>
      <w:r w:rsidRPr="00FA0D37">
        <w:t xml:space="preserve"> specified in TS 23.003 [21].</w:t>
      </w:r>
    </w:p>
    <w:p w14:paraId="24D96069" w14:textId="77777777" w:rsidR="00394471" w:rsidRPr="00FA0D37" w:rsidRDefault="00394471" w:rsidP="00394471">
      <w:pPr>
        <w:pStyle w:val="TH"/>
      </w:pPr>
      <w:r w:rsidRPr="00FA0D37">
        <w:rPr>
          <w:bCs/>
          <w:i/>
          <w:iCs/>
        </w:rPr>
        <w:t xml:space="preserve">NPN-Identity </w:t>
      </w:r>
      <w:r w:rsidRPr="00FA0D37">
        <w:rPr>
          <w:bCs/>
          <w:iCs/>
        </w:rPr>
        <w:t>infor</w:t>
      </w:r>
      <w:r w:rsidRPr="00FA0D37">
        <w:t>mation element</w:t>
      </w:r>
    </w:p>
    <w:p w14:paraId="42546E1E" w14:textId="77777777" w:rsidR="00394471" w:rsidRPr="00FA0D37" w:rsidRDefault="00394471" w:rsidP="00FA0D37">
      <w:pPr>
        <w:pStyle w:val="PL"/>
        <w:rPr>
          <w:color w:val="808080"/>
        </w:rPr>
      </w:pPr>
      <w:r w:rsidRPr="00FA0D37">
        <w:rPr>
          <w:color w:val="808080"/>
        </w:rPr>
        <w:t>-- ASN1START</w:t>
      </w:r>
    </w:p>
    <w:p w14:paraId="3C1143CC" w14:textId="77777777" w:rsidR="00394471" w:rsidRPr="00FA0D37" w:rsidRDefault="00394471" w:rsidP="00FA0D37">
      <w:pPr>
        <w:pStyle w:val="PL"/>
        <w:rPr>
          <w:color w:val="808080"/>
        </w:rPr>
      </w:pPr>
      <w:r w:rsidRPr="00FA0D37">
        <w:rPr>
          <w:color w:val="808080"/>
        </w:rPr>
        <w:t>-- TAG-NPN-IDENTITY-START</w:t>
      </w:r>
    </w:p>
    <w:p w14:paraId="7D62CD36" w14:textId="77777777" w:rsidR="00394471" w:rsidRPr="00FA0D37" w:rsidRDefault="00394471" w:rsidP="00FA0D37">
      <w:pPr>
        <w:pStyle w:val="PL"/>
      </w:pPr>
    </w:p>
    <w:p w14:paraId="5267843B" w14:textId="77777777" w:rsidR="00394471" w:rsidRPr="00FA0D37" w:rsidRDefault="00394471" w:rsidP="00FA0D37">
      <w:pPr>
        <w:pStyle w:val="PL"/>
      </w:pPr>
      <w:r w:rsidRPr="00FA0D37">
        <w:t xml:space="preserve">NPN-Identity-r16 ::=             </w:t>
      </w:r>
      <w:r w:rsidRPr="00FA0D37">
        <w:rPr>
          <w:color w:val="993366"/>
        </w:rPr>
        <w:t>CHOICE</w:t>
      </w:r>
      <w:r w:rsidRPr="00FA0D37">
        <w:t xml:space="preserve"> {</w:t>
      </w:r>
    </w:p>
    <w:p w14:paraId="6848AFC3" w14:textId="77777777" w:rsidR="00394471" w:rsidRPr="00FA0D37" w:rsidRDefault="00394471" w:rsidP="00FA0D37">
      <w:pPr>
        <w:pStyle w:val="PL"/>
      </w:pPr>
      <w:r w:rsidRPr="00FA0D37">
        <w:t xml:space="preserve">    pni-npn-r16                      </w:t>
      </w:r>
      <w:r w:rsidRPr="00FA0D37">
        <w:rPr>
          <w:color w:val="993366"/>
        </w:rPr>
        <w:t>SEQUENCE</w:t>
      </w:r>
      <w:r w:rsidRPr="00FA0D37">
        <w:t xml:space="preserve"> {</w:t>
      </w:r>
    </w:p>
    <w:p w14:paraId="478BADFF" w14:textId="77777777" w:rsidR="00394471" w:rsidRPr="00FA0D37" w:rsidRDefault="00394471" w:rsidP="00FA0D37">
      <w:pPr>
        <w:pStyle w:val="PL"/>
      </w:pPr>
      <w:r w:rsidRPr="00FA0D37">
        <w:t xml:space="preserve">        plmn-Identity-r16                PLMN-Identity,</w:t>
      </w:r>
    </w:p>
    <w:p w14:paraId="549EE787" w14:textId="77777777" w:rsidR="00394471" w:rsidRPr="00FA0D37" w:rsidRDefault="00394471" w:rsidP="00FA0D37">
      <w:pPr>
        <w:pStyle w:val="PL"/>
      </w:pPr>
      <w:r w:rsidRPr="00FA0D37">
        <w:t xml:space="preserve">        cag-IdentityList-r16             </w:t>
      </w:r>
      <w:r w:rsidRPr="00FA0D37">
        <w:rPr>
          <w:color w:val="993366"/>
        </w:rPr>
        <w:t>SEQUENCE</w:t>
      </w:r>
      <w:r w:rsidRPr="00FA0D37">
        <w:t xml:space="preserve"> (</w:t>
      </w:r>
      <w:r w:rsidRPr="00FA0D37">
        <w:rPr>
          <w:color w:val="993366"/>
        </w:rPr>
        <w:t>SIZE</w:t>
      </w:r>
      <w:r w:rsidRPr="00FA0D37">
        <w:t xml:space="preserve"> (1..maxNPN-r16))</w:t>
      </w:r>
      <w:r w:rsidRPr="00FA0D37">
        <w:rPr>
          <w:color w:val="993366"/>
        </w:rPr>
        <w:t xml:space="preserve"> OF</w:t>
      </w:r>
      <w:r w:rsidRPr="00FA0D37">
        <w:t xml:space="preserve"> CAG-IdentityInfo-r16</w:t>
      </w:r>
    </w:p>
    <w:p w14:paraId="6F25025A" w14:textId="77777777" w:rsidR="00394471" w:rsidRPr="00FA0D37" w:rsidRDefault="00394471" w:rsidP="00FA0D37">
      <w:pPr>
        <w:pStyle w:val="PL"/>
      </w:pPr>
      <w:r w:rsidRPr="00FA0D37">
        <w:t xml:space="preserve">    },</w:t>
      </w:r>
    </w:p>
    <w:p w14:paraId="79D82E81" w14:textId="77777777" w:rsidR="00394471" w:rsidRPr="00FA0D37" w:rsidRDefault="00394471" w:rsidP="00FA0D37">
      <w:pPr>
        <w:pStyle w:val="PL"/>
      </w:pPr>
      <w:r w:rsidRPr="00FA0D37">
        <w:t xml:space="preserve">    snpn-r16                         </w:t>
      </w:r>
      <w:r w:rsidRPr="00FA0D37">
        <w:rPr>
          <w:color w:val="993366"/>
        </w:rPr>
        <w:t>SEQUENCE</w:t>
      </w:r>
      <w:r w:rsidRPr="00FA0D37">
        <w:t xml:space="preserve"> {</w:t>
      </w:r>
    </w:p>
    <w:p w14:paraId="757CF5C8" w14:textId="266914E8" w:rsidR="00394471" w:rsidRPr="00FA0D37" w:rsidRDefault="00394471" w:rsidP="00FA0D37">
      <w:pPr>
        <w:pStyle w:val="PL"/>
      </w:pPr>
      <w:r w:rsidRPr="00FA0D37">
        <w:t xml:space="preserve">        plmn-Identity-r16                PLMN-Identity,</w:t>
      </w:r>
    </w:p>
    <w:p w14:paraId="55EE01A6" w14:textId="77777777" w:rsidR="00394471" w:rsidRPr="00FA0D37" w:rsidRDefault="00394471" w:rsidP="00FA0D37">
      <w:pPr>
        <w:pStyle w:val="PL"/>
      </w:pPr>
      <w:r w:rsidRPr="00FA0D37">
        <w:t xml:space="preserve">        nid-List-r16                     </w:t>
      </w:r>
      <w:r w:rsidRPr="00FA0D37">
        <w:rPr>
          <w:color w:val="993366"/>
        </w:rPr>
        <w:t>SEQUENCE</w:t>
      </w:r>
      <w:r w:rsidRPr="00FA0D37">
        <w:t xml:space="preserve"> (</w:t>
      </w:r>
      <w:r w:rsidRPr="00FA0D37">
        <w:rPr>
          <w:color w:val="993366"/>
        </w:rPr>
        <w:t>SIZE</w:t>
      </w:r>
      <w:r w:rsidRPr="00FA0D37">
        <w:t xml:space="preserve"> (1..maxNPN-r16))</w:t>
      </w:r>
      <w:r w:rsidRPr="00FA0D37">
        <w:rPr>
          <w:color w:val="993366"/>
        </w:rPr>
        <w:t xml:space="preserve"> OF</w:t>
      </w:r>
      <w:r w:rsidRPr="00FA0D37">
        <w:t xml:space="preserve"> NID-r16</w:t>
      </w:r>
    </w:p>
    <w:p w14:paraId="26C23138" w14:textId="77777777" w:rsidR="00394471" w:rsidRPr="00FA0D37" w:rsidRDefault="00394471" w:rsidP="00FA0D37">
      <w:pPr>
        <w:pStyle w:val="PL"/>
      </w:pPr>
      <w:r w:rsidRPr="00FA0D37">
        <w:t xml:space="preserve">    }</w:t>
      </w:r>
    </w:p>
    <w:p w14:paraId="02E70B1D" w14:textId="77777777" w:rsidR="00394471" w:rsidRPr="00FA0D37" w:rsidRDefault="00394471" w:rsidP="00FA0D37">
      <w:pPr>
        <w:pStyle w:val="PL"/>
      </w:pPr>
      <w:r w:rsidRPr="00FA0D37">
        <w:t>}</w:t>
      </w:r>
    </w:p>
    <w:p w14:paraId="74A1FBDF" w14:textId="77777777" w:rsidR="00394471" w:rsidRPr="00FA0D37" w:rsidRDefault="00394471" w:rsidP="00FA0D37">
      <w:pPr>
        <w:pStyle w:val="PL"/>
      </w:pPr>
    </w:p>
    <w:p w14:paraId="05489DE4" w14:textId="77777777" w:rsidR="00394471" w:rsidRPr="00FA0D37" w:rsidRDefault="00394471" w:rsidP="00FA0D37">
      <w:pPr>
        <w:pStyle w:val="PL"/>
      </w:pPr>
      <w:r w:rsidRPr="00FA0D37">
        <w:t xml:space="preserve">CAG-IdentityInfo-r16 ::=         </w:t>
      </w:r>
      <w:r w:rsidRPr="00FA0D37">
        <w:rPr>
          <w:color w:val="993366"/>
        </w:rPr>
        <w:t>SEQUENCE</w:t>
      </w:r>
      <w:r w:rsidRPr="00FA0D37">
        <w:t xml:space="preserve"> {</w:t>
      </w:r>
    </w:p>
    <w:p w14:paraId="4DDDF265" w14:textId="77777777" w:rsidR="00394471" w:rsidRPr="00FA0D37" w:rsidRDefault="00394471" w:rsidP="00FA0D37">
      <w:pPr>
        <w:pStyle w:val="PL"/>
      </w:pPr>
      <w:r w:rsidRPr="00FA0D37">
        <w:t xml:space="preserve">    cag-Identity-r16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56A8D9DE" w14:textId="77777777" w:rsidR="00394471" w:rsidRPr="00FA0D37" w:rsidRDefault="00394471" w:rsidP="00FA0D37">
      <w:pPr>
        <w:pStyle w:val="PL"/>
        <w:rPr>
          <w:color w:val="808080"/>
        </w:rPr>
      </w:pPr>
      <w:r w:rsidRPr="00FA0D37">
        <w:t xml:space="preserve">    manualCAGselectionAllowed-r16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26BAF6F0" w14:textId="77777777" w:rsidR="00394471" w:rsidRPr="00FA0D37" w:rsidRDefault="00394471" w:rsidP="00FA0D37">
      <w:pPr>
        <w:pStyle w:val="PL"/>
      </w:pPr>
      <w:r w:rsidRPr="00FA0D37">
        <w:t>}</w:t>
      </w:r>
    </w:p>
    <w:p w14:paraId="6DA00E21" w14:textId="77777777" w:rsidR="00394471" w:rsidRPr="00FA0D37" w:rsidRDefault="00394471" w:rsidP="00FA0D37">
      <w:pPr>
        <w:pStyle w:val="PL"/>
      </w:pPr>
    </w:p>
    <w:p w14:paraId="304B09FD" w14:textId="77777777" w:rsidR="00394471" w:rsidRPr="00FA0D37" w:rsidRDefault="00394471" w:rsidP="00FA0D37">
      <w:pPr>
        <w:pStyle w:val="PL"/>
      </w:pPr>
      <w:r w:rsidRPr="00FA0D37">
        <w:t xml:space="preserve">NID-r16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(44))</w:t>
      </w:r>
    </w:p>
    <w:p w14:paraId="49CB0E72" w14:textId="77777777" w:rsidR="00394471" w:rsidRPr="00FA0D37" w:rsidRDefault="00394471" w:rsidP="00FA0D37">
      <w:pPr>
        <w:pStyle w:val="PL"/>
      </w:pPr>
    </w:p>
    <w:p w14:paraId="0DF5F599" w14:textId="77777777" w:rsidR="00394471" w:rsidRPr="00FA0D37" w:rsidRDefault="00394471" w:rsidP="00FA0D37">
      <w:pPr>
        <w:pStyle w:val="PL"/>
        <w:rPr>
          <w:color w:val="808080"/>
        </w:rPr>
      </w:pPr>
      <w:r w:rsidRPr="00FA0D37">
        <w:rPr>
          <w:color w:val="808080"/>
        </w:rPr>
        <w:t>-- TAG-NPN-IDENTITY-STOP</w:t>
      </w:r>
    </w:p>
    <w:p w14:paraId="2FDB9B51" w14:textId="77777777" w:rsidR="00394471" w:rsidRPr="00FA0D37" w:rsidRDefault="00394471" w:rsidP="00FA0D37">
      <w:pPr>
        <w:pStyle w:val="PL"/>
        <w:rPr>
          <w:color w:val="808080"/>
        </w:rPr>
      </w:pPr>
      <w:r w:rsidRPr="00FA0D37">
        <w:rPr>
          <w:color w:val="808080"/>
        </w:rPr>
        <w:t>-- ASN1STOP</w:t>
      </w:r>
    </w:p>
    <w:p w14:paraId="16E236C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FA0D37" w:rsidRDefault="00394471" w:rsidP="00964CC4">
            <w:pPr>
              <w:pStyle w:val="TAH"/>
              <w:rPr>
                <w:szCs w:val="22"/>
                <w:lang w:eastAsia="sv-SE"/>
              </w:rPr>
            </w:pPr>
            <w:r w:rsidRPr="00FA0D37">
              <w:rPr>
                <w:i/>
                <w:szCs w:val="22"/>
                <w:lang w:eastAsia="sv-SE"/>
              </w:rPr>
              <w:lastRenderedPageBreak/>
              <w:t xml:space="preserve">NPN-Identity </w:t>
            </w:r>
            <w:r w:rsidRPr="00FA0D37">
              <w:rPr>
                <w:szCs w:val="22"/>
                <w:lang w:eastAsia="sv-SE"/>
              </w:rPr>
              <w:t>field descriptions</w:t>
            </w:r>
          </w:p>
        </w:tc>
      </w:tr>
      <w:tr w:rsidR="005C7FF4" w:rsidRPr="00FA0D37"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FA0D37" w:rsidRDefault="00394471" w:rsidP="00964CC4">
            <w:pPr>
              <w:pStyle w:val="TAL"/>
              <w:rPr>
                <w:b/>
                <w:bCs/>
                <w:i/>
                <w:lang w:eastAsia="en-GB"/>
              </w:rPr>
            </w:pPr>
            <w:r w:rsidRPr="00FA0D37">
              <w:rPr>
                <w:b/>
                <w:i/>
                <w:szCs w:val="22"/>
                <w:lang w:eastAsia="sv-SE"/>
              </w:rPr>
              <w:t>cag-Identity</w:t>
            </w:r>
          </w:p>
          <w:p w14:paraId="77F83B20" w14:textId="77777777" w:rsidR="00394471" w:rsidRPr="00FA0D37" w:rsidRDefault="00394471" w:rsidP="00964CC4">
            <w:pPr>
              <w:pStyle w:val="TAL"/>
              <w:rPr>
                <w:szCs w:val="22"/>
                <w:lang w:eastAsia="sv-SE"/>
              </w:rPr>
            </w:pPr>
            <w:r w:rsidRPr="00FA0D37">
              <w:rPr>
                <w:lang w:eastAsia="en-GB"/>
              </w:rPr>
              <w:t xml:space="preserve">A CAG-ID as specified in TS 23.003 [21]. The PLMN ID and a CAG ID in the </w:t>
            </w:r>
            <w:r w:rsidRPr="00FA0D37">
              <w:rPr>
                <w:i/>
                <w:lang w:eastAsia="en-GB"/>
              </w:rPr>
              <w:t>NPN-Identity</w:t>
            </w:r>
            <w:r w:rsidRPr="00FA0D37">
              <w:rPr>
                <w:lang w:eastAsia="en-GB"/>
              </w:rPr>
              <w:t xml:space="preserve"> identifies a PNI-NPN.</w:t>
            </w:r>
          </w:p>
        </w:tc>
      </w:tr>
      <w:tr w:rsidR="005C7FF4" w:rsidRPr="00FA0D37"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FA0D37" w:rsidRDefault="00394471" w:rsidP="00964CC4">
            <w:pPr>
              <w:pStyle w:val="TAL"/>
              <w:rPr>
                <w:b/>
                <w:i/>
                <w:szCs w:val="22"/>
                <w:lang w:eastAsia="sv-SE"/>
              </w:rPr>
            </w:pPr>
            <w:r w:rsidRPr="00FA0D37">
              <w:rPr>
                <w:b/>
                <w:i/>
                <w:szCs w:val="22"/>
                <w:lang w:eastAsia="sv-SE"/>
              </w:rPr>
              <w:t>cag-IdentityList</w:t>
            </w:r>
          </w:p>
          <w:p w14:paraId="6E4DD6C1" w14:textId="77777777" w:rsidR="00394471" w:rsidRPr="00FA0D37" w:rsidRDefault="00394471" w:rsidP="00964CC4">
            <w:pPr>
              <w:pStyle w:val="TAL"/>
              <w:rPr>
                <w:szCs w:val="22"/>
                <w:lang w:eastAsia="zh-CN"/>
              </w:rPr>
            </w:pPr>
            <w:r w:rsidRPr="00FA0D37">
              <w:rPr>
                <w:szCs w:val="22"/>
                <w:lang w:eastAsia="sv-SE"/>
              </w:rPr>
              <w:t xml:space="preserve">The </w:t>
            </w:r>
            <w:r w:rsidRPr="00FA0D37">
              <w:rPr>
                <w:i/>
                <w:szCs w:val="22"/>
                <w:lang w:eastAsia="sv-SE"/>
              </w:rPr>
              <w:t>cag-IdentityList</w:t>
            </w:r>
            <w:r w:rsidRPr="00FA0D37">
              <w:rPr>
                <w:szCs w:val="22"/>
                <w:lang w:eastAsia="sv-SE"/>
              </w:rPr>
              <w:t xml:space="preserve"> contains one or more </w:t>
            </w:r>
            <w:r w:rsidRPr="00FA0D37">
              <w:rPr>
                <w:bCs/>
                <w:iCs/>
                <w:szCs w:val="22"/>
                <w:lang w:eastAsia="sv-SE"/>
              </w:rPr>
              <w:t>CAG ID</w:t>
            </w:r>
            <w:r w:rsidRPr="00FA0D37">
              <w:rPr>
                <w:bCs/>
                <w:iCs/>
                <w:szCs w:val="22"/>
                <w:lang w:eastAsia="zh-CN"/>
              </w:rPr>
              <w:t>s</w:t>
            </w:r>
            <w:r w:rsidRPr="00FA0D37">
              <w:rPr>
                <w:szCs w:val="22"/>
                <w:lang w:eastAsia="sv-SE"/>
              </w:rPr>
              <w:t>.</w:t>
            </w:r>
            <w:r w:rsidRPr="00FA0D37">
              <w:rPr>
                <w:lang w:eastAsia="sv-SE"/>
              </w:rPr>
              <w:t xml:space="preserve"> All CAG IDs associated to the same PLMN ID are listed in the same </w:t>
            </w:r>
            <w:r w:rsidRPr="00FA0D37">
              <w:rPr>
                <w:i/>
                <w:iCs/>
                <w:lang w:eastAsia="sv-SE"/>
              </w:rPr>
              <w:t xml:space="preserve">cag-IdentityList </w:t>
            </w:r>
            <w:r w:rsidRPr="00FA0D37">
              <w:rPr>
                <w:lang w:eastAsia="sv-SE"/>
              </w:rPr>
              <w:t>entry</w:t>
            </w:r>
            <w:r w:rsidRPr="00FA0D37">
              <w:rPr>
                <w:i/>
                <w:iCs/>
                <w:lang w:eastAsia="sv-SE"/>
              </w:rPr>
              <w:t>.</w:t>
            </w:r>
          </w:p>
        </w:tc>
      </w:tr>
      <w:tr w:rsidR="005C7FF4" w:rsidRPr="00FA0D37"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FA0D37" w:rsidRDefault="00394471" w:rsidP="00964CC4">
            <w:pPr>
              <w:pStyle w:val="TAL"/>
              <w:rPr>
                <w:b/>
                <w:i/>
                <w:szCs w:val="22"/>
                <w:lang w:eastAsia="sv-SE"/>
              </w:rPr>
            </w:pPr>
            <w:r w:rsidRPr="00FA0D37">
              <w:rPr>
                <w:b/>
                <w:i/>
                <w:szCs w:val="22"/>
                <w:lang w:eastAsia="sv-SE"/>
              </w:rPr>
              <w:t>manualCAGselectionAllowed</w:t>
            </w:r>
          </w:p>
          <w:p w14:paraId="5FE66A1C" w14:textId="77777777" w:rsidR="00394471" w:rsidRPr="00FA0D37" w:rsidRDefault="00394471" w:rsidP="00964CC4">
            <w:pPr>
              <w:pStyle w:val="TAL"/>
              <w:rPr>
                <w:bCs/>
                <w:iCs/>
                <w:szCs w:val="22"/>
                <w:lang w:eastAsia="sv-SE"/>
              </w:rPr>
            </w:pPr>
            <w:r w:rsidRPr="00FA0D37">
              <w:rPr>
                <w:bCs/>
                <w:iCs/>
                <w:szCs w:val="22"/>
                <w:lang w:eastAsia="sv-SE"/>
              </w:rPr>
              <w:t xml:space="preserve">The </w:t>
            </w:r>
            <w:r w:rsidRPr="00FA0D37">
              <w:rPr>
                <w:bCs/>
                <w:i/>
                <w:szCs w:val="22"/>
                <w:lang w:eastAsia="sv-SE"/>
              </w:rPr>
              <w:t>manualCAGselectionAllowed</w:t>
            </w:r>
            <w:r w:rsidRPr="00FA0D37">
              <w:rPr>
                <w:bCs/>
                <w:iCs/>
                <w:szCs w:val="22"/>
                <w:lang w:eastAsia="sv-SE"/>
              </w:rPr>
              <w:t xml:space="preserve"> indicates that the CAG ID can be selected manually even if it is outside the UE's allowed CAG list.</w:t>
            </w:r>
          </w:p>
        </w:tc>
      </w:tr>
      <w:tr w:rsidR="005C7FF4" w:rsidRPr="00FA0D37"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FA0D37" w:rsidRDefault="00394471" w:rsidP="00964CC4">
            <w:pPr>
              <w:pStyle w:val="TAL"/>
              <w:rPr>
                <w:b/>
                <w:bCs/>
                <w:i/>
                <w:lang w:eastAsia="en-GB"/>
              </w:rPr>
            </w:pPr>
            <w:r w:rsidRPr="00FA0D37">
              <w:rPr>
                <w:b/>
                <w:i/>
                <w:szCs w:val="22"/>
                <w:lang w:eastAsia="sv-SE"/>
              </w:rPr>
              <w:t>NID</w:t>
            </w:r>
          </w:p>
          <w:p w14:paraId="45D8D91D" w14:textId="77777777" w:rsidR="00394471" w:rsidRPr="00FA0D37" w:rsidRDefault="00394471" w:rsidP="00964CC4">
            <w:pPr>
              <w:pStyle w:val="TAL"/>
              <w:rPr>
                <w:szCs w:val="22"/>
                <w:lang w:eastAsia="sv-SE"/>
              </w:rPr>
            </w:pPr>
            <w:r w:rsidRPr="00FA0D37">
              <w:rPr>
                <w:lang w:eastAsia="en-GB"/>
              </w:rPr>
              <w:t xml:space="preserve">A NID as specified in TS 23.003 [21]. The PLMN ID and a NID in the </w:t>
            </w:r>
            <w:r w:rsidRPr="00FA0D37">
              <w:rPr>
                <w:i/>
                <w:lang w:eastAsia="en-GB"/>
              </w:rPr>
              <w:t>NPN-Identity</w:t>
            </w:r>
            <w:r w:rsidRPr="00FA0D37">
              <w:rPr>
                <w:lang w:eastAsia="en-GB"/>
              </w:rPr>
              <w:t xml:space="preserve"> identifies a SNPN.</w:t>
            </w:r>
          </w:p>
        </w:tc>
      </w:tr>
      <w:tr w:rsidR="00394471" w:rsidRPr="00FA0D37"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FA0D37" w:rsidRDefault="00394471" w:rsidP="00964CC4">
            <w:pPr>
              <w:pStyle w:val="TAL"/>
              <w:rPr>
                <w:b/>
                <w:i/>
                <w:szCs w:val="22"/>
                <w:lang w:eastAsia="sv-SE"/>
              </w:rPr>
            </w:pPr>
            <w:r w:rsidRPr="00FA0D37">
              <w:rPr>
                <w:b/>
                <w:i/>
                <w:szCs w:val="22"/>
                <w:lang w:eastAsia="sv-SE"/>
              </w:rPr>
              <w:t>nid-List</w:t>
            </w:r>
          </w:p>
          <w:p w14:paraId="14F7DC79" w14:textId="77777777" w:rsidR="00394471" w:rsidRPr="00FA0D37" w:rsidRDefault="00394471" w:rsidP="00964CC4">
            <w:pPr>
              <w:pStyle w:val="TAL"/>
              <w:rPr>
                <w:b/>
                <w:szCs w:val="22"/>
                <w:lang w:eastAsia="sv-SE"/>
              </w:rPr>
            </w:pPr>
            <w:r w:rsidRPr="00FA0D37">
              <w:rPr>
                <w:szCs w:val="22"/>
                <w:lang w:eastAsia="sv-SE"/>
              </w:rPr>
              <w:t xml:space="preserve">The </w:t>
            </w:r>
            <w:r w:rsidRPr="00FA0D37">
              <w:rPr>
                <w:i/>
                <w:szCs w:val="22"/>
                <w:lang w:eastAsia="sv-SE"/>
              </w:rPr>
              <w:t>nid-List</w:t>
            </w:r>
            <w:r w:rsidRPr="00FA0D37">
              <w:rPr>
                <w:szCs w:val="22"/>
                <w:lang w:eastAsia="sv-SE"/>
              </w:rPr>
              <w:t xml:space="preserve"> contains one or more </w:t>
            </w:r>
            <w:r w:rsidRPr="00FA0D37">
              <w:rPr>
                <w:i/>
                <w:szCs w:val="22"/>
                <w:lang w:eastAsia="sv-SE"/>
              </w:rPr>
              <w:t>NID</w:t>
            </w:r>
            <w:r w:rsidRPr="00FA0D37">
              <w:rPr>
                <w:szCs w:val="22"/>
                <w:lang w:eastAsia="sv-SE"/>
              </w:rPr>
              <w:t>.</w:t>
            </w:r>
          </w:p>
        </w:tc>
      </w:tr>
    </w:tbl>
    <w:p w14:paraId="22B41CF4" w14:textId="77777777" w:rsidR="00394471" w:rsidRPr="00FA0D37" w:rsidRDefault="00394471" w:rsidP="00394471"/>
    <w:p w14:paraId="72C77D14" w14:textId="77777777" w:rsidR="00394471" w:rsidRPr="00FA0D37" w:rsidRDefault="00394471" w:rsidP="00394471">
      <w:pPr>
        <w:pStyle w:val="4"/>
      </w:pPr>
      <w:bookmarkStart w:id="1149" w:name="_Toc60777284"/>
      <w:bookmarkStart w:id="1150" w:name="_Toc146781355"/>
      <w:r w:rsidRPr="00FA0D37">
        <w:t>–</w:t>
      </w:r>
      <w:r w:rsidRPr="00FA0D37">
        <w:tab/>
      </w:r>
      <w:r w:rsidRPr="00FA0D37">
        <w:rPr>
          <w:i/>
        </w:rPr>
        <w:t>NPN-IdentityInfoList</w:t>
      </w:r>
      <w:bookmarkEnd w:id="1149"/>
      <w:bookmarkEnd w:id="1150"/>
    </w:p>
    <w:p w14:paraId="6A164A32" w14:textId="77777777" w:rsidR="00394471" w:rsidRPr="00FA0D37" w:rsidRDefault="00394471" w:rsidP="00394471">
      <w:r w:rsidRPr="00FA0D37">
        <w:t xml:space="preserve">The IE </w:t>
      </w:r>
      <w:r w:rsidRPr="00FA0D37">
        <w:rPr>
          <w:i/>
        </w:rPr>
        <w:t xml:space="preserve">NPN-IdentityInfoList </w:t>
      </w:r>
      <w:r w:rsidRPr="00FA0D37">
        <w:t>includes a list of NPN identity information.</w:t>
      </w:r>
    </w:p>
    <w:p w14:paraId="74294996" w14:textId="77777777" w:rsidR="00394471" w:rsidRPr="00FA0D37" w:rsidRDefault="00394471" w:rsidP="00394471">
      <w:pPr>
        <w:pStyle w:val="TH"/>
      </w:pPr>
      <w:r w:rsidRPr="00FA0D37">
        <w:rPr>
          <w:bCs/>
          <w:i/>
          <w:iCs/>
        </w:rPr>
        <w:t>NPN-IdentityInfoList</w:t>
      </w:r>
      <w:r w:rsidRPr="00FA0D37">
        <w:t xml:space="preserve"> information element</w:t>
      </w:r>
    </w:p>
    <w:p w14:paraId="6EF8EF22" w14:textId="77777777" w:rsidR="00394471" w:rsidRPr="00FA0D37" w:rsidRDefault="00394471" w:rsidP="00FA0D37">
      <w:pPr>
        <w:pStyle w:val="PL"/>
        <w:rPr>
          <w:color w:val="808080"/>
        </w:rPr>
      </w:pPr>
      <w:r w:rsidRPr="00FA0D37">
        <w:rPr>
          <w:color w:val="808080"/>
        </w:rPr>
        <w:t>-- ASN1START</w:t>
      </w:r>
    </w:p>
    <w:p w14:paraId="5EFADE11" w14:textId="77777777" w:rsidR="00394471" w:rsidRPr="00FA0D37" w:rsidRDefault="00394471" w:rsidP="00FA0D37">
      <w:pPr>
        <w:pStyle w:val="PL"/>
        <w:rPr>
          <w:color w:val="808080"/>
        </w:rPr>
      </w:pPr>
      <w:r w:rsidRPr="00FA0D37">
        <w:rPr>
          <w:color w:val="808080"/>
        </w:rPr>
        <w:t>-- TAG-NPN-IDENTITYINFOLIST-START</w:t>
      </w:r>
    </w:p>
    <w:p w14:paraId="59260F9C" w14:textId="77777777" w:rsidR="00394471" w:rsidRPr="00FA0D37" w:rsidRDefault="00394471" w:rsidP="00FA0D37">
      <w:pPr>
        <w:pStyle w:val="PL"/>
      </w:pPr>
    </w:p>
    <w:p w14:paraId="2431C0EB" w14:textId="77777777" w:rsidR="00394471" w:rsidRPr="00FA0D37" w:rsidRDefault="00394471" w:rsidP="00FA0D37">
      <w:pPr>
        <w:pStyle w:val="PL"/>
      </w:pPr>
      <w:r w:rsidRPr="00FA0D37">
        <w:t xml:space="preserve">NPN-IdentityInfoList-r16 ::=     </w:t>
      </w:r>
      <w:r w:rsidRPr="00FA0D37">
        <w:rPr>
          <w:color w:val="993366"/>
        </w:rPr>
        <w:t>SEQUENCE</w:t>
      </w:r>
      <w:r w:rsidRPr="00FA0D37">
        <w:t xml:space="preserve"> (</w:t>
      </w:r>
      <w:r w:rsidRPr="00FA0D37">
        <w:rPr>
          <w:color w:val="993366"/>
        </w:rPr>
        <w:t>SIZE</w:t>
      </w:r>
      <w:r w:rsidRPr="00FA0D37">
        <w:t xml:space="preserve"> (1..maxNPN-r16))</w:t>
      </w:r>
      <w:r w:rsidRPr="00FA0D37">
        <w:rPr>
          <w:color w:val="993366"/>
        </w:rPr>
        <w:t xml:space="preserve"> OF</w:t>
      </w:r>
      <w:r w:rsidRPr="00FA0D37">
        <w:t xml:space="preserve"> NPN-IdentityInfo-r16</w:t>
      </w:r>
    </w:p>
    <w:p w14:paraId="23C2CAC5" w14:textId="77777777" w:rsidR="00394471" w:rsidRPr="00FA0D37" w:rsidRDefault="00394471" w:rsidP="00FA0D37">
      <w:pPr>
        <w:pStyle w:val="PL"/>
      </w:pPr>
    </w:p>
    <w:p w14:paraId="02E9A16A" w14:textId="77777777" w:rsidR="00394471" w:rsidRPr="00FA0D37" w:rsidRDefault="00394471" w:rsidP="00FA0D37">
      <w:pPr>
        <w:pStyle w:val="PL"/>
      </w:pPr>
    </w:p>
    <w:p w14:paraId="57E21BAD" w14:textId="77777777" w:rsidR="00394471" w:rsidRPr="00FA0D37" w:rsidRDefault="00394471" w:rsidP="00FA0D37">
      <w:pPr>
        <w:pStyle w:val="PL"/>
      </w:pPr>
      <w:r w:rsidRPr="00FA0D37">
        <w:t xml:space="preserve">NPN-IdentityInfo-r16 ::=         </w:t>
      </w:r>
      <w:r w:rsidRPr="00FA0D37">
        <w:rPr>
          <w:color w:val="993366"/>
        </w:rPr>
        <w:t>SEQUENCE</w:t>
      </w:r>
      <w:r w:rsidRPr="00FA0D37">
        <w:t xml:space="preserve"> {</w:t>
      </w:r>
    </w:p>
    <w:p w14:paraId="184C9039" w14:textId="77777777" w:rsidR="00394471" w:rsidRPr="00FA0D37" w:rsidRDefault="00394471" w:rsidP="00FA0D37">
      <w:pPr>
        <w:pStyle w:val="PL"/>
      </w:pPr>
      <w:r w:rsidRPr="00FA0D37">
        <w:t xml:space="preserve">    npn-IdentityList-r16             </w:t>
      </w:r>
      <w:r w:rsidRPr="00FA0D37">
        <w:rPr>
          <w:color w:val="993366"/>
        </w:rPr>
        <w:t>SEQUENCE</w:t>
      </w:r>
      <w:r w:rsidRPr="00FA0D37">
        <w:t xml:space="preserve"> (</w:t>
      </w:r>
      <w:r w:rsidRPr="00FA0D37">
        <w:rPr>
          <w:color w:val="993366"/>
        </w:rPr>
        <w:t>SIZE</w:t>
      </w:r>
      <w:r w:rsidRPr="00FA0D37">
        <w:t xml:space="preserve"> (1..maxNPN-r16))</w:t>
      </w:r>
      <w:r w:rsidRPr="00FA0D37">
        <w:rPr>
          <w:color w:val="993366"/>
        </w:rPr>
        <w:t xml:space="preserve"> OF</w:t>
      </w:r>
      <w:r w:rsidRPr="00FA0D37">
        <w:t xml:space="preserve"> NPN-Identity-r16,</w:t>
      </w:r>
    </w:p>
    <w:p w14:paraId="4C45930D" w14:textId="77777777" w:rsidR="00394471" w:rsidRPr="00FA0D37" w:rsidRDefault="00394471" w:rsidP="00FA0D37">
      <w:pPr>
        <w:pStyle w:val="PL"/>
      </w:pPr>
      <w:r w:rsidRPr="00FA0D37">
        <w:t xml:space="preserve">    trackingAreaCode-r16             TrackingAreaCode,</w:t>
      </w:r>
    </w:p>
    <w:p w14:paraId="24274A58" w14:textId="77777777" w:rsidR="00394471" w:rsidRPr="00FA0D37" w:rsidRDefault="00394471" w:rsidP="00FA0D37">
      <w:pPr>
        <w:pStyle w:val="PL"/>
        <w:rPr>
          <w:color w:val="808080"/>
        </w:rPr>
      </w:pPr>
      <w:r w:rsidRPr="00FA0D37">
        <w:t xml:space="preserve">    ranac-r16                        RAN-AreaCode                                                </w:t>
      </w:r>
      <w:r w:rsidRPr="00FA0D37">
        <w:rPr>
          <w:color w:val="993366"/>
        </w:rPr>
        <w:t>OPTIONAL</w:t>
      </w:r>
      <w:r w:rsidRPr="00FA0D37">
        <w:t xml:space="preserve">,       </w:t>
      </w:r>
      <w:r w:rsidRPr="00FA0D37">
        <w:rPr>
          <w:color w:val="808080"/>
        </w:rPr>
        <w:t>-- Need R</w:t>
      </w:r>
    </w:p>
    <w:p w14:paraId="125BC5AC" w14:textId="77777777" w:rsidR="00394471" w:rsidRPr="00FA0D37" w:rsidRDefault="00394471" w:rsidP="00FA0D37">
      <w:pPr>
        <w:pStyle w:val="PL"/>
      </w:pPr>
      <w:r w:rsidRPr="00FA0D37">
        <w:t xml:space="preserve">    cellIdentity-r16                 CellIdentity,</w:t>
      </w:r>
    </w:p>
    <w:p w14:paraId="65BB17B2" w14:textId="77777777" w:rsidR="00394471" w:rsidRPr="00FA0D37" w:rsidRDefault="00394471" w:rsidP="00FA0D37">
      <w:pPr>
        <w:pStyle w:val="PL"/>
      </w:pPr>
      <w:r w:rsidRPr="00FA0D37">
        <w:t xml:space="preserve">    cellReservedForOperatorUse-r16   </w:t>
      </w:r>
      <w:r w:rsidRPr="00FA0D37">
        <w:rPr>
          <w:color w:val="993366"/>
        </w:rPr>
        <w:t>ENUMERATED</w:t>
      </w:r>
      <w:r w:rsidRPr="00FA0D37">
        <w:t xml:space="preserve"> {reserved, notReserved},</w:t>
      </w:r>
    </w:p>
    <w:p w14:paraId="5588FB0D" w14:textId="2FDDED12" w:rsidR="00394471" w:rsidRPr="00FA0D37" w:rsidRDefault="00394471" w:rsidP="00FA0D37">
      <w:pPr>
        <w:pStyle w:val="PL"/>
        <w:rPr>
          <w:color w:val="808080"/>
        </w:rPr>
      </w:pPr>
      <w:r w:rsidRPr="00FA0D37">
        <w:t xml:space="preserve">    iab-Support-r16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xml:space="preserve">-- Need </w:t>
      </w:r>
      <w:r w:rsidR="00A27DAE" w:rsidRPr="00FA0D37">
        <w:rPr>
          <w:color w:val="808080"/>
        </w:rPr>
        <w:t>S</w:t>
      </w:r>
    </w:p>
    <w:p w14:paraId="31F1E674" w14:textId="6F6E13FF" w:rsidR="00876283" w:rsidRPr="00FA0D37" w:rsidRDefault="00394471" w:rsidP="00FA0D37">
      <w:pPr>
        <w:pStyle w:val="PL"/>
      </w:pPr>
      <w:r w:rsidRPr="00FA0D37">
        <w:t xml:space="preserve">    ...</w:t>
      </w:r>
      <w:r w:rsidR="00876283" w:rsidRPr="00FA0D37">
        <w:t>,</w:t>
      </w:r>
    </w:p>
    <w:p w14:paraId="2822C70F" w14:textId="45F83B17" w:rsidR="00876283" w:rsidRPr="00FA0D37" w:rsidRDefault="00876283" w:rsidP="00FA0D37">
      <w:pPr>
        <w:pStyle w:val="PL"/>
      </w:pPr>
      <w:r w:rsidRPr="00FA0D37">
        <w:t xml:space="preserve">    [[</w:t>
      </w:r>
    </w:p>
    <w:p w14:paraId="593B58E6" w14:textId="14076E82" w:rsidR="00876283" w:rsidRPr="00FA0D37" w:rsidRDefault="00876283" w:rsidP="00FA0D37">
      <w:pPr>
        <w:pStyle w:val="PL"/>
        <w:rPr>
          <w:color w:val="808080"/>
        </w:rPr>
      </w:pPr>
      <w:r w:rsidRPr="00FA0D37">
        <w:t xml:space="preserve">    gNB-ID-Length-r17                </w:t>
      </w:r>
      <w:r w:rsidRPr="00FA0D37">
        <w:rPr>
          <w:color w:val="993366"/>
        </w:rPr>
        <w:t>INTEGER</w:t>
      </w:r>
      <w:r w:rsidRPr="00FA0D37">
        <w:t xml:space="preserve"> (22..32)                                            </w:t>
      </w:r>
      <w:r w:rsidRPr="00FA0D37">
        <w:rPr>
          <w:color w:val="993366"/>
        </w:rPr>
        <w:t>OPTIONAL</w:t>
      </w:r>
      <w:r w:rsidRPr="00FA0D37">
        <w:t xml:space="preserve">        </w:t>
      </w:r>
      <w:r w:rsidRPr="00FA0D37">
        <w:rPr>
          <w:color w:val="808080"/>
        </w:rPr>
        <w:t>-- Need R</w:t>
      </w:r>
    </w:p>
    <w:p w14:paraId="03141770" w14:textId="3A31765C" w:rsidR="00394471" w:rsidRPr="00FA0D37" w:rsidRDefault="00876283" w:rsidP="00FA0D37">
      <w:pPr>
        <w:pStyle w:val="PL"/>
      </w:pPr>
      <w:r w:rsidRPr="00FA0D37">
        <w:t xml:space="preserve">    ]]</w:t>
      </w:r>
    </w:p>
    <w:p w14:paraId="34D3E4E0" w14:textId="77777777" w:rsidR="00394471" w:rsidRPr="00FA0D37" w:rsidRDefault="00394471" w:rsidP="00FA0D37">
      <w:pPr>
        <w:pStyle w:val="PL"/>
      </w:pPr>
      <w:r w:rsidRPr="00FA0D37">
        <w:t>}</w:t>
      </w:r>
    </w:p>
    <w:p w14:paraId="40004044" w14:textId="77777777" w:rsidR="00394471" w:rsidRPr="00FA0D37" w:rsidRDefault="00394471" w:rsidP="00FA0D37">
      <w:pPr>
        <w:pStyle w:val="PL"/>
      </w:pPr>
    </w:p>
    <w:p w14:paraId="64AE47D8" w14:textId="77777777" w:rsidR="00394471" w:rsidRPr="00FA0D37" w:rsidRDefault="00394471" w:rsidP="00FA0D37">
      <w:pPr>
        <w:pStyle w:val="PL"/>
        <w:rPr>
          <w:color w:val="808080"/>
        </w:rPr>
      </w:pPr>
      <w:r w:rsidRPr="00FA0D37">
        <w:rPr>
          <w:color w:val="808080"/>
        </w:rPr>
        <w:t>-- TAG-NPN-IDENTITYINFOLIST-STOP</w:t>
      </w:r>
    </w:p>
    <w:p w14:paraId="0D070CD4" w14:textId="77777777" w:rsidR="00394471" w:rsidRPr="00FA0D37" w:rsidRDefault="00394471" w:rsidP="00FA0D37">
      <w:pPr>
        <w:pStyle w:val="PL"/>
        <w:rPr>
          <w:color w:val="808080"/>
        </w:rPr>
      </w:pPr>
      <w:r w:rsidRPr="00FA0D37">
        <w:rPr>
          <w:color w:val="808080"/>
        </w:rPr>
        <w:t>-- ASN1STOP</w:t>
      </w:r>
    </w:p>
    <w:p w14:paraId="6283CEF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FA0D37" w:rsidRDefault="00394471" w:rsidP="00964CC4">
            <w:pPr>
              <w:pStyle w:val="TAH"/>
              <w:rPr>
                <w:szCs w:val="22"/>
                <w:lang w:eastAsia="sv-SE"/>
              </w:rPr>
            </w:pPr>
            <w:r w:rsidRPr="00FA0D37">
              <w:rPr>
                <w:i/>
                <w:szCs w:val="22"/>
                <w:lang w:eastAsia="sv-SE"/>
              </w:rPr>
              <w:lastRenderedPageBreak/>
              <w:t xml:space="preserve">NPN-IdentityInfoList </w:t>
            </w:r>
            <w:r w:rsidRPr="00FA0D37">
              <w:rPr>
                <w:szCs w:val="22"/>
                <w:lang w:eastAsia="sv-SE"/>
              </w:rPr>
              <w:t>field descriptions</w:t>
            </w:r>
          </w:p>
        </w:tc>
      </w:tr>
      <w:tr w:rsidR="005C7FF4" w:rsidRPr="00FA0D37"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FA0D37" w:rsidRDefault="00394471" w:rsidP="00964CC4">
            <w:pPr>
              <w:pStyle w:val="TAL"/>
              <w:rPr>
                <w:b/>
                <w:bCs/>
                <w:i/>
                <w:iCs/>
                <w:lang w:eastAsia="x-none"/>
              </w:rPr>
            </w:pPr>
            <w:r w:rsidRPr="00FA0D37">
              <w:rPr>
                <w:b/>
                <w:bCs/>
                <w:i/>
                <w:iCs/>
                <w:lang w:eastAsia="x-none"/>
              </w:rPr>
              <w:t>iab-Support</w:t>
            </w:r>
          </w:p>
          <w:p w14:paraId="4CB81A21" w14:textId="77777777" w:rsidR="00394471" w:rsidRPr="00FA0D37" w:rsidRDefault="00394471" w:rsidP="00964CC4">
            <w:pPr>
              <w:pStyle w:val="TAL"/>
              <w:rPr>
                <w:lang w:eastAsia="sv-SE"/>
              </w:rPr>
            </w:pPr>
            <w:r w:rsidRPr="00FA0D37">
              <w:rPr>
                <w:rFonts w:cs="Arial"/>
              </w:rPr>
              <w:t xml:space="preserve">This field combines both the support of IAB and the cell status for IAB. If the field is present, the cell supports IAB and the cell is also considered as a candidate for </w:t>
            </w:r>
            <w:r w:rsidRPr="00FA0D37">
              <w:rPr>
                <w:rFonts w:cs="Arial"/>
                <w:kern w:val="2"/>
              </w:rPr>
              <w:t xml:space="preserve">cell (re)selection for </w:t>
            </w:r>
            <w:r w:rsidRPr="00FA0D37">
              <w:rPr>
                <w:rFonts w:cs="Arial"/>
              </w:rPr>
              <w:t>IAB-nodes; if the field is absent, the cell does not support IAB and/or the cell is barred for IAB-node.</w:t>
            </w:r>
          </w:p>
        </w:tc>
      </w:tr>
      <w:tr w:rsidR="005C7FF4" w:rsidRPr="00FA0D37"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FA0D37" w:rsidRDefault="00876283" w:rsidP="00876283">
            <w:pPr>
              <w:keepNext/>
              <w:keepLines/>
              <w:spacing w:after="0"/>
              <w:rPr>
                <w:rFonts w:ascii="Arial" w:hAnsi="Arial"/>
                <w:sz w:val="18"/>
                <w:szCs w:val="22"/>
                <w:lang w:eastAsia="sv-SE"/>
              </w:rPr>
            </w:pPr>
            <w:r w:rsidRPr="00FA0D37">
              <w:rPr>
                <w:rFonts w:ascii="Arial" w:hAnsi="Arial"/>
                <w:b/>
                <w:i/>
                <w:sz w:val="18"/>
                <w:szCs w:val="22"/>
                <w:lang w:eastAsia="sv-SE"/>
              </w:rPr>
              <w:t>gNB-ID-Length</w:t>
            </w:r>
          </w:p>
          <w:p w14:paraId="2CAD4158" w14:textId="6CE28EE8" w:rsidR="00876283" w:rsidRPr="00FA0D37" w:rsidRDefault="00876283" w:rsidP="00876283">
            <w:pPr>
              <w:pStyle w:val="TAL"/>
              <w:rPr>
                <w:b/>
                <w:bCs/>
                <w:i/>
                <w:iCs/>
                <w:lang w:eastAsia="x-none"/>
              </w:rPr>
            </w:pPr>
            <w:r w:rsidRPr="00FA0D37">
              <w:rPr>
                <w:szCs w:val="22"/>
                <w:lang w:eastAsia="sv-SE"/>
              </w:rPr>
              <w:t xml:space="preserve">Indicates the length of the gNB ID out of the 36-bit long </w:t>
            </w:r>
            <w:r w:rsidRPr="00FA0D37">
              <w:rPr>
                <w:i/>
                <w:iCs/>
                <w:szCs w:val="22"/>
                <w:lang w:eastAsia="sv-SE"/>
              </w:rPr>
              <w:t>cellIdentity</w:t>
            </w:r>
            <w:r w:rsidRPr="00FA0D37">
              <w:rPr>
                <w:szCs w:val="22"/>
              </w:rPr>
              <w:t>.</w:t>
            </w:r>
          </w:p>
        </w:tc>
      </w:tr>
      <w:tr w:rsidR="005C7FF4" w:rsidRPr="00FA0D37"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394471" w:rsidRPr="00FA0D37" w:rsidRDefault="00394471" w:rsidP="00964CC4">
            <w:pPr>
              <w:pStyle w:val="TAL"/>
              <w:rPr>
                <w:szCs w:val="22"/>
                <w:lang w:eastAsia="sv-SE"/>
              </w:rPr>
            </w:pPr>
            <w:r w:rsidRPr="00FA0D37">
              <w:rPr>
                <w:b/>
                <w:i/>
                <w:szCs w:val="22"/>
                <w:lang w:eastAsia="sv-SE"/>
              </w:rPr>
              <w:t>NPN-IdentityInfo</w:t>
            </w:r>
          </w:p>
          <w:p w14:paraId="5E6C58CD" w14:textId="77777777" w:rsidR="00394471" w:rsidRPr="00FA0D37" w:rsidRDefault="00394471" w:rsidP="00964CC4">
            <w:pPr>
              <w:pStyle w:val="TAL"/>
              <w:rPr>
                <w:lang w:eastAsia="sv-SE"/>
              </w:rPr>
            </w:pPr>
            <w:r w:rsidRPr="00FA0D37">
              <w:rPr>
                <w:lang w:eastAsia="sv-SE"/>
              </w:rPr>
              <w:t>The</w:t>
            </w:r>
            <w:r w:rsidRPr="00FA0D37">
              <w:rPr>
                <w:i/>
                <w:lang w:eastAsia="sv-SE"/>
              </w:rPr>
              <w:t xml:space="preserve"> NPN-IdentityInfo </w:t>
            </w:r>
            <w:r w:rsidRPr="00FA0D37">
              <w:rPr>
                <w:lang w:eastAsia="sv-SE"/>
              </w:rPr>
              <w:t xml:space="preserve">contains one or more NPN identities and additional information associated with those NPNs. Only the same type of NPNs (either SNPNs or PNI-NPNs) can be listed in a </w:t>
            </w:r>
            <w:r w:rsidRPr="00FA0D37">
              <w:rPr>
                <w:i/>
                <w:lang w:eastAsia="sv-SE"/>
              </w:rPr>
              <w:t>NPN-IdentityInfo</w:t>
            </w:r>
            <w:r w:rsidRPr="00FA0D37">
              <w:rPr>
                <w:lang w:eastAsia="sv-SE"/>
              </w:rPr>
              <w:t xml:space="preserve"> element.</w:t>
            </w:r>
          </w:p>
        </w:tc>
      </w:tr>
      <w:tr w:rsidR="005C7FF4" w:rsidRPr="00FA0D37"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394471" w:rsidRPr="00FA0D37" w:rsidRDefault="00394471" w:rsidP="00964CC4">
            <w:pPr>
              <w:pStyle w:val="TAL"/>
              <w:rPr>
                <w:b/>
                <w:bCs/>
                <w:i/>
                <w:iCs/>
                <w:lang w:eastAsia="sv-SE"/>
              </w:rPr>
            </w:pPr>
            <w:r w:rsidRPr="00FA0D37">
              <w:rPr>
                <w:b/>
                <w:bCs/>
                <w:i/>
                <w:iCs/>
                <w:lang w:eastAsia="sv-SE"/>
              </w:rPr>
              <w:t>npn-IdentityList</w:t>
            </w:r>
          </w:p>
          <w:p w14:paraId="1A70FF10" w14:textId="77777777" w:rsidR="00394471" w:rsidRPr="00FA0D37" w:rsidRDefault="00394471" w:rsidP="00964CC4">
            <w:pPr>
              <w:pStyle w:val="TAL"/>
              <w:rPr>
                <w:b/>
                <w:i/>
                <w:szCs w:val="22"/>
                <w:lang w:eastAsia="sv-SE"/>
              </w:rPr>
            </w:pPr>
            <w:r w:rsidRPr="00FA0D37">
              <w:rPr>
                <w:lang w:eastAsia="sv-SE"/>
              </w:rPr>
              <w:t>The</w:t>
            </w:r>
            <w:r w:rsidRPr="00FA0D37">
              <w:rPr>
                <w:i/>
                <w:lang w:eastAsia="sv-SE"/>
              </w:rPr>
              <w:t xml:space="preserve"> npn-IdentityList</w:t>
            </w:r>
            <w:r w:rsidRPr="00FA0D37">
              <w:rPr>
                <w:lang w:eastAsia="sv-SE"/>
              </w:rPr>
              <w:t xml:space="preserve"> contains one or more NPN Identity elements.</w:t>
            </w:r>
          </w:p>
        </w:tc>
      </w:tr>
      <w:tr w:rsidR="005C7FF4" w:rsidRPr="00FA0D37"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394471" w:rsidRPr="00FA0D37" w:rsidRDefault="00394471" w:rsidP="00964CC4">
            <w:pPr>
              <w:pStyle w:val="TAL"/>
              <w:rPr>
                <w:b/>
                <w:bCs/>
                <w:i/>
                <w:iCs/>
                <w:lang w:eastAsia="sv-SE"/>
              </w:rPr>
            </w:pPr>
            <w:r w:rsidRPr="00FA0D37">
              <w:rPr>
                <w:b/>
                <w:bCs/>
                <w:i/>
                <w:iCs/>
                <w:lang w:eastAsia="sv-SE"/>
              </w:rPr>
              <w:t>trackingAreaCode</w:t>
            </w:r>
          </w:p>
          <w:p w14:paraId="6B134E52" w14:textId="77777777" w:rsidR="00394471" w:rsidRPr="00FA0D37" w:rsidRDefault="00394471" w:rsidP="00964CC4">
            <w:pPr>
              <w:pStyle w:val="TAL"/>
              <w:rPr>
                <w:b/>
                <w:i/>
                <w:szCs w:val="22"/>
                <w:lang w:eastAsia="sv-SE"/>
              </w:rPr>
            </w:pPr>
            <w:r w:rsidRPr="00FA0D37">
              <w:rPr>
                <w:szCs w:val="22"/>
                <w:lang w:eastAsia="sv-SE"/>
              </w:rPr>
              <w:t xml:space="preserve">Indicates the Tracking Area Code to which the cell indicated by cellIdentity field belongs. </w:t>
            </w:r>
          </w:p>
        </w:tc>
      </w:tr>
      <w:tr w:rsidR="005C7FF4" w:rsidRPr="00FA0D37"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394471" w:rsidRPr="00FA0D37" w:rsidRDefault="00394471" w:rsidP="00964CC4">
            <w:pPr>
              <w:pStyle w:val="TAL"/>
              <w:rPr>
                <w:b/>
                <w:bCs/>
                <w:i/>
                <w:iCs/>
                <w:lang w:eastAsia="sv-SE"/>
              </w:rPr>
            </w:pPr>
            <w:r w:rsidRPr="00FA0D37">
              <w:rPr>
                <w:b/>
                <w:bCs/>
                <w:i/>
                <w:iCs/>
                <w:lang w:eastAsia="sv-SE"/>
              </w:rPr>
              <w:t>ranac</w:t>
            </w:r>
          </w:p>
          <w:p w14:paraId="22DDAA25" w14:textId="77777777" w:rsidR="00394471" w:rsidRPr="00FA0D37" w:rsidRDefault="00394471" w:rsidP="00964CC4">
            <w:pPr>
              <w:pStyle w:val="TAL"/>
              <w:rPr>
                <w:b/>
                <w:i/>
                <w:szCs w:val="22"/>
                <w:lang w:eastAsia="sv-SE"/>
              </w:rPr>
            </w:pPr>
            <w:r w:rsidRPr="00FA0D37">
              <w:rPr>
                <w:szCs w:val="22"/>
                <w:lang w:eastAsia="sv-SE"/>
              </w:rPr>
              <w:t xml:space="preserve">Indicates the RAN Area Code to which the cell indicated by cellIdentity field belongs. </w:t>
            </w:r>
          </w:p>
        </w:tc>
      </w:tr>
      <w:tr w:rsidR="000830BB" w:rsidRPr="00FA0D37"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394471" w:rsidRPr="00FA0D37" w:rsidRDefault="00394471" w:rsidP="00964CC4">
            <w:pPr>
              <w:pStyle w:val="TAL"/>
              <w:rPr>
                <w:szCs w:val="22"/>
                <w:lang w:eastAsia="sv-SE"/>
              </w:rPr>
            </w:pPr>
            <w:r w:rsidRPr="00FA0D37">
              <w:rPr>
                <w:b/>
                <w:i/>
                <w:szCs w:val="22"/>
                <w:lang w:eastAsia="sv-SE"/>
              </w:rPr>
              <w:t>cellReservedForOperatorUse</w:t>
            </w:r>
          </w:p>
          <w:p w14:paraId="3E0A64ED" w14:textId="77777777" w:rsidR="00394471" w:rsidRPr="00FA0D37" w:rsidRDefault="00394471" w:rsidP="00964CC4">
            <w:pPr>
              <w:pStyle w:val="TAL"/>
              <w:rPr>
                <w:szCs w:val="22"/>
                <w:lang w:eastAsia="sv-SE"/>
              </w:rPr>
            </w:pPr>
            <w:r w:rsidRPr="00FA0D37">
              <w:rPr>
                <w:szCs w:val="22"/>
                <w:lang w:eastAsia="sv-SE"/>
              </w:rPr>
              <w:t xml:space="preserve">Indicates whether the cell is reserved for operator use (for the NPN(s) identified in the </w:t>
            </w:r>
            <w:r w:rsidRPr="00FA0D37">
              <w:rPr>
                <w:i/>
                <w:szCs w:val="22"/>
                <w:lang w:eastAsia="sv-SE"/>
              </w:rPr>
              <w:t>npn-Ident</w:t>
            </w:r>
            <w:r w:rsidRPr="00FA0D37">
              <w:rPr>
                <w:i/>
                <w:szCs w:val="22"/>
                <w:lang w:eastAsia="zh-CN"/>
              </w:rPr>
              <w:t>it</w:t>
            </w:r>
            <w:r w:rsidRPr="00FA0D37">
              <w:rPr>
                <w:i/>
                <w:szCs w:val="22"/>
                <w:lang w:eastAsia="sv-SE"/>
              </w:rPr>
              <w:t>yList</w:t>
            </w:r>
            <w:r w:rsidRPr="00FA0D37">
              <w:rPr>
                <w:szCs w:val="22"/>
                <w:lang w:eastAsia="sv-SE"/>
              </w:rPr>
              <w:t>) as defined in TS 38.304 [20].</w:t>
            </w:r>
            <w:r w:rsidRPr="00FA0D37">
              <w:t xml:space="preserve"> </w:t>
            </w:r>
            <w:r w:rsidRPr="00FA0D37">
              <w:rPr>
                <w:szCs w:val="22"/>
                <w:lang w:eastAsia="sv-SE"/>
              </w:rPr>
              <w:t>This field is ignored by NPN capable IAB-MT.</w:t>
            </w:r>
          </w:p>
        </w:tc>
      </w:tr>
    </w:tbl>
    <w:p w14:paraId="244E5B3D" w14:textId="7409CCF7" w:rsidR="00394471" w:rsidRPr="00FA0D37" w:rsidRDefault="00394471" w:rsidP="00394471"/>
    <w:p w14:paraId="5088EB58" w14:textId="77777777" w:rsidR="00F27D15" w:rsidRPr="00FA0D37" w:rsidRDefault="00F27D15" w:rsidP="00F27D15">
      <w:pPr>
        <w:pStyle w:val="4"/>
      </w:pPr>
      <w:bookmarkStart w:id="1151" w:name="_Toc146781356"/>
      <w:r w:rsidRPr="00FA0D37">
        <w:t>–</w:t>
      </w:r>
      <w:r w:rsidRPr="00FA0D37">
        <w:tab/>
      </w:r>
      <w:r w:rsidRPr="00FA0D37">
        <w:rPr>
          <w:i/>
        </w:rPr>
        <w:t>NR-DL-PRS-PDC-Info</w:t>
      </w:r>
      <w:bookmarkEnd w:id="1151"/>
    </w:p>
    <w:p w14:paraId="2FB97938" w14:textId="77777777" w:rsidR="00F27D15" w:rsidRPr="00FA0D37" w:rsidRDefault="00F27D15" w:rsidP="00F27D15">
      <w:r w:rsidRPr="00FA0D37">
        <w:t xml:space="preserve">The IE </w:t>
      </w:r>
      <w:r w:rsidRPr="00FA0D37">
        <w:rPr>
          <w:i/>
          <w:iCs/>
        </w:rPr>
        <w:t xml:space="preserve">NR-DL-PRS-PDC-Info </w:t>
      </w:r>
      <w:r w:rsidRPr="00FA0D37">
        <w:t>defines downlink PRS configuration for PDC.</w:t>
      </w:r>
    </w:p>
    <w:p w14:paraId="796C228C" w14:textId="77777777" w:rsidR="00F27D15" w:rsidRPr="00FA0D37" w:rsidRDefault="00F27D15" w:rsidP="00F27D15">
      <w:pPr>
        <w:pStyle w:val="TH"/>
      </w:pPr>
      <w:r w:rsidRPr="00FA0D37">
        <w:rPr>
          <w:i/>
        </w:rPr>
        <w:t>NR-DL-PRS-PDC-Info</w:t>
      </w:r>
      <w:r w:rsidRPr="00FA0D37">
        <w:t xml:space="preserve"> information element</w:t>
      </w:r>
    </w:p>
    <w:p w14:paraId="44764075" w14:textId="77777777" w:rsidR="00F27D15" w:rsidRPr="00FA0D37" w:rsidRDefault="00F27D15" w:rsidP="00FA0D37">
      <w:pPr>
        <w:pStyle w:val="PL"/>
        <w:rPr>
          <w:color w:val="808080"/>
        </w:rPr>
      </w:pPr>
      <w:r w:rsidRPr="00FA0D37">
        <w:rPr>
          <w:color w:val="808080"/>
        </w:rPr>
        <w:t>-- ASN1START</w:t>
      </w:r>
    </w:p>
    <w:p w14:paraId="07939C0D" w14:textId="77777777" w:rsidR="00F27D15" w:rsidRPr="00FA0D37" w:rsidRDefault="00F27D15" w:rsidP="00FA0D37">
      <w:pPr>
        <w:pStyle w:val="PL"/>
        <w:rPr>
          <w:color w:val="808080"/>
        </w:rPr>
      </w:pPr>
      <w:r w:rsidRPr="00FA0D37">
        <w:rPr>
          <w:color w:val="808080"/>
        </w:rPr>
        <w:t>-- TAG-NR-DL-PRS-PDC-INFO-START</w:t>
      </w:r>
    </w:p>
    <w:p w14:paraId="44D66681" w14:textId="77777777" w:rsidR="00F27D15" w:rsidRPr="00FA0D37" w:rsidRDefault="00F27D15" w:rsidP="00FA0D37">
      <w:pPr>
        <w:pStyle w:val="PL"/>
      </w:pPr>
    </w:p>
    <w:p w14:paraId="70273D26" w14:textId="77777777" w:rsidR="00F27D15" w:rsidRPr="00FA0D37" w:rsidRDefault="00F27D15" w:rsidP="00FA0D37">
      <w:pPr>
        <w:pStyle w:val="PL"/>
      </w:pPr>
      <w:r w:rsidRPr="00FA0D37">
        <w:t xml:space="preserve">NR-DL-PRS-PDC-Info-r17 ::=    </w:t>
      </w:r>
      <w:r w:rsidRPr="00FA0D37">
        <w:rPr>
          <w:color w:val="993366"/>
        </w:rPr>
        <w:t>SEQUENCE</w:t>
      </w:r>
      <w:r w:rsidRPr="00FA0D37">
        <w:t xml:space="preserve"> {</w:t>
      </w:r>
    </w:p>
    <w:p w14:paraId="2C61D64A" w14:textId="77777777" w:rsidR="00F27D15" w:rsidRPr="00FA0D37" w:rsidRDefault="00F27D15" w:rsidP="00FA0D37">
      <w:pPr>
        <w:pStyle w:val="PL"/>
        <w:rPr>
          <w:color w:val="808080"/>
        </w:rPr>
      </w:pPr>
      <w:r w:rsidRPr="00FA0D37">
        <w:t xml:space="preserve">    nr-DL-PRS-PDC-ResourceSet-r17          NR-DL-PRS-PDC-ResourceSet-r17                    </w:t>
      </w:r>
      <w:r w:rsidRPr="00FA0D37">
        <w:rPr>
          <w:color w:val="993366"/>
        </w:rPr>
        <w:t>OPTIONAL</w:t>
      </w:r>
      <w:r w:rsidRPr="00FA0D37">
        <w:t xml:space="preserve">, </w:t>
      </w:r>
      <w:r w:rsidRPr="00FA0D37">
        <w:rPr>
          <w:color w:val="808080"/>
        </w:rPr>
        <w:t>-- Need R</w:t>
      </w:r>
    </w:p>
    <w:p w14:paraId="4066958C" w14:textId="77777777" w:rsidR="00F27D15" w:rsidRPr="00FA0D37" w:rsidRDefault="00F27D15" w:rsidP="00FA0D37">
      <w:pPr>
        <w:pStyle w:val="PL"/>
      </w:pPr>
      <w:r w:rsidRPr="00FA0D37">
        <w:t xml:space="preserve">    ...</w:t>
      </w:r>
    </w:p>
    <w:p w14:paraId="3A83EC55" w14:textId="77777777" w:rsidR="00F27D15" w:rsidRPr="00FA0D37" w:rsidRDefault="00F27D15" w:rsidP="00FA0D37">
      <w:pPr>
        <w:pStyle w:val="PL"/>
      </w:pPr>
      <w:r w:rsidRPr="00FA0D37">
        <w:t>}</w:t>
      </w:r>
    </w:p>
    <w:p w14:paraId="720E55DD" w14:textId="77777777" w:rsidR="00F27D15" w:rsidRPr="00FA0D37" w:rsidRDefault="00F27D15" w:rsidP="00FA0D37">
      <w:pPr>
        <w:pStyle w:val="PL"/>
      </w:pPr>
    </w:p>
    <w:p w14:paraId="2B00E916" w14:textId="77777777" w:rsidR="00F27D15" w:rsidRPr="00FA0D37" w:rsidRDefault="00F27D15" w:rsidP="00FA0D37">
      <w:pPr>
        <w:pStyle w:val="PL"/>
      </w:pPr>
      <w:r w:rsidRPr="00FA0D37">
        <w:t xml:space="preserve">NR-DL-PRS-PDC-ResourceSet-r17 ::=    </w:t>
      </w:r>
      <w:r w:rsidRPr="00FA0D37">
        <w:rPr>
          <w:color w:val="993366"/>
        </w:rPr>
        <w:t>SEQUENCE</w:t>
      </w:r>
      <w:r w:rsidRPr="00FA0D37">
        <w:t xml:space="preserve"> {</w:t>
      </w:r>
    </w:p>
    <w:p w14:paraId="5CFAB6C0" w14:textId="77777777" w:rsidR="00F27D15" w:rsidRPr="00FA0D37" w:rsidRDefault="00F27D15" w:rsidP="00FA0D37">
      <w:pPr>
        <w:pStyle w:val="PL"/>
      </w:pPr>
      <w:r w:rsidRPr="00FA0D37">
        <w:t xml:space="preserve">    periodicityAndOffset-r17     NR-DL-PRS-Periodicity-and-ResourceSetSlotOffset-r17,</w:t>
      </w:r>
    </w:p>
    <w:p w14:paraId="1941C1B6" w14:textId="5975DF3A" w:rsidR="00F27D15" w:rsidRPr="00FA0D37" w:rsidRDefault="00F27D15" w:rsidP="00FA0D37">
      <w:pPr>
        <w:pStyle w:val="PL"/>
      </w:pPr>
      <w:r w:rsidRPr="00FA0D37">
        <w:t xml:space="preserve">    numSymbols-r17               </w:t>
      </w:r>
      <w:r w:rsidRPr="00FA0D37">
        <w:rPr>
          <w:color w:val="993366"/>
        </w:rPr>
        <w:t>ENUMERATED</w:t>
      </w:r>
      <w:r w:rsidRPr="00FA0D37">
        <w:t xml:space="preserve"> {n2, n4, n6, n12, spare</w:t>
      </w:r>
      <w:r w:rsidR="00CF303E" w:rsidRPr="00FA0D37">
        <w:t>4</w:t>
      </w:r>
      <w:r w:rsidRPr="00FA0D37">
        <w:t>, spare</w:t>
      </w:r>
      <w:r w:rsidR="00CF303E" w:rsidRPr="00FA0D37">
        <w:t>3</w:t>
      </w:r>
      <w:r w:rsidRPr="00FA0D37">
        <w:t>, spare</w:t>
      </w:r>
      <w:r w:rsidR="00CF303E" w:rsidRPr="00FA0D37">
        <w:t>2</w:t>
      </w:r>
      <w:r w:rsidRPr="00FA0D37">
        <w:t>, spare</w:t>
      </w:r>
      <w:r w:rsidR="00CF303E" w:rsidRPr="00FA0D37">
        <w:t>1</w:t>
      </w:r>
      <w:r w:rsidRPr="00FA0D37">
        <w:t>},</w:t>
      </w:r>
    </w:p>
    <w:p w14:paraId="0AB1346B" w14:textId="77777777" w:rsidR="00F27D15" w:rsidRPr="00FA0D37" w:rsidRDefault="00F27D15" w:rsidP="00FA0D37">
      <w:pPr>
        <w:pStyle w:val="PL"/>
      </w:pPr>
      <w:r w:rsidRPr="00FA0D37">
        <w:t xml:space="preserve">    dl-PRS-ResourceBandwidth-r17        </w:t>
      </w:r>
      <w:r w:rsidRPr="00FA0D37">
        <w:rPr>
          <w:color w:val="993366"/>
        </w:rPr>
        <w:t>INTEGER</w:t>
      </w:r>
      <w:r w:rsidRPr="00FA0D37">
        <w:t xml:space="preserve"> (1..63),</w:t>
      </w:r>
    </w:p>
    <w:p w14:paraId="4B34A36B" w14:textId="77777777" w:rsidR="00F27D15" w:rsidRPr="00FA0D37" w:rsidRDefault="00F27D15" w:rsidP="00FA0D37">
      <w:pPr>
        <w:pStyle w:val="PL"/>
      </w:pPr>
      <w:r w:rsidRPr="00FA0D37">
        <w:t xml:space="preserve">    dl-PRS-StartPRB-r17                 </w:t>
      </w:r>
      <w:r w:rsidRPr="00FA0D37">
        <w:rPr>
          <w:color w:val="993366"/>
        </w:rPr>
        <w:t>INTEGER</w:t>
      </w:r>
      <w:r w:rsidRPr="00FA0D37">
        <w:t xml:space="preserve"> (0..2176),</w:t>
      </w:r>
    </w:p>
    <w:p w14:paraId="3D6E22B4" w14:textId="77777777" w:rsidR="00F27D15" w:rsidRPr="00FA0D37" w:rsidRDefault="00F27D15" w:rsidP="00FA0D37">
      <w:pPr>
        <w:pStyle w:val="PL"/>
      </w:pPr>
      <w:r w:rsidRPr="00FA0D37">
        <w:t xml:space="preserve">    resourceList-r17             </w:t>
      </w:r>
      <w:r w:rsidRPr="00FA0D37">
        <w:rPr>
          <w:color w:val="993366"/>
        </w:rPr>
        <w:t>SEQUENCE</w:t>
      </w:r>
      <w:r w:rsidRPr="00FA0D37">
        <w:t xml:space="preserve"> (</w:t>
      </w:r>
      <w:r w:rsidRPr="00FA0D37">
        <w:rPr>
          <w:color w:val="993366"/>
        </w:rPr>
        <w:t>SIZE</w:t>
      </w:r>
      <w:r w:rsidRPr="00FA0D37">
        <w:t xml:space="preserve"> (1..maxNrofPRS-ResourcesPerSet-r17))</w:t>
      </w:r>
      <w:r w:rsidRPr="00FA0D37">
        <w:rPr>
          <w:color w:val="993366"/>
        </w:rPr>
        <w:t xml:space="preserve"> OF</w:t>
      </w:r>
      <w:r w:rsidRPr="00FA0D37">
        <w:t xml:space="preserve"> NR-DL-PRS-Resource-r17,</w:t>
      </w:r>
    </w:p>
    <w:p w14:paraId="2C0BD5B5" w14:textId="570FCC3F" w:rsidR="005B0782" w:rsidRPr="00FA0D37" w:rsidRDefault="005B0782" w:rsidP="00FA0D37">
      <w:pPr>
        <w:pStyle w:val="PL"/>
        <w:rPr>
          <w:color w:val="808080"/>
        </w:rPr>
      </w:pPr>
      <w:r w:rsidRPr="00FA0D37">
        <w:t xml:space="preserve">    repFactorAndTimeGap-r17      RepFactorAndTimeGap-r17                                    </w:t>
      </w:r>
      <w:r w:rsidRPr="00FA0D37">
        <w:rPr>
          <w:color w:val="993366"/>
        </w:rPr>
        <w:t>OPTIONAL</w:t>
      </w:r>
      <w:r w:rsidRPr="00FA0D37">
        <w:t xml:space="preserve">,   </w:t>
      </w:r>
      <w:r w:rsidRPr="00FA0D37">
        <w:rPr>
          <w:color w:val="808080"/>
        </w:rPr>
        <w:t>-- Need S</w:t>
      </w:r>
    </w:p>
    <w:p w14:paraId="5231847C" w14:textId="77777777" w:rsidR="00F27D15" w:rsidRPr="00FA0D37" w:rsidRDefault="00F27D15" w:rsidP="00FA0D37">
      <w:pPr>
        <w:pStyle w:val="PL"/>
      </w:pPr>
      <w:r w:rsidRPr="00FA0D37">
        <w:t xml:space="preserve">    ...</w:t>
      </w:r>
    </w:p>
    <w:p w14:paraId="50B47A90" w14:textId="77777777" w:rsidR="00F27D15" w:rsidRPr="00FA0D37" w:rsidRDefault="00F27D15" w:rsidP="00FA0D37">
      <w:pPr>
        <w:pStyle w:val="PL"/>
      </w:pPr>
      <w:r w:rsidRPr="00FA0D37">
        <w:t>}</w:t>
      </w:r>
    </w:p>
    <w:p w14:paraId="36CEC745" w14:textId="77777777" w:rsidR="00F27D15" w:rsidRPr="00FA0D37" w:rsidRDefault="00F27D15" w:rsidP="00FA0D37">
      <w:pPr>
        <w:pStyle w:val="PL"/>
      </w:pPr>
    </w:p>
    <w:p w14:paraId="35BF7D8E" w14:textId="77777777" w:rsidR="00F27D15" w:rsidRPr="00FA0D37" w:rsidRDefault="00F27D15" w:rsidP="00FA0D37">
      <w:pPr>
        <w:pStyle w:val="PL"/>
      </w:pPr>
      <w:r w:rsidRPr="00FA0D37">
        <w:t xml:space="preserve">NR-DL-PRS-Periodicity-and-ResourceSetSlotOffset-r17 ::= </w:t>
      </w:r>
      <w:r w:rsidRPr="00FA0D37">
        <w:rPr>
          <w:color w:val="993366"/>
        </w:rPr>
        <w:t>CHOICE</w:t>
      </w:r>
      <w:r w:rsidRPr="00FA0D37">
        <w:t xml:space="preserve"> {</w:t>
      </w:r>
    </w:p>
    <w:p w14:paraId="0E40821C" w14:textId="77777777" w:rsidR="00F27D15" w:rsidRPr="00FA0D37" w:rsidRDefault="00F27D15" w:rsidP="00FA0D37">
      <w:pPr>
        <w:pStyle w:val="PL"/>
      </w:pPr>
      <w:r w:rsidRPr="00FA0D37">
        <w:t xml:space="preserve">    scs15-r17       </w:t>
      </w:r>
      <w:r w:rsidRPr="00FA0D37">
        <w:rPr>
          <w:color w:val="993366"/>
        </w:rPr>
        <w:t>CHOICE</w:t>
      </w:r>
      <w:r w:rsidRPr="00FA0D37">
        <w:t xml:space="preserve"> {</w:t>
      </w:r>
    </w:p>
    <w:p w14:paraId="5BCC37A0" w14:textId="77777777" w:rsidR="00F27D15" w:rsidRPr="00FA0D37" w:rsidRDefault="00F27D15" w:rsidP="00FA0D37">
      <w:pPr>
        <w:pStyle w:val="PL"/>
      </w:pPr>
      <w:r w:rsidRPr="00FA0D37">
        <w:lastRenderedPageBreak/>
        <w:t xml:space="preserve">                        n4-r17                  </w:t>
      </w:r>
      <w:r w:rsidRPr="00FA0D37">
        <w:rPr>
          <w:color w:val="993366"/>
        </w:rPr>
        <w:t>INTEGER</w:t>
      </w:r>
      <w:r w:rsidRPr="00FA0D37">
        <w:t xml:space="preserve"> (0..3),</w:t>
      </w:r>
    </w:p>
    <w:p w14:paraId="447ECB98" w14:textId="77777777" w:rsidR="00F27D15" w:rsidRPr="00FA0D37" w:rsidRDefault="00F27D15" w:rsidP="00FA0D37">
      <w:pPr>
        <w:pStyle w:val="PL"/>
      </w:pPr>
      <w:r w:rsidRPr="00FA0D37">
        <w:t xml:space="preserve">                        n5-r17                  </w:t>
      </w:r>
      <w:r w:rsidRPr="00FA0D37">
        <w:rPr>
          <w:color w:val="993366"/>
        </w:rPr>
        <w:t>INTEGER</w:t>
      </w:r>
      <w:r w:rsidRPr="00FA0D37">
        <w:t xml:space="preserve"> (0..4),</w:t>
      </w:r>
    </w:p>
    <w:p w14:paraId="4F555139" w14:textId="77777777" w:rsidR="00F27D15" w:rsidRPr="00FA0D37" w:rsidRDefault="00F27D15" w:rsidP="00FA0D37">
      <w:pPr>
        <w:pStyle w:val="PL"/>
      </w:pPr>
      <w:r w:rsidRPr="00FA0D37">
        <w:t xml:space="preserve">                        n8-r17                  </w:t>
      </w:r>
      <w:r w:rsidRPr="00FA0D37">
        <w:rPr>
          <w:color w:val="993366"/>
        </w:rPr>
        <w:t>INTEGER</w:t>
      </w:r>
      <w:r w:rsidRPr="00FA0D37">
        <w:t xml:space="preserve"> (0..7),</w:t>
      </w:r>
    </w:p>
    <w:p w14:paraId="1719CABB" w14:textId="77777777" w:rsidR="00F27D15" w:rsidRPr="00FA0D37" w:rsidRDefault="00F27D15" w:rsidP="00FA0D37">
      <w:pPr>
        <w:pStyle w:val="PL"/>
      </w:pPr>
      <w:r w:rsidRPr="00FA0D37">
        <w:t xml:space="preserve">                        n10-r17                 </w:t>
      </w:r>
      <w:r w:rsidRPr="00FA0D37">
        <w:rPr>
          <w:color w:val="993366"/>
        </w:rPr>
        <w:t>INTEGER</w:t>
      </w:r>
      <w:r w:rsidRPr="00FA0D37">
        <w:t xml:space="preserve"> (0..9),</w:t>
      </w:r>
    </w:p>
    <w:p w14:paraId="5383254D" w14:textId="77777777" w:rsidR="00F27D15" w:rsidRPr="00FA0D37" w:rsidRDefault="00F27D15" w:rsidP="00FA0D37">
      <w:pPr>
        <w:pStyle w:val="PL"/>
      </w:pPr>
      <w:r w:rsidRPr="00FA0D37">
        <w:t xml:space="preserve">                        n16-r17                 </w:t>
      </w:r>
      <w:r w:rsidRPr="00FA0D37">
        <w:rPr>
          <w:color w:val="993366"/>
        </w:rPr>
        <w:t>INTEGER</w:t>
      </w:r>
      <w:r w:rsidRPr="00FA0D37">
        <w:t xml:space="preserve"> (0..15),</w:t>
      </w:r>
    </w:p>
    <w:p w14:paraId="693ACBBE" w14:textId="77777777" w:rsidR="00F27D15" w:rsidRPr="00FA0D37" w:rsidRDefault="00F27D15" w:rsidP="00FA0D37">
      <w:pPr>
        <w:pStyle w:val="PL"/>
      </w:pPr>
      <w:r w:rsidRPr="00FA0D37">
        <w:t xml:space="preserve">                        n20-r17                 </w:t>
      </w:r>
      <w:r w:rsidRPr="00FA0D37">
        <w:rPr>
          <w:color w:val="993366"/>
        </w:rPr>
        <w:t>INTEGER</w:t>
      </w:r>
      <w:r w:rsidRPr="00FA0D37">
        <w:t xml:space="preserve"> (0..19),</w:t>
      </w:r>
    </w:p>
    <w:p w14:paraId="0FA730E3" w14:textId="77777777" w:rsidR="00F27D15" w:rsidRPr="00FA0D37" w:rsidRDefault="00F27D15" w:rsidP="00FA0D37">
      <w:pPr>
        <w:pStyle w:val="PL"/>
      </w:pPr>
      <w:r w:rsidRPr="00FA0D37">
        <w:t xml:space="preserve">                        n32-r17                 </w:t>
      </w:r>
      <w:r w:rsidRPr="00FA0D37">
        <w:rPr>
          <w:color w:val="993366"/>
        </w:rPr>
        <w:t>INTEGER</w:t>
      </w:r>
      <w:r w:rsidRPr="00FA0D37">
        <w:t xml:space="preserve"> (0..31),</w:t>
      </w:r>
    </w:p>
    <w:p w14:paraId="1C0B276B" w14:textId="77777777" w:rsidR="00F27D15" w:rsidRPr="00FA0D37" w:rsidRDefault="00F27D15" w:rsidP="00FA0D37">
      <w:pPr>
        <w:pStyle w:val="PL"/>
      </w:pPr>
      <w:r w:rsidRPr="00FA0D37">
        <w:t xml:space="preserve">                        n40-r17                 </w:t>
      </w:r>
      <w:r w:rsidRPr="00FA0D37">
        <w:rPr>
          <w:color w:val="993366"/>
        </w:rPr>
        <w:t>INTEGER</w:t>
      </w:r>
      <w:r w:rsidRPr="00FA0D37">
        <w:t xml:space="preserve"> (0..39),</w:t>
      </w:r>
    </w:p>
    <w:p w14:paraId="72F3FB20" w14:textId="77777777" w:rsidR="00F27D15" w:rsidRPr="00FA0D37" w:rsidRDefault="00F27D15" w:rsidP="00FA0D37">
      <w:pPr>
        <w:pStyle w:val="PL"/>
      </w:pPr>
      <w:r w:rsidRPr="00FA0D37">
        <w:t xml:space="preserve">                        n64-r17                 </w:t>
      </w:r>
      <w:r w:rsidRPr="00FA0D37">
        <w:rPr>
          <w:color w:val="993366"/>
        </w:rPr>
        <w:t>INTEGER</w:t>
      </w:r>
      <w:r w:rsidRPr="00FA0D37">
        <w:t xml:space="preserve"> (0..63),</w:t>
      </w:r>
    </w:p>
    <w:p w14:paraId="14F5F0DD" w14:textId="77777777" w:rsidR="00F27D15" w:rsidRPr="00FA0D37" w:rsidRDefault="00F27D15" w:rsidP="00FA0D37">
      <w:pPr>
        <w:pStyle w:val="PL"/>
      </w:pPr>
      <w:r w:rsidRPr="00FA0D37">
        <w:t xml:space="preserve">                        n80-r17                 </w:t>
      </w:r>
      <w:r w:rsidRPr="00FA0D37">
        <w:rPr>
          <w:color w:val="993366"/>
        </w:rPr>
        <w:t>INTEGER</w:t>
      </w:r>
      <w:r w:rsidRPr="00FA0D37">
        <w:t xml:space="preserve"> (0..79),</w:t>
      </w:r>
    </w:p>
    <w:p w14:paraId="3A261A0A" w14:textId="77777777" w:rsidR="00F27D15" w:rsidRPr="00FA0D37" w:rsidRDefault="00F27D15" w:rsidP="00FA0D37">
      <w:pPr>
        <w:pStyle w:val="PL"/>
      </w:pPr>
      <w:r w:rsidRPr="00FA0D37">
        <w:t xml:space="preserve">                        n160-r17                </w:t>
      </w:r>
      <w:r w:rsidRPr="00FA0D37">
        <w:rPr>
          <w:color w:val="993366"/>
        </w:rPr>
        <w:t>INTEGER</w:t>
      </w:r>
      <w:r w:rsidRPr="00FA0D37">
        <w:t xml:space="preserve"> (0..159),</w:t>
      </w:r>
    </w:p>
    <w:p w14:paraId="62C1BD9C" w14:textId="77777777" w:rsidR="00F27D15" w:rsidRPr="00FA0D37" w:rsidRDefault="00F27D15" w:rsidP="00FA0D37">
      <w:pPr>
        <w:pStyle w:val="PL"/>
      </w:pPr>
      <w:r w:rsidRPr="00FA0D37">
        <w:t xml:space="preserve">                        n320-r17                </w:t>
      </w:r>
      <w:r w:rsidRPr="00FA0D37">
        <w:rPr>
          <w:color w:val="993366"/>
        </w:rPr>
        <w:t>INTEGER</w:t>
      </w:r>
      <w:r w:rsidRPr="00FA0D37">
        <w:t xml:space="preserve"> (0..319),</w:t>
      </w:r>
    </w:p>
    <w:p w14:paraId="3D93EA8E" w14:textId="77777777" w:rsidR="00F27D15" w:rsidRPr="00FA0D37" w:rsidRDefault="00F27D15" w:rsidP="00FA0D37">
      <w:pPr>
        <w:pStyle w:val="PL"/>
      </w:pPr>
      <w:r w:rsidRPr="00FA0D37">
        <w:t xml:space="preserve">                        n640-r17                </w:t>
      </w:r>
      <w:r w:rsidRPr="00FA0D37">
        <w:rPr>
          <w:color w:val="993366"/>
        </w:rPr>
        <w:t>INTEGER</w:t>
      </w:r>
      <w:r w:rsidRPr="00FA0D37">
        <w:t xml:space="preserve"> (0..639),</w:t>
      </w:r>
    </w:p>
    <w:p w14:paraId="6E9A1E1A" w14:textId="77777777" w:rsidR="00F27D15" w:rsidRPr="00FA0D37" w:rsidRDefault="00F27D15" w:rsidP="00FA0D37">
      <w:pPr>
        <w:pStyle w:val="PL"/>
      </w:pPr>
      <w:r w:rsidRPr="00FA0D37">
        <w:t xml:space="preserve">                        n1280-r17               </w:t>
      </w:r>
      <w:r w:rsidRPr="00FA0D37">
        <w:rPr>
          <w:color w:val="993366"/>
        </w:rPr>
        <w:t>INTEGER</w:t>
      </w:r>
      <w:r w:rsidRPr="00FA0D37">
        <w:t xml:space="preserve"> (0..1279),</w:t>
      </w:r>
    </w:p>
    <w:p w14:paraId="2981C774" w14:textId="77777777" w:rsidR="00F27D15" w:rsidRPr="00FA0D37" w:rsidRDefault="00F27D15" w:rsidP="00FA0D37">
      <w:pPr>
        <w:pStyle w:val="PL"/>
      </w:pPr>
      <w:r w:rsidRPr="00FA0D37">
        <w:t xml:space="preserve">                        n2560-r17               </w:t>
      </w:r>
      <w:r w:rsidRPr="00FA0D37">
        <w:rPr>
          <w:color w:val="993366"/>
        </w:rPr>
        <w:t>INTEGER</w:t>
      </w:r>
      <w:r w:rsidRPr="00FA0D37">
        <w:t xml:space="preserve"> (0..2559),</w:t>
      </w:r>
    </w:p>
    <w:p w14:paraId="72CD784A" w14:textId="77777777" w:rsidR="00F27D15" w:rsidRPr="00FA0D37" w:rsidRDefault="00F27D15" w:rsidP="00FA0D37">
      <w:pPr>
        <w:pStyle w:val="PL"/>
      </w:pPr>
      <w:r w:rsidRPr="00FA0D37">
        <w:t xml:space="preserve">                        n5120-r17               </w:t>
      </w:r>
      <w:r w:rsidRPr="00FA0D37">
        <w:rPr>
          <w:color w:val="993366"/>
        </w:rPr>
        <w:t>INTEGER</w:t>
      </w:r>
      <w:r w:rsidRPr="00FA0D37">
        <w:t xml:space="preserve"> (0..5119),</w:t>
      </w:r>
    </w:p>
    <w:p w14:paraId="4F8CB634" w14:textId="77777777" w:rsidR="00F27D15" w:rsidRPr="00FA0D37" w:rsidRDefault="00F27D15" w:rsidP="00FA0D37">
      <w:pPr>
        <w:pStyle w:val="PL"/>
      </w:pPr>
      <w:r w:rsidRPr="00FA0D37">
        <w:t xml:space="preserve">                        n10240-r17              </w:t>
      </w:r>
      <w:r w:rsidRPr="00FA0D37">
        <w:rPr>
          <w:color w:val="993366"/>
        </w:rPr>
        <w:t>INTEGER</w:t>
      </w:r>
      <w:r w:rsidRPr="00FA0D37">
        <w:t xml:space="preserve"> (0..10239),</w:t>
      </w:r>
    </w:p>
    <w:p w14:paraId="6436C487" w14:textId="77777777" w:rsidR="00F27D15" w:rsidRPr="00FA0D37" w:rsidRDefault="00F27D15" w:rsidP="00FA0D37">
      <w:pPr>
        <w:pStyle w:val="PL"/>
      </w:pPr>
      <w:r w:rsidRPr="00FA0D37">
        <w:t xml:space="preserve">                        ...</w:t>
      </w:r>
    </w:p>
    <w:p w14:paraId="241E4E81" w14:textId="77777777" w:rsidR="00F27D15" w:rsidRPr="00FA0D37" w:rsidRDefault="00F27D15" w:rsidP="00FA0D37">
      <w:pPr>
        <w:pStyle w:val="PL"/>
      </w:pPr>
      <w:r w:rsidRPr="00FA0D37">
        <w:t xml:space="preserve">    },</w:t>
      </w:r>
    </w:p>
    <w:p w14:paraId="39B66E13" w14:textId="77777777" w:rsidR="00F27D15" w:rsidRPr="00FA0D37" w:rsidRDefault="00F27D15" w:rsidP="00FA0D37">
      <w:pPr>
        <w:pStyle w:val="PL"/>
      </w:pPr>
      <w:r w:rsidRPr="00FA0D37">
        <w:t xml:space="preserve">    scs30-r17       </w:t>
      </w:r>
      <w:r w:rsidRPr="00FA0D37">
        <w:rPr>
          <w:color w:val="993366"/>
        </w:rPr>
        <w:t>CHOICE</w:t>
      </w:r>
      <w:r w:rsidRPr="00FA0D37">
        <w:t xml:space="preserve"> {</w:t>
      </w:r>
    </w:p>
    <w:p w14:paraId="26A9A61F" w14:textId="77777777" w:rsidR="00F27D15" w:rsidRPr="00FA0D37" w:rsidRDefault="00F27D15" w:rsidP="00FA0D37">
      <w:pPr>
        <w:pStyle w:val="PL"/>
      </w:pPr>
      <w:r w:rsidRPr="00FA0D37">
        <w:t xml:space="preserve">                        n8-r17                  </w:t>
      </w:r>
      <w:r w:rsidRPr="00FA0D37">
        <w:rPr>
          <w:color w:val="993366"/>
        </w:rPr>
        <w:t>INTEGER</w:t>
      </w:r>
      <w:r w:rsidRPr="00FA0D37">
        <w:t xml:space="preserve"> (0..7),</w:t>
      </w:r>
    </w:p>
    <w:p w14:paraId="5556B739" w14:textId="77777777" w:rsidR="00F27D15" w:rsidRPr="00FA0D37" w:rsidRDefault="00F27D15" w:rsidP="00FA0D37">
      <w:pPr>
        <w:pStyle w:val="PL"/>
      </w:pPr>
      <w:r w:rsidRPr="00FA0D37">
        <w:t xml:space="preserve">                        n10-r17                 </w:t>
      </w:r>
      <w:r w:rsidRPr="00FA0D37">
        <w:rPr>
          <w:color w:val="993366"/>
        </w:rPr>
        <w:t>INTEGER</w:t>
      </w:r>
      <w:r w:rsidRPr="00FA0D37">
        <w:t xml:space="preserve"> (0..9),</w:t>
      </w:r>
    </w:p>
    <w:p w14:paraId="7ABFD5E1" w14:textId="77777777" w:rsidR="00F27D15" w:rsidRPr="00FA0D37" w:rsidRDefault="00F27D15" w:rsidP="00FA0D37">
      <w:pPr>
        <w:pStyle w:val="PL"/>
      </w:pPr>
      <w:r w:rsidRPr="00FA0D37">
        <w:t xml:space="preserve">                        n16-r17                 </w:t>
      </w:r>
      <w:r w:rsidRPr="00FA0D37">
        <w:rPr>
          <w:color w:val="993366"/>
        </w:rPr>
        <w:t>INTEGER</w:t>
      </w:r>
      <w:r w:rsidRPr="00FA0D37">
        <w:t xml:space="preserve"> (0..15),</w:t>
      </w:r>
    </w:p>
    <w:p w14:paraId="2C7D0037" w14:textId="77777777" w:rsidR="00F27D15" w:rsidRPr="00FA0D37" w:rsidRDefault="00F27D15" w:rsidP="00FA0D37">
      <w:pPr>
        <w:pStyle w:val="PL"/>
      </w:pPr>
      <w:r w:rsidRPr="00FA0D37">
        <w:t xml:space="preserve">                        n20-r17                 </w:t>
      </w:r>
      <w:r w:rsidRPr="00FA0D37">
        <w:rPr>
          <w:color w:val="993366"/>
        </w:rPr>
        <w:t>INTEGER</w:t>
      </w:r>
      <w:r w:rsidRPr="00FA0D37">
        <w:t xml:space="preserve"> (0..19),</w:t>
      </w:r>
    </w:p>
    <w:p w14:paraId="527E11F9" w14:textId="77777777" w:rsidR="00F27D15" w:rsidRPr="00FA0D37" w:rsidRDefault="00F27D15" w:rsidP="00FA0D37">
      <w:pPr>
        <w:pStyle w:val="PL"/>
      </w:pPr>
      <w:r w:rsidRPr="00FA0D37">
        <w:t xml:space="preserve">                        n32-r17                 </w:t>
      </w:r>
      <w:r w:rsidRPr="00FA0D37">
        <w:rPr>
          <w:color w:val="993366"/>
        </w:rPr>
        <w:t>INTEGER</w:t>
      </w:r>
      <w:r w:rsidRPr="00FA0D37">
        <w:t xml:space="preserve"> (0..31),</w:t>
      </w:r>
    </w:p>
    <w:p w14:paraId="49846F0C" w14:textId="77777777" w:rsidR="00F27D15" w:rsidRPr="00FA0D37" w:rsidRDefault="00F27D15" w:rsidP="00FA0D37">
      <w:pPr>
        <w:pStyle w:val="PL"/>
      </w:pPr>
      <w:r w:rsidRPr="00FA0D37">
        <w:t xml:space="preserve">                        n40-r17                 </w:t>
      </w:r>
      <w:r w:rsidRPr="00FA0D37">
        <w:rPr>
          <w:color w:val="993366"/>
        </w:rPr>
        <w:t>INTEGER</w:t>
      </w:r>
      <w:r w:rsidRPr="00FA0D37">
        <w:t xml:space="preserve"> (0..39),</w:t>
      </w:r>
    </w:p>
    <w:p w14:paraId="78A50748" w14:textId="77777777" w:rsidR="00F27D15" w:rsidRPr="00FA0D37" w:rsidRDefault="00F27D15" w:rsidP="00FA0D37">
      <w:pPr>
        <w:pStyle w:val="PL"/>
      </w:pPr>
      <w:r w:rsidRPr="00FA0D37">
        <w:t xml:space="preserve">                        n64-r17                 </w:t>
      </w:r>
      <w:r w:rsidRPr="00FA0D37">
        <w:rPr>
          <w:color w:val="993366"/>
        </w:rPr>
        <w:t>INTEGER</w:t>
      </w:r>
      <w:r w:rsidRPr="00FA0D37">
        <w:t xml:space="preserve"> (0..63),</w:t>
      </w:r>
    </w:p>
    <w:p w14:paraId="6E1552E2" w14:textId="77777777" w:rsidR="00F27D15" w:rsidRPr="00FA0D37" w:rsidRDefault="00F27D15" w:rsidP="00FA0D37">
      <w:pPr>
        <w:pStyle w:val="PL"/>
      </w:pPr>
      <w:r w:rsidRPr="00FA0D37">
        <w:t xml:space="preserve">                        n80-r17                 </w:t>
      </w:r>
      <w:r w:rsidRPr="00FA0D37">
        <w:rPr>
          <w:color w:val="993366"/>
        </w:rPr>
        <w:t>INTEGER</w:t>
      </w:r>
      <w:r w:rsidRPr="00FA0D37">
        <w:t xml:space="preserve"> (0..79),</w:t>
      </w:r>
    </w:p>
    <w:p w14:paraId="4319A083" w14:textId="77777777" w:rsidR="00F27D15" w:rsidRPr="00FA0D37" w:rsidRDefault="00F27D15" w:rsidP="00FA0D37">
      <w:pPr>
        <w:pStyle w:val="PL"/>
      </w:pPr>
      <w:r w:rsidRPr="00FA0D37">
        <w:t xml:space="preserve">                        n128-r17                </w:t>
      </w:r>
      <w:r w:rsidRPr="00FA0D37">
        <w:rPr>
          <w:color w:val="993366"/>
        </w:rPr>
        <w:t>INTEGER</w:t>
      </w:r>
      <w:r w:rsidRPr="00FA0D37">
        <w:t xml:space="preserve"> (0..127),</w:t>
      </w:r>
    </w:p>
    <w:p w14:paraId="492F9788" w14:textId="77777777" w:rsidR="00F27D15" w:rsidRPr="00FA0D37" w:rsidRDefault="00F27D15" w:rsidP="00FA0D37">
      <w:pPr>
        <w:pStyle w:val="PL"/>
      </w:pPr>
      <w:r w:rsidRPr="00FA0D37">
        <w:t xml:space="preserve">                        n160-r17                </w:t>
      </w:r>
      <w:r w:rsidRPr="00FA0D37">
        <w:rPr>
          <w:color w:val="993366"/>
        </w:rPr>
        <w:t>INTEGER</w:t>
      </w:r>
      <w:r w:rsidRPr="00FA0D37">
        <w:t xml:space="preserve"> (0..159),</w:t>
      </w:r>
    </w:p>
    <w:p w14:paraId="41D5235C" w14:textId="77777777" w:rsidR="00F27D15" w:rsidRPr="00FA0D37" w:rsidRDefault="00F27D15" w:rsidP="00FA0D37">
      <w:pPr>
        <w:pStyle w:val="PL"/>
      </w:pPr>
      <w:r w:rsidRPr="00FA0D37">
        <w:t xml:space="preserve">                        n320-r17                </w:t>
      </w:r>
      <w:r w:rsidRPr="00FA0D37">
        <w:rPr>
          <w:color w:val="993366"/>
        </w:rPr>
        <w:t>INTEGER</w:t>
      </w:r>
      <w:r w:rsidRPr="00FA0D37">
        <w:t xml:space="preserve"> (0..319),</w:t>
      </w:r>
    </w:p>
    <w:p w14:paraId="28BA49EE" w14:textId="77777777" w:rsidR="00F27D15" w:rsidRPr="00FA0D37" w:rsidRDefault="00F27D15" w:rsidP="00FA0D37">
      <w:pPr>
        <w:pStyle w:val="PL"/>
      </w:pPr>
      <w:r w:rsidRPr="00FA0D37">
        <w:t xml:space="preserve">                        n640-r17                </w:t>
      </w:r>
      <w:r w:rsidRPr="00FA0D37">
        <w:rPr>
          <w:color w:val="993366"/>
        </w:rPr>
        <w:t>INTEGER</w:t>
      </w:r>
      <w:r w:rsidRPr="00FA0D37">
        <w:t xml:space="preserve"> (0..639),</w:t>
      </w:r>
    </w:p>
    <w:p w14:paraId="0DB2EA35" w14:textId="77777777" w:rsidR="00F27D15" w:rsidRPr="00FA0D37" w:rsidRDefault="00F27D15" w:rsidP="00FA0D37">
      <w:pPr>
        <w:pStyle w:val="PL"/>
      </w:pPr>
      <w:r w:rsidRPr="00FA0D37">
        <w:t xml:space="preserve">                        n1280-r17               </w:t>
      </w:r>
      <w:r w:rsidRPr="00FA0D37">
        <w:rPr>
          <w:color w:val="993366"/>
        </w:rPr>
        <w:t>INTEGER</w:t>
      </w:r>
      <w:r w:rsidRPr="00FA0D37">
        <w:t xml:space="preserve"> (0..1279),</w:t>
      </w:r>
    </w:p>
    <w:p w14:paraId="23CFB651" w14:textId="77777777" w:rsidR="00F27D15" w:rsidRPr="00FA0D37" w:rsidRDefault="00F27D15" w:rsidP="00FA0D37">
      <w:pPr>
        <w:pStyle w:val="PL"/>
      </w:pPr>
      <w:r w:rsidRPr="00FA0D37">
        <w:t xml:space="preserve">                        n2560-r17               </w:t>
      </w:r>
      <w:r w:rsidRPr="00FA0D37">
        <w:rPr>
          <w:color w:val="993366"/>
        </w:rPr>
        <w:t>INTEGER</w:t>
      </w:r>
      <w:r w:rsidRPr="00FA0D37">
        <w:t xml:space="preserve"> (0..2559),</w:t>
      </w:r>
    </w:p>
    <w:p w14:paraId="72920AB4" w14:textId="77777777" w:rsidR="00F27D15" w:rsidRPr="00FA0D37" w:rsidRDefault="00F27D15" w:rsidP="00FA0D37">
      <w:pPr>
        <w:pStyle w:val="PL"/>
      </w:pPr>
      <w:r w:rsidRPr="00FA0D37">
        <w:t xml:space="preserve">                        n5120-r17               </w:t>
      </w:r>
      <w:r w:rsidRPr="00FA0D37">
        <w:rPr>
          <w:color w:val="993366"/>
        </w:rPr>
        <w:t>INTEGER</w:t>
      </w:r>
      <w:r w:rsidRPr="00FA0D37">
        <w:t xml:space="preserve"> (0..5119),</w:t>
      </w:r>
    </w:p>
    <w:p w14:paraId="67B18DF4" w14:textId="77777777" w:rsidR="00F27D15" w:rsidRPr="00FA0D37" w:rsidRDefault="00F27D15" w:rsidP="00FA0D37">
      <w:pPr>
        <w:pStyle w:val="PL"/>
      </w:pPr>
      <w:r w:rsidRPr="00FA0D37">
        <w:t xml:space="preserve">                        n10240-r17              </w:t>
      </w:r>
      <w:r w:rsidRPr="00FA0D37">
        <w:rPr>
          <w:color w:val="993366"/>
        </w:rPr>
        <w:t>INTEGER</w:t>
      </w:r>
      <w:r w:rsidRPr="00FA0D37">
        <w:t xml:space="preserve"> (0..10239),</w:t>
      </w:r>
    </w:p>
    <w:p w14:paraId="219FBF81" w14:textId="77777777" w:rsidR="00F27D15" w:rsidRPr="00FA0D37" w:rsidRDefault="00F27D15" w:rsidP="00FA0D37">
      <w:pPr>
        <w:pStyle w:val="PL"/>
      </w:pPr>
      <w:r w:rsidRPr="00FA0D37">
        <w:t xml:space="preserve">                        n20480-r17              </w:t>
      </w:r>
      <w:r w:rsidRPr="00FA0D37">
        <w:rPr>
          <w:color w:val="993366"/>
        </w:rPr>
        <w:t>INTEGER</w:t>
      </w:r>
      <w:r w:rsidRPr="00FA0D37">
        <w:t xml:space="preserve"> (0..20479),</w:t>
      </w:r>
    </w:p>
    <w:p w14:paraId="088286FE" w14:textId="77777777" w:rsidR="00F27D15" w:rsidRPr="00FA0D37" w:rsidRDefault="00F27D15" w:rsidP="00FA0D37">
      <w:pPr>
        <w:pStyle w:val="PL"/>
      </w:pPr>
      <w:r w:rsidRPr="00FA0D37">
        <w:t xml:space="preserve">                        ...</w:t>
      </w:r>
    </w:p>
    <w:p w14:paraId="12816A8F" w14:textId="77777777" w:rsidR="00F27D15" w:rsidRPr="00FA0D37" w:rsidRDefault="00F27D15" w:rsidP="00FA0D37">
      <w:pPr>
        <w:pStyle w:val="PL"/>
      </w:pPr>
      <w:r w:rsidRPr="00FA0D37">
        <w:t xml:space="preserve">    },</w:t>
      </w:r>
    </w:p>
    <w:p w14:paraId="09E1B0D7" w14:textId="77777777" w:rsidR="00F27D15" w:rsidRPr="00FA0D37" w:rsidRDefault="00F27D15" w:rsidP="00FA0D37">
      <w:pPr>
        <w:pStyle w:val="PL"/>
      </w:pPr>
      <w:r w:rsidRPr="00FA0D37">
        <w:t xml:space="preserve">    scs60-r17       </w:t>
      </w:r>
      <w:r w:rsidRPr="00FA0D37">
        <w:rPr>
          <w:color w:val="993366"/>
        </w:rPr>
        <w:t>CHOICE</w:t>
      </w:r>
      <w:r w:rsidRPr="00FA0D37">
        <w:t xml:space="preserve"> {</w:t>
      </w:r>
    </w:p>
    <w:p w14:paraId="3249E71F" w14:textId="77777777" w:rsidR="00F27D15" w:rsidRPr="00FA0D37" w:rsidRDefault="00F27D15" w:rsidP="00FA0D37">
      <w:pPr>
        <w:pStyle w:val="PL"/>
      </w:pPr>
      <w:r w:rsidRPr="00FA0D37">
        <w:t xml:space="preserve">                        n16-r17                 </w:t>
      </w:r>
      <w:r w:rsidRPr="00FA0D37">
        <w:rPr>
          <w:color w:val="993366"/>
        </w:rPr>
        <w:t>INTEGER</w:t>
      </w:r>
      <w:r w:rsidRPr="00FA0D37">
        <w:t xml:space="preserve"> (0..15),</w:t>
      </w:r>
    </w:p>
    <w:p w14:paraId="583460E2" w14:textId="77777777" w:rsidR="00F27D15" w:rsidRPr="00FA0D37" w:rsidRDefault="00F27D15" w:rsidP="00FA0D37">
      <w:pPr>
        <w:pStyle w:val="PL"/>
      </w:pPr>
      <w:r w:rsidRPr="00FA0D37">
        <w:t xml:space="preserve">                        n20-r17                 </w:t>
      </w:r>
      <w:r w:rsidRPr="00FA0D37">
        <w:rPr>
          <w:color w:val="993366"/>
        </w:rPr>
        <w:t>INTEGER</w:t>
      </w:r>
      <w:r w:rsidRPr="00FA0D37">
        <w:t xml:space="preserve"> (0..19),</w:t>
      </w:r>
    </w:p>
    <w:p w14:paraId="6C75A906" w14:textId="77777777" w:rsidR="00F27D15" w:rsidRPr="00FA0D37" w:rsidRDefault="00F27D15" w:rsidP="00FA0D37">
      <w:pPr>
        <w:pStyle w:val="PL"/>
      </w:pPr>
      <w:r w:rsidRPr="00FA0D37">
        <w:t xml:space="preserve">                        n32-r17                 </w:t>
      </w:r>
      <w:r w:rsidRPr="00FA0D37">
        <w:rPr>
          <w:color w:val="993366"/>
        </w:rPr>
        <w:t>INTEGER</w:t>
      </w:r>
      <w:r w:rsidRPr="00FA0D37">
        <w:t xml:space="preserve"> (0..31),</w:t>
      </w:r>
    </w:p>
    <w:p w14:paraId="78E22CBC" w14:textId="77777777" w:rsidR="00F27D15" w:rsidRPr="00FA0D37" w:rsidRDefault="00F27D15" w:rsidP="00FA0D37">
      <w:pPr>
        <w:pStyle w:val="PL"/>
      </w:pPr>
      <w:r w:rsidRPr="00FA0D37">
        <w:t xml:space="preserve">                        n40-r17                 </w:t>
      </w:r>
      <w:r w:rsidRPr="00FA0D37">
        <w:rPr>
          <w:color w:val="993366"/>
        </w:rPr>
        <w:t>INTEGER</w:t>
      </w:r>
      <w:r w:rsidRPr="00FA0D37">
        <w:t xml:space="preserve"> (0..39),</w:t>
      </w:r>
    </w:p>
    <w:p w14:paraId="17DB1552" w14:textId="77777777" w:rsidR="00F27D15" w:rsidRPr="00FA0D37" w:rsidRDefault="00F27D15" w:rsidP="00FA0D37">
      <w:pPr>
        <w:pStyle w:val="PL"/>
      </w:pPr>
      <w:r w:rsidRPr="00FA0D37">
        <w:t xml:space="preserve">                        n64-r17                 </w:t>
      </w:r>
      <w:r w:rsidRPr="00FA0D37">
        <w:rPr>
          <w:color w:val="993366"/>
        </w:rPr>
        <w:t>INTEGER</w:t>
      </w:r>
      <w:r w:rsidRPr="00FA0D37">
        <w:t xml:space="preserve"> (0..63),</w:t>
      </w:r>
    </w:p>
    <w:p w14:paraId="4ACDA95B" w14:textId="77777777" w:rsidR="00F27D15" w:rsidRPr="00FA0D37" w:rsidRDefault="00F27D15" w:rsidP="00FA0D37">
      <w:pPr>
        <w:pStyle w:val="PL"/>
      </w:pPr>
      <w:r w:rsidRPr="00FA0D37">
        <w:t xml:space="preserve">                        n80-r17                 </w:t>
      </w:r>
      <w:r w:rsidRPr="00FA0D37">
        <w:rPr>
          <w:color w:val="993366"/>
        </w:rPr>
        <w:t>INTEGER</w:t>
      </w:r>
      <w:r w:rsidRPr="00FA0D37">
        <w:t xml:space="preserve"> (0..79),</w:t>
      </w:r>
    </w:p>
    <w:p w14:paraId="4EE6D53C" w14:textId="77777777" w:rsidR="00F27D15" w:rsidRPr="00FA0D37" w:rsidRDefault="00F27D15" w:rsidP="00FA0D37">
      <w:pPr>
        <w:pStyle w:val="PL"/>
      </w:pPr>
      <w:r w:rsidRPr="00FA0D37">
        <w:t xml:space="preserve">                        n128-r17                </w:t>
      </w:r>
      <w:r w:rsidRPr="00FA0D37">
        <w:rPr>
          <w:color w:val="993366"/>
        </w:rPr>
        <w:t>INTEGER</w:t>
      </w:r>
      <w:r w:rsidRPr="00FA0D37">
        <w:t xml:space="preserve"> (0..127),</w:t>
      </w:r>
    </w:p>
    <w:p w14:paraId="088F3C16" w14:textId="77777777" w:rsidR="00F27D15" w:rsidRPr="00FA0D37" w:rsidRDefault="00F27D15" w:rsidP="00FA0D37">
      <w:pPr>
        <w:pStyle w:val="PL"/>
      </w:pPr>
      <w:r w:rsidRPr="00FA0D37">
        <w:t xml:space="preserve">                        n160-r17                </w:t>
      </w:r>
      <w:r w:rsidRPr="00FA0D37">
        <w:rPr>
          <w:color w:val="993366"/>
        </w:rPr>
        <w:t>INTEGER</w:t>
      </w:r>
      <w:r w:rsidRPr="00FA0D37">
        <w:t xml:space="preserve"> (0..159),</w:t>
      </w:r>
    </w:p>
    <w:p w14:paraId="7A00D0EF" w14:textId="77777777" w:rsidR="00F27D15" w:rsidRPr="00FA0D37" w:rsidRDefault="00F27D15" w:rsidP="00FA0D37">
      <w:pPr>
        <w:pStyle w:val="PL"/>
      </w:pPr>
      <w:r w:rsidRPr="00FA0D37">
        <w:t xml:space="preserve">                        n256-r17                </w:t>
      </w:r>
      <w:r w:rsidRPr="00FA0D37">
        <w:rPr>
          <w:color w:val="993366"/>
        </w:rPr>
        <w:t>INTEGER</w:t>
      </w:r>
      <w:r w:rsidRPr="00FA0D37">
        <w:t xml:space="preserve"> (0..255),</w:t>
      </w:r>
    </w:p>
    <w:p w14:paraId="0C5C62D4" w14:textId="77777777" w:rsidR="00F27D15" w:rsidRPr="00FA0D37" w:rsidRDefault="00F27D15" w:rsidP="00FA0D37">
      <w:pPr>
        <w:pStyle w:val="PL"/>
      </w:pPr>
      <w:r w:rsidRPr="00FA0D37">
        <w:t xml:space="preserve">                        n320-r17                </w:t>
      </w:r>
      <w:r w:rsidRPr="00FA0D37">
        <w:rPr>
          <w:color w:val="993366"/>
        </w:rPr>
        <w:t>INTEGER</w:t>
      </w:r>
      <w:r w:rsidRPr="00FA0D37">
        <w:t xml:space="preserve"> (0..319),</w:t>
      </w:r>
    </w:p>
    <w:p w14:paraId="4F48182F" w14:textId="77777777" w:rsidR="00F27D15" w:rsidRPr="00FA0D37" w:rsidRDefault="00F27D15" w:rsidP="00FA0D37">
      <w:pPr>
        <w:pStyle w:val="PL"/>
      </w:pPr>
      <w:r w:rsidRPr="00FA0D37">
        <w:t xml:space="preserve">                        n640-r17                </w:t>
      </w:r>
      <w:r w:rsidRPr="00FA0D37">
        <w:rPr>
          <w:color w:val="993366"/>
        </w:rPr>
        <w:t>INTEGER</w:t>
      </w:r>
      <w:r w:rsidRPr="00FA0D37">
        <w:t xml:space="preserve"> (0..639),</w:t>
      </w:r>
    </w:p>
    <w:p w14:paraId="1BD4B39E" w14:textId="77777777" w:rsidR="00F27D15" w:rsidRPr="00FA0D37" w:rsidRDefault="00F27D15" w:rsidP="00FA0D37">
      <w:pPr>
        <w:pStyle w:val="PL"/>
      </w:pPr>
      <w:r w:rsidRPr="00FA0D37">
        <w:lastRenderedPageBreak/>
        <w:t xml:space="preserve">                        n1280-r17               </w:t>
      </w:r>
      <w:r w:rsidRPr="00FA0D37">
        <w:rPr>
          <w:color w:val="993366"/>
        </w:rPr>
        <w:t>INTEGER</w:t>
      </w:r>
      <w:r w:rsidRPr="00FA0D37">
        <w:t xml:space="preserve"> (0..1279),</w:t>
      </w:r>
    </w:p>
    <w:p w14:paraId="49FB877E" w14:textId="77777777" w:rsidR="00F27D15" w:rsidRPr="00FA0D37" w:rsidRDefault="00F27D15" w:rsidP="00FA0D37">
      <w:pPr>
        <w:pStyle w:val="PL"/>
      </w:pPr>
      <w:r w:rsidRPr="00FA0D37">
        <w:t xml:space="preserve">                        n2560-r17               </w:t>
      </w:r>
      <w:r w:rsidRPr="00FA0D37">
        <w:rPr>
          <w:color w:val="993366"/>
        </w:rPr>
        <w:t>INTEGER</w:t>
      </w:r>
      <w:r w:rsidRPr="00FA0D37">
        <w:t xml:space="preserve"> (0..2559),</w:t>
      </w:r>
    </w:p>
    <w:p w14:paraId="5189D778" w14:textId="77777777" w:rsidR="00F27D15" w:rsidRPr="00FA0D37" w:rsidRDefault="00F27D15" w:rsidP="00FA0D37">
      <w:pPr>
        <w:pStyle w:val="PL"/>
      </w:pPr>
      <w:r w:rsidRPr="00FA0D37">
        <w:t xml:space="preserve">                        n5120-r17               </w:t>
      </w:r>
      <w:r w:rsidRPr="00FA0D37">
        <w:rPr>
          <w:color w:val="993366"/>
        </w:rPr>
        <w:t>INTEGER</w:t>
      </w:r>
      <w:r w:rsidRPr="00FA0D37">
        <w:t xml:space="preserve"> (0..5119),</w:t>
      </w:r>
    </w:p>
    <w:p w14:paraId="301C099C" w14:textId="77777777" w:rsidR="00F27D15" w:rsidRPr="00FA0D37" w:rsidRDefault="00F27D15" w:rsidP="00FA0D37">
      <w:pPr>
        <w:pStyle w:val="PL"/>
      </w:pPr>
      <w:r w:rsidRPr="00FA0D37">
        <w:t xml:space="preserve">                        n10240-r17              </w:t>
      </w:r>
      <w:r w:rsidRPr="00FA0D37">
        <w:rPr>
          <w:color w:val="993366"/>
        </w:rPr>
        <w:t>INTEGER</w:t>
      </w:r>
      <w:r w:rsidRPr="00FA0D37">
        <w:t xml:space="preserve"> (0..10239),</w:t>
      </w:r>
    </w:p>
    <w:p w14:paraId="3EA9788B" w14:textId="77777777" w:rsidR="00F27D15" w:rsidRPr="00FA0D37" w:rsidRDefault="00F27D15" w:rsidP="00FA0D37">
      <w:pPr>
        <w:pStyle w:val="PL"/>
      </w:pPr>
      <w:r w:rsidRPr="00FA0D37">
        <w:t xml:space="preserve">                        n20480-r17              </w:t>
      </w:r>
      <w:r w:rsidRPr="00FA0D37">
        <w:rPr>
          <w:color w:val="993366"/>
        </w:rPr>
        <w:t>INTEGER</w:t>
      </w:r>
      <w:r w:rsidRPr="00FA0D37">
        <w:t xml:space="preserve"> (0..20479),</w:t>
      </w:r>
    </w:p>
    <w:p w14:paraId="0682424B" w14:textId="77777777" w:rsidR="00F27D15" w:rsidRPr="00FA0D37" w:rsidRDefault="00F27D15" w:rsidP="00FA0D37">
      <w:pPr>
        <w:pStyle w:val="PL"/>
      </w:pPr>
      <w:r w:rsidRPr="00FA0D37">
        <w:t xml:space="preserve">                        n40960-r17              </w:t>
      </w:r>
      <w:r w:rsidRPr="00FA0D37">
        <w:rPr>
          <w:color w:val="993366"/>
        </w:rPr>
        <w:t>INTEGER</w:t>
      </w:r>
      <w:r w:rsidRPr="00FA0D37">
        <w:t xml:space="preserve"> (0..40959),</w:t>
      </w:r>
    </w:p>
    <w:p w14:paraId="4E35E9E6" w14:textId="77777777" w:rsidR="00F27D15" w:rsidRPr="00FA0D37" w:rsidRDefault="00F27D15" w:rsidP="00FA0D37">
      <w:pPr>
        <w:pStyle w:val="PL"/>
      </w:pPr>
      <w:r w:rsidRPr="00FA0D37">
        <w:t xml:space="preserve">                        ...</w:t>
      </w:r>
    </w:p>
    <w:p w14:paraId="055AEE4E" w14:textId="77777777" w:rsidR="00F27D15" w:rsidRPr="00FA0D37" w:rsidRDefault="00F27D15" w:rsidP="00FA0D37">
      <w:pPr>
        <w:pStyle w:val="PL"/>
      </w:pPr>
      <w:r w:rsidRPr="00FA0D37">
        <w:t xml:space="preserve">    },</w:t>
      </w:r>
    </w:p>
    <w:p w14:paraId="0C74E055" w14:textId="77777777" w:rsidR="00F27D15" w:rsidRPr="00FA0D37" w:rsidRDefault="00F27D15" w:rsidP="00FA0D37">
      <w:pPr>
        <w:pStyle w:val="PL"/>
      </w:pPr>
      <w:r w:rsidRPr="00FA0D37">
        <w:t xml:space="preserve">    scs120-r17      </w:t>
      </w:r>
      <w:r w:rsidRPr="00FA0D37">
        <w:rPr>
          <w:color w:val="993366"/>
        </w:rPr>
        <w:t>CHOICE</w:t>
      </w:r>
      <w:r w:rsidRPr="00FA0D37">
        <w:t xml:space="preserve"> {</w:t>
      </w:r>
    </w:p>
    <w:p w14:paraId="7ACEE6FB" w14:textId="77777777" w:rsidR="00F27D15" w:rsidRPr="00FA0D37" w:rsidRDefault="00F27D15" w:rsidP="00FA0D37">
      <w:pPr>
        <w:pStyle w:val="PL"/>
      </w:pPr>
      <w:r w:rsidRPr="00FA0D37">
        <w:t xml:space="preserve">                        n32-r17                 </w:t>
      </w:r>
      <w:r w:rsidRPr="00FA0D37">
        <w:rPr>
          <w:color w:val="993366"/>
        </w:rPr>
        <w:t>INTEGER</w:t>
      </w:r>
      <w:r w:rsidRPr="00FA0D37">
        <w:t xml:space="preserve"> (0..31),</w:t>
      </w:r>
    </w:p>
    <w:p w14:paraId="6E801DAC" w14:textId="77777777" w:rsidR="00F27D15" w:rsidRPr="00FA0D37" w:rsidRDefault="00F27D15" w:rsidP="00FA0D37">
      <w:pPr>
        <w:pStyle w:val="PL"/>
      </w:pPr>
      <w:r w:rsidRPr="00FA0D37">
        <w:t xml:space="preserve">                        n40-r17                 </w:t>
      </w:r>
      <w:r w:rsidRPr="00FA0D37">
        <w:rPr>
          <w:color w:val="993366"/>
        </w:rPr>
        <w:t>INTEGER</w:t>
      </w:r>
      <w:r w:rsidRPr="00FA0D37">
        <w:t xml:space="preserve"> (0..39),</w:t>
      </w:r>
    </w:p>
    <w:p w14:paraId="43FF3E4E" w14:textId="77777777" w:rsidR="00F27D15" w:rsidRPr="00FA0D37" w:rsidRDefault="00F27D15" w:rsidP="00FA0D37">
      <w:pPr>
        <w:pStyle w:val="PL"/>
      </w:pPr>
      <w:r w:rsidRPr="00FA0D37">
        <w:t xml:space="preserve">                        n64-r17                 </w:t>
      </w:r>
      <w:r w:rsidRPr="00FA0D37">
        <w:rPr>
          <w:color w:val="993366"/>
        </w:rPr>
        <w:t>INTEGER</w:t>
      </w:r>
      <w:r w:rsidRPr="00FA0D37">
        <w:t xml:space="preserve"> (0..63),</w:t>
      </w:r>
    </w:p>
    <w:p w14:paraId="320602B0" w14:textId="77777777" w:rsidR="00F27D15" w:rsidRPr="00FA0D37" w:rsidRDefault="00F27D15" w:rsidP="00FA0D37">
      <w:pPr>
        <w:pStyle w:val="PL"/>
      </w:pPr>
      <w:r w:rsidRPr="00FA0D37">
        <w:t xml:space="preserve">                        n80-r17                 </w:t>
      </w:r>
      <w:r w:rsidRPr="00FA0D37">
        <w:rPr>
          <w:color w:val="993366"/>
        </w:rPr>
        <w:t>INTEGER</w:t>
      </w:r>
      <w:r w:rsidRPr="00FA0D37">
        <w:t xml:space="preserve"> (0..79),</w:t>
      </w:r>
    </w:p>
    <w:p w14:paraId="2BA1F74D" w14:textId="77777777" w:rsidR="00F27D15" w:rsidRPr="00FA0D37" w:rsidRDefault="00F27D15" w:rsidP="00FA0D37">
      <w:pPr>
        <w:pStyle w:val="PL"/>
      </w:pPr>
      <w:r w:rsidRPr="00FA0D37">
        <w:t xml:space="preserve">                        n128-r17                </w:t>
      </w:r>
      <w:r w:rsidRPr="00FA0D37">
        <w:rPr>
          <w:color w:val="993366"/>
        </w:rPr>
        <w:t>INTEGER</w:t>
      </w:r>
      <w:r w:rsidRPr="00FA0D37">
        <w:t xml:space="preserve"> (0..127),</w:t>
      </w:r>
    </w:p>
    <w:p w14:paraId="7F9904E2" w14:textId="77777777" w:rsidR="00F27D15" w:rsidRPr="00FA0D37" w:rsidRDefault="00F27D15" w:rsidP="00FA0D37">
      <w:pPr>
        <w:pStyle w:val="PL"/>
      </w:pPr>
      <w:r w:rsidRPr="00FA0D37">
        <w:t xml:space="preserve">                        n160-r17                </w:t>
      </w:r>
      <w:r w:rsidRPr="00FA0D37">
        <w:rPr>
          <w:color w:val="993366"/>
        </w:rPr>
        <w:t>INTEGER</w:t>
      </w:r>
      <w:r w:rsidRPr="00FA0D37">
        <w:t xml:space="preserve"> (0..159),</w:t>
      </w:r>
    </w:p>
    <w:p w14:paraId="2C5D4FFC" w14:textId="77777777" w:rsidR="00F27D15" w:rsidRPr="00FA0D37" w:rsidRDefault="00F27D15" w:rsidP="00FA0D37">
      <w:pPr>
        <w:pStyle w:val="PL"/>
      </w:pPr>
      <w:r w:rsidRPr="00FA0D37">
        <w:t xml:space="preserve">                        n256-r17                </w:t>
      </w:r>
      <w:r w:rsidRPr="00FA0D37">
        <w:rPr>
          <w:color w:val="993366"/>
        </w:rPr>
        <w:t>INTEGER</w:t>
      </w:r>
      <w:r w:rsidRPr="00FA0D37">
        <w:t xml:space="preserve"> (0..255),</w:t>
      </w:r>
    </w:p>
    <w:p w14:paraId="12D23005" w14:textId="77777777" w:rsidR="00F27D15" w:rsidRPr="00FA0D37" w:rsidRDefault="00F27D15" w:rsidP="00FA0D37">
      <w:pPr>
        <w:pStyle w:val="PL"/>
      </w:pPr>
      <w:r w:rsidRPr="00FA0D37">
        <w:t xml:space="preserve">                        n320-r17                </w:t>
      </w:r>
      <w:r w:rsidRPr="00FA0D37">
        <w:rPr>
          <w:color w:val="993366"/>
        </w:rPr>
        <w:t>INTEGER</w:t>
      </w:r>
      <w:r w:rsidRPr="00FA0D37">
        <w:t xml:space="preserve"> (0..319),</w:t>
      </w:r>
    </w:p>
    <w:p w14:paraId="2488EF82" w14:textId="77777777" w:rsidR="00F27D15" w:rsidRPr="00FA0D37" w:rsidRDefault="00F27D15" w:rsidP="00FA0D37">
      <w:pPr>
        <w:pStyle w:val="PL"/>
      </w:pPr>
      <w:r w:rsidRPr="00FA0D37">
        <w:t xml:space="preserve">                        n512-r17                </w:t>
      </w:r>
      <w:r w:rsidRPr="00FA0D37">
        <w:rPr>
          <w:color w:val="993366"/>
        </w:rPr>
        <w:t>INTEGER</w:t>
      </w:r>
      <w:r w:rsidRPr="00FA0D37">
        <w:t xml:space="preserve"> (0..511),</w:t>
      </w:r>
    </w:p>
    <w:p w14:paraId="345910D7" w14:textId="77777777" w:rsidR="00F27D15" w:rsidRPr="00FA0D37" w:rsidRDefault="00F27D15" w:rsidP="00FA0D37">
      <w:pPr>
        <w:pStyle w:val="PL"/>
      </w:pPr>
      <w:r w:rsidRPr="00FA0D37">
        <w:t xml:space="preserve">                        n640-r17                </w:t>
      </w:r>
      <w:r w:rsidRPr="00FA0D37">
        <w:rPr>
          <w:color w:val="993366"/>
        </w:rPr>
        <w:t>INTEGER</w:t>
      </w:r>
      <w:r w:rsidRPr="00FA0D37">
        <w:t xml:space="preserve"> (0..639),</w:t>
      </w:r>
    </w:p>
    <w:p w14:paraId="57E7CDF0" w14:textId="77777777" w:rsidR="00F27D15" w:rsidRPr="00FA0D37" w:rsidRDefault="00F27D15" w:rsidP="00FA0D37">
      <w:pPr>
        <w:pStyle w:val="PL"/>
      </w:pPr>
      <w:r w:rsidRPr="00FA0D37">
        <w:t xml:space="preserve">                        n1280-r17               </w:t>
      </w:r>
      <w:r w:rsidRPr="00FA0D37">
        <w:rPr>
          <w:color w:val="993366"/>
        </w:rPr>
        <w:t>INTEGER</w:t>
      </w:r>
      <w:r w:rsidRPr="00FA0D37">
        <w:t xml:space="preserve"> (0..1279),</w:t>
      </w:r>
    </w:p>
    <w:p w14:paraId="72D4551D" w14:textId="77777777" w:rsidR="00F27D15" w:rsidRPr="00FA0D37" w:rsidRDefault="00F27D15" w:rsidP="00FA0D37">
      <w:pPr>
        <w:pStyle w:val="PL"/>
      </w:pPr>
      <w:r w:rsidRPr="00FA0D37">
        <w:t xml:space="preserve">                        n2560-r17               </w:t>
      </w:r>
      <w:r w:rsidRPr="00FA0D37">
        <w:rPr>
          <w:color w:val="993366"/>
        </w:rPr>
        <w:t>INTEGER</w:t>
      </w:r>
      <w:r w:rsidRPr="00FA0D37">
        <w:t xml:space="preserve"> (0..2559),</w:t>
      </w:r>
    </w:p>
    <w:p w14:paraId="56D22D13" w14:textId="77777777" w:rsidR="00F27D15" w:rsidRPr="00FA0D37" w:rsidRDefault="00F27D15" w:rsidP="00FA0D37">
      <w:pPr>
        <w:pStyle w:val="PL"/>
      </w:pPr>
      <w:r w:rsidRPr="00FA0D37">
        <w:t xml:space="preserve">                        n5120-r17               </w:t>
      </w:r>
      <w:r w:rsidRPr="00FA0D37">
        <w:rPr>
          <w:color w:val="993366"/>
        </w:rPr>
        <w:t>INTEGER</w:t>
      </w:r>
      <w:r w:rsidRPr="00FA0D37">
        <w:t xml:space="preserve"> (0..5119),</w:t>
      </w:r>
    </w:p>
    <w:p w14:paraId="58180F56" w14:textId="77777777" w:rsidR="00F27D15" w:rsidRPr="00FA0D37" w:rsidRDefault="00F27D15" w:rsidP="00FA0D37">
      <w:pPr>
        <w:pStyle w:val="PL"/>
      </w:pPr>
      <w:r w:rsidRPr="00FA0D37">
        <w:t xml:space="preserve">                        n10240-r17              </w:t>
      </w:r>
      <w:r w:rsidRPr="00FA0D37">
        <w:rPr>
          <w:color w:val="993366"/>
        </w:rPr>
        <w:t>INTEGER</w:t>
      </w:r>
      <w:r w:rsidRPr="00FA0D37">
        <w:t xml:space="preserve"> (0..10239),</w:t>
      </w:r>
    </w:p>
    <w:p w14:paraId="2E11437D" w14:textId="77777777" w:rsidR="00F27D15" w:rsidRPr="00FA0D37" w:rsidRDefault="00F27D15" w:rsidP="00FA0D37">
      <w:pPr>
        <w:pStyle w:val="PL"/>
      </w:pPr>
      <w:r w:rsidRPr="00FA0D37">
        <w:t xml:space="preserve">                        n20480-r17              </w:t>
      </w:r>
      <w:r w:rsidRPr="00FA0D37">
        <w:rPr>
          <w:color w:val="993366"/>
        </w:rPr>
        <w:t>INTEGER</w:t>
      </w:r>
      <w:r w:rsidRPr="00FA0D37">
        <w:t xml:space="preserve"> (0..20479),</w:t>
      </w:r>
    </w:p>
    <w:p w14:paraId="6756E5CE" w14:textId="77777777" w:rsidR="00F27D15" w:rsidRPr="00FA0D37" w:rsidRDefault="00F27D15" w:rsidP="00FA0D37">
      <w:pPr>
        <w:pStyle w:val="PL"/>
      </w:pPr>
      <w:r w:rsidRPr="00FA0D37">
        <w:t xml:space="preserve">                        n40960-r17              </w:t>
      </w:r>
      <w:r w:rsidRPr="00FA0D37">
        <w:rPr>
          <w:color w:val="993366"/>
        </w:rPr>
        <w:t>INTEGER</w:t>
      </w:r>
      <w:r w:rsidRPr="00FA0D37">
        <w:t xml:space="preserve"> (0..40959),</w:t>
      </w:r>
    </w:p>
    <w:p w14:paraId="0BBAF00C" w14:textId="77777777" w:rsidR="00F27D15" w:rsidRPr="00FA0D37" w:rsidRDefault="00F27D15" w:rsidP="00FA0D37">
      <w:pPr>
        <w:pStyle w:val="PL"/>
      </w:pPr>
      <w:r w:rsidRPr="00FA0D37">
        <w:t xml:space="preserve">                        n81920-r17              </w:t>
      </w:r>
      <w:r w:rsidRPr="00FA0D37">
        <w:rPr>
          <w:color w:val="993366"/>
        </w:rPr>
        <w:t>INTEGER</w:t>
      </w:r>
      <w:r w:rsidRPr="00FA0D37">
        <w:t xml:space="preserve"> (0..81919),</w:t>
      </w:r>
    </w:p>
    <w:p w14:paraId="1D97B887" w14:textId="77777777" w:rsidR="00F27D15" w:rsidRPr="00FA0D37" w:rsidRDefault="00F27D15" w:rsidP="00FA0D37">
      <w:pPr>
        <w:pStyle w:val="PL"/>
      </w:pPr>
      <w:r w:rsidRPr="00FA0D37">
        <w:t xml:space="preserve">                        ...</w:t>
      </w:r>
    </w:p>
    <w:p w14:paraId="608EE769" w14:textId="77777777" w:rsidR="00F27D15" w:rsidRPr="00FA0D37" w:rsidRDefault="00F27D15" w:rsidP="00FA0D37">
      <w:pPr>
        <w:pStyle w:val="PL"/>
      </w:pPr>
      <w:r w:rsidRPr="00FA0D37">
        <w:t xml:space="preserve">    },</w:t>
      </w:r>
    </w:p>
    <w:p w14:paraId="65509536" w14:textId="77777777" w:rsidR="00F27D15" w:rsidRPr="00FA0D37" w:rsidRDefault="00F27D15" w:rsidP="00FA0D37">
      <w:pPr>
        <w:pStyle w:val="PL"/>
      </w:pPr>
      <w:r w:rsidRPr="00FA0D37">
        <w:t xml:space="preserve">    ...</w:t>
      </w:r>
    </w:p>
    <w:p w14:paraId="5F79324D" w14:textId="77777777" w:rsidR="00F27D15" w:rsidRPr="00FA0D37" w:rsidRDefault="00F27D15" w:rsidP="00FA0D37">
      <w:pPr>
        <w:pStyle w:val="PL"/>
      </w:pPr>
      <w:r w:rsidRPr="00FA0D37">
        <w:t>}</w:t>
      </w:r>
    </w:p>
    <w:p w14:paraId="478B8D36" w14:textId="77777777" w:rsidR="00F27D15" w:rsidRPr="00FA0D37" w:rsidRDefault="00F27D15" w:rsidP="00FA0D37">
      <w:pPr>
        <w:pStyle w:val="PL"/>
      </w:pPr>
    </w:p>
    <w:p w14:paraId="4FB53745" w14:textId="77777777" w:rsidR="00F27D15" w:rsidRPr="00FA0D37" w:rsidRDefault="00F27D15" w:rsidP="00FA0D37">
      <w:pPr>
        <w:pStyle w:val="PL"/>
      </w:pPr>
      <w:r w:rsidRPr="00FA0D37">
        <w:t xml:space="preserve">NR-DL-PRS-Resource-r17 ::= </w:t>
      </w:r>
      <w:r w:rsidRPr="00FA0D37">
        <w:rPr>
          <w:color w:val="993366"/>
        </w:rPr>
        <w:t>SEQUENCE</w:t>
      </w:r>
      <w:r w:rsidRPr="00FA0D37">
        <w:t xml:space="preserve"> {</w:t>
      </w:r>
    </w:p>
    <w:p w14:paraId="7616260F" w14:textId="77777777" w:rsidR="00F27D15" w:rsidRPr="00FA0D37" w:rsidRDefault="00F27D15" w:rsidP="00FA0D37">
      <w:pPr>
        <w:pStyle w:val="PL"/>
      </w:pPr>
      <w:r w:rsidRPr="00FA0D37">
        <w:t xml:space="preserve">    nr-DL-PRS-ResourceID-r17            NR-DL-PRS-ResourceID-r17,</w:t>
      </w:r>
    </w:p>
    <w:p w14:paraId="4ABEFF0A" w14:textId="77777777" w:rsidR="00F27D15" w:rsidRPr="00FA0D37" w:rsidRDefault="00F27D15" w:rsidP="00FA0D37">
      <w:pPr>
        <w:pStyle w:val="PL"/>
      </w:pPr>
      <w:r w:rsidRPr="00FA0D37">
        <w:t xml:space="preserve">    dl-PRS-SequenceID-r17               </w:t>
      </w:r>
      <w:r w:rsidRPr="00FA0D37">
        <w:rPr>
          <w:color w:val="993366"/>
        </w:rPr>
        <w:t>INTEGER</w:t>
      </w:r>
      <w:r w:rsidRPr="00FA0D37">
        <w:t xml:space="preserve"> (0..4095),</w:t>
      </w:r>
    </w:p>
    <w:p w14:paraId="1C4B0A90" w14:textId="77777777" w:rsidR="00F27D15" w:rsidRPr="00FA0D37" w:rsidRDefault="00F27D15" w:rsidP="00FA0D37">
      <w:pPr>
        <w:pStyle w:val="PL"/>
      </w:pPr>
      <w:r w:rsidRPr="00FA0D37">
        <w:t xml:space="preserve">    dl-PRS-CombSizeN-AndReOffset-r17    </w:t>
      </w:r>
      <w:r w:rsidRPr="00FA0D37">
        <w:rPr>
          <w:color w:val="993366"/>
        </w:rPr>
        <w:t>CHOICE</w:t>
      </w:r>
      <w:r w:rsidRPr="00FA0D37">
        <w:t xml:space="preserve"> {</w:t>
      </w:r>
    </w:p>
    <w:p w14:paraId="05E0E752" w14:textId="77777777" w:rsidR="00F27D15" w:rsidRPr="00FA0D37" w:rsidRDefault="00F27D15" w:rsidP="00FA0D37">
      <w:pPr>
        <w:pStyle w:val="PL"/>
      </w:pPr>
      <w:r w:rsidRPr="00FA0D37">
        <w:t xml:space="preserve">            n2-r17                          </w:t>
      </w:r>
      <w:r w:rsidRPr="00FA0D37">
        <w:rPr>
          <w:color w:val="993366"/>
        </w:rPr>
        <w:t>INTEGER</w:t>
      </w:r>
      <w:r w:rsidRPr="00FA0D37">
        <w:t xml:space="preserve"> (0..1),</w:t>
      </w:r>
    </w:p>
    <w:p w14:paraId="2016E053" w14:textId="77777777" w:rsidR="00F27D15" w:rsidRPr="00FA0D37" w:rsidRDefault="00F27D15" w:rsidP="00FA0D37">
      <w:pPr>
        <w:pStyle w:val="PL"/>
      </w:pPr>
      <w:r w:rsidRPr="00FA0D37">
        <w:t xml:space="preserve">            n4-r17                          </w:t>
      </w:r>
      <w:r w:rsidRPr="00FA0D37">
        <w:rPr>
          <w:color w:val="993366"/>
        </w:rPr>
        <w:t>INTEGER</w:t>
      </w:r>
      <w:r w:rsidRPr="00FA0D37">
        <w:t xml:space="preserve"> (0..3),</w:t>
      </w:r>
    </w:p>
    <w:p w14:paraId="28A89816" w14:textId="77777777" w:rsidR="00F27D15" w:rsidRPr="00FA0D37" w:rsidRDefault="00F27D15" w:rsidP="00FA0D37">
      <w:pPr>
        <w:pStyle w:val="PL"/>
      </w:pPr>
      <w:r w:rsidRPr="00FA0D37">
        <w:t xml:space="preserve">            n6-r17                          </w:t>
      </w:r>
      <w:r w:rsidRPr="00FA0D37">
        <w:rPr>
          <w:color w:val="993366"/>
        </w:rPr>
        <w:t>INTEGER</w:t>
      </w:r>
      <w:r w:rsidRPr="00FA0D37">
        <w:t xml:space="preserve"> (0..5),</w:t>
      </w:r>
    </w:p>
    <w:p w14:paraId="66DF45DA" w14:textId="77777777" w:rsidR="00F27D15" w:rsidRPr="00FA0D37" w:rsidRDefault="00F27D15" w:rsidP="00FA0D37">
      <w:pPr>
        <w:pStyle w:val="PL"/>
      </w:pPr>
      <w:r w:rsidRPr="00FA0D37">
        <w:t xml:space="preserve">            n12-r17                         </w:t>
      </w:r>
      <w:r w:rsidRPr="00FA0D37">
        <w:rPr>
          <w:color w:val="993366"/>
        </w:rPr>
        <w:t>INTEGER</w:t>
      </w:r>
      <w:r w:rsidRPr="00FA0D37">
        <w:t xml:space="preserve"> (0..11),</w:t>
      </w:r>
    </w:p>
    <w:p w14:paraId="1E87AF70" w14:textId="77777777" w:rsidR="00F27D15" w:rsidRPr="00FA0D37" w:rsidRDefault="00F27D15" w:rsidP="00FA0D37">
      <w:pPr>
        <w:pStyle w:val="PL"/>
      </w:pPr>
      <w:r w:rsidRPr="00FA0D37">
        <w:t xml:space="preserve">            ...</w:t>
      </w:r>
    </w:p>
    <w:p w14:paraId="56621D19" w14:textId="77777777" w:rsidR="00F27D15" w:rsidRPr="00FA0D37" w:rsidRDefault="00F27D15" w:rsidP="00FA0D37">
      <w:pPr>
        <w:pStyle w:val="PL"/>
      </w:pPr>
      <w:r w:rsidRPr="00FA0D37">
        <w:t xml:space="preserve">    },</w:t>
      </w:r>
    </w:p>
    <w:p w14:paraId="0D0337E1" w14:textId="77777777" w:rsidR="00F27D15" w:rsidRPr="00FA0D37" w:rsidRDefault="00F27D15" w:rsidP="00FA0D37">
      <w:pPr>
        <w:pStyle w:val="PL"/>
      </w:pPr>
      <w:r w:rsidRPr="00FA0D37">
        <w:t xml:space="preserve">    dl-PRS-ResourceSlotOffset-r17       </w:t>
      </w:r>
      <w:r w:rsidRPr="00FA0D37">
        <w:rPr>
          <w:color w:val="993366"/>
        </w:rPr>
        <w:t>INTEGER</w:t>
      </w:r>
      <w:r w:rsidRPr="00FA0D37">
        <w:t xml:space="preserve"> (0..maxNrofPRS-ResourceOffsetValue-1-r17),</w:t>
      </w:r>
    </w:p>
    <w:p w14:paraId="4F836683" w14:textId="77777777" w:rsidR="00F27D15" w:rsidRPr="00FA0D37" w:rsidRDefault="00F27D15" w:rsidP="00FA0D37">
      <w:pPr>
        <w:pStyle w:val="PL"/>
      </w:pPr>
      <w:r w:rsidRPr="00FA0D37">
        <w:t xml:space="preserve">    dl-PRS-ResourceSymbolOffset-r17     </w:t>
      </w:r>
      <w:r w:rsidRPr="00FA0D37">
        <w:rPr>
          <w:color w:val="993366"/>
        </w:rPr>
        <w:t>INTEGER</w:t>
      </w:r>
      <w:r w:rsidRPr="00FA0D37">
        <w:t xml:space="preserve"> (0..12),</w:t>
      </w:r>
    </w:p>
    <w:p w14:paraId="7F009D22" w14:textId="77777777" w:rsidR="00F27D15" w:rsidRPr="00FA0D37" w:rsidRDefault="00F27D15" w:rsidP="00FA0D37">
      <w:pPr>
        <w:pStyle w:val="PL"/>
        <w:rPr>
          <w:color w:val="808080"/>
        </w:rPr>
      </w:pPr>
      <w:r w:rsidRPr="00FA0D37">
        <w:t xml:space="preserve">    dl-PRS-QCL-Info-r17                 DL-PRS-QCL-Info-r17                         </w:t>
      </w:r>
      <w:r w:rsidRPr="00FA0D37">
        <w:rPr>
          <w:color w:val="993366"/>
        </w:rPr>
        <w:t>OPTIONAL</w:t>
      </w:r>
      <w:r w:rsidRPr="00FA0D37">
        <w:t xml:space="preserve">, </w:t>
      </w:r>
      <w:r w:rsidRPr="00FA0D37">
        <w:rPr>
          <w:color w:val="808080"/>
        </w:rPr>
        <w:t>-- Need N</w:t>
      </w:r>
    </w:p>
    <w:p w14:paraId="5599109E" w14:textId="77777777" w:rsidR="00F27D15" w:rsidRPr="00FA0D37" w:rsidRDefault="00F27D15" w:rsidP="00FA0D37">
      <w:pPr>
        <w:pStyle w:val="PL"/>
      </w:pPr>
      <w:r w:rsidRPr="00FA0D37">
        <w:t xml:space="preserve">    ...</w:t>
      </w:r>
    </w:p>
    <w:p w14:paraId="6C1F738F" w14:textId="77777777" w:rsidR="00F27D15" w:rsidRPr="00FA0D37" w:rsidRDefault="00F27D15" w:rsidP="00FA0D37">
      <w:pPr>
        <w:pStyle w:val="PL"/>
      </w:pPr>
      <w:r w:rsidRPr="00FA0D37">
        <w:t>}</w:t>
      </w:r>
    </w:p>
    <w:p w14:paraId="0DA11FF3" w14:textId="77777777" w:rsidR="00F27D15" w:rsidRPr="00FA0D37" w:rsidRDefault="00F27D15" w:rsidP="00FA0D37">
      <w:pPr>
        <w:pStyle w:val="PL"/>
      </w:pPr>
    </w:p>
    <w:p w14:paraId="79536F70" w14:textId="77777777" w:rsidR="00F27D15" w:rsidRPr="00FA0D37" w:rsidRDefault="00F27D15" w:rsidP="00FA0D37">
      <w:pPr>
        <w:pStyle w:val="PL"/>
      </w:pPr>
      <w:r w:rsidRPr="00FA0D37">
        <w:t xml:space="preserve">DL-PRS-QCL-Info-r17 ::= </w:t>
      </w:r>
      <w:r w:rsidRPr="00FA0D37">
        <w:rPr>
          <w:color w:val="993366"/>
        </w:rPr>
        <w:t>CHOICE</w:t>
      </w:r>
      <w:r w:rsidRPr="00FA0D37">
        <w:t xml:space="preserve"> {</w:t>
      </w:r>
    </w:p>
    <w:p w14:paraId="10E70471" w14:textId="77777777" w:rsidR="00F27D15" w:rsidRPr="00FA0D37" w:rsidRDefault="00F27D15" w:rsidP="00FA0D37">
      <w:pPr>
        <w:pStyle w:val="PL"/>
      </w:pPr>
      <w:r w:rsidRPr="00FA0D37">
        <w:t xml:space="preserve">    ssb-r17                     </w:t>
      </w:r>
      <w:r w:rsidRPr="00FA0D37">
        <w:rPr>
          <w:color w:val="993366"/>
        </w:rPr>
        <w:t>SEQUENCE</w:t>
      </w:r>
      <w:r w:rsidRPr="00FA0D37">
        <w:t xml:space="preserve"> {</w:t>
      </w:r>
    </w:p>
    <w:p w14:paraId="29EB0EDB" w14:textId="77777777" w:rsidR="00F27D15" w:rsidRPr="00FA0D37" w:rsidRDefault="00F27D15" w:rsidP="00FA0D37">
      <w:pPr>
        <w:pStyle w:val="PL"/>
      </w:pPr>
      <w:r w:rsidRPr="00FA0D37">
        <w:t xml:space="preserve">        ssb-Index-r17                   </w:t>
      </w:r>
      <w:r w:rsidRPr="00FA0D37">
        <w:rPr>
          <w:color w:val="993366"/>
        </w:rPr>
        <w:t>INTEGER</w:t>
      </w:r>
      <w:r w:rsidRPr="00FA0D37">
        <w:t xml:space="preserve"> (0..63),</w:t>
      </w:r>
    </w:p>
    <w:p w14:paraId="39A5AB5F" w14:textId="48EA10EA" w:rsidR="00F27D15" w:rsidRPr="00FA0D37" w:rsidRDefault="00F27D15" w:rsidP="00FA0D37">
      <w:pPr>
        <w:pStyle w:val="PL"/>
      </w:pPr>
      <w:r w:rsidRPr="00FA0D37">
        <w:t xml:space="preserve">        rs-Type-r17                     </w:t>
      </w:r>
      <w:r w:rsidRPr="00FA0D37">
        <w:rPr>
          <w:color w:val="993366"/>
        </w:rPr>
        <w:t>ENUMERATED</w:t>
      </w:r>
      <w:r w:rsidRPr="00FA0D37">
        <w:t xml:space="preserve"> {typeC, typeD, typeC-plus-typeD}</w:t>
      </w:r>
      <w:r w:rsidR="000056EE" w:rsidRPr="00FA0D37">
        <w:t>,</w:t>
      </w:r>
    </w:p>
    <w:p w14:paraId="69840D20" w14:textId="77777777" w:rsidR="000056EE" w:rsidRPr="00FA0D37" w:rsidRDefault="000056EE" w:rsidP="00FA0D37">
      <w:pPr>
        <w:pStyle w:val="PL"/>
      </w:pPr>
      <w:r w:rsidRPr="00FA0D37">
        <w:lastRenderedPageBreak/>
        <w:t xml:space="preserve">        ...</w:t>
      </w:r>
    </w:p>
    <w:p w14:paraId="23AC1DC0" w14:textId="77777777" w:rsidR="00F27D15" w:rsidRPr="00FA0D37" w:rsidRDefault="00F27D15" w:rsidP="00FA0D37">
      <w:pPr>
        <w:pStyle w:val="PL"/>
      </w:pPr>
      <w:r w:rsidRPr="00FA0D37">
        <w:t xml:space="preserve">    },</w:t>
      </w:r>
    </w:p>
    <w:p w14:paraId="1CFE181B" w14:textId="77777777" w:rsidR="00F27D15" w:rsidRPr="00FA0D37" w:rsidRDefault="00F27D15" w:rsidP="00FA0D37">
      <w:pPr>
        <w:pStyle w:val="PL"/>
      </w:pPr>
      <w:r w:rsidRPr="00FA0D37">
        <w:t xml:space="preserve">    dl-PRS-r17                  </w:t>
      </w:r>
      <w:r w:rsidRPr="00FA0D37">
        <w:rPr>
          <w:color w:val="993366"/>
        </w:rPr>
        <w:t>SEQUENCE</w:t>
      </w:r>
      <w:r w:rsidRPr="00FA0D37">
        <w:t xml:space="preserve"> {</w:t>
      </w:r>
    </w:p>
    <w:p w14:paraId="5AEF96FA" w14:textId="77777777" w:rsidR="00F27D15" w:rsidRPr="00FA0D37" w:rsidRDefault="00F27D15" w:rsidP="00FA0D37">
      <w:pPr>
        <w:pStyle w:val="PL"/>
      </w:pPr>
      <w:r w:rsidRPr="00FA0D37">
        <w:t xml:space="preserve">        qcl-DL-PRS-ResourceID-r17       NR-DL-PRS-ResourceID-r17,</w:t>
      </w:r>
    </w:p>
    <w:p w14:paraId="347FE67D" w14:textId="77777777" w:rsidR="00F27D15" w:rsidRPr="00FA0D37" w:rsidRDefault="00F27D15" w:rsidP="00FA0D37">
      <w:pPr>
        <w:pStyle w:val="PL"/>
      </w:pPr>
      <w:r w:rsidRPr="00FA0D37">
        <w:t xml:space="preserve">        ...</w:t>
      </w:r>
    </w:p>
    <w:p w14:paraId="29BA11F1" w14:textId="77777777" w:rsidR="00F27D15" w:rsidRPr="00FA0D37" w:rsidRDefault="00F27D15" w:rsidP="00FA0D37">
      <w:pPr>
        <w:pStyle w:val="PL"/>
      </w:pPr>
      <w:r w:rsidRPr="00FA0D37">
        <w:t xml:space="preserve">    },</w:t>
      </w:r>
    </w:p>
    <w:p w14:paraId="624F1DCB" w14:textId="77777777" w:rsidR="00F27D15" w:rsidRPr="00FA0D37" w:rsidRDefault="00F27D15" w:rsidP="00FA0D37">
      <w:pPr>
        <w:pStyle w:val="PL"/>
      </w:pPr>
      <w:r w:rsidRPr="00FA0D37">
        <w:t xml:space="preserve">    ...</w:t>
      </w:r>
    </w:p>
    <w:p w14:paraId="1036ED62" w14:textId="77777777" w:rsidR="00F27D15" w:rsidRPr="00FA0D37" w:rsidRDefault="00F27D15" w:rsidP="00FA0D37">
      <w:pPr>
        <w:pStyle w:val="PL"/>
      </w:pPr>
      <w:r w:rsidRPr="00FA0D37">
        <w:t>}</w:t>
      </w:r>
    </w:p>
    <w:p w14:paraId="263D8D03" w14:textId="77777777" w:rsidR="00F27D15" w:rsidRPr="00FA0D37" w:rsidRDefault="00F27D15" w:rsidP="00FA0D37">
      <w:pPr>
        <w:pStyle w:val="PL"/>
      </w:pPr>
    </w:p>
    <w:p w14:paraId="22577FB6" w14:textId="77777777" w:rsidR="00F27D15" w:rsidRPr="00FA0D37" w:rsidRDefault="00F27D15" w:rsidP="00FA0D37">
      <w:pPr>
        <w:pStyle w:val="PL"/>
      </w:pPr>
      <w:r w:rsidRPr="00FA0D37">
        <w:t xml:space="preserve">NR-DL-PRS-ResourceID-r17 ::= </w:t>
      </w:r>
      <w:r w:rsidRPr="00FA0D37">
        <w:rPr>
          <w:color w:val="993366"/>
        </w:rPr>
        <w:t>INTEGER</w:t>
      </w:r>
      <w:r w:rsidRPr="00FA0D37">
        <w:t xml:space="preserve"> (0..maxNrofPRS-ResourcesPerSet-1-r17)</w:t>
      </w:r>
    </w:p>
    <w:p w14:paraId="11CB37DF" w14:textId="5F1FF32D" w:rsidR="00F27D15" w:rsidRPr="00FA0D37" w:rsidRDefault="00F27D15" w:rsidP="00FA0D37">
      <w:pPr>
        <w:pStyle w:val="PL"/>
      </w:pPr>
    </w:p>
    <w:p w14:paraId="1709889F" w14:textId="77777777" w:rsidR="005B0782" w:rsidRPr="00FA0D37" w:rsidRDefault="005B0782" w:rsidP="00FA0D37">
      <w:pPr>
        <w:pStyle w:val="PL"/>
      </w:pPr>
      <w:r w:rsidRPr="00FA0D37">
        <w:t xml:space="preserve">RepFactorAndTimeGap-r17 ::=  </w:t>
      </w:r>
      <w:r w:rsidRPr="00FA0D37">
        <w:rPr>
          <w:color w:val="993366"/>
        </w:rPr>
        <w:t>SEQUENCE</w:t>
      </w:r>
      <w:r w:rsidRPr="00FA0D37">
        <w:t xml:space="preserve"> {</w:t>
      </w:r>
    </w:p>
    <w:p w14:paraId="63CB0231" w14:textId="77777777" w:rsidR="005B0782" w:rsidRPr="00FA0D37" w:rsidRDefault="005B0782" w:rsidP="00FA0D37">
      <w:pPr>
        <w:pStyle w:val="PL"/>
      </w:pPr>
      <w:r w:rsidRPr="00FA0D37">
        <w:t xml:space="preserve">    repetitionFactor-r17         </w:t>
      </w:r>
      <w:r w:rsidRPr="00FA0D37">
        <w:rPr>
          <w:color w:val="993366"/>
        </w:rPr>
        <w:t>ENUMERATED</w:t>
      </w:r>
      <w:r w:rsidRPr="00FA0D37">
        <w:t xml:space="preserve"> {n2, n4, n6, n8, n16, n32, spare2, spare1},</w:t>
      </w:r>
    </w:p>
    <w:p w14:paraId="7E20081C" w14:textId="35C1459E" w:rsidR="005B0782" w:rsidRPr="00FA0D37" w:rsidRDefault="005B0782" w:rsidP="00FA0D37">
      <w:pPr>
        <w:pStyle w:val="PL"/>
      </w:pPr>
      <w:r w:rsidRPr="00FA0D37">
        <w:t xml:space="preserve">    timeGap-r17                  </w:t>
      </w:r>
      <w:r w:rsidRPr="00FA0D37">
        <w:rPr>
          <w:color w:val="993366"/>
        </w:rPr>
        <w:t>ENUMERATED</w:t>
      </w:r>
      <w:r w:rsidRPr="00FA0D37">
        <w:t xml:space="preserve"> {s1, s2, s4, s8, s16, s32, spare2, spare1}</w:t>
      </w:r>
    </w:p>
    <w:p w14:paraId="2DE4131C" w14:textId="77777777" w:rsidR="005B0782" w:rsidRPr="00FA0D37" w:rsidRDefault="005B0782" w:rsidP="00FA0D37">
      <w:pPr>
        <w:pStyle w:val="PL"/>
      </w:pPr>
      <w:r w:rsidRPr="00FA0D37">
        <w:t>}</w:t>
      </w:r>
    </w:p>
    <w:p w14:paraId="0BBFA5D3" w14:textId="77777777" w:rsidR="005B0782" w:rsidRPr="00FA0D37" w:rsidRDefault="005B0782" w:rsidP="00FA0D37">
      <w:pPr>
        <w:pStyle w:val="PL"/>
      </w:pPr>
    </w:p>
    <w:p w14:paraId="3C2B15D1" w14:textId="77777777" w:rsidR="00F27D15" w:rsidRPr="00FA0D37" w:rsidRDefault="00F27D15" w:rsidP="00FA0D37">
      <w:pPr>
        <w:pStyle w:val="PL"/>
        <w:rPr>
          <w:color w:val="808080"/>
        </w:rPr>
      </w:pPr>
      <w:r w:rsidRPr="00FA0D37">
        <w:rPr>
          <w:color w:val="808080"/>
        </w:rPr>
        <w:t>-- TAG-NR-DL-PRS-PDC-INFO-STOP</w:t>
      </w:r>
    </w:p>
    <w:p w14:paraId="5BF0C86B" w14:textId="77777777" w:rsidR="00F27D15" w:rsidRPr="00FA0D37" w:rsidRDefault="00F27D15" w:rsidP="00FA0D37">
      <w:pPr>
        <w:pStyle w:val="PL"/>
        <w:rPr>
          <w:color w:val="808080"/>
        </w:rPr>
      </w:pPr>
      <w:r w:rsidRPr="00FA0D37">
        <w:rPr>
          <w:color w:val="808080"/>
        </w:rPr>
        <w:t>-- ASN1STOP</w:t>
      </w:r>
    </w:p>
    <w:p w14:paraId="3F459460" w14:textId="77777777" w:rsidR="00F27D15" w:rsidRPr="00FA0D37"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FA0D37" w:rsidRDefault="00F27D15" w:rsidP="00771058">
            <w:pPr>
              <w:pStyle w:val="TAH"/>
              <w:rPr>
                <w:szCs w:val="22"/>
                <w:lang w:eastAsia="sv-SE"/>
              </w:rPr>
            </w:pPr>
            <w:r w:rsidRPr="00FA0D37">
              <w:rPr>
                <w:i/>
              </w:rPr>
              <w:t>NR-DL-PRS-PDC-ResourceSet</w:t>
            </w:r>
            <w:r w:rsidRPr="00FA0D37">
              <w:rPr>
                <w:i/>
                <w:szCs w:val="22"/>
                <w:lang w:eastAsia="sv-SE"/>
              </w:rPr>
              <w:t xml:space="preserve"> </w:t>
            </w:r>
            <w:r w:rsidRPr="00FA0D37">
              <w:rPr>
                <w:szCs w:val="22"/>
                <w:lang w:eastAsia="sv-SE"/>
              </w:rPr>
              <w:t>field descriptions</w:t>
            </w:r>
          </w:p>
        </w:tc>
      </w:tr>
      <w:tr w:rsidR="005C7FF4" w:rsidRPr="00FA0D37"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FA0D37" w:rsidRDefault="00F27D15" w:rsidP="00771058">
            <w:pPr>
              <w:pStyle w:val="TAL"/>
              <w:rPr>
                <w:b/>
                <w:i/>
                <w:szCs w:val="22"/>
                <w:lang w:eastAsia="sv-SE"/>
              </w:rPr>
            </w:pPr>
            <w:r w:rsidRPr="00FA0D37">
              <w:rPr>
                <w:b/>
                <w:i/>
                <w:szCs w:val="22"/>
                <w:lang w:eastAsia="sv-SE"/>
              </w:rPr>
              <w:t>dl-PRS-ResourceBandwidth</w:t>
            </w:r>
          </w:p>
          <w:p w14:paraId="5BBC0DB3" w14:textId="77777777" w:rsidR="00F27D15" w:rsidRPr="00FA0D37" w:rsidRDefault="00F27D15" w:rsidP="00771058">
            <w:pPr>
              <w:pStyle w:val="TAL"/>
              <w:rPr>
                <w:i/>
              </w:rPr>
            </w:pPr>
            <w:r w:rsidRPr="00FA0D37">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5C7FF4" w:rsidRPr="00FA0D37"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FA0D37" w:rsidRDefault="00F27D15" w:rsidP="00771058">
            <w:pPr>
              <w:pStyle w:val="TAL"/>
              <w:tabs>
                <w:tab w:val="left" w:pos="4090"/>
              </w:tabs>
              <w:rPr>
                <w:b/>
                <w:i/>
              </w:rPr>
            </w:pPr>
            <w:r w:rsidRPr="00FA0D37">
              <w:rPr>
                <w:b/>
                <w:i/>
              </w:rPr>
              <w:t>dl-PRS-StartPRB</w:t>
            </w:r>
          </w:p>
          <w:p w14:paraId="532D443F" w14:textId="77777777" w:rsidR="00F27D15" w:rsidRPr="00FA0D37" w:rsidRDefault="00F27D15" w:rsidP="00771058">
            <w:pPr>
              <w:pStyle w:val="TAL"/>
              <w:rPr>
                <w:b/>
                <w:i/>
                <w:szCs w:val="22"/>
                <w:lang w:eastAsia="sv-SE"/>
              </w:rPr>
            </w:pPr>
            <w:r w:rsidRPr="00FA0D37">
              <w:rPr>
                <w:bCs/>
                <w:iCs/>
              </w:rPr>
              <w:t>This field specifies the start PRB index defined as offset with respect to</w:t>
            </w:r>
            <w:r w:rsidRPr="00FA0D37">
              <w:t xml:space="preserve"> </w:t>
            </w:r>
            <w:r w:rsidRPr="00FA0D37">
              <w:rPr>
                <w:bCs/>
                <w:iCs/>
              </w:rPr>
              <w:t>subcarrier 0 in common resource block 0 for the DL-PRS Resource. All DL-PRS Resources of the DL-PRS-PDC Resource Set have the same value of dl-PRS-StartPRB.</w:t>
            </w:r>
          </w:p>
        </w:tc>
      </w:tr>
      <w:tr w:rsidR="005C7FF4" w:rsidRPr="00FA0D37"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FA0D37" w:rsidRDefault="00F27D15" w:rsidP="00771058">
            <w:pPr>
              <w:pStyle w:val="TAL"/>
              <w:rPr>
                <w:szCs w:val="22"/>
                <w:lang w:eastAsia="sv-SE"/>
              </w:rPr>
            </w:pPr>
            <w:r w:rsidRPr="00FA0D37">
              <w:rPr>
                <w:b/>
                <w:i/>
                <w:szCs w:val="22"/>
                <w:lang w:eastAsia="sv-SE"/>
              </w:rPr>
              <w:t>numSymbols</w:t>
            </w:r>
          </w:p>
          <w:p w14:paraId="51A49213" w14:textId="77777777" w:rsidR="00F27D15" w:rsidRPr="00FA0D37" w:rsidRDefault="00F27D15" w:rsidP="00771058">
            <w:pPr>
              <w:pStyle w:val="TAL"/>
              <w:rPr>
                <w:szCs w:val="22"/>
                <w:lang w:eastAsia="sv-SE"/>
              </w:rPr>
            </w:pPr>
            <w:r w:rsidRPr="00FA0D37">
              <w:rPr>
                <w:szCs w:val="22"/>
                <w:lang w:eastAsia="sv-SE"/>
              </w:rPr>
              <w:t>This field specifies the number of symbols per DL-PRS Resource within a slot.</w:t>
            </w:r>
          </w:p>
        </w:tc>
      </w:tr>
      <w:tr w:rsidR="005C7FF4" w:rsidRPr="00FA0D37"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FA0D37" w:rsidRDefault="00F27D15" w:rsidP="00771058">
            <w:pPr>
              <w:pStyle w:val="TAL"/>
              <w:rPr>
                <w:szCs w:val="22"/>
                <w:lang w:eastAsia="sv-SE"/>
              </w:rPr>
            </w:pPr>
            <w:r w:rsidRPr="00FA0D37">
              <w:rPr>
                <w:b/>
                <w:i/>
                <w:szCs w:val="22"/>
                <w:lang w:eastAsia="sv-SE"/>
              </w:rPr>
              <w:t>periodicityAndOffset</w:t>
            </w:r>
          </w:p>
          <w:p w14:paraId="1C7B9ECB" w14:textId="77777777" w:rsidR="00F27D15" w:rsidRPr="00FA0D37" w:rsidRDefault="00F27D15" w:rsidP="00771058">
            <w:pPr>
              <w:pStyle w:val="TAL"/>
              <w:rPr>
                <w:b/>
                <w:i/>
                <w:szCs w:val="22"/>
                <w:lang w:eastAsia="sv-SE"/>
              </w:rPr>
            </w:pPr>
            <w:r w:rsidRPr="00FA0D37">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FA0D37"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FA0D37" w:rsidRDefault="005B0782" w:rsidP="005B0782">
            <w:pPr>
              <w:pStyle w:val="TAL"/>
              <w:rPr>
                <w:b/>
                <w:i/>
                <w:szCs w:val="22"/>
                <w:lang w:eastAsia="sv-SE"/>
              </w:rPr>
            </w:pPr>
            <w:r w:rsidRPr="00FA0D37">
              <w:rPr>
                <w:b/>
                <w:i/>
                <w:szCs w:val="22"/>
                <w:lang w:eastAsia="sv-SE"/>
              </w:rPr>
              <w:t>repFactorAndTimeGap</w:t>
            </w:r>
          </w:p>
          <w:p w14:paraId="1F4F6991" w14:textId="3001D973" w:rsidR="005B0782" w:rsidRPr="00FA0D37" w:rsidRDefault="005B0782" w:rsidP="005B0782">
            <w:pPr>
              <w:pStyle w:val="TAL"/>
              <w:rPr>
                <w:b/>
                <w:i/>
                <w:szCs w:val="22"/>
                <w:lang w:eastAsia="sv-SE"/>
              </w:rPr>
            </w:pPr>
            <w:r w:rsidRPr="00FA0D37">
              <w:rPr>
                <w:bCs/>
                <w:iCs/>
                <w:szCs w:val="22"/>
                <w:lang w:eastAsia="sv-SE"/>
              </w:rPr>
              <w:t>If this field is absent, the value for r</w:t>
            </w:r>
            <w:r w:rsidRPr="00FA0D37">
              <w:rPr>
                <w:bCs/>
                <w:i/>
                <w:szCs w:val="22"/>
                <w:lang w:eastAsia="sv-SE"/>
              </w:rPr>
              <w:t>epetitionFactor</w:t>
            </w:r>
            <w:r w:rsidRPr="00FA0D37">
              <w:rPr>
                <w:bCs/>
                <w:iCs/>
                <w:szCs w:val="22"/>
                <w:lang w:eastAsia="sv-SE"/>
              </w:rPr>
              <w:t xml:space="preserve"> is 1 (i.e., no resource repetition).</w:t>
            </w:r>
          </w:p>
        </w:tc>
      </w:tr>
    </w:tbl>
    <w:p w14:paraId="147EDEB0" w14:textId="77777777" w:rsidR="005B0782" w:rsidRPr="00FA0D37"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5C7FF4" w:rsidRPr="00FA0D37"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FA0D37" w:rsidRDefault="005B0782" w:rsidP="0071565C">
            <w:pPr>
              <w:pStyle w:val="TAH"/>
              <w:rPr>
                <w:szCs w:val="22"/>
                <w:lang w:eastAsia="sv-SE"/>
              </w:rPr>
            </w:pPr>
            <w:r w:rsidRPr="00FA0D37">
              <w:rPr>
                <w:i/>
              </w:rPr>
              <w:lastRenderedPageBreak/>
              <w:t xml:space="preserve">RepFactorAndTimeGap </w:t>
            </w:r>
            <w:r w:rsidRPr="00FA0D37">
              <w:rPr>
                <w:szCs w:val="22"/>
                <w:lang w:eastAsia="sv-SE"/>
              </w:rPr>
              <w:t>field descriptions</w:t>
            </w:r>
          </w:p>
        </w:tc>
      </w:tr>
      <w:tr w:rsidR="005C7FF4" w:rsidRPr="00FA0D37"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FA0D37" w:rsidRDefault="005B0782" w:rsidP="0071565C">
            <w:pPr>
              <w:pStyle w:val="TAL"/>
              <w:rPr>
                <w:b/>
                <w:i/>
                <w:szCs w:val="22"/>
                <w:lang w:eastAsia="sv-SE"/>
              </w:rPr>
            </w:pPr>
            <w:r w:rsidRPr="00FA0D37">
              <w:rPr>
                <w:b/>
                <w:i/>
                <w:szCs w:val="22"/>
                <w:lang w:eastAsia="sv-SE"/>
              </w:rPr>
              <w:t>repetitionFactor</w:t>
            </w:r>
          </w:p>
          <w:p w14:paraId="6046E9E5" w14:textId="66421900" w:rsidR="005B0782" w:rsidRPr="00FA0D37" w:rsidRDefault="005B0782" w:rsidP="0071565C">
            <w:pPr>
              <w:pStyle w:val="TAL"/>
              <w:rPr>
                <w:bCs/>
                <w:iCs/>
                <w:szCs w:val="22"/>
                <w:lang w:eastAsia="sv-SE"/>
              </w:rPr>
            </w:pPr>
            <w:r w:rsidRPr="00FA0D37">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F747EB" w:rsidRPr="00FA0D37"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FA0D37" w:rsidRDefault="005B0782" w:rsidP="0071565C">
            <w:pPr>
              <w:pStyle w:val="TAL"/>
              <w:rPr>
                <w:b/>
                <w:i/>
                <w:szCs w:val="22"/>
                <w:lang w:eastAsia="sv-SE"/>
              </w:rPr>
            </w:pPr>
            <w:r w:rsidRPr="00FA0D37">
              <w:rPr>
                <w:b/>
                <w:i/>
                <w:szCs w:val="22"/>
                <w:lang w:eastAsia="sv-SE"/>
              </w:rPr>
              <w:t>timeGap</w:t>
            </w:r>
          </w:p>
          <w:p w14:paraId="7FE1DB61" w14:textId="77777777" w:rsidR="005B0782" w:rsidRPr="00FA0D37" w:rsidRDefault="005B0782" w:rsidP="0071565C">
            <w:pPr>
              <w:pStyle w:val="TAL"/>
              <w:rPr>
                <w:bCs/>
                <w:iCs/>
                <w:szCs w:val="22"/>
                <w:lang w:eastAsia="sv-SE"/>
              </w:rPr>
            </w:pPr>
            <w:r w:rsidRPr="00FA0D37">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FA0D37">
              <w:rPr>
                <w:i/>
                <w:iCs/>
              </w:rPr>
              <w:t>periodicityAndOffset</w:t>
            </w:r>
            <w:r w:rsidRPr="00FA0D37">
              <w:t>.</w:t>
            </w:r>
          </w:p>
        </w:tc>
      </w:tr>
    </w:tbl>
    <w:p w14:paraId="370920C2" w14:textId="77777777" w:rsidR="00F27D15" w:rsidRPr="00FA0D37" w:rsidRDefault="00F27D15" w:rsidP="00394471"/>
    <w:p w14:paraId="6D0EE7E8" w14:textId="77777777" w:rsidR="00394471" w:rsidRPr="00FA0D37" w:rsidRDefault="00394471" w:rsidP="00394471">
      <w:pPr>
        <w:pStyle w:val="4"/>
      </w:pPr>
      <w:bookmarkStart w:id="1152" w:name="_Toc60777285"/>
      <w:bookmarkStart w:id="1153" w:name="_Toc146781357"/>
      <w:r w:rsidRPr="00FA0D37">
        <w:t>–</w:t>
      </w:r>
      <w:r w:rsidRPr="00FA0D37">
        <w:tab/>
      </w:r>
      <w:r w:rsidRPr="00FA0D37">
        <w:rPr>
          <w:i/>
        </w:rPr>
        <w:t>NR-NS-PmaxList</w:t>
      </w:r>
      <w:bookmarkEnd w:id="1152"/>
      <w:bookmarkEnd w:id="1153"/>
    </w:p>
    <w:p w14:paraId="6FE3AAB0" w14:textId="0DF203E4" w:rsidR="00394471" w:rsidRPr="00FA0D37" w:rsidRDefault="00394471" w:rsidP="00394471">
      <w:r w:rsidRPr="00FA0D37">
        <w:t xml:space="preserve">The IE </w:t>
      </w:r>
      <w:r w:rsidRPr="00FA0D37">
        <w:rPr>
          <w:i/>
        </w:rPr>
        <w:t>NR-NS-PmaxList</w:t>
      </w:r>
      <w:r w:rsidRPr="00FA0D37">
        <w:t xml:space="preserve"> is used to configure a list of </w:t>
      </w:r>
      <w:r w:rsidRPr="00FA0D37">
        <w:rPr>
          <w:i/>
        </w:rPr>
        <w:t>additionalPmax</w:t>
      </w:r>
      <w:r w:rsidRPr="00FA0D37">
        <w:t xml:space="preserve"> and </w:t>
      </w:r>
      <w:r w:rsidRPr="00FA0D37">
        <w:rPr>
          <w:i/>
        </w:rPr>
        <w:t>additionalSpectrumEmission</w:t>
      </w:r>
      <w:r w:rsidRPr="00FA0D37">
        <w:t>, as defined in TS 38.101-1 [15], table 6.2.3.1-1A,</w:t>
      </w:r>
      <w:r w:rsidRPr="00FA0D37">
        <w:rPr>
          <w:szCs w:val="22"/>
        </w:rPr>
        <w:t xml:space="preserve"> TS 38.101-2 [39], table 6.2.3.1-2,</w:t>
      </w:r>
      <w:r w:rsidRPr="00FA0D37">
        <w:t xml:space="preserve"> </w:t>
      </w:r>
      <w:r w:rsidR="00862D3D" w:rsidRPr="00FA0D37">
        <w:rPr>
          <w:szCs w:val="22"/>
          <w:lang w:eastAsia="sv-SE"/>
        </w:rPr>
        <w:t>and TS 38.101-5 [75], table 6.2.3.1-1A</w:t>
      </w:r>
      <w:r w:rsidR="00862D3D" w:rsidRPr="00FA0D37">
        <w:t xml:space="preserve"> </w:t>
      </w:r>
      <w:r w:rsidRPr="00FA0D37">
        <w:t>for a given frequency band.</w:t>
      </w:r>
    </w:p>
    <w:p w14:paraId="0C180213" w14:textId="77777777" w:rsidR="00394471" w:rsidRPr="00FA0D37" w:rsidRDefault="00394471" w:rsidP="00394471">
      <w:pPr>
        <w:pStyle w:val="TH"/>
      </w:pPr>
      <w:r w:rsidRPr="00FA0D37">
        <w:rPr>
          <w:i/>
        </w:rPr>
        <w:t>NR-NS-PmaxList</w:t>
      </w:r>
      <w:r w:rsidRPr="00FA0D37">
        <w:t xml:space="preserve"> information element</w:t>
      </w:r>
    </w:p>
    <w:p w14:paraId="1014482E" w14:textId="77777777" w:rsidR="00394471" w:rsidRPr="00FA0D37" w:rsidRDefault="00394471" w:rsidP="00FA0D37">
      <w:pPr>
        <w:pStyle w:val="PL"/>
        <w:rPr>
          <w:color w:val="808080"/>
        </w:rPr>
      </w:pPr>
      <w:r w:rsidRPr="00FA0D37">
        <w:rPr>
          <w:color w:val="808080"/>
        </w:rPr>
        <w:t>-- ASN1START</w:t>
      </w:r>
    </w:p>
    <w:p w14:paraId="7521C5CE" w14:textId="77777777" w:rsidR="00394471" w:rsidRPr="00FA0D37" w:rsidRDefault="00394471" w:rsidP="00FA0D37">
      <w:pPr>
        <w:pStyle w:val="PL"/>
        <w:rPr>
          <w:color w:val="808080"/>
        </w:rPr>
      </w:pPr>
      <w:r w:rsidRPr="00FA0D37">
        <w:rPr>
          <w:color w:val="808080"/>
        </w:rPr>
        <w:t>-- TAG-NR-NS-PMAXLIST-START</w:t>
      </w:r>
    </w:p>
    <w:p w14:paraId="2BAE5969" w14:textId="77777777" w:rsidR="00394471" w:rsidRPr="00FA0D37" w:rsidRDefault="00394471" w:rsidP="00FA0D37">
      <w:pPr>
        <w:pStyle w:val="PL"/>
      </w:pPr>
    </w:p>
    <w:p w14:paraId="5AA8E86F" w14:textId="77777777" w:rsidR="00394471" w:rsidRPr="00FA0D37" w:rsidRDefault="00394471" w:rsidP="00FA0D37">
      <w:pPr>
        <w:pStyle w:val="PL"/>
      </w:pPr>
      <w:r w:rsidRPr="00FA0D37">
        <w:t xml:space="preserve">NR-NS-PmaxList ::=                      </w:t>
      </w:r>
      <w:r w:rsidRPr="00FA0D37">
        <w:rPr>
          <w:color w:val="993366"/>
        </w:rPr>
        <w:t>SEQUENCE</w:t>
      </w:r>
      <w:r w:rsidRPr="00FA0D37">
        <w:t xml:space="preserve"> (</w:t>
      </w:r>
      <w:r w:rsidRPr="00FA0D37">
        <w:rPr>
          <w:color w:val="993366"/>
        </w:rPr>
        <w:t>SIZE</w:t>
      </w:r>
      <w:r w:rsidRPr="00FA0D37">
        <w:t xml:space="preserve"> (1..maxNR-NS-Pmax))</w:t>
      </w:r>
      <w:r w:rsidRPr="00FA0D37">
        <w:rPr>
          <w:color w:val="993366"/>
        </w:rPr>
        <w:t xml:space="preserve"> OF</w:t>
      </w:r>
      <w:r w:rsidRPr="00FA0D37">
        <w:t xml:space="preserve"> NR-NS-PmaxValue</w:t>
      </w:r>
    </w:p>
    <w:p w14:paraId="1CE9DB9E" w14:textId="77777777" w:rsidR="00394471" w:rsidRPr="00FA0D37" w:rsidRDefault="00394471" w:rsidP="00FA0D37">
      <w:pPr>
        <w:pStyle w:val="PL"/>
      </w:pPr>
    </w:p>
    <w:p w14:paraId="529B0873" w14:textId="77777777" w:rsidR="00394471" w:rsidRPr="00FA0D37" w:rsidRDefault="00394471" w:rsidP="00FA0D37">
      <w:pPr>
        <w:pStyle w:val="PL"/>
      </w:pPr>
      <w:r w:rsidRPr="00FA0D37">
        <w:t xml:space="preserve">NR-NS-PmaxValue ::=                     </w:t>
      </w:r>
      <w:r w:rsidRPr="00FA0D37">
        <w:rPr>
          <w:color w:val="993366"/>
        </w:rPr>
        <w:t>SEQUENCE</w:t>
      </w:r>
      <w:r w:rsidRPr="00FA0D37">
        <w:t xml:space="preserve"> {</w:t>
      </w:r>
    </w:p>
    <w:p w14:paraId="20A00BA1" w14:textId="77777777" w:rsidR="00394471" w:rsidRPr="00FA0D37" w:rsidRDefault="00394471" w:rsidP="00FA0D37">
      <w:pPr>
        <w:pStyle w:val="PL"/>
        <w:rPr>
          <w:color w:val="808080"/>
        </w:rPr>
      </w:pPr>
      <w:r w:rsidRPr="00FA0D37">
        <w:t xml:space="preserve">    additionalPmax                          P-Max                               </w:t>
      </w:r>
      <w:r w:rsidRPr="00FA0D37">
        <w:rPr>
          <w:color w:val="993366"/>
        </w:rPr>
        <w:t>OPTIONAL</w:t>
      </w:r>
      <w:r w:rsidRPr="00FA0D37">
        <w:t xml:space="preserve">,   </w:t>
      </w:r>
      <w:r w:rsidRPr="00FA0D37">
        <w:rPr>
          <w:color w:val="808080"/>
        </w:rPr>
        <w:t>-- Need N</w:t>
      </w:r>
    </w:p>
    <w:p w14:paraId="36EAEFE3" w14:textId="77777777" w:rsidR="00394471" w:rsidRPr="00FA0D37" w:rsidRDefault="00394471" w:rsidP="00FA0D37">
      <w:pPr>
        <w:pStyle w:val="PL"/>
      </w:pPr>
      <w:r w:rsidRPr="00FA0D37">
        <w:t xml:space="preserve">    additionalSpectrumEmission              AdditionalSpectrumEmission</w:t>
      </w:r>
    </w:p>
    <w:p w14:paraId="6E01AD7B" w14:textId="77777777" w:rsidR="00394471" w:rsidRPr="00FA0D37" w:rsidRDefault="00394471" w:rsidP="00FA0D37">
      <w:pPr>
        <w:pStyle w:val="PL"/>
      </w:pPr>
      <w:r w:rsidRPr="00FA0D37">
        <w:t>}</w:t>
      </w:r>
    </w:p>
    <w:p w14:paraId="47318F4C" w14:textId="77777777" w:rsidR="00BD4216" w:rsidRPr="00FA0D37" w:rsidRDefault="00BD4216" w:rsidP="00FA0D37">
      <w:pPr>
        <w:pStyle w:val="PL"/>
      </w:pPr>
    </w:p>
    <w:p w14:paraId="53532249" w14:textId="4F58E168" w:rsidR="00BD4216" w:rsidRPr="00FA0D37" w:rsidRDefault="00BD4216" w:rsidP="00FA0D37">
      <w:pPr>
        <w:pStyle w:val="PL"/>
      </w:pPr>
      <w:r w:rsidRPr="00FA0D37">
        <w:t xml:space="preserve">NR-NS-PmaxList-v1760 ::=                </w:t>
      </w:r>
      <w:r w:rsidRPr="00FA0D37">
        <w:rPr>
          <w:color w:val="993366"/>
        </w:rPr>
        <w:t>SEQUENCE</w:t>
      </w:r>
      <w:r w:rsidRPr="00FA0D37">
        <w:t xml:space="preserve"> (</w:t>
      </w:r>
      <w:r w:rsidRPr="00FA0D37">
        <w:rPr>
          <w:color w:val="993366"/>
        </w:rPr>
        <w:t>SIZE</w:t>
      </w:r>
      <w:r w:rsidRPr="00FA0D37">
        <w:t xml:space="preserve"> (1.. maxNR-NS-Pmax))</w:t>
      </w:r>
      <w:r w:rsidRPr="00FA0D37">
        <w:rPr>
          <w:color w:val="993366"/>
        </w:rPr>
        <w:t xml:space="preserve"> OF</w:t>
      </w:r>
      <w:r w:rsidRPr="00FA0D37">
        <w:t xml:space="preserve"> NR-NS-PmaxValue-v1760</w:t>
      </w:r>
    </w:p>
    <w:p w14:paraId="375735E5" w14:textId="77777777" w:rsidR="00BD4216" w:rsidRPr="00FA0D37" w:rsidRDefault="00BD4216" w:rsidP="00FA0D37">
      <w:pPr>
        <w:pStyle w:val="PL"/>
      </w:pPr>
    </w:p>
    <w:p w14:paraId="27BB50D5" w14:textId="164275B2" w:rsidR="00BD4216" w:rsidRPr="00FA0D37" w:rsidRDefault="00BD4216" w:rsidP="00FA0D37">
      <w:pPr>
        <w:pStyle w:val="PL"/>
      </w:pPr>
      <w:r w:rsidRPr="00FA0D37">
        <w:t xml:space="preserve">NR-NS-PmaxValue-v1760 ::=               </w:t>
      </w:r>
      <w:r w:rsidRPr="00FA0D37">
        <w:rPr>
          <w:color w:val="993366"/>
        </w:rPr>
        <w:t>SEQUENCE</w:t>
      </w:r>
      <w:r w:rsidRPr="00FA0D37">
        <w:t xml:space="preserve"> {</w:t>
      </w:r>
    </w:p>
    <w:p w14:paraId="5818CF86" w14:textId="1E13F7AC" w:rsidR="00BD4216" w:rsidRPr="00FA0D37" w:rsidRDefault="00BD4216" w:rsidP="00FA0D37">
      <w:pPr>
        <w:pStyle w:val="PL"/>
        <w:rPr>
          <w:color w:val="808080"/>
        </w:rPr>
      </w:pPr>
      <w:r w:rsidRPr="00FA0D37">
        <w:t xml:space="preserve">    additionalSpectrumEmission-v1760        AdditionalSpectrumEmission-v1760    </w:t>
      </w:r>
      <w:r w:rsidRPr="00FA0D37">
        <w:rPr>
          <w:color w:val="993366"/>
        </w:rPr>
        <w:t>OPTIONAL</w:t>
      </w:r>
      <w:r w:rsidRPr="00FA0D37">
        <w:t xml:space="preserve">   </w:t>
      </w:r>
      <w:r w:rsidRPr="00FA0D37">
        <w:rPr>
          <w:color w:val="808080"/>
        </w:rPr>
        <w:t>-- Need N</w:t>
      </w:r>
    </w:p>
    <w:p w14:paraId="5B287798" w14:textId="4ADE20D8" w:rsidR="00BD4216" w:rsidRPr="00FA0D37" w:rsidRDefault="00BD4216" w:rsidP="00FA0D37">
      <w:pPr>
        <w:pStyle w:val="PL"/>
      </w:pPr>
      <w:r w:rsidRPr="00FA0D37">
        <w:t>}</w:t>
      </w:r>
    </w:p>
    <w:p w14:paraId="091E9CD9" w14:textId="77777777" w:rsidR="00BD4216" w:rsidRPr="00FA0D37" w:rsidRDefault="00BD4216" w:rsidP="00FA0D37">
      <w:pPr>
        <w:pStyle w:val="PL"/>
      </w:pPr>
    </w:p>
    <w:p w14:paraId="4C3A40C4" w14:textId="77777777" w:rsidR="00394471" w:rsidRPr="00FA0D37" w:rsidRDefault="00394471" w:rsidP="00FA0D37">
      <w:pPr>
        <w:pStyle w:val="PL"/>
        <w:rPr>
          <w:color w:val="808080"/>
        </w:rPr>
      </w:pPr>
      <w:r w:rsidRPr="00FA0D37">
        <w:rPr>
          <w:color w:val="808080"/>
        </w:rPr>
        <w:t>-- TAG-NR-NS-PMAXLIST-STOP</w:t>
      </w:r>
    </w:p>
    <w:p w14:paraId="71D387A7" w14:textId="77777777" w:rsidR="00394471" w:rsidRPr="00FA0D37" w:rsidRDefault="00394471" w:rsidP="00FA0D37">
      <w:pPr>
        <w:pStyle w:val="PL"/>
        <w:rPr>
          <w:color w:val="808080"/>
        </w:rPr>
      </w:pPr>
      <w:r w:rsidRPr="00FA0D37">
        <w:rPr>
          <w:color w:val="808080"/>
        </w:rPr>
        <w:t>-- ASN1STOP</w:t>
      </w:r>
    </w:p>
    <w:p w14:paraId="13DD268A" w14:textId="005FDAD6" w:rsidR="008E5FFC" w:rsidRPr="00FA0D37" w:rsidRDefault="008E5FFC" w:rsidP="008E5FFC"/>
    <w:p w14:paraId="7DA0D3F1" w14:textId="77777777" w:rsidR="007D3EDC" w:rsidRPr="00FA0D37" w:rsidRDefault="007D3EDC" w:rsidP="007D3EDC">
      <w:pPr>
        <w:pStyle w:val="4"/>
      </w:pPr>
      <w:bookmarkStart w:id="1154" w:name="_Toc146781358"/>
      <w:r w:rsidRPr="00FA0D37">
        <w:t>–</w:t>
      </w:r>
      <w:r w:rsidRPr="00FA0D37">
        <w:tab/>
      </w:r>
      <w:r w:rsidRPr="00FA0D37">
        <w:rPr>
          <w:i/>
        </w:rPr>
        <w:t>NSAG-ID</w:t>
      </w:r>
      <w:bookmarkEnd w:id="1154"/>
    </w:p>
    <w:p w14:paraId="1DEFD311" w14:textId="77777777" w:rsidR="007D3EDC" w:rsidRPr="00FA0D37" w:rsidRDefault="007D3EDC" w:rsidP="007D3EDC">
      <w:r w:rsidRPr="00FA0D37">
        <w:t xml:space="preserve">The IE </w:t>
      </w:r>
      <w:r w:rsidRPr="00FA0D37">
        <w:rPr>
          <w:i/>
        </w:rPr>
        <w:t>NSAG-ID</w:t>
      </w:r>
      <w:r w:rsidRPr="00FA0D37">
        <w:t xml:space="preserve"> is used to identify an NSAG (TS 23.501 [32]) for slice-based cell reselection or slice-based random access.</w:t>
      </w:r>
    </w:p>
    <w:p w14:paraId="1480F93D" w14:textId="77777777" w:rsidR="007D3EDC" w:rsidRPr="00FA0D37" w:rsidRDefault="007D3EDC" w:rsidP="007D3EDC">
      <w:pPr>
        <w:pStyle w:val="TH"/>
      </w:pPr>
      <w:r w:rsidRPr="00FA0D37">
        <w:rPr>
          <w:i/>
        </w:rPr>
        <w:t>NSAG-ID</w:t>
      </w:r>
      <w:r w:rsidRPr="00FA0D37">
        <w:t xml:space="preserve"> information element</w:t>
      </w:r>
    </w:p>
    <w:p w14:paraId="32E64645" w14:textId="77777777" w:rsidR="007D3EDC" w:rsidRPr="00FA0D37" w:rsidRDefault="007D3EDC" w:rsidP="00FA0D37">
      <w:pPr>
        <w:pStyle w:val="PL"/>
        <w:rPr>
          <w:color w:val="808080"/>
        </w:rPr>
      </w:pPr>
      <w:r w:rsidRPr="00FA0D37">
        <w:rPr>
          <w:color w:val="808080"/>
        </w:rPr>
        <w:t>-- ASN1START</w:t>
      </w:r>
    </w:p>
    <w:p w14:paraId="472285E1" w14:textId="77777777" w:rsidR="007D3EDC" w:rsidRPr="00FA0D37" w:rsidRDefault="007D3EDC" w:rsidP="00FA0D37">
      <w:pPr>
        <w:pStyle w:val="PL"/>
        <w:rPr>
          <w:color w:val="808080"/>
        </w:rPr>
      </w:pPr>
      <w:r w:rsidRPr="00FA0D37">
        <w:rPr>
          <w:color w:val="808080"/>
        </w:rPr>
        <w:t>-- TAG-NSAG-ID-START</w:t>
      </w:r>
    </w:p>
    <w:p w14:paraId="1276E727" w14:textId="77777777" w:rsidR="007D3EDC" w:rsidRPr="00FA0D37" w:rsidRDefault="007D3EDC" w:rsidP="00FA0D37">
      <w:pPr>
        <w:pStyle w:val="PL"/>
      </w:pPr>
    </w:p>
    <w:p w14:paraId="768E718C" w14:textId="77777777" w:rsidR="007D3EDC" w:rsidRPr="00FA0D37" w:rsidRDefault="007D3EDC" w:rsidP="00FA0D37">
      <w:pPr>
        <w:pStyle w:val="PL"/>
      </w:pPr>
      <w:r w:rsidRPr="00FA0D37">
        <w:lastRenderedPageBreak/>
        <w:t xml:space="preserve">NSAG-ID-r17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51A6F268" w14:textId="77777777" w:rsidR="007D3EDC" w:rsidRPr="00FA0D37" w:rsidRDefault="007D3EDC" w:rsidP="00FA0D37">
      <w:pPr>
        <w:pStyle w:val="PL"/>
      </w:pPr>
    </w:p>
    <w:p w14:paraId="0CAE6503" w14:textId="77777777" w:rsidR="007D3EDC" w:rsidRPr="00FA0D37" w:rsidRDefault="007D3EDC" w:rsidP="00FA0D37">
      <w:pPr>
        <w:pStyle w:val="PL"/>
        <w:rPr>
          <w:color w:val="808080"/>
        </w:rPr>
      </w:pPr>
      <w:r w:rsidRPr="00FA0D37">
        <w:rPr>
          <w:color w:val="808080"/>
        </w:rPr>
        <w:t>-- TAG-NSAG-ID-STOP</w:t>
      </w:r>
    </w:p>
    <w:p w14:paraId="1965E6C7" w14:textId="77777777" w:rsidR="007D3EDC" w:rsidRPr="00FA0D37" w:rsidRDefault="007D3EDC" w:rsidP="00FA0D37">
      <w:pPr>
        <w:pStyle w:val="PL"/>
        <w:rPr>
          <w:color w:val="808080"/>
        </w:rPr>
      </w:pPr>
      <w:r w:rsidRPr="00FA0D37">
        <w:rPr>
          <w:color w:val="808080"/>
        </w:rPr>
        <w:t>-- ASN1STOP</w:t>
      </w:r>
    </w:p>
    <w:p w14:paraId="785AFC9C" w14:textId="77777777" w:rsidR="007D3EDC" w:rsidRPr="00FA0D37" w:rsidRDefault="007D3EDC" w:rsidP="008E5FFC"/>
    <w:p w14:paraId="261C44D1" w14:textId="77777777" w:rsidR="008E5FFC" w:rsidRPr="00FA0D37" w:rsidRDefault="008E5FFC" w:rsidP="008E5FFC">
      <w:pPr>
        <w:pStyle w:val="4"/>
      </w:pPr>
      <w:bookmarkStart w:id="1155" w:name="_Toc146781359"/>
      <w:r w:rsidRPr="00FA0D37">
        <w:t>–</w:t>
      </w:r>
      <w:r w:rsidRPr="00FA0D37">
        <w:tab/>
      </w:r>
      <w:r w:rsidRPr="00FA0D37">
        <w:rPr>
          <w:i/>
        </w:rPr>
        <w:t>NSAG-IdentityInfo</w:t>
      </w:r>
      <w:bookmarkEnd w:id="1155"/>
    </w:p>
    <w:p w14:paraId="2588C0BF" w14:textId="5679F95F" w:rsidR="008E5FFC" w:rsidRPr="00FA0D37" w:rsidRDefault="008E5FFC" w:rsidP="008E5FFC">
      <w:r w:rsidRPr="00FA0D37">
        <w:t xml:space="preserve">The IE </w:t>
      </w:r>
      <w:r w:rsidRPr="00FA0D37">
        <w:rPr>
          <w:i/>
        </w:rPr>
        <w:t>NSAG-IdentityInfo</w:t>
      </w:r>
      <w:r w:rsidRPr="00FA0D37">
        <w:t xml:space="preserve"> is used to identify an NSAG (TS 23.501 [32]) for slice</w:t>
      </w:r>
      <w:r w:rsidR="007D3EDC" w:rsidRPr="00FA0D37">
        <w:t>-</w:t>
      </w:r>
      <w:r w:rsidRPr="00FA0D37">
        <w:t>based cell reselection.</w:t>
      </w:r>
    </w:p>
    <w:p w14:paraId="0A57296B" w14:textId="77777777" w:rsidR="008E5FFC" w:rsidRPr="00FA0D37" w:rsidRDefault="008E5FFC" w:rsidP="008E5FFC">
      <w:pPr>
        <w:pStyle w:val="TH"/>
      </w:pPr>
      <w:r w:rsidRPr="00FA0D37">
        <w:rPr>
          <w:i/>
        </w:rPr>
        <w:t>NSAG-IdentityInfo</w:t>
      </w:r>
      <w:r w:rsidRPr="00FA0D37">
        <w:t xml:space="preserve"> information element</w:t>
      </w:r>
    </w:p>
    <w:p w14:paraId="4CDCB308" w14:textId="77777777" w:rsidR="008E5FFC" w:rsidRPr="00FA0D37" w:rsidRDefault="008E5FFC" w:rsidP="00FA0D37">
      <w:pPr>
        <w:pStyle w:val="PL"/>
        <w:rPr>
          <w:color w:val="808080"/>
        </w:rPr>
      </w:pPr>
      <w:r w:rsidRPr="00FA0D37">
        <w:rPr>
          <w:color w:val="808080"/>
        </w:rPr>
        <w:t>-- ASN1START</w:t>
      </w:r>
    </w:p>
    <w:p w14:paraId="49CD067C" w14:textId="77777777" w:rsidR="008E5FFC" w:rsidRPr="00FA0D37" w:rsidRDefault="008E5FFC" w:rsidP="00FA0D37">
      <w:pPr>
        <w:pStyle w:val="PL"/>
        <w:rPr>
          <w:color w:val="808080"/>
        </w:rPr>
      </w:pPr>
      <w:r w:rsidRPr="00FA0D37">
        <w:rPr>
          <w:color w:val="808080"/>
        </w:rPr>
        <w:t>-- TAG-NSAG-IDENTITYINFO-START</w:t>
      </w:r>
    </w:p>
    <w:p w14:paraId="597E8EF3" w14:textId="77777777" w:rsidR="008E5FFC" w:rsidRPr="00FA0D37" w:rsidRDefault="008E5FFC" w:rsidP="00FA0D37">
      <w:pPr>
        <w:pStyle w:val="PL"/>
      </w:pPr>
    </w:p>
    <w:p w14:paraId="673EDA30" w14:textId="01DC5E17" w:rsidR="008E5FFC" w:rsidRPr="00FA0D37" w:rsidRDefault="008E5FFC" w:rsidP="00FA0D37">
      <w:pPr>
        <w:pStyle w:val="PL"/>
      </w:pPr>
      <w:r w:rsidRPr="00FA0D37">
        <w:t xml:space="preserve">NSAG-IdentityInfo-r17 ::=            </w:t>
      </w:r>
      <w:r w:rsidRPr="00FA0D37">
        <w:rPr>
          <w:color w:val="993366"/>
        </w:rPr>
        <w:t>SEQUENCE</w:t>
      </w:r>
      <w:r w:rsidRPr="00FA0D37">
        <w:t xml:space="preserve"> {</w:t>
      </w:r>
    </w:p>
    <w:p w14:paraId="71456270" w14:textId="77777777" w:rsidR="008E5FFC" w:rsidRPr="00FA0D37" w:rsidRDefault="008E5FFC" w:rsidP="00FA0D37">
      <w:pPr>
        <w:pStyle w:val="PL"/>
      </w:pPr>
      <w:r w:rsidRPr="00FA0D37">
        <w:t xml:space="preserve">    nsag-ID-r17                          NSAG-ID-r17,</w:t>
      </w:r>
    </w:p>
    <w:p w14:paraId="0DDE5E53" w14:textId="77777777" w:rsidR="008E5FFC" w:rsidRPr="00FA0D37" w:rsidRDefault="008E5FFC" w:rsidP="00FA0D37">
      <w:pPr>
        <w:pStyle w:val="PL"/>
        <w:rPr>
          <w:color w:val="808080"/>
        </w:rPr>
      </w:pPr>
      <w:r w:rsidRPr="00FA0D37">
        <w:t xml:space="preserve">    trackingAreaCode-r17                 TrackingAreaCode               </w:t>
      </w:r>
      <w:r w:rsidRPr="00FA0D37">
        <w:rPr>
          <w:color w:val="993366"/>
        </w:rPr>
        <w:t>OPTIONAL</w:t>
      </w:r>
      <w:r w:rsidRPr="00FA0D37">
        <w:t xml:space="preserve">      </w:t>
      </w:r>
      <w:r w:rsidRPr="00FA0D37">
        <w:rPr>
          <w:color w:val="808080"/>
        </w:rPr>
        <w:t>-- Need R</w:t>
      </w:r>
    </w:p>
    <w:p w14:paraId="26D53E8A" w14:textId="77777777" w:rsidR="008E5FFC" w:rsidRPr="00FA0D37" w:rsidRDefault="008E5FFC" w:rsidP="00FA0D37">
      <w:pPr>
        <w:pStyle w:val="PL"/>
      </w:pPr>
      <w:r w:rsidRPr="00FA0D37">
        <w:t>}</w:t>
      </w:r>
    </w:p>
    <w:p w14:paraId="0D7215BD" w14:textId="77777777" w:rsidR="008E5FFC" w:rsidRPr="00FA0D37" w:rsidRDefault="008E5FFC" w:rsidP="00FA0D37">
      <w:pPr>
        <w:pStyle w:val="PL"/>
      </w:pPr>
    </w:p>
    <w:p w14:paraId="6CB8AF87" w14:textId="77777777" w:rsidR="008E5FFC" w:rsidRPr="00FA0D37" w:rsidRDefault="008E5FFC" w:rsidP="00FA0D37">
      <w:pPr>
        <w:pStyle w:val="PL"/>
        <w:rPr>
          <w:color w:val="808080"/>
        </w:rPr>
      </w:pPr>
      <w:r w:rsidRPr="00FA0D37">
        <w:rPr>
          <w:color w:val="808080"/>
        </w:rPr>
        <w:t>-- TAG-NSAG-IDENTITYINFO-STOP</w:t>
      </w:r>
    </w:p>
    <w:p w14:paraId="0432ACE8" w14:textId="77777777" w:rsidR="008E5FFC" w:rsidRPr="00FA0D37" w:rsidRDefault="008E5FFC" w:rsidP="00FA0D37">
      <w:pPr>
        <w:pStyle w:val="PL"/>
        <w:rPr>
          <w:color w:val="808080"/>
        </w:rPr>
      </w:pPr>
      <w:r w:rsidRPr="00FA0D37">
        <w:rPr>
          <w:color w:val="808080"/>
        </w:rPr>
        <w:t>-- ASN1STOP</w:t>
      </w:r>
    </w:p>
    <w:p w14:paraId="271FF243" w14:textId="77777777" w:rsidR="008E5FFC" w:rsidRPr="00FA0D3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FA0D37" w:rsidRDefault="008E5FFC" w:rsidP="00771058">
            <w:pPr>
              <w:pStyle w:val="TAH"/>
              <w:rPr>
                <w:lang w:eastAsia="en-GB"/>
              </w:rPr>
            </w:pPr>
            <w:r w:rsidRPr="00FA0D37">
              <w:rPr>
                <w:i/>
              </w:rPr>
              <w:t>NSAG-IdentityInfo</w:t>
            </w:r>
            <w:r w:rsidRPr="00FA0D37">
              <w:rPr>
                <w:bCs/>
                <w:i/>
                <w:iCs/>
                <w:lang w:eastAsia="sv-SE"/>
              </w:rPr>
              <w:t xml:space="preserve"> </w:t>
            </w:r>
            <w:r w:rsidRPr="00FA0D37">
              <w:rPr>
                <w:iCs/>
                <w:lang w:eastAsia="en-GB"/>
              </w:rPr>
              <w:t>field descriptions</w:t>
            </w:r>
          </w:p>
        </w:tc>
      </w:tr>
      <w:tr w:rsidR="00F747EB" w:rsidRPr="00FA0D37"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FA0D37" w:rsidRDefault="008E5FFC" w:rsidP="00771058">
            <w:pPr>
              <w:pStyle w:val="TAL"/>
              <w:rPr>
                <w:b/>
                <w:i/>
                <w:kern w:val="2"/>
              </w:rPr>
            </w:pPr>
            <w:r w:rsidRPr="00FA0D37">
              <w:rPr>
                <w:b/>
                <w:i/>
                <w:kern w:val="2"/>
              </w:rPr>
              <w:t>trackingAreaCode</w:t>
            </w:r>
          </w:p>
          <w:p w14:paraId="712C8AB3" w14:textId="77777777" w:rsidR="008E5FFC" w:rsidRPr="00FA0D37" w:rsidRDefault="008E5FFC" w:rsidP="00771058">
            <w:pPr>
              <w:pStyle w:val="TAL"/>
              <w:rPr>
                <w:bCs/>
                <w:iCs/>
                <w:kern w:val="2"/>
              </w:rPr>
            </w:pPr>
            <w:r w:rsidRPr="00FA0D37">
              <w:t xml:space="preserve">If absent, UE assumes the </w:t>
            </w:r>
            <w:r w:rsidRPr="00FA0D37">
              <w:rPr>
                <w:i/>
                <w:kern w:val="2"/>
              </w:rPr>
              <w:t>trackingAreaCode</w:t>
            </w:r>
            <w:r w:rsidRPr="00FA0D37">
              <w:rPr>
                <w:b/>
                <w:i/>
                <w:kern w:val="2"/>
              </w:rPr>
              <w:t xml:space="preserve"> </w:t>
            </w:r>
            <w:r w:rsidRPr="00FA0D37">
              <w:rPr>
                <w:bCs/>
                <w:iCs/>
                <w:kern w:val="2"/>
              </w:rPr>
              <w:t>of the serving cell.</w:t>
            </w:r>
          </w:p>
        </w:tc>
      </w:tr>
    </w:tbl>
    <w:p w14:paraId="6F5E5085" w14:textId="77777777" w:rsidR="008E5FFC" w:rsidRPr="00FA0D37" w:rsidRDefault="008E5FFC" w:rsidP="00394471"/>
    <w:p w14:paraId="16A499A8" w14:textId="77777777" w:rsidR="005B7637" w:rsidRPr="00FA0D37" w:rsidRDefault="005B7637" w:rsidP="005B7637">
      <w:pPr>
        <w:pStyle w:val="4"/>
      </w:pPr>
      <w:bookmarkStart w:id="1156" w:name="_Toc146781360"/>
      <w:r w:rsidRPr="00FA0D37">
        <w:t>–</w:t>
      </w:r>
      <w:r w:rsidRPr="00FA0D37">
        <w:tab/>
      </w:r>
      <w:r w:rsidRPr="00FA0D37">
        <w:rPr>
          <w:i/>
        </w:rPr>
        <w:t>NTN-Config</w:t>
      </w:r>
      <w:bookmarkEnd w:id="1156"/>
    </w:p>
    <w:p w14:paraId="43A786E4" w14:textId="7F94DA03" w:rsidR="005B7637" w:rsidRPr="00FA0D37" w:rsidRDefault="005B7637" w:rsidP="005B7637">
      <w:r w:rsidRPr="00FA0D37">
        <w:t xml:space="preserve">The IE </w:t>
      </w:r>
      <w:r w:rsidRPr="00FA0D37">
        <w:rPr>
          <w:i/>
        </w:rPr>
        <w:t>NTN-Config</w:t>
      </w:r>
      <w:r w:rsidRPr="00FA0D37">
        <w:t xml:space="preserve"> provides parameters needed for the UE to access NR via </w:t>
      </w:r>
      <w:r w:rsidR="00771058" w:rsidRPr="00FA0D37">
        <w:t>NTN</w:t>
      </w:r>
      <w:r w:rsidRPr="00FA0D37">
        <w:t xml:space="preserve"> access.</w:t>
      </w:r>
    </w:p>
    <w:p w14:paraId="0CEEAFE6" w14:textId="77777777" w:rsidR="005B7637" w:rsidRPr="00FA0D37" w:rsidRDefault="005B7637" w:rsidP="005B7637">
      <w:pPr>
        <w:pStyle w:val="TH"/>
      </w:pPr>
      <w:r w:rsidRPr="00FA0D37">
        <w:rPr>
          <w:i/>
        </w:rPr>
        <w:t>NTN-Config</w:t>
      </w:r>
      <w:r w:rsidRPr="00FA0D37">
        <w:t xml:space="preserve"> information element</w:t>
      </w:r>
    </w:p>
    <w:p w14:paraId="3BDEC094" w14:textId="77777777" w:rsidR="005B7637" w:rsidRPr="00FA0D37" w:rsidRDefault="005B7637" w:rsidP="00FA0D37">
      <w:pPr>
        <w:pStyle w:val="PL"/>
        <w:rPr>
          <w:color w:val="808080"/>
        </w:rPr>
      </w:pPr>
      <w:r w:rsidRPr="00FA0D37">
        <w:rPr>
          <w:color w:val="808080"/>
        </w:rPr>
        <w:t>-- ASN1START</w:t>
      </w:r>
    </w:p>
    <w:p w14:paraId="6B8EC62E" w14:textId="77777777" w:rsidR="005B7637" w:rsidRPr="00FA0D37" w:rsidRDefault="005B7637" w:rsidP="00FA0D37">
      <w:pPr>
        <w:pStyle w:val="PL"/>
        <w:rPr>
          <w:color w:val="808080"/>
        </w:rPr>
      </w:pPr>
      <w:r w:rsidRPr="00FA0D37">
        <w:rPr>
          <w:color w:val="808080"/>
        </w:rPr>
        <w:t>-- TAG-NTN-CONFIG-START</w:t>
      </w:r>
    </w:p>
    <w:p w14:paraId="5F55B970" w14:textId="77777777" w:rsidR="005B7637" w:rsidRPr="00FA0D37" w:rsidRDefault="005B7637" w:rsidP="00FA0D37">
      <w:pPr>
        <w:pStyle w:val="PL"/>
      </w:pPr>
    </w:p>
    <w:p w14:paraId="76B7D8B9" w14:textId="546EEBAE" w:rsidR="005B7637" w:rsidRPr="00FA0D37" w:rsidRDefault="005B7637" w:rsidP="00FA0D37">
      <w:pPr>
        <w:pStyle w:val="PL"/>
      </w:pPr>
      <w:r w:rsidRPr="00FA0D37">
        <w:t xml:space="preserve">NTN-Config-r17 ::=             </w:t>
      </w:r>
      <w:r w:rsidRPr="00FA0D37">
        <w:rPr>
          <w:color w:val="993366"/>
        </w:rPr>
        <w:t>SEQUENCE</w:t>
      </w:r>
      <w:r w:rsidRPr="00FA0D37">
        <w:t xml:space="preserve"> {</w:t>
      </w:r>
    </w:p>
    <w:p w14:paraId="060225A6" w14:textId="73CE96A0" w:rsidR="005B7637" w:rsidRPr="00FA0D37" w:rsidRDefault="005B7637" w:rsidP="00FA0D37">
      <w:pPr>
        <w:pStyle w:val="PL"/>
        <w:rPr>
          <w:color w:val="808080"/>
        </w:rPr>
      </w:pPr>
      <w:r w:rsidRPr="00FA0D37">
        <w:t xml:space="preserve">    </w:t>
      </w:r>
      <w:bookmarkStart w:id="1157" w:name="OLE_LINK153"/>
      <w:bookmarkStart w:id="1158" w:name="OLE_LINK154"/>
      <w:bookmarkStart w:id="1159" w:name="OLE_LINK167"/>
      <w:bookmarkStart w:id="1160" w:name="OLE_LINK168"/>
      <w:r w:rsidRPr="00FA0D37">
        <w:t>epochTime</w:t>
      </w:r>
      <w:bookmarkEnd w:id="1157"/>
      <w:bookmarkEnd w:id="1158"/>
      <w:bookmarkEnd w:id="1159"/>
      <w:bookmarkEnd w:id="1160"/>
      <w:r w:rsidRPr="00FA0D37">
        <w:t xml:space="preserve">-r17                  EpochTime-r17                                                            </w:t>
      </w:r>
      <w:r w:rsidRPr="00FA0D37">
        <w:rPr>
          <w:color w:val="993366"/>
        </w:rPr>
        <w:t>OPTIONAL</w:t>
      </w:r>
      <w:r w:rsidRPr="00FA0D37">
        <w:t xml:space="preserve">,  </w:t>
      </w:r>
      <w:r w:rsidRPr="00FA0D37">
        <w:rPr>
          <w:color w:val="808080"/>
        </w:rPr>
        <w:t>-- Need R</w:t>
      </w:r>
    </w:p>
    <w:p w14:paraId="1B6B0F46" w14:textId="0341E4EF" w:rsidR="005B7637" w:rsidRPr="00FA0D37" w:rsidRDefault="005B7637" w:rsidP="00FA0D37">
      <w:pPr>
        <w:pStyle w:val="PL"/>
      </w:pPr>
      <w:r w:rsidRPr="00FA0D37">
        <w:t xml:space="preserve">    ntn</w:t>
      </w:r>
      <w:r w:rsidR="00015613" w:rsidRPr="00FA0D37">
        <w:t>-</w:t>
      </w:r>
      <w:r w:rsidRPr="00FA0D37">
        <w:t xml:space="preserve">UlSyncValidityDuration-r17 </w:t>
      </w:r>
      <w:r w:rsidRPr="00FA0D37">
        <w:rPr>
          <w:color w:val="993366"/>
        </w:rPr>
        <w:t>ENUMERATED</w:t>
      </w:r>
      <w:r w:rsidRPr="00FA0D37">
        <w:t>{</w:t>
      </w:r>
      <w:r w:rsidR="00015613" w:rsidRPr="00FA0D37">
        <w:t xml:space="preserve"> </w:t>
      </w:r>
      <w:r w:rsidRPr="00FA0D37">
        <w:t>s5, s10, s15, s20, s25, s30, s35,</w:t>
      </w:r>
    </w:p>
    <w:p w14:paraId="7535AC38" w14:textId="10068307" w:rsidR="005B7637" w:rsidRPr="00FA0D37" w:rsidRDefault="005B7637" w:rsidP="00FA0D37">
      <w:pPr>
        <w:pStyle w:val="PL"/>
        <w:rPr>
          <w:color w:val="808080"/>
        </w:rPr>
      </w:pPr>
      <w:r w:rsidRPr="00FA0D37">
        <w:t xml:space="preserve">                                              s40, s45, s50, s55, s60, s120, s180, s240</w:t>
      </w:r>
      <w:r w:rsidR="00771058" w:rsidRPr="00FA0D37">
        <w:t>, s900</w:t>
      </w:r>
      <w:r w:rsidRPr="00FA0D37">
        <w:t xml:space="preserve">}              </w:t>
      </w:r>
      <w:r w:rsidRPr="00FA0D37">
        <w:rPr>
          <w:color w:val="993366"/>
        </w:rPr>
        <w:t>OPTIONAL</w:t>
      </w:r>
      <w:r w:rsidRPr="00FA0D37">
        <w:t xml:space="preserve">,  </w:t>
      </w:r>
      <w:r w:rsidRPr="00FA0D37">
        <w:rPr>
          <w:color w:val="808080"/>
        </w:rPr>
        <w:t xml:space="preserve">-- </w:t>
      </w:r>
      <w:r w:rsidR="001163BA" w:rsidRPr="00FA0D37">
        <w:rPr>
          <w:color w:val="808080"/>
        </w:rPr>
        <w:t>Cond SIB19</w:t>
      </w:r>
    </w:p>
    <w:p w14:paraId="271CDE9A" w14:textId="21A2253E" w:rsidR="005B7637" w:rsidRPr="00FA0D37" w:rsidRDefault="005B7637" w:rsidP="00FA0D37">
      <w:pPr>
        <w:pStyle w:val="PL"/>
        <w:rPr>
          <w:color w:val="808080"/>
        </w:rPr>
      </w:pPr>
      <w:r w:rsidRPr="00FA0D37">
        <w:t xml:space="preserve">    cellSpecificKoffset-r17        </w:t>
      </w:r>
      <w:r w:rsidRPr="00FA0D37">
        <w:rPr>
          <w:color w:val="993366"/>
        </w:rPr>
        <w:t>INTEGER</w:t>
      </w:r>
      <w:r w:rsidRPr="00FA0D37">
        <w:t>(</w:t>
      </w:r>
      <w:r w:rsidR="00771058" w:rsidRPr="00FA0D37">
        <w:t>1</w:t>
      </w:r>
      <w:r w:rsidRPr="00FA0D37">
        <w:t xml:space="preserve">..1023)                                                         </w:t>
      </w:r>
      <w:r w:rsidRPr="00FA0D37">
        <w:rPr>
          <w:color w:val="993366"/>
        </w:rPr>
        <w:t>OPTIONAL</w:t>
      </w:r>
      <w:r w:rsidRPr="00FA0D37">
        <w:t xml:space="preserve">,  </w:t>
      </w:r>
      <w:r w:rsidRPr="00FA0D37">
        <w:rPr>
          <w:color w:val="808080"/>
        </w:rPr>
        <w:t>-- Need R</w:t>
      </w:r>
    </w:p>
    <w:p w14:paraId="19946FF9" w14:textId="647B731E" w:rsidR="005B7637" w:rsidRPr="00FA0D37" w:rsidRDefault="005B7637" w:rsidP="00FA0D37">
      <w:pPr>
        <w:pStyle w:val="PL"/>
        <w:rPr>
          <w:color w:val="808080"/>
        </w:rPr>
      </w:pPr>
      <w:r w:rsidRPr="00FA0D37">
        <w:t xml:space="preserve">    kmac-r17                       </w:t>
      </w:r>
      <w:r w:rsidRPr="00FA0D37">
        <w:rPr>
          <w:color w:val="993366"/>
        </w:rPr>
        <w:t>INTEGER</w:t>
      </w:r>
      <w:r w:rsidRPr="00FA0D37">
        <w:t>(</w:t>
      </w:r>
      <w:r w:rsidR="00771058" w:rsidRPr="00FA0D37">
        <w:t>1</w:t>
      </w:r>
      <w:r w:rsidRPr="00FA0D37">
        <w:t xml:space="preserve">..512)                                                          </w:t>
      </w:r>
      <w:r w:rsidRPr="00FA0D37">
        <w:rPr>
          <w:color w:val="993366"/>
        </w:rPr>
        <w:t>OPTIONAL</w:t>
      </w:r>
      <w:r w:rsidRPr="00FA0D37">
        <w:t xml:space="preserve">,  </w:t>
      </w:r>
      <w:r w:rsidRPr="00FA0D37">
        <w:rPr>
          <w:color w:val="808080"/>
        </w:rPr>
        <w:t>-- Need R</w:t>
      </w:r>
    </w:p>
    <w:p w14:paraId="6E985582" w14:textId="6EFC3D8E" w:rsidR="005B7637" w:rsidRPr="00FA0D37" w:rsidRDefault="005B7637" w:rsidP="00FA0D37">
      <w:pPr>
        <w:pStyle w:val="PL"/>
        <w:rPr>
          <w:color w:val="808080"/>
        </w:rPr>
      </w:pPr>
      <w:r w:rsidRPr="00FA0D37">
        <w:t xml:space="preserve">    ta-Info-r17                    TA</w:t>
      </w:r>
      <w:r w:rsidR="00771058" w:rsidRPr="00FA0D37">
        <w:t>-</w:t>
      </w:r>
      <w:r w:rsidRPr="00FA0D37">
        <w:t xml:space="preserve">Info-r17                                                              </w:t>
      </w:r>
      <w:r w:rsidRPr="00FA0D37">
        <w:rPr>
          <w:color w:val="993366"/>
        </w:rPr>
        <w:t>OPTIONAL</w:t>
      </w:r>
      <w:r w:rsidRPr="00FA0D37">
        <w:t xml:space="preserve">,  </w:t>
      </w:r>
      <w:r w:rsidRPr="00FA0D37">
        <w:rPr>
          <w:color w:val="808080"/>
        </w:rPr>
        <w:t>-- Need R</w:t>
      </w:r>
    </w:p>
    <w:p w14:paraId="651542F4" w14:textId="11F868F0" w:rsidR="005B7637" w:rsidRPr="00FA0D37" w:rsidRDefault="005B7637" w:rsidP="00FA0D37">
      <w:pPr>
        <w:pStyle w:val="PL"/>
        <w:rPr>
          <w:color w:val="808080"/>
        </w:rPr>
      </w:pPr>
      <w:r w:rsidRPr="00FA0D37">
        <w:t xml:space="preserve">    ntn-PolarizationDL-r17         </w:t>
      </w:r>
      <w:r w:rsidRPr="00FA0D37">
        <w:rPr>
          <w:color w:val="993366"/>
        </w:rPr>
        <w:t>ENUMERATED</w:t>
      </w:r>
      <w:r w:rsidR="00015613" w:rsidRPr="00FA0D37">
        <w:t xml:space="preserve"> </w:t>
      </w:r>
      <w:r w:rsidRPr="00FA0D37">
        <w:t xml:space="preserve">{rhcp,lhcp,linear}                                            </w:t>
      </w:r>
      <w:r w:rsidRPr="00FA0D37">
        <w:rPr>
          <w:color w:val="993366"/>
        </w:rPr>
        <w:t>OPTIONAL</w:t>
      </w:r>
      <w:r w:rsidRPr="00FA0D37">
        <w:t xml:space="preserve">,  </w:t>
      </w:r>
      <w:r w:rsidRPr="00FA0D37">
        <w:rPr>
          <w:color w:val="808080"/>
        </w:rPr>
        <w:t>-- Need R</w:t>
      </w:r>
    </w:p>
    <w:p w14:paraId="7BB665AD" w14:textId="01DE76F1" w:rsidR="005B7637" w:rsidRPr="00FA0D37" w:rsidRDefault="005B7637" w:rsidP="00FA0D37">
      <w:pPr>
        <w:pStyle w:val="PL"/>
        <w:rPr>
          <w:color w:val="808080"/>
        </w:rPr>
      </w:pPr>
      <w:r w:rsidRPr="00FA0D37">
        <w:t xml:space="preserve">    ntn-PolarizationUL-r17         </w:t>
      </w:r>
      <w:r w:rsidRPr="00FA0D37">
        <w:rPr>
          <w:color w:val="993366"/>
        </w:rPr>
        <w:t>ENUMERATED</w:t>
      </w:r>
      <w:r w:rsidR="00015613" w:rsidRPr="00FA0D37">
        <w:t xml:space="preserve"> </w:t>
      </w:r>
      <w:r w:rsidRPr="00FA0D37">
        <w:t xml:space="preserve">{rhcp,lhcp,linear}                                            </w:t>
      </w:r>
      <w:r w:rsidRPr="00FA0D37">
        <w:rPr>
          <w:color w:val="993366"/>
        </w:rPr>
        <w:t>OPTIONAL</w:t>
      </w:r>
      <w:r w:rsidRPr="00FA0D37">
        <w:t xml:space="preserve">,  </w:t>
      </w:r>
      <w:r w:rsidRPr="00FA0D37">
        <w:rPr>
          <w:color w:val="808080"/>
        </w:rPr>
        <w:t>-- Need R</w:t>
      </w:r>
    </w:p>
    <w:p w14:paraId="1F67924A" w14:textId="4E85A50F" w:rsidR="005B7637" w:rsidRPr="00FA0D37" w:rsidRDefault="005B7637" w:rsidP="00FA0D37">
      <w:pPr>
        <w:pStyle w:val="PL"/>
        <w:rPr>
          <w:color w:val="808080"/>
        </w:rPr>
      </w:pPr>
      <w:r w:rsidRPr="00FA0D37">
        <w:lastRenderedPageBreak/>
        <w:t xml:space="preserve">    ephemerisInfo-r17              EphemerisInfo-r17                                                        </w:t>
      </w:r>
      <w:r w:rsidRPr="00FA0D37">
        <w:rPr>
          <w:color w:val="993366"/>
        </w:rPr>
        <w:t>OPTIONAL</w:t>
      </w:r>
      <w:r w:rsidR="004F1B8A" w:rsidRPr="00FA0D37">
        <w:t>,</w:t>
      </w:r>
      <w:r w:rsidRPr="00FA0D37">
        <w:t xml:space="preserve">  </w:t>
      </w:r>
      <w:r w:rsidRPr="00FA0D37">
        <w:rPr>
          <w:color w:val="808080"/>
        </w:rPr>
        <w:t>-- Need R</w:t>
      </w:r>
    </w:p>
    <w:p w14:paraId="64FB053C" w14:textId="77777777" w:rsidR="00771058" w:rsidRPr="00FA0D37" w:rsidRDefault="00771058" w:rsidP="00FA0D37">
      <w:pPr>
        <w:pStyle w:val="PL"/>
        <w:rPr>
          <w:color w:val="808080"/>
        </w:rPr>
      </w:pPr>
      <w:r w:rsidRPr="00FA0D37">
        <w:t xml:space="preserve">    ta-Report-r17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363DED9" w14:textId="77777777" w:rsidR="005B7637" w:rsidRPr="00FA0D37" w:rsidRDefault="005B7637" w:rsidP="00FA0D37">
      <w:pPr>
        <w:pStyle w:val="PL"/>
      </w:pPr>
      <w:r w:rsidRPr="00FA0D37">
        <w:t xml:space="preserve">    ...</w:t>
      </w:r>
    </w:p>
    <w:p w14:paraId="09690CFE" w14:textId="77777777" w:rsidR="005B7637" w:rsidRPr="00FA0D37" w:rsidRDefault="005B7637" w:rsidP="00FA0D37">
      <w:pPr>
        <w:pStyle w:val="PL"/>
      </w:pPr>
      <w:r w:rsidRPr="00FA0D37">
        <w:t>}</w:t>
      </w:r>
    </w:p>
    <w:p w14:paraId="6A981DC8" w14:textId="77777777" w:rsidR="005B7637" w:rsidRPr="00FA0D37" w:rsidRDefault="005B7637" w:rsidP="00FA0D37">
      <w:pPr>
        <w:pStyle w:val="PL"/>
      </w:pPr>
    </w:p>
    <w:p w14:paraId="68BB7977" w14:textId="1060CC39" w:rsidR="005B7637" w:rsidRPr="00FA0D37" w:rsidRDefault="005B7637" w:rsidP="00FA0D37">
      <w:pPr>
        <w:pStyle w:val="PL"/>
      </w:pPr>
      <w:r w:rsidRPr="00FA0D37">
        <w:t xml:space="preserve">EpochTime-r17 ::=              </w:t>
      </w:r>
      <w:r w:rsidRPr="00FA0D37">
        <w:rPr>
          <w:color w:val="993366"/>
        </w:rPr>
        <w:t>SEQUENCE</w:t>
      </w:r>
      <w:r w:rsidRPr="00FA0D37">
        <w:t xml:space="preserve"> {</w:t>
      </w:r>
    </w:p>
    <w:p w14:paraId="7B2FB513" w14:textId="77568887" w:rsidR="005B7637" w:rsidRPr="00FA0D37" w:rsidRDefault="005B7637" w:rsidP="00FA0D37">
      <w:pPr>
        <w:pStyle w:val="PL"/>
      </w:pPr>
      <w:r w:rsidRPr="00FA0D37">
        <w:t xml:space="preserve">    sfn-r17                        </w:t>
      </w:r>
      <w:r w:rsidRPr="00FA0D37">
        <w:rPr>
          <w:color w:val="993366"/>
        </w:rPr>
        <w:t>INTEGER</w:t>
      </w:r>
      <w:r w:rsidRPr="00FA0D37">
        <w:t>(0..1023),</w:t>
      </w:r>
    </w:p>
    <w:p w14:paraId="70429ADA" w14:textId="0EC58860" w:rsidR="005B7637" w:rsidRPr="00FA0D37" w:rsidRDefault="005B7637" w:rsidP="00FA0D37">
      <w:pPr>
        <w:pStyle w:val="PL"/>
      </w:pPr>
      <w:r w:rsidRPr="00FA0D37">
        <w:t xml:space="preserve">    subFrameNR-r17                 </w:t>
      </w:r>
      <w:r w:rsidRPr="00FA0D37">
        <w:rPr>
          <w:color w:val="993366"/>
        </w:rPr>
        <w:t>INTEGER</w:t>
      </w:r>
      <w:r w:rsidRPr="00FA0D37">
        <w:t>(0..9)</w:t>
      </w:r>
    </w:p>
    <w:p w14:paraId="463B8E43" w14:textId="77777777" w:rsidR="005B7637" w:rsidRPr="00FA0D37" w:rsidRDefault="005B7637" w:rsidP="00FA0D37">
      <w:pPr>
        <w:pStyle w:val="PL"/>
      </w:pPr>
      <w:r w:rsidRPr="00FA0D37">
        <w:t>}</w:t>
      </w:r>
    </w:p>
    <w:p w14:paraId="6764C1EA" w14:textId="77777777" w:rsidR="005B7637" w:rsidRPr="00FA0D37" w:rsidRDefault="005B7637" w:rsidP="00FA0D37">
      <w:pPr>
        <w:pStyle w:val="PL"/>
      </w:pPr>
    </w:p>
    <w:p w14:paraId="1F701F87" w14:textId="3217CB5C" w:rsidR="005B7637" w:rsidRPr="00FA0D37" w:rsidRDefault="005B7637" w:rsidP="00FA0D37">
      <w:pPr>
        <w:pStyle w:val="PL"/>
      </w:pPr>
      <w:r w:rsidRPr="00FA0D37">
        <w:t>TA</w:t>
      </w:r>
      <w:r w:rsidR="00771058" w:rsidRPr="00FA0D37">
        <w:t>-</w:t>
      </w:r>
      <w:r w:rsidRPr="00FA0D37">
        <w:t xml:space="preserve">Info-r17 ::=                 </w:t>
      </w:r>
      <w:r w:rsidRPr="00FA0D37">
        <w:rPr>
          <w:color w:val="993366"/>
        </w:rPr>
        <w:t>SEQUENCE</w:t>
      </w:r>
      <w:r w:rsidRPr="00FA0D37">
        <w:t xml:space="preserve">  {</w:t>
      </w:r>
    </w:p>
    <w:p w14:paraId="2B7638A3" w14:textId="273139F2" w:rsidR="005B7637" w:rsidRPr="00FA0D37" w:rsidRDefault="005B7637" w:rsidP="00FA0D37">
      <w:pPr>
        <w:pStyle w:val="PL"/>
      </w:pPr>
      <w:r w:rsidRPr="00FA0D37">
        <w:t xml:space="preserve">    ta-Common-r17                  </w:t>
      </w:r>
      <w:r w:rsidRPr="00FA0D37">
        <w:rPr>
          <w:color w:val="993366"/>
        </w:rPr>
        <w:t>INTEGER</w:t>
      </w:r>
      <w:r w:rsidRPr="00FA0D37">
        <w:t>(0..66485757),</w:t>
      </w:r>
    </w:p>
    <w:p w14:paraId="7167A0B3" w14:textId="6DB3A1C0" w:rsidR="005B7637" w:rsidRPr="00FA0D37" w:rsidRDefault="005B7637" w:rsidP="00FA0D37">
      <w:pPr>
        <w:pStyle w:val="PL"/>
        <w:rPr>
          <w:color w:val="808080"/>
        </w:rPr>
      </w:pPr>
      <w:r w:rsidRPr="00FA0D37">
        <w:t xml:space="preserve">    ta-CommonDrift-r17             </w:t>
      </w:r>
      <w:r w:rsidRPr="00FA0D37">
        <w:rPr>
          <w:color w:val="993366"/>
        </w:rPr>
        <w:t>INTEGER</w:t>
      </w:r>
      <w:r w:rsidRPr="00FA0D37">
        <w:t>(-</w:t>
      </w:r>
      <w:r w:rsidR="00771058" w:rsidRPr="00FA0D37">
        <w:rPr>
          <w:rFonts w:eastAsia="等线"/>
        </w:rPr>
        <w:t>257303</w:t>
      </w:r>
      <w:r w:rsidRPr="00FA0D37">
        <w:t>..</w:t>
      </w:r>
      <w:r w:rsidR="00771058" w:rsidRPr="00FA0D37">
        <w:rPr>
          <w:rFonts w:eastAsia="等线"/>
        </w:rPr>
        <w:t>257303</w:t>
      </w:r>
      <w:r w:rsidRPr="00FA0D37">
        <w:t xml:space="preserve">)                                                 </w:t>
      </w:r>
      <w:r w:rsidRPr="00FA0D37">
        <w:rPr>
          <w:color w:val="993366"/>
        </w:rPr>
        <w:t>OPTIONAL</w:t>
      </w:r>
      <w:r w:rsidRPr="00FA0D37">
        <w:t xml:space="preserve">,  </w:t>
      </w:r>
      <w:r w:rsidRPr="00FA0D37">
        <w:rPr>
          <w:color w:val="808080"/>
        </w:rPr>
        <w:t>-- Need R</w:t>
      </w:r>
    </w:p>
    <w:p w14:paraId="2F8CEAEA" w14:textId="1F5132FF" w:rsidR="005B7637" w:rsidRPr="00FA0D37" w:rsidRDefault="005B7637" w:rsidP="00FA0D37">
      <w:pPr>
        <w:pStyle w:val="PL"/>
        <w:rPr>
          <w:color w:val="808080"/>
        </w:rPr>
      </w:pPr>
      <w:r w:rsidRPr="00FA0D37">
        <w:t xml:space="preserve">    ta-CommonDriftVariant-r17      </w:t>
      </w:r>
      <w:r w:rsidRPr="00FA0D37">
        <w:rPr>
          <w:color w:val="993366"/>
        </w:rPr>
        <w:t>INTEGER</w:t>
      </w:r>
      <w:r w:rsidRPr="00FA0D37">
        <w:t>(0..</w:t>
      </w:r>
      <w:r w:rsidR="00771058" w:rsidRPr="00FA0D37">
        <w:rPr>
          <w:rFonts w:eastAsia="等线"/>
        </w:rPr>
        <w:t>28949</w:t>
      </w:r>
      <w:r w:rsidRPr="00FA0D37">
        <w:t xml:space="preserve">)                                                        </w:t>
      </w:r>
      <w:r w:rsidRPr="00FA0D37">
        <w:rPr>
          <w:color w:val="993366"/>
        </w:rPr>
        <w:t>OPTIONAL</w:t>
      </w:r>
      <w:r w:rsidRPr="00FA0D37">
        <w:t xml:space="preserve">   </w:t>
      </w:r>
      <w:r w:rsidRPr="00FA0D37">
        <w:rPr>
          <w:color w:val="808080"/>
        </w:rPr>
        <w:t>-- Need R</w:t>
      </w:r>
    </w:p>
    <w:p w14:paraId="4C1CDE76" w14:textId="77777777" w:rsidR="005B7637" w:rsidRPr="00FA0D37" w:rsidRDefault="005B7637" w:rsidP="00FA0D37">
      <w:pPr>
        <w:pStyle w:val="PL"/>
      </w:pPr>
      <w:r w:rsidRPr="00FA0D37">
        <w:t>}</w:t>
      </w:r>
    </w:p>
    <w:p w14:paraId="0A8F2B57" w14:textId="77777777" w:rsidR="005B7637" w:rsidRPr="00FA0D37" w:rsidRDefault="005B7637" w:rsidP="00FA0D37">
      <w:pPr>
        <w:pStyle w:val="PL"/>
      </w:pPr>
    </w:p>
    <w:p w14:paraId="317E4D3F" w14:textId="77777777" w:rsidR="005B7637" w:rsidRPr="00FA0D37" w:rsidRDefault="005B7637" w:rsidP="00FA0D37">
      <w:pPr>
        <w:pStyle w:val="PL"/>
        <w:rPr>
          <w:color w:val="808080"/>
        </w:rPr>
      </w:pPr>
      <w:r w:rsidRPr="00FA0D37">
        <w:rPr>
          <w:color w:val="808080"/>
        </w:rPr>
        <w:t>-- TAG-NTN-CONFIG-STOP</w:t>
      </w:r>
    </w:p>
    <w:p w14:paraId="55663CE8" w14:textId="77777777" w:rsidR="005B7637" w:rsidRPr="00FA0D37" w:rsidRDefault="005B7637" w:rsidP="00FA0D37">
      <w:pPr>
        <w:pStyle w:val="PL"/>
        <w:rPr>
          <w:color w:val="808080"/>
        </w:rPr>
      </w:pPr>
      <w:r w:rsidRPr="00FA0D37">
        <w:rPr>
          <w:color w:val="808080"/>
        </w:rPr>
        <w:t>-- ASN1STOP</w:t>
      </w:r>
    </w:p>
    <w:p w14:paraId="4E3B7403" w14:textId="77777777" w:rsidR="005B7637" w:rsidRPr="00FA0D3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FA0D37" w:rsidRDefault="005B7637" w:rsidP="00771058">
            <w:pPr>
              <w:pStyle w:val="TAH"/>
              <w:rPr>
                <w:szCs w:val="22"/>
                <w:lang w:eastAsia="sv-SE"/>
              </w:rPr>
            </w:pPr>
            <w:r w:rsidRPr="00FA0D37">
              <w:rPr>
                <w:i/>
                <w:szCs w:val="22"/>
                <w:lang w:eastAsia="sv-SE"/>
              </w:rPr>
              <w:lastRenderedPageBreak/>
              <w:t xml:space="preserve">NTN-Config </w:t>
            </w:r>
            <w:r w:rsidRPr="00FA0D37">
              <w:rPr>
                <w:szCs w:val="22"/>
                <w:lang w:eastAsia="sv-SE"/>
              </w:rPr>
              <w:t>field descriptions</w:t>
            </w:r>
          </w:p>
        </w:tc>
      </w:tr>
      <w:tr w:rsidR="005C7FF4" w:rsidRPr="00FA0D37"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CA76C69" w:rsidR="005B7637" w:rsidRPr="00FA0D37" w:rsidRDefault="005B7637" w:rsidP="00771058">
            <w:pPr>
              <w:pStyle w:val="TAL"/>
              <w:rPr>
                <w:b/>
                <w:bCs/>
              </w:rPr>
            </w:pPr>
            <w:r w:rsidRPr="00FA0D37">
              <w:rPr>
                <w:b/>
                <w:bCs/>
                <w:i/>
              </w:rPr>
              <w:t>EphemerisInfo</w:t>
            </w:r>
          </w:p>
          <w:p w14:paraId="0CD777B8" w14:textId="64DD5A77" w:rsidR="005B7637" w:rsidRPr="00FA0D37" w:rsidRDefault="005B7637" w:rsidP="00771058">
            <w:pPr>
              <w:pStyle w:val="TAL"/>
              <w:rPr>
                <w:b/>
                <w:i/>
                <w:szCs w:val="22"/>
                <w:lang w:eastAsia="sv-SE"/>
              </w:rPr>
            </w:pPr>
            <w:r w:rsidRPr="00FA0D37">
              <w:t xml:space="preserve">This field provides satellite ephemeris either in format of position and velocity state vector or in format of orbital parameters. This field is excluded when determining changes in system information, i.e. </w:t>
            </w:r>
            <w:r w:rsidR="001163BA" w:rsidRPr="00FA0D37">
              <w:t xml:space="preserve">changes to ephemerisInfo </w:t>
            </w:r>
            <w:r w:rsidRPr="00FA0D37">
              <w:t xml:space="preserve">should neither result in system information change notifications nor in a modification of </w:t>
            </w:r>
            <w:r w:rsidRPr="00FA0D37">
              <w:rPr>
                <w:i/>
                <w:iCs/>
              </w:rPr>
              <w:t>valueTag</w:t>
            </w:r>
            <w:r w:rsidRPr="00FA0D37">
              <w:t xml:space="preserve"> in </w:t>
            </w:r>
            <w:r w:rsidRPr="00FA0D37">
              <w:rPr>
                <w:i/>
                <w:iCs/>
              </w:rPr>
              <w:t>SIB1</w:t>
            </w:r>
            <w:r w:rsidRPr="00FA0D37">
              <w:t>.</w:t>
            </w:r>
          </w:p>
        </w:tc>
      </w:tr>
      <w:tr w:rsidR="005C7FF4" w:rsidRPr="00FA0D37"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FA0D37" w:rsidRDefault="005B7637" w:rsidP="00771058">
            <w:pPr>
              <w:pStyle w:val="TAL"/>
              <w:rPr>
                <w:b/>
                <w:i/>
                <w:szCs w:val="22"/>
                <w:lang w:eastAsia="sv-SE"/>
              </w:rPr>
            </w:pPr>
            <w:r w:rsidRPr="00FA0D37">
              <w:rPr>
                <w:b/>
                <w:i/>
                <w:szCs w:val="22"/>
                <w:lang w:eastAsia="sv-SE"/>
              </w:rPr>
              <w:t>epochTime</w:t>
            </w:r>
          </w:p>
          <w:p w14:paraId="55249CCC" w14:textId="27223444" w:rsidR="005B7637" w:rsidRPr="00FA0D37" w:rsidRDefault="005B7637" w:rsidP="00771058">
            <w:pPr>
              <w:pStyle w:val="TAL"/>
              <w:rPr>
                <w:bCs/>
                <w:iCs/>
                <w:szCs w:val="22"/>
                <w:lang w:eastAsia="sv-SE"/>
              </w:rPr>
            </w:pPr>
            <w:r w:rsidRPr="00FA0D37">
              <w:rPr>
                <w:bCs/>
                <w:iCs/>
                <w:szCs w:val="22"/>
                <w:lang w:eastAsia="sv-SE"/>
              </w:rPr>
              <w:t xml:space="preserve">Indicate the epoch time for </w:t>
            </w:r>
            <w:r w:rsidR="001163BA" w:rsidRPr="00FA0D37">
              <w:rPr>
                <w:bCs/>
                <w:iCs/>
                <w:szCs w:val="22"/>
                <w:lang w:eastAsia="sv-SE"/>
              </w:rPr>
              <w:t xml:space="preserve">the NTN </w:t>
            </w:r>
            <w:r w:rsidRPr="00FA0D37">
              <w:rPr>
                <w:bCs/>
                <w:iCs/>
                <w:szCs w:val="22"/>
                <w:lang w:eastAsia="sv-SE"/>
              </w:rPr>
              <w:t xml:space="preserve">assistance information. When explicitly provided through SIB, or through dedicated signaling, </w:t>
            </w:r>
            <w:r w:rsidR="00A3134E" w:rsidRPr="00FA0D37">
              <w:rPr>
                <w:bCs/>
                <w:iCs/>
                <w:szCs w:val="22"/>
                <w:lang w:eastAsia="sv-SE"/>
              </w:rPr>
              <w:t xml:space="preserve">the </w:t>
            </w:r>
            <w:r w:rsidRPr="00FA0D37">
              <w:rPr>
                <w:bCs/>
                <w:i/>
                <w:szCs w:val="22"/>
                <w:lang w:eastAsia="sv-SE"/>
              </w:rPr>
              <w:t>EpochTime</w:t>
            </w:r>
            <w:r w:rsidRPr="00FA0D37">
              <w:rPr>
                <w:bCs/>
                <w:iCs/>
                <w:szCs w:val="22"/>
                <w:lang w:eastAsia="sv-SE"/>
              </w:rPr>
              <w:t xml:space="preserve"> is the starting time of a DL sub-frame, indicated by a SFN and a sub-frame number signaled together with the assistance information.</w:t>
            </w:r>
            <w:r w:rsidR="001163BA" w:rsidRPr="00FA0D37">
              <w:rPr>
                <w:bCs/>
                <w:iCs/>
                <w:szCs w:val="22"/>
                <w:lang w:eastAsia="sv-SE"/>
              </w:rPr>
              <w:t xml:space="preserve"> </w:t>
            </w:r>
            <w:r w:rsidR="00A3134E" w:rsidRPr="00FA0D37">
              <w:rPr>
                <w:bCs/>
                <w:iCs/>
                <w:szCs w:val="22"/>
                <w:lang w:eastAsia="sv-SE"/>
              </w:rPr>
              <w:t xml:space="preserve">For serving cell, the field </w:t>
            </w:r>
            <w:r w:rsidR="00A3134E" w:rsidRPr="00FA0D37">
              <w:rPr>
                <w:bCs/>
                <w:i/>
                <w:szCs w:val="22"/>
                <w:lang w:eastAsia="sv-SE"/>
              </w:rPr>
              <w:t>sfn</w:t>
            </w:r>
            <w:r w:rsidR="00A3134E" w:rsidRPr="00FA0D37">
              <w:rPr>
                <w:bCs/>
                <w:iCs/>
                <w:szCs w:val="22"/>
                <w:lang w:eastAsia="sv-SE"/>
              </w:rPr>
              <w:t xml:space="preserve"> indicates the current SFN or the next upcoming SFN after the frame where the message indicating the </w:t>
            </w:r>
            <w:r w:rsidR="00A3134E" w:rsidRPr="00FA0D37">
              <w:rPr>
                <w:bCs/>
                <w:i/>
                <w:szCs w:val="22"/>
                <w:lang w:eastAsia="sv-SE"/>
              </w:rPr>
              <w:t>epochTime</w:t>
            </w:r>
            <w:r w:rsidR="00A3134E" w:rsidRPr="00FA0D37">
              <w:rPr>
                <w:bCs/>
                <w:iCs/>
                <w:szCs w:val="22"/>
                <w:lang w:eastAsia="sv-SE"/>
              </w:rPr>
              <w:t xml:space="preserve"> is received. For neighbour cell, the </w:t>
            </w:r>
            <w:r w:rsidR="00A3134E" w:rsidRPr="00FA0D37">
              <w:rPr>
                <w:bCs/>
                <w:i/>
                <w:szCs w:val="22"/>
                <w:lang w:eastAsia="sv-SE"/>
              </w:rPr>
              <w:t>sfn</w:t>
            </w:r>
            <w:r w:rsidR="00A3134E" w:rsidRPr="00FA0D37">
              <w:rPr>
                <w:bCs/>
                <w:iCs/>
                <w:szCs w:val="22"/>
                <w:lang w:eastAsia="sv-SE"/>
              </w:rPr>
              <w:t xml:space="preserve"> indicates the SFN nearest to the frame where the message indicating the </w:t>
            </w:r>
            <w:r w:rsidR="00A3134E" w:rsidRPr="00FA0D37">
              <w:rPr>
                <w:bCs/>
                <w:i/>
                <w:szCs w:val="22"/>
                <w:lang w:eastAsia="sv-SE"/>
              </w:rPr>
              <w:t>epochTime</w:t>
            </w:r>
            <w:r w:rsidR="00A3134E" w:rsidRPr="00FA0D37">
              <w:rPr>
                <w:bCs/>
                <w:iCs/>
                <w:szCs w:val="22"/>
                <w:lang w:eastAsia="sv-SE"/>
              </w:rPr>
              <w:t xml:space="preserve"> is received. </w:t>
            </w:r>
            <w:r w:rsidRPr="00FA0D37">
              <w:rPr>
                <w:bCs/>
                <w:iCs/>
                <w:szCs w:val="22"/>
                <w:lang w:eastAsia="sv-SE"/>
              </w:rPr>
              <w:t xml:space="preserve">The reference point for epoch time of the serving </w:t>
            </w:r>
            <w:r w:rsidR="001F7EE3" w:rsidRPr="00FA0D37">
              <w:rPr>
                <w:bCs/>
                <w:iCs/>
                <w:szCs w:val="22"/>
                <w:lang w:eastAsia="sv-SE"/>
              </w:rPr>
              <w:t xml:space="preserve">or neighbour </w:t>
            </w:r>
            <w:r w:rsidR="00A3134E" w:rsidRPr="00FA0D37">
              <w:rPr>
                <w:bCs/>
                <w:iCs/>
                <w:szCs w:val="22"/>
                <w:lang w:eastAsia="sv-SE"/>
              </w:rPr>
              <w:t>NTN payload</w:t>
            </w:r>
            <w:r w:rsidRPr="00FA0D37">
              <w:rPr>
                <w:bCs/>
                <w:iCs/>
                <w:szCs w:val="22"/>
                <w:lang w:eastAsia="sv-SE"/>
              </w:rPr>
              <w:t xml:space="preserve"> ephemeris and Common TA parameters is the uplink time synchronization reference point.</w:t>
            </w:r>
            <w:r w:rsidRPr="00FA0D37">
              <w:t xml:space="preserve"> If this field is absent, the epoch time is the end of SI window where this SIB19 is scheduled. This field is mandatory present when </w:t>
            </w:r>
            <w:r w:rsidR="001F7EE3" w:rsidRPr="00FA0D37">
              <w:rPr>
                <w:i/>
                <w:iCs/>
              </w:rPr>
              <w:t>ntn-Config</w:t>
            </w:r>
            <w:r w:rsidR="001F7EE3" w:rsidRPr="00FA0D37">
              <w:t xml:space="preserve"> is </w:t>
            </w:r>
            <w:r w:rsidRPr="00FA0D37">
              <w:t>provided in dedicated configuration.</w:t>
            </w:r>
            <w:r w:rsidR="00771058" w:rsidRPr="00FA0D37">
              <w:t xml:space="preserve"> If this field is absent in </w:t>
            </w:r>
            <w:r w:rsidR="00771058" w:rsidRPr="00FA0D37">
              <w:rPr>
                <w:i/>
                <w:iCs/>
              </w:rPr>
              <w:t>ntn-Config</w:t>
            </w:r>
            <w:r w:rsidR="00771058" w:rsidRPr="00FA0D37">
              <w:t xml:space="preserve"> provided via </w:t>
            </w:r>
            <w:r w:rsidR="00771058" w:rsidRPr="00FA0D37">
              <w:rPr>
                <w:i/>
                <w:iCs/>
              </w:rPr>
              <w:t>NTN-NeighCellConfig</w:t>
            </w:r>
            <w:r w:rsidR="00771058" w:rsidRPr="00FA0D37">
              <w:t xml:space="preserve"> the UE uses epoch time </w:t>
            </w:r>
            <w:r w:rsidR="00A3134E" w:rsidRPr="00FA0D37">
              <w:t>of</w:t>
            </w:r>
            <w:r w:rsidR="00771058" w:rsidRPr="00FA0D37">
              <w:t xml:space="preserve"> the serving </w:t>
            </w:r>
            <w:r w:rsidR="00A3134E" w:rsidRPr="00FA0D37">
              <w:t>cell</w:t>
            </w:r>
            <w:r w:rsidR="001163BA" w:rsidRPr="00FA0D37">
              <w:t>, otherwise the field is based on the timing of the serving cell, i.e. the SFN and sub-frame number indicated in this field refers to the SFN and sub-frame of the serving cell</w:t>
            </w:r>
            <w:r w:rsidR="00771058" w:rsidRPr="00FA0D37">
              <w:t>. In case of handover</w:t>
            </w:r>
            <w:r w:rsidR="00A3134E" w:rsidRPr="00FA0D37">
              <w:t xml:space="preserve"> or conditional handover</w:t>
            </w:r>
            <w:r w:rsidR="00771058" w:rsidRPr="00FA0D37">
              <w:t xml:space="preserve">, this field is based on the timing of the target cell, i.e. the SFN and sub-frame number indicated in this field refers to the SFN and sub-frame of the target cell. </w:t>
            </w:r>
            <w:r w:rsidR="00A3134E" w:rsidRPr="00FA0D37">
              <w:t xml:space="preserve">For the target cell the UE considers epoch time, indicated by the SFN and sub-frame number in this field, to be the frame nearest to the frame in which the message indicating the epoch time is received. </w:t>
            </w:r>
            <w:r w:rsidR="00771058" w:rsidRPr="00FA0D37">
              <w:rPr>
                <w:rFonts w:eastAsia="宋体"/>
                <w:lang w:eastAsia="zh-CN"/>
              </w:rPr>
              <w:t xml:space="preserve">This field is excluded when determining changes in system information, i.e. </w:t>
            </w:r>
            <w:r w:rsidR="00771058" w:rsidRPr="00FA0D37">
              <w:rPr>
                <w:lang w:eastAsia="sv-SE"/>
              </w:rPr>
              <w:t xml:space="preserve">changes </w:t>
            </w:r>
            <w:r w:rsidR="001163BA" w:rsidRPr="00FA0D37">
              <w:rPr>
                <w:lang w:eastAsia="sv-SE"/>
              </w:rPr>
              <w:t>to</w:t>
            </w:r>
            <w:r w:rsidR="00771058" w:rsidRPr="00FA0D37">
              <w:rPr>
                <w:lang w:eastAsia="sv-SE"/>
              </w:rPr>
              <w:t xml:space="preserve"> </w:t>
            </w:r>
            <w:r w:rsidR="00771058" w:rsidRPr="00FA0D37">
              <w:rPr>
                <w:i/>
                <w:lang w:eastAsia="sv-SE"/>
              </w:rPr>
              <w:t>epochTime</w:t>
            </w:r>
            <w:r w:rsidR="00771058" w:rsidRPr="00FA0D37">
              <w:rPr>
                <w:lang w:eastAsia="sv-SE"/>
              </w:rPr>
              <w:t xml:space="preserve"> should neither result in system information change notifications nor in a modification of </w:t>
            </w:r>
            <w:r w:rsidR="00771058" w:rsidRPr="00FA0D37">
              <w:rPr>
                <w:i/>
                <w:lang w:eastAsia="sv-SE"/>
              </w:rPr>
              <w:t>valueTag</w:t>
            </w:r>
            <w:r w:rsidR="00771058" w:rsidRPr="00FA0D37">
              <w:rPr>
                <w:lang w:eastAsia="sv-SE"/>
              </w:rPr>
              <w:t xml:space="preserve"> in </w:t>
            </w:r>
            <w:r w:rsidR="00771058" w:rsidRPr="00FA0D37">
              <w:rPr>
                <w:i/>
                <w:iCs/>
                <w:lang w:eastAsia="sv-SE"/>
              </w:rPr>
              <w:t>SIB1</w:t>
            </w:r>
            <w:r w:rsidR="00771058" w:rsidRPr="00FA0D37">
              <w:rPr>
                <w:lang w:eastAsia="sv-SE"/>
              </w:rPr>
              <w:t>.</w:t>
            </w:r>
          </w:p>
        </w:tc>
      </w:tr>
      <w:tr w:rsidR="005C7FF4" w:rsidRPr="00FA0D37"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FA0D37" w:rsidRDefault="005B7637" w:rsidP="00771058">
            <w:pPr>
              <w:pStyle w:val="TAL"/>
              <w:rPr>
                <w:szCs w:val="22"/>
                <w:lang w:eastAsia="sv-SE"/>
              </w:rPr>
            </w:pPr>
            <w:r w:rsidRPr="00FA0D37">
              <w:rPr>
                <w:b/>
                <w:i/>
                <w:szCs w:val="22"/>
                <w:lang w:eastAsia="sv-SE"/>
              </w:rPr>
              <w:t>cellSpecificKoffset</w:t>
            </w:r>
          </w:p>
          <w:p w14:paraId="3A9F2383" w14:textId="15813D88" w:rsidR="005B7637" w:rsidRPr="00FA0D37" w:rsidRDefault="002D214E" w:rsidP="00771058">
            <w:pPr>
              <w:pStyle w:val="TAL"/>
              <w:rPr>
                <w:szCs w:val="22"/>
                <w:lang w:eastAsia="sv-SE"/>
              </w:rPr>
            </w:pPr>
            <w:r w:rsidRPr="00FA0D37">
              <w:rPr>
                <w:szCs w:val="22"/>
                <w:lang w:eastAsia="sv-SE"/>
              </w:rPr>
              <w:t>S</w:t>
            </w:r>
            <w:r w:rsidR="005B7637" w:rsidRPr="00FA0D37">
              <w:rPr>
                <w:szCs w:val="22"/>
                <w:lang w:eastAsia="sv-SE"/>
              </w:rPr>
              <w:t xml:space="preserve">cheduling offset used for the timing relationships that </w:t>
            </w:r>
            <w:r w:rsidR="001163BA" w:rsidRPr="00FA0D37">
              <w:rPr>
                <w:szCs w:val="22"/>
                <w:lang w:eastAsia="sv-SE"/>
              </w:rPr>
              <w:t>are</w:t>
            </w:r>
            <w:r w:rsidR="005B7637" w:rsidRPr="00FA0D37">
              <w:rPr>
                <w:szCs w:val="22"/>
                <w:lang w:eastAsia="sv-SE"/>
              </w:rPr>
              <w:t xml:space="preserve"> modified for NTN </w:t>
            </w:r>
            <w:r w:rsidR="008779EC" w:rsidRPr="00FA0D37">
              <w:rPr>
                <w:szCs w:val="22"/>
                <w:lang w:eastAsia="sv-SE"/>
              </w:rPr>
              <w:t>(</w:t>
            </w:r>
            <w:r w:rsidR="005B7637" w:rsidRPr="00FA0D37">
              <w:rPr>
                <w:szCs w:val="22"/>
                <w:lang w:eastAsia="sv-SE"/>
              </w:rPr>
              <w:t>see TS 38.2</w:t>
            </w:r>
            <w:r w:rsidR="001163BA" w:rsidRPr="00FA0D37">
              <w:rPr>
                <w:szCs w:val="22"/>
                <w:lang w:eastAsia="sv-SE"/>
              </w:rPr>
              <w:t>1</w:t>
            </w:r>
            <w:r w:rsidR="00A3134E" w:rsidRPr="00FA0D37">
              <w:rPr>
                <w:szCs w:val="22"/>
                <w:lang w:eastAsia="sv-SE"/>
              </w:rPr>
              <w:t>3</w:t>
            </w:r>
            <w:r w:rsidR="008779EC" w:rsidRPr="00FA0D37">
              <w:rPr>
                <w:szCs w:val="22"/>
                <w:lang w:eastAsia="sv-SE"/>
              </w:rPr>
              <w:t xml:space="preserve"> [13])</w:t>
            </w:r>
            <w:r w:rsidR="005B7637" w:rsidRPr="00FA0D37">
              <w:rPr>
                <w:szCs w:val="22"/>
                <w:lang w:eastAsia="sv-SE"/>
              </w:rPr>
              <w:t xml:space="preserve">. The unit of </w:t>
            </w:r>
            <w:r w:rsidR="001163BA" w:rsidRPr="00FA0D37">
              <w:rPr>
                <w:szCs w:val="22"/>
                <w:lang w:eastAsia="sv-SE"/>
              </w:rPr>
              <w:t xml:space="preserve">the field </w:t>
            </w:r>
            <w:r w:rsidR="005B7637" w:rsidRPr="00FA0D37">
              <w:rPr>
                <w:szCs w:val="22"/>
                <w:lang w:eastAsia="sv-SE"/>
              </w:rPr>
              <w:t xml:space="preserve">K_offset is number of slots for a given subcarrier spacing of 15 kHz. </w:t>
            </w:r>
            <w:r w:rsidR="00771058" w:rsidRPr="00FA0D37">
              <w:rPr>
                <w:szCs w:val="22"/>
                <w:lang w:eastAsia="sv-SE"/>
              </w:rPr>
              <w:t xml:space="preserve">If the field is absent </w:t>
            </w:r>
            <w:r w:rsidR="00771058" w:rsidRPr="00FA0D37">
              <w:rPr>
                <w:rFonts w:eastAsia="等线"/>
                <w:lang w:eastAsia="zh-CN"/>
              </w:rPr>
              <w:t>UE assumes value 0.</w:t>
            </w:r>
          </w:p>
        </w:tc>
      </w:tr>
      <w:tr w:rsidR="005C7FF4" w:rsidRPr="00FA0D37"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FA0D37" w:rsidRDefault="005B7637" w:rsidP="00771058">
            <w:pPr>
              <w:pStyle w:val="TAL"/>
              <w:rPr>
                <w:b/>
                <w:bCs/>
                <w:i/>
                <w:iCs/>
              </w:rPr>
            </w:pPr>
            <w:r w:rsidRPr="00FA0D37">
              <w:rPr>
                <w:b/>
                <w:bCs/>
                <w:i/>
                <w:iCs/>
              </w:rPr>
              <w:t>kmac</w:t>
            </w:r>
          </w:p>
          <w:p w14:paraId="3DF49D39" w14:textId="7B742A5C" w:rsidR="005B7637" w:rsidRPr="00FA0D37" w:rsidRDefault="002D214E" w:rsidP="004720B9">
            <w:pPr>
              <w:pStyle w:val="TAL"/>
              <w:rPr>
                <w:b/>
                <w:bCs/>
                <w:i/>
                <w:iCs/>
                <w:szCs w:val="22"/>
                <w:lang w:eastAsia="sv-SE"/>
              </w:rPr>
            </w:pPr>
            <w:r w:rsidRPr="00FA0D37">
              <w:rPr>
                <w:szCs w:val="22"/>
                <w:lang w:eastAsia="sv-SE"/>
              </w:rPr>
              <w:t>S</w:t>
            </w:r>
            <w:r w:rsidR="005B7637" w:rsidRPr="00FA0D37">
              <w:rPr>
                <w:szCs w:val="22"/>
                <w:lang w:eastAsia="sv-SE"/>
              </w:rPr>
              <w:t xml:space="preserve">cheduling offset provided by network if downlink and uplink frame timing are not aligned at gNB. </w:t>
            </w:r>
            <w:r w:rsidR="00771058" w:rsidRPr="00FA0D37">
              <w:rPr>
                <w:szCs w:val="22"/>
                <w:lang w:eastAsia="sv-SE"/>
              </w:rPr>
              <w:t xml:space="preserve">If the field is absent </w:t>
            </w:r>
            <w:r w:rsidR="00771058" w:rsidRPr="00FA0D37">
              <w:rPr>
                <w:rFonts w:eastAsia="等线"/>
                <w:lang w:eastAsia="zh-CN"/>
              </w:rPr>
              <w:t>UE assumes value 0.</w:t>
            </w:r>
            <w:r w:rsidR="005B7637" w:rsidRPr="00FA0D37">
              <w:rPr>
                <w:szCs w:val="22"/>
                <w:lang w:eastAsia="sv-SE"/>
              </w:rPr>
              <w:t xml:space="preserve"> </w:t>
            </w:r>
            <w:r w:rsidR="004720B9" w:rsidRPr="00FA0D37">
              <w:rPr>
                <w:szCs w:val="22"/>
                <w:lang w:eastAsia="sv-SE"/>
              </w:rPr>
              <w:t>In FR1, t</w:t>
            </w:r>
            <w:r w:rsidR="005B7637" w:rsidRPr="00FA0D37">
              <w:rPr>
                <w:szCs w:val="22"/>
                <w:lang w:eastAsia="sv-SE"/>
              </w:rPr>
              <w:t xml:space="preserve">he unit of </w:t>
            </w:r>
            <w:r w:rsidR="004720B9" w:rsidRPr="00FA0D37">
              <w:rPr>
                <w:i/>
                <w:szCs w:val="22"/>
                <w:lang w:eastAsia="sv-SE"/>
              </w:rPr>
              <w:t>kmac</w:t>
            </w:r>
            <w:r w:rsidR="005B7637" w:rsidRPr="00FA0D37">
              <w:rPr>
                <w:szCs w:val="22"/>
                <w:lang w:eastAsia="sv-SE"/>
              </w:rPr>
              <w:t xml:space="preserve"> is number of slots for a given subcarrier spacing</w:t>
            </w:r>
            <w:r w:rsidR="004720B9" w:rsidRPr="00FA0D37">
              <w:rPr>
                <w:szCs w:val="22"/>
                <w:lang w:eastAsia="sv-SE"/>
              </w:rPr>
              <w:t xml:space="preserve"> of 15 kHz</w:t>
            </w:r>
            <w:r w:rsidR="005B7637" w:rsidRPr="00FA0D37">
              <w:rPr>
                <w:szCs w:val="22"/>
                <w:lang w:eastAsia="sv-SE"/>
              </w:rPr>
              <w:t>.</w:t>
            </w:r>
          </w:p>
        </w:tc>
      </w:tr>
      <w:tr w:rsidR="005C7FF4" w:rsidRPr="00FA0D37"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FA0D37" w:rsidRDefault="005B7637" w:rsidP="00771058">
            <w:pPr>
              <w:pStyle w:val="TAL"/>
              <w:rPr>
                <w:b/>
                <w:bCs/>
                <w:i/>
                <w:iCs/>
              </w:rPr>
            </w:pPr>
            <w:r w:rsidRPr="00FA0D37">
              <w:rPr>
                <w:b/>
                <w:bCs/>
                <w:i/>
                <w:iCs/>
              </w:rPr>
              <w:t>ntn-PolarizationDL</w:t>
            </w:r>
          </w:p>
          <w:p w14:paraId="6479993B" w14:textId="695287FC" w:rsidR="005B7637" w:rsidRPr="00FA0D37" w:rsidRDefault="005B7637" w:rsidP="00771058">
            <w:pPr>
              <w:pStyle w:val="TAL"/>
            </w:pPr>
            <w:r w:rsidRPr="00FA0D37">
              <w:t xml:space="preserve">If present, this parameter indicates polarization information for </w:t>
            </w:r>
            <w:r w:rsidR="001163BA" w:rsidRPr="00FA0D37">
              <w:t>d</w:t>
            </w:r>
            <w:r w:rsidRPr="00FA0D37">
              <w:t>ownlink transmission on service link: including Right hand, Left hand circular polarizations (RHCP, LHCP) and Linear polarization.</w:t>
            </w:r>
          </w:p>
        </w:tc>
      </w:tr>
      <w:tr w:rsidR="005C7FF4" w:rsidRPr="00FA0D37"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FA0D37" w:rsidRDefault="005B7637" w:rsidP="00771058">
            <w:pPr>
              <w:pStyle w:val="TAL"/>
              <w:rPr>
                <w:b/>
                <w:bCs/>
                <w:i/>
                <w:iCs/>
              </w:rPr>
            </w:pPr>
            <w:r w:rsidRPr="00FA0D37">
              <w:rPr>
                <w:b/>
                <w:bCs/>
                <w:i/>
                <w:iCs/>
              </w:rPr>
              <w:t>ntn</w:t>
            </w:r>
            <w:r w:rsidR="00015613" w:rsidRPr="00FA0D37">
              <w:rPr>
                <w:b/>
                <w:bCs/>
                <w:i/>
                <w:iCs/>
              </w:rPr>
              <w:t>-</w:t>
            </w:r>
            <w:r w:rsidRPr="00FA0D37">
              <w:rPr>
                <w:b/>
                <w:bCs/>
                <w:i/>
                <w:iCs/>
              </w:rPr>
              <w:t>PolarizationUL</w:t>
            </w:r>
          </w:p>
          <w:p w14:paraId="2FBD8F51" w14:textId="153D2E70" w:rsidR="005B7637" w:rsidRPr="00FA0D37" w:rsidRDefault="005B7637" w:rsidP="00771058">
            <w:pPr>
              <w:pStyle w:val="TAL"/>
            </w:pPr>
            <w:r w:rsidRPr="00FA0D37">
              <w:t xml:space="preserve">If present, this parameter indicates Polarization information for </w:t>
            </w:r>
            <w:r w:rsidR="00A3134E" w:rsidRPr="00FA0D37">
              <w:t>u</w:t>
            </w:r>
            <w:r w:rsidRPr="00FA0D37">
              <w:t>plink service link.</w:t>
            </w:r>
          </w:p>
          <w:p w14:paraId="162FEEC5" w14:textId="1E37B92C" w:rsidR="005B7637" w:rsidRPr="00FA0D37" w:rsidRDefault="005B7637" w:rsidP="00771058">
            <w:pPr>
              <w:pStyle w:val="TAL"/>
            </w:pPr>
            <w:r w:rsidRPr="00FA0D37">
              <w:t>If not present and ntn</w:t>
            </w:r>
            <w:r w:rsidR="001163BA" w:rsidRPr="00FA0D37">
              <w:t>-</w:t>
            </w:r>
            <w:r w:rsidRPr="00FA0D37">
              <w:t xml:space="preserve">PolarizationDL is present, UE assumes </w:t>
            </w:r>
            <w:r w:rsidR="001163BA" w:rsidRPr="00FA0D37">
              <w:t>the</w:t>
            </w:r>
            <w:r w:rsidRPr="00FA0D37">
              <w:t xml:space="preserve"> same polarization for UL and DL.</w:t>
            </w:r>
          </w:p>
        </w:tc>
      </w:tr>
      <w:tr w:rsidR="005C7FF4" w:rsidRPr="00FA0D37"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FA0D37" w:rsidRDefault="005B7637" w:rsidP="00771058">
            <w:pPr>
              <w:pStyle w:val="TAL"/>
              <w:rPr>
                <w:b/>
                <w:bCs/>
                <w:i/>
                <w:iCs/>
              </w:rPr>
            </w:pPr>
            <w:r w:rsidRPr="00FA0D37">
              <w:rPr>
                <w:b/>
                <w:bCs/>
                <w:i/>
                <w:iCs/>
              </w:rPr>
              <w:t>ntn</w:t>
            </w:r>
            <w:r w:rsidR="00015613" w:rsidRPr="00FA0D37">
              <w:rPr>
                <w:b/>
                <w:bCs/>
                <w:i/>
                <w:iCs/>
              </w:rPr>
              <w:t>-</w:t>
            </w:r>
            <w:r w:rsidRPr="00FA0D37">
              <w:rPr>
                <w:b/>
                <w:bCs/>
                <w:i/>
                <w:iCs/>
              </w:rPr>
              <w:t>UlSyncValidityDuration</w:t>
            </w:r>
          </w:p>
          <w:p w14:paraId="2EE7C8E0" w14:textId="6D8C6BDF" w:rsidR="005B7637" w:rsidRPr="00FA0D37" w:rsidRDefault="005B7637" w:rsidP="00771058">
            <w:pPr>
              <w:pStyle w:val="TAL"/>
            </w:pPr>
            <w:r w:rsidRPr="00FA0D37">
              <w:t xml:space="preserve">A validity duration configured by the network for assistance information (i.e. Serving </w:t>
            </w:r>
            <w:r w:rsidR="001163BA" w:rsidRPr="00FA0D37">
              <w:t xml:space="preserve">and/or neighbour </w:t>
            </w:r>
            <w:r w:rsidRPr="00FA0D37">
              <w:t xml:space="preserve">satellite ephemeris and Common TA parameters) which indicates the maximum time </w:t>
            </w:r>
            <w:r w:rsidR="00A3134E" w:rsidRPr="00FA0D37">
              <w:t xml:space="preserve">duration (from </w:t>
            </w:r>
            <w:r w:rsidR="00A3134E" w:rsidRPr="00FA0D37">
              <w:rPr>
                <w:i/>
                <w:iCs/>
              </w:rPr>
              <w:t>epochTime</w:t>
            </w:r>
            <w:r w:rsidR="00A3134E" w:rsidRPr="00FA0D37">
              <w:t xml:space="preserve">) </w:t>
            </w:r>
            <w:r w:rsidRPr="00FA0D37">
              <w:t>during which the UE can apply assistance information without having acquired new assistance information.</w:t>
            </w:r>
          </w:p>
          <w:p w14:paraId="0D11FED6" w14:textId="674A783F" w:rsidR="005B7637" w:rsidRPr="00FA0D37" w:rsidRDefault="005B7637" w:rsidP="00771058">
            <w:pPr>
              <w:pStyle w:val="TAL"/>
              <w:rPr>
                <w:b/>
                <w:bCs/>
                <w:i/>
                <w:iCs/>
              </w:rPr>
            </w:pPr>
            <w:r w:rsidRPr="00FA0D37">
              <w:t xml:space="preserve">The unit of </w:t>
            </w:r>
            <w:r w:rsidRPr="00FA0D37">
              <w:rPr>
                <w:i/>
                <w:iCs/>
              </w:rPr>
              <w:t>ntn</w:t>
            </w:r>
            <w:r w:rsidR="00015613" w:rsidRPr="00FA0D37">
              <w:rPr>
                <w:i/>
                <w:iCs/>
              </w:rPr>
              <w:t>-</w:t>
            </w:r>
            <w:r w:rsidRPr="00FA0D37">
              <w:rPr>
                <w:i/>
                <w:iCs/>
              </w:rPr>
              <w:t>UlSyncValidityDuration</w:t>
            </w:r>
            <w:r w:rsidRPr="00FA0D37">
              <w:t xml:space="preserve"> is second. </w:t>
            </w:r>
            <w:r w:rsidR="001163BA" w:rsidRPr="00FA0D37">
              <w:t xml:space="preserve">Value </w:t>
            </w:r>
            <w:r w:rsidR="001163BA" w:rsidRPr="00FA0D37">
              <w:rPr>
                <w:i/>
                <w:iCs/>
              </w:rPr>
              <w:t>s5</w:t>
            </w:r>
            <w:r w:rsidR="001163BA" w:rsidRPr="00FA0D37">
              <w:t xml:space="preserve"> corresponds to 5 s, value </w:t>
            </w:r>
            <w:r w:rsidR="001163BA" w:rsidRPr="00FA0D37">
              <w:rPr>
                <w:i/>
                <w:iCs/>
              </w:rPr>
              <w:t>s10</w:t>
            </w:r>
            <w:r w:rsidR="001163BA" w:rsidRPr="00FA0D37">
              <w:t xml:space="preserve"> indicate 10 s and so on. </w:t>
            </w:r>
            <w:r w:rsidRPr="00FA0D37">
              <w:t>This parameter applies to both connected and idle mode UEs.</w:t>
            </w:r>
            <w:r w:rsidR="00771058" w:rsidRPr="00FA0D37">
              <w:t xml:space="preserve"> </w:t>
            </w:r>
            <w:r w:rsidR="001163BA" w:rsidRPr="00FA0D37">
              <w:t xml:space="preserve">If this field is absent in </w:t>
            </w:r>
            <w:r w:rsidR="001163BA" w:rsidRPr="00FA0D37">
              <w:rPr>
                <w:i/>
                <w:iCs/>
              </w:rPr>
              <w:t>ntn-Config</w:t>
            </w:r>
            <w:r w:rsidR="001163BA" w:rsidRPr="00FA0D37">
              <w:t xml:space="preserve"> provided via </w:t>
            </w:r>
            <w:r w:rsidR="001163BA" w:rsidRPr="00FA0D37">
              <w:rPr>
                <w:i/>
                <w:iCs/>
              </w:rPr>
              <w:t>NTN-NeighCellConfig</w:t>
            </w:r>
            <w:r w:rsidR="0052681B" w:rsidRPr="00FA0D37">
              <w:rPr>
                <w:i/>
                <w:iCs/>
              </w:rPr>
              <w:t>,</w:t>
            </w:r>
            <w:r w:rsidR="001163BA" w:rsidRPr="00FA0D37">
              <w:t xml:space="preserve"> the UE uses validity duration from the serving cell assistance information. </w:t>
            </w:r>
            <w:r w:rsidR="00771058" w:rsidRPr="00FA0D37">
              <w:rPr>
                <w:rFonts w:eastAsia="宋体"/>
                <w:lang w:eastAsia="zh-CN"/>
              </w:rPr>
              <w:t xml:space="preserve">This field is excluded when determining changes in system information, i.e. </w:t>
            </w:r>
            <w:r w:rsidR="00771058" w:rsidRPr="00FA0D37">
              <w:rPr>
                <w:lang w:eastAsia="sv-SE"/>
              </w:rPr>
              <w:t xml:space="preserve">changes of </w:t>
            </w:r>
            <w:r w:rsidR="00771058" w:rsidRPr="00FA0D37">
              <w:rPr>
                <w:i/>
                <w:lang w:eastAsia="sv-SE"/>
              </w:rPr>
              <w:t>ntn-UlSyncValidityDuration</w:t>
            </w:r>
            <w:r w:rsidR="00771058" w:rsidRPr="00FA0D37">
              <w:rPr>
                <w:lang w:eastAsia="sv-SE"/>
              </w:rPr>
              <w:t xml:space="preserve"> should neither result in system information change notifications nor in a modification of </w:t>
            </w:r>
            <w:r w:rsidR="00771058" w:rsidRPr="00FA0D37">
              <w:rPr>
                <w:i/>
                <w:lang w:eastAsia="sv-SE"/>
              </w:rPr>
              <w:t>valueTag</w:t>
            </w:r>
            <w:r w:rsidR="00771058" w:rsidRPr="00FA0D37">
              <w:rPr>
                <w:lang w:eastAsia="sv-SE"/>
              </w:rPr>
              <w:t xml:space="preserve"> in </w:t>
            </w:r>
            <w:r w:rsidR="00771058" w:rsidRPr="00FA0D37">
              <w:rPr>
                <w:i/>
                <w:iCs/>
                <w:lang w:eastAsia="sv-SE"/>
              </w:rPr>
              <w:t>SIB1</w:t>
            </w:r>
            <w:r w:rsidR="00771058" w:rsidRPr="00FA0D37">
              <w:rPr>
                <w:lang w:eastAsia="sv-SE"/>
              </w:rPr>
              <w:t xml:space="preserve">. </w:t>
            </w:r>
            <w:r w:rsidR="00771058" w:rsidRPr="00FA0D37">
              <w:rPr>
                <w:i/>
                <w:lang w:eastAsia="sv-SE"/>
              </w:rPr>
              <w:t>ntn-UlSyncValidityDuration</w:t>
            </w:r>
            <w:r w:rsidR="00771058" w:rsidRPr="00FA0D37">
              <w:rPr>
                <w:rFonts w:eastAsia="宋体"/>
                <w:lang w:eastAsia="zh-CN"/>
              </w:rPr>
              <w:t xml:space="preserve"> is only updated when at least one of </w:t>
            </w:r>
            <w:r w:rsidR="00771058" w:rsidRPr="00FA0D37">
              <w:rPr>
                <w:i/>
              </w:rPr>
              <w:t>epochTime</w:t>
            </w:r>
            <w:r w:rsidR="00771058" w:rsidRPr="00FA0D37">
              <w:rPr>
                <w:rFonts w:eastAsia="宋体"/>
                <w:lang w:eastAsia="zh-CN"/>
              </w:rPr>
              <w:t xml:space="preserve">, </w:t>
            </w:r>
            <w:r w:rsidR="00771058" w:rsidRPr="00FA0D37">
              <w:rPr>
                <w:i/>
              </w:rPr>
              <w:t>ta-Info</w:t>
            </w:r>
            <w:r w:rsidR="00771058" w:rsidRPr="00FA0D37">
              <w:rPr>
                <w:rFonts w:eastAsia="宋体"/>
                <w:lang w:eastAsia="zh-CN"/>
              </w:rPr>
              <w:t xml:space="preserve">, </w:t>
            </w:r>
            <w:r w:rsidR="00771058" w:rsidRPr="00FA0D37">
              <w:rPr>
                <w:i/>
              </w:rPr>
              <w:t>ephemerisInfo</w:t>
            </w:r>
            <w:r w:rsidR="00771058" w:rsidRPr="00FA0D37">
              <w:rPr>
                <w:rFonts w:eastAsia="宋体"/>
                <w:lang w:eastAsia="zh-CN"/>
              </w:rPr>
              <w:t xml:space="preserve"> is updated.</w:t>
            </w:r>
          </w:p>
        </w:tc>
      </w:tr>
      <w:tr w:rsidR="005C7FF4" w:rsidRPr="00FA0D37"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1DA737EB" w:rsidR="005B7637" w:rsidRPr="00FA0D37" w:rsidRDefault="00015613" w:rsidP="00771058">
            <w:pPr>
              <w:pStyle w:val="TAL"/>
              <w:rPr>
                <w:b/>
                <w:bCs/>
                <w:i/>
                <w:iCs/>
                <w:szCs w:val="22"/>
                <w:lang w:eastAsia="sv-SE"/>
              </w:rPr>
            </w:pPr>
            <w:r w:rsidRPr="00FA0D37">
              <w:rPr>
                <w:b/>
                <w:bCs/>
                <w:i/>
                <w:iCs/>
                <w:szCs w:val="22"/>
                <w:lang w:eastAsia="sv-SE"/>
              </w:rPr>
              <w:t>t</w:t>
            </w:r>
            <w:r w:rsidR="005B7637" w:rsidRPr="00FA0D37">
              <w:rPr>
                <w:b/>
                <w:bCs/>
                <w:i/>
                <w:iCs/>
                <w:szCs w:val="22"/>
                <w:lang w:eastAsia="sv-SE"/>
              </w:rPr>
              <w:t>a-Common</w:t>
            </w:r>
          </w:p>
          <w:p w14:paraId="1FCA5C86" w14:textId="03210F2E" w:rsidR="005B7637" w:rsidRPr="00FA0D37" w:rsidRDefault="0052681B" w:rsidP="00771058">
            <w:pPr>
              <w:pStyle w:val="TAL"/>
              <w:rPr>
                <w:szCs w:val="22"/>
                <w:lang w:eastAsia="sv-SE"/>
              </w:rPr>
            </w:pPr>
            <w:r w:rsidRPr="00FA0D37">
              <w:rPr>
                <w:szCs w:val="22"/>
                <w:lang w:eastAsia="sv-SE"/>
              </w:rPr>
              <w:t>N</w:t>
            </w:r>
            <w:r w:rsidR="005B7637" w:rsidRPr="00FA0D37">
              <w:rPr>
                <w:szCs w:val="22"/>
                <w:lang w:eastAsia="sv-SE"/>
              </w:rPr>
              <w:t xml:space="preserve">etwork-controlled common timing advanced value and it may include any timing offset considered necessary by the network. </w:t>
            </w:r>
            <w:r w:rsidR="00894E1D" w:rsidRPr="00FA0D37">
              <w:rPr>
                <w:i/>
                <w:iCs/>
                <w:szCs w:val="22"/>
                <w:lang w:eastAsia="sv-SE"/>
              </w:rPr>
              <w:t>ta-</w:t>
            </w:r>
            <w:r w:rsidR="005B7637" w:rsidRPr="00FA0D37">
              <w:rPr>
                <w:i/>
                <w:iCs/>
                <w:szCs w:val="22"/>
                <w:lang w:eastAsia="sv-SE"/>
              </w:rPr>
              <w:t>Common</w:t>
            </w:r>
            <w:r w:rsidR="005B7637" w:rsidRPr="00FA0D37">
              <w:rPr>
                <w:szCs w:val="22"/>
                <w:lang w:eastAsia="sv-SE"/>
              </w:rPr>
              <w:t xml:space="preserve"> with value of 0 is supported. The granularity of </w:t>
            </w:r>
            <w:r w:rsidR="00894E1D" w:rsidRPr="00FA0D37">
              <w:rPr>
                <w:i/>
                <w:iCs/>
                <w:szCs w:val="22"/>
                <w:lang w:eastAsia="sv-SE"/>
              </w:rPr>
              <w:t>ta-</w:t>
            </w:r>
            <w:r w:rsidR="005B7637" w:rsidRPr="00FA0D37">
              <w:rPr>
                <w:i/>
                <w:iCs/>
                <w:szCs w:val="22"/>
                <w:lang w:eastAsia="sv-SE"/>
              </w:rPr>
              <w:t>Common</w:t>
            </w:r>
            <w:r w:rsidR="005B7637" w:rsidRPr="00FA0D37">
              <w:rPr>
                <w:szCs w:val="22"/>
                <w:lang w:eastAsia="sv-SE"/>
              </w:rPr>
              <w:t xml:space="preserve"> is 4.07</w:t>
            </w:r>
            <w:r w:rsidR="00771058" w:rsidRPr="00FA0D37">
              <w:rPr>
                <w:szCs w:val="22"/>
                <w:lang w:eastAsia="sv-SE"/>
              </w:rPr>
              <w:t>2</w:t>
            </w:r>
            <w:r w:rsidR="005B7637" w:rsidRPr="00FA0D37">
              <w:rPr>
                <w:szCs w:val="22"/>
                <w:lang w:eastAsia="sv-SE"/>
              </w:rPr>
              <w:t xml:space="preserve"> × 10^(-3) μs. Values are given in unit of corresponding granularity. This field is excluded when determining changes in system information, i.e. </w:t>
            </w:r>
            <w:r w:rsidR="00771058" w:rsidRPr="00FA0D37">
              <w:rPr>
                <w:lang w:eastAsia="sv-SE"/>
              </w:rPr>
              <w:t xml:space="preserve">changes of </w:t>
            </w:r>
            <w:r w:rsidR="00771058" w:rsidRPr="00FA0D37">
              <w:rPr>
                <w:i/>
                <w:lang w:eastAsia="sv-SE"/>
              </w:rPr>
              <w:t>ta-Common</w:t>
            </w:r>
            <w:r w:rsidR="00771058" w:rsidRPr="00FA0D37">
              <w:rPr>
                <w:lang w:eastAsia="sv-SE"/>
              </w:rPr>
              <w:t xml:space="preserve"> should neither result in system information change notifications nor in a modification of </w:t>
            </w:r>
            <w:r w:rsidR="00771058" w:rsidRPr="00FA0D37">
              <w:rPr>
                <w:i/>
                <w:lang w:eastAsia="sv-SE"/>
              </w:rPr>
              <w:t>valueTag</w:t>
            </w:r>
            <w:r w:rsidR="00771058" w:rsidRPr="00FA0D37">
              <w:rPr>
                <w:lang w:eastAsia="sv-SE"/>
              </w:rPr>
              <w:t xml:space="preserve"> in SIB1.</w:t>
            </w:r>
          </w:p>
        </w:tc>
      </w:tr>
      <w:tr w:rsidR="005C7FF4" w:rsidRPr="00FA0D37"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041D9506" w:rsidR="005B7637" w:rsidRPr="00FA0D37" w:rsidRDefault="005B7637" w:rsidP="00771058">
            <w:pPr>
              <w:pStyle w:val="TAL"/>
              <w:rPr>
                <w:b/>
                <w:bCs/>
                <w:i/>
                <w:iCs/>
              </w:rPr>
            </w:pPr>
            <w:r w:rsidRPr="00FA0D37">
              <w:rPr>
                <w:b/>
                <w:bCs/>
                <w:i/>
                <w:iCs/>
              </w:rPr>
              <w:t>ta</w:t>
            </w:r>
            <w:r w:rsidR="00771058" w:rsidRPr="00FA0D37">
              <w:rPr>
                <w:b/>
                <w:bCs/>
                <w:i/>
                <w:iCs/>
              </w:rPr>
              <w:t>-</w:t>
            </w:r>
            <w:r w:rsidRPr="00FA0D37">
              <w:rPr>
                <w:b/>
                <w:bCs/>
                <w:i/>
                <w:iCs/>
              </w:rPr>
              <w:t>CommonDrift</w:t>
            </w:r>
          </w:p>
          <w:p w14:paraId="2BBA6E9B" w14:textId="7F97C245" w:rsidR="005B7637" w:rsidRPr="00FA0D37" w:rsidRDefault="005B7637" w:rsidP="00771058">
            <w:pPr>
              <w:pStyle w:val="TAL"/>
              <w:rPr>
                <w:szCs w:val="22"/>
                <w:lang w:eastAsia="sv-SE"/>
              </w:rPr>
            </w:pPr>
            <w:r w:rsidRPr="00FA0D37">
              <w:rPr>
                <w:szCs w:val="22"/>
                <w:lang w:eastAsia="sv-SE"/>
              </w:rPr>
              <w:t xml:space="preserve">Indicate drift rate of the common TA. The granularity of </w:t>
            </w:r>
            <w:r w:rsidR="001163BA" w:rsidRPr="00FA0D37">
              <w:rPr>
                <w:szCs w:val="22"/>
                <w:lang w:eastAsia="sv-SE"/>
              </w:rPr>
              <w:t>ta-</w:t>
            </w:r>
            <w:r w:rsidRPr="00FA0D37">
              <w:rPr>
                <w:szCs w:val="22"/>
                <w:lang w:eastAsia="sv-SE"/>
              </w:rPr>
              <w:t>CommonDrift is 0.2 × 10^(-3) μs⁄s</w:t>
            </w:r>
            <w:r w:rsidR="00A3134E" w:rsidRPr="00FA0D37">
              <w:rPr>
                <w:szCs w:val="22"/>
                <w:lang w:eastAsia="sv-SE"/>
              </w:rPr>
              <w:t>.</w:t>
            </w:r>
            <w:r w:rsidRPr="00FA0D37">
              <w:rPr>
                <w:szCs w:val="22"/>
                <w:lang w:eastAsia="sv-SE"/>
              </w:rPr>
              <w:t xml:space="preserve"> Values are given in unit of corresponding granularity.</w:t>
            </w:r>
            <w:r w:rsidRPr="00FA0D37">
              <w:rPr>
                <w:rFonts w:eastAsia="宋体"/>
                <w:i/>
                <w:lang w:eastAsia="zh-CN"/>
              </w:rPr>
              <w:t xml:space="preserve"> </w:t>
            </w:r>
            <w:r w:rsidRPr="00FA0D37">
              <w:rPr>
                <w:rFonts w:eastAsia="宋体"/>
                <w:iCs/>
                <w:lang w:eastAsia="zh-CN"/>
              </w:rPr>
              <w:t xml:space="preserve">This field is excluded when determining changes in system information, i.e. </w:t>
            </w:r>
            <w:r w:rsidR="00771058" w:rsidRPr="00FA0D37">
              <w:rPr>
                <w:lang w:eastAsia="sv-SE"/>
              </w:rPr>
              <w:t xml:space="preserve">changes of </w:t>
            </w:r>
            <w:r w:rsidR="00771058" w:rsidRPr="00FA0D37">
              <w:rPr>
                <w:i/>
                <w:lang w:eastAsia="sv-SE"/>
              </w:rPr>
              <w:t>ta-CommonDrift</w:t>
            </w:r>
            <w:r w:rsidR="00771058" w:rsidRPr="00FA0D37">
              <w:rPr>
                <w:lang w:eastAsia="sv-SE"/>
              </w:rPr>
              <w:t xml:space="preserve"> should neither result in system information change notifications nor in a modification of </w:t>
            </w:r>
            <w:r w:rsidR="00771058" w:rsidRPr="00FA0D37">
              <w:rPr>
                <w:i/>
                <w:lang w:eastAsia="sv-SE"/>
              </w:rPr>
              <w:t>valueTag</w:t>
            </w:r>
            <w:r w:rsidR="00771058" w:rsidRPr="00FA0D37">
              <w:rPr>
                <w:lang w:eastAsia="sv-SE"/>
              </w:rPr>
              <w:t xml:space="preserve"> in SIB1.</w:t>
            </w:r>
          </w:p>
        </w:tc>
      </w:tr>
      <w:tr w:rsidR="005C7FF4" w:rsidRPr="00FA0D37"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55420834" w:rsidR="005B7637" w:rsidRPr="00FA0D37" w:rsidRDefault="005B7637" w:rsidP="00771058">
            <w:pPr>
              <w:pStyle w:val="TAL"/>
              <w:rPr>
                <w:b/>
                <w:bCs/>
                <w:i/>
                <w:iCs/>
              </w:rPr>
            </w:pPr>
            <w:r w:rsidRPr="00FA0D37">
              <w:rPr>
                <w:b/>
                <w:bCs/>
                <w:i/>
                <w:iCs/>
              </w:rPr>
              <w:lastRenderedPageBreak/>
              <w:t>ta</w:t>
            </w:r>
            <w:r w:rsidR="00771058" w:rsidRPr="00FA0D37">
              <w:rPr>
                <w:b/>
                <w:bCs/>
                <w:i/>
                <w:iCs/>
              </w:rPr>
              <w:t>-</w:t>
            </w:r>
            <w:r w:rsidRPr="00FA0D37">
              <w:rPr>
                <w:b/>
                <w:bCs/>
                <w:i/>
                <w:iCs/>
              </w:rPr>
              <w:t>CommonDriftVariant</w:t>
            </w:r>
          </w:p>
          <w:p w14:paraId="2D6E1D39" w14:textId="3696DE5C" w:rsidR="005B7637" w:rsidRPr="00FA0D37" w:rsidRDefault="005B7637" w:rsidP="00771058">
            <w:pPr>
              <w:pStyle w:val="TAL"/>
              <w:rPr>
                <w:szCs w:val="22"/>
                <w:lang w:eastAsia="sv-SE"/>
              </w:rPr>
            </w:pPr>
            <w:r w:rsidRPr="00FA0D37">
              <w:rPr>
                <w:szCs w:val="22"/>
                <w:lang w:eastAsia="sv-SE"/>
              </w:rPr>
              <w:t xml:space="preserve">Indicate drift rate variation of the common TA. The granularity of </w:t>
            </w:r>
            <w:r w:rsidR="001163BA" w:rsidRPr="00FA0D37">
              <w:rPr>
                <w:i/>
                <w:iCs/>
                <w:szCs w:val="22"/>
                <w:lang w:eastAsia="sv-SE"/>
              </w:rPr>
              <w:t>ta-</w:t>
            </w:r>
            <w:r w:rsidRPr="00FA0D37">
              <w:rPr>
                <w:i/>
                <w:iCs/>
                <w:szCs w:val="22"/>
                <w:lang w:eastAsia="sv-SE"/>
              </w:rPr>
              <w:t>CommonDriftVaria</w:t>
            </w:r>
            <w:r w:rsidR="00DF1A5D" w:rsidRPr="00FA0D37">
              <w:rPr>
                <w:i/>
                <w:iCs/>
                <w:szCs w:val="22"/>
                <w:lang w:eastAsia="sv-SE"/>
              </w:rPr>
              <w:t>n</w:t>
            </w:r>
            <w:r w:rsidRPr="00FA0D37">
              <w:rPr>
                <w:i/>
                <w:iCs/>
                <w:szCs w:val="22"/>
                <w:lang w:eastAsia="sv-SE"/>
              </w:rPr>
              <w:t>t</w:t>
            </w:r>
            <w:r w:rsidRPr="00FA0D37">
              <w:rPr>
                <w:szCs w:val="22"/>
                <w:lang w:eastAsia="sv-SE"/>
              </w:rPr>
              <w:t xml:space="preserve"> is 0.2×10^(-4) μs⁄s^2. Values are given in unit of corresponding granularity.</w:t>
            </w:r>
            <w:r w:rsidRPr="00FA0D37">
              <w:rPr>
                <w:rFonts w:eastAsia="宋体"/>
                <w:iCs/>
                <w:lang w:eastAsia="zh-CN"/>
              </w:rPr>
              <w:t xml:space="preserve"> This field is excluded when determining changes in system information, i.e. </w:t>
            </w:r>
            <w:r w:rsidR="00771058" w:rsidRPr="00FA0D37">
              <w:rPr>
                <w:lang w:eastAsia="sv-SE"/>
              </w:rPr>
              <w:t xml:space="preserve">changes of </w:t>
            </w:r>
            <w:r w:rsidR="00771058" w:rsidRPr="00FA0D37">
              <w:rPr>
                <w:i/>
                <w:lang w:eastAsia="sv-SE"/>
              </w:rPr>
              <w:t>ta-CommonDriftVariant</w:t>
            </w:r>
            <w:r w:rsidR="00771058" w:rsidRPr="00FA0D37">
              <w:rPr>
                <w:lang w:eastAsia="sv-SE"/>
              </w:rPr>
              <w:t xml:space="preserve"> should neither result in system information change notifications nor in a modification of </w:t>
            </w:r>
            <w:r w:rsidR="00771058" w:rsidRPr="00FA0D37">
              <w:rPr>
                <w:i/>
                <w:lang w:eastAsia="sv-SE"/>
              </w:rPr>
              <w:t>valueTag</w:t>
            </w:r>
            <w:r w:rsidR="00771058" w:rsidRPr="00FA0D37">
              <w:rPr>
                <w:lang w:eastAsia="sv-SE"/>
              </w:rPr>
              <w:t xml:space="preserve"> in SIB1.</w:t>
            </w:r>
          </w:p>
        </w:tc>
      </w:tr>
      <w:tr w:rsidR="00F747EB" w:rsidRPr="00FA0D37"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771058" w:rsidRPr="00FA0D37" w:rsidRDefault="00771058" w:rsidP="00771058">
            <w:pPr>
              <w:pStyle w:val="TAL"/>
              <w:rPr>
                <w:b/>
                <w:bCs/>
                <w:i/>
                <w:iCs/>
              </w:rPr>
            </w:pPr>
            <w:r w:rsidRPr="00FA0D37">
              <w:rPr>
                <w:b/>
                <w:bCs/>
                <w:i/>
                <w:iCs/>
              </w:rPr>
              <w:t>ta-Report</w:t>
            </w:r>
          </w:p>
          <w:p w14:paraId="5315EEA3" w14:textId="608F4DCB" w:rsidR="00771058" w:rsidRPr="00FA0D37" w:rsidRDefault="00771058" w:rsidP="00771058">
            <w:pPr>
              <w:pStyle w:val="TAL"/>
              <w:rPr>
                <w:b/>
                <w:bCs/>
                <w:i/>
                <w:iCs/>
              </w:rPr>
            </w:pPr>
            <w:r w:rsidRPr="00FA0D37">
              <w:t xml:space="preserve">When this field is included in SIB19, it indicates reporting </w:t>
            </w:r>
            <w:r w:rsidR="001163BA" w:rsidRPr="00FA0D37">
              <w:t xml:space="preserve">of timing advanced </w:t>
            </w:r>
            <w:r w:rsidRPr="00FA0D37">
              <w:t xml:space="preserve">is enabled during </w:t>
            </w:r>
            <w:r w:rsidRPr="00FA0D37">
              <w:rPr>
                <w:rFonts w:eastAsia="Malgun Gothic"/>
                <w:lang w:eastAsia="ko-KR"/>
              </w:rPr>
              <w:t>Random Access due to</w:t>
            </w:r>
            <w:r w:rsidRPr="00FA0D37">
              <w:t xml:space="preserve"> RRC connection establishment </w:t>
            </w:r>
            <w:r w:rsidR="001163BA" w:rsidRPr="00FA0D37">
              <w:t xml:space="preserve">or </w:t>
            </w:r>
            <w:r w:rsidRPr="00FA0D37">
              <w:t>RRC connection resume</w:t>
            </w:r>
            <w:r w:rsidR="001163BA" w:rsidRPr="00FA0D37">
              <w:t>, and during RRC connection reestablishment.</w:t>
            </w:r>
            <w:r w:rsidRPr="00FA0D37">
              <w:t xml:space="preserve"> When this field is included in </w:t>
            </w:r>
            <w:r w:rsidRPr="00FA0D37">
              <w:rPr>
                <w:rFonts w:eastAsia="MS Mincho"/>
                <w:bCs/>
                <w:i/>
                <w:iCs/>
                <w:szCs w:val="24"/>
                <w:lang w:eastAsia="en-GB"/>
              </w:rPr>
              <w:t>ServingCellConfigCommon</w:t>
            </w:r>
            <w:r w:rsidRPr="00FA0D37">
              <w:t xml:space="preserve"> within dedicated signalling, it indicates TA reporting is enabled during </w:t>
            </w:r>
            <w:r w:rsidRPr="00FA0D37">
              <w:rPr>
                <w:rFonts w:eastAsia="等线"/>
                <w:lang w:eastAsia="zh-CN"/>
              </w:rPr>
              <w:t>Random Access due to reconfiguration with sync</w:t>
            </w:r>
            <w:r w:rsidRPr="00FA0D37">
              <w:t xml:space="preserve"> (see TS 38.321 [3], clause </w:t>
            </w:r>
            <w:r w:rsidR="001163BA" w:rsidRPr="00FA0D37">
              <w:t>5.4.8</w:t>
            </w:r>
            <w:r w:rsidRPr="00FA0D37">
              <w:t>).</w:t>
            </w:r>
          </w:p>
        </w:tc>
      </w:tr>
    </w:tbl>
    <w:p w14:paraId="5B71C7ED" w14:textId="77777777" w:rsidR="001163BA" w:rsidRPr="00FA0D37"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FA0D37" w:rsidRDefault="001163BA" w:rsidP="0071565C">
            <w:pPr>
              <w:pStyle w:val="TAH"/>
              <w:rPr>
                <w:szCs w:val="22"/>
                <w:lang w:eastAsia="sv-SE"/>
              </w:rPr>
            </w:pPr>
            <w:r w:rsidRPr="00FA0D3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FA0D37" w:rsidRDefault="001163BA" w:rsidP="0071565C">
            <w:pPr>
              <w:pStyle w:val="TAH"/>
              <w:rPr>
                <w:szCs w:val="22"/>
                <w:lang w:eastAsia="sv-SE"/>
              </w:rPr>
            </w:pPr>
            <w:r w:rsidRPr="00FA0D37">
              <w:rPr>
                <w:szCs w:val="22"/>
                <w:lang w:eastAsia="sv-SE"/>
              </w:rPr>
              <w:t>Explanation</w:t>
            </w:r>
          </w:p>
        </w:tc>
      </w:tr>
      <w:tr w:rsidR="001163BA" w:rsidRPr="00FA0D37"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FA0D37" w:rsidRDefault="001163BA" w:rsidP="0071565C">
            <w:pPr>
              <w:pStyle w:val="TAL"/>
              <w:rPr>
                <w:i/>
                <w:szCs w:val="22"/>
                <w:lang w:eastAsia="sv-SE"/>
              </w:rPr>
            </w:pPr>
            <w:r w:rsidRPr="00FA0D37">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FA0D37" w:rsidRDefault="001163BA" w:rsidP="0071565C">
            <w:pPr>
              <w:pStyle w:val="TAL"/>
              <w:rPr>
                <w:szCs w:val="22"/>
                <w:lang w:eastAsia="sv-SE"/>
              </w:rPr>
            </w:pPr>
            <w:r w:rsidRPr="00FA0D37">
              <w:rPr>
                <w:szCs w:val="22"/>
                <w:lang w:eastAsia="sv-SE"/>
              </w:rPr>
              <w:t>The field is mandatory present for the serving cell in SIB19. The field is optionally present, Need R, otherwise.</w:t>
            </w:r>
          </w:p>
        </w:tc>
      </w:tr>
    </w:tbl>
    <w:p w14:paraId="7EBA06BF" w14:textId="77777777" w:rsidR="005B7637" w:rsidRPr="00FA0D37" w:rsidRDefault="005B7637" w:rsidP="00394471"/>
    <w:p w14:paraId="5B135E43" w14:textId="77777777" w:rsidR="00394471" w:rsidRPr="00FA0D37" w:rsidRDefault="00394471" w:rsidP="00394471">
      <w:pPr>
        <w:pStyle w:val="4"/>
      </w:pPr>
      <w:bookmarkStart w:id="1161" w:name="_Toc60777286"/>
      <w:bookmarkStart w:id="1162" w:name="_Toc146781361"/>
      <w:r w:rsidRPr="00FA0D37">
        <w:t>–</w:t>
      </w:r>
      <w:r w:rsidRPr="00FA0D37">
        <w:tab/>
      </w:r>
      <w:r w:rsidRPr="00FA0D37">
        <w:rPr>
          <w:i/>
        </w:rPr>
        <w:t>NZP-CSI-RS-Resource</w:t>
      </w:r>
      <w:bookmarkEnd w:id="1161"/>
      <w:bookmarkEnd w:id="1162"/>
    </w:p>
    <w:p w14:paraId="1114283A" w14:textId="77777777" w:rsidR="00394471" w:rsidRPr="00FA0D37" w:rsidRDefault="00394471" w:rsidP="00394471">
      <w:r w:rsidRPr="00FA0D37">
        <w:t xml:space="preserve">The IE </w:t>
      </w:r>
      <w:r w:rsidRPr="00FA0D37">
        <w:rPr>
          <w:i/>
        </w:rPr>
        <w:t>NZP-CSI-RS-Resource</w:t>
      </w:r>
      <w:r w:rsidRPr="00FA0D37">
        <w:t xml:space="preserve"> is used to configure Non-Zero-Power (NZP) CSI-RS transmitted in the cell where the IE is included, which the UE may be configured to measure on (see TS 38.214 [19], clause 5.2.2.3.1). </w:t>
      </w:r>
      <w:r w:rsidRPr="00FA0D37">
        <w:rPr>
          <w:szCs w:val="22"/>
        </w:rPr>
        <w:t xml:space="preserve">A change of configuration between periodic, semi-persistent or aperiodic for an </w:t>
      </w:r>
      <w:r w:rsidRPr="00FA0D37">
        <w:rPr>
          <w:i/>
        </w:rPr>
        <w:t>NZP-CSI-RS-Resource</w:t>
      </w:r>
      <w:r w:rsidRPr="00FA0D37">
        <w:rPr>
          <w:szCs w:val="22"/>
        </w:rPr>
        <w:t xml:space="preserve"> is not supported without a release and add.</w:t>
      </w:r>
    </w:p>
    <w:p w14:paraId="4D580486" w14:textId="77777777" w:rsidR="00394471" w:rsidRPr="00FA0D37" w:rsidRDefault="00394471" w:rsidP="00394471">
      <w:pPr>
        <w:pStyle w:val="TH"/>
      </w:pPr>
      <w:r w:rsidRPr="00FA0D37">
        <w:rPr>
          <w:i/>
        </w:rPr>
        <w:t>NZP-CSI-RS-Resource</w:t>
      </w:r>
      <w:r w:rsidRPr="00FA0D37">
        <w:t xml:space="preserve"> information element</w:t>
      </w:r>
    </w:p>
    <w:p w14:paraId="44B25F26" w14:textId="77777777" w:rsidR="00394471" w:rsidRPr="00FA0D37" w:rsidRDefault="00394471" w:rsidP="00FA0D37">
      <w:pPr>
        <w:pStyle w:val="PL"/>
        <w:rPr>
          <w:color w:val="808080"/>
        </w:rPr>
      </w:pPr>
      <w:r w:rsidRPr="00FA0D37">
        <w:rPr>
          <w:color w:val="808080"/>
        </w:rPr>
        <w:t>-- ASN1START</w:t>
      </w:r>
    </w:p>
    <w:p w14:paraId="09F8FFD0" w14:textId="77777777" w:rsidR="00394471" w:rsidRPr="00FA0D37" w:rsidRDefault="00394471" w:rsidP="00FA0D37">
      <w:pPr>
        <w:pStyle w:val="PL"/>
        <w:rPr>
          <w:color w:val="808080"/>
        </w:rPr>
      </w:pPr>
      <w:r w:rsidRPr="00FA0D37">
        <w:rPr>
          <w:color w:val="808080"/>
        </w:rPr>
        <w:t>-- TAG-NZP-CSI-RS-RESOURCE-START</w:t>
      </w:r>
    </w:p>
    <w:p w14:paraId="307A7B39" w14:textId="77777777" w:rsidR="00394471" w:rsidRPr="00FA0D37" w:rsidRDefault="00394471" w:rsidP="00FA0D37">
      <w:pPr>
        <w:pStyle w:val="PL"/>
      </w:pPr>
    </w:p>
    <w:p w14:paraId="65D5F712" w14:textId="77777777" w:rsidR="00394471" w:rsidRPr="00FA0D37" w:rsidRDefault="00394471" w:rsidP="00FA0D37">
      <w:pPr>
        <w:pStyle w:val="PL"/>
      </w:pPr>
      <w:r w:rsidRPr="00FA0D37">
        <w:t xml:space="preserve">NZP-CSI-RS-Resource ::=             </w:t>
      </w:r>
      <w:r w:rsidRPr="00FA0D37">
        <w:rPr>
          <w:color w:val="993366"/>
        </w:rPr>
        <w:t>SEQUENCE</w:t>
      </w:r>
      <w:r w:rsidRPr="00FA0D37">
        <w:t xml:space="preserve"> {</w:t>
      </w:r>
    </w:p>
    <w:p w14:paraId="5C7464AC" w14:textId="77777777" w:rsidR="00394471" w:rsidRPr="00FA0D37" w:rsidRDefault="00394471" w:rsidP="00FA0D37">
      <w:pPr>
        <w:pStyle w:val="PL"/>
      </w:pPr>
      <w:r w:rsidRPr="00FA0D37">
        <w:t xml:space="preserve">    nzp-CSI-RS-ResourceId               NZP-CSI-RS-ResourceId,</w:t>
      </w:r>
    </w:p>
    <w:p w14:paraId="78471357" w14:textId="77777777" w:rsidR="00394471" w:rsidRPr="00FA0D37" w:rsidRDefault="00394471" w:rsidP="00FA0D37">
      <w:pPr>
        <w:pStyle w:val="PL"/>
      </w:pPr>
      <w:r w:rsidRPr="00FA0D37">
        <w:t xml:space="preserve">    resourceMapping                     CSI-RS-ResourceMapping,</w:t>
      </w:r>
    </w:p>
    <w:p w14:paraId="59BDF048" w14:textId="77777777" w:rsidR="00394471" w:rsidRPr="00FA0D37" w:rsidRDefault="00394471" w:rsidP="00FA0D37">
      <w:pPr>
        <w:pStyle w:val="PL"/>
      </w:pPr>
      <w:r w:rsidRPr="00FA0D37">
        <w:t xml:space="preserve">    powerControlOffset                  </w:t>
      </w:r>
      <w:r w:rsidRPr="00FA0D37">
        <w:rPr>
          <w:color w:val="993366"/>
        </w:rPr>
        <w:t>INTEGER</w:t>
      </w:r>
      <w:r w:rsidRPr="00FA0D37">
        <w:t xml:space="preserve"> (-8..15),</w:t>
      </w:r>
    </w:p>
    <w:p w14:paraId="66B7E7C6" w14:textId="77777777" w:rsidR="00394471" w:rsidRPr="00FA0D37" w:rsidRDefault="00394471" w:rsidP="00FA0D37">
      <w:pPr>
        <w:pStyle w:val="PL"/>
        <w:rPr>
          <w:color w:val="808080"/>
        </w:rPr>
      </w:pPr>
      <w:r w:rsidRPr="00FA0D37">
        <w:t xml:space="preserve">    powerControlOffsetSS                </w:t>
      </w:r>
      <w:r w:rsidRPr="00FA0D37">
        <w:rPr>
          <w:color w:val="993366"/>
        </w:rPr>
        <w:t>ENUMERATED</w:t>
      </w:r>
      <w:r w:rsidRPr="00FA0D37">
        <w:t xml:space="preserve">{db-3, db0, db3, db6}                 </w:t>
      </w:r>
      <w:r w:rsidRPr="00FA0D37">
        <w:rPr>
          <w:color w:val="993366"/>
        </w:rPr>
        <w:t>OPTIONAL</w:t>
      </w:r>
      <w:r w:rsidRPr="00FA0D37">
        <w:t xml:space="preserve">,   </w:t>
      </w:r>
      <w:r w:rsidRPr="00FA0D37">
        <w:rPr>
          <w:color w:val="808080"/>
        </w:rPr>
        <w:t>-- Need R</w:t>
      </w:r>
    </w:p>
    <w:p w14:paraId="38438D2B" w14:textId="77777777" w:rsidR="00394471" w:rsidRPr="00FA0D37" w:rsidRDefault="00394471" w:rsidP="00FA0D37">
      <w:pPr>
        <w:pStyle w:val="PL"/>
      </w:pPr>
      <w:r w:rsidRPr="00FA0D37">
        <w:t xml:space="preserve">    scramblingID                        ScramblingId,</w:t>
      </w:r>
    </w:p>
    <w:p w14:paraId="128B763A" w14:textId="77777777" w:rsidR="00394471" w:rsidRPr="00FA0D37" w:rsidRDefault="00394471" w:rsidP="00FA0D37">
      <w:pPr>
        <w:pStyle w:val="PL"/>
        <w:rPr>
          <w:color w:val="808080"/>
        </w:rPr>
      </w:pPr>
      <w:r w:rsidRPr="00FA0D37">
        <w:t xml:space="preserve">    periodicityAndOffset                CSI-ResourcePeriodicityAndOffset                </w:t>
      </w:r>
      <w:r w:rsidRPr="00FA0D37">
        <w:rPr>
          <w:color w:val="993366"/>
        </w:rPr>
        <w:t>OPTIONAL</w:t>
      </w:r>
      <w:r w:rsidRPr="00FA0D37">
        <w:t xml:space="preserve">,   </w:t>
      </w:r>
      <w:r w:rsidRPr="00FA0D37">
        <w:rPr>
          <w:color w:val="808080"/>
        </w:rPr>
        <w:t>-- Cond PeriodicOrSemiPersistent</w:t>
      </w:r>
    </w:p>
    <w:p w14:paraId="0B434D1D" w14:textId="77777777" w:rsidR="00394471" w:rsidRPr="00FA0D37" w:rsidRDefault="00394471" w:rsidP="00FA0D37">
      <w:pPr>
        <w:pStyle w:val="PL"/>
        <w:rPr>
          <w:color w:val="808080"/>
        </w:rPr>
      </w:pPr>
      <w:r w:rsidRPr="00FA0D37">
        <w:t xml:space="preserve">    qcl-InfoPeriodicCSI-RS              TCI-StateId                                     </w:t>
      </w:r>
      <w:r w:rsidRPr="00FA0D37">
        <w:rPr>
          <w:color w:val="993366"/>
        </w:rPr>
        <w:t>OPTIONAL</w:t>
      </w:r>
      <w:r w:rsidRPr="00FA0D37">
        <w:t xml:space="preserve">,   </w:t>
      </w:r>
      <w:r w:rsidRPr="00FA0D37">
        <w:rPr>
          <w:color w:val="808080"/>
        </w:rPr>
        <w:t>-- Cond Periodic</w:t>
      </w:r>
    </w:p>
    <w:p w14:paraId="2FF2144C" w14:textId="77777777" w:rsidR="00394471" w:rsidRPr="00FA0D37" w:rsidRDefault="00394471" w:rsidP="00FA0D37">
      <w:pPr>
        <w:pStyle w:val="PL"/>
      </w:pPr>
      <w:r w:rsidRPr="00FA0D37">
        <w:t xml:space="preserve">    ...</w:t>
      </w:r>
    </w:p>
    <w:p w14:paraId="75017B60" w14:textId="77777777" w:rsidR="00394471" w:rsidRPr="00FA0D37" w:rsidRDefault="00394471" w:rsidP="00FA0D37">
      <w:pPr>
        <w:pStyle w:val="PL"/>
      </w:pPr>
      <w:r w:rsidRPr="00FA0D37">
        <w:t>}</w:t>
      </w:r>
    </w:p>
    <w:p w14:paraId="54E714EC" w14:textId="77777777" w:rsidR="00394471" w:rsidRPr="00FA0D37" w:rsidRDefault="00394471" w:rsidP="00FA0D37">
      <w:pPr>
        <w:pStyle w:val="PL"/>
      </w:pPr>
    </w:p>
    <w:p w14:paraId="401A9619" w14:textId="77777777" w:rsidR="00394471" w:rsidRPr="00FA0D37" w:rsidRDefault="00394471" w:rsidP="00FA0D37">
      <w:pPr>
        <w:pStyle w:val="PL"/>
        <w:rPr>
          <w:color w:val="808080"/>
        </w:rPr>
      </w:pPr>
      <w:r w:rsidRPr="00FA0D37">
        <w:rPr>
          <w:color w:val="808080"/>
        </w:rPr>
        <w:t>-- TAG-NZP-CSI-RS-RESOURCE-STOP</w:t>
      </w:r>
    </w:p>
    <w:p w14:paraId="56FD1A4B" w14:textId="77777777" w:rsidR="00394471" w:rsidRPr="00FA0D37" w:rsidRDefault="00394471" w:rsidP="00FA0D37">
      <w:pPr>
        <w:pStyle w:val="PL"/>
        <w:rPr>
          <w:color w:val="808080"/>
        </w:rPr>
      </w:pPr>
      <w:r w:rsidRPr="00FA0D37">
        <w:rPr>
          <w:color w:val="808080"/>
        </w:rPr>
        <w:t>-- ASN1STOP</w:t>
      </w:r>
    </w:p>
    <w:p w14:paraId="46E6879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FA0D37" w:rsidRDefault="00394471" w:rsidP="00964CC4">
            <w:pPr>
              <w:pStyle w:val="TAH"/>
              <w:rPr>
                <w:szCs w:val="22"/>
                <w:lang w:eastAsia="sv-SE"/>
              </w:rPr>
            </w:pPr>
            <w:r w:rsidRPr="00FA0D37">
              <w:rPr>
                <w:i/>
                <w:szCs w:val="22"/>
                <w:lang w:eastAsia="sv-SE"/>
              </w:rPr>
              <w:lastRenderedPageBreak/>
              <w:t xml:space="preserve">NZP-CSI-RS-Resource </w:t>
            </w:r>
            <w:r w:rsidRPr="00FA0D37">
              <w:rPr>
                <w:szCs w:val="22"/>
                <w:lang w:eastAsia="sv-SE"/>
              </w:rPr>
              <w:t>field descriptions</w:t>
            </w:r>
          </w:p>
        </w:tc>
      </w:tr>
      <w:tr w:rsidR="005C7FF4" w:rsidRPr="00FA0D37"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FA0D37" w:rsidRDefault="00394471" w:rsidP="00964CC4">
            <w:pPr>
              <w:pStyle w:val="TAL"/>
              <w:rPr>
                <w:szCs w:val="22"/>
                <w:lang w:eastAsia="sv-SE"/>
              </w:rPr>
            </w:pPr>
            <w:r w:rsidRPr="00FA0D37">
              <w:rPr>
                <w:b/>
                <w:i/>
                <w:szCs w:val="22"/>
                <w:lang w:eastAsia="sv-SE"/>
              </w:rPr>
              <w:t>periodicityAndOffset</w:t>
            </w:r>
          </w:p>
          <w:p w14:paraId="7CE14047" w14:textId="77777777" w:rsidR="00394471" w:rsidRPr="00FA0D37" w:rsidRDefault="00394471" w:rsidP="00964CC4">
            <w:pPr>
              <w:pStyle w:val="TAL"/>
              <w:rPr>
                <w:szCs w:val="22"/>
                <w:lang w:eastAsia="sv-SE"/>
              </w:rPr>
            </w:pPr>
            <w:r w:rsidRPr="00FA0D37">
              <w:rPr>
                <w:szCs w:val="22"/>
                <w:lang w:eastAsia="sv-SE"/>
              </w:rPr>
              <w:t xml:space="preserve">Periodicity and slot offset </w:t>
            </w:r>
            <w:r w:rsidRPr="00FA0D37">
              <w:rPr>
                <w:i/>
                <w:szCs w:val="22"/>
                <w:lang w:eastAsia="sv-SE"/>
              </w:rPr>
              <w:t>sl1</w:t>
            </w:r>
            <w:r w:rsidRPr="00FA0D37">
              <w:rPr>
                <w:szCs w:val="22"/>
                <w:lang w:eastAsia="sv-SE"/>
              </w:rPr>
              <w:t xml:space="preserve"> corresponds to a periodicity of 1 slot, </w:t>
            </w:r>
            <w:r w:rsidRPr="00FA0D37">
              <w:rPr>
                <w:i/>
                <w:szCs w:val="22"/>
                <w:lang w:eastAsia="sv-SE"/>
              </w:rPr>
              <w:t>sl2</w:t>
            </w:r>
            <w:r w:rsidRPr="00FA0D37">
              <w:rPr>
                <w:szCs w:val="22"/>
                <w:lang w:eastAsia="sv-SE"/>
              </w:rPr>
              <w:t xml:space="preserve"> to a periodicity of two slots, and so on. The corresponding offset is also given in number of slots (see TS 38.214 [19], clause 5.2.2.3.1). Network always configures</w:t>
            </w:r>
            <w:r w:rsidRPr="00FA0D37">
              <w:rPr>
                <w:lang w:eastAsia="sv-SE"/>
              </w:rPr>
              <w:t xml:space="preserve"> the UE with a value for</w:t>
            </w:r>
            <w:r w:rsidRPr="00FA0D37">
              <w:rPr>
                <w:szCs w:val="22"/>
                <w:lang w:eastAsia="sv-SE"/>
              </w:rPr>
              <w:t xml:space="preserve"> this field for periodic and semi-persistent </w:t>
            </w:r>
            <w:r w:rsidRPr="00FA0D37">
              <w:rPr>
                <w:lang w:eastAsia="sv-SE"/>
              </w:rPr>
              <w:t>NZP-CSI-RS-Resource</w:t>
            </w:r>
            <w:r w:rsidRPr="00FA0D37">
              <w:rPr>
                <w:szCs w:val="22"/>
                <w:lang w:eastAsia="sv-SE"/>
              </w:rPr>
              <w:t xml:space="preserve"> (as indicated in </w:t>
            </w:r>
            <w:r w:rsidRPr="00FA0D37">
              <w:rPr>
                <w:i/>
                <w:szCs w:val="22"/>
                <w:lang w:eastAsia="sv-SE"/>
              </w:rPr>
              <w:t>CSI-ResourceConfig</w:t>
            </w:r>
            <w:r w:rsidRPr="00FA0D37">
              <w:rPr>
                <w:szCs w:val="22"/>
                <w:lang w:eastAsia="sv-SE"/>
              </w:rPr>
              <w:t>).</w:t>
            </w:r>
          </w:p>
        </w:tc>
      </w:tr>
      <w:tr w:rsidR="005C7FF4" w:rsidRPr="00FA0D37"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FA0D37" w:rsidRDefault="00394471" w:rsidP="00964CC4">
            <w:pPr>
              <w:pStyle w:val="TAL"/>
              <w:rPr>
                <w:szCs w:val="22"/>
                <w:lang w:eastAsia="sv-SE"/>
              </w:rPr>
            </w:pPr>
            <w:r w:rsidRPr="00FA0D37">
              <w:rPr>
                <w:b/>
                <w:i/>
                <w:szCs w:val="22"/>
                <w:lang w:eastAsia="sv-SE"/>
              </w:rPr>
              <w:t>powerControlOffset</w:t>
            </w:r>
          </w:p>
          <w:p w14:paraId="02F3737E" w14:textId="77777777" w:rsidR="00394471" w:rsidRPr="00FA0D37" w:rsidRDefault="00394471" w:rsidP="00964CC4">
            <w:pPr>
              <w:pStyle w:val="TAL"/>
              <w:rPr>
                <w:szCs w:val="22"/>
                <w:lang w:eastAsia="sv-SE"/>
              </w:rPr>
            </w:pPr>
            <w:r w:rsidRPr="00FA0D37">
              <w:rPr>
                <w:szCs w:val="22"/>
                <w:lang w:eastAsia="sv-SE"/>
              </w:rPr>
              <w:t>Power offset of PDSCH RE to NZP CSI-RS RE. Value in dB (see TS 38.214 [19], clauses 5.2.2.3.1 and 4.1).</w:t>
            </w:r>
          </w:p>
        </w:tc>
      </w:tr>
      <w:tr w:rsidR="005C7FF4" w:rsidRPr="00FA0D37"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FA0D37" w:rsidRDefault="00394471" w:rsidP="00964CC4">
            <w:pPr>
              <w:pStyle w:val="TAL"/>
              <w:rPr>
                <w:szCs w:val="22"/>
                <w:lang w:eastAsia="sv-SE"/>
              </w:rPr>
            </w:pPr>
            <w:r w:rsidRPr="00FA0D37">
              <w:rPr>
                <w:b/>
                <w:i/>
                <w:szCs w:val="22"/>
                <w:lang w:eastAsia="sv-SE"/>
              </w:rPr>
              <w:t>powerControlOffsetSS</w:t>
            </w:r>
          </w:p>
          <w:p w14:paraId="61A0387A" w14:textId="77777777" w:rsidR="00394471" w:rsidRPr="00FA0D37" w:rsidRDefault="00394471" w:rsidP="00964CC4">
            <w:pPr>
              <w:pStyle w:val="TAL"/>
              <w:rPr>
                <w:szCs w:val="22"/>
                <w:lang w:eastAsia="sv-SE"/>
              </w:rPr>
            </w:pPr>
            <w:r w:rsidRPr="00FA0D37">
              <w:rPr>
                <w:szCs w:val="22"/>
                <w:lang w:eastAsia="sv-SE"/>
              </w:rPr>
              <w:t>Power offset of NZP CSI-RS RE to SSS RE. Value in dB (see TS 38.214 [19], clause 5.2.2.3.1).</w:t>
            </w:r>
          </w:p>
        </w:tc>
      </w:tr>
      <w:tr w:rsidR="005C7FF4" w:rsidRPr="00FA0D37"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FA0D37" w:rsidRDefault="00394471" w:rsidP="00964CC4">
            <w:pPr>
              <w:pStyle w:val="TAL"/>
              <w:rPr>
                <w:szCs w:val="22"/>
                <w:lang w:eastAsia="sv-SE"/>
              </w:rPr>
            </w:pPr>
            <w:r w:rsidRPr="00FA0D37">
              <w:rPr>
                <w:b/>
                <w:i/>
                <w:szCs w:val="22"/>
                <w:lang w:eastAsia="sv-SE"/>
              </w:rPr>
              <w:t>qcl-InfoPeriodicCSI-RS</w:t>
            </w:r>
          </w:p>
          <w:p w14:paraId="29F8C247" w14:textId="28E8269B" w:rsidR="00394471" w:rsidRPr="00FA0D37" w:rsidRDefault="00394471" w:rsidP="00964CC4">
            <w:pPr>
              <w:pStyle w:val="TAL"/>
              <w:rPr>
                <w:szCs w:val="22"/>
                <w:lang w:eastAsia="sv-SE"/>
              </w:rPr>
            </w:pPr>
            <w:r w:rsidRPr="00FA0D37">
              <w:rPr>
                <w:szCs w:val="22"/>
                <w:lang w:eastAsia="sv-SE"/>
              </w:rPr>
              <w:t xml:space="preserve">For a target periodic CSI-RS, contains a reference to one </w:t>
            </w:r>
            <w:r w:rsidRPr="00FA0D37">
              <w:rPr>
                <w:i/>
                <w:szCs w:val="22"/>
                <w:lang w:eastAsia="sv-SE"/>
              </w:rPr>
              <w:t xml:space="preserve">TCI-State </w:t>
            </w:r>
            <w:r w:rsidRPr="00FA0D37">
              <w:rPr>
                <w:szCs w:val="22"/>
                <w:lang w:eastAsia="sv-SE"/>
              </w:rPr>
              <w:t xml:space="preserve">in TCI-States for providing the QCL source and QCL type. For periodic CSI-RS, the source can be SSB or another periodic-CSI-RS. Refers to the </w:t>
            </w:r>
            <w:r w:rsidRPr="00FA0D37">
              <w:rPr>
                <w:i/>
                <w:szCs w:val="22"/>
                <w:lang w:eastAsia="sv-SE"/>
              </w:rPr>
              <w:t>TCI-State</w:t>
            </w:r>
            <w:r w:rsidR="00651368" w:rsidRPr="00FA0D37">
              <w:rPr>
                <w:i/>
                <w:szCs w:val="22"/>
                <w:lang w:eastAsia="sv-SE"/>
              </w:rPr>
              <w:t xml:space="preserve"> </w:t>
            </w:r>
            <w:r w:rsidR="00651368" w:rsidRPr="00FA0D37">
              <w:rPr>
                <w:iCs/>
                <w:szCs w:val="22"/>
                <w:lang w:eastAsia="sv-SE"/>
              </w:rPr>
              <w:t xml:space="preserve">or </w:t>
            </w:r>
            <w:r w:rsidR="00634EC2" w:rsidRPr="00FA0D37">
              <w:rPr>
                <w:i/>
                <w:szCs w:val="22"/>
                <w:lang w:eastAsia="sv-SE"/>
              </w:rPr>
              <w:t>dl-</w:t>
            </w:r>
            <w:r w:rsidR="00F35EF5" w:rsidRPr="00FA0D37">
              <w:rPr>
                <w:i/>
                <w:szCs w:val="22"/>
                <w:lang w:eastAsia="sv-SE"/>
              </w:rPr>
              <w:t>O</w:t>
            </w:r>
            <w:r w:rsidR="00634EC2" w:rsidRPr="00FA0D37">
              <w:rPr>
                <w:i/>
                <w:szCs w:val="22"/>
                <w:lang w:eastAsia="sv-SE"/>
              </w:rPr>
              <w:t>rJoint</w:t>
            </w:r>
            <w:r w:rsidR="00651368" w:rsidRPr="00FA0D37">
              <w:rPr>
                <w:i/>
                <w:szCs w:val="22"/>
                <w:lang w:eastAsia="sv-SE"/>
              </w:rPr>
              <w:t>-TCI</w:t>
            </w:r>
            <w:r w:rsidR="00634EC2" w:rsidRPr="00FA0D37">
              <w:rPr>
                <w:i/>
                <w:szCs w:val="22"/>
                <w:lang w:eastAsia="sv-SE"/>
              </w:rPr>
              <w:t>-</w:t>
            </w:r>
            <w:r w:rsidR="00651368" w:rsidRPr="00FA0D37">
              <w:rPr>
                <w:i/>
                <w:szCs w:val="22"/>
                <w:lang w:eastAsia="sv-SE"/>
              </w:rPr>
              <w:t>State</w:t>
            </w:r>
            <w:r w:rsidRPr="00FA0D37">
              <w:rPr>
                <w:i/>
                <w:szCs w:val="22"/>
                <w:lang w:eastAsia="sv-SE"/>
              </w:rPr>
              <w:t xml:space="preserve"> </w:t>
            </w:r>
            <w:r w:rsidRPr="00FA0D37">
              <w:rPr>
                <w:szCs w:val="22"/>
                <w:lang w:eastAsia="sv-SE"/>
              </w:rPr>
              <w:t xml:space="preserve">which has this value for </w:t>
            </w:r>
            <w:r w:rsidRPr="00FA0D37">
              <w:rPr>
                <w:i/>
                <w:szCs w:val="22"/>
                <w:lang w:eastAsia="sv-SE"/>
              </w:rPr>
              <w:t>tci-StateId</w:t>
            </w:r>
            <w:r w:rsidRPr="00FA0D37">
              <w:rPr>
                <w:szCs w:val="22"/>
                <w:lang w:eastAsia="sv-SE"/>
              </w:rPr>
              <w:t xml:space="preserve"> and is defined in </w:t>
            </w:r>
            <w:r w:rsidRPr="00FA0D37">
              <w:rPr>
                <w:i/>
                <w:szCs w:val="22"/>
                <w:lang w:eastAsia="sv-SE"/>
              </w:rPr>
              <w:t>tci-StatesToAddModList</w:t>
            </w:r>
            <w:r w:rsidRPr="00FA0D37">
              <w:rPr>
                <w:szCs w:val="22"/>
                <w:lang w:eastAsia="sv-SE"/>
              </w:rPr>
              <w:t xml:space="preserve"> </w:t>
            </w:r>
            <w:r w:rsidR="00651368" w:rsidRPr="00FA0D37">
              <w:rPr>
                <w:szCs w:val="22"/>
                <w:lang w:eastAsia="sv-SE"/>
              </w:rPr>
              <w:t xml:space="preserve">or in </w:t>
            </w:r>
            <w:r w:rsidR="00753A67" w:rsidRPr="00FA0D37">
              <w:rPr>
                <w:i/>
                <w:iCs/>
                <w:szCs w:val="22"/>
                <w:lang w:eastAsia="sv-SE"/>
              </w:rPr>
              <w:t>dl-OrJointTCI-StateList</w:t>
            </w:r>
            <w:r w:rsidR="00651368" w:rsidRPr="00FA0D37">
              <w:rPr>
                <w:szCs w:val="22"/>
                <w:lang w:eastAsia="sv-SE"/>
              </w:rPr>
              <w:t xml:space="preserve"> </w:t>
            </w:r>
            <w:r w:rsidRPr="00FA0D37">
              <w:rPr>
                <w:szCs w:val="22"/>
                <w:lang w:eastAsia="sv-SE"/>
              </w:rPr>
              <w:t xml:space="preserve">in the </w:t>
            </w:r>
            <w:r w:rsidRPr="00FA0D37">
              <w:rPr>
                <w:i/>
                <w:szCs w:val="22"/>
                <w:lang w:eastAsia="sv-SE"/>
              </w:rPr>
              <w:t>PDSCH-Config</w:t>
            </w:r>
            <w:r w:rsidRPr="00FA0D37">
              <w:rPr>
                <w:szCs w:val="22"/>
                <w:lang w:eastAsia="sv-SE"/>
              </w:rPr>
              <w:t xml:space="preserve"> included in the </w:t>
            </w:r>
            <w:r w:rsidRPr="00FA0D37">
              <w:rPr>
                <w:i/>
                <w:szCs w:val="22"/>
                <w:lang w:eastAsia="sv-SE"/>
              </w:rPr>
              <w:t>BWP-Downlink</w:t>
            </w:r>
            <w:r w:rsidRPr="00FA0D37">
              <w:rPr>
                <w:szCs w:val="22"/>
                <w:lang w:eastAsia="sv-SE"/>
              </w:rPr>
              <w:t xml:space="preserve"> corresponding to the serving cell and to the DL BWP to which the resource belongs to (see TS 38.214 [19], clause 5.2.2.3.1).</w:t>
            </w:r>
          </w:p>
        </w:tc>
      </w:tr>
      <w:tr w:rsidR="005C7FF4" w:rsidRPr="00FA0D37"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FA0D37" w:rsidRDefault="00394471" w:rsidP="00964CC4">
            <w:pPr>
              <w:pStyle w:val="TAL"/>
              <w:rPr>
                <w:szCs w:val="22"/>
                <w:lang w:eastAsia="sv-SE"/>
              </w:rPr>
            </w:pPr>
            <w:r w:rsidRPr="00FA0D37">
              <w:rPr>
                <w:b/>
                <w:i/>
                <w:szCs w:val="22"/>
                <w:lang w:eastAsia="sv-SE"/>
              </w:rPr>
              <w:t>resourceMapping</w:t>
            </w:r>
          </w:p>
          <w:p w14:paraId="58DB3A58" w14:textId="77777777" w:rsidR="00394471" w:rsidRPr="00FA0D37" w:rsidRDefault="00394471" w:rsidP="00964CC4">
            <w:pPr>
              <w:pStyle w:val="TAL"/>
              <w:rPr>
                <w:szCs w:val="22"/>
                <w:lang w:eastAsia="sv-SE"/>
              </w:rPr>
            </w:pPr>
            <w:r w:rsidRPr="00FA0D37">
              <w:rPr>
                <w:szCs w:val="22"/>
                <w:lang w:eastAsia="sv-SE"/>
              </w:rPr>
              <w:t>OFDM symbol location(s) in a slot and subcarrier occupancy in a PRB of the CSI-RS resource.</w:t>
            </w:r>
          </w:p>
        </w:tc>
      </w:tr>
      <w:tr w:rsidR="00394471" w:rsidRPr="00FA0D37"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FA0D37" w:rsidRDefault="00394471" w:rsidP="00964CC4">
            <w:pPr>
              <w:pStyle w:val="TAL"/>
              <w:rPr>
                <w:szCs w:val="22"/>
                <w:lang w:eastAsia="sv-SE"/>
              </w:rPr>
            </w:pPr>
            <w:r w:rsidRPr="00FA0D37">
              <w:rPr>
                <w:b/>
                <w:i/>
                <w:szCs w:val="22"/>
                <w:lang w:eastAsia="sv-SE"/>
              </w:rPr>
              <w:t>scramblingID</w:t>
            </w:r>
          </w:p>
          <w:p w14:paraId="0A47E2D8" w14:textId="77777777" w:rsidR="00394471" w:rsidRPr="00FA0D37" w:rsidRDefault="00394471" w:rsidP="00964CC4">
            <w:pPr>
              <w:pStyle w:val="TAL"/>
              <w:rPr>
                <w:szCs w:val="22"/>
                <w:lang w:eastAsia="sv-SE"/>
              </w:rPr>
            </w:pPr>
            <w:r w:rsidRPr="00FA0D37">
              <w:rPr>
                <w:szCs w:val="22"/>
                <w:lang w:eastAsia="sv-SE"/>
              </w:rPr>
              <w:t>Scrambling ID (see TS 38.214 [19], clause 5.2.2.3.1).</w:t>
            </w:r>
          </w:p>
        </w:tc>
      </w:tr>
    </w:tbl>
    <w:p w14:paraId="6B5E2BB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FA0D37" w:rsidRDefault="00394471" w:rsidP="00964CC4">
            <w:pPr>
              <w:pStyle w:val="TAH"/>
              <w:rPr>
                <w:noProof/>
                <w:szCs w:val="22"/>
                <w:lang w:eastAsia="sv-SE"/>
              </w:rPr>
            </w:pPr>
            <w:r w:rsidRPr="00FA0D37">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FA0D37" w:rsidRDefault="00394471" w:rsidP="00964CC4">
            <w:pPr>
              <w:pStyle w:val="TAH"/>
              <w:rPr>
                <w:noProof/>
                <w:szCs w:val="22"/>
                <w:lang w:eastAsia="sv-SE"/>
              </w:rPr>
            </w:pPr>
            <w:r w:rsidRPr="00FA0D37">
              <w:rPr>
                <w:noProof/>
                <w:szCs w:val="22"/>
                <w:lang w:eastAsia="sv-SE"/>
              </w:rPr>
              <w:t>Explanation</w:t>
            </w:r>
          </w:p>
        </w:tc>
      </w:tr>
      <w:tr w:rsidR="005C7FF4" w:rsidRPr="00FA0D37"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FA0D37" w:rsidRDefault="00394471" w:rsidP="00964CC4">
            <w:pPr>
              <w:pStyle w:val="TAL"/>
              <w:rPr>
                <w:i/>
                <w:noProof/>
                <w:szCs w:val="22"/>
                <w:lang w:eastAsia="sv-SE"/>
              </w:rPr>
            </w:pPr>
            <w:r w:rsidRPr="00FA0D37">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FA0D37" w:rsidRDefault="00394471" w:rsidP="00964CC4">
            <w:pPr>
              <w:pStyle w:val="TAL"/>
              <w:rPr>
                <w:noProof/>
                <w:szCs w:val="22"/>
                <w:lang w:eastAsia="sv-SE"/>
              </w:rPr>
            </w:pPr>
            <w:r w:rsidRPr="00FA0D37">
              <w:rPr>
                <w:noProof/>
                <w:szCs w:val="22"/>
                <w:lang w:eastAsia="sv-SE"/>
              </w:rPr>
              <w:t xml:space="preserve">The field is optionally present, Need M, for periodic </w:t>
            </w:r>
            <w:r w:rsidRPr="00FA0D37">
              <w:rPr>
                <w:i/>
                <w:noProof/>
                <w:szCs w:val="22"/>
                <w:lang w:eastAsia="sv-SE"/>
              </w:rPr>
              <w:t>NZP-CSI-RS-Resources</w:t>
            </w:r>
            <w:r w:rsidRPr="00FA0D37">
              <w:rPr>
                <w:noProof/>
                <w:szCs w:val="22"/>
                <w:lang w:eastAsia="sv-SE"/>
              </w:rPr>
              <w:t xml:space="preserve"> (as indicated in </w:t>
            </w:r>
            <w:r w:rsidRPr="00FA0D37">
              <w:rPr>
                <w:i/>
                <w:noProof/>
                <w:szCs w:val="22"/>
                <w:lang w:eastAsia="sv-SE"/>
              </w:rPr>
              <w:t>CSI-ResourceConfig</w:t>
            </w:r>
            <w:r w:rsidRPr="00FA0D37">
              <w:rPr>
                <w:noProof/>
                <w:szCs w:val="22"/>
                <w:lang w:eastAsia="sv-SE"/>
              </w:rPr>
              <w:t>). The field is absent otherwise.</w:t>
            </w:r>
          </w:p>
        </w:tc>
      </w:tr>
      <w:tr w:rsidR="00394471" w:rsidRPr="00FA0D37"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FA0D37" w:rsidRDefault="00394471" w:rsidP="00964CC4">
            <w:pPr>
              <w:pStyle w:val="TAL"/>
              <w:rPr>
                <w:i/>
                <w:noProof/>
                <w:szCs w:val="22"/>
                <w:lang w:eastAsia="sv-SE"/>
              </w:rPr>
            </w:pPr>
            <w:r w:rsidRPr="00FA0D37">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FA0D37" w:rsidRDefault="00394471" w:rsidP="00964CC4">
            <w:pPr>
              <w:pStyle w:val="TAL"/>
              <w:rPr>
                <w:noProof/>
                <w:szCs w:val="22"/>
                <w:lang w:eastAsia="sv-SE"/>
              </w:rPr>
            </w:pPr>
            <w:r w:rsidRPr="00FA0D37">
              <w:rPr>
                <w:noProof/>
                <w:szCs w:val="22"/>
                <w:lang w:eastAsia="sv-SE"/>
              </w:rPr>
              <w:t xml:space="preserve">The field is optionally present, Need M, for periodic and semi-persistent </w:t>
            </w:r>
            <w:r w:rsidRPr="00FA0D37">
              <w:rPr>
                <w:i/>
                <w:noProof/>
                <w:szCs w:val="22"/>
                <w:lang w:eastAsia="sv-SE"/>
              </w:rPr>
              <w:t>NZP-CSI-RS-Resources</w:t>
            </w:r>
            <w:r w:rsidRPr="00FA0D37">
              <w:rPr>
                <w:noProof/>
                <w:szCs w:val="22"/>
                <w:lang w:eastAsia="sv-SE"/>
              </w:rPr>
              <w:t xml:space="preserve"> (as indicated in </w:t>
            </w:r>
            <w:r w:rsidRPr="00FA0D37">
              <w:rPr>
                <w:i/>
                <w:noProof/>
                <w:szCs w:val="22"/>
                <w:lang w:eastAsia="sv-SE"/>
              </w:rPr>
              <w:t>CSI-ResourceConfig</w:t>
            </w:r>
            <w:r w:rsidRPr="00FA0D37">
              <w:rPr>
                <w:noProof/>
                <w:szCs w:val="22"/>
                <w:lang w:eastAsia="sv-SE"/>
              </w:rPr>
              <w:t>). The field is absent otherwise.</w:t>
            </w:r>
          </w:p>
        </w:tc>
      </w:tr>
    </w:tbl>
    <w:p w14:paraId="460EE16B" w14:textId="77777777" w:rsidR="00394471" w:rsidRPr="00FA0D37" w:rsidRDefault="00394471" w:rsidP="00394471"/>
    <w:p w14:paraId="43EA990B" w14:textId="77777777" w:rsidR="00394471" w:rsidRPr="00FA0D37" w:rsidRDefault="00394471" w:rsidP="00394471">
      <w:pPr>
        <w:pStyle w:val="4"/>
      </w:pPr>
      <w:bookmarkStart w:id="1163" w:name="_Toc60777287"/>
      <w:bookmarkStart w:id="1164" w:name="_Toc146781362"/>
      <w:r w:rsidRPr="00FA0D37">
        <w:t>–</w:t>
      </w:r>
      <w:r w:rsidRPr="00FA0D37">
        <w:tab/>
      </w:r>
      <w:r w:rsidRPr="00FA0D37">
        <w:rPr>
          <w:i/>
        </w:rPr>
        <w:t>NZP-CSI-RS-ResourceId</w:t>
      </w:r>
      <w:bookmarkEnd w:id="1163"/>
      <w:bookmarkEnd w:id="1164"/>
    </w:p>
    <w:p w14:paraId="19FE064D" w14:textId="77777777" w:rsidR="00394471" w:rsidRPr="00FA0D37" w:rsidRDefault="00394471" w:rsidP="00394471">
      <w:r w:rsidRPr="00FA0D37">
        <w:t xml:space="preserve">The IE </w:t>
      </w:r>
      <w:r w:rsidRPr="00FA0D37">
        <w:rPr>
          <w:i/>
        </w:rPr>
        <w:t>NZP-CSI-RS-ResourceId</w:t>
      </w:r>
      <w:r w:rsidRPr="00FA0D37">
        <w:t xml:space="preserve"> is used to identify one NZP-CSI-RS-Resource.</w:t>
      </w:r>
    </w:p>
    <w:p w14:paraId="41448081" w14:textId="77777777" w:rsidR="00394471" w:rsidRPr="00FA0D37" w:rsidRDefault="00394471" w:rsidP="00394471">
      <w:pPr>
        <w:pStyle w:val="TH"/>
      </w:pPr>
      <w:r w:rsidRPr="00FA0D37">
        <w:rPr>
          <w:i/>
        </w:rPr>
        <w:t>NZP-CSI-RS-ResourceId</w:t>
      </w:r>
      <w:r w:rsidRPr="00FA0D37">
        <w:t xml:space="preserve"> information element</w:t>
      </w:r>
    </w:p>
    <w:p w14:paraId="7C02A81B" w14:textId="77777777" w:rsidR="00394471" w:rsidRPr="00FA0D37" w:rsidRDefault="00394471" w:rsidP="00FA0D37">
      <w:pPr>
        <w:pStyle w:val="PL"/>
        <w:rPr>
          <w:color w:val="808080"/>
        </w:rPr>
      </w:pPr>
      <w:r w:rsidRPr="00FA0D37">
        <w:rPr>
          <w:color w:val="808080"/>
        </w:rPr>
        <w:t>-- ASN1START</w:t>
      </w:r>
    </w:p>
    <w:p w14:paraId="0CF80C72" w14:textId="77777777" w:rsidR="00394471" w:rsidRPr="00FA0D37" w:rsidRDefault="00394471" w:rsidP="00FA0D37">
      <w:pPr>
        <w:pStyle w:val="PL"/>
        <w:rPr>
          <w:color w:val="808080"/>
        </w:rPr>
      </w:pPr>
      <w:r w:rsidRPr="00FA0D37">
        <w:rPr>
          <w:color w:val="808080"/>
        </w:rPr>
        <w:t>-- TAG-NZP-CSI-RS-RESOURCEID-START</w:t>
      </w:r>
    </w:p>
    <w:p w14:paraId="230235FA" w14:textId="77777777" w:rsidR="00394471" w:rsidRPr="00FA0D37" w:rsidRDefault="00394471" w:rsidP="00FA0D37">
      <w:pPr>
        <w:pStyle w:val="PL"/>
      </w:pPr>
    </w:p>
    <w:p w14:paraId="26DD7304" w14:textId="77777777" w:rsidR="00394471" w:rsidRPr="00FA0D37" w:rsidRDefault="00394471" w:rsidP="00FA0D37">
      <w:pPr>
        <w:pStyle w:val="PL"/>
      </w:pPr>
      <w:r w:rsidRPr="00FA0D37">
        <w:t xml:space="preserve">NZP-CSI-RS-ResourceId ::=           </w:t>
      </w:r>
      <w:r w:rsidRPr="00FA0D37">
        <w:rPr>
          <w:color w:val="993366"/>
        </w:rPr>
        <w:t>INTEGER</w:t>
      </w:r>
      <w:r w:rsidRPr="00FA0D37">
        <w:t xml:space="preserve"> (0..maxNrofNZP-CSI-RS-Resources-1)</w:t>
      </w:r>
    </w:p>
    <w:p w14:paraId="189226F7" w14:textId="77777777" w:rsidR="00394471" w:rsidRPr="00FA0D37" w:rsidRDefault="00394471" w:rsidP="00FA0D37">
      <w:pPr>
        <w:pStyle w:val="PL"/>
      </w:pPr>
    </w:p>
    <w:p w14:paraId="39ED8249" w14:textId="77777777" w:rsidR="00394471" w:rsidRPr="00FA0D37" w:rsidRDefault="00394471" w:rsidP="00FA0D37">
      <w:pPr>
        <w:pStyle w:val="PL"/>
        <w:rPr>
          <w:color w:val="808080"/>
        </w:rPr>
      </w:pPr>
      <w:r w:rsidRPr="00FA0D37">
        <w:rPr>
          <w:color w:val="808080"/>
        </w:rPr>
        <w:t>-- TAG-NZP-CSI-RS-RESOURCEID-STOP</w:t>
      </w:r>
    </w:p>
    <w:p w14:paraId="67ABF8F8" w14:textId="77777777" w:rsidR="00394471" w:rsidRPr="00FA0D37" w:rsidRDefault="00394471" w:rsidP="00FA0D37">
      <w:pPr>
        <w:pStyle w:val="PL"/>
        <w:rPr>
          <w:color w:val="808080"/>
        </w:rPr>
      </w:pPr>
      <w:r w:rsidRPr="00FA0D37">
        <w:rPr>
          <w:color w:val="808080"/>
        </w:rPr>
        <w:t>-- ASN1STOP</w:t>
      </w:r>
    </w:p>
    <w:p w14:paraId="4B7B22C0" w14:textId="77777777" w:rsidR="00394471" w:rsidRPr="00FA0D37" w:rsidRDefault="00394471" w:rsidP="00394471"/>
    <w:p w14:paraId="4DF105BA" w14:textId="77777777" w:rsidR="00394471" w:rsidRPr="00FA0D37" w:rsidRDefault="00394471" w:rsidP="00394471">
      <w:pPr>
        <w:pStyle w:val="4"/>
      </w:pPr>
      <w:bookmarkStart w:id="1165" w:name="_Toc60777288"/>
      <w:bookmarkStart w:id="1166" w:name="_Toc146781363"/>
      <w:r w:rsidRPr="00FA0D37">
        <w:lastRenderedPageBreak/>
        <w:t>–</w:t>
      </w:r>
      <w:r w:rsidRPr="00FA0D37">
        <w:tab/>
      </w:r>
      <w:r w:rsidRPr="00FA0D37">
        <w:rPr>
          <w:i/>
        </w:rPr>
        <w:t>NZP-CSI-RS-ResourceSet</w:t>
      </w:r>
      <w:bookmarkEnd w:id="1165"/>
      <w:bookmarkEnd w:id="1166"/>
    </w:p>
    <w:p w14:paraId="32759294" w14:textId="77777777" w:rsidR="00394471" w:rsidRPr="00FA0D37" w:rsidRDefault="00394471" w:rsidP="00394471">
      <w:r w:rsidRPr="00FA0D37">
        <w:t xml:space="preserve">The IE </w:t>
      </w:r>
      <w:r w:rsidRPr="00FA0D37">
        <w:rPr>
          <w:i/>
        </w:rPr>
        <w:t>NZP-CSI-RS-ResourceSet</w:t>
      </w:r>
      <w:r w:rsidRPr="00FA0D37">
        <w:t xml:space="preserve"> is a set of Non-Zero-Power (NZP) CSI-RS resources (their IDs) and set-specific parameters.</w:t>
      </w:r>
    </w:p>
    <w:p w14:paraId="638501B8" w14:textId="77777777" w:rsidR="00394471" w:rsidRPr="00FA0D37" w:rsidRDefault="00394471" w:rsidP="00394471">
      <w:pPr>
        <w:pStyle w:val="TH"/>
      </w:pPr>
      <w:r w:rsidRPr="00FA0D37">
        <w:rPr>
          <w:i/>
        </w:rPr>
        <w:t>NZP-CSI-RS-ResourceSet</w:t>
      </w:r>
      <w:r w:rsidRPr="00FA0D37">
        <w:t xml:space="preserve"> information element</w:t>
      </w:r>
    </w:p>
    <w:p w14:paraId="009FD467" w14:textId="77777777" w:rsidR="00394471" w:rsidRPr="00FA0D37" w:rsidRDefault="00394471" w:rsidP="00FA0D37">
      <w:pPr>
        <w:pStyle w:val="PL"/>
        <w:rPr>
          <w:color w:val="808080"/>
        </w:rPr>
      </w:pPr>
      <w:r w:rsidRPr="00FA0D37">
        <w:rPr>
          <w:color w:val="808080"/>
        </w:rPr>
        <w:t>-- ASN1START</w:t>
      </w:r>
    </w:p>
    <w:p w14:paraId="0EA41DC1" w14:textId="77777777" w:rsidR="00394471" w:rsidRPr="00FA0D37" w:rsidRDefault="00394471" w:rsidP="00FA0D37">
      <w:pPr>
        <w:pStyle w:val="PL"/>
        <w:rPr>
          <w:color w:val="808080"/>
        </w:rPr>
      </w:pPr>
      <w:r w:rsidRPr="00FA0D37">
        <w:rPr>
          <w:color w:val="808080"/>
        </w:rPr>
        <w:t>-- TAG-NZP-CSI-RS-RESOURCESET-START</w:t>
      </w:r>
    </w:p>
    <w:p w14:paraId="11C442C8" w14:textId="77777777" w:rsidR="00CF2FD1" w:rsidRPr="00FA0D37" w:rsidRDefault="00CF2FD1" w:rsidP="00FA0D37">
      <w:pPr>
        <w:pStyle w:val="PL"/>
      </w:pPr>
    </w:p>
    <w:p w14:paraId="491640A4" w14:textId="521F31BF" w:rsidR="00394471" w:rsidRPr="00FA0D37" w:rsidRDefault="00394471" w:rsidP="00FA0D37">
      <w:pPr>
        <w:pStyle w:val="PL"/>
      </w:pPr>
      <w:r w:rsidRPr="00FA0D37">
        <w:t xml:space="preserve">NZP-CSI-RS-ResourceSet ::=          </w:t>
      </w:r>
      <w:r w:rsidRPr="00FA0D37">
        <w:rPr>
          <w:color w:val="993366"/>
        </w:rPr>
        <w:t>SEQUENCE</w:t>
      </w:r>
      <w:r w:rsidRPr="00FA0D37">
        <w:t xml:space="preserve"> {</w:t>
      </w:r>
    </w:p>
    <w:p w14:paraId="75BABC83" w14:textId="77777777" w:rsidR="00394471" w:rsidRPr="00FA0D37" w:rsidRDefault="00394471" w:rsidP="00FA0D37">
      <w:pPr>
        <w:pStyle w:val="PL"/>
      </w:pPr>
      <w:r w:rsidRPr="00FA0D37">
        <w:t xml:space="preserve">    nzp-CSI-ResourceSetId               NZP-CSI-RS-ResourceSetId,</w:t>
      </w:r>
    </w:p>
    <w:p w14:paraId="17DEE986" w14:textId="77777777" w:rsidR="00394471" w:rsidRPr="00FA0D37" w:rsidRDefault="00394471" w:rsidP="00FA0D37">
      <w:pPr>
        <w:pStyle w:val="PL"/>
      </w:pPr>
      <w:r w:rsidRPr="00FA0D37">
        <w:t xml:space="preserve">    nzp-CSI-RS-Resources                </w:t>
      </w:r>
      <w:r w:rsidRPr="00FA0D37">
        <w:rPr>
          <w:color w:val="993366"/>
        </w:rPr>
        <w:t>SEQUENCE</w:t>
      </w:r>
      <w:r w:rsidRPr="00FA0D37">
        <w:t xml:space="preserve"> (</w:t>
      </w:r>
      <w:r w:rsidRPr="00FA0D37">
        <w:rPr>
          <w:color w:val="993366"/>
        </w:rPr>
        <w:t>SIZE</w:t>
      </w:r>
      <w:r w:rsidRPr="00FA0D37">
        <w:t xml:space="preserve"> (1..maxNrofNZP-CSI-RS-ResourcesPerSet))</w:t>
      </w:r>
      <w:r w:rsidRPr="00FA0D37">
        <w:rPr>
          <w:color w:val="993366"/>
        </w:rPr>
        <w:t xml:space="preserve"> OF</w:t>
      </w:r>
      <w:r w:rsidRPr="00FA0D37">
        <w:t xml:space="preserve"> NZP-CSI-RS-ResourceId,</w:t>
      </w:r>
    </w:p>
    <w:p w14:paraId="5DB17DF0" w14:textId="77777777" w:rsidR="00394471" w:rsidRPr="00FA0D37" w:rsidRDefault="00394471" w:rsidP="00FA0D37">
      <w:pPr>
        <w:pStyle w:val="PL"/>
        <w:rPr>
          <w:color w:val="808080"/>
        </w:rPr>
      </w:pPr>
      <w:r w:rsidRPr="00FA0D37">
        <w:t xml:space="preserve">    repetition                          </w:t>
      </w:r>
      <w:r w:rsidRPr="00FA0D37">
        <w:rPr>
          <w:color w:val="993366"/>
        </w:rPr>
        <w:t>ENUMERATED</w:t>
      </w:r>
      <w:r w:rsidRPr="00FA0D37">
        <w:t xml:space="preserve"> { on, off }                                                  </w:t>
      </w:r>
      <w:r w:rsidRPr="00FA0D37">
        <w:rPr>
          <w:color w:val="993366"/>
        </w:rPr>
        <w:t>OPTIONAL</w:t>
      </w:r>
      <w:r w:rsidRPr="00FA0D37">
        <w:t xml:space="preserve">,   </w:t>
      </w:r>
      <w:r w:rsidRPr="00FA0D37">
        <w:rPr>
          <w:color w:val="808080"/>
        </w:rPr>
        <w:t>-- Need S</w:t>
      </w:r>
    </w:p>
    <w:p w14:paraId="7D394C3B" w14:textId="77777777" w:rsidR="00394471" w:rsidRPr="00FA0D37" w:rsidRDefault="00394471" w:rsidP="00FA0D37">
      <w:pPr>
        <w:pStyle w:val="PL"/>
        <w:rPr>
          <w:color w:val="808080"/>
        </w:rPr>
      </w:pPr>
      <w:r w:rsidRPr="00FA0D37">
        <w:t xml:space="preserve">    aperiodicTriggeringOffset           </w:t>
      </w:r>
      <w:r w:rsidRPr="00FA0D37">
        <w:rPr>
          <w:color w:val="993366"/>
        </w:rPr>
        <w:t>INTEGER</w:t>
      </w:r>
      <w:r w:rsidRPr="00FA0D37">
        <w:t xml:space="preserve">(0..6)                                                           </w:t>
      </w:r>
      <w:r w:rsidRPr="00FA0D37">
        <w:rPr>
          <w:color w:val="993366"/>
        </w:rPr>
        <w:t>OPTIONAL</w:t>
      </w:r>
      <w:r w:rsidRPr="00FA0D37">
        <w:t xml:space="preserve">,   </w:t>
      </w:r>
      <w:r w:rsidRPr="00FA0D37">
        <w:rPr>
          <w:color w:val="808080"/>
        </w:rPr>
        <w:t>-- Need S</w:t>
      </w:r>
    </w:p>
    <w:p w14:paraId="1A2E70CB" w14:textId="77777777" w:rsidR="00394471" w:rsidRPr="00FA0D37" w:rsidRDefault="00394471" w:rsidP="00FA0D37">
      <w:pPr>
        <w:pStyle w:val="PL"/>
        <w:rPr>
          <w:color w:val="808080"/>
        </w:rPr>
      </w:pPr>
      <w:r w:rsidRPr="00FA0D37">
        <w:t xml:space="preserve">    trs-Info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02A9CAE1" w14:textId="77777777" w:rsidR="00394471" w:rsidRPr="00FA0D37" w:rsidRDefault="00394471" w:rsidP="00FA0D37">
      <w:pPr>
        <w:pStyle w:val="PL"/>
      </w:pPr>
      <w:r w:rsidRPr="00FA0D37">
        <w:t xml:space="preserve">    ...,</w:t>
      </w:r>
    </w:p>
    <w:p w14:paraId="46D8D6E1" w14:textId="77777777" w:rsidR="00394471" w:rsidRPr="00FA0D37" w:rsidRDefault="00394471" w:rsidP="00FA0D37">
      <w:pPr>
        <w:pStyle w:val="PL"/>
      </w:pPr>
      <w:r w:rsidRPr="00FA0D37">
        <w:t xml:space="preserve">    [[</w:t>
      </w:r>
    </w:p>
    <w:p w14:paraId="07B857FA" w14:textId="77777777" w:rsidR="00394471" w:rsidRPr="00FA0D37" w:rsidRDefault="00394471" w:rsidP="00FA0D37">
      <w:pPr>
        <w:pStyle w:val="PL"/>
        <w:rPr>
          <w:color w:val="808080"/>
        </w:rPr>
      </w:pPr>
      <w:r w:rsidRPr="00FA0D37">
        <w:t xml:space="preserve">    aperiodicTriggeringOffset-r16       </w:t>
      </w:r>
      <w:r w:rsidRPr="00FA0D37">
        <w:rPr>
          <w:color w:val="993366"/>
        </w:rPr>
        <w:t>INTEGER</w:t>
      </w:r>
      <w:r w:rsidRPr="00FA0D37">
        <w:t xml:space="preserve">(0..31)                                                          </w:t>
      </w:r>
      <w:r w:rsidRPr="00FA0D37">
        <w:rPr>
          <w:color w:val="993366"/>
        </w:rPr>
        <w:t>OPTIONAL</w:t>
      </w:r>
      <w:r w:rsidRPr="00FA0D37">
        <w:t xml:space="preserve">   </w:t>
      </w:r>
      <w:r w:rsidRPr="00FA0D37">
        <w:rPr>
          <w:color w:val="808080"/>
        </w:rPr>
        <w:t>-- Need S</w:t>
      </w:r>
    </w:p>
    <w:p w14:paraId="311B2A27" w14:textId="403A5E1E" w:rsidR="00F27D15" w:rsidRPr="00FA0D37" w:rsidRDefault="00394471" w:rsidP="00FA0D37">
      <w:pPr>
        <w:pStyle w:val="PL"/>
      </w:pPr>
      <w:r w:rsidRPr="00FA0D37">
        <w:t xml:space="preserve">    ]]</w:t>
      </w:r>
      <w:r w:rsidR="00F27D15" w:rsidRPr="00FA0D37">
        <w:t>,</w:t>
      </w:r>
    </w:p>
    <w:p w14:paraId="7A2CD7AE" w14:textId="77777777" w:rsidR="00F27D15" w:rsidRPr="00FA0D37" w:rsidRDefault="00F27D15" w:rsidP="00FA0D37">
      <w:pPr>
        <w:pStyle w:val="PL"/>
      </w:pPr>
      <w:r w:rsidRPr="00FA0D37">
        <w:t xml:space="preserve">    [[</w:t>
      </w:r>
    </w:p>
    <w:p w14:paraId="255B3349" w14:textId="47559899" w:rsidR="00F27D15" w:rsidRPr="00FA0D37" w:rsidRDefault="00F27D15" w:rsidP="00FA0D37">
      <w:pPr>
        <w:pStyle w:val="PL"/>
        <w:rPr>
          <w:color w:val="808080"/>
        </w:rPr>
      </w:pPr>
      <w:r w:rsidRPr="00FA0D37">
        <w:t xml:space="preserve">    pdc-Info-r17                        </w:t>
      </w:r>
      <w:r w:rsidRPr="00FA0D37">
        <w:rPr>
          <w:color w:val="993366"/>
        </w:rPr>
        <w:t>ENUMERATED</w:t>
      </w:r>
      <w:r w:rsidRPr="00FA0D37">
        <w:t xml:space="preserve"> {true}                                                       </w:t>
      </w:r>
      <w:r w:rsidRPr="00FA0D37">
        <w:rPr>
          <w:color w:val="993366"/>
        </w:rPr>
        <w:t>OPTIONAL</w:t>
      </w:r>
      <w:r w:rsidR="00651368" w:rsidRPr="00FA0D37">
        <w:t>,</w:t>
      </w:r>
      <w:r w:rsidRPr="00FA0D37">
        <w:t xml:space="preserve">  </w:t>
      </w:r>
      <w:r w:rsidRPr="00FA0D37">
        <w:rPr>
          <w:color w:val="808080"/>
        </w:rPr>
        <w:t>-- Need R</w:t>
      </w:r>
    </w:p>
    <w:p w14:paraId="7501ED82" w14:textId="6FAB11D7" w:rsidR="00651368" w:rsidRPr="00FA0D37" w:rsidRDefault="00651368" w:rsidP="00FA0D37">
      <w:pPr>
        <w:pStyle w:val="PL"/>
        <w:rPr>
          <w:color w:val="808080"/>
        </w:rPr>
      </w:pPr>
      <w:r w:rsidRPr="00FA0D37">
        <w:t xml:space="preserve">    cmrGroupingAndPairing-r17           CMRGroupingAndPairing-r17                                               </w:t>
      </w:r>
      <w:r w:rsidRPr="00FA0D37">
        <w:rPr>
          <w:color w:val="993366"/>
        </w:rPr>
        <w:t>OPTIONAL</w:t>
      </w:r>
      <w:r w:rsidR="00CF2FD1" w:rsidRPr="00FA0D37">
        <w:t>,</w:t>
      </w:r>
      <w:r w:rsidRPr="00FA0D37">
        <w:t xml:space="preserve">  </w:t>
      </w:r>
      <w:r w:rsidRPr="00FA0D37">
        <w:rPr>
          <w:color w:val="808080"/>
        </w:rPr>
        <w:t>-- Need R</w:t>
      </w:r>
    </w:p>
    <w:p w14:paraId="18A29301" w14:textId="10D8677C" w:rsidR="00CF2FD1" w:rsidRPr="00FA0D37" w:rsidRDefault="00CF2FD1" w:rsidP="00FA0D37">
      <w:pPr>
        <w:pStyle w:val="PL"/>
        <w:rPr>
          <w:color w:val="808080"/>
        </w:rPr>
      </w:pPr>
      <w:r w:rsidRPr="00FA0D37">
        <w:t xml:space="preserve">    aperiodicTriggeringOffset-r17       </w:t>
      </w:r>
      <w:r w:rsidRPr="00FA0D37">
        <w:rPr>
          <w:color w:val="993366"/>
        </w:rPr>
        <w:t>INTEGER</w:t>
      </w:r>
      <w:r w:rsidRPr="00FA0D37">
        <w:t xml:space="preserve"> (0..124)                                                        </w:t>
      </w:r>
      <w:r w:rsidRPr="00FA0D37">
        <w:rPr>
          <w:color w:val="993366"/>
        </w:rPr>
        <w:t>OPTIONAL</w:t>
      </w:r>
      <w:r w:rsidR="00BA464C" w:rsidRPr="00FA0D37">
        <w:t>,</w:t>
      </w:r>
      <w:r w:rsidRPr="00FA0D37">
        <w:t xml:space="preserve">  </w:t>
      </w:r>
      <w:r w:rsidRPr="00FA0D37">
        <w:rPr>
          <w:color w:val="808080"/>
        </w:rPr>
        <w:t>-- Need S</w:t>
      </w:r>
    </w:p>
    <w:p w14:paraId="7E10F50D" w14:textId="77777777" w:rsidR="00BA464C" w:rsidRPr="00FA0D37" w:rsidRDefault="00BA464C" w:rsidP="00FA0D37">
      <w:pPr>
        <w:pStyle w:val="PL"/>
        <w:rPr>
          <w:color w:val="808080"/>
        </w:rPr>
      </w:pPr>
      <w:r w:rsidRPr="00FA0D37">
        <w:t xml:space="preserve">    aperiodicTriggeringOffsetL2-r17     </w:t>
      </w:r>
      <w:r w:rsidRPr="00FA0D37">
        <w:rPr>
          <w:color w:val="993366"/>
        </w:rPr>
        <w:t>INTEGER</w:t>
      </w:r>
      <w:r w:rsidRPr="00FA0D37">
        <w:t xml:space="preserve">(0..31)                                                          </w:t>
      </w:r>
      <w:r w:rsidRPr="00FA0D37">
        <w:rPr>
          <w:color w:val="993366"/>
        </w:rPr>
        <w:t>OPTIONAL</w:t>
      </w:r>
      <w:r w:rsidRPr="00FA0D37">
        <w:t xml:space="preserve">   </w:t>
      </w:r>
      <w:r w:rsidRPr="00FA0D37">
        <w:rPr>
          <w:color w:val="808080"/>
        </w:rPr>
        <w:t>-- Need R</w:t>
      </w:r>
    </w:p>
    <w:p w14:paraId="4613BAF5" w14:textId="307B1CE9" w:rsidR="00394471" w:rsidRPr="00FA0D37" w:rsidRDefault="00F27D15" w:rsidP="00FA0D37">
      <w:pPr>
        <w:pStyle w:val="PL"/>
      </w:pPr>
      <w:r w:rsidRPr="00FA0D37">
        <w:t xml:space="preserve">    ]]</w:t>
      </w:r>
    </w:p>
    <w:p w14:paraId="7DF81820" w14:textId="77777777" w:rsidR="00394471" w:rsidRPr="00FA0D37" w:rsidRDefault="00394471" w:rsidP="00FA0D37">
      <w:pPr>
        <w:pStyle w:val="PL"/>
      </w:pPr>
      <w:r w:rsidRPr="00FA0D37">
        <w:t>}</w:t>
      </w:r>
    </w:p>
    <w:p w14:paraId="603E1FAC" w14:textId="77777777" w:rsidR="00651368" w:rsidRPr="00FA0D37" w:rsidRDefault="00651368" w:rsidP="00FA0D37">
      <w:pPr>
        <w:pStyle w:val="PL"/>
      </w:pPr>
    </w:p>
    <w:p w14:paraId="4A51E559" w14:textId="7B5513CF" w:rsidR="00651368" w:rsidRPr="00FA0D37" w:rsidRDefault="00651368" w:rsidP="00FA0D37">
      <w:pPr>
        <w:pStyle w:val="PL"/>
      </w:pPr>
      <w:r w:rsidRPr="00FA0D37">
        <w:t xml:space="preserve">CMRGroupingAndPairing-r17 ::=        </w:t>
      </w:r>
      <w:r w:rsidRPr="00FA0D37">
        <w:rPr>
          <w:color w:val="993366"/>
        </w:rPr>
        <w:t>SEQUENCE</w:t>
      </w:r>
      <w:r w:rsidRPr="00FA0D37">
        <w:t xml:space="preserve"> {</w:t>
      </w:r>
    </w:p>
    <w:p w14:paraId="42D85555" w14:textId="5E27FCA4" w:rsidR="00651368" w:rsidRPr="00FA0D37" w:rsidRDefault="00651368" w:rsidP="00FA0D37">
      <w:pPr>
        <w:pStyle w:val="PL"/>
      </w:pPr>
      <w:r w:rsidRPr="00FA0D37">
        <w:t xml:space="preserve">    nrofResourcesGroup1-r17              </w:t>
      </w:r>
      <w:r w:rsidRPr="00FA0D37">
        <w:rPr>
          <w:color w:val="993366"/>
        </w:rPr>
        <w:t>INTEGER</w:t>
      </w:r>
      <w:r w:rsidRPr="00FA0D37">
        <w:t xml:space="preserve"> </w:t>
      </w:r>
      <w:r w:rsidR="00B06511" w:rsidRPr="00FA0D37">
        <w:t>(</w:t>
      </w:r>
      <w:r w:rsidRPr="00FA0D37">
        <w:t>1..7</w:t>
      </w:r>
      <w:r w:rsidR="00B06511" w:rsidRPr="00FA0D37">
        <w:t>)</w:t>
      </w:r>
      <w:r w:rsidRPr="00FA0D37">
        <w:t>,</w:t>
      </w:r>
    </w:p>
    <w:p w14:paraId="5DD4F9B2" w14:textId="0888EEDB" w:rsidR="00651368" w:rsidRPr="00FA0D37" w:rsidRDefault="00651368" w:rsidP="00FA0D37">
      <w:pPr>
        <w:pStyle w:val="PL"/>
        <w:rPr>
          <w:color w:val="808080"/>
        </w:rPr>
      </w:pPr>
      <w:r w:rsidRPr="00FA0D37">
        <w:t xml:space="preserve">    pair1OfNZP-CSI-RS-r17                NZP-CSI-RS-Pair</w:t>
      </w:r>
      <w:r w:rsidR="00B06511" w:rsidRPr="00FA0D37">
        <w:t>ing</w:t>
      </w:r>
      <w:r w:rsidRPr="00FA0D37">
        <w:t xml:space="preserve">-r17                                                 </w:t>
      </w:r>
      <w:r w:rsidRPr="00FA0D37">
        <w:rPr>
          <w:color w:val="993366"/>
        </w:rPr>
        <w:t>OPTIONAL</w:t>
      </w:r>
      <w:r w:rsidRPr="00FA0D37">
        <w:t xml:space="preserve">,  </w:t>
      </w:r>
      <w:r w:rsidRPr="00FA0D37">
        <w:rPr>
          <w:color w:val="808080"/>
        </w:rPr>
        <w:t>-- Need R</w:t>
      </w:r>
    </w:p>
    <w:p w14:paraId="4E7C016C" w14:textId="08400F1E" w:rsidR="00651368" w:rsidRPr="00FA0D37" w:rsidRDefault="00651368" w:rsidP="00FA0D37">
      <w:pPr>
        <w:pStyle w:val="PL"/>
        <w:rPr>
          <w:color w:val="808080"/>
        </w:rPr>
      </w:pPr>
      <w:r w:rsidRPr="00FA0D37">
        <w:t xml:space="preserve">    pair2OfNZP-CSI-RS-r17                NZP-CSI-RS-Pair</w:t>
      </w:r>
      <w:r w:rsidR="00B06511" w:rsidRPr="00FA0D37">
        <w:t>ing</w:t>
      </w:r>
      <w:r w:rsidRPr="00FA0D37">
        <w:t xml:space="preserve">-r17                                                 </w:t>
      </w:r>
      <w:r w:rsidRPr="00FA0D37">
        <w:rPr>
          <w:color w:val="993366"/>
        </w:rPr>
        <w:t>OPTIONAL</w:t>
      </w:r>
      <w:r w:rsidRPr="00FA0D37">
        <w:t xml:space="preserve">   </w:t>
      </w:r>
      <w:r w:rsidRPr="00FA0D37">
        <w:rPr>
          <w:color w:val="808080"/>
        </w:rPr>
        <w:t>-- Need R</w:t>
      </w:r>
    </w:p>
    <w:p w14:paraId="064F79B5" w14:textId="11B3CD81" w:rsidR="00651368" w:rsidRPr="00FA0D37" w:rsidRDefault="00651368" w:rsidP="00FA0D37">
      <w:pPr>
        <w:pStyle w:val="PL"/>
      </w:pPr>
      <w:r w:rsidRPr="00FA0D37">
        <w:t>}</w:t>
      </w:r>
    </w:p>
    <w:p w14:paraId="39DF7E6B" w14:textId="77777777" w:rsidR="00651368" w:rsidRPr="00FA0D37" w:rsidRDefault="00651368" w:rsidP="00FA0D37">
      <w:pPr>
        <w:pStyle w:val="PL"/>
      </w:pPr>
    </w:p>
    <w:p w14:paraId="31FCD6B1" w14:textId="7281DF82" w:rsidR="00651368" w:rsidRPr="00FA0D37" w:rsidRDefault="00651368" w:rsidP="00FA0D37">
      <w:pPr>
        <w:pStyle w:val="PL"/>
      </w:pPr>
      <w:r w:rsidRPr="00FA0D37">
        <w:t xml:space="preserve">NZP-CSI-RS-Pairing-r17  ::=          </w:t>
      </w:r>
      <w:r w:rsidRPr="00FA0D37">
        <w:rPr>
          <w:color w:val="993366"/>
        </w:rPr>
        <w:t>SEQUENCE</w:t>
      </w:r>
      <w:r w:rsidRPr="00FA0D37">
        <w:t xml:space="preserve"> {</w:t>
      </w:r>
    </w:p>
    <w:p w14:paraId="4BC51825" w14:textId="2E3DE27C" w:rsidR="00651368" w:rsidRPr="00FA0D37" w:rsidRDefault="00651368" w:rsidP="00FA0D37">
      <w:pPr>
        <w:pStyle w:val="PL"/>
      </w:pPr>
      <w:r w:rsidRPr="00FA0D37">
        <w:t xml:space="preserve">    nzp-CSI-RS-ResourceId</w:t>
      </w:r>
      <w:r w:rsidR="00B06511" w:rsidRPr="00FA0D37">
        <w:t>1</w:t>
      </w:r>
      <w:r w:rsidRPr="00FA0D37">
        <w:t xml:space="preserve">-r17           </w:t>
      </w:r>
      <w:r w:rsidR="003C4B12" w:rsidRPr="00FA0D37">
        <w:rPr>
          <w:color w:val="993366"/>
        </w:rPr>
        <w:t>INTEGER</w:t>
      </w:r>
      <w:r w:rsidR="003C4B12" w:rsidRPr="00FA0D37">
        <w:t xml:space="preserve"> (1..7)</w:t>
      </w:r>
      <w:r w:rsidRPr="00FA0D37">
        <w:t>,</w:t>
      </w:r>
    </w:p>
    <w:p w14:paraId="633C2718" w14:textId="17268AD6" w:rsidR="00651368" w:rsidRPr="00FA0D37" w:rsidRDefault="00651368" w:rsidP="00FA0D37">
      <w:pPr>
        <w:pStyle w:val="PL"/>
      </w:pPr>
      <w:r w:rsidRPr="00FA0D37">
        <w:t xml:space="preserve">    nzp-CSI-RS-ResourceId</w:t>
      </w:r>
      <w:r w:rsidR="00B06511" w:rsidRPr="00FA0D37">
        <w:t>2</w:t>
      </w:r>
      <w:r w:rsidRPr="00FA0D37">
        <w:t xml:space="preserve">-r17           </w:t>
      </w:r>
      <w:r w:rsidR="003C4B12" w:rsidRPr="00FA0D37">
        <w:rPr>
          <w:color w:val="993366"/>
        </w:rPr>
        <w:t>INTEGER</w:t>
      </w:r>
      <w:r w:rsidR="003C4B12" w:rsidRPr="00FA0D37">
        <w:t xml:space="preserve"> (1..7)</w:t>
      </w:r>
    </w:p>
    <w:p w14:paraId="15B4B3E4" w14:textId="77777777" w:rsidR="00651368" w:rsidRPr="00FA0D37" w:rsidRDefault="00651368" w:rsidP="00FA0D37">
      <w:pPr>
        <w:pStyle w:val="PL"/>
      </w:pPr>
      <w:r w:rsidRPr="00FA0D37">
        <w:t>}</w:t>
      </w:r>
    </w:p>
    <w:p w14:paraId="549A7EF5" w14:textId="77777777" w:rsidR="00651368" w:rsidRPr="00FA0D37" w:rsidRDefault="00651368" w:rsidP="00FA0D37">
      <w:pPr>
        <w:pStyle w:val="PL"/>
      </w:pPr>
    </w:p>
    <w:p w14:paraId="0D343A2E" w14:textId="77777777" w:rsidR="00394471" w:rsidRPr="00FA0D37" w:rsidRDefault="00394471" w:rsidP="00FA0D37">
      <w:pPr>
        <w:pStyle w:val="PL"/>
        <w:rPr>
          <w:color w:val="808080"/>
        </w:rPr>
      </w:pPr>
      <w:r w:rsidRPr="00FA0D37">
        <w:rPr>
          <w:color w:val="808080"/>
        </w:rPr>
        <w:t>-- TAG-NZP-CSI-RS-RESOURCESET-STOP</w:t>
      </w:r>
    </w:p>
    <w:p w14:paraId="27A8BCB2" w14:textId="77777777" w:rsidR="00394471" w:rsidRPr="00FA0D37" w:rsidRDefault="00394471" w:rsidP="00FA0D37">
      <w:pPr>
        <w:pStyle w:val="PL"/>
        <w:rPr>
          <w:color w:val="808080"/>
        </w:rPr>
      </w:pPr>
      <w:r w:rsidRPr="00FA0D37">
        <w:rPr>
          <w:color w:val="808080"/>
        </w:rPr>
        <w:t>-- ASN1STOP</w:t>
      </w:r>
    </w:p>
    <w:p w14:paraId="0F5BC52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FA0D37" w:rsidRDefault="00394471" w:rsidP="00964CC4">
            <w:pPr>
              <w:pStyle w:val="TAH"/>
              <w:rPr>
                <w:szCs w:val="22"/>
                <w:lang w:eastAsia="sv-SE"/>
              </w:rPr>
            </w:pPr>
            <w:r w:rsidRPr="00FA0D37">
              <w:rPr>
                <w:i/>
                <w:szCs w:val="22"/>
                <w:lang w:eastAsia="sv-SE"/>
              </w:rPr>
              <w:lastRenderedPageBreak/>
              <w:t xml:space="preserve">NZP-CSI-RS-ResourceSet </w:t>
            </w:r>
            <w:r w:rsidRPr="00FA0D37">
              <w:rPr>
                <w:szCs w:val="22"/>
                <w:lang w:eastAsia="sv-SE"/>
              </w:rPr>
              <w:t>field descriptions</w:t>
            </w:r>
          </w:p>
        </w:tc>
      </w:tr>
      <w:tr w:rsidR="005C7FF4" w:rsidRPr="00FA0D37"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394471" w:rsidRPr="00FA0D37" w:rsidRDefault="00394471" w:rsidP="00964CC4">
            <w:pPr>
              <w:pStyle w:val="TAL"/>
              <w:rPr>
                <w:szCs w:val="22"/>
                <w:lang w:eastAsia="sv-SE"/>
              </w:rPr>
            </w:pPr>
            <w:r w:rsidRPr="00FA0D37">
              <w:rPr>
                <w:b/>
                <w:i/>
                <w:szCs w:val="22"/>
                <w:lang w:eastAsia="sv-SE"/>
              </w:rPr>
              <w:t>aperiodicTriggeringOffset, aperiodicTriggeringOffset</w:t>
            </w:r>
            <w:r w:rsidRPr="00FA0D37">
              <w:rPr>
                <w:b/>
                <w:i/>
                <w:szCs w:val="22"/>
              </w:rPr>
              <w:t>-r16</w:t>
            </w:r>
            <w:r w:rsidR="00AB7C10" w:rsidRPr="00FA0D37">
              <w:rPr>
                <w:b/>
                <w:i/>
                <w:szCs w:val="22"/>
              </w:rPr>
              <w:t xml:space="preserve">, </w:t>
            </w:r>
            <w:r w:rsidR="00AB7C10" w:rsidRPr="00FA0D37">
              <w:rPr>
                <w:b/>
                <w:bCs/>
                <w:i/>
                <w:iCs/>
              </w:rPr>
              <w:t>aperiodicTriggeringOffset-r17</w:t>
            </w:r>
          </w:p>
          <w:p w14:paraId="28C75156" w14:textId="523AFED9" w:rsidR="00394471" w:rsidRPr="00FA0D37" w:rsidRDefault="00394471" w:rsidP="00964CC4">
            <w:pPr>
              <w:pStyle w:val="TAL"/>
              <w:rPr>
                <w:szCs w:val="22"/>
                <w:lang w:eastAsia="sv-SE"/>
              </w:rPr>
            </w:pPr>
            <w:r w:rsidRPr="00FA0D37">
              <w:rPr>
                <w:szCs w:val="22"/>
                <w:lang w:eastAsia="sv-SE"/>
              </w:rPr>
              <w:t xml:space="preserve">Offset X between the slot containing the DCI that triggers a set of aperiodic NZP CSI-RS resources and the slot in which the CSI-RS resource set is transmitted. For </w:t>
            </w:r>
            <w:r w:rsidRPr="00FA0D37">
              <w:rPr>
                <w:i/>
                <w:szCs w:val="22"/>
                <w:lang w:eastAsia="sv-SE"/>
              </w:rPr>
              <w:t>aperiodicTriggeringOffset</w:t>
            </w:r>
            <w:r w:rsidRPr="00FA0D37">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FA0D37">
              <w:rPr>
                <w:i/>
                <w:szCs w:val="22"/>
                <w:lang w:eastAsia="sv-SE"/>
              </w:rPr>
              <w:t>aperiodicTriggeringOffset</w:t>
            </w:r>
            <w:r w:rsidRPr="00FA0D37">
              <w:rPr>
                <w:i/>
                <w:szCs w:val="22"/>
              </w:rPr>
              <w:t>-r16</w:t>
            </w:r>
            <w:r w:rsidR="00AB7C10" w:rsidRPr="00FA0D37">
              <w:rPr>
                <w:szCs w:val="22"/>
                <w:lang w:eastAsia="sv-SE"/>
              </w:rPr>
              <w:t xml:space="preserve"> and </w:t>
            </w:r>
            <w:r w:rsidR="00AB7C10" w:rsidRPr="00FA0D37">
              <w:rPr>
                <w:i/>
                <w:iCs/>
              </w:rPr>
              <w:t>aperiodicTriggeringOffset-r17</w:t>
            </w:r>
            <w:r w:rsidRPr="00FA0D37">
              <w:rPr>
                <w:szCs w:val="22"/>
                <w:lang w:eastAsia="sv-SE"/>
              </w:rPr>
              <w:t xml:space="preserve">, the value indicates the number of slots. </w:t>
            </w:r>
            <w:r w:rsidR="00AB7C10" w:rsidRPr="00FA0D37">
              <w:rPr>
                <w:i/>
                <w:iCs/>
              </w:rPr>
              <w:t>aperiodicTriggeringOffset-r17</w:t>
            </w:r>
            <w:r w:rsidR="00AB7C10" w:rsidRPr="00FA0D37">
              <w:t xml:space="preserve"> is applicable to SCS 480 kHz and 960 kHz, and</w:t>
            </w:r>
            <w:r w:rsidR="00AB7C10" w:rsidRPr="00FA0D37">
              <w:rPr>
                <w:szCs w:val="22"/>
              </w:rPr>
              <w:t xml:space="preserve"> </w:t>
            </w:r>
            <w:r w:rsidR="00AB7C10" w:rsidRPr="00FA0D37">
              <w:t xml:space="preserve">only the values of integer multiples of 4 are valid, i.e. 0, 4, 8, and so on. </w:t>
            </w:r>
            <w:r w:rsidRPr="00FA0D37">
              <w:rPr>
                <w:szCs w:val="22"/>
                <w:lang w:eastAsia="sv-SE"/>
              </w:rPr>
              <w:t>The network configures only one of the fields. When neither field is included, the UE applies the value 0.</w:t>
            </w:r>
          </w:p>
        </w:tc>
      </w:tr>
      <w:tr w:rsidR="005C7FF4" w:rsidRPr="00FA0D37"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BA464C" w:rsidRPr="00FA0D37" w:rsidRDefault="00BA464C" w:rsidP="00BA464C">
            <w:pPr>
              <w:keepNext/>
              <w:keepLines/>
              <w:spacing w:after="0"/>
              <w:rPr>
                <w:rFonts w:ascii="Arial" w:hAnsi="Arial"/>
                <w:b/>
                <w:i/>
                <w:sz w:val="18"/>
                <w:szCs w:val="22"/>
                <w:lang w:eastAsia="sv-SE"/>
              </w:rPr>
            </w:pPr>
            <w:r w:rsidRPr="00FA0D37">
              <w:rPr>
                <w:rFonts w:ascii="Arial" w:hAnsi="Arial"/>
                <w:b/>
                <w:i/>
                <w:sz w:val="18"/>
                <w:szCs w:val="22"/>
                <w:lang w:eastAsia="sv-SE"/>
              </w:rPr>
              <w:t>aperiodicTriggeringOffsetL2</w:t>
            </w:r>
          </w:p>
          <w:p w14:paraId="493929F2" w14:textId="28C9CF4F" w:rsidR="00BA464C" w:rsidRPr="00FA0D37" w:rsidRDefault="00BA464C" w:rsidP="00BA464C">
            <w:pPr>
              <w:pStyle w:val="TAL"/>
              <w:rPr>
                <w:b/>
                <w:i/>
                <w:szCs w:val="22"/>
                <w:lang w:eastAsia="sv-SE"/>
              </w:rPr>
            </w:pPr>
            <w:r w:rsidRPr="00FA0D37">
              <w:rPr>
                <w:szCs w:val="22"/>
                <w:lang w:eastAsia="sv-SE"/>
              </w:rPr>
              <w:t xml:space="preserve">Indicates triggering offset of aperiodic NZP CSI-RS resources used for fast activation of the SCell (see </w:t>
            </w:r>
            <w:r w:rsidR="00FF79B1" w:rsidRPr="00FA0D37">
              <w:rPr>
                <w:szCs w:val="22"/>
                <w:lang w:eastAsia="sv-SE"/>
              </w:rPr>
              <w:t>clause</w:t>
            </w:r>
            <w:r w:rsidRPr="00FA0D37">
              <w:rPr>
                <w:szCs w:val="22"/>
                <w:lang w:eastAsia="sv-SE"/>
              </w:rPr>
              <w:t xml:space="preserve"> 5.2.1.5.3 of TS 38.214 [19]), when the NZP CSI-RS resources are activated by the MAC CE (see </w:t>
            </w:r>
            <w:r w:rsidR="00FF79B1" w:rsidRPr="00FA0D37">
              <w:rPr>
                <w:szCs w:val="22"/>
                <w:lang w:eastAsia="sv-SE"/>
              </w:rPr>
              <w:t>clause</w:t>
            </w:r>
            <w:r w:rsidRPr="00FA0D37">
              <w:rPr>
                <w:szCs w:val="22"/>
                <w:lang w:eastAsia="sv-SE"/>
              </w:rPr>
              <w:t xml:space="preserve"> 5.9 of TS 38.321 [3]). The value indicates the number of slots.</w:t>
            </w:r>
          </w:p>
        </w:tc>
      </w:tr>
      <w:tr w:rsidR="005C7FF4" w:rsidRPr="00FA0D37"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BA464C" w:rsidRPr="00FA0D37" w:rsidRDefault="00BA464C" w:rsidP="00BA464C">
            <w:pPr>
              <w:pStyle w:val="TAL"/>
              <w:rPr>
                <w:b/>
                <w:i/>
                <w:szCs w:val="22"/>
                <w:lang w:eastAsia="sv-SE"/>
              </w:rPr>
            </w:pPr>
            <w:r w:rsidRPr="00FA0D37">
              <w:rPr>
                <w:b/>
                <w:i/>
                <w:szCs w:val="22"/>
                <w:lang w:eastAsia="sv-SE"/>
              </w:rPr>
              <w:t>cmrGroupingAndPairing</w:t>
            </w:r>
          </w:p>
          <w:p w14:paraId="4815F443" w14:textId="106F0508" w:rsidR="00BA464C" w:rsidRPr="00FA0D37" w:rsidRDefault="00BA464C" w:rsidP="00BA464C">
            <w:pPr>
              <w:pStyle w:val="TAL"/>
              <w:rPr>
                <w:b/>
                <w:i/>
                <w:szCs w:val="22"/>
                <w:lang w:eastAsia="sv-SE"/>
              </w:rPr>
            </w:pPr>
            <w:r w:rsidRPr="00FA0D37">
              <w:rPr>
                <w:szCs w:val="22"/>
                <w:lang w:eastAsia="sv-SE"/>
              </w:rPr>
              <w:t xml:space="preserve">Configures CMR groups and pairs. The first </w:t>
            </w:r>
            <w:r w:rsidRPr="00FA0D37">
              <w:rPr>
                <w:i/>
                <w:iCs/>
              </w:rPr>
              <w:t>nrofResourcesGroup</w:t>
            </w:r>
            <w:r w:rsidRPr="00FA0D37">
              <w:rPr>
                <w:i/>
                <w:iCs/>
                <w:szCs w:val="22"/>
                <w:lang w:eastAsia="sv-SE"/>
              </w:rPr>
              <w:t>1</w:t>
            </w:r>
            <w:r w:rsidRPr="00FA0D37">
              <w:rPr>
                <w:szCs w:val="22"/>
                <w:lang w:eastAsia="sv-SE"/>
              </w:rPr>
              <w:t xml:space="preserve"> resources in the NZP-CSI-RS resource set belong to Group 1 and the remaining resources in the NZP-CSI-RS resource set belong to Group 2. </w:t>
            </w:r>
            <w:r w:rsidRPr="00FA0D37">
              <w:rPr>
                <w:i/>
                <w:iCs/>
              </w:rPr>
              <w:t>nrofResourcesGroup</w:t>
            </w:r>
            <w:r w:rsidRPr="00FA0D37">
              <w:rPr>
                <w:i/>
                <w:iCs/>
                <w:lang w:eastAsia="sv-SE"/>
              </w:rPr>
              <w:t>1</w:t>
            </w:r>
            <w:r w:rsidRPr="00FA0D37">
              <w:rPr>
                <w:szCs w:val="22"/>
                <w:lang w:eastAsia="sv-SE"/>
              </w:rPr>
              <w:t xml:space="preserve"> </w:t>
            </w:r>
            <w:r w:rsidRPr="00FA0D37">
              <w:rPr>
                <w:lang w:eastAsia="sv-SE"/>
              </w:rPr>
              <w:t xml:space="preserve">is </w:t>
            </w:r>
            <m:oMath>
              <m:sSub>
                <m:sSubPr>
                  <m:ctrlPr>
                    <w:rPr>
                      <w:rFonts w:ascii="Cambria Math" w:hAnsi="Cambria Math" w:cs="Arial"/>
                      <w:i/>
                      <w:iCs/>
                      <w:sz w:val="22"/>
                    </w:rPr>
                  </m:ctrlPr>
                </m:sSubPr>
                <m:e>
                  <m:r>
                    <w:rPr>
                      <w:rFonts w:ascii="Cambria Math" w:hAnsi="Cambria Math"/>
                    </w:rPr>
                    <m:t>K</m:t>
                  </m:r>
                </m:e>
                <m:sub>
                  <m:r>
                    <w:rPr>
                      <w:rFonts w:ascii="Cambria Math" w:hAnsi="Cambria Math"/>
                    </w:rPr>
                    <m:t>1</m:t>
                  </m:r>
                </m:sub>
              </m:sSub>
            </m:oMath>
            <w:r w:rsidRPr="00FA0D37">
              <w:rPr>
                <w:szCs w:val="22"/>
                <w:lang w:eastAsia="sv-SE"/>
              </w:rPr>
              <w:t xml:space="preserve"> and the number of remaining resources in the NZP-CSI-RS resource set belonging to Group 2</w:t>
            </w:r>
            <w:r w:rsidRPr="00FA0D37">
              <w:rPr>
                <w:lang w:eastAsia="sv-SE"/>
              </w:rPr>
              <w:t xml:space="preserve"> is </w:t>
            </w:r>
            <m:oMath>
              <m:sSub>
                <m:sSubPr>
                  <m:ctrlPr>
                    <w:rPr>
                      <w:rFonts w:ascii="Cambria Math" w:hAnsi="Cambria Math" w:cs="Arial"/>
                      <w:i/>
                      <w:iCs/>
                      <w:sz w:val="22"/>
                    </w:rPr>
                  </m:ctrlPr>
                </m:sSubPr>
                <m:e>
                  <m:r>
                    <w:rPr>
                      <w:rFonts w:ascii="Cambria Math" w:hAnsi="Cambria Math"/>
                    </w:rPr>
                    <m:t>K</m:t>
                  </m:r>
                </m:e>
                <m:sub>
                  <m:r>
                    <w:rPr>
                      <w:rFonts w:ascii="Cambria Math" w:hAnsi="Cambria Math"/>
                    </w:rPr>
                    <m:t>2</m:t>
                  </m:r>
                </m:sub>
              </m:sSub>
            </m:oMath>
            <w:r w:rsidRPr="00FA0D37">
              <w:rPr>
                <w:szCs w:val="22"/>
                <w:lang w:eastAsia="sv-SE"/>
              </w:rPr>
              <w:t xml:space="preserve"> as specified in TS 38.214 clause </w:t>
            </w:r>
            <w:r w:rsidRPr="00FA0D37">
              <w:rPr>
                <w:lang w:eastAsia="zh-CN"/>
              </w:rPr>
              <w:t>5.2.1.4.1</w:t>
            </w:r>
            <w:r w:rsidRPr="00FA0D37">
              <w:rPr>
                <w:szCs w:val="22"/>
                <w:lang w:eastAsia="sv-SE"/>
              </w:rPr>
              <w:t xml:space="preserve">. Maximum total number in Group 1 and Group 2 is 8 (see TS 38.214 [19], clauses </w:t>
            </w:r>
            <w:r w:rsidRPr="00FA0D37">
              <w:rPr>
                <w:lang w:eastAsia="zh-CN"/>
              </w:rPr>
              <w:t>5.2.1.4.1 and 5.2.1.4.2</w:t>
            </w:r>
            <w:r w:rsidRPr="00FA0D37">
              <w:rPr>
                <w:szCs w:val="22"/>
                <w:lang w:eastAsia="sv-SE"/>
              </w:rPr>
              <w:t>).</w:t>
            </w:r>
          </w:p>
        </w:tc>
      </w:tr>
      <w:tr w:rsidR="005C7FF4" w:rsidRPr="00FA0D37"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BA464C" w:rsidRPr="00FA0D37" w:rsidRDefault="00BA464C" w:rsidP="00BA464C">
            <w:pPr>
              <w:pStyle w:val="TAL"/>
              <w:rPr>
                <w:b/>
                <w:bCs/>
                <w:i/>
                <w:iCs/>
                <w:lang w:eastAsia="sv-SE"/>
              </w:rPr>
            </w:pPr>
            <w:r w:rsidRPr="00FA0D37">
              <w:rPr>
                <w:b/>
                <w:bCs/>
                <w:i/>
                <w:iCs/>
                <w:lang w:eastAsia="sv-SE"/>
              </w:rPr>
              <w:t>pair1OfNZP-CSI-RS, pair2OfNZP-CSI-RS</w:t>
            </w:r>
          </w:p>
          <w:p w14:paraId="2EB9CF84" w14:textId="63EFE2FD" w:rsidR="00BA464C" w:rsidRPr="00FA0D37" w:rsidRDefault="00BA464C" w:rsidP="00BA464C">
            <w:pPr>
              <w:pStyle w:val="TAL"/>
              <w:rPr>
                <w:b/>
                <w:i/>
                <w:szCs w:val="22"/>
                <w:lang w:eastAsia="sv-SE"/>
              </w:rPr>
            </w:pPr>
            <w:r w:rsidRPr="00FA0D37">
              <w:rPr>
                <w:bCs/>
                <w:iCs/>
                <w:szCs w:val="22"/>
                <w:lang w:eastAsia="sv-SE"/>
              </w:rPr>
              <w:t xml:space="preserve">A pair of NZP CSI-RS resources. In one pair, one resource shall belong to group 1 and the other resource shall belong to group 2 (see TS 38.214 [19], clause </w:t>
            </w:r>
            <w:r w:rsidR="00654402" w:rsidRPr="00FA0D37">
              <w:rPr>
                <w:lang w:eastAsia="zh-CN"/>
              </w:rPr>
              <w:t>5.2.1.4.1</w:t>
            </w:r>
            <w:r w:rsidRPr="00FA0D37">
              <w:rPr>
                <w:bCs/>
                <w:iCs/>
                <w:szCs w:val="22"/>
                <w:lang w:eastAsia="sv-SE"/>
              </w:rPr>
              <w:t>).</w:t>
            </w:r>
          </w:p>
        </w:tc>
      </w:tr>
      <w:tr w:rsidR="005C7FF4" w:rsidRPr="00FA0D37"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BA464C" w:rsidRPr="00FA0D37" w:rsidRDefault="00BA464C" w:rsidP="00BA464C">
            <w:pPr>
              <w:pStyle w:val="TAL"/>
              <w:rPr>
                <w:szCs w:val="22"/>
                <w:lang w:eastAsia="sv-SE"/>
              </w:rPr>
            </w:pPr>
            <w:r w:rsidRPr="00FA0D37">
              <w:rPr>
                <w:b/>
                <w:i/>
                <w:szCs w:val="22"/>
                <w:lang w:eastAsia="sv-SE"/>
              </w:rPr>
              <w:t>nzp-CSI-RS-Resources</w:t>
            </w:r>
          </w:p>
          <w:p w14:paraId="2B0804AE" w14:textId="77777777" w:rsidR="00BA464C" w:rsidRPr="00FA0D37" w:rsidRDefault="00BA464C" w:rsidP="00BA464C">
            <w:pPr>
              <w:pStyle w:val="TAL"/>
              <w:rPr>
                <w:szCs w:val="22"/>
                <w:lang w:eastAsia="sv-SE"/>
              </w:rPr>
            </w:pPr>
            <w:r w:rsidRPr="00FA0D37">
              <w:rPr>
                <w:szCs w:val="22"/>
                <w:lang w:eastAsia="sv-SE"/>
              </w:rPr>
              <w:t>NZP-CSI-RS-Resources associated with this NZP-CSI-RS resource set (see TS 38.214 [19], clause 5.2). For CSI, there are at most 8 NZP CSI RS resources per resource set.</w:t>
            </w:r>
          </w:p>
        </w:tc>
      </w:tr>
      <w:tr w:rsidR="005C7FF4" w:rsidRPr="00FA0D37"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BA464C" w:rsidRPr="00FA0D37" w:rsidRDefault="00BA464C" w:rsidP="00BA464C">
            <w:pPr>
              <w:pStyle w:val="TAL"/>
              <w:rPr>
                <w:b/>
                <w:bCs/>
                <w:i/>
                <w:iCs/>
                <w:lang w:eastAsia="sv-SE"/>
              </w:rPr>
            </w:pPr>
            <w:r w:rsidRPr="00FA0D37">
              <w:rPr>
                <w:b/>
                <w:bCs/>
                <w:i/>
                <w:iCs/>
                <w:lang w:eastAsia="sv-SE"/>
              </w:rPr>
              <w:t>nzp-CSI-RS-ResourceId1, nzp-CSI-RS-ResourceId2</w:t>
            </w:r>
          </w:p>
          <w:p w14:paraId="71101F7C" w14:textId="239D5356" w:rsidR="00BA464C" w:rsidRPr="00FA0D37" w:rsidRDefault="00BA464C" w:rsidP="00BA464C">
            <w:pPr>
              <w:pStyle w:val="TAL"/>
              <w:rPr>
                <w:b/>
                <w:i/>
                <w:szCs w:val="22"/>
                <w:lang w:eastAsia="sv-SE"/>
              </w:rPr>
            </w:pPr>
            <w:r w:rsidRPr="00FA0D37">
              <w:t xml:space="preserve">The </w:t>
            </w:r>
            <w:r w:rsidRPr="00FA0D37">
              <w:rPr>
                <w:i/>
                <w:iCs/>
              </w:rPr>
              <w:t>nzp-CSI-RS-ResourceId1-r17</w:t>
            </w:r>
            <w:r w:rsidRPr="00FA0D37">
              <w:t xml:space="preserve"> represents the index of the NZP CSI-RS resource in Resource Group 1, and </w:t>
            </w:r>
            <w:r w:rsidRPr="00FA0D37">
              <w:rPr>
                <w:i/>
                <w:iCs/>
              </w:rPr>
              <w:t>nzp-CSI-RS-ResourceId2-r17</w:t>
            </w:r>
            <w:r w:rsidRPr="00FA0D37">
              <w:t xml:space="preserve"> represents the index of the NZP CSI-RS resource in Resource Group 2.</w:t>
            </w:r>
          </w:p>
        </w:tc>
      </w:tr>
      <w:tr w:rsidR="005C7FF4" w:rsidRPr="00FA0D37"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BA464C" w:rsidRPr="00FA0D37" w:rsidRDefault="00BA464C" w:rsidP="00BA464C">
            <w:pPr>
              <w:pStyle w:val="TAL"/>
              <w:rPr>
                <w:szCs w:val="22"/>
                <w:lang w:eastAsia="sv-SE"/>
              </w:rPr>
            </w:pPr>
            <w:r w:rsidRPr="00FA0D37">
              <w:rPr>
                <w:b/>
                <w:i/>
                <w:szCs w:val="22"/>
                <w:lang w:eastAsia="sv-SE"/>
              </w:rPr>
              <w:t>pdc-Info</w:t>
            </w:r>
          </w:p>
          <w:p w14:paraId="53C66A66" w14:textId="77777777" w:rsidR="00BA464C" w:rsidRPr="00FA0D37" w:rsidRDefault="00BA464C" w:rsidP="00BA464C">
            <w:pPr>
              <w:pStyle w:val="TAL"/>
              <w:rPr>
                <w:b/>
                <w:i/>
                <w:szCs w:val="22"/>
                <w:lang w:eastAsia="sv-SE"/>
              </w:rPr>
            </w:pPr>
            <w:r w:rsidRPr="00FA0D37">
              <w:rPr>
                <w:szCs w:val="22"/>
                <w:lang w:eastAsia="sv-SE"/>
              </w:rPr>
              <w:t xml:space="preserve">Indicates that this NZP-CSI-RS-ResourceSet, if configured also with </w:t>
            </w:r>
            <w:r w:rsidRPr="00FA0D37">
              <w:rPr>
                <w:i/>
                <w:iCs/>
                <w:szCs w:val="22"/>
                <w:lang w:eastAsia="sv-SE"/>
              </w:rPr>
              <w:t>trs-Info,</w:t>
            </w:r>
            <w:r w:rsidRPr="00FA0D37">
              <w:rPr>
                <w:szCs w:val="22"/>
                <w:lang w:eastAsia="sv-SE"/>
              </w:rPr>
              <w:t xml:space="preserve"> is used for propagation delay compensation. The field can be present only if </w:t>
            </w:r>
            <w:r w:rsidRPr="00FA0D37">
              <w:rPr>
                <w:i/>
                <w:iCs/>
                <w:szCs w:val="22"/>
                <w:lang w:eastAsia="sv-SE"/>
              </w:rPr>
              <w:t>trs-info</w:t>
            </w:r>
            <w:r w:rsidRPr="00FA0D37">
              <w:rPr>
                <w:szCs w:val="22"/>
                <w:lang w:eastAsia="sv-SE"/>
              </w:rPr>
              <w:t xml:space="preserve"> is present. The field can be present in only one </w:t>
            </w:r>
            <w:r w:rsidRPr="00FA0D37">
              <w:rPr>
                <w:i/>
                <w:iCs/>
                <w:szCs w:val="22"/>
                <w:lang w:eastAsia="sv-SE"/>
              </w:rPr>
              <w:t>NZP-CSI-RS-ResourceSet</w:t>
            </w:r>
            <w:r w:rsidRPr="00FA0D37">
              <w:rPr>
                <w:szCs w:val="22"/>
                <w:lang w:eastAsia="sv-SE"/>
              </w:rPr>
              <w:t xml:space="preserve">. If network configures this field for an </w:t>
            </w:r>
            <w:r w:rsidRPr="00FA0D37">
              <w:rPr>
                <w:i/>
                <w:iCs/>
                <w:szCs w:val="22"/>
                <w:lang w:eastAsia="sv-SE"/>
              </w:rPr>
              <w:t>NZP-CSI-RS-ResourceSet</w:t>
            </w:r>
            <w:r w:rsidRPr="00FA0D37">
              <w:rPr>
                <w:szCs w:val="22"/>
                <w:lang w:eastAsia="sv-SE"/>
              </w:rPr>
              <w:t>, the UE measures the UE Rx-Tx time difference based on resources configured in this resource set.</w:t>
            </w:r>
          </w:p>
        </w:tc>
      </w:tr>
      <w:tr w:rsidR="005C7FF4" w:rsidRPr="00FA0D37"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BA464C" w:rsidRPr="00FA0D37" w:rsidRDefault="00BA464C" w:rsidP="00BA464C">
            <w:pPr>
              <w:pStyle w:val="TAL"/>
              <w:rPr>
                <w:szCs w:val="22"/>
                <w:lang w:eastAsia="sv-SE"/>
              </w:rPr>
            </w:pPr>
            <w:r w:rsidRPr="00FA0D37">
              <w:rPr>
                <w:b/>
                <w:i/>
                <w:szCs w:val="22"/>
                <w:lang w:eastAsia="sv-SE"/>
              </w:rPr>
              <w:t>repetition</w:t>
            </w:r>
          </w:p>
          <w:p w14:paraId="2C167B00" w14:textId="2BBC3790" w:rsidR="00BA464C" w:rsidRPr="00FA0D37" w:rsidRDefault="00BA464C" w:rsidP="00BA464C">
            <w:pPr>
              <w:pStyle w:val="TAL"/>
              <w:rPr>
                <w:szCs w:val="22"/>
                <w:lang w:eastAsia="sv-SE"/>
              </w:rPr>
            </w:pPr>
            <w:r w:rsidRPr="00FA0D37">
              <w:rPr>
                <w:szCs w:val="22"/>
                <w:lang w:eastAsia="sv-SE"/>
              </w:rPr>
              <w:t xml:space="preserve">Indicates whether repetition is on/off. If the field is set to </w:t>
            </w:r>
            <w:r w:rsidRPr="00FA0D37">
              <w:rPr>
                <w:i/>
                <w:szCs w:val="22"/>
                <w:lang w:eastAsia="sv-SE"/>
              </w:rPr>
              <w:t>off</w:t>
            </w:r>
            <w:r w:rsidRPr="00FA0D37">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FA0D37">
              <w:rPr>
                <w:i/>
                <w:szCs w:val="22"/>
                <w:lang w:eastAsia="sv-SE"/>
              </w:rPr>
              <w:t>CSI-ReportConfig</w:t>
            </w:r>
            <w:r w:rsidRPr="00FA0D37">
              <w:rPr>
                <w:szCs w:val="22"/>
                <w:lang w:eastAsia="sv-SE"/>
              </w:rPr>
              <w:t xml:space="preserve"> with report of L1 RSRP, L1 SINR or "no report".</w:t>
            </w:r>
          </w:p>
        </w:tc>
      </w:tr>
      <w:tr w:rsidR="00BA464C" w:rsidRPr="00FA0D37"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BA464C" w:rsidRPr="00FA0D37" w:rsidRDefault="00BA464C" w:rsidP="00BA464C">
            <w:pPr>
              <w:pStyle w:val="TAL"/>
              <w:rPr>
                <w:szCs w:val="22"/>
                <w:lang w:eastAsia="sv-SE"/>
              </w:rPr>
            </w:pPr>
            <w:r w:rsidRPr="00FA0D37">
              <w:rPr>
                <w:b/>
                <w:i/>
                <w:szCs w:val="22"/>
                <w:lang w:eastAsia="sv-SE"/>
              </w:rPr>
              <w:t>trs-Info</w:t>
            </w:r>
          </w:p>
          <w:p w14:paraId="56BD46A6" w14:textId="77777777" w:rsidR="00BA464C" w:rsidRPr="00FA0D37" w:rsidRDefault="00BA464C" w:rsidP="00BA464C">
            <w:pPr>
              <w:pStyle w:val="TAL"/>
              <w:rPr>
                <w:szCs w:val="22"/>
                <w:lang w:eastAsia="sv-SE"/>
              </w:rPr>
            </w:pPr>
            <w:r w:rsidRPr="00FA0D37">
              <w:rPr>
                <w:szCs w:val="22"/>
                <w:lang w:eastAsia="sv-SE"/>
              </w:rPr>
              <w:t xml:space="preserve">Indicates that the antenna port for all NZP-CSI-RS resources in the CSI-RS resource set is same. If the field is absent or released the UE applies the value </w:t>
            </w:r>
            <w:r w:rsidRPr="00FA0D37">
              <w:rPr>
                <w:i/>
                <w:szCs w:val="22"/>
                <w:lang w:eastAsia="sv-SE"/>
              </w:rPr>
              <w:t>false</w:t>
            </w:r>
            <w:r w:rsidRPr="00FA0D37">
              <w:rPr>
                <w:szCs w:val="22"/>
                <w:lang w:eastAsia="sv-SE"/>
              </w:rPr>
              <w:t xml:space="preserve"> (see TS 38.214 [19], clause 5.2.2.3.1).</w:t>
            </w:r>
          </w:p>
        </w:tc>
      </w:tr>
    </w:tbl>
    <w:p w14:paraId="25AC6296" w14:textId="77777777" w:rsidR="00394471" w:rsidRPr="00FA0D37" w:rsidRDefault="00394471" w:rsidP="00394471"/>
    <w:p w14:paraId="614ED3BB" w14:textId="77777777" w:rsidR="00394471" w:rsidRPr="00FA0D37" w:rsidRDefault="00394471" w:rsidP="00394471">
      <w:pPr>
        <w:pStyle w:val="4"/>
      </w:pPr>
      <w:bookmarkStart w:id="1167" w:name="_Toc60777289"/>
      <w:bookmarkStart w:id="1168" w:name="_Toc146781364"/>
      <w:r w:rsidRPr="00FA0D37">
        <w:t>–</w:t>
      </w:r>
      <w:r w:rsidRPr="00FA0D37">
        <w:tab/>
      </w:r>
      <w:r w:rsidRPr="00FA0D37">
        <w:rPr>
          <w:i/>
        </w:rPr>
        <w:t>NZP-CSI-RS-ResourceSetId</w:t>
      </w:r>
      <w:bookmarkEnd w:id="1167"/>
      <w:bookmarkEnd w:id="1168"/>
    </w:p>
    <w:p w14:paraId="281D9277" w14:textId="77777777" w:rsidR="00394471" w:rsidRPr="00FA0D37" w:rsidRDefault="00394471" w:rsidP="00394471">
      <w:r w:rsidRPr="00FA0D37">
        <w:t xml:space="preserve">The IE </w:t>
      </w:r>
      <w:r w:rsidRPr="00FA0D37">
        <w:rPr>
          <w:i/>
        </w:rPr>
        <w:t>NZP-CSI-RS-ResourceSetId</w:t>
      </w:r>
      <w:r w:rsidRPr="00FA0D37">
        <w:t xml:space="preserve"> is used to identify one </w:t>
      </w:r>
      <w:r w:rsidRPr="00FA0D37">
        <w:rPr>
          <w:i/>
        </w:rPr>
        <w:t>NZP-CSI-RS-ResourceSet</w:t>
      </w:r>
      <w:r w:rsidRPr="00FA0D37">
        <w:t>.</w:t>
      </w:r>
    </w:p>
    <w:p w14:paraId="1188976E" w14:textId="77777777" w:rsidR="00394471" w:rsidRPr="00FA0D37" w:rsidRDefault="00394471" w:rsidP="00394471">
      <w:pPr>
        <w:pStyle w:val="TH"/>
      </w:pPr>
      <w:r w:rsidRPr="00FA0D37">
        <w:rPr>
          <w:i/>
        </w:rPr>
        <w:t>NZP-CSI-RS-ResourceSetId</w:t>
      </w:r>
      <w:r w:rsidRPr="00FA0D37">
        <w:t xml:space="preserve"> information element</w:t>
      </w:r>
    </w:p>
    <w:p w14:paraId="40261347" w14:textId="77777777" w:rsidR="00394471" w:rsidRPr="00FA0D37" w:rsidRDefault="00394471" w:rsidP="00FA0D37">
      <w:pPr>
        <w:pStyle w:val="PL"/>
        <w:rPr>
          <w:color w:val="808080"/>
        </w:rPr>
      </w:pPr>
      <w:r w:rsidRPr="00FA0D37">
        <w:rPr>
          <w:color w:val="808080"/>
        </w:rPr>
        <w:t>-- ASN1START</w:t>
      </w:r>
    </w:p>
    <w:p w14:paraId="0FBE6D1A" w14:textId="77777777" w:rsidR="00394471" w:rsidRPr="00FA0D37" w:rsidRDefault="00394471" w:rsidP="00FA0D37">
      <w:pPr>
        <w:pStyle w:val="PL"/>
        <w:rPr>
          <w:color w:val="808080"/>
        </w:rPr>
      </w:pPr>
      <w:r w:rsidRPr="00FA0D37">
        <w:rPr>
          <w:color w:val="808080"/>
        </w:rPr>
        <w:t>-- TAG-NZP-CSI-RS-RESOURCESETID-START</w:t>
      </w:r>
    </w:p>
    <w:p w14:paraId="176C3DEA" w14:textId="77777777" w:rsidR="00394471" w:rsidRPr="00FA0D37" w:rsidRDefault="00394471" w:rsidP="00FA0D37">
      <w:pPr>
        <w:pStyle w:val="PL"/>
      </w:pPr>
    </w:p>
    <w:p w14:paraId="2E8FE7B7" w14:textId="77777777" w:rsidR="00394471" w:rsidRPr="00FA0D37" w:rsidRDefault="00394471" w:rsidP="00FA0D37">
      <w:pPr>
        <w:pStyle w:val="PL"/>
      </w:pPr>
      <w:r w:rsidRPr="00FA0D37">
        <w:t xml:space="preserve">NZP-CSI-RS-ResourceSetId ::=        </w:t>
      </w:r>
      <w:r w:rsidRPr="00FA0D37">
        <w:rPr>
          <w:color w:val="993366"/>
        </w:rPr>
        <w:t>INTEGER</w:t>
      </w:r>
      <w:r w:rsidRPr="00FA0D37">
        <w:t xml:space="preserve"> (0..maxNrofNZP-CSI-RS-ResourceSets-1)</w:t>
      </w:r>
    </w:p>
    <w:p w14:paraId="61B929AD" w14:textId="77777777" w:rsidR="00394471" w:rsidRPr="00FA0D37" w:rsidRDefault="00394471" w:rsidP="00FA0D37">
      <w:pPr>
        <w:pStyle w:val="PL"/>
      </w:pPr>
    </w:p>
    <w:p w14:paraId="1780B5A8" w14:textId="77777777" w:rsidR="00394471" w:rsidRPr="00FA0D37" w:rsidRDefault="00394471" w:rsidP="00FA0D37">
      <w:pPr>
        <w:pStyle w:val="PL"/>
        <w:rPr>
          <w:color w:val="808080"/>
        </w:rPr>
      </w:pPr>
      <w:r w:rsidRPr="00FA0D37">
        <w:rPr>
          <w:color w:val="808080"/>
        </w:rPr>
        <w:t>-- TAG-NZP-CSI-RS-RESOURCESETID-STOP</w:t>
      </w:r>
    </w:p>
    <w:p w14:paraId="3FC59F69" w14:textId="77777777" w:rsidR="00394471" w:rsidRPr="00FA0D37" w:rsidRDefault="00394471" w:rsidP="00FA0D37">
      <w:pPr>
        <w:pStyle w:val="PL"/>
        <w:rPr>
          <w:color w:val="808080"/>
        </w:rPr>
      </w:pPr>
      <w:r w:rsidRPr="00FA0D37">
        <w:rPr>
          <w:color w:val="808080"/>
        </w:rPr>
        <w:t>-- ASN1STOP</w:t>
      </w:r>
    </w:p>
    <w:p w14:paraId="1B814D86" w14:textId="77777777" w:rsidR="00394471" w:rsidRPr="00FA0D37" w:rsidRDefault="00394471" w:rsidP="00394471"/>
    <w:p w14:paraId="4A87C101" w14:textId="77777777" w:rsidR="00394471" w:rsidRPr="00FA0D37" w:rsidRDefault="00394471" w:rsidP="00394471">
      <w:pPr>
        <w:pStyle w:val="4"/>
      </w:pPr>
      <w:bookmarkStart w:id="1169" w:name="_Toc60777290"/>
      <w:bookmarkStart w:id="1170" w:name="_Toc146781365"/>
      <w:r w:rsidRPr="00FA0D37">
        <w:t>–</w:t>
      </w:r>
      <w:r w:rsidRPr="00FA0D37">
        <w:tab/>
      </w:r>
      <w:r w:rsidRPr="00FA0D37">
        <w:rPr>
          <w:i/>
          <w:noProof/>
        </w:rPr>
        <w:t>P-Max</w:t>
      </w:r>
      <w:bookmarkEnd w:id="1169"/>
      <w:bookmarkEnd w:id="1170"/>
    </w:p>
    <w:p w14:paraId="55042D76" w14:textId="7BB65DFE" w:rsidR="00394471" w:rsidRPr="00FA0D37" w:rsidRDefault="00394471" w:rsidP="00394471">
      <w:r w:rsidRPr="00FA0D37">
        <w:t xml:space="preserve">The IE </w:t>
      </w:r>
      <w:r w:rsidRPr="00FA0D37">
        <w:rPr>
          <w:i/>
        </w:rPr>
        <w:t>P-Max</w:t>
      </w:r>
      <w:r w:rsidRPr="00FA0D37">
        <w:t xml:space="preserve"> is used to limit the UE's uplink transmission power on a carrier frequency, in TS 38.101-1 [15]</w:t>
      </w:r>
      <w:r w:rsidR="00862D3D" w:rsidRPr="00FA0D37">
        <w:t xml:space="preserve"> and in TS 38.101-5 [75],</w:t>
      </w:r>
      <w:r w:rsidRPr="00FA0D37">
        <w:t xml:space="preserve"> and is used to calculate the parameter </w:t>
      </w:r>
      <w:r w:rsidRPr="00FA0D37">
        <w:rPr>
          <w:i/>
        </w:rPr>
        <w:t>Pcompensation</w:t>
      </w:r>
      <w:r w:rsidRPr="00FA0D37">
        <w:t xml:space="preserve"> defined in TS 38.304 [20].</w:t>
      </w:r>
    </w:p>
    <w:p w14:paraId="1C50E980" w14:textId="77777777" w:rsidR="00394471" w:rsidRPr="00FA0D37" w:rsidRDefault="00394471" w:rsidP="00394471">
      <w:pPr>
        <w:pStyle w:val="TH"/>
      </w:pPr>
      <w:r w:rsidRPr="00FA0D37">
        <w:rPr>
          <w:bCs/>
          <w:i/>
          <w:iCs/>
        </w:rPr>
        <w:t>P-Max</w:t>
      </w:r>
      <w:r w:rsidRPr="00FA0D37">
        <w:t xml:space="preserve"> information element</w:t>
      </w:r>
    </w:p>
    <w:p w14:paraId="671AA0F9" w14:textId="77777777" w:rsidR="00394471" w:rsidRPr="00FA0D37" w:rsidRDefault="00394471" w:rsidP="00FA0D37">
      <w:pPr>
        <w:pStyle w:val="PL"/>
        <w:rPr>
          <w:color w:val="808080"/>
        </w:rPr>
      </w:pPr>
      <w:r w:rsidRPr="00FA0D37">
        <w:rPr>
          <w:color w:val="808080"/>
        </w:rPr>
        <w:t>-- ASN1START</w:t>
      </w:r>
    </w:p>
    <w:p w14:paraId="039E699F" w14:textId="77777777" w:rsidR="00394471" w:rsidRPr="00FA0D37" w:rsidRDefault="00394471" w:rsidP="00FA0D37">
      <w:pPr>
        <w:pStyle w:val="PL"/>
        <w:rPr>
          <w:color w:val="808080"/>
        </w:rPr>
      </w:pPr>
      <w:r w:rsidRPr="00FA0D37">
        <w:rPr>
          <w:color w:val="808080"/>
        </w:rPr>
        <w:t>-- TAG-P-MAX-START</w:t>
      </w:r>
    </w:p>
    <w:p w14:paraId="6F46A138" w14:textId="77777777" w:rsidR="00394471" w:rsidRPr="00FA0D37" w:rsidRDefault="00394471" w:rsidP="00FA0D37">
      <w:pPr>
        <w:pStyle w:val="PL"/>
      </w:pPr>
    </w:p>
    <w:p w14:paraId="03A3E4D9" w14:textId="77777777" w:rsidR="00394471" w:rsidRPr="00FA0D37" w:rsidRDefault="00394471" w:rsidP="00FA0D37">
      <w:pPr>
        <w:pStyle w:val="PL"/>
      </w:pPr>
      <w:r w:rsidRPr="00FA0D37">
        <w:t xml:space="preserve">P-Max ::=                           </w:t>
      </w:r>
      <w:r w:rsidRPr="00FA0D37">
        <w:rPr>
          <w:color w:val="993366"/>
        </w:rPr>
        <w:t>INTEGER</w:t>
      </w:r>
      <w:r w:rsidRPr="00FA0D37">
        <w:t xml:space="preserve"> (-30..33)</w:t>
      </w:r>
    </w:p>
    <w:p w14:paraId="418F03EB" w14:textId="77777777" w:rsidR="00394471" w:rsidRPr="00FA0D37" w:rsidRDefault="00394471" w:rsidP="00FA0D37">
      <w:pPr>
        <w:pStyle w:val="PL"/>
      </w:pPr>
    </w:p>
    <w:p w14:paraId="269612DC" w14:textId="77777777" w:rsidR="00394471" w:rsidRPr="00FA0D37" w:rsidRDefault="00394471" w:rsidP="00FA0D37">
      <w:pPr>
        <w:pStyle w:val="PL"/>
        <w:rPr>
          <w:color w:val="808080"/>
        </w:rPr>
      </w:pPr>
      <w:r w:rsidRPr="00FA0D37">
        <w:rPr>
          <w:color w:val="808080"/>
        </w:rPr>
        <w:t>-- TAG-P-MAX-STOP</w:t>
      </w:r>
    </w:p>
    <w:p w14:paraId="665E3625" w14:textId="77777777" w:rsidR="00394471" w:rsidRPr="00FA0D37" w:rsidRDefault="00394471" w:rsidP="00FA0D37">
      <w:pPr>
        <w:pStyle w:val="PL"/>
        <w:rPr>
          <w:color w:val="808080"/>
        </w:rPr>
      </w:pPr>
      <w:r w:rsidRPr="00FA0D37">
        <w:rPr>
          <w:color w:val="808080"/>
        </w:rPr>
        <w:t>-- ASN1STOP</w:t>
      </w:r>
    </w:p>
    <w:p w14:paraId="1F08D386" w14:textId="77777777" w:rsidR="00634EC2" w:rsidRPr="00FA0D37" w:rsidRDefault="00634EC2" w:rsidP="00634EC2"/>
    <w:p w14:paraId="30A77F0B" w14:textId="77777777" w:rsidR="00634EC2" w:rsidRPr="00FA0D37" w:rsidRDefault="00634EC2" w:rsidP="00634EC2">
      <w:pPr>
        <w:pStyle w:val="4"/>
      </w:pPr>
      <w:bookmarkStart w:id="1171" w:name="_Toc146781366"/>
      <w:r w:rsidRPr="00FA0D37">
        <w:rPr>
          <w:rFonts w:eastAsia="MS Mincho"/>
        </w:rPr>
        <w:t>–</w:t>
      </w:r>
      <w:r w:rsidRPr="00FA0D37">
        <w:rPr>
          <w:rFonts w:eastAsia="MS Mincho"/>
        </w:rPr>
        <w:tab/>
      </w:r>
      <w:r w:rsidRPr="00FA0D37">
        <w:rPr>
          <w:i/>
        </w:rPr>
        <w:t>PathlossReferenceRS</w:t>
      </w:r>
      <w:bookmarkEnd w:id="1171"/>
    </w:p>
    <w:p w14:paraId="24C187CA" w14:textId="77777777" w:rsidR="00634EC2" w:rsidRPr="00FA0D37" w:rsidRDefault="00634EC2" w:rsidP="00634EC2">
      <w:r w:rsidRPr="00FA0D37">
        <w:t xml:space="preserve">The IE </w:t>
      </w:r>
      <w:r w:rsidRPr="00FA0D37">
        <w:rPr>
          <w:i/>
        </w:rPr>
        <w:t xml:space="preserve">PathlossReferenceRS </w:t>
      </w:r>
      <w:r w:rsidRPr="00FA0D37">
        <w:t xml:space="preserve">is used to configure a </w:t>
      </w:r>
      <w:r w:rsidRPr="00FA0D37">
        <w:rPr>
          <w:lang w:eastAsia="sv-SE"/>
        </w:rPr>
        <w:t>Reference Signal (e.g. a CSI-RS config or a SS block) to be used for path loss estimation</w:t>
      </w:r>
      <w:r w:rsidRPr="00FA0D37">
        <w:rPr>
          <w:bCs/>
          <w:iCs/>
          <w:szCs w:val="22"/>
        </w:rPr>
        <w:t xml:space="preserve"> for PUSCH, PUCCH and SRS for unified TCI state operation</w:t>
      </w:r>
      <w:r w:rsidRPr="00FA0D37">
        <w:rPr>
          <w:lang w:eastAsia="sv-SE"/>
        </w:rPr>
        <w:t>.</w:t>
      </w:r>
    </w:p>
    <w:p w14:paraId="2F830C1A" w14:textId="77777777" w:rsidR="00634EC2" w:rsidRPr="00FA0D37" w:rsidRDefault="00634EC2" w:rsidP="00634EC2">
      <w:pPr>
        <w:pStyle w:val="TH"/>
      </w:pPr>
      <w:r w:rsidRPr="00FA0D37">
        <w:rPr>
          <w:bCs/>
          <w:i/>
          <w:iCs/>
        </w:rPr>
        <w:t>PathlossReferenceRS</w:t>
      </w:r>
      <w:r w:rsidRPr="00FA0D37">
        <w:t xml:space="preserve"> information element</w:t>
      </w:r>
    </w:p>
    <w:p w14:paraId="5174125E" w14:textId="77777777" w:rsidR="00634EC2" w:rsidRPr="00FA0D37" w:rsidRDefault="00634EC2" w:rsidP="00FA0D37">
      <w:pPr>
        <w:pStyle w:val="PL"/>
        <w:rPr>
          <w:color w:val="808080"/>
        </w:rPr>
      </w:pPr>
      <w:r w:rsidRPr="00FA0D37">
        <w:rPr>
          <w:color w:val="808080"/>
        </w:rPr>
        <w:t>-- ASN1START</w:t>
      </w:r>
    </w:p>
    <w:p w14:paraId="6CF18094" w14:textId="77777777" w:rsidR="00634EC2" w:rsidRPr="00FA0D37" w:rsidRDefault="00634EC2" w:rsidP="00FA0D37">
      <w:pPr>
        <w:pStyle w:val="PL"/>
        <w:rPr>
          <w:color w:val="808080"/>
        </w:rPr>
      </w:pPr>
      <w:r w:rsidRPr="00FA0D37">
        <w:rPr>
          <w:color w:val="808080"/>
        </w:rPr>
        <w:t>-- TAG-PATHLOSSREFERENCERS-START</w:t>
      </w:r>
    </w:p>
    <w:p w14:paraId="07DEA535" w14:textId="77777777" w:rsidR="00634EC2" w:rsidRPr="00FA0D37" w:rsidRDefault="00634EC2" w:rsidP="00FA0D37">
      <w:pPr>
        <w:pStyle w:val="PL"/>
      </w:pPr>
    </w:p>
    <w:p w14:paraId="0374840D" w14:textId="77777777" w:rsidR="00634EC2" w:rsidRPr="00FA0D37" w:rsidRDefault="00634EC2" w:rsidP="00FA0D37">
      <w:pPr>
        <w:pStyle w:val="PL"/>
      </w:pPr>
      <w:r w:rsidRPr="00FA0D37">
        <w:t xml:space="preserve">PathlossReferenceRS-r17 ::=   </w:t>
      </w:r>
      <w:r w:rsidRPr="00FA0D37">
        <w:rPr>
          <w:color w:val="993366"/>
        </w:rPr>
        <w:t>SEQUENCE</w:t>
      </w:r>
      <w:r w:rsidRPr="00FA0D37">
        <w:t xml:space="preserve"> {</w:t>
      </w:r>
    </w:p>
    <w:p w14:paraId="27FA9721" w14:textId="77777777" w:rsidR="00634EC2" w:rsidRPr="00FA0D37" w:rsidRDefault="00634EC2" w:rsidP="00FA0D37">
      <w:pPr>
        <w:pStyle w:val="PL"/>
      </w:pPr>
      <w:r w:rsidRPr="00FA0D37">
        <w:t xml:space="preserve">    pathlossReferenceRS-Id-r17          PathlossReferenceRS-Id-r17,</w:t>
      </w:r>
    </w:p>
    <w:p w14:paraId="53848D80" w14:textId="77777777" w:rsidR="00634EC2" w:rsidRPr="00FA0D37" w:rsidRDefault="00634EC2" w:rsidP="00FA0D37">
      <w:pPr>
        <w:pStyle w:val="PL"/>
      </w:pPr>
      <w:r w:rsidRPr="00FA0D37">
        <w:t xml:space="preserve">    referenceSignal-r17                 </w:t>
      </w:r>
      <w:r w:rsidRPr="00FA0D37">
        <w:rPr>
          <w:color w:val="993366"/>
        </w:rPr>
        <w:t>CHOICE</w:t>
      </w:r>
      <w:r w:rsidRPr="00FA0D37">
        <w:t xml:space="preserve"> {</w:t>
      </w:r>
    </w:p>
    <w:p w14:paraId="1F355067" w14:textId="053D0BB6" w:rsidR="00634EC2" w:rsidRPr="00FA0D37" w:rsidRDefault="00634EC2" w:rsidP="00FA0D37">
      <w:pPr>
        <w:pStyle w:val="PL"/>
      </w:pPr>
      <w:r w:rsidRPr="00FA0D37">
        <w:t xml:space="preserve">        ssb-Index                       </w:t>
      </w:r>
      <w:r w:rsidR="00F35EF5" w:rsidRPr="00FA0D37">
        <w:t xml:space="preserve">    </w:t>
      </w:r>
      <w:r w:rsidRPr="00FA0D37">
        <w:t>SSB-Index,</w:t>
      </w:r>
    </w:p>
    <w:p w14:paraId="5B5A3E48" w14:textId="11F6F141" w:rsidR="00634EC2" w:rsidRPr="00FA0D37" w:rsidRDefault="00634EC2" w:rsidP="00FA0D37">
      <w:pPr>
        <w:pStyle w:val="PL"/>
      </w:pPr>
      <w:r w:rsidRPr="00FA0D37">
        <w:t xml:space="preserve">        csi-RS-Index                    </w:t>
      </w:r>
      <w:r w:rsidR="00F35EF5" w:rsidRPr="00FA0D37">
        <w:t xml:space="preserve">    </w:t>
      </w:r>
      <w:r w:rsidRPr="00FA0D37">
        <w:t>NZP-CSI-RS-ResourceId</w:t>
      </w:r>
    </w:p>
    <w:p w14:paraId="30143935" w14:textId="77777777" w:rsidR="00634EC2" w:rsidRPr="00FA0D37" w:rsidRDefault="00634EC2" w:rsidP="00FA0D37">
      <w:pPr>
        <w:pStyle w:val="PL"/>
      </w:pPr>
      <w:r w:rsidRPr="00FA0D37">
        <w:t xml:space="preserve">    },</w:t>
      </w:r>
    </w:p>
    <w:p w14:paraId="12E3730F" w14:textId="77777777" w:rsidR="00634EC2" w:rsidRPr="00FA0D37" w:rsidRDefault="00634EC2" w:rsidP="00FA0D37">
      <w:pPr>
        <w:pStyle w:val="PL"/>
        <w:rPr>
          <w:color w:val="808080"/>
        </w:rPr>
      </w:pPr>
      <w:r w:rsidRPr="00FA0D37">
        <w:t xml:space="preserve">    additionalPCI-r17                   AdditionalPCIIndex-r17                                         </w:t>
      </w:r>
      <w:r w:rsidRPr="00FA0D37">
        <w:rPr>
          <w:color w:val="993366"/>
        </w:rPr>
        <w:t>OPTIONAL</w:t>
      </w:r>
      <w:r w:rsidRPr="00FA0D37">
        <w:t xml:space="preserve">  </w:t>
      </w:r>
      <w:r w:rsidRPr="00FA0D37">
        <w:rPr>
          <w:color w:val="808080"/>
        </w:rPr>
        <w:t>-- Cond RS-SSB</w:t>
      </w:r>
    </w:p>
    <w:p w14:paraId="3AC1C0E5" w14:textId="77777777" w:rsidR="00634EC2" w:rsidRPr="00FA0D37" w:rsidRDefault="00634EC2" w:rsidP="00FA0D37">
      <w:pPr>
        <w:pStyle w:val="PL"/>
      </w:pPr>
      <w:r w:rsidRPr="00FA0D37">
        <w:t>}</w:t>
      </w:r>
    </w:p>
    <w:p w14:paraId="3611DEBE" w14:textId="77777777" w:rsidR="00634EC2" w:rsidRPr="00FA0D37" w:rsidRDefault="00634EC2" w:rsidP="00FA0D37">
      <w:pPr>
        <w:pStyle w:val="PL"/>
      </w:pPr>
    </w:p>
    <w:p w14:paraId="669AF8C9" w14:textId="77777777" w:rsidR="00634EC2" w:rsidRPr="00FA0D37" w:rsidRDefault="00634EC2" w:rsidP="00FA0D37">
      <w:pPr>
        <w:pStyle w:val="PL"/>
      </w:pPr>
    </w:p>
    <w:p w14:paraId="62472816" w14:textId="77777777" w:rsidR="00634EC2" w:rsidRPr="00FA0D37" w:rsidRDefault="00634EC2" w:rsidP="00FA0D37">
      <w:pPr>
        <w:pStyle w:val="PL"/>
        <w:rPr>
          <w:color w:val="808080"/>
        </w:rPr>
      </w:pPr>
      <w:r w:rsidRPr="00FA0D37">
        <w:rPr>
          <w:color w:val="808080"/>
        </w:rPr>
        <w:t>-- TAG-PATHLOSSREFERENCERS-STOP</w:t>
      </w:r>
    </w:p>
    <w:p w14:paraId="5ED9B180" w14:textId="77777777" w:rsidR="00634EC2" w:rsidRPr="00FA0D37" w:rsidRDefault="00634EC2" w:rsidP="00FA0D37">
      <w:pPr>
        <w:pStyle w:val="PL"/>
        <w:rPr>
          <w:color w:val="808080"/>
        </w:rPr>
      </w:pPr>
      <w:r w:rsidRPr="00FA0D37">
        <w:rPr>
          <w:color w:val="808080"/>
        </w:rPr>
        <w:t>-- ASN1STOP</w:t>
      </w:r>
    </w:p>
    <w:p w14:paraId="7A798EC0" w14:textId="77777777" w:rsidR="00634EC2" w:rsidRPr="00FA0D37"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FA0D37" w:rsidRDefault="00634EC2" w:rsidP="0071565C">
            <w:pPr>
              <w:pStyle w:val="TAH"/>
              <w:rPr>
                <w:szCs w:val="22"/>
                <w:lang w:eastAsia="sv-SE"/>
              </w:rPr>
            </w:pPr>
            <w:r w:rsidRPr="00FA0D37">
              <w:rPr>
                <w:i/>
                <w:szCs w:val="22"/>
                <w:lang w:eastAsia="sv-SE"/>
              </w:rPr>
              <w:lastRenderedPageBreak/>
              <w:t xml:space="preserve">PathlossReferenceRS </w:t>
            </w:r>
            <w:r w:rsidRPr="00FA0D37">
              <w:rPr>
                <w:szCs w:val="22"/>
                <w:lang w:eastAsia="sv-SE"/>
              </w:rPr>
              <w:t>field descriptions</w:t>
            </w:r>
          </w:p>
        </w:tc>
      </w:tr>
      <w:tr w:rsidR="00634EC2" w:rsidRPr="00FA0D37"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FA0D37" w:rsidRDefault="00634EC2" w:rsidP="0071565C">
            <w:pPr>
              <w:pStyle w:val="TAL"/>
              <w:rPr>
                <w:b/>
                <w:i/>
                <w:szCs w:val="22"/>
                <w:lang w:eastAsia="sv-SE"/>
              </w:rPr>
            </w:pPr>
            <w:r w:rsidRPr="00FA0D37">
              <w:rPr>
                <w:b/>
                <w:i/>
                <w:szCs w:val="22"/>
                <w:lang w:eastAsia="sv-SE"/>
              </w:rPr>
              <w:t>additionalPCI</w:t>
            </w:r>
          </w:p>
          <w:p w14:paraId="553A4381" w14:textId="77777777" w:rsidR="00634EC2" w:rsidRPr="00FA0D37" w:rsidRDefault="00634EC2" w:rsidP="0071565C">
            <w:pPr>
              <w:pStyle w:val="TAL"/>
              <w:rPr>
                <w:szCs w:val="22"/>
                <w:lang w:eastAsia="sv-SE"/>
              </w:rPr>
            </w:pPr>
            <w:r w:rsidRPr="00FA0D37">
              <w:rPr>
                <w:szCs w:val="22"/>
                <w:lang w:eastAsia="sv-SE"/>
              </w:rPr>
              <w:t>Indicates the physical cell ID (PCI) of the SSB for the referenceSignal.</w:t>
            </w:r>
          </w:p>
        </w:tc>
      </w:tr>
    </w:tbl>
    <w:p w14:paraId="2A12A2D8" w14:textId="77777777" w:rsidR="00634EC2" w:rsidRPr="00FA0D37"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5C7FF4" w:rsidRPr="00FA0D37"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FA0D37" w:rsidRDefault="00634EC2" w:rsidP="0071565C">
            <w:pPr>
              <w:pStyle w:val="TAH"/>
              <w:rPr>
                <w:rFonts w:eastAsia="宋体"/>
                <w:szCs w:val="22"/>
                <w:lang w:eastAsia="sv-SE"/>
              </w:rPr>
            </w:pPr>
            <w:r w:rsidRPr="00FA0D37">
              <w:rPr>
                <w:rFonts w:eastAsia="宋体"/>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FA0D37" w:rsidRDefault="00634EC2" w:rsidP="0071565C">
            <w:pPr>
              <w:pStyle w:val="TAH"/>
              <w:rPr>
                <w:rFonts w:eastAsia="宋体"/>
                <w:szCs w:val="22"/>
                <w:lang w:eastAsia="sv-SE"/>
              </w:rPr>
            </w:pPr>
            <w:r w:rsidRPr="00FA0D37">
              <w:rPr>
                <w:rFonts w:eastAsia="宋体"/>
                <w:szCs w:val="22"/>
                <w:lang w:eastAsia="sv-SE"/>
              </w:rPr>
              <w:t>Explanation</w:t>
            </w:r>
          </w:p>
        </w:tc>
      </w:tr>
      <w:tr w:rsidR="00634EC2" w:rsidRPr="00FA0D37"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FA0D37" w:rsidRDefault="00634EC2" w:rsidP="0071565C">
            <w:pPr>
              <w:pStyle w:val="TAL"/>
              <w:rPr>
                <w:rFonts w:eastAsia="宋体"/>
                <w:i/>
                <w:szCs w:val="22"/>
                <w:lang w:eastAsia="sv-SE"/>
              </w:rPr>
            </w:pPr>
            <w:r w:rsidRPr="00FA0D37">
              <w:rPr>
                <w:rFonts w:eastAsia="宋体"/>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FA0D37" w:rsidRDefault="00634EC2" w:rsidP="0071565C">
            <w:pPr>
              <w:pStyle w:val="TAL"/>
              <w:rPr>
                <w:rFonts w:eastAsia="宋体"/>
                <w:szCs w:val="22"/>
                <w:lang w:eastAsia="sv-SE"/>
              </w:rPr>
            </w:pPr>
            <w:r w:rsidRPr="00FA0D37">
              <w:rPr>
                <w:rFonts w:eastAsia="宋体"/>
                <w:szCs w:val="22"/>
                <w:lang w:eastAsia="sv-SE"/>
              </w:rPr>
              <w:t xml:space="preserve">The field is optionally present, Need R, if </w:t>
            </w:r>
            <w:r w:rsidRPr="00FA0D37">
              <w:rPr>
                <w:rFonts w:eastAsia="宋体"/>
                <w:i/>
                <w:iCs/>
                <w:szCs w:val="22"/>
                <w:lang w:eastAsia="sv-SE"/>
              </w:rPr>
              <w:t>ssb-Index</w:t>
            </w:r>
            <w:r w:rsidRPr="00FA0D37">
              <w:rPr>
                <w:rFonts w:eastAsia="宋体"/>
                <w:szCs w:val="22"/>
                <w:lang w:eastAsia="sv-SE"/>
              </w:rPr>
              <w:t xml:space="preserve"> is configured for </w:t>
            </w:r>
            <w:r w:rsidRPr="00FA0D37">
              <w:rPr>
                <w:rFonts w:eastAsia="宋体"/>
                <w:i/>
                <w:iCs/>
                <w:szCs w:val="22"/>
                <w:lang w:eastAsia="sv-SE"/>
              </w:rPr>
              <w:t>referenceSignal</w:t>
            </w:r>
            <w:r w:rsidRPr="00FA0D37">
              <w:rPr>
                <w:rFonts w:eastAsia="宋体"/>
                <w:szCs w:val="22"/>
                <w:lang w:eastAsia="sv-SE"/>
              </w:rPr>
              <w:t>. Otherwise it is absent, Need R.</w:t>
            </w:r>
          </w:p>
        </w:tc>
      </w:tr>
    </w:tbl>
    <w:p w14:paraId="1241C535" w14:textId="77777777" w:rsidR="00634EC2" w:rsidRPr="00FA0D37" w:rsidRDefault="00634EC2" w:rsidP="00634EC2"/>
    <w:p w14:paraId="00373E47" w14:textId="77777777" w:rsidR="00634EC2" w:rsidRPr="00FA0D37" w:rsidRDefault="00634EC2" w:rsidP="00634EC2">
      <w:pPr>
        <w:pStyle w:val="4"/>
      </w:pPr>
      <w:bookmarkStart w:id="1172" w:name="_Toc146781367"/>
      <w:r w:rsidRPr="00FA0D37">
        <w:t>–</w:t>
      </w:r>
      <w:r w:rsidRPr="00FA0D37">
        <w:tab/>
      </w:r>
      <w:r w:rsidRPr="00FA0D37">
        <w:rPr>
          <w:i/>
        </w:rPr>
        <w:t>PathlossReferenceRS-Id</w:t>
      </w:r>
      <w:bookmarkEnd w:id="1172"/>
    </w:p>
    <w:p w14:paraId="625CC9DC" w14:textId="77777777" w:rsidR="00634EC2" w:rsidRPr="00FA0D37" w:rsidRDefault="00634EC2" w:rsidP="00634EC2">
      <w:r w:rsidRPr="00FA0D37">
        <w:t xml:space="preserve">The IE </w:t>
      </w:r>
      <w:r w:rsidRPr="00FA0D37">
        <w:rPr>
          <w:i/>
        </w:rPr>
        <w:t>PathlossReferenceRS-Id</w:t>
      </w:r>
      <w:r w:rsidRPr="00FA0D37">
        <w:t xml:space="preserve"> is an ID for a reference signal (RS) configured as PUSCH, PUCCH and SRS pathloss reference RS for unified TCI state operation.</w:t>
      </w:r>
    </w:p>
    <w:p w14:paraId="1CB8F33D" w14:textId="77777777" w:rsidR="00634EC2" w:rsidRPr="00FA0D37" w:rsidRDefault="00634EC2" w:rsidP="00634EC2">
      <w:pPr>
        <w:pStyle w:val="TH"/>
      </w:pPr>
      <w:r w:rsidRPr="00FA0D37">
        <w:rPr>
          <w:i/>
        </w:rPr>
        <w:t>PathlossReferenceRS-Id</w:t>
      </w:r>
      <w:r w:rsidRPr="00FA0D37">
        <w:t xml:space="preserve"> information element</w:t>
      </w:r>
    </w:p>
    <w:p w14:paraId="7E5825C0" w14:textId="77777777" w:rsidR="00634EC2" w:rsidRPr="00FA0D37" w:rsidRDefault="00634EC2" w:rsidP="00FA0D37">
      <w:pPr>
        <w:pStyle w:val="PL"/>
        <w:rPr>
          <w:color w:val="808080"/>
        </w:rPr>
      </w:pPr>
      <w:r w:rsidRPr="00FA0D37">
        <w:rPr>
          <w:color w:val="808080"/>
        </w:rPr>
        <w:t>-- ASN1START</w:t>
      </w:r>
    </w:p>
    <w:p w14:paraId="16AD389B" w14:textId="77777777" w:rsidR="00634EC2" w:rsidRPr="00FA0D37" w:rsidRDefault="00634EC2" w:rsidP="00FA0D37">
      <w:pPr>
        <w:pStyle w:val="PL"/>
        <w:rPr>
          <w:color w:val="808080"/>
        </w:rPr>
      </w:pPr>
      <w:r w:rsidRPr="00FA0D37">
        <w:rPr>
          <w:color w:val="808080"/>
        </w:rPr>
        <w:t>-- TAG-PATHLOSSREFERENCERS-ID-START</w:t>
      </w:r>
    </w:p>
    <w:p w14:paraId="0E613D8C" w14:textId="77777777" w:rsidR="00634EC2" w:rsidRPr="00FA0D37" w:rsidRDefault="00634EC2" w:rsidP="00FA0D37">
      <w:pPr>
        <w:pStyle w:val="PL"/>
      </w:pPr>
    </w:p>
    <w:p w14:paraId="4382CFEB" w14:textId="77777777" w:rsidR="00634EC2" w:rsidRPr="00FA0D37" w:rsidRDefault="00634EC2" w:rsidP="00FA0D37">
      <w:pPr>
        <w:pStyle w:val="PL"/>
      </w:pPr>
      <w:r w:rsidRPr="00FA0D37">
        <w:t xml:space="preserve">PathlossReferenceRS-Id-r17 ::= </w:t>
      </w:r>
      <w:r w:rsidRPr="00FA0D37">
        <w:rPr>
          <w:color w:val="993366"/>
        </w:rPr>
        <w:t>INTEGER</w:t>
      </w:r>
      <w:r w:rsidRPr="00FA0D37">
        <w:t xml:space="preserve"> (0..maxNrofPathlossReferenceRSs-1-r17)</w:t>
      </w:r>
    </w:p>
    <w:p w14:paraId="0C6F3CB9" w14:textId="77777777" w:rsidR="00634EC2" w:rsidRPr="00FA0D37" w:rsidRDefault="00634EC2" w:rsidP="00FA0D37">
      <w:pPr>
        <w:pStyle w:val="PL"/>
      </w:pPr>
    </w:p>
    <w:p w14:paraId="22792A39" w14:textId="77777777" w:rsidR="00634EC2" w:rsidRPr="00FA0D37" w:rsidRDefault="00634EC2" w:rsidP="00FA0D37">
      <w:pPr>
        <w:pStyle w:val="PL"/>
        <w:rPr>
          <w:color w:val="808080"/>
        </w:rPr>
      </w:pPr>
      <w:r w:rsidRPr="00FA0D37">
        <w:rPr>
          <w:color w:val="808080"/>
        </w:rPr>
        <w:t>-- TAG-PATHLOSSREFERENCERS-ID-STOP</w:t>
      </w:r>
    </w:p>
    <w:p w14:paraId="1D559C35" w14:textId="77777777" w:rsidR="00634EC2" w:rsidRPr="00FA0D37" w:rsidRDefault="00634EC2" w:rsidP="00FA0D37">
      <w:pPr>
        <w:pStyle w:val="PL"/>
        <w:rPr>
          <w:color w:val="808080"/>
        </w:rPr>
      </w:pPr>
      <w:r w:rsidRPr="00FA0D37">
        <w:rPr>
          <w:color w:val="808080"/>
        </w:rPr>
        <w:t>-- ASN1STOP</w:t>
      </w:r>
    </w:p>
    <w:p w14:paraId="47501A6F" w14:textId="74159317" w:rsidR="00394471" w:rsidRPr="00FA0D37" w:rsidRDefault="00394471" w:rsidP="00394471"/>
    <w:p w14:paraId="73DA0DF2" w14:textId="77777777" w:rsidR="005B0782" w:rsidRPr="00FA0D37" w:rsidRDefault="005B0782" w:rsidP="005B0782">
      <w:pPr>
        <w:pStyle w:val="4"/>
        <w:rPr>
          <w:rFonts w:eastAsia="MS Mincho"/>
        </w:rPr>
      </w:pPr>
      <w:bookmarkStart w:id="1173" w:name="_Toc146781368"/>
      <w:r w:rsidRPr="00FA0D37">
        <w:rPr>
          <w:rFonts w:eastAsia="MS Mincho"/>
        </w:rPr>
        <w:t>–</w:t>
      </w:r>
      <w:r w:rsidRPr="00FA0D37">
        <w:rPr>
          <w:rFonts w:eastAsia="MS Mincho"/>
        </w:rPr>
        <w:tab/>
      </w:r>
      <w:r w:rsidRPr="00FA0D37">
        <w:rPr>
          <w:rFonts w:eastAsia="MS Mincho"/>
          <w:i/>
        </w:rPr>
        <w:t>PCI-ARFCN-EUTRA</w:t>
      </w:r>
      <w:bookmarkEnd w:id="1173"/>
    </w:p>
    <w:p w14:paraId="0F55FEB1" w14:textId="77777777" w:rsidR="005B0782" w:rsidRPr="00FA0D37" w:rsidRDefault="005B0782" w:rsidP="005B0782">
      <w:pPr>
        <w:rPr>
          <w:rFonts w:eastAsia="MS Mincho"/>
        </w:rPr>
      </w:pPr>
      <w:r w:rsidRPr="00FA0D37">
        <w:t xml:space="preserve">The IE </w:t>
      </w:r>
      <w:r w:rsidRPr="00FA0D37">
        <w:rPr>
          <w:rFonts w:eastAsia="MS Mincho"/>
          <w:i/>
        </w:rPr>
        <w:t>PCI-ARFCN-EUTRA</w:t>
      </w:r>
      <w:r w:rsidRPr="00FA0D37">
        <w:t xml:space="preserve"> </w:t>
      </w:r>
      <w:r w:rsidRPr="00FA0D37">
        <w:rPr>
          <w:iCs/>
        </w:rPr>
        <w:t>is used to encode EUTRA PCI and ARFCN</w:t>
      </w:r>
      <w:r w:rsidRPr="00FA0D37">
        <w:t>.</w:t>
      </w:r>
    </w:p>
    <w:p w14:paraId="711896DA" w14:textId="77777777" w:rsidR="005B0782" w:rsidRPr="00FA0D37" w:rsidRDefault="005B0782" w:rsidP="005B0782">
      <w:pPr>
        <w:pStyle w:val="TH"/>
      </w:pPr>
      <w:r w:rsidRPr="00FA0D37">
        <w:rPr>
          <w:rFonts w:eastAsia="MS Mincho"/>
          <w:i/>
        </w:rPr>
        <w:t xml:space="preserve">PCI-ARFCN-EUTRA </w:t>
      </w:r>
      <w:r w:rsidRPr="00FA0D37">
        <w:t>information element</w:t>
      </w:r>
    </w:p>
    <w:p w14:paraId="57601F22" w14:textId="77777777" w:rsidR="005B0782" w:rsidRPr="00FA0D37" w:rsidRDefault="005B0782" w:rsidP="00FA0D37">
      <w:pPr>
        <w:pStyle w:val="PL"/>
        <w:rPr>
          <w:color w:val="808080"/>
        </w:rPr>
      </w:pPr>
      <w:r w:rsidRPr="00FA0D37">
        <w:rPr>
          <w:color w:val="808080"/>
        </w:rPr>
        <w:t>-- ASN1START</w:t>
      </w:r>
    </w:p>
    <w:p w14:paraId="1D973199" w14:textId="77777777" w:rsidR="005B0782" w:rsidRPr="00FA0D37" w:rsidRDefault="005B0782" w:rsidP="00FA0D37">
      <w:pPr>
        <w:pStyle w:val="PL"/>
        <w:rPr>
          <w:color w:val="808080"/>
        </w:rPr>
      </w:pPr>
      <w:r w:rsidRPr="00FA0D37">
        <w:rPr>
          <w:color w:val="808080"/>
        </w:rPr>
        <w:t>-- TAG-PCIARFCNEUTRA-START</w:t>
      </w:r>
    </w:p>
    <w:p w14:paraId="4C5670AE" w14:textId="77777777" w:rsidR="005B0782" w:rsidRPr="00FA0D37" w:rsidRDefault="005B0782" w:rsidP="00FA0D37">
      <w:pPr>
        <w:pStyle w:val="PL"/>
      </w:pPr>
    </w:p>
    <w:p w14:paraId="2B2DA299" w14:textId="2622A34F" w:rsidR="005B0782" w:rsidRPr="00FA0D37" w:rsidRDefault="005B0782" w:rsidP="00FA0D37">
      <w:pPr>
        <w:pStyle w:val="PL"/>
      </w:pPr>
      <w:r w:rsidRPr="00FA0D37">
        <w:t xml:space="preserve">PCI-ARFCN-EUTRA-r16 ::=             </w:t>
      </w:r>
      <w:r w:rsidRPr="00FA0D37">
        <w:rPr>
          <w:color w:val="993366"/>
        </w:rPr>
        <w:t>SEQUENCE</w:t>
      </w:r>
      <w:r w:rsidRPr="00FA0D37">
        <w:t xml:space="preserve"> {</w:t>
      </w:r>
    </w:p>
    <w:p w14:paraId="10C383D4" w14:textId="1873888B" w:rsidR="005B0782" w:rsidRPr="00FA0D37" w:rsidRDefault="005B0782" w:rsidP="00FA0D37">
      <w:pPr>
        <w:pStyle w:val="PL"/>
      </w:pPr>
      <w:r w:rsidRPr="00FA0D37">
        <w:t xml:space="preserve">    physCellId-r16                      EUTRA-PhysCellId,</w:t>
      </w:r>
    </w:p>
    <w:p w14:paraId="37A510FE" w14:textId="5AF10B4E" w:rsidR="005B0782" w:rsidRPr="00FA0D37" w:rsidRDefault="005B0782" w:rsidP="00FA0D37">
      <w:pPr>
        <w:pStyle w:val="PL"/>
      </w:pPr>
      <w:r w:rsidRPr="00FA0D37">
        <w:t xml:space="preserve">    carrierFreq-r16                     ARFCN-ValueEUTRA</w:t>
      </w:r>
    </w:p>
    <w:p w14:paraId="5289A3DC" w14:textId="77777777" w:rsidR="005B0782" w:rsidRPr="00FA0D37" w:rsidRDefault="005B0782" w:rsidP="00FA0D37">
      <w:pPr>
        <w:pStyle w:val="PL"/>
      </w:pPr>
      <w:r w:rsidRPr="00FA0D37">
        <w:t>}</w:t>
      </w:r>
    </w:p>
    <w:p w14:paraId="0560029F" w14:textId="77777777" w:rsidR="005B0782" w:rsidRPr="00FA0D37" w:rsidRDefault="005B0782" w:rsidP="00FA0D37">
      <w:pPr>
        <w:pStyle w:val="PL"/>
      </w:pPr>
    </w:p>
    <w:p w14:paraId="4F513D1E" w14:textId="77777777" w:rsidR="005B0782" w:rsidRPr="00FA0D37" w:rsidRDefault="005B0782" w:rsidP="00FA0D37">
      <w:pPr>
        <w:pStyle w:val="PL"/>
        <w:rPr>
          <w:color w:val="808080"/>
        </w:rPr>
      </w:pPr>
      <w:r w:rsidRPr="00FA0D37">
        <w:rPr>
          <w:color w:val="808080"/>
        </w:rPr>
        <w:t>-- TAG-PCIARFCNEUTRA-STOP</w:t>
      </w:r>
    </w:p>
    <w:p w14:paraId="7AA279F1" w14:textId="77777777" w:rsidR="005B0782" w:rsidRPr="00FA0D37" w:rsidRDefault="005B0782" w:rsidP="00FA0D37">
      <w:pPr>
        <w:pStyle w:val="PL"/>
        <w:rPr>
          <w:color w:val="808080"/>
        </w:rPr>
      </w:pPr>
      <w:r w:rsidRPr="00FA0D37">
        <w:rPr>
          <w:color w:val="808080"/>
        </w:rPr>
        <w:t>-- ASN1STOP</w:t>
      </w:r>
    </w:p>
    <w:p w14:paraId="462D0EC8" w14:textId="77777777" w:rsidR="005B0782" w:rsidRPr="00FA0D37" w:rsidRDefault="005B0782" w:rsidP="005B0782"/>
    <w:p w14:paraId="499CEECA" w14:textId="77777777" w:rsidR="005B0782" w:rsidRPr="00FA0D37" w:rsidRDefault="005B0782" w:rsidP="005B0782">
      <w:pPr>
        <w:pStyle w:val="4"/>
        <w:rPr>
          <w:rFonts w:eastAsia="MS Mincho"/>
        </w:rPr>
      </w:pPr>
      <w:bookmarkStart w:id="1174" w:name="_Toc146781369"/>
      <w:r w:rsidRPr="00FA0D37">
        <w:rPr>
          <w:rFonts w:eastAsia="MS Mincho"/>
        </w:rPr>
        <w:t>–</w:t>
      </w:r>
      <w:r w:rsidRPr="00FA0D37">
        <w:rPr>
          <w:rFonts w:eastAsia="MS Mincho"/>
        </w:rPr>
        <w:tab/>
      </w:r>
      <w:r w:rsidRPr="00FA0D37">
        <w:rPr>
          <w:rFonts w:eastAsia="MS Mincho"/>
          <w:i/>
        </w:rPr>
        <w:t>PCI-ARFCN-NR</w:t>
      </w:r>
      <w:bookmarkEnd w:id="1174"/>
    </w:p>
    <w:p w14:paraId="248196F2" w14:textId="77777777" w:rsidR="005B0782" w:rsidRPr="00FA0D37" w:rsidRDefault="005B0782" w:rsidP="005B0782">
      <w:pPr>
        <w:rPr>
          <w:rFonts w:eastAsia="MS Mincho"/>
        </w:rPr>
      </w:pPr>
      <w:r w:rsidRPr="00FA0D37">
        <w:t xml:space="preserve">The IE </w:t>
      </w:r>
      <w:r w:rsidRPr="00FA0D37">
        <w:rPr>
          <w:rFonts w:eastAsia="MS Mincho"/>
          <w:i/>
        </w:rPr>
        <w:t>PCI-ARFCN-NR</w:t>
      </w:r>
      <w:r w:rsidRPr="00FA0D37">
        <w:t xml:space="preserve"> </w:t>
      </w:r>
      <w:r w:rsidRPr="00FA0D37">
        <w:rPr>
          <w:iCs/>
        </w:rPr>
        <w:t>is used to encode NR PCI and ARFCN</w:t>
      </w:r>
      <w:r w:rsidRPr="00FA0D37">
        <w:t>.</w:t>
      </w:r>
    </w:p>
    <w:p w14:paraId="1A889A68" w14:textId="77777777" w:rsidR="005B0782" w:rsidRPr="00FA0D37" w:rsidRDefault="005B0782" w:rsidP="005B0782">
      <w:pPr>
        <w:pStyle w:val="TH"/>
      </w:pPr>
      <w:r w:rsidRPr="00FA0D37">
        <w:rPr>
          <w:rFonts w:eastAsia="MS Mincho"/>
          <w:i/>
        </w:rPr>
        <w:lastRenderedPageBreak/>
        <w:t>PCI-ARFCN-NR</w:t>
      </w:r>
      <w:r w:rsidRPr="00FA0D37">
        <w:t xml:space="preserve"> information element</w:t>
      </w:r>
    </w:p>
    <w:p w14:paraId="05984F1E" w14:textId="77777777" w:rsidR="005B0782" w:rsidRPr="00FA0D37" w:rsidRDefault="005B0782" w:rsidP="00FA0D37">
      <w:pPr>
        <w:pStyle w:val="PL"/>
        <w:rPr>
          <w:color w:val="808080"/>
        </w:rPr>
      </w:pPr>
      <w:r w:rsidRPr="00FA0D37">
        <w:rPr>
          <w:color w:val="808080"/>
        </w:rPr>
        <w:t>-- ASN1START</w:t>
      </w:r>
    </w:p>
    <w:p w14:paraId="3F1FE261" w14:textId="77777777" w:rsidR="005B0782" w:rsidRPr="00FA0D37" w:rsidRDefault="005B0782" w:rsidP="00FA0D37">
      <w:pPr>
        <w:pStyle w:val="PL"/>
        <w:rPr>
          <w:color w:val="808080"/>
        </w:rPr>
      </w:pPr>
      <w:r w:rsidRPr="00FA0D37">
        <w:rPr>
          <w:color w:val="808080"/>
        </w:rPr>
        <w:t>-- TAG-PCIARFCNNR-START</w:t>
      </w:r>
    </w:p>
    <w:p w14:paraId="453C6AB8" w14:textId="77777777" w:rsidR="005B0782" w:rsidRPr="00FA0D37" w:rsidRDefault="005B0782" w:rsidP="00FA0D37">
      <w:pPr>
        <w:pStyle w:val="PL"/>
      </w:pPr>
    </w:p>
    <w:p w14:paraId="39D6F99F" w14:textId="6CE0A8F3" w:rsidR="005B0782" w:rsidRPr="00FA0D37" w:rsidRDefault="005B0782" w:rsidP="00FA0D37">
      <w:pPr>
        <w:pStyle w:val="PL"/>
      </w:pPr>
      <w:r w:rsidRPr="00FA0D37">
        <w:t xml:space="preserve">PCI-ARFCN-NR-r16 ::=                </w:t>
      </w:r>
      <w:r w:rsidRPr="00FA0D37">
        <w:rPr>
          <w:color w:val="993366"/>
        </w:rPr>
        <w:t>SEQUENCE</w:t>
      </w:r>
      <w:r w:rsidRPr="00FA0D37">
        <w:t xml:space="preserve"> {</w:t>
      </w:r>
    </w:p>
    <w:p w14:paraId="07332E5E" w14:textId="650FF227" w:rsidR="005B0782" w:rsidRPr="00FA0D37" w:rsidRDefault="005B0782" w:rsidP="00FA0D37">
      <w:pPr>
        <w:pStyle w:val="PL"/>
      </w:pPr>
      <w:r w:rsidRPr="00FA0D37">
        <w:t xml:space="preserve">    physCellId-r16                      PhysCellId,</w:t>
      </w:r>
    </w:p>
    <w:p w14:paraId="51868B50" w14:textId="09B47527" w:rsidR="005B0782" w:rsidRPr="00FA0D37" w:rsidRDefault="005B0782" w:rsidP="00FA0D37">
      <w:pPr>
        <w:pStyle w:val="PL"/>
      </w:pPr>
      <w:r w:rsidRPr="00FA0D37">
        <w:t xml:space="preserve">    carrierFreq-r16                     ARFCN-ValueNR</w:t>
      </w:r>
    </w:p>
    <w:p w14:paraId="319B5AA0" w14:textId="77777777" w:rsidR="005B0782" w:rsidRPr="00FA0D37" w:rsidRDefault="005B0782" w:rsidP="00FA0D37">
      <w:pPr>
        <w:pStyle w:val="PL"/>
      </w:pPr>
      <w:r w:rsidRPr="00FA0D37">
        <w:t>}</w:t>
      </w:r>
    </w:p>
    <w:p w14:paraId="2FF06872" w14:textId="77777777" w:rsidR="005B0782" w:rsidRPr="00FA0D37" w:rsidRDefault="005B0782" w:rsidP="00FA0D37">
      <w:pPr>
        <w:pStyle w:val="PL"/>
      </w:pPr>
    </w:p>
    <w:p w14:paraId="34E3995C" w14:textId="77777777" w:rsidR="005B0782" w:rsidRPr="00FA0D37" w:rsidRDefault="005B0782" w:rsidP="00FA0D37">
      <w:pPr>
        <w:pStyle w:val="PL"/>
        <w:rPr>
          <w:color w:val="808080"/>
        </w:rPr>
      </w:pPr>
      <w:r w:rsidRPr="00FA0D37">
        <w:rPr>
          <w:color w:val="808080"/>
        </w:rPr>
        <w:t>-- TAG-PCIARFCNNR-STOP</w:t>
      </w:r>
    </w:p>
    <w:p w14:paraId="1A7F1DE4" w14:textId="77777777" w:rsidR="005B0782" w:rsidRPr="00FA0D37" w:rsidRDefault="005B0782" w:rsidP="00FA0D37">
      <w:pPr>
        <w:pStyle w:val="PL"/>
        <w:rPr>
          <w:color w:val="808080"/>
        </w:rPr>
      </w:pPr>
      <w:r w:rsidRPr="00FA0D37">
        <w:rPr>
          <w:color w:val="808080"/>
        </w:rPr>
        <w:t>-- ASN1STOP</w:t>
      </w:r>
    </w:p>
    <w:p w14:paraId="7AB8C76C" w14:textId="77777777" w:rsidR="005B0782" w:rsidRPr="00FA0D37" w:rsidRDefault="005B0782" w:rsidP="00394471"/>
    <w:p w14:paraId="6712EADD" w14:textId="77777777" w:rsidR="00394471" w:rsidRPr="00FA0D37" w:rsidRDefault="00394471" w:rsidP="00394471">
      <w:pPr>
        <w:pStyle w:val="4"/>
        <w:rPr>
          <w:rFonts w:eastAsia="MS Mincho"/>
        </w:rPr>
      </w:pPr>
      <w:bookmarkStart w:id="1175" w:name="_Toc60777291"/>
      <w:bookmarkStart w:id="1176" w:name="_Toc146781370"/>
      <w:r w:rsidRPr="00FA0D37">
        <w:rPr>
          <w:rFonts w:eastAsia="MS Mincho"/>
        </w:rPr>
        <w:t>–</w:t>
      </w:r>
      <w:r w:rsidRPr="00FA0D37">
        <w:rPr>
          <w:rFonts w:eastAsia="MS Mincho"/>
        </w:rPr>
        <w:tab/>
      </w:r>
      <w:r w:rsidRPr="00FA0D37">
        <w:rPr>
          <w:rFonts w:eastAsia="MS Mincho"/>
          <w:i/>
        </w:rPr>
        <w:t>PCI-List</w:t>
      </w:r>
      <w:bookmarkEnd w:id="1175"/>
      <w:bookmarkEnd w:id="1176"/>
    </w:p>
    <w:p w14:paraId="5BC9189E" w14:textId="77777777" w:rsidR="00394471" w:rsidRPr="00FA0D37" w:rsidRDefault="00394471" w:rsidP="00394471">
      <w:pPr>
        <w:rPr>
          <w:rFonts w:eastAsia="MS Mincho"/>
        </w:rPr>
      </w:pPr>
      <w:r w:rsidRPr="00FA0D37">
        <w:t xml:space="preserve">The IE </w:t>
      </w:r>
      <w:r w:rsidRPr="00FA0D37">
        <w:rPr>
          <w:i/>
        </w:rPr>
        <w:t>PCI-List</w:t>
      </w:r>
      <w:r w:rsidRPr="00FA0D37">
        <w:t xml:space="preserve"> concerns a list of physical cell identities, which may be used for different purposes.</w:t>
      </w:r>
    </w:p>
    <w:p w14:paraId="4CC25AA9" w14:textId="77777777" w:rsidR="00394471" w:rsidRPr="00FA0D37" w:rsidRDefault="00394471" w:rsidP="00394471">
      <w:pPr>
        <w:pStyle w:val="TH"/>
      </w:pPr>
      <w:r w:rsidRPr="00FA0D37">
        <w:rPr>
          <w:i/>
        </w:rPr>
        <w:t>PCI-List</w:t>
      </w:r>
      <w:r w:rsidRPr="00FA0D37">
        <w:t xml:space="preserve"> information element</w:t>
      </w:r>
    </w:p>
    <w:p w14:paraId="571CE97F" w14:textId="77777777" w:rsidR="00394471" w:rsidRPr="00FA0D37" w:rsidRDefault="00394471" w:rsidP="00FA0D37">
      <w:pPr>
        <w:pStyle w:val="PL"/>
        <w:rPr>
          <w:color w:val="808080"/>
        </w:rPr>
      </w:pPr>
      <w:r w:rsidRPr="00FA0D37">
        <w:rPr>
          <w:color w:val="808080"/>
        </w:rPr>
        <w:t>-- ASN1START</w:t>
      </w:r>
    </w:p>
    <w:p w14:paraId="0B36A0C1" w14:textId="77777777" w:rsidR="00394471" w:rsidRPr="00FA0D37" w:rsidRDefault="00394471" w:rsidP="00FA0D37">
      <w:pPr>
        <w:pStyle w:val="PL"/>
        <w:rPr>
          <w:color w:val="808080"/>
        </w:rPr>
      </w:pPr>
      <w:r w:rsidRPr="00FA0D37">
        <w:rPr>
          <w:color w:val="808080"/>
        </w:rPr>
        <w:t>-- TAG-PCI-LIST-START</w:t>
      </w:r>
    </w:p>
    <w:p w14:paraId="49C1CA01" w14:textId="77777777" w:rsidR="00394471" w:rsidRPr="00FA0D37" w:rsidRDefault="00394471" w:rsidP="00FA0D37">
      <w:pPr>
        <w:pStyle w:val="PL"/>
      </w:pPr>
    </w:p>
    <w:p w14:paraId="2A6F638D" w14:textId="77777777" w:rsidR="00394471" w:rsidRPr="00FA0D37" w:rsidRDefault="00394471" w:rsidP="00FA0D37">
      <w:pPr>
        <w:pStyle w:val="PL"/>
      </w:pPr>
      <w:r w:rsidRPr="00FA0D37">
        <w:t xml:space="preserve">PCI-List ::=                        </w:t>
      </w:r>
      <w:r w:rsidRPr="00FA0D37">
        <w:rPr>
          <w:color w:val="993366"/>
        </w:rPr>
        <w:t>SEQUENCE</w:t>
      </w:r>
      <w:r w:rsidRPr="00FA0D37">
        <w:t xml:space="preserve"> (</w:t>
      </w:r>
      <w:r w:rsidRPr="00FA0D37">
        <w:rPr>
          <w:color w:val="993366"/>
        </w:rPr>
        <w:t>SIZE</w:t>
      </w:r>
      <w:r w:rsidRPr="00FA0D37">
        <w:t xml:space="preserve"> (1..maxNrofCellMeas))</w:t>
      </w:r>
      <w:r w:rsidRPr="00FA0D37">
        <w:rPr>
          <w:color w:val="993366"/>
        </w:rPr>
        <w:t xml:space="preserve"> OF</w:t>
      </w:r>
      <w:r w:rsidRPr="00FA0D37">
        <w:t xml:space="preserve"> PhysCellId</w:t>
      </w:r>
    </w:p>
    <w:p w14:paraId="0E4AF43D" w14:textId="77777777" w:rsidR="00394471" w:rsidRPr="00FA0D37" w:rsidRDefault="00394471" w:rsidP="00FA0D37">
      <w:pPr>
        <w:pStyle w:val="PL"/>
      </w:pPr>
    </w:p>
    <w:p w14:paraId="6C887DBB" w14:textId="77777777" w:rsidR="00394471" w:rsidRPr="00FA0D37" w:rsidRDefault="00394471" w:rsidP="00FA0D37">
      <w:pPr>
        <w:pStyle w:val="PL"/>
        <w:rPr>
          <w:color w:val="808080"/>
        </w:rPr>
      </w:pPr>
      <w:r w:rsidRPr="00FA0D37">
        <w:rPr>
          <w:color w:val="808080"/>
        </w:rPr>
        <w:t>-- TAG-PCI-LIST-STOP</w:t>
      </w:r>
    </w:p>
    <w:p w14:paraId="4B4C6A44" w14:textId="77777777" w:rsidR="00394471" w:rsidRPr="00FA0D37" w:rsidRDefault="00394471" w:rsidP="00FA0D37">
      <w:pPr>
        <w:pStyle w:val="PL"/>
        <w:rPr>
          <w:color w:val="808080"/>
        </w:rPr>
      </w:pPr>
      <w:r w:rsidRPr="00FA0D37">
        <w:rPr>
          <w:color w:val="808080"/>
        </w:rPr>
        <w:t>-- ASN1STOP</w:t>
      </w:r>
    </w:p>
    <w:p w14:paraId="4D958BF1" w14:textId="77777777" w:rsidR="00394471" w:rsidRPr="00FA0D37" w:rsidRDefault="00394471" w:rsidP="00394471"/>
    <w:p w14:paraId="7D268333" w14:textId="77777777" w:rsidR="00394471" w:rsidRPr="00FA0D37" w:rsidRDefault="00394471" w:rsidP="00394471">
      <w:pPr>
        <w:pStyle w:val="4"/>
        <w:rPr>
          <w:rFonts w:eastAsia="MS Mincho"/>
        </w:rPr>
      </w:pPr>
      <w:bookmarkStart w:id="1177" w:name="_Toc60777292"/>
      <w:bookmarkStart w:id="1178" w:name="_Toc146781371"/>
      <w:r w:rsidRPr="00FA0D37">
        <w:rPr>
          <w:rFonts w:eastAsia="MS Mincho"/>
        </w:rPr>
        <w:t>–</w:t>
      </w:r>
      <w:r w:rsidRPr="00FA0D37">
        <w:rPr>
          <w:rFonts w:eastAsia="MS Mincho"/>
        </w:rPr>
        <w:tab/>
      </w:r>
      <w:r w:rsidRPr="00FA0D37">
        <w:rPr>
          <w:rFonts w:eastAsia="MS Mincho"/>
          <w:i/>
        </w:rPr>
        <w:t>PCI-Range</w:t>
      </w:r>
      <w:bookmarkEnd w:id="1177"/>
      <w:bookmarkEnd w:id="1178"/>
    </w:p>
    <w:p w14:paraId="498435E3" w14:textId="77777777" w:rsidR="00394471" w:rsidRPr="00FA0D37" w:rsidRDefault="00394471" w:rsidP="00394471">
      <w:pPr>
        <w:keepNext/>
        <w:keepLines/>
        <w:rPr>
          <w:rFonts w:eastAsia="MS Mincho"/>
          <w:iCs/>
        </w:rPr>
      </w:pPr>
      <w:r w:rsidRPr="00FA0D37">
        <w:t xml:space="preserve">The IE </w:t>
      </w:r>
      <w:r w:rsidRPr="00FA0D37">
        <w:rPr>
          <w:i/>
        </w:rPr>
        <w:t>PCI-Range</w:t>
      </w:r>
      <w:r w:rsidRPr="00FA0D37">
        <w:rPr>
          <w:iCs/>
        </w:rPr>
        <w:t xml:space="preserve"> is used to encode either a single or a range of physical cell identities. The range is encoded by using a </w:t>
      </w:r>
      <w:r w:rsidRPr="00FA0D37">
        <w:rPr>
          <w:i/>
          <w:iCs/>
        </w:rPr>
        <w:t>start</w:t>
      </w:r>
      <w:r w:rsidRPr="00FA0D37">
        <w:rPr>
          <w:iCs/>
        </w:rPr>
        <w:t xml:space="preserve"> value and by indicating the number of consecutive physical cell identities (including </w:t>
      </w:r>
      <w:r w:rsidRPr="00FA0D37">
        <w:rPr>
          <w:i/>
          <w:iCs/>
        </w:rPr>
        <w:t>start</w:t>
      </w:r>
      <w:r w:rsidRPr="00FA0D37">
        <w:rPr>
          <w:iCs/>
        </w:rPr>
        <w:t xml:space="preserve">) in the range. For fields comprising multiple occurrences of </w:t>
      </w:r>
      <w:r w:rsidRPr="00FA0D37">
        <w:rPr>
          <w:i/>
        </w:rPr>
        <w:t>PCI-Range</w:t>
      </w:r>
      <w:r w:rsidRPr="00FA0D37">
        <w:rPr>
          <w:iCs/>
        </w:rPr>
        <w:t>, the Network may configure overlapping ranges of physical cell identities.</w:t>
      </w:r>
    </w:p>
    <w:p w14:paraId="701410C4" w14:textId="77777777" w:rsidR="00394471" w:rsidRPr="00FA0D37" w:rsidRDefault="00394471" w:rsidP="00394471">
      <w:pPr>
        <w:pStyle w:val="TH"/>
      </w:pPr>
      <w:r w:rsidRPr="00FA0D37">
        <w:rPr>
          <w:bCs/>
          <w:i/>
          <w:iCs/>
        </w:rPr>
        <w:t xml:space="preserve">PCI-Range </w:t>
      </w:r>
      <w:r w:rsidRPr="00FA0D37">
        <w:t>information element</w:t>
      </w:r>
    </w:p>
    <w:p w14:paraId="4CD41E19" w14:textId="77777777" w:rsidR="00394471" w:rsidRPr="00FA0D37" w:rsidRDefault="00394471" w:rsidP="00FA0D37">
      <w:pPr>
        <w:pStyle w:val="PL"/>
        <w:rPr>
          <w:color w:val="808080"/>
        </w:rPr>
      </w:pPr>
      <w:r w:rsidRPr="00FA0D37">
        <w:rPr>
          <w:color w:val="808080"/>
        </w:rPr>
        <w:t>-- ASN1START</w:t>
      </w:r>
    </w:p>
    <w:p w14:paraId="00937855" w14:textId="77777777" w:rsidR="00394471" w:rsidRPr="00FA0D37" w:rsidRDefault="00394471" w:rsidP="00FA0D37">
      <w:pPr>
        <w:pStyle w:val="PL"/>
        <w:rPr>
          <w:color w:val="808080"/>
        </w:rPr>
      </w:pPr>
      <w:r w:rsidRPr="00FA0D37">
        <w:rPr>
          <w:color w:val="808080"/>
        </w:rPr>
        <w:t>-- TAG-PCI-RANGE-START</w:t>
      </w:r>
    </w:p>
    <w:p w14:paraId="347C00CA" w14:textId="77777777" w:rsidR="00394471" w:rsidRPr="00FA0D37" w:rsidRDefault="00394471" w:rsidP="00FA0D37">
      <w:pPr>
        <w:pStyle w:val="PL"/>
      </w:pPr>
    </w:p>
    <w:p w14:paraId="143709CC" w14:textId="77777777" w:rsidR="00394471" w:rsidRPr="00FA0D37" w:rsidRDefault="00394471" w:rsidP="00FA0D37">
      <w:pPr>
        <w:pStyle w:val="PL"/>
      </w:pPr>
      <w:r w:rsidRPr="00FA0D37">
        <w:t xml:space="preserve">PCI-Range ::=                       </w:t>
      </w:r>
      <w:r w:rsidRPr="00FA0D37">
        <w:rPr>
          <w:color w:val="993366"/>
        </w:rPr>
        <w:t>SEQUENCE</w:t>
      </w:r>
      <w:r w:rsidRPr="00FA0D37">
        <w:t xml:space="preserve"> {</w:t>
      </w:r>
    </w:p>
    <w:p w14:paraId="1E7F8FDF" w14:textId="77777777" w:rsidR="00394471" w:rsidRPr="00FA0D37" w:rsidRDefault="00394471" w:rsidP="00FA0D37">
      <w:pPr>
        <w:pStyle w:val="PL"/>
      </w:pPr>
      <w:r w:rsidRPr="00FA0D37">
        <w:t xml:space="preserve">    start                               PhysCellId,</w:t>
      </w:r>
    </w:p>
    <w:p w14:paraId="1EBF150D" w14:textId="77777777" w:rsidR="00394471" w:rsidRPr="00FA0D37" w:rsidRDefault="00394471" w:rsidP="00FA0D37">
      <w:pPr>
        <w:pStyle w:val="PL"/>
      </w:pPr>
      <w:r w:rsidRPr="00FA0D37">
        <w:t xml:space="preserve">    range                               </w:t>
      </w:r>
      <w:r w:rsidRPr="00FA0D37">
        <w:rPr>
          <w:color w:val="993366"/>
        </w:rPr>
        <w:t>ENUMERATED</w:t>
      </w:r>
      <w:r w:rsidRPr="00FA0D37">
        <w:t xml:space="preserve"> {n4, n8, n12, n16, n24, n32, n48, n64, n84,</w:t>
      </w:r>
    </w:p>
    <w:p w14:paraId="239743F1" w14:textId="77777777" w:rsidR="00394471" w:rsidRPr="00FA0D37" w:rsidRDefault="00394471" w:rsidP="00FA0D37">
      <w:pPr>
        <w:pStyle w:val="PL"/>
        <w:rPr>
          <w:color w:val="808080"/>
        </w:rPr>
      </w:pPr>
      <w:r w:rsidRPr="00FA0D37">
        <w:t xml:space="preserve">                                                    n96, n128, n168, n252, n504, n1008,spare1}                  </w:t>
      </w:r>
      <w:r w:rsidRPr="00FA0D37">
        <w:rPr>
          <w:color w:val="993366"/>
        </w:rPr>
        <w:t>OPTIONAL</w:t>
      </w:r>
      <w:r w:rsidRPr="00FA0D37">
        <w:t xml:space="preserve">    </w:t>
      </w:r>
      <w:r w:rsidRPr="00FA0D37">
        <w:rPr>
          <w:color w:val="808080"/>
        </w:rPr>
        <w:t>-- Need S</w:t>
      </w:r>
    </w:p>
    <w:p w14:paraId="7D1636D2" w14:textId="77777777" w:rsidR="00394471" w:rsidRPr="00FA0D37" w:rsidRDefault="00394471" w:rsidP="00FA0D37">
      <w:pPr>
        <w:pStyle w:val="PL"/>
      </w:pPr>
      <w:r w:rsidRPr="00FA0D37">
        <w:t>}</w:t>
      </w:r>
    </w:p>
    <w:p w14:paraId="58421CAC" w14:textId="77777777" w:rsidR="00394471" w:rsidRPr="00FA0D37" w:rsidRDefault="00394471" w:rsidP="00FA0D37">
      <w:pPr>
        <w:pStyle w:val="PL"/>
      </w:pPr>
    </w:p>
    <w:p w14:paraId="7B52D6CF" w14:textId="77777777" w:rsidR="00394471" w:rsidRPr="00FA0D37" w:rsidRDefault="00394471" w:rsidP="00FA0D37">
      <w:pPr>
        <w:pStyle w:val="PL"/>
        <w:rPr>
          <w:color w:val="808080"/>
        </w:rPr>
      </w:pPr>
      <w:r w:rsidRPr="00FA0D37">
        <w:rPr>
          <w:color w:val="808080"/>
        </w:rPr>
        <w:t>-- TAG-PCI-RANGE-STOP</w:t>
      </w:r>
    </w:p>
    <w:p w14:paraId="3407CBB8" w14:textId="77777777" w:rsidR="00394471" w:rsidRPr="00FA0D37" w:rsidRDefault="00394471" w:rsidP="00FA0D37">
      <w:pPr>
        <w:pStyle w:val="PL"/>
        <w:rPr>
          <w:color w:val="808080"/>
        </w:rPr>
      </w:pPr>
      <w:r w:rsidRPr="00FA0D37">
        <w:rPr>
          <w:color w:val="808080"/>
        </w:rPr>
        <w:lastRenderedPageBreak/>
        <w:t>-- ASN1STOP</w:t>
      </w:r>
    </w:p>
    <w:p w14:paraId="2A1F29E3" w14:textId="77777777" w:rsidR="00394471" w:rsidRPr="00FA0D37"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5C7FF4" w:rsidRPr="00FA0D37"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FA0D37" w:rsidRDefault="00394471" w:rsidP="00964CC4">
            <w:pPr>
              <w:pStyle w:val="TAH"/>
              <w:rPr>
                <w:lang w:eastAsia="en-GB"/>
              </w:rPr>
            </w:pPr>
            <w:r w:rsidRPr="00FA0D37">
              <w:rPr>
                <w:i/>
                <w:lang w:eastAsia="en-GB"/>
              </w:rPr>
              <w:t>PCI-Range</w:t>
            </w:r>
            <w:r w:rsidRPr="00FA0D37">
              <w:rPr>
                <w:iCs/>
                <w:lang w:eastAsia="en-GB"/>
              </w:rPr>
              <w:t xml:space="preserve"> field descriptions</w:t>
            </w:r>
          </w:p>
        </w:tc>
      </w:tr>
      <w:tr w:rsidR="005C7FF4" w:rsidRPr="00FA0D37"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FA0D37" w:rsidRDefault="00394471" w:rsidP="00964CC4">
            <w:pPr>
              <w:pStyle w:val="TAL"/>
              <w:rPr>
                <w:b/>
                <w:bCs/>
                <w:i/>
                <w:lang w:eastAsia="en-GB"/>
              </w:rPr>
            </w:pPr>
            <w:r w:rsidRPr="00FA0D37">
              <w:rPr>
                <w:b/>
                <w:bCs/>
                <w:i/>
                <w:lang w:eastAsia="en-GB"/>
              </w:rPr>
              <w:t>range</w:t>
            </w:r>
          </w:p>
          <w:p w14:paraId="24A630B7" w14:textId="77777777" w:rsidR="00394471" w:rsidRPr="00FA0D37" w:rsidRDefault="00394471" w:rsidP="00964CC4">
            <w:pPr>
              <w:pStyle w:val="TAL"/>
              <w:rPr>
                <w:iCs/>
                <w:lang w:eastAsia="en-GB"/>
              </w:rPr>
            </w:pPr>
            <w:r w:rsidRPr="00FA0D37">
              <w:rPr>
                <w:iCs/>
                <w:lang w:eastAsia="en-GB"/>
              </w:rPr>
              <w:t xml:space="preserve">Indicates the number of </w:t>
            </w:r>
            <w:r w:rsidRPr="00FA0D37">
              <w:rPr>
                <w:bCs/>
                <w:lang w:eastAsia="en-GB"/>
              </w:rPr>
              <w:t>physical cell identities</w:t>
            </w:r>
            <w:r w:rsidRPr="00FA0D37">
              <w:rPr>
                <w:iCs/>
                <w:lang w:eastAsia="en-GB"/>
              </w:rPr>
              <w:t xml:space="preserve"> in the range (including </w:t>
            </w:r>
            <w:r w:rsidRPr="00FA0D37">
              <w:rPr>
                <w:i/>
                <w:iCs/>
                <w:lang w:eastAsia="en-GB"/>
              </w:rPr>
              <w:t>start</w:t>
            </w:r>
            <w:r w:rsidRPr="00FA0D37">
              <w:rPr>
                <w:iCs/>
                <w:lang w:eastAsia="en-GB"/>
              </w:rPr>
              <w:t xml:space="preserve">). Value </w:t>
            </w:r>
            <w:r w:rsidRPr="00FA0D37">
              <w:rPr>
                <w:i/>
                <w:iCs/>
                <w:lang w:eastAsia="en-GB"/>
              </w:rPr>
              <w:t>n4</w:t>
            </w:r>
            <w:r w:rsidRPr="00FA0D37">
              <w:rPr>
                <w:iCs/>
                <w:lang w:eastAsia="en-GB"/>
              </w:rPr>
              <w:t xml:space="preserve"> corresponds with 4, value </w:t>
            </w:r>
            <w:r w:rsidRPr="00FA0D37">
              <w:rPr>
                <w:i/>
                <w:iCs/>
                <w:lang w:eastAsia="en-GB"/>
              </w:rPr>
              <w:t>n8</w:t>
            </w:r>
            <w:r w:rsidRPr="00FA0D37">
              <w:rPr>
                <w:iCs/>
                <w:lang w:eastAsia="en-GB"/>
              </w:rPr>
              <w:t xml:space="preserve"> corresponds with 8 and so on. The UE shall apply value 1 in case the field is absent, in which case only the physical cell identity value indicated by </w:t>
            </w:r>
            <w:r w:rsidRPr="00FA0D37">
              <w:rPr>
                <w:i/>
                <w:iCs/>
                <w:lang w:eastAsia="en-GB"/>
              </w:rPr>
              <w:t>start</w:t>
            </w:r>
            <w:r w:rsidRPr="00FA0D37">
              <w:rPr>
                <w:iCs/>
                <w:lang w:eastAsia="en-GB"/>
              </w:rPr>
              <w:t xml:space="preserve"> applies.</w:t>
            </w:r>
          </w:p>
        </w:tc>
      </w:tr>
      <w:tr w:rsidR="00394471" w:rsidRPr="00FA0D37"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FA0D37" w:rsidRDefault="00394471" w:rsidP="00964CC4">
            <w:pPr>
              <w:pStyle w:val="TAL"/>
              <w:rPr>
                <w:b/>
                <w:bCs/>
                <w:i/>
                <w:lang w:eastAsia="en-GB"/>
              </w:rPr>
            </w:pPr>
            <w:r w:rsidRPr="00FA0D37">
              <w:rPr>
                <w:b/>
                <w:bCs/>
                <w:i/>
                <w:lang w:eastAsia="en-GB"/>
              </w:rPr>
              <w:t>start</w:t>
            </w:r>
          </w:p>
          <w:p w14:paraId="42018D9B" w14:textId="77777777" w:rsidR="00394471" w:rsidRPr="00FA0D37" w:rsidRDefault="00394471" w:rsidP="00964CC4">
            <w:pPr>
              <w:pStyle w:val="TAL"/>
              <w:rPr>
                <w:bCs/>
                <w:lang w:eastAsia="en-GB"/>
              </w:rPr>
            </w:pPr>
            <w:r w:rsidRPr="00FA0D37">
              <w:rPr>
                <w:bCs/>
                <w:lang w:eastAsia="en-GB"/>
              </w:rPr>
              <w:t>Indicates the lowest physical cell identity in the range.</w:t>
            </w:r>
          </w:p>
        </w:tc>
      </w:tr>
    </w:tbl>
    <w:p w14:paraId="7F7065B6" w14:textId="77777777" w:rsidR="00394471" w:rsidRPr="00FA0D37" w:rsidRDefault="00394471" w:rsidP="00394471"/>
    <w:p w14:paraId="15FAFA78" w14:textId="77777777" w:rsidR="00394471" w:rsidRPr="00FA0D37" w:rsidRDefault="00394471" w:rsidP="00394471">
      <w:pPr>
        <w:pStyle w:val="4"/>
        <w:rPr>
          <w:rFonts w:eastAsia="MS Mincho"/>
        </w:rPr>
      </w:pPr>
      <w:bookmarkStart w:id="1179" w:name="_Toc60777293"/>
      <w:bookmarkStart w:id="1180" w:name="_Toc146781372"/>
      <w:r w:rsidRPr="00FA0D37">
        <w:rPr>
          <w:rFonts w:eastAsia="MS Mincho"/>
        </w:rPr>
        <w:t>–</w:t>
      </w:r>
      <w:r w:rsidRPr="00FA0D37">
        <w:rPr>
          <w:rFonts w:eastAsia="MS Mincho"/>
        </w:rPr>
        <w:tab/>
      </w:r>
      <w:r w:rsidRPr="00FA0D37">
        <w:rPr>
          <w:rFonts w:eastAsia="MS Mincho"/>
          <w:i/>
        </w:rPr>
        <w:t>PCI-RangeElement</w:t>
      </w:r>
      <w:bookmarkEnd w:id="1179"/>
      <w:bookmarkEnd w:id="1180"/>
    </w:p>
    <w:p w14:paraId="5867911A" w14:textId="77777777" w:rsidR="00394471" w:rsidRPr="00FA0D37" w:rsidRDefault="00394471" w:rsidP="00394471">
      <w:pPr>
        <w:rPr>
          <w:rFonts w:eastAsia="MS Mincho"/>
        </w:rPr>
      </w:pPr>
      <w:r w:rsidRPr="00FA0D37">
        <w:rPr>
          <w:rFonts w:eastAsia="MS Mincho"/>
        </w:rPr>
        <w:t xml:space="preserve">The IE </w:t>
      </w:r>
      <w:r w:rsidRPr="00FA0D37">
        <w:rPr>
          <w:rFonts w:eastAsia="MS Mincho"/>
          <w:i/>
        </w:rPr>
        <w:t>PCI-RangeElement</w:t>
      </w:r>
      <w:r w:rsidRPr="00FA0D37">
        <w:rPr>
          <w:rFonts w:eastAsia="MS Mincho"/>
        </w:rPr>
        <w:t xml:space="preserve"> is used to define a PCI-Range as part of a list (e.g. AddMod list).</w:t>
      </w:r>
    </w:p>
    <w:p w14:paraId="1836858A" w14:textId="77777777" w:rsidR="00394471" w:rsidRPr="00FA0D37" w:rsidRDefault="00394471" w:rsidP="00394471">
      <w:pPr>
        <w:pStyle w:val="TH"/>
        <w:rPr>
          <w:rFonts w:eastAsia="MS Mincho"/>
        </w:rPr>
      </w:pPr>
      <w:r w:rsidRPr="00FA0D37">
        <w:rPr>
          <w:rFonts w:eastAsia="MS Mincho"/>
          <w:i/>
        </w:rPr>
        <w:t>PCI-RangeElement</w:t>
      </w:r>
      <w:r w:rsidRPr="00FA0D37">
        <w:rPr>
          <w:rFonts w:eastAsia="MS Mincho"/>
        </w:rPr>
        <w:t xml:space="preserve"> information element</w:t>
      </w:r>
    </w:p>
    <w:p w14:paraId="7EADB29B" w14:textId="77777777" w:rsidR="00394471" w:rsidRPr="00FA0D37" w:rsidRDefault="00394471" w:rsidP="00FA0D37">
      <w:pPr>
        <w:pStyle w:val="PL"/>
        <w:rPr>
          <w:color w:val="808080"/>
        </w:rPr>
      </w:pPr>
      <w:r w:rsidRPr="00FA0D37">
        <w:rPr>
          <w:color w:val="808080"/>
        </w:rPr>
        <w:t>-- ASN1START</w:t>
      </w:r>
    </w:p>
    <w:p w14:paraId="68A9DC57" w14:textId="77777777" w:rsidR="00394471" w:rsidRPr="00FA0D37" w:rsidRDefault="00394471" w:rsidP="00FA0D37">
      <w:pPr>
        <w:pStyle w:val="PL"/>
        <w:rPr>
          <w:color w:val="808080"/>
        </w:rPr>
      </w:pPr>
      <w:r w:rsidRPr="00FA0D37">
        <w:rPr>
          <w:color w:val="808080"/>
        </w:rPr>
        <w:t>-- TAG-PCI-RANGEELEMENT-START</w:t>
      </w:r>
    </w:p>
    <w:p w14:paraId="5776F582" w14:textId="77777777" w:rsidR="00394471" w:rsidRPr="00FA0D37" w:rsidRDefault="00394471" w:rsidP="00FA0D37">
      <w:pPr>
        <w:pStyle w:val="PL"/>
      </w:pPr>
    </w:p>
    <w:p w14:paraId="09B55864" w14:textId="77777777" w:rsidR="00394471" w:rsidRPr="00FA0D37" w:rsidRDefault="00394471" w:rsidP="00FA0D37">
      <w:pPr>
        <w:pStyle w:val="PL"/>
      </w:pPr>
      <w:r w:rsidRPr="00FA0D37">
        <w:t xml:space="preserve">PCI-RangeElement ::=                </w:t>
      </w:r>
      <w:r w:rsidRPr="00FA0D37">
        <w:rPr>
          <w:color w:val="993366"/>
        </w:rPr>
        <w:t>SEQUENCE</w:t>
      </w:r>
      <w:r w:rsidRPr="00FA0D37">
        <w:t xml:space="preserve"> {</w:t>
      </w:r>
    </w:p>
    <w:p w14:paraId="0D0CB7D8" w14:textId="77777777" w:rsidR="00394471" w:rsidRPr="00FA0D37" w:rsidRDefault="00394471" w:rsidP="00FA0D37">
      <w:pPr>
        <w:pStyle w:val="PL"/>
      </w:pPr>
      <w:r w:rsidRPr="00FA0D37">
        <w:t xml:space="preserve">    pci-RangeIndex                      PCI-RangeIndex,</w:t>
      </w:r>
    </w:p>
    <w:p w14:paraId="3BF57FD5" w14:textId="77777777" w:rsidR="00394471" w:rsidRPr="00FA0D37" w:rsidRDefault="00394471" w:rsidP="00FA0D37">
      <w:pPr>
        <w:pStyle w:val="PL"/>
      </w:pPr>
      <w:r w:rsidRPr="00FA0D37">
        <w:t xml:space="preserve">    pci-Range                           PCI-Range</w:t>
      </w:r>
    </w:p>
    <w:p w14:paraId="5435E838" w14:textId="77777777" w:rsidR="00394471" w:rsidRPr="00FA0D37" w:rsidRDefault="00394471" w:rsidP="00FA0D37">
      <w:pPr>
        <w:pStyle w:val="PL"/>
      </w:pPr>
      <w:r w:rsidRPr="00FA0D37">
        <w:t>}</w:t>
      </w:r>
    </w:p>
    <w:p w14:paraId="331A7E04" w14:textId="77777777" w:rsidR="00394471" w:rsidRPr="00FA0D37" w:rsidRDefault="00394471" w:rsidP="00FA0D37">
      <w:pPr>
        <w:pStyle w:val="PL"/>
      </w:pPr>
    </w:p>
    <w:p w14:paraId="1A6138D8" w14:textId="77777777" w:rsidR="00394471" w:rsidRPr="00FA0D37" w:rsidRDefault="00394471" w:rsidP="00FA0D37">
      <w:pPr>
        <w:pStyle w:val="PL"/>
        <w:rPr>
          <w:color w:val="808080"/>
        </w:rPr>
      </w:pPr>
      <w:r w:rsidRPr="00FA0D37">
        <w:rPr>
          <w:color w:val="808080"/>
        </w:rPr>
        <w:t>-- TAG-PCI-RANGEELEMENT-STOP</w:t>
      </w:r>
    </w:p>
    <w:p w14:paraId="1ECE84B2" w14:textId="77777777" w:rsidR="00394471" w:rsidRPr="00FA0D37" w:rsidRDefault="00394471" w:rsidP="00FA0D37">
      <w:pPr>
        <w:pStyle w:val="PL"/>
        <w:rPr>
          <w:color w:val="808080"/>
        </w:rPr>
      </w:pPr>
      <w:r w:rsidRPr="00FA0D37">
        <w:rPr>
          <w:color w:val="808080"/>
        </w:rPr>
        <w:t>-- ASN1STOP</w:t>
      </w:r>
    </w:p>
    <w:p w14:paraId="73C56C6A"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FA0D37" w:rsidRDefault="00394471" w:rsidP="00964CC4">
            <w:pPr>
              <w:pStyle w:val="TAH"/>
              <w:rPr>
                <w:szCs w:val="22"/>
                <w:lang w:eastAsia="sv-SE"/>
              </w:rPr>
            </w:pPr>
            <w:r w:rsidRPr="00FA0D37">
              <w:rPr>
                <w:i/>
                <w:szCs w:val="22"/>
                <w:lang w:eastAsia="sv-SE"/>
              </w:rPr>
              <w:t xml:space="preserve">PCI-RangeElement </w:t>
            </w:r>
            <w:r w:rsidRPr="00FA0D37">
              <w:rPr>
                <w:szCs w:val="22"/>
                <w:lang w:eastAsia="sv-SE"/>
              </w:rPr>
              <w:t>field descriptions</w:t>
            </w:r>
          </w:p>
        </w:tc>
      </w:tr>
      <w:tr w:rsidR="00394471" w:rsidRPr="00FA0D37"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FA0D37" w:rsidRDefault="00394471" w:rsidP="00964CC4">
            <w:pPr>
              <w:pStyle w:val="TAL"/>
              <w:rPr>
                <w:b/>
                <w:i/>
                <w:szCs w:val="22"/>
                <w:lang w:eastAsia="sv-SE"/>
              </w:rPr>
            </w:pPr>
            <w:r w:rsidRPr="00FA0D37">
              <w:rPr>
                <w:b/>
                <w:i/>
                <w:szCs w:val="22"/>
                <w:lang w:eastAsia="sv-SE"/>
              </w:rPr>
              <w:t>pci-Range</w:t>
            </w:r>
          </w:p>
          <w:p w14:paraId="3FE8C35F" w14:textId="77777777" w:rsidR="00394471" w:rsidRPr="00FA0D37" w:rsidRDefault="00394471" w:rsidP="00964CC4">
            <w:pPr>
              <w:pStyle w:val="TAL"/>
              <w:rPr>
                <w:szCs w:val="22"/>
                <w:lang w:eastAsia="sv-SE"/>
              </w:rPr>
            </w:pPr>
            <w:r w:rsidRPr="00FA0D37">
              <w:rPr>
                <w:szCs w:val="22"/>
                <w:lang w:eastAsia="sv-SE"/>
              </w:rPr>
              <w:t>Physical cell identity or a range of physical cell identities.</w:t>
            </w:r>
          </w:p>
        </w:tc>
      </w:tr>
    </w:tbl>
    <w:p w14:paraId="7A43FA81" w14:textId="77777777" w:rsidR="00394471" w:rsidRPr="00FA0D37" w:rsidRDefault="00394471" w:rsidP="00394471"/>
    <w:p w14:paraId="1CEE22B9" w14:textId="77777777" w:rsidR="00394471" w:rsidRPr="00FA0D37" w:rsidRDefault="00394471" w:rsidP="00394471">
      <w:pPr>
        <w:pStyle w:val="4"/>
        <w:rPr>
          <w:rFonts w:eastAsia="MS Mincho"/>
        </w:rPr>
      </w:pPr>
      <w:bookmarkStart w:id="1181" w:name="_Toc60777294"/>
      <w:bookmarkStart w:id="1182" w:name="_Toc146781373"/>
      <w:r w:rsidRPr="00FA0D37">
        <w:rPr>
          <w:rFonts w:eastAsia="MS Mincho"/>
        </w:rPr>
        <w:t>–</w:t>
      </w:r>
      <w:r w:rsidRPr="00FA0D37">
        <w:rPr>
          <w:rFonts w:eastAsia="MS Mincho"/>
        </w:rPr>
        <w:tab/>
      </w:r>
      <w:r w:rsidRPr="00FA0D37">
        <w:rPr>
          <w:rFonts w:eastAsia="MS Mincho"/>
          <w:i/>
        </w:rPr>
        <w:t>PCI-RangeIndex</w:t>
      </w:r>
      <w:bookmarkEnd w:id="1181"/>
      <w:bookmarkEnd w:id="1182"/>
    </w:p>
    <w:p w14:paraId="76B6D06C" w14:textId="77777777" w:rsidR="00394471" w:rsidRPr="00FA0D37" w:rsidRDefault="00394471" w:rsidP="00394471">
      <w:pPr>
        <w:rPr>
          <w:rFonts w:eastAsia="MS Mincho"/>
        </w:rPr>
      </w:pPr>
      <w:r w:rsidRPr="00FA0D37">
        <w:t>The IE PCI-RangeIndex identifies a physical cell id range, which may be used for different purposes.</w:t>
      </w:r>
    </w:p>
    <w:p w14:paraId="5E66A86F" w14:textId="77777777" w:rsidR="00394471" w:rsidRPr="00FA0D37" w:rsidRDefault="00394471" w:rsidP="00394471">
      <w:pPr>
        <w:pStyle w:val="TH"/>
      </w:pPr>
      <w:r w:rsidRPr="00FA0D37">
        <w:rPr>
          <w:i/>
        </w:rPr>
        <w:t>PCI-RangeIndex</w:t>
      </w:r>
      <w:r w:rsidRPr="00FA0D37">
        <w:t xml:space="preserve"> information element</w:t>
      </w:r>
    </w:p>
    <w:p w14:paraId="23588511" w14:textId="77777777" w:rsidR="00394471" w:rsidRPr="00FA0D37" w:rsidRDefault="00394471" w:rsidP="00FA0D37">
      <w:pPr>
        <w:pStyle w:val="PL"/>
        <w:rPr>
          <w:color w:val="808080"/>
        </w:rPr>
      </w:pPr>
      <w:r w:rsidRPr="00FA0D37">
        <w:rPr>
          <w:color w:val="808080"/>
        </w:rPr>
        <w:t>-- ASN1START</w:t>
      </w:r>
    </w:p>
    <w:p w14:paraId="15F58F61" w14:textId="77777777" w:rsidR="00394471" w:rsidRPr="00FA0D37" w:rsidRDefault="00394471" w:rsidP="00FA0D37">
      <w:pPr>
        <w:pStyle w:val="PL"/>
        <w:rPr>
          <w:color w:val="808080"/>
        </w:rPr>
      </w:pPr>
      <w:r w:rsidRPr="00FA0D37">
        <w:rPr>
          <w:color w:val="808080"/>
        </w:rPr>
        <w:t>-- TAG-PCI-RANGEINDEX-START</w:t>
      </w:r>
    </w:p>
    <w:p w14:paraId="088A4A8B" w14:textId="77777777" w:rsidR="00394471" w:rsidRPr="00FA0D37" w:rsidRDefault="00394471" w:rsidP="00FA0D37">
      <w:pPr>
        <w:pStyle w:val="PL"/>
      </w:pPr>
    </w:p>
    <w:p w14:paraId="3C5A62DB" w14:textId="77777777" w:rsidR="00394471" w:rsidRPr="00FA0D37" w:rsidRDefault="00394471" w:rsidP="00FA0D37">
      <w:pPr>
        <w:pStyle w:val="PL"/>
      </w:pPr>
      <w:r w:rsidRPr="00FA0D37">
        <w:t xml:space="preserve">PCI-RangeIndex ::=                  </w:t>
      </w:r>
      <w:r w:rsidRPr="00FA0D37">
        <w:rPr>
          <w:color w:val="993366"/>
        </w:rPr>
        <w:t>INTEGER</w:t>
      </w:r>
      <w:r w:rsidRPr="00FA0D37">
        <w:t xml:space="preserve"> (1..maxNrofPCI-Ranges)</w:t>
      </w:r>
    </w:p>
    <w:p w14:paraId="728F3369" w14:textId="77777777" w:rsidR="00394471" w:rsidRPr="00FA0D37" w:rsidRDefault="00394471" w:rsidP="00FA0D37">
      <w:pPr>
        <w:pStyle w:val="PL"/>
      </w:pPr>
    </w:p>
    <w:p w14:paraId="7AB44AC3" w14:textId="77777777" w:rsidR="00394471" w:rsidRPr="00FA0D37" w:rsidRDefault="00394471" w:rsidP="00FA0D37">
      <w:pPr>
        <w:pStyle w:val="PL"/>
        <w:rPr>
          <w:color w:val="808080"/>
        </w:rPr>
      </w:pPr>
      <w:r w:rsidRPr="00FA0D37">
        <w:rPr>
          <w:color w:val="808080"/>
        </w:rPr>
        <w:t>-- TAG-PCI-RANGEINDEX-STOP</w:t>
      </w:r>
    </w:p>
    <w:p w14:paraId="71A51259" w14:textId="77777777" w:rsidR="00394471" w:rsidRPr="00FA0D37" w:rsidRDefault="00394471" w:rsidP="00FA0D37">
      <w:pPr>
        <w:pStyle w:val="PL"/>
        <w:rPr>
          <w:color w:val="808080"/>
        </w:rPr>
      </w:pPr>
      <w:r w:rsidRPr="00FA0D37">
        <w:rPr>
          <w:color w:val="808080"/>
        </w:rPr>
        <w:lastRenderedPageBreak/>
        <w:t>-- ASN1STOP</w:t>
      </w:r>
    </w:p>
    <w:p w14:paraId="64BDD5BE" w14:textId="77777777" w:rsidR="00394471" w:rsidRPr="00FA0D37" w:rsidRDefault="00394471" w:rsidP="00394471"/>
    <w:p w14:paraId="61BDCC23" w14:textId="77777777" w:rsidR="00394471" w:rsidRPr="00FA0D37" w:rsidRDefault="00394471" w:rsidP="00394471">
      <w:pPr>
        <w:pStyle w:val="4"/>
        <w:rPr>
          <w:rFonts w:eastAsia="MS Mincho"/>
        </w:rPr>
      </w:pPr>
      <w:bookmarkStart w:id="1183" w:name="_Toc60777295"/>
      <w:bookmarkStart w:id="1184" w:name="_Toc146781374"/>
      <w:r w:rsidRPr="00FA0D37">
        <w:rPr>
          <w:rFonts w:eastAsia="MS Mincho"/>
        </w:rPr>
        <w:t>–</w:t>
      </w:r>
      <w:r w:rsidRPr="00FA0D37">
        <w:rPr>
          <w:rFonts w:eastAsia="MS Mincho"/>
        </w:rPr>
        <w:tab/>
      </w:r>
      <w:r w:rsidRPr="00FA0D37">
        <w:rPr>
          <w:rFonts w:eastAsia="MS Mincho"/>
          <w:i/>
        </w:rPr>
        <w:t>PCI-RangeIndexList</w:t>
      </w:r>
      <w:bookmarkEnd w:id="1183"/>
      <w:bookmarkEnd w:id="1184"/>
    </w:p>
    <w:p w14:paraId="494D4D0E" w14:textId="77777777" w:rsidR="00394471" w:rsidRPr="00FA0D37" w:rsidRDefault="00394471" w:rsidP="00394471">
      <w:pPr>
        <w:rPr>
          <w:rFonts w:eastAsia="MS Mincho"/>
        </w:rPr>
      </w:pPr>
      <w:r w:rsidRPr="00FA0D37">
        <w:t xml:space="preserve">The IE </w:t>
      </w:r>
      <w:r w:rsidRPr="00FA0D37">
        <w:rPr>
          <w:i/>
        </w:rPr>
        <w:t>PCI-RangeIndexList</w:t>
      </w:r>
      <w:r w:rsidRPr="00FA0D37">
        <w:t xml:space="preserve"> concerns a list of indexes of physical cell id ranges, which may be used for different purposes.</w:t>
      </w:r>
    </w:p>
    <w:p w14:paraId="3591F2F8" w14:textId="77777777" w:rsidR="00394471" w:rsidRPr="00FA0D37" w:rsidRDefault="00394471" w:rsidP="00394471">
      <w:pPr>
        <w:pStyle w:val="TH"/>
      </w:pPr>
      <w:r w:rsidRPr="00FA0D37">
        <w:rPr>
          <w:i/>
        </w:rPr>
        <w:t>PCI-RangeIndexList</w:t>
      </w:r>
      <w:r w:rsidRPr="00FA0D37">
        <w:t xml:space="preserve"> information element</w:t>
      </w:r>
    </w:p>
    <w:p w14:paraId="3B22E89D" w14:textId="77777777" w:rsidR="00394471" w:rsidRPr="00FA0D37" w:rsidRDefault="00394471" w:rsidP="00FA0D37">
      <w:pPr>
        <w:pStyle w:val="PL"/>
        <w:rPr>
          <w:color w:val="808080"/>
        </w:rPr>
      </w:pPr>
      <w:r w:rsidRPr="00FA0D37">
        <w:rPr>
          <w:color w:val="808080"/>
        </w:rPr>
        <w:t>-- ASN1START</w:t>
      </w:r>
    </w:p>
    <w:p w14:paraId="4542A4AE" w14:textId="77777777" w:rsidR="00394471" w:rsidRPr="00FA0D37" w:rsidRDefault="00394471" w:rsidP="00FA0D37">
      <w:pPr>
        <w:pStyle w:val="PL"/>
        <w:rPr>
          <w:color w:val="808080"/>
        </w:rPr>
      </w:pPr>
      <w:r w:rsidRPr="00FA0D37">
        <w:rPr>
          <w:color w:val="808080"/>
        </w:rPr>
        <w:t>-- TAG-PCI-RANGEINDEXLIST-START</w:t>
      </w:r>
    </w:p>
    <w:p w14:paraId="28B4724A" w14:textId="77777777" w:rsidR="00394471" w:rsidRPr="00FA0D37" w:rsidRDefault="00394471" w:rsidP="00FA0D37">
      <w:pPr>
        <w:pStyle w:val="PL"/>
      </w:pPr>
    </w:p>
    <w:p w14:paraId="2D915AE0" w14:textId="77777777" w:rsidR="00394471" w:rsidRPr="00FA0D37" w:rsidRDefault="00394471" w:rsidP="00FA0D37">
      <w:pPr>
        <w:pStyle w:val="PL"/>
      </w:pPr>
      <w:r w:rsidRPr="00FA0D37">
        <w:t xml:space="preserve">PCI-RangeIndexList ::=              </w:t>
      </w:r>
      <w:r w:rsidRPr="00FA0D37">
        <w:rPr>
          <w:color w:val="993366"/>
        </w:rPr>
        <w:t>SEQUENCE</w:t>
      </w:r>
      <w:r w:rsidRPr="00FA0D37">
        <w:t xml:space="preserve"> (</w:t>
      </w:r>
      <w:r w:rsidRPr="00FA0D37">
        <w:rPr>
          <w:color w:val="993366"/>
        </w:rPr>
        <w:t>SIZE</w:t>
      </w:r>
      <w:r w:rsidRPr="00FA0D37">
        <w:t xml:space="preserve"> (1..maxNrofPCI-Ranges))</w:t>
      </w:r>
      <w:r w:rsidRPr="00FA0D37">
        <w:rPr>
          <w:color w:val="993366"/>
        </w:rPr>
        <w:t xml:space="preserve"> OF</w:t>
      </w:r>
      <w:r w:rsidRPr="00FA0D37">
        <w:t xml:space="preserve"> PCI-RangeIndex</w:t>
      </w:r>
    </w:p>
    <w:p w14:paraId="3C57FC9F" w14:textId="77777777" w:rsidR="00394471" w:rsidRPr="00FA0D37" w:rsidRDefault="00394471" w:rsidP="00FA0D37">
      <w:pPr>
        <w:pStyle w:val="PL"/>
      </w:pPr>
    </w:p>
    <w:p w14:paraId="168330E9" w14:textId="77777777" w:rsidR="00394471" w:rsidRPr="00FA0D37" w:rsidRDefault="00394471" w:rsidP="00FA0D37">
      <w:pPr>
        <w:pStyle w:val="PL"/>
        <w:rPr>
          <w:color w:val="808080"/>
        </w:rPr>
      </w:pPr>
      <w:r w:rsidRPr="00FA0D37">
        <w:rPr>
          <w:color w:val="808080"/>
        </w:rPr>
        <w:t>-- TAG-PCI-RANGEINDEXLIST-STOP</w:t>
      </w:r>
    </w:p>
    <w:p w14:paraId="41F8299F" w14:textId="77777777" w:rsidR="00394471" w:rsidRPr="00FA0D37" w:rsidRDefault="00394471" w:rsidP="00FA0D37">
      <w:pPr>
        <w:pStyle w:val="PL"/>
        <w:rPr>
          <w:color w:val="808080"/>
        </w:rPr>
      </w:pPr>
      <w:r w:rsidRPr="00FA0D37">
        <w:rPr>
          <w:color w:val="808080"/>
        </w:rPr>
        <w:t>-- ASN1STOP</w:t>
      </w:r>
    </w:p>
    <w:p w14:paraId="68617D78" w14:textId="77777777" w:rsidR="00394471" w:rsidRPr="00FA0D37" w:rsidRDefault="00394471" w:rsidP="00394471"/>
    <w:p w14:paraId="7F175415" w14:textId="77777777" w:rsidR="00394471" w:rsidRPr="00FA0D37" w:rsidRDefault="00394471" w:rsidP="00394471">
      <w:pPr>
        <w:pStyle w:val="4"/>
      </w:pPr>
      <w:bookmarkStart w:id="1185" w:name="_Toc60777296"/>
      <w:bookmarkStart w:id="1186" w:name="_Toc146781375"/>
      <w:r w:rsidRPr="00FA0D37">
        <w:t>–</w:t>
      </w:r>
      <w:r w:rsidRPr="00FA0D37">
        <w:tab/>
      </w:r>
      <w:r w:rsidRPr="00FA0D37">
        <w:rPr>
          <w:i/>
        </w:rPr>
        <w:t>PDCCH-Config</w:t>
      </w:r>
      <w:bookmarkEnd w:id="1185"/>
      <w:bookmarkEnd w:id="1186"/>
    </w:p>
    <w:p w14:paraId="3D01B49F" w14:textId="75B62239" w:rsidR="00394471" w:rsidRPr="00FA0D37" w:rsidRDefault="00394471" w:rsidP="00394471">
      <w:r w:rsidRPr="00FA0D37">
        <w:t xml:space="preserve">The IE </w:t>
      </w:r>
      <w:r w:rsidRPr="00FA0D37">
        <w:rPr>
          <w:i/>
        </w:rPr>
        <w:t xml:space="preserve">PDCCH-Config </w:t>
      </w:r>
      <w:r w:rsidRPr="00FA0D37">
        <w:t xml:space="preserve">is used to configure UE specific </w:t>
      </w:r>
      <w:r w:rsidR="00154FBC" w:rsidRPr="00FA0D37">
        <w:t xml:space="preserve">PDCCH parameters </w:t>
      </w:r>
      <w:r w:rsidR="00CE6FBC" w:rsidRPr="00FA0D37">
        <w:t xml:space="preserve">or </w:t>
      </w:r>
      <w:r w:rsidR="00CE6FBC" w:rsidRPr="00FA0D37">
        <w:rPr>
          <w:lang w:eastAsia="sv-SE"/>
        </w:rPr>
        <w:t>MBS multicast</w:t>
      </w:r>
      <w:r w:rsidR="00CE6FBC" w:rsidRPr="00FA0D37">
        <w:t xml:space="preserve"> </w:t>
      </w:r>
      <w:r w:rsidRPr="00FA0D37">
        <w:t xml:space="preserve">PDCCH parameters such as control resource sets (CORESET), search spaces and additional parameters for acquiring the PDCCH. If this IE is used for the scheduled </w:t>
      </w:r>
      <w:r w:rsidR="00CF53DD" w:rsidRPr="00FA0D37">
        <w:t xml:space="preserve">SCell </w:t>
      </w:r>
      <w:r w:rsidRPr="00FA0D37">
        <w:t xml:space="preserve">in case of cross carrier scheduling, the fields other than </w:t>
      </w:r>
      <w:r w:rsidRPr="00FA0D37">
        <w:rPr>
          <w:i/>
        </w:rPr>
        <w:t>searchSpacesToAddModList</w:t>
      </w:r>
      <w:r w:rsidRPr="00FA0D37">
        <w:t xml:space="preserve"> and </w:t>
      </w:r>
      <w:r w:rsidRPr="00FA0D37">
        <w:rPr>
          <w:i/>
        </w:rPr>
        <w:t>searchSpacesToReleaseList</w:t>
      </w:r>
      <w:r w:rsidRPr="00FA0D37">
        <w:t xml:space="preserve"> are absent. If the IE is used for a dormant BWP, the fields other than </w:t>
      </w:r>
      <w:r w:rsidRPr="00FA0D37">
        <w:rPr>
          <w:i/>
        </w:rPr>
        <w:t>controlResourceSetToAddModList</w:t>
      </w:r>
      <w:r w:rsidRPr="00FA0D37">
        <w:t xml:space="preserve"> and </w:t>
      </w:r>
      <w:r w:rsidRPr="00FA0D37">
        <w:rPr>
          <w:i/>
        </w:rPr>
        <w:t>controlResourceSetToReleaseList</w:t>
      </w:r>
      <w:r w:rsidRPr="00FA0D37">
        <w:t xml:space="preserve"> are absent.</w:t>
      </w:r>
      <w:r w:rsidR="00CE6FBC" w:rsidRPr="00FA0D37">
        <w:t xml:space="preserve"> If this IE is used for MBS CFR, the field </w:t>
      </w:r>
      <w:r w:rsidR="00CE6FBC" w:rsidRPr="00FA0D37">
        <w:rPr>
          <w:i/>
        </w:rPr>
        <w:t xml:space="preserve">downlinkPreemptiom,tpc-PUSCH, tpc-SRS, uplinkCancellation, monitoringCapabilityConfig, </w:t>
      </w:r>
      <w:r w:rsidR="00CE6FBC" w:rsidRPr="00FA0D37">
        <w:t>and</w:t>
      </w:r>
      <w:r w:rsidR="00CE6FBC" w:rsidRPr="00FA0D37">
        <w:rPr>
          <w:i/>
        </w:rPr>
        <w:t xml:space="preserve"> searchSpaceSwitchConfig</w:t>
      </w:r>
      <w:r w:rsidR="00CE6FBC" w:rsidRPr="00FA0D37">
        <w:t xml:space="preserve"> are absent.</w:t>
      </w:r>
    </w:p>
    <w:p w14:paraId="057B0F82" w14:textId="77777777" w:rsidR="00394471" w:rsidRPr="00FA0D37" w:rsidRDefault="00394471" w:rsidP="00394471">
      <w:pPr>
        <w:pStyle w:val="TH"/>
      </w:pPr>
      <w:r w:rsidRPr="00FA0D37">
        <w:rPr>
          <w:bCs/>
          <w:i/>
          <w:iCs/>
        </w:rPr>
        <w:t xml:space="preserve">PDCCH-Config </w:t>
      </w:r>
      <w:r w:rsidRPr="00FA0D37">
        <w:t>information element</w:t>
      </w:r>
    </w:p>
    <w:p w14:paraId="5D0E963D" w14:textId="77777777" w:rsidR="00394471" w:rsidRPr="00FA0D37" w:rsidRDefault="00394471" w:rsidP="00FA0D37">
      <w:pPr>
        <w:pStyle w:val="PL"/>
        <w:rPr>
          <w:color w:val="808080"/>
        </w:rPr>
      </w:pPr>
      <w:r w:rsidRPr="00FA0D37">
        <w:rPr>
          <w:color w:val="808080"/>
        </w:rPr>
        <w:t>-- ASN1START</w:t>
      </w:r>
    </w:p>
    <w:p w14:paraId="13A67BDA" w14:textId="77777777" w:rsidR="00394471" w:rsidRPr="00FA0D37" w:rsidRDefault="00394471" w:rsidP="00FA0D37">
      <w:pPr>
        <w:pStyle w:val="PL"/>
        <w:rPr>
          <w:color w:val="808080"/>
        </w:rPr>
      </w:pPr>
      <w:r w:rsidRPr="00FA0D37">
        <w:rPr>
          <w:color w:val="808080"/>
        </w:rPr>
        <w:t>-- TAG-PDCCH-CONFIG-START</w:t>
      </w:r>
    </w:p>
    <w:p w14:paraId="74EA1DED" w14:textId="77777777" w:rsidR="00394471" w:rsidRPr="00FA0D37" w:rsidRDefault="00394471" w:rsidP="00FA0D37">
      <w:pPr>
        <w:pStyle w:val="PL"/>
      </w:pPr>
    </w:p>
    <w:p w14:paraId="548B1517" w14:textId="77777777" w:rsidR="00394471" w:rsidRPr="00FA0D37" w:rsidRDefault="00394471" w:rsidP="00FA0D37">
      <w:pPr>
        <w:pStyle w:val="PL"/>
      </w:pPr>
      <w:r w:rsidRPr="00FA0D37">
        <w:t xml:space="preserve">PDCCH-Config ::=                    </w:t>
      </w:r>
      <w:r w:rsidRPr="00FA0D37">
        <w:rPr>
          <w:color w:val="993366"/>
        </w:rPr>
        <w:t>SEQUENCE</w:t>
      </w:r>
      <w:r w:rsidRPr="00FA0D37">
        <w:t xml:space="preserve"> {</w:t>
      </w:r>
    </w:p>
    <w:p w14:paraId="76B50744" w14:textId="77777777" w:rsidR="00394471" w:rsidRPr="00FA0D37" w:rsidRDefault="00394471" w:rsidP="00FA0D37">
      <w:pPr>
        <w:pStyle w:val="PL"/>
        <w:rPr>
          <w:color w:val="808080"/>
        </w:rPr>
      </w:pPr>
      <w:r w:rsidRPr="00FA0D37">
        <w:t xml:space="preserve">    controlResourceSetToAddModList      </w:t>
      </w:r>
      <w:r w:rsidRPr="00FA0D37">
        <w:rPr>
          <w:color w:val="993366"/>
        </w:rPr>
        <w:t>SEQUENCE</w:t>
      </w:r>
      <w:r w:rsidRPr="00FA0D37">
        <w:t>(</w:t>
      </w:r>
      <w:r w:rsidRPr="00FA0D37">
        <w:rPr>
          <w:color w:val="993366"/>
        </w:rPr>
        <w:t>SIZE</w:t>
      </w:r>
      <w:r w:rsidRPr="00FA0D37">
        <w:t xml:space="preserve"> (1..3))</w:t>
      </w:r>
      <w:r w:rsidRPr="00FA0D37">
        <w:rPr>
          <w:color w:val="993366"/>
        </w:rPr>
        <w:t xml:space="preserve"> OF</w:t>
      </w:r>
      <w:r w:rsidRPr="00FA0D37">
        <w:t xml:space="preserve"> ControlResourceSet                      </w:t>
      </w:r>
      <w:r w:rsidRPr="00FA0D37">
        <w:rPr>
          <w:color w:val="993366"/>
        </w:rPr>
        <w:t>OPTIONAL</w:t>
      </w:r>
      <w:r w:rsidRPr="00FA0D37">
        <w:t xml:space="preserve">,   </w:t>
      </w:r>
      <w:r w:rsidRPr="00FA0D37">
        <w:rPr>
          <w:color w:val="808080"/>
        </w:rPr>
        <w:t>-- Need N</w:t>
      </w:r>
    </w:p>
    <w:p w14:paraId="19E4BBD5" w14:textId="77777777" w:rsidR="00394471" w:rsidRPr="00FA0D37" w:rsidRDefault="00394471" w:rsidP="00FA0D37">
      <w:pPr>
        <w:pStyle w:val="PL"/>
        <w:rPr>
          <w:color w:val="808080"/>
        </w:rPr>
      </w:pPr>
      <w:r w:rsidRPr="00FA0D37">
        <w:t xml:space="preserve">    controlResourceSetToReleaseList     </w:t>
      </w:r>
      <w:r w:rsidRPr="00FA0D37">
        <w:rPr>
          <w:color w:val="993366"/>
        </w:rPr>
        <w:t>SEQUENCE</w:t>
      </w:r>
      <w:r w:rsidRPr="00FA0D37">
        <w:t>(</w:t>
      </w:r>
      <w:r w:rsidRPr="00FA0D37">
        <w:rPr>
          <w:color w:val="993366"/>
        </w:rPr>
        <w:t>SIZE</w:t>
      </w:r>
      <w:r w:rsidRPr="00FA0D37">
        <w:t xml:space="preserve"> (1..3))</w:t>
      </w:r>
      <w:r w:rsidRPr="00FA0D37">
        <w:rPr>
          <w:color w:val="993366"/>
        </w:rPr>
        <w:t xml:space="preserve"> OF</w:t>
      </w:r>
      <w:r w:rsidRPr="00FA0D37">
        <w:t xml:space="preserve"> ControlResourceSetId                    </w:t>
      </w:r>
      <w:r w:rsidRPr="00FA0D37">
        <w:rPr>
          <w:color w:val="993366"/>
        </w:rPr>
        <w:t>OPTIONAL</w:t>
      </w:r>
      <w:r w:rsidRPr="00FA0D37">
        <w:t xml:space="preserve">,   </w:t>
      </w:r>
      <w:r w:rsidRPr="00FA0D37">
        <w:rPr>
          <w:color w:val="808080"/>
        </w:rPr>
        <w:t>-- Need N</w:t>
      </w:r>
    </w:p>
    <w:p w14:paraId="7706A53B" w14:textId="77777777" w:rsidR="00394471" w:rsidRPr="00FA0D37" w:rsidRDefault="00394471" w:rsidP="00FA0D37">
      <w:pPr>
        <w:pStyle w:val="PL"/>
        <w:rPr>
          <w:color w:val="808080"/>
        </w:rPr>
      </w:pPr>
      <w:r w:rsidRPr="00FA0D37">
        <w:t xml:space="preserve">    searchSpacesToAddModList            </w:t>
      </w:r>
      <w:r w:rsidRPr="00FA0D37">
        <w:rPr>
          <w:color w:val="993366"/>
        </w:rPr>
        <w:t>SEQUENCE</w:t>
      </w:r>
      <w:r w:rsidRPr="00FA0D37">
        <w:t>(</w:t>
      </w:r>
      <w:r w:rsidRPr="00FA0D37">
        <w:rPr>
          <w:color w:val="993366"/>
        </w:rPr>
        <w:t>SIZE</w:t>
      </w:r>
      <w:r w:rsidRPr="00FA0D37">
        <w:t xml:space="preserve"> (1..10))</w:t>
      </w:r>
      <w:r w:rsidRPr="00FA0D37">
        <w:rPr>
          <w:color w:val="993366"/>
        </w:rPr>
        <w:t xml:space="preserve"> OF</w:t>
      </w:r>
      <w:r w:rsidRPr="00FA0D37">
        <w:t xml:space="preserve"> SearchSpace                            </w:t>
      </w:r>
      <w:r w:rsidRPr="00FA0D37">
        <w:rPr>
          <w:color w:val="993366"/>
        </w:rPr>
        <w:t>OPTIONAL</w:t>
      </w:r>
      <w:r w:rsidRPr="00FA0D37">
        <w:t xml:space="preserve">,   </w:t>
      </w:r>
      <w:r w:rsidRPr="00FA0D37">
        <w:rPr>
          <w:color w:val="808080"/>
        </w:rPr>
        <w:t>-- Need N</w:t>
      </w:r>
    </w:p>
    <w:p w14:paraId="54FDB3E1" w14:textId="77777777" w:rsidR="00394471" w:rsidRPr="00FA0D37" w:rsidRDefault="00394471" w:rsidP="00FA0D37">
      <w:pPr>
        <w:pStyle w:val="PL"/>
        <w:rPr>
          <w:color w:val="808080"/>
        </w:rPr>
      </w:pPr>
      <w:r w:rsidRPr="00FA0D37">
        <w:t xml:space="preserve">    searchSpacesToReleaseList           </w:t>
      </w:r>
      <w:r w:rsidRPr="00FA0D37">
        <w:rPr>
          <w:color w:val="993366"/>
        </w:rPr>
        <w:t>SEQUENCE</w:t>
      </w:r>
      <w:r w:rsidRPr="00FA0D37">
        <w:t>(</w:t>
      </w:r>
      <w:r w:rsidRPr="00FA0D37">
        <w:rPr>
          <w:color w:val="993366"/>
        </w:rPr>
        <w:t>SIZE</w:t>
      </w:r>
      <w:r w:rsidRPr="00FA0D37">
        <w:t xml:space="preserve"> (1..10))</w:t>
      </w:r>
      <w:r w:rsidRPr="00FA0D37">
        <w:rPr>
          <w:color w:val="993366"/>
        </w:rPr>
        <w:t xml:space="preserve"> OF</w:t>
      </w:r>
      <w:r w:rsidRPr="00FA0D37">
        <w:t xml:space="preserve"> SearchSpaceId                          </w:t>
      </w:r>
      <w:r w:rsidRPr="00FA0D37">
        <w:rPr>
          <w:color w:val="993366"/>
        </w:rPr>
        <w:t>OPTIONAL</w:t>
      </w:r>
      <w:r w:rsidRPr="00FA0D37">
        <w:t xml:space="preserve">,   </w:t>
      </w:r>
      <w:r w:rsidRPr="00FA0D37">
        <w:rPr>
          <w:color w:val="808080"/>
        </w:rPr>
        <w:t>-- Need N</w:t>
      </w:r>
    </w:p>
    <w:p w14:paraId="23EAAADD" w14:textId="77777777" w:rsidR="00394471" w:rsidRPr="00FA0D37" w:rsidRDefault="00394471" w:rsidP="00FA0D37">
      <w:pPr>
        <w:pStyle w:val="PL"/>
        <w:rPr>
          <w:color w:val="808080"/>
        </w:rPr>
      </w:pPr>
      <w:r w:rsidRPr="00FA0D37">
        <w:t xml:space="preserve">    downlinkPreemption                  SetupRelease { DownlinkPreemption }                              </w:t>
      </w:r>
      <w:r w:rsidRPr="00FA0D37">
        <w:rPr>
          <w:color w:val="993366"/>
        </w:rPr>
        <w:t>OPTIONAL</w:t>
      </w:r>
      <w:r w:rsidRPr="00FA0D37">
        <w:t xml:space="preserve">,   </w:t>
      </w:r>
      <w:r w:rsidRPr="00FA0D37">
        <w:rPr>
          <w:color w:val="808080"/>
        </w:rPr>
        <w:t>-- Need M</w:t>
      </w:r>
    </w:p>
    <w:p w14:paraId="7CA997E1" w14:textId="77777777" w:rsidR="00394471" w:rsidRPr="00FA0D37" w:rsidRDefault="00394471" w:rsidP="00FA0D37">
      <w:pPr>
        <w:pStyle w:val="PL"/>
        <w:rPr>
          <w:color w:val="808080"/>
        </w:rPr>
      </w:pPr>
      <w:r w:rsidRPr="00FA0D37">
        <w:t xml:space="preserve">    tpc-PUSCH                           SetupRelease { PUSCH-TPC-CommandConfig }                         </w:t>
      </w:r>
      <w:r w:rsidRPr="00FA0D37">
        <w:rPr>
          <w:color w:val="993366"/>
        </w:rPr>
        <w:t>OPTIONAL</w:t>
      </w:r>
      <w:r w:rsidRPr="00FA0D37">
        <w:t xml:space="preserve">,   </w:t>
      </w:r>
      <w:r w:rsidRPr="00FA0D37">
        <w:rPr>
          <w:color w:val="808080"/>
        </w:rPr>
        <w:t>-- Need M</w:t>
      </w:r>
    </w:p>
    <w:p w14:paraId="11348A67" w14:textId="77777777" w:rsidR="00394471" w:rsidRPr="00FA0D37" w:rsidRDefault="00394471" w:rsidP="00FA0D37">
      <w:pPr>
        <w:pStyle w:val="PL"/>
        <w:rPr>
          <w:color w:val="808080"/>
        </w:rPr>
      </w:pPr>
      <w:r w:rsidRPr="00FA0D37">
        <w:t xml:space="preserve">    tpc-PUCCH                           SetupRelease { PUCCH-TPC-CommandConfig }                         </w:t>
      </w:r>
      <w:r w:rsidRPr="00FA0D37">
        <w:rPr>
          <w:color w:val="993366"/>
        </w:rPr>
        <w:t>OPTIONAL</w:t>
      </w:r>
      <w:r w:rsidRPr="00FA0D37">
        <w:t xml:space="preserve">,   </w:t>
      </w:r>
      <w:r w:rsidRPr="00FA0D37">
        <w:rPr>
          <w:color w:val="808080"/>
        </w:rPr>
        <w:t>-- Need M</w:t>
      </w:r>
    </w:p>
    <w:p w14:paraId="27AE480B" w14:textId="77777777" w:rsidR="00394471" w:rsidRPr="00FA0D37" w:rsidRDefault="00394471" w:rsidP="00FA0D37">
      <w:pPr>
        <w:pStyle w:val="PL"/>
        <w:rPr>
          <w:color w:val="808080"/>
        </w:rPr>
      </w:pPr>
      <w:r w:rsidRPr="00FA0D37">
        <w:t xml:space="preserve">    tpc-SRS                             SetupRelease { SRS-TPC-CommandConfig}                            </w:t>
      </w:r>
      <w:r w:rsidRPr="00FA0D37">
        <w:rPr>
          <w:color w:val="993366"/>
        </w:rPr>
        <w:t>OPTIONAL</w:t>
      </w:r>
      <w:r w:rsidRPr="00FA0D37">
        <w:t xml:space="preserve">,   </w:t>
      </w:r>
      <w:r w:rsidRPr="00FA0D37">
        <w:rPr>
          <w:color w:val="808080"/>
        </w:rPr>
        <w:t>-- Need M</w:t>
      </w:r>
    </w:p>
    <w:p w14:paraId="640E916E" w14:textId="77777777" w:rsidR="00394471" w:rsidRPr="00FA0D37" w:rsidRDefault="00394471" w:rsidP="00FA0D37">
      <w:pPr>
        <w:pStyle w:val="PL"/>
      </w:pPr>
      <w:r w:rsidRPr="00FA0D37">
        <w:t xml:space="preserve">    ...,</w:t>
      </w:r>
    </w:p>
    <w:p w14:paraId="1DEE1516" w14:textId="77777777" w:rsidR="00394471" w:rsidRPr="00FA0D37" w:rsidRDefault="00394471" w:rsidP="00FA0D37">
      <w:pPr>
        <w:pStyle w:val="PL"/>
      </w:pPr>
      <w:r w:rsidRPr="00FA0D37">
        <w:t xml:space="preserve">    [[</w:t>
      </w:r>
    </w:p>
    <w:p w14:paraId="51ABA497" w14:textId="0A76E772" w:rsidR="00394471" w:rsidRPr="00FA0D37" w:rsidRDefault="00394471" w:rsidP="00FA0D37">
      <w:pPr>
        <w:pStyle w:val="PL"/>
        <w:rPr>
          <w:color w:val="808080"/>
        </w:rPr>
      </w:pPr>
      <w:r w:rsidRPr="00FA0D37">
        <w:t xml:space="preserve">    controlResourceSetToAddModList</w:t>
      </w:r>
      <w:r w:rsidR="00C5556C" w:rsidRPr="00FA0D37">
        <w:t>SizeExt</w:t>
      </w:r>
      <w:r w:rsidRPr="00FA0D37">
        <w:t>-</w:t>
      </w:r>
      <w:r w:rsidR="00C5556C" w:rsidRPr="00FA0D37">
        <w:t>v1610</w:t>
      </w:r>
      <w:r w:rsidRPr="00FA0D37">
        <w:t xml:space="preserve">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ControlResourceSet             </w:t>
      </w:r>
      <w:r w:rsidRPr="00FA0D37">
        <w:rPr>
          <w:color w:val="993366"/>
        </w:rPr>
        <w:t>OPTIONAL</w:t>
      </w:r>
      <w:r w:rsidRPr="00FA0D37">
        <w:t xml:space="preserve">,   </w:t>
      </w:r>
      <w:r w:rsidRPr="00FA0D37">
        <w:rPr>
          <w:color w:val="808080"/>
        </w:rPr>
        <w:t>-- Need N</w:t>
      </w:r>
    </w:p>
    <w:p w14:paraId="40D60627" w14:textId="0E99BFF5" w:rsidR="00394471" w:rsidRPr="00FA0D37" w:rsidRDefault="00394471" w:rsidP="00FA0D37">
      <w:pPr>
        <w:pStyle w:val="PL"/>
        <w:rPr>
          <w:color w:val="808080"/>
        </w:rPr>
      </w:pPr>
      <w:r w:rsidRPr="00FA0D37">
        <w:t xml:space="preserve">    controlResourceSetToReleaseList</w:t>
      </w:r>
      <w:r w:rsidR="00C5556C" w:rsidRPr="00FA0D37">
        <w:t>SizeExt</w:t>
      </w:r>
      <w:r w:rsidRPr="00FA0D37">
        <w:t xml:space="preserve">-r16 </w:t>
      </w:r>
      <w:r w:rsidRPr="00FA0D37">
        <w:rPr>
          <w:color w:val="993366"/>
        </w:rPr>
        <w:t>SEQUENCE</w:t>
      </w:r>
      <w:r w:rsidRPr="00FA0D37">
        <w:t xml:space="preserve"> (</w:t>
      </w:r>
      <w:r w:rsidRPr="00FA0D37">
        <w:rPr>
          <w:color w:val="993366"/>
        </w:rPr>
        <w:t>SIZE</w:t>
      </w:r>
      <w:r w:rsidRPr="00FA0D37">
        <w:t xml:space="preserve"> (1..5))</w:t>
      </w:r>
      <w:r w:rsidRPr="00FA0D37">
        <w:rPr>
          <w:color w:val="993366"/>
        </w:rPr>
        <w:t xml:space="preserve"> OF</w:t>
      </w:r>
      <w:r w:rsidRPr="00FA0D37">
        <w:t xml:space="preserve"> ControlResourceSetId-r16        </w:t>
      </w:r>
      <w:r w:rsidRPr="00FA0D37">
        <w:rPr>
          <w:color w:val="993366"/>
        </w:rPr>
        <w:t>OPTIONAL</w:t>
      </w:r>
      <w:r w:rsidRPr="00FA0D37">
        <w:t xml:space="preserve">,   </w:t>
      </w:r>
      <w:r w:rsidRPr="00FA0D37">
        <w:rPr>
          <w:color w:val="808080"/>
        </w:rPr>
        <w:t>-- Need N</w:t>
      </w:r>
    </w:p>
    <w:p w14:paraId="6DB6E314" w14:textId="77777777" w:rsidR="00394471" w:rsidRPr="00FA0D37" w:rsidRDefault="00394471" w:rsidP="00FA0D37">
      <w:pPr>
        <w:pStyle w:val="PL"/>
        <w:rPr>
          <w:color w:val="808080"/>
        </w:rPr>
      </w:pPr>
      <w:r w:rsidRPr="00FA0D37">
        <w:t xml:space="preserve">    searchSpacesToAddModListExt-r16     </w:t>
      </w:r>
      <w:r w:rsidRPr="00FA0D37">
        <w:rPr>
          <w:color w:val="993366"/>
        </w:rPr>
        <w:t>SEQUENCE</w:t>
      </w:r>
      <w:r w:rsidRPr="00FA0D37">
        <w:t>(</w:t>
      </w:r>
      <w:r w:rsidRPr="00FA0D37">
        <w:rPr>
          <w:color w:val="993366"/>
        </w:rPr>
        <w:t>SIZE</w:t>
      </w:r>
      <w:r w:rsidRPr="00FA0D37">
        <w:t xml:space="preserve"> (1..10))</w:t>
      </w:r>
      <w:r w:rsidRPr="00FA0D37">
        <w:rPr>
          <w:color w:val="993366"/>
        </w:rPr>
        <w:t xml:space="preserve"> OF</w:t>
      </w:r>
      <w:r w:rsidRPr="00FA0D37">
        <w:t xml:space="preserve"> SearchSpaceExt-r16                     </w:t>
      </w:r>
      <w:r w:rsidRPr="00FA0D37">
        <w:rPr>
          <w:color w:val="993366"/>
        </w:rPr>
        <w:t>OPTIONAL</w:t>
      </w:r>
      <w:r w:rsidRPr="00FA0D37">
        <w:t xml:space="preserve">,   </w:t>
      </w:r>
      <w:r w:rsidRPr="00FA0D37">
        <w:rPr>
          <w:color w:val="808080"/>
        </w:rPr>
        <w:t>-- Need N</w:t>
      </w:r>
    </w:p>
    <w:p w14:paraId="1C325919" w14:textId="77777777" w:rsidR="00394471" w:rsidRPr="00FA0D37" w:rsidRDefault="00394471" w:rsidP="00FA0D37">
      <w:pPr>
        <w:pStyle w:val="PL"/>
        <w:rPr>
          <w:color w:val="808080"/>
        </w:rPr>
      </w:pPr>
      <w:r w:rsidRPr="00FA0D37">
        <w:t xml:space="preserve">    uplinkCancellation-r16              SetupRelease { UplinkCancellation-r16 }                          </w:t>
      </w:r>
      <w:r w:rsidRPr="00FA0D37">
        <w:rPr>
          <w:color w:val="993366"/>
        </w:rPr>
        <w:t>OPTIONAL</w:t>
      </w:r>
      <w:r w:rsidRPr="00FA0D37">
        <w:t xml:space="preserve">,   </w:t>
      </w:r>
      <w:r w:rsidRPr="00FA0D37">
        <w:rPr>
          <w:color w:val="808080"/>
        </w:rPr>
        <w:t>-- Need M</w:t>
      </w:r>
    </w:p>
    <w:p w14:paraId="5290DE09" w14:textId="77777777" w:rsidR="00394471" w:rsidRPr="00FA0D37" w:rsidRDefault="00394471" w:rsidP="00FA0D37">
      <w:pPr>
        <w:pStyle w:val="PL"/>
        <w:rPr>
          <w:color w:val="808080"/>
        </w:rPr>
      </w:pPr>
      <w:r w:rsidRPr="00FA0D37">
        <w:t xml:space="preserve">    monitoringCapabilityConfig-r16      </w:t>
      </w:r>
      <w:r w:rsidRPr="00FA0D37">
        <w:rPr>
          <w:color w:val="993366"/>
        </w:rPr>
        <w:t>ENUMERATED</w:t>
      </w:r>
      <w:r w:rsidRPr="00FA0D37">
        <w:t xml:space="preserve"> { r15monitoringcapability,r16monitoringcapability }   </w:t>
      </w:r>
      <w:r w:rsidRPr="00FA0D37">
        <w:rPr>
          <w:color w:val="993366"/>
        </w:rPr>
        <w:t>OPTIONAL</w:t>
      </w:r>
      <w:r w:rsidRPr="00FA0D37">
        <w:t xml:space="preserve">,   </w:t>
      </w:r>
      <w:r w:rsidRPr="00FA0D37">
        <w:rPr>
          <w:color w:val="808080"/>
        </w:rPr>
        <w:t>-- Need M</w:t>
      </w:r>
    </w:p>
    <w:p w14:paraId="1AA2E3D3" w14:textId="77777777" w:rsidR="00394471" w:rsidRPr="00FA0D37" w:rsidRDefault="00394471" w:rsidP="00FA0D37">
      <w:pPr>
        <w:pStyle w:val="PL"/>
        <w:rPr>
          <w:color w:val="808080"/>
        </w:rPr>
      </w:pPr>
      <w:r w:rsidRPr="00FA0D37">
        <w:lastRenderedPageBreak/>
        <w:t xml:space="preserve">    searchSpaceSwitchConfig-r16         SearchSpaceSwitchConfig-r16                                      </w:t>
      </w:r>
      <w:r w:rsidRPr="00FA0D37">
        <w:rPr>
          <w:color w:val="993366"/>
        </w:rPr>
        <w:t>OPTIONAL</w:t>
      </w:r>
      <w:r w:rsidRPr="00FA0D37">
        <w:t xml:space="preserve">    </w:t>
      </w:r>
      <w:r w:rsidRPr="00FA0D37">
        <w:rPr>
          <w:color w:val="808080"/>
        </w:rPr>
        <w:t>-- Need R</w:t>
      </w:r>
    </w:p>
    <w:p w14:paraId="353655E3" w14:textId="78E30787" w:rsidR="00651368" w:rsidRPr="00FA0D37" w:rsidRDefault="00394471" w:rsidP="00FA0D37">
      <w:pPr>
        <w:pStyle w:val="PL"/>
      </w:pPr>
      <w:r w:rsidRPr="00FA0D37">
        <w:t xml:space="preserve">    ]]</w:t>
      </w:r>
      <w:r w:rsidR="00651368" w:rsidRPr="00FA0D37">
        <w:t>,</w:t>
      </w:r>
    </w:p>
    <w:p w14:paraId="0089AEAD" w14:textId="77777777" w:rsidR="00651368" w:rsidRPr="00FA0D37" w:rsidRDefault="00651368" w:rsidP="00FA0D37">
      <w:pPr>
        <w:pStyle w:val="PL"/>
      </w:pPr>
      <w:r w:rsidRPr="00FA0D37">
        <w:t xml:space="preserve">    [[</w:t>
      </w:r>
    </w:p>
    <w:p w14:paraId="0C372B76" w14:textId="38EF7E2F" w:rsidR="00940426" w:rsidRPr="00FA0D37" w:rsidRDefault="00940426" w:rsidP="00FA0D37">
      <w:pPr>
        <w:pStyle w:val="PL"/>
        <w:rPr>
          <w:color w:val="808080"/>
        </w:rPr>
      </w:pPr>
      <w:r w:rsidRPr="00FA0D37">
        <w:t xml:space="preserve">    searchSpacesToAddModListExt-v1700   </w:t>
      </w:r>
      <w:r w:rsidRPr="00FA0D37">
        <w:rPr>
          <w:color w:val="993366"/>
        </w:rPr>
        <w:t>SEQUENCE</w:t>
      </w:r>
      <w:r w:rsidRPr="00FA0D37">
        <w:t>(</w:t>
      </w:r>
      <w:r w:rsidRPr="00FA0D37">
        <w:rPr>
          <w:color w:val="993366"/>
        </w:rPr>
        <w:t>SIZE</w:t>
      </w:r>
      <w:r w:rsidRPr="00FA0D37">
        <w:t xml:space="preserve"> (1..10))</w:t>
      </w:r>
      <w:r w:rsidRPr="00FA0D37">
        <w:rPr>
          <w:color w:val="993366"/>
        </w:rPr>
        <w:t xml:space="preserve"> OF</w:t>
      </w:r>
      <w:r w:rsidRPr="00FA0D37">
        <w:t xml:space="preserve"> SearchSpaceExt-v1700                   </w:t>
      </w:r>
      <w:r w:rsidRPr="00FA0D37">
        <w:rPr>
          <w:color w:val="993366"/>
        </w:rPr>
        <w:t>OPTIONAL</w:t>
      </w:r>
      <w:r w:rsidRPr="00FA0D37">
        <w:t xml:space="preserve">,   </w:t>
      </w:r>
      <w:r w:rsidRPr="00FA0D37">
        <w:rPr>
          <w:color w:val="808080"/>
        </w:rPr>
        <w:t>-- Need N</w:t>
      </w:r>
    </w:p>
    <w:p w14:paraId="76C525AB" w14:textId="0B92417C" w:rsidR="006C501F" w:rsidRPr="00FA0D37" w:rsidRDefault="006C501F" w:rsidP="00FA0D37">
      <w:pPr>
        <w:pStyle w:val="PL"/>
        <w:rPr>
          <w:color w:val="808080"/>
        </w:rPr>
      </w:pPr>
      <w:r w:rsidRPr="00FA0D37">
        <w:t xml:space="preserve">    monitoringCapabilityConfig-</w:t>
      </w:r>
      <w:r w:rsidR="00AB7C10" w:rsidRPr="00FA0D37">
        <w:t>v</w:t>
      </w:r>
      <w:r w:rsidRPr="00FA0D37">
        <w:t>17</w:t>
      </w:r>
      <w:r w:rsidR="00AB7C10" w:rsidRPr="00FA0D37">
        <w:t>10</w:t>
      </w:r>
      <w:r w:rsidRPr="00FA0D37">
        <w:t xml:space="preserve">    </w:t>
      </w:r>
      <w:r w:rsidRPr="00FA0D37">
        <w:rPr>
          <w:color w:val="993366"/>
        </w:rPr>
        <w:t>ENUMERATED</w:t>
      </w:r>
      <w:r w:rsidRPr="00FA0D37">
        <w:t xml:space="preserve"> { r17monitoringcapability }                           </w:t>
      </w:r>
      <w:r w:rsidRPr="00FA0D37">
        <w:rPr>
          <w:color w:val="993366"/>
        </w:rPr>
        <w:t>OPTIONAL</w:t>
      </w:r>
      <w:r w:rsidR="00940426" w:rsidRPr="00FA0D37">
        <w:t>,</w:t>
      </w:r>
      <w:r w:rsidRPr="00FA0D37">
        <w:t xml:space="preserve">   </w:t>
      </w:r>
      <w:r w:rsidRPr="00FA0D37">
        <w:rPr>
          <w:color w:val="808080"/>
        </w:rPr>
        <w:t>-- Need M</w:t>
      </w:r>
    </w:p>
    <w:p w14:paraId="6F7374B5" w14:textId="04E6E321" w:rsidR="00827A1B" w:rsidRPr="00FA0D37" w:rsidRDefault="00827A1B" w:rsidP="00FA0D37">
      <w:pPr>
        <w:pStyle w:val="PL"/>
        <w:rPr>
          <w:color w:val="808080"/>
        </w:rPr>
      </w:pPr>
      <w:r w:rsidRPr="00FA0D37">
        <w:t xml:space="preserve">    searchSpaceSwitchConfig-r17         SearchSpaceSwitchConfig-r17                                      </w:t>
      </w:r>
      <w:r w:rsidRPr="00FA0D37">
        <w:rPr>
          <w:color w:val="993366"/>
        </w:rPr>
        <w:t>OPTIONAL</w:t>
      </w:r>
      <w:r w:rsidR="004D1E3D" w:rsidRPr="00FA0D37">
        <w:t>,</w:t>
      </w:r>
      <w:r w:rsidRPr="00FA0D37">
        <w:t xml:space="preserve">   </w:t>
      </w:r>
      <w:r w:rsidRPr="00FA0D37">
        <w:rPr>
          <w:color w:val="808080"/>
        </w:rPr>
        <w:t>-- Need R</w:t>
      </w:r>
    </w:p>
    <w:p w14:paraId="417E9371" w14:textId="1171F714" w:rsidR="00940426" w:rsidRPr="00FA0D37" w:rsidRDefault="00940426" w:rsidP="00FA0D37">
      <w:pPr>
        <w:pStyle w:val="PL"/>
        <w:rPr>
          <w:color w:val="808080"/>
        </w:rPr>
      </w:pPr>
      <w:r w:rsidRPr="00FA0D37">
        <w:t xml:space="preserve">    pdcch-SkippingDurationList-r17      </w:t>
      </w:r>
      <w:r w:rsidR="00827A1B" w:rsidRPr="00FA0D37">
        <w:rPr>
          <w:color w:val="993366"/>
        </w:rPr>
        <w:t>SEQUENCE</w:t>
      </w:r>
      <w:r w:rsidR="00827A1B" w:rsidRPr="00FA0D37">
        <w:t>(</w:t>
      </w:r>
      <w:r w:rsidR="00827A1B" w:rsidRPr="00FA0D37">
        <w:rPr>
          <w:color w:val="993366"/>
        </w:rPr>
        <w:t>SIZE</w:t>
      </w:r>
      <w:r w:rsidR="00827A1B" w:rsidRPr="00FA0D37">
        <w:t xml:space="preserve"> (1..3))</w:t>
      </w:r>
      <w:r w:rsidR="00827A1B" w:rsidRPr="00FA0D37">
        <w:rPr>
          <w:color w:val="993366"/>
        </w:rPr>
        <w:t xml:space="preserve"> OF</w:t>
      </w:r>
      <w:r w:rsidR="00827A1B" w:rsidRPr="00FA0D37">
        <w:t xml:space="preserve"> SCS-SpecificDuration-r17</w:t>
      </w:r>
      <w:r w:rsidRPr="00FA0D37">
        <w:t xml:space="preserve">              </w:t>
      </w:r>
      <w:r w:rsidR="00827A1B" w:rsidRPr="00FA0D37">
        <w:t xml:space="preserve">  </w:t>
      </w:r>
      <w:r w:rsidRPr="00FA0D37">
        <w:rPr>
          <w:color w:val="993366"/>
        </w:rPr>
        <w:t>OPTIONAL</w:t>
      </w:r>
      <w:r w:rsidRPr="00FA0D37">
        <w:t xml:space="preserve">    </w:t>
      </w:r>
      <w:r w:rsidRPr="00FA0D37">
        <w:rPr>
          <w:color w:val="808080"/>
        </w:rPr>
        <w:t>-- Need R</w:t>
      </w:r>
    </w:p>
    <w:p w14:paraId="760AE659" w14:textId="2DBCDD32" w:rsidR="00394471" w:rsidRPr="00FA0D37" w:rsidRDefault="00651368" w:rsidP="00FA0D37">
      <w:pPr>
        <w:pStyle w:val="PL"/>
      </w:pPr>
      <w:r w:rsidRPr="00FA0D37">
        <w:t xml:space="preserve">    ]]</w:t>
      </w:r>
    </w:p>
    <w:p w14:paraId="1B33D63A" w14:textId="77777777" w:rsidR="00394471" w:rsidRPr="00FA0D37" w:rsidRDefault="00394471" w:rsidP="00FA0D37">
      <w:pPr>
        <w:pStyle w:val="PL"/>
      </w:pPr>
      <w:r w:rsidRPr="00FA0D37">
        <w:t>}</w:t>
      </w:r>
    </w:p>
    <w:p w14:paraId="2EAE2625" w14:textId="77777777" w:rsidR="00394471" w:rsidRPr="00FA0D37" w:rsidRDefault="00394471" w:rsidP="00FA0D37">
      <w:pPr>
        <w:pStyle w:val="PL"/>
      </w:pPr>
    </w:p>
    <w:p w14:paraId="69FA2052" w14:textId="77777777" w:rsidR="00394471" w:rsidRPr="00FA0D37" w:rsidRDefault="00394471" w:rsidP="00FA0D37">
      <w:pPr>
        <w:pStyle w:val="PL"/>
      </w:pPr>
      <w:r w:rsidRPr="00FA0D37">
        <w:t xml:space="preserve">SearchSpaceSwitchConfig-r16 ::=     </w:t>
      </w:r>
      <w:r w:rsidRPr="00FA0D37">
        <w:rPr>
          <w:color w:val="993366"/>
        </w:rPr>
        <w:t>SEQUENCE</w:t>
      </w:r>
      <w:r w:rsidRPr="00FA0D37">
        <w:t xml:space="preserve"> {</w:t>
      </w:r>
    </w:p>
    <w:p w14:paraId="3BB6E38C" w14:textId="77777777" w:rsidR="00394471" w:rsidRPr="00FA0D37" w:rsidRDefault="00394471" w:rsidP="00FA0D37">
      <w:pPr>
        <w:pStyle w:val="PL"/>
        <w:rPr>
          <w:color w:val="808080"/>
        </w:rPr>
      </w:pPr>
      <w:r w:rsidRPr="00FA0D37">
        <w:t xml:space="preserve">    cellGroupsForSwitchList-r16         </w:t>
      </w:r>
      <w:r w:rsidRPr="00FA0D37">
        <w:rPr>
          <w:color w:val="993366"/>
        </w:rPr>
        <w:t>SEQUENCE</w:t>
      </w:r>
      <w:r w:rsidRPr="00FA0D37">
        <w:t>(</w:t>
      </w:r>
      <w:r w:rsidRPr="00FA0D37">
        <w:rPr>
          <w:color w:val="993366"/>
        </w:rPr>
        <w:t>SIZE</w:t>
      </w:r>
      <w:r w:rsidRPr="00FA0D37">
        <w:t xml:space="preserve"> (1..4))</w:t>
      </w:r>
      <w:r w:rsidRPr="00FA0D37">
        <w:rPr>
          <w:color w:val="993366"/>
        </w:rPr>
        <w:t xml:space="preserve"> OF</w:t>
      </w:r>
      <w:r w:rsidRPr="00FA0D37">
        <w:t xml:space="preserve"> CellGroupForSwitch-r16                  </w:t>
      </w:r>
      <w:r w:rsidRPr="00FA0D37">
        <w:rPr>
          <w:color w:val="993366"/>
        </w:rPr>
        <w:t>OPTIONAL</w:t>
      </w:r>
      <w:r w:rsidRPr="00FA0D37">
        <w:t xml:space="preserve">,   </w:t>
      </w:r>
      <w:r w:rsidRPr="00FA0D37">
        <w:rPr>
          <w:color w:val="808080"/>
        </w:rPr>
        <w:t>-- Need R</w:t>
      </w:r>
    </w:p>
    <w:p w14:paraId="72445211" w14:textId="77777777" w:rsidR="00394471" w:rsidRPr="00FA0D37" w:rsidRDefault="00394471" w:rsidP="00FA0D37">
      <w:pPr>
        <w:pStyle w:val="PL"/>
        <w:rPr>
          <w:color w:val="808080"/>
        </w:rPr>
      </w:pPr>
      <w:r w:rsidRPr="00FA0D37">
        <w:t xml:space="preserve">    searchSpaceSwitchDelay-r16          </w:t>
      </w:r>
      <w:r w:rsidRPr="00FA0D37">
        <w:rPr>
          <w:color w:val="993366"/>
        </w:rPr>
        <w:t>INTEGER</w:t>
      </w:r>
      <w:r w:rsidRPr="00FA0D37">
        <w:t xml:space="preserve"> (10..52)                                                 </w:t>
      </w:r>
      <w:r w:rsidRPr="00FA0D37">
        <w:rPr>
          <w:color w:val="993366"/>
        </w:rPr>
        <w:t>OPTIONAL</w:t>
      </w:r>
      <w:r w:rsidRPr="00FA0D37">
        <w:t xml:space="preserve">    </w:t>
      </w:r>
      <w:r w:rsidRPr="00FA0D37">
        <w:rPr>
          <w:color w:val="808080"/>
        </w:rPr>
        <w:t>-- Need R</w:t>
      </w:r>
    </w:p>
    <w:p w14:paraId="420D38B5" w14:textId="77777777" w:rsidR="00394471" w:rsidRPr="00FA0D37" w:rsidRDefault="00394471" w:rsidP="00FA0D37">
      <w:pPr>
        <w:pStyle w:val="PL"/>
      </w:pPr>
      <w:r w:rsidRPr="00FA0D37">
        <w:t>}</w:t>
      </w:r>
    </w:p>
    <w:p w14:paraId="10623766" w14:textId="77777777" w:rsidR="00827A1B" w:rsidRPr="00FA0D37" w:rsidRDefault="00827A1B" w:rsidP="00FA0D37">
      <w:pPr>
        <w:pStyle w:val="PL"/>
      </w:pPr>
    </w:p>
    <w:p w14:paraId="50FC2AFA" w14:textId="61FBB52C" w:rsidR="00827A1B" w:rsidRPr="00FA0D37" w:rsidRDefault="00827A1B" w:rsidP="00FA0D37">
      <w:pPr>
        <w:pStyle w:val="PL"/>
      </w:pPr>
      <w:r w:rsidRPr="00FA0D37">
        <w:t xml:space="preserve">SearchSpaceSwitchConfig-r17 ::=     </w:t>
      </w:r>
      <w:r w:rsidRPr="00FA0D37">
        <w:rPr>
          <w:color w:val="993366"/>
        </w:rPr>
        <w:t>SEQUENCE</w:t>
      </w:r>
      <w:r w:rsidRPr="00FA0D37">
        <w:t xml:space="preserve"> {</w:t>
      </w:r>
    </w:p>
    <w:p w14:paraId="7509A7C9" w14:textId="77777777" w:rsidR="00827A1B" w:rsidRPr="00FA0D37" w:rsidRDefault="00827A1B" w:rsidP="00FA0D37">
      <w:pPr>
        <w:pStyle w:val="PL"/>
        <w:rPr>
          <w:color w:val="808080"/>
        </w:rPr>
      </w:pPr>
      <w:r w:rsidRPr="00FA0D37">
        <w:t xml:space="preserve">    searchSpaceSwitchTimer-r17          SCS-SpecificDuration-r17                                         </w:t>
      </w:r>
      <w:r w:rsidRPr="00FA0D37">
        <w:rPr>
          <w:color w:val="993366"/>
        </w:rPr>
        <w:t>OPTIONAL</w:t>
      </w:r>
      <w:r w:rsidRPr="00FA0D37">
        <w:t xml:space="preserve">,   </w:t>
      </w:r>
      <w:r w:rsidRPr="00FA0D37">
        <w:rPr>
          <w:color w:val="808080"/>
        </w:rPr>
        <w:t>-- Need R</w:t>
      </w:r>
    </w:p>
    <w:p w14:paraId="0E76CA9A" w14:textId="77777777" w:rsidR="00827A1B" w:rsidRPr="00FA0D37" w:rsidRDefault="00827A1B" w:rsidP="00FA0D37">
      <w:pPr>
        <w:pStyle w:val="PL"/>
        <w:rPr>
          <w:color w:val="808080"/>
        </w:rPr>
      </w:pPr>
      <w:r w:rsidRPr="00FA0D37">
        <w:t xml:space="preserve">    searchSpaceSwitchDelay-r17          </w:t>
      </w:r>
      <w:r w:rsidRPr="00FA0D37">
        <w:rPr>
          <w:color w:val="993366"/>
        </w:rPr>
        <w:t>INTEGER</w:t>
      </w:r>
      <w:r w:rsidRPr="00FA0D37">
        <w:t xml:space="preserve"> (10..52)                                                 </w:t>
      </w:r>
      <w:r w:rsidRPr="00FA0D37">
        <w:rPr>
          <w:color w:val="993366"/>
        </w:rPr>
        <w:t>OPTIONAL</w:t>
      </w:r>
      <w:r w:rsidRPr="00FA0D37">
        <w:t xml:space="preserve">    </w:t>
      </w:r>
      <w:r w:rsidRPr="00FA0D37">
        <w:rPr>
          <w:color w:val="808080"/>
        </w:rPr>
        <w:t>-- Need R</w:t>
      </w:r>
    </w:p>
    <w:p w14:paraId="094C7A16" w14:textId="045FE7A4" w:rsidR="00827A1B" w:rsidRPr="00FA0D37" w:rsidRDefault="00827A1B" w:rsidP="00FA0D37">
      <w:pPr>
        <w:pStyle w:val="PL"/>
      </w:pPr>
      <w:r w:rsidRPr="00FA0D37">
        <w:t>}</w:t>
      </w:r>
    </w:p>
    <w:p w14:paraId="10454C34" w14:textId="77777777" w:rsidR="00394471" w:rsidRPr="00FA0D37" w:rsidRDefault="00394471" w:rsidP="00FA0D37">
      <w:pPr>
        <w:pStyle w:val="PL"/>
      </w:pPr>
    </w:p>
    <w:p w14:paraId="4D890F34" w14:textId="77777777" w:rsidR="00394471" w:rsidRPr="00FA0D37" w:rsidRDefault="00394471" w:rsidP="00FA0D37">
      <w:pPr>
        <w:pStyle w:val="PL"/>
      </w:pPr>
      <w:r w:rsidRPr="00FA0D37">
        <w:t xml:space="preserve">CellGroupForSwitch-r16 ::=          </w:t>
      </w:r>
      <w:r w:rsidRPr="00FA0D37">
        <w:rPr>
          <w:color w:val="993366"/>
        </w:rPr>
        <w:t>SEQUENCE</w:t>
      </w:r>
      <w:r w:rsidRPr="00FA0D37">
        <w:t>(</w:t>
      </w:r>
      <w:r w:rsidRPr="00FA0D37">
        <w:rPr>
          <w:color w:val="993366"/>
        </w:rPr>
        <w:t>SIZE</w:t>
      </w:r>
      <w:r w:rsidRPr="00FA0D37">
        <w:t xml:space="preserve"> (1..16))</w:t>
      </w:r>
      <w:r w:rsidRPr="00FA0D37">
        <w:rPr>
          <w:color w:val="993366"/>
        </w:rPr>
        <w:t xml:space="preserve"> OF</w:t>
      </w:r>
      <w:r w:rsidRPr="00FA0D37">
        <w:t xml:space="preserve"> ServCellIndex</w:t>
      </w:r>
    </w:p>
    <w:p w14:paraId="1E190D18" w14:textId="5C1D0DB0" w:rsidR="00394471" w:rsidRPr="00FA0D37" w:rsidRDefault="00394471" w:rsidP="00FA0D37">
      <w:pPr>
        <w:pStyle w:val="PL"/>
      </w:pPr>
    </w:p>
    <w:p w14:paraId="7AB312FC" w14:textId="77777777" w:rsidR="00827A1B" w:rsidRPr="00FA0D37" w:rsidRDefault="00827A1B" w:rsidP="00FA0D37">
      <w:pPr>
        <w:pStyle w:val="PL"/>
      </w:pPr>
      <w:r w:rsidRPr="00FA0D37">
        <w:t xml:space="preserve">SCS-SpecificDuration-r17   ::=      </w:t>
      </w:r>
      <w:r w:rsidRPr="00FA0D37">
        <w:rPr>
          <w:color w:val="993366"/>
        </w:rPr>
        <w:t>INTEGER</w:t>
      </w:r>
      <w:r w:rsidRPr="00FA0D37">
        <w:t xml:space="preserve"> (1..166)</w:t>
      </w:r>
    </w:p>
    <w:p w14:paraId="61A2FD6A" w14:textId="77777777" w:rsidR="00940426" w:rsidRPr="00FA0D37" w:rsidRDefault="00940426" w:rsidP="00FA0D37">
      <w:pPr>
        <w:pStyle w:val="PL"/>
      </w:pPr>
    </w:p>
    <w:p w14:paraId="421804F8" w14:textId="77777777" w:rsidR="00394471" w:rsidRPr="00FA0D37" w:rsidRDefault="00394471" w:rsidP="00FA0D37">
      <w:pPr>
        <w:pStyle w:val="PL"/>
        <w:rPr>
          <w:color w:val="808080"/>
        </w:rPr>
      </w:pPr>
      <w:r w:rsidRPr="00FA0D37">
        <w:rPr>
          <w:color w:val="808080"/>
        </w:rPr>
        <w:t>-- TAG-PDCCH-CONFIG-STOP</w:t>
      </w:r>
    </w:p>
    <w:p w14:paraId="2E83813A" w14:textId="77777777" w:rsidR="00394471" w:rsidRPr="00FA0D37" w:rsidRDefault="00394471" w:rsidP="00FA0D37">
      <w:pPr>
        <w:pStyle w:val="PL"/>
        <w:rPr>
          <w:color w:val="808080"/>
        </w:rPr>
      </w:pPr>
      <w:r w:rsidRPr="00FA0D37">
        <w:rPr>
          <w:color w:val="808080"/>
        </w:rPr>
        <w:t>-- ASN1STOP</w:t>
      </w:r>
    </w:p>
    <w:p w14:paraId="06014D77" w14:textId="6F003352" w:rsidR="00394471" w:rsidRPr="00FA0D37"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FA0D37" w:rsidRDefault="00394471" w:rsidP="00964CC4">
            <w:pPr>
              <w:pStyle w:val="TAH"/>
              <w:rPr>
                <w:szCs w:val="22"/>
                <w:lang w:eastAsia="sv-SE"/>
              </w:rPr>
            </w:pPr>
            <w:r w:rsidRPr="00FA0D37">
              <w:rPr>
                <w:i/>
                <w:szCs w:val="22"/>
                <w:lang w:eastAsia="sv-SE"/>
              </w:rPr>
              <w:lastRenderedPageBreak/>
              <w:t xml:space="preserve">PDCCH-Config </w:t>
            </w:r>
            <w:r w:rsidRPr="00FA0D37">
              <w:rPr>
                <w:szCs w:val="22"/>
                <w:lang w:eastAsia="sv-SE"/>
              </w:rPr>
              <w:t>field descriptions</w:t>
            </w:r>
          </w:p>
        </w:tc>
      </w:tr>
      <w:tr w:rsidR="005C7FF4" w:rsidRPr="00FA0D37"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FA0D37" w:rsidRDefault="00394471" w:rsidP="00964CC4">
            <w:pPr>
              <w:pStyle w:val="TAL"/>
              <w:rPr>
                <w:szCs w:val="22"/>
                <w:lang w:eastAsia="sv-SE"/>
              </w:rPr>
            </w:pPr>
            <w:r w:rsidRPr="00FA0D37">
              <w:rPr>
                <w:b/>
                <w:i/>
                <w:szCs w:val="22"/>
                <w:lang w:eastAsia="sv-SE"/>
              </w:rPr>
              <w:t>controlResourceSetToAddModList, controlResourceSetToAddModList</w:t>
            </w:r>
            <w:r w:rsidR="00C5556C" w:rsidRPr="00FA0D37">
              <w:rPr>
                <w:b/>
                <w:i/>
                <w:szCs w:val="22"/>
                <w:lang w:eastAsia="sv-SE"/>
              </w:rPr>
              <w:t>SizeExt</w:t>
            </w:r>
          </w:p>
          <w:p w14:paraId="3E1FE9AA" w14:textId="0CA8FA11" w:rsidR="00394471" w:rsidRPr="00FA0D37" w:rsidRDefault="00394471" w:rsidP="00964CC4">
            <w:pPr>
              <w:pStyle w:val="TAL"/>
              <w:rPr>
                <w:szCs w:val="22"/>
                <w:lang w:eastAsia="sv-SE"/>
              </w:rPr>
            </w:pPr>
            <w:r w:rsidRPr="00FA0D37">
              <w:rPr>
                <w:szCs w:val="22"/>
                <w:lang w:eastAsia="sv-SE"/>
              </w:rPr>
              <w:t xml:space="preserve">List of UE specifically configured Control Resource Sets (CORESETs) to be used by the UE. The network restrictions on configuration of CORESETs per DL BWP are specified in TS 38.213 </w:t>
            </w:r>
            <w:r w:rsidR="003C0215" w:rsidRPr="00FA0D37">
              <w:rPr>
                <w:szCs w:val="22"/>
                <w:lang w:eastAsia="sv-SE"/>
              </w:rPr>
              <w:t xml:space="preserve">[13], </w:t>
            </w:r>
            <w:r w:rsidR="00566002" w:rsidRPr="00FA0D37">
              <w:rPr>
                <w:szCs w:val="22"/>
                <w:lang w:eastAsia="sv-SE"/>
              </w:rPr>
              <w:t>clause</w:t>
            </w:r>
            <w:r w:rsidRPr="00FA0D37">
              <w:rPr>
                <w:szCs w:val="22"/>
                <w:lang w:eastAsia="sv-SE"/>
              </w:rPr>
              <w:t xml:space="preserve"> 10.1 and TS 38.306</w:t>
            </w:r>
            <w:r w:rsidR="003C0215" w:rsidRPr="00FA0D37">
              <w:rPr>
                <w:szCs w:val="22"/>
                <w:lang w:eastAsia="sv-SE"/>
              </w:rPr>
              <w:t xml:space="preserve"> [26]</w:t>
            </w:r>
            <w:r w:rsidRPr="00FA0D37">
              <w:rPr>
                <w:rFonts w:cs="Arial"/>
                <w:szCs w:val="22"/>
                <w:lang w:eastAsia="sv-SE"/>
              </w:rPr>
              <w:t xml:space="preserve">. </w:t>
            </w:r>
            <w:r w:rsidRPr="00FA0D37">
              <w:rPr>
                <w:szCs w:val="22"/>
                <w:lang w:eastAsia="sv-SE"/>
              </w:rPr>
              <w:t xml:space="preserve">The UE shall consider entries in </w:t>
            </w:r>
            <w:r w:rsidRPr="00FA0D37">
              <w:rPr>
                <w:i/>
                <w:iCs/>
                <w:szCs w:val="22"/>
                <w:lang w:eastAsia="sv-SE"/>
              </w:rPr>
              <w:t>controlResourceSetToAddModList</w:t>
            </w:r>
            <w:r w:rsidRPr="00FA0D37">
              <w:rPr>
                <w:szCs w:val="22"/>
                <w:lang w:eastAsia="sv-SE"/>
              </w:rPr>
              <w:t xml:space="preserve"> and in </w:t>
            </w:r>
            <w:r w:rsidRPr="00FA0D37">
              <w:rPr>
                <w:i/>
                <w:iCs/>
                <w:szCs w:val="22"/>
                <w:lang w:eastAsia="sv-SE"/>
              </w:rPr>
              <w:t>controlResourceSetToAddModList</w:t>
            </w:r>
            <w:r w:rsidR="00C5556C" w:rsidRPr="00FA0D37">
              <w:rPr>
                <w:i/>
                <w:iCs/>
                <w:szCs w:val="22"/>
                <w:lang w:eastAsia="sv-SE"/>
              </w:rPr>
              <w:t>SizeExt</w:t>
            </w:r>
            <w:r w:rsidRPr="00FA0D37">
              <w:rPr>
                <w:szCs w:val="22"/>
                <w:lang w:eastAsia="sv-SE"/>
              </w:rPr>
              <w:t xml:space="preserve"> as a single list, i.e. an entry created using </w:t>
            </w:r>
            <w:r w:rsidRPr="00FA0D37">
              <w:rPr>
                <w:i/>
                <w:iCs/>
                <w:szCs w:val="22"/>
                <w:lang w:eastAsia="sv-SE"/>
              </w:rPr>
              <w:t>controlResourceSetToAddModList</w:t>
            </w:r>
            <w:r w:rsidRPr="00FA0D37">
              <w:rPr>
                <w:szCs w:val="22"/>
                <w:lang w:eastAsia="sv-SE"/>
              </w:rPr>
              <w:t xml:space="preserve"> can be modif</w:t>
            </w:r>
            <w:r w:rsidR="00E75029" w:rsidRPr="00FA0D37">
              <w:rPr>
                <w:szCs w:val="22"/>
                <w:lang w:eastAsia="sv-SE"/>
              </w:rPr>
              <w:t>i</w:t>
            </w:r>
            <w:r w:rsidRPr="00FA0D37">
              <w:rPr>
                <w:szCs w:val="22"/>
                <w:lang w:eastAsia="sv-SE"/>
              </w:rPr>
              <w:t xml:space="preserve">ed using </w:t>
            </w:r>
            <w:r w:rsidRPr="00FA0D37">
              <w:rPr>
                <w:i/>
                <w:iCs/>
                <w:szCs w:val="22"/>
                <w:lang w:eastAsia="sv-SE"/>
              </w:rPr>
              <w:t>controlResourceSetToAddModList</w:t>
            </w:r>
            <w:r w:rsidR="00C5556C" w:rsidRPr="00FA0D37">
              <w:rPr>
                <w:i/>
                <w:iCs/>
                <w:szCs w:val="22"/>
                <w:lang w:eastAsia="sv-SE"/>
              </w:rPr>
              <w:t>SizeExt</w:t>
            </w:r>
            <w:r w:rsidRPr="00FA0D37">
              <w:rPr>
                <w:szCs w:val="22"/>
                <w:lang w:eastAsia="sv-SE"/>
              </w:rPr>
              <w:t xml:space="preserve"> </w:t>
            </w:r>
            <w:r w:rsidR="00C5556C" w:rsidRPr="00FA0D37">
              <w:rPr>
                <w:szCs w:val="22"/>
                <w:lang w:eastAsia="sv-SE"/>
              </w:rPr>
              <w:t xml:space="preserve">(or deleted using </w:t>
            </w:r>
            <w:r w:rsidR="00C5556C" w:rsidRPr="00FA0D37">
              <w:rPr>
                <w:i/>
                <w:szCs w:val="22"/>
                <w:lang w:eastAsia="sv-SE"/>
              </w:rPr>
              <w:t>controlResourceSetToReleaseListSizeExt</w:t>
            </w:r>
            <w:r w:rsidR="00C5556C" w:rsidRPr="00FA0D37">
              <w:rPr>
                <w:szCs w:val="22"/>
                <w:lang w:eastAsia="sv-SE"/>
              </w:rPr>
              <w:t xml:space="preserve">) </w:t>
            </w:r>
            <w:r w:rsidRPr="00FA0D37">
              <w:rPr>
                <w:szCs w:val="22"/>
                <w:lang w:eastAsia="sv-SE"/>
              </w:rPr>
              <w:t xml:space="preserve">and vice-versa. In case network reconfigures control resource set with the same </w:t>
            </w:r>
            <w:r w:rsidRPr="00FA0D37">
              <w:rPr>
                <w:i/>
                <w:szCs w:val="22"/>
                <w:lang w:eastAsia="sv-SE"/>
              </w:rPr>
              <w:t>ControlResourceSetId</w:t>
            </w:r>
            <w:r w:rsidRPr="00FA0D37">
              <w:rPr>
                <w:szCs w:val="22"/>
                <w:lang w:eastAsia="sv-SE"/>
              </w:rPr>
              <w:t xml:space="preserve"> as used for </w:t>
            </w:r>
            <w:r w:rsidRPr="00FA0D37">
              <w:rPr>
                <w:i/>
                <w:szCs w:val="22"/>
                <w:lang w:eastAsia="sv-SE"/>
              </w:rPr>
              <w:t>commonControlResourceSet</w:t>
            </w:r>
            <w:r w:rsidRPr="00FA0D37">
              <w:rPr>
                <w:szCs w:val="22"/>
                <w:lang w:eastAsia="sv-SE"/>
              </w:rPr>
              <w:t xml:space="preserve"> </w:t>
            </w:r>
            <w:r w:rsidR="00154FBC" w:rsidRPr="00FA0D37">
              <w:rPr>
                <w:noProof/>
                <w:szCs w:val="22"/>
              </w:rPr>
              <w:t>or</w:t>
            </w:r>
            <w:r w:rsidR="00154FBC" w:rsidRPr="00FA0D37">
              <w:rPr>
                <w:i/>
                <w:noProof/>
                <w:szCs w:val="22"/>
              </w:rPr>
              <w:t xml:space="preserve"> </w:t>
            </w:r>
            <w:r w:rsidR="00154FBC" w:rsidRPr="00FA0D37">
              <w:rPr>
                <w:i/>
                <w:noProof/>
                <w:szCs w:val="22"/>
                <w:lang w:eastAsia="sv-SE"/>
              </w:rPr>
              <w:t>commonControlResourceSetExt</w:t>
            </w:r>
            <w:r w:rsidR="00154FBC" w:rsidRPr="00FA0D37">
              <w:rPr>
                <w:noProof/>
                <w:szCs w:val="22"/>
                <w:lang w:eastAsia="sv-SE"/>
              </w:rPr>
              <w:t xml:space="preserve"> </w:t>
            </w:r>
            <w:r w:rsidRPr="00FA0D37">
              <w:rPr>
                <w:szCs w:val="22"/>
                <w:lang w:eastAsia="sv-SE"/>
              </w:rPr>
              <w:t xml:space="preserve">configured via </w:t>
            </w:r>
            <w:r w:rsidRPr="00FA0D37">
              <w:rPr>
                <w:i/>
                <w:szCs w:val="22"/>
                <w:lang w:eastAsia="sv-SE"/>
              </w:rPr>
              <w:t>PDCCH-ConfigCommon</w:t>
            </w:r>
            <w:r w:rsidR="00154FBC" w:rsidRPr="00FA0D37">
              <w:rPr>
                <w:szCs w:val="22"/>
                <w:lang w:eastAsia="sv-SE"/>
              </w:rPr>
              <w:t xml:space="preserve"> or via </w:t>
            </w:r>
            <w:r w:rsidR="00154FBC" w:rsidRPr="00FA0D37">
              <w:rPr>
                <w:i/>
                <w:szCs w:val="22"/>
                <w:lang w:eastAsia="sv-SE"/>
              </w:rPr>
              <w:t>SIB20</w:t>
            </w:r>
            <w:r w:rsidRPr="00FA0D37">
              <w:rPr>
                <w:szCs w:val="22"/>
                <w:lang w:eastAsia="sv-SE"/>
              </w:rPr>
              <w:t xml:space="preserve">, the configuration from </w:t>
            </w:r>
            <w:r w:rsidRPr="00FA0D37">
              <w:rPr>
                <w:i/>
                <w:szCs w:val="22"/>
                <w:lang w:eastAsia="sv-SE"/>
              </w:rPr>
              <w:t>PDCCH-Config</w:t>
            </w:r>
            <w:r w:rsidRPr="00FA0D37">
              <w:rPr>
                <w:szCs w:val="22"/>
                <w:lang w:eastAsia="sv-SE"/>
              </w:rPr>
              <w:t xml:space="preserve"> always takes precedence and should not be updated by the UE based on </w:t>
            </w:r>
            <w:r w:rsidRPr="00FA0D37">
              <w:rPr>
                <w:i/>
                <w:szCs w:val="22"/>
                <w:lang w:eastAsia="sv-SE"/>
              </w:rPr>
              <w:t>servingCellConfigCommon</w:t>
            </w:r>
            <w:r w:rsidR="00154FBC" w:rsidRPr="00FA0D37">
              <w:rPr>
                <w:szCs w:val="22"/>
                <w:lang w:eastAsia="sv-SE"/>
              </w:rPr>
              <w:t xml:space="preserve"> or based on </w:t>
            </w:r>
            <w:r w:rsidR="00154FBC" w:rsidRPr="00FA0D37">
              <w:rPr>
                <w:i/>
                <w:szCs w:val="22"/>
                <w:lang w:eastAsia="sv-SE"/>
              </w:rPr>
              <w:t>SIB20</w:t>
            </w:r>
            <w:r w:rsidRPr="00FA0D37">
              <w:rPr>
                <w:szCs w:val="22"/>
                <w:lang w:eastAsia="sv-SE"/>
              </w:rPr>
              <w:t>.</w:t>
            </w:r>
          </w:p>
        </w:tc>
      </w:tr>
      <w:tr w:rsidR="005C7FF4" w:rsidRPr="00FA0D37"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FA0D37" w:rsidRDefault="00394471" w:rsidP="00964CC4">
            <w:pPr>
              <w:pStyle w:val="TAL"/>
              <w:rPr>
                <w:b/>
                <w:i/>
                <w:szCs w:val="22"/>
                <w:lang w:eastAsia="sv-SE"/>
              </w:rPr>
            </w:pPr>
            <w:r w:rsidRPr="00FA0D37">
              <w:rPr>
                <w:b/>
                <w:i/>
                <w:szCs w:val="22"/>
                <w:lang w:eastAsia="sv-SE"/>
              </w:rPr>
              <w:t>controlResourceSetToReleaseList</w:t>
            </w:r>
            <w:r w:rsidR="00C5556C" w:rsidRPr="00FA0D37">
              <w:rPr>
                <w:b/>
                <w:i/>
                <w:szCs w:val="22"/>
                <w:lang w:eastAsia="sv-SE"/>
              </w:rPr>
              <w:t>, controlResourceSetToReleaseListSizeExt</w:t>
            </w:r>
          </w:p>
          <w:p w14:paraId="0C0128AB" w14:textId="3E512563" w:rsidR="00394471" w:rsidRPr="00FA0D37" w:rsidRDefault="00394471" w:rsidP="00964CC4">
            <w:pPr>
              <w:pStyle w:val="TAL"/>
              <w:rPr>
                <w:bCs/>
                <w:iCs/>
                <w:szCs w:val="22"/>
                <w:lang w:eastAsia="sv-SE"/>
              </w:rPr>
            </w:pPr>
            <w:r w:rsidRPr="00FA0D37">
              <w:rPr>
                <w:bCs/>
                <w:iCs/>
                <w:szCs w:val="22"/>
                <w:lang w:eastAsia="sv-SE"/>
              </w:rPr>
              <w:t xml:space="preserve">List of UE specifically configured Control Resource Sets (CORESETs) to be released by the UE. This field only applies to CORESETs configured by </w:t>
            </w:r>
            <w:r w:rsidRPr="00FA0D37">
              <w:rPr>
                <w:bCs/>
                <w:i/>
                <w:szCs w:val="22"/>
                <w:lang w:eastAsia="sv-SE"/>
              </w:rPr>
              <w:t>controlResourceSetToAddModList</w:t>
            </w:r>
            <w:r w:rsidRPr="00FA0D37">
              <w:rPr>
                <w:bCs/>
                <w:iCs/>
                <w:szCs w:val="22"/>
                <w:lang w:eastAsia="sv-SE"/>
              </w:rPr>
              <w:t xml:space="preserve"> </w:t>
            </w:r>
            <w:r w:rsidR="00C5556C" w:rsidRPr="00FA0D37">
              <w:rPr>
                <w:bCs/>
                <w:iCs/>
                <w:szCs w:val="22"/>
                <w:lang w:eastAsia="sv-SE"/>
              </w:rPr>
              <w:t xml:space="preserve">or </w:t>
            </w:r>
            <w:r w:rsidR="00C5556C" w:rsidRPr="00FA0D37">
              <w:rPr>
                <w:bCs/>
                <w:i/>
                <w:iCs/>
                <w:szCs w:val="22"/>
                <w:lang w:eastAsia="sv-SE"/>
              </w:rPr>
              <w:t xml:space="preserve">controlResourceSetToAddModListSizeExt </w:t>
            </w:r>
            <w:r w:rsidRPr="00FA0D37">
              <w:rPr>
                <w:bCs/>
                <w:iCs/>
                <w:szCs w:val="22"/>
                <w:lang w:eastAsia="sv-SE"/>
              </w:rPr>
              <w:t xml:space="preserve">and does not release the field </w:t>
            </w:r>
            <w:r w:rsidRPr="00FA0D37">
              <w:rPr>
                <w:bCs/>
                <w:i/>
                <w:szCs w:val="22"/>
                <w:lang w:eastAsia="sv-SE"/>
              </w:rPr>
              <w:t>commonControlResourceSet</w:t>
            </w:r>
            <w:r w:rsidRPr="00FA0D37">
              <w:rPr>
                <w:bCs/>
                <w:iCs/>
                <w:szCs w:val="22"/>
                <w:lang w:eastAsia="sv-SE"/>
              </w:rPr>
              <w:t xml:space="preserve"> configured by </w:t>
            </w:r>
            <w:r w:rsidRPr="00FA0D37">
              <w:rPr>
                <w:bCs/>
                <w:i/>
                <w:szCs w:val="22"/>
                <w:lang w:eastAsia="sv-SE"/>
              </w:rPr>
              <w:t>PDCCH-ConfigCommon</w:t>
            </w:r>
            <w:r w:rsidR="00CE6FBC" w:rsidRPr="00FA0D37">
              <w:rPr>
                <w:bCs/>
                <w:i/>
                <w:szCs w:val="22"/>
                <w:lang w:eastAsia="sv-SE"/>
              </w:rPr>
              <w:t xml:space="preserve"> </w:t>
            </w:r>
            <w:r w:rsidR="00CE6FBC" w:rsidRPr="00FA0D37">
              <w:rPr>
                <w:bCs/>
                <w:iCs/>
                <w:szCs w:val="22"/>
                <w:lang w:eastAsia="sv-SE"/>
              </w:rPr>
              <w:t xml:space="preserve">and </w:t>
            </w:r>
            <w:r w:rsidR="00CE6FBC" w:rsidRPr="00FA0D37">
              <w:rPr>
                <w:bCs/>
                <w:i/>
                <w:szCs w:val="22"/>
                <w:lang w:eastAsia="sv-SE"/>
              </w:rPr>
              <w:t>commonControlResourceSe</w:t>
            </w:r>
            <w:r w:rsidR="00EC3D3D" w:rsidRPr="00FA0D37">
              <w:rPr>
                <w:bCs/>
                <w:i/>
                <w:szCs w:val="22"/>
                <w:lang w:eastAsia="sv-SE"/>
              </w:rPr>
              <w:t>t</w:t>
            </w:r>
            <w:r w:rsidR="00CE6FBC" w:rsidRPr="00FA0D37">
              <w:rPr>
                <w:bCs/>
                <w:i/>
                <w:szCs w:val="22"/>
                <w:lang w:eastAsia="sv-SE"/>
              </w:rPr>
              <w:t>Ext</w:t>
            </w:r>
            <w:r w:rsidR="00CE6FBC" w:rsidRPr="00FA0D37">
              <w:rPr>
                <w:bCs/>
                <w:iCs/>
                <w:szCs w:val="22"/>
                <w:lang w:eastAsia="sv-SE"/>
              </w:rPr>
              <w:t xml:space="preserve"> configured by </w:t>
            </w:r>
            <w:r w:rsidR="004D393F" w:rsidRPr="00FA0D37">
              <w:rPr>
                <w:bCs/>
                <w:i/>
                <w:szCs w:val="22"/>
                <w:lang w:eastAsia="sv-SE"/>
              </w:rPr>
              <w:t>SIB20</w:t>
            </w:r>
            <w:r w:rsidRPr="00FA0D37">
              <w:rPr>
                <w:bCs/>
                <w:iCs/>
                <w:szCs w:val="22"/>
                <w:lang w:eastAsia="sv-SE"/>
              </w:rPr>
              <w:t>.</w:t>
            </w:r>
          </w:p>
        </w:tc>
      </w:tr>
      <w:tr w:rsidR="005C7FF4" w:rsidRPr="00FA0D37"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FA0D37" w:rsidRDefault="00394471" w:rsidP="00964CC4">
            <w:pPr>
              <w:pStyle w:val="TAL"/>
              <w:rPr>
                <w:szCs w:val="22"/>
                <w:lang w:eastAsia="sv-SE"/>
              </w:rPr>
            </w:pPr>
            <w:r w:rsidRPr="00FA0D37">
              <w:rPr>
                <w:b/>
                <w:i/>
                <w:szCs w:val="22"/>
                <w:lang w:eastAsia="sv-SE"/>
              </w:rPr>
              <w:t>downlinkPreemption</w:t>
            </w:r>
          </w:p>
          <w:p w14:paraId="5C63593C" w14:textId="77777777" w:rsidR="00394471" w:rsidRPr="00FA0D37" w:rsidRDefault="00394471" w:rsidP="00964CC4">
            <w:pPr>
              <w:pStyle w:val="TAL"/>
              <w:rPr>
                <w:szCs w:val="22"/>
                <w:lang w:eastAsia="sv-SE"/>
              </w:rPr>
            </w:pPr>
            <w:r w:rsidRPr="00FA0D37">
              <w:rPr>
                <w:szCs w:val="22"/>
                <w:lang w:eastAsia="sv-SE"/>
              </w:rPr>
              <w:t>Configuration of downlink preemption indications to be monitored in this cell (see TS 38.213 [13], clause 11.2).</w:t>
            </w:r>
          </w:p>
        </w:tc>
      </w:tr>
      <w:tr w:rsidR="005C7FF4" w:rsidRPr="00FA0D37"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FA0D37" w:rsidRDefault="00394471" w:rsidP="00964CC4">
            <w:pPr>
              <w:pStyle w:val="TAL"/>
              <w:rPr>
                <w:b/>
                <w:bCs/>
                <w:i/>
                <w:iCs/>
                <w:lang w:eastAsia="x-none"/>
              </w:rPr>
            </w:pPr>
            <w:r w:rsidRPr="00FA0D37">
              <w:rPr>
                <w:b/>
                <w:bCs/>
                <w:i/>
                <w:iCs/>
                <w:lang w:eastAsia="x-none"/>
              </w:rPr>
              <w:t>monitoringCapabilityConfig</w:t>
            </w:r>
          </w:p>
          <w:p w14:paraId="1611B7FC" w14:textId="57A3C78A" w:rsidR="00394471" w:rsidRPr="00FA0D37" w:rsidRDefault="00394471" w:rsidP="00964CC4">
            <w:pPr>
              <w:pStyle w:val="TAL"/>
              <w:rPr>
                <w:b/>
                <w:i/>
                <w:szCs w:val="22"/>
                <w:lang w:eastAsia="sv-SE"/>
              </w:rPr>
            </w:pPr>
            <w:r w:rsidRPr="00FA0D37">
              <w:rPr>
                <w:szCs w:val="22"/>
                <w:lang w:eastAsia="sv-SE"/>
              </w:rPr>
              <w:t>Configures either Rel-15 PDCCH monitoring capability</w:t>
            </w:r>
            <w:r w:rsidR="00655B5E" w:rsidRPr="00FA0D37">
              <w:rPr>
                <w:szCs w:val="22"/>
                <w:lang w:eastAsia="sv-SE"/>
              </w:rPr>
              <w:t>,</w:t>
            </w:r>
            <w:r w:rsidRPr="00FA0D37">
              <w:rPr>
                <w:szCs w:val="22"/>
                <w:lang w:eastAsia="sv-SE"/>
              </w:rPr>
              <w:t xml:space="preserve"> Rel-16 PDCCH monitoring capability </w:t>
            </w:r>
            <w:r w:rsidR="00655B5E" w:rsidRPr="00FA0D37">
              <w:rPr>
                <w:szCs w:val="22"/>
                <w:lang w:eastAsia="sv-SE"/>
              </w:rPr>
              <w:t xml:space="preserve">or Rel-17 PDCCH monitoring capability </w:t>
            </w:r>
            <w:r w:rsidRPr="00FA0D37">
              <w:rPr>
                <w:szCs w:val="22"/>
                <w:lang w:eastAsia="sv-SE"/>
              </w:rPr>
              <w:t>for PDCCH monitoring on a serving cell</w:t>
            </w:r>
            <w:r w:rsidR="00655B5E" w:rsidRPr="00FA0D37">
              <w:rPr>
                <w:szCs w:val="22"/>
                <w:lang w:eastAsia="sv-SE"/>
              </w:rPr>
              <w:t xml:space="preserve"> </w:t>
            </w:r>
            <w:r w:rsidR="00655B5E" w:rsidRPr="00FA0D37">
              <w:rPr>
                <w:bCs/>
                <w:iCs/>
                <w:szCs w:val="22"/>
                <w:lang w:eastAsia="sv-SE"/>
              </w:rPr>
              <w:t>(see TS 38.213 [13], clause 10.1)</w:t>
            </w:r>
            <w:r w:rsidRPr="00FA0D37">
              <w:rPr>
                <w:szCs w:val="22"/>
                <w:lang w:eastAsia="sv-SE"/>
              </w:rPr>
              <w:t xml:space="preserve">. Value </w:t>
            </w:r>
            <w:r w:rsidRPr="00FA0D37">
              <w:rPr>
                <w:i/>
                <w:szCs w:val="22"/>
                <w:lang w:eastAsia="sv-SE"/>
              </w:rPr>
              <w:t>r15monitoringcapab</w:t>
            </w:r>
            <w:r w:rsidR="003A2D9D" w:rsidRPr="00FA0D37">
              <w:rPr>
                <w:i/>
                <w:szCs w:val="22"/>
                <w:lang w:eastAsia="sv-SE"/>
              </w:rPr>
              <w:t>i</w:t>
            </w:r>
            <w:r w:rsidRPr="00FA0D37">
              <w:rPr>
                <w:i/>
                <w:szCs w:val="22"/>
                <w:lang w:eastAsia="sv-SE"/>
              </w:rPr>
              <w:t>lity</w:t>
            </w:r>
            <w:r w:rsidRPr="00FA0D37">
              <w:rPr>
                <w:szCs w:val="22"/>
                <w:lang w:eastAsia="sv-SE"/>
              </w:rPr>
              <w:t xml:space="preserve"> enables the Rel-15 monitoring capability, and value </w:t>
            </w:r>
            <w:r w:rsidRPr="00FA0D37">
              <w:rPr>
                <w:i/>
                <w:szCs w:val="22"/>
                <w:lang w:eastAsia="sv-SE"/>
              </w:rPr>
              <w:t>r16monitoringcapab</w:t>
            </w:r>
            <w:r w:rsidR="003A2D9D" w:rsidRPr="00FA0D37">
              <w:rPr>
                <w:i/>
                <w:szCs w:val="22"/>
                <w:lang w:eastAsia="sv-SE"/>
              </w:rPr>
              <w:t>i</w:t>
            </w:r>
            <w:r w:rsidRPr="00FA0D37">
              <w:rPr>
                <w:i/>
                <w:szCs w:val="22"/>
                <w:lang w:eastAsia="sv-SE"/>
              </w:rPr>
              <w:t>lity</w:t>
            </w:r>
            <w:r w:rsidRPr="00FA0D37">
              <w:rPr>
                <w:szCs w:val="22"/>
                <w:lang w:eastAsia="sv-SE"/>
              </w:rPr>
              <w:t xml:space="preserve"> enables the Rel-16 PDCCH monitoring capability.</w:t>
            </w:r>
            <w:r w:rsidR="006C501F" w:rsidRPr="00FA0D37">
              <w:rPr>
                <w:szCs w:val="22"/>
                <w:lang w:eastAsia="sv-SE"/>
              </w:rPr>
              <w:t xml:space="preserve"> </w:t>
            </w:r>
            <w:r w:rsidR="006C501F" w:rsidRPr="00FA0D37">
              <w:rPr>
                <w:bCs/>
                <w:i/>
                <w:szCs w:val="22"/>
                <w:lang w:eastAsia="sv-SE"/>
              </w:rPr>
              <w:t>r17monitoringcapability</w:t>
            </w:r>
            <w:r w:rsidR="006C501F" w:rsidRPr="00FA0D37">
              <w:rPr>
                <w:bCs/>
                <w:iCs/>
                <w:szCs w:val="22"/>
                <w:lang w:eastAsia="sv-SE"/>
              </w:rPr>
              <w:t xml:space="preserve"> enables the Rel-17 PDCCH multi-slot monitoring capability. For 480 and 960 kHz SCS, only value </w:t>
            </w:r>
            <w:r w:rsidR="006C501F" w:rsidRPr="00FA0D37">
              <w:rPr>
                <w:bCs/>
                <w:i/>
                <w:szCs w:val="22"/>
                <w:lang w:eastAsia="sv-SE"/>
              </w:rPr>
              <w:t>r17monitoringcapability</w:t>
            </w:r>
            <w:r w:rsidR="006C501F" w:rsidRPr="00FA0D37">
              <w:rPr>
                <w:bCs/>
                <w:iCs/>
                <w:szCs w:val="22"/>
                <w:lang w:eastAsia="sv-SE"/>
              </w:rPr>
              <w:t xml:space="preserve"> is applicable.</w:t>
            </w:r>
          </w:p>
        </w:tc>
      </w:tr>
      <w:tr w:rsidR="005C7FF4" w:rsidRPr="00FA0D37"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FA0D37" w:rsidRDefault="00940426" w:rsidP="00940426">
            <w:pPr>
              <w:pStyle w:val="TAL"/>
              <w:rPr>
                <w:rFonts w:eastAsiaTheme="minorEastAsia"/>
                <w:b/>
                <w:bCs/>
                <w:i/>
                <w:iCs/>
                <w:lang w:eastAsia="zh-CN"/>
              </w:rPr>
            </w:pPr>
            <w:r w:rsidRPr="00FA0D37">
              <w:rPr>
                <w:b/>
                <w:bCs/>
                <w:i/>
                <w:iCs/>
                <w:lang w:eastAsia="x-none"/>
              </w:rPr>
              <w:t>pdcch-SkippingDurationList</w:t>
            </w:r>
          </w:p>
          <w:p w14:paraId="73C481D2" w14:textId="0159B4F0" w:rsidR="00940426" w:rsidRPr="00FA0D37" w:rsidRDefault="00827A1B" w:rsidP="00940426">
            <w:pPr>
              <w:pStyle w:val="TAL"/>
              <w:rPr>
                <w:b/>
                <w:bCs/>
                <w:i/>
                <w:iCs/>
                <w:lang w:eastAsia="x-none"/>
              </w:rPr>
            </w:pPr>
            <w:r w:rsidRPr="00FA0D37">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5C7FF4" w:rsidRPr="00FA0D37"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FA0D37" w:rsidRDefault="00394471" w:rsidP="00964CC4">
            <w:pPr>
              <w:pStyle w:val="TAL"/>
              <w:rPr>
                <w:szCs w:val="22"/>
                <w:lang w:eastAsia="sv-SE"/>
              </w:rPr>
            </w:pPr>
            <w:r w:rsidRPr="00FA0D37">
              <w:rPr>
                <w:b/>
                <w:i/>
                <w:szCs w:val="22"/>
                <w:lang w:eastAsia="sv-SE"/>
              </w:rPr>
              <w:t>searchSpacesToAddModList, searchSpacesToAddModListExt</w:t>
            </w:r>
          </w:p>
          <w:p w14:paraId="34C73710" w14:textId="0E3F87D8" w:rsidR="00394471" w:rsidRPr="00FA0D37" w:rsidRDefault="00394471" w:rsidP="00964CC4">
            <w:pPr>
              <w:pStyle w:val="TAL"/>
              <w:rPr>
                <w:szCs w:val="22"/>
                <w:lang w:eastAsia="sv-SE"/>
              </w:rPr>
            </w:pPr>
            <w:r w:rsidRPr="00FA0D37">
              <w:rPr>
                <w:szCs w:val="22"/>
                <w:lang w:eastAsia="sv-SE"/>
              </w:rPr>
              <w:t xml:space="preserve">List of UE specifically configured </w:t>
            </w:r>
            <w:r w:rsidRPr="00FA0D37">
              <w:rPr>
                <w:lang w:eastAsia="sv-SE"/>
              </w:rPr>
              <w:t>Search Spaces</w:t>
            </w:r>
            <w:r w:rsidR="00CE6FBC" w:rsidRPr="00FA0D37">
              <w:rPr>
                <w:lang w:eastAsia="sv-SE"/>
              </w:rPr>
              <w:t xml:space="preserve"> or MBS multicast Search Spaces</w:t>
            </w:r>
            <w:r w:rsidRPr="00FA0D37">
              <w:rPr>
                <w:szCs w:val="22"/>
                <w:lang w:eastAsia="sv-SE"/>
              </w:rPr>
              <w:t xml:space="preserve">. The network configures at most 10 Search Spaces per BWP per cell (including UE-specific and common Search Spaces). If the network includes </w:t>
            </w:r>
            <w:r w:rsidRPr="00FA0D37">
              <w:rPr>
                <w:i/>
                <w:iCs/>
                <w:szCs w:val="22"/>
                <w:lang w:eastAsia="sv-SE"/>
              </w:rPr>
              <w:t>searchSpace</w:t>
            </w:r>
            <w:r w:rsidR="00156D01" w:rsidRPr="00FA0D37">
              <w:rPr>
                <w:i/>
                <w:iCs/>
                <w:szCs w:val="22"/>
                <w:lang w:eastAsia="sv-SE"/>
              </w:rPr>
              <w:t>s</w:t>
            </w:r>
            <w:r w:rsidRPr="00FA0D37">
              <w:rPr>
                <w:i/>
                <w:iCs/>
                <w:szCs w:val="22"/>
                <w:lang w:eastAsia="sv-SE"/>
              </w:rPr>
              <w:t>ToAddModListExt</w:t>
            </w:r>
            <w:r w:rsidRPr="00FA0D37">
              <w:rPr>
                <w:szCs w:val="22"/>
                <w:lang w:eastAsia="sv-SE"/>
              </w:rPr>
              <w:t xml:space="preserve">, it includes the same number of entries, and listed in the same order, as in </w:t>
            </w:r>
            <w:r w:rsidRPr="00FA0D37">
              <w:rPr>
                <w:i/>
                <w:iCs/>
                <w:szCs w:val="22"/>
                <w:lang w:eastAsia="sv-SE"/>
              </w:rPr>
              <w:t>searchSpacesToAddModList</w:t>
            </w:r>
            <w:r w:rsidR="00CE6FBC" w:rsidRPr="00FA0D37">
              <w:rPr>
                <w:szCs w:val="22"/>
                <w:lang w:eastAsia="sv-SE"/>
              </w:rPr>
              <w:t xml:space="preserve"> in each of them</w:t>
            </w:r>
            <w:r w:rsidRPr="00FA0D37">
              <w:rPr>
                <w:szCs w:val="22"/>
                <w:lang w:eastAsia="sv-SE"/>
              </w:rPr>
              <w:t>.</w:t>
            </w:r>
          </w:p>
        </w:tc>
      </w:tr>
      <w:tr w:rsidR="005C7FF4" w:rsidRPr="00FA0D37"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FA0D37" w:rsidRDefault="005220C9" w:rsidP="005220C9">
            <w:pPr>
              <w:pStyle w:val="TAL"/>
              <w:rPr>
                <w:szCs w:val="22"/>
                <w:lang w:eastAsia="sv-SE"/>
              </w:rPr>
            </w:pPr>
            <w:r w:rsidRPr="00FA0D37">
              <w:rPr>
                <w:b/>
                <w:i/>
                <w:szCs w:val="22"/>
                <w:lang w:eastAsia="sv-SE"/>
              </w:rPr>
              <w:t>searchSpaceSwitchConfig</w:t>
            </w:r>
          </w:p>
          <w:p w14:paraId="293689AE" w14:textId="025C1223" w:rsidR="005220C9" w:rsidRPr="00FA0D37" w:rsidRDefault="005220C9" w:rsidP="005220C9">
            <w:pPr>
              <w:pStyle w:val="TAL"/>
              <w:rPr>
                <w:b/>
                <w:i/>
                <w:szCs w:val="22"/>
                <w:lang w:eastAsia="sv-SE"/>
              </w:rPr>
            </w:pPr>
            <w:r w:rsidRPr="00FA0D37">
              <w:rPr>
                <w:szCs w:val="22"/>
                <w:lang w:eastAsia="sv-SE"/>
              </w:rPr>
              <w:t xml:space="preserve">Configuration to control the UE behavior to switch from search space group X back to search space group 0, as specified in clause 10 of TS 38.213 [13]. The network only configures either </w:t>
            </w:r>
            <w:r w:rsidRPr="00FA0D37">
              <w:rPr>
                <w:i/>
                <w:szCs w:val="22"/>
                <w:lang w:eastAsia="sv-SE"/>
              </w:rPr>
              <w:t>searchSpaceSwitchConfig-r16</w:t>
            </w:r>
            <w:r w:rsidRPr="00FA0D37">
              <w:rPr>
                <w:szCs w:val="22"/>
                <w:lang w:eastAsia="sv-SE"/>
              </w:rPr>
              <w:t xml:space="preserve"> or </w:t>
            </w:r>
            <w:r w:rsidRPr="00FA0D37">
              <w:rPr>
                <w:i/>
                <w:szCs w:val="22"/>
                <w:lang w:eastAsia="sv-SE"/>
              </w:rPr>
              <w:t>searchSpaceSwitchConfig-r17</w:t>
            </w:r>
            <w:r w:rsidRPr="00FA0D37">
              <w:rPr>
                <w:szCs w:val="22"/>
                <w:lang w:eastAsia="sv-SE"/>
              </w:rPr>
              <w:t xml:space="preserve"> for a UE.</w:t>
            </w:r>
          </w:p>
        </w:tc>
      </w:tr>
      <w:tr w:rsidR="005C7FF4" w:rsidRPr="00FA0D37"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FA0D37" w:rsidRDefault="00394471" w:rsidP="00964CC4">
            <w:pPr>
              <w:pStyle w:val="TAL"/>
              <w:rPr>
                <w:szCs w:val="22"/>
                <w:lang w:eastAsia="sv-SE"/>
              </w:rPr>
            </w:pPr>
            <w:r w:rsidRPr="00FA0D37">
              <w:rPr>
                <w:b/>
                <w:i/>
                <w:szCs w:val="22"/>
                <w:lang w:eastAsia="sv-SE"/>
              </w:rPr>
              <w:t>tpc-PUCCH</w:t>
            </w:r>
          </w:p>
          <w:p w14:paraId="568BAD2D" w14:textId="77777777" w:rsidR="00394471" w:rsidRPr="00FA0D37" w:rsidRDefault="00394471" w:rsidP="00964CC4">
            <w:pPr>
              <w:pStyle w:val="TAL"/>
              <w:rPr>
                <w:szCs w:val="22"/>
                <w:lang w:eastAsia="sv-SE"/>
              </w:rPr>
            </w:pPr>
            <w:r w:rsidRPr="00FA0D37">
              <w:rPr>
                <w:szCs w:val="22"/>
                <w:lang w:eastAsia="sv-SE"/>
              </w:rPr>
              <w:t>Enable and configure reception of group TPC commands for PUCCH.</w:t>
            </w:r>
          </w:p>
        </w:tc>
      </w:tr>
      <w:tr w:rsidR="005C7FF4" w:rsidRPr="00FA0D37"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FA0D37" w:rsidRDefault="00394471" w:rsidP="00964CC4">
            <w:pPr>
              <w:pStyle w:val="TAL"/>
              <w:rPr>
                <w:szCs w:val="22"/>
                <w:lang w:eastAsia="sv-SE"/>
              </w:rPr>
            </w:pPr>
            <w:r w:rsidRPr="00FA0D37">
              <w:rPr>
                <w:b/>
                <w:i/>
                <w:szCs w:val="22"/>
                <w:lang w:eastAsia="sv-SE"/>
              </w:rPr>
              <w:t>tpc-PUSCH</w:t>
            </w:r>
          </w:p>
          <w:p w14:paraId="03C03776" w14:textId="77777777" w:rsidR="00394471" w:rsidRPr="00FA0D37" w:rsidRDefault="00394471" w:rsidP="00964CC4">
            <w:pPr>
              <w:pStyle w:val="TAL"/>
              <w:rPr>
                <w:szCs w:val="22"/>
                <w:lang w:eastAsia="sv-SE"/>
              </w:rPr>
            </w:pPr>
            <w:r w:rsidRPr="00FA0D37">
              <w:rPr>
                <w:szCs w:val="22"/>
                <w:lang w:eastAsia="sv-SE"/>
              </w:rPr>
              <w:t>Enable and configure reception of group TPC commands for PUSCH.</w:t>
            </w:r>
          </w:p>
        </w:tc>
      </w:tr>
      <w:tr w:rsidR="005C7FF4" w:rsidRPr="00FA0D37"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FA0D37" w:rsidRDefault="00394471" w:rsidP="00964CC4">
            <w:pPr>
              <w:pStyle w:val="TAL"/>
              <w:rPr>
                <w:b/>
                <w:i/>
                <w:szCs w:val="22"/>
                <w:lang w:eastAsia="sv-SE"/>
              </w:rPr>
            </w:pPr>
            <w:r w:rsidRPr="00FA0D37">
              <w:rPr>
                <w:b/>
                <w:i/>
                <w:szCs w:val="22"/>
                <w:lang w:eastAsia="sv-SE"/>
              </w:rPr>
              <w:t>tpc-SRS</w:t>
            </w:r>
          </w:p>
          <w:p w14:paraId="4157C388" w14:textId="77777777" w:rsidR="00394471" w:rsidRPr="00FA0D37" w:rsidRDefault="00394471" w:rsidP="00964CC4">
            <w:pPr>
              <w:pStyle w:val="TAL"/>
              <w:rPr>
                <w:szCs w:val="22"/>
                <w:lang w:eastAsia="sv-SE"/>
              </w:rPr>
            </w:pPr>
            <w:r w:rsidRPr="00FA0D37">
              <w:rPr>
                <w:szCs w:val="22"/>
                <w:lang w:eastAsia="sv-SE"/>
              </w:rPr>
              <w:t>Enable and configure reception of group TPC commands for SRS.</w:t>
            </w:r>
          </w:p>
        </w:tc>
      </w:tr>
      <w:tr w:rsidR="00394471" w:rsidRPr="00FA0D37"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FA0D37" w:rsidRDefault="00394471" w:rsidP="00964CC4">
            <w:pPr>
              <w:pStyle w:val="TAL"/>
              <w:rPr>
                <w:b/>
                <w:bCs/>
                <w:i/>
                <w:iCs/>
                <w:lang w:eastAsia="x-none"/>
              </w:rPr>
            </w:pPr>
            <w:r w:rsidRPr="00FA0D37">
              <w:rPr>
                <w:b/>
                <w:bCs/>
                <w:i/>
                <w:iCs/>
                <w:lang w:eastAsia="x-none"/>
              </w:rPr>
              <w:t>uplinkCancellation</w:t>
            </w:r>
          </w:p>
          <w:p w14:paraId="61EC26D6" w14:textId="77777777" w:rsidR="00394471" w:rsidRPr="00FA0D37" w:rsidRDefault="00394471" w:rsidP="00964CC4">
            <w:pPr>
              <w:pStyle w:val="TAL"/>
              <w:rPr>
                <w:b/>
                <w:i/>
                <w:szCs w:val="22"/>
                <w:lang w:eastAsia="sv-SE"/>
              </w:rPr>
            </w:pPr>
            <w:r w:rsidRPr="00FA0D37">
              <w:rPr>
                <w:szCs w:val="22"/>
                <w:lang w:eastAsia="sv-SE"/>
              </w:rPr>
              <w:t>Configuration of uplink cancellation indications to be monitored in this cell (see TS 38.213 [13], clause 11.2A).</w:t>
            </w:r>
          </w:p>
        </w:tc>
      </w:tr>
    </w:tbl>
    <w:p w14:paraId="3C07813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FA0D37" w:rsidRDefault="00394471" w:rsidP="00964CC4">
            <w:pPr>
              <w:pStyle w:val="TAH"/>
              <w:rPr>
                <w:szCs w:val="22"/>
                <w:lang w:eastAsia="sv-SE"/>
              </w:rPr>
            </w:pPr>
            <w:r w:rsidRPr="00FA0D37">
              <w:rPr>
                <w:i/>
                <w:szCs w:val="22"/>
                <w:lang w:eastAsia="sv-SE"/>
              </w:rPr>
              <w:lastRenderedPageBreak/>
              <w:t xml:space="preserve">SearchSpaceSwitchConfig </w:t>
            </w:r>
            <w:r w:rsidRPr="00FA0D37">
              <w:rPr>
                <w:szCs w:val="22"/>
                <w:lang w:eastAsia="sv-SE"/>
              </w:rPr>
              <w:t>field descriptions</w:t>
            </w:r>
          </w:p>
        </w:tc>
      </w:tr>
      <w:tr w:rsidR="005C7FF4" w:rsidRPr="00FA0D37"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FA0D37" w:rsidRDefault="00394471" w:rsidP="00964CC4">
            <w:pPr>
              <w:pStyle w:val="TAL"/>
              <w:rPr>
                <w:b/>
                <w:i/>
                <w:szCs w:val="22"/>
              </w:rPr>
            </w:pPr>
            <w:r w:rsidRPr="00FA0D37">
              <w:rPr>
                <w:b/>
                <w:i/>
                <w:szCs w:val="22"/>
              </w:rPr>
              <w:t>cellGroupsForSwitchList</w:t>
            </w:r>
          </w:p>
          <w:p w14:paraId="2340EF6C" w14:textId="77777777" w:rsidR="00394471" w:rsidRPr="00FA0D37" w:rsidRDefault="00394471" w:rsidP="00964CC4">
            <w:pPr>
              <w:pStyle w:val="TAL"/>
              <w:rPr>
                <w:lang w:eastAsia="sv-SE"/>
              </w:rPr>
            </w:pPr>
            <w:r w:rsidRPr="00FA0D37">
              <w:rPr>
                <w:bCs/>
                <w:iCs/>
                <w:szCs w:val="22"/>
              </w:rPr>
              <w:t xml:space="preserve">The list of serving cells which are bundled for the search space group switching purpose </w:t>
            </w:r>
            <w:r w:rsidRPr="00FA0D37">
              <w:rPr>
                <w:szCs w:val="22"/>
              </w:rPr>
              <w:t xml:space="preserve">(see TS 38.213 [13], clause 10.4). A serving cell can belong to only one </w:t>
            </w:r>
            <w:r w:rsidRPr="00FA0D37">
              <w:rPr>
                <w:i/>
                <w:iCs/>
                <w:szCs w:val="22"/>
              </w:rPr>
              <w:t>CellGroupForSwitch</w:t>
            </w:r>
            <w:r w:rsidRPr="00FA0D37">
              <w:rPr>
                <w:szCs w:val="22"/>
              </w:rPr>
              <w:t xml:space="preserve">. </w:t>
            </w:r>
            <w:r w:rsidRPr="00FA0D37">
              <w:rPr>
                <w:bCs/>
                <w:iCs/>
                <w:szCs w:val="22"/>
              </w:rPr>
              <w:t xml:space="preserve">The network configures the same list for all BWPs of serving cells in the same </w:t>
            </w:r>
            <w:r w:rsidRPr="00FA0D37">
              <w:rPr>
                <w:bCs/>
                <w:i/>
                <w:iCs/>
                <w:szCs w:val="22"/>
              </w:rPr>
              <w:t>CellGroupForSwitch.</w:t>
            </w:r>
          </w:p>
        </w:tc>
      </w:tr>
      <w:tr w:rsidR="005C7FF4" w:rsidRPr="00FA0D37"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FA0D37" w:rsidRDefault="00394471" w:rsidP="00964CC4">
            <w:pPr>
              <w:pStyle w:val="TAL"/>
              <w:rPr>
                <w:b/>
                <w:i/>
                <w:szCs w:val="22"/>
              </w:rPr>
            </w:pPr>
            <w:r w:rsidRPr="00FA0D37">
              <w:rPr>
                <w:b/>
                <w:i/>
                <w:szCs w:val="22"/>
              </w:rPr>
              <w:t>searchSpaceSwitchDelay</w:t>
            </w:r>
          </w:p>
          <w:p w14:paraId="5E95EF1A" w14:textId="012A148B" w:rsidR="00394471" w:rsidRPr="00FA0D37" w:rsidRDefault="00394471" w:rsidP="00964CC4">
            <w:pPr>
              <w:pStyle w:val="TAL"/>
              <w:rPr>
                <w:szCs w:val="22"/>
                <w:lang w:eastAsia="sv-SE"/>
              </w:rPr>
            </w:pPr>
            <w:r w:rsidRPr="00FA0D37">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FA0D37">
              <w:rPr>
                <w:bCs/>
                <w:i/>
                <w:iCs/>
                <w:szCs w:val="22"/>
              </w:rPr>
              <w:t>CellGroupForSwitch.</w:t>
            </w:r>
            <w:r w:rsidR="005220C9" w:rsidRPr="00FA0D37">
              <w:rPr>
                <w:bCs/>
                <w:szCs w:val="22"/>
              </w:rPr>
              <w:t xml:space="preserve"> For 120/480/960 kHz SCS, only values 40,41, ... 52 are valid and the actual value = </w:t>
            </w:r>
            <w:r w:rsidR="005220C9" w:rsidRPr="00FA0D37">
              <w:rPr>
                <w:rFonts w:eastAsia="宋体" w:cs="Arial"/>
                <w:lang w:eastAsia="zh-CN"/>
              </w:rPr>
              <w:t>field value  * SCS/120 kHz i.e. field value 40 corresponds to 40 with 120 kHz SCS, 160 with 480 kHz SCS and 320 with 960 kHz SCS, and so on.</w:t>
            </w:r>
          </w:p>
        </w:tc>
      </w:tr>
      <w:tr w:rsidR="00F747EB" w:rsidRPr="00FA0D37"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FA0D37" w:rsidRDefault="005220C9" w:rsidP="005220C9">
            <w:pPr>
              <w:pStyle w:val="TAL"/>
              <w:rPr>
                <w:rFonts w:eastAsia="宋体"/>
                <w:b/>
                <w:bCs/>
                <w:i/>
                <w:iCs/>
                <w:lang w:eastAsia="sv-SE"/>
              </w:rPr>
            </w:pPr>
            <w:r w:rsidRPr="00FA0D37">
              <w:rPr>
                <w:rFonts w:eastAsia="宋体"/>
                <w:b/>
                <w:bCs/>
                <w:i/>
                <w:iCs/>
                <w:lang w:eastAsia="sv-SE"/>
              </w:rPr>
              <w:t>searchSpaceSwitchTimer</w:t>
            </w:r>
          </w:p>
          <w:p w14:paraId="218B5CD0" w14:textId="3072E4CD" w:rsidR="005220C9" w:rsidRPr="00FA0D37" w:rsidRDefault="005220C9" w:rsidP="005220C9">
            <w:pPr>
              <w:pStyle w:val="TAL"/>
              <w:rPr>
                <w:b/>
                <w:i/>
                <w:szCs w:val="22"/>
              </w:rPr>
            </w:pPr>
            <w:r w:rsidRPr="00FA0D37">
              <w:rPr>
                <w:szCs w:val="22"/>
                <w:lang w:eastAsia="sv-SE"/>
              </w:rPr>
              <w:t>Timer (</w:t>
            </w:r>
            <w:r w:rsidRPr="00FA0D37">
              <w:rPr>
                <w:szCs w:val="22"/>
                <w:lang w:eastAsia="zh-CN"/>
              </w:rPr>
              <w:t xml:space="preserve">in unit of </w:t>
            </w:r>
            <w:r w:rsidRPr="00FA0D37">
              <w:rPr>
                <w:szCs w:val="22"/>
                <w:lang w:eastAsia="sv-SE"/>
              </w:rPr>
              <w:t>slot</w:t>
            </w:r>
            <w:r w:rsidRPr="00FA0D37">
              <w:rPr>
                <w:szCs w:val="22"/>
                <w:lang w:eastAsia="zh-CN"/>
              </w:rPr>
              <w:t>s</w:t>
            </w:r>
            <w:r w:rsidRPr="00FA0D37">
              <w:rPr>
                <w:szCs w:val="22"/>
                <w:lang w:eastAsia="sv-SE"/>
              </w:rPr>
              <w:t>) to control the UE behavior to switch from search space group X back to search space group 0</w:t>
            </w:r>
            <w:r w:rsidRPr="00FA0D37">
              <w:rPr>
                <w:szCs w:val="22"/>
                <w:lang w:eastAsia="zh-CN"/>
              </w:rPr>
              <w:t xml:space="preserve">, </w:t>
            </w:r>
            <w:r w:rsidRPr="00FA0D37">
              <w:rPr>
                <w:szCs w:val="22"/>
                <w:lang w:eastAsia="sv-SE"/>
              </w:rPr>
              <w:t>as specified in clause 10 of TS 38.213 [13]</w:t>
            </w:r>
            <w:r w:rsidRPr="00FA0D37">
              <w:rPr>
                <w:szCs w:val="22"/>
                <w:lang w:eastAsia="zh-CN"/>
              </w:rPr>
              <w:t>.</w:t>
            </w:r>
            <w:r w:rsidRPr="00FA0D37">
              <w:rPr>
                <w:rFonts w:eastAsia="等线"/>
                <w:szCs w:val="22"/>
                <w:lang w:eastAsia="zh-CN"/>
              </w:rPr>
              <w:t xml:space="preserve"> F</w:t>
            </w:r>
            <w:r w:rsidRPr="00FA0D37">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bl>
    <w:p w14:paraId="3270AF2B" w14:textId="77777777" w:rsidR="00394471" w:rsidRPr="00FA0D37" w:rsidRDefault="00394471" w:rsidP="00394471"/>
    <w:p w14:paraId="27FCC9B5" w14:textId="77777777" w:rsidR="00394471" w:rsidRPr="00FA0D37" w:rsidRDefault="00394471" w:rsidP="00394471">
      <w:pPr>
        <w:pStyle w:val="4"/>
      </w:pPr>
      <w:bookmarkStart w:id="1187" w:name="_Toc60777297"/>
      <w:bookmarkStart w:id="1188" w:name="_Toc146781376"/>
      <w:r w:rsidRPr="00FA0D37">
        <w:t>–</w:t>
      </w:r>
      <w:r w:rsidRPr="00FA0D37">
        <w:tab/>
      </w:r>
      <w:r w:rsidRPr="00FA0D37">
        <w:rPr>
          <w:i/>
        </w:rPr>
        <w:t>PDCCH-ConfigCommon</w:t>
      </w:r>
      <w:bookmarkEnd w:id="1187"/>
      <w:bookmarkEnd w:id="1188"/>
    </w:p>
    <w:p w14:paraId="27D2EA5D" w14:textId="77777777" w:rsidR="00394471" w:rsidRPr="00FA0D37" w:rsidRDefault="00394471" w:rsidP="00394471">
      <w:r w:rsidRPr="00FA0D37">
        <w:t xml:space="preserve">The IE </w:t>
      </w:r>
      <w:r w:rsidRPr="00FA0D37">
        <w:rPr>
          <w:i/>
        </w:rPr>
        <w:t>PDCCH-ConfigCommon</w:t>
      </w:r>
      <w:r w:rsidRPr="00FA0D37">
        <w:t xml:space="preserve"> is used to configure cell specific PDCCH parameters provided in SIB as well as in dedicated signalling.</w:t>
      </w:r>
    </w:p>
    <w:p w14:paraId="6175C1CF" w14:textId="77777777" w:rsidR="00394471" w:rsidRPr="00FA0D37" w:rsidRDefault="00394471" w:rsidP="00394471">
      <w:pPr>
        <w:pStyle w:val="TH"/>
      </w:pPr>
      <w:r w:rsidRPr="00FA0D37">
        <w:rPr>
          <w:i/>
        </w:rPr>
        <w:t>PDCCH-ConfigCommon</w:t>
      </w:r>
      <w:r w:rsidRPr="00FA0D37">
        <w:t xml:space="preserve"> information element</w:t>
      </w:r>
    </w:p>
    <w:p w14:paraId="7D98FBBC" w14:textId="77777777" w:rsidR="00394471" w:rsidRPr="00FA0D37" w:rsidRDefault="00394471" w:rsidP="00FA0D37">
      <w:pPr>
        <w:pStyle w:val="PL"/>
        <w:rPr>
          <w:color w:val="808080"/>
        </w:rPr>
      </w:pPr>
      <w:r w:rsidRPr="00FA0D37">
        <w:rPr>
          <w:color w:val="808080"/>
        </w:rPr>
        <w:t>-- ASN1START</w:t>
      </w:r>
    </w:p>
    <w:p w14:paraId="70FE5DD2" w14:textId="77777777" w:rsidR="00394471" w:rsidRPr="00FA0D37" w:rsidRDefault="00394471" w:rsidP="00FA0D37">
      <w:pPr>
        <w:pStyle w:val="PL"/>
        <w:rPr>
          <w:color w:val="808080"/>
        </w:rPr>
      </w:pPr>
      <w:r w:rsidRPr="00FA0D37">
        <w:rPr>
          <w:color w:val="808080"/>
        </w:rPr>
        <w:t>-- TAG-PDCCH-CONFIGCOMMON-START</w:t>
      </w:r>
    </w:p>
    <w:p w14:paraId="69622B4F" w14:textId="77777777" w:rsidR="00394471" w:rsidRPr="00FA0D37" w:rsidRDefault="00394471" w:rsidP="00FA0D37">
      <w:pPr>
        <w:pStyle w:val="PL"/>
      </w:pPr>
    </w:p>
    <w:p w14:paraId="762476CC" w14:textId="77777777" w:rsidR="00394471" w:rsidRPr="00FA0D37" w:rsidRDefault="00394471" w:rsidP="00FA0D37">
      <w:pPr>
        <w:pStyle w:val="PL"/>
      </w:pPr>
      <w:r w:rsidRPr="00FA0D37">
        <w:t xml:space="preserve">PDCCH-ConfigCommon ::=              </w:t>
      </w:r>
      <w:r w:rsidRPr="00FA0D37">
        <w:rPr>
          <w:color w:val="993366"/>
        </w:rPr>
        <w:t>SEQUENCE</w:t>
      </w:r>
      <w:r w:rsidRPr="00FA0D37">
        <w:t xml:space="preserve"> {</w:t>
      </w:r>
    </w:p>
    <w:p w14:paraId="6FEE6F09" w14:textId="77777777" w:rsidR="00394471" w:rsidRPr="00FA0D37" w:rsidRDefault="00394471" w:rsidP="00FA0D37">
      <w:pPr>
        <w:pStyle w:val="PL"/>
        <w:rPr>
          <w:color w:val="808080"/>
        </w:rPr>
      </w:pPr>
      <w:r w:rsidRPr="00FA0D37">
        <w:t xml:space="preserve">    controlResourceSetZero              ControlResourceSetZero                                  </w:t>
      </w:r>
      <w:r w:rsidRPr="00FA0D37">
        <w:rPr>
          <w:color w:val="993366"/>
        </w:rPr>
        <w:t>OPTIONAL</w:t>
      </w:r>
      <w:r w:rsidRPr="00FA0D37">
        <w:t xml:space="preserve">,   </w:t>
      </w:r>
      <w:r w:rsidRPr="00FA0D37">
        <w:rPr>
          <w:color w:val="808080"/>
        </w:rPr>
        <w:t>-- Cond InitialBWP-Only</w:t>
      </w:r>
    </w:p>
    <w:p w14:paraId="2926A116" w14:textId="77777777" w:rsidR="00394471" w:rsidRPr="00FA0D37" w:rsidRDefault="00394471" w:rsidP="00FA0D37">
      <w:pPr>
        <w:pStyle w:val="PL"/>
        <w:rPr>
          <w:color w:val="808080"/>
        </w:rPr>
      </w:pPr>
      <w:r w:rsidRPr="00FA0D37">
        <w:t xml:space="preserve">    commonControlResourceSet            ControlResourceSet                                      </w:t>
      </w:r>
      <w:r w:rsidRPr="00FA0D37">
        <w:rPr>
          <w:color w:val="993366"/>
        </w:rPr>
        <w:t>OPTIONAL</w:t>
      </w:r>
      <w:r w:rsidRPr="00FA0D37">
        <w:t xml:space="preserve">,   </w:t>
      </w:r>
      <w:r w:rsidRPr="00FA0D37">
        <w:rPr>
          <w:color w:val="808080"/>
        </w:rPr>
        <w:t>-- Need R</w:t>
      </w:r>
    </w:p>
    <w:p w14:paraId="49FE835C" w14:textId="77777777" w:rsidR="00394471" w:rsidRPr="00FA0D37" w:rsidRDefault="00394471" w:rsidP="00FA0D37">
      <w:pPr>
        <w:pStyle w:val="PL"/>
        <w:rPr>
          <w:color w:val="808080"/>
        </w:rPr>
      </w:pPr>
      <w:r w:rsidRPr="00FA0D37">
        <w:t xml:space="preserve">    searchSpaceZero                     SearchSpaceZero                                         </w:t>
      </w:r>
      <w:r w:rsidRPr="00FA0D37">
        <w:rPr>
          <w:color w:val="993366"/>
        </w:rPr>
        <w:t>OPTIONAL</w:t>
      </w:r>
      <w:r w:rsidRPr="00FA0D37">
        <w:t xml:space="preserve">,   </w:t>
      </w:r>
      <w:r w:rsidRPr="00FA0D37">
        <w:rPr>
          <w:color w:val="808080"/>
        </w:rPr>
        <w:t>-- Cond InitialBWP-Only</w:t>
      </w:r>
    </w:p>
    <w:p w14:paraId="44024D5E" w14:textId="77777777" w:rsidR="00394471" w:rsidRPr="00FA0D37" w:rsidRDefault="00394471" w:rsidP="00FA0D37">
      <w:pPr>
        <w:pStyle w:val="PL"/>
        <w:rPr>
          <w:color w:val="808080"/>
        </w:rPr>
      </w:pPr>
      <w:r w:rsidRPr="00FA0D37">
        <w:t xml:space="preserve">    commonSearchSpaceList               </w:t>
      </w:r>
      <w:r w:rsidRPr="00FA0D37">
        <w:rPr>
          <w:color w:val="993366"/>
        </w:rPr>
        <w:t>SEQUENCE</w:t>
      </w:r>
      <w:r w:rsidRPr="00FA0D37">
        <w:t xml:space="preserve"> (</w:t>
      </w:r>
      <w:r w:rsidRPr="00FA0D37">
        <w:rPr>
          <w:color w:val="993366"/>
        </w:rPr>
        <w:t>SIZE</w:t>
      </w:r>
      <w:r w:rsidRPr="00FA0D37">
        <w:t>(1..4))</w:t>
      </w:r>
      <w:r w:rsidRPr="00FA0D37">
        <w:rPr>
          <w:color w:val="993366"/>
        </w:rPr>
        <w:t xml:space="preserve"> OF</w:t>
      </w:r>
      <w:r w:rsidRPr="00FA0D37">
        <w:t xml:space="preserve"> SearchSpace                    </w:t>
      </w:r>
      <w:r w:rsidRPr="00FA0D37">
        <w:rPr>
          <w:color w:val="993366"/>
        </w:rPr>
        <w:t>OPTIONAL</w:t>
      </w:r>
      <w:r w:rsidRPr="00FA0D37">
        <w:t xml:space="preserve">,   </w:t>
      </w:r>
      <w:r w:rsidRPr="00FA0D37">
        <w:rPr>
          <w:color w:val="808080"/>
        </w:rPr>
        <w:t>-- Need R</w:t>
      </w:r>
    </w:p>
    <w:p w14:paraId="275EED09" w14:textId="77777777" w:rsidR="00394471" w:rsidRPr="00FA0D37" w:rsidRDefault="00394471" w:rsidP="00FA0D37">
      <w:pPr>
        <w:pStyle w:val="PL"/>
        <w:rPr>
          <w:color w:val="808080"/>
        </w:rPr>
      </w:pPr>
      <w:r w:rsidRPr="00FA0D37">
        <w:t xml:space="preserve">    searchSpaceSIB1                     SearchSpaceId                                           </w:t>
      </w:r>
      <w:r w:rsidRPr="00FA0D37">
        <w:rPr>
          <w:color w:val="993366"/>
        </w:rPr>
        <w:t>OPTIONAL</w:t>
      </w:r>
      <w:r w:rsidRPr="00FA0D37">
        <w:t xml:space="preserve">,   </w:t>
      </w:r>
      <w:r w:rsidRPr="00FA0D37">
        <w:rPr>
          <w:color w:val="808080"/>
        </w:rPr>
        <w:t>-- Need S</w:t>
      </w:r>
    </w:p>
    <w:p w14:paraId="7FB83C98" w14:textId="77777777" w:rsidR="00394471" w:rsidRPr="00FA0D37" w:rsidRDefault="00394471" w:rsidP="00FA0D37">
      <w:pPr>
        <w:pStyle w:val="PL"/>
        <w:rPr>
          <w:color w:val="808080"/>
        </w:rPr>
      </w:pPr>
      <w:r w:rsidRPr="00FA0D37">
        <w:t xml:space="preserve">    searchSpaceOtherSystemInformation   SearchSpaceId                                           </w:t>
      </w:r>
      <w:r w:rsidRPr="00FA0D37">
        <w:rPr>
          <w:color w:val="993366"/>
        </w:rPr>
        <w:t>OPTIONAL</w:t>
      </w:r>
      <w:r w:rsidRPr="00FA0D37">
        <w:t xml:space="preserve">,   </w:t>
      </w:r>
      <w:r w:rsidRPr="00FA0D37">
        <w:rPr>
          <w:color w:val="808080"/>
        </w:rPr>
        <w:t>-- Need S</w:t>
      </w:r>
    </w:p>
    <w:p w14:paraId="59F99A9D" w14:textId="77777777" w:rsidR="00394471" w:rsidRPr="00FA0D37" w:rsidRDefault="00394471" w:rsidP="00FA0D37">
      <w:pPr>
        <w:pStyle w:val="PL"/>
        <w:rPr>
          <w:color w:val="808080"/>
        </w:rPr>
      </w:pPr>
      <w:r w:rsidRPr="00FA0D37">
        <w:t xml:space="preserve">    pagingSearchSpace                   SearchSpaceId                                           </w:t>
      </w:r>
      <w:r w:rsidRPr="00FA0D37">
        <w:rPr>
          <w:color w:val="993366"/>
        </w:rPr>
        <w:t>OPTIONAL</w:t>
      </w:r>
      <w:r w:rsidRPr="00FA0D37">
        <w:t xml:space="preserve">,   </w:t>
      </w:r>
      <w:r w:rsidRPr="00FA0D37">
        <w:rPr>
          <w:color w:val="808080"/>
        </w:rPr>
        <w:t>-- Need S</w:t>
      </w:r>
    </w:p>
    <w:p w14:paraId="57AD5B91" w14:textId="77777777" w:rsidR="00394471" w:rsidRPr="00FA0D37" w:rsidRDefault="00394471" w:rsidP="00FA0D37">
      <w:pPr>
        <w:pStyle w:val="PL"/>
        <w:rPr>
          <w:color w:val="808080"/>
        </w:rPr>
      </w:pPr>
      <w:r w:rsidRPr="00FA0D37">
        <w:t xml:space="preserve">    ra-SearchSpace                      SearchSpaceId                                           </w:t>
      </w:r>
      <w:r w:rsidRPr="00FA0D37">
        <w:rPr>
          <w:color w:val="993366"/>
        </w:rPr>
        <w:t>OPTIONAL</w:t>
      </w:r>
      <w:r w:rsidRPr="00FA0D37">
        <w:t xml:space="preserve">,   </w:t>
      </w:r>
      <w:r w:rsidRPr="00FA0D37">
        <w:rPr>
          <w:color w:val="808080"/>
        </w:rPr>
        <w:t>-- Need S</w:t>
      </w:r>
    </w:p>
    <w:p w14:paraId="309E9E0C" w14:textId="77777777" w:rsidR="00394471" w:rsidRPr="00FA0D37" w:rsidRDefault="00394471" w:rsidP="00FA0D37">
      <w:pPr>
        <w:pStyle w:val="PL"/>
      </w:pPr>
      <w:r w:rsidRPr="00FA0D37">
        <w:t xml:space="preserve">    ...,</w:t>
      </w:r>
    </w:p>
    <w:p w14:paraId="5021FA11" w14:textId="77777777" w:rsidR="00394471" w:rsidRPr="00FA0D37" w:rsidRDefault="00394471" w:rsidP="00FA0D37">
      <w:pPr>
        <w:pStyle w:val="PL"/>
      </w:pPr>
      <w:r w:rsidRPr="00FA0D37">
        <w:t xml:space="preserve">    [[</w:t>
      </w:r>
    </w:p>
    <w:p w14:paraId="4283317F" w14:textId="77777777" w:rsidR="00394471" w:rsidRPr="00FA0D37" w:rsidRDefault="00394471" w:rsidP="00FA0D37">
      <w:pPr>
        <w:pStyle w:val="PL"/>
      </w:pPr>
      <w:r w:rsidRPr="00FA0D37">
        <w:t xml:space="preserve">    firstPDCCH-MonitoringOccasionOfPO   </w:t>
      </w:r>
      <w:r w:rsidRPr="00FA0D37">
        <w:rPr>
          <w:color w:val="993366"/>
        </w:rPr>
        <w:t>CHOICE</w:t>
      </w:r>
      <w:r w:rsidRPr="00FA0D37">
        <w:t xml:space="preserve"> {</w:t>
      </w:r>
    </w:p>
    <w:p w14:paraId="3E0EAE60" w14:textId="77777777" w:rsidR="00394471" w:rsidRPr="00FA0D37" w:rsidRDefault="00394471" w:rsidP="00FA0D37">
      <w:pPr>
        <w:pStyle w:val="PL"/>
      </w:pPr>
      <w:r w:rsidRPr="00FA0D37">
        <w:t xml:space="preserve">        sCS15KHZoneT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(0..139),</w:t>
      </w:r>
    </w:p>
    <w:p w14:paraId="54447F87" w14:textId="77777777" w:rsidR="00394471" w:rsidRPr="00FA0D37" w:rsidRDefault="00394471" w:rsidP="00FA0D37">
      <w:pPr>
        <w:pStyle w:val="PL"/>
      </w:pPr>
      <w:r w:rsidRPr="00FA0D37">
        <w:t xml:space="preserve">        sCS30KHZoneT-SCS15KHZhalfT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(0..279),</w:t>
      </w:r>
    </w:p>
    <w:p w14:paraId="62DD3209" w14:textId="77777777" w:rsidR="00394471" w:rsidRPr="00FA0D37" w:rsidRDefault="00394471" w:rsidP="00FA0D37">
      <w:pPr>
        <w:pStyle w:val="PL"/>
      </w:pPr>
      <w:r w:rsidRPr="00FA0D37">
        <w:t xml:space="preserve">        sCS60KHZoneT-SCS30KHZhalfT-SCS15KHZquarterT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(0..559),</w:t>
      </w:r>
    </w:p>
    <w:p w14:paraId="5AD574DC" w14:textId="77777777" w:rsidR="00394471" w:rsidRPr="00FA0D37" w:rsidRDefault="00394471" w:rsidP="00FA0D37">
      <w:pPr>
        <w:pStyle w:val="PL"/>
      </w:pPr>
      <w:r w:rsidRPr="00FA0D37">
        <w:t xml:space="preserve">        sCS120KHZoneT-SCS60KHZhalfT-SCS30KHZquarterT-SCS15KHZoneEighthT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(0..1119),</w:t>
      </w:r>
    </w:p>
    <w:p w14:paraId="49F103D9" w14:textId="77777777" w:rsidR="00394471" w:rsidRPr="00FA0D37" w:rsidRDefault="00394471" w:rsidP="00FA0D37">
      <w:pPr>
        <w:pStyle w:val="PL"/>
      </w:pPr>
      <w:r w:rsidRPr="00FA0D37">
        <w:t xml:space="preserve">        sCS120KHZhalfT-SCS60KHZquarterT-SCS30KHZoneEighthT-SCS15KHZoneSixteenthT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(0..2239),</w:t>
      </w:r>
    </w:p>
    <w:p w14:paraId="3E2D7333" w14:textId="77777777" w:rsidR="00394471" w:rsidRPr="00FA0D37" w:rsidRDefault="00394471" w:rsidP="00FA0D37">
      <w:pPr>
        <w:pStyle w:val="PL"/>
      </w:pPr>
      <w:r w:rsidRPr="00FA0D37">
        <w:t xml:space="preserve">        sCS120KHZquarterT-SCS60KHZoneEighthT-SCS30KHZoneSixteenthT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(0..4479),</w:t>
      </w:r>
    </w:p>
    <w:p w14:paraId="70A93D6C" w14:textId="77777777" w:rsidR="00394471" w:rsidRPr="00FA0D37" w:rsidRDefault="00394471" w:rsidP="00FA0D37">
      <w:pPr>
        <w:pStyle w:val="PL"/>
      </w:pPr>
      <w:r w:rsidRPr="00FA0D37">
        <w:t xml:space="preserve">        sCS120KHZoneEighthT-SCS60KHZoneSixteenthT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(0..8959),</w:t>
      </w:r>
    </w:p>
    <w:p w14:paraId="27A64688" w14:textId="77777777" w:rsidR="00394471" w:rsidRPr="00FA0D37" w:rsidRDefault="00394471" w:rsidP="00FA0D37">
      <w:pPr>
        <w:pStyle w:val="PL"/>
      </w:pPr>
      <w:r w:rsidRPr="00FA0D37">
        <w:t xml:space="preserve">        sCS120KHZoneSixteenthT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(0..17919)</w:t>
      </w:r>
    </w:p>
    <w:p w14:paraId="30EC9145"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OtherBWP</w:t>
      </w:r>
    </w:p>
    <w:p w14:paraId="7E8DD0F0" w14:textId="77777777" w:rsidR="00394471" w:rsidRPr="00FA0D37" w:rsidRDefault="00394471" w:rsidP="00FA0D37">
      <w:pPr>
        <w:pStyle w:val="PL"/>
      </w:pPr>
      <w:r w:rsidRPr="00FA0D37">
        <w:t xml:space="preserve">    ]],</w:t>
      </w:r>
    </w:p>
    <w:p w14:paraId="21959554" w14:textId="77777777" w:rsidR="00394471" w:rsidRPr="00FA0D37" w:rsidRDefault="00394471" w:rsidP="00FA0D37">
      <w:pPr>
        <w:pStyle w:val="PL"/>
      </w:pPr>
      <w:r w:rsidRPr="00FA0D37">
        <w:lastRenderedPageBreak/>
        <w:t xml:space="preserve">    [[</w:t>
      </w:r>
    </w:p>
    <w:p w14:paraId="028E8106" w14:textId="77777777" w:rsidR="00394471" w:rsidRPr="00FA0D37" w:rsidRDefault="00394471" w:rsidP="00FA0D37">
      <w:pPr>
        <w:pStyle w:val="PL"/>
        <w:rPr>
          <w:color w:val="808080"/>
        </w:rPr>
      </w:pPr>
      <w:r w:rsidRPr="00FA0D37">
        <w:t xml:space="preserve">    commonSearchSpaceListExt-r16                                             </w:t>
      </w:r>
      <w:r w:rsidRPr="00FA0D37">
        <w:rPr>
          <w:color w:val="993366"/>
        </w:rPr>
        <w:t>SEQUENCE</w:t>
      </w:r>
      <w:r w:rsidRPr="00FA0D37">
        <w:t xml:space="preserve"> (</w:t>
      </w:r>
      <w:r w:rsidRPr="00FA0D37">
        <w:rPr>
          <w:color w:val="993366"/>
        </w:rPr>
        <w:t>SIZE</w:t>
      </w:r>
      <w:r w:rsidRPr="00FA0D37">
        <w:t>(1..4))</w:t>
      </w:r>
      <w:r w:rsidRPr="00FA0D37">
        <w:rPr>
          <w:color w:val="993366"/>
        </w:rPr>
        <w:t xml:space="preserve"> OF</w:t>
      </w:r>
      <w:r w:rsidRPr="00FA0D37">
        <w:t xml:space="preserve"> SearchSpaceExt-r16     </w:t>
      </w:r>
      <w:r w:rsidRPr="00FA0D37">
        <w:rPr>
          <w:color w:val="993366"/>
        </w:rPr>
        <w:t>OPTIONAL</w:t>
      </w:r>
      <w:r w:rsidRPr="00FA0D37">
        <w:t xml:space="preserve">  </w:t>
      </w:r>
      <w:r w:rsidRPr="00FA0D37">
        <w:rPr>
          <w:color w:val="808080"/>
        </w:rPr>
        <w:t>-- Need R</w:t>
      </w:r>
    </w:p>
    <w:p w14:paraId="1D958298" w14:textId="4116856B" w:rsidR="00870415" w:rsidRPr="00FA0D37" w:rsidRDefault="00394471" w:rsidP="00FA0D37">
      <w:pPr>
        <w:pStyle w:val="PL"/>
      </w:pPr>
      <w:r w:rsidRPr="00FA0D37">
        <w:t xml:space="preserve">    ]]</w:t>
      </w:r>
      <w:r w:rsidR="00870415" w:rsidRPr="00FA0D37">
        <w:t>,</w:t>
      </w:r>
    </w:p>
    <w:p w14:paraId="0BBFB79F" w14:textId="77777777" w:rsidR="00870415" w:rsidRPr="00FA0D37" w:rsidRDefault="00870415" w:rsidP="00FA0D37">
      <w:pPr>
        <w:pStyle w:val="PL"/>
      </w:pPr>
      <w:r w:rsidRPr="00FA0D37">
        <w:t xml:space="preserve">    [[</w:t>
      </w:r>
    </w:p>
    <w:p w14:paraId="443AC2C5" w14:textId="77777777" w:rsidR="004E3A21" w:rsidRPr="00FA0D37" w:rsidRDefault="00870415" w:rsidP="00FA0D37">
      <w:pPr>
        <w:pStyle w:val="PL"/>
      </w:pPr>
      <w:r w:rsidRPr="00FA0D37">
        <w:t xml:space="preserve">    sdt-SearchSpace-r17                 </w:t>
      </w:r>
      <w:r w:rsidR="004E3A21" w:rsidRPr="00FA0D37">
        <w:rPr>
          <w:color w:val="993366"/>
        </w:rPr>
        <w:t>CHOICE</w:t>
      </w:r>
      <w:r w:rsidR="004E3A21" w:rsidRPr="00FA0D37">
        <w:t xml:space="preserve"> {</w:t>
      </w:r>
    </w:p>
    <w:p w14:paraId="77DB861F" w14:textId="77777777" w:rsidR="004E3A21" w:rsidRPr="00FA0D37" w:rsidRDefault="004E3A21" w:rsidP="00FA0D37">
      <w:pPr>
        <w:pStyle w:val="PL"/>
      </w:pPr>
      <w:r w:rsidRPr="00FA0D37">
        <w:t xml:space="preserve">        newSearchSpace                      </w:t>
      </w:r>
      <w:r w:rsidR="00870415" w:rsidRPr="00FA0D37">
        <w:t>SearchSpace</w:t>
      </w:r>
      <w:r w:rsidRPr="00FA0D37">
        <w:t>,</w:t>
      </w:r>
    </w:p>
    <w:p w14:paraId="3BB54860" w14:textId="1862D6FC" w:rsidR="004E3A21" w:rsidRPr="00FA0D37" w:rsidRDefault="004E3A21" w:rsidP="00FA0D37">
      <w:pPr>
        <w:pStyle w:val="PL"/>
      </w:pPr>
      <w:r w:rsidRPr="00FA0D37">
        <w:t xml:space="preserve">        existingSearchSpace                 SearchSpaceId</w:t>
      </w:r>
    </w:p>
    <w:p w14:paraId="54F3FD4B" w14:textId="34A6611E" w:rsidR="00870415" w:rsidRPr="00FA0D37" w:rsidRDefault="004E3A21" w:rsidP="00FA0D37">
      <w:pPr>
        <w:pStyle w:val="PL"/>
        <w:rPr>
          <w:color w:val="808080"/>
        </w:rPr>
      </w:pPr>
      <w:r w:rsidRPr="00FA0D37">
        <w:t xml:space="preserve">    }                                              </w:t>
      </w:r>
      <w:r w:rsidR="00870415" w:rsidRPr="00FA0D37">
        <w:t xml:space="preserve">                                             </w:t>
      </w:r>
      <w:r w:rsidR="00870415" w:rsidRPr="00FA0D37">
        <w:rPr>
          <w:color w:val="993366"/>
        </w:rPr>
        <w:t>OPTIONAL</w:t>
      </w:r>
      <w:r w:rsidR="00CE6FBC" w:rsidRPr="00FA0D37">
        <w:t>,</w:t>
      </w:r>
      <w:r w:rsidR="00870415" w:rsidRPr="00FA0D37">
        <w:t xml:space="preserve">   </w:t>
      </w:r>
      <w:r w:rsidR="00870415" w:rsidRPr="00FA0D37">
        <w:rPr>
          <w:color w:val="808080"/>
        </w:rPr>
        <w:t>-- Need R</w:t>
      </w:r>
    </w:p>
    <w:p w14:paraId="75C8BDDC" w14:textId="2105CF1C" w:rsidR="00CE6FBC" w:rsidRPr="00FA0D37" w:rsidRDefault="00CE6FBC" w:rsidP="00FA0D37">
      <w:pPr>
        <w:pStyle w:val="PL"/>
        <w:rPr>
          <w:color w:val="808080"/>
        </w:rPr>
      </w:pPr>
      <w:r w:rsidRPr="00FA0D37">
        <w:t xml:space="preserve">    searchSpaceMCCH-r17                 SearchSpaceId                                           </w:t>
      </w:r>
      <w:r w:rsidRPr="00FA0D37">
        <w:rPr>
          <w:color w:val="993366"/>
        </w:rPr>
        <w:t>OPTIONAL</w:t>
      </w:r>
      <w:r w:rsidRPr="00FA0D37">
        <w:t xml:space="preserve">,   </w:t>
      </w:r>
      <w:r w:rsidRPr="00FA0D37">
        <w:rPr>
          <w:color w:val="808080"/>
        </w:rPr>
        <w:t>-- Need R</w:t>
      </w:r>
    </w:p>
    <w:p w14:paraId="31289FA0" w14:textId="63550579" w:rsidR="00CE6FBC" w:rsidRPr="00FA0D37" w:rsidRDefault="00CE6FBC" w:rsidP="00FA0D37">
      <w:pPr>
        <w:pStyle w:val="PL"/>
        <w:rPr>
          <w:color w:val="808080"/>
        </w:rPr>
      </w:pPr>
      <w:r w:rsidRPr="00FA0D37">
        <w:t xml:space="preserve">    searchSpaceMTCH-r17                 SearchSpaceId                                           </w:t>
      </w:r>
      <w:r w:rsidRPr="00FA0D37">
        <w:rPr>
          <w:color w:val="993366"/>
        </w:rPr>
        <w:t>OPTIONAL</w:t>
      </w:r>
      <w:r w:rsidRPr="00FA0D37">
        <w:t xml:space="preserve">,   </w:t>
      </w:r>
      <w:r w:rsidRPr="00FA0D37">
        <w:rPr>
          <w:color w:val="808080"/>
        </w:rPr>
        <w:t>-- Need S</w:t>
      </w:r>
    </w:p>
    <w:p w14:paraId="7E809CF4" w14:textId="450F2ACB" w:rsidR="00CE6FBC" w:rsidRPr="00FA0D37" w:rsidRDefault="00CE6FBC" w:rsidP="00FA0D37">
      <w:pPr>
        <w:pStyle w:val="PL"/>
        <w:rPr>
          <w:color w:val="808080"/>
        </w:rPr>
      </w:pPr>
      <w:r w:rsidRPr="00FA0D37">
        <w:t xml:space="preserve">    commonSearchSpaceListExt2-r17       </w:t>
      </w:r>
      <w:r w:rsidRPr="00FA0D37">
        <w:rPr>
          <w:color w:val="993366"/>
        </w:rPr>
        <w:t>SEQUENCE</w:t>
      </w:r>
      <w:r w:rsidRPr="00FA0D37">
        <w:t xml:space="preserve"> (</w:t>
      </w:r>
      <w:r w:rsidRPr="00FA0D37">
        <w:rPr>
          <w:color w:val="993366"/>
        </w:rPr>
        <w:t>SIZE</w:t>
      </w:r>
      <w:r w:rsidRPr="00FA0D37">
        <w:t>(1..4))</w:t>
      </w:r>
      <w:r w:rsidRPr="00FA0D37">
        <w:rPr>
          <w:color w:val="993366"/>
        </w:rPr>
        <w:t xml:space="preserve"> OF</w:t>
      </w:r>
      <w:r w:rsidRPr="00FA0D37">
        <w:t xml:space="preserve"> SearchSpaceExt-</w:t>
      </w:r>
      <w:r w:rsidR="00655B5E" w:rsidRPr="00FA0D37">
        <w:t>v</w:t>
      </w:r>
      <w:r w:rsidRPr="00FA0D37">
        <w:t>17</w:t>
      </w:r>
      <w:r w:rsidR="00655B5E" w:rsidRPr="00FA0D37">
        <w:t>00</w:t>
      </w:r>
      <w:r w:rsidRPr="00FA0D37">
        <w:t xml:space="preserve">           </w:t>
      </w:r>
      <w:r w:rsidRPr="00FA0D37">
        <w:rPr>
          <w:color w:val="993366"/>
        </w:rPr>
        <w:t>OPTIONAL</w:t>
      </w:r>
      <w:r w:rsidR="00655B5E" w:rsidRPr="00FA0D37">
        <w:t>,</w:t>
      </w:r>
      <w:r w:rsidRPr="00FA0D37">
        <w:t xml:space="preserve">   </w:t>
      </w:r>
      <w:r w:rsidRPr="00FA0D37">
        <w:rPr>
          <w:color w:val="808080"/>
        </w:rPr>
        <w:t>-- Need R</w:t>
      </w:r>
    </w:p>
    <w:p w14:paraId="042182DC" w14:textId="3079B9AE" w:rsidR="00655B5E" w:rsidRPr="00FA0D37" w:rsidRDefault="00655B5E" w:rsidP="00FA0D37">
      <w:pPr>
        <w:pStyle w:val="PL"/>
      </w:pPr>
      <w:r w:rsidRPr="00FA0D37">
        <w:t xml:space="preserve">    firstPDCCH-MonitoringOccasionOfPO-v1710 </w:t>
      </w:r>
      <w:r w:rsidRPr="00FA0D37">
        <w:rPr>
          <w:color w:val="993366"/>
        </w:rPr>
        <w:t>CHOICE</w:t>
      </w:r>
      <w:r w:rsidRPr="00FA0D37">
        <w:t xml:space="preserve"> {</w:t>
      </w:r>
    </w:p>
    <w:p w14:paraId="14A5DD29" w14:textId="07DDA551" w:rsidR="00655B5E" w:rsidRPr="00FA0D37" w:rsidRDefault="00655B5E" w:rsidP="00FA0D37">
      <w:pPr>
        <w:pStyle w:val="PL"/>
      </w:pPr>
      <w:r w:rsidRPr="00FA0D37">
        <w:t xml:space="preserve">       sCS480KHZoneEighthT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(0..35839),</w:t>
      </w:r>
    </w:p>
    <w:p w14:paraId="3A2219F4" w14:textId="5BA829FA" w:rsidR="00655B5E" w:rsidRPr="00FA0D37" w:rsidRDefault="00655B5E" w:rsidP="00FA0D37">
      <w:pPr>
        <w:pStyle w:val="PL"/>
      </w:pPr>
      <w:r w:rsidRPr="00FA0D37">
        <w:t xml:space="preserve">       sCS480KHZoneSixteenthT                   </w:t>
      </w:r>
      <w:r w:rsidRPr="00FA0D37">
        <w:rPr>
          <w:color w:val="993366"/>
        </w:rPr>
        <w:t>SEQUENCE</w:t>
      </w:r>
      <w:r w:rsidRPr="00FA0D37">
        <w:t xml:space="preserve"> (</w:t>
      </w:r>
      <w:r w:rsidRPr="00FA0D37">
        <w:rPr>
          <w:color w:val="993366"/>
        </w:rPr>
        <w:t>SIZE</w:t>
      </w:r>
      <w:r w:rsidRPr="00FA0D37">
        <w:t xml:space="preserve"> (1..maxPO-perPF))</w:t>
      </w:r>
      <w:r w:rsidRPr="00FA0D37">
        <w:rPr>
          <w:color w:val="993366"/>
        </w:rPr>
        <w:t xml:space="preserve"> OF</w:t>
      </w:r>
      <w:r w:rsidRPr="00FA0D37">
        <w:t xml:space="preserve"> </w:t>
      </w:r>
      <w:r w:rsidRPr="00FA0D37">
        <w:rPr>
          <w:color w:val="993366"/>
        </w:rPr>
        <w:t>INTEGER</w:t>
      </w:r>
      <w:r w:rsidRPr="00FA0D37">
        <w:t xml:space="preserve"> (0..71679)</w:t>
      </w:r>
    </w:p>
    <w:p w14:paraId="494A77FD" w14:textId="71E97FDD" w:rsidR="00655B5E" w:rsidRPr="00FA0D37" w:rsidRDefault="00655B5E" w:rsidP="00FA0D37">
      <w:pPr>
        <w:pStyle w:val="PL"/>
        <w:rPr>
          <w:color w:val="808080"/>
        </w:rPr>
      </w:pPr>
      <w:r w:rsidRPr="00FA0D37">
        <w:t xml:space="preserve">    }                                                                                           </w:t>
      </w:r>
      <w:r w:rsidRPr="00FA0D37">
        <w:rPr>
          <w:color w:val="993366"/>
        </w:rPr>
        <w:t>OPTIONAL</w:t>
      </w:r>
      <w:r w:rsidR="004D1E3D" w:rsidRPr="00FA0D37">
        <w:t>,</w:t>
      </w:r>
      <w:r w:rsidRPr="00FA0D37">
        <w:t xml:space="preserve">   </w:t>
      </w:r>
      <w:r w:rsidRPr="00FA0D37">
        <w:rPr>
          <w:color w:val="808080"/>
        </w:rPr>
        <w:t>-- Need R</w:t>
      </w:r>
    </w:p>
    <w:p w14:paraId="5185FB9F" w14:textId="26D91D0B" w:rsidR="005220C9" w:rsidRPr="00FA0D37" w:rsidRDefault="005220C9" w:rsidP="00FA0D37">
      <w:pPr>
        <w:pStyle w:val="PL"/>
      </w:pPr>
      <w:r w:rsidRPr="00FA0D37">
        <w:t xml:space="preserve">    pei-ConfigBWP-r17</w:t>
      </w:r>
      <w:r w:rsidR="001C0233" w:rsidRPr="00FA0D37">
        <w:t xml:space="preserve">      </w:t>
      </w:r>
      <w:r w:rsidRPr="00FA0D37">
        <w:rPr>
          <w:color w:val="993366"/>
        </w:rPr>
        <w:t>SEQUENCE</w:t>
      </w:r>
      <w:r w:rsidRPr="00FA0D37">
        <w:t xml:space="preserve"> {</w:t>
      </w:r>
    </w:p>
    <w:p w14:paraId="1C12D483" w14:textId="75937B41" w:rsidR="005220C9" w:rsidRPr="00FA0D37" w:rsidRDefault="005220C9" w:rsidP="00FA0D37">
      <w:pPr>
        <w:pStyle w:val="PL"/>
      </w:pPr>
      <w:r w:rsidRPr="00FA0D37">
        <w:t xml:space="preserve">        pei-SearchSpace-r17                 SearchSpaceId,</w:t>
      </w:r>
    </w:p>
    <w:p w14:paraId="196F5F96" w14:textId="6764F046" w:rsidR="005220C9" w:rsidRPr="00FA0D37" w:rsidRDefault="005220C9" w:rsidP="00FA0D37">
      <w:pPr>
        <w:pStyle w:val="PL"/>
      </w:pPr>
      <w:r w:rsidRPr="00FA0D37">
        <w:t xml:space="preserve">        firstPDCCH-MonitoringOccasionOfPEI-O-r17  </w:t>
      </w:r>
      <w:r w:rsidRPr="00FA0D37">
        <w:rPr>
          <w:color w:val="993366"/>
        </w:rPr>
        <w:t>CHOICE</w:t>
      </w:r>
      <w:r w:rsidRPr="00FA0D37">
        <w:t xml:space="preserve"> {</w:t>
      </w:r>
    </w:p>
    <w:p w14:paraId="60B2C798" w14:textId="723C07C9" w:rsidR="005220C9" w:rsidRPr="00FA0D37" w:rsidRDefault="005220C9" w:rsidP="00FA0D37">
      <w:pPr>
        <w:pStyle w:val="PL"/>
      </w:pPr>
      <w:r w:rsidRPr="00FA0D37">
        <w:t xml:space="preserve">            sCS15KHZoneT                                                 </w:t>
      </w:r>
      <w:r w:rsidR="004D1E3D" w:rsidRPr="00FA0D37">
        <w:t xml:space="preserve">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(0..139),</w:t>
      </w:r>
    </w:p>
    <w:p w14:paraId="45A004B6" w14:textId="04038D3B" w:rsidR="005220C9" w:rsidRPr="00FA0D37" w:rsidRDefault="005220C9" w:rsidP="00FA0D37">
      <w:pPr>
        <w:pStyle w:val="PL"/>
      </w:pPr>
      <w:r w:rsidRPr="00FA0D37">
        <w:t xml:space="preserve">            sCS30KHZoneT-SCS15KHZhalfT                                   </w:t>
      </w:r>
      <w:r w:rsidR="004D1E3D" w:rsidRPr="00FA0D37">
        <w:t xml:space="preserve">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(0..279),</w:t>
      </w:r>
    </w:p>
    <w:p w14:paraId="26E18293" w14:textId="174DB06E" w:rsidR="005220C9" w:rsidRPr="00FA0D37" w:rsidRDefault="005220C9" w:rsidP="00FA0D37">
      <w:pPr>
        <w:pStyle w:val="PL"/>
      </w:pPr>
      <w:r w:rsidRPr="00FA0D37">
        <w:t xml:space="preserve">            sCS60KHZoneT-SCS30KHZhalfT-SCS15KHZquarterT                  </w:t>
      </w:r>
      <w:r w:rsidR="004D1E3D" w:rsidRPr="00FA0D37">
        <w:t xml:space="preserve">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(0..559),</w:t>
      </w:r>
    </w:p>
    <w:p w14:paraId="345B0DAE" w14:textId="1A7634F2" w:rsidR="005220C9" w:rsidRPr="00FA0D37" w:rsidRDefault="005220C9" w:rsidP="00FA0D37">
      <w:pPr>
        <w:pStyle w:val="PL"/>
      </w:pPr>
      <w:r w:rsidRPr="00FA0D37">
        <w:t xml:space="preserve">            sCS120KHZoneT-SCS60KHZhalfT-SCS30KHZquarterT-SCS15KHZoneEighthT </w:t>
      </w:r>
      <w:r w:rsidR="004D1E3D" w:rsidRPr="00FA0D37">
        <w:t xml:space="preserve">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(0..1119),</w:t>
      </w:r>
    </w:p>
    <w:p w14:paraId="2428A29B" w14:textId="43D9D83E" w:rsidR="005220C9" w:rsidRPr="00FA0D37" w:rsidRDefault="005220C9" w:rsidP="00FA0D37">
      <w:pPr>
        <w:pStyle w:val="PL"/>
      </w:pPr>
      <w:r w:rsidRPr="00FA0D37">
        <w:t xml:space="preserve">            sCS120KHZhalfT-SCS60KHZquarterT-SCS30KHZoneEighthT-SCS15KHZoneSixteenthT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(0..2239),</w:t>
      </w:r>
    </w:p>
    <w:p w14:paraId="45F2D858" w14:textId="55BB7C09" w:rsidR="005220C9" w:rsidRPr="00FA0D37" w:rsidRDefault="005220C9" w:rsidP="00FA0D37">
      <w:pPr>
        <w:pStyle w:val="PL"/>
      </w:pPr>
      <w:r w:rsidRPr="00FA0D37">
        <w:t xml:space="preserve">            </w:t>
      </w:r>
      <w:r w:rsidR="004D1E3D" w:rsidRPr="00FA0D37">
        <w:t>sCS480KHZoneT-S</w:t>
      </w:r>
      <w:r w:rsidRPr="00FA0D37">
        <w:t xml:space="preserve">CS120KHZquarterT-SCS60KHZoneEighthT-SCS30KHZoneSixteenthT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(0..4479),</w:t>
      </w:r>
    </w:p>
    <w:p w14:paraId="10627F1D" w14:textId="2474024F" w:rsidR="005220C9" w:rsidRPr="00FA0D37" w:rsidRDefault="005220C9" w:rsidP="00FA0D37">
      <w:pPr>
        <w:pStyle w:val="PL"/>
      </w:pPr>
      <w:r w:rsidRPr="00FA0D37">
        <w:t xml:space="preserve">            </w:t>
      </w:r>
      <w:r w:rsidR="004D1E3D" w:rsidRPr="00FA0D37">
        <w:t>sCS480KHZhalfT-S</w:t>
      </w:r>
      <w:r w:rsidRPr="00FA0D37">
        <w:t xml:space="preserve">CS120KHZoneEighthT-SCS60KHZoneSixteenthT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(0..8959),</w:t>
      </w:r>
    </w:p>
    <w:p w14:paraId="2DB33887" w14:textId="14CACE5A" w:rsidR="005220C9" w:rsidRPr="00FA0D37" w:rsidRDefault="005220C9" w:rsidP="00FA0D37">
      <w:pPr>
        <w:pStyle w:val="PL"/>
      </w:pPr>
      <w:r w:rsidRPr="00FA0D37">
        <w:t xml:space="preserve">            </w:t>
      </w:r>
      <w:r w:rsidR="004D1E3D" w:rsidRPr="00FA0D37">
        <w:t>sCS480KHZquarterT-S</w:t>
      </w:r>
      <w:r w:rsidRPr="00FA0D37">
        <w:t xml:space="preserve">CS120KHZoneSixteenthT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(0..17919)</w:t>
      </w:r>
      <w:r w:rsidR="004D1E3D" w:rsidRPr="00FA0D37">
        <w:t>,</w:t>
      </w:r>
    </w:p>
    <w:p w14:paraId="302B0105" w14:textId="77777777" w:rsidR="004D1E3D" w:rsidRPr="00FA0D37" w:rsidRDefault="004D1E3D" w:rsidP="00FA0D37">
      <w:pPr>
        <w:pStyle w:val="PL"/>
      </w:pPr>
      <w:r w:rsidRPr="00FA0D37">
        <w:t xml:space="preserve">            sCS480KHZoneEighthT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(0..35839),</w:t>
      </w:r>
    </w:p>
    <w:p w14:paraId="7CD2F9B9" w14:textId="77777777" w:rsidR="004D1E3D" w:rsidRPr="00FA0D37" w:rsidRDefault="004D1E3D" w:rsidP="00FA0D37">
      <w:pPr>
        <w:pStyle w:val="PL"/>
      </w:pPr>
      <w:r w:rsidRPr="00FA0D37">
        <w:t xml:space="preserve">            sCS480KHZoneSixteenthT                                        </w:t>
      </w:r>
      <w:r w:rsidRPr="00FA0D37">
        <w:rPr>
          <w:color w:val="993366"/>
        </w:rPr>
        <w:t>SEQUENCE</w:t>
      </w:r>
      <w:r w:rsidRPr="00FA0D37">
        <w:t xml:space="preserve"> (</w:t>
      </w:r>
      <w:r w:rsidRPr="00FA0D37">
        <w:rPr>
          <w:color w:val="993366"/>
        </w:rPr>
        <w:t>SIZE</w:t>
      </w:r>
      <w:r w:rsidRPr="00FA0D37">
        <w:t xml:space="preserve"> (1..maxPEI-perPF-r17))</w:t>
      </w:r>
      <w:r w:rsidRPr="00FA0D37">
        <w:rPr>
          <w:color w:val="993366"/>
        </w:rPr>
        <w:t xml:space="preserve"> OF</w:t>
      </w:r>
      <w:r w:rsidRPr="00FA0D37">
        <w:t xml:space="preserve"> </w:t>
      </w:r>
      <w:r w:rsidRPr="00FA0D37">
        <w:rPr>
          <w:color w:val="993366"/>
        </w:rPr>
        <w:t>INTEGER</w:t>
      </w:r>
      <w:r w:rsidRPr="00FA0D37">
        <w:t xml:space="preserve"> (0..71679)</w:t>
      </w:r>
    </w:p>
    <w:p w14:paraId="4F8C6756" w14:textId="2A10BFBF" w:rsidR="005220C9" w:rsidRPr="00FA0D37" w:rsidRDefault="005220C9" w:rsidP="00FA0D37">
      <w:pPr>
        <w:pStyle w:val="PL"/>
      </w:pPr>
      <w:r w:rsidRPr="00FA0D37">
        <w:t xml:space="preserve">        }</w:t>
      </w:r>
    </w:p>
    <w:p w14:paraId="46823F80" w14:textId="07E9C507" w:rsidR="004D1E3D" w:rsidRPr="00FA0D37" w:rsidRDefault="005220C9" w:rsidP="00FA0D37">
      <w:pPr>
        <w:pStyle w:val="PL"/>
        <w:rPr>
          <w:color w:val="808080"/>
        </w:rPr>
      </w:pPr>
      <w:r w:rsidRPr="00FA0D37">
        <w:t xml:space="preserve">    }</w:t>
      </w:r>
      <w:r w:rsidR="0055685D" w:rsidRPr="00FA0D37">
        <w:t xml:space="preserve">                                                                                           </w:t>
      </w:r>
      <w:r w:rsidR="0055685D" w:rsidRPr="00FA0D37">
        <w:rPr>
          <w:color w:val="993366"/>
        </w:rPr>
        <w:t>OPTIONAL</w:t>
      </w:r>
      <w:r w:rsidR="0055685D" w:rsidRPr="00FA0D37">
        <w:t xml:space="preserve">     </w:t>
      </w:r>
      <w:r w:rsidR="0055685D" w:rsidRPr="00FA0D37">
        <w:rPr>
          <w:color w:val="808080"/>
        </w:rPr>
        <w:t>-- Cond InitialBWP-Paging</w:t>
      </w:r>
    </w:p>
    <w:p w14:paraId="7FEA55F8" w14:textId="2BBEEFFD" w:rsidR="0005240D" w:rsidRPr="00FA0D37" w:rsidRDefault="004D1E3D" w:rsidP="00FA0D37">
      <w:pPr>
        <w:pStyle w:val="PL"/>
      </w:pPr>
      <w:r w:rsidRPr="00FA0D37">
        <w:t xml:space="preserve">    ]]</w:t>
      </w:r>
      <w:r w:rsidR="0005240D" w:rsidRPr="00FA0D37">
        <w:t>,</w:t>
      </w:r>
    </w:p>
    <w:p w14:paraId="5BF0FEC8" w14:textId="77777777" w:rsidR="0005240D" w:rsidRPr="00FA0D37" w:rsidRDefault="0005240D" w:rsidP="00FA0D37">
      <w:pPr>
        <w:pStyle w:val="PL"/>
      </w:pPr>
      <w:r w:rsidRPr="00FA0D37">
        <w:t xml:space="preserve">    [[</w:t>
      </w:r>
    </w:p>
    <w:p w14:paraId="476B29E1" w14:textId="4991FD90" w:rsidR="0005240D" w:rsidRPr="00FA0D37" w:rsidRDefault="0005240D" w:rsidP="00FA0D37">
      <w:pPr>
        <w:pStyle w:val="PL"/>
        <w:rPr>
          <w:color w:val="808080"/>
        </w:rPr>
      </w:pPr>
      <w:r w:rsidRPr="00FA0D37">
        <w:t xml:space="preserve">    followUnifiedTCI</w:t>
      </w:r>
      <w:r w:rsidR="00634EC2" w:rsidRPr="00FA0D37">
        <w:t>-S</w:t>
      </w:r>
      <w:r w:rsidRPr="00FA0D37">
        <w:t xml:space="preserve">tate-v1720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0B633FDC" w14:textId="78D9D368" w:rsidR="00EF781F" w:rsidRPr="008D7C7E" w:rsidRDefault="0005240D" w:rsidP="008D7C7E">
      <w:pPr>
        <w:pStyle w:val="PL"/>
        <w:rPr>
          <w:ins w:id="1189" w:author="Huawei, HiSilicon" w:date="2023-12-06T15:43:00Z"/>
          <w:rFonts w:ascii="宋体" w:eastAsia="宋体" w:hAnsi="宋体" w:cs="宋体"/>
          <w:lang w:eastAsia="zh-CN"/>
        </w:rPr>
      </w:pPr>
      <w:r w:rsidRPr="00FA0D37">
        <w:t xml:space="preserve">    ]]</w:t>
      </w:r>
      <w:ins w:id="1190" w:author="Huawei, HiSilicon" w:date="2023-12-06T15:43:00Z">
        <w:r w:rsidR="00EF781F" w:rsidRPr="00FA0D37">
          <w:t>,</w:t>
        </w:r>
      </w:ins>
    </w:p>
    <w:p w14:paraId="7995916E" w14:textId="77777777" w:rsidR="00EF781F" w:rsidRDefault="00EF781F" w:rsidP="008D7C7E">
      <w:pPr>
        <w:pStyle w:val="PL"/>
        <w:rPr>
          <w:ins w:id="1191" w:author="Huawei, HiSilicon" w:date="2023-12-06T15:43:00Z"/>
        </w:rPr>
      </w:pPr>
      <w:ins w:id="1192" w:author="Huawei, HiSilicon" w:date="2023-12-06T15:43:00Z">
        <w:r>
          <w:t xml:space="preserve">    [[</w:t>
        </w:r>
      </w:ins>
    </w:p>
    <w:p w14:paraId="79F91B7C" w14:textId="77777777" w:rsidR="00EF781F" w:rsidRDefault="00EF781F" w:rsidP="008D7C7E">
      <w:pPr>
        <w:pStyle w:val="PL"/>
        <w:rPr>
          <w:ins w:id="1193" w:author="Huawei, HiSilicon" w:date="2023-12-06T15:43:00Z"/>
        </w:rPr>
      </w:pPr>
      <w:ins w:id="1194" w:author="Huawei, HiSilicon" w:date="2023-12-06T15:43:00Z">
        <w:r>
          <w:t xml:space="preserve">    searchSpaceMulticastMCCH-r18        SearchSpaceId                                           </w:t>
        </w:r>
        <w:r>
          <w:rPr>
            <w:color w:val="993366"/>
          </w:rPr>
          <w:t>OPTIONAL</w:t>
        </w:r>
        <w:r>
          <w:t>,   -- Need R</w:t>
        </w:r>
      </w:ins>
    </w:p>
    <w:p w14:paraId="64A069A4" w14:textId="77777777" w:rsidR="00EF781F" w:rsidRDefault="00EF781F" w:rsidP="008D7C7E">
      <w:pPr>
        <w:pStyle w:val="PL"/>
        <w:rPr>
          <w:ins w:id="1195" w:author="Huawei, HiSilicon" w:date="2023-12-06T15:43:00Z"/>
        </w:rPr>
      </w:pPr>
      <w:ins w:id="1196" w:author="Huawei, HiSilicon" w:date="2023-12-06T15:43:00Z">
        <w:r>
          <w:t xml:space="preserve">    searchSpaceMulticastMTCH-r18        SearchSpaceId                                           </w:t>
        </w:r>
        <w:r>
          <w:rPr>
            <w:color w:val="993366"/>
          </w:rPr>
          <w:t>OPTIONAL</w:t>
        </w:r>
        <w:r>
          <w:t xml:space="preserve">    -- Need S</w:t>
        </w:r>
      </w:ins>
    </w:p>
    <w:p w14:paraId="6A254531" w14:textId="7901B3AF" w:rsidR="00EF781F" w:rsidRPr="00EF781F" w:rsidRDefault="00EF781F" w:rsidP="006E5451">
      <w:pPr>
        <w:pStyle w:val="PL"/>
        <w:rPr>
          <w:rFonts w:ascii="宋体" w:eastAsia="宋体" w:hAnsi="宋体" w:cs="宋体"/>
        </w:rPr>
      </w:pPr>
      <w:ins w:id="1197" w:author="Huawei, HiSilicon" w:date="2023-12-06T15:43:00Z">
        <w:r>
          <w:t xml:space="preserve">    ]]</w:t>
        </w:r>
      </w:ins>
    </w:p>
    <w:p w14:paraId="6B03B029" w14:textId="760C45B3" w:rsidR="00394471" w:rsidRPr="00FA0D37" w:rsidRDefault="00394471" w:rsidP="00FA0D37">
      <w:pPr>
        <w:pStyle w:val="PL"/>
      </w:pPr>
      <w:r w:rsidRPr="00FA0D37">
        <w:t>}</w:t>
      </w:r>
    </w:p>
    <w:p w14:paraId="0789F52E" w14:textId="77777777" w:rsidR="00394471" w:rsidRPr="00FA0D37" w:rsidRDefault="00394471" w:rsidP="00FA0D37">
      <w:pPr>
        <w:pStyle w:val="PL"/>
      </w:pPr>
    </w:p>
    <w:p w14:paraId="528FA8EC" w14:textId="77777777" w:rsidR="00394471" w:rsidRPr="00FA0D37" w:rsidRDefault="00394471" w:rsidP="00FA0D37">
      <w:pPr>
        <w:pStyle w:val="PL"/>
        <w:rPr>
          <w:color w:val="808080"/>
        </w:rPr>
      </w:pPr>
      <w:r w:rsidRPr="00FA0D37">
        <w:rPr>
          <w:color w:val="808080"/>
        </w:rPr>
        <w:t>-- TAG-PDCCH-CONFIGCOMMON-STOP</w:t>
      </w:r>
    </w:p>
    <w:p w14:paraId="6C503CF3" w14:textId="77777777" w:rsidR="00394471" w:rsidRPr="00FA0D37" w:rsidRDefault="00394471" w:rsidP="00FA0D37">
      <w:pPr>
        <w:pStyle w:val="PL"/>
        <w:rPr>
          <w:color w:val="808080"/>
        </w:rPr>
      </w:pPr>
      <w:r w:rsidRPr="00FA0D37">
        <w:rPr>
          <w:color w:val="808080"/>
        </w:rPr>
        <w:t>-- ASN1STOP</w:t>
      </w:r>
    </w:p>
    <w:p w14:paraId="5D3F2099"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FA0D37" w:rsidRDefault="00394471" w:rsidP="00964CC4">
            <w:pPr>
              <w:pStyle w:val="TAH"/>
              <w:rPr>
                <w:rFonts w:eastAsia="宋体"/>
                <w:szCs w:val="22"/>
                <w:lang w:eastAsia="sv-SE"/>
              </w:rPr>
            </w:pPr>
            <w:r w:rsidRPr="00FA0D37">
              <w:rPr>
                <w:rFonts w:eastAsia="宋体"/>
                <w:i/>
                <w:szCs w:val="22"/>
                <w:lang w:eastAsia="sv-SE"/>
              </w:rPr>
              <w:lastRenderedPageBreak/>
              <w:t xml:space="preserve">PDCCH-ConfigCommon </w:t>
            </w:r>
            <w:r w:rsidRPr="00FA0D37">
              <w:rPr>
                <w:rFonts w:eastAsia="宋体"/>
                <w:szCs w:val="22"/>
                <w:lang w:eastAsia="sv-SE"/>
              </w:rPr>
              <w:t>field descriptions</w:t>
            </w:r>
          </w:p>
        </w:tc>
      </w:tr>
      <w:tr w:rsidR="005C7FF4" w:rsidRPr="00FA0D37"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FA0D37" w:rsidRDefault="00394471" w:rsidP="00964CC4">
            <w:pPr>
              <w:pStyle w:val="TAL"/>
              <w:rPr>
                <w:rFonts w:eastAsia="宋体"/>
                <w:szCs w:val="22"/>
                <w:lang w:eastAsia="sv-SE"/>
              </w:rPr>
            </w:pPr>
            <w:r w:rsidRPr="00FA0D37">
              <w:rPr>
                <w:rFonts w:eastAsia="宋体"/>
                <w:b/>
                <w:i/>
                <w:szCs w:val="22"/>
                <w:lang w:eastAsia="sv-SE"/>
              </w:rPr>
              <w:t>commonControlResourceSet</w:t>
            </w:r>
          </w:p>
          <w:p w14:paraId="3891EEA6" w14:textId="29BF73ED" w:rsidR="00394471" w:rsidRPr="00FA0D37" w:rsidRDefault="00394471" w:rsidP="00964CC4">
            <w:pPr>
              <w:pStyle w:val="TAL"/>
              <w:rPr>
                <w:rFonts w:eastAsia="宋体"/>
                <w:szCs w:val="22"/>
                <w:lang w:eastAsia="sv-SE"/>
              </w:rPr>
            </w:pPr>
            <w:r w:rsidRPr="00FA0D37">
              <w:rPr>
                <w:rFonts w:eastAsia="宋体"/>
                <w:szCs w:val="22"/>
                <w:lang w:eastAsia="sv-SE"/>
              </w:rPr>
              <w:t xml:space="preserve">An additional common control resource set which may be configured and used for any common or UE-specific search space. If the network configures this field, it uses a </w:t>
            </w:r>
            <w:r w:rsidRPr="00FA0D37">
              <w:rPr>
                <w:rFonts w:eastAsia="宋体"/>
                <w:i/>
                <w:szCs w:val="22"/>
                <w:lang w:eastAsia="sv-SE"/>
              </w:rPr>
              <w:t>ControlResourceSetId</w:t>
            </w:r>
            <w:r w:rsidRPr="00FA0D37">
              <w:rPr>
                <w:rFonts w:eastAsia="宋体"/>
                <w:szCs w:val="22"/>
                <w:lang w:eastAsia="sv-SE"/>
              </w:rPr>
              <w:t xml:space="preserve"> other than 0 for this </w:t>
            </w:r>
            <w:r w:rsidRPr="00FA0D37">
              <w:rPr>
                <w:rFonts w:eastAsia="宋体"/>
                <w:i/>
                <w:szCs w:val="22"/>
                <w:lang w:eastAsia="sv-SE"/>
              </w:rPr>
              <w:t>ControlResourceSet</w:t>
            </w:r>
            <w:r w:rsidRPr="00FA0D37">
              <w:rPr>
                <w:rFonts w:eastAsia="宋体"/>
                <w:szCs w:val="22"/>
                <w:lang w:eastAsia="sv-SE"/>
              </w:rPr>
              <w:t xml:space="preserve">. The network configures the </w:t>
            </w:r>
            <w:r w:rsidRPr="00FA0D37">
              <w:rPr>
                <w:rFonts w:eastAsia="宋体"/>
                <w:i/>
                <w:szCs w:val="22"/>
                <w:lang w:eastAsia="sv-SE"/>
              </w:rPr>
              <w:t>commonControlResourceSet</w:t>
            </w:r>
            <w:r w:rsidRPr="00FA0D37">
              <w:rPr>
                <w:rFonts w:eastAsia="宋体"/>
                <w:szCs w:val="22"/>
                <w:lang w:eastAsia="sv-SE"/>
              </w:rPr>
              <w:t xml:space="preserve"> in </w:t>
            </w:r>
            <w:r w:rsidRPr="00FA0D37">
              <w:rPr>
                <w:rFonts w:eastAsia="宋体"/>
                <w:i/>
                <w:lang w:eastAsia="sv-SE"/>
              </w:rPr>
              <w:t>SIB1</w:t>
            </w:r>
            <w:r w:rsidRPr="00FA0D37">
              <w:rPr>
                <w:rFonts w:eastAsia="宋体"/>
                <w:szCs w:val="22"/>
                <w:lang w:eastAsia="sv-SE"/>
              </w:rPr>
              <w:t xml:space="preserve"> so that it is contained in the bandwidth of CORESET#0.</w:t>
            </w:r>
            <w:r w:rsidR="004A5E25" w:rsidRPr="00FA0D37">
              <w:rPr>
                <w:rFonts w:eastAsia="宋体"/>
                <w:szCs w:val="22"/>
                <w:lang w:eastAsia="sv-SE"/>
              </w:rPr>
              <w:t xml:space="preserve"> If the RedCap-specific initial downlink BWP does not contain the entire CORESET#0, the network configures the </w:t>
            </w:r>
            <w:r w:rsidR="004A5E25" w:rsidRPr="00FA0D37">
              <w:rPr>
                <w:rFonts w:eastAsia="宋体"/>
                <w:i/>
                <w:iCs/>
                <w:szCs w:val="22"/>
                <w:lang w:eastAsia="sv-SE"/>
              </w:rPr>
              <w:t>commonControlResourceSet</w:t>
            </w:r>
            <w:r w:rsidR="004A5E25" w:rsidRPr="00FA0D37">
              <w:rPr>
                <w:rFonts w:eastAsia="宋体"/>
                <w:szCs w:val="22"/>
                <w:lang w:eastAsia="sv-SE"/>
              </w:rPr>
              <w:t xml:space="preserve"> </w:t>
            </w:r>
            <w:r w:rsidR="00104E9F" w:rsidRPr="00FA0D37">
              <w:rPr>
                <w:rFonts w:cs="Arial"/>
                <w:szCs w:val="22"/>
                <w:lang w:eastAsia="sv-SE"/>
              </w:rPr>
              <w:t xml:space="preserve">in the RedCap-specific initial downlink BWP </w:t>
            </w:r>
            <w:r w:rsidR="004A5E25" w:rsidRPr="00FA0D37">
              <w:rPr>
                <w:rFonts w:eastAsia="宋体"/>
                <w:szCs w:val="22"/>
                <w:lang w:eastAsia="sv-SE"/>
              </w:rPr>
              <w:t xml:space="preserve">in </w:t>
            </w:r>
            <w:r w:rsidR="004A5E25" w:rsidRPr="00FA0D37">
              <w:rPr>
                <w:rFonts w:eastAsia="宋体"/>
                <w:i/>
                <w:iCs/>
                <w:szCs w:val="22"/>
                <w:lang w:eastAsia="sv-SE"/>
              </w:rPr>
              <w:t>SIB1</w:t>
            </w:r>
            <w:r w:rsidR="004A5E25" w:rsidRPr="00FA0D37">
              <w:rPr>
                <w:rFonts w:eastAsia="宋体"/>
                <w:szCs w:val="22"/>
                <w:lang w:eastAsia="sv-SE"/>
              </w:rPr>
              <w:t xml:space="preserve"> for RedCap </w:t>
            </w:r>
            <w:r w:rsidR="00104E9F" w:rsidRPr="00FA0D37">
              <w:rPr>
                <w:rFonts w:cs="Arial"/>
                <w:szCs w:val="22"/>
                <w:lang w:eastAsia="sv-SE"/>
              </w:rPr>
              <w:t>such</w:t>
            </w:r>
            <w:r w:rsidR="004A5E25" w:rsidRPr="00FA0D37">
              <w:rPr>
                <w:rFonts w:eastAsia="宋体"/>
                <w:szCs w:val="22"/>
                <w:lang w:eastAsia="sv-SE"/>
              </w:rPr>
              <w:t xml:space="preserve"> that it </w:t>
            </w:r>
            <w:r w:rsidR="00104E9F" w:rsidRPr="00FA0D37">
              <w:rPr>
                <w:rFonts w:cs="Arial"/>
                <w:szCs w:val="22"/>
                <w:lang w:eastAsia="sv-SE"/>
              </w:rPr>
              <w:t>does</w:t>
            </w:r>
            <w:r w:rsidR="004A5E25" w:rsidRPr="00FA0D37">
              <w:rPr>
                <w:rFonts w:eastAsia="宋体"/>
                <w:szCs w:val="22"/>
                <w:lang w:eastAsia="sv-SE"/>
              </w:rPr>
              <w:t xml:space="preserve"> not </w:t>
            </w:r>
            <w:r w:rsidR="00104E9F" w:rsidRPr="00FA0D37">
              <w:rPr>
                <w:rFonts w:cs="Arial"/>
                <w:szCs w:val="22"/>
                <w:lang w:eastAsia="sv-SE"/>
              </w:rPr>
              <w:t xml:space="preserve">have to be </w:t>
            </w:r>
            <w:r w:rsidR="004A5E25" w:rsidRPr="00FA0D37">
              <w:rPr>
                <w:rFonts w:eastAsia="宋体"/>
                <w:szCs w:val="22"/>
                <w:lang w:eastAsia="sv-SE"/>
              </w:rPr>
              <w:t>contained in the bandwidth of CORESET#0.</w:t>
            </w:r>
          </w:p>
        </w:tc>
      </w:tr>
      <w:tr w:rsidR="005C7FF4" w:rsidRPr="00FA0D37"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FA0D37" w:rsidRDefault="00394471" w:rsidP="00964CC4">
            <w:pPr>
              <w:pStyle w:val="TAL"/>
              <w:rPr>
                <w:rFonts w:eastAsia="宋体"/>
                <w:szCs w:val="22"/>
                <w:lang w:eastAsia="sv-SE"/>
              </w:rPr>
            </w:pPr>
            <w:r w:rsidRPr="00FA0D37">
              <w:rPr>
                <w:rFonts w:eastAsia="宋体"/>
                <w:b/>
                <w:i/>
                <w:szCs w:val="22"/>
                <w:lang w:eastAsia="sv-SE"/>
              </w:rPr>
              <w:t>commonSearchSpaceList, commonSearchSpaceListExt</w:t>
            </w:r>
            <w:r w:rsidR="002A4990" w:rsidRPr="00FA0D37">
              <w:rPr>
                <w:rFonts w:eastAsia="宋体"/>
                <w:b/>
                <w:i/>
                <w:szCs w:val="22"/>
                <w:lang w:eastAsia="sv-SE"/>
              </w:rPr>
              <w:t>,</w:t>
            </w:r>
            <w:r w:rsidR="002A4990" w:rsidRPr="00FA0D37">
              <w:t xml:space="preserve"> </w:t>
            </w:r>
            <w:r w:rsidR="002A4990" w:rsidRPr="00FA0D37">
              <w:rPr>
                <w:rFonts w:eastAsia="宋体"/>
                <w:b/>
                <w:i/>
                <w:szCs w:val="22"/>
                <w:lang w:eastAsia="sv-SE"/>
              </w:rPr>
              <w:t>commonSearchSpaceListExt2</w:t>
            </w:r>
          </w:p>
          <w:p w14:paraId="52EF6D4E" w14:textId="2F582A98" w:rsidR="00394471" w:rsidRPr="00FA0D37" w:rsidRDefault="00394471" w:rsidP="00964CC4">
            <w:pPr>
              <w:pStyle w:val="TAL"/>
              <w:rPr>
                <w:rFonts w:eastAsia="宋体"/>
                <w:szCs w:val="22"/>
                <w:lang w:eastAsia="sv-SE"/>
              </w:rPr>
            </w:pPr>
            <w:r w:rsidRPr="00FA0D37">
              <w:rPr>
                <w:rFonts w:eastAsia="宋体"/>
                <w:szCs w:val="22"/>
                <w:lang w:eastAsia="sv-SE"/>
              </w:rPr>
              <w:t xml:space="preserve">A list of additional common search spaces. If the network configures this field, it uses the </w:t>
            </w:r>
            <w:r w:rsidRPr="00FA0D37">
              <w:rPr>
                <w:rFonts w:eastAsia="宋体"/>
                <w:i/>
                <w:szCs w:val="22"/>
                <w:lang w:eastAsia="sv-SE"/>
              </w:rPr>
              <w:t>SearchSpaceId</w:t>
            </w:r>
            <w:r w:rsidRPr="00FA0D37">
              <w:rPr>
                <w:rFonts w:eastAsia="宋体"/>
                <w:szCs w:val="22"/>
                <w:lang w:eastAsia="sv-SE"/>
              </w:rPr>
              <w:t xml:space="preserve">s other than 0. </w:t>
            </w:r>
            <w:r w:rsidRPr="00FA0D37">
              <w:rPr>
                <w:rFonts w:cs="Arial"/>
                <w:szCs w:val="18"/>
                <w:lang w:eastAsia="sv-SE"/>
              </w:rPr>
              <w:t xml:space="preserve">If the field is included, it replaces any previous list, i.e. all the entries of the list are replaced and each of the </w:t>
            </w:r>
            <w:r w:rsidRPr="00FA0D37">
              <w:rPr>
                <w:rFonts w:cs="Arial"/>
                <w:i/>
                <w:szCs w:val="18"/>
                <w:lang w:eastAsia="sv-SE"/>
              </w:rPr>
              <w:t xml:space="preserve">SearchSpace </w:t>
            </w:r>
            <w:r w:rsidRPr="00FA0D37">
              <w:rPr>
                <w:rFonts w:cs="Arial"/>
                <w:szCs w:val="18"/>
                <w:lang w:eastAsia="sv-SE"/>
              </w:rPr>
              <w:t xml:space="preserve">entries is considered to be newly created and the conditions and Need codes for setup of the entry apply. If the network includes </w:t>
            </w:r>
            <w:r w:rsidRPr="00FA0D37">
              <w:rPr>
                <w:rFonts w:cs="Arial"/>
                <w:i/>
                <w:iCs/>
                <w:szCs w:val="18"/>
                <w:lang w:eastAsia="sv-SE"/>
              </w:rPr>
              <w:t>commonSearchSpaceListExt</w:t>
            </w:r>
            <w:r w:rsidR="002A4990" w:rsidRPr="00FA0D37">
              <w:rPr>
                <w:rFonts w:cs="Arial"/>
                <w:i/>
                <w:iCs/>
                <w:szCs w:val="18"/>
              </w:rPr>
              <w:t>/</w:t>
            </w:r>
            <w:r w:rsidR="002A4990" w:rsidRPr="00FA0D37">
              <w:rPr>
                <w:rFonts w:cs="Arial"/>
                <w:i/>
                <w:iCs/>
                <w:szCs w:val="18"/>
                <w:lang w:eastAsia="sv-SE"/>
              </w:rPr>
              <w:t>commonSearchSpaceListExt2</w:t>
            </w:r>
            <w:r w:rsidRPr="00FA0D37">
              <w:rPr>
                <w:rFonts w:cs="Arial"/>
                <w:szCs w:val="18"/>
                <w:lang w:eastAsia="sv-SE"/>
              </w:rPr>
              <w:t xml:space="preserve">, it includes the same number of entries, and listed in the same order, as in </w:t>
            </w:r>
            <w:r w:rsidRPr="00FA0D37">
              <w:rPr>
                <w:rFonts w:cs="Arial"/>
                <w:i/>
                <w:iCs/>
                <w:szCs w:val="18"/>
                <w:lang w:eastAsia="sv-SE"/>
              </w:rPr>
              <w:t>commonSearchSpaceList</w:t>
            </w:r>
            <w:r w:rsidRPr="00FA0D37">
              <w:rPr>
                <w:rFonts w:cs="Arial"/>
                <w:szCs w:val="18"/>
                <w:lang w:eastAsia="sv-SE"/>
              </w:rPr>
              <w:t>.</w:t>
            </w:r>
          </w:p>
        </w:tc>
      </w:tr>
      <w:tr w:rsidR="005C7FF4" w:rsidRPr="00FA0D37"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FA0D37" w:rsidRDefault="00394471" w:rsidP="00964CC4">
            <w:pPr>
              <w:pStyle w:val="TAL"/>
              <w:rPr>
                <w:rFonts w:eastAsia="宋体"/>
                <w:szCs w:val="22"/>
                <w:lang w:eastAsia="sv-SE"/>
              </w:rPr>
            </w:pPr>
            <w:r w:rsidRPr="00FA0D37">
              <w:rPr>
                <w:rFonts w:eastAsia="宋体"/>
                <w:b/>
                <w:i/>
                <w:szCs w:val="22"/>
                <w:lang w:eastAsia="sv-SE"/>
              </w:rPr>
              <w:t>controlResourceSetZero</w:t>
            </w:r>
          </w:p>
          <w:p w14:paraId="4AAE6B1F" w14:textId="77777777" w:rsidR="00394471" w:rsidRPr="00FA0D37" w:rsidRDefault="00394471" w:rsidP="00964CC4">
            <w:pPr>
              <w:pStyle w:val="TAL"/>
              <w:rPr>
                <w:rFonts w:eastAsia="宋体"/>
                <w:szCs w:val="22"/>
                <w:lang w:eastAsia="sv-SE"/>
              </w:rPr>
            </w:pPr>
            <w:r w:rsidRPr="00FA0D37">
              <w:rPr>
                <w:rFonts w:eastAsia="宋体"/>
                <w:szCs w:val="22"/>
                <w:lang w:eastAsia="sv-SE"/>
              </w:rPr>
              <w:t xml:space="preserve">Parameters of the common CORESET#0 which can be used in any common or UE-specific search spaces. The values are interpreted like the corresponding bits in </w:t>
            </w:r>
            <w:r w:rsidRPr="00FA0D37">
              <w:rPr>
                <w:rFonts w:eastAsia="宋体"/>
                <w:i/>
                <w:lang w:eastAsia="sv-SE"/>
              </w:rPr>
              <w:t>MIB</w:t>
            </w:r>
            <w:r w:rsidRPr="00FA0D37">
              <w:rPr>
                <w:rFonts w:eastAsia="宋体"/>
                <w:szCs w:val="22"/>
                <w:lang w:eastAsia="sv-SE"/>
              </w:rPr>
              <w:t xml:space="preserve"> </w:t>
            </w:r>
            <w:r w:rsidRPr="00FA0D37">
              <w:rPr>
                <w:rFonts w:eastAsia="宋体"/>
                <w:i/>
                <w:lang w:eastAsia="sv-SE"/>
              </w:rPr>
              <w:t>pdcch-ConfigSIB1</w:t>
            </w:r>
            <w:r w:rsidRPr="00FA0D37">
              <w:rPr>
                <w:rFonts w:eastAsia="宋体"/>
                <w:szCs w:val="22"/>
                <w:lang w:eastAsia="sv-SE"/>
              </w:rPr>
              <w:t xml:space="preserve">. Even though this field is only configured in the initial BWP (BWP#0) </w:t>
            </w:r>
            <w:r w:rsidRPr="00FA0D37">
              <w:rPr>
                <w:rFonts w:eastAsia="宋体"/>
                <w:i/>
                <w:lang w:eastAsia="sv-SE"/>
              </w:rPr>
              <w:t>controlResourceSetZero</w:t>
            </w:r>
            <w:r w:rsidRPr="00FA0D37">
              <w:rPr>
                <w:rFonts w:eastAsia="宋体"/>
                <w:szCs w:val="22"/>
                <w:lang w:eastAsia="sv-SE"/>
              </w:rPr>
              <w:t xml:space="preserve"> can be used in search spaces configured in other DL BWP(s) than the initial DL BWP if the conditions defined in TS 38.213 [13], clause 10 are satisfied.</w:t>
            </w:r>
          </w:p>
        </w:tc>
      </w:tr>
      <w:tr w:rsidR="005C7FF4" w:rsidRPr="00FA0D37"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FA0D37" w:rsidRDefault="005220C9" w:rsidP="005220C9">
            <w:pPr>
              <w:keepNext/>
              <w:keepLines/>
              <w:spacing w:after="0"/>
              <w:rPr>
                <w:rFonts w:ascii="Arial" w:eastAsia="MS Mincho" w:hAnsi="Arial"/>
                <w:bCs/>
                <w:i/>
                <w:iCs/>
                <w:sz w:val="18"/>
                <w:lang w:eastAsia="sv-SE"/>
              </w:rPr>
            </w:pPr>
            <w:r w:rsidRPr="00FA0D37">
              <w:rPr>
                <w:rFonts w:ascii="Arial" w:eastAsia="MS Mincho" w:hAnsi="Arial"/>
                <w:b/>
                <w:bCs/>
                <w:i/>
                <w:iCs/>
                <w:sz w:val="18"/>
                <w:lang w:eastAsia="sv-SE"/>
              </w:rPr>
              <w:t>firstPDCCH-MonitoringOccasionOfPEI-O</w:t>
            </w:r>
          </w:p>
          <w:p w14:paraId="4B68BB64" w14:textId="4221832A" w:rsidR="005220C9" w:rsidRPr="00FA0D37" w:rsidRDefault="005220C9" w:rsidP="005220C9">
            <w:pPr>
              <w:pStyle w:val="TAL"/>
              <w:rPr>
                <w:rFonts w:eastAsia="宋体"/>
                <w:b/>
                <w:i/>
                <w:szCs w:val="22"/>
                <w:lang w:eastAsia="sv-SE"/>
              </w:rPr>
            </w:pPr>
            <w:r w:rsidRPr="00FA0D37">
              <w:rPr>
                <w:rFonts w:eastAsia="等线"/>
                <w:bCs/>
                <w:iCs/>
                <w:szCs w:val="18"/>
                <w:lang w:eastAsia="zh-CN"/>
              </w:rPr>
              <w:t>Offset,</w:t>
            </w:r>
            <w:r w:rsidRPr="00FA0D37">
              <w:rPr>
                <w:rFonts w:eastAsia="MS Mincho"/>
                <w:bCs/>
                <w:iCs/>
                <w:szCs w:val="18"/>
                <w:lang w:eastAsia="sv-SE"/>
              </w:rPr>
              <w:t xml:space="preserve"> in number of symbols, from the start of the reference frame for PEI-O to the start of the first PDCCH monitoring occasion of PEI-O on this BWP,</w:t>
            </w:r>
            <w:r w:rsidRPr="00FA0D37">
              <w:rPr>
                <w:rFonts w:eastAsia="MS Mincho"/>
                <w:lang w:eastAsia="en-US"/>
              </w:rPr>
              <w:t xml:space="preserve"> </w:t>
            </w:r>
            <w:r w:rsidRPr="00FA0D37">
              <w:rPr>
                <w:rFonts w:eastAsia="MS Mincho"/>
                <w:bCs/>
                <w:iCs/>
                <w:szCs w:val="18"/>
                <w:lang w:eastAsia="sv-SE"/>
              </w:rPr>
              <w:t>see TS 38.213 [13], clause 10.4A</w:t>
            </w:r>
            <w:r w:rsidRPr="00FA0D37">
              <w:rPr>
                <w:rFonts w:eastAsia="等线"/>
                <w:bCs/>
                <w:iCs/>
                <w:szCs w:val="18"/>
                <w:lang w:eastAsia="zh-CN"/>
              </w:rPr>
              <w:t xml:space="preserve">. For the case </w:t>
            </w:r>
            <w:r w:rsidRPr="00FA0D37">
              <w:rPr>
                <w:rFonts w:eastAsia="等线"/>
                <w:bCs/>
                <w:i/>
                <w:szCs w:val="18"/>
                <w:lang w:eastAsia="zh-CN"/>
              </w:rPr>
              <w:t>po-NumPerPEI</w:t>
            </w:r>
            <w:r w:rsidRPr="00FA0D37">
              <w:rPr>
                <w:rFonts w:eastAsia="等线"/>
                <w:bCs/>
                <w:iCs/>
                <w:szCs w:val="18"/>
                <w:lang w:eastAsia="zh-CN"/>
              </w:rPr>
              <w:t xml:space="preserve"> is smaller than Ns, UE applies the (floor(i_s/po</w:t>
            </w:r>
            <w:r w:rsidR="003A2D9D" w:rsidRPr="00FA0D37">
              <w:rPr>
                <w:rFonts w:eastAsia="等线"/>
                <w:bCs/>
                <w:iCs/>
                <w:szCs w:val="18"/>
                <w:lang w:eastAsia="zh-CN"/>
              </w:rPr>
              <w:t>-</w:t>
            </w:r>
            <w:r w:rsidRPr="00FA0D37">
              <w:rPr>
                <w:rFonts w:eastAsia="等线"/>
                <w:bCs/>
                <w:iCs/>
                <w:szCs w:val="18"/>
                <w:lang w:eastAsia="zh-CN"/>
              </w:rPr>
              <w:t xml:space="preserve">NumPerPEI)+1)-th value out of (N_s/po-NumPerPEI) configured values in </w:t>
            </w:r>
            <w:r w:rsidRPr="00FA0D37">
              <w:rPr>
                <w:rFonts w:eastAsia="等线"/>
                <w:bCs/>
                <w:i/>
                <w:szCs w:val="18"/>
                <w:lang w:eastAsia="zh-CN"/>
              </w:rPr>
              <w:t>firstPDCCH-MonitoringOccasionOfPEI-O</w:t>
            </w:r>
            <w:r w:rsidRPr="00FA0D37">
              <w:rPr>
                <w:rFonts w:eastAsia="等线"/>
                <w:bCs/>
                <w:iCs/>
                <w:szCs w:val="18"/>
                <w:lang w:eastAsia="zh-CN"/>
              </w:rPr>
              <w:t xml:space="preserve"> for the symbol-level offset. When </w:t>
            </w:r>
            <w:r w:rsidRPr="00FA0D37">
              <w:rPr>
                <w:rFonts w:eastAsia="等线"/>
                <w:bCs/>
                <w:i/>
                <w:szCs w:val="18"/>
                <w:lang w:eastAsia="zh-CN"/>
              </w:rPr>
              <w:t>po-NumPerPEI</w:t>
            </w:r>
            <w:r w:rsidRPr="00FA0D37">
              <w:rPr>
                <w:rFonts w:eastAsia="等线"/>
                <w:bCs/>
                <w:iCs/>
                <w:szCs w:val="18"/>
                <w:lang w:eastAsia="zh-CN"/>
              </w:rPr>
              <w:t xml:space="preserve"> is one or multiple of Ns, UE applies the first configured value in </w:t>
            </w:r>
            <w:r w:rsidRPr="00FA0D37">
              <w:rPr>
                <w:rFonts w:eastAsia="等线"/>
                <w:bCs/>
                <w:i/>
                <w:szCs w:val="18"/>
                <w:lang w:eastAsia="zh-CN"/>
              </w:rPr>
              <w:t>firstPDCCH-MonitoringOccasionOfPEI-O</w:t>
            </w:r>
            <w:r w:rsidRPr="00FA0D37">
              <w:rPr>
                <w:rFonts w:eastAsia="等线"/>
                <w:bCs/>
                <w:iCs/>
                <w:szCs w:val="18"/>
                <w:lang w:eastAsia="zh-CN"/>
              </w:rPr>
              <w:t xml:space="preserve"> for the symbol-level offset.</w:t>
            </w:r>
          </w:p>
        </w:tc>
      </w:tr>
      <w:tr w:rsidR="005C7FF4" w:rsidRPr="00FA0D37"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FA0D37" w:rsidRDefault="00394471" w:rsidP="00964CC4">
            <w:pPr>
              <w:pStyle w:val="TAL"/>
              <w:rPr>
                <w:b/>
                <w:i/>
                <w:lang w:eastAsia="sv-SE"/>
              </w:rPr>
            </w:pPr>
            <w:r w:rsidRPr="00FA0D37">
              <w:rPr>
                <w:b/>
                <w:i/>
                <w:lang w:eastAsia="sv-SE"/>
              </w:rPr>
              <w:t>firstPDCCH-MonitoringOccasionOfPO</w:t>
            </w:r>
          </w:p>
          <w:p w14:paraId="4D5616C7" w14:textId="4237C715" w:rsidR="00394471" w:rsidRPr="00FA0D37" w:rsidRDefault="00394471" w:rsidP="00964CC4">
            <w:pPr>
              <w:pStyle w:val="TAL"/>
              <w:rPr>
                <w:rFonts w:eastAsia="宋体"/>
                <w:b/>
                <w:i/>
                <w:szCs w:val="22"/>
                <w:lang w:eastAsia="sv-SE"/>
              </w:rPr>
            </w:pPr>
            <w:r w:rsidRPr="00FA0D37">
              <w:rPr>
                <w:lang w:eastAsia="sv-SE"/>
              </w:rPr>
              <w:t>Indicates the first PDCCH monitoring occasion of each PO of the PF on this BWP, see TS 38.304 [20].</w:t>
            </w:r>
            <w:r w:rsidR="00A345A2" w:rsidRPr="00FA0D37">
              <w:rPr>
                <w:lang w:eastAsia="sv-SE"/>
              </w:rPr>
              <w:t xml:space="preserve"> </w:t>
            </w:r>
            <w:bookmarkStart w:id="1198" w:name="_Hlk111019379"/>
            <w:r w:rsidR="00A345A2" w:rsidRPr="00FA0D37">
              <w:rPr>
                <w:lang w:eastAsia="sv-SE"/>
              </w:rPr>
              <w:t xml:space="preserve">The field </w:t>
            </w:r>
            <w:r w:rsidR="00A345A2" w:rsidRPr="00FA0D37">
              <w:rPr>
                <w:i/>
                <w:lang w:eastAsia="sv-SE"/>
              </w:rPr>
              <w:t>sCS120KHZquarterT-SCS60KHZoneEighthT-SCS30KHZoneSixteenthT</w:t>
            </w:r>
            <w:r w:rsidR="00A345A2" w:rsidRPr="00FA0D37">
              <w:rPr>
                <w:lang w:eastAsia="sv-SE"/>
              </w:rPr>
              <w:t xml:space="preserve">, </w:t>
            </w:r>
            <w:r w:rsidR="00A345A2" w:rsidRPr="00FA0D37">
              <w:rPr>
                <w:i/>
                <w:lang w:eastAsia="sv-SE"/>
              </w:rPr>
              <w:t>sCS120KHZoneEighthT-SCS60KHZoneSixteenthT</w:t>
            </w:r>
            <w:r w:rsidR="00A345A2" w:rsidRPr="00FA0D37">
              <w:rPr>
                <w:lang w:eastAsia="sv-SE"/>
              </w:rPr>
              <w:t xml:space="preserve"> and </w:t>
            </w:r>
            <w:r w:rsidR="00A345A2" w:rsidRPr="00FA0D37">
              <w:rPr>
                <w:i/>
                <w:lang w:eastAsia="sv-SE"/>
              </w:rPr>
              <w:t>sCS120KHZoneSixteenthT</w:t>
            </w:r>
            <w:r w:rsidR="00A345A2" w:rsidRPr="00FA0D37">
              <w:rPr>
                <w:lang w:eastAsia="sv-SE"/>
              </w:rPr>
              <w:t xml:space="preserve"> can be applied for SCS 480kHz, corresponding to </w:t>
            </w:r>
            <w:r w:rsidR="00A345A2" w:rsidRPr="00FA0D37">
              <w:rPr>
                <w:i/>
                <w:lang w:eastAsia="sv-SE"/>
              </w:rPr>
              <w:t>sCS480KHZoneT-SCS120KHZquarterT-SCS60KHZoneEighthT-SCS30KHZoneSixteenthT</w:t>
            </w:r>
            <w:r w:rsidR="00A345A2" w:rsidRPr="00FA0D37">
              <w:rPr>
                <w:lang w:eastAsia="sv-SE"/>
              </w:rPr>
              <w:t xml:space="preserve">, </w:t>
            </w:r>
            <w:r w:rsidR="00A345A2" w:rsidRPr="00FA0D37">
              <w:rPr>
                <w:i/>
                <w:lang w:eastAsia="sv-SE"/>
              </w:rPr>
              <w:t>sCS480KHZhalfT-SCS120KHZoneEighthT-SCS60KHZoneSixteenthT</w:t>
            </w:r>
            <w:r w:rsidR="00A345A2" w:rsidRPr="00FA0D37">
              <w:rPr>
                <w:lang w:eastAsia="sv-SE"/>
              </w:rPr>
              <w:t xml:space="preserve"> and </w:t>
            </w:r>
            <w:r w:rsidR="00A345A2" w:rsidRPr="00FA0D37">
              <w:rPr>
                <w:i/>
                <w:lang w:eastAsia="sv-SE"/>
              </w:rPr>
              <w:t>sCS480KHZquarterT-SCS120KHZoneSixteenthT</w:t>
            </w:r>
            <w:r w:rsidR="00A345A2" w:rsidRPr="00FA0D37">
              <w:rPr>
                <w:lang w:eastAsia="sv-SE"/>
              </w:rPr>
              <w:t xml:space="preserve"> in IE </w:t>
            </w:r>
            <w:r w:rsidR="00A345A2" w:rsidRPr="00FA0D37">
              <w:rPr>
                <w:i/>
                <w:lang w:eastAsia="sv-SE"/>
              </w:rPr>
              <w:t>DownlinkConfigCommonSIB</w:t>
            </w:r>
            <w:r w:rsidR="00A345A2" w:rsidRPr="00FA0D37">
              <w:rPr>
                <w:lang w:eastAsia="sv-SE"/>
              </w:rPr>
              <w:t xml:space="preserve"> respectively.</w:t>
            </w:r>
            <w:bookmarkEnd w:id="1198"/>
          </w:p>
        </w:tc>
      </w:tr>
      <w:tr w:rsidR="005C7FF4" w:rsidRPr="00FA0D37"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FA0D37" w:rsidRDefault="0005240D" w:rsidP="00DD246F">
            <w:pPr>
              <w:pStyle w:val="TAL"/>
              <w:rPr>
                <w:rFonts w:eastAsia="MS Mincho"/>
                <w:b/>
                <w:bCs/>
                <w:i/>
                <w:iCs/>
                <w:lang w:eastAsia="sv-SE"/>
              </w:rPr>
            </w:pPr>
            <w:r w:rsidRPr="00FA0D37">
              <w:rPr>
                <w:rFonts w:eastAsia="MS Mincho"/>
                <w:b/>
                <w:bCs/>
                <w:i/>
                <w:iCs/>
                <w:lang w:eastAsia="sv-SE"/>
              </w:rPr>
              <w:t>followUnifiedTCI</w:t>
            </w:r>
            <w:r w:rsidR="00FC0CBC" w:rsidRPr="00FA0D37">
              <w:rPr>
                <w:rFonts w:eastAsia="MS Mincho"/>
                <w:b/>
                <w:bCs/>
                <w:i/>
                <w:iCs/>
                <w:lang w:eastAsia="sv-SE"/>
              </w:rPr>
              <w:t>-S</w:t>
            </w:r>
            <w:r w:rsidRPr="00FA0D37">
              <w:rPr>
                <w:rFonts w:eastAsia="MS Mincho"/>
                <w:b/>
                <w:bCs/>
                <w:i/>
                <w:iCs/>
                <w:lang w:eastAsia="sv-SE"/>
              </w:rPr>
              <w:t>tate</w:t>
            </w:r>
          </w:p>
          <w:p w14:paraId="7AA7276F" w14:textId="1ADE7B6F" w:rsidR="0005240D" w:rsidRPr="00FA0D37" w:rsidRDefault="0005240D" w:rsidP="0071565C">
            <w:pPr>
              <w:pStyle w:val="TAL"/>
              <w:rPr>
                <w:rFonts w:eastAsia="MS Mincho"/>
                <w:b/>
                <w:bCs/>
                <w:i/>
                <w:iCs/>
                <w:lang w:eastAsia="sv-SE"/>
              </w:rPr>
            </w:pPr>
            <w:r w:rsidRPr="00FA0D37">
              <w:rPr>
                <w:lang w:eastAsia="sv-SE"/>
              </w:rPr>
              <w:t xml:space="preserve">When set to enabled, for PDCCH reception in CORESET #0, the UE applies the "indicated" DL only TCI or joint TCI as specified in TS 38.214 </w:t>
            </w:r>
            <w:r w:rsidR="00BC27B9" w:rsidRPr="00FA0D37">
              <w:rPr>
                <w:lang w:eastAsia="sv-SE"/>
              </w:rPr>
              <w:t xml:space="preserve">[19], </w:t>
            </w:r>
            <w:r w:rsidRPr="00FA0D37">
              <w:rPr>
                <w:lang w:eastAsia="sv-SE"/>
              </w:rPr>
              <w:t>clause 5.1.5.</w:t>
            </w:r>
          </w:p>
        </w:tc>
      </w:tr>
      <w:tr w:rsidR="005C7FF4" w:rsidRPr="00FA0D37"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FA0D37" w:rsidRDefault="00394471" w:rsidP="00964CC4">
            <w:pPr>
              <w:pStyle w:val="TAL"/>
              <w:rPr>
                <w:rFonts w:eastAsia="宋体"/>
                <w:szCs w:val="22"/>
                <w:lang w:eastAsia="sv-SE"/>
              </w:rPr>
            </w:pPr>
            <w:r w:rsidRPr="00FA0D37">
              <w:rPr>
                <w:rFonts w:eastAsia="宋体"/>
                <w:b/>
                <w:i/>
                <w:szCs w:val="22"/>
                <w:lang w:eastAsia="sv-SE"/>
              </w:rPr>
              <w:t>pagingSearchSpace</w:t>
            </w:r>
          </w:p>
          <w:p w14:paraId="10DBA21A" w14:textId="0A2F000F" w:rsidR="00394471" w:rsidRPr="00FA0D37" w:rsidRDefault="00394471" w:rsidP="00964CC4">
            <w:pPr>
              <w:pStyle w:val="TAL"/>
              <w:rPr>
                <w:rFonts w:eastAsia="宋体"/>
                <w:szCs w:val="22"/>
                <w:lang w:eastAsia="sv-SE"/>
              </w:rPr>
            </w:pPr>
            <w:r w:rsidRPr="00FA0D37">
              <w:rPr>
                <w:rFonts w:eastAsia="宋体"/>
                <w:szCs w:val="22"/>
                <w:lang w:eastAsia="sv-SE"/>
              </w:rPr>
              <w:t xml:space="preserve">ID of the </w:t>
            </w:r>
            <w:r w:rsidR="0052681B" w:rsidRPr="00FA0D37">
              <w:rPr>
                <w:rFonts w:eastAsia="宋体"/>
                <w:szCs w:val="22"/>
                <w:lang w:eastAsia="sv-SE"/>
              </w:rPr>
              <w:t>s</w:t>
            </w:r>
            <w:r w:rsidRPr="00FA0D37">
              <w:rPr>
                <w:rFonts w:eastAsia="宋体"/>
                <w:szCs w:val="22"/>
                <w:lang w:eastAsia="sv-SE"/>
              </w:rPr>
              <w:t>earch space for paging (see TS 38.213 [13], clause 10.1). If the field is absent, the UE does not receive paging in this BWP (see TS 38.213 [13], clause 10).</w:t>
            </w:r>
            <w:r w:rsidR="00AE678F" w:rsidRPr="00FA0D37">
              <w:rPr>
                <w:rFonts w:eastAsia="宋体"/>
                <w:szCs w:val="22"/>
                <w:lang w:eastAsia="sv-SE"/>
              </w:rPr>
              <w:t xml:space="preserve"> </w:t>
            </w:r>
            <w:r w:rsidR="00AE678F" w:rsidRPr="00FA0D37">
              <w:t>This field is absent for the RedCap</w:t>
            </w:r>
            <w:r w:rsidR="004A5E25" w:rsidRPr="00FA0D37">
              <w:t>-</w:t>
            </w:r>
            <w:r w:rsidR="00AE678F" w:rsidRPr="00FA0D37">
              <w:t xml:space="preserve">specific initial </w:t>
            </w:r>
            <w:r w:rsidR="004A5E25" w:rsidRPr="00FA0D37">
              <w:t>downlink</w:t>
            </w:r>
            <w:r w:rsidR="00AE678F" w:rsidRPr="00FA0D37">
              <w:t xml:space="preserve"> BWP, if it does not include CD-SSB and the entire CORESET#0.</w:t>
            </w:r>
            <w:r w:rsidR="004A5E25" w:rsidRPr="00FA0D37">
              <w:t xml:space="preserve"> In that case, a RedCap UE </w:t>
            </w:r>
            <w:r w:rsidR="00E358C0" w:rsidRPr="00FA0D37">
              <w:t xml:space="preserve">in RRC_IDLE or RRC_INACTIVE </w:t>
            </w:r>
            <w:r w:rsidR="0082073B" w:rsidRPr="00FA0D37">
              <w:t xml:space="preserve">while SDT procedure is not ongoing, </w:t>
            </w:r>
            <w:r w:rsidR="004A5E25" w:rsidRPr="00FA0D37">
              <w:t>shall monitor paging in the initial DL BWP that includes CORESET#0</w:t>
            </w:r>
            <w:r w:rsidR="00E358C0" w:rsidRPr="00FA0D37">
              <w:t>.</w:t>
            </w:r>
          </w:p>
        </w:tc>
      </w:tr>
      <w:tr w:rsidR="005C7FF4" w:rsidRPr="00FA0D37"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FA0D37" w:rsidRDefault="005220C9" w:rsidP="005220C9">
            <w:pPr>
              <w:keepNext/>
              <w:keepLines/>
              <w:spacing w:after="0"/>
              <w:rPr>
                <w:rFonts w:ascii="Arial" w:eastAsia="MS Mincho" w:hAnsi="Arial"/>
                <w:i/>
                <w:sz w:val="18"/>
                <w:lang w:eastAsia="sv-SE"/>
              </w:rPr>
            </w:pPr>
            <w:r w:rsidRPr="00FA0D37">
              <w:rPr>
                <w:rFonts w:ascii="Arial" w:eastAsia="MS Mincho" w:hAnsi="Arial"/>
                <w:b/>
                <w:i/>
                <w:sz w:val="18"/>
                <w:lang w:eastAsia="sv-SE"/>
              </w:rPr>
              <w:t>pei-ConfigBWP</w:t>
            </w:r>
          </w:p>
          <w:p w14:paraId="7CCF4EB0" w14:textId="4EC9EA79" w:rsidR="005220C9" w:rsidRPr="00FA0D37" w:rsidRDefault="005220C9" w:rsidP="005220C9">
            <w:pPr>
              <w:pStyle w:val="TAL"/>
              <w:rPr>
                <w:rFonts w:eastAsia="宋体"/>
                <w:b/>
                <w:i/>
                <w:szCs w:val="22"/>
                <w:lang w:eastAsia="sv-SE"/>
              </w:rPr>
            </w:pPr>
            <w:r w:rsidRPr="00FA0D37">
              <w:rPr>
                <w:rFonts w:eastAsia="等线"/>
                <w:lang w:eastAsia="zh-CN"/>
              </w:rPr>
              <w:t xml:space="preserve">Provides the configuration for PEI reception in this BWP. </w:t>
            </w:r>
            <w:r w:rsidRPr="00FA0D37">
              <w:rPr>
                <w:rFonts w:eastAsia="MS Mincho"/>
                <w:lang w:eastAsia="sv-SE"/>
              </w:rPr>
              <w:t>If the field is absent, the UE does not receive PEI in this BWP.</w:t>
            </w:r>
          </w:p>
        </w:tc>
      </w:tr>
      <w:tr w:rsidR="005C7FF4" w:rsidRPr="00FA0D37"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FA0D37" w:rsidRDefault="005220C9" w:rsidP="005220C9">
            <w:pPr>
              <w:keepNext/>
              <w:keepLines/>
              <w:spacing w:after="0"/>
              <w:rPr>
                <w:rFonts w:ascii="Arial" w:eastAsia="MS Mincho" w:hAnsi="Arial"/>
                <w:i/>
                <w:sz w:val="18"/>
                <w:lang w:eastAsia="sv-SE"/>
              </w:rPr>
            </w:pPr>
            <w:r w:rsidRPr="00FA0D37">
              <w:rPr>
                <w:rFonts w:ascii="Arial" w:eastAsia="MS Mincho" w:hAnsi="Arial"/>
                <w:b/>
                <w:i/>
                <w:sz w:val="18"/>
                <w:lang w:eastAsia="sv-SE"/>
              </w:rPr>
              <w:t>pei-SearchSpace</w:t>
            </w:r>
          </w:p>
          <w:p w14:paraId="2E917683" w14:textId="1346E94B" w:rsidR="005220C9" w:rsidRPr="00FA0D37" w:rsidRDefault="005220C9" w:rsidP="005220C9">
            <w:pPr>
              <w:pStyle w:val="TAL"/>
              <w:rPr>
                <w:rFonts w:eastAsia="宋体"/>
                <w:b/>
                <w:i/>
                <w:szCs w:val="22"/>
                <w:lang w:eastAsia="sv-SE"/>
              </w:rPr>
            </w:pPr>
            <w:r w:rsidRPr="00FA0D37">
              <w:rPr>
                <w:rFonts w:eastAsia="等线"/>
                <w:lang w:eastAsia="zh-CN"/>
              </w:rPr>
              <w:t>ID of d</w:t>
            </w:r>
            <w:r w:rsidRPr="00FA0D37">
              <w:rPr>
                <w:rFonts w:eastAsia="MS Mincho"/>
                <w:lang w:eastAsia="sv-SE"/>
              </w:rPr>
              <w:t xml:space="preserve">edicated search space for PEI. </w:t>
            </w:r>
            <w:r w:rsidRPr="00FA0D37">
              <w:rPr>
                <w:rFonts w:eastAsia="等线"/>
                <w:lang w:eastAsia="zh-CN"/>
              </w:rPr>
              <w:t xml:space="preserve">It can be configured to one of up to 4 common SS sets configured by </w:t>
            </w:r>
            <w:r w:rsidRPr="00FA0D37">
              <w:rPr>
                <w:rFonts w:eastAsia="等线"/>
                <w:i/>
                <w:iCs/>
                <w:lang w:eastAsia="zh-CN"/>
              </w:rPr>
              <w:t>commonSearchSpaceList</w:t>
            </w:r>
            <w:r w:rsidRPr="00FA0D37">
              <w:rPr>
                <w:rFonts w:eastAsia="等线"/>
                <w:lang w:eastAsia="zh-CN"/>
              </w:rPr>
              <w:t xml:space="preserve"> with </w:t>
            </w:r>
            <w:r w:rsidRPr="00FA0D37">
              <w:rPr>
                <w:rFonts w:eastAsia="等线"/>
                <w:i/>
                <w:iCs/>
                <w:lang w:eastAsia="zh-CN"/>
              </w:rPr>
              <w:t>SearchSpaceId</w:t>
            </w:r>
            <w:r w:rsidRPr="00FA0D37">
              <w:rPr>
                <w:rFonts w:eastAsia="等线"/>
                <w:lang w:eastAsia="zh-CN"/>
              </w:rPr>
              <w:t xml:space="preserve"> &gt; 0. The CCE aggregation levels and maximum number of PDCCH candidates per CCE aggregation level follows Table 10.1-1 of TS38.213 </w:t>
            </w:r>
            <w:r w:rsidRPr="00FA0D37">
              <w:rPr>
                <w:rFonts w:eastAsia="MS Mincho"/>
                <w:lang w:eastAsia="sv-SE"/>
              </w:rPr>
              <w:t>[13]</w:t>
            </w:r>
            <w:r w:rsidRPr="00FA0D37">
              <w:rPr>
                <w:rFonts w:eastAsia="等线"/>
                <w:lang w:eastAsia="zh-CN"/>
              </w:rPr>
              <w:t xml:space="preserve">. </w:t>
            </w:r>
            <w:r w:rsidRPr="00FA0D37">
              <w:rPr>
                <w:rFonts w:eastAsia="等线"/>
                <w:i/>
                <w:lang w:eastAsia="zh-CN"/>
              </w:rPr>
              <w:t>SearchSpaceId</w:t>
            </w:r>
            <w:r w:rsidRPr="00FA0D37">
              <w:rPr>
                <w:rFonts w:eastAsia="等线"/>
                <w:lang w:eastAsia="zh-CN"/>
              </w:rPr>
              <w:t xml:space="preserve"> = 0 can be configured for the case of SS/PBCH block and CORESET multiplexing pattern 2 or 3.</w:t>
            </w:r>
          </w:p>
        </w:tc>
      </w:tr>
      <w:tr w:rsidR="005C7FF4" w:rsidRPr="00FA0D37"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FA0D37" w:rsidRDefault="00394471" w:rsidP="00964CC4">
            <w:pPr>
              <w:pStyle w:val="TAL"/>
              <w:rPr>
                <w:rFonts w:eastAsia="宋体"/>
                <w:szCs w:val="22"/>
                <w:lang w:eastAsia="sv-SE"/>
              </w:rPr>
            </w:pPr>
            <w:r w:rsidRPr="00FA0D37">
              <w:rPr>
                <w:rFonts w:eastAsia="宋体"/>
                <w:b/>
                <w:i/>
                <w:szCs w:val="22"/>
                <w:lang w:eastAsia="sv-SE"/>
              </w:rPr>
              <w:t>ra-SearchSpace</w:t>
            </w:r>
          </w:p>
          <w:p w14:paraId="54234AD7" w14:textId="0F54AC36" w:rsidR="00394471" w:rsidRPr="00FA0D37" w:rsidRDefault="00394471" w:rsidP="00964CC4">
            <w:pPr>
              <w:pStyle w:val="TAL"/>
              <w:rPr>
                <w:rFonts w:eastAsia="宋体"/>
                <w:szCs w:val="22"/>
                <w:lang w:eastAsia="sv-SE"/>
              </w:rPr>
            </w:pPr>
            <w:r w:rsidRPr="00FA0D37">
              <w:rPr>
                <w:rFonts w:eastAsia="宋体"/>
                <w:szCs w:val="22"/>
                <w:lang w:eastAsia="sv-SE"/>
              </w:rPr>
              <w:t>ID of the Search space for random access procedure (see TS 38.213 [13], clause 10.1). If the field is absent, the UE does not receive RAR in this BWP.</w:t>
            </w:r>
            <w:r w:rsidRPr="00FA0D37">
              <w:rPr>
                <w:lang w:eastAsia="sv-SE"/>
              </w:rPr>
              <w:t xml:space="preserve"> </w:t>
            </w:r>
            <w:r w:rsidRPr="00FA0D37">
              <w:rPr>
                <w:rFonts w:eastAsia="宋体"/>
                <w:szCs w:val="22"/>
                <w:lang w:eastAsia="sv-SE"/>
              </w:rPr>
              <w:t xml:space="preserve">This field is mandatory present in the DL BWP(s) if the conditions described in TS 38.321 [3], </w:t>
            </w:r>
            <w:r w:rsidR="009C7196" w:rsidRPr="00FA0D37">
              <w:rPr>
                <w:rFonts w:eastAsia="宋体"/>
                <w:szCs w:val="22"/>
                <w:lang w:eastAsia="sv-SE"/>
              </w:rPr>
              <w:t>clause</w:t>
            </w:r>
            <w:r w:rsidRPr="00FA0D37">
              <w:rPr>
                <w:rFonts w:eastAsia="宋体"/>
                <w:szCs w:val="22"/>
                <w:lang w:eastAsia="sv-SE"/>
              </w:rPr>
              <w:t xml:space="preserve"> 5.15 are met.</w:t>
            </w:r>
          </w:p>
        </w:tc>
      </w:tr>
      <w:tr w:rsidR="005C7FF4" w:rsidRPr="00FA0D37"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FA0D37" w:rsidRDefault="00870415" w:rsidP="00870415">
            <w:pPr>
              <w:pStyle w:val="TAL"/>
              <w:rPr>
                <w:rFonts w:eastAsia="宋体"/>
                <w:b/>
                <w:i/>
                <w:szCs w:val="22"/>
                <w:lang w:eastAsia="sv-SE"/>
              </w:rPr>
            </w:pPr>
            <w:r w:rsidRPr="00FA0D37">
              <w:rPr>
                <w:rFonts w:eastAsia="宋体"/>
                <w:b/>
                <w:i/>
                <w:szCs w:val="22"/>
                <w:lang w:eastAsia="sv-SE"/>
              </w:rPr>
              <w:t>sdt-SearchSpace</w:t>
            </w:r>
          </w:p>
          <w:p w14:paraId="2BDD2C0E" w14:textId="083E485F" w:rsidR="00870415" w:rsidRPr="00FA0D37" w:rsidRDefault="00870415" w:rsidP="00870415">
            <w:pPr>
              <w:pStyle w:val="TAL"/>
              <w:rPr>
                <w:rFonts w:eastAsia="宋体"/>
                <w:bCs/>
                <w:iCs/>
                <w:szCs w:val="22"/>
                <w:lang w:eastAsia="sv-SE"/>
              </w:rPr>
            </w:pPr>
            <w:r w:rsidRPr="00FA0D37">
              <w:rPr>
                <w:rFonts w:eastAsia="宋体"/>
                <w:bCs/>
                <w:iCs/>
                <w:szCs w:val="22"/>
                <w:lang w:eastAsia="sv-SE"/>
              </w:rPr>
              <w:t>Common search space for CG-SDT and RA-SDT (see TS 38.213 [13]).</w:t>
            </w:r>
            <w:r w:rsidR="005778E2" w:rsidRPr="00FA0D37">
              <w:rPr>
                <w:rFonts w:eastAsia="宋体"/>
                <w:bCs/>
                <w:iCs/>
                <w:szCs w:val="22"/>
                <w:lang w:eastAsia="sv-SE"/>
              </w:rPr>
              <w:t xml:space="preserve"> If an </w:t>
            </w:r>
            <w:r w:rsidR="005778E2" w:rsidRPr="00FA0D37">
              <w:rPr>
                <w:i/>
                <w:iCs/>
              </w:rPr>
              <w:t>existingSearchSpace</w:t>
            </w:r>
            <w:r w:rsidR="005778E2" w:rsidRPr="00FA0D37">
              <w:rPr>
                <w:rFonts w:eastAsia="宋体"/>
                <w:bCs/>
                <w:iCs/>
                <w:szCs w:val="22"/>
                <w:lang w:eastAsia="sv-SE"/>
              </w:rPr>
              <w:t xml:space="preserve"> is used, the network only signals the search space ID of the </w:t>
            </w:r>
            <w:r w:rsidR="005778E2" w:rsidRPr="00FA0D37">
              <w:rPr>
                <w:rFonts w:eastAsia="宋体"/>
                <w:bCs/>
                <w:i/>
                <w:szCs w:val="22"/>
                <w:lang w:eastAsia="sv-SE"/>
              </w:rPr>
              <w:t>ra-SearchSpace</w:t>
            </w:r>
            <w:r w:rsidR="005778E2" w:rsidRPr="00FA0D37">
              <w:rPr>
                <w:rFonts w:eastAsia="宋体"/>
                <w:bCs/>
                <w:iCs/>
                <w:szCs w:val="22"/>
                <w:lang w:eastAsia="sv-SE"/>
              </w:rPr>
              <w:t>.</w:t>
            </w:r>
          </w:p>
        </w:tc>
      </w:tr>
      <w:tr w:rsidR="005C7FF4" w:rsidRPr="00FA0D37"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FA0D37" w:rsidRDefault="00CE6FBC" w:rsidP="00771058">
            <w:pPr>
              <w:pStyle w:val="TAL"/>
              <w:rPr>
                <w:rFonts w:eastAsia="宋体"/>
                <w:szCs w:val="22"/>
                <w:lang w:eastAsia="sv-SE"/>
              </w:rPr>
            </w:pPr>
            <w:r w:rsidRPr="00FA0D37">
              <w:rPr>
                <w:rFonts w:eastAsia="宋体"/>
                <w:b/>
                <w:i/>
                <w:szCs w:val="22"/>
                <w:lang w:eastAsia="sv-SE"/>
              </w:rPr>
              <w:lastRenderedPageBreak/>
              <w:t>searchSpaceMCCH</w:t>
            </w:r>
          </w:p>
          <w:p w14:paraId="4613F5C3" w14:textId="0A513188" w:rsidR="00CE6FBC" w:rsidRPr="00FA0D37" w:rsidRDefault="00CE6FBC" w:rsidP="00771058">
            <w:pPr>
              <w:pStyle w:val="TAL"/>
              <w:rPr>
                <w:rFonts w:eastAsia="宋体"/>
                <w:b/>
                <w:i/>
                <w:szCs w:val="22"/>
                <w:lang w:eastAsia="sv-SE"/>
              </w:rPr>
            </w:pPr>
            <w:r w:rsidRPr="00FA0D37">
              <w:rPr>
                <w:rFonts w:eastAsia="宋体"/>
                <w:szCs w:val="22"/>
                <w:lang w:eastAsia="sv-SE"/>
              </w:rPr>
              <w:t xml:space="preserve">ID of the search space for </w:t>
            </w:r>
            <w:r w:rsidRPr="00FA0D37">
              <w:rPr>
                <w:rFonts w:eastAsia="宋体"/>
                <w:lang w:eastAsia="sv-SE"/>
              </w:rPr>
              <w:t>MCCH</w:t>
            </w:r>
            <w:r w:rsidRPr="00FA0D37">
              <w:rPr>
                <w:rFonts w:eastAsia="宋体"/>
                <w:szCs w:val="22"/>
                <w:lang w:eastAsia="sv-SE"/>
              </w:rPr>
              <w:t xml:space="preserve">. If the field is absent, the UE does not receive </w:t>
            </w:r>
            <w:r w:rsidRPr="00FA0D37">
              <w:rPr>
                <w:rFonts w:eastAsia="宋体"/>
                <w:lang w:eastAsia="sv-SE"/>
              </w:rPr>
              <w:t>MCCH</w:t>
            </w:r>
            <w:r w:rsidRPr="00FA0D37">
              <w:rPr>
                <w:rFonts w:eastAsia="宋体"/>
                <w:szCs w:val="22"/>
                <w:lang w:eastAsia="sv-SE"/>
              </w:rPr>
              <w:t xml:space="preserve"> in this BWP (see TS 38.213 [13], clause 10).</w:t>
            </w:r>
            <w:r w:rsidR="004A5E25" w:rsidRPr="00FA0D37">
              <w:rPr>
                <w:rFonts w:eastAsia="宋体"/>
                <w:szCs w:val="22"/>
                <w:lang w:eastAsia="sv-SE"/>
              </w:rPr>
              <w:t xml:space="preserve"> </w:t>
            </w:r>
            <w:r w:rsidR="004A5E25" w:rsidRPr="00FA0D37">
              <w:t>This field is absent for the RedCap-specific initial downlink BWP, if it does not include CD-SSB and the entire CORESET#0.</w:t>
            </w:r>
          </w:p>
        </w:tc>
      </w:tr>
      <w:tr w:rsidR="005C7FF4" w:rsidRPr="00FA0D37"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FA0D37" w:rsidRDefault="00CE6FBC" w:rsidP="00771058">
            <w:pPr>
              <w:pStyle w:val="TAL"/>
              <w:rPr>
                <w:rFonts w:eastAsia="宋体"/>
                <w:szCs w:val="22"/>
                <w:lang w:eastAsia="sv-SE"/>
              </w:rPr>
            </w:pPr>
            <w:r w:rsidRPr="00FA0D37">
              <w:rPr>
                <w:rFonts w:eastAsia="宋体"/>
                <w:b/>
                <w:i/>
                <w:szCs w:val="22"/>
                <w:lang w:eastAsia="sv-SE"/>
              </w:rPr>
              <w:t>searchSpaceMTCH</w:t>
            </w:r>
          </w:p>
          <w:p w14:paraId="215A3423" w14:textId="1BA02A97" w:rsidR="00CE6FBC" w:rsidRPr="00FA0D37" w:rsidRDefault="00CE6FBC" w:rsidP="00771058">
            <w:pPr>
              <w:pStyle w:val="TAL"/>
              <w:rPr>
                <w:rFonts w:eastAsia="宋体"/>
                <w:b/>
                <w:i/>
                <w:szCs w:val="22"/>
                <w:lang w:eastAsia="sv-SE"/>
              </w:rPr>
            </w:pPr>
            <w:r w:rsidRPr="00FA0D37">
              <w:rPr>
                <w:rFonts w:eastAsia="宋体"/>
                <w:szCs w:val="22"/>
                <w:lang w:eastAsia="sv-SE"/>
              </w:rPr>
              <w:t xml:space="preserve">ID of the search space for </w:t>
            </w:r>
            <w:r w:rsidRPr="00FA0D37">
              <w:rPr>
                <w:rFonts w:eastAsia="宋体"/>
                <w:lang w:eastAsia="sv-SE"/>
              </w:rPr>
              <w:t>MTCH</w:t>
            </w:r>
            <w:r w:rsidRPr="00FA0D37">
              <w:rPr>
                <w:rFonts w:eastAsia="宋体"/>
                <w:szCs w:val="22"/>
                <w:lang w:eastAsia="sv-SE"/>
              </w:rPr>
              <w:t xml:space="preserve"> of MBS broadcast. If the field is absent, the UE applies </w:t>
            </w:r>
            <w:r w:rsidRPr="00FA0D37">
              <w:rPr>
                <w:rFonts w:eastAsia="宋体"/>
                <w:i/>
                <w:szCs w:val="22"/>
                <w:lang w:eastAsia="sv-SE"/>
              </w:rPr>
              <w:t>searchSpaceMCCH</w:t>
            </w:r>
            <w:r w:rsidRPr="00FA0D37">
              <w:rPr>
                <w:rFonts w:eastAsia="宋体"/>
                <w:szCs w:val="22"/>
                <w:lang w:eastAsia="zh-CN"/>
              </w:rPr>
              <w:t xml:space="preserve"> </w:t>
            </w:r>
            <w:r w:rsidRPr="00FA0D37">
              <w:rPr>
                <w:rFonts w:eastAsia="宋体"/>
                <w:szCs w:val="22"/>
                <w:lang w:eastAsia="sv-SE"/>
              </w:rPr>
              <w:t>also for MTCH, (see TS 38.213 [13], clause 10).</w:t>
            </w:r>
            <w:r w:rsidR="004A5E25" w:rsidRPr="00FA0D37">
              <w:rPr>
                <w:rFonts w:eastAsia="宋体"/>
                <w:szCs w:val="22"/>
                <w:lang w:eastAsia="sv-SE"/>
              </w:rPr>
              <w:t xml:space="preserve"> </w:t>
            </w:r>
            <w:r w:rsidR="004A5E25" w:rsidRPr="00FA0D37">
              <w:t>This field is absent for the RedCap-specific initial downlink BWP, if it does not include CD-SSB and the entire CORESET#0.</w:t>
            </w:r>
          </w:p>
        </w:tc>
      </w:tr>
      <w:tr w:rsidR="00EF781F" w:rsidRPr="00FA0D37" w14:paraId="41F8F54C" w14:textId="77777777" w:rsidTr="00771058">
        <w:trPr>
          <w:ins w:id="1199" w:author="Huawei, HiSilicon" w:date="2023-12-06T15:44:00Z"/>
        </w:trPr>
        <w:tc>
          <w:tcPr>
            <w:tcW w:w="14173" w:type="dxa"/>
            <w:tcBorders>
              <w:top w:val="single" w:sz="4" w:space="0" w:color="auto"/>
              <w:left w:val="single" w:sz="4" w:space="0" w:color="auto"/>
              <w:bottom w:val="single" w:sz="4" w:space="0" w:color="auto"/>
              <w:right w:val="single" w:sz="4" w:space="0" w:color="auto"/>
            </w:tcBorders>
          </w:tcPr>
          <w:p w14:paraId="2247948F" w14:textId="77777777" w:rsidR="00EF781F" w:rsidRDefault="00EF781F" w:rsidP="00EF781F">
            <w:pPr>
              <w:keepNext/>
              <w:keepLines/>
              <w:spacing w:after="0"/>
              <w:rPr>
                <w:ins w:id="1200" w:author="Huawei, HiSilicon" w:date="2023-12-06T15:44:00Z"/>
                <w:rFonts w:ascii="Arial" w:eastAsia="宋体" w:hAnsi="Arial"/>
                <w:sz w:val="18"/>
                <w:szCs w:val="22"/>
                <w:lang w:eastAsia="sv-SE"/>
              </w:rPr>
            </w:pPr>
            <w:ins w:id="1201" w:author="Huawei, HiSilicon" w:date="2023-12-06T15:44:00Z">
              <w:r>
                <w:rPr>
                  <w:rFonts w:ascii="Arial" w:eastAsia="宋体" w:hAnsi="Arial"/>
                  <w:b/>
                  <w:i/>
                  <w:sz w:val="18"/>
                  <w:szCs w:val="22"/>
                  <w:lang w:eastAsia="sv-SE"/>
                </w:rPr>
                <w:t>searchSpaceMulticastMCCH</w:t>
              </w:r>
            </w:ins>
          </w:p>
          <w:p w14:paraId="3AD2BF12" w14:textId="2F1AF443" w:rsidR="00EF781F" w:rsidRPr="00FA0D37" w:rsidRDefault="00EF781F" w:rsidP="00EF781F">
            <w:pPr>
              <w:pStyle w:val="TAL"/>
              <w:rPr>
                <w:ins w:id="1202" w:author="Huawei, HiSilicon" w:date="2023-12-06T15:44:00Z"/>
                <w:rFonts w:eastAsia="宋体"/>
                <w:b/>
                <w:i/>
                <w:szCs w:val="22"/>
                <w:lang w:eastAsia="sv-SE"/>
              </w:rPr>
            </w:pPr>
            <w:ins w:id="1203" w:author="Huawei, HiSilicon" w:date="2023-12-06T15:44:00Z">
              <w:r>
                <w:rPr>
                  <w:rFonts w:eastAsia="宋体"/>
                  <w:szCs w:val="22"/>
                  <w:lang w:eastAsia="sv-SE"/>
                </w:rPr>
                <w:t xml:space="preserve">ID of the search space for multicast </w:t>
              </w:r>
              <w:r>
                <w:rPr>
                  <w:rFonts w:eastAsia="宋体"/>
                  <w:lang w:eastAsia="sv-SE"/>
                </w:rPr>
                <w:t>MCCH</w:t>
              </w:r>
              <w:r>
                <w:rPr>
                  <w:rFonts w:eastAsia="宋体"/>
                  <w:szCs w:val="22"/>
                  <w:lang w:eastAsia="sv-SE"/>
                </w:rPr>
                <w:t>. If the field is absent, the UE does not receive multicast</w:t>
              </w:r>
              <w:r>
                <w:rPr>
                  <w:rFonts w:eastAsia="宋体"/>
                  <w:lang w:eastAsia="sv-SE"/>
                </w:rPr>
                <w:t xml:space="preserve"> MCCH</w:t>
              </w:r>
              <w:r>
                <w:rPr>
                  <w:rFonts w:eastAsia="宋体"/>
                  <w:szCs w:val="22"/>
                  <w:lang w:eastAsia="sv-SE"/>
                </w:rPr>
                <w:t xml:space="preserve"> in this BWP (see TS 38.213 [13], clause 10). </w:t>
              </w:r>
              <w:r>
                <w:t>This field is absent for the RedCap-specific initial downlink BWP, if it does not include CD-SSB and the entire CORESET#0.</w:t>
              </w:r>
            </w:ins>
          </w:p>
        </w:tc>
      </w:tr>
      <w:tr w:rsidR="00EF781F" w:rsidRPr="00FA0D37" w14:paraId="06CDE6E1" w14:textId="77777777" w:rsidTr="00771058">
        <w:trPr>
          <w:ins w:id="1204" w:author="Huawei, HiSilicon" w:date="2023-12-06T15:44:00Z"/>
        </w:trPr>
        <w:tc>
          <w:tcPr>
            <w:tcW w:w="14173" w:type="dxa"/>
            <w:tcBorders>
              <w:top w:val="single" w:sz="4" w:space="0" w:color="auto"/>
              <w:left w:val="single" w:sz="4" w:space="0" w:color="auto"/>
              <w:bottom w:val="single" w:sz="4" w:space="0" w:color="auto"/>
              <w:right w:val="single" w:sz="4" w:space="0" w:color="auto"/>
            </w:tcBorders>
          </w:tcPr>
          <w:p w14:paraId="5F90AA60" w14:textId="77777777" w:rsidR="00EF781F" w:rsidRDefault="00EF781F" w:rsidP="00EF781F">
            <w:pPr>
              <w:keepNext/>
              <w:keepLines/>
              <w:spacing w:after="0"/>
              <w:rPr>
                <w:ins w:id="1205" w:author="Huawei, HiSilicon" w:date="2023-12-06T15:44:00Z"/>
                <w:rFonts w:ascii="Arial" w:eastAsia="宋体" w:hAnsi="Arial"/>
                <w:sz w:val="18"/>
                <w:szCs w:val="22"/>
                <w:lang w:eastAsia="sv-SE"/>
              </w:rPr>
            </w:pPr>
            <w:ins w:id="1206" w:author="Huawei, HiSilicon" w:date="2023-12-06T15:44:00Z">
              <w:r>
                <w:rPr>
                  <w:rFonts w:ascii="Arial" w:eastAsia="宋体" w:hAnsi="Arial"/>
                  <w:b/>
                  <w:i/>
                  <w:sz w:val="18"/>
                  <w:szCs w:val="22"/>
                  <w:lang w:eastAsia="sv-SE"/>
                </w:rPr>
                <w:t>searchSpaceMulticastMTCH</w:t>
              </w:r>
            </w:ins>
          </w:p>
          <w:p w14:paraId="451D0ECF" w14:textId="4BE505E8" w:rsidR="00EF781F" w:rsidRDefault="00EF781F" w:rsidP="00EF781F">
            <w:pPr>
              <w:keepNext/>
              <w:keepLines/>
              <w:spacing w:after="0"/>
              <w:rPr>
                <w:ins w:id="1207" w:author="Huawei, HiSilicon" w:date="2023-12-06T15:44:00Z"/>
                <w:rFonts w:ascii="Arial" w:eastAsia="宋体" w:hAnsi="Arial"/>
                <w:b/>
                <w:i/>
                <w:sz w:val="18"/>
                <w:szCs w:val="22"/>
                <w:lang w:eastAsia="sv-SE"/>
              </w:rPr>
            </w:pPr>
            <w:ins w:id="1208" w:author="Huawei, HiSilicon" w:date="2023-12-06T15:44:00Z">
              <w:r>
                <w:rPr>
                  <w:rFonts w:ascii="Arial" w:eastAsia="宋体" w:hAnsi="Arial"/>
                  <w:sz w:val="18"/>
                  <w:szCs w:val="22"/>
                  <w:lang w:eastAsia="sv-SE"/>
                </w:rPr>
                <w:t xml:space="preserve">ID of the search space for multicast </w:t>
              </w:r>
              <w:r>
                <w:rPr>
                  <w:rFonts w:ascii="Arial" w:eastAsia="宋体" w:hAnsi="Arial"/>
                  <w:sz w:val="18"/>
                  <w:lang w:eastAsia="sv-SE"/>
                </w:rPr>
                <w:t>MTCH</w:t>
              </w:r>
              <w:r>
                <w:rPr>
                  <w:rFonts w:ascii="Arial" w:eastAsia="宋体" w:hAnsi="Arial"/>
                  <w:sz w:val="18"/>
                  <w:szCs w:val="22"/>
                  <w:lang w:eastAsia="sv-SE"/>
                </w:rPr>
                <w:t xml:space="preserve">. If the field is absent, the UE applies </w:t>
              </w:r>
              <w:r>
                <w:rPr>
                  <w:rFonts w:ascii="Arial" w:eastAsia="宋体" w:hAnsi="Arial"/>
                  <w:i/>
                  <w:sz w:val="18"/>
                  <w:szCs w:val="22"/>
                  <w:lang w:eastAsia="sv-SE"/>
                </w:rPr>
                <w:t>searchSpace</w:t>
              </w:r>
              <w:r>
                <w:rPr>
                  <w:rFonts w:ascii="Arial" w:hAnsi="Arial"/>
                  <w:i/>
                  <w:sz w:val="18"/>
                  <w:szCs w:val="22"/>
                </w:rPr>
                <w:t>M</w:t>
              </w:r>
              <w:r>
                <w:rPr>
                  <w:rFonts w:ascii="Arial" w:eastAsia="宋体" w:hAnsi="Arial"/>
                  <w:i/>
                  <w:sz w:val="18"/>
                  <w:szCs w:val="22"/>
                  <w:lang w:eastAsia="sv-SE"/>
                </w:rPr>
                <w:t>ulticastMCCH</w:t>
              </w:r>
              <w:r>
                <w:rPr>
                  <w:rFonts w:ascii="Arial" w:eastAsia="宋体" w:hAnsi="Arial"/>
                  <w:sz w:val="18"/>
                  <w:szCs w:val="22"/>
                  <w:lang w:eastAsia="zh-CN"/>
                </w:rPr>
                <w:t xml:space="preserve"> </w:t>
              </w:r>
              <w:r>
                <w:rPr>
                  <w:rFonts w:ascii="Arial" w:eastAsia="宋体" w:hAnsi="Arial"/>
                  <w:sz w:val="18"/>
                  <w:szCs w:val="22"/>
                  <w:lang w:eastAsia="sv-SE"/>
                </w:rPr>
                <w:t xml:space="preserve">also for multicast MTCH, (see TS 38.213 [13], clause 10). </w:t>
              </w:r>
              <w:r>
                <w:rPr>
                  <w:rFonts w:ascii="Arial" w:hAnsi="Arial"/>
                  <w:sz w:val="18"/>
                </w:rPr>
                <w:t>This field is absent for the RedCap-specific initial downlink BWP, if it does not include CD-SSB and the entire CORESET#0.</w:t>
              </w:r>
            </w:ins>
          </w:p>
        </w:tc>
      </w:tr>
      <w:tr w:rsidR="005C7FF4" w:rsidRPr="00FA0D37"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FA0D37" w:rsidRDefault="00394471" w:rsidP="00964CC4">
            <w:pPr>
              <w:pStyle w:val="TAL"/>
              <w:rPr>
                <w:rFonts w:eastAsia="宋体"/>
                <w:szCs w:val="22"/>
                <w:lang w:eastAsia="sv-SE"/>
              </w:rPr>
            </w:pPr>
            <w:r w:rsidRPr="00FA0D37">
              <w:rPr>
                <w:rFonts w:eastAsia="宋体"/>
                <w:b/>
                <w:i/>
                <w:szCs w:val="22"/>
                <w:lang w:eastAsia="sv-SE"/>
              </w:rPr>
              <w:t>searchSpaceOtherSystemInformation</w:t>
            </w:r>
          </w:p>
          <w:p w14:paraId="5E383D91" w14:textId="5E9A0108" w:rsidR="00394471" w:rsidRPr="00FA0D37" w:rsidRDefault="00394471" w:rsidP="00964CC4">
            <w:pPr>
              <w:pStyle w:val="TAL"/>
              <w:rPr>
                <w:rFonts w:eastAsia="宋体"/>
                <w:szCs w:val="22"/>
                <w:lang w:eastAsia="sv-SE"/>
              </w:rPr>
            </w:pPr>
            <w:r w:rsidRPr="00FA0D37">
              <w:rPr>
                <w:rFonts w:eastAsia="宋体"/>
                <w:szCs w:val="22"/>
                <w:lang w:eastAsia="sv-SE"/>
              </w:rPr>
              <w:t xml:space="preserve">ID of the Search space for other system information, i.e., </w:t>
            </w:r>
            <w:r w:rsidRPr="00FA0D37">
              <w:rPr>
                <w:rFonts w:eastAsia="宋体"/>
                <w:i/>
                <w:lang w:eastAsia="sv-SE"/>
              </w:rPr>
              <w:t>SIB2</w:t>
            </w:r>
            <w:r w:rsidRPr="00FA0D37">
              <w:rPr>
                <w:rFonts w:eastAsia="宋体"/>
                <w:szCs w:val="22"/>
                <w:lang w:eastAsia="sv-SE"/>
              </w:rPr>
              <w:t xml:space="preserve"> and beyond (see TS 38.213 [13], clause 10.1)</w:t>
            </w:r>
            <w:r w:rsidR="008779EC" w:rsidRPr="00FA0D37">
              <w:rPr>
                <w:rFonts w:eastAsia="宋体"/>
                <w:szCs w:val="22"/>
                <w:lang w:eastAsia="sv-SE"/>
              </w:rPr>
              <w:t>.</w:t>
            </w:r>
            <w:r w:rsidRPr="00FA0D37">
              <w:rPr>
                <w:rFonts w:eastAsia="宋体"/>
                <w:szCs w:val="22"/>
                <w:lang w:eastAsia="sv-SE"/>
              </w:rPr>
              <w:t xml:space="preserve"> If the field is absent, the UE does not receive other system information in this BWP.</w:t>
            </w:r>
            <w:r w:rsidR="00AE678F" w:rsidRPr="00FA0D37">
              <w:rPr>
                <w:rFonts w:eastAsia="宋体"/>
                <w:szCs w:val="22"/>
                <w:lang w:eastAsia="sv-SE"/>
              </w:rPr>
              <w:t xml:space="preserve"> </w:t>
            </w:r>
            <w:r w:rsidR="00AE678F" w:rsidRPr="00FA0D37">
              <w:t>This field is absent for the RedCap</w:t>
            </w:r>
            <w:r w:rsidR="004A5E25" w:rsidRPr="00FA0D37">
              <w:t>-</w:t>
            </w:r>
            <w:r w:rsidR="00AE678F" w:rsidRPr="00FA0D37">
              <w:t>specific initial DL BWP, if it does not include CD-SSB and the entire CORESET#0.</w:t>
            </w:r>
            <w:r w:rsidR="00E358C0" w:rsidRPr="00FA0D37">
              <w:t xml:space="preserve"> In that case, a RedCap UE in RRC_IDLE or RRC_INACTIVE shall monitor PDCCH to receive other system information using </w:t>
            </w:r>
            <w:r w:rsidR="00E358C0" w:rsidRPr="00FA0D37">
              <w:rPr>
                <w:i/>
                <w:iCs/>
              </w:rPr>
              <w:t>searchSpaceOtherSystemInformation</w:t>
            </w:r>
            <w:r w:rsidR="00E358C0" w:rsidRPr="00FA0D37">
              <w:t xml:space="preserve"> in the initial DL BWP that includes CD-SSB and the entire CORESET#0.</w:t>
            </w:r>
          </w:p>
        </w:tc>
      </w:tr>
      <w:tr w:rsidR="005C7FF4" w:rsidRPr="00FA0D37"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FA0D37" w:rsidRDefault="00394471" w:rsidP="00964CC4">
            <w:pPr>
              <w:pStyle w:val="TAL"/>
              <w:rPr>
                <w:rFonts w:eastAsia="宋体"/>
                <w:szCs w:val="22"/>
                <w:lang w:eastAsia="sv-SE"/>
              </w:rPr>
            </w:pPr>
            <w:r w:rsidRPr="00FA0D37">
              <w:rPr>
                <w:rFonts w:eastAsia="宋体"/>
                <w:b/>
                <w:i/>
                <w:szCs w:val="22"/>
                <w:lang w:eastAsia="sv-SE"/>
              </w:rPr>
              <w:t>searchSpaceSIB1</w:t>
            </w:r>
          </w:p>
          <w:p w14:paraId="52D256CC" w14:textId="79AD9212" w:rsidR="00394471" w:rsidRPr="00FA0D37" w:rsidRDefault="00394471" w:rsidP="00964CC4">
            <w:pPr>
              <w:pStyle w:val="TAL"/>
              <w:rPr>
                <w:rFonts w:eastAsia="宋体"/>
                <w:szCs w:val="22"/>
                <w:lang w:eastAsia="sv-SE"/>
              </w:rPr>
            </w:pPr>
            <w:r w:rsidRPr="00FA0D37">
              <w:rPr>
                <w:rFonts w:eastAsia="宋体"/>
                <w:szCs w:val="22"/>
                <w:lang w:eastAsia="sv-SE"/>
              </w:rPr>
              <w:t xml:space="preserve">ID of the search space for </w:t>
            </w:r>
            <w:r w:rsidRPr="00FA0D37">
              <w:rPr>
                <w:rFonts w:eastAsia="宋体"/>
                <w:i/>
                <w:lang w:eastAsia="sv-SE"/>
              </w:rPr>
              <w:t>SIB1</w:t>
            </w:r>
            <w:r w:rsidRPr="00FA0D37">
              <w:rPr>
                <w:rFonts w:eastAsia="宋体"/>
                <w:szCs w:val="22"/>
                <w:lang w:eastAsia="sv-SE"/>
              </w:rPr>
              <w:t xml:space="preserve"> message. In the initial DL BWP of the UE′s PCell, the network sets this field to 0. If the field is absent, the UE does not receive </w:t>
            </w:r>
            <w:r w:rsidRPr="00FA0D37">
              <w:rPr>
                <w:rFonts w:eastAsia="宋体"/>
                <w:i/>
                <w:lang w:eastAsia="sv-SE"/>
              </w:rPr>
              <w:t>SIB1</w:t>
            </w:r>
            <w:r w:rsidRPr="00FA0D37">
              <w:rPr>
                <w:rFonts w:eastAsia="宋体"/>
                <w:szCs w:val="22"/>
                <w:lang w:eastAsia="sv-SE"/>
              </w:rPr>
              <w:t xml:space="preserve"> in this BWP. (see TS 38.213 [13], clause 10)</w:t>
            </w:r>
            <w:r w:rsidR="00AE678F" w:rsidRPr="00FA0D37">
              <w:rPr>
                <w:rFonts w:eastAsia="宋体"/>
                <w:szCs w:val="22"/>
                <w:lang w:eastAsia="sv-SE"/>
              </w:rPr>
              <w:t xml:space="preserve">. </w:t>
            </w:r>
            <w:r w:rsidR="00AE678F" w:rsidRPr="00FA0D37">
              <w:t>This field is absent for the RedCap</w:t>
            </w:r>
            <w:r w:rsidR="004A5E25" w:rsidRPr="00FA0D37">
              <w:t>-</w:t>
            </w:r>
            <w:r w:rsidR="00AE678F" w:rsidRPr="00FA0D37">
              <w:t>specific initial DL BWP, if it does not include CD-SSB and the entire CORESET#0.</w:t>
            </w:r>
            <w:r w:rsidR="0040224D" w:rsidRPr="00FA0D37">
              <w:t xml:space="preserve"> In that case, a RedCap UE in RRC_IDLE or RRC_INACTIVE shall monitor PDCCH to receive SIB1 using </w:t>
            </w:r>
            <w:r w:rsidR="0040224D" w:rsidRPr="00FA0D37">
              <w:rPr>
                <w:i/>
                <w:iCs/>
              </w:rPr>
              <w:t>searchSpaceSIB1</w:t>
            </w:r>
            <w:r w:rsidR="0040224D" w:rsidRPr="00FA0D37">
              <w:t xml:space="preserve"> in the initial DL BWP that includes CD-SSB and the entire CORESET#0.</w:t>
            </w:r>
          </w:p>
        </w:tc>
      </w:tr>
      <w:tr w:rsidR="00394471" w:rsidRPr="00FA0D37"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FA0D37" w:rsidRDefault="00394471" w:rsidP="00964CC4">
            <w:pPr>
              <w:pStyle w:val="TAL"/>
              <w:rPr>
                <w:rFonts w:eastAsia="宋体"/>
                <w:szCs w:val="22"/>
                <w:lang w:eastAsia="sv-SE"/>
              </w:rPr>
            </w:pPr>
            <w:r w:rsidRPr="00FA0D37">
              <w:rPr>
                <w:rFonts w:eastAsia="宋体"/>
                <w:b/>
                <w:i/>
                <w:szCs w:val="22"/>
                <w:lang w:eastAsia="sv-SE"/>
              </w:rPr>
              <w:t>searchSpaceZero</w:t>
            </w:r>
          </w:p>
          <w:p w14:paraId="245BF50A" w14:textId="77777777" w:rsidR="00394471" w:rsidRPr="00FA0D37" w:rsidRDefault="00394471" w:rsidP="00964CC4">
            <w:pPr>
              <w:pStyle w:val="TAL"/>
              <w:rPr>
                <w:rFonts w:eastAsia="宋体"/>
                <w:szCs w:val="22"/>
                <w:lang w:eastAsia="sv-SE"/>
              </w:rPr>
            </w:pPr>
            <w:r w:rsidRPr="00FA0D37">
              <w:rPr>
                <w:rFonts w:eastAsia="宋体"/>
                <w:szCs w:val="22"/>
                <w:lang w:eastAsia="sv-SE"/>
              </w:rPr>
              <w:t xml:space="preserve">Parameters of the common SearchSpace#0. The values are interpreted like the corresponding bits in </w:t>
            </w:r>
            <w:r w:rsidRPr="00FA0D37">
              <w:rPr>
                <w:rFonts w:eastAsia="宋体"/>
                <w:i/>
                <w:lang w:eastAsia="sv-SE"/>
              </w:rPr>
              <w:t>MIB</w:t>
            </w:r>
            <w:r w:rsidRPr="00FA0D37">
              <w:rPr>
                <w:rFonts w:eastAsia="宋体"/>
                <w:szCs w:val="22"/>
                <w:lang w:eastAsia="sv-SE"/>
              </w:rPr>
              <w:t xml:space="preserve"> </w:t>
            </w:r>
            <w:r w:rsidRPr="00FA0D37">
              <w:rPr>
                <w:rFonts w:eastAsia="宋体"/>
                <w:i/>
                <w:lang w:eastAsia="sv-SE"/>
              </w:rPr>
              <w:t>pdcch-ConfigSIB1</w:t>
            </w:r>
            <w:r w:rsidRPr="00FA0D37">
              <w:rPr>
                <w:rFonts w:eastAsia="宋体"/>
                <w:szCs w:val="22"/>
                <w:lang w:eastAsia="sv-SE"/>
              </w:rPr>
              <w:t xml:space="preserve">. Even though this field is only configured in the initial BWP (BWP#0), </w:t>
            </w:r>
            <w:r w:rsidRPr="00FA0D37">
              <w:rPr>
                <w:rFonts w:eastAsia="宋体"/>
                <w:i/>
                <w:lang w:eastAsia="sv-SE"/>
              </w:rPr>
              <w:t>searchSpaceZero</w:t>
            </w:r>
            <w:r w:rsidRPr="00FA0D37">
              <w:rPr>
                <w:rFonts w:eastAsia="宋体"/>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FA0D37" w:rsidRDefault="00394471" w:rsidP="00394471">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5C7FF4" w:rsidRPr="00FA0D37"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FA0D37" w:rsidRDefault="00394471" w:rsidP="00964CC4">
            <w:pPr>
              <w:pStyle w:val="TAH"/>
              <w:rPr>
                <w:rFonts w:eastAsia="宋体"/>
                <w:szCs w:val="22"/>
                <w:lang w:eastAsia="sv-SE"/>
              </w:rPr>
            </w:pPr>
            <w:r w:rsidRPr="00FA0D37">
              <w:rPr>
                <w:rFonts w:eastAsia="宋体"/>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FA0D37" w:rsidRDefault="00394471" w:rsidP="00964CC4">
            <w:pPr>
              <w:pStyle w:val="TAH"/>
              <w:rPr>
                <w:rFonts w:eastAsia="宋体"/>
                <w:szCs w:val="22"/>
                <w:lang w:eastAsia="sv-SE"/>
              </w:rPr>
            </w:pPr>
            <w:r w:rsidRPr="00FA0D37">
              <w:rPr>
                <w:rFonts w:eastAsia="宋体"/>
                <w:szCs w:val="22"/>
                <w:lang w:eastAsia="sv-SE"/>
              </w:rPr>
              <w:t>Explanation</w:t>
            </w:r>
          </w:p>
        </w:tc>
      </w:tr>
      <w:tr w:rsidR="005C7FF4" w:rsidRPr="00FA0D37"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394471" w:rsidRPr="00FA0D37" w:rsidRDefault="00394471" w:rsidP="00964CC4">
            <w:pPr>
              <w:pStyle w:val="TAL"/>
              <w:rPr>
                <w:rFonts w:eastAsia="宋体"/>
                <w:i/>
                <w:szCs w:val="22"/>
                <w:lang w:eastAsia="sv-SE"/>
              </w:rPr>
            </w:pPr>
            <w:r w:rsidRPr="00FA0D37">
              <w:rPr>
                <w:rFonts w:eastAsia="宋体"/>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72F1DEBC" w:rsidR="00394471" w:rsidRPr="00FA0D37" w:rsidRDefault="00394471" w:rsidP="00964CC4">
            <w:pPr>
              <w:pStyle w:val="TAL"/>
              <w:rPr>
                <w:rFonts w:eastAsia="宋体"/>
                <w:szCs w:val="22"/>
                <w:lang w:eastAsia="sv-SE"/>
              </w:rPr>
            </w:pPr>
            <w:r w:rsidRPr="00FA0D37">
              <w:rPr>
                <w:rFonts w:eastAsia="宋体"/>
                <w:szCs w:val="22"/>
                <w:lang w:eastAsia="sv-SE"/>
              </w:rPr>
              <w:t xml:space="preserve">If </w:t>
            </w:r>
            <w:r w:rsidRPr="00FA0D37">
              <w:rPr>
                <w:rFonts w:eastAsia="宋体"/>
                <w:i/>
                <w:lang w:eastAsia="sv-SE"/>
              </w:rPr>
              <w:t>SIB1</w:t>
            </w:r>
            <w:r w:rsidRPr="00FA0D37">
              <w:rPr>
                <w:rFonts w:eastAsia="宋体"/>
                <w:szCs w:val="22"/>
                <w:lang w:eastAsia="sv-SE"/>
              </w:rPr>
              <w:t xml:space="preserve"> is broadcast the field is mandatory present in the </w:t>
            </w:r>
            <w:r w:rsidRPr="00FA0D37">
              <w:rPr>
                <w:rFonts w:eastAsia="宋体"/>
                <w:i/>
                <w:szCs w:val="22"/>
                <w:lang w:eastAsia="sv-SE"/>
              </w:rPr>
              <w:t>PDCCH-ConfigCommon</w:t>
            </w:r>
            <w:r w:rsidRPr="00FA0D37">
              <w:rPr>
                <w:rFonts w:eastAsia="宋体"/>
                <w:szCs w:val="22"/>
                <w:lang w:eastAsia="sv-SE"/>
              </w:rPr>
              <w:t xml:space="preserve"> of the initial BWP (BWP#0) in </w:t>
            </w:r>
            <w:r w:rsidRPr="00FA0D37">
              <w:rPr>
                <w:rFonts w:eastAsia="宋体"/>
                <w:i/>
                <w:szCs w:val="22"/>
                <w:lang w:eastAsia="sv-SE"/>
              </w:rPr>
              <w:t>ServingCellConfigCommon</w:t>
            </w:r>
            <w:r w:rsidR="004A5E25" w:rsidRPr="00FA0D37">
              <w:rPr>
                <w:rFonts w:eastAsia="宋体"/>
                <w:iCs/>
                <w:szCs w:val="22"/>
                <w:lang w:eastAsia="sv-SE"/>
              </w:rPr>
              <w:t xml:space="preserve"> except it is the RedCap-specific initial BWP not including CD-SSB and the entire CORESET#0</w:t>
            </w:r>
            <w:r w:rsidRPr="00FA0D37">
              <w:rPr>
                <w:rFonts w:eastAsia="宋体"/>
                <w:szCs w:val="22"/>
                <w:lang w:eastAsia="sv-SE"/>
              </w:rPr>
              <w:t xml:space="preserve">; it is absent in other BWPs and when sent in system information. If SIB1 is not broadcast and there is an SSB associated to the cell, the field is optionally present, Need M, in the </w:t>
            </w:r>
            <w:r w:rsidRPr="00FA0D37">
              <w:rPr>
                <w:rFonts w:eastAsia="宋体"/>
                <w:i/>
                <w:szCs w:val="22"/>
                <w:lang w:eastAsia="sv-SE"/>
              </w:rPr>
              <w:t>PDCCH-ConfigCommon</w:t>
            </w:r>
            <w:r w:rsidRPr="00FA0D37">
              <w:rPr>
                <w:rFonts w:eastAsia="宋体"/>
                <w:szCs w:val="22"/>
                <w:lang w:eastAsia="sv-SE"/>
              </w:rPr>
              <w:t xml:space="preserve"> of the initial BWP (BWP#0) in </w:t>
            </w:r>
            <w:r w:rsidRPr="00FA0D37">
              <w:rPr>
                <w:rFonts w:eastAsia="宋体"/>
                <w:i/>
                <w:szCs w:val="22"/>
                <w:lang w:eastAsia="sv-SE"/>
              </w:rPr>
              <w:t>ServingCellConfigCommon</w:t>
            </w:r>
            <w:r w:rsidRPr="00FA0D37">
              <w:rPr>
                <w:rFonts w:eastAsia="宋体"/>
                <w:szCs w:val="22"/>
                <w:lang w:eastAsia="sv-SE"/>
              </w:rPr>
              <w:t xml:space="preserve"> (still with the same setting for all UEs). In other cases, the field is absent.</w:t>
            </w:r>
          </w:p>
        </w:tc>
      </w:tr>
      <w:tr w:rsidR="005C7FF4" w:rsidRPr="00FA0D37" w14:paraId="1FF97CF7"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159E610" w14:textId="77777777" w:rsidR="00394471" w:rsidRPr="00FA0D37" w:rsidRDefault="00394471" w:rsidP="00964CC4">
            <w:pPr>
              <w:pStyle w:val="TAL"/>
              <w:rPr>
                <w:rFonts w:eastAsia="宋体"/>
                <w:i/>
                <w:lang w:eastAsia="sv-SE"/>
              </w:rPr>
            </w:pPr>
            <w:r w:rsidRPr="00FA0D37">
              <w:rPr>
                <w:rFonts w:eastAsia="宋体"/>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50DBEBFF" w14:textId="13724A17" w:rsidR="00394471" w:rsidRPr="00FA0D37" w:rsidRDefault="00394471" w:rsidP="00964CC4">
            <w:pPr>
              <w:pStyle w:val="TAL"/>
              <w:rPr>
                <w:rFonts w:eastAsia="宋体"/>
                <w:lang w:eastAsia="sv-SE"/>
              </w:rPr>
            </w:pPr>
            <w:r w:rsidRPr="00FA0D37">
              <w:rPr>
                <w:rFonts w:eastAsia="宋体"/>
                <w:lang w:eastAsia="sv-SE"/>
              </w:rPr>
              <w:t xml:space="preserve">This field is optionally present, Need R, if this BWP is not the </w:t>
            </w:r>
            <w:r w:rsidR="00AE678F" w:rsidRPr="00FA0D37">
              <w:rPr>
                <w:rFonts w:eastAsia="宋体"/>
                <w:i/>
                <w:iCs/>
                <w:lang w:eastAsia="sv-SE"/>
              </w:rPr>
              <w:t>initialDownlinkBWP</w:t>
            </w:r>
            <w:r w:rsidRPr="00FA0D37">
              <w:rPr>
                <w:rFonts w:eastAsia="宋体"/>
                <w:lang w:eastAsia="sv-SE"/>
              </w:rPr>
              <w:t xml:space="preserve"> and </w:t>
            </w:r>
            <w:r w:rsidRPr="00FA0D37">
              <w:rPr>
                <w:rFonts w:eastAsia="宋体"/>
                <w:i/>
                <w:lang w:eastAsia="sv-SE"/>
              </w:rPr>
              <w:t>pagingSearchSpace</w:t>
            </w:r>
            <w:r w:rsidRPr="00FA0D37">
              <w:rPr>
                <w:rFonts w:eastAsia="宋体"/>
                <w:lang w:eastAsia="sv-SE"/>
              </w:rPr>
              <w:t xml:space="preserve"> is configured in this BWP. Otherwise this field is absent.</w:t>
            </w:r>
          </w:p>
        </w:tc>
      </w:tr>
      <w:tr w:rsidR="00F747EB" w:rsidRPr="00FA0D37"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5220C9" w:rsidRPr="00FA0D37" w:rsidRDefault="005220C9" w:rsidP="0071565C">
            <w:pPr>
              <w:pStyle w:val="TAL"/>
              <w:rPr>
                <w:rFonts w:eastAsia="宋体"/>
                <w:i/>
                <w:lang w:eastAsia="sv-SE"/>
              </w:rPr>
            </w:pPr>
            <w:r w:rsidRPr="00FA0D37">
              <w:rPr>
                <w:rFonts w:eastAsia="宋体"/>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5220C9" w:rsidRPr="00FA0D37" w:rsidRDefault="005220C9" w:rsidP="0071565C">
            <w:pPr>
              <w:pStyle w:val="TAL"/>
              <w:rPr>
                <w:rFonts w:eastAsia="宋体"/>
                <w:lang w:eastAsia="sv-SE"/>
              </w:rPr>
            </w:pPr>
            <w:r w:rsidRPr="00FA0D37">
              <w:rPr>
                <w:rFonts w:eastAsia="宋体"/>
                <w:lang w:eastAsia="sv-SE"/>
              </w:rPr>
              <w:t xml:space="preserve">This field is optionally present, Need R, if this BWP is the </w:t>
            </w:r>
            <w:r w:rsidRPr="00FA0D37">
              <w:rPr>
                <w:rFonts w:eastAsia="宋体"/>
                <w:i/>
                <w:iCs/>
                <w:lang w:eastAsia="sv-SE"/>
              </w:rPr>
              <w:t>initialDownlinkBWP</w:t>
            </w:r>
            <w:r w:rsidRPr="00FA0D37">
              <w:rPr>
                <w:rFonts w:eastAsia="宋体"/>
                <w:lang w:eastAsia="sv-SE"/>
              </w:rPr>
              <w:t xml:space="preserve"> or </w:t>
            </w:r>
            <w:r w:rsidRPr="00FA0D37">
              <w:rPr>
                <w:rFonts w:eastAsia="宋体"/>
                <w:i/>
                <w:iCs/>
                <w:lang w:eastAsia="sv-SE"/>
              </w:rPr>
              <w:t>initialDownlinkBWP-RedCap</w:t>
            </w:r>
            <w:r w:rsidR="004A5E25" w:rsidRPr="00FA0D37">
              <w:rPr>
                <w:rFonts w:eastAsia="宋体"/>
                <w:lang w:eastAsia="sv-SE"/>
              </w:rPr>
              <w:t xml:space="preserve"> including CD-SSB and the entire CORESET#0</w:t>
            </w:r>
            <w:r w:rsidRPr="00FA0D37">
              <w:rPr>
                <w:rFonts w:eastAsia="宋体"/>
                <w:lang w:eastAsia="sv-SE"/>
              </w:rPr>
              <w:t xml:space="preserve">, and </w:t>
            </w:r>
            <w:r w:rsidRPr="00FA0D37">
              <w:rPr>
                <w:rFonts w:eastAsia="宋体"/>
                <w:i/>
                <w:iCs/>
                <w:lang w:eastAsia="sv-SE"/>
              </w:rPr>
              <w:t>pei-Config</w:t>
            </w:r>
            <w:r w:rsidRPr="00FA0D37">
              <w:rPr>
                <w:rFonts w:eastAsia="宋体"/>
                <w:lang w:eastAsia="sv-SE"/>
              </w:rPr>
              <w:t xml:space="preserve"> is configured in </w:t>
            </w:r>
            <w:r w:rsidRPr="00FA0D37">
              <w:rPr>
                <w:rFonts w:eastAsia="宋体"/>
                <w:i/>
                <w:iCs/>
                <w:lang w:eastAsia="sv-SE"/>
              </w:rPr>
              <w:t>DownlinkConfigCommonSIB</w:t>
            </w:r>
            <w:r w:rsidRPr="00FA0D37">
              <w:rPr>
                <w:rFonts w:eastAsia="宋体"/>
                <w:lang w:eastAsia="sv-SE"/>
              </w:rPr>
              <w:t>. Otherwise</w:t>
            </w:r>
            <w:r w:rsidR="004A5E25" w:rsidRPr="00FA0D37">
              <w:rPr>
                <w:rFonts w:eastAsia="宋体"/>
                <w:lang w:eastAsia="sv-SE"/>
              </w:rPr>
              <w:t>,</w:t>
            </w:r>
            <w:r w:rsidRPr="00FA0D37">
              <w:rPr>
                <w:rFonts w:eastAsia="宋体"/>
                <w:lang w:eastAsia="sv-SE"/>
              </w:rPr>
              <w:t xml:space="preserve"> this field is absent.</w:t>
            </w:r>
          </w:p>
        </w:tc>
      </w:tr>
    </w:tbl>
    <w:p w14:paraId="413BD5B7" w14:textId="77777777" w:rsidR="00394471" w:rsidRPr="00FA0D37" w:rsidRDefault="00394471" w:rsidP="00394471"/>
    <w:p w14:paraId="2F8299FC" w14:textId="77777777" w:rsidR="00394471" w:rsidRPr="00FA0D37" w:rsidRDefault="00394471" w:rsidP="00394471">
      <w:pPr>
        <w:pStyle w:val="4"/>
      </w:pPr>
      <w:bookmarkStart w:id="1209" w:name="_Toc60777298"/>
      <w:bookmarkStart w:id="1210" w:name="_Toc146781377"/>
      <w:r w:rsidRPr="00FA0D37">
        <w:t>–</w:t>
      </w:r>
      <w:r w:rsidRPr="00FA0D37">
        <w:tab/>
      </w:r>
      <w:r w:rsidRPr="00FA0D37">
        <w:rPr>
          <w:i/>
        </w:rPr>
        <w:t>PDCCH-ConfigSIB1</w:t>
      </w:r>
      <w:bookmarkEnd w:id="1209"/>
      <w:bookmarkEnd w:id="1210"/>
    </w:p>
    <w:p w14:paraId="405A1D7B" w14:textId="77777777" w:rsidR="00394471" w:rsidRPr="00FA0D37" w:rsidRDefault="00394471" w:rsidP="00394471">
      <w:r w:rsidRPr="00FA0D37">
        <w:t xml:space="preserve">The IE </w:t>
      </w:r>
      <w:r w:rsidRPr="00FA0D37">
        <w:rPr>
          <w:i/>
        </w:rPr>
        <w:t>PDCCH-ConfigSIB1</w:t>
      </w:r>
      <w:r w:rsidRPr="00FA0D37">
        <w:t xml:space="preserve"> is used to configure </w:t>
      </w:r>
      <w:r w:rsidRPr="00FA0D37">
        <w:rPr>
          <w:rFonts w:eastAsia="宋体"/>
          <w:lang w:eastAsia="zh-CN"/>
        </w:rPr>
        <w:t>CORESET#0 and search space#0</w:t>
      </w:r>
      <w:r w:rsidRPr="00FA0D37">
        <w:t>.</w:t>
      </w:r>
    </w:p>
    <w:p w14:paraId="5C29D5B8" w14:textId="77777777" w:rsidR="00394471" w:rsidRPr="00FA0D37" w:rsidRDefault="00394471" w:rsidP="00394471">
      <w:pPr>
        <w:pStyle w:val="TH"/>
      </w:pPr>
      <w:r w:rsidRPr="00FA0D37">
        <w:rPr>
          <w:i/>
        </w:rPr>
        <w:lastRenderedPageBreak/>
        <w:t>PDCCH-ConfigSIB1</w:t>
      </w:r>
      <w:r w:rsidRPr="00FA0D37">
        <w:t xml:space="preserve"> information element</w:t>
      </w:r>
    </w:p>
    <w:p w14:paraId="4BF8CC1C" w14:textId="77777777" w:rsidR="00394471" w:rsidRPr="00FA0D37" w:rsidRDefault="00394471" w:rsidP="00FA0D37">
      <w:pPr>
        <w:pStyle w:val="PL"/>
        <w:rPr>
          <w:color w:val="808080"/>
        </w:rPr>
      </w:pPr>
      <w:r w:rsidRPr="00FA0D37">
        <w:rPr>
          <w:color w:val="808080"/>
        </w:rPr>
        <w:t>-- ASN1START</w:t>
      </w:r>
    </w:p>
    <w:p w14:paraId="22BB26F7" w14:textId="77777777" w:rsidR="00394471" w:rsidRPr="00FA0D37" w:rsidRDefault="00394471" w:rsidP="00FA0D37">
      <w:pPr>
        <w:pStyle w:val="PL"/>
        <w:rPr>
          <w:color w:val="808080"/>
        </w:rPr>
      </w:pPr>
      <w:r w:rsidRPr="00FA0D37">
        <w:rPr>
          <w:color w:val="808080"/>
        </w:rPr>
        <w:t>-- TAG-PDCCH-CONFIGSIB1-START</w:t>
      </w:r>
    </w:p>
    <w:p w14:paraId="00D28E94" w14:textId="77777777" w:rsidR="00394471" w:rsidRPr="00FA0D37" w:rsidRDefault="00394471" w:rsidP="00FA0D37">
      <w:pPr>
        <w:pStyle w:val="PL"/>
      </w:pPr>
    </w:p>
    <w:p w14:paraId="28B463C3" w14:textId="77777777" w:rsidR="00394471" w:rsidRPr="00FA0D37" w:rsidRDefault="00394471" w:rsidP="00FA0D37">
      <w:pPr>
        <w:pStyle w:val="PL"/>
      </w:pPr>
      <w:r w:rsidRPr="00FA0D37">
        <w:t xml:space="preserve">PDCCH-ConfigSIB1 ::=                </w:t>
      </w:r>
      <w:r w:rsidRPr="00FA0D37">
        <w:rPr>
          <w:color w:val="993366"/>
        </w:rPr>
        <w:t>SEQUENCE</w:t>
      </w:r>
      <w:r w:rsidRPr="00FA0D37">
        <w:t xml:space="preserve"> {</w:t>
      </w:r>
    </w:p>
    <w:p w14:paraId="2B63F8D3" w14:textId="77777777" w:rsidR="00394471" w:rsidRPr="00FA0D37" w:rsidRDefault="00394471" w:rsidP="00FA0D37">
      <w:pPr>
        <w:pStyle w:val="PL"/>
      </w:pPr>
      <w:r w:rsidRPr="00FA0D37">
        <w:t xml:space="preserve">    controlResourceSetZero              ControlResourceSetZero,</w:t>
      </w:r>
    </w:p>
    <w:p w14:paraId="354D727C" w14:textId="77777777" w:rsidR="00394471" w:rsidRPr="00FA0D37" w:rsidRDefault="00394471" w:rsidP="00FA0D37">
      <w:pPr>
        <w:pStyle w:val="PL"/>
      </w:pPr>
      <w:r w:rsidRPr="00FA0D37">
        <w:t xml:space="preserve">    searchSpaceZero                     SearchSpaceZero</w:t>
      </w:r>
    </w:p>
    <w:p w14:paraId="772DC73D" w14:textId="77777777" w:rsidR="00394471" w:rsidRPr="00FA0D37" w:rsidRDefault="00394471" w:rsidP="00FA0D37">
      <w:pPr>
        <w:pStyle w:val="PL"/>
      </w:pPr>
      <w:r w:rsidRPr="00FA0D37">
        <w:t>}</w:t>
      </w:r>
    </w:p>
    <w:p w14:paraId="32415C98" w14:textId="77777777" w:rsidR="00394471" w:rsidRPr="00FA0D37" w:rsidRDefault="00394471" w:rsidP="00FA0D37">
      <w:pPr>
        <w:pStyle w:val="PL"/>
      </w:pPr>
    </w:p>
    <w:p w14:paraId="108A04F8" w14:textId="77777777" w:rsidR="00394471" w:rsidRPr="00FA0D37" w:rsidRDefault="00394471" w:rsidP="00FA0D37">
      <w:pPr>
        <w:pStyle w:val="PL"/>
        <w:rPr>
          <w:color w:val="808080"/>
        </w:rPr>
      </w:pPr>
      <w:r w:rsidRPr="00FA0D37">
        <w:rPr>
          <w:color w:val="808080"/>
        </w:rPr>
        <w:t>-- TAG-PDCCH-CONFIGSIB1-STOP</w:t>
      </w:r>
    </w:p>
    <w:p w14:paraId="19ED5817" w14:textId="77777777" w:rsidR="00394471" w:rsidRPr="00FA0D37" w:rsidRDefault="00394471" w:rsidP="00FA0D37">
      <w:pPr>
        <w:pStyle w:val="PL"/>
        <w:rPr>
          <w:color w:val="808080"/>
        </w:rPr>
      </w:pPr>
      <w:r w:rsidRPr="00FA0D37">
        <w:rPr>
          <w:color w:val="808080"/>
        </w:rPr>
        <w:t>-- ASN1STOP</w:t>
      </w:r>
    </w:p>
    <w:p w14:paraId="4159347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FA0D37" w:rsidRDefault="00394471" w:rsidP="00964CC4">
            <w:pPr>
              <w:pStyle w:val="TAH"/>
              <w:rPr>
                <w:szCs w:val="22"/>
                <w:lang w:eastAsia="sv-SE"/>
              </w:rPr>
            </w:pPr>
            <w:r w:rsidRPr="00FA0D37">
              <w:rPr>
                <w:i/>
                <w:szCs w:val="22"/>
                <w:lang w:eastAsia="sv-SE"/>
              </w:rPr>
              <w:t xml:space="preserve">PDCCH-ConfigSIB1 </w:t>
            </w:r>
            <w:r w:rsidRPr="00FA0D37">
              <w:rPr>
                <w:szCs w:val="22"/>
                <w:lang w:eastAsia="sv-SE"/>
              </w:rPr>
              <w:t>field descriptions</w:t>
            </w:r>
          </w:p>
        </w:tc>
      </w:tr>
      <w:tr w:rsidR="005C7FF4" w:rsidRPr="00FA0D37"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FA0D37" w:rsidRDefault="00394471" w:rsidP="00964CC4">
            <w:pPr>
              <w:pStyle w:val="TAL"/>
              <w:rPr>
                <w:szCs w:val="22"/>
                <w:lang w:eastAsia="sv-SE"/>
              </w:rPr>
            </w:pPr>
            <w:r w:rsidRPr="00FA0D37">
              <w:rPr>
                <w:b/>
                <w:i/>
                <w:szCs w:val="22"/>
                <w:lang w:eastAsia="sv-SE"/>
              </w:rPr>
              <w:t>controlResourceSetZero</w:t>
            </w:r>
          </w:p>
          <w:p w14:paraId="43F46E2E" w14:textId="77777777" w:rsidR="00394471" w:rsidRPr="00FA0D37" w:rsidRDefault="00394471" w:rsidP="00964CC4">
            <w:pPr>
              <w:pStyle w:val="TAL"/>
              <w:rPr>
                <w:szCs w:val="22"/>
                <w:lang w:eastAsia="sv-SE"/>
              </w:rPr>
            </w:pPr>
            <w:r w:rsidRPr="00FA0D37">
              <w:rPr>
                <w:szCs w:val="22"/>
                <w:lang w:eastAsia="sv-SE"/>
              </w:rPr>
              <w:t xml:space="preserve">Determines a common ControlResourceSet (CORESET) </w:t>
            </w:r>
            <w:r w:rsidRPr="00FA0D37">
              <w:rPr>
                <w:rFonts w:eastAsia="宋体"/>
                <w:szCs w:val="22"/>
                <w:lang w:eastAsia="zh-CN"/>
              </w:rPr>
              <w:t>with ID #0</w:t>
            </w:r>
            <w:r w:rsidRPr="00FA0D37">
              <w:rPr>
                <w:szCs w:val="22"/>
                <w:lang w:eastAsia="sv-SE"/>
              </w:rPr>
              <w:t>, see TS 38.213 [13], clause 13.</w:t>
            </w:r>
          </w:p>
        </w:tc>
      </w:tr>
      <w:tr w:rsidR="00394471" w:rsidRPr="00FA0D37"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FA0D37" w:rsidRDefault="00394471" w:rsidP="00964CC4">
            <w:pPr>
              <w:pStyle w:val="TAL"/>
              <w:rPr>
                <w:szCs w:val="22"/>
                <w:lang w:eastAsia="sv-SE"/>
              </w:rPr>
            </w:pPr>
            <w:r w:rsidRPr="00FA0D37">
              <w:rPr>
                <w:b/>
                <w:i/>
                <w:szCs w:val="22"/>
                <w:lang w:eastAsia="sv-SE"/>
              </w:rPr>
              <w:t>searchSpaceZero</w:t>
            </w:r>
          </w:p>
          <w:p w14:paraId="510AFA0F" w14:textId="77777777" w:rsidR="00394471" w:rsidRPr="00FA0D37" w:rsidRDefault="00394471" w:rsidP="00964CC4">
            <w:pPr>
              <w:pStyle w:val="TAL"/>
              <w:rPr>
                <w:szCs w:val="22"/>
                <w:lang w:eastAsia="sv-SE"/>
              </w:rPr>
            </w:pPr>
            <w:r w:rsidRPr="00FA0D37">
              <w:rPr>
                <w:szCs w:val="22"/>
                <w:lang w:eastAsia="sv-SE"/>
              </w:rPr>
              <w:t xml:space="preserve">Determines a common search space </w:t>
            </w:r>
            <w:r w:rsidRPr="00FA0D37">
              <w:rPr>
                <w:rFonts w:eastAsia="宋体"/>
                <w:szCs w:val="22"/>
                <w:lang w:eastAsia="zh-CN"/>
              </w:rPr>
              <w:t xml:space="preserve">with ID #0, see </w:t>
            </w:r>
            <w:r w:rsidRPr="00FA0D37">
              <w:rPr>
                <w:szCs w:val="22"/>
                <w:lang w:eastAsia="sv-SE"/>
              </w:rPr>
              <w:t>TS 38.213 [13], clause 13</w:t>
            </w:r>
            <w:r w:rsidRPr="00FA0D37">
              <w:rPr>
                <w:rFonts w:eastAsia="宋体"/>
                <w:szCs w:val="22"/>
                <w:lang w:eastAsia="zh-CN"/>
              </w:rPr>
              <w:t>.</w:t>
            </w:r>
          </w:p>
        </w:tc>
      </w:tr>
    </w:tbl>
    <w:p w14:paraId="73571B10" w14:textId="77777777" w:rsidR="00394471" w:rsidRPr="00FA0D37" w:rsidRDefault="00394471" w:rsidP="00394471"/>
    <w:p w14:paraId="6FB6365C" w14:textId="77777777" w:rsidR="00394471" w:rsidRPr="00FA0D37" w:rsidRDefault="00394471" w:rsidP="00394471">
      <w:pPr>
        <w:pStyle w:val="4"/>
        <w:rPr>
          <w:rFonts w:eastAsia="宋体"/>
        </w:rPr>
      </w:pPr>
      <w:bookmarkStart w:id="1211" w:name="_Toc60777299"/>
      <w:bookmarkStart w:id="1212" w:name="_Toc146781378"/>
      <w:r w:rsidRPr="00FA0D37">
        <w:rPr>
          <w:rFonts w:eastAsia="宋体"/>
        </w:rPr>
        <w:t>–</w:t>
      </w:r>
      <w:r w:rsidRPr="00FA0D37">
        <w:rPr>
          <w:rFonts w:eastAsia="宋体"/>
        </w:rPr>
        <w:tab/>
      </w:r>
      <w:r w:rsidRPr="00FA0D37">
        <w:rPr>
          <w:rFonts w:eastAsia="宋体"/>
          <w:i/>
        </w:rPr>
        <w:t>PDCCH-ServingCellConfig</w:t>
      </w:r>
      <w:bookmarkEnd w:id="1211"/>
      <w:bookmarkEnd w:id="1212"/>
    </w:p>
    <w:p w14:paraId="3C5069DF" w14:textId="77777777" w:rsidR="00394471" w:rsidRPr="00FA0D37" w:rsidRDefault="00394471" w:rsidP="00394471">
      <w:pPr>
        <w:rPr>
          <w:rFonts w:eastAsia="宋体"/>
        </w:rPr>
      </w:pPr>
      <w:r w:rsidRPr="00FA0D37">
        <w:rPr>
          <w:rFonts w:eastAsia="宋体"/>
        </w:rPr>
        <w:t xml:space="preserve">The IE </w:t>
      </w:r>
      <w:r w:rsidRPr="00FA0D37">
        <w:rPr>
          <w:rFonts w:eastAsia="宋体"/>
          <w:i/>
        </w:rPr>
        <w:t>PDCCH-ServingCellConfig</w:t>
      </w:r>
      <w:r w:rsidRPr="00FA0D37">
        <w:rPr>
          <w:rFonts w:eastAsia="宋体"/>
        </w:rPr>
        <w:t xml:space="preserve"> is used to configure UE specific PDCCH parameters applicable across all bandwidth parts of a serving cell.</w:t>
      </w:r>
    </w:p>
    <w:p w14:paraId="73FA72FD" w14:textId="77777777" w:rsidR="00394471" w:rsidRPr="00FA0D37" w:rsidRDefault="00394471" w:rsidP="00394471">
      <w:pPr>
        <w:pStyle w:val="TH"/>
        <w:rPr>
          <w:rFonts w:eastAsia="宋体"/>
        </w:rPr>
      </w:pPr>
      <w:r w:rsidRPr="00FA0D37">
        <w:rPr>
          <w:rFonts w:eastAsia="宋体"/>
          <w:i/>
        </w:rPr>
        <w:t>PDCCH-ServingCellConfig</w:t>
      </w:r>
      <w:r w:rsidRPr="00FA0D37">
        <w:rPr>
          <w:rFonts w:eastAsia="宋体"/>
        </w:rPr>
        <w:t xml:space="preserve"> information element</w:t>
      </w:r>
    </w:p>
    <w:p w14:paraId="6A1A5216" w14:textId="77777777" w:rsidR="00394471" w:rsidRPr="00FA0D37" w:rsidRDefault="00394471" w:rsidP="00FA0D37">
      <w:pPr>
        <w:pStyle w:val="PL"/>
        <w:rPr>
          <w:color w:val="808080"/>
        </w:rPr>
      </w:pPr>
      <w:r w:rsidRPr="00FA0D37">
        <w:rPr>
          <w:color w:val="808080"/>
        </w:rPr>
        <w:t>-- ASN1START</w:t>
      </w:r>
    </w:p>
    <w:p w14:paraId="0ECC11B4" w14:textId="77777777" w:rsidR="00394471" w:rsidRPr="00FA0D37" w:rsidRDefault="00394471" w:rsidP="00FA0D37">
      <w:pPr>
        <w:pStyle w:val="PL"/>
        <w:rPr>
          <w:color w:val="808080"/>
        </w:rPr>
      </w:pPr>
      <w:r w:rsidRPr="00FA0D37">
        <w:rPr>
          <w:color w:val="808080"/>
        </w:rPr>
        <w:t>-- TAG-PDCCH-SERVINGCELLCONFIG-START</w:t>
      </w:r>
    </w:p>
    <w:p w14:paraId="45CFD598" w14:textId="77777777" w:rsidR="00394471" w:rsidRPr="00FA0D37" w:rsidRDefault="00394471" w:rsidP="00FA0D37">
      <w:pPr>
        <w:pStyle w:val="PL"/>
      </w:pPr>
    </w:p>
    <w:p w14:paraId="514212B1" w14:textId="77777777" w:rsidR="00394471" w:rsidRPr="00FA0D37" w:rsidRDefault="00394471" w:rsidP="00FA0D37">
      <w:pPr>
        <w:pStyle w:val="PL"/>
      </w:pPr>
      <w:r w:rsidRPr="00FA0D37">
        <w:t xml:space="preserve">PDCCH-ServingCellConfig ::=         </w:t>
      </w:r>
      <w:r w:rsidRPr="00FA0D37">
        <w:rPr>
          <w:color w:val="993366"/>
        </w:rPr>
        <w:t>SEQUENCE</w:t>
      </w:r>
      <w:r w:rsidRPr="00FA0D37">
        <w:t xml:space="preserve"> {</w:t>
      </w:r>
    </w:p>
    <w:p w14:paraId="6ED3EE68" w14:textId="77777777" w:rsidR="00394471" w:rsidRPr="00FA0D37" w:rsidRDefault="00394471" w:rsidP="00FA0D37">
      <w:pPr>
        <w:pStyle w:val="PL"/>
        <w:rPr>
          <w:color w:val="808080"/>
        </w:rPr>
      </w:pPr>
      <w:r w:rsidRPr="00FA0D37">
        <w:t xml:space="preserve">    slotFormatIndicator                 SetupRelease { SlotFormatIndicator }                                </w:t>
      </w:r>
      <w:r w:rsidRPr="00FA0D37">
        <w:rPr>
          <w:color w:val="993366"/>
        </w:rPr>
        <w:t>OPTIONAL</w:t>
      </w:r>
      <w:r w:rsidRPr="00FA0D37">
        <w:t xml:space="preserve">,   </w:t>
      </w:r>
      <w:r w:rsidRPr="00FA0D37">
        <w:rPr>
          <w:color w:val="808080"/>
        </w:rPr>
        <w:t>-- Need M</w:t>
      </w:r>
    </w:p>
    <w:p w14:paraId="536E1161" w14:textId="77777777" w:rsidR="00394471" w:rsidRPr="00FA0D37" w:rsidRDefault="00394471" w:rsidP="00FA0D37">
      <w:pPr>
        <w:pStyle w:val="PL"/>
      </w:pPr>
      <w:r w:rsidRPr="00FA0D37">
        <w:t xml:space="preserve">    ...,</w:t>
      </w:r>
    </w:p>
    <w:p w14:paraId="409D8AFC" w14:textId="77777777" w:rsidR="00394471" w:rsidRPr="00FA0D37" w:rsidRDefault="00394471" w:rsidP="00FA0D37">
      <w:pPr>
        <w:pStyle w:val="PL"/>
      </w:pPr>
      <w:r w:rsidRPr="00FA0D37">
        <w:t xml:space="preserve">    [[</w:t>
      </w:r>
    </w:p>
    <w:p w14:paraId="76E9A9BB" w14:textId="77777777" w:rsidR="00394471" w:rsidRPr="00FA0D37" w:rsidRDefault="00394471" w:rsidP="00FA0D37">
      <w:pPr>
        <w:pStyle w:val="PL"/>
        <w:rPr>
          <w:color w:val="808080"/>
        </w:rPr>
      </w:pPr>
      <w:r w:rsidRPr="00FA0D37">
        <w:t xml:space="preserve">    availabilityIndicator-r16           SetupRelease {AvailabilityIndicator-r16}                            </w:t>
      </w:r>
      <w:r w:rsidRPr="00FA0D37">
        <w:rPr>
          <w:color w:val="993366"/>
        </w:rPr>
        <w:t>OPTIONAL</w:t>
      </w:r>
      <w:r w:rsidRPr="00FA0D37">
        <w:t xml:space="preserve">,   </w:t>
      </w:r>
      <w:r w:rsidRPr="00FA0D37">
        <w:rPr>
          <w:color w:val="808080"/>
        </w:rPr>
        <w:t>-- Need M</w:t>
      </w:r>
    </w:p>
    <w:p w14:paraId="7D215002" w14:textId="77777777" w:rsidR="00394471" w:rsidRPr="00FA0D37" w:rsidRDefault="00394471" w:rsidP="00FA0D37">
      <w:pPr>
        <w:pStyle w:val="PL"/>
        <w:rPr>
          <w:color w:val="808080"/>
        </w:rPr>
      </w:pPr>
      <w:r w:rsidRPr="00FA0D37">
        <w:t xml:space="preserve">    searchSpaceSwitchTimer-r16          </w:t>
      </w:r>
      <w:r w:rsidRPr="00FA0D37">
        <w:rPr>
          <w:color w:val="993366"/>
        </w:rPr>
        <w:t>INTEGER</w:t>
      </w:r>
      <w:r w:rsidRPr="00FA0D37">
        <w:t xml:space="preserve"> (1..80)                                                     </w:t>
      </w:r>
      <w:r w:rsidRPr="00FA0D37">
        <w:rPr>
          <w:color w:val="993366"/>
        </w:rPr>
        <w:t>OPTIONAL</w:t>
      </w:r>
      <w:r w:rsidRPr="00FA0D37">
        <w:t xml:space="preserve">    </w:t>
      </w:r>
      <w:r w:rsidRPr="00FA0D37">
        <w:rPr>
          <w:color w:val="808080"/>
        </w:rPr>
        <w:t>-- Need R</w:t>
      </w:r>
    </w:p>
    <w:p w14:paraId="1F863681" w14:textId="031A66EE" w:rsidR="00655B5E" w:rsidRPr="00FA0D37" w:rsidRDefault="00394471" w:rsidP="00FA0D37">
      <w:pPr>
        <w:pStyle w:val="PL"/>
      </w:pPr>
      <w:r w:rsidRPr="00FA0D37">
        <w:t xml:space="preserve">    ]]</w:t>
      </w:r>
      <w:r w:rsidR="00655B5E" w:rsidRPr="00FA0D37">
        <w:t>,</w:t>
      </w:r>
    </w:p>
    <w:p w14:paraId="7AE5AFED" w14:textId="77777777" w:rsidR="00655B5E" w:rsidRPr="00FA0D37" w:rsidRDefault="00655B5E" w:rsidP="00FA0D37">
      <w:pPr>
        <w:pStyle w:val="PL"/>
      </w:pPr>
      <w:r w:rsidRPr="00FA0D37">
        <w:t xml:space="preserve">    [[</w:t>
      </w:r>
    </w:p>
    <w:p w14:paraId="589B18B9" w14:textId="592D3DB5" w:rsidR="00655B5E" w:rsidRPr="00FA0D37" w:rsidRDefault="00655B5E" w:rsidP="00FA0D37">
      <w:pPr>
        <w:pStyle w:val="PL"/>
        <w:rPr>
          <w:color w:val="808080"/>
        </w:rPr>
      </w:pPr>
      <w:r w:rsidRPr="00FA0D37">
        <w:t xml:space="preserve">    searchSpaceSwitchTimer-v1710        </w:t>
      </w:r>
      <w:r w:rsidRPr="00FA0D37">
        <w:rPr>
          <w:color w:val="993366"/>
        </w:rPr>
        <w:t>INTEGER</w:t>
      </w:r>
      <w:r w:rsidRPr="00FA0D37">
        <w:t xml:space="preserve"> (81..1280)                                                  </w:t>
      </w:r>
      <w:r w:rsidRPr="00FA0D37">
        <w:rPr>
          <w:color w:val="993366"/>
        </w:rPr>
        <w:t>OPTIONAL</w:t>
      </w:r>
      <w:r w:rsidRPr="00FA0D37">
        <w:t xml:space="preserve">    </w:t>
      </w:r>
      <w:r w:rsidRPr="00FA0D37">
        <w:rPr>
          <w:color w:val="808080"/>
        </w:rPr>
        <w:t>-- Need R</w:t>
      </w:r>
    </w:p>
    <w:p w14:paraId="02075E48" w14:textId="51105456" w:rsidR="00394471" w:rsidRPr="00FA0D37" w:rsidRDefault="00655B5E" w:rsidP="00FA0D37">
      <w:pPr>
        <w:pStyle w:val="PL"/>
      </w:pPr>
      <w:r w:rsidRPr="00FA0D37">
        <w:t xml:space="preserve">    ]]</w:t>
      </w:r>
    </w:p>
    <w:p w14:paraId="6FB8A5E1" w14:textId="77777777" w:rsidR="00394471" w:rsidRPr="00FA0D37" w:rsidRDefault="00394471" w:rsidP="00FA0D37">
      <w:pPr>
        <w:pStyle w:val="PL"/>
      </w:pPr>
      <w:r w:rsidRPr="00FA0D37">
        <w:t>}</w:t>
      </w:r>
    </w:p>
    <w:p w14:paraId="19C08BA6" w14:textId="77777777" w:rsidR="00394471" w:rsidRPr="00FA0D37" w:rsidRDefault="00394471" w:rsidP="00FA0D37">
      <w:pPr>
        <w:pStyle w:val="PL"/>
      </w:pPr>
    </w:p>
    <w:p w14:paraId="0ABA20DF" w14:textId="77777777" w:rsidR="00394471" w:rsidRPr="00FA0D37" w:rsidRDefault="00394471" w:rsidP="00FA0D37">
      <w:pPr>
        <w:pStyle w:val="PL"/>
        <w:rPr>
          <w:color w:val="808080"/>
        </w:rPr>
      </w:pPr>
      <w:r w:rsidRPr="00FA0D37">
        <w:rPr>
          <w:color w:val="808080"/>
        </w:rPr>
        <w:t>-- TAG-PDCCH-SERVINGCELLCONFIG-STOP</w:t>
      </w:r>
    </w:p>
    <w:p w14:paraId="218BBC04" w14:textId="77777777" w:rsidR="00394471" w:rsidRPr="00FA0D37" w:rsidRDefault="00394471" w:rsidP="00FA0D37">
      <w:pPr>
        <w:pStyle w:val="PL"/>
        <w:rPr>
          <w:color w:val="808080"/>
        </w:rPr>
      </w:pPr>
      <w:r w:rsidRPr="00FA0D37">
        <w:rPr>
          <w:color w:val="808080"/>
        </w:rPr>
        <w:t>-- ASN1STOP</w:t>
      </w:r>
    </w:p>
    <w:p w14:paraId="08B8B75A"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FA0D37" w:rsidRDefault="00394471" w:rsidP="00964CC4">
            <w:pPr>
              <w:pStyle w:val="TAH"/>
              <w:rPr>
                <w:rFonts w:eastAsia="宋体"/>
                <w:szCs w:val="22"/>
                <w:lang w:eastAsia="sv-SE"/>
              </w:rPr>
            </w:pPr>
            <w:r w:rsidRPr="00FA0D37">
              <w:rPr>
                <w:rFonts w:eastAsia="宋体"/>
                <w:i/>
                <w:szCs w:val="22"/>
                <w:lang w:eastAsia="sv-SE"/>
              </w:rPr>
              <w:lastRenderedPageBreak/>
              <w:t xml:space="preserve">PDCCH-ServingCellConfig </w:t>
            </w:r>
            <w:r w:rsidRPr="00FA0D37">
              <w:rPr>
                <w:rFonts w:eastAsia="宋体"/>
                <w:szCs w:val="22"/>
                <w:lang w:eastAsia="sv-SE"/>
              </w:rPr>
              <w:t>field descriptions</w:t>
            </w:r>
          </w:p>
        </w:tc>
      </w:tr>
      <w:tr w:rsidR="005C7FF4" w:rsidRPr="00FA0D37"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FA0D37" w:rsidRDefault="00394471" w:rsidP="00964CC4">
            <w:pPr>
              <w:pStyle w:val="TAL"/>
              <w:rPr>
                <w:rFonts w:eastAsiaTheme="minorEastAsia"/>
                <w:b/>
                <w:bCs/>
                <w:i/>
                <w:iCs/>
                <w:lang w:eastAsia="sv-SE"/>
              </w:rPr>
            </w:pPr>
            <w:r w:rsidRPr="00FA0D37">
              <w:rPr>
                <w:rFonts w:eastAsia="宋体"/>
                <w:b/>
                <w:bCs/>
                <w:i/>
                <w:iCs/>
                <w:lang w:eastAsia="sv-SE"/>
              </w:rPr>
              <w:t>availabilityIndicator</w:t>
            </w:r>
          </w:p>
          <w:p w14:paraId="6C667AD0" w14:textId="77777777" w:rsidR="00394471" w:rsidRPr="00FA0D37" w:rsidRDefault="00394471" w:rsidP="00964CC4">
            <w:pPr>
              <w:pStyle w:val="TAL"/>
              <w:rPr>
                <w:rFonts w:eastAsia="宋体"/>
                <w:lang w:eastAsia="sv-SE"/>
              </w:rPr>
            </w:pPr>
            <w:r w:rsidRPr="00FA0D37">
              <w:rPr>
                <w:rFonts w:eastAsia="宋体"/>
                <w:lang w:eastAsia="sv-SE"/>
              </w:rPr>
              <w:t>Use to configure monitoring a PDCCH for Availability Indicators (AI).</w:t>
            </w:r>
          </w:p>
        </w:tc>
      </w:tr>
      <w:tr w:rsidR="005C7FF4" w:rsidRPr="00FA0D37"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FA0D37" w:rsidRDefault="00394471" w:rsidP="00964CC4">
            <w:pPr>
              <w:pStyle w:val="TAL"/>
              <w:rPr>
                <w:rFonts w:eastAsia="宋体"/>
                <w:b/>
                <w:bCs/>
                <w:i/>
                <w:iCs/>
                <w:lang w:eastAsia="sv-SE"/>
              </w:rPr>
            </w:pPr>
            <w:r w:rsidRPr="00FA0D37">
              <w:rPr>
                <w:rFonts w:eastAsia="宋体"/>
                <w:b/>
                <w:bCs/>
                <w:i/>
                <w:iCs/>
                <w:lang w:eastAsia="sv-SE"/>
              </w:rPr>
              <w:t>searchSpaceSwitchTimer</w:t>
            </w:r>
          </w:p>
          <w:p w14:paraId="260C0D14" w14:textId="22910D27" w:rsidR="00655B5E" w:rsidRPr="00FA0D37" w:rsidRDefault="00394471" w:rsidP="00964CC4">
            <w:pPr>
              <w:pStyle w:val="TAL"/>
              <w:rPr>
                <w:rFonts w:eastAsia="宋体"/>
                <w:lang w:eastAsia="sv-SE"/>
              </w:rPr>
            </w:pPr>
            <w:r w:rsidRPr="00FA0D37">
              <w:rPr>
                <w:rFonts w:eastAsia="宋体"/>
                <w:lang w:eastAsia="sv-SE"/>
              </w:rPr>
              <w:t>The value of the timer in slots for monitoring PDCCH in the active DL BWP of the serving cell before moving to the default search space group (see TS 38.213 [13], clause 10.4).</w:t>
            </w:r>
          </w:p>
          <w:p w14:paraId="484C0A2F" w14:textId="31B25EDF" w:rsidR="00655B5E" w:rsidRPr="00FA0D37" w:rsidRDefault="00394471" w:rsidP="00964CC4">
            <w:pPr>
              <w:pStyle w:val="TAL"/>
              <w:rPr>
                <w:rFonts w:eastAsia="宋体"/>
                <w:lang w:eastAsia="sv-SE"/>
              </w:rPr>
            </w:pPr>
            <w:r w:rsidRPr="00FA0D37">
              <w:rPr>
                <w:rFonts w:eastAsia="宋体"/>
                <w:lang w:eastAsia="sv-SE"/>
              </w:rPr>
              <w:t>For 15 kHz SCS, {1..20} are valid.</w:t>
            </w:r>
          </w:p>
          <w:p w14:paraId="75555F5A" w14:textId="22EE525A" w:rsidR="00655B5E" w:rsidRPr="00FA0D37" w:rsidRDefault="00394471" w:rsidP="00964CC4">
            <w:pPr>
              <w:pStyle w:val="TAL"/>
              <w:rPr>
                <w:rFonts w:eastAsia="宋体"/>
                <w:lang w:eastAsia="sv-SE"/>
              </w:rPr>
            </w:pPr>
            <w:r w:rsidRPr="00FA0D37">
              <w:rPr>
                <w:rFonts w:eastAsia="宋体"/>
                <w:lang w:eastAsia="sv-SE"/>
              </w:rPr>
              <w:t>For 30 kHz SCS, {1..40} are valid.</w:t>
            </w:r>
          </w:p>
          <w:p w14:paraId="55FA4FE7" w14:textId="2BDA0929" w:rsidR="00655B5E" w:rsidRPr="00FA0D37" w:rsidRDefault="00394471" w:rsidP="00964CC4">
            <w:pPr>
              <w:pStyle w:val="TAL"/>
              <w:rPr>
                <w:rFonts w:eastAsia="宋体"/>
                <w:lang w:eastAsia="sv-SE"/>
              </w:rPr>
            </w:pPr>
            <w:r w:rsidRPr="00FA0D37">
              <w:rPr>
                <w:rFonts w:eastAsia="宋体"/>
                <w:lang w:eastAsia="sv-SE"/>
              </w:rPr>
              <w:t>For 60kHz SCS, {1..80} are valid.</w:t>
            </w:r>
          </w:p>
          <w:p w14:paraId="47409CA8" w14:textId="77777777" w:rsidR="00655B5E" w:rsidRPr="00FA0D37" w:rsidRDefault="00655B5E" w:rsidP="00655B5E">
            <w:pPr>
              <w:pStyle w:val="TAL"/>
              <w:rPr>
                <w:rFonts w:eastAsia="宋体"/>
                <w:lang w:eastAsia="sv-SE"/>
              </w:rPr>
            </w:pPr>
            <w:r w:rsidRPr="00FA0D37">
              <w:rPr>
                <w:rFonts w:eastAsia="宋体"/>
                <w:lang w:eastAsia="sv-SE"/>
              </w:rPr>
              <w:t>For 120 kHz SCS, {1..160} are valid.</w:t>
            </w:r>
          </w:p>
          <w:p w14:paraId="14C6B173" w14:textId="77777777" w:rsidR="00655B5E" w:rsidRPr="00FA0D37" w:rsidRDefault="00655B5E" w:rsidP="00655B5E">
            <w:pPr>
              <w:pStyle w:val="TAL"/>
              <w:rPr>
                <w:rFonts w:eastAsia="宋体"/>
                <w:lang w:eastAsia="sv-SE"/>
              </w:rPr>
            </w:pPr>
            <w:r w:rsidRPr="00FA0D37">
              <w:rPr>
                <w:rFonts w:eastAsia="宋体"/>
                <w:lang w:eastAsia="sv-SE"/>
              </w:rPr>
              <w:t>For 480 kHz SCS, {1..640} are valid.</w:t>
            </w:r>
          </w:p>
          <w:p w14:paraId="25924925" w14:textId="77777777" w:rsidR="00655B5E" w:rsidRPr="00FA0D37" w:rsidRDefault="00655B5E" w:rsidP="00655B5E">
            <w:pPr>
              <w:pStyle w:val="TAL"/>
              <w:rPr>
                <w:rFonts w:eastAsia="宋体"/>
                <w:lang w:eastAsia="sv-SE"/>
              </w:rPr>
            </w:pPr>
            <w:r w:rsidRPr="00FA0D37">
              <w:rPr>
                <w:rFonts w:eastAsia="宋体"/>
                <w:lang w:eastAsia="sv-SE"/>
              </w:rPr>
              <w:t>For 960 kHz SCS, {1..1280} are valid.</w:t>
            </w:r>
          </w:p>
          <w:p w14:paraId="282269B6" w14:textId="08483A89" w:rsidR="00394471" w:rsidRPr="00FA0D37" w:rsidRDefault="00394471" w:rsidP="00964CC4">
            <w:pPr>
              <w:pStyle w:val="TAL"/>
              <w:rPr>
                <w:rFonts w:eastAsia="宋体"/>
                <w:lang w:eastAsia="sv-SE"/>
              </w:rPr>
            </w:pPr>
            <w:r w:rsidRPr="00FA0D37">
              <w:rPr>
                <w:rFonts w:eastAsia="宋体"/>
                <w:lang w:eastAsia="sv-SE"/>
              </w:rPr>
              <w:t xml:space="preserve">The network configures the same value for all serving cells in the same </w:t>
            </w:r>
            <w:r w:rsidRPr="00FA0D37">
              <w:rPr>
                <w:rFonts w:eastAsia="宋体"/>
                <w:i/>
                <w:iCs/>
              </w:rPr>
              <w:t>CellGroupForSwitch</w:t>
            </w:r>
            <w:r w:rsidRPr="00FA0D37">
              <w:rPr>
                <w:rFonts w:eastAsia="宋体"/>
                <w:lang w:eastAsia="sv-SE"/>
              </w:rPr>
              <w:t>.</w:t>
            </w:r>
          </w:p>
        </w:tc>
      </w:tr>
      <w:tr w:rsidR="00394471" w:rsidRPr="00FA0D37"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FA0D37" w:rsidRDefault="00394471" w:rsidP="00964CC4">
            <w:pPr>
              <w:pStyle w:val="TAL"/>
              <w:rPr>
                <w:rFonts w:eastAsia="宋体"/>
                <w:b/>
                <w:bCs/>
                <w:i/>
                <w:iCs/>
                <w:lang w:eastAsia="sv-SE"/>
              </w:rPr>
            </w:pPr>
            <w:r w:rsidRPr="00FA0D37">
              <w:rPr>
                <w:rFonts w:eastAsia="宋体"/>
                <w:b/>
                <w:bCs/>
                <w:i/>
                <w:iCs/>
                <w:lang w:eastAsia="sv-SE"/>
              </w:rPr>
              <w:t>slotFormatIndicator</w:t>
            </w:r>
          </w:p>
          <w:p w14:paraId="444316F3" w14:textId="77777777" w:rsidR="00394471" w:rsidRPr="00FA0D37" w:rsidRDefault="00394471" w:rsidP="00964CC4">
            <w:pPr>
              <w:pStyle w:val="TAL"/>
              <w:rPr>
                <w:rFonts w:eastAsia="宋体"/>
                <w:lang w:eastAsia="sv-SE"/>
              </w:rPr>
            </w:pPr>
            <w:r w:rsidRPr="00FA0D37">
              <w:rPr>
                <w:rFonts w:eastAsia="宋体"/>
                <w:lang w:eastAsia="sv-SE"/>
              </w:rPr>
              <w:t>Configuration of Slot-Format-Indicators to be monitored in the correspondingly configured PDCCHs of this serving cell.</w:t>
            </w:r>
          </w:p>
        </w:tc>
      </w:tr>
    </w:tbl>
    <w:p w14:paraId="530B0C53" w14:textId="77777777" w:rsidR="00394471" w:rsidRPr="00FA0D37" w:rsidRDefault="00394471" w:rsidP="00394471"/>
    <w:p w14:paraId="69E4A6F7" w14:textId="77777777" w:rsidR="00394471" w:rsidRPr="00FA0D37" w:rsidRDefault="00394471" w:rsidP="00394471">
      <w:pPr>
        <w:pStyle w:val="4"/>
        <w:rPr>
          <w:rFonts w:eastAsia="宋体"/>
        </w:rPr>
      </w:pPr>
      <w:bookmarkStart w:id="1213" w:name="_Toc60777300"/>
      <w:bookmarkStart w:id="1214" w:name="_Toc146781379"/>
      <w:r w:rsidRPr="00FA0D37">
        <w:rPr>
          <w:rFonts w:eastAsia="宋体"/>
        </w:rPr>
        <w:t>–</w:t>
      </w:r>
      <w:r w:rsidRPr="00FA0D37">
        <w:rPr>
          <w:rFonts w:eastAsia="宋体"/>
        </w:rPr>
        <w:tab/>
      </w:r>
      <w:r w:rsidRPr="00FA0D37">
        <w:rPr>
          <w:rFonts w:eastAsia="宋体"/>
          <w:i/>
        </w:rPr>
        <w:t>PDCP-Config</w:t>
      </w:r>
      <w:bookmarkEnd w:id="1213"/>
      <w:bookmarkEnd w:id="1214"/>
    </w:p>
    <w:p w14:paraId="03E63145" w14:textId="096C1042" w:rsidR="00394471" w:rsidRPr="00FA0D37" w:rsidRDefault="00394471" w:rsidP="00394471">
      <w:r w:rsidRPr="00FA0D37">
        <w:t xml:space="preserve">The IE </w:t>
      </w:r>
      <w:r w:rsidRPr="00FA0D37">
        <w:rPr>
          <w:i/>
        </w:rPr>
        <w:t>PDCP-Config</w:t>
      </w:r>
      <w:r w:rsidRPr="00FA0D37">
        <w:t xml:space="preserve"> is used to set the configurable PDCP parameters for signalling</w:t>
      </w:r>
      <w:r w:rsidR="00CE6FBC" w:rsidRPr="00FA0D37">
        <w:t>, MBS multicast</w:t>
      </w:r>
      <w:r w:rsidRPr="00FA0D37">
        <w:t xml:space="preserve"> and data radio bearers.</w:t>
      </w:r>
    </w:p>
    <w:p w14:paraId="30FCC7E2" w14:textId="77777777" w:rsidR="00394471" w:rsidRPr="00FA0D37" w:rsidRDefault="00394471" w:rsidP="00394471">
      <w:pPr>
        <w:pStyle w:val="TH"/>
        <w:rPr>
          <w:rFonts w:eastAsia="宋体"/>
          <w:lang w:eastAsia="zh-CN"/>
        </w:rPr>
      </w:pPr>
      <w:r w:rsidRPr="00FA0D37">
        <w:rPr>
          <w:i/>
          <w:lang w:eastAsia="zh-CN"/>
        </w:rPr>
        <w:t>PDCP-Config</w:t>
      </w:r>
      <w:r w:rsidRPr="00FA0D37">
        <w:rPr>
          <w:lang w:eastAsia="zh-CN"/>
        </w:rPr>
        <w:t xml:space="preserve"> information element</w:t>
      </w:r>
    </w:p>
    <w:p w14:paraId="6C8CFC32" w14:textId="77777777" w:rsidR="00394471" w:rsidRPr="00FA0D37" w:rsidRDefault="00394471" w:rsidP="00FA0D37">
      <w:pPr>
        <w:pStyle w:val="PL"/>
        <w:rPr>
          <w:color w:val="808080"/>
        </w:rPr>
      </w:pPr>
      <w:r w:rsidRPr="00FA0D37">
        <w:rPr>
          <w:color w:val="808080"/>
        </w:rPr>
        <w:t>-- ASN1START</w:t>
      </w:r>
    </w:p>
    <w:p w14:paraId="77B3F4DC" w14:textId="77777777" w:rsidR="00394471" w:rsidRPr="00FA0D37" w:rsidRDefault="00394471" w:rsidP="00FA0D37">
      <w:pPr>
        <w:pStyle w:val="PL"/>
        <w:rPr>
          <w:color w:val="808080"/>
        </w:rPr>
      </w:pPr>
      <w:r w:rsidRPr="00FA0D37">
        <w:rPr>
          <w:color w:val="808080"/>
        </w:rPr>
        <w:t>-- TAG-PDCP-CONFIG-START</w:t>
      </w:r>
    </w:p>
    <w:p w14:paraId="4DC58EF0" w14:textId="77777777" w:rsidR="00394471" w:rsidRPr="00FA0D37" w:rsidRDefault="00394471" w:rsidP="00FA0D37">
      <w:pPr>
        <w:pStyle w:val="PL"/>
      </w:pPr>
    </w:p>
    <w:p w14:paraId="2F096022" w14:textId="77777777" w:rsidR="00394471" w:rsidRPr="00FA0D37" w:rsidRDefault="00394471" w:rsidP="00FA0D37">
      <w:pPr>
        <w:pStyle w:val="PL"/>
      </w:pPr>
      <w:r w:rsidRPr="00FA0D37">
        <w:t xml:space="preserve">PDCP-Config ::=         </w:t>
      </w:r>
      <w:r w:rsidRPr="00FA0D37">
        <w:rPr>
          <w:color w:val="993366"/>
        </w:rPr>
        <w:t>SEQUENCE</w:t>
      </w:r>
      <w:r w:rsidRPr="00FA0D37">
        <w:t xml:space="preserve"> {</w:t>
      </w:r>
    </w:p>
    <w:p w14:paraId="15B9D51E" w14:textId="77777777" w:rsidR="00394471" w:rsidRPr="00FA0D37" w:rsidRDefault="00394471" w:rsidP="00FA0D37">
      <w:pPr>
        <w:pStyle w:val="PL"/>
      </w:pPr>
      <w:r w:rsidRPr="00FA0D37">
        <w:t xml:space="preserve">    drb                     </w:t>
      </w:r>
      <w:r w:rsidRPr="00FA0D37">
        <w:rPr>
          <w:color w:val="993366"/>
        </w:rPr>
        <w:t>SEQUENCE</w:t>
      </w:r>
      <w:r w:rsidRPr="00FA0D37">
        <w:t xml:space="preserve"> {</w:t>
      </w:r>
    </w:p>
    <w:p w14:paraId="15318E6F" w14:textId="77777777" w:rsidR="00394471" w:rsidRPr="00FA0D37" w:rsidRDefault="00394471" w:rsidP="00FA0D37">
      <w:pPr>
        <w:pStyle w:val="PL"/>
      </w:pPr>
      <w:r w:rsidRPr="00FA0D37">
        <w:t xml:space="preserve">        discardTimer            </w:t>
      </w:r>
      <w:r w:rsidRPr="00FA0D37">
        <w:rPr>
          <w:color w:val="993366"/>
        </w:rPr>
        <w:t>ENUMERATED</w:t>
      </w:r>
      <w:r w:rsidRPr="00FA0D37">
        <w:t xml:space="preserve"> {ms10, ms20, ms30, ms40, ms50, ms60, ms75, ms100, ms150, ms200,</w:t>
      </w:r>
    </w:p>
    <w:p w14:paraId="2931E416" w14:textId="77777777" w:rsidR="00394471" w:rsidRPr="00FA0D37" w:rsidRDefault="00394471" w:rsidP="00FA0D37">
      <w:pPr>
        <w:pStyle w:val="PL"/>
        <w:rPr>
          <w:color w:val="808080"/>
        </w:rPr>
      </w:pPr>
      <w:r w:rsidRPr="00FA0D37">
        <w:t xml:space="preserve">                                            ms250, ms300, ms500, ms750, ms1500, infinity}       </w:t>
      </w:r>
      <w:r w:rsidRPr="00FA0D37">
        <w:rPr>
          <w:color w:val="993366"/>
        </w:rPr>
        <w:t>OPTIONAL</w:t>
      </w:r>
      <w:r w:rsidRPr="00FA0D37">
        <w:t xml:space="preserve">, </w:t>
      </w:r>
      <w:r w:rsidRPr="00FA0D37">
        <w:rPr>
          <w:color w:val="808080"/>
        </w:rPr>
        <w:t>-- Cond Setup</w:t>
      </w:r>
    </w:p>
    <w:p w14:paraId="7A07D676" w14:textId="32817491" w:rsidR="00394471" w:rsidRPr="00FA0D37" w:rsidRDefault="00394471" w:rsidP="00FA0D37">
      <w:pPr>
        <w:pStyle w:val="PL"/>
        <w:rPr>
          <w:color w:val="808080"/>
        </w:rPr>
      </w:pPr>
      <w:r w:rsidRPr="00FA0D37">
        <w:t xml:space="preserve">        pdcp-SN-SizeUL          </w:t>
      </w:r>
      <w:r w:rsidRPr="00FA0D37">
        <w:rPr>
          <w:color w:val="993366"/>
        </w:rPr>
        <w:t>ENUMERATED</w:t>
      </w:r>
      <w:r w:rsidRPr="00FA0D37">
        <w:t xml:space="preserve"> {len12bits, len18bits}                               </w:t>
      </w:r>
      <w:r w:rsidRPr="00FA0D37">
        <w:rPr>
          <w:color w:val="993366"/>
        </w:rPr>
        <w:t>OPTIONAL</w:t>
      </w:r>
      <w:r w:rsidRPr="00FA0D37">
        <w:t xml:space="preserve">, </w:t>
      </w:r>
      <w:r w:rsidRPr="00FA0D37">
        <w:rPr>
          <w:color w:val="808080"/>
        </w:rPr>
        <w:t>-- Cond Setup</w:t>
      </w:r>
      <w:r w:rsidR="00CE6FBC" w:rsidRPr="00FA0D37">
        <w:rPr>
          <w:color w:val="808080"/>
        </w:rPr>
        <w:t>1</w:t>
      </w:r>
    </w:p>
    <w:p w14:paraId="19BB6F18" w14:textId="77777777" w:rsidR="00394471" w:rsidRPr="00FA0D37" w:rsidRDefault="00394471" w:rsidP="00FA0D37">
      <w:pPr>
        <w:pStyle w:val="PL"/>
        <w:rPr>
          <w:color w:val="808080"/>
        </w:rPr>
      </w:pPr>
      <w:r w:rsidRPr="00FA0D37">
        <w:t xml:space="preserve">        pdcp-SN-SizeDL          </w:t>
      </w:r>
      <w:r w:rsidRPr="00FA0D37">
        <w:rPr>
          <w:color w:val="993366"/>
        </w:rPr>
        <w:t>ENUMERATED</w:t>
      </w:r>
      <w:r w:rsidRPr="00FA0D37">
        <w:t xml:space="preserve"> {len12bits, len18bits}                               </w:t>
      </w:r>
      <w:r w:rsidRPr="00FA0D37">
        <w:rPr>
          <w:color w:val="993366"/>
        </w:rPr>
        <w:t>OPTIONAL</w:t>
      </w:r>
      <w:r w:rsidRPr="00FA0D37">
        <w:t xml:space="preserve">, </w:t>
      </w:r>
      <w:r w:rsidRPr="00FA0D37">
        <w:rPr>
          <w:color w:val="808080"/>
        </w:rPr>
        <w:t>-- Cond Setup2</w:t>
      </w:r>
    </w:p>
    <w:p w14:paraId="46A1B9DE" w14:textId="77777777" w:rsidR="00394471" w:rsidRPr="00FA0D37" w:rsidRDefault="00394471" w:rsidP="00FA0D37">
      <w:pPr>
        <w:pStyle w:val="PL"/>
      </w:pPr>
      <w:r w:rsidRPr="00FA0D37">
        <w:t xml:space="preserve">        headerCompression       </w:t>
      </w:r>
      <w:r w:rsidRPr="00FA0D37">
        <w:rPr>
          <w:color w:val="993366"/>
        </w:rPr>
        <w:t>CHOICE</w:t>
      </w:r>
      <w:r w:rsidRPr="00FA0D37">
        <w:t xml:space="preserve"> {</w:t>
      </w:r>
    </w:p>
    <w:p w14:paraId="456464CC" w14:textId="77777777" w:rsidR="00394471" w:rsidRPr="00FA0D37" w:rsidRDefault="00394471" w:rsidP="00FA0D37">
      <w:pPr>
        <w:pStyle w:val="PL"/>
      </w:pPr>
      <w:r w:rsidRPr="00FA0D37">
        <w:t xml:space="preserve">            notUsed                 </w:t>
      </w:r>
      <w:r w:rsidRPr="00FA0D37">
        <w:rPr>
          <w:color w:val="993366"/>
        </w:rPr>
        <w:t>NULL</w:t>
      </w:r>
      <w:r w:rsidRPr="00FA0D37">
        <w:t>,</w:t>
      </w:r>
    </w:p>
    <w:p w14:paraId="377BB635" w14:textId="77777777" w:rsidR="00394471" w:rsidRPr="00FA0D37" w:rsidRDefault="00394471" w:rsidP="00FA0D37">
      <w:pPr>
        <w:pStyle w:val="PL"/>
      </w:pPr>
      <w:r w:rsidRPr="00FA0D37">
        <w:t xml:space="preserve">            rohc                    </w:t>
      </w:r>
      <w:r w:rsidRPr="00FA0D37">
        <w:rPr>
          <w:color w:val="993366"/>
        </w:rPr>
        <w:t>SEQUENCE</w:t>
      </w:r>
      <w:r w:rsidRPr="00FA0D37">
        <w:t xml:space="preserve"> {</w:t>
      </w:r>
    </w:p>
    <w:p w14:paraId="2009EFC4" w14:textId="77777777" w:rsidR="00394471" w:rsidRPr="00FA0D37" w:rsidRDefault="00394471" w:rsidP="00FA0D37">
      <w:pPr>
        <w:pStyle w:val="PL"/>
      </w:pPr>
      <w:r w:rsidRPr="00FA0D37">
        <w:t xml:space="preserve">                maxCID                  </w:t>
      </w:r>
      <w:r w:rsidRPr="00FA0D37">
        <w:rPr>
          <w:color w:val="993366"/>
        </w:rPr>
        <w:t>INTEGER</w:t>
      </w:r>
      <w:r w:rsidRPr="00FA0D37">
        <w:t xml:space="preserve"> (1..16383)                                      DEFAULT 15,</w:t>
      </w:r>
    </w:p>
    <w:p w14:paraId="383FE3E2" w14:textId="77777777" w:rsidR="00394471" w:rsidRPr="00FA0D37" w:rsidRDefault="00394471" w:rsidP="00FA0D37">
      <w:pPr>
        <w:pStyle w:val="PL"/>
      </w:pPr>
      <w:r w:rsidRPr="00FA0D37">
        <w:t xml:space="preserve">                profiles                </w:t>
      </w:r>
      <w:r w:rsidRPr="00FA0D37">
        <w:rPr>
          <w:color w:val="993366"/>
        </w:rPr>
        <w:t>SEQUENCE</w:t>
      </w:r>
      <w:r w:rsidRPr="00FA0D37">
        <w:t xml:space="preserve"> {</w:t>
      </w:r>
    </w:p>
    <w:p w14:paraId="061618FE" w14:textId="77777777" w:rsidR="00394471" w:rsidRPr="00FA0D37" w:rsidRDefault="00394471" w:rsidP="00FA0D37">
      <w:pPr>
        <w:pStyle w:val="PL"/>
      </w:pPr>
      <w:r w:rsidRPr="00FA0D37">
        <w:t xml:space="preserve">                    profile0x0001           </w:t>
      </w:r>
      <w:r w:rsidRPr="00FA0D37">
        <w:rPr>
          <w:color w:val="993366"/>
        </w:rPr>
        <w:t>BOOLEAN</w:t>
      </w:r>
      <w:r w:rsidRPr="00FA0D37">
        <w:t>,</w:t>
      </w:r>
    </w:p>
    <w:p w14:paraId="18C96B1E" w14:textId="77777777" w:rsidR="00394471" w:rsidRPr="00FA0D37" w:rsidRDefault="00394471" w:rsidP="00FA0D37">
      <w:pPr>
        <w:pStyle w:val="PL"/>
      </w:pPr>
      <w:r w:rsidRPr="00FA0D37">
        <w:t xml:space="preserve">                    profile0x0002           </w:t>
      </w:r>
      <w:r w:rsidRPr="00FA0D37">
        <w:rPr>
          <w:color w:val="993366"/>
        </w:rPr>
        <w:t>BOOLEAN</w:t>
      </w:r>
      <w:r w:rsidRPr="00FA0D37">
        <w:t>,</w:t>
      </w:r>
    </w:p>
    <w:p w14:paraId="021F2323" w14:textId="77777777" w:rsidR="00394471" w:rsidRPr="00FA0D37" w:rsidRDefault="00394471" w:rsidP="00FA0D37">
      <w:pPr>
        <w:pStyle w:val="PL"/>
      </w:pPr>
      <w:r w:rsidRPr="00FA0D37">
        <w:t xml:space="preserve">                    profile0x0003           </w:t>
      </w:r>
      <w:r w:rsidRPr="00FA0D37">
        <w:rPr>
          <w:color w:val="993366"/>
        </w:rPr>
        <w:t>BOOLEAN</w:t>
      </w:r>
      <w:r w:rsidRPr="00FA0D37">
        <w:t>,</w:t>
      </w:r>
    </w:p>
    <w:p w14:paraId="7F93A2E5" w14:textId="77777777" w:rsidR="00394471" w:rsidRPr="00FA0D37" w:rsidRDefault="00394471" w:rsidP="00FA0D37">
      <w:pPr>
        <w:pStyle w:val="PL"/>
      </w:pPr>
      <w:r w:rsidRPr="00FA0D37">
        <w:t xml:space="preserve">                    profile0x0004           </w:t>
      </w:r>
      <w:r w:rsidRPr="00FA0D37">
        <w:rPr>
          <w:color w:val="993366"/>
        </w:rPr>
        <w:t>BOOLEAN</w:t>
      </w:r>
      <w:r w:rsidRPr="00FA0D37">
        <w:t>,</w:t>
      </w:r>
    </w:p>
    <w:p w14:paraId="5DDD1956" w14:textId="77777777" w:rsidR="00394471" w:rsidRPr="00FA0D37" w:rsidRDefault="00394471" w:rsidP="00FA0D37">
      <w:pPr>
        <w:pStyle w:val="PL"/>
      </w:pPr>
      <w:r w:rsidRPr="00FA0D37">
        <w:t xml:space="preserve">                    profile0x0006           </w:t>
      </w:r>
      <w:r w:rsidRPr="00FA0D37">
        <w:rPr>
          <w:color w:val="993366"/>
        </w:rPr>
        <w:t>BOOLEAN</w:t>
      </w:r>
      <w:r w:rsidRPr="00FA0D37">
        <w:t>,</w:t>
      </w:r>
    </w:p>
    <w:p w14:paraId="0621E99D" w14:textId="77777777" w:rsidR="00394471" w:rsidRPr="00FA0D37" w:rsidRDefault="00394471" w:rsidP="00FA0D37">
      <w:pPr>
        <w:pStyle w:val="PL"/>
      </w:pPr>
      <w:r w:rsidRPr="00FA0D37">
        <w:t xml:space="preserve">                    profile0x0101           </w:t>
      </w:r>
      <w:r w:rsidRPr="00FA0D37">
        <w:rPr>
          <w:color w:val="993366"/>
        </w:rPr>
        <w:t>BOOLEAN</w:t>
      </w:r>
      <w:r w:rsidRPr="00FA0D37">
        <w:t>,</w:t>
      </w:r>
    </w:p>
    <w:p w14:paraId="5E0BD8B1" w14:textId="77777777" w:rsidR="00394471" w:rsidRPr="00FA0D37" w:rsidRDefault="00394471" w:rsidP="00FA0D37">
      <w:pPr>
        <w:pStyle w:val="PL"/>
      </w:pPr>
      <w:r w:rsidRPr="00FA0D37">
        <w:t xml:space="preserve">                    profile0x0102           </w:t>
      </w:r>
      <w:r w:rsidRPr="00FA0D37">
        <w:rPr>
          <w:color w:val="993366"/>
        </w:rPr>
        <w:t>BOOLEAN</w:t>
      </w:r>
      <w:r w:rsidRPr="00FA0D37">
        <w:t>,</w:t>
      </w:r>
    </w:p>
    <w:p w14:paraId="0784E209" w14:textId="77777777" w:rsidR="00394471" w:rsidRPr="00FA0D37" w:rsidRDefault="00394471" w:rsidP="00FA0D37">
      <w:pPr>
        <w:pStyle w:val="PL"/>
      </w:pPr>
      <w:r w:rsidRPr="00FA0D37">
        <w:t xml:space="preserve">                    profile0x0103           </w:t>
      </w:r>
      <w:r w:rsidRPr="00FA0D37">
        <w:rPr>
          <w:color w:val="993366"/>
        </w:rPr>
        <w:t>BOOLEAN</w:t>
      </w:r>
      <w:r w:rsidRPr="00FA0D37">
        <w:t>,</w:t>
      </w:r>
    </w:p>
    <w:p w14:paraId="0FE01DAF" w14:textId="77777777" w:rsidR="00394471" w:rsidRPr="00FA0D37" w:rsidRDefault="00394471" w:rsidP="00FA0D37">
      <w:pPr>
        <w:pStyle w:val="PL"/>
      </w:pPr>
      <w:r w:rsidRPr="00FA0D37">
        <w:t xml:space="preserve">                    profile0x0104           </w:t>
      </w:r>
      <w:r w:rsidRPr="00FA0D37">
        <w:rPr>
          <w:color w:val="993366"/>
        </w:rPr>
        <w:t>BOOLEAN</w:t>
      </w:r>
    </w:p>
    <w:p w14:paraId="23DF6EB6" w14:textId="77777777" w:rsidR="00394471" w:rsidRPr="00FA0D37" w:rsidRDefault="00394471" w:rsidP="00FA0D37">
      <w:pPr>
        <w:pStyle w:val="PL"/>
      </w:pPr>
      <w:r w:rsidRPr="00FA0D37">
        <w:t xml:space="preserve">                },</w:t>
      </w:r>
    </w:p>
    <w:p w14:paraId="4DA6EF11" w14:textId="77777777" w:rsidR="00394471" w:rsidRPr="00FA0D37" w:rsidRDefault="00394471" w:rsidP="00FA0D37">
      <w:pPr>
        <w:pStyle w:val="PL"/>
        <w:rPr>
          <w:color w:val="808080"/>
        </w:rPr>
      </w:pPr>
      <w:r w:rsidRPr="00FA0D37">
        <w:lastRenderedPageBreak/>
        <w:t xml:space="preserve">                drb-ContinueROHC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Need N</w:t>
      </w:r>
    </w:p>
    <w:p w14:paraId="182E4CCC" w14:textId="77777777" w:rsidR="00394471" w:rsidRPr="00FA0D37" w:rsidRDefault="00394471" w:rsidP="00FA0D37">
      <w:pPr>
        <w:pStyle w:val="PL"/>
      </w:pPr>
      <w:r w:rsidRPr="00FA0D37">
        <w:t xml:space="preserve">            },</w:t>
      </w:r>
    </w:p>
    <w:p w14:paraId="4344FDFC" w14:textId="77777777" w:rsidR="00394471" w:rsidRPr="00FA0D37" w:rsidRDefault="00394471" w:rsidP="00FA0D37">
      <w:pPr>
        <w:pStyle w:val="PL"/>
      </w:pPr>
      <w:r w:rsidRPr="00FA0D37">
        <w:t xml:space="preserve">            uplinkOnlyROHC          </w:t>
      </w:r>
      <w:r w:rsidRPr="00FA0D37">
        <w:rPr>
          <w:color w:val="993366"/>
        </w:rPr>
        <w:t>SEQUENCE</w:t>
      </w:r>
      <w:r w:rsidRPr="00FA0D37">
        <w:t xml:space="preserve"> {</w:t>
      </w:r>
    </w:p>
    <w:p w14:paraId="48D07826" w14:textId="77777777" w:rsidR="00394471" w:rsidRPr="00FA0D37" w:rsidRDefault="00394471" w:rsidP="00FA0D37">
      <w:pPr>
        <w:pStyle w:val="PL"/>
      </w:pPr>
      <w:r w:rsidRPr="00FA0D37">
        <w:t xml:space="preserve">                maxCID                  </w:t>
      </w:r>
      <w:r w:rsidRPr="00FA0D37">
        <w:rPr>
          <w:color w:val="993366"/>
        </w:rPr>
        <w:t>INTEGER</w:t>
      </w:r>
      <w:r w:rsidRPr="00FA0D37">
        <w:t xml:space="preserve"> (1..16383)                                      DEFAULT 15,</w:t>
      </w:r>
    </w:p>
    <w:p w14:paraId="009E2E36" w14:textId="77777777" w:rsidR="00394471" w:rsidRPr="00FA0D37" w:rsidRDefault="00394471" w:rsidP="00FA0D37">
      <w:pPr>
        <w:pStyle w:val="PL"/>
      </w:pPr>
      <w:r w:rsidRPr="00FA0D37">
        <w:t xml:space="preserve">                profiles                </w:t>
      </w:r>
      <w:r w:rsidRPr="00FA0D37">
        <w:rPr>
          <w:color w:val="993366"/>
        </w:rPr>
        <w:t>SEQUENCE</w:t>
      </w:r>
      <w:r w:rsidRPr="00FA0D37">
        <w:t xml:space="preserve"> {</w:t>
      </w:r>
    </w:p>
    <w:p w14:paraId="4F5F9061" w14:textId="77777777" w:rsidR="00394471" w:rsidRPr="00FA0D37" w:rsidRDefault="00394471" w:rsidP="00FA0D37">
      <w:pPr>
        <w:pStyle w:val="PL"/>
      </w:pPr>
      <w:r w:rsidRPr="00FA0D37">
        <w:t xml:space="preserve">                    profile0x0006           </w:t>
      </w:r>
      <w:r w:rsidRPr="00FA0D37">
        <w:rPr>
          <w:color w:val="993366"/>
        </w:rPr>
        <w:t>BOOLEAN</w:t>
      </w:r>
    </w:p>
    <w:p w14:paraId="2032AD03" w14:textId="77777777" w:rsidR="00394471" w:rsidRPr="00FA0D37" w:rsidRDefault="00394471" w:rsidP="00FA0D37">
      <w:pPr>
        <w:pStyle w:val="PL"/>
      </w:pPr>
      <w:r w:rsidRPr="00FA0D37">
        <w:t xml:space="preserve">                },</w:t>
      </w:r>
    </w:p>
    <w:p w14:paraId="53240DE0" w14:textId="77777777" w:rsidR="00394471" w:rsidRPr="00FA0D37" w:rsidRDefault="00394471" w:rsidP="00FA0D37">
      <w:pPr>
        <w:pStyle w:val="PL"/>
        <w:rPr>
          <w:color w:val="808080"/>
        </w:rPr>
      </w:pPr>
      <w:r w:rsidRPr="00FA0D37">
        <w:t xml:space="preserve">                drb-ContinueROHC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Need N</w:t>
      </w:r>
    </w:p>
    <w:p w14:paraId="293536A6" w14:textId="77777777" w:rsidR="00394471" w:rsidRPr="00FA0D37" w:rsidRDefault="00394471" w:rsidP="00FA0D37">
      <w:pPr>
        <w:pStyle w:val="PL"/>
      </w:pPr>
      <w:r w:rsidRPr="00FA0D37">
        <w:t xml:space="preserve">            },</w:t>
      </w:r>
    </w:p>
    <w:p w14:paraId="797E43D6" w14:textId="77777777" w:rsidR="00394471" w:rsidRPr="00FA0D37" w:rsidRDefault="00394471" w:rsidP="00FA0D37">
      <w:pPr>
        <w:pStyle w:val="PL"/>
      </w:pPr>
      <w:r w:rsidRPr="00FA0D37">
        <w:t xml:space="preserve">            ...</w:t>
      </w:r>
    </w:p>
    <w:p w14:paraId="7BFD5828" w14:textId="77777777" w:rsidR="00394471" w:rsidRPr="00FA0D37" w:rsidRDefault="00394471" w:rsidP="00FA0D37">
      <w:pPr>
        <w:pStyle w:val="PL"/>
      </w:pPr>
      <w:r w:rsidRPr="00FA0D37">
        <w:t xml:space="preserve">        },</w:t>
      </w:r>
    </w:p>
    <w:p w14:paraId="412BFAA1" w14:textId="77777777" w:rsidR="00394471" w:rsidRPr="00FA0D37" w:rsidRDefault="00394471" w:rsidP="00FA0D37">
      <w:pPr>
        <w:pStyle w:val="PL"/>
        <w:rPr>
          <w:color w:val="808080"/>
        </w:rPr>
      </w:pPr>
      <w:r w:rsidRPr="00FA0D37">
        <w:t xml:space="preserve">        integrityProtection     </w:t>
      </w:r>
      <w:r w:rsidRPr="00FA0D37">
        <w:rPr>
          <w:color w:val="993366"/>
        </w:rPr>
        <w:t>ENUMERATED</w:t>
      </w:r>
      <w:r w:rsidRPr="00FA0D37">
        <w:t xml:space="preserve"> { enabled }                                          </w:t>
      </w:r>
      <w:r w:rsidRPr="00FA0D37">
        <w:rPr>
          <w:color w:val="993366"/>
        </w:rPr>
        <w:t>OPTIONAL</w:t>
      </w:r>
      <w:r w:rsidRPr="00FA0D37">
        <w:t xml:space="preserve">,   </w:t>
      </w:r>
      <w:r w:rsidRPr="00FA0D37">
        <w:rPr>
          <w:color w:val="808080"/>
        </w:rPr>
        <w:t>-- Cond ConnectedTo5GC1</w:t>
      </w:r>
    </w:p>
    <w:p w14:paraId="4F3AD551" w14:textId="77777777" w:rsidR="00394471" w:rsidRPr="00FA0D37" w:rsidRDefault="00394471" w:rsidP="00FA0D37">
      <w:pPr>
        <w:pStyle w:val="PL"/>
        <w:rPr>
          <w:color w:val="808080"/>
        </w:rPr>
      </w:pPr>
      <w:r w:rsidRPr="00FA0D37">
        <w:t xml:space="preserve">        statusReportRequired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Cond Rlc-AM-UM</w:t>
      </w:r>
    </w:p>
    <w:p w14:paraId="1F1674AC" w14:textId="77777777" w:rsidR="00394471" w:rsidRPr="00FA0D37" w:rsidRDefault="00394471" w:rsidP="00FA0D37">
      <w:pPr>
        <w:pStyle w:val="PL"/>
        <w:rPr>
          <w:color w:val="808080"/>
        </w:rPr>
      </w:pPr>
      <w:r w:rsidRPr="00FA0D37">
        <w:t xml:space="preserve">        outOfOrderDelivery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Need R</w:t>
      </w:r>
    </w:p>
    <w:p w14:paraId="3B86A1B5"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DRB</w:t>
      </w:r>
    </w:p>
    <w:p w14:paraId="36F67193" w14:textId="77777777" w:rsidR="00394471" w:rsidRPr="00FA0D37" w:rsidRDefault="00394471" w:rsidP="00FA0D37">
      <w:pPr>
        <w:pStyle w:val="PL"/>
      </w:pPr>
      <w:r w:rsidRPr="00FA0D37">
        <w:t xml:space="preserve">    moreThanOneRLC          </w:t>
      </w:r>
      <w:r w:rsidRPr="00FA0D37">
        <w:rPr>
          <w:color w:val="993366"/>
        </w:rPr>
        <w:t>SEQUENCE</w:t>
      </w:r>
      <w:r w:rsidRPr="00FA0D37">
        <w:t xml:space="preserve"> {</w:t>
      </w:r>
    </w:p>
    <w:p w14:paraId="276FDF8F" w14:textId="77777777" w:rsidR="00394471" w:rsidRPr="00FA0D37" w:rsidRDefault="00394471" w:rsidP="00FA0D37">
      <w:pPr>
        <w:pStyle w:val="PL"/>
      </w:pPr>
      <w:r w:rsidRPr="00FA0D37">
        <w:t xml:space="preserve">        primaryPath             </w:t>
      </w:r>
      <w:r w:rsidRPr="00FA0D37">
        <w:rPr>
          <w:color w:val="993366"/>
        </w:rPr>
        <w:t>SEQUENCE</w:t>
      </w:r>
      <w:r w:rsidRPr="00FA0D37">
        <w:t xml:space="preserve"> {</w:t>
      </w:r>
    </w:p>
    <w:p w14:paraId="09E02B8C" w14:textId="77777777" w:rsidR="00394471" w:rsidRPr="00FA0D37" w:rsidRDefault="00394471" w:rsidP="00FA0D37">
      <w:pPr>
        <w:pStyle w:val="PL"/>
        <w:rPr>
          <w:color w:val="808080"/>
        </w:rPr>
      </w:pPr>
      <w:r w:rsidRPr="00FA0D37">
        <w:t xml:space="preserve">            cellGroup               CellGroupId                                                 </w:t>
      </w:r>
      <w:r w:rsidRPr="00FA0D37">
        <w:rPr>
          <w:color w:val="993366"/>
        </w:rPr>
        <w:t>OPTIONAL</w:t>
      </w:r>
      <w:r w:rsidRPr="00FA0D37">
        <w:t xml:space="preserve">,   </w:t>
      </w:r>
      <w:r w:rsidRPr="00FA0D37">
        <w:rPr>
          <w:color w:val="808080"/>
        </w:rPr>
        <w:t>-- Need R</w:t>
      </w:r>
    </w:p>
    <w:p w14:paraId="77F34EFB" w14:textId="77777777" w:rsidR="00394471" w:rsidRPr="00FA0D37" w:rsidRDefault="00394471" w:rsidP="00FA0D37">
      <w:pPr>
        <w:pStyle w:val="PL"/>
        <w:rPr>
          <w:color w:val="808080"/>
        </w:rPr>
      </w:pPr>
      <w:r w:rsidRPr="00FA0D37">
        <w:t xml:space="preserve">            logicalChannel          LogicalChannelIdentity                                      </w:t>
      </w:r>
      <w:r w:rsidRPr="00FA0D37">
        <w:rPr>
          <w:color w:val="993366"/>
        </w:rPr>
        <w:t>OPTIONAL</w:t>
      </w:r>
      <w:r w:rsidRPr="00FA0D37">
        <w:t xml:space="preserve">    </w:t>
      </w:r>
      <w:r w:rsidRPr="00FA0D37">
        <w:rPr>
          <w:color w:val="808080"/>
        </w:rPr>
        <w:t>-- Need R</w:t>
      </w:r>
    </w:p>
    <w:p w14:paraId="4C29EB12" w14:textId="77777777" w:rsidR="00394471" w:rsidRPr="00FA0D37" w:rsidRDefault="00394471" w:rsidP="00FA0D37">
      <w:pPr>
        <w:pStyle w:val="PL"/>
      </w:pPr>
      <w:r w:rsidRPr="00FA0D37">
        <w:t xml:space="preserve">        },</w:t>
      </w:r>
    </w:p>
    <w:p w14:paraId="7F2BDCFD" w14:textId="77777777" w:rsidR="00394471" w:rsidRPr="00FA0D37" w:rsidRDefault="00394471" w:rsidP="00FA0D37">
      <w:pPr>
        <w:pStyle w:val="PL"/>
        <w:rPr>
          <w:color w:val="808080"/>
        </w:rPr>
      </w:pPr>
      <w:r w:rsidRPr="00FA0D37">
        <w:t xml:space="preserve">        ul-DataSplitThreshold   UL-DataSplitThreshold                                           </w:t>
      </w:r>
      <w:r w:rsidRPr="00FA0D37">
        <w:rPr>
          <w:color w:val="993366"/>
        </w:rPr>
        <w:t>OPTIONAL</w:t>
      </w:r>
      <w:r w:rsidRPr="00FA0D37">
        <w:t xml:space="preserve">,   </w:t>
      </w:r>
      <w:r w:rsidRPr="00FA0D37">
        <w:rPr>
          <w:color w:val="808080"/>
        </w:rPr>
        <w:t>-- Cond SplitBearer</w:t>
      </w:r>
    </w:p>
    <w:p w14:paraId="50C9D2BD" w14:textId="77777777" w:rsidR="00394471" w:rsidRPr="00FA0D37" w:rsidRDefault="00394471" w:rsidP="00FA0D37">
      <w:pPr>
        <w:pStyle w:val="PL"/>
        <w:rPr>
          <w:color w:val="808080"/>
        </w:rPr>
      </w:pPr>
      <w:r w:rsidRPr="00FA0D37">
        <w:t xml:space="preserve">        pdcp-Duplication            </w:t>
      </w:r>
      <w:r w:rsidRPr="00FA0D37">
        <w:rPr>
          <w:color w:val="993366"/>
        </w:rPr>
        <w:t>BOOLEAN</w:t>
      </w:r>
      <w:r w:rsidRPr="00FA0D37">
        <w:t xml:space="preserve">                                                     </w:t>
      </w:r>
      <w:r w:rsidRPr="00FA0D37">
        <w:rPr>
          <w:color w:val="993366"/>
        </w:rPr>
        <w:t>OPTIONAL</w:t>
      </w:r>
      <w:r w:rsidRPr="00FA0D37">
        <w:t xml:space="preserve">    </w:t>
      </w:r>
      <w:r w:rsidRPr="00FA0D37">
        <w:rPr>
          <w:color w:val="808080"/>
        </w:rPr>
        <w:t>-- Need R</w:t>
      </w:r>
    </w:p>
    <w:p w14:paraId="69A68E2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MoreThanOneRLC</w:t>
      </w:r>
    </w:p>
    <w:p w14:paraId="35A9354E" w14:textId="77777777" w:rsidR="00394471" w:rsidRPr="00FA0D37" w:rsidRDefault="00394471" w:rsidP="00FA0D37">
      <w:pPr>
        <w:pStyle w:val="PL"/>
      </w:pPr>
    </w:p>
    <w:p w14:paraId="376ECCD3" w14:textId="77777777" w:rsidR="00394471" w:rsidRPr="00FA0D37" w:rsidRDefault="00394471" w:rsidP="00FA0D37">
      <w:pPr>
        <w:pStyle w:val="PL"/>
      </w:pPr>
      <w:r w:rsidRPr="00FA0D37">
        <w:t xml:space="preserve">    t-Reordering                </w:t>
      </w:r>
      <w:r w:rsidRPr="00FA0D37">
        <w:rPr>
          <w:color w:val="993366"/>
        </w:rPr>
        <w:t>ENUMERATED</w:t>
      </w:r>
      <w:r w:rsidRPr="00FA0D37">
        <w:t xml:space="preserve"> {</w:t>
      </w:r>
    </w:p>
    <w:p w14:paraId="30B48C2D" w14:textId="77777777" w:rsidR="00394471" w:rsidRPr="00FA0D37" w:rsidRDefault="00394471" w:rsidP="00FA0D37">
      <w:pPr>
        <w:pStyle w:val="PL"/>
      </w:pPr>
      <w:r w:rsidRPr="00FA0D37">
        <w:t xml:space="preserve">                                    ms0, ms1, ms2, ms4, ms5, ms8, ms10, ms15, ms20, ms30, ms40,</w:t>
      </w:r>
    </w:p>
    <w:p w14:paraId="197265CE" w14:textId="77777777" w:rsidR="00394471" w:rsidRPr="00FA0D37" w:rsidRDefault="00394471" w:rsidP="00FA0D37">
      <w:pPr>
        <w:pStyle w:val="PL"/>
      </w:pPr>
      <w:r w:rsidRPr="00FA0D37">
        <w:t xml:space="preserve">                                    ms50, ms60, ms80, ms100, ms120, ms140, ms160, ms180, ms200, ms220,</w:t>
      </w:r>
    </w:p>
    <w:p w14:paraId="54B83FF0" w14:textId="77777777" w:rsidR="00394471" w:rsidRPr="00FA0D37" w:rsidRDefault="00394471" w:rsidP="00FA0D37">
      <w:pPr>
        <w:pStyle w:val="PL"/>
      </w:pPr>
      <w:r w:rsidRPr="00FA0D37">
        <w:t xml:space="preserve">                                    ms240, ms260, ms280, ms300, ms500, ms750, ms1000, ms1250,</w:t>
      </w:r>
    </w:p>
    <w:p w14:paraId="3B79CB8E" w14:textId="77777777" w:rsidR="00394471" w:rsidRPr="00FA0D37" w:rsidRDefault="00394471" w:rsidP="00FA0D37">
      <w:pPr>
        <w:pStyle w:val="PL"/>
      </w:pPr>
      <w:r w:rsidRPr="00FA0D37">
        <w:t xml:space="preserve">                                    ms1500, ms1750, ms2000, ms2250, ms2500, ms2750,</w:t>
      </w:r>
    </w:p>
    <w:p w14:paraId="4A82D99B" w14:textId="77777777" w:rsidR="00394471" w:rsidRPr="00FA0D37" w:rsidRDefault="00394471" w:rsidP="00FA0D37">
      <w:pPr>
        <w:pStyle w:val="PL"/>
      </w:pPr>
      <w:r w:rsidRPr="00FA0D37">
        <w:t xml:space="preserve">                                    ms3000, spare28, spare27, spare26, spare25, spare24,</w:t>
      </w:r>
    </w:p>
    <w:p w14:paraId="18E2F30A" w14:textId="77777777" w:rsidR="00394471" w:rsidRPr="00FA0D37" w:rsidRDefault="00394471" w:rsidP="00FA0D37">
      <w:pPr>
        <w:pStyle w:val="PL"/>
      </w:pPr>
      <w:r w:rsidRPr="00FA0D37">
        <w:t xml:space="preserve">                                    spare23, spare22, spare21, spare20,</w:t>
      </w:r>
    </w:p>
    <w:p w14:paraId="55929768" w14:textId="77777777" w:rsidR="00394471" w:rsidRPr="00FA0D37" w:rsidRDefault="00394471" w:rsidP="00FA0D37">
      <w:pPr>
        <w:pStyle w:val="PL"/>
      </w:pPr>
      <w:r w:rsidRPr="00FA0D37">
        <w:t xml:space="preserve">                                    spare19, spare18, spare17, spare16, spare15, spare14,</w:t>
      </w:r>
    </w:p>
    <w:p w14:paraId="73C74346" w14:textId="77777777" w:rsidR="00394471" w:rsidRPr="00FA0D37" w:rsidRDefault="00394471" w:rsidP="00FA0D37">
      <w:pPr>
        <w:pStyle w:val="PL"/>
      </w:pPr>
      <w:r w:rsidRPr="00FA0D37">
        <w:t xml:space="preserve">                                    spare13, spare12, spare11, spare10, spare09,</w:t>
      </w:r>
    </w:p>
    <w:p w14:paraId="3E6CD41C" w14:textId="77777777" w:rsidR="00394471" w:rsidRPr="00FA0D37" w:rsidRDefault="00394471" w:rsidP="00FA0D37">
      <w:pPr>
        <w:pStyle w:val="PL"/>
      </w:pPr>
      <w:r w:rsidRPr="00FA0D37">
        <w:t xml:space="preserve">                                    spare08, spare07, spare06, spare05, spare04, spare03,</w:t>
      </w:r>
    </w:p>
    <w:p w14:paraId="7011FD6D" w14:textId="77777777" w:rsidR="00394471" w:rsidRPr="00FA0D37" w:rsidRDefault="00394471" w:rsidP="00FA0D37">
      <w:pPr>
        <w:pStyle w:val="PL"/>
        <w:rPr>
          <w:color w:val="808080"/>
        </w:rPr>
      </w:pPr>
      <w:r w:rsidRPr="00FA0D37">
        <w:t xml:space="preserve">                                    spare02, spare01 }                                          </w:t>
      </w:r>
      <w:r w:rsidRPr="00FA0D37">
        <w:rPr>
          <w:color w:val="993366"/>
        </w:rPr>
        <w:t>OPTIONAL</w:t>
      </w:r>
      <w:r w:rsidRPr="00FA0D37">
        <w:t xml:space="preserve">, </w:t>
      </w:r>
      <w:r w:rsidRPr="00FA0D37">
        <w:rPr>
          <w:color w:val="808080"/>
        </w:rPr>
        <w:t>-- Need S</w:t>
      </w:r>
    </w:p>
    <w:p w14:paraId="7D3434D5" w14:textId="77777777" w:rsidR="00394471" w:rsidRPr="00FA0D37" w:rsidRDefault="00394471" w:rsidP="00FA0D37">
      <w:pPr>
        <w:pStyle w:val="PL"/>
      </w:pPr>
      <w:r w:rsidRPr="00FA0D37">
        <w:t xml:space="preserve">    ...,</w:t>
      </w:r>
    </w:p>
    <w:p w14:paraId="56DBC17E" w14:textId="77777777" w:rsidR="00394471" w:rsidRPr="00FA0D37" w:rsidRDefault="00394471" w:rsidP="00FA0D37">
      <w:pPr>
        <w:pStyle w:val="PL"/>
      </w:pPr>
      <w:r w:rsidRPr="00FA0D37">
        <w:t xml:space="preserve">    [[</w:t>
      </w:r>
    </w:p>
    <w:p w14:paraId="479AF130" w14:textId="77777777" w:rsidR="00394471" w:rsidRPr="00FA0D37" w:rsidRDefault="00394471" w:rsidP="00FA0D37">
      <w:pPr>
        <w:pStyle w:val="PL"/>
        <w:rPr>
          <w:color w:val="808080"/>
        </w:rPr>
      </w:pPr>
      <w:r w:rsidRPr="00FA0D37">
        <w:t xml:space="preserve">    cipheringDisabled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ConnectedTo5GC</w:t>
      </w:r>
    </w:p>
    <w:p w14:paraId="1E23A64A" w14:textId="77777777" w:rsidR="00394471" w:rsidRPr="00FA0D37" w:rsidRDefault="00394471" w:rsidP="00FA0D37">
      <w:pPr>
        <w:pStyle w:val="PL"/>
      </w:pPr>
      <w:r w:rsidRPr="00FA0D37">
        <w:t xml:space="preserve">    ]],</w:t>
      </w:r>
    </w:p>
    <w:p w14:paraId="58AF3548" w14:textId="77777777" w:rsidR="00394471" w:rsidRPr="00FA0D37" w:rsidRDefault="00394471" w:rsidP="00FA0D37">
      <w:pPr>
        <w:pStyle w:val="PL"/>
      </w:pPr>
      <w:r w:rsidRPr="00FA0D37">
        <w:t xml:space="preserve">    [[</w:t>
      </w:r>
    </w:p>
    <w:p w14:paraId="549BE12C" w14:textId="77777777" w:rsidR="00394471" w:rsidRPr="00FA0D37" w:rsidRDefault="00394471" w:rsidP="00FA0D37">
      <w:pPr>
        <w:pStyle w:val="PL"/>
        <w:rPr>
          <w:color w:val="808080"/>
        </w:rPr>
      </w:pPr>
      <w:r w:rsidRPr="00FA0D37">
        <w:t xml:space="preserve">    discardTimerExt-r16     SetupRelease { DiscardTimerExt-r16 }                                </w:t>
      </w:r>
      <w:r w:rsidRPr="00FA0D37">
        <w:rPr>
          <w:color w:val="993366"/>
        </w:rPr>
        <w:t>OPTIONAL</w:t>
      </w:r>
      <w:r w:rsidRPr="00FA0D37">
        <w:t xml:space="preserve">,    </w:t>
      </w:r>
      <w:r w:rsidRPr="00FA0D37">
        <w:rPr>
          <w:color w:val="808080"/>
        </w:rPr>
        <w:t>-- Cond DRB2</w:t>
      </w:r>
    </w:p>
    <w:p w14:paraId="7B1A42E7" w14:textId="77777777" w:rsidR="00394471" w:rsidRPr="00FA0D37" w:rsidRDefault="00394471" w:rsidP="00FA0D37">
      <w:pPr>
        <w:pStyle w:val="PL"/>
      </w:pPr>
      <w:r w:rsidRPr="00FA0D37">
        <w:t xml:space="preserve">    moreThanTwoRLC-DRB-r16  </w:t>
      </w:r>
      <w:r w:rsidRPr="00FA0D37">
        <w:rPr>
          <w:color w:val="993366"/>
        </w:rPr>
        <w:t>SEQUENCE</w:t>
      </w:r>
      <w:r w:rsidRPr="00FA0D37">
        <w:t xml:space="preserve"> {</w:t>
      </w:r>
    </w:p>
    <w:p w14:paraId="398583AA" w14:textId="77777777" w:rsidR="00394471" w:rsidRPr="00FA0D37" w:rsidRDefault="00394471" w:rsidP="00FA0D37">
      <w:pPr>
        <w:pStyle w:val="PL"/>
        <w:rPr>
          <w:color w:val="808080"/>
        </w:rPr>
      </w:pPr>
      <w:r w:rsidRPr="00FA0D37">
        <w:t xml:space="preserve">        splitSecondaryPath-r16  LogicalChannelIdentity                                          </w:t>
      </w:r>
      <w:r w:rsidRPr="00FA0D37">
        <w:rPr>
          <w:color w:val="993366"/>
        </w:rPr>
        <w:t>OPTIONAL</w:t>
      </w:r>
      <w:r w:rsidRPr="00FA0D37">
        <w:t xml:space="preserve">,   </w:t>
      </w:r>
      <w:r w:rsidRPr="00FA0D37">
        <w:rPr>
          <w:color w:val="808080"/>
        </w:rPr>
        <w:t>-- Cond SplitBearer2</w:t>
      </w:r>
    </w:p>
    <w:p w14:paraId="5218F263" w14:textId="77777777" w:rsidR="00394471" w:rsidRPr="00FA0D37" w:rsidRDefault="00394471" w:rsidP="00FA0D37">
      <w:pPr>
        <w:pStyle w:val="PL"/>
        <w:rPr>
          <w:color w:val="808080"/>
        </w:rPr>
      </w:pPr>
      <w:r w:rsidRPr="00FA0D37">
        <w:t xml:space="preserve">        duplicationState-r16    </w:t>
      </w:r>
      <w:r w:rsidRPr="00FA0D37">
        <w:rPr>
          <w:color w:val="993366"/>
        </w:rPr>
        <w:t>SEQUENCE</w:t>
      </w:r>
      <w:r w:rsidRPr="00FA0D37">
        <w:t xml:space="preserve"> (</w:t>
      </w:r>
      <w:r w:rsidRPr="00FA0D37">
        <w:rPr>
          <w:color w:val="993366"/>
        </w:rPr>
        <w:t>SIZE</w:t>
      </w:r>
      <w:r w:rsidRPr="00FA0D37">
        <w:t xml:space="preserve"> (3))</w:t>
      </w:r>
      <w:r w:rsidRPr="00FA0D37">
        <w:rPr>
          <w:color w:val="993366"/>
        </w:rPr>
        <w:t xml:space="preserve"> OF</w:t>
      </w:r>
      <w:r w:rsidRPr="00FA0D37">
        <w:t xml:space="preserve"> </w:t>
      </w:r>
      <w:r w:rsidRPr="00FA0D37">
        <w:rPr>
          <w:color w:val="993366"/>
        </w:rPr>
        <w:t>BOOLEAN</w:t>
      </w:r>
      <w:r w:rsidRPr="00FA0D37">
        <w:t xml:space="preserve">                                  </w:t>
      </w:r>
      <w:r w:rsidRPr="00FA0D37">
        <w:rPr>
          <w:color w:val="993366"/>
        </w:rPr>
        <w:t>OPTIONAL</w:t>
      </w:r>
      <w:r w:rsidRPr="00FA0D37">
        <w:t xml:space="preserve">    </w:t>
      </w:r>
      <w:r w:rsidRPr="00FA0D37">
        <w:rPr>
          <w:color w:val="808080"/>
        </w:rPr>
        <w:t>-- Need S</w:t>
      </w:r>
    </w:p>
    <w:p w14:paraId="2217B3CE" w14:textId="77777777" w:rsidR="00394471" w:rsidRPr="00FA0D37" w:rsidRDefault="00394471" w:rsidP="00FA0D37">
      <w:pPr>
        <w:pStyle w:val="PL"/>
        <w:rPr>
          <w:rFonts w:eastAsia="等线"/>
          <w:color w:val="808080"/>
        </w:rPr>
      </w:pPr>
      <w:r w:rsidRPr="00FA0D37">
        <w:t xml:space="preserve">    }                                                                                           </w:t>
      </w:r>
      <w:r w:rsidRPr="00FA0D37">
        <w:rPr>
          <w:color w:val="993366"/>
        </w:rPr>
        <w:t>OPTIONAL</w:t>
      </w:r>
      <w:r w:rsidRPr="00FA0D37">
        <w:t xml:space="preserve">,   </w:t>
      </w:r>
      <w:r w:rsidRPr="00FA0D37">
        <w:rPr>
          <w:color w:val="808080"/>
        </w:rPr>
        <w:t>-- Cond MoreThanTwoRLC-DRB</w:t>
      </w:r>
    </w:p>
    <w:p w14:paraId="0259B8A3" w14:textId="77777777" w:rsidR="00394471" w:rsidRPr="00FA0D37" w:rsidRDefault="00394471" w:rsidP="00FA0D37">
      <w:pPr>
        <w:pStyle w:val="PL"/>
        <w:rPr>
          <w:color w:val="808080"/>
        </w:rPr>
      </w:pPr>
      <w:r w:rsidRPr="00FA0D37">
        <w:t xml:space="preserve">    ethernetHeaderCompression-r16  SetupRelease { EthernetHeaderCompression-r16 }               </w:t>
      </w:r>
      <w:r w:rsidRPr="00FA0D37">
        <w:rPr>
          <w:color w:val="993366"/>
        </w:rPr>
        <w:t>OPTIONAL</w:t>
      </w:r>
      <w:r w:rsidRPr="00FA0D37">
        <w:t xml:space="preserve">    </w:t>
      </w:r>
      <w:r w:rsidRPr="00FA0D37">
        <w:rPr>
          <w:color w:val="808080"/>
        </w:rPr>
        <w:t>-- Need M</w:t>
      </w:r>
    </w:p>
    <w:p w14:paraId="1750377B" w14:textId="3F2E2665" w:rsidR="00F27D15" w:rsidRPr="00FA0D37" w:rsidRDefault="00394471" w:rsidP="00FA0D37">
      <w:pPr>
        <w:pStyle w:val="PL"/>
      </w:pPr>
      <w:r w:rsidRPr="00FA0D37">
        <w:t xml:space="preserve">    ]]</w:t>
      </w:r>
      <w:r w:rsidR="00F27D15" w:rsidRPr="00FA0D37">
        <w:t>,</w:t>
      </w:r>
    </w:p>
    <w:p w14:paraId="7B6D1FEE" w14:textId="77777777" w:rsidR="00F27D15" w:rsidRPr="00FA0D37" w:rsidRDefault="00F27D15" w:rsidP="00FA0D37">
      <w:pPr>
        <w:pStyle w:val="PL"/>
      </w:pPr>
      <w:r w:rsidRPr="00FA0D37">
        <w:t xml:space="preserve">    [[</w:t>
      </w:r>
    </w:p>
    <w:p w14:paraId="246EDAC9" w14:textId="61000ECE" w:rsidR="00F27D15" w:rsidRPr="00FA0D37" w:rsidRDefault="00F27D15" w:rsidP="00FA0D37">
      <w:pPr>
        <w:pStyle w:val="PL"/>
        <w:rPr>
          <w:color w:val="808080"/>
        </w:rPr>
      </w:pPr>
      <w:r w:rsidRPr="00FA0D37">
        <w:t xml:space="preserve">    survivalTimeStateSupport-r17   </w:t>
      </w:r>
      <w:r w:rsidRPr="00FA0D37">
        <w:rPr>
          <w:color w:val="993366"/>
        </w:rPr>
        <w:t>ENUMERATED</w:t>
      </w:r>
      <w:r w:rsidRPr="00FA0D37">
        <w:t xml:space="preserve"> {true}           </w:t>
      </w:r>
      <w:r w:rsidR="00270869" w:rsidRPr="00FA0D37">
        <w:t xml:space="preserve">  </w:t>
      </w:r>
      <w:r w:rsidRPr="00FA0D37">
        <w:t xml:space="preserve">                               </w:t>
      </w:r>
      <w:r w:rsidRPr="00FA0D37">
        <w:rPr>
          <w:color w:val="993366"/>
        </w:rPr>
        <w:t>OPTIONAL</w:t>
      </w:r>
      <w:r w:rsidR="00270869" w:rsidRPr="00FA0D37">
        <w:t>,</w:t>
      </w:r>
      <w:r w:rsidRPr="00FA0D37">
        <w:t xml:space="preserve">   </w:t>
      </w:r>
      <w:r w:rsidRPr="00FA0D37">
        <w:rPr>
          <w:color w:val="808080"/>
        </w:rPr>
        <w:t>-- Cond Drb-Duplication</w:t>
      </w:r>
    </w:p>
    <w:p w14:paraId="6F4EB088" w14:textId="21809580" w:rsidR="00270869" w:rsidRPr="00FA0D37" w:rsidRDefault="00270869" w:rsidP="00FA0D37">
      <w:pPr>
        <w:pStyle w:val="PL"/>
        <w:rPr>
          <w:color w:val="808080"/>
        </w:rPr>
      </w:pPr>
      <w:r w:rsidRPr="00FA0D37">
        <w:t xml:space="preserve">    uplinkDataCompression-r17      SetupRelease { UplinkDataCompression-r17 }               </w:t>
      </w:r>
      <w:r w:rsidR="005B7637" w:rsidRPr="00FA0D37">
        <w:t xml:space="preserve">    </w:t>
      </w:r>
      <w:r w:rsidRPr="00FA0D37">
        <w:rPr>
          <w:color w:val="993366"/>
        </w:rPr>
        <w:t>OPTIONAL</w:t>
      </w:r>
      <w:r w:rsidR="005B7637" w:rsidRPr="00FA0D37">
        <w:t>,</w:t>
      </w:r>
      <w:r w:rsidRPr="00FA0D37">
        <w:t xml:space="preserve">   </w:t>
      </w:r>
      <w:r w:rsidRPr="00FA0D37">
        <w:rPr>
          <w:color w:val="808080"/>
        </w:rPr>
        <w:t>-- Cond Rlc-AM</w:t>
      </w:r>
    </w:p>
    <w:p w14:paraId="59AD2565" w14:textId="669E21CA" w:rsidR="005B7637" w:rsidRPr="00FA0D37" w:rsidRDefault="005B7637" w:rsidP="00FA0D37">
      <w:pPr>
        <w:pStyle w:val="PL"/>
        <w:rPr>
          <w:color w:val="808080"/>
        </w:rPr>
      </w:pPr>
      <w:r w:rsidRPr="00FA0D37">
        <w:t xml:space="preserve">    discardTimerExt2-r17           SetupRelease { DiscardTimerExt2-r17 }                        </w:t>
      </w:r>
      <w:r w:rsidRPr="00FA0D37">
        <w:rPr>
          <w:color w:val="993366"/>
        </w:rPr>
        <w:t>OPTIONAL</w:t>
      </w:r>
      <w:r w:rsidR="00CE6FBC" w:rsidRPr="00FA0D37">
        <w:t>,</w:t>
      </w:r>
      <w:r w:rsidRPr="00FA0D37">
        <w:t xml:space="preserve">   </w:t>
      </w:r>
      <w:r w:rsidRPr="00FA0D37">
        <w:rPr>
          <w:color w:val="808080"/>
        </w:rPr>
        <w:t xml:space="preserve">-- Need </w:t>
      </w:r>
      <w:r w:rsidR="00697589" w:rsidRPr="00FA0D37">
        <w:rPr>
          <w:color w:val="808080"/>
        </w:rPr>
        <w:t>M</w:t>
      </w:r>
    </w:p>
    <w:p w14:paraId="4271A3DF" w14:textId="2DB7D0A3" w:rsidR="00CE6FBC" w:rsidRPr="00FA0D37" w:rsidRDefault="00CE6FBC" w:rsidP="00FA0D37">
      <w:pPr>
        <w:pStyle w:val="PL"/>
        <w:rPr>
          <w:color w:val="808080"/>
        </w:rPr>
      </w:pPr>
      <w:r w:rsidRPr="00FA0D37">
        <w:lastRenderedPageBreak/>
        <w:t xml:space="preserve">    </w:t>
      </w:r>
      <w:r w:rsidR="00FD05B6" w:rsidRPr="00FA0D37">
        <w:t>initialRX-DELIV</w:t>
      </w:r>
      <w:r w:rsidRPr="00FA0D37">
        <w:t xml:space="preserve">-r17      </w:t>
      </w:r>
      <w:r w:rsidR="00FD05B6" w:rsidRPr="00FA0D37">
        <w:t xml:space="preserv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                                       </w:t>
      </w:r>
      <w:r w:rsidRPr="00FA0D37">
        <w:rPr>
          <w:color w:val="993366"/>
        </w:rPr>
        <w:t>OPTIONAL</w:t>
      </w:r>
      <w:r w:rsidRPr="00FA0D37">
        <w:t xml:space="preserve">    </w:t>
      </w:r>
      <w:r w:rsidRPr="00FA0D37">
        <w:rPr>
          <w:color w:val="808080"/>
        </w:rPr>
        <w:t xml:space="preserve">-- Cond </w:t>
      </w:r>
      <w:r w:rsidR="00FD05B6" w:rsidRPr="00FA0D37">
        <w:rPr>
          <w:color w:val="808080"/>
        </w:rPr>
        <w:t>MRB-Initialization</w:t>
      </w:r>
    </w:p>
    <w:p w14:paraId="470CEDAD" w14:textId="2F15B85E" w:rsidR="00394471" w:rsidRPr="00FA0D37" w:rsidRDefault="00F27D15" w:rsidP="00FA0D37">
      <w:pPr>
        <w:pStyle w:val="PL"/>
      </w:pPr>
      <w:r w:rsidRPr="00FA0D37">
        <w:t xml:space="preserve">    ]]</w:t>
      </w:r>
    </w:p>
    <w:p w14:paraId="5606E2FC" w14:textId="77777777" w:rsidR="00394471" w:rsidRPr="00FA0D37" w:rsidRDefault="00394471" w:rsidP="00FA0D37">
      <w:pPr>
        <w:pStyle w:val="PL"/>
      </w:pPr>
      <w:r w:rsidRPr="00FA0D37">
        <w:t>}</w:t>
      </w:r>
    </w:p>
    <w:p w14:paraId="613EC5EC" w14:textId="77777777" w:rsidR="00394471" w:rsidRPr="00FA0D37" w:rsidRDefault="00394471" w:rsidP="00FA0D37">
      <w:pPr>
        <w:pStyle w:val="PL"/>
      </w:pPr>
    </w:p>
    <w:p w14:paraId="403BC98C" w14:textId="77777777" w:rsidR="00394471" w:rsidRPr="00FA0D37" w:rsidRDefault="00394471" w:rsidP="00FA0D37">
      <w:pPr>
        <w:pStyle w:val="PL"/>
      </w:pPr>
      <w:r w:rsidRPr="00FA0D37">
        <w:t xml:space="preserve">EthernetHeaderCompression-r16 ::=  </w:t>
      </w:r>
      <w:r w:rsidRPr="00FA0D37">
        <w:rPr>
          <w:color w:val="993366"/>
        </w:rPr>
        <w:t>SEQUENCE</w:t>
      </w:r>
      <w:r w:rsidRPr="00FA0D37">
        <w:t xml:space="preserve"> {</w:t>
      </w:r>
    </w:p>
    <w:p w14:paraId="50AFDF64" w14:textId="77777777" w:rsidR="00394471" w:rsidRPr="00FA0D37" w:rsidRDefault="00394471" w:rsidP="00FA0D37">
      <w:pPr>
        <w:pStyle w:val="PL"/>
      </w:pPr>
      <w:r w:rsidRPr="00FA0D37">
        <w:t xml:space="preserve">    ehc-Common-r16                     </w:t>
      </w:r>
      <w:r w:rsidRPr="00FA0D37">
        <w:rPr>
          <w:color w:val="993366"/>
        </w:rPr>
        <w:t>SEQUENCE</w:t>
      </w:r>
      <w:r w:rsidRPr="00FA0D37">
        <w:t xml:space="preserve"> {</w:t>
      </w:r>
    </w:p>
    <w:p w14:paraId="0619EFE0" w14:textId="77777777" w:rsidR="00394471" w:rsidRPr="00FA0D37" w:rsidRDefault="00394471" w:rsidP="00FA0D37">
      <w:pPr>
        <w:pStyle w:val="PL"/>
      </w:pPr>
      <w:r w:rsidRPr="00FA0D37">
        <w:t xml:space="preserve">        ehc-CID-Length-r16                 </w:t>
      </w:r>
      <w:r w:rsidRPr="00FA0D37">
        <w:rPr>
          <w:color w:val="993366"/>
        </w:rPr>
        <w:t>ENUMERATED</w:t>
      </w:r>
      <w:r w:rsidRPr="00FA0D37">
        <w:t xml:space="preserve"> { bits7, bits15 },</w:t>
      </w:r>
    </w:p>
    <w:p w14:paraId="2C14111C" w14:textId="77777777" w:rsidR="00394471" w:rsidRPr="00FA0D37" w:rsidRDefault="00394471" w:rsidP="00FA0D37">
      <w:pPr>
        <w:pStyle w:val="PL"/>
      </w:pPr>
      <w:r w:rsidRPr="00FA0D37">
        <w:t xml:space="preserve">         ...</w:t>
      </w:r>
    </w:p>
    <w:p w14:paraId="18E12382" w14:textId="77777777" w:rsidR="00394471" w:rsidRPr="00FA0D37" w:rsidRDefault="00394471" w:rsidP="00FA0D37">
      <w:pPr>
        <w:pStyle w:val="PL"/>
      </w:pPr>
      <w:r w:rsidRPr="00FA0D37">
        <w:t xml:space="preserve">    },</w:t>
      </w:r>
    </w:p>
    <w:p w14:paraId="101BFEE2" w14:textId="77777777" w:rsidR="00394471" w:rsidRPr="00FA0D37" w:rsidRDefault="00394471" w:rsidP="00FA0D37">
      <w:pPr>
        <w:pStyle w:val="PL"/>
      </w:pPr>
      <w:r w:rsidRPr="00FA0D37">
        <w:t xml:space="preserve">    ehc-Downlink-r16               </w:t>
      </w:r>
      <w:r w:rsidRPr="00FA0D37">
        <w:rPr>
          <w:color w:val="993366"/>
        </w:rPr>
        <w:t>SEQUENCE</w:t>
      </w:r>
      <w:r w:rsidRPr="00FA0D37">
        <w:t xml:space="preserve"> {</w:t>
      </w:r>
    </w:p>
    <w:p w14:paraId="1D0DD09D" w14:textId="19CA4304" w:rsidR="00394471" w:rsidRPr="00FA0D37" w:rsidRDefault="00394471" w:rsidP="00FA0D37">
      <w:pPr>
        <w:pStyle w:val="PL"/>
        <w:rPr>
          <w:color w:val="808080"/>
        </w:rPr>
      </w:pPr>
      <w:r w:rsidRPr="00FA0D37">
        <w:t xml:space="preserve">        drb-ContinueEHC-DL-r16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xml:space="preserve">-- Need </w:t>
      </w:r>
      <w:r w:rsidR="00617A5A" w:rsidRPr="00FA0D37">
        <w:rPr>
          <w:color w:val="808080"/>
        </w:rPr>
        <w:t>N</w:t>
      </w:r>
    </w:p>
    <w:p w14:paraId="3608C677" w14:textId="77777777" w:rsidR="00394471" w:rsidRPr="00FA0D37" w:rsidRDefault="00394471" w:rsidP="00FA0D37">
      <w:pPr>
        <w:pStyle w:val="PL"/>
      </w:pPr>
      <w:r w:rsidRPr="00FA0D37">
        <w:t xml:space="preserve">        ...</w:t>
      </w:r>
    </w:p>
    <w:p w14:paraId="09B29C40"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2420EEA3" w14:textId="77777777" w:rsidR="00394471" w:rsidRPr="00FA0D37" w:rsidRDefault="00394471" w:rsidP="00FA0D37">
      <w:pPr>
        <w:pStyle w:val="PL"/>
      </w:pPr>
      <w:r w:rsidRPr="00FA0D37">
        <w:t xml:space="preserve">    ehc-Uplink-r16                 </w:t>
      </w:r>
      <w:r w:rsidRPr="00FA0D37">
        <w:rPr>
          <w:color w:val="993366"/>
        </w:rPr>
        <w:t>SEQUENCE</w:t>
      </w:r>
      <w:r w:rsidRPr="00FA0D37">
        <w:t xml:space="preserve"> {</w:t>
      </w:r>
    </w:p>
    <w:p w14:paraId="1E6F9D36" w14:textId="77777777" w:rsidR="00394471" w:rsidRPr="00FA0D37" w:rsidRDefault="00394471" w:rsidP="00FA0D37">
      <w:pPr>
        <w:pStyle w:val="PL"/>
      </w:pPr>
      <w:r w:rsidRPr="00FA0D37">
        <w:t xml:space="preserve">        maxCID-EHC-UL-r16              </w:t>
      </w:r>
      <w:r w:rsidRPr="00FA0D37">
        <w:rPr>
          <w:color w:val="993366"/>
        </w:rPr>
        <w:t>INTEGER</w:t>
      </w:r>
      <w:r w:rsidRPr="00FA0D37">
        <w:t xml:space="preserve"> (1..32767),</w:t>
      </w:r>
    </w:p>
    <w:p w14:paraId="3AEEEAB9" w14:textId="7F79AE31" w:rsidR="00394471" w:rsidRPr="00FA0D37" w:rsidRDefault="00394471" w:rsidP="00FA0D37">
      <w:pPr>
        <w:pStyle w:val="PL"/>
        <w:rPr>
          <w:color w:val="808080"/>
        </w:rPr>
      </w:pPr>
      <w:r w:rsidRPr="00FA0D37">
        <w:t xml:space="preserve">        drb-ContinueEHC-UL-r16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xml:space="preserve">-- Need </w:t>
      </w:r>
      <w:r w:rsidR="00617A5A" w:rsidRPr="00FA0D37">
        <w:rPr>
          <w:color w:val="808080"/>
        </w:rPr>
        <w:t>N</w:t>
      </w:r>
    </w:p>
    <w:p w14:paraId="7AAF8755" w14:textId="77777777" w:rsidR="00394471" w:rsidRPr="00FA0D37" w:rsidRDefault="00394471" w:rsidP="00FA0D37">
      <w:pPr>
        <w:pStyle w:val="PL"/>
      </w:pPr>
      <w:r w:rsidRPr="00FA0D37">
        <w:t xml:space="preserve">        ...</w:t>
      </w:r>
    </w:p>
    <w:p w14:paraId="3AE7B6B3"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6658BD61" w14:textId="77777777" w:rsidR="00394471" w:rsidRPr="00FA0D37" w:rsidRDefault="00394471" w:rsidP="00FA0D37">
      <w:pPr>
        <w:pStyle w:val="PL"/>
      </w:pPr>
      <w:r w:rsidRPr="00FA0D37">
        <w:t>}</w:t>
      </w:r>
    </w:p>
    <w:p w14:paraId="75660F99" w14:textId="77777777" w:rsidR="00394471" w:rsidRPr="00FA0D37" w:rsidRDefault="00394471" w:rsidP="00FA0D37">
      <w:pPr>
        <w:pStyle w:val="PL"/>
      </w:pPr>
    </w:p>
    <w:p w14:paraId="677146DB" w14:textId="77777777" w:rsidR="00394471" w:rsidRPr="00FA0D37" w:rsidRDefault="00394471" w:rsidP="00FA0D37">
      <w:pPr>
        <w:pStyle w:val="PL"/>
      </w:pPr>
      <w:r w:rsidRPr="00FA0D37">
        <w:t xml:space="preserve">UL-DataSplitThreshold ::= </w:t>
      </w:r>
      <w:r w:rsidRPr="00FA0D37">
        <w:rPr>
          <w:color w:val="993366"/>
        </w:rPr>
        <w:t>ENUMERATED</w:t>
      </w:r>
      <w:r w:rsidRPr="00FA0D37">
        <w:t xml:space="preserve"> {</w:t>
      </w:r>
    </w:p>
    <w:p w14:paraId="7FB83D82" w14:textId="77777777" w:rsidR="00394471" w:rsidRPr="00FA0D37" w:rsidRDefault="00394471" w:rsidP="00FA0D37">
      <w:pPr>
        <w:pStyle w:val="PL"/>
      </w:pPr>
      <w:r w:rsidRPr="00FA0D37">
        <w:t xml:space="preserve">                                            b0, b100, b200, b400, b800, b1600, b3200, b6400, b12800, b25600, b51200, b102400, b204800,</w:t>
      </w:r>
    </w:p>
    <w:p w14:paraId="5A1CB164" w14:textId="77777777" w:rsidR="00394471" w:rsidRPr="00FA0D37" w:rsidRDefault="00394471" w:rsidP="00FA0D37">
      <w:pPr>
        <w:pStyle w:val="PL"/>
      </w:pPr>
      <w:r w:rsidRPr="00FA0D37">
        <w:t xml:space="preserve">                                            b409600, b819200, b1228800, b1638400, b2457600, b3276800, b4096000, b4915200, b5734400,</w:t>
      </w:r>
    </w:p>
    <w:p w14:paraId="19CE2B43" w14:textId="77777777" w:rsidR="00394471" w:rsidRPr="00FA0D37" w:rsidRDefault="00394471" w:rsidP="00FA0D37">
      <w:pPr>
        <w:pStyle w:val="PL"/>
      </w:pPr>
      <w:r w:rsidRPr="00FA0D37">
        <w:t xml:space="preserve">                                            b6553600, infinity, spare8, spare7, spare6, spare5, spare4, spare3, spare2, spare1}</w:t>
      </w:r>
    </w:p>
    <w:p w14:paraId="155E6C54" w14:textId="77777777" w:rsidR="00394471" w:rsidRPr="00FA0D37" w:rsidRDefault="00394471" w:rsidP="00FA0D37">
      <w:pPr>
        <w:pStyle w:val="PL"/>
      </w:pPr>
    </w:p>
    <w:p w14:paraId="626E94D3" w14:textId="77777777" w:rsidR="00394471" w:rsidRPr="00FA0D37" w:rsidRDefault="00394471" w:rsidP="00FA0D37">
      <w:pPr>
        <w:pStyle w:val="PL"/>
      </w:pPr>
      <w:r w:rsidRPr="00FA0D37">
        <w:t xml:space="preserve">DiscardTimerExt-r16 ::= </w:t>
      </w:r>
      <w:r w:rsidRPr="00FA0D37">
        <w:rPr>
          <w:color w:val="993366"/>
        </w:rPr>
        <w:t>ENUMERATED</w:t>
      </w:r>
      <w:r w:rsidRPr="00FA0D37">
        <w:t xml:space="preserve"> {ms0dot5, ms1, ms2, ms4, ms6, ms8, spare2, spare1}</w:t>
      </w:r>
    </w:p>
    <w:p w14:paraId="4F33F22F" w14:textId="191477A2" w:rsidR="00270869" w:rsidRPr="00FA0D37" w:rsidRDefault="00270869" w:rsidP="00FA0D37">
      <w:pPr>
        <w:pStyle w:val="PL"/>
      </w:pPr>
    </w:p>
    <w:p w14:paraId="0A5CEB85" w14:textId="5AC8E179" w:rsidR="005B7637" w:rsidRPr="00FA0D37" w:rsidRDefault="005B7637" w:rsidP="00FA0D37">
      <w:pPr>
        <w:pStyle w:val="PL"/>
      </w:pPr>
      <w:bookmarkStart w:id="1215" w:name="_Hlk94000260"/>
      <w:r w:rsidRPr="00FA0D37">
        <w:t xml:space="preserve">DiscardTimerExt2-r17 ::= </w:t>
      </w:r>
      <w:r w:rsidRPr="00FA0D37">
        <w:rPr>
          <w:color w:val="993366"/>
        </w:rPr>
        <w:t>ENUMERATED</w:t>
      </w:r>
      <w:r w:rsidRPr="00FA0D37">
        <w:t xml:space="preserve"> {ms2000, spare</w:t>
      </w:r>
      <w:r w:rsidR="00CF303E" w:rsidRPr="00FA0D37">
        <w:t>3</w:t>
      </w:r>
      <w:r w:rsidRPr="00FA0D37">
        <w:t>, spare2, spare</w:t>
      </w:r>
      <w:r w:rsidR="00CF303E" w:rsidRPr="00FA0D37">
        <w:t>1</w:t>
      </w:r>
      <w:r w:rsidRPr="00FA0D37">
        <w:t>}</w:t>
      </w:r>
    </w:p>
    <w:bookmarkEnd w:id="1215"/>
    <w:p w14:paraId="413E33FB" w14:textId="77777777" w:rsidR="005B7637" w:rsidRPr="00FA0D37" w:rsidRDefault="005B7637" w:rsidP="00FA0D37">
      <w:pPr>
        <w:pStyle w:val="PL"/>
      </w:pPr>
    </w:p>
    <w:p w14:paraId="266532EC" w14:textId="77777777" w:rsidR="00C148E4" w:rsidRPr="00FA0D37" w:rsidRDefault="00270869" w:rsidP="00FA0D37">
      <w:pPr>
        <w:pStyle w:val="PL"/>
      </w:pPr>
      <w:r w:rsidRPr="00FA0D37">
        <w:t xml:space="preserve">UplinkDataCompression-r17 ::= </w:t>
      </w:r>
      <w:r w:rsidRPr="00FA0D37">
        <w:rPr>
          <w:color w:val="993366"/>
        </w:rPr>
        <w:t>CHOICE</w:t>
      </w:r>
      <w:r w:rsidRPr="00FA0D37">
        <w:t xml:space="preserve"> {</w:t>
      </w:r>
    </w:p>
    <w:p w14:paraId="7D1F13E4" w14:textId="135F58CF" w:rsidR="00270869" w:rsidRPr="00FA0D37" w:rsidRDefault="00270869" w:rsidP="00FA0D37">
      <w:pPr>
        <w:pStyle w:val="PL"/>
      </w:pPr>
      <w:r w:rsidRPr="00FA0D37">
        <w:t xml:space="preserve">    newSetup                      </w:t>
      </w:r>
      <w:r w:rsidRPr="00FA0D37">
        <w:rPr>
          <w:color w:val="993366"/>
        </w:rPr>
        <w:t>SEQUENCE</w:t>
      </w:r>
      <w:r w:rsidRPr="00FA0D37">
        <w:t xml:space="preserve"> {</w:t>
      </w:r>
    </w:p>
    <w:p w14:paraId="2C4B128E" w14:textId="72B7A39C" w:rsidR="00270869" w:rsidRPr="00FA0D37" w:rsidRDefault="00270869" w:rsidP="00FA0D37">
      <w:pPr>
        <w:pStyle w:val="PL"/>
      </w:pPr>
      <w:r w:rsidRPr="00FA0D37">
        <w:t xml:space="preserve">        bufferSize-r17                </w:t>
      </w:r>
      <w:r w:rsidRPr="00FA0D37">
        <w:rPr>
          <w:color w:val="993366"/>
        </w:rPr>
        <w:t>ENUMERATED</w:t>
      </w:r>
      <w:r w:rsidRPr="00FA0D37">
        <w:t xml:space="preserve"> {kbyte2, kbyte4, kbyte8, spare1},</w:t>
      </w:r>
    </w:p>
    <w:p w14:paraId="5713ADD2" w14:textId="7A3D1EAF" w:rsidR="00270869" w:rsidRPr="00FA0D37" w:rsidRDefault="00270869" w:rsidP="00FA0D37">
      <w:pPr>
        <w:pStyle w:val="PL"/>
        <w:rPr>
          <w:color w:val="808080"/>
        </w:rPr>
      </w:pPr>
      <w:r w:rsidRPr="00FA0D37">
        <w:t xml:space="preserve">        dictionary-r17                </w:t>
      </w:r>
      <w:r w:rsidRPr="00FA0D37">
        <w:rPr>
          <w:color w:val="993366"/>
        </w:rPr>
        <w:t>ENUMERATED</w:t>
      </w:r>
      <w:r w:rsidRPr="00FA0D37">
        <w:t xml:space="preserve"> {sip-SDP, operator}                            </w:t>
      </w:r>
      <w:r w:rsidRPr="00FA0D37">
        <w:rPr>
          <w:color w:val="993366"/>
        </w:rPr>
        <w:t>OPTIONAL</w:t>
      </w:r>
      <w:r w:rsidR="0044265B" w:rsidRPr="00FA0D37">
        <w:t xml:space="preserve"> </w:t>
      </w:r>
      <w:r w:rsidRPr="00FA0D37">
        <w:t xml:space="preserve">   </w:t>
      </w:r>
      <w:r w:rsidRPr="00FA0D37">
        <w:rPr>
          <w:color w:val="808080"/>
        </w:rPr>
        <w:t>-- Need N</w:t>
      </w:r>
    </w:p>
    <w:p w14:paraId="29004222" w14:textId="1CF03686" w:rsidR="00270869" w:rsidRPr="00FA0D37" w:rsidRDefault="00270869" w:rsidP="00FA0D37">
      <w:pPr>
        <w:pStyle w:val="PL"/>
      </w:pPr>
      <w:r w:rsidRPr="00FA0D37">
        <w:t xml:space="preserve">    }</w:t>
      </w:r>
      <w:r w:rsidR="00C11704" w:rsidRPr="00FA0D37">
        <w:t>,</w:t>
      </w:r>
    </w:p>
    <w:p w14:paraId="09F5DAF6" w14:textId="4A19826B" w:rsidR="00270869" w:rsidRPr="00FA0D37" w:rsidRDefault="00270869" w:rsidP="00FA0D37">
      <w:pPr>
        <w:pStyle w:val="PL"/>
      </w:pPr>
      <w:r w:rsidRPr="00FA0D37">
        <w:t xml:space="preserve">    drb-ContinueUDC           </w:t>
      </w:r>
      <w:r w:rsidR="00A8216A" w:rsidRPr="00FA0D37">
        <w:rPr>
          <w:color w:val="993366"/>
        </w:rPr>
        <w:t>NULL</w:t>
      </w:r>
    </w:p>
    <w:p w14:paraId="30842E23" w14:textId="2C004655" w:rsidR="00270869" w:rsidRPr="00FA0D37" w:rsidRDefault="00270869" w:rsidP="00FA0D37">
      <w:pPr>
        <w:pStyle w:val="PL"/>
      </w:pPr>
      <w:r w:rsidRPr="00FA0D37">
        <w:t>}</w:t>
      </w:r>
    </w:p>
    <w:p w14:paraId="2196F177" w14:textId="77777777" w:rsidR="00270869" w:rsidRPr="00FA0D37" w:rsidRDefault="00270869" w:rsidP="00FA0D37">
      <w:pPr>
        <w:pStyle w:val="PL"/>
      </w:pPr>
    </w:p>
    <w:p w14:paraId="70802DA7" w14:textId="77777777" w:rsidR="00394471" w:rsidRPr="00FA0D37" w:rsidRDefault="00394471" w:rsidP="00FA0D37">
      <w:pPr>
        <w:pStyle w:val="PL"/>
        <w:rPr>
          <w:color w:val="808080"/>
        </w:rPr>
      </w:pPr>
      <w:r w:rsidRPr="00FA0D37">
        <w:rPr>
          <w:color w:val="808080"/>
        </w:rPr>
        <w:t>-- TAG-PDCP-CONFIG-STOP</w:t>
      </w:r>
    </w:p>
    <w:p w14:paraId="006451B7" w14:textId="77777777" w:rsidR="00394471" w:rsidRPr="00FA0D37" w:rsidRDefault="00394471" w:rsidP="00FA0D37">
      <w:pPr>
        <w:pStyle w:val="PL"/>
        <w:rPr>
          <w:color w:val="808080"/>
        </w:rPr>
      </w:pPr>
      <w:r w:rsidRPr="00FA0D37">
        <w:rPr>
          <w:color w:val="808080"/>
        </w:rPr>
        <w:t>-- ASN1STOP</w:t>
      </w:r>
    </w:p>
    <w:p w14:paraId="239F7847" w14:textId="77777777" w:rsidR="00394471" w:rsidRPr="00FA0D3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5C7FF4" w:rsidRPr="00FA0D37"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FA0D37" w:rsidRDefault="00394471" w:rsidP="00964CC4">
            <w:pPr>
              <w:pStyle w:val="TAH"/>
              <w:rPr>
                <w:lang w:eastAsia="en-GB"/>
              </w:rPr>
            </w:pPr>
            <w:r w:rsidRPr="00FA0D37">
              <w:rPr>
                <w:i/>
                <w:lang w:eastAsia="en-GB"/>
              </w:rPr>
              <w:lastRenderedPageBreak/>
              <w:t xml:space="preserve">PDCP-Config </w:t>
            </w:r>
            <w:r w:rsidRPr="00FA0D37">
              <w:rPr>
                <w:lang w:eastAsia="en-GB"/>
              </w:rPr>
              <w:t>field descriptions</w:t>
            </w:r>
          </w:p>
        </w:tc>
      </w:tr>
      <w:tr w:rsidR="005C7FF4" w:rsidRPr="00FA0D37"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FA0D37" w:rsidRDefault="00394471" w:rsidP="00964CC4">
            <w:pPr>
              <w:pStyle w:val="TAL"/>
              <w:rPr>
                <w:b/>
                <w:i/>
                <w:lang w:eastAsia="sv-SE"/>
              </w:rPr>
            </w:pPr>
            <w:r w:rsidRPr="00FA0D37">
              <w:rPr>
                <w:b/>
                <w:i/>
                <w:lang w:eastAsia="sv-SE"/>
              </w:rPr>
              <w:t>cipheringDisabled</w:t>
            </w:r>
          </w:p>
          <w:p w14:paraId="07D42EE3" w14:textId="77777777" w:rsidR="00394471" w:rsidRPr="00FA0D37" w:rsidRDefault="00394471" w:rsidP="00964CC4">
            <w:pPr>
              <w:pStyle w:val="TAL"/>
              <w:rPr>
                <w:lang w:eastAsia="sv-SE"/>
              </w:rPr>
            </w:pPr>
            <w:r w:rsidRPr="00FA0D37">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5C7FF4" w:rsidRPr="00FA0D37"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FA0D37" w:rsidRDefault="00394471" w:rsidP="00964CC4">
            <w:pPr>
              <w:pStyle w:val="TAL"/>
              <w:rPr>
                <w:b/>
                <w:bCs/>
                <w:i/>
                <w:lang w:eastAsia="en-GB"/>
              </w:rPr>
            </w:pPr>
            <w:r w:rsidRPr="00FA0D37">
              <w:rPr>
                <w:b/>
                <w:bCs/>
                <w:i/>
                <w:lang w:eastAsia="en-GB"/>
              </w:rPr>
              <w:t>discardTimer</w:t>
            </w:r>
          </w:p>
          <w:p w14:paraId="19D217D7" w14:textId="77777777" w:rsidR="00394471" w:rsidRPr="00FA0D37" w:rsidRDefault="00394471" w:rsidP="00964CC4">
            <w:pPr>
              <w:pStyle w:val="TAL"/>
              <w:rPr>
                <w:b/>
                <w:bCs/>
                <w:i/>
                <w:lang w:eastAsia="en-GB"/>
              </w:rPr>
            </w:pPr>
            <w:r w:rsidRPr="00FA0D37">
              <w:rPr>
                <w:lang w:eastAsia="en-GB"/>
              </w:rPr>
              <w:t xml:space="preserve">Value in ms of </w:t>
            </w:r>
            <w:r w:rsidRPr="00FA0D37">
              <w:rPr>
                <w:i/>
                <w:lang w:eastAsia="en-GB"/>
              </w:rPr>
              <w:t xml:space="preserve">discardTimer </w:t>
            </w:r>
            <w:r w:rsidRPr="00FA0D37">
              <w:rPr>
                <w:lang w:eastAsia="en-GB"/>
              </w:rPr>
              <w:t xml:space="preserve">specified in TS 38.323 [5]. Value </w:t>
            </w:r>
            <w:r w:rsidRPr="00FA0D37">
              <w:rPr>
                <w:i/>
                <w:lang w:eastAsia="en-GB"/>
              </w:rPr>
              <w:t>ms10</w:t>
            </w:r>
            <w:r w:rsidRPr="00FA0D37">
              <w:rPr>
                <w:lang w:eastAsia="en-GB"/>
              </w:rPr>
              <w:t xml:space="preserve"> corresponds to 10 ms, value </w:t>
            </w:r>
            <w:r w:rsidRPr="00FA0D37">
              <w:rPr>
                <w:i/>
                <w:lang w:eastAsia="en-GB"/>
              </w:rPr>
              <w:t>ms20</w:t>
            </w:r>
            <w:r w:rsidRPr="00FA0D37">
              <w:rPr>
                <w:lang w:eastAsia="en-GB"/>
              </w:rPr>
              <w:t xml:space="preserve"> corresponds to 20 ms and so on.</w:t>
            </w:r>
            <w:r w:rsidRPr="00FA0D37">
              <w:rPr>
                <w:lang w:eastAsia="sv-SE"/>
              </w:rPr>
              <w:t xml:space="preserve"> The value for this field cannot be changed </w:t>
            </w:r>
            <w:r w:rsidRPr="00FA0D37">
              <w:rPr>
                <w:rFonts w:cs="Arial"/>
                <w:lang w:eastAsia="sv-SE"/>
              </w:rPr>
              <w:t xml:space="preserve">in case of reconfiguration with sync, </w:t>
            </w:r>
            <w:r w:rsidRPr="00FA0D37">
              <w:rPr>
                <w:lang w:eastAsia="sv-SE"/>
              </w:rPr>
              <w:t xml:space="preserve">if </w:t>
            </w:r>
            <w:r w:rsidRPr="00FA0D37">
              <w:t>the bearer is configured as DAPS bearer</w:t>
            </w:r>
            <w:r w:rsidRPr="00FA0D37">
              <w:rPr>
                <w:lang w:eastAsia="sv-SE"/>
              </w:rPr>
              <w:t>.</w:t>
            </w:r>
          </w:p>
        </w:tc>
      </w:tr>
      <w:tr w:rsidR="005C7FF4" w:rsidRPr="00FA0D37"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FA0D37" w:rsidRDefault="00394471" w:rsidP="00964CC4">
            <w:pPr>
              <w:pStyle w:val="TAL"/>
              <w:rPr>
                <w:b/>
                <w:bCs/>
                <w:i/>
                <w:iCs/>
                <w:lang w:eastAsia="x-none"/>
              </w:rPr>
            </w:pPr>
            <w:r w:rsidRPr="00FA0D37">
              <w:rPr>
                <w:b/>
                <w:bCs/>
                <w:i/>
                <w:iCs/>
                <w:lang w:eastAsia="x-none"/>
              </w:rPr>
              <w:t>discardTimerExt</w:t>
            </w:r>
          </w:p>
          <w:p w14:paraId="45F55E04" w14:textId="77777777" w:rsidR="00394471" w:rsidRPr="00FA0D37" w:rsidRDefault="00394471" w:rsidP="00964CC4">
            <w:pPr>
              <w:pStyle w:val="TAL"/>
              <w:rPr>
                <w:b/>
                <w:bCs/>
                <w:i/>
                <w:lang w:eastAsia="en-GB"/>
              </w:rPr>
            </w:pPr>
            <w:r w:rsidRPr="00FA0D37">
              <w:rPr>
                <w:lang w:eastAsia="en-GB"/>
              </w:rPr>
              <w:t xml:space="preserve">Value in ms of </w:t>
            </w:r>
            <w:r w:rsidRPr="00FA0D37">
              <w:rPr>
                <w:i/>
                <w:lang w:eastAsia="en-GB"/>
              </w:rPr>
              <w:t>discardTimer</w:t>
            </w:r>
            <w:r w:rsidRPr="00FA0D37">
              <w:rPr>
                <w:lang w:eastAsia="en-GB"/>
              </w:rPr>
              <w:t xml:space="preserve"> specified in TS 38.323 [5]. Value </w:t>
            </w:r>
            <w:r w:rsidRPr="00FA0D37">
              <w:rPr>
                <w:i/>
                <w:lang w:eastAsia="en-GB"/>
              </w:rPr>
              <w:t>ms0dot5</w:t>
            </w:r>
            <w:r w:rsidRPr="00FA0D37">
              <w:rPr>
                <w:lang w:eastAsia="en-GB"/>
              </w:rPr>
              <w:t xml:space="preserve"> corresponds to 0.5 ms, value </w:t>
            </w:r>
            <w:r w:rsidRPr="00FA0D37">
              <w:rPr>
                <w:i/>
                <w:lang w:eastAsia="en-GB"/>
              </w:rPr>
              <w:t>ms1</w:t>
            </w:r>
            <w:r w:rsidRPr="00FA0D37">
              <w:rPr>
                <w:lang w:eastAsia="en-GB"/>
              </w:rPr>
              <w:t xml:space="preserve"> corresponds to 1ms and so on. If this field is present, the field </w:t>
            </w:r>
            <w:r w:rsidRPr="00FA0D37">
              <w:rPr>
                <w:i/>
                <w:lang w:eastAsia="en-GB"/>
              </w:rPr>
              <w:t>discardTimer</w:t>
            </w:r>
            <w:r w:rsidRPr="00FA0D37">
              <w:rPr>
                <w:lang w:eastAsia="en-GB"/>
              </w:rPr>
              <w:t xml:space="preserve"> is ignored and </w:t>
            </w:r>
            <w:r w:rsidRPr="00FA0D37">
              <w:rPr>
                <w:i/>
                <w:lang w:eastAsia="en-GB"/>
              </w:rPr>
              <w:t>discardTimerExt</w:t>
            </w:r>
            <w:r w:rsidRPr="00FA0D37">
              <w:rPr>
                <w:lang w:eastAsia="en-GB"/>
              </w:rPr>
              <w:t xml:space="preserve"> is used instead.</w:t>
            </w:r>
          </w:p>
        </w:tc>
      </w:tr>
      <w:tr w:rsidR="005C7FF4" w:rsidRPr="00FA0D37"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FA0D37" w:rsidRDefault="005B7637" w:rsidP="00771058">
            <w:pPr>
              <w:pStyle w:val="TAL"/>
              <w:rPr>
                <w:b/>
                <w:bCs/>
                <w:i/>
                <w:iCs/>
                <w:lang w:eastAsia="zh-CN"/>
              </w:rPr>
            </w:pPr>
            <w:r w:rsidRPr="00FA0D37">
              <w:rPr>
                <w:b/>
                <w:bCs/>
                <w:i/>
                <w:iCs/>
                <w:lang w:eastAsia="zh-CN"/>
              </w:rPr>
              <w:t>discardTimerExt2</w:t>
            </w:r>
          </w:p>
          <w:p w14:paraId="72D7E5C2" w14:textId="4FAD2507" w:rsidR="005B7637" w:rsidRPr="00FA0D37" w:rsidRDefault="005B7637" w:rsidP="00771058">
            <w:pPr>
              <w:pStyle w:val="TAL"/>
              <w:rPr>
                <w:b/>
                <w:bCs/>
                <w:i/>
                <w:iCs/>
                <w:lang w:eastAsia="zh-CN"/>
              </w:rPr>
            </w:pPr>
            <w:r w:rsidRPr="00FA0D37">
              <w:rPr>
                <w:lang w:eastAsia="en-GB"/>
              </w:rPr>
              <w:t xml:space="preserve">Value in ms of </w:t>
            </w:r>
            <w:r w:rsidRPr="00FA0D37">
              <w:rPr>
                <w:i/>
                <w:lang w:eastAsia="en-GB"/>
              </w:rPr>
              <w:t>discardTimerExt</w:t>
            </w:r>
            <w:r w:rsidRPr="00FA0D37">
              <w:rPr>
                <w:lang w:eastAsia="en-GB"/>
              </w:rPr>
              <w:t xml:space="preserve"> specified in TS 38.323 [5]. Value </w:t>
            </w:r>
            <w:r w:rsidR="00FE5A80" w:rsidRPr="00FA0D37">
              <w:rPr>
                <w:rFonts w:cs="Arial"/>
                <w:i/>
                <w:iCs/>
                <w:szCs w:val="18"/>
                <w:lang w:eastAsia="en-GB"/>
              </w:rPr>
              <w:t>ms2000</w:t>
            </w:r>
            <w:r w:rsidR="00FE5A80" w:rsidRPr="00FA0D37">
              <w:rPr>
                <w:rFonts w:cs="Arial"/>
                <w:szCs w:val="18"/>
                <w:lang w:eastAsia="en-GB"/>
              </w:rPr>
              <w:t xml:space="preserve"> corresponds to 2000 ms</w:t>
            </w:r>
            <w:r w:rsidRPr="00FA0D37">
              <w:rPr>
                <w:lang w:eastAsia="en-GB"/>
              </w:rPr>
              <w:t xml:space="preserve">. If this field is present, the field </w:t>
            </w:r>
            <w:r w:rsidRPr="00FA0D37">
              <w:rPr>
                <w:i/>
                <w:lang w:eastAsia="en-GB"/>
              </w:rPr>
              <w:t>discardTimer</w:t>
            </w:r>
            <w:r w:rsidRPr="00FA0D37">
              <w:rPr>
                <w:lang w:eastAsia="en-GB"/>
              </w:rPr>
              <w:t xml:space="preserve"> and </w:t>
            </w:r>
            <w:r w:rsidRPr="00FA0D37">
              <w:rPr>
                <w:i/>
                <w:lang w:eastAsia="en-GB"/>
              </w:rPr>
              <w:t>discardTimerExt</w:t>
            </w:r>
            <w:r w:rsidRPr="00FA0D37">
              <w:rPr>
                <w:lang w:eastAsia="en-GB"/>
              </w:rPr>
              <w:t xml:space="preserve"> are ignored and </w:t>
            </w:r>
            <w:r w:rsidRPr="00FA0D37">
              <w:rPr>
                <w:i/>
                <w:lang w:eastAsia="en-GB"/>
              </w:rPr>
              <w:t>discardTimerExt2</w:t>
            </w:r>
            <w:r w:rsidRPr="00FA0D37">
              <w:rPr>
                <w:lang w:eastAsia="en-GB"/>
              </w:rPr>
              <w:t xml:space="preserve"> is used instead.</w:t>
            </w:r>
          </w:p>
        </w:tc>
      </w:tr>
      <w:tr w:rsidR="005C7FF4" w:rsidRPr="00FA0D37"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FA0D37" w:rsidRDefault="00394471" w:rsidP="00964CC4">
            <w:pPr>
              <w:pStyle w:val="TAL"/>
              <w:rPr>
                <w:b/>
                <w:i/>
                <w:lang w:eastAsia="en-GB"/>
              </w:rPr>
            </w:pPr>
            <w:r w:rsidRPr="00FA0D37">
              <w:rPr>
                <w:b/>
                <w:i/>
                <w:lang w:eastAsia="en-GB"/>
              </w:rPr>
              <w:t>drb-ContinueROHC</w:t>
            </w:r>
          </w:p>
          <w:p w14:paraId="710BCC6A" w14:textId="77C9ED90" w:rsidR="00394471" w:rsidRPr="00FA0D37" w:rsidRDefault="00394471" w:rsidP="00964CC4">
            <w:pPr>
              <w:pStyle w:val="TAL"/>
              <w:rPr>
                <w:lang w:eastAsia="en-GB"/>
              </w:rPr>
            </w:pPr>
            <w:r w:rsidRPr="00FA0D37">
              <w:rPr>
                <w:rFonts w:cs="Arial"/>
                <w:lang w:eastAsia="sv-SE"/>
              </w:rPr>
              <w:t xml:space="preserve">Indicates whether the PDCP entity continues or resets the ROHC header compression protocol during PDCP re-establishment, as specified in TS 38.323 [5]. This field </w:t>
            </w:r>
            <w:r w:rsidRPr="00FA0D37">
              <w:rPr>
                <w:rFonts w:eastAsia="Yu Mincho" w:cs="Arial"/>
                <w:lang w:eastAsia="sv-SE"/>
              </w:rPr>
              <w:t xml:space="preserve">is </w:t>
            </w:r>
            <w:r w:rsidRPr="00FA0D37">
              <w:rPr>
                <w:rFonts w:cs="Arial"/>
                <w:lang w:eastAsia="sv-SE"/>
              </w:rPr>
              <w:t xml:space="preserve">configured only in case of resuming an RRC connection or reconfiguration with sync, where the PDCP termination point is not changed and the </w:t>
            </w:r>
            <w:r w:rsidRPr="00FA0D37">
              <w:rPr>
                <w:rFonts w:cs="Arial"/>
                <w:i/>
                <w:lang w:eastAsia="sv-SE"/>
              </w:rPr>
              <w:t>fullConfig</w:t>
            </w:r>
            <w:r w:rsidRPr="00FA0D37">
              <w:rPr>
                <w:rFonts w:cs="Arial"/>
                <w:lang w:eastAsia="sv-SE"/>
              </w:rPr>
              <w:t xml:space="preserve"> is not indicated.</w:t>
            </w:r>
            <w:r w:rsidRPr="00FA0D37">
              <w:rPr>
                <w:rFonts w:cs="Arial"/>
              </w:rPr>
              <w:t xml:space="preserve"> The network does not include the field if the bearer is configured as DAPS bearer.</w:t>
            </w:r>
            <w:r w:rsidR="00CE6FBC" w:rsidRPr="00FA0D37">
              <w:rPr>
                <w:rFonts w:cs="Arial"/>
              </w:rPr>
              <w:t xml:space="preserve"> This field can be configured for both DRB and multicast MRB.</w:t>
            </w:r>
          </w:p>
        </w:tc>
      </w:tr>
      <w:tr w:rsidR="005C7FF4" w:rsidRPr="00FA0D37"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FA0D37" w:rsidRDefault="00394471" w:rsidP="00964CC4">
            <w:pPr>
              <w:pStyle w:val="TAL"/>
              <w:rPr>
                <w:b/>
                <w:i/>
                <w:lang w:eastAsia="en-GB"/>
              </w:rPr>
            </w:pPr>
            <w:r w:rsidRPr="00FA0D37">
              <w:rPr>
                <w:b/>
                <w:i/>
                <w:lang w:eastAsia="en-GB"/>
              </w:rPr>
              <w:t>duplicationState</w:t>
            </w:r>
          </w:p>
          <w:p w14:paraId="066B21D2" w14:textId="77777777" w:rsidR="00394471" w:rsidRPr="00FA0D37" w:rsidRDefault="00394471" w:rsidP="00964CC4">
            <w:pPr>
              <w:pStyle w:val="TAL"/>
              <w:rPr>
                <w:b/>
                <w:bCs/>
                <w:i/>
                <w:lang w:eastAsia="en-GB"/>
              </w:rPr>
            </w:pPr>
            <w:r w:rsidRPr="00FA0D37">
              <w:rPr>
                <w:lang w:eastAsia="en-GB"/>
              </w:rPr>
              <w:t xml:space="preserve">This field indicates the uplink PDCP duplication state for the associated RLC entities at the time of receiving this IE. If set to </w:t>
            </w:r>
            <w:r w:rsidRPr="00FA0D37">
              <w:rPr>
                <w:i/>
                <w:lang w:eastAsia="en-GB"/>
              </w:rPr>
              <w:t xml:space="preserve">true, </w:t>
            </w:r>
            <w:r w:rsidRPr="00FA0D37">
              <w:rPr>
                <w:lang w:eastAsia="en-GB"/>
              </w:rPr>
              <w:t>the PDCP duplication state is activated for the associated RLC entity. The index for the indication is determined by ascending order of logical channel ID of all RLC entities other than the primary RLC entity</w:t>
            </w:r>
            <w:r w:rsidRPr="00FA0D37">
              <w:rPr>
                <w:i/>
                <w:lang w:eastAsia="en-GB"/>
              </w:rPr>
              <w:t xml:space="preserve"> </w:t>
            </w:r>
            <w:r w:rsidRPr="00FA0D37">
              <w:rPr>
                <w:lang w:eastAsia="en-GB"/>
              </w:rPr>
              <w:t xml:space="preserve">indicated by </w:t>
            </w:r>
            <w:r w:rsidRPr="00FA0D37">
              <w:rPr>
                <w:i/>
                <w:lang w:eastAsia="en-GB"/>
              </w:rPr>
              <w:t xml:space="preserve">primaryPath </w:t>
            </w:r>
            <w:r w:rsidRPr="00FA0D37">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5C7FF4" w:rsidRPr="00FA0D37"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FA0D37" w:rsidRDefault="00394471" w:rsidP="00964CC4">
            <w:pPr>
              <w:pStyle w:val="TAL"/>
              <w:rPr>
                <w:rFonts w:eastAsia="等线"/>
                <w:b/>
                <w:i/>
                <w:lang w:eastAsia="zh-CN"/>
              </w:rPr>
            </w:pPr>
            <w:r w:rsidRPr="00FA0D37">
              <w:rPr>
                <w:b/>
                <w:i/>
                <w:lang w:eastAsia="en-GB"/>
              </w:rPr>
              <w:t>ethernetHeaderCompression</w:t>
            </w:r>
          </w:p>
          <w:p w14:paraId="55DA10BF" w14:textId="7AC889F8" w:rsidR="00394471" w:rsidRPr="00FA0D37" w:rsidRDefault="00394471" w:rsidP="00964CC4">
            <w:pPr>
              <w:pStyle w:val="TAL"/>
              <w:rPr>
                <w:bCs/>
                <w:iCs/>
                <w:lang w:eastAsia="en-GB"/>
              </w:rPr>
            </w:pPr>
            <w:r w:rsidRPr="00FA0D37">
              <w:rPr>
                <w:bCs/>
                <w:iCs/>
                <w:lang w:eastAsia="en-GB"/>
              </w:rPr>
              <w:t>This fields configures Ethernet Header Compression. This field can only be configured for a bi-directional DRB</w:t>
            </w:r>
            <w:r w:rsidR="00CE6FBC" w:rsidRPr="00FA0D37">
              <w:rPr>
                <w:bCs/>
                <w:iCs/>
                <w:lang w:eastAsia="en-GB"/>
              </w:rPr>
              <w:t xml:space="preserve"> or a bi-directional multicast MRB</w:t>
            </w:r>
            <w:r w:rsidRPr="00FA0D37">
              <w:rPr>
                <w:bCs/>
                <w:iCs/>
                <w:lang w:eastAsia="en-GB"/>
              </w:rPr>
              <w:t xml:space="preserve">. </w:t>
            </w:r>
            <w:r w:rsidRPr="00FA0D37">
              <w:t xml:space="preserve">The network reconfigures </w:t>
            </w:r>
            <w:r w:rsidRPr="00FA0D37">
              <w:rPr>
                <w:i/>
              </w:rPr>
              <w:t>ethernetHeaderCompression</w:t>
            </w:r>
            <w:r w:rsidRPr="00FA0D37">
              <w:t xml:space="preserve"> only upon reconfiguration involving PDCP re-establishment</w:t>
            </w:r>
            <w:r w:rsidR="00845ECE" w:rsidRPr="00FA0D37">
              <w:t xml:space="preserve"> and with neither </w:t>
            </w:r>
            <w:r w:rsidR="00845ECE" w:rsidRPr="00FA0D37">
              <w:rPr>
                <w:i/>
              </w:rPr>
              <w:t>drb-ContinueEHC-DL</w:t>
            </w:r>
            <w:r w:rsidR="00845ECE" w:rsidRPr="00FA0D37">
              <w:t xml:space="preserve"> nor </w:t>
            </w:r>
            <w:r w:rsidR="00845ECE" w:rsidRPr="00FA0D37">
              <w:rPr>
                <w:i/>
              </w:rPr>
              <w:t xml:space="preserve">drb-ContinueEHC-UL </w:t>
            </w:r>
            <w:r w:rsidR="00845ECE" w:rsidRPr="00FA0D37">
              <w:t>configured</w:t>
            </w:r>
            <w:r w:rsidRPr="00FA0D37">
              <w:t>.</w:t>
            </w:r>
            <w:r w:rsidR="00DA620C" w:rsidRPr="00FA0D37">
              <w:rPr>
                <w:rFonts w:eastAsiaTheme="minorEastAsia"/>
                <w:lang w:eastAsia="zh-CN"/>
              </w:rPr>
              <w:t xml:space="preserve"> Network</w:t>
            </w:r>
            <w:r w:rsidR="00DA620C" w:rsidRPr="00FA0D37">
              <w:rPr>
                <w:lang w:eastAsia="zh-CN"/>
              </w:rPr>
              <w:t xml:space="preserve"> only configures this field when </w:t>
            </w:r>
            <w:r w:rsidR="00DA620C" w:rsidRPr="00FA0D37">
              <w:rPr>
                <w:rFonts w:cs="Arial"/>
                <w:i/>
                <w:lang w:eastAsia="zh-CN"/>
              </w:rPr>
              <w:t>uplinkDataCompression</w:t>
            </w:r>
            <w:r w:rsidR="00DA620C" w:rsidRPr="00FA0D37">
              <w:rPr>
                <w:rFonts w:cs="Arial"/>
                <w:lang w:eastAsia="zh-CN"/>
              </w:rPr>
              <w:t xml:space="preserve"> is </w:t>
            </w:r>
            <w:r w:rsidR="00DA620C" w:rsidRPr="00FA0D37">
              <w:rPr>
                <w:rFonts w:eastAsiaTheme="minorEastAsia" w:cs="Arial"/>
                <w:lang w:eastAsia="zh-CN"/>
              </w:rPr>
              <w:t xml:space="preserve">not </w:t>
            </w:r>
            <w:r w:rsidR="00DA620C" w:rsidRPr="00FA0D37">
              <w:rPr>
                <w:rFonts w:cs="Arial"/>
                <w:lang w:eastAsia="zh-CN"/>
              </w:rPr>
              <w:t>configured.</w:t>
            </w:r>
          </w:p>
        </w:tc>
      </w:tr>
      <w:tr w:rsidR="005C7FF4" w:rsidRPr="00FA0D37"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FA0D37" w:rsidRDefault="00394471" w:rsidP="00964CC4">
            <w:pPr>
              <w:pStyle w:val="TAL"/>
              <w:rPr>
                <w:b/>
                <w:i/>
                <w:lang w:eastAsia="en-GB"/>
              </w:rPr>
            </w:pPr>
            <w:r w:rsidRPr="00FA0D37">
              <w:rPr>
                <w:b/>
                <w:i/>
                <w:lang w:eastAsia="en-GB"/>
              </w:rPr>
              <w:t>headerCompression</w:t>
            </w:r>
          </w:p>
          <w:p w14:paraId="23B98E4A" w14:textId="49DF733A" w:rsidR="00394471" w:rsidRPr="00FA0D37" w:rsidRDefault="00394471" w:rsidP="00964CC4">
            <w:pPr>
              <w:pStyle w:val="TAL"/>
              <w:rPr>
                <w:lang w:eastAsia="zh-CN"/>
              </w:rPr>
            </w:pPr>
            <w:r w:rsidRPr="00FA0D37">
              <w:rPr>
                <w:lang w:eastAsia="zh-CN"/>
              </w:rPr>
              <w:t xml:space="preserve">If rohc is configured, the UE shall apply the configured ROHC profile(s) in both uplink and downlink. If </w:t>
            </w:r>
            <w:r w:rsidRPr="00FA0D37">
              <w:rPr>
                <w:i/>
                <w:lang w:eastAsia="zh-CN"/>
              </w:rPr>
              <w:t>uplinkOnlyROHC</w:t>
            </w:r>
            <w:r w:rsidRPr="00FA0D37">
              <w:rPr>
                <w:lang w:eastAsia="zh-CN"/>
              </w:rPr>
              <w:t xml:space="preserve"> is configured, the UE shall apply the configured ROHC profile(s) in uplink (there is no header compression in downlink). </w:t>
            </w:r>
            <w:r w:rsidRPr="00FA0D37">
              <w:rPr>
                <w:lang w:eastAsia="sv-SE"/>
              </w:rPr>
              <w:t>ROHC can be configured for any bearer type. ROHC and EHC can be both configured simultaneously for a DRB</w:t>
            </w:r>
            <w:r w:rsidR="00CE6FBC" w:rsidRPr="00FA0D37">
              <w:rPr>
                <w:lang w:eastAsia="sv-SE"/>
              </w:rPr>
              <w:t xml:space="preserve"> or a multicast MRB</w:t>
            </w:r>
            <w:r w:rsidRPr="00FA0D37">
              <w:rPr>
                <w:lang w:eastAsia="sv-SE"/>
              </w:rPr>
              <w:t xml:space="preserve">. The network reconfigures </w:t>
            </w:r>
            <w:r w:rsidRPr="00FA0D37">
              <w:rPr>
                <w:i/>
                <w:lang w:eastAsia="sv-SE"/>
              </w:rPr>
              <w:t>headerCompression</w:t>
            </w:r>
            <w:r w:rsidRPr="00FA0D37">
              <w:rPr>
                <w:lang w:eastAsia="sv-SE"/>
              </w:rPr>
              <w:t xml:space="preserve"> only upon reconfiguration involving PDCP re-establishment</w:t>
            </w:r>
            <w:r w:rsidR="00D13474" w:rsidRPr="00FA0D37">
              <w:rPr>
                <w:rFonts w:eastAsia="宋体"/>
                <w:lang w:eastAsia="zh-CN"/>
              </w:rPr>
              <w:t xml:space="preserve"> </w:t>
            </w:r>
            <w:r w:rsidR="00D13474" w:rsidRPr="00FA0D37">
              <w:rPr>
                <w:lang w:eastAsia="sv-SE"/>
              </w:rPr>
              <w:t>or involving PDCP entity reconfiguration to configure DAPS</w:t>
            </w:r>
            <w:r w:rsidR="00D13474" w:rsidRPr="00FA0D37">
              <w:rPr>
                <w:rFonts w:eastAsia="宋体"/>
                <w:lang w:eastAsia="zh-CN"/>
              </w:rPr>
              <w:t xml:space="preserve"> bearer(s)</w:t>
            </w:r>
            <w:r w:rsidRPr="00FA0D37">
              <w:t xml:space="preserve">, and without any </w:t>
            </w:r>
            <w:r w:rsidRPr="00FA0D37">
              <w:rPr>
                <w:i/>
                <w:iCs/>
              </w:rPr>
              <w:t>drb-ContinueROHC</w:t>
            </w:r>
            <w:r w:rsidRPr="00FA0D37">
              <w:rPr>
                <w:lang w:eastAsia="sv-SE"/>
              </w:rPr>
              <w:t xml:space="preserve">. Network configures </w:t>
            </w:r>
            <w:r w:rsidRPr="00FA0D37">
              <w:rPr>
                <w:i/>
                <w:lang w:eastAsia="sv-SE"/>
              </w:rPr>
              <w:t>headerCompression</w:t>
            </w:r>
            <w:r w:rsidRPr="00FA0D37">
              <w:rPr>
                <w:lang w:eastAsia="sv-SE"/>
              </w:rPr>
              <w:t xml:space="preserve"> to </w:t>
            </w:r>
            <w:r w:rsidRPr="00FA0D37">
              <w:rPr>
                <w:i/>
                <w:lang w:eastAsia="sv-SE"/>
              </w:rPr>
              <w:t>notUsed</w:t>
            </w:r>
            <w:r w:rsidRPr="00FA0D37">
              <w:rPr>
                <w:lang w:eastAsia="sv-SE"/>
              </w:rPr>
              <w:t xml:space="preserve"> when </w:t>
            </w:r>
            <w:r w:rsidRPr="00FA0D37">
              <w:rPr>
                <w:i/>
                <w:lang w:eastAsia="sv-SE"/>
              </w:rPr>
              <w:t>outOfOrderDelivery</w:t>
            </w:r>
            <w:r w:rsidRPr="00FA0D37">
              <w:rPr>
                <w:lang w:eastAsia="sv-SE"/>
              </w:rPr>
              <w:t xml:space="preserve"> is configured.</w:t>
            </w:r>
            <w:r w:rsidR="00DA620C" w:rsidRPr="00FA0D37">
              <w:rPr>
                <w:rFonts w:eastAsiaTheme="minorEastAsia"/>
                <w:lang w:eastAsia="zh-CN"/>
              </w:rPr>
              <w:t xml:space="preserve"> Network</w:t>
            </w:r>
            <w:r w:rsidR="00DA620C" w:rsidRPr="00FA0D37">
              <w:rPr>
                <w:lang w:eastAsia="zh-CN"/>
              </w:rPr>
              <w:t xml:space="preserve"> only configures this field when </w:t>
            </w:r>
            <w:r w:rsidR="00DA620C" w:rsidRPr="00FA0D37">
              <w:rPr>
                <w:rFonts w:cs="Arial"/>
                <w:i/>
                <w:lang w:eastAsia="zh-CN"/>
              </w:rPr>
              <w:t>uplinkDataCompression</w:t>
            </w:r>
            <w:r w:rsidR="00DA620C" w:rsidRPr="00FA0D37">
              <w:rPr>
                <w:rFonts w:cs="Arial"/>
                <w:lang w:eastAsia="zh-CN"/>
              </w:rPr>
              <w:t xml:space="preserve"> is </w:t>
            </w:r>
            <w:r w:rsidR="00DA620C" w:rsidRPr="00FA0D37">
              <w:rPr>
                <w:rFonts w:eastAsiaTheme="minorEastAsia" w:cs="Arial"/>
                <w:lang w:eastAsia="zh-CN"/>
              </w:rPr>
              <w:t xml:space="preserve">not </w:t>
            </w:r>
            <w:r w:rsidR="00DA620C" w:rsidRPr="00FA0D37">
              <w:rPr>
                <w:rFonts w:cs="Arial"/>
                <w:lang w:eastAsia="zh-CN"/>
              </w:rPr>
              <w:t>configured.</w:t>
            </w:r>
          </w:p>
        </w:tc>
      </w:tr>
      <w:tr w:rsidR="005C7FF4" w:rsidRPr="00FA0D37"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FA0D37" w:rsidRDefault="00FD05B6" w:rsidP="00DD246F">
            <w:pPr>
              <w:pStyle w:val="TAL"/>
              <w:rPr>
                <w:b/>
                <w:bCs/>
                <w:i/>
                <w:iCs/>
                <w:lang w:eastAsia="en-GB"/>
              </w:rPr>
            </w:pPr>
            <w:r w:rsidRPr="00FA0D37">
              <w:rPr>
                <w:b/>
                <w:bCs/>
                <w:i/>
                <w:iCs/>
                <w:lang w:eastAsia="en-GB"/>
              </w:rPr>
              <w:t>initialRX-DELIV</w:t>
            </w:r>
          </w:p>
          <w:p w14:paraId="6F7FC831" w14:textId="13232A4B" w:rsidR="00FD05B6" w:rsidRPr="00FA0D37" w:rsidRDefault="00FD05B6" w:rsidP="0071565C">
            <w:pPr>
              <w:pStyle w:val="TAL"/>
              <w:rPr>
                <w:b/>
                <w:bCs/>
                <w:i/>
                <w:lang w:eastAsia="en-GB"/>
              </w:rPr>
            </w:pPr>
            <w:r w:rsidRPr="00FA0D37">
              <w:rPr>
                <w:bCs/>
                <w:lang w:eastAsia="en-GB"/>
              </w:rPr>
              <w:t>Indicates</w:t>
            </w:r>
            <w:r w:rsidRPr="00FA0D37">
              <w:rPr>
                <w:lang w:eastAsia="zh-CN"/>
              </w:rPr>
              <w:t xml:space="preserve"> the initial value of RX_DELIV during PDCP window initialization for multicast MRB as specified in TS 38.323 [5].</w:t>
            </w:r>
          </w:p>
        </w:tc>
      </w:tr>
      <w:tr w:rsidR="005C7FF4" w:rsidRPr="00FA0D37"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FA0D37" w:rsidRDefault="00394471" w:rsidP="00964CC4">
            <w:pPr>
              <w:pStyle w:val="TAL"/>
              <w:rPr>
                <w:b/>
                <w:bCs/>
                <w:i/>
                <w:lang w:eastAsia="en-GB"/>
              </w:rPr>
            </w:pPr>
            <w:r w:rsidRPr="00FA0D37">
              <w:rPr>
                <w:b/>
                <w:bCs/>
                <w:i/>
                <w:lang w:eastAsia="en-GB"/>
              </w:rPr>
              <w:t>integrityProtection</w:t>
            </w:r>
          </w:p>
          <w:p w14:paraId="2193AA57" w14:textId="77777777" w:rsidR="00394471" w:rsidRPr="00FA0D37" w:rsidRDefault="00394471" w:rsidP="00964CC4">
            <w:pPr>
              <w:pStyle w:val="TAL"/>
              <w:rPr>
                <w:bCs/>
                <w:lang w:eastAsia="en-GB"/>
              </w:rPr>
            </w:pPr>
            <w:r w:rsidRPr="00FA0D37">
              <w:rPr>
                <w:bCs/>
                <w:lang w:eastAsia="en-GB"/>
              </w:rPr>
              <w:t xml:space="preserve">Indicates whether or not integrity protection is configured for this radio bearer. The network configures all DRBs with the same PDU-session ID with same value for this field. </w:t>
            </w:r>
            <w:r w:rsidRPr="00FA0D37">
              <w:rPr>
                <w:lang w:eastAsia="sv-SE"/>
              </w:rPr>
              <w:t>The value for this field cannot be changed after the DRB is set up.</w:t>
            </w:r>
          </w:p>
        </w:tc>
      </w:tr>
      <w:tr w:rsidR="005C7FF4" w:rsidRPr="00FA0D37"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FA0D37" w:rsidRDefault="00394471" w:rsidP="00964CC4">
            <w:pPr>
              <w:pStyle w:val="TAL"/>
              <w:rPr>
                <w:b/>
                <w:bCs/>
                <w:i/>
                <w:lang w:eastAsia="en-GB"/>
              </w:rPr>
            </w:pPr>
            <w:r w:rsidRPr="00FA0D37">
              <w:rPr>
                <w:b/>
                <w:bCs/>
                <w:i/>
                <w:lang w:eastAsia="en-GB"/>
              </w:rPr>
              <w:t>maxCID</w:t>
            </w:r>
          </w:p>
          <w:p w14:paraId="35524051" w14:textId="77777777" w:rsidR="00394471" w:rsidRPr="00FA0D37" w:rsidRDefault="00394471" w:rsidP="00964CC4">
            <w:pPr>
              <w:pStyle w:val="TAL"/>
              <w:rPr>
                <w:lang w:eastAsia="en-GB"/>
              </w:rPr>
            </w:pPr>
            <w:r w:rsidRPr="00FA0D37">
              <w:rPr>
                <w:lang w:eastAsia="en-GB"/>
              </w:rPr>
              <w:t>Indicates the value of the MAX_CID parameter as specified in TS 38.323 [5].</w:t>
            </w:r>
          </w:p>
          <w:p w14:paraId="2F7A328D" w14:textId="77777777" w:rsidR="00394471" w:rsidRPr="00FA0D37" w:rsidRDefault="00394471" w:rsidP="00964CC4">
            <w:pPr>
              <w:pStyle w:val="TAL"/>
              <w:rPr>
                <w:lang w:eastAsia="ko-KR"/>
              </w:rPr>
            </w:pPr>
            <w:r w:rsidRPr="00FA0D37">
              <w:rPr>
                <w:lang w:eastAsia="en-GB"/>
              </w:rPr>
              <w:t xml:space="preserve">The total value of MAX_CIDs across all bearers for the UE should be less than or equal to the value of </w:t>
            </w:r>
            <w:r w:rsidRPr="00FA0D37">
              <w:rPr>
                <w:i/>
                <w:lang w:eastAsia="en-GB"/>
              </w:rPr>
              <w:t>maxNumberROHC-ContextSessions</w:t>
            </w:r>
            <w:r w:rsidRPr="00FA0D37">
              <w:rPr>
                <w:lang w:eastAsia="en-GB"/>
              </w:rPr>
              <w:t xml:space="preserve"> parameter as indicated by the UE.</w:t>
            </w:r>
          </w:p>
        </w:tc>
      </w:tr>
      <w:tr w:rsidR="005C7FF4" w:rsidRPr="00FA0D37"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FA0D37" w:rsidRDefault="00394471" w:rsidP="00964CC4">
            <w:pPr>
              <w:pStyle w:val="TAL"/>
              <w:rPr>
                <w:bCs/>
                <w:lang w:eastAsia="en-GB"/>
              </w:rPr>
            </w:pPr>
            <w:r w:rsidRPr="00FA0D37">
              <w:rPr>
                <w:b/>
                <w:bCs/>
                <w:i/>
                <w:lang w:eastAsia="en-GB"/>
              </w:rPr>
              <w:lastRenderedPageBreak/>
              <w:t>moreThanOneRLC</w:t>
            </w:r>
          </w:p>
          <w:p w14:paraId="3A113F30" w14:textId="77777777" w:rsidR="00394471" w:rsidRPr="00FA0D37" w:rsidRDefault="00394471" w:rsidP="00964CC4">
            <w:pPr>
              <w:pStyle w:val="TAL"/>
              <w:rPr>
                <w:bCs/>
                <w:lang w:eastAsia="en-GB"/>
              </w:rPr>
            </w:pPr>
            <w:r w:rsidRPr="00FA0D37">
              <w:rPr>
                <w:bCs/>
                <w:lang w:eastAsia="en-GB"/>
              </w:rPr>
              <w:t>This field configures UL data transmission when more than one RLC entity is associated with the PDCP entity. This field is not present if the bearer is configured as DAPS bearer.</w:t>
            </w:r>
          </w:p>
        </w:tc>
      </w:tr>
      <w:tr w:rsidR="005C7FF4" w:rsidRPr="00FA0D37"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FA0D37" w:rsidRDefault="00394471" w:rsidP="00964CC4">
            <w:pPr>
              <w:pStyle w:val="TAL"/>
              <w:rPr>
                <w:b/>
                <w:bCs/>
                <w:i/>
                <w:lang w:eastAsia="en-GB"/>
              </w:rPr>
            </w:pPr>
            <w:r w:rsidRPr="00FA0D37">
              <w:rPr>
                <w:b/>
                <w:bCs/>
                <w:i/>
                <w:lang w:eastAsia="en-GB"/>
              </w:rPr>
              <w:t>moreThanTwoRLC-DRB</w:t>
            </w:r>
          </w:p>
          <w:p w14:paraId="0F3E340B" w14:textId="77777777" w:rsidR="00394471" w:rsidRPr="00FA0D37" w:rsidRDefault="00394471" w:rsidP="00964CC4">
            <w:pPr>
              <w:pStyle w:val="TAL"/>
              <w:rPr>
                <w:b/>
                <w:bCs/>
                <w:i/>
                <w:lang w:eastAsia="en-GB"/>
              </w:rPr>
            </w:pPr>
            <w:r w:rsidRPr="00FA0D37">
              <w:rPr>
                <w:bCs/>
                <w:lang w:eastAsia="en-GB"/>
              </w:rPr>
              <w:t>This field configures UL data transmission when more than two RLC entities are associated with the PDCP entity for DRBs.</w:t>
            </w:r>
          </w:p>
        </w:tc>
      </w:tr>
      <w:tr w:rsidR="005C7FF4" w:rsidRPr="00FA0D37"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FA0D37" w:rsidRDefault="00394471" w:rsidP="00964CC4">
            <w:pPr>
              <w:pStyle w:val="TAL"/>
              <w:rPr>
                <w:b/>
                <w:bCs/>
                <w:i/>
                <w:lang w:eastAsia="en-GB"/>
              </w:rPr>
            </w:pPr>
            <w:r w:rsidRPr="00FA0D37">
              <w:rPr>
                <w:b/>
                <w:bCs/>
                <w:i/>
                <w:lang w:eastAsia="en-GB"/>
              </w:rPr>
              <w:t>outOfOrderDelivery</w:t>
            </w:r>
          </w:p>
          <w:p w14:paraId="7B9190F0" w14:textId="77777777" w:rsidR="00394471" w:rsidRPr="00FA0D37" w:rsidRDefault="00394471" w:rsidP="00964CC4">
            <w:pPr>
              <w:pStyle w:val="TAL"/>
              <w:rPr>
                <w:bCs/>
                <w:lang w:eastAsia="sv-SE"/>
              </w:rPr>
            </w:pPr>
            <w:r w:rsidRPr="00FA0D37">
              <w:rPr>
                <w:bCs/>
                <w:lang w:eastAsia="en-GB"/>
              </w:rPr>
              <w:t xml:space="preserve">Indicates whether or not </w:t>
            </w:r>
            <w:r w:rsidRPr="00FA0D37">
              <w:rPr>
                <w:i/>
                <w:lang w:eastAsia="ko-KR"/>
              </w:rPr>
              <w:t>outOfOrderDelivery</w:t>
            </w:r>
            <w:r w:rsidRPr="00FA0D37">
              <w:rPr>
                <w:lang w:eastAsia="ko-KR"/>
              </w:rPr>
              <w:t xml:space="preserve"> specified in TS 38.323 [5] is configured.</w:t>
            </w:r>
            <w:r w:rsidRPr="00FA0D37">
              <w:rPr>
                <w:lang w:eastAsia="sv-SE"/>
              </w:rPr>
              <w:t xml:space="preserve"> </w:t>
            </w:r>
            <w:r w:rsidRPr="00FA0D37">
              <w:rPr>
                <w:rFonts w:eastAsia="Malgun Gothic"/>
                <w:lang w:eastAsia="ko-KR"/>
              </w:rPr>
              <w:t>This field</w:t>
            </w:r>
            <w:r w:rsidRPr="00FA0D37">
              <w:rPr>
                <w:lang w:eastAsia="sv-SE"/>
              </w:rPr>
              <w:t xml:space="preserve"> should be either always present or always absent, after the radio bearer is established.</w:t>
            </w:r>
          </w:p>
        </w:tc>
      </w:tr>
      <w:tr w:rsidR="005C7FF4" w:rsidRPr="00FA0D37"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FA0D37" w:rsidRDefault="00394471" w:rsidP="00964CC4">
            <w:pPr>
              <w:pStyle w:val="TAL"/>
              <w:rPr>
                <w:b/>
                <w:bCs/>
                <w:i/>
                <w:lang w:eastAsia="en-GB"/>
              </w:rPr>
            </w:pPr>
            <w:r w:rsidRPr="00FA0D37">
              <w:rPr>
                <w:b/>
                <w:bCs/>
                <w:i/>
                <w:lang w:eastAsia="en-GB"/>
              </w:rPr>
              <w:t>pdcp-</w:t>
            </w:r>
            <w:r w:rsidRPr="00FA0D37">
              <w:rPr>
                <w:rFonts w:eastAsia="Yu Mincho"/>
                <w:b/>
                <w:bCs/>
                <w:i/>
                <w:lang w:eastAsia="sv-SE"/>
              </w:rPr>
              <w:t>Duplication</w:t>
            </w:r>
          </w:p>
          <w:p w14:paraId="1CBB68A5" w14:textId="77777777" w:rsidR="00394471" w:rsidRPr="00FA0D37" w:rsidRDefault="00394471" w:rsidP="00964CC4">
            <w:pPr>
              <w:pStyle w:val="TAL"/>
              <w:rPr>
                <w:b/>
                <w:bCs/>
                <w:i/>
                <w:lang w:eastAsia="en-GB"/>
              </w:rPr>
            </w:pPr>
            <w:r w:rsidRPr="00FA0D37">
              <w:rPr>
                <w:rFonts w:eastAsia="Malgun Gothic"/>
                <w:lang w:eastAsia="ko-KR"/>
              </w:rPr>
              <w:t>Indicates whether or not uplink duplication status at the time of receiving this IE is configured and activated</w:t>
            </w:r>
            <w:r w:rsidRPr="00FA0D37">
              <w:rPr>
                <w:rFonts w:eastAsia="Yu Mincho"/>
                <w:lang w:eastAsia="sv-SE"/>
              </w:rPr>
              <w:t xml:space="preserve"> as specified in TS 38.323 [5]</w:t>
            </w:r>
            <w:r w:rsidRPr="00FA0D37">
              <w:rPr>
                <w:rFonts w:eastAsia="Malgun Gothic"/>
                <w:lang w:eastAsia="ko-KR"/>
              </w:rPr>
              <w:t xml:space="preserve">. The presence of this field indicates that duplication is configured. </w:t>
            </w:r>
            <w:r w:rsidRPr="00FA0D37">
              <w:rPr>
                <w:lang w:eastAsia="ko-KR"/>
              </w:rPr>
              <w:t xml:space="preserve">PDCP duplication is not configured for CA packet duplication of LTE RLC bearer. </w:t>
            </w:r>
            <w:r w:rsidRPr="00FA0D37">
              <w:rPr>
                <w:rFonts w:eastAsia="Malgun Gothic"/>
                <w:lang w:eastAsia="ko-KR"/>
              </w:rPr>
              <w:t xml:space="preserve">The value of this field, when the field is present, indicates the state of the duplication at the time of receiving this IE. If set to </w:t>
            </w:r>
            <w:r w:rsidRPr="00FA0D37">
              <w:rPr>
                <w:i/>
                <w:iCs/>
                <w:lang w:eastAsia="en-GB"/>
              </w:rPr>
              <w:t>true</w:t>
            </w:r>
            <w:r w:rsidRPr="00FA0D37">
              <w:rPr>
                <w:rFonts w:eastAsia="Malgun Gothic"/>
                <w:lang w:eastAsia="ko-KR"/>
              </w:rPr>
              <w:t xml:space="preserve">, duplication is activated. The value of this field is always </w:t>
            </w:r>
            <w:r w:rsidRPr="00FA0D37">
              <w:rPr>
                <w:i/>
                <w:iCs/>
                <w:lang w:eastAsia="en-GB"/>
              </w:rPr>
              <w:t>true</w:t>
            </w:r>
            <w:r w:rsidRPr="00FA0D37">
              <w:rPr>
                <w:rFonts w:eastAsia="Malgun Gothic"/>
                <w:lang w:eastAsia="ko-KR"/>
              </w:rPr>
              <w:t xml:space="preserve">, when configured for a SRB. For PDCP entity with more than two associated RLC entities for UL transmission, this field is always present. If the field </w:t>
            </w:r>
            <w:r w:rsidRPr="00FA0D37">
              <w:rPr>
                <w:rFonts w:eastAsia="Malgun Gothic"/>
                <w:i/>
                <w:lang w:eastAsia="ko-KR"/>
              </w:rPr>
              <w:t xml:space="preserve">moreThanTwoRLC-DRB </w:t>
            </w:r>
            <w:r w:rsidRPr="00FA0D37">
              <w:rPr>
                <w:rFonts w:eastAsia="Malgun Gothic"/>
                <w:lang w:eastAsia="ko-KR"/>
              </w:rPr>
              <w:t xml:space="preserve">is present, the value of this field is ignored and the state of the duplication is indicated by </w:t>
            </w:r>
            <w:r w:rsidRPr="00FA0D37">
              <w:rPr>
                <w:rFonts w:eastAsia="Malgun Gothic"/>
                <w:i/>
                <w:iCs/>
                <w:lang w:eastAsia="ko-KR"/>
              </w:rPr>
              <w:t>duplicationState</w:t>
            </w:r>
            <w:r w:rsidRPr="00FA0D37">
              <w:rPr>
                <w:rFonts w:eastAsia="Malgun Gothic"/>
                <w:lang w:eastAsia="ko-KR"/>
              </w:rPr>
              <w:t>. For PDCP entity with more than two associated RLC entities, only NR RLC bearer is supported.</w:t>
            </w:r>
          </w:p>
        </w:tc>
      </w:tr>
      <w:tr w:rsidR="005C7FF4" w:rsidRPr="00FA0D37"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FA0D37" w:rsidRDefault="00394471" w:rsidP="00964CC4">
            <w:pPr>
              <w:pStyle w:val="TAL"/>
              <w:rPr>
                <w:b/>
                <w:bCs/>
                <w:lang w:eastAsia="en-GB"/>
              </w:rPr>
            </w:pPr>
            <w:r w:rsidRPr="00FA0D37">
              <w:rPr>
                <w:b/>
                <w:bCs/>
                <w:i/>
                <w:lang w:eastAsia="en-GB"/>
              </w:rPr>
              <w:t>pdcp-SN-SizeDL</w:t>
            </w:r>
          </w:p>
          <w:p w14:paraId="41B6632F" w14:textId="4964C70D" w:rsidR="00394471" w:rsidRPr="00FA0D37" w:rsidRDefault="00394471" w:rsidP="00964CC4">
            <w:pPr>
              <w:pStyle w:val="TAL"/>
              <w:rPr>
                <w:i/>
                <w:iCs/>
                <w:kern w:val="2"/>
                <w:lang w:eastAsia="sv-SE"/>
              </w:rPr>
            </w:pPr>
            <w:r w:rsidRPr="00FA0D37">
              <w:rPr>
                <w:iCs/>
                <w:kern w:val="2"/>
                <w:lang w:eastAsia="sv-SE"/>
              </w:rPr>
              <w:t xml:space="preserve">PDCP sequence number size for downlink, 12 or 18 bits, as specified in TS 38.323 [5]. For SRBs only the value </w:t>
            </w:r>
            <w:r w:rsidRPr="00FA0D37">
              <w:rPr>
                <w:i/>
                <w:iCs/>
                <w:kern w:val="2"/>
                <w:lang w:eastAsia="sv-SE"/>
              </w:rPr>
              <w:t>len12bits</w:t>
            </w:r>
            <w:r w:rsidRPr="00FA0D37">
              <w:rPr>
                <w:iCs/>
                <w:kern w:val="2"/>
                <w:lang w:eastAsia="sv-SE"/>
              </w:rPr>
              <w:t xml:space="preserve"> is applicable.</w:t>
            </w:r>
            <w:r w:rsidRPr="00FA0D37">
              <w:rPr>
                <w:lang w:eastAsia="sv-SE"/>
              </w:rPr>
              <w:t xml:space="preserve"> The value for this field cannot be changed </w:t>
            </w:r>
            <w:r w:rsidRPr="00FA0D37">
              <w:rPr>
                <w:rFonts w:cs="Arial"/>
                <w:lang w:eastAsia="sv-SE"/>
              </w:rPr>
              <w:t xml:space="preserve">in case of reconfiguration with sync, </w:t>
            </w:r>
            <w:r w:rsidRPr="00FA0D37">
              <w:rPr>
                <w:lang w:eastAsia="sv-SE"/>
              </w:rPr>
              <w:t xml:space="preserve">if </w:t>
            </w:r>
            <w:r w:rsidRPr="00FA0D37">
              <w:t>the bearer is configured as DAPS bearer</w:t>
            </w:r>
            <w:r w:rsidRPr="00FA0D37">
              <w:rPr>
                <w:lang w:eastAsia="sv-SE"/>
              </w:rPr>
              <w:t>.</w:t>
            </w:r>
          </w:p>
        </w:tc>
      </w:tr>
      <w:tr w:rsidR="005C7FF4" w:rsidRPr="00FA0D37"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FA0D37" w:rsidRDefault="00394471" w:rsidP="00964CC4">
            <w:pPr>
              <w:pStyle w:val="TAL"/>
              <w:rPr>
                <w:b/>
                <w:bCs/>
                <w:i/>
                <w:lang w:eastAsia="en-GB"/>
              </w:rPr>
            </w:pPr>
            <w:r w:rsidRPr="00FA0D37">
              <w:rPr>
                <w:b/>
                <w:bCs/>
                <w:i/>
                <w:lang w:eastAsia="en-GB"/>
              </w:rPr>
              <w:t>pdcp-SN-SizeUL</w:t>
            </w:r>
          </w:p>
          <w:p w14:paraId="56DD3BF4" w14:textId="77777777" w:rsidR="00394471" w:rsidRPr="00FA0D37" w:rsidRDefault="00394471" w:rsidP="00964CC4">
            <w:pPr>
              <w:pStyle w:val="TAL"/>
              <w:rPr>
                <w:iCs/>
                <w:kern w:val="2"/>
                <w:lang w:eastAsia="sv-SE"/>
              </w:rPr>
            </w:pPr>
            <w:r w:rsidRPr="00FA0D37">
              <w:rPr>
                <w:iCs/>
                <w:kern w:val="2"/>
                <w:lang w:eastAsia="sv-SE"/>
              </w:rPr>
              <w:t xml:space="preserve">PDCP sequence number size for uplink, 12 or 18 bits, as specified in TS 38.323 [5]. For SRBs only the value </w:t>
            </w:r>
            <w:r w:rsidRPr="00FA0D37">
              <w:rPr>
                <w:i/>
                <w:iCs/>
                <w:kern w:val="2"/>
                <w:lang w:eastAsia="sv-SE"/>
              </w:rPr>
              <w:t>len12bits</w:t>
            </w:r>
            <w:r w:rsidRPr="00FA0D37">
              <w:rPr>
                <w:iCs/>
                <w:kern w:val="2"/>
                <w:lang w:eastAsia="sv-SE"/>
              </w:rPr>
              <w:t xml:space="preserve"> is applicable.</w:t>
            </w:r>
            <w:r w:rsidRPr="00FA0D37">
              <w:rPr>
                <w:lang w:eastAsia="sv-SE"/>
              </w:rPr>
              <w:t xml:space="preserve"> The value for this field cannot be changed </w:t>
            </w:r>
            <w:r w:rsidRPr="00FA0D37">
              <w:rPr>
                <w:rFonts w:cs="Arial"/>
                <w:lang w:eastAsia="sv-SE"/>
              </w:rPr>
              <w:t xml:space="preserve">in case of reconfiguration with sync, </w:t>
            </w:r>
            <w:r w:rsidRPr="00FA0D37">
              <w:rPr>
                <w:lang w:eastAsia="sv-SE"/>
              </w:rPr>
              <w:t xml:space="preserve">if </w:t>
            </w:r>
            <w:r w:rsidRPr="00FA0D37">
              <w:t>the bearer is configured as DAPS bearer</w:t>
            </w:r>
            <w:r w:rsidRPr="00FA0D37">
              <w:rPr>
                <w:lang w:eastAsia="sv-SE"/>
              </w:rPr>
              <w:t>.</w:t>
            </w:r>
          </w:p>
        </w:tc>
      </w:tr>
      <w:tr w:rsidR="005C7FF4" w:rsidRPr="00FA0D37"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FA0D37" w:rsidRDefault="00394471" w:rsidP="00964CC4">
            <w:pPr>
              <w:pStyle w:val="TAL"/>
              <w:rPr>
                <w:b/>
                <w:i/>
                <w:iCs/>
                <w:lang w:eastAsia="en-GB"/>
              </w:rPr>
            </w:pPr>
            <w:r w:rsidRPr="00FA0D37">
              <w:rPr>
                <w:b/>
                <w:i/>
                <w:iCs/>
                <w:lang w:eastAsia="en-GB"/>
              </w:rPr>
              <w:t>primaryPath</w:t>
            </w:r>
          </w:p>
          <w:p w14:paraId="2332C362" w14:textId="37F7E6C5" w:rsidR="00394471" w:rsidRPr="00FA0D37" w:rsidRDefault="00394471" w:rsidP="00964CC4">
            <w:pPr>
              <w:pStyle w:val="TAL"/>
              <w:rPr>
                <w:b/>
                <w:bCs/>
                <w:i/>
                <w:lang w:eastAsia="en-GB"/>
              </w:rPr>
            </w:pPr>
            <w:r w:rsidRPr="00FA0D37">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FA0D37">
              <w:rPr>
                <w:iCs/>
                <w:lang w:eastAsia="en-GB"/>
              </w:rPr>
              <w:t>, except for the</w:t>
            </w:r>
            <w:r w:rsidR="00052615" w:rsidRPr="00FA0D37">
              <w:rPr>
                <w:iCs/>
                <w:lang w:eastAsia="en-GB"/>
              </w:rPr>
              <w:t xml:space="preserve"> split</w:t>
            </w:r>
            <w:r w:rsidR="00CF0B27" w:rsidRPr="00FA0D37">
              <w:rPr>
                <w:iCs/>
                <w:lang w:eastAsia="en-GB"/>
              </w:rPr>
              <w:t xml:space="preserve"> SRB2 of the IAB-MT</w:t>
            </w:r>
            <w:r w:rsidR="00DB6B82" w:rsidRPr="00FA0D37">
              <w:rPr>
                <w:iCs/>
                <w:lang w:eastAsia="en-GB"/>
              </w:rPr>
              <w:t>, and</w:t>
            </w:r>
            <w:r w:rsidR="00A468AE" w:rsidRPr="00FA0D37">
              <w:rPr>
                <w:iCs/>
                <w:lang w:eastAsia="en-GB"/>
              </w:rPr>
              <w:t xml:space="preserve"> except when the UE is required to set the </w:t>
            </w:r>
            <w:r w:rsidR="00A468AE" w:rsidRPr="00FA0D37">
              <w:rPr>
                <w:i/>
                <w:iCs/>
                <w:lang w:eastAsia="en-GB"/>
              </w:rPr>
              <w:t>primaryPath</w:t>
            </w:r>
            <w:r w:rsidR="00A468AE" w:rsidRPr="00FA0D37">
              <w:rPr>
                <w:iCs/>
                <w:lang w:eastAsia="en-GB"/>
              </w:rPr>
              <w:t xml:space="preserve"> to refer to the SCG as specified in clause 5.7.3b.4. In this last case, if the network sends an </w:t>
            </w:r>
            <w:r w:rsidR="00A468AE" w:rsidRPr="00FA0D37">
              <w:rPr>
                <w:i/>
                <w:iCs/>
                <w:lang w:eastAsia="en-GB"/>
              </w:rPr>
              <w:t>RRCReconfiguration</w:t>
            </w:r>
            <w:r w:rsidR="00A468AE" w:rsidRPr="00FA0D37">
              <w:rPr>
                <w:iCs/>
                <w:lang w:eastAsia="en-GB"/>
              </w:rPr>
              <w:t xml:space="preserve"> message (in NR-DC) or an EUTRA </w:t>
            </w:r>
            <w:r w:rsidR="00A468AE" w:rsidRPr="00FA0D37">
              <w:rPr>
                <w:i/>
                <w:iCs/>
                <w:lang w:eastAsia="en-GB"/>
              </w:rPr>
              <w:t>RRCConnectionReconfiguration</w:t>
            </w:r>
            <w:r w:rsidR="00A468AE" w:rsidRPr="00FA0D37">
              <w:rPr>
                <w:iCs/>
                <w:lang w:eastAsia="en-GB"/>
              </w:rPr>
              <w:t xml:space="preserve"> message (in (NG)EN-DC) keeping SRB1 as split SRB, the network explicitly configures the </w:t>
            </w:r>
            <w:r w:rsidR="00A468AE" w:rsidRPr="00FA0D37">
              <w:rPr>
                <w:i/>
                <w:iCs/>
                <w:lang w:eastAsia="en-GB"/>
              </w:rPr>
              <w:t>primaryPath</w:t>
            </w:r>
            <w:r w:rsidR="00A468AE" w:rsidRPr="00FA0D37">
              <w:rPr>
                <w:iCs/>
                <w:lang w:eastAsia="en-GB"/>
              </w:rPr>
              <w:t xml:space="preserve"> for the PDCP entity of SRB1 to refer to the MCG. In this version of the specification, only cell group ID corresponding to MCG is supported for DRB</w:t>
            </w:r>
            <w:r w:rsidR="00B30C99" w:rsidRPr="00FA0D37">
              <w:rPr>
                <w:iCs/>
                <w:lang w:eastAsia="en-GB"/>
              </w:rPr>
              <w:t>s</w:t>
            </w:r>
            <w:r w:rsidR="00DB6B82" w:rsidRPr="00FA0D37">
              <w:rPr>
                <w:iCs/>
                <w:lang w:eastAsia="en-GB"/>
              </w:rPr>
              <w:t xml:space="preserve"> when the SCG is deactivated</w:t>
            </w:r>
            <w:r w:rsidRPr="00FA0D37">
              <w:rPr>
                <w:iCs/>
                <w:lang w:eastAsia="en-GB"/>
              </w:rPr>
              <w:t xml:space="preserve">. The NW indicates </w:t>
            </w:r>
            <w:r w:rsidRPr="00FA0D37">
              <w:rPr>
                <w:i/>
                <w:iCs/>
                <w:lang w:eastAsia="en-GB"/>
              </w:rPr>
              <w:t>cellGroup</w:t>
            </w:r>
            <w:r w:rsidRPr="00FA0D37">
              <w:rPr>
                <w:iCs/>
                <w:lang w:eastAsia="en-GB"/>
              </w:rPr>
              <w:t xml:space="preserve"> for split bearers using logical channels in different cell groups. </w:t>
            </w:r>
            <w:r w:rsidRPr="00FA0D37">
              <w:rPr>
                <w:bCs/>
                <w:lang w:eastAsia="ko-KR"/>
              </w:rPr>
              <w:t xml:space="preserve">The NW always indicates </w:t>
            </w:r>
            <w:r w:rsidRPr="00FA0D37">
              <w:rPr>
                <w:bCs/>
                <w:i/>
                <w:iCs/>
                <w:lang w:eastAsia="ko-KR"/>
              </w:rPr>
              <w:t>logicalChannel</w:t>
            </w:r>
            <w:r w:rsidRPr="00FA0D37">
              <w:rPr>
                <w:bCs/>
                <w:lang w:eastAsia="ko-KR"/>
              </w:rPr>
              <w:t xml:space="preserve"> if CA based PDCP duplication is configured in the cell group indicated by </w:t>
            </w:r>
            <w:r w:rsidRPr="00FA0D37">
              <w:rPr>
                <w:i/>
                <w:iCs/>
              </w:rPr>
              <w:t xml:space="preserve">cellGroup </w:t>
            </w:r>
            <w:r w:rsidRPr="00FA0D37">
              <w:t>of this field</w:t>
            </w:r>
            <w:r w:rsidRPr="00FA0D37">
              <w:rPr>
                <w:bCs/>
                <w:lang w:eastAsia="ko-KR"/>
              </w:rPr>
              <w:t>.</w:t>
            </w:r>
          </w:p>
        </w:tc>
      </w:tr>
      <w:tr w:rsidR="005C7FF4" w:rsidRPr="00FA0D37"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FA0D37" w:rsidRDefault="00394471" w:rsidP="00964CC4">
            <w:pPr>
              <w:pStyle w:val="TAL"/>
              <w:rPr>
                <w:b/>
                <w:i/>
                <w:iCs/>
                <w:lang w:eastAsia="en-GB"/>
              </w:rPr>
            </w:pPr>
            <w:r w:rsidRPr="00FA0D37">
              <w:rPr>
                <w:b/>
                <w:i/>
                <w:iCs/>
                <w:lang w:eastAsia="en-GB"/>
              </w:rPr>
              <w:t>splitSecondaryPath</w:t>
            </w:r>
          </w:p>
          <w:p w14:paraId="7853055C" w14:textId="77777777" w:rsidR="00394471" w:rsidRPr="00FA0D37" w:rsidRDefault="00394471" w:rsidP="00964CC4">
            <w:pPr>
              <w:pStyle w:val="TAL"/>
              <w:rPr>
                <w:b/>
                <w:i/>
                <w:iCs/>
                <w:lang w:eastAsia="en-GB"/>
              </w:rPr>
            </w:pPr>
            <w:r w:rsidRPr="00FA0D37">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A0D37">
              <w:rPr>
                <w:i/>
                <w:iCs/>
                <w:lang w:eastAsia="en-GB"/>
              </w:rPr>
              <w:t xml:space="preserve">cellGroup </w:t>
            </w:r>
            <w:r w:rsidRPr="00FA0D37">
              <w:rPr>
                <w:iCs/>
                <w:lang w:eastAsia="en-GB"/>
              </w:rPr>
              <w:t xml:space="preserve">in the field </w:t>
            </w:r>
            <w:r w:rsidRPr="00FA0D37">
              <w:rPr>
                <w:i/>
                <w:iCs/>
                <w:lang w:eastAsia="en-GB"/>
              </w:rPr>
              <w:t>primaryPath.</w:t>
            </w:r>
          </w:p>
        </w:tc>
      </w:tr>
      <w:tr w:rsidR="005C7FF4" w:rsidRPr="00FA0D37"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FA0D37" w:rsidRDefault="00394471" w:rsidP="00964CC4">
            <w:pPr>
              <w:pStyle w:val="TAL"/>
              <w:rPr>
                <w:b/>
                <w:i/>
                <w:lang w:eastAsia="sv-SE"/>
              </w:rPr>
            </w:pPr>
            <w:r w:rsidRPr="00FA0D37">
              <w:rPr>
                <w:b/>
                <w:i/>
                <w:lang w:eastAsia="sv-SE"/>
              </w:rPr>
              <w:t>statusReportRequired</w:t>
            </w:r>
          </w:p>
          <w:p w14:paraId="3BDE2489" w14:textId="39607C7E" w:rsidR="00394471" w:rsidRPr="00FA0D37" w:rsidRDefault="00394471" w:rsidP="00964CC4">
            <w:pPr>
              <w:pStyle w:val="TAL"/>
              <w:rPr>
                <w:bCs/>
                <w:lang w:eastAsia="en-GB"/>
              </w:rPr>
            </w:pPr>
            <w:r w:rsidRPr="00FA0D37">
              <w:rPr>
                <w:bCs/>
                <w:lang w:eastAsia="en-GB"/>
              </w:rPr>
              <w:t>For AM DRBs</w:t>
            </w:r>
            <w:r w:rsidR="00CE6FBC" w:rsidRPr="00FA0D37">
              <w:rPr>
                <w:bCs/>
                <w:lang w:eastAsia="en-GB"/>
              </w:rPr>
              <w:t>, AM MRBs</w:t>
            </w:r>
            <w:r w:rsidRPr="00FA0D37">
              <w:rPr>
                <w:bCs/>
                <w:lang w:eastAsia="en-GB"/>
              </w:rPr>
              <w:t xml:space="preserve"> and DAPS UM DRBs, indicates whether the DRB</w:t>
            </w:r>
            <w:r w:rsidR="00CE6FBC" w:rsidRPr="00FA0D37">
              <w:rPr>
                <w:bCs/>
                <w:lang w:eastAsia="en-GB"/>
              </w:rPr>
              <w:t xml:space="preserve"> or the multicast MRB</w:t>
            </w:r>
            <w:r w:rsidRPr="00FA0D37">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5C7FF4" w:rsidRPr="00FA0D37"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FA0D37" w:rsidRDefault="00F27D15" w:rsidP="00F27D15">
            <w:pPr>
              <w:pStyle w:val="TAL"/>
              <w:rPr>
                <w:b/>
                <w:i/>
                <w:lang w:eastAsia="sv-SE"/>
              </w:rPr>
            </w:pPr>
            <w:r w:rsidRPr="00FA0D37">
              <w:rPr>
                <w:b/>
                <w:i/>
                <w:lang w:eastAsia="sv-SE"/>
              </w:rPr>
              <w:t>survivalTimeStateSupport</w:t>
            </w:r>
          </w:p>
          <w:p w14:paraId="60817D3F" w14:textId="1FB672A3" w:rsidR="00F27D15" w:rsidRPr="00FA0D37" w:rsidRDefault="00F27D15" w:rsidP="00F27D15">
            <w:pPr>
              <w:pStyle w:val="TAL"/>
              <w:rPr>
                <w:bCs/>
                <w:iCs/>
                <w:lang w:eastAsia="sv-SE"/>
              </w:rPr>
            </w:pPr>
            <w:r w:rsidRPr="00FA0D37">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FA0D37">
              <w:rPr>
                <w:bCs/>
                <w:iCs/>
                <w:lang w:eastAsia="sv-SE"/>
              </w:rPr>
              <w:t xml:space="preserve"> addressed to CS-RNTI</w:t>
            </w:r>
            <w:r w:rsidRPr="00FA0D37">
              <w:rPr>
                <w:bCs/>
                <w:iCs/>
                <w:lang w:eastAsia="sv-SE"/>
              </w:rPr>
              <w:t>, as specified in TS 38.321 [3].</w:t>
            </w:r>
          </w:p>
        </w:tc>
      </w:tr>
      <w:tr w:rsidR="005C7FF4" w:rsidRPr="00FA0D37"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FA0D37" w:rsidRDefault="00394471" w:rsidP="00964CC4">
            <w:pPr>
              <w:pStyle w:val="TAL"/>
              <w:rPr>
                <w:b/>
                <w:bCs/>
                <w:i/>
                <w:lang w:eastAsia="en-GB"/>
              </w:rPr>
            </w:pPr>
            <w:r w:rsidRPr="00FA0D37">
              <w:rPr>
                <w:b/>
                <w:bCs/>
                <w:i/>
                <w:lang w:eastAsia="en-GB"/>
              </w:rPr>
              <w:t>t-Reordering</w:t>
            </w:r>
          </w:p>
          <w:p w14:paraId="1290A09E" w14:textId="77777777" w:rsidR="00394471" w:rsidRPr="00FA0D37" w:rsidRDefault="00394471" w:rsidP="00964CC4">
            <w:pPr>
              <w:pStyle w:val="TAL"/>
              <w:rPr>
                <w:bCs/>
                <w:lang w:eastAsia="en-GB"/>
              </w:rPr>
            </w:pPr>
            <w:r w:rsidRPr="00FA0D37">
              <w:rPr>
                <w:bCs/>
                <w:lang w:eastAsia="en-GB"/>
              </w:rPr>
              <w:t xml:space="preserve">Value in ms of t-Reordering specified in TS 38.323 [5]. Value </w:t>
            </w:r>
            <w:r w:rsidRPr="00FA0D37">
              <w:rPr>
                <w:bCs/>
                <w:i/>
                <w:lang w:eastAsia="en-GB"/>
              </w:rPr>
              <w:t>ms0</w:t>
            </w:r>
            <w:r w:rsidRPr="00FA0D37">
              <w:rPr>
                <w:bCs/>
                <w:lang w:eastAsia="en-GB"/>
              </w:rPr>
              <w:t xml:space="preserve"> corresponds to 0 ms, value </w:t>
            </w:r>
            <w:r w:rsidRPr="00FA0D37">
              <w:rPr>
                <w:bCs/>
                <w:i/>
                <w:lang w:eastAsia="en-GB"/>
              </w:rPr>
              <w:t>ms20</w:t>
            </w:r>
            <w:r w:rsidRPr="00FA0D37">
              <w:rPr>
                <w:bCs/>
                <w:lang w:eastAsia="en-GB"/>
              </w:rPr>
              <w:t xml:space="preserve"> corresponds to 20 ms, value </w:t>
            </w:r>
            <w:r w:rsidRPr="00FA0D37">
              <w:rPr>
                <w:bCs/>
                <w:i/>
                <w:lang w:eastAsia="en-GB"/>
              </w:rPr>
              <w:t>ms40</w:t>
            </w:r>
            <w:r w:rsidRPr="00FA0D37">
              <w:rPr>
                <w:bCs/>
                <w:lang w:eastAsia="en-GB"/>
              </w:rPr>
              <w:t xml:space="preserve"> corresponds to 40 ms, and so on.  When the field is absent the UE applies the value </w:t>
            </w:r>
            <w:r w:rsidRPr="00FA0D37">
              <w:rPr>
                <w:bCs/>
                <w:i/>
                <w:lang w:eastAsia="en-GB"/>
              </w:rPr>
              <w:t>infinity</w:t>
            </w:r>
            <w:r w:rsidRPr="00FA0D37">
              <w:rPr>
                <w:bCs/>
                <w:lang w:eastAsia="en-GB"/>
              </w:rPr>
              <w:t>.</w:t>
            </w:r>
            <w:r w:rsidRPr="00FA0D37">
              <w:rPr>
                <w:lang w:eastAsia="sv-SE"/>
              </w:rPr>
              <w:t xml:space="preserve"> The value for this field cannot be changed </w:t>
            </w:r>
            <w:r w:rsidRPr="00FA0D37">
              <w:rPr>
                <w:rFonts w:cs="Arial"/>
                <w:lang w:eastAsia="sv-SE"/>
              </w:rPr>
              <w:t xml:space="preserve">in case of reconfiguration with sync, </w:t>
            </w:r>
            <w:r w:rsidRPr="00FA0D37">
              <w:rPr>
                <w:lang w:eastAsia="sv-SE"/>
              </w:rPr>
              <w:t xml:space="preserve">if </w:t>
            </w:r>
            <w:r w:rsidRPr="00FA0D37">
              <w:t>the bearer is configured as DAPS bearer</w:t>
            </w:r>
            <w:r w:rsidRPr="00FA0D37">
              <w:rPr>
                <w:lang w:eastAsia="sv-SE"/>
              </w:rPr>
              <w:t>.</w:t>
            </w:r>
          </w:p>
        </w:tc>
      </w:tr>
      <w:tr w:rsidR="005C7FF4" w:rsidRPr="00FA0D37"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FA0D37" w:rsidRDefault="00394471" w:rsidP="00964CC4">
            <w:pPr>
              <w:pStyle w:val="TAL"/>
              <w:rPr>
                <w:rFonts w:eastAsia="Malgun Gothic"/>
                <w:b/>
                <w:i/>
                <w:lang w:eastAsia="ko-KR"/>
              </w:rPr>
            </w:pPr>
            <w:r w:rsidRPr="00FA0D37">
              <w:rPr>
                <w:rFonts w:eastAsia="Malgun Gothic"/>
                <w:b/>
                <w:i/>
                <w:lang w:eastAsia="ko-KR"/>
              </w:rPr>
              <w:lastRenderedPageBreak/>
              <w:t>ul-DataSplitThreshold</w:t>
            </w:r>
          </w:p>
          <w:p w14:paraId="367108F4" w14:textId="5486C45F" w:rsidR="00394471" w:rsidRPr="00FA0D37" w:rsidRDefault="00394471" w:rsidP="00964CC4">
            <w:pPr>
              <w:pStyle w:val="TAL"/>
              <w:rPr>
                <w:bCs/>
                <w:lang w:eastAsia="en-GB"/>
              </w:rPr>
            </w:pPr>
            <w:r w:rsidRPr="00FA0D37">
              <w:rPr>
                <w:bCs/>
                <w:lang w:eastAsia="en-GB"/>
              </w:rPr>
              <w:t xml:space="preserve">Parameter specified in TS 38.323 [5]. Value </w:t>
            </w:r>
            <w:r w:rsidRPr="00FA0D37">
              <w:rPr>
                <w:bCs/>
                <w:i/>
                <w:lang w:eastAsia="en-GB"/>
              </w:rPr>
              <w:t>b0</w:t>
            </w:r>
            <w:r w:rsidRPr="00FA0D37">
              <w:rPr>
                <w:bCs/>
                <w:lang w:eastAsia="en-GB"/>
              </w:rPr>
              <w:t xml:space="preserve"> corresponds to 0 bytes, value </w:t>
            </w:r>
            <w:r w:rsidRPr="00FA0D37">
              <w:rPr>
                <w:bCs/>
                <w:i/>
                <w:lang w:eastAsia="en-GB"/>
              </w:rPr>
              <w:t>b100</w:t>
            </w:r>
            <w:r w:rsidRPr="00FA0D37">
              <w:rPr>
                <w:bCs/>
                <w:lang w:eastAsia="en-GB"/>
              </w:rPr>
              <w:t xml:space="preserve"> corresponds to 100 bytes, value </w:t>
            </w:r>
            <w:r w:rsidRPr="00FA0D37">
              <w:rPr>
                <w:bCs/>
                <w:i/>
                <w:lang w:eastAsia="en-GB"/>
              </w:rPr>
              <w:t>b200</w:t>
            </w:r>
            <w:r w:rsidRPr="00FA0D37">
              <w:rPr>
                <w:bCs/>
                <w:lang w:eastAsia="en-GB"/>
              </w:rPr>
              <w:t xml:space="preserve"> corresponds to 200 bytes, and so on. The network sets this field to </w:t>
            </w:r>
            <w:r w:rsidRPr="00FA0D37">
              <w:rPr>
                <w:bCs/>
                <w:i/>
                <w:lang w:eastAsia="en-GB"/>
              </w:rPr>
              <w:t>infinity</w:t>
            </w:r>
            <w:r w:rsidRPr="00FA0D37">
              <w:rPr>
                <w:bCs/>
                <w:lang w:eastAsia="en-GB"/>
              </w:rPr>
              <w:t xml:space="preserve"> for UEs not supporting </w:t>
            </w:r>
            <w:r w:rsidRPr="00FA0D37">
              <w:rPr>
                <w:bCs/>
                <w:i/>
                <w:lang w:eastAsia="en-GB"/>
              </w:rPr>
              <w:t>splitDRB-withUL-Both-MCG-SCG</w:t>
            </w:r>
            <w:r w:rsidR="00DB6B82" w:rsidRPr="00FA0D37">
              <w:rPr>
                <w:bCs/>
                <w:lang w:eastAsia="en-GB"/>
              </w:rPr>
              <w:t xml:space="preserve"> and when the SCG is deactivated</w:t>
            </w:r>
            <w:r w:rsidRPr="00FA0D37">
              <w:rPr>
                <w:bCs/>
                <w:lang w:eastAsia="en-GB"/>
              </w:rPr>
              <w:t xml:space="preserve">. If the field is absent when the split bearer is configured for the radio bearer first time, then the default value </w:t>
            </w:r>
            <w:r w:rsidRPr="00FA0D37">
              <w:rPr>
                <w:bCs/>
                <w:i/>
                <w:lang w:eastAsia="en-GB"/>
              </w:rPr>
              <w:t>infinity</w:t>
            </w:r>
            <w:r w:rsidRPr="00FA0D37">
              <w:rPr>
                <w:bCs/>
                <w:lang w:eastAsia="en-GB"/>
              </w:rPr>
              <w:t xml:space="preserve"> is applied.</w:t>
            </w:r>
          </w:p>
        </w:tc>
      </w:tr>
      <w:tr w:rsidR="000830BB" w:rsidRPr="00FA0D37"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FA0D37" w:rsidRDefault="00DA620C" w:rsidP="00771058">
            <w:pPr>
              <w:pStyle w:val="TAL"/>
              <w:rPr>
                <w:rFonts w:eastAsia="Malgun Gothic"/>
                <w:b/>
                <w:i/>
                <w:lang w:eastAsia="ko-KR"/>
              </w:rPr>
            </w:pPr>
            <w:r w:rsidRPr="00FA0D37">
              <w:rPr>
                <w:rFonts w:eastAsia="Malgun Gothic"/>
                <w:b/>
                <w:i/>
                <w:lang w:eastAsia="ko-KR"/>
              </w:rPr>
              <w:t>uplinkDataCompression</w:t>
            </w:r>
          </w:p>
          <w:p w14:paraId="27EB5569" w14:textId="59E2710E" w:rsidR="00DA620C" w:rsidRPr="00FA0D37" w:rsidRDefault="00DA620C" w:rsidP="00771058">
            <w:pPr>
              <w:pStyle w:val="TAL"/>
              <w:rPr>
                <w:rFonts w:eastAsia="Malgun Gothic"/>
                <w:bCs/>
                <w:iCs/>
                <w:lang w:eastAsia="ko-KR"/>
              </w:rPr>
            </w:pPr>
            <w:r w:rsidRPr="00FA0D37">
              <w:rPr>
                <w:rFonts w:eastAsia="Malgun Gothic"/>
                <w:bCs/>
                <w:iCs/>
                <w:lang w:eastAsia="ko-KR"/>
              </w:rPr>
              <w:t xml:space="preserve">Indicates the UDC configuration that the UE shall apply. Network does not configure </w:t>
            </w:r>
            <w:r w:rsidRPr="00FA0D37">
              <w:rPr>
                <w:rFonts w:eastAsia="Malgun Gothic"/>
                <w:bCs/>
                <w:i/>
                <w:lang w:eastAsia="ko-KR"/>
              </w:rPr>
              <w:t>uplinkDataCompression</w:t>
            </w:r>
            <w:r w:rsidRPr="00FA0D37">
              <w:rPr>
                <w:rFonts w:eastAsia="Malgun Gothic"/>
                <w:bCs/>
                <w:iCs/>
                <w:lang w:eastAsia="ko-KR"/>
              </w:rPr>
              <w:t xml:space="preserve"> for a DRB, if </w:t>
            </w:r>
            <w:r w:rsidRPr="00FA0D37">
              <w:rPr>
                <w:rFonts w:eastAsia="Malgun Gothic"/>
                <w:bCs/>
                <w:i/>
                <w:lang w:eastAsia="ko-KR"/>
              </w:rPr>
              <w:t>headerCompression</w:t>
            </w:r>
            <w:r w:rsidRPr="00FA0D37">
              <w:rPr>
                <w:rFonts w:eastAsia="Malgun Gothic"/>
                <w:bCs/>
                <w:iCs/>
                <w:lang w:eastAsia="ko-KR"/>
              </w:rPr>
              <w:t xml:space="preserve"> or </w:t>
            </w:r>
            <w:r w:rsidRPr="00FA0D37">
              <w:rPr>
                <w:rFonts w:eastAsia="Malgun Gothic"/>
                <w:bCs/>
                <w:i/>
                <w:lang w:eastAsia="ko-KR"/>
              </w:rPr>
              <w:t>ethernetHeaderCompression</w:t>
            </w:r>
            <w:r w:rsidRPr="00FA0D37">
              <w:rPr>
                <w:rFonts w:eastAsia="Malgun Gothic"/>
                <w:bCs/>
                <w:iCs/>
                <w:lang w:eastAsia="ko-KR"/>
              </w:rPr>
              <w:t xml:space="preserve"> is already configured or </w:t>
            </w:r>
            <w:r w:rsidRPr="00FA0D37">
              <w:rPr>
                <w:rFonts w:eastAsia="Malgun Gothic"/>
                <w:bCs/>
                <w:i/>
                <w:lang w:eastAsia="ko-KR"/>
              </w:rPr>
              <w:t>outOfOrderDelivery</w:t>
            </w:r>
            <w:r w:rsidRPr="00FA0D37">
              <w:rPr>
                <w:rFonts w:eastAsia="Malgun Gothic"/>
                <w:bCs/>
                <w:iCs/>
                <w:lang w:eastAsia="ko-KR"/>
              </w:rPr>
              <w:t xml:space="preserve"> or DAPS is configured for the DRB. The maximum number of DRBs where </w:t>
            </w:r>
            <w:r w:rsidRPr="00FA0D37">
              <w:rPr>
                <w:rFonts w:eastAsia="Malgun Gothic"/>
                <w:bCs/>
                <w:i/>
                <w:lang w:eastAsia="ko-KR"/>
              </w:rPr>
              <w:t>uplinkDataCompression</w:t>
            </w:r>
            <w:r w:rsidRPr="00FA0D37">
              <w:rPr>
                <w:rFonts w:eastAsia="Malgun Gothic"/>
                <w:bCs/>
                <w:iCs/>
                <w:lang w:eastAsia="ko-KR"/>
              </w:rPr>
              <w:t xml:space="preserve"> can be applied is two. The network reconfigures </w:t>
            </w:r>
            <w:r w:rsidRPr="00FA0D37">
              <w:rPr>
                <w:rFonts w:eastAsia="Malgun Gothic"/>
                <w:bCs/>
                <w:i/>
                <w:lang w:eastAsia="ko-KR"/>
              </w:rPr>
              <w:t>uplinkDataCompression</w:t>
            </w:r>
            <w:r w:rsidRPr="00FA0D37">
              <w:rPr>
                <w:rFonts w:eastAsia="Malgun Gothic"/>
                <w:bCs/>
                <w:iCs/>
                <w:lang w:eastAsia="ko-KR"/>
              </w:rPr>
              <w:t xml:space="preserve"> only upon reconfiguration involving PDCP re-establishment</w:t>
            </w:r>
            <w:r w:rsidR="00A8216A" w:rsidRPr="00FA0D37">
              <w:rPr>
                <w:rFonts w:eastAsia="Malgun Gothic"/>
                <w:bCs/>
                <w:iCs/>
                <w:lang w:eastAsia="ko-KR"/>
              </w:rPr>
              <w:t>.</w:t>
            </w:r>
            <w:r w:rsidR="00A8216A" w:rsidRPr="00FA0D37">
              <w:rPr>
                <w:rFonts w:cs="Arial"/>
                <w:bCs/>
                <w:iCs/>
                <w:szCs w:val="18"/>
                <w:lang w:eastAsia="zh-CN"/>
              </w:rPr>
              <w:t xml:space="preserve"> </w:t>
            </w:r>
            <w:r w:rsidR="00A8216A" w:rsidRPr="00FA0D37">
              <w:rPr>
                <w:rFonts w:cs="Arial"/>
                <w:szCs w:val="18"/>
                <w:lang w:eastAsia="zh-CN"/>
              </w:rPr>
              <w:t xml:space="preserve">If the field is set to </w:t>
            </w:r>
            <w:r w:rsidR="00A8216A" w:rsidRPr="00FA0D37">
              <w:rPr>
                <w:rFonts w:cs="Arial"/>
                <w:i/>
                <w:szCs w:val="18"/>
              </w:rPr>
              <w:t>drb-ContinueUDC</w:t>
            </w:r>
            <w:r w:rsidR="00A8216A" w:rsidRPr="00FA0D37">
              <w:rPr>
                <w:rFonts w:cs="Arial"/>
                <w:szCs w:val="18"/>
                <w:lang w:eastAsia="zh-CN"/>
              </w:rPr>
              <w:t xml:space="preserve">, </w:t>
            </w:r>
            <w:r w:rsidR="00A8216A" w:rsidRPr="00FA0D37">
              <w:rPr>
                <w:rFonts w:cs="Arial"/>
                <w:szCs w:val="18"/>
              </w:rPr>
              <w:t>the PDCP entity continues the uplink data compression protocol during PDCP re-establishment, as specified in TS 38.323 [5].</w:t>
            </w:r>
            <w:r w:rsidR="00A8216A" w:rsidRPr="00FA0D37">
              <w:rPr>
                <w:rFonts w:cs="Arial"/>
                <w:szCs w:val="18"/>
                <w:lang w:eastAsia="zh-CN"/>
              </w:rPr>
              <w:t xml:space="preserve"> </w:t>
            </w:r>
            <w:r w:rsidR="00A8216A" w:rsidRPr="00FA0D37">
              <w:rPr>
                <w:rFonts w:cs="Arial"/>
                <w:bCs/>
                <w:iCs/>
                <w:szCs w:val="18"/>
                <w:lang w:eastAsia="zh-CN"/>
              </w:rPr>
              <w:t xml:space="preserve">The field is set to </w:t>
            </w:r>
            <w:r w:rsidR="00A8216A" w:rsidRPr="00FA0D37">
              <w:rPr>
                <w:rFonts w:cs="Arial"/>
                <w:i/>
                <w:szCs w:val="18"/>
              </w:rPr>
              <w:t>drb-ContinueUDC</w:t>
            </w:r>
            <w:r w:rsidR="00A8216A" w:rsidRPr="00FA0D37">
              <w:rPr>
                <w:rFonts w:cs="Arial"/>
                <w:szCs w:val="18"/>
                <w:lang w:eastAsia="zh-CN"/>
              </w:rPr>
              <w:t xml:space="preserve"> only </w:t>
            </w:r>
            <w:r w:rsidR="00A8216A" w:rsidRPr="00FA0D37">
              <w:rPr>
                <w:rFonts w:cs="Arial"/>
                <w:szCs w:val="18"/>
                <w:lang w:eastAsia="sv-SE"/>
              </w:rPr>
              <w:t>in case of resuming an RRC connection or reconfiguration with sync, where the PDCP termination point is not changed and the</w:t>
            </w:r>
            <w:r w:rsidR="00A8216A" w:rsidRPr="00FA0D37">
              <w:rPr>
                <w:rFonts w:cs="Arial"/>
                <w:i/>
                <w:iCs/>
                <w:szCs w:val="18"/>
                <w:lang w:eastAsia="sv-SE"/>
              </w:rPr>
              <w:t xml:space="preserve"> fullConfig</w:t>
            </w:r>
            <w:r w:rsidR="00A8216A" w:rsidRPr="00FA0D37">
              <w:rPr>
                <w:rFonts w:cs="Arial"/>
                <w:szCs w:val="18"/>
                <w:lang w:eastAsia="sv-SE"/>
              </w:rPr>
              <w:t xml:space="preserve"> is not indicated</w:t>
            </w:r>
            <w:r w:rsidR="00A8216A" w:rsidRPr="00FA0D37">
              <w:rPr>
                <w:rFonts w:cs="Arial"/>
                <w:szCs w:val="18"/>
                <w:lang w:eastAsia="zh-CN"/>
              </w:rPr>
              <w:t>.</w:t>
            </w:r>
          </w:p>
        </w:tc>
      </w:tr>
    </w:tbl>
    <w:p w14:paraId="7CB23C20" w14:textId="77777777" w:rsidR="00394471" w:rsidRPr="00FA0D37" w:rsidRDefault="00394471" w:rsidP="00394471"/>
    <w:tbl>
      <w:tblPr>
        <w:tblW w:w="14173" w:type="dxa"/>
        <w:tblLook w:val="04A0" w:firstRow="1" w:lastRow="0" w:firstColumn="1" w:lastColumn="0" w:noHBand="0" w:noVBand="1"/>
      </w:tblPr>
      <w:tblGrid>
        <w:gridCol w:w="14173"/>
      </w:tblGrid>
      <w:tr w:rsidR="005C7FF4" w:rsidRPr="00FA0D37"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FA0D37" w:rsidRDefault="00394471" w:rsidP="00964CC4">
            <w:pPr>
              <w:pStyle w:val="TAH"/>
              <w:rPr>
                <w:lang w:eastAsia="sv-SE"/>
              </w:rPr>
            </w:pPr>
            <w:r w:rsidRPr="00FA0D37">
              <w:rPr>
                <w:i/>
                <w:lang w:eastAsia="sv-SE"/>
              </w:rPr>
              <w:t>EthernetHeaderCompression field descriptions</w:t>
            </w:r>
          </w:p>
        </w:tc>
      </w:tr>
      <w:tr w:rsidR="005C7FF4" w:rsidRPr="00FA0D37"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FA0D37" w:rsidRDefault="00394471" w:rsidP="00964CC4">
            <w:pPr>
              <w:pStyle w:val="TAL"/>
              <w:rPr>
                <w:b/>
                <w:i/>
                <w:lang w:eastAsia="en-GB"/>
              </w:rPr>
            </w:pPr>
            <w:r w:rsidRPr="00FA0D37">
              <w:rPr>
                <w:b/>
                <w:i/>
                <w:lang w:eastAsia="en-GB"/>
              </w:rPr>
              <w:t>drb-ContinueEHC-DL</w:t>
            </w:r>
          </w:p>
          <w:p w14:paraId="48A8CE7A" w14:textId="77777777" w:rsidR="00394471" w:rsidRPr="00FA0D37" w:rsidRDefault="00394471" w:rsidP="00964CC4">
            <w:pPr>
              <w:pStyle w:val="TAL"/>
              <w:rPr>
                <w:b/>
                <w:i/>
                <w:lang w:eastAsia="en-GB"/>
              </w:rPr>
            </w:pPr>
            <w:r w:rsidRPr="00FA0D37">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FA0D37">
              <w:rPr>
                <w:rFonts w:cs="Arial"/>
                <w:i/>
                <w:lang w:eastAsia="sv-SE"/>
              </w:rPr>
              <w:t>fullConfig</w:t>
            </w:r>
            <w:r w:rsidRPr="00FA0D37">
              <w:rPr>
                <w:rFonts w:cs="Arial"/>
                <w:lang w:eastAsia="sv-SE"/>
              </w:rPr>
              <w:t xml:space="preserve"> is not indicated.</w:t>
            </w:r>
          </w:p>
        </w:tc>
      </w:tr>
      <w:tr w:rsidR="005C7FF4" w:rsidRPr="00FA0D37"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FA0D37" w:rsidRDefault="00394471" w:rsidP="00964CC4">
            <w:pPr>
              <w:pStyle w:val="TAL"/>
              <w:rPr>
                <w:b/>
                <w:i/>
                <w:lang w:eastAsia="en-GB"/>
              </w:rPr>
            </w:pPr>
            <w:r w:rsidRPr="00FA0D37">
              <w:rPr>
                <w:b/>
                <w:i/>
                <w:lang w:eastAsia="en-GB"/>
              </w:rPr>
              <w:t>drb-ContinueEHC-UL</w:t>
            </w:r>
          </w:p>
          <w:p w14:paraId="5C41D656" w14:textId="77777777" w:rsidR="00394471" w:rsidRPr="00FA0D37" w:rsidRDefault="00394471" w:rsidP="00964CC4">
            <w:pPr>
              <w:pStyle w:val="TAL"/>
              <w:rPr>
                <w:b/>
                <w:i/>
                <w:lang w:eastAsia="en-GB"/>
              </w:rPr>
            </w:pPr>
            <w:r w:rsidRPr="00FA0D37">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FA0D37">
              <w:rPr>
                <w:rFonts w:cs="Arial"/>
                <w:i/>
                <w:lang w:eastAsia="sv-SE"/>
              </w:rPr>
              <w:t>fullConfig</w:t>
            </w:r>
            <w:r w:rsidRPr="00FA0D37">
              <w:rPr>
                <w:rFonts w:cs="Arial"/>
                <w:lang w:eastAsia="sv-SE"/>
              </w:rPr>
              <w:t xml:space="preserve"> is not indicated.</w:t>
            </w:r>
          </w:p>
        </w:tc>
      </w:tr>
      <w:tr w:rsidR="005C7FF4" w:rsidRPr="00FA0D37"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FA0D37" w:rsidRDefault="00394471" w:rsidP="00964CC4">
            <w:pPr>
              <w:pStyle w:val="TAL"/>
              <w:tabs>
                <w:tab w:val="left" w:pos="11100"/>
              </w:tabs>
              <w:rPr>
                <w:b/>
                <w:i/>
                <w:lang w:eastAsia="en-GB"/>
              </w:rPr>
            </w:pPr>
            <w:r w:rsidRPr="00FA0D37">
              <w:rPr>
                <w:b/>
                <w:i/>
                <w:lang w:eastAsia="en-GB"/>
              </w:rPr>
              <w:t>ehc-CID-Length</w:t>
            </w:r>
          </w:p>
          <w:p w14:paraId="6297339F" w14:textId="5FE73E07" w:rsidR="00394471" w:rsidRPr="00FA0D37" w:rsidRDefault="00394471" w:rsidP="00964CC4">
            <w:pPr>
              <w:pStyle w:val="TAL"/>
              <w:rPr>
                <w:b/>
                <w:i/>
                <w:lang w:eastAsia="sv-SE"/>
              </w:rPr>
            </w:pPr>
            <w:r w:rsidRPr="00FA0D37">
              <w:rPr>
                <w:bCs/>
                <w:iCs/>
                <w:lang w:eastAsia="en-GB"/>
              </w:rPr>
              <w:t xml:space="preserve">Indicates the length of the CID field for EHC packet. The value </w:t>
            </w:r>
            <w:r w:rsidRPr="00FA0D37">
              <w:rPr>
                <w:bCs/>
                <w:i/>
                <w:lang w:eastAsia="en-GB"/>
              </w:rPr>
              <w:t>bits7</w:t>
            </w:r>
            <w:r w:rsidRPr="00FA0D37">
              <w:rPr>
                <w:bCs/>
                <w:iCs/>
                <w:lang w:eastAsia="en-GB"/>
              </w:rPr>
              <w:t xml:space="preserve"> indicates the length is 7 bits, and the value </w:t>
            </w:r>
            <w:r w:rsidRPr="00FA0D37">
              <w:rPr>
                <w:bCs/>
                <w:i/>
                <w:lang w:eastAsia="en-GB"/>
              </w:rPr>
              <w:t>bits15</w:t>
            </w:r>
            <w:r w:rsidRPr="00FA0D37">
              <w:rPr>
                <w:bCs/>
                <w:iCs/>
                <w:lang w:eastAsia="en-GB"/>
              </w:rPr>
              <w:t xml:space="preserve"> indicates the length is 15 bits. Once the field </w:t>
            </w:r>
            <w:r w:rsidRPr="00FA0D37">
              <w:rPr>
                <w:i/>
                <w:iCs/>
                <w:lang w:eastAsia="sv-SE"/>
              </w:rPr>
              <w:t xml:space="preserve">ethernetHeaderCompression-r16 </w:t>
            </w:r>
            <w:r w:rsidRPr="00FA0D37">
              <w:rPr>
                <w:lang w:eastAsia="sv-SE"/>
              </w:rPr>
              <w:t>is configured</w:t>
            </w:r>
            <w:r w:rsidRPr="00FA0D37">
              <w:rPr>
                <w:bCs/>
                <w:iCs/>
                <w:lang w:eastAsia="en-GB"/>
              </w:rPr>
              <w:t xml:space="preserve"> for a DRB</w:t>
            </w:r>
            <w:r w:rsidR="00CE6FBC" w:rsidRPr="00FA0D37">
              <w:rPr>
                <w:bCs/>
                <w:iCs/>
                <w:lang w:eastAsia="en-GB"/>
              </w:rPr>
              <w:t xml:space="preserve"> or a multicast MRB</w:t>
            </w:r>
            <w:r w:rsidRPr="00FA0D37">
              <w:rPr>
                <w:bCs/>
                <w:iCs/>
                <w:lang w:eastAsia="en-GB"/>
              </w:rPr>
              <w:t xml:space="preserve">, the value of the field </w:t>
            </w:r>
            <w:r w:rsidRPr="00FA0D37">
              <w:rPr>
                <w:bCs/>
                <w:i/>
                <w:lang w:eastAsia="en-GB"/>
              </w:rPr>
              <w:t xml:space="preserve">ehc-CID-Length </w:t>
            </w:r>
            <w:r w:rsidRPr="00FA0D37">
              <w:rPr>
                <w:bCs/>
                <w:iCs/>
                <w:lang w:eastAsia="en-GB"/>
              </w:rPr>
              <w:t>for this DRB</w:t>
            </w:r>
            <w:r w:rsidR="00CE6FBC" w:rsidRPr="00FA0D37">
              <w:rPr>
                <w:bCs/>
                <w:iCs/>
                <w:lang w:eastAsia="en-GB"/>
              </w:rPr>
              <w:t xml:space="preserve"> or multicast MRB</w:t>
            </w:r>
            <w:r w:rsidRPr="00FA0D37">
              <w:rPr>
                <w:bCs/>
                <w:iCs/>
                <w:lang w:eastAsia="en-GB"/>
              </w:rPr>
              <w:t xml:space="preserve"> is not reconfigured to a different value.</w:t>
            </w:r>
          </w:p>
        </w:tc>
      </w:tr>
      <w:tr w:rsidR="005C7FF4" w:rsidRPr="00FA0D37"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FA0D37" w:rsidRDefault="00394471" w:rsidP="00964CC4">
            <w:pPr>
              <w:pStyle w:val="TAL"/>
              <w:tabs>
                <w:tab w:val="left" w:pos="11100"/>
              </w:tabs>
              <w:rPr>
                <w:b/>
                <w:i/>
                <w:lang w:eastAsia="en-GB"/>
              </w:rPr>
            </w:pPr>
            <w:r w:rsidRPr="00FA0D37">
              <w:rPr>
                <w:b/>
                <w:i/>
                <w:lang w:eastAsia="en-GB"/>
              </w:rPr>
              <w:t>ehc-Common</w:t>
            </w:r>
          </w:p>
          <w:p w14:paraId="3D8CD3E4" w14:textId="77777777" w:rsidR="00394471" w:rsidRPr="00FA0D37" w:rsidRDefault="00394471" w:rsidP="00964CC4">
            <w:pPr>
              <w:pStyle w:val="TAL"/>
              <w:tabs>
                <w:tab w:val="left" w:pos="11100"/>
              </w:tabs>
              <w:rPr>
                <w:rFonts w:eastAsia="等线"/>
                <w:b/>
                <w:i/>
                <w:lang w:eastAsia="zh-CN"/>
              </w:rPr>
            </w:pPr>
            <w:r w:rsidRPr="00FA0D37">
              <w:rPr>
                <w:bCs/>
                <w:iCs/>
                <w:lang w:eastAsia="en-GB"/>
              </w:rPr>
              <w:t>Indicates the configurations that apply for both downlink and uplink.</w:t>
            </w:r>
          </w:p>
        </w:tc>
      </w:tr>
      <w:tr w:rsidR="005C7FF4" w:rsidRPr="00FA0D37"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FA0D37" w:rsidRDefault="00394471" w:rsidP="00964CC4">
            <w:pPr>
              <w:pStyle w:val="TAL"/>
              <w:tabs>
                <w:tab w:val="left" w:pos="11100"/>
              </w:tabs>
              <w:rPr>
                <w:b/>
                <w:i/>
                <w:lang w:eastAsia="en-GB"/>
              </w:rPr>
            </w:pPr>
            <w:r w:rsidRPr="00FA0D37">
              <w:rPr>
                <w:b/>
                <w:i/>
                <w:lang w:eastAsia="en-GB"/>
              </w:rPr>
              <w:t>ehc-Downlink</w:t>
            </w:r>
          </w:p>
          <w:p w14:paraId="7A191CC2" w14:textId="77777777" w:rsidR="00394471" w:rsidRPr="00FA0D37" w:rsidRDefault="00394471" w:rsidP="00964CC4">
            <w:pPr>
              <w:pStyle w:val="TAL"/>
              <w:tabs>
                <w:tab w:val="left" w:pos="11100"/>
              </w:tabs>
              <w:rPr>
                <w:b/>
                <w:i/>
                <w:lang w:eastAsia="en-GB"/>
              </w:rPr>
            </w:pPr>
            <w:r w:rsidRPr="00FA0D37">
              <w:rPr>
                <w:bCs/>
                <w:iCs/>
                <w:lang w:eastAsia="en-GB"/>
              </w:rPr>
              <w:t>Indicates the configurations that apply for only downlink. If the field is configured, then Ethernet header compression is configured for downlink. Otherwise, it is not configured for downlink.</w:t>
            </w:r>
          </w:p>
        </w:tc>
      </w:tr>
      <w:tr w:rsidR="005C7FF4" w:rsidRPr="00FA0D37"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FA0D37" w:rsidRDefault="00394471" w:rsidP="00964CC4">
            <w:pPr>
              <w:pStyle w:val="TAL"/>
              <w:tabs>
                <w:tab w:val="left" w:pos="11100"/>
              </w:tabs>
              <w:rPr>
                <w:b/>
                <w:i/>
                <w:lang w:eastAsia="en-GB"/>
              </w:rPr>
            </w:pPr>
            <w:r w:rsidRPr="00FA0D37">
              <w:rPr>
                <w:b/>
                <w:i/>
                <w:lang w:eastAsia="en-GB"/>
              </w:rPr>
              <w:t>ehc-Uplink</w:t>
            </w:r>
          </w:p>
          <w:p w14:paraId="1667DFF1" w14:textId="77777777" w:rsidR="00394471" w:rsidRPr="00FA0D37" w:rsidRDefault="00394471" w:rsidP="00964CC4">
            <w:pPr>
              <w:pStyle w:val="TAL"/>
              <w:tabs>
                <w:tab w:val="left" w:pos="11100"/>
              </w:tabs>
              <w:rPr>
                <w:b/>
                <w:i/>
                <w:lang w:eastAsia="en-GB"/>
              </w:rPr>
            </w:pPr>
            <w:r w:rsidRPr="00FA0D37">
              <w:rPr>
                <w:bCs/>
                <w:iCs/>
                <w:lang w:eastAsia="en-GB"/>
              </w:rPr>
              <w:t>Indicates the configurations that apply for only uplink. If the field is configured, then Ethernet header compression is configured for uplnik. Otherwise, it is not configured for uplink.</w:t>
            </w:r>
          </w:p>
        </w:tc>
      </w:tr>
      <w:tr w:rsidR="000830BB" w:rsidRPr="00FA0D37"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FA0D37" w:rsidRDefault="00394471" w:rsidP="00964CC4">
            <w:pPr>
              <w:pStyle w:val="TAL"/>
              <w:tabs>
                <w:tab w:val="left" w:pos="11100"/>
              </w:tabs>
              <w:rPr>
                <w:b/>
                <w:i/>
                <w:lang w:eastAsia="en-GB"/>
              </w:rPr>
            </w:pPr>
            <w:r w:rsidRPr="00FA0D37">
              <w:rPr>
                <w:b/>
                <w:i/>
                <w:lang w:eastAsia="en-GB"/>
              </w:rPr>
              <w:t>maxCID-EHC-UL</w:t>
            </w:r>
          </w:p>
          <w:p w14:paraId="478520BC" w14:textId="77777777" w:rsidR="00394471" w:rsidRPr="00FA0D37" w:rsidRDefault="00394471" w:rsidP="00964CC4">
            <w:pPr>
              <w:pStyle w:val="TAL"/>
              <w:tabs>
                <w:tab w:val="left" w:pos="11100"/>
              </w:tabs>
              <w:rPr>
                <w:b/>
                <w:i/>
                <w:lang w:eastAsia="en-GB"/>
              </w:rPr>
            </w:pPr>
            <w:r w:rsidRPr="00FA0D37">
              <w:rPr>
                <w:bCs/>
                <w:iCs/>
                <w:lang w:eastAsia="en-GB"/>
              </w:rPr>
              <w:t xml:space="preserve">Indicates the value of the MAX_CID_EHC_UL parameter as specified in TS 38.323 [5]. The total value of MAX_CID_EHC_UL across all bearers for the UE should be less than or equal to the value of </w:t>
            </w:r>
            <w:r w:rsidRPr="00FA0D37">
              <w:rPr>
                <w:bCs/>
                <w:i/>
                <w:lang w:eastAsia="en-GB"/>
              </w:rPr>
              <w:t xml:space="preserve">maxNumberEHC-Contexts </w:t>
            </w:r>
            <w:r w:rsidRPr="00FA0D37">
              <w:rPr>
                <w:bCs/>
                <w:iCs/>
                <w:lang w:eastAsia="en-GB"/>
              </w:rPr>
              <w:t>parameter as indicated by the UE.</w:t>
            </w:r>
          </w:p>
        </w:tc>
      </w:tr>
    </w:tbl>
    <w:p w14:paraId="082DE8B1" w14:textId="77777777" w:rsidR="00DA620C" w:rsidRPr="00FA0D37" w:rsidRDefault="00DA620C" w:rsidP="00DA620C">
      <w:pPr>
        <w:rPr>
          <w:lang w:eastAsia="zh-CN"/>
        </w:rPr>
      </w:pPr>
    </w:p>
    <w:tbl>
      <w:tblPr>
        <w:tblW w:w="14173" w:type="dxa"/>
        <w:tblLook w:val="04A0" w:firstRow="1" w:lastRow="0" w:firstColumn="1" w:lastColumn="0" w:noHBand="0" w:noVBand="1"/>
      </w:tblPr>
      <w:tblGrid>
        <w:gridCol w:w="14173"/>
      </w:tblGrid>
      <w:tr w:rsidR="005C7FF4" w:rsidRPr="00FA0D37"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FA0D37" w:rsidRDefault="00DA620C" w:rsidP="00771058">
            <w:pPr>
              <w:pStyle w:val="TAH"/>
              <w:rPr>
                <w:lang w:eastAsia="sv-SE"/>
              </w:rPr>
            </w:pPr>
            <w:r w:rsidRPr="00FA0D37">
              <w:rPr>
                <w:i/>
                <w:lang w:eastAsia="zh-CN"/>
              </w:rPr>
              <w:t>Uplink</w:t>
            </w:r>
            <w:r w:rsidRPr="00FA0D37">
              <w:rPr>
                <w:i/>
                <w:lang w:eastAsia="sv-SE"/>
              </w:rPr>
              <w:t>DataCompression field descriptions</w:t>
            </w:r>
          </w:p>
        </w:tc>
      </w:tr>
      <w:tr w:rsidR="005C7FF4" w:rsidRPr="00FA0D37"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FA0D37" w:rsidRDefault="00DA620C" w:rsidP="000830BB">
            <w:pPr>
              <w:pStyle w:val="TAL"/>
              <w:rPr>
                <w:b/>
                <w:bCs/>
                <w:i/>
                <w:iCs/>
                <w:noProof/>
                <w:lang w:eastAsia="en-GB"/>
              </w:rPr>
            </w:pPr>
            <w:r w:rsidRPr="00FA0D37">
              <w:rPr>
                <w:b/>
                <w:bCs/>
                <w:i/>
                <w:iCs/>
                <w:noProof/>
                <w:lang w:eastAsia="en-GB"/>
              </w:rPr>
              <w:t>bufferSize</w:t>
            </w:r>
          </w:p>
          <w:p w14:paraId="0CAF1B4B" w14:textId="77777777" w:rsidR="00DA620C" w:rsidRPr="00FA0D37" w:rsidRDefault="00DA620C" w:rsidP="00771058">
            <w:pPr>
              <w:pStyle w:val="TAL"/>
              <w:rPr>
                <w:rFonts w:cs="Arial"/>
                <w:b/>
                <w:i/>
                <w:szCs w:val="18"/>
                <w:lang w:eastAsia="sv-SE"/>
              </w:rPr>
            </w:pPr>
            <w:r w:rsidRPr="00FA0D37">
              <w:rPr>
                <w:rFonts w:cs="Arial"/>
                <w:noProof/>
                <w:szCs w:val="18"/>
                <w:lang w:eastAsia="zh-CN"/>
              </w:rPr>
              <w:t xml:space="preserve">This field indicates the buffer size applied for </w:t>
            </w:r>
            <w:r w:rsidRPr="00FA0D37">
              <w:rPr>
                <w:rFonts w:cs="Arial"/>
                <w:bCs/>
                <w:noProof/>
                <w:szCs w:val="18"/>
                <w:lang w:eastAsia="zh-CN"/>
              </w:rPr>
              <w:t xml:space="preserve">UDC as </w:t>
            </w:r>
            <w:r w:rsidRPr="00FA0D37">
              <w:rPr>
                <w:rFonts w:cs="Arial"/>
                <w:szCs w:val="18"/>
                <w:lang w:eastAsia="en-GB"/>
              </w:rPr>
              <w:t>specified in TS 3</w:t>
            </w:r>
            <w:r w:rsidRPr="00FA0D37">
              <w:rPr>
                <w:rFonts w:eastAsiaTheme="minorEastAsia" w:cs="Arial"/>
                <w:szCs w:val="18"/>
                <w:lang w:eastAsia="zh-CN"/>
              </w:rPr>
              <w:t>8</w:t>
            </w:r>
            <w:r w:rsidRPr="00FA0D37">
              <w:rPr>
                <w:rFonts w:cs="Arial"/>
                <w:szCs w:val="18"/>
                <w:lang w:eastAsia="en-GB"/>
              </w:rPr>
              <w:t>.323 [</w:t>
            </w:r>
            <w:r w:rsidRPr="00FA0D37">
              <w:rPr>
                <w:rFonts w:eastAsiaTheme="minorEastAsia" w:cs="Arial"/>
                <w:szCs w:val="18"/>
                <w:lang w:eastAsia="zh-CN"/>
              </w:rPr>
              <w:t>5</w:t>
            </w:r>
            <w:r w:rsidRPr="00FA0D37">
              <w:rPr>
                <w:rFonts w:cs="Arial"/>
                <w:szCs w:val="18"/>
                <w:lang w:eastAsia="en-GB"/>
              </w:rPr>
              <w:t>]</w:t>
            </w:r>
            <w:r w:rsidRPr="00FA0D37">
              <w:rPr>
                <w:rFonts w:cs="Arial"/>
                <w:noProof/>
                <w:szCs w:val="18"/>
                <w:lang w:eastAsia="zh-CN"/>
              </w:rPr>
              <w:t xml:space="preserve">. Value </w:t>
            </w:r>
            <w:r w:rsidRPr="00FA0D37">
              <w:rPr>
                <w:rFonts w:cs="Arial"/>
                <w:i/>
                <w:noProof/>
                <w:szCs w:val="18"/>
                <w:lang w:eastAsia="zh-CN"/>
              </w:rPr>
              <w:t>kbyte2</w:t>
            </w:r>
            <w:r w:rsidRPr="00FA0D37">
              <w:rPr>
                <w:rFonts w:cs="Arial"/>
                <w:noProof/>
                <w:szCs w:val="18"/>
                <w:lang w:eastAsia="zh-CN"/>
              </w:rPr>
              <w:t xml:space="preserve"> means 2048 bytes, </w:t>
            </w:r>
            <w:r w:rsidRPr="00FA0D37">
              <w:rPr>
                <w:rFonts w:cs="Arial"/>
                <w:i/>
                <w:noProof/>
                <w:szCs w:val="18"/>
                <w:lang w:eastAsia="zh-CN"/>
              </w:rPr>
              <w:t>kbyte4</w:t>
            </w:r>
            <w:r w:rsidRPr="00FA0D37">
              <w:rPr>
                <w:rFonts w:cs="Arial"/>
                <w:noProof/>
                <w:szCs w:val="18"/>
                <w:lang w:eastAsia="zh-CN"/>
              </w:rPr>
              <w:t xml:space="preserve"> means 4096 bytes and so on.</w:t>
            </w:r>
          </w:p>
        </w:tc>
      </w:tr>
      <w:tr w:rsidR="00F747EB" w:rsidRPr="00FA0D37"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FA0D37" w:rsidRDefault="00DA620C" w:rsidP="000830BB">
            <w:pPr>
              <w:pStyle w:val="TAL"/>
              <w:rPr>
                <w:b/>
                <w:bCs/>
                <w:i/>
                <w:iCs/>
                <w:noProof/>
                <w:lang w:eastAsia="zh-CN"/>
              </w:rPr>
            </w:pPr>
            <w:r w:rsidRPr="00FA0D37">
              <w:rPr>
                <w:b/>
                <w:bCs/>
                <w:i/>
                <w:iCs/>
                <w:noProof/>
                <w:lang w:eastAsia="zh-CN"/>
              </w:rPr>
              <w:t>dictionary</w:t>
            </w:r>
          </w:p>
          <w:p w14:paraId="39432FF5" w14:textId="77777777" w:rsidR="00DA620C" w:rsidRPr="00FA0D37" w:rsidRDefault="00DA620C" w:rsidP="00771058">
            <w:pPr>
              <w:pStyle w:val="TAL"/>
              <w:rPr>
                <w:rFonts w:cs="Arial"/>
                <w:b/>
                <w:i/>
                <w:szCs w:val="18"/>
                <w:lang w:eastAsia="sv-SE"/>
              </w:rPr>
            </w:pPr>
            <w:r w:rsidRPr="00FA0D37">
              <w:rPr>
                <w:rFonts w:cs="Arial"/>
                <w:bCs/>
                <w:noProof/>
                <w:szCs w:val="18"/>
                <w:lang w:eastAsia="zh-CN"/>
              </w:rPr>
              <w:t>This field i</w:t>
            </w:r>
            <w:r w:rsidRPr="00FA0D37">
              <w:rPr>
                <w:rFonts w:cs="Arial"/>
                <w:bCs/>
                <w:noProof/>
                <w:szCs w:val="18"/>
                <w:lang w:eastAsia="en-GB"/>
              </w:rPr>
              <w:t>ndicates wh</w:t>
            </w:r>
            <w:r w:rsidRPr="00FA0D37">
              <w:rPr>
                <w:rFonts w:cs="Arial"/>
                <w:bCs/>
                <w:noProof/>
                <w:szCs w:val="18"/>
                <w:lang w:eastAsia="zh-CN"/>
              </w:rPr>
              <w:t>ich</w:t>
            </w:r>
            <w:r w:rsidRPr="00FA0D37">
              <w:rPr>
                <w:rFonts w:cs="Arial"/>
                <w:bCs/>
                <w:noProof/>
                <w:szCs w:val="18"/>
                <w:lang w:eastAsia="en-GB"/>
              </w:rPr>
              <w:t xml:space="preserve"> pre-defined dictionary is used</w:t>
            </w:r>
            <w:r w:rsidRPr="00FA0D37">
              <w:rPr>
                <w:rFonts w:cs="Arial"/>
                <w:bCs/>
                <w:noProof/>
                <w:szCs w:val="18"/>
                <w:lang w:eastAsia="zh-CN"/>
              </w:rPr>
              <w:t xml:space="preserve"> </w:t>
            </w:r>
            <w:r w:rsidRPr="00FA0D37">
              <w:rPr>
                <w:rFonts w:cs="Arial"/>
                <w:bCs/>
                <w:noProof/>
                <w:szCs w:val="18"/>
                <w:lang w:eastAsia="en-GB"/>
              </w:rPr>
              <w:t xml:space="preserve">for UDC </w:t>
            </w:r>
            <w:r w:rsidRPr="00FA0D37">
              <w:rPr>
                <w:rFonts w:cs="Arial"/>
                <w:bCs/>
                <w:noProof/>
                <w:szCs w:val="18"/>
                <w:lang w:eastAsia="zh-CN"/>
              </w:rPr>
              <w:t xml:space="preserve">as </w:t>
            </w:r>
            <w:r w:rsidRPr="00FA0D37">
              <w:rPr>
                <w:rFonts w:cs="Arial"/>
                <w:bCs/>
                <w:noProof/>
                <w:szCs w:val="18"/>
                <w:lang w:eastAsia="en-GB"/>
              </w:rPr>
              <w:t>specified in TS 3</w:t>
            </w:r>
            <w:r w:rsidRPr="00FA0D37">
              <w:rPr>
                <w:rFonts w:eastAsiaTheme="minorEastAsia" w:cs="Arial"/>
                <w:bCs/>
                <w:noProof/>
                <w:szCs w:val="18"/>
                <w:lang w:eastAsia="zh-CN"/>
              </w:rPr>
              <w:t>8</w:t>
            </w:r>
            <w:r w:rsidRPr="00FA0D37">
              <w:rPr>
                <w:rFonts w:cs="Arial"/>
                <w:bCs/>
                <w:noProof/>
                <w:szCs w:val="18"/>
                <w:lang w:eastAsia="en-GB"/>
              </w:rPr>
              <w:t>.323 [</w:t>
            </w:r>
            <w:r w:rsidRPr="00FA0D37">
              <w:rPr>
                <w:rFonts w:eastAsiaTheme="minorEastAsia" w:cs="Arial"/>
                <w:bCs/>
                <w:noProof/>
                <w:szCs w:val="18"/>
                <w:lang w:eastAsia="zh-CN"/>
              </w:rPr>
              <w:t>5</w:t>
            </w:r>
            <w:r w:rsidRPr="00FA0D37">
              <w:rPr>
                <w:rFonts w:cs="Arial"/>
                <w:bCs/>
                <w:noProof/>
                <w:szCs w:val="18"/>
                <w:lang w:eastAsia="en-GB"/>
              </w:rPr>
              <w:t>].</w:t>
            </w:r>
            <w:r w:rsidRPr="00FA0D37">
              <w:rPr>
                <w:rFonts w:cs="Arial"/>
                <w:bCs/>
                <w:noProof/>
                <w:szCs w:val="18"/>
                <w:lang w:eastAsia="zh-CN"/>
              </w:rPr>
              <w:t xml:space="preserve"> The</w:t>
            </w:r>
            <w:r w:rsidRPr="00FA0D37">
              <w:rPr>
                <w:rFonts w:cs="Arial"/>
                <w:bCs/>
                <w:noProof/>
                <w:szCs w:val="18"/>
                <w:lang w:eastAsia="en-GB"/>
              </w:rPr>
              <w:t xml:space="preserve"> value </w:t>
            </w:r>
            <w:r w:rsidRPr="00FA0D37">
              <w:rPr>
                <w:rFonts w:cs="Arial"/>
                <w:bCs/>
                <w:i/>
                <w:noProof/>
                <w:szCs w:val="18"/>
                <w:lang w:eastAsia="zh-CN"/>
              </w:rPr>
              <w:t>sip-SDP</w:t>
            </w:r>
            <w:r w:rsidRPr="00FA0D37">
              <w:rPr>
                <w:rFonts w:cs="Arial"/>
                <w:bCs/>
                <w:noProof/>
                <w:szCs w:val="18"/>
                <w:lang w:eastAsia="en-GB"/>
              </w:rPr>
              <w:t xml:space="preserve"> means that UE shall prefill the buffer with standard dictionary</w:t>
            </w:r>
            <w:r w:rsidRPr="00FA0D37">
              <w:rPr>
                <w:rFonts w:cs="Arial"/>
                <w:bCs/>
                <w:noProof/>
                <w:szCs w:val="18"/>
                <w:lang w:eastAsia="zh-CN"/>
              </w:rPr>
              <w:t xml:space="preserve"> for SIP and SDP defined in TS 3</w:t>
            </w:r>
            <w:r w:rsidRPr="00FA0D37">
              <w:rPr>
                <w:rFonts w:eastAsiaTheme="minorEastAsia" w:cs="Arial"/>
                <w:bCs/>
                <w:noProof/>
                <w:szCs w:val="18"/>
                <w:lang w:eastAsia="zh-CN"/>
              </w:rPr>
              <w:t>8</w:t>
            </w:r>
            <w:r w:rsidRPr="00FA0D37">
              <w:rPr>
                <w:rFonts w:cs="Arial"/>
                <w:bCs/>
                <w:noProof/>
                <w:szCs w:val="18"/>
                <w:lang w:eastAsia="zh-CN"/>
              </w:rPr>
              <w:t xml:space="preserve">.323 </w:t>
            </w:r>
            <w:r w:rsidRPr="00FA0D37">
              <w:rPr>
                <w:rFonts w:cs="Arial"/>
                <w:bCs/>
                <w:noProof/>
                <w:szCs w:val="18"/>
                <w:lang w:eastAsia="en-GB"/>
              </w:rPr>
              <w:t>[</w:t>
            </w:r>
            <w:r w:rsidRPr="00FA0D37">
              <w:rPr>
                <w:rFonts w:eastAsiaTheme="minorEastAsia" w:cs="Arial"/>
                <w:bCs/>
                <w:noProof/>
                <w:szCs w:val="18"/>
                <w:lang w:eastAsia="zh-CN"/>
              </w:rPr>
              <w:t>5</w:t>
            </w:r>
            <w:r w:rsidRPr="00FA0D37">
              <w:rPr>
                <w:rFonts w:cs="Arial"/>
                <w:bCs/>
                <w:noProof/>
                <w:szCs w:val="18"/>
                <w:lang w:eastAsia="en-GB"/>
              </w:rPr>
              <w:t xml:space="preserve">], and </w:t>
            </w:r>
            <w:r w:rsidRPr="00FA0D37">
              <w:rPr>
                <w:rFonts w:cs="Arial"/>
                <w:bCs/>
                <w:noProof/>
                <w:szCs w:val="18"/>
                <w:lang w:eastAsia="zh-CN"/>
              </w:rPr>
              <w:t xml:space="preserve">the </w:t>
            </w:r>
            <w:r w:rsidRPr="00FA0D37">
              <w:rPr>
                <w:rFonts w:cs="Arial"/>
                <w:bCs/>
                <w:noProof/>
                <w:szCs w:val="18"/>
                <w:lang w:eastAsia="en-GB"/>
              </w:rPr>
              <w:t xml:space="preserve">value </w:t>
            </w:r>
            <w:r w:rsidRPr="00FA0D37">
              <w:rPr>
                <w:rFonts w:cs="Arial"/>
                <w:bCs/>
                <w:i/>
                <w:noProof/>
                <w:szCs w:val="18"/>
                <w:lang w:eastAsia="zh-CN"/>
              </w:rPr>
              <w:t>operator</w:t>
            </w:r>
            <w:r w:rsidRPr="00FA0D37">
              <w:rPr>
                <w:rFonts w:cs="Arial"/>
                <w:bCs/>
                <w:noProof/>
                <w:szCs w:val="18"/>
                <w:lang w:eastAsia="en-GB"/>
              </w:rPr>
              <w:t xml:space="preserve"> </w:t>
            </w:r>
            <w:r w:rsidRPr="00FA0D37">
              <w:rPr>
                <w:rFonts w:cs="Arial"/>
                <w:bCs/>
                <w:noProof/>
                <w:szCs w:val="18"/>
                <w:lang w:eastAsia="zh-CN"/>
              </w:rPr>
              <w:t>means</w:t>
            </w:r>
            <w:r w:rsidRPr="00FA0D37">
              <w:rPr>
                <w:rFonts w:cs="Arial"/>
                <w:bCs/>
                <w:noProof/>
                <w:szCs w:val="18"/>
                <w:lang w:eastAsia="en-GB"/>
              </w:rPr>
              <w:t xml:space="preserve"> that UE shall prefill the buffer with operator-defined dictionary.</w:t>
            </w:r>
          </w:p>
        </w:tc>
      </w:tr>
    </w:tbl>
    <w:p w14:paraId="60623A1E" w14:textId="77777777" w:rsidR="00394471" w:rsidRPr="00FA0D3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5C7FF4" w:rsidRPr="00FA0D37"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FA0D37" w:rsidRDefault="00394471" w:rsidP="00964CC4">
            <w:pPr>
              <w:pStyle w:val="TAH"/>
              <w:rPr>
                <w:lang w:eastAsia="sv-SE"/>
              </w:rPr>
            </w:pPr>
            <w:r w:rsidRPr="00FA0D37">
              <w:rPr>
                <w:lang w:eastAsia="sv-SE"/>
              </w:rPr>
              <w:lastRenderedPageBreak/>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FA0D37" w:rsidRDefault="00394471" w:rsidP="00964CC4">
            <w:pPr>
              <w:pStyle w:val="TAH"/>
              <w:rPr>
                <w:lang w:eastAsia="sv-SE"/>
              </w:rPr>
            </w:pPr>
            <w:r w:rsidRPr="00FA0D37">
              <w:rPr>
                <w:lang w:eastAsia="sv-SE"/>
              </w:rPr>
              <w:t>Explanation</w:t>
            </w:r>
          </w:p>
        </w:tc>
      </w:tr>
      <w:tr w:rsidR="005C7FF4" w:rsidRPr="00FA0D37"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FA0D37" w:rsidRDefault="00394471" w:rsidP="00964CC4">
            <w:pPr>
              <w:pStyle w:val="TAL"/>
              <w:rPr>
                <w:i/>
                <w:lang w:eastAsia="sv-SE"/>
              </w:rPr>
            </w:pPr>
            <w:r w:rsidRPr="00FA0D37">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FA0D37" w:rsidRDefault="00394471" w:rsidP="00964CC4">
            <w:pPr>
              <w:pStyle w:val="TAL"/>
              <w:rPr>
                <w:lang w:eastAsia="sv-SE"/>
              </w:rPr>
            </w:pPr>
            <w:r w:rsidRPr="00FA0D37">
              <w:rPr>
                <w:lang w:eastAsia="sv-SE"/>
              </w:rPr>
              <w:t>This field is mandatory present when the corresponding DRB</w:t>
            </w:r>
            <w:r w:rsidR="00CE6FBC" w:rsidRPr="00FA0D37">
              <w:rPr>
                <w:lang w:eastAsia="sv-SE"/>
              </w:rPr>
              <w:t>/multicast MRB</w:t>
            </w:r>
            <w:r w:rsidRPr="00FA0D37">
              <w:rPr>
                <w:lang w:eastAsia="sv-SE"/>
              </w:rPr>
              <w:t xml:space="preserve"> is being set up, absent for SRBs. Otherwise this field is optionally present, need M.</w:t>
            </w:r>
          </w:p>
        </w:tc>
      </w:tr>
      <w:tr w:rsidR="005C7FF4" w:rsidRPr="00FA0D37"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FA0D37" w:rsidRDefault="00394471" w:rsidP="00964CC4">
            <w:pPr>
              <w:pStyle w:val="TAL"/>
              <w:rPr>
                <w:i/>
                <w:lang w:eastAsia="sv-SE"/>
              </w:rPr>
            </w:pPr>
            <w:r w:rsidRPr="00FA0D37">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FA0D37" w:rsidRDefault="00394471" w:rsidP="00964CC4">
            <w:pPr>
              <w:pStyle w:val="TAL"/>
              <w:rPr>
                <w:lang w:eastAsia="sv-SE"/>
              </w:rPr>
            </w:pPr>
            <w:r w:rsidRPr="00FA0D37">
              <w:rPr>
                <w:lang w:eastAsia="zh-CN"/>
              </w:rPr>
              <w:t>This field is optionally present in case of DRB, need M. Otherwise, it is absent for SRBs</w:t>
            </w:r>
            <w:r w:rsidR="00CE6FBC" w:rsidRPr="00FA0D37">
              <w:rPr>
                <w:lang w:eastAsia="zh-CN"/>
              </w:rPr>
              <w:t xml:space="preserve"> and MRBs</w:t>
            </w:r>
            <w:r w:rsidRPr="00FA0D37">
              <w:rPr>
                <w:lang w:eastAsia="zh-CN"/>
              </w:rPr>
              <w:t>.</w:t>
            </w:r>
          </w:p>
        </w:tc>
      </w:tr>
      <w:tr w:rsidR="005C7FF4" w:rsidRPr="00FA0D37"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FA0D37" w:rsidRDefault="00263C95" w:rsidP="00771058">
            <w:pPr>
              <w:pStyle w:val="TAL"/>
              <w:rPr>
                <w:i/>
                <w:lang w:eastAsia="sv-SE"/>
              </w:rPr>
            </w:pPr>
            <w:r w:rsidRPr="00FA0D37">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FA0D37" w:rsidRDefault="00263C95" w:rsidP="00771058">
            <w:pPr>
              <w:pStyle w:val="TAL"/>
              <w:rPr>
                <w:lang w:eastAsia="sv-SE"/>
              </w:rPr>
            </w:pPr>
            <w:r w:rsidRPr="00FA0D37">
              <w:rPr>
                <w:lang w:eastAsia="sv-SE"/>
              </w:rPr>
              <w:t>For SRBs, this field is absent. For DRBs, this field is absent</w:t>
            </w:r>
            <w:r w:rsidR="000056EE" w:rsidRPr="00FA0D37">
              <w:rPr>
                <w:lang w:eastAsia="sv-SE"/>
              </w:rPr>
              <w:t xml:space="preserve"> if duplication is not configured</w:t>
            </w:r>
            <w:r w:rsidRPr="00FA0D37">
              <w:rPr>
                <w:lang w:eastAsia="sv-SE"/>
              </w:rPr>
              <w:t>. Otherwise, this field is optional, need R.</w:t>
            </w:r>
          </w:p>
        </w:tc>
      </w:tr>
      <w:tr w:rsidR="005C7FF4" w:rsidRPr="00FA0D37"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FA0D37" w:rsidRDefault="00394471" w:rsidP="00964CC4">
            <w:pPr>
              <w:pStyle w:val="TAL"/>
              <w:rPr>
                <w:i/>
                <w:lang w:eastAsia="sv-SE"/>
              </w:rPr>
            </w:pPr>
            <w:r w:rsidRPr="00FA0D37">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FA0D37" w:rsidRDefault="00394471" w:rsidP="00964CC4">
            <w:pPr>
              <w:pStyle w:val="TAL"/>
              <w:rPr>
                <w:lang w:eastAsia="sv-SE"/>
              </w:rPr>
            </w:pPr>
            <w:r w:rsidRPr="00FA0D37">
              <w:rPr>
                <w:lang w:eastAsia="sv-SE"/>
              </w:rPr>
              <w:t xml:space="preserve">This field is mandatory present upon RRC reconfiguration with setup of a PDCP entity for a radio bearer </w:t>
            </w:r>
            <w:r w:rsidR="00173E4B" w:rsidRPr="00FA0D37">
              <w:rPr>
                <w:lang w:eastAsia="sv-SE"/>
              </w:rPr>
              <w:t xml:space="preserve">(except for multicast MRB) </w:t>
            </w:r>
            <w:r w:rsidRPr="00FA0D37">
              <w:rPr>
                <w:lang w:eastAsia="sv-SE"/>
              </w:rPr>
              <w:t>with more than one associated logical channel and upon RRC reconfiguration with the association of additional logical channels to the PDCP entity.</w:t>
            </w:r>
          </w:p>
          <w:p w14:paraId="6E5F2A51" w14:textId="77777777" w:rsidR="00394471" w:rsidRPr="00FA0D37" w:rsidRDefault="00394471" w:rsidP="00964CC4">
            <w:pPr>
              <w:pStyle w:val="TAL"/>
              <w:rPr>
                <w:lang w:eastAsia="sv-SE"/>
              </w:rPr>
            </w:pPr>
            <w:r w:rsidRPr="00FA0D37">
              <w:rPr>
                <w:lang w:eastAsia="sv-SE"/>
              </w:rPr>
              <w:t xml:space="preserve">The field is also mandatory present in case the field </w:t>
            </w:r>
            <w:r w:rsidRPr="00FA0D37">
              <w:rPr>
                <w:i/>
                <w:lang w:eastAsia="sv-SE"/>
              </w:rPr>
              <w:t>moreThanTwoRLC</w:t>
            </w:r>
            <w:r w:rsidRPr="00FA0D37">
              <w:rPr>
                <w:i/>
              </w:rPr>
              <w:t>-DRB</w:t>
            </w:r>
            <w:r w:rsidRPr="00FA0D37">
              <w:rPr>
                <w:lang w:eastAsia="sv-SE"/>
              </w:rPr>
              <w:t xml:space="preserve"> is included in </w:t>
            </w:r>
            <w:r w:rsidRPr="00FA0D37">
              <w:rPr>
                <w:i/>
                <w:lang w:eastAsia="sv-SE"/>
              </w:rPr>
              <w:t>PDCP-Config</w:t>
            </w:r>
            <w:r w:rsidRPr="00FA0D37">
              <w:rPr>
                <w:lang w:eastAsia="sv-SE"/>
              </w:rPr>
              <w:t>.</w:t>
            </w:r>
          </w:p>
          <w:p w14:paraId="53E75824" w14:textId="77777777" w:rsidR="00394471" w:rsidRPr="00FA0D37" w:rsidRDefault="00394471" w:rsidP="00964CC4">
            <w:pPr>
              <w:pStyle w:val="TAL"/>
              <w:rPr>
                <w:lang w:eastAsia="sv-SE"/>
              </w:rPr>
            </w:pPr>
            <w:r w:rsidRPr="00FA0D37">
              <w:rPr>
                <w:lang w:eastAsia="sv-SE"/>
              </w:rPr>
              <w:t>Upon RRC reconfiguration when a PDCP entity is associated with multiple logical channels, this field is optionally present need M. Otherwise, this field is absent. Need R.</w:t>
            </w:r>
          </w:p>
        </w:tc>
      </w:tr>
      <w:tr w:rsidR="005C7FF4" w:rsidRPr="00FA0D37"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FA0D37" w:rsidRDefault="00394471" w:rsidP="00964CC4">
            <w:pPr>
              <w:pStyle w:val="TAL"/>
              <w:rPr>
                <w:i/>
                <w:lang w:eastAsia="sv-SE"/>
              </w:rPr>
            </w:pPr>
            <w:r w:rsidRPr="00FA0D37">
              <w:rPr>
                <w:i/>
                <w:lang w:eastAsia="sv-SE"/>
              </w:rPr>
              <w:t>MoreThanTwoRLC</w:t>
            </w:r>
            <w:r w:rsidRPr="00FA0D37">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FA0D37" w:rsidRDefault="00394471" w:rsidP="00964CC4">
            <w:pPr>
              <w:pStyle w:val="TAL"/>
            </w:pPr>
            <w:r w:rsidRPr="00FA0D37">
              <w:t>For SRBs, this field is absent.</w:t>
            </w:r>
          </w:p>
          <w:p w14:paraId="276CB006" w14:textId="4F708F49" w:rsidR="006A5241" w:rsidRPr="00FA0D37" w:rsidRDefault="00394471" w:rsidP="00964CC4">
            <w:pPr>
              <w:pStyle w:val="TAL"/>
              <w:rPr>
                <w:lang w:eastAsia="sv-SE"/>
              </w:rPr>
            </w:pPr>
            <w:r w:rsidRPr="00FA0D37">
              <w:t xml:space="preserve">For DRBs, this </w:t>
            </w:r>
            <w:r w:rsidRPr="00FA0D37">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FA0D37">
              <w:rPr>
                <w:lang w:eastAsia="sv-SE"/>
              </w:rPr>
              <w:t xml:space="preserve">one or </w:t>
            </w:r>
            <w:r w:rsidRPr="00FA0D37">
              <w:rPr>
                <w:lang w:eastAsia="sv-SE"/>
              </w:rPr>
              <w:t>more additional logical channel</w:t>
            </w:r>
            <w:r w:rsidR="006A5241" w:rsidRPr="00FA0D37">
              <w:rPr>
                <w:lang w:eastAsia="sv-SE"/>
              </w:rPr>
              <w:t>(s)</w:t>
            </w:r>
            <w:r w:rsidRPr="00FA0D37">
              <w:rPr>
                <w:lang w:eastAsia="sv-SE"/>
              </w:rPr>
              <w:t xml:space="preserve"> to the PDCP entity</w:t>
            </w:r>
            <w:r w:rsidR="006A5241" w:rsidRPr="00FA0D37">
              <w:rPr>
                <w:lang w:eastAsia="sv-SE"/>
              </w:rPr>
              <w:t xml:space="preserve"> so that the PDCP entity has more than two associated logical channels</w:t>
            </w:r>
            <w:r w:rsidRPr="00FA0D37">
              <w:rPr>
                <w:lang w:eastAsia="sv-SE"/>
              </w:rPr>
              <w:t>.</w:t>
            </w:r>
          </w:p>
          <w:p w14:paraId="30FCAFBE" w14:textId="5EA97EA7" w:rsidR="00394471" w:rsidRPr="00FA0D37" w:rsidRDefault="00394471" w:rsidP="00964CC4">
            <w:pPr>
              <w:pStyle w:val="TAL"/>
              <w:rPr>
                <w:lang w:eastAsia="sv-SE"/>
              </w:rPr>
            </w:pPr>
            <w:r w:rsidRPr="00FA0D37">
              <w:rPr>
                <w:lang w:eastAsia="sv-SE"/>
              </w:rPr>
              <w:t xml:space="preserve">Upon RRC reconfiguration when </w:t>
            </w:r>
            <w:r w:rsidRPr="00FA0D37">
              <w:t>a PDCP entity is associated with more than two logical channels</w:t>
            </w:r>
            <w:r w:rsidRPr="00FA0D37">
              <w:rPr>
                <w:lang w:eastAsia="sv-SE"/>
              </w:rPr>
              <w:t>, this field is optionally present, Need M. Otherwise, the field is absent, Need R.</w:t>
            </w:r>
          </w:p>
        </w:tc>
      </w:tr>
      <w:tr w:rsidR="005C7FF4" w:rsidRPr="00FA0D37"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FA0D37" w:rsidRDefault="00DA620C" w:rsidP="00DA620C">
            <w:pPr>
              <w:pStyle w:val="TAL"/>
              <w:rPr>
                <w:i/>
                <w:lang w:eastAsia="sv-SE"/>
              </w:rPr>
            </w:pPr>
            <w:r w:rsidRPr="00FA0D37">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FA0D37" w:rsidRDefault="00DA620C" w:rsidP="00DA620C">
            <w:pPr>
              <w:pStyle w:val="TAL"/>
            </w:pPr>
            <w:r w:rsidRPr="00FA0D37">
              <w:rPr>
                <w:lang w:eastAsia="zh-CN"/>
              </w:rPr>
              <w:t>For RLC AM, t</w:t>
            </w:r>
            <w:r w:rsidRPr="00FA0D37">
              <w:t xml:space="preserve">he field is optionally present, need </w:t>
            </w:r>
            <w:r w:rsidRPr="00FA0D37">
              <w:rPr>
                <w:lang w:eastAsia="zh-CN"/>
              </w:rPr>
              <w:t>M.</w:t>
            </w:r>
            <w:r w:rsidRPr="00FA0D37">
              <w:rPr>
                <w:lang w:eastAsia="sv-SE"/>
              </w:rPr>
              <w:t xml:space="preserve"> Otherwise, the field is absent</w:t>
            </w:r>
            <w:r w:rsidRPr="00FA0D37">
              <w:t>.</w:t>
            </w:r>
          </w:p>
        </w:tc>
      </w:tr>
      <w:tr w:rsidR="005C7FF4" w:rsidRPr="00FA0D37"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FA0D37" w:rsidRDefault="00394471" w:rsidP="00964CC4">
            <w:pPr>
              <w:pStyle w:val="TAL"/>
              <w:rPr>
                <w:i/>
                <w:lang w:eastAsia="sv-SE"/>
              </w:rPr>
            </w:pPr>
            <w:r w:rsidRPr="00FA0D37">
              <w:rPr>
                <w:i/>
                <w:lang w:eastAsia="sv-SE"/>
              </w:rPr>
              <w:t>Rlc-AM</w:t>
            </w:r>
            <w:r w:rsidRPr="00FA0D37">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FA0D37" w:rsidRDefault="00CE6FBC" w:rsidP="00964CC4">
            <w:pPr>
              <w:pStyle w:val="TAL"/>
              <w:rPr>
                <w:lang w:eastAsia="sv-SE"/>
              </w:rPr>
            </w:pPr>
            <w:r w:rsidRPr="00FA0D37">
              <w:rPr>
                <w:lang w:eastAsia="sv-SE"/>
              </w:rPr>
              <w:t>In case of DRB, for</w:t>
            </w:r>
            <w:r w:rsidR="00394471" w:rsidRPr="00FA0D37">
              <w:rPr>
                <w:lang w:eastAsia="sv-SE"/>
              </w:rPr>
              <w:t xml:space="preserve"> </w:t>
            </w:r>
            <w:r w:rsidR="00394471" w:rsidRPr="00FA0D37">
              <w:t xml:space="preserve">RLC UM (if the UE supports DAPS handover) or </w:t>
            </w:r>
            <w:r w:rsidR="00394471" w:rsidRPr="00FA0D37">
              <w:rPr>
                <w:lang w:eastAsia="sv-SE"/>
              </w:rPr>
              <w:t xml:space="preserve">RLC AM, the field is optionally present, need R. </w:t>
            </w:r>
            <w:r w:rsidRPr="00FA0D37">
              <w:rPr>
                <w:lang w:eastAsia="sv-SE"/>
              </w:rPr>
              <w:t xml:space="preserve">In case of multicast MRB, if multicast MRB is associated with at least one RLC AM entity, the field is optionally present, need R. </w:t>
            </w:r>
            <w:r w:rsidR="00394471" w:rsidRPr="00FA0D37">
              <w:rPr>
                <w:lang w:eastAsia="sv-SE"/>
              </w:rPr>
              <w:t>Otherwise, the field is absent.</w:t>
            </w:r>
          </w:p>
        </w:tc>
      </w:tr>
      <w:tr w:rsidR="005C7FF4" w:rsidRPr="00FA0D37"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FA0D37" w:rsidRDefault="00394471" w:rsidP="00964CC4">
            <w:pPr>
              <w:pStyle w:val="TAL"/>
              <w:rPr>
                <w:i/>
                <w:lang w:eastAsia="sv-SE"/>
              </w:rPr>
            </w:pPr>
            <w:r w:rsidRPr="00FA0D37">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FA0D37" w:rsidRDefault="00394471" w:rsidP="00964CC4">
            <w:pPr>
              <w:pStyle w:val="TAL"/>
              <w:rPr>
                <w:lang w:eastAsia="sv-SE"/>
              </w:rPr>
            </w:pPr>
            <w:r w:rsidRPr="00FA0D37">
              <w:rPr>
                <w:lang w:eastAsia="sv-SE"/>
              </w:rPr>
              <w:t xml:space="preserve">The field is mandatory present in case of </w:t>
            </w:r>
            <w:r w:rsidR="00CE6FBC" w:rsidRPr="00FA0D37">
              <w:rPr>
                <w:lang w:eastAsia="sv-SE"/>
              </w:rPr>
              <w:t>DRB</w:t>
            </w:r>
            <w:r w:rsidRPr="00FA0D37">
              <w:rPr>
                <w:lang w:eastAsia="sv-SE"/>
              </w:rPr>
              <w:t xml:space="preserve"> setup. Otherwise the field is optionally present, need M.</w:t>
            </w:r>
          </w:p>
        </w:tc>
      </w:tr>
      <w:tr w:rsidR="005C7FF4" w:rsidRPr="00FA0D37"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FA0D37" w:rsidRDefault="00394471" w:rsidP="00964CC4">
            <w:pPr>
              <w:pStyle w:val="TAL"/>
              <w:rPr>
                <w:i/>
                <w:lang w:eastAsia="sv-SE"/>
              </w:rPr>
            </w:pPr>
            <w:r w:rsidRPr="00FA0D37">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FA0D37" w:rsidRDefault="00394471" w:rsidP="00964CC4">
            <w:pPr>
              <w:pStyle w:val="TAL"/>
              <w:rPr>
                <w:lang w:eastAsia="sv-SE"/>
              </w:rPr>
            </w:pPr>
            <w:r w:rsidRPr="00FA0D37">
              <w:rPr>
                <w:lang w:eastAsia="en-GB"/>
              </w:rPr>
              <w:t xml:space="preserve">The field is absent for SRBs. Otherwise, the field is optional present, need M, in case of radio bearer with </w:t>
            </w:r>
            <w:r w:rsidRPr="00FA0D37">
              <w:rPr>
                <w:lang w:eastAsia="sv-SE"/>
              </w:rPr>
              <w:t>more than one associated RLC mapped to different cell groups.</w:t>
            </w:r>
          </w:p>
        </w:tc>
      </w:tr>
      <w:tr w:rsidR="005C7FF4" w:rsidRPr="00FA0D37"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FA0D37" w:rsidRDefault="00394471" w:rsidP="00964CC4">
            <w:pPr>
              <w:pStyle w:val="TAL"/>
              <w:rPr>
                <w:i/>
                <w:lang w:eastAsia="sv-SE"/>
              </w:rPr>
            </w:pPr>
            <w:r w:rsidRPr="00FA0D37">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FA0D37" w:rsidRDefault="00394471" w:rsidP="00964CC4">
            <w:pPr>
              <w:pStyle w:val="TAL"/>
              <w:rPr>
                <w:lang w:eastAsia="en-GB"/>
              </w:rPr>
            </w:pPr>
            <w:r w:rsidRPr="00FA0D37">
              <w:rPr>
                <w:lang w:eastAsia="en-GB"/>
              </w:rPr>
              <w:t>The field is mandatory present, in case of a split bearer. Otherwise the field is absent.</w:t>
            </w:r>
          </w:p>
        </w:tc>
      </w:tr>
      <w:tr w:rsidR="005C7FF4" w:rsidRPr="00FA0D37"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394471" w:rsidRPr="00FA0D37" w:rsidRDefault="00394471" w:rsidP="00964CC4">
            <w:pPr>
              <w:pStyle w:val="TAL"/>
              <w:rPr>
                <w:i/>
                <w:lang w:eastAsia="sv-SE"/>
              </w:rPr>
            </w:pPr>
            <w:r w:rsidRPr="00FA0D37">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394471" w:rsidRPr="00FA0D37" w:rsidRDefault="00394471" w:rsidP="00964CC4">
            <w:pPr>
              <w:pStyle w:val="TAL"/>
              <w:rPr>
                <w:lang w:eastAsia="en-GB"/>
              </w:rPr>
            </w:pPr>
            <w:r w:rsidRPr="00FA0D37">
              <w:rPr>
                <w:lang w:eastAsia="en-GB"/>
              </w:rPr>
              <w:t>The field is optionally present, need R, if the UE is connected to 5GC. Otherwise the field is absent.</w:t>
            </w:r>
          </w:p>
        </w:tc>
      </w:tr>
      <w:tr w:rsidR="005C7FF4" w:rsidRPr="00FA0D37"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394471" w:rsidRPr="00FA0D37" w:rsidRDefault="00394471" w:rsidP="00964CC4">
            <w:pPr>
              <w:pStyle w:val="TAL"/>
              <w:rPr>
                <w:i/>
                <w:lang w:eastAsia="sv-SE"/>
              </w:rPr>
            </w:pPr>
            <w:r w:rsidRPr="00FA0D37">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394471" w:rsidRPr="00FA0D37" w:rsidRDefault="00394471" w:rsidP="00964CC4">
            <w:pPr>
              <w:pStyle w:val="TAL"/>
              <w:rPr>
                <w:lang w:eastAsia="en-GB"/>
              </w:rPr>
            </w:pPr>
            <w:r w:rsidRPr="00FA0D37">
              <w:rPr>
                <w:lang w:eastAsia="en-GB"/>
              </w:rPr>
              <w:t>The field is optionally present, need R, if the UE is connected to NR/5GC</w:t>
            </w:r>
            <w:r w:rsidR="007D1660" w:rsidRPr="00FA0D37">
              <w:rPr>
                <w:rFonts w:cs="Arial"/>
                <w:lang w:eastAsia="en-GB"/>
              </w:rPr>
              <w:t xml:space="preserve"> or if the UE supports user plane integrity protection when connected to E-UTRA/EPC (as specified in TS 33.401 [30])</w:t>
            </w:r>
            <w:r w:rsidRPr="00FA0D37">
              <w:rPr>
                <w:lang w:eastAsia="en-GB"/>
              </w:rPr>
              <w:t>. Otherwise the field is absent.</w:t>
            </w:r>
          </w:p>
        </w:tc>
      </w:tr>
      <w:tr w:rsidR="005C7FF4" w:rsidRPr="00FA0D37"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CE6FBC" w:rsidRPr="00FA0D37" w:rsidRDefault="00CE6FBC" w:rsidP="00771058">
            <w:pPr>
              <w:pStyle w:val="TAL"/>
              <w:rPr>
                <w:i/>
                <w:lang w:eastAsia="sv-SE"/>
              </w:rPr>
            </w:pPr>
            <w:r w:rsidRPr="00FA0D37">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CE6FBC" w:rsidRPr="00FA0D37" w:rsidRDefault="00CE6FBC" w:rsidP="00771058">
            <w:pPr>
              <w:pStyle w:val="TAL"/>
              <w:rPr>
                <w:lang w:eastAsia="en-GB"/>
              </w:rPr>
            </w:pPr>
            <w:r w:rsidRPr="00FA0D37">
              <w:rPr>
                <w:lang w:eastAsia="sv-SE"/>
              </w:rPr>
              <w:t xml:space="preserve">This field is mandatory present in </w:t>
            </w:r>
            <w:r w:rsidRPr="00FA0D37">
              <w:rPr>
                <w:lang w:eastAsia="en-GB"/>
              </w:rPr>
              <w:t>case</w:t>
            </w:r>
            <w:r w:rsidRPr="00FA0D37">
              <w:rPr>
                <w:lang w:eastAsia="sv-SE"/>
              </w:rPr>
              <w:t xml:space="preserve"> of DRB setup for RLC-AM and RLC-UM. Otherwise, this field is absent, Need M.</w:t>
            </w:r>
          </w:p>
        </w:tc>
      </w:tr>
      <w:tr w:rsidR="005C7FF4" w:rsidRPr="00FA0D37"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394471" w:rsidRPr="00FA0D37" w:rsidRDefault="00394471" w:rsidP="00964CC4">
            <w:pPr>
              <w:pStyle w:val="TAL"/>
              <w:rPr>
                <w:i/>
                <w:lang w:eastAsia="sv-SE"/>
              </w:rPr>
            </w:pPr>
            <w:r w:rsidRPr="00FA0D37">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394471" w:rsidRPr="00FA0D37" w:rsidRDefault="00394471" w:rsidP="00964CC4">
            <w:pPr>
              <w:pStyle w:val="TAL"/>
              <w:rPr>
                <w:lang w:eastAsia="en-GB"/>
              </w:rPr>
            </w:pPr>
            <w:r w:rsidRPr="00FA0D37">
              <w:rPr>
                <w:lang w:eastAsia="sv-SE"/>
              </w:rPr>
              <w:t>This field is mandatory present in case for radio bearer setup for RLC-AM and RLC-UM. Otherwise, this field is absent, Need M.</w:t>
            </w:r>
          </w:p>
        </w:tc>
      </w:tr>
      <w:tr w:rsidR="000830BB" w:rsidRPr="00FA0D37"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CE6FBC" w:rsidRPr="00FA0D37" w:rsidRDefault="00CE6FBC" w:rsidP="00771058">
            <w:pPr>
              <w:pStyle w:val="TAL"/>
              <w:rPr>
                <w:i/>
                <w:lang w:eastAsia="sv-SE"/>
              </w:rPr>
            </w:pPr>
            <w:r w:rsidRPr="00FA0D37">
              <w:rPr>
                <w:i/>
                <w:lang w:eastAsia="sv-SE"/>
              </w:rPr>
              <w:t>MRB</w:t>
            </w:r>
            <w:r w:rsidR="0052681B" w:rsidRPr="00FA0D37">
              <w:rPr>
                <w:i/>
                <w:lang w:eastAsia="sv-SE"/>
              </w:rPr>
              <w:t>-</w:t>
            </w:r>
            <w:r w:rsidR="00FD05B6" w:rsidRPr="00FA0D37">
              <w:rPr>
                <w:i/>
                <w:lang w:eastAsia="sv-SE"/>
              </w:rPr>
              <w:t>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644822B2" w:rsidR="00CE6FBC" w:rsidRPr="00FA0D37" w:rsidRDefault="00CE6FBC" w:rsidP="00771058">
            <w:pPr>
              <w:pStyle w:val="TAL"/>
              <w:rPr>
                <w:lang w:eastAsia="sv-SE"/>
              </w:rPr>
            </w:pPr>
            <w:r w:rsidRPr="00FA0D37">
              <w:rPr>
                <w:lang w:eastAsia="sv-SE"/>
              </w:rPr>
              <w:t xml:space="preserve">This field is mandatory present in case of multicast MRB setup. </w:t>
            </w:r>
            <w:r w:rsidR="002A4990" w:rsidRPr="00FA0D37">
              <w:rPr>
                <w:lang w:eastAsia="sv-SE"/>
              </w:rPr>
              <w:t xml:space="preserve">In case of PDCP re-establishment for multicast MRB, this field is optionally present, Need N. </w:t>
            </w:r>
            <w:r w:rsidRPr="00FA0D37">
              <w:rPr>
                <w:lang w:eastAsia="sv-SE"/>
              </w:rPr>
              <w:t>Otherwise, this field is absent, Need N.</w:t>
            </w:r>
          </w:p>
        </w:tc>
      </w:tr>
    </w:tbl>
    <w:p w14:paraId="15DE9598" w14:textId="77777777" w:rsidR="00394471" w:rsidRPr="00FA0D37" w:rsidRDefault="00394471" w:rsidP="00394471"/>
    <w:p w14:paraId="171DACB5" w14:textId="77777777" w:rsidR="00394471" w:rsidRPr="00FA0D37" w:rsidRDefault="00394471" w:rsidP="00394471">
      <w:pPr>
        <w:pStyle w:val="4"/>
      </w:pPr>
      <w:bookmarkStart w:id="1216" w:name="_Toc60777301"/>
      <w:bookmarkStart w:id="1217" w:name="_Toc146781380"/>
      <w:r w:rsidRPr="00FA0D37">
        <w:t>–</w:t>
      </w:r>
      <w:r w:rsidRPr="00FA0D37">
        <w:tab/>
      </w:r>
      <w:r w:rsidRPr="00FA0D37">
        <w:rPr>
          <w:i/>
        </w:rPr>
        <w:t>PDSCH-Config</w:t>
      </w:r>
      <w:bookmarkEnd w:id="1216"/>
      <w:bookmarkEnd w:id="1217"/>
    </w:p>
    <w:p w14:paraId="68774FFA" w14:textId="3C2010AF" w:rsidR="00394471" w:rsidRPr="00FA0D37" w:rsidRDefault="00394471" w:rsidP="00394471">
      <w:r w:rsidRPr="00FA0D37">
        <w:t xml:space="preserve">The </w:t>
      </w:r>
      <w:r w:rsidRPr="00FA0D37">
        <w:rPr>
          <w:i/>
        </w:rPr>
        <w:t xml:space="preserve">PDSCH-Config </w:t>
      </w:r>
      <w:r w:rsidRPr="00FA0D37">
        <w:t>IE is used to configure the UE specific PDSCH parameters.</w:t>
      </w:r>
      <w:r w:rsidR="00263C95" w:rsidRPr="00FA0D37">
        <w:t xml:space="preserve"> If this IE is used for MBS CFR, the following fields shall be absent:</w:t>
      </w:r>
      <w:r w:rsidR="00263C95" w:rsidRPr="00FA0D37">
        <w:rPr>
          <w:rFonts w:eastAsia="等线"/>
          <w:lang w:eastAsia="zh-CN"/>
        </w:rPr>
        <w:t xml:space="preserve"> </w:t>
      </w:r>
      <w:r w:rsidR="004D1E3D" w:rsidRPr="00FA0D37">
        <w:rPr>
          <w:i/>
          <w:lang w:eastAsia="zh-CN"/>
        </w:rPr>
        <w:t>tci-StatesToAddModList</w:t>
      </w:r>
      <w:r w:rsidR="004D1E3D" w:rsidRPr="00FA0D37">
        <w:rPr>
          <w:iCs/>
        </w:rPr>
        <w:t>,</w:t>
      </w:r>
      <w:r w:rsidR="004D1E3D" w:rsidRPr="00FA0D37">
        <w:rPr>
          <w:iCs/>
          <w:lang w:eastAsia="zh-CN"/>
        </w:rPr>
        <w:t xml:space="preserve"> </w:t>
      </w:r>
      <w:r w:rsidR="004D1E3D" w:rsidRPr="00FA0D37">
        <w:rPr>
          <w:i/>
          <w:lang w:eastAsia="zh-CN"/>
        </w:rPr>
        <w:t>tci-StatesToReleaseList</w:t>
      </w:r>
      <w:r w:rsidR="004D1E3D" w:rsidRPr="00FA0D37">
        <w:t>,</w:t>
      </w:r>
      <w:r w:rsidR="004D1E3D" w:rsidRPr="00FA0D37">
        <w:rPr>
          <w:rFonts w:eastAsia="等线"/>
          <w:lang w:eastAsia="zh-CN"/>
        </w:rPr>
        <w:t xml:space="preserve"> </w:t>
      </w:r>
      <w:r w:rsidR="004D1E3D" w:rsidRPr="00FA0D37">
        <w:rPr>
          <w:i/>
          <w:iCs/>
        </w:rPr>
        <w:t>zp-CSI-RS-ResourceToAddModList</w:t>
      </w:r>
      <w:r w:rsidR="004D1E3D" w:rsidRPr="00FA0D37">
        <w:t xml:space="preserve">, </w:t>
      </w:r>
      <w:r w:rsidR="00263C95" w:rsidRPr="00FA0D37">
        <w:rPr>
          <w:i/>
          <w:iCs/>
        </w:rPr>
        <w:t>minimumSchedulingOffsetK0</w:t>
      </w:r>
      <w:r w:rsidR="00263C95" w:rsidRPr="00FA0D37">
        <w:t xml:space="preserve">, </w:t>
      </w:r>
      <w:r w:rsidR="00263C95" w:rsidRPr="00FA0D37">
        <w:rPr>
          <w:i/>
          <w:iCs/>
        </w:rPr>
        <w:t>antennaPortsFieldPresenceDCI-1-2</w:t>
      </w:r>
      <w:r w:rsidR="00263C95" w:rsidRPr="00FA0D37">
        <w:t xml:space="preserve">, </w:t>
      </w:r>
      <w:r w:rsidR="00263C95" w:rsidRPr="00FA0D37">
        <w:rPr>
          <w:i/>
          <w:iCs/>
        </w:rPr>
        <w:t>aperiodicZP-CSI-RS-ResourceSetsToAddModListDCI-1-2</w:t>
      </w:r>
      <w:r w:rsidR="00263C95" w:rsidRPr="00FA0D37">
        <w:t xml:space="preserve">, </w:t>
      </w:r>
      <w:r w:rsidR="00263C95" w:rsidRPr="00FA0D37">
        <w:rPr>
          <w:i/>
          <w:iCs/>
        </w:rPr>
        <w:t>aperiodicZP-CSI-RS-ResourceSetsToReleaseListDCI-1-2</w:t>
      </w:r>
      <w:r w:rsidR="00263C95" w:rsidRPr="00FA0D37">
        <w:t xml:space="preserve">, </w:t>
      </w:r>
      <w:r w:rsidR="00263C95" w:rsidRPr="00FA0D37">
        <w:rPr>
          <w:i/>
          <w:iCs/>
        </w:rPr>
        <w:t>dmrs-DownlinkForPDSCH-MappingTypeA-DCI-1-2</w:t>
      </w:r>
      <w:r w:rsidR="00263C95" w:rsidRPr="00FA0D37">
        <w:t xml:space="preserve">, </w:t>
      </w:r>
      <w:r w:rsidR="00263C95" w:rsidRPr="00FA0D37">
        <w:rPr>
          <w:i/>
          <w:iCs/>
        </w:rPr>
        <w:t>dmrs-DownlinkForPDSCH-MappingTypeB-DCI-1-2</w:t>
      </w:r>
      <w:r w:rsidR="00263C95" w:rsidRPr="00FA0D37">
        <w:t xml:space="preserve">, </w:t>
      </w:r>
      <w:r w:rsidR="00263C95" w:rsidRPr="00FA0D37">
        <w:rPr>
          <w:i/>
          <w:iCs/>
        </w:rPr>
        <w:t>dmrs-SequenceInitializationDCI-1-2</w:t>
      </w:r>
      <w:r w:rsidR="00263C95" w:rsidRPr="00FA0D37">
        <w:t xml:space="preserve">, </w:t>
      </w:r>
      <w:r w:rsidR="00263C95" w:rsidRPr="00FA0D37">
        <w:rPr>
          <w:i/>
          <w:iCs/>
        </w:rPr>
        <w:t>harq-ProcessNumberSizeDCI-1-2</w:t>
      </w:r>
      <w:r w:rsidR="00263C95" w:rsidRPr="00FA0D37">
        <w:t xml:space="preserve">, </w:t>
      </w:r>
      <w:r w:rsidR="00263C95" w:rsidRPr="00FA0D37">
        <w:rPr>
          <w:i/>
          <w:iCs/>
        </w:rPr>
        <w:t>mcs-TableDCI-1-2</w:t>
      </w:r>
      <w:r w:rsidR="00263C95" w:rsidRPr="00FA0D37">
        <w:t xml:space="preserve">, </w:t>
      </w:r>
      <w:r w:rsidR="00263C95" w:rsidRPr="00FA0D37">
        <w:rPr>
          <w:i/>
          <w:iCs/>
        </w:rPr>
        <w:t>numberOfBitsForRV-DCI-1-2</w:t>
      </w:r>
      <w:r w:rsidR="00263C95" w:rsidRPr="00FA0D37">
        <w:t xml:space="preserve">, </w:t>
      </w:r>
      <w:r w:rsidR="00263C95" w:rsidRPr="00FA0D37">
        <w:rPr>
          <w:i/>
          <w:iCs/>
        </w:rPr>
        <w:t>pdsch-AggregationFactor</w:t>
      </w:r>
      <w:r w:rsidR="00263C95" w:rsidRPr="00FA0D37">
        <w:t xml:space="preserve">, </w:t>
      </w:r>
      <w:r w:rsidR="00263C95" w:rsidRPr="00FA0D37">
        <w:rPr>
          <w:i/>
          <w:iCs/>
        </w:rPr>
        <w:t>pdsch-TimeDomainAllocationListDCI-1-2</w:t>
      </w:r>
      <w:r w:rsidR="00263C95" w:rsidRPr="00FA0D37">
        <w:t xml:space="preserve">, </w:t>
      </w:r>
      <w:r w:rsidR="00263C95" w:rsidRPr="00FA0D37">
        <w:rPr>
          <w:i/>
          <w:iCs/>
        </w:rPr>
        <w:t>prb-BundlingTypeDCI-1-2</w:t>
      </w:r>
      <w:r w:rsidR="00263C95" w:rsidRPr="00FA0D37">
        <w:t xml:space="preserve">, </w:t>
      </w:r>
      <w:r w:rsidR="00263C95" w:rsidRPr="00FA0D37">
        <w:rPr>
          <w:i/>
          <w:iCs/>
        </w:rPr>
        <w:t>priorityIndicatorDCI-1-2</w:t>
      </w:r>
      <w:r w:rsidR="00263C95" w:rsidRPr="00FA0D37">
        <w:t xml:space="preserve">, </w:t>
      </w:r>
      <w:r w:rsidR="00263C95" w:rsidRPr="00FA0D37">
        <w:rPr>
          <w:i/>
          <w:iCs/>
        </w:rPr>
        <w:t>rateMatchPatternGroup1DCI-1-2</w:t>
      </w:r>
      <w:r w:rsidR="00263C95" w:rsidRPr="00FA0D37">
        <w:t xml:space="preserve">, </w:t>
      </w:r>
      <w:r w:rsidR="00263C95" w:rsidRPr="00FA0D37">
        <w:rPr>
          <w:i/>
          <w:iCs/>
        </w:rPr>
        <w:t>rateMatchPatternGroup2DCI-1-2</w:t>
      </w:r>
      <w:r w:rsidR="00263C95" w:rsidRPr="00FA0D37">
        <w:t xml:space="preserve">, </w:t>
      </w:r>
      <w:r w:rsidR="00263C95" w:rsidRPr="00FA0D37">
        <w:rPr>
          <w:i/>
          <w:iCs/>
        </w:rPr>
        <w:t>resourceAllocationType1GranularityDCI-1-2</w:t>
      </w:r>
      <w:r w:rsidR="00263C95" w:rsidRPr="00FA0D37">
        <w:t xml:space="preserve">, </w:t>
      </w:r>
      <w:r w:rsidR="00263C95" w:rsidRPr="00FA0D37">
        <w:rPr>
          <w:i/>
          <w:iCs/>
        </w:rPr>
        <w:t>vrb-ToPRB-InterleaverDCI-1-2</w:t>
      </w:r>
      <w:r w:rsidR="00263C95" w:rsidRPr="00FA0D37">
        <w:t xml:space="preserve">, </w:t>
      </w:r>
      <w:r w:rsidR="00263C95" w:rsidRPr="00FA0D37">
        <w:rPr>
          <w:i/>
          <w:iCs/>
        </w:rPr>
        <w:t>referenceOfSLIVDCI-1-2</w:t>
      </w:r>
      <w:r w:rsidR="00263C95" w:rsidRPr="00FA0D37">
        <w:t xml:space="preserve">, </w:t>
      </w:r>
      <w:r w:rsidR="00263C95" w:rsidRPr="00FA0D37">
        <w:rPr>
          <w:i/>
          <w:iCs/>
        </w:rPr>
        <w:t>resourceAllocationDCI-1-2</w:t>
      </w:r>
      <w:r w:rsidR="00263C95" w:rsidRPr="00FA0D37">
        <w:t xml:space="preserve">, </w:t>
      </w:r>
      <w:r w:rsidR="00263C95" w:rsidRPr="00FA0D37">
        <w:rPr>
          <w:i/>
          <w:iCs/>
        </w:rPr>
        <w:t>dataScramblingIdentityPDSCH2-r16</w:t>
      </w:r>
      <w:r w:rsidR="00263C95" w:rsidRPr="00FA0D37">
        <w:t xml:space="preserve">, </w:t>
      </w:r>
      <w:r w:rsidR="00263C95" w:rsidRPr="00FA0D37">
        <w:rPr>
          <w:i/>
          <w:iCs/>
        </w:rPr>
        <w:t>repetitionSchemeConfig</w:t>
      </w:r>
      <w:r w:rsidR="00263C95" w:rsidRPr="00FA0D37">
        <w:t>.</w:t>
      </w:r>
    </w:p>
    <w:p w14:paraId="44441AD0" w14:textId="77777777" w:rsidR="00394471" w:rsidRPr="00FA0D37" w:rsidRDefault="00394471" w:rsidP="00394471">
      <w:pPr>
        <w:pStyle w:val="TH"/>
      </w:pPr>
      <w:r w:rsidRPr="00FA0D37">
        <w:rPr>
          <w:bCs/>
          <w:i/>
          <w:iCs/>
        </w:rPr>
        <w:lastRenderedPageBreak/>
        <w:t xml:space="preserve">PDSCH-Config </w:t>
      </w:r>
      <w:r w:rsidRPr="00FA0D37">
        <w:t>information element</w:t>
      </w:r>
    </w:p>
    <w:p w14:paraId="03C5741C" w14:textId="77777777" w:rsidR="00394471" w:rsidRPr="00FA0D37" w:rsidRDefault="00394471" w:rsidP="00FA0D37">
      <w:pPr>
        <w:pStyle w:val="PL"/>
        <w:rPr>
          <w:color w:val="808080"/>
        </w:rPr>
      </w:pPr>
      <w:r w:rsidRPr="00FA0D37">
        <w:rPr>
          <w:color w:val="808080"/>
        </w:rPr>
        <w:t>-- ASN1START</w:t>
      </w:r>
    </w:p>
    <w:p w14:paraId="490401C8" w14:textId="77777777" w:rsidR="00394471" w:rsidRPr="00FA0D37" w:rsidRDefault="00394471" w:rsidP="00FA0D37">
      <w:pPr>
        <w:pStyle w:val="PL"/>
        <w:rPr>
          <w:color w:val="808080"/>
        </w:rPr>
      </w:pPr>
      <w:r w:rsidRPr="00FA0D37">
        <w:rPr>
          <w:color w:val="808080"/>
        </w:rPr>
        <w:t>-- TAG-PDSCH-CONFIG-START</w:t>
      </w:r>
    </w:p>
    <w:p w14:paraId="39C5248E" w14:textId="77777777" w:rsidR="00394471" w:rsidRPr="00FA0D37" w:rsidRDefault="00394471" w:rsidP="00FA0D37">
      <w:pPr>
        <w:pStyle w:val="PL"/>
      </w:pPr>
    </w:p>
    <w:p w14:paraId="5B183FB0" w14:textId="77777777" w:rsidR="00394471" w:rsidRPr="00FA0D37" w:rsidRDefault="00394471" w:rsidP="00FA0D37">
      <w:pPr>
        <w:pStyle w:val="PL"/>
      </w:pPr>
      <w:r w:rsidRPr="00FA0D37">
        <w:t xml:space="preserve">PDSCH-Config ::=                        </w:t>
      </w:r>
      <w:r w:rsidRPr="00FA0D37">
        <w:rPr>
          <w:color w:val="993366"/>
        </w:rPr>
        <w:t>SEQUENCE</w:t>
      </w:r>
      <w:r w:rsidRPr="00FA0D37">
        <w:t xml:space="preserve"> {</w:t>
      </w:r>
    </w:p>
    <w:p w14:paraId="4C50368D" w14:textId="77777777" w:rsidR="00394471" w:rsidRPr="00FA0D37" w:rsidRDefault="00394471" w:rsidP="00FA0D37">
      <w:pPr>
        <w:pStyle w:val="PL"/>
        <w:rPr>
          <w:color w:val="808080"/>
        </w:rPr>
      </w:pPr>
      <w:r w:rsidRPr="00FA0D37">
        <w:t xml:space="preserve">    dataScramblingIdentityPDSCH             </w:t>
      </w:r>
      <w:r w:rsidRPr="00FA0D37">
        <w:rPr>
          <w:color w:val="993366"/>
        </w:rPr>
        <w:t>INTEGER</w:t>
      </w:r>
      <w:r w:rsidRPr="00FA0D37">
        <w:t xml:space="preserve"> (0..1023)                                                   </w:t>
      </w:r>
      <w:r w:rsidRPr="00FA0D37">
        <w:rPr>
          <w:color w:val="993366"/>
        </w:rPr>
        <w:t>OPTIONAL</w:t>
      </w:r>
      <w:r w:rsidRPr="00FA0D37">
        <w:t xml:space="preserve">,   </w:t>
      </w:r>
      <w:r w:rsidRPr="00FA0D37">
        <w:rPr>
          <w:color w:val="808080"/>
        </w:rPr>
        <w:t>-- Need S</w:t>
      </w:r>
    </w:p>
    <w:p w14:paraId="3C49A37A" w14:textId="77777777" w:rsidR="00394471" w:rsidRPr="00FA0D37" w:rsidRDefault="00394471" w:rsidP="00FA0D37">
      <w:pPr>
        <w:pStyle w:val="PL"/>
        <w:rPr>
          <w:color w:val="808080"/>
        </w:rPr>
      </w:pPr>
      <w:r w:rsidRPr="00FA0D37">
        <w:t xml:space="preserve">    dmrs-DownlinkForPDSCH-MappingTypeA      SetupRelease { DMRS-DownlinkConfig }                                </w:t>
      </w:r>
      <w:r w:rsidRPr="00FA0D37">
        <w:rPr>
          <w:color w:val="993366"/>
        </w:rPr>
        <w:t>OPTIONAL</w:t>
      </w:r>
      <w:r w:rsidRPr="00FA0D37">
        <w:t xml:space="preserve">,   </w:t>
      </w:r>
      <w:r w:rsidRPr="00FA0D37">
        <w:rPr>
          <w:color w:val="808080"/>
        </w:rPr>
        <w:t>-- Need M</w:t>
      </w:r>
    </w:p>
    <w:p w14:paraId="70115A81" w14:textId="77777777" w:rsidR="00394471" w:rsidRPr="00FA0D37" w:rsidRDefault="00394471" w:rsidP="00FA0D37">
      <w:pPr>
        <w:pStyle w:val="PL"/>
        <w:rPr>
          <w:color w:val="808080"/>
        </w:rPr>
      </w:pPr>
      <w:r w:rsidRPr="00FA0D37">
        <w:t xml:space="preserve">    dmrs-DownlinkForPDSCH-MappingTypeB      SetupRelease { DMRS-DownlinkConfig }                                </w:t>
      </w:r>
      <w:r w:rsidRPr="00FA0D37">
        <w:rPr>
          <w:color w:val="993366"/>
        </w:rPr>
        <w:t>OPTIONAL</w:t>
      </w:r>
      <w:r w:rsidRPr="00FA0D37">
        <w:t xml:space="preserve">,   </w:t>
      </w:r>
      <w:r w:rsidRPr="00FA0D37">
        <w:rPr>
          <w:color w:val="808080"/>
        </w:rPr>
        <w:t>-- Need M</w:t>
      </w:r>
    </w:p>
    <w:p w14:paraId="64CA093D" w14:textId="77777777" w:rsidR="00394471" w:rsidRPr="00FA0D37" w:rsidRDefault="00394471" w:rsidP="00FA0D37">
      <w:pPr>
        <w:pStyle w:val="PL"/>
      </w:pPr>
    </w:p>
    <w:p w14:paraId="35D14519" w14:textId="77777777" w:rsidR="00394471" w:rsidRPr="00FA0D37" w:rsidRDefault="00394471" w:rsidP="00FA0D37">
      <w:pPr>
        <w:pStyle w:val="PL"/>
        <w:rPr>
          <w:color w:val="808080"/>
        </w:rPr>
      </w:pPr>
      <w:r w:rsidRPr="00FA0D37">
        <w:t xml:space="preserve">    tci-StatesToAddModList                  </w:t>
      </w:r>
      <w:r w:rsidRPr="00FA0D37">
        <w:rPr>
          <w:color w:val="993366"/>
        </w:rPr>
        <w:t>SEQUENCE</w:t>
      </w:r>
      <w:r w:rsidRPr="00FA0D37">
        <w:t xml:space="preserve"> (</w:t>
      </w:r>
      <w:r w:rsidRPr="00FA0D37">
        <w:rPr>
          <w:color w:val="993366"/>
        </w:rPr>
        <w:t>SIZE</w:t>
      </w:r>
      <w:r w:rsidRPr="00FA0D37">
        <w:t>(1..maxNrofTCI-States))</w:t>
      </w:r>
      <w:r w:rsidRPr="00FA0D37">
        <w:rPr>
          <w:color w:val="993366"/>
        </w:rPr>
        <w:t xml:space="preserve"> OF</w:t>
      </w:r>
      <w:r w:rsidRPr="00FA0D37">
        <w:t xml:space="preserve"> TCI-State                  </w:t>
      </w:r>
      <w:r w:rsidRPr="00FA0D37">
        <w:rPr>
          <w:color w:val="993366"/>
        </w:rPr>
        <w:t>OPTIONAL</w:t>
      </w:r>
      <w:r w:rsidRPr="00FA0D37">
        <w:t xml:space="preserve">,   </w:t>
      </w:r>
      <w:r w:rsidRPr="00FA0D37">
        <w:rPr>
          <w:color w:val="808080"/>
        </w:rPr>
        <w:t>-- Need N</w:t>
      </w:r>
    </w:p>
    <w:p w14:paraId="3854A50D" w14:textId="77777777" w:rsidR="00394471" w:rsidRPr="00FA0D37" w:rsidRDefault="00394471" w:rsidP="00FA0D37">
      <w:pPr>
        <w:pStyle w:val="PL"/>
        <w:rPr>
          <w:color w:val="808080"/>
        </w:rPr>
      </w:pPr>
      <w:r w:rsidRPr="00FA0D37">
        <w:t xml:space="preserve">    tci-StatesToReleaseList                 </w:t>
      </w:r>
      <w:r w:rsidRPr="00FA0D37">
        <w:rPr>
          <w:color w:val="993366"/>
        </w:rPr>
        <w:t>SEQUENCE</w:t>
      </w:r>
      <w:r w:rsidRPr="00FA0D37">
        <w:t xml:space="preserve"> (</w:t>
      </w:r>
      <w:r w:rsidRPr="00FA0D37">
        <w:rPr>
          <w:color w:val="993366"/>
        </w:rPr>
        <w:t>SIZE</w:t>
      </w:r>
      <w:r w:rsidRPr="00FA0D37">
        <w:t>(1..maxNrofTCI-States))</w:t>
      </w:r>
      <w:r w:rsidRPr="00FA0D37">
        <w:rPr>
          <w:color w:val="993366"/>
        </w:rPr>
        <w:t xml:space="preserve"> OF</w:t>
      </w:r>
      <w:r w:rsidRPr="00FA0D37">
        <w:t xml:space="preserve"> TCI-StateId                </w:t>
      </w:r>
      <w:r w:rsidRPr="00FA0D37">
        <w:rPr>
          <w:color w:val="993366"/>
        </w:rPr>
        <w:t>OPTIONAL</w:t>
      </w:r>
      <w:r w:rsidRPr="00FA0D37">
        <w:t xml:space="preserve">,   </w:t>
      </w:r>
      <w:r w:rsidRPr="00FA0D37">
        <w:rPr>
          <w:color w:val="808080"/>
        </w:rPr>
        <w:t>-- Need N</w:t>
      </w:r>
    </w:p>
    <w:p w14:paraId="224CBCD1" w14:textId="77777777" w:rsidR="00394471" w:rsidRPr="00FA0D37" w:rsidRDefault="00394471" w:rsidP="00FA0D37">
      <w:pPr>
        <w:pStyle w:val="PL"/>
        <w:rPr>
          <w:color w:val="808080"/>
        </w:rPr>
      </w:pPr>
      <w:r w:rsidRPr="00FA0D37">
        <w:t xml:space="preserve">    vrb-ToPRB-Interleaver                   </w:t>
      </w:r>
      <w:r w:rsidRPr="00FA0D37">
        <w:rPr>
          <w:color w:val="993366"/>
        </w:rPr>
        <w:t>ENUMERATED</w:t>
      </w:r>
      <w:r w:rsidRPr="00FA0D37">
        <w:t xml:space="preserve"> {n2, n4}                                                 </w:t>
      </w:r>
      <w:r w:rsidRPr="00FA0D37">
        <w:rPr>
          <w:color w:val="993366"/>
        </w:rPr>
        <w:t>OPTIONAL</w:t>
      </w:r>
      <w:r w:rsidRPr="00FA0D37">
        <w:t xml:space="preserve">,   </w:t>
      </w:r>
      <w:r w:rsidRPr="00FA0D37">
        <w:rPr>
          <w:color w:val="808080"/>
        </w:rPr>
        <w:t>-- Need S</w:t>
      </w:r>
    </w:p>
    <w:p w14:paraId="74F45046" w14:textId="77777777" w:rsidR="00394471" w:rsidRPr="00FA0D37" w:rsidRDefault="00394471" w:rsidP="00FA0D37">
      <w:pPr>
        <w:pStyle w:val="PL"/>
      </w:pPr>
      <w:r w:rsidRPr="00FA0D37">
        <w:t xml:space="preserve">    resourceAllocation                      </w:t>
      </w:r>
      <w:r w:rsidRPr="00FA0D37">
        <w:rPr>
          <w:color w:val="993366"/>
        </w:rPr>
        <w:t>ENUMERATED</w:t>
      </w:r>
      <w:r w:rsidRPr="00FA0D37">
        <w:t xml:space="preserve"> { resourceAllocationType0, resourceAllocationType1, dynamicSwitch},</w:t>
      </w:r>
    </w:p>
    <w:p w14:paraId="5BB89007" w14:textId="77777777" w:rsidR="00394471" w:rsidRPr="00FA0D37" w:rsidRDefault="00394471" w:rsidP="00FA0D37">
      <w:pPr>
        <w:pStyle w:val="PL"/>
        <w:rPr>
          <w:color w:val="808080"/>
        </w:rPr>
      </w:pPr>
      <w:r w:rsidRPr="00FA0D37">
        <w:t xml:space="preserve">    pdsch-TimeDomainAllocationList          SetupRelease { PDSCH-TimeDomainResourceAllocationList }             </w:t>
      </w:r>
      <w:r w:rsidRPr="00FA0D37">
        <w:rPr>
          <w:color w:val="993366"/>
        </w:rPr>
        <w:t>OPTIONAL</w:t>
      </w:r>
      <w:r w:rsidRPr="00FA0D37">
        <w:t xml:space="preserve">,   </w:t>
      </w:r>
      <w:r w:rsidRPr="00FA0D37">
        <w:rPr>
          <w:color w:val="808080"/>
        </w:rPr>
        <w:t>-- Need M</w:t>
      </w:r>
    </w:p>
    <w:p w14:paraId="527A4D76" w14:textId="77777777" w:rsidR="00394471" w:rsidRPr="00FA0D37" w:rsidRDefault="00394471" w:rsidP="00FA0D37">
      <w:pPr>
        <w:pStyle w:val="PL"/>
        <w:rPr>
          <w:color w:val="808080"/>
        </w:rPr>
      </w:pPr>
      <w:r w:rsidRPr="00FA0D37">
        <w:t xml:space="preserve">    pdsch-AggregationFactor                 </w:t>
      </w:r>
      <w:r w:rsidRPr="00FA0D37">
        <w:rPr>
          <w:color w:val="993366"/>
        </w:rPr>
        <w:t>ENUMERATED</w:t>
      </w:r>
      <w:r w:rsidRPr="00FA0D37">
        <w:t xml:space="preserve"> { n2, n4, n8 }                                           </w:t>
      </w:r>
      <w:r w:rsidRPr="00FA0D37">
        <w:rPr>
          <w:color w:val="993366"/>
        </w:rPr>
        <w:t>OPTIONAL</w:t>
      </w:r>
      <w:r w:rsidRPr="00FA0D37">
        <w:t xml:space="preserve">,   </w:t>
      </w:r>
      <w:r w:rsidRPr="00FA0D37">
        <w:rPr>
          <w:color w:val="808080"/>
        </w:rPr>
        <w:t>-- Need S</w:t>
      </w:r>
    </w:p>
    <w:p w14:paraId="38FA7771" w14:textId="77777777" w:rsidR="00394471" w:rsidRPr="00FA0D37" w:rsidRDefault="00394471" w:rsidP="00FA0D37">
      <w:pPr>
        <w:pStyle w:val="PL"/>
        <w:rPr>
          <w:color w:val="808080"/>
        </w:rPr>
      </w:pPr>
      <w:r w:rsidRPr="00FA0D37">
        <w:t xml:space="preserve">    rateMatchPatternToAddModList            </w:t>
      </w:r>
      <w:r w:rsidRPr="00FA0D37">
        <w:rPr>
          <w:color w:val="993366"/>
        </w:rPr>
        <w:t>SEQUENCE</w:t>
      </w:r>
      <w:r w:rsidRPr="00FA0D37">
        <w:t xml:space="preserve"> (</w:t>
      </w:r>
      <w:r w:rsidRPr="00FA0D37">
        <w:rPr>
          <w:color w:val="993366"/>
        </w:rPr>
        <w:t>SIZE</w:t>
      </w:r>
      <w:r w:rsidRPr="00FA0D37">
        <w:t xml:space="preserve"> (1..maxNrofRateMatchPatterns))</w:t>
      </w:r>
      <w:r w:rsidRPr="00FA0D37">
        <w:rPr>
          <w:color w:val="993366"/>
        </w:rPr>
        <w:t xml:space="preserve"> OF</w:t>
      </w:r>
      <w:r w:rsidRPr="00FA0D37">
        <w:t xml:space="preserve"> RateMatchPattern   </w:t>
      </w:r>
      <w:r w:rsidRPr="00FA0D37">
        <w:rPr>
          <w:color w:val="993366"/>
        </w:rPr>
        <w:t>OPTIONAL</w:t>
      </w:r>
      <w:r w:rsidRPr="00FA0D37">
        <w:t xml:space="preserve">,   </w:t>
      </w:r>
      <w:r w:rsidRPr="00FA0D37">
        <w:rPr>
          <w:color w:val="808080"/>
        </w:rPr>
        <w:t>-- Need N</w:t>
      </w:r>
    </w:p>
    <w:p w14:paraId="7BC50024" w14:textId="77777777" w:rsidR="00394471" w:rsidRPr="00FA0D37" w:rsidRDefault="00394471" w:rsidP="00FA0D37">
      <w:pPr>
        <w:pStyle w:val="PL"/>
        <w:rPr>
          <w:color w:val="808080"/>
        </w:rPr>
      </w:pPr>
      <w:r w:rsidRPr="00FA0D37">
        <w:t xml:space="preserve">    rateMatchPatternToReleaseList           </w:t>
      </w:r>
      <w:r w:rsidRPr="00FA0D37">
        <w:rPr>
          <w:color w:val="993366"/>
        </w:rPr>
        <w:t>SEQUENCE</w:t>
      </w:r>
      <w:r w:rsidRPr="00FA0D37">
        <w:t xml:space="preserve"> (</w:t>
      </w:r>
      <w:r w:rsidRPr="00FA0D37">
        <w:rPr>
          <w:color w:val="993366"/>
        </w:rPr>
        <w:t>SIZE</w:t>
      </w:r>
      <w:r w:rsidRPr="00FA0D37">
        <w:t xml:space="preserve"> (1..maxNrofRateMatchPatterns))</w:t>
      </w:r>
      <w:r w:rsidRPr="00FA0D37">
        <w:rPr>
          <w:color w:val="993366"/>
        </w:rPr>
        <w:t xml:space="preserve"> OF</w:t>
      </w:r>
      <w:r w:rsidRPr="00FA0D37">
        <w:t xml:space="preserve"> RateMatchPatternId </w:t>
      </w:r>
      <w:r w:rsidRPr="00FA0D37">
        <w:rPr>
          <w:color w:val="993366"/>
        </w:rPr>
        <w:t>OPTIONAL</w:t>
      </w:r>
      <w:r w:rsidRPr="00FA0D37">
        <w:t xml:space="preserve">,   </w:t>
      </w:r>
      <w:r w:rsidRPr="00FA0D37">
        <w:rPr>
          <w:color w:val="808080"/>
        </w:rPr>
        <w:t>-- Need N</w:t>
      </w:r>
    </w:p>
    <w:p w14:paraId="4FA359F7" w14:textId="77777777" w:rsidR="00394471" w:rsidRPr="00FA0D37" w:rsidRDefault="00394471" w:rsidP="00FA0D37">
      <w:pPr>
        <w:pStyle w:val="PL"/>
        <w:rPr>
          <w:color w:val="808080"/>
        </w:rPr>
      </w:pPr>
      <w:r w:rsidRPr="00FA0D37">
        <w:t xml:space="preserve">    rateMatchPatternGroup1                  RateMatchPatternGroup                                               </w:t>
      </w:r>
      <w:r w:rsidRPr="00FA0D37">
        <w:rPr>
          <w:color w:val="993366"/>
        </w:rPr>
        <w:t>OPTIONAL</w:t>
      </w:r>
      <w:r w:rsidRPr="00FA0D37">
        <w:t xml:space="preserve">,   </w:t>
      </w:r>
      <w:r w:rsidRPr="00FA0D37">
        <w:rPr>
          <w:color w:val="808080"/>
        </w:rPr>
        <w:t>-- Need R</w:t>
      </w:r>
    </w:p>
    <w:p w14:paraId="48BF405B" w14:textId="77777777" w:rsidR="00394471" w:rsidRPr="00FA0D37" w:rsidRDefault="00394471" w:rsidP="00FA0D37">
      <w:pPr>
        <w:pStyle w:val="PL"/>
        <w:rPr>
          <w:color w:val="808080"/>
        </w:rPr>
      </w:pPr>
      <w:r w:rsidRPr="00FA0D37">
        <w:t xml:space="preserve">    rateMatchPatternGroup2                  RateMatchPatternGroup                                               </w:t>
      </w:r>
      <w:r w:rsidRPr="00FA0D37">
        <w:rPr>
          <w:color w:val="993366"/>
        </w:rPr>
        <w:t>OPTIONAL</w:t>
      </w:r>
      <w:r w:rsidRPr="00FA0D37">
        <w:t xml:space="preserve">,   </w:t>
      </w:r>
      <w:r w:rsidRPr="00FA0D37">
        <w:rPr>
          <w:color w:val="808080"/>
        </w:rPr>
        <w:t>-- Need R</w:t>
      </w:r>
    </w:p>
    <w:p w14:paraId="6C14C4EA" w14:textId="77777777" w:rsidR="00394471" w:rsidRPr="00FA0D37" w:rsidRDefault="00394471" w:rsidP="00FA0D37">
      <w:pPr>
        <w:pStyle w:val="PL"/>
      </w:pPr>
    </w:p>
    <w:p w14:paraId="73D32763" w14:textId="77777777" w:rsidR="00394471" w:rsidRPr="00FA0D37" w:rsidRDefault="00394471" w:rsidP="00FA0D37">
      <w:pPr>
        <w:pStyle w:val="PL"/>
      </w:pPr>
      <w:r w:rsidRPr="00FA0D37">
        <w:t xml:space="preserve">    rbg-Size                                </w:t>
      </w:r>
      <w:r w:rsidRPr="00FA0D37">
        <w:rPr>
          <w:color w:val="993366"/>
        </w:rPr>
        <w:t>ENUMERATED</w:t>
      </w:r>
      <w:r w:rsidRPr="00FA0D37">
        <w:t xml:space="preserve"> {config1, config2},</w:t>
      </w:r>
    </w:p>
    <w:p w14:paraId="069AEDD7" w14:textId="77777777" w:rsidR="00394471" w:rsidRPr="00FA0D37" w:rsidRDefault="00394471" w:rsidP="00FA0D37">
      <w:pPr>
        <w:pStyle w:val="PL"/>
        <w:rPr>
          <w:color w:val="808080"/>
        </w:rPr>
      </w:pPr>
      <w:r w:rsidRPr="00FA0D37">
        <w:t xml:space="preserve">    mcs-Table                               </w:t>
      </w:r>
      <w:r w:rsidRPr="00FA0D37">
        <w:rPr>
          <w:color w:val="993366"/>
        </w:rPr>
        <w:t>ENUMERATED</w:t>
      </w:r>
      <w:r w:rsidRPr="00FA0D37">
        <w:t xml:space="preserve"> {qam256, qam64LowSE}                                     </w:t>
      </w:r>
      <w:r w:rsidRPr="00FA0D37">
        <w:rPr>
          <w:color w:val="993366"/>
        </w:rPr>
        <w:t>OPTIONAL</w:t>
      </w:r>
      <w:r w:rsidRPr="00FA0D37">
        <w:t xml:space="preserve">,   </w:t>
      </w:r>
      <w:r w:rsidRPr="00FA0D37">
        <w:rPr>
          <w:color w:val="808080"/>
        </w:rPr>
        <w:t>-- Need S</w:t>
      </w:r>
    </w:p>
    <w:p w14:paraId="00A301BD" w14:textId="77777777" w:rsidR="00394471" w:rsidRPr="00FA0D37" w:rsidRDefault="00394471" w:rsidP="00FA0D37">
      <w:pPr>
        <w:pStyle w:val="PL"/>
        <w:rPr>
          <w:color w:val="808080"/>
        </w:rPr>
      </w:pPr>
      <w:r w:rsidRPr="00FA0D37">
        <w:t xml:space="preserve">    maxNrofCodeWordsScheduledByDCI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08865EB8" w14:textId="77777777" w:rsidR="00394471" w:rsidRPr="00FA0D37" w:rsidRDefault="00394471" w:rsidP="00FA0D37">
      <w:pPr>
        <w:pStyle w:val="PL"/>
      </w:pPr>
    </w:p>
    <w:p w14:paraId="25EC6F05" w14:textId="77777777" w:rsidR="00394471" w:rsidRPr="00FA0D37" w:rsidRDefault="00394471" w:rsidP="00FA0D37">
      <w:pPr>
        <w:pStyle w:val="PL"/>
      </w:pPr>
      <w:r w:rsidRPr="00FA0D37">
        <w:t xml:space="preserve">    prb-BundlingType                        </w:t>
      </w:r>
      <w:r w:rsidRPr="00FA0D37">
        <w:rPr>
          <w:color w:val="993366"/>
        </w:rPr>
        <w:t>CHOICE</w:t>
      </w:r>
      <w:r w:rsidRPr="00FA0D37">
        <w:t xml:space="preserve"> {</w:t>
      </w:r>
    </w:p>
    <w:p w14:paraId="7A6BDE4E" w14:textId="77777777" w:rsidR="00394471" w:rsidRPr="00FA0D37" w:rsidRDefault="00394471" w:rsidP="00FA0D37">
      <w:pPr>
        <w:pStyle w:val="PL"/>
      </w:pPr>
      <w:r w:rsidRPr="00FA0D37">
        <w:t xml:space="preserve">        staticBundling                          </w:t>
      </w:r>
      <w:r w:rsidRPr="00FA0D37">
        <w:rPr>
          <w:color w:val="993366"/>
        </w:rPr>
        <w:t>SEQUENCE</w:t>
      </w:r>
      <w:r w:rsidRPr="00FA0D37">
        <w:t xml:space="preserve"> {</w:t>
      </w:r>
    </w:p>
    <w:p w14:paraId="173C4379" w14:textId="77777777" w:rsidR="00394471" w:rsidRPr="00FA0D37" w:rsidRDefault="00394471" w:rsidP="00FA0D37">
      <w:pPr>
        <w:pStyle w:val="PL"/>
        <w:rPr>
          <w:color w:val="808080"/>
        </w:rPr>
      </w:pPr>
      <w:r w:rsidRPr="00FA0D37">
        <w:t xml:space="preserve">            bundleSize                              </w:t>
      </w:r>
      <w:r w:rsidRPr="00FA0D37">
        <w:rPr>
          <w:color w:val="993366"/>
        </w:rPr>
        <w:t>ENUMERATED</w:t>
      </w:r>
      <w:r w:rsidRPr="00FA0D37">
        <w:t xml:space="preserve"> { n4, wideband }                                 </w:t>
      </w:r>
      <w:r w:rsidRPr="00FA0D37">
        <w:rPr>
          <w:color w:val="993366"/>
        </w:rPr>
        <w:t>OPTIONAL</w:t>
      </w:r>
      <w:r w:rsidRPr="00FA0D37">
        <w:t xml:space="preserve">    </w:t>
      </w:r>
      <w:r w:rsidRPr="00FA0D37">
        <w:rPr>
          <w:color w:val="808080"/>
        </w:rPr>
        <w:t>-- Need S</w:t>
      </w:r>
    </w:p>
    <w:p w14:paraId="7DF52ED4" w14:textId="77777777" w:rsidR="00394471" w:rsidRPr="00FA0D37" w:rsidRDefault="00394471" w:rsidP="00FA0D37">
      <w:pPr>
        <w:pStyle w:val="PL"/>
      </w:pPr>
      <w:r w:rsidRPr="00FA0D37">
        <w:t xml:space="preserve">        },</w:t>
      </w:r>
    </w:p>
    <w:p w14:paraId="42126BDC" w14:textId="77777777" w:rsidR="00394471" w:rsidRPr="00FA0D37" w:rsidRDefault="00394471" w:rsidP="00FA0D37">
      <w:pPr>
        <w:pStyle w:val="PL"/>
      </w:pPr>
      <w:r w:rsidRPr="00FA0D37">
        <w:t xml:space="preserve">        dynamicBundling                     </w:t>
      </w:r>
      <w:r w:rsidRPr="00FA0D37">
        <w:rPr>
          <w:color w:val="993366"/>
        </w:rPr>
        <w:t>SEQUENCE</w:t>
      </w:r>
      <w:r w:rsidRPr="00FA0D37">
        <w:t xml:space="preserve"> {</w:t>
      </w:r>
    </w:p>
    <w:p w14:paraId="57C09FAD" w14:textId="77777777" w:rsidR="00394471" w:rsidRPr="00FA0D37" w:rsidRDefault="00394471" w:rsidP="00FA0D37">
      <w:pPr>
        <w:pStyle w:val="PL"/>
        <w:rPr>
          <w:color w:val="808080"/>
        </w:rPr>
      </w:pPr>
      <w:r w:rsidRPr="00FA0D37">
        <w:t xml:space="preserve">            bundleSizeSet1                      </w:t>
      </w:r>
      <w:r w:rsidRPr="00FA0D37">
        <w:rPr>
          <w:color w:val="993366"/>
        </w:rPr>
        <w:t>ENUMERATED</w:t>
      </w:r>
      <w:r w:rsidRPr="00FA0D37">
        <w:t xml:space="preserve"> { n4, wideband, n2-wideband, n4-wideband }           </w:t>
      </w:r>
      <w:r w:rsidRPr="00FA0D37">
        <w:rPr>
          <w:color w:val="993366"/>
        </w:rPr>
        <w:t>OPTIONAL</w:t>
      </w:r>
      <w:r w:rsidRPr="00FA0D37">
        <w:t xml:space="preserve">,   </w:t>
      </w:r>
      <w:r w:rsidRPr="00FA0D37">
        <w:rPr>
          <w:color w:val="808080"/>
        </w:rPr>
        <w:t>-- Need S</w:t>
      </w:r>
    </w:p>
    <w:p w14:paraId="13BA9800" w14:textId="77777777" w:rsidR="00394471" w:rsidRPr="00FA0D37" w:rsidRDefault="00394471" w:rsidP="00FA0D37">
      <w:pPr>
        <w:pStyle w:val="PL"/>
        <w:rPr>
          <w:color w:val="808080"/>
        </w:rPr>
      </w:pPr>
      <w:r w:rsidRPr="00FA0D37">
        <w:t xml:space="preserve">            bundleSizeSet2                      </w:t>
      </w:r>
      <w:r w:rsidRPr="00FA0D37">
        <w:rPr>
          <w:color w:val="993366"/>
        </w:rPr>
        <w:t>ENUMERATED</w:t>
      </w:r>
      <w:r w:rsidRPr="00FA0D37">
        <w:t xml:space="preserve"> { n4, wideband }                                     </w:t>
      </w:r>
      <w:r w:rsidRPr="00FA0D37">
        <w:rPr>
          <w:color w:val="993366"/>
        </w:rPr>
        <w:t>OPTIONAL</w:t>
      </w:r>
      <w:r w:rsidRPr="00FA0D37">
        <w:t xml:space="preserve">    </w:t>
      </w:r>
      <w:r w:rsidRPr="00FA0D37">
        <w:rPr>
          <w:color w:val="808080"/>
        </w:rPr>
        <w:t>-- Need S</w:t>
      </w:r>
    </w:p>
    <w:p w14:paraId="7865FDE8" w14:textId="77777777" w:rsidR="00394471" w:rsidRPr="00FA0D37" w:rsidRDefault="00394471" w:rsidP="00FA0D37">
      <w:pPr>
        <w:pStyle w:val="PL"/>
      </w:pPr>
      <w:r w:rsidRPr="00FA0D37">
        <w:t xml:space="preserve">        }</w:t>
      </w:r>
    </w:p>
    <w:p w14:paraId="7BCA992D" w14:textId="77777777" w:rsidR="00394471" w:rsidRPr="00FA0D37" w:rsidRDefault="00394471" w:rsidP="00FA0D37">
      <w:pPr>
        <w:pStyle w:val="PL"/>
      </w:pPr>
      <w:r w:rsidRPr="00FA0D37">
        <w:t xml:space="preserve">    },</w:t>
      </w:r>
    </w:p>
    <w:p w14:paraId="266342C5" w14:textId="77777777" w:rsidR="00394471" w:rsidRPr="00FA0D37" w:rsidRDefault="00394471" w:rsidP="00FA0D37">
      <w:pPr>
        <w:pStyle w:val="PL"/>
      </w:pPr>
      <w:r w:rsidRPr="00FA0D37">
        <w:t xml:space="preserve">    zp-CSI-RS-ResourceToAddModList                  </w:t>
      </w:r>
      <w:r w:rsidRPr="00FA0D37">
        <w:rPr>
          <w:color w:val="993366"/>
        </w:rPr>
        <w:t>SEQUENCE</w:t>
      </w:r>
      <w:r w:rsidRPr="00FA0D37">
        <w:t xml:space="preserve"> (</w:t>
      </w:r>
      <w:r w:rsidRPr="00FA0D37">
        <w:rPr>
          <w:color w:val="993366"/>
        </w:rPr>
        <w:t>SIZE</w:t>
      </w:r>
      <w:r w:rsidRPr="00FA0D37">
        <w:t xml:space="preserve"> (1..maxNrofZP-CSI-RS-Resources))</w:t>
      </w:r>
      <w:r w:rsidRPr="00FA0D37">
        <w:rPr>
          <w:color w:val="993366"/>
        </w:rPr>
        <w:t xml:space="preserve"> OF</w:t>
      </w:r>
      <w:r w:rsidRPr="00FA0D37">
        <w:t xml:space="preserve"> ZP-CSI-RS-Resource</w:t>
      </w:r>
    </w:p>
    <w:p w14:paraId="490536F0"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681977F1" w14:textId="77777777" w:rsidR="00394471" w:rsidRPr="00FA0D37" w:rsidRDefault="00394471" w:rsidP="00FA0D37">
      <w:pPr>
        <w:pStyle w:val="PL"/>
      </w:pPr>
      <w:r w:rsidRPr="00FA0D37">
        <w:t xml:space="preserve">    zp-CSI-RS-ResourceToReleaseList                 </w:t>
      </w:r>
      <w:r w:rsidRPr="00FA0D37">
        <w:rPr>
          <w:color w:val="993366"/>
        </w:rPr>
        <w:t>SEQUENCE</w:t>
      </w:r>
      <w:r w:rsidRPr="00FA0D37">
        <w:t xml:space="preserve"> (</w:t>
      </w:r>
      <w:r w:rsidRPr="00FA0D37">
        <w:rPr>
          <w:color w:val="993366"/>
        </w:rPr>
        <w:t>SIZE</w:t>
      </w:r>
      <w:r w:rsidRPr="00FA0D37">
        <w:t xml:space="preserve"> (1..maxNrofZP-CSI-RS-Resources))</w:t>
      </w:r>
      <w:r w:rsidRPr="00FA0D37">
        <w:rPr>
          <w:color w:val="993366"/>
        </w:rPr>
        <w:t xml:space="preserve"> OF</w:t>
      </w:r>
      <w:r w:rsidRPr="00FA0D37">
        <w:t xml:space="preserve"> ZP-CSI-RS-ResourceId</w:t>
      </w:r>
    </w:p>
    <w:p w14:paraId="341B41D3"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14B91D5D" w14:textId="77777777" w:rsidR="00394471" w:rsidRPr="00FA0D37" w:rsidRDefault="00394471" w:rsidP="00FA0D37">
      <w:pPr>
        <w:pStyle w:val="PL"/>
      </w:pPr>
      <w:r w:rsidRPr="00FA0D37">
        <w:t xml:space="preserve">    aperiodic-ZP-CSI-RS-ResourceSetsToAddModList    </w:t>
      </w:r>
      <w:r w:rsidRPr="00FA0D37">
        <w:rPr>
          <w:color w:val="993366"/>
        </w:rPr>
        <w:t>SEQUENCE</w:t>
      </w:r>
      <w:r w:rsidRPr="00FA0D37">
        <w:t xml:space="preserve"> (</w:t>
      </w:r>
      <w:r w:rsidRPr="00FA0D37">
        <w:rPr>
          <w:color w:val="993366"/>
        </w:rPr>
        <w:t>SIZE</w:t>
      </w:r>
      <w:r w:rsidRPr="00FA0D37">
        <w:t xml:space="preserve"> (1..maxNrofZP-CSI-RS-ResourceSets))</w:t>
      </w:r>
      <w:r w:rsidRPr="00FA0D37">
        <w:rPr>
          <w:color w:val="993366"/>
        </w:rPr>
        <w:t xml:space="preserve"> OF</w:t>
      </w:r>
      <w:r w:rsidRPr="00FA0D37">
        <w:t xml:space="preserve"> ZP-CSI-RS-ResourceSet</w:t>
      </w:r>
    </w:p>
    <w:p w14:paraId="1CA826DE"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79E7E152" w14:textId="77777777" w:rsidR="00394471" w:rsidRPr="00FA0D37" w:rsidRDefault="00394471" w:rsidP="00FA0D37">
      <w:pPr>
        <w:pStyle w:val="PL"/>
      </w:pPr>
      <w:r w:rsidRPr="00FA0D37">
        <w:t xml:space="preserve">    aperiodic-ZP-CSI-RS-ResourceSetsToReleaseList </w:t>
      </w:r>
      <w:r w:rsidRPr="00FA0D37">
        <w:rPr>
          <w:color w:val="993366"/>
        </w:rPr>
        <w:t>SEQUENCE</w:t>
      </w:r>
      <w:r w:rsidRPr="00FA0D37">
        <w:t xml:space="preserve"> (</w:t>
      </w:r>
      <w:r w:rsidRPr="00FA0D37">
        <w:rPr>
          <w:color w:val="993366"/>
        </w:rPr>
        <w:t>SIZE</w:t>
      </w:r>
      <w:r w:rsidRPr="00FA0D37">
        <w:t xml:space="preserve"> (1..maxNrofZP-CSI-RS-ResourceSets))</w:t>
      </w:r>
      <w:r w:rsidRPr="00FA0D37">
        <w:rPr>
          <w:color w:val="993366"/>
        </w:rPr>
        <w:t xml:space="preserve"> OF</w:t>
      </w:r>
      <w:r w:rsidRPr="00FA0D37">
        <w:t xml:space="preserve"> ZP-CSI-RS-ResourceSetId</w:t>
      </w:r>
    </w:p>
    <w:p w14:paraId="4FBBFC5A"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79CCE262" w14:textId="77777777" w:rsidR="00394471" w:rsidRPr="00FA0D37" w:rsidRDefault="00394471" w:rsidP="00FA0D37">
      <w:pPr>
        <w:pStyle w:val="PL"/>
      </w:pPr>
      <w:r w:rsidRPr="00FA0D37">
        <w:t xml:space="preserve">    sp-ZP-CSI-RS-ResourceSetsToAddModList   </w:t>
      </w:r>
      <w:r w:rsidRPr="00FA0D37">
        <w:rPr>
          <w:color w:val="993366"/>
        </w:rPr>
        <w:t>SEQUENCE</w:t>
      </w:r>
      <w:r w:rsidRPr="00FA0D37">
        <w:t xml:space="preserve"> (</w:t>
      </w:r>
      <w:r w:rsidRPr="00FA0D37">
        <w:rPr>
          <w:color w:val="993366"/>
        </w:rPr>
        <w:t>SIZE</w:t>
      </w:r>
      <w:r w:rsidRPr="00FA0D37">
        <w:t xml:space="preserve"> (1..maxNrofZP-CSI-RS-ResourceSets))</w:t>
      </w:r>
      <w:r w:rsidRPr="00FA0D37">
        <w:rPr>
          <w:color w:val="993366"/>
        </w:rPr>
        <w:t xml:space="preserve"> OF</w:t>
      </w:r>
      <w:r w:rsidRPr="00FA0D37">
        <w:t xml:space="preserve"> ZP-CSI-RS-ResourceSet</w:t>
      </w:r>
    </w:p>
    <w:p w14:paraId="4415B3B3"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0F9BBBAA" w14:textId="77777777" w:rsidR="00394471" w:rsidRPr="00FA0D37" w:rsidRDefault="00394471" w:rsidP="00FA0D37">
      <w:pPr>
        <w:pStyle w:val="PL"/>
      </w:pPr>
      <w:r w:rsidRPr="00FA0D37">
        <w:t xml:space="preserve">    sp-ZP-CSI-RS-ResourceSetsToReleaseList  </w:t>
      </w:r>
      <w:r w:rsidRPr="00FA0D37">
        <w:rPr>
          <w:color w:val="993366"/>
        </w:rPr>
        <w:t>SEQUENCE</w:t>
      </w:r>
      <w:r w:rsidRPr="00FA0D37">
        <w:t xml:space="preserve"> (</w:t>
      </w:r>
      <w:r w:rsidRPr="00FA0D37">
        <w:rPr>
          <w:color w:val="993366"/>
        </w:rPr>
        <w:t>SIZE</w:t>
      </w:r>
      <w:r w:rsidRPr="00FA0D37">
        <w:t xml:space="preserve"> (1..maxNrofZP-CSI-RS-ResourceSets))</w:t>
      </w:r>
      <w:r w:rsidRPr="00FA0D37">
        <w:rPr>
          <w:color w:val="993366"/>
        </w:rPr>
        <w:t xml:space="preserve"> OF</w:t>
      </w:r>
      <w:r w:rsidRPr="00FA0D37">
        <w:t xml:space="preserve"> ZP-CSI-RS-ResourceSetId</w:t>
      </w:r>
    </w:p>
    <w:p w14:paraId="647B0FDE"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601CB0CE" w14:textId="77777777" w:rsidR="00394471" w:rsidRPr="00FA0D37" w:rsidRDefault="00394471" w:rsidP="00FA0D37">
      <w:pPr>
        <w:pStyle w:val="PL"/>
      </w:pPr>
      <w:r w:rsidRPr="00FA0D37">
        <w:t xml:space="preserve">    p-ZP-CSI-RS-ResourceSet                 SetupRelease { ZP-CSI-RS-ResourceSet }</w:t>
      </w:r>
    </w:p>
    <w:p w14:paraId="47B7C406"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6FE7F750" w14:textId="77777777" w:rsidR="00394471" w:rsidRPr="00FA0D37" w:rsidRDefault="00394471" w:rsidP="00FA0D37">
      <w:pPr>
        <w:pStyle w:val="PL"/>
      </w:pPr>
      <w:r w:rsidRPr="00FA0D37">
        <w:t xml:space="preserve">    ...,</w:t>
      </w:r>
    </w:p>
    <w:p w14:paraId="3107AFCD" w14:textId="77777777" w:rsidR="00394471" w:rsidRPr="00FA0D37" w:rsidRDefault="00394471" w:rsidP="00FA0D37">
      <w:pPr>
        <w:pStyle w:val="PL"/>
      </w:pPr>
      <w:r w:rsidRPr="00FA0D37">
        <w:t xml:space="preserve">    [[</w:t>
      </w:r>
    </w:p>
    <w:p w14:paraId="0EF00924" w14:textId="77777777" w:rsidR="00394471" w:rsidRPr="00FA0D37" w:rsidRDefault="00394471" w:rsidP="00FA0D37">
      <w:pPr>
        <w:pStyle w:val="PL"/>
        <w:rPr>
          <w:color w:val="808080"/>
        </w:rPr>
      </w:pPr>
      <w:r w:rsidRPr="00FA0D37">
        <w:t xml:space="preserve">    maxMIMO-Layers-r16                      SetupRelease { MaxMIMO-LayersDL-r16 }                               </w:t>
      </w:r>
      <w:r w:rsidRPr="00FA0D37">
        <w:rPr>
          <w:color w:val="993366"/>
        </w:rPr>
        <w:t>OPTIONAL</w:t>
      </w:r>
      <w:r w:rsidRPr="00FA0D37">
        <w:t xml:space="preserve">,   </w:t>
      </w:r>
      <w:r w:rsidRPr="00FA0D37">
        <w:rPr>
          <w:color w:val="808080"/>
        </w:rPr>
        <w:t>-- Need M</w:t>
      </w:r>
    </w:p>
    <w:p w14:paraId="299B705D" w14:textId="77777777" w:rsidR="00394471" w:rsidRPr="00FA0D37" w:rsidRDefault="00394471" w:rsidP="00FA0D37">
      <w:pPr>
        <w:pStyle w:val="PL"/>
        <w:rPr>
          <w:color w:val="808080"/>
        </w:rPr>
      </w:pPr>
      <w:r w:rsidRPr="00FA0D37">
        <w:lastRenderedPageBreak/>
        <w:t xml:space="preserve">    minimumSchedulingOffsetK0-r16           SetupRelease { MinSchedulingOffsetK0-Values-r16 }                   </w:t>
      </w:r>
      <w:r w:rsidRPr="00FA0D37">
        <w:rPr>
          <w:color w:val="993366"/>
        </w:rPr>
        <w:t>OPTIONAL</w:t>
      </w:r>
      <w:r w:rsidRPr="00FA0D37">
        <w:t xml:space="preserve">,   </w:t>
      </w:r>
      <w:r w:rsidRPr="00FA0D37">
        <w:rPr>
          <w:color w:val="808080"/>
        </w:rPr>
        <w:t>-- Need M</w:t>
      </w:r>
    </w:p>
    <w:p w14:paraId="4B3261CC" w14:textId="77777777" w:rsidR="00394471" w:rsidRPr="00FA0D37" w:rsidRDefault="00394471" w:rsidP="00FA0D37">
      <w:pPr>
        <w:pStyle w:val="PL"/>
      </w:pPr>
    </w:p>
    <w:p w14:paraId="66DEA9EC" w14:textId="77777777" w:rsidR="00394471" w:rsidRPr="00FA0D37" w:rsidRDefault="00394471" w:rsidP="00FA0D37">
      <w:pPr>
        <w:pStyle w:val="PL"/>
        <w:rPr>
          <w:color w:val="808080"/>
        </w:rPr>
      </w:pPr>
      <w:r w:rsidRPr="00FA0D37">
        <w:t xml:space="preserve">    </w:t>
      </w:r>
      <w:r w:rsidRPr="00FA0D37">
        <w:rPr>
          <w:color w:val="808080"/>
        </w:rPr>
        <w:t>-- Start of the parameters for DCI format 1_2 introduced in V16.1.0</w:t>
      </w:r>
    </w:p>
    <w:p w14:paraId="0729A246" w14:textId="77777777" w:rsidR="00394471" w:rsidRPr="00FA0D37" w:rsidRDefault="00394471" w:rsidP="00FA0D37">
      <w:pPr>
        <w:pStyle w:val="PL"/>
        <w:rPr>
          <w:color w:val="808080"/>
        </w:rPr>
      </w:pPr>
      <w:r w:rsidRPr="00FA0D37">
        <w:t xml:space="preserve">    antennaPortsFieldPresenceDCI-1-2-r16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098D53C0" w14:textId="10D32726" w:rsidR="00C148E4" w:rsidRPr="00FA0D37" w:rsidRDefault="00394471" w:rsidP="00FA0D37">
      <w:pPr>
        <w:pStyle w:val="PL"/>
      </w:pPr>
      <w:r w:rsidRPr="00FA0D37">
        <w:t xml:space="preserve">    aperiodicZP-CSI-RS-ResourceSetsToAddModListDCI-1-2-r16  </w:t>
      </w:r>
      <w:r w:rsidRPr="00FA0D37">
        <w:rPr>
          <w:color w:val="993366"/>
        </w:rPr>
        <w:t>SEQUENCE</w:t>
      </w:r>
      <w:r w:rsidRPr="00FA0D37">
        <w:t xml:space="preserve"> (</w:t>
      </w:r>
      <w:r w:rsidRPr="00FA0D37">
        <w:rPr>
          <w:color w:val="993366"/>
        </w:rPr>
        <w:t>SIZE</w:t>
      </w:r>
      <w:r w:rsidRPr="00FA0D37">
        <w:t xml:space="preserve"> (1..maxNrofZP-CSI-RS-ResourceSets))</w:t>
      </w:r>
      <w:r w:rsidRPr="00FA0D37">
        <w:rPr>
          <w:color w:val="993366"/>
        </w:rPr>
        <w:t xml:space="preserve"> OF</w:t>
      </w:r>
      <w:r w:rsidRPr="00FA0D37">
        <w:t xml:space="preserve"> ZP-CSI-RS-ResourceSet</w:t>
      </w:r>
    </w:p>
    <w:p w14:paraId="1BAD72FC" w14:textId="0DD2AE8A"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66358376" w14:textId="1DBF549F" w:rsidR="00C148E4" w:rsidRPr="00FA0D37" w:rsidRDefault="00394471" w:rsidP="00FA0D37">
      <w:pPr>
        <w:pStyle w:val="PL"/>
      </w:pPr>
      <w:r w:rsidRPr="00FA0D37">
        <w:t xml:space="preserve">    aperiodicZP-CSI-RS-ResourceSetsToReleaseListDCI-1-2-r16 </w:t>
      </w:r>
      <w:r w:rsidRPr="00FA0D37">
        <w:rPr>
          <w:color w:val="993366"/>
        </w:rPr>
        <w:t>SEQUENCE</w:t>
      </w:r>
      <w:r w:rsidRPr="00FA0D37">
        <w:t xml:space="preserve"> (</w:t>
      </w:r>
      <w:r w:rsidRPr="00FA0D37">
        <w:rPr>
          <w:color w:val="993366"/>
        </w:rPr>
        <w:t>SIZE</w:t>
      </w:r>
      <w:r w:rsidRPr="00FA0D37">
        <w:t xml:space="preserve"> (1..maxNrofZP-CSI-RS-ResourceSets))</w:t>
      </w:r>
      <w:r w:rsidRPr="00FA0D37">
        <w:rPr>
          <w:color w:val="993366"/>
        </w:rPr>
        <w:t xml:space="preserve"> OF</w:t>
      </w:r>
      <w:r w:rsidRPr="00FA0D37">
        <w:t xml:space="preserve"> ZP-CSI-RS-ResourceSetId</w:t>
      </w:r>
    </w:p>
    <w:p w14:paraId="52EC37C1" w14:textId="2E01238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4B23B9FC" w14:textId="77777777" w:rsidR="00394471" w:rsidRPr="00FA0D37" w:rsidRDefault="00394471" w:rsidP="00FA0D37">
      <w:pPr>
        <w:pStyle w:val="PL"/>
        <w:rPr>
          <w:color w:val="808080"/>
        </w:rPr>
      </w:pPr>
      <w:r w:rsidRPr="00FA0D37">
        <w:t xml:space="preserve">    dmrs-DownlinkForPDSCH-MappingTypeA-DCI-1-2-r16  SetupRelease { DMRS-DownlinkConfig }                        </w:t>
      </w:r>
      <w:r w:rsidRPr="00FA0D37">
        <w:rPr>
          <w:color w:val="993366"/>
        </w:rPr>
        <w:t>OPTIONAL</w:t>
      </w:r>
      <w:r w:rsidRPr="00FA0D37">
        <w:t xml:space="preserve">,   </w:t>
      </w:r>
      <w:r w:rsidRPr="00FA0D37">
        <w:rPr>
          <w:color w:val="808080"/>
        </w:rPr>
        <w:t>-- Need M</w:t>
      </w:r>
    </w:p>
    <w:p w14:paraId="34A2CE57" w14:textId="77777777" w:rsidR="00394471" w:rsidRPr="00FA0D37" w:rsidRDefault="00394471" w:rsidP="00FA0D37">
      <w:pPr>
        <w:pStyle w:val="PL"/>
        <w:rPr>
          <w:color w:val="808080"/>
        </w:rPr>
      </w:pPr>
      <w:r w:rsidRPr="00FA0D37">
        <w:t xml:space="preserve">    dmrs-DownlinkForPDSCH-MappingTypeB-DCI-1-2-r16  SetupRelease { DMRS-DownlinkConfig }                        </w:t>
      </w:r>
      <w:r w:rsidRPr="00FA0D37">
        <w:rPr>
          <w:color w:val="993366"/>
        </w:rPr>
        <w:t>OPTIONAL</w:t>
      </w:r>
      <w:r w:rsidRPr="00FA0D37">
        <w:t xml:space="preserve">,   </w:t>
      </w:r>
      <w:r w:rsidRPr="00FA0D37">
        <w:rPr>
          <w:color w:val="808080"/>
        </w:rPr>
        <w:t>-- Need M</w:t>
      </w:r>
    </w:p>
    <w:p w14:paraId="64D2B89E" w14:textId="77777777" w:rsidR="00394471" w:rsidRPr="00FA0D37" w:rsidRDefault="00394471" w:rsidP="00FA0D37">
      <w:pPr>
        <w:pStyle w:val="PL"/>
        <w:rPr>
          <w:color w:val="808080"/>
        </w:rPr>
      </w:pPr>
      <w:r w:rsidRPr="00FA0D37">
        <w:t xml:space="preserve">    dmrs-SequenceInitializationDCI-1-2-r16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03017D83" w14:textId="77777777" w:rsidR="00394471" w:rsidRPr="00FA0D37" w:rsidRDefault="00394471" w:rsidP="00FA0D37">
      <w:pPr>
        <w:pStyle w:val="PL"/>
        <w:rPr>
          <w:color w:val="808080"/>
        </w:rPr>
      </w:pPr>
      <w:r w:rsidRPr="00FA0D37">
        <w:t xml:space="preserve">    harq-ProcessNumberSizeDCI-1-2-r16               </w:t>
      </w:r>
      <w:r w:rsidRPr="00FA0D37">
        <w:rPr>
          <w:color w:val="993366"/>
        </w:rPr>
        <w:t>INTEGER</w:t>
      </w:r>
      <w:r w:rsidRPr="00FA0D37">
        <w:t xml:space="preserve"> (0..4)                                              </w:t>
      </w:r>
      <w:r w:rsidRPr="00FA0D37">
        <w:rPr>
          <w:color w:val="993366"/>
        </w:rPr>
        <w:t>OPTIONAL</w:t>
      </w:r>
      <w:r w:rsidRPr="00FA0D37">
        <w:t xml:space="preserve">,   </w:t>
      </w:r>
      <w:r w:rsidRPr="00FA0D37">
        <w:rPr>
          <w:color w:val="808080"/>
        </w:rPr>
        <w:t>-- Need R</w:t>
      </w:r>
    </w:p>
    <w:p w14:paraId="6B38C495" w14:textId="77777777" w:rsidR="00394471" w:rsidRPr="00FA0D37" w:rsidRDefault="00394471" w:rsidP="00FA0D37">
      <w:pPr>
        <w:pStyle w:val="PL"/>
        <w:rPr>
          <w:color w:val="808080"/>
        </w:rPr>
      </w:pPr>
      <w:r w:rsidRPr="00FA0D37">
        <w:t xml:space="preserve">    mcs-TableDCI-1-2-r16                            </w:t>
      </w:r>
      <w:r w:rsidRPr="00FA0D37">
        <w:rPr>
          <w:color w:val="993366"/>
        </w:rPr>
        <w:t>ENUMERATED</w:t>
      </w:r>
      <w:r w:rsidRPr="00FA0D37">
        <w:t xml:space="preserve"> {qam256, qam64LowSE}                             </w:t>
      </w:r>
      <w:r w:rsidRPr="00FA0D37">
        <w:rPr>
          <w:color w:val="993366"/>
        </w:rPr>
        <w:t>OPTIONAL</w:t>
      </w:r>
      <w:r w:rsidRPr="00FA0D37">
        <w:t xml:space="preserve">,   </w:t>
      </w:r>
      <w:r w:rsidRPr="00FA0D37">
        <w:rPr>
          <w:color w:val="808080"/>
        </w:rPr>
        <w:t>-- Need S</w:t>
      </w:r>
    </w:p>
    <w:p w14:paraId="7BDA7898" w14:textId="77777777" w:rsidR="00394471" w:rsidRPr="00FA0D37" w:rsidRDefault="00394471" w:rsidP="00FA0D37">
      <w:pPr>
        <w:pStyle w:val="PL"/>
        <w:rPr>
          <w:color w:val="808080"/>
        </w:rPr>
      </w:pPr>
      <w:r w:rsidRPr="00FA0D37">
        <w:t xml:space="preserve">    numberOfBitsForRV-DCI-1-2-r16                   </w:t>
      </w:r>
      <w:r w:rsidRPr="00FA0D37">
        <w:rPr>
          <w:color w:val="993366"/>
        </w:rPr>
        <w:t>INTEGER</w:t>
      </w:r>
      <w:r w:rsidRPr="00FA0D37">
        <w:t xml:space="preserve"> (0..2)                                              </w:t>
      </w:r>
      <w:r w:rsidRPr="00FA0D37">
        <w:rPr>
          <w:color w:val="993366"/>
        </w:rPr>
        <w:t>OPTIONAL</w:t>
      </w:r>
      <w:r w:rsidRPr="00FA0D37">
        <w:t xml:space="preserve">,   </w:t>
      </w:r>
      <w:r w:rsidRPr="00FA0D37">
        <w:rPr>
          <w:color w:val="808080"/>
        </w:rPr>
        <w:t>-- Need R</w:t>
      </w:r>
    </w:p>
    <w:p w14:paraId="075168B7" w14:textId="77777777" w:rsidR="00394471" w:rsidRPr="00FA0D37" w:rsidRDefault="00394471" w:rsidP="00FA0D37">
      <w:pPr>
        <w:pStyle w:val="PL"/>
      </w:pPr>
      <w:r w:rsidRPr="00FA0D37">
        <w:t xml:space="preserve">    pdsch-TimeDomainAllocationListDCI-1-2-r16       SetupRelease { PDSCH-TimeDomainResourceAllocationList-r16 }</w:t>
      </w:r>
    </w:p>
    <w:p w14:paraId="592AF3F2"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5FDD5EFB" w14:textId="77777777" w:rsidR="00394471" w:rsidRPr="00FA0D37" w:rsidRDefault="00394471" w:rsidP="00FA0D37">
      <w:pPr>
        <w:pStyle w:val="PL"/>
      </w:pPr>
      <w:r w:rsidRPr="00FA0D37">
        <w:t xml:space="preserve">    prb-BundlingTypeDCI-1-2-r16             </w:t>
      </w:r>
      <w:r w:rsidRPr="00FA0D37">
        <w:rPr>
          <w:color w:val="993366"/>
        </w:rPr>
        <w:t>CHOICE</w:t>
      </w:r>
      <w:r w:rsidRPr="00FA0D37">
        <w:t xml:space="preserve"> {</w:t>
      </w:r>
    </w:p>
    <w:p w14:paraId="4A91BBBE" w14:textId="77777777" w:rsidR="00394471" w:rsidRPr="00FA0D37" w:rsidRDefault="00394471" w:rsidP="00FA0D37">
      <w:pPr>
        <w:pStyle w:val="PL"/>
      </w:pPr>
      <w:r w:rsidRPr="00FA0D37">
        <w:t xml:space="preserve">        staticBundling-r16                      </w:t>
      </w:r>
      <w:r w:rsidRPr="00FA0D37">
        <w:rPr>
          <w:color w:val="993366"/>
        </w:rPr>
        <w:t>SEQUENCE</w:t>
      </w:r>
      <w:r w:rsidRPr="00FA0D37">
        <w:t xml:space="preserve"> {</w:t>
      </w:r>
    </w:p>
    <w:p w14:paraId="53DC4BD4" w14:textId="77777777" w:rsidR="00394471" w:rsidRPr="00FA0D37" w:rsidRDefault="00394471" w:rsidP="00FA0D37">
      <w:pPr>
        <w:pStyle w:val="PL"/>
        <w:rPr>
          <w:color w:val="808080"/>
        </w:rPr>
      </w:pPr>
      <w:r w:rsidRPr="00FA0D37">
        <w:t xml:space="preserve">            bundleSize-r16                          </w:t>
      </w:r>
      <w:r w:rsidRPr="00FA0D37">
        <w:rPr>
          <w:color w:val="993366"/>
        </w:rPr>
        <w:t>ENUMERATED</w:t>
      </w:r>
      <w:r w:rsidRPr="00FA0D37">
        <w:t xml:space="preserve"> { n4, wideband }                                 </w:t>
      </w:r>
      <w:r w:rsidRPr="00FA0D37">
        <w:rPr>
          <w:color w:val="993366"/>
        </w:rPr>
        <w:t>OPTIONAL</w:t>
      </w:r>
      <w:r w:rsidRPr="00FA0D37">
        <w:t xml:space="preserve">    </w:t>
      </w:r>
      <w:r w:rsidRPr="00FA0D37">
        <w:rPr>
          <w:color w:val="808080"/>
        </w:rPr>
        <w:t>-- Need S</w:t>
      </w:r>
    </w:p>
    <w:p w14:paraId="4555DBC2" w14:textId="77777777" w:rsidR="00394471" w:rsidRPr="00FA0D37" w:rsidRDefault="00394471" w:rsidP="00FA0D37">
      <w:pPr>
        <w:pStyle w:val="PL"/>
      </w:pPr>
      <w:r w:rsidRPr="00FA0D37">
        <w:t xml:space="preserve">        },</w:t>
      </w:r>
    </w:p>
    <w:p w14:paraId="09DC6FDB" w14:textId="77777777" w:rsidR="00394471" w:rsidRPr="00FA0D37" w:rsidRDefault="00394471" w:rsidP="00FA0D37">
      <w:pPr>
        <w:pStyle w:val="PL"/>
      </w:pPr>
      <w:r w:rsidRPr="00FA0D37">
        <w:t xml:space="preserve">        dynamicBundling-r16                     </w:t>
      </w:r>
      <w:r w:rsidRPr="00FA0D37">
        <w:rPr>
          <w:color w:val="993366"/>
        </w:rPr>
        <w:t>SEQUENCE</w:t>
      </w:r>
      <w:r w:rsidRPr="00FA0D37">
        <w:t xml:space="preserve"> {</w:t>
      </w:r>
    </w:p>
    <w:p w14:paraId="68BBD7E2" w14:textId="77777777" w:rsidR="00394471" w:rsidRPr="00FA0D37" w:rsidRDefault="00394471" w:rsidP="00FA0D37">
      <w:pPr>
        <w:pStyle w:val="PL"/>
        <w:rPr>
          <w:color w:val="808080"/>
        </w:rPr>
      </w:pPr>
      <w:r w:rsidRPr="00FA0D37">
        <w:t xml:space="preserve">            bundleSizeSet1-r16                      </w:t>
      </w:r>
      <w:r w:rsidRPr="00FA0D37">
        <w:rPr>
          <w:color w:val="993366"/>
        </w:rPr>
        <w:t>ENUMERATED</w:t>
      </w:r>
      <w:r w:rsidRPr="00FA0D37">
        <w:t xml:space="preserve"> { n4, wideband, n2-wideband, n4-wideband }       </w:t>
      </w:r>
      <w:r w:rsidRPr="00FA0D37">
        <w:rPr>
          <w:color w:val="993366"/>
        </w:rPr>
        <w:t>OPTIONAL</w:t>
      </w:r>
      <w:r w:rsidRPr="00FA0D37">
        <w:t xml:space="preserve">,   </w:t>
      </w:r>
      <w:r w:rsidRPr="00FA0D37">
        <w:rPr>
          <w:color w:val="808080"/>
        </w:rPr>
        <w:t>-- Need S</w:t>
      </w:r>
    </w:p>
    <w:p w14:paraId="0955E334" w14:textId="77777777" w:rsidR="00394471" w:rsidRPr="00FA0D37" w:rsidRDefault="00394471" w:rsidP="00FA0D37">
      <w:pPr>
        <w:pStyle w:val="PL"/>
        <w:rPr>
          <w:color w:val="808080"/>
        </w:rPr>
      </w:pPr>
      <w:r w:rsidRPr="00FA0D37">
        <w:t xml:space="preserve">            bundleSizeSet2-r16                      </w:t>
      </w:r>
      <w:r w:rsidRPr="00FA0D37">
        <w:rPr>
          <w:color w:val="993366"/>
        </w:rPr>
        <w:t>ENUMERATED</w:t>
      </w:r>
      <w:r w:rsidRPr="00FA0D37">
        <w:t xml:space="preserve"> { n4, wideband }                                 </w:t>
      </w:r>
      <w:r w:rsidRPr="00FA0D37">
        <w:rPr>
          <w:color w:val="993366"/>
        </w:rPr>
        <w:t>OPTIONAL</w:t>
      </w:r>
      <w:r w:rsidRPr="00FA0D37">
        <w:t xml:space="preserve">    </w:t>
      </w:r>
      <w:r w:rsidRPr="00FA0D37">
        <w:rPr>
          <w:color w:val="808080"/>
        </w:rPr>
        <w:t>-- Need S</w:t>
      </w:r>
    </w:p>
    <w:p w14:paraId="3EF9FD29" w14:textId="77777777" w:rsidR="00394471" w:rsidRPr="00FA0D37" w:rsidRDefault="00394471" w:rsidP="00FA0D37">
      <w:pPr>
        <w:pStyle w:val="PL"/>
      </w:pPr>
      <w:r w:rsidRPr="00FA0D37">
        <w:t xml:space="preserve">        }</w:t>
      </w:r>
    </w:p>
    <w:p w14:paraId="1771DB60"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05F99E50" w14:textId="77777777" w:rsidR="00394471" w:rsidRPr="00FA0D37" w:rsidRDefault="00394471" w:rsidP="00FA0D37">
      <w:pPr>
        <w:pStyle w:val="PL"/>
        <w:rPr>
          <w:color w:val="808080"/>
        </w:rPr>
      </w:pPr>
      <w:r w:rsidRPr="00FA0D37">
        <w:t xml:space="preserve">    priorityIndicatorDCI-1-2-r16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543B0B86" w14:textId="77777777" w:rsidR="00394471" w:rsidRPr="00FA0D37" w:rsidRDefault="00394471" w:rsidP="00FA0D37">
      <w:pPr>
        <w:pStyle w:val="PL"/>
        <w:rPr>
          <w:color w:val="808080"/>
        </w:rPr>
      </w:pPr>
      <w:r w:rsidRPr="00FA0D37">
        <w:t xml:space="preserve">    rateMatchPatternGroup1DCI-1-2-r16           RateMatchPatternGroup                                           </w:t>
      </w:r>
      <w:r w:rsidRPr="00FA0D37">
        <w:rPr>
          <w:color w:val="993366"/>
        </w:rPr>
        <w:t>OPTIONAL</w:t>
      </w:r>
      <w:r w:rsidRPr="00FA0D37">
        <w:t xml:space="preserve">,   </w:t>
      </w:r>
      <w:r w:rsidRPr="00FA0D37">
        <w:rPr>
          <w:color w:val="808080"/>
        </w:rPr>
        <w:t>-- Need R</w:t>
      </w:r>
    </w:p>
    <w:p w14:paraId="7835F0D0" w14:textId="77777777" w:rsidR="00394471" w:rsidRPr="00FA0D37" w:rsidRDefault="00394471" w:rsidP="00FA0D37">
      <w:pPr>
        <w:pStyle w:val="PL"/>
        <w:rPr>
          <w:color w:val="808080"/>
        </w:rPr>
      </w:pPr>
      <w:r w:rsidRPr="00FA0D37">
        <w:t xml:space="preserve">    rateMatchPatternGroup2DCI-1-2-r16           RateMatchPatternGroup                                           </w:t>
      </w:r>
      <w:r w:rsidRPr="00FA0D37">
        <w:rPr>
          <w:color w:val="993366"/>
        </w:rPr>
        <w:t>OPTIONAL</w:t>
      </w:r>
      <w:r w:rsidRPr="00FA0D37">
        <w:t xml:space="preserve">,   </w:t>
      </w:r>
      <w:r w:rsidRPr="00FA0D37">
        <w:rPr>
          <w:color w:val="808080"/>
        </w:rPr>
        <w:t>-- Need R</w:t>
      </w:r>
    </w:p>
    <w:p w14:paraId="4864534C" w14:textId="77777777" w:rsidR="00394471" w:rsidRPr="00FA0D37" w:rsidRDefault="00394471" w:rsidP="00FA0D37">
      <w:pPr>
        <w:pStyle w:val="PL"/>
        <w:rPr>
          <w:color w:val="808080"/>
        </w:rPr>
      </w:pPr>
      <w:r w:rsidRPr="00FA0D37">
        <w:t xml:space="preserve">    resourceAllocationType1GranularityDCI-1-2-r16  </w:t>
      </w:r>
      <w:r w:rsidRPr="00FA0D37">
        <w:rPr>
          <w:color w:val="993366"/>
        </w:rPr>
        <w:t>ENUMERATED</w:t>
      </w:r>
      <w:r w:rsidRPr="00FA0D37">
        <w:t xml:space="preserve"> {n2,n4,n8,n16}                                    </w:t>
      </w:r>
      <w:r w:rsidRPr="00FA0D37">
        <w:rPr>
          <w:color w:val="993366"/>
        </w:rPr>
        <w:t>OPTIONAL</w:t>
      </w:r>
      <w:r w:rsidRPr="00FA0D37">
        <w:t xml:space="preserve">,   </w:t>
      </w:r>
      <w:r w:rsidRPr="00FA0D37">
        <w:rPr>
          <w:color w:val="808080"/>
        </w:rPr>
        <w:t>-- Need S</w:t>
      </w:r>
    </w:p>
    <w:p w14:paraId="4BDC6EA3" w14:textId="77777777" w:rsidR="00394471" w:rsidRPr="00FA0D37" w:rsidRDefault="00394471" w:rsidP="00FA0D37">
      <w:pPr>
        <w:pStyle w:val="PL"/>
        <w:rPr>
          <w:color w:val="808080"/>
        </w:rPr>
      </w:pPr>
      <w:r w:rsidRPr="00FA0D37">
        <w:t xml:space="preserve">    vrb-ToPRB-InterleaverDCI-1-2-r16            </w:t>
      </w:r>
      <w:r w:rsidRPr="00FA0D37">
        <w:rPr>
          <w:color w:val="993366"/>
        </w:rPr>
        <w:t>ENUMERATED</w:t>
      </w:r>
      <w:r w:rsidRPr="00FA0D37">
        <w:t xml:space="preserve"> {n2, n4}                                             </w:t>
      </w:r>
      <w:r w:rsidRPr="00FA0D37">
        <w:rPr>
          <w:color w:val="993366"/>
        </w:rPr>
        <w:t>OPTIONAL</w:t>
      </w:r>
      <w:r w:rsidRPr="00FA0D37">
        <w:t xml:space="preserve">,   </w:t>
      </w:r>
      <w:r w:rsidRPr="00FA0D37">
        <w:rPr>
          <w:color w:val="808080"/>
        </w:rPr>
        <w:t>-- Need S</w:t>
      </w:r>
    </w:p>
    <w:p w14:paraId="628D4FDC" w14:textId="77777777" w:rsidR="00394471" w:rsidRPr="00FA0D37" w:rsidRDefault="00394471" w:rsidP="00FA0D37">
      <w:pPr>
        <w:pStyle w:val="PL"/>
        <w:rPr>
          <w:color w:val="808080"/>
        </w:rPr>
      </w:pPr>
      <w:r w:rsidRPr="00FA0D37">
        <w:t xml:space="preserve">    referenceOfSLIVDCI-1-2-r16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623D934C" w14:textId="77777777" w:rsidR="00394471" w:rsidRPr="00FA0D37" w:rsidRDefault="00394471" w:rsidP="00FA0D37">
      <w:pPr>
        <w:pStyle w:val="PL"/>
      </w:pPr>
      <w:r w:rsidRPr="00FA0D37">
        <w:t xml:space="preserve">    resourceAllocationDCI-1-2-r16               </w:t>
      </w:r>
      <w:r w:rsidRPr="00FA0D37">
        <w:rPr>
          <w:color w:val="993366"/>
        </w:rPr>
        <w:t>ENUMERATED</w:t>
      </w:r>
      <w:r w:rsidRPr="00FA0D37">
        <w:t xml:space="preserve"> { resourceAllocationType0, resourceAllocationType1, dynamicSwitch}</w:t>
      </w:r>
    </w:p>
    <w:p w14:paraId="6F48A56B"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50FEFFC4" w14:textId="77777777" w:rsidR="00394471" w:rsidRPr="00FA0D37" w:rsidRDefault="00394471" w:rsidP="00FA0D37">
      <w:pPr>
        <w:pStyle w:val="PL"/>
        <w:rPr>
          <w:color w:val="808080"/>
        </w:rPr>
      </w:pPr>
      <w:r w:rsidRPr="00FA0D37">
        <w:t xml:space="preserve">    </w:t>
      </w:r>
      <w:r w:rsidRPr="00FA0D37">
        <w:rPr>
          <w:color w:val="808080"/>
        </w:rPr>
        <w:t>-- End of the parameters for DCI format 1_2 introduced in V16.1.0</w:t>
      </w:r>
    </w:p>
    <w:p w14:paraId="61A6F2D2" w14:textId="77777777" w:rsidR="00394471" w:rsidRPr="00FA0D37" w:rsidRDefault="00394471" w:rsidP="00FA0D37">
      <w:pPr>
        <w:pStyle w:val="PL"/>
      </w:pPr>
    </w:p>
    <w:p w14:paraId="5CBE3C5A" w14:textId="77777777" w:rsidR="00394471" w:rsidRPr="00FA0D37" w:rsidRDefault="00394471" w:rsidP="00FA0D37">
      <w:pPr>
        <w:pStyle w:val="PL"/>
        <w:rPr>
          <w:color w:val="808080"/>
        </w:rPr>
      </w:pPr>
      <w:r w:rsidRPr="00FA0D37">
        <w:t xml:space="preserve">    priorityIndicatorDCI-1-1-r16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091E2F47" w14:textId="77777777" w:rsidR="00394471" w:rsidRPr="00FA0D37" w:rsidRDefault="00394471" w:rsidP="00FA0D37">
      <w:pPr>
        <w:pStyle w:val="PL"/>
        <w:rPr>
          <w:color w:val="808080"/>
        </w:rPr>
      </w:pPr>
      <w:r w:rsidRPr="00FA0D37">
        <w:t xml:space="preserve">    dataScramblingIdentityPDSCH2-r16         </w:t>
      </w:r>
      <w:r w:rsidRPr="00FA0D37">
        <w:rPr>
          <w:color w:val="993366"/>
        </w:rPr>
        <w:t>INTEGER</w:t>
      </w:r>
      <w:r w:rsidRPr="00FA0D37">
        <w:t xml:space="preserve"> (0..1023)                                                  </w:t>
      </w:r>
      <w:r w:rsidRPr="00FA0D37">
        <w:rPr>
          <w:color w:val="993366"/>
        </w:rPr>
        <w:t>OPTIONAL</w:t>
      </w:r>
      <w:r w:rsidRPr="00FA0D37">
        <w:t xml:space="preserve">,   </w:t>
      </w:r>
      <w:r w:rsidRPr="00FA0D37">
        <w:rPr>
          <w:color w:val="808080"/>
        </w:rPr>
        <w:t>-- Need R</w:t>
      </w:r>
    </w:p>
    <w:p w14:paraId="66085D74" w14:textId="77777777" w:rsidR="00394471" w:rsidRPr="00FA0D37" w:rsidRDefault="00394471" w:rsidP="00FA0D37">
      <w:pPr>
        <w:pStyle w:val="PL"/>
        <w:rPr>
          <w:color w:val="808080"/>
        </w:rPr>
      </w:pPr>
      <w:r w:rsidRPr="00FA0D37">
        <w:t xml:space="preserve">    pdsch-TimeDomainAllocationList-r16       SetupRelease { PDSCH-TimeDomainResourceAllocationList-r16 }        </w:t>
      </w:r>
      <w:r w:rsidRPr="00FA0D37">
        <w:rPr>
          <w:color w:val="993366"/>
        </w:rPr>
        <w:t>OPTIONAL</w:t>
      </w:r>
      <w:r w:rsidRPr="00FA0D37">
        <w:t xml:space="preserve">,   </w:t>
      </w:r>
      <w:r w:rsidRPr="00FA0D37">
        <w:rPr>
          <w:color w:val="808080"/>
        </w:rPr>
        <w:t>-- Need M</w:t>
      </w:r>
    </w:p>
    <w:p w14:paraId="69F620DA" w14:textId="77777777" w:rsidR="00394471" w:rsidRPr="00FA0D37" w:rsidRDefault="00394471" w:rsidP="00FA0D37">
      <w:pPr>
        <w:pStyle w:val="PL"/>
        <w:rPr>
          <w:color w:val="808080"/>
        </w:rPr>
      </w:pPr>
      <w:r w:rsidRPr="00FA0D37">
        <w:t xml:space="preserve">    repetitionSchemeConfig-r16               SetupRelease { RepetitionSchemeConfig-r16}                         </w:t>
      </w:r>
      <w:r w:rsidRPr="00FA0D37">
        <w:rPr>
          <w:color w:val="993366"/>
        </w:rPr>
        <w:t>OPTIONAL</w:t>
      </w:r>
      <w:r w:rsidRPr="00FA0D37">
        <w:t xml:space="preserve">    </w:t>
      </w:r>
      <w:r w:rsidRPr="00FA0D37">
        <w:rPr>
          <w:color w:val="808080"/>
        </w:rPr>
        <w:t>-- Need M</w:t>
      </w:r>
    </w:p>
    <w:p w14:paraId="7FCC75CD" w14:textId="17A6CA48" w:rsidR="009B0C1E" w:rsidRPr="00FA0D37" w:rsidRDefault="00394471" w:rsidP="00FA0D37">
      <w:pPr>
        <w:pStyle w:val="PL"/>
      </w:pPr>
      <w:r w:rsidRPr="00FA0D37">
        <w:t xml:space="preserve">    ]]</w:t>
      </w:r>
      <w:r w:rsidR="009B0C1E" w:rsidRPr="00FA0D37">
        <w:t>,</w:t>
      </w:r>
    </w:p>
    <w:p w14:paraId="61D03E2B" w14:textId="77777777" w:rsidR="009B0C1E" w:rsidRPr="00FA0D37" w:rsidRDefault="009B0C1E" w:rsidP="00FA0D37">
      <w:pPr>
        <w:pStyle w:val="PL"/>
      </w:pPr>
      <w:r w:rsidRPr="00FA0D37">
        <w:t xml:space="preserve">    [[</w:t>
      </w:r>
    </w:p>
    <w:p w14:paraId="0CEDEBD7" w14:textId="26D34B65" w:rsidR="009B0C1E" w:rsidRPr="00FA0D37" w:rsidRDefault="009B0C1E" w:rsidP="00FA0D37">
      <w:pPr>
        <w:pStyle w:val="PL"/>
        <w:rPr>
          <w:color w:val="808080"/>
        </w:rPr>
      </w:pPr>
      <w:r w:rsidRPr="00FA0D37">
        <w:t xml:space="preserve">    repetitionSchemeConfig-v16</w:t>
      </w:r>
      <w:r w:rsidR="003B657B" w:rsidRPr="00FA0D37">
        <w:t>3</w:t>
      </w:r>
      <w:r w:rsidRPr="00FA0D37">
        <w:t>0             SetupRelease { RepetitionSchemeConfig-v16</w:t>
      </w:r>
      <w:r w:rsidR="003B657B" w:rsidRPr="00FA0D37">
        <w:t>3</w:t>
      </w:r>
      <w:r w:rsidRPr="00FA0D37">
        <w:t xml:space="preserve">0}                       </w:t>
      </w:r>
      <w:r w:rsidRPr="00FA0D37">
        <w:rPr>
          <w:color w:val="993366"/>
        </w:rPr>
        <w:t>OPTIONAL</w:t>
      </w:r>
      <w:r w:rsidRPr="00FA0D37">
        <w:t xml:space="preserve">    </w:t>
      </w:r>
      <w:r w:rsidRPr="00FA0D37">
        <w:rPr>
          <w:color w:val="808080"/>
        </w:rPr>
        <w:t>-- Need M</w:t>
      </w:r>
    </w:p>
    <w:p w14:paraId="778B9F67" w14:textId="3C02DE3A" w:rsidR="00F27D15" w:rsidRPr="00FA0D37" w:rsidRDefault="009B0C1E" w:rsidP="00FA0D37">
      <w:pPr>
        <w:pStyle w:val="PL"/>
      </w:pPr>
      <w:r w:rsidRPr="00FA0D37">
        <w:t xml:space="preserve">    ]]</w:t>
      </w:r>
      <w:r w:rsidR="00F27D15" w:rsidRPr="00FA0D37">
        <w:t>,</w:t>
      </w:r>
    </w:p>
    <w:p w14:paraId="426F3086" w14:textId="77777777" w:rsidR="00F27D15" w:rsidRPr="00FA0D37" w:rsidRDefault="00F27D15" w:rsidP="00FA0D37">
      <w:pPr>
        <w:pStyle w:val="PL"/>
      </w:pPr>
      <w:r w:rsidRPr="00FA0D37">
        <w:t xml:space="preserve">    [[</w:t>
      </w:r>
    </w:p>
    <w:p w14:paraId="3EA55321" w14:textId="77777777" w:rsidR="00F27D15" w:rsidRPr="00FA0D37" w:rsidRDefault="00F27D15" w:rsidP="00FA0D37">
      <w:pPr>
        <w:pStyle w:val="PL"/>
        <w:rPr>
          <w:color w:val="808080"/>
        </w:rPr>
      </w:pPr>
      <w:r w:rsidRPr="00FA0D37">
        <w:t xml:space="preserve">    pdsch-HARQ-ACK-OneShotFeedbackDCI-1-2-r17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772F9A5" w14:textId="77777777" w:rsidR="00F27D15" w:rsidRPr="00FA0D37" w:rsidRDefault="00F27D15" w:rsidP="00FA0D37">
      <w:pPr>
        <w:pStyle w:val="PL"/>
        <w:rPr>
          <w:color w:val="808080"/>
        </w:rPr>
      </w:pPr>
      <w:r w:rsidRPr="00FA0D37">
        <w:t xml:space="preserve">    pdsch-HARQ-ACK-EnhType3DCI-1-2-r17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40E014EB" w14:textId="77777777" w:rsidR="00F27D15" w:rsidRPr="00FA0D37" w:rsidRDefault="00F27D15" w:rsidP="00FA0D37">
      <w:pPr>
        <w:pStyle w:val="PL"/>
        <w:rPr>
          <w:color w:val="808080"/>
        </w:rPr>
      </w:pPr>
      <w:r w:rsidRPr="00FA0D37">
        <w:t xml:space="preserve">    pdsch-HARQ-ACK-EnhType3DCI-Field-1-2-r17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F8F5D60" w14:textId="77777777" w:rsidR="00F27D15" w:rsidRPr="00FA0D37" w:rsidRDefault="00F27D15" w:rsidP="00FA0D37">
      <w:pPr>
        <w:pStyle w:val="PL"/>
        <w:rPr>
          <w:color w:val="808080"/>
        </w:rPr>
      </w:pPr>
      <w:r w:rsidRPr="00FA0D37">
        <w:t xml:space="preserve">    pdsch-HARQ-ACK-RetxDCI-1-2-r17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9FE1C31" w14:textId="6A1A7837" w:rsidR="00F27D15" w:rsidRPr="00FA0D37" w:rsidRDefault="00F27D15" w:rsidP="00FA0D37">
      <w:pPr>
        <w:pStyle w:val="PL"/>
        <w:rPr>
          <w:color w:val="808080"/>
        </w:rPr>
      </w:pPr>
      <w:r w:rsidRPr="00FA0D37">
        <w:t xml:space="preserve">    pucch-sSCellDynDCI-1-2-r17                   </w:t>
      </w:r>
      <w:r w:rsidRPr="00FA0D37">
        <w:rPr>
          <w:color w:val="993366"/>
        </w:rPr>
        <w:t>ENUMERATED</w:t>
      </w:r>
      <w:r w:rsidRPr="00FA0D37">
        <w:t xml:space="preserve"> {enabled}                                           </w:t>
      </w:r>
      <w:r w:rsidRPr="00FA0D37">
        <w:rPr>
          <w:color w:val="993366"/>
        </w:rPr>
        <w:t>OPTIONAL</w:t>
      </w:r>
      <w:r w:rsidR="0044265B" w:rsidRPr="00FA0D37">
        <w:t>,</w:t>
      </w:r>
      <w:r w:rsidRPr="00FA0D37">
        <w:t xml:space="preserve">   </w:t>
      </w:r>
      <w:r w:rsidRPr="00FA0D37">
        <w:rPr>
          <w:color w:val="808080"/>
        </w:rPr>
        <w:t>-- Need R</w:t>
      </w:r>
    </w:p>
    <w:p w14:paraId="42B60E1B" w14:textId="3E67F8A2" w:rsidR="00651368" w:rsidRPr="00FA0D37" w:rsidRDefault="00651368" w:rsidP="00FA0D37">
      <w:pPr>
        <w:pStyle w:val="PL"/>
      </w:pPr>
      <w:r w:rsidRPr="00FA0D37">
        <w:t xml:space="preserve">    dl-</w:t>
      </w:r>
      <w:r w:rsidR="00850B30" w:rsidRPr="00FA0D37">
        <w:t>O</w:t>
      </w:r>
      <w:r w:rsidRPr="00FA0D37">
        <w:t>rJointTCI</w:t>
      </w:r>
      <w:r w:rsidR="00FC0CBC" w:rsidRPr="00FA0D37">
        <w:t>-</w:t>
      </w:r>
      <w:r w:rsidRPr="00FA0D37">
        <w:t>State</w:t>
      </w:r>
      <w:r w:rsidR="00754543" w:rsidRPr="00FA0D37">
        <w:t>List-r17</w:t>
      </w:r>
      <w:r w:rsidRPr="00FA0D37">
        <w:t xml:space="preserve">                  </w:t>
      </w:r>
      <w:r w:rsidRPr="00FA0D37">
        <w:rPr>
          <w:color w:val="993366"/>
        </w:rPr>
        <w:t>CHOICE</w:t>
      </w:r>
      <w:r w:rsidRPr="00FA0D37">
        <w:t xml:space="preserve"> {</w:t>
      </w:r>
    </w:p>
    <w:p w14:paraId="5D47EF6F" w14:textId="7D4D2B51" w:rsidR="00651368" w:rsidRPr="00FA0D37" w:rsidRDefault="00651368" w:rsidP="00FA0D37">
      <w:pPr>
        <w:pStyle w:val="PL"/>
      </w:pPr>
      <w:r w:rsidRPr="00FA0D37">
        <w:t xml:space="preserve">        </w:t>
      </w:r>
      <w:r w:rsidR="00754543" w:rsidRPr="00FA0D37">
        <w:t>explicit</w:t>
      </w:r>
      <w:r w:rsidRPr="00FA0D37">
        <w:t xml:space="preserve">list                                 </w:t>
      </w:r>
      <w:r w:rsidRPr="00FA0D37">
        <w:rPr>
          <w:color w:val="993366"/>
        </w:rPr>
        <w:t>SEQUENCE</w:t>
      </w:r>
      <w:r w:rsidRPr="00FA0D37">
        <w:t xml:space="preserve"> {</w:t>
      </w:r>
    </w:p>
    <w:p w14:paraId="7F066D50" w14:textId="41AB0C2A" w:rsidR="00651368" w:rsidRPr="00FA0D37" w:rsidRDefault="00651368" w:rsidP="00FA0D37">
      <w:pPr>
        <w:pStyle w:val="PL"/>
      </w:pPr>
      <w:r w:rsidRPr="00FA0D37">
        <w:lastRenderedPageBreak/>
        <w:t xml:space="preserve">            dl-</w:t>
      </w:r>
      <w:r w:rsidR="003A2D9D" w:rsidRPr="00FA0D37">
        <w:t>O</w:t>
      </w:r>
      <w:r w:rsidRPr="00FA0D37">
        <w:t>rJointTCI</w:t>
      </w:r>
      <w:r w:rsidR="00754543" w:rsidRPr="00FA0D37">
        <w:t>-</w:t>
      </w:r>
      <w:r w:rsidRPr="00FA0D37">
        <w:t xml:space="preserve">StateToAddModList-r17        </w:t>
      </w:r>
      <w:r w:rsidRPr="00FA0D37">
        <w:rPr>
          <w:color w:val="993366"/>
        </w:rPr>
        <w:t>SEQUENCE</w:t>
      </w:r>
      <w:r w:rsidRPr="00FA0D37">
        <w:t xml:space="preserve"> (</w:t>
      </w:r>
      <w:r w:rsidRPr="00FA0D37">
        <w:rPr>
          <w:color w:val="993366"/>
        </w:rPr>
        <w:t>SIZE</w:t>
      </w:r>
      <w:r w:rsidRPr="00FA0D37">
        <w:t xml:space="preserve"> (1..</w:t>
      </w:r>
      <w:r w:rsidR="00754543" w:rsidRPr="00FA0D37">
        <w:t>maxNrofTCI-States</w:t>
      </w:r>
      <w:r w:rsidRPr="00FA0D37">
        <w:t>))</w:t>
      </w:r>
      <w:r w:rsidRPr="00FA0D37">
        <w:rPr>
          <w:color w:val="993366"/>
        </w:rPr>
        <w:t xml:space="preserve"> OF</w:t>
      </w:r>
      <w:r w:rsidRPr="00FA0D37">
        <w:t xml:space="preserve"> TCI</w:t>
      </w:r>
      <w:r w:rsidR="00754543" w:rsidRPr="00FA0D37">
        <w:t>-</w:t>
      </w:r>
      <w:r w:rsidRPr="00FA0D37">
        <w:t>State</w:t>
      </w:r>
    </w:p>
    <w:p w14:paraId="49C5A754" w14:textId="77777777" w:rsidR="00F747EB" w:rsidRPr="00FA0D37" w:rsidRDefault="00651368"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4C01FE06" w14:textId="160152DB" w:rsidR="00651368" w:rsidRPr="00FA0D37" w:rsidRDefault="00651368" w:rsidP="00FA0D37">
      <w:pPr>
        <w:pStyle w:val="PL"/>
      </w:pPr>
      <w:r w:rsidRPr="00FA0D37">
        <w:t xml:space="preserve">            dl-</w:t>
      </w:r>
      <w:r w:rsidR="003A2D9D" w:rsidRPr="00FA0D37">
        <w:t>O</w:t>
      </w:r>
      <w:r w:rsidRPr="00FA0D37">
        <w:t>rJointTCI</w:t>
      </w:r>
      <w:r w:rsidR="00754543" w:rsidRPr="00FA0D37">
        <w:t>-</w:t>
      </w:r>
      <w:r w:rsidRPr="00FA0D37">
        <w:t xml:space="preserve">StateToReleaseList-r17       </w:t>
      </w:r>
      <w:r w:rsidRPr="00FA0D37">
        <w:rPr>
          <w:color w:val="993366"/>
        </w:rPr>
        <w:t>SEQUENCE</w:t>
      </w:r>
      <w:r w:rsidRPr="00FA0D37">
        <w:t xml:space="preserve"> (</w:t>
      </w:r>
      <w:r w:rsidRPr="00FA0D37">
        <w:rPr>
          <w:color w:val="993366"/>
        </w:rPr>
        <w:t>SIZE</w:t>
      </w:r>
      <w:r w:rsidRPr="00FA0D37">
        <w:t xml:space="preserve"> (1..</w:t>
      </w:r>
      <w:r w:rsidR="00754543" w:rsidRPr="00FA0D37">
        <w:t>maxNrofTCI-States</w:t>
      </w:r>
      <w:r w:rsidRPr="00FA0D37">
        <w:t>))</w:t>
      </w:r>
      <w:r w:rsidRPr="00FA0D37">
        <w:rPr>
          <w:color w:val="993366"/>
        </w:rPr>
        <w:t xml:space="preserve"> OF</w:t>
      </w:r>
      <w:r w:rsidRPr="00FA0D37">
        <w:t xml:space="preserve"> TCI-StateId</w:t>
      </w:r>
    </w:p>
    <w:p w14:paraId="00274409" w14:textId="0A90C333" w:rsidR="00651368" w:rsidRPr="00FA0D37" w:rsidRDefault="00651368"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7D69C4CA" w14:textId="4BB1BE06" w:rsidR="00651368" w:rsidRPr="00FA0D37" w:rsidRDefault="00651368" w:rsidP="00FA0D37">
      <w:pPr>
        <w:pStyle w:val="PL"/>
      </w:pPr>
      <w:r w:rsidRPr="00FA0D37">
        <w:t xml:space="preserve">        },</w:t>
      </w:r>
    </w:p>
    <w:p w14:paraId="5DAF6A13" w14:textId="6549DFB2" w:rsidR="00651368" w:rsidRPr="00FA0D37" w:rsidRDefault="00651368" w:rsidP="00FA0D37">
      <w:pPr>
        <w:pStyle w:val="PL"/>
      </w:pPr>
      <w:r w:rsidRPr="00FA0D37">
        <w:t xml:space="preserve">        </w:t>
      </w:r>
      <w:r w:rsidR="00754543" w:rsidRPr="00FA0D37">
        <w:t>unifiedTCI-StateRef</w:t>
      </w:r>
      <w:r w:rsidRPr="00FA0D37">
        <w:t xml:space="preserve">-r17                  </w:t>
      </w:r>
      <w:r w:rsidR="00754543" w:rsidRPr="00FA0D37">
        <w:t>ServingCellAndBWP-Id</w:t>
      </w:r>
      <w:r w:rsidRPr="00FA0D37">
        <w:t>-r17</w:t>
      </w:r>
    </w:p>
    <w:p w14:paraId="2D854A52" w14:textId="216B70A8" w:rsidR="00651368" w:rsidRPr="00FA0D37" w:rsidRDefault="00651368"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51084AD3" w14:textId="6030A8B9" w:rsidR="00651368" w:rsidRPr="00FA0D37" w:rsidRDefault="00651368" w:rsidP="00FA0D37">
      <w:pPr>
        <w:pStyle w:val="PL"/>
      </w:pPr>
      <w:r w:rsidRPr="00FA0D37">
        <w:t xml:space="preserve">    </w:t>
      </w:r>
      <w:bookmarkStart w:id="1218" w:name="_Hlk94085405"/>
      <w:r w:rsidRPr="00FA0D37">
        <w:t xml:space="preserve">beamAppTime-r17                              </w:t>
      </w:r>
      <w:r w:rsidRPr="00FA0D37">
        <w:rPr>
          <w:color w:val="993366"/>
        </w:rPr>
        <w:t>ENUMERATED</w:t>
      </w:r>
      <w:r w:rsidR="00015613" w:rsidRPr="00FA0D37">
        <w:t xml:space="preserve"> </w:t>
      </w:r>
      <w:r w:rsidRPr="00FA0D37">
        <w:t>{n1, n2, n4, n7, n14, n28, n42, n56, n70, n84, n98, n112, n224, n336, spare</w:t>
      </w:r>
      <w:r w:rsidR="00CF303E" w:rsidRPr="00FA0D37">
        <w:t>2</w:t>
      </w:r>
      <w:r w:rsidRPr="00FA0D37">
        <w:t>,</w:t>
      </w:r>
    </w:p>
    <w:p w14:paraId="616FEDC8" w14:textId="45C5BA11" w:rsidR="00651368" w:rsidRPr="00FA0D37" w:rsidRDefault="00651368" w:rsidP="00FA0D37">
      <w:pPr>
        <w:pStyle w:val="PL"/>
        <w:rPr>
          <w:color w:val="808080"/>
        </w:rPr>
      </w:pPr>
      <w:r w:rsidRPr="00FA0D37">
        <w:t xml:space="preserve">                                                            spare</w:t>
      </w:r>
      <w:r w:rsidR="00CF303E" w:rsidRPr="00FA0D37">
        <w:t>1</w:t>
      </w:r>
      <w:r w:rsidRPr="00FA0D37">
        <w:t xml:space="preserve">}                                             </w:t>
      </w:r>
      <w:r w:rsidRPr="00FA0D37">
        <w:rPr>
          <w:color w:val="993366"/>
        </w:rPr>
        <w:t>OPTIONAL</w:t>
      </w:r>
      <w:r w:rsidRPr="00FA0D37">
        <w:t xml:space="preserve">,   </w:t>
      </w:r>
      <w:r w:rsidRPr="00FA0D37">
        <w:rPr>
          <w:color w:val="808080"/>
        </w:rPr>
        <w:t>-- Need R</w:t>
      </w:r>
    </w:p>
    <w:bookmarkEnd w:id="1218"/>
    <w:p w14:paraId="4CF10F5A" w14:textId="7FDC31AF" w:rsidR="006C501F" w:rsidRPr="00FA0D37" w:rsidRDefault="006C501F" w:rsidP="00FA0D37">
      <w:pPr>
        <w:pStyle w:val="PL"/>
        <w:rPr>
          <w:color w:val="808080"/>
        </w:rPr>
      </w:pPr>
      <w:r w:rsidRPr="00FA0D37">
        <w:t xml:space="preserve">    </w:t>
      </w:r>
      <w:r w:rsidR="001B0D59" w:rsidRPr="00FA0D37">
        <w:t xml:space="preserve">dummy                                       </w:t>
      </w:r>
      <w:r w:rsidRPr="00FA0D37">
        <w:t xml:space="preserve"> SetupRelease { </w:t>
      </w:r>
      <w:r w:rsidR="001B0D59" w:rsidRPr="00FA0D37">
        <w:t>Dummy</w:t>
      </w:r>
      <w:r w:rsidRPr="00FA0D37">
        <w:t>-</w:t>
      </w:r>
      <w:r w:rsidR="00655B5E" w:rsidRPr="00FA0D37">
        <w:t>TDRA-</w:t>
      </w:r>
      <w:r w:rsidRPr="00FA0D37">
        <w:t xml:space="preserve">List } </w:t>
      </w:r>
      <w:r w:rsidR="00655B5E" w:rsidRPr="00FA0D37">
        <w:t xml:space="preserve">                  </w:t>
      </w:r>
      <w:r w:rsidR="001B0D59" w:rsidRPr="00FA0D37">
        <w:t xml:space="preserve">                 </w:t>
      </w:r>
      <w:r w:rsidRPr="00FA0D37">
        <w:rPr>
          <w:color w:val="993366"/>
        </w:rPr>
        <w:t>OPTIONAL</w:t>
      </w:r>
      <w:r w:rsidRPr="00FA0D37">
        <w:t xml:space="preserve">,   </w:t>
      </w:r>
      <w:r w:rsidRPr="00FA0D37">
        <w:rPr>
          <w:color w:val="808080"/>
        </w:rPr>
        <w:t>-- Need M</w:t>
      </w:r>
    </w:p>
    <w:p w14:paraId="5E0D3359" w14:textId="7F9CD22F" w:rsidR="006C501F" w:rsidRPr="00FA0D37" w:rsidRDefault="006C501F" w:rsidP="00FA0D37">
      <w:pPr>
        <w:pStyle w:val="PL"/>
        <w:rPr>
          <w:color w:val="808080"/>
        </w:rPr>
      </w:pPr>
      <w:r w:rsidRPr="00FA0D37">
        <w:t xml:space="preserve">    dmrs-FD-OCC-DisabledForRank1-PDSCH-r17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052F317B" w14:textId="4595DAC6" w:rsidR="006C501F" w:rsidRPr="00FA0D37" w:rsidRDefault="006C501F" w:rsidP="00FA0D37">
      <w:pPr>
        <w:pStyle w:val="PL"/>
        <w:rPr>
          <w:color w:val="808080"/>
        </w:rPr>
      </w:pPr>
      <w:r w:rsidRPr="00FA0D37">
        <w:t xml:space="preserve">    minimumSchedulingOffsetK0-r17                   SetupRelease { MinSchedulingOffsetK0-Values-r17 }           </w:t>
      </w:r>
      <w:r w:rsidRPr="00FA0D37">
        <w:rPr>
          <w:color w:val="993366"/>
        </w:rPr>
        <w:t>OPTIONAL</w:t>
      </w:r>
      <w:r w:rsidR="005B7637" w:rsidRPr="00FA0D37">
        <w:t>,</w:t>
      </w:r>
      <w:r w:rsidRPr="00FA0D37">
        <w:t xml:space="preserve">   </w:t>
      </w:r>
      <w:r w:rsidRPr="00FA0D37">
        <w:rPr>
          <w:color w:val="808080"/>
        </w:rPr>
        <w:t>-- Need M</w:t>
      </w:r>
    </w:p>
    <w:p w14:paraId="4C68EB8C" w14:textId="4EE487FC" w:rsidR="005B7637" w:rsidRPr="00FA0D37" w:rsidRDefault="005B7637" w:rsidP="00FA0D37">
      <w:pPr>
        <w:pStyle w:val="PL"/>
        <w:rPr>
          <w:color w:val="808080"/>
        </w:rPr>
      </w:pPr>
      <w:r w:rsidRPr="00FA0D37">
        <w:t xml:space="preserve">    harq-ProcessNumberSizeDCI-1-2-v1700          </w:t>
      </w:r>
      <w:r w:rsidRPr="00FA0D37">
        <w:rPr>
          <w:color w:val="993366"/>
        </w:rPr>
        <w:t>INTEGER</w:t>
      </w:r>
      <w:r w:rsidRPr="00FA0D37">
        <w:t xml:space="preserve"> (0..5)                                                 </w:t>
      </w:r>
      <w:r w:rsidRPr="00FA0D37">
        <w:rPr>
          <w:color w:val="993366"/>
        </w:rPr>
        <w:t>OPTIONAL</w:t>
      </w:r>
      <w:r w:rsidRPr="00FA0D37">
        <w:t xml:space="preserve">,   </w:t>
      </w:r>
      <w:r w:rsidRPr="00FA0D37">
        <w:rPr>
          <w:color w:val="808080"/>
        </w:rPr>
        <w:t>-- Need R</w:t>
      </w:r>
    </w:p>
    <w:p w14:paraId="70214049" w14:textId="3FA210CC" w:rsidR="005B7637" w:rsidRPr="00FA0D37" w:rsidRDefault="005B7637" w:rsidP="00FA0D37">
      <w:pPr>
        <w:pStyle w:val="PL"/>
        <w:rPr>
          <w:color w:val="808080"/>
        </w:rPr>
      </w:pPr>
      <w:r w:rsidRPr="00FA0D37">
        <w:t xml:space="preserve">    harq-ProcessNumberSizeDCI-1-1-r17            </w:t>
      </w:r>
      <w:r w:rsidRPr="00FA0D37">
        <w:rPr>
          <w:color w:val="993366"/>
        </w:rPr>
        <w:t>INTEGER</w:t>
      </w:r>
      <w:r w:rsidRPr="00FA0D37">
        <w:t xml:space="preserve"> (5)                                                    </w:t>
      </w:r>
      <w:r w:rsidRPr="00FA0D37">
        <w:rPr>
          <w:color w:val="993366"/>
        </w:rPr>
        <w:t>OPTIONAL</w:t>
      </w:r>
      <w:r w:rsidR="00BB4037" w:rsidRPr="00FA0D37">
        <w:t>,</w:t>
      </w:r>
      <w:r w:rsidRPr="00FA0D37">
        <w:t xml:space="preserve">   </w:t>
      </w:r>
      <w:r w:rsidRPr="00FA0D37">
        <w:rPr>
          <w:color w:val="808080"/>
        </w:rPr>
        <w:t>-- Need R</w:t>
      </w:r>
    </w:p>
    <w:p w14:paraId="566DCCF0" w14:textId="1CAE1ADF" w:rsidR="00BB4037" w:rsidRPr="00FA0D37" w:rsidRDefault="00BB4037" w:rsidP="00FA0D37">
      <w:pPr>
        <w:pStyle w:val="PL"/>
        <w:rPr>
          <w:color w:val="808080"/>
        </w:rPr>
      </w:pPr>
      <w:r w:rsidRPr="00FA0D37">
        <w:t xml:space="preserve">    mcs-Table-r17                                </w:t>
      </w:r>
      <w:r w:rsidRPr="00FA0D37">
        <w:rPr>
          <w:color w:val="993366"/>
        </w:rPr>
        <w:t>ENUMERATED</w:t>
      </w:r>
      <w:r w:rsidRPr="00FA0D37">
        <w:t xml:space="preserve"> {qam1024}                                           </w:t>
      </w:r>
      <w:r w:rsidRPr="00FA0D37">
        <w:rPr>
          <w:color w:val="993366"/>
        </w:rPr>
        <w:t>OPTIONAL</w:t>
      </w:r>
      <w:r w:rsidRPr="00FA0D37">
        <w:t xml:space="preserve">,   </w:t>
      </w:r>
      <w:r w:rsidRPr="00FA0D37">
        <w:rPr>
          <w:color w:val="808080"/>
        </w:rPr>
        <w:t>-- Need R</w:t>
      </w:r>
    </w:p>
    <w:p w14:paraId="2F827D6A" w14:textId="233400AA" w:rsidR="00BB4037" w:rsidRPr="00FA0D37" w:rsidRDefault="00BB4037" w:rsidP="00FA0D37">
      <w:pPr>
        <w:pStyle w:val="PL"/>
        <w:rPr>
          <w:color w:val="808080"/>
        </w:rPr>
      </w:pPr>
      <w:r w:rsidRPr="00FA0D37">
        <w:t xml:space="preserve">    mcs-TableDCI-1-2-r17                         </w:t>
      </w:r>
      <w:r w:rsidRPr="00FA0D37">
        <w:rPr>
          <w:color w:val="993366"/>
        </w:rPr>
        <w:t>ENUMERATED</w:t>
      </w:r>
      <w:r w:rsidRPr="00FA0D37">
        <w:t xml:space="preserve"> {qam1024}                                           </w:t>
      </w:r>
      <w:r w:rsidRPr="00FA0D37">
        <w:rPr>
          <w:color w:val="993366"/>
        </w:rPr>
        <w:t>OPTIONAL</w:t>
      </w:r>
      <w:r w:rsidR="006C48AD" w:rsidRPr="00FA0D37">
        <w:t>,</w:t>
      </w:r>
      <w:r w:rsidRPr="00FA0D37">
        <w:t xml:space="preserve">   </w:t>
      </w:r>
      <w:r w:rsidRPr="00FA0D37">
        <w:rPr>
          <w:color w:val="808080"/>
        </w:rPr>
        <w:t>-- Need R</w:t>
      </w:r>
    </w:p>
    <w:p w14:paraId="6C936F1D" w14:textId="294D795F" w:rsidR="00263C95" w:rsidRPr="00FA0D37" w:rsidRDefault="00263C95" w:rsidP="00FA0D37">
      <w:pPr>
        <w:pStyle w:val="PL"/>
        <w:rPr>
          <w:color w:val="808080"/>
        </w:rPr>
      </w:pPr>
      <w:r w:rsidRPr="00FA0D37">
        <w:t xml:space="preserve">    xOverheadMulticast-r17                       </w:t>
      </w:r>
      <w:r w:rsidRPr="00FA0D37">
        <w:rPr>
          <w:color w:val="993366"/>
        </w:rPr>
        <w:t>ENUMERATED</w:t>
      </w:r>
      <w:r w:rsidRPr="00FA0D37">
        <w:t xml:space="preserve"> {xOh6, xOh12, xOh18}                                </w:t>
      </w:r>
      <w:r w:rsidRPr="00FA0D37">
        <w:rPr>
          <w:color w:val="993366"/>
        </w:rPr>
        <w:t>OPTIONAL</w:t>
      </w:r>
      <w:r w:rsidRPr="00FA0D37">
        <w:t xml:space="preserve">,   </w:t>
      </w:r>
      <w:r w:rsidRPr="00FA0D37">
        <w:rPr>
          <w:color w:val="808080"/>
        </w:rPr>
        <w:t>-- Need S</w:t>
      </w:r>
    </w:p>
    <w:p w14:paraId="6F1A9615" w14:textId="06F1290D" w:rsidR="00263C95" w:rsidRPr="00FA0D37" w:rsidRDefault="00263C95" w:rsidP="00FA0D37">
      <w:pPr>
        <w:pStyle w:val="PL"/>
        <w:rPr>
          <w:color w:val="808080"/>
        </w:rPr>
      </w:pPr>
      <w:r w:rsidRPr="00FA0D37">
        <w:t xml:space="preserve">    priorityIndicatorDCI-4-2-r17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69FC88DB" w14:textId="40263714" w:rsidR="00263C95" w:rsidRPr="00FA0D37" w:rsidRDefault="00263C95" w:rsidP="00FA0D37">
      <w:pPr>
        <w:pStyle w:val="PL"/>
        <w:rPr>
          <w:color w:val="808080"/>
        </w:rPr>
      </w:pPr>
      <w:r w:rsidRPr="00FA0D37">
        <w:t xml:space="preserve">    sizeDCI-4-2-r17                             </w:t>
      </w:r>
      <w:r w:rsidR="006C48AD" w:rsidRPr="00FA0D37">
        <w:t xml:space="preserve"> </w:t>
      </w:r>
      <w:r w:rsidRPr="00FA0D37">
        <w:rPr>
          <w:color w:val="993366"/>
        </w:rPr>
        <w:t>INTEGER</w:t>
      </w:r>
      <w:r w:rsidRPr="00FA0D37">
        <w:t xml:space="preserve"> (20..maxDCI-4-2-Size-r17)                              </w:t>
      </w:r>
      <w:r w:rsidRPr="00FA0D37">
        <w:rPr>
          <w:color w:val="993366"/>
        </w:rPr>
        <w:t>OPTIONAL</w:t>
      </w:r>
      <w:r w:rsidRPr="00FA0D37">
        <w:t xml:space="preserve">    </w:t>
      </w:r>
      <w:r w:rsidRPr="00FA0D37">
        <w:rPr>
          <w:color w:val="808080"/>
        </w:rPr>
        <w:t>-- Need R</w:t>
      </w:r>
    </w:p>
    <w:p w14:paraId="51CC9AA4" w14:textId="48556F75" w:rsidR="001B0D59" w:rsidRPr="00FA0D37" w:rsidRDefault="00F27D15" w:rsidP="00FA0D37">
      <w:pPr>
        <w:pStyle w:val="PL"/>
      </w:pPr>
      <w:r w:rsidRPr="00FA0D37">
        <w:t xml:space="preserve">    ]]</w:t>
      </w:r>
      <w:r w:rsidR="001B0D59" w:rsidRPr="00FA0D37">
        <w:t>,</w:t>
      </w:r>
    </w:p>
    <w:p w14:paraId="31555C1F" w14:textId="4540C8DA" w:rsidR="001B0D59" w:rsidRPr="00FA0D37" w:rsidRDefault="001B0D59" w:rsidP="00FA0D37">
      <w:pPr>
        <w:pStyle w:val="PL"/>
      </w:pPr>
      <w:r w:rsidRPr="00FA0D37">
        <w:t xml:space="preserve">    [[</w:t>
      </w:r>
    </w:p>
    <w:p w14:paraId="32BBE33C" w14:textId="302D62D3" w:rsidR="001B0D59" w:rsidRPr="00FA0D37" w:rsidRDefault="001B0D59" w:rsidP="00FA0D37">
      <w:pPr>
        <w:pStyle w:val="PL"/>
        <w:rPr>
          <w:color w:val="808080"/>
        </w:rPr>
      </w:pPr>
      <w:r w:rsidRPr="00FA0D37">
        <w:t xml:space="preserve">    pdsch-TimeDomainAllocationListForMultiPDSCH-r17 SetupRelease { MultiPDSCH-TDRA-List-r17 }                   </w:t>
      </w:r>
      <w:r w:rsidRPr="00FA0D37">
        <w:rPr>
          <w:color w:val="993366"/>
        </w:rPr>
        <w:t>OPTIONAL</w:t>
      </w:r>
      <w:r w:rsidRPr="00FA0D37">
        <w:t xml:space="preserve">    </w:t>
      </w:r>
      <w:r w:rsidRPr="00FA0D37">
        <w:rPr>
          <w:color w:val="808080"/>
        </w:rPr>
        <w:t>-- Need M</w:t>
      </w:r>
    </w:p>
    <w:p w14:paraId="225732C0" w14:textId="4148FFCE" w:rsidR="00394471" w:rsidRPr="00FA0D37" w:rsidRDefault="001B0D59" w:rsidP="00FA0D37">
      <w:pPr>
        <w:pStyle w:val="PL"/>
      </w:pPr>
      <w:r w:rsidRPr="00FA0D37">
        <w:t xml:space="preserve">    ]]</w:t>
      </w:r>
    </w:p>
    <w:p w14:paraId="0642A447" w14:textId="77777777" w:rsidR="00394471" w:rsidRPr="00FA0D37" w:rsidRDefault="00394471" w:rsidP="00FA0D37">
      <w:pPr>
        <w:pStyle w:val="PL"/>
      </w:pPr>
      <w:r w:rsidRPr="00FA0D37">
        <w:t>}</w:t>
      </w:r>
    </w:p>
    <w:p w14:paraId="45A4F7EE" w14:textId="77777777" w:rsidR="00394471" w:rsidRPr="00FA0D37" w:rsidRDefault="00394471" w:rsidP="00FA0D37">
      <w:pPr>
        <w:pStyle w:val="PL"/>
      </w:pPr>
    </w:p>
    <w:p w14:paraId="64C851E1" w14:textId="77777777" w:rsidR="00394471" w:rsidRPr="00FA0D37" w:rsidRDefault="00394471" w:rsidP="00FA0D37">
      <w:pPr>
        <w:pStyle w:val="PL"/>
      </w:pPr>
      <w:r w:rsidRPr="00FA0D37">
        <w:t xml:space="preserve">RateMatchPatternGroup ::=               </w:t>
      </w:r>
      <w:r w:rsidRPr="00FA0D37">
        <w:rPr>
          <w:color w:val="993366"/>
        </w:rPr>
        <w:t>SEQUENCE</w:t>
      </w:r>
      <w:r w:rsidRPr="00FA0D37">
        <w:t xml:space="preserve"> (</w:t>
      </w:r>
      <w:r w:rsidRPr="00FA0D37">
        <w:rPr>
          <w:color w:val="993366"/>
        </w:rPr>
        <w:t>SIZE</w:t>
      </w:r>
      <w:r w:rsidRPr="00FA0D37">
        <w:t xml:space="preserve"> (1..maxNrofRateMatchPatternsPerGroup))</w:t>
      </w:r>
      <w:r w:rsidRPr="00FA0D37">
        <w:rPr>
          <w:color w:val="993366"/>
        </w:rPr>
        <w:t xml:space="preserve"> OF</w:t>
      </w:r>
      <w:r w:rsidRPr="00FA0D37">
        <w:t xml:space="preserve"> </w:t>
      </w:r>
      <w:r w:rsidRPr="00FA0D37">
        <w:rPr>
          <w:color w:val="993366"/>
        </w:rPr>
        <w:t>CHOICE</w:t>
      </w:r>
      <w:r w:rsidRPr="00FA0D37">
        <w:t xml:space="preserve"> {</w:t>
      </w:r>
    </w:p>
    <w:p w14:paraId="73FA1E92" w14:textId="77777777" w:rsidR="00394471" w:rsidRPr="00FA0D37" w:rsidRDefault="00394471" w:rsidP="00FA0D37">
      <w:pPr>
        <w:pStyle w:val="PL"/>
      </w:pPr>
      <w:r w:rsidRPr="00FA0D37">
        <w:t xml:space="preserve">    cellLevel                               RateMatchPatternId,</w:t>
      </w:r>
    </w:p>
    <w:p w14:paraId="5D73AE37" w14:textId="77777777" w:rsidR="00394471" w:rsidRPr="00FA0D37" w:rsidRDefault="00394471" w:rsidP="00FA0D37">
      <w:pPr>
        <w:pStyle w:val="PL"/>
      </w:pPr>
      <w:r w:rsidRPr="00FA0D37">
        <w:t xml:space="preserve">    bwpLevel                                RateMatchPatternId</w:t>
      </w:r>
    </w:p>
    <w:p w14:paraId="39EF5277" w14:textId="77777777" w:rsidR="00394471" w:rsidRPr="00FA0D37" w:rsidRDefault="00394471" w:rsidP="00FA0D37">
      <w:pPr>
        <w:pStyle w:val="PL"/>
      </w:pPr>
      <w:r w:rsidRPr="00FA0D37">
        <w:t>}</w:t>
      </w:r>
    </w:p>
    <w:p w14:paraId="2D3B7AF2" w14:textId="77777777" w:rsidR="00394471" w:rsidRPr="00FA0D37" w:rsidRDefault="00394471" w:rsidP="00FA0D37">
      <w:pPr>
        <w:pStyle w:val="PL"/>
      </w:pPr>
    </w:p>
    <w:p w14:paraId="5DE855FA" w14:textId="77777777" w:rsidR="00394471" w:rsidRPr="00FA0D37" w:rsidRDefault="00394471" w:rsidP="00FA0D37">
      <w:pPr>
        <w:pStyle w:val="PL"/>
      </w:pPr>
      <w:r w:rsidRPr="00FA0D37">
        <w:t xml:space="preserve">MinSchedulingOffsetK0-Values-r16 ::=    </w:t>
      </w:r>
      <w:r w:rsidRPr="00FA0D37">
        <w:rPr>
          <w:color w:val="993366"/>
        </w:rPr>
        <w:t>SEQUENCE</w:t>
      </w:r>
      <w:r w:rsidRPr="00FA0D37">
        <w:t xml:space="preserve"> (</w:t>
      </w:r>
      <w:r w:rsidRPr="00FA0D37">
        <w:rPr>
          <w:color w:val="993366"/>
        </w:rPr>
        <w:t>SIZE</w:t>
      </w:r>
      <w:r w:rsidRPr="00FA0D37">
        <w:t xml:space="preserve"> (1..maxNrOfMinSchedulingOffsetValues-r16))</w:t>
      </w:r>
      <w:r w:rsidRPr="00FA0D37">
        <w:rPr>
          <w:color w:val="993366"/>
        </w:rPr>
        <w:t xml:space="preserve"> OF</w:t>
      </w:r>
      <w:r w:rsidRPr="00FA0D37">
        <w:t xml:space="preserve"> </w:t>
      </w:r>
      <w:r w:rsidRPr="00FA0D37">
        <w:rPr>
          <w:color w:val="993366"/>
        </w:rPr>
        <w:t>INTEGER</w:t>
      </w:r>
      <w:r w:rsidRPr="00FA0D37">
        <w:t xml:space="preserve"> (0..maxK0-SchedulingOffset-r16)</w:t>
      </w:r>
    </w:p>
    <w:p w14:paraId="35373D46" w14:textId="1E977E17" w:rsidR="00394471" w:rsidRPr="00FA0D37" w:rsidRDefault="00394471" w:rsidP="00FA0D37">
      <w:pPr>
        <w:pStyle w:val="PL"/>
      </w:pPr>
    </w:p>
    <w:p w14:paraId="698F76E1" w14:textId="5D9DD898" w:rsidR="006C501F" w:rsidRPr="00FA0D37" w:rsidRDefault="006C501F" w:rsidP="00FA0D37">
      <w:pPr>
        <w:pStyle w:val="PL"/>
      </w:pPr>
      <w:r w:rsidRPr="00FA0D37">
        <w:t xml:space="preserve">MinSchedulingOffsetK0-Values-r17 ::=    </w:t>
      </w:r>
      <w:r w:rsidRPr="00FA0D37">
        <w:rPr>
          <w:color w:val="993366"/>
        </w:rPr>
        <w:t>SEQUENCE</w:t>
      </w:r>
      <w:r w:rsidRPr="00FA0D37">
        <w:t xml:space="preserve"> (</w:t>
      </w:r>
      <w:r w:rsidRPr="00FA0D37">
        <w:rPr>
          <w:color w:val="993366"/>
        </w:rPr>
        <w:t>SIZE</w:t>
      </w:r>
      <w:r w:rsidRPr="00FA0D37">
        <w:t xml:space="preserve"> (1..maxNrOfMinSchedulingOffsetValues-r16))</w:t>
      </w:r>
      <w:r w:rsidRPr="00FA0D37">
        <w:rPr>
          <w:color w:val="993366"/>
        </w:rPr>
        <w:t xml:space="preserve"> OF</w:t>
      </w:r>
      <w:r w:rsidRPr="00FA0D37">
        <w:t xml:space="preserve"> </w:t>
      </w:r>
      <w:r w:rsidRPr="00FA0D37">
        <w:rPr>
          <w:color w:val="993366"/>
        </w:rPr>
        <w:t>INTEGER</w:t>
      </w:r>
      <w:r w:rsidRPr="00FA0D37">
        <w:t xml:space="preserve"> (0..maxK0-SchedulingOffset-r17)</w:t>
      </w:r>
    </w:p>
    <w:p w14:paraId="34CCF965" w14:textId="77777777" w:rsidR="006C501F" w:rsidRPr="00FA0D37" w:rsidRDefault="006C501F" w:rsidP="00FA0D37">
      <w:pPr>
        <w:pStyle w:val="PL"/>
      </w:pPr>
    </w:p>
    <w:p w14:paraId="23367E06" w14:textId="77777777" w:rsidR="00394471" w:rsidRPr="00FA0D37" w:rsidRDefault="00394471" w:rsidP="00FA0D37">
      <w:pPr>
        <w:pStyle w:val="PL"/>
      </w:pPr>
      <w:r w:rsidRPr="00FA0D37">
        <w:t xml:space="preserve">MaxMIMO-LayersDL-r16 ::=                </w:t>
      </w:r>
      <w:r w:rsidRPr="00FA0D37">
        <w:rPr>
          <w:color w:val="993366"/>
        </w:rPr>
        <w:t>INTEGER</w:t>
      </w:r>
      <w:r w:rsidRPr="00FA0D37">
        <w:t xml:space="preserve"> (1..8)</w:t>
      </w:r>
    </w:p>
    <w:p w14:paraId="3D521C30" w14:textId="77777777" w:rsidR="00651368" w:rsidRPr="00FA0D37" w:rsidRDefault="00651368" w:rsidP="00FA0D37">
      <w:pPr>
        <w:pStyle w:val="PL"/>
      </w:pPr>
    </w:p>
    <w:p w14:paraId="588CCB54" w14:textId="77777777" w:rsidR="00394471" w:rsidRPr="00FA0D37" w:rsidRDefault="00394471" w:rsidP="00FA0D37">
      <w:pPr>
        <w:pStyle w:val="PL"/>
        <w:rPr>
          <w:color w:val="808080"/>
        </w:rPr>
      </w:pPr>
      <w:r w:rsidRPr="00FA0D37">
        <w:rPr>
          <w:color w:val="808080"/>
        </w:rPr>
        <w:t>-- TAG-PDSCH-CONFIG-STOP</w:t>
      </w:r>
    </w:p>
    <w:p w14:paraId="2C613EF1" w14:textId="77777777" w:rsidR="00394471" w:rsidRPr="00FA0D37" w:rsidRDefault="00394471" w:rsidP="00FA0D37">
      <w:pPr>
        <w:pStyle w:val="PL"/>
        <w:rPr>
          <w:color w:val="808080"/>
        </w:rPr>
      </w:pPr>
      <w:r w:rsidRPr="00FA0D37">
        <w:rPr>
          <w:color w:val="808080"/>
        </w:rPr>
        <w:t>-- ASN1STOP</w:t>
      </w:r>
    </w:p>
    <w:p w14:paraId="29B86CD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FA0D37" w:rsidRDefault="00394471" w:rsidP="00964CC4">
            <w:pPr>
              <w:pStyle w:val="TAH"/>
              <w:rPr>
                <w:szCs w:val="22"/>
                <w:lang w:eastAsia="sv-SE"/>
              </w:rPr>
            </w:pPr>
            <w:r w:rsidRPr="00FA0D37">
              <w:rPr>
                <w:i/>
                <w:szCs w:val="22"/>
                <w:lang w:eastAsia="sv-SE"/>
              </w:rPr>
              <w:lastRenderedPageBreak/>
              <w:t xml:space="preserve">PDSCH-Config </w:t>
            </w:r>
            <w:r w:rsidRPr="00FA0D37">
              <w:rPr>
                <w:szCs w:val="22"/>
                <w:lang w:eastAsia="sv-SE"/>
              </w:rPr>
              <w:t>field descriptions</w:t>
            </w:r>
          </w:p>
        </w:tc>
      </w:tr>
      <w:tr w:rsidR="005C7FF4" w:rsidRPr="00FA0D37"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FA0D37" w:rsidRDefault="00394471" w:rsidP="00964CC4">
            <w:pPr>
              <w:pStyle w:val="TAL"/>
              <w:rPr>
                <w:b/>
                <w:bCs/>
                <w:i/>
                <w:iCs/>
                <w:lang w:eastAsia="sv-SE"/>
              </w:rPr>
            </w:pPr>
            <w:r w:rsidRPr="00FA0D37">
              <w:rPr>
                <w:b/>
                <w:bCs/>
                <w:i/>
                <w:iCs/>
                <w:lang w:eastAsia="sv-SE"/>
              </w:rPr>
              <w:t>antennaPortsFieldPresenceDCI-1-2</w:t>
            </w:r>
          </w:p>
          <w:p w14:paraId="700BFCCA" w14:textId="77777777" w:rsidR="00394471" w:rsidRPr="00FA0D37" w:rsidRDefault="00394471" w:rsidP="00964CC4">
            <w:pPr>
              <w:pStyle w:val="TAL"/>
              <w:rPr>
                <w:lang w:eastAsia="sv-SE"/>
              </w:rPr>
            </w:pPr>
            <w:r w:rsidRPr="00FA0D37">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FA0D37">
              <w:rPr>
                <w:i/>
                <w:iCs/>
                <w:lang w:eastAsia="sv-SE"/>
              </w:rPr>
              <w:t>dmrs-DownlinkForPDSCH-MappingTypeA-DCI-1-2</w:t>
            </w:r>
            <w:r w:rsidRPr="00FA0D37">
              <w:rPr>
                <w:lang w:eastAsia="sv-SE"/>
              </w:rPr>
              <w:t xml:space="preserve"> nor </w:t>
            </w:r>
            <w:r w:rsidRPr="00FA0D37">
              <w:rPr>
                <w:i/>
                <w:iCs/>
                <w:lang w:eastAsia="sv-SE"/>
              </w:rPr>
              <w:t>dmrs-DownlinkForPDSCH-MappingTypeB-DCI-1-2</w:t>
            </w:r>
            <w:r w:rsidRPr="00FA0D37">
              <w:rPr>
                <w:lang w:eastAsia="sv-SE"/>
              </w:rPr>
              <w:t xml:space="preserve"> is configured, this field is absent.</w:t>
            </w:r>
          </w:p>
        </w:tc>
      </w:tr>
      <w:tr w:rsidR="005C7FF4" w:rsidRPr="00FA0D37"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FA0D37" w:rsidRDefault="00394471" w:rsidP="00964CC4">
            <w:pPr>
              <w:pStyle w:val="TAL"/>
              <w:rPr>
                <w:szCs w:val="22"/>
                <w:lang w:eastAsia="sv-SE"/>
              </w:rPr>
            </w:pPr>
            <w:r w:rsidRPr="00FA0D37">
              <w:rPr>
                <w:b/>
                <w:i/>
                <w:szCs w:val="22"/>
                <w:lang w:eastAsia="sv-SE"/>
              </w:rPr>
              <w:t>aperiodic-ZP-CSI-RS-ResourceSetsToAddModList, aperiodic-ZP-CSI-RS-ResourceSetsToAddModListDCI-1-2</w:t>
            </w:r>
          </w:p>
          <w:p w14:paraId="7ACBBE40" w14:textId="77777777" w:rsidR="00394471" w:rsidRPr="00FA0D37" w:rsidRDefault="00394471" w:rsidP="00964CC4">
            <w:pPr>
              <w:pStyle w:val="TAL"/>
              <w:rPr>
                <w:szCs w:val="22"/>
                <w:lang w:eastAsia="sv-SE"/>
              </w:rPr>
            </w:pPr>
            <w:r w:rsidRPr="00FA0D37">
              <w:rPr>
                <w:szCs w:val="22"/>
                <w:lang w:eastAsia="sv-SE"/>
              </w:rPr>
              <w:t>A</w:t>
            </w:r>
            <w:r w:rsidRPr="00FA0D37">
              <w:rPr>
                <w:lang w:eastAsia="sv-SE"/>
              </w:rPr>
              <w:t>ddMod/Release</w:t>
            </w:r>
            <w:r w:rsidRPr="00FA0D37">
              <w:rPr>
                <w:szCs w:val="22"/>
                <w:lang w:eastAsia="sv-SE"/>
              </w:rPr>
              <w:t xml:space="preserve"> lists </w:t>
            </w:r>
            <w:r w:rsidRPr="00FA0D37">
              <w:rPr>
                <w:lang w:eastAsia="sv-SE"/>
              </w:rPr>
              <w:t xml:space="preserve">for configuring aperiodically triggered zero-power CSI-RS resource </w:t>
            </w:r>
            <w:r w:rsidRPr="00FA0D37">
              <w:rPr>
                <w:szCs w:val="22"/>
                <w:lang w:eastAsia="sv-SE"/>
              </w:rPr>
              <w:t xml:space="preserve">sets. Each set contains a </w:t>
            </w:r>
            <w:r w:rsidRPr="00FA0D37">
              <w:rPr>
                <w:i/>
                <w:lang w:eastAsia="sv-SE"/>
              </w:rPr>
              <w:t>ZP-CSI-RS-ResourceSetId</w:t>
            </w:r>
            <w:r w:rsidRPr="00FA0D37">
              <w:rPr>
                <w:szCs w:val="22"/>
                <w:lang w:eastAsia="sv-SE"/>
              </w:rPr>
              <w:t xml:space="preserve"> and the IDs of one or more </w:t>
            </w:r>
            <w:r w:rsidRPr="00FA0D37">
              <w:rPr>
                <w:i/>
                <w:szCs w:val="22"/>
                <w:lang w:eastAsia="sv-SE"/>
              </w:rPr>
              <w:t>ZP-CSI-RS-Resources</w:t>
            </w:r>
            <w:r w:rsidRPr="00FA0D37">
              <w:rPr>
                <w:szCs w:val="22"/>
                <w:lang w:eastAsia="sv-SE"/>
              </w:rPr>
              <w:t xml:space="preserve"> (the actual resources are defined in the </w:t>
            </w:r>
            <w:r w:rsidRPr="00FA0D37">
              <w:rPr>
                <w:i/>
                <w:szCs w:val="22"/>
                <w:lang w:eastAsia="sv-SE"/>
              </w:rPr>
              <w:t>zp-CSI-RS-ResourceToAddModList</w:t>
            </w:r>
            <w:r w:rsidRPr="00FA0D37">
              <w:rPr>
                <w:szCs w:val="22"/>
                <w:lang w:eastAsia="sv-SE"/>
              </w:rPr>
              <w:t xml:space="preserve">). The network configures the UE with at most 3 aperiodic </w:t>
            </w:r>
            <w:r w:rsidRPr="00FA0D37">
              <w:rPr>
                <w:i/>
                <w:szCs w:val="22"/>
                <w:lang w:eastAsia="sv-SE"/>
              </w:rPr>
              <w:t>ZP-CSI-RS-ResourceSets</w:t>
            </w:r>
            <w:r w:rsidRPr="00FA0D37">
              <w:rPr>
                <w:szCs w:val="22"/>
                <w:lang w:eastAsia="sv-SE"/>
              </w:rPr>
              <w:t xml:space="preserve"> and it uses only the </w:t>
            </w:r>
            <w:r w:rsidRPr="00FA0D37">
              <w:rPr>
                <w:i/>
                <w:szCs w:val="22"/>
                <w:lang w:eastAsia="sv-SE"/>
              </w:rPr>
              <w:t>ZP-CSI-RS-ResourceSetId</w:t>
            </w:r>
            <w:r w:rsidRPr="00FA0D37">
              <w:rPr>
                <w:szCs w:val="22"/>
                <w:lang w:eastAsia="sv-SE"/>
              </w:rPr>
              <w:t xml:space="preserve"> 1 to 3. The network triggers a set by indicating its </w:t>
            </w:r>
            <w:r w:rsidRPr="00FA0D37">
              <w:rPr>
                <w:i/>
                <w:szCs w:val="22"/>
                <w:lang w:eastAsia="sv-SE"/>
              </w:rPr>
              <w:t>ZP-CSI-RS-ResourceSetId</w:t>
            </w:r>
            <w:r w:rsidRPr="00FA0D37">
              <w:rPr>
                <w:szCs w:val="22"/>
                <w:lang w:eastAsia="sv-SE"/>
              </w:rPr>
              <w:t xml:space="preserve"> in the DCI payload. The DCI codepoint '01' triggers the resource set with </w:t>
            </w:r>
            <w:r w:rsidRPr="00FA0D37">
              <w:rPr>
                <w:i/>
                <w:szCs w:val="22"/>
                <w:lang w:eastAsia="sv-SE"/>
              </w:rPr>
              <w:t>ZP-CSI-RS-ResourceSetId</w:t>
            </w:r>
            <w:r w:rsidRPr="00FA0D37">
              <w:rPr>
                <w:szCs w:val="22"/>
                <w:lang w:eastAsia="sv-SE"/>
              </w:rPr>
              <w:t xml:space="preserve"> 1, the DCI codepoint '10' triggers the resource set with </w:t>
            </w:r>
            <w:r w:rsidRPr="00FA0D37">
              <w:rPr>
                <w:i/>
                <w:szCs w:val="22"/>
                <w:lang w:eastAsia="sv-SE"/>
              </w:rPr>
              <w:t>ZP-CSI-RS-ResourceSetId 2</w:t>
            </w:r>
            <w:r w:rsidRPr="00FA0D37">
              <w:rPr>
                <w:szCs w:val="22"/>
                <w:lang w:eastAsia="sv-SE"/>
              </w:rPr>
              <w:t xml:space="preserve">, and the DCI codepoint '11' triggers the resource set with </w:t>
            </w:r>
            <w:r w:rsidRPr="00FA0D37">
              <w:rPr>
                <w:i/>
                <w:szCs w:val="22"/>
                <w:lang w:eastAsia="sv-SE"/>
              </w:rPr>
              <w:t>ZP-CSI-RS-ResourceSetId</w:t>
            </w:r>
            <w:r w:rsidRPr="00FA0D37">
              <w:rPr>
                <w:szCs w:val="22"/>
                <w:lang w:eastAsia="sv-SE"/>
              </w:rPr>
              <w:t xml:space="preserve"> 3 (see TS 38.214 [19], clause 5.1.4.2). The field </w:t>
            </w:r>
            <w:r w:rsidRPr="00FA0D37">
              <w:rPr>
                <w:i/>
                <w:szCs w:val="22"/>
                <w:lang w:eastAsia="sv-SE"/>
              </w:rPr>
              <w:t xml:space="preserve">aperiodic-ZP-CSI-RS-ResourceSetsToAddModList </w:t>
            </w:r>
            <w:r w:rsidRPr="00FA0D37">
              <w:rPr>
                <w:szCs w:val="22"/>
              </w:rPr>
              <w:t>applies</w:t>
            </w:r>
            <w:r w:rsidRPr="00FA0D37">
              <w:rPr>
                <w:szCs w:val="22"/>
                <w:lang w:eastAsia="sv-SE"/>
              </w:rPr>
              <w:t xml:space="preserve"> to DCI format 1_1 and the field </w:t>
            </w:r>
            <w:r w:rsidRPr="00FA0D37">
              <w:rPr>
                <w:i/>
                <w:szCs w:val="22"/>
                <w:lang w:eastAsia="sv-SE"/>
              </w:rPr>
              <w:t>aperiodic-ZP-CSI-RS-ResourceSetsToAddModListDCI-1-2</w:t>
            </w:r>
            <w:r w:rsidRPr="00FA0D37">
              <w:rPr>
                <w:szCs w:val="22"/>
                <w:lang w:eastAsia="sv-SE"/>
              </w:rPr>
              <w:t xml:space="preserve"> </w:t>
            </w:r>
            <w:r w:rsidRPr="00FA0D37">
              <w:rPr>
                <w:szCs w:val="22"/>
              </w:rPr>
              <w:t>applies</w:t>
            </w:r>
            <w:r w:rsidRPr="00FA0D37">
              <w:rPr>
                <w:szCs w:val="22"/>
                <w:lang w:eastAsia="sv-SE"/>
              </w:rPr>
              <w:t xml:space="preserve"> to DCI format 1_2 (see TS 38.214 [19], clause 5.1.4.2 and TS 38.212 [17] clause 7.3.1).</w:t>
            </w:r>
          </w:p>
        </w:tc>
      </w:tr>
      <w:tr w:rsidR="005C7FF4" w:rsidRPr="00FA0D37"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FA0D37" w:rsidRDefault="00651368" w:rsidP="00771058">
            <w:pPr>
              <w:pStyle w:val="TAL"/>
              <w:rPr>
                <w:b/>
                <w:i/>
                <w:szCs w:val="22"/>
                <w:lang w:eastAsia="sv-SE"/>
              </w:rPr>
            </w:pPr>
            <w:r w:rsidRPr="00FA0D37">
              <w:rPr>
                <w:b/>
                <w:i/>
                <w:szCs w:val="22"/>
                <w:lang w:eastAsia="sv-SE"/>
              </w:rPr>
              <w:t>beamAppTime</w:t>
            </w:r>
          </w:p>
          <w:p w14:paraId="40CE8672" w14:textId="4B8B0746" w:rsidR="00651368" w:rsidRPr="00FA0D37" w:rsidRDefault="00651368" w:rsidP="00771058">
            <w:pPr>
              <w:pStyle w:val="TAL"/>
              <w:rPr>
                <w:b/>
                <w:iCs/>
                <w:szCs w:val="22"/>
                <w:lang w:eastAsia="sv-SE"/>
              </w:rPr>
            </w:pPr>
            <w:r w:rsidRPr="00FA0D37">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FA0D37">
              <w:rPr>
                <w:rFonts w:cs="Arial"/>
                <w:bCs/>
              </w:rPr>
              <w:t xml:space="preserve">The same value shall be configured for all serving cells in any one of the </w:t>
            </w:r>
            <w:r w:rsidRPr="00FA0D37">
              <w:rPr>
                <w:i/>
                <w:iCs/>
              </w:rPr>
              <w:t>simultaneousU-TCI-UpdateList</w:t>
            </w:r>
            <w:r w:rsidR="00015613" w:rsidRPr="00FA0D37">
              <w:rPr>
                <w:i/>
                <w:iCs/>
              </w:rPr>
              <w:t>N</w:t>
            </w:r>
            <w:r w:rsidRPr="00FA0D37">
              <w:rPr>
                <w:rFonts w:cs="Arial"/>
                <w:bCs/>
              </w:rPr>
              <w:t xml:space="preserve"> configured in IE </w:t>
            </w:r>
            <w:r w:rsidRPr="00FA0D37">
              <w:rPr>
                <w:rFonts w:cs="Arial"/>
                <w:bCs/>
                <w:i/>
                <w:iCs/>
              </w:rPr>
              <w:t>CellGroupConfig</w:t>
            </w:r>
            <w:r w:rsidRPr="00FA0D37">
              <w:rPr>
                <w:rFonts w:cs="Arial"/>
                <w:bCs/>
              </w:rPr>
              <w:t xml:space="preserve"> based on the smallest SCS of the active BWP.</w:t>
            </w:r>
          </w:p>
        </w:tc>
      </w:tr>
      <w:tr w:rsidR="005C7FF4" w:rsidRPr="00FA0D37"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FA0D37" w:rsidRDefault="00394471" w:rsidP="00964CC4">
            <w:pPr>
              <w:pStyle w:val="TAL"/>
              <w:rPr>
                <w:szCs w:val="22"/>
                <w:lang w:eastAsia="sv-SE"/>
              </w:rPr>
            </w:pPr>
            <w:r w:rsidRPr="00FA0D37">
              <w:rPr>
                <w:b/>
                <w:i/>
                <w:szCs w:val="22"/>
                <w:lang w:eastAsia="sv-SE"/>
              </w:rPr>
              <w:t>dataScramblingIdentityPDSCH, dataScramblingIdentityPDSCH2</w:t>
            </w:r>
          </w:p>
          <w:p w14:paraId="47D10B9F" w14:textId="77777777" w:rsidR="00394471" w:rsidRPr="00FA0D37" w:rsidRDefault="00394471" w:rsidP="00964CC4">
            <w:pPr>
              <w:pStyle w:val="TAL"/>
              <w:rPr>
                <w:szCs w:val="22"/>
                <w:lang w:eastAsia="sv-SE"/>
              </w:rPr>
            </w:pPr>
            <w:r w:rsidRPr="00FA0D37">
              <w:rPr>
                <w:szCs w:val="22"/>
                <w:lang w:eastAsia="sv-SE"/>
              </w:rPr>
              <w:t>Identifier(s) used to initialize data scrambling (c_init) for PDSCH as specified in TS 38.211 [16], clause 7.3.1.1.</w:t>
            </w:r>
            <w:r w:rsidRPr="00FA0D37">
              <w:rPr>
                <w:lang w:eastAsia="sv-SE"/>
              </w:rPr>
              <w:t xml:space="preserve"> </w:t>
            </w:r>
            <w:r w:rsidRPr="00FA0D37">
              <w:rPr>
                <w:szCs w:val="22"/>
                <w:lang w:eastAsia="sv-SE"/>
              </w:rPr>
              <w:t xml:space="preserve">The </w:t>
            </w:r>
            <w:r w:rsidRPr="00FA0D37">
              <w:rPr>
                <w:i/>
                <w:iCs/>
                <w:szCs w:val="22"/>
                <w:lang w:eastAsia="sv-SE"/>
              </w:rPr>
              <w:t>dataScramblingIdentityPDSCH2</w:t>
            </w:r>
            <w:r w:rsidRPr="00FA0D37">
              <w:rPr>
                <w:szCs w:val="22"/>
                <w:lang w:eastAsia="sv-SE"/>
              </w:rPr>
              <w:t xml:space="preserve"> is configured if </w:t>
            </w:r>
            <w:r w:rsidRPr="00FA0D37">
              <w:rPr>
                <w:i/>
                <w:iCs/>
                <w:szCs w:val="22"/>
                <w:lang w:eastAsia="sv-SE"/>
              </w:rPr>
              <w:t>coresetPoolIndex</w:t>
            </w:r>
            <w:r w:rsidRPr="00FA0D37">
              <w:rPr>
                <w:szCs w:val="22"/>
                <w:lang w:eastAsia="sv-SE"/>
              </w:rPr>
              <w:t xml:space="preserve"> is configured with 1 for at least one CORESET in the same BWP.</w:t>
            </w:r>
          </w:p>
        </w:tc>
      </w:tr>
      <w:tr w:rsidR="005C7FF4" w:rsidRPr="00FA0D37"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FA0D37" w:rsidRDefault="00850B30" w:rsidP="00771058">
            <w:pPr>
              <w:pStyle w:val="TAL"/>
              <w:rPr>
                <w:b/>
                <w:i/>
                <w:szCs w:val="22"/>
                <w:lang w:eastAsia="sv-SE"/>
              </w:rPr>
            </w:pPr>
            <w:r w:rsidRPr="00FA0D37">
              <w:rPr>
                <w:b/>
                <w:i/>
                <w:szCs w:val="22"/>
                <w:lang w:eastAsia="sv-SE"/>
              </w:rPr>
              <w:t>dl-OrJointTCI</w:t>
            </w:r>
            <w:r w:rsidR="00754543" w:rsidRPr="00FA0D37">
              <w:rPr>
                <w:b/>
                <w:i/>
                <w:szCs w:val="22"/>
                <w:lang w:eastAsia="sv-SE"/>
              </w:rPr>
              <w:t>-</w:t>
            </w:r>
            <w:r w:rsidRPr="00FA0D37">
              <w:rPr>
                <w:b/>
                <w:i/>
                <w:szCs w:val="22"/>
                <w:lang w:eastAsia="sv-SE"/>
              </w:rPr>
              <w:t>StateToAddModList</w:t>
            </w:r>
          </w:p>
          <w:p w14:paraId="5FA4C678" w14:textId="18D83184" w:rsidR="00850B30" w:rsidRPr="00FA0D37" w:rsidRDefault="00850B30" w:rsidP="00771058">
            <w:pPr>
              <w:pStyle w:val="TAL"/>
              <w:rPr>
                <w:b/>
                <w:i/>
                <w:szCs w:val="22"/>
                <w:lang w:eastAsia="sv-SE"/>
              </w:rPr>
            </w:pPr>
            <w:r w:rsidRPr="00FA0D37">
              <w:rPr>
                <w:szCs w:val="22"/>
                <w:lang w:eastAsia="sv-SE"/>
              </w:rPr>
              <w:t>A list of Transmission Configuration Indicator (TCI) states indicating a transmission configuration which includes QCL-relationships between the DL RSs in one RS set and the PDSCH DMRS ports</w:t>
            </w:r>
            <w:r w:rsidR="00486151" w:rsidRPr="00FA0D37">
              <w:rPr>
                <w:rFonts w:eastAsiaTheme="minorEastAsia"/>
                <w:szCs w:val="22"/>
                <w:lang w:eastAsia="zh-CN"/>
              </w:rPr>
              <w:t>, PDCCH DMRS ports, and CSI-RS, and in case of join mode, also the PUSCH, PUCCH and SRS</w:t>
            </w:r>
            <w:r w:rsidRPr="00FA0D37">
              <w:rPr>
                <w:szCs w:val="22"/>
                <w:lang w:eastAsia="sv-SE"/>
              </w:rPr>
              <w:t xml:space="preserve"> (see TS 38.214 [19], clause 5.1.5).</w:t>
            </w:r>
          </w:p>
        </w:tc>
      </w:tr>
      <w:tr w:rsidR="005C7FF4" w:rsidRPr="00FA0D37"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FA0D37" w:rsidRDefault="00394471" w:rsidP="00964CC4">
            <w:pPr>
              <w:pStyle w:val="TAL"/>
              <w:rPr>
                <w:szCs w:val="22"/>
                <w:lang w:eastAsia="sv-SE"/>
              </w:rPr>
            </w:pPr>
            <w:r w:rsidRPr="00FA0D37">
              <w:rPr>
                <w:b/>
                <w:i/>
                <w:szCs w:val="22"/>
                <w:lang w:eastAsia="sv-SE"/>
              </w:rPr>
              <w:t>dmrs-DownlinkForPDSCH-MappingTypeA, dmrs-DownlinkForPDSCH-</w:t>
            </w:r>
            <w:r w:rsidRPr="00FA0D37">
              <w:rPr>
                <w:b/>
                <w:i/>
                <w:szCs w:val="22"/>
              </w:rPr>
              <w:t>MappingTypeA-DCI</w:t>
            </w:r>
            <w:r w:rsidRPr="00FA0D37">
              <w:rPr>
                <w:b/>
                <w:i/>
                <w:szCs w:val="22"/>
                <w:lang w:eastAsia="sv-SE"/>
              </w:rPr>
              <w:t>-1-2</w:t>
            </w:r>
          </w:p>
          <w:p w14:paraId="64A75C2F" w14:textId="77777777" w:rsidR="00394471" w:rsidRPr="00FA0D37" w:rsidRDefault="00394471" w:rsidP="00964CC4">
            <w:pPr>
              <w:pStyle w:val="TAL"/>
              <w:rPr>
                <w:szCs w:val="22"/>
                <w:lang w:eastAsia="sv-SE"/>
              </w:rPr>
            </w:pPr>
            <w:r w:rsidRPr="00FA0D37">
              <w:rPr>
                <w:szCs w:val="22"/>
                <w:lang w:eastAsia="sv-SE"/>
              </w:rPr>
              <w:t xml:space="preserve">DMRS configuration for PDSCH transmissions using PDSCH mapping type A (chosen dynamically via </w:t>
            </w:r>
            <w:r w:rsidRPr="00FA0D37">
              <w:rPr>
                <w:i/>
                <w:szCs w:val="22"/>
                <w:lang w:eastAsia="sv-SE"/>
              </w:rPr>
              <w:t>PDSCH-TimeDomainResourceAllocation</w:t>
            </w:r>
            <w:r w:rsidRPr="00FA0D37">
              <w:rPr>
                <w:szCs w:val="22"/>
                <w:lang w:eastAsia="sv-SE"/>
              </w:rPr>
              <w:t xml:space="preserve">). Only the fields </w:t>
            </w:r>
            <w:r w:rsidRPr="00FA0D37">
              <w:rPr>
                <w:i/>
                <w:szCs w:val="22"/>
                <w:lang w:eastAsia="sv-SE"/>
              </w:rPr>
              <w:t>dmrs-Type</w:t>
            </w:r>
            <w:r w:rsidRPr="00FA0D37">
              <w:rPr>
                <w:szCs w:val="22"/>
                <w:lang w:eastAsia="sv-SE"/>
              </w:rPr>
              <w:t xml:space="preserve">, </w:t>
            </w:r>
            <w:r w:rsidRPr="00FA0D37">
              <w:rPr>
                <w:i/>
                <w:szCs w:val="22"/>
                <w:lang w:eastAsia="sv-SE"/>
              </w:rPr>
              <w:t>dmrs-AdditionalPosition</w:t>
            </w:r>
            <w:r w:rsidRPr="00FA0D37">
              <w:rPr>
                <w:szCs w:val="22"/>
                <w:lang w:eastAsia="sv-SE"/>
              </w:rPr>
              <w:t xml:space="preserve"> and </w:t>
            </w:r>
            <w:r w:rsidRPr="00FA0D37">
              <w:rPr>
                <w:i/>
                <w:szCs w:val="22"/>
                <w:lang w:eastAsia="sv-SE"/>
              </w:rPr>
              <w:t>maxLength</w:t>
            </w:r>
            <w:r w:rsidRPr="00FA0D37">
              <w:rPr>
                <w:szCs w:val="22"/>
                <w:lang w:eastAsia="sv-SE"/>
              </w:rPr>
              <w:t xml:space="preserve"> may be set differently for mapping type A and B. The field </w:t>
            </w:r>
            <w:r w:rsidRPr="00FA0D37">
              <w:rPr>
                <w:i/>
                <w:szCs w:val="22"/>
                <w:lang w:eastAsia="sv-SE"/>
              </w:rPr>
              <w:t xml:space="preserve">dmrs-DownlinkForPDSCH-MappingTypeA </w:t>
            </w:r>
            <w:r w:rsidRPr="00FA0D37">
              <w:rPr>
                <w:szCs w:val="22"/>
              </w:rPr>
              <w:t>applies</w:t>
            </w:r>
            <w:r w:rsidRPr="00FA0D37">
              <w:rPr>
                <w:szCs w:val="22"/>
                <w:lang w:eastAsia="sv-SE"/>
              </w:rPr>
              <w:t xml:space="preserve"> to DCI format 1_1 and the field </w:t>
            </w:r>
            <w:r w:rsidRPr="00FA0D37">
              <w:rPr>
                <w:i/>
                <w:szCs w:val="22"/>
                <w:lang w:eastAsia="sv-SE"/>
              </w:rPr>
              <w:t>dmrs-DownlinkForPDSCH-</w:t>
            </w:r>
            <w:r w:rsidRPr="00FA0D37">
              <w:rPr>
                <w:i/>
                <w:szCs w:val="22"/>
              </w:rPr>
              <w:t>MappingTypeA-DCI</w:t>
            </w:r>
            <w:r w:rsidRPr="00FA0D37">
              <w:rPr>
                <w:i/>
                <w:szCs w:val="22"/>
                <w:lang w:eastAsia="sv-SE"/>
              </w:rPr>
              <w:t>-1-2</w:t>
            </w:r>
            <w:r w:rsidRPr="00FA0D37">
              <w:rPr>
                <w:szCs w:val="22"/>
                <w:lang w:eastAsia="sv-SE"/>
              </w:rPr>
              <w:t xml:space="preserve"> </w:t>
            </w:r>
            <w:r w:rsidRPr="00FA0D37">
              <w:rPr>
                <w:szCs w:val="22"/>
              </w:rPr>
              <w:t>applies</w:t>
            </w:r>
            <w:r w:rsidRPr="00FA0D37">
              <w:rPr>
                <w:szCs w:val="22"/>
                <w:lang w:eastAsia="sv-SE"/>
              </w:rPr>
              <w:t xml:space="preserve"> to DCI format 1_2 (see TS 38.212 [17], clause 7.3.1).</w:t>
            </w:r>
          </w:p>
        </w:tc>
      </w:tr>
      <w:tr w:rsidR="005C7FF4" w:rsidRPr="00FA0D37"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FA0D37" w:rsidRDefault="00394471" w:rsidP="00964CC4">
            <w:pPr>
              <w:pStyle w:val="TAL"/>
              <w:rPr>
                <w:szCs w:val="22"/>
                <w:lang w:eastAsia="sv-SE"/>
              </w:rPr>
            </w:pPr>
            <w:r w:rsidRPr="00FA0D37">
              <w:rPr>
                <w:b/>
                <w:i/>
                <w:szCs w:val="22"/>
                <w:lang w:eastAsia="sv-SE"/>
              </w:rPr>
              <w:t>dmrs-DownlinkForPDSCH-MappingTypeB, dmrs-DownlinkForPDSCH-</w:t>
            </w:r>
            <w:r w:rsidRPr="00FA0D37">
              <w:rPr>
                <w:b/>
                <w:i/>
                <w:szCs w:val="22"/>
              </w:rPr>
              <w:t>MappingTypeB-DCI</w:t>
            </w:r>
            <w:r w:rsidRPr="00FA0D37">
              <w:rPr>
                <w:b/>
                <w:i/>
                <w:szCs w:val="22"/>
                <w:lang w:eastAsia="sv-SE"/>
              </w:rPr>
              <w:t>-1-2</w:t>
            </w:r>
          </w:p>
          <w:p w14:paraId="2223EB84" w14:textId="77777777" w:rsidR="00394471" w:rsidRPr="00FA0D37" w:rsidRDefault="00394471" w:rsidP="00964CC4">
            <w:pPr>
              <w:pStyle w:val="TAL"/>
              <w:rPr>
                <w:szCs w:val="22"/>
                <w:lang w:eastAsia="sv-SE"/>
              </w:rPr>
            </w:pPr>
            <w:r w:rsidRPr="00FA0D37">
              <w:rPr>
                <w:szCs w:val="22"/>
                <w:lang w:eastAsia="sv-SE"/>
              </w:rPr>
              <w:t xml:space="preserve">DMRS configuration for PDSCH transmissions using PDSCH mapping type B (chosen dynamically via </w:t>
            </w:r>
            <w:r w:rsidRPr="00FA0D37">
              <w:rPr>
                <w:i/>
                <w:szCs w:val="22"/>
                <w:lang w:eastAsia="sv-SE"/>
              </w:rPr>
              <w:t>PDSCH-TimeDomainResourceAllocation</w:t>
            </w:r>
            <w:r w:rsidRPr="00FA0D37">
              <w:rPr>
                <w:szCs w:val="22"/>
                <w:lang w:eastAsia="sv-SE"/>
              </w:rPr>
              <w:t xml:space="preserve">). Only the fields </w:t>
            </w:r>
            <w:r w:rsidRPr="00FA0D37">
              <w:rPr>
                <w:i/>
                <w:szCs w:val="22"/>
                <w:lang w:eastAsia="sv-SE"/>
              </w:rPr>
              <w:t>dmrs-Type</w:t>
            </w:r>
            <w:r w:rsidRPr="00FA0D37">
              <w:rPr>
                <w:szCs w:val="22"/>
                <w:lang w:eastAsia="sv-SE"/>
              </w:rPr>
              <w:t xml:space="preserve">, </w:t>
            </w:r>
            <w:r w:rsidRPr="00FA0D37">
              <w:rPr>
                <w:i/>
                <w:szCs w:val="22"/>
                <w:lang w:eastAsia="sv-SE"/>
              </w:rPr>
              <w:t>dmrs-AdditionalPosition</w:t>
            </w:r>
            <w:r w:rsidRPr="00FA0D37">
              <w:rPr>
                <w:szCs w:val="22"/>
                <w:lang w:eastAsia="sv-SE"/>
              </w:rPr>
              <w:t xml:space="preserve"> and </w:t>
            </w:r>
            <w:r w:rsidRPr="00FA0D37">
              <w:rPr>
                <w:i/>
                <w:szCs w:val="22"/>
                <w:lang w:eastAsia="sv-SE"/>
              </w:rPr>
              <w:t>maxLength</w:t>
            </w:r>
            <w:r w:rsidRPr="00FA0D37">
              <w:rPr>
                <w:szCs w:val="22"/>
                <w:lang w:eastAsia="sv-SE"/>
              </w:rPr>
              <w:t xml:space="preserve"> may be set differently for mapping type A and B. The field </w:t>
            </w:r>
            <w:r w:rsidRPr="00FA0D37">
              <w:rPr>
                <w:i/>
                <w:szCs w:val="22"/>
                <w:lang w:eastAsia="sv-SE"/>
              </w:rPr>
              <w:t xml:space="preserve">dmrs-DownlinkForPDSCH-MappingTypeB </w:t>
            </w:r>
            <w:r w:rsidRPr="00FA0D37">
              <w:rPr>
                <w:szCs w:val="22"/>
              </w:rPr>
              <w:t>applies</w:t>
            </w:r>
            <w:r w:rsidRPr="00FA0D37">
              <w:rPr>
                <w:szCs w:val="22"/>
                <w:lang w:eastAsia="sv-SE"/>
              </w:rPr>
              <w:t xml:space="preserve"> to DCI format 1_1 and the field </w:t>
            </w:r>
            <w:r w:rsidRPr="00FA0D37">
              <w:rPr>
                <w:i/>
                <w:szCs w:val="22"/>
                <w:lang w:eastAsia="sv-SE"/>
              </w:rPr>
              <w:t>dmrs-DownlinkForPDSCH-</w:t>
            </w:r>
            <w:r w:rsidRPr="00FA0D37">
              <w:rPr>
                <w:i/>
                <w:szCs w:val="22"/>
              </w:rPr>
              <w:t>MappingTypeB-DCI</w:t>
            </w:r>
            <w:r w:rsidRPr="00FA0D37">
              <w:rPr>
                <w:i/>
                <w:szCs w:val="22"/>
                <w:lang w:eastAsia="sv-SE"/>
              </w:rPr>
              <w:t>-1-2</w:t>
            </w:r>
            <w:r w:rsidRPr="00FA0D37">
              <w:rPr>
                <w:szCs w:val="22"/>
                <w:lang w:eastAsia="sv-SE"/>
              </w:rPr>
              <w:t xml:space="preserve"> </w:t>
            </w:r>
            <w:r w:rsidRPr="00FA0D37">
              <w:rPr>
                <w:szCs w:val="22"/>
              </w:rPr>
              <w:t>applies</w:t>
            </w:r>
            <w:r w:rsidRPr="00FA0D37">
              <w:rPr>
                <w:szCs w:val="22"/>
                <w:lang w:eastAsia="sv-SE"/>
              </w:rPr>
              <w:t xml:space="preserve"> to DCI format 1_2 (see TS 38.212 [17], clause 7.3.1).</w:t>
            </w:r>
          </w:p>
        </w:tc>
      </w:tr>
      <w:tr w:rsidR="005C7FF4" w:rsidRPr="00FA0D37"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FA0D37" w:rsidRDefault="007E2C88" w:rsidP="000830BB">
            <w:pPr>
              <w:pStyle w:val="TAL"/>
              <w:rPr>
                <w:b/>
                <w:bCs/>
                <w:i/>
                <w:iCs/>
                <w:lang w:eastAsia="sv-SE"/>
              </w:rPr>
            </w:pPr>
            <w:r w:rsidRPr="00FA0D37">
              <w:rPr>
                <w:b/>
                <w:bCs/>
                <w:i/>
                <w:iCs/>
                <w:lang w:eastAsia="sv-SE"/>
              </w:rPr>
              <w:t>dmrs-FD-OCC-DisabledForRank1-PDSCH</w:t>
            </w:r>
          </w:p>
          <w:p w14:paraId="4BB88F2E" w14:textId="77777777" w:rsidR="007E2C88" w:rsidRPr="00FA0D37" w:rsidRDefault="007E2C88" w:rsidP="000830BB">
            <w:pPr>
              <w:pStyle w:val="TAL"/>
              <w:rPr>
                <w:lang w:eastAsia="sv-SE"/>
              </w:rPr>
            </w:pPr>
            <w:r w:rsidRPr="00FA0D37">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p>
        </w:tc>
      </w:tr>
      <w:tr w:rsidR="005C7FF4" w:rsidRPr="00FA0D37"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FA0D37" w:rsidRDefault="00394471" w:rsidP="00964CC4">
            <w:pPr>
              <w:pStyle w:val="TAL"/>
              <w:rPr>
                <w:b/>
                <w:i/>
                <w:szCs w:val="22"/>
                <w:lang w:eastAsia="sv-SE"/>
              </w:rPr>
            </w:pPr>
            <w:r w:rsidRPr="00FA0D37">
              <w:rPr>
                <w:b/>
                <w:i/>
                <w:szCs w:val="22"/>
                <w:lang w:eastAsia="sv-SE"/>
              </w:rPr>
              <w:t>dmrs-SequenceInitializationDCI-1_2</w:t>
            </w:r>
          </w:p>
          <w:p w14:paraId="2E26C6BA" w14:textId="77777777" w:rsidR="00394471" w:rsidRPr="00FA0D37" w:rsidRDefault="00394471" w:rsidP="00964CC4">
            <w:pPr>
              <w:pStyle w:val="TAL"/>
              <w:rPr>
                <w:b/>
                <w:i/>
                <w:szCs w:val="22"/>
                <w:lang w:eastAsia="sv-SE"/>
              </w:rPr>
            </w:pPr>
            <w:r w:rsidRPr="00FA0D37">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5C7FF4" w:rsidRPr="00FA0D37"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FA0D37" w:rsidRDefault="001B0D59" w:rsidP="0071565C">
            <w:pPr>
              <w:pStyle w:val="TAL"/>
              <w:rPr>
                <w:b/>
                <w:bCs/>
                <w:i/>
                <w:noProof/>
                <w:lang w:eastAsia="en-GB"/>
              </w:rPr>
            </w:pPr>
            <w:r w:rsidRPr="00FA0D37">
              <w:rPr>
                <w:b/>
                <w:bCs/>
                <w:i/>
                <w:noProof/>
                <w:lang w:eastAsia="en-GB"/>
              </w:rPr>
              <w:t>dummy</w:t>
            </w:r>
          </w:p>
          <w:p w14:paraId="6C2C5D21" w14:textId="77777777" w:rsidR="001B0D59" w:rsidRPr="00FA0D37" w:rsidRDefault="001B0D59" w:rsidP="0071565C">
            <w:pPr>
              <w:pStyle w:val="TAL"/>
              <w:rPr>
                <w:b/>
                <w:i/>
                <w:szCs w:val="22"/>
                <w:lang w:eastAsia="sv-SE"/>
              </w:rPr>
            </w:pPr>
            <w:r w:rsidRPr="00FA0D37">
              <w:rPr>
                <w:lang w:eastAsia="sv-SE"/>
              </w:rPr>
              <w:t>This field is not used in the specification. If received it shall be ignored by the UE.</w:t>
            </w:r>
          </w:p>
        </w:tc>
      </w:tr>
      <w:tr w:rsidR="005C7FF4" w:rsidRPr="00FA0D37"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FA0D37" w:rsidRDefault="00394471" w:rsidP="00964CC4">
            <w:pPr>
              <w:pStyle w:val="TAL"/>
              <w:rPr>
                <w:b/>
                <w:i/>
                <w:szCs w:val="22"/>
                <w:lang w:eastAsia="sv-SE"/>
              </w:rPr>
            </w:pPr>
            <w:r w:rsidRPr="00FA0D37">
              <w:rPr>
                <w:b/>
                <w:i/>
                <w:szCs w:val="22"/>
                <w:lang w:eastAsia="sv-SE"/>
              </w:rPr>
              <w:t>harq-ProcessNumberSizeDCI-1-2</w:t>
            </w:r>
          </w:p>
          <w:p w14:paraId="4478F7B0" w14:textId="77777777" w:rsidR="00394471" w:rsidRPr="00FA0D37" w:rsidRDefault="00394471" w:rsidP="00964CC4">
            <w:pPr>
              <w:pStyle w:val="TAL"/>
              <w:rPr>
                <w:b/>
                <w:i/>
                <w:szCs w:val="22"/>
                <w:lang w:eastAsia="sv-SE"/>
              </w:rPr>
            </w:pPr>
            <w:r w:rsidRPr="00FA0D37">
              <w:rPr>
                <w:szCs w:val="22"/>
                <w:lang w:eastAsia="sv-SE"/>
              </w:rPr>
              <w:t>Configure the number of bits for the field "HARQ process number" in DCI format 1_2 (see TS 38.212 [17], clause 7.3.1).</w:t>
            </w:r>
          </w:p>
        </w:tc>
      </w:tr>
      <w:tr w:rsidR="005C7FF4" w:rsidRPr="00FA0D37"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FA0D37" w:rsidRDefault="00394471" w:rsidP="00964CC4">
            <w:pPr>
              <w:pStyle w:val="TAL"/>
              <w:rPr>
                <w:b/>
                <w:i/>
                <w:szCs w:val="22"/>
                <w:lang w:eastAsia="sv-SE"/>
              </w:rPr>
            </w:pPr>
            <w:r w:rsidRPr="00FA0D37">
              <w:rPr>
                <w:b/>
                <w:i/>
                <w:szCs w:val="22"/>
                <w:lang w:eastAsia="sv-SE"/>
              </w:rPr>
              <w:lastRenderedPageBreak/>
              <w:t>maxMIMO-Layers</w:t>
            </w:r>
          </w:p>
          <w:p w14:paraId="71B5F849" w14:textId="77777777" w:rsidR="006C48AD" w:rsidRPr="00FA0D37" w:rsidRDefault="00394471" w:rsidP="006C48AD">
            <w:pPr>
              <w:pStyle w:val="TAL"/>
              <w:rPr>
                <w:szCs w:val="22"/>
                <w:lang w:eastAsia="sv-SE"/>
              </w:rPr>
            </w:pPr>
            <w:r w:rsidRPr="00FA0D37">
              <w:rPr>
                <w:szCs w:val="22"/>
                <w:lang w:eastAsia="sv-SE"/>
              </w:rPr>
              <w:t xml:space="preserve">Indicates the maximum </w:t>
            </w:r>
            <w:r w:rsidRPr="00FA0D37">
              <w:rPr>
                <w:szCs w:val="22"/>
              </w:rPr>
              <w:t xml:space="preserve">number of MIMO layers to be used for PDSCH in this </w:t>
            </w:r>
            <w:r w:rsidRPr="00FA0D37">
              <w:rPr>
                <w:szCs w:val="22"/>
                <w:lang w:eastAsia="sv-SE"/>
              </w:rPr>
              <w:t xml:space="preserve">DL BWP. If not configured, the UE uses the </w:t>
            </w:r>
            <w:r w:rsidRPr="00FA0D37">
              <w:rPr>
                <w:i/>
                <w:szCs w:val="22"/>
                <w:lang w:eastAsia="sv-SE"/>
              </w:rPr>
              <w:t>maxMIMO-Layers</w:t>
            </w:r>
            <w:r w:rsidRPr="00FA0D37">
              <w:rPr>
                <w:szCs w:val="22"/>
                <w:lang w:eastAsia="sv-SE"/>
              </w:rPr>
              <w:t xml:space="preserve"> configuration in IE </w:t>
            </w:r>
            <w:r w:rsidRPr="00FA0D37">
              <w:rPr>
                <w:i/>
                <w:lang w:eastAsia="sv-SE"/>
              </w:rPr>
              <w:t>PDSCH-ServingCellConfig</w:t>
            </w:r>
            <w:r w:rsidRPr="00FA0D37">
              <w:rPr>
                <w:szCs w:val="22"/>
                <w:lang w:eastAsia="sv-SE"/>
              </w:rPr>
              <w:t xml:space="preserve"> of the serving cell to which this BWP belongs, when the UE operates in this BWP. The value of </w:t>
            </w:r>
            <w:r w:rsidRPr="00FA0D37">
              <w:rPr>
                <w:i/>
                <w:szCs w:val="22"/>
                <w:lang w:eastAsia="sv-SE"/>
              </w:rPr>
              <w:t>maxMIMO-Layers</w:t>
            </w:r>
            <w:r w:rsidRPr="00FA0D37">
              <w:rPr>
                <w:szCs w:val="22"/>
                <w:lang w:eastAsia="sv-SE"/>
              </w:rPr>
              <w:t xml:space="preserve"> for a DL BWP shall be smaller than or equal to the value of </w:t>
            </w:r>
            <w:r w:rsidRPr="00FA0D37">
              <w:rPr>
                <w:i/>
                <w:szCs w:val="22"/>
                <w:lang w:eastAsia="sv-SE"/>
              </w:rPr>
              <w:t>maxMIMO-Layers</w:t>
            </w:r>
            <w:r w:rsidRPr="00FA0D37">
              <w:rPr>
                <w:szCs w:val="22"/>
                <w:lang w:eastAsia="sv-SE"/>
              </w:rPr>
              <w:t xml:space="preserve"> configured in IE </w:t>
            </w:r>
            <w:r w:rsidRPr="00FA0D37">
              <w:rPr>
                <w:i/>
                <w:lang w:eastAsia="sv-SE"/>
              </w:rPr>
              <w:t>PDSCH-ServingCellConfig</w:t>
            </w:r>
            <w:r w:rsidRPr="00FA0D37">
              <w:rPr>
                <w:szCs w:val="22"/>
                <w:lang w:eastAsia="sv-SE"/>
              </w:rPr>
              <w:t xml:space="preserve"> of the serving cell to which this BWP belongs.</w:t>
            </w:r>
          </w:p>
          <w:p w14:paraId="29459908" w14:textId="6D03001A" w:rsidR="00394471" w:rsidRPr="00FA0D37" w:rsidRDefault="006C48AD" w:rsidP="006C48AD">
            <w:pPr>
              <w:pStyle w:val="TAL"/>
              <w:rPr>
                <w:szCs w:val="22"/>
                <w:lang w:eastAsia="sv-SE"/>
              </w:rPr>
            </w:pPr>
            <w:r w:rsidRPr="00FA0D37">
              <w:rPr>
                <w:szCs w:val="22"/>
                <w:lang w:eastAsia="sv-SE"/>
              </w:rPr>
              <w:t xml:space="preserve">For MBS multicast, indicates the maximum number of MIMO layers to be used for group-common PDSCH of MBS multicast in this CFR. If not configured for CFR, the UE applies value 1. The value of </w:t>
            </w:r>
            <w:r w:rsidRPr="00FA0D37">
              <w:rPr>
                <w:i/>
                <w:szCs w:val="22"/>
                <w:lang w:eastAsia="sv-SE"/>
              </w:rPr>
              <w:t>maxMIMO-Layers</w:t>
            </w:r>
            <w:r w:rsidRPr="00FA0D37">
              <w:rPr>
                <w:szCs w:val="22"/>
                <w:lang w:eastAsia="sv-SE"/>
              </w:rPr>
              <w:t xml:space="preserve"> for a CFR shall be smaller than or equal to the value of </w:t>
            </w:r>
            <w:r w:rsidRPr="00FA0D37">
              <w:rPr>
                <w:i/>
                <w:szCs w:val="22"/>
                <w:lang w:eastAsia="sv-SE"/>
              </w:rPr>
              <w:t>maxMIMO-Layers</w:t>
            </w:r>
            <w:r w:rsidRPr="00FA0D37">
              <w:rPr>
                <w:szCs w:val="22"/>
                <w:lang w:eastAsia="sv-SE"/>
              </w:rPr>
              <w:t xml:space="preserve"> configured in </w:t>
            </w:r>
            <w:r w:rsidRPr="00FA0D37">
              <w:rPr>
                <w:i/>
                <w:szCs w:val="22"/>
                <w:lang w:eastAsia="sv-SE"/>
              </w:rPr>
              <w:t>PDSCH-ServingCellConfig</w:t>
            </w:r>
            <w:r w:rsidRPr="00FA0D37">
              <w:rPr>
                <w:szCs w:val="22"/>
                <w:lang w:eastAsia="sv-SE"/>
              </w:rPr>
              <w:t xml:space="preserve"> IE of the serving cell to which this CFR belongs.</w:t>
            </w:r>
          </w:p>
        </w:tc>
      </w:tr>
      <w:tr w:rsidR="005C7FF4" w:rsidRPr="00FA0D37"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FA0D37" w:rsidRDefault="00394471" w:rsidP="00964CC4">
            <w:pPr>
              <w:pStyle w:val="TAL"/>
              <w:rPr>
                <w:szCs w:val="22"/>
                <w:lang w:eastAsia="sv-SE"/>
              </w:rPr>
            </w:pPr>
            <w:r w:rsidRPr="00FA0D37">
              <w:rPr>
                <w:b/>
                <w:i/>
                <w:szCs w:val="22"/>
                <w:lang w:eastAsia="sv-SE"/>
              </w:rPr>
              <w:t>maxNrofCodeWordsScheduledByDCI</w:t>
            </w:r>
          </w:p>
          <w:p w14:paraId="50E00DD3" w14:textId="77777777" w:rsidR="00394471" w:rsidRPr="00FA0D37" w:rsidRDefault="00394471" w:rsidP="00964CC4">
            <w:pPr>
              <w:pStyle w:val="TAL"/>
              <w:rPr>
                <w:szCs w:val="22"/>
                <w:lang w:eastAsia="sv-SE"/>
              </w:rPr>
            </w:pPr>
            <w:r w:rsidRPr="00FA0D37">
              <w:rPr>
                <w:szCs w:val="22"/>
                <w:lang w:eastAsia="sv-SE"/>
              </w:rPr>
              <w:t>Maximum number of code words that a single DCI may schedule. This changes the number of MCS/RV/NDI bits in the DCI message from 1 to 2.</w:t>
            </w:r>
          </w:p>
        </w:tc>
      </w:tr>
      <w:tr w:rsidR="005C7FF4" w:rsidRPr="00FA0D37"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FA0D37" w:rsidRDefault="00BB4037" w:rsidP="000830BB">
            <w:pPr>
              <w:pStyle w:val="TAL"/>
              <w:rPr>
                <w:b/>
                <w:bCs/>
                <w:i/>
                <w:iCs/>
                <w:lang w:eastAsia="sv-SE"/>
              </w:rPr>
            </w:pPr>
            <w:r w:rsidRPr="00FA0D37">
              <w:rPr>
                <w:b/>
                <w:bCs/>
                <w:i/>
                <w:iCs/>
                <w:lang w:eastAsia="sv-SE"/>
              </w:rPr>
              <w:t>mcs-Table</w:t>
            </w:r>
          </w:p>
          <w:p w14:paraId="15A7ED0A" w14:textId="3E37DADC" w:rsidR="00BB4037" w:rsidRPr="00FA0D37" w:rsidRDefault="00BB4037" w:rsidP="000830BB">
            <w:pPr>
              <w:pStyle w:val="TAL"/>
              <w:rPr>
                <w:bCs/>
                <w:iCs/>
                <w:lang w:eastAsia="sv-SE"/>
              </w:rPr>
            </w:pPr>
            <w:r w:rsidRPr="00FA0D37">
              <w:rPr>
                <w:lang w:eastAsia="sv-SE"/>
              </w:rPr>
              <w:t xml:space="preserve">Indicates which MCS table the UE shall use for PDSCH for DCI formats 1_0 and 1_1 (see TS 38.214 [19], clause 5.1.3.1). If all fields are absent the UE applies the value 64QAM. If the field </w:t>
            </w:r>
            <w:r w:rsidRPr="00FA0D37">
              <w:rPr>
                <w:i/>
                <w:iCs/>
                <w:lang w:eastAsia="sv-SE"/>
              </w:rPr>
              <w:t>mcs-Table-r17</w:t>
            </w:r>
            <w:r w:rsidRPr="00FA0D37">
              <w:rPr>
                <w:iCs/>
                <w:lang w:eastAsia="sv-SE"/>
              </w:rPr>
              <w:t xml:space="preserve"> is present for DCI format 1_1, the network does not configure the field </w:t>
            </w:r>
            <w:r w:rsidRPr="00FA0D37">
              <w:rPr>
                <w:i/>
                <w:iCs/>
                <w:lang w:eastAsia="sv-SE"/>
              </w:rPr>
              <w:t>mcs-Table</w:t>
            </w:r>
            <w:r w:rsidRPr="00FA0D37">
              <w:rPr>
                <w:lang w:eastAsia="sv-SE"/>
              </w:rPr>
              <w:t xml:space="preserve"> </w:t>
            </w:r>
            <w:r w:rsidRPr="00FA0D37">
              <w:rPr>
                <w:iCs/>
                <w:lang w:eastAsia="sv-SE"/>
              </w:rPr>
              <w:t>(without suffix).</w:t>
            </w:r>
            <w:r w:rsidR="00B37B2F" w:rsidRPr="00FA0D37">
              <w:rPr>
                <w:szCs w:val="22"/>
                <w:lang w:eastAsia="sv-SE"/>
              </w:rPr>
              <w:t xml:space="preserve"> For a RedCap UE, the 256QAM MCS table for PDSCH is only supported if the UE indicates support of 256QAM for PDSCH.</w:t>
            </w:r>
          </w:p>
        </w:tc>
      </w:tr>
      <w:tr w:rsidR="005C7FF4" w:rsidRPr="00FA0D37"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FA0D37" w:rsidRDefault="00BB4037" w:rsidP="000830BB">
            <w:pPr>
              <w:pStyle w:val="TAL"/>
              <w:rPr>
                <w:b/>
                <w:bCs/>
                <w:i/>
                <w:iCs/>
                <w:lang w:eastAsia="sv-SE"/>
              </w:rPr>
            </w:pPr>
            <w:r w:rsidRPr="00FA0D37">
              <w:rPr>
                <w:b/>
                <w:bCs/>
                <w:i/>
                <w:iCs/>
                <w:lang w:eastAsia="sv-SE"/>
              </w:rPr>
              <w:t>mcs-TableDCI-1-2</w:t>
            </w:r>
          </w:p>
          <w:p w14:paraId="3209FADC" w14:textId="35B54FB5" w:rsidR="00BB4037" w:rsidRPr="00FA0D37" w:rsidRDefault="00BB4037" w:rsidP="000830BB">
            <w:pPr>
              <w:pStyle w:val="TAL"/>
              <w:rPr>
                <w:iCs/>
                <w:lang w:eastAsia="sv-SE"/>
              </w:rPr>
            </w:pPr>
            <w:r w:rsidRPr="00FA0D37">
              <w:rPr>
                <w:lang w:eastAsia="sv-SE"/>
              </w:rPr>
              <w:t xml:space="preserve">Indicates which MCS table the UE shall use for PDSCH for DCI format 1_2 (see TS 38.214 [19], clause 5.1.3.1). If all fields are absent the UE applies the value 64QAM. If the field </w:t>
            </w:r>
            <w:r w:rsidRPr="00FA0D37">
              <w:rPr>
                <w:i/>
                <w:iCs/>
                <w:lang w:eastAsia="sv-SE"/>
              </w:rPr>
              <w:t>mcs-TableDCI-1-2-r17</w:t>
            </w:r>
            <w:r w:rsidRPr="00FA0D37">
              <w:rPr>
                <w:lang w:eastAsia="sv-SE"/>
              </w:rPr>
              <w:t xml:space="preserve"> </w:t>
            </w:r>
            <w:r w:rsidRPr="00FA0D37">
              <w:rPr>
                <w:iCs/>
                <w:lang w:eastAsia="sv-SE"/>
              </w:rPr>
              <w:t xml:space="preserve">is present, the network does not configure the field </w:t>
            </w:r>
            <w:r w:rsidRPr="00FA0D37">
              <w:rPr>
                <w:i/>
                <w:iCs/>
                <w:lang w:eastAsia="sv-SE"/>
              </w:rPr>
              <w:t>mcs-TableDCI-1-2</w:t>
            </w:r>
            <w:r w:rsidR="00FE5A80" w:rsidRPr="00FA0D37">
              <w:rPr>
                <w:i/>
                <w:iCs/>
                <w:lang w:eastAsia="sv-SE"/>
              </w:rPr>
              <w:t>-r16</w:t>
            </w:r>
            <w:r w:rsidRPr="00FA0D37">
              <w:rPr>
                <w:iCs/>
                <w:lang w:eastAsia="sv-SE"/>
              </w:rPr>
              <w:t>.</w:t>
            </w:r>
            <w:r w:rsidR="00B37B2F" w:rsidRPr="00FA0D37">
              <w:rPr>
                <w:szCs w:val="22"/>
                <w:lang w:eastAsia="sv-SE"/>
              </w:rPr>
              <w:t xml:space="preserve"> For a RedCap UE, the 256QAM MCS table for PDSCH is only supported if the UE indicates support of 256QAM for PDSCH.</w:t>
            </w:r>
          </w:p>
        </w:tc>
      </w:tr>
      <w:tr w:rsidR="005C7FF4" w:rsidRPr="00FA0D37"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FA0D37" w:rsidRDefault="00394471" w:rsidP="00964CC4">
            <w:pPr>
              <w:pStyle w:val="TAL"/>
              <w:rPr>
                <w:b/>
                <w:i/>
                <w:szCs w:val="22"/>
                <w:lang w:eastAsia="sv-SE"/>
              </w:rPr>
            </w:pPr>
            <w:r w:rsidRPr="00FA0D37">
              <w:rPr>
                <w:b/>
                <w:i/>
                <w:szCs w:val="22"/>
                <w:lang w:eastAsia="sv-SE"/>
              </w:rPr>
              <w:t>minimumSchedulingOffsetK0</w:t>
            </w:r>
          </w:p>
          <w:p w14:paraId="471D7776" w14:textId="77777777" w:rsidR="00394471" w:rsidRPr="00FA0D37" w:rsidRDefault="00394471" w:rsidP="00964CC4">
            <w:pPr>
              <w:pStyle w:val="TAL"/>
              <w:rPr>
                <w:b/>
                <w:i/>
                <w:szCs w:val="22"/>
                <w:lang w:eastAsia="sv-SE"/>
              </w:rPr>
            </w:pPr>
            <w:r w:rsidRPr="00FA0D37">
              <w:rPr>
                <w:szCs w:val="22"/>
                <w:lang w:eastAsia="sv-SE"/>
              </w:rPr>
              <w:t>List of minimum K0 values.</w:t>
            </w:r>
            <w:r w:rsidRPr="00FA0D37">
              <w:rPr>
                <w:lang w:eastAsia="sv-SE"/>
              </w:rPr>
              <w:t xml:space="preserve"> </w:t>
            </w:r>
            <w:r w:rsidRPr="00FA0D37">
              <w:rPr>
                <w:szCs w:val="22"/>
                <w:lang w:eastAsia="sv-SE"/>
              </w:rPr>
              <w:t>Minimum K0 parameter denotes minimum applicable value(s) for the TDRA table for PDSCH and for A-CSI RS triggering Offset(s) (see TS 38.214 [19], clause 5.3.1).</w:t>
            </w:r>
          </w:p>
        </w:tc>
      </w:tr>
      <w:tr w:rsidR="005C7FF4" w:rsidRPr="00FA0D37"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FA0D37" w:rsidRDefault="00394471" w:rsidP="00964CC4">
            <w:pPr>
              <w:pStyle w:val="TAL"/>
              <w:rPr>
                <w:b/>
                <w:i/>
                <w:szCs w:val="22"/>
                <w:lang w:eastAsia="sv-SE"/>
              </w:rPr>
            </w:pPr>
            <w:r w:rsidRPr="00FA0D37">
              <w:rPr>
                <w:b/>
                <w:i/>
                <w:szCs w:val="22"/>
                <w:lang w:eastAsia="sv-SE"/>
              </w:rPr>
              <w:t>numberOfBitsForRV-DCI-1-2</w:t>
            </w:r>
          </w:p>
          <w:p w14:paraId="29B646BC" w14:textId="77777777" w:rsidR="00394471" w:rsidRPr="00FA0D37" w:rsidRDefault="00394471" w:rsidP="00964CC4">
            <w:pPr>
              <w:pStyle w:val="TAL"/>
              <w:rPr>
                <w:b/>
                <w:i/>
                <w:szCs w:val="22"/>
                <w:lang w:eastAsia="sv-SE"/>
              </w:rPr>
            </w:pPr>
            <w:r w:rsidRPr="00FA0D37">
              <w:rPr>
                <w:szCs w:val="22"/>
                <w:lang w:eastAsia="sv-SE"/>
              </w:rPr>
              <w:t>Configures the number of bits for "Redundancy version" in the DCI format 1_2 (see TS 38.212 [17], clause 7.3.1 and TS 38.214 [19], clause 5.1.2.1).</w:t>
            </w:r>
          </w:p>
        </w:tc>
      </w:tr>
      <w:tr w:rsidR="005C7FF4" w:rsidRPr="00FA0D37"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FA0D37" w:rsidRDefault="00394471" w:rsidP="00964CC4">
            <w:pPr>
              <w:pStyle w:val="TAL"/>
              <w:rPr>
                <w:szCs w:val="22"/>
                <w:lang w:eastAsia="sv-SE"/>
              </w:rPr>
            </w:pPr>
            <w:r w:rsidRPr="00FA0D37">
              <w:rPr>
                <w:b/>
                <w:i/>
                <w:szCs w:val="22"/>
                <w:lang w:eastAsia="sv-SE"/>
              </w:rPr>
              <w:t>pdsch-AggregationFactor</w:t>
            </w:r>
          </w:p>
          <w:p w14:paraId="41166D0B" w14:textId="2183CE0B" w:rsidR="00394471" w:rsidRPr="00FA0D37" w:rsidRDefault="00394471" w:rsidP="00964CC4">
            <w:pPr>
              <w:pStyle w:val="TAL"/>
              <w:rPr>
                <w:szCs w:val="22"/>
                <w:lang w:eastAsia="sv-SE"/>
              </w:rPr>
            </w:pPr>
            <w:r w:rsidRPr="00FA0D37">
              <w:rPr>
                <w:szCs w:val="22"/>
                <w:lang w:eastAsia="sv-SE"/>
              </w:rPr>
              <w:t xml:space="preserve">Number of repetitions for data (see TS 38.214 [19], clause 5.1.2.1). When the field is absent </w:t>
            </w:r>
            <w:r w:rsidR="006C48AD" w:rsidRPr="00FA0D37">
              <w:rPr>
                <w:szCs w:val="22"/>
                <w:lang w:eastAsia="sv-SE"/>
              </w:rPr>
              <w:t xml:space="preserve">in </w:t>
            </w:r>
            <w:r w:rsidR="006C48AD" w:rsidRPr="00FA0D37">
              <w:rPr>
                <w:i/>
                <w:szCs w:val="22"/>
                <w:lang w:eastAsia="sv-SE"/>
              </w:rPr>
              <w:t>PDSCH-Config</w:t>
            </w:r>
            <w:r w:rsidR="006C48AD" w:rsidRPr="00FA0D37">
              <w:rPr>
                <w:szCs w:val="22"/>
                <w:lang w:eastAsia="sv-SE"/>
              </w:rPr>
              <w:t xml:space="preserve"> which is not used for MBS CFR, </w:t>
            </w:r>
            <w:r w:rsidRPr="00FA0D37">
              <w:rPr>
                <w:szCs w:val="22"/>
                <w:lang w:eastAsia="sv-SE"/>
              </w:rPr>
              <w:t>the UE applies the value 1.</w:t>
            </w:r>
          </w:p>
        </w:tc>
      </w:tr>
      <w:tr w:rsidR="005C7FF4" w:rsidRPr="00FA0D37"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FA0D37" w:rsidRDefault="005D7926" w:rsidP="00771058">
            <w:pPr>
              <w:pStyle w:val="TAL"/>
              <w:rPr>
                <w:b/>
                <w:i/>
                <w:szCs w:val="22"/>
                <w:lang w:eastAsia="sv-SE"/>
              </w:rPr>
            </w:pPr>
            <w:r w:rsidRPr="00FA0D37">
              <w:rPr>
                <w:b/>
                <w:i/>
                <w:szCs w:val="22"/>
                <w:lang w:eastAsia="sv-SE"/>
              </w:rPr>
              <w:t>pdsch-HARQ-ACK-EnhType3DCI-1-2</w:t>
            </w:r>
          </w:p>
          <w:p w14:paraId="13D85E0F" w14:textId="77777777" w:rsidR="005D7926" w:rsidRPr="00FA0D37" w:rsidRDefault="005D7926" w:rsidP="00771058">
            <w:pPr>
              <w:pStyle w:val="TAL"/>
              <w:rPr>
                <w:b/>
                <w:i/>
                <w:szCs w:val="22"/>
                <w:lang w:eastAsia="sv-SE"/>
              </w:rPr>
            </w:pPr>
            <w:r w:rsidRPr="00FA0D37">
              <w:rPr>
                <w:szCs w:val="22"/>
                <w:lang w:eastAsia="sv-SE"/>
              </w:rPr>
              <w:t>When configured, enhanced Type 3 HARQ-ACK codebook triggering by DCI format 1_2 is enabled.</w:t>
            </w:r>
          </w:p>
        </w:tc>
      </w:tr>
      <w:tr w:rsidR="005C7FF4" w:rsidRPr="00FA0D37"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FA0D37" w:rsidRDefault="005D7926" w:rsidP="00771058">
            <w:pPr>
              <w:pStyle w:val="TAL"/>
              <w:rPr>
                <w:b/>
                <w:i/>
                <w:szCs w:val="22"/>
                <w:lang w:eastAsia="sv-SE"/>
              </w:rPr>
            </w:pPr>
            <w:r w:rsidRPr="00FA0D37">
              <w:rPr>
                <w:b/>
                <w:i/>
                <w:szCs w:val="22"/>
                <w:lang w:eastAsia="sv-SE"/>
              </w:rPr>
              <w:t>pdsch-HARQ-ACK-EnhType3DCI-Field-1-2</w:t>
            </w:r>
          </w:p>
          <w:p w14:paraId="0FF248DC" w14:textId="77777777" w:rsidR="005D7926" w:rsidRPr="00FA0D37" w:rsidRDefault="005D7926" w:rsidP="00771058">
            <w:pPr>
              <w:pStyle w:val="TAL"/>
              <w:rPr>
                <w:b/>
                <w:i/>
                <w:szCs w:val="22"/>
                <w:lang w:eastAsia="sv-SE"/>
              </w:rPr>
            </w:pPr>
            <w:r w:rsidRPr="00FA0D37">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5C7FF4" w:rsidRPr="00FA0D37"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FA0D37" w:rsidRDefault="005D7926" w:rsidP="00771058">
            <w:pPr>
              <w:pStyle w:val="TAL"/>
              <w:rPr>
                <w:b/>
                <w:i/>
                <w:szCs w:val="22"/>
                <w:lang w:eastAsia="sv-SE"/>
              </w:rPr>
            </w:pPr>
            <w:r w:rsidRPr="00FA0D37">
              <w:rPr>
                <w:b/>
                <w:i/>
                <w:szCs w:val="22"/>
                <w:lang w:eastAsia="sv-SE"/>
              </w:rPr>
              <w:t>pdsch-HARQ-ACK-OneShotFeedbackDCI-1-2</w:t>
            </w:r>
          </w:p>
          <w:p w14:paraId="620D3D74" w14:textId="77777777" w:rsidR="005D7926" w:rsidRPr="00FA0D37" w:rsidRDefault="005D7926" w:rsidP="00771058">
            <w:pPr>
              <w:pStyle w:val="TAL"/>
              <w:rPr>
                <w:b/>
                <w:i/>
                <w:szCs w:val="22"/>
                <w:lang w:eastAsia="sv-SE"/>
              </w:rPr>
            </w:pPr>
            <w:r w:rsidRPr="00FA0D37">
              <w:rPr>
                <w:szCs w:val="22"/>
                <w:lang w:eastAsia="sv-SE"/>
              </w:rPr>
              <w:t>When configured, DCI format 1_2 can request the UE to report A/N for all HARQ processes and all component carriers configured in the PUCCH group (see TS 38.212 [17], clause 7.3.1).</w:t>
            </w:r>
          </w:p>
        </w:tc>
      </w:tr>
      <w:tr w:rsidR="005C7FF4" w:rsidRPr="00FA0D37"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FA0D37" w:rsidRDefault="005D7926" w:rsidP="00771058">
            <w:pPr>
              <w:pStyle w:val="TAL"/>
              <w:rPr>
                <w:b/>
                <w:i/>
                <w:szCs w:val="22"/>
                <w:lang w:eastAsia="sv-SE"/>
              </w:rPr>
            </w:pPr>
            <w:r w:rsidRPr="00FA0D37">
              <w:rPr>
                <w:b/>
                <w:i/>
                <w:szCs w:val="22"/>
                <w:lang w:eastAsia="sv-SE"/>
              </w:rPr>
              <w:t>pdsch-HARQ-ACK-RetxDCI-1-2</w:t>
            </w:r>
          </w:p>
          <w:p w14:paraId="2E727D55" w14:textId="77777777" w:rsidR="005D7926" w:rsidRPr="00FA0D37" w:rsidRDefault="005D7926" w:rsidP="00771058">
            <w:pPr>
              <w:pStyle w:val="TAL"/>
              <w:rPr>
                <w:b/>
                <w:i/>
                <w:szCs w:val="22"/>
                <w:lang w:eastAsia="sv-SE"/>
              </w:rPr>
            </w:pPr>
            <w:r w:rsidRPr="00FA0D37">
              <w:rPr>
                <w:szCs w:val="22"/>
                <w:lang w:eastAsia="sv-SE"/>
              </w:rPr>
              <w:t>When configured, DCI format 1_2 can request the UE to perform a HARQ-ACK re-transmission on a PUCCH resource (see TS 38.213 [13], clause 9.1.5).</w:t>
            </w:r>
          </w:p>
        </w:tc>
      </w:tr>
      <w:tr w:rsidR="005C7FF4" w:rsidRPr="00FA0D37"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1A073E49" w:rsidR="00394471" w:rsidRPr="00FA0D37" w:rsidRDefault="00394471" w:rsidP="00964CC4">
            <w:pPr>
              <w:pStyle w:val="TAL"/>
              <w:rPr>
                <w:szCs w:val="22"/>
                <w:lang w:eastAsia="sv-SE"/>
              </w:rPr>
            </w:pPr>
            <w:r w:rsidRPr="00FA0D37">
              <w:rPr>
                <w:b/>
                <w:i/>
                <w:szCs w:val="22"/>
                <w:lang w:eastAsia="sv-SE"/>
              </w:rPr>
              <w:t>pdsch-TimeDomainAllocationList, pdsch-TimeDomainAllocationListDCI-1-2</w:t>
            </w:r>
            <w:r w:rsidR="007E2C88" w:rsidRPr="00FA0D37">
              <w:rPr>
                <w:b/>
                <w:i/>
                <w:szCs w:val="22"/>
                <w:lang w:eastAsia="sv-SE"/>
              </w:rPr>
              <w:t>, pdsch-TimeDomainAllocationListForMultiPDSCH</w:t>
            </w:r>
          </w:p>
          <w:p w14:paraId="745FD5C8" w14:textId="07EDA521" w:rsidR="00EF5E42" w:rsidRPr="00FA0D37" w:rsidRDefault="00394471" w:rsidP="00964CC4">
            <w:pPr>
              <w:pStyle w:val="TAL"/>
              <w:rPr>
                <w:szCs w:val="22"/>
                <w:lang w:eastAsia="sv-SE"/>
              </w:rPr>
            </w:pPr>
            <w:r w:rsidRPr="00FA0D37">
              <w:rPr>
                <w:szCs w:val="22"/>
                <w:lang w:eastAsia="sv-SE"/>
              </w:rPr>
              <w:t>List of time-domain configurations for timing of DL assignment to DL data.</w:t>
            </w:r>
          </w:p>
          <w:p w14:paraId="124E4E5F" w14:textId="108F1359" w:rsidR="00394471" w:rsidRPr="00FA0D37" w:rsidRDefault="00394471" w:rsidP="00964CC4">
            <w:pPr>
              <w:pStyle w:val="TAL"/>
              <w:rPr>
                <w:szCs w:val="22"/>
                <w:lang w:eastAsia="sv-SE"/>
              </w:rPr>
            </w:pPr>
            <w:r w:rsidRPr="00FA0D37">
              <w:rPr>
                <w:szCs w:val="22"/>
                <w:lang w:eastAsia="sv-SE"/>
              </w:rPr>
              <w:t xml:space="preserve">The </w:t>
            </w:r>
            <w:r w:rsidR="00EF5E42" w:rsidRPr="00FA0D37">
              <w:rPr>
                <w:szCs w:val="22"/>
                <w:lang w:eastAsia="sv-SE"/>
              </w:rPr>
              <w:t xml:space="preserve">field </w:t>
            </w:r>
            <w:r w:rsidRPr="00FA0D37">
              <w:rPr>
                <w:i/>
                <w:szCs w:val="22"/>
                <w:lang w:eastAsia="sv-SE"/>
              </w:rPr>
              <w:t>pdsch-TimeDomainAllocationList</w:t>
            </w:r>
            <w:r w:rsidRPr="00FA0D37">
              <w:rPr>
                <w:iCs/>
                <w:szCs w:val="22"/>
                <w:lang w:eastAsia="sv-SE"/>
              </w:rPr>
              <w:t xml:space="preserve"> (with or without suffix) </w:t>
            </w:r>
            <w:r w:rsidRPr="00FA0D37">
              <w:rPr>
                <w:szCs w:val="22"/>
              </w:rPr>
              <w:t>applies</w:t>
            </w:r>
            <w:r w:rsidRPr="00FA0D37">
              <w:rPr>
                <w:szCs w:val="22"/>
                <w:lang w:eastAsia="sv-SE"/>
              </w:rPr>
              <w:t xml:space="preserve"> to DCI format 1_0 and DCI format 1_1</w:t>
            </w:r>
            <w:r w:rsidR="00EF5E42" w:rsidRPr="00FA0D37">
              <w:rPr>
                <w:szCs w:val="22"/>
                <w:lang w:eastAsia="sv-SE"/>
              </w:rPr>
              <w:t xml:space="preserve"> (see table 5.1.2.1.1-1 in TS 38.214 [19])</w:t>
            </w:r>
            <w:r w:rsidRPr="00FA0D37">
              <w:rPr>
                <w:szCs w:val="22"/>
                <w:lang w:eastAsia="sv-SE"/>
              </w:rPr>
              <w:t xml:space="preserve">, and </w:t>
            </w:r>
            <w:r w:rsidR="00EF5E42" w:rsidRPr="00FA0D37">
              <w:rPr>
                <w:szCs w:val="22"/>
                <w:lang w:eastAsia="sv-SE"/>
              </w:rPr>
              <w:t xml:space="preserve">if the field </w:t>
            </w:r>
            <w:r w:rsidR="00EF5E42" w:rsidRPr="00FA0D37">
              <w:rPr>
                <w:i/>
                <w:szCs w:val="22"/>
                <w:lang w:eastAsia="sv-SE"/>
              </w:rPr>
              <w:t>pdsch-TimeDomainAllocationListDCI-1-2</w:t>
            </w:r>
            <w:r w:rsidR="00EF5E42" w:rsidRPr="00FA0D37">
              <w:rPr>
                <w:szCs w:val="22"/>
                <w:lang w:eastAsia="sv-SE"/>
              </w:rPr>
              <w:t xml:space="preserve"> is not configured, to DCI format 1_2. If </w:t>
            </w:r>
            <w:r w:rsidRPr="00FA0D37">
              <w:rPr>
                <w:szCs w:val="22"/>
                <w:lang w:eastAsia="sv-SE"/>
              </w:rPr>
              <w:t xml:space="preserve">the field </w:t>
            </w:r>
            <w:r w:rsidRPr="00FA0D37">
              <w:rPr>
                <w:i/>
                <w:szCs w:val="22"/>
                <w:lang w:eastAsia="sv-SE"/>
              </w:rPr>
              <w:t>pdsch-TimeDomainAllocationListDCI-1-2</w:t>
            </w:r>
            <w:r w:rsidRPr="00FA0D37">
              <w:rPr>
                <w:szCs w:val="22"/>
                <w:lang w:eastAsia="sv-SE"/>
              </w:rPr>
              <w:t xml:space="preserve"> </w:t>
            </w:r>
            <w:r w:rsidR="00EF5E42" w:rsidRPr="00FA0D37">
              <w:rPr>
                <w:szCs w:val="22"/>
                <w:lang w:eastAsia="sv-SE"/>
              </w:rPr>
              <w:t xml:space="preserve">is configured, it </w:t>
            </w:r>
            <w:r w:rsidRPr="00FA0D37">
              <w:rPr>
                <w:szCs w:val="22"/>
              </w:rPr>
              <w:t>applies</w:t>
            </w:r>
            <w:r w:rsidRPr="00FA0D37">
              <w:rPr>
                <w:szCs w:val="22"/>
                <w:lang w:eastAsia="sv-SE"/>
              </w:rPr>
              <w:t xml:space="preserve"> to DCI format 1_2 (see table 5.1.2.1.1-1A in TS 38.214 [19]).</w:t>
            </w:r>
            <w:r w:rsidR="007E2C88" w:rsidRPr="00FA0D37">
              <w:rPr>
                <w:szCs w:val="22"/>
                <w:lang w:eastAsia="sv-SE"/>
              </w:rPr>
              <w:t xml:space="preserve"> The field </w:t>
            </w:r>
            <w:r w:rsidR="007E2C88" w:rsidRPr="00FA0D37">
              <w:rPr>
                <w:i/>
                <w:szCs w:val="22"/>
                <w:lang w:eastAsia="sv-SE"/>
              </w:rPr>
              <w:t>pdsch-TimeDomainAllocationListForMultiPDSCH</w:t>
            </w:r>
            <w:r w:rsidR="007E2C88" w:rsidRPr="00FA0D37">
              <w:rPr>
                <w:szCs w:val="22"/>
                <w:lang w:eastAsia="sv-SE"/>
              </w:rPr>
              <w:t xml:space="preserve"> applies to DCI format 1_1.</w:t>
            </w:r>
          </w:p>
          <w:p w14:paraId="61215798" w14:textId="2C34A3BC" w:rsidR="00394471" w:rsidRPr="00FA0D37" w:rsidRDefault="00394471" w:rsidP="00964CC4">
            <w:pPr>
              <w:pStyle w:val="TAL"/>
              <w:rPr>
                <w:szCs w:val="22"/>
                <w:lang w:eastAsia="sv-SE"/>
              </w:rPr>
            </w:pPr>
            <w:r w:rsidRPr="00FA0D37">
              <w:rPr>
                <w:szCs w:val="22"/>
                <w:lang w:eastAsia="sv-SE"/>
              </w:rPr>
              <w:t xml:space="preserve">The network does not configure the </w:t>
            </w:r>
            <w:r w:rsidRPr="00FA0D37">
              <w:rPr>
                <w:i/>
                <w:szCs w:val="22"/>
                <w:lang w:eastAsia="sv-SE"/>
              </w:rPr>
              <w:t>pdsch-TimeDomainAllocationList-r16</w:t>
            </w:r>
            <w:r w:rsidRPr="00FA0D37">
              <w:rPr>
                <w:szCs w:val="22"/>
                <w:lang w:eastAsia="sv-SE"/>
              </w:rPr>
              <w:t xml:space="preserve"> simultaneously with the </w:t>
            </w:r>
            <w:r w:rsidRPr="00FA0D37">
              <w:rPr>
                <w:i/>
                <w:szCs w:val="22"/>
                <w:lang w:eastAsia="sv-SE"/>
              </w:rPr>
              <w:t>pdsch-TimeDomainAllocationList</w:t>
            </w:r>
            <w:r w:rsidRPr="00FA0D37">
              <w:rPr>
                <w:szCs w:val="22"/>
                <w:lang w:eastAsia="sv-SE"/>
              </w:rPr>
              <w:t xml:space="preserve"> (without suffix)</w:t>
            </w:r>
            <w:r w:rsidR="00EF5E42" w:rsidRPr="00FA0D37">
              <w:rPr>
                <w:szCs w:val="22"/>
                <w:lang w:eastAsia="sv-SE"/>
              </w:rPr>
              <w:t xml:space="preserve"> in the same </w:t>
            </w:r>
            <w:r w:rsidR="00EF5E42" w:rsidRPr="00FA0D37">
              <w:rPr>
                <w:i/>
                <w:iCs/>
                <w:szCs w:val="22"/>
                <w:lang w:eastAsia="sv-SE"/>
              </w:rPr>
              <w:t>PDSCH-Config</w:t>
            </w:r>
            <w:r w:rsidRPr="00FA0D37">
              <w:rPr>
                <w:szCs w:val="22"/>
                <w:lang w:eastAsia="sv-SE"/>
              </w:rPr>
              <w:t>.</w:t>
            </w:r>
          </w:p>
        </w:tc>
      </w:tr>
      <w:tr w:rsidR="005C7FF4" w:rsidRPr="00FA0D37"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FA0D37" w:rsidRDefault="00394471" w:rsidP="00964CC4">
            <w:pPr>
              <w:pStyle w:val="TAL"/>
              <w:rPr>
                <w:szCs w:val="22"/>
                <w:lang w:eastAsia="sv-SE"/>
              </w:rPr>
            </w:pPr>
            <w:r w:rsidRPr="00FA0D37">
              <w:rPr>
                <w:b/>
                <w:i/>
                <w:szCs w:val="22"/>
                <w:lang w:eastAsia="sv-SE"/>
              </w:rPr>
              <w:lastRenderedPageBreak/>
              <w:t>prb-BundlingType,</w:t>
            </w:r>
            <w:r w:rsidRPr="00FA0D37">
              <w:rPr>
                <w:lang w:eastAsia="sv-SE"/>
              </w:rPr>
              <w:t xml:space="preserve"> </w:t>
            </w:r>
            <w:r w:rsidRPr="00FA0D37">
              <w:rPr>
                <w:b/>
                <w:i/>
                <w:szCs w:val="22"/>
                <w:lang w:eastAsia="sv-SE"/>
              </w:rPr>
              <w:t>prb-BundlingTypeDCI-1-2</w:t>
            </w:r>
          </w:p>
          <w:p w14:paraId="4D15E131" w14:textId="77777777" w:rsidR="00394471" w:rsidRPr="00FA0D37" w:rsidRDefault="00394471" w:rsidP="00964CC4">
            <w:pPr>
              <w:pStyle w:val="TAL"/>
              <w:rPr>
                <w:szCs w:val="22"/>
                <w:lang w:eastAsia="sv-SE"/>
              </w:rPr>
            </w:pPr>
            <w:r w:rsidRPr="00FA0D37">
              <w:rPr>
                <w:szCs w:val="22"/>
                <w:lang w:eastAsia="sv-SE"/>
              </w:rPr>
              <w:t xml:space="preserve">Indicates the PRB bundle type and bundle size(s) (see TS 38.214 [19], clause 5.1.2.3). If </w:t>
            </w:r>
            <w:r w:rsidRPr="00FA0D37">
              <w:rPr>
                <w:i/>
                <w:szCs w:val="22"/>
                <w:lang w:eastAsia="sv-SE"/>
              </w:rPr>
              <w:t>dynamic</w:t>
            </w:r>
            <w:r w:rsidRPr="00FA0D37">
              <w:rPr>
                <w:szCs w:val="22"/>
                <w:lang w:eastAsia="sv-SE"/>
              </w:rPr>
              <w:t xml:space="preserve"> is chosen, the actual </w:t>
            </w:r>
            <w:r w:rsidRPr="00FA0D37">
              <w:rPr>
                <w:i/>
                <w:szCs w:val="22"/>
                <w:lang w:eastAsia="sv-SE"/>
              </w:rPr>
              <w:t>bundleSizeSet1 or bundleSizeSet2</w:t>
            </w:r>
            <w:r w:rsidRPr="00FA0D37">
              <w:rPr>
                <w:szCs w:val="22"/>
                <w:lang w:eastAsia="sv-SE"/>
              </w:rPr>
              <w:t xml:space="preserve"> to use is indicated via DCI. Constraints on </w:t>
            </w:r>
            <w:r w:rsidRPr="00FA0D37">
              <w:rPr>
                <w:i/>
                <w:szCs w:val="22"/>
                <w:lang w:eastAsia="sv-SE"/>
              </w:rPr>
              <w:t>bundleSize(Set)</w:t>
            </w:r>
            <w:r w:rsidRPr="00FA0D37">
              <w:rPr>
                <w:szCs w:val="22"/>
                <w:lang w:eastAsia="sv-SE"/>
              </w:rPr>
              <w:t xml:space="preserve"> setting depending on </w:t>
            </w:r>
            <w:r w:rsidRPr="00FA0D37">
              <w:rPr>
                <w:i/>
                <w:szCs w:val="22"/>
                <w:lang w:eastAsia="sv-SE"/>
              </w:rPr>
              <w:t>vrb-ToPRB-Interleaver</w:t>
            </w:r>
            <w:r w:rsidRPr="00FA0D37">
              <w:rPr>
                <w:szCs w:val="22"/>
                <w:lang w:eastAsia="sv-SE"/>
              </w:rPr>
              <w:t xml:space="preserve"> and </w:t>
            </w:r>
            <w:r w:rsidRPr="00FA0D37">
              <w:rPr>
                <w:i/>
                <w:szCs w:val="22"/>
                <w:lang w:eastAsia="sv-SE"/>
              </w:rPr>
              <w:t>rbg-Size</w:t>
            </w:r>
            <w:r w:rsidRPr="00FA0D37">
              <w:rPr>
                <w:szCs w:val="22"/>
                <w:lang w:eastAsia="sv-SE"/>
              </w:rPr>
              <w:t xml:space="preserve"> settings are described in TS 38.214 [19], clause 5.1.2.3. If a </w:t>
            </w:r>
            <w:r w:rsidRPr="00FA0D37">
              <w:rPr>
                <w:i/>
                <w:szCs w:val="22"/>
                <w:lang w:eastAsia="sv-SE"/>
              </w:rPr>
              <w:t>bundleSize(Set)</w:t>
            </w:r>
            <w:r w:rsidRPr="00FA0D37">
              <w:rPr>
                <w:szCs w:val="22"/>
                <w:lang w:eastAsia="sv-SE"/>
              </w:rPr>
              <w:t xml:space="preserve"> value is absent, the UE applies the value </w:t>
            </w:r>
            <w:r w:rsidRPr="00FA0D37">
              <w:rPr>
                <w:i/>
                <w:szCs w:val="22"/>
                <w:lang w:eastAsia="sv-SE"/>
              </w:rPr>
              <w:t>n2</w:t>
            </w:r>
            <w:r w:rsidRPr="00FA0D37">
              <w:rPr>
                <w:szCs w:val="22"/>
                <w:lang w:eastAsia="sv-SE"/>
              </w:rPr>
              <w:t xml:space="preserve">. The field </w:t>
            </w:r>
            <w:r w:rsidRPr="00FA0D37">
              <w:rPr>
                <w:i/>
                <w:szCs w:val="22"/>
                <w:lang w:eastAsia="sv-SE"/>
              </w:rPr>
              <w:t xml:space="preserve">prb-BundlingType </w:t>
            </w:r>
            <w:r w:rsidRPr="00FA0D37">
              <w:rPr>
                <w:szCs w:val="22"/>
              </w:rPr>
              <w:t>applies</w:t>
            </w:r>
            <w:r w:rsidRPr="00FA0D37">
              <w:rPr>
                <w:szCs w:val="22"/>
                <w:lang w:eastAsia="sv-SE"/>
              </w:rPr>
              <w:t xml:space="preserve"> to DCI format 1_1, and the field </w:t>
            </w:r>
            <w:r w:rsidRPr="00FA0D37">
              <w:rPr>
                <w:i/>
                <w:szCs w:val="22"/>
                <w:lang w:eastAsia="sv-SE"/>
              </w:rPr>
              <w:t>prb-BundlingTypeDCI-1-2</w:t>
            </w:r>
            <w:r w:rsidRPr="00FA0D37">
              <w:rPr>
                <w:szCs w:val="22"/>
                <w:lang w:eastAsia="sv-SE"/>
              </w:rPr>
              <w:t xml:space="preserve"> </w:t>
            </w:r>
            <w:r w:rsidRPr="00FA0D37">
              <w:rPr>
                <w:szCs w:val="22"/>
              </w:rPr>
              <w:t>applies</w:t>
            </w:r>
            <w:r w:rsidRPr="00FA0D37">
              <w:rPr>
                <w:szCs w:val="22"/>
                <w:lang w:eastAsia="sv-SE"/>
              </w:rPr>
              <w:t xml:space="preserve"> to DCI format 1_2 (see TS 38.212 [17], clause 7.3.1 and TS 38.214 [19], clause 5.1.2.3).</w:t>
            </w:r>
          </w:p>
        </w:tc>
      </w:tr>
      <w:tr w:rsidR="005C7FF4" w:rsidRPr="00FA0D37"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FA0D37" w:rsidRDefault="00394471" w:rsidP="00964CC4">
            <w:pPr>
              <w:pStyle w:val="TAL"/>
              <w:rPr>
                <w:rFonts w:eastAsia="MS Mincho"/>
                <w:szCs w:val="22"/>
                <w:lang w:eastAsia="sv-SE"/>
              </w:rPr>
            </w:pPr>
            <w:r w:rsidRPr="00FA0D37">
              <w:rPr>
                <w:b/>
                <w:i/>
                <w:szCs w:val="22"/>
                <w:lang w:eastAsia="sv-SE"/>
              </w:rPr>
              <w:t>priorityIndicatorDCI-1-1, priorityIndicatorDCI-1-2</w:t>
            </w:r>
            <w:r w:rsidR="006C48AD" w:rsidRPr="00FA0D37">
              <w:rPr>
                <w:b/>
                <w:i/>
                <w:szCs w:val="22"/>
                <w:lang w:eastAsia="sv-SE"/>
              </w:rPr>
              <w:t>, priorityIndicatorDCI-4-2</w:t>
            </w:r>
          </w:p>
          <w:p w14:paraId="256DD241" w14:textId="07BF9C90" w:rsidR="00394471" w:rsidRPr="00FA0D37" w:rsidRDefault="00394471" w:rsidP="00964CC4">
            <w:pPr>
              <w:pStyle w:val="TAL"/>
              <w:rPr>
                <w:b/>
                <w:i/>
                <w:szCs w:val="22"/>
                <w:lang w:eastAsia="sv-SE"/>
              </w:rPr>
            </w:pPr>
            <w:r w:rsidRPr="00FA0D37">
              <w:rPr>
                <w:szCs w:val="22"/>
                <w:lang w:eastAsia="sv-SE"/>
              </w:rPr>
              <w:t>Configure the presence of "priority indicator" in DCI format 1_1/1_2</w:t>
            </w:r>
            <w:r w:rsidR="006C48AD" w:rsidRPr="00FA0D37">
              <w:rPr>
                <w:szCs w:val="22"/>
                <w:lang w:eastAsia="sv-SE"/>
              </w:rPr>
              <w:t>/4_2</w:t>
            </w:r>
            <w:r w:rsidRPr="00FA0D37">
              <w:rPr>
                <w:szCs w:val="22"/>
                <w:lang w:eastAsia="sv-SE"/>
              </w:rPr>
              <w:t>. When the field is absent in the IE, then 0 bit for "priority indicator" in DCI format 1_1/1_2</w:t>
            </w:r>
            <w:r w:rsidR="006C48AD" w:rsidRPr="00FA0D37">
              <w:rPr>
                <w:szCs w:val="22"/>
                <w:lang w:eastAsia="sv-SE"/>
              </w:rPr>
              <w:t>/4_2</w:t>
            </w:r>
            <w:r w:rsidRPr="00FA0D37">
              <w:rPr>
                <w:szCs w:val="22"/>
                <w:lang w:eastAsia="sv-SE"/>
              </w:rPr>
              <w:t xml:space="preserve">. The field </w:t>
            </w:r>
            <w:r w:rsidRPr="00FA0D37">
              <w:rPr>
                <w:i/>
                <w:szCs w:val="22"/>
                <w:lang w:eastAsia="sv-SE"/>
              </w:rPr>
              <w:t xml:space="preserve">priorityIndicatorDCI-1-1 </w:t>
            </w:r>
            <w:r w:rsidRPr="00FA0D37">
              <w:rPr>
                <w:szCs w:val="22"/>
              </w:rPr>
              <w:t>applies</w:t>
            </w:r>
            <w:r w:rsidRPr="00FA0D37">
              <w:rPr>
                <w:szCs w:val="22"/>
                <w:lang w:eastAsia="sv-SE"/>
              </w:rPr>
              <w:t xml:space="preserve"> to DCI format 1_1</w:t>
            </w:r>
            <w:r w:rsidR="006C48AD" w:rsidRPr="00FA0D37">
              <w:rPr>
                <w:szCs w:val="22"/>
                <w:lang w:eastAsia="sv-SE"/>
              </w:rPr>
              <w:t>,</w:t>
            </w:r>
            <w:r w:rsidRPr="00FA0D37">
              <w:rPr>
                <w:szCs w:val="22"/>
                <w:lang w:eastAsia="sv-SE"/>
              </w:rPr>
              <w:t xml:space="preserve"> the field </w:t>
            </w:r>
            <w:r w:rsidRPr="00FA0D37">
              <w:rPr>
                <w:i/>
                <w:szCs w:val="22"/>
                <w:lang w:eastAsia="sv-SE"/>
              </w:rPr>
              <w:t>priorityIndicatorDCI-1-2</w:t>
            </w:r>
            <w:r w:rsidRPr="00FA0D37">
              <w:rPr>
                <w:szCs w:val="22"/>
                <w:lang w:eastAsia="sv-SE"/>
              </w:rPr>
              <w:t xml:space="preserve"> </w:t>
            </w:r>
            <w:r w:rsidRPr="00FA0D37">
              <w:rPr>
                <w:szCs w:val="22"/>
              </w:rPr>
              <w:t>applies</w:t>
            </w:r>
            <w:r w:rsidRPr="00FA0D37">
              <w:rPr>
                <w:szCs w:val="22"/>
                <w:lang w:eastAsia="sv-SE"/>
              </w:rPr>
              <w:t xml:space="preserve"> to DCI format 1_2</w:t>
            </w:r>
            <w:r w:rsidR="006C48AD" w:rsidRPr="00FA0D37">
              <w:rPr>
                <w:szCs w:val="22"/>
                <w:lang w:eastAsia="sv-SE"/>
              </w:rPr>
              <w:t xml:space="preserve"> and the field </w:t>
            </w:r>
            <w:r w:rsidR="006C48AD" w:rsidRPr="00FA0D37">
              <w:rPr>
                <w:i/>
                <w:szCs w:val="22"/>
                <w:lang w:eastAsia="sv-SE"/>
              </w:rPr>
              <w:t>priorityIndicatorDCI-4-2</w:t>
            </w:r>
            <w:r w:rsidR="006C48AD" w:rsidRPr="00FA0D37">
              <w:rPr>
                <w:szCs w:val="22"/>
                <w:lang w:eastAsia="sv-SE"/>
              </w:rPr>
              <w:t xml:space="preserve"> applies to DCI format 4_2</w:t>
            </w:r>
            <w:r w:rsidRPr="00FA0D37">
              <w:rPr>
                <w:szCs w:val="22"/>
                <w:lang w:eastAsia="sv-SE"/>
              </w:rPr>
              <w:t>, respectively (see TS 38.212 [17], clause 7.3.1 and TS 38.213 [13] clause 9).</w:t>
            </w:r>
          </w:p>
        </w:tc>
      </w:tr>
      <w:tr w:rsidR="005C7FF4" w:rsidRPr="00FA0D37"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FA0D37" w:rsidRDefault="005D7926" w:rsidP="00771058">
            <w:pPr>
              <w:pStyle w:val="TAL"/>
              <w:rPr>
                <w:b/>
                <w:i/>
                <w:szCs w:val="22"/>
                <w:lang w:eastAsia="sv-SE"/>
              </w:rPr>
            </w:pPr>
            <w:r w:rsidRPr="00FA0D37">
              <w:rPr>
                <w:b/>
                <w:i/>
                <w:szCs w:val="22"/>
                <w:lang w:eastAsia="sv-SE"/>
              </w:rPr>
              <w:t>pucch-sSCellDynDCI-1-2</w:t>
            </w:r>
          </w:p>
          <w:p w14:paraId="52B7F8CB" w14:textId="77777777" w:rsidR="005D7926" w:rsidRPr="00FA0D37" w:rsidRDefault="005D7926" w:rsidP="00771058">
            <w:pPr>
              <w:pStyle w:val="TAL"/>
              <w:rPr>
                <w:b/>
                <w:i/>
                <w:szCs w:val="22"/>
                <w:lang w:eastAsia="sv-SE"/>
              </w:rPr>
            </w:pPr>
            <w:r w:rsidRPr="00FA0D37">
              <w:rPr>
                <w:bCs/>
                <w:iCs/>
                <w:szCs w:val="22"/>
                <w:lang w:eastAsia="sv-SE"/>
              </w:rPr>
              <w:t>When configured, PUCCH cell switching based on dynamic indication in DCI format 1_2 is enabled (see TS 38.213 [13], clause 9.A).</w:t>
            </w:r>
          </w:p>
        </w:tc>
      </w:tr>
      <w:tr w:rsidR="005C7FF4" w:rsidRPr="00FA0D37"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FA0D37" w:rsidRDefault="00394471" w:rsidP="00964CC4">
            <w:pPr>
              <w:pStyle w:val="TAL"/>
              <w:rPr>
                <w:b/>
                <w:i/>
                <w:szCs w:val="22"/>
                <w:lang w:eastAsia="sv-SE"/>
              </w:rPr>
            </w:pPr>
            <w:r w:rsidRPr="00FA0D37">
              <w:rPr>
                <w:b/>
                <w:i/>
                <w:szCs w:val="22"/>
                <w:lang w:eastAsia="sv-SE"/>
              </w:rPr>
              <w:t>p-ZP-CSI-RS-ResourceSet</w:t>
            </w:r>
          </w:p>
          <w:p w14:paraId="49BEA436" w14:textId="77777777" w:rsidR="006C48AD" w:rsidRPr="00FA0D37" w:rsidRDefault="00394471" w:rsidP="006C48AD">
            <w:pPr>
              <w:pStyle w:val="TAL"/>
              <w:rPr>
                <w:szCs w:val="22"/>
                <w:lang w:eastAsia="sv-SE"/>
              </w:rPr>
            </w:pPr>
            <w:r w:rsidRPr="00FA0D37">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FA0D37" w:rsidRDefault="006C48AD" w:rsidP="006C48AD">
            <w:pPr>
              <w:pStyle w:val="TAL"/>
              <w:rPr>
                <w:b/>
                <w:i/>
                <w:szCs w:val="22"/>
                <w:lang w:eastAsia="sv-SE"/>
              </w:rPr>
            </w:pPr>
            <w:r w:rsidRPr="00FA0D37">
              <w:rPr>
                <w:szCs w:val="22"/>
                <w:lang w:eastAsia="sv-SE"/>
              </w:rPr>
              <w:t xml:space="preserve">If </w:t>
            </w:r>
            <w:r w:rsidRPr="00FA0D37">
              <w:rPr>
                <w:i/>
                <w:szCs w:val="22"/>
                <w:lang w:eastAsia="sv-SE"/>
              </w:rPr>
              <w:t>p-ZP-CSI-RS-ResourceSet</w:t>
            </w:r>
            <w:r w:rsidRPr="00FA0D37">
              <w:rPr>
                <w:szCs w:val="22"/>
                <w:lang w:eastAsia="sv-SE"/>
              </w:rPr>
              <w:t xml:space="preserve"> is configured in both </w:t>
            </w:r>
            <w:r w:rsidRPr="00FA0D37">
              <w:rPr>
                <w:i/>
                <w:szCs w:val="22"/>
                <w:lang w:eastAsia="sv-SE"/>
              </w:rPr>
              <w:t>PDSCH-Config</w:t>
            </w:r>
            <w:r w:rsidRPr="00FA0D37">
              <w:rPr>
                <w:szCs w:val="22"/>
                <w:lang w:eastAsia="sv-SE"/>
              </w:rPr>
              <w:t xml:space="preserve"> for MBS CFR and </w:t>
            </w:r>
            <w:r w:rsidRPr="00FA0D37">
              <w:rPr>
                <w:i/>
                <w:szCs w:val="22"/>
                <w:lang w:eastAsia="sv-SE"/>
              </w:rPr>
              <w:t>PDSCH-Config</w:t>
            </w:r>
            <w:r w:rsidRPr="00FA0D37">
              <w:rPr>
                <w:szCs w:val="22"/>
                <w:lang w:eastAsia="sv-SE"/>
              </w:rPr>
              <w:t xml:space="preserve"> for the assoicated BWP, it is subject to UE capability whether the </w:t>
            </w:r>
            <w:r w:rsidRPr="00FA0D37">
              <w:rPr>
                <w:i/>
                <w:szCs w:val="22"/>
                <w:lang w:eastAsia="sv-SE"/>
              </w:rPr>
              <w:t>p-ZP-CSI-RS-ResourceSet</w:t>
            </w:r>
            <w:r w:rsidRPr="00FA0D37">
              <w:rPr>
                <w:szCs w:val="22"/>
                <w:lang w:eastAsia="sv-SE"/>
              </w:rPr>
              <w:t xml:space="preserve"> configured in </w:t>
            </w:r>
            <w:r w:rsidRPr="00FA0D37">
              <w:rPr>
                <w:i/>
                <w:szCs w:val="22"/>
                <w:lang w:eastAsia="sv-SE"/>
              </w:rPr>
              <w:t>PDSCH-Config</w:t>
            </w:r>
            <w:r w:rsidRPr="00FA0D37">
              <w:rPr>
                <w:szCs w:val="22"/>
                <w:lang w:eastAsia="sv-SE"/>
              </w:rPr>
              <w:t xml:space="preserve"> for MBS CFR can be different from the </w:t>
            </w:r>
            <w:r w:rsidRPr="00FA0D37">
              <w:rPr>
                <w:i/>
                <w:szCs w:val="22"/>
                <w:lang w:eastAsia="sv-SE"/>
              </w:rPr>
              <w:t>p-ZP-CSI-RS-ResourceSet</w:t>
            </w:r>
            <w:r w:rsidRPr="00FA0D37">
              <w:rPr>
                <w:szCs w:val="22"/>
                <w:lang w:eastAsia="sv-SE"/>
              </w:rPr>
              <w:t xml:space="preserve"> configured in </w:t>
            </w:r>
            <w:r w:rsidRPr="00FA0D37">
              <w:rPr>
                <w:i/>
                <w:szCs w:val="22"/>
                <w:lang w:eastAsia="sv-SE"/>
              </w:rPr>
              <w:t>PDSCH-Config</w:t>
            </w:r>
            <w:r w:rsidRPr="00FA0D37">
              <w:rPr>
                <w:szCs w:val="22"/>
                <w:lang w:eastAsia="sv-SE"/>
              </w:rPr>
              <w:t xml:space="preserve"> for the assoicated BWP.</w:t>
            </w:r>
          </w:p>
        </w:tc>
      </w:tr>
      <w:tr w:rsidR="005C7FF4" w:rsidRPr="00FA0D37"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FA0D37" w:rsidRDefault="00394471" w:rsidP="00964CC4">
            <w:pPr>
              <w:pStyle w:val="TAL"/>
              <w:rPr>
                <w:szCs w:val="22"/>
                <w:lang w:eastAsia="sv-SE"/>
              </w:rPr>
            </w:pPr>
            <w:r w:rsidRPr="00FA0D37">
              <w:rPr>
                <w:b/>
                <w:i/>
                <w:szCs w:val="22"/>
                <w:lang w:eastAsia="sv-SE"/>
              </w:rPr>
              <w:t>rateMatchPatternGroup1, rateMatchPatternGroup1DCI-1-2</w:t>
            </w:r>
          </w:p>
          <w:p w14:paraId="61CD2A59" w14:textId="77777777" w:rsidR="00394471" w:rsidRPr="00FA0D37" w:rsidRDefault="00394471" w:rsidP="00964CC4">
            <w:pPr>
              <w:pStyle w:val="TAL"/>
              <w:rPr>
                <w:szCs w:val="22"/>
                <w:lang w:eastAsia="sv-SE"/>
              </w:rPr>
            </w:pPr>
            <w:r w:rsidRPr="00FA0D37">
              <w:rPr>
                <w:szCs w:val="22"/>
                <w:lang w:eastAsia="sv-SE"/>
              </w:rPr>
              <w:t xml:space="preserve">The IDs of a first group of </w:t>
            </w:r>
            <w:r w:rsidRPr="00FA0D37">
              <w:rPr>
                <w:i/>
                <w:szCs w:val="22"/>
                <w:lang w:eastAsia="sv-SE"/>
              </w:rPr>
              <w:t>RateMatchPatterns</w:t>
            </w:r>
            <w:r w:rsidRPr="00FA0D37">
              <w:rPr>
                <w:szCs w:val="22"/>
                <w:lang w:eastAsia="sv-SE"/>
              </w:rPr>
              <w:t xml:space="preserve"> defined in </w:t>
            </w:r>
            <w:r w:rsidRPr="00FA0D37">
              <w:rPr>
                <w:i/>
                <w:lang w:eastAsia="sv-SE"/>
              </w:rPr>
              <w:t>PDSCH-Config</w:t>
            </w:r>
            <w:r w:rsidRPr="00FA0D37">
              <w:rPr>
                <w:szCs w:val="22"/>
                <w:lang w:eastAsia="sv-SE"/>
              </w:rPr>
              <w:t>-&gt;</w:t>
            </w:r>
            <w:r w:rsidRPr="00FA0D37">
              <w:rPr>
                <w:i/>
                <w:szCs w:val="22"/>
                <w:lang w:eastAsia="sv-SE"/>
              </w:rPr>
              <w:t>rateMatchPatternToAddModList</w:t>
            </w:r>
            <w:r w:rsidRPr="00FA0D37">
              <w:rPr>
                <w:szCs w:val="22"/>
                <w:lang w:eastAsia="sv-SE"/>
              </w:rPr>
              <w:t xml:space="preserve"> (BWP level) or in </w:t>
            </w:r>
            <w:r w:rsidRPr="00FA0D37">
              <w:rPr>
                <w:i/>
                <w:szCs w:val="22"/>
                <w:lang w:eastAsia="sv-SE"/>
              </w:rPr>
              <w:t>ServingCellConfig</w:t>
            </w:r>
            <w:r w:rsidRPr="00FA0D37">
              <w:rPr>
                <w:szCs w:val="22"/>
                <w:lang w:eastAsia="sv-SE"/>
              </w:rPr>
              <w:t xml:space="preserve"> -&gt;</w:t>
            </w:r>
            <w:r w:rsidRPr="00FA0D37">
              <w:rPr>
                <w:i/>
                <w:szCs w:val="22"/>
                <w:lang w:eastAsia="sv-SE"/>
              </w:rPr>
              <w:t>rateMatchPatternToAddModLis</w:t>
            </w:r>
            <w:r w:rsidRPr="00FA0D37">
              <w:rPr>
                <w:szCs w:val="22"/>
                <w:lang w:eastAsia="sv-SE"/>
              </w:rPr>
              <w:t xml:space="preserve">t (cell level). These patterns can be activated dynamically by DCI (see TS 38.214 [19], clause 5.1.4.1). The field </w:t>
            </w:r>
            <w:r w:rsidRPr="00FA0D37">
              <w:rPr>
                <w:i/>
                <w:szCs w:val="22"/>
                <w:lang w:eastAsia="sv-SE"/>
              </w:rPr>
              <w:t xml:space="preserve">rateMatchPatternGroup1 </w:t>
            </w:r>
            <w:r w:rsidRPr="00FA0D37">
              <w:rPr>
                <w:szCs w:val="22"/>
              </w:rPr>
              <w:t>applies</w:t>
            </w:r>
            <w:r w:rsidRPr="00FA0D37">
              <w:rPr>
                <w:szCs w:val="22"/>
                <w:lang w:eastAsia="sv-SE"/>
              </w:rPr>
              <w:t xml:space="preserve"> to DCI format 1_1, and the field </w:t>
            </w:r>
            <w:r w:rsidRPr="00FA0D37">
              <w:rPr>
                <w:i/>
                <w:szCs w:val="22"/>
                <w:lang w:eastAsia="sv-SE"/>
              </w:rPr>
              <w:t>rateMatchPatternGroup1DCI-1-2</w:t>
            </w:r>
            <w:r w:rsidRPr="00FA0D37">
              <w:rPr>
                <w:szCs w:val="22"/>
                <w:lang w:eastAsia="sv-SE"/>
              </w:rPr>
              <w:t xml:space="preserve"> </w:t>
            </w:r>
            <w:r w:rsidRPr="00FA0D37">
              <w:rPr>
                <w:szCs w:val="22"/>
              </w:rPr>
              <w:t>applies</w:t>
            </w:r>
            <w:r w:rsidRPr="00FA0D37">
              <w:rPr>
                <w:szCs w:val="22"/>
                <w:lang w:eastAsia="sv-SE"/>
              </w:rPr>
              <w:t xml:space="preserve"> to DCI format 1_2 (see TS 38.214 [19], clause 5.1.4.1).</w:t>
            </w:r>
          </w:p>
        </w:tc>
      </w:tr>
      <w:tr w:rsidR="005C7FF4" w:rsidRPr="00FA0D37"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FA0D37" w:rsidRDefault="00394471" w:rsidP="00964CC4">
            <w:pPr>
              <w:pStyle w:val="TAL"/>
              <w:rPr>
                <w:szCs w:val="22"/>
                <w:lang w:eastAsia="sv-SE"/>
              </w:rPr>
            </w:pPr>
            <w:r w:rsidRPr="00FA0D37">
              <w:rPr>
                <w:b/>
                <w:i/>
                <w:szCs w:val="22"/>
                <w:lang w:eastAsia="sv-SE"/>
              </w:rPr>
              <w:t>rateMatchPatternGroup2, rateMatchPatternGroup2DCI-1-2</w:t>
            </w:r>
          </w:p>
          <w:p w14:paraId="57CC5863" w14:textId="77777777" w:rsidR="00394471" w:rsidRPr="00FA0D37" w:rsidRDefault="00394471" w:rsidP="00964CC4">
            <w:pPr>
              <w:pStyle w:val="TAL"/>
              <w:rPr>
                <w:szCs w:val="22"/>
                <w:lang w:eastAsia="sv-SE"/>
              </w:rPr>
            </w:pPr>
            <w:r w:rsidRPr="00FA0D37">
              <w:rPr>
                <w:szCs w:val="22"/>
                <w:lang w:eastAsia="sv-SE"/>
              </w:rPr>
              <w:t xml:space="preserve">The IDs of a second group of </w:t>
            </w:r>
            <w:r w:rsidRPr="00FA0D37">
              <w:rPr>
                <w:i/>
                <w:szCs w:val="22"/>
                <w:lang w:eastAsia="sv-SE"/>
              </w:rPr>
              <w:t>RateMatchPatterns</w:t>
            </w:r>
            <w:r w:rsidRPr="00FA0D37">
              <w:rPr>
                <w:szCs w:val="22"/>
                <w:lang w:eastAsia="sv-SE"/>
              </w:rPr>
              <w:t xml:space="preserve"> defined in </w:t>
            </w:r>
            <w:r w:rsidRPr="00FA0D37">
              <w:rPr>
                <w:i/>
                <w:lang w:eastAsia="sv-SE"/>
              </w:rPr>
              <w:t>PDSCH-Config</w:t>
            </w:r>
            <w:r w:rsidRPr="00FA0D37">
              <w:rPr>
                <w:szCs w:val="22"/>
                <w:lang w:eastAsia="sv-SE"/>
              </w:rPr>
              <w:t>-&gt;</w:t>
            </w:r>
            <w:r w:rsidRPr="00FA0D37">
              <w:rPr>
                <w:i/>
                <w:szCs w:val="22"/>
                <w:lang w:eastAsia="sv-SE"/>
              </w:rPr>
              <w:t>rateMatchPatternToAddModList</w:t>
            </w:r>
            <w:r w:rsidRPr="00FA0D37">
              <w:rPr>
                <w:szCs w:val="22"/>
                <w:lang w:eastAsia="sv-SE"/>
              </w:rPr>
              <w:t xml:space="preserve"> (BWP level) or in </w:t>
            </w:r>
            <w:r w:rsidRPr="00FA0D37">
              <w:rPr>
                <w:i/>
                <w:szCs w:val="22"/>
                <w:lang w:eastAsia="sv-SE"/>
              </w:rPr>
              <w:t>ServingCellConfig</w:t>
            </w:r>
            <w:r w:rsidRPr="00FA0D37">
              <w:rPr>
                <w:szCs w:val="22"/>
                <w:lang w:eastAsia="sv-SE"/>
              </w:rPr>
              <w:t xml:space="preserve"> -&gt;</w:t>
            </w:r>
            <w:r w:rsidRPr="00FA0D37">
              <w:rPr>
                <w:i/>
                <w:szCs w:val="22"/>
                <w:lang w:eastAsia="sv-SE"/>
              </w:rPr>
              <w:t>rateMatchPatternToAddModLis</w:t>
            </w:r>
            <w:r w:rsidRPr="00FA0D37">
              <w:rPr>
                <w:szCs w:val="22"/>
                <w:lang w:eastAsia="sv-SE"/>
              </w:rPr>
              <w:t xml:space="preserve">t (cell level). These patterns can be activated dynamically by DCI (see TS 38.214 [19], clause 5.1.4.1). The field </w:t>
            </w:r>
            <w:r w:rsidRPr="00FA0D37">
              <w:rPr>
                <w:i/>
                <w:szCs w:val="22"/>
                <w:lang w:eastAsia="sv-SE"/>
              </w:rPr>
              <w:t xml:space="preserve">rateMatchPatternGroup2 </w:t>
            </w:r>
            <w:r w:rsidRPr="00FA0D37">
              <w:rPr>
                <w:szCs w:val="22"/>
              </w:rPr>
              <w:t>applies</w:t>
            </w:r>
            <w:r w:rsidRPr="00FA0D37">
              <w:rPr>
                <w:szCs w:val="22"/>
                <w:lang w:eastAsia="sv-SE"/>
              </w:rPr>
              <w:t xml:space="preserve"> to DCI format 1_1, and the field </w:t>
            </w:r>
            <w:r w:rsidRPr="00FA0D37">
              <w:rPr>
                <w:i/>
                <w:szCs w:val="22"/>
                <w:lang w:eastAsia="sv-SE"/>
              </w:rPr>
              <w:t>rateMatchPatternGroup2DCI-1-2</w:t>
            </w:r>
            <w:r w:rsidRPr="00FA0D37">
              <w:rPr>
                <w:szCs w:val="22"/>
                <w:lang w:eastAsia="sv-SE"/>
              </w:rPr>
              <w:t xml:space="preserve"> </w:t>
            </w:r>
            <w:r w:rsidRPr="00FA0D37">
              <w:rPr>
                <w:szCs w:val="22"/>
              </w:rPr>
              <w:t>applies</w:t>
            </w:r>
            <w:r w:rsidRPr="00FA0D37">
              <w:rPr>
                <w:szCs w:val="22"/>
                <w:lang w:eastAsia="sv-SE"/>
              </w:rPr>
              <w:t xml:space="preserve"> to DCI format 1_2 (see TS 38.214 [19], clause 5.1.4.1).</w:t>
            </w:r>
          </w:p>
        </w:tc>
      </w:tr>
      <w:tr w:rsidR="005C7FF4" w:rsidRPr="00FA0D37"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FA0D37" w:rsidRDefault="00394471" w:rsidP="00964CC4">
            <w:pPr>
              <w:pStyle w:val="TAL"/>
              <w:rPr>
                <w:szCs w:val="22"/>
                <w:lang w:eastAsia="sv-SE"/>
              </w:rPr>
            </w:pPr>
            <w:r w:rsidRPr="00FA0D37">
              <w:rPr>
                <w:b/>
                <w:i/>
                <w:szCs w:val="22"/>
                <w:lang w:eastAsia="sv-SE"/>
              </w:rPr>
              <w:t>rateMatchPatternToAddModList</w:t>
            </w:r>
          </w:p>
          <w:p w14:paraId="7E34191E" w14:textId="5CE156F4" w:rsidR="00394471" w:rsidRPr="00FA0D37" w:rsidRDefault="00394471" w:rsidP="00964CC4">
            <w:pPr>
              <w:pStyle w:val="TAL"/>
              <w:rPr>
                <w:szCs w:val="22"/>
                <w:lang w:eastAsia="sv-SE"/>
              </w:rPr>
            </w:pPr>
            <w:r w:rsidRPr="00FA0D37">
              <w:rPr>
                <w:szCs w:val="22"/>
                <w:lang w:eastAsia="sv-SE"/>
              </w:rPr>
              <w:t>Resources patterns which the UE should rate match PDSCH around. The UE rate matches around the union of all resources indicated in the rate match patterns (see TS 38.214 [19], clause 5.1.4.1).</w:t>
            </w:r>
            <w:r w:rsidR="004D1E3D" w:rsidRPr="00FA0D37">
              <w:t xml:space="preserve"> If a </w:t>
            </w:r>
            <w:r w:rsidR="004D1E3D" w:rsidRPr="00FA0D37">
              <w:rPr>
                <w:i/>
              </w:rPr>
              <w:t>RateMatchPattern</w:t>
            </w:r>
            <w:r w:rsidR="004D1E3D" w:rsidRPr="00FA0D37">
              <w:t xml:space="preserve"> with the same </w:t>
            </w:r>
            <w:r w:rsidR="004D1E3D" w:rsidRPr="00FA0D37">
              <w:rPr>
                <w:i/>
              </w:rPr>
              <w:t>RateMatchPatternId</w:t>
            </w:r>
            <w:r w:rsidR="004D1E3D" w:rsidRPr="00FA0D37">
              <w:t xml:space="preserve"> is configured in both MBS CFR and its associated BWP, the entire </w:t>
            </w:r>
            <w:r w:rsidR="004D1E3D" w:rsidRPr="00FA0D37">
              <w:rPr>
                <w:i/>
              </w:rPr>
              <w:t>RateMatchPattern</w:t>
            </w:r>
            <w:r w:rsidR="004D1E3D" w:rsidRPr="00FA0D37">
              <w:t xml:space="preserve"> configuration</w:t>
            </w:r>
            <w:r w:rsidR="00FD05B6" w:rsidRPr="00FA0D37">
              <w:t>, including the set of RBs/REs indicated by the patterns for the rate matching around,</w:t>
            </w:r>
            <w:r w:rsidR="004D1E3D" w:rsidRPr="00FA0D37">
              <w:t xml:space="preserve"> shall be the same and they are counted as a single rate match pattern in the total configured rate match patterns as defined in TS 38.214 [19].</w:t>
            </w:r>
          </w:p>
        </w:tc>
      </w:tr>
      <w:tr w:rsidR="005C7FF4" w:rsidRPr="00FA0D37"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FA0D37" w:rsidRDefault="00394471" w:rsidP="00964CC4">
            <w:pPr>
              <w:pStyle w:val="TAL"/>
              <w:rPr>
                <w:szCs w:val="22"/>
                <w:lang w:eastAsia="sv-SE"/>
              </w:rPr>
            </w:pPr>
            <w:r w:rsidRPr="00FA0D37">
              <w:rPr>
                <w:b/>
                <w:i/>
                <w:szCs w:val="22"/>
                <w:lang w:eastAsia="sv-SE"/>
              </w:rPr>
              <w:t>rbg-Size</w:t>
            </w:r>
          </w:p>
          <w:p w14:paraId="0FEAADBD" w14:textId="77777777" w:rsidR="00394471" w:rsidRPr="00FA0D37" w:rsidRDefault="00394471" w:rsidP="00964CC4">
            <w:pPr>
              <w:pStyle w:val="TAL"/>
              <w:rPr>
                <w:szCs w:val="22"/>
                <w:lang w:eastAsia="sv-SE"/>
              </w:rPr>
            </w:pPr>
            <w:r w:rsidRPr="00FA0D37">
              <w:rPr>
                <w:szCs w:val="22"/>
                <w:lang w:eastAsia="sv-SE"/>
              </w:rPr>
              <w:t xml:space="preserve">Selection between config 1 and config 2 for RBG size for PDSCH. The UE ignores this field if </w:t>
            </w:r>
            <w:r w:rsidRPr="00FA0D37">
              <w:rPr>
                <w:i/>
                <w:szCs w:val="22"/>
                <w:lang w:eastAsia="sv-SE"/>
              </w:rPr>
              <w:t>resourceAllocation</w:t>
            </w:r>
            <w:r w:rsidRPr="00FA0D37">
              <w:rPr>
                <w:szCs w:val="22"/>
                <w:lang w:eastAsia="sv-SE"/>
              </w:rPr>
              <w:t xml:space="preserve"> is set to </w:t>
            </w:r>
            <w:r w:rsidRPr="00FA0D37">
              <w:rPr>
                <w:i/>
                <w:szCs w:val="22"/>
                <w:lang w:eastAsia="sv-SE"/>
              </w:rPr>
              <w:t>resourceAllocationType1</w:t>
            </w:r>
            <w:r w:rsidRPr="00FA0D37">
              <w:rPr>
                <w:szCs w:val="22"/>
                <w:lang w:eastAsia="sv-SE"/>
              </w:rPr>
              <w:t xml:space="preserve"> (see TS 38.214 [19], clause 5.1.2.2.1).</w:t>
            </w:r>
          </w:p>
        </w:tc>
      </w:tr>
      <w:tr w:rsidR="005C7FF4" w:rsidRPr="00FA0D37"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FA0D37" w:rsidRDefault="00394471" w:rsidP="00964CC4">
            <w:pPr>
              <w:pStyle w:val="TAL"/>
              <w:rPr>
                <w:b/>
                <w:i/>
                <w:szCs w:val="22"/>
                <w:lang w:eastAsia="sv-SE"/>
              </w:rPr>
            </w:pPr>
            <w:r w:rsidRPr="00FA0D37">
              <w:rPr>
                <w:b/>
                <w:i/>
                <w:szCs w:val="22"/>
                <w:lang w:eastAsia="sv-SE"/>
              </w:rPr>
              <w:t>referenceOfSLIVDCI-1-2</w:t>
            </w:r>
          </w:p>
          <w:p w14:paraId="05454993" w14:textId="77777777" w:rsidR="00394471" w:rsidRPr="00FA0D37" w:rsidRDefault="00394471" w:rsidP="00964CC4">
            <w:pPr>
              <w:pStyle w:val="TAL"/>
              <w:rPr>
                <w:b/>
                <w:i/>
                <w:szCs w:val="22"/>
                <w:lang w:eastAsia="sv-SE"/>
              </w:rPr>
            </w:pPr>
            <w:r w:rsidRPr="00FA0D37">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5C7FF4" w:rsidRPr="00FA0D37"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FA0D37" w:rsidRDefault="00394471" w:rsidP="00964CC4">
            <w:pPr>
              <w:pStyle w:val="TAL"/>
              <w:rPr>
                <w:b/>
                <w:i/>
                <w:szCs w:val="22"/>
                <w:lang w:eastAsia="sv-SE"/>
              </w:rPr>
            </w:pPr>
            <w:r w:rsidRPr="00FA0D37">
              <w:rPr>
                <w:b/>
                <w:i/>
                <w:szCs w:val="22"/>
                <w:lang w:eastAsia="sv-SE"/>
              </w:rPr>
              <w:t>repetitionSchemeConfig</w:t>
            </w:r>
          </w:p>
          <w:p w14:paraId="22BFFC96" w14:textId="68042F68" w:rsidR="00394471" w:rsidRPr="00FA0D37" w:rsidRDefault="00394471" w:rsidP="00964CC4">
            <w:pPr>
              <w:pStyle w:val="TAL"/>
              <w:rPr>
                <w:b/>
                <w:i/>
                <w:szCs w:val="22"/>
                <w:lang w:eastAsia="sv-SE"/>
              </w:rPr>
            </w:pPr>
            <w:r w:rsidRPr="00FA0D37">
              <w:rPr>
                <w:lang w:eastAsia="sv-SE"/>
              </w:rPr>
              <w:t>Configure the UE with repetition schemes</w:t>
            </w:r>
            <w:r w:rsidR="009B0C1E" w:rsidRPr="00FA0D37">
              <w:rPr>
                <w:lang w:eastAsia="sv-SE"/>
              </w:rPr>
              <w:t xml:space="preserve">. The network does not configure </w:t>
            </w:r>
            <w:r w:rsidR="009B0C1E" w:rsidRPr="00FA0D37">
              <w:rPr>
                <w:i/>
                <w:lang w:eastAsia="sv-SE"/>
              </w:rPr>
              <w:t>repetitionSchemeConfig-r16</w:t>
            </w:r>
            <w:r w:rsidR="009B0C1E" w:rsidRPr="00FA0D37">
              <w:rPr>
                <w:lang w:eastAsia="sv-SE"/>
              </w:rPr>
              <w:t xml:space="preserve"> and </w:t>
            </w:r>
            <w:r w:rsidR="009B0C1E" w:rsidRPr="00FA0D37">
              <w:rPr>
                <w:i/>
                <w:lang w:eastAsia="sv-SE"/>
              </w:rPr>
              <w:t>repetitionSchemeConfig-v16</w:t>
            </w:r>
            <w:r w:rsidR="003B657B" w:rsidRPr="00FA0D37">
              <w:rPr>
                <w:i/>
                <w:lang w:eastAsia="sv-SE"/>
              </w:rPr>
              <w:t>3</w:t>
            </w:r>
            <w:r w:rsidR="009B0C1E" w:rsidRPr="00FA0D37">
              <w:rPr>
                <w:i/>
                <w:lang w:eastAsia="sv-SE"/>
              </w:rPr>
              <w:t>0</w:t>
            </w:r>
            <w:r w:rsidR="009B0C1E" w:rsidRPr="00FA0D37">
              <w:rPr>
                <w:lang w:eastAsia="sv-SE"/>
              </w:rPr>
              <w:t xml:space="preserve"> simultaneously to </w:t>
            </w:r>
            <w:r w:rsidR="009B0C1E" w:rsidRPr="00FA0D37">
              <w:rPr>
                <w:i/>
                <w:lang w:eastAsia="sv-SE"/>
              </w:rPr>
              <w:t>setup</w:t>
            </w:r>
            <w:r w:rsidR="009B0C1E" w:rsidRPr="00FA0D37">
              <w:rPr>
                <w:lang w:eastAsia="sv-SE"/>
              </w:rPr>
              <w:t xml:space="preserve"> in the same </w:t>
            </w:r>
            <w:r w:rsidR="009B0C1E" w:rsidRPr="00FA0D37">
              <w:rPr>
                <w:i/>
                <w:lang w:eastAsia="sv-SE"/>
              </w:rPr>
              <w:t>PDSCH-Config</w:t>
            </w:r>
            <w:r w:rsidR="009B0C1E" w:rsidRPr="00FA0D37">
              <w:rPr>
                <w:lang w:eastAsia="sv-SE"/>
              </w:rPr>
              <w:t>.</w:t>
            </w:r>
            <w:r w:rsidR="00DD5FF7" w:rsidRPr="00FA0D37">
              <w:t xml:space="preserve"> </w:t>
            </w:r>
            <w:r w:rsidR="00DD5FF7" w:rsidRPr="00FA0D37">
              <w:rPr>
                <w:lang w:eastAsia="sv-SE"/>
              </w:rPr>
              <w:t xml:space="preserve">The network does not configure this parameter and </w:t>
            </w:r>
            <w:r w:rsidR="00DD5FF7" w:rsidRPr="00FA0D37">
              <w:rPr>
                <w:i/>
                <w:lang w:eastAsia="sv-SE"/>
              </w:rPr>
              <w:t>sfnSchemePDSCH</w:t>
            </w:r>
            <w:r w:rsidR="00DD5FF7" w:rsidRPr="00FA0D37">
              <w:rPr>
                <w:lang w:eastAsia="sv-SE"/>
              </w:rPr>
              <w:t xml:space="preserve"> in </w:t>
            </w:r>
            <w:r w:rsidR="00DD5FF7" w:rsidRPr="00FA0D37">
              <w:rPr>
                <w:i/>
                <w:lang w:eastAsia="sv-SE"/>
              </w:rPr>
              <w:t>MIMOParam-r17</w:t>
            </w:r>
            <w:r w:rsidR="00DD5FF7" w:rsidRPr="00FA0D37">
              <w:rPr>
                <w:lang w:eastAsia="sv-SE"/>
              </w:rPr>
              <w:t xml:space="preserve"> simultaneously in the same serving cell.</w:t>
            </w:r>
          </w:p>
        </w:tc>
      </w:tr>
      <w:tr w:rsidR="005C7FF4" w:rsidRPr="00FA0D37"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FA0D37" w:rsidRDefault="00394471" w:rsidP="00964CC4">
            <w:pPr>
              <w:pStyle w:val="TAL"/>
              <w:rPr>
                <w:szCs w:val="22"/>
                <w:lang w:eastAsia="sv-SE"/>
              </w:rPr>
            </w:pPr>
            <w:r w:rsidRPr="00FA0D37">
              <w:rPr>
                <w:b/>
                <w:i/>
                <w:szCs w:val="22"/>
                <w:lang w:eastAsia="sv-SE"/>
              </w:rPr>
              <w:t>resourceAllocation, resourceAllocationDCI-1-2</w:t>
            </w:r>
          </w:p>
          <w:p w14:paraId="028B62C9" w14:textId="77777777" w:rsidR="00394471" w:rsidRPr="00FA0D37" w:rsidRDefault="00394471" w:rsidP="00964CC4">
            <w:pPr>
              <w:pStyle w:val="TAL"/>
              <w:rPr>
                <w:szCs w:val="22"/>
                <w:lang w:eastAsia="sv-SE"/>
              </w:rPr>
            </w:pPr>
            <w:r w:rsidRPr="00FA0D37">
              <w:rPr>
                <w:szCs w:val="22"/>
                <w:lang w:eastAsia="sv-SE"/>
              </w:rPr>
              <w:t xml:space="preserve">Configuration of resource allocation type 0 and resource allocation type 1 for non-fallback DCI (see TS 38.214 [19], clause 5.1.2.2). The field </w:t>
            </w:r>
            <w:r w:rsidRPr="00FA0D37">
              <w:rPr>
                <w:i/>
                <w:szCs w:val="22"/>
                <w:lang w:eastAsia="sv-SE"/>
              </w:rPr>
              <w:t xml:space="preserve">resourceAllocation </w:t>
            </w:r>
            <w:r w:rsidRPr="00FA0D37">
              <w:rPr>
                <w:szCs w:val="22"/>
                <w:lang w:eastAsia="sv-SE"/>
              </w:rPr>
              <w:t xml:space="preserve">applies to DCI format 1_1, and the field </w:t>
            </w:r>
            <w:r w:rsidRPr="00FA0D37">
              <w:rPr>
                <w:i/>
                <w:szCs w:val="22"/>
                <w:lang w:eastAsia="sv-SE"/>
              </w:rPr>
              <w:t>resourceAllocationDCI-1-2</w:t>
            </w:r>
            <w:r w:rsidRPr="00FA0D37">
              <w:rPr>
                <w:szCs w:val="22"/>
                <w:lang w:eastAsia="sv-SE"/>
              </w:rPr>
              <w:t xml:space="preserve"> applies to DCI format 1_2 (see TS 38.214 [19], clause 5.1.2.2).</w:t>
            </w:r>
          </w:p>
        </w:tc>
      </w:tr>
      <w:tr w:rsidR="005C7FF4" w:rsidRPr="00FA0D37"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FA0D37" w:rsidRDefault="00394471" w:rsidP="00964CC4">
            <w:pPr>
              <w:pStyle w:val="TAL"/>
              <w:rPr>
                <w:b/>
                <w:i/>
                <w:szCs w:val="22"/>
                <w:lang w:eastAsia="sv-SE"/>
              </w:rPr>
            </w:pPr>
            <w:r w:rsidRPr="00FA0D37">
              <w:rPr>
                <w:b/>
                <w:i/>
                <w:szCs w:val="22"/>
                <w:lang w:eastAsia="sv-SE"/>
              </w:rPr>
              <w:lastRenderedPageBreak/>
              <w:t>resourceAllocationType1GranularityDCI-1-2</w:t>
            </w:r>
          </w:p>
          <w:p w14:paraId="2EC21C79" w14:textId="77777777" w:rsidR="00394471" w:rsidRPr="00FA0D37" w:rsidRDefault="00394471" w:rsidP="00964CC4">
            <w:pPr>
              <w:pStyle w:val="TAL"/>
              <w:rPr>
                <w:b/>
                <w:i/>
                <w:szCs w:val="22"/>
                <w:lang w:eastAsia="sv-SE"/>
              </w:rPr>
            </w:pPr>
            <w:r w:rsidRPr="00FA0D37">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5C7FF4" w:rsidRPr="00FA0D37"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FA0D37" w:rsidRDefault="006C48AD" w:rsidP="00771058">
            <w:pPr>
              <w:pStyle w:val="TAL"/>
              <w:rPr>
                <w:b/>
                <w:i/>
                <w:szCs w:val="22"/>
                <w:lang w:eastAsia="sv-SE"/>
              </w:rPr>
            </w:pPr>
            <w:r w:rsidRPr="00FA0D37">
              <w:rPr>
                <w:b/>
                <w:bCs/>
                <w:i/>
                <w:szCs w:val="22"/>
                <w:lang w:eastAsia="en-GB"/>
              </w:rPr>
              <w:t>sizeDCI</w:t>
            </w:r>
            <w:r w:rsidRPr="00FA0D37">
              <w:rPr>
                <w:b/>
                <w:i/>
                <w:szCs w:val="22"/>
                <w:lang w:eastAsia="sv-SE"/>
              </w:rPr>
              <w:t>-4-2</w:t>
            </w:r>
          </w:p>
          <w:p w14:paraId="49B514BC" w14:textId="1A42B2D8" w:rsidR="006C48AD" w:rsidRPr="00FA0D37" w:rsidRDefault="006C48AD" w:rsidP="00771058">
            <w:pPr>
              <w:pStyle w:val="TAL"/>
              <w:rPr>
                <w:b/>
                <w:i/>
                <w:szCs w:val="22"/>
                <w:lang w:eastAsia="sv-SE"/>
              </w:rPr>
            </w:pPr>
            <w:r w:rsidRPr="00FA0D37">
              <w:rPr>
                <w:bCs/>
                <w:iCs/>
                <w:szCs w:val="22"/>
              </w:rPr>
              <w:t>Indicates</w:t>
            </w:r>
            <w:r w:rsidRPr="00FA0D37">
              <w:rPr>
                <w:szCs w:val="22"/>
                <w:lang w:eastAsia="sv-SE"/>
              </w:rPr>
              <w:t xml:space="preserve"> the </w:t>
            </w:r>
            <w:r w:rsidR="00154FBC" w:rsidRPr="00FA0D37">
              <w:rPr>
                <w:szCs w:val="22"/>
                <w:lang w:eastAsia="sv-SE"/>
              </w:rPr>
              <w:t>s</w:t>
            </w:r>
            <w:r w:rsidRPr="00FA0D37">
              <w:rPr>
                <w:szCs w:val="22"/>
                <w:lang w:eastAsia="sv-SE"/>
              </w:rPr>
              <w:t>ize of DCI format 4-2 (see TS 38.213 [13], clause 10.1).</w:t>
            </w:r>
          </w:p>
        </w:tc>
      </w:tr>
      <w:tr w:rsidR="005C7FF4" w:rsidRPr="00FA0D37"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FA0D37" w:rsidRDefault="00394471" w:rsidP="00964CC4">
            <w:pPr>
              <w:pStyle w:val="TAL"/>
              <w:rPr>
                <w:szCs w:val="22"/>
                <w:lang w:eastAsia="sv-SE"/>
              </w:rPr>
            </w:pPr>
            <w:r w:rsidRPr="00FA0D37">
              <w:rPr>
                <w:b/>
                <w:i/>
                <w:szCs w:val="22"/>
                <w:lang w:eastAsia="sv-SE"/>
              </w:rPr>
              <w:t>sp-ZP-CSI-RS-ResourceSetsToAddModList</w:t>
            </w:r>
          </w:p>
          <w:p w14:paraId="07CC33B1" w14:textId="77777777" w:rsidR="00394471" w:rsidRPr="00FA0D37" w:rsidRDefault="00394471" w:rsidP="00964CC4">
            <w:pPr>
              <w:pStyle w:val="TAL"/>
              <w:rPr>
                <w:b/>
                <w:i/>
                <w:szCs w:val="22"/>
                <w:lang w:eastAsia="sv-SE"/>
              </w:rPr>
            </w:pPr>
            <w:r w:rsidRPr="00FA0D37">
              <w:rPr>
                <w:lang w:eastAsia="sv-SE"/>
              </w:rPr>
              <w:t xml:space="preserve">AddMod/Release lists for configuring semi-persistent zero-power CSI-RS resource sets. Each set contains a </w:t>
            </w:r>
            <w:r w:rsidRPr="00FA0D37">
              <w:rPr>
                <w:i/>
                <w:iCs/>
                <w:lang w:eastAsia="sv-SE"/>
              </w:rPr>
              <w:t>ZP-CSI-RS-ResourceSetId</w:t>
            </w:r>
            <w:r w:rsidRPr="00FA0D37">
              <w:rPr>
                <w:lang w:eastAsia="sv-SE"/>
              </w:rPr>
              <w:t xml:space="preserve"> and the IDs of one or more </w:t>
            </w:r>
            <w:r w:rsidRPr="00FA0D37">
              <w:rPr>
                <w:i/>
                <w:iCs/>
                <w:lang w:eastAsia="sv-SE"/>
              </w:rPr>
              <w:t>ZP-CSI-RS-Resources</w:t>
            </w:r>
            <w:r w:rsidRPr="00FA0D37">
              <w:rPr>
                <w:lang w:eastAsia="sv-SE"/>
              </w:rPr>
              <w:t xml:space="preserve"> (the actual resources are defined in the </w:t>
            </w:r>
            <w:r w:rsidRPr="00FA0D37">
              <w:rPr>
                <w:i/>
                <w:iCs/>
                <w:lang w:eastAsia="sv-SE"/>
              </w:rPr>
              <w:t>zp-CSI-RS-ResourceToAddModList</w:t>
            </w:r>
            <w:r w:rsidRPr="00FA0D37">
              <w:rPr>
                <w:lang w:eastAsia="sv-SE"/>
              </w:rPr>
              <w:t>) (see TS 38.214 [19], clause 5.1.4.2).</w:t>
            </w:r>
          </w:p>
        </w:tc>
      </w:tr>
      <w:tr w:rsidR="005C7FF4" w:rsidRPr="00FA0D37"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FA0D37" w:rsidRDefault="00394471" w:rsidP="00964CC4">
            <w:pPr>
              <w:pStyle w:val="TAL"/>
              <w:rPr>
                <w:szCs w:val="22"/>
                <w:lang w:eastAsia="sv-SE"/>
              </w:rPr>
            </w:pPr>
            <w:r w:rsidRPr="00FA0D37">
              <w:rPr>
                <w:b/>
                <w:i/>
                <w:szCs w:val="22"/>
                <w:lang w:eastAsia="sv-SE"/>
              </w:rPr>
              <w:t>tci-StatesToAddModList</w:t>
            </w:r>
          </w:p>
          <w:p w14:paraId="1CE0850D" w14:textId="3B8B2BF5" w:rsidR="00394471" w:rsidRPr="00FA0D37" w:rsidRDefault="00394471" w:rsidP="00964CC4">
            <w:pPr>
              <w:pStyle w:val="TAL"/>
              <w:rPr>
                <w:szCs w:val="22"/>
                <w:lang w:eastAsia="sv-SE"/>
              </w:rPr>
            </w:pPr>
            <w:r w:rsidRPr="00FA0D37">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FA0D37">
              <w:rPr>
                <w:szCs w:val="22"/>
                <w:lang w:eastAsia="sv-SE"/>
              </w:rPr>
              <w:t xml:space="preserve"> If </w:t>
            </w:r>
            <w:r w:rsidR="00FC0CBC" w:rsidRPr="00FA0D37">
              <w:rPr>
                <w:i/>
                <w:iCs/>
                <w:szCs w:val="22"/>
                <w:lang w:eastAsia="sv-SE"/>
              </w:rPr>
              <w:t>unifiedTCI-StateType</w:t>
            </w:r>
            <w:r w:rsidR="00FC0CBC" w:rsidRPr="00FA0D37">
              <w:rPr>
                <w:szCs w:val="22"/>
                <w:lang w:eastAsia="sv-SE"/>
              </w:rPr>
              <w:t xml:space="preserve"> is configured for the serving cell, no element in this list is configured.</w:t>
            </w:r>
          </w:p>
        </w:tc>
      </w:tr>
      <w:tr w:rsidR="005C7FF4" w:rsidRPr="00FA0D37"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FA0D37" w:rsidRDefault="00754543" w:rsidP="0071565C">
            <w:pPr>
              <w:pStyle w:val="TAL"/>
              <w:rPr>
                <w:b/>
                <w:i/>
                <w:szCs w:val="22"/>
                <w:lang w:eastAsia="sv-SE"/>
              </w:rPr>
            </w:pPr>
            <w:r w:rsidRPr="00FA0D37">
              <w:rPr>
                <w:b/>
                <w:i/>
                <w:szCs w:val="22"/>
                <w:lang w:eastAsia="sv-SE"/>
              </w:rPr>
              <w:t>unifiedTCI-StateRef</w:t>
            </w:r>
          </w:p>
          <w:p w14:paraId="3C31C997" w14:textId="30DCCB48" w:rsidR="00754543" w:rsidRPr="00FA0D37" w:rsidRDefault="00754543" w:rsidP="0071565C">
            <w:pPr>
              <w:pStyle w:val="TAL"/>
              <w:rPr>
                <w:bCs/>
                <w:iCs/>
                <w:szCs w:val="22"/>
                <w:lang w:eastAsia="sv-SE"/>
              </w:rPr>
            </w:pPr>
            <w:r w:rsidRPr="00FA0D37">
              <w:rPr>
                <w:bCs/>
                <w:iCs/>
                <w:szCs w:val="22"/>
                <w:lang w:eastAsia="sv-SE"/>
              </w:rPr>
              <w:t xml:space="preserve">Provides the serving cell and BWP where the configuration for </w:t>
            </w:r>
            <w:r w:rsidR="00770F46" w:rsidRPr="00FA0D37">
              <w:rPr>
                <w:bCs/>
                <w:i/>
                <w:szCs w:val="22"/>
                <w:lang w:eastAsia="sv-SE"/>
              </w:rPr>
              <w:t>dl-</w:t>
            </w:r>
            <w:r w:rsidR="003A2D9D" w:rsidRPr="00FA0D37">
              <w:rPr>
                <w:bCs/>
                <w:i/>
                <w:szCs w:val="22"/>
                <w:lang w:eastAsia="sv-SE"/>
              </w:rPr>
              <w:t>O</w:t>
            </w:r>
            <w:r w:rsidRPr="00FA0D37">
              <w:rPr>
                <w:bCs/>
                <w:i/>
                <w:szCs w:val="22"/>
                <w:lang w:eastAsia="sv-SE"/>
              </w:rPr>
              <w:t>rJointTCI</w:t>
            </w:r>
            <w:r w:rsidR="00770F46" w:rsidRPr="00FA0D37">
              <w:rPr>
                <w:bCs/>
                <w:i/>
                <w:szCs w:val="22"/>
                <w:lang w:eastAsia="sv-SE"/>
              </w:rPr>
              <w:t>-</w:t>
            </w:r>
            <w:r w:rsidRPr="00FA0D37">
              <w:rPr>
                <w:bCs/>
                <w:i/>
                <w:szCs w:val="22"/>
                <w:lang w:eastAsia="sv-SE"/>
              </w:rPr>
              <w:t>StateToAddModList-r17</w:t>
            </w:r>
            <w:r w:rsidRPr="00FA0D37">
              <w:rPr>
                <w:bCs/>
                <w:iCs/>
                <w:szCs w:val="22"/>
                <w:lang w:eastAsia="sv-SE"/>
              </w:rPr>
              <w:t xml:space="preserve"> </w:t>
            </w:r>
            <w:r w:rsidR="00FC0CBC" w:rsidRPr="00FA0D37">
              <w:rPr>
                <w:bCs/>
                <w:iCs/>
                <w:szCs w:val="22"/>
                <w:lang w:eastAsia="sv-SE"/>
              </w:rPr>
              <w:t>are defined</w:t>
            </w:r>
            <w:r w:rsidRPr="00FA0D37">
              <w:rPr>
                <w:bCs/>
                <w:iCs/>
                <w:szCs w:val="22"/>
                <w:lang w:eastAsia="sv-SE"/>
              </w:rPr>
              <w:t xml:space="preserve">. When this field is present, </w:t>
            </w:r>
            <w:r w:rsidR="00770F46" w:rsidRPr="00FA0D37">
              <w:rPr>
                <w:bCs/>
                <w:i/>
                <w:szCs w:val="22"/>
                <w:lang w:eastAsia="sv-SE"/>
              </w:rPr>
              <w:t>dl-</w:t>
            </w:r>
            <w:r w:rsidR="004D1E3D" w:rsidRPr="00FA0D37">
              <w:rPr>
                <w:bCs/>
                <w:i/>
                <w:szCs w:val="22"/>
                <w:lang w:eastAsia="sv-SE"/>
              </w:rPr>
              <w:t>O</w:t>
            </w:r>
            <w:r w:rsidRPr="00FA0D37">
              <w:rPr>
                <w:bCs/>
                <w:i/>
                <w:szCs w:val="22"/>
                <w:lang w:eastAsia="sv-SE"/>
              </w:rPr>
              <w:t>rJointTCI</w:t>
            </w:r>
            <w:r w:rsidR="00770F46" w:rsidRPr="00FA0D37">
              <w:rPr>
                <w:bCs/>
                <w:i/>
                <w:szCs w:val="22"/>
                <w:lang w:eastAsia="sv-SE"/>
              </w:rPr>
              <w:t>-</w:t>
            </w:r>
            <w:r w:rsidRPr="00FA0D37">
              <w:rPr>
                <w:bCs/>
                <w:i/>
                <w:szCs w:val="22"/>
                <w:lang w:eastAsia="sv-SE"/>
              </w:rPr>
              <w:t>StateToAddModList</w:t>
            </w:r>
            <w:r w:rsidRPr="00FA0D37">
              <w:rPr>
                <w:bCs/>
                <w:iCs/>
                <w:szCs w:val="22"/>
                <w:lang w:eastAsia="sv-SE"/>
              </w:rPr>
              <w:t xml:space="preserve"> and </w:t>
            </w:r>
            <w:r w:rsidR="00770F46" w:rsidRPr="00FA0D37">
              <w:rPr>
                <w:bCs/>
                <w:i/>
                <w:szCs w:val="22"/>
                <w:lang w:eastAsia="sv-SE"/>
              </w:rPr>
              <w:t>dl-</w:t>
            </w:r>
            <w:r w:rsidR="003A2D9D" w:rsidRPr="00FA0D37">
              <w:rPr>
                <w:bCs/>
                <w:i/>
                <w:szCs w:val="22"/>
                <w:lang w:eastAsia="sv-SE"/>
              </w:rPr>
              <w:t>Or</w:t>
            </w:r>
            <w:r w:rsidRPr="00FA0D37">
              <w:rPr>
                <w:bCs/>
                <w:i/>
                <w:szCs w:val="22"/>
                <w:lang w:eastAsia="sv-SE"/>
              </w:rPr>
              <w:t>JointTCI</w:t>
            </w:r>
            <w:r w:rsidR="00770F46" w:rsidRPr="00FA0D37">
              <w:rPr>
                <w:bCs/>
                <w:i/>
                <w:szCs w:val="22"/>
                <w:lang w:eastAsia="sv-SE"/>
              </w:rPr>
              <w:t>-</w:t>
            </w:r>
            <w:r w:rsidRPr="00FA0D37">
              <w:rPr>
                <w:bCs/>
                <w:i/>
                <w:szCs w:val="22"/>
                <w:lang w:eastAsia="sv-SE"/>
              </w:rPr>
              <w:t>StateToReleaseList</w:t>
            </w:r>
            <w:r w:rsidRPr="00FA0D37">
              <w:rPr>
                <w:bCs/>
                <w:iCs/>
                <w:szCs w:val="22"/>
                <w:lang w:eastAsia="sv-SE"/>
              </w:rPr>
              <w:t xml:space="preserve"> are not present.</w:t>
            </w:r>
            <w:r w:rsidR="00486151" w:rsidRPr="00FA0D37">
              <w:rPr>
                <w:rFonts w:cs="Arial"/>
                <w:szCs w:val="18"/>
                <w:lang w:eastAsia="sv-SE"/>
              </w:rPr>
              <w:t xml:space="preserve"> The value of </w:t>
            </w:r>
            <w:r w:rsidR="00486151" w:rsidRPr="00FA0D37">
              <w:rPr>
                <w:rFonts w:cs="Arial"/>
                <w:i/>
                <w:iCs/>
                <w:szCs w:val="18"/>
                <w:lang w:eastAsia="sv-SE"/>
              </w:rPr>
              <w:t>unifiedTCI-StateType</w:t>
            </w:r>
            <w:r w:rsidR="00486151" w:rsidRPr="00FA0D37">
              <w:rPr>
                <w:rFonts w:eastAsiaTheme="minorEastAsia" w:cs="Arial"/>
                <w:i/>
                <w:iCs/>
                <w:szCs w:val="18"/>
                <w:lang w:eastAsia="zh-CN"/>
              </w:rPr>
              <w:t xml:space="preserve"> </w:t>
            </w:r>
            <w:r w:rsidR="00486151" w:rsidRPr="00FA0D37">
              <w:rPr>
                <w:rFonts w:eastAsiaTheme="minorEastAsia" w:cs="Arial"/>
                <w:iCs/>
                <w:szCs w:val="18"/>
                <w:lang w:eastAsia="zh-CN"/>
              </w:rPr>
              <w:t>of current serving cell</w:t>
            </w:r>
            <w:r w:rsidR="00486151" w:rsidRPr="00FA0D37">
              <w:rPr>
                <w:rFonts w:cs="Arial"/>
                <w:szCs w:val="18"/>
                <w:lang w:eastAsia="sv-SE"/>
              </w:rPr>
              <w:t xml:space="preserve"> is the same in the serving cell indicated by </w:t>
            </w:r>
            <w:r w:rsidR="00486151" w:rsidRPr="00FA0D37">
              <w:rPr>
                <w:rFonts w:cs="Arial"/>
                <w:i/>
                <w:iCs/>
                <w:szCs w:val="18"/>
                <w:lang w:eastAsia="sv-SE"/>
              </w:rPr>
              <w:t>unifiedTCI-StateRef.</w:t>
            </w:r>
          </w:p>
        </w:tc>
      </w:tr>
      <w:tr w:rsidR="005C7FF4" w:rsidRPr="00FA0D37"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FA0D37" w:rsidRDefault="00394471" w:rsidP="00964CC4">
            <w:pPr>
              <w:pStyle w:val="TAL"/>
              <w:rPr>
                <w:szCs w:val="22"/>
                <w:lang w:eastAsia="sv-SE"/>
              </w:rPr>
            </w:pPr>
            <w:r w:rsidRPr="00FA0D37">
              <w:rPr>
                <w:b/>
                <w:i/>
                <w:szCs w:val="22"/>
                <w:lang w:eastAsia="sv-SE"/>
              </w:rPr>
              <w:t>vrb-ToPRB-Interleaver, vrb-ToPRB-InterleaverDCI-1-2</w:t>
            </w:r>
          </w:p>
          <w:p w14:paraId="4BA9FAA4" w14:textId="2E936739" w:rsidR="00394471" w:rsidRPr="00FA0D37" w:rsidRDefault="00394471" w:rsidP="00964CC4">
            <w:pPr>
              <w:pStyle w:val="TAL"/>
              <w:rPr>
                <w:szCs w:val="22"/>
                <w:lang w:eastAsia="sv-SE"/>
              </w:rPr>
            </w:pPr>
            <w:r w:rsidRPr="00FA0D37">
              <w:rPr>
                <w:szCs w:val="22"/>
                <w:lang w:eastAsia="sv-SE"/>
              </w:rPr>
              <w:t>Interleaving unit configurable between 2 and 4 PRBs (see TS 38.211 [16], clause 7.3.1.6). When the field is absent, the UE performs non-interleaved VRB-to-PRB mapping.</w:t>
            </w:r>
          </w:p>
        </w:tc>
      </w:tr>
      <w:tr w:rsidR="005C7FF4" w:rsidRPr="00FA0D37"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FA0D37" w:rsidRDefault="006C48AD" w:rsidP="00771058">
            <w:pPr>
              <w:pStyle w:val="TAL"/>
              <w:rPr>
                <w:rFonts w:cs="Arial"/>
                <w:b/>
                <w:i/>
                <w:szCs w:val="18"/>
                <w:lang w:eastAsia="sv-SE"/>
              </w:rPr>
            </w:pPr>
            <w:r w:rsidRPr="00FA0D37">
              <w:rPr>
                <w:b/>
                <w:i/>
                <w:szCs w:val="22"/>
                <w:lang w:eastAsia="sv-SE"/>
              </w:rPr>
              <w:t>xOverheadMulticast</w:t>
            </w:r>
          </w:p>
          <w:p w14:paraId="10429EA6" w14:textId="77777777" w:rsidR="006C48AD" w:rsidRPr="00FA0D37" w:rsidRDefault="006C48AD" w:rsidP="00771058">
            <w:pPr>
              <w:pStyle w:val="TAL"/>
              <w:rPr>
                <w:b/>
                <w:i/>
                <w:szCs w:val="22"/>
                <w:lang w:eastAsia="sv-SE"/>
              </w:rPr>
            </w:pPr>
            <w:r w:rsidRPr="00FA0D37">
              <w:rPr>
                <w:szCs w:val="22"/>
                <w:lang w:eastAsia="sv-SE"/>
              </w:rPr>
              <w:t>Accounts</w:t>
            </w:r>
            <w:r w:rsidRPr="00FA0D37">
              <w:rPr>
                <w:rFonts w:cs="Arial"/>
                <w:szCs w:val="18"/>
                <w:lang w:eastAsia="sv-SE"/>
              </w:rPr>
              <w:t xml:space="preserve"> for an overhead from CSI-RS, CORESET etc. If the field is absent, the UE applies value xOh0 (see TS 38.214 [19]).</w:t>
            </w:r>
          </w:p>
        </w:tc>
      </w:tr>
      <w:tr w:rsidR="000830BB" w:rsidRPr="00FA0D37"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FA0D37" w:rsidRDefault="00394471" w:rsidP="00964CC4">
            <w:pPr>
              <w:pStyle w:val="TAL"/>
              <w:rPr>
                <w:szCs w:val="22"/>
                <w:lang w:eastAsia="sv-SE"/>
              </w:rPr>
            </w:pPr>
            <w:r w:rsidRPr="00FA0D37">
              <w:rPr>
                <w:b/>
                <w:i/>
                <w:szCs w:val="22"/>
                <w:lang w:eastAsia="sv-SE"/>
              </w:rPr>
              <w:t>zp-CSI-RS-ResourceToAddModList</w:t>
            </w:r>
          </w:p>
          <w:p w14:paraId="18318FE1" w14:textId="77777777" w:rsidR="00394471" w:rsidRPr="00FA0D37" w:rsidRDefault="00394471" w:rsidP="00964CC4">
            <w:pPr>
              <w:pStyle w:val="TAL"/>
              <w:rPr>
                <w:szCs w:val="22"/>
                <w:lang w:eastAsia="sv-SE"/>
              </w:rPr>
            </w:pPr>
            <w:r w:rsidRPr="00FA0D37">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FA0D37" w:rsidRDefault="00394471" w:rsidP="00394471"/>
    <w:p w14:paraId="0D5958EF" w14:textId="77777777" w:rsidR="00394471" w:rsidRPr="00FA0D37" w:rsidRDefault="00394471" w:rsidP="00394471">
      <w:pPr>
        <w:pStyle w:val="4"/>
      </w:pPr>
      <w:bookmarkStart w:id="1219" w:name="_Toc60777302"/>
      <w:bookmarkStart w:id="1220" w:name="_Toc146781381"/>
      <w:r w:rsidRPr="00FA0D37">
        <w:t>–</w:t>
      </w:r>
      <w:r w:rsidRPr="00FA0D37">
        <w:tab/>
      </w:r>
      <w:r w:rsidRPr="00FA0D37">
        <w:rPr>
          <w:i/>
        </w:rPr>
        <w:t>PDSCH-ConfigCommon</w:t>
      </w:r>
      <w:bookmarkEnd w:id="1219"/>
      <w:bookmarkEnd w:id="1220"/>
    </w:p>
    <w:p w14:paraId="37B57C13" w14:textId="77777777" w:rsidR="00394471" w:rsidRPr="00FA0D37" w:rsidRDefault="00394471" w:rsidP="00394471">
      <w:r w:rsidRPr="00FA0D37">
        <w:t xml:space="preserve">The IE </w:t>
      </w:r>
      <w:r w:rsidRPr="00FA0D37">
        <w:rPr>
          <w:i/>
        </w:rPr>
        <w:t>PDSCH-ConfigCommon</w:t>
      </w:r>
      <w:r w:rsidRPr="00FA0D37">
        <w:t xml:space="preserve"> is used to configure cell specific PDSCH parameters.</w:t>
      </w:r>
    </w:p>
    <w:p w14:paraId="4865C808" w14:textId="77777777" w:rsidR="00394471" w:rsidRPr="00FA0D37" w:rsidRDefault="00394471" w:rsidP="00394471">
      <w:pPr>
        <w:pStyle w:val="TH"/>
      </w:pPr>
      <w:r w:rsidRPr="00FA0D37">
        <w:rPr>
          <w:i/>
        </w:rPr>
        <w:t>PDSCH-ConfigCommon</w:t>
      </w:r>
      <w:r w:rsidRPr="00FA0D37">
        <w:t xml:space="preserve"> information element</w:t>
      </w:r>
    </w:p>
    <w:p w14:paraId="03B7C0AA" w14:textId="77777777" w:rsidR="00394471" w:rsidRPr="00FA0D37" w:rsidRDefault="00394471" w:rsidP="00FA0D37">
      <w:pPr>
        <w:pStyle w:val="PL"/>
        <w:rPr>
          <w:color w:val="808080"/>
        </w:rPr>
      </w:pPr>
      <w:r w:rsidRPr="00FA0D37">
        <w:rPr>
          <w:color w:val="808080"/>
        </w:rPr>
        <w:t>-- ASN1START</w:t>
      </w:r>
    </w:p>
    <w:p w14:paraId="3B66E07F" w14:textId="77777777" w:rsidR="00394471" w:rsidRPr="00FA0D37" w:rsidRDefault="00394471" w:rsidP="00FA0D37">
      <w:pPr>
        <w:pStyle w:val="PL"/>
        <w:rPr>
          <w:color w:val="808080"/>
        </w:rPr>
      </w:pPr>
      <w:r w:rsidRPr="00FA0D37">
        <w:rPr>
          <w:color w:val="808080"/>
        </w:rPr>
        <w:t>-- TAG-PDSCH-CONFIGCOMMON-START</w:t>
      </w:r>
    </w:p>
    <w:p w14:paraId="74BF3E74" w14:textId="77777777" w:rsidR="00394471" w:rsidRPr="00FA0D37" w:rsidRDefault="00394471" w:rsidP="00FA0D37">
      <w:pPr>
        <w:pStyle w:val="PL"/>
      </w:pPr>
    </w:p>
    <w:p w14:paraId="67CBCB92" w14:textId="77777777" w:rsidR="00394471" w:rsidRPr="00FA0D37" w:rsidRDefault="00394471" w:rsidP="00FA0D37">
      <w:pPr>
        <w:pStyle w:val="PL"/>
      </w:pPr>
      <w:r w:rsidRPr="00FA0D37">
        <w:t xml:space="preserve">PDSCH-ConfigCommon ::=                  </w:t>
      </w:r>
      <w:r w:rsidRPr="00FA0D37">
        <w:rPr>
          <w:color w:val="993366"/>
        </w:rPr>
        <w:t>SEQUENCE</w:t>
      </w:r>
      <w:r w:rsidRPr="00FA0D37">
        <w:t xml:space="preserve"> {</w:t>
      </w:r>
    </w:p>
    <w:p w14:paraId="104D7B61" w14:textId="77777777" w:rsidR="00394471" w:rsidRPr="00FA0D37" w:rsidRDefault="00394471" w:rsidP="00FA0D37">
      <w:pPr>
        <w:pStyle w:val="PL"/>
        <w:rPr>
          <w:color w:val="808080"/>
        </w:rPr>
      </w:pPr>
      <w:r w:rsidRPr="00FA0D37">
        <w:t xml:space="preserve">    pdsch-TimeDomainAllocationList                  PDSCH-TimeDomainResourceAllocationList          </w:t>
      </w:r>
      <w:r w:rsidRPr="00FA0D37">
        <w:rPr>
          <w:color w:val="993366"/>
        </w:rPr>
        <w:t>OPTIONAL</w:t>
      </w:r>
      <w:r w:rsidRPr="00FA0D37">
        <w:t xml:space="preserve">,   </w:t>
      </w:r>
      <w:r w:rsidRPr="00FA0D37">
        <w:rPr>
          <w:color w:val="808080"/>
        </w:rPr>
        <w:t>-- Need R</w:t>
      </w:r>
    </w:p>
    <w:p w14:paraId="0782FBD4" w14:textId="77777777" w:rsidR="00394471" w:rsidRPr="00FA0D37" w:rsidRDefault="00394471" w:rsidP="00FA0D37">
      <w:pPr>
        <w:pStyle w:val="PL"/>
      </w:pPr>
      <w:r w:rsidRPr="00FA0D37">
        <w:t xml:space="preserve">    ...</w:t>
      </w:r>
    </w:p>
    <w:p w14:paraId="4703A159" w14:textId="77777777" w:rsidR="00394471" w:rsidRPr="00FA0D37" w:rsidRDefault="00394471" w:rsidP="00FA0D37">
      <w:pPr>
        <w:pStyle w:val="PL"/>
      </w:pPr>
      <w:r w:rsidRPr="00FA0D37">
        <w:t>}</w:t>
      </w:r>
    </w:p>
    <w:p w14:paraId="7151A90C" w14:textId="77777777" w:rsidR="00394471" w:rsidRPr="00FA0D37" w:rsidRDefault="00394471" w:rsidP="00FA0D37">
      <w:pPr>
        <w:pStyle w:val="PL"/>
      </w:pPr>
    </w:p>
    <w:p w14:paraId="64CF29C4" w14:textId="77777777" w:rsidR="00394471" w:rsidRPr="00FA0D37" w:rsidRDefault="00394471" w:rsidP="00FA0D37">
      <w:pPr>
        <w:pStyle w:val="PL"/>
        <w:rPr>
          <w:color w:val="808080"/>
        </w:rPr>
      </w:pPr>
      <w:r w:rsidRPr="00FA0D37">
        <w:rPr>
          <w:color w:val="808080"/>
        </w:rPr>
        <w:t>-- TAG-PDSCH-CONFIGCOMMON-STOP</w:t>
      </w:r>
    </w:p>
    <w:p w14:paraId="7A824082" w14:textId="77777777" w:rsidR="00394471" w:rsidRPr="00FA0D37" w:rsidRDefault="00394471" w:rsidP="00FA0D37">
      <w:pPr>
        <w:pStyle w:val="PL"/>
        <w:rPr>
          <w:color w:val="808080"/>
        </w:rPr>
      </w:pPr>
      <w:r w:rsidRPr="00FA0D37">
        <w:rPr>
          <w:color w:val="808080"/>
        </w:rPr>
        <w:t>-- ASN1STOP</w:t>
      </w:r>
    </w:p>
    <w:p w14:paraId="71F1A22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FA0D37" w:rsidRDefault="00394471" w:rsidP="00964CC4">
            <w:pPr>
              <w:pStyle w:val="TAH"/>
              <w:rPr>
                <w:szCs w:val="22"/>
                <w:lang w:eastAsia="sv-SE"/>
              </w:rPr>
            </w:pPr>
            <w:r w:rsidRPr="00FA0D37">
              <w:rPr>
                <w:i/>
                <w:szCs w:val="22"/>
                <w:lang w:eastAsia="sv-SE"/>
              </w:rPr>
              <w:lastRenderedPageBreak/>
              <w:t xml:space="preserve">PDSCH-ConfigCommon </w:t>
            </w:r>
            <w:r w:rsidRPr="00FA0D37">
              <w:rPr>
                <w:szCs w:val="22"/>
                <w:lang w:eastAsia="sv-SE"/>
              </w:rPr>
              <w:t>field descriptions</w:t>
            </w:r>
          </w:p>
        </w:tc>
      </w:tr>
      <w:tr w:rsidR="00394471" w:rsidRPr="00FA0D37"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FA0D37" w:rsidRDefault="00394471" w:rsidP="00964CC4">
            <w:pPr>
              <w:pStyle w:val="TAL"/>
              <w:rPr>
                <w:szCs w:val="22"/>
                <w:lang w:eastAsia="sv-SE"/>
              </w:rPr>
            </w:pPr>
            <w:r w:rsidRPr="00FA0D37">
              <w:rPr>
                <w:b/>
                <w:i/>
                <w:szCs w:val="22"/>
                <w:lang w:eastAsia="sv-SE"/>
              </w:rPr>
              <w:t>pdsch-TimeDomainAllocationList</w:t>
            </w:r>
          </w:p>
          <w:p w14:paraId="18FB1C73" w14:textId="77777777" w:rsidR="00394471" w:rsidRPr="00FA0D37" w:rsidRDefault="00394471" w:rsidP="00964CC4">
            <w:pPr>
              <w:pStyle w:val="TAL"/>
              <w:rPr>
                <w:szCs w:val="22"/>
                <w:lang w:eastAsia="sv-SE"/>
              </w:rPr>
            </w:pPr>
            <w:r w:rsidRPr="00FA0D37">
              <w:rPr>
                <w:szCs w:val="22"/>
                <w:lang w:eastAsia="sv-SE"/>
              </w:rPr>
              <w:t>List of time-domain configurations for timing of DL assignment to DL data (see table 5.1.2.1.1-1 in TS 38.214 [19]).</w:t>
            </w:r>
          </w:p>
        </w:tc>
      </w:tr>
    </w:tbl>
    <w:p w14:paraId="4DFA1F1E" w14:textId="77777777" w:rsidR="00394471" w:rsidRPr="00FA0D37" w:rsidRDefault="00394471" w:rsidP="00394471"/>
    <w:p w14:paraId="0F889FA3" w14:textId="77777777" w:rsidR="00394471" w:rsidRPr="00FA0D37" w:rsidRDefault="00394471" w:rsidP="00394471">
      <w:pPr>
        <w:pStyle w:val="4"/>
      </w:pPr>
      <w:bookmarkStart w:id="1221" w:name="_Toc60777303"/>
      <w:bookmarkStart w:id="1222" w:name="_Toc146781382"/>
      <w:r w:rsidRPr="00FA0D37">
        <w:t>–</w:t>
      </w:r>
      <w:r w:rsidRPr="00FA0D37">
        <w:tab/>
      </w:r>
      <w:r w:rsidRPr="00FA0D37">
        <w:rPr>
          <w:i/>
        </w:rPr>
        <w:t>PDSCH-ServingCellConfig</w:t>
      </w:r>
      <w:bookmarkEnd w:id="1221"/>
      <w:bookmarkEnd w:id="1222"/>
    </w:p>
    <w:p w14:paraId="0760EC9C" w14:textId="77777777" w:rsidR="00394471" w:rsidRPr="00FA0D37" w:rsidRDefault="00394471" w:rsidP="00394471">
      <w:r w:rsidRPr="00FA0D37">
        <w:t xml:space="preserve">The IE </w:t>
      </w:r>
      <w:r w:rsidRPr="00FA0D37">
        <w:rPr>
          <w:i/>
        </w:rPr>
        <w:t>PDSCH-ServingCellConfig</w:t>
      </w:r>
      <w:r w:rsidRPr="00FA0D37">
        <w:t xml:space="preserve"> is used to configure UE specific PDSCH parameters that are common across the UE's BWPs of one serving cell.</w:t>
      </w:r>
    </w:p>
    <w:p w14:paraId="2C61DF96" w14:textId="77777777" w:rsidR="00394471" w:rsidRPr="00FA0D37" w:rsidRDefault="00394471" w:rsidP="00394471">
      <w:pPr>
        <w:pStyle w:val="TH"/>
      </w:pPr>
      <w:r w:rsidRPr="00FA0D37">
        <w:rPr>
          <w:i/>
        </w:rPr>
        <w:t>PDSCH-ServingCellConfig</w:t>
      </w:r>
      <w:r w:rsidRPr="00FA0D37">
        <w:t xml:space="preserve"> information element</w:t>
      </w:r>
    </w:p>
    <w:p w14:paraId="41CB38D6" w14:textId="77777777" w:rsidR="00394471" w:rsidRPr="00FA0D37" w:rsidRDefault="00394471" w:rsidP="00FA0D37">
      <w:pPr>
        <w:pStyle w:val="PL"/>
        <w:rPr>
          <w:color w:val="808080"/>
        </w:rPr>
      </w:pPr>
      <w:r w:rsidRPr="00FA0D37">
        <w:rPr>
          <w:color w:val="808080"/>
        </w:rPr>
        <w:t>-- ASN1START</w:t>
      </w:r>
    </w:p>
    <w:p w14:paraId="2C503E30" w14:textId="77777777" w:rsidR="00394471" w:rsidRPr="00FA0D37" w:rsidRDefault="00394471" w:rsidP="00FA0D37">
      <w:pPr>
        <w:pStyle w:val="PL"/>
        <w:rPr>
          <w:color w:val="808080"/>
        </w:rPr>
      </w:pPr>
      <w:r w:rsidRPr="00FA0D37">
        <w:rPr>
          <w:color w:val="808080"/>
        </w:rPr>
        <w:t>-- TAG-PDSCH-SERVINGCELLCONFIG-START</w:t>
      </w:r>
    </w:p>
    <w:p w14:paraId="1D6E861D" w14:textId="77777777" w:rsidR="00394471" w:rsidRPr="00FA0D37" w:rsidRDefault="00394471" w:rsidP="00FA0D37">
      <w:pPr>
        <w:pStyle w:val="PL"/>
      </w:pPr>
    </w:p>
    <w:p w14:paraId="341BD5BC" w14:textId="77777777" w:rsidR="00394471" w:rsidRPr="00FA0D37" w:rsidRDefault="00394471" w:rsidP="00FA0D37">
      <w:pPr>
        <w:pStyle w:val="PL"/>
      </w:pPr>
      <w:r w:rsidRPr="00FA0D37">
        <w:t xml:space="preserve">PDSCH-ServingCellConfig ::=             </w:t>
      </w:r>
      <w:r w:rsidRPr="00FA0D37">
        <w:rPr>
          <w:color w:val="993366"/>
        </w:rPr>
        <w:t>SEQUENCE</w:t>
      </w:r>
      <w:r w:rsidRPr="00FA0D37">
        <w:t xml:space="preserve"> {</w:t>
      </w:r>
    </w:p>
    <w:p w14:paraId="2AE366EA" w14:textId="77777777" w:rsidR="00394471" w:rsidRPr="00FA0D37" w:rsidRDefault="00394471" w:rsidP="00FA0D37">
      <w:pPr>
        <w:pStyle w:val="PL"/>
        <w:rPr>
          <w:color w:val="808080"/>
        </w:rPr>
      </w:pPr>
      <w:r w:rsidRPr="00FA0D37">
        <w:t xml:space="preserve">    codeBlockGroupTransmission              SetupRelease { PDSCH-CodeBlockGroupTransmission }              </w:t>
      </w:r>
      <w:r w:rsidRPr="00FA0D37">
        <w:rPr>
          <w:color w:val="993366"/>
        </w:rPr>
        <w:t>OPTIONAL</w:t>
      </w:r>
      <w:r w:rsidRPr="00FA0D37">
        <w:t xml:space="preserve">,   </w:t>
      </w:r>
      <w:r w:rsidRPr="00FA0D37">
        <w:rPr>
          <w:color w:val="808080"/>
        </w:rPr>
        <w:t>-- Need M</w:t>
      </w:r>
    </w:p>
    <w:p w14:paraId="70EFDBC6" w14:textId="77777777" w:rsidR="00394471" w:rsidRPr="00FA0D37" w:rsidRDefault="00394471" w:rsidP="00FA0D37">
      <w:pPr>
        <w:pStyle w:val="PL"/>
        <w:rPr>
          <w:color w:val="808080"/>
        </w:rPr>
      </w:pPr>
      <w:r w:rsidRPr="00FA0D37">
        <w:t xml:space="preserve">    xOverhead                               </w:t>
      </w:r>
      <w:r w:rsidRPr="00FA0D37">
        <w:rPr>
          <w:color w:val="993366"/>
        </w:rPr>
        <w:t>ENUMERATED</w:t>
      </w:r>
      <w:r w:rsidRPr="00FA0D37">
        <w:t xml:space="preserve"> { xOh6, xOh12, xOh18 }                              </w:t>
      </w:r>
      <w:r w:rsidRPr="00FA0D37">
        <w:rPr>
          <w:color w:val="993366"/>
        </w:rPr>
        <w:t>OPTIONAL</w:t>
      </w:r>
      <w:r w:rsidRPr="00FA0D37">
        <w:t xml:space="preserve">,   </w:t>
      </w:r>
      <w:r w:rsidRPr="00FA0D37">
        <w:rPr>
          <w:color w:val="808080"/>
        </w:rPr>
        <w:t>-- Need S</w:t>
      </w:r>
    </w:p>
    <w:p w14:paraId="3CCF20AF" w14:textId="77777777" w:rsidR="00394471" w:rsidRPr="00FA0D37" w:rsidRDefault="00394471" w:rsidP="00FA0D37">
      <w:pPr>
        <w:pStyle w:val="PL"/>
        <w:rPr>
          <w:color w:val="808080"/>
        </w:rPr>
      </w:pPr>
      <w:r w:rsidRPr="00FA0D37">
        <w:t xml:space="preserve">    nrofHARQ-ProcessesForPDSCH              </w:t>
      </w:r>
      <w:r w:rsidRPr="00FA0D37">
        <w:rPr>
          <w:color w:val="993366"/>
        </w:rPr>
        <w:t>ENUMERATED</w:t>
      </w:r>
      <w:r w:rsidRPr="00FA0D37">
        <w:t xml:space="preserve"> {n2, n4, n6, n10, n12, n16}                         </w:t>
      </w:r>
      <w:r w:rsidRPr="00FA0D37">
        <w:rPr>
          <w:color w:val="993366"/>
        </w:rPr>
        <w:t>OPTIONAL</w:t>
      </w:r>
      <w:r w:rsidRPr="00FA0D37">
        <w:t xml:space="preserve">,   </w:t>
      </w:r>
      <w:r w:rsidRPr="00FA0D37">
        <w:rPr>
          <w:color w:val="808080"/>
        </w:rPr>
        <w:t>-- Need S</w:t>
      </w:r>
    </w:p>
    <w:p w14:paraId="7125A6D3" w14:textId="77777777" w:rsidR="00394471" w:rsidRPr="00FA0D37" w:rsidRDefault="00394471" w:rsidP="00FA0D37">
      <w:pPr>
        <w:pStyle w:val="PL"/>
        <w:rPr>
          <w:color w:val="808080"/>
        </w:rPr>
      </w:pPr>
      <w:r w:rsidRPr="00FA0D37">
        <w:t xml:space="preserve">    pucch-Cell                              ServCellIndex                                                  </w:t>
      </w:r>
      <w:r w:rsidRPr="00FA0D37">
        <w:rPr>
          <w:color w:val="993366"/>
        </w:rPr>
        <w:t>OPTIONAL</w:t>
      </w:r>
      <w:r w:rsidRPr="00FA0D37">
        <w:t xml:space="preserve">,   </w:t>
      </w:r>
      <w:r w:rsidRPr="00FA0D37">
        <w:rPr>
          <w:color w:val="808080"/>
        </w:rPr>
        <w:t>-- Cond SCellAddOnly</w:t>
      </w:r>
    </w:p>
    <w:p w14:paraId="4C7DD0E8" w14:textId="77777777" w:rsidR="00394471" w:rsidRPr="00FA0D37" w:rsidRDefault="00394471" w:rsidP="00FA0D37">
      <w:pPr>
        <w:pStyle w:val="PL"/>
      </w:pPr>
      <w:r w:rsidRPr="00FA0D37">
        <w:t xml:space="preserve">    ...,</w:t>
      </w:r>
    </w:p>
    <w:p w14:paraId="11C42F9F" w14:textId="77777777" w:rsidR="00394471" w:rsidRPr="00FA0D37" w:rsidRDefault="00394471" w:rsidP="00FA0D37">
      <w:pPr>
        <w:pStyle w:val="PL"/>
      </w:pPr>
      <w:r w:rsidRPr="00FA0D37">
        <w:t xml:space="preserve">    [[</w:t>
      </w:r>
    </w:p>
    <w:p w14:paraId="2E63AA59" w14:textId="77777777" w:rsidR="00394471" w:rsidRPr="00FA0D37" w:rsidRDefault="00394471" w:rsidP="00FA0D37">
      <w:pPr>
        <w:pStyle w:val="PL"/>
        <w:rPr>
          <w:color w:val="808080"/>
        </w:rPr>
      </w:pPr>
      <w:r w:rsidRPr="00FA0D37">
        <w:t xml:space="preserve">    maxMIMO-Layers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M</w:t>
      </w:r>
    </w:p>
    <w:p w14:paraId="408AEC07" w14:textId="77777777" w:rsidR="00394471" w:rsidRPr="00FA0D37" w:rsidRDefault="00394471" w:rsidP="00FA0D37">
      <w:pPr>
        <w:pStyle w:val="PL"/>
        <w:rPr>
          <w:color w:val="808080"/>
        </w:rPr>
      </w:pPr>
      <w:r w:rsidRPr="00FA0D37">
        <w:t xml:space="preserve">    processingType2Enabled                  </w:t>
      </w:r>
      <w:r w:rsidRPr="00FA0D37">
        <w:rPr>
          <w:color w:val="993366"/>
        </w:rPr>
        <w:t>BOOLEAN</w:t>
      </w:r>
      <w:r w:rsidRPr="00FA0D37">
        <w:t xml:space="preserve">                                                        </w:t>
      </w:r>
      <w:r w:rsidRPr="00FA0D37">
        <w:rPr>
          <w:color w:val="993366"/>
        </w:rPr>
        <w:t>OPTIONAL</w:t>
      </w:r>
      <w:r w:rsidRPr="00FA0D37">
        <w:t xml:space="preserve">    </w:t>
      </w:r>
      <w:r w:rsidRPr="00FA0D37">
        <w:rPr>
          <w:color w:val="808080"/>
        </w:rPr>
        <w:t>-- Need M</w:t>
      </w:r>
    </w:p>
    <w:p w14:paraId="2C8D9E43" w14:textId="77777777" w:rsidR="00394471" w:rsidRPr="00FA0D37" w:rsidRDefault="00394471" w:rsidP="00FA0D37">
      <w:pPr>
        <w:pStyle w:val="PL"/>
      </w:pPr>
      <w:r w:rsidRPr="00FA0D37">
        <w:t xml:space="preserve">    ]],</w:t>
      </w:r>
    </w:p>
    <w:p w14:paraId="4FFD4263" w14:textId="77777777" w:rsidR="00394471" w:rsidRPr="00FA0D37" w:rsidRDefault="00394471" w:rsidP="00FA0D37">
      <w:pPr>
        <w:pStyle w:val="PL"/>
      </w:pPr>
      <w:r w:rsidRPr="00FA0D37">
        <w:t xml:space="preserve">    [[</w:t>
      </w:r>
    </w:p>
    <w:p w14:paraId="41E8A5D5" w14:textId="77777777" w:rsidR="00394471" w:rsidRPr="00FA0D37" w:rsidRDefault="00394471" w:rsidP="00FA0D37">
      <w:pPr>
        <w:pStyle w:val="PL"/>
        <w:rPr>
          <w:color w:val="808080"/>
        </w:rPr>
      </w:pPr>
      <w:r w:rsidRPr="00FA0D37">
        <w:t xml:space="preserve">    pdsch-CodeBlockGroupTransmissionList-r16 SetupRelease { PDSCH-CodeBlockGroupTransmissionList-r16 }     </w:t>
      </w:r>
      <w:r w:rsidRPr="00FA0D37">
        <w:rPr>
          <w:color w:val="993366"/>
        </w:rPr>
        <w:t>OPTIONAL</w:t>
      </w:r>
      <w:r w:rsidRPr="00FA0D37">
        <w:t xml:space="preserve">    </w:t>
      </w:r>
      <w:r w:rsidRPr="00FA0D37">
        <w:rPr>
          <w:color w:val="808080"/>
        </w:rPr>
        <w:t>-- Need M</w:t>
      </w:r>
    </w:p>
    <w:p w14:paraId="1665B6C8" w14:textId="4BC24FD5" w:rsidR="005B7637" w:rsidRPr="00FA0D37" w:rsidRDefault="00394471" w:rsidP="00FA0D37">
      <w:pPr>
        <w:pStyle w:val="PL"/>
      </w:pPr>
      <w:r w:rsidRPr="00FA0D37">
        <w:t xml:space="preserve">    ]]</w:t>
      </w:r>
      <w:r w:rsidR="005B7637" w:rsidRPr="00FA0D37">
        <w:t>,</w:t>
      </w:r>
    </w:p>
    <w:p w14:paraId="5721E3D5" w14:textId="77777777" w:rsidR="005B7637" w:rsidRPr="00FA0D37" w:rsidRDefault="005B7637" w:rsidP="00FA0D37">
      <w:pPr>
        <w:pStyle w:val="PL"/>
      </w:pPr>
      <w:r w:rsidRPr="00FA0D37">
        <w:t xml:space="preserve">    [[</w:t>
      </w:r>
    </w:p>
    <w:p w14:paraId="4A2E3FAA" w14:textId="34597E9F" w:rsidR="005B7637" w:rsidRPr="00FA0D37" w:rsidRDefault="005B7637" w:rsidP="00FA0D37">
      <w:pPr>
        <w:pStyle w:val="PL"/>
        <w:rPr>
          <w:color w:val="808080"/>
        </w:rPr>
      </w:pPr>
      <w:r w:rsidRPr="00FA0D37">
        <w:t xml:space="preserve">    downlinkHARQ-FeedbackDisabled-r17       </w:t>
      </w:r>
      <w:r w:rsidR="00771058" w:rsidRPr="00FA0D37">
        <w:t>SetupRelease { DownlinkHARQ-FeedbackDisabled-r17</w:t>
      </w:r>
      <w:r w:rsidR="004D1E3D" w:rsidRPr="00FA0D37">
        <w:t xml:space="preserve"> }</w:t>
      </w:r>
      <w:r w:rsidRPr="00FA0D37">
        <w:t xml:space="preserve">              </w:t>
      </w:r>
      <w:r w:rsidRPr="00FA0D37">
        <w:rPr>
          <w:color w:val="993366"/>
        </w:rPr>
        <w:t>OPTIONAL</w:t>
      </w:r>
      <w:r w:rsidRPr="00FA0D37">
        <w:t xml:space="preserve">,   </w:t>
      </w:r>
      <w:r w:rsidRPr="00FA0D37">
        <w:rPr>
          <w:color w:val="808080"/>
        </w:rPr>
        <w:t xml:space="preserve">-- Need </w:t>
      </w:r>
      <w:r w:rsidR="00771058" w:rsidRPr="00FA0D37">
        <w:rPr>
          <w:color w:val="808080"/>
        </w:rPr>
        <w:t>M</w:t>
      </w:r>
    </w:p>
    <w:p w14:paraId="6B4D3C10" w14:textId="685B7373" w:rsidR="005B7637" w:rsidRPr="00FA0D37" w:rsidRDefault="005B7637" w:rsidP="00FA0D37">
      <w:pPr>
        <w:pStyle w:val="PL"/>
        <w:rPr>
          <w:color w:val="808080"/>
        </w:rPr>
      </w:pPr>
      <w:r w:rsidRPr="00FA0D37">
        <w:t xml:space="preserve">    nrofHARQ-ProcessesForPDSCH-v1700        </w:t>
      </w:r>
      <w:r w:rsidRPr="00FA0D37">
        <w:rPr>
          <w:color w:val="993366"/>
        </w:rPr>
        <w:t>ENUMERATED</w:t>
      </w:r>
      <w:r w:rsidRPr="00FA0D37">
        <w:t xml:space="preserve"> {n32}                                               </w:t>
      </w:r>
      <w:r w:rsidRPr="00FA0D37">
        <w:rPr>
          <w:color w:val="993366"/>
        </w:rPr>
        <w:t>OPTIONAL</w:t>
      </w:r>
      <w:r w:rsidRPr="00FA0D37">
        <w:t xml:space="preserve">    </w:t>
      </w:r>
      <w:r w:rsidRPr="00FA0D37">
        <w:rPr>
          <w:color w:val="808080"/>
        </w:rPr>
        <w:t xml:space="preserve">-- Need </w:t>
      </w:r>
      <w:r w:rsidR="00771058" w:rsidRPr="00FA0D37">
        <w:rPr>
          <w:color w:val="808080"/>
        </w:rPr>
        <w:t>R</w:t>
      </w:r>
    </w:p>
    <w:p w14:paraId="0D0633D1" w14:textId="77777777" w:rsidR="005B7637" w:rsidRPr="00FA0D37" w:rsidRDefault="005B7637" w:rsidP="00FA0D37">
      <w:pPr>
        <w:pStyle w:val="PL"/>
      </w:pPr>
      <w:r w:rsidRPr="00FA0D37">
        <w:t xml:space="preserve">    ]]</w:t>
      </w:r>
    </w:p>
    <w:p w14:paraId="3CFD0969" w14:textId="77777777" w:rsidR="00394471" w:rsidRPr="00FA0D37" w:rsidRDefault="00394471" w:rsidP="00FA0D37">
      <w:pPr>
        <w:pStyle w:val="PL"/>
      </w:pPr>
      <w:r w:rsidRPr="00FA0D37">
        <w:t>}</w:t>
      </w:r>
    </w:p>
    <w:p w14:paraId="525EE1E0" w14:textId="77777777" w:rsidR="00394471" w:rsidRPr="00FA0D37" w:rsidRDefault="00394471" w:rsidP="00FA0D37">
      <w:pPr>
        <w:pStyle w:val="PL"/>
      </w:pPr>
    </w:p>
    <w:p w14:paraId="1D0C3B53" w14:textId="77777777" w:rsidR="00394471" w:rsidRPr="00FA0D37" w:rsidRDefault="00394471" w:rsidP="00FA0D37">
      <w:pPr>
        <w:pStyle w:val="PL"/>
      </w:pPr>
      <w:r w:rsidRPr="00FA0D37">
        <w:t xml:space="preserve">PDSCH-CodeBlockGroupTransmission ::=    </w:t>
      </w:r>
      <w:r w:rsidRPr="00FA0D37">
        <w:rPr>
          <w:color w:val="993366"/>
        </w:rPr>
        <w:t>SEQUENCE</w:t>
      </w:r>
      <w:r w:rsidRPr="00FA0D37">
        <w:t xml:space="preserve"> {</w:t>
      </w:r>
    </w:p>
    <w:p w14:paraId="794C96AC" w14:textId="77777777" w:rsidR="00394471" w:rsidRPr="00FA0D37" w:rsidRDefault="00394471" w:rsidP="00FA0D37">
      <w:pPr>
        <w:pStyle w:val="PL"/>
      </w:pPr>
      <w:r w:rsidRPr="00FA0D37">
        <w:t xml:space="preserve">    maxCodeBlockGroupsPerTransportBlock     </w:t>
      </w:r>
      <w:r w:rsidRPr="00FA0D37">
        <w:rPr>
          <w:color w:val="993366"/>
        </w:rPr>
        <w:t>ENUMERATED</w:t>
      </w:r>
      <w:r w:rsidRPr="00FA0D37">
        <w:t xml:space="preserve"> {n2, n4, n6, n8},</w:t>
      </w:r>
    </w:p>
    <w:p w14:paraId="0A3D352E" w14:textId="77777777" w:rsidR="00394471" w:rsidRPr="00FA0D37" w:rsidRDefault="00394471" w:rsidP="00FA0D37">
      <w:pPr>
        <w:pStyle w:val="PL"/>
      </w:pPr>
      <w:r w:rsidRPr="00FA0D37">
        <w:t xml:space="preserve">    codeBlockGroupFlushIndicator            </w:t>
      </w:r>
      <w:r w:rsidRPr="00FA0D37">
        <w:rPr>
          <w:color w:val="993366"/>
        </w:rPr>
        <w:t>BOOLEAN</w:t>
      </w:r>
      <w:r w:rsidRPr="00FA0D37">
        <w:t>,</w:t>
      </w:r>
    </w:p>
    <w:p w14:paraId="692DE061" w14:textId="77777777" w:rsidR="00394471" w:rsidRPr="00FA0D37" w:rsidRDefault="00394471" w:rsidP="00FA0D37">
      <w:pPr>
        <w:pStyle w:val="PL"/>
      </w:pPr>
      <w:r w:rsidRPr="00FA0D37">
        <w:t xml:space="preserve">    ...</w:t>
      </w:r>
    </w:p>
    <w:p w14:paraId="2005CBB2" w14:textId="77777777" w:rsidR="00394471" w:rsidRPr="00FA0D37" w:rsidRDefault="00394471" w:rsidP="00FA0D37">
      <w:pPr>
        <w:pStyle w:val="PL"/>
      </w:pPr>
      <w:r w:rsidRPr="00FA0D37">
        <w:t>}</w:t>
      </w:r>
    </w:p>
    <w:p w14:paraId="19643911" w14:textId="77777777" w:rsidR="00394471" w:rsidRPr="00FA0D37" w:rsidRDefault="00394471" w:rsidP="00FA0D37">
      <w:pPr>
        <w:pStyle w:val="PL"/>
      </w:pPr>
    </w:p>
    <w:p w14:paraId="34EE0D01" w14:textId="77777777" w:rsidR="00394471" w:rsidRPr="00FA0D37" w:rsidRDefault="00394471" w:rsidP="00FA0D37">
      <w:pPr>
        <w:pStyle w:val="PL"/>
      </w:pPr>
      <w:r w:rsidRPr="00FA0D37">
        <w:t xml:space="preserve">PDSCH-CodeBlockGroupTransmissionList-r16 ::=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PDSCH-CodeBlockGroupTransmission</w:t>
      </w:r>
    </w:p>
    <w:p w14:paraId="55C1CB83" w14:textId="77777777" w:rsidR="00771058" w:rsidRPr="00FA0D37" w:rsidRDefault="00771058" w:rsidP="00FA0D37">
      <w:pPr>
        <w:pStyle w:val="PL"/>
      </w:pPr>
    </w:p>
    <w:p w14:paraId="2B75B24F" w14:textId="02E81B36" w:rsidR="00394471" w:rsidRPr="00FA0D37" w:rsidRDefault="00771058" w:rsidP="00FA0D37">
      <w:pPr>
        <w:pStyle w:val="PL"/>
      </w:pPr>
      <w:r w:rsidRPr="00FA0D37">
        <w:t xml:space="preserve">DownlinkHARQ-FeedbackDisabled-r17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678FE803" w14:textId="77777777" w:rsidR="00771058" w:rsidRPr="00FA0D37" w:rsidRDefault="00771058" w:rsidP="00FA0D37">
      <w:pPr>
        <w:pStyle w:val="PL"/>
      </w:pPr>
    </w:p>
    <w:p w14:paraId="5D465D75" w14:textId="77777777" w:rsidR="00394471" w:rsidRPr="00FA0D37" w:rsidRDefault="00394471" w:rsidP="00FA0D37">
      <w:pPr>
        <w:pStyle w:val="PL"/>
        <w:rPr>
          <w:color w:val="808080"/>
        </w:rPr>
      </w:pPr>
      <w:r w:rsidRPr="00FA0D37">
        <w:rPr>
          <w:color w:val="808080"/>
        </w:rPr>
        <w:t>-- TAG-PDSCH-SERVINGCELLCONFIG-STOP</w:t>
      </w:r>
    </w:p>
    <w:p w14:paraId="6F7C4CC2" w14:textId="77777777" w:rsidR="00394471" w:rsidRPr="00FA0D37" w:rsidRDefault="00394471" w:rsidP="00FA0D37">
      <w:pPr>
        <w:pStyle w:val="PL"/>
        <w:rPr>
          <w:color w:val="808080"/>
        </w:rPr>
      </w:pPr>
      <w:r w:rsidRPr="00FA0D37">
        <w:rPr>
          <w:color w:val="808080"/>
        </w:rPr>
        <w:t>-- ASN1STOP</w:t>
      </w:r>
    </w:p>
    <w:p w14:paraId="0E99A6F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FA0D37" w:rsidRDefault="00394471" w:rsidP="00964CC4">
            <w:pPr>
              <w:pStyle w:val="TAH"/>
              <w:rPr>
                <w:szCs w:val="22"/>
                <w:lang w:eastAsia="sv-SE"/>
              </w:rPr>
            </w:pPr>
            <w:r w:rsidRPr="00FA0D37">
              <w:rPr>
                <w:i/>
                <w:szCs w:val="22"/>
                <w:lang w:eastAsia="sv-SE"/>
              </w:rPr>
              <w:lastRenderedPageBreak/>
              <w:t xml:space="preserve">PDSCH-CodeBlockGroupTransmission </w:t>
            </w:r>
            <w:r w:rsidRPr="00FA0D37">
              <w:rPr>
                <w:szCs w:val="22"/>
                <w:lang w:eastAsia="sv-SE"/>
              </w:rPr>
              <w:t>field descriptions</w:t>
            </w:r>
          </w:p>
        </w:tc>
      </w:tr>
      <w:tr w:rsidR="005C7FF4" w:rsidRPr="00FA0D37"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FA0D37" w:rsidRDefault="00394471" w:rsidP="00964CC4">
            <w:pPr>
              <w:pStyle w:val="TAL"/>
              <w:rPr>
                <w:szCs w:val="22"/>
                <w:lang w:eastAsia="sv-SE"/>
              </w:rPr>
            </w:pPr>
            <w:r w:rsidRPr="00FA0D37">
              <w:rPr>
                <w:b/>
                <w:i/>
                <w:szCs w:val="22"/>
                <w:lang w:eastAsia="sv-SE"/>
              </w:rPr>
              <w:t>codeBlockGroupFlushIndicator</w:t>
            </w:r>
          </w:p>
          <w:p w14:paraId="331D45BF" w14:textId="77777777" w:rsidR="00394471" w:rsidRPr="00FA0D37" w:rsidRDefault="00394471" w:rsidP="00964CC4">
            <w:pPr>
              <w:pStyle w:val="TAL"/>
              <w:rPr>
                <w:szCs w:val="22"/>
                <w:lang w:eastAsia="sv-SE"/>
              </w:rPr>
            </w:pPr>
            <w:r w:rsidRPr="00FA0D37">
              <w:rPr>
                <w:szCs w:val="22"/>
                <w:lang w:eastAsia="sv-SE"/>
              </w:rPr>
              <w:t>Indicates whether CBGFI for CBG based (re)transmission in DL is enabled (true). (see TS 38.212 [17], clause 7.3.1.2.2).</w:t>
            </w:r>
          </w:p>
        </w:tc>
      </w:tr>
      <w:tr w:rsidR="00394471" w:rsidRPr="00FA0D37"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FA0D37" w:rsidRDefault="00394471" w:rsidP="00964CC4">
            <w:pPr>
              <w:pStyle w:val="TAL"/>
              <w:rPr>
                <w:szCs w:val="22"/>
                <w:lang w:eastAsia="sv-SE"/>
              </w:rPr>
            </w:pPr>
            <w:r w:rsidRPr="00FA0D37">
              <w:rPr>
                <w:b/>
                <w:i/>
                <w:szCs w:val="22"/>
                <w:lang w:eastAsia="sv-SE"/>
              </w:rPr>
              <w:t>maxCodeBlockGroupsPerTransportBlock</w:t>
            </w:r>
          </w:p>
          <w:p w14:paraId="7B24A099" w14:textId="77777777" w:rsidR="00394471" w:rsidRPr="00FA0D37" w:rsidRDefault="00394471" w:rsidP="00964CC4">
            <w:pPr>
              <w:pStyle w:val="TAL"/>
              <w:rPr>
                <w:szCs w:val="22"/>
                <w:lang w:eastAsia="sv-SE"/>
              </w:rPr>
            </w:pPr>
            <w:r w:rsidRPr="00FA0D37">
              <w:rPr>
                <w:szCs w:val="22"/>
                <w:lang w:eastAsia="sv-SE"/>
              </w:rPr>
              <w:t>Maximum number of code-block-groups (CBGs) per TB. In case of multiple CW, the maximum CBG is 4 (see TS 38.213 [13], clause 9.1.1).</w:t>
            </w:r>
          </w:p>
        </w:tc>
      </w:tr>
    </w:tbl>
    <w:p w14:paraId="636AAAA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FA0D37" w:rsidRDefault="00394471" w:rsidP="00964CC4">
            <w:pPr>
              <w:pStyle w:val="TAH"/>
              <w:rPr>
                <w:szCs w:val="22"/>
                <w:lang w:eastAsia="sv-SE"/>
              </w:rPr>
            </w:pPr>
            <w:r w:rsidRPr="00FA0D37">
              <w:rPr>
                <w:i/>
                <w:szCs w:val="22"/>
                <w:lang w:eastAsia="sv-SE"/>
              </w:rPr>
              <w:t xml:space="preserve">PDSCH-ServingCellConfig </w:t>
            </w:r>
            <w:r w:rsidRPr="00FA0D37">
              <w:rPr>
                <w:szCs w:val="22"/>
                <w:lang w:eastAsia="sv-SE"/>
              </w:rPr>
              <w:t>field descriptions</w:t>
            </w:r>
          </w:p>
        </w:tc>
      </w:tr>
      <w:tr w:rsidR="005C7FF4" w:rsidRPr="00FA0D37"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FA0D37" w:rsidRDefault="00394471" w:rsidP="00964CC4">
            <w:pPr>
              <w:pStyle w:val="TAL"/>
              <w:rPr>
                <w:szCs w:val="22"/>
                <w:lang w:eastAsia="sv-SE"/>
              </w:rPr>
            </w:pPr>
            <w:r w:rsidRPr="00FA0D37">
              <w:rPr>
                <w:b/>
                <w:i/>
                <w:szCs w:val="22"/>
                <w:lang w:eastAsia="sv-SE"/>
              </w:rPr>
              <w:t>codeBlockGroupTransmission</w:t>
            </w:r>
          </w:p>
          <w:p w14:paraId="3A89A5B8" w14:textId="77777777" w:rsidR="00655B5E" w:rsidRPr="00FA0D37" w:rsidRDefault="00394471" w:rsidP="00655B5E">
            <w:pPr>
              <w:pStyle w:val="TAL"/>
              <w:rPr>
                <w:szCs w:val="22"/>
                <w:lang w:eastAsia="sv-SE"/>
              </w:rPr>
            </w:pPr>
            <w:r w:rsidRPr="00FA0D37">
              <w:rPr>
                <w:szCs w:val="22"/>
                <w:lang w:eastAsia="sv-SE"/>
              </w:rPr>
              <w:t>Enables and configures code-block-group (CBG) based transmission (see TS 38.213 [13], clause 9.1.1).</w:t>
            </w:r>
            <w:r w:rsidR="00472FC5" w:rsidRPr="00FA0D37">
              <w:t xml:space="preserve"> </w:t>
            </w:r>
            <w:r w:rsidR="00472FC5" w:rsidRPr="00FA0D37">
              <w:rPr>
                <w:szCs w:val="22"/>
                <w:lang w:eastAsia="sv-SE"/>
              </w:rPr>
              <w:t xml:space="preserve">Network does not configure for a UE both spatial bundling of HARQ ACKs and </w:t>
            </w:r>
            <w:r w:rsidR="00472FC5" w:rsidRPr="00FA0D37">
              <w:rPr>
                <w:i/>
                <w:iCs/>
                <w:szCs w:val="22"/>
                <w:lang w:eastAsia="sv-SE"/>
              </w:rPr>
              <w:t>codeBlockGroupTransmission</w:t>
            </w:r>
            <w:r w:rsidR="00472FC5" w:rsidRPr="00FA0D37">
              <w:rPr>
                <w:szCs w:val="22"/>
                <w:lang w:eastAsia="sv-SE"/>
              </w:rPr>
              <w:t xml:space="preserve"> within the same cell group.</w:t>
            </w:r>
          </w:p>
          <w:p w14:paraId="5293AEF2" w14:textId="7352A1B3" w:rsidR="00394471" w:rsidRPr="00FA0D37" w:rsidRDefault="00655B5E" w:rsidP="00655B5E">
            <w:pPr>
              <w:pStyle w:val="TAL"/>
              <w:rPr>
                <w:szCs w:val="22"/>
                <w:lang w:eastAsia="sv-SE"/>
              </w:rPr>
            </w:pPr>
            <w:r w:rsidRPr="00FA0D37">
              <w:rPr>
                <w:szCs w:val="22"/>
                <w:lang w:eastAsia="sv-SE"/>
              </w:rPr>
              <w:t>The network does not configure this field if</w:t>
            </w:r>
            <w:r w:rsidRPr="00FA0D37">
              <w:rPr>
                <w:szCs w:val="22"/>
                <w:lang w:eastAsia="sv-SE"/>
              </w:rPr>
              <w:br/>
              <w:t xml:space="preserve"> - the SCS </w:t>
            </w:r>
            <w:r w:rsidR="00E76A07" w:rsidRPr="00FA0D37">
              <w:rPr>
                <w:rFonts w:cs="Arial"/>
                <w:szCs w:val="18"/>
                <w:lang w:eastAsia="sv-SE"/>
              </w:rPr>
              <w:t>of at least one DL BWP configured in the cell</w:t>
            </w:r>
            <w:r w:rsidR="00E76A07" w:rsidRPr="00FA0D37">
              <w:rPr>
                <w:szCs w:val="22"/>
                <w:lang w:eastAsia="sv-SE"/>
              </w:rPr>
              <w:t xml:space="preserve"> </w:t>
            </w:r>
            <w:r w:rsidRPr="00FA0D37">
              <w:rPr>
                <w:szCs w:val="22"/>
                <w:lang w:eastAsia="sv-SE"/>
              </w:rPr>
              <w:t>is 480 or 960 kHz</w:t>
            </w:r>
            <w:r w:rsidRPr="00FA0D37">
              <w:rPr>
                <w:szCs w:val="22"/>
                <w:lang w:eastAsia="sv-SE"/>
              </w:rPr>
              <w:br/>
              <w:t xml:space="preserve"> - Type-1 HARQ-ACK codebook is configured and </w:t>
            </w:r>
            <w:r w:rsidRPr="00FA0D37">
              <w:rPr>
                <w:i/>
              </w:rPr>
              <w:t>pdsch-TimeDomainAllocationListForMultiPDSCH-r17</w:t>
            </w:r>
            <w:r w:rsidRPr="00FA0D37">
              <w:t xml:space="preserve"> for this serving cell contains pdsch-AllocationList with multiple entries (multiple PDSCH)</w:t>
            </w:r>
            <w:r w:rsidRPr="00FA0D37">
              <w:br/>
            </w:r>
            <w:r w:rsidRPr="00FA0D37">
              <w:rPr>
                <w:szCs w:val="22"/>
              </w:rPr>
              <w:t xml:space="preserve"> - </w:t>
            </w:r>
            <w:r w:rsidRPr="00FA0D37">
              <w:rPr>
                <w:szCs w:val="22"/>
                <w:lang w:eastAsia="sv-SE"/>
              </w:rPr>
              <w:t xml:space="preserve">Type-2 HARQ-ACK codebook is configured and </w:t>
            </w:r>
            <w:r w:rsidRPr="00FA0D37">
              <w:rPr>
                <w:i/>
              </w:rPr>
              <w:t>pdsch-TimeDomainAllocationListForMultiPDSCH-r17</w:t>
            </w:r>
            <w:r w:rsidRPr="00FA0D37">
              <w:t xml:space="preserve"> </w:t>
            </w:r>
            <w:r w:rsidRPr="00FA0D37">
              <w:rPr>
                <w:szCs w:val="22"/>
                <w:lang w:eastAsia="sv-SE"/>
              </w:rPr>
              <w:t xml:space="preserve">for any cell in the same PUCCH cell group associated with this serving cell </w:t>
            </w:r>
            <w:r w:rsidRPr="00FA0D37">
              <w:t>contains pdsch-AllocationList with multiple entries (multiple PDSCH)</w:t>
            </w:r>
          </w:p>
        </w:tc>
      </w:tr>
      <w:tr w:rsidR="005C7FF4" w:rsidRPr="00FA0D37"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FA0D37" w:rsidRDefault="005B7637" w:rsidP="00771058">
            <w:pPr>
              <w:pStyle w:val="TAL"/>
              <w:rPr>
                <w:b/>
                <w:bCs/>
                <w:i/>
                <w:iCs/>
              </w:rPr>
            </w:pPr>
            <w:r w:rsidRPr="00FA0D37">
              <w:rPr>
                <w:b/>
                <w:bCs/>
                <w:i/>
                <w:iCs/>
              </w:rPr>
              <w:t>downlinkHARQ-FeedbackDisabled</w:t>
            </w:r>
          </w:p>
          <w:p w14:paraId="53A1D8DB" w14:textId="77777777" w:rsidR="005B7637" w:rsidRPr="00FA0D37" w:rsidRDefault="005B7637" w:rsidP="00771058">
            <w:pPr>
              <w:pStyle w:val="TAL"/>
              <w:rPr>
                <w:b/>
                <w:i/>
                <w:szCs w:val="22"/>
                <w:lang w:eastAsia="sv-SE"/>
              </w:rPr>
            </w:pPr>
            <w:r w:rsidRPr="00FA0D37">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5C7FF4" w:rsidRPr="00FA0D37"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FA0D37" w:rsidRDefault="00394471" w:rsidP="00964CC4">
            <w:pPr>
              <w:pStyle w:val="TAL"/>
              <w:rPr>
                <w:b/>
                <w:i/>
                <w:szCs w:val="22"/>
                <w:lang w:eastAsia="sv-SE"/>
              </w:rPr>
            </w:pPr>
            <w:r w:rsidRPr="00FA0D37">
              <w:rPr>
                <w:b/>
                <w:i/>
                <w:szCs w:val="22"/>
                <w:lang w:eastAsia="sv-SE"/>
              </w:rPr>
              <w:t>maxMIMO-Layers</w:t>
            </w:r>
          </w:p>
          <w:p w14:paraId="4D7F2163" w14:textId="77777777" w:rsidR="00394471" w:rsidRPr="00FA0D37" w:rsidRDefault="00394471" w:rsidP="00964CC4">
            <w:pPr>
              <w:pStyle w:val="TAL"/>
              <w:rPr>
                <w:szCs w:val="22"/>
                <w:lang w:eastAsia="sv-SE"/>
              </w:rPr>
            </w:pPr>
            <w:r w:rsidRPr="00FA0D37">
              <w:rPr>
                <w:szCs w:val="22"/>
                <w:lang w:eastAsia="sv-SE"/>
              </w:rPr>
              <w:t>Indicates the maximum number of MIMO layers to be used for PDSCH in all BWPs of this serving cell. (see TS 38.212 [17], clause 5.4.2.1).</w:t>
            </w:r>
          </w:p>
        </w:tc>
      </w:tr>
      <w:tr w:rsidR="005C7FF4" w:rsidRPr="00FA0D37"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FA0D37" w:rsidRDefault="00394471" w:rsidP="00964CC4">
            <w:pPr>
              <w:pStyle w:val="TAL"/>
              <w:rPr>
                <w:szCs w:val="22"/>
                <w:lang w:eastAsia="sv-SE"/>
              </w:rPr>
            </w:pPr>
            <w:r w:rsidRPr="00FA0D37">
              <w:rPr>
                <w:b/>
                <w:i/>
                <w:szCs w:val="22"/>
                <w:lang w:eastAsia="sv-SE"/>
              </w:rPr>
              <w:t>nrofHARQ-ProcessesForPDSCH</w:t>
            </w:r>
          </w:p>
          <w:p w14:paraId="0AEE6C80" w14:textId="1768ECE1" w:rsidR="00394471" w:rsidRPr="00FA0D37" w:rsidRDefault="00394471" w:rsidP="00964CC4">
            <w:pPr>
              <w:pStyle w:val="TAL"/>
              <w:rPr>
                <w:szCs w:val="22"/>
                <w:lang w:eastAsia="sv-SE"/>
              </w:rPr>
            </w:pPr>
            <w:r w:rsidRPr="00FA0D37">
              <w:rPr>
                <w:szCs w:val="22"/>
                <w:lang w:eastAsia="sv-SE"/>
              </w:rPr>
              <w:t xml:space="preserve">The number of HARQ processes to be used on the PDSCH of a serving cell. Value </w:t>
            </w:r>
            <w:r w:rsidRPr="00FA0D37">
              <w:rPr>
                <w:i/>
                <w:szCs w:val="22"/>
                <w:lang w:eastAsia="sv-SE"/>
              </w:rPr>
              <w:t>n2</w:t>
            </w:r>
            <w:r w:rsidRPr="00FA0D37">
              <w:rPr>
                <w:szCs w:val="22"/>
                <w:lang w:eastAsia="sv-SE"/>
              </w:rPr>
              <w:t xml:space="preserve"> corresponds to 2 HARQ processes, value </w:t>
            </w:r>
            <w:r w:rsidRPr="00FA0D37">
              <w:rPr>
                <w:i/>
                <w:szCs w:val="22"/>
                <w:lang w:eastAsia="sv-SE"/>
              </w:rPr>
              <w:t>n4</w:t>
            </w:r>
            <w:r w:rsidRPr="00FA0D37">
              <w:rPr>
                <w:szCs w:val="22"/>
                <w:lang w:eastAsia="sv-SE"/>
              </w:rPr>
              <w:t xml:space="preserve"> to 4 HARQ processes, and so on. If </w:t>
            </w:r>
            <w:r w:rsidR="00771058" w:rsidRPr="00FA0D37">
              <w:rPr>
                <w:szCs w:val="22"/>
                <w:lang w:eastAsia="sv-SE"/>
              </w:rPr>
              <w:t xml:space="preserve">both </w:t>
            </w:r>
            <w:r w:rsidR="00771058" w:rsidRPr="00FA0D37">
              <w:rPr>
                <w:i/>
                <w:iCs/>
                <w:szCs w:val="22"/>
                <w:lang w:eastAsia="sv-SE"/>
              </w:rPr>
              <w:t>nrofHARQ-ProcessesForPDSCH</w:t>
            </w:r>
            <w:r w:rsidR="00771058" w:rsidRPr="00FA0D37">
              <w:rPr>
                <w:szCs w:val="22"/>
                <w:lang w:eastAsia="sv-SE"/>
              </w:rPr>
              <w:t xml:space="preserve"> and </w:t>
            </w:r>
            <w:r w:rsidR="00771058" w:rsidRPr="00FA0D37">
              <w:rPr>
                <w:i/>
                <w:iCs/>
                <w:szCs w:val="22"/>
                <w:lang w:eastAsia="sv-SE"/>
              </w:rPr>
              <w:t>nrofHARQ-ProcessesForPDSCH-v1700</w:t>
            </w:r>
            <w:r w:rsidR="00771058" w:rsidRPr="00FA0D37">
              <w:rPr>
                <w:szCs w:val="22"/>
                <w:lang w:eastAsia="sv-SE"/>
              </w:rPr>
              <w:t xml:space="preserve"> are</w:t>
            </w:r>
            <w:r w:rsidRPr="00FA0D37">
              <w:rPr>
                <w:szCs w:val="22"/>
                <w:lang w:eastAsia="sv-SE"/>
              </w:rPr>
              <w:t xml:space="preserve"> absent, the UE uses 8 HARQ processes (see TS 38.214 [19], clause 5.1).</w:t>
            </w:r>
          </w:p>
        </w:tc>
      </w:tr>
      <w:tr w:rsidR="005C7FF4" w:rsidRPr="00FA0D37"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FA0D37" w:rsidRDefault="00394471" w:rsidP="00964CC4">
            <w:pPr>
              <w:pStyle w:val="TAL"/>
              <w:rPr>
                <w:b/>
                <w:bCs/>
                <w:i/>
                <w:iCs/>
                <w:lang w:eastAsia="x-none"/>
              </w:rPr>
            </w:pPr>
            <w:r w:rsidRPr="00FA0D37">
              <w:rPr>
                <w:b/>
                <w:bCs/>
                <w:i/>
                <w:iCs/>
                <w:lang w:eastAsia="x-none"/>
              </w:rPr>
              <w:t>pdsch-CodeBlockGroupTransmissionList</w:t>
            </w:r>
          </w:p>
          <w:p w14:paraId="21D74E94" w14:textId="77777777" w:rsidR="00394471" w:rsidRPr="00FA0D37" w:rsidRDefault="00394471" w:rsidP="00964CC4">
            <w:pPr>
              <w:pStyle w:val="TAL"/>
              <w:rPr>
                <w:b/>
                <w:i/>
                <w:szCs w:val="22"/>
                <w:lang w:eastAsia="sv-SE"/>
              </w:rPr>
            </w:pPr>
            <w:r w:rsidRPr="00FA0D37">
              <w:rPr>
                <w:szCs w:val="22"/>
                <w:lang w:eastAsia="sv-SE"/>
              </w:rPr>
              <w:t>A list of configurations for up to two simultaneously constructed HARQ-ACK codebooks (see TS 38.213 [13], clause 9.3).</w:t>
            </w:r>
          </w:p>
        </w:tc>
      </w:tr>
      <w:tr w:rsidR="005C7FF4" w:rsidRPr="00FA0D37"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FA0D37" w:rsidRDefault="00394471" w:rsidP="00964CC4">
            <w:pPr>
              <w:pStyle w:val="TAL"/>
              <w:rPr>
                <w:b/>
                <w:i/>
                <w:lang w:eastAsia="sv-SE"/>
              </w:rPr>
            </w:pPr>
            <w:r w:rsidRPr="00FA0D37">
              <w:rPr>
                <w:b/>
                <w:i/>
                <w:lang w:eastAsia="sv-SE"/>
              </w:rPr>
              <w:t>processingType2Enabled</w:t>
            </w:r>
          </w:p>
          <w:p w14:paraId="6B24BCFB" w14:textId="77777777" w:rsidR="00394471" w:rsidRPr="00FA0D37" w:rsidRDefault="00394471" w:rsidP="00964CC4">
            <w:pPr>
              <w:pStyle w:val="TAL"/>
              <w:rPr>
                <w:rFonts w:eastAsia="Yu Mincho"/>
                <w:lang w:eastAsia="sv-SE"/>
              </w:rPr>
            </w:pPr>
            <w:r w:rsidRPr="00FA0D37">
              <w:rPr>
                <w:rFonts w:eastAsia="Yu Mincho"/>
                <w:lang w:eastAsia="sv-SE"/>
              </w:rPr>
              <w:t>Enables configuration of advanced processing time capability 2 for PDSCH (see 38.214 [19], clause 5.3).</w:t>
            </w:r>
          </w:p>
        </w:tc>
      </w:tr>
      <w:tr w:rsidR="005C7FF4" w:rsidRPr="00FA0D37"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FA0D37" w:rsidRDefault="00394471" w:rsidP="00964CC4">
            <w:pPr>
              <w:pStyle w:val="TAL"/>
              <w:rPr>
                <w:szCs w:val="22"/>
                <w:lang w:eastAsia="sv-SE"/>
              </w:rPr>
            </w:pPr>
            <w:r w:rsidRPr="00FA0D37">
              <w:rPr>
                <w:b/>
                <w:i/>
                <w:szCs w:val="22"/>
                <w:lang w:eastAsia="sv-SE"/>
              </w:rPr>
              <w:t>pucch-Cell</w:t>
            </w:r>
          </w:p>
          <w:p w14:paraId="531E499A" w14:textId="77777777" w:rsidR="00394471" w:rsidRPr="00FA0D37" w:rsidRDefault="00394471" w:rsidP="00964CC4">
            <w:pPr>
              <w:pStyle w:val="TAL"/>
              <w:rPr>
                <w:szCs w:val="22"/>
                <w:lang w:eastAsia="sv-SE"/>
              </w:rPr>
            </w:pPr>
            <w:r w:rsidRPr="00FA0D37">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FA0D37"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FA0D37" w:rsidRDefault="00394471" w:rsidP="00964CC4">
            <w:pPr>
              <w:pStyle w:val="TAL"/>
              <w:rPr>
                <w:szCs w:val="22"/>
                <w:lang w:eastAsia="sv-SE"/>
              </w:rPr>
            </w:pPr>
            <w:r w:rsidRPr="00FA0D37">
              <w:rPr>
                <w:b/>
                <w:i/>
                <w:szCs w:val="22"/>
                <w:lang w:eastAsia="sv-SE"/>
              </w:rPr>
              <w:t>xOverhead</w:t>
            </w:r>
          </w:p>
          <w:p w14:paraId="752E11B0" w14:textId="77777777" w:rsidR="00394471" w:rsidRPr="00FA0D37" w:rsidRDefault="00394471" w:rsidP="00964CC4">
            <w:pPr>
              <w:pStyle w:val="TAL"/>
              <w:rPr>
                <w:szCs w:val="22"/>
                <w:lang w:eastAsia="sv-SE"/>
              </w:rPr>
            </w:pPr>
            <w:r w:rsidRPr="00FA0D37">
              <w:rPr>
                <w:szCs w:val="22"/>
                <w:lang w:eastAsia="sv-SE"/>
              </w:rPr>
              <w:t>Accounts for overhead from CSI-RS, CORESET, etc. If the field is absent, the UE applies value xOh0 (see TS 38.214 [19], clause 5.1.3.2).</w:t>
            </w:r>
          </w:p>
        </w:tc>
      </w:tr>
    </w:tbl>
    <w:p w14:paraId="019AE3C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FA0D37" w:rsidRDefault="00394471" w:rsidP="00964CC4">
            <w:pPr>
              <w:pStyle w:val="TAH"/>
              <w:rPr>
                <w:lang w:eastAsia="sv-SE"/>
              </w:rPr>
            </w:pPr>
            <w:r w:rsidRPr="00FA0D37">
              <w:rPr>
                <w:lang w:eastAsia="sv-SE"/>
              </w:rPr>
              <w:t>Explanation</w:t>
            </w:r>
          </w:p>
        </w:tc>
      </w:tr>
      <w:tr w:rsidR="00394471" w:rsidRPr="00FA0D37"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FA0D37" w:rsidRDefault="00394471" w:rsidP="00964CC4">
            <w:pPr>
              <w:pStyle w:val="TAL"/>
              <w:rPr>
                <w:i/>
                <w:lang w:eastAsia="sv-SE"/>
              </w:rPr>
            </w:pPr>
            <w:r w:rsidRPr="00FA0D37">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FA0D37" w:rsidRDefault="00394471" w:rsidP="00964CC4">
            <w:pPr>
              <w:pStyle w:val="TAL"/>
              <w:rPr>
                <w:lang w:eastAsia="sv-SE"/>
              </w:rPr>
            </w:pPr>
            <w:r w:rsidRPr="00FA0D37">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FA0D37" w:rsidRDefault="00394471" w:rsidP="00394471"/>
    <w:p w14:paraId="2A86246D" w14:textId="77777777" w:rsidR="00394471" w:rsidRPr="00FA0D37" w:rsidRDefault="00394471" w:rsidP="00394471">
      <w:pPr>
        <w:pStyle w:val="4"/>
      </w:pPr>
      <w:bookmarkStart w:id="1223" w:name="_Toc60777304"/>
      <w:bookmarkStart w:id="1224" w:name="_Toc146781383"/>
      <w:r w:rsidRPr="00FA0D37">
        <w:lastRenderedPageBreak/>
        <w:t>–</w:t>
      </w:r>
      <w:r w:rsidRPr="00FA0D37">
        <w:tab/>
      </w:r>
      <w:r w:rsidRPr="00FA0D37">
        <w:rPr>
          <w:i/>
        </w:rPr>
        <w:t>PDSCH-TimeDomainResourceAllocationList</w:t>
      </w:r>
      <w:bookmarkEnd w:id="1223"/>
      <w:bookmarkEnd w:id="1224"/>
    </w:p>
    <w:p w14:paraId="77303BA4" w14:textId="77777777" w:rsidR="00394471" w:rsidRPr="00FA0D37" w:rsidRDefault="00394471" w:rsidP="00394471">
      <w:r w:rsidRPr="00FA0D37">
        <w:t xml:space="preserve">The IE </w:t>
      </w:r>
      <w:r w:rsidRPr="00FA0D37">
        <w:rPr>
          <w:i/>
        </w:rPr>
        <w:t>PDSCH-TimeDomainResourceAllocation</w:t>
      </w:r>
      <w:r w:rsidRPr="00FA0D37">
        <w:t xml:space="preserve"> is used to configure a time domain relation between PDCCH and PDSCH. The </w:t>
      </w:r>
      <w:r w:rsidRPr="00FA0D37">
        <w:rPr>
          <w:i/>
        </w:rPr>
        <w:t>PDSCH-TimeDomainResourceAllocationList</w:t>
      </w:r>
      <w:r w:rsidRPr="00FA0D37">
        <w:t xml:space="preserve"> contains one or more of such </w:t>
      </w:r>
      <w:r w:rsidRPr="00FA0D37">
        <w:rPr>
          <w:i/>
        </w:rPr>
        <w:t>PDSCH-TimeDomainResourceAllocations</w:t>
      </w:r>
      <w:r w:rsidRPr="00FA0D37">
        <w:t xml:space="preserve">. The network indicates in the DL assignment which of the configured time domain allocations the UE shall apply for that DL assignment. The UE determines the bit width of the DCI field based on the number of entries in the </w:t>
      </w:r>
      <w:r w:rsidRPr="00FA0D37">
        <w:rPr>
          <w:i/>
        </w:rPr>
        <w:t>PDSCH-TimeDomainResourceAllocationList</w:t>
      </w:r>
      <w:r w:rsidRPr="00FA0D37">
        <w:t>. Value 0 in the DCI field refers to the first element in this list, value 1 in the DCI field refers to the second element in this list, and so on.</w:t>
      </w:r>
    </w:p>
    <w:p w14:paraId="106CFED0" w14:textId="77777777" w:rsidR="00394471" w:rsidRPr="00FA0D37" w:rsidRDefault="00394471" w:rsidP="00394471">
      <w:pPr>
        <w:pStyle w:val="TH"/>
      </w:pPr>
      <w:r w:rsidRPr="00FA0D37">
        <w:rPr>
          <w:i/>
        </w:rPr>
        <w:t>PDSCH-TimeDomainResourceAllocationList</w:t>
      </w:r>
      <w:r w:rsidRPr="00FA0D37">
        <w:t xml:space="preserve"> information element</w:t>
      </w:r>
    </w:p>
    <w:p w14:paraId="40782B55" w14:textId="77777777" w:rsidR="00394471" w:rsidRPr="00FA0D37" w:rsidRDefault="00394471" w:rsidP="00FA0D37">
      <w:pPr>
        <w:pStyle w:val="PL"/>
        <w:rPr>
          <w:color w:val="808080"/>
        </w:rPr>
      </w:pPr>
      <w:r w:rsidRPr="00FA0D37">
        <w:rPr>
          <w:color w:val="808080"/>
        </w:rPr>
        <w:t>-- ASN1START</w:t>
      </w:r>
    </w:p>
    <w:p w14:paraId="5D233771" w14:textId="77777777" w:rsidR="00394471" w:rsidRPr="00FA0D37" w:rsidRDefault="00394471" w:rsidP="00FA0D37">
      <w:pPr>
        <w:pStyle w:val="PL"/>
        <w:rPr>
          <w:color w:val="808080"/>
        </w:rPr>
      </w:pPr>
      <w:r w:rsidRPr="00FA0D37">
        <w:rPr>
          <w:color w:val="808080"/>
        </w:rPr>
        <w:t>-- TAG-PDSCH-TIMEDOMAINRESOURCEALLOCATIONLIST-START</w:t>
      </w:r>
    </w:p>
    <w:p w14:paraId="2B12C28B" w14:textId="77777777" w:rsidR="00394471" w:rsidRPr="00FA0D37" w:rsidRDefault="00394471" w:rsidP="00FA0D37">
      <w:pPr>
        <w:pStyle w:val="PL"/>
      </w:pPr>
    </w:p>
    <w:p w14:paraId="09BE15D5" w14:textId="77777777" w:rsidR="00394471" w:rsidRPr="00FA0D37" w:rsidRDefault="00394471" w:rsidP="00FA0D37">
      <w:pPr>
        <w:pStyle w:val="PL"/>
      </w:pPr>
    </w:p>
    <w:p w14:paraId="5C583CDB" w14:textId="77777777" w:rsidR="00394471" w:rsidRPr="00FA0D37" w:rsidRDefault="00394471" w:rsidP="00FA0D37">
      <w:pPr>
        <w:pStyle w:val="PL"/>
      </w:pPr>
      <w:r w:rsidRPr="00FA0D37">
        <w:t xml:space="preserve">PDSCH-TimeDomainResourceAllocationList ::=  </w:t>
      </w:r>
      <w:r w:rsidRPr="00FA0D37">
        <w:rPr>
          <w:color w:val="993366"/>
        </w:rPr>
        <w:t>SEQUENCE</w:t>
      </w:r>
      <w:r w:rsidRPr="00FA0D37">
        <w:t xml:space="preserve"> (</w:t>
      </w:r>
      <w:r w:rsidRPr="00FA0D37">
        <w:rPr>
          <w:color w:val="993366"/>
        </w:rPr>
        <w:t>SIZE</w:t>
      </w:r>
      <w:r w:rsidRPr="00FA0D37">
        <w:t>(1..maxNrofDL-Allocations))</w:t>
      </w:r>
      <w:r w:rsidRPr="00FA0D37">
        <w:rPr>
          <w:color w:val="993366"/>
        </w:rPr>
        <w:t xml:space="preserve"> OF</w:t>
      </w:r>
      <w:r w:rsidRPr="00FA0D37">
        <w:t xml:space="preserve"> PDSCH-TimeDomainResourceAllocation</w:t>
      </w:r>
    </w:p>
    <w:p w14:paraId="40238B67" w14:textId="77777777" w:rsidR="00394471" w:rsidRPr="00FA0D37" w:rsidRDefault="00394471" w:rsidP="00FA0D37">
      <w:pPr>
        <w:pStyle w:val="PL"/>
      </w:pPr>
    </w:p>
    <w:p w14:paraId="2EA7D333" w14:textId="77777777" w:rsidR="00394471" w:rsidRPr="00FA0D37" w:rsidRDefault="00394471" w:rsidP="00FA0D37">
      <w:pPr>
        <w:pStyle w:val="PL"/>
      </w:pPr>
      <w:r w:rsidRPr="00FA0D37">
        <w:t xml:space="preserve">PDSCH-TimeDomainResourceAllocation ::=   </w:t>
      </w:r>
      <w:r w:rsidRPr="00FA0D37">
        <w:rPr>
          <w:color w:val="993366"/>
        </w:rPr>
        <w:t>SEQUENCE</w:t>
      </w:r>
      <w:r w:rsidRPr="00FA0D37">
        <w:t xml:space="preserve"> {</w:t>
      </w:r>
    </w:p>
    <w:p w14:paraId="775E0AC4" w14:textId="77777777" w:rsidR="00394471" w:rsidRPr="00FA0D37" w:rsidRDefault="00394471" w:rsidP="00FA0D37">
      <w:pPr>
        <w:pStyle w:val="PL"/>
        <w:rPr>
          <w:color w:val="808080"/>
        </w:rPr>
      </w:pPr>
      <w:r w:rsidRPr="00FA0D37">
        <w:t xml:space="preserve">    k0                                      </w:t>
      </w:r>
      <w:r w:rsidRPr="00FA0D37">
        <w:rPr>
          <w:color w:val="993366"/>
        </w:rPr>
        <w:t>INTEGER</w:t>
      </w:r>
      <w:r w:rsidRPr="00FA0D37">
        <w:t xml:space="preserve">(0..32)                                                  </w:t>
      </w:r>
      <w:r w:rsidRPr="00FA0D37">
        <w:rPr>
          <w:color w:val="993366"/>
        </w:rPr>
        <w:t>OPTIONAL</w:t>
      </w:r>
      <w:r w:rsidRPr="00FA0D37">
        <w:t xml:space="preserve">,   </w:t>
      </w:r>
      <w:r w:rsidRPr="00FA0D37">
        <w:rPr>
          <w:color w:val="808080"/>
        </w:rPr>
        <w:t>-- Need S</w:t>
      </w:r>
    </w:p>
    <w:p w14:paraId="6DCFE6BA" w14:textId="77777777" w:rsidR="00394471" w:rsidRPr="00FA0D37" w:rsidRDefault="00394471" w:rsidP="00FA0D37">
      <w:pPr>
        <w:pStyle w:val="PL"/>
      </w:pPr>
      <w:r w:rsidRPr="00FA0D37">
        <w:t xml:space="preserve">    mappingType                             </w:t>
      </w:r>
      <w:r w:rsidRPr="00FA0D37">
        <w:rPr>
          <w:color w:val="993366"/>
        </w:rPr>
        <w:t>ENUMERATED</w:t>
      </w:r>
      <w:r w:rsidRPr="00FA0D37">
        <w:t xml:space="preserve"> {typeA, typeB},</w:t>
      </w:r>
    </w:p>
    <w:p w14:paraId="5BD37291" w14:textId="77777777" w:rsidR="00394471" w:rsidRPr="00FA0D37" w:rsidRDefault="00394471" w:rsidP="00FA0D37">
      <w:pPr>
        <w:pStyle w:val="PL"/>
      </w:pPr>
      <w:r w:rsidRPr="00FA0D37">
        <w:t xml:space="preserve">    startSymbolAndLength                    </w:t>
      </w:r>
      <w:r w:rsidRPr="00FA0D37">
        <w:rPr>
          <w:color w:val="993366"/>
        </w:rPr>
        <w:t>INTEGER</w:t>
      </w:r>
      <w:r w:rsidRPr="00FA0D37">
        <w:t xml:space="preserve"> (0..127)</w:t>
      </w:r>
    </w:p>
    <w:p w14:paraId="59DF0E66" w14:textId="77777777" w:rsidR="00394471" w:rsidRPr="00FA0D37" w:rsidRDefault="00394471" w:rsidP="00FA0D37">
      <w:pPr>
        <w:pStyle w:val="PL"/>
      </w:pPr>
      <w:r w:rsidRPr="00FA0D37">
        <w:t>}</w:t>
      </w:r>
    </w:p>
    <w:p w14:paraId="5D384435" w14:textId="77777777" w:rsidR="00394471" w:rsidRPr="00FA0D37" w:rsidRDefault="00394471" w:rsidP="00FA0D37">
      <w:pPr>
        <w:pStyle w:val="PL"/>
      </w:pPr>
    </w:p>
    <w:p w14:paraId="529D8756" w14:textId="77777777" w:rsidR="00394471" w:rsidRPr="00FA0D37" w:rsidRDefault="00394471" w:rsidP="00FA0D37">
      <w:pPr>
        <w:pStyle w:val="PL"/>
      </w:pPr>
      <w:r w:rsidRPr="00FA0D37">
        <w:t xml:space="preserve">PDSCH-TimeDomainResourceAllocationList-r16 ::=  </w:t>
      </w:r>
      <w:r w:rsidRPr="00FA0D37">
        <w:rPr>
          <w:color w:val="993366"/>
        </w:rPr>
        <w:t>SEQUENCE</w:t>
      </w:r>
      <w:r w:rsidRPr="00FA0D37">
        <w:t xml:space="preserve"> (</w:t>
      </w:r>
      <w:r w:rsidRPr="00FA0D37">
        <w:rPr>
          <w:color w:val="993366"/>
        </w:rPr>
        <w:t>SIZE</w:t>
      </w:r>
      <w:r w:rsidRPr="00FA0D37">
        <w:t>(1..maxNrofDL-Allocations))</w:t>
      </w:r>
      <w:r w:rsidRPr="00FA0D37">
        <w:rPr>
          <w:color w:val="993366"/>
        </w:rPr>
        <w:t xml:space="preserve"> OF</w:t>
      </w:r>
      <w:r w:rsidRPr="00FA0D37">
        <w:t xml:space="preserve"> PDSCH-TimeDomainResourceAllocation-r16</w:t>
      </w:r>
    </w:p>
    <w:p w14:paraId="005DBF2B" w14:textId="77777777" w:rsidR="00394471" w:rsidRPr="00FA0D37" w:rsidRDefault="00394471" w:rsidP="00FA0D37">
      <w:pPr>
        <w:pStyle w:val="PL"/>
      </w:pPr>
    </w:p>
    <w:p w14:paraId="277B8EB1" w14:textId="77777777" w:rsidR="00394471" w:rsidRPr="00FA0D37" w:rsidRDefault="00394471" w:rsidP="00FA0D37">
      <w:pPr>
        <w:pStyle w:val="PL"/>
      </w:pPr>
      <w:r w:rsidRPr="00FA0D37">
        <w:t xml:space="preserve">PDSCH-TimeDomainResourceAllocation-r16 ::=  </w:t>
      </w:r>
      <w:r w:rsidRPr="00FA0D37">
        <w:rPr>
          <w:color w:val="993366"/>
        </w:rPr>
        <w:t>SEQUENCE</w:t>
      </w:r>
      <w:r w:rsidRPr="00FA0D37">
        <w:t xml:space="preserve"> {</w:t>
      </w:r>
    </w:p>
    <w:p w14:paraId="4A1DED60" w14:textId="77777777" w:rsidR="00394471" w:rsidRPr="00FA0D37" w:rsidRDefault="00394471" w:rsidP="00FA0D37">
      <w:pPr>
        <w:pStyle w:val="PL"/>
        <w:rPr>
          <w:color w:val="808080"/>
        </w:rPr>
      </w:pPr>
      <w:r w:rsidRPr="00FA0D37">
        <w:t xml:space="preserve">    k0-r16                                     </w:t>
      </w:r>
      <w:r w:rsidRPr="00FA0D37">
        <w:rPr>
          <w:color w:val="993366"/>
        </w:rPr>
        <w:t>INTEGER</w:t>
      </w:r>
      <w:r w:rsidRPr="00FA0D37">
        <w:t xml:space="preserve">(0..32)                                              </w:t>
      </w:r>
      <w:r w:rsidRPr="00FA0D37">
        <w:rPr>
          <w:color w:val="993366"/>
        </w:rPr>
        <w:t>OPTIONAL</w:t>
      </w:r>
      <w:r w:rsidRPr="00FA0D37">
        <w:t xml:space="preserve">,   </w:t>
      </w:r>
      <w:r w:rsidRPr="00FA0D37">
        <w:rPr>
          <w:color w:val="808080"/>
        </w:rPr>
        <w:t>-- Need S</w:t>
      </w:r>
    </w:p>
    <w:p w14:paraId="79285244" w14:textId="77777777" w:rsidR="00394471" w:rsidRPr="00FA0D37" w:rsidRDefault="00394471" w:rsidP="00FA0D37">
      <w:pPr>
        <w:pStyle w:val="PL"/>
      </w:pPr>
      <w:r w:rsidRPr="00FA0D37">
        <w:t xml:space="preserve">    mappingType-r16                            </w:t>
      </w:r>
      <w:r w:rsidRPr="00FA0D37">
        <w:rPr>
          <w:color w:val="993366"/>
        </w:rPr>
        <w:t>ENUMERATED</w:t>
      </w:r>
      <w:r w:rsidRPr="00FA0D37">
        <w:t xml:space="preserve"> {typeA, typeB},</w:t>
      </w:r>
    </w:p>
    <w:p w14:paraId="1AE8E51B" w14:textId="77777777" w:rsidR="00394471" w:rsidRPr="00FA0D37" w:rsidRDefault="00394471" w:rsidP="00FA0D37">
      <w:pPr>
        <w:pStyle w:val="PL"/>
      </w:pPr>
      <w:r w:rsidRPr="00FA0D37">
        <w:t xml:space="preserve">    startSymbolAndLength-r16                   </w:t>
      </w:r>
      <w:r w:rsidRPr="00FA0D37">
        <w:rPr>
          <w:color w:val="993366"/>
        </w:rPr>
        <w:t>INTEGER</w:t>
      </w:r>
      <w:r w:rsidRPr="00FA0D37">
        <w:t xml:space="preserve"> (0..127),</w:t>
      </w:r>
    </w:p>
    <w:p w14:paraId="73A9ED96" w14:textId="680952B7" w:rsidR="00394471" w:rsidRPr="00FA0D37" w:rsidRDefault="00394471" w:rsidP="00FA0D37">
      <w:pPr>
        <w:pStyle w:val="PL"/>
        <w:rPr>
          <w:color w:val="808080"/>
        </w:rPr>
      </w:pPr>
      <w:r w:rsidRPr="00FA0D37">
        <w:t xml:space="preserve">    repetitionNumber-r16                       </w:t>
      </w:r>
      <w:r w:rsidRPr="00FA0D37">
        <w:rPr>
          <w:color w:val="993366"/>
        </w:rPr>
        <w:t>ENUMERATED</w:t>
      </w:r>
      <w:r w:rsidRPr="00FA0D37">
        <w:t xml:space="preserve"> {n2, n3, n4, n5, n6, n7, n8, n16} </w:t>
      </w:r>
      <w:r w:rsidRPr="00FA0D37">
        <w:rPr>
          <w:color w:val="993366"/>
        </w:rPr>
        <w:t>OPTIONAL</w:t>
      </w:r>
      <w:r w:rsidRPr="00FA0D37">
        <w:t xml:space="preserve">, </w:t>
      </w:r>
      <w:r w:rsidRPr="00FA0D37">
        <w:rPr>
          <w:color w:val="808080"/>
        </w:rPr>
        <w:t>-- Cond Formats1-0</w:t>
      </w:r>
      <w:r w:rsidR="00173E4B" w:rsidRPr="00FA0D37">
        <w:rPr>
          <w:color w:val="808080"/>
        </w:rPr>
        <w:t>_</w:t>
      </w:r>
      <w:r w:rsidRPr="00FA0D37">
        <w:rPr>
          <w:color w:val="808080"/>
        </w:rPr>
        <w:t>1-1</w:t>
      </w:r>
      <w:r w:rsidR="00173E4B" w:rsidRPr="00FA0D37">
        <w:rPr>
          <w:color w:val="808080"/>
        </w:rPr>
        <w:t>_4-0_4-1_4-2</w:t>
      </w:r>
    </w:p>
    <w:p w14:paraId="099B8AD9" w14:textId="7BA276D6" w:rsidR="00655B5E" w:rsidRPr="00FA0D37" w:rsidRDefault="00394471" w:rsidP="00FA0D37">
      <w:pPr>
        <w:pStyle w:val="PL"/>
      </w:pPr>
      <w:r w:rsidRPr="00FA0D37">
        <w:t xml:space="preserve">    ...</w:t>
      </w:r>
      <w:r w:rsidR="00655B5E" w:rsidRPr="00FA0D37">
        <w:t>,</w:t>
      </w:r>
    </w:p>
    <w:p w14:paraId="2F2A5D28" w14:textId="41C02F90" w:rsidR="00655B5E" w:rsidRPr="00FA0D37" w:rsidRDefault="00655B5E" w:rsidP="00FA0D37">
      <w:pPr>
        <w:pStyle w:val="PL"/>
      </w:pPr>
      <w:r w:rsidRPr="00FA0D37">
        <w:t xml:space="preserve">    [[</w:t>
      </w:r>
    </w:p>
    <w:p w14:paraId="07449576" w14:textId="3B82D33D" w:rsidR="00655B5E" w:rsidRPr="00FA0D37" w:rsidRDefault="00655B5E" w:rsidP="00FA0D37">
      <w:pPr>
        <w:pStyle w:val="PL"/>
        <w:rPr>
          <w:color w:val="808080"/>
        </w:rPr>
      </w:pPr>
      <w:r w:rsidRPr="00FA0D37">
        <w:t xml:space="preserve">    k0-v17</w:t>
      </w:r>
      <w:r w:rsidR="00EF50BD" w:rsidRPr="00FA0D37">
        <w:t>10</w:t>
      </w:r>
      <w:r w:rsidRPr="00FA0D37">
        <w:t xml:space="preserve">                                </w:t>
      </w:r>
      <w:r w:rsidRPr="00FA0D37">
        <w:rPr>
          <w:color w:val="993366"/>
        </w:rPr>
        <w:t>INTEGER</w:t>
      </w:r>
      <w:r w:rsidRPr="00FA0D37">
        <w:t xml:space="preserve">(33..128)                                               </w:t>
      </w:r>
      <w:r w:rsidRPr="00FA0D37">
        <w:rPr>
          <w:color w:val="993366"/>
        </w:rPr>
        <w:t>OPTIONAL</w:t>
      </w:r>
      <w:r w:rsidR="00215224" w:rsidRPr="00FA0D37">
        <w:t xml:space="preserve">    </w:t>
      </w:r>
      <w:r w:rsidR="00215224" w:rsidRPr="00FA0D37">
        <w:rPr>
          <w:color w:val="808080"/>
        </w:rPr>
        <w:t>-- Need S</w:t>
      </w:r>
    </w:p>
    <w:p w14:paraId="6FCFFE76" w14:textId="54379616" w:rsidR="008D4526" w:rsidRPr="00FA0D37" w:rsidRDefault="00655B5E" w:rsidP="00FA0D37">
      <w:pPr>
        <w:pStyle w:val="PL"/>
      </w:pPr>
      <w:r w:rsidRPr="00FA0D37">
        <w:t xml:space="preserve">    ]]</w:t>
      </w:r>
      <w:r w:rsidR="008D4526" w:rsidRPr="00FA0D37">
        <w:t>,</w:t>
      </w:r>
    </w:p>
    <w:p w14:paraId="1961E1E4" w14:textId="2E85513B" w:rsidR="008D4526" w:rsidRPr="00FA0D37" w:rsidRDefault="008D4526" w:rsidP="00FA0D37">
      <w:pPr>
        <w:pStyle w:val="PL"/>
      </w:pPr>
      <w:r w:rsidRPr="00FA0D37">
        <w:t xml:space="preserve">    [[</w:t>
      </w:r>
    </w:p>
    <w:p w14:paraId="5B23A664" w14:textId="2D145B7D" w:rsidR="008D4526" w:rsidRPr="00FA0D37" w:rsidRDefault="008D4526" w:rsidP="00FA0D37">
      <w:pPr>
        <w:pStyle w:val="PL"/>
        <w:rPr>
          <w:color w:val="808080"/>
        </w:rPr>
      </w:pPr>
      <w:r w:rsidRPr="00FA0D37">
        <w:t xml:space="preserve">    repetitionNumber-v1730                  </w:t>
      </w:r>
      <w:r w:rsidRPr="00FA0D37">
        <w:rPr>
          <w:color w:val="993366"/>
        </w:rPr>
        <w:t>ENUMERATED</w:t>
      </w:r>
      <w:r w:rsidRPr="00FA0D37">
        <w:t xml:space="preserve"> {n2, n3, n4, n5, n6, n7, n8, n16}                   </w:t>
      </w:r>
      <w:r w:rsidRPr="00FA0D37">
        <w:rPr>
          <w:color w:val="993366"/>
        </w:rPr>
        <w:t>OPTIONAL</w:t>
      </w:r>
      <w:r w:rsidRPr="00FA0D37">
        <w:t xml:space="preserve">   </w:t>
      </w:r>
      <w:r w:rsidRPr="00FA0D37">
        <w:rPr>
          <w:color w:val="808080"/>
        </w:rPr>
        <w:t>-- Cond Format1-2</w:t>
      </w:r>
    </w:p>
    <w:p w14:paraId="01B33DDF" w14:textId="47641B3A" w:rsidR="008D4526" w:rsidRPr="00FA0D37" w:rsidRDefault="008D4526" w:rsidP="00FA0D37">
      <w:pPr>
        <w:pStyle w:val="PL"/>
      </w:pPr>
      <w:r w:rsidRPr="00FA0D37">
        <w:t xml:space="preserve">    ]]</w:t>
      </w:r>
    </w:p>
    <w:p w14:paraId="64F24B4F" w14:textId="77777777" w:rsidR="007E2C88" w:rsidRPr="00FA0D37" w:rsidRDefault="00394471" w:rsidP="00FA0D37">
      <w:pPr>
        <w:pStyle w:val="PL"/>
      </w:pPr>
      <w:r w:rsidRPr="00FA0D37">
        <w:t>}</w:t>
      </w:r>
    </w:p>
    <w:p w14:paraId="3E3FFDDA" w14:textId="77777777" w:rsidR="007E2C88" w:rsidRPr="00FA0D37" w:rsidRDefault="007E2C88" w:rsidP="00FA0D37">
      <w:pPr>
        <w:pStyle w:val="PL"/>
      </w:pPr>
    </w:p>
    <w:p w14:paraId="37FA5A1B" w14:textId="3240EE3F" w:rsidR="007E2C88" w:rsidRPr="00FA0D37" w:rsidRDefault="001B0D59" w:rsidP="00FA0D37">
      <w:pPr>
        <w:pStyle w:val="PL"/>
      </w:pPr>
      <w:r w:rsidRPr="00FA0D37">
        <w:t>Dummy</w:t>
      </w:r>
      <w:r w:rsidR="007E2C88" w:rsidRPr="00FA0D37">
        <w:t>-</w:t>
      </w:r>
      <w:r w:rsidR="00655B5E" w:rsidRPr="00FA0D37">
        <w:t>TDRA-</w:t>
      </w:r>
      <w:r w:rsidR="007E2C88" w:rsidRPr="00FA0D37">
        <w:t xml:space="preserve">List ::= </w:t>
      </w:r>
      <w:r w:rsidR="007E2C88" w:rsidRPr="00FA0D37">
        <w:rPr>
          <w:color w:val="993366"/>
        </w:rPr>
        <w:t>SEQUENCE</w:t>
      </w:r>
      <w:r w:rsidR="007E2C88" w:rsidRPr="00FA0D37">
        <w:t xml:space="preserve"> (</w:t>
      </w:r>
      <w:r w:rsidR="007E2C88" w:rsidRPr="00FA0D37">
        <w:rPr>
          <w:color w:val="993366"/>
        </w:rPr>
        <w:t>SIZE</w:t>
      </w:r>
      <w:r w:rsidR="007E2C88" w:rsidRPr="00FA0D37">
        <w:t>(1.. maxNrofDL-Allocations))</w:t>
      </w:r>
      <w:r w:rsidR="007E2C88" w:rsidRPr="00FA0D37">
        <w:rPr>
          <w:color w:val="993366"/>
        </w:rPr>
        <w:t xml:space="preserve"> OF</w:t>
      </w:r>
      <w:r w:rsidR="007E2C88" w:rsidRPr="00FA0D37">
        <w:t xml:space="preserve"> MultiPDSCH-</w:t>
      </w:r>
      <w:r w:rsidR="00655B5E" w:rsidRPr="00FA0D37">
        <w:t>TDRA</w:t>
      </w:r>
      <w:r w:rsidR="007E2C88" w:rsidRPr="00FA0D37">
        <w:t>-r17</w:t>
      </w:r>
    </w:p>
    <w:p w14:paraId="177270EA" w14:textId="77777777" w:rsidR="001B0D59" w:rsidRPr="00FA0D37" w:rsidRDefault="001B0D59" w:rsidP="00FA0D37">
      <w:pPr>
        <w:pStyle w:val="PL"/>
      </w:pPr>
    </w:p>
    <w:p w14:paraId="1C626D38" w14:textId="77777777" w:rsidR="001B0D59" w:rsidRPr="00FA0D37" w:rsidRDefault="001B0D59" w:rsidP="00FA0D37">
      <w:pPr>
        <w:pStyle w:val="PL"/>
      </w:pPr>
      <w:r w:rsidRPr="00FA0D37">
        <w:t xml:space="preserve">MultiPDSCH-TDRA-List-r17 ::= </w:t>
      </w:r>
      <w:r w:rsidRPr="00FA0D37">
        <w:rPr>
          <w:color w:val="993366"/>
        </w:rPr>
        <w:t>SEQUENCE</w:t>
      </w:r>
      <w:r w:rsidRPr="00FA0D37">
        <w:t xml:space="preserve"> (</w:t>
      </w:r>
      <w:r w:rsidRPr="00FA0D37">
        <w:rPr>
          <w:color w:val="993366"/>
        </w:rPr>
        <w:t>SIZE</w:t>
      </w:r>
      <w:r w:rsidRPr="00FA0D37">
        <w:t>(1.. maxNrofDL-AllocationsExt-r17))</w:t>
      </w:r>
      <w:r w:rsidRPr="00FA0D37">
        <w:rPr>
          <w:color w:val="993366"/>
        </w:rPr>
        <w:t xml:space="preserve"> OF</w:t>
      </w:r>
      <w:r w:rsidRPr="00FA0D37">
        <w:t xml:space="preserve"> MultiPDSCH-TDRA-r17</w:t>
      </w:r>
    </w:p>
    <w:p w14:paraId="1A5F8358" w14:textId="77777777" w:rsidR="007E2C88" w:rsidRPr="00FA0D37" w:rsidRDefault="007E2C88" w:rsidP="00FA0D37">
      <w:pPr>
        <w:pStyle w:val="PL"/>
      </w:pPr>
    </w:p>
    <w:p w14:paraId="5D3E9006" w14:textId="417EF6B0" w:rsidR="007E2C88" w:rsidRPr="00FA0D37" w:rsidRDefault="007E2C88" w:rsidP="00FA0D37">
      <w:pPr>
        <w:pStyle w:val="PL"/>
      </w:pPr>
      <w:r w:rsidRPr="00FA0D37">
        <w:t>MultiPDSCH-</w:t>
      </w:r>
      <w:r w:rsidR="00655B5E" w:rsidRPr="00FA0D37">
        <w:t>TDRA</w:t>
      </w:r>
      <w:r w:rsidRPr="00FA0D37">
        <w:t xml:space="preserve">-r17 ::= </w:t>
      </w:r>
      <w:r w:rsidRPr="00FA0D37">
        <w:rPr>
          <w:color w:val="993366"/>
        </w:rPr>
        <w:t>SEQUENCE</w:t>
      </w:r>
      <w:r w:rsidRPr="00FA0D37">
        <w:t xml:space="preserve"> {</w:t>
      </w:r>
    </w:p>
    <w:p w14:paraId="442813D7" w14:textId="7B86F1F9" w:rsidR="007E2C88" w:rsidRPr="00FA0D37" w:rsidRDefault="007E2C88" w:rsidP="00FA0D37">
      <w:pPr>
        <w:pStyle w:val="PL"/>
      </w:pPr>
      <w:r w:rsidRPr="00FA0D37">
        <w:t xml:space="preserve">    pdsch-</w:t>
      </w:r>
      <w:r w:rsidR="00655B5E" w:rsidRPr="00FA0D37">
        <w:t>TDRA-List</w:t>
      </w:r>
      <w:r w:rsidRPr="00FA0D37">
        <w:t xml:space="preserve">-r17                 </w:t>
      </w:r>
      <w:r w:rsidRPr="00FA0D37">
        <w:rPr>
          <w:color w:val="993366"/>
        </w:rPr>
        <w:t>SEQUENCE</w:t>
      </w:r>
      <w:r w:rsidRPr="00FA0D37">
        <w:t xml:space="preserve"> (</w:t>
      </w:r>
      <w:r w:rsidRPr="00FA0D37">
        <w:rPr>
          <w:color w:val="993366"/>
        </w:rPr>
        <w:t>SIZE</w:t>
      </w:r>
      <w:r w:rsidRPr="00FA0D37">
        <w:t>(1..maxNrofMultiplePDSCHs-r17))</w:t>
      </w:r>
      <w:r w:rsidRPr="00FA0D37">
        <w:rPr>
          <w:color w:val="993366"/>
        </w:rPr>
        <w:t xml:space="preserve"> OF</w:t>
      </w:r>
      <w:r w:rsidRPr="00FA0D37">
        <w:t xml:space="preserve"> PDSCH-TimeDomainResourceAllocation-r1</w:t>
      </w:r>
      <w:r w:rsidR="00655B5E" w:rsidRPr="00FA0D37">
        <w:t>6</w:t>
      </w:r>
      <w:r w:rsidRPr="00FA0D37">
        <w:t>,</w:t>
      </w:r>
    </w:p>
    <w:p w14:paraId="508DFAE4" w14:textId="77777777" w:rsidR="007E2C88" w:rsidRPr="00FA0D37" w:rsidRDefault="007E2C88" w:rsidP="00FA0D37">
      <w:pPr>
        <w:pStyle w:val="PL"/>
      </w:pPr>
      <w:r w:rsidRPr="00FA0D37">
        <w:t xml:space="preserve">    ...</w:t>
      </w:r>
    </w:p>
    <w:p w14:paraId="71DEEA39" w14:textId="77777777" w:rsidR="007E2C88" w:rsidRPr="00FA0D37" w:rsidRDefault="007E2C88" w:rsidP="00FA0D37">
      <w:pPr>
        <w:pStyle w:val="PL"/>
      </w:pPr>
      <w:r w:rsidRPr="00FA0D37">
        <w:t>}</w:t>
      </w:r>
    </w:p>
    <w:p w14:paraId="0FCC6E0B" w14:textId="77777777" w:rsidR="007E2C88" w:rsidRPr="00FA0D37" w:rsidRDefault="007E2C88" w:rsidP="00FA0D37">
      <w:pPr>
        <w:pStyle w:val="PL"/>
      </w:pPr>
    </w:p>
    <w:p w14:paraId="614D63CB" w14:textId="77777777" w:rsidR="00394471" w:rsidRPr="00FA0D37" w:rsidRDefault="00394471" w:rsidP="00FA0D37">
      <w:pPr>
        <w:pStyle w:val="PL"/>
        <w:rPr>
          <w:color w:val="808080"/>
        </w:rPr>
      </w:pPr>
      <w:r w:rsidRPr="00FA0D37">
        <w:rPr>
          <w:color w:val="808080"/>
        </w:rPr>
        <w:t>-- TAG-PDSCH-TIMEDOMAINRESOURCEALLOCATIONLIST-STOP</w:t>
      </w:r>
    </w:p>
    <w:p w14:paraId="70FA3C5C" w14:textId="77777777" w:rsidR="00394471" w:rsidRPr="00FA0D37" w:rsidRDefault="00394471" w:rsidP="00FA0D37">
      <w:pPr>
        <w:pStyle w:val="PL"/>
        <w:rPr>
          <w:color w:val="808080"/>
        </w:rPr>
      </w:pPr>
      <w:r w:rsidRPr="00FA0D37">
        <w:rPr>
          <w:color w:val="808080"/>
        </w:rPr>
        <w:t>-- ASN1STOP</w:t>
      </w:r>
    </w:p>
    <w:p w14:paraId="4AEA788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FA0D37" w:rsidRDefault="00394471" w:rsidP="00964CC4">
            <w:pPr>
              <w:pStyle w:val="TAH"/>
              <w:rPr>
                <w:szCs w:val="22"/>
                <w:lang w:eastAsia="sv-SE"/>
              </w:rPr>
            </w:pPr>
            <w:r w:rsidRPr="00FA0D37">
              <w:rPr>
                <w:i/>
                <w:szCs w:val="22"/>
                <w:lang w:eastAsia="sv-SE"/>
              </w:rPr>
              <w:lastRenderedPageBreak/>
              <w:t xml:space="preserve">PDSCH-TimeDomainResourceAllocation </w:t>
            </w:r>
            <w:r w:rsidRPr="00FA0D37">
              <w:rPr>
                <w:szCs w:val="22"/>
                <w:lang w:eastAsia="sv-SE"/>
              </w:rPr>
              <w:t>field descriptions</w:t>
            </w:r>
          </w:p>
        </w:tc>
      </w:tr>
      <w:tr w:rsidR="005C7FF4" w:rsidRPr="00FA0D37"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FA0D37" w:rsidRDefault="00394471" w:rsidP="00964CC4">
            <w:pPr>
              <w:pStyle w:val="TAL"/>
              <w:rPr>
                <w:szCs w:val="22"/>
                <w:lang w:eastAsia="sv-SE"/>
              </w:rPr>
            </w:pPr>
            <w:r w:rsidRPr="00FA0D37">
              <w:rPr>
                <w:b/>
                <w:i/>
                <w:szCs w:val="22"/>
                <w:lang w:eastAsia="sv-SE"/>
              </w:rPr>
              <w:t>k0</w:t>
            </w:r>
          </w:p>
          <w:p w14:paraId="2791BB6F" w14:textId="48B73363" w:rsidR="00394471" w:rsidRPr="00FA0D37" w:rsidRDefault="00394471" w:rsidP="00964CC4">
            <w:pPr>
              <w:pStyle w:val="TAL"/>
              <w:rPr>
                <w:szCs w:val="22"/>
                <w:lang w:eastAsia="sv-SE"/>
              </w:rPr>
            </w:pPr>
            <w:r w:rsidRPr="00FA0D37">
              <w:rPr>
                <w:szCs w:val="22"/>
                <w:lang w:eastAsia="sv-SE"/>
              </w:rPr>
              <w:t>Slot offset between DCI and its scheduled PDSCH (see TS 38.214 [19], clause 5.1.2.1)</w:t>
            </w:r>
            <w:r w:rsidR="007E2C88" w:rsidRPr="00FA0D37">
              <w:rPr>
                <w:szCs w:val="22"/>
                <w:lang w:eastAsia="sv-SE"/>
              </w:rPr>
              <w:t xml:space="preserve">. </w:t>
            </w:r>
            <w:r w:rsidR="00655B5E" w:rsidRPr="00FA0D37">
              <w:rPr>
                <w:i/>
                <w:iCs/>
                <w:lang w:eastAsia="sv-SE"/>
              </w:rPr>
              <w:t>k0-v17</w:t>
            </w:r>
            <w:r w:rsidR="00EF50BD" w:rsidRPr="00FA0D37">
              <w:rPr>
                <w:i/>
                <w:iCs/>
                <w:lang w:eastAsia="sv-SE"/>
              </w:rPr>
              <w:t>10</w:t>
            </w:r>
            <w:r w:rsidR="00655B5E" w:rsidRPr="00FA0D37">
              <w:rPr>
                <w:lang w:eastAsia="sv-SE"/>
              </w:rPr>
              <w:t xml:space="preserve"> is only</w:t>
            </w:r>
            <w:r w:rsidR="007E2C88" w:rsidRPr="00FA0D37">
              <w:rPr>
                <w:szCs w:val="22"/>
                <w:lang w:eastAsia="sv-SE"/>
              </w:rPr>
              <w:t xml:space="preserve"> applicable for PDSCH SCS of </w:t>
            </w:r>
            <w:r w:rsidR="00655B5E" w:rsidRPr="00FA0D37">
              <w:rPr>
                <w:szCs w:val="22"/>
                <w:lang w:eastAsia="sv-SE"/>
              </w:rPr>
              <w:t xml:space="preserve">480 </w:t>
            </w:r>
            <w:r w:rsidR="007E2C88" w:rsidRPr="00FA0D37">
              <w:rPr>
                <w:szCs w:val="22"/>
                <w:lang w:eastAsia="sv-SE"/>
              </w:rPr>
              <w:t>kHz</w:t>
            </w:r>
            <w:r w:rsidR="00655B5E" w:rsidRPr="00FA0D37">
              <w:rPr>
                <w:szCs w:val="22"/>
                <w:lang w:eastAsia="sv-SE"/>
              </w:rPr>
              <w:t xml:space="preserve"> and 960 kHz</w:t>
            </w:r>
            <w:r w:rsidR="007E2C88" w:rsidRPr="00FA0D37">
              <w:rPr>
                <w:szCs w:val="22"/>
                <w:lang w:eastAsia="sv-SE"/>
              </w:rPr>
              <w:t>.</w:t>
            </w:r>
            <w:r w:rsidRPr="00FA0D37">
              <w:rPr>
                <w:szCs w:val="22"/>
                <w:lang w:eastAsia="sv-SE"/>
              </w:rPr>
              <w:t xml:space="preserve"> </w:t>
            </w:r>
            <w:r w:rsidR="008F6899" w:rsidRPr="00FA0D37">
              <w:rPr>
                <w:szCs w:val="22"/>
                <w:lang w:eastAsia="sv-SE"/>
              </w:rPr>
              <w:t>I</w:t>
            </w:r>
            <w:r w:rsidR="008F6899" w:rsidRPr="00FA0D37">
              <w:rPr>
                <w:rStyle w:val="ui-provider"/>
              </w:rPr>
              <w:t>f multiple PDSCHs are configured per PDCCH, t</w:t>
            </w:r>
            <w:r w:rsidR="008F6899" w:rsidRPr="00FA0D37">
              <w:rPr>
                <w:lang w:eastAsia="sv-SE"/>
              </w:rPr>
              <w:t>he network always configures this field. Otherwise, w</w:t>
            </w:r>
            <w:r w:rsidRPr="00FA0D37">
              <w:rPr>
                <w:szCs w:val="22"/>
                <w:lang w:eastAsia="sv-SE"/>
              </w:rPr>
              <w:t xml:space="preserve">hen the field is absent </w:t>
            </w:r>
            <w:r w:rsidR="008F6899" w:rsidRPr="00FA0D37">
              <w:rPr>
                <w:szCs w:val="22"/>
                <w:lang w:eastAsia="sv-SE"/>
              </w:rPr>
              <w:t xml:space="preserve">and only one PDSCH is configured per PDCCH, </w:t>
            </w:r>
            <w:r w:rsidRPr="00FA0D37">
              <w:rPr>
                <w:szCs w:val="22"/>
                <w:lang w:eastAsia="sv-SE"/>
              </w:rPr>
              <w:t>the UE applies the value 0.</w:t>
            </w:r>
          </w:p>
        </w:tc>
      </w:tr>
      <w:tr w:rsidR="005C7FF4" w:rsidRPr="00FA0D37"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FA0D37" w:rsidRDefault="00394471" w:rsidP="00964CC4">
            <w:pPr>
              <w:pStyle w:val="TAL"/>
              <w:rPr>
                <w:szCs w:val="22"/>
                <w:lang w:eastAsia="sv-SE"/>
              </w:rPr>
            </w:pPr>
            <w:r w:rsidRPr="00FA0D37">
              <w:rPr>
                <w:b/>
                <w:i/>
                <w:szCs w:val="22"/>
                <w:lang w:eastAsia="sv-SE"/>
              </w:rPr>
              <w:t>mappingType</w:t>
            </w:r>
          </w:p>
          <w:p w14:paraId="0DF9CDBA" w14:textId="6DF295D0" w:rsidR="00394471" w:rsidRPr="00FA0D37" w:rsidRDefault="00394471" w:rsidP="00964CC4">
            <w:pPr>
              <w:pStyle w:val="TAL"/>
              <w:rPr>
                <w:szCs w:val="22"/>
                <w:lang w:eastAsia="sv-SE"/>
              </w:rPr>
            </w:pPr>
            <w:r w:rsidRPr="00FA0D37">
              <w:rPr>
                <w:szCs w:val="22"/>
                <w:lang w:eastAsia="sv-SE"/>
              </w:rPr>
              <w:t>PDSCH mapping type (see TS 38.214 [19], clause 5.3).</w:t>
            </w:r>
          </w:p>
        </w:tc>
      </w:tr>
      <w:tr w:rsidR="005C7FF4" w:rsidRPr="00FA0D37"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FA0D37" w:rsidRDefault="00394471" w:rsidP="00964CC4">
            <w:pPr>
              <w:pStyle w:val="TAL"/>
              <w:rPr>
                <w:b/>
                <w:i/>
                <w:szCs w:val="22"/>
                <w:lang w:eastAsia="sv-SE"/>
              </w:rPr>
            </w:pPr>
            <w:r w:rsidRPr="00FA0D37">
              <w:rPr>
                <w:b/>
                <w:i/>
                <w:szCs w:val="22"/>
                <w:lang w:eastAsia="sv-SE"/>
              </w:rPr>
              <w:t>repetitionNumber</w:t>
            </w:r>
          </w:p>
          <w:p w14:paraId="0B8C037E" w14:textId="0BBB9579" w:rsidR="00394471" w:rsidRPr="00FA0D37" w:rsidRDefault="00394471" w:rsidP="00964CC4">
            <w:pPr>
              <w:pStyle w:val="TAL"/>
              <w:rPr>
                <w:b/>
                <w:i/>
                <w:szCs w:val="22"/>
                <w:lang w:eastAsia="sv-SE"/>
              </w:rPr>
            </w:pPr>
            <w:r w:rsidRPr="00FA0D37">
              <w:rPr>
                <w:szCs w:val="22"/>
                <w:lang w:eastAsia="sv-SE"/>
              </w:rPr>
              <w:t>Indicates the number of PDSCH transmission occa</w:t>
            </w:r>
            <w:r w:rsidR="00FB04AA" w:rsidRPr="00FA0D37">
              <w:rPr>
                <w:szCs w:val="22"/>
                <w:lang w:eastAsia="sv-SE"/>
              </w:rPr>
              <w:t>s</w:t>
            </w:r>
            <w:r w:rsidRPr="00FA0D37">
              <w:rPr>
                <w:szCs w:val="22"/>
                <w:lang w:eastAsia="sv-SE"/>
              </w:rPr>
              <w:t xml:space="preserve">ions for slot-based repetition scheme in IE </w:t>
            </w:r>
            <w:r w:rsidRPr="00FA0D37">
              <w:rPr>
                <w:i/>
                <w:szCs w:val="16"/>
                <w:lang w:eastAsia="sv-SE"/>
              </w:rPr>
              <w:t xml:space="preserve">RepetitionSchemeConfig. </w:t>
            </w:r>
            <w:r w:rsidRPr="00FA0D37">
              <w:rPr>
                <w:szCs w:val="16"/>
                <w:lang w:eastAsia="sv-SE"/>
              </w:rPr>
              <w:t>The parameter is used as specified in 38.214 [19].</w:t>
            </w:r>
          </w:p>
        </w:tc>
      </w:tr>
      <w:tr w:rsidR="000830BB" w:rsidRPr="00FA0D37"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FA0D37" w:rsidRDefault="00394471" w:rsidP="00964CC4">
            <w:pPr>
              <w:pStyle w:val="TAL"/>
              <w:rPr>
                <w:szCs w:val="22"/>
                <w:lang w:eastAsia="sv-SE"/>
              </w:rPr>
            </w:pPr>
            <w:r w:rsidRPr="00FA0D37">
              <w:rPr>
                <w:b/>
                <w:i/>
                <w:szCs w:val="22"/>
                <w:lang w:eastAsia="sv-SE"/>
              </w:rPr>
              <w:t>startSymbolAndLength</w:t>
            </w:r>
          </w:p>
          <w:p w14:paraId="45BAE006" w14:textId="77777777" w:rsidR="00394471" w:rsidRPr="00FA0D37" w:rsidRDefault="00394471" w:rsidP="00964CC4">
            <w:pPr>
              <w:pStyle w:val="TAL"/>
              <w:rPr>
                <w:szCs w:val="22"/>
                <w:lang w:eastAsia="sv-SE"/>
              </w:rPr>
            </w:pPr>
            <w:r w:rsidRPr="00FA0D37">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FA0D37"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FA0D37" w:rsidRDefault="007E2C88" w:rsidP="000830BB">
            <w:pPr>
              <w:pStyle w:val="TAH"/>
              <w:rPr>
                <w:lang w:eastAsia="sv-SE"/>
              </w:rPr>
            </w:pPr>
            <w:r w:rsidRPr="00FA0D37">
              <w:rPr>
                <w:i/>
                <w:iCs/>
                <w:lang w:eastAsia="sv-SE"/>
              </w:rPr>
              <w:t>MultiPDSCH-TimeDomainResourceAllocation</w:t>
            </w:r>
            <w:r w:rsidRPr="00FA0D37">
              <w:rPr>
                <w:lang w:eastAsia="sv-SE"/>
              </w:rPr>
              <w:t xml:space="preserve"> field descriptions</w:t>
            </w:r>
          </w:p>
        </w:tc>
      </w:tr>
      <w:tr w:rsidR="000830BB" w:rsidRPr="00FA0D37"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FA0D37" w:rsidRDefault="007E2C88" w:rsidP="000830BB">
            <w:pPr>
              <w:pStyle w:val="TAL"/>
              <w:rPr>
                <w:b/>
                <w:bCs/>
                <w:i/>
                <w:iCs/>
                <w:lang w:eastAsia="sv-SE"/>
              </w:rPr>
            </w:pPr>
            <w:r w:rsidRPr="00FA0D37">
              <w:rPr>
                <w:b/>
                <w:bCs/>
                <w:i/>
                <w:iCs/>
                <w:lang w:eastAsia="sv-SE"/>
              </w:rPr>
              <w:t>pdsch-</w:t>
            </w:r>
            <w:r w:rsidR="00655B5E" w:rsidRPr="00FA0D37">
              <w:rPr>
                <w:b/>
                <w:bCs/>
                <w:i/>
                <w:iCs/>
                <w:lang w:eastAsia="sv-SE"/>
              </w:rPr>
              <w:t>TDRA-List</w:t>
            </w:r>
          </w:p>
          <w:p w14:paraId="6E987F52" w14:textId="77777777" w:rsidR="007E2C88" w:rsidRPr="00FA0D37" w:rsidRDefault="007E2C88" w:rsidP="000830BB">
            <w:pPr>
              <w:pStyle w:val="TAL"/>
              <w:rPr>
                <w:lang w:eastAsia="sv-SE"/>
              </w:rPr>
            </w:pPr>
            <w:r w:rsidRPr="00FA0D37">
              <w:rPr>
                <w:lang w:eastAsia="sv-SE"/>
              </w:rPr>
              <w:t xml:space="preserve">One or multiple PDSCHs which can be in consecutive or non-consecutive slots (see TS 38.214 [19], clause 5.1.2.1). </w:t>
            </w:r>
          </w:p>
        </w:tc>
      </w:tr>
    </w:tbl>
    <w:p w14:paraId="4E3F0D2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FA0D37" w:rsidRDefault="00394471" w:rsidP="000830BB">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FA0D37" w:rsidRDefault="00394471" w:rsidP="000830BB">
            <w:pPr>
              <w:pStyle w:val="TAH"/>
              <w:rPr>
                <w:lang w:eastAsia="sv-SE"/>
              </w:rPr>
            </w:pPr>
            <w:r w:rsidRPr="00FA0D37">
              <w:rPr>
                <w:lang w:eastAsia="sv-SE"/>
              </w:rPr>
              <w:t>Explanation</w:t>
            </w:r>
          </w:p>
        </w:tc>
      </w:tr>
      <w:tr w:rsidR="005C7FF4" w:rsidRPr="00FA0D37"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FA0D37" w:rsidRDefault="008D4526" w:rsidP="00A12BD9">
            <w:pPr>
              <w:pStyle w:val="TAL"/>
              <w:rPr>
                <w:i/>
                <w:iCs/>
                <w:lang w:eastAsia="sv-SE"/>
              </w:rPr>
            </w:pPr>
            <w:r w:rsidRPr="00FA0D37">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FA0D37" w:rsidRDefault="008D4526" w:rsidP="00A12BD9">
            <w:pPr>
              <w:pStyle w:val="TAL"/>
              <w:rPr>
                <w:lang w:eastAsia="sv-SE"/>
              </w:rPr>
            </w:pPr>
            <w:r w:rsidRPr="00FA0D37">
              <w:rPr>
                <w:lang w:eastAsia="sv-SE"/>
              </w:rPr>
              <w:t xml:space="preserve">In </w:t>
            </w:r>
            <w:r w:rsidRPr="00FA0D37">
              <w:rPr>
                <w:i/>
                <w:iCs/>
                <w:szCs w:val="22"/>
                <w:lang w:eastAsia="sv-SE"/>
              </w:rPr>
              <w:t>pdsch-TimeDomainAllocationListDCI-1-2</w:t>
            </w:r>
            <w:r w:rsidRPr="00FA0D37">
              <w:rPr>
                <w:szCs w:val="22"/>
                <w:lang w:eastAsia="sv-SE"/>
              </w:rPr>
              <w:t xml:space="preserve">, </w:t>
            </w:r>
            <w:r w:rsidRPr="00FA0D37">
              <w:rPr>
                <w:lang w:eastAsia="sv-SE"/>
              </w:rPr>
              <w:t>this field is optionally present, Need R. It is absent, Need R, otherwise.</w:t>
            </w:r>
          </w:p>
        </w:tc>
      </w:tr>
      <w:tr w:rsidR="00394471" w:rsidRPr="00FA0D37"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FA0D37" w:rsidRDefault="00394471" w:rsidP="000830BB">
            <w:pPr>
              <w:pStyle w:val="TAL"/>
              <w:rPr>
                <w:i/>
                <w:iCs/>
                <w:lang w:eastAsia="sv-SE"/>
              </w:rPr>
            </w:pPr>
            <w:r w:rsidRPr="00FA0D37">
              <w:rPr>
                <w:i/>
                <w:iCs/>
                <w:lang w:eastAsia="sv-SE"/>
              </w:rPr>
              <w:t>Formats1-0</w:t>
            </w:r>
            <w:r w:rsidR="00173E4B" w:rsidRPr="00FA0D37">
              <w:rPr>
                <w:i/>
                <w:iCs/>
                <w:lang w:eastAsia="sv-SE"/>
              </w:rPr>
              <w:t>_</w:t>
            </w:r>
            <w:r w:rsidRPr="00FA0D37">
              <w:rPr>
                <w:i/>
                <w:iCs/>
                <w:lang w:eastAsia="sv-SE"/>
              </w:rPr>
              <w:t>1-1</w:t>
            </w:r>
            <w:r w:rsidR="00173E4B" w:rsidRPr="00FA0D37">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FA0D37" w:rsidRDefault="008C38BA" w:rsidP="008C38BA">
            <w:pPr>
              <w:pStyle w:val="TAL"/>
              <w:rPr>
                <w:lang w:eastAsia="sv-SE"/>
              </w:rPr>
            </w:pPr>
            <w:r w:rsidRPr="00FA0D37">
              <w:rPr>
                <w:lang w:eastAsia="sv-SE"/>
              </w:rPr>
              <w:t xml:space="preserve">In </w:t>
            </w:r>
            <w:r w:rsidRPr="00FA0D37">
              <w:rPr>
                <w:i/>
                <w:iCs/>
                <w:lang w:eastAsia="sv-SE"/>
              </w:rPr>
              <w:t>pdsch-TimeDomainAllocationListDCI-1-2</w:t>
            </w:r>
            <w:r w:rsidRPr="00FA0D37">
              <w:rPr>
                <w:iCs/>
                <w:lang w:eastAsia="sv-SE"/>
              </w:rPr>
              <w:t xml:space="preserve">, </w:t>
            </w:r>
            <w:r w:rsidRPr="00FA0D37">
              <w:rPr>
                <w:i/>
                <w:lang w:eastAsia="sv-SE"/>
              </w:rPr>
              <w:t>pdsch-TimeDomainAllocationListForMultiPDSCH</w:t>
            </w:r>
            <w:r w:rsidR="00154FBC" w:rsidRPr="00FA0D37">
              <w:rPr>
                <w:szCs w:val="22"/>
                <w:lang w:eastAsia="sv-SE"/>
              </w:rPr>
              <w:t xml:space="preserve">, and </w:t>
            </w:r>
            <w:r w:rsidR="00154FBC" w:rsidRPr="00FA0D37">
              <w:rPr>
                <w:i/>
                <w:iCs/>
                <w:szCs w:val="22"/>
                <w:lang w:eastAsia="sv-SE"/>
              </w:rPr>
              <w:t>SIB20</w:t>
            </w:r>
            <w:r w:rsidRPr="00FA0D37">
              <w:rPr>
                <w:lang w:eastAsia="sv-SE"/>
              </w:rPr>
              <w:t>, this field is absent.</w:t>
            </w:r>
          </w:p>
          <w:p w14:paraId="3685352A" w14:textId="19993C19" w:rsidR="00394471" w:rsidRPr="00FA0D37" w:rsidRDefault="008C38BA" w:rsidP="000830BB">
            <w:pPr>
              <w:pStyle w:val="TAL"/>
              <w:rPr>
                <w:lang w:eastAsia="sv-SE"/>
              </w:rPr>
            </w:pPr>
            <w:r w:rsidRPr="00FA0D37">
              <w:rPr>
                <w:lang w:eastAsia="sv-SE"/>
              </w:rPr>
              <w:t>Otherwise, i</w:t>
            </w:r>
            <w:r w:rsidR="00394471" w:rsidRPr="00FA0D37">
              <w:rPr>
                <w:lang w:eastAsia="sv-SE"/>
              </w:rPr>
              <w:t>n</w:t>
            </w:r>
            <w:r w:rsidR="00394471" w:rsidRPr="00FA0D37">
              <w:rPr>
                <w:i/>
                <w:iCs/>
                <w:lang w:eastAsia="sv-SE"/>
              </w:rPr>
              <w:t xml:space="preserve"> pdsch-TimeDomainResourceAllocationList-r16</w:t>
            </w:r>
            <w:r w:rsidR="00394471" w:rsidRPr="00FA0D37">
              <w:rPr>
                <w:lang w:eastAsia="sv-SE"/>
              </w:rPr>
              <w:t>, this field is optionally present, Need R.</w:t>
            </w:r>
          </w:p>
        </w:tc>
      </w:tr>
    </w:tbl>
    <w:p w14:paraId="77F8D8BF" w14:textId="77777777" w:rsidR="00394471" w:rsidRPr="00FA0D37" w:rsidRDefault="00394471" w:rsidP="00394471"/>
    <w:p w14:paraId="20A0077B" w14:textId="77777777" w:rsidR="00394471" w:rsidRPr="00FA0D37" w:rsidRDefault="00394471" w:rsidP="00394471">
      <w:pPr>
        <w:pStyle w:val="4"/>
      </w:pPr>
      <w:bookmarkStart w:id="1225" w:name="_Toc60777305"/>
      <w:bookmarkStart w:id="1226" w:name="_Toc146781384"/>
      <w:r w:rsidRPr="00FA0D37">
        <w:t>–</w:t>
      </w:r>
      <w:r w:rsidRPr="00FA0D37">
        <w:tab/>
      </w:r>
      <w:r w:rsidRPr="00FA0D37">
        <w:rPr>
          <w:i/>
        </w:rPr>
        <w:t>PHR-Config</w:t>
      </w:r>
      <w:bookmarkEnd w:id="1225"/>
      <w:bookmarkEnd w:id="1226"/>
    </w:p>
    <w:p w14:paraId="364BC955" w14:textId="77777777" w:rsidR="00394471" w:rsidRPr="00FA0D37" w:rsidRDefault="00394471" w:rsidP="00394471">
      <w:r w:rsidRPr="00FA0D37">
        <w:t xml:space="preserve">The IE </w:t>
      </w:r>
      <w:r w:rsidRPr="00FA0D37">
        <w:rPr>
          <w:i/>
        </w:rPr>
        <w:t>PHR-Config</w:t>
      </w:r>
      <w:r w:rsidRPr="00FA0D37">
        <w:t xml:space="preserve"> is used to configure parameters for power headroom reporting.</w:t>
      </w:r>
    </w:p>
    <w:p w14:paraId="14779EF1" w14:textId="77777777" w:rsidR="00394471" w:rsidRPr="00FA0D37" w:rsidRDefault="00394471" w:rsidP="00394471">
      <w:pPr>
        <w:pStyle w:val="TH"/>
      </w:pPr>
      <w:r w:rsidRPr="00FA0D37">
        <w:rPr>
          <w:i/>
        </w:rPr>
        <w:t>PHR-Config</w:t>
      </w:r>
      <w:r w:rsidRPr="00FA0D37">
        <w:t xml:space="preserve"> information element</w:t>
      </w:r>
    </w:p>
    <w:p w14:paraId="4C194DF4" w14:textId="77777777" w:rsidR="00394471" w:rsidRPr="00FA0D37" w:rsidRDefault="00394471" w:rsidP="00FA0D37">
      <w:pPr>
        <w:pStyle w:val="PL"/>
        <w:rPr>
          <w:color w:val="808080"/>
        </w:rPr>
      </w:pPr>
      <w:r w:rsidRPr="00FA0D37">
        <w:rPr>
          <w:color w:val="808080"/>
        </w:rPr>
        <w:t>-- ASN1START</w:t>
      </w:r>
    </w:p>
    <w:p w14:paraId="01D071A5" w14:textId="77777777" w:rsidR="00394471" w:rsidRPr="00FA0D37" w:rsidRDefault="00394471" w:rsidP="00FA0D37">
      <w:pPr>
        <w:pStyle w:val="PL"/>
        <w:rPr>
          <w:color w:val="808080"/>
        </w:rPr>
      </w:pPr>
      <w:r w:rsidRPr="00FA0D37">
        <w:rPr>
          <w:color w:val="808080"/>
        </w:rPr>
        <w:t>-- TAG-PHR-CONFIG-START</w:t>
      </w:r>
    </w:p>
    <w:p w14:paraId="34A47EEA" w14:textId="77777777" w:rsidR="00394471" w:rsidRPr="00FA0D37" w:rsidRDefault="00394471" w:rsidP="00FA0D37">
      <w:pPr>
        <w:pStyle w:val="PL"/>
      </w:pPr>
    </w:p>
    <w:p w14:paraId="25A5A4CA" w14:textId="77777777" w:rsidR="00394471" w:rsidRPr="00FA0D37" w:rsidRDefault="00394471" w:rsidP="00FA0D37">
      <w:pPr>
        <w:pStyle w:val="PL"/>
      </w:pPr>
      <w:r w:rsidRPr="00FA0D37">
        <w:t xml:space="preserve">PHR-Config ::=                      </w:t>
      </w:r>
      <w:r w:rsidRPr="00FA0D37">
        <w:rPr>
          <w:color w:val="993366"/>
        </w:rPr>
        <w:t>SEQUENCE</w:t>
      </w:r>
      <w:r w:rsidRPr="00FA0D37">
        <w:t xml:space="preserve"> {</w:t>
      </w:r>
    </w:p>
    <w:p w14:paraId="5EAF9254" w14:textId="77777777" w:rsidR="00394471" w:rsidRPr="00FA0D37" w:rsidRDefault="00394471" w:rsidP="00FA0D37">
      <w:pPr>
        <w:pStyle w:val="PL"/>
      </w:pPr>
      <w:r w:rsidRPr="00FA0D37">
        <w:t xml:space="preserve">    phr-PeriodicTimer                   </w:t>
      </w:r>
      <w:r w:rsidRPr="00FA0D37">
        <w:rPr>
          <w:color w:val="993366"/>
        </w:rPr>
        <w:t>ENUMERATED</w:t>
      </w:r>
      <w:r w:rsidRPr="00FA0D37">
        <w:t xml:space="preserve"> {sf10, sf20, sf50, sf100, sf200,sf500, sf1000, infinity},</w:t>
      </w:r>
    </w:p>
    <w:p w14:paraId="108D7C28" w14:textId="77777777" w:rsidR="00394471" w:rsidRPr="00FA0D37" w:rsidRDefault="00394471" w:rsidP="00FA0D37">
      <w:pPr>
        <w:pStyle w:val="PL"/>
      </w:pPr>
      <w:r w:rsidRPr="00FA0D37">
        <w:t xml:space="preserve">    phr-ProhibitTimer                   </w:t>
      </w:r>
      <w:r w:rsidRPr="00FA0D37">
        <w:rPr>
          <w:color w:val="993366"/>
        </w:rPr>
        <w:t>ENUMERATED</w:t>
      </w:r>
      <w:r w:rsidRPr="00FA0D37">
        <w:t xml:space="preserve"> {sf0, sf10, sf20, sf50, sf100,sf200, sf500, sf1000},</w:t>
      </w:r>
    </w:p>
    <w:p w14:paraId="1EE0C3A1" w14:textId="77777777" w:rsidR="00394471" w:rsidRPr="00FA0D37" w:rsidRDefault="00394471" w:rsidP="00FA0D37">
      <w:pPr>
        <w:pStyle w:val="PL"/>
      </w:pPr>
      <w:r w:rsidRPr="00FA0D37">
        <w:t xml:space="preserve">    phr-Tx-PowerFactorChange            </w:t>
      </w:r>
      <w:r w:rsidRPr="00FA0D37">
        <w:rPr>
          <w:color w:val="993366"/>
        </w:rPr>
        <w:t>ENUMERATED</w:t>
      </w:r>
      <w:r w:rsidRPr="00FA0D37">
        <w:t xml:space="preserve"> {dB1, dB3, dB6, infinity},</w:t>
      </w:r>
    </w:p>
    <w:p w14:paraId="2FBDBAB3" w14:textId="77777777" w:rsidR="00394471" w:rsidRPr="00FA0D37" w:rsidRDefault="00394471" w:rsidP="00FA0D37">
      <w:pPr>
        <w:pStyle w:val="PL"/>
      </w:pPr>
      <w:r w:rsidRPr="00FA0D37">
        <w:t xml:space="preserve">    multiplePHR                         </w:t>
      </w:r>
      <w:r w:rsidRPr="00FA0D37">
        <w:rPr>
          <w:color w:val="993366"/>
        </w:rPr>
        <w:t>BOOLEAN</w:t>
      </w:r>
      <w:r w:rsidRPr="00FA0D37">
        <w:t>,</w:t>
      </w:r>
    </w:p>
    <w:p w14:paraId="1CB03C3F" w14:textId="77777777" w:rsidR="00394471" w:rsidRPr="00FA0D37" w:rsidRDefault="00394471" w:rsidP="00FA0D37">
      <w:pPr>
        <w:pStyle w:val="PL"/>
      </w:pPr>
      <w:r w:rsidRPr="00FA0D37">
        <w:t xml:space="preserve">    dummy                               </w:t>
      </w:r>
      <w:r w:rsidRPr="00FA0D37">
        <w:rPr>
          <w:color w:val="993366"/>
        </w:rPr>
        <w:t>BOOLEAN</w:t>
      </w:r>
      <w:r w:rsidRPr="00FA0D37">
        <w:t>,</w:t>
      </w:r>
    </w:p>
    <w:p w14:paraId="300400D9" w14:textId="77777777" w:rsidR="00394471" w:rsidRPr="00FA0D37" w:rsidRDefault="00394471" w:rsidP="00FA0D37">
      <w:pPr>
        <w:pStyle w:val="PL"/>
      </w:pPr>
      <w:r w:rsidRPr="00FA0D37">
        <w:t xml:space="preserve">    phr-Type2OtherCell                  </w:t>
      </w:r>
      <w:r w:rsidRPr="00FA0D37">
        <w:rPr>
          <w:color w:val="993366"/>
        </w:rPr>
        <w:t>BOOLEAN</w:t>
      </w:r>
      <w:r w:rsidRPr="00FA0D37">
        <w:t>,</w:t>
      </w:r>
    </w:p>
    <w:p w14:paraId="24A15502" w14:textId="77777777" w:rsidR="00394471" w:rsidRPr="00FA0D37" w:rsidRDefault="00394471" w:rsidP="00FA0D37">
      <w:pPr>
        <w:pStyle w:val="PL"/>
      </w:pPr>
      <w:r w:rsidRPr="00FA0D37">
        <w:t xml:space="preserve">    phr-ModeOtherCG                     </w:t>
      </w:r>
      <w:r w:rsidRPr="00FA0D37">
        <w:rPr>
          <w:color w:val="993366"/>
        </w:rPr>
        <w:t>ENUMERATED</w:t>
      </w:r>
      <w:r w:rsidRPr="00FA0D37">
        <w:t xml:space="preserve"> {real, virtual},</w:t>
      </w:r>
    </w:p>
    <w:p w14:paraId="5C46EED6" w14:textId="77777777" w:rsidR="00394471" w:rsidRPr="00FA0D37" w:rsidRDefault="00394471" w:rsidP="00FA0D37">
      <w:pPr>
        <w:pStyle w:val="PL"/>
      </w:pPr>
      <w:r w:rsidRPr="00FA0D37">
        <w:t xml:space="preserve">    ...,</w:t>
      </w:r>
    </w:p>
    <w:p w14:paraId="28458207" w14:textId="77777777" w:rsidR="00394471" w:rsidRPr="00FA0D37" w:rsidRDefault="00394471" w:rsidP="00FA0D37">
      <w:pPr>
        <w:pStyle w:val="PL"/>
      </w:pPr>
      <w:r w:rsidRPr="00FA0D37">
        <w:t xml:space="preserve">    [[</w:t>
      </w:r>
    </w:p>
    <w:p w14:paraId="0D9A0ACE" w14:textId="77777777" w:rsidR="00394471" w:rsidRPr="00FA0D37" w:rsidRDefault="00394471" w:rsidP="00FA0D37">
      <w:pPr>
        <w:pStyle w:val="PL"/>
        <w:rPr>
          <w:color w:val="808080"/>
        </w:rPr>
      </w:pPr>
      <w:r w:rsidRPr="00FA0D37">
        <w:lastRenderedPageBreak/>
        <w:t xml:space="preserve">    mpe-Reporting-FR2-r16               SetupRelease { MPE-Config-FR2-r16 }                     </w:t>
      </w:r>
      <w:r w:rsidRPr="00FA0D37">
        <w:rPr>
          <w:color w:val="993366"/>
        </w:rPr>
        <w:t>OPTIONAL</w:t>
      </w:r>
      <w:r w:rsidRPr="00FA0D37">
        <w:t xml:space="preserve">     </w:t>
      </w:r>
      <w:r w:rsidRPr="00FA0D37">
        <w:rPr>
          <w:color w:val="808080"/>
        </w:rPr>
        <w:t>-- Need M</w:t>
      </w:r>
    </w:p>
    <w:p w14:paraId="244E6A94" w14:textId="317E1A18" w:rsidR="00651368" w:rsidRPr="00FA0D37" w:rsidRDefault="00394471" w:rsidP="00FA0D37">
      <w:pPr>
        <w:pStyle w:val="PL"/>
      </w:pPr>
      <w:r w:rsidRPr="00FA0D37">
        <w:t xml:space="preserve">    ]]</w:t>
      </w:r>
      <w:r w:rsidR="00651368" w:rsidRPr="00FA0D37">
        <w:t>,</w:t>
      </w:r>
    </w:p>
    <w:p w14:paraId="6F5B7BBE" w14:textId="77777777" w:rsidR="00651368" w:rsidRPr="00FA0D37" w:rsidRDefault="00651368" w:rsidP="00FA0D37">
      <w:pPr>
        <w:pStyle w:val="PL"/>
      </w:pPr>
      <w:r w:rsidRPr="00FA0D37">
        <w:t xml:space="preserve">    [[</w:t>
      </w:r>
    </w:p>
    <w:p w14:paraId="23A71FE9" w14:textId="3421DE06" w:rsidR="00651368" w:rsidRPr="00FA0D37" w:rsidRDefault="00651368" w:rsidP="00FA0D37">
      <w:pPr>
        <w:pStyle w:val="PL"/>
        <w:rPr>
          <w:color w:val="808080"/>
        </w:rPr>
      </w:pPr>
      <w:r w:rsidRPr="00FA0D37">
        <w:t xml:space="preserve">    mpe-Reporting-FR2-r17               SetupRelease { MPE-Config-FR2-r17 }                     </w:t>
      </w:r>
      <w:r w:rsidRPr="00FA0D37">
        <w:rPr>
          <w:color w:val="993366"/>
        </w:rPr>
        <w:t>OPTIONAL</w:t>
      </w:r>
      <w:r w:rsidRPr="00FA0D37">
        <w:t xml:space="preserve">,    </w:t>
      </w:r>
      <w:r w:rsidRPr="00FA0D37">
        <w:rPr>
          <w:color w:val="808080"/>
        </w:rPr>
        <w:t>-- Need M</w:t>
      </w:r>
    </w:p>
    <w:p w14:paraId="5D7FF919" w14:textId="77777777" w:rsidR="00651368" w:rsidRPr="00FA0D37" w:rsidRDefault="00651368" w:rsidP="00FA0D37">
      <w:pPr>
        <w:pStyle w:val="PL"/>
        <w:rPr>
          <w:color w:val="808080"/>
        </w:rPr>
      </w:pPr>
      <w:r w:rsidRPr="00FA0D37">
        <w:t xml:space="preserve">    twoPHRMode-r17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99D4684" w14:textId="11840A8D" w:rsidR="00394471" w:rsidRPr="00FA0D37" w:rsidRDefault="00651368" w:rsidP="00FA0D37">
      <w:pPr>
        <w:pStyle w:val="PL"/>
      </w:pPr>
      <w:r w:rsidRPr="00FA0D37">
        <w:t xml:space="preserve">    ]]</w:t>
      </w:r>
    </w:p>
    <w:p w14:paraId="51A7334F" w14:textId="77777777" w:rsidR="00394471" w:rsidRPr="00FA0D37" w:rsidRDefault="00394471" w:rsidP="00FA0D37">
      <w:pPr>
        <w:pStyle w:val="PL"/>
      </w:pPr>
      <w:r w:rsidRPr="00FA0D37">
        <w:t>}</w:t>
      </w:r>
    </w:p>
    <w:p w14:paraId="1668331F" w14:textId="77777777" w:rsidR="00394471" w:rsidRPr="00FA0D37" w:rsidRDefault="00394471" w:rsidP="00FA0D37">
      <w:pPr>
        <w:pStyle w:val="PL"/>
      </w:pPr>
    </w:p>
    <w:p w14:paraId="367DE270" w14:textId="77777777" w:rsidR="00394471" w:rsidRPr="00FA0D37" w:rsidRDefault="00394471" w:rsidP="00FA0D37">
      <w:pPr>
        <w:pStyle w:val="PL"/>
      </w:pPr>
      <w:r w:rsidRPr="00FA0D37">
        <w:t xml:space="preserve">MPE-Config-FR2-r16 ::=              </w:t>
      </w:r>
      <w:r w:rsidRPr="00FA0D37">
        <w:rPr>
          <w:color w:val="993366"/>
        </w:rPr>
        <w:t>SEQUENCE</w:t>
      </w:r>
      <w:r w:rsidRPr="00FA0D37">
        <w:t xml:space="preserve"> {</w:t>
      </w:r>
    </w:p>
    <w:p w14:paraId="1664A2AE" w14:textId="77777777" w:rsidR="00394471" w:rsidRPr="00FA0D37" w:rsidRDefault="00394471" w:rsidP="00FA0D37">
      <w:pPr>
        <w:pStyle w:val="PL"/>
      </w:pPr>
      <w:r w:rsidRPr="00FA0D37">
        <w:t xml:space="preserve">    mpe-ProhibitTimer-r16               </w:t>
      </w:r>
      <w:r w:rsidRPr="00FA0D37">
        <w:rPr>
          <w:color w:val="993366"/>
        </w:rPr>
        <w:t>ENUMERATED</w:t>
      </w:r>
      <w:r w:rsidRPr="00FA0D37">
        <w:t xml:space="preserve"> {sf0, sf10, sf20, sf50, sf100, sf200, sf500, sf1000},</w:t>
      </w:r>
    </w:p>
    <w:p w14:paraId="2DC1A555" w14:textId="77777777" w:rsidR="00394471" w:rsidRPr="00FA0D37" w:rsidRDefault="00394471" w:rsidP="00FA0D37">
      <w:pPr>
        <w:pStyle w:val="PL"/>
      </w:pPr>
      <w:r w:rsidRPr="00FA0D37">
        <w:t xml:space="preserve">    mpe-Threshold-r16                   </w:t>
      </w:r>
      <w:r w:rsidRPr="00FA0D37">
        <w:rPr>
          <w:color w:val="993366"/>
        </w:rPr>
        <w:t>ENUMERATED</w:t>
      </w:r>
      <w:r w:rsidRPr="00FA0D37">
        <w:t xml:space="preserve"> {dB3, dB6, dB9, dB12}</w:t>
      </w:r>
    </w:p>
    <w:p w14:paraId="78F08997" w14:textId="77777777" w:rsidR="00394471" w:rsidRPr="00FA0D37" w:rsidRDefault="00394471" w:rsidP="00FA0D37">
      <w:pPr>
        <w:pStyle w:val="PL"/>
      </w:pPr>
      <w:r w:rsidRPr="00FA0D37">
        <w:t>}</w:t>
      </w:r>
    </w:p>
    <w:p w14:paraId="6042E82B" w14:textId="77777777" w:rsidR="00651368" w:rsidRPr="00FA0D37" w:rsidRDefault="00651368" w:rsidP="00FA0D37">
      <w:pPr>
        <w:pStyle w:val="PL"/>
      </w:pPr>
    </w:p>
    <w:p w14:paraId="605259F7" w14:textId="2425FC0B" w:rsidR="00651368" w:rsidRPr="00FA0D37" w:rsidRDefault="00651368" w:rsidP="00FA0D37">
      <w:pPr>
        <w:pStyle w:val="PL"/>
      </w:pPr>
      <w:r w:rsidRPr="00FA0D37">
        <w:t xml:space="preserve">MPE-Config-FR2-r17 ::=              </w:t>
      </w:r>
      <w:r w:rsidRPr="00FA0D37">
        <w:rPr>
          <w:color w:val="993366"/>
        </w:rPr>
        <w:t>SEQUENCE</w:t>
      </w:r>
      <w:r w:rsidRPr="00FA0D37">
        <w:t xml:space="preserve"> {</w:t>
      </w:r>
    </w:p>
    <w:p w14:paraId="5252344B" w14:textId="77777777" w:rsidR="00651368" w:rsidRPr="00FA0D37" w:rsidRDefault="00651368" w:rsidP="00FA0D37">
      <w:pPr>
        <w:pStyle w:val="PL"/>
      </w:pPr>
      <w:r w:rsidRPr="00FA0D37">
        <w:t xml:space="preserve">    mpe-ProhibitTimer-r17               </w:t>
      </w:r>
      <w:r w:rsidRPr="00FA0D37">
        <w:rPr>
          <w:color w:val="993366"/>
        </w:rPr>
        <w:t>ENUMERATED</w:t>
      </w:r>
      <w:r w:rsidRPr="00FA0D37">
        <w:t xml:space="preserve"> {sf0, sf10, sf20, sf50, sf100, sf200, sf500, sf1000},</w:t>
      </w:r>
    </w:p>
    <w:p w14:paraId="36ACF9BD" w14:textId="77777777" w:rsidR="00651368" w:rsidRPr="00FA0D37" w:rsidRDefault="00651368" w:rsidP="00FA0D37">
      <w:pPr>
        <w:pStyle w:val="PL"/>
      </w:pPr>
      <w:r w:rsidRPr="00FA0D37">
        <w:t xml:space="preserve">    mpe-Threshold-r17                   </w:t>
      </w:r>
      <w:r w:rsidRPr="00FA0D37">
        <w:rPr>
          <w:color w:val="993366"/>
        </w:rPr>
        <w:t>ENUMERATED</w:t>
      </w:r>
      <w:r w:rsidRPr="00FA0D37">
        <w:t xml:space="preserve"> {dB3, dB6, dB9, dB12},</w:t>
      </w:r>
    </w:p>
    <w:p w14:paraId="24F58EFE" w14:textId="10C772F9" w:rsidR="00651368" w:rsidRPr="00FA0D37" w:rsidRDefault="00651368" w:rsidP="00FA0D37">
      <w:pPr>
        <w:pStyle w:val="PL"/>
      </w:pPr>
      <w:r w:rsidRPr="00FA0D37">
        <w:t xml:space="preserve">    numberOfN-r17                       </w:t>
      </w:r>
      <w:r w:rsidRPr="00FA0D37">
        <w:rPr>
          <w:color w:val="993366"/>
        </w:rPr>
        <w:t>INTEGER</w:t>
      </w:r>
      <w:r w:rsidR="00D230C3" w:rsidRPr="00FA0D37">
        <w:t>(</w:t>
      </w:r>
      <w:r w:rsidRPr="00FA0D37">
        <w:t>1..4</w:t>
      </w:r>
      <w:r w:rsidR="00D230C3" w:rsidRPr="00FA0D37">
        <w:t>)</w:t>
      </w:r>
      <w:r w:rsidRPr="00FA0D37">
        <w:t>,</w:t>
      </w:r>
    </w:p>
    <w:p w14:paraId="4B7BAF61" w14:textId="77777777" w:rsidR="00651368" w:rsidRPr="00FA0D37" w:rsidRDefault="00651368" w:rsidP="00FA0D37">
      <w:pPr>
        <w:pStyle w:val="PL"/>
      </w:pPr>
      <w:r w:rsidRPr="00FA0D37">
        <w:t xml:space="preserve">    ...</w:t>
      </w:r>
    </w:p>
    <w:p w14:paraId="6304012A" w14:textId="77777777" w:rsidR="00651368" w:rsidRPr="00FA0D37" w:rsidRDefault="00651368" w:rsidP="00FA0D37">
      <w:pPr>
        <w:pStyle w:val="PL"/>
      </w:pPr>
      <w:r w:rsidRPr="00FA0D37">
        <w:t>}</w:t>
      </w:r>
    </w:p>
    <w:p w14:paraId="1E8C184D" w14:textId="77777777" w:rsidR="00651368" w:rsidRPr="00FA0D37" w:rsidRDefault="00651368" w:rsidP="00FA0D37">
      <w:pPr>
        <w:pStyle w:val="PL"/>
      </w:pPr>
    </w:p>
    <w:p w14:paraId="7E0A4BAE" w14:textId="77777777" w:rsidR="00394471" w:rsidRPr="00FA0D37" w:rsidRDefault="00394471" w:rsidP="00FA0D37">
      <w:pPr>
        <w:pStyle w:val="PL"/>
        <w:rPr>
          <w:color w:val="808080"/>
        </w:rPr>
      </w:pPr>
      <w:r w:rsidRPr="00FA0D37">
        <w:rPr>
          <w:color w:val="808080"/>
        </w:rPr>
        <w:t>-- TAG-PHR-CONFIG-STOP</w:t>
      </w:r>
    </w:p>
    <w:p w14:paraId="6C065722" w14:textId="77777777" w:rsidR="00394471" w:rsidRPr="00FA0D37" w:rsidRDefault="00394471" w:rsidP="00FA0D37">
      <w:pPr>
        <w:pStyle w:val="PL"/>
        <w:rPr>
          <w:color w:val="808080"/>
        </w:rPr>
      </w:pPr>
      <w:r w:rsidRPr="00FA0D37">
        <w:rPr>
          <w:color w:val="808080"/>
        </w:rPr>
        <w:t>-- ASN1STOP</w:t>
      </w:r>
    </w:p>
    <w:p w14:paraId="4A49962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FA0D37" w:rsidRDefault="00394471" w:rsidP="00964CC4">
            <w:pPr>
              <w:pStyle w:val="TAH"/>
              <w:rPr>
                <w:szCs w:val="22"/>
                <w:lang w:eastAsia="sv-SE"/>
              </w:rPr>
            </w:pPr>
            <w:r w:rsidRPr="00FA0D37">
              <w:rPr>
                <w:i/>
                <w:szCs w:val="22"/>
                <w:lang w:eastAsia="sv-SE"/>
              </w:rPr>
              <w:lastRenderedPageBreak/>
              <w:t xml:space="preserve">PHR-Config </w:t>
            </w:r>
            <w:r w:rsidRPr="00FA0D37">
              <w:rPr>
                <w:szCs w:val="22"/>
                <w:lang w:eastAsia="sv-SE"/>
              </w:rPr>
              <w:t>field descriptions</w:t>
            </w:r>
          </w:p>
        </w:tc>
      </w:tr>
      <w:tr w:rsidR="005C7FF4" w:rsidRPr="00FA0D37"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FA0D37" w:rsidRDefault="00394471" w:rsidP="00964CC4">
            <w:pPr>
              <w:pStyle w:val="TAL"/>
              <w:rPr>
                <w:szCs w:val="22"/>
                <w:lang w:eastAsia="sv-SE"/>
              </w:rPr>
            </w:pPr>
            <w:r w:rsidRPr="00FA0D37">
              <w:rPr>
                <w:b/>
                <w:i/>
                <w:szCs w:val="22"/>
                <w:lang w:eastAsia="sv-SE"/>
              </w:rPr>
              <w:t>dummy</w:t>
            </w:r>
          </w:p>
          <w:p w14:paraId="53808F42" w14:textId="77777777" w:rsidR="00394471" w:rsidRPr="00FA0D37" w:rsidRDefault="00394471" w:rsidP="00964CC4">
            <w:pPr>
              <w:pStyle w:val="TAL"/>
              <w:rPr>
                <w:szCs w:val="22"/>
                <w:lang w:eastAsia="sv-SE"/>
              </w:rPr>
            </w:pPr>
            <w:r w:rsidRPr="00FA0D37">
              <w:rPr>
                <w:szCs w:val="22"/>
                <w:lang w:eastAsia="sv-SE"/>
              </w:rPr>
              <w:t>This field is not used in this version of the specification and the UE ignores the received value.</w:t>
            </w:r>
          </w:p>
        </w:tc>
      </w:tr>
      <w:tr w:rsidR="005C7FF4" w:rsidRPr="00FA0D37"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FA0D37" w:rsidRDefault="00394471" w:rsidP="00964CC4">
            <w:pPr>
              <w:pStyle w:val="TAL"/>
              <w:rPr>
                <w:b/>
                <w:bCs/>
                <w:i/>
                <w:iCs/>
              </w:rPr>
            </w:pPr>
            <w:r w:rsidRPr="00FA0D37">
              <w:rPr>
                <w:b/>
                <w:bCs/>
                <w:i/>
                <w:iCs/>
              </w:rPr>
              <w:t>mpe-ProhibitTimer</w:t>
            </w:r>
          </w:p>
          <w:p w14:paraId="43C5008E" w14:textId="77777777" w:rsidR="00394471" w:rsidRPr="00FA0D37" w:rsidRDefault="00394471" w:rsidP="00964CC4">
            <w:pPr>
              <w:pStyle w:val="TAL"/>
            </w:pPr>
            <w:r w:rsidRPr="00FA0D37">
              <w:t>Value in number of subframes for MPE reporting, as specified in TS 38.321 [3]. Value sf10 corresponds to 10 subframes, and so on.</w:t>
            </w:r>
          </w:p>
        </w:tc>
      </w:tr>
      <w:tr w:rsidR="005C7FF4" w:rsidRPr="00FA0D37"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FA0D37" w:rsidRDefault="00394471" w:rsidP="00964CC4">
            <w:pPr>
              <w:pStyle w:val="TAL"/>
              <w:rPr>
                <w:b/>
                <w:bCs/>
                <w:i/>
                <w:iCs/>
              </w:rPr>
            </w:pPr>
            <w:r w:rsidRPr="00FA0D37">
              <w:rPr>
                <w:b/>
                <w:bCs/>
                <w:i/>
                <w:iCs/>
              </w:rPr>
              <w:t>mpe-Reporting-FR2</w:t>
            </w:r>
          </w:p>
          <w:p w14:paraId="5D7AD03B" w14:textId="77777777" w:rsidR="00394471" w:rsidRPr="00FA0D37" w:rsidRDefault="00394471" w:rsidP="00964CC4">
            <w:pPr>
              <w:pStyle w:val="TAL"/>
              <w:rPr>
                <w:lang w:eastAsia="sv-SE"/>
              </w:rPr>
            </w:pPr>
            <w:r w:rsidRPr="00FA0D37">
              <w:t>Indicates whether the UE shall report MPE P-MPR in the PHR MAC control element, as specified in TS 38.321 [3].</w:t>
            </w:r>
          </w:p>
        </w:tc>
      </w:tr>
      <w:tr w:rsidR="005C7FF4" w:rsidRPr="00FA0D37"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FA0D37" w:rsidRDefault="00394471" w:rsidP="00964CC4">
            <w:pPr>
              <w:pStyle w:val="TAL"/>
              <w:rPr>
                <w:b/>
                <w:bCs/>
                <w:i/>
                <w:iCs/>
              </w:rPr>
            </w:pPr>
            <w:r w:rsidRPr="00FA0D37">
              <w:rPr>
                <w:b/>
                <w:bCs/>
                <w:i/>
                <w:iCs/>
              </w:rPr>
              <w:t>mpe-Threshold</w:t>
            </w:r>
          </w:p>
          <w:p w14:paraId="76670793" w14:textId="77777777" w:rsidR="00394471" w:rsidRPr="00FA0D37" w:rsidRDefault="00394471" w:rsidP="00964CC4">
            <w:pPr>
              <w:pStyle w:val="TAL"/>
            </w:pPr>
            <w:r w:rsidRPr="00FA0D37">
              <w:t>Value of the P-MPR threshold in dB for reporting MPE P-MPR when FR2 is configured, as specified in TS 38.321 [3]. The same value applies for each serving cell (although the associated functionality is performed independently for each cell).</w:t>
            </w:r>
          </w:p>
        </w:tc>
      </w:tr>
      <w:tr w:rsidR="005C7FF4" w:rsidRPr="00FA0D37"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FA0D37" w:rsidRDefault="00394471" w:rsidP="00964CC4">
            <w:pPr>
              <w:pStyle w:val="TAL"/>
              <w:rPr>
                <w:szCs w:val="22"/>
                <w:lang w:eastAsia="sv-SE"/>
              </w:rPr>
            </w:pPr>
            <w:r w:rsidRPr="00FA0D37">
              <w:rPr>
                <w:b/>
                <w:i/>
                <w:szCs w:val="22"/>
                <w:lang w:eastAsia="sv-SE"/>
              </w:rPr>
              <w:t>multiplePHR</w:t>
            </w:r>
          </w:p>
          <w:p w14:paraId="707C0A11" w14:textId="77777777" w:rsidR="00394471" w:rsidRPr="00FA0D37" w:rsidRDefault="00394471" w:rsidP="00964CC4">
            <w:pPr>
              <w:pStyle w:val="TAL"/>
              <w:rPr>
                <w:szCs w:val="22"/>
                <w:lang w:eastAsia="sv-SE"/>
              </w:rPr>
            </w:pPr>
            <w:r w:rsidRPr="00FA0D37">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A0D37">
              <w:rPr>
                <w:i/>
                <w:szCs w:val="22"/>
                <w:lang w:eastAsia="sv-SE"/>
              </w:rPr>
              <w:t>true</w:t>
            </w:r>
            <w:r w:rsidRPr="00FA0D37">
              <w:rPr>
                <w:szCs w:val="22"/>
                <w:lang w:eastAsia="sv-SE"/>
              </w:rPr>
              <w:t xml:space="preserve"> for MR-DC and UL CA for NR, and to </w:t>
            </w:r>
            <w:r w:rsidRPr="00FA0D37">
              <w:rPr>
                <w:i/>
                <w:szCs w:val="22"/>
                <w:lang w:eastAsia="sv-SE"/>
              </w:rPr>
              <w:t>false</w:t>
            </w:r>
            <w:r w:rsidRPr="00FA0D37">
              <w:rPr>
                <w:szCs w:val="22"/>
                <w:lang w:eastAsia="sv-SE"/>
              </w:rPr>
              <w:t xml:space="preserve"> in all other cases.</w:t>
            </w:r>
          </w:p>
        </w:tc>
      </w:tr>
      <w:tr w:rsidR="005C7FF4" w:rsidRPr="00FA0D37"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FA0D37" w:rsidRDefault="00651368" w:rsidP="00771058">
            <w:pPr>
              <w:pStyle w:val="TAL"/>
              <w:rPr>
                <w:b/>
                <w:i/>
                <w:szCs w:val="22"/>
                <w:lang w:eastAsia="sv-SE"/>
              </w:rPr>
            </w:pPr>
            <w:r w:rsidRPr="00FA0D37">
              <w:rPr>
                <w:b/>
                <w:i/>
                <w:szCs w:val="22"/>
                <w:lang w:eastAsia="sv-SE"/>
              </w:rPr>
              <w:t>numberOfN</w:t>
            </w:r>
          </w:p>
          <w:p w14:paraId="4CDA5274" w14:textId="110FEA77" w:rsidR="00651368" w:rsidRPr="00FA0D37" w:rsidRDefault="00651368" w:rsidP="00771058">
            <w:pPr>
              <w:pStyle w:val="TAL"/>
              <w:rPr>
                <w:b/>
                <w:i/>
                <w:szCs w:val="22"/>
                <w:lang w:eastAsia="sv-SE"/>
              </w:rPr>
            </w:pPr>
            <w:r w:rsidRPr="00FA0D37">
              <w:rPr>
                <w:bCs/>
                <w:iCs/>
                <w:szCs w:val="22"/>
                <w:lang w:eastAsia="sv-SE"/>
              </w:rPr>
              <w:t>Number of reported P-MPR values in a PHR MAC CE.</w:t>
            </w:r>
          </w:p>
        </w:tc>
      </w:tr>
      <w:tr w:rsidR="005C7FF4" w:rsidRPr="00FA0D37"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FA0D37" w:rsidRDefault="00394471" w:rsidP="00964CC4">
            <w:pPr>
              <w:pStyle w:val="TAL"/>
              <w:rPr>
                <w:szCs w:val="22"/>
                <w:lang w:eastAsia="sv-SE"/>
              </w:rPr>
            </w:pPr>
            <w:r w:rsidRPr="00FA0D37">
              <w:rPr>
                <w:b/>
                <w:i/>
                <w:szCs w:val="22"/>
                <w:lang w:eastAsia="sv-SE"/>
              </w:rPr>
              <w:t>phr-ModeOtherCG</w:t>
            </w:r>
          </w:p>
          <w:p w14:paraId="6286F3FC" w14:textId="77777777" w:rsidR="00394471" w:rsidRPr="00FA0D37" w:rsidRDefault="00394471" w:rsidP="00964CC4">
            <w:pPr>
              <w:pStyle w:val="TAL"/>
              <w:rPr>
                <w:szCs w:val="22"/>
                <w:lang w:eastAsia="sv-SE"/>
              </w:rPr>
            </w:pPr>
            <w:r w:rsidRPr="00FA0D37">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5C7FF4" w:rsidRPr="00FA0D37"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FA0D37" w:rsidRDefault="00394471" w:rsidP="00964CC4">
            <w:pPr>
              <w:pStyle w:val="TAL"/>
              <w:rPr>
                <w:szCs w:val="22"/>
                <w:lang w:eastAsia="sv-SE"/>
              </w:rPr>
            </w:pPr>
            <w:r w:rsidRPr="00FA0D37">
              <w:rPr>
                <w:b/>
                <w:i/>
                <w:szCs w:val="22"/>
                <w:lang w:eastAsia="sv-SE"/>
              </w:rPr>
              <w:t>phr-PeriodicTimer</w:t>
            </w:r>
          </w:p>
          <w:p w14:paraId="09D1B934" w14:textId="77777777" w:rsidR="00394471" w:rsidRPr="00FA0D37" w:rsidRDefault="00394471" w:rsidP="00964CC4">
            <w:pPr>
              <w:pStyle w:val="TAL"/>
              <w:rPr>
                <w:szCs w:val="22"/>
                <w:lang w:eastAsia="sv-SE"/>
              </w:rPr>
            </w:pPr>
            <w:r w:rsidRPr="00FA0D37">
              <w:rPr>
                <w:szCs w:val="22"/>
                <w:lang w:eastAsia="sv-SE"/>
              </w:rPr>
              <w:t xml:space="preserve">Value in number of subframes for PHR reporting as specified in TS 38.321 [3]. Value </w:t>
            </w:r>
            <w:r w:rsidRPr="00FA0D37">
              <w:rPr>
                <w:i/>
                <w:szCs w:val="22"/>
                <w:lang w:eastAsia="sv-SE"/>
              </w:rPr>
              <w:t>sf10</w:t>
            </w:r>
            <w:r w:rsidRPr="00FA0D37">
              <w:rPr>
                <w:szCs w:val="22"/>
                <w:lang w:eastAsia="sv-SE"/>
              </w:rPr>
              <w:t xml:space="preserve"> corresponds to 10 subframes, value </w:t>
            </w:r>
            <w:r w:rsidRPr="00FA0D37">
              <w:rPr>
                <w:i/>
                <w:szCs w:val="22"/>
                <w:lang w:eastAsia="sv-SE"/>
              </w:rPr>
              <w:t>sf20</w:t>
            </w:r>
            <w:r w:rsidRPr="00FA0D37">
              <w:rPr>
                <w:szCs w:val="22"/>
                <w:lang w:eastAsia="sv-SE"/>
              </w:rPr>
              <w:t xml:space="preserve"> corresponds to 20 subframes, and so on.</w:t>
            </w:r>
          </w:p>
        </w:tc>
      </w:tr>
      <w:tr w:rsidR="005C7FF4" w:rsidRPr="00FA0D37"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FA0D37" w:rsidRDefault="00394471" w:rsidP="00964CC4">
            <w:pPr>
              <w:pStyle w:val="TAL"/>
              <w:rPr>
                <w:szCs w:val="22"/>
                <w:lang w:eastAsia="sv-SE"/>
              </w:rPr>
            </w:pPr>
            <w:r w:rsidRPr="00FA0D37">
              <w:rPr>
                <w:b/>
                <w:i/>
                <w:szCs w:val="22"/>
                <w:lang w:eastAsia="sv-SE"/>
              </w:rPr>
              <w:t>phr-ProhibitTimer</w:t>
            </w:r>
          </w:p>
          <w:p w14:paraId="0865DB7A" w14:textId="77777777" w:rsidR="00394471" w:rsidRPr="00FA0D37" w:rsidRDefault="00394471" w:rsidP="00964CC4">
            <w:pPr>
              <w:pStyle w:val="TAL"/>
              <w:rPr>
                <w:szCs w:val="22"/>
                <w:lang w:eastAsia="sv-SE"/>
              </w:rPr>
            </w:pPr>
            <w:r w:rsidRPr="00FA0D37">
              <w:rPr>
                <w:szCs w:val="22"/>
                <w:lang w:eastAsia="sv-SE"/>
              </w:rPr>
              <w:t xml:space="preserve">Value in number of subframes for PHR reporting as specified in TS 38.321 [3]. Value </w:t>
            </w:r>
            <w:r w:rsidRPr="00FA0D37">
              <w:rPr>
                <w:i/>
                <w:szCs w:val="22"/>
                <w:lang w:eastAsia="sv-SE"/>
              </w:rPr>
              <w:t>sf0</w:t>
            </w:r>
            <w:r w:rsidRPr="00FA0D37">
              <w:rPr>
                <w:szCs w:val="22"/>
                <w:lang w:eastAsia="sv-SE"/>
              </w:rPr>
              <w:t xml:space="preserve"> corresponds to 0 subframe, value </w:t>
            </w:r>
            <w:r w:rsidRPr="00FA0D37">
              <w:rPr>
                <w:i/>
                <w:szCs w:val="22"/>
                <w:lang w:eastAsia="sv-SE"/>
              </w:rPr>
              <w:t>sf10</w:t>
            </w:r>
            <w:r w:rsidRPr="00FA0D37">
              <w:rPr>
                <w:szCs w:val="22"/>
                <w:lang w:eastAsia="sv-SE"/>
              </w:rPr>
              <w:t xml:space="preserve"> corresponds to 10 subframes, value </w:t>
            </w:r>
            <w:r w:rsidRPr="00FA0D37">
              <w:rPr>
                <w:i/>
                <w:szCs w:val="22"/>
                <w:lang w:eastAsia="sv-SE"/>
              </w:rPr>
              <w:t>sf20</w:t>
            </w:r>
            <w:r w:rsidRPr="00FA0D37">
              <w:rPr>
                <w:szCs w:val="22"/>
                <w:lang w:eastAsia="sv-SE"/>
              </w:rPr>
              <w:t xml:space="preserve"> corresponds to 20 subframes, and so on.</w:t>
            </w:r>
          </w:p>
        </w:tc>
      </w:tr>
      <w:tr w:rsidR="005C7FF4" w:rsidRPr="00FA0D37"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FA0D37" w:rsidRDefault="00394471" w:rsidP="00964CC4">
            <w:pPr>
              <w:pStyle w:val="TAL"/>
              <w:rPr>
                <w:szCs w:val="22"/>
                <w:lang w:eastAsia="sv-SE"/>
              </w:rPr>
            </w:pPr>
            <w:r w:rsidRPr="00FA0D37">
              <w:rPr>
                <w:b/>
                <w:i/>
                <w:szCs w:val="22"/>
                <w:lang w:eastAsia="sv-SE"/>
              </w:rPr>
              <w:t>phr-Tx-PowerFactorChange</w:t>
            </w:r>
          </w:p>
          <w:p w14:paraId="39A530FD" w14:textId="77777777" w:rsidR="00394471" w:rsidRPr="00FA0D37" w:rsidRDefault="00394471" w:rsidP="00964CC4">
            <w:pPr>
              <w:pStyle w:val="TAL"/>
              <w:rPr>
                <w:szCs w:val="22"/>
                <w:lang w:eastAsia="sv-SE"/>
              </w:rPr>
            </w:pPr>
            <w:r w:rsidRPr="00FA0D37">
              <w:rPr>
                <w:szCs w:val="22"/>
                <w:lang w:eastAsia="sv-SE"/>
              </w:rPr>
              <w:t xml:space="preserve">Value in dB for PHR reporting as specified in TS 38.321 [3]. Value </w:t>
            </w:r>
            <w:r w:rsidRPr="00FA0D37">
              <w:rPr>
                <w:i/>
                <w:szCs w:val="22"/>
                <w:lang w:eastAsia="sv-SE"/>
              </w:rPr>
              <w:t>dB1</w:t>
            </w:r>
            <w:r w:rsidRPr="00FA0D37">
              <w:rPr>
                <w:szCs w:val="22"/>
                <w:lang w:eastAsia="sv-SE"/>
              </w:rPr>
              <w:t xml:space="preserve"> corresponds to 1 dB, </w:t>
            </w:r>
            <w:r w:rsidRPr="00FA0D37">
              <w:rPr>
                <w:i/>
                <w:szCs w:val="22"/>
                <w:lang w:eastAsia="sv-SE"/>
              </w:rPr>
              <w:t>dB3</w:t>
            </w:r>
            <w:r w:rsidRPr="00FA0D37">
              <w:rPr>
                <w:szCs w:val="22"/>
                <w:lang w:eastAsia="sv-SE"/>
              </w:rPr>
              <w:t xml:space="preserve"> corresponds to 3 dB and so on. The same value applies for each serving cell (although the associated functionality is performed independently for each cell).</w:t>
            </w:r>
          </w:p>
        </w:tc>
      </w:tr>
      <w:tr w:rsidR="005C7FF4" w:rsidRPr="00FA0D37"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FA0D37" w:rsidRDefault="00394471" w:rsidP="00964CC4">
            <w:pPr>
              <w:pStyle w:val="TAL"/>
              <w:rPr>
                <w:szCs w:val="22"/>
                <w:lang w:eastAsia="sv-SE"/>
              </w:rPr>
            </w:pPr>
            <w:r w:rsidRPr="00FA0D37">
              <w:rPr>
                <w:b/>
                <w:i/>
                <w:szCs w:val="22"/>
                <w:lang w:eastAsia="sv-SE"/>
              </w:rPr>
              <w:t>phr-Type2OtherCell</w:t>
            </w:r>
          </w:p>
          <w:p w14:paraId="0A3F4F43" w14:textId="77777777" w:rsidR="00394471" w:rsidRPr="00FA0D37" w:rsidRDefault="00394471" w:rsidP="00964CC4">
            <w:pPr>
              <w:pStyle w:val="TAL"/>
              <w:rPr>
                <w:szCs w:val="22"/>
                <w:lang w:eastAsia="sv-SE"/>
              </w:rPr>
            </w:pPr>
            <w:r w:rsidRPr="00FA0D37">
              <w:rPr>
                <w:szCs w:val="22"/>
                <w:lang w:eastAsia="sv-SE"/>
              </w:rPr>
              <w:t xml:space="preserve">If set to true, the UE shall report a PHR type 2 for the SpCell of the other MAC entity. See TS 38.321 [3], clause 5.4.6. Network sets this field to </w:t>
            </w:r>
            <w:r w:rsidRPr="00FA0D37">
              <w:rPr>
                <w:i/>
                <w:szCs w:val="22"/>
                <w:lang w:eastAsia="sv-SE"/>
              </w:rPr>
              <w:t>false</w:t>
            </w:r>
            <w:r w:rsidRPr="00FA0D37">
              <w:rPr>
                <w:szCs w:val="22"/>
                <w:lang w:eastAsia="sv-SE"/>
              </w:rPr>
              <w:t xml:space="preserve"> if the UE is not configured with an E-UTRA MAC entity.</w:t>
            </w:r>
          </w:p>
        </w:tc>
      </w:tr>
      <w:tr w:rsidR="000830BB" w:rsidRPr="00FA0D37"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FA0D37" w:rsidRDefault="00651368" w:rsidP="00771058">
            <w:pPr>
              <w:pStyle w:val="TAL"/>
              <w:rPr>
                <w:b/>
                <w:i/>
                <w:szCs w:val="22"/>
                <w:lang w:eastAsia="sv-SE"/>
              </w:rPr>
            </w:pPr>
            <w:r w:rsidRPr="00FA0D37">
              <w:rPr>
                <w:b/>
                <w:i/>
                <w:szCs w:val="22"/>
                <w:lang w:eastAsia="sv-SE"/>
              </w:rPr>
              <w:t>twoPHRMode</w:t>
            </w:r>
          </w:p>
          <w:p w14:paraId="5417D323" w14:textId="77777777" w:rsidR="00651368" w:rsidRPr="00FA0D37" w:rsidRDefault="00651368" w:rsidP="00771058">
            <w:pPr>
              <w:pStyle w:val="TAL"/>
              <w:rPr>
                <w:bCs/>
                <w:iCs/>
                <w:szCs w:val="22"/>
                <w:lang w:eastAsia="sv-SE"/>
              </w:rPr>
            </w:pPr>
            <w:r w:rsidRPr="00FA0D37">
              <w:rPr>
                <w:bCs/>
                <w:iCs/>
                <w:szCs w:val="22"/>
                <w:lang w:eastAsia="sv-SE"/>
              </w:rPr>
              <w:t>Indicates if the power headroom shall be reported as two PHRs (each PHR associated with a SRS resource set) is enabled or not.</w:t>
            </w:r>
          </w:p>
        </w:tc>
      </w:tr>
    </w:tbl>
    <w:p w14:paraId="0AA7A912" w14:textId="77777777" w:rsidR="00394471" w:rsidRPr="00FA0D37" w:rsidRDefault="00394471" w:rsidP="00394471"/>
    <w:p w14:paraId="5D0DC41F" w14:textId="77777777" w:rsidR="00394471" w:rsidRPr="00FA0D37" w:rsidRDefault="00394471" w:rsidP="00394471">
      <w:pPr>
        <w:pStyle w:val="4"/>
        <w:rPr>
          <w:i/>
          <w:noProof/>
        </w:rPr>
      </w:pPr>
      <w:bookmarkStart w:id="1227" w:name="_Toc60777306"/>
      <w:bookmarkStart w:id="1228" w:name="_Toc146781385"/>
      <w:r w:rsidRPr="00FA0D37">
        <w:t>–</w:t>
      </w:r>
      <w:r w:rsidRPr="00FA0D37">
        <w:tab/>
      </w:r>
      <w:r w:rsidRPr="00FA0D37">
        <w:rPr>
          <w:i/>
        </w:rPr>
        <w:t>PhysCellId</w:t>
      </w:r>
      <w:bookmarkEnd w:id="1227"/>
      <w:bookmarkEnd w:id="1228"/>
    </w:p>
    <w:p w14:paraId="7429B605" w14:textId="77777777" w:rsidR="00394471" w:rsidRPr="00FA0D37" w:rsidRDefault="00394471" w:rsidP="00394471">
      <w:r w:rsidRPr="00FA0D37">
        <w:t xml:space="preserve">The </w:t>
      </w:r>
      <w:r w:rsidRPr="00FA0D37">
        <w:rPr>
          <w:i/>
        </w:rPr>
        <w:t xml:space="preserve">PhysCellId </w:t>
      </w:r>
      <w:r w:rsidRPr="00FA0D37">
        <w:t>identifies the physical cell identity (PCI).</w:t>
      </w:r>
    </w:p>
    <w:p w14:paraId="7F38D912" w14:textId="77777777" w:rsidR="00394471" w:rsidRPr="00FA0D37" w:rsidRDefault="00394471" w:rsidP="00394471">
      <w:pPr>
        <w:pStyle w:val="TH"/>
      </w:pPr>
      <w:r w:rsidRPr="00FA0D37">
        <w:rPr>
          <w:i/>
        </w:rPr>
        <w:t xml:space="preserve">PhysCellId </w:t>
      </w:r>
      <w:r w:rsidRPr="00FA0D37">
        <w:t>information element</w:t>
      </w:r>
    </w:p>
    <w:p w14:paraId="42EC8019" w14:textId="77777777" w:rsidR="00394471" w:rsidRPr="00FA0D37" w:rsidRDefault="00394471" w:rsidP="00FA0D37">
      <w:pPr>
        <w:pStyle w:val="PL"/>
        <w:rPr>
          <w:color w:val="808080"/>
        </w:rPr>
      </w:pPr>
      <w:r w:rsidRPr="00FA0D37">
        <w:rPr>
          <w:color w:val="808080"/>
        </w:rPr>
        <w:t>-- ASN1START</w:t>
      </w:r>
    </w:p>
    <w:p w14:paraId="05FB22F7" w14:textId="77777777" w:rsidR="00394471" w:rsidRPr="00FA0D37" w:rsidRDefault="00394471" w:rsidP="00FA0D37">
      <w:pPr>
        <w:pStyle w:val="PL"/>
        <w:rPr>
          <w:color w:val="808080"/>
        </w:rPr>
      </w:pPr>
      <w:r w:rsidRPr="00FA0D37">
        <w:rPr>
          <w:color w:val="808080"/>
        </w:rPr>
        <w:t>-- TAG-PHYSCELLID-START</w:t>
      </w:r>
    </w:p>
    <w:p w14:paraId="0E791614" w14:textId="77777777" w:rsidR="00394471" w:rsidRPr="00FA0D37" w:rsidRDefault="00394471" w:rsidP="00FA0D37">
      <w:pPr>
        <w:pStyle w:val="PL"/>
      </w:pPr>
    </w:p>
    <w:p w14:paraId="5650C785" w14:textId="77777777" w:rsidR="00394471" w:rsidRPr="00FA0D37" w:rsidRDefault="00394471" w:rsidP="00FA0D37">
      <w:pPr>
        <w:pStyle w:val="PL"/>
      </w:pPr>
      <w:r w:rsidRPr="00FA0D37">
        <w:t xml:space="preserve">PhysCellId ::=                      </w:t>
      </w:r>
      <w:r w:rsidRPr="00FA0D37">
        <w:rPr>
          <w:color w:val="993366"/>
        </w:rPr>
        <w:t>INTEGER</w:t>
      </w:r>
      <w:r w:rsidRPr="00FA0D37">
        <w:t xml:space="preserve"> (0..1007)</w:t>
      </w:r>
    </w:p>
    <w:p w14:paraId="74031361" w14:textId="77777777" w:rsidR="00394471" w:rsidRPr="00FA0D37" w:rsidRDefault="00394471" w:rsidP="00FA0D37">
      <w:pPr>
        <w:pStyle w:val="PL"/>
      </w:pPr>
    </w:p>
    <w:p w14:paraId="350B56D1" w14:textId="77777777" w:rsidR="00394471" w:rsidRPr="00FA0D37" w:rsidRDefault="00394471" w:rsidP="00FA0D37">
      <w:pPr>
        <w:pStyle w:val="PL"/>
        <w:rPr>
          <w:color w:val="808080"/>
        </w:rPr>
      </w:pPr>
      <w:r w:rsidRPr="00FA0D37">
        <w:rPr>
          <w:color w:val="808080"/>
        </w:rPr>
        <w:t>-- TAG-PHYSCELLID-STOP</w:t>
      </w:r>
    </w:p>
    <w:p w14:paraId="0F0E5D08" w14:textId="77777777" w:rsidR="00394471" w:rsidRPr="00FA0D37" w:rsidRDefault="00394471" w:rsidP="00FA0D37">
      <w:pPr>
        <w:pStyle w:val="PL"/>
        <w:rPr>
          <w:color w:val="808080"/>
        </w:rPr>
      </w:pPr>
      <w:r w:rsidRPr="00FA0D37">
        <w:rPr>
          <w:color w:val="808080"/>
        </w:rPr>
        <w:t>-- ASN1STOP</w:t>
      </w:r>
    </w:p>
    <w:p w14:paraId="3513ABDD" w14:textId="77777777" w:rsidR="00394471" w:rsidRPr="00FA0D37" w:rsidRDefault="00394471" w:rsidP="00394471"/>
    <w:p w14:paraId="4EB4FA5A" w14:textId="77777777" w:rsidR="00394471" w:rsidRPr="00FA0D37" w:rsidRDefault="00394471" w:rsidP="00394471">
      <w:pPr>
        <w:pStyle w:val="4"/>
      </w:pPr>
      <w:bookmarkStart w:id="1229" w:name="_Toc60777307"/>
      <w:bookmarkStart w:id="1230" w:name="_Toc146781386"/>
      <w:r w:rsidRPr="00FA0D37">
        <w:t>–</w:t>
      </w:r>
      <w:r w:rsidRPr="00FA0D37">
        <w:tab/>
      </w:r>
      <w:r w:rsidRPr="00FA0D37">
        <w:rPr>
          <w:i/>
        </w:rPr>
        <w:t>PhysicalCellGroupConfig</w:t>
      </w:r>
      <w:bookmarkEnd w:id="1229"/>
      <w:bookmarkEnd w:id="1230"/>
    </w:p>
    <w:p w14:paraId="0FF529F6" w14:textId="77777777" w:rsidR="00394471" w:rsidRPr="00FA0D37" w:rsidRDefault="00394471" w:rsidP="00394471">
      <w:r w:rsidRPr="00FA0D37">
        <w:t xml:space="preserve">The IE </w:t>
      </w:r>
      <w:r w:rsidRPr="00FA0D37">
        <w:rPr>
          <w:i/>
        </w:rPr>
        <w:t>PhysicalCellGroupConfig</w:t>
      </w:r>
      <w:r w:rsidRPr="00FA0D37">
        <w:t xml:space="preserve"> is used to configure cell-group specific L1 parameters.</w:t>
      </w:r>
    </w:p>
    <w:p w14:paraId="4B577EFC" w14:textId="77777777" w:rsidR="00394471" w:rsidRPr="00FA0D37" w:rsidRDefault="00394471" w:rsidP="00394471">
      <w:pPr>
        <w:pStyle w:val="TH"/>
      </w:pPr>
      <w:r w:rsidRPr="00FA0D37">
        <w:rPr>
          <w:i/>
        </w:rPr>
        <w:t>PhysicalCellGroupConfig</w:t>
      </w:r>
      <w:r w:rsidRPr="00FA0D37">
        <w:t xml:space="preserve"> information element</w:t>
      </w:r>
    </w:p>
    <w:p w14:paraId="76AF615C" w14:textId="77777777" w:rsidR="00394471" w:rsidRPr="00FA0D37" w:rsidRDefault="00394471" w:rsidP="00FA0D37">
      <w:pPr>
        <w:pStyle w:val="PL"/>
        <w:rPr>
          <w:color w:val="808080"/>
        </w:rPr>
      </w:pPr>
      <w:r w:rsidRPr="00FA0D37">
        <w:rPr>
          <w:color w:val="808080"/>
        </w:rPr>
        <w:t>-- ASN1START</w:t>
      </w:r>
    </w:p>
    <w:p w14:paraId="41370221" w14:textId="77777777" w:rsidR="00394471" w:rsidRPr="00FA0D37" w:rsidRDefault="00394471" w:rsidP="00FA0D37">
      <w:pPr>
        <w:pStyle w:val="PL"/>
        <w:rPr>
          <w:color w:val="808080"/>
        </w:rPr>
      </w:pPr>
      <w:r w:rsidRPr="00FA0D37">
        <w:rPr>
          <w:color w:val="808080"/>
        </w:rPr>
        <w:t>-- TAG-PHYSICALCELLGROUPCONFIG-START</w:t>
      </w:r>
    </w:p>
    <w:p w14:paraId="765981A1" w14:textId="77777777" w:rsidR="00394471" w:rsidRPr="00FA0D37" w:rsidRDefault="00394471" w:rsidP="00FA0D37">
      <w:pPr>
        <w:pStyle w:val="PL"/>
      </w:pPr>
    </w:p>
    <w:p w14:paraId="62CEEEEE" w14:textId="77777777" w:rsidR="00394471" w:rsidRPr="00FA0D37" w:rsidRDefault="00394471" w:rsidP="00FA0D37">
      <w:pPr>
        <w:pStyle w:val="PL"/>
      </w:pPr>
      <w:r w:rsidRPr="00FA0D37">
        <w:t xml:space="preserve">PhysicalCellGroupConfig ::=         </w:t>
      </w:r>
      <w:r w:rsidRPr="00FA0D37">
        <w:rPr>
          <w:color w:val="993366"/>
        </w:rPr>
        <w:t>SEQUENCE</w:t>
      </w:r>
      <w:r w:rsidRPr="00FA0D37">
        <w:t xml:space="preserve"> {</w:t>
      </w:r>
    </w:p>
    <w:p w14:paraId="37B0FA9A" w14:textId="77777777" w:rsidR="00394471" w:rsidRPr="00FA0D37" w:rsidRDefault="00394471" w:rsidP="00FA0D37">
      <w:pPr>
        <w:pStyle w:val="PL"/>
        <w:rPr>
          <w:color w:val="808080"/>
        </w:rPr>
      </w:pPr>
      <w:r w:rsidRPr="00FA0D37">
        <w:t xml:space="preserve">    harq-ACK-SpatialBundlingPUCCH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1B8AAD21" w14:textId="77777777" w:rsidR="00394471" w:rsidRPr="00FA0D37" w:rsidRDefault="00394471" w:rsidP="00FA0D37">
      <w:pPr>
        <w:pStyle w:val="PL"/>
        <w:rPr>
          <w:color w:val="808080"/>
        </w:rPr>
      </w:pPr>
      <w:r w:rsidRPr="00FA0D37">
        <w:t xml:space="preserve">    harq-ACK-SpatialBundlingPUSCH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322093E5" w14:textId="77777777" w:rsidR="00394471" w:rsidRPr="00FA0D37" w:rsidRDefault="00394471" w:rsidP="00FA0D37">
      <w:pPr>
        <w:pStyle w:val="PL"/>
        <w:rPr>
          <w:color w:val="808080"/>
        </w:rPr>
      </w:pPr>
      <w:r w:rsidRPr="00FA0D37">
        <w:t xml:space="preserve">    p-NR-FR1                            P-Max                                                           </w:t>
      </w:r>
      <w:r w:rsidRPr="00FA0D37">
        <w:rPr>
          <w:color w:val="993366"/>
        </w:rPr>
        <w:t>OPTIONAL</w:t>
      </w:r>
      <w:r w:rsidRPr="00FA0D37">
        <w:t xml:space="preserve">,   </w:t>
      </w:r>
      <w:r w:rsidRPr="00FA0D37">
        <w:rPr>
          <w:color w:val="808080"/>
        </w:rPr>
        <w:t>-- Need R</w:t>
      </w:r>
    </w:p>
    <w:p w14:paraId="26D687EB" w14:textId="77777777" w:rsidR="00394471" w:rsidRPr="00FA0D37" w:rsidRDefault="00394471" w:rsidP="00FA0D37">
      <w:pPr>
        <w:pStyle w:val="PL"/>
      </w:pPr>
      <w:r w:rsidRPr="00FA0D37">
        <w:t xml:space="preserve">    pdsch-HARQ-ACK-Codebook             </w:t>
      </w:r>
      <w:r w:rsidRPr="00FA0D37">
        <w:rPr>
          <w:color w:val="993366"/>
        </w:rPr>
        <w:t>ENUMERATED</w:t>
      </w:r>
      <w:r w:rsidRPr="00FA0D37">
        <w:t xml:space="preserve"> {semiStatic, dynamic},</w:t>
      </w:r>
    </w:p>
    <w:p w14:paraId="0F29000A" w14:textId="77777777" w:rsidR="00394471" w:rsidRPr="00FA0D37" w:rsidRDefault="00394471" w:rsidP="00FA0D37">
      <w:pPr>
        <w:pStyle w:val="PL"/>
        <w:rPr>
          <w:color w:val="808080"/>
        </w:rPr>
      </w:pPr>
      <w:r w:rsidRPr="00FA0D37">
        <w:t xml:space="preserve">    tpc-SRS-RNTI                        RNTI-Value                                                      </w:t>
      </w:r>
      <w:r w:rsidRPr="00FA0D37">
        <w:rPr>
          <w:color w:val="993366"/>
        </w:rPr>
        <w:t>OPTIONAL</w:t>
      </w:r>
      <w:r w:rsidRPr="00FA0D37">
        <w:t xml:space="preserve">,   </w:t>
      </w:r>
      <w:r w:rsidRPr="00FA0D37">
        <w:rPr>
          <w:color w:val="808080"/>
        </w:rPr>
        <w:t>-- Need R</w:t>
      </w:r>
    </w:p>
    <w:p w14:paraId="32F345EB" w14:textId="77777777" w:rsidR="00394471" w:rsidRPr="00FA0D37" w:rsidRDefault="00394471" w:rsidP="00FA0D37">
      <w:pPr>
        <w:pStyle w:val="PL"/>
        <w:rPr>
          <w:color w:val="808080"/>
        </w:rPr>
      </w:pPr>
      <w:r w:rsidRPr="00FA0D37">
        <w:t xml:space="preserve">    tpc-PUCCH-RNTI                      RNTI-Value                                                      </w:t>
      </w:r>
      <w:r w:rsidRPr="00FA0D37">
        <w:rPr>
          <w:color w:val="993366"/>
        </w:rPr>
        <w:t>OPTIONAL</w:t>
      </w:r>
      <w:r w:rsidRPr="00FA0D37">
        <w:t xml:space="preserve">,   </w:t>
      </w:r>
      <w:r w:rsidRPr="00FA0D37">
        <w:rPr>
          <w:color w:val="808080"/>
        </w:rPr>
        <w:t>-- Need R</w:t>
      </w:r>
    </w:p>
    <w:p w14:paraId="39CE0A62" w14:textId="77777777" w:rsidR="00394471" w:rsidRPr="00FA0D37" w:rsidRDefault="00394471" w:rsidP="00FA0D37">
      <w:pPr>
        <w:pStyle w:val="PL"/>
        <w:rPr>
          <w:color w:val="808080"/>
        </w:rPr>
      </w:pPr>
      <w:r w:rsidRPr="00FA0D37">
        <w:t xml:space="preserve">    tpc-PUSCH-RNTI                      RNTI-Value                                                      </w:t>
      </w:r>
      <w:r w:rsidRPr="00FA0D37">
        <w:rPr>
          <w:color w:val="993366"/>
        </w:rPr>
        <w:t>OPTIONAL</w:t>
      </w:r>
      <w:r w:rsidRPr="00FA0D37">
        <w:t xml:space="preserve">,   </w:t>
      </w:r>
      <w:r w:rsidRPr="00FA0D37">
        <w:rPr>
          <w:color w:val="808080"/>
        </w:rPr>
        <w:t>-- Need R</w:t>
      </w:r>
    </w:p>
    <w:p w14:paraId="30712C6A" w14:textId="77777777" w:rsidR="00394471" w:rsidRPr="00FA0D37" w:rsidRDefault="00394471" w:rsidP="00FA0D37">
      <w:pPr>
        <w:pStyle w:val="PL"/>
        <w:rPr>
          <w:color w:val="808080"/>
        </w:rPr>
      </w:pPr>
      <w:r w:rsidRPr="00FA0D37">
        <w:t xml:space="preserve">    sp-CSI-RNTI                         RNTI-Value                                                      </w:t>
      </w:r>
      <w:r w:rsidRPr="00FA0D37">
        <w:rPr>
          <w:color w:val="993366"/>
        </w:rPr>
        <w:t>OPTIONAL</w:t>
      </w:r>
      <w:r w:rsidRPr="00FA0D37">
        <w:t xml:space="preserve">,   </w:t>
      </w:r>
      <w:r w:rsidRPr="00FA0D37">
        <w:rPr>
          <w:color w:val="808080"/>
        </w:rPr>
        <w:t>-- Need R</w:t>
      </w:r>
    </w:p>
    <w:p w14:paraId="00C1BE0C" w14:textId="77777777" w:rsidR="00394471" w:rsidRPr="00FA0D37" w:rsidRDefault="00394471" w:rsidP="00FA0D37">
      <w:pPr>
        <w:pStyle w:val="PL"/>
        <w:rPr>
          <w:color w:val="808080"/>
        </w:rPr>
      </w:pPr>
      <w:r w:rsidRPr="00FA0D37">
        <w:t xml:space="preserve">    cs-RNTI                             SetupRelease { RNTI-Value }                                     </w:t>
      </w:r>
      <w:r w:rsidRPr="00FA0D37">
        <w:rPr>
          <w:color w:val="993366"/>
        </w:rPr>
        <w:t>OPTIONAL</w:t>
      </w:r>
      <w:r w:rsidRPr="00FA0D37">
        <w:t xml:space="preserve">,   </w:t>
      </w:r>
      <w:r w:rsidRPr="00FA0D37">
        <w:rPr>
          <w:color w:val="808080"/>
        </w:rPr>
        <w:t>-- Need M</w:t>
      </w:r>
    </w:p>
    <w:p w14:paraId="23A4762D" w14:textId="77777777" w:rsidR="00394471" w:rsidRPr="00FA0D37" w:rsidRDefault="00394471" w:rsidP="00FA0D37">
      <w:pPr>
        <w:pStyle w:val="PL"/>
      </w:pPr>
      <w:r w:rsidRPr="00FA0D37">
        <w:t xml:space="preserve">    ...,</w:t>
      </w:r>
    </w:p>
    <w:p w14:paraId="77566F71" w14:textId="77777777" w:rsidR="00394471" w:rsidRPr="00FA0D37" w:rsidRDefault="00394471" w:rsidP="00FA0D37">
      <w:pPr>
        <w:pStyle w:val="PL"/>
      </w:pPr>
      <w:r w:rsidRPr="00FA0D37">
        <w:t xml:space="preserve">    [[</w:t>
      </w:r>
    </w:p>
    <w:p w14:paraId="49FE3840" w14:textId="77777777" w:rsidR="00394471" w:rsidRPr="00FA0D37" w:rsidRDefault="00394471" w:rsidP="00FA0D37">
      <w:pPr>
        <w:pStyle w:val="PL"/>
        <w:rPr>
          <w:color w:val="808080"/>
        </w:rPr>
      </w:pPr>
      <w:r w:rsidRPr="00FA0D37">
        <w:t xml:space="preserve">    mcs-C-RNTI                          RNTI-Value                                                      </w:t>
      </w:r>
      <w:r w:rsidRPr="00FA0D37">
        <w:rPr>
          <w:color w:val="993366"/>
        </w:rPr>
        <w:t>OPTIONAL</w:t>
      </w:r>
      <w:r w:rsidRPr="00FA0D37">
        <w:t xml:space="preserve">,   </w:t>
      </w:r>
      <w:r w:rsidRPr="00FA0D37">
        <w:rPr>
          <w:color w:val="808080"/>
        </w:rPr>
        <w:t>-- Need R</w:t>
      </w:r>
    </w:p>
    <w:p w14:paraId="38C0CA97" w14:textId="77777777" w:rsidR="00394471" w:rsidRPr="00FA0D37" w:rsidRDefault="00394471" w:rsidP="00FA0D37">
      <w:pPr>
        <w:pStyle w:val="PL"/>
        <w:rPr>
          <w:color w:val="808080"/>
        </w:rPr>
      </w:pPr>
      <w:r w:rsidRPr="00FA0D37">
        <w:t xml:space="preserve">    p-UE-FR1                            P-Max                                                           </w:t>
      </w:r>
      <w:r w:rsidRPr="00FA0D37">
        <w:rPr>
          <w:color w:val="993366"/>
        </w:rPr>
        <w:t>OPTIONAL</w:t>
      </w:r>
      <w:r w:rsidRPr="00FA0D37">
        <w:t xml:space="preserve">    </w:t>
      </w:r>
      <w:r w:rsidRPr="00FA0D37">
        <w:rPr>
          <w:color w:val="808080"/>
        </w:rPr>
        <w:t>-- Cond MCG-Only</w:t>
      </w:r>
    </w:p>
    <w:p w14:paraId="5728C671" w14:textId="77777777" w:rsidR="00394471" w:rsidRPr="00FA0D37" w:rsidRDefault="00394471" w:rsidP="00FA0D37">
      <w:pPr>
        <w:pStyle w:val="PL"/>
      </w:pPr>
      <w:r w:rsidRPr="00FA0D37">
        <w:t xml:space="preserve">    ]],</w:t>
      </w:r>
    </w:p>
    <w:p w14:paraId="5251B0BF" w14:textId="77777777" w:rsidR="00394471" w:rsidRPr="00FA0D37" w:rsidRDefault="00394471" w:rsidP="00FA0D37">
      <w:pPr>
        <w:pStyle w:val="PL"/>
      </w:pPr>
      <w:r w:rsidRPr="00FA0D37">
        <w:t xml:space="preserve">    [[</w:t>
      </w:r>
    </w:p>
    <w:p w14:paraId="22F6651B" w14:textId="77777777" w:rsidR="00394471" w:rsidRPr="00FA0D37" w:rsidRDefault="00394471" w:rsidP="00FA0D37">
      <w:pPr>
        <w:pStyle w:val="PL"/>
        <w:rPr>
          <w:color w:val="808080"/>
        </w:rPr>
      </w:pPr>
      <w:r w:rsidRPr="00FA0D37">
        <w:t xml:space="preserve">    xScale                              </w:t>
      </w:r>
      <w:r w:rsidRPr="00FA0D37">
        <w:rPr>
          <w:color w:val="993366"/>
        </w:rPr>
        <w:t>ENUMERATED</w:t>
      </w:r>
      <w:r w:rsidRPr="00FA0D37">
        <w:t xml:space="preserve"> {dB0, dB6, spare2, spare1}                           </w:t>
      </w:r>
      <w:r w:rsidRPr="00FA0D37">
        <w:rPr>
          <w:color w:val="993366"/>
        </w:rPr>
        <w:t>OPTIONAL</w:t>
      </w:r>
      <w:r w:rsidRPr="00FA0D37">
        <w:t xml:space="preserve">    </w:t>
      </w:r>
      <w:r w:rsidRPr="00FA0D37">
        <w:rPr>
          <w:color w:val="808080"/>
        </w:rPr>
        <w:t>-- Cond SCG-Only</w:t>
      </w:r>
    </w:p>
    <w:p w14:paraId="61918EDA" w14:textId="77777777" w:rsidR="00394471" w:rsidRPr="00FA0D37" w:rsidRDefault="00394471" w:rsidP="00FA0D37">
      <w:pPr>
        <w:pStyle w:val="PL"/>
      </w:pPr>
      <w:r w:rsidRPr="00FA0D37">
        <w:t xml:space="preserve">    ]],</w:t>
      </w:r>
    </w:p>
    <w:p w14:paraId="28223D6E" w14:textId="77777777" w:rsidR="00394471" w:rsidRPr="00FA0D37" w:rsidRDefault="00394471" w:rsidP="00FA0D37">
      <w:pPr>
        <w:pStyle w:val="PL"/>
      </w:pPr>
      <w:r w:rsidRPr="00FA0D37">
        <w:t xml:space="preserve">    [[</w:t>
      </w:r>
    </w:p>
    <w:p w14:paraId="449B5E95" w14:textId="77777777" w:rsidR="00394471" w:rsidRPr="00FA0D37" w:rsidRDefault="00394471" w:rsidP="00FA0D37">
      <w:pPr>
        <w:pStyle w:val="PL"/>
        <w:rPr>
          <w:color w:val="808080"/>
        </w:rPr>
      </w:pPr>
      <w:r w:rsidRPr="00FA0D37">
        <w:t xml:space="preserve">    pdcch-BlindDetection                SetupRelease { PDCCH-BlindDetection }                           </w:t>
      </w:r>
      <w:r w:rsidRPr="00FA0D37">
        <w:rPr>
          <w:color w:val="993366"/>
        </w:rPr>
        <w:t>OPTIONAL</w:t>
      </w:r>
      <w:r w:rsidRPr="00FA0D37">
        <w:t xml:space="preserve">    </w:t>
      </w:r>
      <w:r w:rsidRPr="00FA0D37">
        <w:rPr>
          <w:color w:val="808080"/>
        </w:rPr>
        <w:t>-- Need M</w:t>
      </w:r>
    </w:p>
    <w:p w14:paraId="178847C2" w14:textId="77777777" w:rsidR="00394471" w:rsidRPr="00FA0D37" w:rsidRDefault="00394471" w:rsidP="00FA0D37">
      <w:pPr>
        <w:pStyle w:val="PL"/>
      </w:pPr>
      <w:r w:rsidRPr="00FA0D37">
        <w:t xml:space="preserve">    ]],</w:t>
      </w:r>
    </w:p>
    <w:p w14:paraId="623597D8" w14:textId="77777777" w:rsidR="00394471" w:rsidRPr="00FA0D37" w:rsidRDefault="00394471" w:rsidP="00FA0D37">
      <w:pPr>
        <w:pStyle w:val="PL"/>
      </w:pPr>
      <w:r w:rsidRPr="00FA0D37">
        <w:t xml:space="preserve">    [[</w:t>
      </w:r>
    </w:p>
    <w:p w14:paraId="3D0F266A" w14:textId="77777777" w:rsidR="00394471" w:rsidRPr="00FA0D37" w:rsidRDefault="00394471" w:rsidP="00FA0D37">
      <w:pPr>
        <w:pStyle w:val="PL"/>
        <w:rPr>
          <w:color w:val="808080"/>
        </w:rPr>
      </w:pPr>
      <w:r w:rsidRPr="00FA0D37">
        <w:t xml:space="preserve">    dcp-Config-r16                      SetupRelease { DCP-Config-r16 }                                 </w:t>
      </w:r>
      <w:r w:rsidRPr="00FA0D37">
        <w:rPr>
          <w:color w:val="993366"/>
        </w:rPr>
        <w:t>OPTIONAL</w:t>
      </w:r>
      <w:r w:rsidRPr="00FA0D37">
        <w:t xml:space="preserve">,   </w:t>
      </w:r>
      <w:r w:rsidRPr="00FA0D37">
        <w:rPr>
          <w:color w:val="808080"/>
        </w:rPr>
        <w:t>-- Need M</w:t>
      </w:r>
    </w:p>
    <w:p w14:paraId="09418E66" w14:textId="77777777" w:rsidR="00394471" w:rsidRPr="00FA0D37" w:rsidRDefault="00394471" w:rsidP="00FA0D37">
      <w:pPr>
        <w:pStyle w:val="PL"/>
        <w:rPr>
          <w:color w:val="808080"/>
        </w:rPr>
      </w:pPr>
      <w:r w:rsidRPr="00FA0D37">
        <w:t xml:space="preserve">    harq-ACK-SpatialBundlingPUCCH-secondaryPUCCHgroup-r16    </w:t>
      </w:r>
      <w:r w:rsidRPr="00FA0D37">
        <w:rPr>
          <w:color w:val="993366"/>
        </w:rPr>
        <w:t>ENUMERATED</w:t>
      </w:r>
      <w:r w:rsidRPr="00FA0D37">
        <w:t xml:space="preserve"> {enabled, disabled}             </w:t>
      </w:r>
      <w:r w:rsidRPr="00FA0D37">
        <w:rPr>
          <w:color w:val="993366"/>
        </w:rPr>
        <w:t>OPTIONAL</w:t>
      </w:r>
      <w:r w:rsidRPr="00FA0D37">
        <w:t xml:space="preserve">,   </w:t>
      </w:r>
      <w:r w:rsidRPr="00FA0D37">
        <w:rPr>
          <w:color w:val="808080"/>
        </w:rPr>
        <w:t>-- Cond twoPUCCHgroup</w:t>
      </w:r>
    </w:p>
    <w:p w14:paraId="33008305" w14:textId="77777777" w:rsidR="00394471" w:rsidRPr="00FA0D37" w:rsidRDefault="00394471" w:rsidP="00FA0D37">
      <w:pPr>
        <w:pStyle w:val="PL"/>
        <w:rPr>
          <w:color w:val="808080"/>
        </w:rPr>
      </w:pPr>
      <w:r w:rsidRPr="00FA0D37">
        <w:t xml:space="preserve">    harq-ACK-SpatialBundlingPUSCH-secondaryPUCCHgroup-r16    </w:t>
      </w:r>
      <w:r w:rsidRPr="00FA0D37">
        <w:rPr>
          <w:color w:val="993366"/>
        </w:rPr>
        <w:t>ENUMERATED</w:t>
      </w:r>
      <w:r w:rsidRPr="00FA0D37">
        <w:t xml:space="preserve"> {enabled, disabled}             </w:t>
      </w:r>
      <w:r w:rsidRPr="00FA0D37">
        <w:rPr>
          <w:color w:val="993366"/>
        </w:rPr>
        <w:t>OPTIONAL</w:t>
      </w:r>
      <w:r w:rsidRPr="00FA0D37">
        <w:t xml:space="preserve">,   </w:t>
      </w:r>
      <w:r w:rsidRPr="00FA0D37">
        <w:rPr>
          <w:color w:val="808080"/>
        </w:rPr>
        <w:t>-- Cond twoPUCCHgroup</w:t>
      </w:r>
    </w:p>
    <w:p w14:paraId="35AF37D9" w14:textId="77777777" w:rsidR="00394471" w:rsidRPr="00FA0D37" w:rsidRDefault="00394471" w:rsidP="00FA0D37">
      <w:pPr>
        <w:pStyle w:val="PL"/>
        <w:rPr>
          <w:color w:val="808080"/>
        </w:rPr>
      </w:pPr>
      <w:r w:rsidRPr="00FA0D37">
        <w:t xml:space="preserve">    pdsch-HARQ-ACK-Codebook-secondaryPUCCHgroup-r16          </w:t>
      </w:r>
      <w:r w:rsidRPr="00FA0D37">
        <w:rPr>
          <w:color w:val="993366"/>
        </w:rPr>
        <w:t>ENUMERATED</w:t>
      </w:r>
      <w:r w:rsidRPr="00FA0D37">
        <w:t xml:space="preserve"> {semiStatic, dynamic}           </w:t>
      </w:r>
      <w:r w:rsidRPr="00FA0D37">
        <w:rPr>
          <w:color w:val="993366"/>
        </w:rPr>
        <w:t>OPTIONAL</w:t>
      </w:r>
      <w:r w:rsidRPr="00FA0D37">
        <w:t xml:space="preserve">,   </w:t>
      </w:r>
      <w:r w:rsidRPr="00FA0D37">
        <w:rPr>
          <w:color w:val="808080"/>
        </w:rPr>
        <w:t>-- Cond twoPUCCHgroup</w:t>
      </w:r>
    </w:p>
    <w:p w14:paraId="1DFE624A" w14:textId="77777777" w:rsidR="00394471" w:rsidRPr="00FA0D37" w:rsidRDefault="00394471" w:rsidP="00FA0D37">
      <w:pPr>
        <w:pStyle w:val="PL"/>
        <w:rPr>
          <w:color w:val="808080"/>
        </w:rPr>
      </w:pPr>
      <w:r w:rsidRPr="00FA0D37">
        <w:t xml:space="preserve">    p-NR-FR2-r16                                              P-Max                                     </w:t>
      </w:r>
      <w:r w:rsidRPr="00FA0D37">
        <w:rPr>
          <w:color w:val="993366"/>
        </w:rPr>
        <w:t>OPTIONAL</w:t>
      </w:r>
      <w:r w:rsidRPr="00FA0D37">
        <w:t xml:space="preserve">,   </w:t>
      </w:r>
      <w:r w:rsidRPr="00FA0D37">
        <w:rPr>
          <w:color w:val="808080"/>
        </w:rPr>
        <w:t>-- Need R</w:t>
      </w:r>
    </w:p>
    <w:p w14:paraId="430D7E49" w14:textId="77777777" w:rsidR="00394471" w:rsidRPr="00FA0D37" w:rsidRDefault="00394471" w:rsidP="00FA0D37">
      <w:pPr>
        <w:pStyle w:val="PL"/>
        <w:rPr>
          <w:color w:val="808080"/>
        </w:rPr>
      </w:pPr>
      <w:r w:rsidRPr="00FA0D37">
        <w:t xml:space="preserve">    p-UE-FR2-r16                                              P-Max                                     </w:t>
      </w:r>
      <w:r w:rsidRPr="00FA0D37">
        <w:rPr>
          <w:color w:val="993366"/>
        </w:rPr>
        <w:t>OPTIONAL</w:t>
      </w:r>
      <w:r w:rsidRPr="00FA0D37">
        <w:t xml:space="preserve">,   </w:t>
      </w:r>
      <w:r w:rsidRPr="00FA0D37">
        <w:rPr>
          <w:color w:val="808080"/>
        </w:rPr>
        <w:t>-- Cond MCG-Only</w:t>
      </w:r>
    </w:p>
    <w:p w14:paraId="77B28258" w14:textId="77777777" w:rsidR="00394471" w:rsidRPr="00FA0D37" w:rsidRDefault="00394471" w:rsidP="00FA0D37">
      <w:pPr>
        <w:pStyle w:val="PL"/>
        <w:rPr>
          <w:color w:val="808080"/>
        </w:rPr>
      </w:pPr>
      <w:r w:rsidRPr="00FA0D37">
        <w:t xml:space="preserve">    nrdc-PCmode-FR1-r16                </w:t>
      </w:r>
      <w:r w:rsidRPr="00FA0D37">
        <w:rPr>
          <w:color w:val="993366"/>
        </w:rPr>
        <w:t>ENUMERATED</w:t>
      </w:r>
      <w:r w:rsidRPr="00FA0D37">
        <w:t xml:space="preserve"> {semi-static-mode1, semi-static-mode2, dynamic}       </w:t>
      </w:r>
      <w:r w:rsidRPr="00FA0D37">
        <w:rPr>
          <w:color w:val="993366"/>
        </w:rPr>
        <w:t>OPTIONAL</w:t>
      </w:r>
      <w:r w:rsidRPr="00FA0D37">
        <w:t xml:space="preserve">,   </w:t>
      </w:r>
      <w:r w:rsidRPr="00FA0D37">
        <w:rPr>
          <w:color w:val="808080"/>
        </w:rPr>
        <w:t>-- Cond MCG-Only</w:t>
      </w:r>
    </w:p>
    <w:p w14:paraId="163F6348" w14:textId="77777777" w:rsidR="00394471" w:rsidRPr="00FA0D37" w:rsidRDefault="00394471" w:rsidP="00FA0D37">
      <w:pPr>
        <w:pStyle w:val="PL"/>
        <w:rPr>
          <w:color w:val="808080"/>
        </w:rPr>
      </w:pPr>
      <w:r w:rsidRPr="00FA0D37">
        <w:t xml:space="preserve">    nrdc-PCmode-FR2-r16                </w:t>
      </w:r>
      <w:r w:rsidRPr="00FA0D37">
        <w:rPr>
          <w:color w:val="993366"/>
        </w:rPr>
        <w:t>ENUMERATED</w:t>
      </w:r>
      <w:r w:rsidRPr="00FA0D37">
        <w:t xml:space="preserve"> {semi-static-mode1, semi-static-mode2, dynamic}       </w:t>
      </w:r>
      <w:r w:rsidRPr="00FA0D37">
        <w:rPr>
          <w:color w:val="993366"/>
        </w:rPr>
        <w:t>OPTIONAL</w:t>
      </w:r>
      <w:r w:rsidRPr="00FA0D37">
        <w:t xml:space="preserve">,   </w:t>
      </w:r>
      <w:r w:rsidRPr="00FA0D37">
        <w:rPr>
          <w:color w:val="808080"/>
        </w:rPr>
        <w:t>-- Cond MCG-Only</w:t>
      </w:r>
    </w:p>
    <w:p w14:paraId="18D077A2" w14:textId="77777777" w:rsidR="00394471" w:rsidRPr="00FA0D37" w:rsidRDefault="00394471" w:rsidP="00FA0D37">
      <w:pPr>
        <w:pStyle w:val="PL"/>
        <w:rPr>
          <w:color w:val="808080"/>
        </w:rPr>
      </w:pPr>
      <w:r w:rsidRPr="00FA0D37">
        <w:t xml:space="preserve">    pdsch-HARQ-ACK-Codebook-r16            </w:t>
      </w:r>
      <w:r w:rsidRPr="00FA0D37">
        <w:rPr>
          <w:color w:val="993366"/>
        </w:rPr>
        <w:t>ENUMERATED</w:t>
      </w:r>
      <w:r w:rsidRPr="00FA0D37">
        <w:t xml:space="preserve"> {enhancedDynamic}                                 </w:t>
      </w:r>
      <w:r w:rsidRPr="00FA0D37">
        <w:rPr>
          <w:color w:val="993366"/>
        </w:rPr>
        <w:t>OPTIONAL</w:t>
      </w:r>
      <w:r w:rsidRPr="00FA0D37">
        <w:t xml:space="preserve">,   </w:t>
      </w:r>
      <w:r w:rsidRPr="00FA0D37">
        <w:rPr>
          <w:color w:val="808080"/>
        </w:rPr>
        <w:t>-- Need R</w:t>
      </w:r>
    </w:p>
    <w:p w14:paraId="108A375B" w14:textId="77777777" w:rsidR="00394471" w:rsidRPr="00FA0D37" w:rsidRDefault="00394471" w:rsidP="00FA0D37">
      <w:pPr>
        <w:pStyle w:val="PL"/>
        <w:rPr>
          <w:color w:val="808080"/>
        </w:rPr>
      </w:pPr>
      <w:r w:rsidRPr="00FA0D37">
        <w:t xml:space="preserve">    nfi-TotalDAI-Included-r16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217A45B3" w14:textId="77777777" w:rsidR="00394471" w:rsidRPr="00FA0D37" w:rsidRDefault="00394471" w:rsidP="00FA0D37">
      <w:pPr>
        <w:pStyle w:val="PL"/>
        <w:rPr>
          <w:color w:val="808080"/>
        </w:rPr>
      </w:pPr>
      <w:r w:rsidRPr="00FA0D37">
        <w:t xml:space="preserve">    ul-TotalDAI-Included-r16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6AD09ADF" w14:textId="77777777" w:rsidR="00394471" w:rsidRPr="00FA0D37" w:rsidRDefault="00394471" w:rsidP="00FA0D37">
      <w:pPr>
        <w:pStyle w:val="PL"/>
        <w:rPr>
          <w:color w:val="808080"/>
        </w:rPr>
      </w:pPr>
      <w:r w:rsidRPr="00FA0D37">
        <w:t xml:space="preserve">    pdsch-HARQ-ACK-OneShotFeedback-r16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FD25BB7" w14:textId="77777777" w:rsidR="00394471" w:rsidRPr="00FA0D37" w:rsidRDefault="00394471" w:rsidP="00FA0D37">
      <w:pPr>
        <w:pStyle w:val="PL"/>
        <w:rPr>
          <w:color w:val="808080"/>
        </w:rPr>
      </w:pPr>
      <w:r w:rsidRPr="00FA0D37">
        <w:t xml:space="preserve">    pdsch-HARQ-ACK-OneShotFeedbackNDI-r16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24155B51" w14:textId="77777777" w:rsidR="00394471" w:rsidRPr="00FA0D37" w:rsidRDefault="00394471" w:rsidP="00FA0D37">
      <w:pPr>
        <w:pStyle w:val="PL"/>
        <w:rPr>
          <w:color w:val="808080"/>
        </w:rPr>
      </w:pPr>
      <w:r w:rsidRPr="00FA0D37">
        <w:t xml:space="preserve">    pdsch-HARQ-ACK-OneShotFeedbackCBG-r16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625CF21D" w14:textId="77777777" w:rsidR="00394471" w:rsidRPr="00FA0D37" w:rsidRDefault="00394471" w:rsidP="00FA0D37">
      <w:pPr>
        <w:pStyle w:val="PL"/>
        <w:rPr>
          <w:color w:val="808080"/>
        </w:rPr>
      </w:pPr>
      <w:r w:rsidRPr="00FA0D37">
        <w:lastRenderedPageBreak/>
        <w:t xml:space="preserve">    downlinkAssignmentIndexDCI-0-2-r16     </w:t>
      </w:r>
      <w:r w:rsidRPr="00FA0D37">
        <w:rPr>
          <w:color w:val="993366"/>
        </w:rPr>
        <w:t>ENUMERATED</w:t>
      </w:r>
      <w:r w:rsidRPr="00FA0D37">
        <w:t xml:space="preserve"> { enabled }                                       </w:t>
      </w:r>
      <w:r w:rsidRPr="00FA0D37">
        <w:rPr>
          <w:color w:val="993366"/>
        </w:rPr>
        <w:t>OPTIONAL</w:t>
      </w:r>
      <w:r w:rsidRPr="00FA0D37">
        <w:t xml:space="preserve">,   </w:t>
      </w:r>
      <w:r w:rsidRPr="00FA0D37">
        <w:rPr>
          <w:color w:val="808080"/>
        </w:rPr>
        <w:t>-- Need S</w:t>
      </w:r>
    </w:p>
    <w:p w14:paraId="22C12B83" w14:textId="77777777" w:rsidR="00394471" w:rsidRPr="00FA0D37" w:rsidRDefault="00394471" w:rsidP="00FA0D37">
      <w:pPr>
        <w:pStyle w:val="PL"/>
        <w:rPr>
          <w:color w:val="808080"/>
        </w:rPr>
      </w:pPr>
      <w:r w:rsidRPr="00FA0D37">
        <w:t xml:space="preserve">    downlinkAssignmentIndexDCI-1-2-r16     </w:t>
      </w:r>
      <w:r w:rsidRPr="00FA0D37">
        <w:rPr>
          <w:color w:val="993366"/>
        </w:rPr>
        <w:t>ENUMERATED</w:t>
      </w:r>
      <w:r w:rsidRPr="00FA0D37">
        <w:t xml:space="preserve"> {n1, n2, n4}                                      </w:t>
      </w:r>
      <w:r w:rsidRPr="00FA0D37">
        <w:rPr>
          <w:color w:val="993366"/>
        </w:rPr>
        <w:t>OPTIONAL</w:t>
      </w:r>
      <w:r w:rsidRPr="00FA0D37">
        <w:t xml:space="preserve">,   </w:t>
      </w:r>
      <w:r w:rsidRPr="00FA0D37">
        <w:rPr>
          <w:color w:val="808080"/>
        </w:rPr>
        <w:t>-- Need S</w:t>
      </w:r>
    </w:p>
    <w:p w14:paraId="67AF066C" w14:textId="77777777" w:rsidR="00394471" w:rsidRPr="00FA0D37" w:rsidRDefault="00394471" w:rsidP="00FA0D37">
      <w:pPr>
        <w:pStyle w:val="PL"/>
        <w:rPr>
          <w:color w:val="808080"/>
        </w:rPr>
      </w:pPr>
      <w:r w:rsidRPr="00FA0D37">
        <w:t xml:space="preserve">    pdsch-HARQ-ACK-CodebookList-r16        SetupRelease {PDSCH-HARQ-ACK-CodebookList-r16}               </w:t>
      </w:r>
      <w:r w:rsidRPr="00FA0D37">
        <w:rPr>
          <w:color w:val="993366"/>
        </w:rPr>
        <w:t>OPTIONAL</w:t>
      </w:r>
      <w:r w:rsidRPr="00FA0D37">
        <w:t xml:space="preserve">,   </w:t>
      </w:r>
      <w:r w:rsidRPr="00FA0D37">
        <w:rPr>
          <w:color w:val="808080"/>
        </w:rPr>
        <w:t>-- Need M</w:t>
      </w:r>
    </w:p>
    <w:p w14:paraId="4096422A" w14:textId="77777777" w:rsidR="00394471" w:rsidRPr="00FA0D37" w:rsidRDefault="00394471" w:rsidP="00FA0D37">
      <w:pPr>
        <w:pStyle w:val="PL"/>
        <w:rPr>
          <w:color w:val="808080"/>
        </w:rPr>
      </w:pPr>
      <w:r w:rsidRPr="00FA0D37">
        <w:t xml:space="preserve">    ackNackFeedbackMode-r16                </w:t>
      </w:r>
      <w:r w:rsidRPr="00FA0D37">
        <w:rPr>
          <w:color w:val="993366"/>
        </w:rPr>
        <w:t>ENUMERATED</w:t>
      </w:r>
      <w:r w:rsidRPr="00FA0D37">
        <w:t xml:space="preserve"> {joint, separate}                                 </w:t>
      </w:r>
      <w:r w:rsidRPr="00FA0D37">
        <w:rPr>
          <w:color w:val="993366"/>
        </w:rPr>
        <w:t>OPTIONAL</w:t>
      </w:r>
      <w:r w:rsidRPr="00FA0D37">
        <w:t xml:space="preserve">,   </w:t>
      </w:r>
      <w:r w:rsidRPr="00FA0D37">
        <w:rPr>
          <w:color w:val="808080"/>
        </w:rPr>
        <w:t>-- Need R</w:t>
      </w:r>
    </w:p>
    <w:p w14:paraId="5F75126F" w14:textId="77777777" w:rsidR="00394471" w:rsidRPr="00FA0D37" w:rsidRDefault="00394471" w:rsidP="00FA0D37">
      <w:pPr>
        <w:pStyle w:val="PL"/>
        <w:rPr>
          <w:color w:val="808080"/>
        </w:rPr>
      </w:pPr>
      <w:r w:rsidRPr="00FA0D37">
        <w:t xml:space="preserve">    pdcch-BlindDetectionCA-CombIndicator-r16 SetupRelease { PDCCH-BlindDetectionCA-CombIndicator-r16 }  </w:t>
      </w:r>
      <w:r w:rsidRPr="00FA0D37">
        <w:rPr>
          <w:color w:val="993366"/>
        </w:rPr>
        <w:t>OPTIONAL</w:t>
      </w:r>
      <w:r w:rsidRPr="00FA0D37">
        <w:t xml:space="preserve">,   </w:t>
      </w:r>
      <w:r w:rsidRPr="00FA0D37">
        <w:rPr>
          <w:color w:val="808080"/>
        </w:rPr>
        <w:t>-- Need M</w:t>
      </w:r>
    </w:p>
    <w:p w14:paraId="2951099D" w14:textId="77777777" w:rsidR="00394471" w:rsidRPr="00FA0D37" w:rsidRDefault="00394471" w:rsidP="00FA0D37">
      <w:pPr>
        <w:pStyle w:val="PL"/>
        <w:rPr>
          <w:color w:val="808080"/>
        </w:rPr>
      </w:pPr>
      <w:r w:rsidRPr="00FA0D37">
        <w:t xml:space="preserve">    pdcch-BlindDetection2-r16                SetupRelease { PDCCH-BlindDetection2-r16 }                 </w:t>
      </w:r>
      <w:r w:rsidRPr="00FA0D37">
        <w:rPr>
          <w:color w:val="993366"/>
        </w:rPr>
        <w:t>OPTIONAL</w:t>
      </w:r>
      <w:r w:rsidRPr="00FA0D37">
        <w:t xml:space="preserve">,   </w:t>
      </w:r>
      <w:r w:rsidRPr="00FA0D37">
        <w:rPr>
          <w:color w:val="808080"/>
        </w:rPr>
        <w:t>-- Need M</w:t>
      </w:r>
    </w:p>
    <w:p w14:paraId="24EA84FC" w14:textId="77777777" w:rsidR="00394471" w:rsidRPr="00FA0D37" w:rsidRDefault="00394471" w:rsidP="00FA0D37">
      <w:pPr>
        <w:pStyle w:val="PL"/>
        <w:rPr>
          <w:color w:val="808080"/>
        </w:rPr>
      </w:pPr>
      <w:r w:rsidRPr="00FA0D37">
        <w:t xml:space="preserve">    pdcch-BlindDetection3-r16                SetupRelease { PDCCH-BlindDetection3-r16 }                 </w:t>
      </w:r>
      <w:r w:rsidRPr="00FA0D37">
        <w:rPr>
          <w:color w:val="993366"/>
        </w:rPr>
        <w:t>OPTIONAL</w:t>
      </w:r>
      <w:r w:rsidRPr="00FA0D37">
        <w:t xml:space="preserve">,   </w:t>
      </w:r>
      <w:r w:rsidRPr="00FA0D37">
        <w:rPr>
          <w:color w:val="808080"/>
        </w:rPr>
        <w:t>-- Need M</w:t>
      </w:r>
    </w:p>
    <w:p w14:paraId="53FC6CD2" w14:textId="77777777" w:rsidR="00394471" w:rsidRPr="00FA0D37" w:rsidRDefault="00394471" w:rsidP="00FA0D37">
      <w:pPr>
        <w:pStyle w:val="PL"/>
        <w:rPr>
          <w:color w:val="808080"/>
        </w:rPr>
      </w:pPr>
      <w:r w:rsidRPr="00FA0D37">
        <w:t xml:space="preserve">    bdFactorR-r16                          </w:t>
      </w:r>
      <w:r w:rsidRPr="00FA0D37">
        <w:rPr>
          <w:color w:val="993366"/>
        </w:rPr>
        <w:t>ENUMERATED</w:t>
      </w:r>
      <w:r w:rsidRPr="00FA0D37">
        <w:t xml:space="preserve"> {n1}                                              </w:t>
      </w:r>
      <w:r w:rsidRPr="00FA0D37">
        <w:rPr>
          <w:color w:val="993366"/>
        </w:rPr>
        <w:t>OPTIONAL</w:t>
      </w:r>
      <w:r w:rsidRPr="00FA0D37">
        <w:t xml:space="preserve">    </w:t>
      </w:r>
      <w:r w:rsidRPr="00FA0D37">
        <w:rPr>
          <w:color w:val="808080"/>
        </w:rPr>
        <w:t>-- Need R</w:t>
      </w:r>
    </w:p>
    <w:p w14:paraId="0DA6B60C" w14:textId="7C94D617" w:rsidR="005D7926" w:rsidRPr="00FA0D37" w:rsidRDefault="00394471" w:rsidP="00FA0D37">
      <w:pPr>
        <w:pStyle w:val="PL"/>
      </w:pPr>
      <w:r w:rsidRPr="00FA0D37">
        <w:t xml:space="preserve">    ]]</w:t>
      </w:r>
      <w:r w:rsidR="005D7926" w:rsidRPr="00FA0D37">
        <w:t>,</w:t>
      </w:r>
    </w:p>
    <w:p w14:paraId="4FA29225" w14:textId="77777777" w:rsidR="005D7926" w:rsidRPr="00FA0D37" w:rsidRDefault="005D7926" w:rsidP="00FA0D37">
      <w:pPr>
        <w:pStyle w:val="PL"/>
      </w:pPr>
      <w:r w:rsidRPr="00FA0D37">
        <w:t xml:space="preserve">    [[</w:t>
      </w:r>
    </w:p>
    <w:p w14:paraId="2ACD8097" w14:textId="77777777" w:rsidR="005D7926" w:rsidRPr="00FA0D37" w:rsidRDefault="005D7926" w:rsidP="00FA0D37">
      <w:pPr>
        <w:pStyle w:val="PL"/>
        <w:rPr>
          <w:color w:val="808080"/>
        </w:rPr>
      </w:pPr>
      <w:r w:rsidRPr="00FA0D37">
        <w:t xml:space="preserve">    </w:t>
      </w:r>
      <w:r w:rsidRPr="00FA0D37">
        <w:rPr>
          <w:color w:val="808080"/>
        </w:rPr>
        <w:t>-- start of enhanced Type3 feedback</w:t>
      </w:r>
    </w:p>
    <w:p w14:paraId="28CAF0F5" w14:textId="77777777" w:rsidR="005D7926" w:rsidRPr="00FA0D37" w:rsidRDefault="005D7926" w:rsidP="00FA0D37">
      <w:pPr>
        <w:pStyle w:val="PL"/>
      </w:pPr>
      <w:r w:rsidRPr="00FA0D37">
        <w:t xml:space="preserve">    pdsch-HARQ-ACK-EnhType3ToAddModList-r17   </w:t>
      </w:r>
      <w:r w:rsidRPr="00FA0D37">
        <w:rPr>
          <w:color w:val="993366"/>
        </w:rPr>
        <w:t>SEQUENCE</w:t>
      </w:r>
      <w:r w:rsidRPr="00FA0D37">
        <w:t xml:space="preserve"> (</w:t>
      </w:r>
      <w:r w:rsidRPr="00FA0D37">
        <w:rPr>
          <w:color w:val="993366"/>
        </w:rPr>
        <w:t>SIZE</w:t>
      </w:r>
      <w:r w:rsidRPr="00FA0D37">
        <w:t>(1..maxNrofEnhType3HARQ-ACK-r17))</w:t>
      </w:r>
      <w:r w:rsidRPr="00FA0D37">
        <w:rPr>
          <w:color w:val="993366"/>
        </w:rPr>
        <w:t xml:space="preserve"> OF</w:t>
      </w:r>
      <w:r w:rsidRPr="00FA0D37">
        <w:t xml:space="preserve"> PDSCH-HARQ-ACK-EnhType3-r17</w:t>
      </w:r>
    </w:p>
    <w:p w14:paraId="0C8AA127" w14:textId="77777777" w:rsidR="005D7926" w:rsidRPr="00FA0D37" w:rsidRDefault="005D7926"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3D5506D9" w14:textId="77777777" w:rsidR="005D7926" w:rsidRPr="00FA0D37" w:rsidRDefault="005D7926" w:rsidP="00FA0D37">
      <w:pPr>
        <w:pStyle w:val="PL"/>
      </w:pPr>
      <w:r w:rsidRPr="00FA0D37">
        <w:t xml:space="preserve">    pdsch-HARQ-ACK-EnhType3ToReleaseList-r17  </w:t>
      </w:r>
      <w:r w:rsidRPr="00FA0D37">
        <w:rPr>
          <w:color w:val="993366"/>
        </w:rPr>
        <w:t>SEQUENCE</w:t>
      </w:r>
      <w:r w:rsidRPr="00FA0D37">
        <w:t xml:space="preserve"> (</w:t>
      </w:r>
      <w:r w:rsidRPr="00FA0D37">
        <w:rPr>
          <w:color w:val="993366"/>
        </w:rPr>
        <w:t>SIZE</w:t>
      </w:r>
      <w:r w:rsidRPr="00FA0D37">
        <w:t>(1..maxNrofEnhType3HARQ-ACK-r17))</w:t>
      </w:r>
      <w:r w:rsidRPr="00FA0D37">
        <w:rPr>
          <w:color w:val="993366"/>
        </w:rPr>
        <w:t xml:space="preserve"> OF</w:t>
      </w:r>
      <w:r w:rsidRPr="00FA0D37">
        <w:t xml:space="preserve"> PDSCH-HARQ-ACK-EnhType3Index-r17</w:t>
      </w:r>
    </w:p>
    <w:p w14:paraId="01F476B9" w14:textId="77777777" w:rsidR="005D7926" w:rsidRPr="00FA0D37" w:rsidRDefault="005D7926"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1A7B3A0D" w14:textId="77777777" w:rsidR="005D7926" w:rsidRPr="00FA0D37" w:rsidRDefault="005D7926" w:rsidP="00FA0D37">
      <w:pPr>
        <w:pStyle w:val="PL"/>
      </w:pPr>
      <w:r w:rsidRPr="00FA0D37">
        <w:t xml:space="preserve">    pdsch-HARQ-ACK-EnhType3SecondaryToAddModList-r17   </w:t>
      </w:r>
      <w:r w:rsidRPr="00FA0D37">
        <w:rPr>
          <w:color w:val="993366"/>
        </w:rPr>
        <w:t>SEQUENCE</w:t>
      </w:r>
      <w:r w:rsidRPr="00FA0D37">
        <w:t xml:space="preserve"> (</w:t>
      </w:r>
      <w:r w:rsidRPr="00FA0D37">
        <w:rPr>
          <w:color w:val="993366"/>
        </w:rPr>
        <w:t>SIZE</w:t>
      </w:r>
      <w:r w:rsidRPr="00FA0D37">
        <w:t>(1..maxNrofEnhType3HARQ-ACK-r17))</w:t>
      </w:r>
      <w:r w:rsidRPr="00FA0D37">
        <w:rPr>
          <w:color w:val="993366"/>
        </w:rPr>
        <w:t xml:space="preserve"> OF</w:t>
      </w:r>
      <w:r w:rsidRPr="00FA0D37">
        <w:t xml:space="preserve"> PDSCH-HARQ-ACK-EnhType3-r17</w:t>
      </w:r>
    </w:p>
    <w:p w14:paraId="046EC9F6" w14:textId="139DA1F2" w:rsidR="005D7926" w:rsidRPr="00FA0D37" w:rsidRDefault="005D7926" w:rsidP="00FA0D37">
      <w:pPr>
        <w:pStyle w:val="PL"/>
        <w:rPr>
          <w:color w:val="808080"/>
        </w:rPr>
      </w:pPr>
      <w:r w:rsidRPr="00FA0D37">
        <w:t xml:space="preserve">                                                                                                        </w:t>
      </w:r>
      <w:r w:rsidRPr="00FA0D37">
        <w:rPr>
          <w:color w:val="993366"/>
        </w:rPr>
        <w:t>OPTIONAL</w:t>
      </w:r>
      <w:r w:rsidRPr="00FA0D37">
        <w:t xml:space="preserve">,    </w:t>
      </w:r>
      <w:r w:rsidRPr="00FA0D37">
        <w:rPr>
          <w:color w:val="808080"/>
        </w:rPr>
        <w:t xml:space="preserve">-- </w:t>
      </w:r>
      <w:r w:rsidR="000056EE" w:rsidRPr="00FA0D37">
        <w:rPr>
          <w:color w:val="808080"/>
        </w:rPr>
        <w:t>Need N</w:t>
      </w:r>
    </w:p>
    <w:p w14:paraId="2946A68E" w14:textId="77777777" w:rsidR="005D7926" w:rsidRPr="00FA0D37" w:rsidRDefault="005D7926" w:rsidP="00FA0D37">
      <w:pPr>
        <w:pStyle w:val="PL"/>
      </w:pPr>
      <w:r w:rsidRPr="00FA0D37">
        <w:t xml:space="preserve">    pdsch-HARQ-ACK-EnhType3SecondaryToReleaseList-r17  </w:t>
      </w:r>
      <w:r w:rsidRPr="00FA0D37">
        <w:rPr>
          <w:color w:val="993366"/>
        </w:rPr>
        <w:t>SEQUENCE</w:t>
      </w:r>
      <w:r w:rsidRPr="00FA0D37">
        <w:t xml:space="preserve"> (</w:t>
      </w:r>
      <w:r w:rsidRPr="00FA0D37">
        <w:rPr>
          <w:color w:val="993366"/>
        </w:rPr>
        <w:t>SIZE</w:t>
      </w:r>
      <w:r w:rsidRPr="00FA0D37">
        <w:t>(1..maxNrofEnhType3HARQ-ACK-r17))</w:t>
      </w:r>
      <w:r w:rsidRPr="00FA0D37">
        <w:rPr>
          <w:color w:val="993366"/>
        </w:rPr>
        <w:t xml:space="preserve"> OF</w:t>
      </w:r>
      <w:r w:rsidRPr="00FA0D37">
        <w:t xml:space="preserve"> PDSCH-HARQ-ACK-EnhType3Index-r17</w:t>
      </w:r>
    </w:p>
    <w:p w14:paraId="1670544E" w14:textId="215A6DCC" w:rsidR="005D7926" w:rsidRPr="00FA0D37" w:rsidRDefault="005D7926" w:rsidP="00FA0D37">
      <w:pPr>
        <w:pStyle w:val="PL"/>
        <w:rPr>
          <w:color w:val="808080"/>
        </w:rPr>
      </w:pPr>
      <w:r w:rsidRPr="00FA0D37">
        <w:t xml:space="preserve">                                                                                                        </w:t>
      </w:r>
      <w:r w:rsidRPr="00FA0D37">
        <w:rPr>
          <w:color w:val="993366"/>
        </w:rPr>
        <w:t>OPTIONAL</w:t>
      </w:r>
      <w:r w:rsidRPr="00FA0D37">
        <w:t xml:space="preserve">,    </w:t>
      </w:r>
      <w:r w:rsidRPr="00FA0D37">
        <w:rPr>
          <w:color w:val="808080"/>
        </w:rPr>
        <w:t xml:space="preserve">-- </w:t>
      </w:r>
      <w:r w:rsidR="000056EE" w:rsidRPr="00FA0D37">
        <w:rPr>
          <w:color w:val="808080"/>
        </w:rPr>
        <w:t>Need N</w:t>
      </w:r>
    </w:p>
    <w:p w14:paraId="6E5EE915" w14:textId="24100FB6" w:rsidR="005D7926" w:rsidRPr="00FA0D37" w:rsidRDefault="005D7926" w:rsidP="00FA0D37">
      <w:pPr>
        <w:pStyle w:val="PL"/>
        <w:rPr>
          <w:color w:val="808080"/>
        </w:rPr>
      </w:pPr>
      <w:r w:rsidRPr="00FA0D37">
        <w:t xml:space="preserve">    pdsch-HARQ-ACK-EnhType3</w:t>
      </w:r>
      <w:r w:rsidR="000056EE" w:rsidRPr="00FA0D37">
        <w:t>DCI-Field</w:t>
      </w:r>
      <w:r w:rsidRPr="00FA0D37">
        <w:t xml:space="preserve">SecondaryPUCCHgroup-r17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Cond twoPUCCHgroup</w:t>
      </w:r>
    </w:p>
    <w:p w14:paraId="4A20C609" w14:textId="0E457F5D" w:rsidR="005D7926" w:rsidRPr="00FA0D37" w:rsidRDefault="005D7926" w:rsidP="00FA0D37">
      <w:pPr>
        <w:pStyle w:val="PL"/>
        <w:rPr>
          <w:color w:val="808080"/>
        </w:rPr>
      </w:pPr>
      <w:r w:rsidRPr="00FA0D37">
        <w:t xml:space="preserve">    pdsch-HARQ-ACK-EnhType3DCI-Field-r17                </w:t>
      </w:r>
      <w:r w:rsidRPr="00FA0D37">
        <w:rPr>
          <w:color w:val="993366"/>
        </w:rPr>
        <w:t>ENUMERATED</w:t>
      </w:r>
      <w:r w:rsidRPr="00FA0D37">
        <w:t xml:space="preserve"> {enabled}                          </w:t>
      </w:r>
      <w:r w:rsidR="00CC170E" w:rsidRPr="00FA0D37">
        <w:t xml:space="preserve">  </w:t>
      </w:r>
      <w:r w:rsidRPr="00FA0D37">
        <w:rPr>
          <w:color w:val="993366"/>
        </w:rPr>
        <w:t>OPTIONAL</w:t>
      </w:r>
      <w:r w:rsidRPr="00FA0D37">
        <w:t xml:space="preserve">,   </w:t>
      </w:r>
      <w:r w:rsidRPr="00FA0D37">
        <w:rPr>
          <w:color w:val="808080"/>
        </w:rPr>
        <w:t>-- Need R</w:t>
      </w:r>
    </w:p>
    <w:p w14:paraId="665A2767" w14:textId="77777777" w:rsidR="005D7926" w:rsidRPr="00FA0D37" w:rsidRDefault="005D7926" w:rsidP="00FA0D37">
      <w:pPr>
        <w:pStyle w:val="PL"/>
        <w:rPr>
          <w:color w:val="808080"/>
        </w:rPr>
      </w:pPr>
      <w:r w:rsidRPr="00FA0D37">
        <w:t xml:space="preserve">    </w:t>
      </w:r>
      <w:r w:rsidRPr="00FA0D37">
        <w:rPr>
          <w:color w:val="808080"/>
        </w:rPr>
        <w:t>-- end of enhanced Type3 feedback</w:t>
      </w:r>
    </w:p>
    <w:p w14:paraId="2BA675FB" w14:textId="77777777" w:rsidR="005D7926" w:rsidRPr="00FA0D37" w:rsidRDefault="005D7926" w:rsidP="00FA0D37">
      <w:pPr>
        <w:pStyle w:val="PL"/>
      </w:pPr>
    </w:p>
    <w:p w14:paraId="2C08F6AD" w14:textId="77777777" w:rsidR="005D7926" w:rsidRPr="00FA0D37" w:rsidRDefault="005D7926" w:rsidP="00FA0D37">
      <w:pPr>
        <w:pStyle w:val="PL"/>
        <w:rPr>
          <w:color w:val="808080"/>
        </w:rPr>
      </w:pPr>
      <w:r w:rsidRPr="00FA0D37">
        <w:t xml:space="preserve">    </w:t>
      </w:r>
      <w:r w:rsidRPr="00FA0D37">
        <w:rPr>
          <w:color w:val="808080"/>
        </w:rPr>
        <w:t>-- start of triggering of HARQ-ACK re-transmission on a PUCCH resource</w:t>
      </w:r>
    </w:p>
    <w:p w14:paraId="6EEC122D" w14:textId="77777777" w:rsidR="005D7926" w:rsidRPr="00FA0D37" w:rsidRDefault="005D7926" w:rsidP="00FA0D37">
      <w:pPr>
        <w:pStyle w:val="PL"/>
        <w:rPr>
          <w:color w:val="808080"/>
        </w:rPr>
      </w:pPr>
      <w:r w:rsidRPr="00FA0D37">
        <w:t xml:space="preserve">    pdsch-HARQ-ACK-Retx-r17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7182458D" w14:textId="2588F67A" w:rsidR="005D7926" w:rsidRPr="00FA0D37" w:rsidRDefault="005D7926" w:rsidP="00FA0D37">
      <w:pPr>
        <w:pStyle w:val="PL"/>
        <w:rPr>
          <w:color w:val="808080"/>
        </w:rPr>
      </w:pPr>
      <w:r w:rsidRPr="00FA0D37">
        <w:t xml:space="preserve">    pdsch-HARQ-ACK-RetxSecondaryPUCCHgroup-r17  </w:t>
      </w:r>
      <w:r w:rsidRPr="00FA0D37">
        <w:rPr>
          <w:color w:val="993366"/>
        </w:rPr>
        <w:t>ENUMERATED</w:t>
      </w:r>
      <w:r w:rsidRPr="00FA0D37">
        <w:t xml:space="preserve"> {enabled}                                   </w:t>
      </w:r>
      <w:r w:rsidR="00CC170E" w:rsidRPr="00FA0D37">
        <w:t xml:space="preserve"> </w:t>
      </w:r>
      <w:r w:rsidRPr="00FA0D37">
        <w:rPr>
          <w:color w:val="993366"/>
        </w:rPr>
        <w:t>OPTIONAL</w:t>
      </w:r>
      <w:r w:rsidRPr="00FA0D37">
        <w:t xml:space="preserve">,   </w:t>
      </w:r>
      <w:r w:rsidRPr="00FA0D37">
        <w:rPr>
          <w:color w:val="808080"/>
        </w:rPr>
        <w:t>-- Cond twoPUCCHgroup</w:t>
      </w:r>
    </w:p>
    <w:p w14:paraId="2DB32025" w14:textId="77777777" w:rsidR="005D7926" w:rsidRPr="00FA0D37" w:rsidRDefault="005D7926" w:rsidP="00FA0D37">
      <w:pPr>
        <w:pStyle w:val="PL"/>
        <w:rPr>
          <w:color w:val="808080"/>
        </w:rPr>
      </w:pPr>
      <w:r w:rsidRPr="00FA0D37">
        <w:t xml:space="preserve">    </w:t>
      </w:r>
      <w:r w:rsidRPr="00FA0D37">
        <w:rPr>
          <w:color w:val="808080"/>
        </w:rPr>
        <w:t>-- end of triggering of HARQ-ACK re-transmission on a PUCCH resource</w:t>
      </w:r>
    </w:p>
    <w:p w14:paraId="4BE4F0E6" w14:textId="77777777" w:rsidR="005D7926" w:rsidRPr="00FA0D37" w:rsidRDefault="005D7926" w:rsidP="00FA0D37">
      <w:pPr>
        <w:pStyle w:val="PL"/>
      </w:pPr>
    </w:p>
    <w:p w14:paraId="28FA9002" w14:textId="77777777" w:rsidR="005D7926" w:rsidRPr="00FA0D37" w:rsidRDefault="005D7926" w:rsidP="00FA0D37">
      <w:pPr>
        <w:pStyle w:val="PL"/>
        <w:rPr>
          <w:color w:val="808080"/>
        </w:rPr>
      </w:pPr>
      <w:r w:rsidRPr="00FA0D37">
        <w:t xml:space="preserve">    </w:t>
      </w:r>
      <w:r w:rsidRPr="00FA0D37">
        <w:rPr>
          <w:color w:val="808080"/>
        </w:rPr>
        <w:t>-- start of PUCCH Cell switching</w:t>
      </w:r>
    </w:p>
    <w:p w14:paraId="2F735825" w14:textId="77777777" w:rsidR="005D7926" w:rsidRPr="00FA0D37" w:rsidRDefault="005D7926" w:rsidP="00FA0D37">
      <w:pPr>
        <w:pStyle w:val="PL"/>
        <w:rPr>
          <w:color w:val="808080"/>
        </w:rPr>
      </w:pPr>
      <w:r w:rsidRPr="00FA0D37">
        <w:t xml:space="preserve">    pucch-sSCell-r17                         SCellIndex                                                    </w:t>
      </w:r>
      <w:r w:rsidRPr="00FA0D37">
        <w:rPr>
          <w:color w:val="993366"/>
        </w:rPr>
        <w:t>OPTIONAL</w:t>
      </w:r>
      <w:r w:rsidRPr="00FA0D37">
        <w:t xml:space="preserve">,   </w:t>
      </w:r>
      <w:r w:rsidRPr="00FA0D37">
        <w:rPr>
          <w:color w:val="808080"/>
        </w:rPr>
        <w:t>-- Need R</w:t>
      </w:r>
    </w:p>
    <w:p w14:paraId="77095EDA" w14:textId="77777777" w:rsidR="005D7926" w:rsidRPr="00FA0D37" w:rsidRDefault="005D7926" w:rsidP="00FA0D37">
      <w:pPr>
        <w:pStyle w:val="PL"/>
        <w:rPr>
          <w:color w:val="808080"/>
        </w:rPr>
      </w:pPr>
      <w:r w:rsidRPr="00FA0D37">
        <w:t xml:space="preserve">    pucch-sSCellSecondaryPUCCHgroup-r17      SCellIndex                                                    </w:t>
      </w:r>
      <w:r w:rsidRPr="00FA0D37">
        <w:rPr>
          <w:color w:val="993366"/>
        </w:rPr>
        <w:t>OPTIONAL</w:t>
      </w:r>
      <w:r w:rsidRPr="00FA0D37">
        <w:t xml:space="preserve">,   </w:t>
      </w:r>
      <w:r w:rsidRPr="00FA0D37">
        <w:rPr>
          <w:color w:val="808080"/>
        </w:rPr>
        <w:t>-- Cond twoPUCCHgroup</w:t>
      </w:r>
    </w:p>
    <w:p w14:paraId="3D88C21D" w14:textId="77777777" w:rsidR="005D7926" w:rsidRPr="00FA0D37" w:rsidRDefault="005D7926" w:rsidP="00FA0D37">
      <w:pPr>
        <w:pStyle w:val="PL"/>
        <w:rPr>
          <w:color w:val="808080"/>
        </w:rPr>
      </w:pPr>
      <w:r w:rsidRPr="00FA0D37">
        <w:t xml:space="preserve">    pucch-sSCellDyn-r17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428BA22F" w14:textId="77777777" w:rsidR="005D7926" w:rsidRPr="00FA0D37" w:rsidRDefault="005D7926" w:rsidP="00FA0D37">
      <w:pPr>
        <w:pStyle w:val="PL"/>
        <w:rPr>
          <w:color w:val="808080"/>
        </w:rPr>
      </w:pPr>
      <w:r w:rsidRPr="00FA0D37">
        <w:t xml:space="preserve">    pucch-sSCellDynSecondaryPUCCHgroup-r17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Cond twoPUCCHgroup</w:t>
      </w:r>
    </w:p>
    <w:p w14:paraId="01D9C224" w14:textId="77777777" w:rsidR="005D7926" w:rsidRPr="00FA0D37" w:rsidRDefault="005D7926" w:rsidP="00FA0D37">
      <w:pPr>
        <w:pStyle w:val="PL"/>
        <w:rPr>
          <w:color w:val="808080"/>
        </w:rPr>
      </w:pPr>
      <w:r w:rsidRPr="00FA0D37">
        <w:t xml:space="preserve">    pucch-sSCellPattern-r17                      </w:t>
      </w:r>
      <w:r w:rsidRPr="00FA0D37">
        <w:rPr>
          <w:color w:val="993366"/>
        </w:rPr>
        <w:t>SEQUENCE</w:t>
      </w:r>
      <w:r w:rsidRPr="00FA0D37">
        <w:t xml:space="preserve"> (</w:t>
      </w:r>
      <w:r w:rsidRPr="00FA0D37">
        <w:rPr>
          <w:color w:val="993366"/>
        </w:rPr>
        <w:t>SIZE</w:t>
      </w:r>
      <w:r w:rsidRPr="00FA0D37">
        <w:t>(1..maxNrofSlots))</w:t>
      </w:r>
      <w:r w:rsidRPr="00FA0D37">
        <w:rPr>
          <w:color w:val="993366"/>
        </w:rPr>
        <w:t xml:space="preserve"> OF</w:t>
      </w:r>
      <w:r w:rsidRPr="00FA0D37">
        <w:t xml:space="preserve">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R</w:t>
      </w:r>
    </w:p>
    <w:p w14:paraId="19F9831F" w14:textId="77777777" w:rsidR="005D7926" w:rsidRPr="00FA0D37" w:rsidRDefault="005D7926" w:rsidP="00FA0D37">
      <w:pPr>
        <w:pStyle w:val="PL"/>
        <w:rPr>
          <w:color w:val="808080"/>
        </w:rPr>
      </w:pPr>
      <w:r w:rsidRPr="00FA0D37">
        <w:t xml:space="preserve">    pucch-sSCellPatternSecondaryPUCCHgroup-r17   </w:t>
      </w:r>
      <w:r w:rsidRPr="00FA0D37">
        <w:rPr>
          <w:color w:val="993366"/>
        </w:rPr>
        <w:t>SEQUENCE</w:t>
      </w:r>
      <w:r w:rsidRPr="00FA0D37">
        <w:t xml:space="preserve"> (</w:t>
      </w:r>
      <w:r w:rsidRPr="00FA0D37">
        <w:rPr>
          <w:color w:val="993366"/>
        </w:rPr>
        <w:t>SIZE</w:t>
      </w:r>
      <w:r w:rsidRPr="00FA0D37">
        <w:t>(1..maxNrofSlots))</w:t>
      </w:r>
      <w:r w:rsidRPr="00FA0D37">
        <w:rPr>
          <w:color w:val="993366"/>
        </w:rPr>
        <w:t xml:space="preserve"> OF</w:t>
      </w:r>
      <w:r w:rsidRPr="00FA0D37">
        <w:t xml:space="preserve">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Cond twoPUCCHgroup</w:t>
      </w:r>
    </w:p>
    <w:p w14:paraId="1427FDE7" w14:textId="77777777" w:rsidR="005D7926" w:rsidRPr="00FA0D37" w:rsidRDefault="005D7926" w:rsidP="00FA0D37">
      <w:pPr>
        <w:pStyle w:val="PL"/>
        <w:rPr>
          <w:color w:val="808080"/>
        </w:rPr>
      </w:pPr>
      <w:r w:rsidRPr="00FA0D37">
        <w:t xml:space="preserve">    </w:t>
      </w:r>
      <w:r w:rsidRPr="00FA0D37">
        <w:rPr>
          <w:color w:val="808080"/>
        </w:rPr>
        <w:t>-- end of PUCCH Cell switching</w:t>
      </w:r>
    </w:p>
    <w:p w14:paraId="5D4455E4" w14:textId="77777777" w:rsidR="005D7926" w:rsidRPr="00FA0D37" w:rsidRDefault="005D7926" w:rsidP="00FA0D37">
      <w:pPr>
        <w:pStyle w:val="PL"/>
      </w:pPr>
    </w:p>
    <w:p w14:paraId="219FF6E7" w14:textId="77777777" w:rsidR="005D7926" w:rsidRPr="00FA0D37" w:rsidRDefault="005D7926" w:rsidP="00FA0D37">
      <w:pPr>
        <w:pStyle w:val="PL"/>
        <w:rPr>
          <w:color w:val="808080"/>
        </w:rPr>
      </w:pPr>
      <w:r w:rsidRPr="00FA0D37">
        <w:t xml:space="preserve">    uci-MuxWithDiffPrio-r17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10CFC50D" w14:textId="01572951" w:rsidR="005D7926" w:rsidRPr="00FA0D37" w:rsidRDefault="005D7926" w:rsidP="00FA0D37">
      <w:pPr>
        <w:pStyle w:val="PL"/>
        <w:rPr>
          <w:color w:val="808080"/>
        </w:rPr>
      </w:pPr>
      <w:r w:rsidRPr="00FA0D37">
        <w:t xml:space="preserve">    uci-MuxWithDiffPrioSecondaryPUCCHgroup-r17     </w:t>
      </w:r>
      <w:r w:rsidRPr="00FA0D37">
        <w:rPr>
          <w:color w:val="993366"/>
        </w:rPr>
        <w:t>ENUMERATED</w:t>
      </w:r>
      <w:r w:rsidRPr="00FA0D37">
        <w:t xml:space="preserve"> {enabled}                  </w:t>
      </w:r>
      <w:r w:rsidR="006C48AD" w:rsidRPr="00FA0D37">
        <w:t xml:space="preserve"> </w:t>
      </w:r>
      <w:r w:rsidRPr="00FA0D37">
        <w:t xml:space="preserve">      </w:t>
      </w:r>
      <w:r w:rsidRPr="00FA0D37">
        <w:rPr>
          <w:color w:val="993366"/>
        </w:rPr>
        <w:t>OPTIONAL</w:t>
      </w:r>
      <w:r w:rsidRPr="00FA0D37">
        <w:t xml:space="preserve">,   </w:t>
      </w:r>
      <w:r w:rsidRPr="00FA0D37">
        <w:rPr>
          <w:color w:val="808080"/>
        </w:rPr>
        <w:t>-- Cond twoPUCCHgroup</w:t>
      </w:r>
    </w:p>
    <w:p w14:paraId="0DC741FE" w14:textId="77777777" w:rsidR="005D7926" w:rsidRPr="00FA0D37" w:rsidRDefault="005D7926" w:rsidP="00FA0D37">
      <w:pPr>
        <w:pStyle w:val="PL"/>
        <w:rPr>
          <w:color w:val="808080"/>
        </w:rPr>
      </w:pPr>
      <w:r w:rsidRPr="00FA0D37">
        <w:t xml:space="preserve">    simultaneousPUCCH-PUSCH-r17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303B5E94" w14:textId="77777777" w:rsidR="005D7926" w:rsidRPr="00FA0D37" w:rsidRDefault="005D7926" w:rsidP="00FA0D37">
      <w:pPr>
        <w:pStyle w:val="PL"/>
        <w:rPr>
          <w:color w:val="808080"/>
        </w:rPr>
      </w:pPr>
      <w:r w:rsidRPr="00FA0D37">
        <w:t xml:space="preserve">    simultaneousPUCCH-PUSCH-SecondaryPUCCHgroup-r17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Cond twoPUCCHgroup</w:t>
      </w:r>
    </w:p>
    <w:p w14:paraId="70A81B2B" w14:textId="77777777" w:rsidR="005D7926" w:rsidRPr="00FA0D37" w:rsidRDefault="005D7926" w:rsidP="00FA0D37">
      <w:pPr>
        <w:pStyle w:val="PL"/>
      </w:pPr>
    </w:p>
    <w:p w14:paraId="7C2744CB" w14:textId="3471F848" w:rsidR="005D7926" w:rsidRPr="00FA0D37" w:rsidRDefault="005D7926" w:rsidP="00FA0D37">
      <w:pPr>
        <w:pStyle w:val="PL"/>
        <w:rPr>
          <w:color w:val="808080"/>
        </w:rPr>
      </w:pPr>
      <w:r w:rsidRPr="00FA0D37">
        <w:t xml:space="preserve">    prioLowDG-HighCG-r17          </w:t>
      </w:r>
      <w:r w:rsidR="006C48AD" w:rsidRPr="00FA0D37">
        <w:t xml:space="preserve">  </w:t>
      </w:r>
      <w:r w:rsidRPr="00FA0D37">
        <w:t xml:space="preserve">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09870979" w14:textId="5247CE62" w:rsidR="005D7926" w:rsidRPr="00FA0D37" w:rsidRDefault="005D7926" w:rsidP="00FA0D37">
      <w:pPr>
        <w:pStyle w:val="PL"/>
        <w:rPr>
          <w:color w:val="808080"/>
        </w:rPr>
      </w:pPr>
      <w:r w:rsidRPr="00FA0D37">
        <w:t xml:space="preserve">    prioHighDG-LowCG-r17            </w:t>
      </w:r>
      <w:r w:rsidR="006C48AD" w:rsidRPr="00FA0D37">
        <w:t xml:space="preserve">  </w:t>
      </w:r>
      <w:r w:rsidRPr="00FA0D37">
        <w:rPr>
          <w:color w:val="993366"/>
        </w:rPr>
        <w:t>ENUMERATED</w:t>
      </w:r>
      <w:r w:rsidRPr="00FA0D37">
        <w:t xml:space="preserve"> {enabled}                                      </w:t>
      </w:r>
      <w:r w:rsidRPr="00FA0D37">
        <w:rPr>
          <w:color w:val="993366"/>
        </w:rPr>
        <w:t>OPTIONAL</w:t>
      </w:r>
      <w:r w:rsidR="00651368" w:rsidRPr="00FA0D37">
        <w:t>,</w:t>
      </w:r>
      <w:r w:rsidRPr="00FA0D37">
        <w:t xml:space="preserve">   </w:t>
      </w:r>
      <w:r w:rsidRPr="00FA0D37">
        <w:rPr>
          <w:color w:val="808080"/>
        </w:rPr>
        <w:t>-- Need R</w:t>
      </w:r>
    </w:p>
    <w:p w14:paraId="4498AE7E" w14:textId="031AC5D0" w:rsidR="00651368" w:rsidRPr="00FA0D37" w:rsidRDefault="00651368" w:rsidP="00FA0D37">
      <w:pPr>
        <w:pStyle w:val="PL"/>
        <w:rPr>
          <w:color w:val="808080"/>
        </w:rPr>
      </w:pPr>
      <w:r w:rsidRPr="00FA0D37">
        <w:t xml:space="preserve">    twoQCLTypeDforPDCCHRepetition-r17 </w:t>
      </w:r>
      <w:r w:rsidRPr="00FA0D37">
        <w:rPr>
          <w:color w:val="993366"/>
        </w:rPr>
        <w:t>ENUMERATED</w:t>
      </w:r>
      <w:r w:rsidRPr="00FA0D37">
        <w:t xml:space="preserve"> {enabled}                                      </w:t>
      </w:r>
      <w:r w:rsidRPr="00FA0D37">
        <w:rPr>
          <w:color w:val="993366"/>
        </w:rPr>
        <w:t>OPTIONAL</w:t>
      </w:r>
      <w:r w:rsidR="006C48AD" w:rsidRPr="00FA0D37">
        <w:t>,</w:t>
      </w:r>
      <w:r w:rsidRPr="00FA0D37">
        <w:t xml:space="preserve">   </w:t>
      </w:r>
      <w:r w:rsidRPr="00FA0D37">
        <w:rPr>
          <w:color w:val="808080"/>
        </w:rPr>
        <w:t>-- Need R</w:t>
      </w:r>
    </w:p>
    <w:p w14:paraId="6F302932" w14:textId="173787DF" w:rsidR="006C48AD" w:rsidRPr="00FA0D37" w:rsidRDefault="006C48AD" w:rsidP="00FA0D37">
      <w:pPr>
        <w:pStyle w:val="PL"/>
        <w:rPr>
          <w:color w:val="808080"/>
        </w:rPr>
      </w:pPr>
      <w:r w:rsidRPr="00FA0D37">
        <w:t xml:space="preserve">    multicastConfig-r17               SetupRelease { MulticastConfig-r17 }                      </w:t>
      </w:r>
      <w:r w:rsidRPr="00FA0D37">
        <w:rPr>
          <w:color w:val="993366"/>
        </w:rPr>
        <w:t>OPTIONAL</w:t>
      </w:r>
      <w:r w:rsidR="004D1E3D" w:rsidRPr="00FA0D37">
        <w:t>,</w:t>
      </w:r>
      <w:r w:rsidRPr="00FA0D37">
        <w:t xml:space="preserve">   </w:t>
      </w:r>
      <w:r w:rsidRPr="00FA0D37">
        <w:rPr>
          <w:color w:val="808080"/>
        </w:rPr>
        <w:t>-- Need M</w:t>
      </w:r>
    </w:p>
    <w:p w14:paraId="29F9CD84" w14:textId="77777777" w:rsidR="004D1E3D" w:rsidRPr="00FA0D37" w:rsidRDefault="004D1E3D" w:rsidP="00FA0D37">
      <w:pPr>
        <w:pStyle w:val="PL"/>
        <w:rPr>
          <w:color w:val="808080"/>
        </w:rPr>
      </w:pPr>
      <w:r w:rsidRPr="00FA0D37">
        <w:t xml:space="preserve">    pdcch-BlindDetectionCA-CombIndicator-r17 SetupRelease { PDCCH-BlindDetectionCA-CombIndicator-r17 }  </w:t>
      </w:r>
      <w:r w:rsidRPr="00FA0D37">
        <w:rPr>
          <w:color w:val="993366"/>
        </w:rPr>
        <w:t>OPTIONAL</w:t>
      </w:r>
      <w:r w:rsidRPr="00FA0D37">
        <w:t xml:space="preserve">   </w:t>
      </w:r>
      <w:r w:rsidRPr="00FA0D37">
        <w:rPr>
          <w:color w:val="808080"/>
        </w:rPr>
        <w:t>-- Need M</w:t>
      </w:r>
    </w:p>
    <w:p w14:paraId="03682140" w14:textId="6E441F38" w:rsidR="00AF19DF" w:rsidRPr="00FA0D37" w:rsidRDefault="005D7926" w:rsidP="00FA0D37">
      <w:pPr>
        <w:pStyle w:val="PL"/>
      </w:pPr>
      <w:r w:rsidRPr="00FA0D37">
        <w:t xml:space="preserve">    ]]</w:t>
      </w:r>
      <w:r w:rsidR="00AF19DF" w:rsidRPr="00FA0D37">
        <w:t>,</w:t>
      </w:r>
    </w:p>
    <w:p w14:paraId="4CD05690" w14:textId="77777777" w:rsidR="00AF19DF" w:rsidRPr="00FA0D37" w:rsidRDefault="00AF19DF" w:rsidP="00FA0D37">
      <w:pPr>
        <w:pStyle w:val="PL"/>
      </w:pPr>
      <w:r w:rsidRPr="00FA0D37">
        <w:t xml:space="preserve">    [[</w:t>
      </w:r>
    </w:p>
    <w:p w14:paraId="6F95A2A2" w14:textId="36C57011" w:rsidR="00AF19DF" w:rsidRPr="00FA0D37" w:rsidRDefault="00AF19DF" w:rsidP="00FA0D37">
      <w:pPr>
        <w:pStyle w:val="PL"/>
        <w:rPr>
          <w:color w:val="808080"/>
        </w:rPr>
      </w:pPr>
      <w:r w:rsidRPr="00FA0D37">
        <w:t xml:space="preserve">    simultaneousSR-PUSCH-diffPUCCH-Groups-r17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Cond twoPUCCHgroup</w:t>
      </w:r>
    </w:p>
    <w:p w14:paraId="356293D0" w14:textId="0FACA63D" w:rsidR="00934D2F" w:rsidRPr="00FA0D37" w:rsidRDefault="00AF19DF" w:rsidP="00FA0D37">
      <w:pPr>
        <w:pStyle w:val="PL"/>
      </w:pPr>
      <w:r w:rsidRPr="00FA0D37">
        <w:t xml:space="preserve">    ]]</w:t>
      </w:r>
      <w:r w:rsidR="00934D2F" w:rsidRPr="00FA0D37">
        <w:t>,</w:t>
      </w:r>
    </w:p>
    <w:p w14:paraId="21CD55DA" w14:textId="77777777" w:rsidR="00934D2F" w:rsidRPr="00FA0D37" w:rsidRDefault="00934D2F" w:rsidP="00FA0D37">
      <w:pPr>
        <w:pStyle w:val="PL"/>
      </w:pPr>
      <w:r w:rsidRPr="00FA0D37">
        <w:lastRenderedPageBreak/>
        <w:t xml:space="preserve">    [[</w:t>
      </w:r>
    </w:p>
    <w:p w14:paraId="5D634404" w14:textId="77777777" w:rsidR="00934D2F" w:rsidRPr="00FA0D37" w:rsidRDefault="00934D2F" w:rsidP="00FA0D37">
      <w:pPr>
        <w:pStyle w:val="PL"/>
        <w:rPr>
          <w:color w:val="808080"/>
        </w:rPr>
      </w:pPr>
      <w:r w:rsidRPr="00FA0D37">
        <w:t xml:space="preserve">    intraBandNC-PRACH-simulTx-r17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1F9BCC0F" w14:textId="37B1AD69" w:rsidR="0041749F" w:rsidRPr="00FA0D37" w:rsidRDefault="00934D2F" w:rsidP="00FA0D37">
      <w:pPr>
        <w:pStyle w:val="PL"/>
      </w:pPr>
      <w:r w:rsidRPr="00FA0D37">
        <w:t xml:space="preserve">    ]]</w:t>
      </w:r>
      <w:r w:rsidR="0041749F" w:rsidRPr="00FA0D37">
        <w:t>,</w:t>
      </w:r>
    </w:p>
    <w:p w14:paraId="36F0263B" w14:textId="56D6EE9F" w:rsidR="0041749F" w:rsidRPr="00FA0D37" w:rsidRDefault="0041749F" w:rsidP="00FA0D37">
      <w:pPr>
        <w:pStyle w:val="PL"/>
      </w:pPr>
      <w:r w:rsidRPr="00FA0D37">
        <w:t xml:space="preserve">    [[</w:t>
      </w:r>
    </w:p>
    <w:p w14:paraId="35F7638D" w14:textId="23C7D6F5" w:rsidR="0041749F" w:rsidRPr="00FA0D37" w:rsidRDefault="0041749F" w:rsidP="00FA0D37">
      <w:pPr>
        <w:pStyle w:val="PL"/>
        <w:rPr>
          <w:color w:val="808080"/>
        </w:rPr>
      </w:pPr>
      <w:r w:rsidRPr="00FA0D37">
        <w:t xml:space="preserve">    pdcch-BlindDetection4-r17         SetupRelease { PDCCH-BlindDetection4-r17 }                </w:t>
      </w:r>
      <w:r w:rsidRPr="00FA0D37">
        <w:rPr>
          <w:color w:val="993366"/>
        </w:rPr>
        <w:t>OPTIONAL</w:t>
      </w:r>
      <w:r w:rsidRPr="00FA0D37">
        <w:t xml:space="preserve">    </w:t>
      </w:r>
      <w:r w:rsidRPr="00FA0D37">
        <w:rPr>
          <w:color w:val="808080"/>
        </w:rPr>
        <w:t>-- Need M</w:t>
      </w:r>
    </w:p>
    <w:p w14:paraId="15E793C0" w14:textId="54B7A899" w:rsidR="00394471" w:rsidRPr="00FA0D37" w:rsidRDefault="0041749F" w:rsidP="00FA0D37">
      <w:pPr>
        <w:pStyle w:val="PL"/>
      </w:pPr>
      <w:r w:rsidRPr="00FA0D37">
        <w:t xml:space="preserve">    ]]</w:t>
      </w:r>
    </w:p>
    <w:p w14:paraId="701BEFF5" w14:textId="77777777" w:rsidR="00394471" w:rsidRPr="00FA0D37" w:rsidRDefault="00394471" w:rsidP="00FA0D37">
      <w:pPr>
        <w:pStyle w:val="PL"/>
      </w:pPr>
      <w:r w:rsidRPr="00FA0D37">
        <w:t>}</w:t>
      </w:r>
    </w:p>
    <w:p w14:paraId="7AD18795" w14:textId="77777777" w:rsidR="00394471" w:rsidRPr="00FA0D37" w:rsidRDefault="00394471" w:rsidP="00FA0D37">
      <w:pPr>
        <w:pStyle w:val="PL"/>
      </w:pPr>
    </w:p>
    <w:p w14:paraId="0013C567" w14:textId="77777777" w:rsidR="005D7926" w:rsidRPr="00FA0D37" w:rsidRDefault="005D7926" w:rsidP="00FA0D37">
      <w:pPr>
        <w:pStyle w:val="PL"/>
      </w:pPr>
    </w:p>
    <w:p w14:paraId="1188A835" w14:textId="77777777" w:rsidR="005D7926" w:rsidRPr="00FA0D37" w:rsidRDefault="005D7926" w:rsidP="00FA0D37">
      <w:pPr>
        <w:pStyle w:val="PL"/>
      </w:pPr>
      <w:r w:rsidRPr="00FA0D37">
        <w:t xml:space="preserve">PDSCH-HARQ-ACK-EnhType3-r17 ::=         </w:t>
      </w:r>
      <w:r w:rsidRPr="00FA0D37">
        <w:rPr>
          <w:color w:val="993366"/>
        </w:rPr>
        <w:t>SEQUENCE</w:t>
      </w:r>
      <w:r w:rsidRPr="00FA0D37">
        <w:t xml:space="preserve"> {</w:t>
      </w:r>
    </w:p>
    <w:p w14:paraId="42A9BE0A" w14:textId="77777777" w:rsidR="005D7926" w:rsidRPr="00FA0D37" w:rsidRDefault="005D7926" w:rsidP="00FA0D37">
      <w:pPr>
        <w:pStyle w:val="PL"/>
      </w:pPr>
      <w:r w:rsidRPr="00FA0D37">
        <w:t xml:space="preserve">    pdsch-HARQ-ACK-EnhType3Index-r17    PDSCH-HARQ-ACK-EnhType3Index-r17,</w:t>
      </w:r>
    </w:p>
    <w:p w14:paraId="04EC6364" w14:textId="77777777" w:rsidR="005D7926" w:rsidRPr="00FA0D37" w:rsidRDefault="005D7926" w:rsidP="00FA0D37">
      <w:pPr>
        <w:pStyle w:val="PL"/>
      </w:pPr>
      <w:r w:rsidRPr="00FA0D37">
        <w:t xml:space="preserve">    applicable-r17   </w:t>
      </w:r>
      <w:r w:rsidRPr="00FA0D37">
        <w:rPr>
          <w:color w:val="993366"/>
        </w:rPr>
        <w:t>CHOICE</w:t>
      </w:r>
      <w:r w:rsidRPr="00FA0D37">
        <w:t xml:space="preserve"> {</w:t>
      </w:r>
    </w:p>
    <w:p w14:paraId="7BADA7D9" w14:textId="77777777" w:rsidR="005D7926" w:rsidRPr="00FA0D37" w:rsidRDefault="005D7926" w:rsidP="00FA0D37">
      <w:pPr>
        <w:pStyle w:val="PL"/>
      </w:pPr>
      <w:r w:rsidRPr="00FA0D37">
        <w:t xml:space="preserve">        perCC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w:t>
      </w:r>
      <w:r w:rsidRPr="00FA0D37">
        <w:rPr>
          <w:color w:val="993366"/>
        </w:rPr>
        <w:t>INTEGER</w:t>
      </w:r>
      <w:r w:rsidRPr="00FA0D37">
        <w:t xml:space="preserve"> (0..1),</w:t>
      </w:r>
    </w:p>
    <w:p w14:paraId="500D3CB2" w14:textId="77777777" w:rsidR="005D7926" w:rsidRPr="00FA0D37" w:rsidRDefault="005D7926" w:rsidP="00FA0D37">
      <w:pPr>
        <w:pStyle w:val="PL"/>
      </w:pPr>
      <w:r w:rsidRPr="00FA0D37">
        <w:t xml:space="preserve">        perHARQ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26DE6516" w14:textId="77777777" w:rsidR="005D7926" w:rsidRPr="00FA0D37" w:rsidRDefault="005D7926" w:rsidP="00FA0D37">
      <w:pPr>
        <w:pStyle w:val="PL"/>
      </w:pPr>
      <w:r w:rsidRPr="00FA0D37">
        <w:t xml:space="preserve">    },</w:t>
      </w:r>
    </w:p>
    <w:p w14:paraId="3CD8D076" w14:textId="77777777" w:rsidR="005D7926" w:rsidRPr="00FA0D37" w:rsidRDefault="005D7926" w:rsidP="00FA0D37">
      <w:pPr>
        <w:pStyle w:val="PL"/>
        <w:rPr>
          <w:color w:val="808080"/>
        </w:rPr>
      </w:pPr>
      <w:r w:rsidRPr="00FA0D37">
        <w:t xml:space="preserve">    pdsch-HARQ-ACK-EnhType3NDI-r17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64C2260B" w14:textId="77777777" w:rsidR="005D7926" w:rsidRPr="00FA0D37" w:rsidRDefault="005D7926" w:rsidP="00FA0D37">
      <w:pPr>
        <w:pStyle w:val="PL"/>
        <w:rPr>
          <w:color w:val="808080"/>
        </w:rPr>
      </w:pPr>
      <w:r w:rsidRPr="00FA0D37">
        <w:t xml:space="preserve">    pdsch-HARQ-ACK-EnhType3CBG-r17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073A5269" w14:textId="6773BBEF" w:rsidR="005D7926" w:rsidRPr="00FA0D37" w:rsidRDefault="005D7926" w:rsidP="00FA0D37">
      <w:pPr>
        <w:pStyle w:val="PL"/>
      </w:pPr>
      <w:r w:rsidRPr="00FA0D37">
        <w:t xml:space="preserve">    ...</w:t>
      </w:r>
      <w:r w:rsidR="00E76A07" w:rsidRPr="00FA0D37">
        <w:t>,</w:t>
      </w:r>
    </w:p>
    <w:p w14:paraId="09E7484C" w14:textId="77777777" w:rsidR="00E76A07" w:rsidRPr="00FA0D37" w:rsidRDefault="00E76A07" w:rsidP="00FA0D37">
      <w:pPr>
        <w:pStyle w:val="PL"/>
      </w:pPr>
      <w:r w:rsidRPr="00FA0D37">
        <w:t xml:space="preserve">    [[</w:t>
      </w:r>
    </w:p>
    <w:p w14:paraId="08CD5472" w14:textId="09BED66F" w:rsidR="00E76A07" w:rsidRPr="00FA0D37" w:rsidRDefault="00E76A07" w:rsidP="00FA0D37">
      <w:pPr>
        <w:pStyle w:val="PL"/>
        <w:rPr>
          <w:color w:val="808080"/>
        </w:rPr>
      </w:pPr>
      <w:r w:rsidRPr="00FA0D37">
        <w:t xml:space="preserve">    perHARQ-Ext-r17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 </w:t>
      </w:r>
      <w:r w:rsidRPr="00FA0D37">
        <w:rPr>
          <w:color w:val="993366"/>
        </w:rPr>
        <w:t>OPTIONAL</w:t>
      </w:r>
      <w:r w:rsidRPr="00FA0D37">
        <w:t xml:space="preserve"> </w:t>
      </w:r>
      <w:r w:rsidRPr="00FA0D37">
        <w:rPr>
          <w:color w:val="808080"/>
        </w:rPr>
        <w:t>-- Need R</w:t>
      </w:r>
    </w:p>
    <w:p w14:paraId="21D78271" w14:textId="77777777" w:rsidR="009A73F3" w:rsidRPr="00FA0D37" w:rsidRDefault="00E76A07" w:rsidP="00FA0D37">
      <w:pPr>
        <w:pStyle w:val="PL"/>
      </w:pPr>
      <w:r w:rsidRPr="00FA0D37">
        <w:t xml:space="preserve">    ]</w:t>
      </w:r>
      <w:r w:rsidR="009A73F3" w:rsidRPr="00FA0D37">
        <w:t>]</w:t>
      </w:r>
    </w:p>
    <w:p w14:paraId="63783486" w14:textId="657703BE" w:rsidR="005D7926" w:rsidRPr="00FA0D37" w:rsidRDefault="005D7926" w:rsidP="00FA0D37">
      <w:pPr>
        <w:pStyle w:val="PL"/>
      </w:pPr>
      <w:r w:rsidRPr="00FA0D37">
        <w:t>}</w:t>
      </w:r>
    </w:p>
    <w:p w14:paraId="1583E33B" w14:textId="77777777" w:rsidR="005D7926" w:rsidRPr="00FA0D37" w:rsidRDefault="005D7926" w:rsidP="00FA0D37">
      <w:pPr>
        <w:pStyle w:val="PL"/>
      </w:pPr>
    </w:p>
    <w:p w14:paraId="7FB10D25" w14:textId="77777777" w:rsidR="005D7926" w:rsidRPr="00FA0D37" w:rsidRDefault="005D7926" w:rsidP="00FA0D37">
      <w:pPr>
        <w:pStyle w:val="PL"/>
      </w:pPr>
      <w:r w:rsidRPr="00FA0D37">
        <w:t xml:space="preserve">PDSCH-HARQ-ACK-EnhType3Index-r17 ::=    </w:t>
      </w:r>
      <w:r w:rsidRPr="00FA0D37">
        <w:rPr>
          <w:color w:val="993366"/>
        </w:rPr>
        <w:t>INTEGER</w:t>
      </w:r>
      <w:r w:rsidRPr="00FA0D37">
        <w:t xml:space="preserve"> (0..maxNrofEnhType3HARQ-ACK-1-r17)</w:t>
      </w:r>
    </w:p>
    <w:p w14:paraId="4F1A8D0A" w14:textId="77777777" w:rsidR="005D7926" w:rsidRPr="00FA0D37" w:rsidRDefault="005D7926" w:rsidP="00FA0D37">
      <w:pPr>
        <w:pStyle w:val="PL"/>
      </w:pPr>
    </w:p>
    <w:p w14:paraId="534B4974" w14:textId="78076780" w:rsidR="00394471" w:rsidRPr="00FA0D37" w:rsidRDefault="00394471" w:rsidP="00FA0D37">
      <w:pPr>
        <w:pStyle w:val="PL"/>
      </w:pPr>
      <w:r w:rsidRPr="00FA0D37">
        <w:t xml:space="preserve">PDCCH-BlindDetection ::=                </w:t>
      </w:r>
      <w:r w:rsidRPr="00FA0D37">
        <w:rPr>
          <w:color w:val="993366"/>
        </w:rPr>
        <w:t>INTEGER</w:t>
      </w:r>
      <w:r w:rsidRPr="00FA0D37">
        <w:t xml:space="preserve"> (1..15)</w:t>
      </w:r>
    </w:p>
    <w:p w14:paraId="0A4DB764" w14:textId="77777777" w:rsidR="00394471" w:rsidRPr="00FA0D37" w:rsidRDefault="00394471" w:rsidP="00FA0D37">
      <w:pPr>
        <w:pStyle w:val="PL"/>
      </w:pPr>
    </w:p>
    <w:p w14:paraId="62813F68" w14:textId="77777777" w:rsidR="00394471" w:rsidRPr="00FA0D37" w:rsidRDefault="00394471" w:rsidP="00FA0D37">
      <w:pPr>
        <w:pStyle w:val="PL"/>
      </w:pPr>
      <w:r w:rsidRPr="00FA0D37">
        <w:t xml:space="preserve">DCP-Config-r16 ::=                  </w:t>
      </w:r>
      <w:r w:rsidRPr="00FA0D37">
        <w:rPr>
          <w:color w:val="993366"/>
        </w:rPr>
        <w:t>SEQUENCE</w:t>
      </w:r>
      <w:r w:rsidRPr="00FA0D37">
        <w:t xml:space="preserve"> {</w:t>
      </w:r>
    </w:p>
    <w:p w14:paraId="136A6EF2" w14:textId="77777777" w:rsidR="00394471" w:rsidRPr="00FA0D37" w:rsidRDefault="00394471" w:rsidP="00FA0D37">
      <w:pPr>
        <w:pStyle w:val="PL"/>
      </w:pPr>
      <w:r w:rsidRPr="00FA0D37">
        <w:t xml:space="preserve">    ps-RNTI-r16                         RNTI-Value,</w:t>
      </w:r>
    </w:p>
    <w:p w14:paraId="752EFE8C" w14:textId="77777777" w:rsidR="00394471" w:rsidRPr="00FA0D37" w:rsidRDefault="00394471" w:rsidP="00FA0D37">
      <w:pPr>
        <w:pStyle w:val="PL"/>
      </w:pPr>
      <w:r w:rsidRPr="00FA0D37">
        <w:t xml:space="preserve">    ps-Offset-r16                       </w:t>
      </w:r>
      <w:r w:rsidRPr="00FA0D37">
        <w:rPr>
          <w:color w:val="993366"/>
        </w:rPr>
        <w:t>INTEGER</w:t>
      </w:r>
      <w:r w:rsidRPr="00FA0D37">
        <w:t xml:space="preserve"> (1..120),</w:t>
      </w:r>
    </w:p>
    <w:p w14:paraId="26E82963" w14:textId="77777777" w:rsidR="00394471" w:rsidRPr="00FA0D37" w:rsidRDefault="00394471" w:rsidP="00FA0D37">
      <w:pPr>
        <w:pStyle w:val="PL"/>
      </w:pPr>
      <w:r w:rsidRPr="00FA0D37">
        <w:t xml:space="preserve">    sizeDCI-2-6-r16                     </w:t>
      </w:r>
      <w:r w:rsidRPr="00FA0D37">
        <w:rPr>
          <w:color w:val="993366"/>
        </w:rPr>
        <w:t>INTEGER</w:t>
      </w:r>
      <w:r w:rsidRPr="00FA0D37">
        <w:t xml:space="preserve"> (1..maxDCI-2-6-Size-r16),</w:t>
      </w:r>
    </w:p>
    <w:p w14:paraId="33887D6D" w14:textId="77777777" w:rsidR="00394471" w:rsidRPr="00FA0D37" w:rsidRDefault="00394471" w:rsidP="00FA0D37">
      <w:pPr>
        <w:pStyle w:val="PL"/>
      </w:pPr>
      <w:r w:rsidRPr="00FA0D37">
        <w:t xml:space="preserve">    ps-PositionDCI-2-6-r16              </w:t>
      </w:r>
      <w:r w:rsidRPr="00FA0D37">
        <w:rPr>
          <w:color w:val="993366"/>
        </w:rPr>
        <w:t>INTEGER</w:t>
      </w:r>
      <w:r w:rsidRPr="00FA0D37">
        <w:t xml:space="preserve"> (0..maxDCI-2-6-Size-1-r16),</w:t>
      </w:r>
    </w:p>
    <w:p w14:paraId="16409CDC" w14:textId="77777777" w:rsidR="00394471" w:rsidRPr="00FA0D37" w:rsidRDefault="00394471" w:rsidP="00FA0D37">
      <w:pPr>
        <w:pStyle w:val="PL"/>
        <w:rPr>
          <w:color w:val="808080"/>
        </w:rPr>
      </w:pPr>
      <w:r w:rsidRPr="00FA0D37">
        <w:t xml:space="preserve">    ps-WakeUp-r16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47CE6ABB" w14:textId="77777777" w:rsidR="00394471" w:rsidRPr="00FA0D37" w:rsidRDefault="00394471" w:rsidP="00FA0D37">
      <w:pPr>
        <w:pStyle w:val="PL"/>
        <w:rPr>
          <w:color w:val="808080"/>
        </w:rPr>
      </w:pPr>
      <w:r w:rsidRPr="00FA0D37">
        <w:t xml:space="preserve">    ps-TransmitPeriodicL1-RSRP-r16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54E1545C" w14:textId="77777777" w:rsidR="00394471" w:rsidRPr="00FA0D37" w:rsidRDefault="00394471" w:rsidP="00FA0D37">
      <w:pPr>
        <w:pStyle w:val="PL"/>
        <w:rPr>
          <w:color w:val="808080"/>
        </w:rPr>
      </w:pPr>
      <w:r w:rsidRPr="00FA0D37">
        <w:t xml:space="preserve">    ps-TransmitOtherPeriodicCSI-r16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636E31C0" w14:textId="77777777" w:rsidR="00394471" w:rsidRPr="00FA0D37" w:rsidRDefault="00394471" w:rsidP="00FA0D37">
      <w:pPr>
        <w:pStyle w:val="PL"/>
      </w:pPr>
      <w:r w:rsidRPr="00FA0D37">
        <w:t>}</w:t>
      </w:r>
    </w:p>
    <w:p w14:paraId="157774E9" w14:textId="77777777" w:rsidR="00394471" w:rsidRPr="00FA0D37" w:rsidRDefault="00394471" w:rsidP="00FA0D37">
      <w:pPr>
        <w:pStyle w:val="PL"/>
      </w:pPr>
    </w:p>
    <w:p w14:paraId="22CCC02D" w14:textId="77777777" w:rsidR="00394471" w:rsidRPr="00FA0D37" w:rsidRDefault="00394471" w:rsidP="00FA0D37">
      <w:pPr>
        <w:pStyle w:val="PL"/>
      </w:pPr>
      <w:r w:rsidRPr="00FA0D37">
        <w:t xml:space="preserve">PDSCH-HARQ-ACK-CodebookList-r16 ::=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w:t>
      </w:r>
      <w:r w:rsidRPr="00FA0D37">
        <w:rPr>
          <w:color w:val="993366"/>
        </w:rPr>
        <w:t>ENUMERATED</w:t>
      </w:r>
      <w:r w:rsidRPr="00FA0D37">
        <w:t xml:space="preserve"> {semiStatic, dynamic}</w:t>
      </w:r>
    </w:p>
    <w:p w14:paraId="23F5344C" w14:textId="77777777" w:rsidR="00394471" w:rsidRPr="00FA0D37" w:rsidRDefault="00394471" w:rsidP="00FA0D37">
      <w:pPr>
        <w:pStyle w:val="PL"/>
      </w:pPr>
    </w:p>
    <w:p w14:paraId="10E4190F" w14:textId="77777777" w:rsidR="00394471" w:rsidRPr="00FA0D37" w:rsidRDefault="00394471" w:rsidP="00FA0D37">
      <w:pPr>
        <w:pStyle w:val="PL"/>
      </w:pPr>
      <w:r w:rsidRPr="00FA0D37">
        <w:t xml:space="preserve">PDCCH-BlindDetectionCA-CombIndicator-r16 ::= </w:t>
      </w:r>
      <w:r w:rsidRPr="00FA0D37">
        <w:rPr>
          <w:color w:val="993366"/>
        </w:rPr>
        <w:t>SEQUENCE</w:t>
      </w:r>
      <w:r w:rsidRPr="00FA0D37">
        <w:t xml:space="preserve"> {</w:t>
      </w:r>
    </w:p>
    <w:p w14:paraId="19A218F0" w14:textId="77777777" w:rsidR="00394471" w:rsidRPr="00FA0D37" w:rsidRDefault="00394471" w:rsidP="00FA0D37">
      <w:pPr>
        <w:pStyle w:val="PL"/>
      </w:pPr>
      <w:r w:rsidRPr="00FA0D37">
        <w:t xml:space="preserve">    pdcch-BlindDetectionCA1-r16                  </w:t>
      </w:r>
      <w:r w:rsidRPr="00FA0D37">
        <w:rPr>
          <w:color w:val="993366"/>
        </w:rPr>
        <w:t>INTEGER</w:t>
      </w:r>
      <w:r w:rsidRPr="00FA0D37">
        <w:t xml:space="preserve"> (1..15),</w:t>
      </w:r>
    </w:p>
    <w:p w14:paraId="7AA36369" w14:textId="77777777" w:rsidR="00394471" w:rsidRPr="00FA0D37" w:rsidRDefault="00394471" w:rsidP="00FA0D37">
      <w:pPr>
        <w:pStyle w:val="PL"/>
      </w:pPr>
      <w:r w:rsidRPr="00FA0D37">
        <w:t xml:space="preserve">    pdcch-BlindDetectionCA2-r16                  </w:t>
      </w:r>
      <w:r w:rsidRPr="00FA0D37">
        <w:rPr>
          <w:color w:val="993366"/>
        </w:rPr>
        <w:t>INTEGER</w:t>
      </w:r>
      <w:r w:rsidRPr="00FA0D37">
        <w:t xml:space="preserve"> (1..15)</w:t>
      </w:r>
    </w:p>
    <w:p w14:paraId="6929A422" w14:textId="77777777" w:rsidR="00394471" w:rsidRPr="00FA0D37" w:rsidRDefault="00394471" w:rsidP="00FA0D37">
      <w:pPr>
        <w:pStyle w:val="PL"/>
      </w:pPr>
      <w:r w:rsidRPr="00FA0D37">
        <w:t>}</w:t>
      </w:r>
    </w:p>
    <w:p w14:paraId="7D8AA941" w14:textId="77777777" w:rsidR="00394471" w:rsidRPr="00FA0D37" w:rsidRDefault="00394471" w:rsidP="00FA0D37">
      <w:pPr>
        <w:pStyle w:val="PL"/>
      </w:pPr>
    </w:p>
    <w:p w14:paraId="4B8C1AF3" w14:textId="77777777" w:rsidR="00394471" w:rsidRPr="00FA0D37" w:rsidRDefault="00394471" w:rsidP="00FA0D37">
      <w:pPr>
        <w:pStyle w:val="PL"/>
      </w:pPr>
      <w:r w:rsidRPr="00FA0D37">
        <w:t xml:space="preserve">PDCCH-BlindDetection2-r16 ::=                </w:t>
      </w:r>
      <w:r w:rsidRPr="00FA0D37">
        <w:rPr>
          <w:color w:val="993366"/>
        </w:rPr>
        <w:t>INTEGER</w:t>
      </w:r>
      <w:r w:rsidRPr="00FA0D37">
        <w:t xml:space="preserve"> (1..15)</w:t>
      </w:r>
    </w:p>
    <w:p w14:paraId="58F2AB53" w14:textId="77777777" w:rsidR="00394471" w:rsidRPr="00FA0D37" w:rsidRDefault="00394471" w:rsidP="00FA0D37">
      <w:pPr>
        <w:pStyle w:val="PL"/>
      </w:pPr>
    </w:p>
    <w:p w14:paraId="70A38131" w14:textId="77777777" w:rsidR="00394471" w:rsidRPr="00FA0D37" w:rsidRDefault="00394471" w:rsidP="00FA0D37">
      <w:pPr>
        <w:pStyle w:val="PL"/>
      </w:pPr>
      <w:r w:rsidRPr="00FA0D37">
        <w:t xml:space="preserve">PDCCH-BlindDetection3-r16 ::=                </w:t>
      </w:r>
      <w:r w:rsidRPr="00FA0D37">
        <w:rPr>
          <w:color w:val="993366"/>
        </w:rPr>
        <w:t>INTEGER</w:t>
      </w:r>
      <w:r w:rsidRPr="00FA0D37">
        <w:t xml:space="preserve"> (1..15)</w:t>
      </w:r>
    </w:p>
    <w:p w14:paraId="5774ACA2" w14:textId="77777777" w:rsidR="0041749F" w:rsidRPr="00FA0D37" w:rsidRDefault="0041749F" w:rsidP="00FA0D37">
      <w:pPr>
        <w:pStyle w:val="PL"/>
      </w:pPr>
    </w:p>
    <w:p w14:paraId="320F9978" w14:textId="77777777" w:rsidR="0041749F" w:rsidRPr="00FA0D37" w:rsidRDefault="0041749F" w:rsidP="00FA0D37">
      <w:pPr>
        <w:pStyle w:val="PL"/>
      </w:pPr>
      <w:r w:rsidRPr="00FA0D37">
        <w:t xml:space="preserve">PDCCH-BlindDetection4-r17 ::=                </w:t>
      </w:r>
      <w:r w:rsidRPr="00FA0D37">
        <w:rPr>
          <w:color w:val="993366"/>
        </w:rPr>
        <w:t>INTEGER</w:t>
      </w:r>
      <w:r w:rsidRPr="00FA0D37">
        <w:t xml:space="preserve"> (1..15)</w:t>
      </w:r>
    </w:p>
    <w:p w14:paraId="4BA0202C" w14:textId="5E5654C0" w:rsidR="00394471" w:rsidRPr="00FA0D37" w:rsidRDefault="00394471" w:rsidP="00FA0D37">
      <w:pPr>
        <w:pStyle w:val="PL"/>
      </w:pPr>
    </w:p>
    <w:p w14:paraId="312435A3" w14:textId="3641B9DB" w:rsidR="006C48AD" w:rsidRPr="00FA0D37" w:rsidRDefault="006C48AD" w:rsidP="00FA0D37">
      <w:pPr>
        <w:pStyle w:val="PL"/>
      </w:pPr>
      <w:r w:rsidRPr="00FA0D37">
        <w:t xml:space="preserve">MulticastConfig-r17 ::=                 </w:t>
      </w:r>
      <w:r w:rsidRPr="00FA0D37">
        <w:rPr>
          <w:color w:val="993366"/>
        </w:rPr>
        <w:t>SEQUENCE</w:t>
      </w:r>
      <w:r w:rsidRPr="00FA0D37">
        <w:t xml:space="preserve"> {</w:t>
      </w:r>
    </w:p>
    <w:p w14:paraId="552A8176" w14:textId="18EF6DBA" w:rsidR="006C48AD" w:rsidRPr="00FA0D37" w:rsidRDefault="006C48AD" w:rsidP="00FA0D37">
      <w:pPr>
        <w:pStyle w:val="PL"/>
        <w:rPr>
          <w:color w:val="808080"/>
        </w:rPr>
      </w:pPr>
      <w:r w:rsidRPr="00FA0D37">
        <w:lastRenderedPageBreak/>
        <w:t xml:space="preserve">    pdsch-HARQ-ACK-CodebookListMulticast-r17    SetupRelease { PDSCH-HARQ-ACK-CodebookList-r16}         </w:t>
      </w:r>
      <w:r w:rsidRPr="00FA0D37">
        <w:rPr>
          <w:color w:val="993366"/>
        </w:rPr>
        <w:t>OPTIONAL</w:t>
      </w:r>
      <w:r w:rsidRPr="00FA0D37">
        <w:t xml:space="preserve">,   </w:t>
      </w:r>
      <w:r w:rsidRPr="00FA0D37">
        <w:rPr>
          <w:color w:val="808080"/>
        </w:rPr>
        <w:t>-- Need M</w:t>
      </w:r>
    </w:p>
    <w:p w14:paraId="5AB55E23" w14:textId="114550DA" w:rsidR="006C48AD" w:rsidRPr="00FA0D37" w:rsidRDefault="006C48AD" w:rsidP="00FA0D37">
      <w:pPr>
        <w:pStyle w:val="PL"/>
        <w:rPr>
          <w:color w:val="808080"/>
        </w:rPr>
      </w:pPr>
      <w:r w:rsidRPr="00FA0D37">
        <w:t xml:space="preserve">    type1CodebookGenerationMode-r17           </w:t>
      </w:r>
      <w:r w:rsidR="002C350C" w:rsidRPr="00FA0D37">
        <w:t xml:space="preserve">  </w:t>
      </w:r>
      <w:r w:rsidRPr="00FA0D37">
        <w:rPr>
          <w:color w:val="993366"/>
        </w:rPr>
        <w:t>ENUMERATED</w:t>
      </w:r>
      <w:r w:rsidRPr="00FA0D37">
        <w:t xml:space="preserve"> { mode1, mode2}                              </w:t>
      </w:r>
      <w:r w:rsidRPr="00FA0D37">
        <w:rPr>
          <w:color w:val="993366"/>
        </w:rPr>
        <w:t>OPTIONAL</w:t>
      </w:r>
      <w:r w:rsidRPr="00FA0D37">
        <w:t xml:space="preserve">    </w:t>
      </w:r>
      <w:r w:rsidRPr="00FA0D37">
        <w:rPr>
          <w:color w:val="808080"/>
        </w:rPr>
        <w:t>-- Need M</w:t>
      </w:r>
    </w:p>
    <w:p w14:paraId="7AE94F7C" w14:textId="77777777" w:rsidR="006C48AD" w:rsidRPr="00FA0D37" w:rsidRDefault="006C48AD" w:rsidP="00FA0D37">
      <w:pPr>
        <w:pStyle w:val="PL"/>
      </w:pPr>
      <w:r w:rsidRPr="00FA0D37">
        <w:t>}</w:t>
      </w:r>
    </w:p>
    <w:p w14:paraId="5D57216D" w14:textId="77777777" w:rsidR="008C38BA" w:rsidRPr="00FA0D37" w:rsidRDefault="008C38BA" w:rsidP="00FA0D37">
      <w:pPr>
        <w:pStyle w:val="PL"/>
      </w:pPr>
    </w:p>
    <w:p w14:paraId="0513EDE9" w14:textId="3C5D2B69" w:rsidR="008C38BA" w:rsidRPr="00FA0D37" w:rsidRDefault="008C38BA" w:rsidP="00FA0D37">
      <w:pPr>
        <w:pStyle w:val="PL"/>
      </w:pPr>
      <w:r w:rsidRPr="00FA0D37">
        <w:t xml:space="preserve">PDCCH-BlindDetectionCA-CombIndicator-r17 ::= </w:t>
      </w:r>
      <w:r w:rsidRPr="00FA0D37">
        <w:rPr>
          <w:color w:val="993366"/>
        </w:rPr>
        <w:t>SEQUENCE</w:t>
      </w:r>
      <w:r w:rsidRPr="00FA0D37">
        <w:t xml:space="preserve"> {</w:t>
      </w:r>
    </w:p>
    <w:p w14:paraId="689AAAE8" w14:textId="1619172B" w:rsidR="008C38BA" w:rsidRPr="00FA0D37" w:rsidRDefault="008C38BA" w:rsidP="00FA0D37">
      <w:pPr>
        <w:pStyle w:val="PL"/>
        <w:rPr>
          <w:color w:val="808080"/>
        </w:rPr>
      </w:pPr>
      <w:r w:rsidRPr="00FA0D37">
        <w:t xml:space="preserve">    pdcch-BlindDetectionCA1-r17                  </w:t>
      </w:r>
      <w:r w:rsidRPr="00FA0D37">
        <w:rPr>
          <w:color w:val="993366"/>
        </w:rPr>
        <w:t>INTEGER</w:t>
      </w:r>
      <w:r w:rsidRPr="00FA0D37">
        <w:t xml:space="preserve"> (1..15)                                        </w:t>
      </w:r>
      <w:r w:rsidRPr="00FA0D37">
        <w:rPr>
          <w:color w:val="993366"/>
        </w:rPr>
        <w:t>OPTIONAL</w:t>
      </w:r>
      <w:r w:rsidRPr="00FA0D37">
        <w:t>,</w:t>
      </w:r>
      <w:r w:rsidR="00A345A2" w:rsidRPr="00FA0D37">
        <w:t xml:space="preserve">   </w:t>
      </w:r>
      <w:r w:rsidR="00A345A2" w:rsidRPr="00FA0D37">
        <w:rPr>
          <w:color w:val="808080"/>
        </w:rPr>
        <w:t>-- Need R</w:t>
      </w:r>
    </w:p>
    <w:p w14:paraId="109B6704" w14:textId="27FB1A50" w:rsidR="008C38BA" w:rsidRPr="00FA0D37" w:rsidRDefault="008C38BA" w:rsidP="00FA0D37">
      <w:pPr>
        <w:pStyle w:val="PL"/>
        <w:rPr>
          <w:color w:val="808080"/>
        </w:rPr>
      </w:pPr>
      <w:r w:rsidRPr="00FA0D37">
        <w:t xml:space="preserve">    pdcch-BlindDetectionCA2-r17                  </w:t>
      </w:r>
      <w:r w:rsidRPr="00FA0D37">
        <w:rPr>
          <w:color w:val="993366"/>
        </w:rPr>
        <w:t>INTEGER</w:t>
      </w:r>
      <w:r w:rsidRPr="00FA0D37">
        <w:t xml:space="preserve"> (1..15)                                        </w:t>
      </w:r>
      <w:r w:rsidRPr="00FA0D37">
        <w:rPr>
          <w:color w:val="993366"/>
        </w:rPr>
        <w:t>OPTIONAL</w:t>
      </w:r>
      <w:r w:rsidRPr="00FA0D37">
        <w:t>,</w:t>
      </w:r>
      <w:r w:rsidR="00A345A2" w:rsidRPr="00FA0D37">
        <w:t xml:space="preserve">   </w:t>
      </w:r>
      <w:r w:rsidR="00A345A2" w:rsidRPr="00FA0D37">
        <w:rPr>
          <w:color w:val="808080"/>
        </w:rPr>
        <w:t>-- Need R</w:t>
      </w:r>
    </w:p>
    <w:p w14:paraId="34CBCB09" w14:textId="5C6B3ADC" w:rsidR="008C38BA" w:rsidRPr="00FA0D37" w:rsidRDefault="008C38BA" w:rsidP="00FA0D37">
      <w:pPr>
        <w:pStyle w:val="PL"/>
      </w:pPr>
      <w:r w:rsidRPr="00FA0D37">
        <w:t xml:space="preserve">    pdcch-BlindDetectionCA3-r17                  </w:t>
      </w:r>
      <w:r w:rsidRPr="00FA0D37">
        <w:rPr>
          <w:color w:val="993366"/>
        </w:rPr>
        <w:t>INTEGER</w:t>
      </w:r>
      <w:r w:rsidRPr="00FA0D37">
        <w:t xml:space="preserve"> (1..15)</w:t>
      </w:r>
    </w:p>
    <w:p w14:paraId="30FE4469" w14:textId="1BA2E799" w:rsidR="006C48AD" w:rsidRPr="00FA0D37" w:rsidRDefault="008C38BA" w:rsidP="00FA0D37">
      <w:pPr>
        <w:pStyle w:val="PL"/>
      </w:pPr>
      <w:r w:rsidRPr="00FA0D37">
        <w:t>}</w:t>
      </w:r>
    </w:p>
    <w:p w14:paraId="539B98A5" w14:textId="77777777" w:rsidR="008C38BA" w:rsidRPr="00FA0D37" w:rsidRDefault="008C38BA" w:rsidP="00FA0D37">
      <w:pPr>
        <w:pStyle w:val="PL"/>
      </w:pPr>
    </w:p>
    <w:p w14:paraId="58FF1D10" w14:textId="77777777" w:rsidR="00394471" w:rsidRPr="00FA0D37" w:rsidRDefault="00394471" w:rsidP="00FA0D37">
      <w:pPr>
        <w:pStyle w:val="PL"/>
        <w:rPr>
          <w:color w:val="808080"/>
        </w:rPr>
      </w:pPr>
      <w:r w:rsidRPr="00FA0D37">
        <w:rPr>
          <w:color w:val="808080"/>
        </w:rPr>
        <w:t>-- TAG-PHYSICALCELLGROUPCONFIG-STOP</w:t>
      </w:r>
    </w:p>
    <w:p w14:paraId="4E0AC9ED" w14:textId="77777777" w:rsidR="00394471" w:rsidRPr="00FA0D37" w:rsidRDefault="00394471" w:rsidP="00FA0D37">
      <w:pPr>
        <w:pStyle w:val="PL"/>
        <w:rPr>
          <w:color w:val="808080"/>
        </w:rPr>
      </w:pPr>
      <w:r w:rsidRPr="00FA0D37">
        <w:rPr>
          <w:color w:val="808080"/>
        </w:rPr>
        <w:t>-- ASN1STOP</w:t>
      </w:r>
    </w:p>
    <w:p w14:paraId="0EF15E2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FA0D37" w:rsidRDefault="00394471" w:rsidP="00964CC4">
            <w:pPr>
              <w:pStyle w:val="TAH"/>
              <w:rPr>
                <w:szCs w:val="22"/>
                <w:lang w:eastAsia="sv-SE"/>
              </w:rPr>
            </w:pPr>
            <w:r w:rsidRPr="00FA0D37">
              <w:rPr>
                <w:i/>
                <w:szCs w:val="22"/>
                <w:lang w:eastAsia="sv-SE"/>
              </w:rPr>
              <w:lastRenderedPageBreak/>
              <w:t xml:space="preserve">PhysicalCellGroupConfig </w:t>
            </w:r>
            <w:r w:rsidRPr="00FA0D37">
              <w:rPr>
                <w:szCs w:val="22"/>
                <w:lang w:eastAsia="sv-SE"/>
              </w:rPr>
              <w:t>field descriptions</w:t>
            </w:r>
          </w:p>
        </w:tc>
      </w:tr>
      <w:tr w:rsidR="005C7FF4" w:rsidRPr="00FA0D37"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FA0D37" w:rsidRDefault="00394471" w:rsidP="00964CC4">
            <w:pPr>
              <w:pStyle w:val="TAL"/>
              <w:rPr>
                <w:b/>
                <w:i/>
                <w:lang w:eastAsia="sv-SE"/>
              </w:rPr>
            </w:pPr>
            <w:r w:rsidRPr="00FA0D37">
              <w:rPr>
                <w:b/>
                <w:i/>
                <w:lang w:eastAsia="sv-SE"/>
              </w:rPr>
              <w:t>ackNackFeedbackMode</w:t>
            </w:r>
          </w:p>
          <w:p w14:paraId="1FFECD06" w14:textId="730B0304" w:rsidR="00394471" w:rsidRPr="00FA0D37" w:rsidRDefault="00394471" w:rsidP="00964CC4">
            <w:pPr>
              <w:pStyle w:val="TAL"/>
              <w:rPr>
                <w:b/>
                <w:i/>
                <w:lang w:eastAsia="en-GB"/>
              </w:rPr>
            </w:pPr>
            <w:r w:rsidRPr="00FA0D37">
              <w:rPr>
                <w:lang w:eastAsia="sv-SE"/>
              </w:rPr>
              <w:t>Indicates which among the joint and separate ACK/NACK feedback modes to use within a slot as specified in TS 38.21</w:t>
            </w:r>
            <w:r w:rsidR="000514F7" w:rsidRPr="00FA0D37">
              <w:rPr>
                <w:lang w:eastAsia="sv-SE"/>
              </w:rPr>
              <w:t>3</w:t>
            </w:r>
            <w:r w:rsidR="005257F2" w:rsidRPr="00FA0D37">
              <w:rPr>
                <w:lang w:eastAsia="sv-SE"/>
              </w:rPr>
              <w:t xml:space="preserve"> [1</w:t>
            </w:r>
            <w:r w:rsidR="000514F7" w:rsidRPr="00FA0D37">
              <w:rPr>
                <w:lang w:eastAsia="sv-SE"/>
              </w:rPr>
              <w:t>3</w:t>
            </w:r>
            <w:r w:rsidR="005257F2" w:rsidRPr="00FA0D37">
              <w:rPr>
                <w:lang w:eastAsia="sv-SE"/>
              </w:rPr>
              <w:t>]</w:t>
            </w:r>
            <w:r w:rsidRPr="00FA0D37">
              <w:rPr>
                <w:lang w:eastAsia="sv-SE"/>
              </w:rPr>
              <w:t xml:space="preserve"> (clause 9).</w:t>
            </w:r>
          </w:p>
        </w:tc>
      </w:tr>
      <w:tr w:rsidR="005C7FF4" w:rsidRPr="00FA0D37"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FA0D37" w:rsidRDefault="00394471" w:rsidP="00964CC4">
            <w:pPr>
              <w:pStyle w:val="TAL"/>
              <w:rPr>
                <w:b/>
                <w:i/>
                <w:lang w:eastAsia="sv-SE"/>
              </w:rPr>
            </w:pPr>
            <w:r w:rsidRPr="00FA0D37">
              <w:rPr>
                <w:b/>
                <w:i/>
                <w:lang w:eastAsia="sv-SE"/>
              </w:rPr>
              <w:t>bdFactorR</w:t>
            </w:r>
          </w:p>
          <w:p w14:paraId="355A2004" w14:textId="77777777" w:rsidR="00394471" w:rsidRPr="00FA0D37" w:rsidRDefault="00394471" w:rsidP="00964CC4">
            <w:pPr>
              <w:pStyle w:val="TAL"/>
              <w:rPr>
                <w:bCs/>
                <w:iCs/>
                <w:lang w:eastAsia="sv-SE"/>
              </w:rPr>
            </w:pPr>
            <w:r w:rsidRPr="00FA0D37">
              <w:rPr>
                <w:bCs/>
                <w:iCs/>
                <w:lang w:eastAsia="sv-SE"/>
              </w:rPr>
              <w:t>Parameter for determining and distributing the maximum numbers of BD/CCE for mPDCCH based mPDSCH transmission as specified in TS 38.213 [13] Clause 10.1.</w:t>
            </w:r>
          </w:p>
        </w:tc>
      </w:tr>
      <w:tr w:rsidR="005C7FF4" w:rsidRPr="00FA0D37"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FA0D37" w:rsidRDefault="00394471" w:rsidP="00964CC4">
            <w:pPr>
              <w:pStyle w:val="TAL"/>
              <w:rPr>
                <w:lang w:eastAsia="en-GB"/>
              </w:rPr>
            </w:pPr>
            <w:r w:rsidRPr="00FA0D37">
              <w:rPr>
                <w:b/>
                <w:i/>
                <w:lang w:eastAsia="en-GB"/>
              </w:rPr>
              <w:t>cs-RNTI</w:t>
            </w:r>
          </w:p>
          <w:p w14:paraId="20386EE2" w14:textId="77777777" w:rsidR="00394471" w:rsidRPr="00FA0D37" w:rsidRDefault="00394471" w:rsidP="00964CC4">
            <w:pPr>
              <w:pStyle w:val="TAL"/>
              <w:rPr>
                <w:lang w:eastAsia="en-GB"/>
              </w:rPr>
            </w:pPr>
            <w:r w:rsidRPr="00FA0D37">
              <w:rPr>
                <w:lang w:eastAsia="en-GB"/>
              </w:rPr>
              <w:t xml:space="preserve">RNTI value for downlink SPS (see </w:t>
            </w:r>
            <w:r w:rsidRPr="00FA0D37">
              <w:rPr>
                <w:i/>
                <w:lang w:eastAsia="en-GB"/>
              </w:rPr>
              <w:t>SPS-Config</w:t>
            </w:r>
            <w:r w:rsidRPr="00FA0D37">
              <w:rPr>
                <w:lang w:eastAsia="en-GB"/>
              </w:rPr>
              <w:t xml:space="preserve">) and uplink configured grant (see </w:t>
            </w:r>
            <w:r w:rsidRPr="00FA0D37">
              <w:rPr>
                <w:i/>
                <w:lang w:eastAsia="en-GB"/>
              </w:rPr>
              <w:t>ConfiguredGrantConfig</w:t>
            </w:r>
            <w:r w:rsidRPr="00FA0D37">
              <w:rPr>
                <w:lang w:eastAsia="en-GB"/>
              </w:rPr>
              <w:t>).</w:t>
            </w:r>
          </w:p>
        </w:tc>
      </w:tr>
      <w:tr w:rsidR="005C7FF4" w:rsidRPr="00FA0D37"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FA0D37" w:rsidRDefault="00394471" w:rsidP="00964CC4">
            <w:pPr>
              <w:pStyle w:val="TAL"/>
              <w:rPr>
                <w:b/>
                <w:bCs/>
                <w:i/>
                <w:iCs/>
                <w:lang w:eastAsia="x-none"/>
              </w:rPr>
            </w:pPr>
            <w:r w:rsidRPr="00FA0D37">
              <w:rPr>
                <w:b/>
                <w:bCs/>
                <w:i/>
                <w:iCs/>
                <w:lang w:eastAsia="x-none"/>
              </w:rPr>
              <w:t>downlinkAssignmentIndexDCI-0-2</w:t>
            </w:r>
          </w:p>
          <w:p w14:paraId="515288AA" w14:textId="77777777" w:rsidR="00394471" w:rsidRPr="00FA0D37" w:rsidRDefault="00394471" w:rsidP="00964CC4">
            <w:pPr>
              <w:pStyle w:val="TAL"/>
              <w:rPr>
                <w:b/>
                <w:i/>
                <w:lang w:eastAsia="en-GB"/>
              </w:rPr>
            </w:pPr>
            <w:r w:rsidRPr="00FA0D37">
              <w:rPr>
                <w:noProof/>
                <w:lang w:eastAsia="sv-SE"/>
              </w:rPr>
              <w:t>Indicates if "Downlink assignment index" is present or absent in DCI format 0_2. If the field "</w:t>
            </w:r>
            <w:r w:rsidRPr="00FA0D37">
              <w:rPr>
                <w:i/>
                <w:noProof/>
                <w:lang w:eastAsia="sv-SE"/>
              </w:rPr>
              <w:t>downlinkAssignmentIndexDCI-0-2</w:t>
            </w:r>
            <w:r w:rsidRPr="00FA0D37">
              <w:rPr>
                <w:noProof/>
                <w:lang w:eastAsia="sv-SE"/>
              </w:rPr>
              <w:t>" is absent, then 0 bit for "Downlink assignment index" in DCI format 0_2. If the field "</w:t>
            </w:r>
            <w:r w:rsidRPr="00FA0D37">
              <w:rPr>
                <w:i/>
                <w:noProof/>
                <w:lang w:eastAsia="sv-SE"/>
              </w:rPr>
              <w:t>downlinkAssignmentIndexDCI-0-2</w:t>
            </w:r>
            <w:r w:rsidRPr="00FA0D37">
              <w:rPr>
                <w:noProof/>
                <w:lang w:eastAsia="sv-SE"/>
              </w:rPr>
              <w:t>" is present, then the bitwidth of "Downlink assignment index" in DCI format 0_2 is defined in the same was as that in DCI format 0_1 (see TS 38.212 [17], clause 7.3.1 and TS 38.213 [13], clause 9.1).</w:t>
            </w:r>
          </w:p>
        </w:tc>
      </w:tr>
      <w:tr w:rsidR="005C7FF4" w:rsidRPr="00FA0D37"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FA0D37" w:rsidRDefault="00394471" w:rsidP="00964CC4">
            <w:pPr>
              <w:pStyle w:val="TAL"/>
              <w:rPr>
                <w:b/>
                <w:bCs/>
                <w:i/>
                <w:iCs/>
                <w:lang w:eastAsia="x-none"/>
              </w:rPr>
            </w:pPr>
            <w:r w:rsidRPr="00FA0D37">
              <w:rPr>
                <w:b/>
                <w:bCs/>
                <w:i/>
                <w:iCs/>
                <w:lang w:eastAsia="x-none"/>
              </w:rPr>
              <w:t>downlinkAssignmentIndexDCI-1-2</w:t>
            </w:r>
          </w:p>
          <w:p w14:paraId="55DD4AA2" w14:textId="2B3B7544" w:rsidR="00394471" w:rsidRPr="00FA0D37" w:rsidRDefault="00394471" w:rsidP="00964CC4">
            <w:pPr>
              <w:pStyle w:val="TAL"/>
              <w:rPr>
                <w:b/>
                <w:i/>
                <w:lang w:eastAsia="en-GB"/>
              </w:rPr>
            </w:pPr>
            <w:r w:rsidRPr="00FA0D37">
              <w:rPr>
                <w:noProof/>
                <w:lang w:eastAsia="sv-SE"/>
              </w:rPr>
              <w:t xml:space="preserve">Configures the number of bits for "Downlink assignment index" in DCI format 1_2. If the field is absent, then 0 bit </w:t>
            </w:r>
            <w:r w:rsidR="00DF1A5D" w:rsidRPr="00FA0D37">
              <w:rPr>
                <w:noProof/>
                <w:lang w:eastAsia="sv-SE"/>
              </w:rPr>
              <w:t xml:space="preserve">is applied </w:t>
            </w:r>
            <w:r w:rsidRPr="00FA0D37">
              <w:rPr>
                <w:noProof/>
                <w:lang w:eastAsia="sv-SE"/>
              </w:rPr>
              <w:t xml:space="preserve">for "Downlink assignment index" in DCI format 1_2. Note that 1 bit and 2 bits are applied if only one serving cell is configured in the DL and </w:t>
            </w:r>
            <w:r w:rsidRPr="00FA0D37">
              <w:rPr>
                <w:i/>
                <w:iCs/>
                <w:noProof/>
                <w:lang w:eastAsia="sv-SE"/>
              </w:rPr>
              <w:t>pdsch-HARQ-ACK-Codebook</w:t>
            </w:r>
            <w:r w:rsidR="008779EC" w:rsidRPr="00FA0D37">
              <w:rPr>
                <w:noProof/>
                <w:lang w:eastAsia="sv-SE"/>
              </w:rPr>
              <w:t xml:space="preserve"> is set to </w:t>
            </w:r>
            <w:r w:rsidRPr="00FA0D37">
              <w:rPr>
                <w:i/>
                <w:iCs/>
                <w:noProof/>
                <w:lang w:eastAsia="sv-SE"/>
              </w:rPr>
              <w:t>dynamic</w:t>
            </w:r>
            <w:r w:rsidRPr="00FA0D37">
              <w:rPr>
                <w:noProof/>
                <w:lang w:eastAsia="sv-SE"/>
              </w:rPr>
              <w:t xml:space="preserve">. 4 bits is applied if more than one serving cell are configured in the DL and </w:t>
            </w:r>
            <w:r w:rsidRPr="00FA0D37">
              <w:rPr>
                <w:i/>
                <w:noProof/>
                <w:lang w:eastAsia="sv-SE"/>
              </w:rPr>
              <w:t>pdsch-HARQ-ACK-Codebook</w:t>
            </w:r>
            <w:r w:rsidRPr="00FA0D37">
              <w:rPr>
                <w:noProof/>
                <w:lang w:eastAsia="sv-SE"/>
              </w:rPr>
              <w:t xml:space="preserve"> is set to </w:t>
            </w:r>
            <w:r w:rsidRPr="00FA0D37">
              <w:rPr>
                <w:i/>
                <w:noProof/>
                <w:lang w:eastAsia="sv-SE"/>
              </w:rPr>
              <w:t>dynamic</w:t>
            </w:r>
            <w:r w:rsidRPr="00FA0D37">
              <w:rPr>
                <w:noProof/>
                <w:lang w:eastAsia="sv-SE"/>
              </w:rPr>
              <w:t xml:space="preserve"> (see TS 38.212 [17], clause 7.3.1 and TS 38.213 [13], clause 9.1).</w:t>
            </w:r>
          </w:p>
        </w:tc>
      </w:tr>
      <w:tr w:rsidR="005C7FF4" w:rsidRPr="00FA0D37"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FA0D37" w:rsidRDefault="00394471" w:rsidP="00964CC4">
            <w:pPr>
              <w:pStyle w:val="TAL"/>
              <w:rPr>
                <w:szCs w:val="22"/>
                <w:lang w:eastAsia="sv-SE"/>
              </w:rPr>
            </w:pPr>
            <w:r w:rsidRPr="00FA0D37">
              <w:rPr>
                <w:b/>
                <w:i/>
                <w:szCs w:val="22"/>
                <w:lang w:eastAsia="sv-SE"/>
              </w:rPr>
              <w:t>harq-ACK-SpatialBundlingPUCCH</w:t>
            </w:r>
          </w:p>
          <w:p w14:paraId="7AE4E5EE" w14:textId="2DF1BC3E" w:rsidR="00394471" w:rsidRPr="00FA0D37" w:rsidRDefault="00394471" w:rsidP="00964CC4">
            <w:pPr>
              <w:pStyle w:val="TAL"/>
              <w:rPr>
                <w:szCs w:val="22"/>
                <w:lang w:eastAsia="sv-SE"/>
              </w:rPr>
            </w:pPr>
            <w:r w:rsidRPr="00FA0D37">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FA0D37">
              <w:rPr>
                <w:szCs w:val="22"/>
              </w:rPr>
              <w:t xml:space="preserve">of PUCCH HARQ ACKs for the primary PUCCH group </w:t>
            </w:r>
            <w:r w:rsidRPr="00FA0D37">
              <w:rPr>
                <w:szCs w:val="22"/>
                <w:lang w:eastAsia="sv-SE"/>
              </w:rPr>
              <w:t xml:space="preserve">is disabled (see TS 38.213 [13], clause 9.1.2.1). If the field </w:t>
            </w:r>
            <w:r w:rsidRPr="00FA0D37">
              <w:rPr>
                <w:i/>
                <w:szCs w:val="22"/>
                <w:lang w:eastAsia="sv-SE"/>
              </w:rPr>
              <w:t xml:space="preserve">harq-ACK SpatialBundlingPUCCH-secondaryPUCCHgroup </w:t>
            </w:r>
            <w:r w:rsidRPr="00FA0D37">
              <w:rPr>
                <w:szCs w:val="22"/>
                <w:lang w:eastAsia="sv-SE"/>
              </w:rPr>
              <w:t xml:space="preserve">is present, </w:t>
            </w:r>
            <w:r w:rsidRPr="00FA0D37">
              <w:rPr>
                <w:i/>
                <w:szCs w:val="22"/>
                <w:lang w:eastAsia="sv-SE"/>
              </w:rPr>
              <w:t>harq-ACK-SpatialBundlingPUCCH</w:t>
            </w:r>
            <w:r w:rsidRPr="00FA0D37">
              <w:rPr>
                <w:szCs w:val="22"/>
                <w:lang w:eastAsia="sv-SE"/>
              </w:rPr>
              <w:t xml:space="preserve"> is only applied to primary PUCCH group.</w:t>
            </w:r>
            <w:r w:rsidR="00472FC5" w:rsidRPr="00FA0D37">
              <w:rPr>
                <w:szCs w:val="22"/>
                <w:lang w:eastAsia="sv-SE"/>
              </w:rPr>
              <w:t xml:space="preserve"> Network does not configure for a UE both spatial bundling of HARQ ACKs and </w:t>
            </w:r>
            <w:r w:rsidR="00472FC5" w:rsidRPr="00FA0D37">
              <w:rPr>
                <w:i/>
                <w:iCs/>
                <w:szCs w:val="22"/>
                <w:lang w:eastAsia="sv-SE"/>
              </w:rPr>
              <w:t>codeBlockGroupTransmission</w:t>
            </w:r>
            <w:r w:rsidR="00472FC5" w:rsidRPr="00FA0D37">
              <w:rPr>
                <w:szCs w:val="22"/>
                <w:lang w:eastAsia="sv-SE"/>
              </w:rPr>
              <w:t xml:space="preserve"> within the same cell group.</w:t>
            </w:r>
          </w:p>
        </w:tc>
      </w:tr>
      <w:tr w:rsidR="005C7FF4" w:rsidRPr="00FA0D37"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FA0D37" w:rsidRDefault="00394471" w:rsidP="00964CC4">
            <w:pPr>
              <w:pStyle w:val="TAL"/>
              <w:spacing w:line="254" w:lineRule="auto"/>
              <w:rPr>
                <w:szCs w:val="22"/>
                <w:lang w:eastAsia="sv-SE"/>
              </w:rPr>
            </w:pPr>
            <w:r w:rsidRPr="00FA0D37">
              <w:rPr>
                <w:b/>
                <w:i/>
                <w:szCs w:val="22"/>
                <w:lang w:eastAsia="sv-SE"/>
              </w:rPr>
              <w:t>harq-ACK-SpatialBundlingPUCCH-secondaryPUCCHgroup</w:t>
            </w:r>
          </w:p>
          <w:p w14:paraId="56725955" w14:textId="26796F5E" w:rsidR="00394471" w:rsidRPr="00FA0D37" w:rsidRDefault="00394471" w:rsidP="00964CC4">
            <w:pPr>
              <w:pStyle w:val="TAL"/>
              <w:rPr>
                <w:b/>
                <w:i/>
                <w:szCs w:val="22"/>
                <w:lang w:eastAsia="sv-SE"/>
              </w:rPr>
            </w:pPr>
            <w:r w:rsidRPr="00FA0D37">
              <w:rPr>
                <w:szCs w:val="22"/>
                <w:lang w:eastAsia="sv-SE"/>
              </w:rPr>
              <w:t>Indicates whether spatial bundling of PUCCH HARQ ACKs for the secondary PUCCH group is enabled or disabled. The field is only applicable when more than 4 layers are possible to schedule (see TS 38.213 [13], clause 9.1.2.1).</w:t>
            </w:r>
            <w:r w:rsidRPr="00FA0D37">
              <w:rPr>
                <w:szCs w:val="22"/>
              </w:rPr>
              <w:t xml:space="preserve"> When the field is absent, the use of spatial bundling of PUCCH HARQ ACKs for the secondary PUCCH group is indicated by </w:t>
            </w:r>
            <w:r w:rsidRPr="00FA0D37">
              <w:rPr>
                <w:i/>
                <w:szCs w:val="22"/>
              </w:rPr>
              <w:t>harq-ACK-SpatialBundlingPUCCH</w:t>
            </w:r>
            <w:r w:rsidRPr="00FA0D37">
              <w:rPr>
                <w:szCs w:val="22"/>
              </w:rPr>
              <w:t>. See TS 38.213 [13], clause 9.1.2.1.</w:t>
            </w:r>
            <w:r w:rsidR="00472FC5" w:rsidRPr="00FA0D37">
              <w:rPr>
                <w:szCs w:val="22"/>
              </w:rPr>
              <w:t xml:space="preserve"> Network does not configure for a UE both spatial bundling of HARQ ACKs and </w:t>
            </w:r>
            <w:r w:rsidR="00472FC5" w:rsidRPr="00FA0D37">
              <w:rPr>
                <w:i/>
                <w:iCs/>
                <w:szCs w:val="22"/>
              </w:rPr>
              <w:t>codeBlockGroupTransmission</w:t>
            </w:r>
            <w:r w:rsidR="00472FC5" w:rsidRPr="00FA0D37">
              <w:rPr>
                <w:szCs w:val="22"/>
              </w:rPr>
              <w:t xml:space="preserve"> within the same cell group.</w:t>
            </w:r>
          </w:p>
        </w:tc>
      </w:tr>
      <w:tr w:rsidR="005C7FF4" w:rsidRPr="00FA0D37"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FA0D37" w:rsidRDefault="00394471" w:rsidP="00964CC4">
            <w:pPr>
              <w:pStyle w:val="TAL"/>
              <w:rPr>
                <w:szCs w:val="22"/>
                <w:lang w:eastAsia="sv-SE"/>
              </w:rPr>
            </w:pPr>
            <w:r w:rsidRPr="00FA0D37">
              <w:rPr>
                <w:b/>
                <w:i/>
                <w:szCs w:val="22"/>
                <w:lang w:eastAsia="sv-SE"/>
              </w:rPr>
              <w:t>harq-ACK-SpatialBundlingPUSCH</w:t>
            </w:r>
          </w:p>
          <w:p w14:paraId="2DB475F3" w14:textId="40C44CC5" w:rsidR="00394471" w:rsidRPr="00FA0D37" w:rsidRDefault="00394471" w:rsidP="00964CC4">
            <w:pPr>
              <w:pStyle w:val="TAL"/>
              <w:rPr>
                <w:szCs w:val="22"/>
                <w:lang w:eastAsia="sv-SE"/>
              </w:rPr>
            </w:pPr>
            <w:r w:rsidRPr="00FA0D37">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FA0D37">
              <w:rPr>
                <w:szCs w:val="22"/>
              </w:rPr>
              <w:t xml:space="preserve">of PUSCH HARQ ACKs for the primary PUCCH group </w:t>
            </w:r>
            <w:r w:rsidRPr="00FA0D37">
              <w:rPr>
                <w:szCs w:val="22"/>
                <w:lang w:eastAsia="sv-SE"/>
              </w:rPr>
              <w:t xml:space="preserve">is disabled (see TS 38.213 [13], clauses 9.1.2.2 and 9.1.3.2). If the field </w:t>
            </w:r>
            <w:r w:rsidRPr="00FA0D37">
              <w:rPr>
                <w:i/>
                <w:szCs w:val="22"/>
                <w:lang w:eastAsia="sv-SE"/>
              </w:rPr>
              <w:t xml:space="preserve">harq-ACK SpatialBundlingPUSCH-secondaryPUCCHgroup </w:t>
            </w:r>
            <w:r w:rsidRPr="00FA0D37">
              <w:rPr>
                <w:szCs w:val="22"/>
                <w:lang w:eastAsia="sv-SE"/>
              </w:rPr>
              <w:t xml:space="preserve">is present, </w:t>
            </w:r>
            <w:r w:rsidRPr="00FA0D37">
              <w:rPr>
                <w:i/>
                <w:szCs w:val="22"/>
                <w:lang w:eastAsia="sv-SE"/>
              </w:rPr>
              <w:t>harq-ACK-SpatialBundlingPUSCH</w:t>
            </w:r>
            <w:r w:rsidRPr="00FA0D37">
              <w:rPr>
                <w:szCs w:val="22"/>
                <w:lang w:eastAsia="sv-SE"/>
              </w:rPr>
              <w:t xml:space="preserve"> is only applied to primary PUCCH group.</w:t>
            </w:r>
            <w:r w:rsidR="00472FC5" w:rsidRPr="00FA0D37">
              <w:rPr>
                <w:szCs w:val="22"/>
                <w:lang w:eastAsia="sv-SE"/>
              </w:rPr>
              <w:t xml:space="preserve"> Network does not configure for a UE both spatial bundling of HARQ ACKs and </w:t>
            </w:r>
            <w:r w:rsidR="00472FC5" w:rsidRPr="00FA0D37">
              <w:rPr>
                <w:i/>
                <w:iCs/>
                <w:szCs w:val="22"/>
                <w:lang w:eastAsia="sv-SE"/>
              </w:rPr>
              <w:t>codeBlockGroupTransmission</w:t>
            </w:r>
            <w:r w:rsidR="00472FC5" w:rsidRPr="00FA0D37">
              <w:rPr>
                <w:szCs w:val="22"/>
                <w:lang w:eastAsia="sv-SE"/>
              </w:rPr>
              <w:t xml:space="preserve"> within the same cell group.</w:t>
            </w:r>
          </w:p>
        </w:tc>
      </w:tr>
      <w:tr w:rsidR="005C7FF4" w:rsidRPr="00FA0D37"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FA0D37" w:rsidRDefault="00394471" w:rsidP="00964CC4">
            <w:pPr>
              <w:pStyle w:val="TAL"/>
              <w:spacing w:line="254" w:lineRule="auto"/>
              <w:rPr>
                <w:szCs w:val="22"/>
                <w:lang w:eastAsia="sv-SE"/>
              </w:rPr>
            </w:pPr>
            <w:r w:rsidRPr="00FA0D37">
              <w:rPr>
                <w:b/>
                <w:i/>
                <w:szCs w:val="22"/>
                <w:lang w:eastAsia="sv-SE"/>
              </w:rPr>
              <w:t>harq-ACK-SpatialBundlingPUSCH-secondaryPUCCHgroup</w:t>
            </w:r>
          </w:p>
          <w:p w14:paraId="0B996062" w14:textId="67821D66" w:rsidR="00394471" w:rsidRPr="00FA0D37" w:rsidRDefault="00394471" w:rsidP="00964CC4">
            <w:pPr>
              <w:pStyle w:val="TAL"/>
              <w:rPr>
                <w:b/>
                <w:i/>
                <w:szCs w:val="22"/>
                <w:lang w:eastAsia="sv-SE"/>
              </w:rPr>
            </w:pPr>
            <w:r w:rsidRPr="00FA0D37">
              <w:rPr>
                <w:szCs w:val="22"/>
                <w:lang w:eastAsia="sv-SE"/>
              </w:rPr>
              <w:t xml:space="preserve">Indicates whether </w:t>
            </w:r>
            <w:r w:rsidRPr="00FA0D37">
              <w:rPr>
                <w:szCs w:val="22"/>
              </w:rPr>
              <w:t>spatial bundling of PUSCH HARQ ACKs for the secondary PUCCH group is enabled or disabled.</w:t>
            </w:r>
            <w:r w:rsidRPr="00FA0D37">
              <w:rPr>
                <w:szCs w:val="22"/>
                <w:lang w:eastAsia="sv-SE"/>
              </w:rPr>
              <w:t xml:space="preserve"> The field is only applicable when more than 4 layers are possible to schedule (see TS 38.213 [13], clauses 9.1.2.2 and 9.1.3.2).</w:t>
            </w:r>
            <w:r w:rsidRPr="00FA0D37">
              <w:rPr>
                <w:szCs w:val="22"/>
              </w:rPr>
              <w:t xml:space="preserve"> When the field is absent, the use of spatial bundling of PUSCH HARQ ACKs for the secondary PUCCH group is indicated by </w:t>
            </w:r>
            <w:r w:rsidRPr="00FA0D37">
              <w:rPr>
                <w:i/>
                <w:szCs w:val="22"/>
              </w:rPr>
              <w:t>harq-ACK-SpatialBundlingPUSCH</w:t>
            </w:r>
            <w:r w:rsidRPr="00FA0D37">
              <w:rPr>
                <w:szCs w:val="22"/>
              </w:rPr>
              <w:t>. See TS 38.213 [13], clauses 9.1.2.2 and 9.1.3.2.</w:t>
            </w:r>
            <w:r w:rsidR="00472FC5" w:rsidRPr="00FA0D37">
              <w:rPr>
                <w:szCs w:val="22"/>
              </w:rPr>
              <w:t xml:space="preserve"> Network does not configure for a UE both spatial bundling of HARQ ACKs and </w:t>
            </w:r>
            <w:r w:rsidR="00472FC5" w:rsidRPr="00FA0D37">
              <w:rPr>
                <w:i/>
                <w:iCs/>
                <w:szCs w:val="22"/>
              </w:rPr>
              <w:t>codeBlockGroupTransmission</w:t>
            </w:r>
            <w:r w:rsidR="00472FC5" w:rsidRPr="00FA0D37">
              <w:rPr>
                <w:szCs w:val="22"/>
              </w:rPr>
              <w:t xml:space="preserve"> within the same cell group.</w:t>
            </w:r>
          </w:p>
        </w:tc>
      </w:tr>
      <w:tr w:rsidR="005C7FF4" w:rsidRPr="00FA0D37"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934D2F" w:rsidRPr="00FA0D37" w:rsidRDefault="00934D2F" w:rsidP="00934D2F">
            <w:pPr>
              <w:pStyle w:val="TAL"/>
              <w:rPr>
                <w:b/>
                <w:i/>
                <w:szCs w:val="22"/>
                <w:lang w:eastAsia="sv-SE"/>
              </w:rPr>
            </w:pPr>
            <w:r w:rsidRPr="00FA0D37">
              <w:rPr>
                <w:b/>
                <w:i/>
                <w:szCs w:val="22"/>
                <w:lang w:eastAsia="sv-SE"/>
              </w:rPr>
              <w:t>intraBandNC-PRACH-simulTx</w:t>
            </w:r>
          </w:p>
          <w:p w14:paraId="00013EDF" w14:textId="7F7C5028" w:rsidR="00934D2F" w:rsidRPr="00FA0D37" w:rsidRDefault="00934D2F" w:rsidP="00934D2F">
            <w:pPr>
              <w:pStyle w:val="TAL"/>
              <w:spacing w:line="254" w:lineRule="auto"/>
              <w:rPr>
                <w:b/>
                <w:i/>
                <w:szCs w:val="22"/>
                <w:lang w:eastAsia="sv-SE"/>
              </w:rPr>
            </w:pPr>
            <w:r w:rsidRPr="00FA0D37">
              <w:rPr>
                <w:bCs/>
                <w:iCs/>
                <w:szCs w:val="22"/>
                <w:lang w:eastAsia="sv-SE"/>
              </w:rPr>
              <w:t>Enables p</w:t>
            </w:r>
            <w:r w:rsidRPr="00FA0D37">
              <w:t>arallel PRACH and SRS/PUCCH/PUSCH transmissions across CCs in intra-band non-contiguous CA (see TS 38.213 [13], clause 8.1 and TS 38.214 [19], clause 6.2.1).</w:t>
            </w:r>
            <w:r w:rsidRPr="00FA0D37">
              <w:rPr>
                <w:rFonts w:eastAsia="Calibri"/>
                <w:bCs/>
                <w:iCs/>
                <w:szCs w:val="22"/>
                <w:lang w:eastAsia="sv-SE"/>
              </w:rPr>
              <w:t xml:space="preserve"> This field is absent in the IE </w:t>
            </w:r>
            <w:r w:rsidRPr="00FA0D37">
              <w:rPr>
                <w:rFonts w:eastAsia="Calibri"/>
                <w:bCs/>
                <w:i/>
                <w:szCs w:val="22"/>
                <w:lang w:eastAsia="sv-SE"/>
              </w:rPr>
              <w:t>CellGroupConfig</w:t>
            </w:r>
            <w:r w:rsidRPr="00FA0D37">
              <w:rPr>
                <w:rFonts w:eastAsia="Calibri"/>
                <w:bCs/>
                <w:iCs/>
                <w:szCs w:val="22"/>
                <w:lang w:eastAsia="sv-SE"/>
              </w:rPr>
              <w:t xml:space="preserve"> when provided as part of </w:t>
            </w:r>
            <w:r w:rsidRPr="00FA0D37">
              <w:rPr>
                <w:rFonts w:eastAsia="Calibri"/>
                <w:bCs/>
                <w:i/>
                <w:szCs w:val="22"/>
                <w:lang w:eastAsia="sv-SE"/>
              </w:rPr>
              <w:t>RRCSetup</w:t>
            </w:r>
            <w:r w:rsidRPr="00FA0D37">
              <w:rPr>
                <w:rFonts w:eastAsia="Calibri"/>
                <w:bCs/>
                <w:iCs/>
                <w:szCs w:val="22"/>
                <w:lang w:eastAsia="sv-SE"/>
              </w:rPr>
              <w:t xml:space="preserve"> message.</w:t>
            </w:r>
          </w:p>
        </w:tc>
      </w:tr>
      <w:tr w:rsidR="005C7FF4" w:rsidRPr="00FA0D37"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FA0D37" w:rsidRDefault="00394471" w:rsidP="00964CC4">
            <w:pPr>
              <w:pStyle w:val="TAL"/>
              <w:rPr>
                <w:szCs w:val="22"/>
                <w:lang w:eastAsia="sv-SE"/>
              </w:rPr>
            </w:pPr>
            <w:r w:rsidRPr="00FA0D37">
              <w:rPr>
                <w:b/>
                <w:i/>
                <w:szCs w:val="22"/>
                <w:lang w:eastAsia="sv-SE"/>
              </w:rPr>
              <w:t>mcs-C-RNTI</w:t>
            </w:r>
          </w:p>
          <w:p w14:paraId="2FD3B241" w14:textId="77777777" w:rsidR="00394471" w:rsidRPr="00FA0D37" w:rsidRDefault="00394471" w:rsidP="00964CC4">
            <w:pPr>
              <w:pStyle w:val="TAL"/>
              <w:rPr>
                <w:szCs w:val="22"/>
                <w:lang w:eastAsia="sv-SE"/>
              </w:rPr>
            </w:pPr>
            <w:r w:rsidRPr="00FA0D37">
              <w:rPr>
                <w:szCs w:val="22"/>
                <w:lang w:eastAsia="sv-SE"/>
              </w:rPr>
              <w:t xml:space="preserve">RNTI to indicate use of </w:t>
            </w:r>
            <w:r w:rsidRPr="00FA0D37">
              <w:rPr>
                <w:i/>
                <w:szCs w:val="22"/>
                <w:lang w:eastAsia="sv-SE"/>
              </w:rPr>
              <w:t>qam64LowSE</w:t>
            </w:r>
            <w:r w:rsidRPr="00FA0D37">
              <w:rPr>
                <w:szCs w:val="22"/>
                <w:lang w:eastAsia="sv-SE"/>
              </w:rPr>
              <w:t xml:space="preserve"> for grant-based transmissions. When the </w:t>
            </w:r>
            <w:r w:rsidRPr="00FA0D37">
              <w:rPr>
                <w:i/>
                <w:szCs w:val="22"/>
                <w:lang w:eastAsia="sv-SE"/>
              </w:rPr>
              <w:t>mcs</w:t>
            </w:r>
            <w:r w:rsidRPr="00FA0D37">
              <w:rPr>
                <w:szCs w:val="22"/>
                <w:lang w:eastAsia="sv-SE"/>
              </w:rPr>
              <w:t>-</w:t>
            </w:r>
            <w:r w:rsidRPr="00FA0D37">
              <w:rPr>
                <w:i/>
                <w:szCs w:val="22"/>
                <w:lang w:eastAsia="sv-SE"/>
              </w:rPr>
              <w:t>C-RNT</w:t>
            </w:r>
            <w:r w:rsidRPr="00FA0D37">
              <w:rPr>
                <w:i/>
                <w:iCs/>
                <w:szCs w:val="22"/>
                <w:lang w:eastAsia="sv-SE"/>
              </w:rPr>
              <w:t>I</w:t>
            </w:r>
            <w:r w:rsidRPr="00FA0D37">
              <w:rPr>
                <w:szCs w:val="22"/>
                <w:lang w:eastAsia="sv-SE"/>
              </w:rPr>
              <w:t xml:space="preserve"> is configured, RNTI scrambling of DCI CRC is used to choose the corresponding MCS table.</w:t>
            </w:r>
          </w:p>
        </w:tc>
      </w:tr>
      <w:tr w:rsidR="005C7FF4" w:rsidRPr="00FA0D37"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394471" w:rsidRPr="00FA0D37" w:rsidRDefault="00394471" w:rsidP="00964CC4">
            <w:pPr>
              <w:pStyle w:val="TAL"/>
              <w:rPr>
                <w:szCs w:val="22"/>
                <w:lang w:eastAsia="sv-SE"/>
              </w:rPr>
            </w:pPr>
            <w:r w:rsidRPr="00FA0D37">
              <w:rPr>
                <w:b/>
                <w:i/>
                <w:szCs w:val="22"/>
                <w:lang w:eastAsia="sv-SE"/>
              </w:rPr>
              <w:t>nfi-TotalDAI-Included</w:t>
            </w:r>
          </w:p>
          <w:p w14:paraId="10CF4141" w14:textId="77777777" w:rsidR="00394471" w:rsidRPr="00FA0D37" w:rsidRDefault="00394471" w:rsidP="00964CC4">
            <w:pPr>
              <w:pStyle w:val="TAL"/>
              <w:rPr>
                <w:b/>
                <w:i/>
                <w:szCs w:val="22"/>
                <w:lang w:eastAsia="sv-SE"/>
              </w:rPr>
            </w:pPr>
            <w:r w:rsidRPr="00FA0D37">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FA0D37">
              <w:rPr>
                <w:i/>
                <w:szCs w:val="22"/>
                <w:lang w:eastAsia="sv-SE"/>
              </w:rPr>
              <w:t xml:space="preserve">pdsch-HARQ-ACK-Codebook </w:t>
            </w:r>
            <w:r w:rsidRPr="00FA0D37">
              <w:rPr>
                <w:szCs w:val="22"/>
                <w:lang w:eastAsia="sv-SE"/>
              </w:rPr>
              <w:t xml:space="preserve">is set to </w:t>
            </w:r>
            <w:r w:rsidRPr="00FA0D37">
              <w:rPr>
                <w:i/>
                <w:szCs w:val="22"/>
                <w:lang w:eastAsia="sv-SE"/>
              </w:rPr>
              <w:t>enhancedDynamic</w:t>
            </w:r>
            <w:r w:rsidRPr="00FA0D37">
              <w:rPr>
                <w:szCs w:val="22"/>
                <w:lang w:eastAsia="sv-SE"/>
              </w:rPr>
              <w:t>).</w:t>
            </w:r>
          </w:p>
        </w:tc>
      </w:tr>
      <w:tr w:rsidR="005C7FF4" w:rsidRPr="00FA0D37"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394471" w:rsidRPr="00FA0D37" w:rsidRDefault="00394471" w:rsidP="00964CC4">
            <w:pPr>
              <w:pStyle w:val="TAL"/>
              <w:rPr>
                <w:b/>
                <w:bCs/>
                <w:i/>
                <w:iCs/>
                <w:lang w:eastAsia="x-none"/>
              </w:rPr>
            </w:pPr>
            <w:r w:rsidRPr="00FA0D37">
              <w:rPr>
                <w:b/>
                <w:bCs/>
                <w:i/>
                <w:iCs/>
                <w:lang w:eastAsia="x-none"/>
              </w:rPr>
              <w:lastRenderedPageBreak/>
              <w:t>nrdc-PCmode</w:t>
            </w:r>
            <w:r w:rsidRPr="00FA0D37">
              <w:rPr>
                <w:rFonts w:asciiTheme="minorEastAsia" w:eastAsiaTheme="minorEastAsia" w:hAnsiTheme="minorEastAsia"/>
                <w:b/>
                <w:bCs/>
                <w:i/>
                <w:iCs/>
                <w:lang w:eastAsia="zh-CN"/>
              </w:rPr>
              <w:t>-</w:t>
            </w:r>
            <w:r w:rsidRPr="00FA0D37">
              <w:rPr>
                <w:b/>
                <w:bCs/>
                <w:i/>
                <w:iCs/>
                <w:lang w:eastAsia="x-none"/>
              </w:rPr>
              <w:t>FR1</w:t>
            </w:r>
          </w:p>
          <w:p w14:paraId="1D4B625A" w14:textId="77777777" w:rsidR="00394471" w:rsidRPr="00FA0D37" w:rsidRDefault="00394471" w:rsidP="00964CC4">
            <w:pPr>
              <w:pStyle w:val="TAL"/>
              <w:rPr>
                <w:bCs/>
                <w:iCs/>
                <w:kern w:val="2"/>
                <w:lang w:eastAsia="sv-SE"/>
              </w:rPr>
            </w:pPr>
            <w:r w:rsidRPr="00FA0D37">
              <w:rPr>
                <w:szCs w:val="18"/>
                <w:lang w:eastAsia="sv-SE"/>
              </w:rPr>
              <w:t xml:space="preserve">Indicates the uplink power sharing mode that the UE uses in NR-DC in </w:t>
            </w:r>
            <w:r w:rsidRPr="00FA0D37">
              <w:rPr>
                <w:szCs w:val="24"/>
                <w:lang w:eastAsia="sv-SE"/>
              </w:rPr>
              <w:t>frequency range 1 (FR1) (see T</w:t>
            </w:r>
            <w:r w:rsidRPr="00FA0D37">
              <w:rPr>
                <w:lang w:eastAsia="sv-SE"/>
              </w:rPr>
              <w:t>S 38.213 [13], clause 7.6)</w:t>
            </w:r>
            <w:r w:rsidRPr="00FA0D37">
              <w:rPr>
                <w:szCs w:val="18"/>
                <w:lang w:eastAsia="sv-SE"/>
              </w:rPr>
              <w:t>.</w:t>
            </w:r>
          </w:p>
        </w:tc>
      </w:tr>
      <w:tr w:rsidR="005C7FF4" w:rsidRPr="00FA0D37"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394471" w:rsidRPr="00FA0D37" w:rsidRDefault="00394471" w:rsidP="00964CC4">
            <w:pPr>
              <w:pStyle w:val="TAL"/>
              <w:rPr>
                <w:b/>
                <w:bCs/>
                <w:i/>
                <w:iCs/>
                <w:lang w:eastAsia="x-none"/>
              </w:rPr>
            </w:pPr>
            <w:r w:rsidRPr="00FA0D37">
              <w:rPr>
                <w:b/>
                <w:bCs/>
                <w:i/>
                <w:iCs/>
                <w:lang w:eastAsia="x-none"/>
              </w:rPr>
              <w:t>nrdc-PCmode</w:t>
            </w:r>
            <w:r w:rsidRPr="00FA0D37">
              <w:rPr>
                <w:rFonts w:asciiTheme="minorEastAsia" w:eastAsiaTheme="minorEastAsia" w:hAnsiTheme="minorEastAsia"/>
                <w:b/>
                <w:bCs/>
                <w:i/>
                <w:iCs/>
                <w:lang w:eastAsia="zh-CN"/>
              </w:rPr>
              <w:t>-</w:t>
            </w:r>
            <w:r w:rsidRPr="00FA0D37">
              <w:rPr>
                <w:b/>
                <w:bCs/>
                <w:i/>
                <w:iCs/>
                <w:lang w:eastAsia="x-none"/>
              </w:rPr>
              <w:t>FR2</w:t>
            </w:r>
          </w:p>
          <w:p w14:paraId="0A9E7673" w14:textId="77777777" w:rsidR="00394471" w:rsidRPr="00FA0D37" w:rsidRDefault="00394471" w:rsidP="00964CC4">
            <w:pPr>
              <w:pStyle w:val="TAL"/>
              <w:rPr>
                <w:bCs/>
                <w:iCs/>
                <w:kern w:val="2"/>
                <w:lang w:eastAsia="sv-SE"/>
              </w:rPr>
            </w:pPr>
            <w:r w:rsidRPr="00FA0D37">
              <w:rPr>
                <w:szCs w:val="18"/>
                <w:lang w:eastAsia="sv-SE"/>
              </w:rPr>
              <w:t xml:space="preserve">Indicates the uplink power sharing mode that the UE uses in NR-DC in </w:t>
            </w:r>
            <w:r w:rsidRPr="00FA0D37">
              <w:rPr>
                <w:szCs w:val="24"/>
                <w:lang w:eastAsia="sv-SE"/>
              </w:rPr>
              <w:t>frequency range 2 (FR2) (see TS</w:t>
            </w:r>
            <w:r w:rsidRPr="00FA0D37">
              <w:rPr>
                <w:lang w:eastAsia="sv-SE"/>
              </w:rPr>
              <w:t xml:space="preserve"> 38.213 [13], clause 7.6)</w:t>
            </w:r>
            <w:r w:rsidRPr="00FA0D37">
              <w:rPr>
                <w:rFonts w:asciiTheme="minorEastAsia" w:eastAsiaTheme="minorEastAsia" w:hAnsiTheme="minorEastAsia"/>
                <w:lang w:eastAsia="zh-CN"/>
              </w:rPr>
              <w:t>.</w:t>
            </w:r>
          </w:p>
        </w:tc>
      </w:tr>
      <w:tr w:rsidR="005C7FF4" w:rsidRPr="00FA0D37"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0E54522B" w:rsidR="00394471" w:rsidRPr="00FA0D37" w:rsidRDefault="00394471" w:rsidP="00964CC4">
            <w:pPr>
              <w:pStyle w:val="TAL"/>
              <w:rPr>
                <w:b/>
                <w:bCs/>
                <w:i/>
                <w:iCs/>
                <w:kern w:val="2"/>
                <w:lang w:eastAsia="sv-SE"/>
              </w:rPr>
            </w:pPr>
            <w:r w:rsidRPr="00FA0D37">
              <w:rPr>
                <w:b/>
                <w:bCs/>
                <w:i/>
                <w:iCs/>
                <w:kern w:val="2"/>
                <w:lang w:eastAsia="sv-SE"/>
              </w:rPr>
              <w:t>pdcch-BlindDetection</w:t>
            </w:r>
            <w:r w:rsidRPr="00FA0D37">
              <w:rPr>
                <w:b/>
                <w:bCs/>
                <w:i/>
                <w:iCs/>
                <w:kern w:val="2"/>
              </w:rPr>
              <w:t>, pdcch-BlindDetection2, pdcch-BlindDetection3</w:t>
            </w:r>
            <w:r w:rsidR="0041749F" w:rsidRPr="00FA0D37">
              <w:rPr>
                <w:b/>
                <w:bCs/>
                <w:i/>
                <w:iCs/>
                <w:kern w:val="2"/>
              </w:rPr>
              <w:t>, pdcch-BlindDe</w:t>
            </w:r>
            <w:r w:rsidR="002247AB" w:rsidRPr="00FA0D37">
              <w:rPr>
                <w:b/>
                <w:bCs/>
                <w:i/>
                <w:iCs/>
                <w:kern w:val="2"/>
              </w:rPr>
              <w:t>te</w:t>
            </w:r>
            <w:r w:rsidR="0041749F" w:rsidRPr="00FA0D37">
              <w:rPr>
                <w:b/>
                <w:bCs/>
                <w:i/>
                <w:iCs/>
                <w:kern w:val="2"/>
              </w:rPr>
              <w:t>ction4</w:t>
            </w:r>
          </w:p>
          <w:p w14:paraId="6345F8F7" w14:textId="11187800" w:rsidR="00394471" w:rsidRPr="00FA0D37" w:rsidRDefault="00394471" w:rsidP="00964CC4">
            <w:pPr>
              <w:pStyle w:val="TAL"/>
              <w:rPr>
                <w:b/>
                <w:i/>
                <w:szCs w:val="22"/>
                <w:lang w:eastAsia="sv-SE"/>
              </w:rPr>
            </w:pPr>
            <w:r w:rsidRPr="00FA0D37">
              <w:rPr>
                <w:szCs w:val="18"/>
                <w:lang w:eastAsia="sv-SE"/>
              </w:rPr>
              <w:t>Indicates the reference number of cells for PDCCH blind detection for the CG.</w:t>
            </w:r>
            <w:r w:rsidRPr="00FA0D37">
              <w:rPr>
                <w:lang w:eastAsia="sv-SE"/>
              </w:rPr>
              <w:t xml:space="preserve"> Network configures the field for each CG when the UE is in NR DC and sets the value in accordance </w:t>
            </w:r>
            <w:r w:rsidRPr="00FA0D37">
              <w:rPr>
                <w:szCs w:val="18"/>
                <w:lang w:eastAsia="sv-SE"/>
              </w:rPr>
              <w:t xml:space="preserve">with the constraints specified in TS 38.213 </w:t>
            </w:r>
            <w:r w:rsidRPr="00FA0D37">
              <w:rPr>
                <w:szCs w:val="22"/>
                <w:lang w:eastAsia="sv-SE"/>
              </w:rPr>
              <w:t>[13].</w:t>
            </w:r>
            <w:r w:rsidRPr="00FA0D37">
              <w:rPr>
                <w:lang w:eastAsia="sv-SE"/>
              </w:rPr>
              <w:t xml:space="preserve"> The </w:t>
            </w:r>
            <w:r w:rsidRPr="00FA0D37">
              <w:rPr>
                <w:szCs w:val="22"/>
                <w:lang w:eastAsia="sv-SE"/>
              </w:rPr>
              <w:t xml:space="preserve">network configures </w:t>
            </w:r>
            <w:r w:rsidRPr="00FA0D37">
              <w:rPr>
                <w:i/>
                <w:szCs w:val="22"/>
                <w:lang w:eastAsia="sv-SE"/>
              </w:rPr>
              <w:t>pdcch-BlindDetection</w:t>
            </w:r>
            <w:r w:rsidRPr="00FA0D37">
              <w:rPr>
                <w:szCs w:val="22"/>
                <w:lang w:eastAsia="sv-SE"/>
              </w:rPr>
              <w:t xml:space="preserve"> only if the UE is in NR-DC.</w:t>
            </w:r>
            <w:r w:rsidRPr="00FA0D37">
              <w:rPr>
                <w:szCs w:val="22"/>
              </w:rPr>
              <w:t xml:space="preserve"> The network configures </w:t>
            </w:r>
            <w:r w:rsidRPr="00FA0D37">
              <w:rPr>
                <w:i/>
                <w:szCs w:val="22"/>
              </w:rPr>
              <w:t>pdcch-BlindDetection2</w:t>
            </w:r>
            <w:r w:rsidRPr="00FA0D37">
              <w:rPr>
                <w:szCs w:val="22"/>
              </w:rPr>
              <w:t xml:space="preserve"> only if the UE is in NR-DC with at least one downlink cell using Rel-16 PDCCH monitoring capability. The network configures </w:t>
            </w:r>
            <w:r w:rsidRPr="00FA0D37">
              <w:rPr>
                <w:i/>
                <w:szCs w:val="22"/>
              </w:rPr>
              <w:t>pdcch-BlindDetection3</w:t>
            </w:r>
            <w:r w:rsidRPr="00FA0D37">
              <w:rPr>
                <w:szCs w:val="22"/>
              </w:rPr>
              <w:t xml:space="preserve"> only if the UE is in NR-DC with at least one downlink cell using Rel-15 PDCCH monitoring capability.</w:t>
            </w:r>
            <w:r w:rsidR="0041749F" w:rsidRPr="00FA0D37">
              <w:rPr>
                <w:szCs w:val="22"/>
              </w:rPr>
              <w:t xml:space="preserve"> The network configures </w:t>
            </w:r>
            <w:r w:rsidR="0041749F" w:rsidRPr="00FA0D37">
              <w:rPr>
                <w:i/>
                <w:szCs w:val="22"/>
              </w:rPr>
              <w:t>pdcch-BlindDetection4</w:t>
            </w:r>
            <w:r w:rsidR="0041749F" w:rsidRPr="00FA0D37">
              <w:rPr>
                <w:szCs w:val="22"/>
              </w:rPr>
              <w:t xml:space="preserve"> only if the UE is in NR-DC with at least one downlink cell using Rel-17 PDCCH monitoring capability.</w:t>
            </w:r>
          </w:p>
        </w:tc>
      </w:tr>
      <w:tr w:rsidR="005C7FF4" w:rsidRPr="00FA0D37"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394471" w:rsidRPr="00FA0D37" w:rsidRDefault="00394471" w:rsidP="00964CC4">
            <w:pPr>
              <w:pStyle w:val="TAL"/>
              <w:rPr>
                <w:b/>
                <w:bCs/>
                <w:i/>
                <w:iCs/>
                <w:kern w:val="2"/>
                <w:lang w:eastAsia="sv-SE"/>
              </w:rPr>
            </w:pPr>
            <w:r w:rsidRPr="00FA0D37">
              <w:rPr>
                <w:b/>
                <w:bCs/>
                <w:i/>
                <w:iCs/>
                <w:kern w:val="2"/>
                <w:lang w:eastAsia="sv-SE"/>
              </w:rPr>
              <w:t>pdcch-BlindDetectionCA-CombIndicator</w:t>
            </w:r>
          </w:p>
          <w:p w14:paraId="0F93F086" w14:textId="679A6382" w:rsidR="008C38BA" w:rsidRPr="00FA0D37" w:rsidRDefault="00394471" w:rsidP="008C38BA">
            <w:pPr>
              <w:pStyle w:val="TAL"/>
              <w:rPr>
                <w:kern w:val="2"/>
                <w:lang w:eastAsia="sv-SE"/>
              </w:rPr>
            </w:pPr>
            <w:r w:rsidRPr="00FA0D37">
              <w:rPr>
                <w:kern w:val="2"/>
                <w:lang w:eastAsia="sv-SE"/>
              </w:rPr>
              <w:t xml:space="preserve">Configure one combination of </w:t>
            </w:r>
            <w:r w:rsidRPr="00FA0D37">
              <w:rPr>
                <w:i/>
                <w:iCs/>
                <w:kern w:val="2"/>
                <w:lang w:eastAsia="sv-SE"/>
              </w:rPr>
              <w:t>pdcch-BlindDetectionCA1</w:t>
            </w:r>
            <w:r w:rsidRPr="00FA0D37">
              <w:rPr>
                <w:kern w:val="2"/>
                <w:lang w:eastAsia="sv-SE"/>
              </w:rPr>
              <w:t xml:space="preserve"> (for R15) and </w:t>
            </w:r>
            <w:r w:rsidRPr="00FA0D37">
              <w:rPr>
                <w:i/>
                <w:iCs/>
                <w:kern w:val="2"/>
                <w:lang w:eastAsia="sv-SE"/>
              </w:rPr>
              <w:t>pdcch-BlindDetectionCA2</w:t>
            </w:r>
            <w:r w:rsidRPr="00FA0D37">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FA0D37">
              <w:rPr>
                <w:i/>
                <w:iCs/>
                <w:kern w:val="2"/>
                <w:lang w:eastAsia="sv-SE"/>
              </w:rPr>
              <w:t>pdcch-BlindDetectionCA1</w:t>
            </w:r>
            <w:r w:rsidRPr="00FA0D37">
              <w:rPr>
                <w:kern w:val="2"/>
                <w:lang w:eastAsia="sv-SE"/>
              </w:rPr>
              <w:t xml:space="preserve"> and </w:t>
            </w:r>
            <w:r w:rsidRPr="00FA0D37">
              <w:rPr>
                <w:i/>
                <w:iCs/>
                <w:kern w:val="2"/>
                <w:lang w:eastAsia="sv-SE"/>
              </w:rPr>
              <w:t>pdcch-BlindDetectionCA2</w:t>
            </w:r>
            <w:r w:rsidRPr="00FA0D37">
              <w:rPr>
                <w:kern w:val="2"/>
                <w:lang w:eastAsia="sv-SE"/>
              </w:rPr>
              <w:t xml:space="preserve"> as UE capability. The combination of </w:t>
            </w:r>
            <w:r w:rsidRPr="00FA0D37">
              <w:rPr>
                <w:i/>
                <w:iCs/>
                <w:kern w:val="2"/>
                <w:lang w:eastAsia="sv-SE"/>
              </w:rPr>
              <w:t>pdcch-BlindDetectionCA1</w:t>
            </w:r>
            <w:r w:rsidRPr="00FA0D37">
              <w:rPr>
                <w:kern w:val="2"/>
                <w:lang w:eastAsia="sv-SE"/>
              </w:rPr>
              <w:t xml:space="preserve"> and </w:t>
            </w:r>
            <w:r w:rsidRPr="00FA0D37">
              <w:rPr>
                <w:i/>
                <w:iCs/>
                <w:kern w:val="2"/>
                <w:lang w:eastAsia="sv-SE"/>
              </w:rPr>
              <w:t>pdcch-BlindDetectionCA2</w:t>
            </w:r>
            <w:r w:rsidRPr="00FA0D37">
              <w:rPr>
                <w:kern w:val="2"/>
                <w:lang w:eastAsia="sv-SE"/>
              </w:rPr>
              <w:t xml:space="preserve"> configured by </w:t>
            </w:r>
            <w:r w:rsidRPr="00FA0D37">
              <w:rPr>
                <w:i/>
                <w:iCs/>
                <w:kern w:val="2"/>
                <w:lang w:eastAsia="sv-SE"/>
              </w:rPr>
              <w:t>pdcch-BlindDetectionCA</w:t>
            </w:r>
            <w:r w:rsidR="00934D2F" w:rsidRPr="00FA0D37">
              <w:rPr>
                <w:i/>
                <w:iCs/>
                <w:kern w:val="2"/>
                <w:lang w:eastAsia="sv-SE"/>
              </w:rPr>
              <w:t>-</w:t>
            </w:r>
            <w:r w:rsidRPr="00FA0D37">
              <w:rPr>
                <w:i/>
                <w:iCs/>
                <w:kern w:val="2"/>
                <w:lang w:eastAsia="sv-SE"/>
              </w:rPr>
              <w:t>CombIndicator</w:t>
            </w:r>
            <w:r w:rsidRPr="00FA0D37">
              <w:rPr>
                <w:kern w:val="2"/>
                <w:lang w:eastAsia="sv-SE"/>
              </w:rPr>
              <w:t xml:space="preserve"> is from the more than one combination of </w:t>
            </w:r>
            <w:r w:rsidRPr="00FA0D37">
              <w:rPr>
                <w:i/>
                <w:iCs/>
                <w:kern w:val="2"/>
                <w:lang w:eastAsia="sv-SE"/>
              </w:rPr>
              <w:t>pdcch-BlindDetectionCA1</w:t>
            </w:r>
            <w:r w:rsidRPr="00FA0D37">
              <w:rPr>
                <w:kern w:val="2"/>
                <w:lang w:eastAsia="sv-SE"/>
              </w:rPr>
              <w:t xml:space="preserve"> and </w:t>
            </w:r>
            <w:r w:rsidRPr="00FA0D37">
              <w:rPr>
                <w:i/>
                <w:iCs/>
                <w:kern w:val="2"/>
                <w:lang w:eastAsia="sv-SE"/>
              </w:rPr>
              <w:t>pdcch-BlindDetectionCA2</w:t>
            </w:r>
            <w:r w:rsidRPr="00FA0D37">
              <w:rPr>
                <w:kern w:val="2"/>
                <w:lang w:eastAsia="sv-SE"/>
              </w:rPr>
              <w:t xml:space="preserve"> reported by UE (see TS 38.213 [13], clause 10).</w:t>
            </w:r>
          </w:p>
          <w:p w14:paraId="397EF695" w14:textId="636C1411" w:rsidR="008C38BA" w:rsidRPr="00FA0D37" w:rsidRDefault="008C38BA" w:rsidP="008C38BA">
            <w:pPr>
              <w:pStyle w:val="TAL"/>
              <w:rPr>
                <w:kern w:val="2"/>
                <w:lang w:eastAsia="sv-SE"/>
              </w:rPr>
            </w:pPr>
            <w:r w:rsidRPr="00FA0D37">
              <w:rPr>
                <w:i/>
                <w:iCs/>
              </w:rPr>
              <w:t>pdcch-BlindDetectionCA-CombIndicator-r17</w:t>
            </w:r>
            <w:r w:rsidRPr="00FA0D37">
              <w:t xml:space="preserve"> is used to c</w:t>
            </w:r>
            <w:r w:rsidRPr="00FA0D37">
              <w:rPr>
                <w:kern w:val="2"/>
                <w:lang w:eastAsia="sv-SE"/>
              </w:rPr>
              <w:t xml:space="preserve">onfigure one combination of </w:t>
            </w:r>
            <w:r w:rsidRPr="00FA0D37">
              <w:rPr>
                <w:i/>
                <w:iCs/>
                <w:kern w:val="2"/>
                <w:lang w:eastAsia="sv-SE"/>
              </w:rPr>
              <w:t>pdcch-BlindDetectionCA1</w:t>
            </w:r>
            <w:r w:rsidRPr="00FA0D37">
              <w:rPr>
                <w:kern w:val="2"/>
                <w:lang w:eastAsia="sv-SE"/>
              </w:rPr>
              <w:t xml:space="preserve"> (for R15), </w:t>
            </w:r>
            <w:r w:rsidRPr="00FA0D37">
              <w:rPr>
                <w:i/>
                <w:iCs/>
                <w:kern w:val="2"/>
                <w:lang w:eastAsia="sv-SE"/>
              </w:rPr>
              <w:t xml:space="preserve">pdcch-BlindDetectionCA2 </w:t>
            </w:r>
            <w:r w:rsidRPr="00FA0D37">
              <w:rPr>
                <w:kern w:val="2"/>
                <w:lang w:eastAsia="sv-SE"/>
              </w:rPr>
              <w:t xml:space="preserve">(for R16) and </w:t>
            </w:r>
            <w:r w:rsidRPr="00FA0D37">
              <w:rPr>
                <w:i/>
                <w:iCs/>
                <w:kern w:val="2"/>
                <w:lang w:eastAsia="sv-SE"/>
              </w:rPr>
              <w:t>pdcch-BlindDetectionCA3</w:t>
            </w:r>
            <w:r w:rsidRPr="00FA0D37">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FA0D37">
              <w:rPr>
                <w:i/>
                <w:iCs/>
                <w:kern w:val="2"/>
                <w:lang w:eastAsia="sv-SE"/>
              </w:rPr>
              <w:t>pdcch-BlindDetectionCA1</w:t>
            </w:r>
            <w:r w:rsidRPr="00FA0D37">
              <w:rPr>
                <w:kern w:val="2"/>
                <w:lang w:eastAsia="sv-SE"/>
              </w:rPr>
              <w:t xml:space="preserve">, </w:t>
            </w:r>
            <w:r w:rsidRPr="00FA0D37">
              <w:rPr>
                <w:i/>
                <w:iCs/>
                <w:kern w:val="2"/>
                <w:lang w:eastAsia="sv-SE"/>
              </w:rPr>
              <w:t>pdcch-BlindDetectionCA2</w:t>
            </w:r>
            <w:r w:rsidRPr="00FA0D37">
              <w:rPr>
                <w:kern w:val="2"/>
                <w:lang w:eastAsia="sv-SE"/>
              </w:rPr>
              <w:t xml:space="preserve"> and </w:t>
            </w:r>
            <w:r w:rsidRPr="00FA0D37">
              <w:rPr>
                <w:i/>
                <w:iCs/>
                <w:kern w:val="2"/>
                <w:lang w:eastAsia="sv-SE"/>
              </w:rPr>
              <w:t>pdcch-BlindDetectionCA3</w:t>
            </w:r>
            <w:r w:rsidRPr="00FA0D37">
              <w:rPr>
                <w:kern w:val="2"/>
                <w:lang w:eastAsia="sv-SE"/>
              </w:rPr>
              <w:t xml:space="preserve"> as UE capability. The combination of </w:t>
            </w:r>
            <w:r w:rsidRPr="00FA0D37">
              <w:rPr>
                <w:i/>
                <w:iCs/>
                <w:kern w:val="2"/>
                <w:lang w:eastAsia="sv-SE"/>
              </w:rPr>
              <w:t>pdcch-BlindDetectionCA1</w:t>
            </w:r>
            <w:r w:rsidRPr="00FA0D37">
              <w:rPr>
                <w:kern w:val="2"/>
                <w:lang w:eastAsia="sv-SE"/>
              </w:rPr>
              <w:t xml:space="preserve">, </w:t>
            </w:r>
            <w:r w:rsidRPr="00FA0D37">
              <w:rPr>
                <w:i/>
                <w:iCs/>
                <w:kern w:val="2"/>
                <w:lang w:eastAsia="sv-SE"/>
              </w:rPr>
              <w:t>pdcch-BlindDetectionCA2</w:t>
            </w:r>
            <w:r w:rsidRPr="00FA0D37">
              <w:rPr>
                <w:kern w:val="2"/>
                <w:lang w:eastAsia="sv-SE"/>
              </w:rPr>
              <w:t xml:space="preserve"> and </w:t>
            </w:r>
            <w:r w:rsidRPr="00FA0D37">
              <w:rPr>
                <w:i/>
                <w:iCs/>
                <w:kern w:val="2"/>
                <w:lang w:eastAsia="sv-SE"/>
              </w:rPr>
              <w:t>pdcch-BlindDetectionCA3</w:t>
            </w:r>
            <w:r w:rsidRPr="00FA0D37">
              <w:rPr>
                <w:kern w:val="2"/>
                <w:lang w:eastAsia="sv-SE"/>
              </w:rPr>
              <w:t xml:space="preserve"> configured by </w:t>
            </w:r>
            <w:r w:rsidRPr="00FA0D37">
              <w:rPr>
                <w:i/>
                <w:iCs/>
                <w:kern w:val="2"/>
                <w:lang w:eastAsia="sv-SE"/>
              </w:rPr>
              <w:t>pdcch-BlindDetectionCA</w:t>
            </w:r>
            <w:r w:rsidR="00934D2F" w:rsidRPr="00FA0D37">
              <w:rPr>
                <w:i/>
                <w:iCs/>
                <w:kern w:val="2"/>
                <w:lang w:eastAsia="sv-SE"/>
              </w:rPr>
              <w:t>-</w:t>
            </w:r>
            <w:r w:rsidRPr="00FA0D37">
              <w:rPr>
                <w:i/>
                <w:iCs/>
                <w:kern w:val="2"/>
                <w:lang w:eastAsia="sv-SE"/>
              </w:rPr>
              <w:t>CombIndicator-r17</w:t>
            </w:r>
            <w:r w:rsidRPr="00FA0D37">
              <w:rPr>
                <w:kern w:val="2"/>
                <w:lang w:eastAsia="sv-SE"/>
              </w:rPr>
              <w:t xml:space="preserve"> is from the more than one combination of </w:t>
            </w:r>
            <w:r w:rsidRPr="00FA0D37">
              <w:rPr>
                <w:i/>
                <w:iCs/>
                <w:kern w:val="2"/>
                <w:lang w:eastAsia="sv-SE"/>
              </w:rPr>
              <w:t>pdcch-BlindDetectionCA1</w:t>
            </w:r>
            <w:r w:rsidRPr="00FA0D37">
              <w:rPr>
                <w:kern w:val="2"/>
                <w:lang w:eastAsia="sv-SE"/>
              </w:rPr>
              <w:t xml:space="preserve">, </w:t>
            </w:r>
            <w:r w:rsidRPr="00FA0D37">
              <w:rPr>
                <w:i/>
                <w:iCs/>
                <w:kern w:val="2"/>
                <w:lang w:eastAsia="sv-SE"/>
              </w:rPr>
              <w:t>pdcch-BlindDetectionCA2</w:t>
            </w:r>
            <w:r w:rsidRPr="00FA0D37">
              <w:rPr>
                <w:kern w:val="2"/>
                <w:lang w:eastAsia="sv-SE"/>
              </w:rPr>
              <w:t xml:space="preserve"> and </w:t>
            </w:r>
            <w:r w:rsidRPr="00FA0D37">
              <w:rPr>
                <w:i/>
                <w:iCs/>
                <w:kern w:val="2"/>
                <w:lang w:eastAsia="sv-SE"/>
              </w:rPr>
              <w:t>pdcch-BlindDetectionCA3</w:t>
            </w:r>
            <w:r w:rsidRPr="00FA0D37">
              <w:rPr>
                <w:kern w:val="2"/>
                <w:lang w:eastAsia="sv-SE"/>
              </w:rPr>
              <w:t xml:space="preserve"> reported by UE (see TS 38.213 [13], clause 10).</w:t>
            </w:r>
          </w:p>
          <w:p w14:paraId="2201AC3A" w14:textId="56C68AEB" w:rsidR="00394471" w:rsidRPr="00FA0D37" w:rsidRDefault="008C38BA" w:rsidP="008C38BA">
            <w:pPr>
              <w:pStyle w:val="TAL"/>
              <w:rPr>
                <w:kern w:val="2"/>
                <w:lang w:eastAsia="sv-SE"/>
              </w:rPr>
            </w:pPr>
            <w:r w:rsidRPr="00FA0D37">
              <w:rPr>
                <w:i/>
                <w:iCs/>
              </w:rPr>
              <w:t>pdcch-BlindDetectionCA-CombIndicator-r16</w:t>
            </w:r>
            <w:r w:rsidRPr="00FA0D37">
              <w:t xml:space="preserve"> and </w:t>
            </w:r>
            <w:r w:rsidRPr="00FA0D37">
              <w:rPr>
                <w:i/>
                <w:iCs/>
              </w:rPr>
              <w:t>pdcch-BlindDetectionCA-CombIndicator-r17</w:t>
            </w:r>
            <w:r w:rsidRPr="00FA0D37">
              <w:t xml:space="preserve"> are not configured simultaneously.</w:t>
            </w:r>
          </w:p>
        </w:tc>
      </w:tr>
      <w:tr w:rsidR="005C7FF4" w:rsidRPr="00FA0D37"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394471" w:rsidRPr="00FA0D37" w:rsidRDefault="00394471" w:rsidP="00964CC4">
            <w:pPr>
              <w:pStyle w:val="TAL"/>
              <w:rPr>
                <w:szCs w:val="22"/>
                <w:lang w:eastAsia="sv-SE"/>
              </w:rPr>
            </w:pPr>
            <w:r w:rsidRPr="00FA0D37">
              <w:rPr>
                <w:b/>
                <w:i/>
                <w:szCs w:val="22"/>
                <w:lang w:eastAsia="sv-SE"/>
              </w:rPr>
              <w:t>p-NR-FR1</w:t>
            </w:r>
          </w:p>
          <w:p w14:paraId="41965E47" w14:textId="77777777" w:rsidR="00394471" w:rsidRPr="00FA0D37" w:rsidRDefault="00394471" w:rsidP="00964CC4">
            <w:pPr>
              <w:pStyle w:val="TAL"/>
              <w:rPr>
                <w:szCs w:val="22"/>
                <w:lang w:eastAsia="sv-SE"/>
              </w:rPr>
            </w:pPr>
            <w:r w:rsidRPr="00FA0D37">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FA0D37">
              <w:rPr>
                <w:i/>
                <w:szCs w:val="22"/>
                <w:lang w:eastAsia="sv-SE"/>
              </w:rPr>
              <w:t>p-Max</w:t>
            </w:r>
            <w:r w:rsidRPr="00FA0D37">
              <w:rPr>
                <w:szCs w:val="22"/>
                <w:lang w:eastAsia="sv-SE"/>
              </w:rPr>
              <w:t xml:space="preserve"> (configured in </w:t>
            </w:r>
            <w:r w:rsidRPr="00FA0D37">
              <w:rPr>
                <w:i/>
                <w:szCs w:val="22"/>
                <w:lang w:eastAsia="sv-SE"/>
              </w:rPr>
              <w:t>FrequencyInfoUL</w:t>
            </w:r>
            <w:r w:rsidRPr="00FA0D37">
              <w:rPr>
                <w:szCs w:val="22"/>
                <w:lang w:eastAsia="sv-SE"/>
              </w:rPr>
              <w:t xml:space="preserve">) and by </w:t>
            </w:r>
            <w:r w:rsidRPr="00FA0D37">
              <w:rPr>
                <w:i/>
                <w:szCs w:val="22"/>
                <w:lang w:eastAsia="sv-SE"/>
              </w:rPr>
              <w:t>p-UE-FR1</w:t>
            </w:r>
            <w:r w:rsidRPr="00FA0D37">
              <w:rPr>
                <w:szCs w:val="22"/>
                <w:lang w:eastAsia="sv-SE"/>
              </w:rPr>
              <w:t xml:space="preserve"> (configured total for all serving cells operating on FR1).</w:t>
            </w:r>
          </w:p>
        </w:tc>
      </w:tr>
      <w:tr w:rsidR="005C7FF4" w:rsidRPr="00FA0D37"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394471" w:rsidRPr="00FA0D37" w:rsidRDefault="00394471" w:rsidP="00964CC4">
            <w:pPr>
              <w:pStyle w:val="TAL"/>
              <w:rPr>
                <w:b/>
                <w:bCs/>
                <w:i/>
                <w:iCs/>
                <w:lang w:eastAsia="x-none"/>
              </w:rPr>
            </w:pPr>
            <w:r w:rsidRPr="00FA0D37">
              <w:rPr>
                <w:b/>
                <w:bCs/>
                <w:i/>
                <w:iCs/>
                <w:lang w:eastAsia="x-none"/>
              </w:rPr>
              <w:t>p-NR-FR2</w:t>
            </w:r>
          </w:p>
          <w:p w14:paraId="087DF15E" w14:textId="44B7FD99" w:rsidR="00394471" w:rsidRPr="00FA0D37" w:rsidRDefault="00394471" w:rsidP="00964CC4">
            <w:pPr>
              <w:pStyle w:val="TAL"/>
              <w:rPr>
                <w:lang w:eastAsia="sv-SE"/>
              </w:rPr>
            </w:pPr>
            <w:r w:rsidRPr="00FA0D37">
              <w:rPr>
                <w:lang w:eastAsia="sv-SE"/>
              </w:rPr>
              <w:t xml:space="preserve">The maximum total transmit power to be used by the UE in this NR cell group across all serving cells in frequency range 2 (FR2). The maximum transmit power that the UE may use may be additionally limited by </w:t>
            </w:r>
            <w:r w:rsidRPr="00FA0D37">
              <w:rPr>
                <w:i/>
                <w:iCs/>
                <w:lang w:eastAsia="sv-SE"/>
              </w:rPr>
              <w:t>p-Max</w:t>
            </w:r>
            <w:r w:rsidRPr="00FA0D37">
              <w:rPr>
                <w:lang w:eastAsia="sv-SE"/>
              </w:rPr>
              <w:t xml:space="preserve"> (configured in </w:t>
            </w:r>
            <w:r w:rsidRPr="00FA0D37">
              <w:rPr>
                <w:i/>
                <w:iCs/>
                <w:lang w:eastAsia="sv-SE"/>
              </w:rPr>
              <w:t>FrequencyInfoUL</w:t>
            </w:r>
            <w:r w:rsidRPr="00FA0D37">
              <w:rPr>
                <w:lang w:eastAsia="sv-SE"/>
              </w:rPr>
              <w:t xml:space="preserve">) and by </w:t>
            </w:r>
            <w:r w:rsidRPr="00FA0D37">
              <w:rPr>
                <w:i/>
                <w:iCs/>
                <w:lang w:eastAsia="sv-SE"/>
              </w:rPr>
              <w:t>p-UE-FR2</w:t>
            </w:r>
            <w:r w:rsidRPr="00FA0D37">
              <w:rPr>
                <w:lang w:eastAsia="sv-SE"/>
              </w:rPr>
              <w:t xml:space="preserve"> (configured total for all serving cells operating on FR2).</w:t>
            </w:r>
            <w:r w:rsidRPr="00FA0D37">
              <w:t xml:space="preserve"> This field is only used in NR-DC.</w:t>
            </w:r>
            <w:r w:rsidR="00523E98" w:rsidRPr="00FA0D37">
              <w:t xml:space="preserve"> A UE does not expect to be configured with this parameter in this release of the specification.</w:t>
            </w:r>
          </w:p>
        </w:tc>
      </w:tr>
      <w:tr w:rsidR="005C7FF4" w:rsidRPr="00FA0D37"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5D7926" w:rsidRPr="00FA0D37" w:rsidRDefault="005D7926" w:rsidP="00771058">
            <w:pPr>
              <w:pStyle w:val="TAL"/>
              <w:rPr>
                <w:b/>
                <w:bCs/>
                <w:i/>
                <w:iCs/>
                <w:lang w:eastAsia="x-none"/>
              </w:rPr>
            </w:pPr>
            <w:r w:rsidRPr="00FA0D37">
              <w:rPr>
                <w:b/>
                <w:bCs/>
                <w:i/>
                <w:iCs/>
                <w:lang w:eastAsia="x-none"/>
              </w:rPr>
              <w:t>prioLowDG-HighCG</w:t>
            </w:r>
          </w:p>
          <w:p w14:paraId="191125C4" w14:textId="77777777" w:rsidR="005D7926" w:rsidRPr="00FA0D37" w:rsidRDefault="005D7926" w:rsidP="00771058">
            <w:pPr>
              <w:pStyle w:val="TAL"/>
              <w:rPr>
                <w:b/>
                <w:bCs/>
                <w:i/>
                <w:iCs/>
                <w:lang w:eastAsia="x-none"/>
              </w:rPr>
            </w:pPr>
            <w:r w:rsidRPr="00FA0D37">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5C7FF4" w:rsidRPr="00FA0D37"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5D7926" w:rsidRPr="00FA0D37" w:rsidRDefault="005D7926" w:rsidP="00771058">
            <w:pPr>
              <w:pStyle w:val="TAL"/>
              <w:rPr>
                <w:b/>
                <w:bCs/>
                <w:i/>
                <w:iCs/>
                <w:lang w:eastAsia="x-none"/>
              </w:rPr>
            </w:pPr>
            <w:r w:rsidRPr="00FA0D37">
              <w:rPr>
                <w:b/>
                <w:bCs/>
                <w:i/>
                <w:iCs/>
                <w:lang w:eastAsia="x-none"/>
              </w:rPr>
              <w:t>prioHighDG-LowCG</w:t>
            </w:r>
          </w:p>
          <w:p w14:paraId="79DC837D" w14:textId="77777777" w:rsidR="005D7926" w:rsidRPr="00FA0D37" w:rsidRDefault="005D7926" w:rsidP="00771058">
            <w:pPr>
              <w:pStyle w:val="TAL"/>
              <w:rPr>
                <w:b/>
                <w:bCs/>
                <w:i/>
                <w:iCs/>
                <w:lang w:eastAsia="x-none"/>
              </w:rPr>
            </w:pPr>
            <w:r w:rsidRPr="00FA0D37">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5C7FF4" w:rsidRPr="00FA0D37"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394471" w:rsidRPr="00FA0D37" w:rsidRDefault="00394471" w:rsidP="00964CC4">
            <w:pPr>
              <w:pStyle w:val="TAL"/>
              <w:rPr>
                <w:szCs w:val="22"/>
                <w:lang w:eastAsia="sv-SE"/>
              </w:rPr>
            </w:pPr>
            <w:r w:rsidRPr="00FA0D37">
              <w:rPr>
                <w:b/>
                <w:i/>
                <w:szCs w:val="22"/>
                <w:lang w:eastAsia="sv-SE"/>
              </w:rPr>
              <w:t>ps-RNTI</w:t>
            </w:r>
          </w:p>
          <w:p w14:paraId="3225ECF2" w14:textId="77777777" w:rsidR="00394471" w:rsidRPr="00FA0D37" w:rsidRDefault="00394471" w:rsidP="00964CC4">
            <w:pPr>
              <w:pStyle w:val="TAL"/>
              <w:rPr>
                <w:b/>
                <w:i/>
                <w:szCs w:val="22"/>
                <w:lang w:eastAsia="sv-SE"/>
              </w:rPr>
            </w:pPr>
            <w:r w:rsidRPr="00FA0D37">
              <w:rPr>
                <w:szCs w:val="22"/>
                <w:lang w:eastAsia="sv-SE"/>
              </w:rPr>
              <w:t>RNTI value for scrambling CRC of DCI format 2-6 used for power saving (see TS 38.213 [13], clause 10.1).</w:t>
            </w:r>
          </w:p>
        </w:tc>
      </w:tr>
      <w:tr w:rsidR="005C7FF4" w:rsidRPr="00FA0D37"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394471" w:rsidRPr="00FA0D37" w:rsidRDefault="00394471" w:rsidP="00964CC4">
            <w:pPr>
              <w:pStyle w:val="TAL"/>
              <w:rPr>
                <w:szCs w:val="22"/>
                <w:lang w:eastAsia="sv-SE"/>
              </w:rPr>
            </w:pPr>
            <w:r w:rsidRPr="00FA0D37">
              <w:rPr>
                <w:b/>
                <w:i/>
                <w:szCs w:val="22"/>
                <w:lang w:eastAsia="sv-SE"/>
              </w:rPr>
              <w:t>ps-Offset</w:t>
            </w:r>
          </w:p>
          <w:p w14:paraId="6DC083A0" w14:textId="77777777" w:rsidR="00394471" w:rsidRPr="00FA0D37" w:rsidRDefault="00394471" w:rsidP="00964CC4">
            <w:pPr>
              <w:pStyle w:val="TAL"/>
              <w:rPr>
                <w:b/>
                <w:i/>
                <w:szCs w:val="22"/>
                <w:lang w:eastAsia="sv-SE"/>
              </w:rPr>
            </w:pPr>
            <w:r w:rsidRPr="00FA0D37">
              <w:rPr>
                <w:szCs w:val="22"/>
                <w:lang w:eastAsia="sv-SE"/>
              </w:rPr>
              <w:t xml:space="preserve">The start of the search-time of DCI format 2-6 with CRC scrambled by PS-RNTI relative to the start of the </w:t>
            </w:r>
            <w:r w:rsidRPr="00FA0D37">
              <w:rPr>
                <w:i/>
                <w:szCs w:val="22"/>
                <w:lang w:eastAsia="sv-SE"/>
              </w:rPr>
              <w:t>drx-onDurationTimer</w:t>
            </w:r>
            <w:r w:rsidRPr="00FA0D37">
              <w:rPr>
                <w:szCs w:val="22"/>
                <w:lang w:eastAsia="sv-SE"/>
              </w:rPr>
              <w:t xml:space="preserve"> of Long DRX (see TS 38.213 [13], clause 10.3). </w:t>
            </w:r>
            <w:r w:rsidRPr="00FA0D37">
              <w:rPr>
                <w:lang w:eastAsia="en-GB"/>
              </w:rPr>
              <w:t>Value in multiples of 0.125ms (milliseconds). 1 corresponds to 0.125 ms, 2</w:t>
            </w:r>
            <w:r w:rsidRPr="00FA0D37">
              <w:rPr>
                <w:i/>
                <w:lang w:eastAsia="en-GB"/>
              </w:rPr>
              <w:t xml:space="preserve"> </w:t>
            </w:r>
            <w:r w:rsidRPr="00FA0D37">
              <w:rPr>
                <w:lang w:eastAsia="en-GB"/>
              </w:rPr>
              <w:t>corresponds to 0.25 ms, 3 corresponds to 0.375 ms and so on.</w:t>
            </w:r>
          </w:p>
        </w:tc>
      </w:tr>
      <w:tr w:rsidR="005C7FF4" w:rsidRPr="00FA0D37"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394471" w:rsidRPr="00FA0D37" w:rsidRDefault="00394471" w:rsidP="00964CC4">
            <w:pPr>
              <w:pStyle w:val="TAL"/>
              <w:rPr>
                <w:szCs w:val="22"/>
                <w:lang w:eastAsia="sv-SE"/>
              </w:rPr>
            </w:pPr>
            <w:r w:rsidRPr="00FA0D37">
              <w:rPr>
                <w:b/>
                <w:i/>
                <w:szCs w:val="22"/>
                <w:lang w:eastAsia="sv-SE"/>
              </w:rPr>
              <w:t>ps-WakeUp</w:t>
            </w:r>
          </w:p>
          <w:p w14:paraId="12FD840D" w14:textId="658EF753" w:rsidR="00394471" w:rsidRPr="00FA0D37" w:rsidRDefault="00394471" w:rsidP="00964CC4">
            <w:pPr>
              <w:pStyle w:val="TAL"/>
              <w:rPr>
                <w:b/>
                <w:i/>
                <w:szCs w:val="22"/>
                <w:lang w:eastAsia="sv-SE"/>
              </w:rPr>
            </w:pPr>
            <w:r w:rsidRPr="00FA0D37">
              <w:rPr>
                <w:szCs w:val="22"/>
                <w:lang w:eastAsia="sv-SE"/>
              </w:rPr>
              <w:t>Indicates the UE to wake-up if DCI format 2-6 is not detected outside active time (see TS 38.</w:t>
            </w:r>
            <w:r w:rsidR="00F04E24" w:rsidRPr="00FA0D37">
              <w:rPr>
                <w:szCs w:val="22"/>
                <w:lang w:eastAsia="sv-SE"/>
              </w:rPr>
              <w:t>321</w:t>
            </w:r>
            <w:r w:rsidRPr="00FA0D37">
              <w:rPr>
                <w:szCs w:val="22"/>
                <w:lang w:eastAsia="sv-SE"/>
              </w:rPr>
              <w:t xml:space="preserve"> [3], clause </w:t>
            </w:r>
            <w:r w:rsidR="00034A87" w:rsidRPr="00FA0D37">
              <w:rPr>
                <w:szCs w:val="22"/>
                <w:lang w:eastAsia="sv-SE"/>
              </w:rPr>
              <w:t>5.7</w:t>
            </w:r>
            <w:r w:rsidRPr="00FA0D37">
              <w:rPr>
                <w:szCs w:val="22"/>
                <w:lang w:eastAsia="sv-SE"/>
              </w:rPr>
              <w:t>). If the field is absent, the UE does not wake-up if DCI format 2-6 is not detected outside active time.</w:t>
            </w:r>
          </w:p>
        </w:tc>
      </w:tr>
      <w:tr w:rsidR="005C7FF4" w:rsidRPr="00FA0D37"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394471" w:rsidRPr="00FA0D37" w:rsidRDefault="00394471" w:rsidP="00964CC4">
            <w:pPr>
              <w:pStyle w:val="TAL"/>
              <w:rPr>
                <w:szCs w:val="22"/>
                <w:lang w:eastAsia="sv-SE"/>
              </w:rPr>
            </w:pPr>
            <w:r w:rsidRPr="00FA0D37">
              <w:rPr>
                <w:b/>
                <w:i/>
                <w:szCs w:val="22"/>
                <w:lang w:eastAsia="sv-SE"/>
              </w:rPr>
              <w:lastRenderedPageBreak/>
              <w:t>ps-PositionDCI-2-6</w:t>
            </w:r>
          </w:p>
          <w:p w14:paraId="6F0E8719" w14:textId="77777777" w:rsidR="00394471" w:rsidRPr="00FA0D37" w:rsidRDefault="00394471" w:rsidP="00964CC4">
            <w:pPr>
              <w:pStyle w:val="TAL"/>
              <w:tabs>
                <w:tab w:val="left" w:pos="2779"/>
              </w:tabs>
              <w:rPr>
                <w:b/>
                <w:i/>
                <w:szCs w:val="22"/>
                <w:lang w:eastAsia="sv-SE"/>
              </w:rPr>
            </w:pPr>
            <w:r w:rsidRPr="00FA0D37">
              <w:rPr>
                <w:szCs w:val="22"/>
                <w:lang w:eastAsia="sv-SE"/>
              </w:rPr>
              <w:t>Starting position of UE wakeup and SCell dormancy indication in DCI format 2-6 (see TS 38.213 [13], clause 10.3).</w:t>
            </w:r>
          </w:p>
        </w:tc>
      </w:tr>
      <w:tr w:rsidR="005C7FF4" w:rsidRPr="00FA0D37"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394471" w:rsidRPr="00FA0D37" w:rsidRDefault="00394471" w:rsidP="00964CC4">
            <w:pPr>
              <w:pStyle w:val="TAL"/>
              <w:rPr>
                <w:szCs w:val="22"/>
                <w:lang w:eastAsia="sv-SE"/>
              </w:rPr>
            </w:pPr>
            <w:r w:rsidRPr="00FA0D37">
              <w:rPr>
                <w:b/>
                <w:i/>
                <w:szCs w:val="22"/>
                <w:lang w:eastAsia="sv-SE"/>
              </w:rPr>
              <w:t>ps-TransmitPeriodicL1-RSRP</w:t>
            </w:r>
          </w:p>
          <w:p w14:paraId="3E173614" w14:textId="77777777" w:rsidR="00394471" w:rsidRPr="00FA0D37" w:rsidRDefault="00394471" w:rsidP="00964CC4">
            <w:pPr>
              <w:pStyle w:val="TAL"/>
              <w:rPr>
                <w:b/>
                <w:i/>
                <w:szCs w:val="22"/>
                <w:lang w:eastAsia="sv-SE"/>
              </w:rPr>
            </w:pPr>
            <w:r w:rsidRPr="00FA0D37">
              <w:rPr>
                <w:szCs w:val="22"/>
                <w:lang w:eastAsia="sv-SE"/>
              </w:rPr>
              <w:t xml:space="preserve">Indicates the UE to transmit periodic L1-RSRP report(s) when the </w:t>
            </w:r>
            <w:r w:rsidRPr="00FA0D37">
              <w:rPr>
                <w:i/>
                <w:szCs w:val="22"/>
                <w:lang w:eastAsia="sv-SE"/>
              </w:rPr>
              <w:t>drx-onDurationTimer</w:t>
            </w:r>
            <w:r w:rsidRPr="00FA0D37">
              <w:rPr>
                <w:szCs w:val="22"/>
                <w:lang w:eastAsia="sv-SE"/>
              </w:rPr>
              <w:t xml:space="preserve"> does not start (see TS 38.321 [3], clause 5.7). If the field is absent, the UE does not transmit periodic L1-RSRP report(s) when the </w:t>
            </w:r>
            <w:r w:rsidRPr="00FA0D37">
              <w:rPr>
                <w:i/>
                <w:szCs w:val="22"/>
                <w:lang w:eastAsia="sv-SE"/>
              </w:rPr>
              <w:t>drx-onDurationTimer</w:t>
            </w:r>
            <w:r w:rsidRPr="00FA0D37">
              <w:rPr>
                <w:szCs w:val="22"/>
                <w:lang w:eastAsia="sv-SE"/>
              </w:rPr>
              <w:t xml:space="preserve"> does not start.</w:t>
            </w:r>
          </w:p>
        </w:tc>
      </w:tr>
      <w:tr w:rsidR="005C7FF4" w:rsidRPr="00FA0D37"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394471" w:rsidRPr="00FA0D37" w:rsidRDefault="00394471" w:rsidP="00964CC4">
            <w:pPr>
              <w:pStyle w:val="TAL"/>
              <w:rPr>
                <w:szCs w:val="22"/>
                <w:lang w:eastAsia="sv-SE"/>
              </w:rPr>
            </w:pPr>
            <w:r w:rsidRPr="00FA0D37">
              <w:rPr>
                <w:b/>
                <w:i/>
                <w:szCs w:val="22"/>
                <w:lang w:eastAsia="sv-SE"/>
              </w:rPr>
              <w:t>ps-Transmit</w:t>
            </w:r>
            <w:r w:rsidRPr="00FA0D37">
              <w:rPr>
                <w:b/>
                <w:i/>
                <w:szCs w:val="22"/>
              </w:rPr>
              <w:t>Other</w:t>
            </w:r>
            <w:r w:rsidRPr="00FA0D37">
              <w:rPr>
                <w:b/>
                <w:i/>
                <w:szCs w:val="22"/>
                <w:lang w:eastAsia="sv-SE"/>
              </w:rPr>
              <w:t>PeriodicCSI</w:t>
            </w:r>
          </w:p>
          <w:p w14:paraId="3CE55F7B" w14:textId="77777777" w:rsidR="00394471" w:rsidRPr="00FA0D37" w:rsidRDefault="00394471" w:rsidP="00964CC4">
            <w:pPr>
              <w:pStyle w:val="TAL"/>
              <w:rPr>
                <w:b/>
                <w:i/>
                <w:szCs w:val="22"/>
                <w:lang w:eastAsia="sv-SE"/>
              </w:rPr>
            </w:pPr>
            <w:r w:rsidRPr="00FA0D37">
              <w:rPr>
                <w:szCs w:val="22"/>
                <w:lang w:eastAsia="sv-SE"/>
              </w:rPr>
              <w:t xml:space="preserve">Indicates the UE to transmit periodic CSI report(s) </w:t>
            </w:r>
            <w:r w:rsidRPr="00FA0D37">
              <w:rPr>
                <w:szCs w:val="22"/>
              </w:rPr>
              <w:t xml:space="preserve">other than L1-RSRP reports </w:t>
            </w:r>
            <w:r w:rsidRPr="00FA0D37">
              <w:rPr>
                <w:szCs w:val="22"/>
                <w:lang w:eastAsia="sv-SE"/>
              </w:rPr>
              <w:t xml:space="preserve">when the </w:t>
            </w:r>
            <w:r w:rsidRPr="00FA0D37">
              <w:rPr>
                <w:i/>
                <w:szCs w:val="22"/>
                <w:lang w:eastAsia="sv-SE"/>
              </w:rPr>
              <w:t>drx-onDurationTimer</w:t>
            </w:r>
            <w:r w:rsidRPr="00FA0D37">
              <w:rPr>
                <w:szCs w:val="22"/>
                <w:lang w:eastAsia="sv-SE"/>
              </w:rPr>
              <w:t xml:space="preserve"> does not start (see TS 38.321 [3], clause 5.7). If the field is absent, the UE does not transmit periodic CSI report(s) </w:t>
            </w:r>
            <w:r w:rsidRPr="00FA0D37">
              <w:rPr>
                <w:szCs w:val="22"/>
              </w:rPr>
              <w:t xml:space="preserve">other than L1-RSRP reports </w:t>
            </w:r>
            <w:r w:rsidRPr="00FA0D37">
              <w:rPr>
                <w:szCs w:val="22"/>
                <w:lang w:eastAsia="sv-SE"/>
              </w:rPr>
              <w:t xml:space="preserve">when the </w:t>
            </w:r>
            <w:r w:rsidRPr="00FA0D37">
              <w:rPr>
                <w:i/>
                <w:szCs w:val="22"/>
                <w:lang w:eastAsia="sv-SE"/>
              </w:rPr>
              <w:t>drx-onDurationTimer</w:t>
            </w:r>
            <w:r w:rsidRPr="00FA0D37">
              <w:rPr>
                <w:szCs w:val="22"/>
                <w:lang w:eastAsia="sv-SE"/>
              </w:rPr>
              <w:t xml:space="preserve"> does not start.</w:t>
            </w:r>
          </w:p>
        </w:tc>
      </w:tr>
      <w:tr w:rsidR="005C7FF4" w:rsidRPr="00FA0D37"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394471" w:rsidRPr="00FA0D37" w:rsidRDefault="00394471" w:rsidP="00964CC4">
            <w:pPr>
              <w:pStyle w:val="TAL"/>
              <w:rPr>
                <w:szCs w:val="22"/>
                <w:lang w:eastAsia="sv-SE"/>
              </w:rPr>
            </w:pPr>
            <w:r w:rsidRPr="00FA0D37">
              <w:rPr>
                <w:b/>
                <w:i/>
                <w:szCs w:val="22"/>
                <w:lang w:eastAsia="sv-SE"/>
              </w:rPr>
              <w:t>p-UE-FR1</w:t>
            </w:r>
          </w:p>
          <w:p w14:paraId="430370F6" w14:textId="77777777" w:rsidR="00394471" w:rsidRPr="00FA0D37" w:rsidRDefault="00394471" w:rsidP="00964CC4">
            <w:pPr>
              <w:pStyle w:val="TAL"/>
              <w:rPr>
                <w:b/>
                <w:i/>
                <w:szCs w:val="22"/>
                <w:lang w:eastAsia="sv-SE"/>
              </w:rPr>
            </w:pPr>
            <w:r w:rsidRPr="00FA0D37">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FA0D37">
              <w:rPr>
                <w:i/>
                <w:szCs w:val="22"/>
                <w:lang w:eastAsia="sv-SE"/>
              </w:rPr>
              <w:t>p-Max</w:t>
            </w:r>
            <w:r w:rsidRPr="00FA0D37">
              <w:rPr>
                <w:szCs w:val="22"/>
                <w:lang w:eastAsia="sv-SE"/>
              </w:rPr>
              <w:t xml:space="preserve"> (configured in </w:t>
            </w:r>
            <w:r w:rsidRPr="00FA0D37">
              <w:rPr>
                <w:i/>
                <w:szCs w:val="22"/>
                <w:lang w:eastAsia="sv-SE"/>
              </w:rPr>
              <w:t>FrequencyInfoUL</w:t>
            </w:r>
            <w:r w:rsidRPr="00FA0D37">
              <w:rPr>
                <w:szCs w:val="22"/>
                <w:lang w:eastAsia="sv-SE"/>
              </w:rPr>
              <w:t xml:space="preserve">) and by </w:t>
            </w:r>
            <w:r w:rsidRPr="00FA0D37">
              <w:rPr>
                <w:i/>
                <w:szCs w:val="22"/>
                <w:lang w:eastAsia="sv-SE"/>
              </w:rPr>
              <w:t>p-NR-FR1</w:t>
            </w:r>
            <w:r w:rsidRPr="00FA0D37">
              <w:rPr>
                <w:szCs w:val="22"/>
                <w:lang w:eastAsia="sv-SE"/>
              </w:rPr>
              <w:t xml:space="preserve"> (configured for the cell group).</w:t>
            </w:r>
          </w:p>
        </w:tc>
      </w:tr>
      <w:tr w:rsidR="005C7FF4" w:rsidRPr="00FA0D37"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394471" w:rsidRPr="00FA0D37" w:rsidRDefault="00394471" w:rsidP="00964CC4">
            <w:pPr>
              <w:pStyle w:val="TAL"/>
              <w:spacing w:line="254" w:lineRule="auto"/>
              <w:rPr>
                <w:b/>
                <w:i/>
                <w:szCs w:val="22"/>
                <w:lang w:eastAsia="sv-SE"/>
              </w:rPr>
            </w:pPr>
            <w:r w:rsidRPr="00FA0D37">
              <w:rPr>
                <w:b/>
                <w:i/>
                <w:szCs w:val="22"/>
                <w:lang w:eastAsia="sv-SE"/>
              </w:rPr>
              <w:t>p-UE-FR2</w:t>
            </w:r>
          </w:p>
          <w:p w14:paraId="449D6AE5" w14:textId="67A58FEB" w:rsidR="00394471" w:rsidRPr="00FA0D37" w:rsidRDefault="00394471" w:rsidP="00964CC4">
            <w:pPr>
              <w:pStyle w:val="TAL"/>
              <w:rPr>
                <w:b/>
                <w:i/>
                <w:szCs w:val="22"/>
                <w:lang w:eastAsia="sv-SE"/>
              </w:rPr>
            </w:pPr>
            <w:r w:rsidRPr="00FA0D37">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FA0D37">
              <w:rPr>
                <w:bCs/>
                <w:i/>
                <w:szCs w:val="22"/>
                <w:lang w:eastAsia="sv-SE"/>
              </w:rPr>
              <w:t>p-Max</w:t>
            </w:r>
            <w:r w:rsidRPr="00FA0D37">
              <w:rPr>
                <w:bCs/>
                <w:iCs/>
                <w:szCs w:val="22"/>
                <w:lang w:eastAsia="sv-SE"/>
              </w:rPr>
              <w:t xml:space="preserve"> (configured in </w:t>
            </w:r>
            <w:r w:rsidRPr="00FA0D37">
              <w:rPr>
                <w:bCs/>
                <w:i/>
                <w:szCs w:val="22"/>
                <w:lang w:eastAsia="sv-SE"/>
              </w:rPr>
              <w:t>FrequencyInfoUL</w:t>
            </w:r>
            <w:r w:rsidRPr="00FA0D37">
              <w:rPr>
                <w:bCs/>
                <w:iCs/>
                <w:szCs w:val="22"/>
                <w:lang w:eastAsia="sv-SE"/>
              </w:rPr>
              <w:t>) and by p-NR-FR2 (configured for the cell group).</w:t>
            </w:r>
            <w:r w:rsidR="00523E98" w:rsidRPr="00FA0D37">
              <w:t xml:space="preserve"> </w:t>
            </w:r>
            <w:r w:rsidR="00523E98" w:rsidRPr="00FA0D37">
              <w:rPr>
                <w:bCs/>
                <w:iCs/>
                <w:szCs w:val="22"/>
                <w:lang w:eastAsia="sv-SE"/>
              </w:rPr>
              <w:t>A UE does not expect to be configured with this parameter in this release of the specification.</w:t>
            </w:r>
          </w:p>
        </w:tc>
      </w:tr>
      <w:tr w:rsidR="005C7FF4" w:rsidRPr="00FA0D37"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394471" w:rsidRPr="00FA0D37" w:rsidRDefault="00394471" w:rsidP="00964CC4">
            <w:pPr>
              <w:pStyle w:val="TAL"/>
              <w:rPr>
                <w:szCs w:val="22"/>
                <w:lang w:eastAsia="sv-SE"/>
              </w:rPr>
            </w:pPr>
            <w:r w:rsidRPr="00FA0D37">
              <w:rPr>
                <w:b/>
                <w:i/>
                <w:szCs w:val="22"/>
                <w:lang w:eastAsia="sv-SE"/>
              </w:rPr>
              <w:t>pdsch-HARQ-ACK-Codebook</w:t>
            </w:r>
          </w:p>
          <w:p w14:paraId="6B846894" w14:textId="73677216" w:rsidR="00394471" w:rsidRPr="00FA0D37" w:rsidRDefault="00394471" w:rsidP="00964CC4">
            <w:pPr>
              <w:pStyle w:val="TAL"/>
              <w:rPr>
                <w:szCs w:val="22"/>
                <w:lang w:eastAsia="sv-SE"/>
              </w:rPr>
            </w:pPr>
            <w:r w:rsidRPr="00FA0D37">
              <w:rPr>
                <w:szCs w:val="22"/>
                <w:lang w:eastAsia="sv-SE"/>
              </w:rPr>
              <w:t>The PDSCH HARQ-ACK codebook is either semi-static or dynamic. This is applicable to both CA and non</w:t>
            </w:r>
            <w:r w:rsidR="00934D2F" w:rsidRPr="00FA0D37">
              <w:rPr>
                <w:szCs w:val="22"/>
                <w:lang w:eastAsia="sv-SE"/>
              </w:rPr>
              <w:t>-</w:t>
            </w:r>
            <w:r w:rsidRPr="00FA0D37">
              <w:rPr>
                <w:szCs w:val="22"/>
                <w:lang w:eastAsia="sv-SE"/>
              </w:rPr>
              <w:t xml:space="preserve">CA operation (see TS 38.213 [13], clauses 9.1.2 and 9.1.3). If </w:t>
            </w:r>
            <w:r w:rsidRPr="00FA0D37">
              <w:rPr>
                <w:i/>
                <w:szCs w:val="22"/>
                <w:lang w:eastAsia="sv-SE"/>
              </w:rPr>
              <w:t>pdsch-HARQ-ACK-Codebook-r16</w:t>
            </w:r>
            <w:r w:rsidRPr="00FA0D37">
              <w:rPr>
                <w:szCs w:val="22"/>
                <w:lang w:eastAsia="sv-SE"/>
              </w:rPr>
              <w:t xml:space="preserve"> is signalled, UE shall ignore the </w:t>
            </w:r>
            <w:r w:rsidRPr="00FA0D37">
              <w:rPr>
                <w:i/>
                <w:szCs w:val="22"/>
                <w:lang w:eastAsia="sv-SE"/>
              </w:rPr>
              <w:t xml:space="preserve">pdsch-HARQ-ACK-Codebook </w:t>
            </w:r>
            <w:r w:rsidRPr="00FA0D37">
              <w:rPr>
                <w:szCs w:val="22"/>
                <w:lang w:eastAsia="sv-SE"/>
              </w:rPr>
              <w:t xml:space="preserve">(without suffix). </w:t>
            </w:r>
            <w:r w:rsidR="000C0F63" w:rsidRPr="00FA0D37">
              <w:rPr>
                <w:rFonts w:cs="Arial"/>
                <w:szCs w:val="22"/>
                <w:lang w:eastAsia="sv-SE"/>
              </w:rPr>
              <w:t xml:space="preserve">For the HARQ-ACK for sidelink, if </w:t>
            </w:r>
            <w:r w:rsidR="000C0F63" w:rsidRPr="00FA0D37">
              <w:rPr>
                <w:rFonts w:cs="Arial"/>
                <w:i/>
                <w:szCs w:val="22"/>
                <w:lang w:eastAsia="sv-SE"/>
              </w:rPr>
              <w:t>pdsch-HARQ-ACK-Codebook-r16</w:t>
            </w:r>
            <w:r w:rsidR="000C0F63" w:rsidRPr="00FA0D37">
              <w:rPr>
                <w:rFonts w:cs="Arial"/>
                <w:szCs w:val="22"/>
                <w:lang w:eastAsia="sv-SE"/>
              </w:rPr>
              <w:t xml:space="preserve"> is signalled, the UE uses </w:t>
            </w:r>
            <w:r w:rsidR="000C0F63" w:rsidRPr="00FA0D37">
              <w:rPr>
                <w:rFonts w:cs="Arial"/>
                <w:i/>
                <w:szCs w:val="22"/>
                <w:lang w:eastAsia="sv-SE"/>
              </w:rPr>
              <w:t>pdsch-HARQ-ACK-Codebook</w:t>
            </w:r>
            <w:r w:rsidR="000C0F63" w:rsidRPr="00FA0D37">
              <w:rPr>
                <w:rFonts w:cs="Arial"/>
                <w:szCs w:val="22"/>
                <w:lang w:eastAsia="sv-SE"/>
              </w:rPr>
              <w:t xml:space="preserve"> (without suffix) and ignores </w:t>
            </w:r>
            <w:r w:rsidR="000C0F63" w:rsidRPr="00FA0D37">
              <w:rPr>
                <w:rFonts w:cs="Arial"/>
                <w:i/>
                <w:szCs w:val="22"/>
                <w:lang w:eastAsia="sv-SE"/>
              </w:rPr>
              <w:t>pdsch-HARQ-ACK-Codebook-r16</w:t>
            </w:r>
            <w:r w:rsidR="000C0F63" w:rsidRPr="00FA0D37">
              <w:rPr>
                <w:rFonts w:cs="Arial"/>
                <w:szCs w:val="22"/>
                <w:lang w:eastAsia="sv-SE"/>
              </w:rPr>
              <w:t xml:space="preserve">. </w:t>
            </w:r>
            <w:r w:rsidRPr="00FA0D37">
              <w:rPr>
                <w:szCs w:val="22"/>
                <w:lang w:eastAsia="sv-SE"/>
              </w:rPr>
              <w:t xml:space="preserve">If the field </w:t>
            </w:r>
            <w:r w:rsidRPr="00FA0D37">
              <w:rPr>
                <w:i/>
                <w:szCs w:val="22"/>
                <w:lang w:eastAsia="sv-SE"/>
              </w:rPr>
              <w:t xml:space="preserve">pdsch-HARQ-ACK-Codebook-secondaryPUCCHgroup </w:t>
            </w:r>
            <w:r w:rsidRPr="00FA0D37">
              <w:rPr>
                <w:szCs w:val="22"/>
                <w:lang w:eastAsia="sv-SE"/>
              </w:rPr>
              <w:t xml:space="preserve">is present, </w:t>
            </w:r>
            <w:r w:rsidRPr="00FA0D37">
              <w:rPr>
                <w:i/>
                <w:szCs w:val="22"/>
                <w:lang w:eastAsia="sv-SE"/>
              </w:rPr>
              <w:t>pdsch-HARQ-ACK-Codebook</w:t>
            </w:r>
            <w:r w:rsidRPr="00FA0D37">
              <w:rPr>
                <w:szCs w:val="22"/>
                <w:lang w:eastAsia="sv-SE"/>
              </w:rPr>
              <w:t xml:space="preserve"> is applied to primary PUCCH group. Otherwise, this field is applied to the cell group (i.e. for all the cells within the cell group).</w:t>
            </w:r>
            <w:r w:rsidR="000C0F63" w:rsidRPr="00FA0D37">
              <w:rPr>
                <w:rFonts w:cs="Arial"/>
                <w:szCs w:val="22"/>
                <w:lang w:eastAsia="sv-SE"/>
              </w:rPr>
              <w:t xml:space="preserve"> For the HARQ-ACK for sidelink, if the field </w:t>
            </w:r>
            <w:r w:rsidR="000C0F63" w:rsidRPr="00FA0D37">
              <w:rPr>
                <w:rFonts w:cs="Arial"/>
                <w:i/>
                <w:szCs w:val="22"/>
                <w:lang w:eastAsia="sv-SE"/>
              </w:rPr>
              <w:t xml:space="preserve">pdsch-HARQ-ACK-Codebook-secondaryPUCCHgroup </w:t>
            </w:r>
            <w:r w:rsidR="000C0F63" w:rsidRPr="00FA0D37">
              <w:rPr>
                <w:rFonts w:cs="Arial"/>
                <w:szCs w:val="22"/>
                <w:lang w:eastAsia="sv-SE"/>
              </w:rPr>
              <w:t xml:space="preserve">is present, </w:t>
            </w:r>
            <w:r w:rsidR="000C0F63" w:rsidRPr="00FA0D37">
              <w:rPr>
                <w:rFonts w:cs="Arial"/>
                <w:i/>
                <w:szCs w:val="22"/>
                <w:lang w:eastAsia="sv-SE"/>
              </w:rPr>
              <w:t>pdsch-HARQ-ACK-Codebook</w:t>
            </w:r>
            <w:r w:rsidR="000C0F63" w:rsidRPr="00FA0D37">
              <w:rPr>
                <w:rFonts w:cs="Arial"/>
                <w:szCs w:val="22"/>
                <w:lang w:eastAsia="sv-SE"/>
              </w:rPr>
              <w:t xml:space="preserve"> is applied to primary and secondary PUCCH group and the UE ignores </w:t>
            </w:r>
            <w:r w:rsidR="000C0F63" w:rsidRPr="00FA0D37">
              <w:rPr>
                <w:rFonts w:cs="Arial"/>
                <w:i/>
                <w:szCs w:val="22"/>
                <w:lang w:eastAsia="sv-SE"/>
              </w:rPr>
              <w:t>pdsch-HARQ-ACK-Codebook-secondaryPUCCHgroup</w:t>
            </w:r>
            <w:r w:rsidR="000C0F63" w:rsidRPr="00FA0D37">
              <w:rPr>
                <w:rFonts w:cs="Arial"/>
                <w:bCs/>
                <w:iCs/>
                <w:szCs w:val="22"/>
                <w:lang w:eastAsia="sv-SE"/>
              </w:rPr>
              <w:t>.</w:t>
            </w:r>
          </w:p>
        </w:tc>
      </w:tr>
      <w:tr w:rsidR="005C7FF4" w:rsidRPr="00FA0D37"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394471" w:rsidRPr="00FA0D37" w:rsidRDefault="00394471" w:rsidP="00964CC4">
            <w:pPr>
              <w:pStyle w:val="TAL"/>
              <w:rPr>
                <w:b/>
                <w:bCs/>
                <w:i/>
                <w:iCs/>
                <w:lang w:eastAsia="x-none"/>
              </w:rPr>
            </w:pPr>
            <w:r w:rsidRPr="00FA0D37">
              <w:rPr>
                <w:b/>
                <w:bCs/>
                <w:i/>
                <w:iCs/>
                <w:lang w:eastAsia="x-none"/>
              </w:rPr>
              <w:t>pdsch-HARQ-ACK-CodebookList</w:t>
            </w:r>
          </w:p>
          <w:p w14:paraId="0AF23983" w14:textId="06BDB21C" w:rsidR="00394471" w:rsidRPr="00FA0D37" w:rsidRDefault="00394471" w:rsidP="00964CC4">
            <w:pPr>
              <w:pStyle w:val="TAL"/>
              <w:rPr>
                <w:b/>
                <w:i/>
                <w:szCs w:val="22"/>
                <w:lang w:eastAsia="sv-SE"/>
              </w:rPr>
            </w:pPr>
            <w:r w:rsidRPr="00FA0D37">
              <w:rPr>
                <w:szCs w:val="22"/>
                <w:lang w:eastAsia="sv-SE"/>
              </w:rPr>
              <w:t>A list of configuration</w:t>
            </w:r>
            <w:r w:rsidR="00892E82" w:rsidRPr="00FA0D37">
              <w:rPr>
                <w:szCs w:val="22"/>
                <w:lang w:eastAsia="sv-SE"/>
              </w:rPr>
              <w:t>s</w:t>
            </w:r>
            <w:r w:rsidRPr="00FA0D37">
              <w:rPr>
                <w:szCs w:val="22"/>
                <w:lang w:eastAsia="sv-SE"/>
              </w:rPr>
              <w:t xml:space="preserve"> for </w:t>
            </w:r>
            <w:r w:rsidR="006B51C9" w:rsidRPr="00FA0D37">
              <w:rPr>
                <w:szCs w:val="22"/>
                <w:lang w:eastAsia="sv-SE"/>
              </w:rPr>
              <w:t>one or two</w:t>
            </w:r>
            <w:r w:rsidRPr="00FA0D37">
              <w:rPr>
                <w:szCs w:val="22"/>
                <w:lang w:eastAsia="sv-SE"/>
              </w:rPr>
              <w:t xml:space="preserve"> HARQ-ACK codebooks. Each configuration in the list is defined in the same way as </w:t>
            </w:r>
            <w:r w:rsidRPr="00FA0D37">
              <w:rPr>
                <w:i/>
                <w:szCs w:val="22"/>
                <w:lang w:eastAsia="sv-SE"/>
              </w:rPr>
              <w:t>pdsch-HARQ-ACK-Codebook</w:t>
            </w:r>
            <w:r w:rsidRPr="00FA0D37">
              <w:rPr>
                <w:szCs w:val="22"/>
                <w:lang w:eastAsia="sv-SE"/>
              </w:rPr>
              <w:t xml:space="preserve"> (see TS 38.212 [17], clause 7.3.1.2.2 and TS 38.213 [13], clauses 7.2.1, 9.1.2, 9.1.3 and 9.2.1). If this field is present, the field </w:t>
            </w:r>
            <w:r w:rsidRPr="00FA0D37">
              <w:rPr>
                <w:i/>
                <w:szCs w:val="22"/>
                <w:lang w:eastAsia="sv-SE"/>
              </w:rPr>
              <w:t>pdsch-HARQ-ACK-Codebook</w:t>
            </w:r>
            <w:r w:rsidRPr="00FA0D37">
              <w:rPr>
                <w:szCs w:val="22"/>
                <w:lang w:eastAsia="sv-SE"/>
              </w:rPr>
              <w:t xml:space="preserve"> is ignored.</w:t>
            </w:r>
            <w:r w:rsidR="00B0046E" w:rsidRPr="00FA0D37">
              <w:rPr>
                <w:szCs w:val="22"/>
                <w:lang w:eastAsia="sv-SE"/>
              </w:rPr>
              <w:t xml:space="preserve"> If this field is present, </w:t>
            </w:r>
            <w:r w:rsidR="00585667" w:rsidRPr="00FA0D37">
              <w:rPr>
                <w:szCs w:val="22"/>
                <w:lang w:eastAsia="sv-SE"/>
              </w:rPr>
              <w:t xml:space="preserve">the </w:t>
            </w:r>
            <w:r w:rsidR="00B0046E" w:rsidRPr="00FA0D37">
              <w:rPr>
                <w:szCs w:val="22"/>
                <w:lang w:eastAsia="sv-SE"/>
              </w:rPr>
              <w:t>value of this field is applied for primary PUCCH group and for secondary PUCCH group (if configured).</w:t>
            </w:r>
            <w:r w:rsidR="000C0F63" w:rsidRPr="00FA0D37">
              <w:rPr>
                <w:rFonts w:cs="Arial"/>
                <w:szCs w:val="22"/>
                <w:lang w:eastAsia="sv-SE"/>
              </w:rPr>
              <w:t xml:space="preserve"> For the HARQ-ACK for sidelink, the UE uses </w:t>
            </w:r>
            <w:r w:rsidR="000C0F63" w:rsidRPr="00FA0D37">
              <w:rPr>
                <w:rFonts w:cs="Arial"/>
                <w:i/>
                <w:szCs w:val="22"/>
                <w:lang w:eastAsia="sv-SE"/>
              </w:rPr>
              <w:t>pdsch-HARQ-ACK-Codebook</w:t>
            </w:r>
            <w:r w:rsidR="000C0F63" w:rsidRPr="00FA0D37">
              <w:rPr>
                <w:rFonts w:cs="Arial"/>
                <w:szCs w:val="22"/>
                <w:lang w:eastAsia="sv-SE"/>
              </w:rPr>
              <w:t xml:space="preserve"> and ignores </w:t>
            </w:r>
            <w:r w:rsidR="000C0F63" w:rsidRPr="00FA0D37">
              <w:rPr>
                <w:rFonts w:cs="Arial"/>
                <w:bCs/>
                <w:i/>
                <w:iCs/>
                <w:szCs w:val="22"/>
                <w:lang w:eastAsia="sv-SE"/>
              </w:rPr>
              <w:t>pdsch-HARQ-ACK-CodebookList</w:t>
            </w:r>
            <w:r w:rsidR="000C0F63" w:rsidRPr="00FA0D37">
              <w:rPr>
                <w:rFonts w:cs="Arial"/>
                <w:bCs/>
                <w:iCs/>
                <w:szCs w:val="22"/>
                <w:lang w:eastAsia="sv-SE"/>
              </w:rPr>
              <w:t xml:space="preserve"> if this field is present.</w:t>
            </w:r>
          </w:p>
        </w:tc>
      </w:tr>
      <w:tr w:rsidR="005C7FF4" w:rsidRPr="00FA0D37"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394471" w:rsidRPr="00FA0D37" w:rsidRDefault="00394471" w:rsidP="00964CC4">
            <w:pPr>
              <w:pStyle w:val="TAL"/>
              <w:spacing w:line="254" w:lineRule="auto"/>
              <w:rPr>
                <w:szCs w:val="22"/>
                <w:lang w:eastAsia="sv-SE"/>
              </w:rPr>
            </w:pPr>
            <w:r w:rsidRPr="00FA0D37">
              <w:rPr>
                <w:b/>
                <w:i/>
                <w:szCs w:val="22"/>
                <w:lang w:eastAsia="sv-SE"/>
              </w:rPr>
              <w:t>pdsch-HARQ-ACK-Codebook-secondaryPUCCHgroup</w:t>
            </w:r>
          </w:p>
          <w:p w14:paraId="0447C94D" w14:textId="002CED19" w:rsidR="00394471" w:rsidRPr="00FA0D37" w:rsidRDefault="00394471" w:rsidP="00964CC4">
            <w:pPr>
              <w:pStyle w:val="TAL"/>
              <w:rPr>
                <w:b/>
                <w:i/>
                <w:szCs w:val="22"/>
                <w:lang w:eastAsia="sv-SE"/>
              </w:rPr>
            </w:pPr>
            <w:r w:rsidRPr="00FA0D37">
              <w:rPr>
                <w:szCs w:val="22"/>
                <w:lang w:eastAsia="sv-SE"/>
              </w:rPr>
              <w:t>The PDSCH HARQ-ACK codebook is either semi-static or dynamic. This is applicable to CA operation (see TS 38.213 [13], clauses 9.1.2 and 9.1.3). It is configured for secondary PUCCH group</w:t>
            </w:r>
            <w:r w:rsidRPr="00FA0D37">
              <w:rPr>
                <w:i/>
                <w:szCs w:val="22"/>
                <w:lang w:eastAsia="sv-SE"/>
              </w:rPr>
              <w:t>.</w:t>
            </w:r>
          </w:p>
        </w:tc>
      </w:tr>
      <w:tr w:rsidR="005C7FF4" w:rsidRPr="00FA0D37" w14:paraId="3156E53B" w14:textId="77777777" w:rsidTr="00771058">
        <w:tc>
          <w:tcPr>
            <w:tcW w:w="14173" w:type="dxa"/>
            <w:tcBorders>
              <w:top w:val="single" w:sz="4" w:space="0" w:color="auto"/>
              <w:left w:val="single" w:sz="4" w:space="0" w:color="auto"/>
              <w:bottom w:val="single" w:sz="4" w:space="0" w:color="auto"/>
              <w:right w:val="single" w:sz="4" w:space="0" w:color="auto"/>
            </w:tcBorders>
          </w:tcPr>
          <w:p w14:paraId="0CC47EBE" w14:textId="1D42F2BF" w:rsidR="005D7926" w:rsidRPr="00FA0D37" w:rsidRDefault="005D7926" w:rsidP="00771058">
            <w:pPr>
              <w:pStyle w:val="TAL"/>
              <w:spacing w:line="254" w:lineRule="auto"/>
              <w:rPr>
                <w:b/>
                <w:i/>
                <w:szCs w:val="22"/>
                <w:lang w:eastAsia="sv-SE"/>
              </w:rPr>
            </w:pPr>
            <w:r w:rsidRPr="00FA0D37">
              <w:rPr>
                <w:b/>
                <w:i/>
                <w:szCs w:val="22"/>
                <w:lang w:eastAsia="sv-SE"/>
              </w:rPr>
              <w:t>pdsch-HARQ-ACK-EnhType3DCI-Field</w:t>
            </w:r>
            <w:r w:rsidR="000056EE" w:rsidRPr="00FA0D37">
              <w:rPr>
                <w:b/>
                <w:i/>
                <w:szCs w:val="22"/>
                <w:lang w:eastAsia="sv-SE"/>
              </w:rPr>
              <w:t>, pdsch-HARQ-ACK-EnhType3DCI-FieldSecondaryPUCCHgroup</w:t>
            </w:r>
          </w:p>
          <w:p w14:paraId="693F02AF" w14:textId="486425D1" w:rsidR="005D7926" w:rsidRPr="00FA0D37" w:rsidRDefault="005D7926" w:rsidP="00771058">
            <w:pPr>
              <w:pStyle w:val="TAL"/>
              <w:spacing w:line="254" w:lineRule="auto"/>
              <w:rPr>
                <w:b/>
                <w:i/>
                <w:szCs w:val="22"/>
                <w:lang w:eastAsia="sv-SE"/>
              </w:rPr>
            </w:pPr>
            <w:r w:rsidRPr="00FA0D37">
              <w:rPr>
                <w:bCs/>
                <w:iCs/>
                <w:szCs w:val="22"/>
                <w:lang w:eastAsia="sv-SE"/>
              </w:rPr>
              <w:t xml:space="preserve">Indicates the enhanced Type 3 codebook through a new DCI field to indicate the enhanced Type 3 HARQ-ACK codebook in the </w:t>
            </w:r>
            <w:r w:rsidR="000056EE" w:rsidRPr="00FA0D37">
              <w:rPr>
                <w:bCs/>
                <w:iCs/>
                <w:szCs w:val="22"/>
                <w:lang w:eastAsia="sv-SE"/>
              </w:rPr>
              <w:t xml:space="preserve">primary </w:t>
            </w:r>
            <w:r w:rsidRPr="00FA0D37">
              <w:rPr>
                <w:bCs/>
                <w:iCs/>
                <w:szCs w:val="22"/>
                <w:lang w:eastAsia="sv-SE"/>
              </w:rPr>
              <w:t xml:space="preserve">PUCCH group if the more than one enhanced Type </w:t>
            </w:r>
            <w:r w:rsidR="000056EE" w:rsidRPr="00FA0D37">
              <w:rPr>
                <w:bCs/>
                <w:iCs/>
                <w:szCs w:val="22"/>
                <w:lang w:eastAsia="sv-SE"/>
              </w:rPr>
              <w:t xml:space="preserve">3 </w:t>
            </w:r>
            <w:r w:rsidRPr="00FA0D37">
              <w:rPr>
                <w:bCs/>
                <w:iCs/>
                <w:szCs w:val="22"/>
                <w:lang w:eastAsia="sv-SE"/>
              </w:rPr>
              <w:t>HARQ-ACK codebook is configured for the primary PUCCH group</w:t>
            </w:r>
            <w:r w:rsidR="000056EE" w:rsidRPr="00FA0D37">
              <w:rPr>
                <w:bCs/>
                <w:iCs/>
                <w:szCs w:val="22"/>
                <w:lang w:eastAsia="sv-SE"/>
              </w:rPr>
              <w:t>, or in the secondary PUCCH group if the more than one enhanced Type 3 HARQ-ACK code is configured for the secondary PUCCH group, respectively</w:t>
            </w:r>
            <w:r w:rsidRPr="00FA0D37">
              <w:rPr>
                <w:bCs/>
                <w:iCs/>
                <w:szCs w:val="22"/>
                <w:lang w:eastAsia="sv-SE"/>
              </w:rPr>
              <w:t>.</w:t>
            </w:r>
          </w:p>
        </w:tc>
      </w:tr>
      <w:tr w:rsidR="005C7FF4" w:rsidRPr="00FA0D37" w14:paraId="02BFBD7F" w14:textId="77777777" w:rsidTr="00771058">
        <w:tc>
          <w:tcPr>
            <w:tcW w:w="14173" w:type="dxa"/>
            <w:tcBorders>
              <w:top w:val="single" w:sz="4" w:space="0" w:color="auto"/>
              <w:left w:val="single" w:sz="4" w:space="0" w:color="auto"/>
              <w:bottom w:val="single" w:sz="4" w:space="0" w:color="auto"/>
              <w:right w:val="single" w:sz="4" w:space="0" w:color="auto"/>
            </w:tcBorders>
          </w:tcPr>
          <w:p w14:paraId="6DA4E80A" w14:textId="77777777" w:rsidR="005D7926" w:rsidRPr="00FA0D37" w:rsidRDefault="005D7926" w:rsidP="00771058">
            <w:pPr>
              <w:pStyle w:val="TAL"/>
              <w:spacing w:line="254" w:lineRule="auto"/>
              <w:rPr>
                <w:b/>
                <w:i/>
                <w:szCs w:val="22"/>
                <w:lang w:eastAsia="sv-SE"/>
              </w:rPr>
            </w:pPr>
            <w:r w:rsidRPr="00FA0D37">
              <w:rPr>
                <w:b/>
                <w:i/>
                <w:szCs w:val="22"/>
                <w:lang w:eastAsia="sv-SE"/>
              </w:rPr>
              <w:t>pdsch-HARQ-ACK-EnhType3ToAddModList, pdsch-HARQ-ACK-EnhType3SecondaryToAddModList</w:t>
            </w:r>
          </w:p>
          <w:p w14:paraId="6A66BF24" w14:textId="6290A4A9" w:rsidR="005D7926" w:rsidRPr="00FA0D37" w:rsidRDefault="005D7926" w:rsidP="00771058">
            <w:pPr>
              <w:pStyle w:val="TAL"/>
              <w:spacing w:line="254" w:lineRule="auto"/>
              <w:rPr>
                <w:b/>
                <w:i/>
                <w:szCs w:val="22"/>
                <w:lang w:eastAsia="sv-SE"/>
              </w:rPr>
            </w:pPr>
            <w:r w:rsidRPr="00FA0D37">
              <w:rPr>
                <w:bCs/>
                <w:iCs/>
                <w:szCs w:val="22"/>
                <w:lang w:eastAsia="sv-SE"/>
              </w:rPr>
              <w:t>Configure the list of enhanced Type 3 HARQ-ACK codebooks for the primary PUCCH group and the secondary PUCCH group, respectively. When configured, DCI</w:t>
            </w:r>
            <w:r w:rsidR="00934D2F" w:rsidRPr="00FA0D37">
              <w:rPr>
                <w:bCs/>
                <w:iCs/>
                <w:szCs w:val="22"/>
                <w:lang w:eastAsia="sv-SE"/>
              </w:rPr>
              <w:t xml:space="preserve"> </w:t>
            </w:r>
            <w:r w:rsidRPr="00FA0D37">
              <w:rPr>
                <w:bCs/>
                <w:iCs/>
                <w:szCs w:val="22"/>
                <w:lang w:eastAsia="sv-SE"/>
              </w:rPr>
              <w:t>format 1_1 can request the UE to report A/N for one of the configured enhanced Type 3 HARQ-ACK codebooks in the corresponding PUCCH group (see TS 38.213 [13], clause 9.1.4).</w:t>
            </w:r>
            <w:r w:rsidR="000056EE" w:rsidRPr="00FA0D37">
              <w:rPr>
                <w:bCs/>
                <w:iCs/>
                <w:szCs w:val="22"/>
                <w:lang w:eastAsia="sv-SE"/>
              </w:rPr>
              <w:t xml:space="preserve"> The network can configure </w:t>
            </w:r>
            <w:r w:rsidR="000056EE" w:rsidRPr="00FA0D37">
              <w:rPr>
                <w:bCs/>
                <w:i/>
                <w:szCs w:val="22"/>
                <w:lang w:eastAsia="sv-SE"/>
              </w:rPr>
              <w:t xml:space="preserve">pdsch-HARQ-ACK-EnhType3SecondaryToAddModList </w:t>
            </w:r>
            <w:r w:rsidR="000056EE" w:rsidRPr="00FA0D37">
              <w:rPr>
                <w:bCs/>
                <w:iCs/>
                <w:szCs w:val="22"/>
                <w:lang w:eastAsia="sv-SE"/>
              </w:rPr>
              <w:t>only if secondary PUCCH group is configured.</w:t>
            </w:r>
          </w:p>
        </w:tc>
      </w:tr>
      <w:tr w:rsidR="005C7FF4" w:rsidRPr="00FA0D37"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394471" w:rsidRPr="00FA0D37" w:rsidRDefault="00394471" w:rsidP="00964CC4">
            <w:pPr>
              <w:pStyle w:val="TAL"/>
              <w:rPr>
                <w:szCs w:val="22"/>
                <w:lang w:eastAsia="sv-SE"/>
              </w:rPr>
            </w:pPr>
            <w:r w:rsidRPr="00FA0D37">
              <w:rPr>
                <w:b/>
                <w:i/>
                <w:szCs w:val="22"/>
                <w:lang w:eastAsia="sv-SE"/>
              </w:rPr>
              <w:t>pdsch-HARQ-ACK-OneShotFeedback</w:t>
            </w:r>
          </w:p>
          <w:p w14:paraId="6CED136C" w14:textId="6209CC2C" w:rsidR="00394471" w:rsidRPr="00FA0D37" w:rsidRDefault="00394471" w:rsidP="00964CC4">
            <w:pPr>
              <w:pStyle w:val="TAL"/>
              <w:rPr>
                <w:b/>
                <w:i/>
                <w:szCs w:val="22"/>
                <w:lang w:eastAsia="sv-SE"/>
              </w:rPr>
            </w:pPr>
            <w:r w:rsidRPr="00FA0D37">
              <w:rPr>
                <w:szCs w:val="22"/>
                <w:lang w:eastAsia="sv-SE"/>
              </w:rPr>
              <w:t>When configured, the DCI</w:t>
            </w:r>
            <w:r w:rsidR="00934D2F" w:rsidRPr="00FA0D37">
              <w:rPr>
                <w:szCs w:val="22"/>
                <w:lang w:eastAsia="sv-SE"/>
              </w:rPr>
              <w:t xml:space="preserve"> </w:t>
            </w:r>
            <w:r w:rsidRPr="00FA0D37">
              <w:rPr>
                <w:szCs w:val="22"/>
                <w:lang w:eastAsia="sv-SE"/>
              </w:rPr>
              <w:t>format 1_1 can request the UE to report A/N for all HARQ processes and all CCs configured in the PUCCH group (see TS 38.212 [17], clause 7.3.1).</w:t>
            </w:r>
          </w:p>
        </w:tc>
      </w:tr>
      <w:tr w:rsidR="005C7FF4" w:rsidRPr="00FA0D37"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394471" w:rsidRPr="00FA0D37" w:rsidRDefault="00394471" w:rsidP="00964CC4">
            <w:pPr>
              <w:pStyle w:val="TAL"/>
              <w:rPr>
                <w:szCs w:val="22"/>
                <w:lang w:eastAsia="sv-SE"/>
              </w:rPr>
            </w:pPr>
            <w:r w:rsidRPr="00FA0D37">
              <w:rPr>
                <w:b/>
                <w:i/>
                <w:szCs w:val="22"/>
                <w:lang w:eastAsia="sv-SE"/>
              </w:rPr>
              <w:t>pdsch-HARQ-ACK-OneShotFeedbackCBG</w:t>
            </w:r>
          </w:p>
          <w:p w14:paraId="0E266DF5" w14:textId="2CEA9997" w:rsidR="00394471" w:rsidRPr="00FA0D37" w:rsidRDefault="00394471" w:rsidP="00964CC4">
            <w:pPr>
              <w:pStyle w:val="TAL"/>
              <w:rPr>
                <w:b/>
                <w:i/>
                <w:szCs w:val="22"/>
                <w:lang w:eastAsia="sv-SE"/>
              </w:rPr>
            </w:pPr>
            <w:r w:rsidRPr="00FA0D37">
              <w:rPr>
                <w:szCs w:val="22"/>
                <w:lang w:eastAsia="sv-SE"/>
              </w:rPr>
              <w:t>When configured, the DCI</w:t>
            </w:r>
            <w:r w:rsidR="00047740" w:rsidRPr="00FA0D37">
              <w:rPr>
                <w:szCs w:val="22"/>
                <w:lang w:eastAsia="sv-SE"/>
              </w:rPr>
              <w:t xml:space="preserve"> </w:t>
            </w:r>
            <w:r w:rsidRPr="00FA0D37">
              <w:rPr>
                <w:szCs w:val="22"/>
                <w:lang w:eastAsia="sv-SE"/>
              </w:rPr>
              <w:t>format 1_1 can request the UE to include CBG level A/N for each CC with CBG level transmission configured. When not configured, the UE will report TB level A/N even if CBG level transmission is configured for a CC.</w:t>
            </w:r>
            <w:r w:rsidRPr="00FA0D37">
              <w:rPr>
                <w:b/>
                <w:i/>
                <w:szCs w:val="22"/>
                <w:lang w:eastAsia="sv-SE"/>
              </w:rPr>
              <w:t xml:space="preserve"> </w:t>
            </w:r>
            <w:r w:rsidRPr="00FA0D37">
              <w:rPr>
                <w:szCs w:val="22"/>
                <w:lang w:eastAsia="sv-SE"/>
              </w:rPr>
              <w:t xml:space="preserve">The network configures this only when </w:t>
            </w:r>
            <w:r w:rsidRPr="00FA0D37">
              <w:rPr>
                <w:i/>
                <w:szCs w:val="22"/>
                <w:lang w:eastAsia="sv-SE"/>
              </w:rPr>
              <w:t>pdsch-HARQ-ACK-OneShotFeedback</w:t>
            </w:r>
            <w:r w:rsidRPr="00FA0D37">
              <w:rPr>
                <w:szCs w:val="22"/>
                <w:lang w:eastAsia="sv-SE"/>
              </w:rPr>
              <w:t xml:space="preserve"> is configured.</w:t>
            </w:r>
          </w:p>
        </w:tc>
      </w:tr>
      <w:tr w:rsidR="005C7FF4" w:rsidRPr="00FA0D37"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394471" w:rsidRPr="00FA0D37" w:rsidRDefault="00394471" w:rsidP="00964CC4">
            <w:pPr>
              <w:pStyle w:val="TAL"/>
              <w:rPr>
                <w:szCs w:val="22"/>
                <w:lang w:eastAsia="sv-SE"/>
              </w:rPr>
            </w:pPr>
            <w:r w:rsidRPr="00FA0D37">
              <w:rPr>
                <w:b/>
                <w:i/>
                <w:szCs w:val="22"/>
                <w:lang w:eastAsia="sv-SE"/>
              </w:rPr>
              <w:lastRenderedPageBreak/>
              <w:t>pdsch-HARQ-ACK-OneShotFeedbackNDI</w:t>
            </w:r>
          </w:p>
          <w:p w14:paraId="5C094F01" w14:textId="3F12F505" w:rsidR="00394471" w:rsidRPr="00FA0D37" w:rsidRDefault="00394471" w:rsidP="00964CC4">
            <w:pPr>
              <w:pStyle w:val="TAL"/>
              <w:rPr>
                <w:b/>
                <w:i/>
                <w:szCs w:val="22"/>
                <w:lang w:eastAsia="sv-SE"/>
              </w:rPr>
            </w:pPr>
            <w:r w:rsidRPr="00FA0D37">
              <w:rPr>
                <w:szCs w:val="22"/>
                <w:lang w:eastAsia="sv-SE"/>
              </w:rPr>
              <w:t>When configured, the DCI</w:t>
            </w:r>
            <w:r w:rsidR="00934D2F" w:rsidRPr="00FA0D37">
              <w:rPr>
                <w:szCs w:val="22"/>
                <w:lang w:eastAsia="sv-SE"/>
              </w:rPr>
              <w:t xml:space="preserve"> </w:t>
            </w:r>
            <w:r w:rsidRPr="00FA0D37">
              <w:rPr>
                <w:szCs w:val="22"/>
                <w:lang w:eastAsia="sv-SE"/>
              </w:rPr>
              <w:t>format 1_1 can request the UE to include NDI for each A/N reported.</w:t>
            </w:r>
            <w:r w:rsidRPr="00FA0D37">
              <w:rPr>
                <w:b/>
                <w:i/>
                <w:szCs w:val="22"/>
                <w:lang w:eastAsia="sv-SE"/>
              </w:rPr>
              <w:t xml:space="preserve"> </w:t>
            </w:r>
            <w:r w:rsidRPr="00FA0D37">
              <w:rPr>
                <w:szCs w:val="22"/>
                <w:lang w:eastAsia="sv-SE"/>
              </w:rPr>
              <w:t xml:space="preserve">The network configures this only when </w:t>
            </w:r>
            <w:r w:rsidRPr="00FA0D37">
              <w:rPr>
                <w:i/>
                <w:szCs w:val="22"/>
                <w:lang w:eastAsia="sv-SE"/>
              </w:rPr>
              <w:t>pdsch-HARQ-ACK-OneShotFeedback</w:t>
            </w:r>
            <w:r w:rsidRPr="00FA0D37">
              <w:rPr>
                <w:szCs w:val="22"/>
                <w:lang w:eastAsia="sv-SE"/>
              </w:rPr>
              <w:t xml:space="preserve"> is configured.</w:t>
            </w:r>
          </w:p>
        </w:tc>
      </w:tr>
      <w:tr w:rsidR="005C7FF4" w:rsidRPr="00FA0D37" w14:paraId="75C1CF9E" w14:textId="77777777" w:rsidTr="00771058">
        <w:tc>
          <w:tcPr>
            <w:tcW w:w="14173" w:type="dxa"/>
            <w:tcBorders>
              <w:top w:val="single" w:sz="4" w:space="0" w:color="auto"/>
              <w:left w:val="single" w:sz="4" w:space="0" w:color="auto"/>
              <w:bottom w:val="single" w:sz="4" w:space="0" w:color="auto"/>
              <w:right w:val="single" w:sz="4" w:space="0" w:color="auto"/>
            </w:tcBorders>
          </w:tcPr>
          <w:p w14:paraId="5484415E" w14:textId="77777777" w:rsidR="005D7926" w:rsidRPr="00FA0D37" w:rsidRDefault="005D7926" w:rsidP="00771058">
            <w:pPr>
              <w:pStyle w:val="TAL"/>
              <w:rPr>
                <w:szCs w:val="22"/>
                <w:lang w:eastAsia="sv-SE"/>
              </w:rPr>
            </w:pPr>
            <w:r w:rsidRPr="00FA0D37">
              <w:rPr>
                <w:b/>
                <w:i/>
                <w:szCs w:val="22"/>
                <w:lang w:eastAsia="sv-SE"/>
              </w:rPr>
              <w:t>pdsch-HARQ-ACK-Retx, pdsch-HARQ-ACK-RetxSecondaryPUCCHgroup</w:t>
            </w:r>
          </w:p>
          <w:p w14:paraId="70CCA423" w14:textId="554E9F60" w:rsidR="005D7926" w:rsidRPr="00FA0D37" w:rsidRDefault="005D7926" w:rsidP="00771058">
            <w:pPr>
              <w:pStyle w:val="TAL"/>
              <w:rPr>
                <w:b/>
                <w:i/>
                <w:szCs w:val="22"/>
                <w:lang w:eastAsia="sv-SE"/>
              </w:rPr>
            </w:pPr>
            <w:r w:rsidRPr="00FA0D37">
              <w:rPr>
                <w:szCs w:val="22"/>
                <w:lang w:eastAsia="sv-SE"/>
              </w:rPr>
              <w:t>When configured, the DCI</w:t>
            </w:r>
            <w:r w:rsidR="00934D2F" w:rsidRPr="00FA0D37">
              <w:rPr>
                <w:szCs w:val="22"/>
                <w:lang w:eastAsia="sv-SE"/>
              </w:rPr>
              <w:t xml:space="preserve"> </w:t>
            </w:r>
            <w:r w:rsidRPr="00FA0D37">
              <w:rPr>
                <w:szCs w:val="22"/>
                <w:lang w:eastAsia="sv-SE"/>
              </w:rPr>
              <w:t>format 1_1 can request the UE to perform a HARQ-ACK re-transmission on a PUCCH resource in the primary PUCCH group and the secondary PUCCH group, respectively (see TS 38.213 [13], clause 9.1.5).</w:t>
            </w:r>
          </w:p>
        </w:tc>
      </w:tr>
      <w:tr w:rsidR="005C7FF4" w:rsidRPr="00FA0D37"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5D7926" w:rsidRPr="00FA0D37" w:rsidRDefault="005D7926" w:rsidP="00771058">
            <w:pPr>
              <w:pStyle w:val="TAL"/>
              <w:rPr>
                <w:b/>
                <w:i/>
                <w:szCs w:val="22"/>
                <w:lang w:eastAsia="sv-SE"/>
              </w:rPr>
            </w:pPr>
            <w:r w:rsidRPr="00FA0D37">
              <w:rPr>
                <w:b/>
                <w:i/>
                <w:szCs w:val="22"/>
                <w:lang w:eastAsia="sv-SE"/>
              </w:rPr>
              <w:t>pucch-sSCell, pucch-sSCellSecondaryPUCCHgroup</w:t>
            </w:r>
          </w:p>
          <w:p w14:paraId="63F85324" w14:textId="77777777" w:rsidR="005D7926" w:rsidRPr="00FA0D37" w:rsidRDefault="005D7926" w:rsidP="00771058">
            <w:pPr>
              <w:pStyle w:val="TAL"/>
              <w:rPr>
                <w:b/>
                <w:i/>
                <w:szCs w:val="22"/>
                <w:lang w:eastAsia="sv-SE"/>
              </w:rPr>
            </w:pPr>
            <w:r w:rsidRPr="00FA0D37">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5C7FF4" w:rsidRPr="00FA0D37"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5D7926" w:rsidRPr="00FA0D37" w:rsidRDefault="005D7926" w:rsidP="00771058">
            <w:pPr>
              <w:pStyle w:val="TAL"/>
              <w:rPr>
                <w:b/>
                <w:i/>
                <w:szCs w:val="22"/>
                <w:lang w:eastAsia="sv-SE"/>
              </w:rPr>
            </w:pPr>
            <w:r w:rsidRPr="00FA0D37">
              <w:rPr>
                <w:b/>
                <w:i/>
                <w:szCs w:val="22"/>
                <w:lang w:eastAsia="sv-SE"/>
              </w:rPr>
              <w:t>pucch-sSCellDyn, pucch-sSCellDynsecondaryPUCCHgroup</w:t>
            </w:r>
          </w:p>
          <w:p w14:paraId="57C47440" w14:textId="77777777" w:rsidR="005D7926" w:rsidRPr="00FA0D37" w:rsidRDefault="005D7926" w:rsidP="00771058">
            <w:pPr>
              <w:pStyle w:val="TAL"/>
              <w:rPr>
                <w:b/>
                <w:i/>
                <w:szCs w:val="22"/>
                <w:lang w:eastAsia="sv-SE"/>
              </w:rPr>
            </w:pPr>
            <w:r w:rsidRPr="00FA0D37">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5C7FF4" w:rsidRPr="00FA0D37"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5D7926" w:rsidRPr="00FA0D37" w:rsidRDefault="005D7926" w:rsidP="00771058">
            <w:pPr>
              <w:pStyle w:val="TAL"/>
              <w:rPr>
                <w:b/>
                <w:i/>
                <w:szCs w:val="22"/>
                <w:lang w:eastAsia="sv-SE"/>
              </w:rPr>
            </w:pPr>
            <w:r w:rsidRPr="00FA0D37">
              <w:rPr>
                <w:b/>
                <w:i/>
                <w:szCs w:val="22"/>
                <w:lang w:eastAsia="sv-SE"/>
              </w:rPr>
              <w:t>pucch-sSCellPattern, pucch-sSCellPatternSecondaryPUCCHgroup</w:t>
            </w:r>
          </w:p>
          <w:p w14:paraId="65C6A030" w14:textId="77777777" w:rsidR="005D7926" w:rsidRPr="00FA0D37" w:rsidRDefault="005D7926" w:rsidP="00771058">
            <w:pPr>
              <w:pStyle w:val="TAL"/>
              <w:rPr>
                <w:b/>
                <w:i/>
                <w:szCs w:val="22"/>
                <w:lang w:eastAsia="sv-SE"/>
              </w:rPr>
            </w:pPr>
            <w:r w:rsidRPr="00FA0D37">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5C7FF4" w:rsidRPr="00FA0D37"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5D7926" w:rsidRPr="00FA0D37" w:rsidRDefault="005D7926" w:rsidP="00771058">
            <w:pPr>
              <w:pStyle w:val="TAL"/>
              <w:rPr>
                <w:b/>
                <w:i/>
                <w:szCs w:val="22"/>
                <w:lang w:eastAsia="sv-SE"/>
              </w:rPr>
            </w:pPr>
            <w:r w:rsidRPr="00FA0D37">
              <w:rPr>
                <w:b/>
                <w:i/>
                <w:szCs w:val="22"/>
                <w:lang w:eastAsia="sv-SE"/>
              </w:rPr>
              <w:t>simultaneousPUCCH-PUSCH, simultaneousPUCCH-PUSCH</w:t>
            </w:r>
            <w:r w:rsidRPr="00FA0D37">
              <w:rPr>
                <w:b/>
                <w:bCs/>
                <w:i/>
                <w:iCs/>
              </w:rPr>
              <w:t>-SecondaryPUCCHgroup</w:t>
            </w:r>
          </w:p>
          <w:p w14:paraId="68573BD6" w14:textId="77777777" w:rsidR="005D7926" w:rsidRPr="00FA0D37" w:rsidRDefault="005D7926" w:rsidP="00771058">
            <w:pPr>
              <w:pStyle w:val="TAL"/>
              <w:rPr>
                <w:b/>
                <w:i/>
                <w:szCs w:val="22"/>
                <w:lang w:eastAsia="sv-SE"/>
              </w:rPr>
            </w:pPr>
            <w:r w:rsidRPr="00FA0D37">
              <w:rPr>
                <w:szCs w:val="22"/>
                <w:lang w:eastAsia="sv-SE"/>
              </w:rPr>
              <w:t>Enables simultaneous PUCCH and PUSCH transmissions with different priorities for the primary PUCCH group and the secondary PUCCH group, respectively.</w:t>
            </w:r>
          </w:p>
        </w:tc>
      </w:tr>
      <w:tr w:rsidR="005C7FF4" w:rsidRPr="00FA0D37"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AF19DF" w:rsidRPr="00FA0D37" w:rsidRDefault="00AF19DF" w:rsidP="00DD246F">
            <w:pPr>
              <w:pStyle w:val="TAL"/>
              <w:rPr>
                <w:b/>
                <w:bCs/>
                <w:i/>
                <w:iCs/>
                <w:szCs w:val="22"/>
                <w:lang w:eastAsia="sv-SE"/>
              </w:rPr>
            </w:pPr>
            <w:r w:rsidRPr="00FA0D37">
              <w:rPr>
                <w:b/>
                <w:bCs/>
                <w:i/>
                <w:iCs/>
              </w:rPr>
              <w:t>simultaneousSR-PUSCH-diffPUCCH-Groups</w:t>
            </w:r>
          </w:p>
          <w:p w14:paraId="32B230DF" w14:textId="3D838C28" w:rsidR="00AF19DF" w:rsidRPr="00FA0D37" w:rsidRDefault="00AF19DF" w:rsidP="00AF19DF">
            <w:pPr>
              <w:pStyle w:val="TAL"/>
              <w:rPr>
                <w:b/>
                <w:i/>
                <w:szCs w:val="22"/>
                <w:lang w:eastAsia="sv-SE"/>
              </w:rPr>
            </w:pPr>
            <w:r w:rsidRPr="00FA0D37">
              <w:rPr>
                <w:szCs w:val="22"/>
                <w:lang w:eastAsia="sv-SE"/>
              </w:rPr>
              <w:t xml:space="preserve">Enables simultaneous SR and PUSCH transmissions in different PUCCH groups (see TS 38.321 [3], clause 5.4.1, </w:t>
            </w:r>
            <w:r w:rsidRPr="00FA0D37">
              <w:rPr>
                <w:bCs/>
                <w:iCs/>
                <w:szCs w:val="22"/>
                <w:lang w:eastAsia="sv-SE"/>
              </w:rPr>
              <w:t>clause</w:t>
            </w:r>
            <w:r w:rsidRPr="00FA0D37">
              <w:rPr>
                <w:szCs w:val="22"/>
                <w:lang w:eastAsia="sv-SE"/>
              </w:rPr>
              <w:t xml:space="preserve"> 5.4.4).</w:t>
            </w:r>
          </w:p>
        </w:tc>
      </w:tr>
      <w:tr w:rsidR="005C7FF4" w:rsidRPr="00FA0D37"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394471" w:rsidRPr="00FA0D37" w:rsidRDefault="00394471" w:rsidP="00964CC4">
            <w:pPr>
              <w:pStyle w:val="TAL"/>
              <w:rPr>
                <w:szCs w:val="22"/>
                <w:lang w:eastAsia="sv-SE"/>
              </w:rPr>
            </w:pPr>
            <w:r w:rsidRPr="00FA0D37">
              <w:rPr>
                <w:b/>
                <w:i/>
                <w:szCs w:val="22"/>
                <w:lang w:eastAsia="sv-SE"/>
              </w:rPr>
              <w:t>sizeDCI-2-6</w:t>
            </w:r>
          </w:p>
          <w:p w14:paraId="7BC49EEB" w14:textId="4E92762D" w:rsidR="00394471" w:rsidRPr="00FA0D37" w:rsidRDefault="00394471" w:rsidP="00964CC4">
            <w:pPr>
              <w:pStyle w:val="TAL"/>
              <w:rPr>
                <w:b/>
                <w:i/>
                <w:szCs w:val="22"/>
                <w:lang w:eastAsia="sv-SE"/>
              </w:rPr>
            </w:pPr>
            <w:r w:rsidRPr="00FA0D37">
              <w:rPr>
                <w:szCs w:val="22"/>
                <w:lang w:eastAsia="sv-SE"/>
              </w:rPr>
              <w:t xml:space="preserve">Size of DCI format 2-6 (see TS 38.213 [13], clause </w:t>
            </w:r>
            <w:r w:rsidR="00BF52D8" w:rsidRPr="00FA0D37">
              <w:rPr>
                <w:szCs w:val="22"/>
                <w:lang w:eastAsia="sv-SE"/>
              </w:rPr>
              <w:t>10.3</w:t>
            </w:r>
            <w:r w:rsidRPr="00FA0D37">
              <w:rPr>
                <w:szCs w:val="22"/>
                <w:lang w:eastAsia="sv-SE"/>
              </w:rPr>
              <w:t>).</w:t>
            </w:r>
          </w:p>
        </w:tc>
      </w:tr>
      <w:tr w:rsidR="005C7FF4" w:rsidRPr="00FA0D37"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394471" w:rsidRPr="00FA0D37" w:rsidRDefault="00394471" w:rsidP="00964CC4">
            <w:pPr>
              <w:pStyle w:val="TAL"/>
              <w:rPr>
                <w:b/>
                <w:i/>
                <w:szCs w:val="22"/>
                <w:lang w:eastAsia="sv-SE"/>
              </w:rPr>
            </w:pPr>
            <w:r w:rsidRPr="00FA0D37">
              <w:rPr>
                <w:b/>
                <w:i/>
                <w:szCs w:val="22"/>
                <w:lang w:eastAsia="sv-SE"/>
              </w:rPr>
              <w:t>sp-CSI-RNTI</w:t>
            </w:r>
          </w:p>
          <w:p w14:paraId="577D8B8B" w14:textId="77777777" w:rsidR="00394471" w:rsidRPr="00FA0D37" w:rsidRDefault="00394471" w:rsidP="00964CC4">
            <w:pPr>
              <w:pStyle w:val="TAL"/>
              <w:rPr>
                <w:b/>
                <w:i/>
                <w:szCs w:val="22"/>
                <w:lang w:eastAsia="sv-SE"/>
              </w:rPr>
            </w:pPr>
            <w:r w:rsidRPr="00FA0D37">
              <w:rPr>
                <w:szCs w:val="22"/>
                <w:lang w:eastAsia="sv-SE"/>
              </w:rPr>
              <w:t xml:space="preserve">RNTI for Semi-Persistent CSI reporting on PUSCH (see </w:t>
            </w:r>
            <w:r w:rsidRPr="00FA0D37">
              <w:rPr>
                <w:i/>
                <w:szCs w:val="22"/>
                <w:lang w:eastAsia="sv-SE"/>
              </w:rPr>
              <w:t>CSI-ReportConfig</w:t>
            </w:r>
            <w:r w:rsidRPr="00FA0D37">
              <w:rPr>
                <w:szCs w:val="22"/>
                <w:lang w:eastAsia="sv-SE"/>
              </w:rPr>
              <w:t xml:space="preserve">) (see TS 38.214 [19], clause 5.2.1.5.2). Network always configures </w:t>
            </w:r>
            <w:r w:rsidRPr="00FA0D37">
              <w:rPr>
                <w:lang w:eastAsia="sv-SE"/>
              </w:rPr>
              <w:t>the UE with a value for</w:t>
            </w:r>
            <w:r w:rsidRPr="00FA0D37">
              <w:rPr>
                <w:szCs w:val="22"/>
                <w:lang w:eastAsia="sv-SE"/>
              </w:rPr>
              <w:t xml:space="preserve"> this field when </w:t>
            </w:r>
            <w:r w:rsidRPr="00FA0D37">
              <w:rPr>
                <w:lang w:eastAsia="sv-SE"/>
              </w:rPr>
              <w:t xml:space="preserve">at least one </w:t>
            </w:r>
            <w:r w:rsidRPr="00FA0D37">
              <w:rPr>
                <w:i/>
                <w:lang w:eastAsia="sv-SE"/>
              </w:rPr>
              <w:t xml:space="preserve">CSI-ReportConfig </w:t>
            </w:r>
            <w:r w:rsidRPr="00FA0D37">
              <w:rPr>
                <w:lang w:eastAsia="sv-SE"/>
              </w:rPr>
              <w:t xml:space="preserve">with </w:t>
            </w:r>
            <w:r w:rsidRPr="00FA0D37">
              <w:rPr>
                <w:i/>
                <w:lang w:eastAsia="sv-SE"/>
              </w:rPr>
              <w:t>reportConfigType</w:t>
            </w:r>
            <w:r w:rsidRPr="00FA0D37">
              <w:rPr>
                <w:lang w:eastAsia="sv-SE"/>
              </w:rPr>
              <w:t xml:space="preserve"> set to </w:t>
            </w:r>
            <w:r w:rsidRPr="00FA0D37">
              <w:rPr>
                <w:i/>
                <w:lang w:eastAsia="sv-SE"/>
              </w:rPr>
              <w:t xml:space="preserve">semiPersistentOnPUSCH </w:t>
            </w:r>
            <w:r w:rsidRPr="00FA0D37">
              <w:rPr>
                <w:lang w:eastAsia="sv-SE"/>
              </w:rPr>
              <w:t>is configured</w:t>
            </w:r>
            <w:r w:rsidRPr="00FA0D37">
              <w:rPr>
                <w:szCs w:val="22"/>
                <w:lang w:eastAsia="sv-SE"/>
              </w:rPr>
              <w:t>.</w:t>
            </w:r>
          </w:p>
        </w:tc>
      </w:tr>
      <w:tr w:rsidR="005C7FF4" w:rsidRPr="00FA0D37"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394471" w:rsidRPr="00FA0D37" w:rsidRDefault="00394471" w:rsidP="00964CC4">
            <w:pPr>
              <w:pStyle w:val="TAL"/>
              <w:rPr>
                <w:szCs w:val="22"/>
                <w:lang w:eastAsia="sv-SE"/>
              </w:rPr>
            </w:pPr>
            <w:r w:rsidRPr="00FA0D37">
              <w:rPr>
                <w:b/>
                <w:i/>
                <w:szCs w:val="22"/>
                <w:lang w:eastAsia="sv-SE"/>
              </w:rPr>
              <w:t>tpc-PUCCH-RNTI</w:t>
            </w:r>
          </w:p>
          <w:p w14:paraId="7AA55B3D" w14:textId="77777777" w:rsidR="00394471" w:rsidRPr="00FA0D37" w:rsidRDefault="00394471" w:rsidP="00964CC4">
            <w:pPr>
              <w:pStyle w:val="TAL"/>
              <w:rPr>
                <w:szCs w:val="22"/>
                <w:lang w:eastAsia="sv-SE"/>
              </w:rPr>
            </w:pPr>
            <w:r w:rsidRPr="00FA0D37">
              <w:rPr>
                <w:szCs w:val="22"/>
                <w:lang w:eastAsia="sv-SE"/>
              </w:rPr>
              <w:t>RNTI used for PUCCH TPC commands on DCI (see TS 38.213 [13], clause 10.1).</w:t>
            </w:r>
          </w:p>
        </w:tc>
      </w:tr>
      <w:tr w:rsidR="005C7FF4" w:rsidRPr="00FA0D37"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394471" w:rsidRPr="00FA0D37" w:rsidRDefault="00394471" w:rsidP="00964CC4">
            <w:pPr>
              <w:pStyle w:val="TAL"/>
              <w:rPr>
                <w:szCs w:val="22"/>
                <w:lang w:eastAsia="sv-SE"/>
              </w:rPr>
            </w:pPr>
            <w:r w:rsidRPr="00FA0D37">
              <w:rPr>
                <w:b/>
                <w:i/>
                <w:szCs w:val="22"/>
                <w:lang w:eastAsia="sv-SE"/>
              </w:rPr>
              <w:t>tpc-PUSCH-RNTI</w:t>
            </w:r>
          </w:p>
          <w:p w14:paraId="0E6BC3D0" w14:textId="77777777" w:rsidR="00394471" w:rsidRPr="00FA0D37" w:rsidRDefault="00394471" w:rsidP="00964CC4">
            <w:pPr>
              <w:pStyle w:val="TAL"/>
              <w:rPr>
                <w:szCs w:val="22"/>
                <w:lang w:eastAsia="sv-SE"/>
              </w:rPr>
            </w:pPr>
            <w:r w:rsidRPr="00FA0D37">
              <w:rPr>
                <w:szCs w:val="22"/>
                <w:lang w:eastAsia="sv-SE"/>
              </w:rPr>
              <w:t>RNTI used for PUSCH TPC commands on DCI (see TS 38.213 [13], clause 10.1).</w:t>
            </w:r>
          </w:p>
        </w:tc>
      </w:tr>
      <w:tr w:rsidR="005C7FF4" w:rsidRPr="00FA0D37"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394471" w:rsidRPr="00FA0D37" w:rsidRDefault="00394471" w:rsidP="00964CC4">
            <w:pPr>
              <w:pStyle w:val="TAL"/>
              <w:rPr>
                <w:szCs w:val="22"/>
                <w:lang w:eastAsia="sv-SE"/>
              </w:rPr>
            </w:pPr>
            <w:r w:rsidRPr="00FA0D37">
              <w:rPr>
                <w:b/>
                <w:i/>
                <w:szCs w:val="22"/>
                <w:lang w:eastAsia="sv-SE"/>
              </w:rPr>
              <w:t>tpc-SRS-RNTI</w:t>
            </w:r>
          </w:p>
          <w:p w14:paraId="17D1DEAE" w14:textId="77777777" w:rsidR="00394471" w:rsidRPr="00FA0D37" w:rsidRDefault="00394471" w:rsidP="00964CC4">
            <w:pPr>
              <w:pStyle w:val="TAL"/>
              <w:rPr>
                <w:szCs w:val="22"/>
                <w:lang w:eastAsia="sv-SE"/>
              </w:rPr>
            </w:pPr>
            <w:r w:rsidRPr="00FA0D37">
              <w:rPr>
                <w:szCs w:val="22"/>
                <w:lang w:eastAsia="sv-SE"/>
              </w:rPr>
              <w:t>RNTI used for SRS TPC commands on DCI (see TS 38.213 [13], clause 10.1).</w:t>
            </w:r>
          </w:p>
        </w:tc>
      </w:tr>
      <w:tr w:rsidR="005C7FF4" w:rsidRPr="00FA0D37"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651368" w:rsidRPr="00FA0D37" w:rsidRDefault="00651368" w:rsidP="00771058">
            <w:pPr>
              <w:pStyle w:val="TAL"/>
              <w:rPr>
                <w:b/>
                <w:i/>
                <w:szCs w:val="22"/>
                <w:lang w:eastAsia="sv-SE"/>
              </w:rPr>
            </w:pPr>
            <w:r w:rsidRPr="00FA0D37">
              <w:rPr>
                <w:b/>
                <w:i/>
                <w:szCs w:val="22"/>
                <w:lang w:eastAsia="sv-SE"/>
              </w:rPr>
              <w:t>twoQCLTypeDforPDCCHRepetition</w:t>
            </w:r>
          </w:p>
          <w:p w14:paraId="449D6240" w14:textId="6BFB9F46" w:rsidR="00651368" w:rsidRPr="00FA0D37" w:rsidRDefault="00651368" w:rsidP="00771058">
            <w:pPr>
              <w:pStyle w:val="TAL"/>
              <w:rPr>
                <w:bCs/>
                <w:iCs/>
                <w:szCs w:val="22"/>
                <w:lang w:eastAsia="sv-SE"/>
              </w:rPr>
            </w:pPr>
            <w:r w:rsidRPr="00FA0D37">
              <w:rPr>
                <w:bCs/>
                <w:iCs/>
                <w:szCs w:val="22"/>
                <w:lang w:eastAsia="sv-SE"/>
              </w:rPr>
              <w:t>Indicates whether a UE is expected UE to identify and monitor two QCL-TypeD properties for multiple overlapping CORESETs in the case of PDCCH repetition.</w:t>
            </w:r>
          </w:p>
        </w:tc>
      </w:tr>
      <w:tr w:rsidR="005C7FF4" w:rsidRPr="00FA0D37"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5D7926" w:rsidRPr="00FA0D37" w:rsidRDefault="005D7926" w:rsidP="00771058">
            <w:pPr>
              <w:pStyle w:val="TAL"/>
              <w:rPr>
                <w:szCs w:val="22"/>
                <w:lang w:eastAsia="sv-SE"/>
              </w:rPr>
            </w:pPr>
            <w:r w:rsidRPr="00FA0D37">
              <w:rPr>
                <w:b/>
                <w:i/>
                <w:szCs w:val="22"/>
                <w:lang w:eastAsia="sv-SE"/>
              </w:rPr>
              <w:t>uci-MuxWithDiffPrio, uci-MuxWithDiffPrio-secondaryPUCCHgroup</w:t>
            </w:r>
          </w:p>
          <w:p w14:paraId="06C9C53C" w14:textId="77777777" w:rsidR="005D7926" w:rsidRPr="00FA0D37" w:rsidRDefault="005D7926" w:rsidP="00771058">
            <w:pPr>
              <w:pStyle w:val="TAL"/>
              <w:rPr>
                <w:b/>
                <w:i/>
                <w:szCs w:val="22"/>
                <w:lang w:eastAsia="sv-SE"/>
              </w:rPr>
            </w:pPr>
            <w:r w:rsidRPr="00FA0D37">
              <w:rPr>
                <w:szCs w:val="22"/>
                <w:lang w:eastAsia="sv-SE"/>
              </w:rPr>
              <w:t>When configured, enables multiplexing a high-priority (HP) HARQ-ACK UCI and a low-priority (LP) HARQ-ACK UCI into a PUCCH or PUSCH for the primary PUCCH group and the secondary PUCCH group, respectively.</w:t>
            </w:r>
          </w:p>
        </w:tc>
      </w:tr>
      <w:tr w:rsidR="005C7FF4" w:rsidRPr="00FA0D37"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394471" w:rsidRPr="00FA0D37" w:rsidRDefault="00394471" w:rsidP="00964CC4">
            <w:pPr>
              <w:pStyle w:val="TAL"/>
              <w:rPr>
                <w:szCs w:val="22"/>
                <w:lang w:eastAsia="sv-SE"/>
              </w:rPr>
            </w:pPr>
            <w:r w:rsidRPr="00FA0D37">
              <w:rPr>
                <w:b/>
                <w:i/>
                <w:szCs w:val="22"/>
                <w:lang w:eastAsia="sv-SE"/>
              </w:rPr>
              <w:t>ul-TotalDAI-Included</w:t>
            </w:r>
          </w:p>
          <w:p w14:paraId="695E49B8" w14:textId="62A3CEB2" w:rsidR="00394471" w:rsidRPr="00FA0D37" w:rsidRDefault="00394471" w:rsidP="00964CC4">
            <w:pPr>
              <w:pStyle w:val="TAL"/>
              <w:rPr>
                <w:b/>
                <w:i/>
                <w:szCs w:val="22"/>
                <w:lang w:eastAsia="sv-SE"/>
              </w:rPr>
            </w:pPr>
            <w:r w:rsidRPr="00FA0D37">
              <w:rPr>
                <w:szCs w:val="22"/>
                <w:lang w:eastAsia="sv-SE"/>
              </w:rPr>
              <w:t>Indica</w:t>
            </w:r>
            <w:r w:rsidR="00261BA1" w:rsidRPr="00FA0D37">
              <w:rPr>
                <w:szCs w:val="22"/>
                <w:lang w:eastAsia="sv-SE"/>
              </w:rPr>
              <w:t>t</w:t>
            </w:r>
            <w:r w:rsidRPr="00FA0D37">
              <w:rPr>
                <w:szCs w:val="22"/>
                <w:lang w:eastAsia="sv-SE"/>
              </w:rPr>
              <w:t>es whether the total DAI fields of the addit</w:t>
            </w:r>
            <w:r w:rsidR="00850B30" w:rsidRPr="00FA0D37">
              <w:rPr>
                <w:szCs w:val="22"/>
                <w:lang w:eastAsia="sv-SE"/>
              </w:rPr>
              <w:t>i</w:t>
            </w:r>
            <w:r w:rsidRPr="00FA0D37">
              <w:rPr>
                <w:szCs w:val="22"/>
                <w:lang w:eastAsia="sv-SE"/>
              </w:rPr>
              <w:t>onal PDSCH group is included in the non-fallback UL grant DCI (see TS 38.212 [17], clause 7.3.1). The network configures this only when enhanced dynamic codebook is configured (</w:t>
            </w:r>
            <w:r w:rsidRPr="00FA0D37">
              <w:rPr>
                <w:i/>
                <w:szCs w:val="22"/>
                <w:lang w:eastAsia="sv-SE"/>
              </w:rPr>
              <w:t xml:space="preserve">pdsch-HARQ-ACK-Codebook </w:t>
            </w:r>
            <w:r w:rsidRPr="00FA0D37">
              <w:rPr>
                <w:szCs w:val="22"/>
                <w:lang w:eastAsia="sv-SE"/>
              </w:rPr>
              <w:t xml:space="preserve">is set to </w:t>
            </w:r>
            <w:r w:rsidRPr="00FA0D37">
              <w:rPr>
                <w:i/>
                <w:szCs w:val="22"/>
                <w:lang w:eastAsia="sv-SE"/>
              </w:rPr>
              <w:t>enhancedDynamic</w:t>
            </w:r>
            <w:r w:rsidRPr="00FA0D37">
              <w:rPr>
                <w:szCs w:val="22"/>
                <w:lang w:eastAsia="sv-SE"/>
              </w:rPr>
              <w:t>).</w:t>
            </w:r>
          </w:p>
        </w:tc>
      </w:tr>
      <w:tr w:rsidR="000830BB" w:rsidRPr="00FA0D37"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394471" w:rsidRPr="00FA0D37" w:rsidRDefault="00394471" w:rsidP="00964CC4">
            <w:pPr>
              <w:pStyle w:val="TAL"/>
              <w:rPr>
                <w:b/>
                <w:i/>
                <w:lang w:eastAsia="sv-SE"/>
              </w:rPr>
            </w:pPr>
            <w:r w:rsidRPr="00FA0D37">
              <w:rPr>
                <w:b/>
                <w:i/>
                <w:lang w:eastAsia="sv-SE"/>
              </w:rPr>
              <w:t>xScale</w:t>
            </w:r>
          </w:p>
          <w:p w14:paraId="67D82ED3" w14:textId="77777777" w:rsidR="00394471" w:rsidRPr="00FA0D37" w:rsidRDefault="00394471" w:rsidP="00964CC4">
            <w:pPr>
              <w:pStyle w:val="TAL"/>
              <w:rPr>
                <w:b/>
                <w:i/>
                <w:szCs w:val="22"/>
                <w:lang w:eastAsia="sv-SE"/>
              </w:rPr>
            </w:pPr>
            <w:r w:rsidRPr="00FA0D37">
              <w:rPr>
                <w:noProof/>
                <w:lang w:eastAsia="sv-SE"/>
              </w:rPr>
              <w:t xml:space="preserve">The UE is allowed to drop NR only if the power scaling applied to NR results in a difference between scaled and unscaled NR UL of more than </w:t>
            </w:r>
            <w:r w:rsidRPr="00FA0D37">
              <w:rPr>
                <w:i/>
                <w:noProof/>
                <w:lang w:eastAsia="sv-SE"/>
              </w:rPr>
              <w:t>xScale</w:t>
            </w:r>
            <w:r w:rsidRPr="00FA0D37">
              <w:rPr>
                <w:noProof/>
                <w:lang w:eastAsia="sv-SE"/>
              </w:rPr>
              <w:t xml:space="preserve"> dB (see TS 38.213 [13]). If the value is not configured for dynamic power sharing, the UE assumes default value of 6 dB.</w:t>
            </w:r>
          </w:p>
        </w:tc>
      </w:tr>
    </w:tbl>
    <w:p w14:paraId="09B7FEB7" w14:textId="122F4C2B"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FA0D37" w:rsidRDefault="006C48AD" w:rsidP="00771058">
            <w:pPr>
              <w:pStyle w:val="TAH"/>
              <w:rPr>
                <w:szCs w:val="22"/>
                <w:lang w:eastAsia="sv-SE"/>
              </w:rPr>
            </w:pPr>
            <w:r w:rsidRPr="00FA0D37">
              <w:rPr>
                <w:i/>
                <w:szCs w:val="22"/>
                <w:lang w:eastAsia="sv-SE"/>
              </w:rPr>
              <w:lastRenderedPageBreak/>
              <w:t xml:space="preserve">MulticastConfig </w:t>
            </w:r>
            <w:r w:rsidRPr="00FA0D37">
              <w:rPr>
                <w:szCs w:val="22"/>
                <w:lang w:eastAsia="sv-SE"/>
              </w:rPr>
              <w:t>field descriptions</w:t>
            </w:r>
          </w:p>
        </w:tc>
      </w:tr>
      <w:tr w:rsidR="005C7FF4" w:rsidRPr="00FA0D37"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FA0D37" w:rsidRDefault="006C48AD" w:rsidP="00771058">
            <w:pPr>
              <w:pStyle w:val="TAL"/>
              <w:rPr>
                <w:b/>
                <w:bCs/>
                <w:i/>
                <w:iCs/>
                <w:lang w:eastAsia="x-none"/>
              </w:rPr>
            </w:pPr>
            <w:r w:rsidRPr="00FA0D37">
              <w:rPr>
                <w:b/>
                <w:bCs/>
                <w:i/>
                <w:szCs w:val="22"/>
                <w:lang w:eastAsia="en-GB"/>
              </w:rPr>
              <w:t>pdsch</w:t>
            </w:r>
            <w:r w:rsidRPr="00FA0D37">
              <w:rPr>
                <w:b/>
                <w:bCs/>
                <w:i/>
                <w:iCs/>
                <w:lang w:eastAsia="x-none"/>
              </w:rPr>
              <w:t>-HARQ-ACK-CodebookListMulticast</w:t>
            </w:r>
          </w:p>
          <w:p w14:paraId="65F17CC3" w14:textId="77777777" w:rsidR="006C48AD" w:rsidRPr="00FA0D37" w:rsidRDefault="006C48AD" w:rsidP="00771058">
            <w:pPr>
              <w:pStyle w:val="TAL"/>
              <w:rPr>
                <w:b/>
                <w:bCs/>
                <w:i/>
                <w:iCs/>
                <w:lang w:eastAsia="x-none"/>
              </w:rPr>
            </w:pPr>
            <w:r w:rsidRPr="00FA0D37">
              <w:rPr>
                <w:szCs w:val="22"/>
                <w:lang w:eastAsia="sv-SE"/>
              </w:rPr>
              <w:t xml:space="preserve">A </w:t>
            </w:r>
            <w:r w:rsidRPr="00FA0D37">
              <w:rPr>
                <w:bCs/>
                <w:iCs/>
                <w:szCs w:val="22"/>
              </w:rPr>
              <w:t>list</w:t>
            </w:r>
            <w:r w:rsidRPr="00FA0D37">
              <w:rPr>
                <w:szCs w:val="22"/>
                <w:lang w:eastAsia="sv-SE"/>
              </w:rPr>
              <w:t xml:space="preserve"> of configurations for one or two HARQ-ACK codebooks for MBS multicast. Each configuration in the list is defined in the same way as </w:t>
            </w:r>
            <w:r w:rsidRPr="00FA0D37">
              <w:rPr>
                <w:i/>
                <w:iCs/>
                <w:szCs w:val="22"/>
                <w:lang w:eastAsia="sv-SE"/>
              </w:rPr>
              <w:t>pdsch-HARQ-ACK-Codebook</w:t>
            </w:r>
            <w:r w:rsidRPr="00FA0D37">
              <w:rPr>
                <w:szCs w:val="22"/>
                <w:lang w:eastAsia="sv-SE"/>
              </w:rPr>
              <w:t xml:space="preserve"> (see TS 38.212 [17], clause 7.3.1.2.2 and TS 38.213 [13], clauses 7.2.1, 9.1.2, 9.1.3 and 9.2.1). If this field is present, the field </w:t>
            </w:r>
            <w:r w:rsidRPr="00FA0D37">
              <w:rPr>
                <w:i/>
                <w:iCs/>
                <w:szCs w:val="22"/>
                <w:lang w:eastAsia="sv-SE"/>
              </w:rPr>
              <w:t>pdsch-HARQ-ACK-Codebook</w:t>
            </w:r>
            <w:r w:rsidRPr="00FA0D37">
              <w:rPr>
                <w:szCs w:val="22"/>
                <w:lang w:eastAsia="sv-SE"/>
              </w:rPr>
              <w:t xml:space="preserve"> is ignored. If this field is present, the value of this field is applied for primary PUCCH group and for secondary PUCCH group (if configured).</w:t>
            </w:r>
          </w:p>
        </w:tc>
      </w:tr>
      <w:tr w:rsidR="006C48AD" w:rsidRPr="00FA0D37"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FA0D37" w:rsidRDefault="006C48AD" w:rsidP="00771058">
            <w:pPr>
              <w:pStyle w:val="TAL"/>
              <w:rPr>
                <w:b/>
                <w:i/>
                <w:szCs w:val="22"/>
                <w:lang w:eastAsia="sv-SE"/>
              </w:rPr>
            </w:pPr>
            <w:r w:rsidRPr="00FA0D37">
              <w:rPr>
                <w:b/>
                <w:i/>
                <w:szCs w:val="22"/>
                <w:lang w:eastAsia="sv-SE"/>
              </w:rPr>
              <w:t>type1</w:t>
            </w:r>
            <w:r w:rsidRPr="00FA0D37">
              <w:rPr>
                <w:b/>
                <w:bCs/>
                <w:i/>
                <w:szCs w:val="22"/>
                <w:lang w:eastAsia="en-GB"/>
              </w:rPr>
              <w:t>Codebook</w:t>
            </w:r>
            <w:r w:rsidRPr="00FA0D37">
              <w:rPr>
                <w:b/>
                <w:i/>
                <w:szCs w:val="22"/>
                <w:lang w:eastAsia="sv-SE"/>
              </w:rPr>
              <w:t>GenerationMode</w:t>
            </w:r>
          </w:p>
          <w:p w14:paraId="3E66CB8F" w14:textId="49C4C78C" w:rsidR="006C48AD" w:rsidRPr="00FA0D37" w:rsidRDefault="006C48AD" w:rsidP="00771058">
            <w:pPr>
              <w:pStyle w:val="TAL"/>
              <w:rPr>
                <w:b/>
                <w:bCs/>
                <w:i/>
                <w:szCs w:val="22"/>
                <w:lang w:eastAsia="en-GB"/>
              </w:rPr>
            </w:pPr>
            <w:r w:rsidRPr="00FA0D37">
              <w:rPr>
                <w:bCs/>
                <w:iCs/>
                <w:szCs w:val="22"/>
              </w:rPr>
              <w:t>Indicates</w:t>
            </w:r>
            <w:r w:rsidRPr="00FA0D37">
              <w:rPr>
                <w:szCs w:val="22"/>
                <w:lang w:eastAsia="sv-SE"/>
              </w:rPr>
              <w:t xml:space="preserve"> the mode of Type-1 HARQ-ACK codebook generation</w:t>
            </w:r>
            <w:r w:rsidR="002C350C" w:rsidRPr="00FA0D37">
              <w:rPr>
                <w:bCs/>
                <w:iCs/>
                <w:szCs w:val="22"/>
                <w:lang w:eastAsia="sv-SE"/>
              </w:rPr>
              <w:t>, as specified in TS 38.213 [13]</w:t>
            </w:r>
            <w:r w:rsidRPr="00FA0D37">
              <w:rPr>
                <w:szCs w:val="22"/>
                <w:lang w:eastAsia="sv-SE"/>
              </w:rPr>
              <w:t>. Mode 1 is based on the k1 values that are in the inter</w:t>
            </w:r>
            <w:r w:rsidR="00947949" w:rsidRPr="00FA0D37">
              <w:rPr>
                <w:szCs w:val="22"/>
                <w:lang w:eastAsia="sv-SE"/>
              </w:rPr>
              <w:t>section</w:t>
            </w:r>
            <w:r w:rsidRPr="00FA0D37">
              <w:rPr>
                <w:szCs w:val="22"/>
                <w:lang w:eastAsia="sv-SE"/>
              </w:rPr>
              <w:t xml:space="preserve"> of K1 set for unicast and K1 set for </w:t>
            </w:r>
            <w:r w:rsidR="00154FBC" w:rsidRPr="00FA0D37">
              <w:rPr>
                <w:szCs w:val="22"/>
                <w:lang w:eastAsia="sv-SE"/>
              </w:rPr>
              <w:t>multicast</w:t>
            </w:r>
            <w:r w:rsidRPr="00FA0D37">
              <w:rPr>
                <w:szCs w:val="22"/>
                <w:lang w:eastAsia="sv-SE"/>
              </w:rPr>
              <w:t xml:space="preserve">. Mode 2 is based on the k1 values that </w:t>
            </w:r>
            <w:r w:rsidR="002C350C" w:rsidRPr="00FA0D37">
              <w:rPr>
                <w:szCs w:val="22"/>
                <w:lang w:eastAsia="sv-SE"/>
              </w:rPr>
              <w:t xml:space="preserve">are </w:t>
            </w:r>
            <w:r w:rsidRPr="00FA0D37">
              <w:rPr>
                <w:szCs w:val="22"/>
                <w:lang w:eastAsia="sv-SE"/>
              </w:rPr>
              <w:t xml:space="preserve">in the union of K1 set for unicast and K1 set for </w:t>
            </w:r>
            <w:r w:rsidR="00154FBC" w:rsidRPr="00FA0D37">
              <w:rPr>
                <w:szCs w:val="22"/>
                <w:lang w:eastAsia="sv-SE"/>
              </w:rPr>
              <w:t>multicast</w:t>
            </w:r>
            <w:r w:rsidRPr="00FA0D37">
              <w:rPr>
                <w:szCs w:val="22"/>
                <w:lang w:eastAsia="sv-SE"/>
              </w:rPr>
              <w:t>.</w:t>
            </w:r>
          </w:p>
        </w:tc>
      </w:tr>
    </w:tbl>
    <w:p w14:paraId="62D1BB2B" w14:textId="77777777" w:rsidR="006C48AD" w:rsidRPr="00FA0D37"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FA0D37" w:rsidRDefault="005D7926" w:rsidP="00771058">
            <w:pPr>
              <w:pStyle w:val="TAH"/>
              <w:rPr>
                <w:szCs w:val="22"/>
                <w:lang w:eastAsia="sv-SE"/>
              </w:rPr>
            </w:pPr>
            <w:r w:rsidRPr="00FA0D37">
              <w:rPr>
                <w:i/>
                <w:szCs w:val="22"/>
                <w:lang w:eastAsia="sv-SE"/>
              </w:rPr>
              <w:t xml:space="preserve">PDSCH-HARQ-ACK-EnhType3 </w:t>
            </w:r>
            <w:r w:rsidRPr="00FA0D37">
              <w:rPr>
                <w:szCs w:val="22"/>
                <w:lang w:eastAsia="sv-SE"/>
              </w:rPr>
              <w:t>field descriptions</w:t>
            </w:r>
          </w:p>
        </w:tc>
      </w:tr>
      <w:tr w:rsidR="005C7FF4" w:rsidRPr="00FA0D37"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FA0D37" w:rsidRDefault="005D7926" w:rsidP="00771058">
            <w:pPr>
              <w:pStyle w:val="TAL"/>
              <w:rPr>
                <w:b/>
                <w:i/>
                <w:lang w:eastAsia="sv-SE"/>
              </w:rPr>
            </w:pPr>
            <w:r w:rsidRPr="00FA0D37">
              <w:rPr>
                <w:b/>
                <w:i/>
                <w:lang w:eastAsia="sv-SE"/>
              </w:rPr>
              <w:t>pdsch-HARQ-ACK-EnhType3CBG</w:t>
            </w:r>
          </w:p>
          <w:p w14:paraId="792AA5D9" w14:textId="4445088E" w:rsidR="005D7926" w:rsidRPr="00FA0D37" w:rsidRDefault="005D7926" w:rsidP="00771058">
            <w:pPr>
              <w:pStyle w:val="TAL"/>
              <w:rPr>
                <w:bCs/>
                <w:iCs/>
                <w:lang w:eastAsia="en-GB"/>
              </w:rPr>
            </w:pPr>
            <w:r w:rsidRPr="00FA0D37">
              <w:rPr>
                <w:bCs/>
                <w:iCs/>
                <w:lang w:eastAsia="en-GB"/>
              </w:rPr>
              <w:t>When configured, the DCI</w:t>
            </w:r>
            <w:r w:rsidR="00934D2F" w:rsidRPr="00FA0D37">
              <w:rPr>
                <w:bCs/>
                <w:iCs/>
                <w:lang w:eastAsia="en-GB"/>
              </w:rPr>
              <w:t xml:space="preserve"> </w:t>
            </w:r>
            <w:r w:rsidRPr="00FA0D37">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5C7FF4" w:rsidRPr="00FA0D37"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FA0D37" w:rsidRDefault="005D7926" w:rsidP="00771058">
            <w:pPr>
              <w:pStyle w:val="TAL"/>
              <w:rPr>
                <w:b/>
                <w:i/>
                <w:lang w:eastAsia="sv-SE"/>
              </w:rPr>
            </w:pPr>
            <w:r w:rsidRPr="00FA0D37">
              <w:rPr>
                <w:b/>
                <w:i/>
                <w:lang w:eastAsia="sv-SE"/>
              </w:rPr>
              <w:t>pdsch-HARQ-ACK-EnhType3NDI</w:t>
            </w:r>
          </w:p>
          <w:p w14:paraId="7FB823A7" w14:textId="276611E5" w:rsidR="005D7926" w:rsidRPr="00FA0D37" w:rsidRDefault="005D7926" w:rsidP="00771058">
            <w:pPr>
              <w:pStyle w:val="TAL"/>
              <w:rPr>
                <w:bCs/>
                <w:iCs/>
                <w:lang w:eastAsia="sv-SE"/>
              </w:rPr>
            </w:pPr>
            <w:r w:rsidRPr="00FA0D37">
              <w:rPr>
                <w:bCs/>
                <w:iCs/>
                <w:lang w:eastAsia="sv-SE"/>
              </w:rPr>
              <w:t>When configured, the DCI</w:t>
            </w:r>
            <w:r w:rsidR="00934D2F" w:rsidRPr="00FA0D37">
              <w:rPr>
                <w:bCs/>
                <w:iCs/>
                <w:lang w:eastAsia="sv-SE"/>
              </w:rPr>
              <w:t xml:space="preserve"> </w:t>
            </w:r>
            <w:r w:rsidRPr="00FA0D37">
              <w:rPr>
                <w:bCs/>
                <w:iCs/>
                <w:lang w:eastAsia="sv-SE"/>
              </w:rPr>
              <w:t>format 1_1 or DCI format 1_2 can request the UE to include NDI for each A/N reported of the enhanced Type 3 HARQ-ACK codebook.</w:t>
            </w:r>
          </w:p>
        </w:tc>
      </w:tr>
      <w:tr w:rsidR="005C7FF4" w:rsidRPr="00FA0D37"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FA0D37" w:rsidRDefault="005D7926" w:rsidP="00771058">
            <w:pPr>
              <w:pStyle w:val="TAL"/>
              <w:rPr>
                <w:b/>
                <w:i/>
                <w:lang w:eastAsia="sv-SE"/>
              </w:rPr>
            </w:pPr>
            <w:r w:rsidRPr="00FA0D37">
              <w:rPr>
                <w:b/>
                <w:i/>
                <w:lang w:eastAsia="sv-SE"/>
              </w:rPr>
              <w:t>perCC</w:t>
            </w:r>
          </w:p>
          <w:p w14:paraId="2AB33FB8" w14:textId="77777777" w:rsidR="005D7926" w:rsidRPr="00FA0D37" w:rsidRDefault="005D7926" w:rsidP="00771058">
            <w:pPr>
              <w:pStyle w:val="TAL"/>
              <w:rPr>
                <w:bCs/>
                <w:iCs/>
                <w:lang w:eastAsia="sv-SE"/>
              </w:rPr>
            </w:pPr>
            <w:r w:rsidRPr="00FA0D37">
              <w:rPr>
                <w:bCs/>
                <w:iCs/>
                <w:lang w:eastAsia="sv-SE"/>
              </w:rPr>
              <w:t>Configures enhanced Type 3 HARQ-ACK codebook using per CC configuration.</w:t>
            </w:r>
          </w:p>
        </w:tc>
      </w:tr>
      <w:tr w:rsidR="005D7926" w:rsidRPr="00FA0D37"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FA0D37" w:rsidRDefault="005D7926" w:rsidP="00771058">
            <w:pPr>
              <w:pStyle w:val="TAL"/>
              <w:rPr>
                <w:b/>
                <w:i/>
                <w:lang w:eastAsia="sv-SE"/>
              </w:rPr>
            </w:pPr>
            <w:r w:rsidRPr="00FA0D37">
              <w:rPr>
                <w:b/>
                <w:i/>
                <w:lang w:eastAsia="sv-SE"/>
              </w:rPr>
              <w:t>perHARQ</w:t>
            </w:r>
            <w:r w:rsidR="00E76A07" w:rsidRPr="00FA0D37">
              <w:rPr>
                <w:b/>
                <w:i/>
                <w:lang w:eastAsia="sv-SE"/>
              </w:rPr>
              <w:t>, perHARQ-Ext</w:t>
            </w:r>
          </w:p>
          <w:p w14:paraId="68474263" w14:textId="26A35856" w:rsidR="005D7926" w:rsidRPr="00FA0D37" w:rsidRDefault="005D7926" w:rsidP="00771058">
            <w:pPr>
              <w:pStyle w:val="TAL"/>
              <w:rPr>
                <w:b/>
                <w:i/>
                <w:lang w:eastAsia="sv-SE"/>
              </w:rPr>
            </w:pPr>
            <w:r w:rsidRPr="00FA0D37">
              <w:rPr>
                <w:bCs/>
                <w:iCs/>
                <w:lang w:eastAsia="sv-SE"/>
              </w:rPr>
              <w:t>Configures enhanced Type 3 HARQ-ACK codebook using per HARQ process and CC configuration.</w:t>
            </w:r>
            <w:r w:rsidR="00E76A07" w:rsidRPr="00FA0D37">
              <w:rPr>
                <w:bCs/>
                <w:iCs/>
                <w:lang w:eastAsia="sv-SE"/>
              </w:rPr>
              <w:t xml:space="preserve"> </w:t>
            </w:r>
            <w:r w:rsidR="00E76A07" w:rsidRPr="00FA0D37">
              <w:rPr>
                <w:bCs/>
                <w:i/>
                <w:iCs/>
                <w:lang w:eastAsia="sv-SE"/>
              </w:rPr>
              <w:t>perHARQ-Ext</w:t>
            </w:r>
            <w:r w:rsidR="00E76A07" w:rsidRPr="00FA0D37">
              <w:rPr>
                <w:bCs/>
                <w:iCs/>
                <w:lang w:eastAsia="sv-SE"/>
              </w:rPr>
              <w:t xml:space="preserve"> is present only when </w:t>
            </w:r>
            <w:r w:rsidR="00E76A07" w:rsidRPr="00FA0D37">
              <w:rPr>
                <w:bCs/>
                <w:i/>
                <w:iCs/>
                <w:lang w:eastAsia="sv-SE"/>
              </w:rPr>
              <w:t>nrofHARQ-ProcessesForPDSCH-v1700</w:t>
            </w:r>
            <w:r w:rsidR="00E76A07" w:rsidRPr="00FA0D37">
              <w:rPr>
                <w:bCs/>
                <w:iCs/>
                <w:lang w:eastAsia="sv-SE"/>
              </w:rPr>
              <w:t xml:space="preserve"> is present in </w:t>
            </w:r>
            <w:r w:rsidR="00E76A07" w:rsidRPr="00FA0D37">
              <w:rPr>
                <w:bCs/>
                <w:i/>
                <w:iCs/>
                <w:lang w:eastAsia="sv-SE"/>
              </w:rPr>
              <w:t>pdsch-ServingCellConfig</w:t>
            </w:r>
            <w:r w:rsidR="00E76A07" w:rsidRPr="00FA0D37">
              <w:rPr>
                <w:bCs/>
                <w:iCs/>
                <w:lang w:eastAsia="sv-SE"/>
              </w:rPr>
              <w:t xml:space="preserve"> of at least one serving cell in </w:t>
            </w:r>
            <w:r w:rsidR="00DF148B" w:rsidRPr="00FA0D37">
              <w:rPr>
                <w:bCs/>
                <w:iCs/>
                <w:lang w:eastAsia="sv-SE"/>
              </w:rPr>
              <w:t>the PUCCH</w:t>
            </w:r>
            <w:r w:rsidR="00E76A07" w:rsidRPr="00FA0D37">
              <w:rPr>
                <w:bCs/>
                <w:iCs/>
                <w:lang w:eastAsia="sv-SE"/>
              </w:rPr>
              <w:t xml:space="preserve"> group. If </w:t>
            </w:r>
            <w:r w:rsidR="00E76A07" w:rsidRPr="00FA0D37">
              <w:rPr>
                <w:bCs/>
                <w:i/>
                <w:iCs/>
                <w:lang w:eastAsia="sv-SE"/>
              </w:rPr>
              <w:t>perHARQ-Ext</w:t>
            </w:r>
            <w:r w:rsidR="00E76A07" w:rsidRPr="00FA0D37">
              <w:rPr>
                <w:bCs/>
                <w:iCs/>
                <w:lang w:eastAsia="sv-SE"/>
              </w:rPr>
              <w:t xml:space="preserve"> is present, the UE ignores </w:t>
            </w:r>
            <w:r w:rsidR="00E76A07" w:rsidRPr="00FA0D37">
              <w:rPr>
                <w:bCs/>
                <w:i/>
                <w:iCs/>
                <w:lang w:eastAsia="sv-SE"/>
              </w:rPr>
              <w:t>perHARQ</w:t>
            </w:r>
            <w:r w:rsidR="00E76A07" w:rsidRPr="00FA0D37">
              <w:rPr>
                <w:bCs/>
                <w:iCs/>
                <w:lang w:eastAsia="sv-SE"/>
              </w:rPr>
              <w:t>.</w:t>
            </w:r>
          </w:p>
        </w:tc>
      </w:tr>
    </w:tbl>
    <w:p w14:paraId="64EE7682" w14:textId="5AC08CFF" w:rsidR="005D7926" w:rsidRPr="00FA0D37"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FA0D37" w:rsidRDefault="00850B30" w:rsidP="00771058">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FA0D37" w:rsidRDefault="00850B30" w:rsidP="00771058">
            <w:pPr>
              <w:pStyle w:val="TAH"/>
              <w:rPr>
                <w:lang w:eastAsia="sv-SE"/>
              </w:rPr>
            </w:pPr>
            <w:r w:rsidRPr="00FA0D37">
              <w:rPr>
                <w:lang w:eastAsia="sv-SE"/>
              </w:rPr>
              <w:t>Explanation</w:t>
            </w:r>
          </w:p>
        </w:tc>
      </w:tr>
      <w:tr w:rsidR="005C7FF4" w:rsidRPr="00FA0D37"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FA0D37" w:rsidRDefault="00850B30" w:rsidP="00771058">
            <w:pPr>
              <w:pStyle w:val="TAL"/>
              <w:rPr>
                <w:i/>
                <w:lang w:eastAsia="sv-SE"/>
              </w:rPr>
            </w:pPr>
            <w:r w:rsidRPr="00FA0D37">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FA0D37" w:rsidRDefault="00850B30" w:rsidP="00771058">
            <w:pPr>
              <w:pStyle w:val="TAL"/>
              <w:rPr>
                <w:lang w:eastAsia="sv-SE"/>
              </w:rPr>
            </w:pPr>
            <w:r w:rsidRPr="00FA0D37">
              <w:rPr>
                <w:lang w:eastAsia="sv-SE"/>
              </w:rPr>
              <w:t xml:space="preserve">This field is optionally present, Need R, in the </w:t>
            </w:r>
            <w:r w:rsidRPr="00FA0D37">
              <w:rPr>
                <w:i/>
                <w:lang w:eastAsia="sv-SE"/>
              </w:rPr>
              <w:t>PhysicalCellGroupConfig</w:t>
            </w:r>
            <w:r w:rsidRPr="00FA0D37">
              <w:rPr>
                <w:lang w:eastAsia="sv-SE"/>
              </w:rPr>
              <w:t xml:space="preserve"> of the MCG. It is absent otherwise. </w:t>
            </w:r>
          </w:p>
        </w:tc>
      </w:tr>
      <w:tr w:rsidR="005C7FF4" w:rsidRPr="00FA0D37"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FA0D37" w:rsidRDefault="00850B30" w:rsidP="00771058">
            <w:pPr>
              <w:pStyle w:val="TAL"/>
              <w:rPr>
                <w:i/>
                <w:lang w:eastAsia="sv-SE"/>
              </w:rPr>
            </w:pPr>
            <w:r w:rsidRPr="00FA0D37">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FA0D37" w:rsidRDefault="00850B30" w:rsidP="00771058">
            <w:pPr>
              <w:pStyle w:val="TAL"/>
              <w:rPr>
                <w:lang w:eastAsia="sv-SE"/>
              </w:rPr>
            </w:pPr>
            <w:r w:rsidRPr="00FA0D37">
              <w:rPr>
                <w:lang w:eastAsia="sv-SE"/>
              </w:rPr>
              <w:t xml:space="preserve">This field is optionally present, Need S, in the </w:t>
            </w:r>
            <w:r w:rsidRPr="00FA0D37">
              <w:rPr>
                <w:i/>
                <w:lang w:eastAsia="sv-SE"/>
              </w:rPr>
              <w:t>PhysicalCellGroupConfig</w:t>
            </w:r>
            <w:r w:rsidRPr="00FA0D37">
              <w:rPr>
                <w:lang w:eastAsia="sv-SE"/>
              </w:rPr>
              <w:t xml:space="preserve"> of the SCG in (NG)EN-DC </w:t>
            </w:r>
            <w:r w:rsidRPr="00FA0D37">
              <w:rPr>
                <w:iCs/>
                <w:lang w:eastAsia="sv-SE"/>
              </w:rPr>
              <w:t>as defined in TS 38.213 [13]</w:t>
            </w:r>
            <w:r w:rsidRPr="00FA0D37">
              <w:rPr>
                <w:lang w:eastAsia="sv-SE"/>
              </w:rPr>
              <w:t>. It is absent otherwise.</w:t>
            </w:r>
          </w:p>
        </w:tc>
      </w:tr>
      <w:tr w:rsidR="000830BB" w:rsidRPr="00FA0D37"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FA0D37" w:rsidRDefault="00850B30" w:rsidP="00771058">
            <w:pPr>
              <w:pStyle w:val="TAL"/>
              <w:rPr>
                <w:i/>
                <w:lang w:eastAsia="sv-SE"/>
              </w:rPr>
            </w:pPr>
            <w:r w:rsidRPr="00FA0D3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FA0D37" w:rsidRDefault="00850B30" w:rsidP="00771058">
            <w:pPr>
              <w:pStyle w:val="TAL"/>
              <w:rPr>
                <w:lang w:eastAsia="sv-SE"/>
              </w:rPr>
            </w:pPr>
            <w:r w:rsidRPr="00FA0D37">
              <w:rPr>
                <w:lang w:eastAsia="sv-SE"/>
              </w:rPr>
              <w:t>This field is optionally present, Need R, if secondary PUCCH group is configured. It is absent otherwise</w:t>
            </w:r>
            <w:r w:rsidR="000056EE" w:rsidRPr="00FA0D37">
              <w:rPr>
                <w:lang w:eastAsia="sv-SE"/>
              </w:rPr>
              <w:t>, Need R</w:t>
            </w:r>
            <w:r w:rsidRPr="00FA0D37">
              <w:rPr>
                <w:lang w:eastAsia="sv-SE"/>
              </w:rPr>
              <w:t xml:space="preserve">. </w:t>
            </w:r>
          </w:p>
        </w:tc>
      </w:tr>
    </w:tbl>
    <w:p w14:paraId="27EDFB63" w14:textId="77777777" w:rsidR="00850B30" w:rsidRPr="00FA0D37" w:rsidRDefault="00850B30" w:rsidP="00394471"/>
    <w:p w14:paraId="69BC5CA3" w14:textId="77777777" w:rsidR="00394471" w:rsidRPr="00FA0D37" w:rsidRDefault="00394471" w:rsidP="00394471">
      <w:pPr>
        <w:pStyle w:val="4"/>
      </w:pPr>
      <w:bookmarkStart w:id="1231" w:name="_Toc60777308"/>
      <w:bookmarkStart w:id="1232" w:name="_Toc146781387"/>
      <w:r w:rsidRPr="00FA0D37">
        <w:t>–</w:t>
      </w:r>
      <w:r w:rsidRPr="00FA0D37">
        <w:tab/>
      </w:r>
      <w:r w:rsidRPr="00FA0D37">
        <w:rPr>
          <w:i/>
          <w:noProof/>
        </w:rPr>
        <w:t>PLMN-Identity</w:t>
      </w:r>
      <w:bookmarkEnd w:id="1231"/>
      <w:bookmarkEnd w:id="1232"/>
    </w:p>
    <w:p w14:paraId="7A3ACBB4" w14:textId="77777777" w:rsidR="00394471" w:rsidRPr="00FA0D37" w:rsidRDefault="00394471" w:rsidP="00394471">
      <w:r w:rsidRPr="00FA0D37">
        <w:t xml:space="preserve">The IE </w:t>
      </w:r>
      <w:r w:rsidRPr="00FA0D37">
        <w:rPr>
          <w:i/>
          <w:noProof/>
        </w:rPr>
        <w:t>PLMN-Identity</w:t>
      </w:r>
      <w:r w:rsidRPr="00FA0D37">
        <w:t xml:space="preserve"> identifies a Public Land Mobile Network. Further information regarding how to set the IE </w:t>
      </w:r>
      <w:r w:rsidRPr="00FA0D37">
        <w:rPr>
          <w:rFonts w:eastAsia="宋体"/>
          <w:lang w:eastAsia="zh-CN"/>
        </w:rPr>
        <w:t>is</w:t>
      </w:r>
      <w:r w:rsidRPr="00FA0D37">
        <w:t xml:space="preserve"> specified in TS 23.003 [21].</w:t>
      </w:r>
    </w:p>
    <w:p w14:paraId="3CA5A736" w14:textId="77777777" w:rsidR="00394471" w:rsidRPr="00FA0D37" w:rsidRDefault="00394471" w:rsidP="00394471">
      <w:pPr>
        <w:pStyle w:val="TH"/>
      </w:pPr>
      <w:r w:rsidRPr="00FA0D37">
        <w:rPr>
          <w:bCs/>
          <w:i/>
          <w:iCs/>
        </w:rPr>
        <w:t>PLMN-Identity</w:t>
      </w:r>
      <w:r w:rsidRPr="00FA0D37">
        <w:rPr>
          <w:bCs/>
          <w:iCs/>
        </w:rPr>
        <w:t xml:space="preserve"> </w:t>
      </w:r>
      <w:r w:rsidRPr="00FA0D37">
        <w:t>information element</w:t>
      </w:r>
    </w:p>
    <w:p w14:paraId="3A0C8EF8" w14:textId="77777777" w:rsidR="00394471" w:rsidRPr="00FA0D37" w:rsidRDefault="00394471" w:rsidP="00FA0D37">
      <w:pPr>
        <w:pStyle w:val="PL"/>
        <w:rPr>
          <w:color w:val="808080"/>
        </w:rPr>
      </w:pPr>
      <w:r w:rsidRPr="00FA0D37">
        <w:rPr>
          <w:color w:val="808080"/>
        </w:rPr>
        <w:t>-- ASN1START</w:t>
      </w:r>
    </w:p>
    <w:p w14:paraId="0ED59D75" w14:textId="77777777" w:rsidR="00394471" w:rsidRPr="00FA0D37" w:rsidRDefault="00394471" w:rsidP="00FA0D37">
      <w:pPr>
        <w:pStyle w:val="PL"/>
        <w:rPr>
          <w:color w:val="808080"/>
        </w:rPr>
      </w:pPr>
      <w:r w:rsidRPr="00FA0D37">
        <w:rPr>
          <w:color w:val="808080"/>
        </w:rPr>
        <w:t>-- TAG-PLMN-IDENTITY-START</w:t>
      </w:r>
    </w:p>
    <w:p w14:paraId="3406516B" w14:textId="77777777" w:rsidR="00394471" w:rsidRPr="00FA0D37" w:rsidRDefault="00394471" w:rsidP="00FA0D37">
      <w:pPr>
        <w:pStyle w:val="PL"/>
      </w:pPr>
    </w:p>
    <w:p w14:paraId="716E4D62" w14:textId="77777777" w:rsidR="00394471" w:rsidRPr="00FA0D37" w:rsidRDefault="00394471" w:rsidP="00FA0D37">
      <w:pPr>
        <w:pStyle w:val="PL"/>
      </w:pPr>
      <w:r w:rsidRPr="00FA0D37">
        <w:t xml:space="preserve">PLMN-Identity ::=                   </w:t>
      </w:r>
      <w:r w:rsidRPr="00FA0D37">
        <w:rPr>
          <w:color w:val="993366"/>
        </w:rPr>
        <w:t>SEQUENCE</w:t>
      </w:r>
      <w:r w:rsidRPr="00FA0D37">
        <w:t xml:space="preserve"> {</w:t>
      </w:r>
    </w:p>
    <w:p w14:paraId="2F9BAECD" w14:textId="77777777" w:rsidR="00394471" w:rsidRPr="00FA0D37" w:rsidRDefault="00394471" w:rsidP="00FA0D37">
      <w:pPr>
        <w:pStyle w:val="PL"/>
        <w:rPr>
          <w:color w:val="808080"/>
        </w:rPr>
      </w:pPr>
      <w:r w:rsidRPr="00FA0D37">
        <w:t xml:space="preserve">    mcc                                 MCC                 </w:t>
      </w:r>
      <w:r w:rsidRPr="00FA0D37">
        <w:rPr>
          <w:color w:val="993366"/>
        </w:rPr>
        <w:t>OPTIONAL</w:t>
      </w:r>
      <w:r w:rsidRPr="00FA0D37">
        <w:t xml:space="preserve">,                   </w:t>
      </w:r>
      <w:r w:rsidRPr="00FA0D37">
        <w:rPr>
          <w:color w:val="808080"/>
        </w:rPr>
        <w:t>-- Cond MCC</w:t>
      </w:r>
    </w:p>
    <w:p w14:paraId="028DAE3E" w14:textId="77777777" w:rsidR="00394471" w:rsidRPr="00FA0D37" w:rsidRDefault="00394471" w:rsidP="00FA0D37">
      <w:pPr>
        <w:pStyle w:val="PL"/>
      </w:pPr>
      <w:r w:rsidRPr="00FA0D37">
        <w:t xml:space="preserve">    mnc                                 MNC</w:t>
      </w:r>
    </w:p>
    <w:p w14:paraId="106223BE" w14:textId="77777777" w:rsidR="00394471" w:rsidRPr="00FA0D37" w:rsidRDefault="00394471" w:rsidP="00FA0D37">
      <w:pPr>
        <w:pStyle w:val="PL"/>
      </w:pPr>
      <w:r w:rsidRPr="00FA0D37">
        <w:t>}</w:t>
      </w:r>
    </w:p>
    <w:p w14:paraId="2001F1BD" w14:textId="77777777" w:rsidR="00394471" w:rsidRPr="00FA0D37" w:rsidRDefault="00394471" w:rsidP="00FA0D37">
      <w:pPr>
        <w:pStyle w:val="PL"/>
      </w:pPr>
    </w:p>
    <w:p w14:paraId="05A3B59B" w14:textId="77777777" w:rsidR="00394471" w:rsidRPr="00FA0D37" w:rsidRDefault="00394471" w:rsidP="00FA0D37">
      <w:pPr>
        <w:pStyle w:val="PL"/>
      </w:pPr>
      <w:r w:rsidRPr="00FA0D37">
        <w:t xml:space="preserve">MCC ::=                             </w:t>
      </w:r>
      <w:r w:rsidRPr="00FA0D37">
        <w:rPr>
          <w:color w:val="993366"/>
        </w:rPr>
        <w:t>SEQUENCE</w:t>
      </w:r>
      <w:r w:rsidRPr="00FA0D37">
        <w:t xml:space="preserve"> (</w:t>
      </w:r>
      <w:r w:rsidRPr="00FA0D37">
        <w:rPr>
          <w:color w:val="993366"/>
        </w:rPr>
        <w:t>SIZE</w:t>
      </w:r>
      <w:r w:rsidRPr="00FA0D37">
        <w:t xml:space="preserve"> (3))</w:t>
      </w:r>
      <w:r w:rsidRPr="00FA0D37">
        <w:rPr>
          <w:color w:val="993366"/>
        </w:rPr>
        <w:t xml:space="preserve"> OF</w:t>
      </w:r>
      <w:r w:rsidRPr="00FA0D37">
        <w:t xml:space="preserve"> MCC-MNC-Digit</w:t>
      </w:r>
    </w:p>
    <w:p w14:paraId="747ABBE5" w14:textId="77777777" w:rsidR="00394471" w:rsidRPr="00FA0D37" w:rsidRDefault="00394471" w:rsidP="00FA0D37">
      <w:pPr>
        <w:pStyle w:val="PL"/>
      </w:pPr>
    </w:p>
    <w:p w14:paraId="23873010" w14:textId="77777777" w:rsidR="00394471" w:rsidRPr="00FA0D37" w:rsidRDefault="00394471" w:rsidP="00FA0D37">
      <w:pPr>
        <w:pStyle w:val="PL"/>
      </w:pPr>
      <w:r w:rsidRPr="00FA0D37">
        <w:t xml:space="preserve">MNC ::=                             </w:t>
      </w:r>
      <w:r w:rsidRPr="00FA0D37">
        <w:rPr>
          <w:color w:val="993366"/>
        </w:rPr>
        <w:t>SEQUENCE</w:t>
      </w:r>
      <w:r w:rsidRPr="00FA0D37">
        <w:t xml:space="preserve"> (</w:t>
      </w:r>
      <w:r w:rsidRPr="00FA0D37">
        <w:rPr>
          <w:color w:val="993366"/>
        </w:rPr>
        <w:t>SIZE</w:t>
      </w:r>
      <w:r w:rsidRPr="00FA0D37">
        <w:t xml:space="preserve"> (2..3))</w:t>
      </w:r>
      <w:r w:rsidRPr="00FA0D37">
        <w:rPr>
          <w:color w:val="993366"/>
        </w:rPr>
        <w:t xml:space="preserve"> OF</w:t>
      </w:r>
      <w:r w:rsidRPr="00FA0D37">
        <w:t xml:space="preserve"> MCC-MNC-Digit</w:t>
      </w:r>
    </w:p>
    <w:p w14:paraId="144B90A2" w14:textId="77777777" w:rsidR="00394471" w:rsidRPr="00FA0D37" w:rsidRDefault="00394471" w:rsidP="00FA0D37">
      <w:pPr>
        <w:pStyle w:val="PL"/>
      </w:pPr>
    </w:p>
    <w:p w14:paraId="31F860E2" w14:textId="77777777" w:rsidR="00394471" w:rsidRPr="00FA0D37" w:rsidRDefault="00394471" w:rsidP="00FA0D37">
      <w:pPr>
        <w:pStyle w:val="PL"/>
      </w:pPr>
      <w:r w:rsidRPr="00FA0D37">
        <w:t xml:space="preserve">MCC-MNC-Digit ::=                   </w:t>
      </w:r>
      <w:r w:rsidRPr="00FA0D37">
        <w:rPr>
          <w:color w:val="993366"/>
        </w:rPr>
        <w:t>INTEGER</w:t>
      </w:r>
      <w:r w:rsidRPr="00FA0D37">
        <w:t xml:space="preserve"> (0..9)</w:t>
      </w:r>
    </w:p>
    <w:p w14:paraId="20A98343" w14:textId="77777777" w:rsidR="00394471" w:rsidRPr="00FA0D37" w:rsidRDefault="00394471" w:rsidP="00FA0D37">
      <w:pPr>
        <w:pStyle w:val="PL"/>
      </w:pPr>
    </w:p>
    <w:p w14:paraId="221D6DEB" w14:textId="77777777" w:rsidR="00394471" w:rsidRPr="00FA0D37" w:rsidRDefault="00394471" w:rsidP="00FA0D37">
      <w:pPr>
        <w:pStyle w:val="PL"/>
        <w:rPr>
          <w:color w:val="808080"/>
        </w:rPr>
      </w:pPr>
      <w:r w:rsidRPr="00FA0D37">
        <w:rPr>
          <w:color w:val="808080"/>
        </w:rPr>
        <w:t>-- TAG-PLMN-IDENTITY-STOP</w:t>
      </w:r>
    </w:p>
    <w:p w14:paraId="5E0E9C46" w14:textId="77777777" w:rsidR="00394471" w:rsidRPr="00FA0D37" w:rsidRDefault="00394471" w:rsidP="00FA0D37">
      <w:pPr>
        <w:pStyle w:val="PL"/>
        <w:rPr>
          <w:color w:val="808080"/>
        </w:rPr>
      </w:pPr>
      <w:r w:rsidRPr="00FA0D37">
        <w:rPr>
          <w:color w:val="808080"/>
        </w:rPr>
        <w:t>-- ASN1STOP</w:t>
      </w:r>
    </w:p>
    <w:p w14:paraId="718E0357"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5C7FF4" w:rsidRPr="00FA0D37"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FA0D37" w:rsidRDefault="00394471" w:rsidP="00964CC4">
            <w:pPr>
              <w:pStyle w:val="TAH"/>
              <w:rPr>
                <w:szCs w:val="22"/>
                <w:lang w:eastAsia="sv-SE"/>
              </w:rPr>
            </w:pPr>
            <w:r w:rsidRPr="00FA0D37">
              <w:rPr>
                <w:i/>
                <w:noProof/>
                <w:lang w:eastAsia="en-GB"/>
              </w:rPr>
              <w:t>PLMN-Identity</w:t>
            </w:r>
            <w:r w:rsidRPr="00FA0D37">
              <w:rPr>
                <w:iCs/>
                <w:noProof/>
                <w:lang w:eastAsia="en-GB"/>
              </w:rPr>
              <w:t xml:space="preserve"> field descriptions</w:t>
            </w:r>
          </w:p>
        </w:tc>
      </w:tr>
      <w:tr w:rsidR="005C7FF4" w:rsidRPr="00FA0D37"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FA0D37" w:rsidRDefault="00394471" w:rsidP="00964CC4">
            <w:pPr>
              <w:pStyle w:val="TAL"/>
              <w:rPr>
                <w:b/>
                <w:bCs/>
                <w:i/>
                <w:noProof/>
                <w:lang w:eastAsia="en-GB"/>
              </w:rPr>
            </w:pPr>
            <w:r w:rsidRPr="00FA0D37">
              <w:rPr>
                <w:b/>
                <w:bCs/>
                <w:i/>
                <w:noProof/>
                <w:lang w:eastAsia="en-GB"/>
              </w:rPr>
              <w:t>mcc</w:t>
            </w:r>
          </w:p>
          <w:p w14:paraId="709FDE28" w14:textId="77777777" w:rsidR="00394471" w:rsidRPr="00FA0D37" w:rsidRDefault="00394471" w:rsidP="00964CC4">
            <w:pPr>
              <w:pStyle w:val="TAL"/>
              <w:rPr>
                <w:szCs w:val="22"/>
                <w:lang w:eastAsia="sv-SE"/>
              </w:rPr>
            </w:pPr>
            <w:r w:rsidRPr="00FA0D37">
              <w:rPr>
                <w:lang w:eastAsia="en-GB"/>
              </w:rPr>
              <w:t xml:space="preserve">The first element contains the first MCC digit, the second element the second MCC digit and so on. If the field is absent, it takes the same value as the </w:t>
            </w:r>
            <w:r w:rsidRPr="00FA0D37">
              <w:rPr>
                <w:i/>
                <w:lang w:eastAsia="en-GB"/>
              </w:rPr>
              <w:t>mcc</w:t>
            </w:r>
            <w:r w:rsidRPr="00FA0D37">
              <w:rPr>
                <w:lang w:eastAsia="en-GB"/>
              </w:rPr>
              <w:t xml:space="preserve"> of the immediately preceding IE PLMN-Identity. See TS 23.003 [21].</w:t>
            </w:r>
          </w:p>
        </w:tc>
      </w:tr>
      <w:tr w:rsidR="00394471" w:rsidRPr="00FA0D37"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FA0D37" w:rsidRDefault="00394471" w:rsidP="00964CC4">
            <w:pPr>
              <w:pStyle w:val="TAL"/>
              <w:rPr>
                <w:b/>
                <w:bCs/>
                <w:i/>
                <w:noProof/>
                <w:lang w:eastAsia="en-GB"/>
              </w:rPr>
            </w:pPr>
            <w:r w:rsidRPr="00FA0D37">
              <w:rPr>
                <w:b/>
                <w:bCs/>
                <w:i/>
                <w:noProof/>
                <w:lang w:eastAsia="en-GB"/>
              </w:rPr>
              <w:t>mnc</w:t>
            </w:r>
          </w:p>
          <w:p w14:paraId="23BF37EB" w14:textId="77777777" w:rsidR="00394471" w:rsidRPr="00FA0D37" w:rsidRDefault="00394471" w:rsidP="00964CC4">
            <w:pPr>
              <w:pStyle w:val="TAL"/>
              <w:rPr>
                <w:szCs w:val="22"/>
                <w:lang w:eastAsia="sv-SE"/>
              </w:rPr>
            </w:pPr>
            <w:r w:rsidRPr="00FA0D37">
              <w:rPr>
                <w:lang w:eastAsia="en-GB"/>
              </w:rPr>
              <w:t>The first element contains the first MNC digit, the second element the second MNC digit and so on. See TS 23.003 [21].</w:t>
            </w:r>
          </w:p>
        </w:tc>
      </w:tr>
    </w:tbl>
    <w:p w14:paraId="61AC1DDC"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5C7FF4" w:rsidRPr="00FA0D37"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FA0D37" w:rsidRDefault="00394471" w:rsidP="00964CC4">
            <w:pPr>
              <w:pStyle w:val="TAH"/>
              <w:rPr>
                <w:szCs w:val="22"/>
                <w:lang w:eastAsia="sv-SE"/>
              </w:rPr>
            </w:pPr>
            <w:r w:rsidRPr="00FA0D37">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FA0D37" w:rsidRDefault="00394471" w:rsidP="00964CC4">
            <w:pPr>
              <w:pStyle w:val="TAH"/>
              <w:rPr>
                <w:szCs w:val="22"/>
                <w:lang w:eastAsia="sv-SE"/>
              </w:rPr>
            </w:pPr>
            <w:r w:rsidRPr="00FA0D37">
              <w:rPr>
                <w:szCs w:val="22"/>
                <w:lang w:eastAsia="sv-SE"/>
              </w:rPr>
              <w:t>Explanation</w:t>
            </w:r>
          </w:p>
        </w:tc>
      </w:tr>
      <w:tr w:rsidR="00394471" w:rsidRPr="00FA0D37"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FA0D37" w:rsidRDefault="00394471" w:rsidP="00964CC4">
            <w:pPr>
              <w:pStyle w:val="TAL"/>
              <w:rPr>
                <w:i/>
                <w:szCs w:val="22"/>
                <w:lang w:eastAsia="sv-SE"/>
              </w:rPr>
            </w:pPr>
            <w:r w:rsidRPr="00FA0D37">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FA0D37" w:rsidRDefault="00394471" w:rsidP="00964CC4">
            <w:pPr>
              <w:pStyle w:val="TAL"/>
              <w:rPr>
                <w:szCs w:val="22"/>
                <w:lang w:eastAsia="sv-SE"/>
              </w:rPr>
            </w:pPr>
            <w:r w:rsidRPr="00FA0D37">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FA0D37" w:rsidRDefault="00394471" w:rsidP="00394471"/>
    <w:p w14:paraId="4E6AE27A" w14:textId="77777777" w:rsidR="00394471" w:rsidRPr="00FA0D37" w:rsidRDefault="00394471" w:rsidP="00394471">
      <w:pPr>
        <w:pStyle w:val="4"/>
        <w:rPr>
          <w:rFonts w:eastAsia="宋体"/>
        </w:rPr>
      </w:pPr>
      <w:bookmarkStart w:id="1233" w:name="_Toc60777309"/>
      <w:bookmarkStart w:id="1234" w:name="_Toc146781388"/>
      <w:r w:rsidRPr="00FA0D37">
        <w:rPr>
          <w:rFonts w:eastAsia="宋体"/>
        </w:rPr>
        <w:t>–</w:t>
      </w:r>
      <w:r w:rsidRPr="00FA0D37">
        <w:rPr>
          <w:rFonts w:eastAsia="宋体"/>
        </w:rPr>
        <w:tab/>
      </w:r>
      <w:r w:rsidRPr="00FA0D37">
        <w:rPr>
          <w:rFonts w:eastAsia="宋体"/>
          <w:i/>
          <w:noProof/>
        </w:rPr>
        <w:t>PLMN-IdentityInfoList</w:t>
      </w:r>
      <w:bookmarkEnd w:id="1233"/>
      <w:bookmarkEnd w:id="1234"/>
    </w:p>
    <w:p w14:paraId="757F39E9" w14:textId="77777777" w:rsidR="00394471" w:rsidRPr="00FA0D37" w:rsidRDefault="00394471" w:rsidP="00394471">
      <w:pPr>
        <w:rPr>
          <w:rFonts w:eastAsia="宋体"/>
        </w:rPr>
      </w:pPr>
      <w:r w:rsidRPr="00FA0D37">
        <w:t xml:space="preserve">The IE </w:t>
      </w:r>
      <w:r w:rsidRPr="00FA0D37">
        <w:rPr>
          <w:i/>
        </w:rPr>
        <w:t xml:space="preserve">PLMN-IdentityInfoList </w:t>
      </w:r>
      <w:r w:rsidRPr="00FA0D37">
        <w:t>includes a list of PLMN identity information.</w:t>
      </w:r>
    </w:p>
    <w:p w14:paraId="2CDD8673" w14:textId="77777777" w:rsidR="00394471" w:rsidRPr="00FA0D37" w:rsidRDefault="00394471" w:rsidP="00394471">
      <w:pPr>
        <w:pStyle w:val="TH"/>
      </w:pPr>
      <w:r w:rsidRPr="00FA0D37">
        <w:rPr>
          <w:bCs/>
          <w:i/>
          <w:iCs/>
        </w:rPr>
        <w:t>PLMN-IdentityInfoList</w:t>
      </w:r>
      <w:r w:rsidRPr="00FA0D37">
        <w:t xml:space="preserve"> information element</w:t>
      </w:r>
    </w:p>
    <w:p w14:paraId="497BA558" w14:textId="77777777" w:rsidR="00394471" w:rsidRPr="00FA0D37" w:rsidRDefault="00394471" w:rsidP="00FA0D37">
      <w:pPr>
        <w:pStyle w:val="PL"/>
        <w:rPr>
          <w:color w:val="808080"/>
        </w:rPr>
      </w:pPr>
      <w:r w:rsidRPr="00FA0D37">
        <w:rPr>
          <w:color w:val="808080"/>
        </w:rPr>
        <w:t>-- ASN1START</w:t>
      </w:r>
    </w:p>
    <w:p w14:paraId="27830A52" w14:textId="77777777" w:rsidR="00394471" w:rsidRPr="00FA0D37" w:rsidRDefault="00394471" w:rsidP="00FA0D37">
      <w:pPr>
        <w:pStyle w:val="PL"/>
        <w:rPr>
          <w:color w:val="808080"/>
        </w:rPr>
      </w:pPr>
      <w:r w:rsidRPr="00FA0D37">
        <w:rPr>
          <w:color w:val="808080"/>
        </w:rPr>
        <w:t>-- TAG-PLMN-IDENTITYINFOLIST-START</w:t>
      </w:r>
    </w:p>
    <w:p w14:paraId="692FAE19" w14:textId="77777777" w:rsidR="00394471" w:rsidRPr="00FA0D37" w:rsidRDefault="00394471" w:rsidP="00FA0D37">
      <w:pPr>
        <w:pStyle w:val="PL"/>
      </w:pPr>
    </w:p>
    <w:p w14:paraId="6536EBC4" w14:textId="77777777" w:rsidR="00394471" w:rsidRPr="00FA0D37" w:rsidRDefault="00394471" w:rsidP="00FA0D37">
      <w:pPr>
        <w:pStyle w:val="PL"/>
      </w:pPr>
      <w:r w:rsidRPr="00FA0D37">
        <w:t xml:space="preserve">PLMN-IdentityInfoList ::=               </w:t>
      </w:r>
      <w:r w:rsidRPr="00FA0D37">
        <w:rPr>
          <w:color w:val="993366"/>
        </w:rPr>
        <w:t>SEQUENCE</w:t>
      </w:r>
      <w:r w:rsidRPr="00FA0D37">
        <w:t xml:space="preserve"> (</w:t>
      </w:r>
      <w:r w:rsidRPr="00FA0D37">
        <w:rPr>
          <w:color w:val="993366"/>
        </w:rPr>
        <w:t>SIZE</w:t>
      </w:r>
      <w:r w:rsidRPr="00FA0D37">
        <w:t xml:space="preserve"> (1..maxPLMN))</w:t>
      </w:r>
      <w:r w:rsidRPr="00FA0D37">
        <w:rPr>
          <w:color w:val="993366"/>
        </w:rPr>
        <w:t xml:space="preserve"> OF</w:t>
      </w:r>
      <w:r w:rsidRPr="00FA0D37">
        <w:t xml:space="preserve"> PLMN-IdentityInfo</w:t>
      </w:r>
    </w:p>
    <w:p w14:paraId="06FFB39F" w14:textId="77777777" w:rsidR="00394471" w:rsidRPr="00FA0D37" w:rsidRDefault="00394471" w:rsidP="00FA0D37">
      <w:pPr>
        <w:pStyle w:val="PL"/>
      </w:pPr>
    </w:p>
    <w:p w14:paraId="1A9A8014" w14:textId="77777777" w:rsidR="00394471" w:rsidRPr="00FA0D37" w:rsidRDefault="00394471" w:rsidP="00FA0D37">
      <w:pPr>
        <w:pStyle w:val="PL"/>
      </w:pPr>
      <w:r w:rsidRPr="00FA0D37">
        <w:t xml:space="preserve">PLMN-IdentityInfo ::=                   </w:t>
      </w:r>
      <w:r w:rsidRPr="00FA0D37">
        <w:rPr>
          <w:color w:val="993366"/>
        </w:rPr>
        <w:t>SEQUENCE</w:t>
      </w:r>
      <w:r w:rsidRPr="00FA0D37">
        <w:t xml:space="preserve"> {</w:t>
      </w:r>
    </w:p>
    <w:p w14:paraId="34304447" w14:textId="77777777" w:rsidR="00394471" w:rsidRPr="00FA0D37" w:rsidRDefault="00394471" w:rsidP="00FA0D37">
      <w:pPr>
        <w:pStyle w:val="PL"/>
      </w:pPr>
      <w:r w:rsidRPr="00FA0D37">
        <w:t xml:space="preserve">    plmn-IdentityList                       </w:t>
      </w:r>
      <w:r w:rsidRPr="00FA0D37">
        <w:rPr>
          <w:color w:val="993366"/>
        </w:rPr>
        <w:t>SEQUENCE</w:t>
      </w:r>
      <w:r w:rsidRPr="00FA0D37">
        <w:t xml:space="preserve"> (</w:t>
      </w:r>
      <w:r w:rsidRPr="00FA0D37">
        <w:rPr>
          <w:color w:val="993366"/>
        </w:rPr>
        <w:t>SIZE</w:t>
      </w:r>
      <w:r w:rsidRPr="00FA0D37">
        <w:t xml:space="preserve"> (1..maxPLMN))</w:t>
      </w:r>
      <w:r w:rsidRPr="00FA0D37">
        <w:rPr>
          <w:color w:val="993366"/>
        </w:rPr>
        <w:t xml:space="preserve"> OF</w:t>
      </w:r>
      <w:r w:rsidRPr="00FA0D37">
        <w:t xml:space="preserve"> PLMN-Identity,</w:t>
      </w:r>
    </w:p>
    <w:p w14:paraId="3AB8166F" w14:textId="77777777" w:rsidR="00394471" w:rsidRPr="00FA0D37" w:rsidRDefault="00394471" w:rsidP="00FA0D37">
      <w:pPr>
        <w:pStyle w:val="PL"/>
        <w:rPr>
          <w:color w:val="808080"/>
        </w:rPr>
      </w:pPr>
      <w:r w:rsidRPr="00FA0D37">
        <w:t xml:space="preserve">    trackingAreaCode                        TrackingAreaCode                                            </w:t>
      </w:r>
      <w:r w:rsidRPr="00FA0D37">
        <w:rPr>
          <w:color w:val="993366"/>
        </w:rPr>
        <w:t>OPTIONAL</w:t>
      </w:r>
      <w:r w:rsidRPr="00FA0D37">
        <w:t xml:space="preserve">,       </w:t>
      </w:r>
      <w:r w:rsidRPr="00FA0D37">
        <w:rPr>
          <w:color w:val="808080"/>
        </w:rPr>
        <w:t>-- Need R</w:t>
      </w:r>
    </w:p>
    <w:p w14:paraId="43417478" w14:textId="77777777" w:rsidR="00394471" w:rsidRPr="00FA0D37" w:rsidRDefault="00394471" w:rsidP="00FA0D37">
      <w:pPr>
        <w:pStyle w:val="PL"/>
        <w:rPr>
          <w:color w:val="808080"/>
        </w:rPr>
      </w:pPr>
      <w:r w:rsidRPr="00FA0D37">
        <w:t xml:space="preserve">    ranac                                   RAN-AreaCode                                                </w:t>
      </w:r>
      <w:r w:rsidRPr="00FA0D37">
        <w:rPr>
          <w:color w:val="993366"/>
        </w:rPr>
        <w:t>OPTIONAL</w:t>
      </w:r>
      <w:r w:rsidRPr="00FA0D37">
        <w:t xml:space="preserve">,       </w:t>
      </w:r>
      <w:r w:rsidRPr="00FA0D37">
        <w:rPr>
          <w:color w:val="808080"/>
        </w:rPr>
        <w:t>-- Need R</w:t>
      </w:r>
    </w:p>
    <w:p w14:paraId="411DF8C2" w14:textId="77777777" w:rsidR="00394471" w:rsidRPr="00FA0D37" w:rsidRDefault="00394471" w:rsidP="00FA0D37">
      <w:pPr>
        <w:pStyle w:val="PL"/>
      </w:pPr>
      <w:r w:rsidRPr="00FA0D37">
        <w:t xml:space="preserve">    cellIdentity                            CellIdentity,</w:t>
      </w:r>
    </w:p>
    <w:p w14:paraId="35DD0A29" w14:textId="77777777" w:rsidR="00394471" w:rsidRPr="00FA0D37" w:rsidRDefault="00394471" w:rsidP="00FA0D37">
      <w:pPr>
        <w:pStyle w:val="PL"/>
      </w:pPr>
      <w:r w:rsidRPr="00FA0D37">
        <w:t xml:space="preserve">    cellReservedForOperatorUse              </w:t>
      </w:r>
      <w:r w:rsidRPr="00FA0D37">
        <w:rPr>
          <w:color w:val="993366"/>
        </w:rPr>
        <w:t>ENUMERATED</w:t>
      </w:r>
      <w:r w:rsidRPr="00FA0D37">
        <w:t xml:space="preserve"> {reserved, notReserved},</w:t>
      </w:r>
    </w:p>
    <w:p w14:paraId="7BDB9F02" w14:textId="77777777" w:rsidR="00394471" w:rsidRPr="00FA0D37" w:rsidRDefault="00394471" w:rsidP="00FA0D37">
      <w:pPr>
        <w:pStyle w:val="PL"/>
      </w:pPr>
      <w:r w:rsidRPr="00FA0D37">
        <w:t xml:space="preserve">    ...,</w:t>
      </w:r>
    </w:p>
    <w:p w14:paraId="337000F2" w14:textId="77777777" w:rsidR="00394471" w:rsidRPr="00FA0D37" w:rsidRDefault="00394471" w:rsidP="00FA0D37">
      <w:pPr>
        <w:pStyle w:val="PL"/>
      </w:pPr>
      <w:r w:rsidRPr="00FA0D37">
        <w:t xml:space="preserve">    [[</w:t>
      </w:r>
    </w:p>
    <w:p w14:paraId="6AE10912" w14:textId="77777777" w:rsidR="00394471" w:rsidRPr="00FA0D37" w:rsidRDefault="00394471" w:rsidP="00FA0D37">
      <w:pPr>
        <w:pStyle w:val="PL"/>
        <w:rPr>
          <w:color w:val="808080"/>
        </w:rPr>
      </w:pPr>
      <w:r w:rsidRPr="00FA0D37">
        <w:t xml:space="preserve">    iab-Support-r16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3E4DED9B" w14:textId="19DDE6AD" w:rsidR="005B7637" w:rsidRPr="00FA0D37" w:rsidRDefault="00394471" w:rsidP="00FA0D37">
      <w:pPr>
        <w:pStyle w:val="PL"/>
      </w:pPr>
      <w:r w:rsidRPr="00FA0D37">
        <w:t xml:space="preserve">    ]]</w:t>
      </w:r>
      <w:r w:rsidR="005B7637" w:rsidRPr="00FA0D37">
        <w:t>,</w:t>
      </w:r>
    </w:p>
    <w:p w14:paraId="4EA1244E" w14:textId="77777777" w:rsidR="005B7637" w:rsidRPr="00FA0D37" w:rsidRDefault="005B7637" w:rsidP="00FA0D37">
      <w:pPr>
        <w:pStyle w:val="PL"/>
      </w:pPr>
      <w:r w:rsidRPr="00FA0D37">
        <w:t xml:space="preserve">    [[</w:t>
      </w:r>
    </w:p>
    <w:p w14:paraId="16FAABBD" w14:textId="04F15B77" w:rsidR="005B7637" w:rsidRPr="00FA0D37" w:rsidRDefault="005B7637" w:rsidP="00FA0D37">
      <w:pPr>
        <w:pStyle w:val="PL"/>
        <w:rPr>
          <w:color w:val="808080"/>
        </w:rPr>
      </w:pPr>
      <w:r w:rsidRPr="00FA0D37">
        <w:t xml:space="preserve">    trackingAreaList-r17                </w:t>
      </w:r>
      <w:r w:rsidRPr="00FA0D37">
        <w:rPr>
          <w:color w:val="993366"/>
        </w:rPr>
        <w:t>SEQUENCE</w:t>
      </w:r>
      <w:r w:rsidRPr="00FA0D37">
        <w:t xml:space="preserve"> (</w:t>
      </w:r>
      <w:r w:rsidRPr="00FA0D37">
        <w:rPr>
          <w:color w:val="993366"/>
        </w:rPr>
        <w:t>SIZE</w:t>
      </w:r>
      <w:r w:rsidRPr="00FA0D37">
        <w:t xml:space="preserve"> (1..maxTAC</w:t>
      </w:r>
      <w:r w:rsidR="004F1B8A" w:rsidRPr="00FA0D37">
        <w:t>-r17</w:t>
      </w:r>
      <w:r w:rsidRPr="00FA0D37">
        <w:t>))</w:t>
      </w:r>
      <w:r w:rsidRPr="00FA0D37">
        <w:rPr>
          <w:color w:val="993366"/>
        </w:rPr>
        <w:t xml:space="preserve"> OF</w:t>
      </w:r>
      <w:r w:rsidRPr="00FA0D37">
        <w:t xml:space="preserve"> TrackingAreaCode             </w:t>
      </w:r>
      <w:r w:rsidRPr="00FA0D37">
        <w:rPr>
          <w:color w:val="993366"/>
        </w:rPr>
        <w:t>OPTIONAL</w:t>
      </w:r>
      <w:r w:rsidR="00876283" w:rsidRPr="00FA0D37">
        <w:t>,</w:t>
      </w:r>
      <w:r w:rsidRPr="00FA0D37">
        <w:t xml:space="preserve">      </w:t>
      </w:r>
      <w:r w:rsidRPr="00FA0D37">
        <w:rPr>
          <w:color w:val="808080"/>
        </w:rPr>
        <w:t>-- Need R</w:t>
      </w:r>
    </w:p>
    <w:p w14:paraId="08B2030E" w14:textId="53D37667" w:rsidR="00876283" w:rsidRPr="00FA0D37" w:rsidRDefault="00876283" w:rsidP="00FA0D37">
      <w:pPr>
        <w:pStyle w:val="PL"/>
        <w:rPr>
          <w:color w:val="808080"/>
        </w:rPr>
      </w:pPr>
      <w:r w:rsidRPr="00FA0D37">
        <w:t xml:space="preserve">    gNB-ID-Length-r17                   </w:t>
      </w:r>
      <w:r w:rsidRPr="00FA0D37">
        <w:rPr>
          <w:color w:val="993366"/>
        </w:rPr>
        <w:t>INTEGER</w:t>
      </w:r>
      <w:r w:rsidRPr="00FA0D37">
        <w:t xml:space="preserve"> (22..32)                                                </w:t>
      </w:r>
      <w:r w:rsidRPr="00FA0D37">
        <w:rPr>
          <w:color w:val="993366"/>
        </w:rPr>
        <w:t>OPTIONAL</w:t>
      </w:r>
      <w:r w:rsidRPr="00FA0D37">
        <w:t xml:space="preserve">       </w:t>
      </w:r>
      <w:r w:rsidRPr="00FA0D37">
        <w:rPr>
          <w:color w:val="808080"/>
        </w:rPr>
        <w:t>-- Need R</w:t>
      </w:r>
    </w:p>
    <w:p w14:paraId="5625EA7A" w14:textId="6F180CDA" w:rsidR="00394471" w:rsidRPr="00FA0D37" w:rsidRDefault="005B7637" w:rsidP="00FA0D37">
      <w:pPr>
        <w:pStyle w:val="PL"/>
      </w:pPr>
      <w:r w:rsidRPr="00FA0D37">
        <w:t xml:space="preserve">    ]]</w:t>
      </w:r>
    </w:p>
    <w:p w14:paraId="07A13CBD" w14:textId="77777777" w:rsidR="00394471" w:rsidRPr="00FA0D37" w:rsidRDefault="00394471" w:rsidP="00FA0D37">
      <w:pPr>
        <w:pStyle w:val="PL"/>
      </w:pPr>
      <w:r w:rsidRPr="00FA0D37">
        <w:lastRenderedPageBreak/>
        <w:t>}</w:t>
      </w:r>
    </w:p>
    <w:p w14:paraId="4FA3E026" w14:textId="77777777" w:rsidR="00394471" w:rsidRPr="00FA0D37" w:rsidRDefault="00394471" w:rsidP="00FA0D37">
      <w:pPr>
        <w:pStyle w:val="PL"/>
        <w:rPr>
          <w:color w:val="808080"/>
        </w:rPr>
      </w:pPr>
      <w:r w:rsidRPr="00FA0D37">
        <w:rPr>
          <w:color w:val="808080"/>
        </w:rPr>
        <w:t>-- TAG-PLMN-IDENTITYINFOLIST-STOP</w:t>
      </w:r>
    </w:p>
    <w:p w14:paraId="5CDAE234" w14:textId="77777777" w:rsidR="00394471" w:rsidRPr="00FA0D37" w:rsidRDefault="00394471" w:rsidP="00FA0D37">
      <w:pPr>
        <w:pStyle w:val="PL"/>
        <w:rPr>
          <w:rFonts w:eastAsia="宋体"/>
          <w:color w:val="808080"/>
        </w:rPr>
      </w:pPr>
      <w:r w:rsidRPr="00FA0D37">
        <w:rPr>
          <w:color w:val="808080"/>
        </w:rPr>
        <w:t>-- ASN1STOP</w:t>
      </w:r>
    </w:p>
    <w:p w14:paraId="5424BAE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FA0D37" w:rsidRDefault="00394471" w:rsidP="00964CC4">
            <w:pPr>
              <w:pStyle w:val="TAH"/>
              <w:rPr>
                <w:szCs w:val="22"/>
                <w:lang w:eastAsia="sv-SE"/>
              </w:rPr>
            </w:pPr>
            <w:r w:rsidRPr="00FA0D37">
              <w:rPr>
                <w:i/>
                <w:szCs w:val="22"/>
                <w:lang w:eastAsia="sv-SE"/>
              </w:rPr>
              <w:t xml:space="preserve">PLMN-IdentityInfo </w:t>
            </w:r>
            <w:r w:rsidRPr="00FA0D37">
              <w:rPr>
                <w:szCs w:val="22"/>
                <w:lang w:eastAsia="sv-SE"/>
              </w:rPr>
              <w:t>field descriptions</w:t>
            </w:r>
          </w:p>
        </w:tc>
      </w:tr>
      <w:tr w:rsidR="005C7FF4" w:rsidRPr="00FA0D37"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FA0D37" w:rsidRDefault="00394471" w:rsidP="00964CC4">
            <w:pPr>
              <w:pStyle w:val="TAL"/>
              <w:rPr>
                <w:szCs w:val="22"/>
                <w:lang w:eastAsia="sv-SE"/>
              </w:rPr>
            </w:pPr>
            <w:r w:rsidRPr="00FA0D37">
              <w:rPr>
                <w:b/>
                <w:i/>
                <w:szCs w:val="22"/>
                <w:lang w:eastAsia="sv-SE"/>
              </w:rPr>
              <w:t>cellReservedForOperatorUse</w:t>
            </w:r>
          </w:p>
          <w:p w14:paraId="05E65A8D" w14:textId="77777777" w:rsidR="00394471" w:rsidRPr="00FA0D37" w:rsidRDefault="00394471" w:rsidP="00964CC4">
            <w:pPr>
              <w:pStyle w:val="TAL"/>
              <w:rPr>
                <w:szCs w:val="22"/>
                <w:lang w:eastAsia="sv-SE"/>
              </w:rPr>
            </w:pPr>
            <w:r w:rsidRPr="00FA0D37">
              <w:rPr>
                <w:szCs w:val="22"/>
                <w:lang w:eastAsia="sv-SE"/>
              </w:rPr>
              <w:t>Indicates whether the cell is reserved for operator use (per PLMN), as defined in TS 38.304 [20].</w:t>
            </w:r>
            <w:r w:rsidRPr="00FA0D37">
              <w:rPr>
                <w:szCs w:val="22"/>
              </w:rPr>
              <w:t xml:space="preserve"> This field is ignored by IAB-MT.</w:t>
            </w:r>
          </w:p>
        </w:tc>
      </w:tr>
      <w:tr w:rsidR="005C7FF4" w:rsidRPr="00FA0D37"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FA0D37" w:rsidRDefault="00876283" w:rsidP="00876283">
            <w:pPr>
              <w:keepNext/>
              <w:keepLines/>
              <w:spacing w:after="0"/>
              <w:rPr>
                <w:rFonts w:ascii="Arial" w:hAnsi="Arial"/>
                <w:sz w:val="18"/>
                <w:szCs w:val="22"/>
                <w:lang w:eastAsia="sv-SE"/>
              </w:rPr>
            </w:pPr>
            <w:r w:rsidRPr="00FA0D37">
              <w:rPr>
                <w:rFonts w:ascii="Arial" w:hAnsi="Arial"/>
                <w:b/>
                <w:i/>
                <w:sz w:val="18"/>
                <w:szCs w:val="22"/>
                <w:lang w:eastAsia="sv-SE"/>
              </w:rPr>
              <w:t>gNB-ID-Length</w:t>
            </w:r>
          </w:p>
          <w:p w14:paraId="1C73E198" w14:textId="1FC16B17" w:rsidR="00876283" w:rsidRPr="00FA0D37" w:rsidRDefault="00876283" w:rsidP="00876283">
            <w:pPr>
              <w:pStyle w:val="TAL"/>
              <w:rPr>
                <w:b/>
                <w:i/>
                <w:szCs w:val="22"/>
                <w:lang w:eastAsia="sv-SE"/>
              </w:rPr>
            </w:pPr>
            <w:r w:rsidRPr="00FA0D37">
              <w:rPr>
                <w:szCs w:val="22"/>
                <w:lang w:eastAsia="sv-SE"/>
              </w:rPr>
              <w:t xml:space="preserve">Indicates the length of the gNB ID out of the 36-bit long </w:t>
            </w:r>
            <w:r w:rsidRPr="00FA0D37">
              <w:rPr>
                <w:i/>
                <w:iCs/>
                <w:szCs w:val="22"/>
                <w:lang w:eastAsia="sv-SE"/>
              </w:rPr>
              <w:t>cellIdentity</w:t>
            </w:r>
            <w:r w:rsidRPr="00FA0D37">
              <w:rPr>
                <w:szCs w:val="22"/>
              </w:rPr>
              <w:t>.</w:t>
            </w:r>
          </w:p>
        </w:tc>
      </w:tr>
      <w:tr w:rsidR="005C7FF4" w:rsidRPr="00FA0D37"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FA0D37" w:rsidRDefault="00394471" w:rsidP="00964CC4">
            <w:pPr>
              <w:pStyle w:val="TAL"/>
              <w:rPr>
                <w:b/>
                <w:bCs/>
                <w:i/>
                <w:iCs/>
                <w:lang w:eastAsia="x-none"/>
              </w:rPr>
            </w:pPr>
            <w:r w:rsidRPr="00FA0D37">
              <w:rPr>
                <w:b/>
                <w:bCs/>
                <w:i/>
                <w:iCs/>
                <w:lang w:eastAsia="x-none"/>
              </w:rPr>
              <w:t>iab-Support</w:t>
            </w:r>
          </w:p>
          <w:p w14:paraId="743014D0" w14:textId="77777777" w:rsidR="00394471" w:rsidRPr="00FA0D37" w:rsidRDefault="00394471" w:rsidP="00964CC4">
            <w:pPr>
              <w:pStyle w:val="TAL"/>
              <w:rPr>
                <w:lang w:eastAsia="sv-SE"/>
              </w:rPr>
            </w:pPr>
            <w:r w:rsidRPr="00FA0D37">
              <w:rPr>
                <w:lang w:eastAsia="sv-SE"/>
              </w:rPr>
              <w:t>This field combines both the support of IAB and the cell status for IAB. If the field is present, the cell supports IAB and the cell is also considered as a candidate</w:t>
            </w:r>
            <w:r w:rsidRPr="00FA0D37">
              <w:t xml:space="preserve"> for cell (re)selection</w:t>
            </w:r>
            <w:r w:rsidRPr="00FA0D37">
              <w:rPr>
                <w:lang w:eastAsia="sv-SE"/>
              </w:rPr>
              <w:t xml:space="preserve"> for IAB-node; if the field is absent, the cell does not support IAB and/or the cell is barred for IAB-node.</w:t>
            </w:r>
          </w:p>
        </w:tc>
      </w:tr>
      <w:tr w:rsidR="005C7FF4" w:rsidRPr="00FA0D37"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FA0D37" w:rsidRDefault="00394471" w:rsidP="00964CC4">
            <w:pPr>
              <w:pStyle w:val="TAL"/>
              <w:rPr>
                <w:b/>
                <w:bCs/>
                <w:i/>
                <w:iCs/>
                <w:lang w:eastAsia="sv-SE"/>
              </w:rPr>
            </w:pPr>
            <w:r w:rsidRPr="00FA0D37">
              <w:rPr>
                <w:b/>
                <w:bCs/>
                <w:i/>
                <w:iCs/>
                <w:lang w:eastAsia="sv-SE"/>
              </w:rPr>
              <w:t>trackingAreaCode</w:t>
            </w:r>
          </w:p>
          <w:p w14:paraId="642CAB71" w14:textId="0B5BB8D2" w:rsidR="00394471" w:rsidRPr="00FA0D37" w:rsidRDefault="00394471" w:rsidP="00964CC4">
            <w:pPr>
              <w:pStyle w:val="TAL"/>
              <w:rPr>
                <w:b/>
                <w:i/>
                <w:szCs w:val="22"/>
                <w:lang w:eastAsia="sv-SE"/>
              </w:rPr>
            </w:pPr>
            <w:r w:rsidRPr="00FA0D37">
              <w:rPr>
                <w:szCs w:val="22"/>
                <w:lang w:eastAsia="sv-SE"/>
              </w:rPr>
              <w:t xml:space="preserve">Indicates Tracking Area Code to which the cell indicated by </w:t>
            </w:r>
            <w:r w:rsidRPr="00FA0D37">
              <w:rPr>
                <w:i/>
                <w:szCs w:val="22"/>
                <w:lang w:eastAsia="sv-SE"/>
              </w:rPr>
              <w:t>cellIdentity</w:t>
            </w:r>
            <w:r w:rsidRPr="00FA0D37">
              <w:rPr>
                <w:szCs w:val="22"/>
                <w:lang w:eastAsia="sv-SE"/>
              </w:rPr>
              <w:t xml:space="preserve"> field belongs. The absence of the field indicates that the cell only supports PSCell/SCell functionality (per PLMN)</w:t>
            </w:r>
            <w:r w:rsidR="00771058" w:rsidRPr="00FA0D37">
              <w:rPr>
                <w:lang w:eastAsia="sv-SE"/>
              </w:rPr>
              <w:t xml:space="preserve"> or is an NTN cell</w:t>
            </w:r>
            <w:r w:rsidRPr="00FA0D37">
              <w:rPr>
                <w:szCs w:val="22"/>
                <w:lang w:eastAsia="sv-SE"/>
              </w:rPr>
              <w:t>.</w:t>
            </w:r>
          </w:p>
        </w:tc>
      </w:tr>
      <w:tr w:rsidR="000830BB" w:rsidRPr="00FA0D37"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FA0D37" w:rsidRDefault="005B7637" w:rsidP="00771058">
            <w:pPr>
              <w:pStyle w:val="TAL"/>
              <w:rPr>
                <w:b/>
                <w:bCs/>
                <w:i/>
                <w:iCs/>
                <w:lang w:eastAsia="sv-SE"/>
              </w:rPr>
            </w:pPr>
            <w:r w:rsidRPr="00FA0D37">
              <w:rPr>
                <w:b/>
                <w:bCs/>
                <w:i/>
                <w:iCs/>
                <w:lang w:eastAsia="sv-SE"/>
              </w:rPr>
              <w:t>trackingAreaList</w:t>
            </w:r>
          </w:p>
          <w:p w14:paraId="17651EC0" w14:textId="3C9FB8EC" w:rsidR="005B7637" w:rsidRPr="00FA0D37" w:rsidRDefault="005B7637" w:rsidP="00771058">
            <w:pPr>
              <w:pStyle w:val="TAL"/>
              <w:rPr>
                <w:lang w:eastAsia="sv-SE"/>
              </w:rPr>
            </w:pPr>
            <w:r w:rsidRPr="00FA0D37">
              <w:rPr>
                <w:lang w:eastAsia="sv-SE"/>
              </w:rPr>
              <w:t xml:space="preserve">List of Tracking Areas to which the cell indicated by </w:t>
            </w:r>
            <w:r w:rsidRPr="00FA0D37">
              <w:rPr>
                <w:i/>
                <w:iCs/>
                <w:lang w:eastAsia="sv-SE"/>
              </w:rPr>
              <w:t>cellIdentity</w:t>
            </w:r>
            <w:r w:rsidRPr="00FA0D37">
              <w:rPr>
                <w:lang w:eastAsia="sv-SE"/>
              </w:rPr>
              <w:t xml:space="preserve"> field belongs. If this field is present, </w:t>
            </w:r>
            <w:r w:rsidR="00771058" w:rsidRPr="00FA0D37">
              <w:t>network does not configure</w:t>
            </w:r>
            <w:r w:rsidRPr="00FA0D37">
              <w:rPr>
                <w:lang w:eastAsia="sv-SE"/>
              </w:rPr>
              <w:t xml:space="preserve"> </w:t>
            </w:r>
            <w:r w:rsidRPr="00FA0D37">
              <w:rPr>
                <w:i/>
                <w:iCs/>
                <w:lang w:eastAsia="sv-SE"/>
              </w:rPr>
              <w:t>trackingAreaCode</w:t>
            </w:r>
            <w:r w:rsidR="00771058" w:rsidRPr="00FA0D37">
              <w:rPr>
                <w:i/>
                <w:iCs/>
                <w:lang w:eastAsia="sv-SE"/>
              </w:rPr>
              <w:t>.</w:t>
            </w:r>
            <w:r w:rsidRPr="00FA0D37">
              <w:rPr>
                <w:lang w:eastAsia="sv-SE"/>
              </w:rPr>
              <w:t xml:space="preserve"> Total number of </w:t>
            </w:r>
            <w:r w:rsidR="00771058" w:rsidRPr="00FA0D37">
              <w:rPr>
                <w:lang w:eastAsia="sv-SE"/>
              </w:rPr>
              <w:t xml:space="preserve">different </w:t>
            </w:r>
            <w:r w:rsidRPr="00FA0D37">
              <w:rPr>
                <w:lang w:eastAsia="sv-SE"/>
              </w:rPr>
              <w:t xml:space="preserve">TACs across different </w:t>
            </w:r>
            <w:r w:rsidR="00771058" w:rsidRPr="00FA0D37">
              <w:rPr>
                <w:i/>
                <w:iCs/>
              </w:rPr>
              <w:t>PLMN-IdentityInfo</w:t>
            </w:r>
            <w:r w:rsidR="00771058" w:rsidRPr="00FA0D37">
              <w:t xml:space="preserve">s </w:t>
            </w:r>
            <w:r w:rsidR="00771058" w:rsidRPr="00FA0D37">
              <w:rPr>
                <w:lang w:eastAsia="sv-SE"/>
              </w:rPr>
              <w:t>shall not</w:t>
            </w:r>
            <w:r w:rsidRPr="00FA0D37">
              <w:rPr>
                <w:lang w:eastAsia="sv-SE"/>
              </w:rPr>
              <w:t xml:space="preserve"> exceed </w:t>
            </w:r>
            <w:r w:rsidRPr="00FA0D37">
              <w:rPr>
                <w:i/>
                <w:iCs/>
                <w:lang w:eastAsia="sv-SE"/>
              </w:rPr>
              <w:t>maxTAC</w:t>
            </w:r>
            <w:r w:rsidRPr="00FA0D37">
              <w:rPr>
                <w:lang w:eastAsia="sv-SE"/>
              </w:rPr>
              <w:t>.</w:t>
            </w:r>
            <w:r w:rsidR="00A3134E" w:rsidRPr="00FA0D37">
              <w:t xml:space="preserve"> </w:t>
            </w:r>
            <w:r w:rsidR="00A3134E" w:rsidRPr="00FA0D37">
              <w:rPr>
                <w:lang w:eastAsia="sv-SE"/>
              </w:rPr>
              <w:t>This field is only present in an NTN cell.</w:t>
            </w:r>
          </w:p>
        </w:tc>
      </w:tr>
    </w:tbl>
    <w:p w14:paraId="1B4ED5F9" w14:textId="77777777" w:rsidR="00394471" w:rsidRPr="00FA0D37" w:rsidRDefault="00394471" w:rsidP="00394471">
      <w:pPr>
        <w:rPr>
          <w:rFonts w:eastAsiaTheme="minorEastAsia"/>
        </w:rPr>
      </w:pPr>
    </w:p>
    <w:p w14:paraId="3A735F04" w14:textId="77777777" w:rsidR="00394471" w:rsidRPr="00FA0D37" w:rsidRDefault="00394471" w:rsidP="00394471">
      <w:pPr>
        <w:pStyle w:val="4"/>
      </w:pPr>
      <w:bookmarkStart w:id="1235" w:name="_Toc60777310"/>
      <w:bookmarkStart w:id="1236" w:name="_Toc146781389"/>
      <w:r w:rsidRPr="00FA0D37">
        <w:t>–</w:t>
      </w:r>
      <w:r w:rsidRPr="00FA0D37">
        <w:tab/>
      </w:r>
      <w:r w:rsidRPr="00FA0D37">
        <w:rPr>
          <w:i/>
        </w:rPr>
        <w:t>PLMN-IdentityList2</w:t>
      </w:r>
      <w:bookmarkEnd w:id="1235"/>
      <w:bookmarkEnd w:id="1236"/>
    </w:p>
    <w:p w14:paraId="7710E0B6" w14:textId="77777777" w:rsidR="00394471" w:rsidRPr="00FA0D37" w:rsidRDefault="00394471" w:rsidP="00394471">
      <w:r w:rsidRPr="00FA0D37">
        <w:t>Includes a list of PLMN identities.</w:t>
      </w:r>
    </w:p>
    <w:p w14:paraId="5D89922A" w14:textId="77777777" w:rsidR="00394471" w:rsidRPr="00FA0D37" w:rsidRDefault="00394471" w:rsidP="00394471">
      <w:pPr>
        <w:pStyle w:val="TH"/>
      </w:pPr>
      <w:r w:rsidRPr="00FA0D37">
        <w:rPr>
          <w:bCs/>
          <w:i/>
          <w:iCs/>
        </w:rPr>
        <w:t>PLMN-IdentityList2</w:t>
      </w:r>
      <w:r w:rsidRPr="00FA0D37">
        <w:t xml:space="preserve"> information element</w:t>
      </w:r>
    </w:p>
    <w:p w14:paraId="01B92C67" w14:textId="77777777" w:rsidR="00394471" w:rsidRPr="00FA0D37" w:rsidRDefault="00394471" w:rsidP="00FA0D37">
      <w:pPr>
        <w:pStyle w:val="PL"/>
        <w:rPr>
          <w:color w:val="808080"/>
        </w:rPr>
      </w:pPr>
      <w:r w:rsidRPr="00FA0D37">
        <w:rPr>
          <w:color w:val="808080"/>
        </w:rPr>
        <w:t>-- ASN1START</w:t>
      </w:r>
    </w:p>
    <w:p w14:paraId="37E92869" w14:textId="77777777" w:rsidR="00394471" w:rsidRPr="00FA0D37" w:rsidRDefault="00394471" w:rsidP="00FA0D37">
      <w:pPr>
        <w:pStyle w:val="PL"/>
        <w:rPr>
          <w:color w:val="808080"/>
        </w:rPr>
      </w:pPr>
      <w:r w:rsidRPr="00FA0D37">
        <w:rPr>
          <w:color w:val="808080"/>
        </w:rPr>
        <w:t>-- TAG-PLMNIDENTITYLIST2-START</w:t>
      </w:r>
    </w:p>
    <w:p w14:paraId="06C01872" w14:textId="77777777" w:rsidR="00394471" w:rsidRPr="00FA0D37" w:rsidRDefault="00394471" w:rsidP="00FA0D37">
      <w:pPr>
        <w:pStyle w:val="PL"/>
      </w:pPr>
    </w:p>
    <w:p w14:paraId="12767ECB" w14:textId="77777777" w:rsidR="00394471" w:rsidRPr="00FA0D37" w:rsidRDefault="00394471" w:rsidP="00FA0D37">
      <w:pPr>
        <w:pStyle w:val="PL"/>
      </w:pPr>
      <w:r w:rsidRPr="00FA0D37">
        <w:t xml:space="preserve">PLMN-IdentityList2-r16 ::= </w:t>
      </w:r>
      <w:r w:rsidRPr="00FA0D37">
        <w:rPr>
          <w:color w:val="993366"/>
        </w:rPr>
        <w:t>SEQUENCE</w:t>
      </w:r>
      <w:r w:rsidRPr="00FA0D37">
        <w:t xml:space="preserve"> (</w:t>
      </w:r>
      <w:r w:rsidRPr="00FA0D37">
        <w:rPr>
          <w:color w:val="993366"/>
        </w:rPr>
        <w:t>SIZE</w:t>
      </w:r>
      <w:r w:rsidRPr="00FA0D37">
        <w:t xml:space="preserve"> (1..16))</w:t>
      </w:r>
      <w:r w:rsidRPr="00FA0D37">
        <w:rPr>
          <w:color w:val="993366"/>
        </w:rPr>
        <w:t xml:space="preserve"> OF</w:t>
      </w:r>
      <w:r w:rsidRPr="00FA0D37">
        <w:t xml:space="preserve"> PLMN-Identity</w:t>
      </w:r>
    </w:p>
    <w:p w14:paraId="66EB001E" w14:textId="77777777" w:rsidR="00394471" w:rsidRPr="00FA0D37" w:rsidRDefault="00394471" w:rsidP="00FA0D37">
      <w:pPr>
        <w:pStyle w:val="PL"/>
      </w:pPr>
    </w:p>
    <w:p w14:paraId="60707EF3" w14:textId="77777777" w:rsidR="00394471" w:rsidRPr="00FA0D37" w:rsidRDefault="00394471" w:rsidP="00FA0D37">
      <w:pPr>
        <w:pStyle w:val="PL"/>
        <w:rPr>
          <w:color w:val="808080"/>
        </w:rPr>
      </w:pPr>
      <w:r w:rsidRPr="00FA0D37">
        <w:rPr>
          <w:color w:val="808080"/>
        </w:rPr>
        <w:t>-- TAG-PLMNIDENTITYLIST2-STOP</w:t>
      </w:r>
    </w:p>
    <w:p w14:paraId="56C31A60" w14:textId="77777777" w:rsidR="00394471" w:rsidRPr="00FA0D37" w:rsidRDefault="00394471" w:rsidP="00FA0D37">
      <w:pPr>
        <w:pStyle w:val="PL"/>
        <w:rPr>
          <w:color w:val="808080"/>
        </w:rPr>
      </w:pPr>
      <w:r w:rsidRPr="00FA0D37">
        <w:rPr>
          <w:color w:val="808080"/>
        </w:rPr>
        <w:t>-- ASN1STOP</w:t>
      </w:r>
    </w:p>
    <w:p w14:paraId="15D7B682" w14:textId="34829349" w:rsidR="00394471" w:rsidRPr="00FA0D37" w:rsidRDefault="00394471" w:rsidP="00394471"/>
    <w:p w14:paraId="0F8166B5" w14:textId="77777777" w:rsidR="00394471" w:rsidRPr="00FA0D37" w:rsidRDefault="00394471" w:rsidP="00394471">
      <w:pPr>
        <w:pStyle w:val="4"/>
        <w:rPr>
          <w:i/>
        </w:rPr>
      </w:pPr>
      <w:bookmarkStart w:id="1237" w:name="_Toc60777311"/>
      <w:bookmarkStart w:id="1238" w:name="_Toc146781390"/>
      <w:r w:rsidRPr="00FA0D37">
        <w:t>–</w:t>
      </w:r>
      <w:r w:rsidRPr="00FA0D37">
        <w:tab/>
      </w:r>
      <w:r w:rsidRPr="00FA0D37">
        <w:rPr>
          <w:i/>
        </w:rPr>
        <w:t>PRB-Id</w:t>
      </w:r>
      <w:bookmarkEnd w:id="1237"/>
      <w:bookmarkEnd w:id="1238"/>
    </w:p>
    <w:p w14:paraId="724DDA2F" w14:textId="77777777" w:rsidR="00394471" w:rsidRPr="00FA0D37" w:rsidRDefault="00394471" w:rsidP="00394471">
      <w:r w:rsidRPr="00FA0D37">
        <w:t xml:space="preserve">The IE </w:t>
      </w:r>
      <w:r w:rsidRPr="00FA0D37">
        <w:rPr>
          <w:i/>
        </w:rPr>
        <w:t xml:space="preserve">PRB-Id </w:t>
      </w:r>
      <w:r w:rsidRPr="00FA0D37">
        <w:t>identifies a Physical Resource Block (PRB) position within a carrier.</w:t>
      </w:r>
    </w:p>
    <w:p w14:paraId="2FB83243" w14:textId="77777777" w:rsidR="00394471" w:rsidRPr="00FA0D37" w:rsidRDefault="00394471" w:rsidP="00394471">
      <w:pPr>
        <w:pStyle w:val="TH"/>
      </w:pPr>
      <w:r w:rsidRPr="00FA0D37">
        <w:rPr>
          <w:i/>
        </w:rPr>
        <w:t>PRB-Id</w:t>
      </w:r>
      <w:r w:rsidRPr="00FA0D37">
        <w:t xml:space="preserve"> information element</w:t>
      </w:r>
    </w:p>
    <w:p w14:paraId="486D117A" w14:textId="77777777" w:rsidR="00394471" w:rsidRPr="00FA0D37" w:rsidRDefault="00394471" w:rsidP="00FA0D37">
      <w:pPr>
        <w:pStyle w:val="PL"/>
        <w:rPr>
          <w:color w:val="808080"/>
        </w:rPr>
      </w:pPr>
      <w:r w:rsidRPr="00FA0D37">
        <w:rPr>
          <w:color w:val="808080"/>
        </w:rPr>
        <w:t>-- ASN1START</w:t>
      </w:r>
    </w:p>
    <w:p w14:paraId="1B4446B2" w14:textId="77777777" w:rsidR="00394471" w:rsidRPr="00FA0D37" w:rsidRDefault="00394471" w:rsidP="00FA0D37">
      <w:pPr>
        <w:pStyle w:val="PL"/>
        <w:rPr>
          <w:color w:val="808080"/>
        </w:rPr>
      </w:pPr>
      <w:r w:rsidRPr="00FA0D37">
        <w:rPr>
          <w:color w:val="808080"/>
        </w:rPr>
        <w:t>-- TAG-PRB-ID-START</w:t>
      </w:r>
    </w:p>
    <w:p w14:paraId="2558D82F" w14:textId="77777777" w:rsidR="00394471" w:rsidRPr="00FA0D37" w:rsidRDefault="00394471" w:rsidP="00FA0D37">
      <w:pPr>
        <w:pStyle w:val="PL"/>
      </w:pPr>
    </w:p>
    <w:p w14:paraId="5C6A3B6B" w14:textId="77777777" w:rsidR="00394471" w:rsidRPr="00FA0D37" w:rsidRDefault="00394471" w:rsidP="00FA0D37">
      <w:pPr>
        <w:pStyle w:val="PL"/>
      </w:pPr>
      <w:r w:rsidRPr="00FA0D37">
        <w:t xml:space="preserve">PRB-Id ::=                          </w:t>
      </w:r>
      <w:r w:rsidRPr="00FA0D37">
        <w:rPr>
          <w:color w:val="993366"/>
        </w:rPr>
        <w:t>INTEGER</w:t>
      </w:r>
      <w:r w:rsidRPr="00FA0D37">
        <w:t xml:space="preserve"> (0..maxNrofPhysicalResourceBlocks-1)</w:t>
      </w:r>
    </w:p>
    <w:p w14:paraId="7276687C" w14:textId="77777777" w:rsidR="00394471" w:rsidRPr="00FA0D37" w:rsidRDefault="00394471" w:rsidP="00FA0D37">
      <w:pPr>
        <w:pStyle w:val="PL"/>
      </w:pPr>
    </w:p>
    <w:p w14:paraId="43935D79" w14:textId="77777777" w:rsidR="00394471" w:rsidRPr="00FA0D37" w:rsidRDefault="00394471" w:rsidP="00FA0D37">
      <w:pPr>
        <w:pStyle w:val="PL"/>
        <w:rPr>
          <w:color w:val="808080"/>
        </w:rPr>
      </w:pPr>
      <w:r w:rsidRPr="00FA0D37">
        <w:rPr>
          <w:color w:val="808080"/>
        </w:rPr>
        <w:t>-- TAG-PRB-ID-STOP</w:t>
      </w:r>
    </w:p>
    <w:p w14:paraId="0775D1B0" w14:textId="77777777" w:rsidR="00394471" w:rsidRPr="00FA0D37" w:rsidRDefault="00394471" w:rsidP="00FA0D37">
      <w:pPr>
        <w:pStyle w:val="PL"/>
        <w:rPr>
          <w:color w:val="808080"/>
        </w:rPr>
      </w:pPr>
      <w:r w:rsidRPr="00FA0D37">
        <w:rPr>
          <w:color w:val="808080"/>
        </w:rPr>
        <w:t>-- ASN1STOP</w:t>
      </w:r>
    </w:p>
    <w:p w14:paraId="4DFA0189" w14:textId="77777777" w:rsidR="00394471" w:rsidRPr="00FA0D37" w:rsidRDefault="00394471" w:rsidP="00394471"/>
    <w:p w14:paraId="0B19D23E" w14:textId="77777777" w:rsidR="00394471" w:rsidRPr="00FA0D37" w:rsidRDefault="00394471" w:rsidP="00394471">
      <w:pPr>
        <w:pStyle w:val="4"/>
      </w:pPr>
      <w:bookmarkStart w:id="1239" w:name="_Toc60777312"/>
      <w:bookmarkStart w:id="1240" w:name="_Toc146781391"/>
      <w:r w:rsidRPr="00FA0D37">
        <w:t>–</w:t>
      </w:r>
      <w:r w:rsidRPr="00FA0D37">
        <w:tab/>
      </w:r>
      <w:r w:rsidRPr="00FA0D37">
        <w:rPr>
          <w:i/>
        </w:rPr>
        <w:t>PTRS-DownlinkConfig</w:t>
      </w:r>
      <w:bookmarkEnd w:id="1239"/>
      <w:bookmarkEnd w:id="1240"/>
    </w:p>
    <w:p w14:paraId="78A35675" w14:textId="77777777" w:rsidR="00394471" w:rsidRPr="00FA0D37" w:rsidRDefault="00394471" w:rsidP="00394471">
      <w:r w:rsidRPr="00FA0D37">
        <w:t xml:space="preserve">The IE </w:t>
      </w:r>
      <w:r w:rsidRPr="00FA0D37">
        <w:rPr>
          <w:i/>
        </w:rPr>
        <w:t>PTRS-DownlinkConfig</w:t>
      </w:r>
      <w:r w:rsidRPr="00FA0D37">
        <w:t xml:space="preserve"> is used to configure downlink phase tracking reference signals (PTRS) (see TS 38.214 [19] clause 5.1.6.3)</w:t>
      </w:r>
    </w:p>
    <w:p w14:paraId="2D38C0B7" w14:textId="77777777" w:rsidR="00394471" w:rsidRPr="00FA0D37" w:rsidRDefault="00394471" w:rsidP="00394471">
      <w:pPr>
        <w:pStyle w:val="TH"/>
      </w:pPr>
      <w:r w:rsidRPr="00FA0D37">
        <w:rPr>
          <w:i/>
        </w:rPr>
        <w:t>PTRS-DownlinkConfig</w:t>
      </w:r>
      <w:r w:rsidRPr="00FA0D37">
        <w:t xml:space="preserve"> information element</w:t>
      </w:r>
    </w:p>
    <w:p w14:paraId="7545E9D8" w14:textId="77777777" w:rsidR="00394471" w:rsidRPr="00FA0D37" w:rsidRDefault="00394471" w:rsidP="00FA0D37">
      <w:pPr>
        <w:pStyle w:val="PL"/>
        <w:rPr>
          <w:color w:val="808080"/>
        </w:rPr>
      </w:pPr>
      <w:r w:rsidRPr="00FA0D37">
        <w:rPr>
          <w:color w:val="808080"/>
        </w:rPr>
        <w:t>-- ASN1START</w:t>
      </w:r>
    </w:p>
    <w:p w14:paraId="1628FA9C" w14:textId="77777777" w:rsidR="00394471" w:rsidRPr="00FA0D37" w:rsidRDefault="00394471" w:rsidP="00FA0D37">
      <w:pPr>
        <w:pStyle w:val="PL"/>
        <w:rPr>
          <w:color w:val="808080"/>
        </w:rPr>
      </w:pPr>
      <w:r w:rsidRPr="00FA0D37">
        <w:rPr>
          <w:color w:val="808080"/>
        </w:rPr>
        <w:t>-- TAG-PTRS-DOWNLINKCONFIG-START</w:t>
      </w:r>
    </w:p>
    <w:p w14:paraId="3D22DEF4" w14:textId="77777777" w:rsidR="00394471" w:rsidRPr="00FA0D37" w:rsidRDefault="00394471" w:rsidP="00FA0D37">
      <w:pPr>
        <w:pStyle w:val="PL"/>
      </w:pPr>
    </w:p>
    <w:p w14:paraId="7DD01DE3" w14:textId="77777777" w:rsidR="00394471" w:rsidRPr="00FA0D37" w:rsidRDefault="00394471" w:rsidP="00FA0D37">
      <w:pPr>
        <w:pStyle w:val="PL"/>
      </w:pPr>
      <w:r w:rsidRPr="00FA0D37">
        <w:t xml:space="preserve">PTRS-DownlinkConfig ::=             </w:t>
      </w:r>
      <w:r w:rsidRPr="00FA0D37">
        <w:rPr>
          <w:color w:val="993366"/>
        </w:rPr>
        <w:t>SEQUENCE</w:t>
      </w:r>
      <w:r w:rsidRPr="00FA0D37">
        <w:t xml:space="preserve"> {</w:t>
      </w:r>
    </w:p>
    <w:p w14:paraId="34179935" w14:textId="77777777" w:rsidR="00394471" w:rsidRPr="00FA0D37" w:rsidRDefault="00394471" w:rsidP="00FA0D37">
      <w:pPr>
        <w:pStyle w:val="PL"/>
        <w:rPr>
          <w:color w:val="808080"/>
        </w:rPr>
      </w:pPr>
      <w:r w:rsidRPr="00FA0D37">
        <w:t xml:space="preserve">    frequencyDensity                    </w:t>
      </w:r>
      <w:r w:rsidRPr="00FA0D37">
        <w:rPr>
          <w:color w:val="993366"/>
        </w:rPr>
        <w:t>SEQUENCE</w:t>
      </w:r>
      <w:r w:rsidRPr="00FA0D37">
        <w:t xml:space="preserve"> (</w:t>
      </w:r>
      <w:r w:rsidRPr="00FA0D37">
        <w:rPr>
          <w:color w:val="993366"/>
        </w:rPr>
        <w:t>SIZE</w:t>
      </w:r>
      <w:r w:rsidRPr="00FA0D37">
        <w:t xml:space="preserve"> (2))</w:t>
      </w:r>
      <w:r w:rsidRPr="00FA0D37">
        <w:rPr>
          <w:color w:val="993366"/>
        </w:rPr>
        <w:t xml:space="preserve"> OF</w:t>
      </w:r>
      <w:r w:rsidRPr="00FA0D37">
        <w:t xml:space="preserve"> </w:t>
      </w:r>
      <w:r w:rsidRPr="00FA0D37">
        <w:rPr>
          <w:color w:val="993366"/>
        </w:rPr>
        <w:t>INTEGER</w:t>
      </w:r>
      <w:r w:rsidRPr="00FA0D37">
        <w:t xml:space="preserve"> (1..276)                                 </w:t>
      </w:r>
      <w:r w:rsidRPr="00FA0D37">
        <w:rPr>
          <w:color w:val="993366"/>
        </w:rPr>
        <w:t>OPTIONAL</w:t>
      </w:r>
      <w:r w:rsidRPr="00FA0D37">
        <w:t xml:space="preserve">,   </w:t>
      </w:r>
      <w:r w:rsidRPr="00FA0D37">
        <w:rPr>
          <w:color w:val="808080"/>
        </w:rPr>
        <w:t>-- Need S</w:t>
      </w:r>
    </w:p>
    <w:p w14:paraId="085D56F5" w14:textId="77777777" w:rsidR="00394471" w:rsidRPr="00FA0D37" w:rsidRDefault="00394471" w:rsidP="00FA0D37">
      <w:pPr>
        <w:pStyle w:val="PL"/>
        <w:rPr>
          <w:color w:val="808080"/>
        </w:rPr>
      </w:pPr>
      <w:r w:rsidRPr="00FA0D37">
        <w:t xml:space="preserve">    timeDensity                         </w:t>
      </w:r>
      <w:r w:rsidRPr="00FA0D37">
        <w:rPr>
          <w:color w:val="993366"/>
        </w:rPr>
        <w:t>SEQUENCE</w:t>
      </w:r>
      <w:r w:rsidRPr="00FA0D37">
        <w:t xml:space="preserve"> (</w:t>
      </w:r>
      <w:r w:rsidRPr="00FA0D37">
        <w:rPr>
          <w:color w:val="993366"/>
        </w:rPr>
        <w:t>SIZE</w:t>
      </w:r>
      <w:r w:rsidRPr="00FA0D37">
        <w:t xml:space="preserve"> (3))</w:t>
      </w:r>
      <w:r w:rsidRPr="00FA0D37">
        <w:rPr>
          <w:color w:val="993366"/>
        </w:rPr>
        <w:t xml:space="preserve"> OF</w:t>
      </w:r>
      <w:r w:rsidRPr="00FA0D37">
        <w:t xml:space="preserve"> </w:t>
      </w:r>
      <w:r w:rsidRPr="00FA0D37">
        <w:rPr>
          <w:color w:val="993366"/>
        </w:rPr>
        <w:t>INTEGER</w:t>
      </w:r>
      <w:r w:rsidRPr="00FA0D37">
        <w:t xml:space="preserve"> (0..29)                                  </w:t>
      </w:r>
      <w:r w:rsidRPr="00FA0D37">
        <w:rPr>
          <w:color w:val="993366"/>
        </w:rPr>
        <w:t>OPTIONAL</w:t>
      </w:r>
      <w:r w:rsidRPr="00FA0D37">
        <w:t xml:space="preserve">,   </w:t>
      </w:r>
      <w:r w:rsidRPr="00FA0D37">
        <w:rPr>
          <w:color w:val="808080"/>
        </w:rPr>
        <w:t>-- Need S</w:t>
      </w:r>
    </w:p>
    <w:p w14:paraId="7FDD9A2A" w14:textId="77777777" w:rsidR="00394471" w:rsidRPr="00FA0D37" w:rsidRDefault="00394471" w:rsidP="00FA0D37">
      <w:pPr>
        <w:pStyle w:val="PL"/>
        <w:rPr>
          <w:color w:val="808080"/>
        </w:rPr>
      </w:pPr>
      <w:r w:rsidRPr="00FA0D37">
        <w:t xml:space="preserve">    epre-Ratio                          </w:t>
      </w:r>
      <w:r w:rsidRPr="00FA0D37">
        <w:rPr>
          <w:color w:val="993366"/>
        </w:rPr>
        <w:t>INTEGER</w:t>
      </w:r>
      <w:r w:rsidRPr="00FA0D37">
        <w:t xml:space="preserve"> (0..3)                                                          </w:t>
      </w:r>
      <w:r w:rsidRPr="00FA0D37">
        <w:rPr>
          <w:color w:val="993366"/>
        </w:rPr>
        <w:t>OPTIONAL</w:t>
      </w:r>
      <w:r w:rsidRPr="00FA0D37">
        <w:t xml:space="preserve">,   </w:t>
      </w:r>
      <w:r w:rsidRPr="00FA0D37">
        <w:rPr>
          <w:color w:val="808080"/>
        </w:rPr>
        <w:t>-- Need S</w:t>
      </w:r>
    </w:p>
    <w:p w14:paraId="7370410E" w14:textId="77777777" w:rsidR="00394471" w:rsidRPr="00FA0D37" w:rsidRDefault="00394471" w:rsidP="00FA0D37">
      <w:pPr>
        <w:pStyle w:val="PL"/>
        <w:rPr>
          <w:color w:val="808080"/>
        </w:rPr>
      </w:pPr>
      <w:r w:rsidRPr="00FA0D37">
        <w:t xml:space="preserve">    resourceElementOffset               </w:t>
      </w:r>
      <w:r w:rsidRPr="00FA0D37">
        <w:rPr>
          <w:color w:val="993366"/>
        </w:rPr>
        <w:t>ENUMERATED</w:t>
      </w:r>
      <w:r w:rsidRPr="00FA0D37">
        <w:t xml:space="preserve"> { offset01, offset10, offset11 }                             </w:t>
      </w:r>
      <w:r w:rsidRPr="00FA0D37">
        <w:rPr>
          <w:color w:val="993366"/>
        </w:rPr>
        <w:t>OPTIONAL</w:t>
      </w:r>
      <w:r w:rsidRPr="00FA0D37">
        <w:t xml:space="preserve">,   </w:t>
      </w:r>
      <w:r w:rsidRPr="00FA0D37">
        <w:rPr>
          <w:color w:val="808080"/>
        </w:rPr>
        <w:t>-- Need S</w:t>
      </w:r>
    </w:p>
    <w:p w14:paraId="347CA368" w14:textId="77777777" w:rsidR="00394471" w:rsidRPr="00FA0D37" w:rsidRDefault="00394471" w:rsidP="00FA0D37">
      <w:pPr>
        <w:pStyle w:val="PL"/>
      </w:pPr>
      <w:r w:rsidRPr="00FA0D37">
        <w:t xml:space="preserve">    ...,</w:t>
      </w:r>
    </w:p>
    <w:p w14:paraId="2C95A739" w14:textId="77777777" w:rsidR="00394471" w:rsidRPr="00FA0D37" w:rsidRDefault="00394471" w:rsidP="00FA0D37">
      <w:pPr>
        <w:pStyle w:val="PL"/>
      </w:pPr>
      <w:r w:rsidRPr="00FA0D37">
        <w:t xml:space="preserve">    [[</w:t>
      </w:r>
    </w:p>
    <w:p w14:paraId="043CF267" w14:textId="77777777" w:rsidR="00394471" w:rsidRPr="00FA0D37" w:rsidRDefault="00394471" w:rsidP="00FA0D37">
      <w:pPr>
        <w:pStyle w:val="PL"/>
        <w:rPr>
          <w:color w:val="808080"/>
        </w:rPr>
      </w:pPr>
      <w:r w:rsidRPr="00FA0D37">
        <w:t xml:space="preserve">    maxNrofPorts-r16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312C11D7" w14:textId="77777777" w:rsidR="00394471" w:rsidRPr="00FA0D37" w:rsidRDefault="00394471" w:rsidP="00FA0D37">
      <w:pPr>
        <w:pStyle w:val="PL"/>
      </w:pPr>
      <w:r w:rsidRPr="00FA0D37">
        <w:t xml:space="preserve">    ]]</w:t>
      </w:r>
    </w:p>
    <w:p w14:paraId="02B53655" w14:textId="77777777" w:rsidR="00394471" w:rsidRPr="00FA0D37" w:rsidRDefault="00394471" w:rsidP="00FA0D37">
      <w:pPr>
        <w:pStyle w:val="PL"/>
      </w:pPr>
    </w:p>
    <w:p w14:paraId="7CF20A74" w14:textId="77777777" w:rsidR="00394471" w:rsidRPr="00FA0D37" w:rsidRDefault="00394471" w:rsidP="00FA0D37">
      <w:pPr>
        <w:pStyle w:val="PL"/>
      </w:pPr>
      <w:r w:rsidRPr="00FA0D37">
        <w:t>}</w:t>
      </w:r>
    </w:p>
    <w:p w14:paraId="6C881175" w14:textId="77777777" w:rsidR="00394471" w:rsidRPr="00FA0D37" w:rsidRDefault="00394471" w:rsidP="00FA0D37">
      <w:pPr>
        <w:pStyle w:val="PL"/>
      </w:pPr>
    </w:p>
    <w:p w14:paraId="3B129616" w14:textId="77777777" w:rsidR="00394471" w:rsidRPr="00FA0D37" w:rsidRDefault="00394471" w:rsidP="00FA0D37">
      <w:pPr>
        <w:pStyle w:val="PL"/>
        <w:rPr>
          <w:color w:val="808080"/>
        </w:rPr>
      </w:pPr>
      <w:r w:rsidRPr="00FA0D37">
        <w:rPr>
          <w:color w:val="808080"/>
        </w:rPr>
        <w:t>-- TAG-PTRS-DOWNLINKCONFIG-STOP</w:t>
      </w:r>
    </w:p>
    <w:p w14:paraId="5314A913" w14:textId="77777777" w:rsidR="00394471" w:rsidRPr="00FA0D37" w:rsidRDefault="00394471" w:rsidP="00FA0D37">
      <w:pPr>
        <w:pStyle w:val="PL"/>
        <w:rPr>
          <w:color w:val="808080"/>
        </w:rPr>
      </w:pPr>
      <w:r w:rsidRPr="00FA0D37">
        <w:rPr>
          <w:color w:val="808080"/>
        </w:rPr>
        <w:t>-- ASN1STOP</w:t>
      </w:r>
    </w:p>
    <w:p w14:paraId="5AA72AF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FA0D37" w:rsidRDefault="00394471" w:rsidP="00964CC4">
            <w:pPr>
              <w:pStyle w:val="TAH"/>
              <w:rPr>
                <w:szCs w:val="22"/>
                <w:lang w:eastAsia="sv-SE"/>
              </w:rPr>
            </w:pPr>
            <w:r w:rsidRPr="00FA0D37">
              <w:rPr>
                <w:i/>
                <w:szCs w:val="22"/>
                <w:lang w:eastAsia="sv-SE"/>
              </w:rPr>
              <w:t xml:space="preserve">PTRS-DownlinkConfig </w:t>
            </w:r>
            <w:r w:rsidRPr="00FA0D37">
              <w:rPr>
                <w:szCs w:val="22"/>
                <w:lang w:eastAsia="sv-SE"/>
              </w:rPr>
              <w:t>field descriptions</w:t>
            </w:r>
          </w:p>
        </w:tc>
      </w:tr>
      <w:tr w:rsidR="005C7FF4" w:rsidRPr="00FA0D37"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FA0D37" w:rsidRDefault="00394471" w:rsidP="00964CC4">
            <w:pPr>
              <w:pStyle w:val="TAL"/>
              <w:rPr>
                <w:szCs w:val="22"/>
                <w:lang w:eastAsia="sv-SE"/>
              </w:rPr>
            </w:pPr>
            <w:r w:rsidRPr="00FA0D37">
              <w:rPr>
                <w:b/>
                <w:i/>
                <w:szCs w:val="22"/>
                <w:lang w:eastAsia="sv-SE"/>
              </w:rPr>
              <w:t>epre-Ratio</w:t>
            </w:r>
          </w:p>
          <w:p w14:paraId="2B8458A6" w14:textId="77777777" w:rsidR="00394471" w:rsidRPr="00FA0D37" w:rsidRDefault="00394471" w:rsidP="00964CC4">
            <w:pPr>
              <w:pStyle w:val="TAL"/>
              <w:rPr>
                <w:szCs w:val="22"/>
                <w:lang w:eastAsia="sv-SE"/>
              </w:rPr>
            </w:pPr>
            <w:r w:rsidRPr="00FA0D37">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5C7FF4" w:rsidRPr="00FA0D37"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FA0D37" w:rsidRDefault="00394471" w:rsidP="00964CC4">
            <w:pPr>
              <w:pStyle w:val="TAL"/>
              <w:rPr>
                <w:szCs w:val="22"/>
                <w:lang w:eastAsia="sv-SE"/>
              </w:rPr>
            </w:pPr>
            <w:r w:rsidRPr="00FA0D37">
              <w:rPr>
                <w:b/>
                <w:i/>
                <w:szCs w:val="22"/>
                <w:lang w:eastAsia="sv-SE"/>
              </w:rPr>
              <w:t>frequencyDensity</w:t>
            </w:r>
          </w:p>
          <w:p w14:paraId="58110E64" w14:textId="77777777" w:rsidR="00394471" w:rsidRPr="00FA0D37" w:rsidRDefault="00394471" w:rsidP="00964CC4">
            <w:pPr>
              <w:pStyle w:val="TAL"/>
              <w:rPr>
                <w:szCs w:val="22"/>
                <w:lang w:eastAsia="sv-SE"/>
              </w:rPr>
            </w:pPr>
            <w:r w:rsidRPr="00FA0D37">
              <w:rPr>
                <w:szCs w:val="22"/>
                <w:lang w:eastAsia="sv-SE"/>
              </w:rPr>
              <w:t>Presence and frequency density of DL PT-RS as a function of Scheduled BW. If the field is absent, the UE uses K_PT-RS = 2 (see TS 38.214 [19], clause 5.1.6.3, table 5.1.6.3-2).</w:t>
            </w:r>
          </w:p>
        </w:tc>
      </w:tr>
      <w:tr w:rsidR="005C7FF4" w:rsidRPr="00FA0D37"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FA0D37" w:rsidRDefault="00394471" w:rsidP="00964CC4">
            <w:pPr>
              <w:pStyle w:val="TAL"/>
              <w:rPr>
                <w:b/>
                <w:i/>
                <w:szCs w:val="22"/>
                <w:lang w:eastAsia="sv-SE"/>
              </w:rPr>
            </w:pPr>
            <w:r w:rsidRPr="00FA0D37">
              <w:rPr>
                <w:b/>
                <w:i/>
                <w:szCs w:val="22"/>
                <w:lang w:eastAsia="sv-SE"/>
              </w:rPr>
              <w:t>maxNrofPorts</w:t>
            </w:r>
          </w:p>
          <w:p w14:paraId="7995FBEF" w14:textId="77777777" w:rsidR="00394471" w:rsidRPr="00FA0D37" w:rsidRDefault="00394471" w:rsidP="00964CC4">
            <w:pPr>
              <w:pStyle w:val="TAL"/>
              <w:rPr>
                <w:b/>
                <w:i/>
                <w:szCs w:val="22"/>
                <w:lang w:eastAsia="sv-SE"/>
              </w:rPr>
            </w:pPr>
            <w:r w:rsidRPr="00FA0D37">
              <w:rPr>
                <w:szCs w:val="22"/>
              </w:rPr>
              <w:t xml:space="preserve">The maximum number of DL PTRS ports specified in TS 38.214 [19] (clause 5.1.6.3). 2 PT-RS ports can only be configured for a DL BWP that is configured, </w:t>
            </w:r>
            <w:r w:rsidRPr="00FA0D37">
              <w:t xml:space="preserve">as specified in TS 38.214 [19] clause 5.1, </w:t>
            </w:r>
            <w:r w:rsidRPr="00FA0D37">
              <w:rPr>
                <w:szCs w:val="22"/>
              </w:rPr>
              <w:t>with a mode where</w:t>
            </w:r>
            <w:r w:rsidRPr="00FA0D37">
              <w:t xml:space="preserve"> a single PDSCH has association between the DM-RS ports and the TCI states as defined in TS 38.214 [19] clause 5.1.6.2.</w:t>
            </w:r>
          </w:p>
        </w:tc>
      </w:tr>
      <w:tr w:rsidR="005C7FF4" w:rsidRPr="00FA0D37"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FA0D37" w:rsidRDefault="00394471" w:rsidP="00964CC4">
            <w:pPr>
              <w:pStyle w:val="TAL"/>
              <w:rPr>
                <w:szCs w:val="22"/>
                <w:lang w:eastAsia="sv-SE"/>
              </w:rPr>
            </w:pPr>
            <w:r w:rsidRPr="00FA0D37">
              <w:rPr>
                <w:b/>
                <w:i/>
                <w:szCs w:val="22"/>
                <w:lang w:eastAsia="sv-SE"/>
              </w:rPr>
              <w:t>resourceElementOffset</w:t>
            </w:r>
          </w:p>
          <w:p w14:paraId="616E03AC" w14:textId="4A86A4EB" w:rsidR="00394471" w:rsidRPr="00FA0D37" w:rsidRDefault="00394471" w:rsidP="00964CC4">
            <w:pPr>
              <w:pStyle w:val="TAL"/>
              <w:rPr>
                <w:szCs w:val="22"/>
                <w:lang w:eastAsia="sv-SE"/>
              </w:rPr>
            </w:pPr>
            <w:r w:rsidRPr="00FA0D37">
              <w:rPr>
                <w:szCs w:val="22"/>
                <w:lang w:eastAsia="sv-SE"/>
              </w:rPr>
              <w:t>Indicates the subcarrier offset for DL PTRS. If the field is absent, the UE applies the value offset00 (see TS 38.21</w:t>
            </w:r>
            <w:r w:rsidR="005A6121" w:rsidRPr="00FA0D37">
              <w:rPr>
                <w:szCs w:val="22"/>
                <w:lang w:eastAsia="sv-SE"/>
              </w:rPr>
              <w:t>1</w:t>
            </w:r>
            <w:r w:rsidRPr="00FA0D37">
              <w:rPr>
                <w:szCs w:val="22"/>
                <w:lang w:eastAsia="sv-SE"/>
              </w:rPr>
              <w:t xml:space="preserve"> [1</w:t>
            </w:r>
            <w:r w:rsidR="005A6121" w:rsidRPr="00FA0D37">
              <w:rPr>
                <w:szCs w:val="22"/>
                <w:lang w:eastAsia="sv-SE"/>
              </w:rPr>
              <w:t>6</w:t>
            </w:r>
            <w:r w:rsidRPr="00FA0D37">
              <w:rPr>
                <w:szCs w:val="22"/>
                <w:lang w:eastAsia="sv-SE"/>
              </w:rPr>
              <w:t xml:space="preserve">], clause </w:t>
            </w:r>
            <w:r w:rsidR="005A6121" w:rsidRPr="00FA0D37">
              <w:rPr>
                <w:szCs w:val="22"/>
                <w:lang w:eastAsia="sv-SE"/>
              </w:rPr>
              <w:t>7.4.1.2.2</w:t>
            </w:r>
            <w:r w:rsidRPr="00FA0D37">
              <w:rPr>
                <w:szCs w:val="22"/>
                <w:lang w:eastAsia="sv-SE"/>
              </w:rPr>
              <w:t>).</w:t>
            </w:r>
          </w:p>
        </w:tc>
      </w:tr>
      <w:tr w:rsidR="00394471" w:rsidRPr="00FA0D37"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FA0D37" w:rsidRDefault="00394471" w:rsidP="00964CC4">
            <w:pPr>
              <w:pStyle w:val="TAL"/>
              <w:rPr>
                <w:szCs w:val="22"/>
                <w:lang w:eastAsia="sv-SE"/>
              </w:rPr>
            </w:pPr>
            <w:r w:rsidRPr="00FA0D37">
              <w:rPr>
                <w:b/>
                <w:i/>
                <w:szCs w:val="22"/>
                <w:lang w:eastAsia="sv-SE"/>
              </w:rPr>
              <w:t>timeDensity</w:t>
            </w:r>
          </w:p>
          <w:p w14:paraId="114C7735" w14:textId="77777777" w:rsidR="00394471" w:rsidRPr="00FA0D37" w:rsidRDefault="00394471" w:rsidP="00964CC4">
            <w:pPr>
              <w:pStyle w:val="TAL"/>
              <w:rPr>
                <w:szCs w:val="22"/>
                <w:lang w:eastAsia="sv-SE"/>
              </w:rPr>
            </w:pPr>
            <w:r w:rsidRPr="00FA0D37">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FA0D37" w:rsidRDefault="00394471" w:rsidP="00394471"/>
    <w:p w14:paraId="6BF7E06F" w14:textId="77777777" w:rsidR="00394471" w:rsidRPr="00FA0D37" w:rsidRDefault="00394471" w:rsidP="00394471">
      <w:pPr>
        <w:pStyle w:val="4"/>
      </w:pPr>
      <w:bookmarkStart w:id="1241" w:name="_Toc60777313"/>
      <w:bookmarkStart w:id="1242" w:name="_Toc146781392"/>
      <w:r w:rsidRPr="00FA0D37">
        <w:lastRenderedPageBreak/>
        <w:t>–</w:t>
      </w:r>
      <w:r w:rsidRPr="00FA0D37">
        <w:tab/>
      </w:r>
      <w:r w:rsidRPr="00FA0D37">
        <w:rPr>
          <w:i/>
        </w:rPr>
        <w:t>PTRS-UplinkConfig</w:t>
      </w:r>
      <w:bookmarkEnd w:id="1241"/>
      <w:bookmarkEnd w:id="1242"/>
    </w:p>
    <w:p w14:paraId="1F69F724" w14:textId="77777777" w:rsidR="00394471" w:rsidRPr="00FA0D37" w:rsidRDefault="00394471" w:rsidP="00394471">
      <w:r w:rsidRPr="00FA0D37">
        <w:t xml:space="preserve">The IE </w:t>
      </w:r>
      <w:r w:rsidRPr="00FA0D37">
        <w:rPr>
          <w:i/>
        </w:rPr>
        <w:t>PTRS-UplinkConfig</w:t>
      </w:r>
      <w:r w:rsidRPr="00FA0D37">
        <w:t xml:space="preserve"> is used to configure uplink Phase-Tracking-Reference-Signals (PTRS).</w:t>
      </w:r>
    </w:p>
    <w:p w14:paraId="3F3ADA73" w14:textId="77777777" w:rsidR="00394471" w:rsidRPr="00FA0D37" w:rsidRDefault="00394471" w:rsidP="00394471">
      <w:pPr>
        <w:pStyle w:val="TH"/>
      </w:pPr>
      <w:r w:rsidRPr="00FA0D37">
        <w:rPr>
          <w:i/>
        </w:rPr>
        <w:t>PTRS-UplinkConfig</w:t>
      </w:r>
      <w:r w:rsidRPr="00FA0D37">
        <w:t xml:space="preserve"> information element</w:t>
      </w:r>
    </w:p>
    <w:p w14:paraId="4FDB345C" w14:textId="77777777" w:rsidR="00394471" w:rsidRPr="00FA0D37" w:rsidRDefault="00394471" w:rsidP="00FA0D37">
      <w:pPr>
        <w:pStyle w:val="PL"/>
        <w:rPr>
          <w:color w:val="808080"/>
        </w:rPr>
      </w:pPr>
      <w:r w:rsidRPr="00FA0D37">
        <w:rPr>
          <w:color w:val="808080"/>
        </w:rPr>
        <w:t>-- ASN1START</w:t>
      </w:r>
    </w:p>
    <w:p w14:paraId="27748B4F" w14:textId="77777777" w:rsidR="00394471" w:rsidRPr="00FA0D37" w:rsidRDefault="00394471" w:rsidP="00FA0D37">
      <w:pPr>
        <w:pStyle w:val="PL"/>
        <w:rPr>
          <w:color w:val="808080"/>
        </w:rPr>
      </w:pPr>
      <w:r w:rsidRPr="00FA0D37">
        <w:rPr>
          <w:color w:val="808080"/>
        </w:rPr>
        <w:t>-- TAG-PTRS-UPLINKCONFIG-START</w:t>
      </w:r>
    </w:p>
    <w:p w14:paraId="3D112007" w14:textId="77777777" w:rsidR="00394471" w:rsidRPr="00FA0D37" w:rsidRDefault="00394471" w:rsidP="00FA0D37">
      <w:pPr>
        <w:pStyle w:val="PL"/>
      </w:pPr>
    </w:p>
    <w:p w14:paraId="55068D93" w14:textId="77777777" w:rsidR="00394471" w:rsidRPr="00FA0D37" w:rsidRDefault="00394471" w:rsidP="00FA0D37">
      <w:pPr>
        <w:pStyle w:val="PL"/>
      </w:pPr>
      <w:r w:rsidRPr="00FA0D37">
        <w:t xml:space="preserve">PTRS-UplinkConfig ::=                   </w:t>
      </w:r>
      <w:r w:rsidRPr="00FA0D37">
        <w:rPr>
          <w:color w:val="993366"/>
        </w:rPr>
        <w:t>SEQUENCE</w:t>
      </w:r>
      <w:r w:rsidRPr="00FA0D37">
        <w:t xml:space="preserve"> {</w:t>
      </w:r>
    </w:p>
    <w:p w14:paraId="777222DB" w14:textId="77777777" w:rsidR="00394471" w:rsidRPr="00FA0D37" w:rsidRDefault="00394471" w:rsidP="00FA0D37">
      <w:pPr>
        <w:pStyle w:val="PL"/>
      </w:pPr>
      <w:r w:rsidRPr="00FA0D37">
        <w:t xml:space="preserve">    transformPrecoderDisabled               </w:t>
      </w:r>
      <w:r w:rsidRPr="00FA0D37">
        <w:rPr>
          <w:color w:val="993366"/>
        </w:rPr>
        <w:t>SEQUENCE</w:t>
      </w:r>
      <w:r w:rsidRPr="00FA0D37">
        <w:t xml:space="preserve"> {</w:t>
      </w:r>
    </w:p>
    <w:p w14:paraId="70B01F52" w14:textId="77777777" w:rsidR="00394471" w:rsidRPr="00FA0D37" w:rsidRDefault="00394471" w:rsidP="00FA0D37">
      <w:pPr>
        <w:pStyle w:val="PL"/>
        <w:rPr>
          <w:color w:val="808080"/>
        </w:rPr>
      </w:pPr>
      <w:r w:rsidRPr="00FA0D37">
        <w:t xml:space="preserve">        frequencyDensity                    </w:t>
      </w:r>
      <w:r w:rsidRPr="00FA0D37">
        <w:rPr>
          <w:color w:val="993366"/>
        </w:rPr>
        <w:t>SEQUENCE</w:t>
      </w:r>
      <w:r w:rsidRPr="00FA0D37">
        <w:t xml:space="preserve"> (</w:t>
      </w:r>
      <w:r w:rsidRPr="00FA0D37">
        <w:rPr>
          <w:color w:val="993366"/>
        </w:rPr>
        <w:t>SIZE</w:t>
      </w:r>
      <w:r w:rsidRPr="00FA0D37">
        <w:t xml:space="preserve"> (2))</w:t>
      </w:r>
      <w:r w:rsidRPr="00FA0D37">
        <w:rPr>
          <w:color w:val="993366"/>
        </w:rPr>
        <w:t xml:space="preserve"> OF</w:t>
      </w:r>
      <w:r w:rsidRPr="00FA0D37">
        <w:t xml:space="preserve"> </w:t>
      </w:r>
      <w:r w:rsidRPr="00FA0D37">
        <w:rPr>
          <w:color w:val="993366"/>
        </w:rPr>
        <w:t>INTEGER</w:t>
      </w:r>
      <w:r w:rsidRPr="00FA0D37">
        <w:t xml:space="preserve"> (1..276)                 </w:t>
      </w:r>
      <w:r w:rsidRPr="00FA0D37">
        <w:rPr>
          <w:color w:val="993366"/>
        </w:rPr>
        <w:t>OPTIONAL</w:t>
      </w:r>
      <w:r w:rsidRPr="00FA0D37">
        <w:t xml:space="preserve">,   </w:t>
      </w:r>
      <w:r w:rsidRPr="00FA0D37">
        <w:rPr>
          <w:color w:val="808080"/>
        </w:rPr>
        <w:t>-- Need S</w:t>
      </w:r>
    </w:p>
    <w:p w14:paraId="2FAE7F0E" w14:textId="77777777" w:rsidR="00394471" w:rsidRPr="00FA0D37" w:rsidRDefault="00394471" w:rsidP="00FA0D37">
      <w:pPr>
        <w:pStyle w:val="PL"/>
        <w:rPr>
          <w:color w:val="808080"/>
        </w:rPr>
      </w:pPr>
      <w:r w:rsidRPr="00FA0D37">
        <w:t xml:space="preserve">        timeDensity                         </w:t>
      </w:r>
      <w:r w:rsidRPr="00FA0D37">
        <w:rPr>
          <w:color w:val="993366"/>
        </w:rPr>
        <w:t>SEQUENCE</w:t>
      </w:r>
      <w:r w:rsidRPr="00FA0D37">
        <w:t xml:space="preserve"> (</w:t>
      </w:r>
      <w:r w:rsidRPr="00FA0D37">
        <w:rPr>
          <w:color w:val="993366"/>
        </w:rPr>
        <w:t>SIZE</w:t>
      </w:r>
      <w:r w:rsidRPr="00FA0D37">
        <w:t xml:space="preserve"> (3))</w:t>
      </w:r>
      <w:r w:rsidRPr="00FA0D37">
        <w:rPr>
          <w:color w:val="993366"/>
        </w:rPr>
        <w:t xml:space="preserve"> OF</w:t>
      </w:r>
      <w:r w:rsidRPr="00FA0D37">
        <w:t xml:space="preserve"> </w:t>
      </w:r>
      <w:r w:rsidRPr="00FA0D37">
        <w:rPr>
          <w:color w:val="993366"/>
        </w:rPr>
        <w:t>INTEGER</w:t>
      </w:r>
      <w:r w:rsidRPr="00FA0D37">
        <w:t xml:space="preserve"> (0..29)                  </w:t>
      </w:r>
      <w:r w:rsidRPr="00FA0D37">
        <w:rPr>
          <w:color w:val="993366"/>
        </w:rPr>
        <w:t>OPTIONAL</w:t>
      </w:r>
      <w:r w:rsidRPr="00FA0D37">
        <w:t xml:space="preserve">,   </w:t>
      </w:r>
      <w:r w:rsidRPr="00FA0D37">
        <w:rPr>
          <w:color w:val="808080"/>
        </w:rPr>
        <w:t>-- Need S</w:t>
      </w:r>
    </w:p>
    <w:p w14:paraId="544D1613" w14:textId="77777777" w:rsidR="00394471" w:rsidRPr="00FA0D37" w:rsidRDefault="00394471" w:rsidP="00FA0D37">
      <w:pPr>
        <w:pStyle w:val="PL"/>
      </w:pPr>
      <w:r w:rsidRPr="00FA0D37">
        <w:t xml:space="preserve">        maxNrofPorts                        </w:t>
      </w:r>
      <w:r w:rsidRPr="00FA0D37">
        <w:rPr>
          <w:color w:val="993366"/>
        </w:rPr>
        <w:t>ENUMERATED</w:t>
      </w:r>
      <w:r w:rsidRPr="00FA0D37">
        <w:t xml:space="preserve"> {n1, n2},</w:t>
      </w:r>
    </w:p>
    <w:p w14:paraId="2C54B683" w14:textId="77777777" w:rsidR="00394471" w:rsidRPr="00FA0D37" w:rsidRDefault="00394471" w:rsidP="00FA0D37">
      <w:pPr>
        <w:pStyle w:val="PL"/>
        <w:rPr>
          <w:color w:val="808080"/>
        </w:rPr>
      </w:pPr>
      <w:r w:rsidRPr="00FA0D37">
        <w:t xml:space="preserve">        resourceElementOffset               </w:t>
      </w:r>
      <w:r w:rsidRPr="00FA0D37">
        <w:rPr>
          <w:color w:val="993366"/>
        </w:rPr>
        <w:t>ENUMERATED</w:t>
      </w:r>
      <w:r w:rsidRPr="00FA0D37">
        <w:t xml:space="preserve"> {offset01, offset10, offset11 }              </w:t>
      </w:r>
      <w:r w:rsidRPr="00FA0D37">
        <w:rPr>
          <w:color w:val="993366"/>
        </w:rPr>
        <w:t>OPTIONAL</w:t>
      </w:r>
      <w:r w:rsidRPr="00FA0D37">
        <w:t xml:space="preserve">,   </w:t>
      </w:r>
      <w:r w:rsidRPr="00FA0D37">
        <w:rPr>
          <w:color w:val="808080"/>
        </w:rPr>
        <w:t>-- Need S</w:t>
      </w:r>
    </w:p>
    <w:p w14:paraId="48EA90BD" w14:textId="77777777" w:rsidR="00394471" w:rsidRPr="00FA0D37" w:rsidRDefault="00394471" w:rsidP="00FA0D37">
      <w:pPr>
        <w:pStyle w:val="PL"/>
      </w:pPr>
      <w:r w:rsidRPr="00FA0D37">
        <w:t xml:space="preserve">        ptrs-Power                          </w:t>
      </w:r>
      <w:r w:rsidRPr="00FA0D37">
        <w:rPr>
          <w:color w:val="993366"/>
        </w:rPr>
        <w:t>ENUMERATED</w:t>
      </w:r>
      <w:r w:rsidRPr="00FA0D37">
        <w:t xml:space="preserve"> {p00, p01, p10, p11}</w:t>
      </w:r>
    </w:p>
    <w:p w14:paraId="69BF71A2"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70773EEC" w14:textId="77777777" w:rsidR="00394471" w:rsidRPr="00FA0D37" w:rsidRDefault="00394471" w:rsidP="00FA0D37">
      <w:pPr>
        <w:pStyle w:val="PL"/>
      </w:pPr>
      <w:r w:rsidRPr="00FA0D37">
        <w:t xml:space="preserve">    transformPrecoderEnabled                </w:t>
      </w:r>
      <w:r w:rsidRPr="00FA0D37">
        <w:rPr>
          <w:color w:val="993366"/>
        </w:rPr>
        <w:t>SEQUENCE</w:t>
      </w:r>
      <w:r w:rsidRPr="00FA0D37">
        <w:t xml:space="preserve"> {</w:t>
      </w:r>
    </w:p>
    <w:p w14:paraId="29B5D33B" w14:textId="77777777" w:rsidR="00394471" w:rsidRPr="00FA0D37" w:rsidRDefault="00394471" w:rsidP="00FA0D37">
      <w:pPr>
        <w:pStyle w:val="PL"/>
      </w:pPr>
      <w:r w:rsidRPr="00FA0D37">
        <w:t xml:space="preserve">        sampleDensity                           </w:t>
      </w:r>
      <w:r w:rsidRPr="00FA0D37">
        <w:rPr>
          <w:color w:val="993366"/>
        </w:rPr>
        <w:t>SEQUENCE</w:t>
      </w:r>
      <w:r w:rsidRPr="00FA0D37">
        <w:t xml:space="preserve"> (</w:t>
      </w:r>
      <w:r w:rsidRPr="00FA0D37">
        <w:rPr>
          <w:color w:val="993366"/>
        </w:rPr>
        <w:t>SIZE</w:t>
      </w:r>
      <w:r w:rsidRPr="00FA0D37">
        <w:t xml:space="preserve"> (5))</w:t>
      </w:r>
      <w:r w:rsidRPr="00FA0D37">
        <w:rPr>
          <w:color w:val="993366"/>
        </w:rPr>
        <w:t xml:space="preserve"> OF</w:t>
      </w:r>
      <w:r w:rsidRPr="00FA0D37">
        <w:t xml:space="preserve"> </w:t>
      </w:r>
      <w:r w:rsidRPr="00FA0D37">
        <w:rPr>
          <w:color w:val="993366"/>
        </w:rPr>
        <w:t>INTEGER</w:t>
      </w:r>
      <w:r w:rsidRPr="00FA0D37">
        <w:t xml:space="preserve"> (1..276),</w:t>
      </w:r>
    </w:p>
    <w:p w14:paraId="3F753CB3" w14:textId="77777777" w:rsidR="00394471" w:rsidRPr="00FA0D37" w:rsidRDefault="00394471" w:rsidP="00FA0D37">
      <w:pPr>
        <w:pStyle w:val="PL"/>
        <w:rPr>
          <w:color w:val="808080"/>
        </w:rPr>
      </w:pPr>
      <w:r w:rsidRPr="00FA0D37">
        <w:t xml:space="preserve">        timeDensityTransformPrecoding           </w:t>
      </w:r>
      <w:r w:rsidRPr="00FA0D37">
        <w:rPr>
          <w:color w:val="993366"/>
        </w:rPr>
        <w:t>ENUMERATED</w:t>
      </w:r>
      <w:r w:rsidRPr="00FA0D37">
        <w:t xml:space="preserve"> {d2}                                     </w:t>
      </w:r>
      <w:r w:rsidRPr="00FA0D37">
        <w:rPr>
          <w:color w:val="993366"/>
        </w:rPr>
        <w:t>OPTIONAL</w:t>
      </w:r>
      <w:r w:rsidRPr="00FA0D37">
        <w:t xml:space="preserve">    </w:t>
      </w:r>
      <w:r w:rsidRPr="00FA0D37">
        <w:rPr>
          <w:color w:val="808080"/>
        </w:rPr>
        <w:t>-- Need S</w:t>
      </w:r>
    </w:p>
    <w:p w14:paraId="0FA676B2"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00245213" w14:textId="77777777" w:rsidR="00394471" w:rsidRPr="00FA0D37" w:rsidRDefault="00394471" w:rsidP="00FA0D37">
      <w:pPr>
        <w:pStyle w:val="PL"/>
      </w:pPr>
      <w:r w:rsidRPr="00FA0D37">
        <w:t xml:space="preserve">    ...</w:t>
      </w:r>
    </w:p>
    <w:p w14:paraId="0C6D5A5A" w14:textId="77777777" w:rsidR="00394471" w:rsidRPr="00FA0D37" w:rsidRDefault="00394471" w:rsidP="00FA0D37">
      <w:pPr>
        <w:pStyle w:val="PL"/>
      </w:pPr>
      <w:r w:rsidRPr="00FA0D37">
        <w:t>}</w:t>
      </w:r>
    </w:p>
    <w:p w14:paraId="5A2FF20E" w14:textId="77777777" w:rsidR="00394471" w:rsidRPr="00FA0D37" w:rsidRDefault="00394471" w:rsidP="00FA0D37">
      <w:pPr>
        <w:pStyle w:val="PL"/>
      </w:pPr>
    </w:p>
    <w:p w14:paraId="7C65F69D" w14:textId="77777777" w:rsidR="00394471" w:rsidRPr="00FA0D37" w:rsidRDefault="00394471" w:rsidP="00FA0D37">
      <w:pPr>
        <w:pStyle w:val="PL"/>
        <w:rPr>
          <w:color w:val="808080"/>
        </w:rPr>
      </w:pPr>
      <w:r w:rsidRPr="00FA0D37">
        <w:rPr>
          <w:color w:val="808080"/>
        </w:rPr>
        <w:t>-- TAG-PTRS-UPLINKCONFIG-STOP</w:t>
      </w:r>
    </w:p>
    <w:p w14:paraId="6EB2D965" w14:textId="77777777" w:rsidR="00394471" w:rsidRPr="00FA0D37" w:rsidRDefault="00394471" w:rsidP="00FA0D37">
      <w:pPr>
        <w:pStyle w:val="PL"/>
        <w:rPr>
          <w:color w:val="808080"/>
        </w:rPr>
      </w:pPr>
      <w:r w:rsidRPr="00FA0D37">
        <w:rPr>
          <w:color w:val="808080"/>
        </w:rPr>
        <w:t>-- ASN1STOP</w:t>
      </w:r>
    </w:p>
    <w:p w14:paraId="5E4AFB5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FA0D37" w:rsidRDefault="00394471" w:rsidP="00964CC4">
            <w:pPr>
              <w:pStyle w:val="TAH"/>
              <w:rPr>
                <w:szCs w:val="22"/>
                <w:lang w:eastAsia="sv-SE"/>
              </w:rPr>
            </w:pPr>
            <w:r w:rsidRPr="00FA0D37">
              <w:rPr>
                <w:i/>
                <w:szCs w:val="22"/>
                <w:lang w:eastAsia="sv-SE"/>
              </w:rPr>
              <w:lastRenderedPageBreak/>
              <w:t xml:space="preserve">PTRS-UplinkConfig </w:t>
            </w:r>
            <w:r w:rsidRPr="00FA0D37">
              <w:rPr>
                <w:szCs w:val="22"/>
                <w:lang w:eastAsia="sv-SE"/>
              </w:rPr>
              <w:t>field descriptions</w:t>
            </w:r>
          </w:p>
        </w:tc>
      </w:tr>
      <w:tr w:rsidR="005C7FF4" w:rsidRPr="00FA0D37"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FA0D37" w:rsidRDefault="00394471" w:rsidP="00964CC4">
            <w:pPr>
              <w:pStyle w:val="TAL"/>
              <w:rPr>
                <w:szCs w:val="22"/>
                <w:lang w:eastAsia="sv-SE"/>
              </w:rPr>
            </w:pPr>
            <w:r w:rsidRPr="00FA0D37">
              <w:rPr>
                <w:b/>
                <w:i/>
                <w:szCs w:val="22"/>
                <w:lang w:eastAsia="sv-SE"/>
              </w:rPr>
              <w:t>frequencyDensity</w:t>
            </w:r>
          </w:p>
          <w:p w14:paraId="6098D6E8" w14:textId="77777777" w:rsidR="00394471" w:rsidRPr="00FA0D37" w:rsidRDefault="00394471" w:rsidP="00964CC4">
            <w:pPr>
              <w:pStyle w:val="TAL"/>
              <w:rPr>
                <w:szCs w:val="22"/>
                <w:lang w:eastAsia="sv-SE"/>
              </w:rPr>
            </w:pPr>
            <w:r w:rsidRPr="00FA0D37">
              <w:rPr>
                <w:szCs w:val="22"/>
                <w:lang w:eastAsia="sv-SE"/>
              </w:rPr>
              <w:t>Presence and frequency density of UL PT-RS for CP-OFDM waveform as a function of scheduled BW If the field is absent, the UE uses K_PT-RS = 2 (see TS 38.214 [19], clause 6.1).</w:t>
            </w:r>
          </w:p>
        </w:tc>
      </w:tr>
      <w:tr w:rsidR="005C7FF4" w:rsidRPr="00FA0D37"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7777777" w:rsidR="00394471" w:rsidRPr="00FA0D37" w:rsidRDefault="00394471" w:rsidP="00964CC4">
            <w:pPr>
              <w:pStyle w:val="TAL"/>
              <w:rPr>
                <w:szCs w:val="22"/>
                <w:lang w:eastAsia="sv-SE"/>
              </w:rPr>
            </w:pPr>
            <w:r w:rsidRPr="00FA0D37">
              <w:rPr>
                <w:b/>
                <w:i/>
                <w:szCs w:val="22"/>
                <w:lang w:eastAsia="sv-SE"/>
              </w:rPr>
              <w:t>maxNrofPorts</w:t>
            </w:r>
          </w:p>
          <w:p w14:paraId="53485103" w14:textId="77777777" w:rsidR="00394471" w:rsidRPr="00FA0D37" w:rsidRDefault="00394471" w:rsidP="00964CC4">
            <w:pPr>
              <w:pStyle w:val="TAL"/>
              <w:rPr>
                <w:szCs w:val="22"/>
                <w:lang w:eastAsia="sv-SE"/>
              </w:rPr>
            </w:pPr>
            <w:r w:rsidRPr="00FA0D37">
              <w:rPr>
                <w:szCs w:val="22"/>
                <w:lang w:eastAsia="sv-SE"/>
              </w:rPr>
              <w:t>The maximum number of UL PTRS ports for CP-OFDM (see TS 38.214 [19], clause 6.2.3.1).</w:t>
            </w:r>
          </w:p>
        </w:tc>
      </w:tr>
      <w:tr w:rsidR="005C7FF4" w:rsidRPr="00FA0D37"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FA0D37" w:rsidRDefault="00394471" w:rsidP="00964CC4">
            <w:pPr>
              <w:pStyle w:val="TAL"/>
              <w:rPr>
                <w:szCs w:val="22"/>
                <w:lang w:eastAsia="sv-SE"/>
              </w:rPr>
            </w:pPr>
            <w:r w:rsidRPr="00FA0D37">
              <w:rPr>
                <w:b/>
                <w:i/>
                <w:szCs w:val="22"/>
                <w:lang w:eastAsia="sv-SE"/>
              </w:rPr>
              <w:t>ptrs-Power</w:t>
            </w:r>
          </w:p>
          <w:p w14:paraId="3FD3E1AD" w14:textId="77777777" w:rsidR="00394471" w:rsidRPr="00FA0D37" w:rsidRDefault="00394471" w:rsidP="00964CC4">
            <w:pPr>
              <w:pStyle w:val="TAL"/>
              <w:rPr>
                <w:szCs w:val="22"/>
                <w:lang w:eastAsia="sv-SE"/>
              </w:rPr>
            </w:pPr>
            <w:r w:rsidRPr="00FA0D37">
              <w:rPr>
                <w:szCs w:val="22"/>
                <w:lang w:eastAsia="sv-SE"/>
              </w:rPr>
              <w:t>UL PTRS power boosting factor per PTRS port (see TS 38.214 [19], clause 6.1, table 6.2.3.1.3).</w:t>
            </w:r>
          </w:p>
        </w:tc>
      </w:tr>
      <w:tr w:rsidR="005C7FF4" w:rsidRPr="00FA0D37"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FA0D37" w:rsidRDefault="00394471" w:rsidP="00964CC4">
            <w:pPr>
              <w:pStyle w:val="TAL"/>
              <w:rPr>
                <w:szCs w:val="22"/>
                <w:lang w:eastAsia="sv-SE"/>
              </w:rPr>
            </w:pPr>
            <w:r w:rsidRPr="00FA0D37">
              <w:rPr>
                <w:b/>
                <w:i/>
                <w:szCs w:val="22"/>
                <w:lang w:eastAsia="sv-SE"/>
              </w:rPr>
              <w:t>resourceElementOffset</w:t>
            </w:r>
          </w:p>
          <w:p w14:paraId="15DCBBB3" w14:textId="77777777" w:rsidR="00394471" w:rsidRPr="00FA0D37" w:rsidRDefault="00394471" w:rsidP="00964CC4">
            <w:pPr>
              <w:pStyle w:val="TAL"/>
              <w:rPr>
                <w:szCs w:val="22"/>
                <w:lang w:eastAsia="sv-SE"/>
              </w:rPr>
            </w:pPr>
            <w:r w:rsidRPr="00FA0D37">
              <w:rPr>
                <w:szCs w:val="22"/>
                <w:lang w:eastAsia="sv-SE"/>
              </w:rPr>
              <w:t>Indicates the subcarrier offset for UL PTRS for CP-OFDM. If the field is absent, the UE applies the value offset00 (see TS 38.211 [16], clause 6.4.1.2.2).</w:t>
            </w:r>
          </w:p>
        </w:tc>
      </w:tr>
      <w:tr w:rsidR="005C7FF4" w:rsidRPr="00FA0D37"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FA0D37" w:rsidRDefault="00394471" w:rsidP="00964CC4">
            <w:pPr>
              <w:pStyle w:val="TAL"/>
              <w:rPr>
                <w:szCs w:val="22"/>
                <w:lang w:eastAsia="sv-SE"/>
              </w:rPr>
            </w:pPr>
            <w:r w:rsidRPr="00FA0D37">
              <w:rPr>
                <w:b/>
                <w:i/>
                <w:szCs w:val="22"/>
                <w:lang w:eastAsia="sv-SE"/>
              </w:rPr>
              <w:t>sampleDensity</w:t>
            </w:r>
          </w:p>
          <w:p w14:paraId="0C2CBF53" w14:textId="77777777" w:rsidR="00394471" w:rsidRPr="00FA0D37" w:rsidRDefault="00394471" w:rsidP="00964CC4">
            <w:pPr>
              <w:pStyle w:val="TAL"/>
              <w:rPr>
                <w:szCs w:val="22"/>
                <w:lang w:eastAsia="sv-SE"/>
              </w:rPr>
            </w:pPr>
            <w:r w:rsidRPr="00FA0D37">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5C7FF4" w:rsidRPr="00FA0D37"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FA0D37" w:rsidRDefault="00394471" w:rsidP="00964CC4">
            <w:pPr>
              <w:pStyle w:val="TAL"/>
              <w:rPr>
                <w:szCs w:val="22"/>
                <w:lang w:eastAsia="sv-SE"/>
              </w:rPr>
            </w:pPr>
            <w:r w:rsidRPr="00FA0D37">
              <w:rPr>
                <w:b/>
                <w:i/>
                <w:szCs w:val="22"/>
                <w:lang w:eastAsia="sv-SE"/>
              </w:rPr>
              <w:t>timeDensity</w:t>
            </w:r>
          </w:p>
          <w:p w14:paraId="51B122EA" w14:textId="77777777" w:rsidR="00394471" w:rsidRPr="00FA0D37" w:rsidRDefault="00394471" w:rsidP="00964CC4">
            <w:pPr>
              <w:pStyle w:val="TAL"/>
              <w:rPr>
                <w:szCs w:val="22"/>
                <w:lang w:eastAsia="sv-SE"/>
              </w:rPr>
            </w:pPr>
            <w:r w:rsidRPr="00FA0D37">
              <w:rPr>
                <w:szCs w:val="22"/>
                <w:lang w:eastAsia="sv-SE"/>
              </w:rPr>
              <w:t>Presence and time density of UL PT-RS for CP-OFDM waveform as a function of MCS If the field is absent, the UE uses L_PT-RS = 1 (see TS 38.214 [19], clause 6.1).</w:t>
            </w:r>
          </w:p>
        </w:tc>
      </w:tr>
      <w:tr w:rsidR="005C7FF4" w:rsidRPr="00FA0D37"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FA0D37" w:rsidRDefault="00394471" w:rsidP="00964CC4">
            <w:pPr>
              <w:pStyle w:val="TAL"/>
              <w:rPr>
                <w:szCs w:val="22"/>
                <w:lang w:eastAsia="sv-SE"/>
              </w:rPr>
            </w:pPr>
            <w:r w:rsidRPr="00FA0D37">
              <w:rPr>
                <w:b/>
                <w:i/>
                <w:szCs w:val="22"/>
                <w:lang w:eastAsia="sv-SE"/>
              </w:rPr>
              <w:t>timeDensityTransformPrecoding</w:t>
            </w:r>
          </w:p>
          <w:p w14:paraId="32540254" w14:textId="77777777" w:rsidR="00394471" w:rsidRPr="00FA0D37" w:rsidRDefault="00394471" w:rsidP="00964CC4">
            <w:pPr>
              <w:pStyle w:val="TAL"/>
              <w:rPr>
                <w:szCs w:val="22"/>
                <w:lang w:eastAsia="sv-SE"/>
              </w:rPr>
            </w:pPr>
            <w:r w:rsidRPr="00FA0D37">
              <w:rPr>
                <w:szCs w:val="22"/>
                <w:lang w:eastAsia="sv-SE"/>
              </w:rPr>
              <w:t>Time density (OFDM symbol level) of PT-RS for DFT-s-OFDM. If the field is absent, the UE applies value d1 (see TS 38.214 [19], clause 6.1).</w:t>
            </w:r>
          </w:p>
        </w:tc>
      </w:tr>
      <w:tr w:rsidR="005C7FF4" w:rsidRPr="00FA0D37"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FA0D37" w:rsidRDefault="00394471" w:rsidP="00964CC4">
            <w:pPr>
              <w:pStyle w:val="TAL"/>
              <w:rPr>
                <w:b/>
                <w:i/>
                <w:szCs w:val="22"/>
                <w:lang w:eastAsia="sv-SE"/>
              </w:rPr>
            </w:pPr>
            <w:r w:rsidRPr="00FA0D37">
              <w:rPr>
                <w:b/>
                <w:i/>
                <w:szCs w:val="22"/>
                <w:lang w:eastAsia="sv-SE"/>
              </w:rPr>
              <w:t>transformPrecoderDisabled</w:t>
            </w:r>
          </w:p>
          <w:p w14:paraId="6EE1A2A6" w14:textId="77777777" w:rsidR="00394471" w:rsidRPr="00FA0D37" w:rsidRDefault="00394471" w:rsidP="00964CC4">
            <w:pPr>
              <w:pStyle w:val="TAL"/>
              <w:rPr>
                <w:szCs w:val="22"/>
                <w:lang w:eastAsia="sv-SE"/>
              </w:rPr>
            </w:pPr>
            <w:r w:rsidRPr="00FA0D37">
              <w:rPr>
                <w:szCs w:val="22"/>
                <w:lang w:eastAsia="sv-SE"/>
              </w:rPr>
              <w:t>Configuration of UL PTRS without transform precoder (with CP-OFDM).</w:t>
            </w:r>
          </w:p>
        </w:tc>
      </w:tr>
      <w:tr w:rsidR="00394471" w:rsidRPr="00FA0D37"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FA0D37" w:rsidRDefault="00394471" w:rsidP="00964CC4">
            <w:pPr>
              <w:pStyle w:val="TAL"/>
              <w:rPr>
                <w:b/>
                <w:i/>
                <w:szCs w:val="22"/>
                <w:lang w:eastAsia="sv-SE"/>
              </w:rPr>
            </w:pPr>
            <w:r w:rsidRPr="00FA0D37">
              <w:rPr>
                <w:b/>
                <w:i/>
                <w:szCs w:val="22"/>
                <w:lang w:eastAsia="sv-SE"/>
              </w:rPr>
              <w:t>transformPrecoderEnabled</w:t>
            </w:r>
          </w:p>
          <w:p w14:paraId="6A20F45B" w14:textId="77777777" w:rsidR="00394471" w:rsidRPr="00FA0D37" w:rsidRDefault="00394471" w:rsidP="00964CC4">
            <w:pPr>
              <w:pStyle w:val="TAL"/>
              <w:rPr>
                <w:szCs w:val="22"/>
                <w:lang w:eastAsia="sv-SE"/>
              </w:rPr>
            </w:pPr>
            <w:r w:rsidRPr="00FA0D37">
              <w:rPr>
                <w:szCs w:val="22"/>
                <w:lang w:eastAsia="sv-SE"/>
              </w:rPr>
              <w:t>Configuration of UL PTRS with transform precoder (DFT-S-OFDM).</w:t>
            </w:r>
          </w:p>
        </w:tc>
      </w:tr>
    </w:tbl>
    <w:p w14:paraId="192B0759" w14:textId="77777777" w:rsidR="00394471" w:rsidRPr="00FA0D37" w:rsidRDefault="00394471" w:rsidP="00394471"/>
    <w:p w14:paraId="22C58ED1" w14:textId="77777777" w:rsidR="00394471" w:rsidRPr="00FA0D37" w:rsidRDefault="00394471" w:rsidP="00394471">
      <w:pPr>
        <w:pStyle w:val="4"/>
      </w:pPr>
      <w:bookmarkStart w:id="1243" w:name="_Toc60777314"/>
      <w:bookmarkStart w:id="1244" w:name="_Toc146781393"/>
      <w:bookmarkStart w:id="1245" w:name="_Hlk54216005"/>
      <w:r w:rsidRPr="00FA0D37">
        <w:t>–</w:t>
      </w:r>
      <w:r w:rsidRPr="00FA0D37">
        <w:tab/>
      </w:r>
      <w:r w:rsidRPr="00FA0D37">
        <w:rPr>
          <w:i/>
        </w:rPr>
        <w:t>PUCCH-Config</w:t>
      </w:r>
      <w:bookmarkEnd w:id="1243"/>
      <w:bookmarkEnd w:id="1244"/>
    </w:p>
    <w:p w14:paraId="1004A538" w14:textId="77777777" w:rsidR="00394471" w:rsidRPr="00FA0D37" w:rsidRDefault="00394471" w:rsidP="00394471">
      <w:r w:rsidRPr="00FA0D37">
        <w:t xml:space="preserve">The IE </w:t>
      </w:r>
      <w:r w:rsidRPr="00FA0D37">
        <w:rPr>
          <w:i/>
        </w:rPr>
        <w:t>PUCCH-Config</w:t>
      </w:r>
      <w:r w:rsidRPr="00FA0D37">
        <w:t xml:space="preserve"> is used to configure UE specific PUCCH parameters (per BWP).</w:t>
      </w:r>
    </w:p>
    <w:p w14:paraId="1D431F27" w14:textId="77777777" w:rsidR="00394471" w:rsidRPr="00FA0D37" w:rsidRDefault="00394471" w:rsidP="00394471">
      <w:pPr>
        <w:pStyle w:val="TH"/>
      </w:pPr>
      <w:r w:rsidRPr="00FA0D37">
        <w:rPr>
          <w:i/>
        </w:rPr>
        <w:t>PUCCH-Config</w:t>
      </w:r>
      <w:r w:rsidRPr="00FA0D37">
        <w:t xml:space="preserve"> information element</w:t>
      </w:r>
    </w:p>
    <w:p w14:paraId="330ECB6C" w14:textId="77777777" w:rsidR="00394471" w:rsidRPr="00FA0D37" w:rsidRDefault="00394471" w:rsidP="00FA0D37">
      <w:pPr>
        <w:pStyle w:val="PL"/>
        <w:rPr>
          <w:color w:val="808080"/>
        </w:rPr>
      </w:pPr>
      <w:r w:rsidRPr="00FA0D37">
        <w:rPr>
          <w:color w:val="808080"/>
        </w:rPr>
        <w:t>-- ASN1START</w:t>
      </w:r>
    </w:p>
    <w:p w14:paraId="599EC72C" w14:textId="77777777" w:rsidR="00394471" w:rsidRPr="00FA0D37" w:rsidRDefault="00394471" w:rsidP="00FA0D37">
      <w:pPr>
        <w:pStyle w:val="PL"/>
        <w:rPr>
          <w:color w:val="808080"/>
        </w:rPr>
      </w:pPr>
      <w:r w:rsidRPr="00FA0D37">
        <w:rPr>
          <w:color w:val="808080"/>
        </w:rPr>
        <w:t>-- TAG-PUCCH-CONFIG-START</w:t>
      </w:r>
    </w:p>
    <w:p w14:paraId="3B4BD420" w14:textId="77777777" w:rsidR="00394471" w:rsidRPr="00FA0D37" w:rsidRDefault="00394471" w:rsidP="00FA0D37">
      <w:pPr>
        <w:pStyle w:val="PL"/>
      </w:pPr>
    </w:p>
    <w:p w14:paraId="6715B41A" w14:textId="77777777" w:rsidR="00394471" w:rsidRPr="00FA0D37" w:rsidRDefault="00394471" w:rsidP="00FA0D37">
      <w:pPr>
        <w:pStyle w:val="PL"/>
      </w:pPr>
      <w:r w:rsidRPr="00FA0D37">
        <w:t xml:space="preserve">PUCCH-Config ::=                        </w:t>
      </w:r>
      <w:r w:rsidRPr="00FA0D37">
        <w:rPr>
          <w:color w:val="993366"/>
        </w:rPr>
        <w:t>SEQUENCE</w:t>
      </w:r>
      <w:r w:rsidRPr="00FA0D37">
        <w:t xml:space="preserve"> {</w:t>
      </w:r>
    </w:p>
    <w:p w14:paraId="46AB398A" w14:textId="77777777" w:rsidR="00394471" w:rsidRPr="00FA0D37" w:rsidRDefault="00394471" w:rsidP="00FA0D37">
      <w:pPr>
        <w:pStyle w:val="PL"/>
        <w:rPr>
          <w:color w:val="808080"/>
        </w:rPr>
      </w:pPr>
      <w:r w:rsidRPr="00FA0D37">
        <w:t xml:space="preserve">    resourceSetToAddModList                 </w:t>
      </w:r>
      <w:r w:rsidRPr="00FA0D37">
        <w:rPr>
          <w:color w:val="993366"/>
        </w:rPr>
        <w:t>SEQUENCE</w:t>
      </w:r>
      <w:r w:rsidRPr="00FA0D37">
        <w:t xml:space="preserve"> (</w:t>
      </w:r>
      <w:r w:rsidRPr="00FA0D37">
        <w:rPr>
          <w:color w:val="993366"/>
        </w:rPr>
        <w:t>SIZE</w:t>
      </w:r>
      <w:r w:rsidRPr="00FA0D37">
        <w:t xml:space="preserve"> (1..maxNrofPUCCH-ResourceSets))</w:t>
      </w:r>
      <w:r w:rsidRPr="00FA0D37">
        <w:rPr>
          <w:color w:val="993366"/>
        </w:rPr>
        <w:t xml:space="preserve"> OF</w:t>
      </w:r>
      <w:r w:rsidRPr="00FA0D37">
        <w:t xml:space="preserve"> PUCCH-ResourceSet   </w:t>
      </w:r>
      <w:r w:rsidRPr="00FA0D37">
        <w:rPr>
          <w:color w:val="993366"/>
        </w:rPr>
        <w:t>OPTIONAL</w:t>
      </w:r>
      <w:r w:rsidRPr="00FA0D37">
        <w:t xml:space="preserve">, </w:t>
      </w:r>
      <w:r w:rsidRPr="00FA0D37">
        <w:rPr>
          <w:color w:val="808080"/>
        </w:rPr>
        <w:t>-- Need N</w:t>
      </w:r>
    </w:p>
    <w:p w14:paraId="31CB32C8" w14:textId="77777777" w:rsidR="00394471" w:rsidRPr="00FA0D37" w:rsidRDefault="00394471" w:rsidP="00FA0D37">
      <w:pPr>
        <w:pStyle w:val="PL"/>
        <w:rPr>
          <w:color w:val="808080"/>
        </w:rPr>
      </w:pPr>
      <w:r w:rsidRPr="00FA0D37">
        <w:t xml:space="preserve">    resourceSetToReleaseList                </w:t>
      </w:r>
      <w:r w:rsidRPr="00FA0D37">
        <w:rPr>
          <w:color w:val="993366"/>
        </w:rPr>
        <w:t>SEQUENCE</w:t>
      </w:r>
      <w:r w:rsidRPr="00FA0D37">
        <w:t xml:space="preserve"> (</w:t>
      </w:r>
      <w:r w:rsidRPr="00FA0D37">
        <w:rPr>
          <w:color w:val="993366"/>
        </w:rPr>
        <w:t>SIZE</w:t>
      </w:r>
      <w:r w:rsidRPr="00FA0D37">
        <w:t xml:space="preserve"> (1..maxNrofPUCCH-ResourceSets))</w:t>
      </w:r>
      <w:r w:rsidRPr="00FA0D37">
        <w:rPr>
          <w:color w:val="993366"/>
        </w:rPr>
        <w:t xml:space="preserve"> OF</w:t>
      </w:r>
      <w:r w:rsidRPr="00FA0D37">
        <w:t xml:space="preserve"> PUCCH-ResourceSetId </w:t>
      </w:r>
      <w:r w:rsidRPr="00FA0D37">
        <w:rPr>
          <w:color w:val="993366"/>
        </w:rPr>
        <w:t>OPTIONAL</w:t>
      </w:r>
      <w:r w:rsidRPr="00FA0D37">
        <w:t xml:space="preserve">, </w:t>
      </w:r>
      <w:r w:rsidRPr="00FA0D37">
        <w:rPr>
          <w:color w:val="808080"/>
        </w:rPr>
        <w:t>-- Need N</w:t>
      </w:r>
    </w:p>
    <w:p w14:paraId="5B67FFB7" w14:textId="77777777" w:rsidR="00394471" w:rsidRPr="00FA0D37" w:rsidRDefault="00394471" w:rsidP="00FA0D37">
      <w:pPr>
        <w:pStyle w:val="PL"/>
        <w:rPr>
          <w:color w:val="808080"/>
        </w:rPr>
      </w:pPr>
      <w:r w:rsidRPr="00FA0D37">
        <w:t xml:space="preserve">    resourceToAddModList                    </w:t>
      </w:r>
      <w:r w:rsidRPr="00FA0D37">
        <w:rPr>
          <w:color w:val="993366"/>
        </w:rPr>
        <w:t>SEQUENCE</w:t>
      </w:r>
      <w:r w:rsidRPr="00FA0D37">
        <w:t xml:space="preserve"> (</w:t>
      </w:r>
      <w:r w:rsidRPr="00FA0D37">
        <w:rPr>
          <w:color w:val="993366"/>
        </w:rPr>
        <w:t>SIZE</w:t>
      </w:r>
      <w:r w:rsidRPr="00FA0D37">
        <w:t xml:space="preserve"> (1..maxNrofPUCCH-Resources))</w:t>
      </w:r>
      <w:r w:rsidRPr="00FA0D37">
        <w:rPr>
          <w:color w:val="993366"/>
        </w:rPr>
        <w:t xml:space="preserve"> OF</w:t>
      </w:r>
      <w:r w:rsidRPr="00FA0D37">
        <w:t xml:space="preserve"> PUCCH-Resource         </w:t>
      </w:r>
      <w:r w:rsidRPr="00FA0D37">
        <w:rPr>
          <w:color w:val="993366"/>
        </w:rPr>
        <w:t>OPTIONAL</w:t>
      </w:r>
      <w:r w:rsidRPr="00FA0D37">
        <w:t xml:space="preserve">, </w:t>
      </w:r>
      <w:r w:rsidRPr="00FA0D37">
        <w:rPr>
          <w:color w:val="808080"/>
        </w:rPr>
        <w:t>-- Need N</w:t>
      </w:r>
    </w:p>
    <w:p w14:paraId="3FCA003F" w14:textId="77777777" w:rsidR="00394471" w:rsidRPr="00FA0D37" w:rsidRDefault="00394471" w:rsidP="00FA0D37">
      <w:pPr>
        <w:pStyle w:val="PL"/>
        <w:rPr>
          <w:color w:val="808080"/>
        </w:rPr>
      </w:pPr>
      <w:r w:rsidRPr="00FA0D37">
        <w:t xml:space="preserve">    resourceToReleaseList                   </w:t>
      </w:r>
      <w:r w:rsidRPr="00FA0D37">
        <w:rPr>
          <w:color w:val="993366"/>
        </w:rPr>
        <w:t>SEQUENCE</w:t>
      </w:r>
      <w:r w:rsidRPr="00FA0D37">
        <w:t xml:space="preserve"> (</w:t>
      </w:r>
      <w:r w:rsidRPr="00FA0D37">
        <w:rPr>
          <w:color w:val="993366"/>
        </w:rPr>
        <w:t>SIZE</w:t>
      </w:r>
      <w:r w:rsidRPr="00FA0D37">
        <w:t xml:space="preserve"> (1..maxNrofPUCCH-Resources))</w:t>
      </w:r>
      <w:r w:rsidRPr="00FA0D37">
        <w:rPr>
          <w:color w:val="993366"/>
        </w:rPr>
        <w:t xml:space="preserve"> OF</w:t>
      </w:r>
      <w:r w:rsidRPr="00FA0D37">
        <w:t xml:space="preserve"> PUCCH-ResourceId       </w:t>
      </w:r>
      <w:r w:rsidRPr="00FA0D37">
        <w:rPr>
          <w:color w:val="993366"/>
        </w:rPr>
        <w:t>OPTIONAL</w:t>
      </w:r>
      <w:r w:rsidRPr="00FA0D37">
        <w:t xml:space="preserve">, </w:t>
      </w:r>
      <w:r w:rsidRPr="00FA0D37">
        <w:rPr>
          <w:color w:val="808080"/>
        </w:rPr>
        <w:t>-- Need N</w:t>
      </w:r>
    </w:p>
    <w:p w14:paraId="437858E3" w14:textId="77777777" w:rsidR="00394471" w:rsidRPr="00FA0D37" w:rsidRDefault="00394471" w:rsidP="00FA0D37">
      <w:pPr>
        <w:pStyle w:val="PL"/>
        <w:rPr>
          <w:color w:val="808080"/>
        </w:rPr>
      </w:pPr>
      <w:r w:rsidRPr="00FA0D37">
        <w:t xml:space="preserve">    format1                                 SetupRelease { PUCCH-FormatConfig }                                   </w:t>
      </w:r>
      <w:r w:rsidRPr="00FA0D37">
        <w:rPr>
          <w:color w:val="993366"/>
        </w:rPr>
        <w:t>OPTIONAL</w:t>
      </w:r>
      <w:r w:rsidRPr="00FA0D37">
        <w:t xml:space="preserve">, </w:t>
      </w:r>
      <w:r w:rsidRPr="00FA0D37">
        <w:rPr>
          <w:color w:val="808080"/>
        </w:rPr>
        <w:t>-- Need M</w:t>
      </w:r>
    </w:p>
    <w:p w14:paraId="7AF6DACC" w14:textId="77777777" w:rsidR="00394471" w:rsidRPr="00FA0D37" w:rsidRDefault="00394471" w:rsidP="00FA0D37">
      <w:pPr>
        <w:pStyle w:val="PL"/>
        <w:rPr>
          <w:color w:val="808080"/>
        </w:rPr>
      </w:pPr>
      <w:r w:rsidRPr="00FA0D37">
        <w:t xml:space="preserve">    format2                                 SetupRelease { PUCCH-FormatConfig }                                   </w:t>
      </w:r>
      <w:r w:rsidRPr="00FA0D37">
        <w:rPr>
          <w:color w:val="993366"/>
        </w:rPr>
        <w:t>OPTIONAL</w:t>
      </w:r>
      <w:r w:rsidRPr="00FA0D37">
        <w:t xml:space="preserve">, </w:t>
      </w:r>
      <w:r w:rsidRPr="00FA0D37">
        <w:rPr>
          <w:color w:val="808080"/>
        </w:rPr>
        <w:t>-- Need M</w:t>
      </w:r>
    </w:p>
    <w:p w14:paraId="6B34B83F" w14:textId="77777777" w:rsidR="00394471" w:rsidRPr="00FA0D37" w:rsidRDefault="00394471" w:rsidP="00FA0D37">
      <w:pPr>
        <w:pStyle w:val="PL"/>
        <w:rPr>
          <w:color w:val="808080"/>
        </w:rPr>
      </w:pPr>
      <w:r w:rsidRPr="00FA0D37">
        <w:t xml:space="preserve">    format3                                 SetupRelease { PUCCH-FormatConfig }                                   </w:t>
      </w:r>
      <w:r w:rsidRPr="00FA0D37">
        <w:rPr>
          <w:color w:val="993366"/>
        </w:rPr>
        <w:t>OPTIONAL</w:t>
      </w:r>
      <w:r w:rsidRPr="00FA0D37">
        <w:t xml:space="preserve">, </w:t>
      </w:r>
      <w:r w:rsidRPr="00FA0D37">
        <w:rPr>
          <w:color w:val="808080"/>
        </w:rPr>
        <w:t>-- Need M</w:t>
      </w:r>
    </w:p>
    <w:p w14:paraId="608D37B4" w14:textId="77777777" w:rsidR="00394471" w:rsidRPr="00FA0D37" w:rsidRDefault="00394471" w:rsidP="00FA0D37">
      <w:pPr>
        <w:pStyle w:val="PL"/>
        <w:rPr>
          <w:color w:val="808080"/>
        </w:rPr>
      </w:pPr>
      <w:r w:rsidRPr="00FA0D37">
        <w:t xml:space="preserve">    format4                                 SetupRelease { PUCCH-FormatConfig }                                   </w:t>
      </w:r>
      <w:r w:rsidRPr="00FA0D37">
        <w:rPr>
          <w:color w:val="993366"/>
        </w:rPr>
        <w:t>OPTIONAL</w:t>
      </w:r>
      <w:r w:rsidRPr="00FA0D37">
        <w:t xml:space="preserve">, </w:t>
      </w:r>
      <w:r w:rsidRPr="00FA0D37">
        <w:rPr>
          <w:color w:val="808080"/>
        </w:rPr>
        <w:t>-- Need M</w:t>
      </w:r>
    </w:p>
    <w:p w14:paraId="249EE71C" w14:textId="77777777" w:rsidR="00394471" w:rsidRPr="00FA0D37" w:rsidRDefault="00394471" w:rsidP="00FA0D37">
      <w:pPr>
        <w:pStyle w:val="PL"/>
      </w:pPr>
      <w:r w:rsidRPr="00FA0D37">
        <w:t xml:space="preserve">    schedulingRequestResourceToAddModList   </w:t>
      </w:r>
      <w:r w:rsidRPr="00FA0D37">
        <w:rPr>
          <w:color w:val="993366"/>
        </w:rPr>
        <w:t>SEQUENCE</w:t>
      </w:r>
      <w:r w:rsidRPr="00FA0D37">
        <w:t xml:space="preserve"> (</w:t>
      </w:r>
      <w:r w:rsidRPr="00FA0D37">
        <w:rPr>
          <w:color w:val="993366"/>
        </w:rPr>
        <w:t>SIZE</w:t>
      </w:r>
      <w:r w:rsidRPr="00FA0D37">
        <w:t xml:space="preserve"> (1..maxNrofSR-Resources))</w:t>
      </w:r>
      <w:r w:rsidRPr="00FA0D37">
        <w:rPr>
          <w:color w:val="993366"/>
        </w:rPr>
        <w:t xml:space="preserve"> OF</w:t>
      </w:r>
      <w:r w:rsidRPr="00FA0D37">
        <w:t xml:space="preserve"> SchedulingRequestResourceConfig</w:t>
      </w:r>
    </w:p>
    <w:p w14:paraId="7F14D42A"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5D1C5BE6" w14:textId="77777777" w:rsidR="00394471" w:rsidRPr="00FA0D37" w:rsidRDefault="00394471" w:rsidP="00FA0D37">
      <w:pPr>
        <w:pStyle w:val="PL"/>
      </w:pPr>
      <w:r w:rsidRPr="00FA0D37">
        <w:t xml:space="preserve">    schedulingRequestResourceToReleaseList  </w:t>
      </w:r>
      <w:r w:rsidRPr="00FA0D37">
        <w:rPr>
          <w:color w:val="993366"/>
        </w:rPr>
        <w:t>SEQUENCE</w:t>
      </w:r>
      <w:r w:rsidRPr="00FA0D37">
        <w:t xml:space="preserve"> (</w:t>
      </w:r>
      <w:r w:rsidRPr="00FA0D37">
        <w:rPr>
          <w:color w:val="993366"/>
        </w:rPr>
        <w:t>SIZE</w:t>
      </w:r>
      <w:r w:rsidRPr="00FA0D37">
        <w:t xml:space="preserve"> (1..maxNrofSR-Resources))</w:t>
      </w:r>
      <w:r w:rsidRPr="00FA0D37">
        <w:rPr>
          <w:color w:val="993366"/>
        </w:rPr>
        <w:t xml:space="preserve"> OF</w:t>
      </w:r>
      <w:r w:rsidRPr="00FA0D37">
        <w:t xml:space="preserve"> SchedulingRequestResourceId</w:t>
      </w:r>
    </w:p>
    <w:p w14:paraId="23FE5E26"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706E983E" w14:textId="77777777" w:rsidR="00394471" w:rsidRPr="00FA0D37" w:rsidRDefault="00394471" w:rsidP="00FA0D37">
      <w:pPr>
        <w:pStyle w:val="PL"/>
        <w:rPr>
          <w:color w:val="808080"/>
        </w:rPr>
      </w:pPr>
      <w:r w:rsidRPr="00FA0D37">
        <w:t xml:space="preserve">    multi-CSI-PUCCH-ResourceList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PUCCH-ResourceId                            </w:t>
      </w:r>
      <w:r w:rsidRPr="00FA0D37">
        <w:rPr>
          <w:color w:val="993366"/>
        </w:rPr>
        <w:t>OPTIONAL</w:t>
      </w:r>
      <w:r w:rsidRPr="00FA0D37">
        <w:t xml:space="preserve">, </w:t>
      </w:r>
      <w:r w:rsidRPr="00FA0D37">
        <w:rPr>
          <w:color w:val="808080"/>
        </w:rPr>
        <w:t>-- Need M</w:t>
      </w:r>
    </w:p>
    <w:p w14:paraId="5DD36474" w14:textId="77777777" w:rsidR="00394471" w:rsidRPr="00FA0D37" w:rsidRDefault="00394471" w:rsidP="00FA0D37">
      <w:pPr>
        <w:pStyle w:val="PL"/>
        <w:rPr>
          <w:color w:val="808080"/>
        </w:rPr>
      </w:pPr>
      <w:r w:rsidRPr="00FA0D37">
        <w:lastRenderedPageBreak/>
        <w:t xml:space="preserve">    dl-DataToUL-ACK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M</w:t>
      </w:r>
    </w:p>
    <w:p w14:paraId="11C19F91" w14:textId="77777777" w:rsidR="00394471" w:rsidRPr="00FA0D37" w:rsidRDefault="00394471" w:rsidP="00FA0D37">
      <w:pPr>
        <w:pStyle w:val="PL"/>
      </w:pPr>
      <w:r w:rsidRPr="00FA0D37">
        <w:t xml:space="preserve">    spatialRelationInfoToAddModList         </w:t>
      </w:r>
      <w:r w:rsidRPr="00FA0D37">
        <w:rPr>
          <w:color w:val="993366"/>
        </w:rPr>
        <w:t>SEQUENCE</w:t>
      </w:r>
      <w:r w:rsidRPr="00FA0D37">
        <w:t xml:space="preserve"> (</w:t>
      </w:r>
      <w:r w:rsidRPr="00FA0D37">
        <w:rPr>
          <w:color w:val="993366"/>
        </w:rPr>
        <w:t>SIZE</w:t>
      </w:r>
      <w:r w:rsidRPr="00FA0D37">
        <w:t xml:space="preserve"> (1..maxNrofSpatialRelationInfos))</w:t>
      </w:r>
      <w:r w:rsidRPr="00FA0D37">
        <w:rPr>
          <w:color w:val="993366"/>
        </w:rPr>
        <w:t xml:space="preserve"> OF</w:t>
      </w:r>
      <w:r w:rsidRPr="00FA0D37">
        <w:t xml:space="preserve"> PUCCH-SpatialRelationInfo</w:t>
      </w:r>
    </w:p>
    <w:p w14:paraId="4C1346F5"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1A95F135" w14:textId="77777777" w:rsidR="00394471" w:rsidRPr="00FA0D37" w:rsidRDefault="00394471" w:rsidP="00FA0D37">
      <w:pPr>
        <w:pStyle w:val="PL"/>
      </w:pPr>
      <w:r w:rsidRPr="00FA0D37">
        <w:t xml:space="preserve">    spatialRelationInfoToReleaseList        </w:t>
      </w:r>
      <w:r w:rsidRPr="00FA0D37">
        <w:rPr>
          <w:color w:val="993366"/>
        </w:rPr>
        <w:t>SEQUENCE</w:t>
      </w:r>
      <w:r w:rsidRPr="00FA0D37">
        <w:t xml:space="preserve"> (</w:t>
      </w:r>
      <w:r w:rsidRPr="00FA0D37">
        <w:rPr>
          <w:color w:val="993366"/>
        </w:rPr>
        <w:t>SIZE</w:t>
      </w:r>
      <w:r w:rsidRPr="00FA0D37">
        <w:t xml:space="preserve"> (1..maxNrofSpatialRelationInfos))</w:t>
      </w:r>
      <w:r w:rsidRPr="00FA0D37">
        <w:rPr>
          <w:color w:val="993366"/>
        </w:rPr>
        <w:t xml:space="preserve"> OF</w:t>
      </w:r>
      <w:r w:rsidRPr="00FA0D37">
        <w:t xml:space="preserve"> PUCCH-SpatialRelationInfoId</w:t>
      </w:r>
    </w:p>
    <w:p w14:paraId="05534DAF"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67D7D45D" w14:textId="77777777" w:rsidR="00394471" w:rsidRPr="00FA0D37" w:rsidRDefault="00394471" w:rsidP="00FA0D37">
      <w:pPr>
        <w:pStyle w:val="PL"/>
        <w:rPr>
          <w:color w:val="808080"/>
        </w:rPr>
      </w:pPr>
      <w:r w:rsidRPr="00FA0D37">
        <w:t xml:space="preserve">    pucch-PowerControl                      PUCCH-PowerControl                                                    </w:t>
      </w:r>
      <w:r w:rsidRPr="00FA0D37">
        <w:rPr>
          <w:color w:val="993366"/>
        </w:rPr>
        <w:t>OPTIONAL</w:t>
      </w:r>
      <w:r w:rsidRPr="00FA0D37">
        <w:t xml:space="preserve">, </w:t>
      </w:r>
      <w:r w:rsidRPr="00FA0D37">
        <w:rPr>
          <w:color w:val="808080"/>
        </w:rPr>
        <w:t>-- Need M</w:t>
      </w:r>
    </w:p>
    <w:p w14:paraId="5DFAF0EA" w14:textId="77777777" w:rsidR="00394471" w:rsidRPr="00FA0D37" w:rsidRDefault="00394471" w:rsidP="00FA0D37">
      <w:pPr>
        <w:pStyle w:val="PL"/>
      </w:pPr>
      <w:r w:rsidRPr="00FA0D37">
        <w:t xml:space="preserve">    ...,</w:t>
      </w:r>
    </w:p>
    <w:p w14:paraId="7EF927E1" w14:textId="77777777" w:rsidR="00394471" w:rsidRPr="00FA0D37" w:rsidRDefault="00394471" w:rsidP="00FA0D37">
      <w:pPr>
        <w:pStyle w:val="PL"/>
      </w:pPr>
      <w:r w:rsidRPr="00FA0D37">
        <w:t xml:space="preserve">    [[</w:t>
      </w:r>
    </w:p>
    <w:p w14:paraId="377BF201" w14:textId="18578A19" w:rsidR="00394471" w:rsidRPr="00FA0D37" w:rsidRDefault="00394471" w:rsidP="00FA0D37">
      <w:pPr>
        <w:pStyle w:val="PL"/>
        <w:rPr>
          <w:color w:val="808080"/>
        </w:rPr>
      </w:pPr>
      <w:r w:rsidRPr="00FA0D37">
        <w:t xml:space="preserve">    resourceToAddModListExt-</w:t>
      </w:r>
      <w:r w:rsidR="00137D47" w:rsidRPr="00FA0D37">
        <w:t>v1610</w:t>
      </w:r>
      <w:r w:rsidRPr="00FA0D37">
        <w:t xml:space="preserve">           </w:t>
      </w:r>
      <w:r w:rsidRPr="00FA0D37">
        <w:rPr>
          <w:color w:val="993366"/>
        </w:rPr>
        <w:t>SEQUENCE</w:t>
      </w:r>
      <w:r w:rsidRPr="00FA0D37">
        <w:t xml:space="preserve"> (</w:t>
      </w:r>
      <w:r w:rsidRPr="00FA0D37">
        <w:rPr>
          <w:color w:val="993366"/>
        </w:rPr>
        <w:t>SIZE</w:t>
      </w:r>
      <w:r w:rsidRPr="00FA0D37">
        <w:t xml:space="preserve"> (1..maxNrofPUCCH-Resources))</w:t>
      </w:r>
      <w:r w:rsidRPr="00FA0D37">
        <w:rPr>
          <w:color w:val="993366"/>
        </w:rPr>
        <w:t xml:space="preserve"> OF</w:t>
      </w:r>
      <w:r w:rsidRPr="00FA0D37">
        <w:t xml:space="preserve"> PUCCH-ResourceExt-</w:t>
      </w:r>
      <w:r w:rsidR="00137D47" w:rsidRPr="00FA0D37">
        <w:t>v1610</w:t>
      </w:r>
      <w:r w:rsidRPr="00FA0D37">
        <w:t xml:space="preserve">  </w:t>
      </w:r>
      <w:r w:rsidRPr="00FA0D37">
        <w:rPr>
          <w:color w:val="993366"/>
        </w:rPr>
        <w:t>OPTIONAL</w:t>
      </w:r>
      <w:r w:rsidRPr="00FA0D37">
        <w:t xml:space="preserve">, </w:t>
      </w:r>
      <w:r w:rsidRPr="00FA0D37">
        <w:rPr>
          <w:color w:val="808080"/>
        </w:rPr>
        <w:t>-- Need N</w:t>
      </w:r>
    </w:p>
    <w:p w14:paraId="28FFCF3B" w14:textId="77777777" w:rsidR="00394471" w:rsidRPr="00FA0D37" w:rsidRDefault="00394471" w:rsidP="00FA0D37">
      <w:pPr>
        <w:pStyle w:val="PL"/>
        <w:rPr>
          <w:color w:val="808080"/>
        </w:rPr>
      </w:pPr>
      <w:r w:rsidRPr="00FA0D37">
        <w:t xml:space="preserve">    dl-DataToUL-ACK-r16                     SetupRelease { DL-DataToUL-ACK-r16 }                                  </w:t>
      </w:r>
      <w:r w:rsidRPr="00FA0D37">
        <w:rPr>
          <w:color w:val="993366"/>
        </w:rPr>
        <w:t>OPTIONAL</w:t>
      </w:r>
      <w:r w:rsidRPr="00FA0D37">
        <w:t xml:space="preserve">, </w:t>
      </w:r>
      <w:r w:rsidRPr="00FA0D37">
        <w:rPr>
          <w:color w:val="808080"/>
        </w:rPr>
        <w:t>-- Need M</w:t>
      </w:r>
    </w:p>
    <w:p w14:paraId="78BDCD1E" w14:textId="77777777" w:rsidR="00394471" w:rsidRPr="00FA0D37" w:rsidRDefault="00394471" w:rsidP="00FA0D37">
      <w:pPr>
        <w:pStyle w:val="PL"/>
        <w:rPr>
          <w:color w:val="808080"/>
        </w:rPr>
      </w:pPr>
      <w:r w:rsidRPr="00FA0D37">
        <w:t xml:space="preserve">    ul-AccessConfigListDCI-1-1-r16          SetupRelease { UL-AccessConfigListDCI-1-1-r16 }                       </w:t>
      </w:r>
      <w:r w:rsidRPr="00FA0D37">
        <w:rPr>
          <w:color w:val="993366"/>
        </w:rPr>
        <w:t>OPTIONAL</w:t>
      </w:r>
      <w:r w:rsidRPr="00FA0D37">
        <w:t xml:space="preserve">, </w:t>
      </w:r>
      <w:r w:rsidRPr="00FA0D37">
        <w:rPr>
          <w:color w:val="808080"/>
        </w:rPr>
        <w:t>-- Need M</w:t>
      </w:r>
    </w:p>
    <w:p w14:paraId="2472EB11" w14:textId="77777777" w:rsidR="00394471" w:rsidRPr="00FA0D37" w:rsidRDefault="00394471" w:rsidP="00FA0D37">
      <w:pPr>
        <w:pStyle w:val="PL"/>
      </w:pPr>
      <w:r w:rsidRPr="00FA0D37">
        <w:t xml:space="preserve">    subslotLengthForPUCCH-r16               </w:t>
      </w:r>
      <w:r w:rsidRPr="00FA0D37">
        <w:rPr>
          <w:color w:val="993366"/>
        </w:rPr>
        <w:t>CHOICE</w:t>
      </w:r>
      <w:r w:rsidRPr="00FA0D37">
        <w:t xml:space="preserve"> {</w:t>
      </w:r>
    </w:p>
    <w:p w14:paraId="67B0A5B1" w14:textId="77777777" w:rsidR="00394471" w:rsidRPr="00FA0D37" w:rsidRDefault="00394471" w:rsidP="00FA0D37">
      <w:pPr>
        <w:pStyle w:val="PL"/>
      </w:pPr>
      <w:r w:rsidRPr="00FA0D37">
        <w:t xml:space="preserve">            normalCP-r16                        </w:t>
      </w:r>
      <w:r w:rsidRPr="00FA0D37">
        <w:rPr>
          <w:color w:val="993366"/>
        </w:rPr>
        <w:t>ENUMERATED</w:t>
      </w:r>
      <w:r w:rsidRPr="00FA0D37">
        <w:t xml:space="preserve"> {n2,n7},</w:t>
      </w:r>
    </w:p>
    <w:p w14:paraId="7ED1722E" w14:textId="77777777" w:rsidR="00394471" w:rsidRPr="00FA0D37" w:rsidRDefault="00394471" w:rsidP="00FA0D37">
      <w:pPr>
        <w:pStyle w:val="PL"/>
      </w:pPr>
      <w:r w:rsidRPr="00FA0D37">
        <w:t xml:space="preserve">            extendedCP-r16                      </w:t>
      </w:r>
      <w:r w:rsidRPr="00FA0D37">
        <w:rPr>
          <w:color w:val="993366"/>
        </w:rPr>
        <w:t>ENUMERATED</w:t>
      </w:r>
      <w:r w:rsidRPr="00FA0D37">
        <w:t xml:space="preserve"> {n2,n6}</w:t>
      </w:r>
    </w:p>
    <w:p w14:paraId="44164AB8"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263D4000" w14:textId="77777777" w:rsidR="00394471" w:rsidRPr="00FA0D37" w:rsidRDefault="00394471" w:rsidP="00FA0D37">
      <w:pPr>
        <w:pStyle w:val="PL"/>
        <w:rPr>
          <w:color w:val="808080"/>
        </w:rPr>
      </w:pPr>
      <w:r w:rsidRPr="00FA0D37">
        <w:t xml:space="preserve">    dl-DataToUL-ACK-DCI-1-2-r16             SetupRelease { DL-DataToUL-ACK-DCI-1-2-r16}                           </w:t>
      </w:r>
      <w:r w:rsidRPr="00FA0D37">
        <w:rPr>
          <w:color w:val="993366"/>
        </w:rPr>
        <w:t>OPTIONAL</w:t>
      </w:r>
      <w:r w:rsidRPr="00FA0D37">
        <w:t xml:space="preserve">, </w:t>
      </w:r>
      <w:r w:rsidRPr="00FA0D37">
        <w:rPr>
          <w:color w:val="808080"/>
        </w:rPr>
        <w:t>-- Need M</w:t>
      </w:r>
    </w:p>
    <w:p w14:paraId="16CCFA99" w14:textId="77777777" w:rsidR="00394471" w:rsidRPr="00FA0D37" w:rsidRDefault="00394471" w:rsidP="00FA0D37">
      <w:pPr>
        <w:pStyle w:val="PL"/>
        <w:rPr>
          <w:color w:val="808080"/>
        </w:rPr>
      </w:pPr>
      <w:r w:rsidRPr="00FA0D37">
        <w:t xml:space="preserve">    numberOfBitsForPUCCH-ResourceIndicatorDCI-1-2-r16  </w:t>
      </w:r>
      <w:r w:rsidRPr="00FA0D37">
        <w:rPr>
          <w:color w:val="993366"/>
        </w:rPr>
        <w:t>INTEGER</w:t>
      </w:r>
      <w:r w:rsidRPr="00FA0D37">
        <w:t xml:space="preserve"> (0..3)                                             </w:t>
      </w:r>
      <w:r w:rsidRPr="00FA0D37">
        <w:rPr>
          <w:color w:val="993366"/>
        </w:rPr>
        <w:t>OPTIONAL</w:t>
      </w:r>
      <w:r w:rsidRPr="00FA0D37">
        <w:t xml:space="preserve">, </w:t>
      </w:r>
      <w:r w:rsidRPr="00FA0D37">
        <w:rPr>
          <w:color w:val="808080"/>
        </w:rPr>
        <w:t>-- Need R</w:t>
      </w:r>
    </w:p>
    <w:p w14:paraId="50B674B5" w14:textId="77777777" w:rsidR="00394471" w:rsidRPr="00FA0D37" w:rsidRDefault="00394471" w:rsidP="00FA0D37">
      <w:pPr>
        <w:pStyle w:val="PL"/>
        <w:rPr>
          <w:color w:val="808080"/>
        </w:rPr>
      </w:pPr>
      <w:r w:rsidRPr="00FA0D37">
        <w:t xml:space="preserve">    dmrs-UplinkTransformPrecodingPUCCH-r16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Cond PI2-BPSK</w:t>
      </w:r>
    </w:p>
    <w:p w14:paraId="02A81548" w14:textId="49EF921F" w:rsidR="00394471" w:rsidRPr="00FA0D37" w:rsidRDefault="00394471" w:rsidP="00FA0D37">
      <w:pPr>
        <w:pStyle w:val="PL"/>
      </w:pPr>
      <w:r w:rsidRPr="00FA0D37">
        <w:t xml:space="preserve">    spatialRelationInfoToAddModList</w:t>
      </w:r>
      <w:r w:rsidR="00C5556C" w:rsidRPr="00FA0D37">
        <w:t>SizeExt</w:t>
      </w:r>
      <w:r w:rsidRPr="00FA0D37">
        <w:t>-</w:t>
      </w:r>
      <w:r w:rsidR="00C5556C" w:rsidRPr="00FA0D37">
        <w:t>v1610</w:t>
      </w:r>
      <w:r w:rsidRPr="00FA0D37">
        <w:t xml:space="preserve">    </w:t>
      </w:r>
      <w:r w:rsidRPr="00FA0D37">
        <w:rPr>
          <w:color w:val="993366"/>
        </w:rPr>
        <w:t>SEQUENCE</w:t>
      </w:r>
      <w:r w:rsidRPr="00FA0D37">
        <w:t xml:space="preserve"> (</w:t>
      </w:r>
      <w:r w:rsidRPr="00FA0D37">
        <w:rPr>
          <w:color w:val="993366"/>
        </w:rPr>
        <w:t>SIZE</w:t>
      </w:r>
      <w:r w:rsidRPr="00FA0D37">
        <w:t xml:space="preserve"> (1..maxNrofSpatialRelationInfosDiff-r16))</w:t>
      </w:r>
      <w:r w:rsidRPr="00FA0D37">
        <w:rPr>
          <w:color w:val="993366"/>
        </w:rPr>
        <w:t xml:space="preserve"> OF</w:t>
      </w:r>
      <w:r w:rsidRPr="00FA0D37">
        <w:t xml:space="preserve"> PUCCH-SpatialRelationInfo</w:t>
      </w:r>
    </w:p>
    <w:p w14:paraId="05451040"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458D175B" w14:textId="647F8CBA" w:rsidR="00394471" w:rsidRPr="00FA0D37" w:rsidRDefault="00394471" w:rsidP="00FA0D37">
      <w:pPr>
        <w:pStyle w:val="PL"/>
      </w:pPr>
      <w:r w:rsidRPr="00FA0D37">
        <w:t xml:space="preserve">    spatialRelationInfoToReleaseList</w:t>
      </w:r>
      <w:r w:rsidR="00C5556C" w:rsidRPr="00FA0D37">
        <w:t>SizeExt</w:t>
      </w:r>
      <w:r w:rsidRPr="00FA0D37">
        <w:t>-</w:t>
      </w:r>
      <w:r w:rsidR="00C5556C" w:rsidRPr="00FA0D37">
        <w:t>v1610</w:t>
      </w:r>
      <w:r w:rsidRPr="00FA0D37">
        <w:t xml:space="preserve">   </w:t>
      </w:r>
      <w:r w:rsidRPr="00FA0D37">
        <w:rPr>
          <w:color w:val="993366"/>
        </w:rPr>
        <w:t>SEQUENCE</w:t>
      </w:r>
      <w:r w:rsidRPr="00FA0D37">
        <w:t xml:space="preserve"> (</w:t>
      </w:r>
      <w:r w:rsidRPr="00FA0D37">
        <w:rPr>
          <w:color w:val="993366"/>
        </w:rPr>
        <w:t>SIZE</w:t>
      </w:r>
      <w:r w:rsidRPr="00FA0D37">
        <w:t xml:space="preserve"> (1..maxNrofSpatialRelationInfosDiff-r16))</w:t>
      </w:r>
      <w:r w:rsidRPr="00FA0D37">
        <w:rPr>
          <w:color w:val="993366"/>
        </w:rPr>
        <w:t xml:space="preserve"> OF</w:t>
      </w:r>
      <w:r w:rsidRPr="00FA0D37">
        <w:t xml:space="preserve"> PUCCH-SpatialRelationInfoId</w:t>
      </w:r>
    </w:p>
    <w:p w14:paraId="50C5E00E"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52315A1E" w14:textId="0C469D48" w:rsidR="00394471" w:rsidRPr="00FA0D37" w:rsidRDefault="00394471" w:rsidP="00FA0D37">
      <w:pPr>
        <w:pStyle w:val="PL"/>
      </w:pPr>
      <w:r w:rsidRPr="00FA0D37">
        <w:t xml:space="preserve">    spatialRelationInfoToAddModListExt-</w:t>
      </w:r>
      <w:r w:rsidR="00C5556C" w:rsidRPr="00FA0D37">
        <w:t>v1610</w:t>
      </w:r>
      <w:r w:rsidRPr="00FA0D37">
        <w:t xml:space="preserve">  </w:t>
      </w:r>
      <w:r w:rsidRPr="00FA0D37">
        <w:rPr>
          <w:color w:val="993366"/>
        </w:rPr>
        <w:t>SEQUENCE</w:t>
      </w:r>
      <w:r w:rsidRPr="00FA0D37">
        <w:t xml:space="preserve"> (</w:t>
      </w:r>
      <w:r w:rsidRPr="00FA0D37">
        <w:rPr>
          <w:color w:val="993366"/>
        </w:rPr>
        <w:t>SIZE</w:t>
      </w:r>
      <w:r w:rsidRPr="00FA0D37">
        <w:t xml:space="preserve"> (1..maxNrofSpatialRelationInfos-r16))</w:t>
      </w:r>
      <w:r w:rsidRPr="00FA0D37">
        <w:rPr>
          <w:color w:val="993366"/>
        </w:rPr>
        <w:t xml:space="preserve"> OF</w:t>
      </w:r>
      <w:r w:rsidRPr="00FA0D37">
        <w:t xml:space="preserve"> PUCCH-SpatialRelationInfoExt-r16</w:t>
      </w:r>
    </w:p>
    <w:p w14:paraId="4A5B135B"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23025776" w14:textId="0C0C813E" w:rsidR="00394471" w:rsidRPr="00FA0D37" w:rsidRDefault="00394471" w:rsidP="00FA0D37">
      <w:pPr>
        <w:pStyle w:val="PL"/>
      </w:pPr>
      <w:r w:rsidRPr="00FA0D37">
        <w:t xml:space="preserve">    spatialRelationInfoToReleaseList</w:t>
      </w:r>
      <w:r w:rsidR="00C5556C" w:rsidRPr="00FA0D37">
        <w:t>Ext</w:t>
      </w:r>
      <w:r w:rsidRPr="00FA0D37">
        <w:t>-</w:t>
      </w:r>
      <w:r w:rsidR="00C5556C" w:rsidRPr="00FA0D37">
        <w:t>v1610</w:t>
      </w:r>
      <w:r w:rsidRPr="00FA0D37">
        <w:t xml:space="preserve">    </w:t>
      </w:r>
      <w:r w:rsidRPr="00FA0D37">
        <w:rPr>
          <w:color w:val="993366"/>
        </w:rPr>
        <w:t>SEQUENCE</w:t>
      </w:r>
      <w:r w:rsidRPr="00FA0D37">
        <w:t xml:space="preserve"> (</w:t>
      </w:r>
      <w:r w:rsidRPr="00FA0D37">
        <w:rPr>
          <w:color w:val="993366"/>
        </w:rPr>
        <w:t>SIZE</w:t>
      </w:r>
      <w:r w:rsidRPr="00FA0D37">
        <w:t xml:space="preserve"> (1..maxNrofSpatialRelationInfos-r16))</w:t>
      </w:r>
      <w:r w:rsidRPr="00FA0D37">
        <w:rPr>
          <w:color w:val="993366"/>
        </w:rPr>
        <w:t xml:space="preserve"> OF</w:t>
      </w:r>
    </w:p>
    <w:p w14:paraId="2BE215B2" w14:textId="77777777" w:rsidR="00394471" w:rsidRPr="00FA0D37" w:rsidRDefault="00394471" w:rsidP="00FA0D37">
      <w:pPr>
        <w:pStyle w:val="PL"/>
        <w:rPr>
          <w:color w:val="808080"/>
        </w:rPr>
      </w:pPr>
      <w:r w:rsidRPr="00FA0D37">
        <w:t xml:space="preserve">                                                                            PUCCH-SpatialRelationInfoId-r16       </w:t>
      </w:r>
      <w:r w:rsidRPr="00FA0D37">
        <w:rPr>
          <w:color w:val="993366"/>
        </w:rPr>
        <w:t>OPTIONAL</w:t>
      </w:r>
      <w:r w:rsidRPr="00FA0D37">
        <w:t xml:space="preserve">, </w:t>
      </w:r>
      <w:r w:rsidRPr="00FA0D37">
        <w:rPr>
          <w:color w:val="808080"/>
        </w:rPr>
        <w:t>-- Need N</w:t>
      </w:r>
    </w:p>
    <w:p w14:paraId="1B67209D" w14:textId="77777777" w:rsidR="00394471" w:rsidRPr="00FA0D37" w:rsidRDefault="00394471" w:rsidP="00FA0D37">
      <w:pPr>
        <w:pStyle w:val="PL"/>
      </w:pPr>
      <w:r w:rsidRPr="00FA0D37">
        <w:t xml:space="preserve">    resourceGroupToAddModList-r16           </w:t>
      </w:r>
      <w:r w:rsidRPr="00FA0D37">
        <w:rPr>
          <w:color w:val="993366"/>
        </w:rPr>
        <w:t>SEQUENCE</w:t>
      </w:r>
      <w:r w:rsidRPr="00FA0D37">
        <w:t xml:space="preserve"> (</w:t>
      </w:r>
      <w:r w:rsidRPr="00FA0D37">
        <w:rPr>
          <w:color w:val="993366"/>
        </w:rPr>
        <w:t>SIZE</w:t>
      </w:r>
      <w:r w:rsidRPr="00FA0D37">
        <w:t xml:space="preserve"> (1..maxNrofPUCCH-ResourceGroups-r16))</w:t>
      </w:r>
      <w:r w:rsidRPr="00FA0D37">
        <w:rPr>
          <w:color w:val="993366"/>
        </w:rPr>
        <w:t xml:space="preserve"> OF</w:t>
      </w:r>
      <w:r w:rsidRPr="00FA0D37">
        <w:t xml:space="preserve"> PUCCH-ResourceGroup-r16</w:t>
      </w:r>
    </w:p>
    <w:p w14:paraId="5E5ADD6E"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5EEDC037" w14:textId="77777777" w:rsidR="00394471" w:rsidRPr="00FA0D37" w:rsidRDefault="00394471" w:rsidP="00FA0D37">
      <w:pPr>
        <w:pStyle w:val="PL"/>
      </w:pPr>
      <w:r w:rsidRPr="00FA0D37">
        <w:t xml:space="preserve">    resourceGroupToReleaseList-r16          </w:t>
      </w:r>
      <w:r w:rsidRPr="00FA0D37">
        <w:rPr>
          <w:color w:val="993366"/>
        </w:rPr>
        <w:t>SEQUENCE</w:t>
      </w:r>
      <w:r w:rsidRPr="00FA0D37">
        <w:t xml:space="preserve"> (</w:t>
      </w:r>
      <w:r w:rsidRPr="00FA0D37">
        <w:rPr>
          <w:color w:val="993366"/>
        </w:rPr>
        <w:t>SIZE</w:t>
      </w:r>
      <w:r w:rsidRPr="00FA0D37">
        <w:t xml:space="preserve"> (1..maxNrofPUCCH-ResourceGroups-r16))</w:t>
      </w:r>
      <w:r w:rsidRPr="00FA0D37">
        <w:rPr>
          <w:color w:val="993366"/>
        </w:rPr>
        <w:t xml:space="preserve"> OF</w:t>
      </w:r>
      <w:r w:rsidRPr="00FA0D37">
        <w:t xml:space="preserve"> PUCCH-ResourceGroupId-r16</w:t>
      </w:r>
    </w:p>
    <w:p w14:paraId="61F3F677"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67431011" w14:textId="77777777" w:rsidR="00394471" w:rsidRPr="00FA0D37" w:rsidRDefault="00394471" w:rsidP="00FA0D37">
      <w:pPr>
        <w:pStyle w:val="PL"/>
        <w:rPr>
          <w:color w:val="808080"/>
        </w:rPr>
      </w:pPr>
      <w:r w:rsidRPr="00FA0D37">
        <w:t xml:space="preserve">    sps-PUCCH-AN-List-r16                   SetupRelease { SPS-PUCCH-AN-List-r16 }                                </w:t>
      </w:r>
      <w:r w:rsidRPr="00FA0D37">
        <w:rPr>
          <w:color w:val="993366"/>
        </w:rPr>
        <w:t>OPTIONAL</w:t>
      </w:r>
      <w:r w:rsidRPr="00FA0D37">
        <w:t xml:space="preserve">,  </w:t>
      </w:r>
      <w:r w:rsidRPr="00FA0D37">
        <w:rPr>
          <w:color w:val="808080"/>
        </w:rPr>
        <w:t>-- Need M</w:t>
      </w:r>
    </w:p>
    <w:p w14:paraId="12CC380A" w14:textId="360D4520" w:rsidR="00394471" w:rsidRPr="00FA0D37" w:rsidRDefault="00394471" w:rsidP="00FA0D37">
      <w:pPr>
        <w:pStyle w:val="PL"/>
      </w:pPr>
      <w:r w:rsidRPr="00FA0D37">
        <w:t xml:space="preserve">    schedulingRequestResourceToAddModList</w:t>
      </w:r>
      <w:r w:rsidR="00C5556C" w:rsidRPr="00FA0D37">
        <w:t>Ext</w:t>
      </w:r>
      <w:r w:rsidRPr="00FA0D37">
        <w:t xml:space="preserve">-v1610   </w:t>
      </w:r>
      <w:r w:rsidRPr="00FA0D37">
        <w:rPr>
          <w:color w:val="993366"/>
        </w:rPr>
        <w:t>SEQUENCE</w:t>
      </w:r>
      <w:r w:rsidRPr="00FA0D37">
        <w:t xml:space="preserve"> (</w:t>
      </w:r>
      <w:r w:rsidRPr="00FA0D37">
        <w:rPr>
          <w:color w:val="993366"/>
        </w:rPr>
        <w:t>SIZE</w:t>
      </w:r>
      <w:r w:rsidRPr="00FA0D37">
        <w:t xml:space="preserve"> (1..maxNrofSR-Resources))</w:t>
      </w:r>
      <w:r w:rsidRPr="00FA0D37">
        <w:rPr>
          <w:color w:val="993366"/>
        </w:rPr>
        <w:t xml:space="preserve"> OF</w:t>
      </w:r>
      <w:r w:rsidRPr="00FA0D37">
        <w:t xml:space="preserve"> SchedulingRequestResourceConfig</w:t>
      </w:r>
      <w:r w:rsidR="00C5556C" w:rsidRPr="00FA0D37">
        <w:t>Ext</w:t>
      </w:r>
      <w:r w:rsidRPr="00FA0D37">
        <w:t>-v1610</w:t>
      </w:r>
    </w:p>
    <w:p w14:paraId="3F8EA5A2"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754C924C" w14:textId="00FFE201" w:rsidR="005D7926" w:rsidRPr="00FA0D37" w:rsidRDefault="00394471" w:rsidP="00FA0D37">
      <w:pPr>
        <w:pStyle w:val="PL"/>
      </w:pPr>
      <w:r w:rsidRPr="00FA0D37">
        <w:t xml:space="preserve">    ]]</w:t>
      </w:r>
      <w:r w:rsidR="005D7926" w:rsidRPr="00FA0D37">
        <w:t>,</w:t>
      </w:r>
    </w:p>
    <w:p w14:paraId="1595741C" w14:textId="77777777" w:rsidR="005D7926" w:rsidRPr="00FA0D37" w:rsidRDefault="005D7926" w:rsidP="00FA0D37">
      <w:pPr>
        <w:pStyle w:val="PL"/>
      </w:pPr>
      <w:r w:rsidRPr="00FA0D37">
        <w:t xml:space="preserve">    [[</w:t>
      </w:r>
    </w:p>
    <w:p w14:paraId="21940B73" w14:textId="77777777" w:rsidR="005D7926" w:rsidRPr="00FA0D37" w:rsidRDefault="005D7926" w:rsidP="00FA0D37">
      <w:pPr>
        <w:pStyle w:val="PL"/>
        <w:rPr>
          <w:color w:val="808080"/>
        </w:rPr>
      </w:pPr>
      <w:r w:rsidRPr="00FA0D37">
        <w:t xml:space="preserve">    format0-r17                             SetupRelease { PUCCH-FormatConfig }                                   </w:t>
      </w:r>
      <w:r w:rsidRPr="00FA0D37">
        <w:rPr>
          <w:color w:val="993366"/>
        </w:rPr>
        <w:t>OPTIONAL</w:t>
      </w:r>
      <w:r w:rsidRPr="00FA0D37">
        <w:t xml:space="preserve">, </w:t>
      </w:r>
      <w:r w:rsidRPr="00FA0D37">
        <w:rPr>
          <w:color w:val="808080"/>
        </w:rPr>
        <w:t>-- Need M</w:t>
      </w:r>
    </w:p>
    <w:p w14:paraId="4787F3DF" w14:textId="77777777" w:rsidR="005D7926" w:rsidRPr="00FA0D37" w:rsidRDefault="005D7926" w:rsidP="00FA0D37">
      <w:pPr>
        <w:pStyle w:val="PL"/>
        <w:rPr>
          <w:color w:val="808080"/>
        </w:rPr>
      </w:pPr>
      <w:r w:rsidRPr="00FA0D37">
        <w:t xml:space="preserve">    format2Ext-r17                          SetupRelease { PUCCH-FormatConfigExt-r17 }                            </w:t>
      </w:r>
      <w:r w:rsidRPr="00FA0D37">
        <w:rPr>
          <w:color w:val="993366"/>
        </w:rPr>
        <w:t>OPTIONAL</w:t>
      </w:r>
      <w:r w:rsidRPr="00FA0D37">
        <w:t xml:space="preserve">, </w:t>
      </w:r>
      <w:r w:rsidRPr="00FA0D37">
        <w:rPr>
          <w:color w:val="808080"/>
        </w:rPr>
        <w:t>-- Need M</w:t>
      </w:r>
    </w:p>
    <w:p w14:paraId="45A39B96" w14:textId="77777777" w:rsidR="005D7926" w:rsidRPr="00FA0D37" w:rsidRDefault="005D7926" w:rsidP="00FA0D37">
      <w:pPr>
        <w:pStyle w:val="PL"/>
        <w:rPr>
          <w:color w:val="808080"/>
        </w:rPr>
      </w:pPr>
      <w:r w:rsidRPr="00FA0D37">
        <w:t xml:space="preserve">    format3Ext-r17                          SetupRelease { PUCCH-FormatConfigExt-r17 }                            </w:t>
      </w:r>
      <w:r w:rsidRPr="00FA0D37">
        <w:rPr>
          <w:color w:val="993366"/>
        </w:rPr>
        <w:t>OPTIONAL</w:t>
      </w:r>
      <w:r w:rsidRPr="00FA0D37">
        <w:t xml:space="preserve">, </w:t>
      </w:r>
      <w:r w:rsidRPr="00FA0D37">
        <w:rPr>
          <w:color w:val="808080"/>
        </w:rPr>
        <w:t>-- Need M</w:t>
      </w:r>
    </w:p>
    <w:p w14:paraId="3094A0B6" w14:textId="77777777" w:rsidR="005D7926" w:rsidRPr="00FA0D37" w:rsidRDefault="005D7926" w:rsidP="00FA0D37">
      <w:pPr>
        <w:pStyle w:val="PL"/>
        <w:rPr>
          <w:color w:val="808080"/>
        </w:rPr>
      </w:pPr>
      <w:r w:rsidRPr="00FA0D37">
        <w:t xml:space="preserve">    format4Ext-r17                          SetupRelease { PUCCH-FormatConfigExt-r17 }                            </w:t>
      </w:r>
      <w:r w:rsidRPr="00FA0D37">
        <w:rPr>
          <w:color w:val="993366"/>
        </w:rPr>
        <w:t>OPTIONAL</w:t>
      </w:r>
      <w:r w:rsidRPr="00FA0D37">
        <w:t xml:space="preserve">, </w:t>
      </w:r>
      <w:r w:rsidRPr="00FA0D37">
        <w:rPr>
          <w:color w:val="808080"/>
        </w:rPr>
        <w:t>-- Need M</w:t>
      </w:r>
    </w:p>
    <w:p w14:paraId="50E62A14" w14:textId="4E3F41E3" w:rsidR="005D7926" w:rsidRPr="00FA0D37" w:rsidRDefault="005D7926" w:rsidP="00FA0D37">
      <w:pPr>
        <w:pStyle w:val="PL"/>
        <w:rPr>
          <w:color w:val="808080"/>
        </w:rPr>
      </w:pPr>
      <w:r w:rsidRPr="00FA0D37">
        <w:t xml:space="preserve">    ul-AccessConfigListDCI-1-2-r17          SetupRelease { UL-AccessConfigListDCI-1-2-r17 }                       </w:t>
      </w:r>
      <w:r w:rsidRPr="00FA0D37">
        <w:rPr>
          <w:color w:val="993366"/>
        </w:rPr>
        <w:t>OPTIONAL</w:t>
      </w:r>
      <w:r w:rsidR="00651368" w:rsidRPr="00FA0D37">
        <w:t>,</w:t>
      </w:r>
      <w:r w:rsidRPr="00FA0D37">
        <w:t xml:space="preserve"> </w:t>
      </w:r>
      <w:r w:rsidRPr="00FA0D37">
        <w:rPr>
          <w:color w:val="808080"/>
        </w:rPr>
        <w:t>-- Need M</w:t>
      </w:r>
    </w:p>
    <w:p w14:paraId="668F51C2" w14:textId="54790265" w:rsidR="00651368" w:rsidRPr="00FA0D37" w:rsidRDefault="00651368" w:rsidP="00FA0D37">
      <w:pPr>
        <w:pStyle w:val="PL"/>
        <w:rPr>
          <w:color w:val="808080"/>
        </w:rPr>
      </w:pPr>
      <w:r w:rsidRPr="00FA0D37">
        <w:t xml:space="preserve">    mappingPattern-r17                      </w:t>
      </w:r>
      <w:r w:rsidRPr="00FA0D37">
        <w:rPr>
          <w:color w:val="993366"/>
        </w:rPr>
        <w:t>ENUMERATED</w:t>
      </w:r>
      <w:r w:rsidRPr="00FA0D37">
        <w:t xml:space="preserve"> {cyclicMapping, sequentialMapping}                         </w:t>
      </w:r>
      <w:r w:rsidRPr="00FA0D37">
        <w:rPr>
          <w:color w:val="993366"/>
        </w:rPr>
        <w:t>OPTIONAL</w:t>
      </w:r>
      <w:r w:rsidRPr="00FA0D37">
        <w:t xml:space="preserve">, </w:t>
      </w:r>
      <w:r w:rsidRPr="00FA0D37">
        <w:rPr>
          <w:color w:val="808080"/>
        </w:rPr>
        <w:t>-- Need R</w:t>
      </w:r>
    </w:p>
    <w:p w14:paraId="2340630F" w14:textId="0A1250DE" w:rsidR="00651368" w:rsidRPr="00FA0D37" w:rsidRDefault="00651368" w:rsidP="00FA0D37">
      <w:pPr>
        <w:pStyle w:val="PL"/>
      </w:pPr>
      <w:r w:rsidRPr="00FA0D37">
        <w:t xml:space="preserve">    powerControlSetInfoToAddModList-r17     </w:t>
      </w:r>
      <w:r w:rsidRPr="00FA0D37">
        <w:rPr>
          <w:color w:val="993366"/>
        </w:rPr>
        <w:t>SEQUENCE</w:t>
      </w:r>
      <w:r w:rsidRPr="00FA0D37">
        <w:t xml:space="preserve"> (</w:t>
      </w:r>
      <w:r w:rsidRPr="00FA0D37">
        <w:rPr>
          <w:color w:val="993366"/>
        </w:rPr>
        <w:t>SIZE</w:t>
      </w:r>
      <w:r w:rsidRPr="00FA0D37">
        <w:t xml:space="preserve"> (1..maxNrofPowerControlSetInfos</w:t>
      </w:r>
      <w:r w:rsidR="00D230C3" w:rsidRPr="00FA0D37">
        <w:t>-r17</w:t>
      </w:r>
      <w:r w:rsidRPr="00FA0D37">
        <w:t>))</w:t>
      </w:r>
      <w:r w:rsidRPr="00FA0D37">
        <w:rPr>
          <w:color w:val="993366"/>
        </w:rPr>
        <w:t xml:space="preserve"> OF</w:t>
      </w:r>
      <w:r w:rsidRPr="00FA0D37">
        <w:t xml:space="preserve"> PUCCH-PowerControlSetInfo-r17</w:t>
      </w:r>
    </w:p>
    <w:p w14:paraId="7824F948" w14:textId="783ECD35" w:rsidR="00651368" w:rsidRPr="00FA0D37" w:rsidRDefault="00651368"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3D7C4042" w14:textId="0974939A" w:rsidR="00651368" w:rsidRPr="00FA0D37" w:rsidRDefault="00651368" w:rsidP="00FA0D37">
      <w:pPr>
        <w:pStyle w:val="PL"/>
      </w:pPr>
      <w:r w:rsidRPr="00FA0D37">
        <w:t xml:space="preserve">    powerControlSetInfoToReleaseList-r17    </w:t>
      </w:r>
      <w:r w:rsidRPr="00FA0D37">
        <w:rPr>
          <w:color w:val="993366"/>
        </w:rPr>
        <w:t>SEQUENCE</w:t>
      </w:r>
      <w:r w:rsidRPr="00FA0D37">
        <w:t xml:space="preserve"> (</w:t>
      </w:r>
      <w:r w:rsidRPr="00FA0D37">
        <w:rPr>
          <w:color w:val="993366"/>
        </w:rPr>
        <w:t>SIZE</w:t>
      </w:r>
      <w:r w:rsidRPr="00FA0D37">
        <w:t xml:space="preserve"> (1..maxNrofPowerControlSetInfos</w:t>
      </w:r>
      <w:r w:rsidR="00D230C3" w:rsidRPr="00FA0D37">
        <w:t>-r17</w:t>
      </w:r>
      <w:r w:rsidRPr="00FA0D37">
        <w:t>))</w:t>
      </w:r>
      <w:r w:rsidRPr="00FA0D37">
        <w:rPr>
          <w:color w:val="993366"/>
        </w:rPr>
        <w:t xml:space="preserve"> OF</w:t>
      </w:r>
      <w:r w:rsidRPr="00FA0D37">
        <w:t xml:space="preserve"> PUCCH-PowerControlSetInfoId-r17</w:t>
      </w:r>
    </w:p>
    <w:p w14:paraId="62B9FC9D" w14:textId="7EAC2336" w:rsidR="00651368" w:rsidRPr="00FA0D37" w:rsidRDefault="00651368"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141D0EAB" w14:textId="69214742" w:rsidR="00651368" w:rsidRPr="00FA0D37" w:rsidRDefault="00651368" w:rsidP="00FA0D37">
      <w:pPr>
        <w:pStyle w:val="PL"/>
        <w:rPr>
          <w:color w:val="808080"/>
        </w:rPr>
      </w:pPr>
      <w:r w:rsidRPr="00FA0D37">
        <w:t xml:space="preserve">    secondTPCFieldDCI-1-1-r17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39C884B9" w14:textId="77C6FD56" w:rsidR="00651368" w:rsidRPr="00FA0D37" w:rsidRDefault="00651368" w:rsidP="00FA0D37">
      <w:pPr>
        <w:pStyle w:val="PL"/>
        <w:rPr>
          <w:color w:val="808080"/>
        </w:rPr>
      </w:pPr>
      <w:r w:rsidRPr="00FA0D37">
        <w:t xml:space="preserve">    secondTPCFieldDCI-1-2-r17               </w:t>
      </w:r>
      <w:r w:rsidRPr="00FA0D37">
        <w:rPr>
          <w:color w:val="993366"/>
        </w:rPr>
        <w:t>ENUMERATED</w:t>
      </w:r>
      <w:r w:rsidRPr="00FA0D37">
        <w:t xml:space="preserve"> {enabled}                                                  </w:t>
      </w:r>
      <w:r w:rsidRPr="00FA0D37">
        <w:rPr>
          <w:color w:val="993366"/>
        </w:rPr>
        <w:t>OPTIONAL</w:t>
      </w:r>
      <w:r w:rsidR="007E2C88" w:rsidRPr="00FA0D37">
        <w:t>,</w:t>
      </w:r>
      <w:r w:rsidRPr="00FA0D37">
        <w:t xml:space="preserve"> </w:t>
      </w:r>
      <w:r w:rsidRPr="00FA0D37">
        <w:rPr>
          <w:color w:val="808080"/>
        </w:rPr>
        <w:t>-- Need R</w:t>
      </w:r>
    </w:p>
    <w:p w14:paraId="1A3877A0" w14:textId="77777777" w:rsidR="007E2C88" w:rsidRPr="00FA0D37" w:rsidRDefault="007E2C88" w:rsidP="00FA0D37">
      <w:pPr>
        <w:pStyle w:val="PL"/>
        <w:rPr>
          <w:color w:val="808080"/>
        </w:rPr>
      </w:pPr>
      <w:r w:rsidRPr="00FA0D37">
        <w:t xml:space="preserve">    dl-DataToUL-ACK-r17                     SetupRelease { DL-DataToUL-ACK-r17 }                                  </w:t>
      </w:r>
      <w:r w:rsidRPr="00FA0D37">
        <w:rPr>
          <w:color w:val="993366"/>
        </w:rPr>
        <w:t>OPTIONAL</w:t>
      </w:r>
      <w:r w:rsidRPr="00FA0D37">
        <w:t xml:space="preserve">, </w:t>
      </w:r>
      <w:r w:rsidRPr="00FA0D37">
        <w:rPr>
          <w:color w:val="808080"/>
        </w:rPr>
        <w:t>-- Need M</w:t>
      </w:r>
    </w:p>
    <w:p w14:paraId="035206BA" w14:textId="77777777" w:rsidR="007E2C88" w:rsidRPr="00FA0D37" w:rsidRDefault="007E2C88" w:rsidP="00FA0D37">
      <w:pPr>
        <w:pStyle w:val="PL"/>
        <w:rPr>
          <w:color w:val="808080"/>
        </w:rPr>
      </w:pPr>
      <w:r w:rsidRPr="00FA0D37">
        <w:t xml:space="preserve">    dl-DataToUL-ACK-DCI-1-2-r17             SetupRelease { DL-DataToUL-ACK-DCI-1-2-r17}                           </w:t>
      </w:r>
      <w:r w:rsidRPr="00FA0D37">
        <w:rPr>
          <w:color w:val="993366"/>
        </w:rPr>
        <w:t>OPTIONAL</w:t>
      </w:r>
      <w:r w:rsidRPr="00FA0D37">
        <w:t xml:space="preserve">, </w:t>
      </w:r>
      <w:r w:rsidRPr="00FA0D37">
        <w:rPr>
          <w:color w:val="808080"/>
        </w:rPr>
        <w:t>-- Need M</w:t>
      </w:r>
    </w:p>
    <w:p w14:paraId="7CD8B9A0" w14:textId="585DE1AE" w:rsidR="007E2C88" w:rsidRPr="00FA0D37" w:rsidRDefault="007E2C88" w:rsidP="00FA0D37">
      <w:pPr>
        <w:pStyle w:val="PL"/>
        <w:rPr>
          <w:color w:val="808080"/>
        </w:rPr>
      </w:pPr>
      <w:r w:rsidRPr="00FA0D37">
        <w:t xml:space="preserve">    ul-AccessConfigListDCI-1-1-r17          SetupRelease { UL-AccessConfigListDCI-1-1-r17 }                       </w:t>
      </w:r>
      <w:r w:rsidRPr="00FA0D37">
        <w:rPr>
          <w:color w:val="993366"/>
        </w:rPr>
        <w:t>OPTIONAL</w:t>
      </w:r>
      <w:r w:rsidRPr="00FA0D37">
        <w:t xml:space="preserve">, </w:t>
      </w:r>
      <w:r w:rsidRPr="00FA0D37">
        <w:rPr>
          <w:color w:val="808080"/>
        </w:rPr>
        <w:t>-- Need M</w:t>
      </w:r>
    </w:p>
    <w:p w14:paraId="420EA12D" w14:textId="350F72FE" w:rsidR="007E2C88" w:rsidRPr="00FA0D37" w:rsidRDefault="007E2C88" w:rsidP="00FA0D37">
      <w:pPr>
        <w:pStyle w:val="PL"/>
      </w:pPr>
      <w:r w:rsidRPr="00FA0D37">
        <w:t xml:space="preserve">    schedulingRequestResourceToAddModListExt-v1700 </w:t>
      </w:r>
      <w:r w:rsidRPr="00FA0D37">
        <w:rPr>
          <w:color w:val="993366"/>
        </w:rPr>
        <w:t>SEQUENCE</w:t>
      </w:r>
      <w:r w:rsidRPr="00FA0D37">
        <w:t xml:space="preserve"> (</w:t>
      </w:r>
      <w:r w:rsidRPr="00FA0D37">
        <w:rPr>
          <w:color w:val="993366"/>
        </w:rPr>
        <w:t>SIZE</w:t>
      </w:r>
      <w:r w:rsidRPr="00FA0D37">
        <w:t xml:space="preserve"> (1..maxNrofSR-Resources))</w:t>
      </w:r>
      <w:r w:rsidRPr="00FA0D37">
        <w:rPr>
          <w:color w:val="993366"/>
        </w:rPr>
        <w:t xml:space="preserve"> OF</w:t>
      </w:r>
      <w:r w:rsidRPr="00FA0D37">
        <w:t xml:space="preserve"> SchedulingRequestResourceConfigExt-v1700</w:t>
      </w:r>
    </w:p>
    <w:p w14:paraId="6A9D6FCC" w14:textId="556A9196" w:rsidR="007E2C88" w:rsidRPr="00FA0D37" w:rsidRDefault="007E2C88" w:rsidP="00FA0D37">
      <w:pPr>
        <w:pStyle w:val="PL"/>
        <w:rPr>
          <w:color w:val="808080"/>
        </w:rPr>
      </w:pPr>
      <w:r w:rsidRPr="00FA0D37">
        <w:lastRenderedPageBreak/>
        <w:t xml:space="preserve">                                                                                                                  </w:t>
      </w:r>
      <w:r w:rsidRPr="00FA0D37">
        <w:rPr>
          <w:color w:val="993366"/>
        </w:rPr>
        <w:t>OPTIONAL</w:t>
      </w:r>
      <w:r w:rsidR="003E7B2B" w:rsidRPr="00FA0D37">
        <w:t>,</w:t>
      </w:r>
      <w:r w:rsidRPr="00FA0D37">
        <w:t xml:space="preserve"> </w:t>
      </w:r>
      <w:r w:rsidRPr="00FA0D37">
        <w:rPr>
          <w:color w:val="808080"/>
        </w:rPr>
        <w:t>-- Need N</w:t>
      </w:r>
    </w:p>
    <w:p w14:paraId="51A93E6D" w14:textId="57C43069" w:rsidR="003E7B2B" w:rsidRPr="00FA0D37" w:rsidRDefault="003E7B2B" w:rsidP="00FA0D37">
      <w:pPr>
        <w:pStyle w:val="PL"/>
        <w:rPr>
          <w:color w:val="808080"/>
        </w:rPr>
      </w:pPr>
      <w:r w:rsidRPr="00FA0D37">
        <w:t xml:space="preserve">    dmrs-BundlingPUCCH-Config-r17           SetupRelease { DMRS-BundlingPUCCH-Config-r17 }                        </w:t>
      </w:r>
      <w:r w:rsidRPr="00FA0D37">
        <w:rPr>
          <w:color w:val="993366"/>
        </w:rPr>
        <w:t>OPTIONAL</w:t>
      </w:r>
      <w:r w:rsidR="005B7637" w:rsidRPr="00FA0D37">
        <w:t>,</w:t>
      </w:r>
      <w:r w:rsidRPr="00FA0D37">
        <w:t xml:space="preserve"> </w:t>
      </w:r>
      <w:r w:rsidRPr="00FA0D37">
        <w:rPr>
          <w:color w:val="808080"/>
        </w:rPr>
        <w:t>-- Need M</w:t>
      </w:r>
    </w:p>
    <w:p w14:paraId="7C5ABCDF" w14:textId="7FBC1E24" w:rsidR="005B7637" w:rsidRPr="00FA0D37" w:rsidRDefault="005B7637" w:rsidP="00FA0D37">
      <w:pPr>
        <w:pStyle w:val="PL"/>
        <w:rPr>
          <w:color w:val="808080"/>
        </w:rPr>
      </w:pPr>
      <w:r w:rsidRPr="00FA0D37">
        <w:t xml:space="preserve">    dl-DataToUL-ACK-v1700                   </w:t>
      </w:r>
      <w:r w:rsidR="00771058" w:rsidRPr="00FA0D37">
        <w:t>SetupRelease { DL-DataToUL-ACK-v1700 }</w:t>
      </w:r>
      <w:r w:rsidRPr="00FA0D37">
        <w:t xml:space="preserve">                            </w:t>
      </w:r>
      <w:r w:rsidR="00771058" w:rsidRPr="00FA0D37">
        <w:t xml:space="preserve">    </w:t>
      </w:r>
      <w:r w:rsidRPr="00FA0D37">
        <w:rPr>
          <w:color w:val="993366"/>
        </w:rPr>
        <w:t>OPTIONAL</w:t>
      </w:r>
      <w:r w:rsidR="001E593B" w:rsidRPr="00FA0D37">
        <w:t>,</w:t>
      </w:r>
      <w:r w:rsidRPr="00FA0D37">
        <w:t xml:space="preserve"> </w:t>
      </w:r>
      <w:r w:rsidRPr="00FA0D37">
        <w:rPr>
          <w:color w:val="808080"/>
        </w:rPr>
        <w:t>-- Need M</w:t>
      </w:r>
    </w:p>
    <w:p w14:paraId="3AC0433D" w14:textId="2B0A55B3" w:rsidR="001E593B" w:rsidRPr="00FA0D37" w:rsidRDefault="001E593B" w:rsidP="00FA0D37">
      <w:pPr>
        <w:pStyle w:val="PL"/>
        <w:rPr>
          <w:color w:val="808080"/>
        </w:rPr>
      </w:pPr>
      <w:r w:rsidRPr="00FA0D37">
        <w:t xml:space="preserve">    dl-DataToUL-ACK-MulticastDCI-Format4-1-r17 SetupRelease { DL-DataToUL-ACK-MulticastDCI-Format4-1-r17 }        </w:t>
      </w:r>
      <w:r w:rsidRPr="00FA0D37">
        <w:rPr>
          <w:color w:val="993366"/>
        </w:rPr>
        <w:t>OPTIONAL</w:t>
      </w:r>
      <w:r w:rsidRPr="00FA0D37">
        <w:t xml:space="preserve">, </w:t>
      </w:r>
      <w:r w:rsidRPr="00FA0D37">
        <w:rPr>
          <w:color w:val="808080"/>
        </w:rPr>
        <w:t>-- Need M</w:t>
      </w:r>
    </w:p>
    <w:p w14:paraId="01E397B8" w14:textId="16544BF5" w:rsidR="001E593B" w:rsidRPr="00FA0D37" w:rsidRDefault="001E593B" w:rsidP="00FA0D37">
      <w:pPr>
        <w:pStyle w:val="PL"/>
        <w:rPr>
          <w:color w:val="808080"/>
        </w:rPr>
      </w:pPr>
      <w:r w:rsidRPr="00FA0D37">
        <w:t xml:space="preserve">    sps-PUCCH-AN-ListMulticast-r17          SetupRelease { SPS-PUCCH-AN-List-r16 }                                </w:t>
      </w:r>
      <w:r w:rsidRPr="00FA0D37">
        <w:rPr>
          <w:color w:val="993366"/>
        </w:rPr>
        <w:t>OPTIONAL</w:t>
      </w:r>
      <w:r w:rsidRPr="00FA0D37">
        <w:t xml:space="preserve">  </w:t>
      </w:r>
      <w:r w:rsidRPr="00FA0D37">
        <w:rPr>
          <w:color w:val="808080"/>
        </w:rPr>
        <w:t>-- Need M</w:t>
      </w:r>
    </w:p>
    <w:p w14:paraId="5E751510" w14:textId="05E6CA17" w:rsidR="00394471" w:rsidRPr="00FA0D37" w:rsidRDefault="005D7926" w:rsidP="00FA0D37">
      <w:pPr>
        <w:pStyle w:val="PL"/>
      </w:pPr>
      <w:r w:rsidRPr="00FA0D37">
        <w:t xml:space="preserve">    ]]</w:t>
      </w:r>
    </w:p>
    <w:p w14:paraId="4CB5DF27" w14:textId="77777777" w:rsidR="00394471" w:rsidRPr="00FA0D37" w:rsidRDefault="00394471" w:rsidP="00FA0D37">
      <w:pPr>
        <w:pStyle w:val="PL"/>
      </w:pPr>
      <w:r w:rsidRPr="00FA0D37">
        <w:t>}</w:t>
      </w:r>
    </w:p>
    <w:p w14:paraId="783EBAEC" w14:textId="77777777" w:rsidR="00394471" w:rsidRPr="00FA0D37" w:rsidRDefault="00394471" w:rsidP="00FA0D37">
      <w:pPr>
        <w:pStyle w:val="PL"/>
      </w:pPr>
    </w:p>
    <w:p w14:paraId="1995F52F" w14:textId="77777777" w:rsidR="00394471" w:rsidRPr="00FA0D37" w:rsidRDefault="00394471" w:rsidP="00FA0D37">
      <w:pPr>
        <w:pStyle w:val="PL"/>
      </w:pPr>
      <w:r w:rsidRPr="00FA0D37">
        <w:t xml:space="preserve">PUCCH-FormatConfig ::=                  </w:t>
      </w:r>
      <w:r w:rsidRPr="00FA0D37">
        <w:rPr>
          <w:color w:val="993366"/>
        </w:rPr>
        <w:t>SEQUENCE</w:t>
      </w:r>
      <w:r w:rsidRPr="00FA0D37">
        <w:t xml:space="preserve"> {</w:t>
      </w:r>
    </w:p>
    <w:p w14:paraId="28EBD2E2" w14:textId="77777777" w:rsidR="00394471" w:rsidRPr="00FA0D37" w:rsidRDefault="00394471" w:rsidP="00FA0D37">
      <w:pPr>
        <w:pStyle w:val="PL"/>
        <w:rPr>
          <w:color w:val="808080"/>
        </w:rPr>
      </w:pPr>
      <w:r w:rsidRPr="00FA0D37">
        <w:t xml:space="preserve">    interslotFrequencyHopping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7A05F486" w14:textId="77777777" w:rsidR="00394471" w:rsidRPr="00FA0D37" w:rsidRDefault="00394471" w:rsidP="00FA0D37">
      <w:pPr>
        <w:pStyle w:val="PL"/>
        <w:rPr>
          <w:color w:val="808080"/>
        </w:rPr>
      </w:pPr>
      <w:r w:rsidRPr="00FA0D37">
        <w:t xml:space="preserve">    additionalDMRS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182C35F" w14:textId="77777777" w:rsidR="00394471" w:rsidRPr="00FA0D37" w:rsidRDefault="00394471" w:rsidP="00FA0D37">
      <w:pPr>
        <w:pStyle w:val="PL"/>
        <w:rPr>
          <w:color w:val="808080"/>
        </w:rPr>
      </w:pPr>
      <w:r w:rsidRPr="00FA0D37">
        <w:t xml:space="preserve">    maxCodeRate                             PUCCH-MaxCodeRate                                                     </w:t>
      </w:r>
      <w:r w:rsidRPr="00FA0D37">
        <w:rPr>
          <w:color w:val="993366"/>
        </w:rPr>
        <w:t>OPTIONAL</w:t>
      </w:r>
      <w:r w:rsidRPr="00FA0D37">
        <w:t xml:space="preserve">, </w:t>
      </w:r>
      <w:r w:rsidRPr="00FA0D37">
        <w:rPr>
          <w:color w:val="808080"/>
        </w:rPr>
        <w:t>-- Need R</w:t>
      </w:r>
    </w:p>
    <w:p w14:paraId="208DF5BF" w14:textId="77777777" w:rsidR="00394471" w:rsidRPr="00FA0D37" w:rsidRDefault="00394471" w:rsidP="00FA0D37">
      <w:pPr>
        <w:pStyle w:val="PL"/>
        <w:rPr>
          <w:color w:val="808080"/>
        </w:rPr>
      </w:pPr>
      <w:r w:rsidRPr="00FA0D37">
        <w:t xml:space="preserve">    nrofSlots                               </w:t>
      </w:r>
      <w:r w:rsidRPr="00FA0D37">
        <w:rPr>
          <w:color w:val="993366"/>
        </w:rPr>
        <w:t>ENUMERATED</w:t>
      </w:r>
      <w:r w:rsidRPr="00FA0D37">
        <w:t xml:space="preserve"> {n2,n4,n8}                                                 </w:t>
      </w:r>
      <w:r w:rsidRPr="00FA0D37">
        <w:rPr>
          <w:color w:val="993366"/>
        </w:rPr>
        <w:t>OPTIONAL</w:t>
      </w:r>
      <w:r w:rsidRPr="00FA0D37">
        <w:t xml:space="preserve">, </w:t>
      </w:r>
      <w:r w:rsidRPr="00FA0D37">
        <w:rPr>
          <w:color w:val="808080"/>
        </w:rPr>
        <w:t>-- Need S</w:t>
      </w:r>
    </w:p>
    <w:p w14:paraId="011958E3" w14:textId="77777777" w:rsidR="00394471" w:rsidRPr="00FA0D37" w:rsidRDefault="00394471" w:rsidP="00FA0D37">
      <w:pPr>
        <w:pStyle w:val="PL"/>
        <w:rPr>
          <w:color w:val="808080"/>
        </w:rPr>
      </w:pPr>
      <w:r w:rsidRPr="00FA0D37">
        <w:t xml:space="preserve">    pi2BPSK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4473AE4B" w14:textId="77777777" w:rsidR="00394471" w:rsidRPr="00FA0D37" w:rsidRDefault="00394471" w:rsidP="00FA0D37">
      <w:pPr>
        <w:pStyle w:val="PL"/>
        <w:rPr>
          <w:color w:val="808080"/>
        </w:rPr>
      </w:pPr>
      <w:r w:rsidRPr="00FA0D37">
        <w:t xml:space="preserve">    simultaneousHARQ-ACK-CSI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24F24512" w14:textId="77777777" w:rsidR="00394471" w:rsidRPr="00FA0D37" w:rsidRDefault="00394471" w:rsidP="00FA0D37">
      <w:pPr>
        <w:pStyle w:val="PL"/>
      </w:pPr>
      <w:r w:rsidRPr="00FA0D37">
        <w:t>}</w:t>
      </w:r>
    </w:p>
    <w:p w14:paraId="2A509B04" w14:textId="77777777" w:rsidR="005D7926" w:rsidRPr="00FA0D37" w:rsidRDefault="005D7926" w:rsidP="00FA0D37">
      <w:pPr>
        <w:pStyle w:val="PL"/>
      </w:pPr>
    </w:p>
    <w:p w14:paraId="5D98277B" w14:textId="556E2ABC" w:rsidR="005D7926" w:rsidRPr="00FA0D37" w:rsidRDefault="005D7926" w:rsidP="00FA0D37">
      <w:pPr>
        <w:pStyle w:val="PL"/>
      </w:pPr>
      <w:r w:rsidRPr="00FA0D37">
        <w:t xml:space="preserve">PUCCH-FormatConfigExt-r17 ::=           </w:t>
      </w:r>
      <w:r w:rsidRPr="00FA0D37">
        <w:rPr>
          <w:color w:val="993366"/>
        </w:rPr>
        <w:t>SEQUENCE</w:t>
      </w:r>
      <w:r w:rsidRPr="00FA0D37">
        <w:t xml:space="preserve"> {</w:t>
      </w:r>
    </w:p>
    <w:p w14:paraId="312F93BE" w14:textId="5B15CEE0" w:rsidR="005D7926" w:rsidRPr="00FA0D37" w:rsidRDefault="005D7926" w:rsidP="00FA0D37">
      <w:pPr>
        <w:pStyle w:val="PL"/>
        <w:rPr>
          <w:color w:val="808080"/>
        </w:rPr>
      </w:pPr>
      <w:r w:rsidRPr="00FA0D37">
        <w:t xml:space="preserve">    maxCodeRateLP-r17                       PUCCH-MaxCodeRate                                                     </w:t>
      </w:r>
      <w:r w:rsidRPr="00FA0D37">
        <w:rPr>
          <w:color w:val="993366"/>
        </w:rPr>
        <w:t>OPTIONAL</w:t>
      </w:r>
      <w:r w:rsidRPr="00FA0D37">
        <w:t xml:space="preserve">, </w:t>
      </w:r>
      <w:r w:rsidRPr="00FA0D37">
        <w:rPr>
          <w:color w:val="808080"/>
        </w:rPr>
        <w:t>-- Need R</w:t>
      </w:r>
    </w:p>
    <w:p w14:paraId="0943B5BF" w14:textId="77777777" w:rsidR="005D7926" w:rsidRPr="00FA0D37" w:rsidRDefault="005D7926" w:rsidP="00FA0D37">
      <w:pPr>
        <w:pStyle w:val="PL"/>
      </w:pPr>
      <w:r w:rsidRPr="00FA0D37">
        <w:t xml:space="preserve">    ...</w:t>
      </w:r>
    </w:p>
    <w:p w14:paraId="05A00C13" w14:textId="77777777" w:rsidR="005D7926" w:rsidRPr="00FA0D37" w:rsidRDefault="005D7926" w:rsidP="00FA0D37">
      <w:pPr>
        <w:pStyle w:val="PL"/>
      </w:pPr>
      <w:r w:rsidRPr="00FA0D37">
        <w:t>}</w:t>
      </w:r>
    </w:p>
    <w:p w14:paraId="7D508FF6" w14:textId="77777777" w:rsidR="00394471" w:rsidRPr="00FA0D37" w:rsidRDefault="00394471" w:rsidP="00FA0D37">
      <w:pPr>
        <w:pStyle w:val="PL"/>
      </w:pPr>
    </w:p>
    <w:p w14:paraId="16AFDB10" w14:textId="77777777" w:rsidR="00394471" w:rsidRPr="00FA0D37" w:rsidRDefault="00394471" w:rsidP="00FA0D37">
      <w:pPr>
        <w:pStyle w:val="PL"/>
      </w:pPr>
      <w:r w:rsidRPr="00FA0D37">
        <w:t xml:space="preserve">PUCCH-MaxCodeRate ::=                   </w:t>
      </w:r>
      <w:r w:rsidRPr="00FA0D37">
        <w:rPr>
          <w:color w:val="993366"/>
        </w:rPr>
        <w:t>ENUMERATED</w:t>
      </w:r>
      <w:r w:rsidRPr="00FA0D37">
        <w:t xml:space="preserve"> {zeroDot08, zeroDot15, zeroDot25, zeroDot35, zeroDot45, zeroDot60, zeroDot80}</w:t>
      </w:r>
    </w:p>
    <w:p w14:paraId="7373B0AD" w14:textId="77777777" w:rsidR="00394471" w:rsidRPr="00FA0D37" w:rsidRDefault="00394471" w:rsidP="00FA0D37">
      <w:pPr>
        <w:pStyle w:val="PL"/>
      </w:pPr>
    </w:p>
    <w:p w14:paraId="384DE212" w14:textId="77777777" w:rsidR="00394471" w:rsidRPr="00FA0D37" w:rsidRDefault="00394471" w:rsidP="00FA0D37">
      <w:pPr>
        <w:pStyle w:val="PL"/>
        <w:rPr>
          <w:color w:val="808080"/>
        </w:rPr>
      </w:pPr>
      <w:r w:rsidRPr="00FA0D37">
        <w:rPr>
          <w:color w:val="808080"/>
        </w:rPr>
        <w:t>-- A set with one or more PUCCH resources</w:t>
      </w:r>
    </w:p>
    <w:p w14:paraId="1EE6A4E2" w14:textId="77777777" w:rsidR="00394471" w:rsidRPr="00FA0D37" w:rsidRDefault="00394471" w:rsidP="00FA0D37">
      <w:pPr>
        <w:pStyle w:val="PL"/>
      </w:pPr>
      <w:r w:rsidRPr="00FA0D37">
        <w:t xml:space="preserve">PUCCH-ResourceSet ::=                   </w:t>
      </w:r>
      <w:r w:rsidRPr="00FA0D37">
        <w:rPr>
          <w:color w:val="993366"/>
        </w:rPr>
        <w:t>SEQUENCE</w:t>
      </w:r>
      <w:r w:rsidRPr="00FA0D37">
        <w:t xml:space="preserve"> {</w:t>
      </w:r>
    </w:p>
    <w:p w14:paraId="11502B80" w14:textId="77777777" w:rsidR="00394471" w:rsidRPr="00FA0D37" w:rsidRDefault="00394471" w:rsidP="00FA0D37">
      <w:pPr>
        <w:pStyle w:val="PL"/>
      </w:pPr>
      <w:r w:rsidRPr="00FA0D37">
        <w:t xml:space="preserve">    pucch-ResourceSetId                     PUCCH-ResourceSetId,</w:t>
      </w:r>
    </w:p>
    <w:p w14:paraId="4BA18638" w14:textId="77777777" w:rsidR="00394471" w:rsidRPr="00FA0D37" w:rsidRDefault="00394471" w:rsidP="00FA0D37">
      <w:pPr>
        <w:pStyle w:val="PL"/>
      </w:pPr>
      <w:r w:rsidRPr="00FA0D37">
        <w:t xml:space="preserve">    resourceList                            </w:t>
      </w:r>
      <w:r w:rsidRPr="00FA0D37">
        <w:rPr>
          <w:color w:val="993366"/>
        </w:rPr>
        <w:t>SEQUENCE</w:t>
      </w:r>
      <w:r w:rsidRPr="00FA0D37">
        <w:t xml:space="preserve"> (</w:t>
      </w:r>
      <w:r w:rsidRPr="00FA0D37">
        <w:rPr>
          <w:color w:val="993366"/>
        </w:rPr>
        <w:t>SIZE</w:t>
      </w:r>
      <w:r w:rsidRPr="00FA0D37">
        <w:t xml:space="preserve"> (1..maxNrofPUCCH-ResourcesPerSet))</w:t>
      </w:r>
      <w:r w:rsidRPr="00FA0D37">
        <w:rPr>
          <w:color w:val="993366"/>
        </w:rPr>
        <w:t xml:space="preserve"> OF</w:t>
      </w:r>
      <w:r w:rsidRPr="00FA0D37">
        <w:t xml:space="preserve"> PUCCH-ResourceId,</w:t>
      </w:r>
    </w:p>
    <w:p w14:paraId="0EA6FF71" w14:textId="77777777" w:rsidR="00394471" w:rsidRPr="00FA0D37" w:rsidRDefault="00394471" w:rsidP="00FA0D37">
      <w:pPr>
        <w:pStyle w:val="PL"/>
        <w:rPr>
          <w:color w:val="808080"/>
        </w:rPr>
      </w:pPr>
      <w:r w:rsidRPr="00FA0D37">
        <w:t xml:space="preserve">    maxPayloadSize                          </w:t>
      </w:r>
      <w:r w:rsidRPr="00FA0D37">
        <w:rPr>
          <w:color w:val="993366"/>
        </w:rPr>
        <w:t>INTEGER</w:t>
      </w:r>
      <w:r w:rsidRPr="00FA0D37">
        <w:t xml:space="preserve"> (4..256)                                                      </w:t>
      </w:r>
      <w:r w:rsidRPr="00FA0D37">
        <w:rPr>
          <w:color w:val="993366"/>
        </w:rPr>
        <w:t>OPTIONAL</w:t>
      </w:r>
      <w:r w:rsidRPr="00FA0D37">
        <w:t xml:space="preserve">  </w:t>
      </w:r>
      <w:r w:rsidRPr="00FA0D37">
        <w:rPr>
          <w:color w:val="808080"/>
        </w:rPr>
        <w:t>-- Need R</w:t>
      </w:r>
    </w:p>
    <w:p w14:paraId="37A25783" w14:textId="77777777" w:rsidR="00394471" w:rsidRPr="00FA0D37" w:rsidRDefault="00394471" w:rsidP="00FA0D37">
      <w:pPr>
        <w:pStyle w:val="PL"/>
      </w:pPr>
      <w:r w:rsidRPr="00FA0D37">
        <w:t>}</w:t>
      </w:r>
    </w:p>
    <w:p w14:paraId="6A03FEAD" w14:textId="77777777" w:rsidR="00394471" w:rsidRPr="00FA0D37" w:rsidRDefault="00394471" w:rsidP="00FA0D37">
      <w:pPr>
        <w:pStyle w:val="PL"/>
      </w:pPr>
    </w:p>
    <w:p w14:paraId="364E14A1" w14:textId="77777777" w:rsidR="00394471" w:rsidRPr="00FA0D37" w:rsidRDefault="00394471" w:rsidP="00FA0D37">
      <w:pPr>
        <w:pStyle w:val="PL"/>
      </w:pPr>
      <w:r w:rsidRPr="00FA0D37">
        <w:t xml:space="preserve">PUCCH-ResourceSetId ::=                 </w:t>
      </w:r>
      <w:r w:rsidRPr="00FA0D37">
        <w:rPr>
          <w:color w:val="993366"/>
        </w:rPr>
        <w:t>INTEGER</w:t>
      </w:r>
      <w:r w:rsidRPr="00FA0D37">
        <w:t xml:space="preserve"> (0..maxNrofPUCCH-ResourceSets-1)</w:t>
      </w:r>
    </w:p>
    <w:p w14:paraId="6C7A3FE6" w14:textId="77777777" w:rsidR="00394471" w:rsidRPr="00FA0D37" w:rsidRDefault="00394471" w:rsidP="00FA0D37">
      <w:pPr>
        <w:pStyle w:val="PL"/>
      </w:pPr>
    </w:p>
    <w:p w14:paraId="28F24B79" w14:textId="77777777" w:rsidR="00394471" w:rsidRPr="00FA0D37" w:rsidRDefault="00394471" w:rsidP="00FA0D37">
      <w:pPr>
        <w:pStyle w:val="PL"/>
      </w:pPr>
      <w:r w:rsidRPr="00FA0D37">
        <w:t xml:space="preserve">PUCCH-Resource ::=                      </w:t>
      </w:r>
      <w:r w:rsidRPr="00FA0D37">
        <w:rPr>
          <w:color w:val="993366"/>
        </w:rPr>
        <w:t>SEQUENCE</w:t>
      </w:r>
      <w:r w:rsidRPr="00FA0D37">
        <w:t xml:space="preserve"> {</w:t>
      </w:r>
    </w:p>
    <w:p w14:paraId="7246309A" w14:textId="77777777" w:rsidR="00394471" w:rsidRPr="00FA0D37" w:rsidRDefault="00394471" w:rsidP="00FA0D37">
      <w:pPr>
        <w:pStyle w:val="PL"/>
      </w:pPr>
      <w:r w:rsidRPr="00FA0D37">
        <w:t xml:space="preserve">    pucch-ResourceId                        PUCCH-ResourceId,</w:t>
      </w:r>
    </w:p>
    <w:p w14:paraId="09C38760" w14:textId="77777777" w:rsidR="00394471" w:rsidRPr="00FA0D37" w:rsidRDefault="00394471" w:rsidP="00FA0D37">
      <w:pPr>
        <w:pStyle w:val="PL"/>
      </w:pPr>
      <w:r w:rsidRPr="00FA0D37">
        <w:t xml:space="preserve">    startingPRB                             PRB-Id,</w:t>
      </w:r>
    </w:p>
    <w:p w14:paraId="2D2D1211" w14:textId="77777777" w:rsidR="00394471" w:rsidRPr="00FA0D37" w:rsidRDefault="00394471" w:rsidP="00FA0D37">
      <w:pPr>
        <w:pStyle w:val="PL"/>
        <w:rPr>
          <w:color w:val="808080"/>
        </w:rPr>
      </w:pPr>
      <w:r w:rsidRPr="00FA0D37">
        <w:t xml:space="preserve">    intraSlotFrequencyHopping               </w:t>
      </w:r>
      <w:r w:rsidRPr="00FA0D37">
        <w:rPr>
          <w:color w:val="993366"/>
        </w:rPr>
        <w:t>ENUMERATED</w:t>
      </w:r>
      <w:r w:rsidRPr="00FA0D37">
        <w:t xml:space="preserve"> { enabled }                                                </w:t>
      </w:r>
      <w:r w:rsidRPr="00FA0D37">
        <w:rPr>
          <w:color w:val="993366"/>
        </w:rPr>
        <w:t>OPTIONAL</w:t>
      </w:r>
      <w:r w:rsidRPr="00FA0D37">
        <w:t xml:space="preserve">, </w:t>
      </w:r>
      <w:r w:rsidRPr="00FA0D37">
        <w:rPr>
          <w:color w:val="808080"/>
        </w:rPr>
        <w:t>-- Need R</w:t>
      </w:r>
    </w:p>
    <w:p w14:paraId="351AE5C0" w14:textId="77777777" w:rsidR="00394471" w:rsidRPr="00FA0D37" w:rsidRDefault="00394471" w:rsidP="00FA0D37">
      <w:pPr>
        <w:pStyle w:val="PL"/>
        <w:rPr>
          <w:color w:val="808080"/>
        </w:rPr>
      </w:pPr>
      <w:r w:rsidRPr="00FA0D37">
        <w:t xml:space="preserve">    secondHopPRB                            PRB-Id                                                                </w:t>
      </w:r>
      <w:r w:rsidRPr="00FA0D37">
        <w:rPr>
          <w:color w:val="993366"/>
        </w:rPr>
        <w:t>OPTIONAL</w:t>
      </w:r>
      <w:r w:rsidRPr="00FA0D37">
        <w:t xml:space="preserve">, </w:t>
      </w:r>
      <w:r w:rsidRPr="00FA0D37">
        <w:rPr>
          <w:color w:val="808080"/>
        </w:rPr>
        <w:t>-- Need R</w:t>
      </w:r>
    </w:p>
    <w:p w14:paraId="63ECCCD7" w14:textId="77777777" w:rsidR="00394471" w:rsidRPr="00FA0D37" w:rsidRDefault="00394471" w:rsidP="00FA0D37">
      <w:pPr>
        <w:pStyle w:val="PL"/>
      </w:pPr>
      <w:r w:rsidRPr="00FA0D37">
        <w:t xml:space="preserve">    format                                  </w:t>
      </w:r>
      <w:r w:rsidRPr="00FA0D37">
        <w:rPr>
          <w:color w:val="993366"/>
        </w:rPr>
        <w:t>CHOICE</w:t>
      </w:r>
      <w:r w:rsidRPr="00FA0D37">
        <w:t xml:space="preserve"> {</w:t>
      </w:r>
    </w:p>
    <w:p w14:paraId="0E7B48FF" w14:textId="77777777" w:rsidR="00394471" w:rsidRPr="00FA0D37" w:rsidRDefault="00394471" w:rsidP="00FA0D37">
      <w:pPr>
        <w:pStyle w:val="PL"/>
      </w:pPr>
      <w:r w:rsidRPr="00FA0D37">
        <w:t xml:space="preserve">        format0                                 PUCCH-format0,</w:t>
      </w:r>
    </w:p>
    <w:p w14:paraId="2AAC1FE7" w14:textId="77777777" w:rsidR="00394471" w:rsidRPr="00FA0D37" w:rsidRDefault="00394471" w:rsidP="00FA0D37">
      <w:pPr>
        <w:pStyle w:val="PL"/>
      </w:pPr>
      <w:r w:rsidRPr="00FA0D37">
        <w:t xml:space="preserve">        format1                                 PUCCH-format1,</w:t>
      </w:r>
    </w:p>
    <w:p w14:paraId="28509C6A" w14:textId="77777777" w:rsidR="00394471" w:rsidRPr="00FA0D37" w:rsidRDefault="00394471" w:rsidP="00FA0D37">
      <w:pPr>
        <w:pStyle w:val="PL"/>
      </w:pPr>
      <w:r w:rsidRPr="00FA0D37">
        <w:t xml:space="preserve">        format2                                 PUCCH-format2,</w:t>
      </w:r>
    </w:p>
    <w:p w14:paraId="378D4A87" w14:textId="77777777" w:rsidR="00394471" w:rsidRPr="00FA0D37" w:rsidRDefault="00394471" w:rsidP="00FA0D37">
      <w:pPr>
        <w:pStyle w:val="PL"/>
      </w:pPr>
      <w:r w:rsidRPr="00FA0D37">
        <w:t xml:space="preserve">        format3                                 PUCCH-format3,</w:t>
      </w:r>
    </w:p>
    <w:p w14:paraId="4270E37A" w14:textId="77777777" w:rsidR="00394471" w:rsidRPr="00FA0D37" w:rsidRDefault="00394471" w:rsidP="00FA0D37">
      <w:pPr>
        <w:pStyle w:val="PL"/>
      </w:pPr>
      <w:r w:rsidRPr="00FA0D37">
        <w:t xml:space="preserve">        format4                                 PUCCH-format4</w:t>
      </w:r>
    </w:p>
    <w:p w14:paraId="7FD38F44" w14:textId="77777777" w:rsidR="00394471" w:rsidRPr="00FA0D37" w:rsidRDefault="00394471" w:rsidP="00FA0D37">
      <w:pPr>
        <w:pStyle w:val="PL"/>
      </w:pPr>
      <w:r w:rsidRPr="00FA0D37">
        <w:t xml:space="preserve">    }</w:t>
      </w:r>
    </w:p>
    <w:p w14:paraId="722C1CA2" w14:textId="77777777" w:rsidR="00394471" w:rsidRPr="00FA0D37" w:rsidRDefault="00394471" w:rsidP="00FA0D37">
      <w:pPr>
        <w:pStyle w:val="PL"/>
      </w:pPr>
      <w:r w:rsidRPr="00FA0D37">
        <w:t>}</w:t>
      </w:r>
    </w:p>
    <w:p w14:paraId="215379A6" w14:textId="77777777" w:rsidR="00394471" w:rsidRPr="00FA0D37" w:rsidRDefault="00394471" w:rsidP="00FA0D37">
      <w:pPr>
        <w:pStyle w:val="PL"/>
      </w:pPr>
    </w:p>
    <w:p w14:paraId="1A6EA674" w14:textId="1742C57E" w:rsidR="00394471" w:rsidRPr="00FA0D37" w:rsidRDefault="00394471" w:rsidP="00FA0D37">
      <w:pPr>
        <w:pStyle w:val="PL"/>
      </w:pPr>
      <w:r w:rsidRPr="00FA0D37">
        <w:t>PUCCH-ResourceExt-</w:t>
      </w:r>
      <w:r w:rsidR="00137D47" w:rsidRPr="00FA0D37">
        <w:t>v1610</w:t>
      </w:r>
      <w:r w:rsidRPr="00FA0D37">
        <w:t xml:space="preserve"> ::=             </w:t>
      </w:r>
      <w:r w:rsidRPr="00FA0D37">
        <w:rPr>
          <w:color w:val="993366"/>
        </w:rPr>
        <w:t>SEQUENCE</w:t>
      </w:r>
      <w:r w:rsidRPr="00FA0D37">
        <w:t xml:space="preserve"> {</w:t>
      </w:r>
    </w:p>
    <w:p w14:paraId="21F47F1E" w14:textId="77777777" w:rsidR="00394471" w:rsidRPr="00FA0D37" w:rsidRDefault="00394471" w:rsidP="00FA0D37">
      <w:pPr>
        <w:pStyle w:val="PL"/>
      </w:pPr>
      <w:r w:rsidRPr="00FA0D37">
        <w:t xml:space="preserve">    interlaceAllocation-r16                 </w:t>
      </w:r>
      <w:r w:rsidRPr="00FA0D37">
        <w:rPr>
          <w:color w:val="993366"/>
        </w:rPr>
        <w:t>SEQUENCE</w:t>
      </w:r>
      <w:r w:rsidRPr="00FA0D37">
        <w:t xml:space="preserve"> {</w:t>
      </w:r>
    </w:p>
    <w:p w14:paraId="3BBD669C" w14:textId="0F9FDD4E" w:rsidR="00394471" w:rsidRPr="00FA0D37" w:rsidRDefault="00394471" w:rsidP="00FA0D37">
      <w:pPr>
        <w:pStyle w:val="PL"/>
      </w:pPr>
      <w:r w:rsidRPr="00FA0D37">
        <w:t xml:space="preserve">        rb-SetIndex</w:t>
      </w:r>
      <w:r w:rsidR="003A2D9D" w:rsidRPr="00FA0D37">
        <w:t>-r16</w:t>
      </w:r>
      <w:r w:rsidRPr="00FA0D37">
        <w:t xml:space="preserve">                         </w:t>
      </w:r>
      <w:r w:rsidRPr="00FA0D37">
        <w:rPr>
          <w:color w:val="993366"/>
        </w:rPr>
        <w:t>INTEGER</w:t>
      </w:r>
      <w:r w:rsidRPr="00FA0D37">
        <w:t xml:space="preserve"> (0..4),</w:t>
      </w:r>
    </w:p>
    <w:p w14:paraId="6C1637CD" w14:textId="02F9BB34" w:rsidR="00394471" w:rsidRPr="00FA0D37" w:rsidRDefault="00394471" w:rsidP="00FA0D37">
      <w:pPr>
        <w:pStyle w:val="PL"/>
      </w:pPr>
      <w:r w:rsidRPr="00FA0D37">
        <w:t xml:space="preserve">        interlace0</w:t>
      </w:r>
      <w:r w:rsidR="003A2D9D" w:rsidRPr="00FA0D37">
        <w:t>-r16</w:t>
      </w:r>
      <w:r w:rsidRPr="00FA0D37">
        <w:t xml:space="preserve">                          </w:t>
      </w:r>
      <w:r w:rsidRPr="00FA0D37">
        <w:rPr>
          <w:color w:val="993366"/>
        </w:rPr>
        <w:t>CHOICE</w:t>
      </w:r>
      <w:r w:rsidRPr="00FA0D37">
        <w:t xml:space="preserve"> {</w:t>
      </w:r>
    </w:p>
    <w:p w14:paraId="2B67981A" w14:textId="77777777" w:rsidR="00394471" w:rsidRPr="00FA0D37" w:rsidRDefault="00394471" w:rsidP="00FA0D37">
      <w:pPr>
        <w:pStyle w:val="PL"/>
      </w:pPr>
      <w:r w:rsidRPr="00FA0D37">
        <w:lastRenderedPageBreak/>
        <w:t xml:space="preserve">            scs15                                   </w:t>
      </w:r>
      <w:r w:rsidRPr="00FA0D37">
        <w:rPr>
          <w:color w:val="993366"/>
        </w:rPr>
        <w:t>INTEGER</w:t>
      </w:r>
      <w:r w:rsidRPr="00FA0D37">
        <w:t xml:space="preserve"> (0..9),</w:t>
      </w:r>
    </w:p>
    <w:p w14:paraId="4042F530" w14:textId="77777777" w:rsidR="00394471" w:rsidRPr="00FA0D37" w:rsidRDefault="00394471" w:rsidP="00FA0D37">
      <w:pPr>
        <w:pStyle w:val="PL"/>
      </w:pPr>
      <w:r w:rsidRPr="00FA0D37">
        <w:t xml:space="preserve">            scs30                                   </w:t>
      </w:r>
      <w:r w:rsidRPr="00FA0D37">
        <w:rPr>
          <w:color w:val="993366"/>
        </w:rPr>
        <w:t>INTEGER</w:t>
      </w:r>
      <w:r w:rsidRPr="00FA0D37">
        <w:t xml:space="preserve"> (0..4)</w:t>
      </w:r>
    </w:p>
    <w:p w14:paraId="63C500D0" w14:textId="77777777" w:rsidR="00394471" w:rsidRPr="00FA0D37" w:rsidRDefault="00394471" w:rsidP="00FA0D37">
      <w:pPr>
        <w:pStyle w:val="PL"/>
      </w:pPr>
      <w:r w:rsidRPr="00FA0D37">
        <w:t xml:space="preserve">        }</w:t>
      </w:r>
    </w:p>
    <w:p w14:paraId="17BD0541"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--Need R</w:t>
      </w:r>
    </w:p>
    <w:p w14:paraId="497F5259" w14:textId="779F24BF" w:rsidR="00394471" w:rsidRPr="00FA0D37" w:rsidRDefault="00394471" w:rsidP="00FA0D37">
      <w:pPr>
        <w:pStyle w:val="PL"/>
      </w:pPr>
      <w:r w:rsidRPr="00FA0D37">
        <w:t xml:space="preserve">    format-v1610                         </w:t>
      </w:r>
      <w:r w:rsidR="00137D47" w:rsidRPr="00FA0D37">
        <w:t xml:space="preserve">   </w:t>
      </w:r>
      <w:r w:rsidRPr="00FA0D37">
        <w:rPr>
          <w:color w:val="993366"/>
        </w:rPr>
        <w:t>CHOICE</w:t>
      </w:r>
      <w:r w:rsidRPr="00FA0D37">
        <w:t xml:space="preserve"> {</w:t>
      </w:r>
    </w:p>
    <w:p w14:paraId="348701F7" w14:textId="77777777" w:rsidR="00394471" w:rsidRPr="00FA0D37" w:rsidRDefault="00394471" w:rsidP="00FA0D37">
      <w:pPr>
        <w:pStyle w:val="PL"/>
      </w:pPr>
      <w:r w:rsidRPr="00FA0D37">
        <w:t xml:space="preserve">        interlace1-v1610                            </w:t>
      </w:r>
      <w:r w:rsidRPr="00FA0D37">
        <w:rPr>
          <w:color w:val="993366"/>
        </w:rPr>
        <w:t>INTEGER</w:t>
      </w:r>
      <w:r w:rsidRPr="00FA0D37">
        <w:t xml:space="preserve"> (0..9),</w:t>
      </w:r>
    </w:p>
    <w:p w14:paraId="3A632E35" w14:textId="77777777" w:rsidR="00394471" w:rsidRPr="00FA0D37" w:rsidRDefault="00394471" w:rsidP="00FA0D37">
      <w:pPr>
        <w:pStyle w:val="PL"/>
      </w:pPr>
      <w:r w:rsidRPr="00FA0D37">
        <w:t xml:space="preserve">        occ-v1610                                   </w:t>
      </w:r>
      <w:r w:rsidRPr="00FA0D37">
        <w:rPr>
          <w:color w:val="993366"/>
        </w:rPr>
        <w:t>SEQUENCE</w:t>
      </w:r>
      <w:r w:rsidRPr="00FA0D37">
        <w:t xml:space="preserve"> {</w:t>
      </w:r>
    </w:p>
    <w:p w14:paraId="09F07A0E" w14:textId="77777777" w:rsidR="00394471" w:rsidRPr="00FA0D37" w:rsidRDefault="00394471" w:rsidP="00FA0D37">
      <w:pPr>
        <w:pStyle w:val="PL"/>
        <w:rPr>
          <w:color w:val="808080"/>
        </w:rPr>
      </w:pPr>
      <w:r w:rsidRPr="00FA0D37">
        <w:t xml:space="preserve">            occ-Length-v1610                                </w:t>
      </w:r>
      <w:r w:rsidRPr="00FA0D37">
        <w:rPr>
          <w:color w:val="993366"/>
        </w:rPr>
        <w:t>ENUMERATED</w:t>
      </w:r>
      <w:r w:rsidRPr="00FA0D37">
        <w:t xml:space="preserve"> {n2,n4}                                       </w:t>
      </w:r>
      <w:r w:rsidRPr="00FA0D37">
        <w:rPr>
          <w:color w:val="993366"/>
        </w:rPr>
        <w:t>OPTIONAL</w:t>
      </w:r>
      <w:r w:rsidRPr="00FA0D37">
        <w:t xml:space="preserve">, </w:t>
      </w:r>
      <w:r w:rsidRPr="00FA0D37">
        <w:rPr>
          <w:color w:val="808080"/>
        </w:rPr>
        <w:t>-- Need M</w:t>
      </w:r>
    </w:p>
    <w:p w14:paraId="6987138C" w14:textId="77777777" w:rsidR="00394471" w:rsidRPr="00FA0D37" w:rsidRDefault="00394471" w:rsidP="00FA0D37">
      <w:pPr>
        <w:pStyle w:val="PL"/>
        <w:rPr>
          <w:color w:val="808080"/>
        </w:rPr>
      </w:pPr>
      <w:r w:rsidRPr="00FA0D37">
        <w:t xml:space="preserve">            occ-Index-v1610                                 </w:t>
      </w:r>
      <w:r w:rsidRPr="00FA0D37">
        <w:rPr>
          <w:color w:val="993366"/>
        </w:rPr>
        <w:t>ENUMERATED</w:t>
      </w:r>
      <w:r w:rsidRPr="00FA0D37">
        <w:t xml:space="preserve"> {n0,n1,n2,n3}                                 </w:t>
      </w:r>
      <w:r w:rsidRPr="00FA0D37">
        <w:rPr>
          <w:color w:val="993366"/>
        </w:rPr>
        <w:t>OPTIONAL</w:t>
      </w:r>
      <w:r w:rsidRPr="00FA0D37">
        <w:t xml:space="preserve">  </w:t>
      </w:r>
      <w:r w:rsidRPr="00FA0D37">
        <w:rPr>
          <w:color w:val="808080"/>
        </w:rPr>
        <w:t>-- Need M</w:t>
      </w:r>
    </w:p>
    <w:p w14:paraId="7E05BEFE" w14:textId="77777777" w:rsidR="00394471" w:rsidRPr="00FA0D37" w:rsidRDefault="00394471" w:rsidP="00FA0D37">
      <w:pPr>
        <w:pStyle w:val="PL"/>
      </w:pPr>
      <w:r w:rsidRPr="00FA0D37">
        <w:t xml:space="preserve">        }</w:t>
      </w:r>
    </w:p>
    <w:p w14:paraId="3D7D0E02"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0559F73A" w14:textId="10DCF483" w:rsidR="007E2C88" w:rsidRPr="00FA0D37" w:rsidRDefault="00394471" w:rsidP="00FA0D37">
      <w:pPr>
        <w:pStyle w:val="PL"/>
      </w:pPr>
      <w:r w:rsidRPr="00FA0D37">
        <w:t xml:space="preserve">    ...</w:t>
      </w:r>
      <w:r w:rsidR="007E2C88" w:rsidRPr="00FA0D37">
        <w:t>,</w:t>
      </w:r>
    </w:p>
    <w:p w14:paraId="676E210B" w14:textId="77777777" w:rsidR="007E2C88" w:rsidRPr="00FA0D37" w:rsidRDefault="007E2C88" w:rsidP="00FA0D37">
      <w:pPr>
        <w:pStyle w:val="PL"/>
      </w:pPr>
      <w:r w:rsidRPr="00FA0D37">
        <w:t xml:space="preserve">    [[</w:t>
      </w:r>
    </w:p>
    <w:p w14:paraId="06F68CF3" w14:textId="682AE597" w:rsidR="007E2C88" w:rsidRPr="00FA0D37" w:rsidRDefault="007E2C88" w:rsidP="00FA0D37">
      <w:pPr>
        <w:pStyle w:val="PL"/>
      </w:pPr>
      <w:r w:rsidRPr="00FA0D37">
        <w:t xml:space="preserve">    format-v17</w:t>
      </w:r>
      <w:r w:rsidR="003006DC" w:rsidRPr="00FA0D37">
        <w:t>00</w:t>
      </w:r>
      <w:r w:rsidRPr="00FA0D37">
        <w:t xml:space="preserve">                         </w:t>
      </w:r>
      <w:r w:rsidRPr="00FA0D37">
        <w:rPr>
          <w:color w:val="993366"/>
        </w:rPr>
        <w:t>SEQUENCE</w:t>
      </w:r>
      <w:r w:rsidRPr="00FA0D37">
        <w:t xml:space="preserve"> {</w:t>
      </w:r>
    </w:p>
    <w:p w14:paraId="3B89F39C" w14:textId="3F93CA9F" w:rsidR="007E2C88" w:rsidRPr="00FA0D37" w:rsidRDefault="007E2C88" w:rsidP="00FA0D37">
      <w:pPr>
        <w:pStyle w:val="PL"/>
      </w:pPr>
      <w:r w:rsidRPr="00FA0D37">
        <w:t xml:space="preserve">        nrofPRBs-r17                            </w:t>
      </w:r>
      <w:r w:rsidRPr="00FA0D37">
        <w:rPr>
          <w:color w:val="993366"/>
        </w:rPr>
        <w:t>INTEGER</w:t>
      </w:r>
      <w:r w:rsidRPr="00FA0D37">
        <w:t xml:space="preserve"> (1..16)</w:t>
      </w:r>
    </w:p>
    <w:p w14:paraId="36537D64" w14:textId="046E57DA" w:rsidR="007E2C88" w:rsidRPr="00FA0D37" w:rsidRDefault="007E2C88" w:rsidP="00FA0D37">
      <w:pPr>
        <w:pStyle w:val="PL"/>
        <w:rPr>
          <w:color w:val="808080"/>
        </w:rPr>
      </w:pPr>
      <w:r w:rsidRPr="00FA0D37">
        <w:t xml:space="preserve">    }                                                                                                            </w:t>
      </w:r>
      <w:r w:rsidRPr="00FA0D37">
        <w:rPr>
          <w:color w:val="993366"/>
        </w:rPr>
        <w:t>OPTIONAL</w:t>
      </w:r>
      <w:r w:rsidR="003E7B2B" w:rsidRPr="00FA0D37">
        <w:t>,</w:t>
      </w:r>
      <w:r w:rsidRPr="00FA0D37">
        <w:t xml:space="preserve">  </w:t>
      </w:r>
      <w:r w:rsidRPr="00FA0D37">
        <w:rPr>
          <w:color w:val="808080"/>
        </w:rPr>
        <w:t>-- Need R</w:t>
      </w:r>
    </w:p>
    <w:p w14:paraId="37083044" w14:textId="6EDD4BE1" w:rsidR="003E7B2B" w:rsidRPr="00FA0D37" w:rsidRDefault="003E7B2B" w:rsidP="00FA0D37">
      <w:pPr>
        <w:pStyle w:val="PL"/>
        <w:rPr>
          <w:color w:val="808080"/>
        </w:rPr>
      </w:pPr>
      <w:r w:rsidRPr="00FA0D37">
        <w:t xml:space="preserve">    pucch-RepetitionNrofSlots-r17           </w:t>
      </w:r>
      <w:r w:rsidRPr="00FA0D37">
        <w:rPr>
          <w:color w:val="993366"/>
        </w:rPr>
        <w:t>ENUMERATED</w:t>
      </w:r>
      <w:r w:rsidRPr="00FA0D37">
        <w:t xml:space="preserve"> { </w:t>
      </w:r>
      <w:r w:rsidR="00DC3894" w:rsidRPr="00FA0D37">
        <w:t>n1,</w:t>
      </w:r>
      <w:r w:rsidRPr="00FA0D37">
        <w:t xml:space="preserve">n2,n4,n8 }                                              </w:t>
      </w:r>
      <w:r w:rsidRPr="00FA0D37">
        <w:rPr>
          <w:color w:val="993366"/>
        </w:rPr>
        <w:t>OPTIONAL</w:t>
      </w:r>
      <w:r w:rsidRPr="00FA0D37">
        <w:t xml:space="preserve">   </w:t>
      </w:r>
      <w:r w:rsidRPr="00FA0D37">
        <w:rPr>
          <w:color w:val="808080"/>
        </w:rPr>
        <w:t xml:space="preserve">-- Need </w:t>
      </w:r>
      <w:r w:rsidR="00DC3894" w:rsidRPr="00FA0D37">
        <w:rPr>
          <w:color w:val="808080"/>
        </w:rPr>
        <w:t>R</w:t>
      </w:r>
    </w:p>
    <w:p w14:paraId="018F46C3" w14:textId="3BFE3760" w:rsidR="00394471" w:rsidRPr="00FA0D37" w:rsidRDefault="007E2C88" w:rsidP="00FA0D37">
      <w:pPr>
        <w:pStyle w:val="PL"/>
      </w:pPr>
      <w:r w:rsidRPr="00FA0D37">
        <w:t xml:space="preserve">    ]]</w:t>
      </w:r>
    </w:p>
    <w:p w14:paraId="709A46C2" w14:textId="77777777" w:rsidR="00394471" w:rsidRPr="00FA0D37" w:rsidRDefault="00394471" w:rsidP="00FA0D37">
      <w:pPr>
        <w:pStyle w:val="PL"/>
      </w:pPr>
      <w:r w:rsidRPr="00FA0D37">
        <w:t>}</w:t>
      </w:r>
    </w:p>
    <w:p w14:paraId="699968DA" w14:textId="77777777" w:rsidR="00394471" w:rsidRPr="00FA0D37" w:rsidRDefault="00394471" w:rsidP="00FA0D37">
      <w:pPr>
        <w:pStyle w:val="PL"/>
      </w:pPr>
    </w:p>
    <w:p w14:paraId="3D58599F" w14:textId="77777777" w:rsidR="00394471" w:rsidRPr="00FA0D37" w:rsidRDefault="00394471" w:rsidP="00FA0D37">
      <w:pPr>
        <w:pStyle w:val="PL"/>
      </w:pPr>
      <w:r w:rsidRPr="00FA0D37">
        <w:t xml:space="preserve">PUCCH-ResourceId ::=                    </w:t>
      </w:r>
      <w:r w:rsidRPr="00FA0D37">
        <w:rPr>
          <w:color w:val="993366"/>
        </w:rPr>
        <w:t>INTEGER</w:t>
      </w:r>
      <w:r w:rsidRPr="00FA0D37">
        <w:t xml:space="preserve"> (0..maxNrofPUCCH-Resources-1)</w:t>
      </w:r>
    </w:p>
    <w:p w14:paraId="01730E38" w14:textId="77777777" w:rsidR="00394471" w:rsidRPr="00FA0D37" w:rsidRDefault="00394471" w:rsidP="00FA0D37">
      <w:pPr>
        <w:pStyle w:val="PL"/>
      </w:pPr>
    </w:p>
    <w:p w14:paraId="35F52B93" w14:textId="77777777" w:rsidR="00394471" w:rsidRPr="00FA0D37" w:rsidRDefault="00394471" w:rsidP="00FA0D37">
      <w:pPr>
        <w:pStyle w:val="PL"/>
      </w:pPr>
    </w:p>
    <w:p w14:paraId="199566D8" w14:textId="77777777" w:rsidR="00394471" w:rsidRPr="00FA0D37" w:rsidRDefault="00394471" w:rsidP="00FA0D37">
      <w:pPr>
        <w:pStyle w:val="PL"/>
      </w:pPr>
      <w:r w:rsidRPr="00FA0D37">
        <w:t xml:space="preserve">PUCCH-format0 ::=                               </w:t>
      </w:r>
      <w:r w:rsidRPr="00FA0D37">
        <w:rPr>
          <w:color w:val="993366"/>
        </w:rPr>
        <w:t>SEQUENCE</w:t>
      </w:r>
      <w:r w:rsidRPr="00FA0D37">
        <w:t xml:space="preserve"> {</w:t>
      </w:r>
    </w:p>
    <w:p w14:paraId="13973381" w14:textId="77777777" w:rsidR="00394471" w:rsidRPr="00FA0D37" w:rsidRDefault="00394471" w:rsidP="00FA0D37">
      <w:pPr>
        <w:pStyle w:val="PL"/>
      </w:pPr>
      <w:r w:rsidRPr="00FA0D37">
        <w:t xml:space="preserve">    initialCyclicShift                              </w:t>
      </w:r>
      <w:r w:rsidRPr="00FA0D37">
        <w:rPr>
          <w:color w:val="993366"/>
        </w:rPr>
        <w:t>INTEGER</w:t>
      </w:r>
      <w:r w:rsidRPr="00FA0D37">
        <w:t>(0..11),</w:t>
      </w:r>
    </w:p>
    <w:p w14:paraId="2A9F96D5" w14:textId="77777777" w:rsidR="00394471" w:rsidRPr="00FA0D37" w:rsidRDefault="00394471" w:rsidP="00FA0D37">
      <w:pPr>
        <w:pStyle w:val="PL"/>
      </w:pPr>
      <w:r w:rsidRPr="00FA0D37">
        <w:t xml:space="preserve">    nrofSymbols                                     </w:t>
      </w:r>
      <w:r w:rsidRPr="00FA0D37">
        <w:rPr>
          <w:color w:val="993366"/>
        </w:rPr>
        <w:t>INTEGER</w:t>
      </w:r>
      <w:r w:rsidRPr="00FA0D37">
        <w:t xml:space="preserve"> (1..2),</w:t>
      </w:r>
    </w:p>
    <w:p w14:paraId="476A4158" w14:textId="77777777" w:rsidR="00394471" w:rsidRPr="00FA0D37" w:rsidRDefault="00394471" w:rsidP="00FA0D37">
      <w:pPr>
        <w:pStyle w:val="PL"/>
      </w:pPr>
      <w:r w:rsidRPr="00FA0D37">
        <w:t xml:space="preserve">    startingSymbolIndex                             </w:t>
      </w:r>
      <w:r w:rsidRPr="00FA0D37">
        <w:rPr>
          <w:color w:val="993366"/>
        </w:rPr>
        <w:t>INTEGER</w:t>
      </w:r>
      <w:r w:rsidRPr="00FA0D37">
        <w:t>(0..13)</w:t>
      </w:r>
    </w:p>
    <w:p w14:paraId="5259B03F" w14:textId="77777777" w:rsidR="00394471" w:rsidRPr="00FA0D37" w:rsidRDefault="00394471" w:rsidP="00FA0D37">
      <w:pPr>
        <w:pStyle w:val="PL"/>
      </w:pPr>
      <w:r w:rsidRPr="00FA0D37">
        <w:t>}</w:t>
      </w:r>
    </w:p>
    <w:p w14:paraId="55CB5493" w14:textId="77777777" w:rsidR="00394471" w:rsidRPr="00FA0D37" w:rsidRDefault="00394471" w:rsidP="00FA0D37">
      <w:pPr>
        <w:pStyle w:val="PL"/>
      </w:pPr>
    </w:p>
    <w:p w14:paraId="7478769F" w14:textId="77777777" w:rsidR="00394471" w:rsidRPr="00FA0D37" w:rsidRDefault="00394471" w:rsidP="00FA0D37">
      <w:pPr>
        <w:pStyle w:val="PL"/>
      </w:pPr>
      <w:r w:rsidRPr="00FA0D37">
        <w:t xml:space="preserve">PUCCH-format1 ::=                               </w:t>
      </w:r>
      <w:r w:rsidRPr="00FA0D37">
        <w:rPr>
          <w:color w:val="993366"/>
        </w:rPr>
        <w:t>SEQUENCE</w:t>
      </w:r>
      <w:r w:rsidRPr="00FA0D37">
        <w:t xml:space="preserve"> {</w:t>
      </w:r>
    </w:p>
    <w:p w14:paraId="4C6BAF31" w14:textId="77777777" w:rsidR="00394471" w:rsidRPr="00FA0D37" w:rsidRDefault="00394471" w:rsidP="00FA0D37">
      <w:pPr>
        <w:pStyle w:val="PL"/>
      </w:pPr>
      <w:r w:rsidRPr="00FA0D37">
        <w:t xml:space="preserve">    initialCyclicShift                              </w:t>
      </w:r>
      <w:r w:rsidRPr="00FA0D37">
        <w:rPr>
          <w:color w:val="993366"/>
        </w:rPr>
        <w:t>INTEGER</w:t>
      </w:r>
      <w:r w:rsidRPr="00FA0D37">
        <w:t>(0..11),</w:t>
      </w:r>
    </w:p>
    <w:p w14:paraId="5A2CC756" w14:textId="77777777" w:rsidR="00394471" w:rsidRPr="00FA0D37" w:rsidRDefault="00394471" w:rsidP="00FA0D37">
      <w:pPr>
        <w:pStyle w:val="PL"/>
      </w:pPr>
      <w:r w:rsidRPr="00FA0D37">
        <w:t xml:space="preserve">    nrofSymbols                                     </w:t>
      </w:r>
      <w:r w:rsidRPr="00FA0D37">
        <w:rPr>
          <w:color w:val="993366"/>
        </w:rPr>
        <w:t>INTEGER</w:t>
      </w:r>
      <w:r w:rsidRPr="00FA0D37">
        <w:t xml:space="preserve"> (4..14),</w:t>
      </w:r>
    </w:p>
    <w:p w14:paraId="02E81499" w14:textId="77777777" w:rsidR="00394471" w:rsidRPr="00FA0D37" w:rsidRDefault="00394471" w:rsidP="00FA0D37">
      <w:pPr>
        <w:pStyle w:val="PL"/>
      </w:pPr>
      <w:r w:rsidRPr="00FA0D37">
        <w:t xml:space="preserve">    startingSymbolIndex                             </w:t>
      </w:r>
      <w:r w:rsidRPr="00FA0D37">
        <w:rPr>
          <w:color w:val="993366"/>
        </w:rPr>
        <w:t>INTEGER</w:t>
      </w:r>
      <w:r w:rsidRPr="00FA0D37">
        <w:t>(0..10),</w:t>
      </w:r>
    </w:p>
    <w:p w14:paraId="1C6AE9B5" w14:textId="77777777" w:rsidR="00394471" w:rsidRPr="00FA0D37" w:rsidRDefault="00394471" w:rsidP="00FA0D37">
      <w:pPr>
        <w:pStyle w:val="PL"/>
      </w:pPr>
      <w:r w:rsidRPr="00FA0D37">
        <w:t xml:space="preserve">    timeDomainOCC                                   </w:t>
      </w:r>
      <w:r w:rsidRPr="00FA0D37">
        <w:rPr>
          <w:color w:val="993366"/>
        </w:rPr>
        <w:t>INTEGER</w:t>
      </w:r>
      <w:r w:rsidRPr="00FA0D37">
        <w:t>(0..6)</w:t>
      </w:r>
    </w:p>
    <w:p w14:paraId="4C947A1B" w14:textId="77777777" w:rsidR="00394471" w:rsidRPr="00FA0D37" w:rsidRDefault="00394471" w:rsidP="00FA0D37">
      <w:pPr>
        <w:pStyle w:val="PL"/>
      </w:pPr>
      <w:r w:rsidRPr="00FA0D37">
        <w:t>}</w:t>
      </w:r>
    </w:p>
    <w:p w14:paraId="771D34DF" w14:textId="77777777" w:rsidR="00394471" w:rsidRPr="00FA0D37" w:rsidRDefault="00394471" w:rsidP="00FA0D37">
      <w:pPr>
        <w:pStyle w:val="PL"/>
      </w:pPr>
    </w:p>
    <w:p w14:paraId="368251C3" w14:textId="77777777" w:rsidR="00394471" w:rsidRPr="00FA0D37" w:rsidRDefault="00394471" w:rsidP="00FA0D37">
      <w:pPr>
        <w:pStyle w:val="PL"/>
      </w:pPr>
      <w:r w:rsidRPr="00FA0D37">
        <w:t xml:space="preserve">PUCCH-format2 ::=                               </w:t>
      </w:r>
      <w:r w:rsidRPr="00FA0D37">
        <w:rPr>
          <w:color w:val="993366"/>
        </w:rPr>
        <w:t>SEQUENCE</w:t>
      </w:r>
      <w:r w:rsidRPr="00FA0D37">
        <w:t xml:space="preserve"> {</w:t>
      </w:r>
    </w:p>
    <w:p w14:paraId="40877E55" w14:textId="77777777" w:rsidR="00394471" w:rsidRPr="00FA0D37" w:rsidRDefault="00394471" w:rsidP="00FA0D37">
      <w:pPr>
        <w:pStyle w:val="PL"/>
      </w:pPr>
      <w:r w:rsidRPr="00FA0D37">
        <w:t xml:space="preserve">    nrofPRBs                                        </w:t>
      </w:r>
      <w:r w:rsidRPr="00FA0D37">
        <w:rPr>
          <w:color w:val="993366"/>
        </w:rPr>
        <w:t>INTEGER</w:t>
      </w:r>
      <w:r w:rsidRPr="00FA0D37">
        <w:t xml:space="preserve"> (1..16),</w:t>
      </w:r>
    </w:p>
    <w:p w14:paraId="29064A36" w14:textId="77777777" w:rsidR="00394471" w:rsidRPr="00FA0D37" w:rsidRDefault="00394471" w:rsidP="00FA0D37">
      <w:pPr>
        <w:pStyle w:val="PL"/>
      </w:pPr>
      <w:r w:rsidRPr="00FA0D37">
        <w:t xml:space="preserve">    nrofSymbols                                     </w:t>
      </w:r>
      <w:r w:rsidRPr="00FA0D37">
        <w:rPr>
          <w:color w:val="993366"/>
        </w:rPr>
        <w:t>INTEGER</w:t>
      </w:r>
      <w:r w:rsidRPr="00FA0D37">
        <w:t xml:space="preserve"> (1..2),</w:t>
      </w:r>
    </w:p>
    <w:p w14:paraId="7159D075" w14:textId="77777777" w:rsidR="00394471" w:rsidRPr="00FA0D37" w:rsidRDefault="00394471" w:rsidP="00FA0D37">
      <w:pPr>
        <w:pStyle w:val="PL"/>
      </w:pPr>
      <w:r w:rsidRPr="00FA0D37">
        <w:t xml:space="preserve">    startingSymbolIndex                             </w:t>
      </w:r>
      <w:r w:rsidRPr="00FA0D37">
        <w:rPr>
          <w:color w:val="993366"/>
        </w:rPr>
        <w:t>INTEGER</w:t>
      </w:r>
      <w:r w:rsidRPr="00FA0D37">
        <w:t>(0..13)</w:t>
      </w:r>
    </w:p>
    <w:p w14:paraId="1D9F065A" w14:textId="77777777" w:rsidR="00394471" w:rsidRPr="00FA0D37" w:rsidRDefault="00394471" w:rsidP="00FA0D37">
      <w:pPr>
        <w:pStyle w:val="PL"/>
      </w:pPr>
      <w:r w:rsidRPr="00FA0D37">
        <w:t>}</w:t>
      </w:r>
    </w:p>
    <w:p w14:paraId="78C36942" w14:textId="77777777" w:rsidR="00394471" w:rsidRPr="00FA0D37" w:rsidRDefault="00394471" w:rsidP="00FA0D37">
      <w:pPr>
        <w:pStyle w:val="PL"/>
      </w:pPr>
    </w:p>
    <w:p w14:paraId="7BA9FC83" w14:textId="77777777" w:rsidR="00394471" w:rsidRPr="00FA0D37" w:rsidRDefault="00394471" w:rsidP="00FA0D37">
      <w:pPr>
        <w:pStyle w:val="PL"/>
      </w:pPr>
      <w:r w:rsidRPr="00FA0D37">
        <w:t xml:space="preserve">PUCCH-format3 ::=                               </w:t>
      </w:r>
      <w:r w:rsidRPr="00FA0D37">
        <w:rPr>
          <w:color w:val="993366"/>
        </w:rPr>
        <w:t>SEQUENCE</w:t>
      </w:r>
      <w:r w:rsidRPr="00FA0D37">
        <w:t xml:space="preserve"> {</w:t>
      </w:r>
    </w:p>
    <w:p w14:paraId="43493164" w14:textId="77777777" w:rsidR="00394471" w:rsidRPr="00FA0D37" w:rsidRDefault="00394471" w:rsidP="00FA0D37">
      <w:pPr>
        <w:pStyle w:val="PL"/>
      </w:pPr>
      <w:r w:rsidRPr="00FA0D37">
        <w:t xml:space="preserve">    nrofPRBs                                        </w:t>
      </w:r>
      <w:r w:rsidRPr="00FA0D37">
        <w:rPr>
          <w:color w:val="993366"/>
        </w:rPr>
        <w:t>INTEGER</w:t>
      </w:r>
      <w:r w:rsidRPr="00FA0D37">
        <w:t xml:space="preserve"> (1..16),</w:t>
      </w:r>
    </w:p>
    <w:p w14:paraId="69F89048" w14:textId="77777777" w:rsidR="00394471" w:rsidRPr="00FA0D37" w:rsidRDefault="00394471" w:rsidP="00FA0D37">
      <w:pPr>
        <w:pStyle w:val="PL"/>
      </w:pPr>
      <w:r w:rsidRPr="00FA0D37">
        <w:t xml:space="preserve">    nrofSymbols                                     </w:t>
      </w:r>
      <w:r w:rsidRPr="00FA0D37">
        <w:rPr>
          <w:color w:val="993366"/>
        </w:rPr>
        <w:t>INTEGER</w:t>
      </w:r>
      <w:r w:rsidRPr="00FA0D37">
        <w:t xml:space="preserve"> (4..14),</w:t>
      </w:r>
    </w:p>
    <w:p w14:paraId="7FC41AE1" w14:textId="77777777" w:rsidR="00394471" w:rsidRPr="00FA0D37" w:rsidRDefault="00394471" w:rsidP="00FA0D37">
      <w:pPr>
        <w:pStyle w:val="PL"/>
      </w:pPr>
      <w:r w:rsidRPr="00FA0D37">
        <w:t xml:space="preserve">    startingSymbolIndex                             </w:t>
      </w:r>
      <w:r w:rsidRPr="00FA0D37">
        <w:rPr>
          <w:color w:val="993366"/>
        </w:rPr>
        <w:t>INTEGER</w:t>
      </w:r>
      <w:r w:rsidRPr="00FA0D37">
        <w:t>(0..10)</w:t>
      </w:r>
    </w:p>
    <w:p w14:paraId="21482C31" w14:textId="77777777" w:rsidR="00394471" w:rsidRPr="00FA0D37" w:rsidRDefault="00394471" w:rsidP="00FA0D37">
      <w:pPr>
        <w:pStyle w:val="PL"/>
      </w:pPr>
      <w:r w:rsidRPr="00FA0D37">
        <w:t>}</w:t>
      </w:r>
    </w:p>
    <w:p w14:paraId="68D4106A" w14:textId="77777777" w:rsidR="00394471" w:rsidRPr="00FA0D37" w:rsidRDefault="00394471" w:rsidP="00FA0D37">
      <w:pPr>
        <w:pStyle w:val="PL"/>
      </w:pPr>
    </w:p>
    <w:p w14:paraId="2A86B0B0" w14:textId="77777777" w:rsidR="00394471" w:rsidRPr="00FA0D37" w:rsidRDefault="00394471" w:rsidP="00FA0D37">
      <w:pPr>
        <w:pStyle w:val="PL"/>
      </w:pPr>
      <w:r w:rsidRPr="00FA0D37">
        <w:t xml:space="preserve">PUCCH-format4 ::=                               </w:t>
      </w:r>
      <w:r w:rsidRPr="00FA0D37">
        <w:rPr>
          <w:color w:val="993366"/>
        </w:rPr>
        <w:t>SEQUENCE</w:t>
      </w:r>
      <w:r w:rsidRPr="00FA0D37">
        <w:t xml:space="preserve"> {</w:t>
      </w:r>
    </w:p>
    <w:p w14:paraId="0C352549" w14:textId="77777777" w:rsidR="00394471" w:rsidRPr="00FA0D37" w:rsidRDefault="00394471" w:rsidP="00FA0D37">
      <w:pPr>
        <w:pStyle w:val="PL"/>
      </w:pPr>
      <w:r w:rsidRPr="00FA0D37">
        <w:t xml:space="preserve">    nrofSymbols                                     </w:t>
      </w:r>
      <w:r w:rsidRPr="00FA0D37">
        <w:rPr>
          <w:color w:val="993366"/>
        </w:rPr>
        <w:t>INTEGER</w:t>
      </w:r>
      <w:r w:rsidRPr="00FA0D37">
        <w:t xml:space="preserve"> (4..14),</w:t>
      </w:r>
    </w:p>
    <w:p w14:paraId="6DE410B9" w14:textId="77777777" w:rsidR="00394471" w:rsidRPr="00FA0D37" w:rsidRDefault="00394471" w:rsidP="00FA0D37">
      <w:pPr>
        <w:pStyle w:val="PL"/>
      </w:pPr>
      <w:r w:rsidRPr="00FA0D37">
        <w:t xml:space="preserve">    occ-Length                                      </w:t>
      </w:r>
      <w:r w:rsidRPr="00FA0D37">
        <w:rPr>
          <w:color w:val="993366"/>
        </w:rPr>
        <w:t>ENUMERATED</w:t>
      </w:r>
      <w:r w:rsidRPr="00FA0D37">
        <w:t xml:space="preserve"> {n2,n4},</w:t>
      </w:r>
    </w:p>
    <w:p w14:paraId="616273AE" w14:textId="77777777" w:rsidR="00394471" w:rsidRPr="00FA0D37" w:rsidRDefault="00394471" w:rsidP="00FA0D37">
      <w:pPr>
        <w:pStyle w:val="PL"/>
      </w:pPr>
      <w:r w:rsidRPr="00FA0D37">
        <w:lastRenderedPageBreak/>
        <w:t xml:space="preserve">    occ-Index                                       </w:t>
      </w:r>
      <w:r w:rsidRPr="00FA0D37">
        <w:rPr>
          <w:color w:val="993366"/>
        </w:rPr>
        <w:t>ENUMERATED</w:t>
      </w:r>
      <w:r w:rsidRPr="00FA0D37">
        <w:t xml:space="preserve"> {n0,n1,n2,n3},</w:t>
      </w:r>
    </w:p>
    <w:p w14:paraId="18FCB866" w14:textId="77777777" w:rsidR="00394471" w:rsidRPr="00FA0D37" w:rsidRDefault="00394471" w:rsidP="00FA0D37">
      <w:pPr>
        <w:pStyle w:val="PL"/>
      </w:pPr>
      <w:r w:rsidRPr="00FA0D37">
        <w:t xml:space="preserve">    startingSymbolIndex                             </w:t>
      </w:r>
      <w:r w:rsidRPr="00FA0D37">
        <w:rPr>
          <w:color w:val="993366"/>
        </w:rPr>
        <w:t>INTEGER</w:t>
      </w:r>
      <w:r w:rsidRPr="00FA0D37">
        <w:t>(0..10)</w:t>
      </w:r>
    </w:p>
    <w:p w14:paraId="323AE0E5" w14:textId="77777777" w:rsidR="00394471" w:rsidRPr="00FA0D37" w:rsidRDefault="00394471" w:rsidP="00FA0D37">
      <w:pPr>
        <w:pStyle w:val="PL"/>
      </w:pPr>
      <w:r w:rsidRPr="00FA0D37">
        <w:t>}</w:t>
      </w:r>
    </w:p>
    <w:p w14:paraId="17D281BE" w14:textId="77777777" w:rsidR="00394471" w:rsidRPr="00FA0D37" w:rsidRDefault="00394471" w:rsidP="00FA0D37">
      <w:pPr>
        <w:pStyle w:val="PL"/>
      </w:pPr>
    </w:p>
    <w:p w14:paraId="01C8139E" w14:textId="77777777" w:rsidR="00394471" w:rsidRPr="00FA0D37" w:rsidRDefault="00394471" w:rsidP="00FA0D37">
      <w:pPr>
        <w:pStyle w:val="PL"/>
      </w:pPr>
      <w:r w:rsidRPr="00FA0D37">
        <w:t xml:space="preserve">PUCCH-ResourceGroup-r16 ::=                </w:t>
      </w:r>
      <w:r w:rsidRPr="00FA0D37">
        <w:rPr>
          <w:color w:val="993366"/>
        </w:rPr>
        <w:t>SEQUENCE</w:t>
      </w:r>
      <w:r w:rsidRPr="00FA0D37">
        <w:t xml:space="preserve"> {</w:t>
      </w:r>
    </w:p>
    <w:p w14:paraId="73A553B6" w14:textId="77777777" w:rsidR="00394471" w:rsidRPr="00FA0D37" w:rsidRDefault="00394471" w:rsidP="00FA0D37">
      <w:pPr>
        <w:pStyle w:val="PL"/>
      </w:pPr>
      <w:r w:rsidRPr="00FA0D37">
        <w:t xml:space="preserve">    pucch-ResourceGroupId-r16                  PUCCH-ResourceGroupId-r16,</w:t>
      </w:r>
    </w:p>
    <w:p w14:paraId="2889599E" w14:textId="77777777" w:rsidR="00394471" w:rsidRPr="00FA0D37" w:rsidRDefault="00394471" w:rsidP="00FA0D37">
      <w:pPr>
        <w:pStyle w:val="PL"/>
      </w:pPr>
      <w:r w:rsidRPr="00FA0D37">
        <w:t xml:space="preserve">    resourcePerGroupList-r16                   </w:t>
      </w:r>
      <w:r w:rsidRPr="00FA0D37">
        <w:rPr>
          <w:color w:val="993366"/>
        </w:rPr>
        <w:t>SEQUENCE</w:t>
      </w:r>
      <w:r w:rsidRPr="00FA0D37">
        <w:t xml:space="preserve"> (</w:t>
      </w:r>
      <w:r w:rsidRPr="00FA0D37">
        <w:rPr>
          <w:color w:val="993366"/>
        </w:rPr>
        <w:t>SIZE</w:t>
      </w:r>
      <w:r w:rsidRPr="00FA0D37">
        <w:t xml:space="preserve"> (1..maxNrofPUCCH-ResourcesPerGroup-r16))</w:t>
      </w:r>
      <w:r w:rsidRPr="00FA0D37">
        <w:rPr>
          <w:color w:val="993366"/>
        </w:rPr>
        <w:t xml:space="preserve"> OF</w:t>
      </w:r>
      <w:r w:rsidRPr="00FA0D37">
        <w:t xml:space="preserve"> PUCCH-ResourceId</w:t>
      </w:r>
    </w:p>
    <w:p w14:paraId="383FCD8D" w14:textId="77777777" w:rsidR="00394471" w:rsidRPr="00FA0D37" w:rsidRDefault="00394471" w:rsidP="00FA0D37">
      <w:pPr>
        <w:pStyle w:val="PL"/>
      </w:pPr>
      <w:r w:rsidRPr="00FA0D37">
        <w:t>}</w:t>
      </w:r>
    </w:p>
    <w:p w14:paraId="02BD7B2F" w14:textId="77777777" w:rsidR="00394471" w:rsidRPr="00FA0D37" w:rsidRDefault="00394471" w:rsidP="00FA0D37">
      <w:pPr>
        <w:pStyle w:val="PL"/>
      </w:pPr>
    </w:p>
    <w:p w14:paraId="3A2B6F33" w14:textId="77777777" w:rsidR="00394471" w:rsidRPr="00FA0D37" w:rsidRDefault="00394471" w:rsidP="00FA0D37">
      <w:pPr>
        <w:pStyle w:val="PL"/>
      </w:pPr>
      <w:r w:rsidRPr="00FA0D37">
        <w:t xml:space="preserve">PUCCH-ResourceGroupId-r16 ::=              </w:t>
      </w:r>
      <w:r w:rsidRPr="00FA0D37">
        <w:rPr>
          <w:color w:val="993366"/>
        </w:rPr>
        <w:t>INTEGER</w:t>
      </w:r>
      <w:r w:rsidRPr="00FA0D37">
        <w:t xml:space="preserve"> (0..maxNrofPUCCH-ResourceGroups-1-r16)</w:t>
      </w:r>
    </w:p>
    <w:p w14:paraId="2F55C90E" w14:textId="77777777" w:rsidR="00394471" w:rsidRPr="00FA0D37" w:rsidRDefault="00394471" w:rsidP="00FA0D37">
      <w:pPr>
        <w:pStyle w:val="PL"/>
      </w:pPr>
    </w:p>
    <w:p w14:paraId="090EDA2F" w14:textId="77777777" w:rsidR="00394471" w:rsidRPr="00FA0D37" w:rsidRDefault="00394471" w:rsidP="00FA0D37">
      <w:pPr>
        <w:pStyle w:val="PL"/>
      </w:pPr>
      <w:r w:rsidRPr="00FA0D37">
        <w:t xml:space="preserve">DL-DataToUL-ACK-r16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w:t>
      </w:r>
      <w:r w:rsidRPr="00FA0D37">
        <w:rPr>
          <w:color w:val="993366"/>
        </w:rPr>
        <w:t>INTEGER</w:t>
      </w:r>
      <w:r w:rsidRPr="00FA0D37">
        <w:t xml:space="preserve"> (-1..15)</w:t>
      </w:r>
    </w:p>
    <w:p w14:paraId="19D4E41D" w14:textId="77777777" w:rsidR="00394471" w:rsidRPr="00FA0D37" w:rsidRDefault="00394471" w:rsidP="00FA0D37">
      <w:pPr>
        <w:pStyle w:val="PL"/>
      </w:pPr>
    </w:p>
    <w:p w14:paraId="792881B0" w14:textId="77777777" w:rsidR="007E2C88" w:rsidRPr="00FA0D37" w:rsidRDefault="007E2C88" w:rsidP="00FA0D37">
      <w:pPr>
        <w:pStyle w:val="PL"/>
      </w:pPr>
      <w:r w:rsidRPr="00FA0D37">
        <w:t xml:space="preserve">DL-DataToUL-ACK-r17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w:t>
      </w:r>
      <w:r w:rsidRPr="00FA0D37">
        <w:rPr>
          <w:color w:val="993366"/>
        </w:rPr>
        <w:t>INTEGER</w:t>
      </w:r>
      <w:r w:rsidRPr="00FA0D37">
        <w:t xml:space="preserve"> (-1..127)</w:t>
      </w:r>
    </w:p>
    <w:p w14:paraId="712FF819" w14:textId="77777777" w:rsidR="007E2C88" w:rsidRPr="00FA0D37" w:rsidRDefault="007E2C88" w:rsidP="00FA0D37">
      <w:pPr>
        <w:pStyle w:val="PL"/>
      </w:pPr>
    </w:p>
    <w:p w14:paraId="1220981C" w14:textId="77777777" w:rsidR="00771058" w:rsidRPr="00FA0D37" w:rsidRDefault="00771058" w:rsidP="00FA0D37">
      <w:pPr>
        <w:pStyle w:val="PL"/>
      </w:pPr>
      <w:r w:rsidRPr="00FA0D37">
        <w:t xml:space="preserve">DL-DataToUL-ACK-v1700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w:t>
      </w:r>
      <w:r w:rsidRPr="00FA0D37">
        <w:rPr>
          <w:color w:val="993366"/>
        </w:rPr>
        <w:t>INTEGER</w:t>
      </w:r>
      <w:r w:rsidRPr="00FA0D37">
        <w:t xml:space="preserve"> (16..31)</w:t>
      </w:r>
    </w:p>
    <w:p w14:paraId="465C09B0" w14:textId="77777777" w:rsidR="00771058" w:rsidRPr="00FA0D37" w:rsidRDefault="00771058" w:rsidP="00FA0D37">
      <w:pPr>
        <w:pStyle w:val="PL"/>
      </w:pPr>
    </w:p>
    <w:p w14:paraId="173FF85E" w14:textId="755E8688" w:rsidR="00394471" w:rsidRPr="00FA0D37" w:rsidRDefault="00394471" w:rsidP="00FA0D37">
      <w:pPr>
        <w:pStyle w:val="PL"/>
      </w:pPr>
      <w:r w:rsidRPr="00FA0D37">
        <w:t xml:space="preserve">DL-DataToUL-ACK-DCI-1-2-r16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w:t>
      </w:r>
      <w:r w:rsidRPr="00FA0D37">
        <w:rPr>
          <w:color w:val="993366"/>
        </w:rPr>
        <w:t>INTEGER</w:t>
      </w:r>
      <w:r w:rsidRPr="00FA0D37">
        <w:t xml:space="preserve"> (0..15)</w:t>
      </w:r>
    </w:p>
    <w:p w14:paraId="0C27DABC" w14:textId="77777777" w:rsidR="00394471" w:rsidRPr="00FA0D37" w:rsidRDefault="00394471" w:rsidP="00FA0D37">
      <w:pPr>
        <w:pStyle w:val="PL"/>
      </w:pPr>
    </w:p>
    <w:p w14:paraId="70B8C6F7" w14:textId="77777777" w:rsidR="007E2C88" w:rsidRPr="00FA0D37" w:rsidRDefault="007E2C88" w:rsidP="00FA0D37">
      <w:pPr>
        <w:pStyle w:val="PL"/>
      </w:pPr>
      <w:r w:rsidRPr="00FA0D37">
        <w:t xml:space="preserve">DL-DataToUL-ACK-DCI-1-2-r17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w:t>
      </w:r>
      <w:r w:rsidRPr="00FA0D37">
        <w:rPr>
          <w:color w:val="993366"/>
        </w:rPr>
        <w:t>INTEGER</w:t>
      </w:r>
      <w:r w:rsidRPr="00FA0D37">
        <w:t xml:space="preserve"> (0..127)</w:t>
      </w:r>
    </w:p>
    <w:p w14:paraId="2E280809" w14:textId="77777777" w:rsidR="007E2C88" w:rsidRPr="00FA0D37" w:rsidRDefault="007E2C88" w:rsidP="00FA0D37">
      <w:pPr>
        <w:pStyle w:val="PL"/>
      </w:pPr>
    </w:p>
    <w:p w14:paraId="6FFF14B1" w14:textId="12E9CB46" w:rsidR="00394471" w:rsidRPr="00FA0D37" w:rsidRDefault="00394471" w:rsidP="00FA0D37">
      <w:pPr>
        <w:pStyle w:val="PL"/>
      </w:pPr>
      <w:r w:rsidRPr="00FA0D37">
        <w:t xml:space="preserve">UL-AccessConfigListDCI-1-1-r16 ::=         </w:t>
      </w:r>
      <w:r w:rsidRPr="00FA0D37">
        <w:rPr>
          <w:color w:val="993366"/>
        </w:rPr>
        <w:t>SEQUENCE</w:t>
      </w:r>
      <w:r w:rsidRPr="00FA0D37">
        <w:t xml:space="preserve"> (</w:t>
      </w:r>
      <w:r w:rsidRPr="00FA0D37">
        <w:rPr>
          <w:color w:val="993366"/>
        </w:rPr>
        <w:t>SIZE</w:t>
      </w:r>
      <w:r w:rsidRPr="00FA0D37">
        <w:t xml:space="preserve"> (1..16))</w:t>
      </w:r>
      <w:r w:rsidRPr="00FA0D37">
        <w:rPr>
          <w:color w:val="993366"/>
        </w:rPr>
        <w:t xml:space="preserve"> OF</w:t>
      </w:r>
      <w:r w:rsidRPr="00FA0D37">
        <w:t xml:space="preserve"> </w:t>
      </w:r>
      <w:r w:rsidRPr="00FA0D37">
        <w:rPr>
          <w:color w:val="993366"/>
        </w:rPr>
        <w:t>INTEGER</w:t>
      </w:r>
      <w:r w:rsidRPr="00FA0D37">
        <w:t xml:space="preserve"> (0..15)</w:t>
      </w:r>
    </w:p>
    <w:p w14:paraId="27C9C58F" w14:textId="45E67711" w:rsidR="00394471" w:rsidRPr="00FA0D37" w:rsidRDefault="00394471" w:rsidP="00FA0D37">
      <w:pPr>
        <w:pStyle w:val="PL"/>
      </w:pPr>
    </w:p>
    <w:p w14:paraId="3572A42A" w14:textId="1879E3D4" w:rsidR="005D7926" w:rsidRPr="00FA0D37" w:rsidRDefault="005D7926" w:rsidP="00FA0D37">
      <w:pPr>
        <w:pStyle w:val="PL"/>
      </w:pPr>
      <w:r w:rsidRPr="00FA0D37">
        <w:t xml:space="preserve">UL-AccessConfigListDCI-1-2-r17 ::=         </w:t>
      </w:r>
      <w:r w:rsidRPr="00FA0D37">
        <w:rPr>
          <w:color w:val="993366"/>
        </w:rPr>
        <w:t>SEQUENCE</w:t>
      </w:r>
      <w:r w:rsidRPr="00FA0D37">
        <w:t xml:space="preserve"> (</w:t>
      </w:r>
      <w:r w:rsidRPr="00FA0D37">
        <w:rPr>
          <w:color w:val="993366"/>
        </w:rPr>
        <w:t>SIZE</w:t>
      </w:r>
      <w:r w:rsidRPr="00FA0D37">
        <w:t xml:space="preserve"> (1..16))</w:t>
      </w:r>
      <w:r w:rsidRPr="00FA0D37">
        <w:rPr>
          <w:color w:val="993366"/>
        </w:rPr>
        <w:t xml:space="preserve"> OF</w:t>
      </w:r>
      <w:r w:rsidRPr="00FA0D37">
        <w:t xml:space="preserve"> </w:t>
      </w:r>
      <w:r w:rsidRPr="00FA0D37">
        <w:rPr>
          <w:color w:val="993366"/>
        </w:rPr>
        <w:t>INTEGER</w:t>
      </w:r>
      <w:r w:rsidRPr="00FA0D37">
        <w:t xml:space="preserve"> (0..15)</w:t>
      </w:r>
    </w:p>
    <w:p w14:paraId="1725EE7C" w14:textId="14E48A3C" w:rsidR="005D7926" w:rsidRPr="00FA0D37" w:rsidRDefault="005D7926" w:rsidP="00FA0D37">
      <w:pPr>
        <w:pStyle w:val="PL"/>
      </w:pPr>
    </w:p>
    <w:p w14:paraId="1E97E28F" w14:textId="48A3A252" w:rsidR="007E2C88" w:rsidRPr="00FA0D37" w:rsidRDefault="007E2C88" w:rsidP="00FA0D37">
      <w:pPr>
        <w:pStyle w:val="PL"/>
      </w:pPr>
      <w:r w:rsidRPr="00FA0D37">
        <w:t xml:space="preserve">UL-AccessConfigListDCI-1-1-r17 ::=         </w:t>
      </w:r>
      <w:r w:rsidRPr="00FA0D37">
        <w:rPr>
          <w:color w:val="993366"/>
        </w:rPr>
        <w:t>SEQUENCE</w:t>
      </w:r>
      <w:r w:rsidRPr="00FA0D37">
        <w:t xml:space="preserve"> (</w:t>
      </w:r>
      <w:r w:rsidRPr="00FA0D37">
        <w:rPr>
          <w:color w:val="993366"/>
        </w:rPr>
        <w:t>SIZE</w:t>
      </w:r>
      <w:r w:rsidRPr="00FA0D37">
        <w:t xml:space="preserve"> (1..3))</w:t>
      </w:r>
      <w:r w:rsidRPr="00FA0D37">
        <w:rPr>
          <w:color w:val="993366"/>
        </w:rPr>
        <w:t xml:space="preserve"> OF</w:t>
      </w:r>
      <w:r w:rsidRPr="00FA0D37">
        <w:t xml:space="preserve"> </w:t>
      </w:r>
      <w:r w:rsidRPr="00FA0D37">
        <w:rPr>
          <w:color w:val="993366"/>
        </w:rPr>
        <w:t>INTEGER</w:t>
      </w:r>
      <w:r w:rsidRPr="00FA0D37">
        <w:t xml:space="preserve"> (0..2)</w:t>
      </w:r>
    </w:p>
    <w:p w14:paraId="68C22E41" w14:textId="7FAB7CA4" w:rsidR="007E2C88" w:rsidRPr="00FA0D37" w:rsidRDefault="007E2C88" w:rsidP="00FA0D37">
      <w:pPr>
        <w:pStyle w:val="PL"/>
      </w:pPr>
    </w:p>
    <w:p w14:paraId="2FC849A4" w14:textId="77777777" w:rsidR="001E593B" w:rsidRPr="00FA0D37" w:rsidRDefault="001E593B" w:rsidP="00FA0D37">
      <w:pPr>
        <w:pStyle w:val="PL"/>
      </w:pPr>
      <w:r w:rsidRPr="00FA0D37">
        <w:t xml:space="preserve">DL-DataToUL-ACK-MulticastDCI-Format4-1-r17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w:t>
      </w:r>
      <w:r w:rsidRPr="00FA0D37">
        <w:rPr>
          <w:color w:val="993366"/>
        </w:rPr>
        <w:t>INTEGER</w:t>
      </w:r>
      <w:r w:rsidRPr="00FA0D37">
        <w:t xml:space="preserve"> (0..15)</w:t>
      </w:r>
    </w:p>
    <w:p w14:paraId="70D998CF" w14:textId="77777777" w:rsidR="001E593B" w:rsidRPr="00FA0D37" w:rsidRDefault="001E593B" w:rsidP="00FA0D37">
      <w:pPr>
        <w:pStyle w:val="PL"/>
      </w:pPr>
    </w:p>
    <w:p w14:paraId="02ACD126" w14:textId="77777777" w:rsidR="00394471" w:rsidRPr="00FA0D37" w:rsidRDefault="00394471" w:rsidP="00FA0D37">
      <w:pPr>
        <w:pStyle w:val="PL"/>
        <w:rPr>
          <w:color w:val="808080"/>
        </w:rPr>
      </w:pPr>
      <w:r w:rsidRPr="00FA0D37">
        <w:rPr>
          <w:color w:val="808080"/>
        </w:rPr>
        <w:t>-- TAG-PUCCH-CONFIG-STOP</w:t>
      </w:r>
    </w:p>
    <w:p w14:paraId="3AE05C3F" w14:textId="77777777" w:rsidR="00394471" w:rsidRPr="00FA0D37" w:rsidRDefault="00394471" w:rsidP="00FA0D37">
      <w:pPr>
        <w:pStyle w:val="PL"/>
        <w:rPr>
          <w:color w:val="808080"/>
        </w:rPr>
      </w:pPr>
      <w:r w:rsidRPr="00FA0D37">
        <w:rPr>
          <w:color w:val="808080"/>
        </w:rPr>
        <w:t>-- ASN1STOP</w:t>
      </w:r>
    </w:p>
    <w:p w14:paraId="4C3FB4A1" w14:textId="77777777" w:rsidR="00394471" w:rsidRPr="00FA0D37" w:rsidRDefault="00394471" w:rsidP="00394471">
      <w:pPr>
        <w:pStyle w:val="PL"/>
      </w:pPr>
    </w:p>
    <w:p w14:paraId="430169D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FA0D37" w:rsidRDefault="00394471" w:rsidP="00964CC4">
            <w:pPr>
              <w:pStyle w:val="TAH"/>
              <w:rPr>
                <w:szCs w:val="22"/>
                <w:lang w:eastAsia="sv-SE"/>
              </w:rPr>
            </w:pPr>
            <w:r w:rsidRPr="00FA0D37">
              <w:rPr>
                <w:i/>
                <w:szCs w:val="22"/>
                <w:lang w:eastAsia="sv-SE"/>
              </w:rPr>
              <w:lastRenderedPageBreak/>
              <w:t xml:space="preserve">PUCCH-Config </w:t>
            </w:r>
            <w:r w:rsidRPr="00FA0D37">
              <w:rPr>
                <w:szCs w:val="22"/>
                <w:lang w:eastAsia="sv-SE"/>
              </w:rPr>
              <w:t>field descriptions</w:t>
            </w:r>
          </w:p>
        </w:tc>
      </w:tr>
      <w:tr w:rsidR="005C7FF4" w:rsidRPr="00FA0D37"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FA0D37" w:rsidRDefault="00394471" w:rsidP="00964CC4">
            <w:pPr>
              <w:pStyle w:val="TAL"/>
              <w:rPr>
                <w:szCs w:val="22"/>
                <w:lang w:eastAsia="sv-SE"/>
              </w:rPr>
            </w:pPr>
            <w:r w:rsidRPr="00FA0D37">
              <w:rPr>
                <w:b/>
                <w:i/>
                <w:szCs w:val="22"/>
                <w:lang w:eastAsia="sv-SE"/>
              </w:rPr>
              <w:t>dl-DataToUL-ACK, dl-DataToUL-ACK-DCI-1-2</w:t>
            </w:r>
          </w:p>
          <w:p w14:paraId="32A7AC1A" w14:textId="0B482C61" w:rsidR="00394471" w:rsidRPr="00FA0D37" w:rsidRDefault="00394471" w:rsidP="00964CC4">
            <w:pPr>
              <w:pStyle w:val="TAL"/>
              <w:rPr>
                <w:szCs w:val="22"/>
                <w:lang w:eastAsia="sv-SE"/>
              </w:rPr>
            </w:pPr>
            <w:r w:rsidRPr="00FA0D37">
              <w:rPr>
                <w:szCs w:val="22"/>
                <w:lang w:eastAsia="sv-SE"/>
              </w:rPr>
              <w:t xml:space="preserve">List of timing for given PDSCH to the DL ACK (see TS 38.213 [13], clause 9.1.2). The field </w:t>
            </w:r>
            <w:r w:rsidRPr="00FA0D37">
              <w:rPr>
                <w:i/>
                <w:szCs w:val="22"/>
                <w:lang w:eastAsia="sv-SE"/>
              </w:rPr>
              <w:t>dl-DataToUL-ACK</w:t>
            </w:r>
            <w:r w:rsidRPr="00FA0D37">
              <w:rPr>
                <w:szCs w:val="22"/>
                <w:lang w:eastAsia="sv-SE"/>
              </w:rPr>
              <w:t xml:space="preserve"> </w:t>
            </w:r>
            <w:r w:rsidRPr="00FA0D37">
              <w:rPr>
                <w:szCs w:val="22"/>
              </w:rPr>
              <w:t>applies</w:t>
            </w:r>
            <w:r w:rsidRPr="00FA0D37">
              <w:rPr>
                <w:szCs w:val="22"/>
                <w:lang w:eastAsia="sv-SE"/>
              </w:rPr>
              <w:t xml:space="preserve"> to DCI format 1_1 and the field </w:t>
            </w:r>
            <w:r w:rsidRPr="00FA0D37">
              <w:rPr>
                <w:i/>
                <w:szCs w:val="22"/>
                <w:lang w:eastAsia="sv-SE"/>
              </w:rPr>
              <w:t>dl-DataToUL-ACK-DCI-1-2</w:t>
            </w:r>
            <w:r w:rsidRPr="00FA0D37">
              <w:rPr>
                <w:szCs w:val="22"/>
                <w:lang w:eastAsia="sv-SE"/>
              </w:rPr>
              <w:t xml:space="preserve"> </w:t>
            </w:r>
            <w:r w:rsidRPr="00FA0D37">
              <w:rPr>
                <w:szCs w:val="22"/>
              </w:rPr>
              <w:t>applies</w:t>
            </w:r>
            <w:r w:rsidRPr="00FA0D37">
              <w:rPr>
                <w:szCs w:val="22"/>
                <w:lang w:eastAsia="sv-SE"/>
              </w:rPr>
              <w:t xml:space="preserve"> to DCI format 1_2 (see TS 38.212 [17], clause 7.3.1 and TS 38.213 [13], clause 9.2.3).</w:t>
            </w:r>
            <w:r w:rsidRPr="00FA0D37">
              <w:t xml:space="preserve"> </w:t>
            </w:r>
            <w:r w:rsidR="00771058" w:rsidRPr="00FA0D37">
              <w:t xml:space="preserve">The </w:t>
            </w:r>
            <w:r w:rsidR="00771058" w:rsidRPr="00FA0D37">
              <w:rPr>
                <w:rFonts w:eastAsia="等线"/>
                <w:i/>
                <w:iCs/>
                <w:lang w:eastAsia="zh-CN"/>
              </w:rPr>
              <w:t>dl-DataToUL-ACK-v1700</w:t>
            </w:r>
            <w:r w:rsidR="00771058" w:rsidRPr="00FA0D37">
              <w:rPr>
                <w:rFonts w:eastAsia="等线"/>
                <w:lang w:eastAsia="zh-CN"/>
              </w:rPr>
              <w:t xml:space="preserve"> is applicable for NTN and </w:t>
            </w:r>
            <w:r w:rsidR="00771058" w:rsidRPr="00FA0D37">
              <w:rPr>
                <w:rFonts w:eastAsia="等线"/>
                <w:i/>
                <w:iCs/>
                <w:lang w:eastAsia="zh-CN"/>
              </w:rPr>
              <w:t>dl-DataToUL-ACK-r17</w:t>
            </w:r>
            <w:r w:rsidR="00771058" w:rsidRPr="00FA0D37">
              <w:rPr>
                <w:rFonts w:eastAsia="等线"/>
                <w:lang w:eastAsia="zh-CN"/>
              </w:rPr>
              <w:t xml:space="preserve"> is applicable for up to 71 GHz.</w:t>
            </w:r>
            <w:r w:rsidR="00771058" w:rsidRPr="00FA0D37">
              <w:t xml:space="preserve"> </w:t>
            </w:r>
            <w:r w:rsidRPr="00FA0D37">
              <w:t xml:space="preserve">If </w:t>
            </w:r>
            <w:r w:rsidRPr="00FA0D37">
              <w:rPr>
                <w:bCs/>
                <w:i/>
              </w:rPr>
              <w:t>dl-DataToUL-ACK</w:t>
            </w:r>
            <w:r w:rsidRPr="00FA0D37">
              <w:rPr>
                <w:i/>
              </w:rPr>
              <w:t>-r16</w:t>
            </w:r>
            <w:r w:rsidR="007E2C88" w:rsidRPr="00FA0D37">
              <w:t xml:space="preserve"> </w:t>
            </w:r>
            <w:r w:rsidR="007E2C88" w:rsidRPr="00FA0D37">
              <w:rPr>
                <w:i/>
              </w:rPr>
              <w:t>or dl-DataToUL-ACK-r17</w:t>
            </w:r>
            <w:r w:rsidRPr="00FA0D37">
              <w:t xml:space="preserve"> </w:t>
            </w:r>
            <w:r w:rsidR="00771058" w:rsidRPr="00FA0D37">
              <w:rPr>
                <w:rFonts w:eastAsia="等线"/>
                <w:lang w:eastAsia="zh-CN"/>
              </w:rPr>
              <w:t xml:space="preserve">or </w:t>
            </w:r>
            <w:r w:rsidR="00771058" w:rsidRPr="00FA0D37">
              <w:rPr>
                <w:rFonts w:eastAsia="等线"/>
                <w:i/>
                <w:iCs/>
                <w:lang w:eastAsia="zh-CN"/>
              </w:rPr>
              <w:t>dl-DataToUL-ACK-v1700</w:t>
            </w:r>
            <w:r w:rsidR="00771058" w:rsidRPr="00FA0D37">
              <w:rPr>
                <w:rFonts w:eastAsia="等线"/>
                <w:lang w:eastAsia="zh-CN"/>
              </w:rPr>
              <w:t xml:space="preserve"> </w:t>
            </w:r>
            <w:r w:rsidRPr="00FA0D37">
              <w:t xml:space="preserve">is signalled, UE shall ignore the </w:t>
            </w:r>
            <w:r w:rsidRPr="00FA0D37">
              <w:rPr>
                <w:bCs/>
                <w:i/>
              </w:rPr>
              <w:t>dl-DataToUL-ACK</w:t>
            </w:r>
            <w:r w:rsidRPr="00FA0D37">
              <w:rPr>
                <w:i/>
              </w:rPr>
              <w:t xml:space="preserve"> </w:t>
            </w:r>
            <w:r w:rsidRPr="00FA0D37">
              <w:t>(without suffix). The value -1 corresponds to "</w:t>
            </w:r>
            <w:r w:rsidR="00BF52D8" w:rsidRPr="00FA0D37">
              <w:t>inapplicable</w:t>
            </w:r>
            <w:r w:rsidRPr="00FA0D37">
              <w:t xml:space="preserve"> value" for the case where the A/N feedback timing is not explicitly included at the time of scheduling PDSCH.</w:t>
            </w:r>
            <w:r w:rsidR="007E2C88" w:rsidRPr="00FA0D37">
              <w:rPr>
                <w:rFonts w:cs="Arial"/>
                <w:i/>
              </w:rPr>
              <w:t xml:space="preserve"> </w:t>
            </w:r>
            <w:r w:rsidR="007E2C88" w:rsidRPr="00FA0D37">
              <w:rPr>
                <w:rFonts w:cs="Arial"/>
                <w:iCs/>
              </w:rPr>
              <w:t xml:space="preserve">The fields </w:t>
            </w:r>
            <w:r w:rsidR="007E2C88" w:rsidRPr="00FA0D37">
              <w:rPr>
                <w:rFonts w:cs="Arial"/>
                <w:bCs/>
                <w:i/>
              </w:rPr>
              <w:t>dl-DataToUL-ACK</w:t>
            </w:r>
            <w:r w:rsidR="007E2C88" w:rsidRPr="00FA0D37">
              <w:rPr>
                <w:rFonts w:cs="Arial"/>
                <w:i/>
              </w:rPr>
              <w:t xml:space="preserve">-r17 </w:t>
            </w:r>
            <w:r w:rsidR="007E2C88" w:rsidRPr="00FA0D37">
              <w:rPr>
                <w:rFonts w:cs="Arial"/>
              </w:rPr>
              <w:t xml:space="preserve">and </w:t>
            </w:r>
            <w:r w:rsidR="007E2C88" w:rsidRPr="00FA0D37">
              <w:rPr>
                <w:rFonts w:cs="Arial"/>
                <w:bCs/>
                <w:i/>
              </w:rPr>
              <w:t>dl-DataToUL-ACK-DCI-1-2</w:t>
            </w:r>
            <w:r w:rsidR="007E2C88" w:rsidRPr="00FA0D37">
              <w:rPr>
                <w:rFonts w:cs="Arial"/>
                <w:i/>
              </w:rPr>
              <w:t xml:space="preserve">-r17 </w:t>
            </w:r>
            <w:r w:rsidR="007E2C88" w:rsidRPr="00FA0D37">
              <w:rPr>
                <w:rFonts w:cs="Arial"/>
              </w:rPr>
              <w:t>are only applicable for SCS of 480 kHz or 960 kHz.</w:t>
            </w:r>
          </w:p>
        </w:tc>
      </w:tr>
      <w:tr w:rsidR="005C7FF4" w:rsidRPr="00FA0D37"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FA0D37" w:rsidRDefault="001E593B" w:rsidP="00771058">
            <w:pPr>
              <w:pStyle w:val="TAL"/>
              <w:rPr>
                <w:szCs w:val="22"/>
                <w:lang w:eastAsia="sv-SE"/>
              </w:rPr>
            </w:pPr>
            <w:r w:rsidRPr="00FA0D37">
              <w:rPr>
                <w:b/>
                <w:i/>
                <w:szCs w:val="22"/>
                <w:lang w:eastAsia="sv-SE"/>
              </w:rPr>
              <w:t>dl-DataToUL-ACK-MulticastDCI-Format4-1</w:t>
            </w:r>
          </w:p>
          <w:p w14:paraId="78A41743" w14:textId="4716FF7A" w:rsidR="001E593B" w:rsidRPr="00FA0D37" w:rsidRDefault="001E593B" w:rsidP="00771058">
            <w:pPr>
              <w:pStyle w:val="TAL"/>
              <w:rPr>
                <w:b/>
                <w:i/>
                <w:szCs w:val="22"/>
                <w:lang w:eastAsia="sv-SE"/>
              </w:rPr>
            </w:pPr>
            <w:r w:rsidRPr="00FA0D37">
              <w:rPr>
                <w:szCs w:val="22"/>
                <w:lang w:eastAsia="sv-SE"/>
              </w:rPr>
              <w:t xml:space="preserve">List of timing for given group-common PDSCH to the DL ACK (see TS 38.213 [13], clause 9.1.2). The field </w:t>
            </w:r>
            <w:r w:rsidRPr="00FA0D37">
              <w:rPr>
                <w:i/>
                <w:szCs w:val="22"/>
                <w:lang w:eastAsia="sv-SE"/>
              </w:rPr>
              <w:t>dl-DataToUL-ACK-MulticastDciFormat4-1</w:t>
            </w:r>
            <w:r w:rsidRPr="00FA0D37">
              <w:rPr>
                <w:szCs w:val="22"/>
                <w:lang w:eastAsia="sv-SE"/>
              </w:rPr>
              <w:t xml:space="preserve"> applies to DCI format </w:t>
            </w:r>
            <w:r w:rsidR="00280BA7" w:rsidRPr="00FA0D37">
              <w:rPr>
                <w:szCs w:val="22"/>
                <w:lang w:eastAsia="sv-SE"/>
              </w:rPr>
              <w:t>4</w:t>
            </w:r>
            <w:r w:rsidRPr="00FA0D37">
              <w:rPr>
                <w:szCs w:val="22"/>
                <w:lang w:eastAsia="sv-SE"/>
              </w:rPr>
              <w:t>_</w:t>
            </w:r>
            <w:r w:rsidR="00280BA7" w:rsidRPr="00FA0D37">
              <w:rPr>
                <w:szCs w:val="22"/>
                <w:lang w:eastAsia="sv-SE"/>
              </w:rPr>
              <w:t>1</w:t>
            </w:r>
            <w:r w:rsidRPr="00FA0D37">
              <w:rPr>
                <w:szCs w:val="22"/>
                <w:lang w:eastAsia="sv-SE"/>
              </w:rPr>
              <w:t xml:space="preserve"> for MBS multicast (see TS 38.212 [17], clause 7.3.1 and TS 38.213 [13], clause 9.2.3).</w:t>
            </w:r>
          </w:p>
        </w:tc>
      </w:tr>
      <w:tr w:rsidR="005C7FF4" w:rsidRPr="00FA0D37"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FA0D37" w:rsidRDefault="003E7B2B" w:rsidP="00771058">
            <w:pPr>
              <w:pStyle w:val="TAL"/>
              <w:rPr>
                <w:b/>
                <w:bCs/>
                <w:i/>
                <w:iCs/>
                <w:lang w:eastAsia="x-none"/>
              </w:rPr>
            </w:pPr>
            <w:r w:rsidRPr="00FA0D37">
              <w:rPr>
                <w:b/>
                <w:bCs/>
                <w:i/>
                <w:iCs/>
                <w:lang w:eastAsia="x-none"/>
              </w:rPr>
              <w:t>dmrs-BundlingPUCCH-Config</w:t>
            </w:r>
          </w:p>
          <w:p w14:paraId="14557EA6" w14:textId="093317D0" w:rsidR="003E7B2B" w:rsidRPr="00FA0D37" w:rsidRDefault="003E7B2B" w:rsidP="00771058">
            <w:pPr>
              <w:pStyle w:val="TAL"/>
              <w:rPr>
                <w:b/>
                <w:i/>
                <w:szCs w:val="22"/>
                <w:lang w:eastAsia="sv-SE"/>
              </w:rPr>
            </w:pPr>
            <w:r w:rsidRPr="00FA0D37">
              <w:rPr>
                <w:szCs w:val="22"/>
                <w:lang w:eastAsia="sv-SE"/>
              </w:rPr>
              <w:t>Configuration of the parameters for DMRS bundling for PUCCH (see TS 38.214 [19], clause 6.1.7). DMRS bundling for PUCCH is not supported for PUCCH format 0/2.</w:t>
            </w:r>
            <w:r w:rsidR="00032481" w:rsidRPr="00FA0D37">
              <w:rPr>
                <w:szCs w:val="22"/>
                <w:lang w:eastAsia="sv-SE"/>
              </w:rPr>
              <w:t xml:space="preserve"> In this release, this is not applicable to FR2-2.</w:t>
            </w:r>
          </w:p>
        </w:tc>
      </w:tr>
      <w:tr w:rsidR="005C7FF4" w:rsidRPr="00FA0D37"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FA0D37" w:rsidRDefault="00394471" w:rsidP="00964CC4">
            <w:pPr>
              <w:pStyle w:val="TAL"/>
              <w:rPr>
                <w:b/>
                <w:i/>
                <w:szCs w:val="22"/>
                <w:lang w:eastAsia="sv-SE"/>
              </w:rPr>
            </w:pPr>
            <w:r w:rsidRPr="00FA0D37">
              <w:rPr>
                <w:b/>
                <w:i/>
                <w:szCs w:val="22"/>
                <w:lang w:eastAsia="sv-SE"/>
              </w:rPr>
              <w:t>dmrs-UplinkTransformPrecodingPUCCH</w:t>
            </w:r>
          </w:p>
          <w:p w14:paraId="0A96DC75" w14:textId="77777777" w:rsidR="00394471" w:rsidRPr="00FA0D37" w:rsidRDefault="00394471" w:rsidP="00964CC4">
            <w:pPr>
              <w:pStyle w:val="TAL"/>
              <w:rPr>
                <w:b/>
                <w:i/>
                <w:szCs w:val="22"/>
                <w:lang w:eastAsia="sv-SE"/>
              </w:rPr>
            </w:pPr>
            <w:r w:rsidRPr="00FA0D37">
              <w:rPr>
                <w:szCs w:val="22"/>
                <w:lang w:eastAsia="sv-SE"/>
              </w:rPr>
              <w:t>This field is used for PUCCH formats 3 and 4 according to TS 38.211, Clause 6.4.1.3.3.1.</w:t>
            </w:r>
          </w:p>
        </w:tc>
      </w:tr>
      <w:tr w:rsidR="005C7FF4" w:rsidRPr="00FA0D37"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FA0D37" w:rsidRDefault="005D7926" w:rsidP="00771058">
            <w:pPr>
              <w:pStyle w:val="TAL"/>
              <w:rPr>
                <w:szCs w:val="22"/>
                <w:lang w:eastAsia="sv-SE"/>
              </w:rPr>
            </w:pPr>
            <w:r w:rsidRPr="00FA0D37">
              <w:rPr>
                <w:b/>
                <w:i/>
                <w:szCs w:val="22"/>
                <w:lang w:eastAsia="sv-SE"/>
              </w:rPr>
              <w:t>format0</w:t>
            </w:r>
          </w:p>
          <w:p w14:paraId="2C7F536D" w14:textId="77777777" w:rsidR="005D7926" w:rsidRPr="00FA0D37" w:rsidRDefault="005D7926" w:rsidP="00771058">
            <w:pPr>
              <w:pStyle w:val="TAL"/>
              <w:rPr>
                <w:b/>
                <w:i/>
                <w:szCs w:val="22"/>
                <w:lang w:eastAsia="sv-SE"/>
              </w:rPr>
            </w:pPr>
            <w:r w:rsidRPr="00FA0D37">
              <w:rPr>
                <w:szCs w:val="22"/>
                <w:lang w:eastAsia="sv-SE"/>
              </w:rPr>
              <w:t>Parameters that are common for all PUCCH resources of format 0.</w:t>
            </w:r>
          </w:p>
        </w:tc>
      </w:tr>
      <w:tr w:rsidR="005C7FF4" w:rsidRPr="00FA0D37"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FA0D37" w:rsidRDefault="00394471" w:rsidP="00964CC4">
            <w:pPr>
              <w:pStyle w:val="TAL"/>
              <w:rPr>
                <w:szCs w:val="22"/>
                <w:lang w:eastAsia="sv-SE"/>
              </w:rPr>
            </w:pPr>
            <w:r w:rsidRPr="00FA0D37">
              <w:rPr>
                <w:b/>
                <w:i/>
                <w:szCs w:val="22"/>
                <w:lang w:eastAsia="sv-SE"/>
              </w:rPr>
              <w:t>format1</w:t>
            </w:r>
          </w:p>
          <w:p w14:paraId="4780423C" w14:textId="77777777" w:rsidR="00394471" w:rsidRPr="00FA0D37" w:rsidRDefault="00394471" w:rsidP="00964CC4">
            <w:pPr>
              <w:pStyle w:val="TAL"/>
              <w:rPr>
                <w:szCs w:val="22"/>
                <w:lang w:eastAsia="sv-SE"/>
              </w:rPr>
            </w:pPr>
            <w:r w:rsidRPr="00FA0D37">
              <w:rPr>
                <w:szCs w:val="22"/>
                <w:lang w:eastAsia="sv-SE"/>
              </w:rPr>
              <w:t>Parameters that are common for all PUCCH resources of format 1.</w:t>
            </w:r>
          </w:p>
        </w:tc>
      </w:tr>
      <w:tr w:rsidR="005C7FF4" w:rsidRPr="00FA0D37"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FA0D37" w:rsidRDefault="00394471" w:rsidP="00964CC4">
            <w:pPr>
              <w:pStyle w:val="TAL"/>
              <w:rPr>
                <w:szCs w:val="22"/>
                <w:lang w:eastAsia="sv-SE"/>
              </w:rPr>
            </w:pPr>
            <w:r w:rsidRPr="00FA0D37">
              <w:rPr>
                <w:b/>
                <w:i/>
                <w:szCs w:val="22"/>
                <w:lang w:eastAsia="sv-SE"/>
              </w:rPr>
              <w:t>format2</w:t>
            </w:r>
          </w:p>
          <w:p w14:paraId="6431A338" w14:textId="77777777" w:rsidR="00394471" w:rsidRPr="00FA0D37" w:rsidRDefault="00394471" w:rsidP="00964CC4">
            <w:pPr>
              <w:pStyle w:val="TAL"/>
              <w:rPr>
                <w:szCs w:val="22"/>
                <w:lang w:eastAsia="sv-SE"/>
              </w:rPr>
            </w:pPr>
            <w:r w:rsidRPr="00FA0D37">
              <w:rPr>
                <w:szCs w:val="22"/>
                <w:lang w:eastAsia="sv-SE"/>
              </w:rPr>
              <w:t>Parameters that are common for all PUCCH resources of format 2.</w:t>
            </w:r>
          </w:p>
        </w:tc>
      </w:tr>
      <w:tr w:rsidR="005C7FF4" w:rsidRPr="00FA0D37"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FA0D37" w:rsidRDefault="00394471" w:rsidP="00964CC4">
            <w:pPr>
              <w:pStyle w:val="TAL"/>
              <w:rPr>
                <w:szCs w:val="22"/>
                <w:lang w:eastAsia="sv-SE"/>
              </w:rPr>
            </w:pPr>
            <w:r w:rsidRPr="00FA0D37">
              <w:rPr>
                <w:b/>
                <w:i/>
                <w:szCs w:val="22"/>
                <w:lang w:eastAsia="sv-SE"/>
              </w:rPr>
              <w:t>format3</w:t>
            </w:r>
          </w:p>
          <w:p w14:paraId="5B001C87" w14:textId="77777777" w:rsidR="00394471" w:rsidRPr="00FA0D37" w:rsidRDefault="00394471" w:rsidP="00964CC4">
            <w:pPr>
              <w:pStyle w:val="TAL"/>
              <w:rPr>
                <w:szCs w:val="22"/>
                <w:lang w:eastAsia="sv-SE"/>
              </w:rPr>
            </w:pPr>
            <w:r w:rsidRPr="00FA0D37">
              <w:rPr>
                <w:szCs w:val="22"/>
                <w:lang w:eastAsia="sv-SE"/>
              </w:rPr>
              <w:t>Parameters that are common for all PUCCH resources of format 3.</w:t>
            </w:r>
          </w:p>
        </w:tc>
      </w:tr>
      <w:tr w:rsidR="005C7FF4" w:rsidRPr="00FA0D37"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FA0D37" w:rsidRDefault="00394471" w:rsidP="00964CC4">
            <w:pPr>
              <w:pStyle w:val="TAL"/>
              <w:rPr>
                <w:szCs w:val="22"/>
                <w:lang w:eastAsia="sv-SE"/>
              </w:rPr>
            </w:pPr>
            <w:r w:rsidRPr="00FA0D37">
              <w:rPr>
                <w:b/>
                <w:i/>
                <w:szCs w:val="22"/>
                <w:lang w:eastAsia="sv-SE"/>
              </w:rPr>
              <w:t>format4</w:t>
            </w:r>
          </w:p>
          <w:p w14:paraId="1C188107" w14:textId="202DA362" w:rsidR="00394471" w:rsidRPr="00FA0D37" w:rsidRDefault="00394471" w:rsidP="00964CC4">
            <w:pPr>
              <w:pStyle w:val="TAL"/>
              <w:rPr>
                <w:szCs w:val="22"/>
                <w:lang w:eastAsia="sv-SE"/>
              </w:rPr>
            </w:pPr>
            <w:r w:rsidRPr="00FA0D37">
              <w:rPr>
                <w:szCs w:val="22"/>
                <w:lang w:eastAsia="sv-SE"/>
              </w:rPr>
              <w:t>Parameters that are common for all PUCCH resources of format 4</w:t>
            </w:r>
            <w:r w:rsidR="003A2D9D" w:rsidRPr="00FA0D37">
              <w:rPr>
                <w:szCs w:val="22"/>
                <w:lang w:eastAsia="sv-SE"/>
              </w:rPr>
              <w:t>.</w:t>
            </w:r>
          </w:p>
        </w:tc>
      </w:tr>
      <w:tr w:rsidR="005C7FF4" w:rsidRPr="00FA0D37"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FA0D37" w:rsidRDefault="00651368" w:rsidP="00771058">
            <w:pPr>
              <w:pStyle w:val="TAL"/>
              <w:rPr>
                <w:b/>
                <w:bCs/>
                <w:i/>
                <w:iCs/>
                <w:lang w:eastAsia="x-none"/>
              </w:rPr>
            </w:pPr>
            <w:r w:rsidRPr="00FA0D37">
              <w:rPr>
                <w:b/>
                <w:bCs/>
                <w:i/>
                <w:iCs/>
                <w:lang w:eastAsia="x-none"/>
              </w:rPr>
              <w:t>mappingPattern</w:t>
            </w:r>
          </w:p>
          <w:p w14:paraId="05C9BE3E" w14:textId="059A9F11" w:rsidR="00651368" w:rsidRPr="00FA0D37" w:rsidRDefault="00651368" w:rsidP="00771058">
            <w:pPr>
              <w:pStyle w:val="TAL"/>
              <w:rPr>
                <w:lang w:eastAsia="x-none"/>
              </w:rPr>
            </w:pPr>
            <w:r w:rsidRPr="00FA0D37">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FA0D37">
              <w:rPr>
                <w:lang w:eastAsia="x-none"/>
              </w:rPr>
              <w:t>.</w:t>
            </w:r>
          </w:p>
        </w:tc>
      </w:tr>
      <w:tr w:rsidR="005C7FF4" w:rsidRPr="00FA0D37"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FA0D37" w:rsidRDefault="00394471" w:rsidP="00964CC4">
            <w:pPr>
              <w:pStyle w:val="TAL"/>
              <w:rPr>
                <w:b/>
                <w:bCs/>
                <w:i/>
                <w:iCs/>
                <w:lang w:eastAsia="x-none"/>
              </w:rPr>
            </w:pPr>
            <w:r w:rsidRPr="00FA0D37">
              <w:rPr>
                <w:b/>
                <w:bCs/>
                <w:i/>
                <w:iCs/>
                <w:lang w:eastAsia="x-none"/>
              </w:rPr>
              <w:t>numberOfBitsForPUCCH-ResourceIndicatorDCI-1-2</w:t>
            </w:r>
          </w:p>
          <w:p w14:paraId="69A53547" w14:textId="77777777" w:rsidR="00394471" w:rsidRPr="00FA0D37" w:rsidRDefault="00394471" w:rsidP="00964CC4">
            <w:pPr>
              <w:pStyle w:val="TAL"/>
              <w:rPr>
                <w:b/>
                <w:i/>
                <w:szCs w:val="22"/>
                <w:lang w:eastAsia="sv-SE"/>
              </w:rPr>
            </w:pPr>
            <w:r w:rsidRPr="00FA0D37">
              <w:rPr>
                <w:szCs w:val="22"/>
                <w:lang w:eastAsia="sv-SE"/>
              </w:rPr>
              <w:t>Configuration of the number of bits for "PUCCH resource indicator" in DCI format 1_2 (see TS 38.212 [17], clause 7.3.1 and TS 38.213 [13], clause 9.2.3).</w:t>
            </w:r>
          </w:p>
        </w:tc>
      </w:tr>
      <w:tr w:rsidR="005C7FF4" w:rsidRPr="00FA0D37"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FA0D37" w:rsidRDefault="00651368" w:rsidP="00771058">
            <w:pPr>
              <w:pStyle w:val="TAL"/>
              <w:rPr>
                <w:b/>
                <w:i/>
                <w:szCs w:val="22"/>
                <w:lang w:eastAsia="sv-SE"/>
              </w:rPr>
            </w:pPr>
            <w:r w:rsidRPr="00FA0D37">
              <w:rPr>
                <w:b/>
                <w:i/>
                <w:szCs w:val="22"/>
                <w:lang w:eastAsia="sv-SE"/>
              </w:rPr>
              <w:t>powerControlSetInfoToAddModList</w:t>
            </w:r>
          </w:p>
          <w:p w14:paraId="0B9D9FA7" w14:textId="71478D18" w:rsidR="00651368" w:rsidRPr="00FA0D37" w:rsidRDefault="00651368" w:rsidP="00771058">
            <w:pPr>
              <w:pStyle w:val="TAL"/>
              <w:rPr>
                <w:bCs/>
                <w:iCs/>
                <w:szCs w:val="22"/>
                <w:lang w:eastAsia="sv-SE"/>
              </w:rPr>
            </w:pPr>
            <w:r w:rsidRPr="00FA0D37">
              <w:rPr>
                <w:bCs/>
                <w:iCs/>
                <w:szCs w:val="22"/>
                <w:lang w:eastAsia="sv-SE"/>
              </w:rPr>
              <w:t xml:space="preserve">Configures power control sets for repetition of a PUCCH transmission in FR1. </w:t>
            </w:r>
            <w:r w:rsidR="00770F46" w:rsidRPr="00FA0D37">
              <w:rPr>
                <w:bCs/>
                <w:iCs/>
                <w:szCs w:val="22"/>
                <w:lang w:eastAsia="sv-SE"/>
              </w:rPr>
              <w:t xml:space="preserve">This field is not configured </w:t>
            </w:r>
            <w:r w:rsidR="00770F46" w:rsidRPr="00FA0D37">
              <w:rPr>
                <w:lang w:eastAsia="sv-SE"/>
              </w:rPr>
              <w:t xml:space="preserve">if </w:t>
            </w:r>
            <w:r w:rsidR="00770F46" w:rsidRPr="00FA0D37">
              <w:rPr>
                <w:i/>
                <w:iCs/>
                <w:lang w:eastAsia="zh-CN"/>
              </w:rPr>
              <w:t>ul-powerControl</w:t>
            </w:r>
            <w:r w:rsidR="00770F46" w:rsidRPr="00FA0D37">
              <w:rPr>
                <w:lang w:eastAsia="zh-CN"/>
              </w:rPr>
              <w:t xml:space="preserve"> is configured in the </w:t>
            </w:r>
            <w:r w:rsidR="00770F46" w:rsidRPr="00FA0D37">
              <w:rPr>
                <w:i/>
                <w:iCs/>
                <w:lang w:eastAsia="zh-CN"/>
              </w:rPr>
              <w:t>BWP-UplinkDedicated</w:t>
            </w:r>
            <w:r w:rsidR="00770F46" w:rsidRPr="00FA0D37">
              <w:rPr>
                <w:lang w:eastAsia="zh-CN"/>
              </w:rPr>
              <w:t xml:space="preserve"> in which the </w:t>
            </w:r>
            <w:r w:rsidR="00770F46" w:rsidRPr="00FA0D37">
              <w:rPr>
                <w:i/>
                <w:iCs/>
                <w:lang w:eastAsia="zh-CN"/>
              </w:rPr>
              <w:t>PUCCH-Config</w:t>
            </w:r>
            <w:r w:rsidR="00770F46" w:rsidRPr="00FA0D37">
              <w:rPr>
                <w:lang w:eastAsia="zh-CN"/>
              </w:rPr>
              <w:t xml:space="preserve"> is included.</w:t>
            </w:r>
          </w:p>
        </w:tc>
      </w:tr>
      <w:tr w:rsidR="005C7FF4" w:rsidRPr="00FA0D37"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FA0D37" w:rsidRDefault="00770F46" w:rsidP="00770F46">
            <w:pPr>
              <w:pStyle w:val="TAL"/>
              <w:rPr>
                <w:b/>
                <w:i/>
                <w:szCs w:val="22"/>
                <w:lang w:eastAsia="sv-SE"/>
              </w:rPr>
            </w:pPr>
            <w:r w:rsidRPr="00FA0D37">
              <w:rPr>
                <w:b/>
                <w:i/>
                <w:szCs w:val="22"/>
                <w:lang w:eastAsia="sv-SE"/>
              </w:rPr>
              <w:t>pucch-PowerControl</w:t>
            </w:r>
          </w:p>
          <w:p w14:paraId="707F67D4" w14:textId="425E3C6D" w:rsidR="00770F46" w:rsidRPr="00FA0D37" w:rsidRDefault="00770F46" w:rsidP="00770F46">
            <w:pPr>
              <w:pStyle w:val="TAL"/>
              <w:rPr>
                <w:b/>
                <w:i/>
                <w:szCs w:val="22"/>
                <w:lang w:eastAsia="sv-SE"/>
              </w:rPr>
            </w:pPr>
            <w:r w:rsidRPr="00FA0D37">
              <w:rPr>
                <w:bCs/>
                <w:iCs/>
                <w:szCs w:val="22"/>
                <w:lang w:eastAsia="sv-SE"/>
              </w:rPr>
              <w:t>Configures power control parameters PUCCH transmission. This field is not</w:t>
            </w:r>
            <w:r w:rsidR="001C0233" w:rsidRPr="00FA0D37">
              <w:rPr>
                <w:bCs/>
                <w:iCs/>
                <w:szCs w:val="22"/>
                <w:lang w:eastAsia="sv-SE"/>
              </w:rPr>
              <w:t xml:space="preserve"> configured</w:t>
            </w:r>
            <w:r w:rsidRPr="00FA0D37">
              <w:rPr>
                <w:bCs/>
                <w:iCs/>
                <w:szCs w:val="22"/>
                <w:lang w:eastAsia="sv-SE"/>
              </w:rPr>
              <w:t xml:space="preserve"> if </w:t>
            </w:r>
            <w:r w:rsidRPr="00FA0D37">
              <w:rPr>
                <w:bCs/>
                <w:i/>
                <w:szCs w:val="22"/>
                <w:lang w:eastAsia="sv-SE"/>
              </w:rPr>
              <w:t>unifiedTCI-StateType</w:t>
            </w:r>
            <w:r w:rsidRPr="00FA0D37">
              <w:rPr>
                <w:bCs/>
                <w:iCs/>
                <w:szCs w:val="22"/>
                <w:lang w:eastAsia="sv-SE"/>
              </w:rPr>
              <w:t xml:space="preserve"> is configured for the serving cell</w:t>
            </w:r>
            <w:r w:rsidRPr="00FA0D37">
              <w:rPr>
                <w:lang w:eastAsia="zh-CN"/>
              </w:rPr>
              <w:t>.</w:t>
            </w:r>
          </w:p>
        </w:tc>
      </w:tr>
      <w:tr w:rsidR="005C7FF4" w:rsidRPr="00FA0D37"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FA0D37" w:rsidRDefault="00394471" w:rsidP="00964CC4">
            <w:pPr>
              <w:pStyle w:val="TAL"/>
              <w:rPr>
                <w:b/>
                <w:i/>
                <w:szCs w:val="22"/>
                <w:lang w:eastAsia="sv-SE"/>
              </w:rPr>
            </w:pPr>
            <w:r w:rsidRPr="00FA0D37">
              <w:rPr>
                <w:b/>
                <w:i/>
                <w:szCs w:val="22"/>
                <w:lang w:eastAsia="sv-SE"/>
              </w:rPr>
              <w:t>resourceGroupToAddModList, resourceGroupToReleaseList</w:t>
            </w:r>
          </w:p>
          <w:p w14:paraId="528F8F60" w14:textId="61AB879D" w:rsidR="00394471" w:rsidRPr="00FA0D37" w:rsidRDefault="00394471" w:rsidP="00964CC4">
            <w:pPr>
              <w:pStyle w:val="TAL"/>
              <w:rPr>
                <w:bCs/>
                <w:iCs/>
                <w:szCs w:val="22"/>
                <w:lang w:eastAsia="sv-SE"/>
              </w:rPr>
            </w:pPr>
            <w:r w:rsidRPr="00FA0D37">
              <w:rPr>
                <w:bCs/>
                <w:iCs/>
                <w:szCs w:val="22"/>
                <w:lang w:eastAsia="sv-SE"/>
              </w:rPr>
              <w:t>Lists for adding and releasing groups of PUCCH resources that can be updated simultaneously for spatial relations with a MAC CE</w:t>
            </w:r>
            <w:r w:rsidR="00513E07" w:rsidRPr="00FA0D37">
              <w:rPr>
                <w:bCs/>
                <w:iCs/>
                <w:szCs w:val="22"/>
                <w:lang w:eastAsia="sv-SE"/>
              </w:rPr>
              <w:t>.</w:t>
            </w:r>
          </w:p>
        </w:tc>
      </w:tr>
      <w:tr w:rsidR="005C7FF4" w:rsidRPr="00FA0D37"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FA0D37" w:rsidRDefault="00394471" w:rsidP="00964CC4">
            <w:pPr>
              <w:pStyle w:val="TAL"/>
              <w:rPr>
                <w:szCs w:val="22"/>
                <w:lang w:eastAsia="sv-SE"/>
              </w:rPr>
            </w:pPr>
            <w:r w:rsidRPr="00FA0D37">
              <w:rPr>
                <w:b/>
                <w:i/>
                <w:szCs w:val="22"/>
                <w:lang w:eastAsia="sv-SE"/>
              </w:rPr>
              <w:t>resourceSetToAddModList, resourceSetToReleaseList</w:t>
            </w:r>
          </w:p>
          <w:p w14:paraId="686C166A" w14:textId="77777777" w:rsidR="00394471" w:rsidRPr="00FA0D37" w:rsidRDefault="00394471" w:rsidP="00964CC4">
            <w:pPr>
              <w:pStyle w:val="TAL"/>
              <w:rPr>
                <w:szCs w:val="22"/>
                <w:lang w:eastAsia="sv-SE"/>
              </w:rPr>
            </w:pPr>
            <w:r w:rsidRPr="00FA0D37">
              <w:rPr>
                <w:szCs w:val="22"/>
                <w:lang w:eastAsia="sv-SE"/>
              </w:rPr>
              <w:t>Lists for adding and releasing PUCCH resource sets (see TS 38.213 [13], clause 9.2).</w:t>
            </w:r>
          </w:p>
        </w:tc>
      </w:tr>
      <w:tr w:rsidR="005C7FF4" w:rsidRPr="00FA0D37"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FA0D37" w:rsidRDefault="00394471" w:rsidP="00964CC4">
            <w:pPr>
              <w:pStyle w:val="TAL"/>
              <w:rPr>
                <w:szCs w:val="22"/>
                <w:lang w:eastAsia="sv-SE"/>
              </w:rPr>
            </w:pPr>
            <w:r w:rsidRPr="00FA0D37">
              <w:rPr>
                <w:b/>
                <w:i/>
                <w:szCs w:val="22"/>
                <w:lang w:eastAsia="sv-SE"/>
              </w:rPr>
              <w:t>resourceToAddModList, resourceToAddModListExt, resourceToReleaseList</w:t>
            </w:r>
          </w:p>
          <w:p w14:paraId="61F61403" w14:textId="77777777" w:rsidR="00394471" w:rsidRPr="00FA0D37" w:rsidRDefault="00394471" w:rsidP="00964CC4">
            <w:pPr>
              <w:pStyle w:val="TAL"/>
              <w:rPr>
                <w:szCs w:val="22"/>
                <w:lang w:eastAsia="sv-SE"/>
              </w:rPr>
            </w:pPr>
            <w:r w:rsidRPr="00FA0D37">
              <w:rPr>
                <w:szCs w:val="22"/>
                <w:lang w:eastAsia="sv-SE"/>
              </w:rPr>
              <w:t xml:space="preserve">Lists for adding and releasing PUCCH resources applicable for the UL BWP and serving cell in which the </w:t>
            </w:r>
            <w:r w:rsidRPr="00FA0D37">
              <w:rPr>
                <w:i/>
                <w:szCs w:val="22"/>
                <w:lang w:eastAsia="sv-SE"/>
              </w:rPr>
              <w:t>PUCCH-Config</w:t>
            </w:r>
            <w:r w:rsidRPr="00FA0D37">
              <w:rPr>
                <w:szCs w:val="22"/>
                <w:lang w:eastAsia="sv-SE"/>
              </w:rPr>
              <w:t xml:space="preserve"> is defined. The resources defined herein are referred to from other parts of the configuration to determine which resource the UE shall use for which report. If the network includes of </w:t>
            </w:r>
            <w:r w:rsidRPr="00FA0D37">
              <w:rPr>
                <w:i/>
                <w:iCs/>
                <w:szCs w:val="22"/>
                <w:lang w:eastAsia="sv-SE"/>
              </w:rPr>
              <w:t>resourceToAddModListExt</w:t>
            </w:r>
            <w:r w:rsidRPr="00FA0D37">
              <w:rPr>
                <w:szCs w:val="22"/>
                <w:lang w:eastAsia="sv-SE"/>
              </w:rPr>
              <w:t xml:space="preserve">, it includes the same number of entries, and listed in the same order, as in </w:t>
            </w:r>
            <w:r w:rsidRPr="00FA0D37">
              <w:rPr>
                <w:i/>
                <w:iCs/>
                <w:szCs w:val="22"/>
                <w:lang w:eastAsia="sv-SE"/>
              </w:rPr>
              <w:t>resourceToAddModList</w:t>
            </w:r>
            <w:r w:rsidRPr="00FA0D37">
              <w:rPr>
                <w:szCs w:val="22"/>
                <w:lang w:eastAsia="sv-SE"/>
              </w:rPr>
              <w:t>.</w:t>
            </w:r>
          </w:p>
        </w:tc>
      </w:tr>
      <w:tr w:rsidR="005C7FF4" w:rsidRPr="00FA0D37"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FA0D37" w:rsidRDefault="00651368" w:rsidP="00771058">
            <w:pPr>
              <w:pStyle w:val="TAL"/>
              <w:rPr>
                <w:b/>
                <w:i/>
                <w:szCs w:val="22"/>
                <w:lang w:eastAsia="sv-SE"/>
              </w:rPr>
            </w:pPr>
            <w:r w:rsidRPr="00FA0D37">
              <w:rPr>
                <w:b/>
                <w:i/>
                <w:szCs w:val="22"/>
                <w:lang w:eastAsia="sv-SE"/>
              </w:rPr>
              <w:lastRenderedPageBreak/>
              <w:t>secondTPCFieldDCI-1-1, secondTPCFieldDCI-1-2</w:t>
            </w:r>
          </w:p>
          <w:p w14:paraId="33BA2174" w14:textId="66A4599F" w:rsidR="00651368" w:rsidRPr="00FA0D37" w:rsidRDefault="00651368" w:rsidP="00771058">
            <w:pPr>
              <w:pStyle w:val="TAL"/>
              <w:rPr>
                <w:bCs/>
                <w:iCs/>
                <w:szCs w:val="22"/>
                <w:lang w:eastAsia="sv-SE"/>
              </w:rPr>
            </w:pPr>
            <w:r w:rsidRPr="00FA0D37">
              <w:rPr>
                <w:bCs/>
                <w:iCs/>
                <w:szCs w:val="22"/>
                <w:lang w:eastAsia="sv-SE"/>
              </w:rPr>
              <w:t xml:space="preserve">A second TPC field can be configured via RRC for DCI-1-1 and DCI-1-2. Each TPC field is for each closed-loop index value respectively (i.e., 1st /2nd TPC fields correspond to </w:t>
            </w:r>
            <w:r w:rsidR="000E5C0F" w:rsidRPr="00FA0D37">
              <w:rPr>
                <w:bCs/>
                <w:iCs/>
                <w:szCs w:val="22"/>
                <w:lang w:eastAsia="sv-SE"/>
              </w:rPr>
              <w:t>"</w:t>
            </w:r>
            <w:r w:rsidRPr="00FA0D37">
              <w:rPr>
                <w:bCs/>
                <w:iCs/>
                <w:szCs w:val="22"/>
                <w:lang w:eastAsia="sv-SE"/>
              </w:rPr>
              <w:t>closedLoopIndex</w:t>
            </w:r>
            <w:r w:rsidR="000E5C0F" w:rsidRPr="00FA0D37">
              <w:rPr>
                <w:bCs/>
                <w:iCs/>
                <w:szCs w:val="22"/>
                <w:lang w:eastAsia="sv-SE"/>
              </w:rPr>
              <w:t>"</w:t>
            </w:r>
            <w:r w:rsidRPr="00FA0D37">
              <w:rPr>
                <w:bCs/>
                <w:iCs/>
                <w:szCs w:val="22"/>
                <w:lang w:eastAsia="sv-SE"/>
              </w:rPr>
              <w:t xml:space="preserve"> value = 0 and 1.</w:t>
            </w:r>
          </w:p>
        </w:tc>
      </w:tr>
      <w:tr w:rsidR="005C7FF4" w:rsidRPr="00FA0D37"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FA0D37" w:rsidRDefault="00394471" w:rsidP="00964CC4">
            <w:pPr>
              <w:pStyle w:val="TAL"/>
              <w:rPr>
                <w:szCs w:val="22"/>
                <w:lang w:eastAsia="sv-SE"/>
              </w:rPr>
            </w:pPr>
            <w:r w:rsidRPr="00FA0D37">
              <w:rPr>
                <w:b/>
                <w:i/>
                <w:szCs w:val="22"/>
                <w:lang w:eastAsia="sv-SE"/>
              </w:rPr>
              <w:t>spatialRelationInfoToAddModList, spatialRelationInfoToAddModList</w:t>
            </w:r>
            <w:r w:rsidR="00C5556C" w:rsidRPr="00FA0D37">
              <w:rPr>
                <w:b/>
                <w:i/>
                <w:szCs w:val="22"/>
                <w:lang w:eastAsia="sv-SE"/>
              </w:rPr>
              <w:t>SizeExt</w:t>
            </w:r>
            <w:r w:rsidRPr="00FA0D37">
              <w:rPr>
                <w:b/>
                <w:i/>
                <w:szCs w:val="22"/>
                <w:lang w:eastAsia="sv-SE"/>
              </w:rPr>
              <w:t xml:space="preserve"> , spatialRelationInfoToAddModListExt</w:t>
            </w:r>
          </w:p>
          <w:p w14:paraId="7C2155D7" w14:textId="703C126B" w:rsidR="00394471" w:rsidRPr="00FA0D37" w:rsidRDefault="00394471" w:rsidP="00964CC4">
            <w:pPr>
              <w:pStyle w:val="TAL"/>
              <w:rPr>
                <w:szCs w:val="22"/>
                <w:lang w:eastAsia="sv-SE"/>
              </w:rPr>
            </w:pPr>
            <w:r w:rsidRPr="00FA0D37">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FA0D37">
              <w:rPr>
                <w:i/>
                <w:iCs/>
                <w:szCs w:val="22"/>
                <w:lang w:eastAsia="sv-SE"/>
              </w:rPr>
              <w:t>spatialRelationInfoToAddModList</w:t>
            </w:r>
            <w:r w:rsidRPr="00FA0D37">
              <w:rPr>
                <w:szCs w:val="22"/>
                <w:lang w:eastAsia="sv-SE"/>
              </w:rPr>
              <w:t xml:space="preserve"> and in </w:t>
            </w:r>
            <w:r w:rsidRPr="00FA0D37">
              <w:rPr>
                <w:i/>
                <w:iCs/>
                <w:szCs w:val="22"/>
                <w:lang w:eastAsia="sv-SE"/>
              </w:rPr>
              <w:t>spatialRelationInfoToAddModList</w:t>
            </w:r>
            <w:r w:rsidR="00C5556C" w:rsidRPr="00FA0D37">
              <w:rPr>
                <w:i/>
                <w:iCs/>
                <w:szCs w:val="22"/>
                <w:lang w:eastAsia="sv-SE"/>
              </w:rPr>
              <w:t>SizeExt</w:t>
            </w:r>
            <w:r w:rsidRPr="00FA0D37">
              <w:rPr>
                <w:szCs w:val="22"/>
                <w:lang w:eastAsia="sv-SE"/>
              </w:rPr>
              <w:t xml:space="preserve"> as a single list, i.e. an entry created using </w:t>
            </w:r>
            <w:r w:rsidRPr="00FA0D37">
              <w:rPr>
                <w:i/>
                <w:iCs/>
                <w:szCs w:val="22"/>
                <w:lang w:eastAsia="sv-SE"/>
              </w:rPr>
              <w:t>spatialRelationInfoToAddModList</w:t>
            </w:r>
            <w:r w:rsidRPr="00FA0D37">
              <w:rPr>
                <w:szCs w:val="22"/>
                <w:lang w:eastAsia="sv-SE"/>
              </w:rPr>
              <w:t xml:space="preserve"> can be modif</w:t>
            </w:r>
            <w:r w:rsidR="00C813A9" w:rsidRPr="00FA0D37">
              <w:rPr>
                <w:szCs w:val="22"/>
                <w:lang w:eastAsia="sv-SE"/>
              </w:rPr>
              <w:t>i</w:t>
            </w:r>
            <w:r w:rsidRPr="00FA0D37">
              <w:rPr>
                <w:szCs w:val="22"/>
                <w:lang w:eastAsia="sv-SE"/>
              </w:rPr>
              <w:t xml:space="preserve">ed using </w:t>
            </w:r>
            <w:r w:rsidRPr="00FA0D37">
              <w:rPr>
                <w:i/>
                <w:iCs/>
                <w:szCs w:val="22"/>
                <w:lang w:eastAsia="sv-SE"/>
              </w:rPr>
              <w:t>spatialRelationInfoToAddModList</w:t>
            </w:r>
            <w:r w:rsidR="00C5556C" w:rsidRPr="00FA0D37">
              <w:rPr>
                <w:i/>
                <w:iCs/>
                <w:szCs w:val="22"/>
                <w:lang w:eastAsia="sv-SE"/>
              </w:rPr>
              <w:t>SizeExt</w:t>
            </w:r>
            <w:r w:rsidRPr="00FA0D37">
              <w:rPr>
                <w:szCs w:val="22"/>
                <w:lang w:eastAsia="sv-SE"/>
              </w:rPr>
              <w:t xml:space="preserve"> (or deleted using </w:t>
            </w:r>
            <w:r w:rsidRPr="00FA0D37">
              <w:rPr>
                <w:i/>
                <w:iCs/>
                <w:szCs w:val="22"/>
                <w:lang w:eastAsia="sv-SE"/>
              </w:rPr>
              <w:t>spatialRelationInfoToReleaseList</w:t>
            </w:r>
            <w:r w:rsidR="00C5556C" w:rsidRPr="00FA0D37">
              <w:rPr>
                <w:i/>
                <w:iCs/>
                <w:szCs w:val="22"/>
                <w:lang w:eastAsia="sv-SE"/>
              </w:rPr>
              <w:t>SizeExt</w:t>
            </w:r>
            <w:r w:rsidRPr="00FA0D37">
              <w:rPr>
                <w:szCs w:val="22"/>
                <w:lang w:eastAsia="sv-SE"/>
              </w:rPr>
              <w:t xml:space="preserve">) and vice-versa. If the network includes </w:t>
            </w:r>
            <w:r w:rsidRPr="00FA0D37">
              <w:rPr>
                <w:i/>
                <w:iCs/>
                <w:szCs w:val="22"/>
                <w:lang w:eastAsia="sv-SE"/>
              </w:rPr>
              <w:t>spatialRelationInfoToAddModListExt</w:t>
            </w:r>
            <w:r w:rsidRPr="00FA0D37">
              <w:rPr>
                <w:szCs w:val="22"/>
                <w:lang w:eastAsia="sv-SE"/>
              </w:rPr>
              <w:t xml:space="preserve">, it includes the same number of entries, and listed in the same order, as in the concatenation of </w:t>
            </w:r>
            <w:r w:rsidRPr="00FA0D37">
              <w:rPr>
                <w:i/>
                <w:iCs/>
                <w:szCs w:val="22"/>
                <w:lang w:eastAsia="sv-SE"/>
              </w:rPr>
              <w:t>spatialRelationInfoToAddModList</w:t>
            </w:r>
            <w:r w:rsidRPr="00FA0D37">
              <w:rPr>
                <w:szCs w:val="22"/>
                <w:lang w:eastAsia="sv-SE"/>
              </w:rPr>
              <w:t xml:space="preserve"> and of </w:t>
            </w:r>
            <w:r w:rsidRPr="00FA0D37">
              <w:rPr>
                <w:i/>
                <w:iCs/>
                <w:szCs w:val="22"/>
                <w:lang w:eastAsia="sv-SE"/>
              </w:rPr>
              <w:t>spatialRelationInfoToAddModList</w:t>
            </w:r>
            <w:r w:rsidR="00C5556C" w:rsidRPr="00FA0D37">
              <w:rPr>
                <w:i/>
                <w:iCs/>
                <w:szCs w:val="22"/>
                <w:lang w:eastAsia="sv-SE"/>
              </w:rPr>
              <w:t>SizeExt</w:t>
            </w:r>
            <w:r w:rsidRPr="00FA0D37">
              <w:rPr>
                <w:szCs w:val="22"/>
                <w:lang w:eastAsia="sv-SE"/>
              </w:rPr>
              <w:t>.</w:t>
            </w:r>
            <w:r w:rsidR="00FC0CBC" w:rsidRPr="00FA0D37">
              <w:rPr>
                <w:szCs w:val="22"/>
                <w:lang w:eastAsia="sv-SE"/>
              </w:rPr>
              <w:t xml:space="preserve"> If </w:t>
            </w:r>
            <w:r w:rsidR="00FC0CBC" w:rsidRPr="00FA0D37">
              <w:rPr>
                <w:i/>
                <w:iCs/>
                <w:szCs w:val="22"/>
                <w:lang w:eastAsia="sv-SE"/>
              </w:rPr>
              <w:t>unifiedTCI-StateType</w:t>
            </w:r>
            <w:r w:rsidR="00FC0CBC" w:rsidRPr="00FA0D37">
              <w:rPr>
                <w:szCs w:val="22"/>
                <w:lang w:eastAsia="sv-SE"/>
              </w:rPr>
              <w:t xml:space="preserve"> is configured for the serving cell, no element in this list is configured.</w:t>
            </w:r>
          </w:p>
        </w:tc>
      </w:tr>
      <w:tr w:rsidR="005C7FF4" w:rsidRPr="00FA0D37"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FA0D37" w:rsidRDefault="00C5556C" w:rsidP="008E4C89">
            <w:pPr>
              <w:pStyle w:val="TAL"/>
              <w:rPr>
                <w:b/>
                <w:bCs/>
                <w:i/>
                <w:iCs/>
              </w:rPr>
            </w:pPr>
            <w:r w:rsidRPr="00FA0D37">
              <w:rPr>
                <w:b/>
                <w:bCs/>
                <w:i/>
                <w:iCs/>
              </w:rPr>
              <w:t>spatialRelationInfoToReleaseList, spatialRelationInfoToReleaseListSizeExt, spatialRelationInfoToReleaseListExt</w:t>
            </w:r>
          </w:p>
          <w:p w14:paraId="2F5CF72A" w14:textId="77777777" w:rsidR="00C5556C" w:rsidRPr="00FA0D37" w:rsidRDefault="00C5556C" w:rsidP="008E4C89">
            <w:pPr>
              <w:pStyle w:val="TAL"/>
            </w:pPr>
            <w:r w:rsidRPr="00FA0D37">
              <w:t>Lists of spatial relation configurations between a reference RS and PUCCH to be released by the UE.</w:t>
            </w:r>
          </w:p>
        </w:tc>
      </w:tr>
      <w:tr w:rsidR="005C7FF4" w:rsidRPr="00FA0D37"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FA0D37" w:rsidRDefault="00394471" w:rsidP="00964CC4">
            <w:pPr>
              <w:pStyle w:val="TAL"/>
              <w:rPr>
                <w:b/>
                <w:i/>
              </w:rPr>
            </w:pPr>
            <w:r w:rsidRPr="00FA0D37">
              <w:rPr>
                <w:b/>
                <w:i/>
              </w:rPr>
              <w:t>sps-PUCCH-AN-List</w:t>
            </w:r>
          </w:p>
          <w:p w14:paraId="3133C413" w14:textId="77777777" w:rsidR="00394471" w:rsidRPr="00FA0D37" w:rsidRDefault="00394471" w:rsidP="00964CC4">
            <w:pPr>
              <w:pStyle w:val="TAL"/>
              <w:rPr>
                <w:b/>
                <w:i/>
                <w:szCs w:val="22"/>
                <w:lang w:eastAsia="sv-SE"/>
              </w:rPr>
            </w:pPr>
            <w:r w:rsidRPr="00FA0D37">
              <w:t xml:space="preserve">Indicates a list of PUCCH resources for DL SPS HARQ ACK. The field </w:t>
            </w:r>
            <w:r w:rsidRPr="00FA0D37">
              <w:rPr>
                <w:i/>
              </w:rPr>
              <w:t xml:space="preserve">maxPayloadSize </w:t>
            </w:r>
            <w:r w:rsidRPr="00FA0D37">
              <w:t xml:space="preserve">is absent for the first and the last </w:t>
            </w:r>
            <w:r w:rsidRPr="00FA0D37">
              <w:rPr>
                <w:i/>
              </w:rPr>
              <w:t>SPS-PUCCH-AN</w:t>
            </w:r>
            <w:r w:rsidRPr="00FA0D37">
              <w:t xml:space="preserve"> in the list. If configured, this overrides </w:t>
            </w:r>
            <w:r w:rsidRPr="00FA0D37">
              <w:rPr>
                <w:i/>
                <w:iCs/>
              </w:rPr>
              <w:t xml:space="preserve">n1PUCCH-AN </w:t>
            </w:r>
            <w:r w:rsidRPr="00FA0D37">
              <w:t xml:space="preserve">in </w:t>
            </w:r>
            <w:r w:rsidRPr="00FA0D37">
              <w:rPr>
                <w:i/>
                <w:iCs/>
              </w:rPr>
              <w:t>SPS-config.</w:t>
            </w:r>
          </w:p>
        </w:tc>
      </w:tr>
      <w:tr w:rsidR="005C7FF4" w:rsidRPr="00FA0D37"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FA0D37" w:rsidRDefault="001E593B" w:rsidP="00771058">
            <w:pPr>
              <w:pStyle w:val="TAL"/>
              <w:rPr>
                <w:b/>
                <w:i/>
              </w:rPr>
            </w:pPr>
            <w:r w:rsidRPr="00FA0D37">
              <w:rPr>
                <w:b/>
                <w:i/>
              </w:rPr>
              <w:t>sps-PUCCH-AN-ListMulticast</w:t>
            </w:r>
          </w:p>
          <w:p w14:paraId="3CD8F2BE" w14:textId="77777777" w:rsidR="001E593B" w:rsidRPr="00FA0D37" w:rsidRDefault="001E593B" w:rsidP="00771058">
            <w:pPr>
              <w:pStyle w:val="TAL"/>
              <w:rPr>
                <w:b/>
                <w:i/>
              </w:rPr>
            </w:pPr>
            <w:r w:rsidRPr="00FA0D37">
              <w:t>The field is used to configure the list of PUCCH resources per HARQ ACK codebook for MBS multicast.</w:t>
            </w:r>
          </w:p>
        </w:tc>
      </w:tr>
      <w:tr w:rsidR="005C7FF4" w:rsidRPr="00FA0D37"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FA0D37" w:rsidRDefault="00394471" w:rsidP="00964CC4">
            <w:pPr>
              <w:pStyle w:val="TAL"/>
              <w:rPr>
                <w:b/>
                <w:bCs/>
                <w:i/>
                <w:iCs/>
                <w:lang w:eastAsia="x-none"/>
              </w:rPr>
            </w:pPr>
            <w:r w:rsidRPr="00FA0D37">
              <w:rPr>
                <w:b/>
                <w:bCs/>
                <w:i/>
                <w:iCs/>
                <w:lang w:eastAsia="x-none"/>
              </w:rPr>
              <w:t>subslotLengthForPUCCH</w:t>
            </w:r>
          </w:p>
          <w:p w14:paraId="29293396" w14:textId="34723732" w:rsidR="00394471" w:rsidRPr="00FA0D37" w:rsidRDefault="00394471" w:rsidP="00964CC4">
            <w:pPr>
              <w:pStyle w:val="TAL"/>
              <w:rPr>
                <w:b/>
                <w:i/>
                <w:szCs w:val="22"/>
                <w:lang w:eastAsia="sv-SE"/>
              </w:rPr>
            </w:pPr>
            <w:r w:rsidRPr="00FA0D37">
              <w:rPr>
                <w:szCs w:val="22"/>
                <w:lang w:eastAsia="sv-SE"/>
              </w:rPr>
              <w:t>Indicate</w:t>
            </w:r>
            <w:r w:rsidR="00513E07" w:rsidRPr="00FA0D37">
              <w:rPr>
                <w:szCs w:val="22"/>
                <w:lang w:eastAsia="sv-SE"/>
              </w:rPr>
              <w:t>s</w:t>
            </w:r>
            <w:r w:rsidRPr="00FA0D37">
              <w:rPr>
                <w:szCs w:val="22"/>
                <w:lang w:eastAsia="sv-SE"/>
              </w:rPr>
              <w:t xml:space="preserve"> the sub-slot length for sub-slot based PUCCH feedback in number of symbols (see TS 38.213 [13], clause 9). Value </w:t>
            </w:r>
            <w:r w:rsidRPr="00FA0D37">
              <w:rPr>
                <w:i/>
                <w:szCs w:val="22"/>
                <w:lang w:eastAsia="sv-SE"/>
              </w:rPr>
              <w:t>n2</w:t>
            </w:r>
            <w:r w:rsidRPr="00FA0D37">
              <w:rPr>
                <w:szCs w:val="22"/>
                <w:lang w:eastAsia="sv-SE"/>
              </w:rPr>
              <w:t xml:space="preserve"> corresponds to 2 symbols, value </w:t>
            </w:r>
            <w:r w:rsidRPr="00FA0D37">
              <w:rPr>
                <w:i/>
                <w:szCs w:val="22"/>
              </w:rPr>
              <w:t>n6</w:t>
            </w:r>
            <w:r w:rsidRPr="00FA0D37">
              <w:rPr>
                <w:szCs w:val="22"/>
              </w:rPr>
              <w:t xml:space="preserve"> correspond</w:t>
            </w:r>
            <w:r w:rsidR="00513E07" w:rsidRPr="00FA0D37">
              <w:rPr>
                <w:szCs w:val="22"/>
              </w:rPr>
              <w:t>s</w:t>
            </w:r>
            <w:r w:rsidRPr="00FA0D37">
              <w:rPr>
                <w:szCs w:val="22"/>
              </w:rPr>
              <w:t xml:space="preserve"> to 6 symbols, value </w:t>
            </w:r>
            <w:r w:rsidRPr="00FA0D37">
              <w:rPr>
                <w:i/>
                <w:szCs w:val="22"/>
                <w:lang w:eastAsia="sv-SE"/>
              </w:rPr>
              <w:t xml:space="preserve">n7 </w:t>
            </w:r>
            <w:r w:rsidRPr="00FA0D37">
              <w:rPr>
                <w:szCs w:val="22"/>
                <w:lang w:eastAsia="sv-SE"/>
              </w:rPr>
              <w:t>corresponds to 7 symbols.</w:t>
            </w:r>
            <w:r w:rsidRPr="00FA0D37">
              <w:rPr>
                <w:szCs w:val="22"/>
              </w:rPr>
              <w:t xml:space="preserve"> For normal CP, the value is either </w:t>
            </w:r>
            <w:r w:rsidRPr="00FA0D37">
              <w:rPr>
                <w:i/>
                <w:szCs w:val="22"/>
              </w:rPr>
              <w:t>n2</w:t>
            </w:r>
            <w:r w:rsidRPr="00FA0D37">
              <w:rPr>
                <w:szCs w:val="22"/>
              </w:rPr>
              <w:t xml:space="preserve"> or </w:t>
            </w:r>
            <w:r w:rsidRPr="00FA0D37">
              <w:rPr>
                <w:i/>
                <w:szCs w:val="22"/>
              </w:rPr>
              <w:t>n7</w:t>
            </w:r>
            <w:r w:rsidRPr="00FA0D37">
              <w:rPr>
                <w:szCs w:val="22"/>
              </w:rPr>
              <w:t xml:space="preserve">. For extended CP, the value is either </w:t>
            </w:r>
            <w:r w:rsidRPr="00FA0D37">
              <w:rPr>
                <w:i/>
                <w:szCs w:val="22"/>
              </w:rPr>
              <w:t>n2</w:t>
            </w:r>
            <w:r w:rsidRPr="00FA0D37">
              <w:rPr>
                <w:szCs w:val="22"/>
              </w:rPr>
              <w:t xml:space="preserve"> or </w:t>
            </w:r>
            <w:r w:rsidRPr="00FA0D37">
              <w:rPr>
                <w:i/>
                <w:szCs w:val="22"/>
              </w:rPr>
              <w:t>n6</w:t>
            </w:r>
            <w:r w:rsidRPr="00FA0D37">
              <w:rPr>
                <w:szCs w:val="22"/>
              </w:rPr>
              <w:t>.</w:t>
            </w:r>
          </w:p>
        </w:tc>
      </w:tr>
      <w:tr w:rsidR="00394471" w:rsidRPr="00FA0D37"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FA0D37" w:rsidRDefault="00394471" w:rsidP="00964CC4">
            <w:pPr>
              <w:pStyle w:val="TAL"/>
              <w:rPr>
                <w:b/>
                <w:bCs/>
                <w:i/>
                <w:iCs/>
                <w:lang w:eastAsia="x-none"/>
              </w:rPr>
            </w:pPr>
            <w:r w:rsidRPr="00FA0D37">
              <w:rPr>
                <w:b/>
                <w:bCs/>
                <w:i/>
                <w:iCs/>
                <w:lang w:eastAsia="x-none"/>
              </w:rPr>
              <w:t>ul-AccessConfigListDCI-1-1</w:t>
            </w:r>
            <w:r w:rsidR="005D7926" w:rsidRPr="00FA0D37">
              <w:rPr>
                <w:b/>
                <w:bCs/>
                <w:i/>
                <w:iCs/>
                <w:lang w:eastAsia="x-none"/>
              </w:rPr>
              <w:t>, ul-AccessConfigListDCI-1-2</w:t>
            </w:r>
          </w:p>
          <w:p w14:paraId="69027236" w14:textId="5DFCDD41" w:rsidR="00394471" w:rsidRPr="00FA0D37" w:rsidRDefault="00394471" w:rsidP="00964CC4">
            <w:pPr>
              <w:pStyle w:val="TAL"/>
              <w:rPr>
                <w:lang w:eastAsia="x-none"/>
              </w:rPr>
            </w:pPr>
            <w:r w:rsidRPr="00FA0D37">
              <w:rPr>
                <w:lang w:eastAsia="x-none"/>
              </w:rPr>
              <w:t>List of the combinations of cyclic prefix extension and UL channel access type (</w:t>
            </w:r>
            <w:r w:rsidR="000056EE" w:rsidRPr="00FA0D37">
              <w:rPr>
                <w:lang w:eastAsia="x-none"/>
              </w:rPr>
              <w:t>s</w:t>
            </w:r>
            <w:r w:rsidRPr="00FA0D37">
              <w:rPr>
                <w:lang w:eastAsia="x-none"/>
              </w:rPr>
              <w:t xml:space="preserve">ee TS 38.212 [17], </w:t>
            </w:r>
            <w:r w:rsidR="000056EE" w:rsidRPr="00FA0D37">
              <w:rPr>
                <w:lang w:eastAsia="x-none"/>
              </w:rPr>
              <w:t>c</w:t>
            </w:r>
            <w:r w:rsidRPr="00FA0D37">
              <w:rPr>
                <w:lang w:eastAsia="x-none"/>
              </w:rPr>
              <w:t>lause 7.3.1)</w:t>
            </w:r>
            <w:r w:rsidR="005D7926" w:rsidRPr="00FA0D37">
              <w:rPr>
                <w:lang w:eastAsia="x-none"/>
              </w:rPr>
              <w:t xml:space="preserve"> applicable, respectively, to DCI format 1_1 and DCI format 1_2</w:t>
            </w:r>
            <w:r w:rsidRPr="00FA0D37">
              <w:rPr>
                <w:lang w:eastAsia="x-none"/>
              </w:rPr>
              <w:t>.</w:t>
            </w:r>
            <w:r w:rsidR="007E2C88" w:rsidRPr="00FA0D37">
              <w:rPr>
                <w:rFonts w:cs="Arial"/>
                <w:lang w:eastAsia="x-none"/>
              </w:rPr>
              <w:t xml:space="preserve"> </w:t>
            </w:r>
            <w:r w:rsidR="000056EE" w:rsidRPr="00FA0D37">
              <w:rPr>
                <w:rFonts w:cs="Arial"/>
                <w:lang w:eastAsia="x-none"/>
              </w:rPr>
              <w:t xml:space="preserve">The fields </w:t>
            </w:r>
            <w:r w:rsidR="000056EE" w:rsidRPr="00FA0D37">
              <w:rPr>
                <w:rFonts w:cs="Arial"/>
                <w:i/>
                <w:iCs/>
                <w:lang w:eastAsia="x-none"/>
              </w:rPr>
              <w:t>ul-AccessConfigListDCI-1-1-r16</w:t>
            </w:r>
            <w:r w:rsidR="000056EE" w:rsidRPr="00FA0D37">
              <w:rPr>
                <w:rFonts w:cs="Arial"/>
                <w:lang w:eastAsia="x-none"/>
              </w:rPr>
              <w:t xml:space="preserve"> and </w:t>
            </w:r>
            <w:r w:rsidR="000056EE" w:rsidRPr="00FA0D37">
              <w:rPr>
                <w:rFonts w:cs="Arial"/>
                <w:i/>
                <w:iCs/>
                <w:lang w:eastAsia="x-none"/>
              </w:rPr>
              <w:t>ul-AccessConfigListDCI-1-2-r17</w:t>
            </w:r>
            <w:r w:rsidR="000056EE" w:rsidRPr="00FA0D37">
              <w:rPr>
                <w:rFonts w:cs="Arial"/>
                <w:lang w:eastAsia="x-none"/>
              </w:rPr>
              <w:t xml:space="preserve"> are only applicable for FR1 (see TS 38.212 [17], Table 7.3.1.2.2-6). </w:t>
            </w:r>
            <w:r w:rsidR="007E2C88" w:rsidRPr="00FA0D37">
              <w:rPr>
                <w:rFonts w:cs="Arial"/>
                <w:lang w:eastAsia="x-none"/>
              </w:rPr>
              <w:t xml:space="preserve">The field </w:t>
            </w:r>
            <w:r w:rsidR="007E2C88" w:rsidRPr="00FA0D37">
              <w:rPr>
                <w:rFonts w:cs="Arial"/>
                <w:i/>
                <w:iCs/>
                <w:lang w:eastAsia="x-none"/>
              </w:rPr>
              <w:t xml:space="preserve">ul-AccessConfigListDCI-1-1-r17 </w:t>
            </w:r>
            <w:r w:rsidR="007E2C88" w:rsidRPr="00FA0D37">
              <w:rPr>
                <w:rFonts w:cs="Arial"/>
                <w:lang w:eastAsia="x-none"/>
              </w:rPr>
              <w:t>indicates a list which only contains UL channel access types and is only applicable for FR2-2 (see TS 38.212 [17], Table 7.3.1.2.2-6A).</w:t>
            </w:r>
          </w:p>
        </w:tc>
      </w:tr>
    </w:tbl>
    <w:p w14:paraId="5F75481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FA0D37" w:rsidRDefault="00394471" w:rsidP="00964CC4">
            <w:pPr>
              <w:pStyle w:val="TAH"/>
              <w:rPr>
                <w:szCs w:val="22"/>
                <w:lang w:eastAsia="sv-SE"/>
              </w:rPr>
            </w:pPr>
            <w:r w:rsidRPr="00FA0D37">
              <w:rPr>
                <w:i/>
                <w:szCs w:val="22"/>
                <w:lang w:eastAsia="sv-SE"/>
              </w:rPr>
              <w:t xml:space="preserve">PUCCH-format3 </w:t>
            </w:r>
            <w:r w:rsidRPr="00FA0D37">
              <w:rPr>
                <w:szCs w:val="22"/>
                <w:lang w:eastAsia="sv-SE"/>
              </w:rPr>
              <w:t>field descriptions</w:t>
            </w:r>
          </w:p>
        </w:tc>
      </w:tr>
      <w:tr w:rsidR="00394471" w:rsidRPr="00FA0D37"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FA0D37" w:rsidRDefault="00394471" w:rsidP="00964CC4">
            <w:pPr>
              <w:pStyle w:val="TAL"/>
              <w:rPr>
                <w:szCs w:val="22"/>
                <w:lang w:eastAsia="sv-SE"/>
              </w:rPr>
            </w:pPr>
            <w:r w:rsidRPr="00FA0D37">
              <w:rPr>
                <w:b/>
                <w:i/>
                <w:szCs w:val="22"/>
                <w:lang w:eastAsia="sv-SE"/>
              </w:rPr>
              <w:t>nrofPRBs</w:t>
            </w:r>
          </w:p>
          <w:p w14:paraId="01B77473" w14:textId="50B6BA01" w:rsidR="00394471" w:rsidRPr="00FA0D37" w:rsidRDefault="00394471" w:rsidP="00964CC4">
            <w:pPr>
              <w:pStyle w:val="TAL"/>
              <w:rPr>
                <w:szCs w:val="22"/>
                <w:lang w:eastAsia="sv-SE"/>
              </w:rPr>
            </w:pPr>
            <w:r w:rsidRPr="00FA0D37">
              <w:rPr>
                <w:szCs w:val="22"/>
                <w:lang w:eastAsia="sv-SE"/>
              </w:rPr>
              <w:t xml:space="preserve">The supported values are 1,2,3,4,5,6,8,9,10,12,15 and 16. The UE shall ignore this field when </w:t>
            </w:r>
            <w:r w:rsidR="00DF1A5D" w:rsidRPr="00FA0D37">
              <w:rPr>
                <w:i/>
                <w:iCs/>
                <w:szCs w:val="22"/>
                <w:lang w:eastAsia="sv-SE"/>
              </w:rPr>
              <w:t>format-v1610</w:t>
            </w:r>
            <w:r w:rsidRPr="00FA0D37">
              <w:rPr>
                <w:szCs w:val="22"/>
                <w:lang w:eastAsia="sv-SE"/>
              </w:rPr>
              <w:t xml:space="preserve"> is configured.</w:t>
            </w:r>
          </w:p>
        </w:tc>
      </w:tr>
    </w:tbl>
    <w:p w14:paraId="3B581F3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FA0D37" w:rsidRDefault="00394471" w:rsidP="00964CC4">
            <w:pPr>
              <w:pStyle w:val="TAH"/>
              <w:rPr>
                <w:szCs w:val="22"/>
                <w:lang w:eastAsia="sv-SE"/>
              </w:rPr>
            </w:pPr>
            <w:r w:rsidRPr="00FA0D37">
              <w:rPr>
                <w:i/>
                <w:szCs w:val="22"/>
                <w:lang w:eastAsia="sv-SE"/>
              </w:rPr>
              <w:lastRenderedPageBreak/>
              <w:t>PUCCH-FormatConfig</w:t>
            </w:r>
            <w:r w:rsidR="005D7926" w:rsidRPr="00FA0D37">
              <w:rPr>
                <w:i/>
                <w:szCs w:val="22"/>
                <w:lang w:eastAsia="sv-SE"/>
              </w:rPr>
              <w:t>, PUCCH-FormatConfigExt</w:t>
            </w:r>
            <w:r w:rsidRPr="00FA0D37">
              <w:rPr>
                <w:i/>
                <w:szCs w:val="22"/>
                <w:lang w:eastAsia="sv-SE"/>
              </w:rPr>
              <w:t xml:space="preserve"> </w:t>
            </w:r>
            <w:r w:rsidRPr="00FA0D37">
              <w:rPr>
                <w:szCs w:val="22"/>
                <w:lang w:eastAsia="sv-SE"/>
              </w:rPr>
              <w:t>field descriptions</w:t>
            </w:r>
          </w:p>
        </w:tc>
      </w:tr>
      <w:tr w:rsidR="005C7FF4" w:rsidRPr="00FA0D37"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FA0D37" w:rsidRDefault="00394471" w:rsidP="00964CC4">
            <w:pPr>
              <w:pStyle w:val="TAL"/>
              <w:rPr>
                <w:szCs w:val="22"/>
                <w:lang w:eastAsia="sv-SE"/>
              </w:rPr>
            </w:pPr>
            <w:r w:rsidRPr="00FA0D37">
              <w:rPr>
                <w:b/>
                <w:i/>
                <w:szCs w:val="22"/>
                <w:lang w:eastAsia="sv-SE"/>
              </w:rPr>
              <w:t>additionalDMRS</w:t>
            </w:r>
          </w:p>
          <w:p w14:paraId="0112A9E4" w14:textId="18C0A3F4" w:rsidR="00394471" w:rsidRPr="00FA0D37" w:rsidRDefault="00394471" w:rsidP="00964CC4">
            <w:pPr>
              <w:pStyle w:val="TAL"/>
              <w:rPr>
                <w:szCs w:val="22"/>
                <w:lang w:eastAsia="sv-SE"/>
              </w:rPr>
            </w:pPr>
            <w:r w:rsidRPr="00FA0D37">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FA0D37">
              <w:rPr>
                <w:szCs w:val="22"/>
                <w:lang w:eastAsia="sv-SE"/>
              </w:rPr>
              <w:t xml:space="preserve">0, </w:t>
            </w:r>
            <w:r w:rsidRPr="00FA0D37">
              <w:rPr>
                <w:szCs w:val="22"/>
                <w:lang w:eastAsia="sv-SE"/>
              </w:rPr>
              <w:t>1 and 2. See TS 38.213 [13], clause 9.2.2.</w:t>
            </w:r>
          </w:p>
        </w:tc>
      </w:tr>
      <w:tr w:rsidR="005C7FF4" w:rsidRPr="00FA0D37"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FA0D37" w:rsidRDefault="00394471" w:rsidP="00964CC4">
            <w:pPr>
              <w:pStyle w:val="TAL"/>
              <w:rPr>
                <w:szCs w:val="22"/>
                <w:lang w:eastAsia="sv-SE"/>
              </w:rPr>
            </w:pPr>
            <w:r w:rsidRPr="00FA0D37">
              <w:rPr>
                <w:b/>
                <w:i/>
                <w:szCs w:val="22"/>
                <w:lang w:eastAsia="sv-SE"/>
              </w:rPr>
              <w:t>interslotFrequencyHopping</w:t>
            </w:r>
          </w:p>
          <w:p w14:paraId="12A24323" w14:textId="577F888A" w:rsidR="00394471" w:rsidRPr="00FA0D37" w:rsidRDefault="00394471" w:rsidP="00964CC4">
            <w:pPr>
              <w:pStyle w:val="TAL"/>
              <w:rPr>
                <w:szCs w:val="22"/>
                <w:lang w:eastAsia="sv-SE"/>
              </w:rPr>
            </w:pPr>
            <w:r w:rsidRPr="00FA0D37">
              <w:rPr>
                <w:szCs w:val="22"/>
                <w:lang w:eastAsia="sv-SE"/>
              </w:rPr>
              <w:t xml:space="preserve">If the field is present, the UE enables inter-slot frequency hopping when PUCCH Format </w:t>
            </w:r>
            <w:r w:rsidR="005D7926" w:rsidRPr="00FA0D37">
              <w:rPr>
                <w:szCs w:val="22"/>
                <w:lang w:eastAsia="sv-SE"/>
              </w:rPr>
              <w:t xml:space="preserve">0, </w:t>
            </w:r>
            <w:r w:rsidRPr="00FA0D37">
              <w:rPr>
                <w:szCs w:val="22"/>
                <w:lang w:eastAsia="sv-SE"/>
              </w:rPr>
              <w:t xml:space="preserve">1, </w:t>
            </w:r>
            <w:r w:rsidR="005D4EB4" w:rsidRPr="00FA0D37">
              <w:rPr>
                <w:szCs w:val="22"/>
                <w:lang w:eastAsia="sv-SE"/>
              </w:rPr>
              <w:t xml:space="preserve">2, </w:t>
            </w:r>
            <w:r w:rsidRPr="00FA0D37">
              <w:rPr>
                <w:szCs w:val="22"/>
                <w:lang w:eastAsia="sv-SE"/>
              </w:rPr>
              <w:t xml:space="preserve">3 or 4 is repeated over multiple slots. For </w:t>
            </w:r>
            <w:r w:rsidR="005D4EB4" w:rsidRPr="00FA0D37">
              <w:rPr>
                <w:szCs w:val="22"/>
                <w:lang w:eastAsia="sv-SE"/>
              </w:rPr>
              <w:t xml:space="preserve">a </w:t>
            </w:r>
            <w:r w:rsidRPr="00FA0D37">
              <w:rPr>
                <w:szCs w:val="22"/>
                <w:lang w:eastAsia="sv-SE"/>
              </w:rPr>
              <w:t>PUCCH over multiple slots, the intra and inter slot frequency hopping cannot be enabled at the same time for a UE. See TS 38.213 [13], clause 9.2.6.</w:t>
            </w:r>
          </w:p>
        </w:tc>
      </w:tr>
      <w:tr w:rsidR="005C7FF4" w:rsidRPr="00FA0D37"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FA0D37" w:rsidRDefault="00394471" w:rsidP="00964CC4">
            <w:pPr>
              <w:pStyle w:val="TAL"/>
              <w:rPr>
                <w:szCs w:val="22"/>
                <w:lang w:eastAsia="sv-SE"/>
              </w:rPr>
            </w:pPr>
            <w:r w:rsidRPr="00FA0D37">
              <w:rPr>
                <w:b/>
                <w:i/>
                <w:szCs w:val="22"/>
                <w:lang w:eastAsia="sv-SE"/>
              </w:rPr>
              <w:t>maxCodeRate</w:t>
            </w:r>
          </w:p>
          <w:p w14:paraId="38AA58D4" w14:textId="4BE57F83" w:rsidR="00394471" w:rsidRPr="00FA0D37" w:rsidRDefault="00394471" w:rsidP="00964CC4">
            <w:pPr>
              <w:pStyle w:val="TAL"/>
              <w:rPr>
                <w:szCs w:val="22"/>
                <w:lang w:eastAsia="sv-SE"/>
              </w:rPr>
            </w:pPr>
            <w:r w:rsidRPr="00FA0D37">
              <w:rPr>
                <w:szCs w:val="22"/>
                <w:lang w:eastAsia="sv-SE"/>
              </w:rPr>
              <w:t xml:space="preserve">Max coding rate to determine how to feedback UCI on PUCCH for format 2, 3 or 4. The field is not applicable for format </w:t>
            </w:r>
            <w:r w:rsidR="005D7926" w:rsidRPr="00FA0D37">
              <w:rPr>
                <w:szCs w:val="22"/>
                <w:lang w:eastAsia="sv-SE"/>
              </w:rPr>
              <w:t xml:space="preserve">0 and </w:t>
            </w:r>
            <w:r w:rsidRPr="00FA0D37">
              <w:rPr>
                <w:szCs w:val="22"/>
                <w:lang w:eastAsia="sv-SE"/>
              </w:rPr>
              <w:t>1. See TS 38.213 [13], clause 9.2.5.</w:t>
            </w:r>
          </w:p>
        </w:tc>
      </w:tr>
      <w:tr w:rsidR="005C7FF4" w:rsidRPr="00FA0D37"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FA0D37" w:rsidRDefault="005D7926" w:rsidP="00771058">
            <w:pPr>
              <w:pStyle w:val="TAL"/>
              <w:rPr>
                <w:b/>
                <w:i/>
                <w:szCs w:val="22"/>
                <w:lang w:eastAsia="sv-SE"/>
              </w:rPr>
            </w:pPr>
            <w:r w:rsidRPr="00FA0D37">
              <w:rPr>
                <w:b/>
                <w:i/>
                <w:szCs w:val="22"/>
                <w:lang w:eastAsia="sv-SE"/>
              </w:rPr>
              <w:t>maxCodeRateLP</w:t>
            </w:r>
          </w:p>
          <w:p w14:paraId="1842D755" w14:textId="77777777" w:rsidR="005D7926" w:rsidRPr="00FA0D37" w:rsidRDefault="005D7926" w:rsidP="00771058">
            <w:pPr>
              <w:pStyle w:val="TAL"/>
              <w:rPr>
                <w:b/>
                <w:i/>
                <w:szCs w:val="22"/>
                <w:lang w:eastAsia="sv-SE"/>
              </w:rPr>
            </w:pPr>
            <w:r w:rsidRPr="00FA0D37">
              <w:rPr>
                <w:szCs w:val="22"/>
                <w:lang w:eastAsia="sv-SE"/>
              </w:rPr>
              <w:t xml:space="preserve">Max coding rate to determine how to feedback UCI on PUCCH for format 2, 3 or 4. The field is not applicable for format 0 and 1. This field configures additional max code rate in the second entry of </w:t>
            </w:r>
            <w:r w:rsidRPr="00FA0D37">
              <w:rPr>
                <w:i/>
                <w:iCs/>
                <w:szCs w:val="22"/>
                <w:lang w:eastAsia="sv-SE"/>
              </w:rPr>
              <w:t xml:space="preserve">PUCCH-ConfigurationList-r16 </w:t>
            </w:r>
            <w:r w:rsidRPr="00FA0D37">
              <w:rPr>
                <w:szCs w:val="22"/>
                <w:lang w:eastAsia="sv-SE"/>
              </w:rPr>
              <w:t xml:space="preserve">for multiplexing low-priority (LP) HARQ-ACK and high-priority (HP) UCI in a PUCCH as described Clause 9.2.5.3 of TS 38.213 [13]. The field is absent for the first entry of </w:t>
            </w:r>
            <w:r w:rsidRPr="00FA0D37">
              <w:rPr>
                <w:i/>
                <w:iCs/>
                <w:szCs w:val="22"/>
                <w:lang w:eastAsia="sv-SE"/>
              </w:rPr>
              <w:t>PUCCH-ConfigurationList-r16</w:t>
            </w:r>
            <w:r w:rsidRPr="00FA0D37">
              <w:rPr>
                <w:szCs w:val="22"/>
                <w:lang w:eastAsia="sv-SE"/>
              </w:rPr>
              <w:t>.</w:t>
            </w:r>
          </w:p>
        </w:tc>
      </w:tr>
      <w:tr w:rsidR="005C7FF4" w:rsidRPr="00FA0D37"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FA0D37" w:rsidRDefault="00394471" w:rsidP="00964CC4">
            <w:pPr>
              <w:pStyle w:val="TAL"/>
              <w:rPr>
                <w:szCs w:val="22"/>
                <w:lang w:eastAsia="sv-SE"/>
              </w:rPr>
            </w:pPr>
            <w:r w:rsidRPr="00FA0D37">
              <w:rPr>
                <w:b/>
                <w:i/>
                <w:szCs w:val="22"/>
                <w:lang w:eastAsia="sv-SE"/>
              </w:rPr>
              <w:t>nrofSlots</w:t>
            </w:r>
          </w:p>
          <w:p w14:paraId="15D6FE32" w14:textId="52A5F225" w:rsidR="00394471" w:rsidRPr="00FA0D37" w:rsidRDefault="00394471" w:rsidP="00964CC4">
            <w:pPr>
              <w:pStyle w:val="TAL"/>
              <w:rPr>
                <w:szCs w:val="22"/>
                <w:lang w:eastAsia="sv-SE"/>
              </w:rPr>
            </w:pPr>
            <w:r w:rsidRPr="00FA0D37">
              <w:rPr>
                <w:szCs w:val="22"/>
                <w:lang w:eastAsia="sv-SE"/>
              </w:rPr>
              <w:t xml:space="preserve">Number of slots with the same PUCCH. When the field is absent the UE applies the value </w:t>
            </w:r>
            <w:r w:rsidRPr="00FA0D37">
              <w:rPr>
                <w:i/>
                <w:szCs w:val="22"/>
                <w:lang w:eastAsia="sv-SE"/>
              </w:rPr>
              <w:t>n1</w:t>
            </w:r>
            <w:r w:rsidRPr="00FA0D37">
              <w:rPr>
                <w:szCs w:val="22"/>
                <w:lang w:eastAsia="sv-SE"/>
              </w:rPr>
              <w:t>. See TS 38.213 [13], clause 9.2.6.</w:t>
            </w:r>
          </w:p>
        </w:tc>
      </w:tr>
      <w:tr w:rsidR="005C7FF4" w:rsidRPr="00FA0D37"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FA0D37" w:rsidRDefault="00394471" w:rsidP="00964CC4">
            <w:pPr>
              <w:pStyle w:val="TAL"/>
              <w:rPr>
                <w:szCs w:val="22"/>
                <w:lang w:eastAsia="sv-SE"/>
              </w:rPr>
            </w:pPr>
            <w:r w:rsidRPr="00FA0D37">
              <w:rPr>
                <w:b/>
                <w:i/>
                <w:szCs w:val="22"/>
                <w:lang w:eastAsia="sv-SE"/>
              </w:rPr>
              <w:t>pi2BPSK</w:t>
            </w:r>
          </w:p>
          <w:p w14:paraId="1CABBD5E" w14:textId="3960B09A" w:rsidR="00394471" w:rsidRPr="00FA0D37" w:rsidRDefault="00394471" w:rsidP="00964CC4">
            <w:pPr>
              <w:pStyle w:val="TAL"/>
              <w:rPr>
                <w:szCs w:val="22"/>
                <w:lang w:eastAsia="sv-SE"/>
              </w:rPr>
            </w:pPr>
            <w:r w:rsidRPr="00FA0D37">
              <w:rPr>
                <w:szCs w:val="22"/>
                <w:lang w:eastAsia="sv-SE"/>
              </w:rPr>
              <w:t xml:space="preserve">If the field is present, the UE uses pi/2 BPSK for UCI symbols instead of QPSK for PUCCH. The field is not applicable for format </w:t>
            </w:r>
            <w:r w:rsidR="005D7926" w:rsidRPr="00FA0D37">
              <w:rPr>
                <w:szCs w:val="22"/>
                <w:lang w:eastAsia="sv-SE"/>
              </w:rPr>
              <w:t xml:space="preserve">0, </w:t>
            </w:r>
            <w:r w:rsidRPr="00FA0D37">
              <w:rPr>
                <w:szCs w:val="22"/>
                <w:lang w:eastAsia="sv-SE"/>
              </w:rPr>
              <w:t>1 and 2. See TS 38.213 [13], clause 9.2.5.</w:t>
            </w:r>
          </w:p>
        </w:tc>
      </w:tr>
      <w:tr w:rsidR="005C7FF4" w:rsidRPr="00FA0D37"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FA0D37" w:rsidRDefault="00394471" w:rsidP="00964CC4">
            <w:pPr>
              <w:pStyle w:val="TAL"/>
              <w:rPr>
                <w:szCs w:val="22"/>
                <w:lang w:eastAsia="sv-SE"/>
              </w:rPr>
            </w:pPr>
            <w:r w:rsidRPr="00FA0D37">
              <w:rPr>
                <w:b/>
                <w:i/>
                <w:szCs w:val="22"/>
                <w:lang w:eastAsia="sv-SE"/>
              </w:rPr>
              <w:t>rb-SetIndex</w:t>
            </w:r>
          </w:p>
          <w:p w14:paraId="76A4393D" w14:textId="77777777" w:rsidR="00394471" w:rsidRPr="00FA0D37" w:rsidRDefault="00394471" w:rsidP="00964CC4">
            <w:pPr>
              <w:pStyle w:val="TAL"/>
              <w:rPr>
                <w:b/>
                <w:i/>
                <w:szCs w:val="22"/>
                <w:lang w:eastAsia="sv-SE"/>
              </w:rPr>
            </w:pPr>
            <w:r w:rsidRPr="00FA0D37">
              <w:rPr>
                <w:bCs/>
                <w:iCs/>
                <w:lang w:eastAsia="sv-SE"/>
              </w:rPr>
              <w:t>Indicates the RB set where PUCCH resource</w:t>
            </w:r>
            <w:r w:rsidRPr="00FA0D37">
              <w:rPr>
                <w:bCs/>
                <w:iCs/>
              </w:rPr>
              <w:t xml:space="preserve"> is allocated</w:t>
            </w:r>
            <w:r w:rsidRPr="00FA0D37">
              <w:rPr>
                <w:szCs w:val="22"/>
                <w:lang w:eastAsia="sv-SE"/>
              </w:rPr>
              <w:t>.</w:t>
            </w:r>
          </w:p>
        </w:tc>
      </w:tr>
      <w:tr w:rsidR="00394471" w:rsidRPr="00FA0D37"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FA0D37" w:rsidRDefault="00394471" w:rsidP="00964CC4">
            <w:pPr>
              <w:pStyle w:val="TAL"/>
              <w:rPr>
                <w:szCs w:val="22"/>
                <w:lang w:eastAsia="sv-SE"/>
              </w:rPr>
            </w:pPr>
            <w:r w:rsidRPr="00FA0D37">
              <w:rPr>
                <w:b/>
                <w:i/>
                <w:szCs w:val="22"/>
                <w:lang w:eastAsia="sv-SE"/>
              </w:rPr>
              <w:t>simultaneousHARQ-ACK-CSI</w:t>
            </w:r>
          </w:p>
          <w:p w14:paraId="2798D264" w14:textId="1D0D4360" w:rsidR="00394471" w:rsidRPr="00FA0D37" w:rsidRDefault="00394471" w:rsidP="00964CC4">
            <w:pPr>
              <w:pStyle w:val="TAL"/>
              <w:rPr>
                <w:szCs w:val="22"/>
                <w:lang w:eastAsia="sv-SE"/>
              </w:rPr>
            </w:pPr>
            <w:r w:rsidRPr="00FA0D37">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FA0D37">
              <w:rPr>
                <w:i/>
                <w:szCs w:val="22"/>
                <w:lang w:eastAsia="sv-SE"/>
              </w:rPr>
              <w:t>off.</w:t>
            </w:r>
            <w:r w:rsidRPr="00FA0D37">
              <w:rPr>
                <w:szCs w:val="22"/>
                <w:lang w:eastAsia="sv-SE"/>
              </w:rPr>
              <w:t xml:space="preserve"> The field is not applicable for format </w:t>
            </w:r>
            <w:r w:rsidR="005D7926" w:rsidRPr="00FA0D37">
              <w:rPr>
                <w:szCs w:val="22"/>
                <w:lang w:eastAsia="sv-SE"/>
              </w:rPr>
              <w:t xml:space="preserve">0 and </w:t>
            </w:r>
            <w:r w:rsidRPr="00FA0D37">
              <w:rPr>
                <w:szCs w:val="22"/>
                <w:lang w:eastAsia="sv-SE"/>
              </w:rPr>
              <w:t>1.</w:t>
            </w:r>
          </w:p>
        </w:tc>
      </w:tr>
    </w:tbl>
    <w:p w14:paraId="2A464DF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FA0D37" w:rsidRDefault="00394471" w:rsidP="00964CC4">
            <w:pPr>
              <w:pStyle w:val="TAH"/>
              <w:rPr>
                <w:szCs w:val="22"/>
                <w:lang w:eastAsia="sv-SE"/>
              </w:rPr>
            </w:pPr>
            <w:r w:rsidRPr="00FA0D37">
              <w:rPr>
                <w:i/>
                <w:szCs w:val="22"/>
                <w:lang w:eastAsia="sv-SE"/>
              </w:rPr>
              <w:lastRenderedPageBreak/>
              <w:t xml:space="preserve">PUCCH-Resource, </w:t>
            </w:r>
            <w:r w:rsidRPr="00FA0D37">
              <w:rPr>
                <w:i/>
                <w:iCs/>
                <w:lang w:eastAsia="sv-SE"/>
              </w:rPr>
              <w:t>PUCCH-ResourceExt</w:t>
            </w:r>
            <w:r w:rsidRPr="00FA0D37">
              <w:rPr>
                <w:i/>
                <w:szCs w:val="22"/>
                <w:lang w:eastAsia="sv-SE"/>
              </w:rPr>
              <w:t xml:space="preserve"> </w:t>
            </w:r>
            <w:r w:rsidRPr="00FA0D37">
              <w:rPr>
                <w:szCs w:val="22"/>
                <w:lang w:eastAsia="sv-SE"/>
              </w:rPr>
              <w:t>field descriptions</w:t>
            </w:r>
          </w:p>
        </w:tc>
      </w:tr>
      <w:tr w:rsidR="005C7FF4" w:rsidRPr="00FA0D37"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FA0D37" w:rsidRDefault="00394471" w:rsidP="00964CC4">
            <w:pPr>
              <w:pStyle w:val="TAL"/>
              <w:rPr>
                <w:szCs w:val="22"/>
                <w:lang w:eastAsia="sv-SE"/>
              </w:rPr>
            </w:pPr>
            <w:r w:rsidRPr="00FA0D37">
              <w:rPr>
                <w:b/>
                <w:i/>
                <w:szCs w:val="22"/>
                <w:lang w:eastAsia="sv-SE"/>
              </w:rPr>
              <w:t>format</w:t>
            </w:r>
          </w:p>
          <w:p w14:paraId="325D11C4" w14:textId="25DA6BDF" w:rsidR="00394471" w:rsidRPr="00FA0D37" w:rsidRDefault="00394471" w:rsidP="00964CC4">
            <w:pPr>
              <w:pStyle w:val="TAL"/>
              <w:rPr>
                <w:szCs w:val="22"/>
                <w:lang w:eastAsia="sv-SE"/>
              </w:rPr>
            </w:pPr>
            <w:r w:rsidRPr="00FA0D37">
              <w:rPr>
                <w:szCs w:val="22"/>
                <w:lang w:eastAsia="sv-SE"/>
              </w:rPr>
              <w:t xml:space="preserve">Selection of the PUCCH format (format 0 – 4) and format-specific parameters, see TS 38.213 [13], clause 9.2. </w:t>
            </w:r>
            <w:r w:rsidRPr="00FA0D37">
              <w:rPr>
                <w:i/>
                <w:szCs w:val="22"/>
                <w:lang w:eastAsia="sv-SE"/>
              </w:rPr>
              <w:t>format0</w:t>
            </w:r>
            <w:r w:rsidRPr="00FA0D37">
              <w:rPr>
                <w:szCs w:val="22"/>
                <w:lang w:eastAsia="sv-SE"/>
              </w:rPr>
              <w:t xml:space="preserve"> and </w:t>
            </w:r>
            <w:r w:rsidRPr="00FA0D37">
              <w:rPr>
                <w:i/>
                <w:szCs w:val="22"/>
                <w:lang w:eastAsia="sv-SE"/>
              </w:rPr>
              <w:t>format1</w:t>
            </w:r>
            <w:r w:rsidRPr="00FA0D37">
              <w:rPr>
                <w:szCs w:val="22"/>
                <w:lang w:eastAsia="sv-SE"/>
              </w:rPr>
              <w:t xml:space="preserve"> are only allowed for a resource in a first PUCCH resource set. </w:t>
            </w:r>
            <w:r w:rsidRPr="00FA0D37">
              <w:rPr>
                <w:i/>
                <w:szCs w:val="22"/>
                <w:lang w:eastAsia="sv-SE"/>
              </w:rPr>
              <w:t>format2</w:t>
            </w:r>
            <w:r w:rsidRPr="00FA0D37">
              <w:rPr>
                <w:szCs w:val="22"/>
                <w:lang w:eastAsia="sv-SE"/>
              </w:rPr>
              <w:t xml:space="preserve">, </w:t>
            </w:r>
            <w:r w:rsidRPr="00FA0D37">
              <w:rPr>
                <w:i/>
                <w:szCs w:val="22"/>
                <w:lang w:eastAsia="sv-SE"/>
              </w:rPr>
              <w:t>format3</w:t>
            </w:r>
            <w:r w:rsidRPr="00FA0D37">
              <w:rPr>
                <w:szCs w:val="22"/>
                <w:lang w:eastAsia="sv-SE"/>
              </w:rPr>
              <w:t xml:space="preserve"> and </w:t>
            </w:r>
            <w:r w:rsidRPr="00FA0D37">
              <w:rPr>
                <w:i/>
                <w:szCs w:val="22"/>
                <w:lang w:eastAsia="sv-SE"/>
              </w:rPr>
              <w:t>format4</w:t>
            </w:r>
            <w:r w:rsidRPr="00FA0D37">
              <w:rPr>
                <w:szCs w:val="22"/>
                <w:lang w:eastAsia="sv-SE"/>
              </w:rPr>
              <w:t xml:space="preserve"> are only allowed for a resource in non-first PUCCH resource set. The network can only configure </w:t>
            </w:r>
            <w:r w:rsidRPr="00FA0D37">
              <w:rPr>
                <w:i/>
                <w:iCs/>
                <w:szCs w:val="22"/>
                <w:lang w:eastAsia="sv-SE"/>
              </w:rPr>
              <w:t>format</w:t>
            </w:r>
            <w:r w:rsidR="007E2C88" w:rsidRPr="00FA0D37">
              <w:rPr>
                <w:rFonts w:cs="Arial"/>
                <w:i/>
                <w:iCs/>
                <w:szCs w:val="22"/>
                <w:lang w:eastAsia="sv-SE"/>
              </w:rPr>
              <w:t>-v1610</w:t>
            </w:r>
            <w:r w:rsidRPr="00FA0D37">
              <w:rPr>
                <w:szCs w:val="22"/>
                <w:lang w:eastAsia="sv-SE"/>
              </w:rPr>
              <w:t xml:space="preserve"> when format is set to </w:t>
            </w:r>
            <w:r w:rsidRPr="00FA0D37">
              <w:rPr>
                <w:i/>
                <w:iCs/>
                <w:szCs w:val="22"/>
                <w:lang w:eastAsia="sv-SE"/>
              </w:rPr>
              <w:t>format2</w:t>
            </w:r>
            <w:r w:rsidRPr="00FA0D37">
              <w:rPr>
                <w:szCs w:val="22"/>
                <w:lang w:eastAsia="sv-SE"/>
              </w:rPr>
              <w:t xml:space="preserve"> or </w:t>
            </w:r>
            <w:r w:rsidRPr="00FA0D37">
              <w:rPr>
                <w:i/>
                <w:iCs/>
                <w:szCs w:val="22"/>
                <w:lang w:eastAsia="sv-SE"/>
              </w:rPr>
              <w:t>format3</w:t>
            </w:r>
            <w:r w:rsidRPr="00FA0D37">
              <w:rPr>
                <w:szCs w:val="22"/>
                <w:lang w:eastAsia="sv-SE"/>
              </w:rPr>
              <w:t>.</w:t>
            </w:r>
            <w:r w:rsidR="007E2C88" w:rsidRPr="00FA0D37">
              <w:rPr>
                <w:rFonts w:cs="Arial"/>
                <w:szCs w:val="22"/>
                <w:lang w:eastAsia="sv-SE"/>
              </w:rPr>
              <w:t xml:space="preserve"> The network only configures </w:t>
            </w:r>
            <w:r w:rsidR="007E2C88" w:rsidRPr="00FA0D37">
              <w:rPr>
                <w:rFonts w:cs="Arial"/>
                <w:i/>
                <w:iCs/>
                <w:szCs w:val="22"/>
                <w:lang w:eastAsia="sv-SE"/>
              </w:rPr>
              <w:t>format</w:t>
            </w:r>
            <w:r w:rsidR="00DF1A5D" w:rsidRPr="00FA0D37">
              <w:rPr>
                <w:rFonts w:cs="Arial"/>
                <w:i/>
                <w:iCs/>
                <w:szCs w:val="22"/>
                <w:lang w:eastAsia="sv-SE"/>
              </w:rPr>
              <w:t>-v1700</w:t>
            </w:r>
            <w:r w:rsidR="007E2C88" w:rsidRPr="00FA0D37">
              <w:rPr>
                <w:rFonts w:cs="Arial"/>
                <w:szCs w:val="22"/>
                <w:lang w:eastAsia="sv-SE"/>
              </w:rPr>
              <w:t xml:space="preserve"> when format is set to </w:t>
            </w:r>
            <w:r w:rsidR="007E2C88" w:rsidRPr="00FA0D37">
              <w:rPr>
                <w:rFonts w:cs="Arial"/>
                <w:i/>
                <w:iCs/>
                <w:szCs w:val="22"/>
                <w:lang w:eastAsia="sv-SE"/>
              </w:rPr>
              <w:t>format0</w:t>
            </w:r>
            <w:r w:rsidR="007E2C88" w:rsidRPr="00FA0D37">
              <w:rPr>
                <w:rFonts w:cs="Arial"/>
                <w:szCs w:val="22"/>
                <w:lang w:eastAsia="sv-SE"/>
              </w:rPr>
              <w:t xml:space="preserve">, </w:t>
            </w:r>
            <w:r w:rsidR="007E2C88" w:rsidRPr="00FA0D37">
              <w:rPr>
                <w:rFonts w:cs="Arial"/>
                <w:i/>
                <w:iCs/>
                <w:szCs w:val="22"/>
                <w:lang w:eastAsia="sv-SE"/>
              </w:rPr>
              <w:t>format1</w:t>
            </w:r>
            <w:r w:rsidR="007E2C88" w:rsidRPr="00FA0D37">
              <w:rPr>
                <w:rFonts w:cs="Arial"/>
                <w:szCs w:val="22"/>
                <w:lang w:eastAsia="sv-SE"/>
              </w:rPr>
              <w:t xml:space="preserve"> or </w:t>
            </w:r>
            <w:r w:rsidR="007E2C88" w:rsidRPr="00FA0D37">
              <w:rPr>
                <w:rFonts w:cs="Arial"/>
                <w:i/>
                <w:iCs/>
                <w:szCs w:val="22"/>
                <w:lang w:eastAsia="sv-SE"/>
              </w:rPr>
              <w:t>format4</w:t>
            </w:r>
            <w:r w:rsidR="007E2C88" w:rsidRPr="00FA0D37">
              <w:rPr>
                <w:rFonts w:cs="Arial"/>
                <w:szCs w:val="22"/>
                <w:lang w:eastAsia="sv-SE"/>
              </w:rPr>
              <w:t>.</w:t>
            </w:r>
          </w:p>
        </w:tc>
      </w:tr>
      <w:tr w:rsidR="005C7FF4" w:rsidRPr="00FA0D37"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FA0D37" w:rsidRDefault="00394471" w:rsidP="00964CC4">
            <w:pPr>
              <w:pStyle w:val="TAL"/>
              <w:rPr>
                <w:szCs w:val="22"/>
                <w:lang w:eastAsia="sv-SE"/>
              </w:rPr>
            </w:pPr>
            <w:r w:rsidRPr="00FA0D37">
              <w:rPr>
                <w:b/>
                <w:i/>
                <w:szCs w:val="22"/>
                <w:lang w:eastAsia="sv-SE"/>
              </w:rPr>
              <w:t>interlace0</w:t>
            </w:r>
          </w:p>
          <w:p w14:paraId="4354C847" w14:textId="77777777" w:rsidR="00394471" w:rsidRPr="00FA0D37" w:rsidRDefault="00394471" w:rsidP="00964CC4">
            <w:pPr>
              <w:pStyle w:val="TAL"/>
              <w:rPr>
                <w:b/>
                <w:i/>
                <w:szCs w:val="22"/>
                <w:lang w:eastAsia="sv-SE"/>
              </w:rPr>
            </w:pPr>
            <w:r w:rsidRPr="00FA0D37">
              <w:rPr>
                <w:bCs/>
                <w:iCs/>
                <w:lang w:eastAsia="sv-SE"/>
              </w:rPr>
              <w:t>This is the only interlace of interlaced PUCCH Format 0 and 1 and the first interlace for interlaced PUCCH Format 2 and 3.</w:t>
            </w:r>
          </w:p>
        </w:tc>
      </w:tr>
      <w:tr w:rsidR="005C7FF4" w:rsidRPr="00FA0D37"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FA0D37" w:rsidRDefault="00394471" w:rsidP="00964CC4">
            <w:pPr>
              <w:pStyle w:val="TAL"/>
              <w:rPr>
                <w:szCs w:val="22"/>
                <w:lang w:eastAsia="sv-SE"/>
              </w:rPr>
            </w:pPr>
            <w:r w:rsidRPr="00FA0D37">
              <w:rPr>
                <w:b/>
                <w:i/>
                <w:szCs w:val="22"/>
                <w:lang w:eastAsia="sv-SE"/>
              </w:rPr>
              <w:t>interlace1</w:t>
            </w:r>
          </w:p>
          <w:p w14:paraId="6B1FAAED" w14:textId="49ECDC09" w:rsidR="00394471" w:rsidRPr="00FA0D37" w:rsidRDefault="00394471" w:rsidP="00964CC4">
            <w:pPr>
              <w:pStyle w:val="TAL"/>
              <w:rPr>
                <w:b/>
                <w:i/>
                <w:szCs w:val="22"/>
                <w:lang w:eastAsia="sv-SE"/>
              </w:rPr>
            </w:pPr>
            <w:r w:rsidRPr="00FA0D37">
              <w:rPr>
                <w:rFonts w:cs="Arial"/>
                <w:szCs w:val="18"/>
                <w:lang w:eastAsia="sv-SE"/>
              </w:rPr>
              <w:t>A second interlace, in addition to interlace 0, as specified in TS 38.213 [13], clause 9.2.1. For 15</w:t>
            </w:r>
            <w:r w:rsidR="00513E07" w:rsidRPr="00FA0D37">
              <w:rPr>
                <w:rFonts w:cs="Arial"/>
                <w:szCs w:val="18"/>
                <w:lang w:eastAsia="sv-SE"/>
              </w:rPr>
              <w:t>k</w:t>
            </w:r>
            <w:r w:rsidRPr="00FA0D37">
              <w:rPr>
                <w:rFonts w:cs="Arial"/>
                <w:szCs w:val="18"/>
                <w:lang w:eastAsia="sv-SE"/>
              </w:rPr>
              <w:t>Hz SCS, values {0..9} are applicable; for 30</w:t>
            </w:r>
            <w:r w:rsidR="00513E07" w:rsidRPr="00FA0D37">
              <w:rPr>
                <w:rFonts w:cs="Arial"/>
                <w:szCs w:val="18"/>
                <w:lang w:eastAsia="sv-SE"/>
              </w:rPr>
              <w:t>k</w:t>
            </w:r>
            <w:r w:rsidR="0052681B" w:rsidRPr="00FA0D37">
              <w:rPr>
                <w:rFonts w:cs="Arial"/>
                <w:szCs w:val="18"/>
                <w:lang w:eastAsia="sv-SE"/>
              </w:rPr>
              <w:t>H</w:t>
            </w:r>
            <w:r w:rsidRPr="00FA0D37">
              <w:rPr>
                <w:rFonts w:cs="Arial"/>
                <w:szCs w:val="18"/>
                <w:lang w:eastAsia="sv-SE"/>
              </w:rPr>
              <w:t xml:space="preserve">z SCS, values {0..4} are applicable. For 15kHz SCS, the values of </w:t>
            </w:r>
            <w:r w:rsidRPr="00FA0D37">
              <w:rPr>
                <w:rFonts w:cs="Arial"/>
                <w:i/>
                <w:szCs w:val="18"/>
                <w:lang w:eastAsia="sv-SE"/>
              </w:rPr>
              <w:t>interlace1</w:t>
            </w:r>
            <w:r w:rsidRPr="00FA0D37">
              <w:rPr>
                <w:rFonts w:cs="Arial"/>
                <w:szCs w:val="18"/>
                <w:lang w:eastAsia="sv-SE"/>
              </w:rPr>
              <w:t xml:space="preserve"> shall satisfy </w:t>
            </w:r>
            <w:r w:rsidRPr="00FA0D37">
              <w:rPr>
                <w:rFonts w:cs="Arial"/>
                <w:i/>
                <w:szCs w:val="18"/>
                <w:lang w:eastAsia="sv-SE"/>
              </w:rPr>
              <w:t>interlace1</w:t>
            </w:r>
            <w:r w:rsidRPr="00FA0D37">
              <w:rPr>
                <w:rFonts w:cs="Arial"/>
                <w:szCs w:val="18"/>
                <w:lang w:eastAsia="sv-SE"/>
              </w:rPr>
              <w:t>=mod(</w:t>
            </w:r>
            <w:r w:rsidRPr="00FA0D37">
              <w:rPr>
                <w:rFonts w:cs="Arial"/>
                <w:i/>
                <w:szCs w:val="18"/>
                <w:lang w:eastAsia="sv-SE"/>
              </w:rPr>
              <w:t>interlace0</w:t>
            </w:r>
            <w:r w:rsidRPr="00FA0D37">
              <w:rPr>
                <w:rFonts w:cs="Arial"/>
                <w:szCs w:val="18"/>
                <w:lang w:eastAsia="sv-SE"/>
              </w:rPr>
              <w:t>+X,10) where X=1, -1, or 5</w:t>
            </w:r>
            <w:r w:rsidRPr="00FA0D37">
              <w:rPr>
                <w:szCs w:val="22"/>
                <w:lang w:eastAsia="sv-SE"/>
              </w:rPr>
              <w:t>.</w:t>
            </w:r>
          </w:p>
        </w:tc>
      </w:tr>
      <w:tr w:rsidR="005C7FF4" w:rsidRPr="00FA0D37"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FA0D37" w:rsidRDefault="00394471" w:rsidP="00964CC4">
            <w:pPr>
              <w:pStyle w:val="TAL"/>
              <w:rPr>
                <w:b/>
                <w:bCs/>
                <w:i/>
                <w:iCs/>
                <w:lang w:eastAsia="sv-SE"/>
              </w:rPr>
            </w:pPr>
            <w:r w:rsidRPr="00FA0D37">
              <w:rPr>
                <w:b/>
                <w:bCs/>
                <w:i/>
                <w:iCs/>
                <w:lang w:eastAsia="sv-SE"/>
              </w:rPr>
              <w:t>intraSlotFrequencyHopping</w:t>
            </w:r>
          </w:p>
          <w:p w14:paraId="477A3271" w14:textId="77777777" w:rsidR="00394471" w:rsidRPr="00FA0D37" w:rsidRDefault="00394471" w:rsidP="00964CC4">
            <w:pPr>
              <w:pStyle w:val="TAL"/>
              <w:rPr>
                <w:lang w:eastAsia="sv-SE"/>
              </w:rPr>
            </w:pPr>
            <w:r w:rsidRPr="00FA0D37">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5C7FF4" w:rsidRPr="00FA0D37"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FA0D37" w:rsidRDefault="007E2C88" w:rsidP="000830BB">
            <w:pPr>
              <w:pStyle w:val="TAL"/>
              <w:rPr>
                <w:b/>
                <w:bCs/>
                <w:i/>
                <w:iCs/>
                <w:lang w:eastAsia="sv-SE"/>
              </w:rPr>
            </w:pPr>
            <w:r w:rsidRPr="00FA0D37">
              <w:rPr>
                <w:b/>
                <w:bCs/>
                <w:i/>
                <w:iCs/>
                <w:lang w:eastAsia="sv-SE"/>
              </w:rPr>
              <w:t>nrofPRBs</w:t>
            </w:r>
          </w:p>
          <w:p w14:paraId="77F2D85C" w14:textId="77777777" w:rsidR="007E2C88" w:rsidRPr="00FA0D37" w:rsidRDefault="007E2C88" w:rsidP="000830BB">
            <w:pPr>
              <w:pStyle w:val="TAL"/>
              <w:rPr>
                <w:bCs/>
                <w:iCs/>
                <w:lang w:eastAsia="sv-SE"/>
              </w:rPr>
            </w:pPr>
            <w:r w:rsidRPr="00FA0D37">
              <w:rPr>
                <w:lang w:eastAsia="sv-SE"/>
              </w:rPr>
              <w:t xml:space="preserve">Indicates the number of PRBs used per PUCCH resource for the PUCCH format, see TS 38.213 [13], clause 9.2.1. This field is applicable for PUCCH </w:t>
            </w:r>
            <w:r w:rsidRPr="00FA0D37">
              <w:rPr>
                <w:i/>
                <w:lang w:eastAsia="sv-SE"/>
              </w:rPr>
              <w:t>format0</w:t>
            </w:r>
            <w:r w:rsidRPr="00FA0D37">
              <w:rPr>
                <w:lang w:eastAsia="sv-SE"/>
              </w:rPr>
              <w:t xml:space="preserve">, </w:t>
            </w:r>
            <w:r w:rsidRPr="00FA0D37">
              <w:rPr>
                <w:i/>
                <w:lang w:eastAsia="sv-SE"/>
              </w:rPr>
              <w:t>format1</w:t>
            </w:r>
            <w:r w:rsidRPr="00FA0D37">
              <w:rPr>
                <w:lang w:eastAsia="sv-SE"/>
              </w:rPr>
              <w:t xml:space="preserve">, and </w:t>
            </w:r>
            <w:r w:rsidRPr="00FA0D37">
              <w:rPr>
                <w:i/>
                <w:lang w:eastAsia="sv-SE"/>
              </w:rPr>
              <w:t>format4</w:t>
            </w:r>
            <w:r w:rsidRPr="00FA0D37">
              <w:rPr>
                <w:lang w:eastAsia="sv-SE"/>
              </w:rPr>
              <w:t xml:space="preserve"> in FR2-2. The supported values for </w:t>
            </w:r>
            <w:r w:rsidRPr="00FA0D37">
              <w:rPr>
                <w:i/>
                <w:lang w:eastAsia="sv-SE"/>
              </w:rPr>
              <w:t>format4</w:t>
            </w:r>
            <w:r w:rsidRPr="00FA0D37">
              <w:rPr>
                <w:lang w:eastAsia="sv-SE"/>
              </w:rPr>
              <w:t xml:space="preserve"> are 1,2,3,4,5,6,8,9,10,12,15 and 16.</w:t>
            </w:r>
          </w:p>
        </w:tc>
      </w:tr>
      <w:tr w:rsidR="005C7FF4" w:rsidRPr="00FA0D37"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FA0D37" w:rsidRDefault="00394471" w:rsidP="00964CC4">
            <w:pPr>
              <w:pStyle w:val="TAL"/>
              <w:rPr>
                <w:szCs w:val="22"/>
                <w:lang w:eastAsia="sv-SE"/>
              </w:rPr>
            </w:pPr>
            <w:r w:rsidRPr="00FA0D37">
              <w:rPr>
                <w:b/>
                <w:i/>
                <w:szCs w:val="22"/>
                <w:lang w:eastAsia="sv-SE"/>
              </w:rPr>
              <w:t>occ-Index</w:t>
            </w:r>
          </w:p>
          <w:p w14:paraId="294B87E5" w14:textId="1B638D74" w:rsidR="00394471" w:rsidRPr="00FA0D37" w:rsidRDefault="00394471" w:rsidP="00964CC4">
            <w:pPr>
              <w:pStyle w:val="TAL"/>
              <w:rPr>
                <w:b/>
                <w:bCs/>
                <w:i/>
                <w:iCs/>
                <w:lang w:eastAsia="sv-SE"/>
              </w:rPr>
            </w:pPr>
            <w:r w:rsidRPr="00FA0D37">
              <w:rPr>
                <w:szCs w:val="22"/>
                <w:lang w:eastAsia="sv-SE"/>
              </w:rPr>
              <w:t>Indicates the orthogonal cover code index (see</w:t>
            </w:r>
            <w:r w:rsidRPr="00FA0D37">
              <w:rPr>
                <w:rFonts w:cs="Arial"/>
                <w:szCs w:val="18"/>
                <w:lang w:eastAsia="sv-SE"/>
              </w:rPr>
              <w:t xml:space="preserve"> TS 38.213 [13], clause 9.2.1). This field is </w:t>
            </w:r>
            <w:r w:rsidR="00513E07" w:rsidRPr="00FA0D37">
              <w:rPr>
                <w:szCs w:val="22"/>
                <w:lang w:eastAsia="sv-SE"/>
              </w:rPr>
              <w:t>a</w:t>
            </w:r>
            <w:r w:rsidRPr="00FA0D37">
              <w:rPr>
                <w:szCs w:val="22"/>
                <w:lang w:eastAsia="sv-SE"/>
              </w:rPr>
              <w:t xml:space="preserve">pplicable when </w:t>
            </w:r>
            <w:r w:rsidR="00513E07" w:rsidRPr="00FA0D37">
              <w:rPr>
                <w:i/>
                <w:szCs w:val="22"/>
                <w:lang w:eastAsia="sv-SE"/>
              </w:rPr>
              <w:t>useInterlacePUCCH-PUSCH-16</w:t>
            </w:r>
            <w:r w:rsidRPr="00FA0D37">
              <w:rPr>
                <w:szCs w:val="22"/>
                <w:lang w:eastAsia="sv-SE"/>
              </w:rPr>
              <w:t xml:space="preserve"> is configured.</w:t>
            </w:r>
          </w:p>
        </w:tc>
      </w:tr>
      <w:tr w:rsidR="005C7FF4" w:rsidRPr="00FA0D37"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FA0D37" w:rsidRDefault="00394471" w:rsidP="00964CC4">
            <w:pPr>
              <w:pStyle w:val="TAL"/>
              <w:rPr>
                <w:szCs w:val="22"/>
                <w:lang w:eastAsia="sv-SE"/>
              </w:rPr>
            </w:pPr>
            <w:r w:rsidRPr="00FA0D37">
              <w:rPr>
                <w:b/>
                <w:i/>
                <w:szCs w:val="22"/>
                <w:lang w:eastAsia="sv-SE"/>
              </w:rPr>
              <w:t>occ-Length</w:t>
            </w:r>
          </w:p>
          <w:p w14:paraId="371EB61C" w14:textId="20644A36" w:rsidR="00394471" w:rsidRPr="00FA0D37" w:rsidRDefault="00394471" w:rsidP="00964CC4">
            <w:pPr>
              <w:pStyle w:val="TAL"/>
              <w:rPr>
                <w:b/>
                <w:bCs/>
                <w:i/>
                <w:iCs/>
                <w:lang w:eastAsia="sv-SE"/>
              </w:rPr>
            </w:pPr>
            <w:r w:rsidRPr="00FA0D37">
              <w:rPr>
                <w:szCs w:val="22"/>
                <w:lang w:eastAsia="sv-SE"/>
              </w:rPr>
              <w:t>Indicates the orthogonal cover code length (see</w:t>
            </w:r>
            <w:r w:rsidRPr="00FA0D37">
              <w:rPr>
                <w:rFonts w:cs="Arial"/>
                <w:szCs w:val="18"/>
                <w:lang w:eastAsia="sv-SE"/>
              </w:rPr>
              <w:t xml:space="preserve"> TS 38.213 [13], clause 9.2.1). </w:t>
            </w:r>
            <w:r w:rsidR="00513E07" w:rsidRPr="00FA0D37">
              <w:rPr>
                <w:rFonts w:cs="Arial"/>
                <w:szCs w:val="18"/>
                <w:lang w:eastAsia="sv-SE"/>
              </w:rPr>
              <w:t>This field is a</w:t>
            </w:r>
            <w:r w:rsidRPr="00FA0D37">
              <w:rPr>
                <w:szCs w:val="22"/>
                <w:lang w:eastAsia="sv-SE"/>
              </w:rPr>
              <w:t xml:space="preserve">pplicable when </w:t>
            </w:r>
            <w:r w:rsidR="00513E07" w:rsidRPr="00FA0D37">
              <w:rPr>
                <w:i/>
                <w:szCs w:val="22"/>
                <w:lang w:eastAsia="sv-SE"/>
              </w:rPr>
              <w:t>useInterlacePUCCH-PUSCH-16</w:t>
            </w:r>
            <w:r w:rsidRPr="00FA0D37">
              <w:rPr>
                <w:szCs w:val="22"/>
                <w:lang w:eastAsia="sv-SE"/>
              </w:rPr>
              <w:t xml:space="preserve"> is configured.</w:t>
            </w:r>
          </w:p>
        </w:tc>
      </w:tr>
      <w:tr w:rsidR="005C7FF4" w:rsidRPr="00FA0D37"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FA0D37" w:rsidRDefault="003E7B2B" w:rsidP="00771058">
            <w:pPr>
              <w:pStyle w:val="TAL"/>
              <w:rPr>
                <w:bCs/>
                <w:iCs/>
                <w:lang w:eastAsia="sv-SE"/>
              </w:rPr>
            </w:pPr>
            <w:r w:rsidRPr="00FA0D37">
              <w:rPr>
                <w:b/>
                <w:bCs/>
                <w:i/>
                <w:iCs/>
                <w:lang w:eastAsia="sv-SE"/>
              </w:rPr>
              <w:t>pucch-RepetitionNrofSlots</w:t>
            </w:r>
          </w:p>
          <w:p w14:paraId="5A44BB7C" w14:textId="48C0FFB2" w:rsidR="003E7B2B" w:rsidRPr="00FA0D37" w:rsidRDefault="003E7B2B" w:rsidP="00771058">
            <w:pPr>
              <w:pStyle w:val="TAL"/>
              <w:rPr>
                <w:b/>
                <w:bCs/>
                <w:iCs/>
                <w:lang w:eastAsia="sv-SE"/>
              </w:rPr>
            </w:pPr>
            <w:r w:rsidRPr="00FA0D37">
              <w:rPr>
                <w:bCs/>
                <w:iCs/>
                <w:lang w:eastAsia="sv-SE"/>
              </w:rPr>
              <w:t xml:space="preserve">Configuration of PUCCH repetition factor per PUCCH resource with associated scheduling DCI corresponding to Rel-17 dynamic PUCCH repetition. For a PUCCH resource, if both the field </w:t>
            </w:r>
            <w:r w:rsidRPr="00FA0D37">
              <w:rPr>
                <w:bCs/>
                <w:i/>
                <w:iCs/>
                <w:lang w:eastAsia="sv-SE"/>
              </w:rPr>
              <w:t>pucch-RepetitionNrofSlots</w:t>
            </w:r>
            <w:r w:rsidRPr="00FA0D37">
              <w:rPr>
                <w:bCs/>
                <w:iCs/>
                <w:lang w:eastAsia="sv-SE"/>
              </w:rPr>
              <w:t xml:space="preserve"> and the field </w:t>
            </w:r>
            <w:r w:rsidRPr="00FA0D37">
              <w:rPr>
                <w:bCs/>
                <w:i/>
                <w:iCs/>
                <w:lang w:eastAsia="sv-SE"/>
              </w:rPr>
              <w:t>nrofSlots</w:t>
            </w:r>
            <w:r w:rsidRPr="00FA0D37">
              <w:rPr>
                <w:bCs/>
                <w:iCs/>
                <w:lang w:eastAsia="sv-SE"/>
              </w:rPr>
              <w:t xml:space="preserve"> are present, the field </w:t>
            </w:r>
            <w:r w:rsidRPr="00FA0D37">
              <w:rPr>
                <w:bCs/>
                <w:i/>
                <w:iCs/>
                <w:lang w:eastAsia="sv-SE"/>
              </w:rPr>
              <w:t>nrofSlots</w:t>
            </w:r>
            <w:r w:rsidRPr="00FA0D37">
              <w:rPr>
                <w:bCs/>
                <w:iCs/>
                <w:lang w:eastAsia="sv-SE"/>
              </w:rPr>
              <w:t xml:space="preserve"> is ignored and apply the value of </w:t>
            </w:r>
            <w:r w:rsidRPr="00FA0D37">
              <w:rPr>
                <w:bCs/>
                <w:i/>
                <w:iCs/>
                <w:lang w:eastAsia="sv-SE"/>
              </w:rPr>
              <w:t>pucch-RepetitionNrofSlots</w:t>
            </w:r>
            <w:r w:rsidRPr="00FA0D37">
              <w:rPr>
                <w:bCs/>
                <w:iCs/>
                <w:lang w:eastAsia="sv-SE"/>
              </w:rPr>
              <w:t xml:space="preserve"> corresponding to Rel-17 dynamic PUCCH repetition. If this field is absent in a PUCCH resource with associated scheduling DCI, the UE applies the value of field </w:t>
            </w:r>
            <w:r w:rsidRPr="00FA0D37">
              <w:rPr>
                <w:bCs/>
                <w:i/>
                <w:iCs/>
                <w:lang w:eastAsia="sv-SE"/>
              </w:rPr>
              <w:t>nrofSlots</w:t>
            </w:r>
            <w:r w:rsidRPr="00FA0D37">
              <w:rPr>
                <w:bCs/>
                <w:iCs/>
                <w:lang w:eastAsia="sv-SE"/>
              </w:rPr>
              <w:t>.</w:t>
            </w:r>
          </w:p>
        </w:tc>
      </w:tr>
      <w:tr w:rsidR="005C7FF4" w:rsidRPr="00FA0D37"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FA0D37" w:rsidRDefault="00394471" w:rsidP="00964CC4">
            <w:pPr>
              <w:pStyle w:val="TAL"/>
              <w:rPr>
                <w:bCs/>
                <w:iCs/>
                <w:lang w:eastAsia="sv-SE"/>
              </w:rPr>
            </w:pPr>
            <w:r w:rsidRPr="00FA0D37">
              <w:rPr>
                <w:b/>
                <w:bCs/>
                <w:i/>
                <w:iCs/>
                <w:lang w:eastAsia="sv-SE"/>
              </w:rPr>
              <w:t>pucch-ResourceId</w:t>
            </w:r>
          </w:p>
          <w:p w14:paraId="5957CBF0" w14:textId="77777777" w:rsidR="00394471" w:rsidRPr="00FA0D37" w:rsidRDefault="00394471" w:rsidP="00964CC4">
            <w:pPr>
              <w:pStyle w:val="TAL"/>
              <w:rPr>
                <w:bCs/>
                <w:iCs/>
                <w:lang w:eastAsia="sv-SE"/>
              </w:rPr>
            </w:pPr>
            <w:r w:rsidRPr="00FA0D37">
              <w:rPr>
                <w:bCs/>
                <w:iCs/>
                <w:lang w:eastAsia="sv-SE"/>
              </w:rPr>
              <w:t>Identifier of the PUCCH resource.</w:t>
            </w:r>
          </w:p>
        </w:tc>
      </w:tr>
      <w:tr w:rsidR="00394471" w:rsidRPr="00FA0D37"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FA0D37" w:rsidRDefault="00394471" w:rsidP="00964CC4">
            <w:pPr>
              <w:pStyle w:val="TAL"/>
              <w:rPr>
                <w:b/>
                <w:bCs/>
                <w:i/>
                <w:iCs/>
                <w:lang w:eastAsia="sv-SE"/>
              </w:rPr>
            </w:pPr>
            <w:r w:rsidRPr="00FA0D37">
              <w:rPr>
                <w:b/>
                <w:bCs/>
                <w:i/>
                <w:iCs/>
                <w:lang w:eastAsia="sv-SE"/>
              </w:rPr>
              <w:t>secondHopPRB</w:t>
            </w:r>
          </w:p>
          <w:p w14:paraId="3E0842EA" w14:textId="77777777" w:rsidR="00394471" w:rsidRPr="00FA0D37" w:rsidRDefault="00394471" w:rsidP="00964CC4">
            <w:pPr>
              <w:pStyle w:val="TAL"/>
              <w:rPr>
                <w:lang w:eastAsia="sv-SE"/>
              </w:rPr>
            </w:pPr>
            <w:r w:rsidRPr="00FA0D37">
              <w:rPr>
                <w:lang w:eastAsia="sv-SE"/>
              </w:rPr>
              <w:t>Index of first PRB after frequency hopping of PUCCH. This value is applicable for intra-slot frequency hopping</w:t>
            </w:r>
            <w:r w:rsidRPr="00FA0D37">
              <w:rPr>
                <w:lang w:eastAsia="zh-CN"/>
              </w:rPr>
              <w:t xml:space="preserve"> (see TS 38.213 [13], clause 9.2.1) or inter-slot frequency hopping (see TS 38.213 [13], clause 9.2.6)</w:t>
            </w:r>
            <w:r w:rsidRPr="00FA0D37">
              <w:rPr>
                <w:lang w:eastAsia="sv-SE"/>
              </w:rPr>
              <w:t>.</w:t>
            </w:r>
          </w:p>
        </w:tc>
      </w:tr>
    </w:tbl>
    <w:p w14:paraId="23A9A8F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FA0D37" w:rsidRDefault="00394471" w:rsidP="00964CC4">
            <w:pPr>
              <w:pStyle w:val="TAH"/>
              <w:rPr>
                <w:szCs w:val="22"/>
                <w:lang w:eastAsia="sv-SE"/>
              </w:rPr>
            </w:pPr>
            <w:r w:rsidRPr="00FA0D37">
              <w:rPr>
                <w:i/>
                <w:szCs w:val="22"/>
                <w:lang w:eastAsia="sv-SE"/>
              </w:rPr>
              <w:t xml:space="preserve">PUCCH-ResourceSet </w:t>
            </w:r>
            <w:r w:rsidRPr="00FA0D37">
              <w:rPr>
                <w:szCs w:val="22"/>
                <w:lang w:eastAsia="sv-SE"/>
              </w:rPr>
              <w:t>field descriptions</w:t>
            </w:r>
          </w:p>
        </w:tc>
      </w:tr>
      <w:tr w:rsidR="005C7FF4" w:rsidRPr="00FA0D37"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FA0D37" w:rsidRDefault="00394471" w:rsidP="00964CC4">
            <w:pPr>
              <w:pStyle w:val="TAL"/>
              <w:rPr>
                <w:szCs w:val="22"/>
                <w:lang w:eastAsia="sv-SE"/>
              </w:rPr>
            </w:pPr>
            <w:r w:rsidRPr="00FA0D37">
              <w:rPr>
                <w:b/>
                <w:i/>
                <w:szCs w:val="22"/>
                <w:lang w:eastAsia="sv-SE"/>
              </w:rPr>
              <w:t>maxPayloadSize</w:t>
            </w:r>
          </w:p>
          <w:p w14:paraId="64E750C6" w14:textId="77777777" w:rsidR="00394471" w:rsidRPr="00FA0D37" w:rsidRDefault="00394471" w:rsidP="00964CC4">
            <w:pPr>
              <w:pStyle w:val="TAL"/>
              <w:rPr>
                <w:szCs w:val="22"/>
                <w:lang w:eastAsia="sv-SE"/>
              </w:rPr>
            </w:pPr>
            <w:r w:rsidRPr="00FA0D37">
              <w:rPr>
                <w:szCs w:val="22"/>
                <w:lang w:eastAsia="sv-SE"/>
              </w:rPr>
              <w:t xml:space="preserve">Maximum number of UCI information bits that the UE may transmit using this PUCCH resource set (see TS 38.213 [13], clause 9.2.1). In a PUCCH occurrence, the UE chooses the first of its </w:t>
            </w:r>
            <w:r w:rsidRPr="00FA0D37">
              <w:rPr>
                <w:i/>
                <w:szCs w:val="22"/>
                <w:lang w:eastAsia="sv-SE"/>
              </w:rPr>
              <w:t>PUCCH-ResourceSet</w:t>
            </w:r>
            <w:r w:rsidRPr="00FA0D37">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FA0D37"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FA0D37" w:rsidRDefault="00394471" w:rsidP="00964CC4">
            <w:pPr>
              <w:pStyle w:val="TAL"/>
              <w:rPr>
                <w:szCs w:val="22"/>
                <w:lang w:eastAsia="sv-SE"/>
              </w:rPr>
            </w:pPr>
            <w:r w:rsidRPr="00FA0D37">
              <w:rPr>
                <w:b/>
                <w:i/>
                <w:szCs w:val="22"/>
                <w:lang w:eastAsia="sv-SE"/>
              </w:rPr>
              <w:t>resourceList</w:t>
            </w:r>
          </w:p>
          <w:p w14:paraId="0D588E79" w14:textId="77777777" w:rsidR="00394471" w:rsidRPr="00FA0D37" w:rsidRDefault="00394471" w:rsidP="00964CC4">
            <w:pPr>
              <w:pStyle w:val="TAL"/>
              <w:rPr>
                <w:szCs w:val="22"/>
                <w:lang w:eastAsia="sv-SE"/>
              </w:rPr>
            </w:pPr>
            <w:r w:rsidRPr="00FA0D37">
              <w:rPr>
                <w:szCs w:val="22"/>
                <w:lang w:eastAsia="sv-SE"/>
              </w:rPr>
              <w:t xml:space="preserve">PUCCH resources of </w:t>
            </w:r>
            <w:r w:rsidRPr="00FA0D37">
              <w:rPr>
                <w:i/>
                <w:szCs w:val="22"/>
                <w:lang w:eastAsia="sv-SE"/>
              </w:rPr>
              <w:t>format0</w:t>
            </w:r>
            <w:r w:rsidRPr="00FA0D37">
              <w:rPr>
                <w:szCs w:val="22"/>
                <w:lang w:eastAsia="sv-SE"/>
              </w:rPr>
              <w:t xml:space="preserve"> and </w:t>
            </w:r>
            <w:r w:rsidRPr="00FA0D37">
              <w:rPr>
                <w:i/>
                <w:szCs w:val="22"/>
                <w:lang w:eastAsia="sv-SE"/>
              </w:rPr>
              <w:t>format1</w:t>
            </w:r>
            <w:r w:rsidRPr="00FA0D37">
              <w:rPr>
                <w:szCs w:val="22"/>
                <w:lang w:eastAsia="sv-SE"/>
              </w:rPr>
              <w:t xml:space="preserve"> are only allowed in the first PUCCH resource set, i.e., in a PUCCH-ResourceSet with </w:t>
            </w:r>
            <w:r w:rsidRPr="00FA0D37">
              <w:rPr>
                <w:i/>
                <w:szCs w:val="22"/>
                <w:lang w:eastAsia="sv-SE"/>
              </w:rPr>
              <w:t>pucch-ResourceSetId</w:t>
            </w:r>
            <w:r w:rsidRPr="00FA0D37">
              <w:rPr>
                <w:szCs w:val="22"/>
                <w:lang w:eastAsia="sv-SE"/>
              </w:rPr>
              <w:t xml:space="preserve"> = 0. This set may contain between 1 and 32 </w:t>
            </w:r>
            <w:r w:rsidRPr="00FA0D37">
              <w:rPr>
                <w:lang w:eastAsia="sv-SE"/>
              </w:rPr>
              <w:t xml:space="preserve">resources. PUCCH resources of </w:t>
            </w:r>
            <w:r w:rsidRPr="00FA0D37">
              <w:rPr>
                <w:i/>
                <w:lang w:eastAsia="sv-SE"/>
              </w:rPr>
              <w:t>format2</w:t>
            </w:r>
            <w:r w:rsidRPr="00FA0D37">
              <w:rPr>
                <w:lang w:eastAsia="sv-SE"/>
              </w:rPr>
              <w:t xml:space="preserve">, </w:t>
            </w:r>
            <w:r w:rsidRPr="00FA0D37">
              <w:rPr>
                <w:i/>
                <w:lang w:eastAsia="sv-SE"/>
              </w:rPr>
              <w:t>format3</w:t>
            </w:r>
            <w:r w:rsidRPr="00FA0D37">
              <w:rPr>
                <w:lang w:eastAsia="sv-SE"/>
              </w:rPr>
              <w:t xml:space="preserve"> and </w:t>
            </w:r>
            <w:r w:rsidRPr="00FA0D37">
              <w:rPr>
                <w:i/>
                <w:lang w:eastAsia="sv-SE"/>
              </w:rPr>
              <w:t>format4</w:t>
            </w:r>
            <w:r w:rsidRPr="00FA0D37">
              <w:rPr>
                <w:lang w:eastAsia="sv-SE"/>
              </w:rPr>
              <w:t xml:space="preserve"> are only allowed in a </w:t>
            </w:r>
            <w:r w:rsidRPr="00FA0D37">
              <w:rPr>
                <w:i/>
                <w:lang w:eastAsia="sv-SE"/>
              </w:rPr>
              <w:t>PUCCH-ResourceSet</w:t>
            </w:r>
            <w:r w:rsidRPr="00FA0D37">
              <w:rPr>
                <w:lang w:eastAsia="sv-SE"/>
              </w:rPr>
              <w:t xml:space="preserve"> with </w:t>
            </w:r>
            <w:r w:rsidRPr="00FA0D37">
              <w:rPr>
                <w:i/>
                <w:lang w:eastAsia="sv-SE"/>
              </w:rPr>
              <w:t>pucch-ResourceSetId</w:t>
            </w:r>
            <w:r w:rsidRPr="00FA0D37">
              <w:rPr>
                <w:lang w:eastAsia="sv-SE"/>
              </w:rPr>
              <w:t xml:space="preserve"> &gt; 0. If present, these sets contain between 1 and </w:t>
            </w:r>
            <w:r w:rsidRPr="00FA0D37">
              <w:rPr>
                <w:szCs w:val="22"/>
                <w:lang w:eastAsia="sv-SE"/>
              </w:rPr>
              <w:t xml:space="preserve">8 resources each. The UE chooses a </w:t>
            </w:r>
            <w:r w:rsidRPr="00FA0D37">
              <w:rPr>
                <w:i/>
                <w:szCs w:val="22"/>
                <w:lang w:eastAsia="sv-SE"/>
              </w:rPr>
              <w:t>PUCCH-Resource</w:t>
            </w:r>
            <w:r w:rsidRPr="00FA0D37">
              <w:rPr>
                <w:szCs w:val="22"/>
                <w:lang w:eastAsia="sv-SE"/>
              </w:rPr>
              <w:t xml:space="preserve"> from this list as specified in TS 38.213 [13], clause 9.2.3. Note that this list contains only a list of resource IDs. The actual resources are configured in </w:t>
            </w:r>
            <w:r w:rsidRPr="00FA0D37">
              <w:rPr>
                <w:i/>
                <w:szCs w:val="22"/>
                <w:lang w:eastAsia="sv-SE"/>
              </w:rPr>
              <w:t>PUCCH-Config</w:t>
            </w:r>
            <w:r w:rsidRPr="00FA0D37">
              <w:rPr>
                <w:szCs w:val="22"/>
                <w:lang w:eastAsia="sv-SE"/>
              </w:rPr>
              <w:t>.</w:t>
            </w:r>
          </w:p>
        </w:tc>
      </w:tr>
    </w:tbl>
    <w:p w14:paraId="59712EC9" w14:textId="77777777" w:rsidR="00394471" w:rsidRPr="00FA0D37"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5C7FF4" w:rsidRPr="00FA0D37"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FA0D37" w:rsidRDefault="00394471" w:rsidP="00964CC4">
            <w:pPr>
              <w:pStyle w:val="TAH"/>
              <w:rPr>
                <w:lang w:eastAsia="sv-SE"/>
              </w:rPr>
            </w:pPr>
            <w:r w:rsidRPr="00FA0D37">
              <w:rPr>
                <w:lang w:eastAsia="sv-SE"/>
              </w:rPr>
              <w:lastRenderedPageBreak/>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FA0D37" w:rsidRDefault="00394471" w:rsidP="00964CC4">
            <w:pPr>
              <w:pStyle w:val="TAH"/>
              <w:rPr>
                <w:lang w:eastAsia="sv-SE"/>
              </w:rPr>
            </w:pPr>
            <w:r w:rsidRPr="00FA0D37">
              <w:rPr>
                <w:lang w:eastAsia="sv-SE"/>
              </w:rPr>
              <w:t>Explanation</w:t>
            </w:r>
          </w:p>
        </w:tc>
      </w:tr>
      <w:tr w:rsidR="00394471" w:rsidRPr="00FA0D37"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FA0D37" w:rsidRDefault="00394471" w:rsidP="00964CC4">
            <w:pPr>
              <w:pStyle w:val="TAL"/>
              <w:rPr>
                <w:i/>
                <w:lang w:eastAsia="sv-SE"/>
              </w:rPr>
            </w:pPr>
            <w:r w:rsidRPr="00FA0D37">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FA0D37" w:rsidRDefault="00394471" w:rsidP="00964CC4">
            <w:pPr>
              <w:pStyle w:val="TAL"/>
              <w:rPr>
                <w:lang w:eastAsia="sv-SE"/>
              </w:rPr>
            </w:pPr>
            <w:r w:rsidRPr="00FA0D37">
              <w:rPr>
                <w:lang w:eastAsia="sv-SE"/>
              </w:rPr>
              <w:t xml:space="preserve">The field is optionally present, Need R, if </w:t>
            </w:r>
            <w:r w:rsidRPr="00FA0D37">
              <w:rPr>
                <w:i/>
                <w:lang w:eastAsia="sv-SE"/>
              </w:rPr>
              <w:t>format3</w:t>
            </w:r>
            <w:r w:rsidRPr="00FA0D37">
              <w:rPr>
                <w:lang w:eastAsia="sv-SE"/>
              </w:rPr>
              <w:t xml:space="preserve"> and/or </w:t>
            </w:r>
            <w:r w:rsidRPr="00FA0D37">
              <w:rPr>
                <w:i/>
                <w:lang w:eastAsia="sv-SE"/>
              </w:rPr>
              <w:t>format4</w:t>
            </w:r>
            <w:r w:rsidRPr="00FA0D37">
              <w:rPr>
                <w:lang w:eastAsia="sv-SE"/>
              </w:rPr>
              <w:t xml:space="preserve"> are configured and</w:t>
            </w:r>
            <w:r w:rsidRPr="00FA0D37">
              <w:rPr>
                <w:i/>
                <w:lang w:eastAsia="sv-SE"/>
              </w:rPr>
              <w:t xml:space="preserve"> pi2BPSK</w:t>
            </w:r>
            <w:r w:rsidRPr="00FA0D37">
              <w:rPr>
                <w:lang w:eastAsia="sv-SE"/>
              </w:rPr>
              <w:t xml:space="preserve"> is configured in each of them. It is absent, Need R otherwise.</w:t>
            </w:r>
          </w:p>
        </w:tc>
      </w:tr>
    </w:tbl>
    <w:p w14:paraId="0090A4D5" w14:textId="77777777" w:rsidR="00394471" w:rsidRPr="00FA0D37" w:rsidRDefault="00394471" w:rsidP="00394471"/>
    <w:p w14:paraId="48102E5C" w14:textId="77777777" w:rsidR="00394471" w:rsidRPr="00FA0D37" w:rsidRDefault="00394471" w:rsidP="00394471">
      <w:pPr>
        <w:pStyle w:val="4"/>
      </w:pPr>
      <w:bookmarkStart w:id="1246" w:name="_Toc60777315"/>
      <w:bookmarkStart w:id="1247" w:name="_Toc146781394"/>
      <w:bookmarkEnd w:id="1245"/>
      <w:r w:rsidRPr="00FA0D37">
        <w:t>–</w:t>
      </w:r>
      <w:r w:rsidRPr="00FA0D37">
        <w:tab/>
      </w:r>
      <w:r w:rsidRPr="00FA0D37">
        <w:rPr>
          <w:i/>
        </w:rPr>
        <w:t>PUCCH-ConfigCommon</w:t>
      </w:r>
      <w:bookmarkEnd w:id="1246"/>
      <w:bookmarkEnd w:id="1247"/>
    </w:p>
    <w:p w14:paraId="2FCF54FE" w14:textId="77777777" w:rsidR="00394471" w:rsidRPr="00FA0D37" w:rsidRDefault="00394471" w:rsidP="00394471">
      <w:r w:rsidRPr="00FA0D37">
        <w:t xml:space="preserve">The IE </w:t>
      </w:r>
      <w:r w:rsidRPr="00FA0D37">
        <w:rPr>
          <w:i/>
        </w:rPr>
        <w:t xml:space="preserve">PUCCH-ConfigCommon </w:t>
      </w:r>
      <w:r w:rsidRPr="00FA0D37">
        <w:t>is used to configure the cell specific PUCCH parameters.</w:t>
      </w:r>
    </w:p>
    <w:p w14:paraId="3FFC63D9" w14:textId="77777777" w:rsidR="00394471" w:rsidRPr="00FA0D37" w:rsidRDefault="00394471" w:rsidP="00394471">
      <w:pPr>
        <w:pStyle w:val="TH"/>
      </w:pPr>
      <w:r w:rsidRPr="00FA0D37">
        <w:rPr>
          <w:bCs/>
          <w:i/>
          <w:iCs/>
        </w:rPr>
        <w:t xml:space="preserve">PUCCH-ConfigCommon </w:t>
      </w:r>
      <w:r w:rsidRPr="00FA0D37">
        <w:t>information element</w:t>
      </w:r>
    </w:p>
    <w:p w14:paraId="508F51ED" w14:textId="77777777" w:rsidR="00394471" w:rsidRPr="00FA0D37" w:rsidRDefault="00394471" w:rsidP="00FA0D37">
      <w:pPr>
        <w:pStyle w:val="PL"/>
        <w:rPr>
          <w:color w:val="808080"/>
        </w:rPr>
      </w:pPr>
      <w:r w:rsidRPr="00FA0D37">
        <w:rPr>
          <w:color w:val="808080"/>
        </w:rPr>
        <w:t>-- ASN1START</w:t>
      </w:r>
    </w:p>
    <w:p w14:paraId="2546BFA0" w14:textId="77777777" w:rsidR="00394471" w:rsidRPr="00FA0D37" w:rsidRDefault="00394471" w:rsidP="00FA0D37">
      <w:pPr>
        <w:pStyle w:val="PL"/>
        <w:rPr>
          <w:color w:val="808080"/>
        </w:rPr>
      </w:pPr>
      <w:r w:rsidRPr="00FA0D37">
        <w:rPr>
          <w:color w:val="808080"/>
        </w:rPr>
        <w:t>-- TAG-PUCCH-CONFIGCOMMON-START</w:t>
      </w:r>
    </w:p>
    <w:p w14:paraId="26321E64" w14:textId="77777777" w:rsidR="00394471" w:rsidRPr="00FA0D37" w:rsidRDefault="00394471" w:rsidP="00FA0D37">
      <w:pPr>
        <w:pStyle w:val="PL"/>
      </w:pPr>
    </w:p>
    <w:p w14:paraId="6BC49DD2" w14:textId="77777777" w:rsidR="00394471" w:rsidRPr="00FA0D37" w:rsidRDefault="00394471" w:rsidP="00FA0D37">
      <w:pPr>
        <w:pStyle w:val="PL"/>
      </w:pPr>
      <w:r w:rsidRPr="00FA0D37">
        <w:t xml:space="preserve">PUCCH-ConfigCommon ::=              </w:t>
      </w:r>
      <w:r w:rsidRPr="00FA0D37">
        <w:rPr>
          <w:color w:val="993366"/>
        </w:rPr>
        <w:t>SEQUENCE</w:t>
      </w:r>
      <w:r w:rsidRPr="00FA0D37">
        <w:t xml:space="preserve"> {</w:t>
      </w:r>
    </w:p>
    <w:p w14:paraId="70E763AB" w14:textId="77777777" w:rsidR="00394471" w:rsidRPr="00FA0D37" w:rsidRDefault="00394471" w:rsidP="00FA0D37">
      <w:pPr>
        <w:pStyle w:val="PL"/>
        <w:rPr>
          <w:color w:val="808080"/>
        </w:rPr>
      </w:pPr>
      <w:r w:rsidRPr="00FA0D37">
        <w:t xml:space="preserve">    pucch-ResourceCommon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Cond InitialBWP-Only</w:t>
      </w:r>
    </w:p>
    <w:p w14:paraId="77E783FD" w14:textId="77777777" w:rsidR="00394471" w:rsidRPr="00FA0D37" w:rsidRDefault="00394471" w:rsidP="00FA0D37">
      <w:pPr>
        <w:pStyle w:val="PL"/>
      </w:pPr>
      <w:r w:rsidRPr="00FA0D37">
        <w:t xml:space="preserve">    pucch-GroupHopping                  </w:t>
      </w:r>
      <w:r w:rsidRPr="00FA0D37">
        <w:rPr>
          <w:color w:val="993366"/>
        </w:rPr>
        <w:t>ENUMERATED</w:t>
      </w:r>
      <w:r w:rsidRPr="00FA0D37">
        <w:t xml:space="preserve"> { neither, enable, disable },</w:t>
      </w:r>
    </w:p>
    <w:p w14:paraId="07BF7E45" w14:textId="77777777" w:rsidR="00394471" w:rsidRPr="00FA0D37" w:rsidRDefault="00394471" w:rsidP="00FA0D37">
      <w:pPr>
        <w:pStyle w:val="PL"/>
        <w:rPr>
          <w:color w:val="808080"/>
        </w:rPr>
      </w:pPr>
      <w:r w:rsidRPr="00FA0D37">
        <w:t xml:space="preserve">    hoppingId                           </w:t>
      </w:r>
      <w:r w:rsidRPr="00FA0D37">
        <w:rPr>
          <w:color w:val="993366"/>
        </w:rPr>
        <w:t>INTEGER</w:t>
      </w:r>
      <w:r w:rsidRPr="00FA0D37">
        <w:t xml:space="preserve"> (0..1023)                                    </w:t>
      </w:r>
      <w:r w:rsidRPr="00FA0D37">
        <w:rPr>
          <w:color w:val="993366"/>
        </w:rPr>
        <w:t>OPTIONAL</w:t>
      </w:r>
      <w:r w:rsidRPr="00FA0D37">
        <w:t xml:space="preserve">,   </w:t>
      </w:r>
      <w:r w:rsidRPr="00FA0D37">
        <w:rPr>
          <w:color w:val="808080"/>
        </w:rPr>
        <w:t>-- Need R</w:t>
      </w:r>
    </w:p>
    <w:p w14:paraId="585BCC32" w14:textId="77777777" w:rsidR="00394471" w:rsidRPr="00FA0D37" w:rsidRDefault="00394471" w:rsidP="00FA0D37">
      <w:pPr>
        <w:pStyle w:val="PL"/>
        <w:rPr>
          <w:color w:val="808080"/>
        </w:rPr>
      </w:pPr>
      <w:r w:rsidRPr="00FA0D37">
        <w:t xml:space="preserve">    p0-nominal                          </w:t>
      </w:r>
      <w:r w:rsidRPr="00FA0D37">
        <w:rPr>
          <w:color w:val="993366"/>
        </w:rPr>
        <w:t>INTEGER</w:t>
      </w:r>
      <w:r w:rsidRPr="00FA0D37">
        <w:t xml:space="preserve"> (-202..24)                                   </w:t>
      </w:r>
      <w:r w:rsidRPr="00FA0D37">
        <w:rPr>
          <w:color w:val="993366"/>
        </w:rPr>
        <w:t>OPTIONAL</w:t>
      </w:r>
      <w:r w:rsidRPr="00FA0D37">
        <w:t xml:space="preserve">,   </w:t>
      </w:r>
      <w:r w:rsidRPr="00FA0D37">
        <w:rPr>
          <w:color w:val="808080"/>
        </w:rPr>
        <w:t>-- Need R</w:t>
      </w:r>
    </w:p>
    <w:p w14:paraId="12BC6FEA" w14:textId="4F8E9BAC" w:rsidR="00A55B26" w:rsidRPr="00FA0D37" w:rsidRDefault="00394471" w:rsidP="00FA0D37">
      <w:pPr>
        <w:pStyle w:val="PL"/>
      </w:pPr>
      <w:r w:rsidRPr="00FA0D37">
        <w:t xml:space="preserve">    ...</w:t>
      </w:r>
      <w:r w:rsidR="00A55B26" w:rsidRPr="00FA0D37">
        <w:t>,</w:t>
      </w:r>
    </w:p>
    <w:p w14:paraId="621E2F62" w14:textId="77777777" w:rsidR="00A55B26" w:rsidRPr="00FA0D37" w:rsidRDefault="00A55B26" w:rsidP="00FA0D37">
      <w:pPr>
        <w:pStyle w:val="PL"/>
      </w:pPr>
      <w:r w:rsidRPr="00FA0D37">
        <w:t xml:space="preserve">    [[</w:t>
      </w:r>
    </w:p>
    <w:p w14:paraId="3B0CB877" w14:textId="4631F3B4" w:rsidR="00A55B26" w:rsidRPr="00FA0D37" w:rsidRDefault="00A55B26" w:rsidP="00FA0D37">
      <w:pPr>
        <w:pStyle w:val="PL"/>
        <w:rPr>
          <w:color w:val="808080"/>
        </w:rPr>
      </w:pPr>
      <w:r w:rsidRPr="00FA0D37">
        <w:t xml:space="preserve">    nrofPRBs                            </w:t>
      </w:r>
      <w:r w:rsidRPr="00FA0D37">
        <w:rPr>
          <w:color w:val="993366"/>
        </w:rPr>
        <w:t>INTEGER</w:t>
      </w:r>
      <w:r w:rsidRPr="00FA0D37">
        <w:t xml:space="preserve"> (1..16)                                      </w:t>
      </w:r>
      <w:r w:rsidRPr="00FA0D37">
        <w:rPr>
          <w:color w:val="993366"/>
        </w:rPr>
        <w:t>OPTIONAL</w:t>
      </w:r>
      <w:r w:rsidR="00C85859" w:rsidRPr="00FA0D37">
        <w:t>,</w:t>
      </w:r>
      <w:r w:rsidRPr="00FA0D37">
        <w:t xml:space="preserve">   </w:t>
      </w:r>
      <w:r w:rsidRPr="00FA0D37">
        <w:rPr>
          <w:color w:val="808080"/>
        </w:rPr>
        <w:t>-- Need R</w:t>
      </w:r>
    </w:p>
    <w:p w14:paraId="2739F8FC" w14:textId="3289F90B" w:rsidR="00C85859" w:rsidRPr="00FA0D37" w:rsidRDefault="00C85859" w:rsidP="00FA0D37">
      <w:pPr>
        <w:pStyle w:val="PL"/>
        <w:rPr>
          <w:color w:val="808080"/>
        </w:rPr>
      </w:pPr>
      <w:r w:rsidRPr="00FA0D37">
        <w:t xml:space="preserve">    intra-SlotFH-r17                    </w:t>
      </w:r>
      <w:r w:rsidRPr="00FA0D37">
        <w:rPr>
          <w:color w:val="993366"/>
        </w:rPr>
        <w:t>ENUMERATED</w:t>
      </w:r>
      <w:r w:rsidRPr="00FA0D37">
        <w:t xml:space="preserve"> {</w:t>
      </w:r>
      <w:r w:rsidR="00125BED" w:rsidRPr="00FA0D37">
        <w:t>f</w:t>
      </w:r>
      <w:r w:rsidRPr="00FA0D37">
        <w:t xml:space="preserve">romLowerEdge, </w:t>
      </w:r>
      <w:r w:rsidR="00125BED" w:rsidRPr="00FA0D37">
        <w:t>f</w:t>
      </w:r>
      <w:r w:rsidRPr="00FA0D37">
        <w:t xml:space="preserve">romUpperEdge}            </w:t>
      </w:r>
      <w:r w:rsidRPr="00FA0D37">
        <w:rPr>
          <w:color w:val="993366"/>
        </w:rPr>
        <w:t>OPTIONAL</w:t>
      </w:r>
      <w:r w:rsidRPr="00FA0D37">
        <w:t xml:space="preserve">,   </w:t>
      </w:r>
      <w:r w:rsidRPr="00FA0D37">
        <w:rPr>
          <w:color w:val="808080"/>
        </w:rPr>
        <w:t xml:space="preserve">-- </w:t>
      </w:r>
      <w:r w:rsidR="00BF20EE" w:rsidRPr="00FA0D37">
        <w:rPr>
          <w:color w:val="808080"/>
        </w:rPr>
        <w:t>Cond InitialBWP-RedCapOnly</w:t>
      </w:r>
    </w:p>
    <w:p w14:paraId="7611A4F9" w14:textId="36EC85B8" w:rsidR="00C85859" w:rsidRPr="00FA0D37" w:rsidRDefault="00C85859" w:rsidP="00FA0D37">
      <w:pPr>
        <w:pStyle w:val="PL"/>
        <w:rPr>
          <w:color w:val="808080"/>
        </w:rPr>
      </w:pPr>
      <w:r w:rsidRPr="00FA0D37">
        <w:t xml:space="preserve">    pucch-ResourceCommonRedCap-r17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xml:space="preserve">-- </w:t>
      </w:r>
      <w:r w:rsidR="004A5E25" w:rsidRPr="00FA0D37">
        <w:rPr>
          <w:color w:val="808080"/>
        </w:rPr>
        <w:t>Cond InitialBWP-RedCap</w:t>
      </w:r>
    </w:p>
    <w:p w14:paraId="1DF2E4F6" w14:textId="66F9187C" w:rsidR="00C85859" w:rsidRPr="00FA0D37" w:rsidRDefault="00C85859" w:rsidP="00FA0D37">
      <w:pPr>
        <w:pStyle w:val="PL"/>
        <w:rPr>
          <w:color w:val="808080"/>
        </w:rPr>
      </w:pPr>
      <w:r w:rsidRPr="00FA0D37">
        <w:t xml:space="preserve">    </w:t>
      </w:r>
      <w:r w:rsidR="003F4345" w:rsidRPr="00FA0D37">
        <w:t>additionalPRBOffset</w:t>
      </w:r>
      <w:r w:rsidRPr="00FA0D37">
        <w:t xml:space="preserve">-r17     </w:t>
      </w:r>
      <w:r w:rsidR="003F4345" w:rsidRPr="00FA0D37">
        <w:t xml:space="preserve">            </w:t>
      </w:r>
      <w:r w:rsidRPr="00FA0D37">
        <w:rPr>
          <w:color w:val="993366"/>
        </w:rPr>
        <w:t>ENUMERATED</w:t>
      </w:r>
      <w:r w:rsidR="00125BED" w:rsidRPr="00FA0D37">
        <w:t xml:space="preserve"> </w:t>
      </w:r>
      <w:r w:rsidRPr="00FA0D37">
        <w:t>{</w:t>
      </w:r>
      <w:r w:rsidR="00125BED" w:rsidRPr="00FA0D37">
        <w:t>n</w:t>
      </w:r>
      <w:r w:rsidRPr="00FA0D37">
        <w:t>2,</w:t>
      </w:r>
      <w:r w:rsidR="00125BED" w:rsidRPr="00FA0D37">
        <w:t xml:space="preserve"> n</w:t>
      </w:r>
      <w:r w:rsidRPr="00FA0D37">
        <w:t>3,</w:t>
      </w:r>
      <w:r w:rsidR="00125BED" w:rsidRPr="00FA0D37">
        <w:t xml:space="preserve"> n</w:t>
      </w:r>
      <w:r w:rsidRPr="00FA0D37">
        <w:t>4,</w:t>
      </w:r>
      <w:r w:rsidR="00125BED" w:rsidRPr="00FA0D37">
        <w:t xml:space="preserve"> n</w:t>
      </w:r>
      <w:r w:rsidRPr="00FA0D37">
        <w:t>6,</w:t>
      </w:r>
      <w:r w:rsidR="00125BED" w:rsidRPr="00FA0D37">
        <w:t xml:space="preserve"> n</w:t>
      </w:r>
      <w:r w:rsidRPr="00FA0D37">
        <w:t>8,</w:t>
      </w:r>
      <w:r w:rsidR="00125BED" w:rsidRPr="00FA0D37">
        <w:t xml:space="preserve"> n</w:t>
      </w:r>
      <w:r w:rsidRPr="00FA0D37">
        <w:t>9,</w:t>
      </w:r>
      <w:r w:rsidR="00125BED" w:rsidRPr="00FA0D37">
        <w:t xml:space="preserve"> n</w:t>
      </w:r>
      <w:r w:rsidRPr="00FA0D37">
        <w:t>10,</w:t>
      </w:r>
      <w:r w:rsidR="00125BED" w:rsidRPr="00FA0D37">
        <w:t xml:space="preserve"> n</w:t>
      </w:r>
      <w:r w:rsidRPr="00FA0D37">
        <w:t xml:space="preserve">12}        </w:t>
      </w:r>
      <w:r w:rsidRPr="00FA0D37">
        <w:rPr>
          <w:color w:val="993366"/>
        </w:rPr>
        <w:t>OPTIONAL</w:t>
      </w:r>
      <w:r w:rsidRPr="00FA0D37">
        <w:t xml:space="preserve">    </w:t>
      </w:r>
      <w:r w:rsidRPr="00FA0D37">
        <w:rPr>
          <w:color w:val="808080"/>
        </w:rPr>
        <w:t xml:space="preserve">-- </w:t>
      </w:r>
      <w:r w:rsidR="00BF20EE" w:rsidRPr="00FA0D37">
        <w:rPr>
          <w:color w:val="808080"/>
        </w:rPr>
        <w:t>Cond InitialBWP-RedCapOnly</w:t>
      </w:r>
    </w:p>
    <w:p w14:paraId="54B57DAB" w14:textId="720D7C5A" w:rsidR="00394471" w:rsidRPr="00FA0D37" w:rsidRDefault="00A55B26" w:rsidP="00FA0D37">
      <w:pPr>
        <w:pStyle w:val="PL"/>
      </w:pPr>
      <w:r w:rsidRPr="00FA0D37">
        <w:t xml:space="preserve">    ]]</w:t>
      </w:r>
    </w:p>
    <w:p w14:paraId="51A2EB5A" w14:textId="77777777" w:rsidR="00394471" w:rsidRPr="00FA0D37" w:rsidRDefault="00394471" w:rsidP="00FA0D37">
      <w:pPr>
        <w:pStyle w:val="PL"/>
      </w:pPr>
      <w:r w:rsidRPr="00FA0D37">
        <w:t>}</w:t>
      </w:r>
    </w:p>
    <w:p w14:paraId="722BBA8D" w14:textId="77777777" w:rsidR="00394471" w:rsidRPr="00FA0D37" w:rsidRDefault="00394471" w:rsidP="00FA0D37">
      <w:pPr>
        <w:pStyle w:val="PL"/>
      </w:pPr>
    </w:p>
    <w:p w14:paraId="12A0B1C8" w14:textId="77777777" w:rsidR="00394471" w:rsidRPr="00FA0D37" w:rsidRDefault="00394471" w:rsidP="00FA0D37">
      <w:pPr>
        <w:pStyle w:val="PL"/>
        <w:rPr>
          <w:color w:val="808080"/>
        </w:rPr>
      </w:pPr>
      <w:r w:rsidRPr="00FA0D37">
        <w:rPr>
          <w:color w:val="808080"/>
        </w:rPr>
        <w:t>-- TAG-PUCCH-CONFIGCOMMON-STOP</w:t>
      </w:r>
    </w:p>
    <w:p w14:paraId="39D0F131" w14:textId="77777777" w:rsidR="00394471" w:rsidRPr="00FA0D37" w:rsidRDefault="00394471" w:rsidP="00FA0D37">
      <w:pPr>
        <w:pStyle w:val="PL"/>
        <w:rPr>
          <w:color w:val="808080"/>
        </w:rPr>
      </w:pPr>
      <w:r w:rsidRPr="00FA0D37">
        <w:rPr>
          <w:color w:val="808080"/>
        </w:rPr>
        <w:t>-- ASN1STOP</w:t>
      </w:r>
    </w:p>
    <w:p w14:paraId="1FC1ACB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FA0D37" w:rsidRDefault="00394471" w:rsidP="00964CC4">
            <w:pPr>
              <w:pStyle w:val="TAH"/>
              <w:rPr>
                <w:szCs w:val="22"/>
                <w:lang w:eastAsia="sv-SE"/>
              </w:rPr>
            </w:pPr>
            <w:r w:rsidRPr="00FA0D37">
              <w:rPr>
                <w:i/>
                <w:szCs w:val="22"/>
                <w:lang w:eastAsia="sv-SE"/>
              </w:rPr>
              <w:lastRenderedPageBreak/>
              <w:t xml:space="preserve">PUCCH-ConfigCommon </w:t>
            </w:r>
            <w:r w:rsidRPr="00FA0D37">
              <w:rPr>
                <w:szCs w:val="22"/>
                <w:lang w:eastAsia="sv-SE"/>
              </w:rPr>
              <w:t>field descriptions</w:t>
            </w:r>
          </w:p>
        </w:tc>
      </w:tr>
      <w:tr w:rsidR="005C7FF4" w:rsidRPr="00FA0D37"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FA0D37" w:rsidRDefault="003F4345" w:rsidP="003F4345">
            <w:pPr>
              <w:pStyle w:val="TAL"/>
              <w:rPr>
                <w:b/>
                <w:bCs/>
                <w:i/>
                <w:iCs/>
                <w:szCs w:val="22"/>
                <w:lang w:eastAsia="sv-SE"/>
              </w:rPr>
            </w:pPr>
            <w:r w:rsidRPr="00FA0D37">
              <w:rPr>
                <w:b/>
                <w:bCs/>
                <w:i/>
                <w:iCs/>
                <w:szCs w:val="22"/>
                <w:lang w:eastAsia="sv-SE"/>
              </w:rPr>
              <w:t>additionalPRBOffset</w:t>
            </w:r>
          </w:p>
          <w:p w14:paraId="79778B86" w14:textId="22E0541D" w:rsidR="003F4345" w:rsidRPr="00FA0D37" w:rsidRDefault="003F4345" w:rsidP="00F747EB">
            <w:pPr>
              <w:pStyle w:val="TAL"/>
              <w:rPr>
                <w:lang w:eastAsia="sv-SE"/>
              </w:rPr>
            </w:pPr>
            <w:r w:rsidRPr="00FA0D37">
              <w:rPr>
                <w:szCs w:val="22"/>
                <w:lang w:eastAsia="sv-SE"/>
              </w:rPr>
              <w:t>When intra-slot PUCCH frequency hopping within RedCap-specific initial UL BWP is disabled, each common PUCCH resource is mapped to a single PRB</w:t>
            </w:r>
            <w:r w:rsidRPr="00FA0D37">
              <w:t xml:space="preserve"> </w:t>
            </w:r>
            <w:r w:rsidRPr="00FA0D37">
              <w:rPr>
                <w:szCs w:val="22"/>
                <w:lang w:eastAsia="sv-SE"/>
              </w:rPr>
              <w:t>on one side of the UL BWP. This parameter determines an additional PRB offset in the PRB mapping for the PUCCH resource. If the field is not configured, the UE shall assume an additional PRB offset of zero.</w:t>
            </w:r>
          </w:p>
        </w:tc>
      </w:tr>
      <w:tr w:rsidR="005C7FF4" w:rsidRPr="00FA0D37"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FA0D37" w:rsidRDefault="00394471" w:rsidP="00964CC4">
            <w:pPr>
              <w:pStyle w:val="TAL"/>
              <w:rPr>
                <w:szCs w:val="22"/>
                <w:lang w:eastAsia="sv-SE"/>
              </w:rPr>
            </w:pPr>
            <w:r w:rsidRPr="00FA0D37">
              <w:rPr>
                <w:b/>
                <w:i/>
                <w:szCs w:val="22"/>
                <w:lang w:eastAsia="sv-SE"/>
              </w:rPr>
              <w:t>hoppingId</w:t>
            </w:r>
          </w:p>
          <w:p w14:paraId="578BDD66" w14:textId="77777777" w:rsidR="00394471" w:rsidRPr="00FA0D37" w:rsidRDefault="00394471" w:rsidP="00964CC4">
            <w:pPr>
              <w:pStyle w:val="TAL"/>
              <w:rPr>
                <w:szCs w:val="22"/>
                <w:lang w:eastAsia="sv-SE"/>
              </w:rPr>
            </w:pPr>
            <w:r w:rsidRPr="00FA0D37">
              <w:rPr>
                <w:szCs w:val="22"/>
                <w:lang w:eastAsia="sv-SE"/>
              </w:rPr>
              <w:t>Cell-specific scrambling ID for group hopping and sequence hopping if enabled, see TS 38.211 [16], clause 6.3.2.2.</w:t>
            </w:r>
          </w:p>
        </w:tc>
      </w:tr>
      <w:tr w:rsidR="005C7FF4" w:rsidRPr="00FA0D37"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FA0D37" w:rsidRDefault="00C85859" w:rsidP="00771058">
            <w:pPr>
              <w:pStyle w:val="TAL"/>
              <w:rPr>
                <w:b/>
                <w:i/>
                <w:szCs w:val="22"/>
                <w:lang w:eastAsia="sv-SE"/>
              </w:rPr>
            </w:pPr>
            <w:r w:rsidRPr="00FA0D37">
              <w:rPr>
                <w:b/>
                <w:i/>
                <w:szCs w:val="22"/>
                <w:lang w:eastAsia="sv-SE"/>
              </w:rPr>
              <w:t>intra-SlotFH-r17</w:t>
            </w:r>
          </w:p>
          <w:p w14:paraId="0BE8F564" w14:textId="34E03291" w:rsidR="00C85859" w:rsidRPr="00FA0D37" w:rsidRDefault="00C85859" w:rsidP="00771058">
            <w:pPr>
              <w:pStyle w:val="TAL"/>
              <w:rPr>
                <w:bCs/>
                <w:iCs/>
                <w:szCs w:val="22"/>
                <w:lang w:eastAsia="sv-SE"/>
              </w:rPr>
            </w:pPr>
            <w:r w:rsidRPr="00FA0D37">
              <w:rPr>
                <w:bCs/>
                <w:iCs/>
                <w:szCs w:val="22"/>
                <w:lang w:eastAsia="sv-SE"/>
              </w:rPr>
              <w:t>In case a separate initial UL BWP is configured for RedCap UEs, the presence of this parameter indicates whether intra-slot PUCCH frequency hopping within the separate initial UL BWP in the common PUCCH resource is enabled for 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5C7FF4" w:rsidRPr="00FA0D37"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FA0D37" w:rsidRDefault="00A55B26" w:rsidP="000830BB">
            <w:pPr>
              <w:pStyle w:val="TAL"/>
              <w:rPr>
                <w:b/>
                <w:bCs/>
                <w:i/>
                <w:iCs/>
                <w:lang w:eastAsia="sv-SE"/>
              </w:rPr>
            </w:pPr>
            <w:r w:rsidRPr="00FA0D37">
              <w:rPr>
                <w:b/>
                <w:bCs/>
                <w:i/>
                <w:iCs/>
                <w:lang w:eastAsia="sv-SE"/>
              </w:rPr>
              <w:t>nrofPRBs</w:t>
            </w:r>
          </w:p>
          <w:p w14:paraId="75DA590F" w14:textId="77777777" w:rsidR="00A55B26" w:rsidRPr="00FA0D37" w:rsidRDefault="00A55B26" w:rsidP="000830BB">
            <w:pPr>
              <w:pStyle w:val="TAL"/>
              <w:rPr>
                <w:lang w:eastAsia="sv-SE"/>
              </w:rPr>
            </w:pPr>
            <w:r w:rsidRPr="00FA0D37">
              <w:rPr>
                <w:lang w:eastAsia="sv-SE"/>
              </w:rPr>
              <w:t>Indicates the number of PRBs used per PUCCH resource for PUCCH format 0 and format 1 in FR2-2, see TS 38.213 [13], clause 9.2.1.</w:t>
            </w:r>
          </w:p>
        </w:tc>
      </w:tr>
      <w:tr w:rsidR="005C7FF4" w:rsidRPr="00FA0D37"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FA0D37" w:rsidRDefault="00394471" w:rsidP="00964CC4">
            <w:pPr>
              <w:pStyle w:val="TAL"/>
              <w:rPr>
                <w:szCs w:val="22"/>
                <w:lang w:eastAsia="sv-SE"/>
              </w:rPr>
            </w:pPr>
            <w:r w:rsidRPr="00FA0D37">
              <w:rPr>
                <w:b/>
                <w:i/>
                <w:szCs w:val="22"/>
                <w:lang w:eastAsia="sv-SE"/>
              </w:rPr>
              <w:t>p0-nominal</w:t>
            </w:r>
          </w:p>
          <w:p w14:paraId="4106FC3D" w14:textId="77777777" w:rsidR="00394471" w:rsidRPr="00FA0D37" w:rsidRDefault="00394471" w:rsidP="00964CC4">
            <w:pPr>
              <w:pStyle w:val="TAL"/>
              <w:rPr>
                <w:szCs w:val="22"/>
                <w:lang w:eastAsia="sv-SE"/>
              </w:rPr>
            </w:pPr>
            <w:r w:rsidRPr="00FA0D37">
              <w:rPr>
                <w:szCs w:val="22"/>
                <w:lang w:eastAsia="sv-SE"/>
              </w:rPr>
              <w:t>Power control parameter P0 for PUCCH transmissions. Value in dBm. Only even values (step size 2) allowed (see TS 38.213 [13], clause 7.2).</w:t>
            </w:r>
          </w:p>
        </w:tc>
      </w:tr>
      <w:tr w:rsidR="005C7FF4" w:rsidRPr="00FA0D37"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FA0D37" w:rsidRDefault="00394471" w:rsidP="00964CC4">
            <w:pPr>
              <w:pStyle w:val="TAL"/>
              <w:rPr>
                <w:szCs w:val="22"/>
                <w:lang w:eastAsia="sv-SE"/>
              </w:rPr>
            </w:pPr>
            <w:r w:rsidRPr="00FA0D37">
              <w:rPr>
                <w:b/>
                <w:i/>
                <w:szCs w:val="22"/>
                <w:lang w:eastAsia="sv-SE"/>
              </w:rPr>
              <w:t>pucch-GroupHopping</w:t>
            </w:r>
          </w:p>
          <w:p w14:paraId="1F800FA3" w14:textId="77777777" w:rsidR="00394471" w:rsidRPr="00FA0D37" w:rsidRDefault="00394471" w:rsidP="00964CC4">
            <w:pPr>
              <w:pStyle w:val="TAL"/>
              <w:rPr>
                <w:szCs w:val="22"/>
                <w:lang w:eastAsia="sv-SE"/>
              </w:rPr>
            </w:pPr>
            <w:r w:rsidRPr="00FA0D37">
              <w:rPr>
                <w:szCs w:val="22"/>
                <w:lang w:eastAsia="sv-SE"/>
              </w:rPr>
              <w:t xml:space="preserve">Configuration of group- and sequence hopping for all the PUCCH formats 0, 1, 3 and 4. Value </w:t>
            </w:r>
            <w:r w:rsidRPr="00FA0D37">
              <w:rPr>
                <w:i/>
                <w:szCs w:val="22"/>
                <w:lang w:eastAsia="sv-SE"/>
              </w:rPr>
              <w:t>neither</w:t>
            </w:r>
            <w:r w:rsidRPr="00FA0D37">
              <w:rPr>
                <w:szCs w:val="22"/>
                <w:lang w:eastAsia="sv-SE"/>
              </w:rPr>
              <w:t xml:space="preserve"> implies neither group or sequence hopping is enabled. Value </w:t>
            </w:r>
            <w:r w:rsidRPr="00FA0D37">
              <w:rPr>
                <w:i/>
                <w:szCs w:val="22"/>
                <w:lang w:eastAsia="sv-SE"/>
              </w:rPr>
              <w:t>enable</w:t>
            </w:r>
            <w:r w:rsidRPr="00FA0D37">
              <w:rPr>
                <w:szCs w:val="22"/>
                <w:lang w:eastAsia="sv-SE"/>
              </w:rPr>
              <w:t xml:space="preserve"> enables group hopping and disables sequence hopping. Value </w:t>
            </w:r>
            <w:r w:rsidRPr="00FA0D37">
              <w:rPr>
                <w:i/>
                <w:szCs w:val="22"/>
                <w:lang w:eastAsia="sv-SE"/>
              </w:rPr>
              <w:t>disable</w:t>
            </w:r>
            <w:r w:rsidRPr="00FA0D37">
              <w:rPr>
                <w:szCs w:val="22"/>
                <w:lang w:eastAsia="sv-SE"/>
              </w:rPr>
              <w:t xml:space="preserve"> disables group hopping and enables sequence hopping (see TS 38.211 [16], clause 6.3.2.2).</w:t>
            </w:r>
          </w:p>
        </w:tc>
      </w:tr>
      <w:tr w:rsidR="005C7FF4" w:rsidRPr="00FA0D37"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FA0D37" w:rsidRDefault="00394471" w:rsidP="00964CC4">
            <w:pPr>
              <w:pStyle w:val="TAL"/>
              <w:rPr>
                <w:szCs w:val="22"/>
                <w:lang w:eastAsia="sv-SE"/>
              </w:rPr>
            </w:pPr>
            <w:r w:rsidRPr="00FA0D37">
              <w:rPr>
                <w:b/>
                <w:i/>
                <w:szCs w:val="22"/>
                <w:lang w:eastAsia="sv-SE"/>
              </w:rPr>
              <w:t>pucch-ResourceCommon</w:t>
            </w:r>
          </w:p>
          <w:p w14:paraId="5C4E426A" w14:textId="77777777" w:rsidR="00394471" w:rsidRPr="00FA0D37" w:rsidRDefault="00394471" w:rsidP="00964CC4">
            <w:pPr>
              <w:pStyle w:val="TAL"/>
              <w:rPr>
                <w:szCs w:val="22"/>
                <w:lang w:eastAsia="sv-SE"/>
              </w:rPr>
            </w:pPr>
            <w:r w:rsidRPr="00FA0D37">
              <w:rPr>
                <w:szCs w:val="22"/>
                <w:lang w:eastAsia="sv-SE"/>
              </w:rPr>
              <w:t xml:space="preserve">An entry into a 16-row table where each row configures a set of cell-specific PUCCH resources/parameters. The UE uses those PUCCH resources until it is provided with a dedicated </w:t>
            </w:r>
            <w:r w:rsidRPr="00FA0D37">
              <w:rPr>
                <w:i/>
                <w:szCs w:val="22"/>
                <w:lang w:eastAsia="sv-SE"/>
              </w:rPr>
              <w:t>PUCCH-Config</w:t>
            </w:r>
            <w:r w:rsidRPr="00FA0D37">
              <w:rPr>
                <w:szCs w:val="22"/>
                <w:lang w:eastAsia="sv-SE"/>
              </w:rPr>
              <w:t xml:space="preserve"> (e.g. during initial access) on the initial uplink BWP. Once the network provides a dedicated </w:t>
            </w:r>
            <w:r w:rsidRPr="00FA0D37">
              <w:rPr>
                <w:i/>
                <w:szCs w:val="22"/>
                <w:lang w:eastAsia="sv-SE"/>
              </w:rPr>
              <w:t>PUCCH-Config</w:t>
            </w:r>
            <w:r w:rsidRPr="00FA0D37">
              <w:rPr>
                <w:szCs w:val="22"/>
                <w:lang w:eastAsia="sv-SE"/>
              </w:rPr>
              <w:t xml:space="preserve"> for that bandwidth part the UE applies that one instead of the one provided in this field (see TS 38.213 [13], clause 9.2).</w:t>
            </w:r>
          </w:p>
        </w:tc>
      </w:tr>
      <w:tr w:rsidR="00F747EB" w:rsidRPr="00FA0D37"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FA0D37" w:rsidRDefault="00C85859" w:rsidP="00C85859">
            <w:pPr>
              <w:pStyle w:val="TAL"/>
              <w:rPr>
                <w:b/>
                <w:i/>
                <w:szCs w:val="22"/>
                <w:lang w:eastAsia="sv-SE"/>
              </w:rPr>
            </w:pPr>
            <w:r w:rsidRPr="00FA0D37">
              <w:rPr>
                <w:b/>
                <w:i/>
                <w:szCs w:val="22"/>
                <w:lang w:eastAsia="sv-SE"/>
              </w:rPr>
              <w:t>pucch-ResourceCommonRedCap</w:t>
            </w:r>
          </w:p>
          <w:p w14:paraId="18BF68C1" w14:textId="6020ED43" w:rsidR="00C85859" w:rsidRPr="00FA0D37" w:rsidRDefault="00C85859" w:rsidP="00C85859">
            <w:pPr>
              <w:pStyle w:val="TAL"/>
              <w:rPr>
                <w:b/>
                <w:i/>
                <w:szCs w:val="22"/>
                <w:lang w:eastAsia="sv-SE"/>
              </w:rPr>
            </w:pPr>
            <w:r w:rsidRPr="00FA0D37">
              <w:rPr>
                <w:szCs w:val="22"/>
                <w:lang w:eastAsia="sv-SE"/>
              </w:rPr>
              <w:t xml:space="preserve">An entry into a 16-row table where each row configures a set of cell-specific PUCCH resources/parameters for RedCap UEs. The UE uses those PUCCH resources until it is provided with a dedicated </w:t>
            </w:r>
            <w:r w:rsidRPr="00FA0D37">
              <w:rPr>
                <w:i/>
                <w:szCs w:val="22"/>
                <w:lang w:eastAsia="sv-SE"/>
              </w:rPr>
              <w:t>PUCCH-Config</w:t>
            </w:r>
            <w:r w:rsidRPr="00FA0D37">
              <w:rPr>
                <w:szCs w:val="22"/>
                <w:lang w:eastAsia="sv-SE"/>
              </w:rPr>
              <w:t xml:space="preserve"> (e.g. during initial access) on the initial uplink BWP. Once the network provides a dedicated </w:t>
            </w:r>
            <w:r w:rsidRPr="00FA0D37">
              <w:rPr>
                <w:i/>
                <w:szCs w:val="22"/>
                <w:lang w:eastAsia="sv-SE"/>
              </w:rPr>
              <w:t>PUCCH-Config</w:t>
            </w:r>
            <w:r w:rsidRPr="00FA0D37">
              <w:rPr>
                <w:szCs w:val="22"/>
                <w:lang w:eastAsia="sv-SE"/>
              </w:rPr>
              <w:t xml:space="preserve"> for that bandwidth part the UE applies that one instead of the one provided in this field (see TS 38.213 [13], clause 9.2).</w:t>
            </w:r>
          </w:p>
        </w:tc>
      </w:tr>
    </w:tbl>
    <w:p w14:paraId="3A24DD65" w14:textId="77777777" w:rsidR="00394471" w:rsidRPr="00FA0D3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5C7FF4" w:rsidRPr="00FA0D37"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FA0D37" w:rsidRDefault="00394471" w:rsidP="00964CC4">
            <w:pPr>
              <w:pStyle w:val="TAH"/>
              <w:rPr>
                <w:szCs w:val="22"/>
                <w:lang w:eastAsia="sv-SE"/>
              </w:rPr>
            </w:pPr>
            <w:r w:rsidRPr="00FA0D3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FA0D37" w:rsidRDefault="00394471" w:rsidP="00964CC4">
            <w:pPr>
              <w:pStyle w:val="TAH"/>
              <w:rPr>
                <w:szCs w:val="22"/>
                <w:lang w:eastAsia="sv-SE"/>
              </w:rPr>
            </w:pPr>
            <w:r w:rsidRPr="00FA0D37">
              <w:rPr>
                <w:szCs w:val="22"/>
                <w:lang w:eastAsia="sv-SE"/>
              </w:rPr>
              <w:t>Explanation</w:t>
            </w:r>
          </w:p>
        </w:tc>
      </w:tr>
      <w:tr w:rsidR="005C7FF4" w:rsidRPr="00FA0D37"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FA0D37" w:rsidRDefault="00394471" w:rsidP="00964CC4">
            <w:pPr>
              <w:pStyle w:val="TAL"/>
              <w:rPr>
                <w:i/>
                <w:szCs w:val="22"/>
                <w:lang w:eastAsia="sv-SE"/>
              </w:rPr>
            </w:pPr>
            <w:r w:rsidRPr="00FA0D37">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08802E8C" w:rsidR="00394471" w:rsidRPr="00FA0D37" w:rsidRDefault="00394471" w:rsidP="00964CC4">
            <w:pPr>
              <w:pStyle w:val="TAL"/>
              <w:rPr>
                <w:szCs w:val="22"/>
                <w:lang w:eastAsia="sv-SE"/>
              </w:rPr>
            </w:pPr>
            <w:r w:rsidRPr="00FA0D37">
              <w:rPr>
                <w:szCs w:val="22"/>
                <w:lang w:eastAsia="sv-SE"/>
              </w:rPr>
              <w:t xml:space="preserve">The field is mandatory present in the </w:t>
            </w:r>
            <w:r w:rsidRPr="00FA0D37">
              <w:rPr>
                <w:i/>
                <w:szCs w:val="22"/>
                <w:lang w:eastAsia="sv-SE"/>
              </w:rPr>
              <w:t>PUCCH-ConfigCommon</w:t>
            </w:r>
            <w:r w:rsidRPr="00FA0D37">
              <w:rPr>
                <w:szCs w:val="22"/>
                <w:lang w:eastAsia="sv-SE"/>
              </w:rPr>
              <w:t xml:space="preserve"> of the initial BWP (BWP#0) in SIB1. It is absent in other BWPs</w:t>
            </w:r>
            <w:r w:rsidR="004A5E25" w:rsidRPr="00FA0D37">
              <w:rPr>
                <w:szCs w:val="22"/>
                <w:lang w:eastAsia="sv-SE"/>
              </w:rPr>
              <w:t xml:space="preserve"> including the RedCap-specific initial uplink BWP, if configured</w:t>
            </w:r>
            <w:r w:rsidRPr="00FA0D37">
              <w:rPr>
                <w:szCs w:val="22"/>
                <w:lang w:eastAsia="sv-SE"/>
              </w:rPr>
              <w:t>.</w:t>
            </w:r>
          </w:p>
        </w:tc>
      </w:tr>
      <w:tr w:rsidR="005C7FF4" w:rsidRPr="00FA0D37"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FA0D37" w:rsidRDefault="00C341EB" w:rsidP="0071565C">
            <w:pPr>
              <w:pStyle w:val="TAL"/>
              <w:rPr>
                <w:i/>
                <w:szCs w:val="22"/>
                <w:lang w:eastAsia="sv-SE"/>
              </w:rPr>
            </w:pPr>
            <w:r w:rsidRPr="00FA0D37">
              <w:rPr>
                <w:i/>
                <w:szCs w:val="22"/>
                <w:lang w:eastAsia="sv-SE"/>
              </w:rPr>
              <w:t>I</w:t>
            </w:r>
            <w:r w:rsidR="004A5E25" w:rsidRPr="00FA0D37">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704F2A19" w:rsidR="004A5E25" w:rsidRPr="00FA0D37" w:rsidRDefault="004A5E25" w:rsidP="0071565C">
            <w:pPr>
              <w:pStyle w:val="TAL"/>
              <w:rPr>
                <w:szCs w:val="22"/>
                <w:lang w:eastAsia="sv-SE"/>
              </w:rPr>
            </w:pPr>
            <w:r w:rsidRPr="00FA0D37">
              <w:rPr>
                <w:szCs w:val="22"/>
                <w:lang w:eastAsia="sv-SE"/>
              </w:rPr>
              <w:t xml:space="preserve">The field is mandatory present in the </w:t>
            </w:r>
            <w:r w:rsidRPr="00FA0D37">
              <w:rPr>
                <w:i/>
                <w:iCs/>
                <w:szCs w:val="22"/>
                <w:lang w:eastAsia="sv-SE"/>
              </w:rPr>
              <w:t>PUCCH-ConfigCommon</w:t>
            </w:r>
            <w:r w:rsidRPr="00FA0D37">
              <w:rPr>
                <w:szCs w:val="22"/>
                <w:lang w:eastAsia="sv-SE"/>
              </w:rPr>
              <w:t xml:space="preserve"> of the RedCap-specific initial BWP. It is optional present, Need R, in the </w:t>
            </w:r>
            <w:r w:rsidRPr="00FA0D37">
              <w:rPr>
                <w:i/>
                <w:iCs/>
                <w:szCs w:val="22"/>
                <w:lang w:eastAsia="sv-SE"/>
              </w:rPr>
              <w:t>PUCCH-ConfigCommon</w:t>
            </w:r>
            <w:r w:rsidRPr="00FA0D37">
              <w:rPr>
                <w:szCs w:val="22"/>
                <w:lang w:eastAsia="sv-SE"/>
              </w:rPr>
              <w:t xml:space="preserve"> of the initial BWP configured by </w:t>
            </w:r>
            <w:r w:rsidRPr="00FA0D37">
              <w:rPr>
                <w:i/>
                <w:iCs/>
                <w:szCs w:val="22"/>
                <w:lang w:eastAsia="sv-SE"/>
              </w:rPr>
              <w:t>initialUplinkBWP</w:t>
            </w:r>
            <w:r w:rsidRPr="00FA0D37">
              <w:rPr>
                <w:szCs w:val="22"/>
                <w:lang w:eastAsia="sv-SE"/>
              </w:rPr>
              <w:t>.</w:t>
            </w:r>
            <w:r w:rsidR="00E358C0" w:rsidRPr="00FA0D37">
              <w:rPr>
                <w:szCs w:val="22"/>
                <w:lang w:eastAsia="sv-SE"/>
              </w:rPr>
              <w:t xml:space="preserve"> It is absent in other BWPs.</w:t>
            </w:r>
          </w:p>
        </w:tc>
      </w:tr>
      <w:tr w:rsidR="005C7FF4" w:rsidRPr="00FA0D37"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FA0D37" w:rsidRDefault="00BF20EE" w:rsidP="00BF20EE">
            <w:pPr>
              <w:pStyle w:val="TAL"/>
              <w:rPr>
                <w:i/>
                <w:szCs w:val="22"/>
                <w:lang w:eastAsia="sv-SE"/>
              </w:rPr>
            </w:pPr>
            <w:r w:rsidRPr="00FA0D37">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77777777" w:rsidR="00BF20EE" w:rsidRPr="00FA0D37" w:rsidRDefault="00BF20EE" w:rsidP="00BF20EE">
            <w:pPr>
              <w:pStyle w:val="TAL"/>
              <w:rPr>
                <w:szCs w:val="22"/>
                <w:lang w:eastAsia="sv-SE"/>
              </w:rPr>
            </w:pPr>
            <w:r w:rsidRPr="00FA0D37">
              <w:rPr>
                <w:szCs w:val="22"/>
                <w:lang w:eastAsia="sv-SE"/>
              </w:rPr>
              <w:t>The field is optional present, Need S, in the PUCCH-ConfigCommon of the RedCap-specific initial BWP. It is absent in other BWPs.</w:t>
            </w:r>
          </w:p>
        </w:tc>
      </w:tr>
    </w:tbl>
    <w:p w14:paraId="3D5166EA" w14:textId="77777777" w:rsidR="00394471" w:rsidRPr="00FA0D37" w:rsidRDefault="00394471" w:rsidP="00394471"/>
    <w:p w14:paraId="76E6037C" w14:textId="77777777" w:rsidR="00394471" w:rsidRPr="00FA0D37" w:rsidRDefault="00394471" w:rsidP="00394471">
      <w:pPr>
        <w:pStyle w:val="4"/>
      </w:pPr>
      <w:bookmarkStart w:id="1248" w:name="_Toc60777316"/>
      <w:bookmarkStart w:id="1249" w:name="_Toc146781395"/>
      <w:r w:rsidRPr="00FA0D37">
        <w:t>–</w:t>
      </w:r>
      <w:r w:rsidRPr="00FA0D37">
        <w:tab/>
      </w:r>
      <w:r w:rsidRPr="00FA0D37">
        <w:rPr>
          <w:i/>
          <w:iCs/>
          <w:lang w:eastAsia="x-none"/>
        </w:rPr>
        <w:t>PUCCH-ConfigurationList</w:t>
      </w:r>
      <w:bookmarkEnd w:id="1248"/>
      <w:bookmarkEnd w:id="1249"/>
    </w:p>
    <w:p w14:paraId="71209C23" w14:textId="77777777" w:rsidR="00394471" w:rsidRPr="00FA0D37" w:rsidRDefault="00394471" w:rsidP="00394471">
      <w:r w:rsidRPr="00FA0D37">
        <w:t xml:space="preserve">The IE </w:t>
      </w:r>
      <w:r w:rsidRPr="00FA0D37">
        <w:rPr>
          <w:i/>
        </w:rPr>
        <w:t>PUCCH-ConfigurationList</w:t>
      </w:r>
      <w:r w:rsidRPr="00FA0D37">
        <w:t xml:space="preserve"> is used to configure UE specific PUCCH parameters (per BWP) for two simultaneously constructed HARQ-ACK codebooks. See TS 38.213 [13], clause 9.1.</w:t>
      </w:r>
    </w:p>
    <w:p w14:paraId="0B12E0BB" w14:textId="77777777" w:rsidR="00394471" w:rsidRPr="00FA0D37" w:rsidRDefault="00394471" w:rsidP="00394471">
      <w:pPr>
        <w:pStyle w:val="TH"/>
        <w:rPr>
          <w:b w:val="0"/>
        </w:rPr>
      </w:pPr>
      <w:r w:rsidRPr="00FA0D37">
        <w:lastRenderedPageBreak/>
        <w:t>PUCCH-ConfigurationList information element</w:t>
      </w:r>
    </w:p>
    <w:p w14:paraId="6E441CB4" w14:textId="77777777" w:rsidR="00394471" w:rsidRPr="00FA0D37" w:rsidRDefault="00394471" w:rsidP="00FA0D37">
      <w:pPr>
        <w:pStyle w:val="PL"/>
        <w:rPr>
          <w:color w:val="808080"/>
        </w:rPr>
      </w:pPr>
      <w:r w:rsidRPr="00FA0D37">
        <w:rPr>
          <w:color w:val="808080"/>
        </w:rPr>
        <w:t>-- ASN1START</w:t>
      </w:r>
    </w:p>
    <w:p w14:paraId="460E1D20" w14:textId="77777777" w:rsidR="00394471" w:rsidRPr="00FA0D37" w:rsidRDefault="00394471" w:rsidP="00FA0D37">
      <w:pPr>
        <w:pStyle w:val="PL"/>
        <w:rPr>
          <w:color w:val="808080"/>
        </w:rPr>
      </w:pPr>
      <w:r w:rsidRPr="00FA0D37">
        <w:rPr>
          <w:color w:val="808080"/>
        </w:rPr>
        <w:t>-- TAG-PUCCH-CONFIGURATIONLIST-START</w:t>
      </w:r>
    </w:p>
    <w:p w14:paraId="268038A8" w14:textId="77777777" w:rsidR="00394471" w:rsidRPr="00FA0D37" w:rsidRDefault="00394471" w:rsidP="00FA0D37">
      <w:pPr>
        <w:pStyle w:val="PL"/>
      </w:pPr>
    </w:p>
    <w:p w14:paraId="200A4B51" w14:textId="77777777" w:rsidR="00394471" w:rsidRPr="00FA0D37" w:rsidRDefault="00394471" w:rsidP="00FA0D37">
      <w:pPr>
        <w:pStyle w:val="PL"/>
      </w:pPr>
      <w:r w:rsidRPr="00FA0D37">
        <w:t xml:space="preserve">PUCCH-ConfigurationList-r16  ::=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PUCCH-Config</w:t>
      </w:r>
    </w:p>
    <w:p w14:paraId="45F82470" w14:textId="77777777" w:rsidR="00394471" w:rsidRPr="00FA0D37" w:rsidRDefault="00394471" w:rsidP="00FA0D37">
      <w:pPr>
        <w:pStyle w:val="PL"/>
      </w:pPr>
    </w:p>
    <w:p w14:paraId="5B9AB780" w14:textId="77777777" w:rsidR="00394471" w:rsidRPr="00FA0D37" w:rsidRDefault="00394471" w:rsidP="00FA0D37">
      <w:pPr>
        <w:pStyle w:val="PL"/>
        <w:rPr>
          <w:color w:val="808080"/>
        </w:rPr>
      </w:pPr>
      <w:r w:rsidRPr="00FA0D37">
        <w:rPr>
          <w:color w:val="808080"/>
        </w:rPr>
        <w:t>-- TAG-PUCCH-CONFIGURATIONLIST-STOP</w:t>
      </w:r>
    </w:p>
    <w:p w14:paraId="597E8908" w14:textId="77777777" w:rsidR="00394471" w:rsidRPr="00FA0D37" w:rsidRDefault="00394471" w:rsidP="00FA0D37">
      <w:pPr>
        <w:pStyle w:val="PL"/>
        <w:rPr>
          <w:color w:val="808080"/>
        </w:rPr>
      </w:pPr>
      <w:r w:rsidRPr="00FA0D37">
        <w:rPr>
          <w:color w:val="808080"/>
        </w:rPr>
        <w:t>-- ASN1STOP</w:t>
      </w:r>
    </w:p>
    <w:p w14:paraId="665BE872" w14:textId="77777777" w:rsidR="00394471" w:rsidRPr="00FA0D37" w:rsidRDefault="00394471" w:rsidP="00394471"/>
    <w:p w14:paraId="6EF156DF" w14:textId="77777777" w:rsidR="00394471" w:rsidRPr="00FA0D37" w:rsidRDefault="00394471" w:rsidP="00394471">
      <w:pPr>
        <w:pStyle w:val="4"/>
      </w:pPr>
      <w:bookmarkStart w:id="1250" w:name="_Toc60777317"/>
      <w:bookmarkStart w:id="1251" w:name="_Toc146781396"/>
      <w:r w:rsidRPr="00FA0D37">
        <w:t>–</w:t>
      </w:r>
      <w:r w:rsidRPr="00FA0D37">
        <w:tab/>
      </w:r>
      <w:r w:rsidRPr="00FA0D37">
        <w:rPr>
          <w:i/>
        </w:rPr>
        <w:t>PUCCH-PathlossReferenceRS-Id</w:t>
      </w:r>
      <w:bookmarkEnd w:id="1250"/>
      <w:bookmarkEnd w:id="1251"/>
    </w:p>
    <w:p w14:paraId="3B9E93B6" w14:textId="77777777" w:rsidR="00394471" w:rsidRPr="00FA0D37" w:rsidRDefault="00394471" w:rsidP="00394471">
      <w:r w:rsidRPr="00FA0D37">
        <w:t xml:space="preserve">The IE </w:t>
      </w:r>
      <w:r w:rsidRPr="00FA0D37">
        <w:rPr>
          <w:i/>
        </w:rPr>
        <w:t>PUCCH-PathlossReferenceRS-Id</w:t>
      </w:r>
      <w:r w:rsidRPr="00FA0D37">
        <w:t xml:space="preserve"> is an ID for a reference signal (RS) configured as PUCCH pathloss reference (see TS 38.213 [13], clause 7.2).</w:t>
      </w:r>
    </w:p>
    <w:p w14:paraId="4D9579C5" w14:textId="77777777" w:rsidR="00394471" w:rsidRPr="00FA0D37" w:rsidRDefault="00394471" w:rsidP="00394471">
      <w:pPr>
        <w:pStyle w:val="TH"/>
      </w:pPr>
      <w:r w:rsidRPr="00FA0D37">
        <w:rPr>
          <w:i/>
        </w:rPr>
        <w:t>PUCCH-PathlossReferenceRS-Id</w:t>
      </w:r>
      <w:r w:rsidRPr="00FA0D37">
        <w:t xml:space="preserve"> information element</w:t>
      </w:r>
    </w:p>
    <w:p w14:paraId="7A6D4D6F" w14:textId="77777777" w:rsidR="00394471" w:rsidRPr="00FA0D37" w:rsidRDefault="00394471" w:rsidP="00FA0D37">
      <w:pPr>
        <w:pStyle w:val="PL"/>
        <w:rPr>
          <w:color w:val="808080"/>
        </w:rPr>
      </w:pPr>
      <w:r w:rsidRPr="00FA0D37">
        <w:rPr>
          <w:color w:val="808080"/>
        </w:rPr>
        <w:t>-- ASN1START</w:t>
      </w:r>
    </w:p>
    <w:p w14:paraId="4E40977B" w14:textId="77777777" w:rsidR="00394471" w:rsidRPr="00FA0D37" w:rsidRDefault="00394471" w:rsidP="00FA0D37">
      <w:pPr>
        <w:pStyle w:val="PL"/>
        <w:rPr>
          <w:color w:val="808080"/>
        </w:rPr>
      </w:pPr>
      <w:r w:rsidRPr="00FA0D37">
        <w:rPr>
          <w:color w:val="808080"/>
        </w:rPr>
        <w:t>-- TAG-PUCCH-PATHLOSSREFERENCERS-ID-START</w:t>
      </w:r>
    </w:p>
    <w:p w14:paraId="1F0022C7" w14:textId="77777777" w:rsidR="00394471" w:rsidRPr="00FA0D37" w:rsidRDefault="00394471" w:rsidP="00FA0D37">
      <w:pPr>
        <w:pStyle w:val="PL"/>
      </w:pPr>
    </w:p>
    <w:p w14:paraId="6342DEA5" w14:textId="77777777" w:rsidR="00394471" w:rsidRPr="00FA0D37" w:rsidRDefault="00394471" w:rsidP="00FA0D37">
      <w:pPr>
        <w:pStyle w:val="PL"/>
      </w:pPr>
      <w:r w:rsidRPr="00FA0D37">
        <w:t xml:space="preserve">PUCCH-PathlossReferenceRS-Id ::=            </w:t>
      </w:r>
      <w:r w:rsidRPr="00FA0D37">
        <w:rPr>
          <w:color w:val="993366"/>
        </w:rPr>
        <w:t>INTEGER</w:t>
      </w:r>
      <w:r w:rsidRPr="00FA0D37">
        <w:t xml:space="preserve"> (0..maxNrofPUCCH-PathlossReferenceRSs-1)</w:t>
      </w:r>
    </w:p>
    <w:p w14:paraId="17643C2E" w14:textId="77777777" w:rsidR="00394471" w:rsidRPr="00FA0D37" w:rsidRDefault="00394471" w:rsidP="00FA0D37">
      <w:pPr>
        <w:pStyle w:val="PL"/>
      </w:pPr>
    </w:p>
    <w:p w14:paraId="7B657B30" w14:textId="77777777" w:rsidR="00394471" w:rsidRPr="00FA0D37" w:rsidRDefault="00394471" w:rsidP="00FA0D37">
      <w:pPr>
        <w:pStyle w:val="PL"/>
      </w:pPr>
      <w:r w:rsidRPr="00FA0D37">
        <w:t xml:space="preserve">PUCCH-PathlossReferenceRS-Id-v1610 ::=      </w:t>
      </w:r>
      <w:r w:rsidRPr="00FA0D37">
        <w:rPr>
          <w:color w:val="993366"/>
        </w:rPr>
        <w:t>INTEGER</w:t>
      </w:r>
      <w:r w:rsidRPr="00FA0D37">
        <w:t xml:space="preserve"> (maxNrofPUCCH-PathlossReferenceRSs..maxNrofPUCCH-PathlossReferenceRSs-1-r16)</w:t>
      </w:r>
    </w:p>
    <w:p w14:paraId="31799B96" w14:textId="77777777" w:rsidR="00770F46" w:rsidRPr="00FA0D37" w:rsidRDefault="00770F46" w:rsidP="00FA0D37">
      <w:pPr>
        <w:pStyle w:val="PL"/>
      </w:pPr>
    </w:p>
    <w:p w14:paraId="2152A6C8" w14:textId="03694CA0" w:rsidR="00770F46" w:rsidRPr="00FA0D37" w:rsidRDefault="00770F46" w:rsidP="00FA0D37">
      <w:pPr>
        <w:pStyle w:val="PL"/>
      </w:pPr>
      <w:r w:rsidRPr="00FA0D37">
        <w:t xml:space="preserve">PUCCH-PathlossReferenceRS-Id-r17 ::=        </w:t>
      </w:r>
      <w:r w:rsidRPr="00FA0D37">
        <w:rPr>
          <w:color w:val="993366"/>
        </w:rPr>
        <w:t>INTEGER</w:t>
      </w:r>
      <w:r w:rsidRPr="00FA0D37">
        <w:t xml:space="preserve"> (0..maxNrofPUCCH-PathlossReferenceRSs-1-r17)</w:t>
      </w:r>
    </w:p>
    <w:p w14:paraId="7F33CF67" w14:textId="77777777" w:rsidR="00394471" w:rsidRPr="00FA0D37" w:rsidRDefault="00394471" w:rsidP="00FA0D37">
      <w:pPr>
        <w:pStyle w:val="PL"/>
      </w:pPr>
    </w:p>
    <w:p w14:paraId="01A8A313" w14:textId="77777777" w:rsidR="00394471" w:rsidRPr="00FA0D37" w:rsidRDefault="00394471" w:rsidP="00FA0D37">
      <w:pPr>
        <w:pStyle w:val="PL"/>
        <w:rPr>
          <w:color w:val="808080"/>
        </w:rPr>
      </w:pPr>
      <w:r w:rsidRPr="00FA0D37">
        <w:rPr>
          <w:color w:val="808080"/>
        </w:rPr>
        <w:t>-- TAG-PUCCH-PATHLOSSREFERENCERS-ID-STOP</w:t>
      </w:r>
    </w:p>
    <w:p w14:paraId="3D84BEBC" w14:textId="77777777" w:rsidR="00394471" w:rsidRPr="00FA0D37" w:rsidRDefault="00394471" w:rsidP="00FA0D37">
      <w:pPr>
        <w:pStyle w:val="PL"/>
        <w:rPr>
          <w:color w:val="808080"/>
        </w:rPr>
      </w:pPr>
      <w:r w:rsidRPr="00FA0D37">
        <w:rPr>
          <w:color w:val="808080"/>
        </w:rPr>
        <w:t>-- ASN1STOP</w:t>
      </w:r>
    </w:p>
    <w:p w14:paraId="2895F9EE" w14:textId="77777777" w:rsidR="00394471" w:rsidRPr="00FA0D37" w:rsidRDefault="00394471" w:rsidP="00394471"/>
    <w:p w14:paraId="1CA1F748" w14:textId="77777777" w:rsidR="00394471" w:rsidRPr="00FA0D37" w:rsidRDefault="00394471" w:rsidP="00394471">
      <w:pPr>
        <w:pStyle w:val="4"/>
      </w:pPr>
      <w:bookmarkStart w:id="1252" w:name="_Toc60777318"/>
      <w:bookmarkStart w:id="1253" w:name="_Toc146781397"/>
      <w:r w:rsidRPr="00FA0D37">
        <w:t>–</w:t>
      </w:r>
      <w:r w:rsidRPr="00FA0D37">
        <w:tab/>
      </w:r>
      <w:r w:rsidRPr="00FA0D37">
        <w:rPr>
          <w:i/>
        </w:rPr>
        <w:t>PUCCH-PowerControl</w:t>
      </w:r>
      <w:bookmarkEnd w:id="1252"/>
      <w:bookmarkEnd w:id="1253"/>
    </w:p>
    <w:p w14:paraId="0C983424" w14:textId="77777777" w:rsidR="00394471" w:rsidRPr="00FA0D37" w:rsidRDefault="00394471" w:rsidP="00394471">
      <w:r w:rsidRPr="00FA0D37">
        <w:t xml:space="preserve">The IE </w:t>
      </w:r>
      <w:r w:rsidRPr="00FA0D37">
        <w:rPr>
          <w:i/>
        </w:rPr>
        <w:t>PUCCH-PowerControl</w:t>
      </w:r>
      <w:r w:rsidRPr="00FA0D37">
        <w:t xml:space="preserve"> is used to configure UE-specific parameters for the power control of PUCCH.</w:t>
      </w:r>
    </w:p>
    <w:p w14:paraId="4614F848" w14:textId="77777777" w:rsidR="00394471" w:rsidRPr="00FA0D37" w:rsidRDefault="00394471" w:rsidP="00394471">
      <w:pPr>
        <w:pStyle w:val="TH"/>
      </w:pPr>
      <w:r w:rsidRPr="00FA0D37">
        <w:rPr>
          <w:i/>
        </w:rPr>
        <w:t>PUCCH-PowerControl</w:t>
      </w:r>
      <w:r w:rsidRPr="00FA0D37">
        <w:t xml:space="preserve"> information element</w:t>
      </w:r>
    </w:p>
    <w:p w14:paraId="2D85CCA1" w14:textId="77777777" w:rsidR="00394471" w:rsidRPr="00FA0D37" w:rsidRDefault="00394471" w:rsidP="00FA0D37">
      <w:pPr>
        <w:pStyle w:val="PL"/>
        <w:rPr>
          <w:color w:val="808080"/>
        </w:rPr>
      </w:pPr>
      <w:r w:rsidRPr="00FA0D37">
        <w:rPr>
          <w:color w:val="808080"/>
        </w:rPr>
        <w:t>-- ASN1START</w:t>
      </w:r>
    </w:p>
    <w:p w14:paraId="01081A9A" w14:textId="77777777" w:rsidR="00394471" w:rsidRPr="00FA0D37" w:rsidRDefault="00394471" w:rsidP="00FA0D37">
      <w:pPr>
        <w:pStyle w:val="PL"/>
        <w:rPr>
          <w:color w:val="808080"/>
        </w:rPr>
      </w:pPr>
      <w:r w:rsidRPr="00FA0D37">
        <w:rPr>
          <w:color w:val="808080"/>
        </w:rPr>
        <w:t>-- TAG-PUCCH-POWERCONTROL-START</w:t>
      </w:r>
    </w:p>
    <w:p w14:paraId="2EF13ED1" w14:textId="77777777" w:rsidR="00394471" w:rsidRPr="00FA0D37" w:rsidRDefault="00394471" w:rsidP="00FA0D37">
      <w:pPr>
        <w:pStyle w:val="PL"/>
      </w:pPr>
      <w:r w:rsidRPr="00FA0D37">
        <w:t xml:space="preserve">PUCCH-PowerControl ::=              </w:t>
      </w:r>
      <w:r w:rsidRPr="00FA0D37">
        <w:rPr>
          <w:color w:val="993366"/>
        </w:rPr>
        <w:t>SEQUENCE</w:t>
      </w:r>
      <w:r w:rsidRPr="00FA0D37">
        <w:t xml:space="preserve"> {</w:t>
      </w:r>
    </w:p>
    <w:p w14:paraId="7803AC98" w14:textId="77777777" w:rsidR="00394471" w:rsidRPr="00FA0D37" w:rsidRDefault="00394471" w:rsidP="00FA0D37">
      <w:pPr>
        <w:pStyle w:val="PL"/>
        <w:rPr>
          <w:color w:val="808080"/>
        </w:rPr>
      </w:pPr>
      <w:r w:rsidRPr="00FA0D37">
        <w:t xml:space="preserve">    deltaF-PUCCH-f0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R</w:t>
      </w:r>
    </w:p>
    <w:p w14:paraId="4001324D" w14:textId="77777777" w:rsidR="00394471" w:rsidRPr="00FA0D37" w:rsidRDefault="00394471" w:rsidP="00FA0D37">
      <w:pPr>
        <w:pStyle w:val="PL"/>
        <w:rPr>
          <w:color w:val="808080"/>
        </w:rPr>
      </w:pPr>
      <w:r w:rsidRPr="00FA0D37">
        <w:t xml:space="preserve">    deltaF-PUCCH-f1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R</w:t>
      </w:r>
    </w:p>
    <w:p w14:paraId="08F38593" w14:textId="77777777" w:rsidR="00394471" w:rsidRPr="00FA0D37" w:rsidRDefault="00394471" w:rsidP="00FA0D37">
      <w:pPr>
        <w:pStyle w:val="PL"/>
        <w:rPr>
          <w:color w:val="808080"/>
        </w:rPr>
      </w:pPr>
      <w:r w:rsidRPr="00FA0D37">
        <w:t xml:space="preserve">    deltaF-PUCCH-f2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R</w:t>
      </w:r>
    </w:p>
    <w:p w14:paraId="01580477" w14:textId="77777777" w:rsidR="00394471" w:rsidRPr="00FA0D37" w:rsidRDefault="00394471" w:rsidP="00FA0D37">
      <w:pPr>
        <w:pStyle w:val="PL"/>
        <w:rPr>
          <w:color w:val="808080"/>
        </w:rPr>
      </w:pPr>
      <w:r w:rsidRPr="00FA0D37">
        <w:t xml:space="preserve">    deltaF-PUCCH-f3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R</w:t>
      </w:r>
    </w:p>
    <w:p w14:paraId="28AFF537" w14:textId="77777777" w:rsidR="00394471" w:rsidRPr="00FA0D37" w:rsidRDefault="00394471" w:rsidP="00FA0D37">
      <w:pPr>
        <w:pStyle w:val="PL"/>
        <w:rPr>
          <w:color w:val="808080"/>
        </w:rPr>
      </w:pPr>
      <w:r w:rsidRPr="00FA0D37">
        <w:t xml:space="preserve">    deltaF-PUCCH-f4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R</w:t>
      </w:r>
    </w:p>
    <w:p w14:paraId="015F0A5D" w14:textId="77777777" w:rsidR="00394471" w:rsidRPr="00FA0D37" w:rsidRDefault="00394471" w:rsidP="00FA0D37">
      <w:pPr>
        <w:pStyle w:val="PL"/>
        <w:rPr>
          <w:color w:val="808080"/>
        </w:rPr>
      </w:pPr>
      <w:r w:rsidRPr="00FA0D37">
        <w:t xml:space="preserve">    p0-Set                              </w:t>
      </w:r>
      <w:r w:rsidRPr="00FA0D37">
        <w:rPr>
          <w:color w:val="993366"/>
        </w:rPr>
        <w:t>SEQUENCE</w:t>
      </w:r>
      <w:r w:rsidRPr="00FA0D37">
        <w:t xml:space="preserve"> (</w:t>
      </w:r>
      <w:r w:rsidRPr="00FA0D37">
        <w:rPr>
          <w:color w:val="993366"/>
        </w:rPr>
        <w:t>SIZE</w:t>
      </w:r>
      <w:r w:rsidRPr="00FA0D37">
        <w:t xml:space="preserve"> (1..maxNrofPUCCH-P0-PerSet))</w:t>
      </w:r>
      <w:r w:rsidRPr="00FA0D37">
        <w:rPr>
          <w:color w:val="993366"/>
        </w:rPr>
        <w:t xml:space="preserve"> OF</w:t>
      </w:r>
      <w:r w:rsidRPr="00FA0D37">
        <w:t xml:space="preserve"> P0-PUCCH                 </w:t>
      </w:r>
      <w:r w:rsidRPr="00FA0D37">
        <w:rPr>
          <w:color w:val="993366"/>
        </w:rPr>
        <w:t>OPTIONAL</w:t>
      </w:r>
      <w:r w:rsidRPr="00FA0D37">
        <w:t xml:space="preserve">, </w:t>
      </w:r>
      <w:r w:rsidRPr="00FA0D37">
        <w:rPr>
          <w:color w:val="808080"/>
        </w:rPr>
        <w:t>-- Need M</w:t>
      </w:r>
    </w:p>
    <w:p w14:paraId="361D466C" w14:textId="77777777" w:rsidR="00394471" w:rsidRPr="00FA0D37" w:rsidRDefault="00394471" w:rsidP="00FA0D37">
      <w:pPr>
        <w:pStyle w:val="PL"/>
      </w:pPr>
      <w:r w:rsidRPr="00FA0D37">
        <w:t xml:space="preserve">    pathlossReferenceRSs                </w:t>
      </w:r>
      <w:r w:rsidRPr="00FA0D37">
        <w:rPr>
          <w:color w:val="993366"/>
        </w:rPr>
        <w:t>SEQUENCE</w:t>
      </w:r>
      <w:r w:rsidRPr="00FA0D37">
        <w:t xml:space="preserve"> (</w:t>
      </w:r>
      <w:r w:rsidRPr="00FA0D37">
        <w:rPr>
          <w:color w:val="993366"/>
        </w:rPr>
        <w:t>SIZE</w:t>
      </w:r>
      <w:r w:rsidRPr="00FA0D37">
        <w:t xml:space="preserve"> (1..maxNrofPUCCH-PathlossReferenceRSs))</w:t>
      </w:r>
      <w:r w:rsidRPr="00FA0D37">
        <w:rPr>
          <w:color w:val="993366"/>
        </w:rPr>
        <w:t xml:space="preserve"> OF</w:t>
      </w:r>
      <w:r w:rsidRPr="00FA0D37">
        <w:t xml:space="preserve"> PUCCH-PathlossReferenceRS</w:t>
      </w:r>
    </w:p>
    <w:p w14:paraId="1C237B03"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1832DA4A" w14:textId="77777777" w:rsidR="00394471" w:rsidRPr="00FA0D37" w:rsidRDefault="00394471" w:rsidP="00FA0D37">
      <w:pPr>
        <w:pStyle w:val="PL"/>
        <w:rPr>
          <w:color w:val="808080"/>
        </w:rPr>
      </w:pPr>
      <w:r w:rsidRPr="00FA0D37">
        <w:t xml:space="preserve">    twoPUCCH-PC-AdjustmentStates        </w:t>
      </w:r>
      <w:r w:rsidRPr="00FA0D37">
        <w:rPr>
          <w:color w:val="993366"/>
        </w:rPr>
        <w:t>ENUMERATED</w:t>
      </w:r>
      <w:r w:rsidRPr="00FA0D37">
        <w:t xml:space="preserve"> {twoStates}                                                  </w:t>
      </w:r>
      <w:r w:rsidRPr="00FA0D37">
        <w:rPr>
          <w:color w:val="993366"/>
        </w:rPr>
        <w:t>OPTIONAL</w:t>
      </w:r>
      <w:r w:rsidRPr="00FA0D37">
        <w:t xml:space="preserve">, </w:t>
      </w:r>
      <w:r w:rsidRPr="00FA0D37">
        <w:rPr>
          <w:color w:val="808080"/>
        </w:rPr>
        <w:t>-- Need S</w:t>
      </w:r>
    </w:p>
    <w:p w14:paraId="71ED0533" w14:textId="77777777" w:rsidR="00394471" w:rsidRPr="00FA0D37" w:rsidRDefault="00394471" w:rsidP="00FA0D37">
      <w:pPr>
        <w:pStyle w:val="PL"/>
      </w:pPr>
      <w:r w:rsidRPr="00FA0D37">
        <w:lastRenderedPageBreak/>
        <w:t xml:space="preserve">    ...,</w:t>
      </w:r>
    </w:p>
    <w:p w14:paraId="2CED57D6" w14:textId="77777777" w:rsidR="00394471" w:rsidRPr="00FA0D37" w:rsidRDefault="00394471" w:rsidP="00FA0D37">
      <w:pPr>
        <w:pStyle w:val="PL"/>
      </w:pPr>
      <w:r w:rsidRPr="00FA0D37">
        <w:t xml:space="preserve">    [[</w:t>
      </w:r>
    </w:p>
    <w:p w14:paraId="284F6C35" w14:textId="77777777" w:rsidR="00394471" w:rsidRPr="00FA0D37" w:rsidRDefault="00394471" w:rsidP="00FA0D37">
      <w:pPr>
        <w:pStyle w:val="PL"/>
        <w:rPr>
          <w:color w:val="808080"/>
        </w:rPr>
      </w:pPr>
      <w:r w:rsidRPr="00FA0D37">
        <w:t xml:space="preserve">    pathlossReferenceRSs-v1610          SetupRelease { PathlossReferenceRSs-v1610 }                             </w:t>
      </w:r>
      <w:r w:rsidRPr="00FA0D37">
        <w:rPr>
          <w:color w:val="993366"/>
        </w:rPr>
        <w:t>OPTIONAL</w:t>
      </w:r>
      <w:r w:rsidRPr="00FA0D37">
        <w:t xml:space="preserve"> </w:t>
      </w:r>
      <w:r w:rsidRPr="00FA0D37">
        <w:rPr>
          <w:color w:val="808080"/>
        </w:rPr>
        <w:t>-- Need M</w:t>
      </w:r>
    </w:p>
    <w:p w14:paraId="09F70154" w14:textId="77777777" w:rsidR="00394471" w:rsidRPr="00FA0D37" w:rsidRDefault="00394471" w:rsidP="00FA0D37">
      <w:pPr>
        <w:pStyle w:val="PL"/>
      </w:pPr>
      <w:r w:rsidRPr="00FA0D37">
        <w:t xml:space="preserve">    ]]</w:t>
      </w:r>
    </w:p>
    <w:p w14:paraId="63FA9F59" w14:textId="77777777" w:rsidR="00394471" w:rsidRPr="00FA0D37" w:rsidRDefault="00394471" w:rsidP="00FA0D37">
      <w:pPr>
        <w:pStyle w:val="PL"/>
      </w:pPr>
      <w:r w:rsidRPr="00FA0D37">
        <w:t>}</w:t>
      </w:r>
    </w:p>
    <w:p w14:paraId="20BFFD24" w14:textId="77777777" w:rsidR="00394471" w:rsidRPr="00FA0D37" w:rsidRDefault="00394471" w:rsidP="00FA0D37">
      <w:pPr>
        <w:pStyle w:val="PL"/>
      </w:pPr>
    </w:p>
    <w:p w14:paraId="005EFF76" w14:textId="77777777" w:rsidR="00394471" w:rsidRPr="00FA0D37" w:rsidRDefault="00394471" w:rsidP="00FA0D37">
      <w:pPr>
        <w:pStyle w:val="PL"/>
      </w:pPr>
      <w:r w:rsidRPr="00FA0D37">
        <w:t xml:space="preserve">P0-PUCCH ::=                            </w:t>
      </w:r>
      <w:r w:rsidRPr="00FA0D37">
        <w:rPr>
          <w:color w:val="993366"/>
        </w:rPr>
        <w:t>SEQUENCE</w:t>
      </w:r>
      <w:r w:rsidRPr="00FA0D37">
        <w:t xml:space="preserve"> {</w:t>
      </w:r>
    </w:p>
    <w:p w14:paraId="577AF9E1" w14:textId="77777777" w:rsidR="00394471" w:rsidRPr="00FA0D37" w:rsidRDefault="00394471" w:rsidP="00FA0D37">
      <w:pPr>
        <w:pStyle w:val="PL"/>
      </w:pPr>
      <w:r w:rsidRPr="00FA0D37">
        <w:t xml:space="preserve">    p0-PUCCH-Id                             P0-PUCCH-Id,</w:t>
      </w:r>
    </w:p>
    <w:p w14:paraId="23D1066E" w14:textId="77777777" w:rsidR="00394471" w:rsidRPr="00FA0D37" w:rsidRDefault="00394471" w:rsidP="00FA0D37">
      <w:pPr>
        <w:pStyle w:val="PL"/>
      </w:pPr>
      <w:r w:rsidRPr="00FA0D37">
        <w:t xml:space="preserve">    p0-PUCCH-Value                          </w:t>
      </w:r>
      <w:r w:rsidRPr="00FA0D37">
        <w:rPr>
          <w:color w:val="993366"/>
        </w:rPr>
        <w:t>INTEGER</w:t>
      </w:r>
      <w:r w:rsidRPr="00FA0D37">
        <w:t xml:space="preserve"> (-16..15)</w:t>
      </w:r>
    </w:p>
    <w:p w14:paraId="24F07C16" w14:textId="77777777" w:rsidR="00394471" w:rsidRPr="00FA0D37" w:rsidRDefault="00394471" w:rsidP="00FA0D37">
      <w:pPr>
        <w:pStyle w:val="PL"/>
      </w:pPr>
      <w:r w:rsidRPr="00FA0D37">
        <w:t>}</w:t>
      </w:r>
    </w:p>
    <w:p w14:paraId="38D50E77" w14:textId="77777777" w:rsidR="00394471" w:rsidRPr="00FA0D37" w:rsidRDefault="00394471" w:rsidP="00FA0D37">
      <w:pPr>
        <w:pStyle w:val="PL"/>
      </w:pPr>
    </w:p>
    <w:p w14:paraId="6098C717" w14:textId="77777777" w:rsidR="00394471" w:rsidRPr="00FA0D37" w:rsidRDefault="00394471" w:rsidP="00FA0D37">
      <w:pPr>
        <w:pStyle w:val="PL"/>
      </w:pPr>
      <w:r w:rsidRPr="00FA0D37">
        <w:t xml:space="preserve">P0-PUCCH-Id ::=                         </w:t>
      </w:r>
      <w:r w:rsidRPr="00FA0D37">
        <w:rPr>
          <w:color w:val="993366"/>
        </w:rPr>
        <w:t>INTEGER</w:t>
      </w:r>
      <w:r w:rsidRPr="00FA0D37">
        <w:t xml:space="preserve"> (1..8)</w:t>
      </w:r>
    </w:p>
    <w:p w14:paraId="601AB1B8" w14:textId="77777777" w:rsidR="00394471" w:rsidRPr="00FA0D37" w:rsidRDefault="00394471" w:rsidP="00FA0D37">
      <w:pPr>
        <w:pStyle w:val="PL"/>
      </w:pPr>
    </w:p>
    <w:p w14:paraId="7B20BD0D" w14:textId="77777777" w:rsidR="00394471" w:rsidRPr="00FA0D37" w:rsidRDefault="00394471" w:rsidP="00FA0D37">
      <w:pPr>
        <w:pStyle w:val="PL"/>
      </w:pPr>
      <w:r w:rsidRPr="00FA0D37">
        <w:t xml:space="preserve">PathlossReferenceRSs-v1610 ::=          </w:t>
      </w:r>
      <w:r w:rsidRPr="00FA0D37">
        <w:rPr>
          <w:color w:val="993366"/>
        </w:rPr>
        <w:t>SEQUENCE</w:t>
      </w:r>
      <w:r w:rsidRPr="00FA0D37">
        <w:t xml:space="preserve"> (</w:t>
      </w:r>
      <w:r w:rsidRPr="00FA0D37">
        <w:rPr>
          <w:color w:val="993366"/>
        </w:rPr>
        <w:t>SIZE</w:t>
      </w:r>
      <w:r w:rsidRPr="00FA0D37">
        <w:t xml:space="preserve"> (1..maxNrofPUCCH-PathlossReferenceRSsDiff-r16))</w:t>
      </w:r>
      <w:r w:rsidRPr="00FA0D37">
        <w:rPr>
          <w:color w:val="993366"/>
        </w:rPr>
        <w:t xml:space="preserve"> OF</w:t>
      </w:r>
      <w:r w:rsidRPr="00FA0D37">
        <w:t xml:space="preserve"> PUCCH-PathlossReferenceRS-r16</w:t>
      </w:r>
    </w:p>
    <w:p w14:paraId="32019A6D" w14:textId="77777777" w:rsidR="00394471" w:rsidRPr="00FA0D37" w:rsidRDefault="00394471" w:rsidP="00FA0D37">
      <w:pPr>
        <w:pStyle w:val="PL"/>
      </w:pPr>
    </w:p>
    <w:p w14:paraId="028E276F" w14:textId="77777777" w:rsidR="00394471" w:rsidRPr="00FA0D37" w:rsidRDefault="00394471" w:rsidP="00FA0D37">
      <w:pPr>
        <w:pStyle w:val="PL"/>
      </w:pPr>
      <w:r w:rsidRPr="00FA0D37">
        <w:t xml:space="preserve">PUCCH-PathlossReferenceRS ::=                   </w:t>
      </w:r>
      <w:r w:rsidRPr="00FA0D37">
        <w:rPr>
          <w:color w:val="993366"/>
        </w:rPr>
        <w:t>SEQUENCE</w:t>
      </w:r>
      <w:r w:rsidRPr="00FA0D37">
        <w:t xml:space="preserve"> {</w:t>
      </w:r>
    </w:p>
    <w:p w14:paraId="228B8D04" w14:textId="77777777" w:rsidR="00394471" w:rsidRPr="00FA0D37" w:rsidRDefault="00394471" w:rsidP="00FA0D37">
      <w:pPr>
        <w:pStyle w:val="PL"/>
      </w:pPr>
      <w:r w:rsidRPr="00FA0D37">
        <w:t xml:space="preserve">    pucch-PathlossReferenceRS-Id                PUCCH-PathlossReferenceRS-Id,</w:t>
      </w:r>
    </w:p>
    <w:p w14:paraId="5EAD9511" w14:textId="77777777" w:rsidR="00394471" w:rsidRPr="00FA0D37" w:rsidRDefault="00394471" w:rsidP="00FA0D37">
      <w:pPr>
        <w:pStyle w:val="PL"/>
      </w:pPr>
      <w:r w:rsidRPr="00FA0D37">
        <w:t xml:space="preserve">    referenceSignal                             </w:t>
      </w:r>
      <w:r w:rsidRPr="00FA0D37">
        <w:rPr>
          <w:color w:val="993366"/>
        </w:rPr>
        <w:t>CHOICE</w:t>
      </w:r>
      <w:r w:rsidRPr="00FA0D37">
        <w:t xml:space="preserve"> {</w:t>
      </w:r>
    </w:p>
    <w:p w14:paraId="443C8A03" w14:textId="77777777" w:rsidR="00394471" w:rsidRPr="00FA0D37" w:rsidRDefault="00394471" w:rsidP="00FA0D37">
      <w:pPr>
        <w:pStyle w:val="PL"/>
      </w:pPr>
      <w:r w:rsidRPr="00FA0D37">
        <w:t xml:space="preserve">        ssb-Index                                   SSB-Index,</w:t>
      </w:r>
    </w:p>
    <w:p w14:paraId="618770F3" w14:textId="77777777" w:rsidR="00394471" w:rsidRPr="00FA0D37" w:rsidRDefault="00394471" w:rsidP="00FA0D37">
      <w:pPr>
        <w:pStyle w:val="PL"/>
      </w:pPr>
      <w:r w:rsidRPr="00FA0D37">
        <w:t xml:space="preserve">        csi-RS-Index                                NZP-CSI-RS-ResourceId</w:t>
      </w:r>
    </w:p>
    <w:p w14:paraId="24050EA5" w14:textId="77777777" w:rsidR="00394471" w:rsidRPr="00FA0D37" w:rsidRDefault="00394471" w:rsidP="00FA0D37">
      <w:pPr>
        <w:pStyle w:val="PL"/>
      </w:pPr>
      <w:r w:rsidRPr="00FA0D37">
        <w:t xml:space="preserve">    }</w:t>
      </w:r>
    </w:p>
    <w:p w14:paraId="710F86C9" w14:textId="77777777" w:rsidR="00394471" w:rsidRPr="00FA0D37" w:rsidRDefault="00394471" w:rsidP="00FA0D37">
      <w:pPr>
        <w:pStyle w:val="PL"/>
      </w:pPr>
      <w:r w:rsidRPr="00FA0D37">
        <w:t>}</w:t>
      </w:r>
    </w:p>
    <w:p w14:paraId="7BB2CBB8" w14:textId="77777777" w:rsidR="00394471" w:rsidRPr="00FA0D37" w:rsidRDefault="00394471" w:rsidP="00FA0D37">
      <w:pPr>
        <w:pStyle w:val="PL"/>
      </w:pPr>
    </w:p>
    <w:p w14:paraId="153E580B" w14:textId="77777777" w:rsidR="00394471" w:rsidRPr="00FA0D37" w:rsidRDefault="00394471" w:rsidP="00FA0D37">
      <w:pPr>
        <w:pStyle w:val="PL"/>
      </w:pPr>
      <w:r w:rsidRPr="00FA0D37">
        <w:t xml:space="preserve">PUCCH-PathlossReferenceRS-r16 ::=                   </w:t>
      </w:r>
      <w:r w:rsidRPr="00FA0D37">
        <w:rPr>
          <w:color w:val="993366"/>
        </w:rPr>
        <w:t>SEQUENCE</w:t>
      </w:r>
      <w:r w:rsidRPr="00FA0D37">
        <w:t xml:space="preserve"> {</w:t>
      </w:r>
    </w:p>
    <w:p w14:paraId="13C45DC3" w14:textId="77777777" w:rsidR="00394471" w:rsidRPr="00FA0D37" w:rsidRDefault="00394471" w:rsidP="00FA0D37">
      <w:pPr>
        <w:pStyle w:val="PL"/>
      </w:pPr>
      <w:r w:rsidRPr="00FA0D37">
        <w:t xml:space="preserve">    pucch-PathlossReferenceRS-Id-r16                    PUCCH-PathlossReferenceRS-Id-v1610,</w:t>
      </w:r>
    </w:p>
    <w:p w14:paraId="6F4DCB6B" w14:textId="77777777" w:rsidR="00394471" w:rsidRPr="00FA0D37" w:rsidRDefault="00394471" w:rsidP="00FA0D37">
      <w:pPr>
        <w:pStyle w:val="PL"/>
      </w:pPr>
      <w:r w:rsidRPr="00FA0D37">
        <w:t xml:space="preserve">    referenceSignal-r16                                 </w:t>
      </w:r>
      <w:r w:rsidRPr="00FA0D37">
        <w:rPr>
          <w:color w:val="993366"/>
        </w:rPr>
        <w:t>CHOICE</w:t>
      </w:r>
      <w:r w:rsidRPr="00FA0D37">
        <w:t xml:space="preserve"> {</w:t>
      </w:r>
    </w:p>
    <w:p w14:paraId="1681AFF3" w14:textId="77777777" w:rsidR="00394471" w:rsidRPr="00FA0D37" w:rsidRDefault="00394471" w:rsidP="00FA0D37">
      <w:pPr>
        <w:pStyle w:val="PL"/>
      </w:pPr>
      <w:r w:rsidRPr="00FA0D37">
        <w:t xml:space="preserve">        ssb-Index-r16                                       SSB-Index,</w:t>
      </w:r>
    </w:p>
    <w:p w14:paraId="0847BC4C" w14:textId="77777777" w:rsidR="00394471" w:rsidRPr="00FA0D37" w:rsidRDefault="00394471" w:rsidP="00FA0D37">
      <w:pPr>
        <w:pStyle w:val="PL"/>
      </w:pPr>
      <w:r w:rsidRPr="00FA0D37">
        <w:t xml:space="preserve">        csi-RS-Index-r16                                    NZP-CSI-RS-ResourceId</w:t>
      </w:r>
    </w:p>
    <w:p w14:paraId="430F59DE" w14:textId="77777777" w:rsidR="00394471" w:rsidRPr="00FA0D37" w:rsidRDefault="00394471" w:rsidP="00FA0D37">
      <w:pPr>
        <w:pStyle w:val="PL"/>
      </w:pPr>
      <w:r w:rsidRPr="00FA0D37">
        <w:t xml:space="preserve">    }</w:t>
      </w:r>
    </w:p>
    <w:p w14:paraId="3EF78492" w14:textId="77777777" w:rsidR="00394471" w:rsidRPr="00FA0D37" w:rsidRDefault="00394471" w:rsidP="00FA0D37">
      <w:pPr>
        <w:pStyle w:val="PL"/>
      </w:pPr>
      <w:r w:rsidRPr="00FA0D37">
        <w:t>}</w:t>
      </w:r>
    </w:p>
    <w:p w14:paraId="2B9D5807" w14:textId="77777777" w:rsidR="00651368" w:rsidRPr="00FA0D37" w:rsidRDefault="00651368" w:rsidP="00FA0D37">
      <w:pPr>
        <w:pStyle w:val="PL"/>
      </w:pPr>
    </w:p>
    <w:p w14:paraId="4E46C2A8" w14:textId="5DEAB931" w:rsidR="00651368" w:rsidRPr="00FA0D37" w:rsidRDefault="00651368" w:rsidP="00FA0D37">
      <w:pPr>
        <w:pStyle w:val="PL"/>
      </w:pPr>
      <w:r w:rsidRPr="00FA0D37">
        <w:t xml:space="preserve">PUCCH-PowerControlSetInfo-r17 ::=       </w:t>
      </w:r>
      <w:r w:rsidRPr="00FA0D37">
        <w:rPr>
          <w:color w:val="993366"/>
        </w:rPr>
        <w:t>SEQUENCE</w:t>
      </w:r>
      <w:r w:rsidRPr="00FA0D37">
        <w:t xml:space="preserve"> {</w:t>
      </w:r>
    </w:p>
    <w:p w14:paraId="0BA69721" w14:textId="6B417DBE" w:rsidR="00651368" w:rsidRPr="00FA0D37" w:rsidRDefault="00651368" w:rsidP="00FA0D37">
      <w:pPr>
        <w:pStyle w:val="PL"/>
      </w:pPr>
      <w:r w:rsidRPr="00FA0D37">
        <w:t xml:space="preserve">    pucch-PowerControlSetInfoId-r17         PUCCH-PowerControlSetInfoId-r17</w:t>
      </w:r>
      <w:r w:rsidR="00D230C3" w:rsidRPr="00FA0D37">
        <w:t>,</w:t>
      </w:r>
    </w:p>
    <w:p w14:paraId="11007647" w14:textId="70827526" w:rsidR="00651368" w:rsidRPr="00FA0D37" w:rsidRDefault="00651368" w:rsidP="00FA0D37">
      <w:pPr>
        <w:pStyle w:val="PL"/>
      </w:pPr>
      <w:r w:rsidRPr="00FA0D37">
        <w:t xml:space="preserve">    p0-PUCCH-Id-r17                         P0-PUCCH-Id,</w:t>
      </w:r>
    </w:p>
    <w:p w14:paraId="59C6387D" w14:textId="57D517A8" w:rsidR="00651368" w:rsidRPr="00FA0D37" w:rsidRDefault="00651368" w:rsidP="00FA0D37">
      <w:pPr>
        <w:pStyle w:val="PL"/>
      </w:pPr>
      <w:r w:rsidRPr="00FA0D37">
        <w:t xml:space="preserve">    pucch-ClosedLoopIndex-r17              </w:t>
      </w:r>
      <w:r w:rsidR="00850B30" w:rsidRPr="00FA0D37">
        <w:t xml:space="preserve"> </w:t>
      </w:r>
      <w:r w:rsidRPr="00FA0D37">
        <w:rPr>
          <w:color w:val="993366"/>
        </w:rPr>
        <w:t>ENUMERATED</w:t>
      </w:r>
      <w:r w:rsidRPr="00FA0D37">
        <w:t xml:space="preserve"> { i0, i1 },</w:t>
      </w:r>
    </w:p>
    <w:p w14:paraId="2472042E" w14:textId="0ABB3CB2" w:rsidR="00651368" w:rsidRPr="00FA0D37" w:rsidRDefault="00651368" w:rsidP="00FA0D37">
      <w:pPr>
        <w:pStyle w:val="PL"/>
      </w:pPr>
      <w:r w:rsidRPr="00FA0D37">
        <w:t xml:space="preserve">    pucch-PathlossReferenceRS-Id-r17        PUCCH-PathlossReferenceRS-Id</w:t>
      </w:r>
      <w:r w:rsidR="00770F46" w:rsidRPr="00FA0D37">
        <w:t>-r17</w:t>
      </w:r>
    </w:p>
    <w:p w14:paraId="0AB8BBE6" w14:textId="77777777" w:rsidR="00651368" w:rsidRPr="00FA0D37" w:rsidRDefault="00651368" w:rsidP="00FA0D37">
      <w:pPr>
        <w:pStyle w:val="PL"/>
      </w:pPr>
      <w:r w:rsidRPr="00FA0D37">
        <w:t>}</w:t>
      </w:r>
    </w:p>
    <w:p w14:paraId="6C0D2EDC" w14:textId="77777777" w:rsidR="00651368" w:rsidRPr="00FA0D37" w:rsidRDefault="00651368" w:rsidP="00FA0D37">
      <w:pPr>
        <w:pStyle w:val="PL"/>
      </w:pPr>
    </w:p>
    <w:p w14:paraId="50CB92A0" w14:textId="15746167" w:rsidR="00651368" w:rsidRPr="00FA0D37" w:rsidRDefault="00651368" w:rsidP="00FA0D37">
      <w:pPr>
        <w:pStyle w:val="PL"/>
      </w:pPr>
      <w:r w:rsidRPr="00FA0D37">
        <w:t xml:space="preserve">PUCCH-PowerControlSetInfoId-r17 ::=     </w:t>
      </w:r>
      <w:r w:rsidRPr="00FA0D37">
        <w:rPr>
          <w:color w:val="993366"/>
        </w:rPr>
        <w:t>INTEGER</w:t>
      </w:r>
      <w:r w:rsidRPr="00FA0D37">
        <w:t xml:space="preserve"> (1.. maxNrofPowerControlSetInfos-r17)</w:t>
      </w:r>
    </w:p>
    <w:p w14:paraId="38A5B699" w14:textId="77777777" w:rsidR="00394471" w:rsidRPr="00FA0D37" w:rsidRDefault="00394471" w:rsidP="00FA0D37">
      <w:pPr>
        <w:pStyle w:val="PL"/>
      </w:pPr>
    </w:p>
    <w:p w14:paraId="485AD217" w14:textId="77777777" w:rsidR="00394471" w:rsidRPr="00FA0D37" w:rsidRDefault="00394471" w:rsidP="00FA0D37">
      <w:pPr>
        <w:pStyle w:val="PL"/>
        <w:rPr>
          <w:color w:val="808080"/>
        </w:rPr>
      </w:pPr>
      <w:r w:rsidRPr="00FA0D37">
        <w:rPr>
          <w:color w:val="808080"/>
        </w:rPr>
        <w:t>-- TAG-PUCCH-POWERCONTROL-STOP</w:t>
      </w:r>
    </w:p>
    <w:p w14:paraId="5F3A9345" w14:textId="77777777" w:rsidR="00394471" w:rsidRPr="00FA0D37" w:rsidRDefault="00394471" w:rsidP="00FA0D37">
      <w:pPr>
        <w:pStyle w:val="PL"/>
        <w:rPr>
          <w:color w:val="808080"/>
        </w:rPr>
      </w:pPr>
      <w:r w:rsidRPr="00FA0D37">
        <w:rPr>
          <w:color w:val="808080"/>
        </w:rPr>
        <w:t>-- ASN1STOP</w:t>
      </w:r>
    </w:p>
    <w:p w14:paraId="6530B2E1" w14:textId="77777777" w:rsidR="00394471" w:rsidRPr="00FA0D37" w:rsidRDefault="00394471" w:rsidP="00394471">
      <w:pPr>
        <w:pStyle w:val="PL"/>
      </w:pPr>
    </w:p>
    <w:p w14:paraId="184B426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FA0D37" w:rsidRDefault="00394471" w:rsidP="00964CC4">
            <w:pPr>
              <w:pStyle w:val="TAH"/>
              <w:rPr>
                <w:szCs w:val="22"/>
                <w:lang w:eastAsia="sv-SE"/>
              </w:rPr>
            </w:pPr>
            <w:r w:rsidRPr="00FA0D37">
              <w:rPr>
                <w:i/>
                <w:szCs w:val="22"/>
                <w:lang w:eastAsia="sv-SE"/>
              </w:rPr>
              <w:t xml:space="preserve">P0-PUCCH </w:t>
            </w:r>
            <w:r w:rsidRPr="00FA0D37">
              <w:rPr>
                <w:szCs w:val="22"/>
                <w:lang w:eastAsia="sv-SE"/>
              </w:rPr>
              <w:t>field descriptions</w:t>
            </w:r>
          </w:p>
        </w:tc>
      </w:tr>
      <w:tr w:rsidR="00394471" w:rsidRPr="00FA0D37"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FA0D37" w:rsidRDefault="00394471" w:rsidP="00964CC4">
            <w:pPr>
              <w:pStyle w:val="TAL"/>
              <w:rPr>
                <w:szCs w:val="22"/>
                <w:lang w:eastAsia="sv-SE"/>
              </w:rPr>
            </w:pPr>
            <w:r w:rsidRPr="00FA0D37">
              <w:rPr>
                <w:b/>
                <w:i/>
                <w:szCs w:val="22"/>
                <w:lang w:eastAsia="sv-SE"/>
              </w:rPr>
              <w:t>p0-PUCCH-Value</w:t>
            </w:r>
          </w:p>
          <w:p w14:paraId="32650D2E" w14:textId="77777777" w:rsidR="00394471" w:rsidRPr="00FA0D37" w:rsidRDefault="00394471" w:rsidP="00964CC4">
            <w:pPr>
              <w:pStyle w:val="TAL"/>
              <w:rPr>
                <w:szCs w:val="22"/>
                <w:lang w:eastAsia="sv-SE"/>
              </w:rPr>
            </w:pPr>
            <w:r w:rsidRPr="00FA0D37">
              <w:rPr>
                <w:szCs w:val="22"/>
                <w:lang w:eastAsia="sv-SE"/>
              </w:rPr>
              <w:t>P0 value for PUCCH with 1dB step size.</w:t>
            </w:r>
          </w:p>
        </w:tc>
      </w:tr>
    </w:tbl>
    <w:p w14:paraId="3E1ED1A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FA0D37" w:rsidRDefault="00394471" w:rsidP="00964CC4">
            <w:pPr>
              <w:pStyle w:val="TAH"/>
              <w:rPr>
                <w:szCs w:val="22"/>
                <w:lang w:eastAsia="sv-SE"/>
              </w:rPr>
            </w:pPr>
            <w:r w:rsidRPr="00FA0D37">
              <w:rPr>
                <w:i/>
                <w:szCs w:val="22"/>
                <w:lang w:eastAsia="sv-SE"/>
              </w:rPr>
              <w:lastRenderedPageBreak/>
              <w:t xml:space="preserve">PUCCH-PowerControl </w:t>
            </w:r>
            <w:r w:rsidRPr="00FA0D37">
              <w:rPr>
                <w:szCs w:val="22"/>
                <w:lang w:eastAsia="sv-SE"/>
              </w:rPr>
              <w:t>field descriptions</w:t>
            </w:r>
          </w:p>
        </w:tc>
      </w:tr>
      <w:tr w:rsidR="005C7FF4" w:rsidRPr="00FA0D37"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FA0D37" w:rsidRDefault="00394471" w:rsidP="00964CC4">
            <w:pPr>
              <w:pStyle w:val="TAL"/>
              <w:rPr>
                <w:szCs w:val="22"/>
                <w:lang w:eastAsia="sv-SE"/>
              </w:rPr>
            </w:pPr>
            <w:r w:rsidRPr="00FA0D37">
              <w:rPr>
                <w:b/>
                <w:i/>
                <w:szCs w:val="22"/>
                <w:lang w:eastAsia="sv-SE"/>
              </w:rPr>
              <w:t>deltaF-PUCCH-f0</w:t>
            </w:r>
          </w:p>
          <w:p w14:paraId="53419A41" w14:textId="77777777" w:rsidR="00394471" w:rsidRPr="00FA0D37" w:rsidRDefault="00394471" w:rsidP="00964CC4">
            <w:pPr>
              <w:pStyle w:val="TAL"/>
              <w:rPr>
                <w:szCs w:val="22"/>
                <w:lang w:eastAsia="sv-SE"/>
              </w:rPr>
            </w:pPr>
            <w:r w:rsidRPr="00FA0D37">
              <w:rPr>
                <w:szCs w:val="22"/>
                <w:lang w:eastAsia="sv-SE"/>
              </w:rPr>
              <w:t>deltaF for PUCCH format 0 with 1dB step size (see TS 38.213 [13], clause 7.2).</w:t>
            </w:r>
          </w:p>
        </w:tc>
      </w:tr>
      <w:tr w:rsidR="005C7FF4" w:rsidRPr="00FA0D37"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FA0D37" w:rsidRDefault="00394471" w:rsidP="00964CC4">
            <w:pPr>
              <w:pStyle w:val="TAL"/>
              <w:rPr>
                <w:szCs w:val="22"/>
                <w:lang w:eastAsia="sv-SE"/>
              </w:rPr>
            </w:pPr>
            <w:r w:rsidRPr="00FA0D37">
              <w:rPr>
                <w:b/>
                <w:i/>
                <w:szCs w:val="22"/>
                <w:lang w:eastAsia="sv-SE"/>
              </w:rPr>
              <w:t>deltaF-PUCCH-f1</w:t>
            </w:r>
          </w:p>
          <w:p w14:paraId="563BE065" w14:textId="77777777" w:rsidR="00394471" w:rsidRPr="00FA0D37" w:rsidRDefault="00394471" w:rsidP="00964CC4">
            <w:pPr>
              <w:pStyle w:val="TAL"/>
              <w:rPr>
                <w:szCs w:val="22"/>
                <w:lang w:eastAsia="sv-SE"/>
              </w:rPr>
            </w:pPr>
            <w:r w:rsidRPr="00FA0D37">
              <w:rPr>
                <w:szCs w:val="22"/>
                <w:lang w:eastAsia="sv-SE"/>
              </w:rPr>
              <w:t>deltaF for PUCCH format 1 with 1dB step size (see TS 38.213 [13], clause 7.2).</w:t>
            </w:r>
          </w:p>
        </w:tc>
      </w:tr>
      <w:tr w:rsidR="005C7FF4" w:rsidRPr="00FA0D37"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FA0D37" w:rsidRDefault="00394471" w:rsidP="00964CC4">
            <w:pPr>
              <w:pStyle w:val="TAL"/>
              <w:rPr>
                <w:szCs w:val="22"/>
                <w:lang w:eastAsia="sv-SE"/>
              </w:rPr>
            </w:pPr>
            <w:r w:rsidRPr="00FA0D37">
              <w:rPr>
                <w:b/>
                <w:i/>
                <w:szCs w:val="22"/>
                <w:lang w:eastAsia="sv-SE"/>
              </w:rPr>
              <w:t>deltaF-PUCCH-f2</w:t>
            </w:r>
          </w:p>
          <w:p w14:paraId="0C6B001B" w14:textId="77777777" w:rsidR="00394471" w:rsidRPr="00FA0D37" w:rsidRDefault="00394471" w:rsidP="00964CC4">
            <w:pPr>
              <w:pStyle w:val="TAL"/>
              <w:rPr>
                <w:szCs w:val="22"/>
                <w:lang w:eastAsia="sv-SE"/>
              </w:rPr>
            </w:pPr>
            <w:r w:rsidRPr="00FA0D37">
              <w:rPr>
                <w:szCs w:val="22"/>
                <w:lang w:eastAsia="sv-SE"/>
              </w:rPr>
              <w:t>deltaF for PUCCH format 2 with 1dB step size (see TS 38.213 [13], clause 7.2).</w:t>
            </w:r>
          </w:p>
        </w:tc>
      </w:tr>
      <w:tr w:rsidR="005C7FF4" w:rsidRPr="00FA0D37"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FA0D37" w:rsidRDefault="00394471" w:rsidP="00964CC4">
            <w:pPr>
              <w:pStyle w:val="TAL"/>
              <w:rPr>
                <w:szCs w:val="22"/>
                <w:lang w:eastAsia="sv-SE"/>
              </w:rPr>
            </w:pPr>
            <w:r w:rsidRPr="00FA0D37">
              <w:rPr>
                <w:b/>
                <w:i/>
                <w:szCs w:val="22"/>
                <w:lang w:eastAsia="sv-SE"/>
              </w:rPr>
              <w:t>deltaF-PUCCH-f3</w:t>
            </w:r>
          </w:p>
          <w:p w14:paraId="49F11EBA" w14:textId="77777777" w:rsidR="00394471" w:rsidRPr="00FA0D37" w:rsidRDefault="00394471" w:rsidP="00964CC4">
            <w:pPr>
              <w:pStyle w:val="TAL"/>
              <w:rPr>
                <w:szCs w:val="22"/>
                <w:lang w:eastAsia="sv-SE"/>
              </w:rPr>
            </w:pPr>
            <w:r w:rsidRPr="00FA0D37">
              <w:rPr>
                <w:szCs w:val="22"/>
                <w:lang w:eastAsia="sv-SE"/>
              </w:rPr>
              <w:t>deltaF for PUCCH format 3 with 1dB step size (see TS 38.213 [13], clause 7.2).</w:t>
            </w:r>
          </w:p>
        </w:tc>
      </w:tr>
      <w:tr w:rsidR="005C7FF4" w:rsidRPr="00FA0D37"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FA0D37" w:rsidRDefault="00394471" w:rsidP="00964CC4">
            <w:pPr>
              <w:pStyle w:val="TAL"/>
              <w:rPr>
                <w:szCs w:val="22"/>
                <w:lang w:eastAsia="sv-SE"/>
              </w:rPr>
            </w:pPr>
            <w:r w:rsidRPr="00FA0D37">
              <w:rPr>
                <w:b/>
                <w:i/>
                <w:szCs w:val="22"/>
                <w:lang w:eastAsia="sv-SE"/>
              </w:rPr>
              <w:t>deltaF-PUCCH-f4</w:t>
            </w:r>
          </w:p>
          <w:p w14:paraId="2565745C" w14:textId="77777777" w:rsidR="00394471" w:rsidRPr="00FA0D37" w:rsidRDefault="00394471" w:rsidP="00964CC4">
            <w:pPr>
              <w:pStyle w:val="TAL"/>
              <w:rPr>
                <w:szCs w:val="22"/>
                <w:lang w:eastAsia="sv-SE"/>
              </w:rPr>
            </w:pPr>
            <w:r w:rsidRPr="00FA0D37">
              <w:rPr>
                <w:szCs w:val="22"/>
                <w:lang w:eastAsia="sv-SE"/>
              </w:rPr>
              <w:t>deltaF for PUCCH format 4 with 1dB step size (see TS 38.213 [13], clause 7.2).</w:t>
            </w:r>
          </w:p>
        </w:tc>
      </w:tr>
      <w:tr w:rsidR="005C7FF4" w:rsidRPr="00FA0D37"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FA0D37" w:rsidRDefault="00394471" w:rsidP="00964CC4">
            <w:pPr>
              <w:pStyle w:val="TAL"/>
              <w:rPr>
                <w:szCs w:val="22"/>
                <w:lang w:eastAsia="sv-SE"/>
              </w:rPr>
            </w:pPr>
            <w:r w:rsidRPr="00FA0D37">
              <w:rPr>
                <w:b/>
                <w:i/>
                <w:szCs w:val="22"/>
                <w:lang w:eastAsia="sv-SE"/>
              </w:rPr>
              <w:t>p0-Set</w:t>
            </w:r>
          </w:p>
          <w:p w14:paraId="3F2A3FA9" w14:textId="77777777" w:rsidR="00394471" w:rsidRPr="00FA0D37" w:rsidRDefault="00394471" w:rsidP="00964CC4">
            <w:pPr>
              <w:pStyle w:val="TAL"/>
              <w:rPr>
                <w:szCs w:val="22"/>
                <w:lang w:eastAsia="sv-SE"/>
              </w:rPr>
            </w:pPr>
            <w:r w:rsidRPr="00FA0D37">
              <w:rPr>
                <w:szCs w:val="22"/>
                <w:lang w:eastAsia="sv-SE"/>
              </w:rPr>
              <w:t>A set with dedicated P0 values for PUCCH, i.e.,  {P01, P02,... } (see TS 38.213 [13], clause 7.2).</w:t>
            </w:r>
          </w:p>
        </w:tc>
      </w:tr>
      <w:tr w:rsidR="005C7FF4" w:rsidRPr="00FA0D37"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FA0D37" w:rsidRDefault="00394471" w:rsidP="00964CC4">
            <w:pPr>
              <w:pStyle w:val="TAL"/>
              <w:rPr>
                <w:szCs w:val="22"/>
                <w:lang w:eastAsia="sv-SE"/>
              </w:rPr>
            </w:pPr>
            <w:r w:rsidRPr="00FA0D37">
              <w:rPr>
                <w:b/>
                <w:i/>
                <w:szCs w:val="22"/>
                <w:lang w:eastAsia="sv-SE"/>
              </w:rPr>
              <w:t>pathlossReferenceRSs, pathlossReferenceRSs-v1610</w:t>
            </w:r>
          </w:p>
          <w:p w14:paraId="7D7DF3E0" w14:textId="2F51B982" w:rsidR="00394471" w:rsidRPr="00FA0D37" w:rsidRDefault="00394471" w:rsidP="00964CC4">
            <w:pPr>
              <w:pStyle w:val="TAL"/>
              <w:rPr>
                <w:szCs w:val="22"/>
                <w:lang w:eastAsia="sv-SE"/>
              </w:rPr>
            </w:pPr>
            <w:r w:rsidRPr="00FA0D37">
              <w:rPr>
                <w:szCs w:val="22"/>
                <w:lang w:eastAsia="sv-SE"/>
              </w:rPr>
              <w:t xml:space="preserve">A set of Reference Signals (e.g. a CSI-RS config or a SS block) to be used for PUCCH pathloss estimation. Up to </w:t>
            </w:r>
            <w:r w:rsidRPr="00FA0D37">
              <w:rPr>
                <w:i/>
                <w:szCs w:val="22"/>
                <w:lang w:eastAsia="sv-SE"/>
              </w:rPr>
              <w:t>maxNrofPUCCH-PathlossReference-RSs</w:t>
            </w:r>
            <w:r w:rsidRPr="00FA0D37">
              <w:rPr>
                <w:szCs w:val="22"/>
                <w:lang w:eastAsia="sv-SE"/>
              </w:rPr>
              <w:t xml:space="preserve"> may be configured. If the field is not configured, the UE uses the SSB as reference signal (see TS 38.213 [13], clause 7.2).</w:t>
            </w:r>
            <w:r w:rsidRPr="00FA0D37">
              <w:rPr>
                <w:lang w:eastAsia="sv-SE"/>
              </w:rPr>
              <w:t xml:space="preserve"> </w:t>
            </w:r>
            <w:r w:rsidRPr="00FA0D37">
              <w:rPr>
                <w:szCs w:val="22"/>
                <w:lang w:eastAsia="sv-SE"/>
              </w:rPr>
              <w:t>The set includes Reference Signals indicated in pathlossReferenceRSs (without suffix) and in pathlossReferenceRSs-v1610.</w:t>
            </w:r>
            <w:r w:rsidR="00F70B03" w:rsidRPr="00FA0D37">
              <w:rPr>
                <w:szCs w:val="22"/>
                <w:lang w:eastAsia="sv-SE"/>
              </w:rPr>
              <w:t xml:space="preserve"> The UE maintains </w:t>
            </w:r>
            <w:r w:rsidR="00F70B03" w:rsidRPr="00FA0D37">
              <w:rPr>
                <w:i/>
                <w:szCs w:val="22"/>
                <w:lang w:eastAsia="sv-SE"/>
              </w:rPr>
              <w:t>pathlossReferenceRSs</w:t>
            </w:r>
            <w:r w:rsidR="00F70B03" w:rsidRPr="00FA0D37">
              <w:rPr>
                <w:szCs w:val="22"/>
                <w:lang w:eastAsia="sv-SE"/>
              </w:rPr>
              <w:t xml:space="preserve"> and </w:t>
            </w:r>
            <w:r w:rsidR="00F70B03" w:rsidRPr="00FA0D37">
              <w:rPr>
                <w:i/>
                <w:szCs w:val="22"/>
                <w:lang w:eastAsia="sv-SE"/>
              </w:rPr>
              <w:t>pathlossReferenceRSs-v1610</w:t>
            </w:r>
            <w:r w:rsidR="00F70B03" w:rsidRPr="00FA0D37">
              <w:rPr>
                <w:szCs w:val="22"/>
                <w:lang w:eastAsia="sv-SE"/>
              </w:rPr>
              <w:t xml:space="preserve"> separately: Receiving </w:t>
            </w:r>
            <w:r w:rsidR="00F70B03" w:rsidRPr="00FA0D37">
              <w:rPr>
                <w:i/>
                <w:szCs w:val="22"/>
                <w:lang w:eastAsia="sv-SE"/>
              </w:rPr>
              <w:t>pathlossReferenceRSs-v1610</w:t>
            </w:r>
            <w:r w:rsidR="00F70B03" w:rsidRPr="00FA0D37">
              <w:rPr>
                <w:szCs w:val="22"/>
                <w:lang w:eastAsia="sv-SE"/>
              </w:rPr>
              <w:t xml:space="preserve"> set to </w:t>
            </w:r>
            <w:r w:rsidR="00F70B03" w:rsidRPr="00FA0D37">
              <w:rPr>
                <w:i/>
                <w:szCs w:val="22"/>
                <w:lang w:eastAsia="sv-SE"/>
              </w:rPr>
              <w:t>release</w:t>
            </w:r>
            <w:r w:rsidR="00F70B03" w:rsidRPr="00FA0D37">
              <w:rPr>
                <w:szCs w:val="22"/>
                <w:lang w:eastAsia="sv-SE"/>
              </w:rPr>
              <w:t xml:space="preserve"> releases only the entries that were configured by </w:t>
            </w:r>
            <w:r w:rsidR="00F70B03" w:rsidRPr="00FA0D37">
              <w:rPr>
                <w:i/>
                <w:szCs w:val="22"/>
                <w:lang w:eastAsia="sv-SE"/>
              </w:rPr>
              <w:t>pathlossReferenceRSs-v1610</w:t>
            </w:r>
            <w:r w:rsidR="00F70B03" w:rsidRPr="00FA0D37">
              <w:rPr>
                <w:szCs w:val="22"/>
                <w:lang w:eastAsia="sv-SE"/>
              </w:rPr>
              <w:t xml:space="preserve">, and receiving </w:t>
            </w:r>
            <w:r w:rsidR="00F70B03" w:rsidRPr="00FA0D37">
              <w:rPr>
                <w:i/>
                <w:szCs w:val="22"/>
                <w:lang w:eastAsia="sv-SE"/>
              </w:rPr>
              <w:t>pathlossReferenceRSs-v1610</w:t>
            </w:r>
            <w:r w:rsidR="00F70B03" w:rsidRPr="00FA0D37">
              <w:rPr>
                <w:szCs w:val="22"/>
                <w:lang w:eastAsia="sv-SE"/>
              </w:rPr>
              <w:t xml:space="preserve"> set to </w:t>
            </w:r>
            <w:r w:rsidR="00F70B03" w:rsidRPr="00FA0D37">
              <w:rPr>
                <w:i/>
                <w:szCs w:val="22"/>
                <w:lang w:eastAsia="sv-SE"/>
              </w:rPr>
              <w:t>setup</w:t>
            </w:r>
            <w:r w:rsidR="00F70B03" w:rsidRPr="00FA0D37">
              <w:rPr>
                <w:szCs w:val="22"/>
                <w:lang w:eastAsia="sv-SE"/>
              </w:rPr>
              <w:t xml:space="preserve"> replaces only the entries that were configured by </w:t>
            </w:r>
            <w:r w:rsidR="00F70B03" w:rsidRPr="00FA0D37">
              <w:rPr>
                <w:i/>
                <w:szCs w:val="22"/>
                <w:lang w:eastAsia="sv-SE"/>
              </w:rPr>
              <w:t>pathlossReferenceRSs-v1610</w:t>
            </w:r>
            <w:r w:rsidR="00F70B03" w:rsidRPr="00FA0D37">
              <w:rPr>
                <w:szCs w:val="22"/>
                <w:lang w:eastAsia="sv-SE"/>
              </w:rPr>
              <w:t xml:space="preserve"> with the newly signalled entries.</w:t>
            </w:r>
          </w:p>
        </w:tc>
      </w:tr>
      <w:tr w:rsidR="00394471" w:rsidRPr="00FA0D37"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FA0D37" w:rsidRDefault="00394471" w:rsidP="00964CC4">
            <w:pPr>
              <w:pStyle w:val="TAL"/>
              <w:rPr>
                <w:szCs w:val="22"/>
                <w:lang w:eastAsia="sv-SE"/>
              </w:rPr>
            </w:pPr>
            <w:r w:rsidRPr="00FA0D37">
              <w:rPr>
                <w:b/>
                <w:i/>
                <w:szCs w:val="22"/>
                <w:lang w:eastAsia="sv-SE"/>
              </w:rPr>
              <w:t>twoPUCCH-PC-AdjustmentStates</w:t>
            </w:r>
          </w:p>
          <w:p w14:paraId="151B7723" w14:textId="77777777" w:rsidR="00394471" w:rsidRPr="00FA0D37" w:rsidRDefault="00394471" w:rsidP="00964CC4">
            <w:pPr>
              <w:pStyle w:val="TAL"/>
              <w:rPr>
                <w:szCs w:val="22"/>
                <w:lang w:eastAsia="sv-SE"/>
              </w:rPr>
            </w:pPr>
            <w:r w:rsidRPr="00FA0D37">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FA0D37" w:rsidRDefault="00394471" w:rsidP="00394471"/>
    <w:p w14:paraId="7559C342" w14:textId="77777777" w:rsidR="00394471" w:rsidRPr="00FA0D37" w:rsidRDefault="00394471" w:rsidP="00394471">
      <w:pPr>
        <w:pStyle w:val="4"/>
      </w:pPr>
      <w:bookmarkStart w:id="1254" w:name="_Toc60777319"/>
      <w:bookmarkStart w:id="1255" w:name="_Toc146781398"/>
      <w:r w:rsidRPr="00FA0D37">
        <w:t>–</w:t>
      </w:r>
      <w:r w:rsidRPr="00FA0D37">
        <w:tab/>
      </w:r>
      <w:r w:rsidRPr="00FA0D37">
        <w:rPr>
          <w:i/>
        </w:rPr>
        <w:t>PUCCH-SpatialRelationInfo</w:t>
      </w:r>
      <w:bookmarkEnd w:id="1254"/>
      <w:bookmarkEnd w:id="1255"/>
    </w:p>
    <w:p w14:paraId="0FA4AE85" w14:textId="77777777" w:rsidR="00394471" w:rsidRPr="00FA0D37" w:rsidRDefault="00394471" w:rsidP="00394471">
      <w:r w:rsidRPr="00FA0D37">
        <w:t xml:space="preserve">The IE </w:t>
      </w:r>
      <w:r w:rsidRPr="00FA0D37">
        <w:rPr>
          <w:i/>
        </w:rPr>
        <w:t>PUCCH-SpatialRelationInfo</w:t>
      </w:r>
      <w:r w:rsidRPr="00FA0D37">
        <w:t xml:space="preserve"> is used to configure the spatial setting for PUCCH transmission and the parameters for PUCCH power control, see TS 38.213, [13], clause 9.2.2.</w:t>
      </w:r>
    </w:p>
    <w:p w14:paraId="3BC7DB64" w14:textId="77777777" w:rsidR="00394471" w:rsidRPr="00FA0D37" w:rsidRDefault="00394471" w:rsidP="00394471">
      <w:pPr>
        <w:pStyle w:val="TH"/>
      </w:pPr>
      <w:r w:rsidRPr="00FA0D37">
        <w:rPr>
          <w:i/>
        </w:rPr>
        <w:t>PUCCH-SpatialRelationInfo</w:t>
      </w:r>
      <w:r w:rsidRPr="00FA0D37">
        <w:t xml:space="preserve"> information element</w:t>
      </w:r>
    </w:p>
    <w:p w14:paraId="7D385235" w14:textId="77777777" w:rsidR="00394471" w:rsidRPr="00FA0D37" w:rsidRDefault="00394471" w:rsidP="00FA0D37">
      <w:pPr>
        <w:pStyle w:val="PL"/>
        <w:rPr>
          <w:color w:val="808080"/>
        </w:rPr>
      </w:pPr>
      <w:r w:rsidRPr="00FA0D37">
        <w:rPr>
          <w:color w:val="808080"/>
        </w:rPr>
        <w:t>-- ASN1START</w:t>
      </w:r>
    </w:p>
    <w:p w14:paraId="74B6B502" w14:textId="77777777" w:rsidR="00394471" w:rsidRPr="00FA0D37" w:rsidRDefault="00394471" w:rsidP="00FA0D37">
      <w:pPr>
        <w:pStyle w:val="PL"/>
        <w:rPr>
          <w:color w:val="808080"/>
        </w:rPr>
      </w:pPr>
      <w:r w:rsidRPr="00FA0D37">
        <w:rPr>
          <w:color w:val="808080"/>
        </w:rPr>
        <w:t>-- TAG-PUCCH-SPATIALRELATIONINFO-START</w:t>
      </w:r>
    </w:p>
    <w:p w14:paraId="204B1460" w14:textId="77777777" w:rsidR="00394471" w:rsidRPr="00FA0D37" w:rsidRDefault="00394471" w:rsidP="00FA0D37">
      <w:pPr>
        <w:pStyle w:val="PL"/>
      </w:pPr>
    </w:p>
    <w:p w14:paraId="7B596A15" w14:textId="77777777" w:rsidR="00394471" w:rsidRPr="00FA0D37" w:rsidRDefault="00394471" w:rsidP="00FA0D37">
      <w:pPr>
        <w:pStyle w:val="PL"/>
      </w:pPr>
      <w:r w:rsidRPr="00FA0D37">
        <w:t xml:space="preserve">PUCCH-SpatialRelationInfo ::=           </w:t>
      </w:r>
      <w:r w:rsidRPr="00FA0D37">
        <w:rPr>
          <w:color w:val="993366"/>
        </w:rPr>
        <w:t>SEQUENCE</w:t>
      </w:r>
      <w:r w:rsidRPr="00FA0D37">
        <w:t xml:space="preserve"> {</w:t>
      </w:r>
    </w:p>
    <w:p w14:paraId="3047A536" w14:textId="77777777" w:rsidR="00394471" w:rsidRPr="00FA0D37" w:rsidRDefault="00394471" w:rsidP="00FA0D37">
      <w:pPr>
        <w:pStyle w:val="PL"/>
      </w:pPr>
      <w:r w:rsidRPr="00FA0D37">
        <w:t xml:space="preserve">    pucch-SpatialRelationInfoId         PUCCH-SpatialRelationInfoId,</w:t>
      </w:r>
    </w:p>
    <w:p w14:paraId="4799CC94" w14:textId="77777777" w:rsidR="00394471" w:rsidRPr="00FA0D37" w:rsidRDefault="00394471" w:rsidP="00FA0D37">
      <w:pPr>
        <w:pStyle w:val="PL"/>
        <w:rPr>
          <w:color w:val="808080"/>
        </w:rPr>
      </w:pPr>
      <w:r w:rsidRPr="00FA0D37">
        <w:t xml:space="preserve">    servingCellId                           ServCellIndex                                                    </w:t>
      </w:r>
      <w:r w:rsidRPr="00FA0D37">
        <w:rPr>
          <w:color w:val="993366"/>
        </w:rPr>
        <w:t>OPTIONAL</w:t>
      </w:r>
      <w:r w:rsidRPr="00FA0D37">
        <w:t xml:space="preserve">,   </w:t>
      </w:r>
      <w:r w:rsidRPr="00FA0D37">
        <w:rPr>
          <w:color w:val="808080"/>
        </w:rPr>
        <w:t>-- Need S</w:t>
      </w:r>
    </w:p>
    <w:p w14:paraId="724A19F0" w14:textId="77777777" w:rsidR="00394471" w:rsidRPr="00FA0D37" w:rsidRDefault="00394471" w:rsidP="00FA0D37">
      <w:pPr>
        <w:pStyle w:val="PL"/>
      </w:pPr>
      <w:r w:rsidRPr="00FA0D37">
        <w:t xml:space="preserve">    referenceSignal                         </w:t>
      </w:r>
      <w:r w:rsidRPr="00FA0D37">
        <w:rPr>
          <w:color w:val="993366"/>
        </w:rPr>
        <w:t>CHOICE</w:t>
      </w:r>
      <w:r w:rsidRPr="00FA0D37">
        <w:t xml:space="preserve"> {</w:t>
      </w:r>
    </w:p>
    <w:p w14:paraId="1FD1F3AA" w14:textId="77777777" w:rsidR="00394471" w:rsidRPr="00FA0D37" w:rsidRDefault="00394471" w:rsidP="00FA0D37">
      <w:pPr>
        <w:pStyle w:val="PL"/>
      </w:pPr>
      <w:r w:rsidRPr="00FA0D37">
        <w:t xml:space="preserve">        ssb-Index                               SSB-Index,</w:t>
      </w:r>
    </w:p>
    <w:p w14:paraId="547D94C0" w14:textId="77777777" w:rsidR="00394471" w:rsidRPr="00FA0D37" w:rsidRDefault="00394471" w:rsidP="00FA0D37">
      <w:pPr>
        <w:pStyle w:val="PL"/>
      </w:pPr>
      <w:r w:rsidRPr="00FA0D37">
        <w:t xml:space="preserve">        csi-RS-Index                            NZP-CSI-RS-ResourceId,</w:t>
      </w:r>
    </w:p>
    <w:p w14:paraId="70C07B57" w14:textId="77777777" w:rsidR="00394471" w:rsidRPr="00FA0D37" w:rsidRDefault="00394471" w:rsidP="00FA0D37">
      <w:pPr>
        <w:pStyle w:val="PL"/>
      </w:pPr>
      <w:r w:rsidRPr="00FA0D37">
        <w:t xml:space="preserve">        srs                                     PUCCH-SRS</w:t>
      </w:r>
    </w:p>
    <w:p w14:paraId="2348A088" w14:textId="77777777" w:rsidR="00394471" w:rsidRPr="00FA0D37" w:rsidRDefault="00394471" w:rsidP="00FA0D37">
      <w:pPr>
        <w:pStyle w:val="PL"/>
      </w:pPr>
      <w:r w:rsidRPr="00FA0D37">
        <w:t xml:space="preserve">    },</w:t>
      </w:r>
    </w:p>
    <w:p w14:paraId="344358D9" w14:textId="77777777" w:rsidR="00394471" w:rsidRPr="00FA0D37" w:rsidRDefault="00394471" w:rsidP="00FA0D37">
      <w:pPr>
        <w:pStyle w:val="PL"/>
      </w:pPr>
      <w:r w:rsidRPr="00FA0D37">
        <w:t xml:space="preserve">    pucch-PathlossReferenceRS-Id            PUCCH-PathlossReferenceRS-Id,</w:t>
      </w:r>
    </w:p>
    <w:p w14:paraId="16B455B3" w14:textId="77777777" w:rsidR="00394471" w:rsidRPr="00FA0D37" w:rsidRDefault="00394471" w:rsidP="00FA0D37">
      <w:pPr>
        <w:pStyle w:val="PL"/>
      </w:pPr>
      <w:r w:rsidRPr="00FA0D37">
        <w:t xml:space="preserve">    p0-PUCCH-Id                             P0-PUCCH-Id,</w:t>
      </w:r>
    </w:p>
    <w:p w14:paraId="1F4877D7" w14:textId="77777777" w:rsidR="00394471" w:rsidRPr="00FA0D37" w:rsidRDefault="00394471" w:rsidP="00FA0D37">
      <w:pPr>
        <w:pStyle w:val="PL"/>
      </w:pPr>
      <w:r w:rsidRPr="00FA0D37">
        <w:t xml:space="preserve">    closedLoopIndex                         </w:t>
      </w:r>
      <w:r w:rsidRPr="00FA0D37">
        <w:rPr>
          <w:color w:val="993366"/>
        </w:rPr>
        <w:t>ENUMERATED</w:t>
      </w:r>
      <w:r w:rsidRPr="00FA0D37">
        <w:t xml:space="preserve"> { i0, i1 }</w:t>
      </w:r>
    </w:p>
    <w:p w14:paraId="3A2A3558" w14:textId="77777777" w:rsidR="00394471" w:rsidRPr="00FA0D37" w:rsidRDefault="00394471" w:rsidP="00FA0D37">
      <w:pPr>
        <w:pStyle w:val="PL"/>
      </w:pPr>
      <w:r w:rsidRPr="00FA0D37">
        <w:t>}</w:t>
      </w:r>
    </w:p>
    <w:p w14:paraId="004D3A54" w14:textId="77777777" w:rsidR="00394471" w:rsidRPr="00FA0D37" w:rsidRDefault="00394471" w:rsidP="00FA0D37">
      <w:pPr>
        <w:pStyle w:val="PL"/>
      </w:pPr>
    </w:p>
    <w:p w14:paraId="2DC35553" w14:textId="77777777" w:rsidR="00394471" w:rsidRPr="00FA0D37" w:rsidRDefault="00394471" w:rsidP="00FA0D37">
      <w:pPr>
        <w:pStyle w:val="PL"/>
      </w:pPr>
      <w:r w:rsidRPr="00FA0D37">
        <w:t xml:space="preserve">PUCCH-SpatialRelationInfoExt-r16 ::=       </w:t>
      </w:r>
      <w:r w:rsidRPr="00FA0D37">
        <w:rPr>
          <w:color w:val="993366"/>
        </w:rPr>
        <w:t>SEQUENCE</w:t>
      </w:r>
      <w:r w:rsidRPr="00FA0D37">
        <w:t xml:space="preserve"> {</w:t>
      </w:r>
    </w:p>
    <w:p w14:paraId="39AD1C75" w14:textId="6D468F75" w:rsidR="00394471" w:rsidRPr="00FA0D37" w:rsidRDefault="00394471" w:rsidP="00FA0D37">
      <w:pPr>
        <w:pStyle w:val="PL"/>
        <w:rPr>
          <w:color w:val="808080"/>
        </w:rPr>
      </w:pPr>
      <w:r w:rsidRPr="00FA0D37">
        <w:t xml:space="preserve">    pucch-SpatialRelationInfoId-v1610         PUCCH-SpatialRelationInfoId-v1610                              </w:t>
      </w:r>
      <w:r w:rsidRPr="00FA0D37">
        <w:rPr>
          <w:color w:val="993366"/>
        </w:rPr>
        <w:t>OPTIONAL</w:t>
      </w:r>
      <w:r w:rsidRPr="00FA0D37">
        <w:t xml:space="preserve">,   </w:t>
      </w:r>
      <w:r w:rsidRPr="00FA0D37">
        <w:rPr>
          <w:color w:val="808080"/>
        </w:rPr>
        <w:t xml:space="preserve">-- </w:t>
      </w:r>
      <w:r w:rsidR="00AF0F64" w:rsidRPr="00FA0D37">
        <w:rPr>
          <w:color w:val="808080"/>
        </w:rPr>
        <w:t>Need S</w:t>
      </w:r>
    </w:p>
    <w:p w14:paraId="41298B6C" w14:textId="77777777" w:rsidR="00394471" w:rsidRPr="00FA0D37" w:rsidRDefault="00394471" w:rsidP="00FA0D37">
      <w:pPr>
        <w:pStyle w:val="PL"/>
        <w:rPr>
          <w:color w:val="808080"/>
        </w:rPr>
      </w:pPr>
      <w:r w:rsidRPr="00FA0D37">
        <w:t xml:space="preserve">    pucch-PathlossReferenceRS-Id-v1610        PUCCH-PathlossReferenceRS-Id-v1610                             </w:t>
      </w:r>
      <w:r w:rsidRPr="00FA0D37">
        <w:rPr>
          <w:color w:val="993366"/>
        </w:rPr>
        <w:t>OPTIONAL</w:t>
      </w:r>
      <w:r w:rsidRPr="00FA0D37">
        <w:t xml:space="preserve">,    </w:t>
      </w:r>
      <w:r w:rsidRPr="00FA0D37">
        <w:rPr>
          <w:color w:val="808080"/>
        </w:rPr>
        <w:t>--Need R</w:t>
      </w:r>
    </w:p>
    <w:p w14:paraId="71D67CAE" w14:textId="77777777" w:rsidR="00394471" w:rsidRPr="00FA0D37" w:rsidRDefault="00394471" w:rsidP="00FA0D37">
      <w:pPr>
        <w:pStyle w:val="PL"/>
      </w:pPr>
      <w:r w:rsidRPr="00FA0D37">
        <w:t xml:space="preserve">    ...</w:t>
      </w:r>
    </w:p>
    <w:p w14:paraId="4C7A263B" w14:textId="77777777" w:rsidR="00394471" w:rsidRPr="00FA0D37" w:rsidRDefault="00394471" w:rsidP="00FA0D37">
      <w:pPr>
        <w:pStyle w:val="PL"/>
      </w:pPr>
      <w:r w:rsidRPr="00FA0D37">
        <w:t>}</w:t>
      </w:r>
    </w:p>
    <w:p w14:paraId="05198B91" w14:textId="77777777" w:rsidR="00394471" w:rsidRPr="00FA0D37" w:rsidRDefault="00394471" w:rsidP="00FA0D37">
      <w:pPr>
        <w:pStyle w:val="PL"/>
      </w:pPr>
    </w:p>
    <w:p w14:paraId="400BDCE4" w14:textId="3F69B527" w:rsidR="00394471" w:rsidRPr="00FA0D37" w:rsidRDefault="00394471" w:rsidP="00FA0D37">
      <w:pPr>
        <w:pStyle w:val="PL"/>
      </w:pPr>
      <w:r w:rsidRPr="00FA0D37">
        <w:t xml:space="preserve">PUCCH-SRS ::= </w:t>
      </w:r>
      <w:r w:rsidR="00073C2B" w:rsidRPr="00FA0D37">
        <w:t xml:space="preserve">                      </w:t>
      </w:r>
      <w:r w:rsidRPr="00FA0D37">
        <w:rPr>
          <w:color w:val="993366"/>
        </w:rPr>
        <w:t>SEQUENCE</w:t>
      </w:r>
      <w:r w:rsidRPr="00FA0D37">
        <w:t xml:space="preserve"> {</w:t>
      </w:r>
    </w:p>
    <w:p w14:paraId="2225FEE8" w14:textId="77777777" w:rsidR="00394471" w:rsidRPr="00FA0D37" w:rsidRDefault="00394471" w:rsidP="00FA0D37">
      <w:pPr>
        <w:pStyle w:val="PL"/>
      </w:pPr>
      <w:r w:rsidRPr="00FA0D37">
        <w:t xml:space="preserve">    resource                            SRS-ResourceId,</w:t>
      </w:r>
    </w:p>
    <w:p w14:paraId="26B0C939" w14:textId="77777777" w:rsidR="00394471" w:rsidRPr="00FA0D37" w:rsidRDefault="00394471" w:rsidP="00FA0D37">
      <w:pPr>
        <w:pStyle w:val="PL"/>
      </w:pPr>
      <w:r w:rsidRPr="00FA0D37">
        <w:t xml:space="preserve">    uplinkBWP                           BWP-Id</w:t>
      </w:r>
    </w:p>
    <w:p w14:paraId="6724595C" w14:textId="328EECCA" w:rsidR="00394471" w:rsidRPr="00FA0D37" w:rsidRDefault="00394471" w:rsidP="00FA0D37">
      <w:pPr>
        <w:pStyle w:val="PL"/>
      </w:pPr>
      <w:r w:rsidRPr="00FA0D37">
        <w:t>}</w:t>
      </w:r>
    </w:p>
    <w:p w14:paraId="301ECB1D" w14:textId="77777777" w:rsidR="00CC170E" w:rsidRPr="00FA0D37" w:rsidRDefault="00CC170E" w:rsidP="00FA0D37">
      <w:pPr>
        <w:pStyle w:val="PL"/>
      </w:pPr>
    </w:p>
    <w:p w14:paraId="78850D76" w14:textId="77777777" w:rsidR="00394471" w:rsidRPr="00FA0D37" w:rsidRDefault="00394471" w:rsidP="00FA0D37">
      <w:pPr>
        <w:pStyle w:val="PL"/>
        <w:rPr>
          <w:color w:val="808080"/>
        </w:rPr>
      </w:pPr>
      <w:r w:rsidRPr="00FA0D37">
        <w:rPr>
          <w:color w:val="808080"/>
        </w:rPr>
        <w:t>-- TAG-PUCCH-SPATIALRELATIONINFO-STOP</w:t>
      </w:r>
    </w:p>
    <w:p w14:paraId="23626F6A" w14:textId="77777777" w:rsidR="00394471" w:rsidRPr="00FA0D37" w:rsidRDefault="00394471" w:rsidP="00FA0D37">
      <w:pPr>
        <w:pStyle w:val="PL"/>
        <w:rPr>
          <w:color w:val="808080"/>
        </w:rPr>
      </w:pPr>
      <w:r w:rsidRPr="00FA0D37">
        <w:rPr>
          <w:color w:val="808080"/>
        </w:rPr>
        <w:t>-- ASN1STOP</w:t>
      </w:r>
    </w:p>
    <w:p w14:paraId="1258FF9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FA0D37" w:rsidRDefault="00394471" w:rsidP="00964CC4">
            <w:pPr>
              <w:pStyle w:val="TAH"/>
              <w:rPr>
                <w:szCs w:val="22"/>
                <w:lang w:eastAsia="sv-SE"/>
              </w:rPr>
            </w:pPr>
            <w:r w:rsidRPr="00FA0D37">
              <w:rPr>
                <w:i/>
                <w:szCs w:val="22"/>
                <w:lang w:eastAsia="sv-SE"/>
              </w:rPr>
              <w:t xml:space="preserve">PUCCH-SpatialRelationInfo </w:t>
            </w:r>
            <w:r w:rsidRPr="00FA0D37">
              <w:rPr>
                <w:szCs w:val="22"/>
                <w:lang w:eastAsia="sv-SE"/>
              </w:rPr>
              <w:t>field descriptions</w:t>
            </w:r>
          </w:p>
        </w:tc>
      </w:tr>
      <w:tr w:rsidR="005C7FF4" w:rsidRPr="00FA0D37"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FA0D37" w:rsidRDefault="00394471" w:rsidP="00964CC4">
            <w:pPr>
              <w:pStyle w:val="TAL"/>
              <w:rPr>
                <w:szCs w:val="22"/>
                <w:lang w:eastAsia="sv-SE"/>
              </w:rPr>
            </w:pPr>
            <w:r w:rsidRPr="00FA0D37">
              <w:rPr>
                <w:b/>
                <w:i/>
                <w:szCs w:val="22"/>
                <w:lang w:eastAsia="sv-SE"/>
              </w:rPr>
              <w:t>pucch-PathLossReferenceRS-Id</w:t>
            </w:r>
          </w:p>
          <w:p w14:paraId="6FE8D9BD" w14:textId="77777777" w:rsidR="00394471" w:rsidRPr="00FA0D37" w:rsidRDefault="00394471" w:rsidP="00964CC4">
            <w:pPr>
              <w:pStyle w:val="TAL"/>
              <w:rPr>
                <w:szCs w:val="22"/>
                <w:lang w:eastAsia="sv-SE"/>
              </w:rPr>
            </w:pPr>
            <w:r w:rsidRPr="00FA0D37">
              <w:rPr>
                <w:szCs w:val="22"/>
                <w:lang w:eastAsia="sv-SE"/>
              </w:rPr>
              <w:t xml:space="preserve">When </w:t>
            </w:r>
            <w:r w:rsidRPr="00FA0D37">
              <w:rPr>
                <w:i/>
                <w:lang w:eastAsia="sv-SE"/>
              </w:rPr>
              <w:t>pucch-PathLossReferenceRS-Id-v1610</w:t>
            </w:r>
            <w:r w:rsidRPr="00FA0D37">
              <w:rPr>
                <w:szCs w:val="22"/>
                <w:lang w:eastAsia="sv-SE"/>
              </w:rPr>
              <w:t xml:space="preserve"> is configured, the UE shall ignore </w:t>
            </w:r>
            <w:r w:rsidRPr="00FA0D37">
              <w:rPr>
                <w:i/>
                <w:lang w:eastAsia="sv-SE"/>
              </w:rPr>
              <w:t>pucch-PathLossReferenceRS-Id</w:t>
            </w:r>
            <w:r w:rsidRPr="00FA0D37">
              <w:rPr>
                <w:lang w:eastAsia="sv-SE"/>
              </w:rPr>
              <w:t xml:space="preserve"> (without suffix)</w:t>
            </w:r>
            <w:r w:rsidRPr="00FA0D37">
              <w:rPr>
                <w:szCs w:val="22"/>
                <w:lang w:eastAsia="sv-SE"/>
              </w:rPr>
              <w:t>.</w:t>
            </w:r>
          </w:p>
        </w:tc>
      </w:tr>
      <w:tr w:rsidR="005C7FF4" w:rsidRPr="00FA0D37"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FA0D37" w:rsidRDefault="00394471" w:rsidP="00964CC4">
            <w:pPr>
              <w:pStyle w:val="TAL"/>
              <w:rPr>
                <w:szCs w:val="22"/>
                <w:lang w:eastAsia="sv-SE"/>
              </w:rPr>
            </w:pPr>
            <w:r w:rsidRPr="00FA0D37">
              <w:rPr>
                <w:b/>
                <w:i/>
                <w:szCs w:val="22"/>
                <w:lang w:eastAsia="sv-SE"/>
              </w:rPr>
              <w:t>pucch-SpatialRelationInfoId</w:t>
            </w:r>
          </w:p>
          <w:p w14:paraId="3842C418" w14:textId="25A9B355" w:rsidR="00394471" w:rsidRPr="00FA0D37" w:rsidRDefault="00394471" w:rsidP="00964CC4">
            <w:pPr>
              <w:pStyle w:val="TAL"/>
              <w:rPr>
                <w:b/>
                <w:i/>
                <w:szCs w:val="22"/>
                <w:lang w:eastAsia="sv-SE"/>
              </w:rPr>
            </w:pPr>
            <w:r w:rsidRPr="00FA0D37">
              <w:rPr>
                <w:szCs w:val="22"/>
                <w:lang w:eastAsia="sv-SE"/>
              </w:rPr>
              <w:t xml:space="preserve">When </w:t>
            </w:r>
            <w:r w:rsidRPr="00FA0D37">
              <w:rPr>
                <w:i/>
                <w:lang w:eastAsia="sv-SE"/>
              </w:rPr>
              <w:t>pucch-SpatialRelationInfoId-v1610</w:t>
            </w:r>
            <w:r w:rsidRPr="00FA0D37">
              <w:rPr>
                <w:szCs w:val="22"/>
                <w:lang w:eastAsia="sv-SE"/>
              </w:rPr>
              <w:t xml:space="preserve"> is configured, the UE shall ignore </w:t>
            </w:r>
            <w:r w:rsidRPr="00FA0D37">
              <w:rPr>
                <w:i/>
                <w:lang w:eastAsia="sv-SE"/>
              </w:rPr>
              <w:t>pucch-SpatialRelationInfoId</w:t>
            </w:r>
            <w:r w:rsidRPr="00FA0D37">
              <w:rPr>
                <w:lang w:eastAsia="sv-SE"/>
              </w:rPr>
              <w:t xml:space="preserve"> (without suffix)</w:t>
            </w:r>
            <w:r w:rsidRPr="00FA0D37">
              <w:rPr>
                <w:szCs w:val="22"/>
                <w:lang w:eastAsia="sv-SE"/>
              </w:rPr>
              <w:t>.</w:t>
            </w:r>
            <w:r w:rsidR="00AF0F64" w:rsidRPr="00FA0D37">
              <w:rPr>
                <w:szCs w:val="22"/>
                <w:lang w:eastAsia="sv-SE"/>
              </w:rPr>
              <w:t xml:space="preserve"> If </w:t>
            </w:r>
            <w:r w:rsidR="00AF0F64" w:rsidRPr="00FA0D37">
              <w:rPr>
                <w:i/>
                <w:lang w:eastAsia="sv-SE"/>
              </w:rPr>
              <w:t>pucch-SpatialRelationInfo</w:t>
            </w:r>
            <w:r w:rsidR="002372B3" w:rsidRPr="00FA0D37">
              <w:rPr>
                <w:i/>
                <w:lang w:eastAsia="sv-SE"/>
              </w:rPr>
              <w:t>Id</w:t>
            </w:r>
            <w:r w:rsidR="00AF0F64" w:rsidRPr="00FA0D37">
              <w:rPr>
                <w:i/>
                <w:lang w:eastAsia="sv-SE"/>
              </w:rPr>
              <w:t xml:space="preserve">-v1610 is </w:t>
            </w:r>
            <w:r w:rsidR="00AF0F64" w:rsidRPr="00FA0D37">
              <w:rPr>
                <w:szCs w:val="22"/>
                <w:lang w:eastAsia="sv-SE"/>
              </w:rPr>
              <w:t xml:space="preserve">absent, the UE shall use the </w:t>
            </w:r>
            <w:r w:rsidR="00AF0F64" w:rsidRPr="00FA0D37">
              <w:rPr>
                <w:i/>
                <w:szCs w:val="22"/>
                <w:lang w:eastAsia="sv-SE"/>
              </w:rPr>
              <w:t>pucch-SpatialRelationInfoId</w:t>
            </w:r>
            <w:r w:rsidR="00AF0F64" w:rsidRPr="00FA0D37">
              <w:rPr>
                <w:szCs w:val="22"/>
                <w:lang w:eastAsia="sv-SE"/>
              </w:rPr>
              <w:t xml:space="preserve"> (without suffix).</w:t>
            </w:r>
          </w:p>
        </w:tc>
      </w:tr>
      <w:tr w:rsidR="00394471" w:rsidRPr="00FA0D37"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FA0D37" w:rsidRDefault="00394471" w:rsidP="00964CC4">
            <w:pPr>
              <w:pStyle w:val="TAL"/>
              <w:rPr>
                <w:szCs w:val="22"/>
                <w:lang w:eastAsia="sv-SE"/>
              </w:rPr>
            </w:pPr>
            <w:r w:rsidRPr="00FA0D37">
              <w:rPr>
                <w:b/>
                <w:i/>
                <w:szCs w:val="22"/>
                <w:lang w:eastAsia="sv-SE"/>
              </w:rPr>
              <w:t>servingCellId</w:t>
            </w:r>
          </w:p>
          <w:p w14:paraId="5225927E" w14:textId="77777777" w:rsidR="00394471" w:rsidRPr="00FA0D37" w:rsidRDefault="00394471" w:rsidP="00964CC4">
            <w:pPr>
              <w:pStyle w:val="TAL"/>
              <w:rPr>
                <w:szCs w:val="22"/>
                <w:lang w:eastAsia="sv-SE"/>
              </w:rPr>
            </w:pPr>
            <w:r w:rsidRPr="00FA0D37">
              <w:rPr>
                <w:szCs w:val="22"/>
                <w:lang w:eastAsia="sv-SE"/>
              </w:rPr>
              <w:t xml:space="preserve">If the field is absent, the UE applies the </w:t>
            </w:r>
            <w:r w:rsidRPr="00FA0D37">
              <w:rPr>
                <w:i/>
                <w:szCs w:val="22"/>
                <w:lang w:eastAsia="sv-SE"/>
              </w:rPr>
              <w:t>ServCellId</w:t>
            </w:r>
            <w:r w:rsidRPr="00FA0D37">
              <w:rPr>
                <w:szCs w:val="22"/>
                <w:lang w:eastAsia="sv-SE"/>
              </w:rPr>
              <w:t xml:space="preserve"> of the serving cell in which this </w:t>
            </w:r>
            <w:r w:rsidRPr="00FA0D37">
              <w:rPr>
                <w:i/>
                <w:szCs w:val="22"/>
                <w:lang w:eastAsia="sv-SE"/>
              </w:rPr>
              <w:t>PUCCH-SpatialRelationInfo</w:t>
            </w:r>
            <w:r w:rsidRPr="00FA0D37">
              <w:rPr>
                <w:szCs w:val="22"/>
                <w:lang w:eastAsia="sv-SE"/>
              </w:rPr>
              <w:t xml:space="preserve"> is configured</w:t>
            </w:r>
          </w:p>
        </w:tc>
      </w:tr>
    </w:tbl>
    <w:p w14:paraId="56608213" w14:textId="77777777" w:rsidR="00394471" w:rsidRPr="00FA0D37" w:rsidRDefault="00394471" w:rsidP="00394471"/>
    <w:p w14:paraId="50747A96" w14:textId="77777777" w:rsidR="00394471" w:rsidRPr="00FA0D37" w:rsidRDefault="00394471" w:rsidP="00394471">
      <w:pPr>
        <w:pStyle w:val="4"/>
      </w:pPr>
      <w:bookmarkStart w:id="1256" w:name="_Toc60777320"/>
      <w:bookmarkStart w:id="1257" w:name="_Toc146781399"/>
      <w:r w:rsidRPr="00FA0D37">
        <w:t>–</w:t>
      </w:r>
      <w:r w:rsidRPr="00FA0D37">
        <w:tab/>
      </w:r>
      <w:r w:rsidRPr="00FA0D37">
        <w:rPr>
          <w:i/>
        </w:rPr>
        <w:t>PUCCH-SpatialRelationInfo-Id</w:t>
      </w:r>
      <w:bookmarkEnd w:id="1256"/>
      <w:bookmarkEnd w:id="1257"/>
    </w:p>
    <w:p w14:paraId="1F8FB9F7" w14:textId="46FA7689" w:rsidR="00394471" w:rsidRPr="00FA0D37" w:rsidRDefault="00394471" w:rsidP="00394471">
      <w:r w:rsidRPr="00FA0D37">
        <w:t xml:space="preserve">The IE </w:t>
      </w:r>
      <w:r w:rsidRPr="00FA0D37">
        <w:rPr>
          <w:i/>
        </w:rPr>
        <w:t>PUCCH-SpatialRelationInfo-Id</w:t>
      </w:r>
      <w:r w:rsidRPr="00FA0D37">
        <w:t xml:space="preserve"> is used to identify a </w:t>
      </w:r>
      <w:r w:rsidRPr="00FA0D37">
        <w:rPr>
          <w:i/>
          <w:iCs/>
        </w:rPr>
        <w:t>PUCCH-SpatialRelationInfo</w:t>
      </w:r>
    </w:p>
    <w:p w14:paraId="67DDFAAA" w14:textId="77777777" w:rsidR="00394471" w:rsidRPr="00FA0D37" w:rsidRDefault="00394471" w:rsidP="00394471">
      <w:pPr>
        <w:pStyle w:val="TH"/>
      </w:pPr>
      <w:r w:rsidRPr="00FA0D37">
        <w:rPr>
          <w:i/>
        </w:rPr>
        <w:t>PUCCH-SpatialRelationInfo-Id</w:t>
      </w:r>
      <w:r w:rsidRPr="00FA0D37">
        <w:t xml:space="preserve"> information element</w:t>
      </w:r>
    </w:p>
    <w:p w14:paraId="49E645F7" w14:textId="77777777" w:rsidR="00394471" w:rsidRPr="00FA0D37" w:rsidRDefault="00394471" w:rsidP="00FA0D37">
      <w:pPr>
        <w:pStyle w:val="PL"/>
        <w:rPr>
          <w:color w:val="808080"/>
        </w:rPr>
      </w:pPr>
      <w:r w:rsidRPr="00FA0D37">
        <w:rPr>
          <w:color w:val="808080"/>
        </w:rPr>
        <w:t>-- ASN1START</w:t>
      </w:r>
    </w:p>
    <w:p w14:paraId="2216F863" w14:textId="77777777" w:rsidR="00394471" w:rsidRPr="00FA0D37" w:rsidRDefault="00394471" w:rsidP="00FA0D37">
      <w:pPr>
        <w:pStyle w:val="PL"/>
        <w:rPr>
          <w:color w:val="808080"/>
        </w:rPr>
      </w:pPr>
      <w:r w:rsidRPr="00FA0D37">
        <w:rPr>
          <w:color w:val="808080"/>
        </w:rPr>
        <w:t>-- TAG-PUCCH-SPATIALRELATIONINFO-START</w:t>
      </w:r>
    </w:p>
    <w:p w14:paraId="6643B7C4" w14:textId="77777777" w:rsidR="00394471" w:rsidRPr="00FA0D37" w:rsidRDefault="00394471" w:rsidP="00FA0D37">
      <w:pPr>
        <w:pStyle w:val="PL"/>
      </w:pPr>
    </w:p>
    <w:p w14:paraId="4EEDD72F" w14:textId="77777777" w:rsidR="00394471" w:rsidRPr="00FA0D37" w:rsidRDefault="00394471" w:rsidP="00FA0D37">
      <w:pPr>
        <w:pStyle w:val="PL"/>
      </w:pPr>
      <w:r w:rsidRPr="00FA0D37">
        <w:t xml:space="preserve">PUCCH-SpatialRelationInfoId ::=         </w:t>
      </w:r>
      <w:r w:rsidRPr="00FA0D37">
        <w:rPr>
          <w:color w:val="993366"/>
        </w:rPr>
        <w:t>INTEGER</w:t>
      </w:r>
      <w:r w:rsidRPr="00FA0D37">
        <w:t xml:space="preserve"> (1..maxNrofSpatialRelationInfos)</w:t>
      </w:r>
    </w:p>
    <w:p w14:paraId="1564FF04" w14:textId="77777777" w:rsidR="00394471" w:rsidRPr="00FA0D37" w:rsidRDefault="00394471" w:rsidP="00FA0D37">
      <w:pPr>
        <w:pStyle w:val="PL"/>
      </w:pPr>
    </w:p>
    <w:p w14:paraId="5E98073B" w14:textId="77777777" w:rsidR="00394471" w:rsidRPr="00FA0D37" w:rsidRDefault="00394471" w:rsidP="00FA0D37">
      <w:pPr>
        <w:pStyle w:val="PL"/>
      </w:pPr>
      <w:r w:rsidRPr="00FA0D37">
        <w:t xml:space="preserve">PUCCH-SpatialRelationInfoId-r16 ::=     </w:t>
      </w:r>
      <w:r w:rsidRPr="00FA0D37">
        <w:rPr>
          <w:color w:val="993366"/>
        </w:rPr>
        <w:t>INTEGER</w:t>
      </w:r>
      <w:r w:rsidRPr="00FA0D37">
        <w:t xml:space="preserve"> (1..maxNrofSpatialRelationInfos-r16)</w:t>
      </w:r>
    </w:p>
    <w:p w14:paraId="095A46EB" w14:textId="77777777" w:rsidR="00394471" w:rsidRPr="00FA0D37" w:rsidRDefault="00394471" w:rsidP="00FA0D37">
      <w:pPr>
        <w:pStyle w:val="PL"/>
      </w:pPr>
    </w:p>
    <w:p w14:paraId="675F48BC" w14:textId="77777777" w:rsidR="00394471" w:rsidRPr="00FA0D37" w:rsidRDefault="00394471" w:rsidP="00FA0D37">
      <w:pPr>
        <w:pStyle w:val="PL"/>
      </w:pPr>
      <w:r w:rsidRPr="00FA0D37">
        <w:t xml:space="preserve">PUCCH-SpatialRelationInfoId-v1610::=    </w:t>
      </w:r>
      <w:r w:rsidRPr="00FA0D37">
        <w:rPr>
          <w:color w:val="993366"/>
        </w:rPr>
        <w:t>INTEGER</w:t>
      </w:r>
      <w:r w:rsidRPr="00FA0D37">
        <w:t xml:space="preserve"> (maxNrofSpatialRelationInfos-plus-1..maxNrofSpatialRelationInfos-r16)</w:t>
      </w:r>
    </w:p>
    <w:p w14:paraId="4D764A4F" w14:textId="77777777" w:rsidR="00394471" w:rsidRPr="00FA0D37" w:rsidRDefault="00394471" w:rsidP="00FA0D37">
      <w:pPr>
        <w:pStyle w:val="PL"/>
      </w:pPr>
    </w:p>
    <w:p w14:paraId="4E0D95C2" w14:textId="77777777" w:rsidR="00394471" w:rsidRPr="00FA0D37" w:rsidRDefault="00394471" w:rsidP="00FA0D37">
      <w:pPr>
        <w:pStyle w:val="PL"/>
        <w:rPr>
          <w:color w:val="808080"/>
        </w:rPr>
      </w:pPr>
      <w:r w:rsidRPr="00FA0D37">
        <w:rPr>
          <w:color w:val="808080"/>
        </w:rPr>
        <w:t>-- TAG-PUCCH-SPATIALRELATIONINFO-STOP</w:t>
      </w:r>
    </w:p>
    <w:p w14:paraId="7A37243E" w14:textId="77777777" w:rsidR="00394471" w:rsidRPr="00FA0D37" w:rsidRDefault="00394471" w:rsidP="00FA0D37">
      <w:pPr>
        <w:pStyle w:val="PL"/>
        <w:rPr>
          <w:color w:val="808080"/>
        </w:rPr>
      </w:pPr>
      <w:r w:rsidRPr="00FA0D37">
        <w:rPr>
          <w:color w:val="808080"/>
        </w:rPr>
        <w:t>-- ASN1STOP</w:t>
      </w:r>
    </w:p>
    <w:p w14:paraId="30764686" w14:textId="77777777" w:rsidR="00394471" w:rsidRPr="00FA0D37" w:rsidRDefault="00394471" w:rsidP="00394471"/>
    <w:p w14:paraId="447C6104" w14:textId="77777777" w:rsidR="00394471" w:rsidRPr="00FA0D37" w:rsidRDefault="00394471" w:rsidP="00394471">
      <w:pPr>
        <w:pStyle w:val="4"/>
      </w:pPr>
      <w:bookmarkStart w:id="1258" w:name="_Toc60777321"/>
      <w:bookmarkStart w:id="1259" w:name="_Toc146781400"/>
      <w:r w:rsidRPr="00FA0D37">
        <w:lastRenderedPageBreak/>
        <w:t>–</w:t>
      </w:r>
      <w:r w:rsidRPr="00FA0D37">
        <w:tab/>
      </w:r>
      <w:r w:rsidRPr="00FA0D37">
        <w:rPr>
          <w:i/>
        </w:rPr>
        <w:t>PUCCH-TPC-CommandConfig</w:t>
      </w:r>
      <w:bookmarkEnd w:id="1258"/>
      <w:bookmarkEnd w:id="1259"/>
    </w:p>
    <w:p w14:paraId="72A2A43A" w14:textId="77777777" w:rsidR="00394471" w:rsidRPr="00FA0D37" w:rsidRDefault="00394471" w:rsidP="00394471">
      <w:r w:rsidRPr="00FA0D37">
        <w:t xml:space="preserve">The IE </w:t>
      </w:r>
      <w:r w:rsidRPr="00FA0D37">
        <w:rPr>
          <w:i/>
        </w:rPr>
        <w:t>PUCCH-TPC-CommandConfig</w:t>
      </w:r>
      <w:r w:rsidRPr="00FA0D37">
        <w:t xml:space="preserve"> is used to configure the UE for extracting TPC commands for PUCCH from a group-TPC messages on DCI.</w:t>
      </w:r>
    </w:p>
    <w:p w14:paraId="648333BD" w14:textId="77777777" w:rsidR="00394471" w:rsidRPr="00FA0D37" w:rsidRDefault="00394471" w:rsidP="00394471">
      <w:pPr>
        <w:pStyle w:val="TH"/>
      </w:pPr>
      <w:r w:rsidRPr="00FA0D37">
        <w:rPr>
          <w:i/>
        </w:rPr>
        <w:t>PUCCH-TPC-CommandConfig</w:t>
      </w:r>
      <w:r w:rsidRPr="00FA0D37">
        <w:t xml:space="preserve"> information element</w:t>
      </w:r>
    </w:p>
    <w:p w14:paraId="1864BE71" w14:textId="77777777" w:rsidR="00394471" w:rsidRPr="00FA0D37" w:rsidRDefault="00394471" w:rsidP="00FA0D37">
      <w:pPr>
        <w:pStyle w:val="PL"/>
        <w:rPr>
          <w:color w:val="808080"/>
        </w:rPr>
      </w:pPr>
      <w:r w:rsidRPr="00FA0D37">
        <w:rPr>
          <w:color w:val="808080"/>
        </w:rPr>
        <w:t>-- ASN1START</w:t>
      </w:r>
    </w:p>
    <w:p w14:paraId="6BEAB44A" w14:textId="77777777" w:rsidR="00394471" w:rsidRPr="00FA0D37" w:rsidRDefault="00394471" w:rsidP="00FA0D37">
      <w:pPr>
        <w:pStyle w:val="PL"/>
        <w:rPr>
          <w:color w:val="808080"/>
        </w:rPr>
      </w:pPr>
      <w:r w:rsidRPr="00FA0D37">
        <w:rPr>
          <w:color w:val="808080"/>
        </w:rPr>
        <w:t>-- TAG-PUCCH-TPC-COMMANDCONFIG-START</w:t>
      </w:r>
    </w:p>
    <w:p w14:paraId="2613606A" w14:textId="77777777" w:rsidR="00394471" w:rsidRPr="00FA0D37" w:rsidRDefault="00394471" w:rsidP="00FA0D37">
      <w:pPr>
        <w:pStyle w:val="PL"/>
      </w:pPr>
    </w:p>
    <w:p w14:paraId="50667AC7" w14:textId="77777777" w:rsidR="00394471" w:rsidRPr="00FA0D37" w:rsidRDefault="00394471" w:rsidP="00FA0D37">
      <w:pPr>
        <w:pStyle w:val="PL"/>
      </w:pPr>
      <w:r w:rsidRPr="00FA0D37">
        <w:t xml:space="preserve">PUCCH-TPC-CommandConfig ::=             </w:t>
      </w:r>
      <w:r w:rsidRPr="00FA0D37">
        <w:rPr>
          <w:color w:val="993366"/>
        </w:rPr>
        <w:t>SEQUENCE</w:t>
      </w:r>
      <w:r w:rsidRPr="00FA0D37">
        <w:t xml:space="preserve"> {</w:t>
      </w:r>
    </w:p>
    <w:p w14:paraId="06810DF2" w14:textId="77777777" w:rsidR="00394471" w:rsidRPr="00FA0D37" w:rsidRDefault="00394471" w:rsidP="00FA0D37">
      <w:pPr>
        <w:pStyle w:val="PL"/>
        <w:rPr>
          <w:color w:val="808080"/>
        </w:rPr>
      </w:pPr>
      <w:r w:rsidRPr="00FA0D37">
        <w:t xml:space="preserve">    tpc-IndexPCell                          </w:t>
      </w:r>
      <w:r w:rsidRPr="00FA0D37">
        <w:rPr>
          <w:color w:val="993366"/>
        </w:rPr>
        <w:t>INTEGER</w:t>
      </w:r>
      <w:r w:rsidRPr="00FA0D37">
        <w:t xml:space="preserve"> (1..15)                         </w:t>
      </w:r>
      <w:r w:rsidRPr="00FA0D37">
        <w:rPr>
          <w:color w:val="993366"/>
        </w:rPr>
        <w:t>OPTIONAL</w:t>
      </w:r>
      <w:r w:rsidRPr="00FA0D37">
        <w:t xml:space="preserve">,   </w:t>
      </w:r>
      <w:r w:rsidRPr="00FA0D37">
        <w:rPr>
          <w:color w:val="808080"/>
        </w:rPr>
        <w:t>-- Cond PDCCH-OfSpcell</w:t>
      </w:r>
    </w:p>
    <w:p w14:paraId="2000B4BD" w14:textId="77777777" w:rsidR="00394471" w:rsidRPr="00FA0D37" w:rsidRDefault="00394471" w:rsidP="00FA0D37">
      <w:pPr>
        <w:pStyle w:val="PL"/>
        <w:rPr>
          <w:color w:val="808080"/>
        </w:rPr>
      </w:pPr>
      <w:r w:rsidRPr="00FA0D37">
        <w:t xml:space="preserve">    tpc-IndexPUCCH-SCell                    </w:t>
      </w:r>
      <w:r w:rsidRPr="00FA0D37">
        <w:rPr>
          <w:color w:val="993366"/>
        </w:rPr>
        <w:t>INTEGER</w:t>
      </w:r>
      <w:r w:rsidRPr="00FA0D37">
        <w:t xml:space="preserve"> (1..15)                         </w:t>
      </w:r>
      <w:r w:rsidRPr="00FA0D37">
        <w:rPr>
          <w:color w:val="993366"/>
        </w:rPr>
        <w:t>OPTIONAL</w:t>
      </w:r>
      <w:r w:rsidRPr="00FA0D37">
        <w:t xml:space="preserve">,   </w:t>
      </w:r>
      <w:r w:rsidRPr="00FA0D37">
        <w:rPr>
          <w:color w:val="808080"/>
        </w:rPr>
        <w:t>-- Cond PDCCH-ofSpCellOrPUCCH-SCell</w:t>
      </w:r>
    </w:p>
    <w:p w14:paraId="62549735" w14:textId="2AF25D79" w:rsidR="005D7926" w:rsidRPr="00FA0D37" w:rsidRDefault="00394471" w:rsidP="00FA0D37">
      <w:pPr>
        <w:pStyle w:val="PL"/>
      </w:pPr>
      <w:r w:rsidRPr="00FA0D37">
        <w:t xml:space="preserve">    ...</w:t>
      </w:r>
      <w:r w:rsidR="005D7926" w:rsidRPr="00FA0D37">
        <w:t>,</w:t>
      </w:r>
    </w:p>
    <w:p w14:paraId="6239BAFF" w14:textId="77777777" w:rsidR="005D7926" w:rsidRPr="00FA0D37" w:rsidRDefault="005D7926" w:rsidP="00FA0D37">
      <w:pPr>
        <w:pStyle w:val="PL"/>
      </w:pPr>
      <w:r w:rsidRPr="00FA0D37">
        <w:t xml:space="preserve">    [[</w:t>
      </w:r>
    </w:p>
    <w:p w14:paraId="5BC7B44F" w14:textId="1DAAA211" w:rsidR="005D7926" w:rsidRPr="00FA0D37" w:rsidRDefault="005D7926" w:rsidP="00FA0D37">
      <w:pPr>
        <w:pStyle w:val="PL"/>
        <w:rPr>
          <w:color w:val="808080"/>
        </w:rPr>
      </w:pPr>
      <w:r w:rsidRPr="00FA0D37">
        <w:t xml:space="preserve">    tpc-IndexPUCCH-sSCell-r17                             </w:t>
      </w:r>
      <w:r w:rsidRPr="00FA0D37">
        <w:rPr>
          <w:color w:val="993366"/>
        </w:rPr>
        <w:t>INTEGER</w:t>
      </w:r>
      <w:r w:rsidRPr="00FA0D37">
        <w:t xml:space="preserve"> (1..15)                         </w:t>
      </w:r>
      <w:r w:rsidRPr="00FA0D37">
        <w:rPr>
          <w:color w:val="993366"/>
        </w:rPr>
        <w:t>OPTIONAL</w:t>
      </w:r>
      <w:r w:rsidRPr="00FA0D37">
        <w:t xml:space="preserve">,  </w:t>
      </w:r>
      <w:r w:rsidRPr="00FA0D37">
        <w:rPr>
          <w:color w:val="808080"/>
        </w:rPr>
        <w:t>-- Need R</w:t>
      </w:r>
    </w:p>
    <w:p w14:paraId="175D1537" w14:textId="77777777" w:rsidR="005D7926" w:rsidRPr="00FA0D37" w:rsidRDefault="005D7926" w:rsidP="00FA0D37">
      <w:pPr>
        <w:pStyle w:val="PL"/>
        <w:rPr>
          <w:color w:val="808080"/>
        </w:rPr>
      </w:pPr>
      <w:r w:rsidRPr="00FA0D37">
        <w:t xml:space="preserve">    tpc-IndexPUCCH-sScellSecondaryPUCCHgroup-r17          </w:t>
      </w:r>
      <w:r w:rsidRPr="00FA0D37">
        <w:rPr>
          <w:color w:val="993366"/>
        </w:rPr>
        <w:t>INTEGER</w:t>
      </w:r>
      <w:r w:rsidRPr="00FA0D37">
        <w:t xml:space="preserve"> (1..15)                         </w:t>
      </w:r>
      <w:r w:rsidRPr="00FA0D37">
        <w:rPr>
          <w:color w:val="993366"/>
        </w:rPr>
        <w:t>OPTIONAL</w:t>
      </w:r>
      <w:r w:rsidRPr="00FA0D37">
        <w:t xml:space="preserve">   </w:t>
      </w:r>
      <w:r w:rsidRPr="00FA0D37">
        <w:rPr>
          <w:color w:val="808080"/>
        </w:rPr>
        <w:t>-- Cond twoPUCCHgroup</w:t>
      </w:r>
    </w:p>
    <w:p w14:paraId="5622767F" w14:textId="6903A2A3" w:rsidR="00394471" w:rsidRPr="00FA0D37" w:rsidRDefault="005D7926" w:rsidP="00FA0D37">
      <w:pPr>
        <w:pStyle w:val="PL"/>
      </w:pPr>
      <w:r w:rsidRPr="00FA0D37">
        <w:t xml:space="preserve">    ]]</w:t>
      </w:r>
    </w:p>
    <w:p w14:paraId="0328DD0D" w14:textId="77777777" w:rsidR="00394471" w:rsidRPr="00FA0D37" w:rsidRDefault="00394471" w:rsidP="00FA0D37">
      <w:pPr>
        <w:pStyle w:val="PL"/>
      </w:pPr>
      <w:r w:rsidRPr="00FA0D37">
        <w:t>}</w:t>
      </w:r>
    </w:p>
    <w:p w14:paraId="51B4F950" w14:textId="77777777" w:rsidR="00394471" w:rsidRPr="00FA0D37" w:rsidRDefault="00394471" w:rsidP="00FA0D37">
      <w:pPr>
        <w:pStyle w:val="PL"/>
      </w:pPr>
    </w:p>
    <w:p w14:paraId="26CD57BF" w14:textId="77777777" w:rsidR="00394471" w:rsidRPr="00FA0D37" w:rsidRDefault="00394471" w:rsidP="00FA0D37">
      <w:pPr>
        <w:pStyle w:val="PL"/>
        <w:rPr>
          <w:color w:val="808080"/>
        </w:rPr>
      </w:pPr>
      <w:r w:rsidRPr="00FA0D37">
        <w:rPr>
          <w:color w:val="808080"/>
        </w:rPr>
        <w:t>-- TAG-PUCCH-TPC-COMMANDCONFIG-STOP</w:t>
      </w:r>
    </w:p>
    <w:p w14:paraId="2EABF129" w14:textId="77777777" w:rsidR="00394471" w:rsidRPr="00FA0D37" w:rsidRDefault="00394471" w:rsidP="00FA0D37">
      <w:pPr>
        <w:pStyle w:val="PL"/>
        <w:rPr>
          <w:color w:val="808080"/>
        </w:rPr>
      </w:pPr>
      <w:r w:rsidRPr="00FA0D37">
        <w:rPr>
          <w:color w:val="808080"/>
        </w:rPr>
        <w:t>-- ASN1STOP</w:t>
      </w:r>
    </w:p>
    <w:p w14:paraId="154F834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FA0D37" w:rsidRDefault="00394471" w:rsidP="00964CC4">
            <w:pPr>
              <w:pStyle w:val="TAH"/>
              <w:rPr>
                <w:szCs w:val="22"/>
                <w:lang w:eastAsia="sv-SE"/>
              </w:rPr>
            </w:pPr>
            <w:r w:rsidRPr="00FA0D37">
              <w:rPr>
                <w:i/>
                <w:szCs w:val="22"/>
                <w:lang w:eastAsia="sv-SE"/>
              </w:rPr>
              <w:t xml:space="preserve">PUCCH-TPC-CommandConfig </w:t>
            </w:r>
            <w:r w:rsidRPr="00FA0D37">
              <w:rPr>
                <w:szCs w:val="22"/>
                <w:lang w:eastAsia="sv-SE"/>
              </w:rPr>
              <w:t>field descriptions</w:t>
            </w:r>
          </w:p>
        </w:tc>
      </w:tr>
      <w:tr w:rsidR="005C7FF4" w:rsidRPr="00FA0D37"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FA0D37" w:rsidRDefault="00394471" w:rsidP="00964CC4">
            <w:pPr>
              <w:pStyle w:val="TAL"/>
              <w:rPr>
                <w:szCs w:val="22"/>
                <w:lang w:eastAsia="sv-SE"/>
              </w:rPr>
            </w:pPr>
            <w:r w:rsidRPr="00FA0D37">
              <w:rPr>
                <w:b/>
                <w:i/>
                <w:szCs w:val="22"/>
                <w:lang w:eastAsia="sv-SE"/>
              </w:rPr>
              <w:t>tpc-IndexPCell</w:t>
            </w:r>
          </w:p>
          <w:p w14:paraId="0FFEF67D" w14:textId="77777777" w:rsidR="00394471" w:rsidRPr="00FA0D37" w:rsidRDefault="00394471" w:rsidP="00964CC4">
            <w:pPr>
              <w:pStyle w:val="TAL"/>
              <w:rPr>
                <w:szCs w:val="22"/>
                <w:lang w:eastAsia="sv-SE"/>
              </w:rPr>
            </w:pPr>
            <w:r w:rsidRPr="00FA0D37">
              <w:rPr>
                <w:szCs w:val="22"/>
                <w:lang w:eastAsia="sv-SE"/>
              </w:rPr>
              <w:t>An index determining the position of the first bit of TPC command (applicable to the SpCell) inside the DCI format 2-2 payload.</w:t>
            </w:r>
          </w:p>
        </w:tc>
      </w:tr>
      <w:tr w:rsidR="005C7FF4" w:rsidRPr="00FA0D37"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FA0D37" w:rsidRDefault="00394471" w:rsidP="00964CC4">
            <w:pPr>
              <w:pStyle w:val="TAL"/>
              <w:rPr>
                <w:szCs w:val="22"/>
                <w:lang w:eastAsia="sv-SE"/>
              </w:rPr>
            </w:pPr>
            <w:r w:rsidRPr="00FA0D37">
              <w:rPr>
                <w:b/>
                <w:i/>
                <w:szCs w:val="22"/>
                <w:lang w:eastAsia="sv-SE"/>
              </w:rPr>
              <w:t>tpc-IndexPUCCH-SCell</w:t>
            </w:r>
          </w:p>
          <w:p w14:paraId="5A37274C" w14:textId="77777777" w:rsidR="00394471" w:rsidRPr="00FA0D37" w:rsidRDefault="00394471" w:rsidP="00964CC4">
            <w:pPr>
              <w:pStyle w:val="TAL"/>
              <w:rPr>
                <w:szCs w:val="22"/>
                <w:lang w:eastAsia="sv-SE"/>
              </w:rPr>
            </w:pPr>
            <w:r w:rsidRPr="00FA0D37">
              <w:rPr>
                <w:szCs w:val="22"/>
                <w:lang w:eastAsia="sv-SE"/>
              </w:rPr>
              <w:t>An index determining the position of the first bit of TPC command (applicable to the PUCCH SCell) inside the DCI format 2-2 payload.</w:t>
            </w:r>
          </w:p>
        </w:tc>
      </w:tr>
      <w:tr w:rsidR="000830BB" w:rsidRPr="00FA0D37"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FA0D37" w:rsidRDefault="005D7926" w:rsidP="00771058">
            <w:pPr>
              <w:pStyle w:val="TAL"/>
              <w:rPr>
                <w:b/>
                <w:i/>
                <w:szCs w:val="22"/>
                <w:lang w:eastAsia="sv-SE"/>
              </w:rPr>
            </w:pPr>
            <w:r w:rsidRPr="00FA0D37">
              <w:rPr>
                <w:b/>
                <w:i/>
                <w:szCs w:val="22"/>
                <w:lang w:eastAsia="sv-SE"/>
              </w:rPr>
              <w:t>tpc-IndexPUCCH-sSCell, tpc-IndexPUCCH-sSCellSecondaryPUCCHgroup</w:t>
            </w:r>
          </w:p>
          <w:p w14:paraId="28F1AA67" w14:textId="77777777" w:rsidR="005D7926" w:rsidRPr="00FA0D37" w:rsidRDefault="005D7926" w:rsidP="00771058">
            <w:pPr>
              <w:pStyle w:val="TAL"/>
              <w:rPr>
                <w:bCs/>
                <w:iCs/>
                <w:szCs w:val="22"/>
                <w:lang w:eastAsia="sv-SE"/>
              </w:rPr>
            </w:pPr>
            <w:r w:rsidRPr="00FA0D37">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FA0D37" w:rsidRDefault="00394471" w:rsidP="00964CC4">
            <w:pPr>
              <w:pStyle w:val="TAH"/>
              <w:rPr>
                <w:lang w:eastAsia="sv-SE"/>
              </w:rPr>
            </w:pPr>
            <w:r w:rsidRPr="00FA0D37">
              <w:rPr>
                <w:lang w:eastAsia="sv-SE"/>
              </w:rPr>
              <w:t>Explanation</w:t>
            </w:r>
          </w:p>
        </w:tc>
      </w:tr>
      <w:tr w:rsidR="005C7FF4" w:rsidRPr="00FA0D37"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FA0D37" w:rsidRDefault="00394471" w:rsidP="00964CC4">
            <w:pPr>
              <w:pStyle w:val="TAL"/>
              <w:rPr>
                <w:i/>
                <w:lang w:eastAsia="sv-SE"/>
              </w:rPr>
            </w:pPr>
            <w:r w:rsidRPr="00FA0D37">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FA0D37" w:rsidRDefault="00394471" w:rsidP="00964CC4">
            <w:pPr>
              <w:pStyle w:val="TAL"/>
              <w:rPr>
                <w:lang w:eastAsia="sv-SE"/>
              </w:rPr>
            </w:pPr>
            <w:r w:rsidRPr="00FA0D37">
              <w:rPr>
                <w:lang w:eastAsia="sv-SE"/>
              </w:rPr>
              <w:t xml:space="preserve">The field is mandatory present if the </w:t>
            </w:r>
            <w:r w:rsidRPr="00FA0D37">
              <w:rPr>
                <w:i/>
                <w:lang w:eastAsia="sv-SE"/>
              </w:rPr>
              <w:t>PUCCH-TPC-CommandConfig</w:t>
            </w:r>
            <w:r w:rsidRPr="00FA0D37">
              <w:rPr>
                <w:lang w:eastAsia="sv-SE"/>
              </w:rPr>
              <w:t xml:space="preserve"> is provided in the </w:t>
            </w:r>
            <w:r w:rsidRPr="00FA0D37">
              <w:rPr>
                <w:i/>
                <w:lang w:eastAsia="sv-SE"/>
              </w:rPr>
              <w:t>PDCCH-Config</w:t>
            </w:r>
            <w:r w:rsidRPr="00FA0D37">
              <w:rPr>
                <w:lang w:eastAsia="sv-SE"/>
              </w:rPr>
              <w:t xml:space="preserve"> for the SpCell. Otherwise, the field is absent, Need R.</w:t>
            </w:r>
          </w:p>
        </w:tc>
      </w:tr>
      <w:tr w:rsidR="005C7FF4" w:rsidRPr="00FA0D37"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FA0D37" w:rsidRDefault="00394471" w:rsidP="00964CC4">
            <w:pPr>
              <w:pStyle w:val="TAL"/>
              <w:rPr>
                <w:i/>
                <w:lang w:eastAsia="sv-SE"/>
              </w:rPr>
            </w:pPr>
            <w:r w:rsidRPr="00FA0D37">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FA0D37" w:rsidRDefault="00394471" w:rsidP="00964CC4">
            <w:pPr>
              <w:pStyle w:val="TAL"/>
              <w:rPr>
                <w:lang w:eastAsia="sv-SE"/>
              </w:rPr>
            </w:pPr>
            <w:r w:rsidRPr="00FA0D37">
              <w:rPr>
                <w:lang w:eastAsia="sv-SE"/>
              </w:rPr>
              <w:t xml:space="preserve">The field is mandatory present if the </w:t>
            </w:r>
            <w:r w:rsidRPr="00FA0D37">
              <w:rPr>
                <w:i/>
                <w:lang w:eastAsia="sv-SE"/>
              </w:rPr>
              <w:t>PUCCH-TPC-CommandConfig</w:t>
            </w:r>
            <w:r w:rsidRPr="00FA0D37">
              <w:rPr>
                <w:lang w:eastAsia="sv-SE"/>
              </w:rPr>
              <w:t xml:space="preserve"> is provided in the </w:t>
            </w:r>
            <w:r w:rsidRPr="00FA0D37">
              <w:rPr>
                <w:i/>
                <w:lang w:eastAsia="sv-SE"/>
              </w:rPr>
              <w:t>PDCCH-Config</w:t>
            </w:r>
            <w:r w:rsidRPr="00FA0D37">
              <w:rPr>
                <w:lang w:eastAsia="sv-SE"/>
              </w:rPr>
              <w:t xml:space="preserve"> for the PUCCH-SCell.</w:t>
            </w:r>
          </w:p>
          <w:p w14:paraId="32D40E66" w14:textId="77777777" w:rsidR="00394471" w:rsidRPr="00FA0D37" w:rsidRDefault="00394471" w:rsidP="00964CC4">
            <w:pPr>
              <w:pStyle w:val="TAL"/>
              <w:rPr>
                <w:lang w:eastAsia="sv-SE"/>
              </w:rPr>
            </w:pPr>
            <w:r w:rsidRPr="00FA0D37">
              <w:rPr>
                <w:lang w:eastAsia="sv-SE"/>
              </w:rPr>
              <w:t xml:space="preserve">The field is optionally present, need R, if the UE is configured with a PUCCH SCell in this cell group and if the </w:t>
            </w:r>
            <w:r w:rsidRPr="00FA0D37">
              <w:rPr>
                <w:i/>
                <w:lang w:eastAsia="sv-SE"/>
              </w:rPr>
              <w:t xml:space="preserve">PUCCH-TPC-CommandConfig </w:t>
            </w:r>
            <w:r w:rsidRPr="00FA0D37">
              <w:rPr>
                <w:lang w:eastAsia="sv-SE"/>
              </w:rPr>
              <w:t xml:space="preserve">is provided in the </w:t>
            </w:r>
            <w:r w:rsidRPr="00FA0D37">
              <w:rPr>
                <w:i/>
                <w:lang w:eastAsia="sv-SE"/>
              </w:rPr>
              <w:t>PDCCH-Config</w:t>
            </w:r>
            <w:r w:rsidRPr="00FA0D37">
              <w:rPr>
                <w:lang w:eastAsia="sv-SE"/>
              </w:rPr>
              <w:t xml:space="preserve"> for the SpCell.</w:t>
            </w:r>
          </w:p>
          <w:p w14:paraId="0C393BE5" w14:textId="77777777" w:rsidR="00394471" w:rsidRPr="00FA0D37" w:rsidRDefault="00394471" w:rsidP="00964CC4">
            <w:pPr>
              <w:pStyle w:val="TAL"/>
              <w:rPr>
                <w:lang w:eastAsia="sv-SE"/>
              </w:rPr>
            </w:pPr>
            <w:r w:rsidRPr="00FA0D37">
              <w:rPr>
                <w:lang w:eastAsia="sv-SE"/>
              </w:rPr>
              <w:t>Otherwise, the field is absent, Need R.</w:t>
            </w:r>
          </w:p>
        </w:tc>
      </w:tr>
      <w:tr w:rsidR="000830BB" w:rsidRPr="00FA0D37"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FA0D37" w:rsidRDefault="004E4A9E" w:rsidP="00771058">
            <w:pPr>
              <w:pStyle w:val="TAL"/>
              <w:rPr>
                <w:i/>
                <w:lang w:eastAsia="sv-SE"/>
              </w:rPr>
            </w:pPr>
            <w:r w:rsidRPr="00FA0D3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FA0D37" w:rsidRDefault="004E4A9E" w:rsidP="00771058">
            <w:pPr>
              <w:pStyle w:val="TAL"/>
              <w:rPr>
                <w:lang w:eastAsia="sv-SE"/>
              </w:rPr>
            </w:pPr>
            <w:r w:rsidRPr="00FA0D37">
              <w:rPr>
                <w:lang w:eastAsia="sv-SE"/>
              </w:rPr>
              <w:t>This field is optionally present, Need R, if secondary PUCCH group is configured. It is absent otherwise.</w:t>
            </w:r>
          </w:p>
        </w:tc>
      </w:tr>
    </w:tbl>
    <w:p w14:paraId="549ED54D" w14:textId="77777777" w:rsidR="00394471" w:rsidRPr="00FA0D37" w:rsidRDefault="00394471" w:rsidP="00394471"/>
    <w:p w14:paraId="6C69C82E" w14:textId="77777777" w:rsidR="00394471" w:rsidRPr="00FA0D37" w:rsidRDefault="00394471" w:rsidP="00394471">
      <w:pPr>
        <w:pStyle w:val="4"/>
      </w:pPr>
      <w:bookmarkStart w:id="1260" w:name="_Toc60777322"/>
      <w:bookmarkStart w:id="1261" w:name="_Toc146781401"/>
      <w:r w:rsidRPr="00FA0D37">
        <w:lastRenderedPageBreak/>
        <w:t>–</w:t>
      </w:r>
      <w:r w:rsidRPr="00FA0D37">
        <w:tab/>
      </w:r>
      <w:r w:rsidRPr="00FA0D37">
        <w:rPr>
          <w:i/>
        </w:rPr>
        <w:t>PUSCH-Config</w:t>
      </w:r>
      <w:bookmarkEnd w:id="1260"/>
      <w:bookmarkEnd w:id="1261"/>
    </w:p>
    <w:p w14:paraId="31318B6A" w14:textId="77777777" w:rsidR="00394471" w:rsidRPr="00FA0D37" w:rsidRDefault="00394471" w:rsidP="00394471">
      <w:r w:rsidRPr="00FA0D37">
        <w:t xml:space="preserve">The IE </w:t>
      </w:r>
      <w:r w:rsidRPr="00FA0D37">
        <w:rPr>
          <w:i/>
        </w:rPr>
        <w:t>PUSCH-Config</w:t>
      </w:r>
      <w:r w:rsidRPr="00FA0D37">
        <w:t xml:space="preserve"> is used to configure the UE specific PUSCH parameters applicable to a particular BWP.</w:t>
      </w:r>
    </w:p>
    <w:p w14:paraId="54BE4157" w14:textId="77777777" w:rsidR="00394471" w:rsidRPr="00FA0D37" w:rsidRDefault="00394471" w:rsidP="00394471">
      <w:pPr>
        <w:pStyle w:val="TH"/>
      </w:pPr>
      <w:r w:rsidRPr="00FA0D37">
        <w:rPr>
          <w:i/>
        </w:rPr>
        <w:t>PUSCH-Config</w:t>
      </w:r>
      <w:r w:rsidRPr="00FA0D37">
        <w:t xml:space="preserve"> information element</w:t>
      </w:r>
    </w:p>
    <w:p w14:paraId="21DD8CA9" w14:textId="77777777" w:rsidR="00394471" w:rsidRPr="00FA0D37" w:rsidRDefault="00394471" w:rsidP="00FA0D37">
      <w:pPr>
        <w:pStyle w:val="PL"/>
        <w:rPr>
          <w:color w:val="808080"/>
        </w:rPr>
      </w:pPr>
      <w:r w:rsidRPr="00FA0D37">
        <w:rPr>
          <w:color w:val="808080"/>
        </w:rPr>
        <w:t>-- ASN1START</w:t>
      </w:r>
    </w:p>
    <w:p w14:paraId="4B69F201" w14:textId="77777777" w:rsidR="00394471" w:rsidRPr="00FA0D37" w:rsidRDefault="00394471" w:rsidP="00FA0D37">
      <w:pPr>
        <w:pStyle w:val="PL"/>
        <w:rPr>
          <w:color w:val="808080"/>
        </w:rPr>
      </w:pPr>
      <w:r w:rsidRPr="00FA0D37">
        <w:rPr>
          <w:color w:val="808080"/>
        </w:rPr>
        <w:t>-- TAG-PUSCH-CONFIG-START</w:t>
      </w:r>
    </w:p>
    <w:p w14:paraId="3A75FC8F" w14:textId="77777777" w:rsidR="00394471" w:rsidRPr="00FA0D37" w:rsidRDefault="00394471" w:rsidP="00FA0D37">
      <w:pPr>
        <w:pStyle w:val="PL"/>
      </w:pPr>
    </w:p>
    <w:p w14:paraId="5B66DEE0" w14:textId="77777777" w:rsidR="00394471" w:rsidRPr="00FA0D37" w:rsidRDefault="00394471" w:rsidP="00FA0D37">
      <w:pPr>
        <w:pStyle w:val="PL"/>
      </w:pPr>
      <w:r w:rsidRPr="00FA0D37">
        <w:t xml:space="preserve">PUSCH-Config ::=                        </w:t>
      </w:r>
      <w:r w:rsidRPr="00FA0D37">
        <w:rPr>
          <w:color w:val="993366"/>
        </w:rPr>
        <w:t>SEQUENCE</w:t>
      </w:r>
      <w:r w:rsidRPr="00FA0D37">
        <w:t xml:space="preserve"> {</w:t>
      </w:r>
    </w:p>
    <w:p w14:paraId="14812AEB" w14:textId="77777777" w:rsidR="00394471" w:rsidRPr="00FA0D37" w:rsidRDefault="00394471" w:rsidP="00FA0D37">
      <w:pPr>
        <w:pStyle w:val="PL"/>
        <w:rPr>
          <w:color w:val="808080"/>
        </w:rPr>
      </w:pPr>
      <w:r w:rsidRPr="00FA0D37">
        <w:t xml:space="preserve">    dataScramblingIdentityPUSCH             </w:t>
      </w:r>
      <w:r w:rsidRPr="00FA0D37">
        <w:rPr>
          <w:color w:val="993366"/>
        </w:rPr>
        <w:t>INTEGER</w:t>
      </w:r>
      <w:r w:rsidRPr="00FA0D37">
        <w:t xml:space="preserve"> (0..1023)                                                   </w:t>
      </w:r>
      <w:r w:rsidRPr="00FA0D37">
        <w:rPr>
          <w:color w:val="993366"/>
        </w:rPr>
        <w:t>OPTIONAL</w:t>
      </w:r>
      <w:r w:rsidRPr="00FA0D37">
        <w:t xml:space="preserve">,   </w:t>
      </w:r>
      <w:r w:rsidRPr="00FA0D37">
        <w:rPr>
          <w:color w:val="808080"/>
        </w:rPr>
        <w:t>-- Need S</w:t>
      </w:r>
    </w:p>
    <w:p w14:paraId="3A58304B" w14:textId="77777777" w:rsidR="00394471" w:rsidRPr="00FA0D37" w:rsidRDefault="00394471" w:rsidP="00FA0D37">
      <w:pPr>
        <w:pStyle w:val="PL"/>
        <w:rPr>
          <w:color w:val="808080"/>
        </w:rPr>
      </w:pPr>
      <w:r w:rsidRPr="00FA0D37">
        <w:t xml:space="preserve">    txConfig                                </w:t>
      </w:r>
      <w:r w:rsidRPr="00FA0D37">
        <w:rPr>
          <w:color w:val="993366"/>
        </w:rPr>
        <w:t>ENUMERATED</w:t>
      </w:r>
      <w:r w:rsidRPr="00FA0D37">
        <w:t xml:space="preserve"> {codebook, nonCodebook}                                  </w:t>
      </w:r>
      <w:r w:rsidRPr="00FA0D37">
        <w:rPr>
          <w:color w:val="993366"/>
        </w:rPr>
        <w:t>OPTIONAL</w:t>
      </w:r>
      <w:r w:rsidRPr="00FA0D37">
        <w:t xml:space="preserve">,   </w:t>
      </w:r>
      <w:r w:rsidRPr="00FA0D37">
        <w:rPr>
          <w:color w:val="808080"/>
        </w:rPr>
        <w:t>-- Need S</w:t>
      </w:r>
    </w:p>
    <w:p w14:paraId="64418C8E" w14:textId="77777777" w:rsidR="00394471" w:rsidRPr="00FA0D37" w:rsidRDefault="00394471" w:rsidP="00FA0D37">
      <w:pPr>
        <w:pStyle w:val="PL"/>
        <w:rPr>
          <w:color w:val="808080"/>
        </w:rPr>
      </w:pPr>
      <w:r w:rsidRPr="00FA0D37">
        <w:t xml:space="preserve">    dmrs-UplinkForPUSCH-MappingTypeA        SetupRelease { DMRS-UplinkConfig }                                  </w:t>
      </w:r>
      <w:r w:rsidRPr="00FA0D37">
        <w:rPr>
          <w:color w:val="993366"/>
        </w:rPr>
        <w:t>OPTIONAL</w:t>
      </w:r>
      <w:r w:rsidRPr="00FA0D37">
        <w:t xml:space="preserve">,   </w:t>
      </w:r>
      <w:r w:rsidRPr="00FA0D37">
        <w:rPr>
          <w:color w:val="808080"/>
        </w:rPr>
        <w:t>-- Need M</w:t>
      </w:r>
    </w:p>
    <w:p w14:paraId="41B9FF39" w14:textId="77777777" w:rsidR="00394471" w:rsidRPr="00FA0D37" w:rsidRDefault="00394471" w:rsidP="00FA0D37">
      <w:pPr>
        <w:pStyle w:val="PL"/>
        <w:rPr>
          <w:color w:val="808080"/>
        </w:rPr>
      </w:pPr>
      <w:r w:rsidRPr="00FA0D37">
        <w:t xml:space="preserve">    dmrs-UplinkForPUSCH-MappingTypeB        SetupRelease { DMRS-UplinkConfig }                                  </w:t>
      </w:r>
      <w:r w:rsidRPr="00FA0D37">
        <w:rPr>
          <w:color w:val="993366"/>
        </w:rPr>
        <w:t>OPTIONAL</w:t>
      </w:r>
      <w:r w:rsidRPr="00FA0D37">
        <w:t xml:space="preserve">,   </w:t>
      </w:r>
      <w:r w:rsidRPr="00FA0D37">
        <w:rPr>
          <w:color w:val="808080"/>
        </w:rPr>
        <w:t>-- Need M</w:t>
      </w:r>
    </w:p>
    <w:p w14:paraId="17810D2B" w14:textId="77777777" w:rsidR="00394471" w:rsidRPr="00FA0D37" w:rsidRDefault="00394471" w:rsidP="00FA0D37">
      <w:pPr>
        <w:pStyle w:val="PL"/>
        <w:rPr>
          <w:color w:val="808080"/>
        </w:rPr>
      </w:pPr>
      <w:r w:rsidRPr="00FA0D37">
        <w:t xml:space="preserve">    pusch-PowerControl                      PUSCH-PowerControl                                                  </w:t>
      </w:r>
      <w:r w:rsidRPr="00FA0D37">
        <w:rPr>
          <w:color w:val="993366"/>
        </w:rPr>
        <w:t>OPTIONAL</w:t>
      </w:r>
      <w:r w:rsidRPr="00FA0D37">
        <w:t xml:space="preserve">,   </w:t>
      </w:r>
      <w:r w:rsidRPr="00FA0D37">
        <w:rPr>
          <w:color w:val="808080"/>
        </w:rPr>
        <w:t>-- Need M</w:t>
      </w:r>
    </w:p>
    <w:p w14:paraId="4CE2EDD5" w14:textId="77777777" w:rsidR="00394471" w:rsidRPr="00FA0D37" w:rsidRDefault="00394471" w:rsidP="00FA0D37">
      <w:pPr>
        <w:pStyle w:val="PL"/>
        <w:rPr>
          <w:color w:val="808080"/>
        </w:rPr>
      </w:pPr>
      <w:r w:rsidRPr="00FA0D37">
        <w:t xml:space="preserve">    frequencyHopping                        </w:t>
      </w:r>
      <w:r w:rsidRPr="00FA0D37">
        <w:rPr>
          <w:color w:val="993366"/>
        </w:rPr>
        <w:t>ENUMERATED</w:t>
      </w:r>
      <w:r w:rsidRPr="00FA0D37">
        <w:t xml:space="preserve"> {intraSlot, interSlot}                                   </w:t>
      </w:r>
      <w:r w:rsidRPr="00FA0D37">
        <w:rPr>
          <w:color w:val="993366"/>
        </w:rPr>
        <w:t>OPTIONAL</w:t>
      </w:r>
      <w:r w:rsidRPr="00FA0D37">
        <w:t xml:space="preserve">,   </w:t>
      </w:r>
      <w:r w:rsidRPr="00FA0D37">
        <w:rPr>
          <w:color w:val="808080"/>
        </w:rPr>
        <w:t>-- Need S</w:t>
      </w:r>
    </w:p>
    <w:p w14:paraId="38CADB99" w14:textId="77777777" w:rsidR="00394471" w:rsidRPr="00FA0D37" w:rsidRDefault="00394471" w:rsidP="00FA0D37">
      <w:pPr>
        <w:pStyle w:val="PL"/>
      </w:pPr>
      <w:r w:rsidRPr="00FA0D37">
        <w:t xml:space="preserve">    frequencyHoppingOffsetLists             </w:t>
      </w:r>
      <w:r w:rsidRPr="00FA0D37">
        <w:rPr>
          <w:color w:val="993366"/>
        </w:rPr>
        <w:t>SEQUENCE</w:t>
      </w:r>
      <w:r w:rsidRPr="00FA0D37">
        <w:t xml:space="preserve"> (</w:t>
      </w:r>
      <w:r w:rsidRPr="00FA0D37">
        <w:rPr>
          <w:color w:val="993366"/>
        </w:rPr>
        <w:t>SIZE</w:t>
      </w:r>
      <w:r w:rsidRPr="00FA0D37">
        <w:t xml:space="preserve"> (1..4))</w:t>
      </w:r>
      <w:r w:rsidRPr="00FA0D37">
        <w:rPr>
          <w:color w:val="993366"/>
        </w:rPr>
        <w:t xml:space="preserve"> OF</w:t>
      </w:r>
      <w:r w:rsidRPr="00FA0D37">
        <w:t xml:space="preserve"> </w:t>
      </w:r>
      <w:r w:rsidRPr="00FA0D37">
        <w:rPr>
          <w:color w:val="993366"/>
        </w:rPr>
        <w:t>INTEGER</w:t>
      </w:r>
      <w:r w:rsidRPr="00FA0D37">
        <w:t xml:space="preserve"> (1.. maxNrofPhysicalResourceBlocks-1)</w:t>
      </w:r>
    </w:p>
    <w:p w14:paraId="5957408A"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0353E4AC" w14:textId="77777777" w:rsidR="00394471" w:rsidRPr="00FA0D37" w:rsidRDefault="00394471" w:rsidP="00FA0D37">
      <w:pPr>
        <w:pStyle w:val="PL"/>
      </w:pPr>
      <w:r w:rsidRPr="00FA0D37">
        <w:t xml:space="preserve">    resourceAllocation                      </w:t>
      </w:r>
      <w:r w:rsidRPr="00FA0D37">
        <w:rPr>
          <w:color w:val="993366"/>
        </w:rPr>
        <w:t>ENUMERATED</w:t>
      </w:r>
      <w:r w:rsidRPr="00FA0D37">
        <w:t xml:space="preserve"> { resourceAllocationType0, resourceAllocationType1, dynamicSwitch},</w:t>
      </w:r>
    </w:p>
    <w:p w14:paraId="44785B99" w14:textId="77777777" w:rsidR="00394471" w:rsidRPr="00FA0D37" w:rsidRDefault="00394471" w:rsidP="00FA0D37">
      <w:pPr>
        <w:pStyle w:val="PL"/>
        <w:rPr>
          <w:color w:val="808080"/>
        </w:rPr>
      </w:pPr>
      <w:r w:rsidRPr="00FA0D37">
        <w:t xml:space="preserve">    pusch-TimeDomainAllocationList          SetupRelease { PUSCH-TimeDomainResourceAllocationList }             </w:t>
      </w:r>
      <w:r w:rsidRPr="00FA0D37">
        <w:rPr>
          <w:color w:val="993366"/>
        </w:rPr>
        <w:t>OPTIONAL</w:t>
      </w:r>
      <w:r w:rsidRPr="00FA0D37">
        <w:t xml:space="preserve">,   </w:t>
      </w:r>
      <w:r w:rsidRPr="00FA0D37">
        <w:rPr>
          <w:color w:val="808080"/>
        </w:rPr>
        <w:t>-- Need M</w:t>
      </w:r>
    </w:p>
    <w:p w14:paraId="585ED081" w14:textId="77777777" w:rsidR="00394471" w:rsidRPr="00FA0D37" w:rsidRDefault="00394471" w:rsidP="00FA0D37">
      <w:pPr>
        <w:pStyle w:val="PL"/>
        <w:rPr>
          <w:color w:val="808080"/>
        </w:rPr>
      </w:pPr>
      <w:r w:rsidRPr="00FA0D37">
        <w:t xml:space="preserve">    pusch-AggregationFactor                 </w:t>
      </w:r>
      <w:r w:rsidRPr="00FA0D37">
        <w:rPr>
          <w:color w:val="993366"/>
        </w:rPr>
        <w:t>ENUMERATED</w:t>
      </w:r>
      <w:r w:rsidRPr="00FA0D37">
        <w:t xml:space="preserve"> { n2, n4, n8 }                                           </w:t>
      </w:r>
      <w:r w:rsidRPr="00FA0D37">
        <w:rPr>
          <w:color w:val="993366"/>
        </w:rPr>
        <w:t>OPTIONAL</w:t>
      </w:r>
      <w:r w:rsidRPr="00FA0D37">
        <w:t xml:space="preserve">,   </w:t>
      </w:r>
      <w:r w:rsidRPr="00FA0D37">
        <w:rPr>
          <w:color w:val="808080"/>
        </w:rPr>
        <w:t>-- Need S</w:t>
      </w:r>
    </w:p>
    <w:p w14:paraId="4871C020" w14:textId="77777777" w:rsidR="00394471" w:rsidRPr="00FA0D37" w:rsidRDefault="00394471" w:rsidP="00FA0D37">
      <w:pPr>
        <w:pStyle w:val="PL"/>
        <w:rPr>
          <w:color w:val="808080"/>
        </w:rPr>
      </w:pPr>
      <w:r w:rsidRPr="00FA0D37">
        <w:t xml:space="preserve">    mcs-Table                               </w:t>
      </w:r>
      <w:r w:rsidRPr="00FA0D37">
        <w:rPr>
          <w:color w:val="993366"/>
        </w:rPr>
        <w:t>ENUMERATED</w:t>
      </w:r>
      <w:r w:rsidRPr="00FA0D37">
        <w:t xml:space="preserve"> {qam256, qam64LowSE}                                     </w:t>
      </w:r>
      <w:r w:rsidRPr="00FA0D37">
        <w:rPr>
          <w:color w:val="993366"/>
        </w:rPr>
        <w:t>OPTIONAL</w:t>
      </w:r>
      <w:r w:rsidRPr="00FA0D37">
        <w:t xml:space="preserve">,   </w:t>
      </w:r>
      <w:r w:rsidRPr="00FA0D37">
        <w:rPr>
          <w:color w:val="808080"/>
        </w:rPr>
        <w:t>-- Need S</w:t>
      </w:r>
    </w:p>
    <w:p w14:paraId="4EE46E9B" w14:textId="77777777" w:rsidR="00394471" w:rsidRPr="00FA0D37" w:rsidRDefault="00394471" w:rsidP="00FA0D37">
      <w:pPr>
        <w:pStyle w:val="PL"/>
        <w:rPr>
          <w:color w:val="808080"/>
        </w:rPr>
      </w:pPr>
      <w:r w:rsidRPr="00FA0D37">
        <w:t xml:space="preserve">    mcs-TableTransformPrecoder              </w:t>
      </w:r>
      <w:r w:rsidRPr="00FA0D37">
        <w:rPr>
          <w:color w:val="993366"/>
        </w:rPr>
        <w:t>ENUMERATED</w:t>
      </w:r>
      <w:r w:rsidRPr="00FA0D37">
        <w:t xml:space="preserve"> {qam256, qam64LowSE}                                     </w:t>
      </w:r>
      <w:r w:rsidRPr="00FA0D37">
        <w:rPr>
          <w:color w:val="993366"/>
        </w:rPr>
        <w:t>OPTIONAL</w:t>
      </w:r>
      <w:r w:rsidRPr="00FA0D37">
        <w:t xml:space="preserve">,   </w:t>
      </w:r>
      <w:r w:rsidRPr="00FA0D37">
        <w:rPr>
          <w:color w:val="808080"/>
        </w:rPr>
        <w:t>-- Need S</w:t>
      </w:r>
    </w:p>
    <w:p w14:paraId="2C740820" w14:textId="77777777" w:rsidR="00394471" w:rsidRPr="00FA0D37" w:rsidRDefault="00394471" w:rsidP="00FA0D37">
      <w:pPr>
        <w:pStyle w:val="PL"/>
        <w:rPr>
          <w:color w:val="808080"/>
        </w:rPr>
      </w:pPr>
      <w:r w:rsidRPr="00FA0D37">
        <w:t xml:space="preserve">    transformPrecoder                       </w:t>
      </w:r>
      <w:r w:rsidRPr="00FA0D37">
        <w:rPr>
          <w:color w:val="993366"/>
        </w:rPr>
        <w:t>ENUMERATED</w:t>
      </w:r>
      <w:r w:rsidRPr="00FA0D37">
        <w:t xml:space="preserve"> {enabled, disabled}                                      </w:t>
      </w:r>
      <w:r w:rsidRPr="00FA0D37">
        <w:rPr>
          <w:color w:val="993366"/>
        </w:rPr>
        <w:t>OPTIONAL</w:t>
      </w:r>
      <w:r w:rsidRPr="00FA0D37">
        <w:t xml:space="preserve">,   </w:t>
      </w:r>
      <w:r w:rsidRPr="00FA0D37">
        <w:rPr>
          <w:color w:val="808080"/>
        </w:rPr>
        <w:t>-- Need S</w:t>
      </w:r>
    </w:p>
    <w:p w14:paraId="7A6888F7" w14:textId="77777777" w:rsidR="00394471" w:rsidRPr="00FA0D37" w:rsidRDefault="00394471" w:rsidP="00FA0D37">
      <w:pPr>
        <w:pStyle w:val="PL"/>
      </w:pPr>
      <w:r w:rsidRPr="00FA0D37">
        <w:t xml:space="preserve">    codebookSubset                          </w:t>
      </w:r>
      <w:r w:rsidRPr="00FA0D37">
        <w:rPr>
          <w:color w:val="993366"/>
        </w:rPr>
        <w:t>ENUMERATED</w:t>
      </w:r>
      <w:r w:rsidRPr="00FA0D37">
        <w:t xml:space="preserve"> {fullyAndPartialAndNonCoherent, partialAndNonCoherent,nonCoherent}</w:t>
      </w:r>
    </w:p>
    <w:p w14:paraId="175B67AA"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Cond codebookBased</w:t>
      </w:r>
    </w:p>
    <w:p w14:paraId="28A4A905" w14:textId="77777777" w:rsidR="00394471" w:rsidRPr="00FA0D37" w:rsidRDefault="00394471" w:rsidP="00FA0D37">
      <w:pPr>
        <w:pStyle w:val="PL"/>
        <w:rPr>
          <w:color w:val="808080"/>
        </w:rPr>
      </w:pPr>
      <w:r w:rsidRPr="00FA0D37">
        <w:t xml:space="preserve">    maxRank                                 </w:t>
      </w:r>
      <w:r w:rsidRPr="00FA0D37">
        <w:rPr>
          <w:color w:val="993366"/>
        </w:rPr>
        <w:t>INTEGER</w:t>
      </w:r>
      <w:r w:rsidRPr="00FA0D37">
        <w:t xml:space="preserve"> (1..4)                                                </w:t>
      </w:r>
      <w:r w:rsidRPr="00FA0D37">
        <w:rPr>
          <w:color w:val="993366"/>
        </w:rPr>
        <w:t>OPTIONAL</w:t>
      </w:r>
      <w:r w:rsidRPr="00FA0D37">
        <w:t xml:space="preserve">, </w:t>
      </w:r>
      <w:r w:rsidRPr="00FA0D37">
        <w:rPr>
          <w:color w:val="808080"/>
        </w:rPr>
        <w:t>-- Cond codebookBased</w:t>
      </w:r>
    </w:p>
    <w:p w14:paraId="4FF4EA80" w14:textId="77777777" w:rsidR="00394471" w:rsidRPr="00FA0D37" w:rsidRDefault="00394471" w:rsidP="00FA0D37">
      <w:pPr>
        <w:pStyle w:val="PL"/>
        <w:rPr>
          <w:color w:val="808080"/>
        </w:rPr>
      </w:pPr>
      <w:r w:rsidRPr="00FA0D37">
        <w:t xml:space="preserve">    rbg-Size                                </w:t>
      </w:r>
      <w:r w:rsidRPr="00FA0D37">
        <w:rPr>
          <w:color w:val="993366"/>
        </w:rPr>
        <w:t>ENUMERATED</w:t>
      </w:r>
      <w:r w:rsidRPr="00FA0D37">
        <w:t xml:space="preserve"> { config2}                                         </w:t>
      </w:r>
      <w:r w:rsidRPr="00FA0D37">
        <w:rPr>
          <w:color w:val="993366"/>
        </w:rPr>
        <w:t>OPTIONAL</w:t>
      </w:r>
      <w:r w:rsidRPr="00FA0D37">
        <w:t xml:space="preserve">, </w:t>
      </w:r>
      <w:r w:rsidRPr="00FA0D37">
        <w:rPr>
          <w:color w:val="808080"/>
        </w:rPr>
        <w:t>-- Need S</w:t>
      </w:r>
    </w:p>
    <w:p w14:paraId="01D5077F" w14:textId="77777777" w:rsidR="00394471" w:rsidRPr="00FA0D37" w:rsidRDefault="00394471" w:rsidP="00FA0D37">
      <w:pPr>
        <w:pStyle w:val="PL"/>
        <w:rPr>
          <w:color w:val="808080"/>
        </w:rPr>
      </w:pPr>
      <w:r w:rsidRPr="00FA0D37">
        <w:t xml:space="preserve">    uci-OnPUSCH                             SetupRelease { UCI-OnPUSCH}                                   </w:t>
      </w:r>
      <w:r w:rsidRPr="00FA0D37">
        <w:rPr>
          <w:color w:val="993366"/>
        </w:rPr>
        <w:t>OPTIONAL</w:t>
      </w:r>
      <w:r w:rsidRPr="00FA0D37">
        <w:t xml:space="preserve">, </w:t>
      </w:r>
      <w:r w:rsidRPr="00FA0D37">
        <w:rPr>
          <w:color w:val="808080"/>
        </w:rPr>
        <w:t>-- Need M</w:t>
      </w:r>
    </w:p>
    <w:p w14:paraId="648D4231" w14:textId="77777777" w:rsidR="00394471" w:rsidRPr="00FA0D37" w:rsidRDefault="00394471" w:rsidP="00FA0D37">
      <w:pPr>
        <w:pStyle w:val="PL"/>
        <w:rPr>
          <w:color w:val="808080"/>
        </w:rPr>
      </w:pPr>
      <w:r w:rsidRPr="00FA0D37">
        <w:t xml:space="preserve">    tp-pi2BPSK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1A312E58" w14:textId="77777777" w:rsidR="00394471" w:rsidRPr="00FA0D37" w:rsidRDefault="00394471" w:rsidP="00FA0D37">
      <w:pPr>
        <w:pStyle w:val="PL"/>
      </w:pPr>
      <w:r w:rsidRPr="00FA0D37">
        <w:t xml:space="preserve">    ...,</w:t>
      </w:r>
    </w:p>
    <w:p w14:paraId="6BCB9698" w14:textId="77777777" w:rsidR="00394471" w:rsidRPr="00FA0D37" w:rsidRDefault="00394471" w:rsidP="00FA0D37">
      <w:pPr>
        <w:pStyle w:val="PL"/>
      </w:pPr>
      <w:r w:rsidRPr="00FA0D37">
        <w:t xml:space="preserve">    [[</w:t>
      </w:r>
    </w:p>
    <w:p w14:paraId="7C5D40FF" w14:textId="77777777" w:rsidR="00394471" w:rsidRPr="00FA0D37" w:rsidRDefault="00394471" w:rsidP="00FA0D37">
      <w:pPr>
        <w:pStyle w:val="PL"/>
        <w:rPr>
          <w:color w:val="808080"/>
        </w:rPr>
      </w:pPr>
      <w:r w:rsidRPr="00FA0D37">
        <w:t xml:space="preserve">    minimumSchedulingOffsetK2-r16           SetupRelease { MinSchedulingOffsetK2-Values-r16 }             </w:t>
      </w:r>
      <w:r w:rsidRPr="00FA0D37">
        <w:rPr>
          <w:color w:val="993366"/>
        </w:rPr>
        <w:t>OPTIONAL</w:t>
      </w:r>
      <w:r w:rsidRPr="00FA0D37">
        <w:t xml:space="preserve">,  </w:t>
      </w:r>
      <w:r w:rsidRPr="00FA0D37">
        <w:rPr>
          <w:color w:val="808080"/>
        </w:rPr>
        <w:t>-- Need M</w:t>
      </w:r>
    </w:p>
    <w:p w14:paraId="2093798A" w14:textId="77777777" w:rsidR="00394471" w:rsidRPr="00FA0D37" w:rsidRDefault="00394471" w:rsidP="00FA0D37">
      <w:pPr>
        <w:pStyle w:val="PL"/>
        <w:rPr>
          <w:color w:val="808080"/>
        </w:rPr>
      </w:pPr>
      <w:r w:rsidRPr="00FA0D37">
        <w:t xml:space="preserve">    ul-AccessConfigListDCI-0-1-r16          SetupRelease { UL-AccessConfigListDCI-0-1-r16 }               </w:t>
      </w:r>
      <w:r w:rsidRPr="00FA0D37">
        <w:rPr>
          <w:color w:val="993366"/>
        </w:rPr>
        <w:t>OPTIONAL</w:t>
      </w:r>
      <w:r w:rsidRPr="00FA0D37">
        <w:t xml:space="preserve">,  </w:t>
      </w:r>
      <w:r w:rsidRPr="00FA0D37">
        <w:rPr>
          <w:color w:val="808080"/>
        </w:rPr>
        <w:t>-- Need M</w:t>
      </w:r>
    </w:p>
    <w:p w14:paraId="54AA6332" w14:textId="77777777" w:rsidR="00394471" w:rsidRPr="00FA0D37" w:rsidRDefault="00394471" w:rsidP="00FA0D37">
      <w:pPr>
        <w:pStyle w:val="PL"/>
        <w:rPr>
          <w:color w:val="808080"/>
        </w:rPr>
      </w:pPr>
      <w:r w:rsidRPr="00FA0D37">
        <w:t xml:space="preserve">    </w:t>
      </w:r>
      <w:r w:rsidRPr="00FA0D37">
        <w:rPr>
          <w:color w:val="808080"/>
        </w:rPr>
        <w:t>-- Start of the parameters for DCI format 0_2 introduced in V16.1.0</w:t>
      </w:r>
    </w:p>
    <w:p w14:paraId="27AC5A9E" w14:textId="77777777" w:rsidR="00394471" w:rsidRPr="00FA0D37" w:rsidRDefault="00394471" w:rsidP="00FA0D37">
      <w:pPr>
        <w:pStyle w:val="PL"/>
        <w:rPr>
          <w:color w:val="808080"/>
        </w:rPr>
      </w:pPr>
      <w:r w:rsidRPr="00FA0D37">
        <w:t xml:space="preserve">    harq-ProcessNumberSizeDCI-0-2-r16                       </w:t>
      </w:r>
      <w:r w:rsidRPr="00FA0D37">
        <w:rPr>
          <w:color w:val="993366"/>
        </w:rPr>
        <w:t>INTEGER</w:t>
      </w:r>
      <w:r w:rsidRPr="00FA0D37">
        <w:t xml:space="preserve"> (0..4)                                </w:t>
      </w:r>
      <w:r w:rsidRPr="00FA0D37">
        <w:rPr>
          <w:color w:val="993366"/>
        </w:rPr>
        <w:t>OPTIONAL</w:t>
      </w:r>
      <w:r w:rsidRPr="00FA0D37">
        <w:t xml:space="preserve">,   </w:t>
      </w:r>
      <w:r w:rsidRPr="00FA0D37">
        <w:rPr>
          <w:color w:val="808080"/>
        </w:rPr>
        <w:t>-- Need R</w:t>
      </w:r>
    </w:p>
    <w:p w14:paraId="1A1D36FE" w14:textId="77777777" w:rsidR="00394471" w:rsidRPr="00FA0D37" w:rsidRDefault="00394471" w:rsidP="00FA0D37">
      <w:pPr>
        <w:pStyle w:val="PL"/>
        <w:rPr>
          <w:color w:val="808080"/>
        </w:rPr>
      </w:pPr>
      <w:r w:rsidRPr="00FA0D37">
        <w:t xml:space="preserve">    dmrs-SequenceInitializationDCI-0-2-r16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6DD36EB6" w14:textId="77777777" w:rsidR="00394471" w:rsidRPr="00FA0D37" w:rsidRDefault="00394471" w:rsidP="00FA0D37">
      <w:pPr>
        <w:pStyle w:val="PL"/>
        <w:rPr>
          <w:color w:val="808080"/>
        </w:rPr>
      </w:pPr>
      <w:r w:rsidRPr="00FA0D37">
        <w:t xml:space="preserve">    numberOfBitsForRV-DCI-0-2-r16                           </w:t>
      </w:r>
      <w:r w:rsidRPr="00FA0D37">
        <w:rPr>
          <w:color w:val="993366"/>
        </w:rPr>
        <w:t>INTEGER</w:t>
      </w:r>
      <w:r w:rsidRPr="00FA0D37">
        <w:t xml:space="preserve"> (0..2)                                </w:t>
      </w:r>
      <w:r w:rsidRPr="00FA0D37">
        <w:rPr>
          <w:color w:val="993366"/>
        </w:rPr>
        <w:t>OPTIONAL</w:t>
      </w:r>
      <w:r w:rsidRPr="00FA0D37">
        <w:t xml:space="preserve">,   </w:t>
      </w:r>
      <w:r w:rsidRPr="00FA0D37">
        <w:rPr>
          <w:color w:val="808080"/>
        </w:rPr>
        <w:t>-- Need R</w:t>
      </w:r>
    </w:p>
    <w:p w14:paraId="634B1E0C" w14:textId="77777777" w:rsidR="00394471" w:rsidRPr="00FA0D37" w:rsidRDefault="00394471" w:rsidP="00FA0D37">
      <w:pPr>
        <w:pStyle w:val="PL"/>
        <w:rPr>
          <w:color w:val="808080"/>
        </w:rPr>
      </w:pPr>
      <w:r w:rsidRPr="00FA0D37">
        <w:t xml:space="preserve">    antennaPortsFieldPresenceDCI-0-2-r16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53CC9BC8" w14:textId="77777777" w:rsidR="00394471" w:rsidRPr="00FA0D37" w:rsidRDefault="00394471" w:rsidP="00FA0D37">
      <w:pPr>
        <w:pStyle w:val="PL"/>
        <w:rPr>
          <w:color w:val="808080"/>
        </w:rPr>
      </w:pPr>
      <w:r w:rsidRPr="00FA0D37">
        <w:t xml:space="preserve">    dmrs-UplinkForPUSCH-MappingTypeA-DCI-0-2-r16            SetupRelease { DMRS-UplinkConfig }            </w:t>
      </w:r>
      <w:r w:rsidRPr="00FA0D37">
        <w:rPr>
          <w:color w:val="993366"/>
        </w:rPr>
        <w:t>OPTIONAL</w:t>
      </w:r>
      <w:r w:rsidRPr="00FA0D37">
        <w:t xml:space="preserve">,   </w:t>
      </w:r>
      <w:r w:rsidRPr="00FA0D37">
        <w:rPr>
          <w:color w:val="808080"/>
        </w:rPr>
        <w:t>-- Need M</w:t>
      </w:r>
    </w:p>
    <w:p w14:paraId="6B81374C" w14:textId="77777777" w:rsidR="00394471" w:rsidRPr="00FA0D37" w:rsidRDefault="00394471" w:rsidP="00FA0D37">
      <w:pPr>
        <w:pStyle w:val="PL"/>
        <w:rPr>
          <w:color w:val="808080"/>
        </w:rPr>
      </w:pPr>
      <w:r w:rsidRPr="00FA0D37">
        <w:t xml:space="preserve">    dmrs-UplinkForPUSCH-MappingTypeB-DCI-0-2-r16            SetupRelease { DMRS-UplinkConfig }            </w:t>
      </w:r>
      <w:r w:rsidRPr="00FA0D37">
        <w:rPr>
          <w:color w:val="993366"/>
        </w:rPr>
        <w:t>OPTIONAL</w:t>
      </w:r>
      <w:r w:rsidRPr="00FA0D37">
        <w:t xml:space="preserve">,   </w:t>
      </w:r>
      <w:r w:rsidRPr="00FA0D37">
        <w:rPr>
          <w:color w:val="808080"/>
        </w:rPr>
        <w:t>-- Need M</w:t>
      </w:r>
    </w:p>
    <w:p w14:paraId="5733512C" w14:textId="77777777" w:rsidR="00394471" w:rsidRPr="00FA0D37" w:rsidRDefault="00394471" w:rsidP="00FA0D37">
      <w:pPr>
        <w:pStyle w:val="PL"/>
      </w:pPr>
      <w:r w:rsidRPr="00FA0D37">
        <w:t xml:space="preserve">    frequencyHoppingDCI-0-2-r16                             </w:t>
      </w:r>
      <w:r w:rsidRPr="00FA0D37">
        <w:rPr>
          <w:color w:val="993366"/>
        </w:rPr>
        <w:t>CHOICE</w:t>
      </w:r>
      <w:r w:rsidRPr="00FA0D37">
        <w:t xml:space="preserve"> {</w:t>
      </w:r>
    </w:p>
    <w:p w14:paraId="66BDFAD8" w14:textId="77777777" w:rsidR="00394471" w:rsidRPr="00FA0D37" w:rsidRDefault="00394471" w:rsidP="00FA0D37">
      <w:pPr>
        <w:pStyle w:val="PL"/>
      </w:pPr>
      <w:r w:rsidRPr="00FA0D37">
        <w:t xml:space="preserve">        pusch-RepTypeA                                          </w:t>
      </w:r>
      <w:r w:rsidRPr="00FA0D37">
        <w:rPr>
          <w:color w:val="993366"/>
        </w:rPr>
        <w:t>ENUMERATED</w:t>
      </w:r>
      <w:r w:rsidRPr="00FA0D37">
        <w:t xml:space="preserve"> {intraSlot, interSlot},</w:t>
      </w:r>
    </w:p>
    <w:p w14:paraId="214D25F5" w14:textId="77777777" w:rsidR="00394471" w:rsidRPr="00FA0D37" w:rsidRDefault="00394471" w:rsidP="00FA0D37">
      <w:pPr>
        <w:pStyle w:val="PL"/>
      </w:pPr>
      <w:r w:rsidRPr="00FA0D37">
        <w:t xml:space="preserve">        pusch-RepTypeB                                          </w:t>
      </w:r>
      <w:r w:rsidRPr="00FA0D37">
        <w:rPr>
          <w:color w:val="993366"/>
        </w:rPr>
        <w:t>ENUMERATED</w:t>
      </w:r>
      <w:r w:rsidRPr="00FA0D37">
        <w:t xml:space="preserve"> {interRepetition, interSlot}</w:t>
      </w:r>
    </w:p>
    <w:p w14:paraId="27B5FAA7"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S</w:t>
      </w:r>
    </w:p>
    <w:p w14:paraId="0B5D998F" w14:textId="77777777" w:rsidR="00394471" w:rsidRPr="00FA0D37" w:rsidRDefault="00394471" w:rsidP="00FA0D37">
      <w:pPr>
        <w:pStyle w:val="PL"/>
        <w:rPr>
          <w:color w:val="808080"/>
        </w:rPr>
      </w:pPr>
      <w:r w:rsidRPr="00FA0D37">
        <w:t xml:space="preserve">    frequencyHoppingOffsetListsDCI-0-2-r16  SetupRelease { FrequencyHoppingOffsetListsDCI-0-2-r16}        </w:t>
      </w:r>
      <w:r w:rsidRPr="00FA0D37">
        <w:rPr>
          <w:color w:val="993366"/>
        </w:rPr>
        <w:t>OPTIONAL</w:t>
      </w:r>
      <w:r w:rsidRPr="00FA0D37">
        <w:t xml:space="preserve">,  </w:t>
      </w:r>
      <w:r w:rsidRPr="00FA0D37">
        <w:rPr>
          <w:color w:val="808080"/>
        </w:rPr>
        <w:t>-- Need M</w:t>
      </w:r>
    </w:p>
    <w:p w14:paraId="20D8C1F7" w14:textId="77777777" w:rsidR="00394471" w:rsidRPr="00FA0D37" w:rsidRDefault="00394471" w:rsidP="00FA0D37">
      <w:pPr>
        <w:pStyle w:val="PL"/>
      </w:pPr>
      <w:r w:rsidRPr="00FA0D37">
        <w:t xml:space="preserve">    codebookSubsetDCI-0-2-r16               </w:t>
      </w:r>
      <w:r w:rsidRPr="00FA0D37">
        <w:rPr>
          <w:color w:val="993366"/>
        </w:rPr>
        <w:t>ENUMERATED</w:t>
      </w:r>
      <w:r w:rsidRPr="00FA0D37">
        <w:t xml:space="preserve"> {fullyAndPartialAndNonCoherent, partialAndNonCoherent,nonCoherent}</w:t>
      </w:r>
    </w:p>
    <w:p w14:paraId="3695F15B"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Cond codebookBased</w:t>
      </w:r>
    </w:p>
    <w:p w14:paraId="3158F49F" w14:textId="77777777" w:rsidR="00394471" w:rsidRPr="00FA0D37" w:rsidRDefault="00394471" w:rsidP="00FA0D37">
      <w:pPr>
        <w:pStyle w:val="PL"/>
        <w:rPr>
          <w:color w:val="808080"/>
        </w:rPr>
      </w:pPr>
      <w:r w:rsidRPr="00FA0D37">
        <w:t xml:space="preserve">    invalidSymbolPatternIndicatorDCI-0-2-r16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3CAD32F5" w14:textId="77777777" w:rsidR="00394471" w:rsidRPr="00FA0D37" w:rsidRDefault="00394471" w:rsidP="00FA0D37">
      <w:pPr>
        <w:pStyle w:val="PL"/>
        <w:rPr>
          <w:color w:val="808080"/>
        </w:rPr>
      </w:pPr>
      <w:r w:rsidRPr="00FA0D37">
        <w:t xml:space="preserve">    maxRankDCI-0-2-r16                                      </w:t>
      </w:r>
      <w:r w:rsidRPr="00FA0D37">
        <w:rPr>
          <w:color w:val="993366"/>
        </w:rPr>
        <w:t>INTEGER</w:t>
      </w:r>
      <w:r w:rsidRPr="00FA0D37">
        <w:t xml:space="preserve"> (1..4)                                </w:t>
      </w:r>
      <w:r w:rsidRPr="00FA0D37">
        <w:rPr>
          <w:color w:val="993366"/>
        </w:rPr>
        <w:t>OPTIONAL</w:t>
      </w:r>
      <w:r w:rsidRPr="00FA0D37">
        <w:t xml:space="preserve">,   </w:t>
      </w:r>
      <w:r w:rsidRPr="00FA0D37">
        <w:rPr>
          <w:color w:val="808080"/>
        </w:rPr>
        <w:t>-- Cond codebookBased</w:t>
      </w:r>
    </w:p>
    <w:p w14:paraId="5B88A783" w14:textId="77777777" w:rsidR="00394471" w:rsidRPr="00FA0D37" w:rsidRDefault="00394471" w:rsidP="00FA0D37">
      <w:pPr>
        <w:pStyle w:val="PL"/>
        <w:rPr>
          <w:color w:val="808080"/>
        </w:rPr>
      </w:pPr>
      <w:r w:rsidRPr="00FA0D37">
        <w:lastRenderedPageBreak/>
        <w:t xml:space="preserve">    mcs-TableDCI-0-2-r16                                    </w:t>
      </w:r>
      <w:r w:rsidRPr="00FA0D37">
        <w:rPr>
          <w:color w:val="993366"/>
        </w:rPr>
        <w:t>ENUMERATED</w:t>
      </w:r>
      <w:r w:rsidRPr="00FA0D37">
        <w:t xml:space="preserve"> {qam256, qam64LowSE}               </w:t>
      </w:r>
      <w:r w:rsidRPr="00FA0D37">
        <w:rPr>
          <w:color w:val="993366"/>
        </w:rPr>
        <w:t>OPTIONAL</w:t>
      </w:r>
      <w:r w:rsidRPr="00FA0D37">
        <w:t xml:space="preserve">,   </w:t>
      </w:r>
      <w:r w:rsidRPr="00FA0D37">
        <w:rPr>
          <w:color w:val="808080"/>
        </w:rPr>
        <w:t>-- Need S</w:t>
      </w:r>
    </w:p>
    <w:p w14:paraId="248F2382" w14:textId="77777777" w:rsidR="00394471" w:rsidRPr="00FA0D37" w:rsidRDefault="00394471" w:rsidP="00FA0D37">
      <w:pPr>
        <w:pStyle w:val="PL"/>
        <w:rPr>
          <w:color w:val="808080"/>
        </w:rPr>
      </w:pPr>
      <w:r w:rsidRPr="00FA0D37">
        <w:t xml:space="preserve">    mcs-TableTransformPrecoderDCI-0-2-r16                   </w:t>
      </w:r>
      <w:r w:rsidRPr="00FA0D37">
        <w:rPr>
          <w:color w:val="993366"/>
        </w:rPr>
        <w:t>ENUMERATED</w:t>
      </w:r>
      <w:r w:rsidRPr="00FA0D37">
        <w:t xml:space="preserve"> {qam256, qam64LowSE}               </w:t>
      </w:r>
      <w:r w:rsidRPr="00FA0D37">
        <w:rPr>
          <w:color w:val="993366"/>
        </w:rPr>
        <w:t>OPTIONAL</w:t>
      </w:r>
      <w:r w:rsidRPr="00FA0D37">
        <w:t xml:space="preserve">,   </w:t>
      </w:r>
      <w:r w:rsidRPr="00FA0D37">
        <w:rPr>
          <w:color w:val="808080"/>
        </w:rPr>
        <w:t>-- Need S</w:t>
      </w:r>
    </w:p>
    <w:p w14:paraId="225200AE" w14:textId="77777777" w:rsidR="00394471" w:rsidRPr="00FA0D37" w:rsidRDefault="00394471" w:rsidP="00FA0D37">
      <w:pPr>
        <w:pStyle w:val="PL"/>
        <w:rPr>
          <w:color w:val="808080"/>
        </w:rPr>
      </w:pPr>
      <w:r w:rsidRPr="00FA0D37">
        <w:t xml:space="preserve">    priorityIndicatorDCI-0-2-r16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3EF0CD81" w14:textId="77777777" w:rsidR="00394471" w:rsidRPr="00FA0D37" w:rsidRDefault="00394471" w:rsidP="00FA0D37">
      <w:pPr>
        <w:pStyle w:val="PL"/>
        <w:rPr>
          <w:color w:val="808080"/>
        </w:rPr>
      </w:pPr>
      <w:r w:rsidRPr="00FA0D37">
        <w:t xml:space="preserve">    pusch-RepTypeIndicatorDCI-0-2-r16                       </w:t>
      </w:r>
      <w:r w:rsidRPr="00FA0D37">
        <w:rPr>
          <w:color w:val="993366"/>
        </w:rPr>
        <w:t>ENUMERATED</w:t>
      </w:r>
      <w:r w:rsidRPr="00FA0D37">
        <w:t xml:space="preserve"> { pusch-RepTypeA, pusch-RepTypeB}  </w:t>
      </w:r>
      <w:r w:rsidRPr="00FA0D37">
        <w:rPr>
          <w:color w:val="993366"/>
        </w:rPr>
        <w:t>OPTIONAL</w:t>
      </w:r>
      <w:r w:rsidRPr="00FA0D37">
        <w:t xml:space="preserve">,  </w:t>
      </w:r>
      <w:r w:rsidRPr="00FA0D37">
        <w:rPr>
          <w:color w:val="808080"/>
        </w:rPr>
        <w:t>-- Need R</w:t>
      </w:r>
    </w:p>
    <w:p w14:paraId="3708B3D7" w14:textId="77777777" w:rsidR="00394471" w:rsidRPr="00FA0D37" w:rsidRDefault="00394471" w:rsidP="00FA0D37">
      <w:pPr>
        <w:pStyle w:val="PL"/>
      </w:pPr>
      <w:r w:rsidRPr="00FA0D37">
        <w:t xml:space="preserve">    resourceAllocationDCI-0-2-r16                           </w:t>
      </w:r>
      <w:r w:rsidRPr="00FA0D37">
        <w:rPr>
          <w:color w:val="993366"/>
        </w:rPr>
        <w:t>ENUMERATED</w:t>
      </w:r>
      <w:r w:rsidRPr="00FA0D37">
        <w:t xml:space="preserve"> { resourceAllocationType0, resourceAllocationType1, dynamicSwitch}</w:t>
      </w:r>
    </w:p>
    <w:p w14:paraId="63E8211C"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5B4B1F7D" w14:textId="77777777" w:rsidR="00394471" w:rsidRPr="00FA0D37" w:rsidRDefault="00394471" w:rsidP="00FA0D37">
      <w:pPr>
        <w:pStyle w:val="PL"/>
        <w:rPr>
          <w:color w:val="808080"/>
        </w:rPr>
      </w:pPr>
      <w:r w:rsidRPr="00FA0D37">
        <w:t xml:space="preserve">    resourceAllocationType1GranularityDCI-0-2-r16           </w:t>
      </w:r>
      <w:r w:rsidRPr="00FA0D37">
        <w:rPr>
          <w:color w:val="993366"/>
        </w:rPr>
        <w:t>ENUMERATED</w:t>
      </w:r>
      <w:r w:rsidRPr="00FA0D37">
        <w:t xml:space="preserve"> { n2,n4,n8,n16 }                   </w:t>
      </w:r>
      <w:r w:rsidRPr="00FA0D37">
        <w:rPr>
          <w:color w:val="993366"/>
        </w:rPr>
        <w:t>OPTIONAL</w:t>
      </w:r>
      <w:r w:rsidRPr="00FA0D37">
        <w:t xml:space="preserve">,   </w:t>
      </w:r>
      <w:r w:rsidRPr="00FA0D37">
        <w:rPr>
          <w:color w:val="808080"/>
        </w:rPr>
        <w:t>-- Need S</w:t>
      </w:r>
    </w:p>
    <w:p w14:paraId="6C03E2F6" w14:textId="77777777" w:rsidR="00394471" w:rsidRPr="00FA0D37" w:rsidRDefault="00394471" w:rsidP="00FA0D37">
      <w:pPr>
        <w:pStyle w:val="PL"/>
        <w:rPr>
          <w:color w:val="808080"/>
        </w:rPr>
      </w:pPr>
      <w:r w:rsidRPr="00FA0D37">
        <w:t xml:space="preserve">    uci-OnPUSCH-ListDCI-0-2-r16                             SetupRelease { UCI-OnPUSCH-ListDCI-0-2-r16}   </w:t>
      </w:r>
      <w:r w:rsidRPr="00FA0D37">
        <w:rPr>
          <w:color w:val="993366"/>
        </w:rPr>
        <w:t>OPTIONAL</w:t>
      </w:r>
      <w:r w:rsidRPr="00FA0D37">
        <w:t xml:space="preserve">,   </w:t>
      </w:r>
      <w:r w:rsidRPr="00FA0D37">
        <w:rPr>
          <w:color w:val="808080"/>
        </w:rPr>
        <w:t>-- Need M</w:t>
      </w:r>
    </w:p>
    <w:p w14:paraId="6C26EE6D" w14:textId="77777777" w:rsidR="00394471" w:rsidRPr="00FA0D37" w:rsidRDefault="00394471" w:rsidP="00FA0D37">
      <w:pPr>
        <w:pStyle w:val="PL"/>
      </w:pPr>
      <w:r w:rsidRPr="00FA0D37">
        <w:t xml:space="preserve">    pusch-TimeDomainAllocationListDCI-0-2-r16               SetupRelease { PUSCH-TimeDomainResourceAllocationList-r16 }</w:t>
      </w:r>
    </w:p>
    <w:p w14:paraId="2C95BD91"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079621CC" w14:textId="77777777" w:rsidR="00394471" w:rsidRPr="00FA0D37" w:rsidRDefault="00394471" w:rsidP="00FA0D37">
      <w:pPr>
        <w:pStyle w:val="PL"/>
        <w:rPr>
          <w:color w:val="808080"/>
        </w:rPr>
      </w:pPr>
      <w:r w:rsidRPr="00FA0D37">
        <w:t xml:space="preserve">    </w:t>
      </w:r>
      <w:r w:rsidRPr="00FA0D37">
        <w:rPr>
          <w:color w:val="808080"/>
        </w:rPr>
        <w:t>-- End of the parameters for DCI format 0_2 introduced in V16.1.0</w:t>
      </w:r>
    </w:p>
    <w:p w14:paraId="259B327A" w14:textId="77777777" w:rsidR="00394471" w:rsidRPr="00FA0D37" w:rsidRDefault="00394471" w:rsidP="00FA0D37">
      <w:pPr>
        <w:pStyle w:val="PL"/>
        <w:rPr>
          <w:color w:val="808080"/>
        </w:rPr>
      </w:pPr>
      <w:r w:rsidRPr="00FA0D37">
        <w:t xml:space="preserve">    </w:t>
      </w:r>
      <w:r w:rsidRPr="00FA0D37">
        <w:rPr>
          <w:color w:val="808080"/>
        </w:rPr>
        <w:t>-- Start of the parameters for DCI format 0_1 introduced in V16.1.0</w:t>
      </w:r>
    </w:p>
    <w:p w14:paraId="4DEC41F8" w14:textId="77777777" w:rsidR="00394471" w:rsidRPr="00FA0D37" w:rsidRDefault="00394471" w:rsidP="00FA0D37">
      <w:pPr>
        <w:pStyle w:val="PL"/>
      </w:pPr>
      <w:r w:rsidRPr="00FA0D37">
        <w:t xml:space="preserve">    pusch-TimeDomainAllocationListDCI-0-1-r16               SetupRelease { PUSCH-TimeDomainResourceAllocationList-r16 }</w:t>
      </w:r>
    </w:p>
    <w:p w14:paraId="7BABA427"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02C55CF0" w14:textId="77777777" w:rsidR="00394471" w:rsidRPr="00FA0D37" w:rsidRDefault="00394471" w:rsidP="00FA0D37">
      <w:pPr>
        <w:pStyle w:val="PL"/>
        <w:rPr>
          <w:color w:val="808080"/>
        </w:rPr>
      </w:pPr>
      <w:r w:rsidRPr="00FA0D37">
        <w:t xml:space="preserve">    invalidSymbolPatternIndicatorDCI-0-1-r16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688B24E6" w14:textId="77777777" w:rsidR="00394471" w:rsidRPr="00FA0D37" w:rsidRDefault="00394471" w:rsidP="00FA0D37">
      <w:pPr>
        <w:pStyle w:val="PL"/>
        <w:rPr>
          <w:color w:val="808080"/>
        </w:rPr>
      </w:pPr>
      <w:r w:rsidRPr="00FA0D37">
        <w:t xml:space="preserve">    priorityIndicatorDCI-0-1-r16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3D1370DC" w14:textId="77777777" w:rsidR="00394471" w:rsidRPr="00FA0D37" w:rsidRDefault="00394471" w:rsidP="00FA0D37">
      <w:pPr>
        <w:pStyle w:val="PL"/>
        <w:rPr>
          <w:color w:val="808080"/>
        </w:rPr>
      </w:pPr>
      <w:r w:rsidRPr="00FA0D37">
        <w:t xml:space="preserve">    pusch-RepTypeIndicatorDCI-0-1-r16                 </w:t>
      </w:r>
      <w:r w:rsidRPr="00FA0D37">
        <w:rPr>
          <w:color w:val="993366"/>
        </w:rPr>
        <w:t>ENUMERATED</w:t>
      </w:r>
      <w:r w:rsidRPr="00FA0D37">
        <w:t xml:space="preserve"> { pusch-RepTypeA, pusch-RepTypeB}        </w:t>
      </w:r>
      <w:r w:rsidRPr="00FA0D37">
        <w:rPr>
          <w:color w:val="993366"/>
        </w:rPr>
        <w:t>OPTIONAL</w:t>
      </w:r>
      <w:r w:rsidRPr="00FA0D37">
        <w:t xml:space="preserve">,   </w:t>
      </w:r>
      <w:r w:rsidRPr="00FA0D37">
        <w:rPr>
          <w:color w:val="808080"/>
        </w:rPr>
        <w:t>-- Need R</w:t>
      </w:r>
    </w:p>
    <w:p w14:paraId="2DDD8895" w14:textId="77777777" w:rsidR="00394471" w:rsidRPr="00FA0D37" w:rsidRDefault="00394471" w:rsidP="00FA0D37">
      <w:pPr>
        <w:pStyle w:val="PL"/>
        <w:rPr>
          <w:color w:val="808080"/>
        </w:rPr>
      </w:pPr>
      <w:r w:rsidRPr="00FA0D37">
        <w:t xml:space="preserve">    frequencyHoppingDCI-0-1-r16                 </w:t>
      </w:r>
      <w:r w:rsidRPr="00FA0D37">
        <w:rPr>
          <w:color w:val="993366"/>
        </w:rPr>
        <w:t>ENUMERATED</w:t>
      </w:r>
      <w:r w:rsidRPr="00FA0D37">
        <w:t xml:space="preserve"> {interRepetition, interSlot}                   </w:t>
      </w:r>
      <w:r w:rsidRPr="00FA0D37">
        <w:rPr>
          <w:color w:val="993366"/>
        </w:rPr>
        <w:t>OPTIONAL</w:t>
      </w:r>
      <w:r w:rsidRPr="00FA0D37">
        <w:t xml:space="preserve">,   </w:t>
      </w:r>
      <w:r w:rsidRPr="00FA0D37">
        <w:rPr>
          <w:color w:val="808080"/>
        </w:rPr>
        <w:t>-- Cond RepTypeB</w:t>
      </w:r>
    </w:p>
    <w:p w14:paraId="26CD7BBF" w14:textId="77777777" w:rsidR="00394471" w:rsidRPr="00FA0D37" w:rsidRDefault="00394471" w:rsidP="00FA0D37">
      <w:pPr>
        <w:pStyle w:val="PL"/>
        <w:rPr>
          <w:color w:val="808080"/>
        </w:rPr>
      </w:pPr>
      <w:r w:rsidRPr="00FA0D37">
        <w:t xml:space="preserve">    uci-OnPUSCH-ListDCI-0-1-r16                 SetupRelease { UCI-OnPUSCH-ListDCI-0-1-r16  }             </w:t>
      </w:r>
      <w:r w:rsidRPr="00FA0D37">
        <w:rPr>
          <w:color w:val="993366"/>
        </w:rPr>
        <w:t>OPTIONAL</w:t>
      </w:r>
      <w:r w:rsidRPr="00FA0D37">
        <w:t xml:space="preserve">,  </w:t>
      </w:r>
      <w:r w:rsidRPr="00FA0D37">
        <w:rPr>
          <w:color w:val="808080"/>
        </w:rPr>
        <w:t>-- Need M</w:t>
      </w:r>
    </w:p>
    <w:p w14:paraId="34110A08" w14:textId="77777777" w:rsidR="00394471" w:rsidRPr="00FA0D37" w:rsidRDefault="00394471" w:rsidP="00FA0D37">
      <w:pPr>
        <w:pStyle w:val="PL"/>
        <w:rPr>
          <w:color w:val="808080"/>
        </w:rPr>
      </w:pPr>
      <w:r w:rsidRPr="00FA0D37">
        <w:t xml:space="preserve">    </w:t>
      </w:r>
      <w:r w:rsidRPr="00FA0D37">
        <w:rPr>
          <w:color w:val="808080"/>
        </w:rPr>
        <w:t>-- End of the parameters for DCI format 0_1 introduced in V16.1.0</w:t>
      </w:r>
    </w:p>
    <w:p w14:paraId="0CBA9EDD" w14:textId="77777777" w:rsidR="00394471" w:rsidRPr="00FA0D37" w:rsidRDefault="00394471" w:rsidP="00FA0D37">
      <w:pPr>
        <w:pStyle w:val="PL"/>
        <w:rPr>
          <w:color w:val="808080"/>
        </w:rPr>
      </w:pPr>
      <w:r w:rsidRPr="00FA0D37">
        <w:t xml:space="preserve">    invalidSymbolPattern-r16                    InvalidSymbolPattern-r16                                  </w:t>
      </w:r>
      <w:r w:rsidRPr="00FA0D37">
        <w:rPr>
          <w:color w:val="993366"/>
        </w:rPr>
        <w:t>OPTIONAL</w:t>
      </w:r>
      <w:r w:rsidRPr="00FA0D37">
        <w:t xml:space="preserve">,   </w:t>
      </w:r>
      <w:r w:rsidRPr="00FA0D37">
        <w:rPr>
          <w:color w:val="808080"/>
        </w:rPr>
        <w:t>-- Need S</w:t>
      </w:r>
    </w:p>
    <w:p w14:paraId="6E6D4279" w14:textId="77777777" w:rsidR="00394471" w:rsidRPr="00FA0D37" w:rsidRDefault="00394471" w:rsidP="00FA0D37">
      <w:pPr>
        <w:pStyle w:val="PL"/>
        <w:rPr>
          <w:color w:val="808080"/>
        </w:rPr>
      </w:pPr>
      <w:r w:rsidRPr="00FA0D37">
        <w:t xml:space="preserve">    pusch-PowerControl-v1610                SetupRelease {PUSCH-PowerControl-v1610}                       </w:t>
      </w:r>
      <w:r w:rsidRPr="00FA0D37">
        <w:rPr>
          <w:color w:val="993366"/>
        </w:rPr>
        <w:t>OPTIONAL</w:t>
      </w:r>
      <w:r w:rsidRPr="00FA0D37">
        <w:t xml:space="preserve">,   </w:t>
      </w:r>
      <w:r w:rsidRPr="00FA0D37">
        <w:rPr>
          <w:color w:val="808080"/>
        </w:rPr>
        <w:t>-- Need M</w:t>
      </w:r>
    </w:p>
    <w:p w14:paraId="709C1304" w14:textId="783B356E" w:rsidR="00394471" w:rsidRPr="00FA0D37" w:rsidRDefault="00394471" w:rsidP="00FA0D37">
      <w:pPr>
        <w:pStyle w:val="PL"/>
        <w:rPr>
          <w:color w:val="808080"/>
        </w:rPr>
      </w:pPr>
      <w:r w:rsidRPr="00FA0D37">
        <w:t xml:space="preserve">    ul-FullPowerTransmission-r16            </w:t>
      </w:r>
      <w:r w:rsidRPr="00FA0D37">
        <w:rPr>
          <w:color w:val="993366"/>
        </w:rPr>
        <w:t>ENUMERATED</w:t>
      </w:r>
      <w:r w:rsidRPr="00FA0D37">
        <w:t xml:space="preserve"> {fullpower, fullpowerMode1, fullpowerMode2}         </w:t>
      </w:r>
      <w:r w:rsidRPr="00FA0D37">
        <w:rPr>
          <w:color w:val="993366"/>
        </w:rPr>
        <w:t>OPTIONAL</w:t>
      </w:r>
      <w:r w:rsidRPr="00FA0D37">
        <w:t xml:space="preserve">,   </w:t>
      </w:r>
      <w:r w:rsidRPr="00FA0D37">
        <w:rPr>
          <w:color w:val="808080"/>
        </w:rPr>
        <w:t>-- Need R</w:t>
      </w:r>
    </w:p>
    <w:p w14:paraId="2E92726C" w14:textId="77777777" w:rsidR="00394471" w:rsidRPr="00FA0D37" w:rsidRDefault="00394471" w:rsidP="00FA0D37">
      <w:pPr>
        <w:pStyle w:val="PL"/>
      </w:pPr>
      <w:r w:rsidRPr="00FA0D37">
        <w:t xml:space="preserve">    pusch-TimeDomainAllocationListForMultiPUSCH-r16  SetupRelease { PUSCH-TimeDomainResourceAllocationList-r16 }</w:t>
      </w:r>
    </w:p>
    <w:p w14:paraId="433C575A"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7CEFE16C" w14:textId="77777777" w:rsidR="00394471" w:rsidRPr="00FA0D37" w:rsidRDefault="00394471" w:rsidP="00FA0D37">
      <w:pPr>
        <w:pStyle w:val="PL"/>
        <w:rPr>
          <w:color w:val="808080"/>
        </w:rPr>
      </w:pPr>
      <w:r w:rsidRPr="00FA0D37">
        <w:t xml:space="preserve">    numberOfInvalidSymbolsForDL-UL-Switching-r16        </w:t>
      </w:r>
      <w:r w:rsidRPr="00FA0D37">
        <w:rPr>
          <w:color w:val="993366"/>
        </w:rPr>
        <w:t>INTEGER</w:t>
      </w:r>
      <w:r w:rsidRPr="00FA0D37">
        <w:t xml:space="preserve"> (1..4)                                    </w:t>
      </w:r>
      <w:r w:rsidRPr="00FA0D37">
        <w:rPr>
          <w:color w:val="993366"/>
        </w:rPr>
        <w:t>OPTIONAL</w:t>
      </w:r>
      <w:r w:rsidRPr="00FA0D37">
        <w:t xml:space="preserve">    </w:t>
      </w:r>
      <w:r w:rsidRPr="00FA0D37">
        <w:rPr>
          <w:color w:val="808080"/>
        </w:rPr>
        <w:t>-- Cond RepTypeB2</w:t>
      </w:r>
    </w:p>
    <w:p w14:paraId="13B3E94C" w14:textId="0291AED1" w:rsidR="004E4A9E" w:rsidRPr="00FA0D37" w:rsidRDefault="00394471" w:rsidP="00FA0D37">
      <w:pPr>
        <w:pStyle w:val="PL"/>
      </w:pPr>
      <w:r w:rsidRPr="00FA0D37">
        <w:t xml:space="preserve">    ]]</w:t>
      </w:r>
      <w:r w:rsidR="004E4A9E" w:rsidRPr="00FA0D37">
        <w:t>,</w:t>
      </w:r>
    </w:p>
    <w:p w14:paraId="7809B543" w14:textId="77777777" w:rsidR="004E4A9E" w:rsidRPr="00FA0D37" w:rsidRDefault="004E4A9E" w:rsidP="00FA0D37">
      <w:pPr>
        <w:pStyle w:val="PL"/>
      </w:pPr>
      <w:r w:rsidRPr="00FA0D37">
        <w:t xml:space="preserve">    [[</w:t>
      </w:r>
    </w:p>
    <w:p w14:paraId="277BD56F" w14:textId="77777777" w:rsidR="004E4A9E" w:rsidRPr="00FA0D37" w:rsidRDefault="004E4A9E" w:rsidP="00FA0D37">
      <w:pPr>
        <w:pStyle w:val="PL"/>
        <w:rPr>
          <w:color w:val="808080"/>
        </w:rPr>
      </w:pPr>
      <w:r w:rsidRPr="00FA0D37">
        <w:t xml:space="preserve">    ul-AccessConfigListDCI-0-2-r17          SetupRelease { UL-AccessConfigListDCI-0-2-r17 }               </w:t>
      </w:r>
      <w:r w:rsidRPr="00FA0D37">
        <w:rPr>
          <w:color w:val="993366"/>
        </w:rPr>
        <w:t>OPTIONAL</w:t>
      </w:r>
      <w:r w:rsidRPr="00FA0D37">
        <w:t xml:space="preserve">,  </w:t>
      </w:r>
      <w:r w:rsidRPr="00FA0D37">
        <w:rPr>
          <w:color w:val="808080"/>
        </w:rPr>
        <w:t>-- Need M</w:t>
      </w:r>
    </w:p>
    <w:p w14:paraId="54B7D42C" w14:textId="5F9E144C" w:rsidR="004E4A9E" w:rsidRPr="00FA0D37" w:rsidRDefault="004E4A9E" w:rsidP="00FA0D37">
      <w:pPr>
        <w:pStyle w:val="PL"/>
        <w:rPr>
          <w:color w:val="808080"/>
        </w:rPr>
      </w:pPr>
      <w:r w:rsidRPr="00FA0D37">
        <w:t xml:space="preserve">    betaOffsetsCrossPri0-r17                SetupRelease { BetaOffsetsCrossPriSel-r17 }                   </w:t>
      </w:r>
      <w:r w:rsidRPr="00FA0D37">
        <w:rPr>
          <w:color w:val="993366"/>
        </w:rPr>
        <w:t>OPTIONAL</w:t>
      </w:r>
      <w:r w:rsidRPr="00FA0D37">
        <w:t xml:space="preserve">,  </w:t>
      </w:r>
      <w:r w:rsidRPr="00FA0D37">
        <w:rPr>
          <w:color w:val="808080"/>
        </w:rPr>
        <w:t>-- Need M</w:t>
      </w:r>
    </w:p>
    <w:p w14:paraId="2B537573" w14:textId="65FC880F" w:rsidR="004E4A9E" w:rsidRPr="00FA0D37" w:rsidRDefault="004E4A9E" w:rsidP="00FA0D37">
      <w:pPr>
        <w:pStyle w:val="PL"/>
        <w:rPr>
          <w:color w:val="808080"/>
        </w:rPr>
      </w:pPr>
      <w:r w:rsidRPr="00FA0D37">
        <w:t xml:space="preserve">    betaOffsetsCrossPri1-r17                SetupRelease { BetaOffsetsCrossPriSel-r17 }                   </w:t>
      </w:r>
      <w:r w:rsidRPr="00FA0D37">
        <w:rPr>
          <w:color w:val="993366"/>
        </w:rPr>
        <w:t>OPTIONAL</w:t>
      </w:r>
      <w:r w:rsidRPr="00FA0D37">
        <w:t xml:space="preserve">,  </w:t>
      </w:r>
      <w:r w:rsidRPr="00FA0D37">
        <w:rPr>
          <w:color w:val="808080"/>
        </w:rPr>
        <w:t>-- Need M</w:t>
      </w:r>
    </w:p>
    <w:p w14:paraId="3BCD91F9" w14:textId="6ABB8764" w:rsidR="004E4A9E" w:rsidRPr="00FA0D37" w:rsidRDefault="004E4A9E" w:rsidP="00FA0D37">
      <w:pPr>
        <w:pStyle w:val="PL"/>
        <w:rPr>
          <w:color w:val="808080"/>
        </w:rPr>
      </w:pPr>
      <w:r w:rsidRPr="00FA0D37">
        <w:t xml:space="preserve">    betaOffsetsCrossPri0DCI-0-2-r17         SetupRelease { BetaOffsetsCrossPriSelDCI-0-2-r17 }            </w:t>
      </w:r>
      <w:r w:rsidRPr="00FA0D37">
        <w:rPr>
          <w:color w:val="993366"/>
        </w:rPr>
        <w:t>OPTIONAL</w:t>
      </w:r>
      <w:r w:rsidRPr="00FA0D37">
        <w:t xml:space="preserve">,  </w:t>
      </w:r>
      <w:r w:rsidRPr="00FA0D37">
        <w:rPr>
          <w:color w:val="808080"/>
        </w:rPr>
        <w:t>-- Need M</w:t>
      </w:r>
    </w:p>
    <w:p w14:paraId="5865C516" w14:textId="587AD688" w:rsidR="004E4A9E" w:rsidRPr="00FA0D37" w:rsidRDefault="004E4A9E" w:rsidP="00FA0D37">
      <w:pPr>
        <w:pStyle w:val="PL"/>
        <w:rPr>
          <w:color w:val="808080"/>
        </w:rPr>
      </w:pPr>
      <w:r w:rsidRPr="00FA0D37">
        <w:t xml:space="preserve">    betaOffsetsCrossPri1DCI-0-2-r17         SetupRelease { BetaOffsetsCrossPriSelDCI-0-2-r17 }            </w:t>
      </w:r>
      <w:r w:rsidRPr="00FA0D37">
        <w:rPr>
          <w:color w:val="993366"/>
        </w:rPr>
        <w:t>OPTIONAL</w:t>
      </w:r>
      <w:r w:rsidR="00651368" w:rsidRPr="00FA0D37">
        <w:t>,</w:t>
      </w:r>
      <w:r w:rsidRPr="00FA0D37">
        <w:t xml:space="preserve">  </w:t>
      </w:r>
      <w:r w:rsidRPr="00FA0D37">
        <w:rPr>
          <w:color w:val="808080"/>
        </w:rPr>
        <w:t>-- Need M</w:t>
      </w:r>
    </w:p>
    <w:p w14:paraId="77096C9F" w14:textId="538E5591" w:rsidR="00651368" w:rsidRPr="00FA0D37" w:rsidRDefault="00651368" w:rsidP="00FA0D37">
      <w:pPr>
        <w:pStyle w:val="PL"/>
        <w:rPr>
          <w:color w:val="808080"/>
        </w:rPr>
      </w:pPr>
      <w:r w:rsidRPr="00FA0D37">
        <w:t xml:space="preserve">    mappingPattern-r17                      </w:t>
      </w:r>
      <w:r w:rsidRPr="00FA0D37">
        <w:rPr>
          <w:color w:val="993366"/>
        </w:rPr>
        <w:t>ENUMERATED</w:t>
      </w:r>
      <w:r w:rsidRPr="00FA0D37">
        <w:t xml:space="preserve"> {cyclicMapping, sequentialMapping}                 </w:t>
      </w:r>
      <w:r w:rsidRPr="00FA0D37">
        <w:rPr>
          <w:color w:val="993366"/>
        </w:rPr>
        <w:t>OPTIONAL</w:t>
      </w:r>
      <w:r w:rsidRPr="00FA0D37">
        <w:t xml:space="preserve">,  </w:t>
      </w:r>
      <w:r w:rsidRPr="00FA0D37">
        <w:rPr>
          <w:color w:val="808080"/>
        </w:rPr>
        <w:t xml:space="preserve">-- </w:t>
      </w:r>
      <w:r w:rsidR="00770F46" w:rsidRPr="00FA0D37">
        <w:rPr>
          <w:color w:val="808080"/>
        </w:rPr>
        <w:t>Cond SRSsets</w:t>
      </w:r>
    </w:p>
    <w:p w14:paraId="3F9917E8" w14:textId="1B37FB33" w:rsidR="00651368" w:rsidRPr="00FA0D37" w:rsidRDefault="00651368" w:rsidP="00FA0D37">
      <w:pPr>
        <w:pStyle w:val="PL"/>
        <w:rPr>
          <w:color w:val="808080"/>
        </w:rPr>
      </w:pPr>
      <w:r w:rsidRPr="00FA0D37">
        <w:t xml:space="preserve">    secondTPCFieldDCI-0-1-r17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F36FAC4" w14:textId="2D9C4F32" w:rsidR="00651368" w:rsidRPr="00FA0D37" w:rsidRDefault="00651368" w:rsidP="00FA0D37">
      <w:pPr>
        <w:pStyle w:val="PL"/>
        <w:rPr>
          <w:color w:val="808080"/>
        </w:rPr>
      </w:pPr>
      <w:r w:rsidRPr="00FA0D37">
        <w:t xml:space="preserve">    secondTPCFieldDCI-0-2-r17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5E904E19" w14:textId="177FE239" w:rsidR="00651368" w:rsidRPr="00FA0D37" w:rsidRDefault="00651368" w:rsidP="00FA0D37">
      <w:pPr>
        <w:pStyle w:val="PL"/>
        <w:rPr>
          <w:color w:val="808080"/>
        </w:rPr>
      </w:pPr>
      <w:r w:rsidRPr="00FA0D37">
        <w:t xml:space="preserve">    sequenceOffsetForRV-r17                 </w:t>
      </w:r>
      <w:r w:rsidRPr="00FA0D37">
        <w:rPr>
          <w:color w:val="993366"/>
        </w:rPr>
        <w:t>INTEGER</w:t>
      </w:r>
      <w:r w:rsidRPr="00FA0D37">
        <w:t xml:space="preserve"> (0..3)                                                </w:t>
      </w:r>
      <w:r w:rsidRPr="00FA0D37">
        <w:rPr>
          <w:color w:val="993366"/>
        </w:rPr>
        <w:t>OPTIONAL</w:t>
      </w:r>
      <w:r w:rsidR="00A55B26" w:rsidRPr="00FA0D37">
        <w:t>,</w:t>
      </w:r>
      <w:r w:rsidRPr="00FA0D37">
        <w:t xml:space="preserve">  </w:t>
      </w:r>
      <w:r w:rsidRPr="00FA0D37">
        <w:rPr>
          <w:color w:val="808080"/>
        </w:rPr>
        <w:t>-- Need R</w:t>
      </w:r>
    </w:p>
    <w:p w14:paraId="678E5022" w14:textId="44515177" w:rsidR="00A55B26" w:rsidRPr="00FA0D37" w:rsidRDefault="00A55B26" w:rsidP="00FA0D37">
      <w:pPr>
        <w:pStyle w:val="PL"/>
        <w:rPr>
          <w:color w:val="808080"/>
        </w:rPr>
      </w:pPr>
      <w:r w:rsidRPr="00FA0D37">
        <w:t xml:space="preserve">    ul-AccessConfigListDCI-0-1-r17          SetupRelease { UL-AccessConfigListDCI-0-1-r17 }                </w:t>
      </w:r>
      <w:r w:rsidRPr="00FA0D37">
        <w:rPr>
          <w:color w:val="993366"/>
        </w:rPr>
        <w:t>OPTIONAL</w:t>
      </w:r>
      <w:r w:rsidRPr="00FA0D37">
        <w:t xml:space="preserve">,  </w:t>
      </w:r>
      <w:r w:rsidRPr="00FA0D37">
        <w:rPr>
          <w:color w:val="808080"/>
        </w:rPr>
        <w:t>-- Need M</w:t>
      </w:r>
    </w:p>
    <w:p w14:paraId="0175E178" w14:textId="61EACC12" w:rsidR="00A55B26" w:rsidRPr="00FA0D37" w:rsidRDefault="00A55B26" w:rsidP="00FA0D37">
      <w:pPr>
        <w:pStyle w:val="PL"/>
        <w:rPr>
          <w:color w:val="808080"/>
        </w:rPr>
      </w:pPr>
      <w:r w:rsidRPr="00FA0D37">
        <w:t xml:space="preserve">    minimumSchedulingOffsetK2-r17           SetupRelease { MinSchedulingOffsetK2-Values-r17 }              </w:t>
      </w:r>
      <w:r w:rsidRPr="00FA0D37">
        <w:rPr>
          <w:color w:val="993366"/>
        </w:rPr>
        <w:t>OPTIONAL</w:t>
      </w:r>
      <w:r w:rsidR="003E7B2B" w:rsidRPr="00FA0D37">
        <w:t>,</w:t>
      </w:r>
      <w:r w:rsidRPr="00FA0D37">
        <w:t xml:space="preserve">  </w:t>
      </w:r>
      <w:r w:rsidRPr="00FA0D37">
        <w:rPr>
          <w:color w:val="808080"/>
        </w:rPr>
        <w:t>-- Need M</w:t>
      </w:r>
    </w:p>
    <w:p w14:paraId="0E6AF91F" w14:textId="2D2EE025" w:rsidR="003E7B2B" w:rsidRPr="00FA0D37" w:rsidRDefault="003E7B2B" w:rsidP="00FA0D37">
      <w:pPr>
        <w:pStyle w:val="PL"/>
        <w:rPr>
          <w:color w:val="808080"/>
        </w:rPr>
      </w:pPr>
      <w:r w:rsidRPr="00FA0D37">
        <w:t xml:space="preserve">    availableSlotCounting-r17               </w:t>
      </w:r>
      <w:r w:rsidRPr="00FA0D37">
        <w:rPr>
          <w:color w:val="993366"/>
        </w:rPr>
        <w:t>ENUMERATED</w:t>
      </w:r>
      <w:r w:rsidRPr="00FA0D37">
        <w:t xml:space="preserve"> { enabled }                                         </w:t>
      </w:r>
      <w:r w:rsidRPr="00FA0D37">
        <w:rPr>
          <w:color w:val="993366"/>
        </w:rPr>
        <w:t>OPTIONAL</w:t>
      </w:r>
      <w:r w:rsidRPr="00FA0D37">
        <w:t xml:space="preserve">,  </w:t>
      </w:r>
      <w:r w:rsidRPr="00FA0D37">
        <w:rPr>
          <w:color w:val="808080"/>
        </w:rPr>
        <w:t>-- Need S</w:t>
      </w:r>
    </w:p>
    <w:p w14:paraId="38E3DC46" w14:textId="4F69B951" w:rsidR="003E7B2B" w:rsidRPr="00FA0D37" w:rsidRDefault="003E7B2B" w:rsidP="00FA0D37">
      <w:pPr>
        <w:pStyle w:val="PL"/>
        <w:rPr>
          <w:color w:val="808080"/>
        </w:rPr>
      </w:pPr>
      <w:r w:rsidRPr="00FA0D37">
        <w:t xml:space="preserve">    dmrs-BundlingPUSCH-Config-r17           SetupRelease { DMRS-BundlingPUSCH-Config-r17 }                 </w:t>
      </w:r>
      <w:r w:rsidRPr="00FA0D37">
        <w:rPr>
          <w:color w:val="993366"/>
        </w:rPr>
        <w:t>OPTIONAL</w:t>
      </w:r>
      <w:r w:rsidR="005B7637" w:rsidRPr="00FA0D37">
        <w:t>,</w:t>
      </w:r>
      <w:r w:rsidRPr="00FA0D37">
        <w:t xml:space="preserve">  </w:t>
      </w:r>
      <w:r w:rsidRPr="00FA0D37">
        <w:rPr>
          <w:color w:val="808080"/>
        </w:rPr>
        <w:t>-- Need M</w:t>
      </w:r>
    </w:p>
    <w:p w14:paraId="5E19080E" w14:textId="79EA4DAB" w:rsidR="005B7637" w:rsidRPr="00FA0D37" w:rsidRDefault="005B7637" w:rsidP="00FA0D37">
      <w:pPr>
        <w:pStyle w:val="PL"/>
        <w:rPr>
          <w:color w:val="808080"/>
        </w:rPr>
      </w:pPr>
      <w:r w:rsidRPr="00FA0D37">
        <w:t xml:space="preserve">    harq-ProcessNumberSizeDCI-0-2-v1700     </w:t>
      </w:r>
      <w:r w:rsidRPr="00FA0D37">
        <w:rPr>
          <w:color w:val="993366"/>
        </w:rPr>
        <w:t>INTEGER</w:t>
      </w:r>
      <w:r w:rsidRPr="00FA0D37">
        <w:t xml:space="preserve"> (5)                                                    </w:t>
      </w:r>
      <w:r w:rsidRPr="00FA0D37">
        <w:rPr>
          <w:color w:val="993366"/>
        </w:rPr>
        <w:t>OPTIONAL</w:t>
      </w:r>
      <w:r w:rsidRPr="00FA0D37">
        <w:t xml:space="preserve">,  </w:t>
      </w:r>
      <w:r w:rsidRPr="00FA0D37">
        <w:rPr>
          <w:color w:val="808080"/>
        </w:rPr>
        <w:t>-- Need R</w:t>
      </w:r>
    </w:p>
    <w:p w14:paraId="2C17F970" w14:textId="61B75CA3" w:rsidR="005B7637" w:rsidRPr="00FA0D37" w:rsidRDefault="005B7637" w:rsidP="00FA0D37">
      <w:pPr>
        <w:pStyle w:val="PL"/>
        <w:rPr>
          <w:color w:val="808080"/>
        </w:rPr>
      </w:pPr>
      <w:r w:rsidRPr="00FA0D37">
        <w:t xml:space="preserve">    harq-ProcessNumberSizeDCI-0-1-r17       </w:t>
      </w:r>
      <w:r w:rsidRPr="00FA0D37">
        <w:rPr>
          <w:color w:val="993366"/>
        </w:rPr>
        <w:t>INTEGER</w:t>
      </w:r>
      <w:r w:rsidRPr="00FA0D37">
        <w:t xml:space="preserve"> (5)                                                    </w:t>
      </w:r>
      <w:r w:rsidRPr="00FA0D37">
        <w:rPr>
          <w:color w:val="993366"/>
        </w:rPr>
        <w:t>OPTIONAL</w:t>
      </w:r>
      <w:r w:rsidR="00770F46" w:rsidRPr="00FA0D37">
        <w:t>,</w:t>
      </w:r>
      <w:r w:rsidRPr="00FA0D37">
        <w:t xml:space="preserve">  </w:t>
      </w:r>
      <w:r w:rsidRPr="00FA0D37">
        <w:rPr>
          <w:color w:val="808080"/>
        </w:rPr>
        <w:t>-- Need R</w:t>
      </w:r>
    </w:p>
    <w:p w14:paraId="7F58B91B" w14:textId="2DA892EC" w:rsidR="00770F46" w:rsidRPr="00FA0D37" w:rsidRDefault="00770F46" w:rsidP="00FA0D37">
      <w:pPr>
        <w:pStyle w:val="PL"/>
        <w:rPr>
          <w:color w:val="808080"/>
        </w:rPr>
      </w:pPr>
      <w:r w:rsidRPr="00FA0D37">
        <w:t xml:space="preserve">    mpe-ResourcePoolToAddModList-r17       </w:t>
      </w:r>
      <w:r w:rsidRPr="00FA0D37">
        <w:rPr>
          <w:color w:val="993366"/>
        </w:rPr>
        <w:t>SEQUENCE</w:t>
      </w:r>
      <w:r w:rsidRPr="00FA0D37">
        <w:t xml:space="preserve"> (</w:t>
      </w:r>
      <w:r w:rsidRPr="00FA0D37">
        <w:rPr>
          <w:color w:val="993366"/>
        </w:rPr>
        <w:t>SIZE</w:t>
      </w:r>
      <w:r w:rsidRPr="00FA0D37">
        <w:t>(1..maxMPE-Resources-r17))</w:t>
      </w:r>
      <w:r w:rsidRPr="00FA0D37">
        <w:rPr>
          <w:color w:val="993366"/>
        </w:rPr>
        <w:t xml:space="preserve"> OF</w:t>
      </w:r>
      <w:r w:rsidRPr="00FA0D37">
        <w:t xml:space="preserve"> MPE-Resource-r17    </w:t>
      </w:r>
      <w:r w:rsidRPr="00FA0D37">
        <w:rPr>
          <w:color w:val="993366"/>
        </w:rPr>
        <w:t>OPTIONAL</w:t>
      </w:r>
      <w:r w:rsidRPr="00FA0D37">
        <w:t xml:space="preserve">,  </w:t>
      </w:r>
      <w:r w:rsidRPr="00FA0D37">
        <w:rPr>
          <w:color w:val="808080"/>
        </w:rPr>
        <w:t>-- Need N</w:t>
      </w:r>
    </w:p>
    <w:p w14:paraId="5FAA6200" w14:textId="5F76823B" w:rsidR="00770F46" w:rsidRPr="00FA0D37" w:rsidRDefault="00770F46" w:rsidP="00FA0D37">
      <w:pPr>
        <w:pStyle w:val="PL"/>
        <w:rPr>
          <w:color w:val="808080"/>
        </w:rPr>
      </w:pPr>
      <w:r w:rsidRPr="00FA0D37">
        <w:t xml:space="preserve">    mpe-ResourcePoolToReleaseList-r17      </w:t>
      </w:r>
      <w:r w:rsidRPr="00FA0D37">
        <w:rPr>
          <w:color w:val="993366"/>
        </w:rPr>
        <w:t>SEQUENCE</w:t>
      </w:r>
      <w:r w:rsidRPr="00FA0D37">
        <w:t xml:space="preserve"> (</w:t>
      </w:r>
      <w:r w:rsidRPr="00FA0D37">
        <w:rPr>
          <w:color w:val="993366"/>
        </w:rPr>
        <w:t>SIZE</w:t>
      </w:r>
      <w:r w:rsidRPr="00FA0D37">
        <w:t>(1..maxMPE-Resources-r17))</w:t>
      </w:r>
      <w:r w:rsidRPr="00FA0D37">
        <w:rPr>
          <w:color w:val="993366"/>
        </w:rPr>
        <w:t xml:space="preserve"> OF</w:t>
      </w:r>
      <w:r w:rsidRPr="00FA0D37">
        <w:t xml:space="preserve"> MPE-ResourceId-r17  </w:t>
      </w:r>
      <w:r w:rsidRPr="00FA0D37">
        <w:rPr>
          <w:color w:val="993366"/>
        </w:rPr>
        <w:t>OPTIONAL</w:t>
      </w:r>
      <w:r w:rsidRPr="00FA0D37">
        <w:t xml:space="preserve">   </w:t>
      </w:r>
      <w:r w:rsidRPr="00FA0D37">
        <w:rPr>
          <w:color w:val="808080"/>
        </w:rPr>
        <w:t>-- Need N</w:t>
      </w:r>
    </w:p>
    <w:p w14:paraId="19A7E240" w14:textId="56F066F3" w:rsidR="00394471" w:rsidRPr="00FA0D37" w:rsidRDefault="004E4A9E" w:rsidP="00FA0D37">
      <w:pPr>
        <w:pStyle w:val="PL"/>
      </w:pPr>
      <w:r w:rsidRPr="00FA0D37">
        <w:t xml:space="preserve">    ]]</w:t>
      </w:r>
    </w:p>
    <w:p w14:paraId="589F6805" w14:textId="77777777" w:rsidR="00394471" w:rsidRPr="00FA0D37" w:rsidRDefault="00394471" w:rsidP="00FA0D37">
      <w:pPr>
        <w:pStyle w:val="PL"/>
      </w:pPr>
      <w:r w:rsidRPr="00FA0D37">
        <w:t>}</w:t>
      </w:r>
    </w:p>
    <w:p w14:paraId="76667F8C" w14:textId="77777777" w:rsidR="00394471" w:rsidRPr="00FA0D37" w:rsidRDefault="00394471" w:rsidP="00FA0D37">
      <w:pPr>
        <w:pStyle w:val="PL"/>
      </w:pPr>
    </w:p>
    <w:p w14:paraId="5538281A" w14:textId="77777777" w:rsidR="00394471" w:rsidRPr="00FA0D37" w:rsidRDefault="00394471" w:rsidP="00FA0D37">
      <w:pPr>
        <w:pStyle w:val="PL"/>
      </w:pPr>
      <w:r w:rsidRPr="00FA0D37">
        <w:t xml:space="preserve">UCI-OnPUSCH ::=                         </w:t>
      </w:r>
      <w:r w:rsidRPr="00FA0D37">
        <w:rPr>
          <w:color w:val="993366"/>
        </w:rPr>
        <w:t>SEQUENCE</w:t>
      </w:r>
      <w:r w:rsidRPr="00FA0D37">
        <w:t xml:space="preserve"> {</w:t>
      </w:r>
    </w:p>
    <w:p w14:paraId="66674C3A" w14:textId="77777777" w:rsidR="00394471" w:rsidRPr="00FA0D37" w:rsidRDefault="00394471" w:rsidP="00FA0D37">
      <w:pPr>
        <w:pStyle w:val="PL"/>
      </w:pPr>
      <w:r w:rsidRPr="00FA0D37">
        <w:t xml:space="preserve">    betaOffsets                             </w:t>
      </w:r>
      <w:r w:rsidRPr="00FA0D37">
        <w:rPr>
          <w:color w:val="993366"/>
        </w:rPr>
        <w:t>CHOICE</w:t>
      </w:r>
      <w:r w:rsidRPr="00FA0D37">
        <w:t xml:space="preserve"> {</w:t>
      </w:r>
    </w:p>
    <w:p w14:paraId="23E444A8" w14:textId="77777777" w:rsidR="00394471" w:rsidRPr="00FA0D37" w:rsidRDefault="00394471" w:rsidP="00FA0D37">
      <w:pPr>
        <w:pStyle w:val="PL"/>
      </w:pPr>
      <w:r w:rsidRPr="00FA0D37">
        <w:t xml:space="preserve">        dynamic                             </w:t>
      </w:r>
      <w:r w:rsidRPr="00FA0D37">
        <w:rPr>
          <w:color w:val="993366"/>
        </w:rPr>
        <w:t>SEQUENCE</w:t>
      </w:r>
      <w:r w:rsidRPr="00FA0D37">
        <w:t xml:space="preserve"> (</w:t>
      </w:r>
      <w:r w:rsidRPr="00FA0D37">
        <w:rPr>
          <w:color w:val="993366"/>
        </w:rPr>
        <w:t>SIZE</w:t>
      </w:r>
      <w:r w:rsidRPr="00FA0D37">
        <w:t xml:space="preserve"> (4))</w:t>
      </w:r>
      <w:r w:rsidRPr="00FA0D37">
        <w:rPr>
          <w:color w:val="993366"/>
        </w:rPr>
        <w:t xml:space="preserve"> OF</w:t>
      </w:r>
      <w:r w:rsidRPr="00FA0D37">
        <w:t xml:space="preserve"> BetaOffsets,</w:t>
      </w:r>
    </w:p>
    <w:p w14:paraId="072AB6FA" w14:textId="77777777" w:rsidR="00394471" w:rsidRPr="00FA0D37" w:rsidRDefault="00394471" w:rsidP="00FA0D37">
      <w:pPr>
        <w:pStyle w:val="PL"/>
      </w:pPr>
      <w:r w:rsidRPr="00FA0D37">
        <w:lastRenderedPageBreak/>
        <w:t xml:space="preserve">        semiStatic                          BetaOffsets</w:t>
      </w:r>
    </w:p>
    <w:p w14:paraId="0CBA5569"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636B66A6" w14:textId="77777777" w:rsidR="00394471" w:rsidRPr="00FA0D37" w:rsidRDefault="00394471" w:rsidP="00FA0D37">
      <w:pPr>
        <w:pStyle w:val="PL"/>
      </w:pPr>
      <w:r w:rsidRPr="00FA0D37">
        <w:t xml:space="preserve">    scaling                                 </w:t>
      </w:r>
      <w:r w:rsidRPr="00FA0D37">
        <w:rPr>
          <w:color w:val="993366"/>
        </w:rPr>
        <w:t>ENUMERATED</w:t>
      </w:r>
      <w:r w:rsidRPr="00FA0D37">
        <w:t xml:space="preserve"> { f0p5, f0p65, f0p8, f1 }</w:t>
      </w:r>
    </w:p>
    <w:p w14:paraId="2A4DCF6A" w14:textId="77777777" w:rsidR="00394471" w:rsidRPr="00FA0D37" w:rsidRDefault="00394471" w:rsidP="00FA0D37">
      <w:pPr>
        <w:pStyle w:val="PL"/>
      </w:pPr>
      <w:r w:rsidRPr="00FA0D37">
        <w:t>}</w:t>
      </w:r>
    </w:p>
    <w:p w14:paraId="061AD893" w14:textId="77777777" w:rsidR="00394471" w:rsidRPr="00FA0D37" w:rsidRDefault="00394471" w:rsidP="00FA0D37">
      <w:pPr>
        <w:pStyle w:val="PL"/>
      </w:pPr>
    </w:p>
    <w:p w14:paraId="4EF32251" w14:textId="77777777" w:rsidR="00394471" w:rsidRPr="00FA0D37" w:rsidRDefault="00394471" w:rsidP="00FA0D37">
      <w:pPr>
        <w:pStyle w:val="PL"/>
      </w:pPr>
      <w:r w:rsidRPr="00FA0D37">
        <w:t xml:space="preserve">MinSchedulingOffsetK2-Values-r16 ::=    </w:t>
      </w:r>
      <w:r w:rsidRPr="00FA0D37">
        <w:rPr>
          <w:color w:val="993366"/>
        </w:rPr>
        <w:t>SEQUENCE</w:t>
      </w:r>
      <w:r w:rsidRPr="00FA0D37">
        <w:t xml:space="preserve"> (</w:t>
      </w:r>
      <w:r w:rsidRPr="00FA0D37">
        <w:rPr>
          <w:color w:val="993366"/>
        </w:rPr>
        <w:t>SIZE</w:t>
      </w:r>
      <w:r w:rsidRPr="00FA0D37">
        <w:t xml:space="preserve"> (1..maxNrOfMinSchedulingOffsetValues-r16))</w:t>
      </w:r>
      <w:r w:rsidRPr="00FA0D37">
        <w:rPr>
          <w:color w:val="993366"/>
        </w:rPr>
        <w:t xml:space="preserve"> OF</w:t>
      </w:r>
      <w:r w:rsidRPr="00FA0D37">
        <w:t xml:space="preserve"> </w:t>
      </w:r>
      <w:r w:rsidRPr="00FA0D37">
        <w:rPr>
          <w:color w:val="993366"/>
        </w:rPr>
        <w:t>INTEGER</w:t>
      </w:r>
      <w:r w:rsidRPr="00FA0D37">
        <w:t xml:space="preserve"> (0..maxK2-SchedulingOffset-r16)</w:t>
      </w:r>
    </w:p>
    <w:p w14:paraId="60786FFD" w14:textId="109D165F" w:rsidR="00394471" w:rsidRPr="00FA0D37" w:rsidRDefault="00394471" w:rsidP="00FA0D37">
      <w:pPr>
        <w:pStyle w:val="PL"/>
      </w:pPr>
    </w:p>
    <w:p w14:paraId="756FEF7C" w14:textId="604E3AD6" w:rsidR="00A55B26" w:rsidRPr="00FA0D37" w:rsidRDefault="00A55B26" w:rsidP="00FA0D37">
      <w:pPr>
        <w:pStyle w:val="PL"/>
      </w:pPr>
      <w:r w:rsidRPr="00FA0D37">
        <w:t xml:space="preserve">MinSchedulingOffsetK2-Values-r17 ::=    </w:t>
      </w:r>
      <w:r w:rsidRPr="00FA0D37">
        <w:rPr>
          <w:color w:val="993366"/>
        </w:rPr>
        <w:t>SEQUENCE</w:t>
      </w:r>
      <w:r w:rsidRPr="00FA0D37">
        <w:t xml:space="preserve"> (</w:t>
      </w:r>
      <w:r w:rsidRPr="00FA0D37">
        <w:rPr>
          <w:color w:val="993366"/>
        </w:rPr>
        <w:t>SIZE</w:t>
      </w:r>
      <w:r w:rsidRPr="00FA0D37">
        <w:t xml:space="preserve"> (1..maxNrOfMinSchedulingOffsetValues-r16))</w:t>
      </w:r>
      <w:r w:rsidRPr="00FA0D37">
        <w:rPr>
          <w:color w:val="993366"/>
        </w:rPr>
        <w:t xml:space="preserve"> OF</w:t>
      </w:r>
      <w:r w:rsidRPr="00FA0D37">
        <w:t xml:space="preserve"> </w:t>
      </w:r>
      <w:r w:rsidRPr="00FA0D37">
        <w:rPr>
          <w:color w:val="993366"/>
        </w:rPr>
        <w:t>INTEGER</w:t>
      </w:r>
      <w:r w:rsidRPr="00FA0D37">
        <w:t xml:space="preserve"> (0..maxK2-SchedulingOffset-r17)</w:t>
      </w:r>
    </w:p>
    <w:p w14:paraId="343404ED" w14:textId="77777777" w:rsidR="00A55B26" w:rsidRPr="00FA0D37" w:rsidRDefault="00A55B26" w:rsidP="00FA0D37">
      <w:pPr>
        <w:pStyle w:val="PL"/>
      </w:pPr>
    </w:p>
    <w:p w14:paraId="076D32B4" w14:textId="77777777" w:rsidR="00394471" w:rsidRPr="00FA0D37" w:rsidRDefault="00394471" w:rsidP="00FA0D37">
      <w:pPr>
        <w:pStyle w:val="PL"/>
      </w:pPr>
      <w:r w:rsidRPr="00FA0D37">
        <w:t xml:space="preserve">UCI-OnPUSCH-DCI-0-2-r16 ::=             </w:t>
      </w:r>
      <w:r w:rsidRPr="00FA0D37">
        <w:rPr>
          <w:color w:val="993366"/>
        </w:rPr>
        <w:t>SEQUENCE</w:t>
      </w:r>
      <w:r w:rsidRPr="00FA0D37">
        <w:t xml:space="preserve"> {</w:t>
      </w:r>
    </w:p>
    <w:p w14:paraId="033EC530" w14:textId="77777777" w:rsidR="00394471" w:rsidRPr="00FA0D37" w:rsidRDefault="00394471" w:rsidP="00FA0D37">
      <w:pPr>
        <w:pStyle w:val="PL"/>
      </w:pPr>
      <w:r w:rsidRPr="00FA0D37">
        <w:t xml:space="preserve">    betaOffsetsDCI-0-2-r16                  </w:t>
      </w:r>
      <w:r w:rsidRPr="00FA0D37">
        <w:rPr>
          <w:color w:val="993366"/>
        </w:rPr>
        <w:t>CHOICE</w:t>
      </w:r>
      <w:r w:rsidRPr="00FA0D37">
        <w:t xml:space="preserve"> {</w:t>
      </w:r>
    </w:p>
    <w:p w14:paraId="1A1F72D8" w14:textId="77777777" w:rsidR="00394471" w:rsidRPr="00FA0D37" w:rsidRDefault="00394471" w:rsidP="00FA0D37">
      <w:pPr>
        <w:pStyle w:val="PL"/>
      </w:pPr>
      <w:r w:rsidRPr="00FA0D37">
        <w:t xml:space="preserve">        dynamicDCI-0-2-r16                      </w:t>
      </w:r>
      <w:r w:rsidRPr="00FA0D37">
        <w:rPr>
          <w:color w:val="993366"/>
        </w:rPr>
        <w:t>CHOICE</w:t>
      </w:r>
      <w:r w:rsidRPr="00FA0D37">
        <w:t xml:space="preserve"> {</w:t>
      </w:r>
    </w:p>
    <w:p w14:paraId="438588FC" w14:textId="77777777" w:rsidR="00394471" w:rsidRPr="00FA0D37" w:rsidRDefault="00394471" w:rsidP="00FA0D37">
      <w:pPr>
        <w:pStyle w:val="PL"/>
      </w:pPr>
      <w:r w:rsidRPr="00FA0D37">
        <w:t xml:space="preserve">            oneBit-r16                              </w:t>
      </w:r>
      <w:r w:rsidRPr="00FA0D37">
        <w:rPr>
          <w:color w:val="993366"/>
        </w:rPr>
        <w:t>SEQUENCE</w:t>
      </w:r>
      <w:r w:rsidRPr="00FA0D37">
        <w:t xml:space="preserve"> (</w:t>
      </w:r>
      <w:r w:rsidRPr="00FA0D37">
        <w:rPr>
          <w:color w:val="993366"/>
        </w:rPr>
        <w:t>SIZE</w:t>
      </w:r>
      <w:r w:rsidRPr="00FA0D37">
        <w:t xml:space="preserve"> (2))</w:t>
      </w:r>
      <w:r w:rsidRPr="00FA0D37">
        <w:rPr>
          <w:color w:val="993366"/>
        </w:rPr>
        <w:t xml:space="preserve"> OF</w:t>
      </w:r>
      <w:r w:rsidRPr="00FA0D37">
        <w:t xml:space="preserve"> BetaOffsets,</w:t>
      </w:r>
    </w:p>
    <w:p w14:paraId="74E50515" w14:textId="77777777" w:rsidR="00394471" w:rsidRPr="00FA0D37" w:rsidRDefault="00394471" w:rsidP="00FA0D37">
      <w:pPr>
        <w:pStyle w:val="PL"/>
      </w:pPr>
      <w:r w:rsidRPr="00FA0D37">
        <w:t xml:space="preserve">            twoBits-r16                             </w:t>
      </w:r>
      <w:r w:rsidRPr="00FA0D37">
        <w:rPr>
          <w:color w:val="993366"/>
        </w:rPr>
        <w:t>SEQUENCE</w:t>
      </w:r>
      <w:r w:rsidRPr="00FA0D37">
        <w:t xml:space="preserve"> (</w:t>
      </w:r>
      <w:r w:rsidRPr="00FA0D37">
        <w:rPr>
          <w:color w:val="993366"/>
        </w:rPr>
        <w:t>SIZE</w:t>
      </w:r>
      <w:r w:rsidRPr="00FA0D37">
        <w:t xml:space="preserve"> (4))</w:t>
      </w:r>
      <w:r w:rsidRPr="00FA0D37">
        <w:rPr>
          <w:color w:val="993366"/>
        </w:rPr>
        <w:t xml:space="preserve"> OF</w:t>
      </w:r>
      <w:r w:rsidRPr="00FA0D37">
        <w:t xml:space="preserve"> BetaOffsets</w:t>
      </w:r>
    </w:p>
    <w:p w14:paraId="1100F928" w14:textId="77777777" w:rsidR="00394471" w:rsidRPr="00FA0D37" w:rsidRDefault="00394471" w:rsidP="00FA0D37">
      <w:pPr>
        <w:pStyle w:val="PL"/>
      </w:pPr>
      <w:r w:rsidRPr="00FA0D37">
        <w:t xml:space="preserve">        },</w:t>
      </w:r>
    </w:p>
    <w:p w14:paraId="6D633730" w14:textId="77777777" w:rsidR="00394471" w:rsidRPr="00FA0D37" w:rsidRDefault="00394471" w:rsidP="00FA0D37">
      <w:pPr>
        <w:pStyle w:val="PL"/>
      </w:pPr>
      <w:r w:rsidRPr="00FA0D37">
        <w:t xml:space="preserve">        semiStaticDCI-0-2-r16          BetaOffsets</w:t>
      </w:r>
    </w:p>
    <w:p w14:paraId="12492D78"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1C61FFFB" w14:textId="77777777" w:rsidR="00394471" w:rsidRPr="00FA0D37" w:rsidRDefault="00394471" w:rsidP="00FA0D37">
      <w:pPr>
        <w:pStyle w:val="PL"/>
      </w:pPr>
      <w:r w:rsidRPr="00FA0D37">
        <w:t xml:space="preserve">    scalingDCI-0-2-r16                 </w:t>
      </w:r>
      <w:r w:rsidRPr="00FA0D37">
        <w:rPr>
          <w:color w:val="993366"/>
        </w:rPr>
        <w:t>ENUMERATED</w:t>
      </w:r>
      <w:r w:rsidRPr="00FA0D37">
        <w:t xml:space="preserve"> { f0p5, f0p65, f0p8, f1 }</w:t>
      </w:r>
    </w:p>
    <w:p w14:paraId="76A5FA2D" w14:textId="77777777" w:rsidR="00394471" w:rsidRPr="00FA0D37" w:rsidRDefault="00394471" w:rsidP="00FA0D37">
      <w:pPr>
        <w:pStyle w:val="PL"/>
      </w:pPr>
      <w:r w:rsidRPr="00FA0D37">
        <w:t>}</w:t>
      </w:r>
    </w:p>
    <w:p w14:paraId="587B80D0" w14:textId="77777777" w:rsidR="00394471" w:rsidRPr="00FA0D37" w:rsidRDefault="00394471" w:rsidP="00FA0D37">
      <w:pPr>
        <w:pStyle w:val="PL"/>
      </w:pPr>
    </w:p>
    <w:p w14:paraId="15099E21" w14:textId="77777777" w:rsidR="00394471" w:rsidRPr="00FA0D37" w:rsidRDefault="00394471" w:rsidP="00FA0D37">
      <w:pPr>
        <w:pStyle w:val="PL"/>
      </w:pPr>
      <w:r w:rsidRPr="00FA0D37">
        <w:t xml:space="preserve">FrequencyHoppingOffsetListsDCI-0-2-r16 ::=  </w:t>
      </w:r>
      <w:r w:rsidRPr="00FA0D37">
        <w:rPr>
          <w:color w:val="993366"/>
        </w:rPr>
        <w:t>SEQUENCE</w:t>
      </w:r>
      <w:r w:rsidRPr="00FA0D37">
        <w:t xml:space="preserve"> (</w:t>
      </w:r>
      <w:r w:rsidRPr="00FA0D37">
        <w:rPr>
          <w:color w:val="993366"/>
        </w:rPr>
        <w:t>SIZE</w:t>
      </w:r>
      <w:r w:rsidRPr="00FA0D37">
        <w:t xml:space="preserve"> (1..4))</w:t>
      </w:r>
      <w:r w:rsidRPr="00FA0D37">
        <w:rPr>
          <w:color w:val="993366"/>
        </w:rPr>
        <w:t xml:space="preserve"> OF</w:t>
      </w:r>
      <w:r w:rsidRPr="00FA0D37">
        <w:t xml:space="preserve"> </w:t>
      </w:r>
      <w:r w:rsidRPr="00FA0D37">
        <w:rPr>
          <w:color w:val="993366"/>
        </w:rPr>
        <w:t>INTEGER</w:t>
      </w:r>
      <w:r w:rsidRPr="00FA0D37">
        <w:t xml:space="preserve"> (1.. maxNrofPhysicalResourceBlocks-1)</w:t>
      </w:r>
    </w:p>
    <w:p w14:paraId="2D04276A" w14:textId="77777777" w:rsidR="00394471" w:rsidRPr="00FA0D37" w:rsidRDefault="00394471" w:rsidP="00FA0D37">
      <w:pPr>
        <w:pStyle w:val="PL"/>
      </w:pPr>
    </w:p>
    <w:p w14:paraId="1368D5AB" w14:textId="77777777" w:rsidR="00394471" w:rsidRPr="00FA0D37" w:rsidRDefault="00394471" w:rsidP="00FA0D37">
      <w:pPr>
        <w:pStyle w:val="PL"/>
      </w:pPr>
      <w:r w:rsidRPr="00FA0D37">
        <w:t xml:space="preserve">UCI-OnPUSCH-ListDCI-0-2-r16 ::=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UCI-OnPUSCH-DCI-0-2-r16</w:t>
      </w:r>
    </w:p>
    <w:p w14:paraId="37D9B187" w14:textId="77777777" w:rsidR="00394471" w:rsidRPr="00FA0D37" w:rsidRDefault="00394471" w:rsidP="00FA0D37">
      <w:pPr>
        <w:pStyle w:val="PL"/>
      </w:pPr>
    </w:p>
    <w:p w14:paraId="357C488F" w14:textId="77777777" w:rsidR="00394471" w:rsidRPr="00FA0D37" w:rsidRDefault="00394471" w:rsidP="00FA0D37">
      <w:pPr>
        <w:pStyle w:val="PL"/>
      </w:pPr>
      <w:r w:rsidRPr="00FA0D37">
        <w:t xml:space="preserve">UCI-OnPUSCH-ListDCI-0-1-r16 ::=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UCI-OnPUSCH</w:t>
      </w:r>
    </w:p>
    <w:p w14:paraId="7BF8587B" w14:textId="77777777" w:rsidR="00394471" w:rsidRPr="00FA0D37" w:rsidRDefault="00394471" w:rsidP="00FA0D37">
      <w:pPr>
        <w:pStyle w:val="PL"/>
      </w:pPr>
    </w:p>
    <w:p w14:paraId="01677247" w14:textId="77777777" w:rsidR="00394471" w:rsidRPr="00FA0D37" w:rsidRDefault="00394471" w:rsidP="00FA0D37">
      <w:pPr>
        <w:pStyle w:val="PL"/>
      </w:pPr>
      <w:r w:rsidRPr="00FA0D37">
        <w:t xml:space="preserve">UL-AccessConfigListDCI-0-1-r16 ::= </w:t>
      </w:r>
      <w:r w:rsidRPr="00FA0D37">
        <w:rPr>
          <w:color w:val="993366"/>
        </w:rPr>
        <w:t>SEQUENCE</w:t>
      </w:r>
      <w:r w:rsidRPr="00FA0D37">
        <w:t xml:space="preserve"> (</w:t>
      </w:r>
      <w:r w:rsidRPr="00FA0D37">
        <w:rPr>
          <w:color w:val="993366"/>
        </w:rPr>
        <w:t>SIZE</w:t>
      </w:r>
      <w:r w:rsidRPr="00FA0D37">
        <w:t xml:space="preserve"> (1..64))</w:t>
      </w:r>
      <w:r w:rsidRPr="00FA0D37">
        <w:rPr>
          <w:color w:val="993366"/>
        </w:rPr>
        <w:t xml:space="preserve"> OF</w:t>
      </w:r>
      <w:r w:rsidRPr="00FA0D37">
        <w:t xml:space="preserve"> </w:t>
      </w:r>
      <w:r w:rsidRPr="00FA0D37">
        <w:rPr>
          <w:color w:val="993366"/>
        </w:rPr>
        <w:t>INTEGER</w:t>
      </w:r>
      <w:r w:rsidRPr="00FA0D37">
        <w:t xml:space="preserve"> (0..63)</w:t>
      </w:r>
    </w:p>
    <w:p w14:paraId="3556460C" w14:textId="43DC84B2" w:rsidR="004E4A9E" w:rsidRPr="00FA0D37" w:rsidRDefault="004E4A9E" w:rsidP="00FA0D37">
      <w:pPr>
        <w:pStyle w:val="PL"/>
      </w:pPr>
    </w:p>
    <w:p w14:paraId="48163B34" w14:textId="77777777" w:rsidR="00A55B26" w:rsidRPr="00FA0D37" w:rsidRDefault="00A55B26" w:rsidP="00FA0D37">
      <w:pPr>
        <w:pStyle w:val="PL"/>
      </w:pPr>
      <w:r w:rsidRPr="00FA0D37">
        <w:t xml:space="preserve">UL-AccessConfigListDCI-0-1-r17 ::= </w:t>
      </w:r>
      <w:r w:rsidRPr="00FA0D37">
        <w:rPr>
          <w:color w:val="993366"/>
        </w:rPr>
        <w:t>SEQUENCE</w:t>
      </w:r>
      <w:r w:rsidRPr="00FA0D37">
        <w:t xml:space="preserve"> (</w:t>
      </w:r>
      <w:r w:rsidRPr="00FA0D37">
        <w:rPr>
          <w:color w:val="993366"/>
        </w:rPr>
        <w:t>SIZE</w:t>
      </w:r>
      <w:r w:rsidRPr="00FA0D37">
        <w:t xml:space="preserve"> (1..3))</w:t>
      </w:r>
      <w:r w:rsidRPr="00FA0D37">
        <w:rPr>
          <w:color w:val="993366"/>
        </w:rPr>
        <w:t xml:space="preserve"> OF</w:t>
      </w:r>
      <w:r w:rsidRPr="00FA0D37">
        <w:t xml:space="preserve"> </w:t>
      </w:r>
      <w:r w:rsidRPr="00FA0D37">
        <w:rPr>
          <w:color w:val="993366"/>
        </w:rPr>
        <w:t>INTEGER</w:t>
      </w:r>
      <w:r w:rsidRPr="00FA0D37">
        <w:t xml:space="preserve"> (0..2)</w:t>
      </w:r>
    </w:p>
    <w:p w14:paraId="7DDB68D1" w14:textId="77777777" w:rsidR="00A55B26" w:rsidRPr="00FA0D37" w:rsidRDefault="00A55B26" w:rsidP="00FA0D37">
      <w:pPr>
        <w:pStyle w:val="PL"/>
      </w:pPr>
    </w:p>
    <w:p w14:paraId="49C9F87A" w14:textId="77777777" w:rsidR="004E4A9E" w:rsidRPr="00FA0D37" w:rsidRDefault="004E4A9E" w:rsidP="00FA0D37">
      <w:pPr>
        <w:pStyle w:val="PL"/>
      </w:pPr>
      <w:r w:rsidRPr="00FA0D37">
        <w:t xml:space="preserve">UL-AccessConfigListDCI-0-2-r17 ::= </w:t>
      </w:r>
      <w:r w:rsidRPr="00FA0D37">
        <w:rPr>
          <w:color w:val="993366"/>
        </w:rPr>
        <w:t>SEQUENCE</w:t>
      </w:r>
      <w:r w:rsidRPr="00FA0D37">
        <w:t xml:space="preserve"> (</w:t>
      </w:r>
      <w:r w:rsidRPr="00FA0D37">
        <w:rPr>
          <w:color w:val="993366"/>
        </w:rPr>
        <w:t>SIZE</w:t>
      </w:r>
      <w:r w:rsidRPr="00FA0D37">
        <w:t xml:space="preserve"> (1..64))</w:t>
      </w:r>
      <w:r w:rsidRPr="00FA0D37">
        <w:rPr>
          <w:color w:val="993366"/>
        </w:rPr>
        <w:t xml:space="preserve"> OF</w:t>
      </w:r>
      <w:r w:rsidRPr="00FA0D37">
        <w:t xml:space="preserve"> </w:t>
      </w:r>
      <w:r w:rsidRPr="00FA0D37">
        <w:rPr>
          <w:color w:val="993366"/>
        </w:rPr>
        <w:t>INTEGER</w:t>
      </w:r>
      <w:r w:rsidRPr="00FA0D37">
        <w:t xml:space="preserve"> (0..63)</w:t>
      </w:r>
    </w:p>
    <w:p w14:paraId="644E2A0C" w14:textId="77777777" w:rsidR="004E4A9E" w:rsidRPr="00FA0D37" w:rsidRDefault="004E4A9E" w:rsidP="00FA0D37">
      <w:pPr>
        <w:pStyle w:val="PL"/>
      </w:pPr>
    </w:p>
    <w:p w14:paraId="25B00460" w14:textId="77777777" w:rsidR="004E4A9E" w:rsidRPr="00FA0D37" w:rsidRDefault="004E4A9E" w:rsidP="00FA0D37">
      <w:pPr>
        <w:pStyle w:val="PL"/>
      </w:pPr>
      <w:r w:rsidRPr="00FA0D37">
        <w:t xml:space="preserve">BetaOffsetsCrossPriSel-r17 ::= </w:t>
      </w:r>
      <w:r w:rsidRPr="00FA0D37">
        <w:rPr>
          <w:color w:val="993366"/>
        </w:rPr>
        <w:t>CHOICE</w:t>
      </w:r>
      <w:r w:rsidRPr="00FA0D37">
        <w:t xml:space="preserve"> {</w:t>
      </w:r>
    </w:p>
    <w:p w14:paraId="6CA48D92" w14:textId="77777777" w:rsidR="004E4A9E" w:rsidRPr="00FA0D37" w:rsidRDefault="004E4A9E" w:rsidP="00FA0D37">
      <w:pPr>
        <w:pStyle w:val="PL"/>
      </w:pPr>
      <w:r w:rsidRPr="00FA0D37">
        <w:t xml:space="preserve">    dynamic-r17         </w:t>
      </w:r>
      <w:r w:rsidRPr="00FA0D37">
        <w:rPr>
          <w:color w:val="993366"/>
        </w:rPr>
        <w:t>SEQUENCE</w:t>
      </w:r>
      <w:r w:rsidRPr="00FA0D37">
        <w:t xml:space="preserve"> (</w:t>
      </w:r>
      <w:r w:rsidRPr="00FA0D37">
        <w:rPr>
          <w:color w:val="993366"/>
        </w:rPr>
        <w:t>SIZE</w:t>
      </w:r>
      <w:r w:rsidRPr="00FA0D37">
        <w:t xml:space="preserve"> (4))</w:t>
      </w:r>
      <w:r w:rsidRPr="00FA0D37">
        <w:rPr>
          <w:color w:val="993366"/>
        </w:rPr>
        <w:t xml:space="preserve"> OF</w:t>
      </w:r>
      <w:r w:rsidRPr="00FA0D37">
        <w:t xml:space="preserve"> BetaOffsetsCrossPri-r17,</w:t>
      </w:r>
    </w:p>
    <w:p w14:paraId="7FD80ACD" w14:textId="77777777" w:rsidR="004E4A9E" w:rsidRPr="00FA0D37" w:rsidRDefault="004E4A9E" w:rsidP="00FA0D37">
      <w:pPr>
        <w:pStyle w:val="PL"/>
      </w:pPr>
      <w:r w:rsidRPr="00FA0D37">
        <w:t xml:space="preserve">    semiStatic-r17          BetaOffsetsCrossPri-r17</w:t>
      </w:r>
    </w:p>
    <w:p w14:paraId="1E2368EA" w14:textId="77777777" w:rsidR="004E4A9E" w:rsidRPr="00FA0D37" w:rsidRDefault="004E4A9E" w:rsidP="00FA0D37">
      <w:pPr>
        <w:pStyle w:val="PL"/>
      </w:pPr>
      <w:r w:rsidRPr="00FA0D37">
        <w:t>}</w:t>
      </w:r>
    </w:p>
    <w:p w14:paraId="4F7C9806" w14:textId="77777777" w:rsidR="004E4A9E" w:rsidRPr="00FA0D37" w:rsidRDefault="004E4A9E" w:rsidP="00FA0D37">
      <w:pPr>
        <w:pStyle w:val="PL"/>
      </w:pPr>
    </w:p>
    <w:p w14:paraId="79E0EECD" w14:textId="77777777" w:rsidR="004E4A9E" w:rsidRPr="00FA0D37" w:rsidRDefault="004E4A9E" w:rsidP="00FA0D37">
      <w:pPr>
        <w:pStyle w:val="PL"/>
      </w:pPr>
      <w:r w:rsidRPr="00FA0D37">
        <w:t xml:space="preserve">BetaOffsetsCrossPriSelDCI-0-2-r17 ::= </w:t>
      </w:r>
      <w:r w:rsidRPr="00FA0D37">
        <w:rPr>
          <w:color w:val="993366"/>
        </w:rPr>
        <w:t>CHOICE</w:t>
      </w:r>
      <w:r w:rsidRPr="00FA0D37">
        <w:t xml:space="preserve"> {</w:t>
      </w:r>
    </w:p>
    <w:p w14:paraId="45361965" w14:textId="34AB039C" w:rsidR="004E4A9E" w:rsidRPr="00FA0D37" w:rsidRDefault="004E4A9E" w:rsidP="00FA0D37">
      <w:pPr>
        <w:pStyle w:val="PL"/>
      </w:pPr>
      <w:r w:rsidRPr="00FA0D37">
        <w:t xml:space="preserve">    dynamicDCI-0-2-r17      </w:t>
      </w:r>
      <w:r w:rsidRPr="00FA0D37">
        <w:rPr>
          <w:color w:val="993366"/>
        </w:rPr>
        <w:t>CHOICE</w:t>
      </w:r>
      <w:r w:rsidRPr="00FA0D37">
        <w:t xml:space="preserve"> {</w:t>
      </w:r>
    </w:p>
    <w:p w14:paraId="47791953" w14:textId="7ECEEB05" w:rsidR="004E4A9E" w:rsidRPr="00FA0D37" w:rsidRDefault="004E4A9E" w:rsidP="00FA0D37">
      <w:pPr>
        <w:pStyle w:val="PL"/>
      </w:pPr>
      <w:r w:rsidRPr="00FA0D37">
        <w:t xml:space="preserve">        oneBit-r17              </w:t>
      </w:r>
      <w:r w:rsidRPr="00FA0D37">
        <w:rPr>
          <w:color w:val="993366"/>
        </w:rPr>
        <w:t>SEQUENCE</w:t>
      </w:r>
      <w:r w:rsidRPr="00FA0D37">
        <w:t xml:space="preserve"> (</w:t>
      </w:r>
      <w:r w:rsidRPr="00FA0D37">
        <w:rPr>
          <w:color w:val="993366"/>
        </w:rPr>
        <w:t>SIZE</w:t>
      </w:r>
      <w:r w:rsidRPr="00FA0D37">
        <w:t xml:space="preserve"> (2))</w:t>
      </w:r>
      <w:r w:rsidRPr="00FA0D37">
        <w:rPr>
          <w:color w:val="993366"/>
        </w:rPr>
        <w:t xml:space="preserve"> OF</w:t>
      </w:r>
      <w:r w:rsidRPr="00FA0D37">
        <w:t xml:space="preserve"> BetaOffsetsCrossPri-r17,</w:t>
      </w:r>
    </w:p>
    <w:p w14:paraId="0BCD52A2" w14:textId="0F3CFA1A" w:rsidR="004E4A9E" w:rsidRPr="00FA0D37" w:rsidRDefault="004E4A9E" w:rsidP="00FA0D37">
      <w:pPr>
        <w:pStyle w:val="PL"/>
      </w:pPr>
      <w:r w:rsidRPr="00FA0D37">
        <w:t xml:space="preserve">        twoBits-r17             </w:t>
      </w:r>
      <w:r w:rsidRPr="00FA0D37">
        <w:rPr>
          <w:color w:val="993366"/>
        </w:rPr>
        <w:t>SEQUENCE</w:t>
      </w:r>
      <w:r w:rsidRPr="00FA0D37">
        <w:t xml:space="preserve"> (</w:t>
      </w:r>
      <w:r w:rsidRPr="00FA0D37">
        <w:rPr>
          <w:color w:val="993366"/>
        </w:rPr>
        <w:t>SIZE</w:t>
      </w:r>
      <w:r w:rsidRPr="00FA0D37">
        <w:t xml:space="preserve"> (4))</w:t>
      </w:r>
      <w:r w:rsidRPr="00FA0D37">
        <w:rPr>
          <w:color w:val="993366"/>
        </w:rPr>
        <w:t xml:space="preserve"> OF</w:t>
      </w:r>
      <w:r w:rsidRPr="00FA0D37">
        <w:t xml:space="preserve"> BetaOffsetsCrossPri-r17</w:t>
      </w:r>
    </w:p>
    <w:p w14:paraId="5EE7BD48" w14:textId="77777777" w:rsidR="004E4A9E" w:rsidRPr="00FA0D37" w:rsidRDefault="004E4A9E" w:rsidP="00FA0D37">
      <w:pPr>
        <w:pStyle w:val="PL"/>
      </w:pPr>
      <w:r w:rsidRPr="00FA0D37">
        <w:t xml:space="preserve">    },</w:t>
      </w:r>
    </w:p>
    <w:p w14:paraId="7B556857" w14:textId="5DEF4FD4" w:rsidR="004E4A9E" w:rsidRPr="00FA0D37" w:rsidRDefault="004E4A9E" w:rsidP="00FA0D37">
      <w:pPr>
        <w:pStyle w:val="PL"/>
      </w:pPr>
      <w:r w:rsidRPr="00FA0D37">
        <w:t xml:space="preserve">    semiStaticDCI-0-2-r17   BetaOffsetsCrossPri-r17</w:t>
      </w:r>
    </w:p>
    <w:p w14:paraId="7897D08D" w14:textId="15CB5359" w:rsidR="00394471" w:rsidRPr="00FA0D37" w:rsidRDefault="004E4A9E" w:rsidP="00FA0D37">
      <w:pPr>
        <w:pStyle w:val="PL"/>
      </w:pPr>
      <w:r w:rsidRPr="00FA0D37">
        <w:t>}</w:t>
      </w:r>
    </w:p>
    <w:p w14:paraId="5895417C" w14:textId="024A27AE" w:rsidR="00A55B26" w:rsidRPr="00FA0D37" w:rsidRDefault="00A55B26" w:rsidP="00FA0D37">
      <w:pPr>
        <w:pStyle w:val="PL"/>
      </w:pPr>
    </w:p>
    <w:p w14:paraId="66DE5F34" w14:textId="6C45BF93" w:rsidR="00770F46" w:rsidRPr="00FA0D37" w:rsidRDefault="00770F46" w:rsidP="00FA0D37">
      <w:pPr>
        <w:pStyle w:val="PL"/>
      </w:pPr>
      <w:r w:rsidRPr="00FA0D37">
        <w:t xml:space="preserve">MPE-Resource-r17 ::=        </w:t>
      </w:r>
      <w:r w:rsidRPr="00FA0D37">
        <w:rPr>
          <w:color w:val="993366"/>
        </w:rPr>
        <w:t>SEQUENCE</w:t>
      </w:r>
      <w:r w:rsidRPr="00FA0D37">
        <w:t xml:space="preserve"> {</w:t>
      </w:r>
    </w:p>
    <w:p w14:paraId="2A046BBC" w14:textId="77777777" w:rsidR="00F747EB" w:rsidRPr="00FA0D37" w:rsidRDefault="00770F46" w:rsidP="00FA0D37">
      <w:pPr>
        <w:pStyle w:val="PL"/>
      </w:pPr>
      <w:r w:rsidRPr="00FA0D37">
        <w:t xml:space="preserve">    mpe-ResourceId-r17          MPE-ResourceId-r17,</w:t>
      </w:r>
    </w:p>
    <w:p w14:paraId="5756B917" w14:textId="40E622A6" w:rsidR="00770F46" w:rsidRPr="00FA0D37" w:rsidRDefault="00770F46" w:rsidP="00FA0D37">
      <w:pPr>
        <w:pStyle w:val="PL"/>
        <w:rPr>
          <w:color w:val="808080"/>
        </w:rPr>
      </w:pPr>
      <w:r w:rsidRPr="00FA0D37">
        <w:t xml:space="preserve">    cell</w:t>
      </w:r>
      <w:r w:rsidR="00513E07" w:rsidRPr="00FA0D37">
        <w:t>-r17</w:t>
      </w:r>
      <w:r w:rsidRPr="00FA0D37">
        <w:t xml:space="preserve">                    ServCellIndex                                                         </w:t>
      </w:r>
      <w:r w:rsidRPr="00FA0D37">
        <w:rPr>
          <w:color w:val="993366"/>
        </w:rPr>
        <w:t>OPTIONAL</w:t>
      </w:r>
      <w:r w:rsidRPr="00FA0D37">
        <w:t xml:space="preserve">,    </w:t>
      </w:r>
      <w:r w:rsidRPr="00FA0D37">
        <w:rPr>
          <w:color w:val="808080"/>
        </w:rPr>
        <w:t>-- Need R</w:t>
      </w:r>
    </w:p>
    <w:p w14:paraId="350794AD" w14:textId="41524538" w:rsidR="00770F46" w:rsidRPr="00FA0D37" w:rsidRDefault="00770F46" w:rsidP="00FA0D37">
      <w:pPr>
        <w:pStyle w:val="PL"/>
        <w:rPr>
          <w:color w:val="808080"/>
        </w:rPr>
      </w:pPr>
      <w:r w:rsidRPr="00FA0D37">
        <w:t xml:space="preserve">    additionalPCI-r17           AdditionalPCIIndex-r17                                                </w:t>
      </w:r>
      <w:r w:rsidRPr="00FA0D37">
        <w:rPr>
          <w:color w:val="993366"/>
        </w:rPr>
        <w:t>OPTIONAL</w:t>
      </w:r>
      <w:r w:rsidRPr="00FA0D37">
        <w:t xml:space="preserve">,    </w:t>
      </w:r>
      <w:r w:rsidRPr="00FA0D37">
        <w:rPr>
          <w:color w:val="808080"/>
        </w:rPr>
        <w:t>-- Need R</w:t>
      </w:r>
    </w:p>
    <w:p w14:paraId="7EDF8B35" w14:textId="0584634D" w:rsidR="00770F46" w:rsidRPr="00FA0D37" w:rsidRDefault="00770F46" w:rsidP="00FA0D37">
      <w:pPr>
        <w:pStyle w:val="PL"/>
      </w:pPr>
      <w:r w:rsidRPr="00FA0D37">
        <w:t xml:space="preserve">    mpe-ReferenceSignal-r17     </w:t>
      </w:r>
      <w:r w:rsidRPr="00FA0D37">
        <w:rPr>
          <w:color w:val="993366"/>
        </w:rPr>
        <w:t>CHOICE</w:t>
      </w:r>
      <w:r w:rsidRPr="00FA0D37">
        <w:t xml:space="preserve"> {</w:t>
      </w:r>
    </w:p>
    <w:p w14:paraId="60EC72B4" w14:textId="060BC282" w:rsidR="00770F46" w:rsidRPr="00FA0D37" w:rsidRDefault="00770F46" w:rsidP="00FA0D37">
      <w:pPr>
        <w:pStyle w:val="PL"/>
      </w:pPr>
      <w:r w:rsidRPr="00FA0D37">
        <w:t xml:space="preserve">        csi-RS-Resource-r17         NZP-CSI-RS-ResourceId,</w:t>
      </w:r>
    </w:p>
    <w:p w14:paraId="69F9465E" w14:textId="78565BDC" w:rsidR="00770F46" w:rsidRPr="00FA0D37" w:rsidRDefault="00770F46" w:rsidP="00FA0D37">
      <w:pPr>
        <w:pStyle w:val="PL"/>
      </w:pPr>
      <w:r w:rsidRPr="00FA0D37">
        <w:lastRenderedPageBreak/>
        <w:t xml:space="preserve">        ssb-Resource-r17            SSB-Index</w:t>
      </w:r>
    </w:p>
    <w:p w14:paraId="1B0D8255" w14:textId="77777777" w:rsidR="00770F46" w:rsidRPr="00FA0D37" w:rsidRDefault="00770F46" w:rsidP="00FA0D37">
      <w:pPr>
        <w:pStyle w:val="PL"/>
      </w:pPr>
      <w:r w:rsidRPr="00FA0D37">
        <w:t xml:space="preserve">    }</w:t>
      </w:r>
    </w:p>
    <w:p w14:paraId="704DA5DB" w14:textId="77777777" w:rsidR="00770F46" w:rsidRPr="00FA0D37" w:rsidRDefault="00770F46" w:rsidP="00FA0D37">
      <w:pPr>
        <w:pStyle w:val="PL"/>
      </w:pPr>
      <w:r w:rsidRPr="00FA0D37">
        <w:t>}</w:t>
      </w:r>
    </w:p>
    <w:p w14:paraId="6DE0BE7D" w14:textId="77777777" w:rsidR="00770F46" w:rsidRPr="00FA0D37" w:rsidRDefault="00770F46" w:rsidP="00FA0D37">
      <w:pPr>
        <w:pStyle w:val="PL"/>
      </w:pPr>
    </w:p>
    <w:p w14:paraId="61F8AC08" w14:textId="09E6C94A" w:rsidR="00770F46" w:rsidRPr="00FA0D37" w:rsidRDefault="00770F46" w:rsidP="00FA0D37">
      <w:pPr>
        <w:pStyle w:val="PL"/>
      </w:pPr>
      <w:r w:rsidRPr="00FA0D37">
        <w:t xml:space="preserve">MPE-ResourceId-r17 ::=      </w:t>
      </w:r>
      <w:r w:rsidRPr="00FA0D37">
        <w:rPr>
          <w:color w:val="993366"/>
        </w:rPr>
        <w:t>INTEGER</w:t>
      </w:r>
      <w:r w:rsidRPr="00FA0D37">
        <w:t xml:space="preserve"> (1..maxMPE-Resources-r17)</w:t>
      </w:r>
    </w:p>
    <w:p w14:paraId="71E0F2F5" w14:textId="77777777" w:rsidR="00770F46" w:rsidRPr="00FA0D37" w:rsidRDefault="00770F46" w:rsidP="00FA0D37">
      <w:pPr>
        <w:pStyle w:val="PL"/>
      </w:pPr>
    </w:p>
    <w:p w14:paraId="7328AB5B" w14:textId="77777777" w:rsidR="00394471" w:rsidRPr="00FA0D37" w:rsidRDefault="00394471" w:rsidP="00FA0D37">
      <w:pPr>
        <w:pStyle w:val="PL"/>
        <w:rPr>
          <w:color w:val="808080"/>
        </w:rPr>
      </w:pPr>
      <w:r w:rsidRPr="00FA0D37">
        <w:rPr>
          <w:color w:val="808080"/>
        </w:rPr>
        <w:t>-- TAG-PUSCH-CONFIG-STOP</w:t>
      </w:r>
    </w:p>
    <w:p w14:paraId="7A42AA48" w14:textId="77777777" w:rsidR="00394471" w:rsidRPr="00FA0D37" w:rsidRDefault="00394471" w:rsidP="00FA0D37">
      <w:pPr>
        <w:pStyle w:val="PL"/>
        <w:rPr>
          <w:color w:val="808080"/>
        </w:rPr>
      </w:pPr>
      <w:r w:rsidRPr="00FA0D37">
        <w:rPr>
          <w:color w:val="808080"/>
        </w:rPr>
        <w:t>-- ASN1STOP</w:t>
      </w:r>
    </w:p>
    <w:p w14:paraId="6A8B7F7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FA0D37" w:rsidRDefault="00394471" w:rsidP="00964CC4">
            <w:pPr>
              <w:pStyle w:val="TAH"/>
              <w:rPr>
                <w:szCs w:val="22"/>
                <w:lang w:eastAsia="sv-SE"/>
              </w:rPr>
            </w:pPr>
            <w:r w:rsidRPr="00FA0D37">
              <w:rPr>
                <w:i/>
                <w:szCs w:val="22"/>
                <w:lang w:eastAsia="sv-SE"/>
              </w:rPr>
              <w:lastRenderedPageBreak/>
              <w:t xml:space="preserve">PUSCH-Config </w:t>
            </w:r>
            <w:r w:rsidRPr="00FA0D37">
              <w:rPr>
                <w:szCs w:val="22"/>
                <w:lang w:eastAsia="sv-SE"/>
              </w:rPr>
              <w:t>field descriptions</w:t>
            </w:r>
          </w:p>
        </w:tc>
      </w:tr>
      <w:tr w:rsidR="005C7FF4" w:rsidRPr="00FA0D37"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FA0D37" w:rsidRDefault="00394471" w:rsidP="00964CC4">
            <w:pPr>
              <w:pStyle w:val="TAL"/>
              <w:rPr>
                <w:b/>
                <w:bCs/>
                <w:i/>
                <w:iCs/>
              </w:rPr>
            </w:pPr>
            <w:r w:rsidRPr="00FA0D37">
              <w:rPr>
                <w:b/>
                <w:bCs/>
                <w:i/>
                <w:iCs/>
              </w:rPr>
              <w:t>antennaPortsFieldPresenceDCI-0-2</w:t>
            </w:r>
          </w:p>
          <w:p w14:paraId="2A76869F" w14:textId="77777777" w:rsidR="00394471" w:rsidRPr="00FA0D37" w:rsidDel="0051325E" w:rsidRDefault="00394471" w:rsidP="00964CC4">
            <w:pPr>
              <w:pStyle w:val="TAL"/>
              <w:rPr>
                <w:lang w:eastAsia="sv-SE"/>
              </w:rPr>
            </w:pPr>
            <w:r w:rsidRPr="00FA0D37">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FA0D37">
              <w:rPr>
                <w:i/>
                <w:szCs w:val="22"/>
              </w:rPr>
              <w:t>dmrs-UplinkForPUSCH-MappingTypeA-DCI-0-2</w:t>
            </w:r>
            <w:r w:rsidRPr="00FA0D37">
              <w:rPr>
                <w:szCs w:val="22"/>
              </w:rPr>
              <w:t xml:space="preserve"> nor </w:t>
            </w:r>
            <w:r w:rsidRPr="00FA0D37">
              <w:rPr>
                <w:i/>
                <w:szCs w:val="22"/>
              </w:rPr>
              <w:t>dmrs-UplinkForPUSCH-MappingTypeB-DCI-0-2</w:t>
            </w:r>
            <w:r w:rsidRPr="00FA0D37">
              <w:rPr>
                <w:szCs w:val="22"/>
              </w:rPr>
              <w:t xml:space="preserve"> is configured, this field is absent.</w:t>
            </w:r>
          </w:p>
        </w:tc>
      </w:tr>
      <w:tr w:rsidR="005C7FF4" w:rsidRPr="00FA0D37"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FA0D37" w:rsidRDefault="003E7B2B" w:rsidP="00771058">
            <w:pPr>
              <w:pStyle w:val="TAL"/>
              <w:rPr>
                <w:b/>
                <w:bCs/>
                <w:i/>
                <w:iCs/>
              </w:rPr>
            </w:pPr>
            <w:r w:rsidRPr="00FA0D37">
              <w:rPr>
                <w:b/>
                <w:bCs/>
                <w:i/>
                <w:iCs/>
              </w:rPr>
              <w:t>availableSlotCounting</w:t>
            </w:r>
          </w:p>
          <w:p w14:paraId="2995716C" w14:textId="77777777" w:rsidR="003E7B2B" w:rsidRPr="00FA0D37" w:rsidRDefault="003E7B2B" w:rsidP="00771058">
            <w:pPr>
              <w:pStyle w:val="TAL"/>
              <w:rPr>
                <w:b/>
                <w:bCs/>
                <w:i/>
                <w:iCs/>
              </w:rPr>
            </w:pPr>
            <w:r w:rsidRPr="00FA0D37">
              <w:rPr>
                <w:szCs w:val="22"/>
              </w:rPr>
              <w:t>Indicate whether PUSCH repetitions counted on the basis of available slots is enabled. If the field is absent, PUSCH repetitions counted on the basis of available slots is disabled.</w:t>
            </w:r>
          </w:p>
        </w:tc>
      </w:tr>
      <w:tr w:rsidR="005C7FF4" w:rsidRPr="00FA0D37"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FA0D37" w:rsidRDefault="004E4A9E" w:rsidP="00771058">
            <w:pPr>
              <w:pStyle w:val="TAL"/>
              <w:rPr>
                <w:b/>
                <w:bCs/>
                <w:i/>
                <w:iCs/>
              </w:rPr>
            </w:pPr>
            <w:r w:rsidRPr="00FA0D37">
              <w:rPr>
                <w:b/>
                <w:bCs/>
                <w:i/>
                <w:iCs/>
              </w:rPr>
              <w:t>betaOffsetsCrossPri0, betaOffsetsCrossPri1,</w:t>
            </w:r>
            <w:r w:rsidRPr="00FA0D37">
              <w:t xml:space="preserve"> </w:t>
            </w:r>
            <w:r w:rsidRPr="00FA0D37">
              <w:rPr>
                <w:b/>
                <w:bCs/>
                <w:i/>
                <w:iCs/>
              </w:rPr>
              <w:t>betaOffsetsCrossPri0DCI-0-2, betaOffsetsCrossPri1DCI-0-2</w:t>
            </w:r>
          </w:p>
          <w:p w14:paraId="318CC041" w14:textId="77777777" w:rsidR="00F747EB" w:rsidRPr="00FA0D37" w:rsidRDefault="004E4A9E" w:rsidP="00771058">
            <w:pPr>
              <w:pStyle w:val="TAL"/>
            </w:pPr>
            <w:r w:rsidRPr="00FA0D37">
              <w:t>Selection between and configuration of dynamic and semi-static beta-offset for multiplexing HARQ-ACK on dynamically scheduled PUSCH with different priorities, see TS 38.213 [13], clause 9.3.</w:t>
            </w:r>
          </w:p>
          <w:p w14:paraId="3D60023F" w14:textId="7FB83B33" w:rsidR="004E4A9E" w:rsidRPr="00FA0D37" w:rsidRDefault="004E4A9E" w:rsidP="00771058">
            <w:pPr>
              <w:pStyle w:val="TAL"/>
            </w:pPr>
            <w:r w:rsidRPr="00FA0D37">
              <w:t xml:space="preserve">The field </w:t>
            </w:r>
            <w:r w:rsidRPr="00FA0D37">
              <w:rPr>
                <w:i/>
                <w:iCs/>
              </w:rPr>
              <w:t>betaOffsetsCrossPrio0</w:t>
            </w:r>
            <w:r w:rsidRPr="00FA0D37">
              <w:t xml:space="preserve"> indicates multiplexing low priority (LP) HARQ-ACK on dynamically scheduled high priority (HP) PUSCH.</w:t>
            </w:r>
          </w:p>
          <w:p w14:paraId="274308D9" w14:textId="77777777" w:rsidR="004E4A9E" w:rsidRPr="00FA0D37" w:rsidRDefault="004E4A9E" w:rsidP="00771058">
            <w:pPr>
              <w:pStyle w:val="TAL"/>
            </w:pPr>
            <w:r w:rsidRPr="00FA0D37">
              <w:t xml:space="preserve">The field </w:t>
            </w:r>
            <w:r w:rsidRPr="00FA0D37">
              <w:rPr>
                <w:i/>
                <w:iCs/>
              </w:rPr>
              <w:t>betaOffsetsCrossPrio1</w:t>
            </w:r>
            <w:r w:rsidRPr="00FA0D37">
              <w:t xml:space="preserve"> indicates multiplexing HP HARQ-ACK on dynamically scheduled LP PUSCH.</w:t>
            </w:r>
          </w:p>
          <w:p w14:paraId="51B73E21" w14:textId="77777777" w:rsidR="004E4A9E" w:rsidRPr="00FA0D37" w:rsidRDefault="004E4A9E" w:rsidP="00771058">
            <w:pPr>
              <w:pStyle w:val="TAL"/>
            </w:pPr>
            <w:r w:rsidRPr="00FA0D37">
              <w:t xml:space="preserve">The field </w:t>
            </w:r>
            <w:r w:rsidRPr="00FA0D37">
              <w:rPr>
                <w:i/>
                <w:iCs/>
              </w:rPr>
              <w:t>betaOffsetsCrossPrio0DCI-0-2</w:t>
            </w:r>
            <w:r w:rsidRPr="00FA0D37">
              <w:t xml:space="preserve"> indicates multiplexing LP HARQ-ACK on dynamically scheduled HP PUSCH by DCI format 0_2.</w:t>
            </w:r>
          </w:p>
          <w:p w14:paraId="7DD754E5" w14:textId="77777777" w:rsidR="004E4A9E" w:rsidRPr="00FA0D37" w:rsidRDefault="004E4A9E" w:rsidP="00771058">
            <w:pPr>
              <w:pStyle w:val="TAL"/>
            </w:pPr>
            <w:r w:rsidRPr="00FA0D37">
              <w:t xml:space="preserve">The field </w:t>
            </w:r>
            <w:r w:rsidRPr="00FA0D37">
              <w:rPr>
                <w:i/>
                <w:iCs/>
              </w:rPr>
              <w:t>betaOffsetsCrossPrio1DCI-0-2</w:t>
            </w:r>
            <w:r w:rsidRPr="00FA0D37">
              <w:t xml:space="preserve"> indicates multiplexing HP HARQ-ACK on dynamically scheduled LP PUSCH by DCI format 0_2.</w:t>
            </w:r>
          </w:p>
        </w:tc>
      </w:tr>
      <w:tr w:rsidR="005C7FF4" w:rsidRPr="00FA0D37"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FA0D37" w:rsidRDefault="00394471" w:rsidP="00964CC4">
            <w:pPr>
              <w:pStyle w:val="TAL"/>
              <w:rPr>
                <w:szCs w:val="22"/>
                <w:lang w:eastAsia="sv-SE"/>
              </w:rPr>
            </w:pPr>
            <w:r w:rsidRPr="00FA0D37">
              <w:rPr>
                <w:b/>
                <w:i/>
                <w:szCs w:val="22"/>
                <w:lang w:eastAsia="sv-SE"/>
              </w:rPr>
              <w:t>codebookSubset, codebookSubsetDCI-0-2</w:t>
            </w:r>
          </w:p>
          <w:p w14:paraId="218BF68A" w14:textId="77777777" w:rsidR="00394471" w:rsidRPr="00FA0D37" w:rsidRDefault="00394471" w:rsidP="00964CC4">
            <w:pPr>
              <w:pStyle w:val="TAL"/>
              <w:rPr>
                <w:szCs w:val="22"/>
                <w:lang w:eastAsia="sv-SE"/>
              </w:rPr>
            </w:pPr>
            <w:r w:rsidRPr="00FA0D37">
              <w:rPr>
                <w:szCs w:val="22"/>
                <w:lang w:eastAsia="sv-SE"/>
              </w:rPr>
              <w:t xml:space="preserve">Subset of PMIs addressed by TPMI, where PMIs are those supported by UEs with maximum coherence capabilities (see TS 38.214 [19], clause 6.1.1.1). The field </w:t>
            </w:r>
            <w:r w:rsidRPr="00FA0D37">
              <w:rPr>
                <w:i/>
                <w:szCs w:val="22"/>
                <w:lang w:eastAsia="sv-SE"/>
              </w:rPr>
              <w:t xml:space="preserve">codebookSubset </w:t>
            </w:r>
            <w:r w:rsidRPr="00FA0D37">
              <w:rPr>
                <w:szCs w:val="22"/>
                <w:lang w:eastAsia="sv-SE"/>
              </w:rPr>
              <w:t xml:space="preserve">applies to DCI format 0_1 and the field </w:t>
            </w:r>
            <w:r w:rsidRPr="00FA0D37">
              <w:rPr>
                <w:i/>
                <w:szCs w:val="22"/>
                <w:lang w:eastAsia="sv-SE"/>
              </w:rPr>
              <w:t>codebookSubsetDCI-0-2</w:t>
            </w:r>
            <w:r w:rsidRPr="00FA0D37">
              <w:rPr>
                <w:szCs w:val="22"/>
                <w:lang w:eastAsia="sv-SE"/>
              </w:rPr>
              <w:t xml:space="preserve"> applies to DCI format 0_2 (see TS 38.214 [19], clause 6.1.1.1).</w:t>
            </w:r>
          </w:p>
        </w:tc>
      </w:tr>
      <w:tr w:rsidR="005C7FF4" w:rsidRPr="00FA0D37"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FA0D37" w:rsidRDefault="00394471" w:rsidP="00964CC4">
            <w:pPr>
              <w:pStyle w:val="TAL"/>
              <w:rPr>
                <w:szCs w:val="22"/>
                <w:lang w:eastAsia="sv-SE"/>
              </w:rPr>
            </w:pPr>
            <w:r w:rsidRPr="00FA0D37">
              <w:rPr>
                <w:b/>
                <w:i/>
                <w:szCs w:val="22"/>
                <w:lang w:eastAsia="sv-SE"/>
              </w:rPr>
              <w:t>dataScramblingIdentityPUSCH</w:t>
            </w:r>
          </w:p>
          <w:p w14:paraId="692BF024" w14:textId="11A24981" w:rsidR="00394471" w:rsidRPr="00FA0D37" w:rsidRDefault="00394471" w:rsidP="00964CC4">
            <w:pPr>
              <w:pStyle w:val="TAL"/>
              <w:rPr>
                <w:szCs w:val="22"/>
                <w:lang w:eastAsia="sv-SE"/>
              </w:rPr>
            </w:pPr>
            <w:r w:rsidRPr="00FA0D37">
              <w:rPr>
                <w:szCs w:val="22"/>
                <w:lang w:eastAsia="sv-SE"/>
              </w:rPr>
              <w:t>Identifier used to init</w:t>
            </w:r>
            <w:r w:rsidR="00C813A9" w:rsidRPr="00FA0D37">
              <w:rPr>
                <w:szCs w:val="22"/>
                <w:lang w:eastAsia="sv-SE"/>
              </w:rPr>
              <w:t>i</w:t>
            </w:r>
            <w:r w:rsidRPr="00FA0D37">
              <w:rPr>
                <w:szCs w:val="22"/>
                <w:lang w:eastAsia="sv-SE"/>
              </w:rPr>
              <w:t>ali</w:t>
            </w:r>
            <w:r w:rsidR="00C813A9" w:rsidRPr="00FA0D37">
              <w:rPr>
                <w:szCs w:val="22"/>
                <w:lang w:eastAsia="sv-SE"/>
              </w:rPr>
              <w:t>s</w:t>
            </w:r>
            <w:r w:rsidRPr="00FA0D37">
              <w:rPr>
                <w:szCs w:val="22"/>
                <w:lang w:eastAsia="sv-SE"/>
              </w:rPr>
              <w:t>e data scrambling (c_init) for PUSCH. If the field is absent, the UE applies the physical cell ID. (see TS 38.211 [16], clause 6.3.1.1).</w:t>
            </w:r>
          </w:p>
        </w:tc>
      </w:tr>
      <w:tr w:rsidR="005C7FF4" w:rsidRPr="00FA0D37"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FA0D37" w:rsidRDefault="003E7B2B" w:rsidP="00771058">
            <w:pPr>
              <w:pStyle w:val="TAL"/>
              <w:rPr>
                <w:b/>
                <w:bCs/>
                <w:i/>
                <w:iCs/>
                <w:lang w:eastAsia="x-none"/>
              </w:rPr>
            </w:pPr>
            <w:r w:rsidRPr="00FA0D37">
              <w:rPr>
                <w:b/>
                <w:bCs/>
                <w:i/>
                <w:iCs/>
                <w:lang w:eastAsia="x-none"/>
              </w:rPr>
              <w:t>dmrs-BundlingPUSCH-Config</w:t>
            </w:r>
          </w:p>
          <w:p w14:paraId="06805FCA" w14:textId="4CAD20C3" w:rsidR="003E7B2B" w:rsidRPr="00FA0D37" w:rsidRDefault="003E7B2B" w:rsidP="00771058">
            <w:pPr>
              <w:pStyle w:val="TAL"/>
              <w:rPr>
                <w:b/>
                <w:i/>
                <w:szCs w:val="22"/>
                <w:lang w:eastAsia="sv-SE"/>
              </w:rPr>
            </w:pPr>
            <w:r w:rsidRPr="00FA0D37">
              <w:rPr>
                <w:szCs w:val="22"/>
                <w:lang w:eastAsia="sv-SE"/>
              </w:rPr>
              <w:t>Configure the parameters for DMRS bundling for PUSCH (see TS 38.214 [19], clause 6.1.7).</w:t>
            </w:r>
            <w:r w:rsidR="00032481" w:rsidRPr="00FA0D37">
              <w:rPr>
                <w:szCs w:val="22"/>
                <w:lang w:eastAsia="sv-SE"/>
              </w:rPr>
              <w:t xml:space="preserve"> In this release, this is not applicable to FR2-2.</w:t>
            </w:r>
          </w:p>
        </w:tc>
      </w:tr>
      <w:tr w:rsidR="005C7FF4" w:rsidRPr="00FA0D37"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FA0D37" w:rsidRDefault="00394471" w:rsidP="00964CC4">
            <w:pPr>
              <w:pStyle w:val="TAL"/>
              <w:rPr>
                <w:b/>
                <w:bCs/>
                <w:i/>
                <w:iCs/>
                <w:lang w:eastAsia="x-none"/>
              </w:rPr>
            </w:pPr>
            <w:r w:rsidRPr="00FA0D37">
              <w:rPr>
                <w:b/>
                <w:bCs/>
                <w:i/>
                <w:iCs/>
                <w:lang w:eastAsia="x-none"/>
              </w:rPr>
              <w:t>dmrs-SequenceInitializationDCI-0-2</w:t>
            </w:r>
          </w:p>
          <w:p w14:paraId="0372E245" w14:textId="77777777" w:rsidR="00394471" w:rsidRPr="00FA0D37" w:rsidRDefault="00394471" w:rsidP="00964CC4">
            <w:pPr>
              <w:pStyle w:val="TAL"/>
              <w:rPr>
                <w:b/>
                <w:i/>
                <w:szCs w:val="22"/>
                <w:lang w:eastAsia="sv-SE"/>
              </w:rPr>
            </w:pPr>
            <w:r w:rsidRPr="00FA0D37">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5C7FF4" w:rsidRPr="00FA0D37"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FA0D37" w:rsidRDefault="00394471" w:rsidP="00964CC4">
            <w:pPr>
              <w:pStyle w:val="TAL"/>
              <w:rPr>
                <w:szCs w:val="22"/>
                <w:lang w:eastAsia="sv-SE"/>
              </w:rPr>
            </w:pPr>
            <w:r w:rsidRPr="00FA0D37">
              <w:rPr>
                <w:b/>
                <w:i/>
                <w:szCs w:val="22"/>
                <w:lang w:eastAsia="sv-SE"/>
              </w:rPr>
              <w:t>dmrs-UplinkForPUSCH-MappingTypeA, dmrs-UplinkForPUSCH-MappingTypeA-</w:t>
            </w:r>
            <w:r w:rsidRPr="00FA0D37">
              <w:rPr>
                <w:b/>
                <w:i/>
                <w:szCs w:val="22"/>
              </w:rPr>
              <w:t>DCI-</w:t>
            </w:r>
            <w:r w:rsidRPr="00FA0D37">
              <w:rPr>
                <w:b/>
                <w:i/>
                <w:szCs w:val="22"/>
                <w:lang w:eastAsia="sv-SE"/>
              </w:rPr>
              <w:t>0-2</w:t>
            </w:r>
          </w:p>
          <w:p w14:paraId="68349740" w14:textId="77777777" w:rsidR="00394471" w:rsidRPr="00FA0D37" w:rsidRDefault="00394471" w:rsidP="00964CC4">
            <w:pPr>
              <w:pStyle w:val="TAL"/>
              <w:rPr>
                <w:szCs w:val="22"/>
                <w:lang w:eastAsia="sv-SE"/>
              </w:rPr>
            </w:pPr>
            <w:r w:rsidRPr="00FA0D37">
              <w:rPr>
                <w:szCs w:val="22"/>
                <w:lang w:eastAsia="sv-SE"/>
              </w:rPr>
              <w:t xml:space="preserve">DMRS configuration for PUSCH transmissions using PUSCH mapping type A (chosen dynamically via </w:t>
            </w:r>
            <w:r w:rsidRPr="00FA0D37">
              <w:rPr>
                <w:i/>
                <w:szCs w:val="22"/>
                <w:lang w:eastAsia="sv-SE"/>
              </w:rPr>
              <w:t>PUSCH-TimeDomainResourceAllocation</w:t>
            </w:r>
            <w:r w:rsidRPr="00FA0D37">
              <w:rPr>
                <w:szCs w:val="22"/>
                <w:lang w:eastAsia="sv-SE"/>
              </w:rPr>
              <w:t xml:space="preserve">). Only the fields </w:t>
            </w:r>
            <w:r w:rsidRPr="00FA0D37">
              <w:rPr>
                <w:i/>
                <w:szCs w:val="22"/>
                <w:lang w:eastAsia="sv-SE"/>
              </w:rPr>
              <w:t>dmrs-Type</w:t>
            </w:r>
            <w:r w:rsidRPr="00FA0D37">
              <w:rPr>
                <w:szCs w:val="22"/>
                <w:lang w:eastAsia="sv-SE"/>
              </w:rPr>
              <w:t xml:space="preserve">, </w:t>
            </w:r>
            <w:r w:rsidRPr="00FA0D37">
              <w:rPr>
                <w:i/>
                <w:szCs w:val="22"/>
                <w:lang w:eastAsia="sv-SE"/>
              </w:rPr>
              <w:t>dmrs-AdditionalPosition</w:t>
            </w:r>
            <w:r w:rsidRPr="00FA0D37">
              <w:rPr>
                <w:szCs w:val="22"/>
                <w:lang w:eastAsia="sv-SE"/>
              </w:rPr>
              <w:t xml:space="preserve"> and </w:t>
            </w:r>
            <w:r w:rsidRPr="00FA0D37">
              <w:rPr>
                <w:i/>
                <w:szCs w:val="22"/>
                <w:lang w:eastAsia="sv-SE"/>
              </w:rPr>
              <w:t>maxLength</w:t>
            </w:r>
            <w:r w:rsidRPr="00FA0D37">
              <w:rPr>
                <w:szCs w:val="22"/>
                <w:lang w:eastAsia="sv-SE"/>
              </w:rPr>
              <w:t xml:space="preserve"> may be set differently for mapping type A and B. The field </w:t>
            </w:r>
            <w:r w:rsidRPr="00FA0D37">
              <w:rPr>
                <w:i/>
                <w:szCs w:val="22"/>
                <w:lang w:eastAsia="sv-SE"/>
              </w:rPr>
              <w:t xml:space="preserve">dmrs-UplinkForPUSCH-MappingTypeA </w:t>
            </w:r>
            <w:r w:rsidRPr="00FA0D37">
              <w:rPr>
                <w:szCs w:val="22"/>
                <w:lang w:eastAsia="sv-SE"/>
              </w:rPr>
              <w:t xml:space="preserve">applies to DCI format 0_1 and the field </w:t>
            </w:r>
            <w:r w:rsidRPr="00FA0D37">
              <w:rPr>
                <w:i/>
                <w:szCs w:val="22"/>
                <w:lang w:eastAsia="sv-SE"/>
              </w:rPr>
              <w:t>dmrs-UplinkForPUSCH-MappingTypeA-</w:t>
            </w:r>
            <w:r w:rsidRPr="00FA0D37">
              <w:rPr>
                <w:i/>
                <w:szCs w:val="22"/>
              </w:rPr>
              <w:t>DCI-</w:t>
            </w:r>
            <w:r w:rsidRPr="00FA0D37">
              <w:rPr>
                <w:i/>
                <w:szCs w:val="22"/>
                <w:lang w:eastAsia="sv-SE"/>
              </w:rPr>
              <w:t>0-2</w:t>
            </w:r>
            <w:r w:rsidRPr="00FA0D37">
              <w:rPr>
                <w:szCs w:val="22"/>
                <w:lang w:eastAsia="sv-SE"/>
              </w:rPr>
              <w:t xml:space="preserve"> applies to DCI format 0_2 (see TS 38.212 [17], clause 7.3.1).</w:t>
            </w:r>
          </w:p>
        </w:tc>
      </w:tr>
      <w:tr w:rsidR="005C7FF4" w:rsidRPr="00FA0D37"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FA0D37" w:rsidRDefault="00394471" w:rsidP="00964CC4">
            <w:pPr>
              <w:pStyle w:val="TAL"/>
              <w:rPr>
                <w:szCs w:val="22"/>
                <w:lang w:eastAsia="sv-SE"/>
              </w:rPr>
            </w:pPr>
            <w:r w:rsidRPr="00FA0D37">
              <w:rPr>
                <w:b/>
                <w:i/>
                <w:szCs w:val="22"/>
                <w:lang w:eastAsia="sv-SE"/>
              </w:rPr>
              <w:t>dmrs-UplinkForPUSCH-MappingTypeB, dmrs-UplinkForPUSCH-MappingTypeB-</w:t>
            </w:r>
            <w:r w:rsidRPr="00FA0D37">
              <w:rPr>
                <w:b/>
                <w:i/>
                <w:szCs w:val="22"/>
              </w:rPr>
              <w:t>DCI-</w:t>
            </w:r>
            <w:r w:rsidRPr="00FA0D37">
              <w:rPr>
                <w:b/>
                <w:i/>
                <w:szCs w:val="22"/>
                <w:lang w:eastAsia="sv-SE"/>
              </w:rPr>
              <w:t>0-2</w:t>
            </w:r>
          </w:p>
          <w:p w14:paraId="79288E08" w14:textId="77777777" w:rsidR="00394471" w:rsidRPr="00FA0D37" w:rsidRDefault="00394471" w:rsidP="00964CC4">
            <w:pPr>
              <w:pStyle w:val="TAL"/>
              <w:rPr>
                <w:szCs w:val="22"/>
                <w:lang w:eastAsia="sv-SE"/>
              </w:rPr>
            </w:pPr>
            <w:r w:rsidRPr="00FA0D37">
              <w:rPr>
                <w:szCs w:val="22"/>
                <w:lang w:eastAsia="sv-SE"/>
              </w:rPr>
              <w:t xml:space="preserve">DMRS configuration for PUSCH transmissions using PUSCH mapping type B (chosen dynamically via </w:t>
            </w:r>
            <w:r w:rsidRPr="00FA0D37">
              <w:rPr>
                <w:i/>
                <w:szCs w:val="22"/>
                <w:lang w:eastAsia="sv-SE"/>
              </w:rPr>
              <w:t>PUSCH-TimeDomainResourceAllocation</w:t>
            </w:r>
            <w:r w:rsidRPr="00FA0D37">
              <w:rPr>
                <w:szCs w:val="22"/>
                <w:lang w:eastAsia="sv-SE"/>
              </w:rPr>
              <w:t xml:space="preserve">). Only the fields </w:t>
            </w:r>
            <w:r w:rsidRPr="00FA0D37">
              <w:rPr>
                <w:i/>
                <w:szCs w:val="22"/>
                <w:lang w:eastAsia="sv-SE"/>
              </w:rPr>
              <w:t>dmrs-Type</w:t>
            </w:r>
            <w:r w:rsidRPr="00FA0D37">
              <w:rPr>
                <w:szCs w:val="22"/>
                <w:lang w:eastAsia="sv-SE"/>
              </w:rPr>
              <w:t xml:space="preserve">, </w:t>
            </w:r>
            <w:r w:rsidRPr="00FA0D37">
              <w:rPr>
                <w:i/>
                <w:szCs w:val="22"/>
                <w:lang w:eastAsia="sv-SE"/>
              </w:rPr>
              <w:t>dmrs-AdditionalPosition</w:t>
            </w:r>
            <w:r w:rsidRPr="00FA0D37">
              <w:rPr>
                <w:szCs w:val="22"/>
                <w:lang w:eastAsia="sv-SE"/>
              </w:rPr>
              <w:t xml:space="preserve"> and </w:t>
            </w:r>
            <w:r w:rsidRPr="00FA0D37">
              <w:rPr>
                <w:i/>
                <w:szCs w:val="22"/>
                <w:lang w:eastAsia="sv-SE"/>
              </w:rPr>
              <w:t>maxLength</w:t>
            </w:r>
            <w:r w:rsidRPr="00FA0D37">
              <w:rPr>
                <w:szCs w:val="22"/>
                <w:lang w:eastAsia="sv-SE"/>
              </w:rPr>
              <w:t xml:space="preserve"> may be set differently for mapping type A and B. The field </w:t>
            </w:r>
            <w:r w:rsidRPr="00FA0D37">
              <w:rPr>
                <w:i/>
                <w:szCs w:val="22"/>
                <w:lang w:eastAsia="sv-SE"/>
              </w:rPr>
              <w:t xml:space="preserve">dmrs-UplinkForPUSCH-MappingTypeB </w:t>
            </w:r>
            <w:r w:rsidRPr="00FA0D37">
              <w:rPr>
                <w:szCs w:val="22"/>
                <w:lang w:eastAsia="sv-SE"/>
              </w:rPr>
              <w:t xml:space="preserve">applies to DCI format 0_1 and the field </w:t>
            </w:r>
            <w:r w:rsidRPr="00FA0D37">
              <w:rPr>
                <w:i/>
                <w:szCs w:val="22"/>
                <w:lang w:eastAsia="sv-SE"/>
              </w:rPr>
              <w:t>dmrs-UplinkForPUSCH-MappingTypeB-</w:t>
            </w:r>
            <w:r w:rsidRPr="00FA0D37">
              <w:rPr>
                <w:i/>
                <w:szCs w:val="22"/>
              </w:rPr>
              <w:t>DCI-</w:t>
            </w:r>
            <w:r w:rsidRPr="00FA0D37">
              <w:rPr>
                <w:i/>
                <w:szCs w:val="22"/>
                <w:lang w:eastAsia="sv-SE"/>
              </w:rPr>
              <w:t>0-2</w:t>
            </w:r>
            <w:r w:rsidRPr="00FA0D37">
              <w:rPr>
                <w:szCs w:val="22"/>
                <w:lang w:eastAsia="sv-SE"/>
              </w:rPr>
              <w:t xml:space="preserve"> applies to DCI format 0_2 (see TS 38.212 [17], clause 7.3.1).</w:t>
            </w:r>
          </w:p>
        </w:tc>
      </w:tr>
      <w:tr w:rsidR="005C7FF4" w:rsidRPr="00FA0D37"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FA0D37" w:rsidRDefault="00394471" w:rsidP="00964CC4">
            <w:pPr>
              <w:pStyle w:val="TAL"/>
              <w:rPr>
                <w:szCs w:val="22"/>
                <w:lang w:eastAsia="sv-SE"/>
              </w:rPr>
            </w:pPr>
            <w:r w:rsidRPr="00FA0D37">
              <w:rPr>
                <w:b/>
                <w:i/>
                <w:szCs w:val="22"/>
                <w:lang w:eastAsia="sv-SE"/>
              </w:rPr>
              <w:t>frequencyHopping</w:t>
            </w:r>
          </w:p>
          <w:p w14:paraId="745D9B02" w14:textId="77777777" w:rsidR="00394471" w:rsidRPr="00FA0D37" w:rsidRDefault="00394471" w:rsidP="00964CC4">
            <w:pPr>
              <w:pStyle w:val="TAL"/>
              <w:rPr>
                <w:szCs w:val="22"/>
                <w:lang w:eastAsia="sv-SE"/>
              </w:rPr>
            </w:pPr>
            <w:r w:rsidRPr="00FA0D37">
              <w:rPr>
                <w:szCs w:val="22"/>
                <w:lang w:eastAsia="sv-SE"/>
              </w:rPr>
              <w:t xml:space="preserve">The value </w:t>
            </w:r>
            <w:r w:rsidRPr="00FA0D37">
              <w:rPr>
                <w:i/>
                <w:szCs w:val="22"/>
                <w:lang w:eastAsia="sv-SE"/>
              </w:rPr>
              <w:t>intraSlot</w:t>
            </w:r>
            <w:r w:rsidRPr="00FA0D37">
              <w:rPr>
                <w:szCs w:val="22"/>
                <w:lang w:eastAsia="sv-SE"/>
              </w:rPr>
              <w:t xml:space="preserve"> enables 'Intra-slot frequency hopping' and the value </w:t>
            </w:r>
            <w:r w:rsidRPr="00FA0D37">
              <w:rPr>
                <w:i/>
                <w:szCs w:val="22"/>
                <w:lang w:eastAsia="sv-SE"/>
              </w:rPr>
              <w:t>interSlot</w:t>
            </w:r>
            <w:r w:rsidRPr="00FA0D37">
              <w:rPr>
                <w:szCs w:val="22"/>
                <w:lang w:eastAsia="sv-SE"/>
              </w:rPr>
              <w:t xml:space="preserve"> enables 'Inter-slot frequency hopping'. If the field is absent, frequency hopping is not configured </w:t>
            </w:r>
            <w:r w:rsidRPr="00FA0D37">
              <w:rPr>
                <w:szCs w:val="22"/>
              </w:rPr>
              <w:t xml:space="preserve">for 'pusch-RepTypeA' </w:t>
            </w:r>
            <w:r w:rsidRPr="00FA0D37">
              <w:rPr>
                <w:szCs w:val="22"/>
                <w:lang w:eastAsia="sv-SE"/>
              </w:rPr>
              <w:t xml:space="preserve">(see TS 38.214 [19], clause 6.3). The field </w:t>
            </w:r>
            <w:r w:rsidRPr="00FA0D37">
              <w:rPr>
                <w:i/>
                <w:szCs w:val="22"/>
                <w:lang w:eastAsia="sv-SE"/>
              </w:rPr>
              <w:t>frequencyHopping</w:t>
            </w:r>
            <w:r w:rsidRPr="00FA0D37">
              <w:rPr>
                <w:szCs w:val="22"/>
                <w:lang w:eastAsia="sv-SE"/>
              </w:rPr>
              <w:t xml:space="preserve"> applies to DCI format 0_</w:t>
            </w:r>
            <w:r w:rsidRPr="00FA0D37">
              <w:rPr>
                <w:szCs w:val="22"/>
              </w:rPr>
              <w:t>0 and 0_1</w:t>
            </w:r>
            <w:r w:rsidRPr="00FA0D37">
              <w:rPr>
                <w:szCs w:val="22"/>
                <w:lang w:eastAsia="sv-SE"/>
              </w:rPr>
              <w:t xml:space="preserve"> for 'pusch-RepTypeA'.</w:t>
            </w:r>
          </w:p>
        </w:tc>
      </w:tr>
      <w:tr w:rsidR="005C7FF4" w:rsidRPr="00FA0D37"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FA0D37" w:rsidRDefault="00394471" w:rsidP="00964CC4">
            <w:pPr>
              <w:pStyle w:val="TAL"/>
              <w:rPr>
                <w:b/>
                <w:bCs/>
                <w:i/>
                <w:iCs/>
                <w:lang w:eastAsia="x-none"/>
              </w:rPr>
            </w:pPr>
            <w:r w:rsidRPr="00FA0D37">
              <w:rPr>
                <w:b/>
                <w:bCs/>
                <w:i/>
                <w:iCs/>
                <w:lang w:eastAsia="x-none"/>
              </w:rPr>
              <w:t>frequencyHoppingDCI-0-1</w:t>
            </w:r>
          </w:p>
          <w:p w14:paraId="3837F4B4" w14:textId="411330E8" w:rsidR="00394471" w:rsidRPr="00FA0D37" w:rsidRDefault="00394471" w:rsidP="00964CC4">
            <w:pPr>
              <w:pStyle w:val="TAL"/>
              <w:rPr>
                <w:b/>
                <w:i/>
                <w:szCs w:val="22"/>
                <w:lang w:eastAsia="sv-SE"/>
              </w:rPr>
            </w:pPr>
            <w:r w:rsidRPr="00FA0D37">
              <w:rPr>
                <w:rFonts w:cs="Arial"/>
                <w:szCs w:val="18"/>
                <w:lang w:eastAsia="sv-SE"/>
              </w:rPr>
              <w:t xml:space="preserve">Indicates the frequency hopping scheme for DCI format 0_1 when </w:t>
            </w:r>
            <w:r w:rsidRPr="00FA0D37">
              <w:rPr>
                <w:rFonts w:cs="Arial"/>
                <w:i/>
                <w:szCs w:val="18"/>
                <w:lang w:eastAsia="sv-SE"/>
              </w:rPr>
              <w:t>pusch-RepTypeIndicatorDCI-0-1</w:t>
            </w:r>
            <w:r w:rsidRPr="00FA0D37">
              <w:rPr>
                <w:rFonts w:cs="Arial"/>
                <w:szCs w:val="18"/>
                <w:lang w:eastAsia="sv-SE"/>
              </w:rPr>
              <w:t xml:space="preserve"> is set to 'pusch-RepTypeB', </w:t>
            </w:r>
            <w:r w:rsidRPr="00FA0D37">
              <w:rPr>
                <w:szCs w:val="22"/>
                <w:lang w:eastAsia="sv-SE"/>
              </w:rPr>
              <w:t xml:space="preserve">The value </w:t>
            </w:r>
            <w:r w:rsidRPr="00FA0D37">
              <w:rPr>
                <w:i/>
                <w:szCs w:val="22"/>
                <w:lang w:eastAsia="sv-SE"/>
              </w:rPr>
              <w:t>interRepetition</w:t>
            </w:r>
            <w:r w:rsidRPr="00FA0D37">
              <w:rPr>
                <w:szCs w:val="22"/>
                <w:lang w:eastAsia="sv-SE"/>
              </w:rPr>
              <w:t xml:space="preserve"> enables 'Inter-repetition frequency hopping', and the value </w:t>
            </w:r>
            <w:r w:rsidRPr="00FA0D37">
              <w:rPr>
                <w:i/>
                <w:szCs w:val="22"/>
                <w:lang w:eastAsia="sv-SE"/>
              </w:rPr>
              <w:t>interSlot</w:t>
            </w:r>
            <w:r w:rsidRPr="00FA0D37">
              <w:rPr>
                <w:szCs w:val="22"/>
                <w:lang w:eastAsia="sv-SE"/>
              </w:rPr>
              <w:t xml:space="preserve"> enables 'Inter-slot frequency hopping'. </w:t>
            </w:r>
            <w:r w:rsidRPr="00FA0D37">
              <w:rPr>
                <w:rFonts w:cs="Arial"/>
                <w:szCs w:val="18"/>
                <w:lang w:eastAsia="sv-SE"/>
              </w:rPr>
              <w:t xml:space="preserve">If the field is absent, frequency hopping is not configured for DCI format 0_1 </w:t>
            </w:r>
            <w:r w:rsidR="00442C2A" w:rsidRPr="00FA0D37">
              <w:rPr>
                <w:rFonts w:eastAsia="宋体" w:cs="Arial"/>
                <w:szCs w:val="18"/>
                <w:lang w:eastAsia="zh-CN"/>
              </w:rPr>
              <w:t xml:space="preserve">for </w:t>
            </w:r>
            <w:r w:rsidR="00442C2A" w:rsidRPr="00FA0D37">
              <w:rPr>
                <w:szCs w:val="22"/>
              </w:rPr>
              <w:t>'pusch-RepType</w:t>
            </w:r>
            <w:r w:rsidR="00442C2A" w:rsidRPr="00FA0D37">
              <w:rPr>
                <w:rFonts w:eastAsia="宋体"/>
                <w:szCs w:val="22"/>
                <w:lang w:eastAsia="zh-CN"/>
              </w:rPr>
              <w:t>B</w:t>
            </w:r>
            <w:r w:rsidR="00442C2A" w:rsidRPr="00FA0D37">
              <w:rPr>
                <w:szCs w:val="22"/>
              </w:rPr>
              <w:t>'</w:t>
            </w:r>
            <w:r w:rsidR="00442C2A" w:rsidRPr="00FA0D37">
              <w:rPr>
                <w:rFonts w:eastAsia="宋体"/>
                <w:szCs w:val="22"/>
                <w:lang w:eastAsia="zh-CN"/>
              </w:rPr>
              <w:t xml:space="preserve"> </w:t>
            </w:r>
            <w:r w:rsidRPr="00FA0D37">
              <w:rPr>
                <w:rFonts w:cs="Arial"/>
                <w:szCs w:val="18"/>
                <w:lang w:eastAsia="sv-SE"/>
              </w:rPr>
              <w:t>(see TS 38.214 [19], clause 6.1).</w:t>
            </w:r>
          </w:p>
        </w:tc>
      </w:tr>
      <w:tr w:rsidR="005C7FF4" w:rsidRPr="00FA0D37"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FA0D37" w:rsidRDefault="00394471" w:rsidP="00442C2A">
            <w:pPr>
              <w:pStyle w:val="TAL"/>
              <w:rPr>
                <w:b/>
                <w:bCs/>
                <w:i/>
                <w:iCs/>
              </w:rPr>
            </w:pPr>
            <w:r w:rsidRPr="00FA0D37">
              <w:rPr>
                <w:b/>
                <w:bCs/>
                <w:i/>
                <w:iCs/>
              </w:rPr>
              <w:lastRenderedPageBreak/>
              <w:t>frequencyHoppingDCI-0-2</w:t>
            </w:r>
          </w:p>
          <w:p w14:paraId="701498A1" w14:textId="4FFB2336" w:rsidR="00394471" w:rsidRPr="00FA0D37" w:rsidRDefault="00394471" w:rsidP="00A12BD9">
            <w:pPr>
              <w:pStyle w:val="TAL"/>
              <w:rPr>
                <w:szCs w:val="22"/>
                <w:lang w:eastAsia="sv-SE"/>
              </w:rPr>
            </w:pPr>
            <w:r w:rsidRPr="00FA0D37">
              <w:rPr>
                <w:szCs w:val="22"/>
                <w:lang w:eastAsia="sv-SE"/>
              </w:rPr>
              <w:t xml:space="preserve">Indicate the frequency hopping scheme for DCI format 0_2. The value </w:t>
            </w:r>
            <w:r w:rsidRPr="00FA0D37">
              <w:rPr>
                <w:i/>
                <w:iCs/>
                <w:szCs w:val="22"/>
                <w:lang w:eastAsia="sv-SE"/>
              </w:rPr>
              <w:t>intraSlot</w:t>
            </w:r>
            <w:r w:rsidRPr="00FA0D37">
              <w:rPr>
                <w:szCs w:val="22"/>
                <w:lang w:eastAsia="sv-SE"/>
              </w:rPr>
              <w:t xml:space="preserve"> enables 'intra-slot frequency hopping', and the value </w:t>
            </w:r>
            <w:r w:rsidRPr="00FA0D37">
              <w:rPr>
                <w:i/>
                <w:iCs/>
                <w:szCs w:val="22"/>
                <w:lang w:eastAsia="sv-SE"/>
              </w:rPr>
              <w:t>interRepetition</w:t>
            </w:r>
            <w:r w:rsidRPr="00FA0D37">
              <w:rPr>
                <w:szCs w:val="22"/>
                <w:lang w:eastAsia="sv-SE"/>
              </w:rPr>
              <w:t xml:space="preserve"> enables 'Inter-repetition frequency hopping', and the value </w:t>
            </w:r>
            <w:r w:rsidRPr="00FA0D37">
              <w:rPr>
                <w:i/>
                <w:iCs/>
                <w:szCs w:val="22"/>
                <w:lang w:eastAsia="sv-SE"/>
              </w:rPr>
              <w:t>interSlot</w:t>
            </w:r>
            <w:r w:rsidRPr="00FA0D37">
              <w:rPr>
                <w:szCs w:val="22"/>
                <w:lang w:eastAsia="sv-SE"/>
              </w:rPr>
              <w:t xml:space="preserve"> enables 'Inter-slot frequency hopping'. When </w:t>
            </w:r>
            <w:r w:rsidRPr="00FA0D37">
              <w:rPr>
                <w:i/>
                <w:iCs/>
                <w:szCs w:val="22"/>
                <w:lang w:eastAsia="sv-SE"/>
              </w:rPr>
              <w:t>pusch-RepTypeIndicatorDCI-0-2</w:t>
            </w:r>
            <w:r w:rsidRPr="00FA0D37">
              <w:rPr>
                <w:szCs w:val="22"/>
                <w:lang w:eastAsia="sv-SE"/>
              </w:rPr>
              <w:t xml:space="preserve"> is </w:t>
            </w:r>
            <w:r w:rsidR="00783DE4" w:rsidRPr="00FA0D37">
              <w:rPr>
                <w:rFonts w:eastAsia="宋体"/>
                <w:szCs w:val="22"/>
                <w:lang w:eastAsia="zh-CN"/>
              </w:rPr>
              <w:t xml:space="preserve">not </w:t>
            </w:r>
            <w:r w:rsidRPr="00FA0D37">
              <w:rPr>
                <w:szCs w:val="22"/>
                <w:lang w:eastAsia="sv-SE"/>
              </w:rPr>
              <w:t>set to '</w:t>
            </w:r>
            <w:r w:rsidRPr="00FA0D37">
              <w:rPr>
                <w:i/>
                <w:iCs/>
                <w:szCs w:val="22"/>
                <w:lang w:eastAsia="sv-SE"/>
              </w:rPr>
              <w:t>pusch-RepType</w:t>
            </w:r>
            <w:r w:rsidR="00783DE4" w:rsidRPr="00FA0D37">
              <w:rPr>
                <w:i/>
                <w:iCs/>
                <w:szCs w:val="22"/>
                <w:lang w:eastAsia="sv-SE"/>
              </w:rPr>
              <w:t>B</w:t>
            </w:r>
            <w:r w:rsidRPr="00FA0D37">
              <w:rPr>
                <w:szCs w:val="22"/>
                <w:lang w:eastAsia="sv-SE"/>
              </w:rPr>
              <w:t xml:space="preserve">', the frequency hopping scheme can be chosen between 'intra-slot frequency hopping and 'inter-slot frequency hopping' if enabled. When </w:t>
            </w:r>
            <w:r w:rsidRPr="00FA0D37">
              <w:rPr>
                <w:i/>
                <w:iCs/>
                <w:szCs w:val="22"/>
                <w:lang w:eastAsia="sv-SE"/>
              </w:rPr>
              <w:t>pusch-RepTypeIndicatorDCI-0-2</w:t>
            </w:r>
            <w:r w:rsidRPr="00FA0D37">
              <w:rPr>
                <w:szCs w:val="22"/>
                <w:lang w:eastAsia="sv-SE"/>
              </w:rPr>
              <w:t xml:space="preserve"> is set to '</w:t>
            </w:r>
            <w:r w:rsidRPr="00FA0D37">
              <w:rPr>
                <w:i/>
                <w:iCs/>
                <w:szCs w:val="22"/>
                <w:lang w:eastAsia="sv-SE"/>
              </w:rPr>
              <w:t>pusch-RepTypeB</w:t>
            </w:r>
            <w:r w:rsidRPr="00FA0D37">
              <w:rPr>
                <w:szCs w:val="22"/>
                <w:lang w:eastAsia="sv-SE"/>
              </w:rPr>
              <w:t>', the frequency hopping scheme can be chosen between 'inter-repetition frequency hopping' and 'inter-slot frequency hopping' if enabled. If the field is absent, frequency hopping is not configured for DCI format 0_2</w:t>
            </w:r>
            <w:r w:rsidRPr="00FA0D37">
              <w:rPr>
                <w:szCs w:val="22"/>
              </w:rPr>
              <w:t xml:space="preserve"> </w:t>
            </w:r>
            <w:r w:rsidRPr="00FA0D37">
              <w:rPr>
                <w:szCs w:val="22"/>
                <w:lang w:eastAsia="sv-SE"/>
              </w:rPr>
              <w:t>(see TS 38.214 [19], clause 6.3).</w:t>
            </w:r>
          </w:p>
        </w:tc>
      </w:tr>
      <w:tr w:rsidR="005C7FF4" w:rsidRPr="00FA0D37"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FA0D37" w:rsidRDefault="00394471" w:rsidP="00964CC4">
            <w:pPr>
              <w:pStyle w:val="TAL"/>
              <w:rPr>
                <w:szCs w:val="22"/>
                <w:lang w:eastAsia="sv-SE"/>
              </w:rPr>
            </w:pPr>
            <w:r w:rsidRPr="00FA0D37">
              <w:rPr>
                <w:b/>
                <w:i/>
                <w:szCs w:val="22"/>
                <w:lang w:eastAsia="sv-SE"/>
              </w:rPr>
              <w:t>frequencyHoppingOffsetLists, frequencyHoppingOffsetListsDCI-0-2</w:t>
            </w:r>
          </w:p>
          <w:p w14:paraId="4A00E4FD" w14:textId="77777777" w:rsidR="00394471" w:rsidRPr="00FA0D37" w:rsidRDefault="00394471" w:rsidP="00964CC4">
            <w:pPr>
              <w:pStyle w:val="TAL"/>
              <w:rPr>
                <w:szCs w:val="22"/>
                <w:lang w:eastAsia="sv-SE"/>
              </w:rPr>
            </w:pPr>
            <w:r w:rsidRPr="00FA0D37">
              <w:rPr>
                <w:szCs w:val="22"/>
                <w:lang w:eastAsia="sv-SE"/>
              </w:rPr>
              <w:t>Set of frequency hopping offsets used when frequency hopping is enabled for granted transmission (not msg3) and type 2 configured grant activation (see TS 38.214 [19], clause 6.3).</w:t>
            </w:r>
            <w:r w:rsidRPr="00FA0D37">
              <w:rPr>
                <w:rFonts w:cs="Arial"/>
                <w:szCs w:val="18"/>
                <w:lang w:eastAsia="sv-SE"/>
              </w:rPr>
              <w:t xml:space="preserve"> </w:t>
            </w:r>
            <w:r w:rsidRPr="00FA0D37">
              <w:rPr>
                <w:szCs w:val="22"/>
                <w:lang w:eastAsia="sv-SE"/>
              </w:rPr>
              <w:t xml:space="preserve">The field </w:t>
            </w:r>
            <w:r w:rsidRPr="00FA0D37">
              <w:rPr>
                <w:i/>
                <w:szCs w:val="22"/>
                <w:lang w:eastAsia="sv-SE"/>
              </w:rPr>
              <w:t xml:space="preserve">frequencyHoppingOffsetLists </w:t>
            </w:r>
            <w:r w:rsidRPr="00FA0D37">
              <w:rPr>
                <w:szCs w:val="22"/>
                <w:lang w:eastAsia="sv-SE"/>
              </w:rPr>
              <w:t xml:space="preserve">applies to DCI format 0_0 </w:t>
            </w:r>
            <w:r w:rsidRPr="00FA0D37">
              <w:rPr>
                <w:szCs w:val="22"/>
              </w:rPr>
              <w:t>and</w:t>
            </w:r>
            <w:r w:rsidRPr="00FA0D37">
              <w:rPr>
                <w:szCs w:val="22"/>
                <w:lang w:eastAsia="sv-SE"/>
              </w:rPr>
              <w:t xml:space="preserve"> DCI format 0_1 and the field </w:t>
            </w:r>
            <w:r w:rsidRPr="00FA0D37">
              <w:rPr>
                <w:i/>
                <w:szCs w:val="22"/>
                <w:lang w:eastAsia="sv-SE"/>
              </w:rPr>
              <w:t>frequencyHoppingOffsetListsDCI-0-2</w:t>
            </w:r>
            <w:r w:rsidRPr="00FA0D37">
              <w:rPr>
                <w:szCs w:val="22"/>
                <w:lang w:eastAsia="sv-SE"/>
              </w:rPr>
              <w:t xml:space="preserve"> applies to DCI format 0_2 (see TS 38.214 [19], clause 6.3).</w:t>
            </w:r>
          </w:p>
        </w:tc>
      </w:tr>
      <w:tr w:rsidR="005C7FF4" w:rsidRPr="00FA0D37"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FA0D37" w:rsidRDefault="00394471" w:rsidP="00964CC4">
            <w:pPr>
              <w:pStyle w:val="TAL"/>
              <w:rPr>
                <w:b/>
                <w:bCs/>
                <w:i/>
                <w:iCs/>
              </w:rPr>
            </w:pPr>
            <w:r w:rsidRPr="00FA0D37">
              <w:rPr>
                <w:b/>
                <w:bCs/>
                <w:i/>
                <w:iCs/>
              </w:rPr>
              <w:t>harq-ProcessNumberSizeDCI-0-2</w:t>
            </w:r>
          </w:p>
          <w:p w14:paraId="60587E47" w14:textId="77777777" w:rsidR="00394471" w:rsidRPr="00FA0D37" w:rsidRDefault="00394471" w:rsidP="00964CC4">
            <w:pPr>
              <w:pStyle w:val="TAL"/>
              <w:rPr>
                <w:szCs w:val="22"/>
                <w:lang w:eastAsia="sv-SE"/>
              </w:rPr>
            </w:pPr>
            <w:r w:rsidRPr="00FA0D37">
              <w:rPr>
                <w:szCs w:val="22"/>
                <w:lang w:eastAsia="sv-SE"/>
              </w:rPr>
              <w:t>Configure the number of bits for the field "HARQ process number" in DCI format 0_2 (see TS 38.212 [17], clause 7.3.1).</w:t>
            </w:r>
          </w:p>
        </w:tc>
      </w:tr>
      <w:tr w:rsidR="005C7FF4" w:rsidRPr="00FA0D37"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FA0D37" w:rsidRDefault="00394471" w:rsidP="00964CC4">
            <w:pPr>
              <w:pStyle w:val="TAL"/>
              <w:rPr>
                <w:szCs w:val="22"/>
                <w:lang w:eastAsia="sv-SE"/>
              </w:rPr>
            </w:pPr>
            <w:r w:rsidRPr="00FA0D37">
              <w:rPr>
                <w:b/>
                <w:i/>
                <w:szCs w:val="22"/>
                <w:lang w:eastAsia="sv-SE"/>
              </w:rPr>
              <w:t>invalidSymbolPattern</w:t>
            </w:r>
          </w:p>
          <w:p w14:paraId="3AFC264E" w14:textId="77777777" w:rsidR="00394471" w:rsidRPr="00FA0D37" w:rsidRDefault="00394471" w:rsidP="00964CC4">
            <w:pPr>
              <w:pStyle w:val="TAL"/>
              <w:rPr>
                <w:b/>
                <w:i/>
                <w:szCs w:val="22"/>
                <w:lang w:eastAsia="sv-SE"/>
              </w:rPr>
            </w:pPr>
            <w:r w:rsidRPr="00FA0D37">
              <w:rPr>
                <w:rFonts w:cs="Arial"/>
                <w:szCs w:val="18"/>
                <w:lang w:eastAsia="sv-SE"/>
              </w:rPr>
              <w:t xml:space="preserve">Indicates one pattern for invalid symbols for PUSCH transmission repetition type B applicable to both DCI format 0_1 and 0_2. If </w:t>
            </w:r>
            <w:r w:rsidRPr="00FA0D37">
              <w:rPr>
                <w:rFonts w:cs="Arial"/>
                <w:i/>
                <w:szCs w:val="18"/>
                <w:lang w:eastAsia="sv-SE"/>
              </w:rPr>
              <w:t>InvalidSymbolPattern</w:t>
            </w:r>
            <w:r w:rsidRPr="00FA0D37">
              <w:rPr>
                <w:rFonts w:cs="Arial"/>
                <w:szCs w:val="18"/>
                <w:lang w:eastAsia="sv-SE"/>
              </w:rPr>
              <w:t xml:space="preserve"> is not configured, semi-static flexible symbols are used for PUSCH. Segmentation occurs only around semi-static DL symbols</w:t>
            </w:r>
            <w:r w:rsidRPr="00FA0D37">
              <w:rPr>
                <w:rFonts w:cs="Arial"/>
                <w:szCs w:val="18"/>
              </w:rPr>
              <w:t xml:space="preserve"> (see TS 38.214 [19] clause 6.1).</w:t>
            </w:r>
          </w:p>
        </w:tc>
      </w:tr>
      <w:tr w:rsidR="005C7FF4" w:rsidRPr="00FA0D37"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FA0D37" w:rsidRDefault="00394471" w:rsidP="00964CC4">
            <w:pPr>
              <w:pStyle w:val="TAL"/>
              <w:rPr>
                <w:rFonts w:cs="Arial"/>
                <w:b/>
                <w:i/>
                <w:szCs w:val="18"/>
                <w:lang w:eastAsia="sv-SE"/>
              </w:rPr>
            </w:pPr>
            <w:r w:rsidRPr="00FA0D37">
              <w:rPr>
                <w:rFonts w:cs="Arial"/>
                <w:b/>
                <w:i/>
                <w:szCs w:val="18"/>
                <w:lang w:eastAsia="sv-SE"/>
              </w:rPr>
              <w:t>invalidSymbolPatternIndicatorDCI-0-1</w:t>
            </w:r>
            <w:r w:rsidRPr="00FA0D37">
              <w:rPr>
                <w:rFonts w:cs="Arial"/>
                <w:b/>
                <w:i/>
                <w:szCs w:val="18"/>
                <w:lang w:eastAsia="zh-CN"/>
              </w:rPr>
              <w:t xml:space="preserve">, </w:t>
            </w:r>
            <w:r w:rsidRPr="00FA0D37">
              <w:rPr>
                <w:rFonts w:cs="Arial"/>
                <w:b/>
                <w:i/>
                <w:szCs w:val="18"/>
                <w:lang w:eastAsia="sv-SE"/>
              </w:rPr>
              <w:t>invalidSymbolPatternIndicatorDCI-0-2</w:t>
            </w:r>
          </w:p>
          <w:p w14:paraId="784A5E79" w14:textId="1100D919" w:rsidR="00394471" w:rsidRPr="00FA0D37" w:rsidRDefault="00394471" w:rsidP="00964CC4">
            <w:pPr>
              <w:pStyle w:val="TAL"/>
              <w:rPr>
                <w:b/>
                <w:i/>
                <w:szCs w:val="22"/>
                <w:lang w:eastAsia="sv-SE"/>
              </w:rPr>
            </w:pPr>
            <w:r w:rsidRPr="00FA0D37">
              <w:rPr>
                <w:rFonts w:cs="Arial"/>
                <w:szCs w:val="18"/>
                <w:lang w:eastAsia="sv-SE"/>
              </w:rPr>
              <w:t xml:space="preserve">Indicates the presence of an additional bit in the DCI format 0_1/0_2. If </w:t>
            </w:r>
            <w:r w:rsidRPr="00FA0D37">
              <w:rPr>
                <w:rFonts w:cs="Arial"/>
                <w:i/>
                <w:szCs w:val="18"/>
                <w:lang w:eastAsia="sv-SE"/>
              </w:rPr>
              <w:t>invalidSymbolPattern</w:t>
            </w:r>
            <w:r w:rsidRPr="00FA0D37">
              <w:rPr>
                <w:rFonts w:cs="Arial"/>
                <w:szCs w:val="18"/>
                <w:lang w:eastAsia="sv-SE"/>
              </w:rPr>
              <w:t xml:space="preserve"> is </w:t>
            </w:r>
            <w:r w:rsidRPr="00FA0D37">
              <w:rPr>
                <w:rFonts w:cs="Arial"/>
                <w:szCs w:val="18"/>
              </w:rPr>
              <w:t>absent</w:t>
            </w:r>
            <w:r w:rsidRPr="00FA0D37">
              <w:rPr>
                <w:rFonts w:cs="Arial"/>
                <w:szCs w:val="18"/>
                <w:lang w:eastAsia="sv-SE"/>
              </w:rPr>
              <w:t xml:space="preserve">, then </w:t>
            </w:r>
            <w:r w:rsidRPr="00FA0D37">
              <w:rPr>
                <w:rFonts w:cs="Arial"/>
                <w:szCs w:val="18"/>
              </w:rPr>
              <w:t xml:space="preserve">both </w:t>
            </w:r>
            <w:r w:rsidRPr="00FA0D37">
              <w:rPr>
                <w:rFonts w:cs="Arial"/>
                <w:i/>
                <w:szCs w:val="18"/>
              </w:rPr>
              <w:t>invalidSymbolPatternIndicatorDCI-0-1</w:t>
            </w:r>
            <w:r w:rsidRPr="00FA0D37">
              <w:rPr>
                <w:rFonts w:cs="Arial"/>
                <w:szCs w:val="18"/>
              </w:rPr>
              <w:t xml:space="preserve"> and </w:t>
            </w:r>
            <w:r w:rsidRPr="00FA0D37">
              <w:rPr>
                <w:rFonts w:cs="Arial"/>
                <w:i/>
                <w:szCs w:val="18"/>
              </w:rPr>
              <w:t>invalidSymbolPatternIndicatorDCI-0</w:t>
            </w:r>
            <w:r w:rsidRPr="00FA0D37">
              <w:rPr>
                <w:rFonts w:eastAsiaTheme="minorEastAsia" w:cs="Arial"/>
                <w:i/>
                <w:szCs w:val="18"/>
              </w:rPr>
              <w:t>-</w:t>
            </w:r>
            <w:r w:rsidRPr="00FA0D37">
              <w:rPr>
                <w:i/>
              </w:rPr>
              <w:t>2</w:t>
            </w:r>
            <w:r w:rsidRPr="00FA0D37">
              <w:rPr>
                <w:rFonts w:cs="Arial"/>
                <w:szCs w:val="18"/>
              </w:rPr>
              <w:t xml:space="preserve"> are absent</w:t>
            </w:r>
            <w:r w:rsidRPr="00FA0D37">
              <w:rPr>
                <w:rFonts w:cs="Arial"/>
                <w:szCs w:val="18"/>
                <w:lang w:eastAsia="sv-SE"/>
              </w:rPr>
              <w:t xml:space="preserve">. The field </w:t>
            </w:r>
            <w:r w:rsidRPr="00FA0D37">
              <w:rPr>
                <w:rFonts w:cs="Arial"/>
                <w:i/>
                <w:szCs w:val="18"/>
                <w:lang w:eastAsia="sv-SE"/>
              </w:rPr>
              <w:t>invalidSymbolPatternIndicatorDCI-0-1</w:t>
            </w:r>
            <w:r w:rsidRPr="00FA0D37">
              <w:rPr>
                <w:rFonts w:cs="Arial"/>
                <w:szCs w:val="18"/>
                <w:lang w:eastAsia="sv-SE"/>
              </w:rPr>
              <w:t xml:space="preserve"> applies to the DCI format 0_1 and the field </w:t>
            </w:r>
            <w:r w:rsidRPr="00FA0D37">
              <w:rPr>
                <w:rFonts w:cs="Arial"/>
                <w:i/>
                <w:szCs w:val="18"/>
                <w:lang w:eastAsia="sv-SE"/>
              </w:rPr>
              <w:t>invalidSymbolPatternIndicatorDCI-0-</w:t>
            </w:r>
            <w:r w:rsidR="00990C7B" w:rsidRPr="00FA0D37">
              <w:rPr>
                <w:rFonts w:cs="Arial"/>
                <w:i/>
                <w:szCs w:val="18"/>
                <w:lang w:eastAsia="sv-SE"/>
              </w:rPr>
              <w:t>2</w:t>
            </w:r>
            <w:r w:rsidRPr="00FA0D37">
              <w:rPr>
                <w:rFonts w:cs="Arial"/>
                <w:szCs w:val="18"/>
                <w:lang w:eastAsia="sv-SE"/>
              </w:rPr>
              <w:t xml:space="preserve"> applies to DCI format 0_2 (see TS 38.214 [19] clause 6.1).</w:t>
            </w:r>
            <w:r w:rsidR="00990C7B" w:rsidRPr="00FA0D37">
              <w:rPr>
                <w:rFonts w:cs="Arial"/>
                <w:szCs w:val="18"/>
                <w:lang w:eastAsia="sv-SE"/>
              </w:rPr>
              <w:t xml:space="preserve"> If the field is absent, the UE behaviour is specified in TS 38.214 [19], clause 6.1.2.1.</w:t>
            </w:r>
          </w:p>
        </w:tc>
      </w:tr>
      <w:tr w:rsidR="005C7FF4" w:rsidRPr="00FA0D37"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FA0D37" w:rsidRDefault="00651368" w:rsidP="00771058">
            <w:pPr>
              <w:pStyle w:val="TAL"/>
              <w:rPr>
                <w:b/>
                <w:bCs/>
                <w:i/>
                <w:iCs/>
                <w:lang w:eastAsia="x-none"/>
              </w:rPr>
            </w:pPr>
            <w:r w:rsidRPr="00FA0D37">
              <w:rPr>
                <w:b/>
                <w:bCs/>
                <w:i/>
                <w:iCs/>
                <w:lang w:eastAsia="x-none"/>
              </w:rPr>
              <w:t>mappingPattern</w:t>
            </w:r>
          </w:p>
          <w:p w14:paraId="0CFE0B57" w14:textId="0AA1B09E" w:rsidR="00651368" w:rsidRPr="00FA0D37" w:rsidRDefault="00651368" w:rsidP="00771058">
            <w:pPr>
              <w:pStyle w:val="TAL"/>
              <w:rPr>
                <w:rFonts w:cs="Arial"/>
                <w:b/>
                <w:i/>
                <w:szCs w:val="18"/>
                <w:lang w:eastAsia="sv-SE"/>
              </w:rPr>
            </w:pPr>
            <w:r w:rsidRPr="00FA0D37">
              <w:rPr>
                <w:lang w:eastAsia="x-none"/>
              </w:rPr>
              <w:t xml:space="preserve">Indicates whether the UE should follow Cyclical mapping pattern or Sequential mapping pattern for when two SRS resource sets </w:t>
            </w:r>
            <w:r w:rsidR="00770F46" w:rsidRPr="00FA0D37">
              <w:rPr>
                <w:lang w:eastAsia="x-none"/>
              </w:rPr>
              <w:t xml:space="preserve">are configured in </w:t>
            </w:r>
            <w:r w:rsidR="00770F46" w:rsidRPr="00FA0D37">
              <w:rPr>
                <w:rFonts w:cs="Arial"/>
                <w:i/>
                <w:iCs/>
              </w:rPr>
              <w:t xml:space="preserve">srs-ResourceSetToAddModList </w:t>
            </w:r>
            <w:r w:rsidR="00770F46" w:rsidRPr="00FA0D37">
              <w:rPr>
                <w:rFonts w:cs="Arial"/>
              </w:rPr>
              <w:t xml:space="preserve">or </w:t>
            </w:r>
            <w:r w:rsidR="00770F46" w:rsidRPr="00FA0D37">
              <w:rPr>
                <w:rFonts w:cs="Arial"/>
                <w:i/>
                <w:iCs/>
              </w:rPr>
              <w:t>srs-ResourceSetToAddModListDCI-0-2</w:t>
            </w:r>
            <w:r w:rsidR="00770F46" w:rsidRPr="00FA0D37">
              <w:rPr>
                <w:rFonts w:cs="Arial"/>
              </w:rPr>
              <w:t xml:space="preserve"> with usage </w:t>
            </w:r>
            <w:r w:rsidR="00743BF8" w:rsidRPr="00FA0D37">
              <w:rPr>
                <w:rFonts w:cs="Arial"/>
              </w:rPr>
              <w:t>'</w:t>
            </w:r>
            <w:r w:rsidR="00770F46" w:rsidRPr="00FA0D37">
              <w:rPr>
                <w:rFonts w:cs="Arial"/>
              </w:rPr>
              <w:t>codebook</w:t>
            </w:r>
            <w:r w:rsidR="00743BF8" w:rsidRPr="00FA0D37">
              <w:rPr>
                <w:rFonts w:cs="Arial"/>
              </w:rPr>
              <w:t>'</w:t>
            </w:r>
            <w:r w:rsidR="00770F46" w:rsidRPr="00FA0D37">
              <w:rPr>
                <w:lang w:eastAsia="x-none"/>
              </w:rPr>
              <w:t xml:space="preserve"> or </w:t>
            </w:r>
            <w:r w:rsidR="00743BF8" w:rsidRPr="00FA0D37">
              <w:rPr>
                <w:rFonts w:cs="Arial"/>
              </w:rPr>
              <w:t>'</w:t>
            </w:r>
            <w:r w:rsidR="00770F46" w:rsidRPr="00FA0D37">
              <w:rPr>
                <w:rFonts w:cs="Arial"/>
              </w:rPr>
              <w:t>noncodebook</w:t>
            </w:r>
            <w:r w:rsidR="00743BF8" w:rsidRPr="00FA0D37">
              <w:rPr>
                <w:rFonts w:cs="Arial"/>
              </w:rPr>
              <w:t>'</w:t>
            </w:r>
            <w:r w:rsidRPr="00FA0D37">
              <w:rPr>
                <w:lang w:eastAsia="x-none"/>
              </w:rPr>
              <w:t xml:space="preserve"> for PUSCH transmission and the PUSCH transmission occasions are associated with both SRS resource sets.</w:t>
            </w:r>
          </w:p>
        </w:tc>
      </w:tr>
      <w:tr w:rsidR="005C7FF4" w:rsidRPr="00FA0D37"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7777777" w:rsidR="00394471" w:rsidRPr="00FA0D37" w:rsidRDefault="00394471" w:rsidP="00964CC4">
            <w:pPr>
              <w:pStyle w:val="TAL"/>
              <w:rPr>
                <w:szCs w:val="22"/>
                <w:lang w:eastAsia="sv-SE"/>
              </w:rPr>
            </w:pPr>
            <w:r w:rsidRPr="00FA0D37">
              <w:rPr>
                <w:b/>
                <w:i/>
                <w:szCs w:val="22"/>
                <w:lang w:eastAsia="sv-SE"/>
              </w:rPr>
              <w:t>maxRank, maxRankDCI-0-2</w:t>
            </w:r>
          </w:p>
          <w:p w14:paraId="4651A60A" w14:textId="77777777" w:rsidR="00394471" w:rsidRPr="00FA0D37" w:rsidRDefault="00394471" w:rsidP="00964CC4">
            <w:pPr>
              <w:pStyle w:val="TAL"/>
              <w:rPr>
                <w:szCs w:val="22"/>
                <w:lang w:eastAsia="sv-SE"/>
              </w:rPr>
            </w:pPr>
            <w:r w:rsidRPr="00FA0D37">
              <w:rPr>
                <w:szCs w:val="22"/>
                <w:lang w:eastAsia="sv-SE"/>
              </w:rPr>
              <w:t xml:space="preserve">Subset of PMIs addressed by TRIs from 1 to ULmaxRank (see TS 38.214 [19], clause 6.1.1.1). The field </w:t>
            </w:r>
            <w:r w:rsidRPr="00FA0D37">
              <w:rPr>
                <w:i/>
                <w:szCs w:val="22"/>
                <w:lang w:eastAsia="sv-SE"/>
              </w:rPr>
              <w:t xml:space="preserve">maxRank </w:t>
            </w:r>
            <w:r w:rsidRPr="00FA0D37">
              <w:rPr>
                <w:szCs w:val="22"/>
                <w:lang w:eastAsia="sv-SE"/>
              </w:rPr>
              <w:t xml:space="preserve">applies to DCI format 0_1 and the field </w:t>
            </w:r>
            <w:r w:rsidRPr="00FA0D37">
              <w:rPr>
                <w:i/>
                <w:szCs w:val="22"/>
                <w:lang w:eastAsia="sv-SE"/>
              </w:rPr>
              <w:t>maxRankDCI-0-2</w:t>
            </w:r>
            <w:r w:rsidRPr="00FA0D37">
              <w:rPr>
                <w:szCs w:val="22"/>
                <w:lang w:eastAsia="sv-SE"/>
              </w:rPr>
              <w:t xml:space="preserve"> applies to DCI format 0_2 (see TS 38.214 [19], clause 6.1.1.1).</w:t>
            </w:r>
          </w:p>
        </w:tc>
      </w:tr>
      <w:tr w:rsidR="005C7FF4" w:rsidRPr="00FA0D37"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FA0D37" w:rsidRDefault="00394471" w:rsidP="00964CC4">
            <w:pPr>
              <w:pStyle w:val="TAL"/>
              <w:rPr>
                <w:szCs w:val="22"/>
                <w:lang w:eastAsia="sv-SE"/>
              </w:rPr>
            </w:pPr>
            <w:r w:rsidRPr="00FA0D37">
              <w:rPr>
                <w:b/>
                <w:i/>
                <w:szCs w:val="22"/>
                <w:lang w:eastAsia="sv-SE"/>
              </w:rPr>
              <w:t>mcs-Table, mcs-TableFormat0-2</w:t>
            </w:r>
          </w:p>
          <w:p w14:paraId="6742A808" w14:textId="77777777" w:rsidR="00394471" w:rsidRPr="00FA0D37" w:rsidRDefault="00394471" w:rsidP="00964CC4">
            <w:pPr>
              <w:pStyle w:val="TAL"/>
              <w:rPr>
                <w:szCs w:val="22"/>
                <w:lang w:eastAsia="sv-SE"/>
              </w:rPr>
            </w:pPr>
            <w:r w:rsidRPr="00FA0D37">
              <w:rPr>
                <w:szCs w:val="22"/>
                <w:lang w:eastAsia="sv-SE"/>
              </w:rPr>
              <w:t xml:space="preserve">Indicates which MCS table the UE shall use for PUSCH without transform precoder (see TS 38.214 [19], clause 6.1.4.1). If the field is absent the UE applies the value 64QAM. The field </w:t>
            </w:r>
            <w:r w:rsidRPr="00FA0D37">
              <w:rPr>
                <w:i/>
                <w:szCs w:val="22"/>
                <w:lang w:eastAsia="sv-SE"/>
              </w:rPr>
              <w:t xml:space="preserve">mcs-Table </w:t>
            </w:r>
            <w:r w:rsidRPr="00FA0D37">
              <w:rPr>
                <w:szCs w:val="22"/>
                <w:lang w:eastAsia="sv-SE"/>
              </w:rPr>
              <w:t xml:space="preserve">applies to DCI format 0_0 and DCI format 0_1 and the field </w:t>
            </w:r>
            <w:r w:rsidRPr="00FA0D37">
              <w:rPr>
                <w:i/>
                <w:szCs w:val="22"/>
                <w:lang w:eastAsia="sv-SE"/>
              </w:rPr>
              <w:t>mcs-TableDCI-0-2</w:t>
            </w:r>
            <w:r w:rsidRPr="00FA0D37">
              <w:rPr>
                <w:szCs w:val="22"/>
                <w:lang w:eastAsia="sv-SE"/>
              </w:rPr>
              <w:t xml:space="preserve"> applies to DCI format 0_2 (see TS 38.214 [19], clause 6.1.4.1).</w:t>
            </w:r>
          </w:p>
        </w:tc>
      </w:tr>
      <w:tr w:rsidR="005C7FF4" w:rsidRPr="00FA0D37"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FA0D37" w:rsidRDefault="00394471" w:rsidP="00964CC4">
            <w:pPr>
              <w:pStyle w:val="TAL"/>
              <w:rPr>
                <w:szCs w:val="22"/>
                <w:lang w:eastAsia="sv-SE"/>
              </w:rPr>
            </w:pPr>
            <w:r w:rsidRPr="00FA0D37">
              <w:rPr>
                <w:b/>
                <w:i/>
                <w:szCs w:val="22"/>
                <w:lang w:eastAsia="sv-SE"/>
              </w:rPr>
              <w:t>mcs-TableTransformPrecoder, mcs-</w:t>
            </w:r>
            <w:r w:rsidRPr="00FA0D37">
              <w:rPr>
                <w:b/>
                <w:i/>
                <w:szCs w:val="22"/>
              </w:rPr>
              <w:t>TableTransformPrecoderDCI-0</w:t>
            </w:r>
            <w:r w:rsidRPr="00FA0D37">
              <w:rPr>
                <w:b/>
                <w:i/>
                <w:szCs w:val="22"/>
                <w:lang w:eastAsia="sv-SE"/>
              </w:rPr>
              <w:t>-2</w:t>
            </w:r>
          </w:p>
          <w:p w14:paraId="3042ED95" w14:textId="77777777" w:rsidR="00394471" w:rsidRPr="00FA0D37" w:rsidRDefault="00394471" w:rsidP="00964CC4">
            <w:pPr>
              <w:pStyle w:val="TAL"/>
              <w:rPr>
                <w:szCs w:val="22"/>
                <w:lang w:eastAsia="sv-SE"/>
              </w:rPr>
            </w:pPr>
            <w:r w:rsidRPr="00FA0D37">
              <w:rPr>
                <w:szCs w:val="22"/>
                <w:lang w:eastAsia="sv-SE"/>
              </w:rPr>
              <w:t xml:space="preserve">Indicates which MCS table the UE shall use for PUSCH with transform precoding (see TS 38.214 [19], clause 6.1.4.1) If the field is absent the UE applies the value 64QAM. The field </w:t>
            </w:r>
            <w:r w:rsidRPr="00FA0D37">
              <w:rPr>
                <w:i/>
                <w:szCs w:val="22"/>
                <w:lang w:eastAsia="sv-SE"/>
              </w:rPr>
              <w:t xml:space="preserve">mcs-TableTransformPrecoder </w:t>
            </w:r>
            <w:r w:rsidRPr="00FA0D37">
              <w:rPr>
                <w:szCs w:val="22"/>
                <w:lang w:eastAsia="sv-SE"/>
              </w:rPr>
              <w:t xml:space="preserve">applies to DCI format 0_0 </w:t>
            </w:r>
            <w:r w:rsidRPr="00FA0D37">
              <w:rPr>
                <w:szCs w:val="22"/>
              </w:rPr>
              <w:t>and</w:t>
            </w:r>
            <w:r w:rsidRPr="00FA0D37">
              <w:rPr>
                <w:szCs w:val="22"/>
                <w:lang w:eastAsia="sv-SE"/>
              </w:rPr>
              <w:t xml:space="preserve"> DCI format 0_1 and the field </w:t>
            </w:r>
            <w:r w:rsidRPr="00FA0D37">
              <w:rPr>
                <w:i/>
                <w:szCs w:val="22"/>
                <w:lang w:eastAsia="sv-SE"/>
              </w:rPr>
              <w:t>mcs-TableTransformPrecoderDCI-0-2</w:t>
            </w:r>
            <w:r w:rsidRPr="00FA0D37">
              <w:rPr>
                <w:szCs w:val="22"/>
                <w:lang w:eastAsia="sv-SE"/>
              </w:rPr>
              <w:t xml:space="preserve"> applies to DCI format 0_2 (see TS 38.214 [19], clause 6.1.4.1).</w:t>
            </w:r>
          </w:p>
        </w:tc>
      </w:tr>
      <w:tr w:rsidR="005C7FF4" w:rsidRPr="00FA0D37"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FA0D37" w:rsidRDefault="00394471" w:rsidP="00964CC4">
            <w:pPr>
              <w:pStyle w:val="TAL"/>
              <w:rPr>
                <w:b/>
                <w:i/>
                <w:szCs w:val="22"/>
                <w:lang w:eastAsia="sv-SE"/>
              </w:rPr>
            </w:pPr>
            <w:r w:rsidRPr="00FA0D37">
              <w:rPr>
                <w:b/>
                <w:i/>
                <w:szCs w:val="22"/>
                <w:lang w:eastAsia="sv-SE"/>
              </w:rPr>
              <w:t>minimumSchedulingOffsetK2</w:t>
            </w:r>
          </w:p>
          <w:p w14:paraId="62B50FA3" w14:textId="77777777" w:rsidR="00394471" w:rsidRPr="00FA0D37" w:rsidRDefault="00394471" w:rsidP="00964CC4">
            <w:pPr>
              <w:pStyle w:val="TAL"/>
              <w:rPr>
                <w:b/>
                <w:i/>
                <w:szCs w:val="22"/>
                <w:lang w:eastAsia="sv-SE"/>
              </w:rPr>
            </w:pPr>
            <w:r w:rsidRPr="00FA0D37">
              <w:rPr>
                <w:szCs w:val="22"/>
                <w:lang w:eastAsia="sv-SE"/>
              </w:rPr>
              <w:t>List of minimum K2 values.</w:t>
            </w:r>
            <w:r w:rsidRPr="00FA0D37">
              <w:rPr>
                <w:lang w:eastAsia="sv-SE"/>
              </w:rPr>
              <w:t xml:space="preserve"> </w:t>
            </w:r>
            <w:r w:rsidRPr="00FA0D37">
              <w:rPr>
                <w:szCs w:val="22"/>
                <w:lang w:eastAsia="sv-SE"/>
              </w:rPr>
              <w:t xml:space="preserve">Minimum K2 parameter denotes minimum applicable value(s) for the </w:t>
            </w:r>
            <w:r w:rsidRPr="00FA0D37">
              <w:rPr>
                <w:i/>
                <w:szCs w:val="22"/>
                <w:lang w:eastAsia="sv-SE"/>
              </w:rPr>
              <w:t>Time domain resource assignment</w:t>
            </w:r>
            <w:r w:rsidRPr="00FA0D37">
              <w:rPr>
                <w:szCs w:val="22"/>
                <w:lang w:eastAsia="sv-SE"/>
              </w:rPr>
              <w:t xml:space="preserve"> table for PUSCH (see TS 38.214 [19], clause 6.1.2.1).</w:t>
            </w:r>
          </w:p>
        </w:tc>
      </w:tr>
      <w:tr w:rsidR="005C7FF4" w:rsidRPr="00FA0D37"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FA0D37" w:rsidRDefault="00770F46" w:rsidP="00770F46">
            <w:pPr>
              <w:pStyle w:val="TAL"/>
              <w:rPr>
                <w:b/>
                <w:i/>
                <w:szCs w:val="22"/>
                <w:lang w:eastAsia="sv-SE"/>
              </w:rPr>
            </w:pPr>
            <w:r w:rsidRPr="00FA0D37">
              <w:rPr>
                <w:b/>
                <w:i/>
                <w:szCs w:val="22"/>
                <w:lang w:eastAsia="sv-SE"/>
              </w:rPr>
              <w:t>mpe-ResourcePoolToAddModList</w:t>
            </w:r>
          </w:p>
          <w:p w14:paraId="3C94ADFF" w14:textId="57CC1FFB" w:rsidR="00770F46" w:rsidRPr="00FA0D37" w:rsidRDefault="00770F46" w:rsidP="00770F46">
            <w:pPr>
              <w:pStyle w:val="TAL"/>
              <w:rPr>
                <w:b/>
                <w:i/>
                <w:szCs w:val="22"/>
                <w:lang w:eastAsia="sv-SE"/>
              </w:rPr>
            </w:pPr>
            <w:r w:rsidRPr="00FA0D37">
              <w:rPr>
                <w:bCs/>
              </w:rPr>
              <w:t xml:space="preserve">List of </w:t>
            </w:r>
            <w:r w:rsidRPr="00FA0D37">
              <w:t xml:space="preserve">SSB/CSI-RS resources for P-MPR reporting. Each resource is configured with serving cell index where the resource is configured for the UE. The </w:t>
            </w:r>
            <w:r w:rsidRPr="00FA0D37">
              <w:rPr>
                <w:i/>
                <w:iCs/>
              </w:rPr>
              <w:t>additionalPCI</w:t>
            </w:r>
            <w:r w:rsidRPr="00FA0D37">
              <w:t xml:space="preserve"> is configured only if the resource is SSB. For each resource, </w:t>
            </w:r>
            <w:r w:rsidR="0005240D" w:rsidRPr="00FA0D37">
              <w:t>i</w:t>
            </w:r>
            <w:r w:rsidRPr="00FA0D37">
              <w:t xml:space="preserve">f neither </w:t>
            </w:r>
            <w:r w:rsidRPr="00FA0D37">
              <w:rPr>
                <w:i/>
                <w:iCs/>
              </w:rPr>
              <w:t>cell</w:t>
            </w:r>
            <w:r w:rsidRPr="00FA0D37">
              <w:t xml:space="preserve"> nor </w:t>
            </w:r>
            <w:r w:rsidRPr="00FA0D37">
              <w:rPr>
                <w:i/>
                <w:iCs/>
              </w:rPr>
              <w:t>additionalPCI</w:t>
            </w:r>
            <w:r w:rsidRPr="00FA0D37">
              <w:t xml:space="preserve"> is present, the SSB/CSI-RS resource is from the serving cell where the </w:t>
            </w:r>
            <w:r w:rsidRPr="00FA0D37">
              <w:rPr>
                <w:i/>
                <w:iCs/>
              </w:rPr>
              <w:t>PUSCH-Config</w:t>
            </w:r>
            <w:r w:rsidRPr="00FA0D37">
              <w:t xml:space="preserve"> is</w:t>
            </w:r>
            <w:r w:rsidR="0005240D" w:rsidRPr="00FA0D37">
              <w:t xml:space="preserve"> configured</w:t>
            </w:r>
            <w:r w:rsidRPr="00FA0D37">
              <w:t>.</w:t>
            </w:r>
          </w:p>
        </w:tc>
      </w:tr>
      <w:tr w:rsidR="005C7FF4" w:rsidRPr="00FA0D37"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FA0D37" w:rsidRDefault="00394471" w:rsidP="00964CC4">
            <w:pPr>
              <w:pStyle w:val="TAL"/>
              <w:rPr>
                <w:b/>
                <w:i/>
                <w:szCs w:val="22"/>
                <w:lang w:eastAsia="sv-SE"/>
              </w:rPr>
            </w:pPr>
            <w:r w:rsidRPr="00FA0D37">
              <w:rPr>
                <w:b/>
                <w:i/>
                <w:szCs w:val="22"/>
                <w:lang w:eastAsia="sv-SE"/>
              </w:rPr>
              <w:t>numberOfBits</w:t>
            </w:r>
            <w:r w:rsidR="00654402" w:rsidRPr="00FA0D37">
              <w:rPr>
                <w:b/>
                <w:i/>
                <w:szCs w:val="22"/>
                <w:lang w:eastAsia="sv-SE"/>
              </w:rPr>
              <w:t>For</w:t>
            </w:r>
            <w:r w:rsidRPr="00FA0D37">
              <w:rPr>
                <w:b/>
                <w:i/>
                <w:szCs w:val="22"/>
                <w:lang w:eastAsia="sv-SE"/>
              </w:rPr>
              <w:t>RV-DCI-0-2</w:t>
            </w:r>
          </w:p>
          <w:p w14:paraId="4A911D0F" w14:textId="77777777" w:rsidR="00394471" w:rsidRPr="00FA0D37" w:rsidRDefault="00394471" w:rsidP="00964CC4">
            <w:pPr>
              <w:pStyle w:val="TAL"/>
              <w:rPr>
                <w:b/>
                <w:i/>
                <w:szCs w:val="22"/>
                <w:lang w:eastAsia="sv-SE"/>
              </w:rPr>
            </w:pPr>
            <w:r w:rsidRPr="00FA0D37">
              <w:rPr>
                <w:rFonts w:cs="Arial"/>
                <w:szCs w:val="18"/>
                <w:lang w:eastAsia="sv-SE"/>
              </w:rPr>
              <w:t>Configures the number of bits for "Redundancy version" in the DCI format 0_2 (see TS 38.212 [17], clause 7.3.1 and TS 38.214 [19], clause 6.1.2.1).</w:t>
            </w:r>
          </w:p>
        </w:tc>
      </w:tr>
      <w:tr w:rsidR="005C7FF4" w:rsidRPr="00FA0D37"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FA0D37" w:rsidRDefault="00394471" w:rsidP="00964CC4">
            <w:pPr>
              <w:pStyle w:val="TAL"/>
              <w:rPr>
                <w:b/>
                <w:bCs/>
                <w:i/>
                <w:iCs/>
              </w:rPr>
            </w:pPr>
            <w:r w:rsidRPr="00FA0D37">
              <w:rPr>
                <w:b/>
                <w:bCs/>
                <w:i/>
                <w:iCs/>
              </w:rPr>
              <w:lastRenderedPageBreak/>
              <w:t>numberOfInvalidSymbolsForDL-UL-Switching</w:t>
            </w:r>
          </w:p>
          <w:p w14:paraId="68246FDF" w14:textId="77777777" w:rsidR="00394471" w:rsidRPr="00FA0D37" w:rsidRDefault="00394471" w:rsidP="00964CC4">
            <w:pPr>
              <w:pStyle w:val="TAL"/>
              <w:rPr>
                <w:b/>
                <w:i/>
                <w:szCs w:val="22"/>
                <w:lang w:eastAsia="sv-SE"/>
              </w:rPr>
            </w:pPr>
            <w:r w:rsidRPr="00FA0D37">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5C7FF4" w:rsidRPr="00FA0D37"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FA0D37" w:rsidRDefault="00394471" w:rsidP="00964CC4">
            <w:pPr>
              <w:pStyle w:val="TAL"/>
              <w:rPr>
                <w:rFonts w:eastAsia="MS Mincho"/>
                <w:b/>
                <w:i/>
                <w:szCs w:val="22"/>
                <w:lang w:eastAsia="sv-SE"/>
              </w:rPr>
            </w:pPr>
            <w:r w:rsidRPr="00FA0D37">
              <w:rPr>
                <w:b/>
                <w:i/>
                <w:szCs w:val="22"/>
                <w:lang w:eastAsia="sv-SE"/>
              </w:rPr>
              <w:t xml:space="preserve">priorityIndicatorDCI-0-1, </w:t>
            </w:r>
            <w:r w:rsidRPr="00FA0D37">
              <w:rPr>
                <w:b/>
                <w:i/>
                <w:szCs w:val="22"/>
              </w:rPr>
              <w:t>priorityIndicatorDCI</w:t>
            </w:r>
            <w:r w:rsidRPr="00FA0D37">
              <w:rPr>
                <w:b/>
                <w:i/>
                <w:szCs w:val="22"/>
                <w:lang w:eastAsia="sv-SE"/>
              </w:rPr>
              <w:t>-0-2</w:t>
            </w:r>
          </w:p>
          <w:p w14:paraId="52C0C8AB" w14:textId="77777777" w:rsidR="00394471" w:rsidRPr="00FA0D37" w:rsidRDefault="00394471" w:rsidP="00964CC4">
            <w:pPr>
              <w:pStyle w:val="TAL"/>
              <w:rPr>
                <w:b/>
                <w:i/>
                <w:szCs w:val="22"/>
                <w:lang w:eastAsia="sv-SE"/>
              </w:rPr>
            </w:pPr>
            <w:r w:rsidRPr="00FA0D37">
              <w:rPr>
                <w:lang w:eastAsia="sv-SE"/>
              </w:rPr>
              <w:t xml:space="preserve">Configures the presence of "priority indicator" in DCI format 0_1/0_2. When the field is absent in the IE, then the UE shall apply 0 bit for "Priority indicator" in DCI format 0_1/0_2. </w:t>
            </w:r>
            <w:r w:rsidRPr="00FA0D37">
              <w:rPr>
                <w:szCs w:val="22"/>
                <w:lang w:eastAsia="sv-SE"/>
              </w:rPr>
              <w:t xml:space="preserve">The field </w:t>
            </w:r>
            <w:r w:rsidRPr="00FA0D37">
              <w:rPr>
                <w:i/>
                <w:szCs w:val="22"/>
                <w:lang w:eastAsia="sv-SE"/>
              </w:rPr>
              <w:t xml:space="preserve">priorityIndicatorDCI-0-1 </w:t>
            </w:r>
            <w:r w:rsidRPr="00FA0D37">
              <w:rPr>
                <w:szCs w:val="22"/>
                <w:lang w:eastAsia="sv-SE"/>
              </w:rPr>
              <w:t xml:space="preserve">applies to DCI format 0_1 and the field </w:t>
            </w:r>
            <w:r w:rsidRPr="00FA0D37">
              <w:rPr>
                <w:i/>
                <w:szCs w:val="22"/>
                <w:lang w:eastAsia="sv-SE"/>
              </w:rPr>
              <w:t>priorityIndicatorDCI-0-2</w:t>
            </w:r>
            <w:r w:rsidRPr="00FA0D37">
              <w:rPr>
                <w:szCs w:val="22"/>
                <w:lang w:eastAsia="sv-SE"/>
              </w:rPr>
              <w:t xml:space="preserve"> applies to DCI format 0_2</w:t>
            </w:r>
            <w:r w:rsidRPr="00FA0D37">
              <w:rPr>
                <w:lang w:eastAsia="sv-SE"/>
              </w:rPr>
              <w:t xml:space="preserve"> (see TS 38.212 [17] clause 7.3.1 and TS 38.213 [13] clause 9).</w:t>
            </w:r>
          </w:p>
        </w:tc>
      </w:tr>
      <w:tr w:rsidR="005C7FF4" w:rsidRPr="00FA0D37"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FA0D37" w:rsidRDefault="00394471" w:rsidP="00964CC4">
            <w:pPr>
              <w:pStyle w:val="TAL"/>
              <w:rPr>
                <w:szCs w:val="22"/>
                <w:lang w:eastAsia="sv-SE"/>
              </w:rPr>
            </w:pPr>
            <w:r w:rsidRPr="00FA0D37">
              <w:rPr>
                <w:b/>
                <w:i/>
                <w:szCs w:val="22"/>
                <w:lang w:eastAsia="sv-SE"/>
              </w:rPr>
              <w:t>pusch-AggregationFactor</w:t>
            </w:r>
          </w:p>
          <w:p w14:paraId="55D73B66" w14:textId="77777777" w:rsidR="00394471" w:rsidRPr="00FA0D37" w:rsidRDefault="00394471" w:rsidP="00964CC4">
            <w:pPr>
              <w:pStyle w:val="TAL"/>
              <w:rPr>
                <w:szCs w:val="22"/>
                <w:lang w:eastAsia="sv-SE"/>
              </w:rPr>
            </w:pPr>
            <w:r w:rsidRPr="00FA0D37">
              <w:rPr>
                <w:szCs w:val="22"/>
                <w:lang w:eastAsia="sv-SE"/>
              </w:rPr>
              <w:t>Number of repetitions for data (see TS 38.214 [19], clause 6.1.2.1). If the field is absent the UE applies the value 1.</w:t>
            </w:r>
          </w:p>
        </w:tc>
      </w:tr>
      <w:tr w:rsidR="005C7FF4" w:rsidRPr="00FA0D37"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FA0D37" w:rsidRDefault="00770F46" w:rsidP="00770F46">
            <w:pPr>
              <w:pStyle w:val="TAL"/>
              <w:rPr>
                <w:b/>
                <w:i/>
                <w:szCs w:val="22"/>
                <w:lang w:eastAsia="sv-SE"/>
              </w:rPr>
            </w:pPr>
            <w:r w:rsidRPr="00FA0D37">
              <w:rPr>
                <w:b/>
                <w:i/>
                <w:szCs w:val="22"/>
                <w:lang w:eastAsia="sv-SE"/>
              </w:rPr>
              <w:t>pusch-PowerControl</w:t>
            </w:r>
          </w:p>
          <w:p w14:paraId="029544A6" w14:textId="72C0F4A8" w:rsidR="00770F46" w:rsidRPr="00FA0D37" w:rsidRDefault="00770F46" w:rsidP="00770F46">
            <w:pPr>
              <w:pStyle w:val="TAL"/>
              <w:rPr>
                <w:b/>
                <w:i/>
                <w:szCs w:val="22"/>
                <w:lang w:eastAsia="sv-SE"/>
              </w:rPr>
            </w:pPr>
            <w:r w:rsidRPr="00FA0D37">
              <w:rPr>
                <w:bCs/>
                <w:iCs/>
                <w:szCs w:val="22"/>
                <w:lang w:eastAsia="sv-SE"/>
              </w:rPr>
              <w:t xml:space="preserve">Configures power control parameters PUSCH transmission. This field is not configured </w:t>
            </w:r>
            <w:r w:rsidRPr="00FA0D37">
              <w:rPr>
                <w:lang w:eastAsia="sv-SE"/>
              </w:rPr>
              <w:t xml:space="preserve">if </w:t>
            </w:r>
            <w:r w:rsidRPr="00FA0D37">
              <w:rPr>
                <w:i/>
                <w:iCs/>
                <w:lang w:eastAsia="sv-SE"/>
              </w:rPr>
              <w:t>unifiedTCI-StateType</w:t>
            </w:r>
            <w:r w:rsidRPr="00FA0D37">
              <w:rPr>
                <w:lang w:eastAsia="sv-SE"/>
              </w:rPr>
              <w:t xml:space="preserve"> is configured for the serving cell.</w:t>
            </w:r>
          </w:p>
        </w:tc>
      </w:tr>
      <w:tr w:rsidR="005C7FF4" w:rsidRPr="00FA0D37"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FA0D37" w:rsidRDefault="00770F46" w:rsidP="00770F46">
            <w:pPr>
              <w:pStyle w:val="TAL"/>
              <w:rPr>
                <w:b/>
                <w:bCs/>
                <w:i/>
                <w:iCs/>
                <w:lang w:eastAsia="x-none"/>
              </w:rPr>
            </w:pPr>
            <w:r w:rsidRPr="00FA0D37">
              <w:rPr>
                <w:b/>
                <w:bCs/>
                <w:i/>
                <w:iCs/>
                <w:lang w:eastAsia="x-none"/>
              </w:rPr>
              <w:t>pusch-RepTypeIndicatorDCI-0-1, pusch-RepTypeIndicatorDCI-0-2</w:t>
            </w:r>
          </w:p>
          <w:p w14:paraId="1F3A0D84" w14:textId="77777777" w:rsidR="00770F46" w:rsidRPr="00FA0D37" w:rsidRDefault="00770F46" w:rsidP="00770F46">
            <w:pPr>
              <w:pStyle w:val="TAL"/>
              <w:rPr>
                <w:b/>
                <w:i/>
                <w:szCs w:val="22"/>
                <w:lang w:eastAsia="sv-SE"/>
              </w:rPr>
            </w:pPr>
            <w:r w:rsidRPr="00FA0D37">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A0D37">
              <w:rPr>
                <w:i/>
                <w:szCs w:val="22"/>
                <w:lang w:eastAsia="sv-SE"/>
              </w:rPr>
              <w:t xml:space="preserve">pusch-RepTypeA </w:t>
            </w:r>
            <w:r w:rsidRPr="00FA0D37">
              <w:rPr>
                <w:szCs w:val="22"/>
                <w:lang w:eastAsia="sv-SE"/>
              </w:rPr>
              <w:t xml:space="preserve">enables the 'PUSCH repetition type A' and the value </w:t>
            </w:r>
            <w:r w:rsidRPr="00FA0D37">
              <w:rPr>
                <w:i/>
                <w:szCs w:val="22"/>
                <w:lang w:eastAsia="sv-SE"/>
              </w:rPr>
              <w:t>pusch-RepTypeB</w:t>
            </w:r>
            <w:r w:rsidRPr="00FA0D37">
              <w:rPr>
                <w:szCs w:val="22"/>
                <w:lang w:eastAsia="sv-SE"/>
              </w:rPr>
              <w:t xml:space="preserve"> enables the 'PUSCH repetition type B'. The field </w:t>
            </w:r>
            <w:r w:rsidRPr="00FA0D37">
              <w:rPr>
                <w:i/>
                <w:szCs w:val="22"/>
                <w:lang w:eastAsia="sv-SE"/>
              </w:rPr>
              <w:t xml:space="preserve">pusch-RepTypeIndicatorDCI-0-1 </w:t>
            </w:r>
            <w:r w:rsidRPr="00FA0D37">
              <w:rPr>
                <w:szCs w:val="22"/>
                <w:lang w:eastAsia="sv-SE"/>
              </w:rPr>
              <w:t xml:space="preserve">applies to DCI format 0_1 and the field </w:t>
            </w:r>
            <w:r w:rsidRPr="00FA0D37">
              <w:rPr>
                <w:i/>
                <w:szCs w:val="22"/>
                <w:lang w:eastAsia="sv-SE"/>
              </w:rPr>
              <w:t>pusch-RepTypeIndicatorDCI-0-2</w:t>
            </w:r>
            <w:r w:rsidRPr="00FA0D37">
              <w:rPr>
                <w:szCs w:val="22"/>
                <w:lang w:eastAsia="sv-SE"/>
              </w:rPr>
              <w:t xml:space="preserve"> applies to DCI format 0_2 (see TS 38.214 [19], clause 6.1.2.1).</w:t>
            </w:r>
          </w:p>
        </w:tc>
      </w:tr>
      <w:tr w:rsidR="005C7FF4" w:rsidRPr="00FA0D37"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FA0D37" w:rsidRDefault="00770F46" w:rsidP="00770F46">
            <w:pPr>
              <w:pStyle w:val="TAL"/>
              <w:rPr>
                <w:szCs w:val="22"/>
                <w:lang w:eastAsia="sv-SE"/>
              </w:rPr>
            </w:pPr>
            <w:r w:rsidRPr="00FA0D37">
              <w:rPr>
                <w:b/>
                <w:i/>
                <w:szCs w:val="22"/>
                <w:lang w:eastAsia="sv-SE"/>
              </w:rPr>
              <w:t>pusch-TimeDomainAllocationList</w:t>
            </w:r>
          </w:p>
          <w:p w14:paraId="5C088220" w14:textId="127DBFB7" w:rsidR="00770F46" w:rsidRPr="00FA0D37" w:rsidRDefault="00770F46" w:rsidP="00770F46">
            <w:pPr>
              <w:pStyle w:val="TAL"/>
              <w:rPr>
                <w:szCs w:val="22"/>
                <w:lang w:eastAsia="sv-SE"/>
              </w:rPr>
            </w:pPr>
            <w:r w:rsidRPr="00FA0D37">
              <w:rPr>
                <w:szCs w:val="22"/>
                <w:lang w:eastAsia="sv-SE"/>
              </w:rPr>
              <w:t xml:space="preserve">List of time domain allocations for timing of UL assignment to UL data (see TS 38.214 [19], table 6.1.2.1.1-1). The field </w:t>
            </w:r>
            <w:r w:rsidRPr="00FA0D37">
              <w:rPr>
                <w:i/>
                <w:szCs w:val="22"/>
                <w:lang w:eastAsia="sv-SE"/>
              </w:rPr>
              <w:t>pusch-TimeDomainAllocationList</w:t>
            </w:r>
            <w:r w:rsidRPr="00FA0D37">
              <w:rPr>
                <w:szCs w:val="22"/>
                <w:lang w:eastAsia="sv-SE"/>
              </w:rPr>
              <w:t xml:space="preserve"> applies to DCI formats 0_0 or DCI format 0_1 when the field </w:t>
            </w:r>
            <w:r w:rsidRPr="00FA0D37">
              <w:rPr>
                <w:i/>
                <w:szCs w:val="22"/>
                <w:lang w:eastAsia="sv-SE"/>
              </w:rPr>
              <w:t>pusch-TimeDomainAllocationListDCI-0-1</w:t>
            </w:r>
            <w:r w:rsidRPr="00FA0D37">
              <w:rPr>
                <w:szCs w:val="22"/>
                <w:lang w:eastAsia="sv-SE"/>
              </w:rPr>
              <w:t xml:space="preserve"> is not configured (see TS 38.214 [19], table 6.1.2.1.1-1 and table 6.1.2.1.1-1A). The network does not configure the </w:t>
            </w:r>
            <w:r w:rsidRPr="00FA0D37">
              <w:rPr>
                <w:i/>
                <w:iCs/>
                <w:szCs w:val="22"/>
                <w:lang w:eastAsia="sv-SE"/>
              </w:rPr>
              <w:t>pusch-TimeDomainAllocationList</w:t>
            </w:r>
            <w:r w:rsidRPr="00FA0D37">
              <w:rPr>
                <w:szCs w:val="22"/>
                <w:lang w:eastAsia="sv-SE"/>
              </w:rPr>
              <w:t xml:space="preserve"> (without suffix) simultaneously with the </w:t>
            </w:r>
            <w:r w:rsidRPr="00FA0D37">
              <w:rPr>
                <w:i/>
                <w:iCs/>
              </w:rPr>
              <w:t>pusch-TimeDomainAllocationListDCI-0-2-r16</w:t>
            </w:r>
            <w:r w:rsidRPr="00FA0D37">
              <w:t xml:space="preserve"> </w:t>
            </w:r>
            <w:r w:rsidRPr="00FA0D37">
              <w:rPr>
                <w:szCs w:val="22"/>
                <w:lang w:eastAsia="sv-SE"/>
              </w:rPr>
              <w:t>or</w:t>
            </w:r>
            <w:r w:rsidRPr="00FA0D37">
              <w:rPr>
                <w:i/>
                <w:iCs/>
                <w:szCs w:val="22"/>
                <w:lang w:eastAsia="sv-SE"/>
              </w:rPr>
              <w:t xml:space="preserve"> </w:t>
            </w:r>
            <w:r w:rsidRPr="00FA0D37">
              <w:rPr>
                <w:i/>
                <w:iCs/>
              </w:rPr>
              <w:t>pusch-TimeDomainAllocationListDCI-0-1-r16</w:t>
            </w:r>
            <w:r w:rsidRPr="00FA0D37">
              <w:t xml:space="preserve"> or </w:t>
            </w:r>
            <w:r w:rsidRPr="00FA0D37">
              <w:rPr>
                <w:i/>
                <w:iCs/>
              </w:rPr>
              <w:t>pusch-TimeDomainAllocationListForMultiPUSCH-r16</w:t>
            </w:r>
            <w:r w:rsidRPr="00FA0D37">
              <w:rPr>
                <w:szCs w:val="22"/>
                <w:lang w:eastAsia="sv-SE"/>
              </w:rPr>
              <w:t>.</w:t>
            </w:r>
          </w:p>
        </w:tc>
      </w:tr>
      <w:tr w:rsidR="005C7FF4" w:rsidRPr="00FA0D37"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FA0D37" w:rsidRDefault="00770F46" w:rsidP="00770F46">
            <w:pPr>
              <w:pStyle w:val="TAL"/>
              <w:rPr>
                <w:b/>
                <w:bCs/>
                <w:i/>
                <w:iCs/>
                <w:lang w:eastAsia="x-none"/>
              </w:rPr>
            </w:pPr>
            <w:r w:rsidRPr="00FA0D37">
              <w:rPr>
                <w:b/>
                <w:bCs/>
                <w:i/>
                <w:iCs/>
                <w:lang w:eastAsia="x-none"/>
              </w:rPr>
              <w:t>pusch-TimeDomainAllocationListDCI-0-1</w:t>
            </w:r>
          </w:p>
          <w:p w14:paraId="432317A3" w14:textId="77777777" w:rsidR="00770F46" w:rsidRPr="00FA0D37" w:rsidRDefault="00770F46" w:rsidP="00770F46">
            <w:pPr>
              <w:pStyle w:val="TAL"/>
              <w:rPr>
                <w:b/>
                <w:i/>
                <w:szCs w:val="22"/>
                <w:lang w:eastAsia="sv-SE"/>
              </w:rPr>
            </w:pPr>
            <w:r w:rsidRPr="00FA0D37">
              <w:rPr>
                <w:szCs w:val="22"/>
                <w:lang w:eastAsia="sv-SE"/>
              </w:rPr>
              <w:t>Configuration of the time domain resource allocation (TDRA) table for DCI format 0_1 (see TS 38.214 [19], clause 6.1, table 6.1.2.1.1-1A).</w:t>
            </w:r>
          </w:p>
        </w:tc>
      </w:tr>
      <w:tr w:rsidR="005C7FF4" w:rsidRPr="00FA0D37"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FA0D37" w:rsidRDefault="00770F46" w:rsidP="00770F46">
            <w:pPr>
              <w:pStyle w:val="TAL"/>
              <w:rPr>
                <w:b/>
                <w:bCs/>
                <w:i/>
                <w:iCs/>
                <w:lang w:eastAsia="x-none"/>
              </w:rPr>
            </w:pPr>
            <w:r w:rsidRPr="00FA0D37">
              <w:rPr>
                <w:b/>
                <w:bCs/>
                <w:i/>
                <w:iCs/>
                <w:lang w:eastAsia="x-none"/>
              </w:rPr>
              <w:t>pusch-TimeDomainAllocationListDCI-0-2</w:t>
            </w:r>
          </w:p>
          <w:p w14:paraId="40EA2B77" w14:textId="77777777" w:rsidR="00770F46" w:rsidRPr="00FA0D37" w:rsidRDefault="00770F46" w:rsidP="00770F46">
            <w:pPr>
              <w:pStyle w:val="TAL"/>
              <w:rPr>
                <w:b/>
                <w:i/>
                <w:szCs w:val="22"/>
                <w:lang w:eastAsia="sv-SE"/>
              </w:rPr>
            </w:pPr>
            <w:r w:rsidRPr="00FA0D37">
              <w:rPr>
                <w:szCs w:val="22"/>
                <w:lang w:eastAsia="sv-SE"/>
              </w:rPr>
              <w:t>Configuration of the time domain resource allocation (TDRA) table for DCI format 0_2 (see TS 38.214 [19], clause 6.1.2, table 6.1.2.1.1-1B).</w:t>
            </w:r>
          </w:p>
        </w:tc>
      </w:tr>
      <w:tr w:rsidR="005C7FF4" w:rsidRPr="00FA0D37"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770F46" w:rsidRPr="00FA0D37" w:rsidRDefault="00770F46" w:rsidP="00770F46">
            <w:pPr>
              <w:pStyle w:val="TAL"/>
              <w:rPr>
                <w:b/>
                <w:bCs/>
                <w:i/>
                <w:iCs/>
              </w:rPr>
            </w:pPr>
            <w:r w:rsidRPr="00FA0D37">
              <w:rPr>
                <w:b/>
                <w:bCs/>
                <w:i/>
                <w:iCs/>
              </w:rPr>
              <w:t>pusch-TimeDomainAllocationListForMultiPUSCH</w:t>
            </w:r>
          </w:p>
          <w:p w14:paraId="28997802" w14:textId="7D2D2D7A" w:rsidR="00770F46" w:rsidRPr="00FA0D37" w:rsidRDefault="00770F46" w:rsidP="00770F46">
            <w:pPr>
              <w:pStyle w:val="TAL"/>
            </w:pPr>
            <w:r w:rsidRPr="00FA0D37">
              <w:t xml:space="preserve">Configuration of the time domain resource allocation (TDRA) table for multiple PUSCH (see TS 38.214 [19], clause 6.1.2). The network configures at most </w:t>
            </w:r>
            <w:r w:rsidR="003F2FDF" w:rsidRPr="00FA0D37">
              <w:t>64</w:t>
            </w:r>
            <w:r w:rsidRPr="00FA0D37">
              <w:t xml:space="preserve"> rows in this TDRA table in </w:t>
            </w:r>
            <w:r w:rsidRPr="00FA0D37">
              <w:rPr>
                <w:i/>
                <w:iCs/>
              </w:rPr>
              <w:t>PUSCH-TimeDomainResourceAllocationList-r16</w:t>
            </w:r>
            <w:r w:rsidRPr="00FA0D37">
              <w:t xml:space="preserve"> configured by this field. This field is not configured simultaneously with </w:t>
            </w:r>
            <w:r w:rsidRPr="00FA0D37">
              <w:rPr>
                <w:i/>
                <w:iCs/>
              </w:rPr>
              <w:t>pusch-AggregationFactor</w:t>
            </w:r>
            <w:r w:rsidRPr="00FA0D37">
              <w:t>.</w:t>
            </w:r>
            <w:r w:rsidR="00E24267" w:rsidRPr="00FA0D37">
              <w:t xml:space="preserve"> </w:t>
            </w:r>
            <w:r w:rsidR="00E24267" w:rsidRPr="00FA0D37">
              <w:rPr>
                <w:szCs w:val="22"/>
                <w:lang w:eastAsia="sv-SE"/>
              </w:rPr>
              <w:t xml:space="preserve">The network does not configure the </w:t>
            </w:r>
            <w:r w:rsidR="00E24267" w:rsidRPr="00FA0D37">
              <w:rPr>
                <w:i/>
                <w:iCs/>
              </w:rPr>
              <w:t xml:space="preserve">pusch-TimeDomainAllocationListForMultiPUSCH-r16 </w:t>
            </w:r>
            <w:r w:rsidR="00E24267" w:rsidRPr="00FA0D37">
              <w:rPr>
                <w:szCs w:val="22"/>
                <w:lang w:eastAsia="sv-SE"/>
              </w:rPr>
              <w:t xml:space="preserve">simultaneously with the </w:t>
            </w:r>
            <w:r w:rsidR="00E24267" w:rsidRPr="00FA0D37">
              <w:rPr>
                <w:i/>
                <w:iCs/>
              </w:rPr>
              <w:t>pusch-TimeDomainAllocationListDCI-0-1-r16</w:t>
            </w:r>
            <w:r w:rsidR="00E24267" w:rsidRPr="00FA0D37">
              <w:t>.</w:t>
            </w:r>
            <w:r w:rsidR="00E76A07" w:rsidRPr="00FA0D37">
              <w:t xml:space="preserve"> </w:t>
            </w:r>
            <w:r w:rsidR="00E76A07" w:rsidRPr="00FA0D37">
              <w:rPr>
                <w:rFonts w:cs="Arial"/>
                <w:szCs w:val="18"/>
                <w:lang w:eastAsia="sv-SE"/>
              </w:rPr>
              <w:t xml:space="preserve">The network does not configure the </w:t>
            </w:r>
            <w:r w:rsidR="00E76A07" w:rsidRPr="00FA0D37">
              <w:rPr>
                <w:rFonts w:cs="Arial"/>
                <w:i/>
                <w:iCs/>
                <w:szCs w:val="18"/>
              </w:rPr>
              <w:t>pusch-TimeDomainAllocationListForMultiPUSCH-r16</w:t>
            </w:r>
            <w:r w:rsidR="00E76A07" w:rsidRPr="00FA0D37">
              <w:rPr>
                <w:rFonts w:cs="Arial"/>
                <w:szCs w:val="18"/>
                <w:lang w:eastAsia="sv-SE"/>
              </w:rPr>
              <w:t xml:space="preserve"> simultaneously with the</w:t>
            </w:r>
            <w:r w:rsidR="00E76A07" w:rsidRPr="00FA0D37">
              <w:rPr>
                <w:rFonts w:cs="Arial"/>
                <w:i/>
                <w:szCs w:val="18"/>
                <w:lang w:eastAsia="sv-SE"/>
              </w:rPr>
              <w:t xml:space="preserve"> numberOfSlotsTBoMS-r17</w:t>
            </w:r>
            <w:r w:rsidR="00E76A07" w:rsidRPr="00FA0D37">
              <w:rPr>
                <w:rFonts w:cs="Arial"/>
                <w:szCs w:val="18"/>
              </w:rPr>
              <w:t>.</w:t>
            </w:r>
          </w:p>
        </w:tc>
      </w:tr>
      <w:tr w:rsidR="005C7FF4" w:rsidRPr="00FA0D37"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FA0D37" w:rsidRDefault="00770F46" w:rsidP="00770F46">
            <w:pPr>
              <w:pStyle w:val="TAL"/>
              <w:rPr>
                <w:szCs w:val="22"/>
                <w:lang w:eastAsia="sv-SE"/>
              </w:rPr>
            </w:pPr>
            <w:r w:rsidRPr="00FA0D37">
              <w:rPr>
                <w:b/>
                <w:i/>
                <w:szCs w:val="22"/>
                <w:lang w:eastAsia="sv-SE"/>
              </w:rPr>
              <w:t>rbg-Size</w:t>
            </w:r>
          </w:p>
          <w:p w14:paraId="6D19DEFF" w14:textId="77777777" w:rsidR="00770F46" w:rsidRPr="00FA0D37" w:rsidRDefault="00770F46" w:rsidP="00770F46">
            <w:pPr>
              <w:pStyle w:val="TAL"/>
              <w:rPr>
                <w:szCs w:val="22"/>
                <w:lang w:eastAsia="sv-SE"/>
              </w:rPr>
            </w:pPr>
            <w:r w:rsidRPr="00FA0D37">
              <w:rPr>
                <w:szCs w:val="22"/>
                <w:lang w:eastAsia="sv-SE"/>
              </w:rPr>
              <w:t xml:space="preserve">Selection between configuration 1 and configuration 2 for RBG size for PUSCH. The UE does not apply this field if </w:t>
            </w:r>
            <w:r w:rsidRPr="00FA0D37">
              <w:rPr>
                <w:i/>
                <w:szCs w:val="22"/>
                <w:lang w:eastAsia="sv-SE"/>
              </w:rPr>
              <w:t>resourceAllocation</w:t>
            </w:r>
            <w:r w:rsidRPr="00FA0D37">
              <w:rPr>
                <w:szCs w:val="22"/>
                <w:lang w:eastAsia="sv-SE"/>
              </w:rPr>
              <w:t xml:space="preserve"> is set to </w:t>
            </w:r>
            <w:r w:rsidRPr="00FA0D37">
              <w:rPr>
                <w:i/>
                <w:szCs w:val="22"/>
                <w:lang w:eastAsia="sv-SE"/>
              </w:rPr>
              <w:t>resourceAllocationType1</w:t>
            </w:r>
            <w:r w:rsidRPr="00FA0D37">
              <w:rPr>
                <w:szCs w:val="22"/>
                <w:lang w:eastAsia="sv-SE"/>
              </w:rPr>
              <w:t xml:space="preserve">. Otherwise, the UE applies the value </w:t>
            </w:r>
            <w:r w:rsidRPr="00FA0D37">
              <w:rPr>
                <w:i/>
                <w:szCs w:val="22"/>
                <w:lang w:eastAsia="sv-SE"/>
              </w:rPr>
              <w:t>config1</w:t>
            </w:r>
            <w:r w:rsidRPr="00FA0D37">
              <w:rPr>
                <w:szCs w:val="22"/>
                <w:lang w:eastAsia="sv-SE"/>
              </w:rPr>
              <w:t xml:space="preserve"> when the field is absent (see TS 38.214 [19], clause 6.1.2.2.1).</w:t>
            </w:r>
          </w:p>
        </w:tc>
      </w:tr>
      <w:tr w:rsidR="005C7FF4" w:rsidRPr="00FA0D37"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FA0D37" w:rsidRDefault="00770F46" w:rsidP="00770F46">
            <w:pPr>
              <w:pStyle w:val="TAL"/>
              <w:rPr>
                <w:szCs w:val="22"/>
                <w:lang w:eastAsia="sv-SE"/>
              </w:rPr>
            </w:pPr>
            <w:r w:rsidRPr="00FA0D37">
              <w:rPr>
                <w:b/>
                <w:i/>
                <w:szCs w:val="22"/>
                <w:lang w:eastAsia="sv-SE"/>
              </w:rPr>
              <w:t>resourceAllocation, resourceAllocationDCI-0-2</w:t>
            </w:r>
          </w:p>
          <w:p w14:paraId="69CE51C4" w14:textId="77777777" w:rsidR="00770F46" w:rsidRPr="00FA0D37" w:rsidRDefault="00770F46" w:rsidP="00770F46">
            <w:pPr>
              <w:pStyle w:val="TAL"/>
              <w:rPr>
                <w:szCs w:val="22"/>
                <w:lang w:eastAsia="sv-SE"/>
              </w:rPr>
            </w:pPr>
            <w:r w:rsidRPr="00FA0D37">
              <w:rPr>
                <w:szCs w:val="22"/>
                <w:lang w:eastAsia="sv-SE"/>
              </w:rPr>
              <w:t xml:space="preserve">Configuration of resource allocation type 0 and resource allocation type 1 for non-fallback DCI (see TS 38.214 [19], clause 6.1.2). The field </w:t>
            </w:r>
            <w:r w:rsidRPr="00FA0D37">
              <w:rPr>
                <w:i/>
                <w:szCs w:val="22"/>
                <w:lang w:eastAsia="sv-SE"/>
              </w:rPr>
              <w:t xml:space="preserve">resourceAllocation </w:t>
            </w:r>
            <w:r w:rsidRPr="00FA0D37">
              <w:rPr>
                <w:szCs w:val="22"/>
                <w:lang w:eastAsia="sv-SE"/>
              </w:rPr>
              <w:t xml:space="preserve">applies to DCI format 0_1 and the field </w:t>
            </w:r>
            <w:r w:rsidRPr="00FA0D37">
              <w:rPr>
                <w:i/>
                <w:szCs w:val="22"/>
                <w:lang w:eastAsia="sv-SE"/>
              </w:rPr>
              <w:t>resourceAllocationDCI-0-2</w:t>
            </w:r>
            <w:r w:rsidRPr="00FA0D37">
              <w:rPr>
                <w:szCs w:val="22"/>
                <w:lang w:eastAsia="sv-SE"/>
              </w:rPr>
              <w:t xml:space="preserve"> applies to DCI format 0_2 (see TS 38.214 [19], clause 6.1.2).</w:t>
            </w:r>
          </w:p>
        </w:tc>
      </w:tr>
      <w:tr w:rsidR="005C7FF4" w:rsidRPr="00FA0D37"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FA0D37" w:rsidRDefault="00770F46" w:rsidP="00770F46">
            <w:pPr>
              <w:pStyle w:val="TAL"/>
              <w:rPr>
                <w:b/>
                <w:bCs/>
                <w:i/>
                <w:iCs/>
                <w:lang w:eastAsia="x-none"/>
              </w:rPr>
            </w:pPr>
            <w:r w:rsidRPr="00FA0D37">
              <w:rPr>
                <w:b/>
                <w:bCs/>
                <w:i/>
                <w:iCs/>
                <w:lang w:eastAsia="x-none"/>
              </w:rPr>
              <w:t>resourceAllocationType1GranularityDCI-0-2</w:t>
            </w:r>
          </w:p>
          <w:p w14:paraId="7BEBA413" w14:textId="77777777" w:rsidR="00770F46" w:rsidRPr="00FA0D37" w:rsidRDefault="00770F46" w:rsidP="00770F46">
            <w:pPr>
              <w:pStyle w:val="TAL"/>
              <w:rPr>
                <w:b/>
                <w:i/>
                <w:szCs w:val="22"/>
                <w:lang w:eastAsia="sv-SE"/>
              </w:rPr>
            </w:pPr>
            <w:r w:rsidRPr="00FA0D37">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5C7FF4" w:rsidRPr="00FA0D37"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FA0D37" w:rsidRDefault="00770F46" w:rsidP="00770F46">
            <w:pPr>
              <w:pStyle w:val="TAL"/>
              <w:rPr>
                <w:b/>
                <w:bCs/>
                <w:i/>
                <w:iCs/>
              </w:rPr>
            </w:pPr>
            <w:r w:rsidRPr="00FA0D37">
              <w:rPr>
                <w:b/>
                <w:bCs/>
                <w:i/>
                <w:iCs/>
              </w:rPr>
              <w:t>secondTPCFieldDCI-0-1, secondTPCFieldDCI-0-2</w:t>
            </w:r>
          </w:p>
          <w:p w14:paraId="2D6F10B7" w14:textId="081B52F8" w:rsidR="00770F46" w:rsidRPr="00FA0D37" w:rsidRDefault="00770F46" w:rsidP="00770F46">
            <w:pPr>
              <w:pStyle w:val="TAL"/>
              <w:rPr>
                <w:lang w:eastAsia="x-none"/>
              </w:rPr>
            </w:pPr>
            <w:r w:rsidRPr="00FA0D37">
              <w:rPr>
                <w:lang w:eastAsia="x-none"/>
              </w:rPr>
              <w:t>A second TPC field can be configured via RRC for DCI-0-1 and DCI-0-2. Each TPC field is for each closed-loop index value respectively (i.e., 1st /2nd TPC fields correspond to "closedLoopIndex" value = 0 and 1,</w:t>
            </w:r>
          </w:p>
        </w:tc>
      </w:tr>
      <w:tr w:rsidR="005C7FF4" w:rsidRPr="00FA0D37"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FA0D37" w:rsidRDefault="00770F46" w:rsidP="00770F46">
            <w:pPr>
              <w:pStyle w:val="TAL"/>
              <w:rPr>
                <w:b/>
                <w:i/>
                <w:szCs w:val="22"/>
                <w:lang w:eastAsia="sv-SE"/>
              </w:rPr>
            </w:pPr>
            <w:r w:rsidRPr="00FA0D37">
              <w:rPr>
                <w:b/>
                <w:i/>
                <w:szCs w:val="22"/>
                <w:lang w:eastAsia="sv-SE"/>
              </w:rPr>
              <w:lastRenderedPageBreak/>
              <w:t>sequenceOffsetForRV</w:t>
            </w:r>
          </w:p>
          <w:p w14:paraId="788493F1" w14:textId="059C5227" w:rsidR="00770F46" w:rsidRPr="00FA0D37" w:rsidRDefault="00770F46" w:rsidP="00770F46">
            <w:pPr>
              <w:pStyle w:val="TAL"/>
              <w:rPr>
                <w:b/>
                <w:i/>
                <w:szCs w:val="22"/>
                <w:lang w:eastAsia="sv-SE"/>
              </w:rPr>
            </w:pPr>
            <w:r w:rsidRPr="00FA0D37">
              <w:rPr>
                <w:bCs/>
                <w:iCs/>
                <w:szCs w:val="22"/>
                <w:lang w:eastAsia="sv-SE"/>
              </w:rPr>
              <w:t>Configures the RV offset for the starting RV for the first repetition (first actual repetition in PUSCH repetition Type B) towards the second 'SRS resource set' for PUSCH</w:t>
            </w:r>
            <w:r w:rsidRPr="00FA0D37">
              <w:rPr>
                <w:lang w:eastAsia="x-none"/>
              </w:rPr>
              <w:t xml:space="preserve"> configured in either </w:t>
            </w:r>
            <w:r w:rsidRPr="00FA0D37">
              <w:rPr>
                <w:rFonts w:cs="Arial"/>
                <w:i/>
                <w:iCs/>
              </w:rPr>
              <w:t>srs-ResourceSetToAddModList</w:t>
            </w:r>
            <w:r w:rsidRPr="00FA0D37">
              <w:rPr>
                <w:rFonts w:cs="Arial"/>
              </w:rPr>
              <w:t xml:space="preserve"> or </w:t>
            </w:r>
            <w:r w:rsidRPr="00FA0D37">
              <w:rPr>
                <w:rFonts w:cs="Arial"/>
                <w:i/>
                <w:iCs/>
              </w:rPr>
              <w:t>srs-ResourceSetToAddModListDCI-0-2</w:t>
            </w:r>
            <w:r w:rsidRPr="00FA0D37">
              <w:rPr>
                <w:rFonts w:cs="Arial"/>
              </w:rPr>
              <w:t xml:space="preserve"> with usage </w:t>
            </w:r>
            <w:r w:rsidR="00743BF8" w:rsidRPr="00FA0D37">
              <w:rPr>
                <w:rFonts w:cs="Arial"/>
              </w:rPr>
              <w:t>'</w:t>
            </w:r>
            <w:r w:rsidRPr="00FA0D37">
              <w:rPr>
                <w:rFonts w:cs="Arial"/>
              </w:rPr>
              <w:t>codebook</w:t>
            </w:r>
            <w:r w:rsidR="00743BF8" w:rsidRPr="00FA0D37">
              <w:rPr>
                <w:rFonts w:cs="Arial"/>
              </w:rPr>
              <w:t>'</w:t>
            </w:r>
            <w:r w:rsidRPr="00FA0D37">
              <w:rPr>
                <w:lang w:eastAsia="x-none"/>
              </w:rPr>
              <w:t xml:space="preserve"> or </w:t>
            </w:r>
            <w:r w:rsidR="00743BF8" w:rsidRPr="00FA0D37">
              <w:rPr>
                <w:rFonts w:cs="Arial"/>
              </w:rPr>
              <w:t>'</w:t>
            </w:r>
            <w:r w:rsidRPr="00FA0D37">
              <w:rPr>
                <w:rFonts w:cs="Arial"/>
              </w:rPr>
              <w:t>noncodebook</w:t>
            </w:r>
            <w:r w:rsidR="00743BF8" w:rsidRPr="00FA0D37">
              <w:rPr>
                <w:rFonts w:cs="Arial"/>
              </w:rPr>
              <w:t>'</w:t>
            </w:r>
            <w:r w:rsidRPr="00FA0D37">
              <w:rPr>
                <w:bCs/>
                <w:iCs/>
                <w:szCs w:val="22"/>
                <w:lang w:eastAsia="sv-SE"/>
              </w:rPr>
              <w:t>.</w:t>
            </w:r>
          </w:p>
        </w:tc>
      </w:tr>
      <w:tr w:rsidR="005C7FF4" w:rsidRPr="00FA0D37"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FA0D37" w:rsidRDefault="00770F46" w:rsidP="00770F46">
            <w:pPr>
              <w:pStyle w:val="TAL"/>
              <w:rPr>
                <w:szCs w:val="22"/>
                <w:lang w:eastAsia="sv-SE"/>
              </w:rPr>
            </w:pPr>
            <w:r w:rsidRPr="00FA0D37">
              <w:rPr>
                <w:b/>
                <w:i/>
                <w:szCs w:val="22"/>
                <w:lang w:eastAsia="sv-SE"/>
              </w:rPr>
              <w:t>tp-pi2BPSK</w:t>
            </w:r>
          </w:p>
          <w:p w14:paraId="768140D6" w14:textId="77777777" w:rsidR="00770F46" w:rsidRPr="00FA0D37" w:rsidRDefault="00770F46" w:rsidP="00770F46">
            <w:pPr>
              <w:pStyle w:val="TAL"/>
              <w:rPr>
                <w:szCs w:val="22"/>
                <w:lang w:eastAsia="sv-SE"/>
              </w:rPr>
            </w:pPr>
            <w:r w:rsidRPr="00FA0D37">
              <w:rPr>
                <w:szCs w:val="22"/>
                <w:lang w:eastAsia="sv-SE"/>
              </w:rPr>
              <w:t xml:space="preserve">Enables pi/2-BPSK modulation with transform precoding if the field is present and disables it otherwise. </w:t>
            </w:r>
          </w:p>
        </w:tc>
      </w:tr>
      <w:tr w:rsidR="005C7FF4" w:rsidRPr="00FA0D37"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FA0D37" w:rsidRDefault="00770F46" w:rsidP="00770F46">
            <w:pPr>
              <w:pStyle w:val="TAL"/>
              <w:rPr>
                <w:szCs w:val="22"/>
                <w:lang w:eastAsia="sv-SE"/>
              </w:rPr>
            </w:pPr>
            <w:r w:rsidRPr="00FA0D37">
              <w:rPr>
                <w:b/>
                <w:i/>
                <w:szCs w:val="22"/>
                <w:lang w:eastAsia="sv-SE"/>
              </w:rPr>
              <w:t>transformPrecoder</w:t>
            </w:r>
          </w:p>
          <w:p w14:paraId="424BD687" w14:textId="5FCB1B53" w:rsidR="00770F46" w:rsidRPr="00FA0D37" w:rsidRDefault="00770F46" w:rsidP="00770F46">
            <w:pPr>
              <w:pStyle w:val="TAL"/>
              <w:rPr>
                <w:szCs w:val="22"/>
                <w:lang w:eastAsia="sv-SE"/>
              </w:rPr>
            </w:pPr>
            <w:r w:rsidRPr="00FA0D37">
              <w:rPr>
                <w:szCs w:val="22"/>
                <w:lang w:eastAsia="sv-SE"/>
              </w:rPr>
              <w:t xml:space="preserve">The UE specific selection of transformer precoder for PUSCH (see TS 38.214 [19], clause 6.1.3). When the field is absent the UE applies the value of the field </w:t>
            </w:r>
            <w:r w:rsidRPr="00FA0D37">
              <w:rPr>
                <w:i/>
                <w:lang w:eastAsia="sv-SE"/>
              </w:rPr>
              <w:t>msg3-transformPrecoder</w:t>
            </w:r>
            <w:r w:rsidR="005D6B48" w:rsidRPr="00FA0D37">
              <w:rPr>
                <w:iCs/>
              </w:rPr>
              <w:t xml:space="preserve"> </w:t>
            </w:r>
            <w:r w:rsidR="005D6B48" w:rsidRPr="00FA0D37">
              <w:rPr>
                <w:iCs/>
                <w:lang w:eastAsia="sv-SE"/>
              </w:rPr>
              <w:t xml:space="preserve">from </w:t>
            </w:r>
            <w:r w:rsidR="005D6B48" w:rsidRPr="00FA0D37">
              <w:rPr>
                <w:i/>
                <w:lang w:eastAsia="sv-SE"/>
              </w:rPr>
              <w:t>rach-ConfigCommon</w:t>
            </w:r>
            <w:r w:rsidR="005D6B48" w:rsidRPr="00FA0D37">
              <w:rPr>
                <w:iCs/>
                <w:lang w:eastAsia="sv-SE"/>
              </w:rPr>
              <w:t xml:space="preserve"> included directly within BWP configuration (i.e., not included in </w:t>
            </w:r>
            <w:r w:rsidR="005D6B48" w:rsidRPr="00FA0D37">
              <w:rPr>
                <w:i/>
                <w:lang w:eastAsia="sv-SE"/>
              </w:rPr>
              <w:t>additionalRACH-ConfigList</w:t>
            </w:r>
            <w:r w:rsidR="005D6B48" w:rsidRPr="00FA0D37">
              <w:rPr>
                <w:iCs/>
                <w:lang w:eastAsia="sv-SE"/>
              </w:rPr>
              <w:t>)</w:t>
            </w:r>
            <w:r w:rsidRPr="00FA0D37">
              <w:rPr>
                <w:szCs w:val="22"/>
                <w:lang w:eastAsia="sv-SE"/>
              </w:rPr>
              <w:t>.</w:t>
            </w:r>
          </w:p>
        </w:tc>
      </w:tr>
      <w:tr w:rsidR="005C7FF4" w:rsidRPr="00FA0D37"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FA0D37" w:rsidRDefault="00770F46" w:rsidP="00770F46">
            <w:pPr>
              <w:pStyle w:val="TAL"/>
              <w:rPr>
                <w:szCs w:val="22"/>
                <w:lang w:eastAsia="sv-SE"/>
              </w:rPr>
            </w:pPr>
            <w:r w:rsidRPr="00FA0D37">
              <w:rPr>
                <w:b/>
                <w:i/>
                <w:szCs w:val="22"/>
                <w:lang w:eastAsia="sv-SE"/>
              </w:rPr>
              <w:t>txConfig</w:t>
            </w:r>
          </w:p>
          <w:p w14:paraId="6519B956" w14:textId="77777777" w:rsidR="00770F46" w:rsidRPr="00FA0D37" w:rsidRDefault="00770F46" w:rsidP="00770F46">
            <w:pPr>
              <w:pStyle w:val="TAL"/>
              <w:rPr>
                <w:szCs w:val="22"/>
                <w:lang w:eastAsia="sv-SE"/>
              </w:rPr>
            </w:pPr>
            <w:r w:rsidRPr="00FA0D37">
              <w:rPr>
                <w:szCs w:val="22"/>
                <w:lang w:eastAsia="sv-SE"/>
              </w:rPr>
              <w:t>Whether UE uses codebook based or non-codebook based transmission (see TS 38.214 [19], clause 6.1.1). If the field is absent, the UE transmits PUSCH on one antenna port, see TS 38.214 [19], clause 6.1.1.</w:t>
            </w:r>
          </w:p>
        </w:tc>
      </w:tr>
      <w:tr w:rsidR="005C7FF4" w:rsidRPr="00FA0D37"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FA0D37" w:rsidRDefault="00770F46" w:rsidP="00770F46">
            <w:pPr>
              <w:pStyle w:val="TAL"/>
              <w:rPr>
                <w:b/>
                <w:i/>
                <w:lang w:eastAsia="x-none"/>
              </w:rPr>
            </w:pPr>
            <w:r w:rsidRPr="00FA0D37">
              <w:rPr>
                <w:b/>
                <w:i/>
                <w:lang w:eastAsia="x-none"/>
              </w:rPr>
              <w:t>uci-OnPUSCH-ListDCI-0-1, uci-OnPUSCH-ListDCI-0-2</w:t>
            </w:r>
          </w:p>
          <w:p w14:paraId="2F7B3D5D" w14:textId="77777777" w:rsidR="00770F46" w:rsidRPr="00FA0D37" w:rsidRDefault="00770F46" w:rsidP="00770F46">
            <w:pPr>
              <w:pStyle w:val="TAL"/>
              <w:rPr>
                <w:lang w:eastAsia="sv-SE"/>
              </w:rPr>
            </w:pPr>
            <w:r w:rsidRPr="00FA0D37">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5C7FF4" w:rsidRPr="00FA0D37"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FA0D37" w:rsidRDefault="00770F46" w:rsidP="00770F46">
            <w:pPr>
              <w:pStyle w:val="TAL"/>
              <w:rPr>
                <w:szCs w:val="22"/>
              </w:rPr>
            </w:pPr>
            <w:r w:rsidRPr="00FA0D37">
              <w:rPr>
                <w:b/>
                <w:i/>
                <w:iCs/>
                <w:szCs w:val="22"/>
              </w:rPr>
              <w:t>ul-AccessConfigListDCI-0-1, ul-AccessConfigListDCI-0-2</w:t>
            </w:r>
          </w:p>
          <w:p w14:paraId="24F0805D" w14:textId="1329A82C" w:rsidR="00770F46" w:rsidRPr="00FA0D37" w:rsidRDefault="00770F46" w:rsidP="00770F46">
            <w:pPr>
              <w:pStyle w:val="TAL"/>
              <w:rPr>
                <w:b/>
                <w:i/>
                <w:szCs w:val="22"/>
                <w:lang w:eastAsia="sv-SE"/>
              </w:rPr>
            </w:pPr>
            <w:r w:rsidRPr="00FA0D37">
              <w:rPr>
                <w:szCs w:val="22"/>
                <w:lang w:eastAsia="sv-SE"/>
              </w:rPr>
              <w:t xml:space="preserve">List of the combinations of </w:t>
            </w:r>
            <w:r w:rsidRPr="00FA0D37">
              <w:rPr>
                <w:szCs w:val="22"/>
              </w:rPr>
              <w:t>cyclic prefix</w:t>
            </w:r>
            <w:r w:rsidRPr="00FA0D37">
              <w:rPr>
                <w:szCs w:val="22"/>
                <w:lang w:eastAsia="sv-SE"/>
              </w:rPr>
              <w:t xml:space="preserve"> extension</w:t>
            </w:r>
            <w:r w:rsidRPr="00FA0D37">
              <w:rPr>
                <w:szCs w:val="22"/>
              </w:rPr>
              <w:t>, channel access priority class (CAPC),</w:t>
            </w:r>
            <w:r w:rsidRPr="00FA0D37">
              <w:rPr>
                <w:szCs w:val="22"/>
                <w:lang w:eastAsia="sv-SE"/>
              </w:rPr>
              <w:t xml:space="preserve"> and UL channel access </w:t>
            </w:r>
            <w:r w:rsidRPr="00FA0D37">
              <w:rPr>
                <w:szCs w:val="22"/>
              </w:rPr>
              <w:t xml:space="preserve">type </w:t>
            </w:r>
            <w:r w:rsidRPr="00FA0D37">
              <w:rPr>
                <w:szCs w:val="22"/>
                <w:lang w:eastAsia="sv-SE"/>
              </w:rPr>
              <w:t xml:space="preserve">(see TS 38.212 [17], </w:t>
            </w:r>
            <w:r w:rsidR="00C36811" w:rsidRPr="00FA0D37">
              <w:rPr>
                <w:szCs w:val="22"/>
                <w:lang w:eastAsia="sv-SE"/>
              </w:rPr>
              <w:t>clause 7.3.1</w:t>
            </w:r>
            <w:r w:rsidRPr="00FA0D37">
              <w:rPr>
                <w:szCs w:val="22"/>
                <w:lang w:eastAsia="sv-SE"/>
              </w:rPr>
              <w:t>) applicable for DCI format 0_1 and DCI format 0_2, respectively.</w:t>
            </w:r>
            <w:r w:rsidRPr="00FA0D37">
              <w:rPr>
                <w:bCs/>
                <w:i/>
                <w:iCs/>
                <w:szCs w:val="22"/>
              </w:rPr>
              <w:t xml:space="preserve"> </w:t>
            </w:r>
            <w:r w:rsidR="00C36811" w:rsidRPr="00FA0D37">
              <w:rPr>
                <w:szCs w:val="22"/>
                <w:lang w:eastAsia="sv-SE"/>
              </w:rPr>
              <w:t xml:space="preserve">The fields </w:t>
            </w:r>
            <w:r w:rsidR="00C36811" w:rsidRPr="00FA0D37">
              <w:rPr>
                <w:i/>
                <w:iCs/>
                <w:szCs w:val="22"/>
                <w:lang w:eastAsia="sv-SE"/>
              </w:rPr>
              <w:t>ul-AccessConfigListDCI-0-1-r16</w:t>
            </w:r>
            <w:r w:rsidR="00C36811" w:rsidRPr="00FA0D37">
              <w:rPr>
                <w:szCs w:val="22"/>
                <w:lang w:eastAsia="sv-SE"/>
              </w:rPr>
              <w:t xml:space="preserve"> and </w:t>
            </w:r>
            <w:r w:rsidR="00C36811" w:rsidRPr="00FA0D37">
              <w:rPr>
                <w:i/>
                <w:iCs/>
                <w:szCs w:val="22"/>
                <w:lang w:eastAsia="sv-SE"/>
              </w:rPr>
              <w:t>ul-AccessConfigListDCI-0-2-r17</w:t>
            </w:r>
            <w:r w:rsidR="00C36811" w:rsidRPr="00FA0D37">
              <w:rPr>
                <w:szCs w:val="22"/>
                <w:lang w:eastAsia="sv-SE"/>
              </w:rPr>
              <w:t xml:space="preserve"> are only applicable for FR1 (see TS 38.212 [17], Table 7.3.1.1.2-35). </w:t>
            </w:r>
            <w:r w:rsidRPr="00FA0D37">
              <w:rPr>
                <w:bCs/>
                <w:szCs w:val="22"/>
              </w:rPr>
              <w:t xml:space="preserve">The field </w:t>
            </w:r>
            <w:r w:rsidRPr="00FA0D37">
              <w:rPr>
                <w:bCs/>
                <w:i/>
                <w:iCs/>
                <w:szCs w:val="22"/>
              </w:rPr>
              <w:t xml:space="preserve">ul-AccessConfigListDCI-0-1-r17 </w:t>
            </w:r>
            <w:r w:rsidRPr="00FA0D37">
              <w:rPr>
                <w:szCs w:val="22"/>
              </w:rPr>
              <w:t xml:space="preserve">only contains a list of UL channel access types </w:t>
            </w:r>
            <w:r w:rsidRPr="00FA0D37">
              <w:rPr>
                <w:rFonts w:cs="Arial"/>
                <w:lang w:eastAsia="x-none"/>
              </w:rPr>
              <w:t xml:space="preserve">and is only applicable for FR2-2 </w:t>
            </w:r>
            <w:r w:rsidRPr="00FA0D37">
              <w:rPr>
                <w:szCs w:val="22"/>
              </w:rPr>
              <w:t>(</w:t>
            </w:r>
            <w:r w:rsidRPr="00FA0D37">
              <w:rPr>
                <w:szCs w:val="22"/>
                <w:lang w:eastAsia="sv-SE"/>
              </w:rPr>
              <w:t>see TS 38.212 [17], Table 7.3.1.1.2-35A).</w:t>
            </w:r>
          </w:p>
        </w:tc>
      </w:tr>
      <w:tr w:rsidR="00770F46" w:rsidRPr="00FA0D37"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FA0D37" w:rsidRDefault="00770F46" w:rsidP="00770F46">
            <w:pPr>
              <w:pStyle w:val="TAL"/>
              <w:rPr>
                <w:b/>
                <w:i/>
                <w:szCs w:val="22"/>
                <w:lang w:eastAsia="sv-SE"/>
              </w:rPr>
            </w:pPr>
            <w:r w:rsidRPr="00FA0D37">
              <w:rPr>
                <w:b/>
                <w:i/>
                <w:szCs w:val="22"/>
                <w:lang w:eastAsia="sv-SE"/>
              </w:rPr>
              <w:t>ul-FullPowerTransmission</w:t>
            </w:r>
          </w:p>
          <w:p w14:paraId="7E8D59D0" w14:textId="3AE1215C" w:rsidR="00770F46" w:rsidRPr="00FA0D37" w:rsidRDefault="00770F46" w:rsidP="00770F46">
            <w:pPr>
              <w:pStyle w:val="TAL"/>
              <w:rPr>
                <w:b/>
                <w:i/>
                <w:szCs w:val="22"/>
                <w:lang w:eastAsia="sv-SE"/>
              </w:rPr>
            </w:pPr>
            <w:r w:rsidRPr="00FA0D37">
              <w:rPr>
                <w:szCs w:val="22"/>
                <w:lang w:eastAsia="sv-SE"/>
              </w:rPr>
              <w:t>Configures the UE with UL full power transmission mode as specified in TS 38.213</w:t>
            </w:r>
            <w:r w:rsidR="008779EC" w:rsidRPr="00FA0D37">
              <w:rPr>
                <w:lang w:eastAsia="sv-SE"/>
              </w:rPr>
              <w:t xml:space="preserve"> [13]</w:t>
            </w:r>
            <w:r w:rsidRPr="00FA0D37">
              <w:rPr>
                <w:szCs w:val="22"/>
                <w:lang w:eastAsia="sv-SE"/>
              </w:rPr>
              <w:t xml:space="preserve">. </w:t>
            </w:r>
            <w:r w:rsidRPr="00FA0D37">
              <w:rPr>
                <w:bCs/>
                <w:iCs/>
                <w:szCs w:val="22"/>
                <w:lang w:eastAsia="sv-SE"/>
              </w:rPr>
              <w:t xml:space="preserve">This field is not configured </w:t>
            </w:r>
            <w:r w:rsidRPr="00FA0D37">
              <w:rPr>
                <w:lang w:eastAsia="sv-SE"/>
              </w:rPr>
              <w:t xml:space="preserve">if </w:t>
            </w:r>
            <w:r w:rsidRPr="00FA0D37">
              <w:rPr>
                <w:i/>
                <w:iCs/>
                <w:lang w:eastAsia="zh-CN"/>
              </w:rPr>
              <w:t>ul-powerControl</w:t>
            </w:r>
            <w:r w:rsidRPr="00FA0D37">
              <w:rPr>
                <w:lang w:eastAsia="zh-CN"/>
              </w:rPr>
              <w:t xml:space="preserve"> is configured in the </w:t>
            </w:r>
            <w:r w:rsidRPr="00FA0D37">
              <w:rPr>
                <w:i/>
                <w:iCs/>
                <w:lang w:eastAsia="zh-CN"/>
              </w:rPr>
              <w:t>BWP-UplinkDedicated</w:t>
            </w:r>
            <w:r w:rsidRPr="00FA0D37">
              <w:rPr>
                <w:lang w:eastAsia="zh-CN"/>
              </w:rPr>
              <w:t xml:space="preserve"> in which the </w:t>
            </w:r>
            <w:r w:rsidRPr="00FA0D37">
              <w:rPr>
                <w:i/>
                <w:iCs/>
                <w:lang w:eastAsia="zh-CN"/>
              </w:rPr>
              <w:t>PUCCH-Config</w:t>
            </w:r>
            <w:r w:rsidRPr="00FA0D37">
              <w:rPr>
                <w:lang w:eastAsia="zh-CN"/>
              </w:rPr>
              <w:t xml:space="preserve"> is included.</w:t>
            </w:r>
          </w:p>
        </w:tc>
      </w:tr>
    </w:tbl>
    <w:p w14:paraId="2844A59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FA0D37" w:rsidRDefault="00394471" w:rsidP="00964CC4">
            <w:pPr>
              <w:pStyle w:val="TAH"/>
              <w:rPr>
                <w:szCs w:val="22"/>
                <w:lang w:eastAsia="sv-SE"/>
              </w:rPr>
            </w:pPr>
            <w:r w:rsidRPr="00FA0D37">
              <w:rPr>
                <w:i/>
                <w:szCs w:val="22"/>
                <w:lang w:eastAsia="sv-SE"/>
              </w:rPr>
              <w:t xml:space="preserve">UCI-OnPUSCH </w:t>
            </w:r>
            <w:r w:rsidRPr="00FA0D37">
              <w:rPr>
                <w:szCs w:val="22"/>
                <w:lang w:eastAsia="sv-SE"/>
              </w:rPr>
              <w:t>field descriptions</w:t>
            </w:r>
          </w:p>
        </w:tc>
      </w:tr>
      <w:tr w:rsidR="005C7FF4" w:rsidRPr="00FA0D37"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FA0D37" w:rsidRDefault="00394471" w:rsidP="00964CC4">
            <w:pPr>
              <w:pStyle w:val="TAL"/>
              <w:rPr>
                <w:b/>
                <w:i/>
                <w:szCs w:val="22"/>
                <w:lang w:eastAsia="sv-SE"/>
              </w:rPr>
            </w:pPr>
            <w:r w:rsidRPr="00FA0D37">
              <w:rPr>
                <w:b/>
                <w:i/>
                <w:szCs w:val="22"/>
                <w:lang w:eastAsia="sv-SE"/>
              </w:rPr>
              <w:t>betaOffsets</w:t>
            </w:r>
          </w:p>
          <w:p w14:paraId="5384D177" w14:textId="77777777" w:rsidR="00394471" w:rsidRPr="00FA0D37" w:rsidRDefault="00394471" w:rsidP="00964CC4">
            <w:pPr>
              <w:pStyle w:val="TAL"/>
              <w:rPr>
                <w:szCs w:val="22"/>
                <w:lang w:eastAsia="sv-SE"/>
              </w:rPr>
            </w:pPr>
            <w:r w:rsidRPr="00FA0D37">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FA0D37"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FA0D37" w:rsidRDefault="00394471" w:rsidP="00964CC4">
            <w:pPr>
              <w:pStyle w:val="TAL"/>
              <w:rPr>
                <w:szCs w:val="22"/>
                <w:lang w:eastAsia="sv-SE"/>
              </w:rPr>
            </w:pPr>
            <w:r w:rsidRPr="00FA0D37">
              <w:rPr>
                <w:b/>
                <w:i/>
                <w:szCs w:val="22"/>
                <w:lang w:eastAsia="sv-SE"/>
              </w:rPr>
              <w:t>scaling</w:t>
            </w:r>
          </w:p>
          <w:p w14:paraId="395FA231" w14:textId="77777777" w:rsidR="00394471" w:rsidRPr="00FA0D37" w:rsidRDefault="00394471" w:rsidP="00964CC4">
            <w:pPr>
              <w:pStyle w:val="TAL"/>
              <w:rPr>
                <w:szCs w:val="22"/>
                <w:lang w:eastAsia="sv-SE"/>
              </w:rPr>
            </w:pPr>
            <w:r w:rsidRPr="00FA0D37">
              <w:rPr>
                <w:szCs w:val="22"/>
                <w:lang w:eastAsia="sv-SE"/>
              </w:rPr>
              <w:t xml:space="preserve">Indicates a scaling factor to limit the number of resource elements assigned to UCI on PUSCH for DCI formats other than DCI format 0_2. Value </w:t>
            </w:r>
            <w:r w:rsidRPr="00FA0D37">
              <w:rPr>
                <w:i/>
                <w:szCs w:val="22"/>
                <w:lang w:eastAsia="sv-SE"/>
              </w:rPr>
              <w:t>f0p5</w:t>
            </w:r>
            <w:r w:rsidRPr="00FA0D37">
              <w:rPr>
                <w:szCs w:val="22"/>
                <w:lang w:eastAsia="sv-SE"/>
              </w:rPr>
              <w:t xml:space="preserve"> corresponds to 0.5, value </w:t>
            </w:r>
            <w:r w:rsidRPr="00FA0D37">
              <w:rPr>
                <w:i/>
                <w:szCs w:val="22"/>
                <w:lang w:eastAsia="sv-SE"/>
              </w:rPr>
              <w:t>f0p65</w:t>
            </w:r>
            <w:r w:rsidRPr="00FA0D37">
              <w:rPr>
                <w:szCs w:val="22"/>
                <w:lang w:eastAsia="sv-SE"/>
              </w:rPr>
              <w:t xml:space="preserve"> corresponds to 0.65, and so on. The value configured herein is applicable for PUSCH with configured grant (see TS 38.212 [17], clause 6.3).</w:t>
            </w:r>
          </w:p>
        </w:tc>
      </w:tr>
    </w:tbl>
    <w:p w14:paraId="74BC4C65"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FA0D37" w:rsidRDefault="00394471" w:rsidP="00964CC4">
            <w:pPr>
              <w:pStyle w:val="TAH"/>
              <w:rPr>
                <w:b w:val="0"/>
                <w:i/>
                <w:iCs/>
                <w:lang w:eastAsia="x-none"/>
              </w:rPr>
            </w:pPr>
            <w:r w:rsidRPr="00FA0D37">
              <w:rPr>
                <w:i/>
                <w:iCs/>
                <w:lang w:eastAsia="x-none"/>
              </w:rPr>
              <w:lastRenderedPageBreak/>
              <w:t xml:space="preserve">UCI-OnPUSCH-DCI-0-2 </w:t>
            </w:r>
            <w:r w:rsidRPr="00FA0D37">
              <w:rPr>
                <w:lang w:eastAsia="x-none"/>
              </w:rPr>
              <w:t>field descriptions</w:t>
            </w:r>
          </w:p>
        </w:tc>
      </w:tr>
      <w:tr w:rsidR="005C7FF4" w:rsidRPr="00FA0D37"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FA0D37" w:rsidRDefault="00394471" w:rsidP="00964CC4">
            <w:pPr>
              <w:pStyle w:val="TAL"/>
              <w:rPr>
                <w:b/>
                <w:bCs/>
                <w:i/>
                <w:iCs/>
                <w:lang w:eastAsia="x-none"/>
              </w:rPr>
            </w:pPr>
            <w:r w:rsidRPr="00FA0D37">
              <w:rPr>
                <w:b/>
                <w:bCs/>
                <w:i/>
                <w:iCs/>
                <w:lang w:eastAsia="x-none"/>
              </w:rPr>
              <w:t>betaOffsetsDCI-0-2</w:t>
            </w:r>
          </w:p>
          <w:p w14:paraId="28566875" w14:textId="77777777" w:rsidR="00394471" w:rsidRPr="00FA0D37" w:rsidRDefault="00394471" w:rsidP="00964CC4">
            <w:pPr>
              <w:pStyle w:val="TAL"/>
              <w:rPr>
                <w:lang w:eastAsia="sv-SE"/>
              </w:rPr>
            </w:pPr>
            <w:r w:rsidRPr="00FA0D37">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5C7FF4" w:rsidRPr="00FA0D37"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FA0D37" w:rsidRDefault="00394471" w:rsidP="00964CC4">
            <w:pPr>
              <w:pStyle w:val="TAL"/>
              <w:rPr>
                <w:b/>
                <w:bCs/>
                <w:i/>
                <w:iCs/>
                <w:lang w:eastAsia="x-none"/>
              </w:rPr>
            </w:pPr>
            <w:r w:rsidRPr="00FA0D37">
              <w:rPr>
                <w:b/>
                <w:bCs/>
                <w:i/>
                <w:iCs/>
                <w:lang w:eastAsia="x-none"/>
              </w:rPr>
              <w:t>dynamicDCI-0-2</w:t>
            </w:r>
          </w:p>
          <w:p w14:paraId="7B6396AF" w14:textId="77777777" w:rsidR="00394471" w:rsidRPr="00FA0D37" w:rsidRDefault="00394471" w:rsidP="00964CC4">
            <w:pPr>
              <w:pStyle w:val="TAL"/>
              <w:rPr>
                <w:lang w:eastAsia="sv-SE"/>
              </w:rPr>
            </w:pPr>
            <w:r w:rsidRPr="00FA0D37">
              <w:rPr>
                <w:lang w:eastAsia="sv-SE"/>
              </w:rPr>
              <w:t>Indicates the UE applies the value 'dynamic' for DCI format 0_2 (see TS 38.212 [17], clause 7.3.1 and TS 38.213 [13], clause 9.3).</w:t>
            </w:r>
          </w:p>
        </w:tc>
      </w:tr>
      <w:tr w:rsidR="005C7FF4" w:rsidRPr="00FA0D37"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FA0D37" w:rsidRDefault="00394471" w:rsidP="00964CC4">
            <w:pPr>
              <w:pStyle w:val="TAL"/>
              <w:rPr>
                <w:b/>
                <w:bCs/>
                <w:i/>
                <w:iCs/>
                <w:lang w:eastAsia="x-none"/>
              </w:rPr>
            </w:pPr>
            <w:r w:rsidRPr="00FA0D37">
              <w:rPr>
                <w:b/>
                <w:bCs/>
                <w:i/>
                <w:iCs/>
                <w:lang w:eastAsia="x-none"/>
              </w:rPr>
              <w:t>semiStaticDCI-0-2</w:t>
            </w:r>
          </w:p>
          <w:p w14:paraId="7D875C08" w14:textId="77777777" w:rsidR="00394471" w:rsidRPr="00FA0D37" w:rsidRDefault="00394471" w:rsidP="00964CC4">
            <w:pPr>
              <w:pStyle w:val="TAL"/>
              <w:rPr>
                <w:lang w:eastAsia="sv-SE"/>
              </w:rPr>
            </w:pPr>
            <w:r w:rsidRPr="00FA0D37">
              <w:rPr>
                <w:lang w:eastAsia="sv-SE"/>
              </w:rPr>
              <w:t>Indicates the UE applies the value 'semiStatic' for DCI format 0_2. (see TS 38.212 [17], clause 7.3.1 and see TS 38.213 [13], clause 9.3).</w:t>
            </w:r>
          </w:p>
        </w:tc>
      </w:tr>
      <w:tr w:rsidR="00394471" w:rsidRPr="00FA0D37"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FA0D37" w:rsidRDefault="00394471" w:rsidP="00964CC4">
            <w:pPr>
              <w:pStyle w:val="TAL"/>
              <w:rPr>
                <w:b/>
                <w:bCs/>
                <w:i/>
                <w:iCs/>
                <w:lang w:eastAsia="x-none"/>
              </w:rPr>
            </w:pPr>
            <w:r w:rsidRPr="00FA0D37">
              <w:rPr>
                <w:b/>
                <w:bCs/>
                <w:i/>
                <w:iCs/>
                <w:lang w:eastAsia="x-none"/>
              </w:rPr>
              <w:t>scalingDCI-0-2</w:t>
            </w:r>
          </w:p>
          <w:p w14:paraId="7623A89B" w14:textId="77777777" w:rsidR="00394471" w:rsidRPr="00FA0D37" w:rsidRDefault="00394471" w:rsidP="00964CC4">
            <w:pPr>
              <w:pStyle w:val="TAL"/>
              <w:rPr>
                <w:rFonts w:eastAsia="MS Mincho"/>
                <w:lang w:eastAsia="sv-SE"/>
              </w:rPr>
            </w:pPr>
            <w:r w:rsidRPr="00FA0D37">
              <w:rPr>
                <w:lang w:eastAsia="sv-SE"/>
              </w:rPr>
              <w:t xml:space="preserve">Indicates a scaling factor to limit the number of resource elements assigned to UCI on PUSCH for DCI format 0_2. Value f0p5 corresponds to 0.5, value </w:t>
            </w:r>
            <w:r w:rsidRPr="00FA0D37">
              <w:rPr>
                <w:i/>
                <w:iCs/>
                <w:lang w:eastAsia="x-none"/>
              </w:rPr>
              <w:t>f0p65</w:t>
            </w:r>
            <w:r w:rsidRPr="00FA0D37">
              <w:rPr>
                <w:lang w:eastAsia="sv-SE"/>
              </w:rPr>
              <w:t xml:space="preserve"> corresponds to 0.65, and so on (see TS 38.212 [17], clause 6.3).</w:t>
            </w:r>
          </w:p>
        </w:tc>
      </w:tr>
    </w:tbl>
    <w:p w14:paraId="438DBD1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FA0D37" w:rsidRDefault="00394471" w:rsidP="00964CC4">
            <w:pPr>
              <w:pStyle w:val="TAH"/>
              <w:rPr>
                <w:lang w:eastAsia="sv-SE"/>
              </w:rPr>
            </w:pPr>
            <w:r w:rsidRPr="00FA0D37">
              <w:rPr>
                <w:lang w:eastAsia="sv-SE"/>
              </w:rPr>
              <w:t>Explanation</w:t>
            </w:r>
          </w:p>
        </w:tc>
      </w:tr>
      <w:tr w:rsidR="005C7FF4" w:rsidRPr="00FA0D37"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FA0D37" w:rsidRDefault="00394471" w:rsidP="00964CC4">
            <w:pPr>
              <w:pStyle w:val="TAL"/>
              <w:rPr>
                <w:i/>
                <w:lang w:eastAsia="sv-SE"/>
              </w:rPr>
            </w:pPr>
            <w:r w:rsidRPr="00FA0D37">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FA0D37" w:rsidRDefault="00394471" w:rsidP="00964CC4">
            <w:pPr>
              <w:pStyle w:val="TAL"/>
              <w:rPr>
                <w:lang w:eastAsia="sv-SE"/>
              </w:rPr>
            </w:pPr>
            <w:r w:rsidRPr="00FA0D37">
              <w:rPr>
                <w:lang w:eastAsia="sv-SE"/>
              </w:rPr>
              <w:t xml:space="preserve">The field is mandatory present if </w:t>
            </w:r>
            <w:r w:rsidRPr="00FA0D37">
              <w:rPr>
                <w:i/>
                <w:lang w:eastAsia="sv-SE"/>
              </w:rPr>
              <w:t>txConfig</w:t>
            </w:r>
            <w:r w:rsidRPr="00FA0D37">
              <w:rPr>
                <w:lang w:eastAsia="sv-SE"/>
              </w:rPr>
              <w:t xml:space="preserve"> is set to codebook and absent otherwise.</w:t>
            </w:r>
          </w:p>
        </w:tc>
      </w:tr>
      <w:tr w:rsidR="005C7FF4" w:rsidRPr="00FA0D37"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FA0D37" w:rsidRDefault="00394471" w:rsidP="00964CC4">
            <w:pPr>
              <w:pStyle w:val="TAL"/>
              <w:rPr>
                <w:i/>
                <w:lang w:eastAsia="sv-SE"/>
              </w:rPr>
            </w:pPr>
            <w:r w:rsidRPr="00FA0D37">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FA0D37" w:rsidRDefault="00394471" w:rsidP="00964CC4">
            <w:pPr>
              <w:pStyle w:val="TAL"/>
              <w:rPr>
                <w:lang w:eastAsia="sv-SE"/>
              </w:rPr>
            </w:pPr>
            <w:r w:rsidRPr="00FA0D37">
              <w:rPr>
                <w:lang w:eastAsia="zh-CN"/>
              </w:rPr>
              <w:t xml:space="preserve">The field is optionally present, Need S, if </w:t>
            </w:r>
            <w:r w:rsidRPr="00FA0D37">
              <w:rPr>
                <w:i/>
                <w:lang w:eastAsia="zh-CN"/>
              </w:rPr>
              <w:t>pusch-RepTypeIndicatorDCI-0-1</w:t>
            </w:r>
            <w:r w:rsidRPr="00FA0D37">
              <w:rPr>
                <w:lang w:eastAsia="zh-CN"/>
              </w:rPr>
              <w:t xml:space="preserve"> is set to pusch-RepTypeB. It is absent otherwise.</w:t>
            </w:r>
          </w:p>
        </w:tc>
      </w:tr>
      <w:tr w:rsidR="005C7FF4" w:rsidRPr="00FA0D37"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FA0D37" w:rsidRDefault="00394471" w:rsidP="00964CC4">
            <w:pPr>
              <w:pStyle w:val="TAL"/>
              <w:rPr>
                <w:rFonts w:eastAsiaTheme="minorEastAsia"/>
                <w:i/>
                <w:iCs/>
                <w:lang w:eastAsia="zh-CN"/>
              </w:rPr>
            </w:pPr>
            <w:r w:rsidRPr="00FA0D37">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FA0D37" w:rsidRDefault="00394471" w:rsidP="00964CC4">
            <w:pPr>
              <w:pStyle w:val="TAL"/>
              <w:rPr>
                <w:rFonts w:eastAsiaTheme="minorEastAsia"/>
                <w:lang w:eastAsia="zh-CN"/>
              </w:rPr>
            </w:pPr>
            <w:r w:rsidRPr="00FA0D37">
              <w:rPr>
                <w:rFonts w:eastAsiaTheme="minorEastAsia"/>
                <w:lang w:eastAsia="zh-CN"/>
              </w:rPr>
              <w:t xml:space="preserve">The field is optionally present, Need S, if </w:t>
            </w:r>
            <w:r w:rsidRPr="00FA0D37">
              <w:rPr>
                <w:i/>
                <w:iCs/>
                <w:lang w:eastAsia="zh-CN"/>
              </w:rPr>
              <w:t>pusch-RepTypeIndicatorDCI-0-1</w:t>
            </w:r>
            <w:r w:rsidRPr="00FA0D37">
              <w:rPr>
                <w:lang w:eastAsia="zh-CN"/>
              </w:rPr>
              <w:t xml:space="preserve"> or </w:t>
            </w:r>
            <w:r w:rsidRPr="00FA0D37">
              <w:rPr>
                <w:i/>
                <w:iCs/>
                <w:lang w:eastAsia="zh-CN"/>
              </w:rPr>
              <w:t>pusch-RepTypeIndicatorDCI-0-2</w:t>
            </w:r>
            <w:r w:rsidRPr="00FA0D37">
              <w:rPr>
                <w:lang w:eastAsia="zh-CN"/>
              </w:rPr>
              <w:t xml:space="preserve"> is set to pusch-RepTypeB. It is absent otherwise.</w:t>
            </w:r>
          </w:p>
        </w:tc>
      </w:tr>
      <w:tr w:rsidR="00F747EB" w:rsidRPr="00FA0D37"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FA0D37" w:rsidRDefault="00770F46" w:rsidP="0071565C">
            <w:pPr>
              <w:pStyle w:val="TAL"/>
              <w:rPr>
                <w:rFonts w:eastAsiaTheme="minorEastAsia"/>
                <w:i/>
                <w:iCs/>
                <w:lang w:eastAsia="zh-CN"/>
              </w:rPr>
            </w:pPr>
            <w:r w:rsidRPr="00FA0D37">
              <w:rPr>
                <w:rFonts w:eastAsiaTheme="minorEastAsia"/>
                <w:i/>
                <w:iCs/>
                <w:lang w:eastAsia="zh-CN"/>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77777777" w:rsidR="00770F46" w:rsidRPr="00FA0D37" w:rsidRDefault="00770F46" w:rsidP="0071565C">
            <w:pPr>
              <w:pStyle w:val="TAL"/>
              <w:rPr>
                <w:rFonts w:eastAsiaTheme="minorEastAsia"/>
                <w:lang w:eastAsia="zh-CN"/>
              </w:rPr>
            </w:pPr>
            <w:r w:rsidRPr="00FA0D37">
              <w:rPr>
                <w:rFonts w:eastAsiaTheme="minorEastAsia"/>
                <w:lang w:eastAsia="zh-CN"/>
              </w:rPr>
              <w:t xml:space="preserve">This field is mandatory present when UE is configured with two SRS sets in either </w:t>
            </w:r>
            <w:r w:rsidRPr="00FA0D37">
              <w:rPr>
                <w:rFonts w:eastAsiaTheme="minorEastAsia"/>
                <w:i/>
                <w:iCs/>
                <w:lang w:eastAsia="zh-CN"/>
              </w:rPr>
              <w:t xml:space="preserve">srs-ResourceSetToAddModList </w:t>
            </w:r>
            <w:r w:rsidRPr="00FA0D37">
              <w:rPr>
                <w:rFonts w:eastAsiaTheme="minorEastAsia"/>
                <w:lang w:eastAsia="zh-CN"/>
              </w:rPr>
              <w:t xml:space="preserve">or </w:t>
            </w:r>
            <w:r w:rsidRPr="00FA0D37">
              <w:rPr>
                <w:rFonts w:eastAsiaTheme="minorEastAsia"/>
                <w:i/>
                <w:iCs/>
                <w:lang w:eastAsia="zh-CN"/>
              </w:rPr>
              <w:t>srs-ResourceSetToAddModListDCI-0-2</w:t>
            </w:r>
            <w:r w:rsidRPr="00FA0D37">
              <w:rPr>
                <w:rFonts w:eastAsiaTheme="minorEastAsia"/>
                <w:lang w:eastAsia="zh-CN"/>
              </w:rPr>
              <w:t xml:space="preserve"> with usage codebook or non-codebook.</w:t>
            </w:r>
          </w:p>
        </w:tc>
      </w:tr>
    </w:tbl>
    <w:p w14:paraId="69619CE6" w14:textId="77777777" w:rsidR="00394471" w:rsidRPr="00FA0D37" w:rsidRDefault="00394471" w:rsidP="00394471"/>
    <w:p w14:paraId="60CD16A5" w14:textId="77777777" w:rsidR="00394471" w:rsidRPr="00FA0D37" w:rsidRDefault="00394471" w:rsidP="00394471">
      <w:pPr>
        <w:pStyle w:val="4"/>
      </w:pPr>
      <w:bookmarkStart w:id="1262" w:name="_Toc60777323"/>
      <w:bookmarkStart w:id="1263" w:name="_Toc146781402"/>
      <w:r w:rsidRPr="00FA0D37">
        <w:t>–</w:t>
      </w:r>
      <w:r w:rsidRPr="00FA0D37">
        <w:tab/>
      </w:r>
      <w:r w:rsidRPr="00FA0D37">
        <w:rPr>
          <w:i/>
        </w:rPr>
        <w:t>PUSCH-ConfigCommon</w:t>
      </w:r>
      <w:bookmarkEnd w:id="1262"/>
      <w:bookmarkEnd w:id="1263"/>
    </w:p>
    <w:p w14:paraId="36EA91C8" w14:textId="77777777" w:rsidR="00394471" w:rsidRPr="00FA0D37" w:rsidRDefault="00394471" w:rsidP="00394471">
      <w:r w:rsidRPr="00FA0D37">
        <w:t xml:space="preserve">The IE </w:t>
      </w:r>
      <w:r w:rsidRPr="00FA0D37">
        <w:rPr>
          <w:i/>
        </w:rPr>
        <w:t>PUSCH-ConfigCommon</w:t>
      </w:r>
      <w:r w:rsidRPr="00FA0D37">
        <w:t xml:space="preserve"> is used to configure the cell specific PUSCH parameters.</w:t>
      </w:r>
    </w:p>
    <w:p w14:paraId="5FE77754" w14:textId="77777777" w:rsidR="00394471" w:rsidRPr="00FA0D37" w:rsidRDefault="00394471" w:rsidP="00394471">
      <w:pPr>
        <w:pStyle w:val="TH"/>
      </w:pPr>
      <w:r w:rsidRPr="00FA0D37">
        <w:rPr>
          <w:bCs/>
          <w:i/>
          <w:iCs/>
        </w:rPr>
        <w:t xml:space="preserve">PUSCH-ConfigCommon </w:t>
      </w:r>
      <w:r w:rsidRPr="00FA0D37">
        <w:t>information element</w:t>
      </w:r>
    </w:p>
    <w:p w14:paraId="4DD9AAE8" w14:textId="77777777" w:rsidR="00394471" w:rsidRPr="00FA0D37" w:rsidRDefault="00394471" w:rsidP="00FA0D37">
      <w:pPr>
        <w:pStyle w:val="PL"/>
        <w:rPr>
          <w:color w:val="808080"/>
        </w:rPr>
      </w:pPr>
      <w:r w:rsidRPr="00FA0D37">
        <w:rPr>
          <w:color w:val="808080"/>
        </w:rPr>
        <w:t>-- ASN1START</w:t>
      </w:r>
    </w:p>
    <w:p w14:paraId="327E5482" w14:textId="77777777" w:rsidR="00394471" w:rsidRPr="00FA0D37" w:rsidRDefault="00394471" w:rsidP="00FA0D37">
      <w:pPr>
        <w:pStyle w:val="PL"/>
        <w:rPr>
          <w:color w:val="808080"/>
        </w:rPr>
      </w:pPr>
      <w:r w:rsidRPr="00FA0D37">
        <w:rPr>
          <w:color w:val="808080"/>
        </w:rPr>
        <w:t>-- TAG-PUSCH-CONFIGCOMMON-START</w:t>
      </w:r>
    </w:p>
    <w:p w14:paraId="337CCAFB" w14:textId="77777777" w:rsidR="00394471" w:rsidRPr="00FA0D37" w:rsidRDefault="00394471" w:rsidP="00FA0D37">
      <w:pPr>
        <w:pStyle w:val="PL"/>
      </w:pPr>
    </w:p>
    <w:p w14:paraId="5583CB29" w14:textId="77777777" w:rsidR="00394471" w:rsidRPr="00FA0D37" w:rsidRDefault="00394471" w:rsidP="00FA0D37">
      <w:pPr>
        <w:pStyle w:val="PL"/>
      </w:pPr>
      <w:r w:rsidRPr="00FA0D37">
        <w:t xml:space="preserve">PUSCH-ConfigCommon ::=                  </w:t>
      </w:r>
      <w:r w:rsidRPr="00FA0D37">
        <w:rPr>
          <w:color w:val="993366"/>
        </w:rPr>
        <w:t>SEQUENCE</w:t>
      </w:r>
      <w:r w:rsidRPr="00FA0D37">
        <w:t xml:space="preserve"> {</w:t>
      </w:r>
    </w:p>
    <w:p w14:paraId="3C15C4C7" w14:textId="77777777" w:rsidR="00394471" w:rsidRPr="00FA0D37" w:rsidRDefault="00394471" w:rsidP="00FA0D37">
      <w:pPr>
        <w:pStyle w:val="PL"/>
        <w:rPr>
          <w:color w:val="808080"/>
        </w:rPr>
      </w:pPr>
      <w:r w:rsidRPr="00FA0D37">
        <w:t xml:space="preserve">    groupHoppingEnabledTransformPrecoding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A2ADAD0" w14:textId="77777777" w:rsidR="00394471" w:rsidRPr="00FA0D37" w:rsidRDefault="00394471" w:rsidP="00FA0D37">
      <w:pPr>
        <w:pStyle w:val="PL"/>
        <w:rPr>
          <w:color w:val="808080"/>
        </w:rPr>
      </w:pPr>
      <w:r w:rsidRPr="00FA0D37">
        <w:t xml:space="preserve">    pusch-TimeDomainAllocationList          PUSCH-TimeDomainResourceAllocationList                              </w:t>
      </w:r>
      <w:r w:rsidRPr="00FA0D37">
        <w:rPr>
          <w:color w:val="993366"/>
        </w:rPr>
        <w:t>OPTIONAL</w:t>
      </w:r>
      <w:r w:rsidRPr="00FA0D37">
        <w:t xml:space="preserve">,   </w:t>
      </w:r>
      <w:r w:rsidRPr="00FA0D37">
        <w:rPr>
          <w:color w:val="808080"/>
        </w:rPr>
        <w:t>-- Need R</w:t>
      </w:r>
    </w:p>
    <w:p w14:paraId="49193335" w14:textId="77777777" w:rsidR="00394471" w:rsidRPr="00FA0D37" w:rsidRDefault="00394471" w:rsidP="00FA0D37">
      <w:pPr>
        <w:pStyle w:val="PL"/>
        <w:rPr>
          <w:color w:val="808080"/>
        </w:rPr>
      </w:pPr>
      <w:r w:rsidRPr="00FA0D37">
        <w:t xml:space="preserve">    msg3-DeltaPreamble                      </w:t>
      </w:r>
      <w:r w:rsidRPr="00FA0D37">
        <w:rPr>
          <w:color w:val="993366"/>
        </w:rPr>
        <w:t>INTEGER</w:t>
      </w:r>
      <w:r w:rsidRPr="00FA0D37">
        <w:t xml:space="preserve"> (-1..6)                                                     </w:t>
      </w:r>
      <w:r w:rsidRPr="00FA0D37">
        <w:rPr>
          <w:color w:val="993366"/>
        </w:rPr>
        <w:t>OPTIONAL</w:t>
      </w:r>
      <w:r w:rsidRPr="00FA0D37">
        <w:t xml:space="preserve">,   </w:t>
      </w:r>
      <w:r w:rsidRPr="00FA0D37">
        <w:rPr>
          <w:color w:val="808080"/>
        </w:rPr>
        <w:t>-- Need R</w:t>
      </w:r>
    </w:p>
    <w:p w14:paraId="66CE4354" w14:textId="77777777" w:rsidR="00394471" w:rsidRPr="00FA0D37" w:rsidRDefault="00394471" w:rsidP="00FA0D37">
      <w:pPr>
        <w:pStyle w:val="PL"/>
        <w:rPr>
          <w:color w:val="808080"/>
        </w:rPr>
      </w:pPr>
      <w:r w:rsidRPr="00FA0D37">
        <w:t xml:space="preserve">    p0-NominalWithGrant                     </w:t>
      </w:r>
      <w:r w:rsidRPr="00FA0D37">
        <w:rPr>
          <w:color w:val="993366"/>
        </w:rPr>
        <w:t>INTEGER</w:t>
      </w:r>
      <w:r w:rsidRPr="00FA0D37">
        <w:t xml:space="preserve"> (-202..24)                                                  </w:t>
      </w:r>
      <w:r w:rsidRPr="00FA0D37">
        <w:rPr>
          <w:color w:val="993366"/>
        </w:rPr>
        <w:t>OPTIONAL</w:t>
      </w:r>
      <w:r w:rsidRPr="00FA0D37">
        <w:t xml:space="preserve">,   </w:t>
      </w:r>
      <w:r w:rsidRPr="00FA0D37">
        <w:rPr>
          <w:color w:val="808080"/>
        </w:rPr>
        <w:t>-- Need R</w:t>
      </w:r>
    </w:p>
    <w:p w14:paraId="11F9EDDF" w14:textId="77777777" w:rsidR="00394471" w:rsidRPr="00FA0D37" w:rsidRDefault="00394471" w:rsidP="00FA0D37">
      <w:pPr>
        <w:pStyle w:val="PL"/>
      </w:pPr>
      <w:r w:rsidRPr="00FA0D37">
        <w:t xml:space="preserve">    ...</w:t>
      </w:r>
    </w:p>
    <w:p w14:paraId="3C273D42" w14:textId="77777777" w:rsidR="00394471" w:rsidRPr="00FA0D37" w:rsidRDefault="00394471" w:rsidP="00FA0D37">
      <w:pPr>
        <w:pStyle w:val="PL"/>
      </w:pPr>
      <w:r w:rsidRPr="00FA0D37">
        <w:t>}</w:t>
      </w:r>
    </w:p>
    <w:p w14:paraId="4865DE20" w14:textId="77777777" w:rsidR="00394471" w:rsidRPr="00FA0D37" w:rsidRDefault="00394471" w:rsidP="00FA0D37">
      <w:pPr>
        <w:pStyle w:val="PL"/>
      </w:pPr>
    </w:p>
    <w:p w14:paraId="0707409A" w14:textId="77777777" w:rsidR="00394471" w:rsidRPr="00FA0D37" w:rsidRDefault="00394471" w:rsidP="00FA0D37">
      <w:pPr>
        <w:pStyle w:val="PL"/>
        <w:rPr>
          <w:color w:val="808080"/>
        </w:rPr>
      </w:pPr>
      <w:r w:rsidRPr="00FA0D37">
        <w:rPr>
          <w:color w:val="808080"/>
        </w:rPr>
        <w:t>-- TAG-PUSCH-CONFIGCOMMON-STOP</w:t>
      </w:r>
    </w:p>
    <w:p w14:paraId="3C4618A8" w14:textId="77777777" w:rsidR="00394471" w:rsidRPr="00FA0D37" w:rsidRDefault="00394471" w:rsidP="00FA0D37">
      <w:pPr>
        <w:pStyle w:val="PL"/>
        <w:rPr>
          <w:color w:val="808080"/>
        </w:rPr>
      </w:pPr>
      <w:r w:rsidRPr="00FA0D37">
        <w:rPr>
          <w:color w:val="808080"/>
        </w:rPr>
        <w:t>-- ASN1STOP</w:t>
      </w:r>
    </w:p>
    <w:p w14:paraId="682CAE2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FA0D37" w:rsidRDefault="00394471" w:rsidP="00964CC4">
            <w:pPr>
              <w:pStyle w:val="TAH"/>
              <w:rPr>
                <w:szCs w:val="22"/>
                <w:lang w:eastAsia="sv-SE"/>
              </w:rPr>
            </w:pPr>
            <w:r w:rsidRPr="00FA0D37">
              <w:rPr>
                <w:i/>
                <w:szCs w:val="22"/>
                <w:lang w:eastAsia="sv-SE"/>
              </w:rPr>
              <w:lastRenderedPageBreak/>
              <w:t xml:space="preserve">PUSCH-ConfigCommon </w:t>
            </w:r>
            <w:r w:rsidRPr="00FA0D37">
              <w:rPr>
                <w:szCs w:val="22"/>
                <w:lang w:eastAsia="sv-SE"/>
              </w:rPr>
              <w:t>field descriptions</w:t>
            </w:r>
          </w:p>
        </w:tc>
      </w:tr>
      <w:tr w:rsidR="005C7FF4" w:rsidRPr="00FA0D37"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FA0D37" w:rsidRDefault="00394471" w:rsidP="00964CC4">
            <w:pPr>
              <w:pStyle w:val="TAL"/>
              <w:rPr>
                <w:szCs w:val="22"/>
                <w:lang w:eastAsia="sv-SE"/>
              </w:rPr>
            </w:pPr>
            <w:r w:rsidRPr="00FA0D37">
              <w:rPr>
                <w:b/>
                <w:i/>
                <w:szCs w:val="22"/>
                <w:lang w:eastAsia="sv-SE"/>
              </w:rPr>
              <w:t>groupHoppingEnabledTransformPrecoding</w:t>
            </w:r>
          </w:p>
          <w:p w14:paraId="1AEC4079" w14:textId="77777777" w:rsidR="00394471" w:rsidRPr="00FA0D37" w:rsidRDefault="00394471" w:rsidP="00964CC4">
            <w:pPr>
              <w:pStyle w:val="TAL"/>
              <w:rPr>
                <w:szCs w:val="22"/>
                <w:lang w:eastAsia="sv-SE"/>
              </w:rPr>
            </w:pPr>
            <w:r w:rsidRPr="00FA0D37">
              <w:rPr>
                <w:szCs w:val="22"/>
                <w:lang w:eastAsia="sv-SE"/>
              </w:rPr>
              <w:t>For DMRS transmission with transform precoder, the NW may configure group hopping by this cell-specific parameter, see TS 38.211 [16], clause 6.4.1.1.1.2.</w:t>
            </w:r>
          </w:p>
        </w:tc>
      </w:tr>
      <w:tr w:rsidR="005C7FF4" w:rsidRPr="00FA0D37"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FA0D37" w:rsidRDefault="00394471" w:rsidP="00964CC4">
            <w:pPr>
              <w:pStyle w:val="TAL"/>
              <w:rPr>
                <w:szCs w:val="22"/>
                <w:lang w:eastAsia="sv-SE"/>
              </w:rPr>
            </w:pPr>
            <w:r w:rsidRPr="00FA0D37">
              <w:rPr>
                <w:b/>
                <w:i/>
                <w:szCs w:val="22"/>
                <w:lang w:eastAsia="sv-SE"/>
              </w:rPr>
              <w:t>msg3-DeltaPreamble</w:t>
            </w:r>
          </w:p>
          <w:p w14:paraId="785B04FE" w14:textId="77777777" w:rsidR="00394471" w:rsidRPr="00FA0D37" w:rsidRDefault="00394471" w:rsidP="00964CC4">
            <w:pPr>
              <w:pStyle w:val="TAL"/>
              <w:rPr>
                <w:szCs w:val="22"/>
                <w:lang w:eastAsia="sv-SE"/>
              </w:rPr>
            </w:pPr>
            <w:r w:rsidRPr="00FA0D37">
              <w:rPr>
                <w:szCs w:val="22"/>
                <w:lang w:eastAsia="sv-SE"/>
              </w:rPr>
              <w:t>Power offset between msg3 and RACH preamble transmission. Actual value = field value * 2 [dB] (see TS 38.213 [13], clause 7.1)</w:t>
            </w:r>
          </w:p>
        </w:tc>
      </w:tr>
      <w:tr w:rsidR="005C7FF4" w:rsidRPr="00FA0D37"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FA0D37" w:rsidRDefault="00394471" w:rsidP="00964CC4">
            <w:pPr>
              <w:pStyle w:val="TAL"/>
              <w:rPr>
                <w:szCs w:val="22"/>
                <w:lang w:eastAsia="sv-SE"/>
              </w:rPr>
            </w:pPr>
            <w:r w:rsidRPr="00FA0D37">
              <w:rPr>
                <w:b/>
                <w:i/>
                <w:szCs w:val="22"/>
                <w:lang w:eastAsia="sv-SE"/>
              </w:rPr>
              <w:t>p0-NominalWithGrant</w:t>
            </w:r>
          </w:p>
          <w:p w14:paraId="2E771914" w14:textId="77777777" w:rsidR="00394471" w:rsidRPr="00FA0D37" w:rsidRDefault="00394471" w:rsidP="00964CC4">
            <w:pPr>
              <w:pStyle w:val="TAL"/>
              <w:rPr>
                <w:szCs w:val="22"/>
                <w:lang w:eastAsia="sv-SE"/>
              </w:rPr>
            </w:pPr>
            <w:r w:rsidRPr="00FA0D37">
              <w:rPr>
                <w:szCs w:val="22"/>
                <w:lang w:eastAsia="sv-SE"/>
              </w:rPr>
              <w:t>P0 value for PUSCH with grant (except msg3). Value in dBm. Only even values (step size 2) allowed (see TS 38.213 [13], clause 7.1) This field is cell specific</w:t>
            </w:r>
          </w:p>
        </w:tc>
      </w:tr>
      <w:tr w:rsidR="00394471" w:rsidRPr="00FA0D37"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FA0D37" w:rsidRDefault="00394471" w:rsidP="00964CC4">
            <w:pPr>
              <w:pStyle w:val="TAL"/>
              <w:rPr>
                <w:szCs w:val="22"/>
                <w:lang w:eastAsia="sv-SE"/>
              </w:rPr>
            </w:pPr>
            <w:r w:rsidRPr="00FA0D37">
              <w:rPr>
                <w:b/>
                <w:i/>
                <w:szCs w:val="22"/>
                <w:lang w:eastAsia="sv-SE"/>
              </w:rPr>
              <w:t>pusch-TimeDomainAllocationList</w:t>
            </w:r>
          </w:p>
          <w:p w14:paraId="00D0636C" w14:textId="77777777" w:rsidR="00394471" w:rsidRPr="00FA0D37" w:rsidRDefault="00394471" w:rsidP="00964CC4">
            <w:pPr>
              <w:pStyle w:val="TAL"/>
              <w:rPr>
                <w:szCs w:val="22"/>
                <w:lang w:eastAsia="sv-SE"/>
              </w:rPr>
            </w:pPr>
            <w:r w:rsidRPr="00FA0D37">
              <w:rPr>
                <w:szCs w:val="22"/>
                <w:lang w:eastAsia="sv-SE"/>
              </w:rPr>
              <w:t>List of time domain allocations for timing of UL assignment to UL data (see TS 38.214 [19], table 6.1.2.1.1-1).</w:t>
            </w:r>
          </w:p>
        </w:tc>
      </w:tr>
    </w:tbl>
    <w:p w14:paraId="1A177393" w14:textId="77777777" w:rsidR="00394471" w:rsidRPr="00FA0D37" w:rsidRDefault="00394471" w:rsidP="00394471"/>
    <w:p w14:paraId="10B98EEB" w14:textId="77777777" w:rsidR="00394471" w:rsidRPr="00FA0D37" w:rsidRDefault="00394471" w:rsidP="00394471">
      <w:pPr>
        <w:pStyle w:val="4"/>
      </w:pPr>
      <w:bookmarkStart w:id="1264" w:name="_Toc60777324"/>
      <w:bookmarkStart w:id="1265" w:name="_Toc146781403"/>
      <w:r w:rsidRPr="00FA0D37">
        <w:t>–</w:t>
      </w:r>
      <w:r w:rsidRPr="00FA0D37">
        <w:tab/>
      </w:r>
      <w:r w:rsidRPr="00FA0D37">
        <w:rPr>
          <w:i/>
        </w:rPr>
        <w:t>PUSCH-PowerControl</w:t>
      </w:r>
      <w:bookmarkEnd w:id="1264"/>
      <w:bookmarkEnd w:id="1265"/>
    </w:p>
    <w:p w14:paraId="39AC8FE8" w14:textId="77777777" w:rsidR="00394471" w:rsidRPr="00FA0D37" w:rsidRDefault="00394471" w:rsidP="00394471">
      <w:r w:rsidRPr="00FA0D37">
        <w:t xml:space="preserve">The IE </w:t>
      </w:r>
      <w:r w:rsidRPr="00FA0D37">
        <w:rPr>
          <w:i/>
        </w:rPr>
        <w:t>PUSCH-PowerControl</w:t>
      </w:r>
      <w:r w:rsidRPr="00FA0D37">
        <w:t xml:space="preserve"> is used to configure UE specific power control parameter for PUSCH.</w:t>
      </w:r>
    </w:p>
    <w:p w14:paraId="2C199C83" w14:textId="77777777" w:rsidR="00394471" w:rsidRPr="00FA0D37" w:rsidRDefault="00394471" w:rsidP="00394471">
      <w:pPr>
        <w:pStyle w:val="TH"/>
      </w:pPr>
      <w:r w:rsidRPr="00FA0D37">
        <w:rPr>
          <w:i/>
        </w:rPr>
        <w:t>PUSCH-PowerControl</w:t>
      </w:r>
      <w:r w:rsidRPr="00FA0D37">
        <w:t xml:space="preserve"> information element</w:t>
      </w:r>
    </w:p>
    <w:p w14:paraId="6D961046" w14:textId="77777777" w:rsidR="00394471" w:rsidRPr="00FA0D37" w:rsidRDefault="00394471" w:rsidP="00FA0D37">
      <w:pPr>
        <w:pStyle w:val="PL"/>
        <w:rPr>
          <w:color w:val="808080"/>
        </w:rPr>
      </w:pPr>
      <w:r w:rsidRPr="00FA0D37">
        <w:rPr>
          <w:color w:val="808080"/>
        </w:rPr>
        <w:t>-- ASN1START</w:t>
      </w:r>
    </w:p>
    <w:p w14:paraId="30FB4099" w14:textId="77777777" w:rsidR="00394471" w:rsidRPr="00FA0D37" w:rsidRDefault="00394471" w:rsidP="00FA0D37">
      <w:pPr>
        <w:pStyle w:val="PL"/>
        <w:rPr>
          <w:color w:val="808080"/>
        </w:rPr>
      </w:pPr>
      <w:r w:rsidRPr="00FA0D37">
        <w:rPr>
          <w:color w:val="808080"/>
        </w:rPr>
        <w:t>-- TAG-PUSCH-POWERCONTROL-START</w:t>
      </w:r>
    </w:p>
    <w:p w14:paraId="31E9E81A" w14:textId="77777777" w:rsidR="00394471" w:rsidRPr="00FA0D37" w:rsidRDefault="00394471" w:rsidP="00FA0D37">
      <w:pPr>
        <w:pStyle w:val="PL"/>
      </w:pPr>
    </w:p>
    <w:p w14:paraId="757A01F6" w14:textId="5819ACFE" w:rsidR="00394471" w:rsidRPr="00FA0D37" w:rsidRDefault="00394471" w:rsidP="00FA0D37">
      <w:pPr>
        <w:pStyle w:val="PL"/>
      </w:pPr>
      <w:r w:rsidRPr="00FA0D37">
        <w:t xml:space="preserve">PUSCH-PowerControl ::=              </w:t>
      </w:r>
      <w:r w:rsidRPr="00FA0D37">
        <w:rPr>
          <w:color w:val="993366"/>
        </w:rPr>
        <w:t>SEQUENCE</w:t>
      </w:r>
      <w:r w:rsidRPr="00FA0D37">
        <w:t xml:space="preserve"> {</w:t>
      </w:r>
    </w:p>
    <w:p w14:paraId="64AA365F" w14:textId="77777777" w:rsidR="00394471" w:rsidRPr="00FA0D37" w:rsidRDefault="00394471" w:rsidP="00FA0D37">
      <w:pPr>
        <w:pStyle w:val="PL"/>
        <w:rPr>
          <w:color w:val="808080"/>
        </w:rPr>
      </w:pPr>
      <w:r w:rsidRPr="00FA0D37">
        <w:t xml:space="preserve">    tpc-Accumulation                    </w:t>
      </w:r>
      <w:r w:rsidRPr="00FA0D37">
        <w:rPr>
          <w:color w:val="993366"/>
        </w:rPr>
        <w:t>ENUMERATED</w:t>
      </w:r>
      <w:r w:rsidRPr="00FA0D37">
        <w:t xml:space="preserve"> { disabled }                                                 </w:t>
      </w:r>
      <w:r w:rsidRPr="00FA0D37">
        <w:rPr>
          <w:color w:val="993366"/>
        </w:rPr>
        <w:t>OPTIONAL</w:t>
      </w:r>
      <w:r w:rsidRPr="00FA0D37">
        <w:t xml:space="preserve">, </w:t>
      </w:r>
      <w:r w:rsidRPr="00FA0D37">
        <w:rPr>
          <w:color w:val="808080"/>
        </w:rPr>
        <w:t>-- Need S</w:t>
      </w:r>
    </w:p>
    <w:p w14:paraId="70F4CC07" w14:textId="77777777" w:rsidR="00394471" w:rsidRPr="00FA0D37" w:rsidRDefault="00394471" w:rsidP="00FA0D37">
      <w:pPr>
        <w:pStyle w:val="PL"/>
        <w:rPr>
          <w:color w:val="808080"/>
        </w:rPr>
      </w:pPr>
      <w:r w:rsidRPr="00FA0D37">
        <w:t xml:space="preserve">    msg3-Alpha                          Alpha                                                                   </w:t>
      </w:r>
      <w:r w:rsidRPr="00FA0D37">
        <w:rPr>
          <w:color w:val="993366"/>
        </w:rPr>
        <w:t>OPTIONAL</w:t>
      </w:r>
      <w:r w:rsidRPr="00FA0D37">
        <w:t xml:space="preserve">, </w:t>
      </w:r>
      <w:r w:rsidRPr="00FA0D37">
        <w:rPr>
          <w:color w:val="808080"/>
        </w:rPr>
        <w:t>-- Need S</w:t>
      </w:r>
    </w:p>
    <w:p w14:paraId="7A44097F" w14:textId="77777777" w:rsidR="00394471" w:rsidRPr="00FA0D37" w:rsidRDefault="00394471" w:rsidP="00FA0D37">
      <w:pPr>
        <w:pStyle w:val="PL"/>
        <w:rPr>
          <w:color w:val="808080"/>
        </w:rPr>
      </w:pPr>
      <w:r w:rsidRPr="00FA0D37">
        <w:t xml:space="preserve">    p0-NominalWithoutGrant              </w:t>
      </w:r>
      <w:r w:rsidRPr="00FA0D37">
        <w:rPr>
          <w:color w:val="993366"/>
        </w:rPr>
        <w:t>INTEGER</w:t>
      </w:r>
      <w:r w:rsidRPr="00FA0D37">
        <w:t xml:space="preserve"> (-202..24)                                                      </w:t>
      </w:r>
      <w:r w:rsidRPr="00FA0D37">
        <w:rPr>
          <w:color w:val="993366"/>
        </w:rPr>
        <w:t>OPTIONAL</w:t>
      </w:r>
      <w:r w:rsidRPr="00FA0D37">
        <w:t xml:space="preserve">, </w:t>
      </w:r>
      <w:r w:rsidRPr="00FA0D37">
        <w:rPr>
          <w:color w:val="808080"/>
        </w:rPr>
        <w:t>-- Need M</w:t>
      </w:r>
    </w:p>
    <w:p w14:paraId="1F2D4F24" w14:textId="77777777" w:rsidR="00394471" w:rsidRPr="00FA0D37" w:rsidRDefault="00394471" w:rsidP="00FA0D37">
      <w:pPr>
        <w:pStyle w:val="PL"/>
        <w:rPr>
          <w:color w:val="808080"/>
        </w:rPr>
      </w:pPr>
      <w:r w:rsidRPr="00FA0D37">
        <w:t xml:space="preserve">    p0-AlphaSets                        </w:t>
      </w:r>
      <w:r w:rsidRPr="00FA0D37">
        <w:rPr>
          <w:color w:val="993366"/>
        </w:rPr>
        <w:t>SEQUENCE</w:t>
      </w:r>
      <w:r w:rsidRPr="00FA0D37">
        <w:t xml:space="preserve"> (</w:t>
      </w:r>
      <w:r w:rsidRPr="00FA0D37">
        <w:rPr>
          <w:color w:val="993366"/>
        </w:rPr>
        <w:t>SIZE</w:t>
      </w:r>
      <w:r w:rsidRPr="00FA0D37">
        <w:t xml:space="preserve"> (1..maxNrofP0-PUSCH-AlphaSets))</w:t>
      </w:r>
      <w:r w:rsidRPr="00FA0D37">
        <w:rPr>
          <w:color w:val="993366"/>
        </w:rPr>
        <w:t xml:space="preserve"> OF</w:t>
      </w:r>
      <w:r w:rsidRPr="00FA0D37">
        <w:t xml:space="preserve"> P0-PUSCH-AlphaSet     </w:t>
      </w:r>
      <w:r w:rsidRPr="00FA0D37">
        <w:rPr>
          <w:color w:val="993366"/>
        </w:rPr>
        <w:t>OPTIONAL</w:t>
      </w:r>
      <w:r w:rsidRPr="00FA0D37">
        <w:t xml:space="preserve">, </w:t>
      </w:r>
      <w:r w:rsidRPr="00FA0D37">
        <w:rPr>
          <w:color w:val="808080"/>
        </w:rPr>
        <w:t>-- Need M</w:t>
      </w:r>
    </w:p>
    <w:p w14:paraId="2841D140" w14:textId="77777777" w:rsidR="00394471" w:rsidRPr="00FA0D37" w:rsidRDefault="00394471" w:rsidP="00FA0D37">
      <w:pPr>
        <w:pStyle w:val="PL"/>
      </w:pPr>
      <w:r w:rsidRPr="00FA0D37">
        <w:t xml:space="preserve">    pathlossReferenceRSToAddModList     </w:t>
      </w:r>
      <w:r w:rsidRPr="00FA0D37">
        <w:rPr>
          <w:color w:val="993366"/>
        </w:rPr>
        <w:t>SEQUENCE</w:t>
      </w:r>
      <w:r w:rsidRPr="00FA0D37">
        <w:t xml:space="preserve"> (</w:t>
      </w:r>
      <w:r w:rsidRPr="00FA0D37">
        <w:rPr>
          <w:color w:val="993366"/>
        </w:rPr>
        <w:t>SIZE</w:t>
      </w:r>
      <w:r w:rsidRPr="00FA0D37">
        <w:t xml:space="preserve"> (1..maxNrofPUSCH-PathlossReferenceRSs))</w:t>
      </w:r>
      <w:r w:rsidRPr="00FA0D37">
        <w:rPr>
          <w:color w:val="993366"/>
        </w:rPr>
        <w:t xml:space="preserve"> OF</w:t>
      </w:r>
      <w:r w:rsidRPr="00FA0D37">
        <w:t xml:space="preserve"> PUSCH-PathlossReferenceRS</w:t>
      </w:r>
    </w:p>
    <w:p w14:paraId="00054E6F"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669EA50E" w14:textId="77777777" w:rsidR="00394471" w:rsidRPr="00FA0D37" w:rsidRDefault="00394471" w:rsidP="00FA0D37">
      <w:pPr>
        <w:pStyle w:val="PL"/>
      </w:pPr>
      <w:r w:rsidRPr="00FA0D37">
        <w:t xml:space="preserve">    pathlossReferenceRSToReleaseList    </w:t>
      </w:r>
      <w:r w:rsidRPr="00FA0D37">
        <w:rPr>
          <w:color w:val="993366"/>
        </w:rPr>
        <w:t>SEQUENCE</w:t>
      </w:r>
      <w:r w:rsidRPr="00FA0D37">
        <w:t xml:space="preserve"> (</w:t>
      </w:r>
      <w:r w:rsidRPr="00FA0D37">
        <w:rPr>
          <w:color w:val="993366"/>
        </w:rPr>
        <w:t>SIZE</w:t>
      </w:r>
      <w:r w:rsidRPr="00FA0D37">
        <w:t xml:space="preserve"> (1..maxNrofPUSCH-PathlossReferenceRSs))</w:t>
      </w:r>
      <w:r w:rsidRPr="00FA0D37">
        <w:rPr>
          <w:color w:val="993366"/>
        </w:rPr>
        <w:t xml:space="preserve"> OF</w:t>
      </w:r>
      <w:r w:rsidRPr="00FA0D37">
        <w:t xml:space="preserve"> PUSCH-PathlossReferenceRS-Id</w:t>
      </w:r>
    </w:p>
    <w:p w14:paraId="6F2EF4C8"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77719D88" w14:textId="77777777" w:rsidR="00394471" w:rsidRPr="00FA0D37" w:rsidRDefault="00394471" w:rsidP="00FA0D37">
      <w:pPr>
        <w:pStyle w:val="PL"/>
        <w:rPr>
          <w:color w:val="808080"/>
        </w:rPr>
      </w:pPr>
      <w:r w:rsidRPr="00FA0D37">
        <w:t xml:space="preserve">    twoPUSCH-PC-AdjustmentStates        </w:t>
      </w:r>
      <w:r w:rsidRPr="00FA0D37">
        <w:rPr>
          <w:color w:val="993366"/>
        </w:rPr>
        <w:t>ENUMERATED</w:t>
      </w:r>
      <w:r w:rsidRPr="00FA0D37">
        <w:t xml:space="preserve"> {twoStates}                                                  </w:t>
      </w:r>
      <w:r w:rsidRPr="00FA0D37">
        <w:rPr>
          <w:color w:val="993366"/>
        </w:rPr>
        <w:t>OPTIONAL</w:t>
      </w:r>
      <w:r w:rsidRPr="00FA0D37">
        <w:t xml:space="preserve">, </w:t>
      </w:r>
      <w:r w:rsidRPr="00FA0D37">
        <w:rPr>
          <w:color w:val="808080"/>
        </w:rPr>
        <w:t>-- Need S</w:t>
      </w:r>
    </w:p>
    <w:p w14:paraId="5CB5546E" w14:textId="77777777" w:rsidR="00394471" w:rsidRPr="00FA0D37" w:rsidRDefault="00394471" w:rsidP="00FA0D37">
      <w:pPr>
        <w:pStyle w:val="PL"/>
        <w:rPr>
          <w:color w:val="808080"/>
        </w:rPr>
      </w:pPr>
      <w:r w:rsidRPr="00FA0D37">
        <w:t xml:space="preserve">    deltaMCS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3374DAB3" w14:textId="77777777" w:rsidR="00394471" w:rsidRPr="00FA0D37" w:rsidRDefault="00394471" w:rsidP="00FA0D37">
      <w:pPr>
        <w:pStyle w:val="PL"/>
      </w:pPr>
      <w:r w:rsidRPr="00FA0D37">
        <w:t xml:space="preserve">    sri-PUSCH-MappingToAddModList       </w:t>
      </w:r>
      <w:r w:rsidRPr="00FA0D37">
        <w:rPr>
          <w:color w:val="993366"/>
        </w:rPr>
        <w:t>SEQUENCE</w:t>
      </w:r>
      <w:r w:rsidRPr="00FA0D37">
        <w:t xml:space="preserve"> (</w:t>
      </w:r>
      <w:r w:rsidRPr="00FA0D37">
        <w:rPr>
          <w:color w:val="993366"/>
        </w:rPr>
        <w:t>SIZE</w:t>
      </w:r>
      <w:r w:rsidRPr="00FA0D37">
        <w:t xml:space="preserve"> (1..maxNrofSRI-PUSCH-Mappings))</w:t>
      </w:r>
      <w:r w:rsidRPr="00FA0D37">
        <w:rPr>
          <w:color w:val="993366"/>
        </w:rPr>
        <w:t xml:space="preserve"> OF</w:t>
      </w:r>
      <w:r w:rsidRPr="00FA0D37">
        <w:t xml:space="preserve"> SRI-PUSCH-PowerControl</w:t>
      </w:r>
    </w:p>
    <w:p w14:paraId="24F6DD98"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2D9FDE85" w14:textId="77777777" w:rsidR="00394471" w:rsidRPr="00FA0D37" w:rsidRDefault="00394471" w:rsidP="00FA0D37">
      <w:pPr>
        <w:pStyle w:val="PL"/>
      </w:pPr>
      <w:r w:rsidRPr="00FA0D37">
        <w:t xml:space="preserve">    sri-PUSCH-MappingToReleaseList      </w:t>
      </w:r>
      <w:r w:rsidRPr="00FA0D37">
        <w:rPr>
          <w:color w:val="993366"/>
        </w:rPr>
        <w:t>SEQUENCE</w:t>
      </w:r>
      <w:r w:rsidRPr="00FA0D37">
        <w:t xml:space="preserve"> (</w:t>
      </w:r>
      <w:r w:rsidRPr="00FA0D37">
        <w:rPr>
          <w:color w:val="993366"/>
        </w:rPr>
        <w:t>SIZE</w:t>
      </w:r>
      <w:r w:rsidRPr="00FA0D37">
        <w:t xml:space="preserve"> (1..maxNrofSRI-PUSCH-Mappings))</w:t>
      </w:r>
      <w:r w:rsidRPr="00FA0D37">
        <w:rPr>
          <w:color w:val="993366"/>
        </w:rPr>
        <w:t xml:space="preserve"> OF</w:t>
      </w:r>
      <w:r w:rsidRPr="00FA0D37">
        <w:t xml:space="preserve"> SRI-PUSCH-PowerControlId</w:t>
      </w:r>
    </w:p>
    <w:p w14:paraId="69286709"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4E05B27D" w14:textId="77777777" w:rsidR="00394471" w:rsidRPr="00FA0D37" w:rsidRDefault="00394471" w:rsidP="00FA0D37">
      <w:pPr>
        <w:pStyle w:val="PL"/>
      </w:pPr>
      <w:r w:rsidRPr="00FA0D37">
        <w:t>}</w:t>
      </w:r>
    </w:p>
    <w:p w14:paraId="4B9D46AB" w14:textId="77777777" w:rsidR="00394471" w:rsidRPr="00FA0D37" w:rsidRDefault="00394471" w:rsidP="00FA0D37">
      <w:pPr>
        <w:pStyle w:val="PL"/>
      </w:pPr>
    </w:p>
    <w:p w14:paraId="6BACDF1E" w14:textId="77777777" w:rsidR="00394471" w:rsidRPr="00FA0D37" w:rsidRDefault="00394471" w:rsidP="00FA0D37">
      <w:pPr>
        <w:pStyle w:val="PL"/>
      </w:pPr>
      <w:r w:rsidRPr="00FA0D37">
        <w:t xml:space="preserve">P0-PUSCH-AlphaSet ::=               </w:t>
      </w:r>
      <w:r w:rsidRPr="00FA0D37">
        <w:rPr>
          <w:color w:val="993366"/>
        </w:rPr>
        <w:t>SEQUENCE</w:t>
      </w:r>
      <w:r w:rsidRPr="00FA0D37">
        <w:t xml:space="preserve"> {</w:t>
      </w:r>
    </w:p>
    <w:p w14:paraId="61F8694C" w14:textId="77777777" w:rsidR="00394471" w:rsidRPr="00FA0D37" w:rsidRDefault="00394471" w:rsidP="00FA0D37">
      <w:pPr>
        <w:pStyle w:val="PL"/>
      </w:pPr>
      <w:r w:rsidRPr="00FA0D37">
        <w:t xml:space="preserve">    p0-PUSCH-AlphaSetId                 P0-PUSCH-AlphaSetId,</w:t>
      </w:r>
    </w:p>
    <w:p w14:paraId="11EC7BED" w14:textId="77777777" w:rsidR="00394471" w:rsidRPr="00FA0D37" w:rsidRDefault="00394471" w:rsidP="00FA0D37">
      <w:pPr>
        <w:pStyle w:val="PL"/>
        <w:rPr>
          <w:color w:val="808080"/>
        </w:rPr>
      </w:pPr>
      <w:r w:rsidRPr="00FA0D37">
        <w:t xml:space="preserve">    p0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S</w:t>
      </w:r>
    </w:p>
    <w:p w14:paraId="385AFB7B" w14:textId="77777777" w:rsidR="00394471" w:rsidRPr="00FA0D37" w:rsidRDefault="00394471" w:rsidP="00FA0D37">
      <w:pPr>
        <w:pStyle w:val="PL"/>
        <w:rPr>
          <w:color w:val="808080"/>
        </w:rPr>
      </w:pPr>
      <w:r w:rsidRPr="00FA0D37">
        <w:t xml:space="preserve">    alpha                               Alpha                                                                   </w:t>
      </w:r>
      <w:r w:rsidRPr="00FA0D37">
        <w:rPr>
          <w:color w:val="993366"/>
        </w:rPr>
        <w:t>OPTIONAL</w:t>
      </w:r>
      <w:r w:rsidRPr="00FA0D37">
        <w:t xml:space="preserve">  </w:t>
      </w:r>
      <w:r w:rsidRPr="00FA0D37">
        <w:rPr>
          <w:color w:val="808080"/>
        </w:rPr>
        <w:t>-- Need S</w:t>
      </w:r>
    </w:p>
    <w:p w14:paraId="156E62FF" w14:textId="77777777" w:rsidR="00394471" w:rsidRPr="00FA0D37" w:rsidRDefault="00394471" w:rsidP="00FA0D37">
      <w:pPr>
        <w:pStyle w:val="PL"/>
      </w:pPr>
      <w:r w:rsidRPr="00FA0D37">
        <w:t>}</w:t>
      </w:r>
    </w:p>
    <w:p w14:paraId="46D884C9" w14:textId="77777777" w:rsidR="00394471" w:rsidRPr="00FA0D37" w:rsidRDefault="00394471" w:rsidP="00FA0D37">
      <w:pPr>
        <w:pStyle w:val="PL"/>
      </w:pPr>
    </w:p>
    <w:p w14:paraId="7B6AFD0A" w14:textId="77777777" w:rsidR="00394471" w:rsidRPr="00FA0D37" w:rsidRDefault="00394471" w:rsidP="00FA0D37">
      <w:pPr>
        <w:pStyle w:val="PL"/>
      </w:pPr>
      <w:r w:rsidRPr="00FA0D37">
        <w:t xml:space="preserve">P0-PUSCH-AlphaSetId ::=             </w:t>
      </w:r>
      <w:r w:rsidRPr="00FA0D37">
        <w:rPr>
          <w:color w:val="993366"/>
        </w:rPr>
        <w:t>INTEGER</w:t>
      </w:r>
      <w:r w:rsidRPr="00FA0D37">
        <w:t xml:space="preserve"> (0..maxNrofP0-PUSCH-AlphaSets-1)</w:t>
      </w:r>
    </w:p>
    <w:p w14:paraId="527A69A9" w14:textId="77777777" w:rsidR="00394471" w:rsidRPr="00FA0D37" w:rsidRDefault="00394471" w:rsidP="00FA0D37">
      <w:pPr>
        <w:pStyle w:val="PL"/>
      </w:pPr>
    </w:p>
    <w:p w14:paraId="3D344A24" w14:textId="77777777" w:rsidR="00394471" w:rsidRPr="00FA0D37" w:rsidRDefault="00394471" w:rsidP="00FA0D37">
      <w:pPr>
        <w:pStyle w:val="PL"/>
      </w:pPr>
      <w:r w:rsidRPr="00FA0D37">
        <w:t xml:space="preserve">PUSCH-PathlossReferenceRS ::=       </w:t>
      </w:r>
      <w:r w:rsidRPr="00FA0D37">
        <w:rPr>
          <w:color w:val="993366"/>
        </w:rPr>
        <w:t>SEQUENCE</w:t>
      </w:r>
      <w:r w:rsidRPr="00FA0D37">
        <w:t xml:space="preserve"> {</w:t>
      </w:r>
    </w:p>
    <w:p w14:paraId="1A0D2770" w14:textId="77777777" w:rsidR="00394471" w:rsidRPr="00FA0D37" w:rsidRDefault="00394471" w:rsidP="00FA0D37">
      <w:pPr>
        <w:pStyle w:val="PL"/>
      </w:pPr>
      <w:r w:rsidRPr="00FA0D37">
        <w:t xml:space="preserve">    pusch-PathlossReferenceRS-Id        PUSCH-PathlossReferenceRS-Id,</w:t>
      </w:r>
    </w:p>
    <w:p w14:paraId="05AEBDCC" w14:textId="77777777" w:rsidR="00394471" w:rsidRPr="00FA0D37" w:rsidRDefault="00394471" w:rsidP="00FA0D37">
      <w:pPr>
        <w:pStyle w:val="PL"/>
      </w:pPr>
      <w:r w:rsidRPr="00FA0D37">
        <w:t xml:space="preserve">    referenceSignal                     </w:t>
      </w:r>
      <w:r w:rsidRPr="00FA0D37">
        <w:rPr>
          <w:color w:val="993366"/>
        </w:rPr>
        <w:t>CHOICE</w:t>
      </w:r>
      <w:r w:rsidRPr="00FA0D37">
        <w:t xml:space="preserve"> {</w:t>
      </w:r>
    </w:p>
    <w:p w14:paraId="1BB3E0E0" w14:textId="77777777" w:rsidR="00394471" w:rsidRPr="00FA0D37" w:rsidRDefault="00394471" w:rsidP="00FA0D37">
      <w:pPr>
        <w:pStyle w:val="PL"/>
      </w:pPr>
      <w:r w:rsidRPr="00FA0D37">
        <w:lastRenderedPageBreak/>
        <w:t xml:space="preserve">        ssb-Index                           SSB-Index,</w:t>
      </w:r>
    </w:p>
    <w:p w14:paraId="5EC6B9D4" w14:textId="77777777" w:rsidR="00394471" w:rsidRPr="00FA0D37" w:rsidRDefault="00394471" w:rsidP="00FA0D37">
      <w:pPr>
        <w:pStyle w:val="PL"/>
      </w:pPr>
      <w:r w:rsidRPr="00FA0D37">
        <w:t xml:space="preserve">        csi-RS-Index                        NZP-CSI-RS-ResourceId</w:t>
      </w:r>
    </w:p>
    <w:p w14:paraId="08D3ECA9" w14:textId="77777777" w:rsidR="00394471" w:rsidRPr="00FA0D37" w:rsidRDefault="00394471" w:rsidP="00FA0D37">
      <w:pPr>
        <w:pStyle w:val="PL"/>
      </w:pPr>
      <w:r w:rsidRPr="00FA0D37">
        <w:t xml:space="preserve">    }</w:t>
      </w:r>
    </w:p>
    <w:p w14:paraId="452ABF6C" w14:textId="77777777" w:rsidR="00394471" w:rsidRPr="00FA0D37" w:rsidRDefault="00394471" w:rsidP="00FA0D37">
      <w:pPr>
        <w:pStyle w:val="PL"/>
      </w:pPr>
      <w:r w:rsidRPr="00FA0D37">
        <w:t>}</w:t>
      </w:r>
    </w:p>
    <w:p w14:paraId="13FE7CA3" w14:textId="77777777" w:rsidR="00394471" w:rsidRPr="00FA0D37" w:rsidRDefault="00394471" w:rsidP="00FA0D37">
      <w:pPr>
        <w:pStyle w:val="PL"/>
      </w:pPr>
    </w:p>
    <w:p w14:paraId="250029FF" w14:textId="77777777" w:rsidR="00394471" w:rsidRPr="00FA0D37" w:rsidRDefault="00394471" w:rsidP="00FA0D37">
      <w:pPr>
        <w:pStyle w:val="PL"/>
      </w:pPr>
      <w:r w:rsidRPr="00FA0D37">
        <w:t xml:space="preserve">PUSCH-PathlossReferenceRS-r16 ::=   </w:t>
      </w:r>
      <w:r w:rsidRPr="00FA0D37">
        <w:rPr>
          <w:color w:val="993366"/>
        </w:rPr>
        <w:t>SEQUENCE</w:t>
      </w:r>
      <w:r w:rsidRPr="00FA0D37">
        <w:t xml:space="preserve"> {</w:t>
      </w:r>
    </w:p>
    <w:p w14:paraId="1257D8A2" w14:textId="77777777" w:rsidR="00394471" w:rsidRPr="00FA0D37" w:rsidRDefault="00394471" w:rsidP="00FA0D37">
      <w:pPr>
        <w:pStyle w:val="PL"/>
      </w:pPr>
      <w:r w:rsidRPr="00FA0D37">
        <w:t xml:space="preserve">    pusch-PathlossReferenceRS-Id-r16    PUSCH-PathlossReferenceRS-Id-v1610,</w:t>
      </w:r>
    </w:p>
    <w:p w14:paraId="4F1E6CC8" w14:textId="77777777" w:rsidR="00394471" w:rsidRPr="00FA0D37" w:rsidRDefault="00394471" w:rsidP="00FA0D37">
      <w:pPr>
        <w:pStyle w:val="PL"/>
      </w:pPr>
      <w:r w:rsidRPr="00FA0D37">
        <w:t xml:space="preserve">    referenceSignal-r16                 </w:t>
      </w:r>
      <w:r w:rsidRPr="00FA0D37">
        <w:rPr>
          <w:color w:val="993366"/>
        </w:rPr>
        <w:t>CHOICE</w:t>
      </w:r>
      <w:r w:rsidRPr="00FA0D37">
        <w:t xml:space="preserve"> {</w:t>
      </w:r>
    </w:p>
    <w:p w14:paraId="5D401BC2" w14:textId="77777777" w:rsidR="00394471" w:rsidRPr="00FA0D37" w:rsidRDefault="00394471" w:rsidP="00FA0D37">
      <w:pPr>
        <w:pStyle w:val="PL"/>
      </w:pPr>
      <w:r w:rsidRPr="00FA0D37">
        <w:t xml:space="preserve">        ssb-Index-r16                       SSB-Index,</w:t>
      </w:r>
    </w:p>
    <w:p w14:paraId="7F75B8EA" w14:textId="77777777" w:rsidR="00394471" w:rsidRPr="00FA0D37" w:rsidRDefault="00394471" w:rsidP="00FA0D37">
      <w:pPr>
        <w:pStyle w:val="PL"/>
      </w:pPr>
      <w:r w:rsidRPr="00FA0D37">
        <w:t xml:space="preserve">        csi-RS-Index-r16                    NZP-CSI-RS-ResourceId</w:t>
      </w:r>
    </w:p>
    <w:p w14:paraId="6243E83C" w14:textId="77777777" w:rsidR="00394471" w:rsidRPr="00FA0D37" w:rsidRDefault="00394471" w:rsidP="00FA0D37">
      <w:pPr>
        <w:pStyle w:val="PL"/>
      </w:pPr>
      <w:r w:rsidRPr="00FA0D37">
        <w:t xml:space="preserve">    }</w:t>
      </w:r>
    </w:p>
    <w:p w14:paraId="6231301E" w14:textId="77777777" w:rsidR="00394471" w:rsidRPr="00FA0D37" w:rsidRDefault="00394471" w:rsidP="00FA0D37">
      <w:pPr>
        <w:pStyle w:val="PL"/>
      </w:pPr>
      <w:r w:rsidRPr="00FA0D37">
        <w:t>}</w:t>
      </w:r>
    </w:p>
    <w:p w14:paraId="4D97EFEC" w14:textId="77777777" w:rsidR="00770F46" w:rsidRPr="00FA0D37" w:rsidRDefault="00770F46" w:rsidP="00FA0D37">
      <w:pPr>
        <w:pStyle w:val="PL"/>
      </w:pPr>
    </w:p>
    <w:p w14:paraId="58DC11EA" w14:textId="7082BF3B" w:rsidR="00770F46" w:rsidRPr="00FA0D37" w:rsidRDefault="00167A48" w:rsidP="00FA0D37">
      <w:pPr>
        <w:pStyle w:val="PL"/>
      </w:pPr>
      <w:r w:rsidRPr="00FA0D37">
        <w:t>DummyPathlossReferenceRS-v1710</w:t>
      </w:r>
      <w:r w:rsidR="00770F46" w:rsidRPr="00FA0D37">
        <w:t xml:space="preserve"> ::= </w:t>
      </w:r>
      <w:r w:rsidR="00770F46" w:rsidRPr="00FA0D37">
        <w:rPr>
          <w:color w:val="993366"/>
        </w:rPr>
        <w:t>SEQUENCE</w:t>
      </w:r>
      <w:r w:rsidR="00770F46" w:rsidRPr="00FA0D37">
        <w:t xml:space="preserve"> {</w:t>
      </w:r>
    </w:p>
    <w:p w14:paraId="0DA82E67" w14:textId="77777777" w:rsidR="00770F46" w:rsidRPr="00FA0D37" w:rsidRDefault="00770F46" w:rsidP="00FA0D37">
      <w:pPr>
        <w:pStyle w:val="PL"/>
      </w:pPr>
      <w:r w:rsidRPr="00FA0D37">
        <w:t xml:space="preserve">    pusch-PathlossReferenceRS-Id-r17    PUSCH-PathlossReferenceRS-Id-r17,</w:t>
      </w:r>
    </w:p>
    <w:p w14:paraId="0808EA95" w14:textId="2DAEBA91" w:rsidR="00770F46" w:rsidRPr="00FA0D37" w:rsidRDefault="00770F46" w:rsidP="00FA0D37">
      <w:pPr>
        <w:pStyle w:val="PL"/>
        <w:rPr>
          <w:color w:val="808080"/>
        </w:rPr>
      </w:pPr>
      <w:r w:rsidRPr="00FA0D37">
        <w:t xml:space="preserve">    </w:t>
      </w:r>
      <w:r w:rsidRPr="00FA0D37">
        <w:rPr>
          <w:rFonts w:eastAsiaTheme="minorEastAsia"/>
        </w:rPr>
        <w:t>additionalPCI-r17</w:t>
      </w:r>
      <w:r w:rsidRPr="00FA0D37">
        <w:t xml:space="preserve">                   AdditionalPCIIndex-r17                                         </w:t>
      </w:r>
      <w:r w:rsidRPr="00FA0D37">
        <w:rPr>
          <w:color w:val="993366"/>
        </w:rPr>
        <w:t>OPTIONAL</w:t>
      </w:r>
      <w:r w:rsidRPr="00FA0D37">
        <w:t xml:space="preserve">  </w:t>
      </w:r>
      <w:r w:rsidRPr="00FA0D37">
        <w:rPr>
          <w:color w:val="808080"/>
        </w:rPr>
        <w:t>-- Need R</w:t>
      </w:r>
    </w:p>
    <w:p w14:paraId="21AC87E0" w14:textId="77777777" w:rsidR="00770F46" w:rsidRPr="00FA0D37" w:rsidRDefault="00770F46" w:rsidP="00FA0D37">
      <w:pPr>
        <w:pStyle w:val="PL"/>
      </w:pPr>
      <w:r w:rsidRPr="00FA0D37">
        <w:t>}</w:t>
      </w:r>
    </w:p>
    <w:p w14:paraId="140FE570" w14:textId="77777777" w:rsidR="00394471" w:rsidRPr="00FA0D37" w:rsidRDefault="00394471" w:rsidP="00FA0D37">
      <w:pPr>
        <w:pStyle w:val="PL"/>
      </w:pPr>
    </w:p>
    <w:p w14:paraId="40E1BACD" w14:textId="77777777" w:rsidR="00394471" w:rsidRPr="00FA0D37" w:rsidRDefault="00394471" w:rsidP="00FA0D37">
      <w:pPr>
        <w:pStyle w:val="PL"/>
      </w:pPr>
      <w:r w:rsidRPr="00FA0D37">
        <w:t xml:space="preserve">PUSCH-PathlossReferenceRS-Id ::=    </w:t>
      </w:r>
      <w:r w:rsidRPr="00FA0D37">
        <w:rPr>
          <w:color w:val="993366"/>
        </w:rPr>
        <w:t>INTEGER</w:t>
      </w:r>
      <w:r w:rsidRPr="00FA0D37">
        <w:t xml:space="preserve"> (0..maxNrofPUSCH-PathlossReferenceRSs-1)</w:t>
      </w:r>
    </w:p>
    <w:p w14:paraId="2EC81E65" w14:textId="77777777" w:rsidR="00394471" w:rsidRPr="00FA0D37" w:rsidRDefault="00394471" w:rsidP="00FA0D37">
      <w:pPr>
        <w:pStyle w:val="PL"/>
      </w:pPr>
    </w:p>
    <w:p w14:paraId="4E42CCF3" w14:textId="77777777" w:rsidR="00394471" w:rsidRPr="00FA0D37" w:rsidRDefault="00394471" w:rsidP="00FA0D37">
      <w:pPr>
        <w:pStyle w:val="PL"/>
      </w:pPr>
      <w:r w:rsidRPr="00FA0D37">
        <w:t xml:space="preserve">PUSCH-PathlossReferenceRS-Id-v1610 ::= </w:t>
      </w:r>
      <w:r w:rsidRPr="00FA0D37">
        <w:rPr>
          <w:color w:val="993366"/>
        </w:rPr>
        <w:t>INTEGER</w:t>
      </w:r>
      <w:r w:rsidRPr="00FA0D37">
        <w:t xml:space="preserve"> (maxNrofPUSCH-PathlossReferenceRSs..maxNrofPUSCH-PathlossReferenceRSs-1-r16)</w:t>
      </w:r>
    </w:p>
    <w:p w14:paraId="73BD7252" w14:textId="0257C28F" w:rsidR="00394471" w:rsidRPr="00FA0D37" w:rsidRDefault="00394471" w:rsidP="00FA0D37">
      <w:pPr>
        <w:pStyle w:val="PL"/>
      </w:pPr>
    </w:p>
    <w:p w14:paraId="39EC83C0" w14:textId="61C107E8" w:rsidR="00770F46" w:rsidRPr="00FA0D37" w:rsidRDefault="00770F46" w:rsidP="00FA0D37">
      <w:pPr>
        <w:pStyle w:val="PL"/>
      </w:pPr>
      <w:r w:rsidRPr="00FA0D37">
        <w:t xml:space="preserve">PUSCH-PathlossReferenceRS-Id-r17 ::= </w:t>
      </w:r>
      <w:r w:rsidRPr="00FA0D37">
        <w:rPr>
          <w:color w:val="993366"/>
        </w:rPr>
        <w:t>INTEGER</w:t>
      </w:r>
      <w:r w:rsidRPr="00FA0D37">
        <w:t xml:space="preserve"> (0..maxNrofPUSCH-PathlossReferenceRSs-1-r16)</w:t>
      </w:r>
    </w:p>
    <w:p w14:paraId="7BCF9042" w14:textId="77777777" w:rsidR="00770F46" w:rsidRPr="00FA0D37" w:rsidRDefault="00770F46" w:rsidP="00FA0D37">
      <w:pPr>
        <w:pStyle w:val="PL"/>
      </w:pPr>
    </w:p>
    <w:p w14:paraId="45D7B125" w14:textId="77777777" w:rsidR="00394471" w:rsidRPr="00FA0D37" w:rsidRDefault="00394471" w:rsidP="00FA0D37">
      <w:pPr>
        <w:pStyle w:val="PL"/>
      </w:pPr>
      <w:r w:rsidRPr="00FA0D37">
        <w:t xml:space="preserve">SRI-PUSCH-PowerControl ::=          </w:t>
      </w:r>
      <w:r w:rsidRPr="00FA0D37">
        <w:rPr>
          <w:color w:val="993366"/>
        </w:rPr>
        <w:t>SEQUENCE</w:t>
      </w:r>
      <w:r w:rsidRPr="00FA0D37">
        <w:t xml:space="preserve"> {</w:t>
      </w:r>
    </w:p>
    <w:p w14:paraId="7EB3ADEE" w14:textId="77777777" w:rsidR="00394471" w:rsidRPr="00FA0D37" w:rsidRDefault="00394471" w:rsidP="00FA0D37">
      <w:pPr>
        <w:pStyle w:val="PL"/>
      </w:pPr>
      <w:r w:rsidRPr="00FA0D37">
        <w:t xml:space="preserve">    sri-PUSCH-PowerControlId            SRI-PUSCH-PowerControlId,</w:t>
      </w:r>
    </w:p>
    <w:p w14:paraId="4E248D54" w14:textId="77777777" w:rsidR="00394471" w:rsidRPr="00FA0D37" w:rsidRDefault="00394471" w:rsidP="00FA0D37">
      <w:pPr>
        <w:pStyle w:val="PL"/>
      </w:pPr>
      <w:r w:rsidRPr="00FA0D37">
        <w:t xml:space="preserve">    sri-PUSCH-PathlossReferenceRS-Id    PUSCH-PathlossReferenceRS-Id,</w:t>
      </w:r>
    </w:p>
    <w:p w14:paraId="6B4EB1BF" w14:textId="77777777" w:rsidR="00394471" w:rsidRPr="00FA0D37" w:rsidRDefault="00394471" w:rsidP="00FA0D37">
      <w:pPr>
        <w:pStyle w:val="PL"/>
      </w:pPr>
      <w:r w:rsidRPr="00FA0D37">
        <w:t xml:space="preserve">    sri-P0-PUSCH-AlphaSetId             P0-PUSCH-AlphaSetId,</w:t>
      </w:r>
    </w:p>
    <w:p w14:paraId="4505CB3F" w14:textId="77777777" w:rsidR="00394471" w:rsidRPr="00FA0D37" w:rsidRDefault="00394471" w:rsidP="00FA0D37">
      <w:pPr>
        <w:pStyle w:val="PL"/>
      </w:pPr>
      <w:r w:rsidRPr="00FA0D37">
        <w:t xml:space="preserve">    sri-PUSCH-ClosedLoopIndex           </w:t>
      </w:r>
      <w:r w:rsidRPr="00FA0D37">
        <w:rPr>
          <w:color w:val="993366"/>
        </w:rPr>
        <w:t>ENUMERATED</w:t>
      </w:r>
      <w:r w:rsidRPr="00FA0D37">
        <w:t xml:space="preserve"> { i0, i1 }</w:t>
      </w:r>
    </w:p>
    <w:p w14:paraId="0A53083B" w14:textId="77777777" w:rsidR="00394471" w:rsidRPr="00FA0D37" w:rsidRDefault="00394471" w:rsidP="00FA0D37">
      <w:pPr>
        <w:pStyle w:val="PL"/>
      </w:pPr>
      <w:r w:rsidRPr="00FA0D37">
        <w:t>}</w:t>
      </w:r>
    </w:p>
    <w:p w14:paraId="2E6F78D4" w14:textId="77777777" w:rsidR="00394471" w:rsidRPr="00FA0D37" w:rsidRDefault="00394471" w:rsidP="00FA0D37">
      <w:pPr>
        <w:pStyle w:val="PL"/>
      </w:pPr>
    </w:p>
    <w:p w14:paraId="057B3C1B" w14:textId="77777777" w:rsidR="00394471" w:rsidRPr="00FA0D37" w:rsidRDefault="00394471" w:rsidP="00FA0D37">
      <w:pPr>
        <w:pStyle w:val="PL"/>
      </w:pPr>
      <w:r w:rsidRPr="00FA0D37">
        <w:t xml:space="preserve">SRI-PUSCH-PowerControlId ::=        </w:t>
      </w:r>
      <w:r w:rsidRPr="00FA0D37">
        <w:rPr>
          <w:color w:val="993366"/>
        </w:rPr>
        <w:t>INTEGER</w:t>
      </w:r>
      <w:r w:rsidRPr="00FA0D37">
        <w:t xml:space="preserve"> (0..maxNrofSRI-PUSCH-Mappings-1)</w:t>
      </w:r>
    </w:p>
    <w:p w14:paraId="63BD782D" w14:textId="77777777" w:rsidR="00394471" w:rsidRPr="00FA0D37" w:rsidRDefault="00394471" w:rsidP="00FA0D37">
      <w:pPr>
        <w:pStyle w:val="PL"/>
      </w:pPr>
    </w:p>
    <w:p w14:paraId="76B8422B" w14:textId="77777777" w:rsidR="00394471" w:rsidRPr="00FA0D37" w:rsidRDefault="00394471" w:rsidP="00FA0D37">
      <w:pPr>
        <w:pStyle w:val="PL"/>
      </w:pPr>
      <w:r w:rsidRPr="00FA0D37">
        <w:t xml:space="preserve">PUSCH-PowerControl-v1610 ::=        </w:t>
      </w:r>
      <w:r w:rsidRPr="00FA0D37">
        <w:rPr>
          <w:color w:val="993366"/>
        </w:rPr>
        <w:t>SEQUENCE</w:t>
      </w:r>
      <w:r w:rsidRPr="00FA0D37">
        <w:t xml:space="preserve"> {</w:t>
      </w:r>
    </w:p>
    <w:p w14:paraId="15CF5413" w14:textId="4963DE11" w:rsidR="00394471" w:rsidRPr="00FA0D37" w:rsidRDefault="00394471" w:rsidP="00FA0D37">
      <w:pPr>
        <w:pStyle w:val="PL"/>
      </w:pPr>
      <w:r w:rsidRPr="00FA0D37">
        <w:t xml:space="preserve">    pathlossReferenceRSToAddModList</w:t>
      </w:r>
      <w:r w:rsidR="00C5556C" w:rsidRPr="00FA0D37">
        <w:t>SizeExt</w:t>
      </w:r>
      <w:r w:rsidRPr="00FA0D37">
        <w:t>-</w:t>
      </w:r>
      <w:r w:rsidR="00C5556C" w:rsidRPr="00FA0D37">
        <w:t>v1610</w:t>
      </w:r>
      <w:r w:rsidRPr="00FA0D37">
        <w:t xml:space="preserve">   </w:t>
      </w:r>
      <w:r w:rsidRPr="00FA0D37">
        <w:rPr>
          <w:color w:val="993366"/>
        </w:rPr>
        <w:t>SEQUENCE</w:t>
      </w:r>
      <w:r w:rsidRPr="00FA0D37">
        <w:t xml:space="preserve"> (</w:t>
      </w:r>
      <w:r w:rsidRPr="00FA0D37">
        <w:rPr>
          <w:color w:val="993366"/>
        </w:rPr>
        <w:t>SIZE</w:t>
      </w:r>
      <w:r w:rsidRPr="00FA0D37">
        <w:t xml:space="preserve"> (1..maxNrofPUSCH-PathlossReferenceRSsDiff-r16))</w:t>
      </w:r>
      <w:r w:rsidRPr="00FA0D37">
        <w:rPr>
          <w:color w:val="993366"/>
        </w:rPr>
        <w:t xml:space="preserve"> OF</w:t>
      </w:r>
      <w:r w:rsidRPr="00FA0D37">
        <w:t xml:space="preserve"> PUSCH-PathlossReferenceRS-r16</w:t>
      </w:r>
    </w:p>
    <w:p w14:paraId="4DD91878"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1C8C9CF2" w14:textId="370730E2" w:rsidR="00394471" w:rsidRPr="00FA0D37" w:rsidRDefault="00394471" w:rsidP="00FA0D37">
      <w:pPr>
        <w:pStyle w:val="PL"/>
      </w:pPr>
      <w:r w:rsidRPr="00FA0D37">
        <w:t xml:space="preserve">    pathlossReferenceRSToReleaseList</w:t>
      </w:r>
      <w:r w:rsidR="00C5556C" w:rsidRPr="00FA0D37">
        <w:t>SizeExt</w:t>
      </w:r>
      <w:r w:rsidRPr="00FA0D37">
        <w:t>-</w:t>
      </w:r>
      <w:r w:rsidR="00C5556C" w:rsidRPr="00FA0D37">
        <w:t>v1610</w:t>
      </w:r>
      <w:r w:rsidRPr="00FA0D37">
        <w:t xml:space="preserve">  </w:t>
      </w:r>
      <w:r w:rsidRPr="00FA0D37">
        <w:rPr>
          <w:color w:val="993366"/>
        </w:rPr>
        <w:t>SEQUENCE</w:t>
      </w:r>
      <w:r w:rsidRPr="00FA0D37">
        <w:t xml:space="preserve"> (</w:t>
      </w:r>
      <w:r w:rsidRPr="00FA0D37">
        <w:rPr>
          <w:color w:val="993366"/>
        </w:rPr>
        <w:t>SIZE</w:t>
      </w:r>
      <w:r w:rsidRPr="00FA0D37">
        <w:t xml:space="preserve"> (1..maxNrofPUSCH-PathlossReferenceRSsDiff-r16))</w:t>
      </w:r>
      <w:r w:rsidRPr="00FA0D37">
        <w:rPr>
          <w:color w:val="993366"/>
        </w:rPr>
        <w:t xml:space="preserve"> OF</w:t>
      </w:r>
      <w:r w:rsidRPr="00FA0D37">
        <w:t xml:space="preserve"> PUSCH-PathlossReferenceRS-Id-v1610</w:t>
      </w:r>
    </w:p>
    <w:p w14:paraId="596DB239"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605B2B64" w14:textId="77777777" w:rsidR="00394471" w:rsidRPr="00FA0D37" w:rsidRDefault="00394471" w:rsidP="00FA0D37">
      <w:pPr>
        <w:pStyle w:val="PL"/>
        <w:rPr>
          <w:color w:val="808080"/>
        </w:rPr>
      </w:pPr>
      <w:r w:rsidRPr="00FA0D37">
        <w:t xml:space="preserve">    p0-PUSCH-SetList-r16                </w:t>
      </w:r>
      <w:r w:rsidRPr="00FA0D37">
        <w:rPr>
          <w:color w:val="993366"/>
        </w:rPr>
        <w:t>SEQUENCE</w:t>
      </w:r>
      <w:r w:rsidRPr="00FA0D37">
        <w:t xml:space="preserve"> (</w:t>
      </w:r>
      <w:r w:rsidRPr="00FA0D37">
        <w:rPr>
          <w:color w:val="993366"/>
        </w:rPr>
        <w:t>SIZE</w:t>
      </w:r>
      <w:r w:rsidRPr="00FA0D37">
        <w:t xml:space="preserve"> (1..maxNrofSRI-PUSCH-Mappings))</w:t>
      </w:r>
      <w:r w:rsidRPr="00FA0D37">
        <w:rPr>
          <w:color w:val="993366"/>
        </w:rPr>
        <w:t xml:space="preserve"> OF</w:t>
      </w:r>
      <w:r w:rsidRPr="00FA0D37">
        <w:t xml:space="preserve"> P0-PUSCH-Set-r16      </w:t>
      </w:r>
      <w:r w:rsidRPr="00FA0D37">
        <w:rPr>
          <w:color w:val="993366"/>
        </w:rPr>
        <w:t>OPTIONAL</w:t>
      </w:r>
      <w:r w:rsidRPr="00FA0D37">
        <w:t xml:space="preserve">, </w:t>
      </w:r>
      <w:r w:rsidRPr="00FA0D37">
        <w:rPr>
          <w:color w:val="808080"/>
        </w:rPr>
        <w:t>-- Need R</w:t>
      </w:r>
    </w:p>
    <w:p w14:paraId="249C90BE" w14:textId="77777777" w:rsidR="00394471" w:rsidRPr="00FA0D37" w:rsidRDefault="00394471" w:rsidP="00FA0D37">
      <w:pPr>
        <w:pStyle w:val="PL"/>
      </w:pPr>
      <w:r w:rsidRPr="00FA0D37">
        <w:t xml:space="preserve">    olpc-ParameterSet                   </w:t>
      </w:r>
      <w:r w:rsidRPr="00FA0D37">
        <w:rPr>
          <w:color w:val="993366"/>
        </w:rPr>
        <w:t>SEQUENCE</w:t>
      </w:r>
      <w:r w:rsidRPr="00FA0D37">
        <w:t xml:space="preserve"> {</w:t>
      </w:r>
    </w:p>
    <w:p w14:paraId="256994B4" w14:textId="77777777" w:rsidR="00394471" w:rsidRPr="00FA0D37" w:rsidRDefault="00394471" w:rsidP="00FA0D37">
      <w:pPr>
        <w:pStyle w:val="PL"/>
        <w:rPr>
          <w:color w:val="808080"/>
        </w:rPr>
      </w:pPr>
      <w:r w:rsidRPr="00FA0D37">
        <w:t xml:space="preserve">        olpc-ParameterSetDCI-0-1-r16        </w:t>
      </w:r>
      <w:r w:rsidRPr="00FA0D37">
        <w:rPr>
          <w:color w:val="993366"/>
        </w:rPr>
        <w:t>INTEGER</w:t>
      </w:r>
      <w:r w:rsidRPr="00FA0D37">
        <w:t xml:space="preserve"> (1..2)                                                      </w:t>
      </w:r>
      <w:r w:rsidRPr="00FA0D37">
        <w:rPr>
          <w:color w:val="993366"/>
        </w:rPr>
        <w:t>OPTIONAL</w:t>
      </w:r>
      <w:r w:rsidRPr="00FA0D37">
        <w:t xml:space="preserve">, </w:t>
      </w:r>
      <w:r w:rsidRPr="00FA0D37">
        <w:rPr>
          <w:color w:val="808080"/>
        </w:rPr>
        <w:t>-- Need R</w:t>
      </w:r>
    </w:p>
    <w:p w14:paraId="5E7A8266" w14:textId="77777777" w:rsidR="00394471" w:rsidRPr="00FA0D37" w:rsidRDefault="00394471" w:rsidP="00FA0D37">
      <w:pPr>
        <w:pStyle w:val="PL"/>
        <w:rPr>
          <w:color w:val="808080"/>
        </w:rPr>
      </w:pPr>
      <w:r w:rsidRPr="00FA0D37">
        <w:t xml:space="preserve">        olpc-ParameterSetDCI-0-2-r16        </w:t>
      </w:r>
      <w:r w:rsidRPr="00FA0D37">
        <w:rPr>
          <w:color w:val="993366"/>
        </w:rPr>
        <w:t>INTEGER</w:t>
      </w:r>
      <w:r w:rsidRPr="00FA0D37">
        <w:t xml:space="preserve"> (1..2)                                                      </w:t>
      </w:r>
      <w:r w:rsidRPr="00FA0D37">
        <w:rPr>
          <w:color w:val="993366"/>
        </w:rPr>
        <w:t>OPTIONAL</w:t>
      </w:r>
      <w:r w:rsidRPr="00FA0D37">
        <w:t xml:space="preserve">  </w:t>
      </w:r>
      <w:r w:rsidRPr="00FA0D37">
        <w:rPr>
          <w:color w:val="808080"/>
        </w:rPr>
        <w:t>-- Need R</w:t>
      </w:r>
    </w:p>
    <w:p w14:paraId="1CE9680F"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202218AC" w14:textId="798AC2EE" w:rsidR="00651368" w:rsidRPr="00FA0D37" w:rsidRDefault="00394471" w:rsidP="00FA0D37">
      <w:pPr>
        <w:pStyle w:val="PL"/>
      </w:pPr>
      <w:r w:rsidRPr="00FA0D37">
        <w:t xml:space="preserve">    ...</w:t>
      </w:r>
      <w:r w:rsidR="00651368" w:rsidRPr="00FA0D37">
        <w:t>,</w:t>
      </w:r>
    </w:p>
    <w:p w14:paraId="57193747" w14:textId="77777777" w:rsidR="00651368" w:rsidRPr="00FA0D37" w:rsidRDefault="00651368" w:rsidP="00FA0D37">
      <w:pPr>
        <w:pStyle w:val="PL"/>
      </w:pPr>
      <w:r w:rsidRPr="00FA0D37">
        <w:t xml:space="preserve">    [[</w:t>
      </w:r>
    </w:p>
    <w:p w14:paraId="7D6A92DA" w14:textId="7003AD44" w:rsidR="00651368" w:rsidRPr="00FA0D37" w:rsidRDefault="00651368" w:rsidP="00FA0D37">
      <w:pPr>
        <w:pStyle w:val="PL"/>
      </w:pPr>
      <w:r w:rsidRPr="00FA0D37">
        <w:t xml:space="preserve">    sri-PUSCH-MappingToAddModList2-r17  </w:t>
      </w:r>
      <w:r w:rsidRPr="00FA0D37">
        <w:rPr>
          <w:color w:val="993366"/>
        </w:rPr>
        <w:t>SEQUENCE</w:t>
      </w:r>
      <w:r w:rsidRPr="00FA0D37">
        <w:t xml:space="preserve"> (</w:t>
      </w:r>
      <w:r w:rsidRPr="00FA0D37">
        <w:rPr>
          <w:color w:val="993366"/>
        </w:rPr>
        <w:t>SIZE</w:t>
      </w:r>
      <w:r w:rsidRPr="00FA0D37">
        <w:t xml:space="preserve"> (1..maxNrofSRI-PUSCH-Mappings))</w:t>
      </w:r>
      <w:r w:rsidRPr="00FA0D37">
        <w:rPr>
          <w:color w:val="993366"/>
        </w:rPr>
        <w:t xml:space="preserve"> OF</w:t>
      </w:r>
      <w:r w:rsidRPr="00FA0D37">
        <w:t xml:space="preserve"> SRI-PUSCH-PowerControl</w:t>
      </w:r>
    </w:p>
    <w:p w14:paraId="7C90C342" w14:textId="6BDEE00E" w:rsidR="00651368" w:rsidRPr="00FA0D37" w:rsidRDefault="00651368"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5245E070" w14:textId="56F3E582" w:rsidR="00770F46" w:rsidRPr="00FA0D37" w:rsidRDefault="00770F46" w:rsidP="00FA0D37">
      <w:pPr>
        <w:pStyle w:val="PL"/>
        <w:rPr>
          <w:color w:val="808080"/>
        </w:rPr>
      </w:pPr>
      <w:r w:rsidRPr="00FA0D37">
        <w:t xml:space="preserve">    sri-PUSCH-MappingToReleaseList2-r17 </w:t>
      </w:r>
      <w:r w:rsidRPr="00FA0D37">
        <w:rPr>
          <w:color w:val="993366"/>
        </w:rPr>
        <w:t>SEQUENCE</w:t>
      </w:r>
      <w:r w:rsidRPr="00FA0D37">
        <w:t xml:space="preserve"> (</w:t>
      </w:r>
      <w:r w:rsidRPr="00FA0D37">
        <w:rPr>
          <w:color w:val="993366"/>
        </w:rPr>
        <w:t>SIZE</w:t>
      </w:r>
      <w:r w:rsidRPr="00FA0D37">
        <w:t xml:space="preserve"> (1..maxNrofSRI-PUSCH-Mappings))</w:t>
      </w:r>
      <w:r w:rsidRPr="00FA0D37">
        <w:rPr>
          <w:color w:val="993366"/>
        </w:rPr>
        <w:t xml:space="preserve"> OF</w:t>
      </w:r>
      <w:r w:rsidRPr="00FA0D37">
        <w:t xml:space="preserve"> SRI-PUSCH-PowerControlId </w:t>
      </w:r>
      <w:r w:rsidRPr="00FA0D37">
        <w:rPr>
          <w:color w:val="993366"/>
        </w:rPr>
        <w:t>OPTIONAL</w:t>
      </w:r>
      <w:r w:rsidRPr="00FA0D37">
        <w:t xml:space="preserve">, </w:t>
      </w:r>
      <w:r w:rsidRPr="00FA0D37">
        <w:rPr>
          <w:color w:val="808080"/>
        </w:rPr>
        <w:t>-- Need N</w:t>
      </w:r>
    </w:p>
    <w:p w14:paraId="589FA3CD" w14:textId="40255EC6" w:rsidR="00651368" w:rsidRPr="00FA0D37" w:rsidRDefault="00651368" w:rsidP="00FA0D37">
      <w:pPr>
        <w:pStyle w:val="PL"/>
        <w:rPr>
          <w:color w:val="808080"/>
        </w:rPr>
      </w:pPr>
      <w:r w:rsidRPr="00FA0D37">
        <w:t xml:space="preserve">    p0-PUSCH-SetList2-r17               </w:t>
      </w:r>
      <w:r w:rsidRPr="00FA0D37">
        <w:rPr>
          <w:color w:val="993366"/>
        </w:rPr>
        <w:t>SEQUENCE</w:t>
      </w:r>
      <w:r w:rsidRPr="00FA0D37">
        <w:t xml:space="preserve"> (</w:t>
      </w:r>
      <w:r w:rsidRPr="00FA0D37">
        <w:rPr>
          <w:color w:val="993366"/>
        </w:rPr>
        <w:t>SIZE</w:t>
      </w:r>
      <w:r w:rsidRPr="00FA0D37">
        <w:t xml:space="preserve"> (1..maxNrofSRI-PUSCH-Mappings))</w:t>
      </w:r>
      <w:r w:rsidRPr="00FA0D37">
        <w:rPr>
          <w:color w:val="993366"/>
        </w:rPr>
        <w:t xml:space="preserve"> OF</w:t>
      </w:r>
      <w:r w:rsidRPr="00FA0D37">
        <w:t xml:space="preserve"> P0-PUSCH-Set-r16      </w:t>
      </w:r>
      <w:r w:rsidRPr="00FA0D37">
        <w:rPr>
          <w:color w:val="993366"/>
        </w:rPr>
        <w:t>OPTIONAL</w:t>
      </w:r>
      <w:r w:rsidR="007B122D" w:rsidRPr="00FA0D37">
        <w:t>,</w:t>
      </w:r>
      <w:r w:rsidRPr="00FA0D37">
        <w:t xml:space="preserve"> </w:t>
      </w:r>
      <w:r w:rsidRPr="00FA0D37">
        <w:rPr>
          <w:color w:val="808080"/>
        </w:rPr>
        <w:t>-- Need R</w:t>
      </w:r>
    </w:p>
    <w:p w14:paraId="11B09761" w14:textId="5B69EB44" w:rsidR="007B122D" w:rsidRPr="00FA0D37" w:rsidRDefault="007B122D" w:rsidP="00FA0D37">
      <w:pPr>
        <w:pStyle w:val="PL"/>
        <w:rPr>
          <w:color w:val="808080"/>
        </w:rPr>
      </w:pPr>
      <w:r w:rsidRPr="00FA0D37">
        <w:t xml:space="preserve">    </w:t>
      </w:r>
      <w:r w:rsidR="00FC0CBC" w:rsidRPr="00FA0D37">
        <w:t>dummy</w:t>
      </w:r>
      <w:r w:rsidRPr="00FA0D37">
        <w:t xml:space="preserve"> </w:t>
      </w:r>
      <w:r w:rsidRPr="00FA0D37">
        <w:rPr>
          <w:color w:val="993366"/>
        </w:rPr>
        <w:t>SEQUENCE</w:t>
      </w:r>
      <w:r w:rsidRPr="00FA0D37">
        <w:t xml:space="preserve"> (</w:t>
      </w:r>
      <w:r w:rsidRPr="00FA0D37">
        <w:rPr>
          <w:color w:val="993366"/>
        </w:rPr>
        <w:t>SIZE</w:t>
      </w:r>
      <w:r w:rsidRPr="00FA0D37">
        <w:t xml:space="preserve"> (1..maxNrofPUSCH-PathlossReferenceRSs-r16))</w:t>
      </w:r>
      <w:r w:rsidRPr="00FA0D37">
        <w:rPr>
          <w:color w:val="993366"/>
        </w:rPr>
        <w:t xml:space="preserve"> OF</w:t>
      </w:r>
      <w:r w:rsidRPr="00FA0D37">
        <w:t xml:space="preserve"> </w:t>
      </w:r>
      <w:r w:rsidR="00AD26FD" w:rsidRPr="00FA0D37">
        <w:t>DummyPathlossReferenceRS-v1710</w:t>
      </w:r>
      <w:r w:rsidR="002570A4" w:rsidRPr="00FA0D37">
        <w:t xml:space="preserve">          </w:t>
      </w:r>
      <w:r w:rsidR="002570A4" w:rsidRPr="00FA0D37">
        <w:rPr>
          <w:color w:val="993366"/>
        </w:rPr>
        <w:t>OPTIONAL</w:t>
      </w:r>
      <w:r w:rsidR="002570A4" w:rsidRPr="00FA0D37">
        <w:t xml:space="preserve">  </w:t>
      </w:r>
      <w:r w:rsidR="002570A4" w:rsidRPr="00FA0D37">
        <w:rPr>
          <w:color w:val="808080"/>
        </w:rPr>
        <w:t>-- Need N</w:t>
      </w:r>
    </w:p>
    <w:p w14:paraId="4149DB98" w14:textId="7F5BCDCE" w:rsidR="00394471" w:rsidRPr="00FA0D37" w:rsidRDefault="00651368" w:rsidP="00FA0D37">
      <w:pPr>
        <w:pStyle w:val="PL"/>
      </w:pPr>
      <w:r w:rsidRPr="00FA0D37">
        <w:lastRenderedPageBreak/>
        <w:t xml:space="preserve">    ]]</w:t>
      </w:r>
    </w:p>
    <w:p w14:paraId="497A2F62" w14:textId="77777777" w:rsidR="00394471" w:rsidRPr="00FA0D37" w:rsidRDefault="00394471" w:rsidP="00FA0D37">
      <w:pPr>
        <w:pStyle w:val="PL"/>
      </w:pPr>
      <w:r w:rsidRPr="00FA0D37">
        <w:t>}</w:t>
      </w:r>
    </w:p>
    <w:p w14:paraId="6F78A248" w14:textId="77777777" w:rsidR="00394471" w:rsidRPr="00FA0D37" w:rsidRDefault="00394471" w:rsidP="00FA0D37">
      <w:pPr>
        <w:pStyle w:val="PL"/>
      </w:pPr>
    </w:p>
    <w:p w14:paraId="01F6A2A4" w14:textId="77777777" w:rsidR="00394471" w:rsidRPr="00FA0D37" w:rsidRDefault="00394471" w:rsidP="00FA0D37">
      <w:pPr>
        <w:pStyle w:val="PL"/>
      </w:pPr>
      <w:r w:rsidRPr="00FA0D37">
        <w:t xml:space="preserve">P0-PUSCH-Set-r16 ::=                </w:t>
      </w:r>
      <w:r w:rsidRPr="00FA0D37">
        <w:rPr>
          <w:color w:val="993366"/>
        </w:rPr>
        <w:t>SEQUENCE</w:t>
      </w:r>
      <w:r w:rsidRPr="00FA0D37">
        <w:t xml:space="preserve"> {</w:t>
      </w:r>
    </w:p>
    <w:p w14:paraId="6DCA1211" w14:textId="77777777" w:rsidR="00394471" w:rsidRPr="00FA0D37" w:rsidRDefault="00394471" w:rsidP="00FA0D37">
      <w:pPr>
        <w:pStyle w:val="PL"/>
      </w:pPr>
      <w:r w:rsidRPr="00FA0D37">
        <w:t xml:space="preserve">    p0-PUSCH-SetId-r16                  P0-PUSCH-SetId-r16,</w:t>
      </w:r>
    </w:p>
    <w:p w14:paraId="7C24019F" w14:textId="77777777" w:rsidR="00394471" w:rsidRPr="00FA0D37" w:rsidRDefault="00394471" w:rsidP="00FA0D37">
      <w:pPr>
        <w:pStyle w:val="PL"/>
        <w:rPr>
          <w:color w:val="808080"/>
        </w:rPr>
      </w:pPr>
      <w:r w:rsidRPr="00FA0D37">
        <w:t xml:space="preserve">    p0-List-r16                         </w:t>
      </w:r>
      <w:r w:rsidRPr="00FA0D37">
        <w:rPr>
          <w:color w:val="993366"/>
        </w:rPr>
        <w:t>SEQUENCE</w:t>
      </w:r>
      <w:r w:rsidRPr="00FA0D37">
        <w:t xml:space="preserve"> (</w:t>
      </w:r>
      <w:r w:rsidRPr="00FA0D37">
        <w:rPr>
          <w:color w:val="993366"/>
        </w:rPr>
        <w:t>SIZE</w:t>
      </w:r>
      <w:r w:rsidRPr="00FA0D37">
        <w:t xml:space="preserve"> (1..maxNrofP0-PUSCH-Set-r16))</w:t>
      </w:r>
      <w:r w:rsidRPr="00FA0D37">
        <w:rPr>
          <w:color w:val="993366"/>
        </w:rPr>
        <w:t xml:space="preserve"> OF</w:t>
      </w:r>
      <w:r w:rsidRPr="00FA0D37">
        <w:t xml:space="preserve"> P0-PUSCH-r16            </w:t>
      </w:r>
      <w:r w:rsidRPr="00FA0D37">
        <w:rPr>
          <w:color w:val="993366"/>
        </w:rPr>
        <w:t>OPTIONAL</w:t>
      </w:r>
      <w:r w:rsidRPr="00FA0D37">
        <w:t xml:space="preserve">, </w:t>
      </w:r>
      <w:r w:rsidRPr="00FA0D37">
        <w:rPr>
          <w:color w:val="808080"/>
        </w:rPr>
        <w:t>-- Need R</w:t>
      </w:r>
    </w:p>
    <w:p w14:paraId="0C5F33D1" w14:textId="77777777" w:rsidR="00394471" w:rsidRPr="00FA0D37" w:rsidRDefault="00394471" w:rsidP="00FA0D37">
      <w:pPr>
        <w:pStyle w:val="PL"/>
      </w:pPr>
      <w:r w:rsidRPr="00FA0D37">
        <w:t xml:space="preserve">    ...</w:t>
      </w:r>
    </w:p>
    <w:p w14:paraId="3B538090" w14:textId="77777777" w:rsidR="00394471" w:rsidRPr="00FA0D37" w:rsidRDefault="00394471" w:rsidP="00FA0D37">
      <w:pPr>
        <w:pStyle w:val="PL"/>
      </w:pPr>
      <w:r w:rsidRPr="00FA0D37">
        <w:t>}</w:t>
      </w:r>
    </w:p>
    <w:p w14:paraId="0D77F187" w14:textId="77777777" w:rsidR="00394471" w:rsidRPr="00FA0D37" w:rsidRDefault="00394471" w:rsidP="00FA0D37">
      <w:pPr>
        <w:pStyle w:val="PL"/>
      </w:pPr>
    </w:p>
    <w:p w14:paraId="4D797A05" w14:textId="77777777" w:rsidR="00394471" w:rsidRPr="00FA0D37" w:rsidRDefault="00394471" w:rsidP="00FA0D37">
      <w:pPr>
        <w:pStyle w:val="PL"/>
      </w:pPr>
      <w:r w:rsidRPr="00FA0D37">
        <w:t xml:space="preserve">P0-PUSCH-SetId-r16 ::=              </w:t>
      </w:r>
      <w:r w:rsidRPr="00FA0D37">
        <w:rPr>
          <w:color w:val="993366"/>
        </w:rPr>
        <w:t>INTEGER</w:t>
      </w:r>
      <w:r w:rsidRPr="00FA0D37">
        <w:t xml:space="preserve"> (0..maxNrofSRI-PUSCH-Mappings-1)</w:t>
      </w:r>
    </w:p>
    <w:p w14:paraId="484AF193" w14:textId="77777777" w:rsidR="00394471" w:rsidRPr="00FA0D37" w:rsidRDefault="00394471" w:rsidP="00FA0D37">
      <w:pPr>
        <w:pStyle w:val="PL"/>
      </w:pPr>
    </w:p>
    <w:p w14:paraId="7E22737C" w14:textId="77777777" w:rsidR="00394471" w:rsidRPr="00FA0D37" w:rsidRDefault="00394471" w:rsidP="00FA0D37">
      <w:pPr>
        <w:pStyle w:val="PL"/>
      </w:pPr>
      <w:r w:rsidRPr="00FA0D37">
        <w:t xml:space="preserve">P0-PUSCH-r16 ::=                    </w:t>
      </w:r>
      <w:r w:rsidRPr="00FA0D37">
        <w:rPr>
          <w:color w:val="993366"/>
        </w:rPr>
        <w:t>INTEGER</w:t>
      </w:r>
      <w:r w:rsidRPr="00FA0D37">
        <w:t xml:space="preserve"> (-16..15)</w:t>
      </w:r>
    </w:p>
    <w:p w14:paraId="0AB54925" w14:textId="77777777" w:rsidR="00394471" w:rsidRPr="00FA0D37" w:rsidRDefault="00394471" w:rsidP="00FA0D37">
      <w:pPr>
        <w:pStyle w:val="PL"/>
      </w:pPr>
    </w:p>
    <w:p w14:paraId="67C3D5E6" w14:textId="77777777" w:rsidR="00394471" w:rsidRPr="00FA0D37" w:rsidRDefault="00394471" w:rsidP="00FA0D37">
      <w:pPr>
        <w:pStyle w:val="PL"/>
        <w:rPr>
          <w:color w:val="808080"/>
        </w:rPr>
      </w:pPr>
      <w:r w:rsidRPr="00FA0D37">
        <w:rPr>
          <w:color w:val="808080"/>
        </w:rPr>
        <w:t>-- TAG-PUSCH-POWERCONTROL-STOP</w:t>
      </w:r>
    </w:p>
    <w:p w14:paraId="5EF1C101" w14:textId="77777777" w:rsidR="00394471" w:rsidRPr="00FA0D37" w:rsidRDefault="00394471" w:rsidP="00FA0D37">
      <w:pPr>
        <w:pStyle w:val="PL"/>
        <w:rPr>
          <w:color w:val="808080"/>
        </w:rPr>
      </w:pPr>
      <w:r w:rsidRPr="00FA0D37">
        <w:rPr>
          <w:color w:val="808080"/>
        </w:rPr>
        <w:t>-- ASN1STOP</w:t>
      </w:r>
    </w:p>
    <w:p w14:paraId="7B86252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FA0D37" w:rsidRDefault="00394471" w:rsidP="00964CC4">
            <w:pPr>
              <w:pStyle w:val="TAH"/>
              <w:rPr>
                <w:szCs w:val="22"/>
                <w:lang w:eastAsia="sv-SE"/>
              </w:rPr>
            </w:pPr>
            <w:r w:rsidRPr="00FA0D37">
              <w:rPr>
                <w:i/>
                <w:szCs w:val="22"/>
                <w:lang w:eastAsia="sv-SE"/>
              </w:rPr>
              <w:t xml:space="preserve">P0-PUSCH-AlphaSet </w:t>
            </w:r>
            <w:r w:rsidRPr="00FA0D37">
              <w:rPr>
                <w:szCs w:val="22"/>
                <w:lang w:eastAsia="sv-SE"/>
              </w:rPr>
              <w:t>field descriptions</w:t>
            </w:r>
          </w:p>
        </w:tc>
      </w:tr>
      <w:tr w:rsidR="005C7FF4" w:rsidRPr="00FA0D37"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FA0D37" w:rsidRDefault="00394471" w:rsidP="00964CC4">
            <w:pPr>
              <w:pStyle w:val="TAL"/>
              <w:rPr>
                <w:szCs w:val="22"/>
                <w:lang w:eastAsia="sv-SE"/>
              </w:rPr>
            </w:pPr>
            <w:r w:rsidRPr="00FA0D37">
              <w:rPr>
                <w:b/>
                <w:i/>
                <w:szCs w:val="22"/>
                <w:lang w:eastAsia="sv-SE"/>
              </w:rPr>
              <w:t>alpha</w:t>
            </w:r>
          </w:p>
          <w:p w14:paraId="4DAB3F44" w14:textId="77777777" w:rsidR="00394471" w:rsidRPr="00FA0D37" w:rsidRDefault="00394471" w:rsidP="00964CC4">
            <w:pPr>
              <w:pStyle w:val="TAL"/>
              <w:rPr>
                <w:szCs w:val="22"/>
                <w:lang w:eastAsia="sv-SE"/>
              </w:rPr>
            </w:pPr>
            <w:r w:rsidRPr="00FA0D37">
              <w:rPr>
                <w:szCs w:val="22"/>
                <w:lang w:eastAsia="sv-SE"/>
              </w:rPr>
              <w:t>alpha value for PUSCH with grant (except msg3) (see TS 38.213 [13], clause 7.1). When the field is absent the UE applies the value 1.</w:t>
            </w:r>
          </w:p>
        </w:tc>
      </w:tr>
      <w:tr w:rsidR="00394471" w:rsidRPr="00FA0D37"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FA0D37" w:rsidRDefault="00394471" w:rsidP="00964CC4">
            <w:pPr>
              <w:pStyle w:val="TAL"/>
              <w:rPr>
                <w:szCs w:val="22"/>
                <w:lang w:eastAsia="sv-SE"/>
              </w:rPr>
            </w:pPr>
            <w:r w:rsidRPr="00FA0D37">
              <w:rPr>
                <w:b/>
                <w:i/>
                <w:szCs w:val="22"/>
                <w:lang w:eastAsia="sv-SE"/>
              </w:rPr>
              <w:t>p0</w:t>
            </w:r>
          </w:p>
          <w:p w14:paraId="61713885" w14:textId="77777777" w:rsidR="00394471" w:rsidRPr="00FA0D37" w:rsidRDefault="00394471" w:rsidP="00964CC4">
            <w:pPr>
              <w:pStyle w:val="TAL"/>
              <w:rPr>
                <w:szCs w:val="22"/>
                <w:lang w:eastAsia="sv-SE"/>
              </w:rPr>
            </w:pPr>
            <w:r w:rsidRPr="00FA0D37">
              <w:rPr>
                <w:szCs w:val="22"/>
                <w:lang w:eastAsia="sv-SE"/>
              </w:rPr>
              <w:t>P0 value for PUSCH with grant (except msg3) in steps of 1dB (see TS 38.213 [13], clause 7.1). When the field is absent the UE applies the value 0.</w:t>
            </w:r>
          </w:p>
        </w:tc>
      </w:tr>
    </w:tbl>
    <w:p w14:paraId="35302176"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FA0D37" w:rsidRDefault="00394471" w:rsidP="00964CC4">
            <w:pPr>
              <w:pStyle w:val="TAH"/>
              <w:rPr>
                <w:b w:val="0"/>
                <w:lang w:eastAsia="sv-SE"/>
              </w:rPr>
            </w:pPr>
            <w:r w:rsidRPr="00FA0D37">
              <w:rPr>
                <w:i/>
                <w:lang w:eastAsia="sv-SE"/>
              </w:rPr>
              <w:t xml:space="preserve">P0-PUSCH-Set </w:t>
            </w:r>
            <w:r w:rsidRPr="00FA0D37">
              <w:rPr>
                <w:lang w:eastAsia="sv-SE"/>
              </w:rPr>
              <w:t>field descriptions</w:t>
            </w:r>
          </w:p>
        </w:tc>
      </w:tr>
      <w:tr w:rsidR="005C7FF4" w:rsidRPr="00FA0D37"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FA0D37" w:rsidRDefault="00394471" w:rsidP="00964CC4">
            <w:pPr>
              <w:pStyle w:val="TAL"/>
              <w:rPr>
                <w:b/>
                <w:bCs/>
                <w:i/>
                <w:iCs/>
                <w:lang w:eastAsia="x-none"/>
              </w:rPr>
            </w:pPr>
            <w:r w:rsidRPr="00FA0D37">
              <w:rPr>
                <w:b/>
                <w:bCs/>
                <w:i/>
                <w:iCs/>
                <w:lang w:eastAsia="x-none"/>
              </w:rPr>
              <w:t>p0-List</w:t>
            </w:r>
          </w:p>
          <w:p w14:paraId="17FAE55F" w14:textId="77777777" w:rsidR="00394471" w:rsidRPr="00FA0D37" w:rsidRDefault="00394471" w:rsidP="00964CC4">
            <w:pPr>
              <w:pStyle w:val="TAL"/>
              <w:rPr>
                <w:lang w:eastAsia="sv-SE"/>
              </w:rPr>
            </w:pPr>
            <w:r w:rsidRPr="00FA0D37">
              <w:rPr>
                <w:lang w:eastAsia="sv-SE"/>
              </w:rPr>
              <w:t xml:space="preserve">Configuration of {p0-PUSCH, p0-PUSCH} sets for PUSCH. If SRI is present in the DCI, then one p0-PUSCH can be configured in P0-PUSCH-Set. If SRI is not present in the DCI, and both </w:t>
            </w:r>
            <w:r w:rsidRPr="00FA0D37">
              <w:rPr>
                <w:i/>
                <w:iCs/>
                <w:lang w:eastAsia="x-none"/>
              </w:rPr>
              <w:t>olpc-ParameterSetDCI-0-1</w:t>
            </w:r>
            <w:r w:rsidRPr="00FA0D37">
              <w:rPr>
                <w:lang w:eastAsia="sv-SE"/>
              </w:rPr>
              <w:t xml:space="preserve"> and </w:t>
            </w:r>
            <w:r w:rsidRPr="00FA0D37">
              <w:rPr>
                <w:i/>
                <w:iCs/>
                <w:lang w:eastAsia="x-none"/>
              </w:rPr>
              <w:t>olpc-ParameterSetDCI-0-2</w:t>
            </w:r>
            <w:r w:rsidRPr="00FA0D37">
              <w:rPr>
                <w:lang w:eastAsia="sv-SE"/>
              </w:rPr>
              <w:t xml:space="preserve"> are configured to be 1 bit, then one p0-PUSCH can be configured in P0-PUSCH-Set. If SRI is not present in the DCI, and if any of </w:t>
            </w:r>
            <w:r w:rsidRPr="00FA0D37">
              <w:rPr>
                <w:i/>
                <w:iCs/>
                <w:lang w:eastAsia="x-none"/>
              </w:rPr>
              <w:t>olpc-ParameterSetDCI-0-1</w:t>
            </w:r>
            <w:r w:rsidRPr="00FA0D37">
              <w:rPr>
                <w:lang w:eastAsia="sv-SE"/>
              </w:rPr>
              <w:t xml:space="preserve"> and </w:t>
            </w:r>
            <w:r w:rsidRPr="00FA0D37">
              <w:rPr>
                <w:i/>
                <w:iCs/>
                <w:lang w:eastAsia="x-none"/>
              </w:rPr>
              <w:t>olpc-ParameterSetDCI-0-2</w:t>
            </w:r>
            <w:r w:rsidRPr="00FA0D37">
              <w:rPr>
                <w:lang w:eastAsia="sv-SE"/>
              </w:rPr>
              <w:t xml:space="preserve"> is configured to be 2 bits, then two p0-PUSCH values can be configured in P0-PUSCH-Set (see TS 38.213 [13] clause 7 and TS 38.212 [17] clause 7.3.1).</w:t>
            </w:r>
          </w:p>
        </w:tc>
      </w:tr>
      <w:tr w:rsidR="00394471" w:rsidRPr="00FA0D37"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FA0D37" w:rsidRDefault="00394471" w:rsidP="00964CC4">
            <w:pPr>
              <w:pStyle w:val="TAL"/>
              <w:rPr>
                <w:b/>
                <w:bCs/>
                <w:i/>
                <w:iCs/>
                <w:lang w:eastAsia="x-none"/>
              </w:rPr>
            </w:pPr>
            <w:r w:rsidRPr="00FA0D37">
              <w:rPr>
                <w:b/>
                <w:bCs/>
                <w:i/>
                <w:iCs/>
                <w:lang w:eastAsia="x-none"/>
              </w:rPr>
              <w:t>p0-PUSCH-SetId</w:t>
            </w:r>
          </w:p>
          <w:p w14:paraId="23591289" w14:textId="77777777" w:rsidR="00394471" w:rsidRPr="00FA0D37" w:rsidRDefault="00394471" w:rsidP="00964CC4">
            <w:pPr>
              <w:pStyle w:val="TAL"/>
              <w:rPr>
                <w:lang w:eastAsia="sv-SE"/>
              </w:rPr>
            </w:pPr>
            <w:r w:rsidRPr="00FA0D37">
              <w:rPr>
                <w:lang w:eastAsia="sv-SE"/>
              </w:rPr>
              <w:t>Configure the index of a p0-PUSCH-Set (see TS 38.213 [13] clause 7 and TS 38.212 [17] clause 7.3.1).</w:t>
            </w:r>
          </w:p>
        </w:tc>
      </w:tr>
    </w:tbl>
    <w:p w14:paraId="58B615F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FA0D37" w:rsidRDefault="00394471" w:rsidP="00964CC4">
            <w:pPr>
              <w:pStyle w:val="TAH"/>
              <w:rPr>
                <w:szCs w:val="22"/>
                <w:lang w:eastAsia="sv-SE"/>
              </w:rPr>
            </w:pPr>
            <w:r w:rsidRPr="00FA0D37">
              <w:rPr>
                <w:i/>
                <w:szCs w:val="22"/>
                <w:lang w:eastAsia="sv-SE"/>
              </w:rPr>
              <w:lastRenderedPageBreak/>
              <w:t xml:space="preserve">PUSCH-PowerControl </w:t>
            </w:r>
            <w:r w:rsidRPr="00FA0D37">
              <w:rPr>
                <w:szCs w:val="22"/>
                <w:lang w:eastAsia="sv-SE"/>
              </w:rPr>
              <w:t>field descriptions</w:t>
            </w:r>
          </w:p>
        </w:tc>
      </w:tr>
      <w:tr w:rsidR="005C7FF4" w:rsidRPr="00FA0D37"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FA0D37" w:rsidRDefault="00394471" w:rsidP="00964CC4">
            <w:pPr>
              <w:pStyle w:val="TAL"/>
              <w:rPr>
                <w:szCs w:val="22"/>
                <w:lang w:eastAsia="sv-SE"/>
              </w:rPr>
            </w:pPr>
            <w:r w:rsidRPr="00FA0D37">
              <w:rPr>
                <w:b/>
                <w:i/>
                <w:szCs w:val="22"/>
                <w:lang w:eastAsia="sv-SE"/>
              </w:rPr>
              <w:t>deltaMCS</w:t>
            </w:r>
          </w:p>
          <w:p w14:paraId="1640ADE9" w14:textId="77777777" w:rsidR="00394471" w:rsidRPr="00FA0D37" w:rsidRDefault="00394471" w:rsidP="00964CC4">
            <w:pPr>
              <w:pStyle w:val="TAL"/>
              <w:rPr>
                <w:szCs w:val="22"/>
                <w:lang w:eastAsia="sv-SE"/>
              </w:rPr>
            </w:pPr>
            <w:r w:rsidRPr="00FA0D37">
              <w:rPr>
                <w:szCs w:val="22"/>
                <w:lang w:eastAsia="sv-SE"/>
              </w:rPr>
              <w:t>Indicates whether to apply delta MCS. When the field is absent, the UE applies Ks = 0 in delta_TFC formula for PUSCH (see TS 38.213 [13], clause 7.1).</w:t>
            </w:r>
          </w:p>
        </w:tc>
      </w:tr>
      <w:tr w:rsidR="005C7FF4" w:rsidRPr="00FA0D37"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FA0D37" w:rsidRDefault="00FC0CBC" w:rsidP="0071565C">
            <w:pPr>
              <w:pStyle w:val="TAL"/>
              <w:rPr>
                <w:b/>
                <w:bCs/>
                <w:i/>
                <w:noProof/>
                <w:lang w:eastAsia="en-GB"/>
              </w:rPr>
            </w:pPr>
            <w:r w:rsidRPr="00FA0D37">
              <w:rPr>
                <w:b/>
                <w:bCs/>
                <w:i/>
                <w:noProof/>
                <w:lang w:eastAsia="en-GB"/>
              </w:rPr>
              <w:t>dummy</w:t>
            </w:r>
          </w:p>
          <w:p w14:paraId="12C02237" w14:textId="77777777" w:rsidR="00FC0CBC" w:rsidRPr="00FA0D37" w:rsidRDefault="00FC0CBC" w:rsidP="0071565C">
            <w:pPr>
              <w:pStyle w:val="TAL"/>
              <w:rPr>
                <w:b/>
                <w:i/>
                <w:szCs w:val="22"/>
                <w:lang w:eastAsia="sv-SE"/>
              </w:rPr>
            </w:pPr>
            <w:r w:rsidRPr="00FA0D37">
              <w:rPr>
                <w:lang w:eastAsia="sv-SE"/>
              </w:rPr>
              <w:t>This field is not used in the specification. If received it shall be ignored by the UE.</w:t>
            </w:r>
          </w:p>
        </w:tc>
      </w:tr>
      <w:tr w:rsidR="005C7FF4" w:rsidRPr="00FA0D37"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FA0D37" w:rsidRDefault="00394471" w:rsidP="00964CC4">
            <w:pPr>
              <w:pStyle w:val="TAL"/>
              <w:rPr>
                <w:szCs w:val="22"/>
                <w:lang w:eastAsia="sv-SE"/>
              </w:rPr>
            </w:pPr>
            <w:r w:rsidRPr="00FA0D37">
              <w:rPr>
                <w:b/>
                <w:i/>
                <w:szCs w:val="22"/>
                <w:lang w:eastAsia="sv-SE"/>
              </w:rPr>
              <w:t>msg3-Alpha</w:t>
            </w:r>
          </w:p>
          <w:p w14:paraId="368D852F" w14:textId="77777777" w:rsidR="00394471" w:rsidRPr="00FA0D37" w:rsidRDefault="00394471" w:rsidP="00964CC4">
            <w:pPr>
              <w:pStyle w:val="TAL"/>
              <w:rPr>
                <w:szCs w:val="22"/>
                <w:lang w:eastAsia="sv-SE"/>
              </w:rPr>
            </w:pPr>
            <w:r w:rsidRPr="00FA0D37">
              <w:rPr>
                <w:szCs w:val="22"/>
                <w:lang w:eastAsia="sv-SE"/>
              </w:rPr>
              <w:t>Dedicated alpha value for msg3 PUSCH (see TS 38.213 [13], clause 7.1). When the field is absent the UE applies the value 1.</w:t>
            </w:r>
          </w:p>
        </w:tc>
      </w:tr>
      <w:tr w:rsidR="005C7FF4" w:rsidRPr="00FA0D37"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FA0D37" w:rsidRDefault="00394471" w:rsidP="00964CC4">
            <w:pPr>
              <w:pStyle w:val="TAL"/>
              <w:rPr>
                <w:rFonts w:eastAsia="MS Mincho"/>
                <w:b/>
                <w:bCs/>
                <w:i/>
                <w:iCs/>
                <w:lang w:eastAsia="x-none"/>
              </w:rPr>
            </w:pPr>
            <w:r w:rsidRPr="00FA0D37">
              <w:rPr>
                <w:b/>
                <w:bCs/>
                <w:i/>
                <w:iCs/>
                <w:lang w:eastAsia="x-none"/>
              </w:rPr>
              <w:t>olpc-ParameterSetDCI-0-1, olpc-ParameterSetDCI-0-2</w:t>
            </w:r>
          </w:p>
          <w:p w14:paraId="5B524C76" w14:textId="77777777" w:rsidR="00394471" w:rsidRPr="00FA0D37" w:rsidRDefault="00394471" w:rsidP="00964CC4">
            <w:pPr>
              <w:pStyle w:val="TAL"/>
              <w:rPr>
                <w:b/>
                <w:i/>
                <w:szCs w:val="22"/>
                <w:lang w:eastAsia="sv-SE"/>
              </w:rPr>
            </w:pPr>
            <w:r w:rsidRPr="00FA0D37">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FA0D37">
              <w:rPr>
                <w:i/>
                <w:szCs w:val="22"/>
                <w:lang w:eastAsia="sv-SE"/>
              </w:rPr>
              <w:t xml:space="preserve">olpc-ParameterSetDCI-0-1 </w:t>
            </w:r>
            <w:r w:rsidRPr="00FA0D37">
              <w:rPr>
                <w:szCs w:val="22"/>
              </w:rPr>
              <w:t>applies</w:t>
            </w:r>
            <w:r w:rsidRPr="00FA0D37">
              <w:rPr>
                <w:szCs w:val="22"/>
                <w:lang w:eastAsia="sv-SE"/>
              </w:rPr>
              <w:t xml:space="preserve"> to DCI format 0_1 and the field </w:t>
            </w:r>
            <w:r w:rsidRPr="00FA0D37">
              <w:rPr>
                <w:i/>
                <w:szCs w:val="22"/>
                <w:lang w:eastAsia="sv-SE"/>
              </w:rPr>
              <w:t>olpc-ParameterSetDCI-0-2</w:t>
            </w:r>
            <w:r w:rsidRPr="00FA0D37">
              <w:rPr>
                <w:szCs w:val="22"/>
                <w:lang w:eastAsia="sv-SE"/>
              </w:rPr>
              <w:t xml:space="preserve"> </w:t>
            </w:r>
            <w:r w:rsidRPr="00FA0D37">
              <w:rPr>
                <w:szCs w:val="22"/>
              </w:rPr>
              <w:t>applies</w:t>
            </w:r>
            <w:r w:rsidRPr="00FA0D37">
              <w:rPr>
                <w:szCs w:val="22"/>
                <w:lang w:eastAsia="sv-SE"/>
              </w:rPr>
              <w:t xml:space="preserve"> to DCI format 0_2 (see TS 38.212 [17], clause 7.3.1 and TS 38.213 [13], clause 11).</w:t>
            </w:r>
          </w:p>
        </w:tc>
      </w:tr>
      <w:tr w:rsidR="005C7FF4" w:rsidRPr="00FA0D37"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FA0D37" w:rsidRDefault="00394471" w:rsidP="00964CC4">
            <w:pPr>
              <w:pStyle w:val="TAL"/>
              <w:rPr>
                <w:szCs w:val="22"/>
                <w:lang w:eastAsia="sv-SE"/>
              </w:rPr>
            </w:pPr>
            <w:r w:rsidRPr="00FA0D37">
              <w:rPr>
                <w:b/>
                <w:i/>
                <w:szCs w:val="22"/>
                <w:lang w:eastAsia="sv-SE"/>
              </w:rPr>
              <w:t>p0-AlphaSets</w:t>
            </w:r>
          </w:p>
          <w:p w14:paraId="1C8568A8" w14:textId="400009A6" w:rsidR="00394471" w:rsidRPr="00FA0D37" w:rsidRDefault="00287551" w:rsidP="00964CC4">
            <w:pPr>
              <w:pStyle w:val="TAL"/>
              <w:rPr>
                <w:szCs w:val="22"/>
                <w:lang w:eastAsia="sv-SE"/>
              </w:rPr>
            </w:pPr>
            <w:r w:rsidRPr="00FA0D37">
              <w:rPr>
                <w:szCs w:val="22"/>
                <w:lang w:eastAsia="sv-SE"/>
              </w:rPr>
              <w:t>C</w:t>
            </w:r>
            <w:r w:rsidR="00394471" w:rsidRPr="00FA0D37">
              <w:rPr>
                <w:szCs w:val="22"/>
                <w:lang w:eastAsia="sv-SE"/>
              </w:rPr>
              <w:t>onfiguration {p0-pusch, alpha} sets for PUSCH (except msg3</w:t>
            </w:r>
            <w:r w:rsidR="00D26B85" w:rsidRPr="00FA0D37">
              <w:rPr>
                <w:szCs w:val="22"/>
                <w:lang w:eastAsia="sv-SE"/>
              </w:rPr>
              <w:t xml:space="preserve"> and msgA PUSCH</w:t>
            </w:r>
            <w:r w:rsidR="00394471" w:rsidRPr="00FA0D37">
              <w:rPr>
                <w:szCs w:val="22"/>
                <w:lang w:eastAsia="sv-SE"/>
              </w:rPr>
              <w:t>), i.e., { {p0,alpha,index1}, {p0,alpha,index2},...} (see TS 38.213 [13], clause 7.1). When no set is configured, the UE uses the P0-nominal for msg3</w:t>
            </w:r>
            <w:r w:rsidRPr="00FA0D37">
              <w:rPr>
                <w:szCs w:val="22"/>
                <w:lang w:eastAsia="sv-SE"/>
              </w:rPr>
              <w:t>/msgA</w:t>
            </w:r>
            <w:r w:rsidR="00394471" w:rsidRPr="00FA0D37">
              <w:rPr>
                <w:szCs w:val="22"/>
                <w:lang w:eastAsia="sv-SE"/>
              </w:rPr>
              <w:t xml:space="preserve"> PUSCH, P0-UE is set to 0 and alpha is set according to </w:t>
            </w:r>
            <w:r w:rsidRPr="00FA0D37">
              <w:rPr>
                <w:szCs w:val="22"/>
                <w:lang w:eastAsia="sv-SE"/>
              </w:rPr>
              <w:t xml:space="preserve">either </w:t>
            </w:r>
            <w:r w:rsidR="00394471" w:rsidRPr="00FA0D37">
              <w:rPr>
                <w:szCs w:val="22"/>
                <w:lang w:eastAsia="sv-SE"/>
              </w:rPr>
              <w:t>msg3-Alpha</w:t>
            </w:r>
            <w:r w:rsidRPr="00FA0D37">
              <w:rPr>
                <w:szCs w:val="22"/>
                <w:lang w:eastAsia="sv-SE"/>
              </w:rPr>
              <w:t xml:space="preserve"> or msgA-Alpha (see TS 38.213 [13], clause 7.1)</w:t>
            </w:r>
            <w:r w:rsidR="00394471" w:rsidRPr="00FA0D37">
              <w:rPr>
                <w:szCs w:val="22"/>
                <w:lang w:eastAsia="sv-SE"/>
              </w:rPr>
              <w:t>.</w:t>
            </w:r>
          </w:p>
        </w:tc>
      </w:tr>
      <w:tr w:rsidR="005C7FF4" w:rsidRPr="00FA0D37"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FA0D37" w:rsidRDefault="00394471" w:rsidP="00964CC4">
            <w:pPr>
              <w:pStyle w:val="TAL"/>
              <w:rPr>
                <w:szCs w:val="22"/>
                <w:lang w:eastAsia="sv-SE"/>
              </w:rPr>
            </w:pPr>
            <w:r w:rsidRPr="00FA0D37">
              <w:rPr>
                <w:b/>
                <w:i/>
                <w:szCs w:val="22"/>
                <w:lang w:eastAsia="sv-SE"/>
              </w:rPr>
              <w:t>p0-NominalWithoutGrant</w:t>
            </w:r>
          </w:p>
          <w:p w14:paraId="3DB2332F" w14:textId="77777777" w:rsidR="00394471" w:rsidRPr="00FA0D37" w:rsidRDefault="00394471" w:rsidP="00964CC4">
            <w:pPr>
              <w:pStyle w:val="TAL"/>
              <w:rPr>
                <w:szCs w:val="22"/>
                <w:lang w:eastAsia="sv-SE"/>
              </w:rPr>
            </w:pPr>
            <w:r w:rsidRPr="00FA0D37">
              <w:rPr>
                <w:szCs w:val="22"/>
                <w:lang w:eastAsia="sv-SE"/>
              </w:rPr>
              <w:t>P0 value for UL grant-free/SPS based PUSCH. Value in dBm. Only even values (step size 2) allowed (see TS 38.213 [13], clause 7.1).</w:t>
            </w:r>
          </w:p>
        </w:tc>
      </w:tr>
      <w:tr w:rsidR="005C7FF4" w:rsidRPr="00FA0D37"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FA0D37" w:rsidRDefault="00394471" w:rsidP="00964CC4">
            <w:pPr>
              <w:pStyle w:val="TAL"/>
              <w:rPr>
                <w:b/>
                <w:bCs/>
                <w:i/>
                <w:iCs/>
                <w:lang w:eastAsia="x-none"/>
              </w:rPr>
            </w:pPr>
            <w:r w:rsidRPr="00FA0D37">
              <w:rPr>
                <w:b/>
                <w:bCs/>
                <w:i/>
                <w:iCs/>
                <w:lang w:eastAsia="x-none"/>
              </w:rPr>
              <w:t>p0-PUSCH-SetList</w:t>
            </w:r>
          </w:p>
          <w:p w14:paraId="348BFBDD" w14:textId="77777777" w:rsidR="00394471" w:rsidRPr="00FA0D37" w:rsidRDefault="00394471" w:rsidP="00964CC4">
            <w:pPr>
              <w:pStyle w:val="TAL"/>
              <w:rPr>
                <w:b/>
                <w:i/>
                <w:szCs w:val="22"/>
                <w:lang w:eastAsia="sv-SE"/>
              </w:rPr>
            </w:pPr>
            <w:r w:rsidRPr="00FA0D37">
              <w:rPr>
                <w:szCs w:val="22"/>
                <w:lang w:eastAsia="sv-SE"/>
              </w:rPr>
              <w:t xml:space="preserve">Configure one additional </w:t>
            </w:r>
            <w:r w:rsidRPr="00FA0D37">
              <w:rPr>
                <w:i/>
                <w:szCs w:val="22"/>
                <w:lang w:eastAsia="sv-SE"/>
              </w:rPr>
              <w:t>P0-PUSCH-Set</w:t>
            </w:r>
            <w:r w:rsidRPr="00FA0D37">
              <w:rPr>
                <w:szCs w:val="22"/>
                <w:lang w:eastAsia="sv-SE"/>
              </w:rPr>
              <w:t xml:space="preserve"> per SRI. If present, the one bit or 2 bits in the DCI is used to dynamically indicate among the P0 value from the existing </w:t>
            </w:r>
            <w:r w:rsidRPr="00FA0D37">
              <w:rPr>
                <w:i/>
                <w:szCs w:val="22"/>
                <w:lang w:eastAsia="sv-SE"/>
              </w:rPr>
              <w:t>P0-PUSCH-AlphaSet</w:t>
            </w:r>
            <w:r w:rsidRPr="00FA0D37">
              <w:rPr>
                <w:szCs w:val="22"/>
                <w:lang w:eastAsia="sv-SE"/>
              </w:rPr>
              <w:t xml:space="preserve"> and the P0 value(s) from the </w:t>
            </w:r>
            <w:r w:rsidRPr="00FA0D37">
              <w:rPr>
                <w:i/>
                <w:szCs w:val="22"/>
                <w:lang w:eastAsia="sv-SE"/>
              </w:rPr>
              <w:t xml:space="preserve">P0-PUSCH-Set </w:t>
            </w:r>
            <w:r w:rsidRPr="00FA0D37">
              <w:rPr>
                <w:szCs w:val="22"/>
                <w:lang w:eastAsia="sv-SE"/>
              </w:rPr>
              <w:t>(See TS 38.212 [17], clause 7.3.1 and TS 38.213 [13], clause 17).</w:t>
            </w:r>
          </w:p>
        </w:tc>
      </w:tr>
      <w:tr w:rsidR="005C7FF4" w:rsidRPr="00FA0D37"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FA0D37" w:rsidRDefault="00651368" w:rsidP="00771058">
            <w:pPr>
              <w:pStyle w:val="TAL"/>
              <w:rPr>
                <w:b/>
                <w:bCs/>
                <w:i/>
                <w:iCs/>
                <w:lang w:eastAsia="x-none"/>
              </w:rPr>
            </w:pPr>
            <w:r w:rsidRPr="00FA0D37">
              <w:rPr>
                <w:b/>
                <w:bCs/>
                <w:i/>
                <w:iCs/>
                <w:lang w:eastAsia="x-none"/>
              </w:rPr>
              <w:t>p0-PUSCH-SetList2</w:t>
            </w:r>
          </w:p>
          <w:p w14:paraId="3B9BF2FA" w14:textId="5C7F085C" w:rsidR="00651368" w:rsidRPr="00FA0D37" w:rsidRDefault="00651368" w:rsidP="00771058">
            <w:pPr>
              <w:pStyle w:val="TAL"/>
              <w:rPr>
                <w:b/>
                <w:bCs/>
                <w:i/>
                <w:iCs/>
                <w:lang w:eastAsia="x-none"/>
              </w:rPr>
            </w:pPr>
            <w:r w:rsidRPr="00FA0D37">
              <w:rPr>
                <w:szCs w:val="22"/>
                <w:lang w:eastAsia="sv-SE"/>
              </w:rPr>
              <w:t xml:space="preserve">For indicating per-TRP OLPC set in DCI format 0_1/0_2 with the legacy field, a second p0-PUSCH-SetList-r16 is used. When this field is present the </w:t>
            </w:r>
            <w:r w:rsidRPr="00FA0D37">
              <w:rPr>
                <w:i/>
                <w:iCs/>
                <w:szCs w:val="22"/>
                <w:lang w:eastAsia="sv-SE"/>
              </w:rPr>
              <w:t>p0-PUSCH-SetList</w:t>
            </w:r>
            <w:r w:rsidRPr="00FA0D37">
              <w:rPr>
                <w:szCs w:val="22"/>
                <w:lang w:eastAsia="sv-SE"/>
              </w:rPr>
              <w:t xml:space="preserve"> corresponds to the first SRS resource set (see TS 38.213).</w:t>
            </w:r>
          </w:p>
        </w:tc>
      </w:tr>
      <w:tr w:rsidR="005C7FF4" w:rsidRPr="00FA0D37"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FA0D37" w:rsidRDefault="00394471" w:rsidP="00964CC4">
            <w:pPr>
              <w:pStyle w:val="TAL"/>
              <w:rPr>
                <w:szCs w:val="22"/>
                <w:lang w:eastAsia="sv-SE"/>
              </w:rPr>
            </w:pPr>
            <w:r w:rsidRPr="00FA0D37">
              <w:rPr>
                <w:b/>
                <w:i/>
                <w:szCs w:val="22"/>
                <w:lang w:eastAsia="sv-SE"/>
              </w:rPr>
              <w:t>pathlossReferenceRSToAddModList, pathlossReferenceRSToAddModList</w:t>
            </w:r>
            <w:r w:rsidR="00C5556C" w:rsidRPr="00FA0D37">
              <w:rPr>
                <w:b/>
                <w:i/>
                <w:szCs w:val="22"/>
                <w:lang w:eastAsia="sv-SE"/>
              </w:rPr>
              <w:t>SizeExt</w:t>
            </w:r>
          </w:p>
          <w:p w14:paraId="13033447" w14:textId="69766FF6" w:rsidR="00394471" w:rsidRPr="00FA0D37" w:rsidRDefault="00394471" w:rsidP="00964CC4">
            <w:pPr>
              <w:pStyle w:val="TAL"/>
              <w:rPr>
                <w:szCs w:val="22"/>
                <w:lang w:eastAsia="sv-SE"/>
              </w:rPr>
            </w:pPr>
            <w:r w:rsidRPr="00FA0D37">
              <w:rPr>
                <w:szCs w:val="22"/>
                <w:lang w:eastAsia="sv-SE"/>
              </w:rPr>
              <w:t xml:space="preserve">A set of Reference Signals (e.g. a CSI-RS config or a SS block) to be used for PUSCH path loss estimation. The set consists of Reference Signals configured using </w:t>
            </w:r>
            <w:r w:rsidRPr="00FA0D37">
              <w:rPr>
                <w:i/>
                <w:iCs/>
                <w:szCs w:val="22"/>
                <w:lang w:eastAsia="sv-SE"/>
              </w:rPr>
              <w:t>pathLossReferenceRSToAddModList</w:t>
            </w:r>
            <w:r w:rsidRPr="00FA0D37">
              <w:rPr>
                <w:szCs w:val="22"/>
                <w:lang w:eastAsia="sv-SE"/>
              </w:rPr>
              <w:t xml:space="preserve"> and </w:t>
            </w:r>
            <w:r w:rsidRPr="00FA0D37">
              <w:rPr>
                <w:i/>
                <w:iCs/>
                <w:szCs w:val="22"/>
                <w:lang w:eastAsia="sv-SE"/>
              </w:rPr>
              <w:t>Reference</w:t>
            </w:r>
            <w:r w:rsidRPr="00FA0D37">
              <w:rPr>
                <w:szCs w:val="22"/>
                <w:lang w:eastAsia="sv-SE"/>
              </w:rPr>
              <w:t xml:space="preserve"> Signals configured using </w:t>
            </w:r>
            <w:r w:rsidRPr="00FA0D37">
              <w:rPr>
                <w:i/>
                <w:iCs/>
                <w:szCs w:val="22"/>
                <w:lang w:eastAsia="sv-SE"/>
              </w:rPr>
              <w:t>pathlossReferenceRSToAddModList</w:t>
            </w:r>
            <w:r w:rsidR="00C5556C" w:rsidRPr="00FA0D37">
              <w:rPr>
                <w:i/>
                <w:szCs w:val="22"/>
                <w:lang w:eastAsia="sv-SE"/>
              </w:rPr>
              <w:t>SizeExt</w:t>
            </w:r>
            <w:r w:rsidRPr="00FA0D37">
              <w:rPr>
                <w:szCs w:val="22"/>
                <w:lang w:eastAsia="sv-SE"/>
              </w:rPr>
              <w:t>.</w:t>
            </w:r>
            <w:r w:rsidR="007B122D" w:rsidRPr="00FA0D37">
              <w:rPr>
                <w:szCs w:val="22"/>
                <w:lang w:eastAsia="sv-SE"/>
              </w:rPr>
              <w:t xml:space="preserve"> </w:t>
            </w:r>
            <w:r w:rsidRPr="00FA0D37">
              <w:rPr>
                <w:szCs w:val="22"/>
                <w:lang w:eastAsia="sv-SE"/>
              </w:rPr>
              <w:t xml:space="preserve">Up to </w:t>
            </w:r>
            <w:r w:rsidRPr="00FA0D37">
              <w:rPr>
                <w:i/>
                <w:szCs w:val="22"/>
                <w:lang w:eastAsia="sv-SE"/>
              </w:rPr>
              <w:t>maxNrofPUSCH-PathlossReferenceRSs</w:t>
            </w:r>
            <w:r w:rsidRPr="00FA0D37">
              <w:rPr>
                <w:szCs w:val="22"/>
                <w:lang w:eastAsia="sv-SE"/>
              </w:rPr>
              <w:t xml:space="preserve"> may be configured (see TS 38.213 [13], clause 7.1).</w:t>
            </w:r>
          </w:p>
        </w:tc>
      </w:tr>
      <w:tr w:rsidR="005C7FF4" w:rsidRPr="00FA0D37"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FA0D37" w:rsidRDefault="00C5556C" w:rsidP="008E4C89">
            <w:pPr>
              <w:pStyle w:val="TAL"/>
              <w:rPr>
                <w:b/>
                <w:bCs/>
                <w:i/>
                <w:iCs/>
                <w:lang w:eastAsia="sv-SE"/>
              </w:rPr>
            </w:pPr>
            <w:r w:rsidRPr="00FA0D37">
              <w:rPr>
                <w:b/>
                <w:bCs/>
                <w:i/>
                <w:iCs/>
                <w:lang w:eastAsia="sv-SE"/>
              </w:rPr>
              <w:t>pathlossReferenceRSToReleaseList, pathlossReferenceRSToReleaseListSizeExt</w:t>
            </w:r>
          </w:p>
          <w:p w14:paraId="5F58B9A3" w14:textId="74B1B402" w:rsidR="00C5556C" w:rsidRPr="00FA0D37" w:rsidRDefault="00C5556C" w:rsidP="008E4C89">
            <w:pPr>
              <w:pStyle w:val="TAL"/>
              <w:rPr>
                <w:lang w:eastAsia="sv-SE"/>
              </w:rPr>
            </w:pPr>
            <w:r w:rsidRPr="00FA0D37">
              <w:rPr>
                <w:lang w:eastAsia="sv-SE"/>
              </w:rPr>
              <w:t xml:space="preserve">Lists of reference </w:t>
            </w:r>
            <w:r w:rsidR="007B122D" w:rsidRPr="00FA0D37">
              <w:rPr>
                <w:lang w:eastAsia="sv-SE"/>
              </w:rPr>
              <w:t xml:space="preserve">signals </w:t>
            </w:r>
            <w:r w:rsidRPr="00FA0D37">
              <w:rPr>
                <w:lang w:eastAsia="sv-SE"/>
              </w:rPr>
              <w:t>for PUSCH path loss estimation to be released by the UE.</w:t>
            </w:r>
          </w:p>
        </w:tc>
      </w:tr>
      <w:tr w:rsidR="005C7FF4" w:rsidRPr="00FA0D37"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FA0D37" w:rsidRDefault="00394471" w:rsidP="00964CC4">
            <w:pPr>
              <w:pStyle w:val="TAL"/>
              <w:rPr>
                <w:szCs w:val="22"/>
                <w:lang w:eastAsia="sv-SE"/>
              </w:rPr>
            </w:pPr>
            <w:r w:rsidRPr="00FA0D37">
              <w:rPr>
                <w:b/>
                <w:i/>
                <w:szCs w:val="22"/>
                <w:lang w:eastAsia="sv-SE"/>
              </w:rPr>
              <w:t>sri-PUSCH-MappingToAddModList</w:t>
            </w:r>
          </w:p>
          <w:p w14:paraId="1D48655D" w14:textId="10709036" w:rsidR="00394471" w:rsidRPr="00FA0D37" w:rsidRDefault="00394471" w:rsidP="00964CC4">
            <w:pPr>
              <w:pStyle w:val="TAL"/>
              <w:rPr>
                <w:szCs w:val="22"/>
                <w:lang w:eastAsia="sv-SE"/>
              </w:rPr>
            </w:pPr>
            <w:r w:rsidRPr="00FA0D37">
              <w:rPr>
                <w:szCs w:val="22"/>
                <w:lang w:eastAsia="sv-SE"/>
              </w:rPr>
              <w:t xml:space="preserve">A list of </w:t>
            </w:r>
            <w:r w:rsidRPr="00FA0D37">
              <w:rPr>
                <w:i/>
                <w:szCs w:val="22"/>
                <w:lang w:eastAsia="sv-SE"/>
              </w:rPr>
              <w:t>SRI-PUSCH-PowerControl</w:t>
            </w:r>
            <w:r w:rsidRPr="00FA0D37">
              <w:rPr>
                <w:szCs w:val="22"/>
                <w:lang w:eastAsia="sv-SE"/>
              </w:rPr>
              <w:t xml:space="preserve"> elements among which one is selected by the SRI field in DCI (see TS 38.213 [13], clause 7.1).</w:t>
            </w:r>
          </w:p>
        </w:tc>
      </w:tr>
      <w:tr w:rsidR="005C7FF4" w:rsidRPr="00FA0D37"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FA0D37" w:rsidRDefault="00651368" w:rsidP="00771058">
            <w:pPr>
              <w:pStyle w:val="TAL"/>
              <w:rPr>
                <w:szCs w:val="22"/>
                <w:lang w:eastAsia="sv-SE"/>
              </w:rPr>
            </w:pPr>
            <w:r w:rsidRPr="00FA0D37">
              <w:rPr>
                <w:b/>
                <w:i/>
                <w:szCs w:val="22"/>
                <w:lang w:eastAsia="sv-SE"/>
              </w:rPr>
              <w:t>sri-PUSCH-MappingToAddModList2</w:t>
            </w:r>
          </w:p>
          <w:p w14:paraId="023976A7" w14:textId="77777777" w:rsidR="00651368" w:rsidRPr="00FA0D37" w:rsidRDefault="00651368" w:rsidP="00771058">
            <w:pPr>
              <w:pStyle w:val="TAL"/>
              <w:rPr>
                <w:b/>
                <w:i/>
                <w:szCs w:val="22"/>
                <w:lang w:eastAsia="sv-SE"/>
              </w:rPr>
            </w:pPr>
            <w:r w:rsidRPr="00FA0D37">
              <w:rPr>
                <w:szCs w:val="22"/>
                <w:lang w:eastAsia="sv-SE"/>
              </w:rPr>
              <w:t xml:space="preserve">A list of </w:t>
            </w:r>
            <w:r w:rsidRPr="00FA0D37">
              <w:rPr>
                <w:i/>
                <w:szCs w:val="22"/>
                <w:lang w:eastAsia="sv-SE"/>
              </w:rPr>
              <w:t>SRI-PUSCH-PowerControl</w:t>
            </w:r>
            <w:r w:rsidRPr="00FA0D37">
              <w:rPr>
                <w:szCs w:val="22"/>
                <w:lang w:eastAsia="sv-SE"/>
              </w:rPr>
              <w:t xml:space="preserve"> elements for second SRS-resource set, among which one is selected by the SRI field in DCI (see TS 38.213 [13], clause 7.1). When this field is present the </w:t>
            </w:r>
            <w:r w:rsidRPr="00FA0D37">
              <w:rPr>
                <w:i/>
                <w:iCs/>
                <w:szCs w:val="22"/>
                <w:lang w:eastAsia="sv-SE"/>
              </w:rPr>
              <w:t>sri-PUSCH-MappingToAddModList</w:t>
            </w:r>
            <w:r w:rsidRPr="00FA0D37">
              <w:rPr>
                <w:szCs w:val="22"/>
                <w:lang w:eastAsia="sv-SE"/>
              </w:rPr>
              <w:t xml:space="preserve"> corresponds to the first SRS resource set for PUSCH.</w:t>
            </w:r>
          </w:p>
        </w:tc>
      </w:tr>
      <w:tr w:rsidR="005C7FF4" w:rsidRPr="00FA0D37"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FA0D37" w:rsidRDefault="00394471" w:rsidP="00964CC4">
            <w:pPr>
              <w:pStyle w:val="TAL"/>
              <w:rPr>
                <w:szCs w:val="22"/>
                <w:lang w:eastAsia="sv-SE"/>
              </w:rPr>
            </w:pPr>
            <w:r w:rsidRPr="00FA0D37">
              <w:rPr>
                <w:b/>
                <w:i/>
                <w:szCs w:val="22"/>
                <w:lang w:eastAsia="sv-SE"/>
              </w:rPr>
              <w:t>tpc-Accumulation</w:t>
            </w:r>
          </w:p>
          <w:p w14:paraId="7EE69AB3" w14:textId="77777777" w:rsidR="00394471" w:rsidRPr="00FA0D37" w:rsidRDefault="00394471" w:rsidP="00964CC4">
            <w:pPr>
              <w:pStyle w:val="TAL"/>
              <w:rPr>
                <w:szCs w:val="22"/>
                <w:lang w:eastAsia="sv-SE"/>
              </w:rPr>
            </w:pPr>
            <w:r w:rsidRPr="00FA0D37">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FA0D37"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FA0D37" w:rsidRDefault="00394471" w:rsidP="00964CC4">
            <w:pPr>
              <w:pStyle w:val="TAL"/>
              <w:rPr>
                <w:szCs w:val="22"/>
                <w:lang w:eastAsia="sv-SE"/>
              </w:rPr>
            </w:pPr>
            <w:r w:rsidRPr="00FA0D37">
              <w:rPr>
                <w:b/>
                <w:i/>
                <w:szCs w:val="22"/>
                <w:lang w:eastAsia="sv-SE"/>
              </w:rPr>
              <w:t>twoPUSCH-PC-AdjustmentStates</w:t>
            </w:r>
          </w:p>
          <w:p w14:paraId="420A19E1" w14:textId="77777777" w:rsidR="00394471" w:rsidRPr="00FA0D37" w:rsidRDefault="00394471" w:rsidP="00964CC4">
            <w:pPr>
              <w:pStyle w:val="TAL"/>
              <w:rPr>
                <w:szCs w:val="22"/>
                <w:lang w:eastAsia="sv-SE"/>
              </w:rPr>
            </w:pPr>
            <w:r w:rsidRPr="00FA0D37">
              <w:rPr>
                <w:szCs w:val="22"/>
                <w:lang w:eastAsia="sv-SE"/>
              </w:rPr>
              <w:t>Number of PUSCH power control adjustment states maintained by the UE (i.e., fc(i)). If the field is present (</w:t>
            </w:r>
            <w:r w:rsidRPr="00FA0D37">
              <w:rPr>
                <w:i/>
                <w:szCs w:val="22"/>
                <w:lang w:eastAsia="sv-SE"/>
              </w:rPr>
              <w:t>n2</w:t>
            </w:r>
            <w:r w:rsidRPr="00FA0D37">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FA0D37" w:rsidRDefault="00394471" w:rsidP="00964CC4">
            <w:pPr>
              <w:pStyle w:val="TAH"/>
              <w:rPr>
                <w:szCs w:val="22"/>
                <w:lang w:eastAsia="sv-SE"/>
              </w:rPr>
            </w:pPr>
            <w:r w:rsidRPr="00FA0D37">
              <w:rPr>
                <w:i/>
                <w:szCs w:val="22"/>
                <w:lang w:eastAsia="sv-SE"/>
              </w:rPr>
              <w:lastRenderedPageBreak/>
              <w:t xml:space="preserve">SRI-PUSCH-PowerControl </w:t>
            </w:r>
            <w:r w:rsidRPr="00FA0D37">
              <w:rPr>
                <w:szCs w:val="22"/>
                <w:lang w:eastAsia="sv-SE"/>
              </w:rPr>
              <w:t>field descriptions</w:t>
            </w:r>
          </w:p>
        </w:tc>
      </w:tr>
      <w:tr w:rsidR="005C7FF4" w:rsidRPr="00FA0D37"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FA0D37" w:rsidRDefault="00394471" w:rsidP="00964CC4">
            <w:pPr>
              <w:pStyle w:val="TAL"/>
              <w:rPr>
                <w:szCs w:val="22"/>
                <w:lang w:eastAsia="sv-SE"/>
              </w:rPr>
            </w:pPr>
            <w:r w:rsidRPr="00FA0D37">
              <w:rPr>
                <w:b/>
                <w:i/>
                <w:szCs w:val="22"/>
                <w:lang w:eastAsia="sv-SE"/>
              </w:rPr>
              <w:t>sri-P0-PUSCH-AlphaSetId</w:t>
            </w:r>
          </w:p>
          <w:p w14:paraId="6991C726" w14:textId="77777777" w:rsidR="00394471" w:rsidRPr="00FA0D37" w:rsidRDefault="00394471" w:rsidP="00964CC4">
            <w:pPr>
              <w:pStyle w:val="TAL"/>
              <w:rPr>
                <w:szCs w:val="22"/>
                <w:lang w:eastAsia="sv-SE"/>
              </w:rPr>
            </w:pPr>
            <w:r w:rsidRPr="00FA0D37">
              <w:rPr>
                <w:szCs w:val="22"/>
                <w:lang w:eastAsia="sv-SE"/>
              </w:rPr>
              <w:t xml:space="preserve">The ID of a </w:t>
            </w:r>
            <w:r w:rsidRPr="00FA0D37">
              <w:rPr>
                <w:i/>
                <w:szCs w:val="22"/>
                <w:lang w:eastAsia="sv-SE"/>
              </w:rPr>
              <w:t>P0-PUSCH-AlphaSet</w:t>
            </w:r>
            <w:r w:rsidRPr="00FA0D37">
              <w:rPr>
                <w:szCs w:val="22"/>
                <w:lang w:eastAsia="sv-SE"/>
              </w:rPr>
              <w:t xml:space="preserve"> as configured in </w:t>
            </w:r>
            <w:r w:rsidRPr="00FA0D37">
              <w:rPr>
                <w:i/>
                <w:szCs w:val="22"/>
                <w:lang w:eastAsia="sv-SE"/>
              </w:rPr>
              <w:t>p0-AlphaSets</w:t>
            </w:r>
            <w:r w:rsidRPr="00FA0D37">
              <w:rPr>
                <w:szCs w:val="22"/>
                <w:lang w:eastAsia="sv-SE"/>
              </w:rPr>
              <w:t xml:space="preserve"> </w:t>
            </w:r>
            <w:r w:rsidRPr="00FA0D37">
              <w:rPr>
                <w:i/>
                <w:szCs w:val="22"/>
                <w:lang w:eastAsia="sv-SE"/>
              </w:rPr>
              <w:t>in PUSCH-PowerControl</w:t>
            </w:r>
            <w:r w:rsidRPr="00FA0D37">
              <w:rPr>
                <w:szCs w:val="22"/>
                <w:lang w:eastAsia="sv-SE"/>
              </w:rPr>
              <w:t>.</w:t>
            </w:r>
          </w:p>
        </w:tc>
      </w:tr>
      <w:tr w:rsidR="005C7FF4" w:rsidRPr="00FA0D37"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FA0D37" w:rsidRDefault="00394471" w:rsidP="00964CC4">
            <w:pPr>
              <w:pStyle w:val="TAL"/>
              <w:rPr>
                <w:szCs w:val="22"/>
                <w:lang w:eastAsia="sv-SE"/>
              </w:rPr>
            </w:pPr>
            <w:r w:rsidRPr="00FA0D37">
              <w:rPr>
                <w:b/>
                <w:i/>
                <w:szCs w:val="22"/>
                <w:lang w:eastAsia="sv-SE"/>
              </w:rPr>
              <w:t>sri-PUSCH-ClosedLoopIndex</w:t>
            </w:r>
          </w:p>
          <w:p w14:paraId="17B2DAE4" w14:textId="77777777" w:rsidR="00394471" w:rsidRPr="00FA0D37" w:rsidRDefault="00394471" w:rsidP="00964CC4">
            <w:pPr>
              <w:pStyle w:val="TAL"/>
              <w:rPr>
                <w:szCs w:val="22"/>
                <w:lang w:eastAsia="sv-SE"/>
              </w:rPr>
            </w:pPr>
            <w:r w:rsidRPr="00FA0D37">
              <w:rPr>
                <w:szCs w:val="22"/>
                <w:lang w:eastAsia="sv-SE"/>
              </w:rPr>
              <w:t xml:space="preserve">The index of the closed power control loop associated with this </w:t>
            </w:r>
            <w:r w:rsidRPr="00FA0D37">
              <w:rPr>
                <w:i/>
                <w:szCs w:val="22"/>
                <w:lang w:eastAsia="sv-SE"/>
              </w:rPr>
              <w:t>SRI-PUSCH-PowerControl.</w:t>
            </w:r>
          </w:p>
        </w:tc>
      </w:tr>
      <w:tr w:rsidR="005C7FF4" w:rsidRPr="00FA0D37"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FA0D37" w:rsidRDefault="00394471" w:rsidP="00964CC4">
            <w:pPr>
              <w:pStyle w:val="TAL"/>
              <w:rPr>
                <w:szCs w:val="22"/>
                <w:lang w:eastAsia="sv-SE"/>
              </w:rPr>
            </w:pPr>
            <w:r w:rsidRPr="00FA0D37">
              <w:rPr>
                <w:b/>
                <w:i/>
                <w:szCs w:val="22"/>
                <w:lang w:eastAsia="sv-SE"/>
              </w:rPr>
              <w:t>sri-PUSCH-PathlossReferenceRS-Id</w:t>
            </w:r>
          </w:p>
          <w:p w14:paraId="4F690E57" w14:textId="77777777" w:rsidR="00394471" w:rsidRPr="00FA0D37" w:rsidRDefault="00394471" w:rsidP="00964CC4">
            <w:pPr>
              <w:pStyle w:val="TAL"/>
              <w:rPr>
                <w:szCs w:val="22"/>
                <w:lang w:eastAsia="sv-SE"/>
              </w:rPr>
            </w:pPr>
            <w:r w:rsidRPr="00FA0D37">
              <w:rPr>
                <w:szCs w:val="22"/>
                <w:lang w:eastAsia="sv-SE"/>
              </w:rPr>
              <w:t xml:space="preserve">The ID of </w:t>
            </w:r>
            <w:r w:rsidRPr="00FA0D37">
              <w:rPr>
                <w:i/>
                <w:szCs w:val="22"/>
                <w:lang w:eastAsia="sv-SE"/>
              </w:rPr>
              <w:t>PUSCH-PathlossReferenceRS</w:t>
            </w:r>
            <w:r w:rsidRPr="00FA0D37">
              <w:rPr>
                <w:szCs w:val="22"/>
                <w:lang w:eastAsia="sv-SE"/>
              </w:rPr>
              <w:t xml:space="preserve"> as configured in the </w:t>
            </w:r>
            <w:r w:rsidRPr="00FA0D37">
              <w:rPr>
                <w:i/>
                <w:szCs w:val="22"/>
                <w:lang w:eastAsia="sv-SE"/>
              </w:rPr>
              <w:t>pathlossReferenceRSToAddModList</w:t>
            </w:r>
            <w:r w:rsidRPr="00FA0D37">
              <w:rPr>
                <w:szCs w:val="22"/>
                <w:lang w:eastAsia="sv-SE"/>
              </w:rPr>
              <w:t xml:space="preserve"> in </w:t>
            </w:r>
            <w:r w:rsidRPr="00FA0D37">
              <w:rPr>
                <w:i/>
                <w:szCs w:val="22"/>
                <w:lang w:eastAsia="sv-SE"/>
              </w:rPr>
              <w:t>PUSCH-PowerControl</w:t>
            </w:r>
            <w:r w:rsidRPr="00FA0D37">
              <w:rPr>
                <w:szCs w:val="22"/>
                <w:lang w:eastAsia="sv-SE"/>
              </w:rPr>
              <w:t>.</w:t>
            </w:r>
          </w:p>
        </w:tc>
      </w:tr>
      <w:tr w:rsidR="00394471" w:rsidRPr="00FA0D37"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FA0D37" w:rsidRDefault="00394471" w:rsidP="00964CC4">
            <w:pPr>
              <w:pStyle w:val="TAL"/>
              <w:rPr>
                <w:szCs w:val="22"/>
                <w:lang w:eastAsia="sv-SE"/>
              </w:rPr>
            </w:pPr>
            <w:r w:rsidRPr="00FA0D37">
              <w:rPr>
                <w:b/>
                <w:i/>
                <w:szCs w:val="22"/>
                <w:lang w:eastAsia="sv-SE"/>
              </w:rPr>
              <w:t>sri-PUSCH-PowerControlId</w:t>
            </w:r>
          </w:p>
          <w:p w14:paraId="5FF1436D" w14:textId="77777777" w:rsidR="00394471" w:rsidRPr="00FA0D37" w:rsidRDefault="00394471" w:rsidP="00964CC4">
            <w:pPr>
              <w:pStyle w:val="TAL"/>
              <w:rPr>
                <w:szCs w:val="22"/>
                <w:lang w:eastAsia="sv-SE"/>
              </w:rPr>
            </w:pPr>
            <w:r w:rsidRPr="00FA0D37">
              <w:rPr>
                <w:szCs w:val="22"/>
                <w:lang w:eastAsia="sv-SE"/>
              </w:rPr>
              <w:t xml:space="preserve">The ID of this </w:t>
            </w:r>
            <w:r w:rsidRPr="00FA0D37">
              <w:rPr>
                <w:i/>
                <w:szCs w:val="22"/>
                <w:lang w:eastAsia="sv-SE"/>
              </w:rPr>
              <w:t>SRI-PUSCH-PowerControl</w:t>
            </w:r>
            <w:r w:rsidRPr="00FA0D37">
              <w:rPr>
                <w:szCs w:val="22"/>
                <w:lang w:eastAsia="sv-SE"/>
              </w:rPr>
              <w:t xml:space="preserve"> configuration. It is used as the codepoint (payload) in the SRI DCI field.</w:t>
            </w:r>
          </w:p>
        </w:tc>
      </w:tr>
    </w:tbl>
    <w:p w14:paraId="3B84B21E" w14:textId="77777777" w:rsidR="00394471" w:rsidRPr="00FA0D37" w:rsidRDefault="00394471" w:rsidP="00394471"/>
    <w:p w14:paraId="6CB1F001" w14:textId="77777777" w:rsidR="00394471" w:rsidRPr="00FA0D37" w:rsidRDefault="00394471" w:rsidP="00394471">
      <w:pPr>
        <w:pStyle w:val="4"/>
      </w:pPr>
      <w:bookmarkStart w:id="1266" w:name="_Toc60777325"/>
      <w:bookmarkStart w:id="1267" w:name="_Toc146781404"/>
      <w:r w:rsidRPr="00FA0D37">
        <w:t>–</w:t>
      </w:r>
      <w:r w:rsidRPr="00FA0D37">
        <w:tab/>
      </w:r>
      <w:r w:rsidRPr="00FA0D37">
        <w:rPr>
          <w:i/>
        </w:rPr>
        <w:t>PUSCH-ServingCellConfig</w:t>
      </w:r>
      <w:bookmarkEnd w:id="1266"/>
      <w:bookmarkEnd w:id="1267"/>
    </w:p>
    <w:p w14:paraId="01513EAB" w14:textId="77777777" w:rsidR="00394471" w:rsidRPr="00FA0D37" w:rsidRDefault="00394471" w:rsidP="00394471">
      <w:r w:rsidRPr="00FA0D37">
        <w:t xml:space="preserve">The IE </w:t>
      </w:r>
      <w:r w:rsidRPr="00FA0D37">
        <w:rPr>
          <w:i/>
        </w:rPr>
        <w:t>PUSCH-ServingCellConfig</w:t>
      </w:r>
      <w:r w:rsidRPr="00FA0D37">
        <w:t xml:space="preserve"> is used to configure UE specific PUSCH parameters that are common across the UE's BWPs of one serving cell.</w:t>
      </w:r>
    </w:p>
    <w:p w14:paraId="24DDD39B" w14:textId="77777777" w:rsidR="00394471" w:rsidRPr="00FA0D37" w:rsidRDefault="00394471" w:rsidP="00394471">
      <w:pPr>
        <w:pStyle w:val="TH"/>
      </w:pPr>
      <w:r w:rsidRPr="00FA0D37">
        <w:rPr>
          <w:i/>
        </w:rPr>
        <w:t>PUSCH-ServingCellConfig</w:t>
      </w:r>
      <w:r w:rsidRPr="00FA0D37">
        <w:t xml:space="preserve"> information element</w:t>
      </w:r>
    </w:p>
    <w:p w14:paraId="6D0B9E99" w14:textId="77777777" w:rsidR="00394471" w:rsidRPr="00FA0D37" w:rsidRDefault="00394471" w:rsidP="00FA0D37">
      <w:pPr>
        <w:pStyle w:val="PL"/>
        <w:rPr>
          <w:color w:val="808080"/>
        </w:rPr>
      </w:pPr>
      <w:r w:rsidRPr="00FA0D37">
        <w:rPr>
          <w:color w:val="808080"/>
        </w:rPr>
        <w:t>-- ASN1START</w:t>
      </w:r>
    </w:p>
    <w:p w14:paraId="71D04F40" w14:textId="77777777" w:rsidR="00394471" w:rsidRPr="00FA0D37" w:rsidRDefault="00394471" w:rsidP="00FA0D37">
      <w:pPr>
        <w:pStyle w:val="PL"/>
        <w:rPr>
          <w:color w:val="808080"/>
        </w:rPr>
      </w:pPr>
      <w:r w:rsidRPr="00FA0D37">
        <w:rPr>
          <w:color w:val="808080"/>
        </w:rPr>
        <w:t>-- TAG-PUSCH-SERVINGCELLCONFIG-START</w:t>
      </w:r>
    </w:p>
    <w:p w14:paraId="5F7D2FA0" w14:textId="77777777" w:rsidR="00394471" w:rsidRPr="00FA0D37" w:rsidRDefault="00394471" w:rsidP="00FA0D37">
      <w:pPr>
        <w:pStyle w:val="PL"/>
      </w:pPr>
    </w:p>
    <w:p w14:paraId="6099042F" w14:textId="77777777" w:rsidR="00394471" w:rsidRPr="00FA0D37" w:rsidRDefault="00394471" w:rsidP="00FA0D37">
      <w:pPr>
        <w:pStyle w:val="PL"/>
      </w:pPr>
      <w:r w:rsidRPr="00FA0D37">
        <w:t xml:space="preserve">PUSCH-ServingCellConfig ::=             </w:t>
      </w:r>
      <w:r w:rsidRPr="00FA0D37">
        <w:rPr>
          <w:color w:val="993366"/>
        </w:rPr>
        <w:t>SEQUENCE</w:t>
      </w:r>
      <w:r w:rsidRPr="00FA0D37">
        <w:t xml:space="preserve"> {</w:t>
      </w:r>
    </w:p>
    <w:p w14:paraId="694270F7" w14:textId="77777777" w:rsidR="00394471" w:rsidRPr="00FA0D37" w:rsidRDefault="00394471" w:rsidP="00FA0D37">
      <w:pPr>
        <w:pStyle w:val="PL"/>
        <w:rPr>
          <w:color w:val="808080"/>
        </w:rPr>
      </w:pPr>
      <w:r w:rsidRPr="00FA0D37">
        <w:t xml:space="preserve">    codeBlockGroupTransmission              SetupRelease { PUSCH-CodeBlockGroupTransmission }       </w:t>
      </w:r>
      <w:r w:rsidRPr="00FA0D37">
        <w:rPr>
          <w:color w:val="993366"/>
        </w:rPr>
        <w:t>OPTIONAL</w:t>
      </w:r>
      <w:r w:rsidRPr="00FA0D37">
        <w:t xml:space="preserve">,   </w:t>
      </w:r>
      <w:r w:rsidRPr="00FA0D37">
        <w:rPr>
          <w:color w:val="808080"/>
        </w:rPr>
        <w:t>-- Need M</w:t>
      </w:r>
    </w:p>
    <w:p w14:paraId="34F4912B" w14:textId="77777777" w:rsidR="00394471" w:rsidRPr="00FA0D37" w:rsidRDefault="00394471" w:rsidP="00FA0D37">
      <w:pPr>
        <w:pStyle w:val="PL"/>
        <w:rPr>
          <w:color w:val="808080"/>
        </w:rPr>
      </w:pPr>
      <w:r w:rsidRPr="00FA0D37">
        <w:t xml:space="preserve">    rateMatching                            </w:t>
      </w:r>
      <w:r w:rsidRPr="00FA0D37">
        <w:rPr>
          <w:color w:val="993366"/>
        </w:rPr>
        <w:t>ENUMERATED</w:t>
      </w:r>
      <w:r w:rsidRPr="00FA0D37">
        <w:t xml:space="preserve"> {limitedBufferRM}                            </w:t>
      </w:r>
      <w:r w:rsidRPr="00FA0D37">
        <w:rPr>
          <w:color w:val="993366"/>
        </w:rPr>
        <w:t>OPTIONAL</w:t>
      </w:r>
      <w:r w:rsidRPr="00FA0D37">
        <w:t xml:space="preserve">,   </w:t>
      </w:r>
      <w:r w:rsidRPr="00FA0D37">
        <w:rPr>
          <w:color w:val="808080"/>
        </w:rPr>
        <w:t>-- Need S</w:t>
      </w:r>
    </w:p>
    <w:p w14:paraId="2571E581" w14:textId="77777777" w:rsidR="00394471" w:rsidRPr="00FA0D37" w:rsidRDefault="00394471" w:rsidP="00FA0D37">
      <w:pPr>
        <w:pStyle w:val="PL"/>
        <w:rPr>
          <w:color w:val="808080"/>
        </w:rPr>
      </w:pPr>
      <w:r w:rsidRPr="00FA0D37">
        <w:t xml:space="preserve">    xOverhead                               </w:t>
      </w:r>
      <w:r w:rsidRPr="00FA0D37">
        <w:rPr>
          <w:color w:val="993366"/>
        </w:rPr>
        <w:t>ENUMERATED</w:t>
      </w:r>
      <w:r w:rsidRPr="00FA0D37">
        <w:t xml:space="preserve"> {xoh6, xoh12, xoh18}                         </w:t>
      </w:r>
      <w:r w:rsidRPr="00FA0D37">
        <w:rPr>
          <w:color w:val="993366"/>
        </w:rPr>
        <w:t>OPTIONAL</w:t>
      </w:r>
      <w:r w:rsidRPr="00FA0D37">
        <w:t xml:space="preserve">,   </w:t>
      </w:r>
      <w:r w:rsidRPr="00FA0D37">
        <w:rPr>
          <w:color w:val="808080"/>
        </w:rPr>
        <w:t>-- Need S</w:t>
      </w:r>
    </w:p>
    <w:p w14:paraId="1D7E5943" w14:textId="77777777" w:rsidR="00394471" w:rsidRPr="00FA0D37" w:rsidRDefault="00394471" w:rsidP="00FA0D37">
      <w:pPr>
        <w:pStyle w:val="PL"/>
      </w:pPr>
      <w:r w:rsidRPr="00FA0D37">
        <w:t xml:space="preserve">    ...,</w:t>
      </w:r>
    </w:p>
    <w:p w14:paraId="13331930" w14:textId="77777777" w:rsidR="00394471" w:rsidRPr="00FA0D37" w:rsidRDefault="00394471" w:rsidP="00FA0D37">
      <w:pPr>
        <w:pStyle w:val="PL"/>
      </w:pPr>
      <w:r w:rsidRPr="00FA0D37">
        <w:t xml:space="preserve">    [[</w:t>
      </w:r>
    </w:p>
    <w:p w14:paraId="2A5A029B" w14:textId="77777777" w:rsidR="00394471" w:rsidRPr="00FA0D37" w:rsidRDefault="00394471" w:rsidP="00FA0D37">
      <w:pPr>
        <w:pStyle w:val="PL"/>
        <w:rPr>
          <w:color w:val="808080"/>
        </w:rPr>
      </w:pPr>
      <w:r w:rsidRPr="00FA0D37">
        <w:t xml:space="preserve">    maxMIMO-Layers                          </w:t>
      </w:r>
      <w:r w:rsidRPr="00FA0D37">
        <w:rPr>
          <w:color w:val="993366"/>
        </w:rPr>
        <w:t>INTEGER</w:t>
      </w:r>
      <w:r w:rsidRPr="00FA0D37">
        <w:t xml:space="preserve"> (1..4)                                          </w:t>
      </w:r>
      <w:r w:rsidRPr="00FA0D37">
        <w:rPr>
          <w:color w:val="993366"/>
        </w:rPr>
        <w:t>OPTIONAL</w:t>
      </w:r>
      <w:r w:rsidRPr="00FA0D37">
        <w:t xml:space="preserve">,   </w:t>
      </w:r>
      <w:r w:rsidRPr="00FA0D37">
        <w:rPr>
          <w:color w:val="808080"/>
        </w:rPr>
        <w:t>-- Need M</w:t>
      </w:r>
    </w:p>
    <w:p w14:paraId="5A22C8AD" w14:textId="77777777" w:rsidR="00394471" w:rsidRPr="00FA0D37" w:rsidRDefault="00394471" w:rsidP="00FA0D37">
      <w:pPr>
        <w:pStyle w:val="PL"/>
        <w:rPr>
          <w:color w:val="808080"/>
        </w:rPr>
      </w:pPr>
      <w:r w:rsidRPr="00FA0D37">
        <w:t xml:space="preserve">    processingType2Enabled                  </w:t>
      </w:r>
      <w:r w:rsidRPr="00FA0D37">
        <w:rPr>
          <w:color w:val="993366"/>
        </w:rPr>
        <w:t>BOOLEAN</w:t>
      </w:r>
      <w:r w:rsidRPr="00FA0D37">
        <w:t xml:space="preserve">                                                 </w:t>
      </w:r>
      <w:r w:rsidRPr="00FA0D37">
        <w:rPr>
          <w:color w:val="993366"/>
        </w:rPr>
        <w:t>OPTIONAL</w:t>
      </w:r>
      <w:r w:rsidRPr="00FA0D37">
        <w:t xml:space="preserve">    </w:t>
      </w:r>
      <w:r w:rsidRPr="00FA0D37">
        <w:rPr>
          <w:color w:val="808080"/>
        </w:rPr>
        <w:t>-- Need M</w:t>
      </w:r>
    </w:p>
    <w:p w14:paraId="037982EC" w14:textId="77777777" w:rsidR="00394471" w:rsidRPr="00FA0D37" w:rsidRDefault="00394471" w:rsidP="00FA0D37">
      <w:pPr>
        <w:pStyle w:val="PL"/>
      </w:pPr>
      <w:r w:rsidRPr="00FA0D37">
        <w:t xml:space="preserve">    ]],</w:t>
      </w:r>
    </w:p>
    <w:p w14:paraId="67A044B0" w14:textId="77777777" w:rsidR="00394471" w:rsidRPr="00FA0D37" w:rsidRDefault="00394471" w:rsidP="00FA0D37">
      <w:pPr>
        <w:pStyle w:val="PL"/>
      </w:pPr>
      <w:r w:rsidRPr="00FA0D37">
        <w:t xml:space="preserve">    [[</w:t>
      </w:r>
    </w:p>
    <w:p w14:paraId="0A78138B" w14:textId="77777777" w:rsidR="00394471" w:rsidRPr="00FA0D37" w:rsidRDefault="00394471" w:rsidP="00FA0D37">
      <w:pPr>
        <w:pStyle w:val="PL"/>
        <w:rPr>
          <w:color w:val="808080"/>
        </w:rPr>
      </w:pPr>
      <w:r w:rsidRPr="00FA0D37">
        <w:t xml:space="preserve">    maxMIMO-LayersDCI-0-2-r16               SetupRelease { MaxMIMO-LayersDCI-0-2-r16}               </w:t>
      </w:r>
      <w:r w:rsidRPr="00FA0D37">
        <w:rPr>
          <w:color w:val="993366"/>
        </w:rPr>
        <w:t>OPTIONAL</w:t>
      </w:r>
      <w:r w:rsidRPr="00FA0D37">
        <w:t xml:space="preserve">    </w:t>
      </w:r>
      <w:r w:rsidRPr="00FA0D37">
        <w:rPr>
          <w:color w:val="808080"/>
        </w:rPr>
        <w:t>-- Need M</w:t>
      </w:r>
    </w:p>
    <w:p w14:paraId="6183995D" w14:textId="4EDB0303" w:rsidR="005B7637" w:rsidRPr="00FA0D37" w:rsidRDefault="00394471" w:rsidP="00FA0D37">
      <w:pPr>
        <w:pStyle w:val="PL"/>
      </w:pPr>
      <w:r w:rsidRPr="00FA0D37">
        <w:t xml:space="preserve">    ]]</w:t>
      </w:r>
      <w:r w:rsidR="005B7637" w:rsidRPr="00FA0D37">
        <w:t>,</w:t>
      </w:r>
    </w:p>
    <w:p w14:paraId="109F5D34" w14:textId="5B8D17E8" w:rsidR="005B7637" w:rsidRPr="00FA0D37" w:rsidRDefault="005B7637" w:rsidP="00FA0D37">
      <w:pPr>
        <w:pStyle w:val="PL"/>
      </w:pPr>
      <w:r w:rsidRPr="00FA0D37">
        <w:t xml:space="preserve">    [[</w:t>
      </w:r>
    </w:p>
    <w:p w14:paraId="4CC75441" w14:textId="04615B87" w:rsidR="005B7637" w:rsidRPr="00FA0D37" w:rsidRDefault="005B7637" w:rsidP="00FA0D37">
      <w:pPr>
        <w:pStyle w:val="PL"/>
        <w:rPr>
          <w:color w:val="808080"/>
        </w:rPr>
      </w:pPr>
      <w:r w:rsidRPr="00FA0D37">
        <w:t xml:space="preserve">    nrofHARQ-ProcessesForP</w:t>
      </w:r>
      <w:r w:rsidR="00FE5A80" w:rsidRPr="00FA0D37">
        <w:t>U</w:t>
      </w:r>
      <w:r w:rsidRPr="00FA0D37">
        <w:t xml:space="preserve">SCH-r17          </w:t>
      </w:r>
      <w:r w:rsidRPr="00FA0D37">
        <w:rPr>
          <w:color w:val="993366"/>
        </w:rPr>
        <w:t>ENUMERATED</w:t>
      </w:r>
      <w:r w:rsidRPr="00FA0D37">
        <w:t xml:space="preserve"> {n32}                                   </w:t>
      </w:r>
      <w:r w:rsidRPr="00FA0D37">
        <w:rPr>
          <w:color w:val="993366"/>
        </w:rPr>
        <w:t>OPTIONAL</w:t>
      </w:r>
      <w:r w:rsidRPr="00FA0D37">
        <w:t xml:space="preserve">,   </w:t>
      </w:r>
      <w:r w:rsidRPr="00FA0D37">
        <w:rPr>
          <w:color w:val="808080"/>
        </w:rPr>
        <w:t xml:space="preserve">-- Need </w:t>
      </w:r>
      <w:r w:rsidR="00771058" w:rsidRPr="00FA0D37">
        <w:rPr>
          <w:color w:val="808080"/>
        </w:rPr>
        <w:t>R</w:t>
      </w:r>
    </w:p>
    <w:p w14:paraId="15F81C94" w14:textId="2185083D" w:rsidR="005B7637" w:rsidRPr="00FA0D37" w:rsidRDefault="005B7637" w:rsidP="00FA0D37">
      <w:pPr>
        <w:pStyle w:val="PL"/>
        <w:rPr>
          <w:color w:val="808080"/>
        </w:rPr>
      </w:pPr>
      <w:r w:rsidRPr="00FA0D37">
        <w:t xml:space="preserve">    uplinkHARQ-mode-r17                     </w:t>
      </w:r>
      <w:r w:rsidR="00771058" w:rsidRPr="00FA0D37">
        <w:t>SetupRelease { UplinkHARQ-mode-r17}</w:t>
      </w:r>
      <w:r w:rsidRPr="00FA0D37">
        <w:t xml:space="preserve">                     </w:t>
      </w:r>
      <w:r w:rsidRPr="00FA0D37">
        <w:rPr>
          <w:color w:val="993366"/>
        </w:rPr>
        <w:t>OPTIONAL</w:t>
      </w:r>
      <w:r w:rsidRPr="00FA0D37">
        <w:t xml:space="preserve">    </w:t>
      </w:r>
      <w:r w:rsidRPr="00FA0D37">
        <w:rPr>
          <w:color w:val="808080"/>
        </w:rPr>
        <w:t>-- Need M</w:t>
      </w:r>
    </w:p>
    <w:p w14:paraId="3B927BC9" w14:textId="430F5ADD" w:rsidR="00394471" w:rsidRPr="00FA0D37" w:rsidRDefault="005B7637" w:rsidP="00FA0D37">
      <w:pPr>
        <w:pStyle w:val="PL"/>
      </w:pPr>
      <w:r w:rsidRPr="00FA0D37">
        <w:t xml:space="preserve">    ]]</w:t>
      </w:r>
    </w:p>
    <w:p w14:paraId="7DA3A203" w14:textId="77777777" w:rsidR="00394471" w:rsidRPr="00FA0D37" w:rsidRDefault="00394471" w:rsidP="00FA0D37">
      <w:pPr>
        <w:pStyle w:val="PL"/>
      </w:pPr>
      <w:r w:rsidRPr="00FA0D37">
        <w:t>}</w:t>
      </w:r>
    </w:p>
    <w:p w14:paraId="098B3EAF" w14:textId="77777777" w:rsidR="00394471" w:rsidRPr="00FA0D37" w:rsidRDefault="00394471" w:rsidP="00FA0D37">
      <w:pPr>
        <w:pStyle w:val="PL"/>
      </w:pPr>
    </w:p>
    <w:p w14:paraId="3DF08123" w14:textId="77777777" w:rsidR="00394471" w:rsidRPr="00FA0D37" w:rsidRDefault="00394471" w:rsidP="00FA0D37">
      <w:pPr>
        <w:pStyle w:val="PL"/>
      </w:pPr>
      <w:r w:rsidRPr="00FA0D37">
        <w:t xml:space="preserve">PUSCH-CodeBlockGroupTransmission ::=    </w:t>
      </w:r>
      <w:r w:rsidRPr="00FA0D37">
        <w:rPr>
          <w:color w:val="993366"/>
        </w:rPr>
        <w:t>SEQUENCE</w:t>
      </w:r>
      <w:r w:rsidRPr="00FA0D37">
        <w:t xml:space="preserve"> {</w:t>
      </w:r>
    </w:p>
    <w:p w14:paraId="4E96F315" w14:textId="77777777" w:rsidR="00394471" w:rsidRPr="00FA0D37" w:rsidRDefault="00394471" w:rsidP="00FA0D37">
      <w:pPr>
        <w:pStyle w:val="PL"/>
      </w:pPr>
      <w:r w:rsidRPr="00FA0D37">
        <w:t xml:space="preserve">    maxCodeBlockGroupsPerTransportBlock     </w:t>
      </w:r>
      <w:r w:rsidRPr="00FA0D37">
        <w:rPr>
          <w:color w:val="993366"/>
        </w:rPr>
        <w:t>ENUMERATED</w:t>
      </w:r>
      <w:r w:rsidRPr="00FA0D37">
        <w:t xml:space="preserve"> {n2, n4, n6, n8},</w:t>
      </w:r>
    </w:p>
    <w:p w14:paraId="0FF83E87" w14:textId="77777777" w:rsidR="00394471" w:rsidRPr="00FA0D37" w:rsidRDefault="00394471" w:rsidP="00FA0D37">
      <w:pPr>
        <w:pStyle w:val="PL"/>
      </w:pPr>
      <w:r w:rsidRPr="00FA0D37">
        <w:t xml:space="preserve">    ...</w:t>
      </w:r>
    </w:p>
    <w:p w14:paraId="418388F9" w14:textId="77777777" w:rsidR="00394471" w:rsidRPr="00FA0D37" w:rsidRDefault="00394471" w:rsidP="00FA0D37">
      <w:pPr>
        <w:pStyle w:val="PL"/>
      </w:pPr>
      <w:r w:rsidRPr="00FA0D37">
        <w:t>}</w:t>
      </w:r>
    </w:p>
    <w:p w14:paraId="6E2AA0AE" w14:textId="77777777" w:rsidR="00394471" w:rsidRPr="00FA0D37" w:rsidRDefault="00394471" w:rsidP="00FA0D37">
      <w:pPr>
        <w:pStyle w:val="PL"/>
      </w:pPr>
    </w:p>
    <w:p w14:paraId="74632673" w14:textId="77777777" w:rsidR="00394471" w:rsidRPr="00FA0D37" w:rsidRDefault="00394471" w:rsidP="00FA0D37">
      <w:pPr>
        <w:pStyle w:val="PL"/>
      </w:pPr>
      <w:r w:rsidRPr="00FA0D37">
        <w:t xml:space="preserve">MaxMIMO-LayersDCI-0-2-r16 ::=           </w:t>
      </w:r>
      <w:r w:rsidRPr="00FA0D37">
        <w:rPr>
          <w:color w:val="993366"/>
        </w:rPr>
        <w:t>INTEGER</w:t>
      </w:r>
      <w:r w:rsidRPr="00FA0D37">
        <w:t xml:space="preserve"> (1..4)</w:t>
      </w:r>
    </w:p>
    <w:p w14:paraId="756C3D50" w14:textId="77777777" w:rsidR="00771058" w:rsidRPr="00FA0D37" w:rsidRDefault="00771058" w:rsidP="00FA0D37">
      <w:pPr>
        <w:pStyle w:val="PL"/>
      </w:pPr>
    </w:p>
    <w:p w14:paraId="1AC6F1B5" w14:textId="63E375A8" w:rsidR="00394471" w:rsidRPr="00FA0D37" w:rsidRDefault="00771058" w:rsidP="00FA0D37">
      <w:pPr>
        <w:pStyle w:val="PL"/>
      </w:pPr>
      <w:r w:rsidRPr="00FA0D37">
        <w:t xml:space="preserve">UplinkHARQ-mode-r17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62901BDC" w14:textId="77777777" w:rsidR="00771058" w:rsidRPr="00FA0D37" w:rsidRDefault="00771058" w:rsidP="00FA0D37">
      <w:pPr>
        <w:pStyle w:val="PL"/>
      </w:pPr>
    </w:p>
    <w:p w14:paraId="5D335DD5" w14:textId="77777777" w:rsidR="00394471" w:rsidRPr="00FA0D37" w:rsidRDefault="00394471" w:rsidP="00FA0D37">
      <w:pPr>
        <w:pStyle w:val="PL"/>
        <w:rPr>
          <w:color w:val="808080"/>
        </w:rPr>
      </w:pPr>
      <w:r w:rsidRPr="00FA0D37">
        <w:rPr>
          <w:color w:val="808080"/>
        </w:rPr>
        <w:t>-- TAG-PUSCH-SERVINGCELLCONFIG-STOP</w:t>
      </w:r>
    </w:p>
    <w:p w14:paraId="16A38D3F" w14:textId="77777777" w:rsidR="00394471" w:rsidRPr="00FA0D37" w:rsidRDefault="00394471" w:rsidP="00FA0D37">
      <w:pPr>
        <w:pStyle w:val="PL"/>
        <w:rPr>
          <w:color w:val="808080"/>
        </w:rPr>
      </w:pPr>
      <w:r w:rsidRPr="00FA0D37">
        <w:rPr>
          <w:color w:val="808080"/>
        </w:rPr>
        <w:lastRenderedPageBreak/>
        <w:t>-- ASN1STOP</w:t>
      </w:r>
    </w:p>
    <w:p w14:paraId="1B6E6DB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FA0D37" w:rsidRDefault="00394471" w:rsidP="00964CC4">
            <w:pPr>
              <w:pStyle w:val="TAH"/>
              <w:rPr>
                <w:szCs w:val="22"/>
                <w:lang w:eastAsia="sv-SE"/>
              </w:rPr>
            </w:pPr>
            <w:r w:rsidRPr="00FA0D37">
              <w:rPr>
                <w:i/>
                <w:szCs w:val="22"/>
                <w:lang w:eastAsia="sv-SE"/>
              </w:rPr>
              <w:t xml:space="preserve">PUSCH-CodeBlockGroupTransmission </w:t>
            </w:r>
            <w:r w:rsidRPr="00FA0D37">
              <w:rPr>
                <w:szCs w:val="22"/>
                <w:lang w:eastAsia="sv-SE"/>
              </w:rPr>
              <w:t>field descriptions</w:t>
            </w:r>
          </w:p>
        </w:tc>
      </w:tr>
      <w:tr w:rsidR="00394471" w:rsidRPr="00FA0D37"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FA0D37" w:rsidRDefault="00394471" w:rsidP="00964CC4">
            <w:pPr>
              <w:pStyle w:val="TAL"/>
              <w:rPr>
                <w:szCs w:val="22"/>
                <w:lang w:eastAsia="sv-SE"/>
              </w:rPr>
            </w:pPr>
            <w:r w:rsidRPr="00FA0D37">
              <w:rPr>
                <w:b/>
                <w:i/>
                <w:szCs w:val="22"/>
                <w:lang w:eastAsia="sv-SE"/>
              </w:rPr>
              <w:t>maxCodeBlockGroupsPerTransportBlock</w:t>
            </w:r>
          </w:p>
          <w:p w14:paraId="241938F0" w14:textId="77777777" w:rsidR="00394471" w:rsidRPr="00FA0D37" w:rsidRDefault="00394471" w:rsidP="00964CC4">
            <w:pPr>
              <w:pStyle w:val="TAL"/>
              <w:rPr>
                <w:szCs w:val="22"/>
                <w:lang w:eastAsia="sv-SE"/>
              </w:rPr>
            </w:pPr>
            <w:r w:rsidRPr="00FA0D37">
              <w:rPr>
                <w:szCs w:val="22"/>
                <w:lang w:eastAsia="sv-SE"/>
              </w:rPr>
              <w:t>Maximum number of code-block-groups (CBGs) per TB (see TS 38.213 [13], clause 9.1).</w:t>
            </w:r>
          </w:p>
        </w:tc>
      </w:tr>
    </w:tbl>
    <w:p w14:paraId="75BEA83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FA0D37" w:rsidRDefault="00394471" w:rsidP="00964CC4">
            <w:pPr>
              <w:pStyle w:val="TAH"/>
              <w:rPr>
                <w:szCs w:val="22"/>
                <w:lang w:eastAsia="sv-SE"/>
              </w:rPr>
            </w:pPr>
            <w:r w:rsidRPr="00FA0D37">
              <w:rPr>
                <w:i/>
                <w:szCs w:val="22"/>
                <w:lang w:eastAsia="sv-SE"/>
              </w:rPr>
              <w:t xml:space="preserve">PUSCH-ServingCellConfig </w:t>
            </w:r>
            <w:r w:rsidRPr="00FA0D37">
              <w:rPr>
                <w:szCs w:val="22"/>
                <w:lang w:eastAsia="sv-SE"/>
              </w:rPr>
              <w:t>field descriptions</w:t>
            </w:r>
          </w:p>
        </w:tc>
      </w:tr>
      <w:tr w:rsidR="005C7FF4" w:rsidRPr="00FA0D37"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FA0D37" w:rsidRDefault="00394471" w:rsidP="00964CC4">
            <w:pPr>
              <w:pStyle w:val="TAL"/>
              <w:rPr>
                <w:szCs w:val="22"/>
                <w:lang w:eastAsia="sv-SE"/>
              </w:rPr>
            </w:pPr>
            <w:r w:rsidRPr="00FA0D37">
              <w:rPr>
                <w:b/>
                <w:i/>
                <w:szCs w:val="22"/>
                <w:lang w:eastAsia="sv-SE"/>
              </w:rPr>
              <w:t>codeBlockGroupTransmission</w:t>
            </w:r>
          </w:p>
          <w:p w14:paraId="3470ED4E" w14:textId="77777777" w:rsidR="008C38BA" w:rsidRPr="00FA0D37" w:rsidRDefault="00394471" w:rsidP="008C38BA">
            <w:pPr>
              <w:pStyle w:val="TAL"/>
              <w:rPr>
                <w:szCs w:val="22"/>
                <w:lang w:eastAsia="sv-SE"/>
              </w:rPr>
            </w:pPr>
            <w:r w:rsidRPr="00FA0D37">
              <w:rPr>
                <w:szCs w:val="22"/>
                <w:lang w:eastAsia="sv-SE"/>
              </w:rPr>
              <w:t>Enables and configures code-block-group (CBG) based transmission (see TS 38.214 [19], clause 5.1.5).</w:t>
            </w:r>
          </w:p>
          <w:p w14:paraId="64CEBF22" w14:textId="0B053B2C" w:rsidR="00394471" w:rsidRPr="00FA0D37" w:rsidRDefault="008C38BA" w:rsidP="008C38BA">
            <w:pPr>
              <w:pStyle w:val="TAL"/>
              <w:rPr>
                <w:szCs w:val="22"/>
                <w:lang w:eastAsia="sv-SE"/>
              </w:rPr>
            </w:pPr>
            <w:r w:rsidRPr="00FA0D37">
              <w:rPr>
                <w:szCs w:val="22"/>
                <w:lang w:eastAsia="sv-SE"/>
              </w:rPr>
              <w:t xml:space="preserve">The network does not configure this field if the SCS </w:t>
            </w:r>
            <w:r w:rsidR="00E76A07" w:rsidRPr="00FA0D37">
              <w:rPr>
                <w:rFonts w:cs="Arial"/>
                <w:szCs w:val="18"/>
                <w:lang w:eastAsia="sv-SE"/>
              </w:rPr>
              <w:t>of at least one UL BWP configured in the cell</w:t>
            </w:r>
            <w:r w:rsidR="00E76A07" w:rsidRPr="00FA0D37">
              <w:rPr>
                <w:szCs w:val="22"/>
                <w:lang w:eastAsia="sv-SE"/>
              </w:rPr>
              <w:t xml:space="preserve"> </w:t>
            </w:r>
            <w:r w:rsidRPr="00FA0D37">
              <w:rPr>
                <w:szCs w:val="22"/>
                <w:lang w:eastAsia="sv-SE"/>
              </w:rPr>
              <w:t>is 480 or 960 kHz.</w:t>
            </w:r>
          </w:p>
        </w:tc>
      </w:tr>
      <w:tr w:rsidR="005C7FF4" w:rsidRPr="00FA0D37"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7777777" w:rsidR="00394471" w:rsidRPr="00FA0D37" w:rsidRDefault="00394471" w:rsidP="00964CC4">
            <w:pPr>
              <w:pStyle w:val="TAL"/>
              <w:rPr>
                <w:b/>
                <w:i/>
                <w:szCs w:val="22"/>
                <w:lang w:eastAsia="sv-SE"/>
              </w:rPr>
            </w:pPr>
            <w:r w:rsidRPr="00FA0D37">
              <w:rPr>
                <w:b/>
                <w:i/>
                <w:szCs w:val="22"/>
                <w:lang w:eastAsia="sv-SE"/>
              </w:rPr>
              <w:t>maxMIMO-Layers</w:t>
            </w:r>
          </w:p>
          <w:p w14:paraId="4EB9028E" w14:textId="1C6EAEBA" w:rsidR="00394471" w:rsidRPr="00FA0D37" w:rsidRDefault="00394471" w:rsidP="00964CC4">
            <w:pPr>
              <w:pStyle w:val="TAL"/>
              <w:rPr>
                <w:szCs w:val="22"/>
                <w:lang w:eastAsia="sv-SE"/>
              </w:rPr>
            </w:pPr>
            <w:r w:rsidRPr="00FA0D37">
              <w:rPr>
                <w:szCs w:val="22"/>
                <w:lang w:eastAsia="sv-SE"/>
              </w:rPr>
              <w:t xml:space="preserve">Indicates the maximum MIMO layer to be used for PUSCH in all BWPs </w:t>
            </w:r>
            <w:r w:rsidRPr="00FA0D37">
              <w:rPr>
                <w:rFonts w:eastAsia="Malgun Gothic"/>
                <w:szCs w:val="22"/>
                <w:lang w:eastAsia="sv-SE"/>
              </w:rPr>
              <w:t xml:space="preserve">of the </w:t>
            </w:r>
            <w:r w:rsidR="00DE3C60" w:rsidRPr="00FA0D37">
              <w:rPr>
                <w:szCs w:val="22"/>
                <w:lang w:eastAsia="zh-CN"/>
              </w:rPr>
              <w:t>corresponding</w:t>
            </w:r>
            <w:r w:rsidR="00DE3C60" w:rsidRPr="00FA0D37">
              <w:rPr>
                <w:rFonts w:eastAsia="Malgun Gothic"/>
                <w:szCs w:val="22"/>
                <w:lang w:eastAsia="sv-SE"/>
              </w:rPr>
              <w:t xml:space="preserve"> </w:t>
            </w:r>
            <w:r w:rsidRPr="00FA0D37">
              <w:rPr>
                <w:rFonts w:eastAsia="Malgun Gothic"/>
                <w:szCs w:val="22"/>
                <w:lang w:eastAsia="sv-SE"/>
              </w:rPr>
              <w:t xml:space="preserve">UL </w:t>
            </w:r>
            <w:r w:rsidRPr="00FA0D37">
              <w:rPr>
                <w:szCs w:val="22"/>
                <w:lang w:eastAsia="sv-SE"/>
              </w:rPr>
              <w:t xml:space="preserve">of this serving cell (see TS 38.212 [17], clause 5.4.2.1). If present, the network sets </w:t>
            </w:r>
            <w:r w:rsidRPr="00FA0D37">
              <w:rPr>
                <w:i/>
                <w:szCs w:val="22"/>
                <w:lang w:eastAsia="sv-SE"/>
              </w:rPr>
              <w:t>maxRank</w:t>
            </w:r>
            <w:r w:rsidRPr="00FA0D37">
              <w:rPr>
                <w:szCs w:val="22"/>
                <w:lang w:eastAsia="sv-SE"/>
              </w:rPr>
              <w:t xml:space="preserve"> to the same value. The field </w:t>
            </w:r>
            <w:r w:rsidRPr="00FA0D37">
              <w:rPr>
                <w:i/>
                <w:szCs w:val="22"/>
                <w:lang w:eastAsia="sv-SE"/>
              </w:rPr>
              <w:t xml:space="preserve">maxMIMO-Layers </w:t>
            </w:r>
            <w:r w:rsidRPr="00FA0D37">
              <w:rPr>
                <w:szCs w:val="22"/>
                <w:lang w:eastAsia="sv-SE"/>
              </w:rPr>
              <w:t>refers to DCI format 0_1.</w:t>
            </w:r>
          </w:p>
        </w:tc>
      </w:tr>
      <w:tr w:rsidR="005C7FF4" w:rsidRPr="00FA0D37"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FA0D37" w:rsidRDefault="005B7637" w:rsidP="00771058">
            <w:pPr>
              <w:pStyle w:val="TAL"/>
              <w:rPr>
                <w:szCs w:val="22"/>
                <w:lang w:eastAsia="sv-SE"/>
              </w:rPr>
            </w:pPr>
            <w:r w:rsidRPr="00FA0D37">
              <w:rPr>
                <w:b/>
                <w:i/>
                <w:szCs w:val="22"/>
                <w:lang w:eastAsia="sv-SE"/>
              </w:rPr>
              <w:t>nrofHARQ-ProcessesForPUSCH</w:t>
            </w:r>
          </w:p>
          <w:p w14:paraId="2BAD86F3" w14:textId="3369A643" w:rsidR="005B7637" w:rsidRPr="00FA0D37" w:rsidRDefault="005B7637" w:rsidP="00771058">
            <w:pPr>
              <w:pStyle w:val="TAL"/>
              <w:rPr>
                <w:b/>
                <w:i/>
                <w:szCs w:val="22"/>
                <w:lang w:eastAsia="sv-SE"/>
              </w:rPr>
            </w:pPr>
            <w:r w:rsidRPr="00FA0D37">
              <w:rPr>
                <w:szCs w:val="22"/>
                <w:lang w:eastAsia="sv-SE"/>
              </w:rPr>
              <w:t xml:space="preserve">The number of HARQ processes to be used on the PUSCH of a serving cell. Value </w:t>
            </w:r>
            <w:r w:rsidRPr="00FA0D37">
              <w:rPr>
                <w:i/>
                <w:szCs w:val="22"/>
                <w:lang w:eastAsia="sv-SE"/>
              </w:rPr>
              <w:t>n</w:t>
            </w:r>
            <w:r w:rsidR="00771058" w:rsidRPr="00FA0D37">
              <w:rPr>
                <w:i/>
                <w:szCs w:val="22"/>
                <w:lang w:eastAsia="sv-SE"/>
              </w:rPr>
              <w:t>32</w:t>
            </w:r>
            <w:r w:rsidRPr="00FA0D37">
              <w:rPr>
                <w:szCs w:val="22"/>
                <w:lang w:eastAsia="sv-SE"/>
              </w:rPr>
              <w:t xml:space="preserve"> corresponds to </w:t>
            </w:r>
            <w:r w:rsidR="00771058" w:rsidRPr="00FA0D37">
              <w:rPr>
                <w:szCs w:val="22"/>
                <w:lang w:eastAsia="sv-SE"/>
              </w:rPr>
              <w:t>32</w:t>
            </w:r>
            <w:r w:rsidRPr="00FA0D37">
              <w:rPr>
                <w:szCs w:val="22"/>
                <w:lang w:eastAsia="sv-SE"/>
              </w:rPr>
              <w:t xml:space="preserve"> HARQ processes. If the field is absent, the UE uses 16</w:t>
            </w:r>
            <w:r w:rsidR="00771058" w:rsidRPr="00FA0D37">
              <w:rPr>
                <w:szCs w:val="22"/>
                <w:lang w:eastAsia="sv-SE"/>
              </w:rPr>
              <w:t xml:space="preserve"> </w:t>
            </w:r>
            <w:r w:rsidRPr="00FA0D37">
              <w:rPr>
                <w:szCs w:val="22"/>
                <w:lang w:eastAsia="sv-SE"/>
              </w:rPr>
              <w:t xml:space="preserve">HARQ processes (see TS 38.214 [19], clause </w:t>
            </w:r>
            <w:r w:rsidR="00771058" w:rsidRPr="00FA0D37">
              <w:rPr>
                <w:szCs w:val="22"/>
                <w:lang w:eastAsia="sv-SE"/>
              </w:rPr>
              <w:t>6</w:t>
            </w:r>
            <w:r w:rsidRPr="00FA0D37">
              <w:rPr>
                <w:szCs w:val="22"/>
                <w:lang w:eastAsia="sv-SE"/>
              </w:rPr>
              <w:t>.1).</w:t>
            </w:r>
          </w:p>
        </w:tc>
      </w:tr>
      <w:tr w:rsidR="005C7FF4" w:rsidRPr="00FA0D37"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FA0D37" w:rsidRDefault="00394471" w:rsidP="00964CC4">
            <w:pPr>
              <w:pStyle w:val="TAL"/>
              <w:rPr>
                <w:b/>
                <w:i/>
                <w:lang w:eastAsia="sv-SE"/>
              </w:rPr>
            </w:pPr>
            <w:r w:rsidRPr="00FA0D37">
              <w:rPr>
                <w:b/>
                <w:i/>
                <w:lang w:eastAsia="sv-SE"/>
              </w:rPr>
              <w:t>processingType2Enabled</w:t>
            </w:r>
          </w:p>
          <w:p w14:paraId="4E40636C" w14:textId="77777777" w:rsidR="00394471" w:rsidRPr="00FA0D37" w:rsidRDefault="00394471" w:rsidP="00964CC4">
            <w:pPr>
              <w:pStyle w:val="TAL"/>
              <w:rPr>
                <w:lang w:eastAsia="sv-SE"/>
              </w:rPr>
            </w:pPr>
            <w:r w:rsidRPr="00FA0D37">
              <w:rPr>
                <w:rFonts w:eastAsia="Yu Mincho"/>
                <w:lang w:eastAsia="sv-SE"/>
              </w:rPr>
              <w:t>Enables configuration of advanced processing time capability 2 for PUSCH (see 38.214 [19], clause 6.4).</w:t>
            </w:r>
          </w:p>
        </w:tc>
      </w:tr>
      <w:tr w:rsidR="005C7FF4" w:rsidRPr="00FA0D37"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FA0D37" w:rsidRDefault="00394471" w:rsidP="00964CC4">
            <w:pPr>
              <w:pStyle w:val="TAL"/>
              <w:rPr>
                <w:szCs w:val="22"/>
                <w:lang w:eastAsia="sv-SE"/>
              </w:rPr>
            </w:pPr>
            <w:r w:rsidRPr="00FA0D37">
              <w:rPr>
                <w:b/>
                <w:i/>
                <w:szCs w:val="22"/>
                <w:lang w:eastAsia="sv-SE"/>
              </w:rPr>
              <w:t>rateMatching</w:t>
            </w:r>
          </w:p>
          <w:p w14:paraId="4C86B696" w14:textId="77777777" w:rsidR="00394471" w:rsidRPr="00FA0D37" w:rsidRDefault="00394471" w:rsidP="00964CC4">
            <w:pPr>
              <w:pStyle w:val="TAL"/>
              <w:rPr>
                <w:szCs w:val="22"/>
                <w:lang w:eastAsia="sv-SE"/>
              </w:rPr>
            </w:pPr>
            <w:r w:rsidRPr="00FA0D37">
              <w:rPr>
                <w:szCs w:val="22"/>
                <w:lang w:eastAsia="sv-SE"/>
              </w:rPr>
              <w:t>Enables LBRM (Limited buffer rate-matching). When the field is absent the UE applies FBRM (Full buffer rate-matchingLBRM) (see TS 38.212 [17], clause 5.4.2).</w:t>
            </w:r>
          </w:p>
        </w:tc>
      </w:tr>
      <w:tr w:rsidR="005C7FF4" w:rsidRPr="00FA0D37"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FA0D37" w:rsidRDefault="00394471" w:rsidP="00964CC4">
            <w:pPr>
              <w:pStyle w:val="TAL"/>
              <w:rPr>
                <w:szCs w:val="22"/>
                <w:lang w:eastAsia="sv-SE"/>
              </w:rPr>
            </w:pPr>
            <w:r w:rsidRPr="00FA0D37">
              <w:rPr>
                <w:b/>
                <w:i/>
                <w:szCs w:val="22"/>
                <w:lang w:eastAsia="sv-SE"/>
              </w:rPr>
              <w:t>xOverhead</w:t>
            </w:r>
          </w:p>
          <w:p w14:paraId="2E5F208E" w14:textId="77777777" w:rsidR="00394471" w:rsidRPr="00FA0D37" w:rsidRDefault="00394471" w:rsidP="00964CC4">
            <w:pPr>
              <w:pStyle w:val="TAL"/>
              <w:rPr>
                <w:szCs w:val="22"/>
                <w:lang w:eastAsia="sv-SE"/>
              </w:rPr>
            </w:pPr>
            <w:r w:rsidRPr="00FA0D37">
              <w:rPr>
                <w:szCs w:val="22"/>
                <w:lang w:eastAsia="sv-SE"/>
              </w:rPr>
              <w:t>If the field is absent, the UE applies the value 'xoh0' (see TS 38.214 [19], clause 5.1.3.2).</w:t>
            </w:r>
          </w:p>
        </w:tc>
      </w:tr>
      <w:tr w:rsidR="005C7FF4" w:rsidRPr="00FA0D37"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FA0D37" w:rsidRDefault="00394471" w:rsidP="00964CC4">
            <w:pPr>
              <w:pStyle w:val="TAL"/>
              <w:rPr>
                <w:b/>
                <w:bCs/>
                <w:i/>
                <w:iCs/>
                <w:lang w:eastAsia="x-none"/>
              </w:rPr>
            </w:pPr>
            <w:r w:rsidRPr="00FA0D37">
              <w:rPr>
                <w:b/>
                <w:bCs/>
                <w:i/>
                <w:iCs/>
                <w:lang w:eastAsia="x-none"/>
              </w:rPr>
              <w:t>maxMIMO-LayersDCI-0-2</w:t>
            </w:r>
          </w:p>
          <w:p w14:paraId="558D4516" w14:textId="7A9C7378" w:rsidR="00394471" w:rsidRPr="00FA0D37" w:rsidRDefault="00394471" w:rsidP="00964CC4">
            <w:pPr>
              <w:pStyle w:val="TAL"/>
              <w:rPr>
                <w:b/>
                <w:i/>
                <w:szCs w:val="22"/>
                <w:lang w:eastAsia="sv-SE"/>
              </w:rPr>
            </w:pPr>
            <w:r w:rsidRPr="00FA0D37">
              <w:rPr>
                <w:szCs w:val="22"/>
                <w:lang w:eastAsia="sv-SE"/>
              </w:rPr>
              <w:t xml:space="preserve">Indicates the maximum MIMO layer to be used for PUSCH for DCI format 0_2 in all BWPs </w:t>
            </w:r>
            <w:r w:rsidRPr="00FA0D37">
              <w:rPr>
                <w:rFonts w:eastAsia="Malgun Gothic"/>
                <w:szCs w:val="22"/>
                <w:lang w:eastAsia="sv-SE"/>
              </w:rPr>
              <w:t xml:space="preserve">of the </w:t>
            </w:r>
            <w:r w:rsidR="00DE3C60" w:rsidRPr="00FA0D37">
              <w:rPr>
                <w:szCs w:val="22"/>
                <w:lang w:eastAsia="zh-CN"/>
              </w:rPr>
              <w:t>corresponding</w:t>
            </w:r>
            <w:r w:rsidR="00DE3C60" w:rsidRPr="00FA0D37">
              <w:rPr>
                <w:rFonts w:eastAsia="Malgun Gothic"/>
                <w:szCs w:val="22"/>
                <w:lang w:eastAsia="sv-SE"/>
              </w:rPr>
              <w:t xml:space="preserve"> </w:t>
            </w:r>
            <w:r w:rsidRPr="00FA0D37">
              <w:rPr>
                <w:rFonts w:eastAsia="Malgun Gothic"/>
                <w:szCs w:val="22"/>
                <w:lang w:eastAsia="sv-SE"/>
              </w:rPr>
              <w:t xml:space="preserve">UL </w:t>
            </w:r>
            <w:r w:rsidRPr="00FA0D37">
              <w:rPr>
                <w:szCs w:val="22"/>
                <w:lang w:eastAsia="sv-SE"/>
              </w:rPr>
              <w:t xml:space="preserve">of this serving cell (see TS 38.212 [17], clause 5.4.2.1). If present, the network sets </w:t>
            </w:r>
            <w:r w:rsidRPr="00FA0D37">
              <w:rPr>
                <w:i/>
                <w:szCs w:val="22"/>
                <w:lang w:eastAsia="sv-SE"/>
              </w:rPr>
              <w:t xml:space="preserve">maxRankDCI-0-2 </w:t>
            </w:r>
            <w:r w:rsidRPr="00FA0D37">
              <w:rPr>
                <w:szCs w:val="22"/>
                <w:lang w:eastAsia="sv-SE"/>
              </w:rPr>
              <w:t>to the same value.</w:t>
            </w:r>
          </w:p>
        </w:tc>
      </w:tr>
      <w:tr w:rsidR="000830BB" w:rsidRPr="00FA0D37"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FA0D37" w:rsidRDefault="005B7637" w:rsidP="00771058">
            <w:pPr>
              <w:pStyle w:val="TAL"/>
              <w:rPr>
                <w:b/>
                <w:bCs/>
                <w:i/>
                <w:iCs/>
                <w:lang w:eastAsia="x-none"/>
              </w:rPr>
            </w:pPr>
            <w:r w:rsidRPr="00FA0D37">
              <w:rPr>
                <w:b/>
                <w:bCs/>
                <w:i/>
                <w:iCs/>
                <w:lang w:eastAsia="x-none"/>
              </w:rPr>
              <w:t>uplinkHARQ-mode</w:t>
            </w:r>
          </w:p>
          <w:p w14:paraId="5D6D8A37" w14:textId="0E848E7C" w:rsidR="005B7637" w:rsidRPr="00FA0D37" w:rsidRDefault="005B7637" w:rsidP="00771058">
            <w:pPr>
              <w:pStyle w:val="TAL"/>
              <w:rPr>
                <w:lang w:eastAsia="x-none"/>
              </w:rPr>
            </w:pPr>
            <w:r w:rsidRPr="00FA0D37">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FA0D37">
              <w:rPr>
                <w:i/>
                <w:iCs/>
                <w:lang w:eastAsia="x-none"/>
              </w:rPr>
              <w:t>HARQmodeA</w:t>
            </w:r>
            <w:r w:rsidRPr="00FA0D37">
              <w:rPr>
                <w:lang w:eastAsia="x-none"/>
              </w:rPr>
              <w:t xml:space="preserve"> and a bit set to zero identifies a HARQ process with </w:t>
            </w:r>
            <w:r w:rsidRPr="00FA0D37">
              <w:rPr>
                <w:i/>
                <w:iCs/>
                <w:lang w:eastAsia="x-none"/>
              </w:rPr>
              <w:t>HARQ modeB</w:t>
            </w:r>
            <w:r w:rsidRPr="00FA0D37">
              <w:rPr>
                <w:lang w:eastAsia="x-none"/>
              </w:rPr>
              <w:t>. This field applies for SRB</w:t>
            </w:r>
            <w:r w:rsidR="00771058" w:rsidRPr="00FA0D37">
              <w:rPr>
                <w:lang w:eastAsia="zh-CN"/>
              </w:rPr>
              <w:t>s and DRBs</w:t>
            </w:r>
            <w:r w:rsidRPr="00FA0D37">
              <w:rPr>
                <w:lang w:eastAsia="x-none"/>
              </w:rPr>
              <w:t>.</w:t>
            </w:r>
          </w:p>
        </w:tc>
      </w:tr>
    </w:tbl>
    <w:p w14:paraId="4C46EE4E" w14:textId="77777777" w:rsidR="00394471" w:rsidRPr="00FA0D37" w:rsidRDefault="00394471" w:rsidP="00394471"/>
    <w:p w14:paraId="5830F948" w14:textId="77777777" w:rsidR="00394471" w:rsidRPr="00FA0D37" w:rsidRDefault="00394471" w:rsidP="00394471">
      <w:pPr>
        <w:pStyle w:val="4"/>
      </w:pPr>
      <w:bookmarkStart w:id="1268" w:name="_Toc60777326"/>
      <w:bookmarkStart w:id="1269" w:name="_Toc146781405"/>
      <w:r w:rsidRPr="00FA0D37">
        <w:t>–</w:t>
      </w:r>
      <w:r w:rsidRPr="00FA0D37">
        <w:tab/>
      </w:r>
      <w:r w:rsidRPr="00FA0D37">
        <w:rPr>
          <w:i/>
        </w:rPr>
        <w:t>PUSCH-TimeDomainResourceAllocationList</w:t>
      </w:r>
      <w:bookmarkEnd w:id="1268"/>
      <w:bookmarkEnd w:id="1269"/>
    </w:p>
    <w:p w14:paraId="69D81BEA" w14:textId="77777777" w:rsidR="00394471" w:rsidRPr="00FA0D37" w:rsidRDefault="00394471" w:rsidP="00394471">
      <w:r w:rsidRPr="00FA0D37">
        <w:t xml:space="preserve">The IE </w:t>
      </w:r>
      <w:r w:rsidRPr="00FA0D37">
        <w:rPr>
          <w:i/>
        </w:rPr>
        <w:t>PUSCH-TimeDomainResourceAllocation</w:t>
      </w:r>
      <w:r w:rsidRPr="00FA0D37">
        <w:t xml:space="preserve"> is used to configure a time domain relation between PDCCH and PUSCH. </w:t>
      </w:r>
      <w:r w:rsidRPr="00FA0D37">
        <w:rPr>
          <w:i/>
        </w:rPr>
        <w:t>PUSCH-TimeDomainResourceAllocationList</w:t>
      </w:r>
      <w:r w:rsidRPr="00FA0D37">
        <w:t xml:space="preserve"> contains one or more of such </w:t>
      </w:r>
      <w:r w:rsidRPr="00FA0D37">
        <w:rPr>
          <w:i/>
        </w:rPr>
        <w:t>PUSCH-TimeDomainResourceAllocations</w:t>
      </w:r>
      <w:r w:rsidRPr="00FA0D37">
        <w:t xml:space="preserve">. The network indicates in the UL grant which of the configured time domain allocations the UE shall apply for that UL grant. The UE determines the bit width of the DCI field based on the number of entries in the </w:t>
      </w:r>
      <w:r w:rsidRPr="00FA0D37">
        <w:rPr>
          <w:i/>
        </w:rPr>
        <w:t>PUSCH-TimeDomainResourceAllocationList</w:t>
      </w:r>
      <w:r w:rsidRPr="00FA0D37">
        <w:t>. Value 0 in the DCI field refers to the first element in this list, value 1 in the DCI field refers to the second element in this list, and so on.</w:t>
      </w:r>
    </w:p>
    <w:p w14:paraId="22B3DB44" w14:textId="77777777" w:rsidR="00394471" w:rsidRPr="00FA0D37" w:rsidRDefault="00394471" w:rsidP="00394471">
      <w:pPr>
        <w:pStyle w:val="TH"/>
      </w:pPr>
      <w:r w:rsidRPr="00FA0D37">
        <w:rPr>
          <w:i/>
        </w:rPr>
        <w:t>PUSCH-TimeDomainResourceAllocation</w:t>
      </w:r>
      <w:r w:rsidRPr="00FA0D37">
        <w:t xml:space="preserve"> information element</w:t>
      </w:r>
    </w:p>
    <w:p w14:paraId="68EF91D3" w14:textId="77777777" w:rsidR="00394471" w:rsidRPr="00FA0D37" w:rsidRDefault="00394471" w:rsidP="00FA0D37">
      <w:pPr>
        <w:pStyle w:val="PL"/>
        <w:rPr>
          <w:color w:val="808080"/>
        </w:rPr>
      </w:pPr>
      <w:r w:rsidRPr="00FA0D37">
        <w:rPr>
          <w:color w:val="808080"/>
        </w:rPr>
        <w:t>-- ASN1START</w:t>
      </w:r>
    </w:p>
    <w:p w14:paraId="49BA287D" w14:textId="77777777" w:rsidR="00394471" w:rsidRPr="00FA0D37" w:rsidRDefault="00394471" w:rsidP="00FA0D37">
      <w:pPr>
        <w:pStyle w:val="PL"/>
        <w:rPr>
          <w:color w:val="808080"/>
        </w:rPr>
      </w:pPr>
      <w:r w:rsidRPr="00FA0D37">
        <w:rPr>
          <w:color w:val="808080"/>
        </w:rPr>
        <w:t>-- TAG-PUSCH-TIMEDOMAINRESOURCEALLOCATIONLIST-START</w:t>
      </w:r>
    </w:p>
    <w:p w14:paraId="05B01F47" w14:textId="77777777" w:rsidR="00394471" w:rsidRPr="00FA0D37" w:rsidRDefault="00394471" w:rsidP="00FA0D37">
      <w:pPr>
        <w:pStyle w:val="PL"/>
      </w:pPr>
    </w:p>
    <w:p w14:paraId="50AC8E6E" w14:textId="77777777" w:rsidR="00394471" w:rsidRPr="00FA0D37" w:rsidRDefault="00394471" w:rsidP="00FA0D37">
      <w:pPr>
        <w:pStyle w:val="PL"/>
      </w:pPr>
      <w:r w:rsidRPr="00FA0D37">
        <w:t xml:space="preserve">PUSCH-TimeDomainResourceAllocationList ::=  </w:t>
      </w:r>
      <w:r w:rsidRPr="00FA0D37">
        <w:rPr>
          <w:color w:val="993366"/>
        </w:rPr>
        <w:t>SEQUENCE</w:t>
      </w:r>
      <w:r w:rsidRPr="00FA0D37">
        <w:t xml:space="preserve"> (</w:t>
      </w:r>
      <w:r w:rsidRPr="00FA0D37">
        <w:rPr>
          <w:color w:val="993366"/>
        </w:rPr>
        <w:t>SIZE</w:t>
      </w:r>
      <w:r w:rsidRPr="00FA0D37">
        <w:t>(1..maxNrofUL-Allocations))</w:t>
      </w:r>
      <w:r w:rsidRPr="00FA0D37">
        <w:rPr>
          <w:color w:val="993366"/>
        </w:rPr>
        <w:t xml:space="preserve"> OF</w:t>
      </w:r>
      <w:r w:rsidRPr="00FA0D37">
        <w:t xml:space="preserve"> PUSCH-TimeDomainResourceAllocation</w:t>
      </w:r>
    </w:p>
    <w:p w14:paraId="06E0EF2D" w14:textId="77777777" w:rsidR="00394471" w:rsidRPr="00FA0D37" w:rsidRDefault="00394471" w:rsidP="00FA0D37">
      <w:pPr>
        <w:pStyle w:val="PL"/>
      </w:pPr>
    </w:p>
    <w:p w14:paraId="7E444352" w14:textId="77777777" w:rsidR="00394471" w:rsidRPr="00FA0D37" w:rsidRDefault="00394471" w:rsidP="00FA0D37">
      <w:pPr>
        <w:pStyle w:val="PL"/>
      </w:pPr>
      <w:r w:rsidRPr="00FA0D37">
        <w:t xml:space="preserve">PUSCH-TimeDomainResourceAllocation ::=  </w:t>
      </w:r>
      <w:r w:rsidRPr="00FA0D37">
        <w:rPr>
          <w:color w:val="993366"/>
        </w:rPr>
        <w:t>SEQUENCE</w:t>
      </w:r>
      <w:r w:rsidRPr="00FA0D37">
        <w:t xml:space="preserve"> {</w:t>
      </w:r>
    </w:p>
    <w:p w14:paraId="1BD7A6EA" w14:textId="77777777" w:rsidR="00394471" w:rsidRPr="00FA0D37" w:rsidRDefault="00394471" w:rsidP="00FA0D37">
      <w:pPr>
        <w:pStyle w:val="PL"/>
        <w:rPr>
          <w:color w:val="808080"/>
        </w:rPr>
      </w:pPr>
      <w:r w:rsidRPr="00FA0D37">
        <w:t xml:space="preserve">    k2                                      </w:t>
      </w:r>
      <w:r w:rsidRPr="00FA0D37">
        <w:rPr>
          <w:color w:val="993366"/>
        </w:rPr>
        <w:t>INTEGER</w:t>
      </w:r>
      <w:r w:rsidRPr="00FA0D37">
        <w:t xml:space="preserve">(0..32)                                  </w:t>
      </w:r>
      <w:r w:rsidRPr="00FA0D37">
        <w:rPr>
          <w:color w:val="993366"/>
        </w:rPr>
        <w:t>OPTIONAL</w:t>
      </w:r>
      <w:r w:rsidRPr="00FA0D37">
        <w:t xml:space="preserve">,   </w:t>
      </w:r>
      <w:r w:rsidRPr="00FA0D37">
        <w:rPr>
          <w:color w:val="808080"/>
        </w:rPr>
        <w:t>-- Need S</w:t>
      </w:r>
    </w:p>
    <w:p w14:paraId="3B2B17E1" w14:textId="77777777" w:rsidR="00394471" w:rsidRPr="00FA0D37" w:rsidRDefault="00394471" w:rsidP="00FA0D37">
      <w:pPr>
        <w:pStyle w:val="PL"/>
      </w:pPr>
      <w:r w:rsidRPr="00FA0D37">
        <w:t xml:space="preserve">    mappingType                             </w:t>
      </w:r>
      <w:r w:rsidRPr="00FA0D37">
        <w:rPr>
          <w:color w:val="993366"/>
        </w:rPr>
        <w:t>ENUMERATED</w:t>
      </w:r>
      <w:r w:rsidRPr="00FA0D37">
        <w:t xml:space="preserve"> {typeA, typeB},</w:t>
      </w:r>
    </w:p>
    <w:p w14:paraId="7F3FE767" w14:textId="77777777" w:rsidR="00394471" w:rsidRPr="00FA0D37" w:rsidRDefault="00394471" w:rsidP="00FA0D37">
      <w:pPr>
        <w:pStyle w:val="PL"/>
      </w:pPr>
      <w:r w:rsidRPr="00FA0D37">
        <w:t xml:space="preserve">    startSymbolAndLength                    </w:t>
      </w:r>
      <w:r w:rsidRPr="00FA0D37">
        <w:rPr>
          <w:color w:val="993366"/>
        </w:rPr>
        <w:t>INTEGER</w:t>
      </w:r>
      <w:r w:rsidRPr="00FA0D37">
        <w:t xml:space="preserve"> (0..127)</w:t>
      </w:r>
    </w:p>
    <w:p w14:paraId="519D645C" w14:textId="77777777" w:rsidR="00394471" w:rsidRPr="00FA0D37" w:rsidRDefault="00394471" w:rsidP="00FA0D37">
      <w:pPr>
        <w:pStyle w:val="PL"/>
      </w:pPr>
      <w:r w:rsidRPr="00FA0D37">
        <w:t>}</w:t>
      </w:r>
    </w:p>
    <w:p w14:paraId="1E2006B3" w14:textId="77777777" w:rsidR="00394471" w:rsidRPr="00FA0D37" w:rsidRDefault="00394471" w:rsidP="00FA0D37">
      <w:pPr>
        <w:pStyle w:val="PL"/>
      </w:pPr>
    </w:p>
    <w:p w14:paraId="4DADBC5F" w14:textId="77777777" w:rsidR="00394471" w:rsidRPr="00FA0D37" w:rsidRDefault="00394471" w:rsidP="00FA0D37">
      <w:pPr>
        <w:pStyle w:val="PL"/>
      </w:pPr>
      <w:r w:rsidRPr="00FA0D37">
        <w:t xml:space="preserve">PUSCH-TimeDomainResourceAllocationList-r16 ::=  </w:t>
      </w:r>
      <w:r w:rsidRPr="00FA0D37">
        <w:rPr>
          <w:color w:val="993366"/>
        </w:rPr>
        <w:t>SEQUENCE</w:t>
      </w:r>
      <w:r w:rsidRPr="00FA0D37">
        <w:t xml:space="preserve"> (</w:t>
      </w:r>
      <w:r w:rsidRPr="00FA0D37">
        <w:rPr>
          <w:color w:val="993366"/>
        </w:rPr>
        <w:t>SIZE</w:t>
      </w:r>
      <w:r w:rsidRPr="00FA0D37">
        <w:t>(1..maxNrofUL-Allocations-r16))</w:t>
      </w:r>
      <w:r w:rsidRPr="00FA0D37">
        <w:rPr>
          <w:color w:val="993366"/>
        </w:rPr>
        <w:t xml:space="preserve"> OF</w:t>
      </w:r>
      <w:r w:rsidRPr="00FA0D37">
        <w:t xml:space="preserve"> PUSCH-TimeDomainResourceAllocation-r16</w:t>
      </w:r>
    </w:p>
    <w:p w14:paraId="1D205CF5" w14:textId="77777777" w:rsidR="00394471" w:rsidRPr="00FA0D37" w:rsidRDefault="00394471" w:rsidP="00FA0D37">
      <w:pPr>
        <w:pStyle w:val="PL"/>
      </w:pPr>
    </w:p>
    <w:p w14:paraId="7D9AF1AD" w14:textId="77777777" w:rsidR="00394471" w:rsidRPr="00FA0D37" w:rsidRDefault="00394471" w:rsidP="00FA0D37">
      <w:pPr>
        <w:pStyle w:val="PL"/>
      </w:pPr>
      <w:r w:rsidRPr="00FA0D37">
        <w:t xml:space="preserve">PUSCH-TimeDomainResourceAllocation-r16 ::=  </w:t>
      </w:r>
      <w:r w:rsidRPr="00FA0D37">
        <w:rPr>
          <w:color w:val="993366"/>
        </w:rPr>
        <w:t>SEQUENCE</w:t>
      </w:r>
      <w:r w:rsidRPr="00FA0D37">
        <w:t xml:space="preserve"> {</w:t>
      </w:r>
    </w:p>
    <w:p w14:paraId="3C366F69" w14:textId="77777777" w:rsidR="00394471" w:rsidRPr="00FA0D37" w:rsidRDefault="00394471" w:rsidP="00FA0D37">
      <w:pPr>
        <w:pStyle w:val="PL"/>
        <w:rPr>
          <w:color w:val="808080"/>
        </w:rPr>
      </w:pPr>
      <w:r w:rsidRPr="00FA0D37">
        <w:t xml:space="preserve">    k2-r16                                     </w:t>
      </w:r>
      <w:r w:rsidRPr="00FA0D37">
        <w:rPr>
          <w:color w:val="993366"/>
        </w:rPr>
        <w:t>INTEGER</w:t>
      </w:r>
      <w:r w:rsidRPr="00FA0D37">
        <w:t xml:space="preserve">(0..32)          </w:t>
      </w:r>
      <w:r w:rsidRPr="00FA0D37">
        <w:rPr>
          <w:color w:val="993366"/>
        </w:rPr>
        <w:t>OPTIONAL</w:t>
      </w:r>
      <w:r w:rsidRPr="00FA0D37">
        <w:t xml:space="preserve">,   </w:t>
      </w:r>
      <w:r w:rsidRPr="00FA0D37">
        <w:rPr>
          <w:color w:val="808080"/>
        </w:rPr>
        <w:t>-- Need S</w:t>
      </w:r>
    </w:p>
    <w:p w14:paraId="0F5CE8D6" w14:textId="77777777" w:rsidR="00394471" w:rsidRPr="00FA0D37" w:rsidRDefault="00394471" w:rsidP="00FA0D37">
      <w:pPr>
        <w:pStyle w:val="PL"/>
      </w:pPr>
      <w:r w:rsidRPr="00FA0D37">
        <w:t xml:space="preserve">    puschAllocationList-r16                    </w:t>
      </w:r>
      <w:r w:rsidRPr="00FA0D37">
        <w:rPr>
          <w:color w:val="993366"/>
        </w:rPr>
        <w:t>SEQUENCE</w:t>
      </w:r>
      <w:r w:rsidRPr="00FA0D37">
        <w:t xml:space="preserve"> (</w:t>
      </w:r>
      <w:r w:rsidRPr="00FA0D37">
        <w:rPr>
          <w:color w:val="993366"/>
        </w:rPr>
        <w:t>SIZE</w:t>
      </w:r>
      <w:r w:rsidRPr="00FA0D37">
        <w:t>(1..maxNrofMultiplePUSCHs-r16))</w:t>
      </w:r>
      <w:r w:rsidRPr="00FA0D37">
        <w:rPr>
          <w:color w:val="993366"/>
        </w:rPr>
        <w:t xml:space="preserve"> OF</w:t>
      </w:r>
      <w:r w:rsidRPr="00FA0D37">
        <w:t xml:space="preserve"> PUSCH-Allocation-r16,</w:t>
      </w:r>
    </w:p>
    <w:p w14:paraId="7A5D1D79" w14:textId="2CF32A4C" w:rsidR="00394471" w:rsidRPr="00FA0D37" w:rsidRDefault="00394471" w:rsidP="00FA0D37">
      <w:pPr>
        <w:pStyle w:val="PL"/>
      </w:pPr>
      <w:r w:rsidRPr="00FA0D37">
        <w:t>...</w:t>
      </w:r>
    </w:p>
    <w:p w14:paraId="6140B2F3" w14:textId="77777777" w:rsidR="00394471" w:rsidRPr="00FA0D37" w:rsidRDefault="00394471" w:rsidP="00FA0D37">
      <w:pPr>
        <w:pStyle w:val="PL"/>
      </w:pPr>
      <w:r w:rsidRPr="00FA0D37">
        <w:t>}</w:t>
      </w:r>
    </w:p>
    <w:p w14:paraId="0A1E0832" w14:textId="77777777" w:rsidR="00394471" w:rsidRPr="00FA0D37" w:rsidRDefault="00394471" w:rsidP="00FA0D37">
      <w:pPr>
        <w:pStyle w:val="PL"/>
      </w:pPr>
    </w:p>
    <w:p w14:paraId="3D2D1991" w14:textId="77777777" w:rsidR="00394471" w:rsidRPr="00FA0D37" w:rsidRDefault="00394471" w:rsidP="00FA0D37">
      <w:pPr>
        <w:pStyle w:val="PL"/>
      </w:pPr>
      <w:r w:rsidRPr="00FA0D37">
        <w:t xml:space="preserve">PUSCH-Allocation-r16 ::=  </w:t>
      </w:r>
      <w:r w:rsidRPr="00FA0D37">
        <w:rPr>
          <w:color w:val="993366"/>
        </w:rPr>
        <w:t>SEQUENCE</w:t>
      </w:r>
      <w:r w:rsidRPr="00FA0D37">
        <w:t xml:space="preserve"> {</w:t>
      </w:r>
    </w:p>
    <w:p w14:paraId="063A9A62" w14:textId="77777777" w:rsidR="00394471" w:rsidRPr="00FA0D37" w:rsidRDefault="00394471" w:rsidP="00FA0D37">
      <w:pPr>
        <w:pStyle w:val="PL"/>
        <w:rPr>
          <w:color w:val="808080"/>
        </w:rPr>
      </w:pPr>
      <w:r w:rsidRPr="00FA0D37">
        <w:t xml:space="preserve">    mappingType-r16                           </w:t>
      </w:r>
      <w:r w:rsidRPr="00FA0D37">
        <w:rPr>
          <w:color w:val="993366"/>
        </w:rPr>
        <w:t>ENUMERATED</w:t>
      </w:r>
      <w:r w:rsidRPr="00FA0D37">
        <w:t xml:space="preserve"> {typeA, typeB}                     </w:t>
      </w:r>
      <w:r w:rsidRPr="00FA0D37">
        <w:rPr>
          <w:color w:val="993366"/>
        </w:rPr>
        <w:t>OPTIONAL</w:t>
      </w:r>
      <w:r w:rsidRPr="00FA0D37">
        <w:t xml:space="preserve">,   </w:t>
      </w:r>
      <w:r w:rsidRPr="00FA0D37">
        <w:rPr>
          <w:color w:val="808080"/>
        </w:rPr>
        <w:t>-- Cond NotFormat01-02-Or-TypeA</w:t>
      </w:r>
    </w:p>
    <w:p w14:paraId="114158C1" w14:textId="77777777" w:rsidR="00394471" w:rsidRPr="00FA0D37" w:rsidRDefault="00394471" w:rsidP="00FA0D37">
      <w:pPr>
        <w:pStyle w:val="PL"/>
        <w:rPr>
          <w:color w:val="808080"/>
        </w:rPr>
      </w:pPr>
      <w:r w:rsidRPr="00FA0D37">
        <w:t xml:space="preserve">    startSymbolAndLength-r16                  </w:t>
      </w:r>
      <w:r w:rsidRPr="00FA0D37">
        <w:rPr>
          <w:color w:val="993366"/>
        </w:rPr>
        <w:t>INTEGER</w:t>
      </w:r>
      <w:r w:rsidRPr="00FA0D37">
        <w:t xml:space="preserve"> (0..127)                              </w:t>
      </w:r>
      <w:r w:rsidRPr="00FA0D37">
        <w:rPr>
          <w:color w:val="993366"/>
        </w:rPr>
        <w:t>OPTIONAL</w:t>
      </w:r>
      <w:r w:rsidRPr="00FA0D37">
        <w:t xml:space="preserve">,   </w:t>
      </w:r>
      <w:r w:rsidRPr="00FA0D37">
        <w:rPr>
          <w:color w:val="808080"/>
        </w:rPr>
        <w:t>-- Cond NotFormat01-02-Or-TypeA</w:t>
      </w:r>
    </w:p>
    <w:p w14:paraId="12F68B9B" w14:textId="77777777" w:rsidR="00394471" w:rsidRPr="00FA0D37" w:rsidRDefault="00394471" w:rsidP="00FA0D37">
      <w:pPr>
        <w:pStyle w:val="PL"/>
        <w:rPr>
          <w:color w:val="808080"/>
        </w:rPr>
      </w:pPr>
      <w:r w:rsidRPr="00FA0D37">
        <w:t xml:space="preserve">    startSymbol-r16                           </w:t>
      </w:r>
      <w:r w:rsidRPr="00FA0D37">
        <w:rPr>
          <w:color w:val="993366"/>
        </w:rPr>
        <w:t>INTEGER</w:t>
      </w:r>
      <w:r w:rsidRPr="00FA0D37">
        <w:t xml:space="preserve"> (0..13)                               </w:t>
      </w:r>
      <w:r w:rsidRPr="00FA0D37">
        <w:rPr>
          <w:color w:val="993366"/>
        </w:rPr>
        <w:t>OPTIONAL</w:t>
      </w:r>
      <w:r w:rsidRPr="00FA0D37">
        <w:t xml:space="preserve">,   </w:t>
      </w:r>
      <w:r w:rsidRPr="00FA0D37">
        <w:rPr>
          <w:color w:val="808080"/>
        </w:rPr>
        <w:t>-- Cond RepTypeB</w:t>
      </w:r>
    </w:p>
    <w:p w14:paraId="17566239" w14:textId="77777777" w:rsidR="00394471" w:rsidRPr="00FA0D37" w:rsidRDefault="00394471" w:rsidP="00FA0D37">
      <w:pPr>
        <w:pStyle w:val="PL"/>
        <w:rPr>
          <w:color w:val="808080"/>
        </w:rPr>
      </w:pPr>
      <w:r w:rsidRPr="00FA0D37">
        <w:t xml:space="preserve">    length-r16                                </w:t>
      </w:r>
      <w:r w:rsidRPr="00FA0D37">
        <w:rPr>
          <w:color w:val="993366"/>
        </w:rPr>
        <w:t>INTEGER</w:t>
      </w:r>
      <w:r w:rsidRPr="00FA0D37">
        <w:t xml:space="preserve"> (1..14)                               </w:t>
      </w:r>
      <w:r w:rsidRPr="00FA0D37">
        <w:rPr>
          <w:color w:val="993366"/>
        </w:rPr>
        <w:t>OPTIONAL</w:t>
      </w:r>
      <w:r w:rsidRPr="00FA0D37">
        <w:t xml:space="preserve">,   </w:t>
      </w:r>
      <w:r w:rsidRPr="00FA0D37">
        <w:rPr>
          <w:color w:val="808080"/>
        </w:rPr>
        <w:t>-- Cond RepTypeB</w:t>
      </w:r>
    </w:p>
    <w:p w14:paraId="6802DEED" w14:textId="77777777" w:rsidR="00394471" w:rsidRPr="00FA0D37" w:rsidRDefault="00394471" w:rsidP="00FA0D37">
      <w:pPr>
        <w:pStyle w:val="PL"/>
        <w:rPr>
          <w:color w:val="808080"/>
        </w:rPr>
      </w:pPr>
      <w:r w:rsidRPr="00FA0D37">
        <w:t xml:space="preserve">    numberOfRepetitions-r16                   </w:t>
      </w:r>
      <w:r w:rsidRPr="00FA0D37">
        <w:rPr>
          <w:color w:val="993366"/>
        </w:rPr>
        <w:t>ENUMERATED</w:t>
      </w:r>
      <w:r w:rsidRPr="00FA0D37">
        <w:t xml:space="preserve"> {n1, n2, n3, n4, n7, n8, n12, n16} </w:t>
      </w:r>
      <w:r w:rsidRPr="00FA0D37">
        <w:rPr>
          <w:color w:val="993366"/>
        </w:rPr>
        <w:t>OPTIONAL</w:t>
      </w:r>
      <w:r w:rsidRPr="00FA0D37">
        <w:t xml:space="preserve">,   </w:t>
      </w:r>
      <w:r w:rsidRPr="00FA0D37">
        <w:rPr>
          <w:color w:val="808080"/>
        </w:rPr>
        <w:t>-- Cond Format01-02</w:t>
      </w:r>
    </w:p>
    <w:p w14:paraId="2E2E5CF3" w14:textId="21BAD707" w:rsidR="003E7B2B" w:rsidRPr="00FA0D37" w:rsidRDefault="00394471" w:rsidP="00FA0D37">
      <w:pPr>
        <w:pStyle w:val="PL"/>
      </w:pPr>
      <w:r w:rsidRPr="00FA0D37">
        <w:t xml:space="preserve">    ...</w:t>
      </w:r>
      <w:r w:rsidR="003E7B2B" w:rsidRPr="00FA0D37">
        <w:t>,</w:t>
      </w:r>
    </w:p>
    <w:p w14:paraId="43B093CB" w14:textId="77777777" w:rsidR="003E7B2B" w:rsidRPr="00FA0D37" w:rsidRDefault="003E7B2B" w:rsidP="00FA0D37">
      <w:pPr>
        <w:pStyle w:val="PL"/>
      </w:pPr>
      <w:r w:rsidRPr="00FA0D37">
        <w:t xml:space="preserve">    [[</w:t>
      </w:r>
    </w:p>
    <w:p w14:paraId="3555285B" w14:textId="77777777" w:rsidR="003E7B2B" w:rsidRPr="00FA0D37" w:rsidRDefault="003E7B2B" w:rsidP="00FA0D37">
      <w:pPr>
        <w:pStyle w:val="PL"/>
      </w:pPr>
      <w:r w:rsidRPr="00FA0D37">
        <w:t xml:space="preserve">    numberOfRepetitionsExt-r17                </w:t>
      </w:r>
      <w:r w:rsidRPr="00FA0D37">
        <w:rPr>
          <w:color w:val="993366"/>
        </w:rPr>
        <w:t>ENUMERATED</w:t>
      </w:r>
      <w:r w:rsidRPr="00FA0D37">
        <w:t xml:space="preserve"> {n1, n2, n3, n4, n7, n8, n12, n16, n20, n24, n28, n32, spare4, spare3, spare2,</w:t>
      </w:r>
    </w:p>
    <w:p w14:paraId="6443AF8A" w14:textId="394044F2" w:rsidR="003E7B2B" w:rsidRPr="00FA0D37" w:rsidRDefault="003E7B2B" w:rsidP="00FA0D37">
      <w:pPr>
        <w:pStyle w:val="PL"/>
        <w:rPr>
          <w:color w:val="808080"/>
        </w:rPr>
      </w:pPr>
      <w:r w:rsidRPr="00FA0D37">
        <w:t xml:space="preserve">                                                          spare1}                           </w:t>
      </w:r>
      <w:r w:rsidRPr="00FA0D37">
        <w:rPr>
          <w:color w:val="993366"/>
        </w:rPr>
        <w:t>OPTIONAL</w:t>
      </w:r>
      <w:r w:rsidRPr="00FA0D37">
        <w:t xml:space="preserve">,   </w:t>
      </w:r>
      <w:r w:rsidRPr="00FA0D37">
        <w:rPr>
          <w:color w:val="808080"/>
        </w:rPr>
        <w:t>-- Cond Format01-02-For-TypeA</w:t>
      </w:r>
    </w:p>
    <w:p w14:paraId="0E068E40" w14:textId="4959127A" w:rsidR="008C38BA" w:rsidRPr="00FA0D37" w:rsidRDefault="003E7B2B" w:rsidP="00FA0D37">
      <w:pPr>
        <w:pStyle w:val="PL"/>
        <w:rPr>
          <w:color w:val="808080"/>
        </w:rPr>
      </w:pPr>
      <w:r w:rsidRPr="00FA0D37">
        <w:t xml:space="preserve">    numberOfSlotsTBoMS-r17                   </w:t>
      </w:r>
      <w:r w:rsidRPr="00FA0D37">
        <w:rPr>
          <w:color w:val="993366"/>
        </w:rPr>
        <w:t>ENUMERATED</w:t>
      </w:r>
      <w:r w:rsidRPr="00FA0D37">
        <w:t xml:space="preserve"> {n1, n2, n4, n8, spare4, spare3, spare2, spare1}   </w:t>
      </w:r>
      <w:r w:rsidRPr="00FA0D37">
        <w:rPr>
          <w:color w:val="993366"/>
        </w:rPr>
        <w:t>OPTIONAL</w:t>
      </w:r>
      <w:r w:rsidR="008C38BA" w:rsidRPr="00FA0D37">
        <w:t>,</w:t>
      </w:r>
      <w:r w:rsidRPr="00FA0D37">
        <w:t xml:space="preserve">   </w:t>
      </w:r>
      <w:r w:rsidRPr="00FA0D37">
        <w:rPr>
          <w:color w:val="808080"/>
        </w:rPr>
        <w:t xml:space="preserve">-- Need </w:t>
      </w:r>
      <w:r w:rsidR="00DC3894" w:rsidRPr="00FA0D37">
        <w:rPr>
          <w:color w:val="808080"/>
        </w:rPr>
        <w:t>R</w:t>
      </w:r>
    </w:p>
    <w:p w14:paraId="13B227B6" w14:textId="7FA7F8DF" w:rsidR="003E7B2B" w:rsidRPr="00FA0D37" w:rsidRDefault="008C38BA" w:rsidP="00FA0D37">
      <w:pPr>
        <w:pStyle w:val="PL"/>
        <w:rPr>
          <w:color w:val="808080"/>
        </w:rPr>
      </w:pPr>
      <w:r w:rsidRPr="00FA0D37">
        <w:t xml:space="preserve">    extendedK2-r17                            </w:t>
      </w:r>
      <w:r w:rsidRPr="00FA0D37">
        <w:rPr>
          <w:color w:val="993366"/>
        </w:rPr>
        <w:t>INTEGER</w:t>
      </w:r>
      <w:r w:rsidRPr="00FA0D37">
        <w:t xml:space="preserve"> (0..128)                              </w:t>
      </w:r>
      <w:r w:rsidRPr="00FA0D37">
        <w:rPr>
          <w:color w:val="993366"/>
        </w:rPr>
        <w:t>OPTIONAL</w:t>
      </w:r>
      <w:r w:rsidRPr="00FA0D37">
        <w:t xml:space="preserve">    </w:t>
      </w:r>
      <w:r w:rsidRPr="00FA0D37">
        <w:rPr>
          <w:color w:val="808080"/>
        </w:rPr>
        <w:t>-- Cond MultiPUSCH</w:t>
      </w:r>
    </w:p>
    <w:p w14:paraId="34AA3E25" w14:textId="77777777" w:rsidR="003E7B2B" w:rsidRPr="00FA0D37" w:rsidRDefault="003E7B2B" w:rsidP="00FA0D37">
      <w:pPr>
        <w:pStyle w:val="PL"/>
      </w:pPr>
      <w:r w:rsidRPr="00FA0D37">
        <w:t xml:space="preserve">    ]]</w:t>
      </w:r>
    </w:p>
    <w:p w14:paraId="0732F190" w14:textId="77777777" w:rsidR="00A55B26" w:rsidRPr="00FA0D37" w:rsidRDefault="00394471" w:rsidP="00FA0D37">
      <w:pPr>
        <w:pStyle w:val="PL"/>
      </w:pPr>
      <w:r w:rsidRPr="00FA0D37">
        <w:t>}</w:t>
      </w:r>
    </w:p>
    <w:p w14:paraId="4869E8DE" w14:textId="77777777" w:rsidR="00A55B26" w:rsidRPr="00FA0D37" w:rsidRDefault="00A55B26" w:rsidP="00FA0D37">
      <w:pPr>
        <w:pStyle w:val="PL"/>
      </w:pPr>
    </w:p>
    <w:p w14:paraId="098D6D48" w14:textId="77777777" w:rsidR="00394471" w:rsidRPr="00FA0D37" w:rsidRDefault="00394471" w:rsidP="00FA0D37">
      <w:pPr>
        <w:pStyle w:val="PL"/>
        <w:rPr>
          <w:color w:val="808080"/>
        </w:rPr>
      </w:pPr>
      <w:r w:rsidRPr="00FA0D37">
        <w:rPr>
          <w:color w:val="808080"/>
        </w:rPr>
        <w:t>-- TAG-PUSCH-TIMEDOMAINRESOURCEALLOCATIONLIST-STOP</w:t>
      </w:r>
    </w:p>
    <w:p w14:paraId="11A62219" w14:textId="77777777" w:rsidR="00394471" w:rsidRPr="00FA0D37" w:rsidRDefault="00394471" w:rsidP="00FA0D37">
      <w:pPr>
        <w:pStyle w:val="PL"/>
        <w:rPr>
          <w:color w:val="808080"/>
        </w:rPr>
      </w:pPr>
      <w:r w:rsidRPr="00FA0D37">
        <w:rPr>
          <w:color w:val="808080"/>
        </w:rPr>
        <w:t>-- ASN1STOP</w:t>
      </w:r>
    </w:p>
    <w:p w14:paraId="2D76E2B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FA0D37" w:rsidRDefault="00394471" w:rsidP="00964CC4">
            <w:pPr>
              <w:pStyle w:val="TAH"/>
              <w:rPr>
                <w:szCs w:val="22"/>
                <w:lang w:eastAsia="sv-SE"/>
              </w:rPr>
            </w:pPr>
            <w:r w:rsidRPr="00FA0D37">
              <w:rPr>
                <w:i/>
                <w:szCs w:val="22"/>
                <w:lang w:eastAsia="sv-SE"/>
              </w:rPr>
              <w:lastRenderedPageBreak/>
              <w:t xml:space="preserve">PUSCH-TimeDomainResourceAllocationList </w:t>
            </w:r>
            <w:r w:rsidRPr="00FA0D37">
              <w:rPr>
                <w:szCs w:val="22"/>
                <w:lang w:eastAsia="sv-SE"/>
              </w:rPr>
              <w:t>field descriptions</w:t>
            </w:r>
          </w:p>
        </w:tc>
      </w:tr>
      <w:tr w:rsidR="005C7FF4" w:rsidRPr="00FA0D37"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FA0D37" w:rsidRDefault="008C38BA" w:rsidP="00771058">
            <w:pPr>
              <w:pStyle w:val="TAL"/>
              <w:rPr>
                <w:szCs w:val="22"/>
                <w:lang w:eastAsia="sv-SE"/>
              </w:rPr>
            </w:pPr>
            <w:r w:rsidRPr="00FA0D37">
              <w:rPr>
                <w:b/>
                <w:i/>
                <w:szCs w:val="22"/>
                <w:lang w:eastAsia="sv-SE"/>
              </w:rPr>
              <w:t>extendedK2</w:t>
            </w:r>
          </w:p>
          <w:p w14:paraId="6191CA38" w14:textId="77777777" w:rsidR="008C38BA" w:rsidRPr="00FA0D37" w:rsidRDefault="008C38BA" w:rsidP="00771058">
            <w:pPr>
              <w:pStyle w:val="TAL"/>
              <w:rPr>
                <w:szCs w:val="22"/>
                <w:lang w:eastAsia="sv-SE"/>
              </w:rPr>
            </w:pPr>
            <w:r w:rsidRPr="00FA0D37">
              <w:rPr>
                <w:szCs w:val="22"/>
                <w:lang w:eastAsia="sv-SE"/>
              </w:rPr>
              <w:t>Corresponds to L1 parameter 'K2' (see TS 38.214 [19], clause 6.1.2.1) configurable per PUSCH allocation. Only values {0..32} are applicable for PUSCH SCS of 120 kHz.</w:t>
            </w:r>
          </w:p>
          <w:p w14:paraId="3107A2E2" w14:textId="77777777" w:rsidR="008C38BA" w:rsidRPr="00FA0D37" w:rsidRDefault="008C38BA" w:rsidP="00771058">
            <w:pPr>
              <w:pStyle w:val="TAL"/>
              <w:rPr>
                <w:b/>
                <w:i/>
                <w:szCs w:val="22"/>
                <w:lang w:eastAsia="sv-SE"/>
              </w:rPr>
            </w:pPr>
            <w:r w:rsidRPr="00FA0D37">
              <w:rPr>
                <w:szCs w:val="22"/>
                <w:lang w:eastAsia="sv-SE"/>
              </w:rPr>
              <w:t>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w:t>
            </w:r>
          </w:p>
        </w:tc>
      </w:tr>
      <w:tr w:rsidR="005C7FF4" w:rsidRPr="00FA0D37"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FA0D37" w:rsidRDefault="00394471" w:rsidP="00964CC4">
            <w:pPr>
              <w:pStyle w:val="TAL"/>
              <w:rPr>
                <w:szCs w:val="22"/>
                <w:lang w:eastAsia="sv-SE"/>
              </w:rPr>
            </w:pPr>
            <w:r w:rsidRPr="00FA0D37">
              <w:rPr>
                <w:b/>
                <w:i/>
                <w:szCs w:val="22"/>
                <w:lang w:eastAsia="sv-SE"/>
              </w:rPr>
              <w:t>k2</w:t>
            </w:r>
          </w:p>
          <w:p w14:paraId="75F7DDAA" w14:textId="3C8DC866" w:rsidR="00394471" w:rsidRPr="00FA0D37" w:rsidRDefault="00394471" w:rsidP="00964CC4">
            <w:pPr>
              <w:pStyle w:val="TAL"/>
              <w:rPr>
                <w:szCs w:val="22"/>
                <w:lang w:eastAsia="sv-SE"/>
              </w:rPr>
            </w:pPr>
            <w:r w:rsidRPr="00FA0D37">
              <w:rPr>
                <w:szCs w:val="22"/>
                <w:lang w:eastAsia="sv-SE"/>
              </w:rPr>
              <w:t>Corresponds to L1 parameter 'K2' (see TS 38.214 [19], clause 6.1.2.1)</w:t>
            </w:r>
            <w:r w:rsidR="00A55B26" w:rsidRPr="00FA0D37">
              <w:rPr>
                <w:szCs w:val="22"/>
                <w:lang w:eastAsia="sv-SE"/>
              </w:rPr>
              <w:t xml:space="preserve">. </w:t>
            </w:r>
            <w:r w:rsidR="008C38BA" w:rsidRPr="00FA0D37">
              <w:rPr>
                <w:szCs w:val="22"/>
                <w:lang w:eastAsia="sv-SE"/>
              </w:rPr>
              <w:t xml:space="preserve">When the field is absent the UE applies the value 1 when PUSCH SCS is 15/30 kHz; the value 2 when PUSCH SCS is 60 kHz, and the value 3 when PUSCH SCS is 120 kHz. k2 is absent/ignored if </w:t>
            </w:r>
            <w:r w:rsidR="008C38BA" w:rsidRPr="00FA0D37">
              <w:rPr>
                <w:i/>
                <w:iCs/>
                <w:szCs w:val="22"/>
                <w:lang w:eastAsia="sv-SE"/>
              </w:rPr>
              <w:t>extendedK2</w:t>
            </w:r>
            <w:r w:rsidR="008C38BA" w:rsidRPr="00FA0D37">
              <w:rPr>
                <w:szCs w:val="22"/>
                <w:lang w:eastAsia="sv-SE"/>
              </w:rPr>
              <w:t xml:space="preserve"> is present.</w:t>
            </w:r>
          </w:p>
        </w:tc>
      </w:tr>
      <w:tr w:rsidR="005C7FF4" w:rsidRPr="00FA0D37"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FA0D37" w:rsidRDefault="00394471" w:rsidP="00964CC4">
            <w:pPr>
              <w:keepNext/>
              <w:keepLines/>
              <w:spacing w:after="0"/>
              <w:rPr>
                <w:rFonts w:ascii="Arial" w:hAnsi="Arial"/>
                <w:sz w:val="18"/>
                <w:szCs w:val="22"/>
                <w:lang w:eastAsia="sv-SE"/>
              </w:rPr>
            </w:pPr>
            <w:r w:rsidRPr="00FA0D37">
              <w:rPr>
                <w:rFonts w:ascii="Arial" w:hAnsi="Arial"/>
                <w:b/>
                <w:i/>
                <w:sz w:val="18"/>
                <w:szCs w:val="22"/>
                <w:lang w:eastAsia="sv-SE"/>
              </w:rPr>
              <w:t>length</w:t>
            </w:r>
          </w:p>
          <w:p w14:paraId="3674C71E" w14:textId="77777777" w:rsidR="00394471" w:rsidRPr="00FA0D37" w:rsidRDefault="00394471" w:rsidP="00964CC4">
            <w:pPr>
              <w:keepNext/>
              <w:keepLines/>
              <w:spacing w:after="0"/>
              <w:rPr>
                <w:rFonts w:ascii="Arial" w:eastAsia="MS Mincho" w:hAnsi="Arial"/>
                <w:sz w:val="18"/>
                <w:szCs w:val="22"/>
                <w:lang w:eastAsia="sv-SE"/>
              </w:rPr>
            </w:pPr>
            <w:r w:rsidRPr="00FA0D37">
              <w:rPr>
                <w:rFonts w:ascii="Arial" w:hAnsi="Arial"/>
                <w:sz w:val="18"/>
                <w:szCs w:val="22"/>
                <w:lang w:eastAsia="sv-SE"/>
              </w:rPr>
              <w:t>Indicates the length allocated for PUSCH for DCI format 0_1/0_2 (see TS 38.214 [19], clause 6.1.2.1).</w:t>
            </w:r>
          </w:p>
        </w:tc>
      </w:tr>
      <w:tr w:rsidR="005C7FF4" w:rsidRPr="00FA0D37"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FA0D37" w:rsidRDefault="00394471" w:rsidP="00964CC4">
            <w:pPr>
              <w:pStyle w:val="TAL"/>
              <w:rPr>
                <w:szCs w:val="22"/>
                <w:lang w:eastAsia="sv-SE"/>
              </w:rPr>
            </w:pPr>
            <w:r w:rsidRPr="00FA0D37">
              <w:rPr>
                <w:b/>
                <w:i/>
                <w:szCs w:val="22"/>
                <w:lang w:eastAsia="sv-SE"/>
              </w:rPr>
              <w:t>mappingType</w:t>
            </w:r>
          </w:p>
          <w:p w14:paraId="5511870B" w14:textId="77777777" w:rsidR="00394471" w:rsidRPr="00FA0D37" w:rsidRDefault="00394471" w:rsidP="00964CC4">
            <w:pPr>
              <w:pStyle w:val="TAL"/>
              <w:rPr>
                <w:szCs w:val="22"/>
                <w:lang w:eastAsia="sv-SE"/>
              </w:rPr>
            </w:pPr>
            <w:r w:rsidRPr="00FA0D37">
              <w:rPr>
                <w:szCs w:val="22"/>
                <w:lang w:eastAsia="sv-SE"/>
              </w:rPr>
              <w:t>Mapping type (see TS 38.214 [19], clause 6.1.2.1).</w:t>
            </w:r>
          </w:p>
        </w:tc>
      </w:tr>
      <w:tr w:rsidR="005C7FF4" w:rsidRPr="00FA0D37"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FA0D37" w:rsidRDefault="00394471" w:rsidP="00964CC4">
            <w:pPr>
              <w:keepNext/>
              <w:keepLines/>
              <w:spacing w:after="0"/>
              <w:rPr>
                <w:rFonts w:ascii="Arial" w:hAnsi="Arial"/>
                <w:sz w:val="18"/>
                <w:szCs w:val="22"/>
                <w:lang w:eastAsia="sv-SE"/>
              </w:rPr>
            </w:pPr>
            <w:r w:rsidRPr="00FA0D37">
              <w:rPr>
                <w:rFonts w:ascii="Arial" w:hAnsi="Arial"/>
                <w:b/>
                <w:i/>
                <w:sz w:val="18"/>
                <w:szCs w:val="22"/>
                <w:lang w:eastAsia="sv-SE"/>
              </w:rPr>
              <w:t>numberOfRepetitions</w:t>
            </w:r>
          </w:p>
          <w:p w14:paraId="5914D2A8" w14:textId="2A236703" w:rsidR="00394471" w:rsidRPr="00FA0D37" w:rsidRDefault="00394471" w:rsidP="00964CC4">
            <w:pPr>
              <w:keepNext/>
              <w:keepLines/>
              <w:spacing w:after="0"/>
              <w:rPr>
                <w:rFonts w:ascii="Arial" w:hAnsi="Arial"/>
                <w:b/>
                <w:i/>
                <w:sz w:val="18"/>
                <w:szCs w:val="22"/>
                <w:lang w:eastAsia="sv-SE"/>
              </w:rPr>
            </w:pPr>
            <w:r w:rsidRPr="00FA0D37">
              <w:rPr>
                <w:rFonts w:ascii="Arial" w:hAnsi="Arial"/>
                <w:sz w:val="18"/>
                <w:szCs w:val="22"/>
                <w:lang w:eastAsia="sv-SE"/>
              </w:rPr>
              <w:t>Number of repetitions for DCI format 0_1/0_2 (see TS 38.214 [19], clause 6.1.2.1).</w:t>
            </w:r>
            <w:r w:rsidR="003E7B2B" w:rsidRPr="00FA0D37">
              <w:rPr>
                <w:rFonts w:ascii="Arial" w:hAnsi="Arial"/>
                <w:sz w:val="18"/>
                <w:szCs w:val="22"/>
                <w:lang w:eastAsia="sv-SE"/>
              </w:rPr>
              <w:t xml:space="preserve"> When </w:t>
            </w:r>
            <w:r w:rsidR="003E7B2B" w:rsidRPr="00FA0D37">
              <w:rPr>
                <w:rFonts w:ascii="Arial" w:hAnsi="Arial"/>
                <w:i/>
                <w:sz w:val="18"/>
                <w:szCs w:val="22"/>
                <w:lang w:eastAsia="sv-SE"/>
              </w:rPr>
              <w:t xml:space="preserve">numberOfSlotsTBoMS-r17 </w:t>
            </w:r>
            <w:r w:rsidR="003E7B2B" w:rsidRPr="00FA0D37">
              <w:rPr>
                <w:rFonts w:ascii="Arial" w:hAnsi="Arial"/>
                <w:sz w:val="18"/>
                <w:szCs w:val="22"/>
                <w:lang w:eastAsia="sv-SE"/>
              </w:rPr>
              <w:t>is set to 2, 4 or 8 (i.e. TB processing over multi-slot (TBoMS) PUSCH is enabled), it indicates the number of repetitions of a single TBoMS.</w:t>
            </w:r>
          </w:p>
        </w:tc>
      </w:tr>
      <w:tr w:rsidR="005C7FF4" w:rsidRPr="00FA0D37"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FA0D37" w:rsidRDefault="003E7B2B" w:rsidP="000830BB">
            <w:pPr>
              <w:pStyle w:val="TAL"/>
              <w:rPr>
                <w:b/>
                <w:bCs/>
                <w:i/>
                <w:iCs/>
                <w:lang w:eastAsia="sv-SE"/>
              </w:rPr>
            </w:pPr>
            <w:r w:rsidRPr="00FA0D37">
              <w:rPr>
                <w:b/>
                <w:bCs/>
                <w:i/>
                <w:iCs/>
                <w:lang w:eastAsia="sv-SE"/>
              </w:rPr>
              <w:t>numberOfRepetitionsExt</w:t>
            </w:r>
          </w:p>
          <w:p w14:paraId="22F374C4" w14:textId="7FB219CA" w:rsidR="003E7B2B" w:rsidRPr="00FA0D37" w:rsidRDefault="003E7B2B" w:rsidP="000830BB">
            <w:pPr>
              <w:pStyle w:val="TAL"/>
              <w:rPr>
                <w:lang w:eastAsia="sv-SE"/>
              </w:rPr>
            </w:pPr>
            <w:r w:rsidRPr="00FA0D37">
              <w:rPr>
                <w:lang w:eastAsia="sv-SE"/>
              </w:rPr>
              <w:t xml:space="preserve">Number of repetitions for DCI format 0_1/0_2 if </w:t>
            </w:r>
            <w:r w:rsidRPr="00FA0D37">
              <w:rPr>
                <w:i/>
              </w:rPr>
              <w:t>pusch-RepTypeIndicatorDCI-0-1</w:t>
            </w:r>
            <w:r w:rsidRPr="00FA0D37">
              <w:rPr>
                <w:lang w:eastAsia="sv-SE"/>
              </w:rPr>
              <w:t>/</w:t>
            </w:r>
            <w:r w:rsidRPr="00FA0D37">
              <w:rPr>
                <w:i/>
              </w:rPr>
              <w:t>pusch-RepTypeIndicatorDCI-0-2</w:t>
            </w:r>
            <w:r w:rsidRPr="00FA0D37">
              <w:rPr>
                <w:iCs/>
              </w:rPr>
              <w:t xml:space="preserve"> </w:t>
            </w:r>
            <w:r w:rsidRPr="00FA0D37">
              <w:rPr>
                <w:lang w:eastAsia="sv-SE"/>
              </w:rPr>
              <w:t xml:space="preserve">is </w:t>
            </w:r>
            <w:r w:rsidR="00F50FE3" w:rsidRPr="00FA0D37">
              <w:rPr>
                <w:rFonts w:eastAsia="宋体"/>
                <w:lang w:eastAsia="zh-CN"/>
              </w:rPr>
              <w:t xml:space="preserve">not </w:t>
            </w:r>
            <w:r w:rsidRPr="00FA0D37">
              <w:rPr>
                <w:lang w:eastAsia="sv-SE"/>
              </w:rPr>
              <w:t xml:space="preserve">set to </w:t>
            </w:r>
            <w:r w:rsidRPr="00FA0D37">
              <w:rPr>
                <w:i/>
                <w:iCs/>
                <w:lang w:eastAsia="sv-SE"/>
              </w:rPr>
              <w:t>pusch-RepType</w:t>
            </w:r>
            <w:r w:rsidR="00F50FE3" w:rsidRPr="00FA0D37">
              <w:rPr>
                <w:i/>
                <w:iCs/>
                <w:lang w:eastAsia="sv-SE"/>
              </w:rPr>
              <w:t>B</w:t>
            </w:r>
            <w:r w:rsidRPr="00FA0D37">
              <w:rPr>
                <w:lang w:eastAsia="sv-SE"/>
              </w:rPr>
              <w:t xml:space="preserve"> (see TS 38.214 [19], clause 6.1.2.1).</w:t>
            </w:r>
            <w:r w:rsidRPr="00FA0D37">
              <w:rPr>
                <w:lang w:eastAsia="en-GB"/>
              </w:rPr>
              <w:t xml:space="preserve"> </w:t>
            </w:r>
            <w:r w:rsidRPr="00FA0D37">
              <w:rPr>
                <w:lang w:eastAsia="sv-SE"/>
              </w:rPr>
              <w:t xml:space="preserve">If this field is present, the field </w:t>
            </w:r>
            <w:r w:rsidRPr="00FA0D37">
              <w:rPr>
                <w:i/>
                <w:iCs/>
                <w:lang w:eastAsia="sv-SE"/>
              </w:rPr>
              <w:t>numberOfRepeitions-r16</w:t>
            </w:r>
            <w:r w:rsidRPr="00FA0D37">
              <w:rPr>
                <w:lang w:eastAsia="sv-SE"/>
              </w:rPr>
              <w:t xml:space="preserve"> is ignored for PUSCH repetition Type A.</w:t>
            </w:r>
          </w:p>
        </w:tc>
      </w:tr>
      <w:tr w:rsidR="005C7FF4" w:rsidRPr="00FA0D37"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FA0D37" w:rsidRDefault="003E7B2B" w:rsidP="000830BB">
            <w:pPr>
              <w:pStyle w:val="TAL"/>
              <w:rPr>
                <w:b/>
                <w:bCs/>
                <w:i/>
                <w:iCs/>
                <w:lang w:eastAsia="sv-SE"/>
              </w:rPr>
            </w:pPr>
            <w:r w:rsidRPr="00FA0D37">
              <w:rPr>
                <w:b/>
                <w:bCs/>
                <w:i/>
                <w:iCs/>
                <w:lang w:eastAsia="sv-SE"/>
              </w:rPr>
              <w:t>numberOfSlotsTBoMS</w:t>
            </w:r>
          </w:p>
          <w:p w14:paraId="2BA689E9" w14:textId="17642FA1" w:rsidR="003E7B2B" w:rsidRPr="00FA0D37" w:rsidRDefault="003E7B2B" w:rsidP="000830BB">
            <w:pPr>
              <w:pStyle w:val="TAL"/>
              <w:rPr>
                <w:rFonts w:cs="Arial"/>
                <w:szCs w:val="18"/>
                <w:lang w:eastAsia="sv-SE"/>
              </w:rPr>
            </w:pPr>
            <w:r w:rsidRPr="00FA0D37">
              <w:rPr>
                <w:lang w:eastAsia="sv-SE"/>
              </w:rPr>
              <w:t>Number of slots allocated for TB processing over multi-slot PUSCH for DCI format 0_1/0_2</w:t>
            </w:r>
            <w:r w:rsidR="00DC3894" w:rsidRPr="00FA0D37">
              <w:rPr>
                <w:lang w:eastAsia="sv-SE"/>
              </w:rPr>
              <w:t xml:space="preserve">. If a number of repetitions K is configured by </w:t>
            </w:r>
            <w:r w:rsidR="00DC3894" w:rsidRPr="00FA0D37">
              <w:rPr>
                <w:i/>
                <w:lang w:eastAsia="sv-SE"/>
              </w:rPr>
              <w:t>numberOfRepetitions</w:t>
            </w:r>
            <w:r w:rsidR="00DC3894" w:rsidRPr="00FA0D37">
              <w:rPr>
                <w:lang w:eastAsia="sv-SE"/>
              </w:rPr>
              <w:t xml:space="preserve"> or </w:t>
            </w:r>
            <w:r w:rsidR="00DC3894" w:rsidRPr="00FA0D37">
              <w:rPr>
                <w:i/>
                <w:lang w:eastAsia="sv-SE"/>
              </w:rPr>
              <w:t>numberOfRepetitionsExt</w:t>
            </w:r>
            <w:r w:rsidR="00DC3894" w:rsidRPr="00FA0D37">
              <w:rPr>
                <w:lang w:eastAsia="sv-SE"/>
              </w:rPr>
              <w:t>, the network configures</w:t>
            </w:r>
            <w:r w:rsidR="00962B3F" w:rsidRPr="00FA0D37">
              <w:rPr>
                <w:lang w:eastAsia="sv-SE"/>
              </w:rPr>
              <w:t xml:space="preserve"> </w:t>
            </w:r>
            <w:r w:rsidR="00DC3894" w:rsidRPr="00FA0D37">
              <w:rPr>
                <w:i/>
                <w:lang w:eastAsia="sv-SE"/>
              </w:rPr>
              <w:t>numberOfSlotsTBoMS</w:t>
            </w:r>
            <w:r w:rsidR="00962B3F" w:rsidRPr="00FA0D37">
              <w:rPr>
                <w:lang w:eastAsia="sv-SE"/>
              </w:rPr>
              <w:t xml:space="preserve"> </w:t>
            </w:r>
            <w:r w:rsidR="00DC3894" w:rsidRPr="00FA0D37">
              <w:rPr>
                <w:lang w:eastAsia="sv-SE"/>
              </w:rPr>
              <w:t>(N) and K such that N*K ≤ 32</w:t>
            </w:r>
            <w:r w:rsidRPr="00FA0D37">
              <w:rPr>
                <w:lang w:eastAsia="sv-SE"/>
              </w:rPr>
              <w:t xml:space="preserve"> (see TS 38.214 [19], clause 6.1.2.1).</w:t>
            </w:r>
            <w:r w:rsidR="00FD4505" w:rsidRPr="00FA0D37">
              <w:rPr>
                <w:rFonts w:cs="Arial"/>
                <w:szCs w:val="18"/>
                <w:lang w:eastAsia="sv-SE"/>
              </w:rPr>
              <w:t xml:space="preserve"> The network does not configure the </w:t>
            </w:r>
            <w:r w:rsidR="00FD4505" w:rsidRPr="00FA0D37">
              <w:rPr>
                <w:rFonts w:cs="Arial"/>
                <w:i/>
                <w:szCs w:val="18"/>
                <w:lang w:eastAsia="sv-SE"/>
              </w:rPr>
              <w:t>numberOfSlotsTBoMS-r17</w:t>
            </w:r>
            <w:r w:rsidR="00FD4505" w:rsidRPr="00FA0D37">
              <w:rPr>
                <w:rFonts w:cs="Arial"/>
                <w:szCs w:val="18"/>
                <w:lang w:eastAsia="sv-SE"/>
              </w:rPr>
              <w:t xml:space="preserve"> simultaneously with the </w:t>
            </w:r>
            <w:r w:rsidR="00FD4505" w:rsidRPr="00FA0D37">
              <w:rPr>
                <w:rFonts w:cs="Arial"/>
                <w:i/>
                <w:iCs/>
                <w:szCs w:val="18"/>
              </w:rPr>
              <w:t>pusch-TimeDomainAllocationListForMultiPUSCH-r16</w:t>
            </w:r>
            <w:r w:rsidR="00FD4505" w:rsidRPr="00FA0D37">
              <w:rPr>
                <w:rFonts w:cs="Arial"/>
                <w:szCs w:val="18"/>
              </w:rPr>
              <w:t>.</w:t>
            </w:r>
          </w:p>
        </w:tc>
      </w:tr>
      <w:tr w:rsidR="005C7FF4" w:rsidRPr="00FA0D37"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FA0D37" w:rsidRDefault="00394471" w:rsidP="000830BB">
            <w:pPr>
              <w:pStyle w:val="TAL"/>
              <w:rPr>
                <w:b/>
                <w:bCs/>
                <w:i/>
                <w:iCs/>
                <w:lang w:eastAsia="sv-SE"/>
              </w:rPr>
            </w:pPr>
            <w:r w:rsidRPr="00FA0D37">
              <w:rPr>
                <w:b/>
                <w:bCs/>
                <w:i/>
                <w:iCs/>
                <w:lang w:eastAsia="sv-SE"/>
              </w:rPr>
              <w:t>puschAllocationList</w:t>
            </w:r>
          </w:p>
          <w:p w14:paraId="58625EAB" w14:textId="57152E04" w:rsidR="00394471" w:rsidRPr="00FA0D37" w:rsidRDefault="00A55B26" w:rsidP="000830BB">
            <w:pPr>
              <w:pStyle w:val="TAL"/>
              <w:rPr>
                <w:lang w:eastAsia="sv-SE"/>
              </w:rPr>
            </w:pPr>
            <w:r w:rsidRPr="00FA0D37">
              <w:rPr>
                <w:iCs/>
                <w:lang w:eastAsia="sv-SE"/>
              </w:rPr>
              <w:t>The field</w:t>
            </w:r>
            <w:r w:rsidRPr="00FA0D37">
              <w:rPr>
                <w:lang w:eastAsia="sv-SE"/>
              </w:rPr>
              <w:t xml:space="preserve"> </w:t>
            </w:r>
            <w:r w:rsidRPr="00FA0D37">
              <w:rPr>
                <w:i/>
                <w:iCs/>
                <w:lang w:eastAsia="sv-SE"/>
              </w:rPr>
              <w:t>puschAllocationList-r16</w:t>
            </w:r>
            <w:r w:rsidRPr="00FA0D37">
              <w:rPr>
                <w:lang w:eastAsia="sv-SE"/>
              </w:rPr>
              <w:t xml:space="preserve"> indicates o</w:t>
            </w:r>
            <w:r w:rsidR="00394471" w:rsidRPr="00FA0D37">
              <w:rPr>
                <w:lang w:eastAsia="sv-SE"/>
              </w:rPr>
              <w:t xml:space="preserve">ne or multiple PUSCH continuous in time domain which share a common k2 (see TS 38.214 [19], clause 6.1.2.1). </w:t>
            </w:r>
            <w:r w:rsidRPr="00FA0D37">
              <w:rPr>
                <w:lang w:eastAsia="sv-SE"/>
              </w:rPr>
              <w:t xml:space="preserve">The field </w:t>
            </w:r>
            <w:r w:rsidRPr="00FA0D37">
              <w:rPr>
                <w:i/>
                <w:iCs/>
                <w:lang w:eastAsia="sv-SE"/>
              </w:rPr>
              <w:t>pusch-AllocationList-r17</w:t>
            </w:r>
            <w:r w:rsidRPr="00FA0D37">
              <w:rPr>
                <w:lang w:eastAsia="sv-SE"/>
              </w:rPr>
              <w:t xml:space="preserve"> configures one or multiple PUSCH that may be in consecutive or non-consecutive slots (see TS 38.214 [19], clause 6.1.2.1). The </w:t>
            </w:r>
            <w:r w:rsidRPr="00FA0D37">
              <w:rPr>
                <w:i/>
                <w:iCs/>
                <w:lang w:eastAsia="sv-SE"/>
              </w:rPr>
              <w:t>puschAllocationList-r16</w:t>
            </w:r>
            <w:r w:rsidR="00394471" w:rsidRPr="00FA0D37">
              <w:rPr>
                <w:lang w:eastAsia="sv-SE"/>
              </w:rPr>
              <w:t xml:space="preserve"> only has one element in </w:t>
            </w:r>
            <w:r w:rsidR="00394471" w:rsidRPr="00FA0D37">
              <w:rPr>
                <w:i/>
                <w:iCs/>
                <w:lang w:eastAsia="sv-SE"/>
              </w:rPr>
              <w:t>pusch-TimeDomainAllocationListDCI-0-1-r16</w:t>
            </w:r>
            <w:r w:rsidR="00394471" w:rsidRPr="00FA0D37">
              <w:rPr>
                <w:lang w:eastAsia="sv-SE"/>
              </w:rPr>
              <w:t xml:space="preserve"> and in </w:t>
            </w:r>
            <w:r w:rsidR="00394471" w:rsidRPr="00FA0D37">
              <w:rPr>
                <w:i/>
                <w:iCs/>
                <w:lang w:eastAsia="sv-SE"/>
              </w:rPr>
              <w:t>pusch-TimeDomainAllocationListDCI-0-2-r16</w:t>
            </w:r>
            <w:r w:rsidR="00394471" w:rsidRPr="00FA0D37">
              <w:rPr>
                <w:lang w:eastAsia="sv-SE"/>
              </w:rPr>
              <w:t>.</w:t>
            </w:r>
          </w:p>
        </w:tc>
      </w:tr>
      <w:tr w:rsidR="005C7FF4" w:rsidRPr="00FA0D37"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FA0D37" w:rsidRDefault="00394471" w:rsidP="00964CC4">
            <w:pPr>
              <w:keepNext/>
              <w:keepLines/>
              <w:spacing w:after="0"/>
              <w:rPr>
                <w:rFonts w:ascii="Arial" w:hAnsi="Arial"/>
                <w:sz w:val="18"/>
                <w:szCs w:val="22"/>
                <w:lang w:eastAsia="sv-SE"/>
              </w:rPr>
            </w:pPr>
            <w:r w:rsidRPr="00FA0D37">
              <w:rPr>
                <w:rFonts w:ascii="Arial" w:hAnsi="Arial"/>
                <w:b/>
                <w:i/>
                <w:sz w:val="18"/>
                <w:szCs w:val="22"/>
                <w:lang w:eastAsia="sv-SE"/>
              </w:rPr>
              <w:t>startSymbol</w:t>
            </w:r>
          </w:p>
          <w:p w14:paraId="5F3A147D" w14:textId="77777777" w:rsidR="00394471" w:rsidRPr="00FA0D37" w:rsidRDefault="00394471" w:rsidP="00964CC4">
            <w:pPr>
              <w:keepNext/>
              <w:keepLines/>
              <w:spacing w:after="0"/>
              <w:rPr>
                <w:rFonts w:ascii="Arial" w:hAnsi="Arial"/>
                <w:b/>
                <w:i/>
                <w:sz w:val="18"/>
                <w:szCs w:val="22"/>
                <w:lang w:eastAsia="sv-SE"/>
              </w:rPr>
            </w:pPr>
            <w:r w:rsidRPr="00FA0D37">
              <w:rPr>
                <w:rFonts w:ascii="Arial" w:hAnsi="Arial"/>
                <w:sz w:val="18"/>
                <w:szCs w:val="22"/>
                <w:lang w:eastAsia="sv-SE"/>
              </w:rPr>
              <w:t>Indicates the index of start symbol for PUSCH for DCI format 0_1/0_2 (see TS 38.214 [19], clause 6.1.2.1).</w:t>
            </w:r>
          </w:p>
        </w:tc>
      </w:tr>
      <w:tr w:rsidR="00394471" w:rsidRPr="00FA0D37"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FA0D37" w:rsidRDefault="00394471" w:rsidP="00964CC4">
            <w:pPr>
              <w:pStyle w:val="TAL"/>
              <w:rPr>
                <w:szCs w:val="22"/>
                <w:lang w:eastAsia="sv-SE"/>
              </w:rPr>
            </w:pPr>
            <w:r w:rsidRPr="00FA0D37">
              <w:rPr>
                <w:b/>
                <w:i/>
                <w:szCs w:val="22"/>
                <w:lang w:eastAsia="sv-SE"/>
              </w:rPr>
              <w:t>startSymbolAndLength</w:t>
            </w:r>
          </w:p>
          <w:p w14:paraId="5CC1A26C" w14:textId="77777777" w:rsidR="00394471" w:rsidRPr="00FA0D37" w:rsidRDefault="00394471" w:rsidP="00964CC4">
            <w:pPr>
              <w:pStyle w:val="TAL"/>
              <w:rPr>
                <w:szCs w:val="22"/>
                <w:lang w:eastAsia="sv-SE"/>
              </w:rPr>
            </w:pPr>
            <w:r w:rsidRPr="00FA0D37">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FA0D37" w:rsidRDefault="00394471" w:rsidP="000830BB">
            <w:pPr>
              <w:pStyle w:val="TAH"/>
              <w:rPr>
                <w:lang w:eastAsia="sv-SE"/>
              </w:rPr>
            </w:pPr>
            <w:r w:rsidRPr="00FA0D37">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FA0D37" w:rsidRDefault="00394471" w:rsidP="000830BB">
            <w:pPr>
              <w:pStyle w:val="TAH"/>
              <w:rPr>
                <w:lang w:eastAsia="sv-SE"/>
              </w:rPr>
            </w:pPr>
            <w:r w:rsidRPr="00FA0D37">
              <w:rPr>
                <w:lang w:eastAsia="sv-SE"/>
              </w:rPr>
              <w:t>Explanation</w:t>
            </w:r>
          </w:p>
        </w:tc>
      </w:tr>
      <w:tr w:rsidR="005C7FF4" w:rsidRPr="00FA0D37"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FA0D37" w:rsidRDefault="00394471" w:rsidP="000830BB">
            <w:pPr>
              <w:pStyle w:val="TAL"/>
              <w:rPr>
                <w:i/>
                <w:iCs/>
                <w:lang w:eastAsia="sv-SE"/>
              </w:rPr>
            </w:pPr>
            <w:r w:rsidRPr="00FA0D37">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FA0D37" w:rsidRDefault="00394471" w:rsidP="000830BB">
            <w:pPr>
              <w:pStyle w:val="TAL"/>
              <w:rPr>
                <w:lang w:eastAsia="sv-SE"/>
              </w:rPr>
            </w:pPr>
            <w:r w:rsidRPr="00FA0D37">
              <w:rPr>
                <w:lang w:eastAsia="sv-SE"/>
              </w:rPr>
              <w:t xml:space="preserve">In </w:t>
            </w:r>
            <w:r w:rsidRPr="00FA0D37">
              <w:rPr>
                <w:rFonts w:cs="Arial"/>
                <w:i/>
                <w:szCs w:val="18"/>
              </w:rPr>
              <w:t>pusch-TimeDomainAllocationListForMultiPUSCH-r16</w:t>
            </w:r>
            <w:r w:rsidRPr="00FA0D37">
              <w:rPr>
                <w:lang w:eastAsia="sv-SE"/>
              </w:rPr>
              <w:t>, the field is absent.</w:t>
            </w:r>
          </w:p>
          <w:p w14:paraId="4CCA9C1F" w14:textId="77777777" w:rsidR="00394471" w:rsidRPr="00FA0D37" w:rsidRDefault="00394471" w:rsidP="000830BB">
            <w:pPr>
              <w:pStyle w:val="TAL"/>
              <w:rPr>
                <w:lang w:eastAsia="sv-SE"/>
              </w:rPr>
            </w:pPr>
            <w:r w:rsidRPr="00FA0D37">
              <w:rPr>
                <w:lang w:eastAsia="sv-SE"/>
              </w:rPr>
              <w:t xml:space="preserve">In </w:t>
            </w:r>
            <w:r w:rsidRPr="00FA0D37">
              <w:rPr>
                <w:i/>
                <w:iCs/>
                <w:lang w:eastAsia="sv-SE"/>
              </w:rPr>
              <w:t>pusch-TimeDomainAllocationListDCI-0-1</w:t>
            </w:r>
            <w:r w:rsidRPr="00FA0D37">
              <w:rPr>
                <w:lang w:eastAsia="sv-SE"/>
              </w:rPr>
              <w:t xml:space="preserve"> and in </w:t>
            </w:r>
            <w:r w:rsidRPr="00FA0D37">
              <w:rPr>
                <w:i/>
                <w:iCs/>
                <w:lang w:eastAsia="sv-SE"/>
              </w:rPr>
              <w:t>pusch-TimeDomainAllocationListDCI-0-2</w:t>
            </w:r>
            <w:r w:rsidRPr="00FA0D37">
              <w:rPr>
                <w:lang w:eastAsia="sv-SE"/>
              </w:rPr>
              <w:t>, the field is mandatory present.</w:t>
            </w:r>
          </w:p>
        </w:tc>
      </w:tr>
      <w:tr w:rsidR="005C7FF4" w:rsidRPr="00FA0D37"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FA0D37" w:rsidRDefault="003E7B2B" w:rsidP="000830BB">
            <w:pPr>
              <w:pStyle w:val="TAL"/>
              <w:rPr>
                <w:i/>
                <w:iCs/>
                <w:lang w:eastAsia="sv-SE"/>
              </w:rPr>
            </w:pPr>
            <w:r w:rsidRPr="00FA0D37">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FA0D37" w:rsidRDefault="003E7B2B" w:rsidP="000830BB">
            <w:pPr>
              <w:pStyle w:val="TAL"/>
              <w:rPr>
                <w:lang w:eastAsia="sv-SE"/>
              </w:rPr>
            </w:pPr>
            <w:r w:rsidRPr="00FA0D37">
              <w:rPr>
                <w:lang w:eastAsia="sv-SE"/>
              </w:rPr>
              <w:t xml:space="preserve">In </w:t>
            </w:r>
            <w:r w:rsidRPr="00FA0D37">
              <w:rPr>
                <w:rFonts w:cs="Arial"/>
                <w:i/>
                <w:szCs w:val="18"/>
              </w:rPr>
              <w:t>pusch-TimeDomainAllocationListForMultiPUSCH-r16</w:t>
            </w:r>
            <w:r w:rsidRPr="00FA0D37">
              <w:rPr>
                <w:lang w:eastAsia="sv-SE"/>
              </w:rPr>
              <w:t>, the field is absent.</w:t>
            </w:r>
          </w:p>
          <w:p w14:paraId="569F61D5" w14:textId="0056C0A2" w:rsidR="003E7B2B" w:rsidRPr="00FA0D37" w:rsidRDefault="003E7B2B" w:rsidP="000830BB">
            <w:pPr>
              <w:pStyle w:val="TAL"/>
              <w:rPr>
                <w:lang w:eastAsia="sv-SE"/>
              </w:rPr>
            </w:pPr>
            <w:r w:rsidRPr="00FA0D37">
              <w:rPr>
                <w:lang w:eastAsia="sv-SE"/>
              </w:rPr>
              <w:t xml:space="preserve">In </w:t>
            </w:r>
            <w:r w:rsidRPr="00FA0D37">
              <w:rPr>
                <w:i/>
                <w:iCs/>
                <w:lang w:eastAsia="sv-SE"/>
              </w:rPr>
              <w:t>pusch-TimeDomainAllocationListDCI-0-1</w:t>
            </w:r>
            <w:r w:rsidRPr="00FA0D37">
              <w:rPr>
                <w:lang w:eastAsia="sv-SE"/>
              </w:rPr>
              <w:t xml:space="preserve">, the field is optionally present if </w:t>
            </w:r>
            <w:r w:rsidRPr="00FA0D37">
              <w:rPr>
                <w:i/>
              </w:rPr>
              <w:t>pusch-RepTypeIndicatorDCI-0-1</w:t>
            </w:r>
            <w:r w:rsidRPr="00FA0D37">
              <w:rPr>
                <w:lang w:eastAsia="sv-SE"/>
              </w:rPr>
              <w:t xml:space="preserve"> is </w:t>
            </w:r>
            <w:r w:rsidR="00F50FE3" w:rsidRPr="00FA0D37">
              <w:rPr>
                <w:rFonts w:eastAsia="宋体"/>
                <w:lang w:eastAsia="zh-CN"/>
              </w:rPr>
              <w:t xml:space="preserve">not </w:t>
            </w:r>
            <w:r w:rsidRPr="00FA0D37">
              <w:rPr>
                <w:lang w:eastAsia="sv-SE"/>
              </w:rPr>
              <w:t>set to pusch-RepType</w:t>
            </w:r>
            <w:r w:rsidR="00F50FE3" w:rsidRPr="00FA0D37">
              <w:rPr>
                <w:lang w:eastAsia="sv-SE"/>
              </w:rPr>
              <w:t>B</w:t>
            </w:r>
            <w:r w:rsidRPr="00FA0D37">
              <w:rPr>
                <w:lang w:eastAsia="sv-SE"/>
              </w:rPr>
              <w:t>, Need R. It is absent otherwise, Need R.</w:t>
            </w:r>
          </w:p>
          <w:p w14:paraId="3B7905E4" w14:textId="1B28A75F" w:rsidR="003E7B2B" w:rsidRPr="00FA0D37" w:rsidRDefault="003E7B2B" w:rsidP="000830BB">
            <w:pPr>
              <w:pStyle w:val="TAL"/>
              <w:rPr>
                <w:lang w:eastAsia="sv-SE"/>
              </w:rPr>
            </w:pPr>
            <w:r w:rsidRPr="00FA0D37">
              <w:rPr>
                <w:lang w:eastAsia="sv-SE"/>
              </w:rPr>
              <w:t xml:space="preserve">In </w:t>
            </w:r>
            <w:r w:rsidRPr="00FA0D37">
              <w:rPr>
                <w:i/>
                <w:iCs/>
                <w:lang w:eastAsia="sv-SE"/>
              </w:rPr>
              <w:t>pusch-TimeDomainAllocationListDCI-0-2</w:t>
            </w:r>
            <w:r w:rsidRPr="00FA0D37">
              <w:rPr>
                <w:lang w:eastAsia="sv-SE"/>
              </w:rPr>
              <w:t xml:space="preserve">, the field is optionally present if </w:t>
            </w:r>
            <w:r w:rsidRPr="00FA0D37">
              <w:rPr>
                <w:i/>
              </w:rPr>
              <w:t>pusch-RepTypeIndicatorDCI-0-2</w:t>
            </w:r>
            <w:r w:rsidRPr="00FA0D37">
              <w:rPr>
                <w:lang w:eastAsia="sv-SE"/>
              </w:rPr>
              <w:t xml:space="preserve"> is </w:t>
            </w:r>
            <w:r w:rsidR="00F50FE3" w:rsidRPr="00FA0D37">
              <w:rPr>
                <w:rFonts w:eastAsia="宋体"/>
                <w:lang w:eastAsia="zh-CN"/>
              </w:rPr>
              <w:t xml:space="preserve">not </w:t>
            </w:r>
            <w:r w:rsidRPr="00FA0D37">
              <w:rPr>
                <w:lang w:eastAsia="sv-SE"/>
              </w:rPr>
              <w:t>set to pusch-RepType</w:t>
            </w:r>
            <w:r w:rsidR="00F50FE3" w:rsidRPr="00FA0D37">
              <w:rPr>
                <w:lang w:eastAsia="sv-SE"/>
              </w:rPr>
              <w:t>B</w:t>
            </w:r>
            <w:r w:rsidRPr="00FA0D37">
              <w:rPr>
                <w:lang w:eastAsia="sv-SE"/>
              </w:rPr>
              <w:t>, Need R. It is absent otherwise, Need R.</w:t>
            </w:r>
          </w:p>
        </w:tc>
      </w:tr>
      <w:tr w:rsidR="005C7FF4" w:rsidRPr="00FA0D37"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FA0D37" w:rsidRDefault="00394471" w:rsidP="000830BB">
            <w:pPr>
              <w:pStyle w:val="TAL"/>
              <w:rPr>
                <w:i/>
                <w:iCs/>
              </w:rPr>
            </w:pPr>
            <w:r w:rsidRPr="00FA0D37">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FA0D37" w:rsidRDefault="00394471" w:rsidP="000830BB">
            <w:pPr>
              <w:pStyle w:val="TAL"/>
              <w:rPr>
                <w:lang w:eastAsia="sv-SE"/>
              </w:rPr>
            </w:pPr>
            <w:r w:rsidRPr="00FA0D37">
              <w:rPr>
                <w:lang w:eastAsia="sv-SE"/>
              </w:rPr>
              <w:t xml:space="preserve">In </w:t>
            </w:r>
            <w:r w:rsidRPr="00FA0D37">
              <w:rPr>
                <w:rFonts w:cs="Arial"/>
                <w:i/>
                <w:szCs w:val="18"/>
              </w:rPr>
              <w:t>pusch-TimeDomainAllocationListForMultiPUSCH-r16</w:t>
            </w:r>
            <w:r w:rsidRPr="00FA0D37">
              <w:rPr>
                <w:lang w:eastAsia="sv-SE"/>
              </w:rPr>
              <w:t>, the field is mandatory present.</w:t>
            </w:r>
          </w:p>
          <w:p w14:paraId="61CB961C" w14:textId="677444E0" w:rsidR="00394471" w:rsidRPr="00FA0D37" w:rsidRDefault="00394471" w:rsidP="000830BB">
            <w:pPr>
              <w:pStyle w:val="TAL"/>
              <w:rPr>
                <w:lang w:eastAsia="sv-SE"/>
              </w:rPr>
            </w:pPr>
            <w:r w:rsidRPr="00FA0D37">
              <w:rPr>
                <w:lang w:eastAsia="sv-SE"/>
              </w:rPr>
              <w:t xml:space="preserve">In </w:t>
            </w:r>
            <w:r w:rsidRPr="00FA0D37">
              <w:rPr>
                <w:i/>
                <w:iCs/>
                <w:lang w:eastAsia="sv-SE"/>
              </w:rPr>
              <w:t>pusch-TimeDomainAllocationListDCI-0-1</w:t>
            </w:r>
            <w:r w:rsidRPr="00FA0D37">
              <w:rPr>
                <w:lang w:eastAsia="sv-SE"/>
              </w:rPr>
              <w:t xml:space="preserve">, the field is </w:t>
            </w:r>
            <w:r w:rsidR="00B13225" w:rsidRPr="00FA0D37">
              <w:rPr>
                <w:lang w:eastAsia="sv-SE"/>
              </w:rPr>
              <w:t>mandatory</w:t>
            </w:r>
            <w:r w:rsidRPr="00FA0D37">
              <w:rPr>
                <w:lang w:eastAsia="sv-SE"/>
              </w:rPr>
              <w:t xml:space="preserve"> present if </w:t>
            </w:r>
            <w:r w:rsidRPr="00FA0D37">
              <w:rPr>
                <w:i/>
              </w:rPr>
              <w:t>pusch-RepTypeIndicatorDCI-0-1</w:t>
            </w:r>
            <w:r w:rsidRPr="00FA0D37">
              <w:rPr>
                <w:lang w:eastAsia="sv-SE"/>
              </w:rPr>
              <w:t xml:space="preserve"> is </w:t>
            </w:r>
            <w:r w:rsidR="00F50FE3" w:rsidRPr="00FA0D37">
              <w:rPr>
                <w:rFonts w:eastAsia="宋体"/>
                <w:lang w:eastAsia="zh-CN"/>
              </w:rPr>
              <w:t xml:space="preserve">not </w:t>
            </w:r>
            <w:r w:rsidRPr="00FA0D37">
              <w:rPr>
                <w:lang w:eastAsia="sv-SE"/>
              </w:rPr>
              <w:t>set to pusch-RepType</w:t>
            </w:r>
            <w:r w:rsidR="00F50FE3" w:rsidRPr="00FA0D37">
              <w:rPr>
                <w:lang w:eastAsia="sv-SE"/>
              </w:rPr>
              <w:t>B</w:t>
            </w:r>
            <w:r w:rsidRPr="00FA0D37">
              <w:rPr>
                <w:lang w:eastAsia="sv-SE"/>
              </w:rPr>
              <w:t>. It is absent otherwise, Need R.</w:t>
            </w:r>
          </w:p>
          <w:p w14:paraId="5A4AA728" w14:textId="7283231C" w:rsidR="00394471" w:rsidRPr="00FA0D37" w:rsidRDefault="00394471" w:rsidP="000830BB">
            <w:pPr>
              <w:pStyle w:val="TAL"/>
              <w:rPr>
                <w:lang w:eastAsia="sv-SE"/>
              </w:rPr>
            </w:pPr>
            <w:r w:rsidRPr="00FA0D37">
              <w:rPr>
                <w:lang w:eastAsia="sv-SE"/>
              </w:rPr>
              <w:t xml:space="preserve">In </w:t>
            </w:r>
            <w:r w:rsidRPr="00FA0D37">
              <w:rPr>
                <w:i/>
                <w:iCs/>
                <w:lang w:eastAsia="sv-SE"/>
              </w:rPr>
              <w:t>pusch-TimeDomainAllocationListDCI-0-2</w:t>
            </w:r>
            <w:r w:rsidRPr="00FA0D37">
              <w:rPr>
                <w:lang w:eastAsia="sv-SE"/>
              </w:rPr>
              <w:t xml:space="preserve">, the field is </w:t>
            </w:r>
            <w:r w:rsidR="00B13225" w:rsidRPr="00FA0D37">
              <w:rPr>
                <w:lang w:eastAsia="sv-SE"/>
              </w:rPr>
              <w:t>mandatory</w:t>
            </w:r>
            <w:r w:rsidRPr="00FA0D37">
              <w:rPr>
                <w:lang w:eastAsia="sv-SE"/>
              </w:rPr>
              <w:t xml:space="preserve"> present if </w:t>
            </w:r>
            <w:r w:rsidRPr="00FA0D37">
              <w:rPr>
                <w:i/>
              </w:rPr>
              <w:t>pusch-RepTypeIndicatorDCI-0-2</w:t>
            </w:r>
            <w:r w:rsidRPr="00FA0D37">
              <w:rPr>
                <w:lang w:eastAsia="sv-SE"/>
              </w:rPr>
              <w:t xml:space="preserve"> is </w:t>
            </w:r>
            <w:r w:rsidR="00F50FE3" w:rsidRPr="00FA0D37">
              <w:rPr>
                <w:rFonts w:eastAsia="宋体"/>
                <w:lang w:eastAsia="zh-CN"/>
              </w:rPr>
              <w:t xml:space="preserve">not </w:t>
            </w:r>
            <w:r w:rsidRPr="00FA0D37">
              <w:rPr>
                <w:lang w:eastAsia="sv-SE"/>
              </w:rPr>
              <w:t>set to pusch-RepType</w:t>
            </w:r>
            <w:r w:rsidR="00F50FE3" w:rsidRPr="00FA0D37">
              <w:rPr>
                <w:lang w:eastAsia="sv-SE"/>
              </w:rPr>
              <w:t>B</w:t>
            </w:r>
            <w:r w:rsidRPr="00FA0D37">
              <w:rPr>
                <w:lang w:eastAsia="sv-SE"/>
              </w:rPr>
              <w:t>. It is absent otherwise, Need R.</w:t>
            </w:r>
          </w:p>
        </w:tc>
      </w:tr>
      <w:tr w:rsidR="005C7FF4" w:rsidRPr="00FA0D37"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FA0D37" w:rsidRDefault="00394471" w:rsidP="000830BB">
            <w:pPr>
              <w:pStyle w:val="TAL"/>
              <w:rPr>
                <w:i/>
                <w:iCs/>
              </w:rPr>
            </w:pPr>
            <w:r w:rsidRPr="00FA0D37">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FA0D37" w:rsidRDefault="00394471" w:rsidP="000830BB">
            <w:pPr>
              <w:pStyle w:val="TAL"/>
              <w:rPr>
                <w:lang w:eastAsia="sv-SE"/>
              </w:rPr>
            </w:pPr>
            <w:r w:rsidRPr="00FA0D37">
              <w:rPr>
                <w:lang w:eastAsia="sv-SE"/>
              </w:rPr>
              <w:t xml:space="preserve">In </w:t>
            </w:r>
            <w:r w:rsidRPr="00FA0D37">
              <w:rPr>
                <w:rFonts w:cs="Arial"/>
                <w:i/>
                <w:szCs w:val="18"/>
              </w:rPr>
              <w:t>pusch-TimeDomainAllocationListForMultiPUSCH-r16</w:t>
            </w:r>
            <w:r w:rsidRPr="00FA0D37">
              <w:rPr>
                <w:lang w:eastAsia="sv-SE"/>
              </w:rPr>
              <w:t>, the field is absent.</w:t>
            </w:r>
          </w:p>
          <w:p w14:paraId="7103326D" w14:textId="0840DDB8" w:rsidR="00394471" w:rsidRPr="00FA0D37" w:rsidRDefault="00394471" w:rsidP="000830BB">
            <w:pPr>
              <w:pStyle w:val="TAL"/>
              <w:rPr>
                <w:lang w:eastAsia="sv-SE"/>
              </w:rPr>
            </w:pPr>
            <w:r w:rsidRPr="00FA0D37">
              <w:rPr>
                <w:lang w:eastAsia="sv-SE"/>
              </w:rPr>
              <w:t xml:space="preserve">In </w:t>
            </w:r>
            <w:r w:rsidRPr="00FA0D37">
              <w:rPr>
                <w:i/>
                <w:iCs/>
                <w:lang w:eastAsia="sv-SE"/>
              </w:rPr>
              <w:t>pusch-TimeDomainAllocationListDCI-0-1</w:t>
            </w:r>
            <w:r w:rsidRPr="00FA0D37">
              <w:rPr>
                <w:lang w:eastAsia="sv-SE"/>
              </w:rPr>
              <w:t xml:space="preserve">, the field is </w:t>
            </w:r>
            <w:r w:rsidR="00F50FE3" w:rsidRPr="00FA0D37">
              <w:rPr>
                <w:lang w:eastAsia="sv-SE"/>
              </w:rPr>
              <w:t xml:space="preserve">mandatory </w:t>
            </w:r>
            <w:r w:rsidRPr="00FA0D37">
              <w:rPr>
                <w:lang w:eastAsia="sv-SE"/>
              </w:rPr>
              <w:t xml:space="preserve">present if </w:t>
            </w:r>
            <w:r w:rsidRPr="00FA0D37">
              <w:rPr>
                <w:i/>
              </w:rPr>
              <w:t>pusch-RepTypeIndicatorDCI-0-1</w:t>
            </w:r>
            <w:r w:rsidRPr="00FA0D37">
              <w:rPr>
                <w:lang w:eastAsia="sv-SE"/>
              </w:rPr>
              <w:t xml:space="preserve"> is set to pusch-RepTypeB. It is absent otherwise, Need R.</w:t>
            </w:r>
          </w:p>
          <w:p w14:paraId="22B26C2C" w14:textId="624894E4" w:rsidR="00394471" w:rsidRPr="00FA0D37" w:rsidRDefault="00394471" w:rsidP="000830BB">
            <w:pPr>
              <w:pStyle w:val="TAL"/>
              <w:rPr>
                <w:lang w:eastAsia="sv-SE"/>
              </w:rPr>
            </w:pPr>
            <w:r w:rsidRPr="00FA0D37">
              <w:rPr>
                <w:lang w:eastAsia="sv-SE"/>
              </w:rPr>
              <w:t xml:space="preserve">In </w:t>
            </w:r>
            <w:r w:rsidRPr="00FA0D37">
              <w:rPr>
                <w:i/>
                <w:iCs/>
                <w:lang w:eastAsia="sv-SE"/>
              </w:rPr>
              <w:t>pusch-TimeDomainAllocationListDCI-0-2</w:t>
            </w:r>
            <w:r w:rsidRPr="00FA0D37">
              <w:rPr>
                <w:lang w:eastAsia="sv-SE"/>
              </w:rPr>
              <w:t xml:space="preserve">, the field is </w:t>
            </w:r>
            <w:r w:rsidR="00F50FE3" w:rsidRPr="00FA0D37">
              <w:rPr>
                <w:lang w:eastAsia="sv-SE"/>
              </w:rPr>
              <w:t xml:space="preserve">mandatory </w:t>
            </w:r>
            <w:r w:rsidRPr="00FA0D37">
              <w:rPr>
                <w:lang w:eastAsia="sv-SE"/>
              </w:rPr>
              <w:t xml:space="preserve">present if </w:t>
            </w:r>
            <w:r w:rsidRPr="00FA0D37">
              <w:rPr>
                <w:i/>
              </w:rPr>
              <w:t>pusch-RepTypeIndicatorDCI-0-2</w:t>
            </w:r>
            <w:r w:rsidRPr="00FA0D37">
              <w:rPr>
                <w:lang w:eastAsia="sv-SE"/>
              </w:rPr>
              <w:t xml:space="preserve"> is set to pusch-RepTypeB. It is absent otherwise, Need R.</w:t>
            </w:r>
          </w:p>
        </w:tc>
      </w:tr>
      <w:tr w:rsidR="000830BB" w:rsidRPr="00FA0D37"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FA0D37" w:rsidRDefault="00A55B26" w:rsidP="00A55B26">
            <w:pPr>
              <w:pStyle w:val="TAL"/>
              <w:rPr>
                <w:i/>
                <w:iCs/>
                <w:lang w:eastAsia="zh-CN"/>
              </w:rPr>
            </w:pPr>
            <w:r w:rsidRPr="00FA0D37">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4179015E" w:rsidR="00A55B26" w:rsidRPr="00FA0D37" w:rsidRDefault="00A55B26" w:rsidP="00A55B26">
            <w:pPr>
              <w:pStyle w:val="TAL"/>
              <w:rPr>
                <w:lang w:eastAsia="sv-SE"/>
              </w:rPr>
            </w:pPr>
            <w:r w:rsidRPr="00FA0D37">
              <w:rPr>
                <w:lang w:eastAsia="sv-SE"/>
              </w:rPr>
              <w:t xml:space="preserve">In </w:t>
            </w:r>
            <w:r w:rsidR="008C38BA" w:rsidRPr="00FA0D37">
              <w:rPr>
                <w:lang w:eastAsia="sv-SE"/>
              </w:rPr>
              <w:t xml:space="preserve">case size of </w:t>
            </w:r>
            <w:r w:rsidR="008C38BA" w:rsidRPr="00FA0D37">
              <w:rPr>
                <w:i/>
                <w:lang w:eastAsia="sv-SE"/>
              </w:rPr>
              <w:t>puschAllocationList</w:t>
            </w:r>
            <w:r w:rsidR="008C38BA" w:rsidRPr="00FA0D37">
              <w:rPr>
                <w:lang w:eastAsia="sv-SE"/>
              </w:rPr>
              <w:t xml:space="preserve"> is higher than 1</w:t>
            </w:r>
            <w:r w:rsidRPr="00FA0D37">
              <w:rPr>
                <w:lang w:eastAsia="sv-SE"/>
              </w:rPr>
              <w:t xml:space="preserve">, the field </w:t>
            </w:r>
            <w:r w:rsidR="008C38BA" w:rsidRPr="00FA0D37">
              <w:rPr>
                <w:i/>
                <w:iCs/>
                <w:lang w:eastAsia="sv-SE"/>
              </w:rPr>
              <w:t>extendedK</w:t>
            </w:r>
            <w:r w:rsidRPr="00FA0D37">
              <w:rPr>
                <w:i/>
                <w:iCs/>
                <w:lang w:eastAsia="sv-SE"/>
              </w:rPr>
              <w:t>2(n)</w:t>
            </w:r>
            <w:r w:rsidRPr="00FA0D37">
              <w:rPr>
                <w:lang w:eastAsia="sv-SE"/>
              </w:rPr>
              <w:t xml:space="preserve"> corresponding to k2 of the n-th PUSCH, n&gt;1, is mandatory present. Otherwise, it is optionally present, Need S.</w:t>
            </w:r>
          </w:p>
        </w:tc>
      </w:tr>
    </w:tbl>
    <w:p w14:paraId="5B3ABE59" w14:textId="77777777" w:rsidR="00394471" w:rsidRPr="00FA0D37" w:rsidRDefault="00394471" w:rsidP="00394471"/>
    <w:p w14:paraId="77A5375E" w14:textId="77777777" w:rsidR="00394471" w:rsidRPr="00FA0D37" w:rsidRDefault="00394471" w:rsidP="00394471">
      <w:pPr>
        <w:pStyle w:val="4"/>
      </w:pPr>
      <w:bookmarkStart w:id="1270" w:name="_Toc60777327"/>
      <w:bookmarkStart w:id="1271" w:name="_Toc146781406"/>
      <w:r w:rsidRPr="00FA0D37">
        <w:t>–</w:t>
      </w:r>
      <w:r w:rsidRPr="00FA0D37">
        <w:tab/>
      </w:r>
      <w:r w:rsidRPr="00FA0D37">
        <w:rPr>
          <w:i/>
        </w:rPr>
        <w:t>PUSCH-TPC-CommandConfig</w:t>
      </w:r>
      <w:bookmarkEnd w:id="1270"/>
      <w:bookmarkEnd w:id="1271"/>
    </w:p>
    <w:p w14:paraId="184A0597" w14:textId="77777777" w:rsidR="00394471" w:rsidRPr="00FA0D37" w:rsidRDefault="00394471" w:rsidP="00394471">
      <w:r w:rsidRPr="00FA0D37">
        <w:t xml:space="preserve">The IE </w:t>
      </w:r>
      <w:r w:rsidRPr="00FA0D37">
        <w:rPr>
          <w:i/>
        </w:rPr>
        <w:t>PUSCH-TPC-CommandConfig</w:t>
      </w:r>
      <w:r w:rsidRPr="00FA0D37">
        <w:t xml:space="preserve"> is used to configure the UE for extracting TPC commands for PUSCH from a group-TPC messages on DCI.</w:t>
      </w:r>
    </w:p>
    <w:p w14:paraId="6AC52FD2" w14:textId="77777777" w:rsidR="00394471" w:rsidRPr="00FA0D37" w:rsidRDefault="00394471" w:rsidP="00394471">
      <w:pPr>
        <w:pStyle w:val="TH"/>
      </w:pPr>
      <w:r w:rsidRPr="00FA0D37">
        <w:rPr>
          <w:i/>
        </w:rPr>
        <w:t>PUSCH-TPC-CommandConfig</w:t>
      </w:r>
      <w:r w:rsidRPr="00FA0D37">
        <w:t xml:space="preserve"> information element</w:t>
      </w:r>
    </w:p>
    <w:p w14:paraId="29C86D72" w14:textId="77777777" w:rsidR="00394471" w:rsidRPr="00FA0D37" w:rsidRDefault="00394471" w:rsidP="00FA0D37">
      <w:pPr>
        <w:pStyle w:val="PL"/>
        <w:rPr>
          <w:color w:val="808080"/>
        </w:rPr>
      </w:pPr>
      <w:r w:rsidRPr="00FA0D37">
        <w:rPr>
          <w:color w:val="808080"/>
        </w:rPr>
        <w:t>-- ASN1START</w:t>
      </w:r>
    </w:p>
    <w:p w14:paraId="091B8675" w14:textId="77777777" w:rsidR="00394471" w:rsidRPr="00FA0D37" w:rsidRDefault="00394471" w:rsidP="00FA0D37">
      <w:pPr>
        <w:pStyle w:val="PL"/>
        <w:rPr>
          <w:color w:val="808080"/>
        </w:rPr>
      </w:pPr>
      <w:r w:rsidRPr="00FA0D37">
        <w:rPr>
          <w:color w:val="808080"/>
        </w:rPr>
        <w:t>-- TAG-PUSCH-TPC-COMMANDCONFIG-START</w:t>
      </w:r>
    </w:p>
    <w:p w14:paraId="0001FA65" w14:textId="77777777" w:rsidR="00394471" w:rsidRPr="00FA0D37" w:rsidRDefault="00394471" w:rsidP="00FA0D37">
      <w:pPr>
        <w:pStyle w:val="PL"/>
      </w:pPr>
    </w:p>
    <w:p w14:paraId="66EF9788" w14:textId="77777777" w:rsidR="00394471" w:rsidRPr="00FA0D37" w:rsidRDefault="00394471" w:rsidP="00FA0D37">
      <w:pPr>
        <w:pStyle w:val="PL"/>
      </w:pPr>
      <w:r w:rsidRPr="00FA0D37">
        <w:t xml:space="preserve">PUSCH-TPC-CommandConfig ::=         </w:t>
      </w:r>
      <w:r w:rsidRPr="00FA0D37">
        <w:rPr>
          <w:color w:val="993366"/>
        </w:rPr>
        <w:t>SEQUENCE</w:t>
      </w:r>
      <w:r w:rsidRPr="00FA0D37">
        <w:t xml:space="preserve"> {</w:t>
      </w:r>
    </w:p>
    <w:p w14:paraId="10952802" w14:textId="77777777" w:rsidR="00394471" w:rsidRPr="00FA0D37" w:rsidRDefault="00394471" w:rsidP="00FA0D37">
      <w:pPr>
        <w:pStyle w:val="PL"/>
        <w:rPr>
          <w:color w:val="808080"/>
        </w:rPr>
      </w:pPr>
      <w:r w:rsidRPr="00FA0D37">
        <w:t xml:space="preserve">    tpc-Index                           </w:t>
      </w:r>
      <w:r w:rsidRPr="00FA0D37">
        <w:rPr>
          <w:color w:val="993366"/>
        </w:rPr>
        <w:t>INTEGER</w:t>
      </w:r>
      <w:r w:rsidRPr="00FA0D37">
        <w:t xml:space="preserve"> (1..15)                                                 </w:t>
      </w:r>
      <w:r w:rsidRPr="00FA0D37">
        <w:rPr>
          <w:color w:val="993366"/>
        </w:rPr>
        <w:t>OPTIONAL</w:t>
      </w:r>
      <w:r w:rsidRPr="00FA0D37">
        <w:t xml:space="preserve">,   </w:t>
      </w:r>
      <w:r w:rsidRPr="00FA0D37">
        <w:rPr>
          <w:color w:val="808080"/>
        </w:rPr>
        <w:t>-- Cond SUL</w:t>
      </w:r>
    </w:p>
    <w:p w14:paraId="452C8FC5" w14:textId="77777777" w:rsidR="00394471" w:rsidRPr="00FA0D37" w:rsidRDefault="00394471" w:rsidP="00FA0D37">
      <w:pPr>
        <w:pStyle w:val="PL"/>
        <w:rPr>
          <w:color w:val="808080"/>
        </w:rPr>
      </w:pPr>
      <w:r w:rsidRPr="00FA0D37">
        <w:t xml:space="preserve">    tpc-IndexSUL                        </w:t>
      </w:r>
      <w:r w:rsidRPr="00FA0D37">
        <w:rPr>
          <w:color w:val="993366"/>
        </w:rPr>
        <w:t>INTEGER</w:t>
      </w:r>
      <w:r w:rsidRPr="00FA0D37">
        <w:t xml:space="preserve"> (1..15)                                                 </w:t>
      </w:r>
      <w:r w:rsidRPr="00FA0D37">
        <w:rPr>
          <w:color w:val="993366"/>
        </w:rPr>
        <w:t>OPTIONAL</w:t>
      </w:r>
      <w:r w:rsidRPr="00FA0D37">
        <w:t xml:space="preserve">,   </w:t>
      </w:r>
      <w:r w:rsidRPr="00FA0D37">
        <w:rPr>
          <w:color w:val="808080"/>
        </w:rPr>
        <w:t>-- Cond SUL-Only</w:t>
      </w:r>
    </w:p>
    <w:p w14:paraId="59945780" w14:textId="77777777" w:rsidR="00394471" w:rsidRPr="00FA0D37" w:rsidRDefault="00394471" w:rsidP="00FA0D37">
      <w:pPr>
        <w:pStyle w:val="PL"/>
        <w:rPr>
          <w:color w:val="808080"/>
        </w:rPr>
      </w:pPr>
      <w:r w:rsidRPr="00FA0D37">
        <w:t xml:space="preserve">    targetCell                          ServCellIndex                                                   </w:t>
      </w:r>
      <w:r w:rsidRPr="00FA0D37">
        <w:rPr>
          <w:color w:val="993366"/>
        </w:rPr>
        <w:t>OPTIONAL</w:t>
      </w:r>
      <w:r w:rsidRPr="00FA0D37">
        <w:t xml:space="preserve">,   </w:t>
      </w:r>
      <w:r w:rsidRPr="00FA0D37">
        <w:rPr>
          <w:color w:val="808080"/>
        </w:rPr>
        <w:t>-- Need S</w:t>
      </w:r>
    </w:p>
    <w:p w14:paraId="2AEDA8A9" w14:textId="77777777" w:rsidR="00394471" w:rsidRPr="00FA0D37" w:rsidRDefault="00394471" w:rsidP="00FA0D37">
      <w:pPr>
        <w:pStyle w:val="PL"/>
      </w:pPr>
      <w:r w:rsidRPr="00FA0D37">
        <w:t xml:space="preserve">    ...</w:t>
      </w:r>
    </w:p>
    <w:p w14:paraId="7A6C2918" w14:textId="77777777" w:rsidR="00394471" w:rsidRPr="00FA0D37" w:rsidRDefault="00394471" w:rsidP="00FA0D37">
      <w:pPr>
        <w:pStyle w:val="PL"/>
      </w:pPr>
      <w:r w:rsidRPr="00FA0D37">
        <w:t>}</w:t>
      </w:r>
    </w:p>
    <w:p w14:paraId="2271656C" w14:textId="77777777" w:rsidR="00394471" w:rsidRPr="00FA0D37" w:rsidRDefault="00394471" w:rsidP="00FA0D37">
      <w:pPr>
        <w:pStyle w:val="PL"/>
      </w:pPr>
    </w:p>
    <w:p w14:paraId="734CA2B1" w14:textId="77777777" w:rsidR="00394471" w:rsidRPr="00FA0D37" w:rsidRDefault="00394471" w:rsidP="00FA0D37">
      <w:pPr>
        <w:pStyle w:val="PL"/>
        <w:rPr>
          <w:color w:val="808080"/>
        </w:rPr>
      </w:pPr>
      <w:r w:rsidRPr="00FA0D37">
        <w:rPr>
          <w:color w:val="808080"/>
        </w:rPr>
        <w:t>-- TAG-PUSCH-TPC-COMMANDCONFIG-STOP</w:t>
      </w:r>
    </w:p>
    <w:p w14:paraId="5E0A64EC" w14:textId="77777777" w:rsidR="00394471" w:rsidRPr="00FA0D37" w:rsidRDefault="00394471" w:rsidP="00FA0D37">
      <w:pPr>
        <w:pStyle w:val="PL"/>
        <w:rPr>
          <w:color w:val="808080"/>
        </w:rPr>
      </w:pPr>
      <w:r w:rsidRPr="00FA0D37">
        <w:rPr>
          <w:color w:val="808080"/>
        </w:rPr>
        <w:t>-- ASN1STOP</w:t>
      </w:r>
    </w:p>
    <w:p w14:paraId="4FCE9F0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FA0D37" w:rsidRDefault="00394471" w:rsidP="00964CC4">
            <w:pPr>
              <w:pStyle w:val="TAH"/>
              <w:rPr>
                <w:szCs w:val="22"/>
                <w:lang w:eastAsia="sv-SE"/>
              </w:rPr>
            </w:pPr>
            <w:r w:rsidRPr="00FA0D37">
              <w:rPr>
                <w:i/>
                <w:szCs w:val="22"/>
                <w:lang w:eastAsia="sv-SE"/>
              </w:rPr>
              <w:lastRenderedPageBreak/>
              <w:t xml:space="preserve">PUSCH-TPC-CommandConfig </w:t>
            </w:r>
            <w:r w:rsidRPr="00FA0D37">
              <w:rPr>
                <w:szCs w:val="22"/>
                <w:lang w:eastAsia="sv-SE"/>
              </w:rPr>
              <w:t>field descriptions</w:t>
            </w:r>
          </w:p>
        </w:tc>
      </w:tr>
      <w:tr w:rsidR="005C7FF4" w:rsidRPr="00FA0D37"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FA0D37" w:rsidRDefault="00394471" w:rsidP="00964CC4">
            <w:pPr>
              <w:pStyle w:val="TAL"/>
              <w:rPr>
                <w:szCs w:val="22"/>
                <w:lang w:eastAsia="sv-SE"/>
              </w:rPr>
            </w:pPr>
            <w:r w:rsidRPr="00FA0D37">
              <w:rPr>
                <w:b/>
                <w:i/>
                <w:szCs w:val="22"/>
                <w:lang w:eastAsia="sv-SE"/>
              </w:rPr>
              <w:t>targetCell</w:t>
            </w:r>
          </w:p>
          <w:p w14:paraId="215722A7" w14:textId="77777777" w:rsidR="00394471" w:rsidRPr="00FA0D37" w:rsidRDefault="00394471" w:rsidP="00964CC4">
            <w:pPr>
              <w:pStyle w:val="TAL"/>
              <w:rPr>
                <w:szCs w:val="22"/>
                <w:lang w:eastAsia="sv-SE"/>
              </w:rPr>
            </w:pPr>
            <w:r w:rsidRPr="00FA0D37">
              <w:rPr>
                <w:szCs w:val="22"/>
                <w:lang w:eastAsia="sv-SE"/>
              </w:rPr>
              <w:t>The serving cell to which the acquired power control commands are applicable. If the value is absent, the UE applies the TPC commands to the serving cell on which the command has been received.</w:t>
            </w:r>
          </w:p>
        </w:tc>
      </w:tr>
      <w:tr w:rsidR="005C7FF4" w:rsidRPr="00FA0D37"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FA0D37" w:rsidRDefault="00394471" w:rsidP="00964CC4">
            <w:pPr>
              <w:pStyle w:val="TAL"/>
              <w:rPr>
                <w:szCs w:val="22"/>
                <w:lang w:eastAsia="sv-SE"/>
              </w:rPr>
            </w:pPr>
            <w:r w:rsidRPr="00FA0D37">
              <w:rPr>
                <w:b/>
                <w:i/>
                <w:szCs w:val="22"/>
                <w:lang w:eastAsia="sv-SE"/>
              </w:rPr>
              <w:t>tpc-Index</w:t>
            </w:r>
          </w:p>
          <w:p w14:paraId="335F9D79" w14:textId="77777777" w:rsidR="00394471" w:rsidRPr="00FA0D37" w:rsidRDefault="00394471" w:rsidP="00964CC4">
            <w:pPr>
              <w:pStyle w:val="TAL"/>
              <w:rPr>
                <w:szCs w:val="22"/>
                <w:lang w:eastAsia="sv-SE"/>
              </w:rPr>
            </w:pPr>
            <w:r w:rsidRPr="00FA0D37">
              <w:rPr>
                <w:szCs w:val="22"/>
                <w:lang w:eastAsia="sv-SE"/>
              </w:rPr>
              <w:t>An index determining the position of the first bit of TPC command inside the DCI format 2-2 payload.</w:t>
            </w:r>
          </w:p>
        </w:tc>
      </w:tr>
      <w:tr w:rsidR="00394471" w:rsidRPr="00FA0D37"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FA0D37" w:rsidRDefault="00394471" w:rsidP="00964CC4">
            <w:pPr>
              <w:pStyle w:val="TAL"/>
              <w:rPr>
                <w:szCs w:val="22"/>
                <w:lang w:eastAsia="sv-SE"/>
              </w:rPr>
            </w:pPr>
            <w:r w:rsidRPr="00FA0D37">
              <w:rPr>
                <w:b/>
                <w:i/>
                <w:szCs w:val="22"/>
                <w:lang w:eastAsia="sv-SE"/>
              </w:rPr>
              <w:t>tpc-IndexSUL</w:t>
            </w:r>
          </w:p>
          <w:p w14:paraId="6B4578E0" w14:textId="77777777" w:rsidR="00394471" w:rsidRPr="00FA0D37" w:rsidRDefault="00394471" w:rsidP="00964CC4">
            <w:pPr>
              <w:pStyle w:val="TAL"/>
              <w:rPr>
                <w:szCs w:val="22"/>
                <w:lang w:eastAsia="sv-SE"/>
              </w:rPr>
            </w:pPr>
            <w:r w:rsidRPr="00FA0D37">
              <w:rPr>
                <w:szCs w:val="22"/>
                <w:lang w:eastAsia="sv-SE"/>
              </w:rPr>
              <w:t>An index determining the position of the first bit of TPC command inside the DCI format 2-2 payload.</w:t>
            </w:r>
          </w:p>
        </w:tc>
      </w:tr>
    </w:tbl>
    <w:p w14:paraId="6BB4B2C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FA0D37" w:rsidRDefault="00394471" w:rsidP="00964CC4">
            <w:pPr>
              <w:pStyle w:val="TAH"/>
              <w:rPr>
                <w:lang w:eastAsia="sv-SE"/>
              </w:rPr>
            </w:pPr>
            <w:r w:rsidRPr="00FA0D37">
              <w:rPr>
                <w:lang w:eastAsia="sv-SE"/>
              </w:rPr>
              <w:t>Explanation</w:t>
            </w:r>
          </w:p>
        </w:tc>
      </w:tr>
      <w:tr w:rsidR="005C7FF4" w:rsidRPr="00FA0D37"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FA0D37" w:rsidRDefault="00394471" w:rsidP="00964CC4">
            <w:pPr>
              <w:pStyle w:val="TAL"/>
              <w:rPr>
                <w:i/>
                <w:lang w:eastAsia="sv-SE"/>
              </w:rPr>
            </w:pPr>
            <w:r w:rsidRPr="00FA0D37">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FA0D37" w:rsidRDefault="00394471" w:rsidP="00964CC4">
            <w:pPr>
              <w:pStyle w:val="TAL"/>
              <w:rPr>
                <w:lang w:eastAsia="sv-SE"/>
              </w:rPr>
            </w:pPr>
            <w:r w:rsidRPr="00FA0D37">
              <w:rPr>
                <w:lang w:eastAsia="sv-SE"/>
              </w:rPr>
              <w:t xml:space="preserve">The field is optionally present, Need R, if </w:t>
            </w:r>
            <w:r w:rsidRPr="00FA0D37">
              <w:rPr>
                <w:i/>
                <w:iCs/>
                <w:lang w:eastAsia="sv-SE"/>
              </w:rPr>
              <w:t>supplementaryUplink</w:t>
            </w:r>
            <w:r w:rsidRPr="00FA0D37">
              <w:rPr>
                <w:lang w:eastAsia="sv-SE"/>
              </w:rPr>
              <w:t xml:space="preserve"> is configured within S</w:t>
            </w:r>
            <w:r w:rsidRPr="00FA0D37">
              <w:rPr>
                <w:i/>
                <w:iCs/>
                <w:lang w:eastAsia="sv-SE"/>
              </w:rPr>
              <w:t>ervingCellConfig</w:t>
            </w:r>
            <w:r w:rsidRPr="00FA0D37">
              <w:rPr>
                <w:lang w:eastAsia="sv-SE"/>
              </w:rPr>
              <w:t>. It is absent otherwise.</w:t>
            </w:r>
          </w:p>
        </w:tc>
      </w:tr>
      <w:tr w:rsidR="00394471" w:rsidRPr="00FA0D37"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FA0D37" w:rsidRDefault="00394471" w:rsidP="00964CC4">
            <w:pPr>
              <w:pStyle w:val="TAL"/>
              <w:rPr>
                <w:i/>
                <w:lang w:eastAsia="sv-SE"/>
              </w:rPr>
            </w:pPr>
            <w:r w:rsidRPr="00FA0D37">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FA0D37" w:rsidRDefault="00394471" w:rsidP="00964CC4">
            <w:pPr>
              <w:pStyle w:val="TAL"/>
              <w:rPr>
                <w:lang w:eastAsia="sv-SE"/>
              </w:rPr>
            </w:pPr>
            <w:r w:rsidRPr="00FA0D37">
              <w:rPr>
                <w:lang w:eastAsia="sv-SE"/>
              </w:rPr>
              <w:t xml:space="preserve">The field is optionally present, Need R, if </w:t>
            </w:r>
            <w:r w:rsidRPr="00FA0D37">
              <w:rPr>
                <w:i/>
                <w:iCs/>
                <w:lang w:eastAsia="sv-SE"/>
              </w:rPr>
              <w:t>supplementaryUplink</w:t>
            </w:r>
            <w:r w:rsidRPr="00FA0D37">
              <w:rPr>
                <w:lang w:eastAsia="sv-SE"/>
              </w:rPr>
              <w:t xml:space="preserve"> is configured within S</w:t>
            </w:r>
            <w:r w:rsidRPr="00FA0D37">
              <w:rPr>
                <w:i/>
                <w:iCs/>
                <w:lang w:eastAsia="sv-SE"/>
              </w:rPr>
              <w:t>ervingCellConfig</w:t>
            </w:r>
            <w:r w:rsidRPr="00FA0D37">
              <w:rPr>
                <w:lang w:eastAsia="sv-SE"/>
              </w:rPr>
              <w:t>. It is mandatory present otherwise.</w:t>
            </w:r>
          </w:p>
        </w:tc>
      </w:tr>
    </w:tbl>
    <w:p w14:paraId="5C8F5239" w14:textId="77777777" w:rsidR="00394471" w:rsidRPr="00FA0D37" w:rsidRDefault="00394471" w:rsidP="00394471"/>
    <w:p w14:paraId="01524361" w14:textId="77777777" w:rsidR="00394471" w:rsidRPr="00FA0D37" w:rsidRDefault="00394471" w:rsidP="00394471">
      <w:pPr>
        <w:pStyle w:val="4"/>
        <w:rPr>
          <w:rFonts w:eastAsia="MS Mincho"/>
          <w:i/>
          <w:iCs/>
        </w:rPr>
      </w:pPr>
      <w:bookmarkStart w:id="1272" w:name="_Toc60777328"/>
      <w:bookmarkStart w:id="1273" w:name="_Toc146781407"/>
      <w:r w:rsidRPr="00FA0D37">
        <w:rPr>
          <w:rFonts w:eastAsia="MS Mincho"/>
          <w:i/>
          <w:iCs/>
        </w:rPr>
        <w:t>–</w:t>
      </w:r>
      <w:r w:rsidRPr="00FA0D37">
        <w:rPr>
          <w:rFonts w:eastAsia="MS Mincho"/>
          <w:i/>
          <w:iCs/>
        </w:rPr>
        <w:tab/>
        <w:t>Q-OffsetRange</w:t>
      </w:r>
      <w:bookmarkEnd w:id="1272"/>
      <w:bookmarkEnd w:id="1273"/>
    </w:p>
    <w:p w14:paraId="4BEF9E94" w14:textId="77777777" w:rsidR="00394471" w:rsidRPr="00FA0D37" w:rsidRDefault="00394471" w:rsidP="00394471">
      <w:pPr>
        <w:rPr>
          <w:rFonts w:eastAsia="MS Mincho"/>
        </w:rPr>
      </w:pPr>
      <w:r w:rsidRPr="00FA0D37">
        <w:t xml:space="preserve">The IE </w:t>
      </w:r>
      <w:r w:rsidRPr="00FA0D37">
        <w:rPr>
          <w:i/>
        </w:rPr>
        <w:t>Q-OffsetRange</w:t>
      </w:r>
      <w:r w:rsidRPr="00FA0D37">
        <w:t xml:space="preserve"> is used to indicate a cell, beam or measurement object specific offset to be applied when evaluating candidates for cell re-selection or when evaluating triggering conditions for measurement reporting. The value is in dB. Value </w:t>
      </w:r>
      <w:r w:rsidRPr="00FA0D37">
        <w:rPr>
          <w:i/>
        </w:rPr>
        <w:t>dB-24</w:t>
      </w:r>
      <w:r w:rsidRPr="00FA0D37">
        <w:t xml:space="preserve"> corresponds to -24 dB, </w:t>
      </w:r>
      <w:r w:rsidRPr="00FA0D37">
        <w:rPr>
          <w:i/>
        </w:rPr>
        <w:t>dB-22</w:t>
      </w:r>
      <w:r w:rsidRPr="00FA0D37">
        <w:t xml:space="preserve"> corresponds to -22 dB and so on.</w:t>
      </w:r>
    </w:p>
    <w:p w14:paraId="42A37267" w14:textId="77777777" w:rsidR="00394471" w:rsidRPr="00FA0D37" w:rsidRDefault="00394471" w:rsidP="00394471">
      <w:pPr>
        <w:pStyle w:val="TH"/>
      </w:pPr>
      <w:r w:rsidRPr="00FA0D37">
        <w:rPr>
          <w:bCs/>
          <w:i/>
          <w:iCs/>
        </w:rPr>
        <w:t>Q-OffsetRange</w:t>
      </w:r>
      <w:r w:rsidRPr="00FA0D37">
        <w:t xml:space="preserve"> information element</w:t>
      </w:r>
    </w:p>
    <w:p w14:paraId="1368A82C" w14:textId="77777777" w:rsidR="00394471" w:rsidRPr="00FA0D37" w:rsidRDefault="00394471" w:rsidP="00FA0D37">
      <w:pPr>
        <w:pStyle w:val="PL"/>
        <w:rPr>
          <w:color w:val="808080"/>
        </w:rPr>
      </w:pPr>
      <w:r w:rsidRPr="00FA0D37">
        <w:rPr>
          <w:color w:val="808080"/>
        </w:rPr>
        <w:t>-- ASN1START</w:t>
      </w:r>
    </w:p>
    <w:p w14:paraId="31084FCA" w14:textId="77777777" w:rsidR="00394471" w:rsidRPr="00FA0D37" w:rsidRDefault="00394471" w:rsidP="00FA0D37">
      <w:pPr>
        <w:pStyle w:val="PL"/>
        <w:rPr>
          <w:color w:val="808080"/>
        </w:rPr>
      </w:pPr>
      <w:r w:rsidRPr="00FA0D37">
        <w:rPr>
          <w:color w:val="808080"/>
        </w:rPr>
        <w:t>-- TAG-Q-OFFSETRANGE-START</w:t>
      </w:r>
    </w:p>
    <w:p w14:paraId="26E9CDE1" w14:textId="77777777" w:rsidR="00394471" w:rsidRPr="00FA0D37" w:rsidRDefault="00394471" w:rsidP="00FA0D37">
      <w:pPr>
        <w:pStyle w:val="PL"/>
      </w:pPr>
    </w:p>
    <w:p w14:paraId="728BEDE1" w14:textId="77777777" w:rsidR="00394471" w:rsidRPr="00FA0D37" w:rsidRDefault="00394471" w:rsidP="00FA0D37">
      <w:pPr>
        <w:pStyle w:val="PL"/>
      </w:pPr>
      <w:r w:rsidRPr="00FA0D37">
        <w:t xml:space="preserve">Q-OffsetRange ::=                   </w:t>
      </w:r>
      <w:r w:rsidRPr="00FA0D37">
        <w:rPr>
          <w:color w:val="993366"/>
        </w:rPr>
        <w:t>ENUMERATED</w:t>
      </w:r>
      <w:r w:rsidRPr="00FA0D37">
        <w:t xml:space="preserve"> {</w:t>
      </w:r>
    </w:p>
    <w:p w14:paraId="7D31B2F7" w14:textId="77777777" w:rsidR="00394471" w:rsidRPr="00FA0D37" w:rsidRDefault="00394471" w:rsidP="00FA0D37">
      <w:pPr>
        <w:pStyle w:val="PL"/>
      </w:pPr>
      <w:r w:rsidRPr="00FA0D37">
        <w:t xml:space="preserve">                                                dB-24, dB-22, dB-20, dB-18, dB-16, dB-14,</w:t>
      </w:r>
    </w:p>
    <w:p w14:paraId="76ABB306" w14:textId="77777777" w:rsidR="00394471" w:rsidRPr="00FA0D37" w:rsidRDefault="00394471" w:rsidP="00FA0D37">
      <w:pPr>
        <w:pStyle w:val="PL"/>
      </w:pPr>
      <w:r w:rsidRPr="00FA0D37">
        <w:t xml:space="preserve">                                                dB-12, dB-10, dB-8, dB-6, dB-5, dB-4, dB-3,</w:t>
      </w:r>
    </w:p>
    <w:p w14:paraId="33FFF2C7" w14:textId="77777777" w:rsidR="00394471" w:rsidRPr="00FA0D37" w:rsidRDefault="00394471" w:rsidP="00FA0D37">
      <w:pPr>
        <w:pStyle w:val="PL"/>
      </w:pPr>
      <w:r w:rsidRPr="00FA0D37">
        <w:t xml:space="preserve">                                                dB-2, dB-1, dB0, dB1, dB2, dB3, dB4, dB5,</w:t>
      </w:r>
    </w:p>
    <w:p w14:paraId="7D119109" w14:textId="77777777" w:rsidR="00394471" w:rsidRPr="00FA0D37" w:rsidRDefault="00394471" w:rsidP="00FA0D37">
      <w:pPr>
        <w:pStyle w:val="PL"/>
      </w:pPr>
      <w:r w:rsidRPr="00FA0D37">
        <w:t xml:space="preserve">                                                dB6, dB8, dB10, dB12, dB14, dB16, dB18,</w:t>
      </w:r>
    </w:p>
    <w:p w14:paraId="25F5F0D2" w14:textId="77777777" w:rsidR="00394471" w:rsidRPr="00FA0D37" w:rsidRDefault="00394471" w:rsidP="00FA0D37">
      <w:pPr>
        <w:pStyle w:val="PL"/>
      </w:pPr>
      <w:r w:rsidRPr="00FA0D37">
        <w:t xml:space="preserve">                                                dB20, dB22, dB24}</w:t>
      </w:r>
    </w:p>
    <w:p w14:paraId="67246727" w14:textId="77777777" w:rsidR="00394471" w:rsidRPr="00FA0D37" w:rsidRDefault="00394471" w:rsidP="00FA0D37">
      <w:pPr>
        <w:pStyle w:val="PL"/>
      </w:pPr>
    </w:p>
    <w:p w14:paraId="7A962C37" w14:textId="77777777" w:rsidR="00394471" w:rsidRPr="00FA0D37" w:rsidRDefault="00394471" w:rsidP="00FA0D37">
      <w:pPr>
        <w:pStyle w:val="PL"/>
        <w:rPr>
          <w:color w:val="808080"/>
        </w:rPr>
      </w:pPr>
      <w:r w:rsidRPr="00FA0D37">
        <w:rPr>
          <w:color w:val="808080"/>
        </w:rPr>
        <w:t>-- TAG-Q-OFFSETRANGE-STOP</w:t>
      </w:r>
    </w:p>
    <w:p w14:paraId="6E2B2D25" w14:textId="77777777" w:rsidR="00394471" w:rsidRPr="00FA0D37" w:rsidRDefault="00394471" w:rsidP="00FA0D37">
      <w:pPr>
        <w:pStyle w:val="PL"/>
        <w:rPr>
          <w:color w:val="808080"/>
        </w:rPr>
      </w:pPr>
      <w:r w:rsidRPr="00FA0D37">
        <w:rPr>
          <w:color w:val="808080"/>
        </w:rPr>
        <w:t>-- ASN1STOP</w:t>
      </w:r>
    </w:p>
    <w:p w14:paraId="096FC554" w14:textId="77777777" w:rsidR="00394471" w:rsidRPr="00FA0D37" w:rsidRDefault="00394471" w:rsidP="00394471"/>
    <w:p w14:paraId="1FF1D5C0" w14:textId="77777777" w:rsidR="00394471" w:rsidRPr="00FA0D37" w:rsidRDefault="00394471" w:rsidP="00394471">
      <w:pPr>
        <w:pStyle w:val="4"/>
        <w:rPr>
          <w:rFonts w:eastAsia="宋体"/>
        </w:rPr>
      </w:pPr>
      <w:bookmarkStart w:id="1274" w:name="_Toc60777329"/>
      <w:bookmarkStart w:id="1275" w:name="_Toc146781408"/>
      <w:r w:rsidRPr="00FA0D37">
        <w:rPr>
          <w:rFonts w:eastAsia="宋体"/>
        </w:rPr>
        <w:t>–</w:t>
      </w:r>
      <w:r w:rsidRPr="00FA0D37">
        <w:rPr>
          <w:rFonts w:eastAsia="宋体"/>
        </w:rPr>
        <w:tab/>
      </w:r>
      <w:r w:rsidRPr="00FA0D37">
        <w:rPr>
          <w:rFonts w:eastAsia="宋体"/>
          <w:i/>
        </w:rPr>
        <w:t>Q-QualMin</w:t>
      </w:r>
      <w:bookmarkEnd w:id="1274"/>
      <w:bookmarkEnd w:id="1275"/>
    </w:p>
    <w:p w14:paraId="1BA1DD00" w14:textId="77777777" w:rsidR="00394471" w:rsidRPr="00FA0D37" w:rsidRDefault="00394471" w:rsidP="00394471">
      <w:pPr>
        <w:rPr>
          <w:rFonts w:eastAsia="宋体"/>
        </w:rPr>
      </w:pPr>
      <w:r w:rsidRPr="00FA0D37">
        <w:t xml:space="preserve">The IE </w:t>
      </w:r>
      <w:r w:rsidRPr="00FA0D37">
        <w:rPr>
          <w:i/>
          <w:noProof/>
        </w:rPr>
        <w:t>Q-QualMin</w:t>
      </w:r>
      <w:r w:rsidRPr="00FA0D37">
        <w:t xml:space="preserve"> is used to indicate for cell selection/ re-selection the required minimum received RSRQ level in the (NR) cell. Corresponds to parameter Q</w:t>
      </w:r>
      <w:r w:rsidRPr="00FA0D37">
        <w:rPr>
          <w:vertAlign w:val="subscript"/>
        </w:rPr>
        <w:t>qualmin</w:t>
      </w:r>
      <w:r w:rsidRPr="00FA0D37">
        <w:t xml:space="preserve"> in TS 38.304 [20]. Actual value Q</w:t>
      </w:r>
      <w:r w:rsidRPr="00FA0D37">
        <w:rPr>
          <w:vertAlign w:val="subscript"/>
        </w:rPr>
        <w:t>qualmin</w:t>
      </w:r>
      <w:r w:rsidRPr="00FA0D37">
        <w:t xml:space="preserve"> = field value [dB].</w:t>
      </w:r>
    </w:p>
    <w:p w14:paraId="2BA80FF5" w14:textId="77777777" w:rsidR="00394471" w:rsidRPr="00FA0D37" w:rsidRDefault="00394471" w:rsidP="00394471">
      <w:pPr>
        <w:pStyle w:val="TH"/>
      </w:pPr>
      <w:r w:rsidRPr="00FA0D37">
        <w:rPr>
          <w:bCs/>
          <w:i/>
          <w:iCs/>
        </w:rPr>
        <w:t xml:space="preserve">Q-QualMin </w:t>
      </w:r>
      <w:r w:rsidRPr="00FA0D37">
        <w:t>information element</w:t>
      </w:r>
    </w:p>
    <w:p w14:paraId="6979045D" w14:textId="77777777" w:rsidR="00394471" w:rsidRPr="00FA0D37" w:rsidRDefault="00394471" w:rsidP="00FA0D37">
      <w:pPr>
        <w:pStyle w:val="PL"/>
        <w:rPr>
          <w:color w:val="808080"/>
        </w:rPr>
      </w:pPr>
      <w:r w:rsidRPr="00FA0D37">
        <w:rPr>
          <w:color w:val="808080"/>
        </w:rPr>
        <w:t>-- ASN1START</w:t>
      </w:r>
    </w:p>
    <w:p w14:paraId="62A9663C" w14:textId="77777777" w:rsidR="00394471" w:rsidRPr="00FA0D37" w:rsidRDefault="00394471" w:rsidP="00FA0D37">
      <w:pPr>
        <w:pStyle w:val="PL"/>
        <w:rPr>
          <w:color w:val="808080"/>
        </w:rPr>
      </w:pPr>
      <w:r w:rsidRPr="00FA0D37">
        <w:rPr>
          <w:color w:val="808080"/>
        </w:rPr>
        <w:lastRenderedPageBreak/>
        <w:t>-- TAG-Q-QUALMIN-START</w:t>
      </w:r>
    </w:p>
    <w:p w14:paraId="17C3EEB4" w14:textId="77777777" w:rsidR="00394471" w:rsidRPr="00FA0D37" w:rsidRDefault="00394471" w:rsidP="00FA0D37">
      <w:pPr>
        <w:pStyle w:val="PL"/>
      </w:pPr>
    </w:p>
    <w:p w14:paraId="52A9403D" w14:textId="77777777" w:rsidR="00394471" w:rsidRPr="00FA0D37" w:rsidRDefault="00394471" w:rsidP="00FA0D37">
      <w:pPr>
        <w:pStyle w:val="PL"/>
      </w:pPr>
      <w:r w:rsidRPr="00FA0D37">
        <w:t xml:space="preserve">Q-QualMin ::=                       </w:t>
      </w:r>
      <w:r w:rsidRPr="00FA0D37">
        <w:rPr>
          <w:color w:val="993366"/>
        </w:rPr>
        <w:t>INTEGER</w:t>
      </w:r>
      <w:r w:rsidRPr="00FA0D37">
        <w:t xml:space="preserve"> (-43..-12)</w:t>
      </w:r>
    </w:p>
    <w:p w14:paraId="42123DA0" w14:textId="77777777" w:rsidR="00394471" w:rsidRPr="00FA0D37" w:rsidRDefault="00394471" w:rsidP="00FA0D37">
      <w:pPr>
        <w:pStyle w:val="PL"/>
      </w:pPr>
    </w:p>
    <w:p w14:paraId="50D2F851" w14:textId="77777777" w:rsidR="00394471" w:rsidRPr="00FA0D37" w:rsidRDefault="00394471" w:rsidP="00FA0D37">
      <w:pPr>
        <w:pStyle w:val="PL"/>
        <w:rPr>
          <w:color w:val="808080"/>
        </w:rPr>
      </w:pPr>
      <w:r w:rsidRPr="00FA0D37">
        <w:rPr>
          <w:color w:val="808080"/>
        </w:rPr>
        <w:t>-- TAG-Q-QUALMIN-STOP</w:t>
      </w:r>
    </w:p>
    <w:p w14:paraId="488D296C" w14:textId="77777777" w:rsidR="00394471" w:rsidRPr="00FA0D37" w:rsidRDefault="00394471" w:rsidP="00FA0D37">
      <w:pPr>
        <w:pStyle w:val="PL"/>
        <w:rPr>
          <w:rFonts w:eastAsia="宋体"/>
          <w:color w:val="808080"/>
        </w:rPr>
      </w:pPr>
      <w:r w:rsidRPr="00FA0D37">
        <w:rPr>
          <w:color w:val="808080"/>
        </w:rPr>
        <w:t>-- ASN1STOP</w:t>
      </w:r>
    </w:p>
    <w:p w14:paraId="6A7AE096" w14:textId="77777777" w:rsidR="00394471" w:rsidRPr="00FA0D37" w:rsidRDefault="00394471" w:rsidP="00394471"/>
    <w:p w14:paraId="0706B7DB" w14:textId="77777777" w:rsidR="00394471" w:rsidRPr="00FA0D37" w:rsidRDefault="00394471" w:rsidP="00394471">
      <w:pPr>
        <w:pStyle w:val="4"/>
        <w:rPr>
          <w:rFonts w:eastAsia="宋体"/>
        </w:rPr>
      </w:pPr>
      <w:bookmarkStart w:id="1276" w:name="_Toc60777330"/>
      <w:bookmarkStart w:id="1277" w:name="_Toc146781409"/>
      <w:r w:rsidRPr="00FA0D37">
        <w:rPr>
          <w:rFonts w:eastAsia="宋体"/>
        </w:rPr>
        <w:t>–</w:t>
      </w:r>
      <w:r w:rsidRPr="00FA0D37">
        <w:rPr>
          <w:rFonts w:eastAsia="宋体"/>
        </w:rPr>
        <w:tab/>
      </w:r>
      <w:r w:rsidRPr="00FA0D37">
        <w:rPr>
          <w:rFonts w:eastAsia="宋体"/>
          <w:i/>
        </w:rPr>
        <w:t>Q-RxLevMin</w:t>
      </w:r>
      <w:bookmarkEnd w:id="1276"/>
      <w:bookmarkEnd w:id="1277"/>
    </w:p>
    <w:p w14:paraId="27C80C79" w14:textId="77777777" w:rsidR="00394471" w:rsidRPr="00FA0D37" w:rsidRDefault="00394471" w:rsidP="00394471">
      <w:pPr>
        <w:rPr>
          <w:rFonts w:eastAsia="宋体"/>
        </w:rPr>
      </w:pPr>
      <w:r w:rsidRPr="00FA0D37">
        <w:t xml:space="preserve">The IE </w:t>
      </w:r>
      <w:r w:rsidRPr="00FA0D37">
        <w:rPr>
          <w:i/>
          <w:noProof/>
        </w:rPr>
        <w:t>Q-RxLevMin</w:t>
      </w:r>
      <w:r w:rsidRPr="00FA0D37">
        <w:t xml:space="preserve"> is used to indicate for cell selection/ re-selection the required minimum received RSRP level in the (NR) cell. Corresponds to parameter Q</w:t>
      </w:r>
      <w:r w:rsidRPr="00FA0D37">
        <w:rPr>
          <w:vertAlign w:val="subscript"/>
        </w:rPr>
        <w:t>rxlevmin</w:t>
      </w:r>
      <w:r w:rsidRPr="00FA0D37">
        <w:t xml:space="preserve"> in TS 38.304 [20]. Actual value Q</w:t>
      </w:r>
      <w:r w:rsidRPr="00FA0D37">
        <w:rPr>
          <w:vertAlign w:val="subscript"/>
        </w:rPr>
        <w:t>rxlevmin</w:t>
      </w:r>
      <w:r w:rsidRPr="00FA0D37">
        <w:t xml:space="preserve"> = field value * 2 [dBm].</w:t>
      </w:r>
    </w:p>
    <w:p w14:paraId="40935579" w14:textId="77777777" w:rsidR="00394471" w:rsidRPr="00FA0D37" w:rsidRDefault="00394471" w:rsidP="00394471">
      <w:pPr>
        <w:pStyle w:val="TH"/>
      </w:pPr>
      <w:r w:rsidRPr="00FA0D37">
        <w:rPr>
          <w:i/>
        </w:rPr>
        <w:t>Q-RxLevMin</w:t>
      </w:r>
      <w:r w:rsidRPr="00FA0D37">
        <w:t xml:space="preserve"> information element</w:t>
      </w:r>
    </w:p>
    <w:p w14:paraId="6F42E2CA" w14:textId="77777777" w:rsidR="00394471" w:rsidRPr="00FA0D37" w:rsidRDefault="00394471" w:rsidP="00FA0D37">
      <w:pPr>
        <w:pStyle w:val="PL"/>
        <w:rPr>
          <w:color w:val="808080"/>
        </w:rPr>
      </w:pPr>
      <w:r w:rsidRPr="00FA0D37">
        <w:rPr>
          <w:color w:val="808080"/>
        </w:rPr>
        <w:t>-- ASN1START</w:t>
      </w:r>
    </w:p>
    <w:p w14:paraId="7403456F" w14:textId="77777777" w:rsidR="00394471" w:rsidRPr="00FA0D37" w:rsidRDefault="00394471" w:rsidP="00FA0D37">
      <w:pPr>
        <w:pStyle w:val="PL"/>
        <w:rPr>
          <w:color w:val="808080"/>
        </w:rPr>
      </w:pPr>
      <w:r w:rsidRPr="00FA0D37">
        <w:rPr>
          <w:color w:val="808080"/>
        </w:rPr>
        <w:t>-- TAG-Q-RXLEVMIN-START</w:t>
      </w:r>
    </w:p>
    <w:p w14:paraId="3C8B9C73" w14:textId="77777777" w:rsidR="00394471" w:rsidRPr="00FA0D37" w:rsidRDefault="00394471" w:rsidP="00FA0D37">
      <w:pPr>
        <w:pStyle w:val="PL"/>
      </w:pPr>
    </w:p>
    <w:p w14:paraId="52FDBB9F" w14:textId="77777777" w:rsidR="00394471" w:rsidRPr="00FA0D37" w:rsidRDefault="00394471" w:rsidP="00FA0D37">
      <w:pPr>
        <w:pStyle w:val="PL"/>
      </w:pPr>
      <w:r w:rsidRPr="00FA0D37">
        <w:t xml:space="preserve">Q-RxLevMin ::=                      </w:t>
      </w:r>
      <w:r w:rsidRPr="00FA0D37">
        <w:rPr>
          <w:color w:val="993366"/>
        </w:rPr>
        <w:t>INTEGER</w:t>
      </w:r>
      <w:r w:rsidRPr="00FA0D37">
        <w:t xml:space="preserve"> (-70..-22)</w:t>
      </w:r>
    </w:p>
    <w:p w14:paraId="6B13A66A" w14:textId="77777777" w:rsidR="00394471" w:rsidRPr="00FA0D37" w:rsidRDefault="00394471" w:rsidP="00FA0D37">
      <w:pPr>
        <w:pStyle w:val="PL"/>
      </w:pPr>
    </w:p>
    <w:p w14:paraId="6BE420AC" w14:textId="77777777" w:rsidR="00394471" w:rsidRPr="00FA0D37" w:rsidRDefault="00394471" w:rsidP="00FA0D37">
      <w:pPr>
        <w:pStyle w:val="PL"/>
        <w:rPr>
          <w:color w:val="808080"/>
        </w:rPr>
      </w:pPr>
      <w:r w:rsidRPr="00FA0D37">
        <w:rPr>
          <w:color w:val="808080"/>
        </w:rPr>
        <w:t>-- TAG-Q-RXLEVMIN-STOP</w:t>
      </w:r>
    </w:p>
    <w:p w14:paraId="29C6638B" w14:textId="77777777" w:rsidR="00394471" w:rsidRPr="00FA0D37" w:rsidRDefault="00394471" w:rsidP="00FA0D37">
      <w:pPr>
        <w:pStyle w:val="PL"/>
        <w:rPr>
          <w:rFonts w:eastAsia="宋体"/>
          <w:color w:val="808080"/>
        </w:rPr>
      </w:pPr>
      <w:r w:rsidRPr="00FA0D37">
        <w:rPr>
          <w:color w:val="808080"/>
        </w:rPr>
        <w:t>-- ASN1STOP</w:t>
      </w:r>
    </w:p>
    <w:p w14:paraId="3AE5851E" w14:textId="77777777" w:rsidR="00394471" w:rsidRPr="00FA0D37" w:rsidRDefault="00394471" w:rsidP="00394471"/>
    <w:p w14:paraId="12309D87" w14:textId="77777777" w:rsidR="00394471" w:rsidRPr="00FA0D37" w:rsidRDefault="00394471" w:rsidP="00394471">
      <w:pPr>
        <w:pStyle w:val="4"/>
        <w:rPr>
          <w:rFonts w:eastAsia="MS Mincho"/>
          <w:i/>
        </w:rPr>
      </w:pPr>
      <w:bookmarkStart w:id="1278" w:name="_Toc60777331"/>
      <w:bookmarkStart w:id="1279" w:name="_Toc146781410"/>
      <w:r w:rsidRPr="00FA0D37">
        <w:rPr>
          <w:rFonts w:eastAsia="MS Mincho"/>
        </w:rPr>
        <w:t>–</w:t>
      </w:r>
      <w:r w:rsidRPr="00FA0D37">
        <w:rPr>
          <w:rFonts w:eastAsia="MS Mincho"/>
        </w:rPr>
        <w:tab/>
      </w:r>
      <w:r w:rsidRPr="00FA0D37">
        <w:rPr>
          <w:rFonts w:eastAsia="MS Mincho"/>
          <w:i/>
        </w:rPr>
        <w:t>QuantityConfig</w:t>
      </w:r>
      <w:bookmarkEnd w:id="1278"/>
      <w:bookmarkEnd w:id="1279"/>
    </w:p>
    <w:p w14:paraId="6E17FE69" w14:textId="77777777" w:rsidR="00394471" w:rsidRPr="00FA0D37" w:rsidRDefault="00394471" w:rsidP="00394471">
      <w:pPr>
        <w:rPr>
          <w:rFonts w:eastAsia="MS Mincho"/>
        </w:rPr>
      </w:pPr>
      <w:r w:rsidRPr="00FA0D37">
        <w:t xml:space="preserve">The IE </w:t>
      </w:r>
      <w:r w:rsidRPr="00FA0D37">
        <w:rPr>
          <w:i/>
        </w:rPr>
        <w:t>QuantityConfig</w:t>
      </w:r>
      <w:r w:rsidRPr="00FA0D37">
        <w:t xml:space="preserve"> specifies the measurement quantities and layer 3 filtering coefficients for NR and inter-RAT measurements.</w:t>
      </w:r>
    </w:p>
    <w:p w14:paraId="2987EF18" w14:textId="77777777" w:rsidR="00394471" w:rsidRPr="00FA0D37" w:rsidRDefault="00394471" w:rsidP="00394471">
      <w:pPr>
        <w:pStyle w:val="TH"/>
      </w:pPr>
      <w:r w:rsidRPr="00FA0D37">
        <w:t>QuantityConfig information element</w:t>
      </w:r>
    </w:p>
    <w:p w14:paraId="5EEC2364" w14:textId="77777777" w:rsidR="00394471" w:rsidRPr="00FA0D37" w:rsidRDefault="00394471" w:rsidP="00FA0D37">
      <w:pPr>
        <w:pStyle w:val="PL"/>
        <w:rPr>
          <w:color w:val="808080"/>
        </w:rPr>
      </w:pPr>
      <w:r w:rsidRPr="00FA0D37">
        <w:rPr>
          <w:color w:val="808080"/>
        </w:rPr>
        <w:t>-- ASN1START</w:t>
      </w:r>
    </w:p>
    <w:p w14:paraId="24168B98" w14:textId="77777777" w:rsidR="00394471" w:rsidRPr="00FA0D37" w:rsidRDefault="00394471" w:rsidP="00FA0D37">
      <w:pPr>
        <w:pStyle w:val="PL"/>
        <w:rPr>
          <w:color w:val="808080"/>
        </w:rPr>
      </w:pPr>
      <w:r w:rsidRPr="00FA0D37">
        <w:rPr>
          <w:color w:val="808080"/>
        </w:rPr>
        <w:t>-- TAG-QUANTITYCONFIG-START</w:t>
      </w:r>
    </w:p>
    <w:p w14:paraId="0FF61F03" w14:textId="77777777" w:rsidR="00394471" w:rsidRPr="00FA0D37" w:rsidRDefault="00394471" w:rsidP="00FA0D37">
      <w:pPr>
        <w:pStyle w:val="PL"/>
      </w:pPr>
    </w:p>
    <w:p w14:paraId="701072EE" w14:textId="77777777" w:rsidR="00394471" w:rsidRPr="00FA0D37" w:rsidRDefault="00394471" w:rsidP="00FA0D37">
      <w:pPr>
        <w:pStyle w:val="PL"/>
      </w:pPr>
    </w:p>
    <w:p w14:paraId="4216012F" w14:textId="77777777" w:rsidR="00394471" w:rsidRPr="00FA0D37" w:rsidRDefault="00394471" w:rsidP="00FA0D37">
      <w:pPr>
        <w:pStyle w:val="PL"/>
      </w:pPr>
      <w:r w:rsidRPr="00FA0D37">
        <w:t xml:space="preserve">QuantityConfig ::=                  </w:t>
      </w:r>
      <w:r w:rsidRPr="00FA0D37">
        <w:rPr>
          <w:color w:val="993366"/>
        </w:rPr>
        <w:t>SEQUENCE</w:t>
      </w:r>
      <w:r w:rsidRPr="00FA0D37">
        <w:t xml:space="preserve"> {</w:t>
      </w:r>
    </w:p>
    <w:p w14:paraId="61383121" w14:textId="77777777" w:rsidR="00394471" w:rsidRPr="00FA0D37" w:rsidRDefault="00394471" w:rsidP="00FA0D37">
      <w:pPr>
        <w:pStyle w:val="PL"/>
        <w:rPr>
          <w:color w:val="808080"/>
        </w:rPr>
      </w:pPr>
      <w:r w:rsidRPr="00FA0D37">
        <w:t xml:space="preserve">    quantityConfigNR-List               </w:t>
      </w:r>
      <w:r w:rsidRPr="00FA0D37">
        <w:rPr>
          <w:color w:val="993366"/>
        </w:rPr>
        <w:t>SEQUENCE</w:t>
      </w:r>
      <w:r w:rsidRPr="00FA0D37">
        <w:t xml:space="preserve"> (</w:t>
      </w:r>
      <w:r w:rsidRPr="00FA0D37">
        <w:rPr>
          <w:color w:val="993366"/>
        </w:rPr>
        <w:t>SIZE</w:t>
      </w:r>
      <w:r w:rsidRPr="00FA0D37">
        <w:t xml:space="preserve"> (1..maxNrofQuantityConfig))</w:t>
      </w:r>
      <w:r w:rsidRPr="00FA0D37">
        <w:rPr>
          <w:color w:val="993366"/>
        </w:rPr>
        <w:t xml:space="preserve"> OF</w:t>
      </w:r>
      <w:r w:rsidRPr="00FA0D37">
        <w:t xml:space="preserve"> QuantityConfigNR          </w:t>
      </w:r>
      <w:r w:rsidRPr="00FA0D37">
        <w:rPr>
          <w:color w:val="993366"/>
        </w:rPr>
        <w:t>OPTIONAL</w:t>
      </w:r>
      <w:r w:rsidRPr="00FA0D37">
        <w:t xml:space="preserve">,   </w:t>
      </w:r>
      <w:r w:rsidRPr="00FA0D37">
        <w:rPr>
          <w:color w:val="808080"/>
        </w:rPr>
        <w:t>-- Need M</w:t>
      </w:r>
    </w:p>
    <w:p w14:paraId="43C19CA6" w14:textId="77777777" w:rsidR="00394471" w:rsidRPr="00FA0D37" w:rsidRDefault="00394471" w:rsidP="00FA0D37">
      <w:pPr>
        <w:pStyle w:val="PL"/>
      </w:pPr>
      <w:r w:rsidRPr="00FA0D37">
        <w:t xml:space="preserve">    ...,</w:t>
      </w:r>
    </w:p>
    <w:p w14:paraId="75A36817" w14:textId="77777777" w:rsidR="00394471" w:rsidRPr="00FA0D37" w:rsidRDefault="00394471" w:rsidP="00FA0D37">
      <w:pPr>
        <w:pStyle w:val="PL"/>
      </w:pPr>
      <w:r w:rsidRPr="00FA0D37">
        <w:t xml:space="preserve">    [[</w:t>
      </w:r>
    </w:p>
    <w:p w14:paraId="18DD27C1" w14:textId="77777777" w:rsidR="00394471" w:rsidRPr="00FA0D37" w:rsidRDefault="00394471" w:rsidP="00FA0D37">
      <w:pPr>
        <w:pStyle w:val="PL"/>
        <w:rPr>
          <w:color w:val="808080"/>
        </w:rPr>
      </w:pPr>
      <w:r w:rsidRPr="00FA0D37">
        <w:t xml:space="preserve">    quantityConfigEUTRA                 FilterConfig                                                            </w:t>
      </w:r>
      <w:r w:rsidRPr="00FA0D37">
        <w:rPr>
          <w:color w:val="993366"/>
        </w:rPr>
        <w:t>OPTIONAL</w:t>
      </w:r>
      <w:r w:rsidRPr="00FA0D37">
        <w:t xml:space="preserve">    </w:t>
      </w:r>
      <w:r w:rsidRPr="00FA0D37">
        <w:rPr>
          <w:color w:val="808080"/>
        </w:rPr>
        <w:t>-- Need M</w:t>
      </w:r>
    </w:p>
    <w:p w14:paraId="774AD214" w14:textId="77777777" w:rsidR="00394471" w:rsidRPr="00FA0D37" w:rsidRDefault="00394471" w:rsidP="00FA0D37">
      <w:pPr>
        <w:pStyle w:val="PL"/>
      </w:pPr>
      <w:r w:rsidRPr="00FA0D37">
        <w:t xml:space="preserve">    ]],</w:t>
      </w:r>
    </w:p>
    <w:p w14:paraId="0C6A4799" w14:textId="77777777" w:rsidR="00394471" w:rsidRPr="00FA0D37" w:rsidRDefault="00394471" w:rsidP="00FA0D37">
      <w:pPr>
        <w:pStyle w:val="PL"/>
      </w:pPr>
      <w:r w:rsidRPr="00FA0D37">
        <w:t xml:space="preserve">    [[</w:t>
      </w:r>
    </w:p>
    <w:p w14:paraId="644975A6" w14:textId="77777777" w:rsidR="00394471" w:rsidRPr="00FA0D37" w:rsidRDefault="00394471" w:rsidP="00FA0D37">
      <w:pPr>
        <w:pStyle w:val="PL"/>
        <w:rPr>
          <w:color w:val="808080"/>
        </w:rPr>
      </w:pPr>
      <w:r w:rsidRPr="00FA0D37">
        <w:t xml:space="preserve">    quantityConfigUTRA-FDD-r16          QuantityConfigUTRA-FDD-r16                                              </w:t>
      </w:r>
      <w:r w:rsidRPr="00FA0D37">
        <w:rPr>
          <w:color w:val="993366"/>
        </w:rPr>
        <w:t>OPTIONAL</w:t>
      </w:r>
      <w:r w:rsidRPr="00FA0D37">
        <w:t xml:space="preserve">,   </w:t>
      </w:r>
      <w:r w:rsidRPr="00FA0D37">
        <w:rPr>
          <w:color w:val="808080"/>
        </w:rPr>
        <w:t>-- Need M</w:t>
      </w:r>
    </w:p>
    <w:p w14:paraId="71333C91" w14:textId="77777777" w:rsidR="00394471" w:rsidRPr="00FA0D37" w:rsidRDefault="00394471" w:rsidP="00FA0D37">
      <w:pPr>
        <w:pStyle w:val="PL"/>
        <w:rPr>
          <w:color w:val="808080"/>
        </w:rPr>
      </w:pPr>
      <w:r w:rsidRPr="00FA0D37">
        <w:t xml:space="preserve">    quantityConfigCLI-r16               FilterConfigCLI-r16                                                     </w:t>
      </w:r>
      <w:r w:rsidRPr="00FA0D37">
        <w:rPr>
          <w:color w:val="993366"/>
        </w:rPr>
        <w:t>OPTIONAL</w:t>
      </w:r>
      <w:r w:rsidRPr="00FA0D37">
        <w:t xml:space="preserve">    </w:t>
      </w:r>
      <w:r w:rsidRPr="00FA0D37">
        <w:rPr>
          <w:color w:val="808080"/>
        </w:rPr>
        <w:t>-- Need M</w:t>
      </w:r>
    </w:p>
    <w:p w14:paraId="55A769A8" w14:textId="77777777" w:rsidR="00394471" w:rsidRPr="00FA0D37" w:rsidRDefault="00394471" w:rsidP="00FA0D37">
      <w:pPr>
        <w:pStyle w:val="PL"/>
      </w:pPr>
      <w:r w:rsidRPr="00FA0D37">
        <w:t xml:space="preserve">    </w:t>
      </w:r>
      <w:r w:rsidRPr="00FA0D37">
        <w:rPr>
          <w:rFonts w:eastAsiaTheme="minorEastAsia"/>
        </w:rPr>
        <w:t>]]</w:t>
      </w:r>
    </w:p>
    <w:p w14:paraId="128D29ED" w14:textId="77777777" w:rsidR="00394471" w:rsidRPr="00FA0D37" w:rsidRDefault="00394471" w:rsidP="00FA0D37">
      <w:pPr>
        <w:pStyle w:val="PL"/>
      </w:pPr>
      <w:r w:rsidRPr="00FA0D37">
        <w:t>}</w:t>
      </w:r>
    </w:p>
    <w:p w14:paraId="4C8E1F0C" w14:textId="77777777" w:rsidR="00394471" w:rsidRPr="00FA0D37" w:rsidRDefault="00394471" w:rsidP="00FA0D37">
      <w:pPr>
        <w:pStyle w:val="PL"/>
      </w:pPr>
    </w:p>
    <w:p w14:paraId="0349E0CF" w14:textId="77777777" w:rsidR="00394471" w:rsidRPr="00FA0D37" w:rsidRDefault="00394471" w:rsidP="00FA0D37">
      <w:pPr>
        <w:pStyle w:val="PL"/>
      </w:pPr>
      <w:r w:rsidRPr="00FA0D37">
        <w:t xml:space="preserve">QuantityConfigNR::=                 </w:t>
      </w:r>
      <w:r w:rsidRPr="00FA0D37">
        <w:rPr>
          <w:color w:val="993366"/>
        </w:rPr>
        <w:t>SEQUENCE</w:t>
      </w:r>
      <w:r w:rsidRPr="00FA0D37">
        <w:t xml:space="preserve"> {</w:t>
      </w:r>
    </w:p>
    <w:p w14:paraId="444229AF" w14:textId="77777777" w:rsidR="00394471" w:rsidRPr="00FA0D37" w:rsidRDefault="00394471" w:rsidP="00FA0D37">
      <w:pPr>
        <w:pStyle w:val="PL"/>
      </w:pPr>
      <w:r w:rsidRPr="00FA0D37">
        <w:t xml:space="preserve">    quantityConfigCell                  QuantityConfigRS,</w:t>
      </w:r>
    </w:p>
    <w:p w14:paraId="3945F92A" w14:textId="77777777" w:rsidR="00394471" w:rsidRPr="00FA0D37" w:rsidRDefault="00394471" w:rsidP="00FA0D37">
      <w:pPr>
        <w:pStyle w:val="PL"/>
        <w:rPr>
          <w:color w:val="808080"/>
        </w:rPr>
      </w:pPr>
      <w:r w:rsidRPr="00FA0D37">
        <w:lastRenderedPageBreak/>
        <w:t xml:space="preserve">    quantityConfigRS-Index              QuantityConfigRS                                                        </w:t>
      </w:r>
      <w:r w:rsidRPr="00FA0D37">
        <w:rPr>
          <w:color w:val="993366"/>
        </w:rPr>
        <w:t>OPTIONAL</w:t>
      </w:r>
      <w:r w:rsidRPr="00FA0D37">
        <w:t xml:space="preserve">    </w:t>
      </w:r>
      <w:r w:rsidRPr="00FA0D37">
        <w:rPr>
          <w:color w:val="808080"/>
        </w:rPr>
        <w:t>-- Need M</w:t>
      </w:r>
    </w:p>
    <w:p w14:paraId="4C74A1E4" w14:textId="77777777" w:rsidR="00394471" w:rsidRPr="00FA0D37" w:rsidRDefault="00394471" w:rsidP="00FA0D37">
      <w:pPr>
        <w:pStyle w:val="PL"/>
      </w:pPr>
      <w:r w:rsidRPr="00FA0D37">
        <w:t>}</w:t>
      </w:r>
    </w:p>
    <w:p w14:paraId="3173754E" w14:textId="77777777" w:rsidR="00394471" w:rsidRPr="00FA0D37" w:rsidRDefault="00394471" w:rsidP="00FA0D37">
      <w:pPr>
        <w:pStyle w:val="PL"/>
      </w:pPr>
    </w:p>
    <w:p w14:paraId="35680422" w14:textId="77777777" w:rsidR="00394471" w:rsidRPr="00FA0D37" w:rsidRDefault="00394471" w:rsidP="00FA0D37">
      <w:pPr>
        <w:pStyle w:val="PL"/>
      </w:pPr>
      <w:r w:rsidRPr="00FA0D37">
        <w:t xml:space="preserve">QuantityConfigRS ::=                </w:t>
      </w:r>
      <w:r w:rsidRPr="00FA0D37">
        <w:rPr>
          <w:color w:val="993366"/>
        </w:rPr>
        <w:t>SEQUENCE</w:t>
      </w:r>
      <w:r w:rsidRPr="00FA0D37">
        <w:t xml:space="preserve"> {</w:t>
      </w:r>
    </w:p>
    <w:p w14:paraId="72735B2C" w14:textId="77777777" w:rsidR="00394471" w:rsidRPr="00FA0D37" w:rsidRDefault="00394471" w:rsidP="00FA0D37">
      <w:pPr>
        <w:pStyle w:val="PL"/>
      </w:pPr>
      <w:r w:rsidRPr="00FA0D37">
        <w:t xml:space="preserve">    ssb-FilterConfig                    FilterConfig,</w:t>
      </w:r>
    </w:p>
    <w:p w14:paraId="4E7DAA7C" w14:textId="77777777" w:rsidR="00394471" w:rsidRPr="00FA0D37" w:rsidRDefault="00394471" w:rsidP="00FA0D37">
      <w:pPr>
        <w:pStyle w:val="PL"/>
      </w:pPr>
      <w:r w:rsidRPr="00FA0D37">
        <w:t xml:space="preserve">    csi-RS-FilterConfig                 FilterConfig</w:t>
      </w:r>
    </w:p>
    <w:p w14:paraId="4602287E" w14:textId="77777777" w:rsidR="00394471" w:rsidRPr="00FA0D37" w:rsidRDefault="00394471" w:rsidP="00FA0D37">
      <w:pPr>
        <w:pStyle w:val="PL"/>
      </w:pPr>
      <w:r w:rsidRPr="00FA0D37">
        <w:t>}</w:t>
      </w:r>
    </w:p>
    <w:p w14:paraId="5BD8549F" w14:textId="77777777" w:rsidR="00394471" w:rsidRPr="00FA0D37" w:rsidRDefault="00394471" w:rsidP="00FA0D37">
      <w:pPr>
        <w:pStyle w:val="PL"/>
      </w:pPr>
    </w:p>
    <w:p w14:paraId="1533325A" w14:textId="77777777" w:rsidR="00394471" w:rsidRPr="00FA0D37" w:rsidRDefault="00394471" w:rsidP="00FA0D37">
      <w:pPr>
        <w:pStyle w:val="PL"/>
      </w:pPr>
      <w:r w:rsidRPr="00FA0D37">
        <w:t xml:space="preserve">FilterConfig ::=                    </w:t>
      </w:r>
      <w:r w:rsidRPr="00FA0D37">
        <w:rPr>
          <w:color w:val="993366"/>
        </w:rPr>
        <w:t>SEQUENCE</w:t>
      </w:r>
      <w:r w:rsidRPr="00FA0D37">
        <w:t xml:space="preserve"> {</w:t>
      </w:r>
    </w:p>
    <w:p w14:paraId="681F7152" w14:textId="77777777" w:rsidR="00394471" w:rsidRPr="00FA0D37" w:rsidRDefault="00394471" w:rsidP="00FA0D37">
      <w:pPr>
        <w:pStyle w:val="PL"/>
      </w:pPr>
      <w:r w:rsidRPr="00FA0D37">
        <w:t xml:space="preserve">    filterCoefficientRSRP               FilterCoefficient                                       DEFAULT fc4,</w:t>
      </w:r>
    </w:p>
    <w:p w14:paraId="194B53B2" w14:textId="77777777" w:rsidR="00394471" w:rsidRPr="00FA0D37" w:rsidRDefault="00394471" w:rsidP="00FA0D37">
      <w:pPr>
        <w:pStyle w:val="PL"/>
      </w:pPr>
      <w:r w:rsidRPr="00FA0D37">
        <w:t xml:space="preserve">    filterCoefficientRSRQ               FilterCoefficient                                       DEFAULT fc4,</w:t>
      </w:r>
    </w:p>
    <w:p w14:paraId="79D6A5A2" w14:textId="77777777" w:rsidR="00394471" w:rsidRPr="00FA0D37" w:rsidRDefault="00394471" w:rsidP="00FA0D37">
      <w:pPr>
        <w:pStyle w:val="PL"/>
      </w:pPr>
      <w:r w:rsidRPr="00FA0D37">
        <w:t xml:space="preserve">    filterCoefficientRS-SINR            FilterCoefficient                                       DEFAULT fc4</w:t>
      </w:r>
    </w:p>
    <w:p w14:paraId="3A9D2D1D" w14:textId="77777777" w:rsidR="00394471" w:rsidRPr="00FA0D37" w:rsidRDefault="00394471" w:rsidP="00FA0D37">
      <w:pPr>
        <w:pStyle w:val="PL"/>
      </w:pPr>
      <w:r w:rsidRPr="00FA0D37">
        <w:t>}</w:t>
      </w:r>
    </w:p>
    <w:p w14:paraId="3AD895B7" w14:textId="77777777" w:rsidR="00394471" w:rsidRPr="00FA0D37" w:rsidRDefault="00394471" w:rsidP="00FA0D37">
      <w:pPr>
        <w:pStyle w:val="PL"/>
      </w:pPr>
    </w:p>
    <w:p w14:paraId="21F461B4" w14:textId="77777777" w:rsidR="00394471" w:rsidRPr="00FA0D37" w:rsidRDefault="00394471" w:rsidP="00FA0D37">
      <w:pPr>
        <w:pStyle w:val="PL"/>
      </w:pPr>
      <w:r w:rsidRPr="00FA0D37">
        <w:t xml:space="preserve">FilterConfigCLI-r16 ::=             </w:t>
      </w:r>
      <w:r w:rsidRPr="00FA0D37">
        <w:rPr>
          <w:color w:val="993366"/>
        </w:rPr>
        <w:t>SEQUENCE</w:t>
      </w:r>
      <w:r w:rsidRPr="00FA0D37">
        <w:t xml:space="preserve"> {</w:t>
      </w:r>
    </w:p>
    <w:p w14:paraId="3754F029" w14:textId="77777777" w:rsidR="00394471" w:rsidRPr="00FA0D37" w:rsidRDefault="00394471" w:rsidP="00FA0D37">
      <w:pPr>
        <w:pStyle w:val="PL"/>
      </w:pPr>
      <w:r w:rsidRPr="00FA0D37">
        <w:t xml:space="preserve">    filterCoefficientSRS-RSRP-r16       FilterCoefficient                                       DEFAULT fc4,</w:t>
      </w:r>
    </w:p>
    <w:p w14:paraId="508E3075" w14:textId="77777777" w:rsidR="00394471" w:rsidRPr="00FA0D37" w:rsidRDefault="00394471" w:rsidP="00FA0D37">
      <w:pPr>
        <w:pStyle w:val="PL"/>
      </w:pPr>
      <w:r w:rsidRPr="00FA0D37">
        <w:t xml:space="preserve">    filterCoefficientCLI-RSSI-r16       FilterCoefficient                                       DEFAULT fc4</w:t>
      </w:r>
    </w:p>
    <w:p w14:paraId="79E5D0FE" w14:textId="77777777" w:rsidR="00394471" w:rsidRPr="00FA0D37" w:rsidRDefault="00394471" w:rsidP="00FA0D37">
      <w:pPr>
        <w:pStyle w:val="PL"/>
      </w:pPr>
      <w:r w:rsidRPr="00FA0D37">
        <w:t>}</w:t>
      </w:r>
    </w:p>
    <w:p w14:paraId="008F8DF9" w14:textId="77777777" w:rsidR="00394471" w:rsidRPr="00FA0D37" w:rsidRDefault="00394471" w:rsidP="00FA0D37">
      <w:pPr>
        <w:pStyle w:val="PL"/>
      </w:pPr>
    </w:p>
    <w:p w14:paraId="1E4639F0" w14:textId="77777777" w:rsidR="00394471" w:rsidRPr="00FA0D37" w:rsidRDefault="00394471" w:rsidP="00FA0D37">
      <w:pPr>
        <w:pStyle w:val="PL"/>
      </w:pPr>
      <w:r w:rsidRPr="00FA0D37">
        <w:t xml:space="preserve">QuantityConfigUTRA-FDD-r16 ::=      </w:t>
      </w:r>
      <w:r w:rsidRPr="00FA0D37">
        <w:rPr>
          <w:color w:val="993366"/>
        </w:rPr>
        <w:t>SEQUENCE</w:t>
      </w:r>
      <w:r w:rsidRPr="00FA0D37">
        <w:t xml:space="preserve"> {</w:t>
      </w:r>
    </w:p>
    <w:p w14:paraId="072973AD" w14:textId="77777777" w:rsidR="00394471" w:rsidRPr="00FA0D37" w:rsidRDefault="00394471" w:rsidP="00FA0D37">
      <w:pPr>
        <w:pStyle w:val="PL"/>
      </w:pPr>
      <w:r w:rsidRPr="00FA0D37">
        <w:t xml:space="preserve">    filterCoefficientRSCP-r16           FilterCoefficient                                       DEFAULT fc4,</w:t>
      </w:r>
    </w:p>
    <w:p w14:paraId="5C475766" w14:textId="77777777" w:rsidR="00394471" w:rsidRPr="00FA0D37" w:rsidRDefault="00394471" w:rsidP="00FA0D37">
      <w:pPr>
        <w:pStyle w:val="PL"/>
      </w:pPr>
      <w:r w:rsidRPr="00FA0D37">
        <w:t xml:space="preserve">    filterCoefficientEcNO-r16           FilterCoefficient                                       DEFAULT fc4</w:t>
      </w:r>
    </w:p>
    <w:p w14:paraId="37F0D84F" w14:textId="77777777" w:rsidR="00394471" w:rsidRPr="00FA0D37" w:rsidRDefault="00394471" w:rsidP="00FA0D37">
      <w:pPr>
        <w:pStyle w:val="PL"/>
      </w:pPr>
      <w:r w:rsidRPr="00FA0D37">
        <w:t>}</w:t>
      </w:r>
    </w:p>
    <w:p w14:paraId="2DA70E3D" w14:textId="77777777" w:rsidR="00394471" w:rsidRPr="00FA0D37" w:rsidRDefault="00394471" w:rsidP="00FA0D37">
      <w:pPr>
        <w:pStyle w:val="PL"/>
      </w:pPr>
    </w:p>
    <w:p w14:paraId="7CDA1532" w14:textId="77777777" w:rsidR="00394471" w:rsidRPr="00FA0D37" w:rsidRDefault="00394471" w:rsidP="00FA0D37">
      <w:pPr>
        <w:pStyle w:val="PL"/>
        <w:rPr>
          <w:color w:val="808080"/>
        </w:rPr>
      </w:pPr>
      <w:r w:rsidRPr="00FA0D37">
        <w:rPr>
          <w:color w:val="808080"/>
        </w:rPr>
        <w:t>-- TAG-QUANTITYCONFIG-STOP</w:t>
      </w:r>
    </w:p>
    <w:p w14:paraId="556C139A" w14:textId="77777777" w:rsidR="00394471" w:rsidRPr="00FA0D37" w:rsidRDefault="00394471" w:rsidP="00FA0D37">
      <w:pPr>
        <w:pStyle w:val="PL"/>
        <w:rPr>
          <w:color w:val="808080"/>
        </w:rPr>
      </w:pPr>
      <w:r w:rsidRPr="00FA0D37">
        <w:rPr>
          <w:color w:val="808080"/>
        </w:rPr>
        <w:t>-- ASN1STOP</w:t>
      </w:r>
    </w:p>
    <w:p w14:paraId="2E38DF4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FA0D37" w:rsidRDefault="00394471" w:rsidP="00964CC4">
            <w:pPr>
              <w:pStyle w:val="TAH"/>
              <w:rPr>
                <w:szCs w:val="22"/>
                <w:lang w:eastAsia="sv-SE"/>
              </w:rPr>
            </w:pPr>
            <w:r w:rsidRPr="00FA0D37">
              <w:rPr>
                <w:i/>
                <w:szCs w:val="22"/>
                <w:lang w:eastAsia="sv-SE"/>
              </w:rPr>
              <w:t xml:space="preserve">QuantityConfigNR </w:t>
            </w:r>
            <w:r w:rsidRPr="00FA0D37">
              <w:rPr>
                <w:szCs w:val="22"/>
                <w:lang w:eastAsia="sv-SE"/>
              </w:rPr>
              <w:t>field descriptions</w:t>
            </w:r>
          </w:p>
        </w:tc>
      </w:tr>
      <w:tr w:rsidR="005C7FF4" w:rsidRPr="00FA0D37"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FA0D37" w:rsidRDefault="00394471" w:rsidP="00964CC4">
            <w:pPr>
              <w:pStyle w:val="TAL"/>
              <w:rPr>
                <w:szCs w:val="22"/>
                <w:lang w:eastAsia="sv-SE"/>
              </w:rPr>
            </w:pPr>
            <w:r w:rsidRPr="00FA0D37">
              <w:rPr>
                <w:b/>
                <w:i/>
                <w:szCs w:val="22"/>
                <w:lang w:eastAsia="sv-SE"/>
              </w:rPr>
              <w:t>quantityConfigCell</w:t>
            </w:r>
          </w:p>
          <w:p w14:paraId="2FECAD75" w14:textId="77777777" w:rsidR="00394471" w:rsidRPr="00FA0D37" w:rsidRDefault="00394471" w:rsidP="00964CC4">
            <w:pPr>
              <w:pStyle w:val="TAL"/>
              <w:rPr>
                <w:szCs w:val="22"/>
                <w:lang w:eastAsia="sv-SE"/>
              </w:rPr>
            </w:pPr>
            <w:r w:rsidRPr="00FA0D37">
              <w:rPr>
                <w:szCs w:val="22"/>
                <w:lang w:eastAsia="sv-SE"/>
              </w:rPr>
              <w:t>Specifies L3 filter configurations for cell measurement results for the configurable RS Types (e.g. SS/PBCH block and CSI-RS) and the configurable measurement quantities (e.g. RSRP, RSRQ and SINR).</w:t>
            </w:r>
          </w:p>
        </w:tc>
      </w:tr>
      <w:tr w:rsidR="00394471" w:rsidRPr="00FA0D37"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FA0D37" w:rsidRDefault="00394471" w:rsidP="00964CC4">
            <w:pPr>
              <w:pStyle w:val="TAL"/>
              <w:rPr>
                <w:szCs w:val="22"/>
                <w:lang w:eastAsia="sv-SE"/>
              </w:rPr>
            </w:pPr>
            <w:r w:rsidRPr="00FA0D37">
              <w:rPr>
                <w:b/>
                <w:i/>
                <w:szCs w:val="22"/>
                <w:lang w:eastAsia="sv-SE"/>
              </w:rPr>
              <w:t>quantityConfigRS-Index</w:t>
            </w:r>
          </w:p>
          <w:p w14:paraId="50563A21" w14:textId="77777777" w:rsidR="00394471" w:rsidRPr="00FA0D37" w:rsidRDefault="00394471" w:rsidP="00964CC4">
            <w:pPr>
              <w:pStyle w:val="TAL"/>
              <w:rPr>
                <w:szCs w:val="22"/>
                <w:lang w:eastAsia="sv-SE"/>
              </w:rPr>
            </w:pPr>
            <w:r w:rsidRPr="00FA0D37">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FA0D37" w:rsidRDefault="00394471" w:rsidP="00964CC4">
            <w:pPr>
              <w:pStyle w:val="TAH"/>
              <w:rPr>
                <w:szCs w:val="22"/>
                <w:lang w:eastAsia="sv-SE"/>
              </w:rPr>
            </w:pPr>
            <w:r w:rsidRPr="00FA0D37">
              <w:rPr>
                <w:i/>
                <w:szCs w:val="22"/>
                <w:lang w:eastAsia="sv-SE"/>
              </w:rPr>
              <w:t xml:space="preserve">QuantityConfigRS </w:t>
            </w:r>
            <w:r w:rsidRPr="00FA0D37">
              <w:rPr>
                <w:szCs w:val="22"/>
                <w:lang w:eastAsia="sv-SE"/>
              </w:rPr>
              <w:t>field descriptions</w:t>
            </w:r>
          </w:p>
        </w:tc>
      </w:tr>
      <w:tr w:rsidR="005C7FF4" w:rsidRPr="00FA0D37"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FA0D37" w:rsidRDefault="00394471" w:rsidP="00964CC4">
            <w:pPr>
              <w:pStyle w:val="TAL"/>
              <w:rPr>
                <w:szCs w:val="22"/>
                <w:lang w:eastAsia="sv-SE"/>
              </w:rPr>
            </w:pPr>
            <w:r w:rsidRPr="00FA0D37">
              <w:rPr>
                <w:b/>
                <w:i/>
                <w:szCs w:val="22"/>
                <w:lang w:eastAsia="sv-SE"/>
              </w:rPr>
              <w:t>csi-RS-FilterConfig</w:t>
            </w:r>
          </w:p>
          <w:p w14:paraId="74958262" w14:textId="77777777" w:rsidR="00394471" w:rsidRPr="00FA0D37" w:rsidRDefault="00394471" w:rsidP="00964CC4">
            <w:pPr>
              <w:pStyle w:val="TAL"/>
              <w:rPr>
                <w:szCs w:val="22"/>
                <w:lang w:eastAsia="sv-SE"/>
              </w:rPr>
            </w:pPr>
            <w:r w:rsidRPr="00FA0D37">
              <w:rPr>
                <w:szCs w:val="22"/>
                <w:lang w:eastAsia="sv-SE"/>
              </w:rPr>
              <w:t>CSI-RS based L3 filter configurations:</w:t>
            </w:r>
          </w:p>
          <w:p w14:paraId="26B7EB28" w14:textId="77777777" w:rsidR="00394471" w:rsidRPr="00FA0D37" w:rsidRDefault="00394471" w:rsidP="00964CC4">
            <w:pPr>
              <w:pStyle w:val="TAL"/>
              <w:rPr>
                <w:szCs w:val="22"/>
                <w:lang w:eastAsia="sv-SE"/>
              </w:rPr>
            </w:pPr>
            <w:r w:rsidRPr="00FA0D37">
              <w:rPr>
                <w:szCs w:val="22"/>
                <w:lang w:eastAsia="sv-SE"/>
              </w:rPr>
              <w:t>Specifies L3 filter configurations for CSI-RSRP, CSI-RSRQ and CSI-SINR measurement results from the L1 filter(s), as defined in TS 38.215 [9].</w:t>
            </w:r>
          </w:p>
        </w:tc>
      </w:tr>
      <w:tr w:rsidR="00394471" w:rsidRPr="00FA0D37"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FA0D37" w:rsidRDefault="00394471" w:rsidP="00964CC4">
            <w:pPr>
              <w:pStyle w:val="TAL"/>
              <w:rPr>
                <w:szCs w:val="22"/>
                <w:lang w:eastAsia="sv-SE"/>
              </w:rPr>
            </w:pPr>
            <w:r w:rsidRPr="00FA0D37">
              <w:rPr>
                <w:b/>
                <w:i/>
                <w:szCs w:val="22"/>
                <w:lang w:eastAsia="sv-SE"/>
              </w:rPr>
              <w:t>ssb-FilterConfig</w:t>
            </w:r>
          </w:p>
          <w:p w14:paraId="4CDBCA2A" w14:textId="77777777" w:rsidR="00394471" w:rsidRPr="00FA0D37" w:rsidRDefault="00394471" w:rsidP="00964CC4">
            <w:pPr>
              <w:pStyle w:val="TAL"/>
              <w:rPr>
                <w:szCs w:val="22"/>
                <w:lang w:eastAsia="sv-SE"/>
              </w:rPr>
            </w:pPr>
            <w:r w:rsidRPr="00FA0D37">
              <w:rPr>
                <w:szCs w:val="22"/>
                <w:lang w:eastAsia="sv-SE"/>
              </w:rPr>
              <w:t>SS Block based L3 filter configurations:</w:t>
            </w:r>
          </w:p>
          <w:p w14:paraId="26E786B9" w14:textId="77777777" w:rsidR="00394471" w:rsidRPr="00FA0D37" w:rsidRDefault="00394471" w:rsidP="00964CC4">
            <w:pPr>
              <w:pStyle w:val="TAL"/>
              <w:rPr>
                <w:szCs w:val="22"/>
                <w:lang w:eastAsia="sv-SE"/>
              </w:rPr>
            </w:pPr>
            <w:r w:rsidRPr="00FA0D37">
              <w:rPr>
                <w:szCs w:val="22"/>
                <w:lang w:eastAsia="sv-SE"/>
              </w:rPr>
              <w:t>Specifies L3 filter configurations for SS-RSRP, SS-RSRQ and SS-SINR measurement results from the L1 filter(s), as defined in TS 38.215 [9].</w:t>
            </w:r>
          </w:p>
        </w:tc>
      </w:tr>
    </w:tbl>
    <w:p w14:paraId="71A2030C" w14:textId="77777777" w:rsidR="00394471" w:rsidRPr="00FA0D3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5C7FF4" w:rsidRPr="00FA0D37"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FA0D37" w:rsidRDefault="00394471" w:rsidP="00964CC4">
            <w:pPr>
              <w:pStyle w:val="TAH"/>
              <w:rPr>
                <w:b w:val="0"/>
                <w:i/>
                <w:iCs/>
                <w:lang w:eastAsia="x-none"/>
              </w:rPr>
            </w:pPr>
            <w:r w:rsidRPr="00FA0D37">
              <w:rPr>
                <w:i/>
                <w:iCs/>
                <w:lang w:eastAsia="x-none"/>
              </w:rPr>
              <w:lastRenderedPageBreak/>
              <w:t>QuantityConfigUTRA-FDD field descriptions</w:t>
            </w:r>
          </w:p>
        </w:tc>
      </w:tr>
      <w:tr w:rsidR="005C7FF4" w:rsidRPr="00FA0D37"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FA0D37" w:rsidRDefault="00394471" w:rsidP="00964CC4">
            <w:pPr>
              <w:pStyle w:val="TAL"/>
              <w:rPr>
                <w:b/>
                <w:bCs/>
                <w:i/>
                <w:iCs/>
                <w:noProof/>
                <w:lang w:eastAsia="x-none"/>
              </w:rPr>
            </w:pPr>
            <w:r w:rsidRPr="00FA0D37">
              <w:rPr>
                <w:b/>
                <w:bCs/>
                <w:i/>
                <w:iCs/>
                <w:noProof/>
                <w:lang w:eastAsia="x-none"/>
              </w:rPr>
              <w:t>filterCoefficientRSCP</w:t>
            </w:r>
          </w:p>
          <w:p w14:paraId="391212AD" w14:textId="77777777" w:rsidR="00394471" w:rsidRPr="00FA0D37" w:rsidRDefault="00394471" w:rsidP="00964CC4">
            <w:pPr>
              <w:pStyle w:val="TAL"/>
              <w:rPr>
                <w:szCs w:val="22"/>
                <w:lang w:eastAsia="sv-SE"/>
              </w:rPr>
            </w:pPr>
            <w:r w:rsidRPr="00FA0D37">
              <w:rPr>
                <w:noProof/>
                <w:lang w:eastAsia="sv-SE"/>
              </w:rPr>
              <w:t>Specifies L3 filter coefficient for FDD UTRAN CPICH_RSCP measuement results from L1 filter.</w:t>
            </w:r>
          </w:p>
        </w:tc>
      </w:tr>
      <w:tr w:rsidR="000830BB" w:rsidRPr="00FA0D37"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FA0D37" w:rsidRDefault="00394471" w:rsidP="00964CC4">
            <w:pPr>
              <w:pStyle w:val="TAL"/>
              <w:rPr>
                <w:b/>
                <w:bCs/>
                <w:i/>
                <w:iCs/>
                <w:noProof/>
                <w:lang w:eastAsia="x-none"/>
              </w:rPr>
            </w:pPr>
            <w:r w:rsidRPr="00FA0D37">
              <w:rPr>
                <w:b/>
                <w:bCs/>
                <w:i/>
                <w:iCs/>
                <w:noProof/>
                <w:lang w:eastAsia="x-none"/>
              </w:rPr>
              <w:t>filterCoefficientEcN0</w:t>
            </w:r>
          </w:p>
          <w:p w14:paraId="72F13FC7" w14:textId="77777777" w:rsidR="00394471" w:rsidRPr="00FA0D37" w:rsidRDefault="00394471" w:rsidP="00964CC4">
            <w:pPr>
              <w:pStyle w:val="TAL"/>
              <w:rPr>
                <w:noProof/>
                <w:lang w:eastAsia="sv-SE"/>
              </w:rPr>
            </w:pPr>
            <w:r w:rsidRPr="00FA0D37">
              <w:rPr>
                <w:noProof/>
                <w:lang w:eastAsia="sv-SE"/>
              </w:rPr>
              <w:t>Specifies L3 filter coefficient for FDD UTRAN CPICH_EcN0 measuement results from L1 filter.</w:t>
            </w:r>
          </w:p>
        </w:tc>
      </w:tr>
    </w:tbl>
    <w:p w14:paraId="037A21E0" w14:textId="77777777" w:rsidR="00EC5164" w:rsidRPr="00FA0D37" w:rsidRDefault="00EC5164" w:rsidP="00394471"/>
    <w:p w14:paraId="4D307EE0" w14:textId="77777777" w:rsidR="00394471" w:rsidRPr="00FA0D37" w:rsidRDefault="00394471" w:rsidP="00394471">
      <w:pPr>
        <w:pStyle w:val="4"/>
      </w:pPr>
      <w:bookmarkStart w:id="1280" w:name="_Toc60777332"/>
      <w:bookmarkStart w:id="1281" w:name="_Toc146781411"/>
      <w:r w:rsidRPr="00FA0D37">
        <w:t>–</w:t>
      </w:r>
      <w:r w:rsidRPr="00FA0D37">
        <w:tab/>
      </w:r>
      <w:r w:rsidRPr="00FA0D37">
        <w:rPr>
          <w:i/>
          <w:noProof/>
        </w:rPr>
        <w:t>RACH-ConfigCommon</w:t>
      </w:r>
      <w:bookmarkEnd w:id="1280"/>
      <w:bookmarkEnd w:id="1281"/>
    </w:p>
    <w:p w14:paraId="588041D9" w14:textId="77777777" w:rsidR="00394471" w:rsidRPr="00FA0D37" w:rsidRDefault="00394471" w:rsidP="00394471">
      <w:r w:rsidRPr="00FA0D37">
        <w:t xml:space="preserve">The IE </w:t>
      </w:r>
      <w:r w:rsidRPr="00FA0D37">
        <w:rPr>
          <w:i/>
        </w:rPr>
        <w:t>RACH-ConfigCommon</w:t>
      </w:r>
      <w:r w:rsidRPr="00FA0D37">
        <w:t xml:space="preserve"> is used to specify the cell specific random-access parameters.</w:t>
      </w:r>
    </w:p>
    <w:p w14:paraId="4B6AFFF1" w14:textId="77777777" w:rsidR="00394471" w:rsidRPr="00FA0D37" w:rsidRDefault="00394471" w:rsidP="00394471">
      <w:pPr>
        <w:pStyle w:val="TH"/>
      </w:pPr>
      <w:r w:rsidRPr="00FA0D37">
        <w:rPr>
          <w:bCs/>
          <w:i/>
          <w:iCs/>
        </w:rPr>
        <w:t>RACH-ConfigCommon</w:t>
      </w:r>
      <w:r w:rsidRPr="00FA0D37">
        <w:t xml:space="preserve"> information element</w:t>
      </w:r>
    </w:p>
    <w:p w14:paraId="62E99FC8" w14:textId="77777777" w:rsidR="00394471" w:rsidRPr="00FA0D37" w:rsidRDefault="00394471" w:rsidP="00FA0D37">
      <w:pPr>
        <w:pStyle w:val="PL"/>
        <w:rPr>
          <w:color w:val="808080"/>
        </w:rPr>
      </w:pPr>
      <w:r w:rsidRPr="00FA0D37">
        <w:rPr>
          <w:color w:val="808080"/>
        </w:rPr>
        <w:t>-- ASN1START</w:t>
      </w:r>
    </w:p>
    <w:p w14:paraId="37A3B6B0" w14:textId="77777777" w:rsidR="00394471" w:rsidRPr="00FA0D37" w:rsidRDefault="00394471" w:rsidP="00FA0D37">
      <w:pPr>
        <w:pStyle w:val="PL"/>
        <w:rPr>
          <w:color w:val="808080"/>
        </w:rPr>
      </w:pPr>
      <w:r w:rsidRPr="00FA0D37">
        <w:rPr>
          <w:color w:val="808080"/>
        </w:rPr>
        <w:t>-- TAG-RACH-CONFIGCOMMON-START</w:t>
      </w:r>
    </w:p>
    <w:p w14:paraId="1EA46185" w14:textId="77777777" w:rsidR="00394471" w:rsidRPr="00FA0D37" w:rsidRDefault="00394471" w:rsidP="00FA0D37">
      <w:pPr>
        <w:pStyle w:val="PL"/>
      </w:pPr>
    </w:p>
    <w:p w14:paraId="233DEE28" w14:textId="77777777" w:rsidR="00394471" w:rsidRPr="00FA0D37" w:rsidRDefault="00394471" w:rsidP="00FA0D37">
      <w:pPr>
        <w:pStyle w:val="PL"/>
      </w:pPr>
      <w:r w:rsidRPr="00FA0D37">
        <w:t xml:space="preserve">RACH-ConfigCommon ::=               </w:t>
      </w:r>
      <w:r w:rsidRPr="00FA0D37">
        <w:rPr>
          <w:color w:val="993366"/>
        </w:rPr>
        <w:t>SEQUENCE</w:t>
      </w:r>
      <w:r w:rsidRPr="00FA0D37">
        <w:t xml:space="preserve"> {</w:t>
      </w:r>
    </w:p>
    <w:p w14:paraId="19E628E9" w14:textId="77777777" w:rsidR="00394471" w:rsidRPr="00FA0D37" w:rsidRDefault="00394471" w:rsidP="00FA0D37">
      <w:pPr>
        <w:pStyle w:val="PL"/>
      </w:pPr>
      <w:r w:rsidRPr="00FA0D37">
        <w:t xml:space="preserve">    rach-ConfigGeneric                  RACH-ConfigGeneric,</w:t>
      </w:r>
    </w:p>
    <w:p w14:paraId="2DBC24D9" w14:textId="77777777" w:rsidR="00394471" w:rsidRPr="00FA0D37" w:rsidRDefault="00394471" w:rsidP="00FA0D37">
      <w:pPr>
        <w:pStyle w:val="PL"/>
        <w:rPr>
          <w:color w:val="808080"/>
        </w:rPr>
      </w:pPr>
      <w:r w:rsidRPr="00FA0D37">
        <w:t xml:space="preserve">    totalNumberOfRA-Preambles           </w:t>
      </w:r>
      <w:r w:rsidRPr="00FA0D37">
        <w:rPr>
          <w:color w:val="993366"/>
        </w:rPr>
        <w:t>INTEGER</w:t>
      </w:r>
      <w:r w:rsidRPr="00FA0D37">
        <w:t xml:space="preserve"> (1..63)                                                     </w:t>
      </w:r>
      <w:r w:rsidRPr="00FA0D37">
        <w:rPr>
          <w:color w:val="993366"/>
        </w:rPr>
        <w:t>OPTIONAL</w:t>
      </w:r>
      <w:r w:rsidRPr="00FA0D37">
        <w:t xml:space="preserve">,   </w:t>
      </w:r>
      <w:r w:rsidRPr="00FA0D37">
        <w:rPr>
          <w:color w:val="808080"/>
        </w:rPr>
        <w:t>-- Need S</w:t>
      </w:r>
    </w:p>
    <w:p w14:paraId="25DE6722" w14:textId="77777777" w:rsidR="00394471" w:rsidRPr="00FA0D37" w:rsidRDefault="00394471" w:rsidP="00FA0D37">
      <w:pPr>
        <w:pStyle w:val="PL"/>
      </w:pPr>
      <w:r w:rsidRPr="00FA0D37">
        <w:t xml:space="preserve">    ssb-perRACH-OccasionAndCB-PreamblesPerSSB   </w:t>
      </w:r>
      <w:r w:rsidRPr="00FA0D37">
        <w:rPr>
          <w:color w:val="993366"/>
        </w:rPr>
        <w:t>CHOICE</w:t>
      </w:r>
      <w:r w:rsidRPr="00FA0D37">
        <w:t xml:space="preserve"> {</w:t>
      </w:r>
    </w:p>
    <w:p w14:paraId="60275612" w14:textId="77777777" w:rsidR="00394471" w:rsidRPr="00FA0D37" w:rsidRDefault="00394471" w:rsidP="00FA0D37">
      <w:pPr>
        <w:pStyle w:val="PL"/>
      </w:pPr>
      <w:r w:rsidRPr="00FA0D37">
        <w:t xml:space="preserve">        oneEighth                                   </w:t>
      </w:r>
      <w:r w:rsidRPr="00FA0D37">
        <w:rPr>
          <w:color w:val="993366"/>
        </w:rPr>
        <w:t>ENUMERATED</w:t>
      </w:r>
      <w:r w:rsidRPr="00FA0D37">
        <w:t xml:space="preserve"> {n4,n8,n12,n16,n20,n24,n28,n32,n36,n40,n44,n48,n52,n56,n60,n64},</w:t>
      </w:r>
    </w:p>
    <w:p w14:paraId="601DDEC2" w14:textId="77777777" w:rsidR="00394471" w:rsidRPr="00FA0D37" w:rsidRDefault="00394471" w:rsidP="00FA0D37">
      <w:pPr>
        <w:pStyle w:val="PL"/>
      </w:pPr>
      <w:r w:rsidRPr="00FA0D37">
        <w:t xml:space="preserve">        oneFourth                                   </w:t>
      </w:r>
      <w:r w:rsidRPr="00FA0D37">
        <w:rPr>
          <w:color w:val="993366"/>
        </w:rPr>
        <w:t>ENUMERATED</w:t>
      </w:r>
      <w:r w:rsidRPr="00FA0D37">
        <w:t xml:space="preserve"> {n4,n8,n12,n16,n20,n24,n28,n32,n36,n40,n44,n48,n52,n56,n60,n64},</w:t>
      </w:r>
    </w:p>
    <w:p w14:paraId="74F799BB" w14:textId="77777777" w:rsidR="00394471" w:rsidRPr="00FA0D37" w:rsidRDefault="00394471" w:rsidP="00FA0D37">
      <w:pPr>
        <w:pStyle w:val="PL"/>
      </w:pPr>
      <w:r w:rsidRPr="00FA0D37">
        <w:t xml:space="preserve">        oneHalf                                     </w:t>
      </w:r>
      <w:r w:rsidRPr="00FA0D37">
        <w:rPr>
          <w:color w:val="993366"/>
        </w:rPr>
        <w:t>ENUMERATED</w:t>
      </w:r>
      <w:r w:rsidRPr="00FA0D37">
        <w:t xml:space="preserve"> {n4,n8,n12,n16,n20,n24,n28,n32,n36,n40,n44,n48,n52,n56,n60,n64},</w:t>
      </w:r>
    </w:p>
    <w:p w14:paraId="59D1924B" w14:textId="77777777" w:rsidR="00394471" w:rsidRPr="00FA0D37" w:rsidRDefault="00394471" w:rsidP="00FA0D37">
      <w:pPr>
        <w:pStyle w:val="PL"/>
      </w:pPr>
      <w:r w:rsidRPr="00FA0D37">
        <w:t xml:space="preserve">        one                                         </w:t>
      </w:r>
      <w:r w:rsidRPr="00FA0D37">
        <w:rPr>
          <w:color w:val="993366"/>
        </w:rPr>
        <w:t>ENUMERATED</w:t>
      </w:r>
      <w:r w:rsidRPr="00FA0D37">
        <w:t xml:space="preserve"> {n4,n8,n12,n16,n20,n24,n28,n32,n36,n40,n44,n48,n52,n56,n60,n64},</w:t>
      </w:r>
    </w:p>
    <w:p w14:paraId="57E62EB9" w14:textId="77777777" w:rsidR="00394471" w:rsidRPr="00FA0D37" w:rsidRDefault="00394471" w:rsidP="00FA0D37">
      <w:pPr>
        <w:pStyle w:val="PL"/>
      </w:pPr>
      <w:r w:rsidRPr="00FA0D37">
        <w:t xml:space="preserve">        two                                         </w:t>
      </w:r>
      <w:r w:rsidRPr="00FA0D37">
        <w:rPr>
          <w:color w:val="993366"/>
        </w:rPr>
        <w:t>ENUMERATED</w:t>
      </w:r>
      <w:r w:rsidRPr="00FA0D37">
        <w:t xml:space="preserve"> {n4,n8,n12,n16,n20,n24,n28,n32},</w:t>
      </w:r>
    </w:p>
    <w:p w14:paraId="349B4321" w14:textId="77777777" w:rsidR="00394471" w:rsidRPr="00FA0D37" w:rsidRDefault="00394471" w:rsidP="00FA0D37">
      <w:pPr>
        <w:pStyle w:val="PL"/>
      </w:pPr>
      <w:r w:rsidRPr="00FA0D37">
        <w:t xml:space="preserve">        four                                        </w:t>
      </w:r>
      <w:r w:rsidRPr="00FA0D37">
        <w:rPr>
          <w:color w:val="993366"/>
        </w:rPr>
        <w:t>INTEGER</w:t>
      </w:r>
      <w:r w:rsidRPr="00FA0D37">
        <w:t xml:space="preserve"> (1..16),</w:t>
      </w:r>
    </w:p>
    <w:p w14:paraId="436B0D40" w14:textId="77777777" w:rsidR="00394471" w:rsidRPr="00FA0D37" w:rsidRDefault="00394471" w:rsidP="00FA0D37">
      <w:pPr>
        <w:pStyle w:val="PL"/>
      </w:pPr>
      <w:r w:rsidRPr="00FA0D37">
        <w:t xml:space="preserve">        eight                                       </w:t>
      </w:r>
      <w:r w:rsidRPr="00FA0D37">
        <w:rPr>
          <w:color w:val="993366"/>
        </w:rPr>
        <w:t>INTEGER</w:t>
      </w:r>
      <w:r w:rsidRPr="00FA0D37">
        <w:t xml:space="preserve"> (1..8),</w:t>
      </w:r>
    </w:p>
    <w:p w14:paraId="7CE815EE" w14:textId="77777777" w:rsidR="00394471" w:rsidRPr="00FA0D37" w:rsidRDefault="00394471" w:rsidP="00FA0D37">
      <w:pPr>
        <w:pStyle w:val="PL"/>
      </w:pPr>
      <w:r w:rsidRPr="00FA0D37">
        <w:t xml:space="preserve">        sixteen                                     </w:t>
      </w:r>
      <w:r w:rsidRPr="00FA0D37">
        <w:rPr>
          <w:color w:val="993366"/>
        </w:rPr>
        <w:t>INTEGER</w:t>
      </w:r>
      <w:r w:rsidRPr="00FA0D37">
        <w:t xml:space="preserve"> (1..4)</w:t>
      </w:r>
    </w:p>
    <w:p w14:paraId="6E9E48D0"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495C4F6B" w14:textId="77777777" w:rsidR="00394471" w:rsidRPr="00FA0D37" w:rsidRDefault="00394471" w:rsidP="00FA0D37">
      <w:pPr>
        <w:pStyle w:val="PL"/>
      </w:pPr>
    </w:p>
    <w:p w14:paraId="755F9F73" w14:textId="77777777" w:rsidR="00394471" w:rsidRPr="00FA0D37" w:rsidRDefault="00394471" w:rsidP="00FA0D37">
      <w:pPr>
        <w:pStyle w:val="PL"/>
      </w:pPr>
      <w:r w:rsidRPr="00FA0D37">
        <w:t xml:space="preserve">    groupBconfigured                    </w:t>
      </w:r>
      <w:r w:rsidRPr="00FA0D37">
        <w:rPr>
          <w:color w:val="993366"/>
        </w:rPr>
        <w:t>SEQUENCE</w:t>
      </w:r>
      <w:r w:rsidRPr="00FA0D37">
        <w:t xml:space="preserve"> {</w:t>
      </w:r>
    </w:p>
    <w:p w14:paraId="7074E7F9" w14:textId="77777777" w:rsidR="00394471" w:rsidRPr="00FA0D37" w:rsidRDefault="00394471" w:rsidP="00FA0D37">
      <w:pPr>
        <w:pStyle w:val="PL"/>
      </w:pPr>
      <w:r w:rsidRPr="00FA0D37">
        <w:t xml:space="preserve">        ra-Msg3SizeGroupA                   </w:t>
      </w:r>
      <w:r w:rsidRPr="00FA0D37">
        <w:rPr>
          <w:color w:val="993366"/>
        </w:rPr>
        <w:t>ENUMERATED</w:t>
      </w:r>
      <w:r w:rsidRPr="00FA0D37">
        <w:t xml:space="preserve"> {b56, b144, b208, b256, b282, b480, b640,</w:t>
      </w:r>
    </w:p>
    <w:p w14:paraId="4FF43C8F" w14:textId="77777777" w:rsidR="00394471" w:rsidRPr="00FA0D37" w:rsidRDefault="00394471" w:rsidP="00FA0D37">
      <w:pPr>
        <w:pStyle w:val="PL"/>
      </w:pPr>
      <w:r w:rsidRPr="00FA0D37">
        <w:t xml:space="preserve">                                                        b800, b1000, b72, spare6, spare5,spare4, spare3, spare2, spare1},</w:t>
      </w:r>
    </w:p>
    <w:p w14:paraId="67C41296" w14:textId="77777777" w:rsidR="00394471" w:rsidRPr="00FA0D37" w:rsidRDefault="00394471" w:rsidP="00FA0D37">
      <w:pPr>
        <w:pStyle w:val="PL"/>
      </w:pPr>
      <w:r w:rsidRPr="00FA0D37">
        <w:t xml:space="preserve">        messagePowerOffsetGroupB            </w:t>
      </w:r>
      <w:r w:rsidRPr="00FA0D37">
        <w:rPr>
          <w:color w:val="993366"/>
        </w:rPr>
        <w:t>ENUMERATED</w:t>
      </w:r>
      <w:r w:rsidRPr="00FA0D37">
        <w:t xml:space="preserve"> { minusinfinity, dB0, dB5, dB8, dB10, dB12, dB15, dB18},</w:t>
      </w:r>
    </w:p>
    <w:p w14:paraId="680A001F" w14:textId="77777777" w:rsidR="00394471" w:rsidRPr="00FA0D37" w:rsidRDefault="00394471" w:rsidP="00FA0D37">
      <w:pPr>
        <w:pStyle w:val="PL"/>
      </w:pPr>
      <w:r w:rsidRPr="00FA0D37">
        <w:t xml:space="preserve">        numberOfRA-PreamblesGroupA          </w:t>
      </w:r>
      <w:r w:rsidRPr="00FA0D37">
        <w:rPr>
          <w:color w:val="993366"/>
        </w:rPr>
        <w:t>INTEGER</w:t>
      </w:r>
      <w:r w:rsidRPr="00FA0D37">
        <w:t xml:space="preserve"> (1..64)</w:t>
      </w:r>
    </w:p>
    <w:p w14:paraId="62B39A39"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1F306B4E" w14:textId="77777777" w:rsidR="00394471" w:rsidRPr="00FA0D37" w:rsidRDefault="00394471" w:rsidP="00FA0D37">
      <w:pPr>
        <w:pStyle w:val="PL"/>
      </w:pPr>
      <w:r w:rsidRPr="00FA0D37">
        <w:t xml:space="preserve">    ra-ContentionResolutionTimer            </w:t>
      </w:r>
      <w:r w:rsidRPr="00FA0D37">
        <w:rPr>
          <w:color w:val="993366"/>
        </w:rPr>
        <w:t>ENUMERATED</w:t>
      </w:r>
      <w:r w:rsidRPr="00FA0D37">
        <w:t xml:space="preserve"> { sf8, sf16, sf24, sf32, sf40, sf48, sf56, sf64},</w:t>
      </w:r>
    </w:p>
    <w:p w14:paraId="1F9146B6" w14:textId="77777777" w:rsidR="00394471" w:rsidRPr="00FA0D37" w:rsidRDefault="00394471" w:rsidP="00FA0D37">
      <w:pPr>
        <w:pStyle w:val="PL"/>
        <w:rPr>
          <w:color w:val="808080"/>
        </w:rPr>
      </w:pPr>
      <w:r w:rsidRPr="00FA0D37">
        <w:t xml:space="preserve">    rsrp-ThresholdSSB                       RSRP-Range                                                      </w:t>
      </w:r>
      <w:r w:rsidRPr="00FA0D37">
        <w:rPr>
          <w:color w:val="993366"/>
        </w:rPr>
        <w:t>OPTIONAL</w:t>
      </w:r>
      <w:r w:rsidRPr="00FA0D37">
        <w:t xml:space="preserve">,   </w:t>
      </w:r>
      <w:r w:rsidRPr="00FA0D37">
        <w:rPr>
          <w:color w:val="808080"/>
        </w:rPr>
        <w:t>-- Need R</w:t>
      </w:r>
    </w:p>
    <w:p w14:paraId="23527083" w14:textId="77777777" w:rsidR="00394471" w:rsidRPr="00FA0D37" w:rsidRDefault="00394471" w:rsidP="00FA0D37">
      <w:pPr>
        <w:pStyle w:val="PL"/>
        <w:rPr>
          <w:color w:val="808080"/>
        </w:rPr>
      </w:pPr>
      <w:r w:rsidRPr="00FA0D37">
        <w:t xml:space="preserve">    rsrp-ThresholdSSB-SUL                   RSRP-Range                                                      </w:t>
      </w:r>
      <w:r w:rsidRPr="00FA0D37">
        <w:rPr>
          <w:color w:val="993366"/>
        </w:rPr>
        <w:t>OPTIONAL</w:t>
      </w:r>
      <w:r w:rsidRPr="00FA0D37">
        <w:t xml:space="preserve">,   </w:t>
      </w:r>
      <w:r w:rsidRPr="00FA0D37">
        <w:rPr>
          <w:color w:val="808080"/>
        </w:rPr>
        <w:t>-- Cond SUL</w:t>
      </w:r>
    </w:p>
    <w:p w14:paraId="2CB31481" w14:textId="77777777" w:rsidR="00394471" w:rsidRPr="00FA0D37" w:rsidRDefault="00394471" w:rsidP="00FA0D37">
      <w:pPr>
        <w:pStyle w:val="PL"/>
      </w:pPr>
      <w:r w:rsidRPr="00FA0D37">
        <w:t xml:space="preserve">    prach-RootSequenceIndex                 </w:t>
      </w:r>
      <w:r w:rsidRPr="00FA0D37">
        <w:rPr>
          <w:color w:val="993366"/>
        </w:rPr>
        <w:t>CHOICE</w:t>
      </w:r>
      <w:r w:rsidRPr="00FA0D37">
        <w:t xml:space="preserve"> {</w:t>
      </w:r>
    </w:p>
    <w:p w14:paraId="6D265434" w14:textId="77777777" w:rsidR="00394471" w:rsidRPr="00FA0D37" w:rsidRDefault="00394471" w:rsidP="00FA0D37">
      <w:pPr>
        <w:pStyle w:val="PL"/>
      </w:pPr>
      <w:r w:rsidRPr="00FA0D37">
        <w:t xml:space="preserve">        l839                                    </w:t>
      </w:r>
      <w:r w:rsidRPr="00FA0D37">
        <w:rPr>
          <w:color w:val="993366"/>
        </w:rPr>
        <w:t>INTEGER</w:t>
      </w:r>
      <w:r w:rsidRPr="00FA0D37">
        <w:t xml:space="preserve"> (0..837),</w:t>
      </w:r>
    </w:p>
    <w:p w14:paraId="727949B2" w14:textId="77777777" w:rsidR="00394471" w:rsidRPr="00FA0D37" w:rsidRDefault="00394471" w:rsidP="00FA0D37">
      <w:pPr>
        <w:pStyle w:val="PL"/>
      </w:pPr>
      <w:r w:rsidRPr="00FA0D37">
        <w:t xml:space="preserve">        l139                                    </w:t>
      </w:r>
      <w:r w:rsidRPr="00FA0D37">
        <w:rPr>
          <w:color w:val="993366"/>
        </w:rPr>
        <w:t>INTEGER</w:t>
      </w:r>
      <w:r w:rsidRPr="00FA0D37">
        <w:t xml:space="preserve"> (0..137)</w:t>
      </w:r>
    </w:p>
    <w:p w14:paraId="320D26C7" w14:textId="77777777" w:rsidR="00394471" w:rsidRPr="00FA0D37" w:rsidRDefault="00394471" w:rsidP="00FA0D37">
      <w:pPr>
        <w:pStyle w:val="PL"/>
      </w:pPr>
      <w:r w:rsidRPr="00FA0D37">
        <w:t xml:space="preserve">    },</w:t>
      </w:r>
    </w:p>
    <w:p w14:paraId="3D957689" w14:textId="77777777" w:rsidR="00394471" w:rsidRPr="00FA0D37" w:rsidRDefault="00394471" w:rsidP="00FA0D37">
      <w:pPr>
        <w:pStyle w:val="PL"/>
        <w:rPr>
          <w:color w:val="808080"/>
        </w:rPr>
      </w:pPr>
      <w:r w:rsidRPr="00FA0D37">
        <w:t xml:space="preserve">    msg1-SubcarrierSpacing                  SubcarrierSpacing                                               </w:t>
      </w:r>
      <w:r w:rsidRPr="00FA0D37">
        <w:rPr>
          <w:color w:val="993366"/>
        </w:rPr>
        <w:t>OPTIONAL</w:t>
      </w:r>
      <w:r w:rsidRPr="00FA0D37">
        <w:t xml:space="preserve">,   </w:t>
      </w:r>
      <w:r w:rsidRPr="00FA0D37">
        <w:rPr>
          <w:color w:val="808080"/>
        </w:rPr>
        <w:t>-- Cond L139</w:t>
      </w:r>
    </w:p>
    <w:p w14:paraId="29F1423C" w14:textId="77777777" w:rsidR="00394471" w:rsidRPr="00FA0D37" w:rsidRDefault="00394471" w:rsidP="00FA0D37">
      <w:pPr>
        <w:pStyle w:val="PL"/>
      </w:pPr>
      <w:r w:rsidRPr="00FA0D37">
        <w:t xml:space="preserve">    restrictedSetConfig                     </w:t>
      </w:r>
      <w:r w:rsidRPr="00FA0D37">
        <w:rPr>
          <w:color w:val="993366"/>
        </w:rPr>
        <w:t>ENUMERATED</w:t>
      </w:r>
      <w:r w:rsidRPr="00FA0D37">
        <w:t xml:space="preserve"> {unrestrictedSet, restrictedSetTypeA, restrictedSetTypeB},</w:t>
      </w:r>
    </w:p>
    <w:p w14:paraId="2786B0D2" w14:textId="77777777" w:rsidR="00394471" w:rsidRPr="00FA0D37" w:rsidRDefault="00394471" w:rsidP="00FA0D37">
      <w:pPr>
        <w:pStyle w:val="PL"/>
        <w:rPr>
          <w:color w:val="808080"/>
        </w:rPr>
      </w:pPr>
      <w:r w:rsidRPr="00FA0D37">
        <w:t xml:space="preserve">    msg3-transformPrecoder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753A2487" w14:textId="77777777" w:rsidR="00394471" w:rsidRPr="00FA0D37" w:rsidRDefault="00394471" w:rsidP="00FA0D37">
      <w:pPr>
        <w:pStyle w:val="PL"/>
      </w:pPr>
      <w:r w:rsidRPr="00FA0D37">
        <w:t xml:space="preserve">    ...,</w:t>
      </w:r>
    </w:p>
    <w:p w14:paraId="529850BE" w14:textId="77777777" w:rsidR="00394471" w:rsidRPr="00FA0D37" w:rsidRDefault="00394471" w:rsidP="00FA0D37">
      <w:pPr>
        <w:pStyle w:val="PL"/>
      </w:pPr>
      <w:r w:rsidRPr="00FA0D37">
        <w:t xml:space="preserve">    [[</w:t>
      </w:r>
    </w:p>
    <w:p w14:paraId="385E730C" w14:textId="77777777" w:rsidR="00394471" w:rsidRPr="00FA0D37" w:rsidRDefault="00394471" w:rsidP="00FA0D37">
      <w:pPr>
        <w:pStyle w:val="PL"/>
      </w:pPr>
      <w:r w:rsidRPr="00FA0D37">
        <w:t xml:space="preserve">    ra-PrioritizationForAccessIdentity-r16  </w:t>
      </w:r>
      <w:r w:rsidRPr="00FA0D37">
        <w:rPr>
          <w:color w:val="993366"/>
        </w:rPr>
        <w:t>SEQUENCE</w:t>
      </w:r>
      <w:r w:rsidRPr="00FA0D37">
        <w:t xml:space="preserve"> {</w:t>
      </w:r>
    </w:p>
    <w:p w14:paraId="1A706E06" w14:textId="77777777" w:rsidR="00394471" w:rsidRPr="00FA0D37" w:rsidRDefault="00394471" w:rsidP="00FA0D37">
      <w:pPr>
        <w:pStyle w:val="PL"/>
      </w:pPr>
      <w:r w:rsidRPr="00FA0D37">
        <w:lastRenderedPageBreak/>
        <w:t xml:space="preserve">        ra-Prioritization-r16                   RA-Prioritization,</w:t>
      </w:r>
    </w:p>
    <w:p w14:paraId="6639ADC6" w14:textId="77777777" w:rsidR="00394471" w:rsidRPr="00FA0D37" w:rsidRDefault="00394471" w:rsidP="00FA0D37">
      <w:pPr>
        <w:pStyle w:val="PL"/>
      </w:pPr>
      <w:r w:rsidRPr="00FA0D37">
        <w:t xml:space="preserve">        ra-PrioritizationForAI-r16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4DCC7DB7"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InitialBWP-Only</w:t>
      </w:r>
    </w:p>
    <w:p w14:paraId="38FFA7D4" w14:textId="77777777" w:rsidR="00394471" w:rsidRPr="00FA0D37" w:rsidRDefault="00394471" w:rsidP="00FA0D37">
      <w:pPr>
        <w:pStyle w:val="PL"/>
      </w:pPr>
      <w:r w:rsidRPr="00FA0D37">
        <w:t xml:space="preserve">    prach-RootSequenceIndex-r16             </w:t>
      </w:r>
      <w:r w:rsidRPr="00FA0D37">
        <w:rPr>
          <w:color w:val="993366"/>
        </w:rPr>
        <w:t>CHOICE</w:t>
      </w:r>
      <w:r w:rsidRPr="00FA0D37">
        <w:t xml:space="preserve"> {</w:t>
      </w:r>
    </w:p>
    <w:p w14:paraId="42D63B65" w14:textId="77777777" w:rsidR="00394471" w:rsidRPr="00FA0D37" w:rsidRDefault="00394471" w:rsidP="00FA0D37">
      <w:pPr>
        <w:pStyle w:val="PL"/>
      </w:pPr>
      <w:r w:rsidRPr="00FA0D37">
        <w:t xml:space="preserve">        l571                                    </w:t>
      </w:r>
      <w:r w:rsidRPr="00FA0D37">
        <w:rPr>
          <w:color w:val="993366"/>
        </w:rPr>
        <w:t>INTEGER</w:t>
      </w:r>
      <w:r w:rsidRPr="00FA0D37">
        <w:t xml:space="preserve"> (0..569),</w:t>
      </w:r>
    </w:p>
    <w:p w14:paraId="2FB16131" w14:textId="77777777" w:rsidR="00394471" w:rsidRPr="00FA0D37" w:rsidRDefault="00394471" w:rsidP="00FA0D37">
      <w:pPr>
        <w:pStyle w:val="PL"/>
      </w:pPr>
      <w:r w:rsidRPr="00FA0D37">
        <w:t xml:space="preserve">        l1151                                   </w:t>
      </w:r>
      <w:r w:rsidRPr="00FA0D37">
        <w:rPr>
          <w:color w:val="993366"/>
        </w:rPr>
        <w:t>INTEGER</w:t>
      </w:r>
      <w:r w:rsidRPr="00FA0D37">
        <w:t xml:space="preserve"> (0..1149)</w:t>
      </w:r>
    </w:p>
    <w:p w14:paraId="42EA63E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5EC6A4A6" w14:textId="048373D7" w:rsidR="00EC5164" w:rsidRPr="00FA0D37" w:rsidRDefault="00394471" w:rsidP="00FA0D37">
      <w:pPr>
        <w:pStyle w:val="PL"/>
      </w:pPr>
      <w:r w:rsidRPr="00FA0D37">
        <w:t xml:space="preserve">    ]]</w:t>
      </w:r>
      <w:r w:rsidR="00EC5164" w:rsidRPr="00FA0D37">
        <w:t>,</w:t>
      </w:r>
    </w:p>
    <w:p w14:paraId="05A75D0F" w14:textId="77777777" w:rsidR="00EC5164" w:rsidRPr="00FA0D37" w:rsidRDefault="00EC5164" w:rsidP="00FA0D37">
      <w:pPr>
        <w:pStyle w:val="PL"/>
      </w:pPr>
      <w:r w:rsidRPr="00FA0D37">
        <w:t xml:space="preserve">    [[</w:t>
      </w:r>
    </w:p>
    <w:p w14:paraId="00A9B962" w14:textId="635126E5" w:rsidR="00EC5164" w:rsidRPr="00FA0D37" w:rsidRDefault="00EC5164" w:rsidP="00FA0D37">
      <w:pPr>
        <w:pStyle w:val="PL"/>
        <w:rPr>
          <w:color w:val="808080"/>
        </w:rPr>
      </w:pPr>
      <w:r w:rsidRPr="00FA0D37">
        <w:t xml:space="preserve">    ra-PrioritizationForSlicing-r17         RA-PrioritizationForSlicing-r17                          </w:t>
      </w:r>
      <w:r w:rsidRPr="00FA0D37">
        <w:rPr>
          <w:color w:val="993366"/>
        </w:rPr>
        <w:t>OPTIONAL</w:t>
      </w:r>
      <w:r w:rsidR="00276C79" w:rsidRPr="00FA0D37">
        <w:t>,</w:t>
      </w:r>
      <w:r w:rsidRPr="00FA0D37">
        <w:t xml:space="preserve">   </w:t>
      </w:r>
      <w:r w:rsidRPr="00FA0D37">
        <w:rPr>
          <w:color w:val="808080"/>
        </w:rPr>
        <w:t>-- Cond InitialBWP-Only</w:t>
      </w:r>
    </w:p>
    <w:p w14:paraId="71A42CD4" w14:textId="1584C73F" w:rsidR="00276C79" w:rsidRPr="00FA0D37" w:rsidRDefault="00276C79" w:rsidP="00FA0D37">
      <w:pPr>
        <w:pStyle w:val="PL"/>
        <w:rPr>
          <w:color w:val="808080"/>
        </w:rPr>
      </w:pPr>
      <w:r w:rsidRPr="00FA0D37">
        <w:t xml:space="preserve">    featureCombinationPreambles</w:t>
      </w:r>
      <w:r w:rsidR="0071669F" w:rsidRPr="00FA0D37">
        <w:t>List</w:t>
      </w:r>
      <w:r w:rsidRPr="00FA0D37">
        <w:t xml:space="preserve">-r17 </w:t>
      </w:r>
      <w:r w:rsidR="0071669F" w:rsidRPr="00FA0D37">
        <w:t xml:space="preserve">    </w:t>
      </w:r>
      <w:r w:rsidRPr="00FA0D37">
        <w:rPr>
          <w:color w:val="993366"/>
        </w:rPr>
        <w:t>SEQUENCE</w:t>
      </w:r>
      <w:r w:rsidRPr="00FA0D37">
        <w:t xml:space="preserve"> (</w:t>
      </w:r>
      <w:r w:rsidRPr="00FA0D37">
        <w:rPr>
          <w:color w:val="993366"/>
        </w:rPr>
        <w:t>SIZE</w:t>
      </w:r>
      <w:r w:rsidRPr="00FA0D37">
        <w:t>(1..maxFeatureCombPreambles</w:t>
      </w:r>
      <w:r w:rsidR="0071669F" w:rsidRPr="00FA0D37">
        <w:t>PerRACHResource</w:t>
      </w:r>
      <w:r w:rsidRPr="00FA0D37">
        <w:t>-r17))</w:t>
      </w:r>
      <w:r w:rsidRPr="00FA0D37">
        <w:rPr>
          <w:color w:val="993366"/>
        </w:rPr>
        <w:t xml:space="preserve"> OF</w:t>
      </w:r>
      <w:r w:rsidRPr="00FA0D37">
        <w:t xml:space="preserve"> FeatureCombinationPreambles-r17 </w:t>
      </w:r>
      <w:r w:rsidRPr="00FA0D37">
        <w:rPr>
          <w:color w:val="993366"/>
        </w:rPr>
        <w:t>OPTIONAL</w:t>
      </w:r>
      <w:r w:rsidRPr="00FA0D37">
        <w:t xml:space="preserve"> </w:t>
      </w:r>
      <w:r w:rsidRPr="00FA0D37">
        <w:rPr>
          <w:color w:val="808080"/>
        </w:rPr>
        <w:t xml:space="preserve">-- </w:t>
      </w:r>
      <w:r w:rsidR="005D6B48" w:rsidRPr="00FA0D37">
        <w:rPr>
          <w:color w:val="808080"/>
        </w:rPr>
        <w:t>Cond AdditionalRACH</w:t>
      </w:r>
    </w:p>
    <w:p w14:paraId="35084DBF" w14:textId="0A39892C" w:rsidR="00394471" w:rsidRPr="00FA0D37" w:rsidRDefault="00EC5164" w:rsidP="00FA0D37">
      <w:pPr>
        <w:pStyle w:val="PL"/>
      </w:pPr>
      <w:r w:rsidRPr="00FA0D37">
        <w:t xml:space="preserve">    ]]</w:t>
      </w:r>
    </w:p>
    <w:p w14:paraId="1A9B5947" w14:textId="77777777" w:rsidR="00394471" w:rsidRPr="00FA0D37" w:rsidRDefault="00394471" w:rsidP="00FA0D37">
      <w:pPr>
        <w:pStyle w:val="PL"/>
      </w:pPr>
      <w:r w:rsidRPr="00FA0D37">
        <w:t>}</w:t>
      </w:r>
    </w:p>
    <w:p w14:paraId="54BCB7CF" w14:textId="77777777" w:rsidR="00394471" w:rsidRPr="00FA0D37" w:rsidRDefault="00394471" w:rsidP="00FA0D37">
      <w:pPr>
        <w:pStyle w:val="PL"/>
      </w:pPr>
    </w:p>
    <w:p w14:paraId="66E450D2" w14:textId="77777777" w:rsidR="00394471" w:rsidRPr="00FA0D37" w:rsidRDefault="00394471" w:rsidP="00FA0D37">
      <w:pPr>
        <w:pStyle w:val="PL"/>
        <w:rPr>
          <w:color w:val="808080"/>
        </w:rPr>
      </w:pPr>
      <w:r w:rsidRPr="00FA0D37">
        <w:rPr>
          <w:color w:val="808080"/>
        </w:rPr>
        <w:t>-- TAG-RACH-CONFIGCOMMON-STOP</w:t>
      </w:r>
    </w:p>
    <w:p w14:paraId="5FFD7336" w14:textId="77777777" w:rsidR="00394471" w:rsidRPr="00FA0D37" w:rsidRDefault="00394471" w:rsidP="00FA0D37">
      <w:pPr>
        <w:pStyle w:val="PL"/>
        <w:rPr>
          <w:color w:val="808080"/>
        </w:rPr>
      </w:pPr>
      <w:r w:rsidRPr="00FA0D37">
        <w:rPr>
          <w:color w:val="808080"/>
        </w:rPr>
        <w:t>-- ASN1STOP</w:t>
      </w:r>
    </w:p>
    <w:p w14:paraId="1939C02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FA0D37" w:rsidRDefault="00394471" w:rsidP="00964CC4">
            <w:pPr>
              <w:pStyle w:val="TAH"/>
              <w:rPr>
                <w:szCs w:val="22"/>
                <w:lang w:eastAsia="sv-SE"/>
              </w:rPr>
            </w:pPr>
            <w:r w:rsidRPr="00FA0D37">
              <w:rPr>
                <w:i/>
                <w:szCs w:val="22"/>
                <w:lang w:eastAsia="sv-SE"/>
              </w:rPr>
              <w:lastRenderedPageBreak/>
              <w:t xml:space="preserve">RACH-ConfigCommon </w:t>
            </w:r>
            <w:r w:rsidRPr="00FA0D37">
              <w:rPr>
                <w:szCs w:val="22"/>
                <w:lang w:eastAsia="sv-SE"/>
              </w:rPr>
              <w:t>field descriptions</w:t>
            </w:r>
          </w:p>
        </w:tc>
      </w:tr>
      <w:tr w:rsidR="005C7FF4" w:rsidRPr="00FA0D37"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FA0D37" w:rsidRDefault="00276C79" w:rsidP="00771058">
            <w:pPr>
              <w:pStyle w:val="TAL"/>
              <w:rPr>
                <w:szCs w:val="22"/>
                <w:lang w:eastAsia="sv-SE"/>
              </w:rPr>
            </w:pPr>
            <w:r w:rsidRPr="00FA0D37">
              <w:rPr>
                <w:b/>
                <w:i/>
                <w:szCs w:val="22"/>
                <w:lang w:eastAsia="sv-SE"/>
              </w:rPr>
              <w:t>featureCombinationPreambles</w:t>
            </w:r>
            <w:r w:rsidR="0071669F" w:rsidRPr="00FA0D37">
              <w:rPr>
                <w:b/>
                <w:i/>
                <w:szCs w:val="22"/>
                <w:lang w:eastAsia="sv-SE"/>
              </w:rPr>
              <w:t>List</w:t>
            </w:r>
          </w:p>
          <w:p w14:paraId="0DDB2DEE" w14:textId="0CE865D7" w:rsidR="00276C79" w:rsidRPr="00FA0D37" w:rsidRDefault="00276C79" w:rsidP="00771058">
            <w:pPr>
              <w:pStyle w:val="TAL"/>
              <w:rPr>
                <w:b/>
                <w:i/>
                <w:szCs w:val="22"/>
                <w:lang w:eastAsia="sv-SE"/>
              </w:rPr>
            </w:pPr>
            <w:r w:rsidRPr="00FA0D37">
              <w:rPr>
                <w:szCs w:val="22"/>
                <w:lang w:eastAsia="sv-SE"/>
              </w:rPr>
              <w:t>Specifies a series of preamble partitions each associated to a combination of features and 4-step RA.</w:t>
            </w:r>
            <w:r w:rsidR="005D6B48" w:rsidRPr="00FA0D37">
              <w:rPr>
                <w:szCs w:val="22"/>
                <w:lang w:eastAsia="sv-SE"/>
              </w:rPr>
              <w:t xml:space="preserve"> The network does not configure this list to have more than 16 entries.</w:t>
            </w:r>
          </w:p>
        </w:tc>
      </w:tr>
      <w:tr w:rsidR="005C7FF4" w:rsidRPr="00FA0D37"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FA0D37" w:rsidRDefault="00394471" w:rsidP="00964CC4">
            <w:pPr>
              <w:pStyle w:val="TAL"/>
              <w:rPr>
                <w:szCs w:val="22"/>
                <w:lang w:eastAsia="sv-SE"/>
              </w:rPr>
            </w:pPr>
            <w:r w:rsidRPr="00FA0D37">
              <w:rPr>
                <w:b/>
                <w:i/>
                <w:szCs w:val="22"/>
                <w:lang w:eastAsia="sv-SE"/>
              </w:rPr>
              <w:t>messagePowerOffsetGroupB</w:t>
            </w:r>
          </w:p>
          <w:p w14:paraId="5D81A039" w14:textId="77777777" w:rsidR="00394471" w:rsidRPr="00FA0D37" w:rsidRDefault="00394471" w:rsidP="00964CC4">
            <w:pPr>
              <w:pStyle w:val="TAL"/>
              <w:rPr>
                <w:szCs w:val="22"/>
                <w:lang w:eastAsia="sv-SE"/>
              </w:rPr>
            </w:pPr>
            <w:r w:rsidRPr="00FA0D37">
              <w:rPr>
                <w:szCs w:val="22"/>
                <w:lang w:eastAsia="sv-SE"/>
              </w:rPr>
              <w:t xml:space="preserve">Threshold for preamble selection. Value is in dB. Value </w:t>
            </w:r>
            <w:r w:rsidRPr="00FA0D37">
              <w:rPr>
                <w:i/>
                <w:szCs w:val="22"/>
                <w:lang w:eastAsia="sv-SE"/>
              </w:rPr>
              <w:t>minusinfinity</w:t>
            </w:r>
            <w:r w:rsidRPr="00FA0D37">
              <w:rPr>
                <w:szCs w:val="22"/>
                <w:lang w:eastAsia="sv-SE"/>
              </w:rPr>
              <w:t xml:space="preserve"> corresponds to –infinity. Value </w:t>
            </w:r>
            <w:r w:rsidRPr="00FA0D37">
              <w:rPr>
                <w:i/>
                <w:szCs w:val="22"/>
                <w:lang w:eastAsia="sv-SE"/>
              </w:rPr>
              <w:t>dB0</w:t>
            </w:r>
            <w:r w:rsidRPr="00FA0D37">
              <w:rPr>
                <w:szCs w:val="22"/>
                <w:lang w:eastAsia="sv-SE"/>
              </w:rPr>
              <w:t xml:space="preserve"> corresponds to 0 dB, </w:t>
            </w:r>
            <w:r w:rsidRPr="00FA0D37">
              <w:rPr>
                <w:i/>
                <w:szCs w:val="22"/>
                <w:lang w:eastAsia="sv-SE"/>
              </w:rPr>
              <w:t>dB5</w:t>
            </w:r>
            <w:r w:rsidRPr="00FA0D37">
              <w:rPr>
                <w:szCs w:val="22"/>
                <w:lang w:eastAsia="sv-SE"/>
              </w:rPr>
              <w:t xml:space="preserve"> corresponds to 5 dB and so on. (see TS 38.321 [3], clause 5.1.2)</w:t>
            </w:r>
          </w:p>
        </w:tc>
      </w:tr>
      <w:tr w:rsidR="005C7FF4" w:rsidRPr="00FA0D37"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FA0D37" w:rsidRDefault="00394471" w:rsidP="00964CC4">
            <w:pPr>
              <w:pStyle w:val="TAL"/>
              <w:rPr>
                <w:szCs w:val="22"/>
                <w:lang w:eastAsia="sv-SE"/>
              </w:rPr>
            </w:pPr>
            <w:r w:rsidRPr="00FA0D37">
              <w:rPr>
                <w:b/>
                <w:i/>
                <w:szCs w:val="22"/>
                <w:lang w:eastAsia="sv-SE"/>
              </w:rPr>
              <w:t>msg1-SubcarrierSpacing</w:t>
            </w:r>
          </w:p>
          <w:p w14:paraId="1CD09C79" w14:textId="1B4CEFB3" w:rsidR="00E826D8" w:rsidRPr="00FA0D37" w:rsidRDefault="00394471" w:rsidP="00964CC4">
            <w:pPr>
              <w:pStyle w:val="TAL"/>
              <w:rPr>
                <w:szCs w:val="22"/>
                <w:lang w:eastAsia="sv-SE"/>
              </w:rPr>
            </w:pPr>
            <w:r w:rsidRPr="00FA0D37">
              <w:rPr>
                <w:szCs w:val="22"/>
                <w:lang w:eastAsia="sv-SE"/>
              </w:rPr>
              <w:t>Subcarrier spacing of PRACH (see TS 38.211 [16], clause 5.3.2).</w:t>
            </w:r>
          </w:p>
          <w:p w14:paraId="49FC6CAB" w14:textId="77777777" w:rsidR="00E826D8" w:rsidRPr="00FA0D37" w:rsidRDefault="00E826D8" w:rsidP="00E826D8">
            <w:pPr>
              <w:pStyle w:val="TAL"/>
              <w:rPr>
                <w:lang w:eastAsia="sv-SE"/>
              </w:rPr>
            </w:pPr>
            <w:r w:rsidRPr="00FA0D37">
              <w:rPr>
                <w:lang w:eastAsia="sv-SE"/>
              </w:rPr>
              <w:t>Only the following values are applicable depending on the used frequency:</w:t>
            </w:r>
          </w:p>
          <w:p w14:paraId="73E1B6AB" w14:textId="77777777" w:rsidR="00E826D8" w:rsidRPr="00FA0D37" w:rsidRDefault="00E826D8" w:rsidP="00E826D8">
            <w:pPr>
              <w:pStyle w:val="TAL"/>
              <w:rPr>
                <w:lang w:eastAsia="sv-SE"/>
              </w:rPr>
            </w:pPr>
            <w:r w:rsidRPr="00FA0D37">
              <w:rPr>
                <w:lang w:eastAsia="sv-SE"/>
              </w:rPr>
              <w:t>FR1:    15 or 30 kHz</w:t>
            </w:r>
          </w:p>
          <w:p w14:paraId="0256544C" w14:textId="77777777" w:rsidR="00F747EB" w:rsidRPr="00FA0D37" w:rsidRDefault="00E826D8" w:rsidP="00E826D8">
            <w:pPr>
              <w:pStyle w:val="TAL"/>
              <w:rPr>
                <w:lang w:eastAsia="sv-SE"/>
              </w:rPr>
            </w:pPr>
            <w:r w:rsidRPr="00FA0D37">
              <w:rPr>
                <w:lang w:eastAsia="sv-SE"/>
              </w:rPr>
              <w:t>FR2-1:  60 or 120 kHz</w:t>
            </w:r>
          </w:p>
          <w:p w14:paraId="33D5C32C" w14:textId="44ECA02E" w:rsidR="00E826D8" w:rsidRPr="00FA0D37" w:rsidRDefault="00E826D8" w:rsidP="00E826D8">
            <w:pPr>
              <w:pStyle w:val="TAL"/>
              <w:rPr>
                <w:lang w:eastAsia="sv-SE"/>
              </w:rPr>
            </w:pPr>
            <w:r w:rsidRPr="00FA0D37">
              <w:rPr>
                <w:lang w:eastAsia="sv-SE"/>
              </w:rPr>
              <w:t>FR2-2:  120, 480, or 960 kHz</w:t>
            </w:r>
          </w:p>
          <w:p w14:paraId="6666FD15" w14:textId="58E3BCFB" w:rsidR="00394471" w:rsidRPr="00FA0D37" w:rsidRDefault="00394471" w:rsidP="00964CC4">
            <w:pPr>
              <w:pStyle w:val="TAL"/>
              <w:rPr>
                <w:szCs w:val="22"/>
                <w:lang w:eastAsia="sv-SE"/>
              </w:rPr>
            </w:pPr>
            <w:r w:rsidRPr="00FA0D37">
              <w:rPr>
                <w:lang w:eastAsia="sv-SE"/>
              </w:rPr>
              <w:t xml:space="preserve">If absent, the UE applies the SCS as derived from the </w:t>
            </w:r>
            <w:r w:rsidRPr="00FA0D37">
              <w:rPr>
                <w:i/>
                <w:lang w:eastAsia="sv-SE"/>
              </w:rPr>
              <w:t>prach-ConfigurationIndex</w:t>
            </w:r>
            <w:r w:rsidRPr="00FA0D37">
              <w:rPr>
                <w:lang w:eastAsia="sv-SE"/>
              </w:rPr>
              <w:t xml:space="preserve"> in </w:t>
            </w:r>
            <w:r w:rsidRPr="00FA0D37">
              <w:rPr>
                <w:i/>
                <w:lang w:eastAsia="sv-SE"/>
              </w:rPr>
              <w:t>RACH-ConfigGeneric</w:t>
            </w:r>
            <w:r w:rsidRPr="00FA0D37">
              <w:rPr>
                <w:lang w:eastAsia="sv-SE"/>
              </w:rPr>
              <w:t xml:space="preserve"> (see tables Table 6.3.3.1-1</w:t>
            </w:r>
            <w:r w:rsidR="002E75CD" w:rsidRPr="00FA0D37">
              <w:rPr>
                <w:lang w:eastAsia="sv-SE"/>
              </w:rPr>
              <w:t>, Table 6.3.3.1-2,</w:t>
            </w:r>
            <w:r w:rsidRPr="00FA0D37">
              <w:rPr>
                <w:lang w:eastAsia="sv-SE"/>
              </w:rPr>
              <w:t xml:space="preserve"> Table 6.3.3.2-2</w:t>
            </w:r>
            <w:r w:rsidR="002E75CD" w:rsidRPr="00FA0D37">
              <w:rPr>
                <w:lang w:eastAsia="sv-SE"/>
              </w:rPr>
              <w:t xml:space="preserve"> and Table 6.3.3.2-3</w:t>
            </w:r>
            <w:r w:rsidRPr="00FA0D37">
              <w:rPr>
                <w:lang w:eastAsia="sv-SE"/>
              </w:rPr>
              <w:t>, TS 38.211 [16]). The value also applies to contention free random access (</w:t>
            </w:r>
            <w:r w:rsidRPr="00FA0D37">
              <w:rPr>
                <w:i/>
                <w:lang w:eastAsia="sv-SE"/>
              </w:rPr>
              <w:t>RACH-ConfigDedicated</w:t>
            </w:r>
            <w:r w:rsidRPr="00FA0D37">
              <w:rPr>
                <w:lang w:eastAsia="sv-SE"/>
              </w:rPr>
              <w:t xml:space="preserve">), to SI-request and to contention-based beam failure recovery (CB-BFR). But it does not apply for contention free beam failure recovery (CF-BFR) (see </w:t>
            </w:r>
            <w:r w:rsidRPr="00FA0D37">
              <w:rPr>
                <w:i/>
                <w:lang w:eastAsia="sv-SE"/>
              </w:rPr>
              <w:t>BeamFailureRecoveryConfig</w:t>
            </w:r>
            <w:r w:rsidRPr="00FA0D37">
              <w:rPr>
                <w:lang w:eastAsia="sv-SE"/>
              </w:rPr>
              <w:t>).</w:t>
            </w:r>
          </w:p>
        </w:tc>
      </w:tr>
      <w:tr w:rsidR="005C7FF4" w:rsidRPr="00FA0D37"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FA0D37" w:rsidRDefault="00394471" w:rsidP="00964CC4">
            <w:pPr>
              <w:pStyle w:val="TAL"/>
              <w:rPr>
                <w:szCs w:val="22"/>
                <w:lang w:eastAsia="sv-SE"/>
              </w:rPr>
            </w:pPr>
            <w:r w:rsidRPr="00FA0D37">
              <w:rPr>
                <w:b/>
                <w:i/>
                <w:szCs w:val="22"/>
                <w:lang w:eastAsia="sv-SE"/>
              </w:rPr>
              <w:t>msg3-transformPrecoder</w:t>
            </w:r>
          </w:p>
          <w:p w14:paraId="6D87D174" w14:textId="77777777" w:rsidR="00394471" w:rsidRPr="00FA0D37" w:rsidRDefault="00394471" w:rsidP="00964CC4">
            <w:pPr>
              <w:pStyle w:val="TAL"/>
              <w:rPr>
                <w:szCs w:val="22"/>
                <w:lang w:eastAsia="sv-SE"/>
              </w:rPr>
            </w:pPr>
            <w:r w:rsidRPr="00FA0D37">
              <w:rPr>
                <w:szCs w:val="22"/>
                <w:lang w:eastAsia="sv-SE"/>
              </w:rPr>
              <w:t>Enables the transform precoder for Msg3 transmission according to clause 6.1.3 of TS 38.214 [19]. If the field is absent, the UE disables the transformer precoder (see TS 38.213 [13], clause 8.3).</w:t>
            </w:r>
          </w:p>
        </w:tc>
      </w:tr>
      <w:tr w:rsidR="005C7FF4" w:rsidRPr="00FA0D37"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FA0D37" w:rsidRDefault="00394471" w:rsidP="00964CC4">
            <w:pPr>
              <w:pStyle w:val="TAL"/>
              <w:rPr>
                <w:szCs w:val="22"/>
                <w:lang w:eastAsia="sv-SE"/>
              </w:rPr>
            </w:pPr>
            <w:r w:rsidRPr="00FA0D37">
              <w:rPr>
                <w:b/>
                <w:i/>
                <w:szCs w:val="22"/>
                <w:lang w:eastAsia="sv-SE"/>
              </w:rPr>
              <w:t>numberOfRA-PreamblesGroupA</w:t>
            </w:r>
          </w:p>
          <w:p w14:paraId="56188B97" w14:textId="77777777" w:rsidR="00394471" w:rsidRPr="00FA0D37" w:rsidRDefault="00394471" w:rsidP="00964CC4">
            <w:pPr>
              <w:pStyle w:val="TAL"/>
              <w:rPr>
                <w:szCs w:val="22"/>
                <w:lang w:eastAsia="sv-SE"/>
              </w:rPr>
            </w:pPr>
            <w:r w:rsidRPr="00FA0D37">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FA0D37">
              <w:rPr>
                <w:i/>
                <w:szCs w:val="22"/>
                <w:lang w:eastAsia="sv-SE"/>
              </w:rPr>
              <w:t>ssb-perRACH-OccasionAndCB-PreamblesPerSSB</w:t>
            </w:r>
            <w:r w:rsidRPr="00FA0D37">
              <w:rPr>
                <w:szCs w:val="22"/>
                <w:lang w:eastAsia="sv-SE"/>
              </w:rPr>
              <w:t>.</w:t>
            </w:r>
          </w:p>
        </w:tc>
      </w:tr>
      <w:tr w:rsidR="005C7FF4" w:rsidRPr="00FA0D37"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FA0D37" w:rsidRDefault="00394471" w:rsidP="00964CC4">
            <w:pPr>
              <w:pStyle w:val="TAL"/>
              <w:rPr>
                <w:szCs w:val="22"/>
                <w:lang w:eastAsia="sv-SE"/>
              </w:rPr>
            </w:pPr>
            <w:r w:rsidRPr="00FA0D37">
              <w:rPr>
                <w:b/>
                <w:i/>
                <w:szCs w:val="22"/>
                <w:lang w:eastAsia="sv-SE"/>
              </w:rPr>
              <w:t>prach-RootSequenceIndex</w:t>
            </w:r>
          </w:p>
          <w:p w14:paraId="42285060" w14:textId="77777777" w:rsidR="00E826D8" w:rsidRPr="00FA0D37" w:rsidRDefault="00394471" w:rsidP="00E826D8">
            <w:pPr>
              <w:pStyle w:val="TAL"/>
              <w:rPr>
                <w:szCs w:val="22"/>
                <w:lang w:eastAsia="sv-SE"/>
              </w:rPr>
            </w:pPr>
            <w:r w:rsidRPr="00FA0D37">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FA0D37">
              <w:rPr>
                <w:i/>
                <w:szCs w:val="22"/>
                <w:lang w:eastAsia="sv-SE"/>
              </w:rPr>
              <w:t>prach-ConfigurationIndex</w:t>
            </w:r>
            <w:r w:rsidRPr="00FA0D37">
              <w:rPr>
                <w:szCs w:val="22"/>
                <w:lang w:eastAsia="sv-SE"/>
              </w:rPr>
              <w:t xml:space="preserve"> in the </w:t>
            </w:r>
            <w:r w:rsidRPr="00FA0D37">
              <w:rPr>
                <w:i/>
                <w:szCs w:val="22"/>
                <w:lang w:eastAsia="sv-SE"/>
              </w:rPr>
              <w:t>RACH-ConfigDedicated</w:t>
            </w:r>
            <w:r w:rsidRPr="00FA0D37">
              <w:rPr>
                <w:szCs w:val="22"/>
                <w:lang w:eastAsia="sv-SE"/>
              </w:rPr>
              <w:t xml:space="preserve"> (if configured). If </w:t>
            </w:r>
            <w:r w:rsidRPr="00FA0D37">
              <w:rPr>
                <w:i/>
                <w:szCs w:val="22"/>
                <w:lang w:eastAsia="sv-SE"/>
              </w:rPr>
              <w:t>prach-RootSequenceIndex-r16</w:t>
            </w:r>
            <w:r w:rsidRPr="00FA0D37">
              <w:rPr>
                <w:szCs w:val="22"/>
                <w:lang w:eastAsia="sv-SE"/>
              </w:rPr>
              <w:t xml:space="preserve"> is signalled, UE shall ignore the </w:t>
            </w:r>
            <w:r w:rsidRPr="00FA0D37">
              <w:rPr>
                <w:i/>
                <w:szCs w:val="22"/>
                <w:lang w:eastAsia="sv-SE"/>
              </w:rPr>
              <w:t xml:space="preserve">prach-RootSequenceIndex </w:t>
            </w:r>
            <w:r w:rsidRPr="00FA0D37">
              <w:rPr>
                <w:szCs w:val="22"/>
                <w:lang w:eastAsia="sv-SE"/>
              </w:rPr>
              <w:t>(without suffix).</w:t>
            </w:r>
          </w:p>
          <w:p w14:paraId="1FA04898" w14:textId="77777777" w:rsidR="00E826D8" w:rsidRPr="00FA0D37" w:rsidRDefault="00E826D8" w:rsidP="00E826D8">
            <w:pPr>
              <w:pStyle w:val="TAL"/>
              <w:rPr>
                <w:szCs w:val="22"/>
                <w:lang w:eastAsia="sv-SE"/>
              </w:rPr>
            </w:pPr>
            <w:r w:rsidRPr="00FA0D37">
              <w:rPr>
                <w:szCs w:val="22"/>
                <w:lang w:eastAsia="sv-SE"/>
              </w:rPr>
              <w:t>For FR2-2, only the following values are applicable depending on the used subcarrier spacing:</w:t>
            </w:r>
          </w:p>
          <w:p w14:paraId="630DC143" w14:textId="77777777" w:rsidR="00E826D8" w:rsidRPr="00FA0D37" w:rsidRDefault="00E826D8" w:rsidP="00E826D8">
            <w:pPr>
              <w:pStyle w:val="TAL"/>
              <w:rPr>
                <w:szCs w:val="22"/>
                <w:lang w:eastAsia="sv-SE"/>
              </w:rPr>
            </w:pPr>
            <w:r w:rsidRPr="00FA0D37">
              <w:rPr>
                <w:szCs w:val="22"/>
                <w:lang w:eastAsia="sv-SE"/>
              </w:rPr>
              <w:t>120 kHz:  L=139, L=571, and L=1151</w:t>
            </w:r>
          </w:p>
          <w:p w14:paraId="21BC2393" w14:textId="77777777" w:rsidR="00E826D8" w:rsidRPr="00FA0D37" w:rsidRDefault="00E826D8" w:rsidP="00E826D8">
            <w:pPr>
              <w:pStyle w:val="TAL"/>
              <w:rPr>
                <w:szCs w:val="22"/>
                <w:lang w:eastAsia="sv-SE"/>
              </w:rPr>
            </w:pPr>
            <w:r w:rsidRPr="00FA0D37">
              <w:rPr>
                <w:szCs w:val="22"/>
                <w:lang w:eastAsia="sv-SE"/>
              </w:rPr>
              <w:t>480 kHz:  L=139, and L=571</w:t>
            </w:r>
          </w:p>
          <w:p w14:paraId="33666C5A" w14:textId="49AD7806" w:rsidR="00394471" w:rsidRPr="00FA0D37" w:rsidRDefault="00E826D8" w:rsidP="00E826D8">
            <w:pPr>
              <w:pStyle w:val="TAL"/>
              <w:rPr>
                <w:szCs w:val="22"/>
                <w:lang w:eastAsia="sv-SE"/>
              </w:rPr>
            </w:pPr>
            <w:r w:rsidRPr="00FA0D37">
              <w:rPr>
                <w:szCs w:val="22"/>
                <w:lang w:eastAsia="sv-SE"/>
              </w:rPr>
              <w:t>960 kHz:  L=139</w:t>
            </w:r>
          </w:p>
        </w:tc>
      </w:tr>
      <w:tr w:rsidR="005C7FF4" w:rsidRPr="00FA0D37"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FA0D37" w:rsidRDefault="00394471" w:rsidP="00964CC4">
            <w:pPr>
              <w:pStyle w:val="TAL"/>
              <w:rPr>
                <w:szCs w:val="22"/>
                <w:lang w:eastAsia="sv-SE"/>
              </w:rPr>
            </w:pPr>
            <w:r w:rsidRPr="00FA0D37">
              <w:rPr>
                <w:b/>
                <w:i/>
                <w:szCs w:val="22"/>
                <w:lang w:eastAsia="sv-SE"/>
              </w:rPr>
              <w:t>ra-ContentionResolutionTimer</w:t>
            </w:r>
          </w:p>
          <w:p w14:paraId="2E9CAE10" w14:textId="77777777" w:rsidR="00394471" w:rsidRPr="00FA0D37" w:rsidRDefault="00394471" w:rsidP="00964CC4">
            <w:pPr>
              <w:pStyle w:val="TAL"/>
              <w:rPr>
                <w:szCs w:val="22"/>
                <w:lang w:eastAsia="sv-SE"/>
              </w:rPr>
            </w:pPr>
            <w:r w:rsidRPr="00FA0D37">
              <w:rPr>
                <w:szCs w:val="22"/>
                <w:lang w:eastAsia="sv-SE"/>
              </w:rPr>
              <w:t xml:space="preserve">The initial value for the contention resolution timer (see TS 38.321 [3], clause 5.1.5). Value </w:t>
            </w:r>
            <w:r w:rsidRPr="00FA0D37">
              <w:rPr>
                <w:i/>
                <w:szCs w:val="22"/>
                <w:lang w:eastAsia="sv-SE"/>
              </w:rPr>
              <w:t>sf8</w:t>
            </w:r>
            <w:r w:rsidRPr="00FA0D37">
              <w:rPr>
                <w:szCs w:val="22"/>
                <w:lang w:eastAsia="sv-SE"/>
              </w:rPr>
              <w:t xml:space="preserve"> corresponds to 8 subframes, value </w:t>
            </w:r>
            <w:r w:rsidRPr="00FA0D37">
              <w:rPr>
                <w:i/>
                <w:szCs w:val="22"/>
                <w:lang w:eastAsia="sv-SE"/>
              </w:rPr>
              <w:t>sf16</w:t>
            </w:r>
            <w:r w:rsidRPr="00FA0D37">
              <w:rPr>
                <w:szCs w:val="22"/>
                <w:lang w:eastAsia="sv-SE"/>
              </w:rPr>
              <w:t xml:space="preserve"> corresponds to 16 subframes, and so on.</w:t>
            </w:r>
          </w:p>
        </w:tc>
      </w:tr>
      <w:tr w:rsidR="005C7FF4" w:rsidRPr="00FA0D37"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FA0D37" w:rsidRDefault="00394471" w:rsidP="00964CC4">
            <w:pPr>
              <w:pStyle w:val="TAL"/>
              <w:rPr>
                <w:szCs w:val="22"/>
                <w:lang w:eastAsia="sv-SE"/>
              </w:rPr>
            </w:pPr>
            <w:r w:rsidRPr="00FA0D37">
              <w:rPr>
                <w:b/>
                <w:i/>
                <w:szCs w:val="22"/>
                <w:lang w:eastAsia="sv-SE"/>
              </w:rPr>
              <w:t>ra-Msg3SizeGroupA</w:t>
            </w:r>
          </w:p>
          <w:p w14:paraId="58763B82" w14:textId="77777777" w:rsidR="00394471" w:rsidRPr="00FA0D37" w:rsidRDefault="00394471" w:rsidP="00964CC4">
            <w:pPr>
              <w:pStyle w:val="TAL"/>
              <w:rPr>
                <w:szCs w:val="22"/>
                <w:lang w:eastAsia="sv-SE"/>
              </w:rPr>
            </w:pPr>
            <w:r w:rsidRPr="00FA0D37">
              <w:rPr>
                <w:szCs w:val="22"/>
                <w:lang w:eastAsia="sv-SE"/>
              </w:rPr>
              <w:t>Transport Blocks size threshold in bits below which the UE shall use a contention-based RA preamble of group A. (see TS 38.321 [3], clause 5.1.2).</w:t>
            </w:r>
          </w:p>
        </w:tc>
      </w:tr>
      <w:tr w:rsidR="005C7FF4" w:rsidRPr="00FA0D37"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FA0D37" w:rsidRDefault="00394471" w:rsidP="00964CC4">
            <w:pPr>
              <w:pStyle w:val="TAL"/>
              <w:rPr>
                <w:b/>
                <w:bCs/>
                <w:i/>
                <w:szCs w:val="22"/>
                <w:lang w:eastAsia="en-GB"/>
              </w:rPr>
            </w:pPr>
            <w:r w:rsidRPr="00FA0D37">
              <w:rPr>
                <w:b/>
                <w:bCs/>
                <w:i/>
                <w:szCs w:val="22"/>
                <w:lang w:eastAsia="en-GB"/>
              </w:rPr>
              <w:t>ra-Prioritization</w:t>
            </w:r>
          </w:p>
          <w:p w14:paraId="6DA6C7BF" w14:textId="77777777" w:rsidR="00394471" w:rsidRPr="00FA0D37" w:rsidRDefault="00394471" w:rsidP="00964CC4">
            <w:pPr>
              <w:pStyle w:val="TAL"/>
              <w:rPr>
                <w:b/>
                <w:i/>
                <w:szCs w:val="22"/>
                <w:lang w:eastAsia="sv-SE"/>
              </w:rPr>
            </w:pPr>
            <w:r w:rsidRPr="00FA0D37">
              <w:rPr>
                <w:szCs w:val="22"/>
                <w:lang w:eastAsia="sv-SE"/>
              </w:rPr>
              <w:t>Parameters which apply for prioritized random access procedure on any UL BWP of SpCell for specific Access Identities (see TS 38.321 [3], clause 5.1.1a).</w:t>
            </w:r>
          </w:p>
        </w:tc>
      </w:tr>
      <w:tr w:rsidR="005C7FF4" w:rsidRPr="00FA0D37"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FA0D37" w:rsidRDefault="00394471" w:rsidP="00964CC4">
            <w:pPr>
              <w:pStyle w:val="TAL"/>
              <w:rPr>
                <w:b/>
                <w:bCs/>
                <w:i/>
                <w:szCs w:val="22"/>
                <w:lang w:eastAsia="en-GB"/>
              </w:rPr>
            </w:pPr>
            <w:r w:rsidRPr="00FA0D37">
              <w:rPr>
                <w:b/>
                <w:bCs/>
                <w:i/>
                <w:szCs w:val="22"/>
                <w:lang w:eastAsia="en-GB"/>
              </w:rPr>
              <w:t>ra-PrioritizationForAI</w:t>
            </w:r>
          </w:p>
          <w:p w14:paraId="26AA51C9" w14:textId="77777777" w:rsidR="00394471" w:rsidRPr="00FA0D37" w:rsidRDefault="00394471" w:rsidP="00964CC4">
            <w:pPr>
              <w:pStyle w:val="TAL"/>
              <w:rPr>
                <w:b/>
                <w:i/>
                <w:szCs w:val="22"/>
                <w:lang w:eastAsia="sv-SE"/>
              </w:rPr>
            </w:pPr>
            <w:r w:rsidRPr="00FA0D37">
              <w:rPr>
                <w:szCs w:val="22"/>
                <w:lang w:eastAsia="en-GB"/>
              </w:rPr>
              <w:t xml:space="preserve">Indicates whether the field </w:t>
            </w:r>
            <w:r w:rsidRPr="00FA0D37">
              <w:rPr>
                <w:i/>
                <w:szCs w:val="22"/>
                <w:lang w:eastAsia="en-GB"/>
              </w:rPr>
              <w:t xml:space="preserve">ra-Prioritization-r16 </w:t>
            </w:r>
            <w:r w:rsidRPr="00FA0D37">
              <w:rPr>
                <w:szCs w:val="22"/>
                <w:lang w:eastAsia="en-GB"/>
              </w:rPr>
              <w:t xml:space="preserve">applies for Access Identities. The first/leftmost bit corresponds to Access Identity 1, the next bit corresponds to Access Identity 2. Value 1 indicates that the field </w:t>
            </w:r>
            <w:r w:rsidRPr="00FA0D37">
              <w:rPr>
                <w:i/>
                <w:szCs w:val="22"/>
                <w:lang w:eastAsia="en-GB"/>
              </w:rPr>
              <w:t>ra-Prioritization-r16</w:t>
            </w:r>
            <w:r w:rsidRPr="00FA0D37">
              <w:rPr>
                <w:szCs w:val="22"/>
                <w:lang w:eastAsia="en-GB"/>
              </w:rPr>
              <w:t xml:space="preserve"> applies otherwise the field does not apply (see TS 23.501 [32]).</w:t>
            </w:r>
          </w:p>
        </w:tc>
      </w:tr>
      <w:tr w:rsidR="005C7FF4" w:rsidRPr="00FA0D37"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FA0D37" w:rsidRDefault="008E5FFC" w:rsidP="008E5FFC">
            <w:pPr>
              <w:pStyle w:val="TAL"/>
              <w:rPr>
                <w:b/>
                <w:bCs/>
                <w:i/>
                <w:szCs w:val="22"/>
                <w:lang w:eastAsia="en-GB"/>
              </w:rPr>
            </w:pPr>
            <w:r w:rsidRPr="00FA0D37">
              <w:rPr>
                <w:b/>
                <w:bCs/>
                <w:i/>
                <w:szCs w:val="22"/>
                <w:lang w:eastAsia="en-GB"/>
              </w:rPr>
              <w:t>ra-PrioritizationForSlicing</w:t>
            </w:r>
          </w:p>
          <w:p w14:paraId="2B1D60F1" w14:textId="61FFFF12" w:rsidR="008E5FFC" w:rsidRPr="00FA0D37" w:rsidRDefault="008E5FFC" w:rsidP="008E5FFC">
            <w:pPr>
              <w:pStyle w:val="TAL"/>
              <w:rPr>
                <w:b/>
                <w:bCs/>
                <w:i/>
                <w:szCs w:val="22"/>
                <w:lang w:eastAsia="en-GB"/>
              </w:rPr>
            </w:pPr>
            <w:r w:rsidRPr="00FA0D37">
              <w:rPr>
                <w:szCs w:val="22"/>
                <w:lang w:eastAsia="en-GB"/>
              </w:rPr>
              <w:t>Parameters which apply to configure prioritized CBRA 4-step random access type for slicing.</w:t>
            </w:r>
          </w:p>
        </w:tc>
      </w:tr>
      <w:tr w:rsidR="005C7FF4" w:rsidRPr="00FA0D37"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FA0D37" w:rsidRDefault="00394471" w:rsidP="00964CC4">
            <w:pPr>
              <w:pStyle w:val="TAL"/>
              <w:rPr>
                <w:szCs w:val="22"/>
                <w:lang w:eastAsia="sv-SE"/>
              </w:rPr>
            </w:pPr>
            <w:r w:rsidRPr="00FA0D37">
              <w:rPr>
                <w:b/>
                <w:i/>
                <w:szCs w:val="22"/>
                <w:lang w:eastAsia="sv-SE"/>
              </w:rPr>
              <w:t>rach-ConfigGeneric</w:t>
            </w:r>
          </w:p>
          <w:p w14:paraId="361B6FE8" w14:textId="77777777" w:rsidR="00394471" w:rsidRPr="00FA0D37" w:rsidRDefault="00394471" w:rsidP="00964CC4">
            <w:pPr>
              <w:pStyle w:val="TAL"/>
              <w:rPr>
                <w:szCs w:val="22"/>
                <w:lang w:eastAsia="sv-SE"/>
              </w:rPr>
            </w:pPr>
            <w:r w:rsidRPr="00FA0D37">
              <w:rPr>
                <w:lang w:eastAsia="sv-SE"/>
              </w:rPr>
              <w:t>RACH parameters for both regular random access and beam failure recovery</w:t>
            </w:r>
            <w:r w:rsidRPr="00FA0D37">
              <w:rPr>
                <w:szCs w:val="22"/>
                <w:lang w:eastAsia="sv-SE"/>
              </w:rPr>
              <w:t>.</w:t>
            </w:r>
          </w:p>
        </w:tc>
      </w:tr>
      <w:tr w:rsidR="005C7FF4" w:rsidRPr="00FA0D37"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FA0D37" w:rsidRDefault="00394471" w:rsidP="00964CC4">
            <w:pPr>
              <w:pStyle w:val="TAL"/>
              <w:rPr>
                <w:szCs w:val="22"/>
                <w:lang w:eastAsia="sv-SE"/>
              </w:rPr>
            </w:pPr>
            <w:r w:rsidRPr="00FA0D37">
              <w:rPr>
                <w:b/>
                <w:i/>
                <w:szCs w:val="22"/>
                <w:lang w:eastAsia="sv-SE"/>
              </w:rPr>
              <w:lastRenderedPageBreak/>
              <w:t>restrictedSetConfig</w:t>
            </w:r>
          </w:p>
          <w:p w14:paraId="3EBE76B8" w14:textId="77777777" w:rsidR="00394471" w:rsidRPr="00FA0D37" w:rsidRDefault="00394471" w:rsidP="00964CC4">
            <w:pPr>
              <w:pStyle w:val="TAL"/>
              <w:rPr>
                <w:szCs w:val="22"/>
                <w:lang w:eastAsia="sv-SE"/>
              </w:rPr>
            </w:pPr>
            <w:r w:rsidRPr="00FA0D37">
              <w:rPr>
                <w:szCs w:val="22"/>
                <w:lang w:eastAsia="sv-SE"/>
              </w:rPr>
              <w:t>Configuration of an unrestricted set or one of two types of restricted sets, see TS 38.211 [16], clause 6.3.3.1.</w:t>
            </w:r>
          </w:p>
        </w:tc>
      </w:tr>
      <w:tr w:rsidR="005C7FF4" w:rsidRPr="00FA0D37"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FA0D37" w:rsidRDefault="00394471" w:rsidP="00964CC4">
            <w:pPr>
              <w:pStyle w:val="TAL"/>
              <w:rPr>
                <w:szCs w:val="22"/>
                <w:lang w:eastAsia="sv-SE"/>
              </w:rPr>
            </w:pPr>
            <w:r w:rsidRPr="00FA0D37">
              <w:rPr>
                <w:b/>
                <w:i/>
                <w:szCs w:val="22"/>
                <w:lang w:eastAsia="sv-SE"/>
              </w:rPr>
              <w:t>rsrp-ThresholdSSB</w:t>
            </w:r>
          </w:p>
          <w:p w14:paraId="3CD909B9" w14:textId="77777777" w:rsidR="00394471" w:rsidRPr="00FA0D37" w:rsidRDefault="00394471" w:rsidP="00964CC4">
            <w:pPr>
              <w:pStyle w:val="TAL"/>
              <w:rPr>
                <w:b/>
                <w:i/>
                <w:szCs w:val="22"/>
                <w:lang w:eastAsia="sv-SE"/>
              </w:rPr>
            </w:pPr>
            <w:r w:rsidRPr="00FA0D37">
              <w:rPr>
                <w:szCs w:val="22"/>
                <w:lang w:eastAsia="sv-SE"/>
              </w:rPr>
              <w:t>UE may select the SS block and corresponding PRACH resource for path-loss estimation and (re)transmission based on SS blocks that satisfy the threshold (see TS 38.213 [13]).</w:t>
            </w:r>
          </w:p>
        </w:tc>
      </w:tr>
      <w:tr w:rsidR="005C7FF4" w:rsidRPr="00FA0D37"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FA0D37" w:rsidRDefault="00394471" w:rsidP="00964CC4">
            <w:pPr>
              <w:pStyle w:val="TAL"/>
              <w:rPr>
                <w:szCs w:val="22"/>
                <w:lang w:eastAsia="sv-SE"/>
              </w:rPr>
            </w:pPr>
            <w:r w:rsidRPr="00FA0D37">
              <w:rPr>
                <w:b/>
                <w:i/>
                <w:szCs w:val="22"/>
                <w:lang w:eastAsia="sv-SE"/>
              </w:rPr>
              <w:t>rsrp-ThresholdSSB-SUL</w:t>
            </w:r>
          </w:p>
          <w:p w14:paraId="4B51BD83" w14:textId="778FAE42" w:rsidR="00394471" w:rsidRPr="00FA0D37" w:rsidRDefault="00394471" w:rsidP="00964CC4">
            <w:pPr>
              <w:pStyle w:val="TAL"/>
              <w:rPr>
                <w:szCs w:val="22"/>
                <w:lang w:eastAsia="sv-SE"/>
              </w:rPr>
            </w:pPr>
            <w:r w:rsidRPr="00FA0D37">
              <w:rPr>
                <w:szCs w:val="22"/>
                <w:lang w:eastAsia="sv-SE"/>
              </w:rPr>
              <w:t>The UE selects SUL carrier to perform random access based on this threshold (see TS 38.321 [3], clause 5.1.1). The value applies to all the BWPs</w:t>
            </w:r>
            <w:r w:rsidR="0071669F" w:rsidRPr="00FA0D37">
              <w:rPr>
                <w:szCs w:val="22"/>
                <w:lang w:eastAsia="sv-SE"/>
              </w:rPr>
              <w:t xml:space="preserve"> and all RACH configurations</w:t>
            </w:r>
            <w:r w:rsidRPr="00FA0D37">
              <w:rPr>
                <w:szCs w:val="22"/>
                <w:lang w:eastAsia="sv-SE"/>
              </w:rPr>
              <w:t>.</w:t>
            </w:r>
          </w:p>
        </w:tc>
      </w:tr>
      <w:tr w:rsidR="005C7FF4" w:rsidRPr="00FA0D37"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FA0D37" w:rsidRDefault="00394471" w:rsidP="00964CC4">
            <w:pPr>
              <w:pStyle w:val="TAL"/>
              <w:rPr>
                <w:szCs w:val="22"/>
                <w:lang w:eastAsia="sv-SE"/>
              </w:rPr>
            </w:pPr>
            <w:r w:rsidRPr="00FA0D37">
              <w:rPr>
                <w:b/>
                <w:i/>
                <w:szCs w:val="22"/>
                <w:lang w:eastAsia="sv-SE"/>
              </w:rPr>
              <w:t>ssb-perRACH-OccasionAndCB-PreamblesPerSSB</w:t>
            </w:r>
          </w:p>
          <w:p w14:paraId="1735884B" w14:textId="77777777" w:rsidR="00394471" w:rsidRPr="00FA0D37" w:rsidRDefault="00394471" w:rsidP="00964CC4">
            <w:pPr>
              <w:pStyle w:val="TAL"/>
              <w:rPr>
                <w:szCs w:val="22"/>
                <w:lang w:eastAsia="sv-SE"/>
              </w:rPr>
            </w:pPr>
            <w:r w:rsidRPr="00FA0D37">
              <w:rPr>
                <w:szCs w:val="22"/>
                <w:lang w:eastAsia="sv-SE"/>
              </w:rPr>
              <w:t xml:space="preserve">The meaning of this field is twofold: the CHOICE conveys the information about the number of SSBs per RACH occasion. Value </w:t>
            </w:r>
            <w:r w:rsidRPr="00FA0D37">
              <w:rPr>
                <w:i/>
                <w:szCs w:val="22"/>
                <w:lang w:eastAsia="sv-SE"/>
              </w:rPr>
              <w:t>oneEighth</w:t>
            </w:r>
            <w:r w:rsidRPr="00FA0D37">
              <w:rPr>
                <w:szCs w:val="22"/>
                <w:lang w:eastAsia="sv-SE"/>
              </w:rPr>
              <w:t xml:space="preserve"> corresponds to one SSB associated with 8 RACH occasions, value </w:t>
            </w:r>
            <w:r w:rsidRPr="00FA0D37">
              <w:rPr>
                <w:i/>
                <w:szCs w:val="22"/>
                <w:lang w:eastAsia="sv-SE"/>
              </w:rPr>
              <w:t>oneFourth</w:t>
            </w:r>
            <w:r w:rsidRPr="00FA0D37">
              <w:rPr>
                <w:szCs w:val="22"/>
                <w:lang w:eastAsia="sv-SE"/>
              </w:rPr>
              <w:t xml:space="preserve"> corresponds to one SSB associated with 4 RACH occasions, and so on. The ENUMERATED part indicates the number of Contention Based preambles per SSB. Value </w:t>
            </w:r>
            <w:r w:rsidRPr="00FA0D37">
              <w:rPr>
                <w:i/>
                <w:szCs w:val="22"/>
                <w:lang w:eastAsia="sv-SE"/>
              </w:rPr>
              <w:t>n4</w:t>
            </w:r>
            <w:r w:rsidRPr="00FA0D37">
              <w:rPr>
                <w:szCs w:val="22"/>
                <w:lang w:eastAsia="sv-SE"/>
              </w:rPr>
              <w:t xml:space="preserve"> corresponds to 4 Contention Based preambles per SSB, value </w:t>
            </w:r>
            <w:r w:rsidRPr="00FA0D37">
              <w:rPr>
                <w:i/>
                <w:szCs w:val="22"/>
                <w:lang w:eastAsia="sv-SE"/>
              </w:rPr>
              <w:t>n8</w:t>
            </w:r>
            <w:r w:rsidRPr="00FA0D37">
              <w:rPr>
                <w:szCs w:val="22"/>
                <w:lang w:eastAsia="sv-SE"/>
              </w:rPr>
              <w:t xml:space="preserve"> corresponds to 8 Contention Based preambles per SSB, and so on. The total number of CB preambles in a RACH occasion is given by </w:t>
            </w:r>
            <w:r w:rsidRPr="00FA0D37">
              <w:rPr>
                <w:i/>
                <w:szCs w:val="22"/>
                <w:lang w:eastAsia="sv-SE"/>
              </w:rPr>
              <w:t>CB-preambles-per-SSB</w:t>
            </w:r>
            <w:r w:rsidRPr="00FA0D37">
              <w:rPr>
                <w:szCs w:val="22"/>
                <w:lang w:eastAsia="sv-SE"/>
              </w:rPr>
              <w:t xml:space="preserve"> * max(1, </w:t>
            </w:r>
            <w:r w:rsidRPr="00FA0D37">
              <w:rPr>
                <w:i/>
                <w:szCs w:val="22"/>
                <w:lang w:eastAsia="sv-SE"/>
              </w:rPr>
              <w:t>SSB-per-rach-occasion</w:t>
            </w:r>
            <w:r w:rsidRPr="00FA0D37">
              <w:rPr>
                <w:szCs w:val="22"/>
                <w:lang w:eastAsia="sv-SE"/>
              </w:rPr>
              <w:t>). See TS 38.213 [13].</w:t>
            </w:r>
          </w:p>
        </w:tc>
      </w:tr>
      <w:tr w:rsidR="00394471" w:rsidRPr="00FA0D37"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FA0D37" w:rsidRDefault="00394471" w:rsidP="00964CC4">
            <w:pPr>
              <w:pStyle w:val="TAL"/>
              <w:rPr>
                <w:szCs w:val="22"/>
                <w:lang w:eastAsia="sv-SE"/>
              </w:rPr>
            </w:pPr>
            <w:r w:rsidRPr="00FA0D37">
              <w:rPr>
                <w:b/>
                <w:i/>
                <w:szCs w:val="22"/>
                <w:lang w:eastAsia="sv-SE"/>
              </w:rPr>
              <w:t>totalNumberOfRA-Preambles</w:t>
            </w:r>
          </w:p>
          <w:p w14:paraId="402B8577" w14:textId="77777777" w:rsidR="00394471" w:rsidRPr="00FA0D37" w:rsidRDefault="00394471" w:rsidP="00964CC4">
            <w:pPr>
              <w:pStyle w:val="TAL"/>
              <w:rPr>
                <w:szCs w:val="22"/>
                <w:lang w:eastAsia="sv-SE"/>
              </w:rPr>
            </w:pPr>
            <w:r w:rsidRPr="00FA0D37">
              <w:rPr>
                <w:szCs w:val="22"/>
                <w:lang w:eastAsia="sv-SE"/>
              </w:rPr>
              <w:t xml:space="preserve">Total number of preambles used for contention based and contention free </w:t>
            </w:r>
            <w:r w:rsidRPr="00FA0D37">
              <w:rPr>
                <w:szCs w:val="22"/>
              </w:rPr>
              <w:t xml:space="preserve">4-step or 2-step </w:t>
            </w:r>
            <w:r w:rsidRPr="00FA0D37">
              <w:rPr>
                <w:szCs w:val="22"/>
                <w:lang w:eastAsia="sv-SE"/>
              </w:rPr>
              <w:t xml:space="preserve">random access in the RACH resources defined in </w:t>
            </w:r>
            <w:r w:rsidRPr="00FA0D37">
              <w:rPr>
                <w:i/>
                <w:szCs w:val="22"/>
                <w:lang w:eastAsia="sv-SE"/>
              </w:rPr>
              <w:t>RACH-ConfigCommon</w:t>
            </w:r>
            <w:r w:rsidRPr="00FA0D37">
              <w:rPr>
                <w:szCs w:val="22"/>
                <w:lang w:eastAsia="sv-SE"/>
              </w:rPr>
              <w:t xml:space="preserve">, excluding preambles used for other purposes (e.g. for SI request). If the field is absent, all 64 preambles are available for RA. The setting should be consistent with the setting of </w:t>
            </w:r>
            <w:r w:rsidRPr="00FA0D37">
              <w:rPr>
                <w:i/>
                <w:szCs w:val="22"/>
                <w:lang w:eastAsia="sv-SE"/>
              </w:rPr>
              <w:t>ssb-perRACH-OccasionAndCB-PreamblesPerSSB</w:t>
            </w:r>
            <w:r w:rsidRPr="00FA0D37">
              <w:rPr>
                <w:szCs w:val="22"/>
                <w:lang w:eastAsia="sv-SE"/>
              </w:rPr>
              <w:t>, i.e. it should be a multiple of the number of SSBs per RACH occasion.</w:t>
            </w:r>
          </w:p>
        </w:tc>
      </w:tr>
    </w:tbl>
    <w:p w14:paraId="40C52D2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FA0D37" w:rsidRDefault="00394471" w:rsidP="00964CC4">
            <w:pPr>
              <w:pStyle w:val="TAH"/>
              <w:rPr>
                <w:rFonts w:eastAsia="Calibri"/>
                <w:lang w:eastAsia="sv-SE"/>
              </w:rPr>
            </w:pPr>
            <w:r w:rsidRPr="00FA0D3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FA0D37" w:rsidRDefault="00394471" w:rsidP="00964CC4">
            <w:pPr>
              <w:pStyle w:val="TAH"/>
              <w:rPr>
                <w:rFonts w:eastAsia="Calibri"/>
                <w:lang w:eastAsia="sv-SE"/>
              </w:rPr>
            </w:pPr>
            <w:r w:rsidRPr="00FA0D37">
              <w:rPr>
                <w:rFonts w:eastAsia="Calibri"/>
                <w:lang w:eastAsia="sv-SE"/>
              </w:rPr>
              <w:t>Explanation</w:t>
            </w:r>
          </w:p>
        </w:tc>
      </w:tr>
      <w:tr w:rsidR="005C7FF4" w:rsidRPr="00FA0D37"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FA0D37" w:rsidRDefault="005D6B48" w:rsidP="0071565C">
            <w:pPr>
              <w:pStyle w:val="TAL"/>
              <w:rPr>
                <w:i/>
                <w:iCs/>
              </w:rPr>
            </w:pPr>
            <w:r w:rsidRPr="00FA0D3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2646B81C" w14:textId="5B2CA55C" w:rsidR="00314053" w:rsidRPr="00FA0D37" w:rsidRDefault="005D6B48" w:rsidP="0071565C">
            <w:pPr>
              <w:pStyle w:val="TAL"/>
            </w:pPr>
            <w:r w:rsidRPr="00FA0D37">
              <w:t xml:space="preserve">The field is mandatory present if the </w:t>
            </w:r>
            <w:r w:rsidRPr="00FA0D37">
              <w:rPr>
                <w:i/>
                <w:iCs/>
              </w:rPr>
              <w:t>RACH-ConfigCommon</w:t>
            </w:r>
            <w:r w:rsidRPr="00FA0D37">
              <w:t xml:space="preserve"> is included </w:t>
            </w:r>
            <w:r w:rsidRPr="00FA0D37">
              <w:rPr>
                <w:iCs/>
              </w:rPr>
              <w:t xml:space="preserve">in an </w:t>
            </w:r>
            <w:r w:rsidRPr="00FA0D37">
              <w:rPr>
                <w:i/>
                <w:iCs/>
              </w:rPr>
              <w:t>AdditionalRACH-Config</w:t>
            </w:r>
            <w:r w:rsidRPr="00FA0D37">
              <w:t xml:space="preserve">. </w:t>
            </w:r>
            <w:r w:rsidR="00314053" w:rsidRPr="00FA0D37">
              <w:t xml:space="preserve">When included in </w:t>
            </w:r>
            <w:r w:rsidR="00314053" w:rsidRPr="00FA0D37">
              <w:rPr>
                <w:i/>
                <w:iCs/>
              </w:rPr>
              <w:t>initialUplinkBWP-RedCap</w:t>
            </w:r>
            <w:r w:rsidR="00314053" w:rsidRPr="00FA0D37">
              <w:t xml:space="preserve"> to indicate other feature(s) than </w:t>
            </w:r>
            <w:r w:rsidR="00314053" w:rsidRPr="00FA0D37">
              <w:rPr>
                <w:i/>
                <w:iCs/>
              </w:rPr>
              <w:t xml:space="preserve">redcap, </w:t>
            </w:r>
            <w:r w:rsidR="00314053" w:rsidRPr="00FA0D37">
              <w:t xml:space="preserve">this field is mandatory present with at least two </w:t>
            </w:r>
            <w:r w:rsidR="00314053" w:rsidRPr="00FA0D37">
              <w:rPr>
                <w:i/>
                <w:iCs/>
              </w:rPr>
              <w:t xml:space="preserve">FeatureCombinationPreambles </w:t>
            </w:r>
            <w:r w:rsidR="00314053" w:rsidRPr="00FA0D37">
              <w:t xml:space="preserve">list entries: one list entry indicating only </w:t>
            </w:r>
            <w:r w:rsidR="00314053" w:rsidRPr="00FA0D37">
              <w:rPr>
                <w:i/>
                <w:iCs/>
              </w:rPr>
              <w:t>redcap</w:t>
            </w:r>
            <w:r w:rsidR="00314053" w:rsidRPr="00FA0D37">
              <w:t xml:space="preserve"> and the other(s) indicating both </w:t>
            </w:r>
            <w:r w:rsidR="00314053" w:rsidRPr="00FA0D37">
              <w:rPr>
                <w:i/>
                <w:iCs/>
              </w:rPr>
              <w:t>redcap</w:t>
            </w:r>
            <w:r w:rsidR="00314053" w:rsidRPr="00FA0D37">
              <w:t xml:space="preserve"> and one or multiple other feature(s) (e.g. </w:t>
            </w:r>
            <w:r w:rsidR="00314053" w:rsidRPr="00FA0D37">
              <w:rPr>
                <w:i/>
                <w:iCs/>
              </w:rPr>
              <w:t>smallData, nsag</w:t>
            </w:r>
            <w:r w:rsidR="00314053" w:rsidRPr="00FA0D37">
              <w:t xml:space="preserve"> or </w:t>
            </w:r>
            <w:r w:rsidR="00314053" w:rsidRPr="00FA0D37">
              <w:rPr>
                <w:i/>
                <w:iCs/>
              </w:rPr>
              <w:t>msg3-Repetitions</w:t>
            </w:r>
            <w:r w:rsidR="00314053" w:rsidRPr="00FA0D37">
              <w:t>).</w:t>
            </w:r>
          </w:p>
          <w:p w14:paraId="6E20EA92" w14:textId="7567B2E3" w:rsidR="005D6B48" w:rsidRPr="00FA0D37" w:rsidRDefault="005D6B48" w:rsidP="0071565C">
            <w:pPr>
              <w:pStyle w:val="TAL"/>
            </w:pPr>
            <w:r w:rsidRPr="00FA0D37">
              <w:t>Otherwise, it is optional, Need R.</w:t>
            </w:r>
          </w:p>
        </w:tc>
      </w:tr>
      <w:tr w:rsidR="005C7FF4" w:rsidRPr="00FA0D37"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FA0D37" w:rsidRDefault="00A251FC" w:rsidP="0071565C">
            <w:pPr>
              <w:pStyle w:val="TAL"/>
              <w:rPr>
                <w:i/>
                <w:iCs/>
              </w:rPr>
            </w:pPr>
            <w:r w:rsidRPr="00FA0D3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FA0D37" w:rsidRDefault="00A251FC" w:rsidP="0071565C">
            <w:pPr>
              <w:pStyle w:val="TAL"/>
              <w:rPr>
                <w:rFonts w:eastAsia="Calibri"/>
              </w:rPr>
            </w:pPr>
            <w:r w:rsidRPr="00FA0D37">
              <w:t>This field is optionally present, Need R, if this BWP is the initial BWP of SpCell. Otherwise, the field is absent.</w:t>
            </w:r>
          </w:p>
        </w:tc>
      </w:tr>
      <w:tr w:rsidR="005C7FF4" w:rsidRPr="00FA0D37"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FA0D37" w:rsidRDefault="00394471" w:rsidP="00964CC4">
            <w:pPr>
              <w:pStyle w:val="TAL"/>
              <w:rPr>
                <w:i/>
                <w:iCs/>
                <w:lang w:eastAsia="sv-SE"/>
              </w:rPr>
            </w:pPr>
            <w:r w:rsidRPr="00FA0D3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FA0D37" w:rsidRDefault="00394471" w:rsidP="00964CC4">
            <w:pPr>
              <w:pStyle w:val="TAL"/>
              <w:rPr>
                <w:rFonts w:eastAsia="Calibri"/>
                <w:lang w:eastAsia="sv-SE"/>
              </w:rPr>
            </w:pPr>
            <w:r w:rsidRPr="00FA0D37">
              <w:rPr>
                <w:rFonts w:eastAsia="Calibri"/>
                <w:lang w:eastAsia="sv-SE"/>
              </w:rPr>
              <w:t xml:space="preserve">The field is mandatory present if </w:t>
            </w:r>
            <w:r w:rsidRPr="00FA0D37">
              <w:rPr>
                <w:rFonts w:eastAsia="Calibri"/>
                <w:i/>
                <w:lang w:eastAsia="sv-SE"/>
              </w:rPr>
              <w:t>prach-RootSequenceIndex</w:t>
            </w:r>
            <w:r w:rsidRPr="00FA0D37">
              <w:rPr>
                <w:rFonts w:eastAsia="Calibri"/>
                <w:lang w:eastAsia="sv-SE"/>
              </w:rPr>
              <w:t xml:space="preserve"> L=139, otherwise the field is absent, Need S.</w:t>
            </w:r>
          </w:p>
        </w:tc>
      </w:tr>
      <w:tr w:rsidR="00F747EB" w:rsidRPr="00FA0D37"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FA0D37" w:rsidRDefault="00394471" w:rsidP="00964CC4">
            <w:pPr>
              <w:pStyle w:val="TAL"/>
              <w:rPr>
                <w:rFonts w:eastAsia="Calibri"/>
                <w:i/>
                <w:iCs/>
                <w:lang w:eastAsia="sv-SE"/>
              </w:rPr>
            </w:pPr>
            <w:r w:rsidRPr="00FA0D37">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76E5758D" w:rsidR="00394471" w:rsidRPr="00FA0D37" w:rsidRDefault="00394471" w:rsidP="00964CC4">
            <w:pPr>
              <w:pStyle w:val="TAL"/>
              <w:rPr>
                <w:rFonts w:eastAsia="宋体"/>
                <w:lang w:eastAsia="sv-SE"/>
              </w:rPr>
            </w:pPr>
            <w:r w:rsidRPr="00FA0D37">
              <w:rPr>
                <w:rFonts w:eastAsia="Calibri"/>
                <w:lang w:eastAsia="sv-SE"/>
              </w:rPr>
              <w:t>The field is mandatory present</w:t>
            </w:r>
            <w:r w:rsidRPr="00FA0D37">
              <w:rPr>
                <w:lang w:eastAsia="sv-SE"/>
              </w:rPr>
              <w:t xml:space="preserve"> </w:t>
            </w:r>
            <w:r w:rsidR="0071669F" w:rsidRPr="00FA0D37">
              <w:rPr>
                <w:rFonts w:cs="Arial"/>
                <w:szCs w:val="18"/>
                <w:lang w:eastAsia="zh-CN"/>
              </w:rPr>
              <w:t xml:space="preserve">in </w:t>
            </w:r>
            <w:r w:rsidR="0071669F" w:rsidRPr="00FA0D37">
              <w:rPr>
                <w:rFonts w:cs="Arial"/>
                <w:i/>
                <w:szCs w:val="18"/>
                <w:lang w:eastAsia="zh-CN"/>
              </w:rPr>
              <w:t>rach-ConfigCommon</w:t>
            </w:r>
            <w:r w:rsidR="0071669F" w:rsidRPr="00FA0D37">
              <w:rPr>
                <w:rFonts w:cs="Arial"/>
                <w:szCs w:val="18"/>
                <w:lang w:eastAsia="zh-CN"/>
              </w:rPr>
              <w:t xml:space="preserve"> </w:t>
            </w:r>
            <w:r w:rsidRPr="00FA0D37">
              <w:rPr>
                <w:lang w:eastAsia="sv-SE"/>
              </w:rPr>
              <w:t xml:space="preserve">in </w:t>
            </w:r>
            <w:r w:rsidRPr="00FA0D37">
              <w:rPr>
                <w:i/>
                <w:lang w:eastAsia="sv-SE"/>
              </w:rPr>
              <w:t>initialUplinkBWP</w:t>
            </w:r>
            <w:r w:rsidRPr="00FA0D37">
              <w:rPr>
                <w:lang w:eastAsia="sv-SE"/>
              </w:rPr>
              <w:t xml:space="preserve"> if </w:t>
            </w:r>
            <w:r w:rsidRPr="00FA0D37">
              <w:rPr>
                <w:i/>
                <w:lang w:eastAsia="sv-SE"/>
              </w:rPr>
              <w:t>supplementaryUplink</w:t>
            </w:r>
            <w:r w:rsidRPr="00FA0D37">
              <w:rPr>
                <w:iCs/>
                <w:lang w:eastAsia="sv-SE"/>
              </w:rPr>
              <w:t xml:space="preserve"> is configured in </w:t>
            </w:r>
            <w:r w:rsidRPr="00FA0D37">
              <w:rPr>
                <w:i/>
                <w:lang w:eastAsia="sv-SE"/>
              </w:rPr>
              <w:t>ServingCellConfigCommonSIB</w:t>
            </w:r>
            <w:r w:rsidRPr="00FA0D37">
              <w:rPr>
                <w:iCs/>
                <w:lang w:eastAsia="sv-SE"/>
              </w:rPr>
              <w:t xml:space="preserve"> or if </w:t>
            </w:r>
            <w:r w:rsidRPr="00FA0D37">
              <w:rPr>
                <w:i/>
                <w:lang w:eastAsia="sv-SE"/>
              </w:rPr>
              <w:t>supplementaryUplinkConfig</w:t>
            </w:r>
            <w:r w:rsidRPr="00FA0D37">
              <w:rPr>
                <w:iCs/>
                <w:lang w:eastAsia="sv-SE"/>
              </w:rPr>
              <w:t xml:space="preserve"> is configured in </w:t>
            </w:r>
            <w:r w:rsidRPr="00FA0D37">
              <w:rPr>
                <w:i/>
                <w:lang w:eastAsia="sv-SE"/>
              </w:rPr>
              <w:t>ServingCellConfigCommon</w:t>
            </w:r>
            <w:r w:rsidRPr="00FA0D37">
              <w:rPr>
                <w:lang w:eastAsia="sv-SE"/>
              </w:rPr>
              <w:t>; o</w:t>
            </w:r>
            <w:r w:rsidRPr="00FA0D37">
              <w:rPr>
                <w:rFonts w:eastAsia="Calibri"/>
                <w:lang w:eastAsia="sv-SE"/>
              </w:rPr>
              <w:t>therwise, the field is absent.</w:t>
            </w:r>
            <w:r w:rsidR="0071669F" w:rsidRPr="00FA0D37">
              <w:rPr>
                <w:rFonts w:eastAsia="Calibri"/>
                <w:lang w:eastAsia="sv-SE"/>
              </w:rPr>
              <w:t xml:space="preserve"> This field is not configured in </w:t>
            </w:r>
            <w:r w:rsidR="0071669F" w:rsidRPr="00FA0D37">
              <w:rPr>
                <w:rFonts w:eastAsia="Calibri"/>
                <w:i/>
                <w:lang w:eastAsia="sv-SE"/>
              </w:rPr>
              <w:t>additionalRACH-Config</w:t>
            </w:r>
            <w:r w:rsidR="0071669F" w:rsidRPr="00FA0D37">
              <w:rPr>
                <w:rFonts w:eastAsia="Calibri"/>
                <w:lang w:eastAsia="sv-SE"/>
              </w:rPr>
              <w:t>.</w:t>
            </w:r>
          </w:p>
        </w:tc>
      </w:tr>
    </w:tbl>
    <w:p w14:paraId="5465ADD7" w14:textId="77777777" w:rsidR="00394471" w:rsidRPr="00FA0D37" w:rsidRDefault="00394471" w:rsidP="00394471"/>
    <w:p w14:paraId="5BCAE686" w14:textId="77777777" w:rsidR="00394471" w:rsidRPr="00FA0D37" w:rsidRDefault="00394471" w:rsidP="00394471">
      <w:pPr>
        <w:pStyle w:val="4"/>
      </w:pPr>
      <w:bookmarkStart w:id="1282" w:name="_Toc60777333"/>
      <w:bookmarkStart w:id="1283" w:name="_Toc146781412"/>
      <w:r w:rsidRPr="00FA0D37">
        <w:t>–</w:t>
      </w:r>
      <w:r w:rsidRPr="00FA0D37">
        <w:tab/>
      </w:r>
      <w:r w:rsidRPr="00FA0D37">
        <w:rPr>
          <w:i/>
          <w:noProof/>
        </w:rPr>
        <w:t>RACH-ConfigCommonTwoStepRA</w:t>
      </w:r>
      <w:bookmarkEnd w:id="1282"/>
      <w:bookmarkEnd w:id="1283"/>
    </w:p>
    <w:p w14:paraId="11FA7F38" w14:textId="77777777" w:rsidR="00394471" w:rsidRPr="00FA0D37" w:rsidRDefault="00394471" w:rsidP="00394471">
      <w:r w:rsidRPr="00FA0D37">
        <w:t xml:space="preserve">The IE </w:t>
      </w:r>
      <w:r w:rsidRPr="00FA0D37">
        <w:rPr>
          <w:i/>
        </w:rPr>
        <w:t>RACH-ConfigCommonTwoStepRA</w:t>
      </w:r>
      <w:r w:rsidRPr="00FA0D37">
        <w:t xml:space="preserve"> is used to specify cell specific 2-step random-access type parameters.</w:t>
      </w:r>
    </w:p>
    <w:p w14:paraId="51EF4755" w14:textId="77777777" w:rsidR="00394471" w:rsidRPr="00FA0D37" w:rsidRDefault="00394471" w:rsidP="00394471">
      <w:pPr>
        <w:pStyle w:val="TH"/>
      </w:pPr>
      <w:r w:rsidRPr="00FA0D37">
        <w:rPr>
          <w:bCs/>
          <w:i/>
          <w:iCs/>
        </w:rPr>
        <w:t>RACH-ConfigCommonTwoStepRA</w:t>
      </w:r>
      <w:r w:rsidRPr="00FA0D37">
        <w:t xml:space="preserve"> information element</w:t>
      </w:r>
    </w:p>
    <w:p w14:paraId="6390665D" w14:textId="77777777" w:rsidR="00394471" w:rsidRPr="00FA0D37" w:rsidRDefault="00394471" w:rsidP="00FA0D37">
      <w:pPr>
        <w:pStyle w:val="PL"/>
        <w:rPr>
          <w:color w:val="808080"/>
        </w:rPr>
      </w:pPr>
      <w:r w:rsidRPr="00FA0D37">
        <w:rPr>
          <w:color w:val="808080"/>
        </w:rPr>
        <w:t>-- ASN1START</w:t>
      </w:r>
    </w:p>
    <w:p w14:paraId="35B3D980" w14:textId="77777777" w:rsidR="00394471" w:rsidRPr="00FA0D37" w:rsidRDefault="00394471" w:rsidP="00FA0D37">
      <w:pPr>
        <w:pStyle w:val="PL"/>
        <w:rPr>
          <w:color w:val="808080"/>
        </w:rPr>
      </w:pPr>
      <w:r w:rsidRPr="00FA0D37">
        <w:rPr>
          <w:color w:val="808080"/>
        </w:rPr>
        <w:t>-- TAG-RACH-CONFIGCOMMONTWOSTEPRA-START</w:t>
      </w:r>
    </w:p>
    <w:p w14:paraId="4FABC390" w14:textId="77777777" w:rsidR="00394471" w:rsidRPr="00FA0D37" w:rsidRDefault="00394471" w:rsidP="00FA0D37">
      <w:pPr>
        <w:pStyle w:val="PL"/>
      </w:pPr>
    </w:p>
    <w:p w14:paraId="0B7A50C5" w14:textId="77777777" w:rsidR="00394471" w:rsidRPr="00FA0D37" w:rsidRDefault="00394471" w:rsidP="00FA0D37">
      <w:pPr>
        <w:pStyle w:val="PL"/>
      </w:pPr>
      <w:r w:rsidRPr="00FA0D37">
        <w:t xml:space="preserve">RACH-ConfigCommonTwoStepRA-r16 ::=                   </w:t>
      </w:r>
      <w:r w:rsidRPr="00FA0D37">
        <w:rPr>
          <w:color w:val="993366"/>
        </w:rPr>
        <w:t>SEQUENCE</w:t>
      </w:r>
      <w:r w:rsidRPr="00FA0D37">
        <w:t xml:space="preserve"> {</w:t>
      </w:r>
    </w:p>
    <w:p w14:paraId="6E7946CB" w14:textId="77777777" w:rsidR="00394471" w:rsidRPr="00FA0D37" w:rsidRDefault="00394471" w:rsidP="00FA0D37">
      <w:pPr>
        <w:pStyle w:val="PL"/>
      </w:pPr>
      <w:r w:rsidRPr="00FA0D37">
        <w:t xml:space="preserve">    rach-ConfigGenericTwoStepRA-r16                      RACH-ConfigGenericTwoStepRA-r16,</w:t>
      </w:r>
    </w:p>
    <w:p w14:paraId="3D9DC08C" w14:textId="77777777" w:rsidR="00394471" w:rsidRPr="00FA0D37" w:rsidRDefault="00394471" w:rsidP="00FA0D37">
      <w:pPr>
        <w:pStyle w:val="PL"/>
        <w:rPr>
          <w:color w:val="808080"/>
        </w:rPr>
      </w:pPr>
      <w:r w:rsidRPr="00FA0D37">
        <w:t xml:space="preserve">    msgA-TotalNumberOfRA-Preambles-r16                   </w:t>
      </w:r>
      <w:r w:rsidRPr="00FA0D37">
        <w:rPr>
          <w:color w:val="993366"/>
        </w:rPr>
        <w:t>INTEGER</w:t>
      </w:r>
      <w:r w:rsidRPr="00FA0D37">
        <w:t xml:space="preserve"> (1..63)                                    </w:t>
      </w:r>
      <w:r w:rsidRPr="00FA0D37">
        <w:rPr>
          <w:color w:val="993366"/>
        </w:rPr>
        <w:t>OPTIONAL</w:t>
      </w:r>
      <w:r w:rsidRPr="00FA0D37">
        <w:t xml:space="preserve">, </w:t>
      </w:r>
      <w:r w:rsidRPr="00FA0D37">
        <w:rPr>
          <w:color w:val="808080"/>
        </w:rPr>
        <w:t>-- Need S</w:t>
      </w:r>
    </w:p>
    <w:p w14:paraId="67F09CCA" w14:textId="77777777" w:rsidR="00394471" w:rsidRPr="00FA0D37" w:rsidRDefault="00394471" w:rsidP="00FA0D37">
      <w:pPr>
        <w:pStyle w:val="PL"/>
      </w:pPr>
      <w:r w:rsidRPr="00FA0D37">
        <w:t xml:space="preserve">    msgA-SSB-PerRACH-OccasionAndCB-PreamblesPerSSB-r16   </w:t>
      </w:r>
      <w:r w:rsidRPr="00FA0D37">
        <w:rPr>
          <w:color w:val="993366"/>
        </w:rPr>
        <w:t>CHOICE</w:t>
      </w:r>
      <w:r w:rsidRPr="00FA0D37">
        <w:t xml:space="preserve"> {</w:t>
      </w:r>
    </w:p>
    <w:p w14:paraId="14BBDABC" w14:textId="77777777" w:rsidR="00394471" w:rsidRPr="00FA0D37" w:rsidRDefault="00394471" w:rsidP="00FA0D37">
      <w:pPr>
        <w:pStyle w:val="PL"/>
      </w:pPr>
      <w:r w:rsidRPr="00FA0D37">
        <w:lastRenderedPageBreak/>
        <w:t xml:space="preserve">        oneEighth                                            </w:t>
      </w:r>
      <w:r w:rsidRPr="00FA0D37">
        <w:rPr>
          <w:color w:val="993366"/>
        </w:rPr>
        <w:t>ENUMERATED</w:t>
      </w:r>
      <w:r w:rsidRPr="00FA0D37">
        <w:t xml:space="preserve"> {n4,n8,n12,n16,n20,n24,n28,n32,n36,n40,n44,n48,n52,n56,n60,n64},</w:t>
      </w:r>
    </w:p>
    <w:p w14:paraId="05C3209D" w14:textId="77777777" w:rsidR="00394471" w:rsidRPr="00FA0D37" w:rsidRDefault="00394471" w:rsidP="00FA0D37">
      <w:pPr>
        <w:pStyle w:val="PL"/>
      </w:pPr>
      <w:r w:rsidRPr="00FA0D37">
        <w:t xml:space="preserve">        oneFourth                                            </w:t>
      </w:r>
      <w:r w:rsidRPr="00FA0D37">
        <w:rPr>
          <w:color w:val="993366"/>
        </w:rPr>
        <w:t>ENUMERATED</w:t>
      </w:r>
      <w:r w:rsidRPr="00FA0D37">
        <w:t xml:space="preserve"> {n4,n8,n12,n16,n20,n24,n28,n32,n36,n40,n44,n48,n52,n56,n60,n64},</w:t>
      </w:r>
    </w:p>
    <w:p w14:paraId="29C6D0FF" w14:textId="77777777" w:rsidR="00394471" w:rsidRPr="00FA0D37" w:rsidRDefault="00394471" w:rsidP="00FA0D37">
      <w:pPr>
        <w:pStyle w:val="PL"/>
      </w:pPr>
      <w:r w:rsidRPr="00FA0D37">
        <w:t xml:space="preserve">        oneHalf                                              </w:t>
      </w:r>
      <w:r w:rsidRPr="00FA0D37">
        <w:rPr>
          <w:color w:val="993366"/>
        </w:rPr>
        <w:t>ENUMERATED</w:t>
      </w:r>
      <w:r w:rsidRPr="00FA0D37">
        <w:t xml:space="preserve"> {n4,n8,n12,n16,n20,n24,n28,n32,n36,n40,n44,n48,n52,n56,n60,n64},</w:t>
      </w:r>
    </w:p>
    <w:p w14:paraId="4B4C95B0" w14:textId="77777777" w:rsidR="00394471" w:rsidRPr="00FA0D37" w:rsidRDefault="00394471" w:rsidP="00FA0D37">
      <w:pPr>
        <w:pStyle w:val="PL"/>
      </w:pPr>
      <w:r w:rsidRPr="00FA0D37">
        <w:t xml:space="preserve">        one                                                  </w:t>
      </w:r>
      <w:r w:rsidRPr="00FA0D37">
        <w:rPr>
          <w:color w:val="993366"/>
        </w:rPr>
        <w:t>ENUMERATED</w:t>
      </w:r>
      <w:r w:rsidRPr="00FA0D37">
        <w:t xml:space="preserve"> {n4,n8,n12,n16,n20,n24,n28,n32,n36,n40,n44,n48,n52,n56,n60,n64},</w:t>
      </w:r>
    </w:p>
    <w:p w14:paraId="54174C9D" w14:textId="77777777" w:rsidR="00394471" w:rsidRPr="00FA0D37" w:rsidRDefault="00394471" w:rsidP="00FA0D37">
      <w:pPr>
        <w:pStyle w:val="PL"/>
      </w:pPr>
      <w:r w:rsidRPr="00FA0D37">
        <w:t xml:space="preserve">        two                                                  </w:t>
      </w:r>
      <w:r w:rsidRPr="00FA0D37">
        <w:rPr>
          <w:color w:val="993366"/>
        </w:rPr>
        <w:t>ENUMERATED</w:t>
      </w:r>
      <w:r w:rsidRPr="00FA0D37">
        <w:t xml:space="preserve"> {n4,n8,n12,n16,n20,n24,n28,n32},</w:t>
      </w:r>
    </w:p>
    <w:p w14:paraId="1CE30E69" w14:textId="77777777" w:rsidR="00394471" w:rsidRPr="00FA0D37" w:rsidRDefault="00394471" w:rsidP="00FA0D37">
      <w:pPr>
        <w:pStyle w:val="PL"/>
      </w:pPr>
      <w:r w:rsidRPr="00FA0D37">
        <w:t xml:space="preserve">        four                                                 </w:t>
      </w:r>
      <w:r w:rsidRPr="00FA0D37">
        <w:rPr>
          <w:color w:val="993366"/>
        </w:rPr>
        <w:t>INTEGER</w:t>
      </w:r>
      <w:r w:rsidRPr="00FA0D37">
        <w:t xml:space="preserve"> (1..16),</w:t>
      </w:r>
    </w:p>
    <w:p w14:paraId="4DAC90C9" w14:textId="77777777" w:rsidR="00394471" w:rsidRPr="00FA0D37" w:rsidRDefault="00394471" w:rsidP="00FA0D37">
      <w:pPr>
        <w:pStyle w:val="PL"/>
      </w:pPr>
      <w:r w:rsidRPr="00FA0D37">
        <w:t xml:space="preserve">        eight                                                </w:t>
      </w:r>
      <w:r w:rsidRPr="00FA0D37">
        <w:rPr>
          <w:color w:val="993366"/>
        </w:rPr>
        <w:t>INTEGER</w:t>
      </w:r>
      <w:r w:rsidRPr="00FA0D37">
        <w:t xml:space="preserve"> (1..8),</w:t>
      </w:r>
    </w:p>
    <w:p w14:paraId="703B4329" w14:textId="77777777" w:rsidR="00394471" w:rsidRPr="00FA0D37" w:rsidRDefault="00394471" w:rsidP="00FA0D37">
      <w:pPr>
        <w:pStyle w:val="PL"/>
      </w:pPr>
      <w:r w:rsidRPr="00FA0D37">
        <w:t xml:space="preserve">        sixteen                                              </w:t>
      </w:r>
      <w:r w:rsidRPr="00FA0D37">
        <w:rPr>
          <w:color w:val="993366"/>
        </w:rPr>
        <w:t>INTEGER</w:t>
      </w:r>
      <w:r w:rsidRPr="00FA0D37">
        <w:t xml:space="preserve"> (1..4)</w:t>
      </w:r>
    </w:p>
    <w:p w14:paraId="2C8C7B6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2StepOnly</w:t>
      </w:r>
    </w:p>
    <w:p w14:paraId="2467BE12" w14:textId="77777777" w:rsidR="00394471" w:rsidRPr="00FA0D37" w:rsidRDefault="00394471" w:rsidP="00FA0D37">
      <w:pPr>
        <w:pStyle w:val="PL"/>
        <w:rPr>
          <w:color w:val="808080"/>
        </w:rPr>
      </w:pPr>
      <w:r w:rsidRPr="00FA0D37">
        <w:t xml:space="preserve">    msgA-CB-PreamblesPerSSB-PerSharedRO-r16              </w:t>
      </w:r>
      <w:r w:rsidRPr="00FA0D37">
        <w:rPr>
          <w:color w:val="993366"/>
        </w:rPr>
        <w:t>INTEGER</w:t>
      </w:r>
      <w:r w:rsidRPr="00FA0D37">
        <w:t xml:space="preserve"> (1..60)                                                </w:t>
      </w:r>
      <w:r w:rsidRPr="00FA0D37">
        <w:rPr>
          <w:color w:val="993366"/>
        </w:rPr>
        <w:t>OPTIONAL</w:t>
      </w:r>
      <w:r w:rsidRPr="00FA0D37">
        <w:t xml:space="preserve">, </w:t>
      </w:r>
      <w:r w:rsidRPr="00FA0D37">
        <w:rPr>
          <w:color w:val="808080"/>
        </w:rPr>
        <w:t>-- Cond SharedRO</w:t>
      </w:r>
    </w:p>
    <w:p w14:paraId="3AF3783B" w14:textId="77777777" w:rsidR="00394471" w:rsidRPr="00FA0D37" w:rsidRDefault="00394471" w:rsidP="00FA0D37">
      <w:pPr>
        <w:pStyle w:val="PL"/>
        <w:rPr>
          <w:color w:val="808080"/>
        </w:rPr>
      </w:pPr>
      <w:r w:rsidRPr="00FA0D37">
        <w:t xml:space="preserve">    msgA-SSB-SharedRO-MaskIndex-r16                      </w:t>
      </w:r>
      <w:r w:rsidRPr="00FA0D37">
        <w:rPr>
          <w:color w:val="993366"/>
        </w:rPr>
        <w:t>INTEGER</w:t>
      </w:r>
      <w:r w:rsidRPr="00FA0D37">
        <w:t xml:space="preserve"> (1..15)                                                </w:t>
      </w:r>
      <w:r w:rsidRPr="00FA0D37">
        <w:rPr>
          <w:color w:val="993366"/>
        </w:rPr>
        <w:t>OPTIONAL</w:t>
      </w:r>
      <w:r w:rsidRPr="00FA0D37">
        <w:t xml:space="preserve">, </w:t>
      </w:r>
      <w:r w:rsidRPr="00FA0D37">
        <w:rPr>
          <w:color w:val="808080"/>
        </w:rPr>
        <w:t>-- Need S</w:t>
      </w:r>
    </w:p>
    <w:p w14:paraId="2958320C" w14:textId="77777777" w:rsidR="00394471" w:rsidRPr="00FA0D37" w:rsidRDefault="00394471" w:rsidP="00FA0D37">
      <w:pPr>
        <w:pStyle w:val="PL"/>
        <w:rPr>
          <w:color w:val="808080"/>
        </w:rPr>
      </w:pPr>
      <w:r w:rsidRPr="00FA0D37">
        <w:t xml:space="preserve">    groupB-ConfiguredTwoStepRA-r16                       GroupB-ConfiguredTwoStepRA-r16                                 </w:t>
      </w:r>
      <w:r w:rsidRPr="00FA0D37">
        <w:rPr>
          <w:color w:val="993366"/>
        </w:rPr>
        <w:t>OPTIONAL</w:t>
      </w:r>
      <w:r w:rsidRPr="00FA0D37">
        <w:t xml:space="preserve">, </w:t>
      </w:r>
      <w:r w:rsidRPr="00FA0D37">
        <w:rPr>
          <w:color w:val="808080"/>
        </w:rPr>
        <w:t>-- Need S</w:t>
      </w:r>
    </w:p>
    <w:p w14:paraId="3784BC32" w14:textId="77777777" w:rsidR="00394471" w:rsidRPr="00FA0D37" w:rsidRDefault="00394471" w:rsidP="00FA0D37">
      <w:pPr>
        <w:pStyle w:val="PL"/>
      </w:pPr>
      <w:r w:rsidRPr="00FA0D37">
        <w:t xml:space="preserve">    msgA-PRACH-RootSequenceIndex-r16                     </w:t>
      </w:r>
      <w:r w:rsidRPr="00FA0D37">
        <w:rPr>
          <w:color w:val="993366"/>
        </w:rPr>
        <w:t>CHOICE</w:t>
      </w:r>
      <w:r w:rsidRPr="00FA0D37">
        <w:t xml:space="preserve"> {</w:t>
      </w:r>
    </w:p>
    <w:p w14:paraId="7A3488BA" w14:textId="77777777" w:rsidR="00394471" w:rsidRPr="00FA0D37" w:rsidRDefault="00394471" w:rsidP="00FA0D37">
      <w:pPr>
        <w:pStyle w:val="PL"/>
      </w:pPr>
      <w:r w:rsidRPr="00FA0D37">
        <w:t xml:space="preserve">        l839                                                 </w:t>
      </w:r>
      <w:r w:rsidRPr="00FA0D37">
        <w:rPr>
          <w:color w:val="993366"/>
        </w:rPr>
        <w:t>INTEGER</w:t>
      </w:r>
      <w:r w:rsidRPr="00FA0D37">
        <w:t xml:space="preserve"> (0..837),</w:t>
      </w:r>
    </w:p>
    <w:p w14:paraId="4C6E3B1C" w14:textId="77777777" w:rsidR="00394471" w:rsidRPr="00FA0D37" w:rsidRDefault="00394471" w:rsidP="00FA0D37">
      <w:pPr>
        <w:pStyle w:val="PL"/>
      </w:pPr>
      <w:r w:rsidRPr="00FA0D37">
        <w:t xml:space="preserve">        l139                                                 </w:t>
      </w:r>
      <w:r w:rsidRPr="00FA0D37">
        <w:rPr>
          <w:color w:val="993366"/>
        </w:rPr>
        <w:t>INTEGER</w:t>
      </w:r>
      <w:r w:rsidRPr="00FA0D37">
        <w:t xml:space="preserve"> (0..137),</w:t>
      </w:r>
    </w:p>
    <w:p w14:paraId="3BDE7E9C" w14:textId="77777777" w:rsidR="00394471" w:rsidRPr="00FA0D37" w:rsidRDefault="00394471" w:rsidP="00FA0D37">
      <w:pPr>
        <w:pStyle w:val="PL"/>
      </w:pPr>
      <w:r w:rsidRPr="00FA0D37">
        <w:t xml:space="preserve">        l571                                                 </w:t>
      </w:r>
      <w:r w:rsidRPr="00FA0D37">
        <w:rPr>
          <w:color w:val="993366"/>
        </w:rPr>
        <w:t>INTEGER</w:t>
      </w:r>
      <w:r w:rsidRPr="00FA0D37">
        <w:t xml:space="preserve"> (0..569),</w:t>
      </w:r>
    </w:p>
    <w:p w14:paraId="61ABED8D" w14:textId="77777777" w:rsidR="00394471" w:rsidRPr="00FA0D37" w:rsidRDefault="00394471" w:rsidP="00FA0D37">
      <w:pPr>
        <w:pStyle w:val="PL"/>
      </w:pPr>
      <w:r w:rsidRPr="00FA0D37">
        <w:t xml:space="preserve">        l1151                                                </w:t>
      </w:r>
      <w:r w:rsidRPr="00FA0D37">
        <w:rPr>
          <w:color w:val="993366"/>
        </w:rPr>
        <w:t>INTEGER</w:t>
      </w:r>
      <w:r w:rsidRPr="00FA0D37">
        <w:t xml:space="preserve"> (0..1149)</w:t>
      </w:r>
    </w:p>
    <w:p w14:paraId="1BC533FC"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2StepOnly</w:t>
      </w:r>
    </w:p>
    <w:p w14:paraId="77680463" w14:textId="77777777" w:rsidR="00394471" w:rsidRPr="00FA0D37" w:rsidRDefault="00394471" w:rsidP="00FA0D37">
      <w:pPr>
        <w:pStyle w:val="PL"/>
        <w:rPr>
          <w:color w:val="808080"/>
        </w:rPr>
      </w:pPr>
      <w:r w:rsidRPr="00FA0D37">
        <w:t xml:space="preserve">    msgA-TransMax-r16                                    </w:t>
      </w:r>
      <w:r w:rsidRPr="00FA0D37">
        <w:rPr>
          <w:color w:val="993366"/>
        </w:rPr>
        <w:t>ENUMERATED</w:t>
      </w:r>
      <w:r w:rsidRPr="00FA0D37">
        <w:t xml:space="preserve"> {n1, n2, n4, n6, n8, n10, n20, n50, n100, n200}     </w:t>
      </w:r>
      <w:r w:rsidRPr="00FA0D37">
        <w:rPr>
          <w:color w:val="993366"/>
        </w:rPr>
        <w:t>OPTIONAL</w:t>
      </w:r>
      <w:r w:rsidRPr="00FA0D37">
        <w:t xml:space="preserve">, </w:t>
      </w:r>
      <w:r w:rsidRPr="00FA0D37">
        <w:rPr>
          <w:color w:val="808080"/>
        </w:rPr>
        <w:t>-- Need R</w:t>
      </w:r>
    </w:p>
    <w:p w14:paraId="6C7D52DB" w14:textId="77777777" w:rsidR="00394471" w:rsidRPr="00FA0D37" w:rsidRDefault="00394471" w:rsidP="00FA0D37">
      <w:pPr>
        <w:pStyle w:val="PL"/>
        <w:rPr>
          <w:color w:val="808080"/>
        </w:rPr>
      </w:pPr>
      <w:r w:rsidRPr="00FA0D37">
        <w:t xml:space="preserve">    msgA-RSRP-Threshold-r16                              RSRP-Range                                                     </w:t>
      </w:r>
      <w:r w:rsidRPr="00FA0D37">
        <w:rPr>
          <w:color w:val="993366"/>
        </w:rPr>
        <w:t>OPTIONAL</w:t>
      </w:r>
      <w:r w:rsidRPr="00FA0D37">
        <w:t xml:space="preserve">, </w:t>
      </w:r>
      <w:r w:rsidRPr="00FA0D37">
        <w:rPr>
          <w:color w:val="808080"/>
        </w:rPr>
        <w:t>-- Cond 2Step4Step</w:t>
      </w:r>
    </w:p>
    <w:p w14:paraId="1EE0965E" w14:textId="77777777" w:rsidR="00394471" w:rsidRPr="00FA0D37" w:rsidRDefault="00394471" w:rsidP="00FA0D37">
      <w:pPr>
        <w:pStyle w:val="PL"/>
        <w:rPr>
          <w:color w:val="808080"/>
        </w:rPr>
      </w:pPr>
      <w:r w:rsidRPr="00FA0D37">
        <w:t xml:space="preserve">    msgA-RSRP-ThresholdSSB-r16                           RSRP-Range                                                     </w:t>
      </w:r>
      <w:r w:rsidRPr="00FA0D37">
        <w:rPr>
          <w:color w:val="993366"/>
        </w:rPr>
        <w:t>OPTIONAL</w:t>
      </w:r>
      <w:r w:rsidRPr="00FA0D37">
        <w:t xml:space="preserve">, </w:t>
      </w:r>
      <w:r w:rsidRPr="00FA0D37">
        <w:rPr>
          <w:color w:val="808080"/>
        </w:rPr>
        <w:t>-- Need R</w:t>
      </w:r>
    </w:p>
    <w:p w14:paraId="28F562E6" w14:textId="77777777" w:rsidR="00394471" w:rsidRPr="00FA0D37" w:rsidRDefault="00394471" w:rsidP="00FA0D37">
      <w:pPr>
        <w:pStyle w:val="PL"/>
        <w:rPr>
          <w:color w:val="808080"/>
        </w:rPr>
      </w:pPr>
      <w:r w:rsidRPr="00FA0D37">
        <w:t xml:space="preserve">    msgA-SubcarrierSpacing-r16                           SubcarrierSpacing                                              </w:t>
      </w:r>
      <w:r w:rsidRPr="00FA0D37">
        <w:rPr>
          <w:color w:val="993366"/>
        </w:rPr>
        <w:t>OPTIONAL</w:t>
      </w:r>
      <w:r w:rsidRPr="00FA0D37">
        <w:t xml:space="preserve">, </w:t>
      </w:r>
      <w:r w:rsidRPr="00FA0D37">
        <w:rPr>
          <w:color w:val="808080"/>
        </w:rPr>
        <w:t>-- Cond 2StepOnlyL139</w:t>
      </w:r>
    </w:p>
    <w:p w14:paraId="68DFE7B8" w14:textId="77777777" w:rsidR="00394471" w:rsidRPr="00FA0D37" w:rsidRDefault="00394471" w:rsidP="00FA0D37">
      <w:pPr>
        <w:pStyle w:val="PL"/>
      </w:pPr>
      <w:r w:rsidRPr="00FA0D37">
        <w:t xml:space="preserve">    msgA-RestrictedSetConfig-r16                         </w:t>
      </w:r>
      <w:r w:rsidRPr="00FA0D37">
        <w:rPr>
          <w:color w:val="993366"/>
        </w:rPr>
        <w:t>ENUMERATED</w:t>
      </w:r>
      <w:r w:rsidRPr="00FA0D37">
        <w:t xml:space="preserve"> {unrestrictedSet, restrictedSetTypeA,</w:t>
      </w:r>
    </w:p>
    <w:p w14:paraId="70C979B3" w14:textId="77777777" w:rsidR="00394471" w:rsidRPr="00FA0D37" w:rsidRDefault="00394471" w:rsidP="00FA0D37">
      <w:pPr>
        <w:pStyle w:val="PL"/>
        <w:rPr>
          <w:color w:val="808080"/>
        </w:rPr>
      </w:pPr>
      <w:r w:rsidRPr="00FA0D37">
        <w:t xml:space="preserve">                                                                     restrictedSetTypeB}                                </w:t>
      </w:r>
      <w:r w:rsidRPr="00FA0D37">
        <w:rPr>
          <w:color w:val="993366"/>
        </w:rPr>
        <w:t>OPTIONAL</w:t>
      </w:r>
      <w:r w:rsidRPr="00FA0D37">
        <w:t xml:space="preserve">, </w:t>
      </w:r>
      <w:r w:rsidRPr="00FA0D37">
        <w:rPr>
          <w:color w:val="808080"/>
        </w:rPr>
        <w:t>-- Cond 2StepOnly</w:t>
      </w:r>
    </w:p>
    <w:p w14:paraId="7C4EAB87" w14:textId="77777777" w:rsidR="00394471" w:rsidRPr="00FA0D37" w:rsidRDefault="00394471" w:rsidP="00FA0D37">
      <w:pPr>
        <w:pStyle w:val="PL"/>
      </w:pPr>
      <w:r w:rsidRPr="00FA0D37">
        <w:t xml:space="preserve">    ra-PrioritizationForAccessIdentityTwoStep-r16        </w:t>
      </w:r>
      <w:r w:rsidRPr="00FA0D37">
        <w:rPr>
          <w:color w:val="993366"/>
        </w:rPr>
        <w:t>SEQUENCE</w:t>
      </w:r>
      <w:r w:rsidRPr="00FA0D37">
        <w:t xml:space="preserve"> {</w:t>
      </w:r>
    </w:p>
    <w:p w14:paraId="711762A2" w14:textId="77777777" w:rsidR="00394471" w:rsidRPr="00FA0D37" w:rsidRDefault="00394471" w:rsidP="00FA0D37">
      <w:pPr>
        <w:pStyle w:val="PL"/>
      </w:pPr>
      <w:r w:rsidRPr="00FA0D37">
        <w:t xml:space="preserve">        ra-Prioritization-r16                                RA-Prioritization,</w:t>
      </w:r>
    </w:p>
    <w:p w14:paraId="292FE627" w14:textId="77777777" w:rsidR="00394471" w:rsidRPr="00FA0D37" w:rsidRDefault="00394471" w:rsidP="00FA0D37">
      <w:pPr>
        <w:pStyle w:val="PL"/>
      </w:pPr>
      <w:r w:rsidRPr="00FA0D37">
        <w:t xml:space="preserve">        ra-PrioritizationForAI-r16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2D9D1F0A"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InitialBWP-Only</w:t>
      </w:r>
    </w:p>
    <w:p w14:paraId="7FBC974C" w14:textId="77777777" w:rsidR="00394471" w:rsidRPr="00FA0D37" w:rsidRDefault="00394471" w:rsidP="00FA0D37">
      <w:pPr>
        <w:pStyle w:val="PL"/>
        <w:rPr>
          <w:color w:val="808080"/>
        </w:rPr>
      </w:pPr>
      <w:r w:rsidRPr="00FA0D37">
        <w:t xml:space="preserve">    ra-ContentionResolutionTimer-r16                     </w:t>
      </w:r>
      <w:r w:rsidRPr="00FA0D37">
        <w:rPr>
          <w:color w:val="993366"/>
        </w:rPr>
        <w:t>ENUMERATED</w:t>
      </w:r>
      <w:r w:rsidRPr="00FA0D37">
        <w:t xml:space="preserve"> {sf8, sf16, sf24, sf32, sf40, sf48, sf56, sf64}     </w:t>
      </w:r>
      <w:r w:rsidRPr="00FA0D37">
        <w:rPr>
          <w:color w:val="993366"/>
        </w:rPr>
        <w:t>OPTIONAL</w:t>
      </w:r>
      <w:r w:rsidRPr="00FA0D37">
        <w:t xml:space="preserve">, </w:t>
      </w:r>
      <w:r w:rsidRPr="00FA0D37">
        <w:rPr>
          <w:color w:val="808080"/>
        </w:rPr>
        <w:t>-- Cond 2StepOnly</w:t>
      </w:r>
    </w:p>
    <w:p w14:paraId="0FFBC56F" w14:textId="6AEA1A39" w:rsidR="00EC5164" w:rsidRPr="00FA0D37" w:rsidRDefault="00394471" w:rsidP="00FA0D37">
      <w:pPr>
        <w:pStyle w:val="PL"/>
      </w:pPr>
      <w:r w:rsidRPr="00FA0D37">
        <w:t xml:space="preserve">    ...</w:t>
      </w:r>
      <w:r w:rsidR="00EC5164" w:rsidRPr="00FA0D37">
        <w:t>,</w:t>
      </w:r>
    </w:p>
    <w:p w14:paraId="48D1DDE2" w14:textId="77777777" w:rsidR="00EC5164" w:rsidRPr="00FA0D37" w:rsidRDefault="00EC5164" w:rsidP="00FA0D37">
      <w:pPr>
        <w:pStyle w:val="PL"/>
      </w:pPr>
      <w:r w:rsidRPr="00FA0D37">
        <w:t xml:space="preserve">    [[</w:t>
      </w:r>
    </w:p>
    <w:p w14:paraId="363A0789" w14:textId="6E34EA48" w:rsidR="00EC5164" w:rsidRPr="00FA0D37" w:rsidRDefault="00EC5164" w:rsidP="00FA0D37">
      <w:pPr>
        <w:pStyle w:val="PL"/>
        <w:rPr>
          <w:color w:val="808080"/>
        </w:rPr>
      </w:pPr>
      <w:r w:rsidRPr="00FA0D37">
        <w:t xml:space="preserve">    ra-PrioritizationForSlicingTwoStep-r17               RA-PrioritizationForSlicing-r17              </w:t>
      </w:r>
      <w:r w:rsidRPr="00FA0D37">
        <w:rPr>
          <w:color w:val="993366"/>
        </w:rPr>
        <w:t>OPTIONAL</w:t>
      </w:r>
      <w:r w:rsidR="00125BED" w:rsidRPr="00FA0D37">
        <w:t>,</w:t>
      </w:r>
      <w:r w:rsidRPr="00FA0D37">
        <w:t xml:space="preserve"> </w:t>
      </w:r>
      <w:r w:rsidRPr="00FA0D37">
        <w:rPr>
          <w:color w:val="808080"/>
        </w:rPr>
        <w:t>-- Cond InitialBWP-Only</w:t>
      </w:r>
    </w:p>
    <w:p w14:paraId="50BF8375" w14:textId="5AD0B06F" w:rsidR="00276C79" w:rsidRPr="00FA0D37" w:rsidRDefault="00276C79" w:rsidP="00FA0D37">
      <w:pPr>
        <w:pStyle w:val="PL"/>
        <w:rPr>
          <w:color w:val="808080"/>
        </w:rPr>
      </w:pPr>
      <w:r w:rsidRPr="00FA0D37">
        <w:t xml:space="preserve">    featureCombinationPreambles</w:t>
      </w:r>
      <w:r w:rsidR="0071669F" w:rsidRPr="00FA0D37">
        <w:t>List</w:t>
      </w:r>
      <w:r w:rsidRPr="00FA0D37">
        <w:t xml:space="preserve">-r17 </w:t>
      </w:r>
      <w:r w:rsidRPr="00FA0D37">
        <w:rPr>
          <w:color w:val="993366"/>
        </w:rPr>
        <w:t>SEQUENCE</w:t>
      </w:r>
      <w:r w:rsidRPr="00FA0D37">
        <w:t xml:space="preserve"> (</w:t>
      </w:r>
      <w:r w:rsidRPr="00FA0D37">
        <w:rPr>
          <w:color w:val="993366"/>
        </w:rPr>
        <w:t>SIZE</w:t>
      </w:r>
      <w:r w:rsidRPr="00FA0D37">
        <w:t>(1..maxFeatureCombPreambles</w:t>
      </w:r>
      <w:r w:rsidR="0071669F" w:rsidRPr="00FA0D37">
        <w:t>PerRACHResource</w:t>
      </w:r>
      <w:r w:rsidRPr="00FA0D37">
        <w:t>-r17))</w:t>
      </w:r>
      <w:r w:rsidRPr="00FA0D37">
        <w:rPr>
          <w:color w:val="993366"/>
        </w:rPr>
        <w:t xml:space="preserve"> OF</w:t>
      </w:r>
      <w:r w:rsidRPr="00FA0D37">
        <w:t xml:space="preserve"> FeatureCombinationPreambles-r17 </w:t>
      </w:r>
      <w:r w:rsidRPr="00FA0D37">
        <w:rPr>
          <w:color w:val="993366"/>
        </w:rPr>
        <w:t>OPTIONAL</w:t>
      </w:r>
      <w:r w:rsidRPr="00FA0D37">
        <w:t xml:space="preserve">  </w:t>
      </w:r>
      <w:r w:rsidRPr="00FA0D37">
        <w:rPr>
          <w:color w:val="808080"/>
        </w:rPr>
        <w:t xml:space="preserve">-- </w:t>
      </w:r>
      <w:r w:rsidR="00A251FC" w:rsidRPr="00FA0D37">
        <w:rPr>
          <w:color w:val="808080"/>
        </w:rPr>
        <w:t>Cond AdditionalRACH</w:t>
      </w:r>
    </w:p>
    <w:p w14:paraId="0105488E" w14:textId="28F16BC1" w:rsidR="00394471" w:rsidRPr="00FA0D37" w:rsidRDefault="00EC5164" w:rsidP="00FA0D37">
      <w:pPr>
        <w:pStyle w:val="PL"/>
      </w:pPr>
      <w:r w:rsidRPr="00FA0D37">
        <w:t xml:space="preserve">    ]]</w:t>
      </w:r>
    </w:p>
    <w:p w14:paraId="42BD327F" w14:textId="77777777" w:rsidR="00394471" w:rsidRPr="00FA0D37" w:rsidRDefault="00394471" w:rsidP="00FA0D37">
      <w:pPr>
        <w:pStyle w:val="PL"/>
      </w:pPr>
      <w:r w:rsidRPr="00FA0D37">
        <w:t>}</w:t>
      </w:r>
    </w:p>
    <w:p w14:paraId="6F4713D8" w14:textId="77777777" w:rsidR="00394471" w:rsidRPr="00FA0D37" w:rsidRDefault="00394471" w:rsidP="00FA0D37">
      <w:pPr>
        <w:pStyle w:val="PL"/>
      </w:pPr>
    </w:p>
    <w:p w14:paraId="14D12561" w14:textId="77777777" w:rsidR="00394471" w:rsidRPr="00FA0D37" w:rsidRDefault="00394471" w:rsidP="00FA0D37">
      <w:pPr>
        <w:pStyle w:val="PL"/>
      </w:pPr>
      <w:r w:rsidRPr="00FA0D37">
        <w:t xml:space="preserve">GroupB-ConfiguredTwoStepRA-r16 ::=                       </w:t>
      </w:r>
      <w:r w:rsidRPr="00FA0D37">
        <w:rPr>
          <w:color w:val="993366"/>
        </w:rPr>
        <w:t>SEQUENCE</w:t>
      </w:r>
      <w:r w:rsidRPr="00FA0D37">
        <w:t xml:space="preserve"> {</w:t>
      </w:r>
    </w:p>
    <w:p w14:paraId="3693C0E6" w14:textId="77777777" w:rsidR="00394471" w:rsidRPr="00FA0D37" w:rsidRDefault="00394471" w:rsidP="00FA0D37">
      <w:pPr>
        <w:pStyle w:val="PL"/>
      </w:pPr>
      <w:r w:rsidRPr="00FA0D37">
        <w:t xml:space="preserve">    ra-MsgA-SizeGroupA                                   </w:t>
      </w:r>
      <w:r w:rsidRPr="00FA0D37">
        <w:rPr>
          <w:color w:val="993366"/>
        </w:rPr>
        <w:t>ENUMERATED</w:t>
      </w:r>
      <w:r w:rsidRPr="00FA0D37">
        <w:t xml:space="preserve"> {b56, b144, b208, b256, b282, b480, b640, b800,</w:t>
      </w:r>
    </w:p>
    <w:p w14:paraId="5D5BF60B" w14:textId="77777777" w:rsidR="00394471" w:rsidRPr="00FA0D37" w:rsidRDefault="00394471" w:rsidP="00FA0D37">
      <w:pPr>
        <w:pStyle w:val="PL"/>
      </w:pPr>
      <w:r w:rsidRPr="00FA0D37">
        <w:t xml:space="preserve">                                                                     b1000, b72, spare6, spare5, spare4, spare3, spare2, spare1},</w:t>
      </w:r>
    </w:p>
    <w:p w14:paraId="2BFAF092" w14:textId="77777777" w:rsidR="00394471" w:rsidRPr="00FA0D37" w:rsidRDefault="00394471" w:rsidP="00FA0D37">
      <w:pPr>
        <w:pStyle w:val="PL"/>
      </w:pPr>
      <w:r w:rsidRPr="00FA0D37">
        <w:t xml:space="preserve">    messagePowerOffsetGroupB                             </w:t>
      </w:r>
      <w:r w:rsidRPr="00FA0D37">
        <w:rPr>
          <w:color w:val="993366"/>
        </w:rPr>
        <w:t>ENUMERATED</w:t>
      </w:r>
      <w:r w:rsidRPr="00FA0D37">
        <w:t xml:space="preserve"> {minusinfinity, dB0, dB5, dB8, dB10, dB12, dB15, dB18},</w:t>
      </w:r>
    </w:p>
    <w:p w14:paraId="54EBCC15" w14:textId="03C66982" w:rsidR="00394471" w:rsidRPr="00FA0D37" w:rsidRDefault="00394471" w:rsidP="00FA0D37">
      <w:pPr>
        <w:pStyle w:val="PL"/>
      </w:pPr>
      <w:r w:rsidRPr="00FA0D37">
        <w:t xml:space="preserve">    number</w:t>
      </w:r>
      <w:r w:rsidR="00425E6C" w:rsidRPr="00FA0D37">
        <w:t>O</w:t>
      </w:r>
      <w:r w:rsidRPr="00FA0D37">
        <w:t xml:space="preserve">fRA-PreamblesGroupA                           </w:t>
      </w:r>
      <w:r w:rsidRPr="00FA0D37">
        <w:rPr>
          <w:color w:val="993366"/>
        </w:rPr>
        <w:t>INTEGER</w:t>
      </w:r>
      <w:r w:rsidRPr="00FA0D37">
        <w:t xml:space="preserve"> (1..64)</w:t>
      </w:r>
    </w:p>
    <w:p w14:paraId="7501208F" w14:textId="77777777" w:rsidR="00394471" w:rsidRPr="00FA0D37" w:rsidRDefault="00394471" w:rsidP="00FA0D37">
      <w:pPr>
        <w:pStyle w:val="PL"/>
      </w:pPr>
      <w:r w:rsidRPr="00FA0D37">
        <w:t>}</w:t>
      </w:r>
    </w:p>
    <w:p w14:paraId="474B1379" w14:textId="77777777" w:rsidR="00394471" w:rsidRPr="00FA0D37" w:rsidRDefault="00394471" w:rsidP="00FA0D37">
      <w:pPr>
        <w:pStyle w:val="PL"/>
      </w:pPr>
    </w:p>
    <w:p w14:paraId="2636D6CF" w14:textId="77777777" w:rsidR="00394471" w:rsidRPr="00FA0D37" w:rsidRDefault="00394471" w:rsidP="00FA0D37">
      <w:pPr>
        <w:pStyle w:val="PL"/>
        <w:rPr>
          <w:color w:val="808080"/>
        </w:rPr>
      </w:pPr>
      <w:r w:rsidRPr="00FA0D37">
        <w:rPr>
          <w:color w:val="808080"/>
        </w:rPr>
        <w:t>-- TAG-RACH-CONFIGCOMMONTWOSTEPRA-STOP</w:t>
      </w:r>
    </w:p>
    <w:p w14:paraId="20DB927A" w14:textId="77777777" w:rsidR="00394471" w:rsidRPr="00FA0D37" w:rsidRDefault="00394471" w:rsidP="00FA0D37">
      <w:pPr>
        <w:pStyle w:val="PL"/>
        <w:rPr>
          <w:color w:val="808080"/>
        </w:rPr>
      </w:pPr>
      <w:r w:rsidRPr="00FA0D37">
        <w:rPr>
          <w:color w:val="808080"/>
        </w:rPr>
        <w:t>-- ASN1STOP</w:t>
      </w:r>
    </w:p>
    <w:p w14:paraId="228F0C8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FA0D37" w:rsidRDefault="00394471" w:rsidP="00964CC4">
            <w:pPr>
              <w:pStyle w:val="TAH"/>
              <w:rPr>
                <w:szCs w:val="22"/>
                <w:lang w:eastAsia="sv-SE"/>
              </w:rPr>
            </w:pPr>
            <w:r w:rsidRPr="00FA0D37">
              <w:rPr>
                <w:i/>
                <w:szCs w:val="22"/>
                <w:lang w:eastAsia="sv-SE"/>
              </w:rPr>
              <w:lastRenderedPageBreak/>
              <w:t xml:space="preserve">RACH-ConfigCommonTwoStepRA </w:t>
            </w:r>
            <w:r w:rsidRPr="00FA0D37">
              <w:rPr>
                <w:szCs w:val="22"/>
                <w:lang w:eastAsia="sv-SE"/>
              </w:rPr>
              <w:t>field descriptions</w:t>
            </w:r>
          </w:p>
        </w:tc>
      </w:tr>
      <w:tr w:rsidR="005C7FF4" w:rsidRPr="00FA0D37"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FA0D37" w:rsidRDefault="00276C79" w:rsidP="00771058">
            <w:pPr>
              <w:pStyle w:val="TAL"/>
              <w:rPr>
                <w:szCs w:val="22"/>
                <w:lang w:eastAsia="sv-SE"/>
              </w:rPr>
            </w:pPr>
            <w:r w:rsidRPr="00FA0D37">
              <w:rPr>
                <w:b/>
                <w:i/>
                <w:szCs w:val="22"/>
                <w:lang w:eastAsia="sv-SE"/>
              </w:rPr>
              <w:t>featureCombinationPreambles</w:t>
            </w:r>
            <w:r w:rsidR="0071669F" w:rsidRPr="00FA0D37">
              <w:rPr>
                <w:b/>
                <w:i/>
                <w:szCs w:val="22"/>
                <w:lang w:eastAsia="sv-SE"/>
              </w:rPr>
              <w:t>List</w:t>
            </w:r>
          </w:p>
          <w:p w14:paraId="2426F0CC" w14:textId="4AC43772" w:rsidR="00276C79" w:rsidRPr="00FA0D37" w:rsidRDefault="00276C79" w:rsidP="00771058">
            <w:pPr>
              <w:pStyle w:val="TAL"/>
              <w:rPr>
                <w:b/>
                <w:i/>
                <w:szCs w:val="22"/>
                <w:lang w:eastAsia="sv-SE"/>
              </w:rPr>
            </w:pPr>
            <w:r w:rsidRPr="00FA0D37">
              <w:rPr>
                <w:szCs w:val="22"/>
                <w:lang w:eastAsia="sv-SE"/>
              </w:rPr>
              <w:t>Specifies a series of preamble partitions each associated to a combination of features and 2-step RA.</w:t>
            </w:r>
            <w:r w:rsidR="00A251FC" w:rsidRPr="00FA0D37">
              <w:rPr>
                <w:szCs w:val="22"/>
                <w:lang w:eastAsia="sv-SE"/>
              </w:rPr>
              <w:t xml:space="preserve"> The network does not configure this list to have more than 16 entries.</w:t>
            </w:r>
          </w:p>
        </w:tc>
      </w:tr>
      <w:tr w:rsidR="005C7FF4" w:rsidRPr="00FA0D37"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FA0D37" w:rsidRDefault="00394471" w:rsidP="00964CC4">
            <w:pPr>
              <w:pStyle w:val="TAL"/>
              <w:rPr>
                <w:b/>
                <w:i/>
                <w:szCs w:val="22"/>
                <w:lang w:eastAsia="sv-SE"/>
              </w:rPr>
            </w:pPr>
            <w:r w:rsidRPr="00FA0D37">
              <w:rPr>
                <w:b/>
                <w:i/>
                <w:szCs w:val="22"/>
                <w:lang w:eastAsia="sv-SE"/>
              </w:rPr>
              <w:t>groupB-ConfiguredTwoStepRA</w:t>
            </w:r>
          </w:p>
          <w:p w14:paraId="7678D574" w14:textId="77777777" w:rsidR="00394471" w:rsidRPr="00FA0D37" w:rsidRDefault="00394471" w:rsidP="00964CC4">
            <w:pPr>
              <w:pStyle w:val="TAL"/>
              <w:rPr>
                <w:b/>
                <w:i/>
                <w:szCs w:val="22"/>
                <w:lang w:eastAsia="sv-SE"/>
              </w:rPr>
            </w:pPr>
            <w:r w:rsidRPr="00FA0D37">
              <w:rPr>
                <w:szCs w:val="22"/>
                <w:lang w:eastAsia="sv-SE"/>
              </w:rPr>
              <w:t>Preamble grouping for 2-step random access type. If the field is absent then there is only one preamble group configured and only one msgA PUSCH configuration.</w:t>
            </w:r>
          </w:p>
        </w:tc>
      </w:tr>
      <w:tr w:rsidR="005C7FF4" w:rsidRPr="00FA0D37"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FA0D37" w:rsidRDefault="00394471" w:rsidP="00964CC4">
            <w:pPr>
              <w:pStyle w:val="TAL"/>
              <w:rPr>
                <w:b/>
                <w:i/>
                <w:szCs w:val="22"/>
                <w:lang w:eastAsia="sv-SE"/>
              </w:rPr>
            </w:pPr>
            <w:r w:rsidRPr="00FA0D37">
              <w:rPr>
                <w:b/>
                <w:i/>
                <w:szCs w:val="22"/>
                <w:lang w:eastAsia="sv-SE"/>
              </w:rPr>
              <w:t>msgA-CB-PreamblesPerSSB-PerSharedRO</w:t>
            </w:r>
          </w:p>
          <w:p w14:paraId="47F86638" w14:textId="2CFF6D6F" w:rsidR="00394471" w:rsidRPr="00FA0D37" w:rsidRDefault="00394471" w:rsidP="00964CC4">
            <w:pPr>
              <w:pStyle w:val="TAL"/>
              <w:rPr>
                <w:szCs w:val="22"/>
                <w:lang w:eastAsia="sv-SE"/>
              </w:rPr>
            </w:pPr>
            <w:r w:rsidRPr="00FA0D37">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FA0D37">
              <w:rPr>
                <w:i/>
                <w:iCs/>
                <w:szCs w:val="22"/>
                <w:lang w:eastAsia="sv-SE"/>
              </w:rPr>
              <w:t>ssb</w:t>
            </w:r>
            <w:r w:rsidRPr="00FA0D37">
              <w:rPr>
                <w:i/>
                <w:iCs/>
                <w:szCs w:val="22"/>
                <w:lang w:eastAsia="sv-SE"/>
              </w:rPr>
              <w:t>-perRACH-OccasionAndCB-PreamblesPerSSB</w:t>
            </w:r>
            <w:r w:rsidRPr="00FA0D37">
              <w:rPr>
                <w:szCs w:val="22"/>
                <w:lang w:eastAsia="sv-SE"/>
              </w:rPr>
              <w:t xml:space="preserve"> in </w:t>
            </w:r>
            <w:r w:rsidRPr="00FA0D37">
              <w:rPr>
                <w:i/>
                <w:iCs/>
                <w:szCs w:val="22"/>
                <w:lang w:eastAsia="sv-SE"/>
              </w:rPr>
              <w:t>RACH-ConfigCommon</w:t>
            </w:r>
            <w:r w:rsidRPr="00FA0D37">
              <w:rPr>
                <w:szCs w:val="22"/>
                <w:lang w:eastAsia="sv-SE"/>
              </w:rPr>
              <w:t>. The field is only applicable for the case of shared ROs with 4-step type random access.</w:t>
            </w:r>
          </w:p>
        </w:tc>
      </w:tr>
      <w:tr w:rsidR="005C7FF4" w:rsidRPr="00FA0D37"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FA0D37" w:rsidRDefault="00394471" w:rsidP="00964CC4">
            <w:pPr>
              <w:pStyle w:val="TAL"/>
              <w:rPr>
                <w:szCs w:val="22"/>
                <w:lang w:eastAsia="sv-SE"/>
              </w:rPr>
            </w:pPr>
            <w:r w:rsidRPr="00FA0D37">
              <w:rPr>
                <w:b/>
                <w:i/>
                <w:szCs w:val="22"/>
                <w:lang w:eastAsia="sv-SE"/>
              </w:rPr>
              <w:t>msgA-PRACH-RootSequenceIndex</w:t>
            </w:r>
          </w:p>
          <w:p w14:paraId="63ACF528" w14:textId="62932F8D" w:rsidR="00E826D8" w:rsidRPr="00FA0D37" w:rsidRDefault="00394471" w:rsidP="00E826D8">
            <w:pPr>
              <w:pStyle w:val="TAL"/>
              <w:rPr>
                <w:iCs/>
                <w:szCs w:val="22"/>
              </w:rPr>
            </w:pPr>
            <w:r w:rsidRPr="00FA0D37">
              <w:rPr>
                <w:lang w:eastAsia="sv-SE"/>
              </w:rPr>
              <w:t>PRACH root sequence index. If the field is not configured</w:t>
            </w:r>
            <w:r w:rsidR="00A251FC" w:rsidRPr="00FA0D37">
              <w:rPr>
                <w:rFonts w:cs="Arial"/>
                <w:iCs/>
                <w:szCs w:val="22"/>
                <w:lang w:eastAsia="sv-SE"/>
              </w:rPr>
              <w:t xml:space="preserve"> in </w:t>
            </w:r>
            <w:r w:rsidR="00A251FC" w:rsidRPr="00FA0D37">
              <w:rPr>
                <w:rFonts w:cs="Arial"/>
                <w:i/>
                <w:iCs/>
                <w:szCs w:val="22"/>
                <w:lang w:eastAsia="sv-SE"/>
              </w:rPr>
              <w:t xml:space="preserve">RACH-ConfigCommonTwoStepRA </w:t>
            </w:r>
            <w:r w:rsidR="00A251FC" w:rsidRPr="00FA0D37">
              <w:rPr>
                <w:rFonts w:cs="Arial"/>
                <w:iCs/>
                <w:szCs w:val="22"/>
                <w:lang w:eastAsia="sv-SE"/>
              </w:rPr>
              <w:t xml:space="preserve">which is configured directly within a BWP (i.e., not within </w:t>
            </w:r>
            <w:r w:rsidR="00A251FC" w:rsidRPr="00FA0D37">
              <w:rPr>
                <w:rFonts w:cs="Arial"/>
                <w:i/>
                <w:iCs/>
                <w:szCs w:val="22"/>
                <w:lang w:eastAsia="sv-SE"/>
              </w:rPr>
              <w:t>AdditionalRACH-Config</w:t>
            </w:r>
            <w:r w:rsidR="00A251FC" w:rsidRPr="00FA0D37">
              <w:rPr>
                <w:rFonts w:cs="Arial"/>
                <w:iCs/>
                <w:szCs w:val="22"/>
                <w:lang w:eastAsia="sv-SE"/>
              </w:rPr>
              <w:t>)</w:t>
            </w:r>
            <w:r w:rsidRPr="00FA0D37">
              <w:rPr>
                <w:lang w:eastAsia="sv-SE"/>
              </w:rPr>
              <w:t xml:space="preserve">, the UE applies the value in field </w:t>
            </w:r>
            <w:r w:rsidRPr="00FA0D37">
              <w:rPr>
                <w:i/>
                <w:lang w:eastAsia="sv-SE"/>
              </w:rPr>
              <w:t>prach-RootSequenceIndex</w:t>
            </w:r>
            <w:r w:rsidRPr="00FA0D37">
              <w:rPr>
                <w:iCs/>
                <w:lang w:eastAsia="sv-SE"/>
              </w:rPr>
              <w:t xml:space="preserve"> in </w:t>
            </w:r>
            <w:r w:rsidRPr="00FA0D37">
              <w:rPr>
                <w:i/>
                <w:szCs w:val="22"/>
                <w:lang w:eastAsia="sv-SE"/>
              </w:rPr>
              <w:t>RACH-ConfigCommon</w:t>
            </w:r>
            <w:r w:rsidRPr="00FA0D37">
              <w:rPr>
                <w:iCs/>
                <w:szCs w:val="22"/>
                <w:lang w:eastAsia="sv-SE"/>
              </w:rPr>
              <w:t xml:space="preserve"> in the configured BWP</w:t>
            </w:r>
            <w:r w:rsidR="00A251FC" w:rsidRPr="00FA0D37">
              <w:rPr>
                <w:rFonts w:cs="Arial"/>
                <w:iCs/>
                <w:szCs w:val="22"/>
                <w:lang w:eastAsia="sv-SE"/>
              </w:rPr>
              <w:t xml:space="preserve">. If the field is absent in </w:t>
            </w:r>
            <w:r w:rsidR="00A251FC" w:rsidRPr="00FA0D37">
              <w:rPr>
                <w:rFonts w:cs="Arial"/>
                <w:i/>
                <w:iCs/>
                <w:szCs w:val="22"/>
                <w:lang w:eastAsia="sv-SE"/>
              </w:rPr>
              <w:t>RACH-ConfigCommonTwoStepRA</w:t>
            </w:r>
            <w:r w:rsidR="00A251FC" w:rsidRPr="00FA0D37">
              <w:rPr>
                <w:rFonts w:cs="Arial"/>
                <w:iCs/>
                <w:szCs w:val="22"/>
                <w:lang w:eastAsia="sv-SE"/>
              </w:rPr>
              <w:t xml:space="preserve"> in </w:t>
            </w:r>
            <w:r w:rsidR="00A251FC" w:rsidRPr="00FA0D37">
              <w:rPr>
                <w:rFonts w:cs="Arial"/>
                <w:i/>
                <w:iCs/>
                <w:szCs w:val="22"/>
                <w:lang w:eastAsia="sv-SE"/>
              </w:rPr>
              <w:t>AdditionalRACH-Config</w:t>
            </w:r>
            <w:r w:rsidR="00A251FC" w:rsidRPr="00FA0D37">
              <w:rPr>
                <w:rFonts w:cs="Arial"/>
                <w:iCs/>
                <w:szCs w:val="22"/>
                <w:lang w:eastAsia="sv-SE"/>
              </w:rPr>
              <w:t xml:space="preserve">, the UE applies the corresponding value of </w:t>
            </w:r>
            <w:r w:rsidR="00A251FC" w:rsidRPr="00FA0D37">
              <w:rPr>
                <w:rFonts w:cs="Arial"/>
                <w:i/>
                <w:iCs/>
                <w:szCs w:val="22"/>
                <w:lang w:eastAsia="sv-SE"/>
              </w:rPr>
              <w:t>prach-RootSequenceIndex</w:t>
            </w:r>
            <w:r w:rsidR="00A251FC" w:rsidRPr="00FA0D37">
              <w:rPr>
                <w:rFonts w:cs="Arial"/>
                <w:iCs/>
                <w:szCs w:val="22"/>
                <w:lang w:eastAsia="sv-SE"/>
              </w:rPr>
              <w:t xml:space="preserve"> in </w:t>
            </w:r>
            <w:r w:rsidR="00A251FC" w:rsidRPr="00FA0D37">
              <w:rPr>
                <w:rFonts w:cs="Arial"/>
                <w:i/>
                <w:iCs/>
                <w:szCs w:val="22"/>
                <w:lang w:eastAsia="sv-SE"/>
              </w:rPr>
              <w:t>RACH-ConfigCommon</w:t>
            </w:r>
            <w:r w:rsidR="00A251FC" w:rsidRPr="00FA0D37">
              <w:rPr>
                <w:rFonts w:cs="Arial"/>
                <w:iCs/>
                <w:szCs w:val="22"/>
                <w:lang w:eastAsia="sv-SE"/>
              </w:rPr>
              <w:t xml:space="preserve"> in the same </w:t>
            </w:r>
            <w:r w:rsidR="00A251FC" w:rsidRPr="00FA0D37">
              <w:rPr>
                <w:rFonts w:cs="Arial"/>
                <w:i/>
                <w:iCs/>
                <w:szCs w:val="22"/>
                <w:lang w:eastAsia="sv-SE"/>
              </w:rPr>
              <w:t>AdditionalRACH-Config</w:t>
            </w:r>
            <w:r w:rsidRPr="00FA0D37">
              <w:rPr>
                <w:iCs/>
                <w:szCs w:val="22"/>
                <w:lang w:eastAsia="sv-SE"/>
              </w:rPr>
              <w:t>.</w:t>
            </w:r>
            <w:r w:rsidRPr="00FA0D37">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FA0D37" w:rsidRDefault="00E826D8" w:rsidP="00E826D8">
            <w:pPr>
              <w:pStyle w:val="TAL"/>
              <w:rPr>
                <w:iCs/>
                <w:szCs w:val="22"/>
              </w:rPr>
            </w:pPr>
            <w:r w:rsidRPr="00FA0D37">
              <w:rPr>
                <w:iCs/>
                <w:szCs w:val="22"/>
              </w:rPr>
              <w:t>For FR2-2, only the following values are applicable depending on the used subcarrier spacing:</w:t>
            </w:r>
          </w:p>
          <w:p w14:paraId="7F99362D" w14:textId="77777777" w:rsidR="00E826D8" w:rsidRPr="00FA0D37" w:rsidRDefault="00E826D8" w:rsidP="00E826D8">
            <w:pPr>
              <w:pStyle w:val="TAL"/>
              <w:rPr>
                <w:iCs/>
                <w:szCs w:val="22"/>
              </w:rPr>
            </w:pPr>
            <w:r w:rsidRPr="00FA0D37">
              <w:rPr>
                <w:iCs/>
                <w:szCs w:val="22"/>
              </w:rPr>
              <w:t>120 kHz:  L=139, L=571, and L=1151</w:t>
            </w:r>
          </w:p>
          <w:p w14:paraId="33C04D91" w14:textId="77777777" w:rsidR="00E826D8" w:rsidRPr="00FA0D37" w:rsidRDefault="00E826D8" w:rsidP="00E826D8">
            <w:pPr>
              <w:pStyle w:val="TAL"/>
              <w:rPr>
                <w:iCs/>
                <w:szCs w:val="22"/>
              </w:rPr>
            </w:pPr>
            <w:r w:rsidRPr="00FA0D37">
              <w:rPr>
                <w:iCs/>
                <w:szCs w:val="22"/>
              </w:rPr>
              <w:t>480 kHz:  L=139, and L=571</w:t>
            </w:r>
          </w:p>
          <w:p w14:paraId="58FA9A0F" w14:textId="736C78D5" w:rsidR="00394471" w:rsidRPr="00FA0D37" w:rsidRDefault="00E826D8" w:rsidP="00E826D8">
            <w:pPr>
              <w:pStyle w:val="TAL"/>
              <w:rPr>
                <w:b/>
                <w:i/>
                <w:szCs w:val="22"/>
                <w:lang w:eastAsia="sv-SE"/>
              </w:rPr>
            </w:pPr>
            <w:r w:rsidRPr="00FA0D37">
              <w:rPr>
                <w:iCs/>
                <w:szCs w:val="22"/>
              </w:rPr>
              <w:t>960 kHz:  L=139</w:t>
            </w:r>
          </w:p>
        </w:tc>
      </w:tr>
      <w:tr w:rsidR="005C7FF4" w:rsidRPr="00FA0D37"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FA0D37" w:rsidRDefault="00394471" w:rsidP="00964CC4">
            <w:pPr>
              <w:pStyle w:val="TAL"/>
              <w:rPr>
                <w:b/>
                <w:i/>
                <w:szCs w:val="22"/>
                <w:lang w:eastAsia="sv-SE"/>
              </w:rPr>
            </w:pPr>
            <w:r w:rsidRPr="00FA0D37">
              <w:rPr>
                <w:b/>
                <w:i/>
                <w:szCs w:val="22"/>
                <w:lang w:eastAsia="sv-SE"/>
              </w:rPr>
              <w:t>msgA-RestrictedSetConfig</w:t>
            </w:r>
          </w:p>
          <w:p w14:paraId="4BEA9D59" w14:textId="00182321" w:rsidR="00394471" w:rsidRPr="00FA0D37" w:rsidRDefault="00394471" w:rsidP="00964CC4">
            <w:pPr>
              <w:pStyle w:val="TAL"/>
              <w:rPr>
                <w:iCs/>
                <w:szCs w:val="22"/>
                <w:lang w:eastAsia="sv-SE"/>
              </w:rPr>
            </w:pPr>
            <w:r w:rsidRPr="00FA0D37">
              <w:rPr>
                <w:szCs w:val="22"/>
                <w:lang w:eastAsia="sv-SE"/>
              </w:rPr>
              <w:t>Configuration of an unrestricted set or one of two types of restricted sets for 2-step random access type preamble. If the field is not configured</w:t>
            </w:r>
            <w:r w:rsidR="00A251FC" w:rsidRPr="00FA0D37">
              <w:rPr>
                <w:rFonts w:cs="Arial"/>
                <w:iCs/>
                <w:szCs w:val="22"/>
                <w:lang w:eastAsia="sv-SE"/>
              </w:rPr>
              <w:t xml:space="preserve"> in </w:t>
            </w:r>
            <w:r w:rsidR="00A251FC" w:rsidRPr="00FA0D37">
              <w:rPr>
                <w:rFonts w:cs="Arial"/>
                <w:i/>
                <w:iCs/>
                <w:szCs w:val="22"/>
                <w:lang w:eastAsia="sv-SE"/>
              </w:rPr>
              <w:t xml:space="preserve">RACH-ConfigCommonTwoStepRA </w:t>
            </w:r>
            <w:r w:rsidR="00A251FC" w:rsidRPr="00FA0D37">
              <w:rPr>
                <w:rFonts w:cs="Arial"/>
                <w:iCs/>
                <w:szCs w:val="22"/>
                <w:lang w:eastAsia="sv-SE"/>
              </w:rPr>
              <w:t xml:space="preserve">which is configured directly within a BWP (i.e. not within </w:t>
            </w:r>
            <w:r w:rsidR="00A251FC" w:rsidRPr="00FA0D37">
              <w:rPr>
                <w:rFonts w:cs="Arial"/>
                <w:i/>
                <w:iCs/>
                <w:szCs w:val="22"/>
                <w:lang w:eastAsia="sv-SE"/>
              </w:rPr>
              <w:t>AdditionalRACH-Config</w:t>
            </w:r>
            <w:r w:rsidR="00A251FC" w:rsidRPr="00FA0D37">
              <w:rPr>
                <w:rFonts w:cs="Arial"/>
                <w:iCs/>
                <w:szCs w:val="22"/>
                <w:lang w:eastAsia="sv-SE"/>
              </w:rPr>
              <w:t>)</w:t>
            </w:r>
            <w:r w:rsidRPr="00FA0D37">
              <w:rPr>
                <w:szCs w:val="22"/>
                <w:lang w:eastAsia="sv-SE"/>
              </w:rPr>
              <w:t xml:space="preserve">, the UE applies the value in field </w:t>
            </w:r>
            <w:r w:rsidRPr="00FA0D37">
              <w:rPr>
                <w:i/>
                <w:szCs w:val="22"/>
                <w:lang w:eastAsia="sv-SE"/>
              </w:rPr>
              <w:t>restrictedSetConfig</w:t>
            </w:r>
            <w:r w:rsidRPr="00FA0D37">
              <w:rPr>
                <w:iCs/>
                <w:szCs w:val="22"/>
                <w:lang w:eastAsia="sv-SE"/>
              </w:rPr>
              <w:t xml:space="preserve"> </w:t>
            </w:r>
            <w:r w:rsidRPr="00FA0D37">
              <w:rPr>
                <w:iCs/>
                <w:lang w:eastAsia="sv-SE"/>
              </w:rPr>
              <w:t xml:space="preserve">in </w:t>
            </w:r>
            <w:r w:rsidRPr="00FA0D37">
              <w:rPr>
                <w:i/>
                <w:szCs w:val="22"/>
                <w:lang w:eastAsia="sv-SE"/>
              </w:rPr>
              <w:t>RACH-ConfigCommon</w:t>
            </w:r>
            <w:r w:rsidRPr="00FA0D37">
              <w:rPr>
                <w:iCs/>
                <w:szCs w:val="22"/>
                <w:lang w:eastAsia="sv-SE"/>
              </w:rPr>
              <w:t xml:space="preserve"> in the configured BWP</w:t>
            </w:r>
            <w:r w:rsidR="00A251FC" w:rsidRPr="00FA0D37">
              <w:rPr>
                <w:rFonts w:cs="Arial"/>
                <w:iCs/>
                <w:szCs w:val="22"/>
                <w:lang w:eastAsia="sv-SE"/>
              </w:rPr>
              <w:t xml:space="preserve">. If the field is absent in </w:t>
            </w:r>
            <w:r w:rsidR="00A251FC" w:rsidRPr="00FA0D37">
              <w:rPr>
                <w:rFonts w:cs="Arial"/>
                <w:i/>
                <w:iCs/>
                <w:szCs w:val="22"/>
                <w:lang w:eastAsia="sv-SE"/>
              </w:rPr>
              <w:t>RACH-ConfigCommonTwoStepRA</w:t>
            </w:r>
            <w:r w:rsidR="00A251FC" w:rsidRPr="00FA0D37">
              <w:rPr>
                <w:rFonts w:cs="Arial"/>
                <w:iCs/>
                <w:szCs w:val="22"/>
                <w:lang w:eastAsia="sv-SE"/>
              </w:rPr>
              <w:t xml:space="preserve"> in </w:t>
            </w:r>
            <w:r w:rsidR="00A251FC" w:rsidRPr="00FA0D37">
              <w:rPr>
                <w:rFonts w:cs="Arial"/>
                <w:i/>
                <w:iCs/>
                <w:szCs w:val="22"/>
                <w:lang w:eastAsia="sv-SE"/>
              </w:rPr>
              <w:t>AdditionalRACH-Config</w:t>
            </w:r>
            <w:r w:rsidR="00A251FC" w:rsidRPr="00FA0D37">
              <w:rPr>
                <w:rFonts w:cs="Arial"/>
                <w:iCs/>
                <w:szCs w:val="22"/>
                <w:lang w:eastAsia="sv-SE"/>
              </w:rPr>
              <w:t xml:space="preserve">, the UE applies the value of </w:t>
            </w:r>
            <w:r w:rsidR="00A251FC" w:rsidRPr="00FA0D37">
              <w:rPr>
                <w:rFonts w:cs="Arial"/>
                <w:i/>
                <w:iCs/>
                <w:szCs w:val="22"/>
                <w:lang w:eastAsia="sv-SE"/>
              </w:rPr>
              <w:t>restrictedSetConfig</w:t>
            </w:r>
            <w:r w:rsidR="00A251FC" w:rsidRPr="00FA0D37">
              <w:rPr>
                <w:rFonts w:cs="Arial"/>
                <w:iCs/>
                <w:szCs w:val="22"/>
                <w:lang w:eastAsia="sv-SE"/>
              </w:rPr>
              <w:t xml:space="preserve"> in </w:t>
            </w:r>
            <w:r w:rsidR="00A251FC" w:rsidRPr="00FA0D37">
              <w:rPr>
                <w:rFonts w:cs="Arial"/>
                <w:i/>
                <w:iCs/>
                <w:szCs w:val="22"/>
                <w:lang w:eastAsia="sv-SE"/>
              </w:rPr>
              <w:t>RACH-ConfigCommon</w:t>
            </w:r>
            <w:r w:rsidR="00A251FC" w:rsidRPr="00FA0D37">
              <w:rPr>
                <w:rFonts w:cs="Arial"/>
                <w:iCs/>
                <w:szCs w:val="22"/>
                <w:lang w:eastAsia="sv-SE"/>
              </w:rPr>
              <w:t xml:space="preserve"> in the same </w:t>
            </w:r>
            <w:r w:rsidR="00A251FC" w:rsidRPr="00FA0D37">
              <w:rPr>
                <w:rFonts w:cs="Arial"/>
                <w:i/>
                <w:iCs/>
                <w:szCs w:val="22"/>
                <w:lang w:eastAsia="sv-SE"/>
              </w:rPr>
              <w:t>AdditionalRACH-Config</w:t>
            </w:r>
            <w:r w:rsidRPr="00FA0D37">
              <w:rPr>
                <w:iCs/>
                <w:szCs w:val="22"/>
                <w:lang w:eastAsia="sv-SE"/>
              </w:rPr>
              <w:t>.</w:t>
            </w:r>
            <w:r w:rsidRPr="00FA0D37">
              <w:rPr>
                <w:iCs/>
                <w:szCs w:val="22"/>
              </w:rPr>
              <w:t xml:space="preserve"> </w:t>
            </w:r>
            <w:r w:rsidRPr="00FA0D37">
              <w:t>When both 2-step and 4-step type random access is configured, this field is only configured for the case of separate ROs between 2-step and 4-step type random access.</w:t>
            </w:r>
          </w:p>
        </w:tc>
      </w:tr>
      <w:tr w:rsidR="005C7FF4" w:rsidRPr="00FA0D37"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FA0D37" w:rsidRDefault="00394471" w:rsidP="00964CC4">
            <w:pPr>
              <w:pStyle w:val="TAL"/>
              <w:rPr>
                <w:szCs w:val="22"/>
                <w:lang w:eastAsia="sv-SE"/>
              </w:rPr>
            </w:pPr>
            <w:r w:rsidRPr="00FA0D37">
              <w:rPr>
                <w:b/>
                <w:i/>
                <w:szCs w:val="22"/>
                <w:lang w:eastAsia="sv-SE"/>
              </w:rPr>
              <w:t>msgA-RSRP-Threshold</w:t>
            </w:r>
          </w:p>
          <w:p w14:paraId="089F4E2D" w14:textId="77777777" w:rsidR="00394471" w:rsidRPr="00FA0D37" w:rsidRDefault="00394471" w:rsidP="00964CC4">
            <w:pPr>
              <w:pStyle w:val="TAL"/>
              <w:rPr>
                <w:b/>
                <w:i/>
                <w:szCs w:val="22"/>
                <w:lang w:eastAsia="sv-SE"/>
              </w:rPr>
            </w:pPr>
            <w:r w:rsidRPr="00FA0D37">
              <w:rPr>
                <w:szCs w:val="22"/>
                <w:lang w:eastAsia="sv-SE"/>
              </w:rPr>
              <w:t>The UE selects 2-step random access type to perform random access based on this threshold (see TS 38.321 [3], clause 5.1.1). This field is only present if both 2-step and 4-step RA type are configured for the BWP.</w:t>
            </w:r>
          </w:p>
        </w:tc>
      </w:tr>
      <w:tr w:rsidR="005C7FF4" w:rsidRPr="00FA0D37"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FA0D37" w:rsidRDefault="00394471" w:rsidP="00964CC4">
            <w:pPr>
              <w:pStyle w:val="TAL"/>
              <w:rPr>
                <w:b/>
                <w:i/>
                <w:szCs w:val="22"/>
                <w:lang w:eastAsia="sv-SE"/>
              </w:rPr>
            </w:pPr>
            <w:r w:rsidRPr="00FA0D37">
              <w:rPr>
                <w:b/>
                <w:i/>
                <w:szCs w:val="22"/>
                <w:lang w:eastAsia="sv-SE"/>
              </w:rPr>
              <w:t>msgA-RSRP-ThresholdSSB</w:t>
            </w:r>
          </w:p>
          <w:p w14:paraId="6C6900AB" w14:textId="77777777" w:rsidR="00394471" w:rsidRPr="00FA0D37" w:rsidRDefault="00394471" w:rsidP="00964CC4">
            <w:pPr>
              <w:pStyle w:val="TAL"/>
              <w:rPr>
                <w:b/>
                <w:i/>
                <w:szCs w:val="22"/>
                <w:lang w:eastAsia="sv-SE"/>
              </w:rPr>
            </w:pPr>
            <w:r w:rsidRPr="00FA0D37">
              <w:rPr>
                <w:szCs w:val="22"/>
                <w:lang w:eastAsia="sv-SE"/>
              </w:rPr>
              <w:t>UE may select the SS block and corresponding PRACH resource for path-loss estimation and (re)transmission based on SS blocks that satisfy the threshold (see TS 38.213 [13]).</w:t>
            </w:r>
          </w:p>
        </w:tc>
      </w:tr>
      <w:tr w:rsidR="005C7FF4" w:rsidRPr="00FA0D37"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FA0D37" w:rsidRDefault="00394471" w:rsidP="00964CC4">
            <w:pPr>
              <w:pStyle w:val="TAL"/>
              <w:rPr>
                <w:szCs w:val="22"/>
                <w:lang w:eastAsia="sv-SE"/>
              </w:rPr>
            </w:pPr>
            <w:r w:rsidRPr="00FA0D37">
              <w:rPr>
                <w:b/>
                <w:i/>
                <w:szCs w:val="22"/>
                <w:lang w:eastAsia="sv-SE"/>
              </w:rPr>
              <w:t>msgA-SSB-PerRACH-OccasionAndCB-PreamblesPerSSB</w:t>
            </w:r>
          </w:p>
          <w:p w14:paraId="500EB89C" w14:textId="1AA2F01C" w:rsidR="00394471" w:rsidRPr="00FA0D37" w:rsidRDefault="00394471" w:rsidP="00964CC4">
            <w:pPr>
              <w:pStyle w:val="TAL"/>
              <w:rPr>
                <w:b/>
                <w:i/>
                <w:szCs w:val="22"/>
                <w:lang w:eastAsia="sv-SE"/>
              </w:rPr>
            </w:pPr>
            <w:r w:rsidRPr="00FA0D37">
              <w:rPr>
                <w:szCs w:val="22"/>
                <w:lang w:eastAsia="sv-SE"/>
              </w:rPr>
              <w:t xml:space="preserve">The meaning of this field is twofold: the CHOICE conveys the information about the number of SSBs per RACH occasion. Value </w:t>
            </w:r>
            <w:r w:rsidRPr="00FA0D37">
              <w:rPr>
                <w:i/>
                <w:szCs w:val="22"/>
                <w:lang w:eastAsia="sv-SE"/>
              </w:rPr>
              <w:t>oneEight</w:t>
            </w:r>
            <w:r w:rsidRPr="00FA0D37">
              <w:rPr>
                <w:szCs w:val="22"/>
                <w:lang w:eastAsia="sv-SE"/>
              </w:rPr>
              <w:t xml:space="preserve"> corresponds to one SSB associated with 8 RACH occasions, value </w:t>
            </w:r>
            <w:r w:rsidRPr="00FA0D37">
              <w:rPr>
                <w:i/>
                <w:szCs w:val="22"/>
                <w:lang w:eastAsia="sv-SE"/>
              </w:rPr>
              <w:t>oneFourth</w:t>
            </w:r>
            <w:r w:rsidRPr="00FA0D37">
              <w:rPr>
                <w:szCs w:val="22"/>
                <w:lang w:eastAsia="sv-SE"/>
              </w:rPr>
              <w:t xml:space="preserve"> corresponds to one SSB associated with 4 RACH occasions, and so on. The ENUMERATED part indicates the number of Contention Based preambles per SSB. Value </w:t>
            </w:r>
            <w:r w:rsidRPr="00FA0D37">
              <w:rPr>
                <w:i/>
                <w:szCs w:val="22"/>
                <w:lang w:eastAsia="sv-SE"/>
              </w:rPr>
              <w:t>n4</w:t>
            </w:r>
            <w:r w:rsidRPr="00FA0D37">
              <w:rPr>
                <w:szCs w:val="22"/>
                <w:lang w:eastAsia="sv-SE"/>
              </w:rPr>
              <w:t xml:space="preserve"> corresponds to 4 Contention Based preambles per SSB, value </w:t>
            </w:r>
            <w:r w:rsidRPr="00FA0D37">
              <w:rPr>
                <w:i/>
                <w:szCs w:val="22"/>
                <w:lang w:eastAsia="sv-SE"/>
              </w:rPr>
              <w:t>n8</w:t>
            </w:r>
            <w:r w:rsidRPr="00FA0D37">
              <w:rPr>
                <w:szCs w:val="22"/>
                <w:lang w:eastAsia="sv-SE"/>
              </w:rPr>
              <w:t xml:space="preserve"> corresponds to 8 Contention Based preambles per SSB, and so on. The total number of CB preambles in a RACH occasion is given by </w:t>
            </w:r>
            <w:r w:rsidRPr="00FA0D37">
              <w:rPr>
                <w:i/>
                <w:szCs w:val="22"/>
                <w:lang w:eastAsia="sv-SE"/>
              </w:rPr>
              <w:t>CB-preambles-per-SSB</w:t>
            </w:r>
            <w:r w:rsidRPr="00FA0D37">
              <w:rPr>
                <w:szCs w:val="22"/>
                <w:lang w:eastAsia="sv-SE"/>
              </w:rPr>
              <w:t xml:space="preserve"> * max(1, </w:t>
            </w:r>
            <w:r w:rsidRPr="00FA0D37">
              <w:rPr>
                <w:i/>
                <w:szCs w:val="22"/>
                <w:lang w:eastAsia="sv-SE"/>
              </w:rPr>
              <w:t>SSB-per-rach-occasion</w:t>
            </w:r>
            <w:r w:rsidRPr="00FA0D37">
              <w:rPr>
                <w:szCs w:val="22"/>
                <w:lang w:eastAsia="sv-SE"/>
              </w:rPr>
              <w:t>). If the field is not configured</w:t>
            </w:r>
            <w:r w:rsidR="00A251FC" w:rsidRPr="00FA0D37">
              <w:rPr>
                <w:rFonts w:cs="Arial"/>
                <w:iCs/>
                <w:szCs w:val="22"/>
                <w:lang w:eastAsia="sv-SE"/>
              </w:rPr>
              <w:t xml:space="preserve"> in </w:t>
            </w:r>
            <w:r w:rsidR="00A251FC" w:rsidRPr="00FA0D37">
              <w:rPr>
                <w:rFonts w:cs="Arial"/>
                <w:i/>
                <w:iCs/>
                <w:szCs w:val="22"/>
                <w:lang w:eastAsia="sv-SE"/>
              </w:rPr>
              <w:t xml:space="preserve">RACH-ConfigCommonTwoStepRA </w:t>
            </w:r>
            <w:r w:rsidR="00A251FC" w:rsidRPr="00FA0D37">
              <w:rPr>
                <w:rFonts w:cs="Arial"/>
                <w:iCs/>
                <w:szCs w:val="22"/>
                <w:lang w:eastAsia="sv-SE"/>
              </w:rPr>
              <w:t xml:space="preserve">which is configured directly within a BWP (i.e. not within </w:t>
            </w:r>
            <w:r w:rsidR="00A251FC" w:rsidRPr="00FA0D37">
              <w:rPr>
                <w:rFonts w:cs="Arial"/>
                <w:i/>
                <w:iCs/>
                <w:szCs w:val="22"/>
                <w:lang w:eastAsia="sv-SE"/>
              </w:rPr>
              <w:t>AdditionalRACH-Config</w:t>
            </w:r>
            <w:r w:rsidR="00A251FC" w:rsidRPr="00FA0D37">
              <w:rPr>
                <w:rFonts w:cs="Arial"/>
                <w:iCs/>
                <w:szCs w:val="22"/>
                <w:lang w:eastAsia="sv-SE"/>
              </w:rPr>
              <w:t>)</w:t>
            </w:r>
            <w:r w:rsidRPr="00FA0D37">
              <w:rPr>
                <w:szCs w:val="22"/>
                <w:lang w:eastAsia="sv-SE"/>
              </w:rPr>
              <w:t xml:space="preserve"> and both 2-step and 4-step are configured for the BWP, the UE applies the value in the field </w:t>
            </w:r>
            <w:r w:rsidRPr="00FA0D37">
              <w:rPr>
                <w:i/>
                <w:szCs w:val="22"/>
                <w:lang w:eastAsia="sv-SE"/>
              </w:rPr>
              <w:t>ssb-perRACH-OccasionAndCB-PreamblesPerSSB</w:t>
            </w:r>
            <w:r w:rsidRPr="00FA0D37">
              <w:rPr>
                <w:szCs w:val="22"/>
                <w:lang w:eastAsia="sv-SE"/>
              </w:rPr>
              <w:t xml:space="preserve"> in </w:t>
            </w:r>
            <w:r w:rsidRPr="00FA0D37">
              <w:rPr>
                <w:i/>
                <w:szCs w:val="22"/>
                <w:lang w:eastAsia="sv-SE"/>
              </w:rPr>
              <w:t>RACH-ConfigCommon</w:t>
            </w:r>
            <w:r w:rsidR="00A251FC" w:rsidRPr="00FA0D37">
              <w:rPr>
                <w:rFonts w:cs="Arial"/>
                <w:i/>
                <w:szCs w:val="22"/>
                <w:lang w:eastAsia="sv-SE"/>
              </w:rPr>
              <w:t>.</w:t>
            </w:r>
            <w:r w:rsidR="00A251FC" w:rsidRPr="00FA0D37">
              <w:rPr>
                <w:rFonts w:cs="Arial"/>
                <w:szCs w:val="22"/>
                <w:lang w:eastAsia="sv-SE"/>
              </w:rPr>
              <w:t xml:space="preserve"> If the field is not configured in </w:t>
            </w:r>
            <w:r w:rsidR="00A251FC" w:rsidRPr="00FA0D37">
              <w:rPr>
                <w:rFonts w:cs="Arial"/>
                <w:i/>
                <w:szCs w:val="22"/>
                <w:lang w:eastAsia="sv-SE"/>
              </w:rPr>
              <w:t>AdditionalRACH-Config</w:t>
            </w:r>
            <w:r w:rsidR="00A251FC" w:rsidRPr="00FA0D37">
              <w:rPr>
                <w:rFonts w:cs="Arial"/>
                <w:szCs w:val="22"/>
                <w:lang w:eastAsia="sv-SE"/>
              </w:rPr>
              <w:t xml:space="preserve"> and both 2-step and 4-step are configured in </w:t>
            </w:r>
            <w:r w:rsidR="00A251FC" w:rsidRPr="00FA0D37">
              <w:rPr>
                <w:rFonts w:cs="Arial"/>
                <w:i/>
                <w:szCs w:val="22"/>
                <w:lang w:eastAsia="sv-SE"/>
              </w:rPr>
              <w:t>AdditionalRACH-Config</w:t>
            </w:r>
            <w:r w:rsidR="00A251FC" w:rsidRPr="00FA0D37">
              <w:rPr>
                <w:rFonts w:cs="Arial"/>
                <w:szCs w:val="22"/>
                <w:lang w:eastAsia="sv-SE"/>
              </w:rPr>
              <w:t xml:space="preserve">, the UE applies the value in the field </w:t>
            </w:r>
            <w:r w:rsidR="00A251FC" w:rsidRPr="00FA0D37">
              <w:rPr>
                <w:rFonts w:cs="Arial"/>
                <w:i/>
                <w:szCs w:val="22"/>
                <w:lang w:eastAsia="sv-SE"/>
              </w:rPr>
              <w:t>ssb-perRACH-OccasionAndCB-PreamblesPerSSB</w:t>
            </w:r>
            <w:r w:rsidR="00A251FC" w:rsidRPr="00FA0D37">
              <w:rPr>
                <w:rFonts w:cs="Arial"/>
                <w:szCs w:val="22"/>
                <w:lang w:eastAsia="sv-SE"/>
              </w:rPr>
              <w:t xml:space="preserve"> in </w:t>
            </w:r>
            <w:r w:rsidR="00A251FC" w:rsidRPr="00FA0D37">
              <w:rPr>
                <w:rFonts w:cs="Arial"/>
                <w:i/>
                <w:szCs w:val="22"/>
                <w:lang w:eastAsia="sv-SE"/>
              </w:rPr>
              <w:t xml:space="preserve">RACH-ConfigCommon </w:t>
            </w:r>
            <w:r w:rsidR="00A251FC" w:rsidRPr="00FA0D37">
              <w:rPr>
                <w:rFonts w:cs="Arial"/>
                <w:szCs w:val="22"/>
                <w:lang w:eastAsia="sv-SE"/>
              </w:rPr>
              <w:t xml:space="preserve">in the same </w:t>
            </w:r>
            <w:r w:rsidR="00A251FC" w:rsidRPr="00FA0D37">
              <w:rPr>
                <w:rFonts w:cs="Arial"/>
                <w:i/>
                <w:szCs w:val="22"/>
                <w:lang w:eastAsia="sv-SE"/>
              </w:rPr>
              <w:t>AdditionalRACH-Config</w:t>
            </w:r>
            <w:r w:rsidRPr="00FA0D37">
              <w:rPr>
                <w:szCs w:val="22"/>
                <w:lang w:eastAsia="sv-SE"/>
              </w:rPr>
              <w:t>.</w:t>
            </w:r>
            <w:r w:rsidRPr="00FA0D37">
              <w:rPr>
                <w:szCs w:val="22"/>
              </w:rPr>
              <w:t xml:space="preserve"> The field is not present when RACH occasions are shared between 2-step and 4-step type random access in the BWP.</w:t>
            </w:r>
          </w:p>
        </w:tc>
      </w:tr>
      <w:tr w:rsidR="005C7FF4" w:rsidRPr="00FA0D37"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FA0D37" w:rsidRDefault="00394471" w:rsidP="00964CC4">
            <w:pPr>
              <w:pStyle w:val="TAL"/>
              <w:rPr>
                <w:b/>
                <w:i/>
                <w:szCs w:val="22"/>
                <w:lang w:eastAsia="sv-SE"/>
              </w:rPr>
            </w:pPr>
            <w:r w:rsidRPr="00FA0D37">
              <w:rPr>
                <w:b/>
                <w:i/>
                <w:szCs w:val="22"/>
                <w:lang w:eastAsia="sv-SE"/>
              </w:rPr>
              <w:t>msgA-SSB-SharedRO-MaskIndex</w:t>
            </w:r>
          </w:p>
          <w:p w14:paraId="7CE41990" w14:textId="77777777" w:rsidR="00394471" w:rsidRPr="00FA0D37" w:rsidRDefault="00394471" w:rsidP="00964CC4">
            <w:pPr>
              <w:pStyle w:val="TAL"/>
              <w:rPr>
                <w:szCs w:val="22"/>
                <w:lang w:eastAsia="sv-SE"/>
              </w:rPr>
            </w:pPr>
            <w:r w:rsidRPr="00FA0D37">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5C7FF4" w:rsidRPr="00FA0D37"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FA0D37" w:rsidRDefault="00394471" w:rsidP="00964CC4">
            <w:pPr>
              <w:pStyle w:val="TAL"/>
              <w:rPr>
                <w:b/>
                <w:i/>
                <w:szCs w:val="22"/>
                <w:lang w:eastAsia="sv-SE"/>
              </w:rPr>
            </w:pPr>
            <w:r w:rsidRPr="00FA0D37">
              <w:rPr>
                <w:b/>
                <w:i/>
                <w:szCs w:val="22"/>
                <w:lang w:eastAsia="sv-SE"/>
              </w:rPr>
              <w:lastRenderedPageBreak/>
              <w:t>msgA-SubcarrierSpacing</w:t>
            </w:r>
          </w:p>
          <w:p w14:paraId="63E49020" w14:textId="719463EA" w:rsidR="00E826D8" w:rsidRPr="00FA0D37" w:rsidRDefault="00394471" w:rsidP="00964CC4">
            <w:pPr>
              <w:pStyle w:val="TAL"/>
              <w:rPr>
                <w:szCs w:val="22"/>
                <w:lang w:eastAsia="sv-SE"/>
              </w:rPr>
            </w:pPr>
            <w:r w:rsidRPr="00FA0D37">
              <w:rPr>
                <w:szCs w:val="22"/>
                <w:lang w:eastAsia="sv-SE"/>
              </w:rPr>
              <w:t>Subcarrier spacing of PRACH (see TS 38.211 [16], clause 5.3.2).</w:t>
            </w:r>
          </w:p>
          <w:p w14:paraId="65A9B1F9" w14:textId="77777777" w:rsidR="00E826D8" w:rsidRPr="00FA0D37" w:rsidRDefault="00E826D8" w:rsidP="00E826D8">
            <w:pPr>
              <w:pStyle w:val="TAL"/>
              <w:rPr>
                <w:lang w:eastAsia="sv-SE"/>
              </w:rPr>
            </w:pPr>
            <w:r w:rsidRPr="00FA0D37">
              <w:rPr>
                <w:lang w:eastAsia="sv-SE"/>
              </w:rPr>
              <w:t>Only the following values are applicable depending on the used frequency:</w:t>
            </w:r>
          </w:p>
          <w:p w14:paraId="3A1D9A23" w14:textId="77777777" w:rsidR="00E826D8" w:rsidRPr="00FA0D37" w:rsidRDefault="00E826D8" w:rsidP="00E826D8">
            <w:pPr>
              <w:pStyle w:val="TAL"/>
              <w:rPr>
                <w:lang w:eastAsia="sv-SE"/>
              </w:rPr>
            </w:pPr>
            <w:r w:rsidRPr="00FA0D37">
              <w:rPr>
                <w:lang w:eastAsia="sv-SE"/>
              </w:rPr>
              <w:t>FR1:    15 or 30 kHz</w:t>
            </w:r>
          </w:p>
          <w:p w14:paraId="46CF391D" w14:textId="77777777" w:rsidR="00F747EB" w:rsidRPr="00FA0D37" w:rsidRDefault="00E826D8" w:rsidP="00E826D8">
            <w:pPr>
              <w:pStyle w:val="TAL"/>
              <w:rPr>
                <w:lang w:eastAsia="sv-SE"/>
              </w:rPr>
            </w:pPr>
            <w:r w:rsidRPr="00FA0D37">
              <w:rPr>
                <w:lang w:eastAsia="sv-SE"/>
              </w:rPr>
              <w:t>FR2-1:  60 or 120 kHz</w:t>
            </w:r>
          </w:p>
          <w:p w14:paraId="4B9765F6" w14:textId="16CEF730" w:rsidR="00E826D8" w:rsidRPr="00FA0D37" w:rsidRDefault="00E826D8" w:rsidP="00E826D8">
            <w:pPr>
              <w:pStyle w:val="TAL"/>
              <w:rPr>
                <w:lang w:eastAsia="sv-SE"/>
              </w:rPr>
            </w:pPr>
            <w:r w:rsidRPr="00FA0D37">
              <w:rPr>
                <w:lang w:eastAsia="sv-SE"/>
              </w:rPr>
              <w:t>FR2-2:  120, 480, or 960 kHz.</w:t>
            </w:r>
          </w:p>
          <w:p w14:paraId="7259CC6E" w14:textId="3881188B" w:rsidR="00394471" w:rsidRPr="00FA0D37" w:rsidRDefault="003505FC" w:rsidP="00964CC4">
            <w:pPr>
              <w:pStyle w:val="TAL"/>
              <w:rPr>
                <w:szCs w:val="22"/>
                <w:lang w:eastAsia="sv-SE"/>
              </w:rPr>
            </w:pPr>
            <w:r w:rsidRPr="00FA0D37">
              <w:rPr>
                <w:lang w:eastAsia="sv-SE"/>
              </w:rPr>
              <w:t xml:space="preserve">If the field is absent, the UE applies the SCS as derived from the </w:t>
            </w:r>
            <w:r w:rsidRPr="00FA0D37">
              <w:rPr>
                <w:i/>
                <w:szCs w:val="22"/>
                <w:lang w:eastAsia="sv-SE"/>
              </w:rPr>
              <w:t>msgA-</w:t>
            </w:r>
            <w:r w:rsidRPr="00FA0D37">
              <w:rPr>
                <w:i/>
                <w:lang w:eastAsia="sv-SE"/>
              </w:rPr>
              <w:t>PRACH-ConfigurationIndex</w:t>
            </w:r>
            <w:r w:rsidRPr="00FA0D37">
              <w:rPr>
                <w:lang w:eastAsia="sv-SE"/>
              </w:rPr>
              <w:t xml:space="preserve"> in </w:t>
            </w:r>
            <w:r w:rsidRPr="00FA0D37">
              <w:rPr>
                <w:i/>
                <w:lang w:eastAsia="sv-SE"/>
              </w:rPr>
              <w:t>RACH-ConfigGeneric</w:t>
            </w:r>
            <w:r w:rsidRPr="00FA0D37">
              <w:rPr>
                <w:i/>
                <w:szCs w:val="22"/>
                <w:lang w:eastAsia="sv-SE"/>
              </w:rPr>
              <w:t>TwoStepRA</w:t>
            </w:r>
            <w:r w:rsidRPr="00FA0D37">
              <w:rPr>
                <w:lang w:eastAsia="sv-SE"/>
              </w:rPr>
              <w:t xml:space="preserve"> (see tables Table 6.3.3.1-1, Table 6.3.3.1-2, Table 6.3.3.2-2 and Table 6.3.3.2-3, TS 38.211 [16])</w:t>
            </w:r>
            <w:r w:rsidR="00394471" w:rsidRPr="00FA0D37">
              <w:rPr>
                <w:szCs w:val="22"/>
                <w:lang w:eastAsia="sv-SE"/>
              </w:rPr>
              <w:t xml:space="preserve"> in case of 2-step only BWP</w:t>
            </w:r>
            <w:r w:rsidR="00394471" w:rsidRPr="00FA0D37">
              <w:rPr>
                <w:lang w:eastAsia="sv-SE"/>
              </w:rPr>
              <w:t xml:space="preserve">, otherwise the UE applies the </w:t>
            </w:r>
            <w:r w:rsidRPr="00FA0D37">
              <w:rPr>
                <w:lang w:eastAsia="sv-SE"/>
              </w:rPr>
              <w:t xml:space="preserve">same </w:t>
            </w:r>
            <w:r w:rsidR="00394471" w:rsidRPr="00FA0D37">
              <w:rPr>
                <w:lang w:eastAsia="sv-SE"/>
              </w:rPr>
              <w:t xml:space="preserve">SCS as </w:t>
            </w:r>
            <w:r w:rsidRPr="00FA0D37">
              <w:rPr>
                <w:lang w:eastAsia="sv-SE"/>
              </w:rPr>
              <w:t xml:space="preserve">Msg1 </w:t>
            </w:r>
            <w:r w:rsidR="00394471" w:rsidRPr="00FA0D37">
              <w:rPr>
                <w:lang w:eastAsia="sv-SE"/>
              </w:rPr>
              <w:t xml:space="preserve">derived from </w:t>
            </w:r>
            <w:r w:rsidR="00394471" w:rsidRPr="00FA0D37">
              <w:rPr>
                <w:i/>
              </w:rPr>
              <w:t>RACH-ConfigCommon</w:t>
            </w:r>
            <w:r w:rsidR="00394471" w:rsidRPr="00FA0D37">
              <w:rPr>
                <w:lang w:eastAsia="sv-SE"/>
              </w:rPr>
              <w:t>. The value also applies to contention free 2-step random access type (</w:t>
            </w:r>
            <w:r w:rsidR="00394471" w:rsidRPr="00FA0D37">
              <w:rPr>
                <w:i/>
                <w:lang w:eastAsia="sv-SE"/>
              </w:rPr>
              <w:t>RACH-ConfigDedicated</w:t>
            </w:r>
            <w:r w:rsidR="00394471" w:rsidRPr="00FA0D37">
              <w:rPr>
                <w:lang w:eastAsia="sv-SE"/>
              </w:rPr>
              <w:t>).</w:t>
            </w:r>
          </w:p>
        </w:tc>
      </w:tr>
      <w:tr w:rsidR="005C7FF4" w:rsidRPr="00FA0D37"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FA0D37" w:rsidRDefault="00394471" w:rsidP="00964CC4">
            <w:pPr>
              <w:pStyle w:val="TAL"/>
              <w:rPr>
                <w:szCs w:val="22"/>
                <w:lang w:eastAsia="sv-SE"/>
              </w:rPr>
            </w:pPr>
            <w:r w:rsidRPr="00FA0D37">
              <w:rPr>
                <w:b/>
                <w:i/>
                <w:szCs w:val="22"/>
                <w:lang w:eastAsia="sv-SE"/>
              </w:rPr>
              <w:t>msgA-TotalNumberOfRA-Preambles</w:t>
            </w:r>
          </w:p>
          <w:p w14:paraId="678F42A0" w14:textId="77777777" w:rsidR="00394471" w:rsidRPr="00FA0D37" w:rsidRDefault="00394471" w:rsidP="00964CC4">
            <w:pPr>
              <w:pStyle w:val="TAL"/>
              <w:rPr>
                <w:b/>
                <w:i/>
                <w:szCs w:val="22"/>
                <w:lang w:eastAsia="sv-SE"/>
              </w:rPr>
            </w:pPr>
            <w:r w:rsidRPr="00FA0D37">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5C7FF4" w:rsidRPr="00FA0D37"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FA0D37" w:rsidRDefault="00394471" w:rsidP="00964CC4">
            <w:pPr>
              <w:pStyle w:val="TAL"/>
              <w:rPr>
                <w:b/>
                <w:i/>
                <w:szCs w:val="22"/>
                <w:lang w:eastAsia="sv-SE"/>
              </w:rPr>
            </w:pPr>
            <w:r w:rsidRPr="00FA0D37">
              <w:rPr>
                <w:b/>
                <w:i/>
                <w:szCs w:val="22"/>
                <w:lang w:eastAsia="sv-SE"/>
              </w:rPr>
              <w:t>msgA-TransMax</w:t>
            </w:r>
          </w:p>
          <w:p w14:paraId="132F1FEC" w14:textId="77777777" w:rsidR="00394471" w:rsidRPr="00FA0D37" w:rsidRDefault="00394471" w:rsidP="00964CC4">
            <w:pPr>
              <w:pStyle w:val="TAL"/>
              <w:rPr>
                <w:bCs/>
                <w:iCs/>
                <w:szCs w:val="22"/>
                <w:lang w:eastAsia="sv-SE"/>
              </w:rPr>
            </w:pPr>
            <w:r w:rsidRPr="00FA0D37">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5C7FF4" w:rsidRPr="00FA0D37"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FA0D37" w:rsidRDefault="00394471" w:rsidP="00964CC4">
            <w:pPr>
              <w:pStyle w:val="TAL"/>
              <w:rPr>
                <w:b/>
                <w:i/>
                <w:szCs w:val="22"/>
                <w:lang w:eastAsia="sv-SE"/>
              </w:rPr>
            </w:pPr>
            <w:r w:rsidRPr="00FA0D37">
              <w:rPr>
                <w:b/>
                <w:i/>
                <w:szCs w:val="22"/>
                <w:lang w:eastAsia="sv-SE"/>
              </w:rPr>
              <w:t>ra-ContentionResolutionTimer</w:t>
            </w:r>
          </w:p>
          <w:p w14:paraId="33360176" w14:textId="130D6F63" w:rsidR="00394471" w:rsidRPr="00FA0D37" w:rsidRDefault="00394471" w:rsidP="00964CC4">
            <w:pPr>
              <w:pStyle w:val="TAL"/>
              <w:rPr>
                <w:bCs/>
                <w:iCs/>
                <w:szCs w:val="22"/>
                <w:lang w:eastAsia="sv-SE"/>
              </w:rPr>
            </w:pPr>
            <w:r w:rsidRPr="00FA0D37">
              <w:rPr>
                <w:szCs w:val="22"/>
                <w:lang w:eastAsia="sv-SE"/>
              </w:rPr>
              <w:t xml:space="preserve">The initial value for the contention resolution timer for fallback RAR in case no 4-step random access type is configured (see TS 38.321 [3], clause 5.1.5). Value </w:t>
            </w:r>
            <w:r w:rsidRPr="00FA0D37">
              <w:rPr>
                <w:i/>
                <w:szCs w:val="22"/>
                <w:lang w:eastAsia="sv-SE"/>
              </w:rPr>
              <w:t>sf8</w:t>
            </w:r>
            <w:r w:rsidRPr="00FA0D37">
              <w:rPr>
                <w:szCs w:val="22"/>
                <w:lang w:eastAsia="sv-SE"/>
              </w:rPr>
              <w:t xml:space="preserve"> corresponds to 8 subframes, value </w:t>
            </w:r>
            <w:r w:rsidRPr="00FA0D37">
              <w:rPr>
                <w:i/>
                <w:szCs w:val="22"/>
                <w:lang w:eastAsia="sv-SE"/>
              </w:rPr>
              <w:t>sf16</w:t>
            </w:r>
            <w:r w:rsidRPr="00FA0D37">
              <w:rPr>
                <w:szCs w:val="22"/>
                <w:lang w:eastAsia="sv-SE"/>
              </w:rPr>
              <w:t xml:space="preserve"> corresponds to 16 subframes, and so on.</w:t>
            </w:r>
            <w:r w:rsidRPr="00FA0D37">
              <w:rPr>
                <w:szCs w:val="22"/>
              </w:rPr>
              <w:t xml:space="preserve"> If both 2-step and 4-step random access type resources are configured on the BWP, then this field is absent.</w:t>
            </w:r>
            <w:r w:rsidR="003B06FB" w:rsidRPr="00FA0D37">
              <w:rPr>
                <w:szCs w:val="22"/>
              </w:rPr>
              <w:t xml:space="preserve"> If the field is absent in </w:t>
            </w:r>
            <w:r w:rsidR="003B06FB" w:rsidRPr="00FA0D37">
              <w:rPr>
                <w:i/>
                <w:szCs w:val="22"/>
              </w:rPr>
              <w:t>RACH-ConfigCommonTwoStepRA</w:t>
            </w:r>
            <w:r w:rsidR="003B06FB" w:rsidRPr="00FA0D37">
              <w:rPr>
                <w:szCs w:val="22"/>
              </w:rPr>
              <w:t xml:space="preserve"> in </w:t>
            </w:r>
            <w:r w:rsidR="003B06FB" w:rsidRPr="00FA0D37">
              <w:rPr>
                <w:i/>
                <w:szCs w:val="22"/>
              </w:rPr>
              <w:t>AdditionalRACH-Config</w:t>
            </w:r>
            <w:r w:rsidR="003B06FB" w:rsidRPr="00FA0D37">
              <w:rPr>
                <w:szCs w:val="22"/>
              </w:rPr>
              <w:t xml:space="preserve">, the UE shall apply the corresponding value in </w:t>
            </w:r>
            <w:r w:rsidR="003B06FB" w:rsidRPr="00FA0D37">
              <w:rPr>
                <w:i/>
                <w:szCs w:val="22"/>
              </w:rPr>
              <w:t>RACH-ConfigCommon</w:t>
            </w:r>
            <w:r w:rsidR="003B06FB" w:rsidRPr="00FA0D37">
              <w:rPr>
                <w:szCs w:val="22"/>
              </w:rPr>
              <w:t xml:space="preserve"> in the same </w:t>
            </w:r>
            <w:r w:rsidR="003B06FB" w:rsidRPr="00FA0D37">
              <w:rPr>
                <w:i/>
                <w:szCs w:val="22"/>
              </w:rPr>
              <w:t>AdditionalRACH-Config.</w:t>
            </w:r>
          </w:p>
        </w:tc>
      </w:tr>
      <w:tr w:rsidR="005C7FF4" w:rsidRPr="00FA0D37"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FA0D37" w:rsidRDefault="00394471" w:rsidP="00964CC4">
            <w:pPr>
              <w:pStyle w:val="TAL"/>
              <w:rPr>
                <w:b/>
                <w:i/>
                <w:szCs w:val="22"/>
                <w:lang w:eastAsia="sv-SE"/>
              </w:rPr>
            </w:pPr>
            <w:r w:rsidRPr="00FA0D37">
              <w:rPr>
                <w:b/>
                <w:i/>
                <w:szCs w:val="22"/>
                <w:lang w:eastAsia="sv-SE"/>
              </w:rPr>
              <w:t>ra-Prioritization</w:t>
            </w:r>
          </w:p>
          <w:p w14:paraId="4DFDB2F9" w14:textId="77777777" w:rsidR="00394471" w:rsidRPr="00FA0D37" w:rsidRDefault="00394471" w:rsidP="00964CC4">
            <w:pPr>
              <w:pStyle w:val="TAL"/>
              <w:rPr>
                <w:szCs w:val="22"/>
                <w:lang w:eastAsia="sv-SE"/>
              </w:rPr>
            </w:pPr>
            <w:r w:rsidRPr="00FA0D37">
              <w:rPr>
                <w:szCs w:val="22"/>
                <w:lang w:eastAsia="sv-SE"/>
              </w:rPr>
              <w:t>Parameters which apply for prioritized random access procedure on any UL BWP of SpCell for specific Access Identities (see TS 38.321 [3], clause 5.1.1a).</w:t>
            </w:r>
          </w:p>
        </w:tc>
      </w:tr>
      <w:tr w:rsidR="005C7FF4" w:rsidRPr="00FA0D37"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FA0D37" w:rsidRDefault="00394471" w:rsidP="00964CC4">
            <w:pPr>
              <w:pStyle w:val="TAL"/>
              <w:rPr>
                <w:b/>
                <w:i/>
                <w:szCs w:val="22"/>
                <w:lang w:eastAsia="sv-SE"/>
              </w:rPr>
            </w:pPr>
            <w:r w:rsidRPr="00FA0D37">
              <w:rPr>
                <w:b/>
                <w:i/>
                <w:szCs w:val="22"/>
                <w:lang w:eastAsia="sv-SE"/>
              </w:rPr>
              <w:t>ra-PrioritizationForAI</w:t>
            </w:r>
          </w:p>
          <w:p w14:paraId="11BD2D80" w14:textId="77777777" w:rsidR="00394471" w:rsidRPr="00FA0D37" w:rsidRDefault="00394471" w:rsidP="00964CC4">
            <w:pPr>
              <w:pStyle w:val="TAL"/>
              <w:rPr>
                <w:szCs w:val="22"/>
                <w:lang w:eastAsia="sv-SE"/>
              </w:rPr>
            </w:pPr>
            <w:r w:rsidRPr="00FA0D37">
              <w:rPr>
                <w:szCs w:val="22"/>
                <w:lang w:eastAsia="sv-SE"/>
              </w:rPr>
              <w:t xml:space="preserve">Indicates whether the field </w:t>
            </w:r>
            <w:r w:rsidRPr="00FA0D37">
              <w:rPr>
                <w:i/>
                <w:iCs/>
                <w:szCs w:val="22"/>
                <w:lang w:eastAsia="sv-SE"/>
              </w:rPr>
              <w:t>ra-Prioritization-r16</w:t>
            </w:r>
            <w:r w:rsidRPr="00FA0D37">
              <w:rPr>
                <w:szCs w:val="22"/>
                <w:lang w:eastAsia="sv-SE"/>
              </w:rPr>
              <w:t xml:space="preserve"> applies for Access Identities. The first/leftmost bit corresponds to Access Identity 1, the next bit corresponds to Access Identity 2. Value </w:t>
            </w:r>
            <w:r w:rsidRPr="00FA0D37">
              <w:rPr>
                <w:i/>
                <w:iCs/>
                <w:szCs w:val="22"/>
                <w:lang w:eastAsia="sv-SE"/>
              </w:rPr>
              <w:t>1</w:t>
            </w:r>
            <w:r w:rsidRPr="00FA0D37">
              <w:rPr>
                <w:szCs w:val="22"/>
                <w:lang w:eastAsia="sv-SE"/>
              </w:rPr>
              <w:t xml:space="preserve"> for an Access Identity indicates that the field </w:t>
            </w:r>
            <w:r w:rsidRPr="00FA0D37">
              <w:rPr>
                <w:i/>
                <w:iCs/>
                <w:szCs w:val="22"/>
                <w:lang w:eastAsia="sv-SE"/>
              </w:rPr>
              <w:t>ra-Prioritization-r16</w:t>
            </w:r>
            <w:r w:rsidRPr="00FA0D37">
              <w:rPr>
                <w:szCs w:val="22"/>
                <w:lang w:eastAsia="sv-SE"/>
              </w:rPr>
              <w:t xml:space="preserve"> applies, otherwise the field does not apply.</w:t>
            </w:r>
          </w:p>
        </w:tc>
      </w:tr>
      <w:tr w:rsidR="005C7FF4" w:rsidRPr="00FA0D37"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FA0D37" w:rsidRDefault="008E5FFC" w:rsidP="008E5FFC">
            <w:pPr>
              <w:pStyle w:val="TAL"/>
              <w:rPr>
                <w:b/>
                <w:i/>
                <w:szCs w:val="22"/>
                <w:lang w:eastAsia="sv-SE"/>
              </w:rPr>
            </w:pPr>
            <w:r w:rsidRPr="00FA0D37">
              <w:rPr>
                <w:b/>
                <w:i/>
                <w:szCs w:val="22"/>
                <w:lang w:eastAsia="sv-SE"/>
              </w:rPr>
              <w:t>ra-PrioritizationForSlicingTwoStep</w:t>
            </w:r>
          </w:p>
          <w:p w14:paraId="189DAF50" w14:textId="331695B9" w:rsidR="008E5FFC" w:rsidRPr="00FA0D37" w:rsidRDefault="008E5FFC" w:rsidP="008E5FFC">
            <w:pPr>
              <w:pStyle w:val="TAL"/>
              <w:rPr>
                <w:b/>
                <w:i/>
                <w:szCs w:val="22"/>
                <w:lang w:eastAsia="sv-SE"/>
              </w:rPr>
            </w:pPr>
            <w:r w:rsidRPr="00FA0D37">
              <w:rPr>
                <w:szCs w:val="22"/>
                <w:lang w:eastAsia="sv-SE"/>
              </w:rPr>
              <w:t>Parameters which apply to configure prioritized CBRA 2-step random access type for slicing.</w:t>
            </w:r>
          </w:p>
        </w:tc>
      </w:tr>
      <w:tr w:rsidR="00394471" w:rsidRPr="00FA0D37"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FA0D37" w:rsidRDefault="00394471" w:rsidP="00964CC4">
            <w:pPr>
              <w:pStyle w:val="TAL"/>
              <w:rPr>
                <w:b/>
                <w:i/>
                <w:szCs w:val="22"/>
                <w:lang w:eastAsia="sv-SE"/>
              </w:rPr>
            </w:pPr>
            <w:r w:rsidRPr="00FA0D37">
              <w:rPr>
                <w:b/>
                <w:i/>
                <w:szCs w:val="22"/>
                <w:lang w:eastAsia="sv-SE"/>
              </w:rPr>
              <w:t>rach-ConfigGenericTwoStepRA</w:t>
            </w:r>
          </w:p>
          <w:p w14:paraId="032240E5" w14:textId="77777777" w:rsidR="00394471" w:rsidRPr="00FA0D37" w:rsidRDefault="00394471" w:rsidP="00964CC4">
            <w:pPr>
              <w:pStyle w:val="TAL"/>
              <w:rPr>
                <w:b/>
                <w:i/>
                <w:szCs w:val="22"/>
                <w:lang w:eastAsia="sv-SE"/>
              </w:rPr>
            </w:pPr>
            <w:r w:rsidRPr="00FA0D37">
              <w:rPr>
                <w:lang w:eastAsia="sv-SE"/>
              </w:rPr>
              <w:t>2-step random access type parameters for both regular random access and beam failure recovery</w:t>
            </w:r>
            <w:r w:rsidRPr="00FA0D37">
              <w:rPr>
                <w:szCs w:val="22"/>
                <w:lang w:eastAsia="sv-SE"/>
              </w:rPr>
              <w:t>.</w:t>
            </w:r>
          </w:p>
        </w:tc>
      </w:tr>
    </w:tbl>
    <w:p w14:paraId="7430CEB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FA0D37" w:rsidRDefault="00394471" w:rsidP="00964CC4">
            <w:pPr>
              <w:pStyle w:val="TAH"/>
              <w:rPr>
                <w:szCs w:val="22"/>
                <w:lang w:eastAsia="sv-SE"/>
              </w:rPr>
            </w:pPr>
            <w:r w:rsidRPr="00FA0D37">
              <w:rPr>
                <w:i/>
                <w:szCs w:val="22"/>
                <w:lang w:eastAsia="sv-SE"/>
              </w:rPr>
              <w:t xml:space="preserve">GroupB-ConfiguredTwoStepRA </w:t>
            </w:r>
            <w:r w:rsidRPr="00FA0D37">
              <w:rPr>
                <w:szCs w:val="22"/>
                <w:lang w:eastAsia="sv-SE"/>
              </w:rPr>
              <w:t>field descriptions</w:t>
            </w:r>
          </w:p>
        </w:tc>
      </w:tr>
      <w:tr w:rsidR="005C7FF4" w:rsidRPr="00FA0D37"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FA0D37" w:rsidRDefault="00394471" w:rsidP="00964CC4">
            <w:pPr>
              <w:pStyle w:val="TAL"/>
              <w:rPr>
                <w:szCs w:val="22"/>
                <w:lang w:eastAsia="sv-SE"/>
              </w:rPr>
            </w:pPr>
            <w:r w:rsidRPr="00FA0D37">
              <w:rPr>
                <w:b/>
                <w:i/>
                <w:szCs w:val="22"/>
                <w:lang w:eastAsia="sv-SE"/>
              </w:rPr>
              <w:t>messagePowerOffsetGroupB</w:t>
            </w:r>
          </w:p>
          <w:p w14:paraId="681DAB0E" w14:textId="77777777" w:rsidR="00394471" w:rsidRPr="00FA0D37" w:rsidRDefault="00394471" w:rsidP="00964CC4">
            <w:pPr>
              <w:pStyle w:val="TAL"/>
              <w:rPr>
                <w:b/>
                <w:i/>
                <w:szCs w:val="22"/>
                <w:lang w:eastAsia="sv-SE"/>
              </w:rPr>
            </w:pPr>
            <w:r w:rsidRPr="00FA0D37">
              <w:rPr>
                <w:szCs w:val="22"/>
                <w:lang w:eastAsia="sv-SE"/>
              </w:rPr>
              <w:t xml:space="preserve">Threshold for preamble selection. Value is in dB. Value </w:t>
            </w:r>
            <w:r w:rsidRPr="00FA0D37">
              <w:rPr>
                <w:i/>
                <w:szCs w:val="22"/>
                <w:lang w:eastAsia="sv-SE"/>
              </w:rPr>
              <w:t>minusinfinity</w:t>
            </w:r>
            <w:r w:rsidRPr="00FA0D37">
              <w:rPr>
                <w:szCs w:val="22"/>
                <w:lang w:eastAsia="sv-SE"/>
              </w:rPr>
              <w:t xml:space="preserve"> corresponds to –infinity. Value </w:t>
            </w:r>
            <w:r w:rsidRPr="00FA0D37">
              <w:rPr>
                <w:i/>
                <w:szCs w:val="22"/>
                <w:lang w:eastAsia="sv-SE"/>
              </w:rPr>
              <w:t>dB0</w:t>
            </w:r>
            <w:r w:rsidRPr="00FA0D37">
              <w:rPr>
                <w:szCs w:val="22"/>
                <w:lang w:eastAsia="sv-SE"/>
              </w:rPr>
              <w:t xml:space="preserve"> corresponds to 0 dB, </w:t>
            </w:r>
            <w:r w:rsidRPr="00FA0D37">
              <w:rPr>
                <w:i/>
                <w:szCs w:val="22"/>
                <w:lang w:eastAsia="sv-SE"/>
              </w:rPr>
              <w:t>dB5</w:t>
            </w:r>
            <w:r w:rsidRPr="00FA0D37">
              <w:rPr>
                <w:szCs w:val="22"/>
                <w:lang w:eastAsia="sv-SE"/>
              </w:rPr>
              <w:t xml:space="preserve"> corresponds to 5 dB and so on. (see TS 38.321 [3], clause 5.1.1).</w:t>
            </w:r>
          </w:p>
        </w:tc>
      </w:tr>
      <w:tr w:rsidR="005C7FF4" w:rsidRPr="00FA0D37"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FA0D37" w:rsidRDefault="00394471" w:rsidP="00964CC4">
            <w:pPr>
              <w:pStyle w:val="TAL"/>
              <w:rPr>
                <w:b/>
                <w:i/>
                <w:szCs w:val="22"/>
                <w:lang w:eastAsia="sv-SE"/>
              </w:rPr>
            </w:pPr>
            <w:r w:rsidRPr="00FA0D37">
              <w:rPr>
                <w:b/>
                <w:i/>
                <w:szCs w:val="22"/>
                <w:lang w:eastAsia="sv-SE"/>
              </w:rPr>
              <w:t>number</w:t>
            </w:r>
            <w:r w:rsidR="00425E6C" w:rsidRPr="00FA0D37">
              <w:rPr>
                <w:b/>
                <w:i/>
                <w:szCs w:val="22"/>
                <w:lang w:eastAsia="sv-SE"/>
              </w:rPr>
              <w:t>O</w:t>
            </w:r>
            <w:r w:rsidRPr="00FA0D37">
              <w:rPr>
                <w:b/>
                <w:i/>
                <w:szCs w:val="22"/>
                <w:lang w:eastAsia="sv-SE"/>
              </w:rPr>
              <w:t>fRA-PreamblesGroupA</w:t>
            </w:r>
          </w:p>
          <w:p w14:paraId="7C909EA5" w14:textId="5E15F89D" w:rsidR="00394471" w:rsidRPr="00FA0D37" w:rsidRDefault="00394471" w:rsidP="00964CC4">
            <w:pPr>
              <w:pStyle w:val="TAL"/>
              <w:rPr>
                <w:szCs w:val="22"/>
                <w:lang w:eastAsia="sv-SE"/>
              </w:rPr>
            </w:pPr>
            <w:r w:rsidRPr="00FA0D37">
              <w:rPr>
                <w:szCs w:val="22"/>
                <w:lang w:eastAsia="sv-SE"/>
              </w:rPr>
              <w:t xml:space="preserve">The number of CB preambles per SSB in group A for idle/inactive or connected mode. The setting of the number of preambles for each group should be consistent with </w:t>
            </w:r>
            <w:r w:rsidR="00B46FD6" w:rsidRPr="00FA0D37">
              <w:rPr>
                <w:i/>
                <w:lang w:eastAsia="sv-SE"/>
              </w:rPr>
              <w:t>msgA-SSB-PerRACH-OccasionAndCB-PreamblesPerSSB</w:t>
            </w:r>
            <w:r w:rsidRPr="00FA0D37">
              <w:rPr>
                <w:lang w:eastAsia="sv-SE"/>
              </w:rPr>
              <w:t xml:space="preserve"> or </w:t>
            </w:r>
            <w:r w:rsidRPr="00FA0D37">
              <w:rPr>
                <w:i/>
                <w:lang w:eastAsia="sv-SE"/>
              </w:rPr>
              <w:t>msgA-CB-PreamblesPerSSB</w:t>
            </w:r>
            <w:r w:rsidR="00425E6C" w:rsidRPr="00FA0D37">
              <w:rPr>
                <w:i/>
                <w:lang w:eastAsia="sv-SE"/>
              </w:rPr>
              <w:t>-PerSharedRO</w:t>
            </w:r>
            <w:r w:rsidRPr="00FA0D37">
              <w:rPr>
                <w:lang w:eastAsia="sv-SE"/>
              </w:rPr>
              <w:t xml:space="preserve"> if configured.</w:t>
            </w:r>
          </w:p>
        </w:tc>
      </w:tr>
      <w:tr w:rsidR="00394471" w:rsidRPr="00FA0D37"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FA0D37" w:rsidRDefault="00394471" w:rsidP="00964CC4">
            <w:pPr>
              <w:pStyle w:val="TAL"/>
              <w:rPr>
                <w:b/>
                <w:i/>
                <w:szCs w:val="22"/>
                <w:lang w:eastAsia="sv-SE"/>
              </w:rPr>
            </w:pPr>
            <w:r w:rsidRPr="00FA0D37">
              <w:rPr>
                <w:b/>
                <w:i/>
                <w:szCs w:val="22"/>
                <w:lang w:eastAsia="sv-SE"/>
              </w:rPr>
              <w:t>ra-MsgA-SizeGroupA</w:t>
            </w:r>
          </w:p>
          <w:p w14:paraId="7140121A" w14:textId="77777777" w:rsidR="00394471" w:rsidRPr="00FA0D37" w:rsidRDefault="00394471" w:rsidP="00964CC4">
            <w:pPr>
              <w:pStyle w:val="TAL"/>
              <w:rPr>
                <w:szCs w:val="22"/>
                <w:lang w:eastAsia="sv-SE"/>
              </w:rPr>
            </w:pPr>
            <w:r w:rsidRPr="00FA0D37">
              <w:rPr>
                <w:szCs w:val="22"/>
                <w:lang w:eastAsia="sv-SE"/>
              </w:rPr>
              <w:t>Transport block size threshold in bits below which the UE shall use a contention-based RA preamble of group A. (see TS 38.321 [3], clause 5.1.1).</w:t>
            </w:r>
          </w:p>
        </w:tc>
      </w:tr>
    </w:tbl>
    <w:p w14:paraId="1466F88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FA0D37" w:rsidRDefault="00394471" w:rsidP="00964CC4">
            <w:pPr>
              <w:pStyle w:val="TAH"/>
              <w:rPr>
                <w:rFonts w:eastAsia="Calibri"/>
                <w:lang w:eastAsia="sv-SE"/>
              </w:rPr>
            </w:pPr>
            <w:r w:rsidRPr="00FA0D37">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FA0D37" w:rsidRDefault="00394471" w:rsidP="00964CC4">
            <w:pPr>
              <w:pStyle w:val="TAH"/>
              <w:rPr>
                <w:rFonts w:eastAsia="Calibri"/>
                <w:lang w:eastAsia="sv-SE"/>
              </w:rPr>
            </w:pPr>
            <w:r w:rsidRPr="00FA0D37">
              <w:rPr>
                <w:rFonts w:eastAsia="Calibri"/>
                <w:lang w:eastAsia="sv-SE"/>
              </w:rPr>
              <w:t>Explanation</w:t>
            </w:r>
          </w:p>
        </w:tc>
      </w:tr>
      <w:tr w:rsidR="005C7FF4" w:rsidRPr="00FA0D37"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FA0D37" w:rsidRDefault="00A251FC" w:rsidP="0071565C">
            <w:pPr>
              <w:pStyle w:val="TAL"/>
              <w:rPr>
                <w:i/>
                <w:iCs/>
                <w:lang w:eastAsia="sv-SE"/>
              </w:rPr>
            </w:pPr>
            <w:r w:rsidRPr="00FA0D37">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FA0D37" w:rsidRDefault="00A251FC" w:rsidP="0071565C">
            <w:pPr>
              <w:pStyle w:val="TAL"/>
              <w:rPr>
                <w:rFonts w:eastAsia="Calibri"/>
                <w:lang w:eastAsia="sv-SE"/>
              </w:rPr>
            </w:pPr>
            <w:r w:rsidRPr="00FA0D37">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FA0D37" w:rsidRDefault="00A251FC" w:rsidP="0071565C">
            <w:pPr>
              <w:pStyle w:val="TAL"/>
              <w:rPr>
                <w:rFonts w:eastAsia="Calibri"/>
                <w:lang w:eastAsia="sv-SE"/>
              </w:rPr>
            </w:pPr>
            <w:r w:rsidRPr="00FA0D37">
              <w:rPr>
                <w:rFonts w:eastAsia="Calibri"/>
                <w:lang w:eastAsia="sv-SE"/>
              </w:rPr>
              <w:t xml:space="preserve">The field is mandatory present in </w:t>
            </w:r>
            <w:r w:rsidRPr="00FA0D37">
              <w:rPr>
                <w:rFonts w:eastAsia="Calibri"/>
                <w:i/>
                <w:lang w:eastAsia="sv-SE"/>
              </w:rPr>
              <w:t>msgA-ConfigCommon</w:t>
            </w:r>
            <w:r w:rsidRPr="00FA0D37">
              <w:rPr>
                <w:rFonts w:eastAsia="Calibri"/>
                <w:lang w:eastAsia="sv-SE"/>
              </w:rPr>
              <w:t xml:space="preserve"> field in </w:t>
            </w:r>
            <w:r w:rsidRPr="00FA0D37">
              <w:rPr>
                <w:rFonts w:eastAsia="Calibri"/>
                <w:i/>
                <w:lang w:eastAsia="sv-SE"/>
              </w:rPr>
              <w:t xml:space="preserve">AdditionalRACH-Config </w:t>
            </w:r>
            <w:r w:rsidRPr="00FA0D37">
              <w:rPr>
                <w:rFonts w:eastAsia="Calibri"/>
                <w:lang w:eastAsia="sv-SE"/>
              </w:rPr>
              <w:t>if both 2-step random access type and 4-step random access type are configured for the same feature combination in the BWP.</w:t>
            </w:r>
          </w:p>
        </w:tc>
      </w:tr>
      <w:tr w:rsidR="005C7FF4" w:rsidRPr="00FA0D37"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FA0D37" w:rsidRDefault="00394471" w:rsidP="00964CC4">
            <w:pPr>
              <w:pStyle w:val="TAL"/>
              <w:rPr>
                <w:i/>
                <w:iCs/>
                <w:lang w:eastAsia="sv-SE"/>
              </w:rPr>
            </w:pPr>
            <w:r w:rsidRPr="00FA0D37">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FA0D37" w:rsidRDefault="00394471" w:rsidP="00964CC4">
            <w:pPr>
              <w:pStyle w:val="TAL"/>
              <w:rPr>
                <w:rFonts w:eastAsia="Calibri"/>
                <w:lang w:eastAsia="sv-SE"/>
              </w:rPr>
            </w:pPr>
            <w:r w:rsidRPr="00FA0D37">
              <w:rPr>
                <w:rFonts w:eastAsia="Calibri"/>
                <w:lang w:eastAsia="sv-SE"/>
              </w:rPr>
              <w:t xml:space="preserve">The field is mandatory present if </w:t>
            </w:r>
            <w:r w:rsidR="003505FC" w:rsidRPr="00FA0D37">
              <w:rPr>
                <w:i/>
                <w:szCs w:val="22"/>
                <w:lang w:eastAsia="sv-SE"/>
              </w:rPr>
              <w:t>msgA-</w:t>
            </w:r>
            <w:r w:rsidR="003505FC" w:rsidRPr="00FA0D37">
              <w:rPr>
                <w:rFonts w:eastAsia="Calibri"/>
                <w:i/>
                <w:lang w:eastAsia="sv-SE"/>
              </w:rPr>
              <w:t>PRACH</w:t>
            </w:r>
            <w:r w:rsidRPr="00FA0D37">
              <w:rPr>
                <w:rFonts w:eastAsia="Calibri"/>
                <w:i/>
                <w:lang w:eastAsia="sv-SE"/>
              </w:rPr>
              <w:t>-RootSequenceIndex</w:t>
            </w:r>
            <w:r w:rsidRPr="00FA0D37">
              <w:rPr>
                <w:rFonts w:eastAsia="Calibri"/>
                <w:lang w:eastAsia="sv-SE"/>
              </w:rPr>
              <w:t xml:space="preserve"> L=139 and no 4-step random access type is configured, otherwise the field is absent, Need S.</w:t>
            </w:r>
          </w:p>
        </w:tc>
      </w:tr>
      <w:tr w:rsidR="005C7FF4" w:rsidRPr="00FA0D37"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FA0D37" w:rsidRDefault="00394471" w:rsidP="0071669F">
            <w:pPr>
              <w:pStyle w:val="TAL"/>
              <w:rPr>
                <w:i/>
                <w:iCs/>
                <w:lang w:eastAsia="sv-SE"/>
              </w:rPr>
            </w:pPr>
            <w:r w:rsidRPr="00FA0D3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FA0D37" w:rsidRDefault="00394471" w:rsidP="00F747EB">
            <w:pPr>
              <w:pStyle w:val="TAL"/>
              <w:rPr>
                <w:rFonts w:eastAsia="Calibri"/>
                <w:lang w:eastAsia="sv-SE"/>
              </w:rPr>
            </w:pPr>
            <w:r w:rsidRPr="00FA0D37">
              <w:rPr>
                <w:rFonts w:eastAsia="Calibri"/>
                <w:lang w:eastAsia="sv-SE"/>
              </w:rPr>
              <w:t xml:space="preserve">The field is mandatory present </w:t>
            </w:r>
            <w:r w:rsidR="0071669F" w:rsidRPr="00FA0D37">
              <w:rPr>
                <w:rFonts w:eastAsia="Calibri"/>
                <w:lang w:eastAsia="sv-SE"/>
              </w:rPr>
              <w:t xml:space="preserve">in </w:t>
            </w:r>
            <w:r w:rsidR="0071669F" w:rsidRPr="00FA0D37">
              <w:rPr>
                <w:rFonts w:eastAsia="Calibri"/>
                <w:i/>
                <w:iCs/>
                <w:lang w:eastAsia="sv-SE"/>
              </w:rPr>
              <w:t>msgA-ConfigCommon</w:t>
            </w:r>
            <w:r w:rsidR="0071669F" w:rsidRPr="00FA0D37">
              <w:rPr>
                <w:rFonts w:eastAsia="Calibri"/>
                <w:lang w:eastAsia="sv-SE"/>
              </w:rPr>
              <w:t xml:space="preserve"> field in B</w:t>
            </w:r>
            <w:r w:rsidR="0071669F" w:rsidRPr="00FA0D37">
              <w:rPr>
                <w:rFonts w:eastAsia="Calibri"/>
                <w:i/>
                <w:iCs/>
                <w:lang w:eastAsia="sv-SE"/>
              </w:rPr>
              <w:t>WP-UplinkCommon</w:t>
            </w:r>
            <w:r w:rsidR="0071669F" w:rsidRPr="00FA0D37">
              <w:rPr>
                <w:rFonts w:eastAsia="Calibri"/>
                <w:lang w:eastAsia="sv-SE"/>
              </w:rPr>
              <w:t xml:space="preserve"> if </w:t>
            </w:r>
            <w:r w:rsidR="0071669F" w:rsidRPr="00FA0D37">
              <w:rPr>
                <w:rFonts w:eastAsia="Calibri"/>
                <w:i/>
                <w:iCs/>
                <w:lang w:eastAsia="sv-SE"/>
              </w:rPr>
              <w:t>rach-ConfigCommon</w:t>
            </w:r>
            <w:r w:rsidR="0071669F" w:rsidRPr="00FA0D37">
              <w:rPr>
                <w:rFonts w:eastAsia="Calibri"/>
                <w:lang w:eastAsia="sv-SE"/>
              </w:rPr>
              <w:t xml:space="preserve"> field is absent in this </w:t>
            </w:r>
            <w:r w:rsidR="0071669F" w:rsidRPr="00FA0D37">
              <w:rPr>
                <w:rFonts w:eastAsia="Calibri"/>
                <w:i/>
                <w:iCs/>
                <w:lang w:eastAsia="sv-SE"/>
              </w:rPr>
              <w:t>BWP-UplinkCommon</w:t>
            </w:r>
            <w:r w:rsidRPr="00FA0D37">
              <w:rPr>
                <w:rFonts w:eastAsia="Calibri"/>
                <w:lang w:eastAsia="sv-SE"/>
              </w:rPr>
              <w:t xml:space="preserve">, otherwise the field is </w:t>
            </w:r>
            <w:r w:rsidR="00B46FD6" w:rsidRPr="00FA0D37">
              <w:rPr>
                <w:rFonts w:eastAsia="Calibri"/>
                <w:lang w:eastAsia="sv-SE"/>
              </w:rPr>
              <w:t>optionally present</w:t>
            </w:r>
            <w:r w:rsidR="0071669F" w:rsidRPr="00FA0D37">
              <w:rPr>
                <w:rFonts w:eastAsia="Calibri"/>
                <w:lang w:eastAsia="sv-SE"/>
              </w:rPr>
              <w:t xml:space="preserve"> in </w:t>
            </w:r>
            <w:r w:rsidR="0071669F" w:rsidRPr="00FA0D37">
              <w:rPr>
                <w:rFonts w:eastAsia="Calibri"/>
                <w:i/>
                <w:iCs/>
                <w:lang w:eastAsia="sv-SE"/>
              </w:rPr>
              <w:t>msgA-ConfigCommon</w:t>
            </w:r>
            <w:r w:rsidR="0071669F" w:rsidRPr="00FA0D37">
              <w:rPr>
                <w:rFonts w:eastAsia="Calibri"/>
                <w:lang w:eastAsia="sv-SE"/>
              </w:rPr>
              <w:t xml:space="preserve"> field in </w:t>
            </w:r>
            <w:r w:rsidR="0071669F" w:rsidRPr="00FA0D37">
              <w:rPr>
                <w:rFonts w:eastAsia="Calibri"/>
                <w:i/>
                <w:iCs/>
                <w:lang w:eastAsia="sv-SE"/>
              </w:rPr>
              <w:t>BWP-UplinkCommon</w:t>
            </w:r>
            <w:r w:rsidR="00B46FD6" w:rsidRPr="00FA0D37">
              <w:rPr>
                <w:rFonts w:eastAsia="Calibri"/>
                <w:lang w:eastAsia="sv-SE"/>
              </w:rPr>
              <w:t xml:space="preserve">, </w:t>
            </w:r>
            <w:r w:rsidRPr="00FA0D37">
              <w:rPr>
                <w:rFonts w:eastAsia="Calibri"/>
                <w:lang w:eastAsia="sv-SE"/>
              </w:rPr>
              <w:t>Need S.</w:t>
            </w:r>
          </w:p>
          <w:p w14:paraId="5DA4A471" w14:textId="68D35E33" w:rsidR="00394471" w:rsidRPr="00FA0D37" w:rsidRDefault="0071669F" w:rsidP="0071669F">
            <w:pPr>
              <w:pStyle w:val="TAL"/>
              <w:rPr>
                <w:rFonts w:eastAsia="Calibri"/>
                <w:lang w:eastAsia="sv-SE"/>
              </w:rPr>
            </w:pPr>
            <w:r w:rsidRPr="00FA0D37">
              <w:rPr>
                <w:rFonts w:eastAsia="Calibri"/>
                <w:lang w:eastAsia="sv-SE"/>
              </w:rPr>
              <w:t xml:space="preserve">The field is mandatory present in </w:t>
            </w:r>
            <w:r w:rsidRPr="00FA0D37">
              <w:rPr>
                <w:rFonts w:eastAsia="Calibri"/>
                <w:i/>
                <w:iCs/>
                <w:lang w:eastAsia="sv-SE"/>
              </w:rPr>
              <w:t>msgA-ConfigCommon</w:t>
            </w:r>
            <w:r w:rsidRPr="00FA0D37">
              <w:rPr>
                <w:rFonts w:eastAsia="Calibri"/>
                <w:lang w:eastAsia="sv-SE"/>
              </w:rPr>
              <w:t xml:space="preserve"> field in </w:t>
            </w:r>
            <w:r w:rsidRPr="00FA0D37">
              <w:rPr>
                <w:rFonts w:eastAsia="Calibri"/>
                <w:i/>
                <w:iCs/>
                <w:lang w:eastAsia="sv-SE"/>
              </w:rPr>
              <w:t>AdditionalRACH-Config</w:t>
            </w:r>
            <w:r w:rsidRPr="00FA0D37">
              <w:rPr>
                <w:rFonts w:eastAsia="Calibri"/>
                <w:lang w:eastAsia="sv-SE"/>
              </w:rPr>
              <w:t xml:space="preserve"> if </w:t>
            </w:r>
            <w:r w:rsidRPr="00FA0D37">
              <w:rPr>
                <w:rFonts w:eastAsia="Calibri"/>
                <w:i/>
                <w:iCs/>
                <w:lang w:eastAsia="sv-SE"/>
              </w:rPr>
              <w:t>rach-ConfigCommon</w:t>
            </w:r>
            <w:r w:rsidRPr="00FA0D37">
              <w:rPr>
                <w:rFonts w:eastAsia="Calibri"/>
                <w:lang w:eastAsia="sv-SE"/>
              </w:rPr>
              <w:t xml:space="preserve"> field is absent in this </w:t>
            </w:r>
            <w:r w:rsidRPr="00FA0D37">
              <w:rPr>
                <w:rFonts w:eastAsia="Calibri"/>
                <w:i/>
                <w:iCs/>
                <w:lang w:eastAsia="sv-SE"/>
              </w:rPr>
              <w:t>AdditionalRACH-Config</w:t>
            </w:r>
            <w:r w:rsidRPr="00FA0D37">
              <w:rPr>
                <w:rFonts w:eastAsia="Calibri"/>
                <w:lang w:eastAsia="sv-SE"/>
              </w:rPr>
              <w:t xml:space="preserve">, otherwise the field is optionally present in </w:t>
            </w:r>
            <w:r w:rsidRPr="00FA0D37">
              <w:rPr>
                <w:rFonts w:eastAsia="Calibri"/>
                <w:i/>
                <w:iCs/>
                <w:lang w:eastAsia="sv-SE"/>
              </w:rPr>
              <w:t>msgA-ConfigCommon</w:t>
            </w:r>
            <w:r w:rsidRPr="00FA0D37">
              <w:rPr>
                <w:rFonts w:eastAsia="Calibri"/>
                <w:lang w:eastAsia="sv-SE"/>
              </w:rPr>
              <w:t xml:space="preserve"> field in </w:t>
            </w:r>
            <w:r w:rsidRPr="00FA0D37">
              <w:rPr>
                <w:rFonts w:eastAsia="Calibri"/>
                <w:i/>
                <w:iCs/>
                <w:lang w:eastAsia="sv-SE"/>
              </w:rPr>
              <w:t>AdditionalRACH-Config</w:t>
            </w:r>
            <w:r w:rsidRPr="00FA0D37">
              <w:rPr>
                <w:rFonts w:eastAsia="Calibri"/>
                <w:lang w:eastAsia="sv-SE"/>
              </w:rPr>
              <w:t>, Need S.</w:t>
            </w:r>
          </w:p>
        </w:tc>
      </w:tr>
      <w:tr w:rsidR="005C7FF4" w:rsidRPr="00FA0D37"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FA0D37" w:rsidRDefault="00A251FC" w:rsidP="0071565C">
            <w:pPr>
              <w:pStyle w:val="TAL"/>
              <w:rPr>
                <w:i/>
                <w:iCs/>
              </w:rPr>
            </w:pPr>
            <w:r w:rsidRPr="00FA0D3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FA0D37" w:rsidRDefault="00A251FC" w:rsidP="00314053">
            <w:pPr>
              <w:pStyle w:val="TAL"/>
            </w:pPr>
            <w:r w:rsidRPr="00FA0D37">
              <w:t xml:space="preserve">The field is mandatory present if the </w:t>
            </w:r>
            <w:r w:rsidR="0058474A" w:rsidRPr="00FA0D37">
              <w:rPr>
                <w:i/>
                <w:iCs/>
              </w:rPr>
              <w:t>msgA-ConfigCommon</w:t>
            </w:r>
            <w:r w:rsidRPr="00FA0D37">
              <w:t xml:space="preserve"> is included in an </w:t>
            </w:r>
            <w:r w:rsidRPr="00FA0D37">
              <w:rPr>
                <w:i/>
                <w:iCs/>
              </w:rPr>
              <w:t>AdditionalRACH-Config</w:t>
            </w:r>
            <w:r w:rsidRPr="00FA0D37">
              <w:t>.</w:t>
            </w:r>
            <w:r w:rsidR="00314053" w:rsidRPr="00FA0D37">
              <w:t xml:space="preserve"> When included in </w:t>
            </w:r>
            <w:r w:rsidR="00314053" w:rsidRPr="00FA0D37">
              <w:rPr>
                <w:i/>
                <w:iCs/>
              </w:rPr>
              <w:t>initialUplinkBWP-RedCap</w:t>
            </w:r>
            <w:r w:rsidR="00314053" w:rsidRPr="00FA0D37">
              <w:t xml:space="preserve"> to indicate other feature(s) than </w:t>
            </w:r>
            <w:r w:rsidR="00314053" w:rsidRPr="00FA0D37">
              <w:rPr>
                <w:i/>
                <w:iCs/>
              </w:rPr>
              <w:t xml:space="preserve">redcap, </w:t>
            </w:r>
            <w:r w:rsidR="00314053" w:rsidRPr="00FA0D37">
              <w:t xml:space="preserve">this field is mandatory present with at least two </w:t>
            </w:r>
            <w:r w:rsidR="00314053" w:rsidRPr="00FA0D37">
              <w:rPr>
                <w:i/>
                <w:iCs/>
              </w:rPr>
              <w:t xml:space="preserve">FeatureCombinationPreambles </w:t>
            </w:r>
            <w:r w:rsidR="00314053" w:rsidRPr="00FA0D37">
              <w:t xml:space="preserve">list entries: one list entry indicating only </w:t>
            </w:r>
            <w:r w:rsidR="00314053" w:rsidRPr="00FA0D37">
              <w:rPr>
                <w:i/>
                <w:iCs/>
              </w:rPr>
              <w:t>redcap</w:t>
            </w:r>
            <w:r w:rsidR="00314053" w:rsidRPr="00FA0D37">
              <w:t xml:space="preserve"> and the other(s) indicating both </w:t>
            </w:r>
            <w:r w:rsidR="00314053" w:rsidRPr="00FA0D37">
              <w:rPr>
                <w:i/>
                <w:iCs/>
              </w:rPr>
              <w:t>redcap</w:t>
            </w:r>
            <w:r w:rsidR="00314053" w:rsidRPr="00FA0D37">
              <w:t xml:space="preserve"> and one or multiple other feature(s) (e.g. </w:t>
            </w:r>
            <w:r w:rsidR="00314053" w:rsidRPr="00FA0D37">
              <w:rPr>
                <w:i/>
                <w:iCs/>
              </w:rPr>
              <w:t>smallData, nsag</w:t>
            </w:r>
            <w:r w:rsidR="00314053" w:rsidRPr="00FA0D37">
              <w:t xml:space="preserve"> or </w:t>
            </w:r>
            <w:r w:rsidR="00314053" w:rsidRPr="00FA0D37">
              <w:rPr>
                <w:i/>
                <w:iCs/>
              </w:rPr>
              <w:t>msg3-Repetitions</w:t>
            </w:r>
            <w:r w:rsidR="00314053" w:rsidRPr="00FA0D37">
              <w:t>).</w:t>
            </w:r>
          </w:p>
          <w:p w14:paraId="34F8EDAE" w14:textId="0240562D" w:rsidR="00A251FC" w:rsidRPr="00FA0D37" w:rsidRDefault="00A251FC" w:rsidP="0071565C">
            <w:pPr>
              <w:pStyle w:val="TAL"/>
            </w:pPr>
            <w:r w:rsidRPr="00FA0D37">
              <w:t>Otherwise, it is optional, Need R.</w:t>
            </w:r>
          </w:p>
        </w:tc>
      </w:tr>
      <w:tr w:rsidR="005C7FF4" w:rsidRPr="00FA0D37"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FA0D37" w:rsidRDefault="00A251FC" w:rsidP="0071565C">
            <w:pPr>
              <w:pStyle w:val="TAL"/>
              <w:rPr>
                <w:i/>
                <w:iCs/>
              </w:rPr>
            </w:pPr>
            <w:r w:rsidRPr="00FA0D3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FA0D37" w:rsidRDefault="00A251FC" w:rsidP="0071565C">
            <w:pPr>
              <w:pStyle w:val="TAL"/>
              <w:rPr>
                <w:rFonts w:eastAsia="Calibri"/>
              </w:rPr>
            </w:pPr>
            <w:r w:rsidRPr="00FA0D37">
              <w:t>This field is optionally present, Need R, if this BWP is the initial BWP of SpCell. Otherwise, the field is absent.</w:t>
            </w:r>
          </w:p>
        </w:tc>
      </w:tr>
      <w:tr w:rsidR="00F747EB" w:rsidRPr="00FA0D37"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FA0D37" w:rsidRDefault="00394471" w:rsidP="00964CC4">
            <w:pPr>
              <w:pStyle w:val="TAL"/>
              <w:rPr>
                <w:i/>
                <w:iCs/>
                <w:lang w:eastAsia="sv-SE"/>
              </w:rPr>
            </w:pPr>
            <w:r w:rsidRPr="00FA0D37">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FA0D37" w:rsidRDefault="00394471" w:rsidP="00964CC4">
            <w:pPr>
              <w:pStyle w:val="TAL"/>
              <w:rPr>
                <w:rFonts w:eastAsia="Calibri"/>
                <w:lang w:eastAsia="sv-SE"/>
              </w:rPr>
            </w:pPr>
            <w:r w:rsidRPr="00FA0D37">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FA0D37" w:rsidRDefault="00394471" w:rsidP="00394471"/>
    <w:p w14:paraId="18A731BF" w14:textId="77777777" w:rsidR="00394471" w:rsidRPr="00FA0D37" w:rsidRDefault="00394471" w:rsidP="00394471">
      <w:pPr>
        <w:pStyle w:val="4"/>
        <w:rPr>
          <w:i/>
          <w:noProof/>
        </w:rPr>
      </w:pPr>
      <w:bookmarkStart w:id="1284" w:name="_Toc60777334"/>
      <w:bookmarkStart w:id="1285" w:name="_Toc146781413"/>
      <w:r w:rsidRPr="00FA0D37">
        <w:t>–</w:t>
      </w:r>
      <w:r w:rsidRPr="00FA0D37">
        <w:tab/>
      </w:r>
      <w:r w:rsidRPr="00FA0D37">
        <w:rPr>
          <w:i/>
          <w:noProof/>
        </w:rPr>
        <w:t>RACH-ConfigDedicated</w:t>
      </w:r>
      <w:bookmarkEnd w:id="1284"/>
      <w:bookmarkEnd w:id="1285"/>
    </w:p>
    <w:p w14:paraId="612C1DB0" w14:textId="77777777" w:rsidR="00394471" w:rsidRPr="00FA0D37" w:rsidRDefault="00394471" w:rsidP="00394471">
      <w:r w:rsidRPr="00FA0D37">
        <w:t xml:space="preserve">The IE </w:t>
      </w:r>
      <w:r w:rsidRPr="00FA0D37">
        <w:rPr>
          <w:i/>
        </w:rPr>
        <w:t>RACH-ConfigDedicated</w:t>
      </w:r>
      <w:r w:rsidRPr="00FA0D37">
        <w:t xml:space="preserve"> is used to specify the dedicated random access parameters.</w:t>
      </w:r>
    </w:p>
    <w:p w14:paraId="747BD6B4" w14:textId="77777777" w:rsidR="00394471" w:rsidRPr="00FA0D37" w:rsidRDefault="00394471" w:rsidP="00394471">
      <w:pPr>
        <w:pStyle w:val="TH"/>
      </w:pPr>
      <w:r w:rsidRPr="00FA0D37">
        <w:rPr>
          <w:bCs/>
          <w:i/>
          <w:iCs/>
        </w:rPr>
        <w:t>RACH-ConfigDedicated</w:t>
      </w:r>
      <w:r w:rsidRPr="00FA0D37">
        <w:t xml:space="preserve"> information element</w:t>
      </w:r>
    </w:p>
    <w:p w14:paraId="4DE8BB90" w14:textId="77777777" w:rsidR="00394471" w:rsidRPr="00FA0D37" w:rsidRDefault="00394471" w:rsidP="00FA0D37">
      <w:pPr>
        <w:pStyle w:val="PL"/>
        <w:rPr>
          <w:color w:val="808080"/>
        </w:rPr>
      </w:pPr>
      <w:r w:rsidRPr="00FA0D37">
        <w:rPr>
          <w:color w:val="808080"/>
        </w:rPr>
        <w:t>-- ASN1START</w:t>
      </w:r>
    </w:p>
    <w:p w14:paraId="74706D09" w14:textId="77777777" w:rsidR="00394471" w:rsidRPr="00FA0D37" w:rsidRDefault="00394471" w:rsidP="00FA0D37">
      <w:pPr>
        <w:pStyle w:val="PL"/>
        <w:rPr>
          <w:color w:val="808080"/>
        </w:rPr>
      </w:pPr>
      <w:r w:rsidRPr="00FA0D37">
        <w:rPr>
          <w:color w:val="808080"/>
        </w:rPr>
        <w:t>-- TAG-RACH-CONFIGDEDICATED-START</w:t>
      </w:r>
    </w:p>
    <w:p w14:paraId="1813D76D" w14:textId="77777777" w:rsidR="00394471" w:rsidRPr="00FA0D37" w:rsidRDefault="00394471" w:rsidP="00FA0D37">
      <w:pPr>
        <w:pStyle w:val="PL"/>
      </w:pPr>
    </w:p>
    <w:p w14:paraId="4C3C2C77" w14:textId="77777777" w:rsidR="00394471" w:rsidRPr="00FA0D37" w:rsidRDefault="00394471" w:rsidP="00FA0D37">
      <w:pPr>
        <w:pStyle w:val="PL"/>
      </w:pPr>
    </w:p>
    <w:p w14:paraId="3B82B017" w14:textId="77777777" w:rsidR="00394471" w:rsidRPr="00FA0D37" w:rsidRDefault="00394471" w:rsidP="00FA0D37">
      <w:pPr>
        <w:pStyle w:val="PL"/>
      </w:pPr>
      <w:r w:rsidRPr="00FA0D37">
        <w:t xml:space="preserve">RACH-ConfigDedicated ::=        </w:t>
      </w:r>
      <w:r w:rsidRPr="00FA0D37">
        <w:rPr>
          <w:color w:val="993366"/>
        </w:rPr>
        <w:t>SEQUENCE</w:t>
      </w:r>
      <w:r w:rsidRPr="00FA0D37">
        <w:t xml:space="preserve"> {</w:t>
      </w:r>
    </w:p>
    <w:p w14:paraId="1FAA3A8C" w14:textId="77777777" w:rsidR="00394471" w:rsidRPr="00FA0D37" w:rsidRDefault="00394471" w:rsidP="00FA0D37">
      <w:pPr>
        <w:pStyle w:val="PL"/>
        <w:rPr>
          <w:color w:val="808080"/>
        </w:rPr>
      </w:pPr>
      <w:r w:rsidRPr="00FA0D37">
        <w:t xml:space="preserve">    cfra                            CFRA                                                                    </w:t>
      </w:r>
      <w:r w:rsidRPr="00FA0D37">
        <w:rPr>
          <w:color w:val="993366"/>
        </w:rPr>
        <w:t>OPTIONAL</w:t>
      </w:r>
      <w:r w:rsidRPr="00FA0D37">
        <w:t xml:space="preserve">, </w:t>
      </w:r>
      <w:r w:rsidRPr="00FA0D37">
        <w:rPr>
          <w:color w:val="808080"/>
        </w:rPr>
        <w:t>-- Need S</w:t>
      </w:r>
    </w:p>
    <w:p w14:paraId="6094DEAE" w14:textId="77777777" w:rsidR="00394471" w:rsidRPr="00FA0D37" w:rsidRDefault="00394471" w:rsidP="00FA0D37">
      <w:pPr>
        <w:pStyle w:val="PL"/>
        <w:rPr>
          <w:color w:val="808080"/>
        </w:rPr>
      </w:pPr>
      <w:r w:rsidRPr="00FA0D37">
        <w:t xml:space="preserve">    ra-Prioritization               RA-Prioritization                                                       </w:t>
      </w:r>
      <w:r w:rsidRPr="00FA0D37">
        <w:rPr>
          <w:color w:val="993366"/>
        </w:rPr>
        <w:t>OPTIONAL</w:t>
      </w:r>
      <w:r w:rsidRPr="00FA0D37">
        <w:t xml:space="preserve">, </w:t>
      </w:r>
      <w:r w:rsidRPr="00FA0D37">
        <w:rPr>
          <w:color w:val="808080"/>
        </w:rPr>
        <w:t>-- Need N</w:t>
      </w:r>
    </w:p>
    <w:p w14:paraId="4A2FA089" w14:textId="77777777" w:rsidR="00394471" w:rsidRPr="00FA0D37" w:rsidRDefault="00394471" w:rsidP="00FA0D37">
      <w:pPr>
        <w:pStyle w:val="PL"/>
      </w:pPr>
      <w:r w:rsidRPr="00FA0D37">
        <w:t xml:space="preserve">    ...,</w:t>
      </w:r>
    </w:p>
    <w:p w14:paraId="202E941E" w14:textId="77777777" w:rsidR="00394471" w:rsidRPr="00FA0D37" w:rsidRDefault="00394471" w:rsidP="00FA0D37">
      <w:pPr>
        <w:pStyle w:val="PL"/>
      </w:pPr>
      <w:r w:rsidRPr="00FA0D37">
        <w:t xml:space="preserve">    [[</w:t>
      </w:r>
    </w:p>
    <w:p w14:paraId="35F50F67" w14:textId="77777777" w:rsidR="00394471" w:rsidRPr="00FA0D37" w:rsidRDefault="00394471" w:rsidP="00FA0D37">
      <w:pPr>
        <w:pStyle w:val="PL"/>
        <w:rPr>
          <w:color w:val="808080"/>
        </w:rPr>
      </w:pPr>
      <w:r w:rsidRPr="00FA0D37">
        <w:t xml:space="preserve">    ra-PrioritizationTwoStep-r16    RA-Prioritization                                                       </w:t>
      </w:r>
      <w:r w:rsidRPr="00FA0D37">
        <w:rPr>
          <w:color w:val="993366"/>
        </w:rPr>
        <w:t>OPTIONAL</w:t>
      </w:r>
      <w:r w:rsidRPr="00FA0D37">
        <w:t xml:space="preserve">, </w:t>
      </w:r>
      <w:r w:rsidRPr="00FA0D37">
        <w:rPr>
          <w:color w:val="808080"/>
        </w:rPr>
        <w:t>-- Need N</w:t>
      </w:r>
    </w:p>
    <w:p w14:paraId="155CA75B" w14:textId="77777777" w:rsidR="00394471" w:rsidRPr="00FA0D37" w:rsidRDefault="00394471" w:rsidP="00FA0D37">
      <w:pPr>
        <w:pStyle w:val="PL"/>
        <w:rPr>
          <w:color w:val="808080"/>
        </w:rPr>
      </w:pPr>
      <w:r w:rsidRPr="00FA0D37">
        <w:t xml:space="preserve">    cfra-TwoStep-r16                CFRA-TwoStep-r16                                                        </w:t>
      </w:r>
      <w:r w:rsidRPr="00FA0D37">
        <w:rPr>
          <w:color w:val="993366"/>
        </w:rPr>
        <w:t>OPTIONAL</w:t>
      </w:r>
      <w:r w:rsidRPr="00FA0D37">
        <w:t xml:space="preserve">  </w:t>
      </w:r>
      <w:r w:rsidRPr="00FA0D37">
        <w:rPr>
          <w:color w:val="808080"/>
        </w:rPr>
        <w:t>-- Need S</w:t>
      </w:r>
    </w:p>
    <w:p w14:paraId="1E8D05BC" w14:textId="77777777" w:rsidR="00394471" w:rsidRPr="00FA0D37" w:rsidRDefault="00394471" w:rsidP="00FA0D37">
      <w:pPr>
        <w:pStyle w:val="PL"/>
      </w:pPr>
      <w:r w:rsidRPr="00FA0D37">
        <w:t xml:space="preserve">    ]]</w:t>
      </w:r>
    </w:p>
    <w:p w14:paraId="2321AF34" w14:textId="77777777" w:rsidR="00394471" w:rsidRPr="00FA0D37" w:rsidRDefault="00394471" w:rsidP="00FA0D37">
      <w:pPr>
        <w:pStyle w:val="PL"/>
      </w:pPr>
      <w:r w:rsidRPr="00FA0D37">
        <w:t>}</w:t>
      </w:r>
    </w:p>
    <w:p w14:paraId="5E4B1051" w14:textId="77777777" w:rsidR="00394471" w:rsidRPr="00FA0D37" w:rsidRDefault="00394471" w:rsidP="00FA0D37">
      <w:pPr>
        <w:pStyle w:val="PL"/>
      </w:pPr>
    </w:p>
    <w:p w14:paraId="00BDD6A3" w14:textId="77777777" w:rsidR="00394471" w:rsidRPr="00FA0D37" w:rsidRDefault="00394471" w:rsidP="00FA0D37">
      <w:pPr>
        <w:pStyle w:val="PL"/>
      </w:pPr>
      <w:r w:rsidRPr="00FA0D37">
        <w:t xml:space="preserve">CFRA ::=                    </w:t>
      </w:r>
      <w:r w:rsidRPr="00FA0D37">
        <w:rPr>
          <w:color w:val="993366"/>
        </w:rPr>
        <w:t>SEQUENCE</w:t>
      </w:r>
      <w:r w:rsidRPr="00FA0D37">
        <w:t xml:space="preserve"> {</w:t>
      </w:r>
    </w:p>
    <w:p w14:paraId="0DDFCB36" w14:textId="77777777" w:rsidR="00394471" w:rsidRPr="00FA0D37" w:rsidRDefault="00394471" w:rsidP="00FA0D37">
      <w:pPr>
        <w:pStyle w:val="PL"/>
      </w:pPr>
      <w:r w:rsidRPr="00FA0D37">
        <w:t xml:space="preserve">    occasions                       </w:t>
      </w:r>
      <w:r w:rsidRPr="00FA0D37">
        <w:rPr>
          <w:color w:val="993366"/>
        </w:rPr>
        <w:t>SEQUENCE</w:t>
      </w:r>
      <w:r w:rsidRPr="00FA0D37">
        <w:t xml:space="preserve"> {</w:t>
      </w:r>
    </w:p>
    <w:p w14:paraId="5D839F99" w14:textId="77777777" w:rsidR="00394471" w:rsidRPr="00FA0D37" w:rsidRDefault="00394471" w:rsidP="00FA0D37">
      <w:pPr>
        <w:pStyle w:val="PL"/>
      </w:pPr>
      <w:r w:rsidRPr="00FA0D37">
        <w:t xml:space="preserve">        rach-ConfigGeneric              RACH-ConfigGeneric,</w:t>
      </w:r>
    </w:p>
    <w:p w14:paraId="1D8E92C7" w14:textId="77777777" w:rsidR="00394471" w:rsidRPr="00FA0D37" w:rsidRDefault="00394471" w:rsidP="00FA0D37">
      <w:pPr>
        <w:pStyle w:val="PL"/>
      </w:pPr>
      <w:r w:rsidRPr="00FA0D37">
        <w:lastRenderedPageBreak/>
        <w:t xml:space="preserve">        ssb-perRACH-Occasion            </w:t>
      </w:r>
      <w:r w:rsidRPr="00FA0D37">
        <w:rPr>
          <w:color w:val="993366"/>
        </w:rPr>
        <w:t>ENUMERATED</w:t>
      </w:r>
      <w:r w:rsidRPr="00FA0D37">
        <w:t xml:space="preserve"> {oneEighth, oneFourth, oneHalf, one, two, four, eight, sixteen}</w:t>
      </w:r>
    </w:p>
    <w:p w14:paraId="01A1A487"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Cond Mandatory</w:t>
      </w:r>
    </w:p>
    <w:p w14:paraId="3131866B"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S</w:t>
      </w:r>
    </w:p>
    <w:p w14:paraId="53FE7343" w14:textId="77777777" w:rsidR="00394471" w:rsidRPr="00FA0D37" w:rsidRDefault="00394471" w:rsidP="00FA0D37">
      <w:pPr>
        <w:pStyle w:val="PL"/>
      </w:pPr>
      <w:r w:rsidRPr="00FA0D37">
        <w:t xml:space="preserve">    resources                       </w:t>
      </w:r>
      <w:r w:rsidRPr="00FA0D37">
        <w:rPr>
          <w:color w:val="993366"/>
        </w:rPr>
        <w:t>CHOICE</w:t>
      </w:r>
      <w:r w:rsidRPr="00FA0D37">
        <w:t xml:space="preserve"> {</w:t>
      </w:r>
    </w:p>
    <w:p w14:paraId="6398C61D" w14:textId="77777777" w:rsidR="00394471" w:rsidRPr="00FA0D37" w:rsidRDefault="00394471" w:rsidP="00FA0D37">
      <w:pPr>
        <w:pStyle w:val="PL"/>
      </w:pPr>
      <w:r w:rsidRPr="00FA0D37">
        <w:t xml:space="preserve">        ssb                             </w:t>
      </w:r>
      <w:r w:rsidRPr="00FA0D37">
        <w:rPr>
          <w:color w:val="993366"/>
        </w:rPr>
        <w:t>SEQUENCE</w:t>
      </w:r>
      <w:r w:rsidRPr="00FA0D37">
        <w:t xml:space="preserve"> {</w:t>
      </w:r>
    </w:p>
    <w:p w14:paraId="76F536ED" w14:textId="77777777" w:rsidR="00394471" w:rsidRPr="00FA0D37" w:rsidRDefault="00394471" w:rsidP="00FA0D37">
      <w:pPr>
        <w:pStyle w:val="PL"/>
      </w:pPr>
      <w:r w:rsidRPr="00FA0D37">
        <w:t xml:space="preserve">            ssb-ResourceList                </w:t>
      </w:r>
      <w:r w:rsidRPr="00FA0D37">
        <w:rPr>
          <w:color w:val="993366"/>
        </w:rPr>
        <w:t>SEQUENCE</w:t>
      </w:r>
      <w:r w:rsidRPr="00FA0D37">
        <w:t xml:space="preserve"> (</w:t>
      </w:r>
      <w:r w:rsidRPr="00FA0D37">
        <w:rPr>
          <w:color w:val="993366"/>
        </w:rPr>
        <w:t>SIZE</w:t>
      </w:r>
      <w:r w:rsidRPr="00FA0D37">
        <w:t>(1..maxRA-SSB-Resources))</w:t>
      </w:r>
      <w:r w:rsidRPr="00FA0D37">
        <w:rPr>
          <w:color w:val="993366"/>
        </w:rPr>
        <w:t xml:space="preserve"> OF</w:t>
      </w:r>
      <w:r w:rsidRPr="00FA0D37">
        <w:t xml:space="preserve"> CFRA-SSB-Resource,</w:t>
      </w:r>
    </w:p>
    <w:p w14:paraId="38490D9F" w14:textId="77777777" w:rsidR="00394471" w:rsidRPr="00FA0D37" w:rsidRDefault="00394471" w:rsidP="00FA0D37">
      <w:pPr>
        <w:pStyle w:val="PL"/>
      </w:pPr>
      <w:r w:rsidRPr="00FA0D37">
        <w:t xml:space="preserve">            ra-ssb-OccasionMaskIndex        </w:t>
      </w:r>
      <w:r w:rsidRPr="00FA0D37">
        <w:rPr>
          <w:color w:val="993366"/>
        </w:rPr>
        <w:t>INTEGER</w:t>
      </w:r>
      <w:r w:rsidRPr="00FA0D37">
        <w:t xml:space="preserve"> (0..15)</w:t>
      </w:r>
    </w:p>
    <w:p w14:paraId="659C5969" w14:textId="77777777" w:rsidR="00394471" w:rsidRPr="00FA0D37" w:rsidRDefault="00394471" w:rsidP="00FA0D37">
      <w:pPr>
        <w:pStyle w:val="PL"/>
      </w:pPr>
      <w:r w:rsidRPr="00FA0D37">
        <w:t xml:space="preserve">        },</w:t>
      </w:r>
    </w:p>
    <w:p w14:paraId="3A1F0A61" w14:textId="77777777" w:rsidR="00394471" w:rsidRPr="00FA0D37" w:rsidRDefault="00394471" w:rsidP="00FA0D37">
      <w:pPr>
        <w:pStyle w:val="PL"/>
      </w:pPr>
      <w:r w:rsidRPr="00FA0D37">
        <w:t xml:space="preserve">        csirs                           </w:t>
      </w:r>
      <w:r w:rsidRPr="00FA0D37">
        <w:rPr>
          <w:color w:val="993366"/>
        </w:rPr>
        <w:t>SEQUENCE</w:t>
      </w:r>
      <w:r w:rsidRPr="00FA0D37">
        <w:t xml:space="preserve"> {</w:t>
      </w:r>
    </w:p>
    <w:p w14:paraId="53DE0108" w14:textId="77777777" w:rsidR="00394471" w:rsidRPr="00FA0D37" w:rsidRDefault="00394471" w:rsidP="00FA0D37">
      <w:pPr>
        <w:pStyle w:val="PL"/>
      </w:pPr>
      <w:r w:rsidRPr="00FA0D37">
        <w:t xml:space="preserve">            csirs-ResourceList              </w:t>
      </w:r>
      <w:r w:rsidRPr="00FA0D37">
        <w:rPr>
          <w:color w:val="993366"/>
        </w:rPr>
        <w:t>SEQUENCE</w:t>
      </w:r>
      <w:r w:rsidRPr="00FA0D37">
        <w:t xml:space="preserve"> (</w:t>
      </w:r>
      <w:r w:rsidRPr="00FA0D37">
        <w:rPr>
          <w:color w:val="993366"/>
        </w:rPr>
        <w:t>SIZE</w:t>
      </w:r>
      <w:r w:rsidRPr="00FA0D37">
        <w:t>(1..maxRA-CSIRS-Resources))</w:t>
      </w:r>
      <w:r w:rsidRPr="00FA0D37">
        <w:rPr>
          <w:color w:val="993366"/>
        </w:rPr>
        <w:t xml:space="preserve"> OF</w:t>
      </w:r>
      <w:r w:rsidRPr="00FA0D37">
        <w:t xml:space="preserve"> CFRA-CSIRS-Resource,</w:t>
      </w:r>
    </w:p>
    <w:p w14:paraId="06DA68ED" w14:textId="77777777" w:rsidR="00394471" w:rsidRPr="00FA0D37" w:rsidRDefault="00394471" w:rsidP="00FA0D37">
      <w:pPr>
        <w:pStyle w:val="PL"/>
      </w:pPr>
      <w:r w:rsidRPr="00FA0D37">
        <w:t xml:space="preserve">            rsrp-ThresholdCSI-RS            RSRP-Range</w:t>
      </w:r>
    </w:p>
    <w:p w14:paraId="03F7F77C" w14:textId="77777777" w:rsidR="00394471" w:rsidRPr="00FA0D37" w:rsidRDefault="00394471" w:rsidP="00FA0D37">
      <w:pPr>
        <w:pStyle w:val="PL"/>
      </w:pPr>
      <w:r w:rsidRPr="00FA0D37">
        <w:t xml:space="preserve">        }</w:t>
      </w:r>
    </w:p>
    <w:p w14:paraId="5ADE0A0A" w14:textId="77777777" w:rsidR="00394471" w:rsidRPr="00FA0D37" w:rsidRDefault="00394471" w:rsidP="00FA0D37">
      <w:pPr>
        <w:pStyle w:val="PL"/>
      </w:pPr>
      <w:r w:rsidRPr="00FA0D37">
        <w:t xml:space="preserve">    },</w:t>
      </w:r>
    </w:p>
    <w:p w14:paraId="1334121A" w14:textId="77777777" w:rsidR="00394471" w:rsidRPr="00FA0D37" w:rsidRDefault="00394471" w:rsidP="00FA0D37">
      <w:pPr>
        <w:pStyle w:val="PL"/>
      </w:pPr>
      <w:r w:rsidRPr="00FA0D37">
        <w:t xml:space="preserve">    ...,</w:t>
      </w:r>
    </w:p>
    <w:p w14:paraId="4FA73B92" w14:textId="77777777" w:rsidR="00394471" w:rsidRPr="00FA0D37" w:rsidRDefault="00394471" w:rsidP="00FA0D37">
      <w:pPr>
        <w:pStyle w:val="PL"/>
      </w:pPr>
      <w:r w:rsidRPr="00FA0D37">
        <w:t xml:space="preserve">    [[</w:t>
      </w:r>
    </w:p>
    <w:p w14:paraId="5DA53EDB" w14:textId="77777777" w:rsidR="00394471" w:rsidRPr="00FA0D37" w:rsidRDefault="00394471" w:rsidP="00FA0D37">
      <w:pPr>
        <w:pStyle w:val="PL"/>
        <w:rPr>
          <w:color w:val="808080"/>
        </w:rPr>
      </w:pPr>
      <w:r w:rsidRPr="00FA0D37">
        <w:t xml:space="preserve">    totalNumberOfRA-Preambles </w:t>
      </w:r>
      <w:r w:rsidRPr="00FA0D37">
        <w:rPr>
          <w:color w:val="993366"/>
        </w:rPr>
        <w:t>INTEGER</w:t>
      </w:r>
      <w:r w:rsidRPr="00FA0D37">
        <w:t xml:space="preserve"> (1..63)                                                             </w:t>
      </w:r>
      <w:r w:rsidRPr="00FA0D37">
        <w:rPr>
          <w:color w:val="993366"/>
        </w:rPr>
        <w:t>OPTIONAL</w:t>
      </w:r>
      <w:r w:rsidRPr="00FA0D37">
        <w:t xml:space="preserve"> </w:t>
      </w:r>
      <w:r w:rsidRPr="00FA0D37">
        <w:rPr>
          <w:color w:val="808080"/>
        </w:rPr>
        <w:t>-- Cond Occasions</w:t>
      </w:r>
    </w:p>
    <w:p w14:paraId="27694A33" w14:textId="77777777" w:rsidR="00394471" w:rsidRPr="00FA0D37" w:rsidRDefault="00394471" w:rsidP="00FA0D37">
      <w:pPr>
        <w:pStyle w:val="PL"/>
      </w:pPr>
      <w:r w:rsidRPr="00FA0D37">
        <w:t xml:space="preserve">    ]]</w:t>
      </w:r>
    </w:p>
    <w:p w14:paraId="0D505CEC" w14:textId="77777777" w:rsidR="00394471" w:rsidRPr="00FA0D37" w:rsidRDefault="00394471" w:rsidP="00FA0D37">
      <w:pPr>
        <w:pStyle w:val="PL"/>
      </w:pPr>
      <w:r w:rsidRPr="00FA0D37">
        <w:t>}</w:t>
      </w:r>
    </w:p>
    <w:p w14:paraId="5F098DC5" w14:textId="77777777" w:rsidR="00394471" w:rsidRPr="00FA0D37" w:rsidRDefault="00394471" w:rsidP="00FA0D37">
      <w:pPr>
        <w:pStyle w:val="PL"/>
      </w:pPr>
    </w:p>
    <w:p w14:paraId="0C9095B6" w14:textId="77777777" w:rsidR="00394471" w:rsidRPr="00FA0D37" w:rsidRDefault="00394471" w:rsidP="00FA0D37">
      <w:pPr>
        <w:pStyle w:val="PL"/>
      </w:pPr>
      <w:r w:rsidRPr="00FA0D37">
        <w:t xml:space="preserve">CFRA-TwoStep-r16 ::=                    </w:t>
      </w:r>
      <w:r w:rsidRPr="00FA0D37">
        <w:rPr>
          <w:color w:val="993366"/>
        </w:rPr>
        <w:t>SEQUENCE</w:t>
      </w:r>
      <w:r w:rsidRPr="00FA0D37">
        <w:t xml:space="preserve"> {</w:t>
      </w:r>
    </w:p>
    <w:p w14:paraId="21CC241C" w14:textId="77777777" w:rsidR="00394471" w:rsidRPr="00FA0D37" w:rsidRDefault="00394471" w:rsidP="00FA0D37">
      <w:pPr>
        <w:pStyle w:val="PL"/>
      </w:pPr>
      <w:r w:rsidRPr="00FA0D37">
        <w:t xml:space="preserve">    occasionsTwoStepRA-r16                  </w:t>
      </w:r>
      <w:r w:rsidRPr="00FA0D37">
        <w:rPr>
          <w:color w:val="993366"/>
        </w:rPr>
        <w:t>SEQUENCE</w:t>
      </w:r>
      <w:r w:rsidRPr="00FA0D37">
        <w:t xml:space="preserve"> {</w:t>
      </w:r>
    </w:p>
    <w:p w14:paraId="2F921A78" w14:textId="77777777" w:rsidR="00394471" w:rsidRPr="00FA0D37" w:rsidRDefault="00394471" w:rsidP="00FA0D37">
      <w:pPr>
        <w:pStyle w:val="PL"/>
      </w:pPr>
      <w:r w:rsidRPr="00FA0D37">
        <w:t xml:space="preserve">        rach-ConfigGenericTwoStepRA-r16         RACH-ConfigGenericTwoStepRA-r16,</w:t>
      </w:r>
    </w:p>
    <w:p w14:paraId="130E2E56" w14:textId="77777777" w:rsidR="00394471" w:rsidRPr="00FA0D37" w:rsidRDefault="00394471" w:rsidP="00FA0D37">
      <w:pPr>
        <w:pStyle w:val="PL"/>
      </w:pPr>
      <w:r w:rsidRPr="00FA0D37">
        <w:t xml:space="preserve">        ssb-PerRACH-OccasionTwoStepRA-r16       </w:t>
      </w:r>
      <w:r w:rsidRPr="00FA0D37">
        <w:rPr>
          <w:color w:val="993366"/>
        </w:rPr>
        <w:t>ENUMERATED</w:t>
      </w:r>
      <w:r w:rsidRPr="00FA0D37">
        <w:t xml:space="preserve"> {oneEighth, oneFourth, oneHalf, one,</w:t>
      </w:r>
    </w:p>
    <w:p w14:paraId="22144A53" w14:textId="77777777" w:rsidR="00394471" w:rsidRPr="00FA0D37" w:rsidRDefault="00394471" w:rsidP="00FA0D37">
      <w:pPr>
        <w:pStyle w:val="PL"/>
      </w:pPr>
      <w:r w:rsidRPr="00FA0D37">
        <w:t xml:space="preserve">                                                            two, four, eight, sixteen}</w:t>
      </w:r>
    </w:p>
    <w:p w14:paraId="7F7404A7"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S</w:t>
      </w:r>
    </w:p>
    <w:p w14:paraId="20E364D8" w14:textId="77777777" w:rsidR="00394471" w:rsidRPr="00FA0D37" w:rsidRDefault="00394471" w:rsidP="00FA0D37">
      <w:pPr>
        <w:pStyle w:val="PL"/>
      </w:pPr>
      <w:r w:rsidRPr="00FA0D37">
        <w:t xml:space="preserve">    msgA-CFRA-PUSCH-r16                     MsgA-PUSCH-Resource-r16,</w:t>
      </w:r>
    </w:p>
    <w:p w14:paraId="4EA074C8" w14:textId="77777777" w:rsidR="00394471" w:rsidRPr="00FA0D37" w:rsidRDefault="00394471" w:rsidP="00FA0D37">
      <w:pPr>
        <w:pStyle w:val="PL"/>
        <w:rPr>
          <w:color w:val="808080"/>
        </w:rPr>
      </w:pPr>
      <w:r w:rsidRPr="00FA0D37">
        <w:t xml:space="preserve">    msgA-TransMax-r16                       </w:t>
      </w:r>
      <w:r w:rsidRPr="00FA0D37">
        <w:rPr>
          <w:color w:val="993366"/>
        </w:rPr>
        <w:t>ENUMERATED</w:t>
      </w:r>
      <w:r w:rsidRPr="00FA0D37">
        <w:t xml:space="preserve"> {n1, n2, n4, n6, n8, n10, n20, n50, n100, n200}    </w:t>
      </w:r>
      <w:r w:rsidRPr="00FA0D37">
        <w:rPr>
          <w:color w:val="993366"/>
        </w:rPr>
        <w:t>OPTIONAL</w:t>
      </w:r>
      <w:r w:rsidRPr="00FA0D37">
        <w:t xml:space="preserve">, </w:t>
      </w:r>
      <w:r w:rsidRPr="00FA0D37">
        <w:rPr>
          <w:color w:val="808080"/>
        </w:rPr>
        <w:t>-- Need S</w:t>
      </w:r>
    </w:p>
    <w:p w14:paraId="7CACECFA" w14:textId="77777777" w:rsidR="00394471" w:rsidRPr="00FA0D37" w:rsidRDefault="00394471" w:rsidP="00FA0D37">
      <w:pPr>
        <w:pStyle w:val="PL"/>
      </w:pPr>
      <w:r w:rsidRPr="00FA0D37">
        <w:t xml:space="preserve">    resourcesTwoStep-r16                    </w:t>
      </w:r>
      <w:r w:rsidRPr="00FA0D37">
        <w:rPr>
          <w:color w:val="993366"/>
        </w:rPr>
        <w:t>SEQUENCE</w:t>
      </w:r>
      <w:r w:rsidRPr="00FA0D37">
        <w:t xml:space="preserve"> {</w:t>
      </w:r>
    </w:p>
    <w:p w14:paraId="110C283C" w14:textId="77777777" w:rsidR="00394471" w:rsidRPr="00FA0D37" w:rsidRDefault="00394471" w:rsidP="00FA0D37">
      <w:pPr>
        <w:pStyle w:val="PL"/>
      </w:pPr>
      <w:r w:rsidRPr="00FA0D37">
        <w:t xml:space="preserve">        ssb-ResourceList                        </w:t>
      </w:r>
      <w:r w:rsidRPr="00FA0D37">
        <w:rPr>
          <w:color w:val="993366"/>
        </w:rPr>
        <w:t>SEQUENCE</w:t>
      </w:r>
      <w:r w:rsidRPr="00FA0D37">
        <w:t xml:space="preserve"> (</w:t>
      </w:r>
      <w:r w:rsidRPr="00FA0D37">
        <w:rPr>
          <w:color w:val="993366"/>
        </w:rPr>
        <w:t>SIZE</w:t>
      </w:r>
      <w:r w:rsidRPr="00FA0D37">
        <w:t>(1..maxRA-SSB-Resources))</w:t>
      </w:r>
      <w:r w:rsidRPr="00FA0D37">
        <w:rPr>
          <w:color w:val="993366"/>
        </w:rPr>
        <w:t xml:space="preserve"> OF</w:t>
      </w:r>
      <w:r w:rsidRPr="00FA0D37">
        <w:t xml:space="preserve"> CFRA-SSB-Resource,</w:t>
      </w:r>
    </w:p>
    <w:p w14:paraId="1A70518D" w14:textId="77777777" w:rsidR="00394471" w:rsidRPr="00FA0D37" w:rsidRDefault="00394471" w:rsidP="00FA0D37">
      <w:pPr>
        <w:pStyle w:val="PL"/>
      </w:pPr>
      <w:r w:rsidRPr="00FA0D37">
        <w:t xml:space="preserve">        ra-ssb-OccasionMaskIndex                </w:t>
      </w:r>
      <w:r w:rsidRPr="00FA0D37">
        <w:rPr>
          <w:color w:val="993366"/>
        </w:rPr>
        <w:t>INTEGER</w:t>
      </w:r>
      <w:r w:rsidRPr="00FA0D37">
        <w:t xml:space="preserve"> (0..15)</w:t>
      </w:r>
    </w:p>
    <w:p w14:paraId="61F55A33" w14:textId="77777777" w:rsidR="00394471" w:rsidRPr="00FA0D37" w:rsidRDefault="00394471" w:rsidP="00FA0D37">
      <w:pPr>
        <w:pStyle w:val="PL"/>
      </w:pPr>
      <w:r w:rsidRPr="00FA0D37">
        <w:t xml:space="preserve">    },</w:t>
      </w:r>
    </w:p>
    <w:p w14:paraId="1C92376A" w14:textId="77777777" w:rsidR="00394471" w:rsidRPr="00FA0D37" w:rsidRDefault="00394471" w:rsidP="00FA0D37">
      <w:pPr>
        <w:pStyle w:val="PL"/>
      </w:pPr>
      <w:r w:rsidRPr="00FA0D37">
        <w:t xml:space="preserve">    ...</w:t>
      </w:r>
    </w:p>
    <w:p w14:paraId="30648BAA" w14:textId="77777777" w:rsidR="00394471" w:rsidRPr="00FA0D37" w:rsidRDefault="00394471" w:rsidP="00FA0D37">
      <w:pPr>
        <w:pStyle w:val="PL"/>
      </w:pPr>
      <w:r w:rsidRPr="00FA0D37">
        <w:t>}</w:t>
      </w:r>
    </w:p>
    <w:p w14:paraId="1C4ECE67" w14:textId="77777777" w:rsidR="00394471" w:rsidRPr="00FA0D37" w:rsidRDefault="00394471" w:rsidP="00FA0D37">
      <w:pPr>
        <w:pStyle w:val="PL"/>
      </w:pPr>
    </w:p>
    <w:p w14:paraId="16511080" w14:textId="77777777" w:rsidR="00394471" w:rsidRPr="00FA0D37" w:rsidRDefault="00394471" w:rsidP="00FA0D37">
      <w:pPr>
        <w:pStyle w:val="PL"/>
      </w:pPr>
      <w:r w:rsidRPr="00FA0D37">
        <w:t xml:space="preserve">CFRA-SSB-Resource ::=           </w:t>
      </w:r>
      <w:r w:rsidRPr="00FA0D37">
        <w:rPr>
          <w:color w:val="993366"/>
        </w:rPr>
        <w:t>SEQUENCE</w:t>
      </w:r>
      <w:r w:rsidRPr="00FA0D37">
        <w:t xml:space="preserve"> {</w:t>
      </w:r>
    </w:p>
    <w:p w14:paraId="3EF2B220" w14:textId="77777777" w:rsidR="00394471" w:rsidRPr="00FA0D37" w:rsidRDefault="00394471" w:rsidP="00FA0D37">
      <w:pPr>
        <w:pStyle w:val="PL"/>
      </w:pPr>
      <w:r w:rsidRPr="00FA0D37">
        <w:t xml:space="preserve">    ssb                             SSB-Index,</w:t>
      </w:r>
    </w:p>
    <w:p w14:paraId="7FA8553B" w14:textId="77777777" w:rsidR="00394471" w:rsidRPr="00FA0D37" w:rsidRDefault="00394471" w:rsidP="00FA0D37">
      <w:pPr>
        <w:pStyle w:val="PL"/>
      </w:pPr>
      <w:r w:rsidRPr="00FA0D37">
        <w:t xml:space="preserve">    ra-PreambleIndex                </w:t>
      </w:r>
      <w:r w:rsidRPr="00FA0D37">
        <w:rPr>
          <w:color w:val="993366"/>
        </w:rPr>
        <w:t>INTEGER</w:t>
      </w:r>
      <w:r w:rsidRPr="00FA0D37">
        <w:t xml:space="preserve"> (0..63),</w:t>
      </w:r>
    </w:p>
    <w:p w14:paraId="77DAAFF1" w14:textId="77777777" w:rsidR="00394471" w:rsidRPr="00FA0D37" w:rsidRDefault="00394471" w:rsidP="00FA0D37">
      <w:pPr>
        <w:pStyle w:val="PL"/>
      </w:pPr>
      <w:r w:rsidRPr="00FA0D37">
        <w:t xml:space="preserve">    ...,</w:t>
      </w:r>
    </w:p>
    <w:p w14:paraId="1B9CA5F7" w14:textId="77777777" w:rsidR="00394471" w:rsidRPr="00FA0D37" w:rsidRDefault="00394471" w:rsidP="00FA0D37">
      <w:pPr>
        <w:pStyle w:val="PL"/>
      </w:pPr>
      <w:r w:rsidRPr="00FA0D37">
        <w:t xml:space="preserve">    [[</w:t>
      </w:r>
    </w:p>
    <w:p w14:paraId="6397C07B" w14:textId="07BA5DE4" w:rsidR="00394471" w:rsidRPr="00FA0D37" w:rsidRDefault="00394471" w:rsidP="00FA0D37">
      <w:pPr>
        <w:pStyle w:val="PL"/>
        <w:rPr>
          <w:color w:val="808080"/>
        </w:rPr>
      </w:pPr>
      <w:r w:rsidRPr="00FA0D37">
        <w:t xml:space="preserve">    msgA-PUSCH-</w:t>
      </w:r>
      <w:r w:rsidR="00425E6C" w:rsidRPr="00FA0D37">
        <w:t>R</w:t>
      </w:r>
      <w:r w:rsidRPr="00FA0D37">
        <w:t xml:space="preserve">esource-Index-r16   </w:t>
      </w:r>
      <w:r w:rsidRPr="00FA0D37">
        <w:rPr>
          <w:color w:val="993366"/>
        </w:rPr>
        <w:t>INTEGER</w:t>
      </w:r>
      <w:r w:rsidRPr="00FA0D37">
        <w:t xml:space="preserve"> (0..3071)     </w:t>
      </w:r>
      <w:r w:rsidRPr="00FA0D37">
        <w:rPr>
          <w:color w:val="993366"/>
        </w:rPr>
        <w:t>OPTIONAL</w:t>
      </w:r>
      <w:r w:rsidRPr="00FA0D37">
        <w:t xml:space="preserve">  </w:t>
      </w:r>
      <w:r w:rsidRPr="00FA0D37">
        <w:rPr>
          <w:color w:val="808080"/>
        </w:rPr>
        <w:t>-- Cond 2StepCFRA</w:t>
      </w:r>
    </w:p>
    <w:p w14:paraId="4FC02106" w14:textId="77777777" w:rsidR="00394471" w:rsidRPr="00FA0D37" w:rsidRDefault="00394471" w:rsidP="00FA0D37">
      <w:pPr>
        <w:pStyle w:val="PL"/>
      </w:pPr>
      <w:r w:rsidRPr="00FA0D37">
        <w:t xml:space="preserve">    ]]</w:t>
      </w:r>
    </w:p>
    <w:p w14:paraId="18BFC411" w14:textId="77777777" w:rsidR="00394471" w:rsidRPr="00FA0D37" w:rsidRDefault="00394471" w:rsidP="00FA0D37">
      <w:pPr>
        <w:pStyle w:val="PL"/>
      </w:pPr>
    </w:p>
    <w:p w14:paraId="0FD16E56" w14:textId="77777777" w:rsidR="00394471" w:rsidRPr="00FA0D37" w:rsidRDefault="00394471" w:rsidP="00FA0D37">
      <w:pPr>
        <w:pStyle w:val="PL"/>
      </w:pPr>
      <w:r w:rsidRPr="00FA0D37">
        <w:t>}</w:t>
      </w:r>
    </w:p>
    <w:p w14:paraId="70828885" w14:textId="77777777" w:rsidR="00394471" w:rsidRPr="00FA0D37" w:rsidRDefault="00394471" w:rsidP="00FA0D37">
      <w:pPr>
        <w:pStyle w:val="PL"/>
      </w:pPr>
    </w:p>
    <w:p w14:paraId="5ABC47C2" w14:textId="77777777" w:rsidR="00394471" w:rsidRPr="00FA0D37" w:rsidRDefault="00394471" w:rsidP="00FA0D37">
      <w:pPr>
        <w:pStyle w:val="PL"/>
      </w:pPr>
      <w:r w:rsidRPr="00FA0D37">
        <w:t xml:space="preserve">CFRA-CSIRS-Resource ::=         </w:t>
      </w:r>
      <w:r w:rsidRPr="00FA0D37">
        <w:rPr>
          <w:color w:val="993366"/>
        </w:rPr>
        <w:t>SEQUENCE</w:t>
      </w:r>
      <w:r w:rsidRPr="00FA0D37">
        <w:t xml:space="preserve"> {</w:t>
      </w:r>
    </w:p>
    <w:p w14:paraId="0419B79F" w14:textId="77777777" w:rsidR="00394471" w:rsidRPr="00FA0D37" w:rsidRDefault="00394471" w:rsidP="00FA0D37">
      <w:pPr>
        <w:pStyle w:val="PL"/>
      </w:pPr>
      <w:r w:rsidRPr="00FA0D37">
        <w:t xml:space="preserve">    csi-RS                          CSI-RS-Index,</w:t>
      </w:r>
    </w:p>
    <w:p w14:paraId="69A5EF94" w14:textId="77777777" w:rsidR="00394471" w:rsidRPr="00FA0D37" w:rsidRDefault="00394471" w:rsidP="00FA0D37">
      <w:pPr>
        <w:pStyle w:val="PL"/>
      </w:pPr>
      <w:r w:rsidRPr="00FA0D37">
        <w:t xml:space="preserve">    ra-OccasionList                 </w:t>
      </w:r>
      <w:r w:rsidRPr="00FA0D37">
        <w:rPr>
          <w:color w:val="993366"/>
        </w:rPr>
        <w:t>SEQUENCE</w:t>
      </w:r>
      <w:r w:rsidRPr="00FA0D37">
        <w:t xml:space="preserve"> (</w:t>
      </w:r>
      <w:r w:rsidRPr="00FA0D37">
        <w:rPr>
          <w:color w:val="993366"/>
        </w:rPr>
        <w:t>SIZE</w:t>
      </w:r>
      <w:r w:rsidRPr="00FA0D37">
        <w:t>(1..maxRA-OccasionsPerCSIRS))</w:t>
      </w:r>
      <w:r w:rsidRPr="00FA0D37">
        <w:rPr>
          <w:color w:val="993366"/>
        </w:rPr>
        <w:t xml:space="preserve"> OF</w:t>
      </w:r>
      <w:r w:rsidRPr="00FA0D37">
        <w:t xml:space="preserve"> </w:t>
      </w:r>
      <w:r w:rsidRPr="00FA0D37">
        <w:rPr>
          <w:color w:val="993366"/>
        </w:rPr>
        <w:t>INTEGER</w:t>
      </w:r>
      <w:r w:rsidRPr="00FA0D37">
        <w:t xml:space="preserve"> (0..maxRA-Occasions-1),</w:t>
      </w:r>
    </w:p>
    <w:p w14:paraId="1DE4F009" w14:textId="77777777" w:rsidR="00394471" w:rsidRPr="00FA0D37" w:rsidRDefault="00394471" w:rsidP="00FA0D37">
      <w:pPr>
        <w:pStyle w:val="PL"/>
      </w:pPr>
      <w:r w:rsidRPr="00FA0D37">
        <w:t xml:space="preserve">    ra-PreambleIndex                </w:t>
      </w:r>
      <w:r w:rsidRPr="00FA0D37">
        <w:rPr>
          <w:color w:val="993366"/>
        </w:rPr>
        <w:t>INTEGER</w:t>
      </w:r>
      <w:r w:rsidRPr="00FA0D37">
        <w:t xml:space="preserve"> (0..63),</w:t>
      </w:r>
    </w:p>
    <w:p w14:paraId="72D958FE" w14:textId="77777777" w:rsidR="00394471" w:rsidRPr="00FA0D37" w:rsidRDefault="00394471" w:rsidP="00FA0D37">
      <w:pPr>
        <w:pStyle w:val="PL"/>
      </w:pPr>
      <w:r w:rsidRPr="00FA0D37">
        <w:t xml:space="preserve">    ...</w:t>
      </w:r>
    </w:p>
    <w:p w14:paraId="1737EC4E" w14:textId="77777777" w:rsidR="00394471" w:rsidRPr="00FA0D37" w:rsidRDefault="00394471" w:rsidP="00FA0D37">
      <w:pPr>
        <w:pStyle w:val="PL"/>
      </w:pPr>
      <w:r w:rsidRPr="00FA0D37">
        <w:t>}</w:t>
      </w:r>
    </w:p>
    <w:p w14:paraId="577132B1" w14:textId="77777777" w:rsidR="00394471" w:rsidRPr="00FA0D37" w:rsidRDefault="00394471" w:rsidP="00FA0D37">
      <w:pPr>
        <w:pStyle w:val="PL"/>
      </w:pPr>
    </w:p>
    <w:p w14:paraId="2CB29FA5" w14:textId="77777777" w:rsidR="00394471" w:rsidRPr="00FA0D37" w:rsidRDefault="00394471" w:rsidP="00FA0D37">
      <w:pPr>
        <w:pStyle w:val="PL"/>
        <w:rPr>
          <w:color w:val="808080"/>
        </w:rPr>
      </w:pPr>
      <w:r w:rsidRPr="00FA0D37">
        <w:rPr>
          <w:color w:val="808080"/>
        </w:rPr>
        <w:lastRenderedPageBreak/>
        <w:t>-- TAG-RACH-CONFIGDEDICATED-STOP</w:t>
      </w:r>
    </w:p>
    <w:p w14:paraId="5BA353A2" w14:textId="77777777" w:rsidR="00394471" w:rsidRPr="00FA0D37" w:rsidRDefault="00394471" w:rsidP="00FA0D37">
      <w:pPr>
        <w:pStyle w:val="PL"/>
        <w:rPr>
          <w:color w:val="808080"/>
        </w:rPr>
      </w:pPr>
      <w:r w:rsidRPr="00FA0D37">
        <w:rPr>
          <w:color w:val="808080"/>
        </w:rPr>
        <w:t>-- ASN1STOP</w:t>
      </w:r>
    </w:p>
    <w:p w14:paraId="23CC4DC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FA0D37" w:rsidRDefault="00394471" w:rsidP="00964CC4">
            <w:pPr>
              <w:pStyle w:val="TAH"/>
              <w:rPr>
                <w:szCs w:val="22"/>
                <w:lang w:eastAsia="sv-SE"/>
              </w:rPr>
            </w:pPr>
            <w:r w:rsidRPr="00FA0D37">
              <w:rPr>
                <w:i/>
                <w:szCs w:val="22"/>
                <w:lang w:eastAsia="sv-SE"/>
              </w:rPr>
              <w:t xml:space="preserve">CFRA-CSIRS-Resource </w:t>
            </w:r>
            <w:r w:rsidRPr="00FA0D37">
              <w:rPr>
                <w:szCs w:val="22"/>
                <w:lang w:eastAsia="sv-SE"/>
              </w:rPr>
              <w:t>field descriptions</w:t>
            </w:r>
          </w:p>
        </w:tc>
      </w:tr>
      <w:tr w:rsidR="005C7FF4" w:rsidRPr="00FA0D37"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FA0D37" w:rsidRDefault="00394471" w:rsidP="00964CC4">
            <w:pPr>
              <w:pStyle w:val="TAL"/>
              <w:rPr>
                <w:szCs w:val="22"/>
                <w:lang w:eastAsia="sv-SE"/>
              </w:rPr>
            </w:pPr>
            <w:r w:rsidRPr="00FA0D37">
              <w:rPr>
                <w:b/>
                <w:i/>
                <w:szCs w:val="22"/>
                <w:lang w:eastAsia="sv-SE"/>
              </w:rPr>
              <w:t>csi-RS</w:t>
            </w:r>
          </w:p>
          <w:p w14:paraId="0A7CF1D6" w14:textId="77777777" w:rsidR="00394471" w:rsidRPr="00FA0D37" w:rsidRDefault="00394471" w:rsidP="00964CC4">
            <w:pPr>
              <w:pStyle w:val="TAL"/>
              <w:rPr>
                <w:szCs w:val="22"/>
                <w:lang w:eastAsia="sv-SE"/>
              </w:rPr>
            </w:pPr>
            <w:r w:rsidRPr="00FA0D37">
              <w:rPr>
                <w:szCs w:val="22"/>
                <w:lang w:eastAsia="sv-SE"/>
              </w:rPr>
              <w:t>The ID of a CSI-RS resource defined in the measurement object associated with this serving cell.</w:t>
            </w:r>
          </w:p>
        </w:tc>
      </w:tr>
      <w:tr w:rsidR="005C7FF4" w:rsidRPr="00FA0D37"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FA0D37" w:rsidRDefault="00394471" w:rsidP="00964CC4">
            <w:pPr>
              <w:pStyle w:val="TAL"/>
              <w:rPr>
                <w:szCs w:val="22"/>
                <w:lang w:eastAsia="sv-SE"/>
              </w:rPr>
            </w:pPr>
            <w:r w:rsidRPr="00FA0D37">
              <w:rPr>
                <w:b/>
                <w:i/>
                <w:szCs w:val="22"/>
                <w:lang w:eastAsia="sv-SE"/>
              </w:rPr>
              <w:t>ra-OccasionList</w:t>
            </w:r>
          </w:p>
          <w:p w14:paraId="5289136F" w14:textId="77777777" w:rsidR="00394471" w:rsidRPr="00FA0D37" w:rsidRDefault="00394471" w:rsidP="00964CC4">
            <w:pPr>
              <w:pStyle w:val="TAL"/>
              <w:rPr>
                <w:szCs w:val="22"/>
                <w:lang w:eastAsia="sv-SE"/>
              </w:rPr>
            </w:pPr>
            <w:r w:rsidRPr="00FA0D37">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FA0D37"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FA0D37" w:rsidRDefault="00394471" w:rsidP="00964CC4">
            <w:pPr>
              <w:pStyle w:val="TAL"/>
              <w:rPr>
                <w:szCs w:val="22"/>
                <w:lang w:eastAsia="sv-SE"/>
              </w:rPr>
            </w:pPr>
            <w:r w:rsidRPr="00FA0D37">
              <w:rPr>
                <w:b/>
                <w:i/>
                <w:szCs w:val="22"/>
                <w:lang w:eastAsia="sv-SE"/>
              </w:rPr>
              <w:t>ra-PreambleIndex</w:t>
            </w:r>
          </w:p>
          <w:p w14:paraId="08F038DB" w14:textId="77777777" w:rsidR="00394471" w:rsidRPr="00FA0D37" w:rsidRDefault="00394471" w:rsidP="00964CC4">
            <w:pPr>
              <w:pStyle w:val="TAL"/>
              <w:rPr>
                <w:szCs w:val="22"/>
                <w:lang w:eastAsia="sv-SE"/>
              </w:rPr>
            </w:pPr>
            <w:r w:rsidRPr="00FA0D37">
              <w:rPr>
                <w:szCs w:val="22"/>
                <w:lang w:eastAsia="sv-SE"/>
              </w:rPr>
              <w:t>The RA preamble index to use in the RA occasions associated with this CSI-RS.</w:t>
            </w:r>
          </w:p>
        </w:tc>
      </w:tr>
    </w:tbl>
    <w:p w14:paraId="64183F1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FA0D37" w:rsidRDefault="00394471" w:rsidP="00964CC4">
            <w:pPr>
              <w:pStyle w:val="TAH"/>
              <w:rPr>
                <w:szCs w:val="22"/>
                <w:lang w:eastAsia="sv-SE"/>
              </w:rPr>
            </w:pPr>
            <w:r w:rsidRPr="00FA0D37">
              <w:rPr>
                <w:i/>
                <w:szCs w:val="22"/>
                <w:lang w:eastAsia="sv-SE"/>
              </w:rPr>
              <w:t xml:space="preserve">CFRA </w:t>
            </w:r>
            <w:r w:rsidRPr="00FA0D37">
              <w:rPr>
                <w:szCs w:val="22"/>
                <w:lang w:eastAsia="sv-SE"/>
              </w:rPr>
              <w:t>field descriptions</w:t>
            </w:r>
          </w:p>
        </w:tc>
      </w:tr>
      <w:tr w:rsidR="005C7FF4" w:rsidRPr="00FA0D37"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FA0D37" w:rsidRDefault="00394471" w:rsidP="00964CC4">
            <w:pPr>
              <w:pStyle w:val="TAL"/>
              <w:rPr>
                <w:szCs w:val="22"/>
                <w:lang w:eastAsia="sv-SE"/>
              </w:rPr>
            </w:pPr>
            <w:r w:rsidRPr="00FA0D37">
              <w:rPr>
                <w:b/>
                <w:i/>
                <w:szCs w:val="22"/>
                <w:lang w:eastAsia="sv-SE"/>
              </w:rPr>
              <w:t>occasions</w:t>
            </w:r>
          </w:p>
          <w:p w14:paraId="150742B6" w14:textId="77777777" w:rsidR="00394471" w:rsidRPr="00FA0D37" w:rsidRDefault="00394471" w:rsidP="00964CC4">
            <w:pPr>
              <w:pStyle w:val="TAL"/>
              <w:rPr>
                <w:szCs w:val="22"/>
                <w:lang w:eastAsia="sv-SE"/>
              </w:rPr>
            </w:pPr>
            <w:r w:rsidRPr="00FA0D37">
              <w:rPr>
                <w:szCs w:val="22"/>
                <w:lang w:eastAsia="sv-SE"/>
              </w:rPr>
              <w:t xml:space="preserve">RA occasions for contention free random access. If the field is absent, the UE uses the RA occasions configured in </w:t>
            </w:r>
            <w:r w:rsidRPr="00FA0D37">
              <w:rPr>
                <w:i/>
                <w:szCs w:val="22"/>
                <w:lang w:eastAsia="sv-SE"/>
              </w:rPr>
              <w:t>RACH-ConfigCommon</w:t>
            </w:r>
            <w:r w:rsidRPr="00FA0D37">
              <w:rPr>
                <w:szCs w:val="22"/>
                <w:lang w:eastAsia="sv-SE"/>
              </w:rPr>
              <w:t xml:space="preserve"> in the first active UL BWP.</w:t>
            </w:r>
          </w:p>
        </w:tc>
      </w:tr>
      <w:tr w:rsidR="005C7FF4" w:rsidRPr="00FA0D37"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FA0D37" w:rsidRDefault="00394471" w:rsidP="00964CC4">
            <w:pPr>
              <w:pStyle w:val="TAL"/>
              <w:rPr>
                <w:szCs w:val="22"/>
                <w:lang w:eastAsia="sv-SE"/>
              </w:rPr>
            </w:pPr>
            <w:r w:rsidRPr="00FA0D37">
              <w:rPr>
                <w:b/>
                <w:i/>
                <w:szCs w:val="22"/>
                <w:lang w:eastAsia="sv-SE"/>
              </w:rPr>
              <w:t>ra-ssb-OccasionMaskIndex</w:t>
            </w:r>
          </w:p>
          <w:p w14:paraId="50A620D0" w14:textId="77777777" w:rsidR="00394471" w:rsidRPr="00FA0D37" w:rsidRDefault="00394471" w:rsidP="00964CC4">
            <w:pPr>
              <w:pStyle w:val="TAL"/>
              <w:rPr>
                <w:szCs w:val="22"/>
                <w:lang w:eastAsia="sv-SE"/>
              </w:rPr>
            </w:pPr>
            <w:r w:rsidRPr="00FA0D37">
              <w:rPr>
                <w:szCs w:val="22"/>
                <w:lang w:eastAsia="sv-SE"/>
              </w:rPr>
              <w:t xml:space="preserve">Explicitly signalled PRACH Mask Index for RA Resource selection in TS 38.321 [3]. The mask is valid for all SSB resources signalled in </w:t>
            </w:r>
            <w:r w:rsidRPr="00FA0D37">
              <w:rPr>
                <w:i/>
                <w:szCs w:val="22"/>
                <w:lang w:eastAsia="sv-SE"/>
              </w:rPr>
              <w:t>ssb-ResourceList</w:t>
            </w:r>
            <w:r w:rsidRPr="00FA0D37">
              <w:rPr>
                <w:szCs w:val="22"/>
                <w:lang w:eastAsia="sv-SE"/>
              </w:rPr>
              <w:t>.</w:t>
            </w:r>
          </w:p>
        </w:tc>
      </w:tr>
      <w:tr w:rsidR="005C7FF4" w:rsidRPr="00FA0D37"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FA0D37" w:rsidRDefault="00394471" w:rsidP="00964CC4">
            <w:pPr>
              <w:pStyle w:val="TAL"/>
              <w:rPr>
                <w:b/>
                <w:i/>
                <w:szCs w:val="22"/>
                <w:lang w:eastAsia="sv-SE"/>
              </w:rPr>
            </w:pPr>
            <w:r w:rsidRPr="00FA0D37">
              <w:rPr>
                <w:b/>
                <w:i/>
                <w:szCs w:val="22"/>
                <w:lang w:eastAsia="sv-SE"/>
              </w:rPr>
              <w:t>rach-ConfigGeneric</w:t>
            </w:r>
          </w:p>
          <w:p w14:paraId="1018D8AB" w14:textId="77777777" w:rsidR="00394471" w:rsidRPr="00FA0D37" w:rsidRDefault="00394471" w:rsidP="00964CC4">
            <w:pPr>
              <w:pStyle w:val="TAL"/>
              <w:rPr>
                <w:szCs w:val="22"/>
                <w:lang w:eastAsia="sv-SE"/>
              </w:rPr>
            </w:pPr>
            <w:r w:rsidRPr="00FA0D37">
              <w:rPr>
                <w:szCs w:val="22"/>
                <w:lang w:eastAsia="sv-SE"/>
              </w:rPr>
              <w:t xml:space="preserve">Configuration of contention free random access occasions for CFRA. The UE shall ignore </w:t>
            </w:r>
            <w:r w:rsidRPr="00FA0D37">
              <w:rPr>
                <w:i/>
                <w:szCs w:val="22"/>
                <w:lang w:eastAsia="sv-SE"/>
              </w:rPr>
              <w:t>preambleReceivedTargetPower</w:t>
            </w:r>
            <w:r w:rsidRPr="00FA0D37">
              <w:rPr>
                <w:szCs w:val="22"/>
                <w:lang w:eastAsia="sv-SE"/>
              </w:rPr>
              <w:t xml:space="preserve">, </w:t>
            </w:r>
            <w:r w:rsidRPr="00FA0D37">
              <w:rPr>
                <w:i/>
                <w:szCs w:val="22"/>
                <w:lang w:eastAsia="sv-SE"/>
              </w:rPr>
              <w:t>preambleTransMax</w:t>
            </w:r>
            <w:r w:rsidRPr="00FA0D37">
              <w:rPr>
                <w:szCs w:val="22"/>
                <w:lang w:eastAsia="sv-SE"/>
              </w:rPr>
              <w:t xml:space="preserve">, </w:t>
            </w:r>
            <w:r w:rsidRPr="00FA0D37">
              <w:rPr>
                <w:i/>
                <w:szCs w:val="22"/>
                <w:lang w:eastAsia="sv-SE"/>
              </w:rPr>
              <w:t>powerRampingStep</w:t>
            </w:r>
            <w:r w:rsidRPr="00FA0D37">
              <w:rPr>
                <w:szCs w:val="22"/>
                <w:lang w:eastAsia="sv-SE"/>
              </w:rPr>
              <w:t xml:space="preserve">, </w:t>
            </w:r>
            <w:r w:rsidRPr="00FA0D37">
              <w:rPr>
                <w:i/>
                <w:szCs w:val="22"/>
                <w:lang w:eastAsia="sv-SE"/>
              </w:rPr>
              <w:t>ra-ResponseWindow</w:t>
            </w:r>
            <w:r w:rsidRPr="00FA0D37">
              <w:rPr>
                <w:szCs w:val="22"/>
                <w:lang w:eastAsia="sv-SE"/>
              </w:rPr>
              <w:t xml:space="preserve"> signaled within this field and use the corresponding values provided in </w:t>
            </w:r>
            <w:r w:rsidRPr="00FA0D37">
              <w:rPr>
                <w:i/>
                <w:szCs w:val="22"/>
                <w:lang w:eastAsia="sv-SE"/>
              </w:rPr>
              <w:t>RACH-ConfigCommon</w:t>
            </w:r>
            <w:r w:rsidRPr="00FA0D37">
              <w:rPr>
                <w:szCs w:val="22"/>
                <w:lang w:eastAsia="sv-SE"/>
              </w:rPr>
              <w:t>.</w:t>
            </w:r>
          </w:p>
        </w:tc>
      </w:tr>
      <w:tr w:rsidR="005C7FF4" w:rsidRPr="00FA0D37"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FA0D37" w:rsidRDefault="00394471" w:rsidP="00964CC4">
            <w:pPr>
              <w:pStyle w:val="TAL"/>
              <w:rPr>
                <w:b/>
                <w:i/>
                <w:szCs w:val="22"/>
                <w:lang w:eastAsia="sv-SE"/>
              </w:rPr>
            </w:pPr>
            <w:r w:rsidRPr="00FA0D37">
              <w:rPr>
                <w:b/>
                <w:i/>
                <w:szCs w:val="22"/>
                <w:lang w:eastAsia="sv-SE"/>
              </w:rPr>
              <w:t>ssb-perRACH-Occasion</w:t>
            </w:r>
          </w:p>
          <w:p w14:paraId="6C55F691" w14:textId="77777777" w:rsidR="00394471" w:rsidRPr="00FA0D37" w:rsidRDefault="00394471" w:rsidP="00964CC4">
            <w:pPr>
              <w:pStyle w:val="TAL"/>
              <w:rPr>
                <w:szCs w:val="22"/>
                <w:lang w:eastAsia="sv-SE"/>
              </w:rPr>
            </w:pPr>
            <w:r w:rsidRPr="00FA0D37">
              <w:rPr>
                <w:szCs w:val="22"/>
                <w:lang w:eastAsia="sv-SE"/>
              </w:rPr>
              <w:t>Number of SSBs per RACH occasion.</w:t>
            </w:r>
          </w:p>
        </w:tc>
      </w:tr>
      <w:tr w:rsidR="00394471" w:rsidRPr="00FA0D37"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FA0D37" w:rsidRDefault="00394471" w:rsidP="00964CC4">
            <w:pPr>
              <w:pStyle w:val="TAL"/>
              <w:rPr>
                <w:szCs w:val="22"/>
                <w:lang w:eastAsia="sv-SE"/>
              </w:rPr>
            </w:pPr>
            <w:r w:rsidRPr="00FA0D37">
              <w:rPr>
                <w:b/>
                <w:i/>
                <w:szCs w:val="22"/>
                <w:lang w:eastAsia="sv-SE"/>
              </w:rPr>
              <w:t>totalNumberOfRA-Preambles</w:t>
            </w:r>
          </w:p>
          <w:p w14:paraId="1EE14D4D" w14:textId="77777777" w:rsidR="00394471" w:rsidRPr="00FA0D37" w:rsidRDefault="00394471" w:rsidP="00964CC4">
            <w:pPr>
              <w:pStyle w:val="TAL"/>
              <w:rPr>
                <w:szCs w:val="22"/>
                <w:lang w:eastAsia="sv-SE"/>
              </w:rPr>
            </w:pPr>
            <w:r w:rsidRPr="00FA0D37">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FA0D37">
              <w:rPr>
                <w:i/>
                <w:szCs w:val="22"/>
                <w:lang w:eastAsia="sv-SE"/>
              </w:rPr>
              <w:t>occasions</w:t>
            </w:r>
            <w:r w:rsidRPr="00FA0D37">
              <w:rPr>
                <w:szCs w:val="22"/>
                <w:lang w:eastAsia="sv-SE"/>
              </w:rPr>
              <w:t xml:space="preserve"> is present, the UE may assume all the 64 preambles are for RA. The setting should be consistent with the setting of </w:t>
            </w:r>
            <w:r w:rsidRPr="00FA0D37">
              <w:rPr>
                <w:i/>
                <w:szCs w:val="22"/>
                <w:lang w:eastAsia="sv-SE"/>
              </w:rPr>
              <w:t>ssb-perRACH-Occasion</w:t>
            </w:r>
            <w:r w:rsidRPr="00FA0D37">
              <w:rPr>
                <w:szCs w:val="22"/>
                <w:lang w:eastAsia="sv-SE"/>
              </w:rPr>
              <w:t>, if present, i.e. it should be a multiple of the number of SSBs per RACH occasion.</w:t>
            </w:r>
          </w:p>
        </w:tc>
      </w:tr>
    </w:tbl>
    <w:p w14:paraId="175641C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FA0D37" w:rsidRDefault="00394471" w:rsidP="00964CC4">
            <w:pPr>
              <w:pStyle w:val="TAH"/>
              <w:rPr>
                <w:szCs w:val="22"/>
                <w:lang w:eastAsia="sv-SE"/>
              </w:rPr>
            </w:pPr>
            <w:r w:rsidRPr="00FA0D37">
              <w:rPr>
                <w:i/>
                <w:szCs w:val="22"/>
                <w:lang w:eastAsia="sv-SE"/>
              </w:rPr>
              <w:lastRenderedPageBreak/>
              <w:t xml:space="preserve">CFRA-SSB-Resource </w:t>
            </w:r>
            <w:r w:rsidRPr="00FA0D37">
              <w:rPr>
                <w:szCs w:val="22"/>
                <w:lang w:eastAsia="sv-SE"/>
              </w:rPr>
              <w:t>field descriptions</w:t>
            </w:r>
          </w:p>
        </w:tc>
      </w:tr>
      <w:tr w:rsidR="005C7FF4" w:rsidRPr="00FA0D37"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FA0D37" w:rsidRDefault="00394471" w:rsidP="00964CC4">
            <w:pPr>
              <w:pStyle w:val="TAL"/>
              <w:rPr>
                <w:b/>
                <w:i/>
                <w:szCs w:val="22"/>
              </w:rPr>
            </w:pPr>
            <w:r w:rsidRPr="00FA0D37">
              <w:rPr>
                <w:b/>
                <w:i/>
                <w:szCs w:val="22"/>
              </w:rPr>
              <w:t>msgA-PUSCH-</w:t>
            </w:r>
            <w:r w:rsidR="00425E6C" w:rsidRPr="00FA0D37">
              <w:rPr>
                <w:b/>
                <w:i/>
                <w:szCs w:val="22"/>
              </w:rPr>
              <w:t>R</w:t>
            </w:r>
            <w:r w:rsidRPr="00FA0D37">
              <w:rPr>
                <w:b/>
                <w:i/>
                <w:szCs w:val="22"/>
              </w:rPr>
              <w:t>esource-Index</w:t>
            </w:r>
          </w:p>
          <w:p w14:paraId="5B47F96B" w14:textId="13CB22C8" w:rsidR="00394471" w:rsidRPr="00FA0D37" w:rsidRDefault="00394471" w:rsidP="00964CC4">
            <w:pPr>
              <w:pStyle w:val="TAL"/>
              <w:rPr>
                <w:lang w:eastAsia="sv-SE"/>
              </w:rPr>
            </w:pPr>
            <w:r w:rsidRPr="00FA0D37">
              <w:rPr>
                <w:szCs w:val="22"/>
              </w:rPr>
              <w:t xml:space="preserve">Identifies the index of the PUSCH resource used for MSGA CFRA. The PUSCH resource index indicates a valid PUSCH occasion (as specified in TS 38.213 [13], </w:t>
            </w:r>
            <w:r w:rsidR="009C7196" w:rsidRPr="00FA0D37">
              <w:rPr>
                <w:szCs w:val="22"/>
              </w:rPr>
              <w:t>clause</w:t>
            </w:r>
            <w:r w:rsidRPr="00FA0D37">
              <w:rPr>
                <w:szCs w:val="22"/>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FA0D37">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5C7FF4" w:rsidRPr="00FA0D37"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FA0D37" w:rsidRDefault="00394471" w:rsidP="00964CC4">
            <w:pPr>
              <w:pStyle w:val="TAL"/>
              <w:rPr>
                <w:szCs w:val="22"/>
                <w:lang w:eastAsia="sv-SE"/>
              </w:rPr>
            </w:pPr>
            <w:r w:rsidRPr="00FA0D37">
              <w:rPr>
                <w:b/>
                <w:i/>
                <w:szCs w:val="22"/>
                <w:lang w:eastAsia="sv-SE"/>
              </w:rPr>
              <w:t>ra-PreambleIndex</w:t>
            </w:r>
          </w:p>
          <w:p w14:paraId="46FD65ED" w14:textId="77777777" w:rsidR="00394471" w:rsidRPr="00FA0D37" w:rsidRDefault="00394471" w:rsidP="00964CC4">
            <w:pPr>
              <w:pStyle w:val="TAL"/>
              <w:rPr>
                <w:szCs w:val="22"/>
                <w:lang w:eastAsia="sv-SE"/>
              </w:rPr>
            </w:pPr>
            <w:r w:rsidRPr="00FA0D37">
              <w:rPr>
                <w:szCs w:val="22"/>
                <w:lang w:eastAsia="sv-SE"/>
              </w:rPr>
              <w:t>The preamble index that the UE shall use when performing CF-RA upon selecting the candidate beams identified by this SSB.</w:t>
            </w:r>
          </w:p>
        </w:tc>
      </w:tr>
      <w:tr w:rsidR="00394471" w:rsidRPr="00FA0D37"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FA0D37" w:rsidRDefault="00394471" w:rsidP="00964CC4">
            <w:pPr>
              <w:pStyle w:val="TAL"/>
              <w:rPr>
                <w:szCs w:val="22"/>
                <w:lang w:eastAsia="sv-SE"/>
              </w:rPr>
            </w:pPr>
            <w:r w:rsidRPr="00FA0D37">
              <w:rPr>
                <w:b/>
                <w:i/>
                <w:szCs w:val="22"/>
                <w:lang w:eastAsia="sv-SE"/>
              </w:rPr>
              <w:t>ssb</w:t>
            </w:r>
          </w:p>
          <w:p w14:paraId="79E8E37D" w14:textId="77777777" w:rsidR="00394471" w:rsidRPr="00FA0D37" w:rsidRDefault="00394471" w:rsidP="00964CC4">
            <w:pPr>
              <w:pStyle w:val="TAL"/>
              <w:rPr>
                <w:szCs w:val="22"/>
                <w:lang w:eastAsia="sv-SE"/>
              </w:rPr>
            </w:pPr>
            <w:r w:rsidRPr="00FA0D37">
              <w:rPr>
                <w:szCs w:val="22"/>
                <w:lang w:eastAsia="sv-SE"/>
              </w:rPr>
              <w:t>The ID of an SSB transmitted by this serving cell.</w:t>
            </w:r>
          </w:p>
        </w:tc>
      </w:tr>
    </w:tbl>
    <w:p w14:paraId="2F3AAA3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FA0D37" w:rsidRDefault="00394471" w:rsidP="00964CC4">
            <w:pPr>
              <w:pStyle w:val="TAH"/>
              <w:rPr>
                <w:szCs w:val="22"/>
                <w:lang w:eastAsia="sv-SE"/>
              </w:rPr>
            </w:pPr>
            <w:r w:rsidRPr="00FA0D37">
              <w:rPr>
                <w:i/>
                <w:szCs w:val="22"/>
                <w:lang w:eastAsia="sv-SE"/>
              </w:rPr>
              <w:t xml:space="preserve">CFRA-TwoStep </w:t>
            </w:r>
            <w:r w:rsidRPr="00FA0D37">
              <w:rPr>
                <w:szCs w:val="22"/>
                <w:lang w:eastAsia="sv-SE"/>
              </w:rPr>
              <w:t>field descriptions</w:t>
            </w:r>
          </w:p>
        </w:tc>
      </w:tr>
      <w:tr w:rsidR="005C7FF4" w:rsidRPr="00FA0D37"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FA0D37" w:rsidRDefault="00394471" w:rsidP="00964CC4">
            <w:pPr>
              <w:pStyle w:val="TAL"/>
              <w:rPr>
                <w:b/>
                <w:i/>
                <w:szCs w:val="22"/>
                <w:lang w:eastAsia="sv-SE"/>
              </w:rPr>
            </w:pPr>
            <w:r w:rsidRPr="00FA0D37">
              <w:rPr>
                <w:b/>
                <w:i/>
                <w:szCs w:val="22"/>
                <w:lang w:eastAsia="sv-SE"/>
              </w:rPr>
              <w:t>msgA-CFRA-PUSCH</w:t>
            </w:r>
          </w:p>
          <w:p w14:paraId="2A36F55E" w14:textId="77777777" w:rsidR="00394471" w:rsidRPr="00FA0D37" w:rsidRDefault="00394471" w:rsidP="00964CC4">
            <w:pPr>
              <w:pStyle w:val="TAL"/>
              <w:rPr>
                <w:b/>
                <w:i/>
                <w:szCs w:val="22"/>
                <w:lang w:eastAsia="sv-SE"/>
              </w:rPr>
            </w:pPr>
            <w:r w:rsidRPr="00FA0D37">
              <w:rPr>
                <w:szCs w:val="22"/>
                <w:lang w:eastAsia="sv-SE"/>
              </w:rPr>
              <w:t>PUSCH resource configuration(s) for msgA CFRA.</w:t>
            </w:r>
          </w:p>
        </w:tc>
      </w:tr>
      <w:tr w:rsidR="005C7FF4" w:rsidRPr="00FA0D37"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FA0D37" w:rsidRDefault="00394471" w:rsidP="00964CC4">
            <w:pPr>
              <w:pStyle w:val="TAL"/>
              <w:rPr>
                <w:szCs w:val="22"/>
              </w:rPr>
            </w:pPr>
            <w:r w:rsidRPr="00FA0D37">
              <w:rPr>
                <w:b/>
                <w:i/>
                <w:szCs w:val="22"/>
              </w:rPr>
              <w:t>msgA-TransMax</w:t>
            </w:r>
          </w:p>
          <w:p w14:paraId="0026AF6E" w14:textId="7CE08A59" w:rsidR="00394471" w:rsidRPr="00FA0D37" w:rsidRDefault="00394471" w:rsidP="00964CC4">
            <w:pPr>
              <w:pStyle w:val="TAL"/>
              <w:rPr>
                <w:b/>
                <w:i/>
                <w:szCs w:val="22"/>
                <w:lang w:eastAsia="sv-SE"/>
              </w:rPr>
            </w:pPr>
            <w:r w:rsidRPr="00FA0D37">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FA0D37">
              <w:rPr>
                <w:i/>
                <w:iCs/>
              </w:rPr>
              <w:t>cfra-TwoStep</w:t>
            </w:r>
            <w:r w:rsidRPr="00FA0D37">
              <w:rPr>
                <w:szCs w:val="22"/>
              </w:rPr>
              <w:t>, switching from 2-step RA type to 4-step RA type is not allowed.</w:t>
            </w:r>
          </w:p>
        </w:tc>
      </w:tr>
      <w:tr w:rsidR="005C7FF4" w:rsidRPr="00FA0D37"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FA0D37" w:rsidRDefault="00394471" w:rsidP="00964CC4">
            <w:pPr>
              <w:pStyle w:val="TAL"/>
              <w:rPr>
                <w:szCs w:val="22"/>
                <w:lang w:eastAsia="sv-SE"/>
              </w:rPr>
            </w:pPr>
            <w:r w:rsidRPr="00FA0D37">
              <w:rPr>
                <w:b/>
                <w:i/>
                <w:szCs w:val="22"/>
                <w:lang w:eastAsia="sv-SE"/>
              </w:rPr>
              <w:t>occasionsTwoStepRA</w:t>
            </w:r>
          </w:p>
          <w:p w14:paraId="6A32F091" w14:textId="77777777" w:rsidR="00394471" w:rsidRPr="00FA0D37" w:rsidRDefault="00394471" w:rsidP="00964CC4">
            <w:pPr>
              <w:pStyle w:val="TAL"/>
              <w:rPr>
                <w:szCs w:val="22"/>
                <w:lang w:eastAsia="sv-SE"/>
              </w:rPr>
            </w:pPr>
            <w:r w:rsidRPr="00FA0D37">
              <w:rPr>
                <w:szCs w:val="22"/>
                <w:lang w:eastAsia="sv-SE"/>
              </w:rPr>
              <w:t xml:space="preserve">RA occasions for contention free random access. If the field is absent, the UE uses the RA occasions configured in </w:t>
            </w:r>
            <w:r w:rsidRPr="00FA0D37">
              <w:rPr>
                <w:i/>
                <w:szCs w:val="22"/>
                <w:lang w:eastAsia="sv-SE"/>
              </w:rPr>
              <w:t>RACH-ConfigCommonTwoStepRA</w:t>
            </w:r>
            <w:r w:rsidRPr="00FA0D37">
              <w:rPr>
                <w:szCs w:val="22"/>
                <w:lang w:eastAsia="sv-SE"/>
              </w:rPr>
              <w:t xml:space="preserve"> in the first active UL BWP.</w:t>
            </w:r>
          </w:p>
        </w:tc>
      </w:tr>
      <w:tr w:rsidR="005C7FF4" w:rsidRPr="00FA0D37"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FA0D37" w:rsidRDefault="00394471" w:rsidP="00964CC4">
            <w:pPr>
              <w:pStyle w:val="TAL"/>
              <w:rPr>
                <w:szCs w:val="22"/>
                <w:lang w:eastAsia="sv-SE"/>
              </w:rPr>
            </w:pPr>
            <w:r w:rsidRPr="00FA0D37">
              <w:rPr>
                <w:b/>
                <w:i/>
                <w:szCs w:val="22"/>
                <w:lang w:eastAsia="sv-SE"/>
              </w:rPr>
              <w:t>ra-SSB-OccasionMaskIndex</w:t>
            </w:r>
          </w:p>
          <w:p w14:paraId="00FF2F5C" w14:textId="77777777" w:rsidR="00394471" w:rsidRPr="00FA0D37" w:rsidRDefault="00394471" w:rsidP="00964CC4">
            <w:pPr>
              <w:pStyle w:val="TAL"/>
              <w:rPr>
                <w:szCs w:val="22"/>
                <w:lang w:eastAsia="sv-SE"/>
              </w:rPr>
            </w:pPr>
            <w:r w:rsidRPr="00FA0D37">
              <w:rPr>
                <w:szCs w:val="22"/>
                <w:lang w:eastAsia="sv-SE"/>
              </w:rPr>
              <w:t xml:space="preserve">Explicitly signalled PRACH Mask Index for RA Resource selection in TS 38.321 [3]. The mask is valid for all SSB resources signalled in </w:t>
            </w:r>
            <w:r w:rsidRPr="00FA0D37">
              <w:rPr>
                <w:i/>
                <w:szCs w:val="22"/>
                <w:lang w:eastAsia="sv-SE"/>
              </w:rPr>
              <w:t>ssb-ResourceList</w:t>
            </w:r>
            <w:r w:rsidRPr="00FA0D37">
              <w:rPr>
                <w:szCs w:val="22"/>
                <w:lang w:eastAsia="sv-SE"/>
              </w:rPr>
              <w:t>.</w:t>
            </w:r>
          </w:p>
        </w:tc>
      </w:tr>
      <w:tr w:rsidR="005C7FF4" w:rsidRPr="00FA0D37"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FA0D37" w:rsidRDefault="00394471" w:rsidP="00964CC4">
            <w:pPr>
              <w:pStyle w:val="TAL"/>
              <w:rPr>
                <w:b/>
                <w:i/>
                <w:szCs w:val="22"/>
                <w:lang w:eastAsia="sv-SE"/>
              </w:rPr>
            </w:pPr>
            <w:r w:rsidRPr="00FA0D37">
              <w:rPr>
                <w:b/>
                <w:i/>
                <w:szCs w:val="22"/>
                <w:lang w:eastAsia="sv-SE"/>
              </w:rPr>
              <w:t>rach-ConfigGenericTwoStepRA</w:t>
            </w:r>
          </w:p>
          <w:p w14:paraId="62FA5B01" w14:textId="77777777" w:rsidR="00394471" w:rsidRPr="00FA0D37" w:rsidRDefault="00394471" w:rsidP="00964CC4">
            <w:pPr>
              <w:pStyle w:val="TAL"/>
              <w:rPr>
                <w:b/>
                <w:i/>
                <w:szCs w:val="22"/>
                <w:lang w:eastAsia="sv-SE"/>
              </w:rPr>
            </w:pPr>
            <w:r w:rsidRPr="00FA0D37">
              <w:rPr>
                <w:szCs w:val="22"/>
                <w:lang w:eastAsia="sv-SE"/>
              </w:rPr>
              <w:t>Configuration of contention free random access occasions for CFRA 2-step random access type.</w:t>
            </w:r>
          </w:p>
        </w:tc>
      </w:tr>
      <w:tr w:rsidR="00394471" w:rsidRPr="00FA0D37"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FA0D37" w:rsidRDefault="00394471" w:rsidP="00964CC4">
            <w:pPr>
              <w:pStyle w:val="TAL"/>
              <w:rPr>
                <w:b/>
                <w:i/>
                <w:szCs w:val="22"/>
                <w:lang w:eastAsia="sv-SE"/>
              </w:rPr>
            </w:pPr>
            <w:r w:rsidRPr="00FA0D37">
              <w:rPr>
                <w:b/>
                <w:i/>
                <w:szCs w:val="22"/>
                <w:lang w:eastAsia="sv-SE"/>
              </w:rPr>
              <w:t>ssb-PerRACH-OccasionTwoStep</w:t>
            </w:r>
          </w:p>
          <w:p w14:paraId="4B647ED8" w14:textId="77777777" w:rsidR="00394471" w:rsidRPr="00FA0D37" w:rsidRDefault="00394471" w:rsidP="00964CC4">
            <w:pPr>
              <w:pStyle w:val="TAL"/>
              <w:rPr>
                <w:b/>
                <w:i/>
                <w:szCs w:val="22"/>
                <w:lang w:eastAsia="sv-SE"/>
              </w:rPr>
            </w:pPr>
            <w:r w:rsidRPr="00FA0D37">
              <w:rPr>
                <w:szCs w:val="22"/>
                <w:lang w:eastAsia="sv-SE"/>
              </w:rPr>
              <w:t>Number of SSBs per RACH occasion for 2-step random access type.</w:t>
            </w:r>
          </w:p>
        </w:tc>
      </w:tr>
    </w:tbl>
    <w:p w14:paraId="16A0446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FA0D37" w:rsidRDefault="00394471" w:rsidP="00964CC4">
            <w:pPr>
              <w:pStyle w:val="TAH"/>
              <w:rPr>
                <w:szCs w:val="22"/>
                <w:lang w:eastAsia="sv-SE"/>
              </w:rPr>
            </w:pPr>
            <w:r w:rsidRPr="00FA0D37">
              <w:rPr>
                <w:i/>
                <w:szCs w:val="22"/>
                <w:lang w:eastAsia="sv-SE"/>
              </w:rPr>
              <w:t xml:space="preserve">RACH-ConfigDedicated </w:t>
            </w:r>
            <w:r w:rsidRPr="00FA0D37">
              <w:rPr>
                <w:szCs w:val="22"/>
                <w:lang w:eastAsia="sv-SE"/>
              </w:rPr>
              <w:t>field descriptions</w:t>
            </w:r>
          </w:p>
        </w:tc>
      </w:tr>
      <w:tr w:rsidR="005C7FF4" w:rsidRPr="00FA0D37"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FA0D37" w:rsidRDefault="00394471" w:rsidP="00964CC4">
            <w:pPr>
              <w:pStyle w:val="TAL"/>
              <w:rPr>
                <w:szCs w:val="22"/>
                <w:lang w:eastAsia="sv-SE"/>
              </w:rPr>
            </w:pPr>
            <w:r w:rsidRPr="00FA0D37">
              <w:rPr>
                <w:b/>
                <w:i/>
                <w:szCs w:val="22"/>
                <w:lang w:eastAsia="sv-SE"/>
              </w:rPr>
              <w:t>cfra</w:t>
            </w:r>
          </w:p>
          <w:p w14:paraId="503787F0" w14:textId="77777777" w:rsidR="00394471" w:rsidRPr="00FA0D37" w:rsidRDefault="00394471" w:rsidP="00964CC4">
            <w:pPr>
              <w:pStyle w:val="TAL"/>
              <w:rPr>
                <w:szCs w:val="22"/>
                <w:lang w:eastAsia="sv-SE"/>
              </w:rPr>
            </w:pPr>
            <w:r w:rsidRPr="00FA0D37">
              <w:rPr>
                <w:szCs w:val="22"/>
                <w:lang w:eastAsia="sv-SE"/>
              </w:rPr>
              <w:t xml:space="preserve">Parameters for contention free random access to a given target cell. If this field and </w:t>
            </w:r>
            <w:r w:rsidRPr="00FA0D37">
              <w:rPr>
                <w:i/>
                <w:iCs/>
                <w:szCs w:val="22"/>
                <w:lang w:eastAsia="sv-SE"/>
              </w:rPr>
              <w:t>cfra-TwoStep</w:t>
            </w:r>
            <w:r w:rsidRPr="00FA0D37">
              <w:rPr>
                <w:szCs w:val="22"/>
                <w:lang w:eastAsia="sv-SE"/>
              </w:rPr>
              <w:t xml:space="preserve"> are absent, the UE performs contention based random access.</w:t>
            </w:r>
          </w:p>
        </w:tc>
      </w:tr>
      <w:tr w:rsidR="005C7FF4" w:rsidRPr="00FA0D37"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FA0D37" w:rsidRDefault="00394471" w:rsidP="00964CC4">
            <w:pPr>
              <w:pStyle w:val="TAL"/>
              <w:rPr>
                <w:b/>
                <w:i/>
                <w:szCs w:val="22"/>
                <w:lang w:eastAsia="sv-SE"/>
              </w:rPr>
            </w:pPr>
            <w:r w:rsidRPr="00FA0D37">
              <w:rPr>
                <w:b/>
                <w:i/>
                <w:szCs w:val="22"/>
                <w:lang w:eastAsia="sv-SE"/>
              </w:rPr>
              <w:t>cfra-TwoStep</w:t>
            </w:r>
          </w:p>
          <w:p w14:paraId="0A477A9F" w14:textId="77777777" w:rsidR="00394471" w:rsidRPr="00FA0D37" w:rsidRDefault="00394471" w:rsidP="00964CC4">
            <w:pPr>
              <w:pStyle w:val="TAL"/>
              <w:rPr>
                <w:b/>
                <w:i/>
                <w:szCs w:val="22"/>
                <w:lang w:eastAsia="sv-SE"/>
              </w:rPr>
            </w:pPr>
            <w:r w:rsidRPr="00FA0D37">
              <w:rPr>
                <w:szCs w:val="22"/>
                <w:lang w:eastAsia="sv-SE"/>
              </w:rPr>
              <w:t xml:space="preserve">Parameters for contention free 2-step random access type to a given target cell. Network ensures that </w:t>
            </w:r>
            <w:r w:rsidRPr="00FA0D37">
              <w:rPr>
                <w:i/>
                <w:szCs w:val="22"/>
                <w:lang w:eastAsia="sv-SE"/>
              </w:rPr>
              <w:t>cfra</w:t>
            </w:r>
            <w:r w:rsidRPr="00FA0D37">
              <w:rPr>
                <w:szCs w:val="22"/>
                <w:lang w:eastAsia="sv-SE"/>
              </w:rPr>
              <w:t xml:space="preserve"> and </w:t>
            </w:r>
            <w:r w:rsidRPr="00FA0D37">
              <w:rPr>
                <w:i/>
                <w:szCs w:val="22"/>
                <w:lang w:eastAsia="sv-SE"/>
              </w:rPr>
              <w:t>cfra-TwoStep</w:t>
            </w:r>
            <w:r w:rsidRPr="00FA0D37">
              <w:rPr>
                <w:szCs w:val="22"/>
                <w:lang w:eastAsia="sv-SE"/>
              </w:rPr>
              <w:t xml:space="preserve"> are not configured at the same time.</w:t>
            </w:r>
            <w:r w:rsidRPr="00FA0D37">
              <w:rPr>
                <w:szCs w:val="22"/>
              </w:rPr>
              <w:t xml:space="preserve"> </w:t>
            </w:r>
            <w:r w:rsidRPr="00FA0D37">
              <w:t xml:space="preserve">If this field and </w:t>
            </w:r>
            <w:r w:rsidRPr="00FA0D37">
              <w:rPr>
                <w:i/>
                <w:iCs/>
              </w:rPr>
              <w:t>cfra</w:t>
            </w:r>
            <w:r w:rsidRPr="00FA0D37">
              <w:t xml:space="preserve"> are absent, the UE performs contention based random access. </w:t>
            </w:r>
            <w:r w:rsidRPr="00FA0D37">
              <w:rPr>
                <w:bCs/>
                <w:iCs/>
              </w:rPr>
              <w:t xml:space="preserve">This field may only be present if </w:t>
            </w:r>
            <w:r w:rsidRPr="00FA0D37">
              <w:rPr>
                <w:bCs/>
                <w:i/>
                <w:iCs/>
              </w:rPr>
              <w:t xml:space="preserve">msgA-ConfigCommon </w:t>
            </w:r>
            <w:r w:rsidRPr="00FA0D37">
              <w:rPr>
                <w:bCs/>
              </w:rPr>
              <w:t>is configured on the BWP.</w:t>
            </w:r>
          </w:p>
        </w:tc>
      </w:tr>
      <w:tr w:rsidR="005C7FF4" w:rsidRPr="00FA0D37"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FA0D37" w:rsidRDefault="00394471" w:rsidP="00964CC4">
            <w:pPr>
              <w:pStyle w:val="TAL"/>
              <w:rPr>
                <w:b/>
                <w:i/>
                <w:szCs w:val="22"/>
                <w:lang w:eastAsia="sv-SE"/>
              </w:rPr>
            </w:pPr>
            <w:r w:rsidRPr="00FA0D37">
              <w:rPr>
                <w:b/>
                <w:i/>
                <w:szCs w:val="22"/>
                <w:lang w:eastAsia="sv-SE"/>
              </w:rPr>
              <w:t>ra-prioritization</w:t>
            </w:r>
          </w:p>
          <w:p w14:paraId="10E9F14C" w14:textId="77777777" w:rsidR="00394471" w:rsidRPr="00FA0D37" w:rsidRDefault="00394471" w:rsidP="00964CC4">
            <w:pPr>
              <w:pStyle w:val="TAL"/>
              <w:rPr>
                <w:szCs w:val="22"/>
                <w:lang w:eastAsia="sv-SE"/>
              </w:rPr>
            </w:pPr>
            <w:r w:rsidRPr="00FA0D37">
              <w:rPr>
                <w:szCs w:val="22"/>
                <w:lang w:eastAsia="sv-SE"/>
              </w:rPr>
              <w:t>Parameters which apply for prioritized random access procedure to a given target cell (see TS 38.321 [3], clause 5.1.1).</w:t>
            </w:r>
          </w:p>
        </w:tc>
      </w:tr>
      <w:tr w:rsidR="00394471" w:rsidRPr="00FA0D37"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FA0D37" w:rsidRDefault="00394471" w:rsidP="00964CC4">
            <w:pPr>
              <w:pStyle w:val="TAL"/>
              <w:rPr>
                <w:b/>
                <w:i/>
                <w:szCs w:val="22"/>
                <w:lang w:eastAsia="sv-SE"/>
              </w:rPr>
            </w:pPr>
            <w:r w:rsidRPr="00FA0D37">
              <w:rPr>
                <w:b/>
                <w:i/>
                <w:szCs w:val="22"/>
                <w:lang w:eastAsia="sv-SE"/>
              </w:rPr>
              <w:t>ra-PrioritizationTwoStep</w:t>
            </w:r>
          </w:p>
          <w:p w14:paraId="6DC507D3" w14:textId="77777777" w:rsidR="00394471" w:rsidRPr="00FA0D37" w:rsidRDefault="00394471" w:rsidP="00964CC4">
            <w:pPr>
              <w:pStyle w:val="TAL"/>
              <w:rPr>
                <w:b/>
                <w:i/>
                <w:szCs w:val="22"/>
                <w:lang w:eastAsia="sv-SE"/>
              </w:rPr>
            </w:pPr>
            <w:r w:rsidRPr="00FA0D37">
              <w:rPr>
                <w:szCs w:val="22"/>
                <w:lang w:eastAsia="sv-SE"/>
              </w:rPr>
              <w:t>Parameters which apply for prioritized 2-step random access type procedure to a given target cell (see TS 38.321 [3], clause 5.1.1).</w:t>
            </w:r>
          </w:p>
        </w:tc>
      </w:tr>
    </w:tbl>
    <w:p w14:paraId="74B8162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FA0D37" w:rsidRDefault="00394471" w:rsidP="00964CC4">
            <w:pPr>
              <w:pStyle w:val="TAH"/>
              <w:rPr>
                <w:lang w:eastAsia="sv-SE"/>
              </w:rPr>
            </w:pPr>
            <w:r w:rsidRPr="00FA0D37">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FA0D37" w:rsidRDefault="00394471" w:rsidP="00964CC4">
            <w:pPr>
              <w:pStyle w:val="TAH"/>
              <w:rPr>
                <w:lang w:eastAsia="sv-SE"/>
              </w:rPr>
            </w:pPr>
            <w:r w:rsidRPr="00FA0D37">
              <w:rPr>
                <w:lang w:eastAsia="sv-SE"/>
              </w:rPr>
              <w:t>Explanation</w:t>
            </w:r>
          </w:p>
        </w:tc>
      </w:tr>
      <w:tr w:rsidR="005C7FF4" w:rsidRPr="00FA0D37"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FA0D37" w:rsidRDefault="00394471" w:rsidP="00964CC4">
            <w:pPr>
              <w:pStyle w:val="TAL"/>
              <w:rPr>
                <w:rFonts w:eastAsia="Calibri"/>
                <w:i/>
                <w:szCs w:val="22"/>
                <w:lang w:eastAsia="sv-SE"/>
              </w:rPr>
            </w:pPr>
            <w:r w:rsidRPr="00FA0D37">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FA0D37" w:rsidRDefault="00394471" w:rsidP="00964CC4">
            <w:pPr>
              <w:pStyle w:val="TAL"/>
              <w:rPr>
                <w:rFonts w:eastAsia="Calibri"/>
                <w:szCs w:val="22"/>
                <w:lang w:eastAsia="sv-SE"/>
              </w:rPr>
            </w:pPr>
            <w:r w:rsidRPr="00FA0D37">
              <w:rPr>
                <w:rFonts w:eastAsia="Calibri"/>
                <w:szCs w:val="22"/>
                <w:lang w:eastAsia="sv-SE"/>
              </w:rPr>
              <w:t>The field is mandatory present.</w:t>
            </w:r>
          </w:p>
        </w:tc>
      </w:tr>
      <w:tr w:rsidR="005C7FF4" w:rsidRPr="00FA0D37"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FA0D37" w:rsidRDefault="00394471" w:rsidP="00964CC4">
            <w:pPr>
              <w:pStyle w:val="TAL"/>
              <w:rPr>
                <w:rFonts w:eastAsia="Calibri"/>
                <w:i/>
                <w:szCs w:val="22"/>
                <w:lang w:eastAsia="sv-SE"/>
              </w:rPr>
            </w:pPr>
            <w:r w:rsidRPr="00FA0D37">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The field is optionally present, Need S, if the field </w:t>
            </w:r>
            <w:r w:rsidRPr="00FA0D37">
              <w:rPr>
                <w:rFonts w:eastAsia="Calibri"/>
                <w:i/>
                <w:szCs w:val="22"/>
                <w:lang w:eastAsia="sv-SE"/>
              </w:rPr>
              <w:t>occasions</w:t>
            </w:r>
            <w:r w:rsidRPr="00FA0D37">
              <w:rPr>
                <w:rFonts w:eastAsia="Calibri"/>
                <w:szCs w:val="22"/>
                <w:lang w:eastAsia="sv-SE"/>
              </w:rPr>
              <w:t xml:space="preserve"> is present, otherwise it is absent.</w:t>
            </w:r>
          </w:p>
        </w:tc>
      </w:tr>
      <w:tr w:rsidR="00394471" w:rsidRPr="00FA0D37"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FA0D37" w:rsidRDefault="00394471" w:rsidP="00964CC4">
            <w:pPr>
              <w:pStyle w:val="TAL"/>
              <w:rPr>
                <w:rFonts w:eastAsia="Calibri"/>
                <w:i/>
                <w:szCs w:val="22"/>
                <w:lang w:eastAsia="sv-SE"/>
              </w:rPr>
            </w:pPr>
            <w:r w:rsidRPr="00FA0D37">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FA0D37" w:rsidRDefault="00394471" w:rsidP="00964CC4">
            <w:pPr>
              <w:pStyle w:val="TAL"/>
              <w:rPr>
                <w:rFonts w:eastAsia="Calibri"/>
                <w:szCs w:val="22"/>
                <w:lang w:eastAsia="sv-SE"/>
              </w:rPr>
            </w:pPr>
            <w:r w:rsidRPr="00FA0D37">
              <w:rPr>
                <w:rFonts w:eastAsia="Calibri"/>
                <w:szCs w:val="22"/>
                <w:lang w:eastAsia="sv-SE"/>
              </w:rPr>
              <w:t>The field is optionally present for the case of 2-step RA type contention free random access, Need S, otherwise it is absent.</w:t>
            </w:r>
          </w:p>
        </w:tc>
      </w:tr>
    </w:tbl>
    <w:p w14:paraId="0BBFD71E" w14:textId="77777777" w:rsidR="00394471" w:rsidRPr="00FA0D37" w:rsidRDefault="00394471" w:rsidP="00394471"/>
    <w:p w14:paraId="59AC5C82" w14:textId="77777777" w:rsidR="00394471" w:rsidRPr="00FA0D37" w:rsidRDefault="00394471" w:rsidP="00394471">
      <w:pPr>
        <w:pStyle w:val="4"/>
      </w:pPr>
      <w:bookmarkStart w:id="1286" w:name="_Toc60777335"/>
      <w:bookmarkStart w:id="1287" w:name="_Toc146781414"/>
      <w:r w:rsidRPr="00FA0D37">
        <w:t>–</w:t>
      </w:r>
      <w:r w:rsidRPr="00FA0D37">
        <w:tab/>
      </w:r>
      <w:r w:rsidRPr="00FA0D37">
        <w:rPr>
          <w:i/>
          <w:noProof/>
        </w:rPr>
        <w:t>RACH-ConfigGeneric</w:t>
      </w:r>
      <w:bookmarkEnd w:id="1286"/>
      <w:bookmarkEnd w:id="1287"/>
    </w:p>
    <w:p w14:paraId="4465D36C" w14:textId="77777777" w:rsidR="00394471" w:rsidRPr="00FA0D37" w:rsidRDefault="00394471" w:rsidP="00394471">
      <w:r w:rsidRPr="00FA0D37">
        <w:t xml:space="preserve">The IE </w:t>
      </w:r>
      <w:r w:rsidRPr="00FA0D37">
        <w:rPr>
          <w:i/>
        </w:rPr>
        <w:t>RACH-ConfigGeneric</w:t>
      </w:r>
      <w:r w:rsidRPr="00FA0D37">
        <w:t xml:space="preserve"> is used to specify the random-access parameters both for regular random access as well as for beam failure recovery.</w:t>
      </w:r>
    </w:p>
    <w:p w14:paraId="116CBB2A" w14:textId="77777777" w:rsidR="00394471" w:rsidRPr="00FA0D37" w:rsidRDefault="00394471" w:rsidP="00394471">
      <w:pPr>
        <w:pStyle w:val="TH"/>
      </w:pPr>
      <w:r w:rsidRPr="00FA0D37">
        <w:rPr>
          <w:bCs/>
          <w:i/>
          <w:iCs/>
        </w:rPr>
        <w:t>RACH-ConfigGeneric</w:t>
      </w:r>
      <w:r w:rsidRPr="00FA0D37">
        <w:t xml:space="preserve"> information element</w:t>
      </w:r>
    </w:p>
    <w:p w14:paraId="13550770" w14:textId="77777777" w:rsidR="00394471" w:rsidRPr="00FA0D37" w:rsidRDefault="00394471" w:rsidP="00FA0D37">
      <w:pPr>
        <w:pStyle w:val="PL"/>
        <w:rPr>
          <w:color w:val="808080"/>
        </w:rPr>
      </w:pPr>
      <w:r w:rsidRPr="00FA0D37">
        <w:rPr>
          <w:color w:val="808080"/>
        </w:rPr>
        <w:t>-- ASN1START</w:t>
      </w:r>
    </w:p>
    <w:p w14:paraId="400B0A9C" w14:textId="77777777" w:rsidR="00394471" w:rsidRPr="00FA0D37" w:rsidRDefault="00394471" w:rsidP="00FA0D37">
      <w:pPr>
        <w:pStyle w:val="PL"/>
        <w:rPr>
          <w:color w:val="808080"/>
        </w:rPr>
      </w:pPr>
      <w:r w:rsidRPr="00FA0D37">
        <w:rPr>
          <w:color w:val="808080"/>
        </w:rPr>
        <w:t>-- TAG-RACH-CONFIGGENERIC-START</w:t>
      </w:r>
    </w:p>
    <w:p w14:paraId="02A2E1FC" w14:textId="77777777" w:rsidR="00394471" w:rsidRPr="00FA0D37" w:rsidRDefault="00394471" w:rsidP="00FA0D37">
      <w:pPr>
        <w:pStyle w:val="PL"/>
      </w:pPr>
    </w:p>
    <w:p w14:paraId="3DC435D2" w14:textId="77777777" w:rsidR="00394471" w:rsidRPr="00FA0D37" w:rsidRDefault="00394471" w:rsidP="00FA0D37">
      <w:pPr>
        <w:pStyle w:val="PL"/>
      </w:pPr>
      <w:r w:rsidRPr="00FA0D37">
        <w:t xml:space="preserve">RACH-ConfigGeneric ::=              </w:t>
      </w:r>
      <w:r w:rsidRPr="00FA0D37">
        <w:rPr>
          <w:color w:val="993366"/>
        </w:rPr>
        <w:t>SEQUENCE</w:t>
      </w:r>
      <w:r w:rsidRPr="00FA0D37">
        <w:t xml:space="preserve"> {</w:t>
      </w:r>
    </w:p>
    <w:p w14:paraId="2B5198C0" w14:textId="77777777" w:rsidR="00394471" w:rsidRPr="00FA0D37" w:rsidRDefault="00394471" w:rsidP="00FA0D37">
      <w:pPr>
        <w:pStyle w:val="PL"/>
      </w:pPr>
      <w:r w:rsidRPr="00FA0D37">
        <w:t xml:space="preserve">    prach-ConfigurationIndex            </w:t>
      </w:r>
      <w:r w:rsidRPr="00FA0D37">
        <w:rPr>
          <w:color w:val="993366"/>
        </w:rPr>
        <w:t>INTEGER</w:t>
      </w:r>
      <w:r w:rsidRPr="00FA0D37">
        <w:t xml:space="preserve"> (0..255),</w:t>
      </w:r>
    </w:p>
    <w:p w14:paraId="745DD7F6" w14:textId="77777777" w:rsidR="00394471" w:rsidRPr="00FA0D37" w:rsidRDefault="00394471" w:rsidP="00FA0D37">
      <w:pPr>
        <w:pStyle w:val="PL"/>
      </w:pPr>
      <w:r w:rsidRPr="00FA0D37">
        <w:t xml:space="preserve">    msg1-FDM                            </w:t>
      </w:r>
      <w:r w:rsidRPr="00FA0D37">
        <w:rPr>
          <w:color w:val="993366"/>
        </w:rPr>
        <w:t>ENUMERATED</w:t>
      </w:r>
      <w:r w:rsidRPr="00FA0D37">
        <w:t xml:space="preserve"> {one, two, four, eight},</w:t>
      </w:r>
    </w:p>
    <w:p w14:paraId="4F32ECE1" w14:textId="77777777" w:rsidR="00394471" w:rsidRPr="00FA0D37" w:rsidRDefault="00394471" w:rsidP="00FA0D37">
      <w:pPr>
        <w:pStyle w:val="PL"/>
      </w:pPr>
      <w:r w:rsidRPr="00FA0D37">
        <w:t xml:space="preserve">    msg1-FrequencyStart                 </w:t>
      </w:r>
      <w:r w:rsidRPr="00FA0D37">
        <w:rPr>
          <w:color w:val="993366"/>
        </w:rPr>
        <w:t>INTEGER</w:t>
      </w:r>
      <w:r w:rsidRPr="00FA0D37">
        <w:t xml:space="preserve"> (0..maxNrofPhysicalResourceBlocks-1),</w:t>
      </w:r>
    </w:p>
    <w:p w14:paraId="6FB65EF5" w14:textId="77777777" w:rsidR="00394471" w:rsidRPr="00FA0D37" w:rsidRDefault="00394471" w:rsidP="00FA0D37">
      <w:pPr>
        <w:pStyle w:val="PL"/>
      </w:pPr>
      <w:r w:rsidRPr="00FA0D37">
        <w:t xml:space="preserve">    zeroCorrelationZoneConfig           </w:t>
      </w:r>
      <w:r w:rsidRPr="00FA0D37">
        <w:rPr>
          <w:color w:val="993366"/>
        </w:rPr>
        <w:t>INTEGER</w:t>
      </w:r>
      <w:r w:rsidRPr="00FA0D37">
        <w:t>(0..15),</w:t>
      </w:r>
    </w:p>
    <w:p w14:paraId="4265DA6F" w14:textId="77777777" w:rsidR="00394471" w:rsidRPr="00FA0D37" w:rsidRDefault="00394471" w:rsidP="00FA0D37">
      <w:pPr>
        <w:pStyle w:val="PL"/>
      </w:pPr>
      <w:r w:rsidRPr="00FA0D37">
        <w:t xml:space="preserve">    preambleReceivedTargetPower         </w:t>
      </w:r>
      <w:r w:rsidRPr="00FA0D37">
        <w:rPr>
          <w:color w:val="993366"/>
        </w:rPr>
        <w:t>INTEGER</w:t>
      </w:r>
      <w:r w:rsidRPr="00FA0D37">
        <w:t xml:space="preserve"> (-202..-60),</w:t>
      </w:r>
    </w:p>
    <w:p w14:paraId="5879B0DC" w14:textId="77777777" w:rsidR="00394471" w:rsidRPr="00FA0D37" w:rsidRDefault="00394471" w:rsidP="00FA0D37">
      <w:pPr>
        <w:pStyle w:val="PL"/>
      </w:pPr>
      <w:r w:rsidRPr="00FA0D37">
        <w:t xml:space="preserve">    preambleTransMax                    </w:t>
      </w:r>
      <w:r w:rsidRPr="00FA0D37">
        <w:rPr>
          <w:color w:val="993366"/>
        </w:rPr>
        <w:t>ENUMERATED</w:t>
      </w:r>
      <w:r w:rsidRPr="00FA0D37">
        <w:t xml:space="preserve"> {n3, n4, n5, n6, n7, n8, n10, n20, n50, n100, n200},</w:t>
      </w:r>
    </w:p>
    <w:p w14:paraId="4F82CE46" w14:textId="77777777" w:rsidR="00394471" w:rsidRPr="00FA0D37" w:rsidRDefault="00394471" w:rsidP="00FA0D37">
      <w:pPr>
        <w:pStyle w:val="PL"/>
      </w:pPr>
      <w:r w:rsidRPr="00FA0D37">
        <w:t xml:space="preserve">    powerRampingStep                    </w:t>
      </w:r>
      <w:r w:rsidRPr="00FA0D37">
        <w:rPr>
          <w:color w:val="993366"/>
        </w:rPr>
        <w:t>ENUMERATED</w:t>
      </w:r>
      <w:r w:rsidRPr="00FA0D37">
        <w:t xml:space="preserve"> {dB0, dB2, dB4, dB6},</w:t>
      </w:r>
    </w:p>
    <w:p w14:paraId="683031EA" w14:textId="77777777" w:rsidR="00394471" w:rsidRPr="00FA0D37" w:rsidRDefault="00394471" w:rsidP="00FA0D37">
      <w:pPr>
        <w:pStyle w:val="PL"/>
      </w:pPr>
      <w:r w:rsidRPr="00FA0D37">
        <w:t xml:space="preserve">    ra-ResponseWindow                   </w:t>
      </w:r>
      <w:r w:rsidRPr="00FA0D37">
        <w:rPr>
          <w:color w:val="993366"/>
        </w:rPr>
        <w:t>ENUMERATED</w:t>
      </w:r>
      <w:r w:rsidRPr="00FA0D37">
        <w:t xml:space="preserve"> {sl1, sl2, sl4, sl8, sl10, sl20, sl40, sl80},</w:t>
      </w:r>
    </w:p>
    <w:p w14:paraId="1BF7B9B9" w14:textId="77777777" w:rsidR="00394471" w:rsidRPr="00FA0D37" w:rsidRDefault="00394471" w:rsidP="00FA0D37">
      <w:pPr>
        <w:pStyle w:val="PL"/>
      </w:pPr>
      <w:r w:rsidRPr="00FA0D37">
        <w:t xml:space="preserve">    ...,</w:t>
      </w:r>
    </w:p>
    <w:p w14:paraId="099CAE46" w14:textId="77777777" w:rsidR="00394471" w:rsidRPr="00FA0D37" w:rsidRDefault="00394471" w:rsidP="00FA0D37">
      <w:pPr>
        <w:pStyle w:val="PL"/>
      </w:pPr>
      <w:r w:rsidRPr="00FA0D37">
        <w:t xml:space="preserve">    [[</w:t>
      </w:r>
    </w:p>
    <w:p w14:paraId="5AD67285" w14:textId="64CA098F" w:rsidR="00394471" w:rsidRPr="00FA0D37" w:rsidRDefault="00394471" w:rsidP="00FA0D37">
      <w:pPr>
        <w:pStyle w:val="PL"/>
        <w:rPr>
          <w:color w:val="808080"/>
        </w:rPr>
      </w:pPr>
      <w:r w:rsidRPr="00FA0D37">
        <w:t xml:space="preserve">    prach-ConfigurationPeriodScaling-IAB-r16    </w:t>
      </w:r>
      <w:r w:rsidRPr="00FA0D37">
        <w:rPr>
          <w:color w:val="993366"/>
        </w:rPr>
        <w:t>ENUMERATED</w:t>
      </w:r>
      <w:r w:rsidRPr="00FA0D37">
        <w:t xml:space="preserve"> {scf1,scf2,scf4,scf8,scf16,scf32,scf64}              </w:t>
      </w:r>
      <w:r w:rsidRPr="00FA0D37">
        <w:rPr>
          <w:color w:val="993366"/>
        </w:rPr>
        <w:t>OPTIONAL</w:t>
      </w:r>
      <w:r w:rsidRPr="00FA0D37">
        <w:t xml:space="preserve">,   </w:t>
      </w:r>
      <w:r w:rsidRPr="00FA0D37">
        <w:rPr>
          <w:color w:val="808080"/>
        </w:rPr>
        <w:t>-- Need R</w:t>
      </w:r>
    </w:p>
    <w:p w14:paraId="6FF42FE8" w14:textId="35DD8F09" w:rsidR="00394471" w:rsidRPr="00FA0D37" w:rsidRDefault="00394471" w:rsidP="00FA0D37">
      <w:pPr>
        <w:pStyle w:val="PL"/>
        <w:rPr>
          <w:color w:val="808080"/>
        </w:rPr>
      </w:pPr>
      <w:r w:rsidRPr="00FA0D37">
        <w:t xml:space="preserve">    prach-ConfigurationFrameOffset-IAB-r16      </w:t>
      </w:r>
      <w:r w:rsidRPr="00FA0D37">
        <w:rPr>
          <w:color w:val="993366"/>
        </w:rPr>
        <w:t>INTEGER</w:t>
      </w:r>
      <w:r w:rsidRPr="00FA0D37">
        <w:t xml:space="preserve"> (0..63)                                                 </w:t>
      </w:r>
      <w:r w:rsidRPr="00FA0D37">
        <w:rPr>
          <w:color w:val="993366"/>
        </w:rPr>
        <w:t>OPTIONAL</w:t>
      </w:r>
      <w:r w:rsidRPr="00FA0D37">
        <w:t xml:space="preserve">,   </w:t>
      </w:r>
      <w:r w:rsidRPr="00FA0D37">
        <w:rPr>
          <w:color w:val="808080"/>
        </w:rPr>
        <w:t>-- Need R</w:t>
      </w:r>
    </w:p>
    <w:p w14:paraId="05DEBE16" w14:textId="1AAFA233" w:rsidR="00394471" w:rsidRPr="00FA0D37" w:rsidRDefault="00394471" w:rsidP="00FA0D37">
      <w:pPr>
        <w:pStyle w:val="PL"/>
        <w:rPr>
          <w:color w:val="808080"/>
        </w:rPr>
      </w:pPr>
      <w:r w:rsidRPr="00FA0D37">
        <w:t xml:space="preserve">    prach-ConfigurationSOffset-IAB-r16          </w:t>
      </w:r>
      <w:r w:rsidRPr="00FA0D37">
        <w:rPr>
          <w:color w:val="993366"/>
        </w:rPr>
        <w:t>INTEGER</w:t>
      </w:r>
      <w:r w:rsidRPr="00FA0D37">
        <w:t xml:space="preserve"> (0..39)                                                 </w:t>
      </w:r>
      <w:r w:rsidRPr="00FA0D37">
        <w:rPr>
          <w:color w:val="993366"/>
        </w:rPr>
        <w:t>OPTIONAL</w:t>
      </w:r>
      <w:r w:rsidRPr="00FA0D37">
        <w:t xml:space="preserve">,   </w:t>
      </w:r>
      <w:r w:rsidRPr="00FA0D37">
        <w:rPr>
          <w:color w:val="808080"/>
        </w:rPr>
        <w:t>-- Need R</w:t>
      </w:r>
    </w:p>
    <w:p w14:paraId="4D2F0D8F" w14:textId="5EEE31A0" w:rsidR="00394471" w:rsidRPr="00FA0D37" w:rsidRDefault="00394471" w:rsidP="00FA0D37">
      <w:pPr>
        <w:pStyle w:val="PL"/>
        <w:rPr>
          <w:color w:val="808080"/>
        </w:rPr>
      </w:pPr>
      <w:r w:rsidRPr="00FA0D37">
        <w:t xml:space="preserve">    ra-ResponseWindow-v1610                     </w:t>
      </w:r>
      <w:r w:rsidRPr="00FA0D37">
        <w:rPr>
          <w:color w:val="993366"/>
        </w:rPr>
        <w:t>ENUMERATED</w:t>
      </w:r>
      <w:r w:rsidRPr="00FA0D37">
        <w:t xml:space="preserve"> { sl60, sl160}                                       </w:t>
      </w:r>
      <w:r w:rsidRPr="00FA0D37">
        <w:rPr>
          <w:color w:val="993366"/>
        </w:rPr>
        <w:t>OPTIONAL</w:t>
      </w:r>
      <w:r w:rsidRPr="00FA0D37">
        <w:t xml:space="preserve">, </w:t>
      </w:r>
      <w:r w:rsidR="00E826D8" w:rsidRPr="00FA0D37">
        <w:t xml:space="preserve">  </w:t>
      </w:r>
      <w:r w:rsidRPr="00FA0D37">
        <w:rPr>
          <w:color w:val="808080"/>
        </w:rPr>
        <w:t>-- Need R</w:t>
      </w:r>
    </w:p>
    <w:p w14:paraId="2128104D" w14:textId="72F2C2AE" w:rsidR="00394471" w:rsidRPr="00FA0D37" w:rsidRDefault="00394471" w:rsidP="00FA0D37">
      <w:pPr>
        <w:pStyle w:val="PL"/>
        <w:rPr>
          <w:color w:val="808080"/>
        </w:rPr>
      </w:pPr>
      <w:r w:rsidRPr="00FA0D37">
        <w:t xml:space="preserve">    prach-ConfigurationIndex-v1610              </w:t>
      </w:r>
      <w:r w:rsidRPr="00FA0D37">
        <w:rPr>
          <w:color w:val="993366"/>
        </w:rPr>
        <w:t>INTEGER</w:t>
      </w:r>
      <w:r w:rsidRPr="00FA0D37">
        <w:t xml:space="preserve"> (256..262)                                              </w:t>
      </w:r>
      <w:r w:rsidRPr="00FA0D37">
        <w:rPr>
          <w:color w:val="993366"/>
        </w:rPr>
        <w:t>OPTIONAL</w:t>
      </w:r>
      <w:r w:rsidRPr="00FA0D37">
        <w:t xml:space="preserve">  </w:t>
      </w:r>
      <w:r w:rsidR="00E826D8" w:rsidRPr="00FA0D37">
        <w:t xml:space="preserve">  </w:t>
      </w:r>
      <w:r w:rsidRPr="00FA0D37">
        <w:rPr>
          <w:color w:val="808080"/>
        </w:rPr>
        <w:t>-- Need R</w:t>
      </w:r>
    </w:p>
    <w:p w14:paraId="10243538" w14:textId="54DFF807" w:rsidR="00E826D8" w:rsidRPr="00FA0D37" w:rsidRDefault="00394471" w:rsidP="00FA0D37">
      <w:pPr>
        <w:pStyle w:val="PL"/>
      </w:pPr>
      <w:r w:rsidRPr="00FA0D37">
        <w:t xml:space="preserve">    ]]</w:t>
      </w:r>
      <w:r w:rsidR="00E826D8" w:rsidRPr="00FA0D37">
        <w:t>,</w:t>
      </w:r>
    </w:p>
    <w:p w14:paraId="581A719F" w14:textId="77777777" w:rsidR="00E826D8" w:rsidRPr="00FA0D37" w:rsidRDefault="00E826D8" w:rsidP="00FA0D37">
      <w:pPr>
        <w:pStyle w:val="PL"/>
      </w:pPr>
      <w:r w:rsidRPr="00FA0D37">
        <w:t xml:space="preserve">    [[</w:t>
      </w:r>
    </w:p>
    <w:p w14:paraId="0985B728" w14:textId="6D27D3F8" w:rsidR="00E826D8" w:rsidRPr="00FA0D37" w:rsidRDefault="00E826D8" w:rsidP="00FA0D37">
      <w:pPr>
        <w:pStyle w:val="PL"/>
        <w:rPr>
          <w:color w:val="808080"/>
        </w:rPr>
      </w:pPr>
      <w:r w:rsidRPr="00FA0D37">
        <w:t xml:space="preserve">    ra-ResponseWindow-v1700                     </w:t>
      </w:r>
      <w:r w:rsidRPr="00FA0D37">
        <w:rPr>
          <w:color w:val="993366"/>
        </w:rPr>
        <w:t>ENUMERATED</w:t>
      </w:r>
      <w:r w:rsidRPr="00FA0D37">
        <w:t xml:space="preserve"> {sl240, sl320, sl640, sl960, sl1280, sl1920, sl2560} </w:t>
      </w:r>
      <w:r w:rsidRPr="00FA0D37">
        <w:rPr>
          <w:color w:val="993366"/>
        </w:rPr>
        <w:t>OPTIONAL</w:t>
      </w:r>
      <w:r w:rsidRPr="00FA0D37">
        <w:t xml:space="preserve">    </w:t>
      </w:r>
      <w:r w:rsidRPr="00FA0D37">
        <w:rPr>
          <w:color w:val="808080"/>
        </w:rPr>
        <w:t>-- Need R</w:t>
      </w:r>
    </w:p>
    <w:p w14:paraId="19061C49" w14:textId="69D03D90" w:rsidR="00394471" w:rsidRPr="00FA0D37" w:rsidRDefault="00E826D8" w:rsidP="00FA0D37">
      <w:pPr>
        <w:pStyle w:val="PL"/>
      </w:pPr>
      <w:r w:rsidRPr="00FA0D37">
        <w:t xml:space="preserve">    ]]</w:t>
      </w:r>
    </w:p>
    <w:p w14:paraId="1A77ECD8" w14:textId="77777777" w:rsidR="00394471" w:rsidRPr="00FA0D37" w:rsidRDefault="00394471" w:rsidP="00FA0D37">
      <w:pPr>
        <w:pStyle w:val="PL"/>
      </w:pPr>
      <w:r w:rsidRPr="00FA0D37">
        <w:t>}</w:t>
      </w:r>
    </w:p>
    <w:p w14:paraId="05C5E986" w14:textId="77777777" w:rsidR="00394471" w:rsidRPr="00FA0D37" w:rsidRDefault="00394471" w:rsidP="00FA0D37">
      <w:pPr>
        <w:pStyle w:val="PL"/>
      </w:pPr>
    </w:p>
    <w:p w14:paraId="149C5EFF" w14:textId="77777777" w:rsidR="00394471" w:rsidRPr="00FA0D37" w:rsidRDefault="00394471" w:rsidP="00FA0D37">
      <w:pPr>
        <w:pStyle w:val="PL"/>
        <w:rPr>
          <w:color w:val="808080"/>
        </w:rPr>
      </w:pPr>
      <w:r w:rsidRPr="00FA0D37">
        <w:rPr>
          <w:color w:val="808080"/>
        </w:rPr>
        <w:t>-- TAG-RACH-CONFIGGENERIC-STOP</w:t>
      </w:r>
    </w:p>
    <w:p w14:paraId="4DF521A5" w14:textId="77777777" w:rsidR="00394471" w:rsidRPr="00FA0D37" w:rsidRDefault="00394471" w:rsidP="00FA0D37">
      <w:pPr>
        <w:pStyle w:val="PL"/>
        <w:rPr>
          <w:color w:val="808080"/>
        </w:rPr>
      </w:pPr>
      <w:r w:rsidRPr="00FA0D37">
        <w:rPr>
          <w:color w:val="808080"/>
        </w:rPr>
        <w:t>-- ASN1STOP</w:t>
      </w:r>
    </w:p>
    <w:p w14:paraId="50189BF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FA0D37" w:rsidRDefault="00394471" w:rsidP="00964CC4">
            <w:pPr>
              <w:pStyle w:val="TAH"/>
              <w:rPr>
                <w:szCs w:val="22"/>
                <w:lang w:eastAsia="sv-SE"/>
              </w:rPr>
            </w:pPr>
            <w:r w:rsidRPr="00FA0D37">
              <w:rPr>
                <w:i/>
                <w:szCs w:val="22"/>
                <w:lang w:eastAsia="sv-SE"/>
              </w:rPr>
              <w:lastRenderedPageBreak/>
              <w:t xml:space="preserve">RACH-ConfigGeneric </w:t>
            </w:r>
            <w:r w:rsidRPr="00FA0D37">
              <w:rPr>
                <w:szCs w:val="22"/>
                <w:lang w:eastAsia="sv-SE"/>
              </w:rPr>
              <w:t>field descriptions</w:t>
            </w:r>
          </w:p>
        </w:tc>
      </w:tr>
      <w:tr w:rsidR="005C7FF4" w:rsidRPr="00FA0D37"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FA0D37" w:rsidRDefault="00394471" w:rsidP="00964CC4">
            <w:pPr>
              <w:pStyle w:val="TAL"/>
              <w:rPr>
                <w:szCs w:val="22"/>
                <w:lang w:eastAsia="sv-SE"/>
              </w:rPr>
            </w:pPr>
            <w:r w:rsidRPr="00FA0D37">
              <w:rPr>
                <w:b/>
                <w:i/>
                <w:szCs w:val="22"/>
                <w:lang w:eastAsia="sv-SE"/>
              </w:rPr>
              <w:t>msg1-FDM</w:t>
            </w:r>
          </w:p>
          <w:p w14:paraId="7F405408" w14:textId="77777777" w:rsidR="00394471" w:rsidRPr="00FA0D37" w:rsidRDefault="00394471" w:rsidP="00964CC4">
            <w:pPr>
              <w:pStyle w:val="TAL"/>
              <w:rPr>
                <w:szCs w:val="22"/>
                <w:lang w:eastAsia="sv-SE"/>
              </w:rPr>
            </w:pPr>
            <w:r w:rsidRPr="00FA0D37">
              <w:rPr>
                <w:szCs w:val="22"/>
                <w:lang w:eastAsia="sv-SE"/>
              </w:rPr>
              <w:t>The number of PRACH transmission occasions FDMed in one time instance. (see TS 38.211 [16], clause 6.3.3.2).</w:t>
            </w:r>
          </w:p>
        </w:tc>
      </w:tr>
      <w:tr w:rsidR="005C7FF4" w:rsidRPr="00FA0D37"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FA0D37" w:rsidRDefault="00394471" w:rsidP="00964CC4">
            <w:pPr>
              <w:pStyle w:val="TAL"/>
              <w:rPr>
                <w:szCs w:val="22"/>
                <w:lang w:eastAsia="sv-SE"/>
              </w:rPr>
            </w:pPr>
            <w:r w:rsidRPr="00FA0D37">
              <w:rPr>
                <w:b/>
                <w:i/>
                <w:szCs w:val="22"/>
                <w:lang w:eastAsia="sv-SE"/>
              </w:rPr>
              <w:t>msg1-FrequencyStart</w:t>
            </w:r>
          </w:p>
          <w:p w14:paraId="200DBB8F" w14:textId="77777777" w:rsidR="00394471" w:rsidRPr="00FA0D37" w:rsidRDefault="00394471" w:rsidP="00964CC4">
            <w:pPr>
              <w:pStyle w:val="TAL"/>
              <w:rPr>
                <w:szCs w:val="22"/>
                <w:lang w:eastAsia="sv-SE"/>
              </w:rPr>
            </w:pPr>
            <w:r w:rsidRPr="00FA0D37">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5C7FF4" w:rsidRPr="00FA0D37"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FA0D37" w:rsidRDefault="00394471" w:rsidP="00964CC4">
            <w:pPr>
              <w:pStyle w:val="TAL"/>
              <w:rPr>
                <w:szCs w:val="22"/>
                <w:lang w:eastAsia="sv-SE"/>
              </w:rPr>
            </w:pPr>
            <w:r w:rsidRPr="00FA0D37">
              <w:rPr>
                <w:b/>
                <w:i/>
                <w:szCs w:val="22"/>
                <w:lang w:eastAsia="sv-SE"/>
              </w:rPr>
              <w:t>powerRampingStep</w:t>
            </w:r>
          </w:p>
          <w:p w14:paraId="42DC12F0" w14:textId="77777777" w:rsidR="00394471" w:rsidRPr="00FA0D37" w:rsidRDefault="00394471" w:rsidP="00964CC4">
            <w:pPr>
              <w:pStyle w:val="TAL"/>
              <w:rPr>
                <w:szCs w:val="22"/>
                <w:lang w:eastAsia="sv-SE"/>
              </w:rPr>
            </w:pPr>
            <w:r w:rsidRPr="00FA0D37">
              <w:rPr>
                <w:szCs w:val="22"/>
                <w:lang w:eastAsia="sv-SE"/>
              </w:rPr>
              <w:t>Power ramping steps for PRACH (see TS 38.321 [3],5.1.3).</w:t>
            </w:r>
          </w:p>
        </w:tc>
      </w:tr>
      <w:tr w:rsidR="005C7FF4" w:rsidRPr="00FA0D37"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FA0D37" w:rsidRDefault="00394471" w:rsidP="00964CC4">
            <w:pPr>
              <w:pStyle w:val="TAL"/>
              <w:rPr>
                <w:b/>
                <w:i/>
                <w:szCs w:val="22"/>
              </w:rPr>
            </w:pPr>
            <w:r w:rsidRPr="00FA0D37">
              <w:rPr>
                <w:b/>
                <w:i/>
                <w:szCs w:val="22"/>
              </w:rPr>
              <w:t>prach-ConfigurationFrameOffset-IAB</w:t>
            </w:r>
          </w:p>
          <w:p w14:paraId="574980AA" w14:textId="7C681D7C" w:rsidR="00394471" w:rsidRPr="00FA0D37" w:rsidRDefault="00A27DAE" w:rsidP="00964CC4">
            <w:pPr>
              <w:pStyle w:val="TAL"/>
              <w:rPr>
                <w:b/>
                <w:i/>
                <w:szCs w:val="22"/>
                <w:lang w:eastAsia="sv-SE"/>
              </w:rPr>
            </w:pPr>
            <w:r w:rsidRPr="00FA0D37">
              <w:rPr>
                <w:rFonts w:cs="Arial"/>
                <w:szCs w:val="18"/>
              </w:rPr>
              <w:t>Frame offset</w:t>
            </w:r>
            <w:r w:rsidR="00394471" w:rsidRPr="00FA0D37">
              <w:rPr>
                <w:rFonts w:cs="Arial"/>
                <w:szCs w:val="18"/>
              </w:rPr>
              <w:t xml:space="preserve"> for ROs defined in the baseline configuration indicated by </w:t>
            </w:r>
            <w:r w:rsidR="00394471" w:rsidRPr="00FA0D37">
              <w:rPr>
                <w:rFonts w:cs="Arial"/>
                <w:i/>
                <w:szCs w:val="18"/>
              </w:rPr>
              <w:t xml:space="preserve">prach-ConfigurationIndex </w:t>
            </w:r>
            <w:r w:rsidR="00394471" w:rsidRPr="00FA0D37">
              <w:rPr>
                <w:rFonts w:cs="Arial"/>
                <w:iCs/>
                <w:szCs w:val="18"/>
              </w:rPr>
              <w:t xml:space="preserve">and is used only by the IAB-MT. (see </w:t>
            </w:r>
            <w:r w:rsidR="00394471" w:rsidRPr="00FA0D37">
              <w:t>TS 38.211 [16], clause 6.3.3.2</w:t>
            </w:r>
            <w:r w:rsidR="00394471" w:rsidRPr="00FA0D37">
              <w:rPr>
                <w:rFonts w:cs="Arial"/>
                <w:iCs/>
                <w:szCs w:val="18"/>
              </w:rPr>
              <w:t>).</w:t>
            </w:r>
          </w:p>
        </w:tc>
      </w:tr>
      <w:tr w:rsidR="005C7FF4" w:rsidRPr="00FA0D37"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FA0D37" w:rsidRDefault="00394471" w:rsidP="00964CC4">
            <w:pPr>
              <w:pStyle w:val="TAL"/>
              <w:rPr>
                <w:szCs w:val="22"/>
                <w:lang w:eastAsia="sv-SE"/>
              </w:rPr>
            </w:pPr>
            <w:r w:rsidRPr="00FA0D37">
              <w:rPr>
                <w:b/>
                <w:i/>
                <w:szCs w:val="22"/>
                <w:lang w:eastAsia="sv-SE"/>
              </w:rPr>
              <w:t>prach-ConfigurationIndex</w:t>
            </w:r>
          </w:p>
          <w:p w14:paraId="7C8AE172" w14:textId="152B7509" w:rsidR="00394471" w:rsidRPr="00FA0D37" w:rsidRDefault="00394471" w:rsidP="00964CC4">
            <w:pPr>
              <w:pStyle w:val="TAL"/>
              <w:rPr>
                <w:szCs w:val="22"/>
                <w:lang w:eastAsia="sv-SE"/>
              </w:rPr>
            </w:pPr>
            <w:r w:rsidRPr="00FA0D37">
              <w:rPr>
                <w:szCs w:val="22"/>
                <w:lang w:eastAsia="sv-SE"/>
              </w:rPr>
              <w:t xml:space="preserve">PRACH configuration index. For </w:t>
            </w:r>
            <w:r w:rsidRPr="00FA0D37">
              <w:rPr>
                <w:i/>
                <w:szCs w:val="22"/>
                <w:lang w:eastAsia="sv-SE"/>
              </w:rPr>
              <w:t>prach-ConfigurationIndex</w:t>
            </w:r>
            <w:r w:rsidRPr="00FA0D37">
              <w:rPr>
                <w:szCs w:val="22"/>
                <w:lang w:eastAsia="sv-SE"/>
              </w:rPr>
              <w:t xml:space="preserve"> configured under </w:t>
            </w:r>
            <w:r w:rsidRPr="00FA0D37">
              <w:rPr>
                <w:i/>
                <w:szCs w:val="22"/>
                <w:lang w:eastAsia="sv-SE"/>
              </w:rPr>
              <w:t>beamFailureRecoveryConfig</w:t>
            </w:r>
            <w:r w:rsidRPr="00FA0D37">
              <w:rPr>
                <w:szCs w:val="22"/>
                <w:lang w:eastAsia="sv-SE"/>
              </w:rPr>
              <w:t xml:space="preserve">, the </w:t>
            </w:r>
            <w:r w:rsidRPr="00FA0D37">
              <w:rPr>
                <w:i/>
                <w:szCs w:val="22"/>
                <w:lang w:eastAsia="sv-SE"/>
              </w:rPr>
              <w:t>prach-ConfigurationIndex</w:t>
            </w:r>
            <w:r w:rsidRPr="00FA0D37">
              <w:rPr>
                <w:szCs w:val="22"/>
                <w:lang w:eastAsia="sv-SE"/>
              </w:rPr>
              <w:t xml:space="preserve"> can only correspond to the short preamble format, (see TS 38.211 [16], clause 6.3.3.2). If the field </w:t>
            </w:r>
            <w:r w:rsidRPr="00FA0D37">
              <w:rPr>
                <w:i/>
                <w:szCs w:val="22"/>
                <w:lang w:eastAsia="sv-SE"/>
              </w:rPr>
              <w:t>prach-ConfigurationIndex-v1610</w:t>
            </w:r>
            <w:r w:rsidRPr="00FA0D37">
              <w:rPr>
                <w:szCs w:val="22"/>
                <w:lang w:eastAsia="sv-SE"/>
              </w:rPr>
              <w:t xml:space="preserve"> is present, the UE shall ignore the value provided in </w:t>
            </w:r>
            <w:r w:rsidRPr="00FA0D37">
              <w:rPr>
                <w:i/>
                <w:szCs w:val="22"/>
                <w:lang w:eastAsia="sv-SE"/>
              </w:rPr>
              <w:t>prach-ConfigurationIndex</w:t>
            </w:r>
            <w:r w:rsidRPr="00FA0D37">
              <w:rPr>
                <w:szCs w:val="22"/>
                <w:lang w:eastAsia="sv-SE"/>
              </w:rPr>
              <w:t xml:space="preserve"> (without suffix).</w:t>
            </w:r>
          </w:p>
        </w:tc>
      </w:tr>
      <w:tr w:rsidR="005C7FF4" w:rsidRPr="00FA0D37"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FA0D37" w:rsidRDefault="00394471" w:rsidP="00964CC4">
            <w:pPr>
              <w:pStyle w:val="TAL"/>
              <w:rPr>
                <w:szCs w:val="22"/>
                <w:lang w:eastAsia="zh-CN"/>
              </w:rPr>
            </w:pPr>
            <w:r w:rsidRPr="00FA0D37">
              <w:rPr>
                <w:b/>
                <w:i/>
                <w:szCs w:val="22"/>
                <w:lang w:eastAsia="zh-CN"/>
              </w:rPr>
              <w:t>prach-ConfigurationPeriodScaling-IAB</w:t>
            </w:r>
          </w:p>
          <w:p w14:paraId="415A5BE9" w14:textId="77777777" w:rsidR="00394471" w:rsidRPr="00FA0D37" w:rsidRDefault="00394471" w:rsidP="00964CC4">
            <w:pPr>
              <w:pStyle w:val="TAL"/>
              <w:rPr>
                <w:b/>
                <w:i/>
                <w:szCs w:val="22"/>
                <w:lang w:eastAsia="sv-SE"/>
              </w:rPr>
            </w:pPr>
            <w:r w:rsidRPr="00FA0D37">
              <w:rPr>
                <w:rFonts w:cs="Arial"/>
                <w:szCs w:val="18"/>
                <w:lang w:eastAsia="zh-CN"/>
              </w:rPr>
              <w:t xml:space="preserve">Scaling factor to extend the periodicity of the baseline configuration indicated by </w:t>
            </w:r>
            <w:r w:rsidRPr="00FA0D37">
              <w:rPr>
                <w:rFonts w:cs="Arial"/>
                <w:i/>
                <w:szCs w:val="18"/>
                <w:lang w:eastAsia="zh-CN"/>
              </w:rPr>
              <w:t xml:space="preserve">prach-ConfigurationIndex </w:t>
            </w:r>
            <w:r w:rsidRPr="00FA0D37">
              <w:rPr>
                <w:rFonts w:cs="Arial"/>
                <w:iCs/>
                <w:szCs w:val="18"/>
                <w:lang w:eastAsia="zh-CN"/>
              </w:rPr>
              <w:t>and is used only by the IAB-MT</w:t>
            </w:r>
            <w:r w:rsidRPr="00FA0D37">
              <w:rPr>
                <w:rFonts w:cs="Arial"/>
                <w:i/>
                <w:szCs w:val="18"/>
                <w:lang w:eastAsia="zh-CN"/>
              </w:rPr>
              <w:t xml:space="preserve">. </w:t>
            </w:r>
            <w:r w:rsidRPr="00FA0D37">
              <w:rPr>
                <w:rFonts w:cs="Arial"/>
                <w:szCs w:val="18"/>
                <w:lang w:eastAsia="zh-CN"/>
              </w:rPr>
              <w:t>Value scf1 corr</w:t>
            </w:r>
            <w:r w:rsidRPr="00FA0D37">
              <w:rPr>
                <w:rFonts w:eastAsia="宋体" w:cs="Arial"/>
                <w:szCs w:val="18"/>
                <w:lang w:eastAsia="zh-CN"/>
              </w:rPr>
              <w:t>es</w:t>
            </w:r>
            <w:r w:rsidRPr="00FA0D37">
              <w:rPr>
                <w:rFonts w:cs="Arial"/>
                <w:szCs w:val="18"/>
                <w:lang w:eastAsia="zh-CN"/>
              </w:rPr>
              <w:t xml:space="preserve">ponds to scaling factor of 1 and so on. </w:t>
            </w:r>
            <w:r w:rsidRPr="00FA0D37">
              <w:rPr>
                <w:rFonts w:cs="Arial"/>
                <w:iCs/>
                <w:szCs w:val="18"/>
                <w:lang w:eastAsia="zh-CN"/>
              </w:rPr>
              <w:t xml:space="preserve">(see </w:t>
            </w:r>
            <w:r w:rsidRPr="00FA0D37">
              <w:rPr>
                <w:lang w:eastAsia="zh-CN"/>
              </w:rPr>
              <w:t>TS 38.211 [16], clause 6.3.3.2</w:t>
            </w:r>
            <w:r w:rsidRPr="00FA0D37">
              <w:rPr>
                <w:rFonts w:cs="Arial"/>
                <w:iCs/>
                <w:szCs w:val="18"/>
                <w:lang w:eastAsia="zh-CN"/>
              </w:rPr>
              <w:t>).</w:t>
            </w:r>
          </w:p>
        </w:tc>
      </w:tr>
      <w:tr w:rsidR="005C7FF4" w:rsidRPr="00FA0D37"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FA0D37" w:rsidRDefault="00394471" w:rsidP="00964CC4">
            <w:pPr>
              <w:pStyle w:val="TAL"/>
              <w:rPr>
                <w:szCs w:val="22"/>
                <w:lang w:eastAsia="zh-CN"/>
              </w:rPr>
            </w:pPr>
            <w:r w:rsidRPr="00FA0D37">
              <w:rPr>
                <w:b/>
                <w:i/>
                <w:szCs w:val="22"/>
                <w:lang w:eastAsia="zh-CN"/>
              </w:rPr>
              <w:t>prach-ConfigurationSOffset-IAB</w:t>
            </w:r>
          </w:p>
          <w:p w14:paraId="7F888F2D" w14:textId="77777777" w:rsidR="00394471" w:rsidRPr="00FA0D37" w:rsidRDefault="00394471" w:rsidP="00964CC4">
            <w:pPr>
              <w:pStyle w:val="TAL"/>
              <w:rPr>
                <w:b/>
                <w:i/>
                <w:szCs w:val="22"/>
                <w:lang w:eastAsia="sv-SE"/>
              </w:rPr>
            </w:pPr>
            <w:r w:rsidRPr="00FA0D37">
              <w:rPr>
                <w:rFonts w:cs="Arial"/>
                <w:szCs w:val="18"/>
                <w:lang w:eastAsia="zh-CN"/>
              </w:rPr>
              <w:t xml:space="preserve">Subframe/Slot offset for ROs defined in the baseline configuration indicated by </w:t>
            </w:r>
            <w:r w:rsidRPr="00FA0D37">
              <w:rPr>
                <w:rFonts w:cs="Arial"/>
                <w:i/>
                <w:szCs w:val="18"/>
                <w:lang w:eastAsia="zh-CN"/>
              </w:rPr>
              <w:t xml:space="preserve">prach-ConfigurationIndex </w:t>
            </w:r>
            <w:r w:rsidRPr="00FA0D37">
              <w:rPr>
                <w:rFonts w:cs="Arial"/>
                <w:iCs/>
                <w:szCs w:val="18"/>
                <w:lang w:eastAsia="zh-CN"/>
              </w:rPr>
              <w:t>and is used only by the IAB-MT</w:t>
            </w:r>
            <w:r w:rsidRPr="00FA0D37">
              <w:rPr>
                <w:rFonts w:cs="Arial"/>
                <w:i/>
                <w:szCs w:val="18"/>
                <w:lang w:eastAsia="zh-CN"/>
              </w:rPr>
              <w:t xml:space="preserve">. </w:t>
            </w:r>
            <w:r w:rsidRPr="00FA0D37">
              <w:rPr>
                <w:rFonts w:cs="Arial"/>
                <w:iCs/>
                <w:szCs w:val="18"/>
                <w:lang w:eastAsia="zh-CN"/>
              </w:rPr>
              <w:t xml:space="preserve">(see </w:t>
            </w:r>
            <w:r w:rsidRPr="00FA0D37">
              <w:rPr>
                <w:lang w:eastAsia="zh-CN"/>
              </w:rPr>
              <w:t>TS 38.211 [16], clause 6.3.3.2</w:t>
            </w:r>
            <w:r w:rsidRPr="00FA0D37">
              <w:rPr>
                <w:rFonts w:cs="Arial"/>
                <w:iCs/>
                <w:szCs w:val="18"/>
                <w:lang w:eastAsia="zh-CN"/>
              </w:rPr>
              <w:t>).</w:t>
            </w:r>
          </w:p>
        </w:tc>
      </w:tr>
      <w:tr w:rsidR="005C7FF4" w:rsidRPr="00FA0D37"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FA0D37" w:rsidRDefault="00394471" w:rsidP="00964CC4">
            <w:pPr>
              <w:pStyle w:val="TAL"/>
              <w:rPr>
                <w:szCs w:val="22"/>
                <w:lang w:eastAsia="sv-SE"/>
              </w:rPr>
            </w:pPr>
            <w:r w:rsidRPr="00FA0D37">
              <w:rPr>
                <w:b/>
                <w:i/>
                <w:szCs w:val="22"/>
                <w:lang w:eastAsia="sv-SE"/>
              </w:rPr>
              <w:t>preambleReceivedTargetPower</w:t>
            </w:r>
          </w:p>
          <w:p w14:paraId="24FF45F2" w14:textId="77777777" w:rsidR="00394471" w:rsidRPr="00FA0D37" w:rsidRDefault="00394471" w:rsidP="00964CC4">
            <w:pPr>
              <w:pStyle w:val="TAL"/>
              <w:rPr>
                <w:szCs w:val="22"/>
                <w:lang w:eastAsia="sv-SE"/>
              </w:rPr>
            </w:pPr>
            <w:r w:rsidRPr="00FA0D37">
              <w:rPr>
                <w:szCs w:val="22"/>
                <w:lang w:eastAsia="sv-SE"/>
              </w:rPr>
              <w:t xml:space="preserve">The target power level at the network receiver side (see TS 38.213 [13], clause 7.4, TS 38.321 [3], clauses 5.1.2, 5.1.3). Only multiples of 2 dBm may be chosen (e.g. -202, -200, -198, ...). </w:t>
            </w:r>
          </w:p>
        </w:tc>
      </w:tr>
      <w:tr w:rsidR="005C7FF4" w:rsidRPr="00FA0D37"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FA0D37" w:rsidRDefault="00394471" w:rsidP="00964CC4">
            <w:pPr>
              <w:pStyle w:val="TAL"/>
              <w:rPr>
                <w:szCs w:val="22"/>
                <w:lang w:eastAsia="sv-SE"/>
              </w:rPr>
            </w:pPr>
            <w:r w:rsidRPr="00FA0D37">
              <w:rPr>
                <w:b/>
                <w:i/>
                <w:szCs w:val="22"/>
                <w:lang w:eastAsia="sv-SE"/>
              </w:rPr>
              <w:t>preambleTransMax</w:t>
            </w:r>
          </w:p>
          <w:p w14:paraId="2387A53D" w14:textId="77777777" w:rsidR="00394471" w:rsidRPr="00FA0D37" w:rsidRDefault="00394471" w:rsidP="00964CC4">
            <w:pPr>
              <w:pStyle w:val="TAL"/>
              <w:rPr>
                <w:szCs w:val="22"/>
                <w:lang w:eastAsia="sv-SE"/>
              </w:rPr>
            </w:pPr>
            <w:r w:rsidRPr="00FA0D37">
              <w:rPr>
                <w:szCs w:val="22"/>
                <w:lang w:eastAsia="sv-SE"/>
              </w:rPr>
              <w:t>Max number of RA preamble transmission performed before declaring a failure (see TS 38.321 [3], clauses 5.1.4, 5.1.5).</w:t>
            </w:r>
          </w:p>
        </w:tc>
      </w:tr>
      <w:tr w:rsidR="005C7FF4" w:rsidRPr="00FA0D37"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FA0D37" w:rsidRDefault="00394471" w:rsidP="00964CC4">
            <w:pPr>
              <w:pStyle w:val="TAL"/>
              <w:rPr>
                <w:szCs w:val="22"/>
                <w:lang w:eastAsia="sv-SE"/>
              </w:rPr>
            </w:pPr>
            <w:r w:rsidRPr="00FA0D37">
              <w:rPr>
                <w:b/>
                <w:i/>
                <w:szCs w:val="22"/>
                <w:lang w:eastAsia="sv-SE"/>
              </w:rPr>
              <w:t>ra-ResponseWindow</w:t>
            </w:r>
          </w:p>
          <w:p w14:paraId="1FCC96CC" w14:textId="7A3A6C9A" w:rsidR="00394471" w:rsidRPr="00FA0D37" w:rsidRDefault="00394471" w:rsidP="00964CC4">
            <w:pPr>
              <w:pStyle w:val="TAL"/>
              <w:rPr>
                <w:szCs w:val="22"/>
                <w:lang w:eastAsia="sv-SE"/>
              </w:rPr>
            </w:pPr>
            <w:r w:rsidRPr="00FA0D37">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FA0D37">
              <w:rPr>
                <w:i/>
                <w:szCs w:val="22"/>
                <w:lang w:eastAsia="sv-SE"/>
              </w:rPr>
              <w:t>SCellConfig</w:t>
            </w:r>
            <w:r w:rsidRPr="00FA0D37">
              <w:rPr>
                <w:szCs w:val="22"/>
                <w:lang w:eastAsia="sv-SE"/>
              </w:rPr>
              <w:t xml:space="preserve">. If </w:t>
            </w:r>
            <w:r w:rsidRPr="00FA0D37">
              <w:rPr>
                <w:i/>
                <w:szCs w:val="22"/>
                <w:lang w:eastAsia="sv-SE"/>
              </w:rPr>
              <w:t>ra-ResponseWindow-v1610</w:t>
            </w:r>
            <w:r w:rsidRPr="00FA0D37">
              <w:rPr>
                <w:szCs w:val="22"/>
                <w:lang w:eastAsia="sv-SE"/>
              </w:rPr>
              <w:t xml:space="preserve"> </w:t>
            </w:r>
            <w:r w:rsidR="00E826D8" w:rsidRPr="00FA0D37">
              <w:rPr>
                <w:szCs w:val="22"/>
                <w:lang w:eastAsia="sv-SE"/>
              </w:rPr>
              <w:t xml:space="preserve">or </w:t>
            </w:r>
            <w:r w:rsidR="00E826D8" w:rsidRPr="00FA0D37">
              <w:rPr>
                <w:i/>
                <w:iCs/>
                <w:szCs w:val="22"/>
                <w:lang w:eastAsia="sv-SE"/>
              </w:rPr>
              <w:t>ra-ResponseWindow-v17</w:t>
            </w:r>
            <w:r w:rsidR="00AB7BE4" w:rsidRPr="00FA0D37">
              <w:rPr>
                <w:i/>
                <w:iCs/>
                <w:szCs w:val="22"/>
                <w:lang w:eastAsia="sv-SE"/>
              </w:rPr>
              <w:t>00</w:t>
            </w:r>
            <w:r w:rsidR="00E826D8" w:rsidRPr="00FA0D37">
              <w:rPr>
                <w:szCs w:val="22"/>
                <w:lang w:eastAsia="sv-SE"/>
              </w:rPr>
              <w:t xml:space="preserve"> </w:t>
            </w:r>
            <w:r w:rsidRPr="00FA0D37">
              <w:rPr>
                <w:szCs w:val="22"/>
                <w:lang w:eastAsia="sv-SE"/>
              </w:rPr>
              <w:t xml:space="preserve">is signalled, UE shall ignore the </w:t>
            </w:r>
            <w:r w:rsidRPr="00FA0D37">
              <w:rPr>
                <w:i/>
                <w:szCs w:val="22"/>
                <w:lang w:eastAsia="sv-SE"/>
              </w:rPr>
              <w:t xml:space="preserve">ra-ResponseWindow </w:t>
            </w:r>
            <w:r w:rsidRPr="00FA0D37">
              <w:rPr>
                <w:szCs w:val="22"/>
                <w:lang w:eastAsia="sv-SE"/>
              </w:rPr>
              <w:t>(without suffix).</w:t>
            </w:r>
            <w:r w:rsidR="00E826D8" w:rsidRPr="00FA0D37">
              <w:t xml:space="preserve"> </w:t>
            </w:r>
            <w:r w:rsidR="00E826D8" w:rsidRPr="00FA0D37">
              <w:rPr>
                <w:szCs w:val="22"/>
                <w:lang w:eastAsia="sv-SE"/>
              </w:rPr>
              <w:t xml:space="preserve">The field </w:t>
            </w:r>
            <w:r w:rsidR="00E826D8" w:rsidRPr="00FA0D37">
              <w:rPr>
                <w:i/>
                <w:iCs/>
                <w:szCs w:val="22"/>
                <w:lang w:eastAsia="sv-SE"/>
              </w:rPr>
              <w:t>ra-ResponseWindow-v17</w:t>
            </w:r>
            <w:r w:rsidR="00AB7BE4" w:rsidRPr="00FA0D37">
              <w:rPr>
                <w:i/>
                <w:iCs/>
                <w:szCs w:val="22"/>
                <w:lang w:eastAsia="sv-SE"/>
              </w:rPr>
              <w:t>00</w:t>
            </w:r>
            <w:r w:rsidR="00E826D8" w:rsidRPr="00FA0D37">
              <w:rPr>
                <w:szCs w:val="22"/>
                <w:lang w:eastAsia="sv-SE"/>
              </w:rPr>
              <w:t xml:space="preserve"> is applicable to SCS 480 kHz and SCS 960 kHz.</w:t>
            </w:r>
          </w:p>
        </w:tc>
      </w:tr>
      <w:tr w:rsidR="00394471" w:rsidRPr="00FA0D37"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FA0D37" w:rsidRDefault="00394471" w:rsidP="00964CC4">
            <w:pPr>
              <w:pStyle w:val="TAL"/>
              <w:rPr>
                <w:szCs w:val="22"/>
                <w:lang w:eastAsia="sv-SE"/>
              </w:rPr>
            </w:pPr>
            <w:r w:rsidRPr="00FA0D37">
              <w:rPr>
                <w:b/>
                <w:i/>
                <w:szCs w:val="22"/>
                <w:lang w:eastAsia="sv-SE"/>
              </w:rPr>
              <w:t>zeroCorrelationZoneConfig</w:t>
            </w:r>
          </w:p>
          <w:p w14:paraId="68957536" w14:textId="77777777" w:rsidR="00394471" w:rsidRPr="00FA0D37" w:rsidRDefault="00394471" w:rsidP="00964CC4">
            <w:pPr>
              <w:pStyle w:val="TAL"/>
              <w:rPr>
                <w:szCs w:val="22"/>
                <w:lang w:eastAsia="sv-SE"/>
              </w:rPr>
            </w:pPr>
            <w:r w:rsidRPr="00FA0D37">
              <w:rPr>
                <w:szCs w:val="22"/>
                <w:lang w:eastAsia="sv-SE"/>
              </w:rPr>
              <w:t>N-CS configuration, see Table 6.3.3.1-5 in TS 38.211 [16].</w:t>
            </w:r>
          </w:p>
        </w:tc>
      </w:tr>
    </w:tbl>
    <w:p w14:paraId="52E562DE" w14:textId="77777777" w:rsidR="00394471" w:rsidRPr="00FA0D37" w:rsidRDefault="00394471" w:rsidP="00394471"/>
    <w:p w14:paraId="450EAE86" w14:textId="77777777" w:rsidR="00394471" w:rsidRPr="00FA0D37" w:rsidRDefault="00394471" w:rsidP="00394471">
      <w:pPr>
        <w:pStyle w:val="4"/>
      </w:pPr>
      <w:bookmarkStart w:id="1288" w:name="_Toc60777336"/>
      <w:bookmarkStart w:id="1289" w:name="_Toc146781415"/>
      <w:r w:rsidRPr="00FA0D37">
        <w:t>–</w:t>
      </w:r>
      <w:r w:rsidRPr="00FA0D37">
        <w:tab/>
      </w:r>
      <w:r w:rsidRPr="00FA0D37">
        <w:rPr>
          <w:i/>
          <w:noProof/>
        </w:rPr>
        <w:t>RACH-ConfigGenericTwoStepRA</w:t>
      </w:r>
      <w:bookmarkEnd w:id="1288"/>
      <w:bookmarkEnd w:id="1289"/>
    </w:p>
    <w:p w14:paraId="5F4A1648" w14:textId="77777777" w:rsidR="00394471" w:rsidRPr="00FA0D37" w:rsidRDefault="00394471" w:rsidP="00394471">
      <w:r w:rsidRPr="00FA0D37">
        <w:t xml:space="preserve">The IE </w:t>
      </w:r>
      <w:r w:rsidRPr="00FA0D37">
        <w:rPr>
          <w:i/>
        </w:rPr>
        <w:t>RACH-ConfigGenericTwoStepRA</w:t>
      </w:r>
      <w:r w:rsidRPr="00FA0D37">
        <w:t xml:space="preserve"> is used to specify the 2-step random access type parameters.</w:t>
      </w:r>
    </w:p>
    <w:p w14:paraId="3845AC90" w14:textId="77777777" w:rsidR="00394471" w:rsidRPr="00FA0D37" w:rsidRDefault="00394471" w:rsidP="00394471">
      <w:pPr>
        <w:pStyle w:val="TH"/>
      </w:pPr>
      <w:r w:rsidRPr="00FA0D37">
        <w:rPr>
          <w:bCs/>
          <w:i/>
          <w:iCs/>
        </w:rPr>
        <w:t>RACH-ConfigGenericTwoStepRA</w:t>
      </w:r>
      <w:r w:rsidRPr="00FA0D37">
        <w:t xml:space="preserve"> information element</w:t>
      </w:r>
    </w:p>
    <w:p w14:paraId="63F9D312" w14:textId="77777777" w:rsidR="00394471" w:rsidRPr="00FA0D37" w:rsidRDefault="00394471" w:rsidP="00FA0D37">
      <w:pPr>
        <w:pStyle w:val="PL"/>
        <w:rPr>
          <w:color w:val="808080"/>
        </w:rPr>
      </w:pPr>
      <w:r w:rsidRPr="00FA0D37">
        <w:rPr>
          <w:color w:val="808080"/>
        </w:rPr>
        <w:t>-- ASN1START</w:t>
      </w:r>
    </w:p>
    <w:p w14:paraId="022353AD" w14:textId="77777777" w:rsidR="00394471" w:rsidRPr="00FA0D37" w:rsidRDefault="00394471" w:rsidP="00FA0D37">
      <w:pPr>
        <w:pStyle w:val="PL"/>
        <w:rPr>
          <w:color w:val="808080"/>
        </w:rPr>
      </w:pPr>
      <w:r w:rsidRPr="00FA0D37">
        <w:rPr>
          <w:color w:val="808080"/>
        </w:rPr>
        <w:t>-- TAG-RACH-CONFIGGENERICTWOSTEPRA-START</w:t>
      </w:r>
    </w:p>
    <w:p w14:paraId="204DCA2C" w14:textId="77777777" w:rsidR="00394471" w:rsidRPr="00FA0D37" w:rsidRDefault="00394471" w:rsidP="00FA0D37">
      <w:pPr>
        <w:pStyle w:val="PL"/>
      </w:pPr>
    </w:p>
    <w:p w14:paraId="6351C7E9" w14:textId="77777777" w:rsidR="00394471" w:rsidRPr="00FA0D37" w:rsidRDefault="00394471" w:rsidP="00FA0D37">
      <w:pPr>
        <w:pStyle w:val="PL"/>
      </w:pPr>
      <w:r w:rsidRPr="00FA0D37">
        <w:t xml:space="preserve">RACH-ConfigGenericTwoStepRA-r16 ::=     </w:t>
      </w:r>
      <w:r w:rsidRPr="00FA0D37">
        <w:rPr>
          <w:color w:val="993366"/>
        </w:rPr>
        <w:t>SEQUENCE</w:t>
      </w:r>
      <w:r w:rsidRPr="00FA0D37">
        <w:t xml:space="preserve"> {</w:t>
      </w:r>
    </w:p>
    <w:p w14:paraId="536F22E4" w14:textId="77777777" w:rsidR="00394471" w:rsidRPr="00FA0D37" w:rsidRDefault="00394471" w:rsidP="00FA0D37">
      <w:pPr>
        <w:pStyle w:val="PL"/>
        <w:rPr>
          <w:color w:val="808080"/>
        </w:rPr>
      </w:pPr>
      <w:r w:rsidRPr="00FA0D37">
        <w:t xml:space="preserve">    msgA-PRACH-ConfigurationIndex-r16       </w:t>
      </w:r>
      <w:r w:rsidRPr="00FA0D37">
        <w:rPr>
          <w:color w:val="993366"/>
        </w:rPr>
        <w:t>INTEGER</w:t>
      </w:r>
      <w:r w:rsidRPr="00FA0D37">
        <w:t xml:space="preserve"> (0..262)                                                </w:t>
      </w:r>
      <w:r w:rsidRPr="00FA0D37">
        <w:rPr>
          <w:color w:val="993366"/>
        </w:rPr>
        <w:t>OPTIONAL</w:t>
      </w:r>
      <w:r w:rsidRPr="00FA0D37">
        <w:t xml:space="preserve">, </w:t>
      </w:r>
      <w:r w:rsidRPr="00FA0D37">
        <w:rPr>
          <w:color w:val="808080"/>
        </w:rPr>
        <w:t>-- Cond 2StepOnly</w:t>
      </w:r>
    </w:p>
    <w:p w14:paraId="699A5839" w14:textId="77777777" w:rsidR="00394471" w:rsidRPr="00FA0D37" w:rsidRDefault="00394471" w:rsidP="00FA0D37">
      <w:pPr>
        <w:pStyle w:val="PL"/>
        <w:rPr>
          <w:color w:val="808080"/>
        </w:rPr>
      </w:pPr>
      <w:r w:rsidRPr="00FA0D37">
        <w:lastRenderedPageBreak/>
        <w:t xml:space="preserve">    msgA-RO-FDM-r16                         </w:t>
      </w:r>
      <w:r w:rsidRPr="00FA0D37">
        <w:rPr>
          <w:color w:val="993366"/>
        </w:rPr>
        <w:t>ENUMERATED</w:t>
      </w:r>
      <w:r w:rsidRPr="00FA0D37">
        <w:t xml:space="preserve"> {one, two, four, eight}                              </w:t>
      </w:r>
      <w:r w:rsidRPr="00FA0D37">
        <w:rPr>
          <w:color w:val="993366"/>
        </w:rPr>
        <w:t>OPTIONAL</w:t>
      </w:r>
      <w:r w:rsidRPr="00FA0D37">
        <w:t xml:space="preserve">, </w:t>
      </w:r>
      <w:r w:rsidRPr="00FA0D37">
        <w:rPr>
          <w:color w:val="808080"/>
        </w:rPr>
        <w:t>-- Cond 2StepOnly</w:t>
      </w:r>
    </w:p>
    <w:p w14:paraId="613762EA" w14:textId="77777777" w:rsidR="00394471" w:rsidRPr="00FA0D37" w:rsidRDefault="00394471" w:rsidP="00FA0D37">
      <w:pPr>
        <w:pStyle w:val="PL"/>
        <w:rPr>
          <w:color w:val="808080"/>
        </w:rPr>
      </w:pPr>
      <w:r w:rsidRPr="00FA0D37">
        <w:t xml:space="preserve">    msgA-RO-FrequencyStart-r16              </w:t>
      </w:r>
      <w:r w:rsidRPr="00FA0D37">
        <w:rPr>
          <w:color w:val="993366"/>
        </w:rPr>
        <w:t>INTEGER</w:t>
      </w:r>
      <w:r w:rsidRPr="00FA0D37">
        <w:t xml:space="preserve"> (0..maxNrofPhysicalResourceBlocks-1)                    </w:t>
      </w:r>
      <w:r w:rsidRPr="00FA0D37">
        <w:rPr>
          <w:color w:val="993366"/>
        </w:rPr>
        <w:t>OPTIONAL</w:t>
      </w:r>
      <w:r w:rsidRPr="00FA0D37">
        <w:t xml:space="preserve">, </w:t>
      </w:r>
      <w:r w:rsidRPr="00FA0D37">
        <w:rPr>
          <w:color w:val="808080"/>
        </w:rPr>
        <w:t>-- Cond 2StepOnly</w:t>
      </w:r>
    </w:p>
    <w:p w14:paraId="24DA8D8A" w14:textId="77777777" w:rsidR="00394471" w:rsidRPr="00FA0D37" w:rsidRDefault="00394471" w:rsidP="00FA0D37">
      <w:pPr>
        <w:pStyle w:val="PL"/>
        <w:rPr>
          <w:color w:val="808080"/>
        </w:rPr>
      </w:pPr>
      <w:r w:rsidRPr="00FA0D37">
        <w:t xml:space="preserve">    msgA-ZeroCorrelationZoneConfig-r16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Cond 2StepOnly</w:t>
      </w:r>
    </w:p>
    <w:p w14:paraId="6F74BB80" w14:textId="77777777" w:rsidR="00394471" w:rsidRPr="00FA0D37" w:rsidRDefault="00394471" w:rsidP="00FA0D37">
      <w:pPr>
        <w:pStyle w:val="PL"/>
        <w:rPr>
          <w:color w:val="808080"/>
        </w:rPr>
      </w:pPr>
      <w:r w:rsidRPr="00FA0D37">
        <w:t xml:space="preserve">    msgA-PreamblePowerRampingStep-r16       </w:t>
      </w:r>
      <w:r w:rsidRPr="00FA0D37">
        <w:rPr>
          <w:color w:val="993366"/>
        </w:rPr>
        <w:t>ENUMERATED</w:t>
      </w:r>
      <w:r w:rsidRPr="00FA0D37">
        <w:t xml:space="preserve"> {dB0, dB2, dB4, dB6}                                 </w:t>
      </w:r>
      <w:r w:rsidRPr="00FA0D37">
        <w:rPr>
          <w:color w:val="993366"/>
        </w:rPr>
        <w:t>OPTIONAL</w:t>
      </w:r>
      <w:r w:rsidRPr="00FA0D37">
        <w:t xml:space="preserve">, </w:t>
      </w:r>
      <w:r w:rsidRPr="00FA0D37">
        <w:rPr>
          <w:color w:val="808080"/>
        </w:rPr>
        <w:t>-- Cond 2StepOnlyNoCFRA</w:t>
      </w:r>
    </w:p>
    <w:p w14:paraId="6C4A0B91" w14:textId="77777777" w:rsidR="00394471" w:rsidRPr="00FA0D37" w:rsidRDefault="00394471" w:rsidP="00FA0D37">
      <w:pPr>
        <w:pStyle w:val="PL"/>
        <w:rPr>
          <w:color w:val="808080"/>
        </w:rPr>
      </w:pPr>
      <w:r w:rsidRPr="00FA0D37">
        <w:t xml:space="preserve">    msgA-PreambleReceivedTargetPower-r16    </w:t>
      </w:r>
      <w:r w:rsidRPr="00FA0D37">
        <w:rPr>
          <w:color w:val="993366"/>
        </w:rPr>
        <w:t>INTEGER</w:t>
      </w:r>
      <w:r w:rsidRPr="00FA0D37">
        <w:t xml:space="preserve"> (-202..-60)                                             </w:t>
      </w:r>
      <w:r w:rsidRPr="00FA0D37">
        <w:rPr>
          <w:color w:val="993366"/>
        </w:rPr>
        <w:t>OPTIONAL</w:t>
      </w:r>
      <w:r w:rsidRPr="00FA0D37">
        <w:t xml:space="preserve">, </w:t>
      </w:r>
      <w:r w:rsidRPr="00FA0D37">
        <w:rPr>
          <w:color w:val="808080"/>
        </w:rPr>
        <w:t>-- Cond 2StepOnlyNoCFRA</w:t>
      </w:r>
    </w:p>
    <w:p w14:paraId="6FAAB36F" w14:textId="77777777" w:rsidR="00394471" w:rsidRPr="00FA0D37" w:rsidRDefault="00394471" w:rsidP="00FA0D37">
      <w:pPr>
        <w:pStyle w:val="PL"/>
      </w:pPr>
      <w:r w:rsidRPr="00FA0D37">
        <w:t xml:space="preserve">    msgB-ResponseWindow-r16                 </w:t>
      </w:r>
      <w:r w:rsidRPr="00FA0D37">
        <w:rPr>
          <w:color w:val="993366"/>
        </w:rPr>
        <w:t>ENUMERATED</w:t>
      </w:r>
      <w:r w:rsidRPr="00FA0D37">
        <w:t xml:space="preserve"> {sl1, sl2, sl4, sl8, sl10, sl20, sl40, sl80, sl160, sl320}</w:t>
      </w:r>
    </w:p>
    <w:p w14:paraId="02B2899C"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Cond NoCFRA</w:t>
      </w:r>
    </w:p>
    <w:p w14:paraId="1655E8E3" w14:textId="77777777" w:rsidR="00394471" w:rsidRPr="00FA0D37" w:rsidRDefault="00394471" w:rsidP="00FA0D37">
      <w:pPr>
        <w:pStyle w:val="PL"/>
        <w:rPr>
          <w:color w:val="808080"/>
        </w:rPr>
      </w:pPr>
      <w:r w:rsidRPr="00FA0D37">
        <w:t xml:space="preserve">    preambleTransMax-r16                    </w:t>
      </w:r>
      <w:r w:rsidRPr="00FA0D37">
        <w:rPr>
          <w:color w:val="993366"/>
        </w:rPr>
        <w:t>ENUMERATED</w:t>
      </w:r>
      <w:r w:rsidRPr="00FA0D37">
        <w:t xml:space="preserve"> {n3, n4, n5, n6, n7, n8, n10, n20, n50, n100, n200}  </w:t>
      </w:r>
      <w:r w:rsidRPr="00FA0D37">
        <w:rPr>
          <w:color w:val="993366"/>
        </w:rPr>
        <w:t>OPTIONAL</w:t>
      </w:r>
      <w:r w:rsidRPr="00FA0D37">
        <w:t xml:space="preserve">, </w:t>
      </w:r>
      <w:r w:rsidRPr="00FA0D37">
        <w:rPr>
          <w:color w:val="808080"/>
        </w:rPr>
        <w:t>-- Cond 2StepOnlyNoCFRA</w:t>
      </w:r>
    </w:p>
    <w:p w14:paraId="24087795" w14:textId="652FD37B" w:rsidR="00E826D8" w:rsidRPr="00FA0D37" w:rsidRDefault="00394471" w:rsidP="00FA0D37">
      <w:pPr>
        <w:pStyle w:val="PL"/>
      </w:pPr>
      <w:r w:rsidRPr="00FA0D37">
        <w:t xml:space="preserve">    ...</w:t>
      </w:r>
      <w:r w:rsidR="00E826D8" w:rsidRPr="00FA0D37">
        <w:t>,</w:t>
      </w:r>
    </w:p>
    <w:p w14:paraId="73E042D4" w14:textId="77777777" w:rsidR="00E826D8" w:rsidRPr="00FA0D37" w:rsidRDefault="00E826D8" w:rsidP="00FA0D37">
      <w:pPr>
        <w:pStyle w:val="PL"/>
      </w:pPr>
      <w:r w:rsidRPr="00FA0D37">
        <w:t xml:space="preserve">    [[</w:t>
      </w:r>
    </w:p>
    <w:p w14:paraId="7D70A597" w14:textId="6BFE6D88" w:rsidR="00E826D8" w:rsidRPr="00FA0D37" w:rsidRDefault="00E826D8" w:rsidP="00FA0D37">
      <w:pPr>
        <w:pStyle w:val="PL"/>
        <w:rPr>
          <w:color w:val="808080"/>
        </w:rPr>
      </w:pPr>
      <w:r w:rsidRPr="00FA0D37">
        <w:t xml:space="preserve">    msgB-ResponseWindow-v1700               </w:t>
      </w:r>
      <w:r w:rsidRPr="00FA0D37">
        <w:rPr>
          <w:color w:val="993366"/>
        </w:rPr>
        <w:t>ENUMERATED</w:t>
      </w:r>
      <w:r w:rsidRPr="00FA0D37">
        <w:t xml:space="preserve"> {sl240, sl640, sl960, sl1280, sl1920, sl2560}        </w:t>
      </w:r>
      <w:r w:rsidRPr="00FA0D37">
        <w:rPr>
          <w:color w:val="993366"/>
        </w:rPr>
        <w:t>OPTIONAL</w:t>
      </w:r>
      <w:r w:rsidRPr="00FA0D37">
        <w:t xml:space="preserve">  </w:t>
      </w:r>
      <w:r w:rsidRPr="00FA0D37">
        <w:rPr>
          <w:color w:val="808080"/>
        </w:rPr>
        <w:t>-- Cond NoCFRA2</w:t>
      </w:r>
    </w:p>
    <w:p w14:paraId="78D3FD51" w14:textId="658D8551" w:rsidR="00394471" w:rsidRPr="00FA0D37" w:rsidRDefault="00E826D8" w:rsidP="00FA0D37">
      <w:pPr>
        <w:pStyle w:val="PL"/>
      </w:pPr>
      <w:r w:rsidRPr="00FA0D37">
        <w:t xml:space="preserve">    ]]</w:t>
      </w:r>
    </w:p>
    <w:p w14:paraId="77AA0DC0" w14:textId="77777777" w:rsidR="00394471" w:rsidRPr="00FA0D37" w:rsidRDefault="00394471" w:rsidP="00FA0D37">
      <w:pPr>
        <w:pStyle w:val="PL"/>
      </w:pPr>
      <w:r w:rsidRPr="00FA0D37">
        <w:t>}</w:t>
      </w:r>
    </w:p>
    <w:p w14:paraId="51DE6C5F" w14:textId="77777777" w:rsidR="00394471" w:rsidRPr="00FA0D37" w:rsidRDefault="00394471" w:rsidP="00FA0D37">
      <w:pPr>
        <w:pStyle w:val="PL"/>
      </w:pPr>
    </w:p>
    <w:p w14:paraId="5CF04875" w14:textId="77777777" w:rsidR="00394471" w:rsidRPr="00FA0D37" w:rsidRDefault="00394471" w:rsidP="00FA0D37">
      <w:pPr>
        <w:pStyle w:val="PL"/>
        <w:rPr>
          <w:color w:val="808080"/>
        </w:rPr>
      </w:pPr>
      <w:r w:rsidRPr="00FA0D37">
        <w:rPr>
          <w:color w:val="808080"/>
        </w:rPr>
        <w:t>-- TAG-RACH-CONFIGGENERICTWOSTEPRA-STOP</w:t>
      </w:r>
    </w:p>
    <w:p w14:paraId="0918A971" w14:textId="77777777" w:rsidR="00394471" w:rsidRPr="00FA0D37" w:rsidRDefault="00394471" w:rsidP="00FA0D37">
      <w:pPr>
        <w:pStyle w:val="PL"/>
        <w:rPr>
          <w:color w:val="808080"/>
        </w:rPr>
      </w:pPr>
      <w:r w:rsidRPr="00FA0D37">
        <w:rPr>
          <w:color w:val="808080"/>
        </w:rPr>
        <w:t>-- ASN1STOP</w:t>
      </w:r>
    </w:p>
    <w:p w14:paraId="12290DF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FA0D37" w:rsidRDefault="00394471" w:rsidP="00964CC4">
            <w:pPr>
              <w:pStyle w:val="TAH"/>
              <w:rPr>
                <w:szCs w:val="22"/>
                <w:lang w:eastAsia="sv-SE"/>
              </w:rPr>
            </w:pPr>
            <w:r w:rsidRPr="00FA0D37">
              <w:rPr>
                <w:i/>
                <w:szCs w:val="22"/>
                <w:lang w:eastAsia="sv-SE"/>
              </w:rPr>
              <w:lastRenderedPageBreak/>
              <w:t xml:space="preserve">RACH-ConfigGenericTwoStepRA </w:t>
            </w:r>
            <w:r w:rsidRPr="00FA0D37">
              <w:rPr>
                <w:szCs w:val="22"/>
                <w:lang w:eastAsia="sv-SE"/>
              </w:rPr>
              <w:t>field descriptions</w:t>
            </w:r>
          </w:p>
        </w:tc>
      </w:tr>
      <w:tr w:rsidR="005C7FF4" w:rsidRPr="00FA0D37"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FA0D37" w:rsidRDefault="00394471" w:rsidP="00964CC4">
            <w:pPr>
              <w:pStyle w:val="TAL"/>
              <w:rPr>
                <w:szCs w:val="22"/>
                <w:lang w:eastAsia="sv-SE"/>
              </w:rPr>
            </w:pPr>
            <w:r w:rsidRPr="00FA0D37">
              <w:rPr>
                <w:b/>
                <w:i/>
                <w:szCs w:val="22"/>
                <w:lang w:eastAsia="sv-SE"/>
              </w:rPr>
              <w:t>msgA-PreamblePowerRampingStep</w:t>
            </w:r>
          </w:p>
          <w:p w14:paraId="0C431EA6" w14:textId="72E1B3A7" w:rsidR="00394471" w:rsidRPr="00FA0D37" w:rsidRDefault="00394471" w:rsidP="00964CC4">
            <w:pPr>
              <w:pStyle w:val="TAL"/>
              <w:rPr>
                <w:szCs w:val="22"/>
                <w:lang w:eastAsia="sv-SE"/>
              </w:rPr>
            </w:pPr>
            <w:r w:rsidRPr="00FA0D37">
              <w:rPr>
                <w:lang w:eastAsia="sv-SE"/>
              </w:rPr>
              <w:t>Power ramping steps for msgA PRACH.</w:t>
            </w:r>
            <w:r w:rsidR="003B06FB" w:rsidRPr="00FA0D37">
              <w:rPr>
                <w:lang w:eastAsia="sv-SE"/>
              </w:rPr>
              <w:t xml:space="preserve"> If the field is absent in </w:t>
            </w:r>
            <w:r w:rsidR="003B06FB" w:rsidRPr="00FA0D37">
              <w:rPr>
                <w:i/>
                <w:lang w:eastAsia="sv-SE"/>
              </w:rPr>
              <w:t>RACH-ConfigCommonTwoStepRA</w:t>
            </w:r>
            <w:r w:rsidR="003B06FB" w:rsidRPr="00FA0D37">
              <w:rPr>
                <w:lang w:eastAsia="sv-SE"/>
              </w:rPr>
              <w:t xml:space="preserve"> in </w:t>
            </w:r>
            <w:r w:rsidR="003B06FB" w:rsidRPr="00FA0D37">
              <w:rPr>
                <w:i/>
                <w:lang w:eastAsia="sv-SE"/>
              </w:rPr>
              <w:t>AdditionalRACH-Config</w:t>
            </w:r>
            <w:r w:rsidR="003B06FB" w:rsidRPr="00FA0D37">
              <w:rPr>
                <w:lang w:eastAsia="sv-SE"/>
              </w:rPr>
              <w:t xml:space="preserve">, the UE shall apply the corresponding value in </w:t>
            </w:r>
            <w:r w:rsidR="003B06FB" w:rsidRPr="00FA0D37">
              <w:rPr>
                <w:i/>
                <w:lang w:eastAsia="sv-SE"/>
              </w:rPr>
              <w:t>RACH-ConfigCommon</w:t>
            </w:r>
            <w:r w:rsidR="003B06FB" w:rsidRPr="00FA0D37">
              <w:rPr>
                <w:lang w:eastAsia="sv-SE"/>
              </w:rPr>
              <w:t xml:space="preserve"> in the same </w:t>
            </w:r>
            <w:r w:rsidR="003B06FB" w:rsidRPr="00FA0D37">
              <w:rPr>
                <w:i/>
                <w:lang w:eastAsia="sv-SE"/>
              </w:rPr>
              <w:t>AdditionalRACH-Config</w:t>
            </w:r>
            <w:r w:rsidR="003B06FB" w:rsidRPr="00FA0D37">
              <w:rPr>
                <w:lang w:eastAsia="sv-SE"/>
              </w:rPr>
              <w:t>.</w:t>
            </w:r>
            <w:r w:rsidRPr="00FA0D37">
              <w:rPr>
                <w:lang w:eastAsia="sv-SE"/>
              </w:rPr>
              <w:t xml:space="preserve"> If the field is absent</w:t>
            </w:r>
            <w:r w:rsidR="001B3DF0" w:rsidRPr="00FA0D37">
              <w:rPr>
                <w:lang w:eastAsia="sv-SE"/>
              </w:rPr>
              <w:t xml:space="preserve"> in other cases</w:t>
            </w:r>
            <w:r w:rsidRPr="00FA0D37">
              <w:rPr>
                <w:lang w:eastAsia="sv-SE"/>
              </w:rPr>
              <w:t xml:space="preserve">, UE shall use the value of </w:t>
            </w:r>
            <w:r w:rsidRPr="00FA0D37">
              <w:rPr>
                <w:i/>
                <w:lang w:eastAsia="sv-SE"/>
              </w:rPr>
              <w:t>powerRampingStep</w:t>
            </w:r>
            <w:r w:rsidRPr="00FA0D37">
              <w:rPr>
                <w:lang w:eastAsia="sv-SE"/>
              </w:rPr>
              <w:t xml:space="preserve"> in </w:t>
            </w:r>
            <w:r w:rsidRPr="00FA0D37">
              <w:rPr>
                <w:i/>
                <w:lang w:eastAsia="sv-SE"/>
              </w:rPr>
              <w:t>RACH-ConfigGeneric</w:t>
            </w:r>
            <w:r w:rsidRPr="00FA0D37">
              <w:rPr>
                <w:lang w:eastAsia="sv-SE"/>
              </w:rPr>
              <w:t xml:space="preserve"> in the configured BWP </w:t>
            </w:r>
            <w:r w:rsidRPr="00FA0D37">
              <w:rPr>
                <w:szCs w:val="22"/>
                <w:lang w:eastAsia="sv-SE"/>
              </w:rPr>
              <w:t>(see TS 38.321 [3], 5.1.3)</w:t>
            </w:r>
            <w:r w:rsidRPr="00FA0D37">
              <w:rPr>
                <w:lang w:eastAsia="sv-SE"/>
              </w:rPr>
              <w:t>. This field may only be present if no 4-step type RA is configured in the BWP or in the case of separate ROs with 4-step type RA.</w:t>
            </w:r>
            <w:r w:rsidRPr="00FA0D37">
              <w:t xml:space="preserve"> The field is absent if </w:t>
            </w:r>
            <w:r w:rsidRPr="00FA0D37">
              <w:rPr>
                <w:i/>
                <w:iCs/>
              </w:rPr>
              <w:t>RACH-ConfigGenericTwoStepRA</w:t>
            </w:r>
            <w:r w:rsidRPr="00FA0D37">
              <w:t xml:space="preserve"> is included in </w:t>
            </w:r>
            <w:r w:rsidRPr="00FA0D37">
              <w:rPr>
                <w:i/>
                <w:iCs/>
              </w:rPr>
              <w:t>CFRA-TwoStep</w:t>
            </w:r>
            <w:r w:rsidRPr="00FA0D37">
              <w:t xml:space="preserve"> in </w:t>
            </w:r>
            <w:r w:rsidRPr="00FA0D37">
              <w:rPr>
                <w:i/>
                <w:iCs/>
              </w:rPr>
              <w:t xml:space="preserve">RACH-ConfigDedicated </w:t>
            </w:r>
            <w:r w:rsidRPr="00FA0D37">
              <w:t>and then</w:t>
            </w:r>
            <w:r w:rsidRPr="00FA0D37">
              <w:rPr>
                <w:i/>
                <w:iCs/>
              </w:rPr>
              <w:t xml:space="preserve"> </w:t>
            </w:r>
            <w:r w:rsidRPr="00FA0D37">
              <w:t xml:space="preserve">the UE uses the value of </w:t>
            </w:r>
            <w:r w:rsidRPr="00FA0D37">
              <w:rPr>
                <w:i/>
              </w:rPr>
              <w:t>msgA-PreamblePowerRampingStep</w:t>
            </w:r>
            <w:r w:rsidRPr="00FA0D37">
              <w:t xml:space="preserve"> in </w:t>
            </w:r>
            <w:r w:rsidRPr="00FA0D37">
              <w:rPr>
                <w:i/>
                <w:iCs/>
              </w:rPr>
              <w:t xml:space="preserve">RACH-ConfigGenericTwoStepRA </w:t>
            </w:r>
            <w:r w:rsidRPr="00FA0D37">
              <w:t>configured for</w:t>
            </w:r>
            <w:r w:rsidRPr="00FA0D37">
              <w:rPr>
                <w:i/>
                <w:iCs/>
              </w:rPr>
              <w:t xml:space="preserve"> </w:t>
            </w:r>
            <w:r w:rsidRPr="00FA0D37">
              <w:t>CBRA.</w:t>
            </w:r>
          </w:p>
        </w:tc>
      </w:tr>
      <w:tr w:rsidR="005C7FF4" w:rsidRPr="00FA0D37"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FA0D37" w:rsidRDefault="00394471" w:rsidP="00964CC4">
            <w:pPr>
              <w:pStyle w:val="TAL"/>
              <w:rPr>
                <w:b/>
                <w:i/>
                <w:szCs w:val="22"/>
                <w:lang w:eastAsia="sv-SE"/>
              </w:rPr>
            </w:pPr>
            <w:r w:rsidRPr="00FA0D37">
              <w:rPr>
                <w:b/>
                <w:i/>
                <w:szCs w:val="22"/>
                <w:lang w:eastAsia="sv-SE"/>
              </w:rPr>
              <w:t>msgA-PreambleReceivedTargetPower</w:t>
            </w:r>
          </w:p>
          <w:p w14:paraId="1A648BDF" w14:textId="77777777" w:rsidR="00394471" w:rsidRPr="00FA0D37" w:rsidRDefault="00394471" w:rsidP="00964CC4">
            <w:pPr>
              <w:pStyle w:val="TAL"/>
              <w:rPr>
                <w:szCs w:val="22"/>
                <w:lang w:eastAsia="sv-SE"/>
              </w:rPr>
            </w:pPr>
            <w:r w:rsidRPr="00FA0D37">
              <w:rPr>
                <w:szCs w:val="22"/>
                <w:lang w:eastAsia="sv-SE"/>
              </w:rPr>
              <w:t xml:space="preserve">The target power level at the network receiver side (see TS 38.213 [13], clause 7.1.1 and TS 38.321 [3], clause 5.1.1). Only multiples of 2 dBm may be chosen (e.g -202, -200, -198, …). </w:t>
            </w:r>
            <w:r w:rsidRPr="00FA0D37">
              <w:rPr>
                <w:lang w:eastAsia="sv-SE"/>
              </w:rPr>
              <w:t xml:space="preserve">If the field is absent, UE shall use the value of </w:t>
            </w:r>
            <w:r w:rsidRPr="00FA0D37">
              <w:rPr>
                <w:i/>
                <w:lang w:eastAsia="sv-SE"/>
              </w:rPr>
              <w:t>preambleReceivedTargetPower</w:t>
            </w:r>
            <w:r w:rsidRPr="00FA0D37">
              <w:rPr>
                <w:lang w:eastAsia="sv-SE"/>
              </w:rPr>
              <w:t xml:space="preserve"> in </w:t>
            </w:r>
            <w:r w:rsidRPr="00FA0D37">
              <w:rPr>
                <w:i/>
                <w:lang w:eastAsia="sv-SE"/>
              </w:rPr>
              <w:t>RACH-ConfigGeneric</w:t>
            </w:r>
            <w:r w:rsidRPr="00FA0D37">
              <w:rPr>
                <w:lang w:eastAsia="sv-SE"/>
              </w:rPr>
              <w:t xml:space="preserve"> in the configured BWP. This field may only be present if no 4-step type RA is configured in the BWP.</w:t>
            </w:r>
            <w:r w:rsidRPr="00FA0D37">
              <w:t xml:space="preserve"> The field is absent if </w:t>
            </w:r>
            <w:r w:rsidRPr="00FA0D37">
              <w:rPr>
                <w:i/>
                <w:iCs/>
              </w:rPr>
              <w:t>RACH-ConfigGenericTwoStepRA</w:t>
            </w:r>
            <w:r w:rsidRPr="00FA0D37">
              <w:t xml:space="preserve"> is included in </w:t>
            </w:r>
            <w:r w:rsidRPr="00FA0D37">
              <w:rPr>
                <w:i/>
                <w:iCs/>
              </w:rPr>
              <w:t>CFRA-TwoStep</w:t>
            </w:r>
            <w:r w:rsidRPr="00FA0D37">
              <w:t xml:space="preserve"> in </w:t>
            </w:r>
            <w:r w:rsidRPr="00FA0D37">
              <w:rPr>
                <w:i/>
                <w:iCs/>
              </w:rPr>
              <w:t xml:space="preserve">RACH-ConfigDedicated </w:t>
            </w:r>
            <w:r w:rsidRPr="00FA0D37">
              <w:t>and then</w:t>
            </w:r>
            <w:r w:rsidRPr="00FA0D37">
              <w:rPr>
                <w:i/>
                <w:iCs/>
              </w:rPr>
              <w:t xml:space="preserve"> </w:t>
            </w:r>
            <w:r w:rsidRPr="00FA0D37">
              <w:t xml:space="preserve">the UE uses the value of </w:t>
            </w:r>
            <w:r w:rsidRPr="00FA0D37">
              <w:rPr>
                <w:bCs/>
                <w:i/>
              </w:rPr>
              <w:t>msgA-PreambleReceivedTargetPower</w:t>
            </w:r>
            <w:r w:rsidRPr="00FA0D37">
              <w:rPr>
                <w:b/>
                <w:i/>
              </w:rPr>
              <w:t xml:space="preserve"> </w:t>
            </w:r>
            <w:r w:rsidRPr="00FA0D37">
              <w:t xml:space="preserve">in </w:t>
            </w:r>
            <w:r w:rsidRPr="00FA0D37">
              <w:rPr>
                <w:i/>
                <w:iCs/>
              </w:rPr>
              <w:t xml:space="preserve">RACH-ConfigGenericTwoStepRA </w:t>
            </w:r>
            <w:r w:rsidRPr="00FA0D37">
              <w:t>configured for</w:t>
            </w:r>
            <w:r w:rsidRPr="00FA0D37">
              <w:rPr>
                <w:i/>
                <w:iCs/>
              </w:rPr>
              <w:t xml:space="preserve"> </w:t>
            </w:r>
            <w:r w:rsidRPr="00FA0D37">
              <w:t>CBRA</w:t>
            </w:r>
            <w:r w:rsidRPr="00FA0D37">
              <w:rPr>
                <w:i/>
                <w:iCs/>
              </w:rPr>
              <w:t>.</w:t>
            </w:r>
          </w:p>
        </w:tc>
      </w:tr>
      <w:tr w:rsidR="005C7FF4" w:rsidRPr="00FA0D37"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FA0D37" w:rsidRDefault="00394471" w:rsidP="00964CC4">
            <w:pPr>
              <w:pStyle w:val="TAL"/>
              <w:rPr>
                <w:szCs w:val="22"/>
                <w:lang w:eastAsia="sv-SE"/>
              </w:rPr>
            </w:pPr>
            <w:r w:rsidRPr="00FA0D37">
              <w:rPr>
                <w:b/>
                <w:i/>
                <w:szCs w:val="22"/>
                <w:lang w:eastAsia="sv-SE"/>
              </w:rPr>
              <w:t>msgA-PRACH-ConfigurationIndex</w:t>
            </w:r>
          </w:p>
          <w:p w14:paraId="66046CBC" w14:textId="177B6D83" w:rsidR="00394471" w:rsidRPr="00FA0D37" w:rsidRDefault="00394471" w:rsidP="00964CC4">
            <w:pPr>
              <w:pStyle w:val="TAL"/>
              <w:rPr>
                <w:szCs w:val="22"/>
                <w:lang w:eastAsia="sv-SE"/>
              </w:rPr>
            </w:pPr>
            <w:r w:rsidRPr="00FA0D37">
              <w:rPr>
                <w:lang w:eastAsia="sv-SE"/>
              </w:rPr>
              <w:t>Cell-specific PRACH configuration index for 2-step RA type. If the field is absent</w:t>
            </w:r>
            <w:r w:rsidR="00A251FC" w:rsidRPr="00FA0D37">
              <w:rPr>
                <w:rFonts w:cs="Arial"/>
                <w:lang w:eastAsia="sv-SE"/>
              </w:rPr>
              <w:t xml:space="preserve"> in </w:t>
            </w:r>
            <w:r w:rsidR="00A251FC" w:rsidRPr="00FA0D37">
              <w:rPr>
                <w:rFonts w:cs="Arial"/>
                <w:i/>
                <w:iCs/>
                <w:szCs w:val="22"/>
                <w:lang w:eastAsia="sv-SE"/>
              </w:rPr>
              <w:t xml:space="preserve">RACH-ConfigCommonTwoStepRA </w:t>
            </w:r>
            <w:r w:rsidR="00A251FC" w:rsidRPr="00FA0D37">
              <w:rPr>
                <w:rFonts w:cs="Arial"/>
                <w:iCs/>
                <w:szCs w:val="22"/>
                <w:lang w:eastAsia="sv-SE"/>
              </w:rPr>
              <w:t xml:space="preserve">which is configured directly within a BWP (i.e. not within </w:t>
            </w:r>
            <w:r w:rsidR="00A251FC" w:rsidRPr="00FA0D37">
              <w:rPr>
                <w:rFonts w:cs="Arial"/>
                <w:i/>
                <w:iCs/>
                <w:szCs w:val="22"/>
                <w:lang w:eastAsia="sv-SE"/>
              </w:rPr>
              <w:t>AdditionalRACH-Config</w:t>
            </w:r>
            <w:r w:rsidR="00A251FC" w:rsidRPr="00FA0D37">
              <w:rPr>
                <w:rFonts w:cs="Arial"/>
                <w:iCs/>
                <w:szCs w:val="22"/>
                <w:lang w:eastAsia="sv-SE"/>
              </w:rPr>
              <w:t>)</w:t>
            </w:r>
            <w:r w:rsidR="00A251FC" w:rsidRPr="00FA0D37">
              <w:rPr>
                <w:rFonts w:cs="Arial"/>
                <w:szCs w:val="22"/>
                <w:lang w:eastAsia="sv-SE"/>
              </w:rPr>
              <w:t>,</w:t>
            </w:r>
            <w:r w:rsidRPr="00FA0D37">
              <w:rPr>
                <w:lang w:eastAsia="sv-SE"/>
              </w:rPr>
              <w:t xml:space="preserve"> the UE shall use the value of corresponding 4-step random access parameter in the configured BWP</w:t>
            </w:r>
            <w:r w:rsidR="00A251FC" w:rsidRPr="00FA0D37">
              <w:rPr>
                <w:rFonts w:cs="Arial"/>
                <w:lang w:eastAsia="sv-SE"/>
              </w:rPr>
              <w:t xml:space="preserve">. If the field is absent in </w:t>
            </w:r>
            <w:r w:rsidR="00A251FC" w:rsidRPr="00FA0D37">
              <w:rPr>
                <w:rFonts w:cs="Arial"/>
                <w:i/>
                <w:lang w:eastAsia="sv-SE"/>
              </w:rPr>
              <w:t>RACH-ConfigCommonTwoStepRA</w:t>
            </w:r>
            <w:r w:rsidR="00A251FC" w:rsidRPr="00FA0D37">
              <w:rPr>
                <w:rFonts w:cs="Arial"/>
                <w:lang w:eastAsia="sv-SE"/>
              </w:rPr>
              <w:t xml:space="preserve"> in </w:t>
            </w:r>
            <w:r w:rsidR="00A251FC" w:rsidRPr="00FA0D37">
              <w:rPr>
                <w:rFonts w:cs="Arial"/>
                <w:i/>
                <w:lang w:eastAsia="sv-SE"/>
              </w:rPr>
              <w:t>AdditionalRACH-Config</w:t>
            </w:r>
            <w:r w:rsidR="00A251FC" w:rsidRPr="00FA0D37">
              <w:rPr>
                <w:rFonts w:cs="Arial"/>
                <w:lang w:eastAsia="sv-SE"/>
              </w:rPr>
              <w:t xml:space="preserve">, the UE shall apply the corresponding value in </w:t>
            </w:r>
            <w:r w:rsidR="00A251FC" w:rsidRPr="00FA0D37">
              <w:rPr>
                <w:rFonts w:cs="Arial"/>
                <w:i/>
                <w:lang w:eastAsia="sv-SE"/>
              </w:rPr>
              <w:t>RACH-ConfigCommon</w:t>
            </w:r>
            <w:r w:rsidR="00A251FC" w:rsidRPr="00FA0D37">
              <w:rPr>
                <w:rFonts w:cs="Arial"/>
                <w:lang w:eastAsia="sv-SE"/>
              </w:rPr>
              <w:t xml:space="preserve"> in the same </w:t>
            </w:r>
            <w:r w:rsidR="00A251FC" w:rsidRPr="00FA0D37">
              <w:rPr>
                <w:rFonts w:cs="Arial"/>
                <w:i/>
                <w:lang w:eastAsia="sv-SE"/>
              </w:rPr>
              <w:t>AdditionalRACH-Config</w:t>
            </w:r>
            <w:r w:rsidRPr="00FA0D37">
              <w:rPr>
                <w:lang w:eastAsia="sv-SE"/>
              </w:rPr>
              <w:t xml:space="preserve">. If the value is in the range of 256 to 262, the field </w:t>
            </w:r>
            <w:r w:rsidRPr="00FA0D37">
              <w:rPr>
                <w:i/>
                <w:lang w:eastAsia="sv-SE"/>
              </w:rPr>
              <w:t xml:space="preserve">prach-ConfigurationIndex-v1610 </w:t>
            </w:r>
            <w:r w:rsidRPr="00FA0D37">
              <w:rPr>
                <w:lang w:eastAsia="sv-SE"/>
              </w:rPr>
              <w:t>should be considered configured (</w:t>
            </w:r>
            <w:r w:rsidRPr="00FA0D37">
              <w:rPr>
                <w:szCs w:val="22"/>
                <w:lang w:eastAsia="sv-SE"/>
              </w:rPr>
              <w:t>see TS 38.211 [16], clause 6.3.3.2)</w:t>
            </w:r>
            <w:r w:rsidRPr="00FA0D37">
              <w:rPr>
                <w:lang w:eastAsia="sv-SE"/>
              </w:rPr>
              <w:t>. This field may only be present if no 4-step type RA is configured in the BWP or in the case of separate ROs with 4-step type RA.</w:t>
            </w:r>
          </w:p>
        </w:tc>
      </w:tr>
      <w:tr w:rsidR="005C7FF4" w:rsidRPr="00FA0D37"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FA0D37" w:rsidRDefault="00394471" w:rsidP="00964CC4">
            <w:pPr>
              <w:pStyle w:val="TAL"/>
              <w:rPr>
                <w:szCs w:val="22"/>
                <w:lang w:eastAsia="sv-SE"/>
              </w:rPr>
            </w:pPr>
            <w:r w:rsidRPr="00FA0D37">
              <w:rPr>
                <w:b/>
                <w:i/>
                <w:szCs w:val="22"/>
                <w:lang w:eastAsia="sv-SE"/>
              </w:rPr>
              <w:t>msgA-RO-FDM</w:t>
            </w:r>
          </w:p>
          <w:p w14:paraId="27DB14CD" w14:textId="51BBF234" w:rsidR="00394471" w:rsidRPr="00FA0D37" w:rsidRDefault="00394471" w:rsidP="00964CC4">
            <w:pPr>
              <w:pStyle w:val="TAL"/>
              <w:rPr>
                <w:b/>
                <w:i/>
                <w:szCs w:val="22"/>
                <w:lang w:eastAsia="sv-SE"/>
              </w:rPr>
            </w:pPr>
            <w:r w:rsidRPr="00FA0D37">
              <w:rPr>
                <w:lang w:eastAsia="sv-SE"/>
              </w:rPr>
              <w:t>The number of msgA PRACH transmission occasions Frequency-Division Multiplexed in one time instance. If the field is absent</w:t>
            </w:r>
            <w:r w:rsidR="00A251FC" w:rsidRPr="00FA0D37">
              <w:rPr>
                <w:rFonts w:cs="Arial"/>
                <w:lang w:eastAsia="sv-SE"/>
              </w:rPr>
              <w:t xml:space="preserve"> in </w:t>
            </w:r>
            <w:r w:rsidR="00A251FC" w:rsidRPr="00FA0D37">
              <w:rPr>
                <w:rFonts w:cs="Arial"/>
                <w:i/>
                <w:iCs/>
                <w:szCs w:val="22"/>
                <w:lang w:eastAsia="sv-SE"/>
              </w:rPr>
              <w:t xml:space="preserve">RACH-ConfigCommonTwoStepRA </w:t>
            </w:r>
            <w:r w:rsidR="00A251FC" w:rsidRPr="00FA0D37">
              <w:rPr>
                <w:rFonts w:cs="Arial"/>
                <w:iCs/>
                <w:szCs w:val="22"/>
                <w:lang w:eastAsia="sv-SE"/>
              </w:rPr>
              <w:t xml:space="preserve">which is configured directly within a BWP (i.e. not within </w:t>
            </w:r>
            <w:r w:rsidR="00A251FC" w:rsidRPr="00FA0D37">
              <w:rPr>
                <w:rFonts w:cs="Arial"/>
                <w:i/>
                <w:iCs/>
                <w:szCs w:val="22"/>
                <w:lang w:eastAsia="sv-SE"/>
              </w:rPr>
              <w:t>AdditionalRACH-Config</w:t>
            </w:r>
            <w:r w:rsidR="00A251FC" w:rsidRPr="00FA0D37">
              <w:rPr>
                <w:rFonts w:cs="Arial"/>
                <w:iCs/>
                <w:szCs w:val="22"/>
                <w:lang w:eastAsia="sv-SE"/>
              </w:rPr>
              <w:t>)</w:t>
            </w:r>
            <w:r w:rsidRPr="00FA0D37">
              <w:rPr>
                <w:lang w:eastAsia="sv-SE"/>
              </w:rPr>
              <w:t xml:space="preserve">, UE shall use value of </w:t>
            </w:r>
            <w:r w:rsidRPr="00FA0D37">
              <w:rPr>
                <w:i/>
                <w:lang w:eastAsia="sv-SE"/>
              </w:rPr>
              <w:t>msg1-FDM</w:t>
            </w:r>
            <w:r w:rsidRPr="00FA0D37">
              <w:rPr>
                <w:lang w:eastAsia="sv-SE"/>
              </w:rPr>
              <w:t xml:space="preserve"> in </w:t>
            </w:r>
            <w:r w:rsidRPr="00FA0D37">
              <w:rPr>
                <w:i/>
                <w:lang w:eastAsia="sv-SE"/>
              </w:rPr>
              <w:t>RACH-ConfigGeneric</w:t>
            </w:r>
            <w:r w:rsidRPr="00FA0D37">
              <w:rPr>
                <w:lang w:eastAsia="sv-SE"/>
              </w:rPr>
              <w:t xml:space="preserve"> in the configured BWP</w:t>
            </w:r>
            <w:r w:rsidR="00A251FC" w:rsidRPr="00FA0D37">
              <w:rPr>
                <w:rFonts w:cs="Arial"/>
                <w:lang w:eastAsia="sv-SE"/>
              </w:rPr>
              <w:t xml:space="preserve">. If the field is absent in </w:t>
            </w:r>
            <w:r w:rsidR="00A251FC" w:rsidRPr="00FA0D37">
              <w:rPr>
                <w:rFonts w:cs="Arial"/>
                <w:i/>
                <w:lang w:eastAsia="sv-SE"/>
              </w:rPr>
              <w:t>RACH-ConfigCommonTwoStepRA</w:t>
            </w:r>
            <w:r w:rsidR="00A251FC" w:rsidRPr="00FA0D37">
              <w:rPr>
                <w:rFonts w:cs="Arial"/>
                <w:lang w:eastAsia="sv-SE"/>
              </w:rPr>
              <w:t xml:space="preserve"> in </w:t>
            </w:r>
            <w:r w:rsidR="00A251FC" w:rsidRPr="00FA0D37">
              <w:rPr>
                <w:rFonts w:cs="Arial"/>
                <w:i/>
                <w:lang w:eastAsia="sv-SE"/>
              </w:rPr>
              <w:t>AdditionalRACH-Config</w:t>
            </w:r>
            <w:r w:rsidR="00A251FC" w:rsidRPr="00FA0D37">
              <w:rPr>
                <w:rFonts w:cs="Arial"/>
                <w:lang w:eastAsia="sv-SE"/>
              </w:rPr>
              <w:t xml:space="preserve">, the UE shall apply the value of </w:t>
            </w:r>
            <w:r w:rsidR="00A251FC" w:rsidRPr="00FA0D37">
              <w:rPr>
                <w:rFonts w:cs="Arial"/>
                <w:i/>
                <w:lang w:eastAsia="sv-SE"/>
              </w:rPr>
              <w:t>msg1-FDM</w:t>
            </w:r>
            <w:r w:rsidR="00A251FC" w:rsidRPr="00FA0D37">
              <w:rPr>
                <w:rFonts w:cs="Arial"/>
                <w:lang w:eastAsia="sv-SE"/>
              </w:rPr>
              <w:t xml:space="preserve"> in </w:t>
            </w:r>
            <w:r w:rsidR="00A251FC" w:rsidRPr="00FA0D37">
              <w:rPr>
                <w:rFonts w:cs="Arial"/>
                <w:i/>
                <w:lang w:eastAsia="sv-SE"/>
              </w:rPr>
              <w:t>RACH-ConfigCommon</w:t>
            </w:r>
            <w:r w:rsidR="00A251FC" w:rsidRPr="00FA0D37">
              <w:rPr>
                <w:rFonts w:cs="Arial"/>
                <w:lang w:eastAsia="sv-SE"/>
              </w:rPr>
              <w:t xml:space="preserve"> in the same </w:t>
            </w:r>
            <w:r w:rsidR="00A251FC" w:rsidRPr="00FA0D37">
              <w:rPr>
                <w:rFonts w:cs="Arial"/>
                <w:i/>
                <w:lang w:eastAsia="sv-SE"/>
              </w:rPr>
              <w:t>AdditionalRACH-Config</w:t>
            </w:r>
            <w:r w:rsidRPr="00FA0D37">
              <w:rPr>
                <w:lang w:eastAsia="sv-SE"/>
              </w:rPr>
              <w:t xml:space="preserve"> (</w:t>
            </w:r>
            <w:r w:rsidRPr="00FA0D37">
              <w:rPr>
                <w:szCs w:val="22"/>
                <w:lang w:eastAsia="sv-SE"/>
              </w:rPr>
              <w:t>see TS 38.211 [16], clause 6.3.3.2</w:t>
            </w:r>
            <w:r w:rsidRPr="00FA0D37">
              <w:rPr>
                <w:lang w:eastAsia="sv-SE"/>
              </w:rPr>
              <w:t>). This field may only be present if no 4-step type RA is configured in the BWP or in the case of separate ROs with 4-step type RA.</w:t>
            </w:r>
          </w:p>
        </w:tc>
      </w:tr>
      <w:tr w:rsidR="005C7FF4" w:rsidRPr="00FA0D37"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FA0D37" w:rsidRDefault="00394471" w:rsidP="00964CC4">
            <w:pPr>
              <w:pStyle w:val="TAL"/>
              <w:rPr>
                <w:szCs w:val="22"/>
                <w:lang w:eastAsia="sv-SE"/>
              </w:rPr>
            </w:pPr>
            <w:r w:rsidRPr="00FA0D37">
              <w:rPr>
                <w:b/>
                <w:i/>
                <w:szCs w:val="22"/>
                <w:lang w:eastAsia="sv-SE"/>
              </w:rPr>
              <w:t>msgA-RO-FrequencyStart</w:t>
            </w:r>
          </w:p>
          <w:p w14:paraId="0A5C7E1E" w14:textId="1BD59EB0" w:rsidR="00394471" w:rsidRPr="00FA0D37" w:rsidRDefault="00394471" w:rsidP="00964CC4">
            <w:pPr>
              <w:pStyle w:val="TAL"/>
              <w:rPr>
                <w:b/>
                <w:i/>
                <w:szCs w:val="22"/>
                <w:lang w:eastAsia="sv-SE"/>
              </w:rPr>
            </w:pPr>
            <w:r w:rsidRPr="00FA0D37">
              <w:rPr>
                <w:lang w:eastAsia="sv-SE"/>
              </w:rPr>
              <w:t>Offset of lowest PRACH transmissions occasion in frequency domain with respect to PRB 0. If the field is absent</w:t>
            </w:r>
            <w:r w:rsidR="00A251FC" w:rsidRPr="00FA0D37">
              <w:rPr>
                <w:rFonts w:cs="Arial"/>
                <w:lang w:eastAsia="sv-SE"/>
              </w:rPr>
              <w:t xml:space="preserve"> in</w:t>
            </w:r>
            <w:r w:rsidR="00A251FC" w:rsidRPr="00FA0D37">
              <w:rPr>
                <w:rFonts w:cs="Arial"/>
                <w:i/>
                <w:iCs/>
                <w:szCs w:val="22"/>
                <w:lang w:eastAsia="sv-SE"/>
              </w:rPr>
              <w:t xml:space="preserve"> RACH-ConfigCommonTwoStepRA </w:t>
            </w:r>
            <w:r w:rsidR="00A251FC" w:rsidRPr="00FA0D37">
              <w:rPr>
                <w:rFonts w:cs="Arial"/>
                <w:iCs/>
                <w:szCs w:val="22"/>
                <w:lang w:eastAsia="sv-SE"/>
              </w:rPr>
              <w:t xml:space="preserve">which is configured directly within a BWP (i.e. not within </w:t>
            </w:r>
            <w:r w:rsidR="00A251FC" w:rsidRPr="00FA0D37">
              <w:rPr>
                <w:rFonts w:cs="Arial"/>
                <w:i/>
                <w:iCs/>
                <w:szCs w:val="22"/>
                <w:lang w:eastAsia="sv-SE"/>
              </w:rPr>
              <w:t>AdditionalRACH-Config</w:t>
            </w:r>
            <w:r w:rsidR="00A251FC" w:rsidRPr="00FA0D37">
              <w:rPr>
                <w:rFonts w:cs="Arial"/>
                <w:iCs/>
                <w:szCs w:val="22"/>
                <w:lang w:eastAsia="sv-SE"/>
              </w:rPr>
              <w:t>)</w:t>
            </w:r>
            <w:r w:rsidRPr="00FA0D37">
              <w:rPr>
                <w:lang w:eastAsia="sv-SE"/>
              </w:rPr>
              <w:t xml:space="preserve">, UE shall use value of </w:t>
            </w:r>
            <w:r w:rsidRPr="00FA0D37">
              <w:rPr>
                <w:i/>
                <w:lang w:eastAsia="sv-SE"/>
              </w:rPr>
              <w:t>msg1-FrequencyStart</w:t>
            </w:r>
            <w:r w:rsidRPr="00FA0D37">
              <w:rPr>
                <w:lang w:eastAsia="sv-SE"/>
              </w:rPr>
              <w:t xml:space="preserve"> in </w:t>
            </w:r>
            <w:r w:rsidRPr="00FA0D37">
              <w:rPr>
                <w:i/>
                <w:lang w:eastAsia="sv-SE"/>
              </w:rPr>
              <w:t>RACH-ConfigGeneric</w:t>
            </w:r>
            <w:r w:rsidRPr="00FA0D37">
              <w:rPr>
                <w:lang w:eastAsia="sv-SE"/>
              </w:rPr>
              <w:t xml:space="preserve"> in the configured BWP</w:t>
            </w:r>
            <w:r w:rsidR="00A251FC" w:rsidRPr="00FA0D37">
              <w:rPr>
                <w:rFonts w:cs="Arial"/>
                <w:lang w:eastAsia="sv-SE"/>
              </w:rPr>
              <w:t xml:space="preserve">. If the field is absent in </w:t>
            </w:r>
            <w:r w:rsidR="00A251FC" w:rsidRPr="00FA0D37">
              <w:rPr>
                <w:rFonts w:cs="Arial"/>
                <w:i/>
                <w:lang w:eastAsia="sv-SE"/>
              </w:rPr>
              <w:t>RACH-ConfigCommonTwoStepRA</w:t>
            </w:r>
            <w:r w:rsidR="00A251FC" w:rsidRPr="00FA0D37">
              <w:rPr>
                <w:rFonts w:cs="Arial"/>
                <w:lang w:eastAsia="sv-SE"/>
              </w:rPr>
              <w:t xml:space="preserve"> in </w:t>
            </w:r>
            <w:r w:rsidR="00A251FC" w:rsidRPr="00FA0D37">
              <w:rPr>
                <w:rFonts w:cs="Arial"/>
                <w:i/>
                <w:lang w:eastAsia="sv-SE"/>
              </w:rPr>
              <w:t>AdditionalRACH-Config</w:t>
            </w:r>
            <w:r w:rsidR="00A251FC" w:rsidRPr="00FA0D37">
              <w:rPr>
                <w:rFonts w:cs="Arial"/>
                <w:lang w:eastAsia="sv-SE"/>
              </w:rPr>
              <w:t xml:space="preserve">, the UE shall apply the value of </w:t>
            </w:r>
            <w:r w:rsidR="00A251FC" w:rsidRPr="00FA0D37">
              <w:rPr>
                <w:rFonts w:cs="Arial"/>
                <w:i/>
                <w:lang w:eastAsia="sv-SE"/>
              </w:rPr>
              <w:t>msg1-FrequencyStart</w:t>
            </w:r>
            <w:r w:rsidR="00A251FC" w:rsidRPr="00FA0D37">
              <w:rPr>
                <w:rFonts w:cs="Arial"/>
                <w:lang w:eastAsia="sv-SE"/>
              </w:rPr>
              <w:t xml:space="preserve"> in </w:t>
            </w:r>
            <w:r w:rsidR="00A251FC" w:rsidRPr="00FA0D37">
              <w:rPr>
                <w:rFonts w:cs="Arial"/>
                <w:i/>
                <w:lang w:eastAsia="sv-SE"/>
              </w:rPr>
              <w:t>RACH-ConfigCommon</w:t>
            </w:r>
            <w:r w:rsidR="00A251FC" w:rsidRPr="00FA0D37">
              <w:rPr>
                <w:rFonts w:cs="Arial"/>
                <w:lang w:eastAsia="sv-SE"/>
              </w:rPr>
              <w:t xml:space="preserve"> in the same </w:t>
            </w:r>
            <w:r w:rsidR="00A251FC" w:rsidRPr="00FA0D37">
              <w:rPr>
                <w:rFonts w:cs="Arial"/>
                <w:i/>
                <w:lang w:eastAsia="sv-SE"/>
              </w:rPr>
              <w:t>AdditionalRACH-Config</w:t>
            </w:r>
            <w:r w:rsidRPr="00FA0D37">
              <w:rPr>
                <w:lang w:eastAsia="sv-SE"/>
              </w:rPr>
              <w:t xml:space="preserve"> (see TS 38.211 [16], clauses 5.3.2 and 6.3.3.2). This field may only be present if no 4-step type RA is configured in the BWP or in the case of separate ROs with 4-step type RA.</w:t>
            </w:r>
          </w:p>
        </w:tc>
      </w:tr>
      <w:tr w:rsidR="005C7FF4" w:rsidRPr="00FA0D37"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FA0D37" w:rsidRDefault="00394471" w:rsidP="00964CC4">
            <w:pPr>
              <w:pStyle w:val="TAL"/>
              <w:rPr>
                <w:szCs w:val="22"/>
                <w:lang w:eastAsia="sv-SE"/>
              </w:rPr>
            </w:pPr>
            <w:r w:rsidRPr="00FA0D37">
              <w:rPr>
                <w:b/>
                <w:i/>
                <w:szCs w:val="22"/>
                <w:lang w:eastAsia="sv-SE"/>
              </w:rPr>
              <w:t>msgA-ZeroCorrelationZoneConfig</w:t>
            </w:r>
          </w:p>
          <w:p w14:paraId="6A93ECB5" w14:textId="2F712EFB" w:rsidR="00394471" w:rsidRPr="00FA0D37" w:rsidRDefault="00394471" w:rsidP="00964CC4">
            <w:pPr>
              <w:pStyle w:val="TAL"/>
              <w:rPr>
                <w:szCs w:val="22"/>
                <w:lang w:eastAsia="sv-SE"/>
              </w:rPr>
            </w:pPr>
            <w:r w:rsidRPr="00FA0D37">
              <w:rPr>
                <w:lang w:eastAsia="sv-SE"/>
              </w:rPr>
              <w:t xml:space="preserve">N-CS configuration for msgA preamble, </w:t>
            </w:r>
            <w:r w:rsidRPr="00FA0D37">
              <w:rPr>
                <w:szCs w:val="22"/>
                <w:lang w:eastAsia="sv-SE"/>
              </w:rPr>
              <w:t>see Table 6.3.3.1-5 in TS 38.211 [16].</w:t>
            </w:r>
            <w:r w:rsidRPr="00FA0D37">
              <w:rPr>
                <w:lang w:eastAsia="sv-SE"/>
              </w:rPr>
              <w:t xml:space="preserve"> </w:t>
            </w:r>
            <w:r w:rsidR="001B3DF0" w:rsidRPr="00FA0D37">
              <w:rPr>
                <w:lang w:eastAsia="sv-SE"/>
              </w:rPr>
              <w:t xml:space="preserve">If the field is absent in </w:t>
            </w:r>
            <w:r w:rsidR="001B3DF0" w:rsidRPr="00FA0D37">
              <w:rPr>
                <w:i/>
                <w:lang w:eastAsia="sv-SE"/>
              </w:rPr>
              <w:t>RACH-ConfigCommonTwoStepRA</w:t>
            </w:r>
            <w:r w:rsidR="001B3DF0" w:rsidRPr="00FA0D37">
              <w:rPr>
                <w:lang w:eastAsia="sv-SE"/>
              </w:rPr>
              <w:t xml:space="preserve"> in </w:t>
            </w:r>
            <w:r w:rsidR="001B3DF0" w:rsidRPr="00FA0D37">
              <w:rPr>
                <w:i/>
                <w:lang w:eastAsia="sv-SE"/>
              </w:rPr>
              <w:t>AdditionalRACH-Config</w:t>
            </w:r>
            <w:r w:rsidR="001B3DF0" w:rsidRPr="00FA0D37">
              <w:rPr>
                <w:lang w:eastAsia="sv-SE"/>
              </w:rPr>
              <w:t xml:space="preserve">, the UE shall apply the corresponding value in </w:t>
            </w:r>
            <w:r w:rsidR="001B3DF0" w:rsidRPr="00FA0D37">
              <w:rPr>
                <w:i/>
                <w:lang w:eastAsia="sv-SE"/>
              </w:rPr>
              <w:t>RACH-ConfigCommon</w:t>
            </w:r>
            <w:r w:rsidR="001B3DF0" w:rsidRPr="00FA0D37">
              <w:rPr>
                <w:lang w:eastAsia="sv-SE"/>
              </w:rPr>
              <w:t xml:space="preserve"> in the same </w:t>
            </w:r>
            <w:r w:rsidR="001B3DF0" w:rsidRPr="00FA0D37">
              <w:rPr>
                <w:i/>
                <w:lang w:eastAsia="sv-SE"/>
              </w:rPr>
              <w:t>AdditionalRACH-Config</w:t>
            </w:r>
            <w:r w:rsidR="001B3DF0" w:rsidRPr="00FA0D37">
              <w:rPr>
                <w:lang w:eastAsia="sv-SE"/>
              </w:rPr>
              <w:t xml:space="preserve">. </w:t>
            </w:r>
            <w:r w:rsidRPr="00FA0D37">
              <w:rPr>
                <w:lang w:eastAsia="sv-SE"/>
              </w:rPr>
              <w:t>If the field is absent</w:t>
            </w:r>
            <w:r w:rsidR="001B3DF0" w:rsidRPr="00FA0D37">
              <w:rPr>
                <w:lang w:eastAsia="sv-SE"/>
              </w:rPr>
              <w:t xml:space="preserve"> in other cases</w:t>
            </w:r>
            <w:r w:rsidRPr="00FA0D37">
              <w:rPr>
                <w:lang w:eastAsia="sv-SE"/>
              </w:rPr>
              <w:t xml:space="preserve">, UE shall use value </w:t>
            </w:r>
            <w:r w:rsidRPr="00FA0D37">
              <w:rPr>
                <w:i/>
                <w:lang w:eastAsia="sv-SE"/>
              </w:rPr>
              <w:t>zeroCorrelationZoneConfig</w:t>
            </w:r>
            <w:r w:rsidRPr="00FA0D37">
              <w:rPr>
                <w:lang w:eastAsia="sv-SE"/>
              </w:rPr>
              <w:t xml:space="preserve"> in </w:t>
            </w:r>
            <w:r w:rsidRPr="00FA0D37">
              <w:rPr>
                <w:i/>
                <w:lang w:eastAsia="sv-SE"/>
              </w:rPr>
              <w:t>RACH-ConfigGeneric</w:t>
            </w:r>
            <w:r w:rsidRPr="00FA0D37">
              <w:rPr>
                <w:lang w:eastAsia="sv-SE"/>
              </w:rPr>
              <w:t xml:space="preserve"> in the configured BWP. This field may only be present if no 4-step type RA is configured in the BWP or in the case of separate ROs with 4-step type RA.</w:t>
            </w:r>
          </w:p>
        </w:tc>
      </w:tr>
      <w:tr w:rsidR="005C7FF4" w:rsidRPr="00FA0D37"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FA0D37" w:rsidRDefault="00394471" w:rsidP="00964CC4">
            <w:pPr>
              <w:pStyle w:val="TAL"/>
              <w:rPr>
                <w:b/>
                <w:i/>
                <w:szCs w:val="22"/>
                <w:lang w:eastAsia="sv-SE"/>
              </w:rPr>
            </w:pPr>
            <w:r w:rsidRPr="00FA0D37">
              <w:rPr>
                <w:b/>
                <w:i/>
                <w:szCs w:val="22"/>
                <w:lang w:eastAsia="sv-SE"/>
              </w:rPr>
              <w:t>msgB-ResponseWindow</w:t>
            </w:r>
          </w:p>
          <w:p w14:paraId="5D2CB63A" w14:textId="0047AD8D" w:rsidR="00394471" w:rsidRPr="00FA0D37" w:rsidRDefault="00394471" w:rsidP="00964CC4">
            <w:pPr>
              <w:pStyle w:val="TAL"/>
              <w:rPr>
                <w:b/>
                <w:i/>
                <w:szCs w:val="22"/>
                <w:lang w:eastAsia="sv-SE"/>
              </w:rPr>
            </w:pPr>
            <w:r w:rsidRPr="00FA0D37">
              <w:rPr>
                <w:szCs w:val="22"/>
                <w:lang w:eastAsia="sv-SE"/>
              </w:rPr>
              <w:t xml:space="preserve">MsgB monitoring window length in number of slots. The network configures a value lower than or equal to 40ms (see TS 38.321 [3], clause 5.1.1). </w:t>
            </w:r>
            <w:r w:rsidR="00E826D8" w:rsidRPr="00FA0D37">
              <w:rPr>
                <w:szCs w:val="22"/>
                <w:lang w:eastAsia="sv-SE"/>
              </w:rPr>
              <w:t xml:space="preserve">The network does not configure </w:t>
            </w:r>
            <w:r w:rsidR="00E826D8" w:rsidRPr="00FA0D37">
              <w:rPr>
                <w:bCs/>
                <w:i/>
                <w:szCs w:val="22"/>
                <w:lang w:eastAsia="sv-SE"/>
              </w:rPr>
              <w:t xml:space="preserve">msgB-ResponseWindow-r16 </w:t>
            </w:r>
            <w:r w:rsidR="00E826D8" w:rsidRPr="00FA0D37">
              <w:rPr>
                <w:szCs w:val="22"/>
                <w:lang w:eastAsia="sv-SE"/>
              </w:rPr>
              <w:t xml:space="preserve">simultaneously with </w:t>
            </w:r>
            <w:r w:rsidR="00E826D8" w:rsidRPr="00FA0D37">
              <w:rPr>
                <w:bCs/>
                <w:i/>
                <w:szCs w:val="22"/>
                <w:lang w:eastAsia="sv-SE"/>
              </w:rPr>
              <w:t>msgB-ResponseWindow-v17</w:t>
            </w:r>
            <w:r w:rsidR="00AB7BE4" w:rsidRPr="00FA0D37">
              <w:rPr>
                <w:bCs/>
                <w:i/>
                <w:szCs w:val="22"/>
                <w:lang w:eastAsia="sv-SE"/>
              </w:rPr>
              <w:t>00</w:t>
            </w:r>
            <w:r w:rsidR="00E826D8" w:rsidRPr="00FA0D37">
              <w:rPr>
                <w:bCs/>
                <w:iCs/>
                <w:szCs w:val="22"/>
                <w:lang w:eastAsia="sv-SE"/>
              </w:rPr>
              <w:t>, and if both fields are</w:t>
            </w:r>
            <w:r w:rsidRPr="00FA0D37">
              <w:t xml:space="preserve"> absent,</w:t>
            </w:r>
            <w:r w:rsidRPr="00FA0D37">
              <w:rPr>
                <w:i/>
                <w:iCs/>
              </w:rPr>
              <w:t xml:space="preserve"> </w:t>
            </w:r>
            <w:r w:rsidRPr="00FA0D37">
              <w:t>the UE use</w:t>
            </w:r>
            <w:r w:rsidR="00B46FD6" w:rsidRPr="00FA0D37">
              <w:t>s</w:t>
            </w:r>
            <w:r w:rsidRPr="00FA0D37">
              <w:t xml:space="preserve"> the value of </w:t>
            </w:r>
            <w:r w:rsidRPr="00FA0D37">
              <w:rPr>
                <w:bCs/>
                <w:i/>
              </w:rPr>
              <w:t>msgB-ResponseWindow</w:t>
            </w:r>
            <w:r w:rsidRPr="00FA0D37">
              <w:t xml:space="preserve"> in </w:t>
            </w:r>
            <w:r w:rsidRPr="00FA0D37">
              <w:rPr>
                <w:i/>
                <w:iCs/>
              </w:rPr>
              <w:t xml:space="preserve">RACH-ConfigGenericTwoStepRA </w:t>
            </w:r>
            <w:r w:rsidRPr="00FA0D37">
              <w:t>configured for CBRA.</w:t>
            </w:r>
          </w:p>
        </w:tc>
      </w:tr>
      <w:tr w:rsidR="00394471" w:rsidRPr="00FA0D37"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FA0D37" w:rsidRDefault="00394471" w:rsidP="00964CC4">
            <w:pPr>
              <w:pStyle w:val="TAL"/>
              <w:rPr>
                <w:szCs w:val="22"/>
                <w:lang w:eastAsia="sv-SE"/>
              </w:rPr>
            </w:pPr>
            <w:r w:rsidRPr="00FA0D37">
              <w:rPr>
                <w:b/>
                <w:i/>
                <w:szCs w:val="22"/>
                <w:lang w:eastAsia="sv-SE"/>
              </w:rPr>
              <w:t>preambleTransMax</w:t>
            </w:r>
          </w:p>
          <w:p w14:paraId="4DFF54C9" w14:textId="53822BFD" w:rsidR="00394471" w:rsidRPr="00FA0D37" w:rsidRDefault="00394471" w:rsidP="00964CC4">
            <w:pPr>
              <w:pStyle w:val="TAL"/>
              <w:rPr>
                <w:b/>
                <w:i/>
                <w:szCs w:val="22"/>
                <w:lang w:eastAsia="sv-SE"/>
              </w:rPr>
            </w:pPr>
            <w:r w:rsidRPr="00FA0D37">
              <w:rPr>
                <w:szCs w:val="22"/>
                <w:lang w:eastAsia="sv-SE"/>
              </w:rPr>
              <w:t xml:space="preserve">Max number of RA preamble transmission performed before declaring a failure (see TS 38.321 [3], clauses 5.1.4, 5.1.5). </w:t>
            </w:r>
            <w:r w:rsidR="001B3DF0" w:rsidRPr="00FA0D37">
              <w:rPr>
                <w:lang w:eastAsia="sv-SE"/>
              </w:rPr>
              <w:t xml:space="preserve">If the field is absent in </w:t>
            </w:r>
            <w:r w:rsidR="001B3DF0" w:rsidRPr="00FA0D37">
              <w:rPr>
                <w:i/>
                <w:lang w:eastAsia="sv-SE"/>
              </w:rPr>
              <w:t>RACH-ConfigCommonTwoStepRA</w:t>
            </w:r>
            <w:r w:rsidR="001B3DF0" w:rsidRPr="00FA0D37">
              <w:rPr>
                <w:lang w:eastAsia="sv-SE"/>
              </w:rPr>
              <w:t xml:space="preserve"> in </w:t>
            </w:r>
            <w:r w:rsidR="001B3DF0" w:rsidRPr="00FA0D37">
              <w:rPr>
                <w:i/>
                <w:lang w:eastAsia="sv-SE"/>
              </w:rPr>
              <w:t>AdditionalRACH-Config</w:t>
            </w:r>
            <w:r w:rsidR="001B3DF0" w:rsidRPr="00FA0D37">
              <w:rPr>
                <w:lang w:eastAsia="sv-SE"/>
              </w:rPr>
              <w:t xml:space="preserve">, the UE shall apply the corresponding value in </w:t>
            </w:r>
            <w:r w:rsidR="001B3DF0" w:rsidRPr="00FA0D37">
              <w:rPr>
                <w:i/>
                <w:lang w:eastAsia="sv-SE"/>
              </w:rPr>
              <w:t>RACH-ConfigCommon</w:t>
            </w:r>
            <w:r w:rsidR="001B3DF0" w:rsidRPr="00FA0D37">
              <w:rPr>
                <w:lang w:eastAsia="sv-SE"/>
              </w:rPr>
              <w:t xml:space="preserve"> in the same </w:t>
            </w:r>
            <w:r w:rsidR="001B3DF0" w:rsidRPr="00FA0D37">
              <w:rPr>
                <w:i/>
                <w:lang w:eastAsia="sv-SE"/>
              </w:rPr>
              <w:t>AdditionalRACH-Config</w:t>
            </w:r>
            <w:r w:rsidR="001B3DF0" w:rsidRPr="00FA0D37">
              <w:rPr>
                <w:lang w:eastAsia="sv-SE"/>
              </w:rPr>
              <w:t xml:space="preserve">. </w:t>
            </w:r>
            <w:r w:rsidRPr="00FA0D37">
              <w:rPr>
                <w:szCs w:val="22"/>
              </w:rPr>
              <w:t>If the field is absent</w:t>
            </w:r>
            <w:r w:rsidR="001B3DF0" w:rsidRPr="00FA0D37">
              <w:rPr>
                <w:szCs w:val="22"/>
              </w:rPr>
              <w:t xml:space="preserve"> in other cases</w:t>
            </w:r>
            <w:r w:rsidRPr="00FA0D37">
              <w:rPr>
                <w:szCs w:val="22"/>
              </w:rPr>
              <w:t xml:space="preserve">, UE shall use the value of </w:t>
            </w:r>
            <w:r w:rsidRPr="00FA0D37">
              <w:rPr>
                <w:i/>
                <w:iCs/>
                <w:szCs w:val="22"/>
              </w:rPr>
              <w:t>preambleTransMax</w:t>
            </w:r>
            <w:r w:rsidRPr="00FA0D37">
              <w:rPr>
                <w:szCs w:val="22"/>
              </w:rPr>
              <w:t xml:space="preserve"> in </w:t>
            </w:r>
            <w:r w:rsidRPr="00FA0D37">
              <w:rPr>
                <w:i/>
                <w:iCs/>
                <w:szCs w:val="22"/>
              </w:rPr>
              <w:t>RACH-ConfigGeneric</w:t>
            </w:r>
            <w:r w:rsidRPr="00FA0D37">
              <w:rPr>
                <w:szCs w:val="22"/>
              </w:rPr>
              <w:t xml:space="preserve"> in the configured BWP. </w:t>
            </w:r>
            <w:r w:rsidRPr="00FA0D37">
              <w:t xml:space="preserve">The field is absent if </w:t>
            </w:r>
            <w:r w:rsidRPr="00FA0D37">
              <w:rPr>
                <w:i/>
                <w:iCs/>
              </w:rPr>
              <w:t>RACH-ConfigGenericTwoStepRA</w:t>
            </w:r>
            <w:r w:rsidRPr="00FA0D37">
              <w:t xml:space="preserve"> is included in </w:t>
            </w:r>
            <w:r w:rsidRPr="00FA0D37">
              <w:rPr>
                <w:i/>
                <w:iCs/>
              </w:rPr>
              <w:t>CFRA-TwoStep</w:t>
            </w:r>
            <w:r w:rsidRPr="00FA0D37">
              <w:t xml:space="preserve"> in </w:t>
            </w:r>
            <w:r w:rsidRPr="00FA0D37">
              <w:rPr>
                <w:i/>
                <w:iCs/>
              </w:rPr>
              <w:t xml:space="preserve">RACH-ConfigDedicated </w:t>
            </w:r>
            <w:r w:rsidRPr="00FA0D37">
              <w:t>and then</w:t>
            </w:r>
            <w:r w:rsidRPr="00FA0D37">
              <w:rPr>
                <w:i/>
                <w:iCs/>
              </w:rPr>
              <w:t xml:space="preserve"> </w:t>
            </w:r>
            <w:r w:rsidRPr="00FA0D37">
              <w:t xml:space="preserve">the UE uses the value of </w:t>
            </w:r>
            <w:r w:rsidRPr="00FA0D37">
              <w:rPr>
                <w:bCs/>
                <w:i/>
              </w:rPr>
              <w:t>preambleTransMax</w:t>
            </w:r>
            <w:r w:rsidRPr="00FA0D37">
              <w:rPr>
                <w:b/>
                <w:i/>
              </w:rPr>
              <w:t xml:space="preserve"> </w:t>
            </w:r>
            <w:r w:rsidRPr="00FA0D37">
              <w:t xml:space="preserve">in </w:t>
            </w:r>
            <w:r w:rsidRPr="00FA0D37">
              <w:rPr>
                <w:i/>
                <w:iCs/>
              </w:rPr>
              <w:t xml:space="preserve">RACH-ConfigGenericTwoStepRA </w:t>
            </w:r>
            <w:r w:rsidRPr="00FA0D37">
              <w:t>configured for</w:t>
            </w:r>
            <w:r w:rsidRPr="00FA0D37">
              <w:rPr>
                <w:i/>
                <w:iCs/>
              </w:rPr>
              <w:t xml:space="preserve"> </w:t>
            </w:r>
            <w:r w:rsidRPr="00FA0D37">
              <w:t>CBRA</w:t>
            </w:r>
            <w:r w:rsidRPr="00FA0D37">
              <w:rPr>
                <w:i/>
                <w:iCs/>
              </w:rPr>
              <w:t>.</w:t>
            </w:r>
          </w:p>
        </w:tc>
      </w:tr>
    </w:tbl>
    <w:p w14:paraId="43FD224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FA0D37" w:rsidRDefault="00394471" w:rsidP="00964CC4">
            <w:pPr>
              <w:pStyle w:val="TAH"/>
              <w:rPr>
                <w:rFonts w:eastAsia="Calibri"/>
                <w:lang w:eastAsia="sv-SE"/>
              </w:rPr>
            </w:pPr>
            <w:r w:rsidRPr="00FA0D37">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FA0D37" w:rsidRDefault="00394471" w:rsidP="00964CC4">
            <w:pPr>
              <w:pStyle w:val="TAH"/>
              <w:rPr>
                <w:rFonts w:eastAsia="Calibri"/>
                <w:lang w:eastAsia="sv-SE"/>
              </w:rPr>
            </w:pPr>
            <w:r w:rsidRPr="00FA0D37">
              <w:rPr>
                <w:rFonts w:eastAsia="Calibri"/>
                <w:lang w:eastAsia="sv-SE"/>
              </w:rPr>
              <w:t>Explanation</w:t>
            </w:r>
          </w:p>
        </w:tc>
      </w:tr>
      <w:tr w:rsidR="005C7FF4" w:rsidRPr="00FA0D37"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FA0D37" w:rsidRDefault="00394471" w:rsidP="00964CC4">
            <w:pPr>
              <w:pStyle w:val="TAL"/>
              <w:rPr>
                <w:i/>
                <w:iCs/>
                <w:lang w:eastAsia="sv-SE"/>
              </w:rPr>
            </w:pPr>
            <w:r w:rsidRPr="00FA0D3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FA0D37" w:rsidRDefault="00394471" w:rsidP="0071669F">
            <w:pPr>
              <w:pStyle w:val="TAL"/>
              <w:rPr>
                <w:rFonts w:eastAsia="Calibri"/>
                <w:lang w:eastAsia="sv-SE"/>
              </w:rPr>
            </w:pPr>
            <w:r w:rsidRPr="00FA0D37">
              <w:rPr>
                <w:rFonts w:eastAsia="Calibri"/>
                <w:lang w:eastAsia="sv-SE"/>
              </w:rPr>
              <w:t>The field is mandatory present</w:t>
            </w:r>
            <w:r w:rsidR="0071669F" w:rsidRPr="00FA0D37">
              <w:rPr>
                <w:rFonts w:eastAsia="Calibri"/>
                <w:lang w:eastAsia="sv-SE"/>
              </w:rPr>
              <w:t xml:space="preserve"> in </w:t>
            </w:r>
            <w:r w:rsidR="0071669F" w:rsidRPr="00FA0D37">
              <w:rPr>
                <w:rFonts w:eastAsia="Calibri"/>
                <w:i/>
                <w:iCs/>
                <w:lang w:eastAsia="sv-SE"/>
              </w:rPr>
              <w:t xml:space="preserve">msgA-ConfigCommon </w:t>
            </w:r>
            <w:r w:rsidR="0071669F" w:rsidRPr="00FA0D37">
              <w:rPr>
                <w:rFonts w:eastAsia="Calibri"/>
                <w:lang w:eastAsia="sv-SE"/>
              </w:rPr>
              <w:t>field</w:t>
            </w:r>
            <w:r w:rsidR="0071669F" w:rsidRPr="00FA0D37">
              <w:rPr>
                <w:rFonts w:eastAsia="Calibri"/>
                <w:i/>
                <w:iCs/>
                <w:lang w:eastAsia="sv-SE"/>
              </w:rPr>
              <w:t xml:space="preserve"> </w:t>
            </w:r>
            <w:r w:rsidR="0071669F" w:rsidRPr="00FA0D37">
              <w:rPr>
                <w:rFonts w:eastAsia="Calibri"/>
                <w:lang w:eastAsia="sv-SE"/>
              </w:rPr>
              <w:t xml:space="preserve">in </w:t>
            </w:r>
            <w:r w:rsidR="0071669F" w:rsidRPr="00FA0D37">
              <w:rPr>
                <w:rFonts w:eastAsia="Calibri"/>
                <w:i/>
                <w:iCs/>
                <w:lang w:eastAsia="sv-SE"/>
              </w:rPr>
              <w:t xml:space="preserve">BWP-UplinkCommon </w:t>
            </w:r>
            <w:r w:rsidR="0071669F" w:rsidRPr="00FA0D37">
              <w:rPr>
                <w:rFonts w:eastAsia="Calibri"/>
                <w:lang w:eastAsia="sv-SE"/>
              </w:rPr>
              <w:t xml:space="preserve">if </w:t>
            </w:r>
            <w:r w:rsidR="0071669F" w:rsidRPr="00FA0D37">
              <w:rPr>
                <w:rFonts w:eastAsia="Calibri"/>
                <w:i/>
                <w:iCs/>
                <w:lang w:eastAsia="sv-SE"/>
              </w:rPr>
              <w:t xml:space="preserve">rach-ConfigCommon </w:t>
            </w:r>
            <w:r w:rsidR="0071669F" w:rsidRPr="00FA0D37">
              <w:rPr>
                <w:rFonts w:eastAsia="Calibri"/>
                <w:lang w:eastAsia="sv-SE"/>
              </w:rPr>
              <w:t xml:space="preserve">field is absent in this </w:t>
            </w:r>
            <w:r w:rsidR="0071669F" w:rsidRPr="00FA0D37">
              <w:rPr>
                <w:rFonts w:eastAsia="Calibri"/>
                <w:i/>
                <w:iCs/>
                <w:lang w:eastAsia="sv-SE"/>
              </w:rPr>
              <w:t>BWP-UplinkCommon</w:t>
            </w:r>
            <w:r w:rsidRPr="00FA0D37">
              <w:rPr>
                <w:rFonts w:eastAsia="Calibri"/>
                <w:lang w:eastAsia="sv-SE"/>
              </w:rPr>
              <w:t xml:space="preserve">, otherwise the field is </w:t>
            </w:r>
            <w:r w:rsidR="00B46FD6" w:rsidRPr="00FA0D37">
              <w:rPr>
                <w:rFonts w:eastAsia="Calibri"/>
                <w:lang w:eastAsia="sv-SE"/>
              </w:rPr>
              <w:t>optionally present</w:t>
            </w:r>
            <w:r w:rsidR="0071669F" w:rsidRPr="00FA0D37">
              <w:rPr>
                <w:rFonts w:eastAsia="Calibri"/>
                <w:lang w:eastAsia="sv-SE"/>
              </w:rPr>
              <w:t xml:space="preserve"> in </w:t>
            </w:r>
            <w:r w:rsidR="0071669F" w:rsidRPr="00FA0D37">
              <w:rPr>
                <w:rFonts w:eastAsia="Calibri"/>
                <w:i/>
                <w:iCs/>
                <w:lang w:eastAsia="sv-SE"/>
              </w:rPr>
              <w:t xml:space="preserve">msgA-ConfigCommon </w:t>
            </w:r>
            <w:r w:rsidR="0071669F" w:rsidRPr="00FA0D37">
              <w:rPr>
                <w:rFonts w:eastAsia="Calibri"/>
                <w:lang w:eastAsia="sv-SE"/>
              </w:rPr>
              <w:t>field</w:t>
            </w:r>
            <w:r w:rsidR="0071669F" w:rsidRPr="00FA0D37">
              <w:rPr>
                <w:rFonts w:eastAsia="Calibri"/>
                <w:i/>
                <w:iCs/>
                <w:lang w:eastAsia="sv-SE"/>
              </w:rPr>
              <w:t xml:space="preserve"> </w:t>
            </w:r>
            <w:r w:rsidR="0071669F" w:rsidRPr="00FA0D37">
              <w:rPr>
                <w:rFonts w:eastAsia="Calibri"/>
                <w:lang w:eastAsia="sv-SE"/>
              </w:rPr>
              <w:t xml:space="preserve">in </w:t>
            </w:r>
            <w:r w:rsidR="0071669F" w:rsidRPr="00FA0D37">
              <w:rPr>
                <w:rFonts w:eastAsia="Calibri"/>
                <w:i/>
                <w:iCs/>
                <w:lang w:eastAsia="sv-SE"/>
              </w:rPr>
              <w:t>BWP-UplinkCommon</w:t>
            </w:r>
            <w:r w:rsidR="00B46FD6" w:rsidRPr="00FA0D37">
              <w:rPr>
                <w:rFonts w:eastAsia="Calibri"/>
                <w:lang w:eastAsia="sv-SE"/>
              </w:rPr>
              <w:t xml:space="preserve">, </w:t>
            </w:r>
            <w:r w:rsidRPr="00FA0D37">
              <w:rPr>
                <w:rFonts w:eastAsia="Calibri"/>
                <w:lang w:eastAsia="sv-SE"/>
              </w:rPr>
              <w:t>Need S</w:t>
            </w:r>
            <w:r w:rsidR="00B46FD6" w:rsidRPr="00FA0D37">
              <w:rPr>
                <w:rFonts w:eastAsia="Calibri"/>
                <w:lang w:eastAsia="sv-SE"/>
              </w:rPr>
              <w:t>.</w:t>
            </w:r>
          </w:p>
          <w:p w14:paraId="6A708196" w14:textId="7B5EBF62" w:rsidR="00394471" w:rsidRPr="00FA0D37" w:rsidRDefault="0071669F" w:rsidP="0071669F">
            <w:pPr>
              <w:pStyle w:val="TAL"/>
              <w:rPr>
                <w:rFonts w:eastAsia="Calibri"/>
                <w:lang w:eastAsia="sv-SE"/>
              </w:rPr>
            </w:pPr>
            <w:r w:rsidRPr="00FA0D37">
              <w:rPr>
                <w:rFonts w:eastAsia="Calibri"/>
                <w:lang w:eastAsia="sv-SE"/>
              </w:rPr>
              <w:t xml:space="preserve">The field is mandatory present in </w:t>
            </w:r>
            <w:r w:rsidRPr="00FA0D37">
              <w:rPr>
                <w:rFonts w:eastAsia="Calibri"/>
                <w:i/>
                <w:iCs/>
                <w:lang w:eastAsia="sv-SE"/>
              </w:rPr>
              <w:t xml:space="preserve">msgA-ConfigCommon </w:t>
            </w:r>
            <w:r w:rsidRPr="00FA0D37">
              <w:rPr>
                <w:rFonts w:eastAsia="Calibri"/>
                <w:lang w:eastAsia="sv-SE"/>
              </w:rPr>
              <w:t xml:space="preserve">in </w:t>
            </w:r>
            <w:r w:rsidRPr="00FA0D37">
              <w:rPr>
                <w:rFonts w:eastAsia="Calibri"/>
                <w:i/>
                <w:iCs/>
                <w:lang w:eastAsia="sv-SE"/>
              </w:rPr>
              <w:t xml:space="preserve">AdditionalRACH-Config </w:t>
            </w:r>
            <w:r w:rsidRPr="00FA0D37">
              <w:rPr>
                <w:rFonts w:eastAsia="Calibri"/>
                <w:lang w:eastAsia="sv-SE"/>
              </w:rPr>
              <w:t xml:space="preserve">if </w:t>
            </w:r>
            <w:r w:rsidRPr="00FA0D37">
              <w:rPr>
                <w:rFonts w:eastAsia="Calibri"/>
                <w:i/>
                <w:iCs/>
                <w:lang w:eastAsia="sv-SE"/>
              </w:rPr>
              <w:t xml:space="preserve">rach-ConfigCommon </w:t>
            </w:r>
            <w:r w:rsidRPr="00FA0D37">
              <w:rPr>
                <w:rFonts w:eastAsia="Calibri"/>
                <w:lang w:eastAsia="sv-SE"/>
              </w:rPr>
              <w:t xml:space="preserve">field is absent in this </w:t>
            </w:r>
            <w:r w:rsidRPr="00FA0D37">
              <w:rPr>
                <w:rFonts w:eastAsia="Calibri"/>
                <w:i/>
                <w:iCs/>
                <w:lang w:eastAsia="sv-SE"/>
              </w:rPr>
              <w:t>AdditionalRACH-Config,</w:t>
            </w:r>
            <w:r w:rsidRPr="00FA0D37">
              <w:rPr>
                <w:rFonts w:eastAsia="Calibri"/>
                <w:lang w:eastAsia="sv-SE"/>
              </w:rPr>
              <w:t xml:space="preserve"> otherwise the field is optionally present in </w:t>
            </w:r>
            <w:r w:rsidRPr="00FA0D37">
              <w:rPr>
                <w:rFonts w:eastAsia="Calibri"/>
                <w:i/>
                <w:iCs/>
                <w:lang w:eastAsia="sv-SE"/>
              </w:rPr>
              <w:t xml:space="preserve">msgA-ConfigCommon </w:t>
            </w:r>
            <w:r w:rsidRPr="00FA0D37">
              <w:rPr>
                <w:rFonts w:eastAsia="Calibri"/>
                <w:lang w:eastAsia="sv-SE"/>
              </w:rPr>
              <w:t>field</w:t>
            </w:r>
            <w:r w:rsidRPr="00FA0D37">
              <w:rPr>
                <w:rFonts w:eastAsia="Calibri"/>
                <w:i/>
                <w:iCs/>
                <w:lang w:eastAsia="sv-SE"/>
              </w:rPr>
              <w:t xml:space="preserve"> </w:t>
            </w:r>
            <w:r w:rsidRPr="00FA0D37">
              <w:rPr>
                <w:rFonts w:eastAsia="Calibri"/>
                <w:lang w:eastAsia="sv-SE"/>
              </w:rPr>
              <w:t xml:space="preserve">in </w:t>
            </w:r>
            <w:r w:rsidRPr="00FA0D37">
              <w:rPr>
                <w:rFonts w:eastAsia="Calibri"/>
                <w:i/>
                <w:iCs/>
                <w:lang w:eastAsia="sv-SE"/>
              </w:rPr>
              <w:t>AdditionalRACH-Config</w:t>
            </w:r>
            <w:r w:rsidRPr="00FA0D37">
              <w:rPr>
                <w:rFonts w:eastAsia="Calibri"/>
                <w:lang w:eastAsia="sv-SE"/>
              </w:rPr>
              <w:t>, Need S.</w:t>
            </w:r>
          </w:p>
        </w:tc>
      </w:tr>
      <w:tr w:rsidR="005C7FF4" w:rsidRPr="00FA0D37"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FA0D37" w:rsidRDefault="00394471" w:rsidP="00964CC4">
            <w:pPr>
              <w:pStyle w:val="TAL"/>
              <w:rPr>
                <w:i/>
                <w:iCs/>
                <w:lang w:eastAsia="sv-SE"/>
              </w:rPr>
            </w:pPr>
            <w:r w:rsidRPr="00FA0D37">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FA0D37" w:rsidRDefault="00394471" w:rsidP="00964CC4">
            <w:pPr>
              <w:pStyle w:val="TAL"/>
              <w:rPr>
                <w:rFonts w:eastAsia="Calibri"/>
                <w:lang w:eastAsia="sv-SE"/>
              </w:rPr>
            </w:pPr>
            <w:r w:rsidRPr="00FA0D37">
              <w:rPr>
                <w:lang w:eastAsia="sv-SE"/>
              </w:rPr>
              <w:t xml:space="preserve">The field is mandatory present if </w:t>
            </w:r>
            <w:r w:rsidRPr="00FA0D37">
              <w:rPr>
                <w:i/>
                <w:iCs/>
                <w:lang w:eastAsia="sv-SE"/>
              </w:rPr>
              <w:t>RACH-ConfigGenericTwoStepRA</w:t>
            </w:r>
            <w:r w:rsidRPr="00FA0D37">
              <w:rPr>
                <w:lang w:eastAsia="sv-SE"/>
              </w:rPr>
              <w:t xml:space="preserve"> is included in the </w:t>
            </w:r>
            <w:r w:rsidRPr="00FA0D37">
              <w:rPr>
                <w:i/>
                <w:iCs/>
                <w:lang w:eastAsia="sv-SE"/>
              </w:rPr>
              <w:t>RACH-ConfigCommonTwoStepRA</w:t>
            </w:r>
            <w:r w:rsidRPr="00FA0D37">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FA0D37">
              <w:rPr>
                <w:lang w:eastAsia="sv-SE"/>
              </w:rPr>
              <w:t>ly present</w:t>
            </w:r>
            <w:r w:rsidRPr="00FA0D37">
              <w:rPr>
                <w:lang w:eastAsia="sv-SE"/>
              </w:rPr>
              <w:t xml:space="preserve">, Need S. When </w:t>
            </w:r>
            <w:r w:rsidRPr="00FA0D37">
              <w:rPr>
                <w:i/>
                <w:iCs/>
                <w:lang w:eastAsia="sv-SE"/>
              </w:rPr>
              <w:t>RACH-ConfigGenericTwoStepRA</w:t>
            </w:r>
            <w:r w:rsidRPr="00FA0D37">
              <w:rPr>
                <w:lang w:eastAsia="sv-SE"/>
              </w:rPr>
              <w:t xml:space="preserve"> is included in the </w:t>
            </w:r>
            <w:r w:rsidRPr="00FA0D37">
              <w:rPr>
                <w:i/>
                <w:iCs/>
                <w:lang w:eastAsia="sv-SE"/>
              </w:rPr>
              <w:t>RACH-ConfigDedicated</w:t>
            </w:r>
            <w:r w:rsidRPr="00FA0D37">
              <w:rPr>
                <w:lang w:eastAsia="sv-SE"/>
              </w:rPr>
              <w:t>, this field is absent.</w:t>
            </w:r>
          </w:p>
        </w:tc>
      </w:tr>
      <w:tr w:rsidR="005C7FF4" w:rsidRPr="00FA0D37"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FA0D37" w:rsidRDefault="00394471" w:rsidP="00964CC4">
            <w:pPr>
              <w:pStyle w:val="TAL"/>
              <w:rPr>
                <w:i/>
                <w:iCs/>
                <w:lang w:eastAsia="sv-SE"/>
              </w:rPr>
            </w:pPr>
            <w:r w:rsidRPr="00FA0D37">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FA0D37" w:rsidRDefault="00394471" w:rsidP="00964CC4">
            <w:pPr>
              <w:pStyle w:val="TAL"/>
              <w:rPr>
                <w:rFonts w:eastAsia="Calibri"/>
                <w:lang w:eastAsia="sv-SE"/>
              </w:rPr>
            </w:pPr>
            <w:r w:rsidRPr="00FA0D37">
              <w:rPr>
                <w:lang w:eastAsia="sv-SE"/>
              </w:rPr>
              <w:t xml:space="preserve">The field is mandatory present if </w:t>
            </w:r>
            <w:r w:rsidR="00E826D8" w:rsidRPr="00FA0D37">
              <w:rPr>
                <w:i/>
                <w:iCs/>
                <w:lang w:eastAsia="sv-SE"/>
              </w:rPr>
              <w:t>msgB-ResponseWindow-r17</w:t>
            </w:r>
            <w:r w:rsidR="00E826D8" w:rsidRPr="00FA0D37">
              <w:rPr>
                <w:lang w:eastAsia="sv-SE"/>
              </w:rPr>
              <w:t xml:space="preserve"> is absent and </w:t>
            </w:r>
            <w:r w:rsidRPr="00FA0D37">
              <w:rPr>
                <w:i/>
                <w:iCs/>
                <w:lang w:eastAsia="sv-SE"/>
              </w:rPr>
              <w:t xml:space="preserve">RACH-ConfigGenericTwoStepRA </w:t>
            </w:r>
            <w:r w:rsidRPr="00FA0D37">
              <w:rPr>
                <w:lang w:eastAsia="sv-SE"/>
              </w:rPr>
              <w:t xml:space="preserve">is not included in </w:t>
            </w:r>
            <w:r w:rsidRPr="00FA0D37">
              <w:rPr>
                <w:i/>
                <w:iCs/>
                <w:lang w:eastAsia="sv-SE"/>
              </w:rPr>
              <w:t>CFRA-TwoStep</w:t>
            </w:r>
            <w:r w:rsidRPr="00FA0D37">
              <w:rPr>
                <w:lang w:eastAsia="sv-SE"/>
              </w:rPr>
              <w:t xml:space="preserve"> in </w:t>
            </w:r>
            <w:r w:rsidRPr="00FA0D37">
              <w:rPr>
                <w:i/>
                <w:iCs/>
                <w:lang w:eastAsia="sv-SE"/>
              </w:rPr>
              <w:t xml:space="preserve">RACH-ConfigDedicated, </w:t>
            </w:r>
            <w:r w:rsidRPr="00FA0D37">
              <w:rPr>
                <w:lang w:eastAsia="sv-SE"/>
              </w:rPr>
              <w:t>otherwise the field is absent, Need S.</w:t>
            </w:r>
          </w:p>
        </w:tc>
      </w:tr>
      <w:tr w:rsidR="000830BB" w:rsidRPr="00FA0D37"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FA0D37" w:rsidRDefault="00E826D8" w:rsidP="00E826D8">
            <w:pPr>
              <w:pStyle w:val="TAL"/>
              <w:rPr>
                <w:i/>
                <w:iCs/>
                <w:lang w:eastAsia="sv-SE"/>
              </w:rPr>
            </w:pPr>
            <w:r w:rsidRPr="00FA0D37">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FA0D37" w:rsidRDefault="00E826D8" w:rsidP="00E826D8">
            <w:pPr>
              <w:pStyle w:val="TAL"/>
              <w:rPr>
                <w:lang w:eastAsia="sv-SE"/>
              </w:rPr>
            </w:pPr>
            <w:r w:rsidRPr="00FA0D37">
              <w:rPr>
                <w:lang w:eastAsia="sv-SE"/>
              </w:rPr>
              <w:t xml:space="preserve">The field is mandatory present if </w:t>
            </w:r>
            <w:r w:rsidRPr="00FA0D37">
              <w:rPr>
                <w:i/>
                <w:iCs/>
                <w:lang w:eastAsia="sv-SE"/>
              </w:rPr>
              <w:t>msgB-ResponseWindow-r16</w:t>
            </w:r>
            <w:r w:rsidRPr="00FA0D37">
              <w:rPr>
                <w:lang w:eastAsia="sv-SE"/>
              </w:rPr>
              <w:t xml:space="preserve"> is absent and </w:t>
            </w:r>
            <w:r w:rsidRPr="00FA0D37">
              <w:rPr>
                <w:i/>
                <w:iCs/>
                <w:lang w:eastAsia="sv-SE"/>
              </w:rPr>
              <w:t>RACH-ConfigGenericTwoStepRA</w:t>
            </w:r>
            <w:r w:rsidRPr="00FA0D37">
              <w:rPr>
                <w:lang w:eastAsia="sv-SE"/>
              </w:rPr>
              <w:t xml:space="preserve"> is not included in </w:t>
            </w:r>
            <w:r w:rsidRPr="00FA0D37">
              <w:rPr>
                <w:i/>
                <w:iCs/>
                <w:lang w:eastAsia="sv-SE"/>
              </w:rPr>
              <w:t>CFRA-TwoStep</w:t>
            </w:r>
            <w:r w:rsidRPr="00FA0D37">
              <w:rPr>
                <w:lang w:eastAsia="sv-SE"/>
              </w:rPr>
              <w:t xml:space="preserve"> in </w:t>
            </w:r>
            <w:r w:rsidRPr="00FA0D37">
              <w:rPr>
                <w:i/>
                <w:iCs/>
                <w:lang w:eastAsia="sv-SE"/>
              </w:rPr>
              <w:t>RACH-ConfigDedicated</w:t>
            </w:r>
            <w:r w:rsidRPr="00FA0D37">
              <w:rPr>
                <w:lang w:eastAsia="sv-SE"/>
              </w:rPr>
              <w:t>, otherwise the field is absent, Need S.</w:t>
            </w:r>
          </w:p>
        </w:tc>
      </w:tr>
    </w:tbl>
    <w:p w14:paraId="4CD5AAD4" w14:textId="77777777" w:rsidR="00394471" w:rsidRPr="00FA0D37" w:rsidRDefault="00394471" w:rsidP="00394471"/>
    <w:p w14:paraId="3C0774F0" w14:textId="77777777" w:rsidR="00394471" w:rsidRPr="00FA0D37" w:rsidRDefault="00394471" w:rsidP="00394471">
      <w:pPr>
        <w:pStyle w:val="4"/>
      </w:pPr>
      <w:bookmarkStart w:id="1290" w:name="_Toc60777337"/>
      <w:bookmarkStart w:id="1291" w:name="_Toc146781416"/>
      <w:r w:rsidRPr="00FA0D37">
        <w:t>–</w:t>
      </w:r>
      <w:r w:rsidRPr="00FA0D37">
        <w:tab/>
      </w:r>
      <w:r w:rsidRPr="00FA0D37">
        <w:rPr>
          <w:i/>
        </w:rPr>
        <w:t>RA-Prioritization</w:t>
      </w:r>
      <w:bookmarkEnd w:id="1290"/>
      <w:bookmarkEnd w:id="1291"/>
    </w:p>
    <w:p w14:paraId="051DE093" w14:textId="77777777" w:rsidR="00394471" w:rsidRPr="00FA0D37" w:rsidRDefault="00394471" w:rsidP="00394471">
      <w:r w:rsidRPr="00FA0D37">
        <w:t xml:space="preserve">The IE </w:t>
      </w:r>
      <w:r w:rsidRPr="00FA0D37">
        <w:rPr>
          <w:i/>
        </w:rPr>
        <w:t>RA-Prioritization</w:t>
      </w:r>
      <w:r w:rsidRPr="00FA0D37">
        <w:t xml:space="preserve"> is used to configure prioritized random access.</w:t>
      </w:r>
    </w:p>
    <w:p w14:paraId="663D2285" w14:textId="77777777" w:rsidR="00394471" w:rsidRPr="00FA0D37" w:rsidRDefault="00394471" w:rsidP="00394471">
      <w:pPr>
        <w:pStyle w:val="TH"/>
      </w:pPr>
      <w:r w:rsidRPr="00FA0D37">
        <w:rPr>
          <w:i/>
        </w:rPr>
        <w:t>RA-Prioritization</w:t>
      </w:r>
      <w:r w:rsidRPr="00FA0D37">
        <w:t xml:space="preserve"> information element</w:t>
      </w:r>
    </w:p>
    <w:p w14:paraId="52622E38" w14:textId="77777777" w:rsidR="00394471" w:rsidRPr="00FA0D37" w:rsidRDefault="00394471" w:rsidP="00FA0D37">
      <w:pPr>
        <w:pStyle w:val="PL"/>
        <w:rPr>
          <w:color w:val="808080"/>
        </w:rPr>
      </w:pPr>
      <w:r w:rsidRPr="00FA0D37">
        <w:rPr>
          <w:color w:val="808080"/>
        </w:rPr>
        <w:t>-- ASN1START</w:t>
      </w:r>
    </w:p>
    <w:p w14:paraId="1B93F562" w14:textId="77777777" w:rsidR="00394471" w:rsidRPr="00FA0D37" w:rsidRDefault="00394471" w:rsidP="00FA0D37">
      <w:pPr>
        <w:pStyle w:val="PL"/>
        <w:rPr>
          <w:color w:val="808080"/>
        </w:rPr>
      </w:pPr>
      <w:r w:rsidRPr="00FA0D37">
        <w:rPr>
          <w:color w:val="808080"/>
        </w:rPr>
        <w:t>-- TAG-RA-PRIORITIZATION-START</w:t>
      </w:r>
    </w:p>
    <w:p w14:paraId="16397EAE" w14:textId="77777777" w:rsidR="00394471" w:rsidRPr="00FA0D37" w:rsidRDefault="00394471" w:rsidP="00FA0D37">
      <w:pPr>
        <w:pStyle w:val="PL"/>
      </w:pPr>
    </w:p>
    <w:p w14:paraId="36BD9707" w14:textId="77777777" w:rsidR="00394471" w:rsidRPr="00FA0D37" w:rsidRDefault="00394471" w:rsidP="00FA0D37">
      <w:pPr>
        <w:pStyle w:val="PL"/>
      </w:pPr>
      <w:r w:rsidRPr="00FA0D37">
        <w:t xml:space="preserve">RA-Prioritization ::=           </w:t>
      </w:r>
      <w:r w:rsidRPr="00FA0D37">
        <w:rPr>
          <w:color w:val="993366"/>
        </w:rPr>
        <w:t>SEQUENCE</w:t>
      </w:r>
      <w:r w:rsidRPr="00FA0D37">
        <w:t xml:space="preserve"> {</w:t>
      </w:r>
    </w:p>
    <w:p w14:paraId="2257BBC4" w14:textId="77777777" w:rsidR="00394471" w:rsidRPr="00FA0D37" w:rsidRDefault="00394471" w:rsidP="00FA0D37">
      <w:pPr>
        <w:pStyle w:val="PL"/>
      </w:pPr>
      <w:r w:rsidRPr="00FA0D37">
        <w:t xml:space="preserve">    powerRampingStepHighPriority    </w:t>
      </w:r>
      <w:r w:rsidRPr="00FA0D37">
        <w:rPr>
          <w:color w:val="993366"/>
        </w:rPr>
        <w:t>ENUMERATED</w:t>
      </w:r>
      <w:r w:rsidRPr="00FA0D37">
        <w:t xml:space="preserve"> {dB0, dB2, dB4, dB6},</w:t>
      </w:r>
    </w:p>
    <w:p w14:paraId="1ACB07FA" w14:textId="77777777" w:rsidR="00394471" w:rsidRPr="00FA0D37" w:rsidRDefault="00394471" w:rsidP="00FA0D37">
      <w:pPr>
        <w:pStyle w:val="PL"/>
        <w:rPr>
          <w:color w:val="808080"/>
        </w:rPr>
      </w:pPr>
      <w:r w:rsidRPr="00FA0D37">
        <w:t xml:space="preserve">    scalingFactorBI                 </w:t>
      </w:r>
      <w:r w:rsidRPr="00FA0D37">
        <w:rPr>
          <w:color w:val="993366"/>
        </w:rPr>
        <w:t>ENUMERATED</w:t>
      </w:r>
      <w:r w:rsidRPr="00FA0D37">
        <w:t xml:space="preserve"> {zero, dot25, dot5, dot75}                               </w:t>
      </w:r>
      <w:r w:rsidRPr="00FA0D37">
        <w:rPr>
          <w:color w:val="993366"/>
        </w:rPr>
        <w:t>OPTIONAL</w:t>
      </w:r>
      <w:r w:rsidRPr="00FA0D37">
        <w:t xml:space="preserve">,   </w:t>
      </w:r>
      <w:r w:rsidRPr="00FA0D37">
        <w:rPr>
          <w:color w:val="808080"/>
        </w:rPr>
        <w:t>-- Need R</w:t>
      </w:r>
    </w:p>
    <w:p w14:paraId="79FDB704" w14:textId="77777777" w:rsidR="00394471" w:rsidRPr="00FA0D37" w:rsidRDefault="00394471" w:rsidP="00FA0D37">
      <w:pPr>
        <w:pStyle w:val="PL"/>
      </w:pPr>
      <w:r w:rsidRPr="00FA0D37">
        <w:t xml:space="preserve">    ...</w:t>
      </w:r>
    </w:p>
    <w:p w14:paraId="1563134F" w14:textId="77777777" w:rsidR="00394471" w:rsidRPr="00FA0D37" w:rsidRDefault="00394471" w:rsidP="00FA0D37">
      <w:pPr>
        <w:pStyle w:val="PL"/>
      </w:pPr>
      <w:r w:rsidRPr="00FA0D37">
        <w:t>}</w:t>
      </w:r>
    </w:p>
    <w:p w14:paraId="14E8851C" w14:textId="77777777" w:rsidR="00394471" w:rsidRPr="00FA0D37" w:rsidRDefault="00394471" w:rsidP="00FA0D37">
      <w:pPr>
        <w:pStyle w:val="PL"/>
      </w:pPr>
    </w:p>
    <w:p w14:paraId="37473A9F" w14:textId="77777777" w:rsidR="00394471" w:rsidRPr="00FA0D37" w:rsidRDefault="00394471" w:rsidP="00FA0D37">
      <w:pPr>
        <w:pStyle w:val="PL"/>
        <w:rPr>
          <w:color w:val="808080"/>
        </w:rPr>
      </w:pPr>
      <w:r w:rsidRPr="00FA0D37">
        <w:rPr>
          <w:color w:val="808080"/>
        </w:rPr>
        <w:t>-- TAG-RA-PRIORITIZATION-STOP</w:t>
      </w:r>
    </w:p>
    <w:p w14:paraId="42A0A91F" w14:textId="77777777" w:rsidR="00394471" w:rsidRPr="00FA0D37" w:rsidRDefault="00394471" w:rsidP="00FA0D37">
      <w:pPr>
        <w:pStyle w:val="PL"/>
        <w:rPr>
          <w:color w:val="808080"/>
        </w:rPr>
      </w:pPr>
      <w:r w:rsidRPr="00FA0D37">
        <w:rPr>
          <w:color w:val="808080"/>
        </w:rPr>
        <w:t>-- ASN1STOP</w:t>
      </w:r>
    </w:p>
    <w:p w14:paraId="2884EF6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FA0D37" w:rsidRDefault="00394471" w:rsidP="00964CC4">
            <w:pPr>
              <w:pStyle w:val="TAH"/>
              <w:rPr>
                <w:szCs w:val="22"/>
                <w:lang w:eastAsia="sv-SE"/>
              </w:rPr>
            </w:pPr>
            <w:r w:rsidRPr="00FA0D37">
              <w:rPr>
                <w:i/>
                <w:szCs w:val="22"/>
                <w:lang w:eastAsia="sv-SE"/>
              </w:rPr>
              <w:t xml:space="preserve">RA-Prioritization </w:t>
            </w:r>
            <w:r w:rsidRPr="00FA0D37">
              <w:rPr>
                <w:szCs w:val="22"/>
                <w:lang w:eastAsia="sv-SE"/>
              </w:rPr>
              <w:t>field descriptions</w:t>
            </w:r>
          </w:p>
        </w:tc>
      </w:tr>
      <w:tr w:rsidR="005C7FF4" w:rsidRPr="00FA0D37"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FA0D37" w:rsidRDefault="00394471" w:rsidP="00964CC4">
            <w:pPr>
              <w:pStyle w:val="TAL"/>
              <w:rPr>
                <w:szCs w:val="22"/>
                <w:lang w:eastAsia="sv-SE"/>
              </w:rPr>
            </w:pPr>
            <w:r w:rsidRPr="00FA0D37">
              <w:rPr>
                <w:b/>
                <w:i/>
                <w:szCs w:val="22"/>
                <w:lang w:eastAsia="sv-SE"/>
              </w:rPr>
              <w:t>powerRampingStepHighPrioritiy</w:t>
            </w:r>
          </w:p>
          <w:p w14:paraId="15B806B8" w14:textId="77777777" w:rsidR="00394471" w:rsidRPr="00FA0D37" w:rsidRDefault="00394471" w:rsidP="00964CC4">
            <w:pPr>
              <w:pStyle w:val="TAL"/>
              <w:rPr>
                <w:szCs w:val="22"/>
                <w:lang w:eastAsia="sv-SE"/>
              </w:rPr>
            </w:pPr>
            <w:r w:rsidRPr="00FA0D37">
              <w:rPr>
                <w:szCs w:val="22"/>
                <w:lang w:eastAsia="sv-SE"/>
              </w:rPr>
              <w:t>Power ramping step applied for prioritized random access procedure.</w:t>
            </w:r>
          </w:p>
        </w:tc>
      </w:tr>
      <w:tr w:rsidR="000830BB" w:rsidRPr="00FA0D37"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FA0D37" w:rsidRDefault="00394471" w:rsidP="00964CC4">
            <w:pPr>
              <w:pStyle w:val="TAL"/>
              <w:rPr>
                <w:szCs w:val="22"/>
                <w:lang w:eastAsia="sv-SE"/>
              </w:rPr>
            </w:pPr>
            <w:r w:rsidRPr="00FA0D37">
              <w:rPr>
                <w:b/>
                <w:i/>
                <w:szCs w:val="22"/>
                <w:lang w:eastAsia="sv-SE"/>
              </w:rPr>
              <w:t>scalingFactorBI</w:t>
            </w:r>
          </w:p>
          <w:p w14:paraId="2FC63922" w14:textId="77777777" w:rsidR="00394471" w:rsidRPr="00FA0D37" w:rsidRDefault="00394471" w:rsidP="00964CC4">
            <w:pPr>
              <w:pStyle w:val="TAL"/>
              <w:rPr>
                <w:szCs w:val="22"/>
                <w:lang w:eastAsia="sv-SE"/>
              </w:rPr>
            </w:pPr>
            <w:r w:rsidRPr="00FA0D37">
              <w:rPr>
                <w:szCs w:val="22"/>
                <w:lang w:eastAsia="sv-SE"/>
              </w:rPr>
              <w:t xml:space="preserve">Scaling factor for the backoff indicator (BI) for the prioritized random access procedure. (see TS 38.321 [3], clause 5.1.4). Value </w:t>
            </w:r>
            <w:r w:rsidRPr="00FA0D37">
              <w:rPr>
                <w:i/>
                <w:szCs w:val="22"/>
                <w:lang w:eastAsia="sv-SE"/>
              </w:rPr>
              <w:t>zero</w:t>
            </w:r>
            <w:r w:rsidRPr="00FA0D37">
              <w:rPr>
                <w:szCs w:val="22"/>
                <w:lang w:eastAsia="sv-SE"/>
              </w:rPr>
              <w:t xml:space="preserve"> corresponds to 0, value </w:t>
            </w:r>
            <w:r w:rsidRPr="00FA0D37">
              <w:rPr>
                <w:i/>
                <w:szCs w:val="22"/>
                <w:lang w:eastAsia="sv-SE"/>
              </w:rPr>
              <w:t>dot25</w:t>
            </w:r>
            <w:r w:rsidRPr="00FA0D37">
              <w:rPr>
                <w:szCs w:val="22"/>
                <w:lang w:eastAsia="sv-SE"/>
              </w:rPr>
              <w:t xml:space="preserve"> corresponds to 0.25 and so on.</w:t>
            </w:r>
          </w:p>
        </w:tc>
      </w:tr>
    </w:tbl>
    <w:p w14:paraId="155D1068" w14:textId="77777777" w:rsidR="00850B30" w:rsidRPr="00FA0D37" w:rsidRDefault="00850B30" w:rsidP="00850B30"/>
    <w:p w14:paraId="2E4B2BEA" w14:textId="77777777" w:rsidR="00850B30" w:rsidRPr="00FA0D37" w:rsidRDefault="00850B30" w:rsidP="00850B30">
      <w:pPr>
        <w:pStyle w:val="4"/>
      </w:pPr>
      <w:bookmarkStart w:id="1292" w:name="_Toc146781417"/>
      <w:r w:rsidRPr="00FA0D37">
        <w:lastRenderedPageBreak/>
        <w:t>–</w:t>
      </w:r>
      <w:r w:rsidRPr="00FA0D37">
        <w:tab/>
      </w:r>
      <w:r w:rsidRPr="00FA0D37">
        <w:rPr>
          <w:i/>
        </w:rPr>
        <w:t>RA-PrioritizationForSlicing</w:t>
      </w:r>
      <w:bookmarkEnd w:id="1292"/>
    </w:p>
    <w:p w14:paraId="14E08A73" w14:textId="77777777" w:rsidR="00850B30" w:rsidRPr="00FA0D37" w:rsidRDefault="00850B30" w:rsidP="00850B30">
      <w:pPr>
        <w:keepNext/>
        <w:keepLines/>
        <w:rPr>
          <w:iCs/>
        </w:rPr>
      </w:pPr>
      <w:r w:rsidRPr="00FA0D37">
        <w:t xml:space="preserve">The IE </w:t>
      </w:r>
      <w:r w:rsidRPr="00FA0D37">
        <w:rPr>
          <w:i/>
        </w:rPr>
        <w:t>RA-PrioritizationForSlicing</w:t>
      </w:r>
      <w:r w:rsidRPr="00FA0D37">
        <w:t xml:space="preserve"> is used to configure prioritized random access for slicing.</w:t>
      </w:r>
    </w:p>
    <w:p w14:paraId="052C1A79" w14:textId="77777777" w:rsidR="00850B30" w:rsidRPr="00FA0D37" w:rsidRDefault="00850B30" w:rsidP="00850B30">
      <w:pPr>
        <w:pStyle w:val="TH"/>
      </w:pPr>
      <w:r w:rsidRPr="00FA0D37">
        <w:rPr>
          <w:i/>
        </w:rPr>
        <w:t>RA-PrioritizationForSlicing</w:t>
      </w:r>
      <w:r w:rsidRPr="00FA0D37">
        <w:t xml:space="preserve"> information element</w:t>
      </w:r>
    </w:p>
    <w:p w14:paraId="08004C62" w14:textId="77777777" w:rsidR="00850B30" w:rsidRPr="00FA0D37" w:rsidRDefault="00850B30" w:rsidP="00FA0D37">
      <w:pPr>
        <w:pStyle w:val="PL"/>
        <w:rPr>
          <w:color w:val="808080"/>
        </w:rPr>
      </w:pPr>
      <w:r w:rsidRPr="00FA0D37">
        <w:rPr>
          <w:color w:val="808080"/>
        </w:rPr>
        <w:t>-- ASN1START</w:t>
      </w:r>
    </w:p>
    <w:p w14:paraId="0E7EF677" w14:textId="77777777" w:rsidR="00850B30" w:rsidRPr="00FA0D37" w:rsidRDefault="00850B30" w:rsidP="00FA0D37">
      <w:pPr>
        <w:pStyle w:val="PL"/>
        <w:rPr>
          <w:color w:val="808080"/>
        </w:rPr>
      </w:pPr>
      <w:r w:rsidRPr="00FA0D37">
        <w:rPr>
          <w:color w:val="808080"/>
        </w:rPr>
        <w:t>-- TAG-RA-PRIORITIZATIONFORSLICING-START</w:t>
      </w:r>
    </w:p>
    <w:p w14:paraId="37C1E2D0" w14:textId="77777777" w:rsidR="00850B30" w:rsidRPr="00FA0D37" w:rsidRDefault="00850B30" w:rsidP="00FA0D37">
      <w:pPr>
        <w:pStyle w:val="PL"/>
      </w:pPr>
    </w:p>
    <w:p w14:paraId="24270627" w14:textId="77777777" w:rsidR="00850B30" w:rsidRPr="00FA0D37" w:rsidRDefault="00850B30" w:rsidP="00FA0D37">
      <w:pPr>
        <w:pStyle w:val="PL"/>
      </w:pPr>
      <w:r w:rsidRPr="00FA0D37">
        <w:t xml:space="preserve">RA-PrioritizationForSlicing-r17 ::=    </w:t>
      </w:r>
      <w:r w:rsidRPr="00FA0D37">
        <w:rPr>
          <w:color w:val="993366"/>
        </w:rPr>
        <w:t>SEQUENCE</w:t>
      </w:r>
      <w:r w:rsidRPr="00FA0D37">
        <w:t xml:space="preserve"> {</w:t>
      </w:r>
    </w:p>
    <w:p w14:paraId="0823CFAD" w14:textId="77777777" w:rsidR="00850B30" w:rsidRPr="00FA0D37" w:rsidRDefault="00850B30" w:rsidP="00FA0D37">
      <w:pPr>
        <w:pStyle w:val="PL"/>
      </w:pPr>
      <w:r w:rsidRPr="00FA0D37">
        <w:t xml:space="preserve">    ra-PrioritizationSliceInfoList-r17     RA-</w:t>
      </w:r>
      <w:r w:rsidRPr="00FA0D37">
        <w:rPr>
          <w:rFonts w:eastAsia="等线"/>
        </w:rPr>
        <w:t>Prioritization</w:t>
      </w:r>
      <w:r w:rsidRPr="00FA0D37">
        <w:t>SliceInfoList-r17,</w:t>
      </w:r>
    </w:p>
    <w:p w14:paraId="60E2DA97" w14:textId="77777777" w:rsidR="00850B30" w:rsidRPr="00FA0D37" w:rsidRDefault="00850B30" w:rsidP="00FA0D37">
      <w:pPr>
        <w:pStyle w:val="PL"/>
        <w:rPr>
          <w:rFonts w:eastAsia="等线"/>
        </w:rPr>
      </w:pPr>
      <w:r w:rsidRPr="00FA0D37">
        <w:t xml:space="preserve">    ...</w:t>
      </w:r>
    </w:p>
    <w:p w14:paraId="79E8BC47" w14:textId="77777777" w:rsidR="00850B30" w:rsidRPr="00FA0D37" w:rsidRDefault="00850B30" w:rsidP="00FA0D37">
      <w:pPr>
        <w:pStyle w:val="PL"/>
      </w:pPr>
      <w:r w:rsidRPr="00FA0D37">
        <w:t>}</w:t>
      </w:r>
    </w:p>
    <w:p w14:paraId="708BDF6F" w14:textId="77777777" w:rsidR="00850B30" w:rsidRPr="00FA0D37" w:rsidRDefault="00850B30" w:rsidP="00FA0D37">
      <w:pPr>
        <w:pStyle w:val="PL"/>
      </w:pPr>
    </w:p>
    <w:p w14:paraId="4107980A" w14:textId="77777777" w:rsidR="00850B30" w:rsidRPr="00FA0D37" w:rsidRDefault="00850B30" w:rsidP="00FA0D37">
      <w:pPr>
        <w:pStyle w:val="PL"/>
        <w:rPr>
          <w:rFonts w:eastAsia="等线"/>
        </w:rPr>
      </w:pPr>
      <w:r w:rsidRPr="00FA0D37">
        <w:rPr>
          <w:rFonts w:eastAsia="等线"/>
        </w:rPr>
        <w:t xml:space="preserve">RA-PrioritizationSliceInfoList-r17 ::= </w:t>
      </w:r>
      <w:r w:rsidRPr="00FA0D37">
        <w:rPr>
          <w:color w:val="993366"/>
        </w:rPr>
        <w:t>SEQUENCE</w:t>
      </w:r>
      <w:r w:rsidRPr="00FA0D37">
        <w:t xml:space="preserve"> </w:t>
      </w:r>
      <w:r w:rsidRPr="00FA0D37">
        <w:rPr>
          <w:rFonts w:eastAsia="等线"/>
        </w:rPr>
        <w:t>(</w:t>
      </w:r>
      <w:r w:rsidRPr="00FA0D37">
        <w:rPr>
          <w:color w:val="993366"/>
        </w:rPr>
        <w:t>SIZE</w:t>
      </w:r>
      <w:r w:rsidRPr="00FA0D37">
        <w:t xml:space="preserve"> </w:t>
      </w:r>
      <w:r w:rsidRPr="00FA0D37">
        <w:rPr>
          <w:rFonts w:eastAsia="等线"/>
        </w:rPr>
        <w:t>(1..maxSliceInfo-r17))</w:t>
      </w:r>
      <w:r w:rsidRPr="00FA0D37">
        <w:rPr>
          <w:rFonts w:eastAsia="等线"/>
          <w:color w:val="993366"/>
        </w:rPr>
        <w:t xml:space="preserve"> </w:t>
      </w:r>
      <w:r w:rsidRPr="00FA0D37">
        <w:rPr>
          <w:color w:val="993366"/>
        </w:rPr>
        <w:t>OF</w:t>
      </w:r>
      <w:r w:rsidRPr="00FA0D37">
        <w:t xml:space="preserve"> </w:t>
      </w:r>
      <w:r w:rsidRPr="00FA0D37">
        <w:rPr>
          <w:rFonts w:eastAsia="等线"/>
        </w:rPr>
        <w:t>RA-PrioritizationSliceInfo</w:t>
      </w:r>
      <w:r w:rsidRPr="00FA0D37">
        <w:t>-r17</w:t>
      </w:r>
    </w:p>
    <w:p w14:paraId="5B609511" w14:textId="77777777" w:rsidR="00850B30" w:rsidRPr="00FA0D37" w:rsidRDefault="00850B30" w:rsidP="00FA0D37">
      <w:pPr>
        <w:pStyle w:val="PL"/>
        <w:rPr>
          <w:rFonts w:eastAsia="等线"/>
        </w:rPr>
      </w:pPr>
    </w:p>
    <w:p w14:paraId="23439A6C" w14:textId="77777777" w:rsidR="00850B30" w:rsidRPr="00FA0D37" w:rsidRDefault="00850B30" w:rsidP="00FA0D37">
      <w:pPr>
        <w:pStyle w:val="PL"/>
      </w:pPr>
      <w:r w:rsidRPr="00FA0D37">
        <w:rPr>
          <w:rFonts w:eastAsia="等线"/>
        </w:rPr>
        <w:t>RA-PrioritizationSliceInfo</w:t>
      </w:r>
      <w:r w:rsidRPr="00FA0D37">
        <w:t xml:space="preserve">-r17 ::=     </w:t>
      </w:r>
      <w:r w:rsidRPr="00FA0D37">
        <w:rPr>
          <w:color w:val="993366"/>
        </w:rPr>
        <w:t>SEQUENCE</w:t>
      </w:r>
      <w:r w:rsidRPr="00FA0D37">
        <w:t xml:space="preserve"> {</w:t>
      </w:r>
    </w:p>
    <w:p w14:paraId="7387F4A0" w14:textId="49E9CDE7" w:rsidR="00850B30" w:rsidRPr="00FA0D37" w:rsidRDefault="00850B30" w:rsidP="00FA0D37">
      <w:pPr>
        <w:pStyle w:val="PL"/>
        <w:rPr>
          <w:rFonts w:eastAsia="等线"/>
        </w:rPr>
      </w:pPr>
      <w:r w:rsidRPr="00FA0D37">
        <w:t xml:space="preserve">    </w:t>
      </w:r>
      <w:r w:rsidR="0055685D" w:rsidRPr="00FA0D37">
        <w:t>n</w:t>
      </w:r>
      <w:r w:rsidR="008E5FFC" w:rsidRPr="00FA0D37">
        <w:t>sag</w:t>
      </w:r>
      <w:r w:rsidR="004D1E3D" w:rsidRPr="00FA0D37">
        <w:t>-</w:t>
      </w:r>
      <w:r w:rsidRPr="00FA0D37">
        <w:t>ID</w:t>
      </w:r>
      <w:r w:rsidR="004D1E3D" w:rsidRPr="00FA0D37">
        <w:t>-</w:t>
      </w:r>
      <w:r w:rsidRPr="00FA0D37">
        <w:t xml:space="preserve">List-r17                   </w:t>
      </w:r>
      <w:r w:rsidR="008E5FFC" w:rsidRPr="00FA0D37">
        <w:t xml:space="preserve">    </w:t>
      </w:r>
      <w:r w:rsidRPr="00FA0D37">
        <w:rPr>
          <w:color w:val="993366"/>
        </w:rPr>
        <w:t>SEQUENCE</w:t>
      </w:r>
      <w:r w:rsidRPr="00FA0D37">
        <w:t xml:space="preserve"> </w:t>
      </w:r>
      <w:r w:rsidRPr="00FA0D37">
        <w:rPr>
          <w:rFonts w:eastAsia="等线"/>
        </w:rPr>
        <w:t>(</w:t>
      </w:r>
      <w:r w:rsidRPr="00FA0D37">
        <w:rPr>
          <w:color w:val="993366"/>
        </w:rPr>
        <w:t>SIZE</w:t>
      </w:r>
      <w:r w:rsidRPr="00FA0D37">
        <w:t xml:space="preserve"> </w:t>
      </w:r>
      <w:r w:rsidRPr="00FA0D37">
        <w:rPr>
          <w:rFonts w:eastAsia="等线"/>
        </w:rPr>
        <w:t>(1..maxSliceInfo-r17))</w:t>
      </w:r>
      <w:r w:rsidRPr="00FA0D37">
        <w:rPr>
          <w:rFonts w:eastAsia="等线"/>
          <w:color w:val="993366"/>
        </w:rPr>
        <w:t xml:space="preserve"> </w:t>
      </w:r>
      <w:r w:rsidRPr="00FA0D37">
        <w:rPr>
          <w:color w:val="993366"/>
        </w:rPr>
        <w:t>OF</w:t>
      </w:r>
      <w:r w:rsidRPr="00FA0D37">
        <w:t xml:space="preserve"> </w:t>
      </w:r>
      <w:r w:rsidR="008E5FFC" w:rsidRPr="00FA0D37">
        <w:t>NSAG-ID-r17</w:t>
      </w:r>
      <w:r w:rsidRPr="00FA0D37">
        <w:t>,</w:t>
      </w:r>
    </w:p>
    <w:p w14:paraId="41C0A4B2" w14:textId="77777777" w:rsidR="00850B30" w:rsidRPr="00FA0D37" w:rsidRDefault="00850B30" w:rsidP="00FA0D37">
      <w:pPr>
        <w:pStyle w:val="PL"/>
        <w:rPr>
          <w:rFonts w:eastAsia="等线"/>
        </w:rPr>
      </w:pPr>
      <w:r w:rsidRPr="00FA0D37">
        <w:t xml:space="preserve">    ra-Prioritization-r17                  RA-Prioritization,</w:t>
      </w:r>
    </w:p>
    <w:p w14:paraId="167B2333" w14:textId="77777777" w:rsidR="00850B30" w:rsidRPr="00FA0D37" w:rsidRDefault="00850B30" w:rsidP="00FA0D37">
      <w:pPr>
        <w:pStyle w:val="PL"/>
        <w:rPr>
          <w:rFonts w:eastAsia="等线"/>
        </w:rPr>
      </w:pPr>
      <w:r w:rsidRPr="00FA0D37">
        <w:t xml:space="preserve">    ...</w:t>
      </w:r>
    </w:p>
    <w:p w14:paraId="0D020989" w14:textId="77777777" w:rsidR="00850B30" w:rsidRPr="00FA0D37" w:rsidRDefault="00850B30" w:rsidP="00FA0D37">
      <w:pPr>
        <w:pStyle w:val="PL"/>
      </w:pPr>
      <w:r w:rsidRPr="00FA0D37">
        <w:t>}</w:t>
      </w:r>
    </w:p>
    <w:p w14:paraId="2234947A" w14:textId="77777777" w:rsidR="00850B30" w:rsidRPr="00FA0D37" w:rsidRDefault="00850B30" w:rsidP="00FA0D37">
      <w:pPr>
        <w:pStyle w:val="PL"/>
      </w:pPr>
    </w:p>
    <w:p w14:paraId="5630DFA4" w14:textId="77777777" w:rsidR="00850B30" w:rsidRPr="00FA0D37" w:rsidRDefault="00850B30" w:rsidP="00FA0D37">
      <w:pPr>
        <w:pStyle w:val="PL"/>
        <w:rPr>
          <w:color w:val="808080"/>
        </w:rPr>
      </w:pPr>
      <w:r w:rsidRPr="00FA0D37">
        <w:rPr>
          <w:color w:val="808080"/>
        </w:rPr>
        <w:t>-- TAG-RA-PRIORITIZATIONFORSLICING-STOP</w:t>
      </w:r>
    </w:p>
    <w:p w14:paraId="2C006FD2" w14:textId="77777777" w:rsidR="00850B30" w:rsidRPr="00FA0D37" w:rsidRDefault="00850B30" w:rsidP="00FA0D37">
      <w:pPr>
        <w:pStyle w:val="PL"/>
        <w:rPr>
          <w:color w:val="808080"/>
        </w:rPr>
      </w:pPr>
      <w:r w:rsidRPr="00FA0D37">
        <w:rPr>
          <w:color w:val="808080"/>
        </w:rPr>
        <w:t>-- ASN1STOP</w:t>
      </w:r>
    </w:p>
    <w:p w14:paraId="781B0410" w14:textId="77777777" w:rsidR="00394471" w:rsidRPr="00FA0D37" w:rsidRDefault="00394471" w:rsidP="00394471"/>
    <w:p w14:paraId="3F77C795" w14:textId="77777777" w:rsidR="00394471" w:rsidRPr="00FA0D37" w:rsidRDefault="00394471" w:rsidP="00394471">
      <w:pPr>
        <w:pStyle w:val="4"/>
      </w:pPr>
      <w:bookmarkStart w:id="1293" w:name="_Toc60777338"/>
      <w:bookmarkStart w:id="1294" w:name="_Toc146781418"/>
      <w:r w:rsidRPr="00FA0D37">
        <w:t>–</w:t>
      </w:r>
      <w:r w:rsidRPr="00FA0D37">
        <w:tab/>
      </w:r>
      <w:r w:rsidRPr="00FA0D37">
        <w:rPr>
          <w:i/>
        </w:rPr>
        <w:t>RadioBearerConfig</w:t>
      </w:r>
      <w:bookmarkEnd w:id="1293"/>
      <w:bookmarkEnd w:id="1294"/>
    </w:p>
    <w:p w14:paraId="71307D03" w14:textId="1B5BD955" w:rsidR="00394471" w:rsidRPr="00FA0D37" w:rsidRDefault="00394471" w:rsidP="00394471">
      <w:r w:rsidRPr="00FA0D37">
        <w:t xml:space="preserve">The IE </w:t>
      </w:r>
      <w:r w:rsidRPr="00FA0D37">
        <w:rPr>
          <w:i/>
        </w:rPr>
        <w:t xml:space="preserve">RadioBearerConfig </w:t>
      </w:r>
      <w:r w:rsidRPr="00FA0D37">
        <w:t>is used to add, modify and release signalling</w:t>
      </w:r>
      <w:r w:rsidR="001E593B" w:rsidRPr="00FA0D37">
        <w:t>, multicast MRBs</w:t>
      </w:r>
      <w:r w:rsidRPr="00FA0D37">
        <w:t xml:space="preserve"> and/or data radio bearers. Specifically, this IE carries the parameters for PDCP and, if applicable, SDAP entities for the radio bearers.</w:t>
      </w:r>
    </w:p>
    <w:p w14:paraId="6C38CCC8" w14:textId="77777777" w:rsidR="00394471" w:rsidRPr="00FA0D37" w:rsidRDefault="00394471" w:rsidP="00394471">
      <w:pPr>
        <w:pStyle w:val="TH"/>
      </w:pPr>
      <w:r w:rsidRPr="00FA0D37">
        <w:rPr>
          <w:bCs/>
          <w:i/>
          <w:iCs/>
        </w:rPr>
        <w:t xml:space="preserve">RadioBearerConfig </w:t>
      </w:r>
      <w:r w:rsidRPr="00FA0D37">
        <w:t>information element</w:t>
      </w:r>
    </w:p>
    <w:p w14:paraId="5A14F5B0" w14:textId="77777777" w:rsidR="00394471" w:rsidRPr="00FA0D37" w:rsidRDefault="00394471" w:rsidP="00FA0D37">
      <w:pPr>
        <w:pStyle w:val="PL"/>
        <w:rPr>
          <w:color w:val="808080"/>
        </w:rPr>
      </w:pPr>
      <w:r w:rsidRPr="00FA0D37">
        <w:rPr>
          <w:color w:val="808080"/>
        </w:rPr>
        <w:t>-- ASN1START</w:t>
      </w:r>
    </w:p>
    <w:p w14:paraId="71224377" w14:textId="77777777" w:rsidR="00394471" w:rsidRPr="00FA0D37" w:rsidRDefault="00394471" w:rsidP="00FA0D37">
      <w:pPr>
        <w:pStyle w:val="PL"/>
        <w:rPr>
          <w:color w:val="808080"/>
        </w:rPr>
      </w:pPr>
      <w:r w:rsidRPr="00FA0D37">
        <w:rPr>
          <w:color w:val="808080"/>
        </w:rPr>
        <w:t>-- TAG-RADIOBEARERCONFIG-START</w:t>
      </w:r>
    </w:p>
    <w:p w14:paraId="4A8326F6" w14:textId="77777777" w:rsidR="00394471" w:rsidRPr="00FA0D37" w:rsidRDefault="00394471" w:rsidP="00FA0D37">
      <w:pPr>
        <w:pStyle w:val="PL"/>
      </w:pPr>
    </w:p>
    <w:p w14:paraId="247A9997" w14:textId="77777777" w:rsidR="00394471" w:rsidRPr="00FA0D37" w:rsidRDefault="00394471" w:rsidP="00FA0D37">
      <w:pPr>
        <w:pStyle w:val="PL"/>
      </w:pPr>
      <w:r w:rsidRPr="00FA0D37">
        <w:t xml:space="preserve">RadioBearerConfig ::=                   </w:t>
      </w:r>
      <w:r w:rsidRPr="00FA0D37">
        <w:rPr>
          <w:color w:val="993366"/>
        </w:rPr>
        <w:t>SEQUENCE</w:t>
      </w:r>
      <w:r w:rsidRPr="00FA0D37">
        <w:t xml:space="preserve"> {</w:t>
      </w:r>
    </w:p>
    <w:p w14:paraId="0E62F0C1" w14:textId="77777777" w:rsidR="00394471" w:rsidRPr="00FA0D37" w:rsidRDefault="00394471" w:rsidP="00FA0D37">
      <w:pPr>
        <w:pStyle w:val="PL"/>
        <w:rPr>
          <w:color w:val="808080"/>
        </w:rPr>
      </w:pPr>
      <w:r w:rsidRPr="00FA0D37">
        <w:t xml:space="preserve">    srb-ToAddModList                        SRB-ToAddModList                                        </w:t>
      </w:r>
      <w:r w:rsidRPr="00FA0D37">
        <w:rPr>
          <w:color w:val="993366"/>
        </w:rPr>
        <w:t>OPTIONAL</w:t>
      </w:r>
      <w:r w:rsidRPr="00FA0D37">
        <w:t xml:space="preserve">,   </w:t>
      </w:r>
      <w:r w:rsidRPr="00FA0D37">
        <w:rPr>
          <w:color w:val="808080"/>
        </w:rPr>
        <w:t>-- Cond HO-Conn</w:t>
      </w:r>
    </w:p>
    <w:p w14:paraId="04BAC6C0" w14:textId="77777777" w:rsidR="00394471" w:rsidRPr="00FA0D37" w:rsidRDefault="00394471" w:rsidP="00FA0D37">
      <w:pPr>
        <w:pStyle w:val="PL"/>
        <w:rPr>
          <w:color w:val="808080"/>
        </w:rPr>
      </w:pPr>
      <w:r w:rsidRPr="00FA0D37">
        <w:t xml:space="preserve">    srb3-ToRelease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N</w:t>
      </w:r>
    </w:p>
    <w:p w14:paraId="0C6774CB" w14:textId="77777777" w:rsidR="00394471" w:rsidRPr="00FA0D37" w:rsidRDefault="00394471" w:rsidP="00FA0D37">
      <w:pPr>
        <w:pStyle w:val="PL"/>
        <w:rPr>
          <w:color w:val="808080"/>
        </w:rPr>
      </w:pPr>
      <w:r w:rsidRPr="00FA0D37">
        <w:t xml:space="preserve">    drb-ToAddModList                        DRB-ToAddModList                                        </w:t>
      </w:r>
      <w:r w:rsidRPr="00FA0D37">
        <w:rPr>
          <w:color w:val="993366"/>
        </w:rPr>
        <w:t>OPTIONAL</w:t>
      </w:r>
      <w:r w:rsidRPr="00FA0D37">
        <w:t xml:space="preserve">,   </w:t>
      </w:r>
      <w:r w:rsidRPr="00FA0D37">
        <w:rPr>
          <w:color w:val="808080"/>
        </w:rPr>
        <w:t>-- Cond HO-toNR</w:t>
      </w:r>
    </w:p>
    <w:p w14:paraId="77F83655" w14:textId="77777777" w:rsidR="00394471" w:rsidRPr="00FA0D37" w:rsidRDefault="00394471" w:rsidP="00FA0D37">
      <w:pPr>
        <w:pStyle w:val="PL"/>
        <w:rPr>
          <w:color w:val="808080"/>
        </w:rPr>
      </w:pPr>
      <w:r w:rsidRPr="00FA0D37">
        <w:t xml:space="preserve">    drb-ToReleaseList                       DRB-ToReleaseList                                       </w:t>
      </w:r>
      <w:r w:rsidRPr="00FA0D37">
        <w:rPr>
          <w:color w:val="993366"/>
        </w:rPr>
        <w:t>OPTIONAL</w:t>
      </w:r>
      <w:r w:rsidRPr="00FA0D37">
        <w:t xml:space="preserve">,   </w:t>
      </w:r>
      <w:r w:rsidRPr="00FA0D37">
        <w:rPr>
          <w:color w:val="808080"/>
        </w:rPr>
        <w:t>-- Need N</w:t>
      </w:r>
    </w:p>
    <w:p w14:paraId="084949A0" w14:textId="77777777" w:rsidR="00394471" w:rsidRPr="00FA0D37" w:rsidRDefault="00394471" w:rsidP="00FA0D37">
      <w:pPr>
        <w:pStyle w:val="PL"/>
        <w:rPr>
          <w:color w:val="808080"/>
        </w:rPr>
      </w:pPr>
      <w:r w:rsidRPr="00FA0D37">
        <w:t xml:space="preserve">    securityConfig                          SecurityConfig                                          </w:t>
      </w:r>
      <w:r w:rsidRPr="00FA0D37">
        <w:rPr>
          <w:color w:val="993366"/>
        </w:rPr>
        <w:t>OPTIONAL</w:t>
      </w:r>
      <w:r w:rsidRPr="00FA0D37">
        <w:t xml:space="preserve">,   </w:t>
      </w:r>
      <w:r w:rsidRPr="00FA0D37">
        <w:rPr>
          <w:color w:val="808080"/>
        </w:rPr>
        <w:t>-- Need M</w:t>
      </w:r>
    </w:p>
    <w:p w14:paraId="32DF363C" w14:textId="36E47CC9" w:rsidR="001E593B" w:rsidRPr="00FA0D37" w:rsidRDefault="00394471" w:rsidP="00FA0D37">
      <w:pPr>
        <w:pStyle w:val="PL"/>
      </w:pPr>
      <w:r w:rsidRPr="00FA0D37">
        <w:t xml:space="preserve">    ...</w:t>
      </w:r>
      <w:r w:rsidR="001E593B" w:rsidRPr="00FA0D37">
        <w:t>,</w:t>
      </w:r>
    </w:p>
    <w:p w14:paraId="383062C1" w14:textId="7D1BA0EE" w:rsidR="001E593B" w:rsidRPr="00FA0D37" w:rsidRDefault="001E593B" w:rsidP="00FA0D37">
      <w:pPr>
        <w:pStyle w:val="PL"/>
      </w:pPr>
      <w:r w:rsidRPr="00FA0D37">
        <w:t xml:space="preserve">    [[</w:t>
      </w:r>
    </w:p>
    <w:p w14:paraId="3349607A" w14:textId="02CFCF37" w:rsidR="001E593B" w:rsidRPr="00FA0D37" w:rsidRDefault="001E593B" w:rsidP="00FA0D37">
      <w:pPr>
        <w:pStyle w:val="PL"/>
        <w:rPr>
          <w:color w:val="808080"/>
        </w:rPr>
      </w:pPr>
      <w:r w:rsidRPr="00FA0D37">
        <w:t xml:space="preserve">    mrb-ToAddModList-r17                    MRB-ToAddModList-r17                                    </w:t>
      </w:r>
      <w:r w:rsidRPr="00FA0D37">
        <w:rPr>
          <w:color w:val="993366"/>
        </w:rPr>
        <w:t>OPTIONAL</w:t>
      </w:r>
      <w:r w:rsidRPr="00FA0D37">
        <w:t xml:space="preserve">,   </w:t>
      </w:r>
      <w:r w:rsidRPr="00FA0D37">
        <w:rPr>
          <w:color w:val="808080"/>
        </w:rPr>
        <w:t>-- Need N</w:t>
      </w:r>
    </w:p>
    <w:p w14:paraId="21070469" w14:textId="3BA628EF" w:rsidR="001E593B" w:rsidRPr="00FA0D37" w:rsidRDefault="001E593B" w:rsidP="00FA0D37">
      <w:pPr>
        <w:pStyle w:val="PL"/>
        <w:rPr>
          <w:color w:val="808080"/>
        </w:rPr>
      </w:pPr>
      <w:r w:rsidRPr="00FA0D37">
        <w:t xml:space="preserve">    mrb-ToReleaseList-r17                   MRB-ToReleaseList-r17                                   </w:t>
      </w:r>
      <w:r w:rsidRPr="00FA0D37">
        <w:rPr>
          <w:color w:val="993366"/>
        </w:rPr>
        <w:t>OPTIONAL</w:t>
      </w:r>
      <w:r w:rsidR="0046275D" w:rsidRPr="00FA0D37">
        <w:t>,</w:t>
      </w:r>
      <w:r w:rsidRPr="00FA0D37">
        <w:t xml:space="preserve">   </w:t>
      </w:r>
      <w:r w:rsidRPr="00FA0D37">
        <w:rPr>
          <w:color w:val="808080"/>
        </w:rPr>
        <w:t>-- Need N</w:t>
      </w:r>
    </w:p>
    <w:p w14:paraId="5D302C2E" w14:textId="350044BD" w:rsidR="0046275D" w:rsidRPr="00FA0D37" w:rsidRDefault="0046275D" w:rsidP="00FA0D37">
      <w:pPr>
        <w:pStyle w:val="PL"/>
        <w:rPr>
          <w:color w:val="808080"/>
        </w:rPr>
      </w:pPr>
      <w:r w:rsidRPr="00FA0D37">
        <w:t xml:space="preserve">    srb</w:t>
      </w:r>
      <w:r w:rsidR="00935718" w:rsidRPr="00FA0D37">
        <w:t>4</w:t>
      </w:r>
      <w:r w:rsidRPr="00FA0D37">
        <w:t xml:space="preserve">-ToAddMod-r17                 </w:t>
      </w:r>
      <w:r w:rsidR="00935718" w:rsidRPr="00FA0D37">
        <w:t xml:space="preserve">      </w:t>
      </w:r>
      <w:r w:rsidRPr="00FA0D37">
        <w:t xml:space="preserve">SRB-ToAddMod                                 </w:t>
      </w:r>
      <w:r w:rsidR="00935718" w:rsidRPr="00FA0D37">
        <w:t xml:space="preserve">           </w:t>
      </w:r>
      <w:r w:rsidRPr="00FA0D37">
        <w:rPr>
          <w:color w:val="993366"/>
        </w:rPr>
        <w:t>OPTIONAL</w:t>
      </w:r>
      <w:r w:rsidRPr="00FA0D37">
        <w:t xml:space="preserve">,   </w:t>
      </w:r>
      <w:r w:rsidRPr="00FA0D37">
        <w:rPr>
          <w:color w:val="808080"/>
        </w:rPr>
        <w:t>-- Need N</w:t>
      </w:r>
    </w:p>
    <w:p w14:paraId="1C1BC471" w14:textId="77777777" w:rsidR="0046275D" w:rsidRPr="00FA0D37" w:rsidRDefault="0046275D" w:rsidP="00FA0D37">
      <w:pPr>
        <w:pStyle w:val="PL"/>
        <w:rPr>
          <w:color w:val="808080"/>
        </w:rPr>
      </w:pPr>
      <w:r w:rsidRPr="00FA0D37">
        <w:t xml:space="preserve">    srb4-ToRelease-r17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N</w:t>
      </w:r>
    </w:p>
    <w:p w14:paraId="2540ECB0" w14:textId="77777777" w:rsidR="001E593B" w:rsidRPr="00FA0D37" w:rsidRDefault="001E593B" w:rsidP="00FA0D37">
      <w:pPr>
        <w:pStyle w:val="PL"/>
      </w:pPr>
      <w:r w:rsidRPr="00FA0D37">
        <w:lastRenderedPageBreak/>
        <w:t xml:space="preserve">    ]]</w:t>
      </w:r>
    </w:p>
    <w:p w14:paraId="7E9A4494" w14:textId="46C4ECC9" w:rsidR="00394471" w:rsidRPr="00FA0D37" w:rsidRDefault="00394471" w:rsidP="00FA0D37">
      <w:pPr>
        <w:pStyle w:val="PL"/>
      </w:pPr>
    </w:p>
    <w:p w14:paraId="7F45F093" w14:textId="77777777" w:rsidR="00394471" w:rsidRPr="00FA0D37" w:rsidRDefault="00394471" w:rsidP="00FA0D37">
      <w:pPr>
        <w:pStyle w:val="PL"/>
      </w:pPr>
      <w:r w:rsidRPr="00FA0D37">
        <w:t>}</w:t>
      </w:r>
    </w:p>
    <w:p w14:paraId="392B3FB3" w14:textId="77777777" w:rsidR="00394471" w:rsidRPr="00FA0D37" w:rsidRDefault="00394471" w:rsidP="00FA0D37">
      <w:pPr>
        <w:pStyle w:val="PL"/>
      </w:pPr>
    </w:p>
    <w:p w14:paraId="4B377916" w14:textId="171DBE9E" w:rsidR="00394471" w:rsidRPr="00FA0D37" w:rsidRDefault="00394471" w:rsidP="00FA0D37">
      <w:pPr>
        <w:pStyle w:val="PL"/>
      </w:pPr>
      <w:r w:rsidRPr="00FA0D37">
        <w:t xml:space="preserve">SRB-ToAddModList ::=                    </w:t>
      </w:r>
      <w:r w:rsidRPr="00FA0D37">
        <w:rPr>
          <w:color w:val="993366"/>
        </w:rPr>
        <w:t>SEQUENCE</w:t>
      </w:r>
      <w:r w:rsidRPr="00FA0D37">
        <w:t xml:space="preserve"> (</w:t>
      </w:r>
      <w:r w:rsidRPr="00FA0D37">
        <w:rPr>
          <w:color w:val="993366"/>
        </w:rPr>
        <w:t>SIZE</w:t>
      </w:r>
      <w:r w:rsidRPr="00FA0D37">
        <w:t xml:space="preserve"> (1..2))</w:t>
      </w:r>
      <w:r w:rsidRPr="00FA0D37">
        <w:rPr>
          <w:color w:val="993366"/>
        </w:rPr>
        <w:t xml:space="preserve"> OF</w:t>
      </w:r>
      <w:r w:rsidRPr="00FA0D37">
        <w:t xml:space="preserve"> SRB-ToAddMod</w:t>
      </w:r>
    </w:p>
    <w:p w14:paraId="7222D404" w14:textId="77777777" w:rsidR="0046275D" w:rsidRPr="00FA0D37" w:rsidRDefault="0046275D" w:rsidP="00FA0D37">
      <w:pPr>
        <w:pStyle w:val="PL"/>
      </w:pPr>
    </w:p>
    <w:p w14:paraId="2A2D30A3" w14:textId="77777777" w:rsidR="00394471" w:rsidRPr="00FA0D37" w:rsidRDefault="00394471" w:rsidP="00FA0D37">
      <w:pPr>
        <w:pStyle w:val="PL"/>
      </w:pPr>
      <w:r w:rsidRPr="00FA0D37">
        <w:t xml:space="preserve">SRB-ToAddMod ::=                        </w:t>
      </w:r>
      <w:r w:rsidRPr="00FA0D37">
        <w:rPr>
          <w:color w:val="993366"/>
        </w:rPr>
        <w:t>SEQUENCE</w:t>
      </w:r>
      <w:r w:rsidRPr="00FA0D37">
        <w:t xml:space="preserve"> {</w:t>
      </w:r>
    </w:p>
    <w:p w14:paraId="22AFA96B" w14:textId="77777777" w:rsidR="00394471" w:rsidRPr="00FA0D37" w:rsidRDefault="00394471" w:rsidP="00FA0D37">
      <w:pPr>
        <w:pStyle w:val="PL"/>
      </w:pPr>
      <w:r w:rsidRPr="00FA0D37">
        <w:t xml:space="preserve">    srb-Identity                            SRB-Identity,</w:t>
      </w:r>
    </w:p>
    <w:p w14:paraId="48033D4B" w14:textId="77777777" w:rsidR="00394471" w:rsidRPr="00FA0D37" w:rsidRDefault="00394471" w:rsidP="00FA0D37">
      <w:pPr>
        <w:pStyle w:val="PL"/>
        <w:rPr>
          <w:color w:val="808080"/>
        </w:rPr>
      </w:pPr>
      <w:r w:rsidRPr="00FA0D37">
        <w:t xml:space="preserve">    reestablishPDCP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N</w:t>
      </w:r>
    </w:p>
    <w:p w14:paraId="3F5354C4" w14:textId="77777777" w:rsidR="00394471" w:rsidRPr="00FA0D37" w:rsidRDefault="00394471" w:rsidP="00FA0D37">
      <w:pPr>
        <w:pStyle w:val="PL"/>
        <w:rPr>
          <w:color w:val="808080"/>
        </w:rPr>
      </w:pPr>
      <w:r w:rsidRPr="00FA0D37">
        <w:t xml:space="preserve">    discardOnPDCP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N</w:t>
      </w:r>
    </w:p>
    <w:p w14:paraId="7AE7B9F8" w14:textId="77777777" w:rsidR="00394471" w:rsidRPr="00FA0D37" w:rsidRDefault="00394471" w:rsidP="00FA0D37">
      <w:pPr>
        <w:pStyle w:val="PL"/>
        <w:rPr>
          <w:color w:val="808080"/>
        </w:rPr>
      </w:pPr>
      <w:r w:rsidRPr="00FA0D37">
        <w:t xml:space="preserve">    pdcp-Config                             PDCP-Config                                             </w:t>
      </w:r>
      <w:r w:rsidRPr="00FA0D37">
        <w:rPr>
          <w:color w:val="993366"/>
        </w:rPr>
        <w:t>OPTIONAL</w:t>
      </w:r>
      <w:r w:rsidRPr="00FA0D37">
        <w:t xml:space="preserve">,   </w:t>
      </w:r>
      <w:r w:rsidRPr="00FA0D37">
        <w:rPr>
          <w:color w:val="808080"/>
        </w:rPr>
        <w:t>-- Cond PDCP</w:t>
      </w:r>
    </w:p>
    <w:p w14:paraId="28DD23A1" w14:textId="32E3618D" w:rsidR="0046275D" w:rsidRPr="00FA0D37" w:rsidRDefault="00394471" w:rsidP="00FA0D37">
      <w:pPr>
        <w:pStyle w:val="PL"/>
      </w:pPr>
      <w:r w:rsidRPr="00FA0D37">
        <w:t xml:space="preserve">    ...</w:t>
      </w:r>
      <w:r w:rsidR="0046275D" w:rsidRPr="00FA0D37">
        <w:t>,</w:t>
      </w:r>
    </w:p>
    <w:p w14:paraId="46ACA603" w14:textId="77777777" w:rsidR="0046275D" w:rsidRPr="00FA0D37" w:rsidRDefault="0046275D" w:rsidP="00FA0D37">
      <w:pPr>
        <w:pStyle w:val="PL"/>
      </w:pPr>
      <w:r w:rsidRPr="00FA0D37">
        <w:t xml:space="preserve">    [[</w:t>
      </w:r>
    </w:p>
    <w:p w14:paraId="6869A8B7" w14:textId="2F648E48" w:rsidR="0046275D" w:rsidRPr="00FA0D37" w:rsidRDefault="0046275D" w:rsidP="00FA0D37">
      <w:pPr>
        <w:pStyle w:val="PL"/>
        <w:rPr>
          <w:color w:val="808080"/>
        </w:rPr>
      </w:pPr>
      <w:r w:rsidRPr="00FA0D37">
        <w:t xml:space="preserve">    srb-Identity-v1700                  </w:t>
      </w:r>
      <w:r w:rsidR="00935718" w:rsidRPr="00FA0D37">
        <w:t xml:space="preserve">    </w:t>
      </w:r>
      <w:r w:rsidRPr="00FA0D37">
        <w:t xml:space="preserve">SRB-Identity-v1700                                      </w:t>
      </w:r>
      <w:r w:rsidRPr="00FA0D37">
        <w:rPr>
          <w:color w:val="993366"/>
        </w:rPr>
        <w:t>OPTIONAL</w:t>
      </w:r>
      <w:r w:rsidRPr="00FA0D37">
        <w:t xml:space="preserve">    </w:t>
      </w:r>
      <w:r w:rsidRPr="00FA0D37">
        <w:rPr>
          <w:color w:val="808080"/>
        </w:rPr>
        <w:t xml:space="preserve">-- Need </w:t>
      </w:r>
      <w:r w:rsidR="00935718" w:rsidRPr="00FA0D37">
        <w:rPr>
          <w:color w:val="808080"/>
        </w:rPr>
        <w:t>M</w:t>
      </w:r>
    </w:p>
    <w:p w14:paraId="26D645F9" w14:textId="387A5656" w:rsidR="00394471" w:rsidRPr="00FA0D37" w:rsidRDefault="0046275D" w:rsidP="00FA0D37">
      <w:pPr>
        <w:pStyle w:val="PL"/>
      </w:pPr>
      <w:r w:rsidRPr="00FA0D37">
        <w:t xml:space="preserve">    ]]</w:t>
      </w:r>
    </w:p>
    <w:p w14:paraId="05472412" w14:textId="77777777" w:rsidR="00394471" w:rsidRPr="00FA0D37" w:rsidRDefault="00394471" w:rsidP="00FA0D37">
      <w:pPr>
        <w:pStyle w:val="PL"/>
      </w:pPr>
      <w:r w:rsidRPr="00FA0D37">
        <w:t>}</w:t>
      </w:r>
    </w:p>
    <w:p w14:paraId="153F8C60" w14:textId="77777777" w:rsidR="00394471" w:rsidRPr="00FA0D37" w:rsidRDefault="00394471" w:rsidP="00FA0D37">
      <w:pPr>
        <w:pStyle w:val="PL"/>
      </w:pPr>
    </w:p>
    <w:p w14:paraId="41F8FD71" w14:textId="77777777" w:rsidR="00394471" w:rsidRPr="00FA0D37" w:rsidRDefault="00394471" w:rsidP="00FA0D37">
      <w:pPr>
        <w:pStyle w:val="PL"/>
      </w:pPr>
      <w:r w:rsidRPr="00FA0D37">
        <w:t xml:space="preserve">DRB-ToAddModList ::=                    </w:t>
      </w:r>
      <w:r w:rsidRPr="00FA0D37">
        <w:rPr>
          <w:color w:val="993366"/>
        </w:rPr>
        <w:t>SEQUENCE</w:t>
      </w:r>
      <w:r w:rsidRPr="00FA0D37">
        <w:t xml:space="preserve"> (</w:t>
      </w:r>
      <w:r w:rsidRPr="00FA0D37">
        <w:rPr>
          <w:color w:val="993366"/>
        </w:rPr>
        <w:t>SIZE</w:t>
      </w:r>
      <w:r w:rsidRPr="00FA0D37">
        <w:t xml:space="preserve"> (1..maxDRB))</w:t>
      </w:r>
      <w:r w:rsidRPr="00FA0D37">
        <w:rPr>
          <w:color w:val="993366"/>
        </w:rPr>
        <w:t xml:space="preserve"> OF</w:t>
      </w:r>
      <w:r w:rsidRPr="00FA0D37">
        <w:t xml:space="preserve"> DRB-ToAddMod</w:t>
      </w:r>
    </w:p>
    <w:p w14:paraId="081FA53B" w14:textId="77777777" w:rsidR="00394471" w:rsidRPr="00FA0D37" w:rsidRDefault="00394471" w:rsidP="00FA0D37">
      <w:pPr>
        <w:pStyle w:val="PL"/>
      </w:pPr>
    </w:p>
    <w:p w14:paraId="41127F5B" w14:textId="77777777" w:rsidR="00394471" w:rsidRPr="00FA0D37" w:rsidRDefault="00394471" w:rsidP="00FA0D37">
      <w:pPr>
        <w:pStyle w:val="PL"/>
      </w:pPr>
      <w:r w:rsidRPr="00FA0D37">
        <w:t xml:space="preserve">DRB-ToAddMod ::=                        </w:t>
      </w:r>
      <w:r w:rsidRPr="00FA0D37">
        <w:rPr>
          <w:color w:val="993366"/>
        </w:rPr>
        <w:t>SEQUENCE</w:t>
      </w:r>
      <w:r w:rsidRPr="00FA0D37">
        <w:t xml:space="preserve"> {</w:t>
      </w:r>
    </w:p>
    <w:p w14:paraId="7DACA55D" w14:textId="77777777" w:rsidR="00394471" w:rsidRPr="00FA0D37" w:rsidRDefault="00394471" w:rsidP="00FA0D37">
      <w:pPr>
        <w:pStyle w:val="PL"/>
      </w:pPr>
      <w:r w:rsidRPr="00FA0D37">
        <w:t xml:space="preserve">    cnAssociation                           </w:t>
      </w:r>
      <w:r w:rsidRPr="00FA0D37">
        <w:rPr>
          <w:color w:val="993366"/>
        </w:rPr>
        <w:t>CHOICE</w:t>
      </w:r>
      <w:r w:rsidRPr="00FA0D37">
        <w:t xml:space="preserve"> {</w:t>
      </w:r>
    </w:p>
    <w:p w14:paraId="6350E2C9" w14:textId="77777777" w:rsidR="00394471" w:rsidRPr="00FA0D37" w:rsidRDefault="00394471" w:rsidP="00FA0D37">
      <w:pPr>
        <w:pStyle w:val="PL"/>
      </w:pPr>
      <w:r w:rsidRPr="00FA0D37">
        <w:t xml:space="preserve">        eps-BearerIdentity                      </w:t>
      </w:r>
      <w:r w:rsidRPr="00FA0D37">
        <w:rPr>
          <w:color w:val="993366"/>
        </w:rPr>
        <w:t>INTEGER</w:t>
      </w:r>
      <w:r w:rsidRPr="00FA0D37">
        <w:t xml:space="preserve"> (0..15),</w:t>
      </w:r>
    </w:p>
    <w:p w14:paraId="3119188E" w14:textId="77777777" w:rsidR="00394471" w:rsidRPr="00FA0D37" w:rsidRDefault="00394471" w:rsidP="00FA0D37">
      <w:pPr>
        <w:pStyle w:val="PL"/>
      </w:pPr>
      <w:r w:rsidRPr="00FA0D37">
        <w:t xml:space="preserve">        sdap-Config                             SDAP-Config</w:t>
      </w:r>
    </w:p>
    <w:p w14:paraId="2ACFC9C4"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DRBSetup</w:t>
      </w:r>
    </w:p>
    <w:p w14:paraId="007C374E" w14:textId="77777777" w:rsidR="00394471" w:rsidRPr="00FA0D37" w:rsidRDefault="00394471" w:rsidP="00FA0D37">
      <w:pPr>
        <w:pStyle w:val="PL"/>
      </w:pPr>
      <w:r w:rsidRPr="00FA0D37">
        <w:t xml:space="preserve">    drb-Identity                            DRB-Identity,</w:t>
      </w:r>
    </w:p>
    <w:p w14:paraId="3862494F" w14:textId="77777777" w:rsidR="00394471" w:rsidRPr="00FA0D37" w:rsidRDefault="00394471" w:rsidP="00FA0D37">
      <w:pPr>
        <w:pStyle w:val="PL"/>
        <w:rPr>
          <w:color w:val="808080"/>
        </w:rPr>
      </w:pPr>
      <w:r w:rsidRPr="00FA0D37">
        <w:t xml:space="preserve">    reestablishPDCP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N</w:t>
      </w:r>
    </w:p>
    <w:p w14:paraId="2DA3285A" w14:textId="77777777" w:rsidR="00394471" w:rsidRPr="00FA0D37" w:rsidRDefault="00394471" w:rsidP="00FA0D37">
      <w:pPr>
        <w:pStyle w:val="PL"/>
        <w:rPr>
          <w:color w:val="808080"/>
        </w:rPr>
      </w:pPr>
      <w:r w:rsidRPr="00FA0D37">
        <w:t xml:space="preserve">    recoverPDCP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N</w:t>
      </w:r>
    </w:p>
    <w:p w14:paraId="674FE307" w14:textId="77777777" w:rsidR="00394471" w:rsidRPr="00FA0D37" w:rsidRDefault="00394471" w:rsidP="00FA0D37">
      <w:pPr>
        <w:pStyle w:val="PL"/>
        <w:rPr>
          <w:color w:val="808080"/>
        </w:rPr>
      </w:pPr>
      <w:r w:rsidRPr="00FA0D37">
        <w:t xml:space="preserve">    pdcp-Config                             PDCP-Config                                             </w:t>
      </w:r>
      <w:r w:rsidRPr="00FA0D37">
        <w:rPr>
          <w:color w:val="993366"/>
        </w:rPr>
        <w:t>OPTIONAL</w:t>
      </w:r>
      <w:r w:rsidRPr="00FA0D37">
        <w:t xml:space="preserve">,   </w:t>
      </w:r>
      <w:r w:rsidRPr="00FA0D37">
        <w:rPr>
          <w:color w:val="808080"/>
        </w:rPr>
        <w:t>-- Cond PDCP</w:t>
      </w:r>
    </w:p>
    <w:p w14:paraId="7EC577AE" w14:textId="77777777" w:rsidR="00394471" w:rsidRPr="00FA0D37" w:rsidRDefault="00394471" w:rsidP="00FA0D37">
      <w:pPr>
        <w:pStyle w:val="PL"/>
      </w:pPr>
      <w:r w:rsidRPr="00FA0D37">
        <w:t xml:space="preserve">    ...,</w:t>
      </w:r>
    </w:p>
    <w:p w14:paraId="788D3CE0" w14:textId="77777777" w:rsidR="00394471" w:rsidRPr="00FA0D37" w:rsidRDefault="00394471" w:rsidP="00FA0D37">
      <w:pPr>
        <w:pStyle w:val="PL"/>
      </w:pPr>
      <w:r w:rsidRPr="00FA0D37">
        <w:t xml:space="preserve">    [[</w:t>
      </w:r>
    </w:p>
    <w:p w14:paraId="5D656884" w14:textId="6258597D" w:rsidR="00394471" w:rsidRPr="00FA0D37" w:rsidRDefault="00394471" w:rsidP="00FA0D37">
      <w:pPr>
        <w:pStyle w:val="PL"/>
        <w:rPr>
          <w:color w:val="808080"/>
        </w:rPr>
      </w:pPr>
      <w:r w:rsidRPr="00FA0D37">
        <w:t xml:space="preserve">    daps-Config-r16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w:t>
      </w:r>
      <w:r w:rsidR="00097556" w:rsidRPr="00FA0D37">
        <w:rPr>
          <w:color w:val="808080"/>
        </w:rPr>
        <w:t xml:space="preserve"> Cond DAPS</w:t>
      </w:r>
    </w:p>
    <w:p w14:paraId="166775A2" w14:textId="77777777" w:rsidR="00394471" w:rsidRPr="00FA0D37" w:rsidRDefault="00394471" w:rsidP="00FA0D37">
      <w:pPr>
        <w:pStyle w:val="PL"/>
      </w:pPr>
      <w:r w:rsidRPr="00FA0D37">
        <w:t xml:space="preserve">    ]]</w:t>
      </w:r>
    </w:p>
    <w:p w14:paraId="1A188DFD" w14:textId="77777777" w:rsidR="00394471" w:rsidRPr="00FA0D37" w:rsidRDefault="00394471" w:rsidP="00FA0D37">
      <w:pPr>
        <w:pStyle w:val="PL"/>
      </w:pPr>
      <w:r w:rsidRPr="00FA0D37">
        <w:t>}</w:t>
      </w:r>
    </w:p>
    <w:p w14:paraId="3B0BD6FC" w14:textId="77777777" w:rsidR="00394471" w:rsidRPr="00FA0D37" w:rsidRDefault="00394471" w:rsidP="00FA0D37">
      <w:pPr>
        <w:pStyle w:val="PL"/>
      </w:pPr>
      <w:r w:rsidRPr="00FA0D37">
        <w:t xml:space="preserve">DRB-ToReleaseList ::=                   </w:t>
      </w:r>
      <w:r w:rsidRPr="00FA0D37">
        <w:rPr>
          <w:color w:val="993366"/>
        </w:rPr>
        <w:t>SEQUENCE</w:t>
      </w:r>
      <w:r w:rsidRPr="00FA0D37">
        <w:t xml:space="preserve"> (</w:t>
      </w:r>
      <w:r w:rsidRPr="00FA0D37">
        <w:rPr>
          <w:color w:val="993366"/>
        </w:rPr>
        <w:t>SIZE</w:t>
      </w:r>
      <w:r w:rsidRPr="00FA0D37">
        <w:t xml:space="preserve"> (1..maxDRB))</w:t>
      </w:r>
      <w:r w:rsidRPr="00FA0D37">
        <w:rPr>
          <w:color w:val="993366"/>
        </w:rPr>
        <w:t xml:space="preserve"> OF</w:t>
      </w:r>
      <w:r w:rsidRPr="00FA0D37">
        <w:t xml:space="preserve"> DRB-Identity</w:t>
      </w:r>
    </w:p>
    <w:p w14:paraId="5043649A" w14:textId="77777777" w:rsidR="00394471" w:rsidRPr="00FA0D37" w:rsidRDefault="00394471" w:rsidP="00FA0D37">
      <w:pPr>
        <w:pStyle w:val="PL"/>
      </w:pPr>
    </w:p>
    <w:p w14:paraId="447746BB" w14:textId="77777777" w:rsidR="00394471" w:rsidRPr="00FA0D37" w:rsidRDefault="00394471" w:rsidP="00FA0D37">
      <w:pPr>
        <w:pStyle w:val="PL"/>
      </w:pPr>
      <w:r w:rsidRPr="00FA0D37">
        <w:t xml:space="preserve">SecurityConfig ::=                      </w:t>
      </w:r>
      <w:r w:rsidRPr="00FA0D37">
        <w:rPr>
          <w:color w:val="993366"/>
        </w:rPr>
        <w:t>SEQUENCE</w:t>
      </w:r>
      <w:r w:rsidRPr="00FA0D37">
        <w:t xml:space="preserve"> {</w:t>
      </w:r>
    </w:p>
    <w:p w14:paraId="2EE14528" w14:textId="77777777" w:rsidR="00394471" w:rsidRPr="00FA0D37" w:rsidRDefault="00394471" w:rsidP="00FA0D37">
      <w:pPr>
        <w:pStyle w:val="PL"/>
        <w:rPr>
          <w:color w:val="808080"/>
        </w:rPr>
      </w:pPr>
      <w:r w:rsidRPr="00FA0D37">
        <w:t xml:space="preserve">    securityAlgorithmConfig                 SecurityAlgorithmConfig                                 </w:t>
      </w:r>
      <w:r w:rsidRPr="00FA0D37">
        <w:rPr>
          <w:color w:val="993366"/>
        </w:rPr>
        <w:t>OPTIONAL</w:t>
      </w:r>
      <w:r w:rsidRPr="00FA0D37">
        <w:t xml:space="preserve">,   </w:t>
      </w:r>
      <w:r w:rsidRPr="00FA0D37">
        <w:rPr>
          <w:color w:val="808080"/>
        </w:rPr>
        <w:t>-- Cond RBTermChange1</w:t>
      </w:r>
    </w:p>
    <w:p w14:paraId="1326E57A" w14:textId="77777777" w:rsidR="00394471" w:rsidRPr="00FA0D37" w:rsidRDefault="00394471" w:rsidP="00FA0D37">
      <w:pPr>
        <w:pStyle w:val="PL"/>
        <w:rPr>
          <w:color w:val="808080"/>
        </w:rPr>
      </w:pPr>
      <w:r w:rsidRPr="00FA0D37">
        <w:t xml:space="preserve">    keyToUse                                </w:t>
      </w:r>
      <w:r w:rsidRPr="00FA0D37">
        <w:rPr>
          <w:color w:val="993366"/>
        </w:rPr>
        <w:t>ENUMERATED</w:t>
      </w:r>
      <w:r w:rsidRPr="00FA0D37">
        <w:t xml:space="preserve">{master, secondary}                           </w:t>
      </w:r>
      <w:r w:rsidRPr="00FA0D37">
        <w:rPr>
          <w:color w:val="993366"/>
        </w:rPr>
        <w:t>OPTIONAL</w:t>
      </w:r>
      <w:r w:rsidRPr="00FA0D37">
        <w:t xml:space="preserve">,   </w:t>
      </w:r>
      <w:r w:rsidRPr="00FA0D37">
        <w:rPr>
          <w:color w:val="808080"/>
        </w:rPr>
        <w:t>-- Cond RBTermChange</w:t>
      </w:r>
    </w:p>
    <w:p w14:paraId="563E39E8" w14:textId="77777777" w:rsidR="00394471" w:rsidRPr="00FA0D37" w:rsidRDefault="00394471" w:rsidP="00FA0D37">
      <w:pPr>
        <w:pStyle w:val="PL"/>
      </w:pPr>
      <w:r w:rsidRPr="00FA0D37">
        <w:t xml:space="preserve">    ...</w:t>
      </w:r>
    </w:p>
    <w:p w14:paraId="2C406927" w14:textId="77777777" w:rsidR="00394471" w:rsidRPr="00FA0D37" w:rsidRDefault="00394471" w:rsidP="00FA0D37">
      <w:pPr>
        <w:pStyle w:val="PL"/>
      </w:pPr>
      <w:r w:rsidRPr="00FA0D37">
        <w:t>}</w:t>
      </w:r>
    </w:p>
    <w:p w14:paraId="3E0EB7EA" w14:textId="7F2A3BD9" w:rsidR="00394471" w:rsidRPr="00FA0D37" w:rsidRDefault="00394471" w:rsidP="00FA0D37">
      <w:pPr>
        <w:pStyle w:val="PL"/>
      </w:pPr>
    </w:p>
    <w:p w14:paraId="7243E396" w14:textId="6C80107F" w:rsidR="001E593B" w:rsidRPr="00FA0D37" w:rsidRDefault="001E593B" w:rsidP="00FA0D37">
      <w:pPr>
        <w:pStyle w:val="PL"/>
      </w:pPr>
      <w:r w:rsidRPr="00FA0D37">
        <w:t xml:space="preserve">MRB-ToAddModList-r17 ::=                </w:t>
      </w:r>
      <w:r w:rsidRPr="00FA0D37">
        <w:rPr>
          <w:color w:val="993366"/>
        </w:rPr>
        <w:t>SEQUENCE</w:t>
      </w:r>
      <w:r w:rsidRPr="00FA0D37">
        <w:t xml:space="preserve"> (</w:t>
      </w:r>
      <w:r w:rsidRPr="00FA0D37">
        <w:rPr>
          <w:color w:val="993366"/>
        </w:rPr>
        <w:t>SIZE</w:t>
      </w:r>
      <w:r w:rsidRPr="00FA0D37">
        <w:t xml:space="preserve"> (1..maxMRB-r17))</w:t>
      </w:r>
      <w:r w:rsidRPr="00FA0D37">
        <w:rPr>
          <w:color w:val="993366"/>
        </w:rPr>
        <w:t xml:space="preserve"> OF</w:t>
      </w:r>
      <w:r w:rsidRPr="00FA0D37">
        <w:t xml:space="preserve"> MRB-ToAddMod-r17</w:t>
      </w:r>
    </w:p>
    <w:p w14:paraId="317ED3F3" w14:textId="77777777" w:rsidR="001E593B" w:rsidRPr="00FA0D37" w:rsidRDefault="001E593B" w:rsidP="00FA0D37">
      <w:pPr>
        <w:pStyle w:val="PL"/>
      </w:pPr>
    </w:p>
    <w:p w14:paraId="6995DED3" w14:textId="5F050D87" w:rsidR="001E593B" w:rsidRPr="00FA0D37" w:rsidRDefault="001E593B" w:rsidP="00FA0D37">
      <w:pPr>
        <w:pStyle w:val="PL"/>
      </w:pPr>
      <w:r w:rsidRPr="00FA0D37">
        <w:t xml:space="preserve">MRB-ToAddMod-r17 ::=                    </w:t>
      </w:r>
      <w:r w:rsidRPr="00FA0D37">
        <w:rPr>
          <w:color w:val="993366"/>
        </w:rPr>
        <w:t>SEQUENCE</w:t>
      </w:r>
      <w:r w:rsidRPr="00FA0D37">
        <w:t xml:space="preserve"> {</w:t>
      </w:r>
    </w:p>
    <w:p w14:paraId="359244C8" w14:textId="5743BA26" w:rsidR="001E593B" w:rsidRPr="00FA0D37" w:rsidRDefault="001E593B" w:rsidP="00FA0D37">
      <w:pPr>
        <w:pStyle w:val="PL"/>
        <w:rPr>
          <w:color w:val="808080"/>
        </w:rPr>
      </w:pPr>
      <w:r w:rsidRPr="00FA0D37">
        <w:t xml:space="preserve">    </w:t>
      </w:r>
      <w:r w:rsidR="00280BA7" w:rsidRPr="00FA0D37">
        <w:t>mbs-SessionId</w:t>
      </w:r>
      <w:r w:rsidRPr="00FA0D37">
        <w:t xml:space="preserve">-r17                       TMGI-r17                                                </w:t>
      </w:r>
      <w:r w:rsidRPr="00FA0D37">
        <w:rPr>
          <w:color w:val="993366"/>
        </w:rPr>
        <w:t>OPTIONAL</w:t>
      </w:r>
      <w:r w:rsidRPr="00FA0D37">
        <w:t xml:space="preserve">,   </w:t>
      </w:r>
      <w:r w:rsidRPr="00FA0D37">
        <w:rPr>
          <w:color w:val="808080"/>
        </w:rPr>
        <w:t>-- Cond MRBSetup</w:t>
      </w:r>
    </w:p>
    <w:p w14:paraId="4765775C" w14:textId="6FBE8A99" w:rsidR="001E593B" w:rsidRPr="00FA0D37" w:rsidRDefault="001E593B" w:rsidP="00FA0D37">
      <w:pPr>
        <w:pStyle w:val="PL"/>
      </w:pPr>
      <w:r w:rsidRPr="00FA0D37">
        <w:t xml:space="preserve">    mrb-Identity-r17                        MRB-Identity-r17,</w:t>
      </w:r>
    </w:p>
    <w:p w14:paraId="1AA0E1EF" w14:textId="5C491B78" w:rsidR="001E593B" w:rsidRPr="00FA0D37" w:rsidRDefault="001E593B" w:rsidP="00FA0D37">
      <w:pPr>
        <w:pStyle w:val="PL"/>
        <w:rPr>
          <w:color w:val="808080"/>
        </w:rPr>
      </w:pPr>
      <w:r w:rsidRPr="00FA0D37">
        <w:t xml:space="preserve">    mrb-IdentityNew-r17                     MRB-Identity-r17                                        </w:t>
      </w:r>
      <w:r w:rsidRPr="00FA0D37">
        <w:rPr>
          <w:color w:val="993366"/>
        </w:rPr>
        <w:t>OPTIONAL</w:t>
      </w:r>
      <w:r w:rsidRPr="00FA0D37">
        <w:t xml:space="preserve">,   </w:t>
      </w:r>
      <w:r w:rsidRPr="00FA0D37">
        <w:rPr>
          <w:color w:val="808080"/>
        </w:rPr>
        <w:t>-- N</w:t>
      </w:r>
      <w:r w:rsidR="00280BA7" w:rsidRPr="00FA0D37">
        <w:rPr>
          <w:color w:val="808080"/>
        </w:rPr>
        <w:t>eed</w:t>
      </w:r>
      <w:r w:rsidRPr="00FA0D37">
        <w:rPr>
          <w:color w:val="808080"/>
        </w:rPr>
        <w:t xml:space="preserve"> N</w:t>
      </w:r>
    </w:p>
    <w:p w14:paraId="29085BAD" w14:textId="6A2A0C0E" w:rsidR="001E593B" w:rsidRPr="00FA0D37" w:rsidRDefault="001E593B" w:rsidP="00FA0D37">
      <w:pPr>
        <w:pStyle w:val="PL"/>
        <w:rPr>
          <w:color w:val="808080"/>
        </w:rPr>
      </w:pPr>
      <w:r w:rsidRPr="00FA0D37">
        <w:t xml:space="preserve">    reestablishPDCP-r17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Need N</w:t>
      </w:r>
    </w:p>
    <w:p w14:paraId="40B1CB1F" w14:textId="7BAFB85C" w:rsidR="001E593B" w:rsidRPr="00FA0D37" w:rsidRDefault="001E593B" w:rsidP="00FA0D37">
      <w:pPr>
        <w:pStyle w:val="PL"/>
        <w:rPr>
          <w:color w:val="808080"/>
        </w:rPr>
      </w:pPr>
      <w:r w:rsidRPr="00FA0D37">
        <w:t xml:space="preserve">    recoverPDCP-r17                         </w:t>
      </w:r>
      <w:r w:rsidRPr="00FA0D37">
        <w:rPr>
          <w:color w:val="993366"/>
        </w:rPr>
        <w:t>ENUMERATED</w:t>
      </w:r>
      <w:r w:rsidRPr="00FA0D37">
        <w:t xml:space="preserve">{true}                                        </w:t>
      </w:r>
      <w:r w:rsidRPr="00FA0D37">
        <w:rPr>
          <w:color w:val="993366"/>
        </w:rPr>
        <w:t>OPTIONAL</w:t>
      </w:r>
      <w:r w:rsidRPr="00FA0D37">
        <w:t xml:space="preserve">,   </w:t>
      </w:r>
      <w:r w:rsidRPr="00FA0D37">
        <w:rPr>
          <w:color w:val="808080"/>
        </w:rPr>
        <w:t>-- N</w:t>
      </w:r>
      <w:r w:rsidR="00280BA7" w:rsidRPr="00FA0D37">
        <w:rPr>
          <w:color w:val="808080"/>
        </w:rPr>
        <w:t>eed</w:t>
      </w:r>
      <w:r w:rsidRPr="00FA0D37">
        <w:rPr>
          <w:color w:val="808080"/>
        </w:rPr>
        <w:t xml:space="preserve"> N</w:t>
      </w:r>
    </w:p>
    <w:p w14:paraId="7FCA44D7" w14:textId="279900D0" w:rsidR="001E593B" w:rsidRPr="00FA0D37" w:rsidRDefault="001E593B" w:rsidP="00FA0D37">
      <w:pPr>
        <w:pStyle w:val="PL"/>
        <w:rPr>
          <w:color w:val="808080"/>
        </w:rPr>
      </w:pPr>
      <w:r w:rsidRPr="00FA0D37">
        <w:t xml:space="preserve">    pdcp-Config-r17                         PDCP-Config                                             </w:t>
      </w:r>
      <w:r w:rsidRPr="00FA0D37">
        <w:rPr>
          <w:color w:val="993366"/>
        </w:rPr>
        <w:t>OPTIONAL</w:t>
      </w:r>
      <w:r w:rsidRPr="00FA0D37">
        <w:t xml:space="preserve">,   </w:t>
      </w:r>
      <w:r w:rsidRPr="00FA0D37">
        <w:rPr>
          <w:color w:val="808080"/>
        </w:rPr>
        <w:t>-- Cond PDCP</w:t>
      </w:r>
    </w:p>
    <w:p w14:paraId="0DBFF17B" w14:textId="77777777" w:rsidR="001E593B" w:rsidRPr="00FA0D37" w:rsidRDefault="001E593B" w:rsidP="00FA0D37">
      <w:pPr>
        <w:pStyle w:val="PL"/>
      </w:pPr>
      <w:r w:rsidRPr="00FA0D37">
        <w:t xml:space="preserve">    ...</w:t>
      </w:r>
    </w:p>
    <w:p w14:paraId="179FBB73" w14:textId="77777777" w:rsidR="001E593B" w:rsidRPr="00FA0D37" w:rsidRDefault="001E593B" w:rsidP="00FA0D37">
      <w:pPr>
        <w:pStyle w:val="PL"/>
      </w:pPr>
      <w:r w:rsidRPr="00FA0D37">
        <w:lastRenderedPageBreak/>
        <w:t>}</w:t>
      </w:r>
    </w:p>
    <w:p w14:paraId="65E6F45B" w14:textId="77777777" w:rsidR="001E593B" w:rsidRPr="00FA0D37" w:rsidRDefault="001E593B" w:rsidP="00FA0D37">
      <w:pPr>
        <w:pStyle w:val="PL"/>
      </w:pPr>
    </w:p>
    <w:p w14:paraId="68392F22" w14:textId="5041730D" w:rsidR="001E593B" w:rsidRPr="00FA0D37" w:rsidRDefault="001E593B" w:rsidP="00FA0D37">
      <w:pPr>
        <w:pStyle w:val="PL"/>
      </w:pPr>
      <w:r w:rsidRPr="00FA0D37">
        <w:t xml:space="preserve">MRB-ToReleaseList-r17 ::=               </w:t>
      </w:r>
      <w:r w:rsidRPr="00FA0D37">
        <w:rPr>
          <w:color w:val="993366"/>
        </w:rPr>
        <w:t>SEQUENCE</w:t>
      </w:r>
      <w:r w:rsidRPr="00FA0D37">
        <w:t xml:space="preserve"> (</w:t>
      </w:r>
      <w:r w:rsidRPr="00FA0D37">
        <w:rPr>
          <w:color w:val="993366"/>
        </w:rPr>
        <w:t>SIZE</w:t>
      </w:r>
      <w:r w:rsidRPr="00FA0D37">
        <w:t xml:space="preserve"> (1..maxMRB-r17))</w:t>
      </w:r>
      <w:r w:rsidRPr="00FA0D37">
        <w:rPr>
          <w:color w:val="993366"/>
        </w:rPr>
        <w:t xml:space="preserve"> OF</w:t>
      </w:r>
      <w:r w:rsidRPr="00FA0D37">
        <w:t xml:space="preserve"> MRB-Identity-r17</w:t>
      </w:r>
    </w:p>
    <w:p w14:paraId="1246E7D3" w14:textId="77777777" w:rsidR="001E593B" w:rsidRPr="00FA0D37" w:rsidRDefault="001E593B" w:rsidP="00FA0D37">
      <w:pPr>
        <w:pStyle w:val="PL"/>
      </w:pPr>
    </w:p>
    <w:p w14:paraId="55B24F11" w14:textId="77777777" w:rsidR="00394471" w:rsidRPr="00FA0D37" w:rsidRDefault="00394471" w:rsidP="00FA0D37">
      <w:pPr>
        <w:pStyle w:val="PL"/>
        <w:rPr>
          <w:color w:val="808080"/>
        </w:rPr>
      </w:pPr>
      <w:r w:rsidRPr="00FA0D37">
        <w:rPr>
          <w:color w:val="808080"/>
        </w:rPr>
        <w:t>-- TAG-RADIOBEARERCONFIG-STOP</w:t>
      </w:r>
    </w:p>
    <w:p w14:paraId="34902ED2" w14:textId="77777777" w:rsidR="00394471" w:rsidRPr="00FA0D37" w:rsidRDefault="00394471" w:rsidP="00FA0D37">
      <w:pPr>
        <w:pStyle w:val="PL"/>
        <w:rPr>
          <w:color w:val="808080"/>
        </w:rPr>
      </w:pPr>
      <w:r w:rsidRPr="00FA0D37">
        <w:rPr>
          <w:color w:val="808080"/>
        </w:rPr>
        <w:t>-- ASN1STOP</w:t>
      </w:r>
    </w:p>
    <w:p w14:paraId="1A60FA7E"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FA0D37" w:rsidRDefault="00394471" w:rsidP="00964CC4">
            <w:pPr>
              <w:pStyle w:val="TAH"/>
              <w:rPr>
                <w:rFonts w:eastAsia="宋体"/>
                <w:szCs w:val="22"/>
                <w:lang w:eastAsia="sv-SE"/>
              </w:rPr>
            </w:pPr>
            <w:r w:rsidRPr="00FA0D37">
              <w:rPr>
                <w:rFonts w:eastAsia="宋体"/>
                <w:i/>
                <w:szCs w:val="22"/>
                <w:lang w:eastAsia="sv-SE"/>
              </w:rPr>
              <w:t>DRB-ToAddMod</w:t>
            </w:r>
            <w:r w:rsidR="001E593B" w:rsidRPr="00FA0D37">
              <w:rPr>
                <w:rFonts w:eastAsia="宋体"/>
                <w:szCs w:val="22"/>
                <w:lang w:eastAsia="sv-SE"/>
              </w:rPr>
              <w:t xml:space="preserve"> and </w:t>
            </w:r>
            <w:r w:rsidR="001E593B" w:rsidRPr="00FA0D37">
              <w:rPr>
                <w:rFonts w:eastAsia="宋体"/>
                <w:i/>
                <w:szCs w:val="22"/>
                <w:lang w:eastAsia="sv-SE"/>
              </w:rPr>
              <w:t>MRB-ToAddMod</w:t>
            </w:r>
            <w:r w:rsidRPr="00FA0D37">
              <w:rPr>
                <w:rFonts w:eastAsia="宋体"/>
                <w:i/>
                <w:szCs w:val="22"/>
                <w:lang w:eastAsia="sv-SE"/>
              </w:rPr>
              <w:t xml:space="preserve"> </w:t>
            </w:r>
            <w:r w:rsidRPr="00FA0D37">
              <w:rPr>
                <w:rFonts w:eastAsia="宋体"/>
                <w:szCs w:val="22"/>
                <w:lang w:eastAsia="sv-SE"/>
              </w:rPr>
              <w:t>field descriptions</w:t>
            </w:r>
          </w:p>
        </w:tc>
      </w:tr>
      <w:tr w:rsidR="005C7FF4" w:rsidRPr="00FA0D37"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FA0D37" w:rsidRDefault="00394471" w:rsidP="00964CC4">
            <w:pPr>
              <w:pStyle w:val="TAL"/>
              <w:rPr>
                <w:rFonts w:eastAsia="宋体"/>
                <w:szCs w:val="22"/>
                <w:lang w:eastAsia="sv-SE"/>
              </w:rPr>
            </w:pPr>
            <w:r w:rsidRPr="00FA0D37">
              <w:rPr>
                <w:rFonts w:eastAsia="宋体"/>
                <w:b/>
                <w:i/>
                <w:szCs w:val="22"/>
                <w:lang w:eastAsia="sv-SE"/>
              </w:rPr>
              <w:t>cnAssociation</w:t>
            </w:r>
          </w:p>
          <w:p w14:paraId="2A181BA2" w14:textId="77777777" w:rsidR="00394471" w:rsidRPr="00FA0D37" w:rsidRDefault="00394471" w:rsidP="00964CC4">
            <w:pPr>
              <w:pStyle w:val="TAL"/>
              <w:rPr>
                <w:rFonts w:eastAsia="宋体"/>
                <w:szCs w:val="22"/>
                <w:lang w:eastAsia="sv-SE"/>
              </w:rPr>
            </w:pPr>
            <w:r w:rsidRPr="00FA0D37">
              <w:rPr>
                <w:rFonts w:eastAsia="宋体"/>
                <w:szCs w:val="22"/>
                <w:lang w:eastAsia="sv-SE"/>
              </w:rPr>
              <w:t xml:space="preserve">Indicates if the bearer is associated with the </w:t>
            </w:r>
            <w:r w:rsidRPr="00FA0D37">
              <w:rPr>
                <w:rFonts w:eastAsia="宋体"/>
                <w:i/>
                <w:szCs w:val="22"/>
                <w:lang w:eastAsia="sv-SE"/>
              </w:rPr>
              <w:t>eps-bearerIdentity</w:t>
            </w:r>
            <w:r w:rsidRPr="00FA0D37">
              <w:rPr>
                <w:rFonts w:eastAsia="宋体"/>
                <w:szCs w:val="22"/>
                <w:lang w:eastAsia="sv-SE"/>
              </w:rPr>
              <w:t xml:space="preserve"> (when connected to EPC) or </w:t>
            </w:r>
            <w:r w:rsidRPr="00FA0D37">
              <w:rPr>
                <w:rFonts w:eastAsia="宋体"/>
                <w:i/>
                <w:szCs w:val="22"/>
                <w:lang w:eastAsia="sv-SE"/>
              </w:rPr>
              <w:t>sdap-Config</w:t>
            </w:r>
            <w:r w:rsidRPr="00FA0D37">
              <w:rPr>
                <w:rFonts w:eastAsia="宋体"/>
                <w:szCs w:val="22"/>
                <w:lang w:eastAsia="sv-SE"/>
              </w:rPr>
              <w:t xml:space="preserve"> (when connected to 5GC).</w:t>
            </w:r>
          </w:p>
        </w:tc>
      </w:tr>
      <w:tr w:rsidR="005C7FF4" w:rsidRPr="00FA0D37"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FA0D37" w:rsidRDefault="00394471" w:rsidP="00964CC4">
            <w:pPr>
              <w:pStyle w:val="TAL"/>
              <w:rPr>
                <w:rFonts w:eastAsia="宋体"/>
                <w:szCs w:val="22"/>
                <w:lang w:eastAsia="sv-SE"/>
              </w:rPr>
            </w:pPr>
            <w:r w:rsidRPr="00FA0D37">
              <w:rPr>
                <w:b/>
                <w:i/>
                <w:szCs w:val="22"/>
                <w:lang w:eastAsia="sv-SE"/>
              </w:rPr>
              <w:t>daps-Config</w:t>
            </w:r>
          </w:p>
          <w:p w14:paraId="785BB796" w14:textId="0B8B6753" w:rsidR="00394471" w:rsidRPr="00FA0D37" w:rsidRDefault="00394471" w:rsidP="00964CC4">
            <w:pPr>
              <w:pStyle w:val="TAL"/>
              <w:rPr>
                <w:b/>
                <w:i/>
                <w:szCs w:val="22"/>
                <w:lang w:eastAsia="sv-SE"/>
              </w:rPr>
            </w:pPr>
            <w:r w:rsidRPr="00FA0D37">
              <w:rPr>
                <w:rFonts w:eastAsia="宋体"/>
                <w:szCs w:val="22"/>
                <w:lang w:eastAsia="sv-SE"/>
              </w:rPr>
              <w:t>Indicates that the bearer is configured as DAPS bearer.</w:t>
            </w:r>
          </w:p>
        </w:tc>
      </w:tr>
      <w:tr w:rsidR="005C7FF4" w:rsidRPr="00FA0D37"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FA0D37" w:rsidRDefault="00394471" w:rsidP="00964CC4">
            <w:pPr>
              <w:pStyle w:val="TAL"/>
              <w:rPr>
                <w:rFonts w:eastAsia="宋体"/>
                <w:szCs w:val="22"/>
                <w:lang w:eastAsia="sv-SE"/>
              </w:rPr>
            </w:pPr>
            <w:r w:rsidRPr="00FA0D37">
              <w:rPr>
                <w:rFonts w:eastAsia="宋体"/>
                <w:b/>
                <w:i/>
                <w:szCs w:val="22"/>
                <w:lang w:eastAsia="sv-SE"/>
              </w:rPr>
              <w:t>drb-Identity</w:t>
            </w:r>
          </w:p>
          <w:p w14:paraId="3CFCC69A" w14:textId="77777777" w:rsidR="00394471" w:rsidRPr="00FA0D37" w:rsidRDefault="00394471" w:rsidP="00964CC4">
            <w:pPr>
              <w:pStyle w:val="TAL"/>
              <w:rPr>
                <w:rFonts w:eastAsia="宋体"/>
                <w:szCs w:val="22"/>
                <w:lang w:eastAsia="sv-SE"/>
              </w:rPr>
            </w:pPr>
            <w:r w:rsidRPr="00FA0D37">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5C7FF4" w:rsidRPr="00FA0D37"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FA0D37" w:rsidRDefault="00394471" w:rsidP="00964CC4">
            <w:pPr>
              <w:pStyle w:val="TAL"/>
              <w:rPr>
                <w:rFonts w:eastAsia="宋体"/>
                <w:b/>
                <w:i/>
                <w:lang w:eastAsia="sv-SE"/>
              </w:rPr>
            </w:pPr>
            <w:r w:rsidRPr="00FA0D37">
              <w:rPr>
                <w:rFonts w:eastAsia="宋体"/>
                <w:b/>
                <w:i/>
                <w:lang w:eastAsia="sv-SE"/>
              </w:rPr>
              <w:t>eps-BearerIdentity</w:t>
            </w:r>
          </w:p>
          <w:p w14:paraId="3DA23A89" w14:textId="77777777" w:rsidR="00394471" w:rsidRPr="00FA0D37" w:rsidRDefault="00394471" w:rsidP="00964CC4">
            <w:pPr>
              <w:pStyle w:val="TAL"/>
              <w:rPr>
                <w:rFonts w:eastAsia="宋体"/>
                <w:lang w:eastAsia="sv-SE"/>
              </w:rPr>
            </w:pPr>
            <w:r w:rsidRPr="00FA0D37">
              <w:rPr>
                <w:rFonts w:eastAsia="宋体"/>
                <w:lang w:eastAsia="sv-SE"/>
              </w:rPr>
              <w:t>The EPS bearer ID determines the EPS bearer.</w:t>
            </w:r>
          </w:p>
        </w:tc>
      </w:tr>
      <w:tr w:rsidR="005C7FF4" w:rsidRPr="00FA0D37"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FA0D37" w:rsidRDefault="00280BA7" w:rsidP="0071565C">
            <w:pPr>
              <w:pStyle w:val="TAL"/>
              <w:rPr>
                <w:rFonts w:eastAsia="宋体"/>
                <w:b/>
                <w:i/>
                <w:szCs w:val="22"/>
                <w:lang w:eastAsia="sv-SE"/>
              </w:rPr>
            </w:pPr>
            <w:r w:rsidRPr="00FA0D37">
              <w:rPr>
                <w:rFonts w:eastAsia="宋体"/>
                <w:b/>
                <w:i/>
                <w:szCs w:val="22"/>
                <w:lang w:eastAsia="sv-SE"/>
              </w:rPr>
              <w:t>mbs-SessionId</w:t>
            </w:r>
          </w:p>
          <w:p w14:paraId="3123FEE6" w14:textId="411B4366" w:rsidR="00280BA7" w:rsidRPr="00FA0D37" w:rsidRDefault="00280BA7" w:rsidP="0071565C">
            <w:pPr>
              <w:pStyle w:val="TAL"/>
              <w:rPr>
                <w:rFonts w:eastAsia="宋体"/>
                <w:bCs/>
                <w:iCs/>
                <w:szCs w:val="22"/>
                <w:lang w:eastAsia="sv-SE"/>
              </w:rPr>
            </w:pPr>
            <w:r w:rsidRPr="00FA0D37">
              <w:rPr>
                <w:rFonts w:eastAsia="宋体"/>
                <w:bCs/>
                <w:iCs/>
                <w:szCs w:val="22"/>
                <w:lang w:eastAsia="sv-SE"/>
              </w:rPr>
              <w:t>Indicates which multicast MBS session the bearer is associated with.</w:t>
            </w:r>
          </w:p>
        </w:tc>
      </w:tr>
      <w:tr w:rsidR="005C7FF4" w:rsidRPr="00FA0D37"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FA0D37" w:rsidRDefault="001E593B" w:rsidP="00771058">
            <w:pPr>
              <w:pStyle w:val="TAL"/>
              <w:rPr>
                <w:rFonts w:eastAsia="宋体"/>
                <w:szCs w:val="22"/>
                <w:lang w:eastAsia="sv-SE"/>
              </w:rPr>
            </w:pPr>
            <w:r w:rsidRPr="00FA0D37">
              <w:rPr>
                <w:rFonts w:eastAsia="宋体"/>
                <w:b/>
                <w:i/>
                <w:szCs w:val="22"/>
                <w:lang w:eastAsia="sv-SE"/>
              </w:rPr>
              <w:t>mrb-</w:t>
            </w:r>
            <w:r w:rsidRPr="00FA0D37">
              <w:rPr>
                <w:rFonts w:eastAsia="宋体"/>
                <w:b/>
                <w:i/>
                <w:lang w:eastAsia="sv-SE"/>
              </w:rPr>
              <w:t>Identity</w:t>
            </w:r>
          </w:p>
          <w:p w14:paraId="091294F6" w14:textId="77777777" w:rsidR="001E593B" w:rsidRPr="00FA0D37" w:rsidRDefault="001E593B" w:rsidP="00771058">
            <w:pPr>
              <w:pStyle w:val="TAL"/>
              <w:rPr>
                <w:rFonts w:eastAsia="宋体"/>
                <w:b/>
                <w:i/>
                <w:lang w:eastAsia="sv-SE"/>
              </w:rPr>
            </w:pPr>
            <w:r w:rsidRPr="00FA0D37">
              <w:rPr>
                <w:rFonts w:eastAsia="宋体"/>
                <w:szCs w:val="22"/>
                <w:lang w:eastAsia="sv-SE"/>
              </w:rPr>
              <w:t xml:space="preserve">Identification of </w:t>
            </w:r>
            <w:r w:rsidRPr="00FA0D37">
              <w:rPr>
                <w:rFonts w:eastAsia="宋体"/>
                <w:lang w:eastAsia="sv-SE"/>
              </w:rPr>
              <w:t>the</w:t>
            </w:r>
            <w:r w:rsidRPr="00FA0D37">
              <w:rPr>
                <w:rFonts w:eastAsia="宋体"/>
                <w:szCs w:val="22"/>
                <w:lang w:eastAsia="sv-SE"/>
              </w:rPr>
              <w:t xml:space="preserve"> multicast MRB.</w:t>
            </w:r>
          </w:p>
        </w:tc>
      </w:tr>
      <w:tr w:rsidR="005C7FF4" w:rsidRPr="00FA0D37"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FA0D37" w:rsidRDefault="001E593B" w:rsidP="00771058">
            <w:pPr>
              <w:pStyle w:val="TAL"/>
              <w:rPr>
                <w:rFonts w:eastAsia="宋体"/>
                <w:szCs w:val="22"/>
                <w:lang w:eastAsia="sv-SE"/>
              </w:rPr>
            </w:pPr>
            <w:r w:rsidRPr="00FA0D37">
              <w:rPr>
                <w:rFonts w:eastAsia="宋体"/>
                <w:b/>
                <w:i/>
                <w:szCs w:val="22"/>
                <w:lang w:eastAsia="sv-SE"/>
              </w:rPr>
              <w:t>mrb-</w:t>
            </w:r>
            <w:r w:rsidRPr="00FA0D37">
              <w:rPr>
                <w:rFonts w:eastAsia="宋体"/>
                <w:b/>
                <w:i/>
                <w:lang w:eastAsia="sv-SE"/>
              </w:rPr>
              <w:t>IdentityNew</w:t>
            </w:r>
          </w:p>
          <w:p w14:paraId="5B6376D5" w14:textId="77777777" w:rsidR="001E593B" w:rsidRPr="00FA0D37" w:rsidRDefault="001E593B" w:rsidP="00771058">
            <w:pPr>
              <w:pStyle w:val="TAL"/>
              <w:rPr>
                <w:rFonts w:eastAsia="宋体"/>
                <w:b/>
                <w:i/>
                <w:szCs w:val="22"/>
                <w:lang w:eastAsia="sv-SE"/>
              </w:rPr>
            </w:pPr>
            <w:r w:rsidRPr="00FA0D37">
              <w:rPr>
                <w:rFonts w:eastAsia="宋体"/>
                <w:szCs w:val="22"/>
                <w:lang w:eastAsia="sv-SE"/>
              </w:rPr>
              <w:t xml:space="preserve">New identity of </w:t>
            </w:r>
            <w:r w:rsidRPr="00FA0D37">
              <w:rPr>
                <w:rFonts w:eastAsia="宋体"/>
                <w:lang w:eastAsia="sv-SE"/>
              </w:rPr>
              <w:t>the</w:t>
            </w:r>
            <w:r w:rsidRPr="00FA0D37">
              <w:rPr>
                <w:rFonts w:eastAsia="宋体"/>
                <w:szCs w:val="22"/>
                <w:lang w:eastAsia="sv-SE"/>
              </w:rPr>
              <w:t xml:space="preserve"> multicast MRB when </w:t>
            </w:r>
            <w:r w:rsidRPr="00FA0D37">
              <w:rPr>
                <w:rFonts w:eastAsia="宋体"/>
                <w:i/>
                <w:szCs w:val="22"/>
                <w:lang w:eastAsia="sv-SE"/>
              </w:rPr>
              <w:t>mrb-Identity</w:t>
            </w:r>
            <w:r w:rsidRPr="00FA0D37">
              <w:rPr>
                <w:rFonts w:eastAsia="宋体"/>
                <w:szCs w:val="22"/>
                <w:lang w:eastAsia="sv-SE"/>
              </w:rPr>
              <w:t xml:space="preserve"> needs to be changed, e.g. as a result of a handover.</w:t>
            </w:r>
          </w:p>
        </w:tc>
      </w:tr>
      <w:tr w:rsidR="005C7FF4" w:rsidRPr="00FA0D37"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FA0D37" w:rsidRDefault="00394471" w:rsidP="00964CC4">
            <w:pPr>
              <w:pStyle w:val="TAL"/>
              <w:rPr>
                <w:rFonts w:eastAsia="宋体"/>
                <w:szCs w:val="22"/>
                <w:lang w:eastAsia="sv-SE"/>
              </w:rPr>
            </w:pPr>
            <w:r w:rsidRPr="00FA0D37">
              <w:rPr>
                <w:rFonts w:eastAsia="宋体"/>
                <w:b/>
                <w:i/>
                <w:szCs w:val="22"/>
                <w:lang w:eastAsia="sv-SE"/>
              </w:rPr>
              <w:t>reestablishPDCP</w:t>
            </w:r>
          </w:p>
          <w:p w14:paraId="7A99F887" w14:textId="77777777" w:rsidR="00394471" w:rsidRPr="00FA0D37" w:rsidRDefault="00394471" w:rsidP="00964CC4">
            <w:pPr>
              <w:pStyle w:val="TAL"/>
              <w:rPr>
                <w:rFonts w:eastAsia="宋体"/>
                <w:lang w:eastAsia="sv-SE"/>
              </w:rPr>
            </w:pPr>
            <w:r w:rsidRPr="00FA0D37">
              <w:rPr>
                <w:rFonts w:eastAsia="宋体"/>
                <w:lang w:eastAsia="sv-SE"/>
              </w:rPr>
              <w:t xml:space="preserve">Indicates that PDCP should be re-established. Network sets this to </w:t>
            </w:r>
            <w:r w:rsidRPr="00FA0D37">
              <w:rPr>
                <w:i/>
                <w:iCs/>
                <w:lang w:eastAsia="en-GB"/>
              </w:rPr>
              <w:t>true</w:t>
            </w:r>
            <w:r w:rsidRPr="00FA0D37">
              <w:rPr>
                <w:rFonts w:eastAsia="宋体"/>
                <w:lang w:eastAsia="sv-SE"/>
              </w:rPr>
              <w:t xml:space="preserve"> whenever the security key used for this radio bearer changes. Key change could for example be due to termination point change for the bearer,</w:t>
            </w:r>
            <w:r w:rsidRPr="00FA0D37">
              <w:rPr>
                <w:lang w:eastAsia="sv-SE"/>
              </w:rPr>
              <w:t xml:space="preserve"> </w:t>
            </w:r>
            <w:r w:rsidRPr="00FA0D37">
              <w:rPr>
                <w:rFonts w:eastAsia="宋体"/>
                <w:lang w:eastAsia="sv-SE"/>
              </w:rPr>
              <w:t>reconfiguration with sync, resuming an RRC connection, or the first reconfiguration after reestablishment.</w:t>
            </w:r>
            <w:r w:rsidRPr="00FA0D37">
              <w:rPr>
                <w:lang w:eastAsia="sv-SE"/>
              </w:rPr>
              <w:t xml:space="preserve"> It is also applicable for LTE procedures when NR PDCP is configured. Network doesn't include this field </w:t>
            </w:r>
            <w:r w:rsidRPr="00FA0D37">
              <w:t xml:space="preserve">for DRB </w:t>
            </w:r>
            <w:r w:rsidRPr="00FA0D37">
              <w:rPr>
                <w:lang w:eastAsia="sv-SE"/>
              </w:rPr>
              <w:t xml:space="preserve">if </w:t>
            </w:r>
            <w:r w:rsidRPr="00FA0D37">
              <w:t>the bearer is configured as DAPS bearer</w:t>
            </w:r>
            <w:r w:rsidRPr="00FA0D37">
              <w:rPr>
                <w:lang w:eastAsia="sv-SE"/>
              </w:rPr>
              <w:t>.</w:t>
            </w:r>
          </w:p>
        </w:tc>
      </w:tr>
      <w:tr w:rsidR="005C7FF4" w:rsidRPr="00FA0D37"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FA0D37" w:rsidRDefault="00394471" w:rsidP="00964CC4">
            <w:pPr>
              <w:pStyle w:val="TAL"/>
              <w:rPr>
                <w:rFonts w:eastAsia="宋体"/>
                <w:b/>
                <w:i/>
                <w:szCs w:val="22"/>
                <w:lang w:eastAsia="sv-SE"/>
              </w:rPr>
            </w:pPr>
            <w:r w:rsidRPr="00FA0D37">
              <w:rPr>
                <w:rFonts w:eastAsia="宋体"/>
                <w:b/>
                <w:i/>
                <w:szCs w:val="22"/>
                <w:lang w:eastAsia="sv-SE"/>
              </w:rPr>
              <w:t>recoverPDCP</w:t>
            </w:r>
          </w:p>
          <w:p w14:paraId="4EEF9219" w14:textId="77777777" w:rsidR="00394471" w:rsidRPr="00FA0D37" w:rsidRDefault="00394471" w:rsidP="00964CC4">
            <w:pPr>
              <w:pStyle w:val="TAL"/>
              <w:rPr>
                <w:rFonts w:eastAsia="宋体"/>
                <w:b/>
                <w:i/>
                <w:szCs w:val="22"/>
                <w:lang w:eastAsia="sv-SE"/>
              </w:rPr>
            </w:pPr>
            <w:r w:rsidRPr="00FA0D37">
              <w:rPr>
                <w:rFonts w:eastAsia="宋体"/>
                <w:szCs w:val="22"/>
                <w:lang w:eastAsia="sv-SE"/>
              </w:rPr>
              <w:t>Indicates that PDCP should perform recovery according to TS 38.323 [5].</w:t>
            </w:r>
            <w:r w:rsidRPr="00FA0D37">
              <w:rPr>
                <w:lang w:eastAsia="sv-SE"/>
              </w:rPr>
              <w:t xml:space="preserve"> Network doesn't include this field if </w:t>
            </w:r>
            <w:r w:rsidRPr="00FA0D37">
              <w:t>the bearer is configured as DAPS bearer</w:t>
            </w:r>
            <w:r w:rsidRPr="00FA0D37">
              <w:rPr>
                <w:lang w:eastAsia="sv-SE"/>
              </w:rPr>
              <w:t>.</w:t>
            </w:r>
          </w:p>
        </w:tc>
      </w:tr>
      <w:tr w:rsidR="00F747EB" w:rsidRPr="00FA0D37"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FA0D37" w:rsidRDefault="00394471" w:rsidP="00964CC4">
            <w:pPr>
              <w:pStyle w:val="TAL"/>
              <w:rPr>
                <w:rFonts w:eastAsia="宋体"/>
                <w:szCs w:val="22"/>
                <w:lang w:eastAsia="sv-SE"/>
              </w:rPr>
            </w:pPr>
            <w:r w:rsidRPr="00FA0D37">
              <w:rPr>
                <w:rFonts w:eastAsia="宋体"/>
                <w:b/>
                <w:i/>
                <w:szCs w:val="22"/>
                <w:lang w:eastAsia="sv-SE"/>
              </w:rPr>
              <w:t>sdap-Config</w:t>
            </w:r>
          </w:p>
          <w:p w14:paraId="42E7AC08" w14:textId="77777777" w:rsidR="00394471" w:rsidRPr="00FA0D37" w:rsidRDefault="00394471" w:rsidP="00964CC4">
            <w:pPr>
              <w:pStyle w:val="TAL"/>
              <w:rPr>
                <w:rFonts w:eastAsia="宋体"/>
                <w:szCs w:val="22"/>
                <w:lang w:eastAsia="sv-SE"/>
              </w:rPr>
            </w:pPr>
            <w:r w:rsidRPr="00FA0D37">
              <w:rPr>
                <w:rFonts w:eastAsia="宋体"/>
                <w:szCs w:val="22"/>
                <w:lang w:eastAsia="sv-SE"/>
              </w:rPr>
              <w:t>The SDAP configuration determines how to map QoS flows to DRBs when NR or E-UTRA connects to the 5GC and presence/absence of UL/DL SDAP headers.</w:t>
            </w:r>
          </w:p>
        </w:tc>
      </w:tr>
    </w:tbl>
    <w:p w14:paraId="683BF818"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FA0D37" w:rsidRDefault="00394471" w:rsidP="00964CC4">
            <w:pPr>
              <w:pStyle w:val="TAH"/>
              <w:rPr>
                <w:rFonts w:eastAsia="宋体"/>
                <w:szCs w:val="22"/>
                <w:lang w:eastAsia="sv-SE"/>
              </w:rPr>
            </w:pPr>
            <w:r w:rsidRPr="00FA0D37">
              <w:rPr>
                <w:rFonts w:eastAsia="宋体"/>
                <w:i/>
                <w:szCs w:val="22"/>
                <w:lang w:eastAsia="sv-SE"/>
              </w:rPr>
              <w:t xml:space="preserve">RadioBearerConfig </w:t>
            </w:r>
            <w:r w:rsidRPr="00FA0D37">
              <w:rPr>
                <w:rFonts w:eastAsia="宋体"/>
                <w:szCs w:val="22"/>
                <w:lang w:eastAsia="sv-SE"/>
              </w:rPr>
              <w:t>field descriptions</w:t>
            </w:r>
          </w:p>
        </w:tc>
      </w:tr>
      <w:tr w:rsidR="005C7FF4" w:rsidRPr="00FA0D37"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FA0D37" w:rsidRDefault="00394471" w:rsidP="00964CC4">
            <w:pPr>
              <w:pStyle w:val="TAL"/>
              <w:rPr>
                <w:b/>
                <w:i/>
                <w:szCs w:val="22"/>
                <w:lang w:eastAsia="sv-SE"/>
              </w:rPr>
            </w:pPr>
            <w:r w:rsidRPr="00FA0D37">
              <w:rPr>
                <w:b/>
                <w:i/>
                <w:szCs w:val="22"/>
                <w:lang w:eastAsia="sv-SE"/>
              </w:rPr>
              <w:t>securityConfig</w:t>
            </w:r>
          </w:p>
          <w:p w14:paraId="240D1849" w14:textId="77777777" w:rsidR="00394471" w:rsidRPr="00FA0D37" w:rsidRDefault="00394471" w:rsidP="00964CC4">
            <w:pPr>
              <w:pStyle w:val="TAL"/>
              <w:rPr>
                <w:rFonts w:eastAsia="宋体"/>
                <w:szCs w:val="22"/>
                <w:lang w:eastAsia="sv-SE"/>
              </w:rPr>
            </w:pPr>
            <w:r w:rsidRPr="00FA0D37">
              <w:rPr>
                <w:szCs w:val="22"/>
                <w:lang w:eastAsia="sv-SE"/>
              </w:rPr>
              <w:t>Indicates the security algorithm and key to use for the signalling and data radio bearers configured with the list in this IE</w:t>
            </w:r>
            <w:r w:rsidRPr="00FA0D37">
              <w:rPr>
                <w:i/>
                <w:szCs w:val="22"/>
                <w:lang w:eastAsia="sv-SE"/>
              </w:rPr>
              <w:t xml:space="preserve"> RadioBearerConfig</w:t>
            </w:r>
            <w:r w:rsidRPr="00FA0D37">
              <w:rPr>
                <w:szCs w:val="22"/>
                <w:lang w:eastAsia="sv-SE"/>
              </w:rPr>
              <w:t xml:space="preserve">. When the field is not included </w:t>
            </w:r>
            <w:r w:rsidRPr="00FA0D37">
              <w:rPr>
                <w:rFonts w:eastAsia="Batang"/>
                <w:lang w:eastAsia="sv-SE"/>
              </w:rPr>
              <w:t xml:space="preserve">after </w:t>
            </w:r>
            <w:r w:rsidRPr="00FA0D37">
              <w:rPr>
                <w:lang w:eastAsia="sv-SE"/>
              </w:rPr>
              <w:t xml:space="preserve">AS </w:t>
            </w:r>
            <w:r w:rsidRPr="00FA0D37">
              <w:rPr>
                <w:rFonts w:eastAsia="Batang"/>
                <w:lang w:eastAsia="sv-SE"/>
              </w:rPr>
              <w:t>security has been activated</w:t>
            </w:r>
            <w:r w:rsidRPr="00FA0D37">
              <w:rPr>
                <w:szCs w:val="22"/>
                <w:lang w:eastAsia="sv-SE"/>
              </w:rPr>
              <w:t xml:space="preserve">, the UE shall continue to use the currently configured </w:t>
            </w:r>
            <w:r w:rsidRPr="00FA0D37">
              <w:rPr>
                <w:i/>
                <w:szCs w:val="22"/>
                <w:lang w:eastAsia="sv-SE"/>
              </w:rPr>
              <w:t>keyToUse</w:t>
            </w:r>
            <w:r w:rsidRPr="00FA0D37">
              <w:rPr>
                <w:szCs w:val="22"/>
                <w:lang w:eastAsia="sv-SE"/>
              </w:rPr>
              <w:t xml:space="preserve"> and security algorithm for the radio bearers reconfigured with the lists in this IE </w:t>
            </w:r>
            <w:r w:rsidRPr="00FA0D37">
              <w:rPr>
                <w:i/>
                <w:szCs w:val="22"/>
                <w:lang w:eastAsia="sv-SE"/>
              </w:rPr>
              <w:t>RadioBearerConfig</w:t>
            </w:r>
            <w:r w:rsidRPr="00FA0D37">
              <w:rPr>
                <w:szCs w:val="22"/>
                <w:lang w:eastAsia="sv-SE"/>
              </w:rPr>
              <w:t xml:space="preserve">. The field is not included when configuring SRB1 before </w:t>
            </w:r>
            <w:r w:rsidRPr="00FA0D37">
              <w:rPr>
                <w:lang w:eastAsia="sv-SE"/>
              </w:rPr>
              <w:t xml:space="preserve">AS </w:t>
            </w:r>
            <w:r w:rsidRPr="00FA0D37">
              <w:rPr>
                <w:szCs w:val="22"/>
                <w:lang w:eastAsia="sv-SE"/>
              </w:rPr>
              <w:t>security is activated.</w:t>
            </w:r>
          </w:p>
        </w:tc>
      </w:tr>
      <w:tr w:rsidR="00394471" w:rsidRPr="00FA0D37"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FA0D37" w:rsidRDefault="00394471" w:rsidP="00964CC4">
            <w:pPr>
              <w:pStyle w:val="TAL"/>
              <w:rPr>
                <w:szCs w:val="22"/>
                <w:lang w:eastAsia="sv-SE"/>
              </w:rPr>
            </w:pPr>
            <w:r w:rsidRPr="00FA0D37">
              <w:rPr>
                <w:b/>
                <w:i/>
                <w:szCs w:val="22"/>
                <w:lang w:eastAsia="sv-SE"/>
              </w:rPr>
              <w:t>srb3-ToRelease</w:t>
            </w:r>
          </w:p>
          <w:p w14:paraId="23E9B938" w14:textId="77777777" w:rsidR="00394471" w:rsidRPr="00FA0D37" w:rsidRDefault="00394471" w:rsidP="00964CC4">
            <w:pPr>
              <w:pStyle w:val="TAL"/>
              <w:rPr>
                <w:b/>
                <w:i/>
                <w:szCs w:val="22"/>
                <w:lang w:eastAsia="sv-SE"/>
              </w:rPr>
            </w:pPr>
            <w:r w:rsidRPr="00FA0D37">
              <w:rPr>
                <w:szCs w:val="22"/>
                <w:lang w:eastAsia="sv-SE"/>
              </w:rPr>
              <w:t>Release SRB3. SRB3 release can only be done over SRB1 and only at SCG release and reconfiguration with sync.</w:t>
            </w:r>
          </w:p>
        </w:tc>
      </w:tr>
    </w:tbl>
    <w:p w14:paraId="5A87C3C3"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FA0D37" w:rsidRDefault="00394471" w:rsidP="00964CC4">
            <w:pPr>
              <w:pStyle w:val="TAH"/>
              <w:rPr>
                <w:rFonts w:eastAsia="宋体"/>
                <w:szCs w:val="22"/>
                <w:lang w:eastAsia="sv-SE"/>
              </w:rPr>
            </w:pPr>
            <w:r w:rsidRPr="00FA0D37">
              <w:rPr>
                <w:rFonts w:eastAsia="宋体"/>
                <w:i/>
                <w:szCs w:val="22"/>
                <w:lang w:eastAsia="sv-SE"/>
              </w:rPr>
              <w:lastRenderedPageBreak/>
              <w:t xml:space="preserve">SecurityConfig </w:t>
            </w:r>
            <w:r w:rsidRPr="00FA0D37">
              <w:rPr>
                <w:rFonts w:eastAsia="宋体"/>
                <w:szCs w:val="22"/>
                <w:lang w:eastAsia="sv-SE"/>
              </w:rPr>
              <w:t>field descriptions</w:t>
            </w:r>
          </w:p>
        </w:tc>
      </w:tr>
      <w:tr w:rsidR="005C7FF4" w:rsidRPr="00FA0D37"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FA0D37" w:rsidRDefault="00394471" w:rsidP="00964CC4">
            <w:pPr>
              <w:pStyle w:val="TAL"/>
              <w:rPr>
                <w:rFonts w:eastAsia="宋体"/>
                <w:szCs w:val="22"/>
                <w:lang w:eastAsia="sv-SE"/>
              </w:rPr>
            </w:pPr>
            <w:r w:rsidRPr="00FA0D37">
              <w:rPr>
                <w:rFonts w:eastAsia="宋体"/>
                <w:b/>
                <w:i/>
                <w:szCs w:val="22"/>
                <w:lang w:eastAsia="sv-SE"/>
              </w:rPr>
              <w:t>keyToUse</w:t>
            </w:r>
          </w:p>
          <w:p w14:paraId="440ABCD4" w14:textId="77777777" w:rsidR="00394471" w:rsidRPr="00FA0D37" w:rsidRDefault="00394471" w:rsidP="00964CC4">
            <w:pPr>
              <w:pStyle w:val="TAL"/>
              <w:rPr>
                <w:rFonts w:eastAsia="宋体"/>
                <w:szCs w:val="22"/>
                <w:lang w:eastAsia="sv-SE"/>
              </w:rPr>
            </w:pPr>
            <w:r w:rsidRPr="00FA0D37">
              <w:rPr>
                <w:rFonts w:eastAsia="宋体"/>
                <w:szCs w:val="22"/>
                <w:lang w:eastAsia="sv-SE"/>
              </w:rPr>
              <w:t xml:space="preserve">Indicates if the bearers configured with the list in this </w:t>
            </w:r>
            <w:r w:rsidRPr="00FA0D37">
              <w:rPr>
                <w:szCs w:val="22"/>
                <w:lang w:eastAsia="sv-SE"/>
              </w:rPr>
              <w:t xml:space="preserve">IE </w:t>
            </w:r>
            <w:r w:rsidRPr="00FA0D37">
              <w:rPr>
                <w:i/>
                <w:szCs w:val="22"/>
                <w:lang w:eastAsia="sv-SE"/>
              </w:rPr>
              <w:t>RadioBearerConfig</w:t>
            </w:r>
            <w:r w:rsidRPr="00FA0D37">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A0D37">
              <w:rPr>
                <w:rFonts w:eastAsia="宋体"/>
                <w:i/>
                <w:szCs w:val="22"/>
                <w:lang w:eastAsia="sv-SE"/>
              </w:rPr>
              <w:t>keyToUse</w:t>
            </w:r>
            <w:r w:rsidRPr="00FA0D37">
              <w:rPr>
                <w:rFonts w:eastAsia="宋体"/>
                <w:szCs w:val="22"/>
                <w:lang w:eastAsia="sv-SE"/>
              </w:rPr>
              <w:t xml:space="preserve"> for the radio bearers reconfigured with the lists in this </w:t>
            </w:r>
            <w:r w:rsidRPr="00FA0D37">
              <w:rPr>
                <w:szCs w:val="22"/>
                <w:lang w:eastAsia="sv-SE"/>
              </w:rPr>
              <w:t xml:space="preserve">IE </w:t>
            </w:r>
            <w:r w:rsidRPr="00FA0D37">
              <w:rPr>
                <w:i/>
                <w:szCs w:val="22"/>
                <w:lang w:eastAsia="sv-SE"/>
              </w:rPr>
              <w:t>RadioBearerConfig</w:t>
            </w:r>
            <w:r w:rsidRPr="00FA0D37">
              <w:rPr>
                <w:rFonts w:eastAsia="宋体"/>
                <w:szCs w:val="22"/>
                <w:lang w:eastAsia="sv-SE"/>
              </w:rPr>
              <w:t>.</w:t>
            </w:r>
          </w:p>
        </w:tc>
      </w:tr>
      <w:tr w:rsidR="00394471" w:rsidRPr="00FA0D37"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FA0D37" w:rsidRDefault="00394471" w:rsidP="00964CC4">
            <w:pPr>
              <w:pStyle w:val="TAL"/>
              <w:rPr>
                <w:rFonts w:eastAsia="宋体"/>
                <w:szCs w:val="22"/>
                <w:lang w:eastAsia="sv-SE"/>
              </w:rPr>
            </w:pPr>
            <w:r w:rsidRPr="00FA0D37">
              <w:rPr>
                <w:rFonts w:eastAsia="宋体"/>
                <w:b/>
                <w:i/>
                <w:szCs w:val="22"/>
                <w:lang w:eastAsia="sv-SE"/>
              </w:rPr>
              <w:t>securityAlgorithmConfig</w:t>
            </w:r>
          </w:p>
          <w:p w14:paraId="188C8723" w14:textId="77777777" w:rsidR="00394471" w:rsidRPr="00FA0D37" w:rsidRDefault="00394471" w:rsidP="00964CC4">
            <w:pPr>
              <w:pStyle w:val="TAL"/>
              <w:rPr>
                <w:rFonts w:eastAsia="宋体"/>
                <w:szCs w:val="22"/>
                <w:lang w:eastAsia="sv-SE"/>
              </w:rPr>
            </w:pPr>
            <w:r w:rsidRPr="00FA0D37">
              <w:rPr>
                <w:rFonts w:eastAsia="宋体"/>
                <w:szCs w:val="22"/>
                <w:lang w:eastAsia="sv-SE"/>
              </w:rPr>
              <w:t xml:space="preserve">Indicates the security algorithm for the signalling and data radio bearers configured with the list in this </w:t>
            </w:r>
            <w:r w:rsidRPr="00FA0D37">
              <w:rPr>
                <w:szCs w:val="22"/>
                <w:lang w:eastAsia="sv-SE"/>
              </w:rPr>
              <w:t xml:space="preserve">IE </w:t>
            </w:r>
            <w:r w:rsidRPr="00FA0D37">
              <w:rPr>
                <w:i/>
                <w:szCs w:val="22"/>
                <w:lang w:eastAsia="sv-SE"/>
              </w:rPr>
              <w:t>RadioBearerConfig</w:t>
            </w:r>
            <w:r w:rsidRPr="00FA0D37">
              <w:rPr>
                <w:rFonts w:eastAsia="宋体"/>
                <w:szCs w:val="22"/>
                <w:lang w:eastAsia="sv-SE"/>
              </w:rPr>
              <w:t xml:space="preserve">. When the field is not included, the UE shall continue to use the currently configured security algorithm for the radio bearers reconfigured with the lists in this </w:t>
            </w:r>
            <w:r w:rsidRPr="00FA0D37">
              <w:rPr>
                <w:szCs w:val="22"/>
                <w:lang w:eastAsia="sv-SE"/>
              </w:rPr>
              <w:t xml:space="preserve">IE </w:t>
            </w:r>
            <w:r w:rsidRPr="00FA0D37">
              <w:rPr>
                <w:i/>
                <w:szCs w:val="22"/>
                <w:lang w:eastAsia="sv-SE"/>
              </w:rPr>
              <w:t>RadioBearerConfig</w:t>
            </w:r>
            <w:r w:rsidRPr="00FA0D37">
              <w:rPr>
                <w:rFonts w:eastAsia="宋体"/>
                <w:szCs w:val="22"/>
                <w:lang w:eastAsia="sv-SE"/>
              </w:rPr>
              <w:t>.</w:t>
            </w:r>
          </w:p>
        </w:tc>
      </w:tr>
    </w:tbl>
    <w:p w14:paraId="593875F7"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FA0D37" w:rsidRDefault="00394471" w:rsidP="00964CC4">
            <w:pPr>
              <w:pStyle w:val="TAH"/>
              <w:rPr>
                <w:rFonts w:eastAsia="宋体"/>
                <w:szCs w:val="22"/>
                <w:lang w:eastAsia="sv-SE"/>
              </w:rPr>
            </w:pPr>
            <w:r w:rsidRPr="00FA0D37">
              <w:rPr>
                <w:rFonts w:eastAsia="宋体"/>
                <w:i/>
                <w:szCs w:val="22"/>
                <w:lang w:eastAsia="sv-SE"/>
              </w:rPr>
              <w:t xml:space="preserve">SRB-ToAddMod </w:t>
            </w:r>
            <w:r w:rsidRPr="00FA0D37">
              <w:rPr>
                <w:rFonts w:eastAsia="宋体"/>
                <w:szCs w:val="22"/>
                <w:lang w:eastAsia="sv-SE"/>
              </w:rPr>
              <w:t>field descriptions</w:t>
            </w:r>
          </w:p>
        </w:tc>
      </w:tr>
      <w:tr w:rsidR="005C7FF4" w:rsidRPr="00FA0D37"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FA0D37" w:rsidRDefault="00394471" w:rsidP="00964CC4">
            <w:pPr>
              <w:pStyle w:val="TAL"/>
              <w:rPr>
                <w:rFonts w:eastAsia="宋体"/>
                <w:b/>
                <w:i/>
                <w:szCs w:val="22"/>
                <w:lang w:eastAsia="sv-SE"/>
              </w:rPr>
            </w:pPr>
            <w:r w:rsidRPr="00FA0D37">
              <w:rPr>
                <w:rFonts w:eastAsia="宋体"/>
                <w:b/>
                <w:i/>
                <w:szCs w:val="22"/>
                <w:lang w:eastAsia="sv-SE"/>
              </w:rPr>
              <w:t>discardOnPDCP</w:t>
            </w:r>
          </w:p>
          <w:p w14:paraId="3CC348E5" w14:textId="77777777" w:rsidR="00394471" w:rsidRPr="00FA0D37" w:rsidRDefault="00394471" w:rsidP="00964CC4">
            <w:pPr>
              <w:pStyle w:val="TAL"/>
              <w:rPr>
                <w:rFonts w:eastAsia="宋体"/>
                <w:b/>
                <w:i/>
                <w:szCs w:val="22"/>
                <w:lang w:eastAsia="sv-SE"/>
              </w:rPr>
            </w:pPr>
            <w:r w:rsidRPr="00FA0D37">
              <w:rPr>
                <w:lang w:eastAsia="sv-SE"/>
              </w:rPr>
              <w:t>Indicates that PDCP should discard stored SDU and PDU according to TS 38.323 [5].</w:t>
            </w:r>
          </w:p>
        </w:tc>
      </w:tr>
      <w:tr w:rsidR="005C7FF4" w:rsidRPr="00FA0D37"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FA0D37" w:rsidRDefault="00394471" w:rsidP="00964CC4">
            <w:pPr>
              <w:pStyle w:val="TAL"/>
              <w:rPr>
                <w:rFonts w:eastAsia="宋体"/>
                <w:szCs w:val="22"/>
                <w:lang w:eastAsia="sv-SE"/>
              </w:rPr>
            </w:pPr>
            <w:r w:rsidRPr="00FA0D37">
              <w:rPr>
                <w:rFonts w:eastAsia="宋体"/>
                <w:b/>
                <w:i/>
                <w:szCs w:val="22"/>
                <w:lang w:eastAsia="sv-SE"/>
              </w:rPr>
              <w:t>reestablishPDCP</w:t>
            </w:r>
          </w:p>
          <w:p w14:paraId="22B01BB4" w14:textId="4940A48F" w:rsidR="00394471" w:rsidRPr="00FA0D37" w:rsidRDefault="00394471" w:rsidP="00964CC4">
            <w:pPr>
              <w:pStyle w:val="TAL"/>
              <w:rPr>
                <w:rFonts w:eastAsia="宋体"/>
                <w:szCs w:val="22"/>
                <w:lang w:eastAsia="sv-SE"/>
              </w:rPr>
            </w:pPr>
            <w:r w:rsidRPr="00FA0D37">
              <w:rPr>
                <w:rFonts w:eastAsia="宋体"/>
                <w:szCs w:val="22"/>
                <w:lang w:eastAsia="sv-SE"/>
              </w:rPr>
              <w:t xml:space="preserve">Indicates that PDCP should be re-established. Network sets this to </w:t>
            </w:r>
            <w:r w:rsidRPr="00FA0D37">
              <w:rPr>
                <w:i/>
                <w:iCs/>
                <w:lang w:eastAsia="en-GB"/>
              </w:rPr>
              <w:t>true</w:t>
            </w:r>
            <w:r w:rsidRPr="00FA0D37">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FA0D37">
              <w:rPr>
                <w:rFonts w:eastAsia="宋体"/>
                <w:szCs w:val="22"/>
                <w:lang w:eastAsia="sv-SE"/>
              </w:rPr>
              <w:t xml:space="preserve">For SRB1, when resuming an RRC connection, or at the first reconfiguration after RRC connection reestablishment in NR, the network does not set this field to </w:t>
            </w:r>
            <w:r w:rsidR="001B3E50" w:rsidRPr="00FA0D37">
              <w:rPr>
                <w:rFonts w:eastAsia="宋体"/>
                <w:i/>
                <w:iCs/>
                <w:szCs w:val="22"/>
                <w:lang w:eastAsia="sv-SE"/>
              </w:rPr>
              <w:t>true</w:t>
            </w:r>
            <w:r w:rsidR="001B3E50" w:rsidRPr="00FA0D37">
              <w:rPr>
                <w:rFonts w:eastAsia="宋体"/>
                <w:szCs w:val="22"/>
                <w:lang w:eastAsia="sv-SE"/>
              </w:rPr>
              <w:t xml:space="preserve">. </w:t>
            </w:r>
            <w:r w:rsidRPr="00FA0D37">
              <w:rPr>
                <w:rFonts w:eastAsia="宋体"/>
                <w:szCs w:val="22"/>
                <w:lang w:eastAsia="sv-SE"/>
              </w:rPr>
              <w:t>For LTE SRBs using NR PDCP, it could be for handover, RRC connection reestablishment or resume.</w:t>
            </w:r>
            <w:r w:rsidRPr="00FA0D37">
              <w:rPr>
                <w:lang w:eastAsia="sv-SE"/>
              </w:rPr>
              <w:t xml:space="preserve"> Network doesn't include this field if </w:t>
            </w:r>
            <w:r w:rsidRPr="00FA0D37">
              <w:t>any DAPS bearer</w:t>
            </w:r>
            <w:r w:rsidRPr="00FA0D37">
              <w:rPr>
                <w:lang w:eastAsia="sv-SE"/>
              </w:rPr>
              <w:t xml:space="preserve"> is configured.</w:t>
            </w:r>
          </w:p>
        </w:tc>
      </w:tr>
      <w:tr w:rsidR="00394471" w:rsidRPr="00FA0D37"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39CF7A96" w:rsidR="00394471" w:rsidRPr="00FA0D37" w:rsidRDefault="00394471" w:rsidP="00964CC4">
            <w:pPr>
              <w:pStyle w:val="TAL"/>
              <w:rPr>
                <w:rFonts w:eastAsia="宋体"/>
                <w:szCs w:val="22"/>
                <w:lang w:eastAsia="sv-SE"/>
              </w:rPr>
            </w:pPr>
            <w:r w:rsidRPr="00FA0D37">
              <w:rPr>
                <w:rFonts w:eastAsia="宋体"/>
                <w:b/>
                <w:i/>
                <w:szCs w:val="22"/>
                <w:lang w:eastAsia="sv-SE"/>
              </w:rPr>
              <w:t>srb-Identity</w:t>
            </w:r>
            <w:r w:rsidR="0046275D" w:rsidRPr="00FA0D37">
              <w:rPr>
                <w:rFonts w:eastAsia="宋体"/>
                <w:b/>
                <w:i/>
                <w:szCs w:val="22"/>
                <w:lang w:eastAsia="sv-SE"/>
              </w:rPr>
              <w:t>, srb-Identity-v1700</w:t>
            </w:r>
          </w:p>
          <w:p w14:paraId="7112AADD" w14:textId="4C41E126" w:rsidR="00394471" w:rsidRPr="00FA0D37" w:rsidRDefault="00394471" w:rsidP="00964CC4">
            <w:pPr>
              <w:pStyle w:val="TAL"/>
              <w:rPr>
                <w:rFonts w:eastAsia="宋体"/>
                <w:szCs w:val="22"/>
                <w:lang w:eastAsia="sv-SE"/>
              </w:rPr>
            </w:pPr>
            <w:r w:rsidRPr="00FA0D37">
              <w:rPr>
                <w:rFonts w:eastAsia="宋体"/>
                <w:szCs w:val="22"/>
                <w:lang w:eastAsia="sv-SE"/>
              </w:rPr>
              <w:t>Value 1 is applicable for SRB1 only. Value 2 is applicable for SRB2 only. Value 3 is applicable for SRB3 only.</w:t>
            </w:r>
            <w:r w:rsidR="0046275D" w:rsidRPr="00FA0D37">
              <w:rPr>
                <w:rFonts w:eastAsia="宋体"/>
                <w:szCs w:val="22"/>
                <w:lang w:eastAsia="sv-SE"/>
              </w:rPr>
              <w:t xml:space="preserve"> Value 4 is applicable for SRB4 only. </w:t>
            </w:r>
            <w:r w:rsidR="0046275D" w:rsidRPr="00FA0D37">
              <w:rPr>
                <w:lang w:eastAsia="en-GB"/>
              </w:rPr>
              <w:t xml:space="preserve">If </w:t>
            </w:r>
            <w:r w:rsidR="0046275D" w:rsidRPr="00FA0D37">
              <w:rPr>
                <w:i/>
                <w:lang w:eastAsia="en-GB"/>
              </w:rPr>
              <w:t>srb-Identity-v17</w:t>
            </w:r>
            <w:r w:rsidR="00AB7BE4" w:rsidRPr="00FA0D37">
              <w:rPr>
                <w:i/>
                <w:lang w:eastAsia="en-GB"/>
              </w:rPr>
              <w:t>00</w:t>
            </w:r>
            <w:r w:rsidR="0046275D" w:rsidRPr="00FA0D37">
              <w:rPr>
                <w:lang w:eastAsia="en-GB"/>
              </w:rPr>
              <w:t xml:space="preserve"> is received for an SRB, the UE shall ignore </w:t>
            </w:r>
            <w:r w:rsidR="0046275D" w:rsidRPr="00FA0D37">
              <w:rPr>
                <w:i/>
                <w:lang w:eastAsia="en-GB"/>
              </w:rPr>
              <w:t>srb-Identity</w:t>
            </w:r>
            <w:r w:rsidR="0046275D" w:rsidRPr="00FA0D37">
              <w:rPr>
                <w:lang w:eastAsia="en-GB"/>
              </w:rPr>
              <w:t xml:space="preserve"> (i.e. without suffix) for this SRB.</w:t>
            </w:r>
          </w:p>
        </w:tc>
      </w:tr>
    </w:tbl>
    <w:p w14:paraId="376CD95E"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FA0D37" w:rsidRDefault="00394471" w:rsidP="00964CC4">
            <w:pPr>
              <w:pStyle w:val="TAH"/>
              <w:rPr>
                <w:lang w:eastAsia="sv-SE"/>
              </w:rPr>
            </w:pPr>
            <w:r w:rsidRPr="00FA0D37">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FA0D37" w:rsidRDefault="00394471" w:rsidP="00964CC4">
            <w:pPr>
              <w:pStyle w:val="TAH"/>
              <w:rPr>
                <w:lang w:eastAsia="sv-SE"/>
              </w:rPr>
            </w:pPr>
            <w:r w:rsidRPr="00FA0D37">
              <w:rPr>
                <w:lang w:eastAsia="sv-SE"/>
              </w:rPr>
              <w:t>Explanation</w:t>
            </w:r>
          </w:p>
        </w:tc>
      </w:tr>
      <w:tr w:rsidR="005C7FF4" w:rsidRPr="00FA0D37"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FA0D37" w:rsidRDefault="00394471" w:rsidP="00964CC4">
            <w:pPr>
              <w:pStyle w:val="TAL"/>
              <w:rPr>
                <w:i/>
                <w:lang w:eastAsia="sv-SE"/>
              </w:rPr>
            </w:pPr>
            <w:r w:rsidRPr="00FA0D37">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FA0D37" w:rsidRDefault="00394471" w:rsidP="00964CC4">
            <w:pPr>
              <w:pStyle w:val="TAL"/>
              <w:rPr>
                <w:lang w:eastAsia="sv-SE"/>
              </w:rPr>
            </w:pPr>
            <w:r w:rsidRPr="00FA0D37">
              <w:rPr>
                <w:lang w:eastAsia="sv-SE"/>
              </w:rPr>
              <w:t>The field is mandatory present in case of</w:t>
            </w:r>
            <w:r w:rsidR="000514F7" w:rsidRPr="00FA0D37">
              <w:rPr>
                <w:lang w:eastAsia="sv-SE"/>
              </w:rPr>
              <w:t>:</w:t>
            </w:r>
          </w:p>
          <w:p w14:paraId="696826A7" w14:textId="00559483" w:rsidR="000514F7" w:rsidRPr="00FA0D37" w:rsidRDefault="000514F7" w:rsidP="008E4C89">
            <w:pPr>
              <w:pStyle w:val="B1"/>
              <w:spacing w:after="0"/>
              <w:rPr>
                <w:rFonts w:cs="Arial"/>
                <w:szCs w:val="18"/>
                <w:lang w:eastAsia="sv-SE"/>
              </w:rPr>
            </w:pPr>
            <w:r w:rsidRPr="00FA0D37">
              <w:rPr>
                <w:rFonts w:ascii="Arial" w:hAnsi="Arial" w:cs="Arial"/>
                <w:sz w:val="18"/>
                <w:szCs w:val="18"/>
                <w:lang w:eastAsia="sv-SE"/>
              </w:rPr>
              <w:t>-</w:t>
            </w:r>
            <w:r w:rsidRPr="00FA0D37">
              <w:rPr>
                <w:rFonts w:ascii="Arial" w:hAnsi="Arial" w:cs="Arial"/>
                <w:sz w:val="18"/>
                <w:szCs w:val="18"/>
              </w:rPr>
              <w:tab/>
            </w:r>
            <w:r w:rsidR="00394471" w:rsidRPr="00FA0D37">
              <w:rPr>
                <w:rFonts w:ascii="Arial" w:hAnsi="Arial" w:cs="Arial"/>
                <w:sz w:val="18"/>
                <w:szCs w:val="18"/>
                <w:lang w:eastAsia="sv-SE"/>
              </w:rPr>
              <w:t>set up of signalling and data radio bearer</w:t>
            </w:r>
            <w:r w:rsidRPr="00FA0D37">
              <w:rPr>
                <w:rFonts w:ascii="Arial" w:hAnsi="Arial" w:cs="Arial"/>
                <w:sz w:val="18"/>
                <w:szCs w:val="18"/>
                <w:lang w:eastAsia="sv-SE"/>
              </w:rPr>
              <w:t>,</w:t>
            </w:r>
          </w:p>
          <w:p w14:paraId="212706B8" w14:textId="6E2F182A" w:rsidR="000514F7" w:rsidRPr="00FA0D37" w:rsidRDefault="000514F7" w:rsidP="008E4C89">
            <w:pPr>
              <w:pStyle w:val="B1"/>
              <w:spacing w:after="0"/>
              <w:rPr>
                <w:rFonts w:cs="Arial"/>
                <w:szCs w:val="18"/>
                <w:lang w:eastAsia="sv-SE"/>
              </w:rPr>
            </w:pPr>
            <w:r w:rsidRPr="00FA0D37">
              <w:rPr>
                <w:rFonts w:ascii="Arial" w:hAnsi="Arial" w:cs="Arial"/>
                <w:bCs/>
                <w:iCs/>
                <w:sz w:val="18"/>
                <w:szCs w:val="18"/>
                <w:lang w:eastAsia="sv-SE"/>
              </w:rPr>
              <w:t>-</w:t>
            </w:r>
            <w:r w:rsidRPr="00FA0D37">
              <w:rPr>
                <w:rFonts w:ascii="Arial" w:hAnsi="Arial" w:cs="Arial"/>
                <w:sz w:val="18"/>
                <w:szCs w:val="18"/>
              </w:rPr>
              <w:tab/>
            </w:r>
            <w:r w:rsidR="00394471" w:rsidRPr="00FA0D37">
              <w:rPr>
                <w:rFonts w:ascii="Arial" w:hAnsi="Arial" w:cs="Arial"/>
                <w:bCs/>
                <w:iCs/>
                <w:sz w:val="18"/>
                <w:szCs w:val="18"/>
                <w:lang w:eastAsia="sv-SE"/>
              </w:rPr>
              <w:t xml:space="preserve">change of termination point </w:t>
            </w:r>
            <w:r w:rsidR="00394471" w:rsidRPr="00FA0D37">
              <w:rPr>
                <w:rFonts w:ascii="Arial" w:hAnsi="Arial" w:cs="Arial"/>
                <w:sz w:val="18"/>
                <w:szCs w:val="18"/>
                <w:lang w:eastAsia="sv-SE"/>
              </w:rPr>
              <w:t>for the radio bearer</w:t>
            </w:r>
            <w:r w:rsidR="00394471" w:rsidRPr="00FA0D37">
              <w:rPr>
                <w:rFonts w:ascii="Arial" w:hAnsi="Arial" w:cs="Arial"/>
                <w:bCs/>
                <w:iCs/>
                <w:sz w:val="18"/>
                <w:szCs w:val="18"/>
                <w:lang w:eastAsia="sv-SE"/>
              </w:rPr>
              <w:t xml:space="preserve"> between MN and SN</w:t>
            </w:r>
            <w:r w:rsidR="00394471" w:rsidRPr="00FA0D37">
              <w:rPr>
                <w:rFonts w:ascii="Arial" w:hAnsi="Arial" w:cs="Arial"/>
                <w:sz w:val="18"/>
                <w:szCs w:val="18"/>
                <w:lang w:eastAsia="sv-SE"/>
              </w:rPr>
              <w:t>.</w:t>
            </w:r>
          </w:p>
          <w:p w14:paraId="21F60D26" w14:textId="7FCE1C77" w:rsidR="00394471" w:rsidRPr="00FA0D37" w:rsidRDefault="00394471" w:rsidP="00964CC4">
            <w:pPr>
              <w:pStyle w:val="TAL"/>
              <w:rPr>
                <w:lang w:eastAsia="sv-SE"/>
              </w:rPr>
            </w:pPr>
            <w:r w:rsidRPr="00FA0D37">
              <w:rPr>
                <w:lang w:eastAsia="sv-SE"/>
              </w:rPr>
              <w:t>It is optionally present otherwise, Need S.</w:t>
            </w:r>
          </w:p>
        </w:tc>
      </w:tr>
      <w:tr w:rsidR="005C7FF4" w:rsidRPr="00FA0D37"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FA0D37" w:rsidRDefault="00394471" w:rsidP="00964CC4">
            <w:pPr>
              <w:pStyle w:val="TAL"/>
              <w:rPr>
                <w:i/>
                <w:lang w:eastAsia="sv-SE"/>
              </w:rPr>
            </w:pPr>
            <w:r w:rsidRPr="00FA0D37">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FA0D37" w:rsidRDefault="00394471" w:rsidP="00964CC4">
            <w:pPr>
              <w:pStyle w:val="TAL"/>
              <w:rPr>
                <w:lang w:eastAsia="sv-SE"/>
              </w:rPr>
            </w:pPr>
            <w:r w:rsidRPr="00FA0D37">
              <w:rPr>
                <w:lang w:eastAsia="sv-SE"/>
              </w:rPr>
              <w:t>The field is mandatory present in case of:</w:t>
            </w:r>
          </w:p>
          <w:p w14:paraId="0EB8C332" w14:textId="77777777" w:rsidR="00394471" w:rsidRPr="00FA0D37" w:rsidRDefault="00394471" w:rsidP="00964CC4">
            <w:pPr>
              <w:pStyle w:val="B1"/>
              <w:spacing w:after="0"/>
              <w:rPr>
                <w:rFonts w:cs="Arial"/>
                <w:szCs w:val="18"/>
                <w:lang w:eastAsia="sv-SE"/>
              </w:rPr>
            </w:pPr>
            <w:r w:rsidRPr="00FA0D37">
              <w:rPr>
                <w:rFonts w:ascii="Arial" w:hAnsi="Arial" w:cs="Arial"/>
                <w:sz w:val="18"/>
                <w:szCs w:val="18"/>
                <w:lang w:eastAsia="sv-SE"/>
              </w:rPr>
              <w:t>-</w:t>
            </w:r>
            <w:r w:rsidRPr="00FA0D37">
              <w:rPr>
                <w:rFonts w:ascii="Arial" w:hAnsi="Arial" w:cs="Arial"/>
                <w:sz w:val="18"/>
                <w:szCs w:val="18"/>
                <w:lang w:eastAsia="sv-SE"/>
              </w:rPr>
              <w:tab/>
              <w:t>set up of signalling and data radio bearer,</w:t>
            </w:r>
          </w:p>
          <w:p w14:paraId="612505A4" w14:textId="77777777" w:rsidR="00394471" w:rsidRPr="00FA0D37" w:rsidRDefault="00394471" w:rsidP="00964CC4">
            <w:pPr>
              <w:pStyle w:val="B1"/>
              <w:spacing w:after="0"/>
              <w:rPr>
                <w:rFonts w:cs="Arial"/>
                <w:szCs w:val="18"/>
                <w:lang w:eastAsia="sv-SE"/>
              </w:rPr>
            </w:pPr>
            <w:r w:rsidRPr="00FA0D37">
              <w:rPr>
                <w:rFonts w:ascii="Arial" w:hAnsi="Arial" w:cs="Arial"/>
                <w:sz w:val="18"/>
                <w:szCs w:val="18"/>
                <w:lang w:eastAsia="sv-SE"/>
              </w:rPr>
              <w:t>-</w:t>
            </w:r>
            <w:r w:rsidRPr="00FA0D37">
              <w:rPr>
                <w:rFonts w:ascii="Arial" w:hAnsi="Arial" w:cs="Arial"/>
                <w:sz w:val="18"/>
                <w:szCs w:val="18"/>
                <w:lang w:eastAsia="sv-SE"/>
              </w:rPr>
              <w:tab/>
              <w:t>change of termination point for the radio bearer between MN and SN,</w:t>
            </w:r>
          </w:p>
          <w:p w14:paraId="6456526C" w14:textId="77777777" w:rsidR="00394471" w:rsidRPr="00FA0D37" w:rsidRDefault="00394471" w:rsidP="00964CC4">
            <w:pPr>
              <w:pStyle w:val="B1"/>
              <w:spacing w:after="0"/>
              <w:rPr>
                <w:rFonts w:ascii="Arial" w:hAnsi="Arial" w:cs="Arial"/>
                <w:sz w:val="18"/>
                <w:szCs w:val="18"/>
                <w:lang w:eastAsia="sv-SE"/>
              </w:rPr>
            </w:pPr>
            <w:r w:rsidRPr="00FA0D37">
              <w:rPr>
                <w:rFonts w:ascii="Arial" w:hAnsi="Arial" w:cs="Arial"/>
                <w:sz w:val="18"/>
                <w:szCs w:val="18"/>
                <w:lang w:eastAsia="sv-SE"/>
              </w:rPr>
              <w:t>-</w:t>
            </w:r>
            <w:r w:rsidRPr="00FA0D37">
              <w:rPr>
                <w:rFonts w:ascii="Arial" w:hAnsi="Arial" w:cs="Arial"/>
                <w:sz w:val="18"/>
                <w:szCs w:val="18"/>
                <w:lang w:eastAsia="sv-SE"/>
              </w:rPr>
              <w:tab/>
              <w:t>handover from E-UTRA/EPC or E-UTRA/5GC to NR,</w:t>
            </w:r>
          </w:p>
          <w:p w14:paraId="5EA4DE03" w14:textId="77777777" w:rsidR="00394471" w:rsidRPr="00FA0D37" w:rsidRDefault="00394471" w:rsidP="00964CC4">
            <w:pPr>
              <w:pStyle w:val="B1"/>
              <w:spacing w:after="0"/>
              <w:rPr>
                <w:rFonts w:cs="Arial"/>
                <w:szCs w:val="18"/>
                <w:lang w:eastAsia="sv-SE"/>
              </w:rPr>
            </w:pPr>
            <w:r w:rsidRPr="00FA0D37">
              <w:rPr>
                <w:rFonts w:ascii="Arial" w:hAnsi="Arial" w:cs="Arial"/>
                <w:sz w:val="18"/>
                <w:szCs w:val="18"/>
                <w:lang w:eastAsia="sv-SE"/>
              </w:rPr>
              <w:t>-</w:t>
            </w:r>
            <w:r w:rsidRPr="00FA0D37">
              <w:rPr>
                <w:rFonts w:ascii="Arial" w:hAnsi="Arial" w:cs="Arial"/>
                <w:sz w:val="18"/>
                <w:szCs w:val="18"/>
                <w:lang w:eastAsia="sv-SE"/>
              </w:rPr>
              <w:tab/>
              <w:t>handover from NR or E-UTRA/EPC to E-UTRA/5GC if the UE supports NGEN-DC.</w:t>
            </w:r>
          </w:p>
          <w:p w14:paraId="75E5FEB1" w14:textId="77777777" w:rsidR="00394471" w:rsidRPr="00FA0D37" w:rsidRDefault="00394471" w:rsidP="00964CC4">
            <w:pPr>
              <w:pStyle w:val="TAL"/>
              <w:rPr>
                <w:lang w:eastAsia="sv-SE"/>
              </w:rPr>
            </w:pPr>
            <w:r w:rsidRPr="00FA0D37">
              <w:rPr>
                <w:lang w:eastAsia="sv-SE"/>
              </w:rPr>
              <w:t>It is optionally present otherwise, Need S.</w:t>
            </w:r>
          </w:p>
        </w:tc>
      </w:tr>
      <w:tr w:rsidR="005C7FF4" w:rsidRPr="00FA0D37"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FA0D37" w:rsidRDefault="00394471" w:rsidP="00964CC4">
            <w:pPr>
              <w:pStyle w:val="TAL"/>
              <w:rPr>
                <w:i/>
                <w:lang w:eastAsia="sv-SE"/>
              </w:rPr>
            </w:pPr>
            <w:r w:rsidRPr="00FA0D37">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0B36AA37" w:rsidR="00394471" w:rsidRPr="00FA0D37" w:rsidRDefault="00394471" w:rsidP="00964CC4">
            <w:pPr>
              <w:pStyle w:val="TAL"/>
              <w:rPr>
                <w:lang w:eastAsia="sv-SE"/>
              </w:rPr>
            </w:pPr>
            <w:r w:rsidRPr="00FA0D37">
              <w:rPr>
                <w:lang w:eastAsia="sv-SE"/>
              </w:rPr>
              <w:t>The field is mandatory present if the corresponding DRB</w:t>
            </w:r>
            <w:r w:rsidR="001E593B" w:rsidRPr="00FA0D37">
              <w:rPr>
                <w:lang w:eastAsia="sv-SE"/>
              </w:rPr>
              <w:t>/multicast MRB</w:t>
            </w:r>
            <w:r w:rsidRPr="00FA0D37">
              <w:rPr>
                <w:lang w:eastAsia="sv-SE"/>
              </w:rPr>
              <w:t xml:space="preserve"> is being setup or corresponding DRB</w:t>
            </w:r>
            <w:r w:rsidR="001E593B" w:rsidRPr="00FA0D37">
              <w:rPr>
                <w:lang w:eastAsia="sv-SE"/>
              </w:rPr>
              <w:t>/multicast MRB</w:t>
            </w:r>
            <w:r w:rsidRPr="00FA0D37">
              <w:rPr>
                <w:lang w:eastAsia="sv-SE"/>
              </w:rPr>
              <w:t xml:space="preserve"> is reconfigured with NR PDCP or corresponding SRB associated with two RLC entities is being setup or if the number of RLC bearers associated with the DRB</w:t>
            </w:r>
            <w:r w:rsidR="001E593B" w:rsidRPr="00FA0D37">
              <w:rPr>
                <w:lang w:eastAsia="sv-SE"/>
              </w:rPr>
              <w:t>/multicast MRB</w:t>
            </w:r>
            <w:r w:rsidRPr="00FA0D37">
              <w:rPr>
                <w:lang w:eastAsia="sv-SE"/>
              </w:rPr>
              <w:t xml:space="preserve"> or SRB is changed. The field is optionally present, Need S, if the corresponding SRB associated with one RLC entity is being setup or corresponding SRB is reconfigured with NR PDCP; otherwise the field is optionally present, need M.</w:t>
            </w:r>
          </w:p>
        </w:tc>
      </w:tr>
      <w:tr w:rsidR="005C7FF4" w:rsidRPr="00FA0D37"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FA0D37" w:rsidRDefault="00394471" w:rsidP="00964CC4">
            <w:pPr>
              <w:pStyle w:val="TAL"/>
              <w:rPr>
                <w:i/>
                <w:lang w:eastAsia="sv-SE"/>
              </w:rPr>
            </w:pPr>
            <w:r w:rsidRPr="00FA0D37">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FA0D37" w:rsidRDefault="00394471" w:rsidP="00964CC4">
            <w:pPr>
              <w:pStyle w:val="TAL"/>
              <w:rPr>
                <w:lang w:eastAsia="sv-SE"/>
              </w:rPr>
            </w:pPr>
            <w:r w:rsidRPr="00FA0D37">
              <w:rPr>
                <w:lang w:eastAsia="sv-SE"/>
              </w:rPr>
              <w:t>The field is mandatory present if the corresponding DRB is being setup; otherwise the field is optionally present, need M.</w:t>
            </w:r>
          </w:p>
        </w:tc>
      </w:tr>
      <w:tr w:rsidR="005C7FF4" w:rsidRPr="00FA0D37"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FA0D37" w:rsidRDefault="00394471" w:rsidP="00964CC4">
            <w:pPr>
              <w:pStyle w:val="TAL"/>
              <w:rPr>
                <w:i/>
                <w:lang w:eastAsia="sv-SE"/>
              </w:rPr>
            </w:pPr>
            <w:r w:rsidRPr="00FA0D37">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FA0D37" w:rsidRDefault="00394471" w:rsidP="00964CC4">
            <w:pPr>
              <w:pStyle w:val="TAL"/>
              <w:rPr>
                <w:lang w:eastAsia="sv-SE"/>
              </w:rPr>
            </w:pPr>
            <w:r w:rsidRPr="00FA0D37">
              <w:rPr>
                <w:lang w:eastAsia="sv-SE"/>
              </w:rPr>
              <w:t>The field is mandatory present</w:t>
            </w:r>
          </w:p>
          <w:p w14:paraId="7FB65436" w14:textId="77777777" w:rsidR="00394471" w:rsidRPr="00FA0D37" w:rsidRDefault="00394471" w:rsidP="00964CC4">
            <w:pPr>
              <w:pStyle w:val="B1"/>
              <w:spacing w:after="0"/>
              <w:rPr>
                <w:rFonts w:cs="Arial"/>
                <w:szCs w:val="18"/>
                <w:lang w:eastAsia="sv-SE"/>
              </w:rPr>
            </w:pPr>
            <w:r w:rsidRPr="00FA0D37">
              <w:rPr>
                <w:rFonts w:ascii="Arial" w:hAnsi="Arial" w:cs="Arial"/>
                <w:sz w:val="18"/>
                <w:szCs w:val="18"/>
                <w:lang w:eastAsia="sv-SE"/>
              </w:rPr>
              <w:t>-</w:t>
            </w:r>
            <w:r w:rsidRPr="00FA0D37">
              <w:rPr>
                <w:rFonts w:ascii="Arial" w:hAnsi="Arial" w:cs="Arial"/>
                <w:sz w:val="18"/>
                <w:szCs w:val="18"/>
                <w:lang w:eastAsia="sv-SE"/>
              </w:rPr>
              <w:tab/>
              <w:t>in case of inter-system handover from E-UTRA/EPC to E-UTRA/5GC or NR,</w:t>
            </w:r>
          </w:p>
          <w:p w14:paraId="10C9A50A" w14:textId="77777777" w:rsidR="00394471" w:rsidRPr="00FA0D37" w:rsidRDefault="00394471" w:rsidP="00964CC4">
            <w:pPr>
              <w:pStyle w:val="B1"/>
              <w:spacing w:after="0"/>
              <w:rPr>
                <w:rFonts w:cs="Arial"/>
                <w:szCs w:val="18"/>
                <w:lang w:eastAsia="sv-SE"/>
              </w:rPr>
            </w:pPr>
            <w:r w:rsidRPr="00FA0D37">
              <w:rPr>
                <w:rFonts w:ascii="Arial" w:hAnsi="Arial" w:cs="Arial"/>
                <w:sz w:val="18"/>
                <w:szCs w:val="18"/>
                <w:lang w:eastAsia="sv-SE"/>
              </w:rPr>
              <w:t>-</w:t>
            </w:r>
            <w:r w:rsidRPr="00FA0D37">
              <w:rPr>
                <w:rFonts w:ascii="Arial" w:hAnsi="Arial" w:cs="Arial"/>
                <w:sz w:val="18"/>
                <w:szCs w:val="18"/>
                <w:lang w:eastAsia="sv-SE"/>
              </w:rPr>
              <w:tab/>
              <w:t xml:space="preserve">or when the </w:t>
            </w:r>
            <w:r w:rsidRPr="00FA0D37">
              <w:rPr>
                <w:rFonts w:ascii="Arial" w:hAnsi="Arial" w:cs="Arial"/>
                <w:i/>
                <w:sz w:val="18"/>
                <w:szCs w:val="18"/>
                <w:lang w:eastAsia="sv-SE"/>
              </w:rPr>
              <w:t>fullConfig</w:t>
            </w:r>
            <w:r w:rsidRPr="00FA0D37">
              <w:rPr>
                <w:rFonts w:ascii="Arial" w:hAnsi="Arial" w:cs="Arial"/>
                <w:sz w:val="18"/>
                <w:szCs w:val="18"/>
                <w:lang w:eastAsia="sv-SE"/>
              </w:rPr>
              <w:t xml:space="preserve"> is included in the </w:t>
            </w:r>
            <w:r w:rsidRPr="00FA0D37">
              <w:rPr>
                <w:rFonts w:ascii="Arial" w:hAnsi="Arial" w:cs="Arial"/>
                <w:i/>
                <w:sz w:val="18"/>
                <w:szCs w:val="18"/>
                <w:lang w:eastAsia="sv-SE"/>
              </w:rPr>
              <w:t>RRCReconfiguration</w:t>
            </w:r>
            <w:r w:rsidRPr="00FA0D37">
              <w:rPr>
                <w:rFonts w:ascii="Arial" w:hAnsi="Arial" w:cs="Arial"/>
                <w:sz w:val="18"/>
                <w:szCs w:val="18"/>
                <w:lang w:eastAsia="sv-SE"/>
              </w:rPr>
              <w:t xml:space="preserve"> message</w:t>
            </w:r>
            <w:r w:rsidRPr="00FA0D37">
              <w:rPr>
                <w:rFonts w:ascii="Arial" w:hAnsi="Arial" w:cs="Arial"/>
                <w:sz w:val="18"/>
                <w:szCs w:val="18"/>
                <w:lang w:eastAsia="zh-CN"/>
              </w:rPr>
              <w:t xml:space="preserve"> </w:t>
            </w:r>
            <w:r w:rsidRPr="00FA0D37">
              <w:rPr>
                <w:rFonts w:ascii="Arial" w:hAnsi="Arial" w:cs="Arial"/>
                <w:sz w:val="18"/>
                <w:szCs w:val="18"/>
                <w:lang w:eastAsia="sv-SE"/>
              </w:rPr>
              <w:t>and NE-DC/NR-DC is not configured,</w:t>
            </w:r>
          </w:p>
          <w:p w14:paraId="22CD2935" w14:textId="77777777" w:rsidR="00394471" w:rsidRPr="00FA0D37" w:rsidRDefault="00394471" w:rsidP="00964CC4">
            <w:pPr>
              <w:pStyle w:val="B1"/>
              <w:spacing w:after="0"/>
              <w:rPr>
                <w:rFonts w:cs="Arial"/>
                <w:szCs w:val="18"/>
                <w:lang w:eastAsia="sv-SE"/>
              </w:rPr>
            </w:pPr>
            <w:r w:rsidRPr="00FA0D37">
              <w:rPr>
                <w:rFonts w:ascii="Arial" w:hAnsi="Arial" w:cs="Arial"/>
                <w:sz w:val="18"/>
                <w:szCs w:val="18"/>
                <w:lang w:eastAsia="sv-SE"/>
              </w:rPr>
              <w:t>-</w:t>
            </w:r>
            <w:r w:rsidRPr="00FA0D37">
              <w:rPr>
                <w:rFonts w:ascii="Arial" w:hAnsi="Arial" w:cs="Arial"/>
                <w:sz w:val="18"/>
                <w:szCs w:val="18"/>
                <w:lang w:eastAsia="sv-SE"/>
              </w:rPr>
              <w:tab/>
              <w:t xml:space="preserve">or in case of </w:t>
            </w:r>
            <w:r w:rsidRPr="00FA0D37">
              <w:rPr>
                <w:rFonts w:ascii="Arial" w:hAnsi="Arial" w:cs="Arial"/>
                <w:i/>
                <w:sz w:val="18"/>
                <w:szCs w:val="18"/>
                <w:lang w:eastAsia="sv-SE"/>
              </w:rPr>
              <w:t>RRCSetup</w:t>
            </w:r>
            <w:r w:rsidRPr="00FA0D37">
              <w:rPr>
                <w:rFonts w:ascii="Arial" w:hAnsi="Arial" w:cs="Arial"/>
                <w:sz w:val="18"/>
                <w:szCs w:val="18"/>
                <w:lang w:eastAsia="sv-SE"/>
              </w:rPr>
              <w:t>.</w:t>
            </w:r>
          </w:p>
          <w:p w14:paraId="33B28F0D" w14:textId="77777777" w:rsidR="00394471" w:rsidRPr="00FA0D37" w:rsidRDefault="00394471" w:rsidP="00964CC4">
            <w:pPr>
              <w:pStyle w:val="TAL"/>
              <w:rPr>
                <w:lang w:eastAsia="sv-SE"/>
              </w:rPr>
            </w:pPr>
            <w:r w:rsidRPr="00FA0D37">
              <w:rPr>
                <w:lang w:eastAsia="sv-SE"/>
              </w:rPr>
              <w:t>Otherwise the field is optionally present, need N.</w:t>
            </w:r>
          </w:p>
          <w:p w14:paraId="6426B36C" w14:textId="77777777" w:rsidR="00394471" w:rsidRPr="00FA0D37" w:rsidRDefault="00394471" w:rsidP="00964CC4">
            <w:pPr>
              <w:pStyle w:val="TAL"/>
              <w:rPr>
                <w:lang w:eastAsia="sv-SE"/>
              </w:rPr>
            </w:pPr>
            <w:r w:rsidRPr="00FA0D37">
              <w:rPr>
                <w:lang w:eastAsia="sv-SE"/>
              </w:rPr>
              <w:t xml:space="preserve">Upon </w:t>
            </w:r>
            <w:r w:rsidRPr="00FA0D37">
              <w:rPr>
                <w:i/>
                <w:lang w:eastAsia="sv-SE"/>
              </w:rPr>
              <w:t>RRCSetup</w:t>
            </w:r>
            <w:r w:rsidRPr="00FA0D37">
              <w:rPr>
                <w:lang w:eastAsia="sv-SE"/>
              </w:rPr>
              <w:t>, only SRB1 can be present.</w:t>
            </w:r>
          </w:p>
        </w:tc>
      </w:tr>
      <w:tr w:rsidR="005C7FF4" w:rsidRPr="00FA0D37"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FA0D37" w:rsidRDefault="00394471" w:rsidP="00964CC4">
            <w:pPr>
              <w:pStyle w:val="TAL"/>
              <w:rPr>
                <w:i/>
                <w:iCs/>
                <w:lang w:eastAsia="sv-SE"/>
              </w:rPr>
            </w:pPr>
            <w:r w:rsidRPr="00FA0D37">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16674D84" w:rsidR="00394471" w:rsidRPr="00FA0D37" w:rsidRDefault="001E593B" w:rsidP="00964CC4">
            <w:pPr>
              <w:pStyle w:val="TAL"/>
              <w:rPr>
                <w:lang w:eastAsia="sv-SE"/>
              </w:rPr>
            </w:pPr>
            <w:r w:rsidRPr="00FA0D37">
              <w:rPr>
                <w:lang w:eastAsia="sv-SE"/>
              </w:rPr>
              <w:t xml:space="preserve">If </w:t>
            </w:r>
            <w:r w:rsidRPr="00FA0D37">
              <w:rPr>
                <w:i/>
                <w:lang w:eastAsia="sv-SE"/>
              </w:rPr>
              <w:t>mrb-ToAddModList</w:t>
            </w:r>
            <w:r w:rsidRPr="00FA0D37">
              <w:rPr>
                <w:lang w:eastAsia="sv-SE"/>
              </w:rPr>
              <w:t xml:space="preserve"> is not included, the</w:t>
            </w:r>
            <w:r w:rsidR="00394471" w:rsidRPr="00FA0D37">
              <w:rPr>
                <w:lang w:eastAsia="sv-SE"/>
              </w:rPr>
              <w:t xml:space="preserve"> field is mandatory present</w:t>
            </w:r>
          </w:p>
          <w:p w14:paraId="0341597D" w14:textId="77777777" w:rsidR="00394471" w:rsidRPr="00FA0D37" w:rsidRDefault="00394471" w:rsidP="00964CC4">
            <w:pPr>
              <w:pStyle w:val="B1"/>
              <w:spacing w:after="0"/>
              <w:rPr>
                <w:lang w:eastAsia="sv-SE"/>
              </w:rPr>
            </w:pPr>
            <w:r w:rsidRPr="00FA0D37">
              <w:rPr>
                <w:rFonts w:ascii="Arial" w:hAnsi="Arial"/>
                <w:sz w:val="18"/>
                <w:lang w:eastAsia="sv-SE"/>
              </w:rPr>
              <w:t>-</w:t>
            </w:r>
            <w:r w:rsidRPr="00FA0D37">
              <w:rPr>
                <w:rFonts w:ascii="Arial" w:hAnsi="Arial"/>
                <w:sz w:val="18"/>
                <w:lang w:eastAsia="sv-SE"/>
              </w:rPr>
              <w:tab/>
              <w:t>in case of inter-system handover from E-UTRA/EPC to E-UTRA/5GC or NR,</w:t>
            </w:r>
          </w:p>
          <w:p w14:paraId="7D12B678" w14:textId="77777777" w:rsidR="00394471" w:rsidRPr="00FA0D37" w:rsidRDefault="00394471" w:rsidP="00964CC4">
            <w:pPr>
              <w:pStyle w:val="B1"/>
              <w:spacing w:after="0"/>
              <w:rPr>
                <w:lang w:eastAsia="sv-SE"/>
              </w:rPr>
            </w:pPr>
            <w:r w:rsidRPr="00FA0D37">
              <w:rPr>
                <w:rFonts w:ascii="Arial" w:hAnsi="Arial"/>
                <w:sz w:val="18"/>
                <w:lang w:eastAsia="sv-SE"/>
              </w:rPr>
              <w:t>-</w:t>
            </w:r>
            <w:r w:rsidRPr="00FA0D37">
              <w:rPr>
                <w:rFonts w:ascii="Arial" w:hAnsi="Arial"/>
                <w:sz w:val="18"/>
                <w:lang w:eastAsia="sv-SE"/>
              </w:rPr>
              <w:tab/>
              <w:t xml:space="preserve">or when the </w:t>
            </w:r>
            <w:r w:rsidRPr="00FA0D37">
              <w:rPr>
                <w:rFonts w:ascii="Arial" w:hAnsi="Arial"/>
                <w:i/>
                <w:sz w:val="18"/>
                <w:lang w:eastAsia="sv-SE"/>
              </w:rPr>
              <w:t>fullConfig</w:t>
            </w:r>
            <w:r w:rsidRPr="00FA0D37">
              <w:rPr>
                <w:rFonts w:ascii="Arial" w:hAnsi="Arial"/>
                <w:sz w:val="18"/>
                <w:lang w:eastAsia="sv-SE"/>
              </w:rPr>
              <w:t xml:space="preserve"> is included in the </w:t>
            </w:r>
            <w:r w:rsidRPr="00FA0D37">
              <w:rPr>
                <w:rFonts w:ascii="Arial" w:hAnsi="Arial"/>
                <w:i/>
                <w:sz w:val="18"/>
                <w:lang w:eastAsia="sv-SE"/>
              </w:rPr>
              <w:t>RRCReconfiguration</w:t>
            </w:r>
            <w:r w:rsidRPr="00FA0D37">
              <w:rPr>
                <w:rFonts w:ascii="Arial" w:hAnsi="Arial"/>
                <w:sz w:val="18"/>
                <w:lang w:eastAsia="sv-SE"/>
              </w:rPr>
              <w:t xml:space="preserve"> message and NE-DC/NR-DC is not configured.</w:t>
            </w:r>
          </w:p>
          <w:p w14:paraId="51EF244A" w14:textId="77777777" w:rsidR="00394471" w:rsidRPr="00FA0D37" w:rsidRDefault="00394471" w:rsidP="00964CC4">
            <w:pPr>
              <w:pStyle w:val="TAL"/>
              <w:rPr>
                <w:lang w:eastAsia="sv-SE"/>
              </w:rPr>
            </w:pPr>
            <w:r w:rsidRPr="00FA0D37">
              <w:rPr>
                <w:lang w:eastAsia="sv-SE"/>
              </w:rPr>
              <w:t xml:space="preserve">In case of </w:t>
            </w:r>
            <w:r w:rsidRPr="00FA0D37">
              <w:rPr>
                <w:i/>
                <w:lang w:eastAsia="sv-SE"/>
              </w:rPr>
              <w:t>RRCSetup</w:t>
            </w:r>
            <w:r w:rsidRPr="00FA0D37">
              <w:rPr>
                <w:lang w:eastAsia="sv-SE"/>
              </w:rPr>
              <w:t>, the field is absent; otherwise the field is optionally present, need N.</w:t>
            </w:r>
          </w:p>
        </w:tc>
      </w:tr>
      <w:tr w:rsidR="005C7FF4" w:rsidRPr="00FA0D37"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FA0D37" w:rsidRDefault="00097556" w:rsidP="003B657B">
            <w:pPr>
              <w:pStyle w:val="TAL"/>
              <w:rPr>
                <w:i/>
                <w:iCs/>
                <w:lang w:eastAsia="sv-SE"/>
              </w:rPr>
            </w:pPr>
            <w:r w:rsidRPr="00FA0D37">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FA0D37" w:rsidRDefault="00097556" w:rsidP="003B657B">
            <w:pPr>
              <w:pStyle w:val="TAL"/>
              <w:rPr>
                <w:lang w:eastAsia="sv-SE"/>
              </w:rPr>
            </w:pPr>
            <w:r w:rsidRPr="00FA0D37">
              <w:rPr>
                <w:lang w:eastAsia="sv-SE"/>
              </w:rPr>
              <w:t xml:space="preserve">The field is optionally present, need N, in case masterCellGroup includes ReconfigurationWithSync, </w:t>
            </w:r>
            <w:r w:rsidR="003C0215" w:rsidRPr="00FA0D37">
              <w:rPr>
                <w:lang w:eastAsia="sv-SE"/>
              </w:rPr>
              <w:t xml:space="preserve">SCell(s) and SCG are </w:t>
            </w:r>
            <w:r w:rsidRPr="00FA0D37">
              <w:rPr>
                <w:lang w:eastAsia="sv-SE"/>
              </w:rPr>
              <w:t xml:space="preserve"> not configured</w:t>
            </w:r>
            <w:r w:rsidR="003C0215" w:rsidRPr="00FA0D37">
              <w:rPr>
                <w:lang w:eastAsia="sv-SE"/>
              </w:rPr>
              <w:t>, multi-DCI/single-DCI based multi-TRP are not configured in any DL BWP</w:t>
            </w:r>
            <w:r w:rsidR="0058107D" w:rsidRPr="00FA0D37">
              <w:rPr>
                <w:rFonts w:cs="Arial"/>
                <w:lang w:eastAsia="sv-SE"/>
              </w:rPr>
              <w:t xml:space="preserve">, </w:t>
            </w:r>
            <w:r w:rsidR="0058107D" w:rsidRPr="00FA0D37">
              <w:rPr>
                <w:rFonts w:cs="Arial"/>
                <w:i/>
                <w:iCs/>
                <w:lang w:eastAsia="sv-SE"/>
              </w:rPr>
              <w:t>supplementaryUplink</w:t>
            </w:r>
            <w:r w:rsidR="0058107D" w:rsidRPr="00FA0D37">
              <w:rPr>
                <w:rFonts w:cs="Arial"/>
                <w:lang w:eastAsia="sv-SE"/>
              </w:rPr>
              <w:t xml:space="preserve"> is not configured</w:t>
            </w:r>
            <w:r w:rsidR="004D34F2" w:rsidRPr="00FA0D37">
              <w:rPr>
                <w:rFonts w:cs="Arial"/>
                <w:lang w:eastAsia="sv-SE"/>
              </w:rPr>
              <w:t>,</w:t>
            </w:r>
            <w:r w:rsidRPr="00FA0D37">
              <w:rPr>
                <w:lang w:eastAsia="sv-SE"/>
              </w:rPr>
              <w:t xml:space="preserve"> ethernetHeaderCompression is not configured for the DRB</w:t>
            </w:r>
            <w:r w:rsidR="004D34F2" w:rsidRPr="00FA0D37">
              <w:rPr>
                <w:lang w:eastAsia="sv-SE"/>
              </w:rPr>
              <w:t xml:space="preserve">, </w:t>
            </w:r>
            <w:r w:rsidR="005F3346" w:rsidRPr="00FA0D37">
              <w:rPr>
                <w:rFonts w:cs="Arial"/>
                <w:i/>
                <w:lang w:eastAsia="sv-SE"/>
              </w:rPr>
              <w:t>conditionalReconfiguration</w:t>
            </w:r>
            <w:r w:rsidR="005F3346" w:rsidRPr="00FA0D37">
              <w:rPr>
                <w:rFonts w:cs="Arial"/>
                <w:lang w:eastAsia="sv-SE"/>
              </w:rPr>
              <w:t xml:space="preserve"> is not configured, </w:t>
            </w:r>
            <w:r w:rsidR="004D34F2" w:rsidRPr="00FA0D37">
              <w:rPr>
                <w:lang w:eastAsia="sv-SE"/>
              </w:rPr>
              <w:t xml:space="preserve">and </w:t>
            </w:r>
            <w:r w:rsidR="00C1392F" w:rsidRPr="00FA0D37">
              <w:rPr>
                <w:lang w:eastAsia="sv-SE"/>
              </w:rPr>
              <w:t xml:space="preserve">NR </w:t>
            </w:r>
            <w:r w:rsidR="004D34F2" w:rsidRPr="00FA0D37">
              <w:rPr>
                <w:rFonts w:eastAsia="宋体"/>
                <w:szCs w:val="22"/>
              </w:rPr>
              <w:t xml:space="preserve">sidelink </w:t>
            </w:r>
            <w:r w:rsidR="00C1392F" w:rsidRPr="00FA0D37">
              <w:rPr>
                <w:rFonts w:eastAsia="宋体" w:cs="Arial"/>
                <w:szCs w:val="22"/>
              </w:rPr>
              <w:t>and V2X sidelink</w:t>
            </w:r>
            <w:r w:rsidR="00C1392F" w:rsidRPr="00FA0D37">
              <w:rPr>
                <w:rFonts w:eastAsia="宋体"/>
                <w:szCs w:val="22"/>
              </w:rPr>
              <w:t xml:space="preserve"> </w:t>
            </w:r>
            <w:r w:rsidR="005B6238" w:rsidRPr="00FA0D37">
              <w:rPr>
                <w:rFonts w:eastAsia="宋体"/>
                <w:szCs w:val="22"/>
              </w:rPr>
              <w:t xml:space="preserve">are </w:t>
            </w:r>
            <w:r w:rsidR="004D34F2" w:rsidRPr="00FA0D37">
              <w:rPr>
                <w:rFonts w:eastAsia="宋体"/>
                <w:szCs w:val="22"/>
              </w:rPr>
              <w:t>not configured</w:t>
            </w:r>
            <w:r w:rsidRPr="00FA0D37">
              <w:rPr>
                <w:lang w:eastAsia="sv-SE"/>
              </w:rPr>
              <w:t>. Otherwise the field is absent.</w:t>
            </w:r>
          </w:p>
        </w:tc>
      </w:tr>
      <w:tr w:rsidR="000830BB" w:rsidRPr="00FA0D37"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FA0D37" w:rsidRDefault="001E593B" w:rsidP="00771058">
            <w:pPr>
              <w:pStyle w:val="TAL"/>
              <w:rPr>
                <w:i/>
                <w:iCs/>
                <w:lang w:eastAsia="sv-SE"/>
              </w:rPr>
            </w:pPr>
            <w:r w:rsidRPr="00FA0D37">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FA0D37" w:rsidRDefault="001E593B" w:rsidP="00771058">
            <w:pPr>
              <w:pStyle w:val="TAL"/>
              <w:rPr>
                <w:lang w:eastAsia="sv-SE"/>
              </w:rPr>
            </w:pPr>
            <w:r w:rsidRPr="00FA0D37">
              <w:rPr>
                <w:lang w:eastAsia="sv-SE"/>
              </w:rPr>
              <w:t>The field is mandatory present if the corresponding multicast MRB is being setup; otherwise the field is optionally present, need M.</w:t>
            </w:r>
          </w:p>
        </w:tc>
      </w:tr>
    </w:tbl>
    <w:p w14:paraId="3DC3CB09" w14:textId="77777777" w:rsidR="00394471" w:rsidRPr="00FA0D37" w:rsidRDefault="00394471" w:rsidP="00394471"/>
    <w:p w14:paraId="1B50F568" w14:textId="77777777" w:rsidR="00394471" w:rsidRPr="00FA0D37" w:rsidRDefault="00394471" w:rsidP="00394471">
      <w:pPr>
        <w:pStyle w:val="4"/>
      </w:pPr>
      <w:bookmarkStart w:id="1295" w:name="_Toc60777339"/>
      <w:bookmarkStart w:id="1296" w:name="_Toc146781419"/>
      <w:r w:rsidRPr="00FA0D37">
        <w:t>–</w:t>
      </w:r>
      <w:r w:rsidRPr="00FA0D37">
        <w:tab/>
      </w:r>
      <w:r w:rsidRPr="00FA0D37">
        <w:rPr>
          <w:i/>
        </w:rPr>
        <w:t>RadioLinkMonitoringConfig</w:t>
      </w:r>
      <w:bookmarkEnd w:id="1295"/>
      <w:bookmarkEnd w:id="1296"/>
    </w:p>
    <w:p w14:paraId="0BE36828" w14:textId="77777777" w:rsidR="00394471" w:rsidRPr="00FA0D37" w:rsidRDefault="00394471" w:rsidP="00394471">
      <w:r w:rsidRPr="00FA0D37">
        <w:t xml:space="preserve">The IE </w:t>
      </w:r>
      <w:r w:rsidRPr="00FA0D37">
        <w:rPr>
          <w:i/>
        </w:rPr>
        <w:t>RadioLinkMonitoringConfig</w:t>
      </w:r>
      <w:r w:rsidRPr="00FA0D37">
        <w:t xml:space="preserve"> is used to configure radio link monitoring for detection of beam- and/or cell radio link failure. See also TS 38.321 [3], clause 5.1.1.</w:t>
      </w:r>
    </w:p>
    <w:p w14:paraId="2E1F840C" w14:textId="77777777" w:rsidR="00394471" w:rsidRPr="00FA0D37" w:rsidRDefault="00394471" w:rsidP="00394471">
      <w:pPr>
        <w:pStyle w:val="TH"/>
      </w:pPr>
      <w:r w:rsidRPr="00FA0D37">
        <w:rPr>
          <w:i/>
        </w:rPr>
        <w:t>RadioLinkMonitoringConfig</w:t>
      </w:r>
      <w:r w:rsidRPr="00FA0D37">
        <w:t xml:space="preserve"> information element</w:t>
      </w:r>
    </w:p>
    <w:p w14:paraId="0A199F13" w14:textId="77777777" w:rsidR="00394471" w:rsidRPr="00FA0D37" w:rsidRDefault="00394471" w:rsidP="00FA0D37">
      <w:pPr>
        <w:pStyle w:val="PL"/>
        <w:rPr>
          <w:color w:val="808080"/>
        </w:rPr>
      </w:pPr>
      <w:r w:rsidRPr="00FA0D37">
        <w:rPr>
          <w:color w:val="808080"/>
        </w:rPr>
        <w:t>-- ASN1START</w:t>
      </w:r>
    </w:p>
    <w:p w14:paraId="13F83FCC" w14:textId="77777777" w:rsidR="00394471" w:rsidRPr="00FA0D37" w:rsidRDefault="00394471" w:rsidP="00FA0D37">
      <w:pPr>
        <w:pStyle w:val="PL"/>
        <w:rPr>
          <w:color w:val="808080"/>
        </w:rPr>
      </w:pPr>
      <w:r w:rsidRPr="00FA0D37">
        <w:rPr>
          <w:color w:val="808080"/>
        </w:rPr>
        <w:t>-- TAG-RADIOLINKMONITORINGCONFIG-START</w:t>
      </w:r>
    </w:p>
    <w:p w14:paraId="35B428D0" w14:textId="77777777" w:rsidR="00394471" w:rsidRPr="00FA0D37" w:rsidRDefault="00394471" w:rsidP="00FA0D37">
      <w:pPr>
        <w:pStyle w:val="PL"/>
      </w:pPr>
    </w:p>
    <w:p w14:paraId="5B8E73C6" w14:textId="77777777" w:rsidR="00394471" w:rsidRPr="00FA0D37" w:rsidRDefault="00394471" w:rsidP="00FA0D37">
      <w:pPr>
        <w:pStyle w:val="PL"/>
      </w:pPr>
      <w:r w:rsidRPr="00FA0D37">
        <w:lastRenderedPageBreak/>
        <w:t xml:space="preserve">RadioLinkMonitoringConfig ::=       </w:t>
      </w:r>
      <w:r w:rsidRPr="00FA0D37">
        <w:rPr>
          <w:color w:val="993366"/>
        </w:rPr>
        <w:t>SEQUENCE</w:t>
      </w:r>
      <w:r w:rsidRPr="00FA0D37">
        <w:t xml:space="preserve"> {</w:t>
      </w:r>
    </w:p>
    <w:p w14:paraId="02FC6653" w14:textId="31D3A5A5" w:rsidR="00394471" w:rsidRPr="00FA0D37" w:rsidRDefault="00394471" w:rsidP="00FA0D37">
      <w:pPr>
        <w:pStyle w:val="PL"/>
      </w:pPr>
      <w:r w:rsidRPr="00FA0D37">
        <w:t xml:space="preserve">    failureDetectionResourcesToAddModList   </w:t>
      </w:r>
      <w:r w:rsidRPr="00FA0D37">
        <w:rPr>
          <w:color w:val="993366"/>
        </w:rPr>
        <w:t>SEQUENCE</w:t>
      </w:r>
      <w:r w:rsidRPr="00FA0D37">
        <w:t xml:space="preserve"> (</w:t>
      </w:r>
      <w:r w:rsidRPr="00FA0D37">
        <w:rPr>
          <w:color w:val="993366"/>
        </w:rPr>
        <w:t>SIZE</w:t>
      </w:r>
      <w:r w:rsidRPr="00FA0D37">
        <w:t>(1..maxNrofFailureDetectionResources))</w:t>
      </w:r>
      <w:r w:rsidRPr="00FA0D37">
        <w:rPr>
          <w:color w:val="993366"/>
        </w:rPr>
        <w:t xml:space="preserve"> OF</w:t>
      </w:r>
      <w:r w:rsidRPr="00FA0D37">
        <w:t xml:space="preserve"> RadioLinkMonitoringRS</w:t>
      </w:r>
    </w:p>
    <w:p w14:paraId="27EE2724"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76605144" w14:textId="77777777" w:rsidR="00394471" w:rsidRPr="00FA0D37" w:rsidRDefault="00394471" w:rsidP="00FA0D37">
      <w:pPr>
        <w:pStyle w:val="PL"/>
      </w:pPr>
      <w:r w:rsidRPr="00FA0D37">
        <w:t xml:space="preserve">    failureDetectionResourcesToReleaseList  </w:t>
      </w:r>
      <w:r w:rsidRPr="00FA0D37">
        <w:rPr>
          <w:color w:val="993366"/>
        </w:rPr>
        <w:t>SEQUENCE</w:t>
      </w:r>
      <w:r w:rsidRPr="00FA0D37">
        <w:t xml:space="preserve"> (</w:t>
      </w:r>
      <w:r w:rsidRPr="00FA0D37">
        <w:rPr>
          <w:color w:val="993366"/>
        </w:rPr>
        <w:t>SIZE</w:t>
      </w:r>
      <w:r w:rsidRPr="00FA0D37">
        <w:t>(1..maxNrofFailureDetectionResources))</w:t>
      </w:r>
      <w:r w:rsidRPr="00FA0D37">
        <w:rPr>
          <w:color w:val="993366"/>
        </w:rPr>
        <w:t xml:space="preserve"> OF</w:t>
      </w:r>
      <w:r w:rsidRPr="00FA0D37">
        <w:t xml:space="preserve"> RadioLinkMonitoringRS-Id</w:t>
      </w:r>
    </w:p>
    <w:p w14:paraId="681A8F98"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5E0397A7" w14:textId="77777777" w:rsidR="00394471" w:rsidRPr="00FA0D37" w:rsidRDefault="00394471" w:rsidP="00FA0D37">
      <w:pPr>
        <w:pStyle w:val="PL"/>
        <w:rPr>
          <w:color w:val="808080"/>
        </w:rPr>
      </w:pPr>
      <w:r w:rsidRPr="00FA0D37">
        <w:t xml:space="preserve">    beamFailureInstanceMaxCount             </w:t>
      </w:r>
      <w:r w:rsidRPr="00FA0D37">
        <w:rPr>
          <w:color w:val="993366"/>
        </w:rPr>
        <w:t>ENUMERATED</w:t>
      </w:r>
      <w:r w:rsidRPr="00FA0D37">
        <w:t xml:space="preserve"> {n1, n2, n3, n4, n5, n6, n8, n10}                          </w:t>
      </w:r>
      <w:r w:rsidRPr="00FA0D37">
        <w:rPr>
          <w:color w:val="993366"/>
        </w:rPr>
        <w:t>OPTIONAL</w:t>
      </w:r>
      <w:r w:rsidRPr="00FA0D37">
        <w:t xml:space="preserve">, </w:t>
      </w:r>
      <w:r w:rsidRPr="00FA0D37">
        <w:rPr>
          <w:color w:val="808080"/>
        </w:rPr>
        <w:t>-- Need R</w:t>
      </w:r>
    </w:p>
    <w:p w14:paraId="4ADDCEEA" w14:textId="77777777" w:rsidR="00394471" w:rsidRPr="00FA0D37" w:rsidRDefault="00394471" w:rsidP="00FA0D37">
      <w:pPr>
        <w:pStyle w:val="PL"/>
        <w:rPr>
          <w:color w:val="808080"/>
        </w:rPr>
      </w:pPr>
      <w:r w:rsidRPr="00FA0D37">
        <w:t xml:space="preserve">    beamFailureDetectionTimer               </w:t>
      </w:r>
      <w:r w:rsidRPr="00FA0D37">
        <w:rPr>
          <w:color w:val="993366"/>
        </w:rPr>
        <w:t>ENUMERATED</w:t>
      </w:r>
      <w:r w:rsidRPr="00FA0D37">
        <w:t xml:space="preserve"> {pbfd1, pbfd2, pbfd3, pbfd4, pbfd5, pbfd6, pbfd8, pbfd10}  </w:t>
      </w:r>
      <w:r w:rsidRPr="00FA0D37">
        <w:rPr>
          <w:color w:val="993366"/>
        </w:rPr>
        <w:t>OPTIONAL</w:t>
      </w:r>
      <w:r w:rsidRPr="00FA0D37">
        <w:t xml:space="preserve">, </w:t>
      </w:r>
      <w:r w:rsidRPr="00FA0D37">
        <w:rPr>
          <w:color w:val="808080"/>
        </w:rPr>
        <w:t>-- Need R</w:t>
      </w:r>
    </w:p>
    <w:p w14:paraId="01AAAF00" w14:textId="12CBD6CB" w:rsidR="00651368" w:rsidRPr="00FA0D37" w:rsidRDefault="00394471" w:rsidP="00FA0D37">
      <w:pPr>
        <w:pStyle w:val="PL"/>
      </w:pPr>
      <w:r w:rsidRPr="00FA0D37">
        <w:t xml:space="preserve">    ...</w:t>
      </w:r>
      <w:r w:rsidR="00651368" w:rsidRPr="00FA0D37">
        <w:t>,</w:t>
      </w:r>
    </w:p>
    <w:p w14:paraId="33007974" w14:textId="0459939E" w:rsidR="00651368" w:rsidRPr="00FA0D37" w:rsidRDefault="00651368" w:rsidP="00FA0D37">
      <w:pPr>
        <w:pStyle w:val="PL"/>
      </w:pPr>
      <w:r w:rsidRPr="00FA0D37">
        <w:t xml:space="preserve">    [[</w:t>
      </w:r>
    </w:p>
    <w:p w14:paraId="14EBACF5" w14:textId="476913F7" w:rsidR="007B122D" w:rsidRPr="00FA0D37" w:rsidDel="00210407" w:rsidRDefault="007B122D" w:rsidP="00FA0D37">
      <w:pPr>
        <w:pStyle w:val="PL"/>
        <w:rPr>
          <w:color w:val="808080"/>
        </w:rPr>
      </w:pPr>
      <w:r w:rsidRPr="00FA0D37">
        <w:t xml:space="preserve">    beam</w:t>
      </w:r>
      <w:r w:rsidR="00DF1A5D" w:rsidRPr="00FA0D37">
        <w:t>F</w:t>
      </w:r>
      <w:r w:rsidRPr="00FA0D37">
        <w:t>ailure</w:t>
      </w:r>
      <w:r w:rsidR="0005240D" w:rsidRPr="00FA0D37">
        <w:t>-r17</w:t>
      </w:r>
      <w:r w:rsidRPr="00FA0D37">
        <w:t xml:space="preserve">                         BeamFailureDetection</w:t>
      </w:r>
      <w:r w:rsidR="0005240D" w:rsidRPr="00FA0D37">
        <w:t>-r17</w:t>
      </w:r>
      <w:r w:rsidRPr="00FA0D37">
        <w:t xml:space="preserve">                                              </w:t>
      </w:r>
      <w:r w:rsidRPr="00FA0D37">
        <w:rPr>
          <w:color w:val="993366"/>
        </w:rPr>
        <w:t>OPTIONAL</w:t>
      </w:r>
      <w:r w:rsidRPr="00FA0D37">
        <w:t xml:space="preserve">  </w:t>
      </w:r>
      <w:r w:rsidR="00513E07" w:rsidRPr="00FA0D37">
        <w:rPr>
          <w:color w:val="808080"/>
        </w:rPr>
        <w:t>-</w:t>
      </w:r>
      <w:r w:rsidRPr="00FA0D37">
        <w:rPr>
          <w:color w:val="808080"/>
        </w:rPr>
        <w:t>- Need R</w:t>
      </w:r>
    </w:p>
    <w:p w14:paraId="7587E6AA" w14:textId="19898043" w:rsidR="00651368" w:rsidRPr="00FA0D37" w:rsidRDefault="00651368" w:rsidP="00FA0D37">
      <w:pPr>
        <w:pStyle w:val="PL"/>
      </w:pPr>
      <w:r w:rsidRPr="00FA0D37">
        <w:t xml:space="preserve">    ]]</w:t>
      </w:r>
    </w:p>
    <w:p w14:paraId="5296E1A0" w14:textId="77777777" w:rsidR="00394471" w:rsidRPr="00FA0D37" w:rsidRDefault="00394471" w:rsidP="00FA0D37">
      <w:pPr>
        <w:pStyle w:val="PL"/>
      </w:pPr>
      <w:r w:rsidRPr="00FA0D37">
        <w:t>}</w:t>
      </w:r>
    </w:p>
    <w:p w14:paraId="015A99A9" w14:textId="54B8C407" w:rsidR="00394471" w:rsidRPr="00FA0D37" w:rsidRDefault="00394471" w:rsidP="00FA0D37">
      <w:pPr>
        <w:pStyle w:val="PL"/>
      </w:pPr>
    </w:p>
    <w:p w14:paraId="41C0928B" w14:textId="34AF8889" w:rsidR="007B122D" w:rsidRPr="00FA0D37" w:rsidRDefault="007B122D" w:rsidP="00FA0D37">
      <w:pPr>
        <w:pStyle w:val="PL"/>
      </w:pPr>
      <w:r w:rsidRPr="00FA0D37">
        <w:t>BeamFailureDetection</w:t>
      </w:r>
      <w:r w:rsidR="0005240D" w:rsidRPr="00FA0D37">
        <w:t>-r17</w:t>
      </w:r>
      <w:r w:rsidRPr="00FA0D37">
        <w:t xml:space="preserve"> ::=        </w:t>
      </w:r>
      <w:r w:rsidRPr="00FA0D37">
        <w:rPr>
          <w:color w:val="993366"/>
        </w:rPr>
        <w:t>SEQUENCE</w:t>
      </w:r>
      <w:r w:rsidRPr="00FA0D37">
        <w:t xml:space="preserve"> {</w:t>
      </w:r>
    </w:p>
    <w:p w14:paraId="3D1D1135" w14:textId="2306C38C" w:rsidR="007B122D" w:rsidRPr="00FA0D37" w:rsidRDefault="007B122D" w:rsidP="00FA0D37">
      <w:pPr>
        <w:pStyle w:val="PL"/>
        <w:rPr>
          <w:color w:val="808080"/>
        </w:rPr>
      </w:pPr>
      <w:r w:rsidRPr="00FA0D37">
        <w:t xml:space="preserve">    failureDetectionSet1-r17            BeamFailureDetectionSet-r17                                               </w:t>
      </w:r>
      <w:r w:rsidRPr="00FA0D37">
        <w:rPr>
          <w:color w:val="993366"/>
        </w:rPr>
        <w:t>OPTIONAL</w:t>
      </w:r>
      <w:r w:rsidRPr="00FA0D37">
        <w:t xml:space="preserve">, </w:t>
      </w:r>
      <w:r w:rsidRPr="00FA0D37">
        <w:rPr>
          <w:color w:val="808080"/>
        </w:rPr>
        <w:t>-- Need R</w:t>
      </w:r>
    </w:p>
    <w:p w14:paraId="1F2A0475" w14:textId="367DD698" w:rsidR="007B122D" w:rsidRPr="00FA0D37" w:rsidRDefault="007B122D" w:rsidP="00FA0D37">
      <w:pPr>
        <w:pStyle w:val="PL"/>
        <w:rPr>
          <w:color w:val="808080"/>
        </w:rPr>
      </w:pPr>
      <w:r w:rsidRPr="00FA0D37">
        <w:t xml:space="preserve">    failureDetectionSet2-r17            BeamFailureDetectionSet-r17                                               </w:t>
      </w:r>
      <w:r w:rsidRPr="00FA0D37">
        <w:rPr>
          <w:color w:val="993366"/>
        </w:rPr>
        <w:t>OPTIONAL</w:t>
      </w:r>
      <w:r w:rsidRPr="00FA0D37">
        <w:t xml:space="preserve">, </w:t>
      </w:r>
      <w:r w:rsidRPr="00FA0D37">
        <w:rPr>
          <w:color w:val="808080"/>
        </w:rPr>
        <w:t>-- Need R</w:t>
      </w:r>
    </w:p>
    <w:p w14:paraId="4F453069" w14:textId="365E81EF" w:rsidR="007B122D" w:rsidRPr="00FA0D37" w:rsidRDefault="007B122D" w:rsidP="00FA0D37">
      <w:pPr>
        <w:pStyle w:val="PL"/>
        <w:rPr>
          <w:color w:val="808080"/>
        </w:rPr>
      </w:pPr>
      <w:r w:rsidRPr="00FA0D37">
        <w:t xml:space="preserve">    additionalPCI-r17                   AdditionalPCIIndex-r17                                                    </w:t>
      </w:r>
      <w:r w:rsidRPr="00FA0D37">
        <w:rPr>
          <w:color w:val="993366"/>
        </w:rPr>
        <w:t>OPTIONAL</w:t>
      </w:r>
      <w:r w:rsidRPr="00FA0D37">
        <w:t xml:space="preserve">  </w:t>
      </w:r>
      <w:r w:rsidRPr="00FA0D37">
        <w:rPr>
          <w:color w:val="808080"/>
        </w:rPr>
        <w:t>-- Need R</w:t>
      </w:r>
    </w:p>
    <w:p w14:paraId="015DC348" w14:textId="1EE56E29" w:rsidR="007B122D" w:rsidRPr="00FA0D37" w:rsidRDefault="007B122D" w:rsidP="00FA0D37">
      <w:pPr>
        <w:pStyle w:val="PL"/>
      </w:pPr>
      <w:r w:rsidRPr="00FA0D37">
        <w:t>}</w:t>
      </w:r>
    </w:p>
    <w:p w14:paraId="62BFCE98" w14:textId="77777777" w:rsidR="007B122D" w:rsidRPr="00FA0D37" w:rsidRDefault="007B122D" w:rsidP="00FA0D37">
      <w:pPr>
        <w:pStyle w:val="PL"/>
      </w:pPr>
    </w:p>
    <w:p w14:paraId="0BC59667" w14:textId="77777777" w:rsidR="00394471" w:rsidRPr="00FA0D37" w:rsidRDefault="00394471" w:rsidP="00FA0D37">
      <w:pPr>
        <w:pStyle w:val="PL"/>
      </w:pPr>
      <w:r w:rsidRPr="00FA0D37">
        <w:t xml:space="preserve">RadioLinkMonitoringRS ::=           </w:t>
      </w:r>
      <w:r w:rsidRPr="00FA0D37">
        <w:rPr>
          <w:color w:val="993366"/>
        </w:rPr>
        <w:t>SEQUENCE</w:t>
      </w:r>
      <w:r w:rsidRPr="00FA0D37">
        <w:t xml:space="preserve"> {</w:t>
      </w:r>
    </w:p>
    <w:p w14:paraId="3627B520" w14:textId="77777777" w:rsidR="00394471" w:rsidRPr="00FA0D37" w:rsidRDefault="00394471" w:rsidP="00FA0D37">
      <w:pPr>
        <w:pStyle w:val="PL"/>
      </w:pPr>
      <w:r w:rsidRPr="00FA0D37">
        <w:t xml:space="preserve">    radioLinkMonitoringRS-Id            RadioLinkMonitoringRS-Id,</w:t>
      </w:r>
    </w:p>
    <w:p w14:paraId="2C5C6B73" w14:textId="77777777" w:rsidR="00394471" w:rsidRPr="00FA0D37" w:rsidRDefault="00394471" w:rsidP="00FA0D37">
      <w:pPr>
        <w:pStyle w:val="PL"/>
      </w:pPr>
      <w:r w:rsidRPr="00FA0D37">
        <w:t xml:space="preserve">    purpose                             </w:t>
      </w:r>
      <w:r w:rsidRPr="00FA0D37">
        <w:rPr>
          <w:color w:val="993366"/>
        </w:rPr>
        <w:t>ENUMERATED</w:t>
      </w:r>
      <w:r w:rsidRPr="00FA0D37">
        <w:t xml:space="preserve"> {beamFailure, rlf, both},</w:t>
      </w:r>
    </w:p>
    <w:p w14:paraId="7092DC43" w14:textId="77777777" w:rsidR="00394471" w:rsidRPr="00FA0D37" w:rsidRDefault="00394471" w:rsidP="00FA0D37">
      <w:pPr>
        <w:pStyle w:val="PL"/>
      </w:pPr>
      <w:r w:rsidRPr="00FA0D37">
        <w:t xml:space="preserve">    detectionResource                   </w:t>
      </w:r>
      <w:r w:rsidRPr="00FA0D37">
        <w:rPr>
          <w:color w:val="993366"/>
        </w:rPr>
        <w:t>CHOICE</w:t>
      </w:r>
      <w:r w:rsidRPr="00FA0D37">
        <w:t xml:space="preserve"> {</w:t>
      </w:r>
    </w:p>
    <w:p w14:paraId="4D18ED1A" w14:textId="77777777" w:rsidR="00394471" w:rsidRPr="00FA0D37" w:rsidRDefault="00394471" w:rsidP="00FA0D37">
      <w:pPr>
        <w:pStyle w:val="PL"/>
      </w:pPr>
      <w:r w:rsidRPr="00FA0D37">
        <w:t xml:space="preserve">        ssb-Index                           SSB-Index,</w:t>
      </w:r>
    </w:p>
    <w:p w14:paraId="504CD48A" w14:textId="77777777" w:rsidR="00394471" w:rsidRPr="00FA0D37" w:rsidRDefault="00394471" w:rsidP="00FA0D37">
      <w:pPr>
        <w:pStyle w:val="PL"/>
      </w:pPr>
      <w:r w:rsidRPr="00FA0D37">
        <w:t xml:space="preserve">        csi-RS-Index                        NZP-CSI-RS-ResourceId</w:t>
      </w:r>
    </w:p>
    <w:p w14:paraId="2E8280A9" w14:textId="77777777" w:rsidR="00394471" w:rsidRPr="00FA0D37" w:rsidRDefault="00394471" w:rsidP="00FA0D37">
      <w:pPr>
        <w:pStyle w:val="PL"/>
      </w:pPr>
      <w:r w:rsidRPr="00FA0D37">
        <w:t xml:space="preserve">    },</w:t>
      </w:r>
    </w:p>
    <w:p w14:paraId="5F8E94A8" w14:textId="77777777" w:rsidR="00394471" w:rsidRPr="00FA0D37" w:rsidRDefault="00394471" w:rsidP="00FA0D37">
      <w:pPr>
        <w:pStyle w:val="PL"/>
      </w:pPr>
      <w:r w:rsidRPr="00FA0D37">
        <w:t xml:space="preserve">    ...</w:t>
      </w:r>
    </w:p>
    <w:p w14:paraId="7BE9D2E2" w14:textId="77777777" w:rsidR="00394471" w:rsidRPr="00FA0D37" w:rsidRDefault="00394471" w:rsidP="00FA0D37">
      <w:pPr>
        <w:pStyle w:val="PL"/>
      </w:pPr>
      <w:r w:rsidRPr="00FA0D37">
        <w:t>}</w:t>
      </w:r>
    </w:p>
    <w:p w14:paraId="544C30D8" w14:textId="096A9F3D" w:rsidR="00394471" w:rsidRPr="00FA0D37" w:rsidRDefault="00394471" w:rsidP="00FA0D37">
      <w:pPr>
        <w:pStyle w:val="PL"/>
      </w:pPr>
    </w:p>
    <w:p w14:paraId="4FC56A40" w14:textId="116D6C5A" w:rsidR="00651368" w:rsidRPr="00FA0D37" w:rsidRDefault="00651368" w:rsidP="00FA0D37">
      <w:pPr>
        <w:pStyle w:val="PL"/>
      </w:pPr>
      <w:r w:rsidRPr="00FA0D37">
        <w:t xml:space="preserve">BeamFailureDetectionSet-r17  ::=    </w:t>
      </w:r>
      <w:r w:rsidRPr="00FA0D37">
        <w:rPr>
          <w:color w:val="993366"/>
        </w:rPr>
        <w:t>SEQUENCE</w:t>
      </w:r>
      <w:r w:rsidRPr="00FA0D37">
        <w:t xml:space="preserve"> {</w:t>
      </w:r>
    </w:p>
    <w:p w14:paraId="12C79371" w14:textId="34C8CB20" w:rsidR="00651368" w:rsidRPr="00FA0D37" w:rsidRDefault="00651368" w:rsidP="00FA0D37">
      <w:pPr>
        <w:pStyle w:val="PL"/>
      </w:pPr>
      <w:r w:rsidRPr="00FA0D37">
        <w:t xml:space="preserve">    bfdResourcesToAddModList-r17        </w:t>
      </w:r>
      <w:r w:rsidRPr="00FA0D37">
        <w:rPr>
          <w:color w:val="993366"/>
        </w:rPr>
        <w:t>SEQUENCE</w:t>
      </w:r>
      <w:r w:rsidRPr="00FA0D37">
        <w:t xml:space="preserve"> (</w:t>
      </w:r>
      <w:r w:rsidRPr="00FA0D37">
        <w:rPr>
          <w:color w:val="993366"/>
        </w:rPr>
        <w:t>SIZE</w:t>
      </w:r>
      <w:r w:rsidRPr="00FA0D37">
        <w:t>(1..maxNrofBFDResourcePerSet-r17))</w:t>
      </w:r>
      <w:r w:rsidRPr="00FA0D37">
        <w:rPr>
          <w:color w:val="993366"/>
        </w:rPr>
        <w:t xml:space="preserve"> OF</w:t>
      </w:r>
      <w:r w:rsidRPr="00FA0D37">
        <w:t xml:space="preserve"> </w:t>
      </w:r>
      <w:r w:rsidR="007B122D" w:rsidRPr="00FA0D37">
        <w:t>Beam</w:t>
      </w:r>
      <w:r w:rsidRPr="00FA0D37">
        <w:t>LinkMonitoringRS</w:t>
      </w:r>
      <w:r w:rsidR="007B122D" w:rsidRPr="00FA0D37">
        <w:t>-r17</w:t>
      </w:r>
    </w:p>
    <w:p w14:paraId="0D70137F" w14:textId="77777777" w:rsidR="00651368" w:rsidRPr="00FA0D37" w:rsidRDefault="00651368"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1FA8A084" w14:textId="162562AB" w:rsidR="00651368" w:rsidRPr="00FA0D37" w:rsidRDefault="00651368" w:rsidP="00FA0D37">
      <w:pPr>
        <w:pStyle w:val="PL"/>
      </w:pPr>
      <w:r w:rsidRPr="00FA0D37">
        <w:t xml:space="preserve">    bfdResourcesToReleaseList-r17       </w:t>
      </w:r>
      <w:r w:rsidRPr="00FA0D37">
        <w:rPr>
          <w:color w:val="993366"/>
        </w:rPr>
        <w:t>SEQUENCE</w:t>
      </w:r>
      <w:r w:rsidRPr="00FA0D37">
        <w:t xml:space="preserve"> (</w:t>
      </w:r>
      <w:r w:rsidRPr="00FA0D37">
        <w:rPr>
          <w:color w:val="993366"/>
        </w:rPr>
        <w:t>SIZE</w:t>
      </w:r>
      <w:r w:rsidRPr="00FA0D37">
        <w:t>(1..</w:t>
      </w:r>
      <w:r w:rsidR="00D230C3" w:rsidRPr="00FA0D37">
        <w:t>maxNrofBFDResourcePerSet</w:t>
      </w:r>
      <w:r w:rsidRPr="00FA0D37">
        <w:t>-r17))</w:t>
      </w:r>
      <w:r w:rsidRPr="00FA0D37">
        <w:rPr>
          <w:color w:val="993366"/>
        </w:rPr>
        <w:t xml:space="preserve"> OF</w:t>
      </w:r>
      <w:r w:rsidRPr="00FA0D37">
        <w:t xml:space="preserve"> </w:t>
      </w:r>
      <w:r w:rsidR="007B122D" w:rsidRPr="00FA0D37">
        <w:t>Beam</w:t>
      </w:r>
      <w:r w:rsidRPr="00FA0D37">
        <w:t>LinkMonitoringRS-Id</w:t>
      </w:r>
      <w:r w:rsidR="007B122D" w:rsidRPr="00FA0D37">
        <w:t>-r17</w:t>
      </w:r>
    </w:p>
    <w:p w14:paraId="2322B655" w14:textId="77777777" w:rsidR="00651368" w:rsidRPr="00FA0D37" w:rsidRDefault="00651368"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05B98E35" w14:textId="55F887DD" w:rsidR="00651368" w:rsidRPr="00FA0D37" w:rsidRDefault="00651368" w:rsidP="00FA0D37">
      <w:pPr>
        <w:pStyle w:val="PL"/>
        <w:rPr>
          <w:color w:val="808080"/>
        </w:rPr>
      </w:pPr>
      <w:r w:rsidRPr="00FA0D37">
        <w:t xml:space="preserve">    beamFailureInstanceMaxCount-r17     </w:t>
      </w:r>
      <w:r w:rsidRPr="00FA0D37">
        <w:rPr>
          <w:color w:val="993366"/>
        </w:rPr>
        <w:t>ENUMERATED</w:t>
      </w:r>
      <w:r w:rsidRPr="00FA0D37">
        <w:t xml:space="preserve"> {n1, n2, n3, n4, n5, n6, n8, n10}                              </w:t>
      </w:r>
      <w:r w:rsidRPr="00FA0D37">
        <w:rPr>
          <w:color w:val="993366"/>
        </w:rPr>
        <w:t>OPTIONAL</w:t>
      </w:r>
      <w:r w:rsidRPr="00FA0D37">
        <w:t xml:space="preserve">, </w:t>
      </w:r>
      <w:r w:rsidRPr="00FA0D37">
        <w:rPr>
          <w:color w:val="808080"/>
        </w:rPr>
        <w:t>-- Need R</w:t>
      </w:r>
    </w:p>
    <w:p w14:paraId="3A914AFD" w14:textId="7A9E84C5" w:rsidR="00651368" w:rsidRPr="00FA0D37" w:rsidRDefault="00651368" w:rsidP="00FA0D37">
      <w:pPr>
        <w:pStyle w:val="PL"/>
        <w:rPr>
          <w:color w:val="808080"/>
        </w:rPr>
      </w:pPr>
      <w:r w:rsidRPr="00FA0D37">
        <w:t xml:space="preserve">    beamFailureDetectionTimer-r17       </w:t>
      </w:r>
      <w:r w:rsidRPr="00FA0D37">
        <w:rPr>
          <w:color w:val="993366"/>
        </w:rPr>
        <w:t>ENUMERATED</w:t>
      </w:r>
      <w:r w:rsidRPr="00FA0D37">
        <w:t xml:space="preserve"> {pbfd1, pbfd2, pbfd3, pbfd4, pbfd5, pbfd6, pbfd8, pbfd10}      </w:t>
      </w:r>
      <w:r w:rsidRPr="00FA0D37">
        <w:rPr>
          <w:color w:val="993366"/>
        </w:rPr>
        <w:t>OPTIONAL</w:t>
      </w:r>
      <w:r w:rsidR="00D230C3" w:rsidRPr="00FA0D37">
        <w:t>,</w:t>
      </w:r>
      <w:r w:rsidRPr="00FA0D37">
        <w:t xml:space="preserve"> </w:t>
      </w:r>
      <w:r w:rsidRPr="00FA0D37">
        <w:rPr>
          <w:color w:val="808080"/>
        </w:rPr>
        <w:t>-- Need R</w:t>
      </w:r>
    </w:p>
    <w:p w14:paraId="72F6AD8A" w14:textId="77777777" w:rsidR="00651368" w:rsidRPr="00FA0D37" w:rsidRDefault="00651368" w:rsidP="00FA0D37">
      <w:pPr>
        <w:pStyle w:val="PL"/>
      </w:pPr>
      <w:r w:rsidRPr="00FA0D37">
        <w:t xml:space="preserve">    ...</w:t>
      </w:r>
    </w:p>
    <w:p w14:paraId="4E8AEFC1" w14:textId="77777777" w:rsidR="007B122D" w:rsidRPr="00FA0D37" w:rsidRDefault="00651368" w:rsidP="00FA0D37">
      <w:pPr>
        <w:pStyle w:val="PL"/>
      </w:pPr>
      <w:r w:rsidRPr="00FA0D37">
        <w:t>}</w:t>
      </w:r>
    </w:p>
    <w:p w14:paraId="431C925C" w14:textId="77777777" w:rsidR="007B122D" w:rsidRPr="00FA0D37" w:rsidRDefault="007B122D" w:rsidP="00FA0D37">
      <w:pPr>
        <w:pStyle w:val="PL"/>
      </w:pPr>
    </w:p>
    <w:p w14:paraId="3A27A5B2" w14:textId="1BBDBC15" w:rsidR="007B122D" w:rsidRPr="00FA0D37" w:rsidRDefault="007B122D" w:rsidP="00FA0D37">
      <w:pPr>
        <w:pStyle w:val="PL"/>
      </w:pPr>
      <w:r w:rsidRPr="00FA0D37">
        <w:t xml:space="preserve">BeamLinkMonitoringRS-r17 ::=        </w:t>
      </w:r>
      <w:r w:rsidRPr="00FA0D37">
        <w:rPr>
          <w:color w:val="993366"/>
        </w:rPr>
        <w:t>SEQUENCE</w:t>
      </w:r>
      <w:r w:rsidRPr="00FA0D37">
        <w:t xml:space="preserve"> {</w:t>
      </w:r>
    </w:p>
    <w:p w14:paraId="1E0C6213" w14:textId="7BB424F6" w:rsidR="007B122D" w:rsidRPr="00FA0D37" w:rsidRDefault="007B122D" w:rsidP="00FA0D37">
      <w:pPr>
        <w:pStyle w:val="PL"/>
      </w:pPr>
      <w:r w:rsidRPr="00FA0D37">
        <w:t xml:space="preserve">    beamLinkMonitoringRS-Id-r17         BeamLinkMonitoringRS-Id-r17,</w:t>
      </w:r>
    </w:p>
    <w:p w14:paraId="5C1B4685" w14:textId="5EC0C4AC" w:rsidR="007B122D" w:rsidRPr="00FA0D37" w:rsidRDefault="007B122D" w:rsidP="00FA0D37">
      <w:pPr>
        <w:pStyle w:val="PL"/>
      </w:pPr>
      <w:r w:rsidRPr="00FA0D37">
        <w:t xml:space="preserve">    detectionResource-r17               </w:t>
      </w:r>
      <w:r w:rsidRPr="00FA0D37">
        <w:rPr>
          <w:color w:val="993366"/>
        </w:rPr>
        <w:t>CHOICE</w:t>
      </w:r>
      <w:r w:rsidRPr="00FA0D37">
        <w:t xml:space="preserve"> {</w:t>
      </w:r>
    </w:p>
    <w:p w14:paraId="1D6D516F" w14:textId="2445EA81" w:rsidR="007B122D" w:rsidRPr="00FA0D37" w:rsidRDefault="007B122D" w:rsidP="00FA0D37">
      <w:pPr>
        <w:pStyle w:val="PL"/>
      </w:pPr>
      <w:r w:rsidRPr="00FA0D37">
        <w:t xml:space="preserve">        ssb-Index                       SSB-Index,</w:t>
      </w:r>
    </w:p>
    <w:p w14:paraId="05D9BF22" w14:textId="29421F8C" w:rsidR="007B122D" w:rsidRPr="00FA0D37" w:rsidRDefault="007B122D" w:rsidP="00FA0D37">
      <w:pPr>
        <w:pStyle w:val="PL"/>
      </w:pPr>
      <w:r w:rsidRPr="00FA0D37">
        <w:t xml:space="preserve">        csi-RS-Index                    NZP-CSI-RS-ResourceId</w:t>
      </w:r>
    </w:p>
    <w:p w14:paraId="0D862A7C" w14:textId="77777777" w:rsidR="007B122D" w:rsidRPr="00FA0D37" w:rsidRDefault="007B122D" w:rsidP="00FA0D37">
      <w:pPr>
        <w:pStyle w:val="PL"/>
      </w:pPr>
      <w:r w:rsidRPr="00FA0D37">
        <w:t xml:space="preserve">    },</w:t>
      </w:r>
    </w:p>
    <w:p w14:paraId="6F189430" w14:textId="77777777" w:rsidR="007B122D" w:rsidRPr="00FA0D37" w:rsidRDefault="007B122D" w:rsidP="00FA0D37">
      <w:pPr>
        <w:pStyle w:val="PL"/>
      </w:pPr>
      <w:r w:rsidRPr="00FA0D37">
        <w:t xml:space="preserve">    ...</w:t>
      </w:r>
    </w:p>
    <w:p w14:paraId="1CF9D7AC" w14:textId="77777777" w:rsidR="007B122D" w:rsidRPr="00FA0D37" w:rsidRDefault="007B122D" w:rsidP="00FA0D37">
      <w:pPr>
        <w:pStyle w:val="PL"/>
      </w:pPr>
      <w:r w:rsidRPr="00FA0D37">
        <w:t>}</w:t>
      </w:r>
    </w:p>
    <w:p w14:paraId="3AC2CD41" w14:textId="37D39A0E" w:rsidR="00651368" w:rsidRPr="00FA0D37" w:rsidRDefault="00651368" w:rsidP="00FA0D37">
      <w:pPr>
        <w:pStyle w:val="PL"/>
      </w:pPr>
    </w:p>
    <w:p w14:paraId="58D756A2" w14:textId="4AA2AEA0" w:rsidR="007B122D" w:rsidRPr="00FA0D37" w:rsidRDefault="007B122D" w:rsidP="00FA0D37">
      <w:pPr>
        <w:pStyle w:val="PL"/>
      </w:pPr>
      <w:r w:rsidRPr="00FA0D37">
        <w:t xml:space="preserve">BeamLinkMonitoringRS-Id-r17 ::=     </w:t>
      </w:r>
      <w:r w:rsidRPr="00FA0D37">
        <w:rPr>
          <w:color w:val="993366"/>
        </w:rPr>
        <w:t>INTEGER</w:t>
      </w:r>
      <w:r w:rsidRPr="00FA0D37">
        <w:t xml:space="preserve"> (0..maxNrofFailureDetectionResources-1-r17)</w:t>
      </w:r>
    </w:p>
    <w:p w14:paraId="5A6BAB0B" w14:textId="77777777" w:rsidR="00651368" w:rsidRPr="00FA0D37" w:rsidRDefault="00651368" w:rsidP="00FA0D37">
      <w:pPr>
        <w:pStyle w:val="PL"/>
      </w:pPr>
    </w:p>
    <w:p w14:paraId="09FABB58" w14:textId="77777777" w:rsidR="00394471" w:rsidRPr="00FA0D37" w:rsidRDefault="00394471" w:rsidP="00FA0D37">
      <w:pPr>
        <w:pStyle w:val="PL"/>
        <w:rPr>
          <w:color w:val="808080"/>
        </w:rPr>
      </w:pPr>
      <w:r w:rsidRPr="00FA0D37">
        <w:rPr>
          <w:color w:val="808080"/>
        </w:rPr>
        <w:t>-- TAG-RADIOLINKMONITORINGCONFIG-STOP</w:t>
      </w:r>
    </w:p>
    <w:p w14:paraId="72F1CF85" w14:textId="77777777" w:rsidR="00394471" w:rsidRPr="00FA0D37" w:rsidRDefault="00394471" w:rsidP="00FA0D37">
      <w:pPr>
        <w:pStyle w:val="PL"/>
        <w:rPr>
          <w:color w:val="808080"/>
        </w:rPr>
      </w:pPr>
      <w:r w:rsidRPr="00FA0D37">
        <w:rPr>
          <w:color w:val="808080"/>
        </w:rPr>
        <w:lastRenderedPageBreak/>
        <w:t>-- ASN1STOP</w:t>
      </w:r>
    </w:p>
    <w:p w14:paraId="41B3162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FA0D37" w:rsidRDefault="00394471" w:rsidP="00964CC4">
            <w:pPr>
              <w:pStyle w:val="TAH"/>
              <w:rPr>
                <w:szCs w:val="22"/>
                <w:lang w:eastAsia="sv-SE"/>
              </w:rPr>
            </w:pPr>
            <w:r w:rsidRPr="00FA0D37">
              <w:rPr>
                <w:i/>
                <w:szCs w:val="22"/>
                <w:lang w:eastAsia="sv-SE"/>
              </w:rPr>
              <w:t xml:space="preserve">RadioLinkMonitoringConfig </w:t>
            </w:r>
            <w:r w:rsidRPr="00FA0D37">
              <w:rPr>
                <w:szCs w:val="22"/>
                <w:lang w:eastAsia="sv-SE"/>
              </w:rPr>
              <w:t>field descriptions</w:t>
            </w:r>
          </w:p>
        </w:tc>
      </w:tr>
      <w:tr w:rsidR="005C7FF4" w:rsidRPr="00FA0D37"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FA0D37" w:rsidRDefault="007B122D" w:rsidP="007B122D">
            <w:pPr>
              <w:pStyle w:val="TAL"/>
              <w:rPr>
                <w:b/>
                <w:i/>
                <w:szCs w:val="22"/>
                <w:lang w:eastAsia="sv-SE"/>
              </w:rPr>
            </w:pPr>
            <w:r w:rsidRPr="00FA0D37">
              <w:rPr>
                <w:b/>
                <w:i/>
                <w:szCs w:val="22"/>
                <w:lang w:eastAsia="sv-SE"/>
              </w:rPr>
              <w:t>additionalPCI</w:t>
            </w:r>
          </w:p>
          <w:p w14:paraId="6452F255" w14:textId="5543959B" w:rsidR="007B122D" w:rsidRPr="00FA0D37" w:rsidRDefault="007B122D" w:rsidP="00F747EB">
            <w:pPr>
              <w:pStyle w:val="TAL"/>
              <w:rPr>
                <w:lang w:eastAsia="sv-SE"/>
              </w:rPr>
            </w:pPr>
            <w:r w:rsidRPr="00FA0D37">
              <w:rPr>
                <w:rFonts w:eastAsiaTheme="minorEastAsia"/>
                <w:lang w:eastAsia="zh-CN"/>
              </w:rPr>
              <w:t xml:space="preserve">Indicates the physical cell IDs (PCI) of the SSBs in the </w:t>
            </w:r>
            <w:r w:rsidRPr="00FA0D37">
              <w:rPr>
                <w:i/>
                <w:iCs/>
              </w:rPr>
              <w:t>failureDetectionSet2</w:t>
            </w:r>
            <w:r w:rsidRPr="00FA0D37">
              <w:rPr>
                <w:rFonts w:eastAsiaTheme="minorEastAsia"/>
                <w:lang w:eastAsia="zh-CN"/>
              </w:rPr>
              <w:t xml:space="preserve">. If </w:t>
            </w:r>
            <w:r w:rsidRPr="00FA0D37">
              <w:rPr>
                <w:i/>
                <w:iCs/>
              </w:rPr>
              <w:t>candidateBeamRS</w:t>
            </w:r>
            <w:r w:rsidR="0005240D" w:rsidRPr="00FA0D37">
              <w:rPr>
                <w:i/>
                <w:iCs/>
              </w:rPr>
              <w:t>-</w:t>
            </w:r>
            <w:r w:rsidRPr="00FA0D37">
              <w:rPr>
                <w:i/>
                <w:iCs/>
              </w:rPr>
              <w:t>List2</w:t>
            </w:r>
            <w:r w:rsidRPr="00FA0D37">
              <w:t xml:space="preserve"> is configured </w:t>
            </w:r>
            <w:r w:rsidRPr="00FA0D37">
              <w:rPr>
                <w:rFonts w:eastAsiaTheme="minorEastAsia"/>
                <w:lang w:eastAsia="zh-CN"/>
              </w:rPr>
              <w:t xml:space="preserve">in IE </w:t>
            </w:r>
            <w:r w:rsidRPr="00FA0D37">
              <w:rPr>
                <w:rFonts w:eastAsiaTheme="minorEastAsia"/>
                <w:i/>
                <w:iCs/>
                <w:lang w:eastAsia="zh-CN"/>
              </w:rPr>
              <w:t>Beam</w:t>
            </w:r>
            <w:r w:rsidR="0005240D" w:rsidRPr="00FA0D37">
              <w:rPr>
                <w:rFonts w:eastAsiaTheme="minorEastAsia"/>
                <w:i/>
                <w:iCs/>
                <w:lang w:eastAsia="zh-CN"/>
              </w:rPr>
              <w:t>F</w:t>
            </w:r>
            <w:r w:rsidRPr="00FA0D37">
              <w:rPr>
                <w:rFonts w:eastAsiaTheme="minorEastAsia"/>
                <w:i/>
                <w:iCs/>
                <w:lang w:eastAsia="zh-CN"/>
              </w:rPr>
              <w:t>ailure</w:t>
            </w:r>
            <w:r w:rsidR="0005240D" w:rsidRPr="00FA0D37">
              <w:rPr>
                <w:rFonts w:eastAsiaTheme="minorEastAsia"/>
                <w:i/>
                <w:iCs/>
                <w:lang w:eastAsia="zh-CN"/>
              </w:rPr>
              <w:t>Recovery</w:t>
            </w:r>
            <w:r w:rsidRPr="00FA0D37">
              <w:rPr>
                <w:rFonts w:eastAsiaTheme="minorEastAsia"/>
                <w:i/>
                <w:iCs/>
                <w:lang w:eastAsia="zh-CN"/>
              </w:rPr>
              <w:t xml:space="preserve">RSConfig </w:t>
            </w:r>
            <w:r w:rsidRPr="00FA0D37">
              <w:rPr>
                <w:rFonts w:eastAsiaTheme="minorEastAsia"/>
                <w:lang w:eastAsia="zh-CN"/>
              </w:rPr>
              <w:t>the field indicate</w:t>
            </w:r>
            <w:r w:rsidR="0005240D" w:rsidRPr="00FA0D37">
              <w:rPr>
                <w:rFonts w:eastAsiaTheme="minorEastAsia"/>
                <w:lang w:eastAsia="zh-CN"/>
              </w:rPr>
              <w:t>s</w:t>
            </w:r>
            <w:r w:rsidRPr="00FA0D37">
              <w:rPr>
                <w:rFonts w:eastAsiaTheme="minorEastAsia"/>
                <w:lang w:eastAsia="zh-CN"/>
              </w:rPr>
              <w:t xml:space="preserve"> the physical cell IDs (PCI) of the SSBs in the </w:t>
            </w:r>
            <w:r w:rsidRPr="00FA0D37">
              <w:rPr>
                <w:i/>
                <w:iCs/>
              </w:rPr>
              <w:t>candidateBeamRS</w:t>
            </w:r>
            <w:r w:rsidR="0005240D" w:rsidRPr="00FA0D37">
              <w:rPr>
                <w:i/>
                <w:iCs/>
              </w:rPr>
              <w:t>-</w:t>
            </w:r>
            <w:r w:rsidRPr="00FA0D37">
              <w:rPr>
                <w:i/>
                <w:iCs/>
              </w:rPr>
              <w:t>List2</w:t>
            </w:r>
            <w:r w:rsidRPr="00FA0D37">
              <w:rPr>
                <w:rFonts w:eastAsiaTheme="minorEastAsia"/>
                <w:lang w:eastAsia="zh-CN"/>
              </w:rPr>
              <w:t>.</w:t>
            </w:r>
          </w:p>
        </w:tc>
      </w:tr>
      <w:tr w:rsidR="005C7FF4" w:rsidRPr="00FA0D37"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FA0D37" w:rsidRDefault="00394471" w:rsidP="00964CC4">
            <w:pPr>
              <w:pStyle w:val="TAL"/>
              <w:rPr>
                <w:szCs w:val="22"/>
                <w:lang w:eastAsia="sv-SE"/>
              </w:rPr>
            </w:pPr>
            <w:r w:rsidRPr="00FA0D37">
              <w:rPr>
                <w:b/>
                <w:i/>
                <w:szCs w:val="22"/>
                <w:lang w:eastAsia="sv-SE"/>
              </w:rPr>
              <w:t>beamFailureDetectionTimer</w:t>
            </w:r>
          </w:p>
          <w:p w14:paraId="54FB9F65" w14:textId="77777777" w:rsidR="00394471" w:rsidRPr="00FA0D37" w:rsidRDefault="00394471" w:rsidP="00964CC4">
            <w:pPr>
              <w:pStyle w:val="TAL"/>
              <w:rPr>
                <w:szCs w:val="22"/>
                <w:lang w:eastAsia="sv-SE"/>
              </w:rPr>
            </w:pPr>
            <w:r w:rsidRPr="00FA0D37">
              <w:rPr>
                <w:szCs w:val="22"/>
                <w:lang w:eastAsia="sv-SE"/>
              </w:rPr>
              <w:t xml:space="preserve">Timer for beam failure detection (see TS 38.321 [3], clause 5.17). See also the </w:t>
            </w:r>
            <w:r w:rsidRPr="00FA0D37">
              <w:rPr>
                <w:i/>
                <w:szCs w:val="22"/>
                <w:lang w:eastAsia="sv-SE"/>
              </w:rPr>
              <w:t>BeamFailureRecoveryConfig</w:t>
            </w:r>
            <w:r w:rsidRPr="00FA0D37">
              <w:rPr>
                <w:szCs w:val="22"/>
                <w:lang w:eastAsia="sv-SE"/>
              </w:rPr>
              <w:t xml:space="preserve"> IE. Value in number of "Q</w:t>
            </w:r>
            <w:r w:rsidRPr="00FA0D37">
              <w:rPr>
                <w:szCs w:val="22"/>
                <w:vertAlign w:val="subscript"/>
                <w:lang w:eastAsia="sv-SE"/>
              </w:rPr>
              <w:t>out,LR</w:t>
            </w:r>
            <w:r w:rsidRPr="00FA0D37">
              <w:rPr>
                <w:szCs w:val="22"/>
                <w:lang w:eastAsia="sv-SE"/>
              </w:rPr>
              <w:t xml:space="preserve"> reporting periods of Beam Failure Detection" Reference Signal (see TS 38.213 [13], clause 6). Value </w:t>
            </w:r>
            <w:r w:rsidRPr="00FA0D37">
              <w:rPr>
                <w:i/>
                <w:lang w:eastAsia="sv-SE"/>
              </w:rPr>
              <w:t>pbfd1</w:t>
            </w:r>
            <w:r w:rsidRPr="00FA0D37">
              <w:rPr>
                <w:szCs w:val="22"/>
                <w:lang w:eastAsia="sv-SE"/>
              </w:rPr>
              <w:t xml:space="preserve"> corresponds to 1 Q</w:t>
            </w:r>
            <w:r w:rsidRPr="00FA0D37">
              <w:rPr>
                <w:szCs w:val="22"/>
                <w:vertAlign w:val="subscript"/>
                <w:lang w:eastAsia="sv-SE"/>
              </w:rPr>
              <w:t>out,LR</w:t>
            </w:r>
            <w:r w:rsidRPr="00FA0D37">
              <w:rPr>
                <w:szCs w:val="22"/>
                <w:lang w:eastAsia="sv-SE"/>
              </w:rPr>
              <w:t xml:space="preserve"> reporting period of Beam Failure Detection Reference Signal, value </w:t>
            </w:r>
            <w:r w:rsidRPr="00FA0D37">
              <w:rPr>
                <w:i/>
                <w:lang w:eastAsia="sv-SE"/>
              </w:rPr>
              <w:t>pbfd2</w:t>
            </w:r>
            <w:r w:rsidRPr="00FA0D37">
              <w:rPr>
                <w:szCs w:val="22"/>
                <w:lang w:eastAsia="sv-SE"/>
              </w:rPr>
              <w:t xml:space="preserve"> corresponds to 2 Q</w:t>
            </w:r>
            <w:r w:rsidRPr="00FA0D37">
              <w:rPr>
                <w:szCs w:val="22"/>
                <w:vertAlign w:val="subscript"/>
                <w:lang w:eastAsia="sv-SE"/>
              </w:rPr>
              <w:t>out,LR</w:t>
            </w:r>
            <w:r w:rsidRPr="00FA0D37">
              <w:rPr>
                <w:szCs w:val="22"/>
                <w:lang w:eastAsia="sv-SE"/>
              </w:rPr>
              <w:t xml:space="preserve"> reporting periods of Beam Failure Detection Reference Signal and so on. </w:t>
            </w:r>
          </w:p>
        </w:tc>
      </w:tr>
      <w:tr w:rsidR="005C7FF4" w:rsidRPr="00FA0D37"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FA0D37" w:rsidRDefault="00394471" w:rsidP="00964CC4">
            <w:pPr>
              <w:pStyle w:val="TAL"/>
              <w:rPr>
                <w:szCs w:val="22"/>
                <w:lang w:eastAsia="sv-SE"/>
              </w:rPr>
            </w:pPr>
            <w:r w:rsidRPr="00FA0D37">
              <w:rPr>
                <w:b/>
                <w:i/>
                <w:szCs w:val="22"/>
                <w:lang w:eastAsia="sv-SE"/>
              </w:rPr>
              <w:t>beamFailureInstanceMaxCount</w:t>
            </w:r>
          </w:p>
          <w:p w14:paraId="7E400C28" w14:textId="77777777" w:rsidR="00394471" w:rsidRPr="00FA0D37" w:rsidRDefault="00394471" w:rsidP="00964CC4">
            <w:pPr>
              <w:pStyle w:val="TAL"/>
              <w:rPr>
                <w:szCs w:val="22"/>
                <w:lang w:eastAsia="sv-SE"/>
              </w:rPr>
            </w:pPr>
            <w:r w:rsidRPr="00FA0D37">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5C7FF4" w:rsidRPr="00FA0D37"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FA0D37" w:rsidRDefault="00394471" w:rsidP="00964CC4">
            <w:pPr>
              <w:pStyle w:val="TAL"/>
              <w:rPr>
                <w:szCs w:val="22"/>
                <w:lang w:eastAsia="sv-SE"/>
              </w:rPr>
            </w:pPr>
            <w:r w:rsidRPr="00FA0D37">
              <w:rPr>
                <w:b/>
                <w:i/>
                <w:szCs w:val="22"/>
                <w:lang w:eastAsia="sv-SE"/>
              </w:rPr>
              <w:t>failureDetectionResourcesToAddModList</w:t>
            </w:r>
          </w:p>
          <w:p w14:paraId="2F443D01" w14:textId="54EEBC33" w:rsidR="00394471" w:rsidRPr="00FA0D37" w:rsidRDefault="00394471" w:rsidP="00964CC4">
            <w:pPr>
              <w:pStyle w:val="TAL"/>
              <w:rPr>
                <w:szCs w:val="22"/>
                <w:lang w:eastAsia="sv-SE"/>
              </w:rPr>
            </w:pPr>
            <w:r w:rsidRPr="00FA0D37">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A0D37">
              <w:rPr>
                <w:i/>
                <w:lang w:eastAsia="sv-SE"/>
              </w:rPr>
              <w:t>beamFailure</w:t>
            </w:r>
            <w:r w:rsidRPr="00FA0D37">
              <w:rPr>
                <w:szCs w:val="22"/>
                <w:lang w:eastAsia="sv-SE"/>
              </w:rPr>
              <w:t xml:space="preserve"> or </w:t>
            </w:r>
            <w:r w:rsidRPr="00FA0D37">
              <w:rPr>
                <w:i/>
                <w:lang w:eastAsia="sv-SE"/>
              </w:rPr>
              <w:t>both</w:t>
            </w:r>
            <w:r w:rsidRPr="00FA0D37">
              <w:rPr>
                <w:szCs w:val="22"/>
                <w:lang w:eastAsia="sv-SE"/>
              </w:rPr>
              <w:t xml:space="preserve">. If no RSs are provided for the purpose of beam failure detection, the UE performs beam monitoring based on the activated </w:t>
            </w:r>
            <w:r w:rsidRPr="00FA0D37">
              <w:rPr>
                <w:i/>
                <w:szCs w:val="22"/>
                <w:lang w:eastAsia="sv-SE"/>
              </w:rPr>
              <w:t>TCI-State</w:t>
            </w:r>
            <w:r w:rsidRPr="00FA0D37">
              <w:rPr>
                <w:szCs w:val="22"/>
                <w:lang w:eastAsia="sv-SE"/>
              </w:rPr>
              <w:t xml:space="preserve"> for PDCCH as described in TS 38.213 [13], clause 6. If no RSs are provided in this list for the purpose of RLF detection, the UE performs Cell-RLM based on the activated </w:t>
            </w:r>
            <w:r w:rsidRPr="00FA0D37">
              <w:rPr>
                <w:i/>
                <w:szCs w:val="22"/>
                <w:lang w:eastAsia="sv-SE"/>
              </w:rPr>
              <w:t>TCI-State</w:t>
            </w:r>
            <w:r w:rsidRPr="00FA0D37">
              <w:rPr>
                <w:szCs w:val="22"/>
                <w:lang w:eastAsia="sv-SE"/>
              </w:rPr>
              <w:t xml:space="preserve"> of PDCCH as described in TS 38.213 [13], clause 5. The network ensures that the UE has a suitable set of reference signals for performing cell-RLM. </w:t>
            </w:r>
            <w:r w:rsidR="007B122D" w:rsidRPr="00FA0D37">
              <w:rPr>
                <w:szCs w:val="22"/>
              </w:rPr>
              <w:t>I</w:t>
            </w:r>
            <w:r w:rsidR="007B122D" w:rsidRPr="00FA0D37">
              <w:t xml:space="preserve">f </w:t>
            </w:r>
            <w:r w:rsidR="007B122D" w:rsidRPr="00FA0D37">
              <w:rPr>
                <w:i/>
                <w:iCs/>
              </w:rPr>
              <w:t>failureDetectionSet1-r17</w:t>
            </w:r>
            <w:r w:rsidR="007B122D" w:rsidRPr="00FA0D37">
              <w:t xml:space="preserve"> and </w:t>
            </w:r>
            <w:r w:rsidR="007B122D" w:rsidRPr="00FA0D37">
              <w:rPr>
                <w:i/>
                <w:iCs/>
              </w:rPr>
              <w:t>failureDetectionSet2-r17</w:t>
            </w:r>
            <w:r w:rsidR="007B122D" w:rsidRPr="00FA0D37">
              <w:t xml:space="preserve"> are present, the </w:t>
            </w:r>
            <w:r w:rsidR="007B122D" w:rsidRPr="00FA0D37">
              <w:rPr>
                <w:i/>
              </w:rPr>
              <w:t>purpose</w:t>
            </w:r>
            <w:r w:rsidR="007B122D" w:rsidRPr="00FA0D37">
              <w:t xml:space="preserve"> of </w:t>
            </w:r>
            <w:r w:rsidR="007B122D" w:rsidRPr="00FA0D37">
              <w:rPr>
                <w:i/>
              </w:rPr>
              <w:t>RadioLinkMonitoringRS</w:t>
            </w:r>
            <w:r w:rsidR="007B122D" w:rsidRPr="00FA0D37">
              <w:t xml:space="preserve"> in </w:t>
            </w:r>
            <w:r w:rsidR="007B122D" w:rsidRPr="00FA0D37">
              <w:rPr>
                <w:i/>
              </w:rPr>
              <w:t>failureDet</w:t>
            </w:r>
            <w:r w:rsidR="0005240D" w:rsidRPr="00FA0D37">
              <w:rPr>
                <w:i/>
              </w:rPr>
              <w:t>e</w:t>
            </w:r>
            <w:r w:rsidR="007B122D" w:rsidRPr="00FA0D37">
              <w:rPr>
                <w:i/>
              </w:rPr>
              <w:t>ctionResource</w:t>
            </w:r>
            <w:r w:rsidR="0052681B" w:rsidRPr="00FA0D37">
              <w:rPr>
                <w:i/>
              </w:rPr>
              <w:t>s</w:t>
            </w:r>
            <w:r w:rsidR="007B122D" w:rsidRPr="00FA0D37">
              <w:rPr>
                <w:i/>
              </w:rPr>
              <w:t>To</w:t>
            </w:r>
            <w:r w:rsidR="0005240D" w:rsidRPr="00FA0D37">
              <w:rPr>
                <w:i/>
              </w:rPr>
              <w:t>A</w:t>
            </w:r>
            <w:r w:rsidR="007B122D" w:rsidRPr="00FA0D37">
              <w:rPr>
                <w:i/>
              </w:rPr>
              <w:t>ddMod</w:t>
            </w:r>
            <w:r w:rsidR="0005240D" w:rsidRPr="00FA0D37">
              <w:rPr>
                <w:i/>
              </w:rPr>
              <w:t>L</w:t>
            </w:r>
            <w:r w:rsidR="007B122D" w:rsidRPr="00FA0D37">
              <w:rPr>
                <w:i/>
              </w:rPr>
              <w:t xml:space="preserve">ist </w:t>
            </w:r>
            <w:r w:rsidR="007B122D" w:rsidRPr="00FA0D37">
              <w:t xml:space="preserve">only can be set to </w:t>
            </w:r>
            <w:r w:rsidR="007B122D" w:rsidRPr="00FA0D37">
              <w:rPr>
                <w:i/>
                <w:iCs/>
              </w:rPr>
              <w:t>rlf</w:t>
            </w:r>
            <w:r w:rsidR="007B122D" w:rsidRPr="00FA0D37">
              <w:t>.</w:t>
            </w:r>
          </w:p>
        </w:tc>
      </w:tr>
      <w:tr w:rsidR="000830BB" w:rsidRPr="00FA0D37"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FA0D37" w:rsidRDefault="00651368" w:rsidP="00651368">
            <w:pPr>
              <w:pStyle w:val="TAL"/>
              <w:rPr>
                <w:b/>
                <w:i/>
                <w:szCs w:val="22"/>
                <w:lang w:eastAsia="sv-SE"/>
              </w:rPr>
            </w:pPr>
            <w:r w:rsidRPr="00FA0D37">
              <w:rPr>
                <w:b/>
                <w:i/>
                <w:szCs w:val="22"/>
                <w:lang w:eastAsia="sv-SE"/>
              </w:rPr>
              <w:t>failureDetectionSet1, failureDetectionSet2</w:t>
            </w:r>
          </w:p>
          <w:p w14:paraId="4C41183E" w14:textId="252FCF49" w:rsidR="00651368" w:rsidRPr="00FA0D37" w:rsidRDefault="00651368" w:rsidP="00651368">
            <w:pPr>
              <w:pStyle w:val="TAL"/>
              <w:rPr>
                <w:bCs/>
                <w:iCs/>
                <w:szCs w:val="22"/>
                <w:lang w:eastAsia="sv-SE"/>
              </w:rPr>
            </w:pPr>
            <w:r w:rsidRPr="00FA0D37">
              <w:rPr>
                <w:bCs/>
                <w:iCs/>
                <w:szCs w:val="22"/>
                <w:lang w:eastAsia="sv-SE"/>
              </w:rPr>
              <w:t xml:space="preserve">Configures parameters for beamfailure detection towards beam failure detection resources configured in the set. </w:t>
            </w:r>
            <w:r w:rsidR="001034AE" w:rsidRPr="00FA0D37">
              <w:rPr>
                <w:bCs/>
                <w:iCs/>
                <w:szCs w:val="22"/>
                <w:lang w:eastAsia="sv-SE"/>
              </w:rPr>
              <w:t xml:space="preserve">If </w:t>
            </w:r>
            <w:r w:rsidR="0005240D" w:rsidRPr="00FA0D37">
              <w:rPr>
                <w:bCs/>
                <w:iCs/>
                <w:szCs w:val="22"/>
                <w:lang w:eastAsia="sv-SE"/>
              </w:rPr>
              <w:t xml:space="preserve">additional PCIs are configured using </w:t>
            </w:r>
            <w:r w:rsidR="001034AE" w:rsidRPr="00FA0D37">
              <w:rPr>
                <w:bCs/>
                <w:i/>
                <w:szCs w:val="22"/>
                <w:lang w:eastAsia="sv-SE"/>
              </w:rPr>
              <w:t>additionalPCI</w:t>
            </w:r>
            <w:r w:rsidR="0005240D" w:rsidRPr="00FA0D37">
              <w:rPr>
                <w:bCs/>
                <w:i/>
                <w:szCs w:val="22"/>
                <w:lang w:eastAsia="sv-SE"/>
              </w:rPr>
              <w:t>-ToAddMod</w:t>
            </w:r>
            <w:r w:rsidR="001034AE" w:rsidRPr="00FA0D37">
              <w:rPr>
                <w:bCs/>
                <w:i/>
                <w:szCs w:val="22"/>
                <w:lang w:eastAsia="sv-SE"/>
              </w:rPr>
              <w:t>List</w:t>
            </w:r>
            <w:r w:rsidR="001034AE" w:rsidRPr="00FA0D37">
              <w:rPr>
                <w:bCs/>
                <w:iCs/>
                <w:szCs w:val="22"/>
                <w:lang w:eastAsia="sv-SE"/>
              </w:rPr>
              <w:t xml:space="preserve"> for the serving cell, each RS in one set can be associ</w:t>
            </w:r>
            <w:r w:rsidR="0005240D" w:rsidRPr="00FA0D37">
              <w:rPr>
                <w:bCs/>
                <w:iCs/>
                <w:szCs w:val="22"/>
                <w:lang w:eastAsia="sv-SE"/>
              </w:rPr>
              <w:t>a</w:t>
            </w:r>
            <w:r w:rsidR="001034AE" w:rsidRPr="00FA0D37">
              <w:rPr>
                <w:bCs/>
                <w:iCs/>
                <w:szCs w:val="22"/>
                <w:lang w:eastAsia="sv-SE"/>
              </w:rPr>
              <w:t xml:space="preserve">ted only </w:t>
            </w:r>
            <w:r w:rsidR="0005240D" w:rsidRPr="00FA0D37">
              <w:rPr>
                <w:bCs/>
                <w:iCs/>
                <w:szCs w:val="22"/>
                <w:lang w:eastAsia="sv-SE"/>
              </w:rPr>
              <w:t>with</w:t>
            </w:r>
            <w:r w:rsidR="001034AE" w:rsidRPr="00FA0D37">
              <w:rPr>
                <w:bCs/>
                <w:iCs/>
                <w:szCs w:val="22"/>
                <w:lang w:eastAsia="sv-SE"/>
              </w:rPr>
              <w:t xml:space="preserve"> one PCI. </w:t>
            </w:r>
            <w:r w:rsidR="0005240D" w:rsidRPr="00FA0D37">
              <w:rPr>
                <w:bCs/>
                <w:iCs/>
                <w:szCs w:val="22"/>
                <w:lang w:eastAsia="sv-SE"/>
              </w:rPr>
              <w:t>Network always configures t</w:t>
            </w:r>
            <w:r w:rsidR="007B122D" w:rsidRPr="00FA0D37">
              <w:rPr>
                <w:bCs/>
                <w:iCs/>
                <w:szCs w:val="22"/>
                <w:lang w:eastAsia="sv-SE"/>
              </w:rPr>
              <w:t xml:space="preserve">he </w:t>
            </w:r>
            <w:r w:rsidR="007B122D" w:rsidRPr="00FA0D37">
              <w:rPr>
                <w:bCs/>
                <w:i/>
                <w:szCs w:val="22"/>
                <w:lang w:eastAsia="sv-SE"/>
              </w:rPr>
              <w:t>failureDetectionSet1</w:t>
            </w:r>
            <w:r w:rsidR="007B122D" w:rsidRPr="00FA0D37">
              <w:rPr>
                <w:bCs/>
                <w:iCs/>
                <w:szCs w:val="22"/>
                <w:lang w:eastAsia="sv-SE"/>
              </w:rPr>
              <w:t xml:space="preserve"> and </w:t>
            </w:r>
            <w:r w:rsidR="007B122D" w:rsidRPr="00FA0D37">
              <w:rPr>
                <w:bCs/>
                <w:i/>
                <w:szCs w:val="22"/>
                <w:lang w:eastAsia="sv-SE"/>
              </w:rPr>
              <w:t>failureDetectionSet2</w:t>
            </w:r>
            <w:r w:rsidR="007B122D" w:rsidRPr="00FA0D37">
              <w:rPr>
                <w:bCs/>
                <w:iCs/>
                <w:szCs w:val="22"/>
                <w:lang w:eastAsia="sv-SE"/>
              </w:rPr>
              <w:t xml:space="preserve"> together</w:t>
            </w:r>
            <w:r w:rsidR="0005240D" w:rsidRPr="00FA0D37">
              <w:rPr>
                <w:bCs/>
                <w:iCs/>
                <w:szCs w:val="22"/>
                <w:lang w:eastAsia="sv-SE"/>
              </w:rPr>
              <w:t xml:space="preserve">. </w:t>
            </w:r>
            <w:r w:rsidR="0021747E" w:rsidRPr="00FA0D37">
              <w:rPr>
                <w:bCs/>
                <w:i/>
                <w:szCs w:val="22"/>
                <w:lang w:eastAsia="sv-SE"/>
              </w:rPr>
              <w:t>failureDetectionSetN</w:t>
            </w:r>
            <w:r w:rsidR="0021747E" w:rsidRPr="00FA0D37">
              <w:rPr>
                <w:bCs/>
                <w:iCs/>
                <w:szCs w:val="22"/>
                <w:lang w:eastAsia="sv-SE"/>
              </w:rPr>
              <w:t xml:space="preserve"> is present if and only if </w:t>
            </w:r>
            <w:r w:rsidR="0021747E" w:rsidRPr="00FA0D37">
              <w:rPr>
                <w:i/>
                <w:iCs/>
                <w:szCs w:val="22"/>
                <w:lang w:eastAsia="sv-SE"/>
              </w:rPr>
              <w:t>candidateBeamRS-List2-r17</w:t>
            </w:r>
            <w:r w:rsidR="0021747E" w:rsidRPr="00FA0D37">
              <w:rPr>
                <w:bCs/>
                <w:iCs/>
                <w:szCs w:val="22"/>
                <w:lang w:eastAsia="sv-SE"/>
              </w:rPr>
              <w:t xml:space="preserve"> is configured. </w:t>
            </w:r>
            <w:r w:rsidR="0005240D" w:rsidRPr="00FA0D37">
              <w:rPr>
                <w:bCs/>
                <w:iCs/>
                <w:szCs w:val="22"/>
                <w:lang w:eastAsia="sv-SE"/>
              </w:rPr>
              <w:t xml:space="preserve">When a </w:t>
            </w:r>
            <w:r w:rsidR="0005240D" w:rsidRPr="00FA0D37">
              <w:rPr>
                <w:bCs/>
                <w:i/>
                <w:szCs w:val="22"/>
                <w:lang w:eastAsia="sv-SE"/>
              </w:rPr>
              <w:t>failureDetectionSetN</w:t>
            </w:r>
            <w:r w:rsidR="0005240D" w:rsidRPr="00FA0D37">
              <w:rPr>
                <w:bCs/>
                <w:iCs/>
                <w:szCs w:val="22"/>
                <w:lang w:eastAsia="sv-SE"/>
              </w:rPr>
              <w:t xml:space="preserve"> is present, after the reconfiguration, the UE shall consider all the reference signals for this failure detection set as activated if at most </w:t>
            </w:r>
            <w:r w:rsidR="0005240D" w:rsidRPr="00FA0D37">
              <w:rPr>
                <w:bCs/>
                <w:i/>
                <w:szCs w:val="22"/>
                <w:lang w:eastAsia="sv-SE"/>
              </w:rPr>
              <w:t>maxBFD-RS-resourcesPerSetPerBWP-r17</w:t>
            </w:r>
            <w:r w:rsidR="0005240D" w:rsidRPr="00FA0D37">
              <w:rPr>
                <w:bCs/>
                <w:iCs/>
                <w:szCs w:val="22"/>
                <w:lang w:eastAsia="sv-SE"/>
              </w:rPr>
              <w:t xml:space="preserve"> reference signals are configured for each failure detection set, otherwise the UE shall consider all the reference signals in this failure detection set as deactivated.</w:t>
            </w:r>
            <w:r w:rsidR="0021747E" w:rsidRPr="00FA0D37">
              <w:rPr>
                <w:bCs/>
                <w:iCs/>
                <w:szCs w:val="22"/>
                <w:lang w:eastAsia="sv-SE"/>
              </w:rPr>
              <w:t xml:space="preserve"> </w:t>
            </w:r>
            <w:r w:rsidR="0021747E" w:rsidRPr="00FA0D37">
              <w:rPr>
                <w:szCs w:val="22"/>
                <w:lang w:eastAsia="sv-SE"/>
              </w:rPr>
              <w:t xml:space="preserve">If </w:t>
            </w:r>
            <w:r w:rsidR="0021747E" w:rsidRPr="00FA0D37">
              <w:rPr>
                <w:i/>
                <w:iCs/>
                <w:szCs w:val="22"/>
                <w:lang w:eastAsia="sv-SE"/>
              </w:rPr>
              <w:t xml:space="preserve">bfdResourcesToAddModList-r17 </w:t>
            </w:r>
            <w:r w:rsidR="0021747E" w:rsidRPr="00FA0D37">
              <w:rPr>
                <w:szCs w:val="22"/>
                <w:lang w:eastAsia="sv-SE"/>
              </w:rPr>
              <w:t>in</w:t>
            </w:r>
            <w:r w:rsidR="0021747E" w:rsidRPr="00FA0D37">
              <w:rPr>
                <w:i/>
                <w:iCs/>
                <w:szCs w:val="22"/>
                <w:lang w:eastAsia="sv-SE"/>
              </w:rPr>
              <w:t xml:space="preserve"> </w:t>
            </w:r>
            <w:r w:rsidR="0021747E" w:rsidRPr="00FA0D37">
              <w:rPr>
                <w:bCs/>
                <w:i/>
                <w:szCs w:val="22"/>
                <w:lang w:eastAsia="sv-SE"/>
              </w:rPr>
              <w:t>failureDetectionSetN</w:t>
            </w:r>
            <w:r w:rsidR="0021747E" w:rsidRPr="00FA0D37">
              <w:rPr>
                <w:i/>
                <w:iCs/>
                <w:szCs w:val="22"/>
                <w:lang w:eastAsia="sv-SE"/>
              </w:rPr>
              <w:t xml:space="preserve"> </w:t>
            </w:r>
            <w:r w:rsidR="0021747E" w:rsidRPr="00FA0D37">
              <w:rPr>
                <w:szCs w:val="22"/>
                <w:lang w:eastAsia="sv-SE"/>
              </w:rPr>
              <w:t xml:space="preserve">is not present, the UE determines the RS(es) in each </w:t>
            </w:r>
            <w:r w:rsidR="0021747E" w:rsidRPr="00FA0D37">
              <w:rPr>
                <w:bCs/>
                <w:i/>
                <w:szCs w:val="22"/>
                <w:lang w:eastAsia="sv-SE"/>
              </w:rPr>
              <w:t>failureDetectionSetN</w:t>
            </w:r>
            <w:r w:rsidR="0021747E" w:rsidRPr="00FA0D37">
              <w:rPr>
                <w:bCs/>
                <w:iCs/>
                <w:szCs w:val="22"/>
                <w:lang w:eastAsia="sv-SE"/>
              </w:rPr>
              <w:t xml:space="preserve"> </w:t>
            </w:r>
            <w:r w:rsidR="0021747E" w:rsidRPr="00FA0D37">
              <w:rPr>
                <w:szCs w:val="22"/>
                <w:lang w:eastAsia="sv-SE"/>
              </w:rPr>
              <w:t>as described in TS 38.213 [13], clause 6.</w:t>
            </w:r>
          </w:p>
        </w:tc>
      </w:tr>
    </w:tbl>
    <w:p w14:paraId="5DB81E1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FA0D37" w:rsidRDefault="00394471" w:rsidP="00964CC4">
            <w:pPr>
              <w:pStyle w:val="TAH"/>
              <w:rPr>
                <w:szCs w:val="22"/>
                <w:lang w:eastAsia="sv-SE"/>
              </w:rPr>
            </w:pPr>
            <w:r w:rsidRPr="00FA0D37">
              <w:rPr>
                <w:i/>
                <w:szCs w:val="22"/>
                <w:lang w:eastAsia="sv-SE"/>
              </w:rPr>
              <w:t xml:space="preserve">RadioLinkMonitoringRS </w:t>
            </w:r>
            <w:r w:rsidRPr="00FA0D37">
              <w:rPr>
                <w:szCs w:val="22"/>
                <w:lang w:eastAsia="sv-SE"/>
              </w:rPr>
              <w:t>field descriptions</w:t>
            </w:r>
          </w:p>
        </w:tc>
      </w:tr>
      <w:tr w:rsidR="005C7FF4" w:rsidRPr="00FA0D37"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FA0D37" w:rsidRDefault="00394471" w:rsidP="00964CC4">
            <w:pPr>
              <w:pStyle w:val="TAL"/>
              <w:rPr>
                <w:szCs w:val="22"/>
                <w:lang w:eastAsia="sv-SE"/>
              </w:rPr>
            </w:pPr>
            <w:r w:rsidRPr="00FA0D37">
              <w:rPr>
                <w:b/>
                <w:i/>
                <w:szCs w:val="22"/>
                <w:lang w:eastAsia="sv-SE"/>
              </w:rPr>
              <w:t>detectionResource</w:t>
            </w:r>
          </w:p>
          <w:p w14:paraId="2EE9387E" w14:textId="037042BC" w:rsidR="00394471" w:rsidRPr="00FA0D37" w:rsidRDefault="00394471" w:rsidP="00964CC4">
            <w:pPr>
              <w:pStyle w:val="TAL"/>
              <w:rPr>
                <w:szCs w:val="22"/>
                <w:lang w:eastAsia="sv-SE"/>
              </w:rPr>
            </w:pPr>
            <w:r w:rsidRPr="00FA0D37">
              <w:rPr>
                <w:szCs w:val="22"/>
                <w:lang w:eastAsia="sv-SE"/>
              </w:rPr>
              <w:t xml:space="preserve">A reference signal that the UE shall use for radio link monitoring or beam failure detection (depending on the indicated </w:t>
            </w:r>
            <w:r w:rsidRPr="00FA0D37">
              <w:rPr>
                <w:i/>
                <w:szCs w:val="22"/>
                <w:lang w:eastAsia="sv-SE"/>
              </w:rPr>
              <w:t>purpose</w:t>
            </w:r>
            <w:r w:rsidRPr="00FA0D37">
              <w:rPr>
                <w:szCs w:val="22"/>
                <w:lang w:eastAsia="sv-SE"/>
              </w:rPr>
              <w:t>). Only periodic 1-port CSI-RS can be configured on SCell for beam failure detection purpose.</w:t>
            </w:r>
          </w:p>
        </w:tc>
      </w:tr>
      <w:tr w:rsidR="00394471" w:rsidRPr="00FA0D37"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FA0D37" w:rsidRDefault="00394471" w:rsidP="00964CC4">
            <w:pPr>
              <w:pStyle w:val="TAL"/>
              <w:rPr>
                <w:szCs w:val="22"/>
                <w:lang w:eastAsia="sv-SE"/>
              </w:rPr>
            </w:pPr>
            <w:r w:rsidRPr="00FA0D37">
              <w:rPr>
                <w:b/>
                <w:i/>
                <w:szCs w:val="22"/>
                <w:lang w:eastAsia="sv-SE"/>
              </w:rPr>
              <w:t>purpose</w:t>
            </w:r>
          </w:p>
          <w:p w14:paraId="33FB75D2" w14:textId="77777777" w:rsidR="00394471" w:rsidRPr="00FA0D37" w:rsidRDefault="00394471" w:rsidP="00964CC4">
            <w:pPr>
              <w:pStyle w:val="TAL"/>
              <w:rPr>
                <w:szCs w:val="22"/>
                <w:lang w:eastAsia="sv-SE"/>
              </w:rPr>
            </w:pPr>
            <w:r w:rsidRPr="00FA0D37">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FA0D37" w:rsidRDefault="00394471" w:rsidP="00394471"/>
    <w:p w14:paraId="26BE5410" w14:textId="77777777" w:rsidR="00394471" w:rsidRPr="00FA0D37" w:rsidRDefault="00394471" w:rsidP="00394471">
      <w:pPr>
        <w:pStyle w:val="4"/>
      </w:pPr>
      <w:bookmarkStart w:id="1297" w:name="_Toc60777340"/>
      <w:bookmarkStart w:id="1298" w:name="_Toc146781420"/>
      <w:r w:rsidRPr="00FA0D37">
        <w:t>–</w:t>
      </w:r>
      <w:r w:rsidRPr="00FA0D37">
        <w:tab/>
      </w:r>
      <w:r w:rsidRPr="00FA0D37">
        <w:rPr>
          <w:i/>
        </w:rPr>
        <w:t>RadioLinkMonitoringRS-Id</w:t>
      </w:r>
      <w:bookmarkEnd w:id="1297"/>
      <w:bookmarkEnd w:id="1298"/>
    </w:p>
    <w:p w14:paraId="6EABA334" w14:textId="77777777" w:rsidR="00394471" w:rsidRPr="00FA0D37" w:rsidRDefault="00394471" w:rsidP="00394471">
      <w:r w:rsidRPr="00FA0D37">
        <w:t xml:space="preserve">The IE </w:t>
      </w:r>
      <w:r w:rsidRPr="00FA0D37">
        <w:rPr>
          <w:i/>
        </w:rPr>
        <w:t>RadioLinkMonitoringRS-Id</w:t>
      </w:r>
      <w:r w:rsidRPr="00FA0D37">
        <w:t xml:space="preserve"> is used to identify one </w:t>
      </w:r>
      <w:r w:rsidRPr="00FA0D37">
        <w:rPr>
          <w:i/>
        </w:rPr>
        <w:t>RadioLinkMonitoringRS</w:t>
      </w:r>
      <w:r w:rsidRPr="00FA0D37">
        <w:t>.</w:t>
      </w:r>
    </w:p>
    <w:p w14:paraId="49A10756" w14:textId="77777777" w:rsidR="00394471" w:rsidRPr="00FA0D37" w:rsidRDefault="00394471" w:rsidP="00394471">
      <w:pPr>
        <w:pStyle w:val="TH"/>
      </w:pPr>
      <w:r w:rsidRPr="00FA0D37">
        <w:rPr>
          <w:bCs/>
          <w:i/>
          <w:iCs/>
        </w:rPr>
        <w:lastRenderedPageBreak/>
        <w:t xml:space="preserve">RadioLinkMonitoringRS-Id </w:t>
      </w:r>
      <w:r w:rsidRPr="00FA0D37">
        <w:rPr>
          <w:bCs/>
          <w:iCs/>
        </w:rPr>
        <w:t>information element</w:t>
      </w:r>
    </w:p>
    <w:p w14:paraId="41A35B6A" w14:textId="77777777" w:rsidR="00394471" w:rsidRPr="00FA0D37" w:rsidRDefault="00394471" w:rsidP="00FA0D37">
      <w:pPr>
        <w:pStyle w:val="PL"/>
        <w:rPr>
          <w:color w:val="808080"/>
        </w:rPr>
      </w:pPr>
      <w:r w:rsidRPr="00FA0D37">
        <w:rPr>
          <w:color w:val="808080"/>
        </w:rPr>
        <w:t>-- ASN1START</w:t>
      </w:r>
    </w:p>
    <w:p w14:paraId="32F6BDF0" w14:textId="77777777" w:rsidR="00394471" w:rsidRPr="00FA0D37" w:rsidRDefault="00394471" w:rsidP="00FA0D37">
      <w:pPr>
        <w:pStyle w:val="PL"/>
        <w:rPr>
          <w:color w:val="808080"/>
        </w:rPr>
      </w:pPr>
      <w:r w:rsidRPr="00FA0D37">
        <w:rPr>
          <w:color w:val="808080"/>
        </w:rPr>
        <w:t>-- TAG-RADIOLINKMONITORINGRS-ID-START</w:t>
      </w:r>
    </w:p>
    <w:p w14:paraId="3EE15E27" w14:textId="77777777" w:rsidR="00394471" w:rsidRPr="00FA0D37" w:rsidRDefault="00394471" w:rsidP="00FA0D37">
      <w:pPr>
        <w:pStyle w:val="PL"/>
      </w:pPr>
    </w:p>
    <w:p w14:paraId="66E5E052" w14:textId="77777777" w:rsidR="00394471" w:rsidRPr="00FA0D37" w:rsidRDefault="00394471" w:rsidP="00FA0D37">
      <w:pPr>
        <w:pStyle w:val="PL"/>
      </w:pPr>
      <w:r w:rsidRPr="00FA0D37">
        <w:t xml:space="preserve">RadioLinkMonitoringRS-Id ::=            </w:t>
      </w:r>
      <w:r w:rsidRPr="00FA0D37">
        <w:rPr>
          <w:color w:val="993366"/>
        </w:rPr>
        <w:t>INTEGER</w:t>
      </w:r>
      <w:r w:rsidRPr="00FA0D37">
        <w:t xml:space="preserve"> (0..maxNrofFailureDetectionResources-1)</w:t>
      </w:r>
    </w:p>
    <w:p w14:paraId="1BDBA80C" w14:textId="77777777" w:rsidR="00394471" w:rsidRPr="00FA0D37" w:rsidRDefault="00394471" w:rsidP="00FA0D37">
      <w:pPr>
        <w:pStyle w:val="PL"/>
      </w:pPr>
    </w:p>
    <w:p w14:paraId="54CA8A4F" w14:textId="77777777" w:rsidR="00394471" w:rsidRPr="00FA0D37" w:rsidRDefault="00394471" w:rsidP="00FA0D37">
      <w:pPr>
        <w:pStyle w:val="PL"/>
        <w:rPr>
          <w:color w:val="808080"/>
        </w:rPr>
      </w:pPr>
      <w:r w:rsidRPr="00FA0D37">
        <w:rPr>
          <w:color w:val="808080"/>
        </w:rPr>
        <w:t>-- TAG-RADIOLINKMONITORINGRS-ID-STOP</w:t>
      </w:r>
    </w:p>
    <w:p w14:paraId="7928CA25" w14:textId="77777777" w:rsidR="00394471" w:rsidRPr="00FA0D37" w:rsidRDefault="00394471" w:rsidP="00FA0D37">
      <w:pPr>
        <w:pStyle w:val="PL"/>
        <w:rPr>
          <w:color w:val="808080"/>
        </w:rPr>
      </w:pPr>
      <w:r w:rsidRPr="00FA0D37">
        <w:rPr>
          <w:color w:val="808080"/>
        </w:rPr>
        <w:t>-- ASN1STOP</w:t>
      </w:r>
    </w:p>
    <w:p w14:paraId="2CDFD84A" w14:textId="77777777" w:rsidR="00394471" w:rsidRPr="00FA0D37" w:rsidRDefault="00394471" w:rsidP="00394471"/>
    <w:p w14:paraId="227969A0" w14:textId="77777777" w:rsidR="00394471" w:rsidRPr="00FA0D37" w:rsidRDefault="00394471" w:rsidP="00394471">
      <w:pPr>
        <w:pStyle w:val="4"/>
        <w:rPr>
          <w:rFonts w:eastAsia="宋体"/>
        </w:rPr>
      </w:pPr>
      <w:bookmarkStart w:id="1299" w:name="_Toc60777341"/>
      <w:bookmarkStart w:id="1300" w:name="_Toc146781421"/>
      <w:r w:rsidRPr="00FA0D37">
        <w:rPr>
          <w:rFonts w:eastAsia="宋体"/>
        </w:rPr>
        <w:t>–</w:t>
      </w:r>
      <w:r w:rsidRPr="00FA0D37">
        <w:rPr>
          <w:rFonts w:eastAsia="宋体"/>
        </w:rPr>
        <w:tab/>
      </w:r>
      <w:r w:rsidRPr="00FA0D37">
        <w:rPr>
          <w:rFonts w:eastAsia="宋体"/>
          <w:i/>
          <w:noProof/>
        </w:rPr>
        <w:t>RAN-AreaCode</w:t>
      </w:r>
      <w:bookmarkEnd w:id="1299"/>
      <w:bookmarkEnd w:id="1300"/>
    </w:p>
    <w:p w14:paraId="26D5D154" w14:textId="77777777" w:rsidR="00394471" w:rsidRPr="00FA0D37" w:rsidRDefault="00394471" w:rsidP="00394471">
      <w:pPr>
        <w:rPr>
          <w:rFonts w:eastAsia="宋体"/>
        </w:rPr>
      </w:pPr>
      <w:r w:rsidRPr="00FA0D37">
        <w:t xml:space="preserve">The IE </w:t>
      </w:r>
      <w:r w:rsidRPr="00FA0D37">
        <w:rPr>
          <w:i/>
          <w:noProof/>
        </w:rPr>
        <w:t>RAN-AreaCode</w:t>
      </w:r>
      <w:r w:rsidRPr="00FA0D37">
        <w:t xml:space="preserve"> is used to identify a RAN area within the scope of a tracking area.</w:t>
      </w:r>
    </w:p>
    <w:p w14:paraId="73CC51D0" w14:textId="77777777" w:rsidR="00394471" w:rsidRPr="00FA0D37" w:rsidRDefault="00394471" w:rsidP="00394471">
      <w:pPr>
        <w:pStyle w:val="TH"/>
      </w:pPr>
      <w:r w:rsidRPr="00FA0D37">
        <w:rPr>
          <w:i/>
          <w:noProof/>
        </w:rPr>
        <w:t>RAN-AreaCode</w:t>
      </w:r>
      <w:r w:rsidRPr="00FA0D37">
        <w:t xml:space="preserve"> information element</w:t>
      </w:r>
    </w:p>
    <w:p w14:paraId="006B91A7" w14:textId="77777777" w:rsidR="00394471" w:rsidRPr="00FA0D37" w:rsidRDefault="00394471" w:rsidP="00FA0D37">
      <w:pPr>
        <w:pStyle w:val="PL"/>
        <w:rPr>
          <w:color w:val="808080"/>
        </w:rPr>
      </w:pPr>
      <w:r w:rsidRPr="00FA0D37">
        <w:rPr>
          <w:color w:val="808080"/>
        </w:rPr>
        <w:t>-- ASN1START</w:t>
      </w:r>
    </w:p>
    <w:p w14:paraId="39BF5529" w14:textId="77777777" w:rsidR="00394471" w:rsidRPr="00FA0D37" w:rsidRDefault="00394471" w:rsidP="00FA0D37">
      <w:pPr>
        <w:pStyle w:val="PL"/>
        <w:rPr>
          <w:color w:val="808080"/>
        </w:rPr>
      </w:pPr>
      <w:r w:rsidRPr="00FA0D37">
        <w:rPr>
          <w:color w:val="808080"/>
        </w:rPr>
        <w:t>-- TAG-RAN-AREACODE-START</w:t>
      </w:r>
    </w:p>
    <w:p w14:paraId="7C32E726" w14:textId="77777777" w:rsidR="00394471" w:rsidRPr="00FA0D37" w:rsidRDefault="00394471" w:rsidP="00FA0D37">
      <w:pPr>
        <w:pStyle w:val="PL"/>
      </w:pPr>
    </w:p>
    <w:p w14:paraId="47DA9FA1" w14:textId="77777777" w:rsidR="00394471" w:rsidRPr="00FA0D37" w:rsidRDefault="00394471" w:rsidP="00FA0D37">
      <w:pPr>
        <w:pStyle w:val="PL"/>
      </w:pPr>
      <w:r w:rsidRPr="00FA0D37">
        <w:t xml:space="preserve">RAN-AreaCode ::=                </w:t>
      </w:r>
      <w:r w:rsidRPr="00FA0D37">
        <w:rPr>
          <w:color w:val="993366"/>
        </w:rPr>
        <w:t>INTEGER</w:t>
      </w:r>
      <w:r w:rsidRPr="00FA0D37">
        <w:t xml:space="preserve"> (0..255)</w:t>
      </w:r>
    </w:p>
    <w:p w14:paraId="292AC306" w14:textId="77777777" w:rsidR="00394471" w:rsidRPr="00FA0D37" w:rsidRDefault="00394471" w:rsidP="00FA0D37">
      <w:pPr>
        <w:pStyle w:val="PL"/>
      </w:pPr>
    </w:p>
    <w:p w14:paraId="6888875B" w14:textId="77777777" w:rsidR="00394471" w:rsidRPr="00FA0D37" w:rsidRDefault="00394471" w:rsidP="00FA0D37">
      <w:pPr>
        <w:pStyle w:val="PL"/>
        <w:rPr>
          <w:color w:val="808080"/>
        </w:rPr>
      </w:pPr>
      <w:r w:rsidRPr="00FA0D37">
        <w:rPr>
          <w:color w:val="808080"/>
        </w:rPr>
        <w:t>-- TAG-RAN-AREACODE-STOP</w:t>
      </w:r>
    </w:p>
    <w:p w14:paraId="58BDA784" w14:textId="77777777" w:rsidR="00394471" w:rsidRPr="00FA0D37" w:rsidRDefault="00394471" w:rsidP="00FA0D37">
      <w:pPr>
        <w:pStyle w:val="PL"/>
        <w:rPr>
          <w:color w:val="808080"/>
        </w:rPr>
      </w:pPr>
      <w:r w:rsidRPr="00FA0D37">
        <w:rPr>
          <w:color w:val="808080"/>
        </w:rPr>
        <w:t>-- ASN1STOP</w:t>
      </w:r>
    </w:p>
    <w:p w14:paraId="7ED05DA6" w14:textId="77777777" w:rsidR="00394471" w:rsidRPr="00FA0D37" w:rsidRDefault="00394471" w:rsidP="00394471"/>
    <w:p w14:paraId="1AA59C52" w14:textId="77777777" w:rsidR="00394471" w:rsidRPr="00FA0D37" w:rsidRDefault="00394471" w:rsidP="00394471">
      <w:pPr>
        <w:pStyle w:val="4"/>
      </w:pPr>
      <w:bookmarkStart w:id="1301" w:name="_Toc60777342"/>
      <w:bookmarkStart w:id="1302" w:name="_Toc146781422"/>
      <w:r w:rsidRPr="00FA0D37">
        <w:t>–</w:t>
      </w:r>
      <w:r w:rsidRPr="00FA0D37">
        <w:tab/>
      </w:r>
      <w:r w:rsidRPr="00FA0D37">
        <w:rPr>
          <w:i/>
        </w:rPr>
        <w:t>RateMatchPattern</w:t>
      </w:r>
      <w:bookmarkEnd w:id="1301"/>
      <w:bookmarkEnd w:id="1302"/>
    </w:p>
    <w:p w14:paraId="5E6AC8BC" w14:textId="77777777" w:rsidR="00394471" w:rsidRPr="00FA0D37" w:rsidRDefault="00394471" w:rsidP="00394471">
      <w:r w:rsidRPr="00FA0D37">
        <w:t xml:space="preserve">The IE </w:t>
      </w:r>
      <w:r w:rsidRPr="00FA0D37">
        <w:rPr>
          <w:i/>
        </w:rPr>
        <w:t>RateMatchPattern</w:t>
      </w:r>
      <w:r w:rsidRPr="00FA0D37">
        <w:t xml:space="preserve"> is used to configure one rate matching pattern for PDSCH, see TS 38.214 [19], clause 5.1.4.1.</w:t>
      </w:r>
    </w:p>
    <w:p w14:paraId="41A3B10F" w14:textId="77777777" w:rsidR="00394471" w:rsidRPr="00FA0D37" w:rsidRDefault="00394471" w:rsidP="00394471">
      <w:pPr>
        <w:pStyle w:val="TH"/>
      </w:pPr>
      <w:r w:rsidRPr="00FA0D37">
        <w:rPr>
          <w:i/>
        </w:rPr>
        <w:t>RateMatchPattern</w:t>
      </w:r>
      <w:r w:rsidRPr="00FA0D37">
        <w:t xml:space="preserve"> information element</w:t>
      </w:r>
    </w:p>
    <w:p w14:paraId="3FCC6158" w14:textId="77777777" w:rsidR="00394471" w:rsidRPr="00FA0D37" w:rsidRDefault="00394471" w:rsidP="00FA0D37">
      <w:pPr>
        <w:pStyle w:val="PL"/>
        <w:rPr>
          <w:color w:val="808080"/>
        </w:rPr>
      </w:pPr>
      <w:r w:rsidRPr="00FA0D37">
        <w:rPr>
          <w:color w:val="808080"/>
        </w:rPr>
        <w:t>-- ASN1START</w:t>
      </w:r>
    </w:p>
    <w:p w14:paraId="1EBF3F18" w14:textId="77777777" w:rsidR="00394471" w:rsidRPr="00FA0D37" w:rsidRDefault="00394471" w:rsidP="00FA0D37">
      <w:pPr>
        <w:pStyle w:val="PL"/>
        <w:rPr>
          <w:color w:val="808080"/>
        </w:rPr>
      </w:pPr>
      <w:r w:rsidRPr="00FA0D37">
        <w:rPr>
          <w:color w:val="808080"/>
        </w:rPr>
        <w:t>-- TAG-RATEMATCHPATTERN-START</w:t>
      </w:r>
    </w:p>
    <w:p w14:paraId="29E43231" w14:textId="77777777" w:rsidR="00394471" w:rsidRPr="00FA0D37" w:rsidRDefault="00394471" w:rsidP="00FA0D37">
      <w:pPr>
        <w:pStyle w:val="PL"/>
      </w:pPr>
    </w:p>
    <w:p w14:paraId="32665DAA" w14:textId="77777777" w:rsidR="00394471" w:rsidRPr="00FA0D37" w:rsidRDefault="00394471" w:rsidP="00FA0D37">
      <w:pPr>
        <w:pStyle w:val="PL"/>
      </w:pPr>
      <w:r w:rsidRPr="00FA0D37">
        <w:t xml:space="preserve">RateMatchPattern ::=                </w:t>
      </w:r>
      <w:r w:rsidRPr="00FA0D37">
        <w:rPr>
          <w:color w:val="993366"/>
        </w:rPr>
        <w:t>SEQUENCE</w:t>
      </w:r>
      <w:r w:rsidRPr="00FA0D37">
        <w:t xml:space="preserve"> {</w:t>
      </w:r>
    </w:p>
    <w:p w14:paraId="1C2410C3" w14:textId="77777777" w:rsidR="00394471" w:rsidRPr="00FA0D37" w:rsidRDefault="00394471" w:rsidP="00FA0D37">
      <w:pPr>
        <w:pStyle w:val="PL"/>
      </w:pPr>
      <w:r w:rsidRPr="00FA0D37">
        <w:t xml:space="preserve">    rateMatchPatternId                  RateMatchPatternId,</w:t>
      </w:r>
    </w:p>
    <w:p w14:paraId="2EA3BFB0" w14:textId="77777777" w:rsidR="00394471" w:rsidRPr="00FA0D37" w:rsidRDefault="00394471" w:rsidP="00FA0D37">
      <w:pPr>
        <w:pStyle w:val="PL"/>
      </w:pPr>
    </w:p>
    <w:p w14:paraId="5AFD9B47" w14:textId="77777777" w:rsidR="00394471" w:rsidRPr="00FA0D37" w:rsidRDefault="00394471" w:rsidP="00FA0D37">
      <w:pPr>
        <w:pStyle w:val="PL"/>
      </w:pPr>
      <w:r w:rsidRPr="00FA0D37">
        <w:t xml:space="preserve">    patternType                         </w:t>
      </w:r>
      <w:r w:rsidRPr="00FA0D37">
        <w:rPr>
          <w:color w:val="993366"/>
        </w:rPr>
        <w:t>CHOICE</w:t>
      </w:r>
      <w:r w:rsidRPr="00FA0D37">
        <w:t xml:space="preserve"> {</w:t>
      </w:r>
    </w:p>
    <w:p w14:paraId="4E3AD28D" w14:textId="77777777" w:rsidR="00394471" w:rsidRPr="00FA0D37" w:rsidRDefault="00394471" w:rsidP="00FA0D37">
      <w:pPr>
        <w:pStyle w:val="PL"/>
      </w:pPr>
      <w:r w:rsidRPr="00FA0D37">
        <w:t xml:space="preserve">        bitmaps                             </w:t>
      </w:r>
      <w:r w:rsidRPr="00FA0D37">
        <w:rPr>
          <w:color w:val="993366"/>
        </w:rPr>
        <w:t>SEQUENCE</w:t>
      </w:r>
      <w:r w:rsidRPr="00FA0D37">
        <w:t xml:space="preserve"> {</w:t>
      </w:r>
    </w:p>
    <w:p w14:paraId="41AC4A4F" w14:textId="77777777" w:rsidR="00394471" w:rsidRPr="00FA0D37" w:rsidRDefault="00394471" w:rsidP="00FA0D37">
      <w:pPr>
        <w:pStyle w:val="PL"/>
      </w:pPr>
      <w:r w:rsidRPr="00FA0D37">
        <w:t xml:space="preserve">            resourceBlocks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(275)),</w:t>
      </w:r>
    </w:p>
    <w:p w14:paraId="09AB7F6F" w14:textId="77777777" w:rsidR="00394471" w:rsidRPr="00FA0D37" w:rsidRDefault="00394471" w:rsidP="00FA0D37">
      <w:pPr>
        <w:pStyle w:val="PL"/>
      </w:pPr>
      <w:r w:rsidRPr="00FA0D37">
        <w:t xml:space="preserve">            symbolsInResourceBlock              </w:t>
      </w:r>
      <w:r w:rsidRPr="00FA0D37">
        <w:rPr>
          <w:color w:val="993366"/>
        </w:rPr>
        <w:t>CHOICE</w:t>
      </w:r>
      <w:r w:rsidRPr="00FA0D37">
        <w:t xml:space="preserve"> {</w:t>
      </w:r>
    </w:p>
    <w:p w14:paraId="13448AC9" w14:textId="77777777" w:rsidR="00394471" w:rsidRPr="00FA0D37" w:rsidRDefault="00394471" w:rsidP="00FA0D37">
      <w:pPr>
        <w:pStyle w:val="PL"/>
      </w:pPr>
      <w:r w:rsidRPr="00FA0D37">
        <w:t xml:space="preserve">                oneSlot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w:t>
      </w:r>
    </w:p>
    <w:p w14:paraId="478D031B" w14:textId="77777777" w:rsidR="00394471" w:rsidRPr="00FA0D37" w:rsidRDefault="00394471" w:rsidP="00FA0D37">
      <w:pPr>
        <w:pStyle w:val="PL"/>
      </w:pPr>
      <w:r w:rsidRPr="00FA0D37">
        <w:t xml:space="preserve">                twoSlots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(28))</w:t>
      </w:r>
    </w:p>
    <w:p w14:paraId="07BD0498" w14:textId="77777777" w:rsidR="00394471" w:rsidRPr="00FA0D37" w:rsidRDefault="00394471" w:rsidP="00FA0D37">
      <w:pPr>
        <w:pStyle w:val="PL"/>
      </w:pPr>
      <w:r w:rsidRPr="00FA0D37">
        <w:t xml:space="preserve">            },</w:t>
      </w:r>
    </w:p>
    <w:p w14:paraId="7965F044" w14:textId="77777777" w:rsidR="00394471" w:rsidRPr="00FA0D37" w:rsidRDefault="00394471" w:rsidP="00FA0D37">
      <w:pPr>
        <w:pStyle w:val="PL"/>
      </w:pPr>
      <w:r w:rsidRPr="00FA0D37">
        <w:t xml:space="preserve">            periodicityAndPattern               </w:t>
      </w:r>
      <w:r w:rsidRPr="00FA0D37">
        <w:rPr>
          <w:color w:val="993366"/>
        </w:rPr>
        <w:t>CHOICE</w:t>
      </w:r>
      <w:r w:rsidRPr="00FA0D37">
        <w:t xml:space="preserve"> {</w:t>
      </w:r>
    </w:p>
    <w:p w14:paraId="56BF519E" w14:textId="77777777" w:rsidR="00394471" w:rsidRPr="00FA0D37" w:rsidRDefault="00394471" w:rsidP="00FA0D37">
      <w:pPr>
        <w:pStyle w:val="PL"/>
      </w:pPr>
      <w:r w:rsidRPr="00FA0D37">
        <w:t xml:space="preserve">                n2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04AB106A" w14:textId="77777777" w:rsidR="00394471" w:rsidRPr="00FA0D37" w:rsidRDefault="00394471" w:rsidP="00FA0D37">
      <w:pPr>
        <w:pStyle w:val="PL"/>
      </w:pPr>
      <w:r w:rsidRPr="00FA0D37">
        <w:t xml:space="preserve">                n4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31A16935" w14:textId="77777777" w:rsidR="00394471" w:rsidRPr="00FA0D37" w:rsidRDefault="00394471" w:rsidP="00FA0D37">
      <w:pPr>
        <w:pStyle w:val="PL"/>
      </w:pPr>
      <w:r w:rsidRPr="00FA0D37">
        <w:lastRenderedPageBreak/>
        <w:t xml:space="preserve">                n5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(5)),</w:t>
      </w:r>
    </w:p>
    <w:p w14:paraId="184DE0A9" w14:textId="77777777" w:rsidR="00394471" w:rsidRPr="00FA0D37" w:rsidRDefault="00394471" w:rsidP="00FA0D37">
      <w:pPr>
        <w:pStyle w:val="PL"/>
      </w:pPr>
      <w:r w:rsidRPr="00FA0D37">
        <w:t xml:space="preserve">                n8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7EB07507" w14:textId="77777777" w:rsidR="00394471" w:rsidRPr="00FA0D37" w:rsidRDefault="00394471" w:rsidP="00FA0D37">
      <w:pPr>
        <w:pStyle w:val="PL"/>
      </w:pPr>
      <w:r w:rsidRPr="00FA0D37">
        <w:t xml:space="preserve">                n10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w:t>
      </w:r>
    </w:p>
    <w:p w14:paraId="5286923D" w14:textId="77777777" w:rsidR="00394471" w:rsidRPr="00FA0D37" w:rsidRDefault="00394471" w:rsidP="00FA0D37">
      <w:pPr>
        <w:pStyle w:val="PL"/>
      </w:pPr>
      <w:r w:rsidRPr="00FA0D37">
        <w:t xml:space="preserve">                n20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(20)),</w:t>
      </w:r>
    </w:p>
    <w:p w14:paraId="0FA52261" w14:textId="77777777" w:rsidR="00394471" w:rsidRPr="00FA0D37" w:rsidRDefault="00394471" w:rsidP="00FA0D37">
      <w:pPr>
        <w:pStyle w:val="PL"/>
      </w:pPr>
      <w:r w:rsidRPr="00FA0D37">
        <w:t xml:space="preserve">                n40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(40))</w:t>
      </w:r>
    </w:p>
    <w:p w14:paraId="4D248C26"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S</w:t>
      </w:r>
    </w:p>
    <w:p w14:paraId="0E216E64" w14:textId="77777777" w:rsidR="00394471" w:rsidRPr="00FA0D37" w:rsidRDefault="00394471" w:rsidP="00FA0D37">
      <w:pPr>
        <w:pStyle w:val="PL"/>
      </w:pPr>
      <w:r w:rsidRPr="00FA0D37">
        <w:t xml:space="preserve">            ...</w:t>
      </w:r>
    </w:p>
    <w:p w14:paraId="3394AAFA" w14:textId="77777777" w:rsidR="00394471" w:rsidRPr="00FA0D37" w:rsidRDefault="00394471" w:rsidP="00FA0D37">
      <w:pPr>
        <w:pStyle w:val="PL"/>
      </w:pPr>
      <w:r w:rsidRPr="00FA0D37">
        <w:t xml:space="preserve">        },</w:t>
      </w:r>
    </w:p>
    <w:p w14:paraId="696FF895" w14:textId="77777777" w:rsidR="00394471" w:rsidRPr="00FA0D37" w:rsidRDefault="00394471" w:rsidP="00FA0D37">
      <w:pPr>
        <w:pStyle w:val="PL"/>
      </w:pPr>
      <w:r w:rsidRPr="00FA0D37">
        <w:t xml:space="preserve">        controlResourceSet                  ControlResourceSetId</w:t>
      </w:r>
    </w:p>
    <w:p w14:paraId="07A05C13" w14:textId="77777777" w:rsidR="00394471" w:rsidRPr="00FA0D37" w:rsidRDefault="00394471" w:rsidP="00FA0D37">
      <w:pPr>
        <w:pStyle w:val="PL"/>
      </w:pPr>
      <w:r w:rsidRPr="00FA0D37">
        <w:t xml:space="preserve">    },</w:t>
      </w:r>
    </w:p>
    <w:p w14:paraId="2DF9069E" w14:textId="77777777" w:rsidR="00394471" w:rsidRPr="00FA0D37" w:rsidRDefault="00394471" w:rsidP="00FA0D37">
      <w:pPr>
        <w:pStyle w:val="PL"/>
        <w:rPr>
          <w:color w:val="808080"/>
        </w:rPr>
      </w:pPr>
      <w:r w:rsidRPr="00FA0D37">
        <w:t xml:space="preserve">    subcarrierSpacing                   SubcarrierSpacing                                               </w:t>
      </w:r>
      <w:r w:rsidRPr="00FA0D37">
        <w:rPr>
          <w:color w:val="993366"/>
        </w:rPr>
        <w:t>OPTIONAL</w:t>
      </w:r>
      <w:r w:rsidRPr="00FA0D37">
        <w:t xml:space="preserve">,   </w:t>
      </w:r>
      <w:r w:rsidRPr="00FA0D37">
        <w:rPr>
          <w:color w:val="808080"/>
        </w:rPr>
        <w:t>-- Cond CellLevel</w:t>
      </w:r>
    </w:p>
    <w:p w14:paraId="457F9A57" w14:textId="77777777" w:rsidR="00394471" w:rsidRPr="00FA0D37" w:rsidRDefault="00394471" w:rsidP="00FA0D37">
      <w:pPr>
        <w:pStyle w:val="PL"/>
      </w:pPr>
      <w:r w:rsidRPr="00FA0D37">
        <w:t xml:space="preserve">    dummy                               </w:t>
      </w:r>
      <w:r w:rsidRPr="00FA0D37">
        <w:rPr>
          <w:color w:val="993366"/>
        </w:rPr>
        <w:t>ENUMERATED</w:t>
      </w:r>
      <w:r w:rsidRPr="00FA0D37">
        <w:t xml:space="preserve"> { dynamic, semiStatic },</w:t>
      </w:r>
    </w:p>
    <w:p w14:paraId="4B50C542" w14:textId="77777777" w:rsidR="00394471" w:rsidRPr="00FA0D37" w:rsidRDefault="00394471" w:rsidP="00FA0D37">
      <w:pPr>
        <w:pStyle w:val="PL"/>
      </w:pPr>
      <w:r w:rsidRPr="00FA0D37">
        <w:t xml:space="preserve">    ...,</w:t>
      </w:r>
    </w:p>
    <w:p w14:paraId="74AC6404" w14:textId="77777777" w:rsidR="00394471" w:rsidRPr="00FA0D37" w:rsidRDefault="00394471" w:rsidP="00FA0D37">
      <w:pPr>
        <w:pStyle w:val="PL"/>
      </w:pPr>
      <w:r w:rsidRPr="00FA0D37">
        <w:t xml:space="preserve">    [[</w:t>
      </w:r>
    </w:p>
    <w:p w14:paraId="1485F500" w14:textId="77777777" w:rsidR="00394471" w:rsidRPr="00FA0D37" w:rsidRDefault="00394471" w:rsidP="00FA0D37">
      <w:pPr>
        <w:pStyle w:val="PL"/>
        <w:rPr>
          <w:color w:val="808080"/>
        </w:rPr>
      </w:pPr>
      <w:r w:rsidRPr="00FA0D37">
        <w:t xml:space="preserve">    controlResourceSet-r16              ControlResourceSetId-r16                                        </w:t>
      </w:r>
      <w:r w:rsidRPr="00FA0D37">
        <w:rPr>
          <w:color w:val="993366"/>
        </w:rPr>
        <w:t>OPTIONAL</w:t>
      </w:r>
      <w:r w:rsidRPr="00FA0D37">
        <w:t xml:space="preserve">    </w:t>
      </w:r>
      <w:r w:rsidRPr="00FA0D37">
        <w:rPr>
          <w:color w:val="808080"/>
        </w:rPr>
        <w:t>-- Need R</w:t>
      </w:r>
    </w:p>
    <w:p w14:paraId="7214CB1A" w14:textId="77777777" w:rsidR="00394471" w:rsidRPr="00FA0D37" w:rsidRDefault="00394471" w:rsidP="00FA0D37">
      <w:pPr>
        <w:pStyle w:val="PL"/>
      </w:pPr>
      <w:r w:rsidRPr="00FA0D37">
        <w:t xml:space="preserve">    ]]</w:t>
      </w:r>
    </w:p>
    <w:p w14:paraId="22C096F0" w14:textId="77777777" w:rsidR="00394471" w:rsidRPr="00FA0D37" w:rsidRDefault="00394471" w:rsidP="00FA0D37">
      <w:pPr>
        <w:pStyle w:val="PL"/>
      </w:pPr>
    </w:p>
    <w:p w14:paraId="516B3DA4" w14:textId="77777777" w:rsidR="00394471" w:rsidRPr="00FA0D37" w:rsidRDefault="00394471" w:rsidP="00FA0D37">
      <w:pPr>
        <w:pStyle w:val="PL"/>
      </w:pPr>
      <w:r w:rsidRPr="00FA0D37">
        <w:t>}</w:t>
      </w:r>
    </w:p>
    <w:p w14:paraId="1A28AF39" w14:textId="77777777" w:rsidR="00394471" w:rsidRPr="00FA0D37" w:rsidRDefault="00394471" w:rsidP="00FA0D37">
      <w:pPr>
        <w:pStyle w:val="PL"/>
      </w:pPr>
    </w:p>
    <w:p w14:paraId="25D6CDBD" w14:textId="77777777" w:rsidR="00394471" w:rsidRPr="00FA0D37" w:rsidRDefault="00394471" w:rsidP="00FA0D37">
      <w:pPr>
        <w:pStyle w:val="PL"/>
        <w:rPr>
          <w:color w:val="808080"/>
        </w:rPr>
      </w:pPr>
      <w:r w:rsidRPr="00FA0D37">
        <w:rPr>
          <w:color w:val="808080"/>
        </w:rPr>
        <w:t>-- TAG-RATEMATCHPATTERN-STOP</w:t>
      </w:r>
    </w:p>
    <w:p w14:paraId="3C9F8FB2" w14:textId="77777777" w:rsidR="00394471" w:rsidRPr="00FA0D37" w:rsidRDefault="00394471" w:rsidP="00FA0D37">
      <w:pPr>
        <w:pStyle w:val="PL"/>
        <w:rPr>
          <w:color w:val="808080"/>
        </w:rPr>
      </w:pPr>
      <w:r w:rsidRPr="00FA0D37">
        <w:rPr>
          <w:color w:val="808080"/>
        </w:rPr>
        <w:t>-- ASN1STOP</w:t>
      </w:r>
    </w:p>
    <w:p w14:paraId="505876C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FA0D37" w:rsidRDefault="00394471" w:rsidP="00964CC4">
            <w:pPr>
              <w:pStyle w:val="TAH"/>
              <w:rPr>
                <w:szCs w:val="22"/>
                <w:lang w:eastAsia="sv-SE"/>
              </w:rPr>
            </w:pPr>
            <w:r w:rsidRPr="00FA0D37">
              <w:rPr>
                <w:i/>
                <w:szCs w:val="22"/>
                <w:lang w:eastAsia="sv-SE"/>
              </w:rPr>
              <w:lastRenderedPageBreak/>
              <w:t xml:space="preserve">RateMatchPattern </w:t>
            </w:r>
            <w:r w:rsidRPr="00FA0D37">
              <w:rPr>
                <w:szCs w:val="22"/>
                <w:lang w:eastAsia="sv-SE"/>
              </w:rPr>
              <w:t>field descriptions</w:t>
            </w:r>
          </w:p>
        </w:tc>
      </w:tr>
      <w:tr w:rsidR="005C7FF4" w:rsidRPr="00FA0D37"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FA0D37" w:rsidRDefault="00394471" w:rsidP="00964CC4">
            <w:pPr>
              <w:pStyle w:val="TAL"/>
              <w:rPr>
                <w:szCs w:val="22"/>
                <w:lang w:eastAsia="sv-SE"/>
              </w:rPr>
            </w:pPr>
            <w:r w:rsidRPr="00FA0D37">
              <w:rPr>
                <w:b/>
                <w:i/>
                <w:szCs w:val="22"/>
                <w:lang w:eastAsia="sv-SE"/>
              </w:rPr>
              <w:t>bitmaps</w:t>
            </w:r>
          </w:p>
          <w:p w14:paraId="6B76FE99" w14:textId="77777777" w:rsidR="00394471" w:rsidRPr="00FA0D37" w:rsidRDefault="00394471" w:rsidP="00964CC4">
            <w:pPr>
              <w:pStyle w:val="TAL"/>
              <w:rPr>
                <w:szCs w:val="22"/>
                <w:lang w:eastAsia="sv-SE"/>
              </w:rPr>
            </w:pPr>
            <w:r w:rsidRPr="00FA0D37">
              <w:rPr>
                <w:szCs w:val="22"/>
                <w:lang w:eastAsia="sv-SE"/>
              </w:rPr>
              <w:t xml:space="preserve">Indicates rate matching pattern by a pair of bitmaps </w:t>
            </w:r>
            <w:r w:rsidRPr="00FA0D37">
              <w:rPr>
                <w:i/>
                <w:szCs w:val="22"/>
                <w:lang w:eastAsia="sv-SE"/>
              </w:rPr>
              <w:t>resourceBlocks</w:t>
            </w:r>
            <w:r w:rsidRPr="00FA0D37">
              <w:rPr>
                <w:szCs w:val="22"/>
                <w:lang w:eastAsia="sv-SE"/>
              </w:rPr>
              <w:t xml:space="preserve"> and </w:t>
            </w:r>
            <w:r w:rsidRPr="00FA0D37">
              <w:rPr>
                <w:i/>
                <w:szCs w:val="22"/>
                <w:lang w:eastAsia="sv-SE"/>
              </w:rPr>
              <w:t>symbolsInResourceBlock</w:t>
            </w:r>
            <w:r w:rsidRPr="00FA0D37">
              <w:rPr>
                <w:szCs w:val="22"/>
                <w:lang w:eastAsia="sv-SE"/>
              </w:rPr>
              <w:t xml:space="preserve"> to define the rate match pattern within one or two slots, and a third bitmap </w:t>
            </w:r>
            <w:r w:rsidRPr="00FA0D37">
              <w:rPr>
                <w:i/>
                <w:szCs w:val="22"/>
                <w:lang w:eastAsia="sv-SE"/>
              </w:rPr>
              <w:t>periodicityAndPattern</w:t>
            </w:r>
            <w:r w:rsidRPr="00FA0D37">
              <w:rPr>
                <w:szCs w:val="22"/>
                <w:lang w:eastAsia="sv-SE"/>
              </w:rPr>
              <w:t xml:space="preserve"> to define the repetition pattern with which the pattern defined by the above bitmap pair occurs.</w:t>
            </w:r>
          </w:p>
        </w:tc>
      </w:tr>
      <w:tr w:rsidR="005C7FF4" w:rsidRPr="00FA0D37"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FA0D37" w:rsidRDefault="00394471" w:rsidP="00964CC4">
            <w:pPr>
              <w:pStyle w:val="TAL"/>
              <w:rPr>
                <w:szCs w:val="22"/>
                <w:lang w:eastAsia="sv-SE"/>
              </w:rPr>
            </w:pPr>
            <w:r w:rsidRPr="00FA0D37">
              <w:rPr>
                <w:b/>
                <w:i/>
                <w:szCs w:val="22"/>
                <w:lang w:eastAsia="sv-SE"/>
              </w:rPr>
              <w:t>controlResourceSet</w:t>
            </w:r>
          </w:p>
          <w:p w14:paraId="20A05A00" w14:textId="77777777" w:rsidR="00394471" w:rsidRPr="00FA0D37" w:rsidRDefault="00394471" w:rsidP="00964CC4">
            <w:pPr>
              <w:pStyle w:val="TAL"/>
              <w:rPr>
                <w:szCs w:val="22"/>
                <w:lang w:eastAsia="sv-SE"/>
              </w:rPr>
            </w:pPr>
            <w:r w:rsidRPr="00FA0D37">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FA0D37" w:rsidRDefault="00394471" w:rsidP="00964CC4">
            <w:pPr>
              <w:pStyle w:val="TAL"/>
              <w:rPr>
                <w:szCs w:val="22"/>
                <w:lang w:eastAsia="sv-SE"/>
              </w:rPr>
            </w:pPr>
            <w:r w:rsidRPr="00FA0D37">
              <w:rPr>
                <w:szCs w:val="22"/>
                <w:lang w:eastAsia="sv-SE"/>
              </w:rPr>
              <w:t xml:space="preserve">If the field </w:t>
            </w:r>
            <w:r w:rsidRPr="00FA0D37">
              <w:rPr>
                <w:i/>
                <w:szCs w:val="22"/>
                <w:lang w:eastAsia="sv-SE"/>
              </w:rPr>
              <w:t>controlResourceSetId-r16</w:t>
            </w:r>
            <w:r w:rsidRPr="00FA0D37">
              <w:rPr>
                <w:szCs w:val="22"/>
                <w:lang w:eastAsia="sv-SE"/>
              </w:rPr>
              <w:t xml:space="preserve"> is present, UE shall ignore the </w:t>
            </w:r>
            <w:r w:rsidRPr="00FA0D37">
              <w:rPr>
                <w:i/>
                <w:szCs w:val="22"/>
                <w:lang w:eastAsia="sv-SE"/>
              </w:rPr>
              <w:t>controlResourceSetId</w:t>
            </w:r>
            <w:r w:rsidRPr="00FA0D37">
              <w:rPr>
                <w:szCs w:val="22"/>
                <w:lang w:eastAsia="sv-SE"/>
              </w:rPr>
              <w:t xml:space="preserve"> (without suffix).</w:t>
            </w:r>
          </w:p>
        </w:tc>
      </w:tr>
      <w:tr w:rsidR="005C7FF4" w:rsidRPr="00FA0D37"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FA0D37" w:rsidRDefault="00394471" w:rsidP="00964CC4">
            <w:pPr>
              <w:pStyle w:val="TAL"/>
              <w:rPr>
                <w:szCs w:val="22"/>
                <w:lang w:eastAsia="sv-SE"/>
              </w:rPr>
            </w:pPr>
            <w:r w:rsidRPr="00FA0D37">
              <w:rPr>
                <w:b/>
                <w:i/>
                <w:szCs w:val="22"/>
                <w:lang w:eastAsia="sv-SE"/>
              </w:rPr>
              <w:t>periodicityAndPattern</w:t>
            </w:r>
          </w:p>
          <w:p w14:paraId="58FD9F5A" w14:textId="001342B6" w:rsidR="00394471" w:rsidRPr="00FA0D37" w:rsidRDefault="00394471" w:rsidP="00964CC4">
            <w:pPr>
              <w:pStyle w:val="TAL"/>
              <w:rPr>
                <w:szCs w:val="22"/>
                <w:lang w:eastAsia="sv-SE"/>
              </w:rPr>
            </w:pPr>
            <w:r w:rsidRPr="00FA0D37">
              <w:rPr>
                <w:szCs w:val="22"/>
                <w:lang w:eastAsia="sv-SE"/>
              </w:rPr>
              <w:t xml:space="preserve">A time domain repetition pattern at which the pattern defined by </w:t>
            </w:r>
            <w:r w:rsidRPr="00FA0D37">
              <w:rPr>
                <w:i/>
                <w:szCs w:val="22"/>
                <w:lang w:eastAsia="sv-SE"/>
              </w:rPr>
              <w:t>symbolsInResourceBlock</w:t>
            </w:r>
            <w:r w:rsidRPr="00FA0D37">
              <w:rPr>
                <w:szCs w:val="22"/>
                <w:lang w:eastAsia="sv-SE"/>
              </w:rPr>
              <w:t xml:space="preserve"> and </w:t>
            </w:r>
            <w:r w:rsidRPr="00FA0D37">
              <w:rPr>
                <w:i/>
                <w:szCs w:val="22"/>
                <w:lang w:eastAsia="sv-SE"/>
              </w:rPr>
              <w:t>resourceBlocks</w:t>
            </w:r>
            <w:r w:rsidRPr="00FA0D37">
              <w:rPr>
                <w:szCs w:val="22"/>
                <w:lang w:eastAsia="sv-SE"/>
              </w:rPr>
              <w:t xml:space="preserve"> recurs. This slot pattern repeats itself continuously. Absence of this field indicates the value </w:t>
            </w:r>
            <w:r w:rsidRPr="00FA0D37">
              <w:rPr>
                <w:i/>
                <w:szCs w:val="22"/>
                <w:lang w:eastAsia="sv-SE"/>
              </w:rPr>
              <w:t>n1</w:t>
            </w:r>
            <w:r w:rsidRPr="00FA0D37">
              <w:rPr>
                <w:szCs w:val="22"/>
                <w:lang w:eastAsia="sv-SE"/>
              </w:rPr>
              <w:t xml:space="preserve"> (see TS 38.214 [19], clause 5.1.4.1).</w:t>
            </w:r>
          </w:p>
        </w:tc>
      </w:tr>
      <w:tr w:rsidR="005C7FF4" w:rsidRPr="00FA0D37"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FA0D37" w:rsidRDefault="00394471" w:rsidP="00964CC4">
            <w:pPr>
              <w:pStyle w:val="TAL"/>
              <w:rPr>
                <w:szCs w:val="22"/>
                <w:lang w:eastAsia="sv-SE"/>
              </w:rPr>
            </w:pPr>
            <w:r w:rsidRPr="00FA0D37">
              <w:rPr>
                <w:b/>
                <w:i/>
                <w:szCs w:val="22"/>
                <w:lang w:eastAsia="sv-SE"/>
              </w:rPr>
              <w:t>resourceBlocks</w:t>
            </w:r>
          </w:p>
          <w:p w14:paraId="6DB14562" w14:textId="22777FE3" w:rsidR="00394471" w:rsidRPr="00FA0D37" w:rsidRDefault="00394471" w:rsidP="00964CC4">
            <w:pPr>
              <w:pStyle w:val="TAL"/>
              <w:rPr>
                <w:szCs w:val="22"/>
                <w:lang w:eastAsia="sv-SE"/>
              </w:rPr>
            </w:pPr>
            <w:r w:rsidRPr="00FA0D37">
              <w:rPr>
                <w:szCs w:val="22"/>
                <w:lang w:eastAsia="sv-SE"/>
              </w:rPr>
              <w:t xml:space="preserve">A resource block level bitmap in the frequency domain. A bit in the bitmap set to 1 indicates that the UE shall apply rate matching in the corresponding resource block in accordance with the </w:t>
            </w:r>
            <w:r w:rsidRPr="00FA0D37">
              <w:rPr>
                <w:i/>
                <w:szCs w:val="22"/>
                <w:lang w:eastAsia="sv-SE"/>
              </w:rPr>
              <w:t>symbolsInResourceBlock</w:t>
            </w:r>
            <w:r w:rsidRPr="00FA0D37">
              <w:rPr>
                <w:szCs w:val="22"/>
                <w:lang w:eastAsia="sv-SE"/>
              </w:rPr>
              <w:t xml:space="preserve"> bitmap. If used as cell-level rate matching pattern, the bitmap identifies "common resource blocks (CRB)". </w:t>
            </w:r>
            <w:r w:rsidR="00280BA7" w:rsidRPr="00FA0D37">
              <w:rPr>
                <w:szCs w:val="22"/>
                <w:lang w:eastAsia="sv-SE"/>
              </w:rPr>
              <w:t xml:space="preserve">If used for MBS broadcast CFR, the bitmap identifies "physical resource blocks" inside the MBS broadcast CFR. </w:t>
            </w:r>
            <w:r w:rsidRPr="00FA0D37">
              <w:rPr>
                <w:szCs w:val="22"/>
                <w:lang w:eastAsia="sv-SE"/>
              </w:rPr>
              <w:t>If used as BWP-level rate matching pattern, the bitmap identifies "physical resource blocks" inside the BWP</w:t>
            </w:r>
            <w:r w:rsidR="00280BA7" w:rsidRPr="00FA0D37">
              <w:rPr>
                <w:szCs w:val="22"/>
                <w:lang w:eastAsia="sv-SE"/>
              </w:rPr>
              <w:t xml:space="preserve"> or MBS multicast CFR</w:t>
            </w:r>
            <w:r w:rsidRPr="00FA0D37">
              <w:rPr>
                <w:szCs w:val="22"/>
                <w:lang w:eastAsia="sv-SE"/>
              </w:rPr>
              <w:t xml:space="preserve">. The first/ leftmost bit corresponds to resource block 0, and so on (see TS 38.214 [19], clause 5.1.4.1). </w:t>
            </w:r>
          </w:p>
        </w:tc>
      </w:tr>
      <w:tr w:rsidR="005C7FF4" w:rsidRPr="00FA0D37"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FA0D37" w:rsidRDefault="00394471" w:rsidP="00964CC4">
            <w:pPr>
              <w:pStyle w:val="TAL"/>
              <w:rPr>
                <w:szCs w:val="22"/>
                <w:lang w:eastAsia="sv-SE"/>
              </w:rPr>
            </w:pPr>
            <w:r w:rsidRPr="00FA0D37">
              <w:rPr>
                <w:b/>
                <w:i/>
                <w:szCs w:val="22"/>
                <w:lang w:eastAsia="sv-SE"/>
              </w:rPr>
              <w:t>subcarrierSpacing</w:t>
            </w:r>
          </w:p>
          <w:p w14:paraId="0AE86640" w14:textId="100591C4" w:rsidR="00394471" w:rsidRPr="00FA0D37" w:rsidRDefault="00394471" w:rsidP="00964CC4">
            <w:pPr>
              <w:pStyle w:val="TAL"/>
              <w:rPr>
                <w:szCs w:val="22"/>
                <w:lang w:eastAsia="sv-SE"/>
              </w:rPr>
            </w:pPr>
            <w:r w:rsidRPr="00FA0D37">
              <w:rPr>
                <w:szCs w:val="22"/>
                <w:lang w:eastAsia="sv-SE"/>
              </w:rPr>
              <w:t xml:space="preserve">The SubcarrierSpacing for this resource pattern. If the field is absent, the UE applies the SCS of the associated BWP. The value </w:t>
            </w:r>
            <w:r w:rsidRPr="00FA0D37">
              <w:rPr>
                <w:i/>
                <w:szCs w:val="22"/>
                <w:lang w:eastAsia="sv-SE"/>
              </w:rPr>
              <w:t>kHz15</w:t>
            </w:r>
            <w:r w:rsidRPr="00FA0D37">
              <w:rPr>
                <w:szCs w:val="22"/>
                <w:lang w:eastAsia="sv-SE"/>
              </w:rPr>
              <w:t xml:space="preserve"> corresponds to µ=0, the value </w:t>
            </w:r>
            <w:r w:rsidRPr="00FA0D37">
              <w:rPr>
                <w:i/>
                <w:szCs w:val="22"/>
                <w:lang w:eastAsia="sv-SE"/>
              </w:rPr>
              <w:t>kHz30</w:t>
            </w:r>
            <w:r w:rsidRPr="00FA0D37">
              <w:rPr>
                <w:szCs w:val="22"/>
                <w:lang w:eastAsia="sv-SE"/>
              </w:rPr>
              <w:t xml:space="preserve"> corresponds to µ=1, and so on.</w:t>
            </w:r>
          </w:p>
          <w:p w14:paraId="3A00F340" w14:textId="77777777" w:rsidR="00E826D8" w:rsidRPr="00FA0D37" w:rsidRDefault="00E826D8" w:rsidP="00E826D8">
            <w:pPr>
              <w:pStyle w:val="TAL"/>
              <w:rPr>
                <w:szCs w:val="22"/>
                <w:lang w:eastAsia="sv-SE"/>
              </w:rPr>
            </w:pPr>
            <w:r w:rsidRPr="00FA0D37">
              <w:rPr>
                <w:szCs w:val="22"/>
                <w:lang w:eastAsia="sv-SE"/>
              </w:rPr>
              <w:t>Only the following values are applicable depending on the used frequency (see TS 38.214 [19], clause 5.1.4.1):</w:t>
            </w:r>
          </w:p>
          <w:p w14:paraId="5180BED5" w14:textId="77777777" w:rsidR="00E826D8" w:rsidRPr="00FA0D37" w:rsidRDefault="00E826D8" w:rsidP="00E826D8">
            <w:pPr>
              <w:pStyle w:val="TAL"/>
              <w:rPr>
                <w:szCs w:val="22"/>
                <w:lang w:eastAsia="sv-SE"/>
              </w:rPr>
            </w:pPr>
            <w:r w:rsidRPr="00FA0D37">
              <w:rPr>
                <w:szCs w:val="22"/>
                <w:lang w:eastAsia="sv-SE"/>
              </w:rPr>
              <w:t>FR1:    15, 30 or 60 kHz</w:t>
            </w:r>
          </w:p>
          <w:p w14:paraId="5325D063" w14:textId="0F614631" w:rsidR="00E826D8" w:rsidRPr="00FA0D37" w:rsidRDefault="00E826D8" w:rsidP="00E826D8">
            <w:pPr>
              <w:pStyle w:val="TAL"/>
              <w:rPr>
                <w:szCs w:val="22"/>
                <w:lang w:eastAsia="sv-SE"/>
              </w:rPr>
            </w:pPr>
            <w:r w:rsidRPr="00FA0D37">
              <w:rPr>
                <w:szCs w:val="22"/>
                <w:lang w:eastAsia="sv-SE"/>
              </w:rPr>
              <w:t>FR2-1:  60 or 120 kHz</w:t>
            </w:r>
          </w:p>
          <w:p w14:paraId="61ADFA3D" w14:textId="6CB84C17" w:rsidR="00E826D8" w:rsidRPr="00FA0D37" w:rsidRDefault="00E826D8" w:rsidP="00E826D8">
            <w:pPr>
              <w:pStyle w:val="TAL"/>
              <w:rPr>
                <w:szCs w:val="22"/>
                <w:lang w:eastAsia="sv-SE"/>
              </w:rPr>
            </w:pPr>
            <w:r w:rsidRPr="00FA0D37">
              <w:rPr>
                <w:szCs w:val="22"/>
                <w:lang w:eastAsia="sv-SE"/>
              </w:rPr>
              <w:t>FR2-2:  120, 480, or 960 kHz</w:t>
            </w:r>
          </w:p>
        </w:tc>
      </w:tr>
      <w:tr w:rsidR="00394471" w:rsidRPr="00FA0D37"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FA0D37" w:rsidRDefault="00394471" w:rsidP="00964CC4">
            <w:pPr>
              <w:pStyle w:val="TAL"/>
              <w:rPr>
                <w:szCs w:val="22"/>
                <w:lang w:eastAsia="sv-SE"/>
              </w:rPr>
            </w:pPr>
            <w:r w:rsidRPr="00FA0D37">
              <w:rPr>
                <w:b/>
                <w:i/>
                <w:szCs w:val="22"/>
                <w:lang w:eastAsia="sv-SE"/>
              </w:rPr>
              <w:t>symbolsInResourceBlock</w:t>
            </w:r>
          </w:p>
          <w:p w14:paraId="571A740B" w14:textId="77777777" w:rsidR="00394471" w:rsidRPr="00FA0D37" w:rsidRDefault="00394471" w:rsidP="00964CC4">
            <w:pPr>
              <w:pStyle w:val="TAL"/>
              <w:rPr>
                <w:szCs w:val="22"/>
                <w:lang w:eastAsia="sv-SE"/>
              </w:rPr>
            </w:pPr>
            <w:r w:rsidRPr="00FA0D37">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FA0D37" w:rsidRDefault="00394471" w:rsidP="00964CC4">
            <w:pPr>
              <w:pStyle w:val="TAL"/>
              <w:rPr>
                <w:noProof/>
                <w:lang w:eastAsia="zh-CN"/>
              </w:rPr>
            </w:pPr>
            <w:r w:rsidRPr="00FA0D37">
              <w:rPr>
                <w:noProof/>
                <w:lang w:eastAsia="zh-CN"/>
              </w:rPr>
              <w:t xml:space="preserve">For </w:t>
            </w:r>
            <w:r w:rsidRPr="00FA0D37">
              <w:rPr>
                <w:i/>
                <w:noProof/>
                <w:lang w:eastAsia="zh-CN"/>
              </w:rPr>
              <w:t>oneSlot</w:t>
            </w:r>
            <w:r w:rsidRPr="00FA0D37">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FA0D37" w:rsidRDefault="00394471" w:rsidP="00964CC4">
            <w:pPr>
              <w:pStyle w:val="TAL"/>
              <w:rPr>
                <w:noProof/>
                <w:lang w:eastAsia="zh-CN"/>
              </w:rPr>
            </w:pPr>
            <w:r w:rsidRPr="00FA0D37">
              <w:rPr>
                <w:lang w:eastAsia="sv-SE"/>
              </w:rPr>
              <w:t xml:space="preserve">For </w:t>
            </w:r>
            <w:r w:rsidRPr="00FA0D37">
              <w:rPr>
                <w:i/>
                <w:noProof/>
                <w:lang w:eastAsia="zh-CN"/>
              </w:rPr>
              <w:t>twoSlots</w:t>
            </w:r>
            <w:r w:rsidRPr="00FA0D37">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FA0D37" w:rsidRDefault="00394471" w:rsidP="00964CC4">
            <w:pPr>
              <w:pStyle w:val="TAL"/>
              <w:rPr>
                <w:szCs w:val="22"/>
                <w:lang w:eastAsia="sv-SE"/>
              </w:rPr>
            </w:pPr>
            <w:r w:rsidRPr="00FA0D37">
              <w:rPr>
                <w:noProof/>
                <w:lang w:eastAsia="zh-CN"/>
              </w:rPr>
              <w:t xml:space="preserve">For the bits representing symbols in a slot, </w:t>
            </w:r>
            <w:r w:rsidRPr="00FA0D37">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FA0D37" w:rsidRDefault="00394471" w:rsidP="00964CC4">
            <w:pPr>
              <w:pStyle w:val="TAH"/>
              <w:rPr>
                <w:lang w:eastAsia="sv-SE"/>
              </w:rPr>
            </w:pPr>
            <w:r w:rsidRPr="00FA0D37">
              <w:rPr>
                <w:lang w:eastAsia="sv-SE"/>
              </w:rPr>
              <w:t>Explanation</w:t>
            </w:r>
          </w:p>
        </w:tc>
      </w:tr>
      <w:tr w:rsidR="00394471" w:rsidRPr="00FA0D37"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FA0D37" w:rsidRDefault="00394471" w:rsidP="00964CC4">
            <w:pPr>
              <w:pStyle w:val="TAL"/>
              <w:rPr>
                <w:i/>
                <w:lang w:eastAsia="sv-SE"/>
              </w:rPr>
            </w:pPr>
            <w:r w:rsidRPr="00FA0D37">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0A40659" w:rsidR="00394471" w:rsidRPr="00FA0D37" w:rsidRDefault="00394471" w:rsidP="00964CC4">
            <w:pPr>
              <w:pStyle w:val="TAL"/>
              <w:rPr>
                <w:lang w:eastAsia="sv-SE"/>
              </w:rPr>
            </w:pPr>
            <w:r w:rsidRPr="00FA0D37">
              <w:rPr>
                <w:lang w:eastAsia="sv-SE"/>
              </w:rPr>
              <w:t xml:space="preserve">The field is mandatory present if the </w:t>
            </w:r>
            <w:r w:rsidRPr="00FA0D37">
              <w:rPr>
                <w:i/>
                <w:lang w:eastAsia="sv-SE"/>
              </w:rPr>
              <w:t>RateMatchPattern</w:t>
            </w:r>
            <w:r w:rsidRPr="00FA0D37">
              <w:rPr>
                <w:lang w:eastAsia="sv-SE"/>
              </w:rPr>
              <w:t xml:space="preserve"> is defined on cell level. The field is absent when the </w:t>
            </w:r>
            <w:r w:rsidRPr="00FA0D37">
              <w:rPr>
                <w:i/>
                <w:lang w:eastAsia="sv-SE"/>
              </w:rPr>
              <w:t>RateMatchPattern</w:t>
            </w:r>
            <w:r w:rsidRPr="00FA0D37">
              <w:rPr>
                <w:lang w:eastAsia="sv-SE"/>
              </w:rPr>
              <w:t xml:space="preserve"> is defined on BWP level</w:t>
            </w:r>
            <w:r w:rsidR="00280BA7" w:rsidRPr="00FA0D37">
              <w:rPr>
                <w:lang w:eastAsia="sv-SE"/>
              </w:rPr>
              <w:t xml:space="preserve"> or defined for MBS broadcast CFR</w:t>
            </w:r>
            <w:r w:rsidRPr="00FA0D37">
              <w:rPr>
                <w:lang w:eastAsia="sv-SE"/>
              </w:rPr>
              <w:t xml:space="preserve">. If the </w:t>
            </w:r>
            <w:r w:rsidRPr="00FA0D37">
              <w:rPr>
                <w:i/>
                <w:lang w:eastAsia="sv-SE"/>
              </w:rPr>
              <w:t>RateMatchPattern</w:t>
            </w:r>
            <w:r w:rsidRPr="00FA0D37">
              <w:rPr>
                <w:lang w:eastAsia="sv-SE"/>
              </w:rPr>
              <w:t xml:space="preserve"> is defined on BWP level, the UE applies the SCS of the BWP</w:t>
            </w:r>
            <w:r w:rsidR="00280BA7" w:rsidRPr="00FA0D37">
              <w:rPr>
                <w:lang w:eastAsia="sv-SE"/>
              </w:rPr>
              <w:t xml:space="preserve"> and if </w:t>
            </w:r>
            <w:r w:rsidR="00280BA7" w:rsidRPr="00FA0D37">
              <w:rPr>
                <w:i/>
                <w:lang w:eastAsia="sv-SE"/>
              </w:rPr>
              <w:t>RateMatchPattern</w:t>
            </w:r>
            <w:r w:rsidR="00280BA7" w:rsidRPr="00FA0D37">
              <w:rPr>
                <w:lang w:eastAsia="sv-SE"/>
              </w:rPr>
              <w:t xml:space="preserve"> is defined for MBS broadcast CFR, the UE applies the SCS of the initial BWP</w:t>
            </w:r>
            <w:r w:rsidR="0040224D" w:rsidRPr="00FA0D37">
              <w:rPr>
                <w:lang w:eastAsia="sv-SE"/>
              </w:rPr>
              <w:t xml:space="preserve"> or RedCap-specific initial BWP (if configured) for RedCap UEs</w:t>
            </w:r>
            <w:r w:rsidRPr="00FA0D37">
              <w:rPr>
                <w:lang w:eastAsia="sv-SE"/>
              </w:rPr>
              <w:t>.</w:t>
            </w:r>
          </w:p>
        </w:tc>
      </w:tr>
    </w:tbl>
    <w:p w14:paraId="53D21921" w14:textId="77777777" w:rsidR="00394471" w:rsidRPr="00FA0D37" w:rsidRDefault="00394471" w:rsidP="00394471"/>
    <w:p w14:paraId="3E1AD763" w14:textId="77777777" w:rsidR="00394471" w:rsidRPr="00FA0D37" w:rsidRDefault="00394471" w:rsidP="00394471">
      <w:pPr>
        <w:pStyle w:val="4"/>
      </w:pPr>
      <w:bookmarkStart w:id="1303" w:name="_Toc60777343"/>
      <w:bookmarkStart w:id="1304" w:name="_Toc146781423"/>
      <w:r w:rsidRPr="00FA0D37">
        <w:lastRenderedPageBreak/>
        <w:t>–</w:t>
      </w:r>
      <w:r w:rsidRPr="00FA0D37">
        <w:tab/>
      </w:r>
      <w:r w:rsidRPr="00FA0D37">
        <w:rPr>
          <w:i/>
        </w:rPr>
        <w:t>RateMatchPatternId</w:t>
      </w:r>
      <w:bookmarkEnd w:id="1303"/>
      <w:bookmarkEnd w:id="1304"/>
    </w:p>
    <w:p w14:paraId="26C5C6FC" w14:textId="68B8D3DF" w:rsidR="00394471" w:rsidRPr="00FA0D37" w:rsidRDefault="00394471" w:rsidP="00394471">
      <w:r w:rsidRPr="00FA0D37">
        <w:t xml:space="preserve">The IE </w:t>
      </w:r>
      <w:r w:rsidRPr="00FA0D37">
        <w:rPr>
          <w:i/>
        </w:rPr>
        <w:t>RateMatchPatternId</w:t>
      </w:r>
      <w:r w:rsidRPr="00FA0D37">
        <w:t xml:space="preserve"> identifies one </w:t>
      </w:r>
      <w:r w:rsidRPr="00FA0D37">
        <w:rPr>
          <w:i/>
          <w:iCs/>
        </w:rPr>
        <w:t>RateMatch</w:t>
      </w:r>
      <w:r w:rsidR="00DF1A5D" w:rsidRPr="00FA0D37">
        <w:rPr>
          <w:i/>
          <w:iCs/>
        </w:rPr>
        <w:t>P</w:t>
      </w:r>
      <w:r w:rsidRPr="00FA0D37">
        <w:rPr>
          <w:i/>
          <w:iCs/>
        </w:rPr>
        <w:t>attern</w:t>
      </w:r>
      <w:r w:rsidRPr="00FA0D37">
        <w:t xml:space="preserve"> (see TS 38.214 [19], clause 5.1.4.</w:t>
      </w:r>
      <w:r w:rsidR="00DF1A5D" w:rsidRPr="00FA0D37">
        <w:t>1</w:t>
      </w:r>
      <w:r w:rsidRPr="00FA0D37">
        <w:t>).</w:t>
      </w:r>
    </w:p>
    <w:p w14:paraId="0C6F791B" w14:textId="77777777" w:rsidR="00394471" w:rsidRPr="00FA0D37" w:rsidRDefault="00394471" w:rsidP="00394471">
      <w:pPr>
        <w:pStyle w:val="TH"/>
      </w:pPr>
      <w:r w:rsidRPr="00FA0D37">
        <w:rPr>
          <w:i/>
        </w:rPr>
        <w:t>RateMatchPatternId</w:t>
      </w:r>
      <w:r w:rsidRPr="00FA0D37">
        <w:t xml:space="preserve"> information element</w:t>
      </w:r>
    </w:p>
    <w:p w14:paraId="2B85C632" w14:textId="77777777" w:rsidR="00394471" w:rsidRPr="00FA0D37" w:rsidRDefault="00394471" w:rsidP="00FA0D37">
      <w:pPr>
        <w:pStyle w:val="PL"/>
        <w:rPr>
          <w:color w:val="808080"/>
        </w:rPr>
      </w:pPr>
      <w:r w:rsidRPr="00FA0D37">
        <w:rPr>
          <w:color w:val="808080"/>
        </w:rPr>
        <w:t>-- ASN1START</w:t>
      </w:r>
    </w:p>
    <w:p w14:paraId="46112748" w14:textId="77777777" w:rsidR="00394471" w:rsidRPr="00FA0D37" w:rsidRDefault="00394471" w:rsidP="00FA0D37">
      <w:pPr>
        <w:pStyle w:val="PL"/>
        <w:rPr>
          <w:color w:val="808080"/>
        </w:rPr>
      </w:pPr>
      <w:r w:rsidRPr="00FA0D37">
        <w:rPr>
          <w:color w:val="808080"/>
        </w:rPr>
        <w:t>-- TAG-RATEMATCHPATTERNID-START</w:t>
      </w:r>
    </w:p>
    <w:p w14:paraId="1B1CDB10" w14:textId="77777777" w:rsidR="00394471" w:rsidRPr="00FA0D37" w:rsidRDefault="00394471" w:rsidP="00FA0D37">
      <w:pPr>
        <w:pStyle w:val="PL"/>
      </w:pPr>
    </w:p>
    <w:p w14:paraId="3D0CA97D" w14:textId="77777777" w:rsidR="00394471" w:rsidRPr="00FA0D37" w:rsidRDefault="00394471" w:rsidP="00FA0D37">
      <w:pPr>
        <w:pStyle w:val="PL"/>
      </w:pPr>
      <w:r w:rsidRPr="00FA0D37">
        <w:t xml:space="preserve">RateMatchPatternId ::=              </w:t>
      </w:r>
      <w:r w:rsidRPr="00FA0D37">
        <w:rPr>
          <w:color w:val="993366"/>
        </w:rPr>
        <w:t>INTEGER</w:t>
      </w:r>
      <w:r w:rsidRPr="00FA0D37">
        <w:t xml:space="preserve"> (0..maxNrofRateMatchPatterns-1)</w:t>
      </w:r>
    </w:p>
    <w:p w14:paraId="29CEEE7D" w14:textId="77777777" w:rsidR="00394471" w:rsidRPr="00FA0D37" w:rsidRDefault="00394471" w:rsidP="00FA0D37">
      <w:pPr>
        <w:pStyle w:val="PL"/>
      </w:pPr>
    </w:p>
    <w:p w14:paraId="029FEF3B" w14:textId="77777777" w:rsidR="00394471" w:rsidRPr="00FA0D37" w:rsidRDefault="00394471" w:rsidP="00FA0D37">
      <w:pPr>
        <w:pStyle w:val="PL"/>
        <w:rPr>
          <w:color w:val="808080"/>
        </w:rPr>
      </w:pPr>
      <w:r w:rsidRPr="00FA0D37">
        <w:rPr>
          <w:color w:val="808080"/>
        </w:rPr>
        <w:t>-- TAG-RATEMATCHPATTERNID-STOP</w:t>
      </w:r>
    </w:p>
    <w:p w14:paraId="4CA9584A" w14:textId="77777777" w:rsidR="00394471" w:rsidRPr="00FA0D37" w:rsidRDefault="00394471" w:rsidP="00FA0D37">
      <w:pPr>
        <w:pStyle w:val="PL"/>
        <w:rPr>
          <w:color w:val="808080"/>
        </w:rPr>
      </w:pPr>
      <w:r w:rsidRPr="00FA0D37">
        <w:rPr>
          <w:color w:val="808080"/>
        </w:rPr>
        <w:t>-- ASN1STOP</w:t>
      </w:r>
    </w:p>
    <w:p w14:paraId="17ACEF05" w14:textId="77777777" w:rsidR="00394471" w:rsidRPr="00FA0D37" w:rsidRDefault="00394471" w:rsidP="00394471">
      <w:pPr>
        <w:pStyle w:val="PL"/>
      </w:pPr>
    </w:p>
    <w:p w14:paraId="605A5F04" w14:textId="77777777" w:rsidR="00394471" w:rsidRPr="00FA0D37" w:rsidRDefault="00394471" w:rsidP="00394471"/>
    <w:p w14:paraId="05FC123F" w14:textId="77777777" w:rsidR="00394471" w:rsidRPr="00FA0D37" w:rsidRDefault="00394471" w:rsidP="00394471">
      <w:pPr>
        <w:pStyle w:val="4"/>
      </w:pPr>
      <w:bookmarkStart w:id="1305" w:name="_Toc60777344"/>
      <w:bookmarkStart w:id="1306" w:name="_Toc146781424"/>
      <w:r w:rsidRPr="00FA0D37">
        <w:t>–</w:t>
      </w:r>
      <w:r w:rsidRPr="00FA0D37">
        <w:tab/>
      </w:r>
      <w:r w:rsidRPr="00FA0D37">
        <w:rPr>
          <w:i/>
        </w:rPr>
        <w:t>RateMatchPatternLTE-CRS</w:t>
      </w:r>
      <w:bookmarkEnd w:id="1305"/>
      <w:bookmarkEnd w:id="1306"/>
    </w:p>
    <w:p w14:paraId="32549CAE" w14:textId="77777777" w:rsidR="00394471" w:rsidRPr="00FA0D37" w:rsidRDefault="00394471" w:rsidP="00394471">
      <w:r w:rsidRPr="00FA0D37">
        <w:t xml:space="preserve">The IE </w:t>
      </w:r>
      <w:r w:rsidRPr="00FA0D37">
        <w:rPr>
          <w:i/>
        </w:rPr>
        <w:t>RateMatchPatternLTE-CRS</w:t>
      </w:r>
      <w:r w:rsidRPr="00FA0D37">
        <w:t xml:space="preserve"> is used to configure a pattern to rate match around LTE CRS. See TS 38.214 [19], clause 5.1.4.2.</w:t>
      </w:r>
    </w:p>
    <w:p w14:paraId="730B95FA" w14:textId="77777777" w:rsidR="00394471" w:rsidRPr="00FA0D37" w:rsidRDefault="00394471" w:rsidP="00394471">
      <w:pPr>
        <w:pStyle w:val="TH"/>
      </w:pPr>
      <w:r w:rsidRPr="00FA0D37">
        <w:rPr>
          <w:i/>
        </w:rPr>
        <w:t>RateMatchPatternLTE-CRS</w:t>
      </w:r>
      <w:r w:rsidRPr="00FA0D37">
        <w:t xml:space="preserve"> information element</w:t>
      </w:r>
    </w:p>
    <w:p w14:paraId="1E857EB3" w14:textId="77777777" w:rsidR="00394471" w:rsidRPr="00FA0D37" w:rsidRDefault="00394471" w:rsidP="00FA0D37">
      <w:pPr>
        <w:pStyle w:val="PL"/>
        <w:rPr>
          <w:color w:val="808080"/>
        </w:rPr>
      </w:pPr>
      <w:r w:rsidRPr="00FA0D37">
        <w:rPr>
          <w:color w:val="808080"/>
        </w:rPr>
        <w:t>-- ASN1START</w:t>
      </w:r>
    </w:p>
    <w:p w14:paraId="025A5BA5" w14:textId="77777777" w:rsidR="00394471" w:rsidRPr="00FA0D37" w:rsidRDefault="00394471" w:rsidP="00FA0D37">
      <w:pPr>
        <w:pStyle w:val="PL"/>
        <w:rPr>
          <w:color w:val="808080"/>
        </w:rPr>
      </w:pPr>
      <w:r w:rsidRPr="00FA0D37">
        <w:rPr>
          <w:color w:val="808080"/>
        </w:rPr>
        <w:t>-- TAG-RATEMATCHPATTERNLTE-CRS-START</w:t>
      </w:r>
    </w:p>
    <w:p w14:paraId="5F7A6869" w14:textId="77777777" w:rsidR="00394471" w:rsidRPr="00FA0D37" w:rsidRDefault="00394471" w:rsidP="00FA0D37">
      <w:pPr>
        <w:pStyle w:val="PL"/>
      </w:pPr>
    </w:p>
    <w:p w14:paraId="76046913" w14:textId="77777777" w:rsidR="00394471" w:rsidRPr="00FA0D37" w:rsidRDefault="00394471" w:rsidP="00FA0D37">
      <w:pPr>
        <w:pStyle w:val="PL"/>
      </w:pPr>
      <w:r w:rsidRPr="00FA0D37">
        <w:t xml:space="preserve">RateMatchPatternLTE-CRS ::=         </w:t>
      </w:r>
      <w:r w:rsidRPr="00FA0D37">
        <w:rPr>
          <w:color w:val="993366"/>
        </w:rPr>
        <w:t>SEQUENCE</w:t>
      </w:r>
      <w:r w:rsidRPr="00FA0D37">
        <w:t xml:space="preserve"> {</w:t>
      </w:r>
    </w:p>
    <w:p w14:paraId="223FE215" w14:textId="77777777" w:rsidR="00394471" w:rsidRPr="00FA0D37" w:rsidRDefault="00394471" w:rsidP="00FA0D37">
      <w:pPr>
        <w:pStyle w:val="PL"/>
      </w:pPr>
      <w:r w:rsidRPr="00FA0D37">
        <w:t xml:space="preserve">    carrierFreqDL                       </w:t>
      </w:r>
      <w:r w:rsidRPr="00FA0D37">
        <w:rPr>
          <w:color w:val="993366"/>
        </w:rPr>
        <w:t>INTEGER</w:t>
      </w:r>
      <w:r w:rsidRPr="00FA0D37">
        <w:t xml:space="preserve"> (0..16383),</w:t>
      </w:r>
    </w:p>
    <w:p w14:paraId="07D113ED" w14:textId="77777777" w:rsidR="00394471" w:rsidRPr="00FA0D37" w:rsidRDefault="00394471" w:rsidP="00FA0D37">
      <w:pPr>
        <w:pStyle w:val="PL"/>
      </w:pPr>
      <w:r w:rsidRPr="00FA0D37">
        <w:t xml:space="preserve">    carrierBandwidthDL                  </w:t>
      </w:r>
      <w:r w:rsidRPr="00FA0D37">
        <w:rPr>
          <w:color w:val="993366"/>
        </w:rPr>
        <w:t>ENUMERATED</w:t>
      </w:r>
      <w:r w:rsidRPr="00FA0D37">
        <w:t xml:space="preserve"> {n6, n15, n25, n50, n75, n100, spare2, spare1},</w:t>
      </w:r>
    </w:p>
    <w:p w14:paraId="7AF62BD5" w14:textId="77777777" w:rsidR="00394471" w:rsidRPr="00FA0D37" w:rsidRDefault="00394471" w:rsidP="00FA0D37">
      <w:pPr>
        <w:pStyle w:val="PL"/>
        <w:rPr>
          <w:color w:val="808080"/>
        </w:rPr>
      </w:pPr>
      <w:r w:rsidRPr="00FA0D37">
        <w:t xml:space="preserve">    mbsfn-SubframeConfigList            EUTRA-MBSFN-SubframeConfigList                                          </w:t>
      </w:r>
      <w:r w:rsidRPr="00FA0D37">
        <w:rPr>
          <w:color w:val="993366"/>
        </w:rPr>
        <w:t>OPTIONAL</w:t>
      </w:r>
      <w:r w:rsidRPr="00FA0D37">
        <w:t xml:space="preserve">,   </w:t>
      </w:r>
      <w:r w:rsidRPr="00FA0D37">
        <w:rPr>
          <w:color w:val="808080"/>
        </w:rPr>
        <w:t>-- Need M</w:t>
      </w:r>
    </w:p>
    <w:p w14:paraId="50FC882F" w14:textId="77777777" w:rsidR="00394471" w:rsidRPr="00FA0D37" w:rsidRDefault="00394471" w:rsidP="00FA0D37">
      <w:pPr>
        <w:pStyle w:val="PL"/>
      </w:pPr>
      <w:r w:rsidRPr="00FA0D37">
        <w:t xml:space="preserve">    nrofCRS-Ports                       </w:t>
      </w:r>
      <w:r w:rsidRPr="00FA0D37">
        <w:rPr>
          <w:color w:val="993366"/>
        </w:rPr>
        <w:t>ENUMERATED</w:t>
      </w:r>
      <w:r w:rsidRPr="00FA0D37">
        <w:t xml:space="preserve"> {n1, n2, n4},</w:t>
      </w:r>
    </w:p>
    <w:p w14:paraId="03014C05" w14:textId="77777777" w:rsidR="00394471" w:rsidRPr="00FA0D37" w:rsidRDefault="00394471" w:rsidP="00FA0D37">
      <w:pPr>
        <w:pStyle w:val="PL"/>
      </w:pPr>
      <w:r w:rsidRPr="00FA0D37">
        <w:t xml:space="preserve">    v-Shift                             </w:t>
      </w:r>
      <w:r w:rsidRPr="00FA0D37">
        <w:rPr>
          <w:color w:val="993366"/>
        </w:rPr>
        <w:t>ENUMERATED</w:t>
      </w:r>
      <w:r w:rsidRPr="00FA0D37">
        <w:t xml:space="preserve"> {n0, n1, n2, n3, n4, n5}</w:t>
      </w:r>
    </w:p>
    <w:p w14:paraId="63CE003B" w14:textId="77777777" w:rsidR="00394471" w:rsidRPr="00FA0D37" w:rsidRDefault="00394471" w:rsidP="00FA0D37">
      <w:pPr>
        <w:pStyle w:val="PL"/>
      </w:pPr>
      <w:r w:rsidRPr="00FA0D37">
        <w:t>}</w:t>
      </w:r>
    </w:p>
    <w:p w14:paraId="70EBBBEA" w14:textId="77777777" w:rsidR="00394471" w:rsidRPr="00FA0D37" w:rsidRDefault="00394471" w:rsidP="00FA0D37">
      <w:pPr>
        <w:pStyle w:val="PL"/>
      </w:pPr>
    </w:p>
    <w:p w14:paraId="1E94E0BE" w14:textId="77777777" w:rsidR="00394471" w:rsidRPr="00FA0D37" w:rsidRDefault="00394471" w:rsidP="00FA0D37">
      <w:pPr>
        <w:pStyle w:val="PL"/>
      </w:pPr>
      <w:r w:rsidRPr="00FA0D37">
        <w:t xml:space="preserve">LTE-CRS-PatternList-r16 ::=         </w:t>
      </w:r>
      <w:r w:rsidRPr="00FA0D37">
        <w:rPr>
          <w:color w:val="993366"/>
        </w:rPr>
        <w:t>SEQUENCE</w:t>
      </w:r>
      <w:r w:rsidRPr="00FA0D37">
        <w:t xml:space="preserve"> (</w:t>
      </w:r>
      <w:r w:rsidRPr="00FA0D37">
        <w:rPr>
          <w:color w:val="993366"/>
        </w:rPr>
        <w:t>SIZE</w:t>
      </w:r>
      <w:r w:rsidRPr="00FA0D37">
        <w:t xml:space="preserve"> (1..maxLTE-CRS-Patterns-r16))</w:t>
      </w:r>
      <w:r w:rsidRPr="00FA0D37">
        <w:rPr>
          <w:color w:val="993366"/>
        </w:rPr>
        <w:t xml:space="preserve"> OF</w:t>
      </w:r>
      <w:r w:rsidRPr="00FA0D37">
        <w:t xml:space="preserve"> RateMatchPatternLTE-CRS</w:t>
      </w:r>
    </w:p>
    <w:p w14:paraId="507E9FAE" w14:textId="77777777" w:rsidR="00394471" w:rsidRPr="00FA0D37" w:rsidRDefault="00394471" w:rsidP="00FA0D37">
      <w:pPr>
        <w:pStyle w:val="PL"/>
      </w:pPr>
    </w:p>
    <w:p w14:paraId="24C0BB11" w14:textId="77777777" w:rsidR="00394471" w:rsidRPr="00FA0D37" w:rsidRDefault="00394471" w:rsidP="00FA0D37">
      <w:pPr>
        <w:pStyle w:val="PL"/>
        <w:rPr>
          <w:color w:val="808080"/>
        </w:rPr>
      </w:pPr>
      <w:r w:rsidRPr="00FA0D37">
        <w:rPr>
          <w:color w:val="808080"/>
        </w:rPr>
        <w:t>-- TAG-RATEMATCHPATTERNLTE-CRS-STOP</w:t>
      </w:r>
    </w:p>
    <w:p w14:paraId="10D54163" w14:textId="77777777" w:rsidR="00394471" w:rsidRPr="00FA0D37" w:rsidRDefault="00394471" w:rsidP="00FA0D37">
      <w:pPr>
        <w:pStyle w:val="PL"/>
        <w:rPr>
          <w:color w:val="808080"/>
        </w:rPr>
      </w:pPr>
      <w:r w:rsidRPr="00FA0D37">
        <w:rPr>
          <w:color w:val="808080"/>
        </w:rPr>
        <w:t>-- ASN1STOP</w:t>
      </w:r>
    </w:p>
    <w:p w14:paraId="603A2E02" w14:textId="77777777" w:rsidR="00394471" w:rsidRPr="00FA0D37" w:rsidRDefault="00394471" w:rsidP="00394471">
      <w:pPr>
        <w:pStyle w:val="PL"/>
      </w:pPr>
    </w:p>
    <w:p w14:paraId="3303E1A9"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FA0D37" w:rsidRDefault="00394471" w:rsidP="00964CC4">
            <w:pPr>
              <w:pStyle w:val="TAH"/>
              <w:rPr>
                <w:rFonts w:eastAsia="MS Mincho"/>
                <w:szCs w:val="22"/>
                <w:lang w:eastAsia="sv-SE"/>
              </w:rPr>
            </w:pPr>
            <w:r w:rsidRPr="00FA0D37">
              <w:rPr>
                <w:rFonts w:eastAsia="MS Mincho"/>
                <w:i/>
                <w:szCs w:val="22"/>
                <w:lang w:eastAsia="sv-SE"/>
              </w:rPr>
              <w:lastRenderedPageBreak/>
              <w:t xml:space="preserve">RateMatchPatternLTE-CRS </w:t>
            </w:r>
            <w:r w:rsidRPr="00FA0D37">
              <w:rPr>
                <w:rFonts w:eastAsia="MS Mincho"/>
                <w:szCs w:val="22"/>
                <w:lang w:eastAsia="sv-SE"/>
              </w:rPr>
              <w:t>field descriptions</w:t>
            </w:r>
          </w:p>
        </w:tc>
      </w:tr>
      <w:tr w:rsidR="005C7FF4" w:rsidRPr="00FA0D37"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carrierBandwidthDL</w:t>
            </w:r>
          </w:p>
          <w:p w14:paraId="0992ED2C" w14:textId="77777777" w:rsidR="00394471" w:rsidRPr="00FA0D37" w:rsidRDefault="00394471" w:rsidP="00964CC4">
            <w:pPr>
              <w:pStyle w:val="TAL"/>
              <w:rPr>
                <w:rFonts w:eastAsia="MS Mincho"/>
                <w:szCs w:val="22"/>
                <w:lang w:eastAsia="sv-SE"/>
              </w:rPr>
            </w:pPr>
            <w:r w:rsidRPr="00FA0D37">
              <w:rPr>
                <w:rFonts w:eastAsia="MS Mincho"/>
                <w:szCs w:val="22"/>
                <w:lang w:eastAsia="sv-SE"/>
              </w:rPr>
              <w:t>BW of the LTE carrier in number of PRBs (see TS 38.214 [19], clause 5.1.4.2).</w:t>
            </w:r>
          </w:p>
        </w:tc>
      </w:tr>
      <w:tr w:rsidR="005C7FF4" w:rsidRPr="00FA0D37"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carrierFreqDL</w:t>
            </w:r>
          </w:p>
          <w:p w14:paraId="2BFBF313" w14:textId="77777777" w:rsidR="00394471" w:rsidRPr="00FA0D37" w:rsidRDefault="00394471" w:rsidP="00964CC4">
            <w:pPr>
              <w:pStyle w:val="TAL"/>
              <w:rPr>
                <w:rFonts w:eastAsia="MS Mincho"/>
                <w:szCs w:val="22"/>
                <w:lang w:eastAsia="sv-SE"/>
              </w:rPr>
            </w:pPr>
            <w:r w:rsidRPr="00FA0D37">
              <w:rPr>
                <w:rFonts w:eastAsia="MS Mincho"/>
                <w:szCs w:val="22"/>
                <w:lang w:eastAsia="sv-SE"/>
              </w:rPr>
              <w:t>Center of the LTE carrier (see TS 38.214 [19], clause 5.1.4.2).</w:t>
            </w:r>
          </w:p>
        </w:tc>
      </w:tr>
      <w:tr w:rsidR="005C7FF4" w:rsidRPr="00FA0D37"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mbsfn-SubframeConfigList</w:t>
            </w:r>
          </w:p>
          <w:p w14:paraId="7A5209E0" w14:textId="77777777" w:rsidR="00394471" w:rsidRPr="00FA0D37" w:rsidRDefault="00394471" w:rsidP="00964CC4">
            <w:pPr>
              <w:pStyle w:val="TAL"/>
              <w:rPr>
                <w:rFonts w:eastAsia="MS Mincho"/>
                <w:szCs w:val="22"/>
                <w:lang w:eastAsia="sv-SE"/>
              </w:rPr>
            </w:pPr>
            <w:r w:rsidRPr="00FA0D37">
              <w:rPr>
                <w:rFonts w:eastAsia="MS Mincho"/>
                <w:szCs w:val="22"/>
                <w:lang w:eastAsia="sv-SE"/>
              </w:rPr>
              <w:t>LTE MBSFN subframe configuration (see TS 38.214 [19], clause 5.1.4.2).</w:t>
            </w:r>
          </w:p>
        </w:tc>
      </w:tr>
      <w:tr w:rsidR="005C7FF4" w:rsidRPr="00FA0D37"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nrofCRS-Ports</w:t>
            </w:r>
          </w:p>
          <w:p w14:paraId="3F5BD8DB" w14:textId="77777777" w:rsidR="00394471" w:rsidRPr="00FA0D37" w:rsidRDefault="00394471" w:rsidP="00964CC4">
            <w:pPr>
              <w:pStyle w:val="TAL"/>
              <w:rPr>
                <w:rFonts w:eastAsia="MS Mincho"/>
                <w:szCs w:val="22"/>
                <w:lang w:eastAsia="sv-SE"/>
              </w:rPr>
            </w:pPr>
            <w:r w:rsidRPr="00FA0D37">
              <w:rPr>
                <w:rFonts w:eastAsia="MS Mincho"/>
                <w:szCs w:val="22"/>
                <w:lang w:eastAsia="sv-SE"/>
              </w:rPr>
              <w:t>Number of LTE CRS antenna port to rate-match around (see TS 38.214 [19], clause 5.1.4.2).</w:t>
            </w:r>
          </w:p>
        </w:tc>
      </w:tr>
      <w:tr w:rsidR="00F747EB" w:rsidRPr="00FA0D37"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v-Shift</w:t>
            </w:r>
          </w:p>
          <w:p w14:paraId="3783672C" w14:textId="77777777" w:rsidR="00394471" w:rsidRPr="00FA0D37" w:rsidRDefault="00394471" w:rsidP="00964CC4">
            <w:pPr>
              <w:pStyle w:val="TAL"/>
              <w:rPr>
                <w:rFonts w:eastAsia="MS Mincho"/>
                <w:szCs w:val="22"/>
                <w:lang w:eastAsia="sv-SE"/>
              </w:rPr>
            </w:pPr>
            <w:r w:rsidRPr="00FA0D37">
              <w:rPr>
                <w:rFonts w:eastAsia="MS Mincho"/>
                <w:szCs w:val="22"/>
                <w:lang w:eastAsia="sv-SE"/>
              </w:rPr>
              <w:t>Shifting value v-shift in LTE to rate match around LTE CRS (see TS 38.214 [19], clause 5.1.4.2).</w:t>
            </w:r>
          </w:p>
        </w:tc>
      </w:tr>
    </w:tbl>
    <w:p w14:paraId="15E4F634" w14:textId="77777777" w:rsidR="00771058" w:rsidRPr="00FA0D37" w:rsidRDefault="00771058" w:rsidP="00771058"/>
    <w:p w14:paraId="0BC5F758" w14:textId="77777777" w:rsidR="00771058" w:rsidRPr="00FA0D37" w:rsidRDefault="00771058" w:rsidP="00771058">
      <w:pPr>
        <w:pStyle w:val="4"/>
      </w:pPr>
      <w:bookmarkStart w:id="1307" w:name="_Toc146781425"/>
      <w:r w:rsidRPr="00FA0D37">
        <w:t>–</w:t>
      </w:r>
      <w:r w:rsidRPr="00FA0D37">
        <w:tab/>
      </w:r>
      <w:r w:rsidRPr="00FA0D37">
        <w:rPr>
          <w:i/>
        </w:rPr>
        <w:t>ReferenceLocation</w:t>
      </w:r>
      <w:bookmarkEnd w:id="1307"/>
    </w:p>
    <w:p w14:paraId="44AEA543" w14:textId="77777777" w:rsidR="00771058" w:rsidRPr="00FA0D37" w:rsidRDefault="00771058" w:rsidP="00771058">
      <w:r w:rsidRPr="00FA0D37">
        <w:t xml:space="preserve">The IE </w:t>
      </w:r>
      <w:r w:rsidRPr="00FA0D37">
        <w:rPr>
          <w:i/>
        </w:rPr>
        <w:t>ReferenceLocation</w:t>
      </w:r>
      <w:r w:rsidRPr="00FA0D37">
        <w:t xml:space="preserve"> contains location information used as a reference location. </w:t>
      </w:r>
      <w:r w:rsidRPr="00FA0D37">
        <w:rPr>
          <w:snapToGrid w:val="0"/>
          <w:lang w:eastAsia="en-GB"/>
        </w:rPr>
        <w:t xml:space="preserve">The value of the field is same as </w:t>
      </w:r>
      <w:r w:rsidRPr="00FA0D37">
        <w:rPr>
          <w:i/>
          <w:lang w:eastAsia="ko-KR"/>
        </w:rPr>
        <w:t>Ellipsoid-Point</w:t>
      </w:r>
      <w:r w:rsidRPr="00FA0D37">
        <w:rPr>
          <w:snapToGrid w:val="0"/>
          <w:lang w:eastAsia="en-GB"/>
        </w:rPr>
        <w:t xml:space="preserve"> defined in TS37.355 [49]. </w:t>
      </w:r>
      <w:r w:rsidRPr="00FA0D37">
        <w:rPr>
          <w:lang w:eastAsia="en-GB"/>
        </w:rPr>
        <w:t>The first/leftmost bit of the first octet contains the most significant bit.</w:t>
      </w:r>
    </w:p>
    <w:p w14:paraId="7B06E150" w14:textId="75FCD01D" w:rsidR="00771058" w:rsidRPr="00FA0D37" w:rsidRDefault="00771058" w:rsidP="00771058">
      <w:pPr>
        <w:pStyle w:val="TH"/>
      </w:pPr>
      <w:r w:rsidRPr="00FA0D37">
        <w:rPr>
          <w:i/>
        </w:rPr>
        <w:t>Reference</w:t>
      </w:r>
      <w:r w:rsidR="00697589" w:rsidRPr="00FA0D37">
        <w:rPr>
          <w:i/>
        </w:rPr>
        <w:t>Location</w:t>
      </w:r>
      <w:r w:rsidRPr="00FA0D37">
        <w:t xml:space="preserve"> information element</w:t>
      </w:r>
    </w:p>
    <w:p w14:paraId="51FEC26E" w14:textId="77777777" w:rsidR="00771058" w:rsidRPr="00FA0D37" w:rsidRDefault="00771058" w:rsidP="00FA0D37">
      <w:pPr>
        <w:pStyle w:val="PL"/>
        <w:rPr>
          <w:color w:val="808080"/>
        </w:rPr>
      </w:pPr>
      <w:r w:rsidRPr="00FA0D37">
        <w:rPr>
          <w:color w:val="808080"/>
        </w:rPr>
        <w:t>-- ASN1START</w:t>
      </w:r>
    </w:p>
    <w:p w14:paraId="3575E648" w14:textId="77777777" w:rsidR="00771058" w:rsidRPr="00FA0D37" w:rsidRDefault="00771058" w:rsidP="00FA0D37">
      <w:pPr>
        <w:pStyle w:val="PL"/>
        <w:rPr>
          <w:color w:val="808080"/>
        </w:rPr>
      </w:pPr>
      <w:r w:rsidRPr="00FA0D37">
        <w:rPr>
          <w:color w:val="808080"/>
        </w:rPr>
        <w:t>-- TAG-REFERENCELOCATION-START</w:t>
      </w:r>
    </w:p>
    <w:p w14:paraId="0710165A" w14:textId="77777777" w:rsidR="00771058" w:rsidRPr="00FA0D37" w:rsidRDefault="00771058" w:rsidP="00FA0D37">
      <w:pPr>
        <w:pStyle w:val="PL"/>
      </w:pPr>
    </w:p>
    <w:p w14:paraId="0F362508" w14:textId="77777777" w:rsidR="00771058" w:rsidRPr="00FA0D37" w:rsidRDefault="00771058" w:rsidP="00FA0D37">
      <w:pPr>
        <w:pStyle w:val="PL"/>
      </w:pPr>
      <w:r w:rsidRPr="00FA0D37">
        <w:t xml:space="preserve">ReferenceLocation-r17 ::= </w:t>
      </w:r>
      <w:r w:rsidRPr="00FA0D37">
        <w:rPr>
          <w:color w:val="993366"/>
        </w:rPr>
        <w:t>OCTET</w:t>
      </w:r>
      <w:r w:rsidRPr="00FA0D37">
        <w:t xml:space="preserve"> </w:t>
      </w:r>
      <w:r w:rsidRPr="00FA0D37">
        <w:rPr>
          <w:color w:val="993366"/>
        </w:rPr>
        <w:t>STRING</w:t>
      </w:r>
    </w:p>
    <w:p w14:paraId="2B376F70" w14:textId="77777777" w:rsidR="00771058" w:rsidRPr="00FA0D37" w:rsidRDefault="00771058" w:rsidP="00FA0D37">
      <w:pPr>
        <w:pStyle w:val="PL"/>
      </w:pPr>
    </w:p>
    <w:p w14:paraId="08BAD2C3" w14:textId="77777777" w:rsidR="00771058" w:rsidRPr="00FA0D37" w:rsidRDefault="00771058" w:rsidP="00FA0D37">
      <w:pPr>
        <w:pStyle w:val="PL"/>
        <w:rPr>
          <w:color w:val="808080"/>
        </w:rPr>
      </w:pPr>
      <w:r w:rsidRPr="00FA0D37">
        <w:rPr>
          <w:color w:val="808080"/>
        </w:rPr>
        <w:t>-- TAG-REFERENCELOCATION-STOP</w:t>
      </w:r>
    </w:p>
    <w:p w14:paraId="023449BA" w14:textId="77777777" w:rsidR="00771058" w:rsidRPr="00FA0D37" w:rsidRDefault="00771058" w:rsidP="00FA0D37">
      <w:pPr>
        <w:pStyle w:val="PL"/>
        <w:rPr>
          <w:color w:val="808080"/>
        </w:rPr>
      </w:pPr>
      <w:r w:rsidRPr="00FA0D37">
        <w:rPr>
          <w:color w:val="808080"/>
        </w:rPr>
        <w:t>-- ASN1STOP</w:t>
      </w:r>
    </w:p>
    <w:p w14:paraId="7AEA4479" w14:textId="77777777" w:rsidR="00771058" w:rsidRPr="00FA0D37" w:rsidRDefault="00771058" w:rsidP="00394471"/>
    <w:p w14:paraId="0E16587B" w14:textId="77777777" w:rsidR="00394471" w:rsidRPr="00FA0D37" w:rsidRDefault="00394471" w:rsidP="00394471">
      <w:pPr>
        <w:pStyle w:val="4"/>
      </w:pPr>
      <w:bookmarkStart w:id="1308" w:name="_Toc60777345"/>
      <w:bookmarkStart w:id="1309" w:name="_Toc146781426"/>
      <w:r w:rsidRPr="00FA0D37">
        <w:t>–</w:t>
      </w:r>
      <w:r w:rsidRPr="00FA0D37">
        <w:tab/>
      </w:r>
      <w:r w:rsidRPr="00FA0D37">
        <w:rPr>
          <w:i/>
        </w:rPr>
        <w:t>ReferenceTimeInfo</w:t>
      </w:r>
      <w:bookmarkEnd w:id="1308"/>
      <w:bookmarkEnd w:id="1309"/>
    </w:p>
    <w:p w14:paraId="0A4D0F73" w14:textId="77777777" w:rsidR="00394471" w:rsidRPr="00FA0D37" w:rsidRDefault="00394471" w:rsidP="00394471">
      <w:r w:rsidRPr="00FA0D37">
        <w:t xml:space="preserve">The IE </w:t>
      </w:r>
      <w:r w:rsidRPr="00FA0D37">
        <w:rPr>
          <w:i/>
        </w:rPr>
        <w:t>ReferenceTimeInfo</w:t>
      </w:r>
      <w:r w:rsidRPr="00FA0D37">
        <w:t xml:space="preserve"> contains timing information for </w:t>
      </w:r>
      <w:r w:rsidRPr="00FA0D37">
        <w:rPr>
          <w:lang w:eastAsia="x-none"/>
        </w:rPr>
        <w:t>5G internal system clock used for, e.g., time stamping, see TS 23.501 [32], clause 5.27.1.2</w:t>
      </w:r>
      <w:r w:rsidRPr="00FA0D37">
        <w:t>.</w:t>
      </w:r>
    </w:p>
    <w:p w14:paraId="49565B0F" w14:textId="77777777" w:rsidR="00394471" w:rsidRPr="00FA0D37" w:rsidRDefault="00394471" w:rsidP="00394471">
      <w:pPr>
        <w:pStyle w:val="TH"/>
      </w:pPr>
      <w:r w:rsidRPr="00FA0D37">
        <w:rPr>
          <w:i/>
        </w:rPr>
        <w:t>ReferenceTimeInfo</w:t>
      </w:r>
      <w:r w:rsidRPr="00FA0D37">
        <w:t xml:space="preserve"> information element</w:t>
      </w:r>
    </w:p>
    <w:p w14:paraId="10F035B4" w14:textId="77777777" w:rsidR="00394471" w:rsidRPr="00FA0D37" w:rsidRDefault="00394471" w:rsidP="00FA0D37">
      <w:pPr>
        <w:pStyle w:val="PL"/>
        <w:rPr>
          <w:color w:val="808080"/>
        </w:rPr>
      </w:pPr>
      <w:r w:rsidRPr="00FA0D37">
        <w:rPr>
          <w:color w:val="808080"/>
        </w:rPr>
        <w:t>-- ASN1START</w:t>
      </w:r>
    </w:p>
    <w:p w14:paraId="6A48F967" w14:textId="77777777" w:rsidR="00394471" w:rsidRPr="00FA0D37" w:rsidRDefault="00394471" w:rsidP="00FA0D37">
      <w:pPr>
        <w:pStyle w:val="PL"/>
        <w:rPr>
          <w:color w:val="808080"/>
        </w:rPr>
      </w:pPr>
      <w:r w:rsidRPr="00FA0D37">
        <w:rPr>
          <w:color w:val="808080"/>
        </w:rPr>
        <w:t>-- TAG-REFERENCETIMEINFO-START</w:t>
      </w:r>
    </w:p>
    <w:p w14:paraId="0C94DB68" w14:textId="77777777" w:rsidR="00394471" w:rsidRPr="00FA0D37" w:rsidRDefault="00394471" w:rsidP="00FA0D37">
      <w:pPr>
        <w:pStyle w:val="PL"/>
      </w:pPr>
    </w:p>
    <w:p w14:paraId="45B1E957" w14:textId="77777777" w:rsidR="00394471" w:rsidRPr="00FA0D37" w:rsidRDefault="00394471" w:rsidP="00FA0D37">
      <w:pPr>
        <w:pStyle w:val="PL"/>
      </w:pPr>
      <w:r w:rsidRPr="00FA0D37">
        <w:t xml:space="preserve">ReferenceTimeInfo-r16 ::= </w:t>
      </w:r>
      <w:r w:rsidRPr="00FA0D37">
        <w:rPr>
          <w:color w:val="993366"/>
        </w:rPr>
        <w:t>SEQUENCE</w:t>
      </w:r>
      <w:r w:rsidRPr="00FA0D37">
        <w:t xml:space="preserve"> {</w:t>
      </w:r>
    </w:p>
    <w:p w14:paraId="55519029" w14:textId="77777777" w:rsidR="00394471" w:rsidRPr="00FA0D37" w:rsidRDefault="00394471" w:rsidP="00FA0D37">
      <w:pPr>
        <w:pStyle w:val="PL"/>
      </w:pPr>
      <w:r w:rsidRPr="00FA0D37">
        <w:t xml:space="preserve">    time-r16                            ReferenceTime-r16,</w:t>
      </w:r>
    </w:p>
    <w:p w14:paraId="351461C4" w14:textId="77777777" w:rsidR="00394471" w:rsidRPr="00FA0D37" w:rsidRDefault="00394471" w:rsidP="00FA0D37">
      <w:pPr>
        <w:pStyle w:val="PL"/>
        <w:rPr>
          <w:color w:val="808080"/>
        </w:rPr>
      </w:pPr>
      <w:r w:rsidRPr="00FA0D37">
        <w:t xml:space="preserve">    uncertainty-r16                     </w:t>
      </w:r>
      <w:r w:rsidRPr="00FA0D37">
        <w:rPr>
          <w:color w:val="993366"/>
        </w:rPr>
        <w:t>INTEGER</w:t>
      </w:r>
      <w:r w:rsidRPr="00FA0D37">
        <w:t xml:space="preserve"> (0..32767)          </w:t>
      </w:r>
      <w:r w:rsidRPr="00FA0D37">
        <w:rPr>
          <w:color w:val="993366"/>
        </w:rPr>
        <w:t>OPTIONAL</w:t>
      </w:r>
      <w:r w:rsidRPr="00FA0D37">
        <w:t xml:space="preserve">,   </w:t>
      </w:r>
      <w:r w:rsidRPr="00FA0D37">
        <w:rPr>
          <w:color w:val="808080"/>
        </w:rPr>
        <w:t>-- Need S</w:t>
      </w:r>
    </w:p>
    <w:p w14:paraId="69F7731E" w14:textId="77777777" w:rsidR="00394471" w:rsidRPr="00FA0D37" w:rsidRDefault="00394471" w:rsidP="00FA0D37">
      <w:pPr>
        <w:pStyle w:val="PL"/>
        <w:rPr>
          <w:color w:val="808080"/>
        </w:rPr>
      </w:pPr>
      <w:r w:rsidRPr="00FA0D37">
        <w:t xml:space="preserve">    timeInfoType-r16                    </w:t>
      </w:r>
      <w:r w:rsidRPr="00FA0D37">
        <w:rPr>
          <w:color w:val="993366"/>
        </w:rPr>
        <w:t>ENUMERATED</w:t>
      </w:r>
      <w:r w:rsidRPr="00FA0D37">
        <w:t xml:space="preserve"> {localClock}     </w:t>
      </w:r>
      <w:r w:rsidRPr="00FA0D37">
        <w:rPr>
          <w:color w:val="993366"/>
        </w:rPr>
        <w:t>OPTIONAL</w:t>
      </w:r>
      <w:r w:rsidRPr="00FA0D37">
        <w:t xml:space="preserve">,   </w:t>
      </w:r>
      <w:r w:rsidRPr="00FA0D37">
        <w:rPr>
          <w:color w:val="808080"/>
        </w:rPr>
        <w:t>-- Need S</w:t>
      </w:r>
    </w:p>
    <w:p w14:paraId="55083AB6" w14:textId="77777777" w:rsidR="00394471" w:rsidRPr="00FA0D37" w:rsidRDefault="00394471" w:rsidP="00FA0D37">
      <w:pPr>
        <w:pStyle w:val="PL"/>
        <w:rPr>
          <w:color w:val="808080"/>
        </w:rPr>
      </w:pPr>
      <w:r w:rsidRPr="00FA0D37">
        <w:t xml:space="preserve">    referenceSFN-r16                    </w:t>
      </w:r>
      <w:r w:rsidRPr="00FA0D37">
        <w:rPr>
          <w:color w:val="993366"/>
        </w:rPr>
        <w:t>INTEGER</w:t>
      </w:r>
      <w:r w:rsidRPr="00FA0D37">
        <w:t xml:space="preserve"> (0..1023)           </w:t>
      </w:r>
      <w:r w:rsidRPr="00FA0D37">
        <w:rPr>
          <w:color w:val="993366"/>
        </w:rPr>
        <w:t>OPTIONAL</w:t>
      </w:r>
      <w:r w:rsidRPr="00FA0D37">
        <w:t xml:space="preserve">    </w:t>
      </w:r>
      <w:r w:rsidRPr="00FA0D37">
        <w:rPr>
          <w:color w:val="808080"/>
        </w:rPr>
        <w:t>-- Cond RefTime</w:t>
      </w:r>
    </w:p>
    <w:p w14:paraId="37C138C7" w14:textId="77777777" w:rsidR="00394471" w:rsidRPr="00FA0D37" w:rsidRDefault="00394471" w:rsidP="00FA0D37">
      <w:pPr>
        <w:pStyle w:val="PL"/>
      </w:pPr>
      <w:r w:rsidRPr="00FA0D37">
        <w:t>}</w:t>
      </w:r>
    </w:p>
    <w:p w14:paraId="0AABE9E9" w14:textId="77777777" w:rsidR="00394471" w:rsidRPr="00FA0D37" w:rsidRDefault="00394471" w:rsidP="00FA0D37">
      <w:pPr>
        <w:pStyle w:val="PL"/>
      </w:pPr>
    </w:p>
    <w:p w14:paraId="00394B4B" w14:textId="77777777" w:rsidR="00394471" w:rsidRPr="00FA0D37" w:rsidRDefault="00394471" w:rsidP="00FA0D37">
      <w:pPr>
        <w:pStyle w:val="PL"/>
      </w:pPr>
      <w:r w:rsidRPr="00FA0D37">
        <w:t xml:space="preserve">ReferenceTime-r16 ::=           </w:t>
      </w:r>
      <w:r w:rsidRPr="00FA0D37">
        <w:rPr>
          <w:color w:val="993366"/>
        </w:rPr>
        <w:t>SEQUENCE</w:t>
      </w:r>
      <w:r w:rsidRPr="00FA0D37">
        <w:t xml:space="preserve"> {</w:t>
      </w:r>
    </w:p>
    <w:p w14:paraId="310A1FD7" w14:textId="77777777" w:rsidR="00394471" w:rsidRPr="00FA0D37" w:rsidRDefault="00394471" w:rsidP="00FA0D37">
      <w:pPr>
        <w:pStyle w:val="PL"/>
      </w:pPr>
      <w:r w:rsidRPr="00FA0D37">
        <w:lastRenderedPageBreak/>
        <w:t xml:space="preserve">    refDays-r16                         </w:t>
      </w:r>
      <w:r w:rsidRPr="00FA0D37">
        <w:rPr>
          <w:color w:val="993366"/>
        </w:rPr>
        <w:t>INTEGER</w:t>
      </w:r>
      <w:r w:rsidRPr="00FA0D37">
        <w:t xml:space="preserve"> (0..72999),</w:t>
      </w:r>
    </w:p>
    <w:p w14:paraId="6C74394C" w14:textId="77777777" w:rsidR="00394471" w:rsidRPr="00FA0D37" w:rsidRDefault="00394471" w:rsidP="00FA0D37">
      <w:pPr>
        <w:pStyle w:val="PL"/>
      </w:pPr>
      <w:r w:rsidRPr="00FA0D37">
        <w:t xml:space="preserve">    refSeconds-r16                      </w:t>
      </w:r>
      <w:r w:rsidRPr="00FA0D37">
        <w:rPr>
          <w:color w:val="993366"/>
        </w:rPr>
        <w:t>INTEGER</w:t>
      </w:r>
      <w:r w:rsidRPr="00FA0D37">
        <w:t xml:space="preserve"> (0..86399),</w:t>
      </w:r>
    </w:p>
    <w:p w14:paraId="41C6F7B2" w14:textId="77777777" w:rsidR="00394471" w:rsidRPr="00FA0D37" w:rsidRDefault="00394471" w:rsidP="00FA0D37">
      <w:pPr>
        <w:pStyle w:val="PL"/>
      </w:pPr>
      <w:r w:rsidRPr="00FA0D37">
        <w:t xml:space="preserve">    refMilliSeconds-r16                 </w:t>
      </w:r>
      <w:r w:rsidRPr="00FA0D37">
        <w:rPr>
          <w:color w:val="993366"/>
        </w:rPr>
        <w:t>INTEGER</w:t>
      </w:r>
      <w:r w:rsidRPr="00FA0D37">
        <w:t xml:space="preserve"> (0..999),</w:t>
      </w:r>
    </w:p>
    <w:p w14:paraId="09192E7A" w14:textId="77777777" w:rsidR="00394471" w:rsidRPr="00FA0D37" w:rsidRDefault="00394471" w:rsidP="00FA0D37">
      <w:pPr>
        <w:pStyle w:val="PL"/>
      </w:pPr>
      <w:r w:rsidRPr="00FA0D37">
        <w:t xml:space="preserve">    refTenNanoSeconds-r16               </w:t>
      </w:r>
      <w:r w:rsidRPr="00FA0D37">
        <w:rPr>
          <w:color w:val="993366"/>
        </w:rPr>
        <w:t>INTEGER</w:t>
      </w:r>
      <w:r w:rsidRPr="00FA0D37">
        <w:t xml:space="preserve"> (0..99999)</w:t>
      </w:r>
    </w:p>
    <w:p w14:paraId="2618A463" w14:textId="77777777" w:rsidR="00394471" w:rsidRPr="00FA0D37" w:rsidRDefault="00394471" w:rsidP="00FA0D37">
      <w:pPr>
        <w:pStyle w:val="PL"/>
      </w:pPr>
      <w:r w:rsidRPr="00FA0D37">
        <w:t>}</w:t>
      </w:r>
    </w:p>
    <w:p w14:paraId="1A6727EF" w14:textId="77777777" w:rsidR="00394471" w:rsidRPr="00FA0D37" w:rsidRDefault="00394471" w:rsidP="00FA0D37">
      <w:pPr>
        <w:pStyle w:val="PL"/>
      </w:pPr>
    </w:p>
    <w:p w14:paraId="0273B79F" w14:textId="77777777" w:rsidR="00394471" w:rsidRPr="00FA0D37" w:rsidRDefault="00394471" w:rsidP="00FA0D37">
      <w:pPr>
        <w:pStyle w:val="PL"/>
        <w:rPr>
          <w:color w:val="808080"/>
        </w:rPr>
      </w:pPr>
      <w:r w:rsidRPr="00FA0D37">
        <w:rPr>
          <w:color w:val="808080"/>
        </w:rPr>
        <w:t>-- TAG-REFERENCETIMEINFO-STOP</w:t>
      </w:r>
    </w:p>
    <w:p w14:paraId="2C58004A" w14:textId="77777777" w:rsidR="00394471" w:rsidRPr="00FA0D37" w:rsidRDefault="00394471" w:rsidP="00FA0D37">
      <w:pPr>
        <w:pStyle w:val="PL"/>
        <w:rPr>
          <w:color w:val="808080"/>
        </w:rPr>
      </w:pPr>
      <w:r w:rsidRPr="00FA0D37">
        <w:rPr>
          <w:color w:val="808080"/>
        </w:rPr>
        <w:t>-- ASN1STOP</w:t>
      </w:r>
    </w:p>
    <w:p w14:paraId="470FF332" w14:textId="77777777" w:rsidR="00394471" w:rsidRPr="00FA0D37" w:rsidRDefault="00394471" w:rsidP="00394471"/>
    <w:tbl>
      <w:tblPr>
        <w:tblW w:w="14173" w:type="dxa"/>
        <w:tblLook w:val="04A0" w:firstRow="1" w:lastRow="0" w:firstColumn="1" w:lastColumn="0" w:noHBand="0" w:noVBand="1"/>
      </w:tblPr>
      <w:tblGrid>
        <w:gridCol w:w="14173"/>
      </w:tblGrid>
      <w:tr w:rsidR="005C7FF4" w:rsidRPr="00FA0D37"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FA0D37" w:rsidRDefault="00394471" w:rsidP="00964CC4">
            <w:pPr>
              <w:pStyle w:val="TAH"/>
              <w:rPr>
                <w:lang w:eastAsia="sv-SE"/>
              </w:rPr>
            </w:pPr>
            <w:r w:rsidRPr="00FA0D37">
              <w:rPr>
                <w:i/>
                <w:lang w:eastAsia="sv-SE"/>
              </w:rPr>
              <w:t>ReferenceTimeInfo</w:t>
            </w:r>
            <w:r w:rsidRPr="00FA0D37">
              <w:rPr>
                <w:iCs/>
                <w:lang w:eastAsia="sv-SE"/>
              </w:rPr>
              <w:t xml:space="preserve"> field descriptions</w:t>
            </w:r>
          </w:p>
        </w:tc>
      </w:tr>
      <w:tr w:rsidR="005C7FF4" w:rsidRPr="00FA0D37"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FA0D37" w:rsidRDefault="00394471" w:rsidP="00964CC4">
            <w:pPr>
              <w:pStyle w:val="TAL"/>
              <w:rPr>
                <w:b/>
                <w:i/>
                <w:lang w:eastAsia="sv-SE"/>
              </w:rPr>
            </w:pPr>
            <w:r w:rsidRPr="00FA0D37">
              <w:rPr>
                <w:b/>
                <w:i/>
                <w:lang w:eastAsia="sv-SE"/>
              </w:rPr>
              <w:t>referenceSFN</w:t>
            </w:r>
          </w:p>
          <w:p w14:paraId="29123629" w14:textId="77777777" w:rsidR="00394471" w:rsidRPr="00FA0D37" w:rsidRDefault="00394471" w:rsidP="00964CC4">
            <w:pPr>
              <w:pStyle w:val="TAL"/>
              <w:rPr>
                <w:lang w:eastAsia="sv-SE"/>
              </w:rPr>
            </w:pPr>
            <w:r w:rsidRPr="00FA0D37">
              <w:rPr>
                <w:lang w:eastAsia="sv-SE"/>
              </w:rPr>
              <w:t xml:space="preserve">This field indicates the reference SFN corresponding to the reference time information. If </w:t>
            </w:r>
            <w:r w:rsidRPr="00FA0D37">
              <w:rPr>
                <w:i/>
                <w:lang w:eastAsia="sv-SE"/>
              </w:rPr>
              <w:t>referenceTimeInfo</w:t>
            </w:r>
            <w:r w:rsidRPr="00FA0D37">
              <w:rPr>
                <w:lang w:eastAsia="sv-SE"/>
              </w:rPr>
              <w:t xml:space="preserve"> field is received in </w:t>
            </w:r>
            <w:r w:rsidRPr="00FA0D37">
              <w:rPr>
                <w:i/>
                <w:lang w:eastAsia="sv-SE"/>
              </w:rPr>
              <w:t>DLInformationTransfer</w:t>
            </w:r>
            <w:r w:rsidRPr="00FA0D37">
              <w:rPr>
                <w:lang w:eastAsia="sv-SE"/>
              </w:rPr>
              <w:t xml:space="preserve"> message, this field indicates the SFN of PCell.</w:t>
            </w:r>
          </w:p>
        </w:tc>
      </w:tr>
      <w:tr w:rsidR="005C7FF4" w:rsidRPr="00FA0D37"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FA0D37" w:rsidRDefault="00394471" w:rsidP="00964CC4">
            <w:pPr>
              <w:pStyle w:val="TAL"/>
              <w:rPr>
                <w:rFonts w:eastAsia="Calibri"/>
                <w:b/>
                <w:i/>
                <w:szCs w:val="22"/>
                <w:lang w:eastAsia="sv-SE"/>
              </w:rPr>
            </w:pPr>
            <w:r w:rsidRPr="00FA0D37">
              <w:rPr>
                <w:rFonts w:eastAsia="Calibri"/>
                <w:b/>
                <w:i/>
                <w:szCs w:val="22"/>
                <w:lang w:eastAsia="sv-SE"/>
              </w:rPr>
              <w:t>time</w:t>
            </w:r>
          </w:p>
          <w:p w14:paraId="7FA930D6" w14:textId="0ADFC210" w:rsidR="004E4A9E" w:rsidRPr="00FA0D37" w:rsidRDefault="00394471" w:rsidP="00964CC4">
            <w:pPr>
              <w:pStyle w:val="TAL"/>
              <w:rPr>
                <w:lang w:eastAsia="sv-SE"/>
              </w:rPr>
            </w:pPr>
            <w:r w:rsidRPr="00FA0D37">
              <w:rPr>
                <w:lang w:eastAsia="sv-SE"/>
              </w:rPr>
              <w:t xml:space="preserve">This field indicates time reference with 10ns granularity. </w:t>
            </w:r>
            <w:r w:rsidR="004E4A9E" w:rsidRPr="00FA0D37">
              <w:rPr>
                <w:lang w:eastAsia="sv-SE"/>
              </w:rPr>
              <w:t xml:space="preserve">If included in </w:t>
            </w:r>
            <w:r w:rsidR="004E4A9E" w:rsidRPr="00FA0D37">
              <w:rPr>
                <w:i/>
                <w:iCs/>
                <w:lang w:eastAsia="sv-SE"/>
              </w:rPr>
              <w:t>DLInformationTransfer</w:t>
            </w:r>
            <w:r w:rsidR="004E4A9E" w:rsidRPr="00FA0D37">
              <w:rPr>
                <w:lang w:eastAsia="sv-SE"/>
              </w:rPr>
              <w:t xml:space="preserve"> and if UE-side TA PDC is de-activated, the indicated time may not be referenced at the network, i.e., gNB may pre-compensate</w:t>
            </w:r>
            <w:r w:rsidR="00C36811" w:rsidRPr="00FA0D37">
              <w:rPr>
                <w:lang w:eastAsia="sv-SE"/>
              </w:rPr>
              <w:t xml:space="preserve"> for RF propagation delay</w:t>
            </w:r>
            <w:r w:rsidR="004E4A9E" w:rsidRPr="00FA0D37">
              <w:rPr>
                <w:lang w:eastAsia="sv-SE"/>
              </w:rPr>
              <w:t xml:space="preserve">. If included in </w:t>
            </w:r>
            <w:r w:rsidR="004E4A9E" w:rsidRPr="00FA0D37">
              <w:rPr>
                <w:i/>
                <w:iCs/>
                <w:lang w:eastAsia="sv-SE"/>
              </w:rPr>
              <w:t>DLInformationTransfer</w:t>
            </w:r>
            <w:r w:rsidR="004E4A9E" w:rsidRPr="00FA0D37">
              <w:rPr>
                <w:lang w:eastAsia="sv-SE"/>
              </w:rPr>
              <w:t xml:space="preserve"> and if UE is requested to transmit UE Rx-Tx time difference measurement, the indicated time may not be referenced at the network, i.e., gNB may pre-compensate</w:t>
            </w:r>
            <w:r w:rsidR="00C36811" w:rsidRPr="00FA0D37">
              <w:rPr>
                <w:lang w:eastAsia="sv-SE"/>
              </w:rPr>
              <w:t xml:space="preserve"> for RF propagation delay</w:t>
            </w:r>
            <w:r w:rsidR="004E4A9E" w:rsidRPr="00FA0D37">
              <w:rPr>
                <w:lang w:eastAsia="sv-SE"/>
              </w:rPr>
              <w:t>. Otherwise, t</w:t>
            </w:r>
            <w:r w:rsidRPr="00FA0D37">
              <w:rPr>
                <w:lang w:eastAsia="zh-CN"/>
              </w:rPr>
              <w:t>he indicated time is referenced at the network, i.e., without compensating for RF propagation delay</w:t>
            </w:r>
            <w:r w:rsidRPr="00FA0D37">
              <w:rPr>
                <w:lang w:eastAsia="sv-SE"/>
              </w:rPr>
              <w:t>.</w:t>
            </w:r>
          </w:p>
          <w:p w14:paraId="4C36275A" w14:textId="1E6ABB89" w:rsidR="00394471" w:rsidRPr="00FA0D37" w:rsidRDefault="00394471" w:rsidP="00964CC4">
            <w:pPr>
              <w:pStyle w:val="TAL"/>
              <w:rPr>
                <w:lang w:eastAsia="sv-SE"/>
              </w:rPr>
            </w:pPr>
            <w:r w:rsidRPr="00FA0D37">
              <w:rPr>
                <w:lang w:eastAsia="sv-SE"/>
              </w:rPr>
              <w:t xml:space="preserve">The indicated time in 10ns unit from the origin is </w:t>
            </w:r>
            <w:r w:rsidRPr="00FA0D37">
              <w:rPr>
                <w:i/>
                <w:lang w:eastAsia="sv-SE"/>
              </w:rPr>
              <w:t>refDays</w:t>
            </w:r>
            <w:r w:rsidRPr="00FA0D37">
              <w:rPr>
                <w:lang w:eastAsia="sv-SE"/>
              </w:rPr>
              <w:t xml:space="preserve">*86400*1000*100000 + </w:t>
            </w:r>
            <w:r w:rsidRPr="00FA0D37">
              <w:rPr>
                <w:i/>
                <w:lang w:eastAsia="sv-SE"/>
              </w:rPr>
              <w:t>refSeconds</w:t>
            </w:r>
            <w:r w:rsidRPr="00FA0D37">
              <w:rPr>
                <w:lang w:eastAsia="sv-SE"/>
              </w:rPr>
              <w:t xml:space="preserve">*1000*100000 + </w:t>
            </w:r>
            <w:r w:rsidRPr="00FA0D37">
              <w:rPr>
                <w:i/>
                <w:lang w:eastAsia="sv-SE"/>
              </w:rPr>
              <w:t>refMilliSeconds</w:t>
            </w:r>
            <w:r w:rsidRPr="00FA0D37">
              <w:rPr>
                <w:lang w:eastAsia="sv-SE"/>
              </w:rPr>
              <w:t xml:space="preserve">*100000 + </w:t>
            </w:r>
            <w:r w:rsidRPr="00FA0D37">
              <w:rPr>
                <w:i/>
                <w:lang w:eastAsia="sv-SE"/>
              </w:rPr>
              <w:t>refTenNanoSeconds</w:t>
            </w:r>
            <w:r w:rsidRPr="00FA0D37">
              <w:rPr>
                <w:lang w:eastAsia="sv-SE"/>
              </w:rPr>
              <w:t xml:space="preserve">. The </w:t>
            </w:r>
            <w:r w:rsidRPr="00FA0D37">
              <w:rPr>
                <w:i/>
                <w:lang w:eastAsia="sv-SE"/>
              </w:rPr>
              <w:t>refDays</w:t>
            </w:r>
            <w:r w:rsidRPr="00FA0D37">
              <w:rPr>
                <w:lang w:eastAsia="sv-SE"/>
              </w:rPr>
              <w:t xml:space="preserve"> field specifies the sequential number of days (with day count starting at 0) from the origin of the </w:t>
            </w:r>
            <w:r w:rsidRPr="00FA0D37">
              <w:rPr>
                <w:i/>
                <w:lang w:eastAsia="sv-SE"/>
              </w:rPr>
              <w:t>time</w:t>
            </w:r>
            <w:r w:rsidRPr="00FA0D37">
              <w:rPr>
                <w:lang w:eastAsia="sv-SE"/>
              </w:rPr>
              <w:t xml:space="preserve"> field.</w:t>
            </w:r>
          </w:p>
          <w:p w14:paraId="54908FB2" w14:textId="77777777" w:rsidR="00394471" w:rsidRPr="00FA0D37" w:rsidRDefault="00394471" w:rsidP="00964CC4">
            <w:pPr>
              <w:pStyle w:val="TAL"/>
              <w:rPr>
                <w:lang w:eastAsia="sv-SE"/>
              </w:rPr>
            </w:pPr>
            <w:r w:rsidRPr="00FA0D37">
              <w:rPr>
                <w:lang w:eastAsia="sv-SE"/>
              </w:rPr>
              <w:t xml:space="preserve">If the </w:t>
            </w:r>
            <w:r w:rsidRPr="00FA0D37">
              <w:rPr>
                <w:i/>
                <w:lang w:eastAsia="sv-SE"/>
              </w:rPr>
              <w:t>referenceTimeInfo</w:t>
            </w:r>
            <w:r w:rsidRPr="00FA0D37">
              <w:rPr>
                <w:lang w:eastAsia="sv-SE"/>
              </w:rPr>
              <w:t xml:space="preserve"> field is received in </w:t>
            </w:r>
            <w:r w:rsidRPr="00FA0D37">
              <w:rPr>
                <w:rFonts w:eastAsia="MS Mincho"/>
                <w:i/>
                <w:lang w:eastAsia="en-GB"/>
              </w:rPr>
              <w:t>DLInformationTransfer</w:t>
            </w:r>
            <w:r w:rsidRPr="00FA0D37">
              <w:rPr>
                <w:lang w:eastAsia="sv-SE"/>
              </w:rPr>
              <w:t xml:space="preserve"> message, the time field indicates the </w:t>
            </w:r>
            <w:r w:rsidRPr="00FA0D37">
              <w:rPr>
                <w:i/>
                <w:lang w:eastAsia="sv-SE"/>
              </w:rPr>
              <w:t>time</w:t>
            </w:r>
            <w:r w:rsidRPr="00FA0D37">
              <w:rPr>
                <w:lang w:eastAsia="sv-SE"/>
              </w:rPr>
              <w:t xml:space="preserve"> at the ending boundary of the system frame indicated by </w:t>
            </w:r>
            <w:r w:rsidRPr="00FA0D37">
              <w:rPr>
                <w:i/>
                <w:lang w:eastAsia="sv-SE"/>
              </w:rPr>
              <w:t>referenceSFN</w:t>
            </w:r>
            <w:r w:rsidRPr="00FA0D37">
              <w:rPr>
                <w:lang w:eastAsia="sv-SE"/>
              </w:rPr>
              <w:t xml:space="preserve">. The UE considers this frame (indicated by </w:t>
            </w:r>
            <w:r w:rsidRPr="00FA0D37">
              <w:rPr>
                <w:i/>
                <w:lang w:eastAsia="sv-SE"/>
              </w:rPr>
              <w:t>referenceSFN</w:t>
            </w:r>
            <w:r w:rsidRPr="00FA0D37">
              <w:rPr>
                <w:lang w:eastAsia="sv-SE"/>
              </w:rPr>
              <w:t>) to be the frame which is nearest to the frame where the message is received (which can be either in the past or in the future).</w:t>
            </w:r>
          </w:p>
          <w:p w14:paraId="48E57E00" w14:textId="77777777" w:rsidR="00394471" w:rsidRPr="00FA0D37" w:rsidRDefault="00394471" w:rsidP="00964CC4">
            <w:pPr>
              <w:pStyle w:val="TAL"/>
              <w:rPr>
                <w:lang w:eastAsia="sv-SE"/>
              </w:rPr>
            </w:pPr>
            <w:r w:rsidRPr="00FA0D37">
              <w:rPr>
                <w:lang w:eastAsia="sv-SE"/>
              </w:rPr>
              <w:t xml:space="preserve">If the </w:t>
            </w:r>
            <w:r w:rsidRPr="00FA0D37">
              <w:rPr>
                <w:i/>
                <w:lang w:eastAsia="sv-SE"/>
              </w:rPr>
              <w:t>referenceTimeInfo</w:t>
            </w:r>
            <w:r w:rsidRPr="00FA0D37">
              <w:rPr>
                <w:lang w:eastAsia="sv-SE"/>
              </w:rPr>
              <w:t xml:space="preserve"> field is received in </w:t>
            </w:r>
            <w:r w:rsidRPr="00FA0D37">
              <w:rPr>
                <w:i/>
                <w:lang w:eastAsia="sv-SE"/>
              </w:rPr>
              <w:t>SIB9</w:t>
            </w:r>
            <w:r w:rsidRPr="00FA0D37">
              <w:rPr>
                <w:lang w:eastAsia="sv-SE"/>
              </w:rPr>
              <w:t xml:space="preserve">, the </w:t>
            </w:r>
            <w:r w:rsidRPr="00FA0D37">
              <w:rPr>
                <w:i/>
                <w:lang w:eastAsia="sv-SE"/>
              </w:rPr>
              <w:t>time</w:t>
            </w:r>
            <w:r w:rsidRPr="00FA0D37">
              <w:rPr>
                <w:lang w:eastAsia="sv-SE"/>
              </w:rPr>
              <w:t xml:space="preserve"> field indicates the time at the SFN boundary at or immediately after the ending boundary of the SI-window in which </w:t>
            </w:r>
            <w:r w:rsidRPr="00FA0D37">
              <w:rPr>
                <w:i/>
                <w:lang w:eastAsia="sv-SE"/>
              </w:rPr>
              <w:t>SIB9</w:t>
            </w:r>
            <w:r w:rsidRPr="00FA0D37">
              <w:rPr>
                <w:lang w:eastAsia="sv-SE"/>
              </w:rPr>
              <w:t xml:space="preserve"> is transmitted.</w:t>
            </w:r>
          </w:p>
          <w:p w14:paraId="271F93C7" w14:textId="77777777" w:rsidR="00394471" w:rsidRPr="00FA0D37" w:rsidRDefault="00394471" w:rsidP="00964CC4">
            <w:pPr>
              <w:pStyle w:val="TAL"/>
              <w:rPr>
                <w:lang w:eastAsia="sv-SE"/>
              </w:rPr>
            </w:pPr>
            <w:r w:rsidRPr="00FA0D37">
              <w:rPr>
                <w:lang w:eastAsia="sv-SE"/>
              </w:rPr>
              <w:t xml:space="preserve">If </w:t>
            </w:r>
            <w:r w:rsidRPr="00FA0D37">
              <w:rPr>
                <w:i/>
                <w:lang w:eastAsia="sv-SE"/>
              </w:rPr>
              <w:t>referenceTimeInfo</w:t>
            </w:r>
            <w:r w:rsidRPr="00FA0D37">
              <w:rPr>
                <w:lang w:eastAsia="sv-SE"/>
              </w:rPr>
              <w:t xml:space="preserve"> field is received in </w:t>
            </w:r>
            <w:r w:rsidRPr="00FA0D37">
              <w:rPr>
                <w:i/>
                <w:lang w:eastAsia="sv-SE"/>
              </w:rPr>
              <w:t>SIB9</w:t>
            </w:r>
            <w:r w:rsidRPr="00FA0D37">
              <w:rPr>
                <w:lang w:eastAsia="sv-SE"/>
              </w:rPr>
              <w:t xml:space="preserve">, this field is excluded when determining changes in system information, i.e. changes of time should neither result in system information change notifications nor in a modification of </w:t>
            </w:r>
            <w:r w:rsidRPr="00FA0D37">
              <w:rPr>
                <w:i/>
                <w:lang w:eastAsia="sv-SE"/>
              </w:rPr>
              <w:t>valueTag</w:t>
            </w:r>
            <w:r w:rsidRPr="00FA0D37">
              <w:rPr>
                <w:lang w:eastAsia="sv-SE"/>
              </w:rPr>
              <w:t xml:space="preserve"> in </w:t>
            </w:r>
            <w:r w:rsidRPr="00FA0D37">
              <w:rPr>
                <w:i/>
                <w:lang w:eastAsia="sv-SE"/>
              </w:rPr>
              <w:t>SIB1</w:t>
            </w:r>
            <w:r w:rsidRPr="00FA0D37">
              <w:rPr>
                <w:lang w:eastAsia="sv-SE"/>
              </w:rPr>
              <w:t>.</w:t>
            </w:r>
          </w:p>
        </w:tc>
      </w:tr>
      <w:tr w:rsidR="005C7FF4" w:rsidRPr="00FA0D37"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FA0D37" w:rsidRDefault="00394471" w:rsidP="00964CC4">
            <w:pPr>
              <w:pStyle w:val="TAL"/>
              <w:rPr>
                <w:rFonts w:eastAsia="Calibri"/>
                <w:b/>
                <w:i/>
                <w:szCs w:val="22"/>
                <w:lang w:eastAsia="sv-SE"/>
              </w:rPr>
            </w:pPr>
            <w:r w:rsidRPr="00FA0D37">
              <w:rPr>
                <w:rFonts w:eastAsia="Calibri"/>
                <w:b/>
                <w:i/>
                <w:szCs w:val="22"/>
                <w:lang w:eastAsia="sv-SE"/>
              </w:rPr>
              <w:t>timeInfoType</w:t>
            </w:r>
          </w:p>
          <w:p w14:paraId="0DE1E229" w14:textId="77777777" w:rsidR="00394471" w:rsidRPr="00FA0D37" w:rsidRDefault="00394471" w:rsidP="00964CC4">
            <w:pPr>
              <w:pStyle w:val="TAL"/>
              <w:rPr>
                <w:rFonts w:eastAsia="Calibri"/>
                <w:lang w:eastAsia="sv-SE"/>
              </w:rPr>
            </w:pPr>
            <w:r w:rsidRPr="00FA0D37">
              <w:rPr>
                <w:rFonts w:eastAsia="Calibri"/>
                <w:lang w:eastAsia="sv-SE"/>
              </w:rPr>
              <w:t xml:space="preserve">If </w:t>
            </w:r>
            <w:r w:rsidRPr="00FA0D37">
              <w:rPr>
                <w:rFonts w:eastAsia="Calibri"/>
                <w:i/>
                <w:lang w:eastAsia="sv-SE"/>
              </w:rPr>
              <w:t>timeInfoType</w:t>
            </w:r>
            <w:r w:rsidRPr="00FA0D37">
              <w:rPr>
                <w:rFonts w:eastAsia="Calibri"/>
                <w:lang w:eastAsia="sv-SE"/>
              </w:rPr>
              <w:t xml:space="preserve"> is not included, the </w:t>
            </w:r>
            <w:r w:rsidRPr="00FA0D37">
              <w:rPr>
                <w:rFonts w:eastAsia="Calibri"/>
                <w:i/>
                <w:lang w:eastAsia="sv-SE"/>
              </w:rPr>
              <w:t>time</w:t>
            </w:r>
            <w:r w:rsidRPr="00FA0D37">
              <w:rPr>
                <w:rFonts w:eastAsia="Calibri"/>
                <w:lang w:eastAsia="sv-SE"/>
              </w:rPr>
              <w:t xml:space="preserve"> indicates the GPS time and the origin of the </w:t>
            </w:r>
            <w:r w:rsidRPr="00FA0D37">
              <w:rPr>
                <w:rFonts w:eastAsia="Calibri"/>
                <w:i/>
                <w:lang w:eastAsia="sv-SE"/>
              </w:rPr>
              <w:t>time</w:t>
            </w:r>
            <w:r w:rsidRPr="00FA0D37">
              <w:rPr>
                <w:rFonts w:eastAsia="Calibri"/>
                <w:lang w:eastAsia="sv-SE"/>
              </w:rPr>
              <w:t xml:space="preserve"> field is 00:00:00 on Gregorian calendar date 6 January, 1980 (start of GPS time). If </w:t>
            </w:r>
            <w:r w:rsidRPr="00FA0D37">
              <w:rPr>
                <w:rFonts w:eastAsia="Calibri"/>
                <w:i/>
                <w:lang w:eastAsia="sv-SE"/>
              </w:rPr>
              <w:t>timeInfoType</w:t>
            </w:r>
            <w:r w:rsidRPr="00FA0D37">
              <w:rPr>
                <w:rFonts w:eastAsia="Calibri"/>
                <w:lang w:eastAsia="sv-SE"/>
              </w:rPr>
              <w:t xml:space="preserve"> is set to </w:t>
            </w:r>
            <w:r w:rsidRPr="00FA0D37">
              <w:rPr>
                <w:rFonts w:eastAsia="Calibri"/>
                <w:i/>
                <w:lang w:eastAsia="sv-SE"/>
              </w:rPr>
              <w:t>localClock</w:t>
            </w:r>
            <w:r w:rsidRPr="00FA0D37">
              <w:rPr>
                <w:rFonts w:eastAsia="Calibri"/>
                <w:lang w:eastAsia="sv-SE"/>
              </w:rPr>
              <w:t xml:space="preserve">, the origin of the </w:t>
            </w:r>
            <w:r w:rsidRPr="00FA0D37">
              <w:rPr>
                <w:rFonts w:eastAsia="Calibri"/>
                <w:i/>
                <w:lang w:eastAsia="sv-SE"/>
              </w:rPr>
              <w:t>time</w:t>
            </w:r>
            <w:r w:rsidRPr="00FA0D37">
              <w:rPr>
                <w:rFonts w:eastAsia="Calibri"/>
                <w:lang w:eastAsia="sv-SE"/>
              </w:rPr>
              <w:t xml:space="preserve"> is unspecified.</w:t>
            </w:r>
          </w:p>
        </w:tc>
      </w:tr>
      <w:tr w:rsidR="00394471" w:rsidRPr="00FA0D37"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FA0D37" w:rsidRDefault="00394471" w:rsidP="00964CC4">
            <w:pPr>
              <w:pStyle w:val="TAL"/>
              <w:rPr>
                <w:rFonts w:eastAsia="Calibri"/>
                <w:b/>
                <w:i/>
                <w:szCs w:val="22"/>
                <w:lang w:eastAsia="sv-SE"/>
              </w:rPr>
            </w:pPr>
            <w:r w:rsidRPr="00FA0D37">
              <w:rPr>
                <w:rFonts w:eastAsia="Calibri"/>
                <w:b/>
                <w:i/>
                <w:szCs w:val="22"/>
                <w:lang w:eastAsia="sv-SE"/>
              </w:rPr>
              <w:t>uncertainty</w:t>
            </w:r>
          </w:p>
          <w:p w14:paraId="4234814B" w14:textId="77777777" w:rsidR="00394471" w:rsidRPr="00FA0D37" w:rsidRDefault="00394471" w:rsidP="00964CC4">
            <w:pPr>
              <w:pStyle w:val="TAL"/>
              <w:rPr>
                <w:rFonts w:eastAsia="Calibri"/>
                <w:lang w:eastAsia="sv-SE"/>
              </w:rPr>
            </w:pPr>
            <w:r w:rsidRPr="00FA0D37">
              <w:rPr>
                <w:rFonts w:eastAsia="Calibri"/>
                <w:lang w:eastAsia="sv-SE"/>
              </w:rPr>
              <w:t>This field indicates the uncertainty of the reference time information provided by the time field. The uncertainty is 25ns multiplied by this field</w:t>
            </w:r>
            <w:r w:rsidRPr="00FA0D37">
              <w:rPr>
                <w:rFonts w:eastAsia="Calibri"/>
                <w:i/>
                <w:lang w:eastAsia="sv-SE"/>
              </w:rPr>
              <w:t>.</w:t>
            </w:r>
            <w:r w:rsidRPr="00FA0D37">
              <w:rPr>
                <w:rFonts w:eastAsia="Calibri"/>
                <w:lang w:eastAsia="sv-SE"/>
              </w:rPr>
              <w:t xml:space="preserve"> If this field is absent, t</w:t>
            </w:r>
            <w:r w:rsidRPr="00FA0D37">
              <w:rPr>
                <w:lang w:eastAsia="sv-SE"/>
              </w:rPr>
              <w:t>he uncertainty is unspecified.</w:t>
            </w:r>
          </w:p>
        </w:tc>
      </w:tr>
    </w:tbl>
    <w:p w14:paraId="050B220C" w14:textId="77777777" w:rsidR="00394471" w:rsidRPr="00FA0D37" w:rsidRDefault="00394471" w:rsidP="00394471"/>
    <w:tbl>
      <w:tblPr>
        <w:tblW w:w="14173" w:type="dxa"/>
        <w:tblLook w:val="04A0" w:firstRow="1" w:lastRow="0" w:firstColumn="1" w:lastColumn="0" w:noHBand="0" w:noVBand="1"/>
      </w:tblPr>
      <w:tblGrid>
        <w:gridCol w:w="4027"/>
        <w:gridCol w:w="10146"/>
      </w:tblGrid>
      <w:tr w:rsidR="005C7FF4" w:rsidRPr="00FA0D37"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FA0D37" w:rsidRDefault="00394471" w:rsidP="00964CC4">
            <w:pPr>
              <w:pStyle w:val="TAH"/>
              <w:rPr>
                <w:lang w:eastAsia="sv-SE"/>
              </w:rPr>
            </w:pPr>
            <w:r w:rsidRPr="00FA0D37">
              <w:rPr>
                <w:lang w:eastAsia="sv-SE"/>
              </w:rPr>
              <w:t>Explanation</w:t>
            </w:r>
          </w:p>
        </w:tc>
      </w:tr>
      <w:tr w:rsidR="00394471" w:rsidRPr="00FA0D37"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FA0D37" w:rsidRDefault="00394471" w:rsidP="00964CC4">
            <w:pPr>
              <w:pStyle w:val="TAL"/>
              <w:rPr>
                <w:i/>
                <w:iCs/>
                <w:lang w:eastAsia="sv-SE"/>
              </w:rPr>
            </w:pPr>
            <w:r w:rsidRPr="00FA0D37">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FA0D37" w:rsidRDefault="00394471" w:rsidP="00964CC4">
            <w:pPr>
              <w:pStyle w:val="TAL"/>
              <w:rPr>
                <w:lang w:eastAsia="sv-SE"/>
              </w:rPr>
            </w:pPr>
            <w:r w:rsidRPr="00FA0D37">
              <w:rPr>
                <w:lang w:eastAsia="sv-SE"/>
              </w:rPr>
              <w:t xml:space="preserve">The field is mandatory present if </w:t>
            </w:r>
            <w:r w:rsidRPr="00FA0D37">
              <w:rPr>
                <w:i/>
                <w:iCs/>
                <w:lang w:eastAsia="sv-SE"/>
              </w:rPr>
              <w:t>r</w:t>
            </w:r>
            <w:r w:rsidRPr="00FA0D37">
              <w:rPr>
                <w:i/>
                <w:lang w:eastAsia="sv-SE"/>
              </w:rPr>
              <w:t>eferenceTimeInfo</w:t>
            </w:r>
            <w:r w:rsidRPr="00FA0D37">
              <w:rPr>
                <w:lang w:eastAsia="sv-SE"/>
              </w:rPr>
              <w:t xml:space="preserve"> is included in </w:t>
            </w:r>
            <w:r w:rsidRPr="00FA0D37">
              <w:rPr>
                <w:i/>
                <w:lang w:eastAsia="sv-SE"/>
              </w:rPr>
              <w:t>DLInformationTransfer</w:t>
            </w:r>
            <w:r w:rsidRPr="00FA0D37">
              <w:rPr>
                <w:lang w:eastAsia="sv-SE"/>
              </w:rPr>
              <w:t xml:space="preserve"> message; otherwise the field is absent.</w:t>
            </w:r>
          </w:p>
        </w:tc>
      </w:tr>
    </w:tbl>
    <w:p w14:paraId="59BF2A70" w14:textId="77777777" w:rsidR="00394471" w:rsidRPr="00FA0D37" w:rsidRDefault="00394471" w:rsidP="00394471"/>
    <w:p w14:paraId="15CBDFCF" w14:textId="77777777" w:rsidR="00394471" w:rsidRPr="00FA0D37" w:rsidRDefault="00394471" w:rsidP="00394471">
      <w:pPr>
        <w:pStyle w:val="4"/>
      </w:pPr>
      <w:bookmarkStart w:id="1310" w:name="_Toc60777346"/>
      <w:bookmarkStart w:id="1311" w:name="_Toc146781427"/>
      <w:r w:rsidRPr="00FA0D37">
        <w:t>–</w:t>
      </w:r>
      <w:r w:rsidRPr="00FA0D37">
        <w:tab/>
      </w:r>
      <w:r w:rsidRPr="00FA0D37">
        <w:rPr>
          <w:i/>
        </w:rPr>
        <w:t>RejectWaitTime</w:t>
      </w:r>
      <w:bookmarkEnd w:id="1310"/>
      <w:bookmarkEnd w:id="1311"/>
    </w:p>
    <w:p w14:paraId="4955C8DD" w14:textId="77777777" w:rsidR="00394471" w:rsidRPr="00FA0D37" w:rsidRDefault="00394471" w:rsidP="00394471">
      <w:r w:rsidRPr="00FA0D37">
        <w:t xml:space="preserve">The IE </w:t>
      </w:r>
      <w:r w:rsidRPr="00FA0D37">
        <w:rPr>
          <w:i/>
        </w:rPr>
        <w:t>RejectWaitTime</w:t>
      </w:r>
      <w:r w:rsidRPr="00FA0D37">
        <w:t xml:space="preserve"> is used to provide the value in seconds for timer T302.</w:t>
      </w:r>
    </w:p>
    <w:p w14:paraId="7B0796C1" w14:textId="77777777" w:rsidR="00394471" w:rsidRPr="00FA0D37" w:rsidRDefault="00394471" w:rsidP="00394471">
      <w:pPr>
        <w:pStyle w:val="TH"/>
      </w:pPr>
      <w:r w:rsidRPr="00FA0D37">
        <w:rPr>
          <w:i/>
        </w:rPr>
        <w:lastRenderedPageBreak/>
        <w:t>RejectWaitTime</w:t>
      </w:r>
      <w:r w:rsidRPr="00FA0D37">
        <w:t xml:space="preserve"> information element</w:t>
      </w:r>
    </w:p>
    <w:p w14:paraId="6D2F6D76" w14:textId="77777777" w:rsidR="00394471" w:rsidRPr="00FA0D37" w:rsidRDefault="00394471" w:rsidP="00FA0D37">
      <w:pPr>
        <w:pStyle w:val="PL"/>
        <w:rPr>
          <w:rFonts w:eastAsia="Batang"/>
          <w:color w:val="808080"/>
        </w:rPr>
      </w:pPr>
      <w:r w:rsidRPr="00FA0D37">
        <w:rPr>
          <w:rFonts w:eastAsia="Batang"/>
          <w:color w:val="808080"/>
        </w:rPr>
        <w:t>-- ASN1START</w:t>
      </w:r>
    </w:p>
    <w:p w14:paraId="4F8731BE" w14:textId="77777777" w:rsidR="00394471" w:rsidRPr="00FA0D37" w:rsidRDefault="00394471" w:rsidP="00FA0D37">
      <w:pPr>
        <w:pStyle w:val="PL"/>
        <w:rPr>
          <w:rFonts w:eastAsia="Batang"/>
          <w:color w:val="808080"/>
        </w:rPr>
      </w:pPr>
      <w:r w:rsidRPr="00FA0D37">
        <w:rPr>
          <w:rFonts w:eastAsia="Batang"/>
          <w:color w:val="808080"/>
        </w:rPr>
        <w:t>-- TAG-REJECTWAITTIME-START</w:t>
      </w:r>
    </w:p>
    <w:p w14:paraId="108C12D4" w14:textId="77777777" w:rsidR="00394471" w:rsidRPr="00FA0D37" w:rsidRDefault="00394471" w:rsidP="00FA0D37">
      <w:pPr>
        <w:pStyle w:val="PL"/>
        <w:rPr>
          <w:rFonts w:eastAsia="Batang"/>
        </w:rPr>
      </w:pPr>
    </w:p>
    <w:p w14:paraId="68BB0975" w14:textId="77777777" w:rsidR="00394471" w:rsidRPr="00FA0D37" w:rsidRDefault="00394471" w:rsidP="00FA0D37">
      <w:pPr>
        <w:pStyle w:val="PL"/>
        <w:rPr>
          <w:rFonts w:eastAsia="Batang"/>
        </w:rPr>
      </w:pPr>
      <w:r w:rsidRPr="00FA0D37">
        <w:rPr>
          <w:rFonts w:eastAsia="Batang"/>
        </w:rPr>
        <w:t xml:space="preserve">RejectWaitTime ::=                  </w:t>
      </w:r>
      <w:r w:rsidRPr="00FA0D37">
        <w:rPr>
          <w:rFonts w:eastAsia="Batang"/>
          <w:color w:val="993366"/>
        </w:rPr>
        <w:t>INTEGER</w:t>
      </w:r>
      <w:r w:rsidRPr="00FA0D37">
        <w:rPr>
          <w:rFonts w:eastAsia="Batang"/>
        </w:rPr>
        <w:t xml:space="preserve"> (1..16)</w:t>
      </w:r>
    </w:p>
    <w:p w14:paraId="6A66C16A" w14:textId="77777777" w:rsidR="00394471" w:rsidRPr="00FA0D37" w:rsidRDefault="00394471" w:rsidP="00FA0D37">
      <w:pPr>
        <w:pStyle w:val="PL"/>
        <w:rPr>
          <w:rFonts w:eastAsia="Batang"/>
        </w:rPr>
      </w:pPr>
    </w:p>
    <w:p w14:paraId="0316FFA4" w14:textId="77777777" w:rsidR="00394471" w:rsidRPr="00FA0D37" w:rsidRDefault="00394471" w:rsidP="00FA0D37">
      <w:pPr>
        <w:pStyle w:val="PL"/>
        <w:rPr>
          <w:rFonts w:eastAsia="Batang"/>
          <w:color w:val="808080"/>
        </w:rPr>
      </w:pPr>
      <w:r w:rsidRPr="00FA0D37">
        <w:rPr>
          <w:rFonts w:eastAsia="Batang"/>
          <w:color w:val="808080"/>
        </w:rPr>
        <w:t>-- TAG-REJECTWAITTIME-STOP</w:t>
      </w:r>
    </w:p>
    <w:p w14:paraId="2459DAEC" w14:textId="77777777" w:rsidR="00394471" w:rsidRPr="00FA0D37" w:rsidRDefault="00394471" w:rsidP="00FA0D37">
      <w:pPr>
        <w:pStyle w:val="PL"/>
        <w:rPr>
          <w:rFonts w:eastAsia="Batang"/>
          <w:color w:val="808080"/>
          <w:lang w:eastAsia="sv-SE"/>
        </w:rPr>
      </w:pPr>
      <w:r w:rsidRPr="00FA0D37">
        <w:rPr>
          <w:rFonts w:eastAsia="Batang"/>
          <w:color w:val="808080"/>
        </w:rPr>
        <w:t>-- ASN1STOP</w:t>
      </w:r>
    </w:p>
    <w:p w14:paraId="263046E3" w14:textId="77777777" w:rsidR="00394471" w:rsidRPr="00FA0D37" w:rsidRDefault="00394471" w:rsidP="00394471"/>
    <w:p w14:paraId="251C30F5" w14:textId="77777777" w:rsidR="00394471" w:rsidRPr="00FA0D37" w:rsidRDefault="00394471" w:rsidP="00394471">
      <w:pPr>
        <w:pStyle w:val="4"/>
      </w:pPr>
      <w:bookmarkStart w:id="1312" w:name="_Toc60777347"/>
      <w:bookmarkStart w:id="1313" w:name="_Toc146781428"/>
      <w:r w:rsidRPr="00FA0D37">
        <w:t>–</w:t>
      </w:r>
      <w:r w:rsidRPr="00FA0D37">
        <w:tab/>
      </w:r>
      <w:r w:rsidRPr="00FA0D37">
        <w:rPr>
          <w:i/>
        </w:rPr>
        <w:t>RepetitionSchemeConfig</w:t>
      </w:r>
      <w:bookmarkEnd w:id="1312"/>
      <w:bookmarkEnd w:id="1313"/>
    </w:p>
    <w:p w14:paraId="458EED36" w14:textId="77777777" w:rsidR="00394471" w:rsidRPr="00FA0D37" w:rsidRDefault="00394471" w:rsidP="00394471">
      <w:r w:rsidRPr="00FA0D37">
        <w:t xml:space="preserve">The IE </w:t>
      </w:r>
      <w:r w:rsidRPr="00FA0D37">
        <w:rPr>
          <w:i/>
          <w:iCs/>
        </w:rPr>
        <w:t>RepetitionSchemeConfig</w:t>
      </w:r>
      <w:r w:rsidRPr="00FA0D37">
        <w:t xml:space="preserve"> is used to configure the UE with repetition schemes as specified in TS 38.214 [19] clause 5.1.</w:t>
      </w:r>
    </w:p>
    <w:p w14:paraId="172F1207" w14:textId="77777777" w:rsidR="00394471" w:rsidRPr="00FA0D37" w:rsidRDefault="00394471" w:rsidP="00394471">
      <w:pPr>
        <w:pStyle w:val="TH"/>
      </w:pPr>
      <w:r w:rsidRPr="00FA0D37">
        <w:rPr>
          <w:i/>
        </w:rPr>
        <w:t xml:space="preserve">RepetitionSchemeConfig </w:t>
      </w:r>
      <w:r w:rsidRPr="00FA0D37">
        <w:t>information element</w:t>
      </w:r>
    </w:p>
    <w:p w14:paraId="03D34F1E" w14:textId="77777777" w:rsidR="00394471" w:rsidRPr="00FA0D37" w:rsidRDefault="00394471" w:rsidP="00FA0D37">
      <w:pPr>
        <w:pStyle w:val="PL"/>
        <w:rPr>
          <w:rFonts w:eastAsia="Batang"/>
          <w:color w:val="808080"/>
        </w:rPr>
      </w:pPr>
      <w:r w:rsidRPr="00FA0D37">
        <w:rPr>
          <w:rFonts w:eastAsia="Batang"/>
          <w:color w:val="808080"/>
        </w:rPr>
        <w:t>-- ASN1START</w:t>
      </w:r>
    </w:p>
    <w:p w14:paraId="5C8EEAB1" w14:textId="77777777" w:rsidR="00394471" w:rsidRPr="00FA0D37" w:rsidRDefault="00394471" w:rsidP="00FA0D37">
      <w:pPr>
        <w:pStyle w:val="PL"/>
        <w:rPr>
          <w:rFonts w:eastAsia="Batang"/>
          <w:color w:val="808080"/>
        </w:rPr>
      </w:pPr>
      <w:r w:rsidRPr="00FA0D37">
        <w:rPr>
          <w:rFonts w:eastAsia="Batang"/>
          <w:color w:val="808080"/>
        </w:rPr>
        <w:t>-- TAG-REPETITIONSCHEMECONFIG-START</w:t>
      </w:r>
    </w:p>
    <w:p w14:paraId="71CE7C5D" w14:textId="77777777" w:rsidR="00394471" w:rsidRPr="00FA0D37" w:rsidRDefault="00394471" w:rsidP="00FA0D37">
      <w:pPr>
        <w:pStyle w:val="PL"/>
      </w:pPr>
    </w:p>
    <w:p w14:paraId="1985E37D" w14:textId="77777777" w:rsidR="00394471" w:rsidRPr="00FA0D37" w:rsidRDefault="00394471" w:rsidP="00FA0D37">
      <w:pPr>
        <w:pStyle w:val="PL"/>
      </w:pPr>
      <w:r w:rsidRPr="00FA0D37">
        <w:t xml:space="preserve">RepetitionSchemeConfig-r16 ::= </w:t>
      </w:r>
      <w:r w:rsidRPr="00FA0D37">
        <w:rPr>
          <w:color w:val="993366"/>
        </w:rPr>
        <w:t>CHOICE</w:t>
      </w:r>
      <w:r w:rsidRPr="00FA0D37">
        <w:t xml:space="preserve"> {</w:t>
      </w:r>
    </w:p>
    <w:p w14:paraId="4074F4DF" w14:textId="77777777" w:rsidR="00394471" w:rsidRPr="00FA0D37" w:rsidRDefault="00394471" w:rsidP="00FA0D37">
      <w:pPr>
        <w:pStyle w:val="PL"/>
      </w:pPr>
      <w:r w:rsidRPr="00FA0D37">
        <w:t xml:space="preserve">    fdm-TDM-r16                        SetupRelease { FDM-TDM-r16 },</w:t>
      </w:r>
    </w:p>
    <w:p w14:paraId="61E2ED45" w14:textId="77777777" w:rsidR="00394471" w:rsidRPr="00FA0D37" w:rsidRDefault="00394471" w:rsidP="00FA0D37">
      <w:pPr>
        <w:pStyle w:val="PL"/>
      </w:pPr>
      <w:r w:rsidRPr="00FA0D37">
        <w:t xml:space="preserve">    slotBased-r16                      SetupRelease { SlotBased-r16 }</w:t>
      </w:r>
    </w:p>
    <w:p w14:paraId="59B55D3C" w14:textId="77777777" w:rsidR="00394471" w:rsidRPr="00FA0D37" w:rsidRDefault="00394471" w:rsidP="00FA0D37">
      <w:pPr>
        <w:pStyle w:val="PL"/>
      </w:pPr>
      <w:r w:rsidRPr="00FA0D37">
        <w:t>}</w:t>
      </w:r>
    </w:p>
    <w:p w14:paraId="0AD8B0D2" w14:textId="77777777" w:rsidR="009B0C1E" w:rsidRPr="00FA0D37" w:rsidRDefault="009B0C1E" w:rsidP="00FA0D37">
      <w:pPr>
        <w:pStyle w:val="PL"/>
      </w:pPr>
    </w:p>
    <w:p w14:paraId="36042249" w14:textId="04BCC5B2" w:rsidR="009B0C1E" w:rsidRPr="00FA0D37" w:rsidRDefault="009B0C1E" w:rsidP="00FA0D37">
      <w:pPr>
        <w:pStyle w:val="PL"/>
      </w:pPr>
      <w:r w:rsidRPr="00FA0D37">
        <w:t>RepetitionSchemeConfig-v16</w:t>
      </w:r>
      <w:r w:rsidR="003E5179" w:rsidRPr="00FA0D37">
        <w:t>3</w:t>
      </w:r>
      <w:r w:rsidRPr="00FA0D37">
        <w:t xml:space="preserve">0 ::=   </w:t>
      </w:r>
      <w:r w:rsidRPr="00FA0D37">
        <w:rPr>
          <w:color w:val="993366"/>
        </w:rPr>
        <w:t>SEQUENCE</w:t>
      </w:r>
      <w:r w:rsidRPr="00FA0D37">
        <w:t xml:space="preserve"> {</w:t>
      </w:r>
    </w:p>
    <w:p w14:paraId="57A4149F" w14:textId="61E5DCA3" w:rsidR="009B0C1E" w:rsidRPr="00FA0D37" w:rsidRDefault="009B0C1E" w:rsidP="00FA0D37">
      <w:pPr>
        <w:pStyle w:val="PL"/>
      </w:pPr>
      <w:r w:rsidRPr="00FA0D37">
        <w:t xml:space="preserve">    slotBased-v16</w:t>
      </w:r>
      <w:r w:rsidR="003E5179" w:rsidRPr="00FA0D37">
        <w:t>3</w:t>
      </w:r>
      <w:r w:rsidRPr="00FA0D37">
        <w:t>0                    SetupRelease { SlotBased-v16</w:t>
      </w:r>
      <w:r w:rsidR="003E5179" w:rsidRPr="00FA0D37">
        <w:t>3</w:t>
      </w:r>
      <w:r w:rsidRPr="00FA0D37">
        <w:t>0 }</w:t>
      </w:r>
    </w:p>
    <w:p w14:paraId="1DC6B997" w14:textId="4B6E2812" w:rsidR="00394471" w:rsidRPr="00FA0D37" w:rsidRDefault="009B0C1E" w:rsidP="00FA0D37">
      <w:pPr>
        <w:pStyle w:val="PL"/>
      </w:pPr>
      <w:r w:rsidRPr="00FA0D37">
        <w:t>}</w:t>
      </w:r>
    </w:p>
    <w:p w14:paraId="5C0406D1" w14:textId="77777777" w:rsidR="009B0C1E" w:rsidRPr="00FA0D37" w:rsidRDefault="009B0C1E" w:rsidP="00FA0D37">
      <w:pPr>
        <w:pStyle w:val="PL"/>
      </w:pPr>
    </w:p>
    <w:p w14:paraId="6BCA93D2" w14:textId="4A4E3620" w:rsidR="00394471" w:rsidRPr="00FA0D37" w:rsidRDefault="00394471" w:rsidP="00FA0D37">
      <w:pPr>
        <w:pStyle w:val="PL"/>
      </w:pPr>
      <w:r w:rsidRPr="00FA0D37">
        <w:t xml:space="preserve">FDM-TDM-r16 ::=                </w:t>
      </w:r>
      <w:r w:rsidRPr="00FA0D37">
        <w:rPr>
          <w:color w:val="993366"/>
        </w:rPr>
        <w:t>SEQUENCE</w:t>
      </w:r>
      <w:r w:rsidRPr="00FA0D37">
        <w:t xml:space="preserve"> {</w:t>
      </w:r>
    </w:p>
    <w:p w14:paraId="5595C172" w14:textId="77777777" w:rsidR="00394471" w:rsidRPr="00FA0D37" w:rsidRDefault="00394471" w:rsidP="00FA0D37">
      <w:pPr>
        <w:pStyle w:val="PL"/>
      </w:pPr>
      <w:r w:rsidRPr="00FA0D37">
        <w:t xml:space="preserve">    repetitionScheme-r16           </w:t>
      </w:r>
      <w:r w:rsidRPr="00FA0D37">
        <w:rPr>
          <w:color w:val="993366"/>
        </w:rPr>
        <w:t>ENUMERATED</w:t>
      </w:r>
      <w:r w:rsidRPr="00FA0D37">
        <w:t xml:space="preserve"> {fdmSchemeA, fdmSchemeB,tdmSchemeA },</w:t>
      </w:r>
    </w:p>
    <w:p w14:paraId="6D2B0A74" w14:textId="77777777" w:rsidR="00394471" w:rsidRPr="00FA0D37" w:rsidRDefault="00394471" w:rsidP="00FA0D37">
      <w:pPr>
        <w:pStyle w:val="PL"/>
        <w:rPr>
          <w:color w:val="808080"/>
        </w:rPr>
      </w:pPr>
      <w:r w:rsidRPr="00FA0D37">
        <w:t xml:space="preserve">    startingSymbolOffsetK-r16      </w:t>
      </w:r>
      <w:r w:rsidRPr="00FA0D37">
        <w:rPr>
          <w:color w:val="993366"/>
        </w:rPr>
        <w:t>INTEGER</w:t>
      </w:r>
      <w:r w:rsidRPr="00FA0D37">
        <w:t xml:space="preserve"> (0..7)                                    </w:t>
      </w:r>
      <w:r w:rsidRPr="00FA0D37">
        <w:rPr>
          <w:color w:val="993366"/>
        </w:rPr>
        <w:t>OPTIONAL</w:t>
      </w:r>
      <w:r w:rsidRPr="00FA0D37">
        <w:t xml:space="preserve">  </w:t>
      </w:r>
      <w:r w:rsidRPr="00FA0D37">
        <w:rPr>
          <w:color w:val="808080"/>
        </w:rPr>
        <w:t>-- Need R</w:t>
      </w:r>
    </w:p>
    <w:p w14:paraId="273CEE64" w14:textId="77777777" w:rsidR="00394471" w:rsidRPr="00FA0D37" w:rsidRDefault="00394471" w:rsidP="00FA0D37">
      <w:pPr>
        <w:pStyle w:val="PL"/>
      </w:pPr>
      <w:r w:rsidRPr="00FA0D37">
        <w:t>}</w:t>
      </w:r>
    </w:p>
    <w:p w14:paraId="67923BAE" w14:textId="77777777" w:rsidR="00394471" w:rsidRPr="00FA0D37" w:rsidRDefault="00394471" w:rsidP="00FA0D37">
      <w:pPr>
        <w:pStyle w:val="PL"/>
      </w:pPr>
    </w:p>
    <w:p w14:paraId="70087BBE" w14:textId="357F4C75" w:rsidR="00394471" w:rsidRPr="00FA0D37" w:rsidRDefault="00394471" w:rsidP="00FA0D37">
      <w:pPr>
        <w:pStyle w:val="PL"/>
      </w:pPr>
      <w:r w:rsidRPr="00FA0D37">
        <w:t xml:space="preserve">SlotBased-r16 ::=              </w:t>
      </w:r>
      <w:r w:rsidRPr="00FA0D37">
        <w:rPr>
          <w:color w:val="993366"/>
        </w:rPr>
        <w:t>SEQUENCE</w:t>
      </w:r>
      <w:r w:rsidRPr="00FA0D37">
        <w:t xml:space="preserve"> {</w:t>
      </w:r>
    </w:p>
    <w:p w14:paraId="108019B1" w14:textId="6FA4EE61" w:rsidR="00394471" w:rsidRPr="00FA0D37" w:rsidRDefault="00394471" w:rsidP="00FA0D37">
      <w:pPr>
        <w:pStyle w:val="PL"/>
      </w:pPr>
      <w:r w:rsidRPr="00FA0D37">
        <w:t xml:space="preserve">    tciMapping-r16                 </w:t>
      </w:r>
      <w:r w:rsidRPr="00FA0D37">
        <w:rPr>
          <w:color w:val="993366"/>
        </w:rPr>
        <w:t>ENUMERATED</w:t>
      </w:r>
      <w:r w:rsidRPr="00FA0D37">
        <w:t xml:space="preserve"> {cyclicMapping, sequentialMapping},</w:t>
      </w:r>
    </w:p>
    <w:p w14:paraId="1D6663E9" w14:textId="255A0330" w:rsidR="00394471" w:rsidRPr="00FA0D37" w:rsidRDefault="00394471" w:rsidP="00FA0D37">
      <w:pPr>
        <w:pStyle w:val="PL"/>
      </w:pPr>
      <w:r w:rsidRPr="00FA0D37">
        <w:t xml:space="preserve">    sequenceOffset</w:t>
      </w:r>
      <w:r w:rsidR="009B0C1E" w:rsidRPr="00FA0D37">
        <w:t>F</w:t>
      </w:r>
      <w:r w:rsidRPr="00FA0D37">
        <w:t xml:space="preserve">orRV-r16        </w:t>
      </w:r>
      <w:r w:rsidRPr="00FA0D37">
        <w:rPr>
          <w:color w:val="993366"/>
        </w:rPr>
        <w:t>INTEGER</w:t>
      </w:r>
      <w:r w:rsidRPr="00FA0D37">
        <w:t xml:space="preserve"> (1..3)</w:t>
      </w:r>
    </w:p>
    <w:p w14:paraId="7C13957E" w14:textId="77777777" w:rsidR="00394471" w:rsidRPr="00FA0D37" w:rsidRDefault="00394471" w:rsidP="00FA0D37">
      <w:pPr>
        <w:pStyle w:val="PL"/>
      </w:pPr>
      <w:r w:rsidRPr="00FA0D37">
        <w:t>}</w:t>
      </w:r>
    </w:p>
    <w:p w14:paraId="2CB454B9" w14:textId="77777777" w:rsidR="009B0C1E" w:rsidRPr="00FA0D37" w:rsidRDefault="009B0C1E" w:rsidP="00FA0D37">
      <w:pPr>
        <w:pStyle w:val="PL"/>
      </w:pPr>
    </w:p>
    <w:p w14:paraId="633B5B6E" w14:textId="09391D56" w:rsidR="009B0C1E" w:rsidRPr="00FA0D37" w:rsidRDefault="009B0C1E" w:rsidP="00FA0D37">
      <w:pPr>
        <w:pStyle w:val="PL"/>
      </w:pPr>
      <w:r w:rsidRPr="00FA0D37">
        <w:t>SlotBased-v16</w:t>
      </w:r>
      <w:r w:rsidR="003E5179" w:rsidRPr="00FA0D37">
        <w:t>3</w:t>
      </w:r>
      <w:r w:rsidRPr="00FA0D37">
        <w:t xml:space="preserve">0 ::=            </w:t>
      </w:r>
      <w:r w:rsidRPr="00FA0D37">
        <w:rPr>
          <w:color w:val="993366"/>
        </w:rPr>
        <w:t>SEQUENCE</w:t>
      </w:r>
      <w:r w:rsidRPr="00FA0D37">
        <w:t xml:space="preserve"> {</w:t>
      </w:r>
    </w:p>
    <w:p w14:paraId="772F7A60" w14:textId="77777777" w:rsidR="009B0C1E" w:rsidRPr="00FA0D37" w:rsidRDefault="009B0C1E" w:rsidP="00FA0D37">
      <w:pPr>
        <w:pStyle w:val="PL"/>
      </w:pPr>
      <w:r w:rsidRPr="00FA0D37">
        <w:t xml:space="preserve">    tciMapping-r16                 </w:t>
      </w:r>
      <w:r w:rsidRPr="00FA0D37">
        <w:rPr>
          <w:color w:val="993366"/>
        </w:rPr>
        <w:t>ENUMERATED</w:t>
      </w:r>
      <w:r w:rsidRPr="00FA0D37">
        <w:t xml:space="preserve"> {cyclicMapping, sequentialMapping},</w:t>
      </w:r>
    </w:p>
    <w:p w14:paraId="7376B8E5" w14:textId="77777777" w:rsidR="009B0C1E" w:rsidRPr="00FA0D37" w:rsidRDefault="009B0C1E" w:rsidP="00FA0D37">
      <w:pPr>
        <w:pStyle w:val="PL"/>
      </w:pPr>
      <w:r w:rsidRPr="00FA0D37">
        <w:t xml:space="preserve">    sequenceOffsetForRV-r16        </w:t>
      </w:r>
      <w:r w:rsidRPr="00FA0D37">
        <w:rPr>
          <w:color w:val="993366"/>
        </w:rPr>
        <w:t>INTEGER</w:t>
      </w:r>
      <w:r w:rsidRPr="00FA0D37">
        <w:t xml:space="preserve"> (0)</w:t>
      </w:r>
    </w:p>
    <w:p w14:paraId="165AF74A" w14:textId="17B155D2" w:rsidR="00394471" w:rsidRPr="00FA0D37" w:rsidRDefault="009B0C1E" w:rsidP="00FA0D37">
      <w:pPr>
        <w:pStyle w:val="PL"/>
      </w:pPr>
      <w:r w:rsidRPr="00FA0D37">
        <w:t>}</w:t>
      </w:r>
    </w:p>
    <w:p w14:paraId="093612FD" w14:textId="77777777" w:rsidR="009B0C1E" w:rsidRPr="00FA0D37" w:rsidRDefault="009B0C1E" w:rsidP="00FA0D37">
      <w:pPr>
        <w:pStyle w:val="PL"/>
      </w:pPr>
    </w:p>
    <w:p w14:paraId="3ACD96BE" w14:textId="77777777" w:rsidR="00394471" w:rsidRPr="00FA0D37" w:rsidRDefault="00394471" w:rsidP="00FA0D37">
      <w:pPr>
        <w:pStyle w:val="PL"/>
        <w:rPr>
          <w:rFonts w:eastAsia="Batang"/>
          <w:color w:val="808080"/>
        </w:rPr>
      </w:pPr>
      <w:r w:rsidRPr="00FA0D37">
        <w:rPr>
          <w:rFonts w:eastAsia="Batang"/>
          <w:color w:val="808080"/>
        </w:rPr>
        <w:t>-- TAG-REPETITIONSCHEMECONFIG-STOP</w:t>
      </w:r>
    </w:p>
    <w:p w14:paraId="7C1CCE16" w14:textId="77777777" w:rsidR="00394471" w:rsidRPr="00FA0D37" w:rsidRDefault="00394471" w:rsidP="00FA0D37">
      <w:pPr>
        <w:pStyle w:val="PL"/>
        <w:rPr>
          <w:rFonts w:eastAsia="Batang"/>
          <w:color w:val="808080"/>
          <w:lang w:eastAsia="sv-SE"/>
        </w:rPr>
      </w:pPr>
      <w:r w:rsidRPr="00FA0D37">
        <w:rPr>
          <w:rFonts w:eastAsia="Batang"/>
          <w:color w:val="808080"/>
        </w:rPr>
        <w:t>-- ASN1STOP</w:t>
      </w:r>
    </w:p>
    <w:p w14:paraId="781B24B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FA0D37" w:rsidRDefault="00394471" w:rsidP="00964CC4">
            <w:pPr>
              <w:pStyle w:val="TAH"/>
              <w:rPr>
                <w:szCs w:val="22"/>
                <w:lang w:eastAsia="sv-SE"/>
              </w:rPr>
            </w:pPr>
            <w:r w:rsidRPr="00FA0D37">
              <w:rPr>
                <w:i/>
                <w:szCs w:val="22"/>
                <w:lang w:eastAsia="sv-SE"/>
              </w:rPr>
              <w:lastRenderedPageBreak/>
              <w:t xml:space="preserve">RepetitionSchemeConfig </w:t>
            </w:r>
            <w:r w:rsidRPr="00FA0D37">
              <w:rPr>
                <w:szCs w:val="22"/>
                <w:lang w:eastAsia="sv-SE"/>
              </w:rPr>
              <w:t>field descriptions</w:t>
            </w:r>
          </w:p>
        </w:tc>
      </w:tr>
      <w:tr w:rsidR="005C7FF4" w:rsidRPr="00FA0D37"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FA0D37" w:rsidRDefault="00394471" w:rsidP="00964CC4">
            <w:pPr>
              <w:pStyle w:val="TAL"/>
              <w:rPr>
                <w:b/>
                <w:i/>
                <w:szCs w:val="22"/>
                <w:lang w:eastAsia="sv-SE"/>
              </w:rPr>
            </w:pPr>
            <w:r w:rsidRPr="00FA0D37">
              <w:rPr>
                <w:b/>
                <w:i/>
                <w:szCs w:val="22"/>
                <w:lang w:eastAsia="sv-SE"/>
              </w:rPr>
              <w:t>fdm-TDM</w:t>
            </w:r>
          </w:p>
          <w:p w14:paraId="7B6CAC27" w14:textId="4670E27B" w:rsidR="00394471" w:rsidRPr="00FA0D37" w:rsidRDefault="00394471" w:rsidP="00964CC4">
            <w:pPr>
              <w:pStyle w:val="TAL"/>
              <w:rPr>
                <w:szCs w:val="22"/>
                <w:lang w:eastAsia="sv-SE"/>
              </w:rPr>
            </w:pPr>
            <w:r w:rsidRPr="00FA0D37">
              <w:rPr>
                <w:szCs w:val="22"/>
                <w:lang w:eastAsia="sv-SE"/>
              </w:rPr>
              <w:t xml:space="preserve">Configures UE with a repetition scheme </w:t>
            </w:r>
            <w:r w:rsidRPr="00FA0D37">
              <w:rPr>
                <w:lang w:eastAsia="sv-SE"/>
              </w:rPr>
              <w:t>among fdmSchemeA, fdmSchemeB and tdmSchemeA as specified in clause 5.1 of TS 38.214 [19].</w:t>
            </w:r>
            <w:r w:rsidR="004E6449" w:rsidRPr="00FA0D37">
              <w:rPr>
                <w:lang w:eastAsia="sv-SE"/>
              </w:rPr>
              <w:t xml:space="preserve"> The network does not set this field to </w:t>
            </w:r>
            <w:r w:rsidR="004E6449" w:rsidRPr="00FA0D37">
              <w:rPr>
                <w:i/>
                <w:lang w:eastAsia="sv-SE"/>
              </w:rPr>
              <w:t>release</w:t>
            </w:r>
            <w:r w:rsidR="004E6449" w:rsidRPr="00FA0D37">
              <w:rPr>
                <w:lang w:eastAsia="sv-SE"/>
              </w:rPr>
              <w:t xml:space="preserve">. Upon reception of this field in </w:t>
            </w:r>
            <w:r w:rsidR="004E6449" w:rsidRPr="00FA0D37">
              <w:rPr>
                <w:i/>
                <w:lang w:eastAsia="sv-SE"/>
              </w:rPr>
              <w:t>RepetitionSchemeConfig-r16</w:t>
            </w:r>
            <w:r w:rsidR="004E6449" w:rsidRPr="00FA0D37">
              <w:rPr>
                <w:lang w:eastAsia="sv-SE"/>
              </w:rPr>
              <w:t xml:space="preserve">, the UE shall release </w:t>
            </w:r>
            <w:r w:rsidR="004E6449" w:rsidRPr="00FA0D37">
              <w:rPr>
                <w:i/>
                <w:lang w:eastAsia="sv-SE"/>
              </w:rPr>
              <w:t xml:space="preserve">slotBased </w:t>
            </w:r>
            <w:r w:rsidR="004E6449" w:rsidRPr="00FA0D37">
              <w:rPr>
                <w:lang w:eastAsia="sv-SE"/>
              </w:rPr>
              <w:t xml:space="preserve">if previously configured in the same instance of </w:t>
            </w:r>
            <w:r w:rsidR="004E6449" w:rsidRPr="00FA0D37">
              <w:rPr>
                <w:i/>
                <w:lang w:eastAsia="sv-SE"/>
              </w:rPr>
              <w:t>RepetitionSchemeConfig-r16</w:t>
            </w:r>
            <w:r w:rsidR="004E6449" w:rsidRPr="00FA0D37">
              <w:rPr>
                <w:lang w:eastAsia="sv-SE"/>
              </w:rPr>
              <w:t>.</w:t>
            </w:r>
          </w:p>
        </w:tc>
      </w:tr>
      <w:tr w:rsidR="005C7FF4" w:rsidRPr="00FA0D37"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FA0D37" w:rsidRDefault="00394471" w:rsidP="00964CC4">
            <w:pPr>
              <w:pStyle w:val="TAL"/>
              <w:rPr>
                <w:b/>
                <w:i/>
                <w:szCs w:val="22"/>
                <w:lang w:eastAsia="sv-SE"/>
              </w:rPr>
            </w:pPr>
            <w:r w:rsidRPr="00FA0D37">
              <w:rPr>
                <w:b/>
                <w:i/>
                <w:szCs w:val="22"/>
                <w:lang w:eastAsia="sv-SE"/>
              </w:rPr>
              <w:t>sequenceOffset</w:t>
            </w:r>
            <w:r w:rsidR="009B0C1E" w:rsidRPr="00FA0D37">
              <w:rPr>
                <w:b/>
                <w:i/>
                <w:szCs w:val="22"/>
                <w:lang w:eastAsia="sv-SE"/>
              </w:rPr>
              <w:t>F</w:t>
            </w:r>
            <w:r w:rsidRPr="00FA0D37">
              <w:rPr>
                <w:b/>
                <w:i/>
                <w:szCs w:val="22"/>
                <w:lang w:eastAsia="sv-SE"/>
              </w:rPr>
              <w:t>orRV</w:t>
            </w:r>
          </w:p>
          <w:p w14:paraId="6A4D23B1" w14:textId="77777777" w:rsidR="00394471" w:rsidRPr="00FA0D37" w:rsidRDefault="00394471" w:rsidP="00964CC4">
            <w:pPr>
              <w:pStyle w:val="TAL"/>
              <w:rPr>
                <w:szCs w:val="22"/>
                <w:lang w:eastAsia="sv-SE"/>
              </w:rPr>
            </w:pPr>
            <w:r w:rsidRPr="00FA0D37">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5C7FF4" w:rsidRPr="00FA0D37"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FA0D37" w:rsidRDefault="00394471" w:rsidP="00964CC4">
            <w:pPr>
              <w:pStyle w:val="TAL"/>
              <w:rPr>
                <w:b/>
                <w:i/>
                <w:lang w:eastAsia="sv-SE"/>
              </w:rPr>
            </w:pPr>
            <w:r w:rsidRPr="00FA0D37">
              <w:rPr>
                <w:b/>
                <w:i/>
                <w:lang w:eastAsia="sv-SE"/>
              </w:rPr>
              <w:t>slotBased</w:t>
            </w:r>
          </w:p>
          <w:p w14:paraId="6B35FA90" w14:textId="53B72483" w:rsidR="00394471" w:rsidRPr="00FA0D37" w:rsidRDefault="00394471" w:rsidP="00964CC4">
            <w:pPr>
              <w:pStyle w:val="TAL"/>
              <w:rPr>
                <w:szCs w:val="22"/>
                <w:lang w:eastAsia="sv-SE"/>
              </w:rPr>
            </w:pPr>
            <w:r w:rsidRPr="00FA0D37">
              <w:rPr>
                <w:szCs w:val="22"/>
                <w:lang w:eastAsia="sv-SE"/>
              </w:rPr>
              <w:t xml:space="preserve">Configures UE with slot-based repetition scheme. </w:t>
            </w:r>
            <w:r w:rsidRPr="00FA0D37">
              <w:rPr>
                <w:szCs w:val="22"/>
              </w:rPr>
              <w:t>Network always configures this field when</w:t>
            </w:r>
            <w:r w:rsidRPr="00FA0D37">
              <w:rPr>
                <w:szCs w:val="22"/>
                <w:lang w:eastAsia="sv-SE"/>
              </w:rPr>
              <w:t xml:space="preserve"> the parameter </w:t>
            </w:r>
            <w:r w:rsidRPr="00FA0D37">
              <w:rPr>
                <w:i/>
                <w:szCs w:val="22"/>
                <w:lang w:eastAsia="sv-SE"/>
              </w:rPr>
              <w:t>repetitionNumber</w:t>
            </w:r>
            <w:r w:rsidRPr="00FA0D37">
              <w:rPr>
                <w:szCs w:val="22"/>
                <w:lang w:eastAsia="sv-SE"/>
              </w:rPr>
              <w:t xml:space="preserve"> is present in IE</w:t>
            </w:r>
            <w:r w:rsidRPr="00FA0D37">
              <w:rPr>
                <w:i/>
                <w:szCs w:val="22"/>
                <w:lang w:eastAsia="sv-SE"/>
              </w:rPr>
              <w:t xml:space="preserve"> PDSCH-TimeDomainResourceAllocationList</w:t>
            </w:r>
            <w:r w:rsidR="004E6449" w:rsidRPr="00FA0D37">
              <w:rPr>
                <w:i/>
                <w:szCs w:val="22"/>
                <w:lang w:eastAsia="sv-SE"/>
              </w:rPr>
              <w:t xml:space="preserve">. </w:t>
            </w:r>
            <w:r w:rsidR="004E6449" w:rsidRPr="00FA0D37">
              <w:rPr>
                <w:lang w:eastAsia="sv-SE"/>
              </w:rPr>
              <w:t xml:space="preserve">The network does not set this field to </w:t>
            </w:r>
            <w:r w:rsidR="004E6449" w:rsidRPr="00FA0D37">
              <w:rPr>
                <w:i/>
                <w:lang w:eastAsia="sv-SE"/>
              </w:rPr>
              <w:t>release</w:t>
            </w:r>
            <w:r w:rsidR="004E6449" w:rsidRPr="00FA0D37">
              <w:rPr>
                <w:lang w:eastAsia="sv-SE"/>
              </w:rPr>
              <w:t xml:space="preserve">. Upon reception of this field in </w:t>
            </w:r>
            <w:r w:rsidR="004E6449" w:rsidRPr="00FA0D37">
              <w:rPr>
                <w:i/>
                <w:lang w:eastAsia="sv-SE"/>
              </w:rPr>
              <w:t>RepetitionSchemeConfig-r16</w:t>
            </w:r>
            <w:r w:rsidR="004E6449" w:rsidRPr="00FA0D37">
              <w:rPr>
                <w:lang w:eastAsia="sv-SE"/>
              </w:rPr>
              <w:t xml:space="preserve">, the UE shall release </w:t>
            </w:r>
            <w:r w:rsidR="004E6449" w:rsidRPr="00FA0D37">
              <w:rPr>
                <w:i/>
                <w:lang w:eastAsia="sv-SE"/>
              </w:rPr>
              <w:t>fdm-TDM</w:t>
            </w:r>
            <w:r w:rsidR="004E6449" w:rsidRPr="00FA0D37">
              <w:rPr>
                <w:lang w:eastAsia="sv-SE"/>
              </w:rPr>
              <w:t xml:space="preserve"> if previously configured in the same instance of </w:t>
            </w:r>
            <w:r w:rsidR="004E6449" w:rsidRPr="00FA0D37">
              <w:rPr>
                <w:i/>
                <w:lang w:eastAsia="sv-SE"/>
              </w:rPr>
              <w:t>RepetitionSchemeConfig-r16</w:t>
            </w:r>
            <w:r w:rsidR="004E6449" w:rsidRPr="00FA0D37">
              <w:rPr>
                <w:lang w:eastAsia="sv-SE"/>
              </w:rPr>
              <w:t>.</w:t>
            </w:r>
          </w:p>
        </w:tc>
      </w:tr>
      <w:tr w:rsidR="005C7FF4" w:rsidRPr="00FA0D37"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FA0D37" w:rsidRDefault="00394471" w:rsidP="00964CC4">
            <w:pPr>
              <w:pStyle w:val="TAL"/>
              <w:rPr>
                <w:b/>
                <w:i/>
                <w:lang w:eastAsia="sv-SE"/>
              </w:rPr>
            </w:pPr>
            <w:r w:rsidRPr="00FA0D37">
              <w:rPr>
                <w:b/>
                <w:i/>
                <w:lang w:eastAsia="sv-SE"/>
              </w:rPr>
              <w:t>startingSymbolOffsetK</w:t>
            </w:r>
          </w:p>
          <w:p w14:paraId="389CA13B" w14:textId="77777777" w:rsidR="00394471" w:rsidRPr="00FA0D37" w:rsidRDefault="00394471" w:rsidP="00964CC4">
            <w:pPr>
              <w:pStyle w:val="TAL"/>
              <w:rPr>
                <w:szCs w:val="22"/>
                <w:lang w:eastAsia="sv-SE"/>
              </w:rPr>
            </w:pPr>
            <w:r w:rsidRPr="00FA0D37">
              <w:rPr>
                <w:szCs w:val="22"/>
                <w:lang w:eastAsia="sv-SE"/>
              </w:rPr>
              <w:t xml:space="preserve">The starting symbol of the second transmission occasion has K symbol offset relative to the last symbol of the first transmission occasion. When UE is configured with </w:t>
            </w:r>
            <w:r w:rsidRPr="00FA0D37">
              <w:rPr>
                <w:i/>
                <w:szCs w:val="22"/>
                <w:lang w:eastAsia="sv-SE"/>
              </w:rPr>
              <w:t>tdmSchemeA,</w:t>
            </w:r>
            <w:r w:rsidRPr="00FA0D37">
              <w:rPr>
                <w:szCs w:val="22"/>
                <w:lang w:eastAsia="sv-SE"/>
              </w:rPr>
              <w:t xml:space="preserve"> the parameter </w:t>
            </w:r>
            <w:r w:rsidRPr="00FA0D37">
              <w:rPr>
                <w:i/>
                <w:szCs w:val="22"/>
                <w:lang w:eastAsia="sv-SE"/>
              </w:rPr>
              <w:t>startingSymbolOffsetK</w:t>
            </w:r>
            <w:r w:rsidRPr="00FA0D37">
              <w:rPr>
                <w:szCs w:val="22"/>
                <w:lang w:eastAsia="sv-SE"/>
              </w:rPr>
              <w:t xml:space="preserve"> is present, otherwise absent.</w:t>
            </w:r>
          </w:p>
        </w:tc>
      </w:tr>
      <w:tr w:rsidR="00394471" w:rsidRPr="00FA0D37"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FA0D37" w:rsidRDefault="00394471" w:rsidP="00964CC4">
            <w:pPr>
              <w:pStyle w:val="TAL"/>
              <w:rPr>
                <w:b/>
                <w:i/>
                <w:szCs w:val="22"/>
                <w:lang w:eastAsia="sv-SE"/>
              </w:rPr>
            </w:pPr>
            <w:r w:rsidRPr="00FA0D37">
              <w:rPr>
                <w:b/>
                <w:i/>
                <w:szCs w:val="22"/>
                <w:lang w:eastAsia="sv-SE"/>
              </w:rPr>
              <w:t>tciMapping</w:t>
            </w:r>
          </w:p>
          <w:p w14:paraId="27F439BE" w14:textId="77777777" w:rsidR="00394471" w:rsidRPr="00FA0D37" w:rsidRDefault="00394471" w:rsidP="00964CC4">
            <w:pPr>
              <w:pStyle w:val="TAL"/>
              <w:rPr>
                <w:szCs w:val="22"/>
                <w:lang w:eastAsia="sv-SE"/>
              </w:rPr>
            </w:pPr>
            <w:r w:rsidRPr="00FA0D37">
              <w:rPr>
                <w:szCs w:val="22"/>
                <w:lang w:eastAsia="sv-SE"/>
              </w:rPr>
              <w:t>Enables TCI state mapping method to PDSCH transmission occasions.</w:t>
            </w:r>
          </w:p>
        </w:tc>
      </w:tr>
    </w:tbl>
    <w:p w14:paraId="4A6CD1EC" w14:textId="77777777" w:rsidR="00394471" w:rsidRPr="00FA0D37" w:rsidRDefault="00394471" w:rsidP="00394471"/>
    <w:p w14:paraId="4BBE16DC" w14:textId="77777777" w:rsidR="00394471" w:rsidRPr="00FA0D37" w:rsidRDefault="00394471" w:rsidP="00394471">
      <w:pPr>
        <w:pStyle w:val="4"/>
        <w:rPr>
          <w:rFonts w:eastAsia="MS Mincho"/>
          <w:i/>
        </w:rPr>
      </w:pPr>
      <w:bookmarkStart w:id="1314" w:name="_Toc60777348"/>
      <w:bookmarkStart w:id="1315" w:name="_Toc146781429"/>
      <w:r w:rsidRPr="00FA0D37">
        <w:rPr>
          <w:rFonts w:eastAsia="MS Mincho"/>
        </w:rPr>
        <w:t>–</w:t>
      </w:r>
      <w:r w:rsidRPr="00FA0D37">
        <w:rPr>
          <w:rFonts w:eastAsia="MS Mincho"/>
        </w:rPr>
        <w:tab/>
      </w:r>
      <w:r w:rsidRPr="00FA0D37">
        <w:rPr>
          <w:rFonts w:eastAsia="MS Mincho"/>
          <w:i/>
        </w:rPr>
        <w:t>ReportConfigId</w:t>
      </w:r>
      <w:bookmarkEnd w:id="1314"/>
      <w:bookmarkEnd w:id="1315"/>
    </w:p>
    <w:p w14:paraId="567FE4BD" w14:textId="77777777" w:rsidR="00394471" w:rsidRPr="00FA0D37" w:rsidRDefault="00394471" w:rsidP="00394471">
      <w:pPr>
        <w:rPr>
          <w:rFonts w:eastAsia="MS Mincho"/>
        </w:rPr>
      </w:pPr>
      <w:r w:rsidRPr="00FA0D37">
        <w:t xml:space="preserve">The IE </w:t>
      </w:r>
      <w:r w:rsidRPr="00FA0D37">
        <w:rPr>
          <w:i/>
        </w:rPr>
        <w:t>ReportConfigId</w:t>
      </w:r>
      <w:r w:rsidRPr="00FA0D37">
        <w:t xml:space="preserve"> is used to identify a measurement reporting configuration.</w:t>
      </w:r>
    </w:p>
    <w:p w14:paraId="0377194E" w14:textId="77777777" w:rsidR="00394471" w:rsidRPr="00FA0D37" w:rsidRDefault="00394471" w:rsidP="00394471">
      <w:pPr>
        <w:pStyle w:val="TH"/>
      </w:pPr>
      <w:r w:rsidRPr="00FA0D37">
        <w:rPr>
          <w:i/>
        </w:rPr>
        <w:t>ReportConfigId</w:t>
      </w:r>
      <w:r w:rsidRPr="00FA0D37">
        <w:t xml:space="preserve"> information element</w:t>
      </w:r>
    </w:p>
    <w:p w14:paraId="0B12755E" w14:textId="77777777" w:rsidR="00394471" w:rsidRPr="00FA0D37" w:rsidRDefault="00394471" w:rsidP="00FA0D37">
      <w:pPr>
        <w:pStyle w:val="PL"/>
        <w:rPr>
          <w:color w:val="808080"/>
        </w:rPr>
      </w:pPr>
      <w:r w:rsidRPr="00FA0D37">
        <w:rPr>
          <w:color w:val="808080"/>
        </w:rPr>
        <w:t>-- ASN1START</w:t>
      </w:r>
    </w:p>
    <w:p w14:paraId="5E2D5B2F" w14:textId="77777777" w:rsidR="00394471" w:rsidRPr="00FA0D37" w:rsidRDefault="00394471" w:rsidP="00FA0D37">
      <w:pPr>
        <w:pStyle w:val="PL"/>
        <w:rPr>
          <w:color w:val="808080"/>
        </w:rPr>
      </w:pPr>
      <w:r w:rsidRPr="00FA0D37">
        <w:rPr>
          <w:color w:val="808080"/>
        </w:rPr>
        <w:t>-- TAG-REPORTCONFIGID-START</w:t>
      </w:r>
    </w:p>
    <w:p w14:paraId="0D0FF138" w14:textId="77777777" w:rsidR="00394471" w:rsidRPr="00FA0D37" w:rsidRDefault="00394471" w:rsidP="00FA0D37">
      <w:pPr>
        <w:pStyle w:val="PL"/>
      </w:pPr>
    </w:p>
    <w:p w14:paraId="37A5AE56" w14:textId="77777777" w:rsidR="00394471" w:rsidRPr="00FA0D37" w:rsidRDefault="00394471" w:rsidP="00FA0D37">
      <w:pPr>
        <w:pStyle w:val="PL"/>
      </w:pPr>
      <w:r w:rsidRPr="00FA0D37">
        <w:t xml:space="preserve">ReportConfigId ::=                          </w:t>
      </w:r>
      <w:r w:rsidRPr="00FA0D37">
        <w:rPr>
          <w:color w:val="993366"/>
        </w:rPr>
        <w:t>INTEGER</w:t>
      </w:r>
      <w:r w:rsidRPr="00FA0D37">
        <w:t xml:space="preserve"> (1..maxReportConfigId)</w:t>
      </w:r>
    </w:p>
    <w:p w14:paraId="6A1DED89" w14:textId="77777777" w:rsidR="00394471" w:rsidRPr="00FA0D37" w:rsidRDefault="00394471" w:rsidP="00FA0D37">
      <w:pPr>
        <w:pStyle w:val="PL"/>
      </w:pPr>
    </w:p>
    <w:p w14:paraId="192E87E0" w14:textId="77777777" w:rsidR="00394471" w:rsidRPr="00FA0D37" w:rsidRDefault="00394471" w:rsidP="00FA0D37">
      <w:pPr>
        <w:pStyle w:val="PL"/>
        <w:rPr>
          <w:color w:val="808080"/>
        </w:rPr>
      </w:pPr>
      <w:r w:rsidRPr="00FA0D37">
        <w:rPr>
          <w:color w:val="808080"/>
        </w:rPr>
        <w:t>-- TAG-REPORTCONFIGID-STOP</w:t>
      </w:r>
    </w:p>
    <w:p w14:paraId="291F4D74" w14:textId="77777777" w:rsidR="00394471" w:rsidRPr="00FA0D37" w:rsidRDefault="00394471" w:rsidP="00FA0D37">
      <w:pPr>
        <w:pStyle w:val="PL"/>
        <w:rPr>
          <w:color w:val="808080"/>
        </w:rPr>
      </w:pPr>
      <w:r w:rsidRPr="00FA0D37">
        <w:rPr>
          <w:color w:val="808080"/>
        </w:rPr>
        <w:t>-- ASN1STOP</w:t>
      </w:r>
    </w:p>
    <w:p w14:paraId="30EB3402" w14:textId="77777777" w:rsidR="00394471" w:rsidRPr="00FA0D37" w:rsidRDefault="00394471" w:rsidP="00394471"/>
    <w:p w14:paraId="4A36F489" w14:textId="77777777" w:rsidR="00394471" w:rsidRPr="00FA0D37" w:rsidRDefault="00394471" w:rsidP="00394471">
      <w:pPr>
        <w:pStyle w:val="4"/>
        <w:rPr>
          <w:rFonts w:eastAsia="MS Mincho"/>
          <w:i/>
          <w:iCs/>
        </w:rPr>
      </w:pPr>
      <w:bookmarkStart w:id="1316" w:name="_Toc60777349"/>
      <w:bookmarkStart w:id="1317" w:name="_Toc146781430"/>
      <w:r w:rsidRPr="00FA0D37">
        <w:rPr>
          <w:rFonts w:eastAsia="MS Mincho"/>
          <w:i/>
          <w:iCs/>
        </w:rPr>
        <w:t>–</w:t>
      </w:r>
      <w:r w:rsidRPr="00FA0D37">
        <w:rPr>
          <w:rFonts w:eastAsia="MS Mincho"/>
          <w:i/>
          <w:iCs/>
        </w:rPr>
        <w:tab/>
        <w:t>ReportConfigInterRAT</w:t>
      </w:r>
      <w:bookmarkEnd w:id="1316"/>
      <w:bookmarkEnd w:id="1317"/>
    </w:p>
    <w:p w14:paraId="3950145F" w14:textId="7B30FC71" w:rsidR="00394471" w:rsidRPr="00FA0D37" w:rsidRDefault="00394471" w:rsidP="00394471">
      <w:pPr>
        <w:rPr>
          <w:rFonts w:eastAsia="MS Mincho"/>
        </w:rPr>
      </w:pPr>
      <w:r w:rsidRPr="00FA0D37">
        <w:t xml:space="preserve">The IE </w:t>
      </w:r>
      <w:r w:rsidRPr="00FA0D37">
        <w:rPr>
          <w:i/>
        </w:rPr>
        <w:t>ReportConfigInterRAT</w:t>
      </w:r>
      <w:r w:rsidRPr="00FA0D37">
        <w:t xml:space="preserve"> specifies criteria for triggering of an inter-RAT measurement reporting event</w:t>
      </w:r>
      <w:r w:rsidR="00360CB9" w:rsidRPr="00FA0D37">
        <w:t>, or an L2 U2N relay measurement reporting event</w:t>
      </w:r>
      <w:r w:rsidRPr="00FA0D37">
        <w:t>. The inter-RAT measurement reporting events for E-UTRA and UTRA-FDD</w:t>
      </w:r>
      <w:r w:rsidR="00360CB9" w:rsidRPr="00FA0D37">
        <w:t xml:space="preserve"> </w:t>
      </w:r>
      <w:r w:rsidRPr="00FA0D37">
        <w:t>are labelled B</w:t>
      </w:r>
      <w:r w:rsidRPr="00FA0D37">
        <w:rPr>
          <w:i/>
        </w:rPr>
        <w:t>N</w:t>
      </w:r>
      <w:r w:rsidRPr="00FA0D37">
        <w:t xml:space="preserve"> with </w:t>
      </w:r>
      <w:r w:rsidRPr="00FA0D37">
        <w:rPr>
          <w:i/>
        </w:rPr>
        <w:t>N</w:t>
      </w:r>
      <w:r w:rsidRPr="00FA0D37">
        <w:t xml:space="preserve"> equal to 1, 2 and so on.</w:t>
      </w:r>
      <w:r w:rsidR="005D44A8" w:rsidRPr="00FA0D37">
        <w:t xml:space="preserve"> The measurement reporting events for L2 U2N relay UE are labelled Y</w:t>
      </w:r>
      <w:r w:rsidR="005D44A8" w:rsidRPr="00FA0D37">
        <w:rPr>
          <w:i/>
        </w:rPr>
        <w:t>N</w:t>
      </w:r>
      <w:r w:rsidR="005D44A8" w:rsidRPr="00FA0D37">
        <w:t xml:space="preserve"> with </w:t>
      </w:r>
      <w:r w:rsidR="005D44A8" w:rsidRPr="00FA0D37">
        <w:rPr>
          <w:i/>
        </w:rPr>
        <w:t>N</w:t>
      </w:r>
      <w:r w:rsidR="005D44A8" w:rsidRPr="00FA0D37">
        <w:t xml:space="preserve"> equal to 1, 2 and so on.</w:t>
      </w:r>
    </w:p>
    <w:p w14:paraId="502A49DE" w14:textId="77777777" w:rsidR="00394471" w:rsidRPr="00FA0D37" w:rsidRDefault="00394471" w:rsidP="00394471">
      <w:pPr>
        <w:pStyle w:val="B1"/>
      </w:pPr>
      <w:r w:rsidRPr="00FA0D37">
        <w:t>Event B1:</w:t>
      </w:r>
      <w:r w:rsidRPr="00FA0D37">
        <w:tab/>
        <w:t>Neighbour becomes better than absolute threshold;</w:t>
      </w:r>
    </w:p>
    <w:p w14:paraId="23E6D4CD" w14:textId="77777777" w:rsidR="00BD2D2B" w:rsidRPr="00FA0D37" w:rsidRDefault="00394471" w:rsidP="00BD2D2B">
      <w:pPr>
        <w:pStyle w:val="B1"/>
      </w:pPr>
      <w:r w:rsidRPr="00FA0D37">
        <w:t>Event B2:</w:t>
      </w:r>
      <w:r w:rsidRPr="00FA0D37">
        <w:tab/>
        <w:t>PCell becomes worse than absolute threshold1 AND Neighbour becomes better than another absolute threshold2;</w:t>
      </w:r>
    </w:p>
    <w:p w14:paraId="697E8E71" w14:textId="77777777" w:rsidR="00BD2D2B" w:rsidRPr="00FA0D37" w:rsidRDefault="00BD2D2B" w:rsidP="00BD2D2B">
      <w:pPr>
        <w:pStyle w:val="B1"/>
      </w:pPr>
      <w:r w:rsidRPr="00FA0D37">
        <w:lastRenderedPageBreak/>
        <w:t>Event Y1: PCell becomes worse than absolute threshold1 AND candidate L2 U2N Relay UE becomes better than another absolute threshold2;</w:t>
      </w:r>
    </w:p>
    <w:p w14:paraId="01609CD3" w14:textId="372B7A50" w:rsidR="00394471" w:rsidRPr="00FA0D37" w:rsidRDefault="00BD2D2B" w:rsidP="00BD2D2B">
      <w:pPr>
        <w:pStyle w:val="B1"/>
      </w:pPr>
      <w:r w:rsidRPr="00FA0D37">
        <w:t>Event Y2: Candidate L2 U2N Relay UE becomes better than absolute threshold;</w:t>
      </w:r>
    </w:p>
    <w:p w14:paraId="726CEF97" w14:textId="77777777" w:rsidR="00394471" w:rsidRPr="00FA0D37" w:rsidRDefault="00394471" w:rsidP="00394471">
      <w:pPr>
        <w:pStyle w:val="TH"/>
      </w:pPr>
      <w:r w:rsidRPr="00FA0D37">
        <w:rPr>
          <w:bCs/>
          <w:i/>
          <w:iCs/>
        </w:rPr>
        <w:t>ReportConfigInterRAT</w:t>
      </w:r>
      <w:r w:rsidRPr="00FA0D37">
        <w:t xml:space="preserve"> information element</w:t>
      </w:r>
    </w:p>
    <w:p w14:paraId="583062C0" w14:textId="77777777" w:rsidR="00394471" w:rsidRPr="00FA0D37" w:rsidRDefault="00394471" w:rsidP="00FA0D37">
      <w:pPr>
        <w:pStyle w:val="PL"/>
        <w:rPr>
          <w:color w:val="808080"/>
        </w:rPr>
      </w:pPr>
      <w:r w:rsidRPr="00FA0D37">
        <w:rPr>
          <w:color w:val="808080"/>
        </w:rPr>
        <w:t>-- ASN1START</w:t>
      </w:r>
    </w:p>
    <w:p w14:paraId="53493E89" w14:textId="77777777" w:rsidR="00394471" w:rsidRPr="00FA0D37" w:rsidRDefault="00394471" w:rsidP="00FA0D37">
      <w:pPr>
        <w:pStyle w:val="PL"/>
        <w:rPr>
          <w:color w:val="808080"/>
        </w:rPr>
      </w:pPr>
      <w:r w:rsidRPr="00FA0D37">
        <w:rPr>
          <w:color w:val="808080"/>
        </w:rPr>
        <w:t>-- TAG-REPORTCONFIGINTERRAT-START</w:t>
      </w:r>
    </w:p>
    <w:p w14:paraId="3BF0DEFE" w14:textId="77777777" w:rsidR="00394471" w:rsidRPr="00FA0D37" w:rsidRDefault="00394471" w:rsidP="00FA0D37">
      <w:pPr>
        <w:pStyle w:val="PL"/>
      </w:pPr>
    </w:p>
    <w:p w14:paraId="22A78C38" w14:textId="77777777" w:rsidR="00394471" w:rsidRPr="00FA0D37" w:rsidRDefault="00394471" w:rsidP="00FA0D37">
      <w:pPr>
        <w:pStyle w:val="PL"/>
      </w:pPr>
      <w:r w:rsidRPr="00FA0D37">
        <w:t xml:space="preserve">ReportConfigInterRAT ::=                    </w:t>
      </w:r>
      <w:r w:rsidRPr="00FA0D37">
        <w:rPr>
          <w:color w:val="993366"/>
        </w:rPr>
        <w:t>SEQUENCE</w:t>
      </w:r>
      <w:r w:rsidRPr="00FA0D37">
        <w:t xml:space="preserve"> {</w:t>
      </w:r>
    </w:p>
    <w:p w14:paraId="10BB00EF" w14:textId="77777777" w:rsidR="00394471" w:rsidRPr="00FA0D37" w:rsidRDefault="00394471" w:rsidP="00FA0D37">
      <w:pPr>
        <w:pStyle w:val="PL"/>
      </w:pPr>
      <w:r w:rsidRPr="00FA0D37">
        <w:t xml:space="preserve">    reportType                                  </w:t>
      </w:r>
      <w:r w:rsidRPr="00FA0D37">
        <w:rPr>
          <w:color w:val="993366"/>
        </w:rPr>
        <w:t>CHOICE</w:t>
      </w:r>
      <w:r w:rsidRPr="00FA0D37">
        <w:t xml:space="preserve"> {</w:t>
      </w:r>
    </w:p>
    <w:p w14:paraId="711F9A54" w14:textId="77777777" w:rsidR="00394471" w:rsidRPr="00FA0D37" w:rsidRDefault="00394471" w:rsidP="00FA0D37">
      <w:pPr>
        <w:pStyle w:val="PL"/>
      </w:pPr>
      <w:r w:rsidRPr="00FA0D37">
        <w:t xml:space="preserve">        periodical                                  PeriodicalReportConfigInterRAT,</w:t>
      </w:r>
    </w:p>
    <w:p w14:paraId="6470699F" w14:textId="77777777" w:rsidR="00394471" w:rsidRPr="00FA0D37" w:rsidRDefault="00394471" w:rsidP="00FA0D37">
      <w:pPr>
        <w:pStyle w:val="PL"/>
      </w:pPr>
      <w:r w:rsidRPr="00FA0D37">
        <w:t xml:space="preserve">        eventTriggered                              EventTriggerConfigInterRAT,</w:t>
      </w:r>
    </w:p>
    <w:p w14:paraId="4790E230" w14:textId="77777777" w:rsidR="00394471" w:rsidRPr="00FA0D37" w:rsidRDefault="00394471" w:rsidP="00FA0D37">
      <w:pPr>
        <w:pStyle w:val="PL"/>
      </w:pPr>
      <w:r w:rsidRPr="00FA0D37">
        <w:t xml:space="preserve">        reportCGI                                   ReportCGI-EUTRA,</w:t>
      </w:r>
    </w:p>
    <w:p w14:paraId="1C4214B8" w14:textId="77777777" w:rsidR="00394471" w:rsidRPr="00FA0D37" w:rsidRDefault="00394471" w:rsidP="00FA0D37">
      <w:pPr>
        <w:pStyle w:val="PL"/>
      </w:pPr>
      <w:r w:rsidRPr="00FA0D37">
        <w:t xml:space="preserve">        ...,</w:t>
      </w:r>
    </w:p>
    <w:p w14:paraId="2E21A30C" w14:textId="77777777" w:rsidR="00394471" w:rsidRPr="00FA0D37" w:rsidRDefault="00394471" w:rsidP="00FA0D37">
      <w:pPr>
        <w:pStyle w:val="PL"/>
      </w:pPr>
      <w:r w:rsidRPr="00FA0D37">
        <w:t xml:space="preserve">        reportSFTD                                  ReportSFTD-EUTRA</w:t>
      </w:r>
    </w:p>
    <w:p w14:paraId="5B78D2C8" w14:textId="77777777" w:rsidR="00394471" w:rsidRPr="00FA0D37" w:rsidRDefault="00394471" w:rsidP="00FA0D37">
      <w:pPr>
        <w:pStyle w:val="PL"/>
      </w:pPr>
      <w:r w:rsidRPr="00FA0D37">
        <w:t xml:space="preserve">    }</w:t>
      </w:r>
    </w:p>
    <w:p w14:paraId="453B312D" w14:textId="77777777" w:rsidR="00394471" w:rsidRPr="00FA0D37" w:rsidRDefault="00394471" w:rsidP="00FA0D37">
      <w:pPr>
        <w:pStyle w:val="PL"/>
      </w:pPr>
      <w:r w:rsidRPr="00FA0D37">
        <w:t>}</w:t>
      </w:r>
    </w:p>
    <w:p w14:paraId="0ADA621E" w14:textId="77777777" w:rsidR="00394471" w:rsidRPr="00FA0D37" w:rsidRDefault="00394471" w:rsidP="00FA0D37">
      <w:pPr>
        <w:pStyle w:val="PL"/>
      </w:pPr>
    </w:p>
    <w:p w14:paraId="76F2D969" w14:textId="77777777" w:rsidR="00394471" w:rsidRPr="00FA0D37" w:rsidRDefault="00394471" w:rsidP="00FA0D37">
      <w:pPr>
        <w:pStyle w:val="PL"/>
      </w:pPr>
      <w:r w:rsidRPr="00FA0D37">
        <w:t xml:space="preserve">ReportCGI-EUTRA ::=                         </w:t>
      </w:r>
      <w:r w:rsidRPr="00FA0D37">
        <w:rPr>
          <w:color w:val="993366"/>
        </w:rPr>
        <w:t>SEQUENCE</w:t>
      </w:r>
      <w:r w:rsidRPr="00FA0D37">
        <w:t xml:space="preserve"> {</w:t>
      </w:r>
    </w:p>
    <w:p w14:paraId="5D8B7A0B" w14:textId="77777777" w:rsidR="00394471" w:rsidRPr="00FA0D37" w:rsidRDefault="00394471" w:rsidP="00FA0D37">
      <w:pPr>
        <w:pStyle w:val="PL"/>
      </w:pPr>
      <w:r w:rsidRPr="00FA0D37">
        <w:t xml:space="preserve">    cellForWhichToReportCGI         EUTRA-PhysCellId,</w:t>
      </w:r>
    </w:p>
    <w:p w14:paraId="4AD5DD39" w14:textId="77777777" w:rsidR="00394471" w:rsidRPr="00FA0D37" w:rsidRDefault="00394471" w:rsidP="00FA0D37">
      <w:pPr>
        <w:pStyle w:val="PL"/>
      </w:pPr>
      <w:r w:rsidRPr="00FA0D37">
        <w:t xml:space="preserve">    ...,</w:t>
      </w:r>
    </w:p>
    <w:p w14:paraId="0994BCC3" w14:textId="77777777" w:rsidR="00394471" w:rsidRPr="00FA0D37" w:rsidRDefault="00394471" w:rsidP="00FA0D37">
      <w:pPr>
        <w:pStyle w:val="PL"/>
      </w:pPr>
      <w:r w:rsidRPr="00FA0D37">
        <w:t xml:space="preserve">    [[</w:t>
      </w:r>
    </w:p>
    <w:p w14:paraId="2A1A2B48" w14:textId="77777777" w:rsidR="00394471" w:rsidRPr="00FA0D37" w:rsidRDefault="00394471" w:rsidP="00FA0D37">
      <w:pPr>
        <w:pStyle w:val="PL"/>
        <w:rPr>
          <w:color w:val="808080"/>
        </w:rPr>
      </w:pPr>
      <w:r w:rsidRPr="00FA0D37">
        <w:t xml:space="preserve">    useAutonomousGaps-r16           </w:t>
      </w:r>
      <w:r w:rsidRPr="00FA0D37">
        <w:rPr>
          <w:color w:val="993366"/>
        </w:rPr>
        <w:t>ENUMERATED</w:t>
      </w:r>
      <w:r w:rsidRPr="00FA0D37">
        <w:t xml:space="preserve"> {setup}                </w:t>
      </w:r>
      <w:r w:rsidRPr="00FA0D37">
        <w:rPr>
          <w:color w:val="993366"/>
        </w:rPr>
        <w:t>OPTIONAL</w:t>
      </w:r>
      <w:r w:rsidRPr="00FA0D37">
        <w:t xml:space="preserve">     </w:t>
      </w:r>
      <w:r w:rsidRPr="00FA0D37">
        <w:rPr>
          <w:color w:val="808080"/>
        </w:rPr>
        <w:t>-- Need R</w:t>
      </w:r>
    </w:p>
    <w:p w14:paraId="48FB239A" w14:textId="77777777" w:rsidR="00394471" w:rsidRPr="00FA0D37" w:rsidRDefault="00394471" w:rsidP="00FA0D37">
      <w:pPr>
        <w:pStyle w:val="PL"/>
      </w:pPr>
      <w:r w:rsidRPr="00FA0D37">
        <w:t xml:space="preserve">    ]]</w:t>
      </w:r>
    </w:p>
    <w:p w14:paraId="6591987E" w14:textId="77777777" w:rsidR="00394471" w:rsidRPr="00FA0D37" w:rsidRDefault="00394471" w:rsidP="00FA0D37">
      <w:pPr>
        <w:pStyle w:val="PL"/>
      </w:pPr>
      <w:r w:rsidRPr="00FA0D37">
        <w:t>}</w:t>
      </w:r>
    </w:p>
    <w:p w14:paraId="1D9419E7" w14:textId="77777777" w:rsidR="00394471" w:rsidRPr="00FA0D37" w:rsidRDefault="00394471" w:rsidP="00FA0D37">
      <w:pPr>
        <w:pStyle w:val="PL"/>
      </w:pPr>
    </w:p>
    <w:p w14:paraId="55B27D9F" w14:textId="77777777" w:rsidR="00394471" w:rsidRPr="00FA0D37" w:rsidRDefault="00394471" w:rsidP="00FA0D37">
      <w:pPr>
        <w:pStyle w:val="PL"/>
      </w:pPr>
      <w:r w:rsidRPr="00FA0D37">
        <w:t xml:space="preserve">ReportSFTD-EUTRA ::=                     </w:t>
      </w:r>
      <w:r w:rsidRPr="00FA0D37">
        <w:rPr>
          <w:color w:val="993366"/>
        </w:rPr>
        <w:t>SEQUENCE</w:t>
      </w:r>
      <w:r w:rsidRPr="00FA0D37">
        <w:t xml:space="preserve"> {</w:t>
      </w:r>
    </w:p>
    <w:p w14:paraId="3B8A1A46" w14:textId="77777777" w:rsidR="00394471" w:rsidRPr="00FA0D37" w:rsidRDefault="00394471" w:rsidP="00FA0D37">
      <w:pPr>
        <w:pStyle w:val="PL"/>
      </w:pPr>
      <w:r w:rsidRPr="00FA0D37">
        <w:t xml:space="preserve">    reportSFTD-Meas                            </w:t>
      </w:r>
      <w:r w:rsidRPr="00FA0D37">
        <w:rPr>
          <w:color w:val="993366"/>
        </w:rPr>
        <w:t>BOOLEAN</w:t>
      </w:r>
      <w:r w:rsidRPr="00FA0D37">
        <w:t>,</w:t>
      </w:r>
    </w:p>
    <w:p w14:paraId="3C1EBD48" w14:textId="77777777" w:rsidR="00394471" w:rsidRPr="00FA0D37" w:rsidRDefault="00394471" w:rsidP="00FA0D37">
      <w:pPr>
        <w:pStyle w:val="PL"/>
      </w:pPr>
      <w:r w:rsidRPr="00FA0D37">
        <w:t xml:space="preserve">    reportRSRP                                 </w:t>
      </w:r>
      <w:r w:rsidRPr="00FA0D37">
        <w:rPr>
          <w:color w:val="993366"/>
        </w:rPr>
        <w:t>BOOLEAN</w:t>
      </w:r>
      <w:r w:rsidRPr="00FA0D37">
        <w:t>,</w:t>
      </w:r>
    </w:p>
    <w:p w14:paraId="0250426F" w14:textId="77777777" w:rsidR="00394471" w:rsidRPr="00FA0D37" w:rsidRDefault="00394471" w:rsidP="00FA0D37">
      <w:pPr>
        <w:pStyle w:val="PL"/>
      </w:pPr>
      <w:r w:rsidRPr="00FA0D37">
        <w:t xml:space="preserve">    ...</w:t>
      </w:r>
    </w:p>
    <w:p w14:paraId="5C11568B" w14:textId="77777777" w:rsidR="00394471" w:rsidRPr="00FA0D37" w:rsidRDefault="00394471" w:rsidP="00FA0D37">
      <w:pPr>
        <w:pStyle w:val="PL"/>
      </w:pPr>
      <w:r w:rsidRPr="00FA0D37">
        <w:t>}</w:t>
      </w:r>
    </w:p>
    <w:p w14:paraId="2031F183" w14:textId="77777777" w:rsidR="00394471" w:rsidRPr="00FA0D37" w:rsidRDefault="00394471" w:rsidP="00FA0D37">
      <w:pPr>
        <w:pStyle w:val="PL"/>
      </w:pPr>
    </w:p>
    <w:p w14:paraId="370ADEFF" w14:textId="77777777" w:rsidR="00394471" w:rsidRPr="00FA0D37" w:rsidRDefault="00394471" w:rsidP="00FA0D37">
      <w:pPr>
        <w:pStyle w:val="PL"/>
      </w:pPr>
      <w:r w:rsidRPr="00FA0D37">
        <w:t xml:space="preserve">EventTriggerConfigInterRAT ::=              </w:t>
      </w:r>
      <w:r w:rsidRPr="00FA0D37">
        <w:rPr>
          <w:color w:val="993366"/>
        </w:rPr>
        <w:t>SEQUENCE</w:t>
      </w:r>
      <w:r w:rsidRPr="00FA0D37">
        <w:t xml:space="preserve"> {</w:t>
      </w:r>
    </w:p>
    <w:p w14:paraId="37199D27" w14:textId="77777777" w:rsidR="00394471" w:rsidRPr="00FA0D37" w:rsidRDefault="00394471" w:rsidP="00FA0D37">
      <w:pPr>
        <w:pStyle w:val="PL"/>
      </w:pPr>
      <w:r w:rsidRPr="00FA0D37">
        <w:t xml:space="preserve">    eventId                                     </w:t>
      </w:r>
      <w:r w:rsidRPr="00FA0D37">
        <w:rPr>
          <w:color w:val="993366"/>
        </w:rPr>
        <w:t>CHOICE</w:t>
      </w:r>
      <w:r w:rsidRPr="00FA0D37">
        <w:t xml:space="preserve"> {</w:t>
      </w:r>
    </w:p>
    <w:p w14:paraId="6CAEA3B4" w14:textId="77777777" w:rsidR="00394471" w:rsidRPr="00FA0D37" w:rsidRDefault="00394471" w:rsidP="00FA0D37">
      <w:pPr>
        <w:pStyle w:val="PL"/>
      </w:pPr>
      <w:r w:rsidRPr="00FA0D37">
        <w:t xml:space="preserve">        eventB1                                     </w:t>
      </w:r>
      <w:r w:rsidRPr="00FA0D37">
        <w:rPr>
          <w:color w:val="993366"/>
        </w:rPr>
        <w:t>SEQUENCE</w:t>
      </w:r>
      <w:r w:rsidRPr="00FA0D37">
        <w:t xml:space="preserve"> {</w:t>
      </w:r>
    </w:p>
    <w:p w14:paraId="02CB159F" w14:textId="77777777" w:rsidR="00394471" w:rsidRPr="00FA0D37" w:rsidRDefault="00394471" w:rsidP="00FA0D37">
      <w:pPr>
        <w:pStyle w:val="PL"/>
      </w:pPr>
      <w:r w:rsidRPr="00FA0D37">
        <w:t xml:space="preserve">            b1-ThresholdEUTRA                           MeasTriggerQuantityEUTRA,</w:t>
      </w:r>
    </w:p>
    <w:p w14:paraId="44093786" w14:textId="77777777" w:rsidR="00394471" w:rsidRPr="00FA0D37" w:rsidRDefault="00394471" w:rsidP="00FA0D37">
      <w:pPr>
        <w:pStyle w:val="PL"/>
      </w:pPr>
      <w:r w:rsidRPr="00FA0D37">
        <w:t xml:space="preserve">            reportOnLeave                               </w:t>
      </w:r>
      <w:r w:rsidRPr="00FA0D37">
        <w:rPr>
          <w:color w:val="993366"/>
        </w:rPr>
        <w:t>BOOLEAN</w:t>
      </w:r>
      <w:r w:rsidRPr="00FA0D37">
        <w:t>,</w:t>
      </w:r>
    </w:p>
    <w:p w14:paraId="30A3E374" w14:textId="77777777" w:rsidR="00394471" w:rsidRPr="00FA0D37" w:rsidRDefault="00394471" w:rsidP="00FA0D37">
      <w:pPr>
        <w:pStyle w:val="PL"/>
      </w:pPr>
      <w:r w:rsidRPr="00FA0D37">
        <w:t xml:space="preserve">            hysteresis                                  Hysteresis,</w:t>
      </w:r>
    </w:p>
    <w:p w14:paraId="1A59A678" w14:textId="77777777" w:rsidR="00394471" w:rsidRPr="00FA0D37" w:rsidRDefault="00394471" w:rsidP="00FA0D37">
      <w:pPr>
        <w:pStyle w:val="PL"/>
      </w:pPr>
      <w:r w:rsidRPr="00FA0D37">
        <w:t xml:space="preserve">            timeToTrigger                               TimeToTrigger,</w:t>
      </w:r>
    </w:p>
    <w:p w14:paraId="7C540E73" w14:textId="77777777" w:rsidR="00394471" w:rsidRPr="00FA0D37" w:rsidRDefault="00394471" w:rsidP="00FA0D37">
      <w:pPr>
        <w:pStyle w:val="PL"/>
      </w:pPr>
      <w:r w:rsidRPr="00FA0D37">
        <w:t xml:space="preserve">            ...</w:t>
      </w:r>
    </w:p>
    <w:p w14:paraId="3FBB4F35" w14:textId="77777777" w:rsidR="00394471" w:rsidRPr="00FA0D37" w:rsidRDefault="00394471" w:rsidP="00FA0D37">
      <w:pPr>
        <w:pStyle w:val="PL"/>
      </w:pPr>
      <w:r w:rsidRPr="00FA0D37">
        <w:t xml:space="preserve">        },</w:t>
      </w:r>
    </w:p>
    <w:p w14:paraId="0FDA80CB" w14:textId="77777777" w:rsidR="00394471" w:rsidRPr="00FA0D37" w:rsidRDefault="00394471" w:rsidP="00FA0D37">
      <w:pPr>
        <w:pStyle w:val="PL"/>
      </w:pPr>
      <w:r w:rsidRPr="00FA0D37">
        <w:t xml:space="preserve">        eventB2                                     </w:t>
      </w:r>
      <w:r w:rsidRPr="00FA0D37">
        <w:rPr>
          <w:color w:val="993366"/>
        </w:rPr>
        <w:t>SEQUENCE</w:t>
      </w:r>
      <w:r w:rsidRPr="00FA0D37">
        <w:t xml:space="preserve"> {</w:t>
      </w:r>
    </w:p>
    <w:p w14:paraId="4C8BABBC" w14:textId="77777777" w:rsidR="00394471" w:rsidRPr="00FA0D37" w:rsidRDefault="00394471" w:rsidP="00FA0D37">
      <w:pPr>
        <w:pStyle w:val="PL"/>
      </w:pPr>
      <w:r w:rsidRPr="00FA0D37">
        <w:t xml:space="preserve">            b2-Threshold1                               MeasTriggerQuantity,</w:t>
      </w:r>
    </w:p>
    <w:p w14:paraId="254829C9" w14:textId="77777777" w:rsidR="00394471" w:rsidRPr="00FA0D37" w:rsidRDefault="00394471" w:rsidP="00FA0D37">
      <w:pPr>
        <w:pStyle w:val="PL"/>
      </w:pPr>
      <w:r w:rsidRPr="00FA0D37">
        <w:t xml:space="preserve">            b2-Threshold2EUTRA                          MeasTriggerQuantityEUTRA,</w:t>
      </w:r>
    </w:p>
    <w:p w14:paraId="5C77B95E" w14:textId="77777777" w:rsidR="00394471" w:rsidRPr="00FA0D37" w:rsidRDefault="00394471" w:rsidP="00FA0D37">
      <w:pPr>
        <w:pStyle w:val="PL"/>
      </w:pPr>
      <w:r w:rsidRPr="00FA0D37">
        <w:t xml:space="preserve">            reportOnLeave                               </w:t>
      </w:r>
      <w:r w:rsidRPr="00FA0D37">
        <w:rPr>
          <w:color w:val="993366"/>
        </w:rPr>
        <w:t>BOOLEAN</w:t>
      </w:r>
      <w:r w:rsidRPr="00FA0D37">
        <w:t>,</w:t>
      </w:r>
    </w:p>
    <w:p w14:paraId="780F3193" w14:textId="77777777" w:rsidR="00394471" w:rsidRPr="00FA0D37" w:rsidRDefault="00394471" w:rsidP="00FA0D37">
      <w:pPr>
        <w:pStyle w:val="PL"/>
      </w:pPr>
      <w:r w:rsidRPr="00FA0D37">
        <w:t xml:space="preserve">            hysteresis                                  Hysteresis,</w:t>
      </w:r>
    </w:p>
    <w:p w14:paraId="79EDB9DA" w14:textId="77777777" w:rsidR="00394471" w:rsidRPr="00FA0D37" w:rsidRDefault="00394471" w:rsidP="00FA0D37">
      <w:pPr>
        <w:pStyle w:val="PL"/>
      </w:pPr>
      <w:r w:rsidRPr="00FA0D37">
        <w:t xml:space="preserve">            timeToTrigger                               TimeToTrigger,</w:t>
      </w:r>
    </w:p>
    <w:p w14:paraId="2FFFDE4D" w14:textId="77777777" w:rsidR="00394471" w:rsidRPr="00FA0D37" w:rsidRDefault="00394471" w:rsidP="00FA0D37">
      <w:pPr>
        <w:pStyle w:val="PL"/>
      </w:pPr>
      <w:r w:rsidRPr="00FA0D37">
        <w:t xml:space="preserve">            ...</w:t>
      </w:r>
    </w:p>
    <w:p w14:paraId="05FFFE6D" w14:textId="77777777" w:rsidR="00394471" w:rsidRPr="00FA0D37" w:rsidRDefault="00394471" w:rsidP="00FA0D37">
      <w:pPr>
        <w:pStyle w:val="PL"/>
      </w:pPr>
      <w:r w:rsidRPr="00FA0D37">
        <w:t xml:space="preserve">        },</w:t>
      </w:r>
    </w:p>
    <w:p w14:paraId="48D055E4" w14:textId="77777777" w:rsidR="00394471" w:rsidRPr="00FA0D37" w:rsidRDefault="00394471" w:rsidP="00FA0D37">
      <w:pPr>
        <w:pStyle w:val="PL"/>
      </w:pPr>
      <w:r w:rsidRPr="00FA0D37">
        <w:lastRenderedPageBreak/>
        <w:t xml:space="preserve">        ...,</w:t>
      </w:r>
    </w:p>
    <w:p w14:paraId="7B7BF1CD" w14:textId="77777777" w:rsidR="00394471" w:rsidRPr="00FA0D37" w:rsidRDefault="00394471" w:rsidP="00FA0D37">
      <w:pPr>
        <w:pStyle w:val="PL"/>
      </w:pPr>
      <w:r w:rsidRPr="00FA0D37">
        <w:t xml:space="preserve">        [[</w:t>
      </w:r>
    </w:p>
    <w:p w14:paraId="5CF84DD7" w14:textId="77777777" w:rsidR="00394471" w:rsidRPr="00FA0D37" w:rsidRDefault="00394471" w:rsidP="00FA0D37">
      <w:pPr>
        <w:pStyle w:val="PL"/>
      </w:pPr>
      <w:r w:rsidRPr="00FA0D37">
        <w:t xml:space="preserve">        eventB1-UTRA-FDD-r16                         </w:t>
      </w:r>
      <w:r w:rsidRPr="00FA0D37">
        <w:rPr>
          <w:color w:val="993366"/>
        </w:rPr>
        <w:t>SEQUENCE</w:t>
      </w:r>
      <w:r w:rsidRPr="00FA0D37">
        <w:t xml:space="preserve"> {</w:t>
      </w:r>
    </w:p>
    <w:p w14:paraId="3CCF216C" w14:textId="77777777" w:rsidR="00394471" w:rsidRPr="00FA0D37" w:rsidRDefault="00394471" w:rsidP="00FA0D37">
      <w:pPr>
        <w:pStyle w:val="PL"/>
      </w:pPr>
      <w:r w:rsidRPr="00FA0D37">
        <w:t xml:space="preserve">            b1-ThresholdUTRA-FDD-r16                    MeasTriggerQuantityUTRA-FDD-r16,</w:t>
      </w:r>
    </w:p>
    <w:p w14:paraId="714210C9" w14:textId="77777777" w:rsidR="00394471" w:rsidRPr="00FA0D37" w:rsidRDefault="00394471" w:rsidP="00FA0D37">
      <w:pPr>
        <w:pStyle w:val="PL"/>
      </w:pPr>
      <w:r w:rsidRPr="00FA0D37">
        <w:t xml:space="preserve">            reportOnLeave-r16                           </w:t>
      </w:r>
      <w:r w:rsidRPr="00FA0D37">
        <w:rPr>
          <w:color w:val="993366"/>
        </w:rPr>
        <w:t>BOOLEAN</w:t>
      </w:r>
      <w:r w:rsidRPr="00FA0D37">
        <w:t>,</w:t>
      </w:r>
    </w:p>
    <w:p w14:paraId="0E8AE615" w14:textId="77777777" w:rsidR="00394471" w:rsidRPr="00FA0D37" w:rsidRDefault="00394471" w:rsidP="00FA0D37">
      <w:pPr>
        <w:pStyle w:val="PL"/>
      </w:pPr>
      <w:r w:rsidRPr="00FA0D37">
        <w:t xml:space="preserve">            hysteresis-r16                              Hysteresis,</w:t>
      </w:r>
    </w:p>
    <w:p w14:paraId="01A97F3C" w14:textId="77777777" w:rsidR="00394471" w:rsidRPr="00FA0D37" w:rsidRDefault="00394471" w:rsidP="00FA0D37">
      <w:pPr>
        <w:pStyle w:val="PL"/>
      </w:pPr>
      <w:r w:rsidRPr="00FA0D37">
        <w:t xml:space="preserve">            timeToTrigger-r16                           TimeToTrigger,</w:t>
      </w:r>
    </w:p>
    <w:p w14:paraId="5E82DED6" w14:textId="77777777" w:rsidR="00394471" w:rsidRPr="00FA0D37" w:rsidRDefault="00394471" w:rsidP="00FA0D37">
      <w:pPr>
        <w:pStyle w:val="PL"/>
      </w:pPr>
      <w:r w:rsidRPr="00FA0D37">
        <w:t xml:space="preserve">            ...</w:t>
      </w:r>
    </w:p>
    <w:p w14:paraId="5DABA0DE" w14:textId="77777777" w:rsidR="00394471" w:rsidRPr="00FA0D37" w:rsidRDefault="00394471" w:rsidP="00FA0D37">
      <w:pPr>
        <w:pStyle w:val="PL"/>
      </w:pPr>
      <w:r w:rsidRPr="00FA0D37">
        <w:t xml:space="preserve">        },</w:t>
      </w:r>
    </w:p>
    <w:p w14:paraId="1C4743E3" w14:textId="77777777" w:rsidR="00394471" w:rsidRPr="00FA0D37" w:rsidRDefault="00394471" w:rsidP="00FA0D37">
      <w:pPr>
        <w:pStyle w:val="PL"/>
      </w:pPr>
      <w:r w:rsidRPr="00FA0D37">
        <w:t xml:space="preserve">        eventB2-UTRA-FDD-r16                         </w:t>
      </w:r>
      <w:r w:rsidRPr="00FA0D37">
        <w:rPr>
          <w:color w:val="993366"/>
        </w:rPr>
        <w:t>SEQUENCE</w:t>
      </w:r>
      <w:r w:rsidRPr="00FA0D37">
        <w:t xml:space="preserve"> {</w:t>
      </w:r>
    </w:p>
    <w:p w14:paraId="750409C5" w14:textId="77777777" w:rsidR="00394471" w:rsidRPr="00FA0D37" w:rsidRDefault="00394471" w:rsidP="00FA0D37">
      <w:pPr>
        <w:pStyle w:val="PL"/>
      </w:pPr>
      <w:r w:rsidRPr="00FA0D37">
        <w:t xml:space="preserve">            b2-Threshold1-r16                           MeasTriggerQuantity,</w:t>
      </w:r>
    </w:p>
    <w:p w14:paraId="36F7AE26" w14:textId="77777777" w:rsidR="00394471" w:rsidRPr="00FA0D37" w:rsidRDefault="00394471" w:rsidP="00FA0D37">
      <w:pPr>
        <w:pStyle w:val="PL"/>
      </w:pPr>
      <w:r w:rsidRPr="00FA0D37">
        <w:t xml:space="preserve">            b2-Threshold2UTRA-FDD-r16                   MeasTriggerQuantityUTRA-FDD-r16,</w:t>
      </w:r>
    </w:p>
    <w:p w14:paraId="56E0AAB7" w14:textId="77777777" w:rsidR="00394471" w:rsidRPr="00FA0D37" w:rsidRDefault="00394471" w:rsidP="00FA0D37">
      <w:pPr>
        <w:pStyle w:val="PL"/>
      </w:pPr>
      <w:r w:rsidRPr="00FA0D37">
        <w:t xml:space="preserve">            reportOnLeave-r16                           </w:t>
      </w:r>
      <w:r w:rsidRPr="00FA0D37">
        <w:rPr>
          <w:color w:val="993366"/>
        </w:rPr>
        <w:t>BOOLEAN</w:t>
      </w:r>
      <w:r w:rsidRPr="00FA0D37">
        <w:t>,</w:t>
      </w:r>
    </w:p>
    <w:p w14:paraId="04021031" w14:textId="77777777" w:rsidR="00394471" w:rsidRPr="00FA0D37" w:rsidRDefault="00394471" w:rsidP="00FA0D37">
      <w:pPr>
        <w:pStyle w:val="PL"/>
      </w:pPr>
      <w:r w:rsidRPr="00FA0D37">
        <w:t xml:space="preserve">            hysteresis-r16                              Hysteresis,</w:t>
      </w:r>
    </w:p>
    <w:p w14:paraId="5E33D5E1" w14:textId="77777777" w:rsidR="00394471" w:rsidRPr="00FA0D37" w:rsidRDefault="00394471" w:rsidP="00FA0D37">
      <w:pPr>
        <w:pStyle w:val="PL"/>
      </w:pPr>
      <w:r w:rsidRPr="00FA0D37">
        <w:t xml:space="preserve">            timeToTrigger-r16                           TimeToTrigger,</w:t>
      </w:r>
    </w:p>
    <w:p w14:paraId="05A10DC8" w14:textId="77777777" w:rsidR="00394471" w:rsidRPr="00FA0D37" w:rsidRDefault="00394471" w:rsidP="00FA0D37">
      <w:pPr>
        <w:pStyle w:val="PL"/>
      </w:pPr>
      <w:r w:rsidRPr="00FA0D37">
        <w:t xml:space="preserve">            ...</w:t>
      </w:r>
    </w:p>
    <w:p w14:paraId="0E9A5A7F" w14:textId="77777777" w:rsidR="00394471" w:rsidRPr="00FA0D37" w:rsidRDefault="00394471" w:rsidP="00FA0D37">
      <w:pPr>
        <w:pStyle w:val="PL"/>
      </w:pPr>
      <w:r w:rsidRPr="00FA0D37">
        <w:t xml:space="preserve">        }</w:t>
      </w:r>
    </w:p>
    <w:p w14:paraId="422F8374" w14:textId="0F5298EE" w:rsidR="00BD2D2B" w:rsidRPr="00FA0D37" w:rsidRDefault="00394471" w:rsidP="00FA0D37">
      <w:pPr>
        <w:pStyle w:val="PL"/>
      </w:pPr>
      <w:r w:rsidRPr="00FA0D37">
        <w:t xml:space="preserve">        ]]</w:t>
      </w:r>
      <w:r w:rsidR="00BD2D2B" w:rsidRPr="00FA0D37">
        <w:t>,</w:t>
      </w:r>
    </w:p>
    <w:p w14:paraId="33D2C305" w14:textId="77777777" w:rsidR="00BD2D2B" w:rsidRPr="00FA0D37" w:rsidRDefault="00BD2D2B" w:rsidP="00FA0D37">
      <w:pPr>
        <w:pStyle w:val="PL"/>
      </w:pPr>
      <w:r w:rsidRPr="00FA0D37">
        <w:t xml:space="preserve">        [[</w:t>
      </w:r>
    </w:p>
    <w:p w14:paraId="37907467" w14:textId="090D748B" w:rsidR="00BD2D2B" w:rsidRPr="00FA0D37" w:rsidRDefault="00BD2D2B" w:rsidP="00FA0D37">
      <w:pPr>
        <w:pStyle w:val="PL"/>
      </w:pPr>
      <w:r w:rsidRPr="00FA0D37">
        <w:t xml:space="preserve">        eventY1-Relay-r17                            </w:t>
      </w:r>
      <w:r w:rsidRPr="00FA0D37">
        <w:rPr>
          <w:color w:val="993366"/>
        </w:rPr>
        <w:t>SEQUENCE</w:t>
      </w:r>
      <w:r w:rsidRPr="00FA0D37">
        <w:t xml:space="preserve"> {</w:t>
      </w:r>
    </w:p>
    <w:p w14:paraId="3BCE683D" w14:textId="2883EF85" w:rsidR="00BD2D2B" w:rsidRPr="00FA0D37" w:rsidRDefault="00BD2D2B" w:rsidP="00FA0D37">
      <w:pPr>
        <w:pStyle w:val="PL"/>
      </w:pPr>
      <w:r w:rsidRPr="00FA0D37">
        <w:t xml:space="preserve">            y1-Threshold1-r17                            MeasTriggerQuantity,</w:t>
      </w:r>
    </w:p>
    <w:p w14:paraId="7881B74F" w14:textId="68F8905D" w:rsidR="00BD2D2B" w:rsidRPr="00FA0D37" w:rsidRDefault="00BD2D2B" w:rsidP="00FA0D37">
      <w:pPr>
        <w:pStyle w:val="PL"/>
      </w:pPr>
      <w:r w:rsidRPr="00FA0D37">
        <w:t xml:space="preserve">            y1-Threshold2-Relay-r17                      SL-MeasTriggerQuantity</w:t>
      </w:r>
      <w:r w:rsidR="002D7FAF" w:rsidRPr="00FA0D37">
        <w:t>-r16</w:t>
      </w:r>
      <w:r w:rsidRPr="00FA0D37">
        <w:t>,</w:t>
      </w:r>
    </w:p>
    <w:p w14:paraId="23625906" w14:textId="45BE3C36" w:rsidR="00BD2D2B" w:rsidRPr="00FA0D37" w:rsidRDefault="00BD2D2B" w:rsidP="00FA0D37">
      <w:pPr>
        <w:pStyle w:val="PL"/>
      </w:pPr>
      <w:r w:rsidRPr="00FA0D37">
        <w:t xml:space="preserve">            reportOnLeave-r17                            </w:t>
      </w:r>
      <w:r w:rsidRPr="00FA0D37">
        <w:rPr>
          <w:color w:val="993366"/>
        </w:rPr>
        <w:t>BOOLEAN</w:t>
      </w:r>
      <w:r w:rsidRPr="00FA0D37">
        <w:t>,</w:t>
      </w:r>
    </w:p>
    <w:p w14:paraId="0EFDF075" w14:textId="3F31F54A" w:rsidR="00BD2D2B" w:rsidRPr="00FA0D37" w:rsidRDefault="00BD2D2B" w:rsidP="00FA0D37">
      <w:pPr>
        <w:pStyle w:val="PL"/>
      </w:pPr>
      <w:r w:rsidRPr="00FA0D37">
        <w:t xml:space="preserve">            hysteresis-r17                               Hysteresis,</w:t>
      </w:r>
    </w:p>
    <w:p w14:paraId="3EFE719A" w14:textId="74E2893C" w:rsidR="00BD2D2B" w:rsidRPr="00FA0D37" w:rsidRDefault="00BD2D2B" w:rsidP="00FA0D37">
      <w:pPr>
        <w:pStyle w:val="PL"/>
      </w:pPr>
      <w:r w:rsidRPr="00FA0D37">
        <w:t xml:space="preserve">            timeToTrigger-r17                            TimeToTrigger,</w:t>
      </w:r>
    </w:p>
    <w:p w14:paraId="4258E428" w14:textId="77777777" w:rsidR="00BD2D2B" w:rsidRPr="00FA0D37" w:rsidRDefault="00BD2D2B" w:rsidP="00FA0D37">
      <w:pPr>
        <w:pStyle w:val="PL"/>
      </w:pPr>
      <w:r w:rsidRPr="00FA0D37">
        <w:t xml:space="preserve">            ...</w:t>
      </w:r>
    </w:p>
    <w:p w14:paraId="6735A9BF" w14:textId="77777777" w:rsidR="00BD2D2B" w:rsidRPr="00FA0D37" w:rsidRDefault="00BD2D2B" w:rsidP="00FA0D37">
      <w:pPr>
        <w:pStyle w:val="PL"/>
      </w:pPr>
      <w:r w:rsidRPr="00FA0D37">
        <w:t xml:space="preserve">        },</w:t>
      </w:r>
    </w:p>
    <w:p w14:paraId="10BDEEB7" w14:textId="0B738D52" w:rsidR="00BD2D2B" w:rsidRPr="00FA0D37" w:rsidRDefault="00BD2D2B" w:rsidP="00FA0D37">
      <w:pPr>
        <w:pStyle w:val="PL"/>
      </w:pPr>
      <w:r w:rsidRPr="00FA0D37">
        <w:t xml:space="preserve">        eventY2-Relay-r17                            </w:t>
      </w:r>
      <w:r w:rsidRPr="00FA0D37">
        <w:rPr>
          <w:color w:val="993366"/>
        </w:rPr>
        <w:t>SEQUENCE</w:t>
      </w:r>
      <w:r w:rsidRPr="00FA0D37">
        <w:t xml:space="preserve"> {</w:t>
      </w:r>
    </w:p>
    <w:p w14:paraId="617B8C4A" w14:textId="0BD5DFE2" w:rsidR="00BD2D2B" w:rsidRPr="00FA0D37" w:rsidRDefault="00BD2D2B" w:rsidP="00FA0D37">
      <w:pPr>
        <w:pStyle w:val="PL"/>
      </w:pPr>
      <w:r w:rsidRPr="00FA0D37">
        <w:t xml:space="preserve">            y2-Threshold-Relay-r17                       SL-MeasTriggerQuantity</w:t>
      </w:r>
      <w:r w:rsidR="002D7FAF" w:rsidRPr="00FA0D37">
        <w:t>-r16</w:t>
      </w:r>
      <w:r w:rsidRPr="00FA0D37">
        <w:t>,</w:t>
      </w:r>
    </w:p>
    <w:p w14:paraId="5BC1DA5B" w14:textId="53A0CED7" w:rsidR="00BD2D2B" w:rsidRPr="00FA0D37" w:rsidRDefault="00BD2D2B" w:rsidP="00FA0D37">
      <w:pPr>
        <w:pStyle w:val="PL"/>
      </w:pPr>
      <w:r w:rsidRPr="00FA0D37">
        <w:t xml:space="preserve">            reportOnLeave-r17                            </w:t>
      </w:r>
      <w:r w:rsidRPr="00FA0D37">
        <w:rPr>
          <w:color w:val="993366"/>
        </w:rPr>
        <w:t>BOOLEAN</w:t>
      </w:r>
      <w:r w:rsidRPr="00FA0D37">
        <w:t>,</w:t>
      </w:r>
    </w:p>
    <w:p w14:paraId="36E2CF58" w14:textId="7C7654A5" w:rsidR="00BD2D2B" w:rsidRPr="00FA0D37" w:rsidRDefault="00BD2D2B" w:rsidP="00FA0D37">
      <w:pPr>
        <w:pStyle w:val="PL"/>
      </w:pPr>
      <w:r w:rsidRPr="00FA0D37">
        <w:t xml:space="preserve">            hysteresis-r17                               Hysteresis,</w:t>
      </w:r>
    </w:p>
    <w:p w14:paraId="3639273B" w14:textId="7800893B" w:rsidR="00BD2D2B" w:rsidRPr="00FA0D37" w:rsidRDefault="00BD2D2B" w:rsidP="00FA0D37">
      <w:pPr>
        <w:pStyle w:val="PL"/>
      </w:pPr>
      <w:r w:rsidRPr="00FA0D37">
        <w:t xml:space="preserve">            timeToTrigger-r17                            TimeToTrigger,</w:t>
      </w:r>
    </w:p>
    <w:p w14:paraId="49A2C81E" w14:textId="77777777" w:rsidR="00BD2D2B" w:rsidRPr="00FA0D37" w:rsidRDefault="00BD2D2B" w:rsidP="00FA0D37">
      <w:pPr>
        <w:pStyle w:val="PL"/>
      </w:pPr>
      <w:r w:rsidRPr="00FA0D37">
        <w:t xml:space="preserve">            ...</w:t>
      </w:r>
    </w:p>
    <w:p w14:paraId="04E3FDE5" w14:textId="77777777" w:rsidR="00BD2D2B" w:rsidRPr="00FA0D37" w:rsidRDefault="00BD2D2B" w:rsidP="00FA0D37">
      <w:pPr>
        <w:pStyle w:val="PL"/>
      </w:pPr>
      <w:r w:rsidRPr="00FA0D37">
        <w:t xml:space="preserve">        }</w:t>
      </w:r>
    </w:p>
    <w:p w14:paraId="528E6D63" w14:textId="398FE93F" w:rsidR="00394471" w:rsidRPr="00FA0D37" w:rsidRDefault="00BD2D2B" w:rsidP="00FA0D37">
      <w:pPr>
        <w:pStyle w:val="PL"/>
      </w:pPr>
      <w:r w:rsidRPr="00FA0D37">
        <w:t xml:space="preserve">       ]]</w:t>
      </w:r>
    </w:p>
    <w:p w14:paraId="3D075218" w14:textId="77777777" w:rsidR="00394471" w:rsidRPr="00FA0D37" w:rsidRDefault="00394471" w:rsidP="00FA0D37">
      <w:pPr>
        <w:pStyle w:val="PL"/>
      </w:pPr>
      <w:r w:rsidRPr="00FA0D37">
        <w:t xml:space="preserve">    },</w:t>
      </w:r>
    </w:p>
    <w:p w14:paraId="5CE54878" w14:textId="77777777" w:rsidR="00394471" w:rsidRPr="00FA0D37" w:rsidRDefault="00394471" w:rsidP="00FA0D37">
      <w:pPr>
        <w:pStyle w:val="PL"/>
      </w:pPr>
      <w:r w:rsidRPr="00FA0D37">
        <w:t xml:space="preserve">    rsType                              NR-RS-Type,</w:t>
      </w:r>
    </w:p>
    <w:p w14:paraId="631A170E" w14:textId="77777777" w:rsidR="00394471" w:rsidRPr="00FA0D37" w:rsidRDefault="00394471" w:rsidP="00FA0D37">
      <w:pPr>
        <w:pStyle w:val="PL"/>
      </w:pPr>
    </w:p>
    <w:p w14:paraId="7AF370C3" w14:textId="77777777" w:rsidR="00394471" w:rsidRPr="00FA0D37" w:rsidRDefault="00394471" w:rsidP="00FA0D37">
      <w:pPr>
        <w:pStyle w:val="PL"/>
      </w:pPr>
      <w:r w:rsidRPr="00FA0D37">
        <w:t xml:space="preserve">    reportInterval                      ReportInterval,</w:t>
      </w:r>
    </w:p>
    <w:p w14:paraId="6839F2A1" w14:textId="77777777" w:rsidR="00394471" w:rsidRPr="00FA0D37" w:rsidRDefault="00394471" w:rsidP="00FA0D37">
      <w:pPr>
        <w:pStyle w:val="PL"/>
      </w:pPr>
      <w:r w:rsidRPr="00FA0D37">
        <w:t xml:space="preserve">    reportAmount                        </w:t>
      </w:r>
      <w:r w:rsidRPr="00FA0D37">
        <w:rPr>
          <w:color w:val="993366"/>
        </w:rPr>
        <w:t>ENUMERATED</w:t>
      </w:r>
      <w:r w:rsidRPr="00FA0D37">
        <w:t xml:space="preserve"> {r1, r2, r4, r8, r16, r32, r64, infinity},</w:t>
      </w:r>
    </w:p>
    <w:p w14:paraId="121E0C31" w14:textId="77777777" w:rsidR="00394471" w:rsidRPr="00FA0D37" w:rsidRDefault="00394471" w:rsidP="00FA0D37">
      <w:pPr>
        <w:pStyle w:val="PL"/>
      </w:pPr>
      <w:r w:rsidRPr="00FA0D37">
        <w:t xml:space="preserve">    reportQuantity                      MeasReportQuantity,</w:t>
      </w:r>
    </w:p>
    <w:p w14:paraId="25C67763" w14:textId="77777777" w:rsidR="00394471" w:rsidRPr="00FA0D37" w:rsidRDefault="00394471" w:rsidP="00FA0D37">
      <w:pPr>
        <w:pStyle w:val="PL"/>
      </w:pPr>
      <w:r w:rsidRPr="00FA0D37">
        <w:t xml:space="preserve">    maxReportCells                      </w:t>
      </w:r>
      <w:r w:rsidRPr="00FA0D37">
        <w:rPr>
          <w:color w:val="993366"/>
        </w:rPr>
        <w:t>INTEGER</w:t>
      </w:r>
      <w:r w:rsidRPr="00FA0D37">
        <w:t xml:space="preserve"> (1..maxCellReport),</w:t>
      </w:r>
    </w:p>
    <w:p w14:paraId="49DEE4A9" w14:textId="77777777" w:rsidR="00394471" w:rsidRPr="00FA0D37" w:rsidRDefault="00394471" w:rsidP="00FA0D37">
      <w:pPr>
        <w:pStyle w:val="PL"/>
      </w:pPr>
      <w:r w:rsidRPr="00FA0D37">
        <w:t xml:space="preserve">    ...,</w:t>
      </w:r>
    </w:p>
    <w:p w14:paraId="06F6FD1E" w14:textId="77777777" w:rsidR="00394471" w:rsidRPr="00FA0D37" w:rsidRDefault="00394471" w:rsidP="00FA0D37">
      <w:pPr>
        <w:pStyle w:val="PL"/>
      </w:pPr>
      <w:r w:rsidRPr="00FA0D37">
        <w:t xml:space="preserve">    [[</w:t>
      </w:r>
    </w:p>
    <w:p w14:paraId="4C591395" w14:textId="77777777" w:rsidR="00394471" w:rsidRPr="00FA0D37" w:rsidRDefault="00394471" w:rsidP="00FA0D37">
      <w:pPr>
        <w:pStyle w:val="PL"/>
        <w:rPr>
          <w:color w:val="808080"/>
        </w:rPr>
      </w:pPr>
      <w:r w:rsidRPr="00FA0D37">
        <w:t xml:space="preserve">    reportQuantityUTRA-FDD-r16          MeasReportQuantityUTRA-FDD-r16         </w:t>
      </w:r>
      <w:r w:rsidRPr="00FA0D37">
        <w:rPr>
          <w:color w:val="993366"/>
        </w:rPr>
        <w:t>OPTIONAL</w:t>
      </w:r>
      <w:r w:rsidRPr="00FA0D37">
        <w:t xml:space="preserve">   </w:t>
      </w:r>
      <w:r w:rsidRPr="00FA0D37">
        <w:rPr>
          <w:color w:val="808080"/>
        </w:rPr>
        <w:t>-- Need R</w:t>
      </w:r>
    </w:p>
    <w:p w14:paraId="53C8FD7E" w14:textId="515966FA" w:rsidR="00FE090E" w:rsidRPr="00FA0D37" w:rsidRDefault="00394471" w:rsidP="00FA0D37">
      <w:pPr>
        <w:pStyle w:val="PL"/>
      </w:pPr>
      <w:r w:rsidRPr="00FA0D37">
        <w:t xml:space="preserve">    ]]</w:t>
      </w:r>
      <w:r w:rsidR="00FE090E" w:rsidRPr="00FA0D37">
        <w:t>,</w:t>
      </w:r>
    </w:p>
    <w:p w14:paraId="60B1AD4D" w14:textId="77777777" w:rsidR="00FE090E" w:rsidRPr="00FA0D37" w:rsidRDefault="00FE090E" w:rsidP="00FA0D37">
      <w:pPr>
        <w:pStyle w:val="PL"/>
      </w:pPr>
      <w:r w:rsidRPr="00FA0D37">
        <w:t xml:space="preserve">    [[</w:t>
      </w:r>
    </w:p>
    <w:p w14:paraId="1B525DB5" w14:textId="2D542AF0" w:rsidR="00FE090E" w:rsidRPr="00FA0D37" w:rsidRDefault="00FE090E" w:rsidP="00FA0D37">
      <w:pPr>
        <w:pStyle w:val="PL"/>
        <w:rPr>
          <w:color w:val="808080"/>
        </w:rPr>
      </w:pPr>
      <w:r w:rsidRPr="00FA0D37">
        <w:t xml:space="preserve">    includeCommonLocationInfo-</w:t>
      </w:r>
      <w:r w:rsidR="00521FFF" w:rsidRPr="00FA0D37">
        <w:t>r</w:t>
      </w:r>
      <w:r w:rsidRPr="00FA0D37">
        <w:t xml:space="preserve">16     </w:t>
      </w:r>
      <w:r w:rsidR="00521FFF" w:rsidRPr="00FA0D37">
        <w:t xml:space="preserv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41E1B076" w14:textId="540CA4CE" w:rsidR="00FE090E" w:rsidRPr="00FA0D37" w:rsidRDefault="00FE090E" w:rsidP="00FA0D37">
      <w:pPr>
        <w:pStyle w:val="PL"/>
        <w:rPr>
          <w:color w:val="808080"/>
        </w:rPr>
      </w:pPr>
      <w:r w:rsidRPr="00FA0D37">
        <w:t xml:space="preserve">    includeBT-Meas-</w:t>
      </w:r>
      <w:r w:rsidR="00521FFF" w:rsidRPr="00FA0D37">
        <w:t>r</w:t>
      </w:r>
      <w:r w:rsidRPr="00FA0D37">
        <w:t xml:space="preserve">16                </w:t>
      </w:r>
      <w:r w:rsidR="00521FFF" w:rsidRPr="00FA0D37">
        <w:t xml:space="preserve">  </w:t>
      </w:r>
      <w:r w:rsidRPr="00FA0D37">
        <w:t xml:space="preserve">SetupRelease {BT-NameList-r16}                                 </w:t>
      </w:r>
      <w:r w:rsidRPr="00FA0D37">
        <w:rPr>
          <w:color w:val="993366"/>
        </w:rPr>
        <w:t>OPTIONAL</w:t>
      </w:r>
      <w:r w:rsidRPr="00FA0D37">
        <w:t xml:space="preserve">,   </w:t>
      </w:r>
      <w:r w:rsidRPr="00FA0D37">
        <w:rPr>
          <w:color w:val="808080"/>
        </w:rPr>
        <w:t>-- Need M</w:t>
      </w:r>
    </w:p>
    <w:p w14:paraId="0A3B7231" w14:textId="6E0EDC69" w:rsidR="00FE090E" w:rsidRPr="00FA0D37" w:rsidRDefault="00FE090E" w:rsidP="00FA0D37">
      <w:pPr>
        <w:pStyle w:val="PL"/>
        <w:rPr>
          <w:color w:val="808080"/>
        </w:rPr>
      </w:pPr>
      <w:r w:rsidRPr="00FA0D37">
        <w:t xml:space="preserve">    includeWLAN-Meas-</w:t>
      </w:r>
      <w:r w:rsidR="00521FFF" w:rsidRPr="00FA0D37">
        <w:t>r</w:t>
      </w:r>
      <w:r w:rsidRPr="00FA0D37">
        <w:t xml:space="preserve">16              </w:t>
      </w:r>
      <w:r w:rsidR="00521FFF" w:rsidRPr="00FA0D37">
        <w:t xml:space="preserve">  </w:t>
      </w:r>
      <w:r w:rsidRPr="00FA0D37">
        <w:t xml:space="preserve">SetupRelease {WLAN-NameList-r16}                               </w:t>
      </w:r>
      <w:r w:rsidRPr="00FA0D37">
        <w:rPr>
          <w:color w:val="993366"/>
        </w:rPr>
        <w:t>OPTIONAL</w:t>
      </w:r>
      <w:r w:rsidRPr="00FA0D37">
        <w:t xml:space="preserve">,   </w:t>
      </w:r>
      <w:r w:rsidRPr="00FA0D37">
        <w:rPr>
          <w:color w:val="808080"/>
        </w:rPr>
        <w:t>-- Need M</w:t>
      </w:r>
    </w:p>
    <w:p w14:paraId="259874AE" w14:textId="04B0C232" w:rsidR="00FE090E" w:rsidRPr="00FA0D37" w:rsidRDefault="00FE090E" w:rsidP="00FA0D37">
      <w:pPr>
        <w:pStyle w:val="PL"/>
        <w:rPr>
          <w:color w:val="808080"/>
        </w:rPr>
      </w:pPr>
      <w:r w:rsidRPr="00FA0D37">
        <w:t xml:space="preserve">    includeSensor-Meas-</w:t>
      </w:r>
      <w:r w:rsidR="00521FFF" w:rsidRPr="00FA0D37">
        <w:t>r</w:t>
      </w:r>
      <w:r w:rsidRPr="00FA0D37">
        <w:t xml:space="preserve">16            </w:t>
      </w:r>
      <w:r w:rsidR="00521FFF" w:rsidRPr="00FA0D37">
        <w:t xml:space="preserve">  </w:t>
      </w:r>
      <w:r w:rsidRPr="00FA0D37">
        <w:t xml:space="preserve">SetupRelease {Sensor-NameList-r16}                             </w:t>
      </w:r>
      <w:r w:rsidRPr="00FA0D37">
        <w:rPr>
          <w:color w:val="993366"/>
        </w:rPr>
        <w:t>OPTIONAL</w:t>
      </w:r>
      <w:r w:rsidRPr="00FA0D37">
        <w:t xml:space="preserve">    </w:t>
      </w:r>
      <w:r w:rsidRPr="00FA0D37">
        <w:rPr>
          <w:color w:val="808080"/>
        </w:rPr>
        <w:t>-- Need M</w:t>
      </w:r>
    </w:p>
    <w:p w14:paraId="2EF838D0" w14:textId="43FC0479" w:rsidR="00BD2D2B" w:rsidRPr="00FA0D37" w:rsidRDefault="00FE090E" w:rsidP="00FA0D37">
      <w:pPr>
        <w:pStyle w:val="PL"/>
      </w:pPr>
      <w:r w:rsidRPr="00FA0D37">
        <w:lastRenderedPageBreak/>
        <w:t xml:space="preserve">    ]]</w:t>
      </w:r>
      <w:r w:rsidR="00BD2D2B" w:rsidRPr="00FA0D37">
        <w:t>,</w:t>
      </w:r>
    </w:p>
    <w:p w14:paraId="03A85BAF" w14:textId="77777777" w:rsidR="00BD2D2B" w:rsidRPr="00FA0D37" w:rsidRDefault="00BD2D2B" w:rsidP="00FA0D37">
      <w:pPr>
        <w:pStyle w:val="PL"/>
      </w:pPr>
      <w:r w:rsidRPr="00FA0D37">
        <w:t xml:space="preserve">    [[</w:t>
      </w:r>
    </w:p>
    <w:p w14:paraId="6CD1ED10" w14:textId="5C22FACF" w:rsidR="00BD2D2B" w:rsidRPr="00FA0D37" w:rsidRDefault="00BD2D2B" w:rsidP="00FA0D37">
      <w:pPr>
        <w:pStyle w:val="PL"/>
        <w:rPr>
          <w:color w:val="808080"/>
        </w:rPr>
      </w:pPr>
      <w:r w:rsidRPr="00FA0D37">
        <w:t xml:space="preserve">    reportQuantityRelay-r17             SL-MeasReportQuantity-r16                                      </w:t>
      </w:r>
      <w:r w:rsidRPr="00FA0D37">
        <w:rPr>
          <w:color w:val="993366"/>
        </w:rPr>
        <w:t>OPTIONAL</w:t>
      </w:r>
      <w:r w:rsidRPr="00FA0D37">
        <w:t xml:space="preserve">    </w:t>
      </w:r>
      <w:r w:rsidRPr="00FA0D37">
        <w:rPr>
          <w:color w:val="808080"/>
        </w:rPr>
        <w:t>-- Need R</w:t>
      </w:r>
    </w:p>
    <w:p w14:paraId="39BFC9B3" w14:textId="2DB37A4C" w:rsidR="00394471" w:rsidRPr="00FA0D37" w:rsidRDefault="00BD2D2B" w:rsidP="00FA0D37">
      <w:pPr>
        <w:pStyle w:val="PL"/>
      </w:pPr>
      <w:r w:rsidRPr="00FA0D37">
        <w:t xml:space="preserve">    ]]</w:t>
      </w:r>
      <w:r w:rsidR="00394471" w:rsidRPr="00FA0D37">
        <w:t>}</w:t>
      </w:r>
    </w:p>
    <w:p w14:paraId="0DA99E9D" w14:textId="77777777" w:rsidR="00394471" w:rsidRPr="00FA0D37" w:rsidRDefault="00394471" w:rsidP="00FA0D37">
      <w:pPr>
        <w:pStyle w:val="PL"/>
      </w:pPr>
    </w:p>
    <w:p w14:paraId="3F36A48F" w14:textId="77777777" w:rsidR="00394471" w:rsidRPr="00FA0D37" w:rsidRDefault="00394471" w:rsidP="00FA0D37">
      <w:pPr>
        <w:pStyle w:val="PL"/>
      </w:pPr>
      <w:r w:rsidRPr="00FA0D37">
        <w:t xml:space="preserve">PeriodicalReportConfigInterRAT ::=              </w:t>
      </w:r>
      <w:r w:rsidRPr="00FA0D37">
        <w:rPr>
          <w:color w:val="993366"/>
        </w:rPr>
        <w:t>SEQUENCE</w:t>
      </w:r>
      <w:r w:rsidRPr="00FA0D37">
        <w:t xml:space="preserve"> {</w:t>
      </w:r>
    </w:p>
    <w:p w14:paraId="2E53CC48" w14:textId="77777777" w:rsidR="00394471" w:rsidRPr="00FA0D37" w:rsidRDefault="00394471" w:rsidP="00FA0D37">
      <w:pPr>
        <w:pStyle w:val="PL"/>
      </w:pPr>
      <w:r w:rsidRPr="00FA0D37">
        <w:t xml:space="preserve">    reportInterval                                  ReportInterval,</w:t>
      </w:r>
    </w:p>
    <w:p w14:paraId="5FD0A0D3" w14:textId="77777777" w:rsidR="00394471" w:rsidRPr="00FA0D37" w:rsidRDefault="00394471" w:rsidP="00FA0D37">
      <w:pPr>
        <w:pStyle w:val="PL"/>
      </w:pPr>
      <w:r w:rsidRPr="00FA0D37">
        <w:t xml:space="preserve">    reportAmount                                    </w:t>
      </w:r>
      <w:r w:rsidRPr="00FA0D37">
        <w:rPr>
          <w:color w:val="993366"/>
        </w:rPr>
        <w:t>ENUMERATED</w:t>
      </w:r>
      <w:r w:rsidRPr="00FA0D37">
        <w:t xml:space="preserve"> {r1, r2, r4, r8, r16, r32, r64, infinity},</w:t>
      </w:r>
    </w:p>
    <w:p w14:paraId="61B6A11B" w14:textId="77777777" w:rsidR="00394471" w:rsidRPr="00FA0D37" w:rsidRDefault="00394471" w:rsidP="00FA0D37">
      <w:pPr>
        <w:pStyle w:val="PL"/>
      </w:pPr>
      <w:r w:rsidRPr="00FA0D37">
        <w:t xml:space="preserve">    reportQuantity                                  MeasReportQuantity,</w:t>
      </w:r>
    </w:p>
    <w:p w14:paraId="364F7C93" w14:textId="77777777" w:rsidR="00394471" w:rsidRPr="00FA0D37" w:rsidRDefault="00394471" w:rsidP="00FA0D37">
      <w:pPr>
        <w:pStyle w:val="PL"/>
      </w:pPr>
      <w:r w:rsidRPr="00FA0D37">
        <w:t xml:space="preserve">    maxReportCells                                  </w:t>
      </w:r>
      <w:r w:rsidRPr="00FA0D37">
        <w:rPr>
          <w:color w:val="993366"/>
        </w:rPr>
        <w:t>INTEGER</w:t>
      </w:r>
      <w:r w:rsidRPr="00FA0D37">
        <w:t xml:space="preserve"> (1..maxCellReport),</w:t>
      </w:r>
    </w:p>
    <w:p w14:paraId="226ADF3B" w14:textId="77777777" w:rsidR="00394471" w:rsidRPr="00FA0D37" w:rsidRDefault="00394471" w:rsidP="00FA0D37">
      <w:pPr>
        <w:pStyle w:val="PL"/>
      </w:pPr>
      <w:r w:rsidRPr="00FA0D37">
        <w:t xml:space="preserve">    ...,</w:t>
      </w:r>
    </w:p>
    <w:p w14:paraId="7902AD60" w14:textId="77777777" w:rsidR="00394471" w:rsidRPr="00FA0D37" w:rsidRDefault="00394471" w:rsidP="00FA0D37">
      <w:pPr>
        <w:pStyle w:val="PL"/>
      </w:pPr>
      <w:r w:rsidRPr="00FA0D37">
        <w:t xml:space="preserve">    [[</w:t>
      </w:r>
    </w:p>
    <w:p w14:paraId="76C23EFF" w14:textId="77777777" w:rsidR="00394471" w:rsidRPr="00FA0D37" w:rsidRDefault="00394471" w:rsidP="00FA0D37">
      <w:pPr>
        <w:pStyle w:val="PL"/>
        <w:rPr>
          <w:color w:val="808080"/>
        </w:rPr>
      </w:pPr>
      <w:r w:rsidRPr="00FA0D37">
        <w:t xml:space="preserve">    reportQuantityUTRA-FDD-r16                      MeasReportQuantityUTRA-FDD-r16         </w:t>
      </w:r>
      <w:r w:rsidRPr="00FA0D37">
        <w:rPr>
          <w:color w:val="993366"/>
        </w:rPr>
        <w:t>OPTIONAL</w:t>
      </w:r>
      <w:r w:rsidRPr="00FA0D37">
        <w:t xml:space="preserve">   </w:t>
      </w:r>
      <w:r w:rsidRPr="00FA0D37">
        <w:rPr>
          <w:color w:val="808080"/>
        </w:rPr>
        <w:t>-- Need R</w:t>
      </w:r>
    </w:p>
    <w:p w14:paraId="2B655BE4" w14:textId="3F003F53" w:rsidR="00FE090E" w:rsidRPr="00FA0D37" w:rsidRDefault="00394471" w:rsidP="00FA0D37">
      <w:pPr>
        <w:pStyle w:val="PL"/>
      </w:pPr>
      <w:r w:rsidRPr="00FA0D37">
        <w:t xml:space="preserve">    ]]</w:t>
      </w:r>
      <w:r w:rsidR="00FE090E" w:rsidRPr="00FA0D37">
        <w:t>,</w:t>
      </w:r>
    </w:p>
    <w:p w14:paraId="6A8316A9" w14:textId="77777777" w:rsidR="00FE090E" w:rsidRPr="00FA0D37" w:rsidRDefault="00FE090E" w:rsidP="00FA0D37">
      <w:pPr>
        <w:pStyle w:val="PL"/>
      </w:pPr>
      <w:r w:rsidRPr="00FA0D37">
        <w:t xml:space="preserve">    [[</w:t>
      </w:r>
    </w:p>
    <w:p w14:paraId="4209539F" w14:textId="1D8683EF" w:rsidR="00FE090E" w:rsidRPr="00FA0D37" w:rsidRDefault="00FE090E" w:rsidP="00FA0D37">
      <w:pPr>
        <w:pStyle w:val="PL"/>
        <w:rPr>
          <w:color w:val="808080"/>
        </w:rPr>
      </w:pPr>
      <w:r w:rsidRPr="00FA0D37">
        <w:t xml:space="preserve">    includeCommonLocationInfo-</w:t>
      </w:r>
      <w:r w:rsidR="00521FFF" w:rsidRPr="00FA0D37">
        <w:t>r</w:t>
      </w:r>
      <w:r w:rsidRPr="00FA0D37">
        <w:t xml:space="preserve">16     </w:t>
      </w:r>
      <w:r w:rsidR="00521FFF" w:rsidRPr="00FA0D37">
        <w:t xml:space="preserv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7AD9C8C2" w14:textId="642014EC" w:rsidR="00FE090E" w:rsidRPr="00FA0D37" w:rsidRDefault="00FE090E" w:rsidP="00FA0D37">
      <w:pPr>
        <w:pStyle w:val="PL"/>
        <w:rPr>
          <w:color w:val="808080"/>
        </w:rPr>
      </w:pPr>
      <w:r w:rsidRPr="00FA0D37">
        <w:t xml:space="preserve">    includeBT-Meas-</w:t>
      </w:r>
      <w:r w:rsidR="00521FFF" w:rsidRPr="00FA0D37">
        <w:t>r</w:t>
      </w:r>
      <w:r w:rsidRPr="00FA0D37">
        <w:t xml:space="preserve">16                </w:t>
      </w:r>
      <w:r w:rsidR="00521FFF" w:rsidRPr="00FA0D37">
        <w:t xml:space="preserve">  </w:t>
      </w:r>
      <w:r w:rsidRPr="00FA0D37">
        <w:t xml:space="preserve">SetupRelease {BT-NameList-r16}                                 </w:t>
      </w:r>
      <w:r w:rsidRPr="00FA0D37">
        <w:rPr>
          <w:color w:val="993366"/>
        </w:rPr>
        <w:t>OPTIONAL</w:t>
      </w:r>
      <w:r w:rsidRPr="00FA0D37">
        <w:t xml:space="preserve">,   </w:t>
      </w:r>
      <w:r w:rsidRPr="00FA0D37">
        <w:rPr>
          <w:color w:val="808080"/>
        </w:rPr>
        <w:t>-- Need M</w:t>
      </w:r>
    </w:p>
    <w:p w14:paraId="0FF7BE0E" w14:textId="6A39BFED" w:rsidR="00FE090E" w:rsidRPr="00FA0D37" w:rsidRDefault="00FE090E" w:rsidP="00FA0D37">
      <w:pPr>
        <w:pStyle w:val="PL"/>
        <w:rPr>
          <w:color w:val="808080"/>
        </w:rPr>
      </w:pPr>
      <w:r w:rsidRPr="00FA0D37">
        <w:t xml:space="preserve">    includeWLAN-Meas-</w:t>
      </w:r>
      <w:r w:rsidR="00521FFF" w:rsidRPr="00FA0D37">
        <w:t>r</w:t>
      </w:r>
      <w:r w:rsidRPr="00FA0D37">
        <w:t xml:space="preserve">16              </w:t>
      </w:r>
      <w:r w:rsidR="00521FFF" w:rsidRPr="00FA0D37">
        <w:t xml:space="preserve">  </w:t>
      </w:r>
      <w:r w:rsidRPr="00FA0D37">
        <w:t xml:space="preserve">SetupRelease {WLAN-NameList-r16}                               </w:t>
      </w:r>
      <w:r w:rsidRPr="00FA0D37">
        <w:rPr>
          <w:color w:val="993366"/>
        </w:rPr>
        <w:t>OPTIONAL</w:t>
      </w:r>
      <w:r w:rsidRPr="00FA0D37">
        <w:t xml:space="preserve">,   </w:t>
      </w:r>
      <w:r w:rsidRPr="00FA0D37">
        <w:rPr>
          <w:color w:val="808080"/>
        </w:rPr>
        <w:t>-- Need M</w:t>
      </w:r>
    </w:p>
    <w:p w14:paraId="2E42D111" w14:textId="3FC64AA4" w:rsidR="00FE090E" w:rsidRPr="00FA0D37" w:rsidRDefault="00FE090E" w:rsidP="00FA0D37">
      <w:pPr>
        <w:pStyle w:val="PL"/>
        <w:rPr>
          <w:color w:val="808080"/>
        </w:rPr>
      </w:pPr>
      <w:r w:rsidRPr="00FA0D37">
        <w:t xml:space="preserve">    includeSensor-Meas-</w:t>
      </w:r>
      <w:r w:rsidR="00521FFF" w:rsidRPr="00FA0D37">
        <w:t>r</w:t>
      </w:r>
      <w:r w:rsidRPr="00FA0D37">
        <w:t xml:space="preserve">16            </w:t>
      </w:r>
      <w:r w:rsidR="00521FFF" w:rsidRPr="00FA0D37">
        <w:t xml:space="preserve">  </w:t>
      </w:r>
      <w:r w:rsidRPr="00FA0D37">
        <w:t xml:space="preserve">SetupRelease {Sensor-NameList-r16}                             </w:t>
      </w:r>
      <w:r w:rsidRPr="00FA0D37">
        <w:rPr>
          <w:color w:val="993366"/>
        </w:rPr>
        <w:t>OPTIONAL</w:t>
      </w:r>
      <w:r w:rsidRPr="00FA0D37">
        <w:t xml:space="preserve">    </w:t>
      </w:r>
      <w:r w:rsidRPr="00FA0D37">
        <w:rPr>
          <w:color w:val="808080"/>
        </w:rPr>
        <w:t>-- Need M</w:t>
      </w:r>
    </w:p>
    <w:p w14:paraId="778692AF" w14:textId="67D8C26C" w:rsidR="002D7FAF" w:rsidRPr="00FA0D37" w:rsidRDefault="00FE090E" w:rsidP="00FA0D37">
      <w:pPr>
        <w:pStyle w:val="PL"/>
      </w:pPr>
      <w:r w:rsidRPr="00FA0D37">
        <w:t xml:space="preserve">    ]]</w:t>
      </w:r>
      <w:r w:rsidR="002D7FAF" w:rsidRPr="00FA0D37">
        <w:t>,</w:t>
      </w:r>
    </w:p>
    <w:p w14:paraId="00B641FC" w14:textId="77777777" w:rsidR="002D7FAF" w:rsidRPr="00FA0D37" w:rsidRDefault="002D7FAF" w:rsidP="00FA0D37">
      <w:pPr>
        <w:pStyle w:val="PL"/>
      </w:pPr>
      <w:r w:rsidRPr="00FA0D37">
        <w:t xml:space="preserve">    [[</w:t>
      </w:r>
    </w:p>
    <w:p w14:paraId="6B0DFE24" w14:textId="24A12BAF" w:rsidR="002D7FAF" w:rsidRPr="00FA0D37" w:rsidRDefault="002D7FAF" w:rsidP="00FA0D37">
      <w:pPr>
        <w:pStyle w:val="PL"/>
        <w:rPr>
          <w:color w:val="808080"/>
        </w:rPr>
      </w:pPr>
      <w:r w:rsidRPr="00FA0D37">
        <w:t xml:space="preserve">    reportQuantityRelay-r17             SL-MeasReportQuantity-r16                                      </w:t>
      </w:r>
      <w:r w:rsidRPr="00FA0D37">
        <w:rPr>
          <w:color w:val="993366"/>
        </w:rPr>
        <w:t>OPTIONAL</w:t>
      </w:r>
      <w:r w:rsidRPr="00FA0D37">
        <w:t xml:space="preserve">    </w:t>
      </w:r>
      <w:r w:rsidRPr="00FA0D37">
        <w:rPr>
          <w:color w:val="808080"/>
        </w:rPr>
        <w:t>-- Need R</w:t>
      </w:r>
    </w:p>
    <w:p w14:paraId="12DBA19E" w14:textId="77777777" w:rsidR="002D7FAF" w:rsidRPr="00FA0D37" w:rsidRDefault="002D7FAF" w:rsidP="00FA0D37">
      <w:pPr>
        <w:pStyle w:val="PL"/>
      </w:pPr>
      <w:r w:rsidRPr="00FA0D37">
        <w:t xml:space="preserve">    ]]</w:t>
      </w:r>
    </w:p>
    <w:p w14:paraId="14F7B80C" w14:textId="0ED3F70E" w:rsidR="00394471" w:rsidRPr="00FA0D37" w:rsidRDefault="00394471" w:rsidP="00FA0D37">
      <w:pPr>
        <w:pStyle w:val="PL"/>
      </w:pPr>
    </w:p>
    <w:p w14:paraId="7E5C5E20" w14:textId="77777777" w:rsidR="00394471" w:rsidRPr="00FA0D37" w:rsidRDefault="00394471" w:rsidP="00FA0D37">
      <w:pPr>
        <w:pStyle w:val="PL"/>
      </w:pPr>
      <w:r w:rsidRPr="00FA0D37">
        <w:t>}</w:t>
      </w:r>
    </w:p>
    <w:p w14:paraId="3893F38D" w14:textId="77777777" w:rsidR="00394471" w:rsidRPr="00FA0D37" w:rsidRDefault="00394471" w:rsidP="00FA0D37">
      <w:pPr>
        <w:pStyle w:val="PL"/>
      </w:pPr>
    </w:p>
    <w:p w14:paraId="1EF340DD" w14:textId="77777777" w:rsidR="00394471" w:rsidRPr="00FA0D37" w:rsidRDefault="00394471" w:rsidP="00FA0D37">
      <w:pPr>
        <w:pStyle w:val="PL"/>
      </w:pPr>
      <w:r w:rsidRPr="00FA0D37">
        <w:t xml:space="preserve">MeasTriggerQuantityUTRA-FDD-r16 ::=          </w:t>
      </w:r>
      <w:r w:rsidRPr="00FA0D37">
        <w:rPr>
          <w:color w:val="993366"/>
        </w:rPr>
        <w:t>CHOICE</w:t>
      </w:r>
      <w:r w:rsidRPr="00FA0D37">
        <w:t>{</w:t>
      </w:r>
    </w:p>
    <w:p w14:paraId="750C338D" w14:textId="77777777" w:rsidR="00394471" w:rsidRPr="00FA0D37" w:rsidRDefault="00394471" w:rsidP="00FA0D37">
      <w:pPr>
        <w:pStyle w:val="PL"/>
      </w:pPr>
      <w:r w:rsidRPr="00FA0D37">
        <w:t xml:space="preserve">    utra-FDD-RSCP-r16                            </w:t>
      </w:r>
      <w:r w:rsidRPr="00FA0D37">
        <w:rPr>
          <w:color w:val="993366"/>
        </w:rPr>
        <w:t>INTEGER</w:t>
      </w:r>
      <w:r w:rsidRPr="00FA0D37">
        <w:t xml:space="preserve"> (-5..91),</w:t>
      </w:r>
    </w:p>
    <w:p w14:paraId="70229D2F" w14:textId="77777777" w:rsidR="00394471" w:rsidRPr="00FA0D37" w:rsidRDefault="00394471" w:rsidP="00FA0D37">
      <w:pPr>
        <w:pStyle w:val="PL"/>
      </w:pPr>
      <w:r w:rsidRPr="00FA0D37">
        <w:t xml:space="preserve">    utra-FDD-EcN0-r16                            </w:t>
      </w:r>
      <w:r w:rsidRPr="00FA0D37">
        <w:rPr>
          <w:color w:val="993366"/>
        </w:rPr>
        <w:t>INTEGER</w:t>
      </w:r>
      <w:r w:rsidRPr="00FA0D37">
        <w:t xml:space="preserve"> (0..49)</w:t>
      </w:r>
    </w:p>
    <w:p w14:paraId="7AF502BD" w14:textId="77777777" w:rsidR="00394471" w:rsidRPr="00FA0D37" w:rsidRDefault="00394471" w:rsidP="00FA0D37">
      <w:pPr>
        <w:pStyle w:val="PL"/>
      </w:pPr>
      <w:r w:rsidRPr="00FA0D37">
        <w:t>}</w:t>
      </w:r>
    </w:p>
    <w:p w14:paraId="247717CE" w14:textId="77777777" w:rsidR="00394471" w:rsidRPr="00FA0D37" w:rsidRDefault="00394471" w:rsidP="00FA0D37">
      <w:pPr>
        <w:pStyle w:val="PL"/>
      </w:pPr>
    </w:p>
    <w:p w14:paraId="07D8F927" w14:textId="77777777" w:rsidR="00394471" w:rsidRPr="00FA0D37" w:rsidRDefault="00394471" w:rsidP="00FA0D37">
      <w:pPr>
        <w:pStyle w:val="PL"/>
      </w:pPr>
      <w:r w:rsidRPr="00FA0D37">
        <w:t xml:space="preserve">MeasReportQuantityUTRA-FDD-r16 ::=        </w:t>
      </w:r>
      <w:r w:rsidRPr="00FA0D37">
        <w:rPr>
          <w:color w:val="993366"/>
        </w:rPr>
        <w:t>SEQUENCE</w:t>
      </w:r>
      <w:r w:rsidRPr="00FA0D37">
        <w:t xml:space="preserve"> {</w:t>
      </w:r>
    </w:p>
    <w:p w14:paraId="29DB134D" w14:textId="77777777" w:rsidR="00394471" w:rsidRPr="00FA0D37" w:rsidRDefault="00394471" w:rsidP="00FA0D37">
      <w:pPr>
        <w:pStyle w:val="PL"/>
      </w:pPr>
      <w:r w:rsidRPr="00FA0D37">
        <w:t xml:space="preserve">    cpich-RSCP                                </w:t>
      </w:r>
      <w:r w:rsidRPr="00FA0D37">
        <w:rPr>
          <w:color w:val="993366"/>
        </w:rPr>
        <w:t>BOOLEAN</w:t>
      </w:r>
      <w:r w:rsidRPr="00FA0D37">
        <w:t>,</w:t>
      </w:r>
    </w:p>
    <w:p w14:paraId="54804B69" w14:textId="77777777" w:rsidR="00394471" w:rsidRPr="00FA0D37" w:rsidRDefault="00394471" w:rsidP="00FA0D37">
      <w:pPr>
        <w:pStyle w:val="PL"/>
      </w:pPr>
      <w:r w:rsidRPr="00FA0D37">
        <w:t xml:space="preserve">    cpich-EcN0                                </w:t>
      </w:r>
      <w:r w:rsidRPr="00FA0D37">
        <w:rPr>
          <w:color w:val="993366"/>
        </w:rPr>
        <w:t>BOOLEAN</w:t>
      </w:r>
    </w:p>
    <w:p w14:paraId="58D9DE33" w14:textId="77777777" w:rsidR="00394471" w:rsidRPr="00FA0D37" w:rsidRDefault="00394471" w:rsidP="00FA0D37">
      <w:pPr>
        <w:pStyle w:val="PL"/>
      </w:pPr>
      <w:r w:rsidRPr="00FA0D37">
        <w:t>}</w:t>
      </w:r>
    </w:p>
    <w:p w14:paraId="392E2950" w14:textId="77777777" w:rsidR="00394471" w:rsidRPr="00FA0D37" w:rsidRDefault="00394471" w:rsidP="00FA0D37">
      <w:pPr>
        <w:pStyle w:val="PL"/>
      </w:pPr>
    </w:p>
    <w:p w14:paraId="3AF3B349" w14:textId="77777777" w:rsidR="00394471" w:rsidRPr="00FA0D37" w:rsidRDefault="00394471" w:rsidP="00FA0D37">
      <w:pPr>
        <w:pStyle w:val="PL"/>
        <w:rPr>
          <w:color w:val="808080"/>
        </w:rPr>
      </w:pPr>
      <w:r w:rsidRPr="00FA0D37">
        <w:rPr>
          <w:color w:val="808080"/>
        </w:rPr>
        <w:t>-- TAG-REPORTCONFIGINTERRAT-STOP</w:t>
      </w:r>
    </w:p>
    <w:p w14:paraId="3231CD77" w14:textId="77777777" w:rsidR="00394471" w:rsidRPr="00FA0D37" w:rsidRDefault="00394471" w:rsidP="00FA0D37">
      <w:pPr>
        <w:pStyle w:val="PL"/>
        <w:rPr>
          <w:color w:val="808080"/>
        </w:rPr>
      </w:pPr>
      <w:r w:rsidRPr="00FA0D37">
        <w:rPr>
          <w:color w:val="808080"/>
        </w:rPr>
        <w:t>-- ASN1STOP</w:t>
      </w:r>
    </w:p>
    <w:p w14:paraId="3BA40ED2" w14:textId="77777777" w:rsidR="00394471" w:rsidRPr="00FA0D3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FA0D37" w:rsidRDefault="00394471" w:rsidP="00964CC4">
            <w:pPr>
              <w:pStyle w:val="TAH"/>
              <w:rPr>
                <w:i/>
                <w:lang w:eastAsia="sv-SE"/>
              </w:rPr>
            </w:pPr>
            <w:r w:rsidRPr="00FA0D37">
              <w:rPr>
                <w:bCs/>
                <w:i/>
                <w:iCs/>
                <w:lang w:eastAsia="sv-SE"/>
              </w:rPr>
              <w:t>ReportConfigInterRAT</w:t>
            </w:r>
            <w:r w:rsidRPr="00FA0D37">
              <w:rPr>
                <w:i/>
                <w:lang w:eastAsia="sv-SE"/>
              </w:rPr>
              <w:t xml:space="preserve"> field descriptions</w:t>
            </w:r>
          </w:p>
        </w:tc>
      </w:tr>
      <w:tr w:rsidR="00394471" w:rsidRPr="00FA0D37"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FA0D37" w:rsidRDefault="00394471" w:rsidP="00964CC4">
            <w:pPr>
              <w:pStyle w:val="TAL"/>
              <w:rPr>
                <w:b/>
                <w:i/>
                <w:lang w:eastAsia="sv-SE"/>
              </w:rPr>
            </w:pPr>
            <w:r w:rsidRPr="00FA0D37">
              <w:rPr>
                <w:b/>
                <w:i/>
                <w:lang w:eastAsia="sv-SE"/>
              </w:rPr>
              <w:t>reportType</w:t>
            </w:r>
          </w:p>
          <w:p w14:paraId="5EFCC01D" w14:textId="1CE3D3F0" w:rsidR="00394471" w:rsidRPr="00FA0D37" w:rsidRDefault="00394471" w:rsidP="00964CC4">
            <w:pPr>
              <w:pStyle w:val="TAL"/>
              <w:rPr>
                <w:lang w:eastAsia="sv-SE"/>
              </w:rPr>
            </w:pPr>
            <w:r w:rsidRPr="00FA0D37">
              <w:rPr>
                <w:lang w:eastAsia="sv-SE"/>
              </w:rPr>
              <w:t xml:space="preserve">Type of the configured measurement report. In </w:t>
            </w:r>
            <w:r w:rsidR="00A809D6" w:rsidRPr="00FA0D37">
              <w:rPr>
                <w:lang w:eastAsia="sv-SE"/>
              </w:rPr>
              <w:t>(NG)</w:t>
            </w:r>
            <w:r w:rsidRPr="00FA0D37">
              <w:rPr>
                <w:lang w:eastAsia="sv-SE"/>
              </w:rPr>
              <w:t xml:space="preserve">EN-DC, </w:t>
            </w:r>
            <w:r w:rsidR="00A809D6" w:rsidRPr="00FA0D37">
              <w:rPr>
                <w:lang w:eastAsia="sv-SE"/>
              </w:rPr>
              <w:t xml:space="preserve">and NR-DC, </w:t>
            </w:r>
            <w:r w:rsidRPr="00FA0D37">
              <w:rPr>
                <w:lang w:eastAsia="sv-SE"/>
              </w:rPr>
              <w:t xml:space="preserve">network does not configure report of type </w:t>
            </w:r>
            <w:r w:rsidRPr="00FA0D37">
              <w:rPr>
                <w:i/>
                <w:lang w:eastAsia="sv-SE"/>
              </w:rPr>
              <w:t>ReportCGI-EUTRA</w:t>
            </w:r>
            <w:r w:rsidR="00A809D6" w:rsidRPr="00FA0D37">
              <w:rPr>
                <w:i/>
                <w:lang w:eastAsia="sv-SE"/>
              </w:rPr>
              <w:t xml:space="preserve"> </w:t>
            </w:r>
            <w:r w:rsidR="00A809D6" w:rsidRPr="00FA0D37">
              <w:rPr>
                <w:lang w:eastAsia="sv-SE"/>
              </w:rPr>
              <w:t>for SCG</w:t>
            </w:r>
            <w:r w:rsidRPr="00FA0D37">
              <w:rPr>
                <w:lang w:eastAsia="sv-SE"/>
              </w:rPr>
              <w:t>.</w:t>
            </w:r>
          </w:p>
        </w:tc>
      </w:tr>
    </w:tbl>
    <w:p w14:paraId="70B907D7" w14:textId="77777777" w:rsidR="00394471" w:rsidRPr="00FA0D3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FA0D37" w:rsidRDefault="00394471" w:rsidP="00964CC4">
            <w:pPr>
              <w:pStyle w:val="TAH"/>
              <w:rPr>
                <w:i/>
                <w:lang w:eastAsia="sv-SE"/>
              </w:rPr>
            </w:pPr>
            <w:r w:rsidRPr="00FA0D37">
              <w:rPr>
                <w:bCs/>
                <w:i/>
                <w:iCs/>
                <w:lang w:eastAsia="sv-SE"/>
              </w:rPr>
              <w:lastRenderedPageBreak/>
              <w:t>ReportCGI-EUTRA</w:t>
            </w:r>
            <w:r w:rsidRPr="00FA0D37">
              <w:rPr>
                <w:i/>
                <w:lang w:eastAsia="sv-SE"/>
              </w:rPr>
              <w:t xml:space="preserve"> field descriptions</w:t>
            </w:r>
          </w:p>
        </w:tc>
      </w:tr>
      <w:tr w:rsidR="00394471" w:rsidRPr="00FA0D37"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FA0D37" w:rsidRDefault="00394471" w:rsidP="00964CC4">
            <w:pPr>
              <w:pStyle w:val="TAL"/>
              <w:rPr>
                <w:b/>
                <w:i/>
                <w:szCs w:val="22"/>
                <w:lang w:eastAsia="en-GB"/>
              </w:rPr>
            </w:pPr>
            <w:r w:rsidRPr="00FA0D37">
              <w:rPr>
                <w:b/>
                <w:i/>
                <w:szCs w:val="22"/>
                <w:lang w:eastAsia="en-GB"/>
              </w:rPr>
              <w:t>useAutonomousGaps</w:t>
            </w:r>
          </w:p>
          <w:p w14:paraId="2E2D654F" w14:textId="77777777" w:rsidR="00394471" w:rsidRPr="00FA0D37" w:rsidRDefault="00394471" w:rsidP="00964CC4">
            <w:pPr>
              <w:pStyle w:val="TAL"/>
              <w:rPr>
                <w:lang w:eastAsia="sv-SE"/>
              </w:rPr>
            </w:pPr>
            <w:r w:rsidRPr="00FA0D37">
              <w:rPr>
                <w:lang w:eastAsia="sv-SE"/>
              </w:rPr>
              <w:t>Indicates whether or not the UE is allowed to use autonomous gaps in acquiring system information from the E-UTRAN neighbour cell.</w:t>
            </w:r>
            <w:r w:rsidRPr="00FA0D37">
              <w:rPr>
                <w:lang w:eastAsia="zh-CN"/>
              </w:rPr>
              <w:t xml:space="preserve"> When the field is included, the UE</w:t>
            </w:r>
            <w:r w:rsidRPr="00FA0D37">
              <w:rPr>
                <w:lang w:eastAsia="sv-SE"/>
              </w:rPr>
              <w:t xml:space="preserve"> applies the corresponding value for T321.</w:t>
            </w:r>
          </w:p>
        </w:tc>
      </w:tr>
    </w:tbl>
    <w:p w14:paraId="3A32E20D" w14:textId="77777777" w:rsidR="00394471" w:rsidRPr="00FA0D3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FA0D37" w:rsidRDefault="00394471" w:rsidP="00964CC4">
            <w:pPr>
              <w:pStyle w:val="TAH"/>
              <w:rPr>
                <w:lang w:eastAsia="sv-SE"/>
              </w:rPr>
            </w:pPr>
            <w:r w:rsidRPr="00FA0D37">
              <w:rPr>
                <w:i/>
                <w:szCs w:val="22"/>
                <w:lang w:eastAsia="sv-SE"/>
              </w:rPr>
              <w:t>EventTriggerConfigInterRAT</w:t>
            </w:r>
            <w:r w:rsidRPr="00FA0D37">
              <w:rPr>
                <w:i/>
                <w:lang w:eastAsia="sv-SE"/>
              </w:rPr>
              <w:t xml:space="preserve"> </w:t>
            </w:r>
            <w:r w:rsidRPr="00FA0D37">
              <w:rPr>
                <w:lang w:eastAsia="sv-SE"/>
              </w:rPr>
              <w:t>field descriptions</w:t>
            </w:r>
          </w:p>
        </w:tc>
      </w:tr>
      <w:tr w:rsidR="005C7FF4" w:rsidRPr="00FA0D37"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FA0D37" w:rsidRDefault="00394471" w:rsidP="00964CC4">
            <w:pPr>
              <w:pStyle w:val="TAL"/>
              <w:rPr>
                <w:b/>
                <w:i/>
                <w:szCs w:val="22"/>
                <w:lang w:eastAsia="ko-KR"/>
              </w:rPr>
            </w:pPr>
            <w:r w:rsidRPr="00FA0D37">
              <w:rPr>
                <w:b/>
                <w:i/>
                <w:szCs w:val="22"/>
                <w:lang w:eastAsia="ko-KR"/>
              </w:rPr>
              <w:t>b2-Threshold1</w:t>
            </w:r>
          </w:p>
          <w:p w14:paraId="071C54B7" w14:textId="77777777" w:rsidR="00394471" w:rsidRPr="00FA0D37" w:rsidRDefault="00394471" w:rsidP="00964CC4">
            <w:pPr>
              <w:pStyle w:val="TAL"/>
              <w:rPr>
                <w:i/>
                <w:lang w:eastAsia="sv-SE"/>
              </w:rPr>
            </w:pPr>
            <w:r w:rsidRPr="00FA0D37">
              <w:rPr>
                <w:lang w:eastAsia="en-GB"/>
              </w:rPr>
              <w:t>NR threshold to be used in inter RAT measurement report triggering condition for event B2.</w:t>
            </w:r>
          </w:p>
        </w:tc>
      </w:tr>
      <w:tr w:rsidR="005C7FF4" w:rsidRPr="00FA0D37"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FA0D37" w:rsidRDefault="00394471" w:rsidP="00964CC4">
            <w:pPr>
              <w:pStyle w:val="TAL"/>
              <w:rPr>
                <w:b/>
                <w:i/>
                <w:szCs w:val="22"/>
                <w:lang w:eastAsia="ko-KR"/>
              </w:rPr>
            </w:pPr>
            <w:r w:rsidRPr="00FA0D37">
              <w:rPr>
                <w:b/>
                <w:i/>
                <w:szCs w:val="22"/>
                <w:lang w:eastAsia="ko-KR"/>
              </w:rPr>
              <w:t>bN-ThresholdEUTRA</w:t>
            </w:r>
          </w:p>
          <w:p w14:paraId="509102DF" w14:textId="77777777" w:rsidR="00394471" w:rsidRPr="00FA0D37" w:rsidRDefault="00394471" w:rsidP="00964CC4">
            <w:pPr>
              <w:pStyle w:val="TAL"/>
              <w:rPr>
                <w:b/>
                <w:i/>
                <w:lang w:eastAsia="sv-SE"/>
              </w:rPr>
            </w:pPr>
            <w:r w:rsidRPr="00FA0D37">
              <w:rPr>
                <w:szCs w:val="22"/>
                <w:lang w:eastAsia="ko-KR"/>
              </w:rPr>
              <w:t xml:space="preserve">E-UTRA threshold value associated with the selected trigger quantity (RSRP, RSRQ, SINR) to be used in inter RAT measurement report triggering condition for event number bN. </w:t>
            </w:r>
            <w:r w:rsidRPr="00FA0D37">
              <w:rPr>
                <w:szCs w:val="22"/>
                <w:lang w:eastAsia="sv-SE"/>
              </w:rPr>
              <w:t xml:space="preserve">In the same </w:t>
            </w:r>
            <w:r w:rsidRPr="00FA0D37">
              <w:rPr>
                <w:i/>
                <w:szCs w:val="22"/>
                <w:lang w:eastAsia="sv-SE"/>
              </w:rPr>
              <w:t>eventB2</w:t>
            </w:r>
            <w:r w:rsidRPr="00FA0D37">
              <w:rPr>
                <w:szCs w:val="22"/>
                <w:lang w:eastAsia="sv-SE"/>
              </w:rPr>
              <w:t>, the network configures the same CHOICE name (</w:t>
            </w:r>
            <w:r w:rsidRPr="00FA0D37">
              <w:rPr>
                <w:i/>
                <w:szCs w:val="22"/>
                <w:lang w:eastAsia="sv-SE"/>
              </w:rPr>
              <w:t>rsrp</w:t>
            </w:r>
            <w:r w:rsidRPr="00FA0D37">
              <w:rPr>
                <w:szCs w:val="22"/>
                <w:lang w:eastAsia="sv-SE"/>
              </w:rPr>
              <w:t xml:space="preserve">, </w:t>
            </w:r>
            <w:r w:rsidRPr="00FA0D37">
              <w:rPr>
                <w:i/>
                <w:szCs w:val="22"/>
                <w:lang w:eastAsia="sv-SE"/>
              </w:rPr>
              <w:t>rsrq</w:t>
            </w:r>
            <w:r w:rsidRPr="00FA0D37">
              <w:rPr>
                <w:szCs w:val="22"/>
                <w:lang w:eastAsia="sv-SE"/>
              </w:rPr>
              <w:t xml:space="preserve"> or </w:t>
            </w:r>
            <w:r w:rsidRPr="00FA0D37">
              <w:rPr>
                <w:i/>
                <w:szCs w:val="22"/>
                <w:lang w:eastAsia="sv-SE"/>
              </w:rPr>
              <w:t>sinr</w:t>
            </w:r>
            <w:r w:rsidRPr="00FA0D37">
              <w:rPr>
                <w:szCs w:val="22"/>
                <w:lang w:eastAsia="sv-SE"/>
              </w:rPr>
              <w:t xml:space="preserve">) for the </w:t>
            </w:r>
            <w:r w:rsidRPr="00FA0D37">
              <w:rPr>
                <w:i/>
                <w:szCs w:val="22"/>
                <w:lang w:eastAsia="sv-SE"/>
              </w:rPr>
              <w:t>MeasTriggerQuantity</w:t>
            </w:r>
            <w:r w:rsidRPr="00FA0D37">
              <w:rPr>
                <w:szCs w:val="22"/>
                <w:lang w:eastAsia="sv-SE"/>
              </w:rPr>
              <w:t xml:space="preserve"> of the </w:t>
            </w:r>
            <w:r w:rsidRPr="00FA0D37">
              <w:rPr>
                <w:i/>
                <w:szCs w:val="22"/>
                <w:lang w:eastAsia="sv-SE"/>
              </w:rPr>
              <w:t>b2-Threshold1</w:t>
            </w:r>
            <w:r w:rsidRPr="00FA0D37">
              <w:rPr>
                <w:szCs w:val="22"/>
                <w:lang w:eastAsia="sv-SE"/>
              </w:rPr>
              <w:t xml:space="preserve"> and for the </w:t>
            </w:r>
            <w:r w:rsidRPr="00FA0D37">
              <w:rPr>
                <w:i/>
                <w:szCs w:val="22"/>
                <w:lang w:eastAsia="sv-SE"/>
              </w:rPr>
              <w:t>MeasTriggerQuantityEUTRA</w:t>
            </w:r>
            <w:r w:rsidRPr="00FA0D37">
              <w:rPr>
                <w:szCs w:val="22"/>
                <w:lang w:eastAsia="sv-SE"/>
              </w:rPr>
              <w:t xml:space="preserve"> of the </w:t>
            </w:r>
            <w:r w:rsidRPr="00FA0D37">
              <w:rPr>
                <w:i/>
                <w:szCs w:val="22"/>
                <w:lang w:eastAsia="sv-SE"/>
              </w:rPr>
              <w:t>b2-Threshold2EUTRA</w:t>
            </w:r>
            <w:r w:rsidRPr="00FA0D37">
              <w:rPr>
                <w:szCs w:val="22"/>
                <w:lang w:eastAsia="sv-SE"/>
              </w:rPr>
              <w:t>.</w:t>
            </w:r>
          </w:p>
        </w:tc>
      </w:tr>
      <w:tr w:rsidR="005C7FF4" w:rsidRPr="00FA0D37"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FA0D37" w:rsidRDefault="00394471" w:rsidP="00964CC4">
            <w:pPr>
              <w:pStyle w:val="TAL"/>
              <w:rPr>
                <w:b/>
                <w:i/>
                <w:szCs w:val="22"/>
                <w:lang w:eastAsia="en-GB"/>
              </w:rPr>
            </w:pPr>
            <w:r w:rsidRPr="00FA0D37">
              <w:rPr>
                <w:b/>
                <w:i/>
                <w:szCs w:val="22"/>
                <w:lang w:eastAsia="en-GB"/>
              </w:rPr>
              <w:t>eventId</w:t>
            </w:r>
          </w:p>
          <w:p w14:paraId="4F644B33" w14:textId="77777777" w:rsidR="00394471" w:rsidRPr="00FA0D37" w:rsidRDefault="00394471" w:rsidP="00964CC4">
            <w:pPr>
              <w:pStyle w:val="TAL"/>
              <w:rPr>
                <w:lang w:eastAsia="sv-SE"/>
              </w:rPr>
            </w:pPr>
            <w:r w:rsidRPr="00FA0D37">
              <w:rPr>
                <w:szCs w:val="22"/>
                <w:lang w:eastAsia="en-GB"/>
              </w:rPr>
              <w:t>Choice of inter RAT event triggered reporting criteria.</w:t>
            </w:r>
          </w:p>
        </w:tc>
      </w:tr>
      <w:tr w:rsidR="005C7FF4" w:rsidRPr="00FA0D37"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FA0D37" w:rsidRDefault="00394471" w:rsidP="00964CC4">
            <w:pPr>
              <w:pStyle w:val="TAL"/>
              <w:rPr>
                <w:b/>
                <w:i/>
                <w:szCs w:val="22"/>
                <w:lang w:eastAsia="en-GB"/>
              </w:rPr>
            </w:pPr>
            <w:r w:rsidRPr="00FA0D37">
              <w:rPr>
                <w:b/>
                <w:i/>
                <w:szCs w:val="22"/>
                <w:lang w:eastAsia="en-GB"/>
              </w:rPr>
              <w:t>maxReportCells</w:t>
            </w:r>
          </w:p>
          <w:p w14:paraId="6F3B3C6A" w14:textId="50FB3496" w:rsidR="00394471" w:rsidRPr="00FA0D37" w:rsidRDefault="00394471" w:rsidP="00964CC4">
            <w:pPr>
              <w:pStyle w:val="TAL"/>
              <w:rPr>
                <w:lang w:eastAsia="sv-SE"/>
              </w:rPr>
            </w:pPr>
            <w:r w:rsidRPr="00FA0D37">
              <w:rPr>
                <w:szCs w:val="22"/>
                <w:lang w:eastAsia="en-GB"/>
              </w:rPr>
              <w:t>Max number of non-serving cells</w:t>
            </w:r>
            <w:r w:rsidR="005D44A8" w:rsidRPr="00FA0D37">
              <w:rPr>
                <w:szCs w:val="22"/>
                <w:lang w:eastAsia="en-GB"/>
              </w:rPr>
              <w:t>/candidate L2 U2N Relay UEs</w:t>
            </w:r>
            <w:r w:rsidRPr="00FA0D37">
              <w:rPr>
                <w:szCs w:val="22"/>
                <w:lang w:eastAsia="en-GB"/>
              </w:rPr>
              <w:t xml:space="preserve"> to include in the measurement report.</w:t>
            </w:r>
          </w:p>
        </w:tc>
      </w:tr>
      <w:tr w:rsidR="005C7FF4" w:rsidRPr="00FA0D37"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FA0D37" w:rsidRDefault="00394471" w:rsidP="00964CC4">
            <w:pPr>
              <w:pStyle w:val="TAL"/>
              <w:rPr>
                <w:b/>
                <w:i/>
                <w:szCs w:val="22"/>
                <w:lang w:eastAsia="en-GB"/>
              </w:rPr>
            </w:pPr>
            <w:r w:rsidRPr="00FA0D37">
              <w:rPr>
                <w:b/>
                <w:i/>
                <w:szCs w:val="22"/>
                <w:lang w:eastAsia="en-GB"/>
              </w:rPr>
              <w:t>reportAmount</w:t>
            </w:r>
          </w:p>
          <w:p w14:paraId="13E91844" w14:textId="77777777" w:rsidR="00394471" w:rsidRPr="00FA0D37" w:rsidRDefault="00394471" w:rsidP="00964CC4">
            <w:pPr>
              <w:pStyle w:val="TAL"/>
              <w:rPr>
                <w:b/>
                <w:i/>
                <w:lang w:eastAsia="sv-SE"/>
              </w:rPr>
            </w:pPr>
            <w:r w:rsidRPr="00FA0D37">
              <w:rPr>
                <w:i/>
                <w:szCs w:val="22"/>
                <w:lang w:eastAsia="en-GB"/>
              </w:rPr>
              <w:t>Number</w:t>
            </w:r>
            <w:r w:rsidRPr="00FA0D37">
              <w:rPr>
                <w:szCs w:val="22"/>
                <w:lang w:eastAsia="en-GB"/>
              </w:rPr>
              <w:t xml:space="preserve"> of measurement reports applicable for </w:t>
            </w:r>
            <w:r w:rsidRPr="00FA0D37">
              <w:rPr>
                <w:i/>
                <w:szCs w:val="22"/>
                <w:lang w:eastAsia="en-GB"/>
              </w:rPr>
              <w:t>eventTriggered</w:t>
            </w:r>
            <w:r w:rsidRPr="00FA0D37">
              <w:rPr>
                <w:szCs w:val="22"/>
                <w:lang w:eastAsia="en-GB"/>
              </w:rPr>
              <w:t xml:space="preserve"> as well as for </w:t>
            </w:r>
            <w:r w:rsidRPr="00FA0D37">
              <w:rPr>
                <w:i/>
                <w:szCs w:val="22"/>
                <w:lang w:eastAsia="en-GB"/>
              </w:rPr>
              <w:t>periodical</w:t>
            </w:r>
            <w:r w:rsidRPr="00FA0D37">
              <w:rPr>
                <w:szCs w:val="22"/>
                <w:lang w:eastAsia="en-GB"/>
              </w:rPr>
              <w:t xml:space="preserve"> report types</w:t>
            </w:r>
          </w:p>
        </w:tc>
      </w:tr>
      <w:tr w:rsidR="005C7FF4" w:rsidRPr="00FA0D37"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FA0D37" w:rsidRDefault="00394471" w:rsidP="00964CC4">
            <w:pPr>
              <w:pStyle w:val="TAL"/>
              <w:rPr>
                <w:b/>
                <w:i/>
                <w:szCs w:val="22"/>
                <w:lang w:eastAsia="en-GB"/>
              </w:rPr>
            </w:pPr>
            <w:r w:rsidRPr="00FA0D37">
              <w:rPr>
                <w:b/>
                <w:i/>
                <w:szCs w:val="22"/>
                <w:lang w:eastAsia="en-GB"/>
              </w:rPr>
              <w:t>reportOnLeave</w:t>
            </w:r>
          </w:p>
          <w:p w14:paraId="2EBD7917" w14:textId="77777777" w:rsidR="00394471" w:rsidRPr="00FA0D37" w:rsidRDefault="00394471" w:rsidP="00964CC4">
            <w:pPr>
              <w:pStyle w:val="TAL"/>
              <w:rPr>
                <w:b/>
                <w:i/>
                <w:szCs w:val="22"/>
                <w:lang w:eastAsia="en-GB"/>
              </w:rPr>
            </w:pPr>
            <w:r w:rsidRPr="00FA0D37">
              <w:rPr>
                <w:szCs w:val="22"/>
                <w:lang w:eastAsia="en-GB"/>
              </w:rPr>
              <w:t xml:space="preserve">Indicates whether or not the UE shall initiate the measurement reporting procedure when the leaving condition is met for a cell in </w:t>
            </w:r>
            <w:r w:rsidRPr="00FA0D37">
              <w:rPr>
                <w:i/>
                <w:lang w:eastAsia="sv-SE"/>
              </w:rPr>
              <w:t>cellsTriggeredList</w:t>
            </w:r>
            <w:r w:rsidRPr="00FA0D37">
              <w:rPr>
                <w:szCs w:val="22"/>
                <w:lang w:eastAsia="en-GB"/>
              </w:rPr>
              <w:t>, as specified in 5.5.4.1.</w:t>
            </w:r>
          </w:p>
        </w:tc>
      </w:tr>
      <w:tr w:rsidR="005C7FF4" w:rsidRPr="00FA0D37"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FA0D37" w:rsidRDefault="00394471" w:rsidP="00964CC4">
            <w:pPr>
              <w:pStyle w:val="TAL"/>
              <w:rPr>
                <w:b/>
                <w:i/>
                <w:szCs w:val="22"/>
                <w:lang w:eastAsia="sv-SE"/>
              </w:rPr>
            </w:pPr>
            <w:r w:rsidRPr="00FA0D37">
              <w:rPr>
                <w:b/>
                <w:i/>
                <w:szCs w:val="22"/>
                <w:lang w:eastAsia="sv-SE"/>
              </w:rPr>
              <w:t>reportQuantity, reportQuantityUTRA-FDD</w:t>
            </w:r>
          </w:p>
          <w:p w14:paraId="077EDA6F" w14:textId="77777777" w:rsidR="00394471" w:rsidRPr="00FA0D37" w:rsidRDefault="00394471" w:rsidP="00964CC4">
            <w:pPr>
              <w:pStyle w:val="TAL"/>
              <w:rPr>
                <w:b/>
                <w:i/>
                <w:lang w:eastAsia="sv-SE"/>
              </w:rPr>
            </w:pPr>
            <w:r w:rsidRPr="00FA0D37">
              <w:rPr>
                <w:szCs w:val="22"/>
                <w:lang w:eastAsia="en-GB"/>
              </w:rPr>
              <w:t xml:space="preserve">The cell measurement quantities to be included in the measurement report. If the field </w:t>
            </w:r>
            <w:r w:rsidRPr="00FA0D37">
              <w:rPr>
                <w:i/>
                <w:szCs w:val="22"/>
                <w:lang w:eastAsia="en-GB"/>
              </w:rPr>
              <w:t>eventB1-UTRA-FDD</w:t>
            </w:r>
            <w:r w:rsidRPr="00FA0D37">
              <w:rPr>
                <w:szCs w:val="22"/>
                <w:lang w:eastAsia="en-GB"/>
              </w:rPr>
              <w:t xml:space="preserve"> or </w:t>
            </w:r>
            <w:r w:rsidRPr="00FA0D37">
              <w:rPr>
                <w:i/>
                <w:szCs w:val="22"/>
                <w:lang w:eastAsia="en-GB"/>
              </w:rPr>
              <w:t>eventB2-UTRA-FDD</w:t>
            </w:r>
            <w:r w:rsidRPr="00FA0D37">
              <w:rPr>
                <w:szCs w:val="22"/>
                <w:lang w:eastAsia="en-GB"/>
              </w:rPr>
              <w:t xml:space="preserve"> is present, the UE shall ignore the value(s) provided in </w:t>
            </w:r>
            <w:r w:rsidRPr="00FA0D37">
              <w:rPr>
                <w:i/>
                <w:szCs w:val="22"/>
                <w:lang w:eastAsia="en-GB"/>
              </w:rPr>
              <w:t>reportQuantity</w:t>
            </w:r>
            <w:r w:rsidRPr="00FA0D37">
              <w:rPr>
                <w:szCs w:val="22"/>
                <w:lang w:eastAsia="en-GB"/>
              </w:rPr>
              <w:t>.</w:t>
            </w:r>
          </w:p>
        </w:tc>
      </w:tr>
      <w:tr w:rsidR="005C7FF4" w:rsidRPr="00FA0D37"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FA0D37" w:rsidRDefault="005D44A8" w:rsidP="005D44A8">
            <w:pPr>
              <w:pStyle w:val="TAL"/>
              <w:rPr>
                <w:b/>
                <w:i/>
                <w:szCs w:val="22"/>
                <w:lang w:eastAsia="sv-SE"/>
              </w:rPr>
            </w:pPr>
            <w:r w:rsidRPr="00FA0D37">
              <w:rPr>
                <w:b/>
                <w:i/>
                <w:szCs w:val="22"/>
                <w:lang w:eastAsia="sv-SE"/>
              </w:rPr>
              <w:t>reportQuantityRelay</w:t>
            </w:r>
          </w:p>
          <w:p w14:paraId="78900E39" w14:textId="4B0D688B" w:rsidR="005D44A8" w:rsidRPr="00FA0D37" w:rsidRDefault="005D44A8" w:rsidP="005D44A8">
            <w:pPr>
              <w:pStyle w:val="TAL"/>
              <w:rPr>
                <w:b/>
                <w:i/>
                <w:szCs w:val="22"/>
                <w:lang w:eastAsia="sv-SE"/>
              </w:rPr>
            </w:pPr>
            <w:r w:rsidRPr="00FA0D37">
              <w:rPr>
                <w:szCs w:val="22"/>
                <w:lang w:eastAsia="zh-CN"/>
              </w:rPr>
              <w:t>The L2 U2N Relay UE measurement quantity to be included in measuremet report.</w:t>
            </w:r>
          </w:p>
        </w:tc>
      </w:tr>
      <w:tr w:rsidR="005C7FF4" w:rsidRPr="00FA0D37"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FA0D37" w:rsidRDefault="00394471" w:rsidP="00964CC4">
            <w:pPr>
              <w:pStyle w:val="TAL"/>
              <w:rPr>
                <w:b/>
                <w:i/>
                <w:szCs w:val="22"/>
                <w:lang w:eastAsia="en-GB"/>
              </w:rPr>
            </w:pPr>
            <w:r w:rsidRPr="00FA0D37">
              <w:rPr>
                <w:b/>
                <w:i/>
                <w:szCs w:val="22"/>
                <w:lang w:eastAsia="en-GB"/>
              </w:rPr>
              <w:t>timeToTrigger</w:t>
            </w:r>
          </w:p>
          <w:p w14:paraId="41048958" w14:textId="77777777" w:rsidR="00394471" w:rsidRPr="00FA0D37" w:rsidRDefault="00394471" w:rsidP="00964CC4">
            <w:pPr>
              <w:pStyle w:val="TAL"/>
              <w:rPr>
                <w:b/>
                <w:i/>
                <w:lang w:eastAsia="sv-SE"/>
              </w:rPr>
            </w:pPr>
            <w:r w:rsidRPr="00FA0D37">
              <w:rPr>
                <w:szCs w:val="22"/>
                <w:lang w:eastAsia="en-GB"/>
              </w:rPr>
              <w:t>Time during which specific criteria for the event needs to be met in order to trigger a measurement report.</w:t>
            </w:r>
          </w:p>
        </w:tc>
      </w:tr>
      <w:tr w:rsidR="005C7FF4" w:rsidRPr="00FA0D37"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FA0D37" w:rsidRDefault="00394471" w:rsidP="00964CC4">
            <w:pPr>
              <w:pStyle w:val="TAL"/>
              <w:rPr>
                <w:b/>
                <w:i/>
                <w:lang w:eastAsia="sv-SE"/>
              </w:rPr>
            </w:pPr>
            <w:r w:rsidRPr="00FA0D37">
              <w:rPr>
                <w:b/>
                <w:i/>
                <w:lang w:eastAsia="sv-SE"/>
              </w:rPr>
              <w:t>bN-ThresholdUTRA-FDD</w:t>
            </w:r>
          </w:p>
          <w:p w14:paraId="312C50B6" w14:textId="77777777" w:rsidR="00394471" w:rsidRPr="00FA0D37" w:rsidRDefault="00394471" w:rsidP="00964CC4">
            <w:pPr>
              <w:pStyle w:val="TAL"/>
              <w:rPr>
                <w:b/>
                <w:i/>
                <w:lang w:eastAsia="sv-SE"/>
              </w:rPr>
            </w:pPr>
            <w:r w:rsidRPr="00FA0D37">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FA0D37" w:rsidRDefault="00394471" w:rsidP="00964CC4">
            <w:pPr>
              <w:pStyle w:val="TAL"/>
              <w:rPr>
                <w:lang w:eastAsia="en-GB"/>
              </w:rPr>
            </w:pPr>
            <w:r w:rsidRPr="00FA0D37">
              <w:rPr>
                <w:i/>
                <w:lang w:eastAsia="en-GB"/>
              </w:rPr>
              <w:t>utra-FDD-RSCP</w:t>
            </w:r>
            <w:r w:rsidRPr="00FA0D37">
              <w:rPr>
                <w:lang w:eastAsia="en-GB"/>
              </w:rPr>
              <w:t xml:space="preserve"> corresponds to CPICH_RSCP in TS 25.133 [46] for FDD. </w:t>
            </w:r>
            <w:r w:rsidRPr="00FA0D37">
              <w:rPr>
                <w:i/>
                <w:lang w:eastAsia="en-GB"/>
              </w:rPr>
              <w:t>utra-FDD-EcN0</w:t>
            </w:r>
            <w:r w:rsidRPr="00FA0D37">
              <w:rPr>
                <w:lang w:eastAsia="en-GB"/>
              </w:rPr>
              <w:t xml:space="preserve"> corresponds to CPICH_Ec/No in TS 25.133 [46] for FDD.</w:t>
            </w:r>
          </w:p>
          <w:p w14:paraId="6FFA5E85" w14:textId="77777777" w:rsidR="00394471" w:rsidRPr="00FA0D37" w:rsidRDefault="00394471" w:rsidP="00964CC4">
            <w:pPr>
              <w:pStyle w:val="TAL"/>
              <w:rPr>
                <w:lang w:eastAsia="en-GB"/>
              </w:rPr>
            </w:pPr>
            <w:r w:rsidRPr="00FA0D37">
              <w:rPr>
                <w:lang w:eastAsia="en-GB"/>
              </w:rPr>
              <w:t xml:space="preserve">For </w:t>
            </w:r>
            <w:r w:rsidRPr="00FA0D37">
              <w:rPr>
                <w:i/>
                <w:lang w:eastAsia="en-GB"/>
              </w:rPr>
              <w:t>utra-FDD-RSCP</w:t>
            </w:r>
            <w:r w:rsidRPr="00FA0D37">
              <w:rPr>
                <w:lang w:eastAsia="en-GB"/>
              </w:rPr>
              <w:t>: The actual value is field value – 115 dBm.</w:t>
            </w:r>
          </w:p>
          <w:p w14:paraId="7308FBA4" w14:textId="77777777" w:rsidR="00394471" w:rsidRPr="00FA0D37" w:rsidRDefault="00394471" w:rsidP="00964CC4">
            <w:pPr>
              <w:keepNext/>
              <w:keepLines/>
              <w:spacing w:after="0"/>
              <w:rPr>
                <w:rFonts w:ascii="Arial" w:hAnsi="Arial" w:cs="Arial"/>
                <w:b/>
                <w:i/>
                <w:sz w:val="18"/>
                <w:szCs w:val="18"/>
                <w:lang w:eastAsia="en-GB"/>
              </w:rPr>
            </w:pPr>
            <w:r w:rsidRPr="00FA0D37">
              <w:rPr>
                <w:rFonts w:ascii="Arial" w:hAnsi="Arial" w:cs="Arial"/>
                <w:sz w:val="18"/>
                <w:szCs w:val="18"/>
                <w:lang w:eastAsia="en-GB"/>
              </w:rPr>
              <w:t xml:space="preserve">For </w:t>
            </w:r>
            <w:r w:rsidRPr="00FA0D37">
              <w:rPr>
                <w:rFonts w:ascii="Arial" w:hAnsi="Arial" w:cs="Arial"/>
                <w:i/>
                <w:sz w:val="18"/>
                <w:szCs w:val="18"/>
                <w:lang w:eastAsia="en-GB"/>
              </w:rPr>
              <w:t>utra-FDD-EcN0</w:t>
            </w:r>
            <w:r w:rsidRPr="00FA0D37">
              <w:rPr>
                <w:rFonts w:ascii="Arial" w:hAnsi="Arial" w:cs="Arial"/>
                <w:sz w:val="18"/>
                <w:szCs w:val="18"/>
                <w:lang w:eastAsia="en-GB"/>
              </w:rPr>
              <w:t>: The actual value is (field value – 49)/2 dB.</w:t>
            </w:r>
          </w:p>
        </w:tc>
      </w:tr>
      <w:tr w:rsidR="005C7FF4" w:rsidRPr="00FA0D37"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FA0D37" w:rsidRDefault="00BD2D2B" w:rsidP="00BD2D2B">
            <w:pPr>
              <w:pStyle w:val="TAL"/>
              <w:rPr>
                <w:b/>
                <w:i/>
                <w:lang w:eastAsia="sv-SE"/>
              </w:rPr>
            </w:pPr>
            <w:r w:rsidRPr="00FA0D37">
              <w:rPr>
                <w:b/>
                <w:i/>
                <w:lang w:eastAsia="sv-SE"/>
              </w:rPr>
              <w:t>y</w:t>
            </w:r>
            <w:r w:rsidR="005D44A8" w:rsidRPr="00FA0D37">
              <w:rPr>
                <w:b/>
                <w:i/>
                <w:lang w:eastAsia="sv-SE"/>
              </w:rPr>
              <w:t>1</w:t>
            </w:r>
            <w:r w:rsidRPr="00FA0D37">
              <w:rPr>
                <w:b/>
                <w:i/>
                <w:lang w:eastAsia="sv-SE"/>
              </w:rPr>
              <w:t>-Threshold1</w:t>
            </w:r>
          </w:p>
          <w:p w14:paraId="1D64D4CA" w14:textId="5548CFC6" w:rsidR="00BD2D2B" w:rsidRPr="00FA0D37" w:rsidRDefault="00BD2D2B" w:rsidP="00771058">
            <w:pPr>
              <w:pStyle w:val="TAL"/>
              <w:rPr>
                <w:bCs/>
                <w:iCs/>
                <w:lang w:eastAsia="sv-SE"/>
              </w:rPr>
            </w:pPr>
            <w:r w:rsidRPr="00FA0D37">
              <w:rPr>
                <w:bCs/>
                <w:iCs/>
                <w:lang w:eastAsia="sv-SE"/>
              </w:rPr>
              <w:t>NR threshold to be used in measurement report triggering condition for event Y</w:t>
            </w:r>
            <w:r w:rsidR="005D44A8" w:rsidRPr="00FA0D37">
              <w:rPr>
                <w:bCs/>
                <w:iCs/>
                <w:lang w:eastAsia="sv-SE"/>
              </w:rPr>
              <w:t>1</w:t>
            </w:r>
            <w:r w:rsidRPr="00FA0D37">
              <w:rPr>
                <w:bCs/>
                <w:iCs/>
                <w:lang w:eastAsia="sv-SE"/>
              </w:rPr>
              <w:t>.</w:t>
            </w:r>
          </w:p>
        </w:tc>
      </w:tr>
      <w:tr w:rsidR="000830BB" w:rsidRPr="00FA0D37"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20F87F53" w:rsidR="00BD2D2B" w:rsidRPr="00FA0D37" w:rsidRDefault="00BD2D2B" w:rsidP="00BD2D2B">
            <w:pPr>
              <w:pStyle w:val="TAL"/>
              <w:rPr>
                <w:b/>
                <w:i/>
                <w:lang w:eastAsia="sv-SE"/>
              </w:rPr>
            </w:pPr>
            <w:r w:rsidRPr="00FA0D37">
              <w:rPr>
                <w:b/>
                <w:i/>
                <w:lang w:eastAsia="sv-SE"/>
              </w:rPr>
              <w:t>y</w:t>
            </w:r>
            <w:r w:rsidR="005D44A8" w:rsidRPr="00FA0D37">
              <w:rPr>
                <w:b/>
                <w:i/>
                <w:lang w:eastAsia="sv-SE"/>
              </w:rPr>
              <w:t>N</w:t>
            </w:r>
            <w:r w:rsidRPr="00FA0D37">
              <w:rPr>
                <w:b/>
                <w:i/>
                <w:lang w:eastAsia="sv-SE"/>
              </w:rPr>
              <w:t>-Threshold2-Relay</w:t>
            </w:r>
          </w:p>
          <w:p w14:paraId="257A954C" w14:textId="4D7B563D" w:rsidR="00BD2D2B" w:rsidRPr="00FA0D37" w:rsidRDefault="00BD2D2B" w:rsidP="00771058">
            <w:pPr>
              <w:pStyle w:val="TAL"/>
              <w:rPr>
                <w:bCs/>
                <w:iCs/>
                <w:lang w:eastAsia="sv-SE"/>
              </w:rPr>
            </w:pPr>
            <w:r w:rsidRPr="00FA0D37">
              <w:rPr>
                <w:bCs/>
                <w:iCs/>
                <w:lang w:eastAsia="sv-SE"/>
              </w:rPr>
              <w:t>L2 U2N Relay threshold value associated with the selected trigger quantity (i.e. RSRP) to be used in measurement report triggering condition for event number Y</w:t>
            </w:r>
            <w:r w:rsidR="005D44A8" w:rsidRPr="00FA0D37">
              <w:rPr>
                <w:bCs/>
                <w:iCs/>
                <w:lang w:eastAsia="sv-SE"/>
              </w:rPr>
              <w:t>N</w:t>
            </w:r>
            <w:r w:rsidRPr="00FA0D37">
              <w:rPr>
                <w:bCs/>
                <w:iCs/>
                <w:lang w:eastAsia="sv-SE"/>
              </w:rPr>
              <w:t>.</w:t>
            </w:r>
          </w:p>
        </w:tc>
      </w:tr>
    </w:tbl>
    <w:p w14:paraId="4108668C" w14:textId="77777777" w:rsidR="00394471" w:rsidRPr="00FA0D3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FA0D37" w:rsidRDefault="00394471" w:rsidP="00964CC4">
            <w:pPr>
              <w:pStyle w:val="TAH"/>
              <w:rPr>
                <w:szCs w:val="22"/>
                <w:lang w:eastAsia="sv-SE"/>
              </w:rPr>
            </w:pPr>
            <w:r w:rsidRPr="00FA0D37">
              <w:rPr>
                <w:i/>
                <w:szCs w:val="22"/>
                <w:lang w:eastAsia="sv-SE"/>
              </w:rPr>
              <w:lastRenderedPageBreak/>
              <w:t xml:space="preserve">PeriodicalReportConfigInterRAT </w:t>
            </w:r>
            <w:r w:rsidRPr="00FA0D37">
              <w:rPr>
                <w:szCs w:val="22"/>
                <w:lang w:eastAsia="sv-SE"/>
              </w:rPr>
              <w:t>field descriptions</w:t>
            </w:r>
          </w:p>
        </w:tc>
      </w:tr>
      <w:tr w:rsidR="005C7FF4" w:rsidRPr="00FA0D37"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FA0D37" w:rsidRDefault="00394471" w:rsidP="00964CC4">
            <w:pPr>
              <w:pStyle w:val="TAL"/>
              <w:rPr>
                <w:b/>
                <w:i/>
                <w:szCs w:val="22"/>
                <w:lang w:eastAsia="en-GB"/>
              </w:rPr>
            </w:pPr>
            <w:r w:rsidRPr="00FA0D37">
              <w:rPr>
                <w:b/>
                <w:i/>
                <w:szCs w:val="22"/>
                <w:lang w:eastAsia="en-GB"/>
              </w:rPr>
              <w:t>maxReportCells</w:t>
            </w:r>
          </w:p>
          <w:p w14:paraId="1D9BE01A" w14:textId="17ABE6F1" w:rsidR="00394471" w:rsidRPr="00FA0D37" w:rsidRDefault="00394471" w:rsidP="00964CC4">
            <w:pPr>
              <w:pStyle w:val="TAL"/>
              <w:rPr>
                <w:szCs w:val="22"/>
                <w:lang w:eastAsia="sv-SE"/>
              </w:rPr>
            </w:pPr>
            <w:r w:rsidRPr="00FA0D37">
              <w:rPr>
                <w:szCs w:val="22"/>
                <w:lang w:eastAsia="en-GB"/>
              </w:rPr>
              <w:t>Max number of non-serving cells</w:t>
            </w:r>
            <w:r w:rsidR="005D44A8" w:rsidRPr="00FA0D37">
              <w:rPr>
                <w:szCs w:val="22"/>
                <w:lang w:eastAsia="en-GB"/>
              </w:rPr>
              <w:t>/candidate L2 U2N Relay UEs</w:t>
            </w:r>
            <w:r w:rsidRPr="00FA0D37">
              <w:rPr>
                <w:szCs w:val="22"/>
                <w:lang w:eastAsia="en-GB"/>
              </w:rPr>
              <w:t xml:space="preserve"> to include in the measurement report.</w:t>
            </w:r>
          </w:p>
        </w:tc>
      </w:tr>
      <w:tr w:rsidR="005C7FF4" w:rsidRPr="00FA0D37"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FA0D37" w:rsidRDefault="00394471" w:rsidP="00964CC4">
            <w:pPr>
              <w:pStyle w:val="TAL"/>
              <w:rPr>
                <w:b/>
                <w:i/>
                <w:szCs w:val="22"/>
                <w:lang w:eastAsia="en-GB"/>
              </w:rPr>
            </w:pPr>
            <w:r w:rsidRPr="00FA0D37">
              <w:rPr>
                <w:b/>
                <w:i/>
                <w:szCs w:val="22"/>
                <w:lang w:eastAsia="en-GB"/>
              </w:rPr>
              <w:t>reportAmount</w:t>
            </w:r>
          </w:p>
          <w:p w14:paraId="09338E06" w14:textId="77777777" w:rsidR="00394471" w:rsidRPr="00FA0D37" w:rsidRDefault="00394471" w:rsidP="00964CC4">
            <w:pPr>
              <w:pStyle w:val="TAL"/>
              <w:rPr>
                <w:b/>
                <w:i/>
                <w:szCs w:val="22"/>
                <w:lang w:eastAsia="en-GB"/>
              </w:rPr>
            </w:pPr>
            <w:r w:rsidRPr="00FA0D37">
              <w:rPr>
                <w:lang w:eastAsia="sv-SE"/>
              </w:rPr>
              <w:t>Number</w:t>
            </w:r>
            <w:r w:rsidRPr="00FA0D37">
              <w:rPr>
                <w:szCs w:val="22"/>
                <w:lang w:eastAsia="en-GB"/>
              </w:rPr>
              <w:t xml:space="preserve"> of measurement reports applicable for </w:t>
            </w:r>
            <w:r w:rsidRPr="00FA0D37">
              <w:rPr>
                <w:i/>
                <w:szCs w:val="22"/>
                <w:lang w:eastAsia="en-GB"/>
              </w:rPr>
              <w:t>eventTriggered</w:t>
            </w:r>
            <w:r w:rsidRPr="00FA0D37">
              <w:rPr>
                <w:szCs w:val="22"/>
                <w:lang w:eastAsia="en-GB"/>
              </w:rPr>
              <w:t xml:space="preserve"> as well as for </w:t>
            </w:r>
            <w:r w:rsidRPr="00FA0D37">
              <w:rPr>
                <w:i/>
                <w:szCs w:val="22"/>
                <w:lang w:eastAsia="en-GB"/>
              </w:rPr>
              <w:t>periodical</w:t>
            </w:r>
            <w:r w:rsidRPr="00FA0D37">
              <w:rPr>
                <w:szCs w:val="22"/>
                <w:lang w:eastAsia="en-GB"/>
              </w:rPr>
              <w:t xml:space="preserve"> report types</w:t>
            </w:r>
          </w:p>
        </w:tc>
      </w:tr>
      <w:tr w:rsidR="00394471" w:rsidRPr="00FA0D37"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FA0D37" w:rsidRDefault="00394471" w:rsidP="00964CC4">
            <w:pPr>
              <w:pStyle w:val="TAL"/>
              <w:rPr>
                <w:b/>
                <w:i/>
                <w:szCs w:val="22"/>
                <w:lang w:eastAsia="sv-SE"/>
              </w:rPr>
            </w:pPr>
            <w:r w:rsidRPr="00FA0D37">
              <w:rPr>
                <w:b/>
                <w:i/>
                <w:szCs w:val="22"/>
                <w:lang w:eastAsia="sv-SE"/>
              </w:rPr>
              <w:t>reportQuantity, reportQuantityUTRA-FDD</w:t>
            </w:r>
          </w:p>
          <w:p w14:paraId="4DDF1CD5" w14:textId="77777777" w:rsidR="00394471" w:rsidRPr="00FA0D37" w:rsidRDefault="00394471" w:rsidP="00964CC4">
            <w:pPr>
              <w:pStyle w:val="TAL"/>
              <w:rPr>
                <w:b/>
                <w:i/>
                <w:szCs w:val="22"/>
                <w:lang w:eastAsia="en-GB"/>
              </w:rPr>
            </w:pPr>
            <w:r w:rsidRPr="00FA0D37">
              <w:rPr>
                <w:szCs w:val="22"/>
                <w:lang w:eastAsia="en-GB"/>
              </w:rPr>
              <w:t xml:space="preserve">The cell measurement quantities to be included in the measurement report. If the field </w:t>
            </w:r>
            <w:r w:rsidRPr="00FA0D37">
              <w:rPr>
                <w:i/>
                <w:szCs w:val="22"/>
                <w:lang w:eastAsia="en-GB"/>
              </w:rPr>
              <w:t>reportQuantityUTRA-FDD</w:t>
            </w:r>
            <w:r w:rsidRPr="00FA0D37">
              <w:rPr>
                <w:szCs w:val="22"/>
                <w:lang w:eastAsia="en-GB"/>
              </w:rPr>
              <w:t xml:space="preserve"> is present, the UE shall ignore the value(s) provided in </w:t>
            </w:r>
            <w:r w:rsidRPr="00FA0D37">
              <w:rPr>
                <w:i/>
                <w:szCs w:val="22"/>
                <w:lang w:eastAsia="en-GB"/>
              </w:rPr>
              <w:t>reportQuantity</w:t>
            </w:r>
            <w:r w:rsidRPr="00FA0D37">
              <w:rPr>
                <w:szCs w:val="22"/>
                <w:lang w:eastAsia="en-GB"/>
              </w:rPr>
              <w:t>.</w:t>
            </w:r>
          </w:p>
        </w:tc>
      </w:tr>
    </w:tbl>
    <w:p w14:paraId="60A6350C" w14:textId="77777777" w:rsidR="00394471" w:rsidRPr="00FA0D37" w:rsidRDefault="00394471" w:rsidP="00394471">
      <w:pPr>
        <w:rPr>
          <w:rFonts w:eastAsia="MS Mincho"/>
        </w:rPr>
      </w:pPr>
    </w:p>
    <w:p w14:paraId="634DF608" w14:textId="77777777" w:rsidR="00394471" w:rsidRPr="00FA0D37" w:rsidRDefault="00394471" w:rsidP="00394471">
      <w:pPr>
        <w:pStyle w:val="4"/>
        <w:rPr>
          <w:rFonts w:eastAsia="MS Mincho"/>
          <w:i/>
        </w:rPr>
      </w:pPr>
      <w:bookmarkStart w:id="1318" w:name="_Toc60777350"/>
      <w:bookmarkStart w:id="1319" w:name="_Toc146781431"/>
      <w:r w:rsidRPr="00FA0D37">
        <w:rPr>
          <w:rFonts w:eastAsia="MS Mincho"/>
        </w:rPr>
        <w:t>–</w:t>
      </w:r>
      <w:r w:rsidRPr="00FA0D37">
        <w:rPr>
          <w:rFonts w:eastAsia="MS Mincho"/>
        </w:rPr>
        <w:tab/>
      </w:r>
      <w:r w:rsidRPr="00FA0D37">
        <w:rPr>
          <w:rFonts w:eastAsia="MS Mincho"/>
          <w:i/>
        </w:rPr>
        <w:t>ReportConfigNR</w:t>
      </w:r>
      <w:bookmarkEnd w:id="1318"/>
      <w:bookmarkEnd w:id="1319"/>
    </w:p>
    <w:p w14:paraId="40E48798" w14:textId="71F8D2F4" w:rsidR="00394471" w:rsidRPr="00FA0D37" w:rsidRDefault="00394471" w:rsidP="00394471">
      <w:pPr>
        <w:rPr>
          <w:rFonts w:eastAsia="MS Mincho"/>
        </w:rPr>
      </w:pPr>
      <w:r w:rsidRPr="00FA0D37">
        <w:t xml:space="preserve">The IE </w:t>
      </w:r>
      <w:r w:rsidRPr="00FA0D37">
        <w:rPr>
          <w:i/>
        </w:rPr>
        <w:t>ReportConfigNR</w:t>
      </w:r>
      <w:r w:rsidRPr="00FA0D37">
        <w:t xml:space="preserve"> specifies criteria for triggering of an NR measurement reporting event or of a CHO</w:t>
      </w:r>
      <w:r w:rsidR="00DB6B82" w:rsidRPr="00FA0D37">
        <w:t>, CPA</w:t>
      </w:r>
      <w:r w:rsidRPr="00FA0D37">
        <w:t xml:space="preserve"> or CPC event</w:t>
      </w:r>
      <w:r w:rsidR="005D44A8" w:rsidRPr="00FA0D37">
        <w:t xml:space="preserve"> or of an L2 U2N relay measurement reporting event</w:t>
      </w:r>
      <w:r w:rsidRPr="00FA0D37">
        <w:t>. For events labelled AN with N equal to 1, 2 and so on, measurement reporting events and CHO</w:t>
      </w:r>
      <w:r w:rsidR="00DB6B82" w:rsidRPr="00FA0D37">
        <w:t>, CPA</w:t>
      </w:r>
      <w:r w:rsidRPr="00FA0D37">
        <w:t xml:space="preserve"> or CPC events are based on cell measurement results, which can either be derived based on SS/PBCH block or CSI-RS.</w:t>
      </w:r>
    </w:p>
    <w:p w14:paraId="1A32A145" w14:textId="77777777" w:rsidR="00394471" w:rsidRPr="00FA0D37" w:rsidRDefault="00394471" w:rsidP="00394471">
      <w:pPr>
        <w:pStyle w:val="B1"/>
      </w:pPr>
      <w:r w:rsidRPr="00FA0D37">
        <w:t>Event A1:</w:t>
      </w:r>
      <w:r w:rsidRPr="00FA0D37">
        <w:tab/>
        <w:t>Serving becomes better than absolute threshold;</w:t>
      </w:r>
    </w:p>
    <w:p w14:paraId="23619FBF" w14:textId="77777777" w:rsidR="00394471" w:rsidRPr="00FA0D37" w:rsidRDefault="00394471" w:rsidP="00394471">
      <w:pPr>
        <w:pStyle w:val="B1"/>
      </w:pPr>
      <w:r w:rsidRPr="00FA0D37">
        <w:t>Event A2:</w:t>
      </w:r>
      <w:r w:rsidRPr="00FA0D37">
        <w:tab/>
        <w:t>Serving becomes worse than absolute threshold;</w:t>
      </w:r>
    </w:p>
    <w:p w14:paraId="733A2765" w14:textId="77777777" w:rsidR="00394471" w:rsidRPr="00FA0D37" w:rsidRDefault="00394471" w:rsidP="00394471">
      <w:pPr>
        <w:pStyle w:val="B1"/>
      </w:pPr>
      <w:r w:rsidRPr="00FA0D37">
        <w:t>Event A3:</w:t>
      </w:r>
      <w:r w:rsidRPr="00FA0D37">
        <w:tab/>
        <w:t>Neighbour becomes amount of offset better than PCell/PSCell;</w:t>
      </w:r>
    </w:p>
    <w:p w14:paraId="190632B3" w14:textId="77777777" w:rsidR="00394471" w:rsidRPr="00FA0D37" w:rsidRDefault="00394471" w:rsidP="00394471">
      <w:pPr>
        <w:pStyle w:val="B1"/>
      </w:pPr>
      <w:r w:rsidRPr="00FA0D37">
        <w:t>Event A4:</w:t>
      </w:r>
      <w:r w:rsidRPr="00FA0D37">
        <w:tab/>
        <w:t>Neighbour becomes better than absolute threshold;</w:t>
      </w:r>
    </w:p>
    <w:p w14:paraId="1DD3AAD0" w14:textId="77777777" w:rsidR="00394471" w:rsidRPr="00FA0D37" w:rsidRDefault="00394471" w:rsidP="00394471">
      <w:pPr>
        <w:pStyle w:val="B1"/>
      </w:pPr>
      <w:r w:rsidRPr="00FA0D37">
        <w:t>Event A5:</w:t>
      </w:r>
      <w:r w:rsidRPr="00FA0D37">
        <w:tab/>
        <w:t>PCell/PSCell becomes worse than absolute threshold1 AND Neighbour/SCell becomes better than another absolute threshold2;</w:t>
      </w:r>
    </w:p>
    <w:p w14:paraId="5C4CA05D" w14:textId="77777777" w:rsidR="00394471" w:rsidRPr="00FA0D37" w:rsidRDefault="00394471" w:rsidP="00394471">
      <w:pPr>
        <w:pStyle w:val="B1"/>
      </w:pPr>
      <w:r w:rsidRPr="00FA0D37">
        <w:t>Event A6:</w:t>
      </w:r>
      <w:r w:rsidRPr="00FA0D37">
        <w:tab/>
        <w:t>Neighbour becomes amount of offset better than SCell;</w:t>
      </w:r>
    </w:p>
    <w:p w14:paraId="40357534" w14:textId="215167C6" w:rsidR="005B7637" w:rsidRPr="00FA0D37" w:rsidRDefault="005B7637" w:rsidP="005B7637">
      <w:pPr>
        <w:pStyle w:val="B1"/>
        <w:rPr>
          <w:rFonts w:eastAsiaTheme="minorEastAsia"/>
        </w:rPr>
      </w:pPr>
      <w:r w:rsidRPr="00FA0D37">
        <w:t>Event D1:</w:t>
      </w:r>
      <w:r w:rsidR="00771058" w:rsidRPr="00FA0D37">
        <w:tab/>
      </w:r>
      <w:r w:rsidRPr="00FA0D37">
        <w:t xml:space="preserve">Distance between UE and a reference location </w:t>
      </w:r>
      <w:r w:rsidRPr="00FA0D37">
        <w:rPr>
          <w:i/>
          <w:iCs/>
        </w:rPr>
        <w:t>referenceLocation1</w:t>
      </w:r>
      <w:r w:rsidRPr="00FA0D37">
        <w:t xml:space="preserve"> becomes larger than configured threshold </w:t>
      </w:r>
      <w:r w:rsidR="00771058" w:rsidRPr="00FA0D37">
        <w:rPr>
          <w:i/>
        </w:rPr>
        <w:t>distance</w:t>
      </w:r>
      <w:r w:rsidRPr="00FA0D37">
        <w:rPr>
          <w:i/>
          <w:iCs/>
        </w:rPr>
        <w:t>Thresh</w:t>
      </w:r>
      <w:r w:rsidR="00771058" w:rsidRPr="00FA0D37">
        <w:rPr>
          <w:i/>
        </w:rPr>
        <w:t>FromReference</w:t>
      </w:r>
      <w:r w:rsidRPr="00FA0D37">
        <w:rPr>
          <w:i/>
          <w:iCs/>
        </w:rPr>
        <w:t>1</w:t>
      </w:r>
      <w:r w:rsidRPr="00FA0D37">
        <w:t xml:space="preserve"> and distance between UE and a reference location </w:t>
      </w:r>
      <w:r w:rsidRPr="00FA0D37">
        <w:rPr>
          <w:i/>
        </w:rPr>
        <w:t>referenceLocation2</w:t>
      </w:r>
      <w:r w:rsidRPr="00FA0D37">
        <w:t xml:space="preserve"> becomes shorter than configured threshold </w:t>
      </w:r>
      <w:r w:rsidR="00771058" w:rsidRPr="00FA0D37">
        <w:rPr>
          <w:i/>
        </w:rPr>
        <w:t>distance</w:t>
      </w:r>
      <w:r w:rsidRPr="00FA0D37">
        <w:rPr>
          <w:i/>
          <w:iCs/>
        </w:rPr>
        <w:t>Thresh</w:t>
      </w:r>
      <w:r w:rsidR="00771058" w:rsidRPr="00FA0D37">
        <w:rPr>
          <w:i/>
        </w:rPr>
        <w:t>FromReference</w:t>
      </w:r>
      <w:r w:rsidRPr="00FA0D37">
        <w:rPr>
          <w:i/>
          <w:iCs/>
        </w:rPr>
        <w:t>2</w:t>
      </w:r>
      <w:r w:rsidRPr="00FA0D37">
        <w:t>;</w:t>
      </w:r>
    </w:p>
    <w:p w14:paraId="02B0EF79" w14:textId="77777777" w:rsidR="00394471" w:rsidRPr="00FA0D37" w:rsidRDefault="00394471" w:rsidP="00394471">
      <w:pPr>
        <w:pStyle w:val="B1"/>
      </w:pPr>
      <w:r w:rsidRPr="00FA0D37">
        <w:t>CondEvent A3: Conditional reconfiguration candidate becomes amount of offset better than PCell/PSCell;</w:t>
      </w:r>
    </w:p>
    <w:p w14:paraId="68B9A849" w14:textId="5E31C4CB" w:rsidR="005B7637" w:rsidRPr="00FA0D37" w:rsidRDefault="005B7637" w:rsidP="005B7637">
      <w:pPr>
        <w:pStyle w:val="B1"/>
        <w:rPr>
          <w:rFonts w:eastAsiaTheme="minorEastAsia"/>
        </w:rPr>
      </w:pPr>
      <w:r w:rsidRPr="00FA0D37">
        <w:t>CondEvent A4: Conditional reconfiguration candidate becomes better than absolute threshold</w:t>
      </w:r>
      <w:r w:rsidRPr="00FA0D37">
        <w:rPr>
          <w:rFonts w:ascii="等线" w:eastAsia="等线" w:hAnsi="等线"/>
          <w:lang w:eastAsia="zh-CN"/>
        </w:rPr>
        <w:t>;</w:t>
      </w:r>
    </w:p>
    <w:p w14:paraId="58DFA6B5" w14:textId="77777777" w:rsidR="00394471" w:rsidRPr="00FA0D37" w:rsidRDefault="00394471" w:rsidP="00394471">
      <w:pPr>
        <w:pStyle w:val="B1"/>
      </w:pPr>
      <w:r w:rsidRPr="00FA0D37">
        <w:t>CondEvent A5: PCell/PSCell becomes worse than absolute threshold1 AND Conditional reconfiguration candidate becomes better than another absolute threshold2;</w:t>
      </w:r>
    </w:p>
    <w:p w14:paraId="4E743A62" w14:textId="657CF68C" w:rsidR="005B7637" w:rsidRPr="00FA0D37" w:rsidRDefault="005B7637" w:rsidP="005B7637">
      <w:pPr>
        <w:pStyle w:val="B1"/>
        <w:rPr>
          <w:rFonts w:eastAsiaTheme="minorEastAsia"/>
        </w:rPr>
      </w:pPr>
      <w:r w:rsidRPr="00FA0D37">
        <w:t xml:space="preserve">CondEvent D1: Distance between UE and a reference location </w:t>
      </w:r>
      <w:r w:rsidRPr="00FA0D37">
        <w:rPr>
          <w:i/>
          <w:iCs/>
        </w:rPr>
        <w:t>referenceLocation1</w:t>
      </w:r>
      <w:r w:rsidRPr="00FA0D37">
        <w:t xml:space="preserve"> becomes larger than configured threshold </w:t>
      </w:r>
      <w:r w:rsidR="00771058" w:rsidRPr="00FA0D37">
        <w:rPr>
          <w:i/>
        </w:rPr>
        <w:t>distance</w:t>
      </w:r>
      <w:r w:rsidRPr="00FA0D37">
        <w:rPr>
          <w:i/>
          <w:iCs/>
        </w:rPr>
        <w:t>Thresh</w:t>
      </w:r>
      <w:r w:rsidR="00771058" w:rsidRPr="00FA0D37">
        <w:rPr>
          <w:i/>
        </w:rPr>
        <w:t>FromReference</w:t>
      </w:r>
      <w:r w:rsidRPr="00FA0D37">
        <w:rPr>
          <w:i/>
          <w:iCs/>
        </w:rPr>
        <w:t>1</w:t>
      </w:r>
      <w:r w:rsidRPr="00FA0D37">
        <w:t xml:space="preserve"> and distance between UE and a reference location </w:t>
      </w:r>
      <w:r w:rsidRPr="00FA0D37">
        <w:rPr>
          <w:i/>
        </w:rPr>
        <w:t>referenceLocation2</w:t>
      </w:r>
      <w:r w:rsidRPr="00FA0D37">
        <w:t xml:space="preserve"> of conditional reconfiguration candidate becomes shorter than configured threshold </w:t>
      </w:r>
      <w:r w:rsidR="00771058" w:rsidRPr="00FA0D37">
        <w:rPr>
          <w:i/>
        </w:rPr>
        <w:t>distance</w:t>
      </w:r>
      <w:r w:rsidRPr="00FA0D37">
        <w:rPr>
          <w:i/>
          <w:iCs/>
        </w:rPr>
        <w:t>Thresh</w:t>
      </w:r>
      <w:r w:rsidR="00771058" w:rsidRPr="00FA0D37">
        <w:rPr>
          <w:i/>
        </w:rPr>
        <w:t>FromReference</w:t>
      </w:r>
      <w:r w:rsidRPr="00FA0D37">
        <w:rPr>
          <w:i/>
          <w:iCs/>
        </w:rPr>
        <w:t>2</w:t>
      </w:r>
      <w:r w:rsidRPr="00FA0D37">
        <w:t>;</w:t>
      </w:r>
    </w:p>
    <w:p w14:paraId="5BF09332" w14:textId="61CBA435" w:rsidR="005B7637" w:rsidRPr="00FA0D37" w:rsidRDefault="005B7637" w:rsidP="005B7637">
      <w:pPr>
        <w:pStyle w:val="B1"/>
      </w:pPr>
      <w:bookmarkStart w:id="1320" w:name="_Hlk87969184"/>
      <w:r w:rsidRPr="00FA0D37">
        <w:t xml:space="preserve">CondEvent T1: Time measured at UE becomes more than configured threshold </w:t>
      </w:r>
      <w:r w:rsidR="00771058" w:rsidRPr="00FA0D37">
        <w:rPr>
          <w:i/>
        </w:rPr>
        <w:t>t1-</w:t>
      </w:r>
      <w:r w:rsidR="00771058" w:rsidRPr="00FA0D37">
        <w:rPr>
          <w:i/>
          <w:iCs/>
        </w:rPr>
        <w:t>Threshold</w:t>
      </w:r>
      <w:r w:rsidRPr="00FA0D37">
        <w:rPr>
          <w:i/>
          <w:iCs/>
        </w:rPr>
        <w:t xml:space="preserve"> </w:t>
      </w:r>
      <w:r w:rsidRPr="00FA0D37">
        <w:t xml:space="preserve">but is less than </w:t>
      </w:r>
      <w:r w:rsidR="00771058" w:rsidRPr="00FA0D37">
        <w:rPr>
          <w:i/>
        </w:rPr>
        <w:t>t1-Threshold + duration</w:t>
      </w:r>
      <w:r w:rsidRPr="00FA0D37">
        <w:t>;</w:t>
      </w:r>
    </w:p>
    <w:bookmarkEnd w:id="1320"/>
    <w:p w14:paraId="196F1234" w14:textId="51B6E942" w:rsidR="002D7FAF" w:rsidRPr="00FA0D37" w:rsidRDefault="002D7FAF" w:rsidP="002D7FAF">
      <w:pPr>
        <w:pStyle w:val="B1"/>
      </w:pPr>
      <w:r w:rsidRPr="00FA0D37">
        <w:lastRenderedPageBreak/>
        <w:t>Event X1:</w:t>
      </w:r>
      <w:r w:rsidRPr="00FA0D37">
        <w:tab/>
        <w:t>Se</w:t>
      </w:r>
      <w:r w:rsidR="005D44A8" w:rsidRPr="00FA0D37">
        <w:t>r</w:t>
      </w:r>
      <w:r w:rsidRPr="00FA0D37">
        <w:t>ving L2 U2N Relay UE becomes worse than absolute threshold1 AND NR Cell becomes better than another absolute threshold2;</w:t>
      </w:r>
    </w:p>
    <w:p w14:paraId="551A23A4" w14:textId="77777777" w:rsidR="002D7FAF" w:rsidRPr="00FA0D37" w:rsidRDefault="002D7FAF" w:rsidP="002D7FAF">
      <w:pPr>
        <w:pStyle w:val="B1"/>
      </w:pPr>
      <w:r w:rsidRPr="00FA0D37">
        <w:t>Event X2:</w:t>
      </w:r>
      <w:r w:rsidRPr="00FA0D37">
        <w:tab/>
        <w:t>Serving L2 U2N Relay UE becomes worse than absolute threshold;</w:t>
      </w:r>
    </w:p>
    <w:p w14:paraId="170B5EFA" w14:textId="77777777" w:rsidR="00394471" w:rsidRPr="00FA0D37" w:rsidRDefault="00394471" w:rsidP="00394471">
      <w:r w:rsidRPr="00FA0D37">
        <w:t>For event I1, measurement reporting event is based on CLI measurement results, which can either be derived based on SRS-RSRP or CLI-RSSI.</w:t>
      </w:r>
    </w:p>
    <w:p w14:paraId="2A47528C" w14:textId="77777777" w:rsidR="00394471" w:rsidRPr="00FA0D37" w:rsidRDefault="00394471" w:rsidP="00394471">
      <w:pPr>
        <w:pStyle w:val="B1"/>
      </w:pPr>
      <w:r w:rsidRPr="00FA0D37">
        <w:t>Event I1:</w:t>
      </w:r>
      <w:r w:rsidRPr="00FA0D37">
        <w:tab/>
        <w:t>Interference becomes higher than absolute threshold.</w:t>
      </w:r>
    </w:p>
    <w:p w14:paraId="0D368168" w14:textId="77777777" w:rsidR="00394471" w:rsidRPr="00FA0D37" w:rsidRDefault="00394471" w:rsidP="00394471">
      <w:pPr>
        <w:pStyle w:val="TH"/>
      </w:pPr>
      <w:r w:rsidRPr="00FA0D37">
        <w:rPr>
          <w:i/>
        </w:rPr>
        <w:t>ReportConfigNR</w:t>
      </w:r>
      <w:r w:rsidRPr="00FA0D37">
        <w:t xml:space="preserve"> information element</w:t>
      </w:r>
    </w:p>
    <w:p w14:paraId="7F0F1D43" w14:textId="77777777" w:rsidR="00394471" w:rsidRPr="00FA0D37" w:rsidRDefault="00394471" w:rsidP="00FA0D37">
      <w:pPr>
        <w:pStyle w:val="PL"/>
        <w:rPr>
          <w:color w:val="808080"/>
        </w:rPr>
      </w:pPr>
      <w:r w:rsidRPr="00FA0D37">
        <w:rPr>
          <w:color w:val="808080"/>
        </w:rPr>
        <w:t>-- ASN1START</w:t>
      </w:r>
    </w:p>
    <w:p w14:paraId="01E2932C" w14:textId="77777777" w:rsidR="00394471" w:rsidRPr="00FA0D37" w:rsidRDefault="00394471" w:rsidP="00FA0D37">
      <w:pPr>
        <w:pStyle w:val="PL"/>
        <w:rPr>
          <w:color w:val="808080"/>
        </w:rPr>
      </w:pPr>
      <w:r w:rsidRPr="00FA0D37">
        <w:rPr>
          <w:color w:val="808080"/>
        </w:rPr>
        <w:t>-- TAG-REPORTCONFIGNR-START</w:t>
      </w:r>
    </w:p>
    <w:p w14:paraId="6C34ADF6" w14:textId="77777777" w:rsidR="00394471" w:rsidRPr="00FA0D37" w:rsidRDefault="00394471" w:rsidP="00FA0D37">
      <w:pPr>
        <w:pStyle w:val="PL"/>
      </w:pPr>
    </w:p>
    <w:p w14:paraId="3C02B24D" w14:textId="77777777" w:rsidR="00394471" w:rsidRPr="00FA0D37" w:rsidRDefault="00394471" w:rsidP="00FA0D37">
      <w:pPr>
        <w:pStyle w:val="PL"/>
      </w:pPr>
      <w:r w:rsidRPr="00FA0D37">
        <w:t xml:space="preserve">ReportConfigNR ::=                          </w:t>
      </w:r>
      <w:r w:rsidRPr="00FA0D37">
        <w:rPr>
          <w:color w:val="993366"/>
        </w:rPr>
        <w:t>SEQUENCE</w:t>
      </w:r>
      <w:r w:rsidRPr="00FA0D37">
        <w:t xml:space="preserve"> {</w:t>
      </w:r>
    </w:p>
    <w:p w14:paraId="4E7F0F29" w14:textId="77777777" w:rsidR="00394471" w:rsidRPr="00FA0D37" w:rsidRDefault="00394471" w:rsidP="00FA0D37">
      <w:pPr>
        <w:pStyle w:val="PL"/>
      </w:pPr>
      <w:r w:rsidRPr="00FA0D37">
        <w:t xml:space="preserve">    reportType                                  </w:t>
      </w:r>
      <w:r w:rsidRPr="00FA0D37">
        <w:rPr>
          <w:color w:val="993366"/>
        </w:rPr>
        <w:t>CHOICE</w:t>
      </w:r>
      <w:r w:rsidRPr="00FA0D37">
        <w:t xml:space="preserve"> {</w:t>
      </w:r>
    </w:p>
    <w:p w14:paraId="7B7573E7" w14:textId="77777777" w:rsidR="00394471" w:rsidRPr="00FA0D37" w:rsidRDefault="00394471" w:rsidP="00FA0D37">
      <w:pPr>
        <w:pStyle w:val="PL"/>
      </w:pPr>
      <w:r w:rsidRPr="00FA0D37">
        <w:t xml:space="preserve">        periodical                                  PeriodicalReportConfig,</w:t>
      </w:r>
    </w:p>
    <w:p w14:paraId="63EC6737" w14:textId="77777777" w:rsidR="00394471" w:rsidRPr="00FA0D37" w:rsidRDefault="00394471" w:rsidP="00FA0D37">
      <w:pPr>
        <w:pStyle w:val="PL"/>
      </w:pPr>
      <w:r w:rsidRPr="00FA0D37">
        <w:t xml:space="preserve">        eventTriggered                              EventTriggerConfig,</w:t>
      </w:r>
    </w:p>
    <w:p w14:paraId="7F40A462" w14:textId="77777777" w:rsidR="00394471" w:rsidRPr="00FA0D37" w:rsidRDefault="00394471" w:rsidP="00FA0D37">
      <w:pPr>
        <w:pStyle w:val="PL"/>
      </w:pPr>
      <w:r w:rsidRPr="00FA0D37">
        <w:t xml:space="preserve">        ...,</w:t>
      </w:r>
    </w:p>
    <w:p w14:paraId="6DEF4A05" w14:textId="77777777" w:rsidR="00394471" w:rsidRPr="00FA0D37" w:rsidRDefault="00394471" w:rsidP="00FA0D37">
      <w:pPr>
        <w:pStyle w:val="PL"/>
      </w:pPr>
      <w:r w:rsidRPr="00FA0D37">
        <w:t xml:space="preserve">        reportCGI                                   ReportCGI,</w:t>
      </w:r>
    </w:p>
    <w:p w14:paraId="0FF79CED" w14:textId="77777777" w:rsidR="00394471" w:rsidRPr="00FA0D37" w:rsidRDefault="00394471" w:rsidP="00FA0D37">
      <w:pPr>
        <w:pStyle w:val="PL"/>
      </w:pPr>
      <w:r w:rsidRPr="00FA0D37">
        <w:t xml:space="preserve">        reportSFTD                                  ReportSFTD-NR,</w:t>
      </w:r>
    </w:p>
    <w:p w14:paraId="294BF45C" w14:textId="77777777" w:rsidR="00394471" w:rsidRPr="00FA0D37" w:rsidRDefault="00394471" w:rsidP="00FA0D37">
      <w:pPr>
        <w:pStyle w:val="PL"/>
      </w:pPr>
      <w:r w:rsidRPr="00FA0D37">
        <w:t xml:space="preserve">        condTriggerConfig-r16                       CondTriggerConfig-r16,</w:t>
      </w:r>
    </w:p>
    <w:p w14:paraId="61EA331A" w14:textId="77777777" w:rsidR="00394471" w:rsidRPr="00FA0D37" w:rsidRDefault="00394471" w:rsidP="00FA0D37">
      <w:pPr>
        <w:pStyle w:val="PL"/>
      </w:pPr>
      <w:r w:rsidRPr="00FA0D37">
        <w:t xml:space="preserve">        cli-Periodical-r16                          CLI-PeriodicalReportConfig-r16,</w:t>
      </w:r>
    </w:p>
    <w:p w14:paraId="1B590088" w14:textId="77777777" w:rsidR="004E4A9E" w:rsidRPr="00FA0D37" w:rsidRDefault="00394471" w:rsidP="00FA0D37">
      <w:pPr>
        <w:pStyle w:val="PL"/>
      </w:pPr>
      <w:r w:rsidRPr="00FA0D37">
        <w:t xml:space="preserve">        cli-EventTriggered-r16                      CLI-EventTriggerConfig-r16</w:t>
      </w:r>
      <w:r w:rsidR="004E4A9E" w:rsidRPr="00FA0D37">
        <w:t>,</w:t>
      </w:r>
    </w:p>
    <w:p w14:paraId="70B769CC" w14:textId="40761FE6" w:rsidR="00394471" w:rsidRPr="00FA0D37" w:rsidRDefault="004E4A9E" w:rsidP="00FA0D37">
      <w:pPr>
        <w:pStyle w:val="PL"/>
      </w:pPr>
      <w:r w:rsidRPr="00FA0D37">
        <w:t xml:space="preserve">        rxTxPeriodical-r17                          RxTxPeriodical-r17</w:t>
      </w:r>
    </w:p>
    <w:p w14:paraId="4762B2E4" w14:textId="77777777" w:rsidR="00394471" w:rsidRPr="00FA0D37" w:rsidRDefault="00394471" w:rsidP="00FA0D37">
      <w:pPr>
        <w:pStyle w:val="PL"/>
      </w:pPr>
      <w:r w:rsidRPr="00FA0D37">
        <w:t xml:space="preserve">    }</w:t>
      </w:r>
    </w:p>
    <w:p w14:paraId="3075B15E" w14:textId="77777777" w:rsidR="00394471" w:rsidRPr="00FA0D37" w:rsidRDefault="00394471" w:rsidP="00FA0D37">
      <w:pPr>
        <w:pStyle w:val="PL"/>
      </w:pPr>
      <w:r w:rsidRPr="00FA0D37">
        <w:t>}</w:t>
      </w:r>
    </w:p>
    <w:p w14:paraId="2E222323" w14:textId="77777777" w:rsidR="00394471" w:rsidRPr="00FA0D37" w:rsidRDefault="00394471" w:rsidP="00FA0D37">
      <w:pPr>
        <w:pStyle w:val="PL"/>
      </w:pPr>
    </w:p>
    <w:p w14:paraId="6EAAD432" w14:textId="77777777" w:rsidR="00394471" w:rsidRPr="00FA0D37" w:rsidRDefault="00394471" w:rsidP="00FA0D37">
      <w:pPr>
        <w:pStyle w:val="PL"/>
      </w:pPr>
      <w:r w:rsidRPr="00FA0D37">
        <w:t xml:space="preserve">ReportCGI ::=                     </w:t>
      </w:r>
      <w:r w:rsidRPr="00FA0D37">
        <w:rPr>
          <w:color w:val="993366"/>
        </w:rPr>
        <w:t>SEQUENCE</w:t>
      </w:r>
      <w:r w:rsidRPr="00FA0D37">
        <w:t xml:space="preserve"> {</w:t>
      </w:r>
    </w:p>
    <w:p w14:paraId="2A9B843E" w14:textId="77777777" w:rsidR="00394471" w:rsidRPr="00FA0D37" w:rsidRDefault="00394471" w:rsidP="00FA0D37">
      <w:pPr>
        <w:pStyle w:val="PL"/>
      </w:pPr>
      <w:r w:rsidRPr="00FA0D37">
        <w:t xml:space="preserve">    cellForWhichToReportCGI          PhysCellId,</w:t>
      </w:r>
    </w:p>
    <w:p w14:paraId="2B2CFE97" w14:textId="77777777" w:rsidR="00394471" w:rsidRPr="00FA0D37" w:rsidRDefault="00394471" w:rsidP="00FA0D37">
      <w:pPr>
        <w:pStyle w:val="PL"/>
      </w:pPr>
      <w:r w:rsidRPr="00FA0D37">
        <w:t xml:space="preserve">        ...,</w:t>
      </w:r>
    </w:p>
    <w:p w14:paraId="782FA5F1" w14:textId="77777777" w:rsidR="00394471" w:rsidRPr="00FA0D37" w:rsidRDefault="00394471" w:rsidP="00FA0D37">
      <w:pPr>
        <w:pStyle w:val="PL"/>
      </w:pPr>
      <w:r w:rsidRPr="00FA0D37">
        <w:t xml:space="preserve">    [[</w:t>
      </w:r>
    </w:p>
    <w:p w14:paraId="56FE0C81" w14:textId="77777777" w:rsidR="00394471" w:rsidRPr="00FA0D37" w:rsidRDefault="00394471" w:rsidP="00FA0D37">
      <w:pPr>
        <w:pStyle w:val="PL"/>
        <w:rPr>
          <w:color w:val="808080"/>
        </w:rPr>
      </w:pPr>
      <w:r w:rsidRPr="00FA0D37">
        <w:t xml:space="preserve">    useAutonomousGaps-r16            </w:t>
      </w:r>
      <w:r w:rsidRPr="00FA0D37">
        <w:rPr>
          <w:color w:val="993366"/>
        </w:rPr>
        <w:t>ENUMERATED</w:t>
      </w:r>
      <w:r w:rsidRPr="00FA0D37">
        <w:t xml:space="preserve"> {setup}                </w:t>
      </w:r>
      <w:r w:rsidRPr="00FA0D37">
        <w:rPr>
          <w:color w:val="993366"/>
        </w:rPr>
        <w:t>OPTIONAL</w:t>
      </w:r>
      <w:r w:rsidRPr="00FA0D37">
        <w:t xml:space="preserve">   </w:t>
      </w:r>
      <w:r w:rsidRPr="00FA0D37">
        <w:rPr>
          <w:color w:val="808080"/>
        </w:rPr>
        <w:t>-- Need R</w:t>
      </w:r>
    </w:p>
    <w:p w14:paraId="6B3297BD" w14:textId="77777777" w:rsidR="00394471" w:rsidRPr="00FA0D37" w:rsidRDefault="00394471" w:rsidP="00FA0D37">
      <w:pPr>
        <w:pStyle w:val="PL"/>
      </w:pPr>
      <w:r w:rsidRPr="00FA0D37">
        <w:t xml:space="preserve">    ]]</w:t>
      </w:r>
    </w:p>
    <w:p w14:paraId="0EF41690" w14:textId="77777777" w:rsidR="00394471" w:rsidRPr="00FA0D37" w:rsidRDefault="00394471" w:rsidP="00FA0D37">
      <w:pPr>
        <w:pStyle w:val="PL"/>
      </w:pPr>
    </w:p>
    <w:p w14:paraId="4512512D" w14:textId="77777777" w:rsidR="00394471" w:rsidRPr="00FA0D37" w:rsidRDefault="00394471" w:rsidP="00FA0D37">
      <w:pPr>
        <w:pStyle w:val="PL"/>
      </w:pPr>
      <w:r w:rsidRPr="00FA0D37">
        <w:t>}</w:t>
      </w:r>
    </w:p>
    <w:p w14:paraId="6AC11465" w14:textId="77777777" w:rsidR="00394471" w:rsidRPr="00FA0D37" w:rsidRDefault="00394471" w:rsidP="00FA0D37">
      <w:pPr>
        <w:pStyle w:val="PL"/>
      </w:pPr>
    </w:p>
    <w:p w14:paraId="0C3859DC" w14:textId="77777777" w:rsidR="00394471" w:rsidRPr="00FA0D37" w:rsidRDefault="00394471" w:rsidP="00FA0D37">
      <w:pPr>
        <w:pStyle w:val="PL"/>
      </w:pPr>
      <w:r w:rsidRPr="00FA0D37">
        <w:t xml:space="preserve">ReportSFTD-NR ::=                 </w:t>
      </w:r>
      <w:r w:rsidRPr="00FA0D37">
        <w:rPr>
          <w:color w:val="993366"/>
        </w:rPr>
        <w:t>SEQUENCE</w:t>
      </w:r>
      <w:r w:rsidRPr="00FA0D37">
        <w:t xml:space="preserve"> {</w:t>
      </w:r>
    </w:p>
    <w:p w14:paraId="68DC075D" w14:textId="77777777" w:rsidR="00394471" w:rsidRPr="00FA0D37" w:rsidRDefault="00394471" w:rsidP="00FA0D37">
      <w:pPr>
        <w:pStyle w:val="PL"/>
      </w:pPr>
      <w:r w:rsidRPr="00FA0D37">
        <w:t xml:space="preserve">    reportSFTD-Meas                  </w:t>
      </w:r>
      <w:r w:rsidRPr="00FA0D37">
        <w:rPr>
          <w:color w:val="993366"/>
        </w:rPr>
        <w:t>BOOLEAN</w:t>
      </w:r>
      <w:r w:rsidRPr="00FA0D37">
        <w:t>,</w:t>
      </w:r>
    </w:p>
    <w:p w14:paraId="5C136EB3" w14:textId="77777777" w:rsidR="00394471" w:rsidRPr="00FA0D37" w:rsidRDefault="00394471" w:rsidP="00FA0D37">
      <w:pPr>
        <w:pStyle w:val="PL"/>
      </w:pPr>
      <w:r w:rsidRPr="00FA0D37">
        <w:t xml:space="preserve">    reportRSRP                       </w:t>
      </w:r>
      <w:r w:rsidRPr="00FA0D37">
        <w:rPr>
          <w:color w:val="993366"/>
        </w:rPr>
        <w:t>BOOLEAN</w:t>
      </w:r>
      <w:r w:rsidRPr="00FA0D37">
        <w:t>,</w:t>
      </w:r>
    </w:p>
    <w:p w14:paraId="708AA2CA" w14:textId="77777777" w:rsidR="00394471" w:rsidRPr="00FA0D37" w:rsidRDefault="00394471" w:rsidP="00FA0D37">
      <w:pPr>
        <w:pStyle w:val="PL"/>
      </w:pPr>
      <w:r w:rsidRPr="00FA0D37">
        <w:t xml:space="preserve">    ...,</w:t>
      </w:r>
    </w:p>
    <w:p w14:paraId="11941074" w14:textId="77777777" w:rsidR="00394471" w:rsidRPr="00FA0D37" w:rsidRDefault="00394471" w:rsidP="00FA0D37">
      <w:pPr>
        <w:pStyle w:val="PL"/>
      </w:pPr>
      <w:r w:rsidRPr="00FA0D37">
        <w:t xml:space="preserve">    [[</w:t>
      </w:r>
    </w:p>
    <w:p w14:paraId="7847E95C" w14:textId="77777777" w:rsidR="00394471" w:rsidRPr="00FA0D37" w:rsidRDefault="00394471" w:rsidP="00FA0D37">
      <w:pPr>
        <w:pStyle w:val="PL"/>
        <w:rPr>
          <w:color w:val="808080"/>
        </w:rPr>
      </w:pPr>
      <w:r w:rsidRPr="00FA0D37">
        <w:t xml:space="preserve">    reportSFTD-NeighMeas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79D0699A" w14:textId="77777777" w:rsidR="00394471" w:rsidRPr="00FA0D37" w:rsidRDefault="00394471" w:rsidP="00FA0D37">
      <w:pPr>
        <w:pStyle w:val="PL"/>
        <w:rPr>
          <w:color w:val="808080"/>
        </w:rPr>
      </w:pPr>
      <w:r w:rsidRPr="00FA0D37">
        <w:t xml:space="preserve">    drx-SFTD-NeighMeas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4B702A76" w14:textId="77777777" w:rsidR="00394471" w:rsidRPr="00FA0D37" w:rsidRDefault="00394471" w:rsidP="00FA0D37">
      <w:pPr>
        <w:pStyle w:val="PL"/>
        <w:rPr>
          <w:color w:val="808080"/>
        </w:rPr>
      </w:pPr>
      <w:r w:rsidRPr="00FA0D37">
        <w:t xml:space="preserve">    cellsForWhichToReportSFTD        </w:t>
      </w:r>
      <w:r w:rsidRPr="00FA0D37">
        <w:rPr>
          <w:color w:val="993366"/>
        </w:rPr>
        <w:t>SEQUENCE</w:t>
      </w:r>
      <w:r w:rsidRPr="00FA0D37">
        <w:t xml:space="preserve"> (</w:t>
      </w:r>
      <w:r w:rsidRPr="00FA0D37">
        <w:rPr>
          <w:color w:val="993366"/>
        </w:rPr>
        <w:t>SIZE</w:t>
      </w:r>
      <w:r w:rsidRPr="00FA0D37">
        <w:t xml:space="preserve"> (1..maxCellSFTD))</w:t>
      </w:r>
      <w:r w:rsidRPr="00FA0D37">
        <w:rPr>
          <w:color w:val="993366"/>
        </w:rPr>
        <w:t xml:space="preserve"> OF</w:t>
      </w:r>
      <w:r w:rsidRPr="00FA0D37">
        <w:t xml:space="preserve"> PhysCellId   </w:t>
      </w:r>
      <w:r w:rsidRPr="00FA0D37">
        <w:rPr>
          <w:color w:val="993366"/>
        </w:rPr>
        <w:t>OPTIONAL</w:t>
      </w:r>
      <w:r w:rsidRPr="00FA0D37">
        <w:t xml:space="preserve">    </w:t>
      </w:r>
      <w:r w:rsidRPr="00FA0D37">
        <w:rPr>
          <w:color w:val="808080"/>
        </w:rPr>
        <w:t>-- Need R</w:t>
      </w:r>
    </w:p>
    <w:p w14:paraId="2919D1E7" w14:textId="77777777" w:rsidR="00394471" w:rsidRPr="00FA0D37" w:rsidRDefault="00394471" w:rsidP="00FA0D37">
      <w:pPr>
        <w:pStyle w:val="PL"/>
      </w:pPr>
      <w:r w:rsidRPr="00FA0D37">
        <w:t xml:space="preserve">    ]]</w:t>
      </w:r>
    </w:p>
    <w:p w14:paraId="5E964702" w14:textId="77777777" w:rsidR="00394471" w:rsidRPr="00FA0D37" w:rsidRDefault="00394471" w:rsidP="00FA0D37">
      <w:pPr>
        <w:pStyle w:val="PL"/>
      </w:pPr>
      <w:r w:rsidRPr="00FA0D37">
        <w:t>}</w:t>
      </w:r>
    </w:p>
    <w:p w14:paraId="462F0B7E" w14:textId="77777777" w:rsidR="00394471" w:rsidRPr="00FA0D37" w:rsidRDefault="00394471" w:rsidP="00FA0D37">
      <w:pPr>
        <w:pStyle w:val="PL"/>
      </w:pPr>
    </w:p>
    <w:p w14:paraId="15D8AC9B" w14:textId="77777777" w:rsidR="00394471" w:rsidRPr="00FA0D37" w:rsidRDefault="00394471" w:rsidP="00FA0D37">
      <w:pPr>
        <w:pStyle w:val="PL"/>
      </w:pPr>
      <w:r w:rsidRPr="00FA0D37">
        <w:t xml:space="preserve">CondTriggerConfig-r16 ::=        </w:t>
      </w:r>
      <w:r w:rsidRPr="00FA0D37">
        <w:rPr>
          <w:color w:val="993366"/>
        </w:rPr>
        <w:t>SEQUENCE</w:t>
      </w:r>
      <w:r w:rsidRPr="00FA0D37">
        <w:t xml:space="preserve"> {</w:t>
      </w:r>
    </w:p>
    <w:p w14:paraId="346262E4" w14:textId="77777777" w:rsidR="00394471" w:rsidRPr="00FA0D37" w:rsidRDefault="00394471" w:rsidP="00FA0D37">
      <w:pPr>
        <w:pStyle w:val="PL"/>
      </w:pPr>
      <w:r w:rsidRPr="00FA0D37">
        <w:t xml:space="preserve">    condEventId                      </w:t>
      </w:r>
      <w:r w:rsidRPr="00FA0D37">
        <w:rPr>
          <w:color w:val="993366"/>
        </w:rPr>
        <w:t>CHOICE</w:t>
      </w:r>
      <w:r w:rsidRPr="00FA0D37">
        <w:t xml:space="preserve"> {</w:t>
      </w:r>
    </w:p>
    <w:p w14:paraId="3D78A197" w14:textId="77777777" w:rsidR="00394471" w:rsidRPr="00FA0D37" w:rsidRDefault="00394471" w:rsidP="00FA0D37">
      <w:pPr>
        <w:pStyle w:val="PL"/>
      </w:pPr>
      <w:r w:rsidRPr="00FA0D37">
        <w:t xml:space="preserve">        condEventA3                      </w:t>
      </w:r>
      <w:r w:rsidRPr="00FA0D37">
        <w:rPr>
          <w:color w:val="993366"/>
        </w:rPr>
        <w:t>SEQUENCE</w:t>
      </w:r>
      <w:r w:rsidRPr="00FA0D37">
        <w:t xml:space="preserve"> {</w:t>
      </w:r>
    </w:p>
    <w:p w14:paraId="57DBF2C0" w14:textId="77777777" w:rsidR="00394471" w:rsidRPr="00FA0D37" w:rsidRDefault="00394471" w:rsidP="00FA0D37">
      <w:pPr>
        <w:pStyle w:val="PL"/>
      </w:pPr>
      <w:r w:rsidRPr="00FA0D37">
        <w:lastRenderedPageBreak/>
        <w:t xml:space="preserve">            a3-Offset                        MeasTriggerQuantityOffset,</w:t>
      </w:r>
    </w:p>
    <w:p w14:paraId="2BFC81DF" w14:textId="77777777" w:rsidR="00394471" w:rsidRPr="00FA0D37" w:rsidRDefault="00394471" w:rsidP="00FA0D37">
      <w:pPr>
        <w:pStyle w:val="PL"/>
      </w:pPr>
      <w:r w:rsidRPr="00FA0D37">
        <w:t xml:space="preserve">            hysteresis                       Hysteresis,</w:t>
      </w:r>
    </w:p>
    <w:p w14:paraId="110F24DA" w14:textId="77777777" w:rsidR="00394471" w:rsidRPr="00FA0D37" w:rsidRDefault="00394471" w:rsidP="00FA0D37">
      <w:pPr>
        <w:pStyle w:val="PL"/>
      </w:pPr>
      <w:r w:rsidRPr="00FA0D37">
        <w:t xml:space="preserve">            timeToTrigger                    TimeToTrigger</w:t>
      </w:r>
    </w:p>
    <w:p w14:paraId="0D0574B3" w14:textId="77777777" w:rsidR="00394471" w:rsidRPr="00FA0D37" w:rsidRDefault="00394471" w:rsidP="00FA0D37">
      <w:pPr>
        <w:pStyle w:val="PL"/>
      </w:pPr>
      <w:r w:rsidRPr="00FA0D37">
        <w:t xml:space="preserve">        },</w:t>
      </w:r>
    </w:p>
    <w:p w14:paraId="255A9EAB" w14:textId="77777777" w:rsidR="00394471" w:rsidRPr="00FA0D37" w:rsidRDefault="00394471" w:rsidP="00FA0D37">
      <w:pPr>
        <w:pStyle w:val="PL"/>
      </w:pPr>
      <w:r w:rsidRPr="00FA0D37">
        <w:t xml:space="preserve">        condEventA5                      </w:t>
      </w:r>
      <w:r w:rsidRPr="00FA0D37">
        <w:rPr>
          <w:color w:val="993366"/>
        </w:rPr>
        <w:t>SEQUENCE</w:t>
      </w:r>
      <w:r w:rsidRPr="00FA0D37">
        <w:t xml:space="preserve"> {</w:t>
      </w:r>
    </w:p>
    <w:p w14:paraId="2085BCF9" w14:textId="77777777" w:rsidR="00394471" w:rsidRPr="00FA0D37" w:rsidRDefault="00394471" w:rsidP="00FA0D37">
      <w:pPr>
        <w:pStyle w:val="PL"/>
      </w:pPr>
      <w:r w:rsidRPr="00FA0D37">
        <w:t xml:space="preserve">            a5-Threshold1                    MeasTriggerQuantity,</w:t>
      </w:r>
    </w:p>
    <w:p w14:paraId="45AF4E6F" w14:textId="77777777" w:rsidR="00394471" w:rsidRPr="00FA0D37" w:rsidRDefault="00394471" w:rsidP="00FA0D37">
      <w:pPr>
        <w:pStyle w:val="PL"/>
      </w:pPr>
      <w:r w:rsidRPr="00FA0D37">
        <w:t xml:space="preserve">            a5-Threshold2                    MeasTriggerQuantity,</w:t>
      </w:r>
    </w:p>
    <w:p w14:paraId="7160D814" w14:textId="77777777" w:rsidR="00394471" w:rsidRPr="00FA0D37" w:rsidRDefault="00394471" w:rsidP="00FA0D37">
      <w:pPr>
        <w:pStyle w:val="PL"/>
      </w:pPr>
      <w:r w:rsidRPr="00FA0D37">
        <w:t xml:space="preserve">            hysteresis                       Hysteresis,</w:t>
      </w:r>
    </w:p>
    <w:p w14:paraId="2B4E7CB7" w14:textId="77777777" w:rsidR="00394471" w:rsidRPr="00FA0D37" w:rsidRDefault="00394471" w:rsidP="00FA0D37">
      <w:pPr>
        <w:pStyle w:val="PL"/>
      </w:pPr>
      <w:r w:rsidRPr="00FA0D37">
        <w:t xml:space="preserve">            timeToTrigger                    TimeToTrigger</w:t>
      </w:r>
    </w:p>
    <w:p w14:paraId="7D133F49" w14:textId="77777777" w:rsidR="00394471" w:rsidRPr="00FA0D37" w:rsidRDefault="00394471" w:rsidP="00FA0D37">
      <w:pPr>
        <w:pStyle w:val="PL"/>
      </w:pPr>
      <w:r w:rsidRPr="00FA0D37">
        <w:t xml:space="preserve">        },</w:t>
      </w:r>
    </w:p>
    <w:p w14:paraId="6C2AE13A" w14:textId="0C417E5A" w:rsidR="005B7637" w:rsidRPr="00FA0D37" w:rsidRDefault="00394471" w:rsidP="00FA0D37">
      <w:pPr>
        <w:pStyle w:val="PL"/>
      </w:pPr>
      <w:r w:rsidRPr="00FA0D37">
        <w:t xml:space="preserve">        ...</w:t>
      </w:r>
      <w:r w:rsidR="005B7637" w:rsidRPr="00FA0D37">
        <w:t>,</w:t>
      </w:r>
    </w:p>
    <w:p w14:paraId="1A23DD5C" w14:textId="2FEFE49C" w:rsidR="005B7637" w:rsidRPr="00FA0D37" w:rsidRDefault="005B7637" w:rsidP="00FA0D37">
      <w:pPr>
        <w:pStyle w:val="PL"/>
      </w:pPr>
      <w:r w:rsidRPr="00FA0D37">
        <w:t xml:space="preserve">        condEventA4-r17                  </w:t>
      </w:r>
      <w:r w:rsidRPr="00FA0D37">
        <w:rPr>
          <w:color w:val="993366"/>
        </w:rPr>
        <w:t>SEQUENCE</w:t>
      </w:r>
      <w:r w:rsidRPr="00FA0D37">
        <w:t xml:space="preserve"> {</w:t>
      </w:r>
    </w:p>
    <w:p w14:paraId="6CEFE165" w14:textId="43BEA341" w:rsidR="005B7637" w:rsidRPr="00FA0D37" w:rsidRDefault="005B7637" w:rsidP="00FA0D37">
      <w:pPr>
        <w:pStyle w:val="PL"/>
      </w:pPr>
      <w:r w:rsidRPr="00FA0D37">
        <w:t xml:space="preserve">            a4-Threshold-r17                 MeasTriggerQuantity,</w:t>
      </w:r>
    </w:p>
    <w:p w14:paraId="49A6CAC4" w14:textId="0389CE3B" w:rsidR="005B7637" w:rsidRPr="00FA0D37" w:rsidRDefault="005B7637" w:rsidP="00FA0D37">
      <w:pPr>
        <w:pStyle w:val="PL"/>
      </w:pPr>
      <w:r w:rsidRPr="00FA0D37">
        <w:t xml:space="preserve">            hysteresis-r17                   Hysteresis,</w:t>
      </w:r>
    </w:p>
    <w:p w14:paraId="1EBD8A69" w14:textId="5C67610A" w:rsidR="005B7637" w:rsidRPr="00FA0D37" w:rsidRDefault="005B7637" w:rsidP="00FA0D37">
      <w:pPr>
        <w:pStyle w:val="PL"/>
      </w:pPr>
      <w:r w:rsidRPr="00FA0D37">
        <w:t xml:space="preserve">            timeToTrigger-r17                TimeToTrigger</w:t>
      </w:r>
    </w:p>
    <w:p w14:paraId="02E54DCE" w14:textId="77777777" w:rsidR="005B7637" w:rsidRPr="00FA0D37" w:rsidRDefault="005B7637" w:rsidP="00FA0D37">
      <w:pPr>
        <w:pStyle w:val="PL"/>
      </w:pPr>
      <w:r w:rsidRPr="00FA0D37">
        <w:t xml:space="preserve">        },</w:t>
      </w:r>
    </w:p>
    <w:p w14:paraId="31E68BC3" w14:textId="077CA95A" w:rsidR="005B7637" w:rsidRPr="00FA0D37" w:rsidRDefault="005B7637" w:rsidP="00FA0D37">
      <w:pPr>
        <w:pStyle w:val="PL"/>
      </w:pPr>
      <w:r w:rsidRPr="00FA0D37">
        <w:t xml:space="preserve">        condEventD1-r17                  </w:t>
      </w:r>
      <w:r w:rsidRPr="00FA0D37">
        <w:rPr>
          <w:color w:val="993366"/>
        </w:rPr>
        <w:t>SEQUENCE</w:t>
      </w:r>
      <w:r w:rsidRPr="00FA0D37">
        <w:t xml:space="preserve"> {</w:t>
      </w:r>
    </w:p>
    <w:p w14:paraId="748C8CF5" w14:textId="679769CA" w:rsidR="005B7637" w:rsidRPr="00FA0D37" w:rsidRDefault="005B7637" w:rsidP="00FA0D37">
      <w:pPr>
        <w:pStyle w:val="PL"/>
      </w:pPr>
      <w:r w:rsidRPr="00FA0D37">
        <w:t xml:space="preserve">            distanceThres</w:t>
      </w:r>
      <w:r w:rsidR="00771058" w:rsidRPr="00FA0D37">
        <w:t>h</w:t>
      </w:r>
      <w:r w:rsidRPr="00FA0D37">
        <w:t xml:space="preserve">FromReference1-r17 </w:t>
      </w:r>
      <w:r w:rsidRPr="00FA0D37">
        <w:rPr>
          <w:color w:val="993366"/>
        </w:rPr>
        <w:t>INTEGER</w:t>
      </w:r>
      <w:r w:rsidRPr="00FA0D37">
        <w:t>(0.. 65525),</w:t>
      </w:r>
    </w:p>
    <w:p w14:paraId="4F089108" w14:textId="70484C16" w:rsidR="005B7637" w:rsidRPr="00FA0D37" w:rsidRDefault="005B7637" w:rsidP="00FA0D37">
      <w:pPr>
        <w:pStyle w:val="PL"/>
      </w:pPr>
      <w:r w:rsidRPr="00FA0D37">
        <w:t xml:space="preserve">            distanceThres</w:t>
      </w:r>
      <w:r w:rsidR="00771058" w:rsidRPr="00FA0D37">
        <w:t>h</w:t>
      </w:r>
      <w:r w:rsidRPr="00FA0D37">
        <w:t xml:space="preserve">FromReference2-r17 </w:t>
      </w:r>
      <w:r w:rsidRPr="00FA0D37">
        <w:rPr>
          <w:color w:val="993366"/>
        </w:rPr>
        <w:t>INTEGER</w:t>
      </w:r>
      <w:r w:rsidRPr="00FA0D37">
        <w:t>(0.. 65525)</w:t>
      </w:r>
      <w:r w:rsidR="00771058" w:rsidRPr="00FA0D37">
        <w:t>,</w:t>
      </w:r>
    </w:p>
    <w:p w14:paraId="16B0CDD4" w14:textId="311F5258" w:rsidR="005B7637" w:rsidRPr="00FA0D37" w:rsidRDefault="005B7637" w:rsidP="00FA0D37">
      <w:pPr>
        <w:pStyle w:val="PL"/>
      </w:pPr>
      <w:r w:rsidRPr="00FA0D37">
        <w:t xml:space="preserve">            referenceLocation1-r17           ReferenceLocation-r17,</w:t>
      </w:r>
    </w:p>
    <w:p w14:paraId="17D50367" w14:textId="07AB181D" w:rsidR="005B7637" w:rsidRPr="00FA0D37" w:rsidRDefault="005B7637" w:rsidP="00FA0D37">
      <w:pPr>
        <w:pStyle w:val="PL"/>
      </w:pPr>
      <w:r w:rsidRPr="00FA0D37">
        <w:t xml:space="preserve">            referenceLocation2-r17           ReferenceLocation-r17</w:t>
      </w:r>
      <w:r w:rsidR="00771058" w:rsidRPr="00FA0D37">
        <w:t>,</w:t>
      </w:r>
    </w:p>
    <w:p w14:paraId="61F04189" w14:textId="15473E59" w:rsidR="005B7637" w:rsidRPr="00FA0D37" w:rsidRDefault="005B7637" w:rsidP="00FA0D37">
      <w:pPr>
        <w:pStyle w:val="PL"/>
      </w:pPr>
      <w:r w:rsidRPr="00FA0D37">
        <w:t xml:space="preserve">            hysteresis</w:t>
      </w:r>
      <w:r w:rsidR="001163BA" w:rsidRPr="00FA0D37">
        <w:t>Location</w:t>
      </w:r>
      <w:r w:rsidRPr="00FA0D37">
        <w:t>-r17           HysteresisLocation-r17,</w:t>
      </w:r>
    </w:p>
    <w:p w14:paraId="590F0AAC" w14:textId="59659DE4" w:rsidR="005B7637" w:rsidRPr="00FA0D37" w:rsidRDefault="005B7637" w:rsidP="00FA0D37">
      <w:pPr>
        <w:pStyle w:val="PL"/>
      </w:pPr>
      <w:r w:rsidRPr="00FA0D37">
        <w:t xml:space="preserve">            timeToTrigger-r17                TimeToTrigger</w:t>
      </w:r>
    </w:p>
    <w:p w14:paraId="31194386" w14:textId="0C5AE74D" w:rsidR="005B7637" w:rsidRPr="00FA0D37" w:rsidRDefault="005B7637" w:rsidP="00FA0D37">
      <w:pPr>
        <w:pStyle w:val="PL"/>
      </w:pPr>
      <w:r w:rsidRPr="00FA0D37">
        <w:t xml:space="preserve">        },</w:t>
      </w:r>
    </w:p>
    <w:p w14:paraId="314039C2" w14:textId="245765E1" w:rsidR="005B7637" w:rsidRPr="00FA0D37" w:rsidRDefault="005B7637" w:rsidP="00FA0D37">
      <w:pPr>
        <w:pStyle w:val="PL"/>
      </w:pPr>
      <w:r w:rsidRPr="00FA0D37">
        <w:t xml:space="preserve">        condEventT1-r17                  </w:t>
      </w:r>
      <w:r w:rsidRPr="00FA0D37">
        <w:rPr>
          <w:color w:val="993366"/>
        </w:rPr>
        <w:t>SEQUENCE</w:t>
      </w:r>
      <w:r w:rsidRPr="00FA0D37">
        <w:t xml:space="preserve"> {</w:t>
      </w:r>
    </w:p>
    <w:p w14:paraId="07F4854C" w14:textId="29BAB1CF" w:rsidR="005B7637" w:rsidRPr="00FA0D37" w:rsidRDefault="005B7637" w:rsidP="00FA0D37">
      <w:pPr>
        <w:pStyle w:val="PL"/>
      </w:pPr>
      <w:r w:rsidRPr="00FA0D37">
        <w:t xml:space="preserve">            t1-Threshold-r17                 </w:t>
      </w:r>
      <w:r w:rsidRPr="00FA0D37">
        <w:rPr>
          <w:color w:val="993366"/>
        </w:rPr>
        <w:t>INTEGER</w:t>
      </w:r>
      <w:r w:rsidRPr="00FA0D37">
        <w:t xml:space="preserve"> (0..549755813887),</w:t>
      </w:r>
    </w:p>
    <w:p w14:paraId="4AAA6277" w14:textId="4DE33209" w:rsidR="005B7637" w:rsidRPr="00FA0D37" w:rsidRDefault="005B7637" w:rsidP="00FA0D37">
      <w:pPr>
        <w:pStyle w:val="PL"/>
      </w:pPr>
      <w:r w:rsidRPr="00FA0D37">
        <w:t xml:space="preserve">            duration-r17                     </w:t>
      </w:r>
      <w:r w:rsidRPr="00FA0D37">
        <w:rPr>
          <w:color w:val="993366"/>
        </w:rPr>
        <w:t>INTEGER</w:t>
      </w:r>
      <w:r w:rsidRPr="00FA0D37">
        <w:t xml:space="preserve"> (1..6000)</w:t>
      </w:r>
    </w:p>
    <w:p w14:paraId="666FC64F" w14:textId="05904F5E" w:rsidR="00394471" w:rsidRPr="00FA0D37" w:rsidRDefault="005B7637" w:rsidP="00FA0D37">
      <w:pPr>
        <w:pStyle w:val="PL"/>
      </w:pPr>
      <w:r w:rsidRPr="00FA0D37">
        <w:t xml:space="preserve">        }</w:t>
      </w:r>
    </w:p>
    <w:p w14:paraId="6917A907" w14:textId="77777777" w:rsidR="00394471" w:rsidRPr="00FA0D37" w:rsidRDefault="00394471" w:rsidP="00FA0D37">
      <w:pPr>
        <w:pStyle w:val="PL"/>
      </w:pPr>
      <w:r w:rsidRPr="00FA0D37">
        <w:t xml:space="preserve">    },</w:t>
      </w:r>
    </w:p>
    <w:p w14:paraId="4BBC53B3" w14:textId="77777777" w:rsidR="00394471" w:rsidRPr="00FA0D37" w:rsidRDefault="00394471" w:rsidP="00FA0D37">
      <w:pPr>
        <w:pStyle w:val="PL"/>
      </w:pPr>
      <w:r w:rsidRPr="00FA0D37">
        <w:t xml:space="preserve">    rsType-r16                       NR-RS-Type,</w:t>
      </w:r>
    </w:p>
    <w:p w14:paraId="12E3D1EC" w14:textId="77777777" w:rsidR="00394471" w:rsidRPr="00FA0D37" w:rsidRDefault="00394471" w:rsidP="00FA0D37">
      <w:pPr>
        <w:pStyle w:val="PL"/>
      </w:pPr>
      <w:r w:rsidRPr="00FA0D37">
        <w:t xml:space="preserve">    ...</w:t>
      </w:r>
    </w:p>
    <w:p w14:paraId="48F900AF" w14:textId="77777777" w:rsidR="00394471" w:rsidRPr="00FA0D37" w:rsidRDefault="00394471" w:rsidP="00FA0D37">
      <w:pPr>
        <w:pStyle w:val="PL"/>
      </w:pPr>
      <w:r w:rsidRPr="00FA0D37">
        <w:t>}</w:t>
      </w:r>
    </w:p>
    <w:p w14:paraId="139C0B06" w14:textId="77777777" w:rsidR="00394471" w:rsidRPr="00FA0D37" w:rsidRDefault="00394471" w:rsidP="00FA0D37">
      <w:pPr>
        <w:pStyle w:val="PL"/>
      </w:pPr>
    </w:p>
    <w:p w14:paraId="645FA9AA" w14:textId="77777777" w:rsidR="00394471" w:rsidRPr="00FA0D37" w:rsidRDefault="00394471" w:rsidP="00FA0D37">
      <w:pPr>
        <w:pStyle w:val="PL"/>
      </w:pPr>
      <w:r w:rsidRPr="00FA0D37">
        <w:t xml:space="preserve">EventTriggerConfig::=                       </w:t>
      </w:r>
      <w:r w:rsidRPr="00FA0D37">
        <w:rPr>
          <w:color w:val="993366"/>
        </w:rPr>
        <w:t>SEQUENCE</w:t>
      </w:r>
      <w:r w:rsidRPr="00FA0D37">
        <w:t xml:space="preserve"> {</w:t>
      </w:r>
    </w:p>
    <w:p w14:paraId="44FCB959" w14:textId="77777777" w:rsidR="00394471" w:rsidRPr="00FA0D37" w:rsidRDefault="00394471" w:rsidP="00FA0D37">
      <w:pPr>
        <w:pStyle w:val="PL"/>
      </w:pPr>
      <w:r w:rsidRPr="00FA0D37">
        <w:t xml:space="preserve">    eventId                                     </w:t>
      </w:r>
      <w:r w:rsidRPr="00FA0D37">
        <w:rPr>
          <w:color w:val="993366"/>
        </w:rPr>
        <w:t>CHOICE</w:t>
      </w:r>
      <w:r w:rsidRPr="00FA0D37">
        <w:t xml:space="preserve"> {</w:t>
      </w:r>
    </w:p>
    <w:p w14:paraId="2E5F55F6" w14:textId="77777777" w:rsidR="00394471" w:rsidRPr="00FA0D37" w:rsidRDefault="00394471" w:rsidP="00FA0D37">
      <w:pPr>
        <w:pStyle w:val="PL"/>
      </w:pPr>
      <w:r w:rsidRPr="00FA0D37">
        <w:t xml:space="preserve">        eventA1                                     </w:t>
      </w:r>
      <w:r w:rsidRPr="00FA0D37">
        <w:rPr>
          <w:color w:val="993366"/>
        </w:rPr>
        <w:t>SEQUENCE</w:t>
      </w:r>
      <w:r w:rsidRPr="00FA0D37">
        <w:t xml:space="preserve"> {</w:t>
      </w:r>
    </w:p>
    <w:p w14:paraId="1A7194E9" w14:textId="77777777" w:rsidR="00394471" w:rsidRPr="00FA0D37" w:rsidRDefault="00394471" w:rsidP="00FA0D37">
      <w:pPr>
        <w:pStyle w:val="PL"/>
      </w:pPr>
      <w:r w:rsidRPr="00FA0D37">
        <w:t xml:space="preserve">            a1-Threshold                                MeasTriggerQuantity,</w:t>
      </w:r>
    </w:p>
    <w:p w14:paraId="126A809F" w14:textId="77777777" w:rsidR="00394471" w:rsidRPr="00FA0D37" w:rsidRDefault="00394471" w:rsidP="00FA0D37">
      <w:pPr>
        <w:pStyle w:val="PL"/>
      </w:pPr>
      <w:r w:rsidRPr="00FA0D37">
        <w:t xml:space="preserve">            reportOnLeave                               </w:t>
      </w:r>
      <w:r w:rsidRPr="00FA0D37">
        <w:rPr>
          <w:color w:val="993366"/>
        </w:rPr>
        <w:t>BOOLEAN</w:t>
      </w:r>
      <w:r w:rsidRPr="00FA0D37">
        <w:t>,</w:t>
      </w:r>
    </w:p>
    <w:p w14:paraId="1AD4FC4D" w14:textId="77777777" w:rsidR="00394471" w:rsidRPr="00FA0D37" w:rsidRDefault="00394471" w:rsidP="00FA0D37">
      <w:pPr>
        <w:pStyle w:val="PL"/>
      </w:pPr>
      <w:r w:rsidRPr="00FA0D37">
        <w:t xml:space="preserve">            hysteresis                                  Hysteresis,</w:t>
      </w:r>
    </w:p>
    <w:p w14:paraId="77DFD3B6" w14:textId="77777777" w:rsidR="00394471" w:rsidRPr="00FA0D37" w:rsidRDefault="00394471" w:rsidP="00FA0D37">
      <w:pPr>
        <w:pStyle w:val="PL"/>
      </w:pPr>
      <w:r w:rsidRPr="00FA0D37">
        <w:t xml:space="preserve">            timeToTrigger                               TimeToTrigger</w:t>
      </w:r>
    </w:p>
    <w:p w14:paraId="60C9E0BB" w14:textId="77777777" w:rsidR="00394471" w:rsidRPr="00FA0D37" w:rsidRDefault="00394471" w:rsidP="00FA0D37">
      <w:pPr>
        <w:pStyle w:val="PL"/>
      </w:pPr>
      <w:r w:rsidRPr="00FA0D37">
        <w:t xml:space="preserve">        },</w:t>
      </w:r>
    </w:p>
    <w:p w14:paraId="3BBF4A43" w14:textId="77777777" w:rsidR="00394471" w:rsidRPr="00FA0D37" w:rsidRDefault="00394471" w:rsidP="00FA0D37">
      <w:pPr>
        <w:pStyle w:val="PL"/>
      </w:pPr>
      <w:r w:rsidRPr="00FA0D37">
        <w:t xml:space="preserve">        eventA2                                     </w:t>
      </w:r>
      <w:r w:rsidRPr="00FA0D37">
        <w:rPr>
          <w:color w:val="993366"/>
        </w:rPr>
        <w:t>SEQUENCE</w:t>
      </w:r>
      <w:r w:rsidRPr="00FA0D37">
        <w:t xml:space="preserve"> {</w:t>
      </w:r>
    </w:p>
    <w:p w14:paraId="3490CE7F" w14:textId="77777777" w:rsidR="00394471" w:rsidRPr="00FA0D37" w:rsidRDefault="00394471" w:rsidP="00FA0D37">
      <w:pPr>
        <w:pStyle w:val="PL"/>
      </w:pPr>
      <w:r w:rsidRPr="00FA0D37">
        <w:t xml:space="preserve">            a2-Threshold                                MeasTriggerQuantity,</w:t>
      </w:r>
    </w:p>
    <w:p w14:paraId="324EB607" w14:textId="77777777" w:rsidR="00394471" w:rsidRPr="00FA0D37" w:rsidRDefault="00394471" w:rsidP="00FA0D37">
      <w:pPr>
        <w:pStyle w:val="PL"/>
      </w:pPr>
      <w:r w:rsidRPr="00FA0D37">
        <w:t xml:space="preserve">            reportOnLeave                               </w:t>
      </w:r>
      <w:r w:rsidRPr="00FA0D37">
        <w:rPr>
          <w:color w:val="993366"/>
        </w:rPr>
        <w:t>BOOLEAN</w:t>
      </w:r>
      <w:r w:rsidRPr="00FA0D37">
        <w:t>,</w:t>
      </w:r>
    </w:p>
    <w:p w14:paraId="10AA06DC" w14:textId="77777777" w:rsidR="00394471" w:rsidRPr="00FA0D37" w:rsidRDefault="00394471" w:rsidP="00FA0D37">
      <w:pPr>
        <w:pStyle w:val="PL"/>
      </w:pPr>
      <w:r w:rsidRPr="00FA0D37">
        <w:t xml:space="preserve">            hysteresis                                  Hysteresis,</w:t>
      </w:r>
    </w:p>
    <w:p w14:paraId="65D5D101" w14:textId="77777777" w:rsidR="00394471" w:rsidRPr="00FA0D37" w:rsidRDefault="00394471" w:rsidP="00FA0D37">
      <w:pPr>
        <w:pStyle w:val="PL"/>
      </w:pPr>
      <w:r w:rsidRPr="00FA0D37">
        <w:t xml:space="preserve">            timeToTrigger                               TimeToTrigger</w:t>
      </w:r>
    </w:p>
    <w:p w14:paraId="56BFFE36" w14:textId="77777777" w:rsidR="00394471" w:rsidRPr="00FA0D37" w:rsidRDefault="00394471" w:rsidP="00FA0D37">
      <w:pPr>
        <w:pStyle w:val="PL"/>
      </w:pPr>
      <w:r w:rsidRPr="00FA0D37">
        <w:t xml:space="preserve">        },</w:t>
      </w:r>
    </w:p>
    <w:p w14:paraId="1E883835" w14:textId="77777777" w:rsidR="00394471" w:rsidRPr="00FA0D37" w:rsidRDefault="00394471" w:rsidP="00FA0D37">
      <w:pPr>
        <w:pStyle w:val="PL"/>
      </w:pPr>
      <w:r w:rsidRPr="00FA0D37">
        <w:t xml:space="preserve">        eventA3                                     </w:t>
      </w:r>
      <w:r w:rsidRPr="00FA0D37">
        <w:rPr>
          <w:color w:val="993366"/>
        </w:rPr>
        <w:t>SEQUENCE</w:t>
      </w:r>
      <w:r w:rsidRPr="00FA0D37">
        <w:t xml:space="preserve"> {</w:t>
      </w:r>
    </w:p>
    <w:p w14:paraId="6AE113E1" w14:textId="77777777" w:rsidR="00394471" w:rsidRPr="00FA0D37" w:rsidRDefault="00394471" w:rsidP="00FA0D37">
      <w:pPr>
        <w:pStyle w:val="PL"/>
      </w:pPr>
      <w:r w:rsidRPr="00FA0D37">
        <w:t xml:space="preserve">            a3-Offset                                   MeasTriggerQuantityOffset,</w:t>
      </w:r>
    </w:p>
    <w:p w14:paraId="57C49BA5" w14:textId="77777777" w:rsidR="00394471" w:rsidRPr="00FA0D37" w:rsidRDefault="00394471" w:rsidP="00FA0D37">
      <w:pPr>
        <w:pStyle w:val="PL"/>
      </w:pPr>
      <w:r w:rsidRPr="00FA0D37">
        <w:t xml:space="preserve">            reportOnLeave                               </w:t>
      </w:r>
      <w:r w:rsidRPr="00FA0D37">
        <w:rPr>
          <w:color w:val="993366"/>
        </w:rPr>
        <w:t>BOOLEAN</w:t>
      </w:r>
      <w:r w:rsidRPr="00FA0D37">
        <w:t>,</w:t>
      </w:r>
    </w:p>
    <w:p w14:paraId="2C93DAFD" w14:textId="77777777" w:rsidR="00394471" w:rsidRPr="00FA0D37" w:rsidRDefault="00394471" w:rsidP="00FA0D37">
      <w:pPr>
        <w:pStyle w:val="PL"/>
      </w:pPr>
      <w:r w:rsidRPr="00FA0D37">
        <w:t xml:space="preserve">            hysteresis                                  Hysteresis,</w:t>
      </w:r>
    </w:p>
    <w:p w14:paraId="3F44F1C7" w14:textId="77777777" w:rsidR="00394471" w:rsidRPr="00FA0D37" w:rsidRDefault="00394471" w:rsidP="00FA0D37">
      <w:pPr>
        <w:pStyle w:val="PL"/>
      </w:pPr>
      <w:r w:rsidRPr="00FA0D37">
        <w:lastRenderedPageBreak/>
        <w:t xml:space="preserve">            timeToTrigger                               TimeToTrigger,</w:t>
      </w:r>
    </w:p>
    <w:p w14:paraId="52FC3F46" w14:textId="3C1D8C96" w:rsidR="00394471" w:rsidRPr="00FA0D37" w:rsidRDefault="00394471" w:rsidP="00FA0D37">
      <w:pPr>
        <w:pStyle w:val="PL"/>
      </w:pPr>
      <w:r w:rsidRPr="00FA0D37">
        <w:t xml:space="preserve">            use</w:t>
      </w:r>
      <w:r w:rsidR="005B6C6E" w:rsidRPr="00FA0D37">
        <w:t>Allowed</w:t>
      </w:r>
      <w:r w:rsidRPr="00FA0D37">
        <w:t xml:space="preserve">CellList                          </w:t>
      </w:r>
      <w:r w:rsidRPr="00FA0D37">
        <w:rPr>
          <w:color w:val="993366"/>
        </w:rPr>
        <w:t>BOOLEAN</w:t>
      </w:r>
    </w:p>
    <w:p w14:paraId="3214546B" w14:textId="77777777" w:rsidR="00394471" w:rsidRPr="00FA0D37" w:rsidRDefault="00394471" w:rsidP="00FA0D37">
      <w:pPr>
        <w:pStyle w:val="PL"/>
      </w:pPr>
      <w:r w:rsidRPr="00FA0D37">
        <w:t xml:space="preserve">        },</w:t>
      </w:r>
    </w:p>
    <w:p w14:paraId="50F76D9A" w14:textId="77777777" w:rsidR="00394471" w:rsidRPr="00FA0D37" w:rsidRDefault="00394471" w:rsidP="00FA0D37">
      <w:pPr>
        <w:pStyle w:val="PL"/>
      </w:pPr>
      <w:r w:rsidRPr="00FA0D37">
        <w:t xml:space="preserve">        eventA4                                     </w:t>
      </w:r>
      <w:r w:rsidRPr="00FA0D37">
        <w:rPr>
          <w:color w:val="993366"/>
        </w:rPr>
        <w:t>SEQUENCE</w:t>
      </w:r>
      <w:r w:rsidRPr="00FA0D37">
        <w:t xml:space="preserve"> {</w:t>
      </w:r>
    </w:p>
    <w:p w14:paraId="3F3499E4" w14:textId="77777777" w:rsidR="00394471" w:rsidRPr="00FA0D37" w:rsidRDefault="00394471" w:rsidP="00FA0D37">
      <w:pPr>
        <w:pStyle w:val="PL"/>
      </w:pPr>
      <w:r w:rsidRPr="00FA0D37">
        <w:t xml:space="preserve">            a4-Threshold                                MeasTriggerQuantity,</w:t>
      </w:r>
    </w:p>
    <w:p w14:paraId="60009DB6" w14:textId="77777777" w:rsidR="00394471" w:rsidRPr="00FA0D37" w:rsidRDefault="00394471" w:rsidP="00FA0D37">
      <w:pPr>
        <w:pStyle w:val="PL"/>
      </w:pPr>
      <w:r w:rsidRPr="00FA0D37">
        <w:t xml:space="preserve">            reportOnLeave                               </w:t>
      </w:r>
      <w:r w:rsidRPr="00FA0D37">
        <w:rPr>
          <w:color w:val="993366"/>
        </w:rPr>
        <w:t>BOOLEAN</w:t>
      </w:r>
      <w:r w:rsidRPr="00FA0D37">
        <w:t>,</w:t>
      </w:r>
    </w:p>
    <w:p w14:paraId="12AF3FD0" w14:textId="77777777" w:rsidR="00394471" w:rsidRPr="00FA0D37" w:rsidRDefault="00394471" w:rsidP="00FA0D37">
      <w:pPr>
        <w:pStyle w:val="PL"/>
      </w:pPr>
      <w:r w:rsidRPr="00FA0D37">
        <w:t xml:space="preserve">            hysteresis                                  Hysteresis,</w:t>
      </w:r>
    </w:p>
    <w:p w14:paraId="682FC93B" w14:textId="77777777" w:rsidR="00394471" w:rsidRPr="00FA0D37" w:rsidRDefault="00394471" w:rsidP="00FA0D37">
      <w:pPr>
        <w:pStyle w:val="PL"/>
      </w:pPr>
      <w:r w:rsidRPr="00FA0D37">
        <w:t xml:space="preserve">            timeToTrigger                               TimeToTrigger,</w:t>
      </w:r>
    </w:p>
    <w:p w14:paraId="0C47BEE5" w14:textId="2BA88D8E" w:rsidR="00394471" w:rsidRPr="00FA0D37" w:rsidRDefault="00394471" w:rsidP="00FA0D37">
      <w:pPr>
        <w:pStyle w:val="PL"/>
      </w:pPr>
      <w:r w:rsidRPr="00FA0D37">
        <w:t xml:space="preserve">            use</w:t>
      </w:r>
      <w:r w:rsidR="005B6C6E" w:rsidRPr="00FA0D37">
        <w:t>Allowed</w:t>
      </w:r>
      <w:r w:rsidRPr="00FA0D37">
        <w:t xml:space="preserve">CellList                          </w:t>
      </w:r>
      <w:r w:rsidRPr="00FA0D37">
        <w:rPr>
          <w:color w:val="993366"/>
        </w:rPr>
        <w:t>BOOLEAN</w:t>
      </w:r>
    </w:p>
    <w:p w14:paraId="3772FE3B" w14:textId="77777777" w:rsidR="00394471" w:rsidRPr="00FA0D37" w:rsidRDefault="00394471" w:rsidP="00FA0D37">
      <w:pPr>
        <w:pStyle w:val="PL"/>
      </w:pPr>
      <w:r w:rsidRPr="00FA0D37">
        <w:t xml:space="preserve">        },</w:t>
      </w:r>
    </w:p>
    <w:p w14:paraId="518FE943" w14:textId="77777777" w:rsidR="00394471" w:rsidRPr="00FA0D37" w:rsidRDefault="00394471" w:rsidP="00FA0D37">
      <w:pPr>
        <w:pStyle w:val="PL"/>
      </w:pPr>
      <w:r w:rsidRPr="00FA0D37">
        <w:t xml:space="preserve">        eventA5                                     </w:t>
      </w:r>
      <w:r w:rsidRPr="00FA0D37">
        <w:rPr>
          <w:color w:val="993366"/>
        </w:rPr>
        <w:t>SEQUENCE</w:t>
      </w:r>
      <w:r w:rsidRPr="00FA0D37">
        <w:t xml:space="preserve"> {</w:t>
      </w:r>
    </w:p>
    <w:p w14:paraId="18F4824A" w14:textId="77777777" w:rsidR="00394471" w:rsidRPr="00FA0D37" w:rsidRDefault="00394471" w:rsidP="00FA0D37">
      <w:pPr>
        <w:pStyle w:val="PL"/>
      </w:pPr>
      <w:r w:rsidRPr="00FA0D37">
        <w:t xml:space="preserve">            a5-Threshold1                               MeasTriggerQuantity,</w:t>
      </w:r>
    </w:p>
    <w:p w14:paraId="77370747" w14:textId="77777777" w:rsidR="00394471" w:rsidRPr="00FA0D37" w:rsidRDefault="00394471" w:rsidP="00FA0D37">
      <w:pPr>
        <w:pStyle w:val="PL"/>
      </w:pPr>
      <w:r w:rsidRPr="00FA0D37">
        <w:t xml:space="preserve">            a5-Threshold2                               MeasTriggerQuantity,</w:t>
      </w:r>
    </w:p>
    <w:p w14:paraId="151F2A0E" w14:textId="77777777" w:rsidR="00394471" w:rsidRPr="00FA0D37" w:rsidRDefault="00394471" w:rsidP="00FA0D37">
      <w:pPr>
        <w:pStyle w:val="PL"/>
      </w:pPr>
      <w:r w:rsidRPr="00FA0D37">
        <w:t xml:space="preserve">            reportOnLeave                               </w:t>
      </w:r>
      <w:r w:rsidRPr="00FA0D37">
        <w:rPr>
          <w:color w:val="993366"/>
        </w:rPr>
        <w:t>BOOLEAN</w:t>
      </w:r>
      <w:r w:rsidRPr="00FA0D37">
        <w:t>,</w:t>
      </w:r>
    </w:p>
    <w:p w14:paraId="679D06EB" w14:textId="77777777" w:rsidR="00394471" w:rsidRPr="00FA0D37" w:rsidRDefault="00394471" w:rsidP="00FA0D37">
      <w:pPr>
        <w:pStyle w:val="PL"/>
      </w:pPr>
      <w:r w:rsidRPr="00FA0D37">
        <w:t xml:space="preserve">            hysteresis                                  Hysteresis,</w:t>
      </w:r>
    </w:p>
    <w:p w14:paraId="0E1F492E" w14:textId="77777777" w:rsidR="00394471" w:rsidRPr="00FA0D37" w:rsidRDefault="00394471" w:rsidP="00FA0D37">
      <w:pPr>
        <w:pStyle w:val="PL"/>
      </w:pPr>
      <w:r w:rsidRPr="00FA0D37">
        <w:t xml:space="preserve">            timeToTrigger                               TimeToTrigger,</w:t>
      </w:r>
    </w:p>
    <w:p w14:paraId="61471B16" w14:textId="6EAE3DBD" w:rsidR="00394471" w:rsidRPr="00FA0D37" w:rsidRDefault="00394471" w:rsidP="00FA0D37">
      <w:pPr>
        <w:pStyle w:val="PL"/>
      </w:pPr>
      <w:r w:rsidRPr="00FA0D37">
        <w:t xml:space="preserve">            use</w:t>
      </w:r>
      <w:r w:rsidR="005B6C6E" w:rsidRPr="00FA0D37">
        <w:t>Allowed</w:t>
      </w:r>
      <w:r w:rsidRPr="00FA0D37">
        <w:t xml:space="preserve">CellList                          </w:t>
      </w:r>
      <w:r w:rsidRPr="00FA0D37">
        <w:rPr>
          <w:color w:val="993366"/>
        </w:rPr>
        <w:t>BOOLEAN</w:t>
      </w:r>
    </w:p>
    <w:p w14:paraId="7FE70FBA" w14:textId="77777777" w:rsidR="00394471" w:rsidRPr="00FA0D37" w:rsidRDefault="00394471" w:rsidP="00FA0D37">
      <w:pPr>
        <w:pStyle w:val="PL"/>
      </w:pPr>
      <w:r w:rsidRPr="00FA0D37">
        <w:t xml:space="preserve">        },</w:t>
      </w:r>
    </w:p>
    <w:p w14:paraId="5E53529F" w14:textId="77777777" w:rsidR="00394471" w:rsidRPr="00FA0D37" w:rsidRDefault="00394471" w:rsidP="00FA0D37">
      <w:pPr>
        <w:pStyle w:val="PL"/>
      </w:pPr>
      <w:r w:rsidRPr="00FA0D37">
        <w:t xml:space="preserve">        eventA6                                     </w:t>
      </w:r>
      <w:r w:rsidRPr="00FA0D37">
        <w:rPr>
          <w:color w:val="993366"/>
        </w:rPr>
        <w:t>SEQUENCE</w:t>
      </w:r>
      <w:r w:rsidRPr="00FA0D37">
        <w:t xml:space="preserve"> {</w:t>
      </w:r>
    </w:p>
    <w:p w14:paraId="3D9587F0" w14:textId="77777777" w:rsidR="00394471" w:rsidRPr="00FA0D37" w:rsidRDefault="00394471" w:rsidP="00FA0D37">
      <w:pPr>
        <w:pStyle w:val="PL"/>
      </w:pPr>
      <w:r w:rsidRPr="00FA0D37">
        <w:t xml:space="preserve">            a6-Offset                                   MeasTriggerQuantityOffset,</w:t>
      </w:r>
    </w:p>
    <w:p w14:paraId="2C8CC46D" w14:textId="77777777" w:rsidR="00394471" w:rsidRPr="00FA0D37" w:rsidRDefault="00394471" w:rsidP="00FA0D37">
      <w:pPr>
        <w:pStyle w:val="PL"/>
      </w:pPr>
      <w:r w:rsidRPr="00FA0D37">
        <w:t xml:space="preserve">            reportOnLeave                               </w:t>
      </w:r>
      <w:r w:rsidRPr="00FA0D37">
        <w:rPr>
          <w:color w:val="993366"/>
        </w:rPr>
        <w:t>BOOLEAN</w:t>
      </w:r>
      <w:r w:rsidRPr="00FA0D37">
        <w:t>,</w:t>
      </w:r>
    </w:p>
    <w:p w14:paraId="2F5852F4" w14:textId="77777777" w:rsidR="00394471" w:rsidRPr="00FA0D37" w:rsidRDefault="00394471" w:rsidP="00FA0D37">
      <w:pPr>
        <w:pStyle w:val="PL"/>
      </w:pPr>
      <w:r w:rsidRPr="00FA0D37">
        <w:t xml:space="preserve">            hysteresis                                  Hysteresis,</w:t>
      </w:r>
    </w:p>
    <w:p w14:paraId="6A732DCF" w14:textId="77777777" w:rsidR="00394471" w:rsidRPr="00FA0D37" w:rsidRDefault="00394471" w:rsidP="00FA0D37">
      <w:pPr>
        <w:pStyle w:val="PL"/>
      </w:pPr>
      <w:r w:rsidRPr="00FA0D37">
        <w:t xml:space="preserve">            timeToTrigger                               TimeToTrigger,</w:t>
      </w:r>
    </w:p>
    <w:p w14:paraId="5FB14FDD" w14:textId="2411CEA0" w:rsidR="00394471" w:rsidRPr="00FA0D37" w:rsidRDefault="00394471" w:rsidP="00FA0D37">
      <w:pPr>
        <w:pStyle w:val="PL"/>
      </w:pPr>
      <w:r w:rsidRPr="00FA0D37">
        <w:t xml:space="preserve">            use</w:t>
      </w:r>
      <w:r w:rsidR="005B6C6E" w:rsidRPr="00FA0D37">
        <w:t>Allowed</w:t>
      </w:r>
      <w:r w:rsidRPr="00FA0D37">
        <w:t xml:space="preserve">CellList                          </w:t>
      </w:r>
      <w:r w:rsidRPr="00FA0D37">
        <w:rPr>
          <w:color w:val="993366"/>
        </w:rPr>
        <w:t>BOOLEAN</w:t>
      </w:r>
    </w:p>
    <w:p w14:paraId="3051C02E" w14:textId="77777777" w:rsidR="00394471" w:rsidRPr="00FA0D37" w:rsidRDefault="00394471" w:rsidP="00FA0D37">
      <w:pPr>
        <w:pStyle w:val="PL"/>
      </w:pPr>
      <w:r w:rsidRPr="00FA0D37">
        <w:t xml:space="preserve">        },</w:t>
      </w:r>
    </w:p>
    <w:p w14:paraId="09F69E6E" w14:textId="69CBD593" w:rsidR="00BD2D2B" w:rsidRPr="00FA0D37" w:rsidRDefault="00394471" w:rsidP="00FA0D37">
      <w:pPr>
        <w:pStyle w:val="PL"/>
      </w:pPr>
      <w:r w:rsidRPr="00FA0D37">
        <w:t xml:space="preserve">        ...</w:t>
      </w:r>
      <w:r w:rsidR="00BD2D2B" w:rsidRPr="00FA0D37">
        <w:t>,</w:t>
      </w:r>
    </w:p>
    <w:p w14:paraId="552888FF" w14:textId="77777777" w:rsidR="00BD2D2B" w:rsidRPr="00FA0D37" w:rsidRDefault="00BD2D2B" w:rsidP="00FA0D37">
      <w:pPr>
        <w:pStyle w:val="PL"/>
      </w:pPr>
      <w:r w:rsidRPr="00FA0D37">
        <w:t xml:space="preserve">        [[</w:t>
      </w:r>
    </w:p>
    <w:p w14:paraId="0F1C90D5" w14:textId="77777777" w:rsidR="00BD2D2B" w:rsidRPr="00FA0D37" w:rsidRDefault="00BD2D2B" w:rsidP="00FA0D37">
      <w:pPr>
        <w:pStyle w:val="PL"/>
      </w:pPr>
      <w:r w:rsidRPr="00FA0D37">
        <w:t xml:space="preserve">        eventX1-r17                                 </w:t>
      </w:r>
      <w:r w:rsidRPr="00FA0D37">
        <w:rPr>
          <w:color w:val="993366"/>
        </w:rPr>
        <w:t>SEQUENCE</w:t>
      </w:r>
      <w:r w:rsidRPr="00FA0D37">
        <w:t xml:space="preserve"> {</w:t>
      </w:r>
    </w:p>
    <w:p w14:paraId="55ECE7F6" w14:textId="332A4C0C" w:rsidR="00BD2D2B" w:rsidRPr="00FA0D37" w:rsidRDefault="00BD2D2B" w:rsidP="00FA0D37">
      <w:pPr>
        <w:pStyle w:val="PL"/>
      </w:pPr>
      <w:r w:rsidRPr="00FA0D37">
        <w:t xml:space="preserve">            x1-Threshold1-Relay-r17                     SL-MeasTriggerQuantity-r16,</w:t>
      </w:r>
    </w:p>
    <w:p w14:paraId="7C8BA520" w14:textId="6E378F6E" w:rsidR="00BD2D2B" w:rsidRPr="00FA0D37" w:rsidRDefault="00BD2D2B" w:rsidP="00FA0D37">
      <w:pPr>
        <w:pStyle w:val="PL"/>
      </w:pPr>
      <w:r w:rsidRPr="00FA0D37">
        <w:t xml:space="preserve">            x1-Threshold2-r17                           MeasTriggerQuantity,</w:t>
      </w:r>
    </w:p>
    <w:p w14:paraId="144AB7E3" w14:textId="59700AA2" w:rsidR="00BD2D2B" w:rsidRPr="00FA0D37" w:rsidRDefault="00BD2D2B" w:rsidP="00FA0D37">
      <w:pPr>
        <w:pStyle w:val="PL"/>
      </w:pPr>
      <w:r w:rsidRPr="00FA0D37">
        <w:t xml:space="preserve">            reportOnLeave-r17                           </w:t>
      </w:r>
      <w:r w:rsidRPr="00FA0D37">
        <w:rPr>
          <w:color w:val="993366"/>
        </w:rPr>
        <w:t>BOOLEAN</w:t>
      </w:r>
      <w:r w:rsidRPr="00FA0D37">
        <w:t>,</w:t>
      </w:r>
    </w:p>
    <w:p w14:paraId="117D2B4D" w14:textId="0D433CC9" w:rsidR="00BD2D2B" w:rsidRPr="00FA0D37" w:rsidRDefault="00BD2D2B" w:rsidP="00FA0D37">
      <w:pPr>
        <w:pStyle w:val="PL"/>
      </w:pPr>
      <w:r w:rsidRPr="00FA0D37">
        <w:t xml:space="preserve">            hysteresis-r17                              Hysteresis,</w:t>
      </w:r>
    </w:p>
    <w:p w14:paraId="09F2E66B" w14:textId="7A87AC43" w:rsidR="00BD2D2B" w:rsidRPr="00FA0D37" w:rsidRDefault="00BD2D2B" w:rsidP="00FA0D37">
      <w:pPr>
        <w:pStyle w:val="PL"/>
      </w:pPr>
      <w:r w:rsidRPr="00FA0D37">
        <w:t xml:space="preserve">            timeToTrigger-r17                           TimeToTrigger</w:t>
      </w:r>
      <w:r w:rsidR="005D44A8" w:rsidRPr="00FA0D37">
        <w:t>,</w:t>
      </w:r>
    </w:p>
    <w:p w14:paraId="2BDCAA2A" w14:textId="77777777" w:rsidR="005D44A8" w:rsidRPr="00FA0D37" w:rsidRDefault="005D44A8" w:rsidP="00FA0D37">
      <w:pPr>
        <w:pStyle w:val="PL"/>
      </w:pPr>
      <w:r w:rsidRPr="00FA0D37">
        <w:t xml:space="preserve">            useAllowedCellList-r17                      </w:t>
      </w:r>
      <w:r w:rsidRPr="00FA0D37">
        <w:rPr>
          <w:color w:val="993366"/>
        </w:rPr>
        <w:t>BOOLEAN</w:t>
      </w:r>
    </w:p>
    <w:p w14:paraId="467E4840" w14:textId="77777777" w:rsidR="00BD2D2B" w:rsidRPr="00FA0D37" w:rsidRDefault="00BD2D2B" w:rsidP="00FA0D37">
      <w:pPr>
        <w:pStyle w:val="PL"/>
      </w:pPr>
      <w:r w:rsidRPr="00FA0D37">
        <w:t xml:space="preserve">        },</w:t>
      </w:r>
    </w:p>
    <w:p w14:paraId="75A68D9F" w14:textId="77777777" w:rsidR="00BD2D2B" w:rsidRPr="00FA0D37" w:rsidRDefault="00BD2D2B" w:rsidP="00FA0D37">
      <w:pPr>
        <w:pStyle w:val="PL"/>
      </w:pPr>
      <w:r w:rsidRPr="00FA0D37">
        <w:t xml:space="preserve">        eventX2-r17                                 </w:t>
      </w:r>
      <w:r w:rsidRPr="00FA0D37">
        <w:rPr>
          <w:color w:val="993366"/>
        </w:rPr>
        <w:t>SEQUENCE</w:t>
      </w:r>
      <w:r w:rsidRPr="00FA0D37">
        <w:t xml:space="preserve"> {</w:t>
      </w:r>
    </w:p>
    <w:p w14:paraId="11940CD1" w14:textId="3CC29288" w:rsidR="00BD2D2B" w:rsidRPr="00FA0D37" w:rsidRDefault="00BD2D2B" w:rsidP="00FA0D37">
      <w:pPr>
        <w:pStyle w:val="PL"/>
      </w:pPr>
      <w:r w:rsidRPr="00FA0D37">
        <w:t xml:space="preserve">            x2-Threshold-Relay-r17                      SL-MeasTriggerQuantity-r16,</w:t>
      </w:r>
    </w:p>
    <w:p w14:paraId="77BC71BC" w14:textId="5B728C5A" w:rsidR="00BD2D2B" w:rsidRPr="00FA0D37" w:rsidRDefault="00BD2D2B" w:rsidP="00FA0D37">
      <w:pPr>
        <w:pStyle w:val="PL"/>
      </w:pPr>
      <w:r w:rsidRPr="00FA0D37">
        <w:t xml:space="preserve">            reportOnLeave-r17                           </w:t>
      </w:r>
      <w:r w:rsidRPr="00FA0D37">
        <w:rPr>
          <w:color w:val="993366"/>
        </w:rPr>
        <w:t>BOOLEAN</w:t>
      </w:r>
      <w:r w:rsidRPr="00FA0D37">
        <w:t>,</w:t>
      </w:r>
    </w:p>
    <w:p w14:paraId="136421E6" w14:textId="4B0669B3" w:rsidR="00BD2D2B" w:rsidRPr="00FA0D37" w:rsidRDefault="00BD2D2B" w:rsidP="00FA0D37">
      <w:pPr>
        <w:pStyle w:val="PL"/>
      </w:pPr>
      <w:r w:rsidRPr="00FA0D37">
        <w:t xml:space="preserve">            hysteresis-r17                              Hysteresis,</w:t>
      </w:r>
    </w:p>
    <w:p w14:paraId="03753DEA" w14:textId="1B305A5F" w:rsidR="00BD2D2B" w:rsidRPr="00FA0D37" w:rsidRDefault="00BD2D2B" w:rsidP="00FA0D37">
      <w:pPr>
        <w:pStyle w:val="PL"/>
      </w:pPr>
      <w:r w:rsidRPr="00FA0D37">
        <w:t xml:space="preserve">            timeToTrigger-r17                           TimeToTrigger</w:t>
      </w:r>
    </w:p>
    <w:p w14:paraId="43D4E6D1" w14:textId="5664C21F" w:rsidR="00BD2D2B" w:rsidRPr="00FA0D37" w:rsidRDefault="00BD2D2B" w:rsidP="00FA0D37">
      <w:pPr>
        <w:pStyle w:val="PL"/>
      </w:pPr>
      <w:r w:rsidRPr="00FA0D37">
        <w:t xml:space="preserve">        }</w:t>
      </w:r>
      <w:r w:rsidR="00125BED" w:rsidRPr="00FA0D37">
        <w:t>,</w:t>
      </w:r>
    </w:p>
    <w:p w14:paraId="438B4CDB" w14:textId="7E902723" w:rsidR="005B7637" w:rsidRPr="00FA0D37" w:rsidRDefault="005B7637" w:rsidP="00FA0D37">
      <w:pPr>
        <w:pStyle w:val="PL"/>
      </w:pPr>
      <w:r w:rsidRPr="00FA0D37">
        <w:t xml:space="preserve">        eventD1-r17                                 </w:t>
      </w:r>
      <w:r w:rsidRPr="00FA0D37">
        <w:rPr>
          <w:color w:val="993366"/>
        </w:rPr>
        <w:t>SEQUENCE</w:t>
      </w:r>
      <w:r w:rsidRPr="00FA0D37">
        <w:t xml:space="preserve"> {</w:t>
      </w:r>
    </w:p>
    <w:p w14:paraId="521054CF" w14:textId="49C8CBBA" w:rsidR="005B7637" w:rsidRPr="00FA0D37" w:rsidRDefault="005B7637" w:rsidP="00FA0D37">
      <w:pPr>
        <w:pStyle w:val="PL"/>
      </w:pPr>
      <w:r w:rsidRPr="00FA0D37">
        <w:t xml:space="preserve">            distanceThres</w:t>
      </w:r>
      <w:r w:rsidR="00771058" w:rsidRPr="00FA0D37">
        <w:t>h</w:t>
      </w:r>
      <w:r w:rsidRPr="00FA0D37">
        <w:t xml:space="preserve">FromReference1-r17            </w:t>
      </w:r>
      <w:r w:rsidRPr="00FA0D37">
        <w:rPr>
          <w:color w:val="993366"/>
        </w:rPr>
        <w:t>INTEGER</w:t>
      </w:r>
      <w:r w:rsidRPr="00FA0D37">
        <w:t>(1.. 65525),</w:t>
      </w:r>
    </w:p>
    <w:p w14:paraId="57926E93" w14:textId="3A5A8B25" w:rsidR="005B7637" w:rsidRPr="00FA0D37" w:rsidRDefault="005B7637" w:rsidP="00FA0D37">
      <w:pPr>
        <w:pStyle w:val="PL"/>
      </w:pPr>
      <w:r w:rsidRPr="00FA0D37">
        <w:t xml:space="preserve">            distanceThres</w:t>
      </w:r>
      <w:r w:rsidR="00771058" w:rsidRPr="00FA0D37">
        <w:t>h</w:t>
      </w:r>
      <w:r w:rsidRPr="00FA0D37">
        <w:t xml:space="preserve">FromReference2-r17            </w:t>
      </w:r>
      <w:r w:rsidRPr="00FA0D37">
        <w:rPr>
          <w:color w:val="993366"/>
        </w:rPr>
        <w:t>INTEGER</w:t>
      </w:r>
      <w:r w:rsidRPr="00FA0D37">
        <w:t>(1.. 65525)</w:t>
      </w:r>
      <w:r w:rsidR="00771058" w:rsidRPr="00FA0D37">
        <w:t>,</w:t>
      </w:r>
    </w:p>
    <w:p w14:paraId="27A8F464" w14:textId="7058171B" w:rsidR="005B7637" w:rsidRPr="00FA0D37" w:rsidRDefault="005B7637" w:rsidP="00FA0D37">
      <w:pPr>
        <w:pStyle w:val="PL"/>
      </w:pPr>
      <w:r w:rsidRPr="00FA0D37">
        <w:t xml:space="preserve">            referenceLocation1-r17                      </w:t>
      </w:r>
      <w:r w:rsidR="00771058" w:rsidRPr="00FA0D37">
        <w:t>ReferenceLocation-r17,</w:t>
      </w:r>
    </w:p>
    <w:p w14:paraId="17B464E4" w14:textId="64470168" w:rsidR="005B7637" w:rsidRPr="00FA0D37" w:rsidRDefault="005B7637" w:rsidP="00FA0D37">
      <w:pPr>
        <w:pStyle w:val="PL"/>
      </w:pPr>
      <w:r w:rsidRPr="00FA0D37">
        <w:t xml:space="preserve">            referenceLocation2-r17                      </w:t>
      </w:r>
      <w:r w:rsidR="00771058" w:rsidRPr="00FA0D37">
        <w:t>ReferenceLocation-r17,</w:t>
      </w:r>
    </w:p>
    <w:p w14:paraId="0D8A742F" w14:textId="77777777" w:rsidR="00771058" w:rsidRPr="00FA0D37" w:rsidRDefault="00771058" w:rsidP="00FA0D37">
      <w:pPr>
        <w:pStyle w:val="PL"/>
      </w:pPr>
      <w:r w:rsidRPr="00FA0D37">
        <w:t xml:space="preserve">            reportOnLeave-r17                           </w:t>
      </w:r>
      <w:r w:rsidRPr="00FA0D37">
        <w:rPr>
          <w:color w:val="993366"/>
        </w:rPr>
        <w:t>BOOLEAN</w:t>
      </w:r>
      <w:r w:rsidRPr="00FA0D37">
        <w:t>,</w:t>
      </w:r>
    </w:p>
    <w:p w14:paraId="7E8F3A05" w14:textId="130DCC40" w:rsidR="005B7637" w:rsidRPr="00FA0D37" w:rsidRDefault="005B7637" w:rsidP="00FA0D37">
      <w:pPr>
        <w:pStyle w:val="PL"/>
      </w:pPr>
      <w:r w:rsidRPr="00FA0D37">
        <w:t xml:space="preserve">            hysteresis</w:t>
      </w:r>
      <w:r w:rsidR="00771058" w:rsidRPr="00FA0D37">
        <w:t>Location</w:t>
      </w:r>
      <w:r w:rsidRPr="00FA0D37">
        <w:t>-r17                      HysteresisLocation-r17,</w:t>
      </w:r>
    </w:p>
    <w:p w14:paraId="57B1BEB0" w14:textId="5A309E80" w:rsidR="005B7637" w:rsidRPr="00FA0D37" w:rsidRDefault="005B7637" w:rsidP="00FA0D37">
      <w:pPr>
        <w:pStyle w:val="PL"/>
      </w:pPr>
      <w:r w:rsidRPr="00FA0D37">
        <w:t xml:space="preserve">            timeToTrigger-r17                           TimeToTrigger</w:t>
      </w:r>
    </w:p>
    <w:p w14:paraId="58ED3CEE" w14:textId="5665A9B0" w:rsidR="005B7637" w:rsidRPr="00FA0D37" w:rsidRDefault="005B7637" w:rsidP="00FA0D37">
      <w:pPr>
        <w:pStyle w:val="PL"/>
      </w:pPr>
      <w:r w:rsidRPr="00FA0D37">
        <w:t xml:space="preserve">        }</w:t>
      </w:r>
    </w:p>
    <w:p w14:paraId="4B4677F5" w14:textId="0B89EF13" w:rsidR="00394471" w:rsidRPr="00FA0D37" w:rsidRDefault="00BD2D2B" w:rsidP="00FA0D37">
      <w:pPr>
        <w:pStyle w:val="PL"/>
      </w:pPr>
      <w:r w:rsidRPr="00FA0D37">
        <w:t xml:space="preserve">        ]]</w:t>
      </w:r>
    </w:p>
    <w:p w14:paraId="6974C446" w14:textId="77777777" w:rsidR="00394471" w:rsidRPr="00FA0D37" w:rsidRDefault="00394471" w:rsidP="00FA0D37">
      <w:pPr>
        <w:pStyle w:val="PL"/>
      </w:pPr>
      <w:r w:rsidRPr="00FA0D37">
        <w:lastRenderedPageBreak/>
        <w:t xml:space="preserve">    },</w:t>
      </w:r>
    </w:p>
    <w:p w14:paraId="3F9A9C34" w14:textId="77777777" w:rsidR="00394471" w:rsidRPr="00FA0D37" w:rsidRDefault="00394471" w:rsidP="00FA0D37">
      <w:pPr>
        <w:pStyle w:val="PL"/>
      </w:pPr>
      <w:r w:rsidRPr="00FA0D37">
        <w:t xml:space="preserve">    rsType                                      NR-RS-Type,</w:t>
      </w:r>
    </w:p>
    <w:p w14:paraId="29674A83" w14:textId="77777777" w:rsidR="00394471" w:rsidRPr="00FA0D37" w:rsidRDefault="00394471" w:rsidP="00FA0D37">
      <w:pPr>
        <w:pStyle w:val="PL"/>
      </w:pPr>
      <w:r w:rsidRPr="00FA0D37">
        <w:t xml:space="preserve">    reportInterval                              ReportInterval,</w:t>
      </w:r>
    </w:p>
    <w:p w14:paraId="7AA25256" w14:textId="77777777" w:rsidR="00394471" w:rsidRPr="00FA0D37" w:rsidRDefault="00394471" w:rsidP="00FA0D37">
      <w:pPr>
        <w:pStyle w:val="PL"/>
      </w:pPr>
      <w:r w:rsidRPr="00FA0D37">
        <w:t xml:space="preserve">    reportAmount                                </w:t>
      </w:r>
      <w:r w:rsidRPr="00FA0D37">
        <w:rPr>
          <w:color w:val="993366"/>
        </w:rPr>
        <w:t>ENUMERATED</w:t>
      </w:r>
      <w:r w:rsidRPr="00FA0D37">
        <w:t xml:space="preserve"> {r1, r2, r4, r8, r16, r32, r64, infinity},</w:t>
      </w:r>
    </w:p>
    <w:p w14:paraId="403DA9C6" w14:textId="77777777" w:rsidR="00394471" w:rsidRPr="00FA0D37" w:rsidRDefault="00394471" w:rsidP="00FA0D37">
      <w:pPr>
        <w:pStyle w:val="PL"/>
      </w:pPr>
      <w:r w:rsidRPr="00FA0D37">
        <w:t xml:space="preserve">    reportQuantityCell                          MeasReportQuantity,</w:t>
      </w:r>
    </w:p>
    <w:p w14:paraId="18A6E693" w14:textId="77777777" w:rsidR="00394471" w:rsidRPr="00FA0D37" w:rsidRDefault="00394471" w:rsidP="00FA0D37">
      <w:pPr>
        <w:pStyle w:val="PL"/>
      </w:pPr>
      <w:r w:rsidRPr="00FA0D37">
        <w:t xml:space="preserve">    maxReportCells                              </w:t>
      </w:r>
      <w:r w:rsidRPr="00FA0D37">
        <w:rPr>
          <w:color w:val="993366"/>
        </w:rPr>
        <w:t>INTEGER</w:t>
      </w:r>
      <w:r w:rsidRPr="00FA0D37">
        <w:t xml:space="preserve"> (1..maxCellReport),</w:t>
      </w:r>
    </w:p>
    <w:p w14:paraId="55E8607B" w14:textId="77777777" w:rsidR="00394471" w:rsidRPr="00FA0D37" w:rsidRDefault="00394471" w:rsidP="00FA0D37">
      <w:pPr>
        <w:pStyle w:val="PL"/>
        <w:rPr>
          <w:color w:val="808080"/>
        </w:rPr>
      </w:pPr>
      <w:r w:rsidRPr="00FA0D37">
        <w:t xml:space="preserve">    reportQuantityRS-Indexes                     MeasReportQuantity                                            </w:t>
      </w:r>
      <w:r w:rsidRPr="00FA0D37">
        <w:rPr>
          <w:color w:val="993366"/>
        </w:rPr>
        <w:t>OPTIONAL</w:t>
      </w:r>
      <w:r w:rsidRPr="00FA0D37">
        <w:t xml:space="preserve">,   </w:t>
      </w:r>
      <w:r w:rsidRPr="00FA0D37">
        <w:rPr>
          <w:color w:val="808080"/>
        </w:rPr>
        <w:t>-- Need R</w:t>
      </w:r>
    </w:p>
    <w:p w14:paraId="4ECA28AC" w14:textId="77777777" w:rsidR="00394471" w:rsidRPr="00FA0D37" w:rsidRDefault="00394471" w:rsidP="00FA0D37">
      <w:pPr>
        <w:pStyle w:val="PL"/>
        <w:rPr>
          <w:color w:val="808080"/>
        </w:rPr>
      </w:pPr>
      <w:r w:rsidRPr="00FA0D37">
        <w:t xml:space="preserve">    maxNrofRS-IndexesToReport                   </w:t>
      </w:r>
      <w:r w:rsidRPr="00FA0D37">
        <w:rPr>
          <w:color w:val="993366"/>
        </w:rPr>
        <w:t>INTEGER</w:t>
      </w:r>
      <w:r w:rsidRPr="00FA0D37">
        <w:t xml:space="preserve"> (1..maxNrofIndexesToReport)                            </w:t>
      </w:r>
      <w:r w:rsidRPr="00FA0D37">
        <w:rPr>
          <w:color w:val="993366"/>
        </w:rPr>
        <w:t>OPTIONAL</w:t>
      </w:r>
      <w:r w:rsidRPr="00FA0D37">
        <w:t xml:space="preserve">,   </w:t>
      </w:r>
      <w:r w:rsidRPr="00FA0D37">
        <w:rPr>
          <w:color w:val="808080"/>
        </w:rPr>
        <w:t>-- Need R</w:t>
      </w:r>
    </w:p>
    <w:p w14:paraId="3C872E18" w14:textId="77777777" w:rsidR="00394471" w:rsidRPr="00FA0D37" w:rsidRDefault="00394471" w:rsidP="00FA0D37">
      <w:pPr>
        <w:pStyle w:val="PL"/>
      </w:pPr>
      <w:r w:rsidRPr="00FA0D37">
        <w:t xml:space="preserve">    includeBeamMeasurements                     </w:t>
      </w:r>
      <w:r w:rsidRPr="00FA0D37">
        <w:rPr>
          <w:color w:val="993366"/>
        </w:rPr>
        <w:t>BOOLEAN</w:t>
      </w:r>
      <w:r w:rsidRPr="00FA0D37">
        <w:t>,</w:t>
      </w:r>
    </w:p>
    <w:p w14:paraId="29001FDE" w14:textId="77777777" w:rsidR="00394471" w:rsidRPr="00FA0D37" w:rsidRDefault="00394471" w:rsidP="00FA0D37">
      <w:pPr>
        <w:pStyle w:val="PL"/>
        <w:rPr>
          <w:color w:val="808080"/>
        </w:rPr>
      </w:pPr>
      <w:r w:rsidRPr="00FA0D37">
        <w:t xml:space="preserve">    reportAddNeighMeas                          </w:t>
      </w:r>
      <w:r w:rsidRPr="00FA0D37">
        <w:rPr>
          <w:color w:val="993366"/>
        </w:rPr>
        <w:t>ENUMERATED</w:t>
      </w:r>
      <w:r w:rsidRPr="00FA0D37">
        <w:t xml:space="preserve"> {setup}                                             </w:t>
      </w:r>
      <w:r w:rsidRPr="00FA0D37">
        <w:rPr>
          <w:color w:val="993366"/>
        </w:rPr>
        <w:t>OPTIONAL</w:t>
      </w:r>
      <w:r w:rsidRPr="00FA0D37">
        <w:t xml:space="preserve">,   </w:t>
      </w:r>
      <w:r w:rsidRPr="00FA0D37">
        <w:rPr>
          <w:color w:val="808080"/>
        </w:rPr>
        <w:t>-- Need R</w:t>
      </w:r>
    </w:p>
    <w:p w14:paraId="04D356A0" w14:textId="77777777" w:rsidR="00394471" w:rsidRPr="00FA0D37" w:rsidRDefault="00394471" w:rsidP="00FA0D37">
      <w:pPr>
        <w:pStyle w:val="PL"/>
      </w:pPr>
      <w:r w:rsidRPr="00FA0D37">
        <w:t xml:space="preserve">    ...,</w:t>
      </w:r>
    </w:p>
    <w:p w14:paraId="3AAEFCD6" w14:textId="77777777" w:rsidR="00394471" w:rsidRPr="00FA0D37" w:rsidRDefault="00394471" w:rsidP="00FA0D37">
      <w:pPr>
        <w:pStyle w:val="PL"/>
      </w:pPr>
      <w:r w:rsidRPr="00FA0D37">
        <w:t xml:space="preserve">    [[</w:t>
      </w:r>
    </w:p>
    <w:p w14:paraId="662666DF" w14:textId="77777777" w:rsidR="00394471" w:rsidRPr="00FA0D37" w:rsidRDefault="00394471" w:rsidP="00FA0D37">
      <w:pPr>
        <w:pStyle w:val="PL"/>
        <w:rPr>
          <w:color w:val="808080"/>
        </w:rPr>
      </w:pPr>
      <w:r w:rsidRPr="00FA0D37">
        <w:t xml:space="preserve">    measRSSI-ReportConfig-r16                   MeasRSSI-ReportConfig-r16                                      </w:t>
      </w:r>
      <w:r w:rsidRPr="00FA0D37">
        <w:rPr>
          <w:color w:val="993366"/>
        </w:rPr>
        <w:t>OPTIONAL</w:t>
      </w:r>
      <w:r w:rsidRPr="00FA0D37">
        <w:t xml:space="preserve">,   </w:t>
      </w:r>
      <w:r w:rsidRPr="00FA0D37">
        <w:rPr>
          <w:color w:val="808080"/>
        </w:rPr>
        <w:t>-- Need R</w:t>
      </w:r>
    </w:p>
    <w:p w14:paraId="6A455DA3" w14:textId="77777777" w:rsidR="00394471" w:rsidRPr="00FA0D37" w:rsidRDefault="00394471" w:rsidP="00FA0D37">
      <w:pPr>
        <w:pStyle w:val="PL"/>
        <w:rPr>
          <w:color w:val="808080"/>
        </w:rPr>
      </w:pPr>
      <w:r w:rsidRPr="00FA0D37">
        <w:t xml:space="preserve">    useT312-r16                                 </w:t>
      </w:r>
      <w:r w:rsidRPr="00FA0D37">
        <w:rPr>
          <w:color w:val="993366"/>
        </w:rPr>
        <w:t>BOOLEAN</w:t>
      </w:r>
      <w:r w:rsidRPr="00FA0D37">
        <w:t xml:space="preserve">                                                        </w:t>
      </w:r>
      <w:r w:rsidRPr="00FA0D37">
        <w:rPr>
          <w:color w:val="993366"/>
        </w:rPr>
        <w:t>OPTIONAL</w:t>
      </w:r>
      <w:r w:rsidRPr="00FA0D37">
        <w:t xml:space="preserve">,   </w:t>
      </w:r>
      <w:r w:rsidRPr="00FA0D37">
        <w:rPr>
          <w:color w:val="808080"/>
        </w:rPr>
        <w:t>-- Need M</w:t>
      </w:r>
    </w:p>
    <w:p w14:paraId="02263440" w14:textId="77777777" w:rsidR="00394471" w:rsidRPr="00FA0D37" w:rsidRDefault="00394471" w:rsidP="00FA0D37">
      <w:pPr>
        <w:pStyle w:val="PL"/>
        <w:rPr>
          <w:color w:val="808080"/>
        </w:rPr>
      </w:pPr>
      <w:r w:rsidRPr="00FA0D37">
        <w:t xml:space="preserve">    includeCommonLocationInfo-r16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0EAF1C4C" w14:textId="77777777" w:rsidR="00394471" w:rsidRPr="00FA0D37" w:rsidRDefault="00394471" w:rsidP="00FA0D37">
      <w:pPr>
        <w:pStyle w:val="PL"/>
        <w:rPr>
          <w:color w:val="808080"/>
        </w:rPr>
      </w:pPr>
      <w:r w:rsidRPr="00FA0D37">
        <w:t xml:space="preserve">    includeBT-Meas-r16                          SetupRelease {BT-NameList-r16}                                 </w:t>
      </w:r>
      <w:r w:rsidRPr="00FA0D37">
        <w:rPr>
          <w:color w:val="993366"/>
        </w:rPr>
        <w:t>OPTIONAL</w:t>
      </w:r>
      <w:r w:rsidRPr="00FA0D37">
        <w:t xml:space="preserve">,   </w:t>
      </w:r>
      <w:r w:rsidRPr="00FA0D37">
        <w:rPr>
          <w:color w:val="808080"/>
        </w:rPr>
        <w:t>-- Need M</w:t>
      </w:r>
    </w:p>
    <w:p w14:paraId="6EDD470E" w14:textId="77777777" w:rsidR="00394471" w:rsidRPr="00FA0D37" w:rsidRDefault="00394471" w:rsidP="00FA0D37">
      <w:pPr>
        <w:pStyle w:val="PL"/>
        <w:rPr>
          <w:color w:val="808080"/>
        </w:rPr>
      </w:pPr>
      <w:r w:rsidRPr="00FA0D37">
        <w:t xml:space="preserve">    includeWLAN-Meas-r16                        SetupRelease {WLAN-NameList-r16}                               </w:t>
      </w:r>
      <w:r w:rsidRPr="00FA0D37">
        <w:rPr>
          <w:color w:val="993366"/>
        </w:rPr>
        <w:t>OPTIONAL</w:t>
      </w:r>
      <w:r w:rsidRPr="00FA0D37">
        <w:t xml:space="preserve">,   </w:t>
      </w:r>
      <w:r w:rsidRPr="00FA0D37">
        <w:rPr>
          <w:color w:val="808080"/>
        </w:rPr>
        <w:t>-- Need M</w:t>
      </w:r>
    </w:p>
    <w:p w14:paraId="39FBE4D0" w14:textId="77777777" w:rsidR="00394471" w:rsidRPr="00FA0D37" w:rsidRDefault="00394471" w:rsidP="00FA0D37">
      <w:pPr>
        <w:pStyle w:val="PL"/>
        <w:rPr>
          <w:color w:val="808080"/>
        </w:rPr>
      </w:pPr>
      <w:r w:rsidRPr="00FA0D37">
        <w:t xml:space="preserve">    includeSensor-Meas-r16                      SetupRelease {Sensor-NameList-r16}                             </w:t>
      </w:r>
      <w:r w:rsidRPr="00FA0D37">
        <w:rPr>
          <w:color w:val="993366"/>
        </w:rPr>
        <w:t>OPTIONAL</w:t>
      </w:r>
      <w:r w:rsidRPr="00FA0D37">
        <w:t xml:space="preserve">    </w:t>
      </w:r>
      <w:r w:rsidRPr="00FA0D37">
        <w:rPr>
          <w:color w:val="808080"/>
        </w:rPr>
        <w:t>-- Need M</w:t>
      </w:r>
    </w:p>
    <w:p w14:paraId="539AF5EA" w14:textId="721273CC" w:rsidR="00771058" w:rsidRPr="00FA0D37" w:rsidRDefault="00394471" w:rsidP="00FA0D37">
      <w:pPr>
        <w:pStyle w:val="PL"/>
      </w:pPr>
      <w:r w:rsidRPr="00FA0D37">
        <w:t xml:space="preserve">    ]]</w:t>
      </w:r>
      <w:r w:rsidR="00771058" w:rsidRPr="00FA0D37">
        <w:t>,</w:t>
      </w:r>
    </w:p>
    <w:p w14:paraId="7AD8F8BB" w14:textId="17F6A9B2" w:rsidR="00771058" w:rsidRPr="00FA0D37" w:rsidRDefault="00771058" w:rsidP="00FA0D37">
      <w:pPr>
        <w:pStyle w:val="PL"/>
      </w:pPr>
      <w:r w:rsidRPr="00FA0D37">
        <w:t xml:space="preserve">    [[</w:t>
      </w:r>
    </w:p>
    <w:p w14:paraId="70CB1F42" w14:textId="13616215" w:rsidR="00771058" w:rsidRPr="00FA0D37" w:rsidRDefault="00771058" w:rsidP="00FA0D37">
      <w:pPr>
        <w:pStyle w:val="PL"/>
        <w:rPr>
          <w:color w:val="808080"/>
        </w:rPr>
      </w:pPr>
      <w:r w:rsidRPr="00FA0D37">
        <w:t xml:space="preserve">    coarseLocationRequest-r17                   </w:t>
      </w:r>
      <w:r w:rsidRPr="00FA0D37">
        <w:rPr>
          <w:color w:val="993366"/>
        </w:rPr>
        <w:t>ENUMERATED</w:t>
      </w:r>
      <w:r w:rsidRPr="00FA0D37">
        <w:t xml:space="preserve"> {true}                                              </w:t>
      </w:r>
      <w:r w:rsidRPr="00FA0D37">
        <w:rPr>
          <w:color w:val="993366"/>
        </w:rPr>
        <w:t>OPTIONAL</w:t>
      </w:r>
      <w:r w:rsidR="009620A4" w:rsidRPr="00FA0D37">
        <w:t>,</w:t>
      </w:r>
      <w:r w:rsidRPr="00FA0D37">
        <w:t xml:space="preserve">   </w:t>
      </w:r>
      <w:r w:rsidRPr="00FA0D37">
        <w:rPr>
          <w:color w:val="808080"/>
        </w:rPr>
        <w:t>-- Need R</w:t>
      </w:r>
    </w:p>
    <w:p w14:paraId="189C0F66" w14:textId="03752300" w:rsidR="009620A4" w:rsidRPr="00FA0D37" w:rsidRDefault="009620A4" w:rsidP="00FA0D37">
      <w:pPr>
        <w:pStyle w:val="PL"/>
        <w:rPr>
          <w:color w:val="808080"/>
        </w:rPr>
      </w:pPr>
      <w:r w:rsidRPr="00FA0D37">
        <w:t xml:space="preserve">    reportQuantityRelay-r17                     SL-MeasReportQuantity-r16                                      </w:t>
      </w:r>
      <w:r w:rsidRPr="00FA0D37">
        <w:rPr>
          <w:color w:val="993366"/>
        </w:rPr>
        <w:t>OPTIONAL</w:t>
      </w:r>
      <w:r w:rsidRPr="00FA0D37">
        <w:t xml:space="preserve">    </w:t>
      </w:r>
      <w:r w:rsidRPr="00FA0D37">
        <w:rPr>
          <w:color w:val="808080"/>
        </w:rPr>
        <w:t>-- Need R</w:t>
      </w:r>
    </w:p>
    <w:p w14:paraId="0F85DBCD" w14:textId="3FD425DF" w:rsidR="00394471" w:rsidRPr="00FA0D37" w:rsidRDefault="00771058" w:rsidP="00FA0D37">
      <w:pPr>
        <w:pStyle w:val="PL"/>
      </w:pPr>
      <w:r w:rsidRPr="00FA0D37">
        <w:t xml:space="preserve">    ]]</w:t>
      </w:r>
    </w:p>
    <w:p w14:paraId="1D4E11F4" w14:textId="77777777" w:rsidR="00394471" w:rsidRPr="00FA0D37" w:rsidRDefault="00394471" w:rsidP="00FA0D37">
      <w:pPr>
        <w:pStyle w:val="PL"/>
      </w:pPr>
      <w:r w:rsidRPr="00FA0D37">
        <w:t>}</w:t>
      </w:r>
    </w:p>
    <w:p w14:paraId="5713863F" w14:textId="77777777" w:rsidR="00394471" w:rsidRPr="00FA0D37" w:rsidRDefault="00394471" w:rsidP="00FA0D37">
      <w:pPr>
        <w:pStyle w:val="PL"/>
      </w:pPr>
    </w:p>
    <w:p w14:paraId="2311F91A" w14:textId="77777777" w:rsidR="00394471" w:rsidRPr="00FA0D37" w:rsidRDefault="00394471" w:rsidP="00FA0D37">
      <w:pPr>
        <w:pStyle w:val="PL"/>
      </w:pPr>
      <w:r w:rsidRPr="00FA0D37">
        <w:t xml:space="preserve">PeriodicalReportConfig ::=                  </w:t>
      </w:r>
      <w:r w:rsidRPr="00FA0D37">
        <w:rPr>
          <w:color w:val="993366"/>
        </w:rPr>
        <w:t>SEQUENCE</w:t>
      </w:r>
      <w:r w:rsidRPr="00FA0D37">
        <w:t xml:space="preserve"> {</w:t>
      </w:r>
    </w:p>
    <w:p w14:paraId="038E2899" w14:textId="77777777" w:rsidR="00394471" w:rsidRPr="00FA0D37" w:rsidRDefault="00394471" w:rsidP="00FA0D37">
      <w:pPr>
        <w:pStyle w:val="PL"/>
      </w:pPr>
      <w:r w:rsidRPr="00FA0D37">
        <w:t xml:space="preserve">    rsType                                      NR-RS-Type,</w:t>
      </w:r>
    </w:p>
    <w:p w14:paraId="7FB83A5D" w14:textId="77777777" w:rsidR="00394471" w:rsidRPr="00FA0D37" w:rsidRDefault="00394471" w:rsidP="00FA0D37">
      <w:pPr>
        <w:pStyle w:val="PL"/>
      </w:pPr>
      <w:r w:rsidRPr="00FA0D37">
        <w:t xml:space="preserve">    reportInterval                              ReportInterval,</w:t>
      </w:r>
    </w:p>
    <w:p w14:paraId="59A3F83F" w14:textId="77777777" w:rsidR="00394471" w:rsidRPr="00FA0D37" w:rsidRDefault="00394471" w:rsidP="00FA0D37">
      <w:pPr>
        <w:pStyle w:val="PL"/>
      </w:pPr>
      <w:r w:rsidRPr="00FA0D37">
        <w:t xml:space="preserve">    reportAmount                                </w:t>
      </w:r>
      <w:r w:rsidRPr="00FA0D37">
        <w:rPr>
          <w:color w:val="993366"/>
        </w:rPr>
        <w:t>ENUMERATED</w:t>
      </w:r>
      <w:r w:rsidRPr="00FA0D37">
        <w:t xml:space="preserve"> {r1, r2, r4, r8, r16, r32, r64, infinity},</w:t>
      </w:r>
    </w:p>
    <w:p w14:paraId="02776979" w14:textId="77777777" w:rsidR="00394471" w:rsidRPr="00FA0D37" w:rsidRDefault="00394471" w:rsidP="00FA0D37">
      <w:pPr>
        <w:pStyle w:val="PL"/>
      </w:pPr>
      <w:r w:rsidRPr="00FA0D37">
        <w:t xml:space="preserve">    reportQuantityCell                          MeasReportQuantity,</w:t>
      </w:r>
    </w:p>
    <w:p w14:paraId="3A15FF9A" w14:textId="77777777" w:rsidR="00394471" w:rsidRPr="00FA0D37" w:rsidRDefault="00394471" w:rsidP="00FA0D37">
      <w:pPr>
        <w:pStyle w:val="PL"/>
      </w:pPr>
      <w:r w:rsidRPr="00FA0D37">
        <w:t xml:space="preserve">    maxReportCells                              </w:t>
      </w:r>
      <w:r w:rsidRPr="00FA0D37">
        <w:rPr>
          <w:color w:val="993366"/>
        </w:rPr>
        <w:t>INTEGER</w:t>
      </w:r>
      <w:r w:rsidRPr="00FA0D37">
        <w:t xml:space="preserve"> (1..maxCellReport),</w:t>
      </w:r>
    </w:p>
    <w:p w14:paraId="78FB9D12" w14:textId="77777777" w:rsidR="00394471" w:rsidRPr="00FA0D37" w:rsidRDefault="00394471" w:rsidP="00FA0D37">
      <w:pPr>
        <w:pStyle w:val="PL"/>
        <w:rPr>
          <w:color w:val="808080"/>
        </w:rPr>
      </w:pPr>
      <w:r w:rsidRPr="00FA0D37">
        <w:t xml:space="preserve">    reportQuantityRS-Indexes                    MeasReportQuantity                                             </w:t>
      </w:r>
      <w:r w:rsidRPr="00FA0D37">
        <w:rPr>
          <w:color w:val="993366"/>
        </w:rPr>
        <w:t>OPTIONAL</w:t>
      </w:r>
      <w:r w:rsidRPr="00FA0D37">
        <w:t xml:space="preserve">,   </w:t>
      </w:r>
      <w:r w:rsidRPr="00FA0D37">
        <w:rPr>
          <w:color w:val="808080"/>
        </w:rPr>
        <w:t>-- Need R</w:t>
      </w:r>
    </w:p>
    <w:p w14:paraId="67C5C27C" w14:textId="77777777" w:rsidR="00394471" w:rsidRPr="00FA0D37" w:rsidRDefault="00394471" w:rsidP="00FA0D37">
      <w:pPr>
        <w:pStyle w:val="PL"/>
        <w:rPr>
          <w:color w:val="808080"/>
        </w:rPr>
      </w:pPr>
      <w:r w:rsidRPr="00FA0D37">
        <w:t xml:space="preserve">    maxNrofRS-IndexesToReport                   </w:t>
      </w:r>
      <w:r w:rsidRPr="00FA0D37">
        <w:rPr>
          <w:color w:val="993366"/>
        </w:rPr>
        <w:t>INTEGER</w:t>
      </w:r>
      <w:r w:rsidRPr="00FA0D37">
        <w:t xml:space="preserve"> (1..maxNrofIndexesToReport)                            </w:t>
      </w:r>
      <w:r w:rsidRPr="00FA0D37">
        <w:rPr>
          <w:color w:val="993366"/>
        </w:rPr>
        <w:t>OPTIONAL</w:t>
      </w:r>
      <w:r w:rsidRPr="00FA0D37">
        <w:t xml:space="preserve">,   </w:t>
      </w:r>
      <w:r w:rsidRPr="00FA0D37">
        <w:rPr>
          <w:color w:val="808080"/>
        </w:rPr>
        <w:t>-- Need R</w:t>
      </w:r>
    </w:p>
    <w:p w14:paraId="28C2EE22" w14:textId="77777777" w:rsidR="00394471" w:rsidRPr="00FA0D37" w:rsidRDefault="00394471" w:rsidP="00FA0D37">
      <w:pPr>
        <w:pStyle w:val="PL"/>
      </w:pPr>
      <w:r w:rsidRPr="00FA0D37">
        <w:t xml:space="preserve">    includeBeamMeasurements                     </w:t>
      </w:r>
      <w:r w:rsidRPr="00FA0D37">
        <w:rPr>
          <w:color w:val="993366"/>
        </w:rPr>
        <w:t>BOOLEAN</w:t>
      </w:r>
      <w:r w:rsidRPr="00FA0D37">
        <w:t>,</w:t>
      </w:r>
    </w:p>
    <w:p w14:paraId="59365515" w14:textId="4DB91189" w:rsidR="00394471" w:rsidRPr="00FA0D37" w:rsidRDefault="00394471" w:rsidP="00FA0D37">
      <w:pPr>
        <w:pStyle w:val="PL"/>
      </w:pPr>
      <w:r w:rsidRPr="00FA0D37">
        <w:t xml:space="preserve">    use</w:t>
      </w:r>
      <w:r w:rsidR="005B6C6E" w:rsidRPr="00FA0D37">
        <w:t>Allowed</w:t>
      </w:r>
      <w:r w:rsidRPr="00FA0D37">
        <w:t xml:space="preserve">CellList                          </w:t>
      </w:r>
      <w:r w:rsidRPr="00FA0D37">
        <w:rPr>
          <w:color w:val="993366"/>
        </w:rPr>
        <w:t>BOOLEAN</w:t>
      </w:r>
      <w:r w:rsidRPr="00FA0D37">
        <w:t>,</w:t>
      </w:r>
    </w:p>
    <w:p w14:paraId="146AF274" w14:textId="77777777" w:rsidR="00394471" w:rsidRPr="00FA0D37" w:rsidRDefault="00394471" w:rsidP="00FA0D37">
      <w:pPr>
        <w:pStyle w:val="PL"/>
      </w:pPr>
      <w:r w:rsidRPr="00FA0D37">
        <w:t xml:space="preserve">    ...,</w:t>
      </w:r>
    </w:p>
    <w:p w14:paraId="65E40E3A" w14:textId="77777777" w:rsidR="00394471" w:rsidRPr="00FA0D37" w:rsidRDefault="00394471" w:rsidP="00FA0D37">
      <w:pPr>
        <w:pStyle w:val="PL"/>
      </w:pPr>
      <w:r w:rsidRPr="00FA0D37">
        <w:t xml:space="preserve">    [[</w:t>
      </w:r>
    </w:p>
    <w:p w14:paraId="7902A8D9" w14:textId="77777777" w:rsidR="00394471" w:rsidRPr="00FA0D37" w:rsidRDefault="00394471" w:rsidP="00FA0D37">
      <w:pPr>
        <w:pStyle w:val="PL"/>
        <w:rPr>
          <w:color w:val="808080"/>
        </w:rPr>
      </w:pPr>
      <w:r w:rsidRPr="00FA0D37">
        <w:t xml:space="preserve">    measRSSI-ReportConfig-r16                   MeasRSSI-ReportConfig-r16                                      </w:t>
      </w:r>
      <w:r w:rsidRPr="00FA0D37">
        <w:rPr>
          <w:color w:val="993366"/>
        </w:rPr>
        <w:t>OPTIONAL</w:t>
      </w:r>
      <w:r w:rsidRPr="00FA0D37">
        <w:t xml:space="preserve">,   </w:t>
      </w:r>
      <w:r w:rsidRPr="00FA0D37">
        <w:rPr>
          <w:color w:val="808080"/>
        </w:rPr>
        <w:t>-- Need R</w:t>
      </w:r>
    </w:p>
    <w:p w14:paraId="76148E9B" w14:textId="77777777" w:rsidR="00394471" w:rsidRPr="00FA0D37" w:rsidRDefault="00394471" w:rsidP="00FA0D37">
      <w:pPr>
        <w:pStyle w:val="PL"/>
        <w:rPr>
          <w:color w:val="808080"/>
        </w:rPr>
      </w:pPr>
      <w:r w:rsidRPr="00FA0D37">
        <w:t xml:space="preserve">    includeCommonLocationInfo-r16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0DAFC13B" w14:textId="77777777" w:rsidR="00394471" w:rsidRPr="00FA0D37" w:rsidRDefault="00394471" w:rsidP="00FA0D37">
      <w:pPr>
        <w:pStyle w:val="PL"/>
        <w:rPr>
          <w:color w:val="808080"/>
        </w:rPr>
      </w:pPr>
      <w:r w:rsidRPr="00FA0D37">
        <w:t xml:space="preserve">    includeBT-Meas-r16                          SetupRelease {BT-NameList-r16}                                 </w:t>
      </w:r>
      <w:r w:rsidRPr="00FA0D37">
        <w:rPr>
          <w:color w:val="993366"/>
        </w:rPr>
        <w:t>OPTIONAL</w:t>
      </w:r>
      <w:r w:rsidRPr="00FA0D37">
        <w:t xml:space="preserve">,   </w:t>
      </w:r>
      <w:r w:rsidRPr="00FA0D37">
        <w:rPr>
          <w:color w:val="808080"/>
        </w:rPr>
        <w:t>-- Need M</w:t>
      </w:r>
    </w:p>
    <w:p w14:paraId="2A949DB9" w14:textId="77777777" w:rsidR="00394471" w:rsidRPr="00FA0D37" w:rsidRDefault="00394471" w:rsidP="00FA0D37">
      <w:pPr>
        <w:pStyle w:val="PL"/>
        <w:rPr>
          <w:color w:val="808080"/>
        </w:rPr>
      </w:pPr>
      <w:r w:rsidRPr="00FA0D37">
        <w:t xml:space="preserve">    includeWLAN-Meas-r16                        SetupRelease {WLAN-NameList-r16}                               </w:t>
      </w:r>
      <w:r w:rsidRPr="00FA0D37">
        <w:rPr>
          <w:color w:val="993366"/>
        </w:rPr>
        <w:t>OPTIONAL</w:t>
      </w:r>
      <w:r w:rsidRPr="00FA0D37">
        <w:t xml:space="preserve">,   </w:t>
      </w:r>
      <w:r w:rsidRPr="00FA0D37">
        <w:rPr>
          <w:color w:val="808080"/>
        </w:rPr>
        <w:t>-- Need M</w:t>
      </w:r>
    </w:p>
    <w:p w14:paraId="227378E8" w14:textId="77777777" w:rsidR="00394471" w:rsidRPr="00FA0D37" w:rsidRDefault="00394471" w:rsidP="00FA0D37">
      <w:pPr>
        <w:pStyle w:val="PL"/>
        <w:rPr>
          <w:color w:val="808080"/>
        </w:rPr>
      </w:pPr>
      <w:r w:rsidRPr="00FA0D37">
        <w:t xml:space="preserve">    includeSensor-Meas-r16                      SetupRelease {Sensor-NameList-r16}                             </w:t>
      </w:r>
      <w:r w:rsidRPr="00FA0D37">
        <w:rPr>
          <w:color w:val="993366"/>
        </w:rPr>
        <w:t>OPTIONAL</w:t>
      </w:r>
      <w:r w:rsidRPr="00FA0D37">
        <w:t xml:space="preserve">,   </w:t>
      </w:r>
      <w:r w:rsidRPr="00FA0D37">
        <w:rPr>
          <w:color w:val="808080"/>
        </w:rPr>
        <w:t>-- Need M</w:t>
      </w:r>
    </w:p>
    <w:p w14:paraId="42F226AF" w14:textId="77777777" w:rsidR="00394471" w:rsidRPr="00FA0D37" w:rsidRDefault="00394471" w:rsidP="00FA0D37">
      <w:pPr>
        <w:pStyle w:val="PL"/>
        <w:rPr>
          <w:color w:val="808080"/>
        </w:rPr>
      </w:pPr>
      <w:r w:rsidRPr="00FA0D37">
        <w:t xml:space="preserve">    ul-DelayValueConfig-r16                     SetupRelease { UL-DelayValueConfig-r16 }                       </w:t>
      </w:r>
      <w:r w:rsidRPr="00FA0D37">
        <w:rPr>
          <w:color w:val="993366"/>
        </w:rPr>
        <w:t>OPTIONAL</w:t>
      </w:r>
      <w:r w:rsidRPr="00FA0D37">
        <w:t xml:space="preserve">,   </w:t>
      </w:r>
      <w:r w:rsidRPr="00FA0D37">
        <w:rPr>
          <w:color w:val="808080"/>
        </w:rPr>
        <w:t>-- Need M</w:t>
      </w:r>
    </w:p>
    <w:p w14:paraId="5EC2EF93" w14:textId="77777777" w:rsidR="00394471" w:rsidRPr="00FA0D37" w:rsidRDefault="00394471" w:rsidP="00FA0D37">
      <w:pPr>
        <w:pStyle w:val="PL"/>
        <w:rPr>
          <w:color w:val="808080"/>
        </w:rPr>
      </w:pPr>
      <w:r w:rsidRPr="00FA0D37">
        <w:t xml:space="preserve">    reportAddNeighMeas-r16                      </w:t>
      </w:r>
      <w:r w:rsidRPr="00FA0D37">
        <w:rPr>
          <w:color w:val="993366"/>
        </w:rPr>
        <w:t>ENUMERATED</w:t>
      </w:r>
      <w:r w:rsidRPr="00FA0D37">
        <w:t xml:space="preserve"> {setup}                                             </w:t>
      </w:r>
      <w:r w:rsidRPr="00FA0D37">
        <w:rPr>
          <w:color w:val="993366"/>
        </w:rPr>
        <w:t>OPTIONAL</w:t>
      </w:r>
      <w:r w:rsidRPr="00FA0D37">
        <w:t xml:space="preserve">    </w:t>
      </w:r>
      <w:r w:rsidRPr="00FA0D37">
        <w:rPr>
          <w:color w:val="808080"/>
        </w:rPr>
        <w:t>-- Need R</w:t>
      </w:r>
    </w:p>
    <w:p w14:paraId="227DF91B" w14:textId="0876D549" w:rsidR="00E84B6D" w:rsidRPr="00FA0D37" w:rsidRDefault="00394471" w:rsidP="00FA0D37">
      <w:pPr>
        <w:pStyle w:val="PL"/>
      </w:pPr>
      <w:r w:rsidRPr="00FA0D37">
        <w:t xml:space="preserve">    ]]</w:t>
      </w:r>
      <w:r w:rsidR="00E84B6D" w:rsidRPr="00FA0D37">
        <w:t>,</w:t>
      </w:r>
    </w:p>
    <w:p w14:paraId="55CA569A" w14:textId="77777777" w:rsidR="00E84B6D" w:rsidRPr="00FA0D37" w:rsidRDefault="00E84B6D" w:rsidP="00FA0D37">
      <w:pPr>
        <w:pStyle w:val="PL"/>
      </w:pPr>
      <w:r w:rsidRPr="00FA0D37">
        <w:t xml:space="preserve">    [[</w:t>
      </w:r>
    </w:p>
    <w:p w14:paraId="638843FA" w14:textId="19FC8743" w:rsidR="00771058" w:rsidRPr="00FA0D37" w:rsidRDefault="00E84B6D" w:rsidP="00FA0D37">
      <w:pPr>
        <w:pStyle w:val="PL"/>
        <w:rPr>
          <w:color w:val="808080"/>
        </w:rPr>
      </w:pPr>
      <w:r w:rsidRPr="00FA0D37">
        <w:t xml:space="preserve">    ul-ExcessDelayConfig-r17                    SetupRelease { UL-ExcessDelayConfig-r17 }                      </w:t>
      </w:r>
      <w:r w:rsidRPr="00FA0D37">
        <w:rPr>
          <w:color w:val="993366"/>
        </w:rPr>
        <w:t>OPTIONAL</w:t>
      </w:r>
      <w:r w:rsidR="00771058" w:rsidRPr="00FA0D37">
        <w:t>,</w:t>
      </w:r>
      <w:r w:rsidRPr="00FA0D37">
        <w:t xml:space="preserve">   </w:t>
      </w:r>
      <w:r w:rsidRPr="00FA0D37">
        <w:rPr>
          <w:color w:val="808080"/>
        </w:rPr>
        <w:t>-- Need M</w:t>
      </w:r>
    </w:p>
    <w:p w14:paraId="4E692AF6" w14:textId="07DDE1B2" w:rsidR="00E84B6D" w:rsidRPr="00FA0D37" w:rsidRDefault="00771058" w:rsidP="00FA0D37">
      <w:pPr>
        <w:pStyle w:val="PL"/>
        <w:rPr>
          <w:color w:val="808080"/>
        </w:rPr>
      </w:pPr>
      <w:r w:rsidRPr="00FA0D37">
        <w:t xml:space="preserve">    coarseLocationRequest-r17                   </w:t>
      </w:r>
      <w:r w:rsidRPr="00FA0D37">
        <w:rPr>
          <w:color w:val="993366"/>
        </w:rPr>
        <w:t>ENUMERATED</w:t>
      </w:r>
      <w:r w:rsidRPr="00FA0D37">
        <w:t xml:space="preserve"> {true}                                              </w:t>
      </w:r>
      <w:r w:rsidRPr="00FA0D37">
        <w:rPr>
          <w:color w:val="993366"/>
        </w:rPr>
        <w:t>OPTIONAL</w:t>
      </w:r>
      <w:r w:rsidR="009620A4" w:rsidRPr="00FA0D37">
        <w:t>,</w:t>
      </w:r>
      <w:r w:rsidRPr="00FA0D37">
        <w:t xml:space="preserve">   </w:t>
      </w:r>
      <w:r w:rsidRPr="00FA0D37">
        <w:rPr>
          <w:color w:val="808080"/>
        </w:rPr>
        <w:t>-- Need R</w:t>
      </w:r>
    </w:p>
    <w:p w14:paraId="29F7B926" w14:textId="7A263662" w:rsidR="009620A4" w:rsidRPr="00FA0D37" w:rsidRDefault="009620A4" w:rsidP="00FA0D37">
      <w:pPr>
        <w:pStyle w:val="PL"/>
        <w:rPr>
          <w:color w:val="808080"/>
        </w:rPr>
      </w:pPr>
      <w:r w:rsidRPr="00FA0D37">
        <w:t xml:space="preserve">    reportQuantityRelay-r17                     SL-MeasReportQuantity-r16                                      </w:t>
      </w:r>
      <w:r w:rsidRPr="00FA0D37">
        <w:rPr>
          <w:color w:val="993366"/>
        </w:rPr>
        <w:t>OPTIONAL</w:t>
      </w:r>
      <w:r w:rsidRPr="00FA0D37">
        <w:t xml:space="preserve">    </w:t>
      </w:r>
      <w:r w:rsidRPr="00FA0D37">
        <w:rPr>
          <w:color w:val="808080"/>
        </w:rPr>
        <w:t>-- Need R</w:t>
      </w:r>
    </w:p>
    <w:p w14:paraId="776DB8BC" w14:textId="7B0DEC5E" w:rsidR="00394471" w:rsidRPr="00FA0D37" w:rsidRDefault="00E84B6D" w:rsidP="00FA0D37">
      <w:pPr>
        <w:pStyle w:val="PL"/>
      </w:pPr>
      <w:r w:rsidRPr="00FA0D37">
        <w:t xml:space="preserve">    ]]</w:t>
      </w:r>
    </w:p>
    <w:p w14:paraId="4754F870" w14:textId="77777777" w:rsidR="00394471" w:rsidRPr="00FA0D37" w:rsidRDefault="00394471" w:rsidP="00FA0D37">
      <w:pPr>
        <w:pStyle w:val="PL"/>
      </w:pPr>
      <w:r w:rsidRPr="00FA0D37">
        <w:t>}</w:t>
      </w:r>
    </w:p>
    <w:p w14:paraId="21CBA925" w14:textId="77777777" w:rsidR="00394471" w:rsidRPr="00FA0D37" w:rsidRDefault="00394471" w:rsidP="00FA0D37">
      <w:pPr>
        <w:pStyle w:val="PL"/>
      </w:pPr>
    </w:p>
    <w:p w14:paraId="1D24BCB9" w14:textId="77777777" w:rsidR="00394471" w:rsidRPr="00FA0D37" w:rsidRDefault="00394471" w:rsidP="00FA0D37">
      <w:pPr>
        <w:pStyle w:val="PL"/>
      </w:pPr>
      <w:r w:rsidRPr="00FA0D37">
        <w:t xml:space="preserve">NR-RS-Type ::=                              </w:t>
      </w:r>
      <w:r w:rsidRPr="00FA0D37">
        <w:rPr>
          <w:color w:val="993366"/>
        </w:rPr>
        <w:t>ENUMERATED</w:t>
      </w:r>
      <w:r w:rsidRPr="00FA0D37">
        <w:t xml:space="preserve"> {ssb, csi-rs}</w:t>
      </w:r>
    </w:p>
    <w:p w14:paraId="2568B53D" w14:textId="77777777" w:rsidR="00394471" w:rsidRPr="00FA0D37" w:rsidRDefault="00394471" w:rsidP="00FA0D37">
      <w:pPr>
        <w:pStyle w:val="PL"/>
      </w:pPr>
    </w:p>
    <w:p w14:paraId="3CFDA932" w14:textId="77777777" w:rsidR="00394471" w:rsidRPr="00FA0D37" w:rsidRDefault="00394471" w:rsidP="00FA0D37">
      <w:pPr>
        <w:pStyle w:val="PL"/>
      </w:pPr>
      <w:r w:rsidRPr="00FA0D37">
        <w:t xml:space="preserve">MeasTriggerQuantity ::=                     </w:t>
      </w:r>
      <w:r w:rsidRPr="00FA0D37">
        <w:rPr>
          <w:color w:val="993366"/>
        </w:rPr>
        <w:t>CHOICE</w:t>
      </w:r>
      <w:r w:rsidRPr="00FA0D37">
        <w:t xml:space="preserve"> {</w:t>
      </w:r>
    </w:p>
    <w:p w14:paraId="6A50BA4E" w14:textId="77777777" w:rsidR="00394471" w:rsidRPr="00FA0D37" w:rsidRDefault="00394471" w:rsidP="00FA0D37">
      <w:pPr>
        <w:pStyle w:val="PL"/>
      </w:pPr>
      <w:r w:rsidRPr="00FA0D37">
        <w:t xml:space="preserve">    rsrp                                        RSRP-Range,</w:t>
      </w:r>
    </w:p>
    <w:p w14:paraId="360825B1" w14:textId="77777777" w:rsidR="00394471" w:rsidRPr="00FA0D37" w:rsidRDefault="00394471" w:rsidP="00FA0D37">
      <w:pPr>
        <w:pStyle w:val="PL"/>
      </w:pPr>
      <w:r w:rsidRPr="00FA0D37">
        <w:t xml:space="preserve">    rsrq                                        RSRQ-Range,</w:t>
      </w:r>
    </w:p>
    <w:p w14:paraId="719ACB98" w14:textId="77777777" w:rsidR="00394471" w:rsidRPr="00FA0D37" w:rsidRDefault="00394471" w:rsidP="00FA0D37">
      <w:pPr>
        <w:pStyle w:val="PL"/>
      </w:pPr>
      <w:r w:rsidRPr="00FA0D37">
        <w:t xml:space="preserve">    sinr                                        SINR-Range</w:t>
      </w:r>
    </w:p>
    <w:p w14:paraId="5A816D52" w14:textId="77777777" w:rsidR="00394471" w:rsidRPr="00FA0D37" w:rsidRDefault="00394471" w:rsidP="00FA0D37">
      <w:pPr>
        <w:pStyle w:val="PL"/>
      </w:pPr>
      <w:r w:rsidRPr="00FA0D37">
        <w:t>}</w:t>
      </w:r>
    </w:p>
    <w:p w14:paraId="324BBA3B" w14:textId="77777777" w:rsidR="00394471" w:rsidRPr="00FA0D37" w:rsidRDefault="00394471" w:rsidP="00FA0D37">
      <w:pPr>
        <w:pStyle w:val="PL"/>
      </w:pPr>
    </w:p>
    <w:p w14:paraId="1E34424D" w14:textId="77777777" w:rsidR="00394471" w:rsidRPr="00FA0D37" w:rsidRDefault="00394471" w:rsidP="00FA0D37">
      <w:pPr>
        <w:pStyle w:val="PL"/>
      </w:pPr>
      <w:r w:rsidRPr="00FA0D37">
        <w:t xml:space="preserve">MeasTriggerQuantityOffset ::=               </w:t>
      </w:r>
      <w:r w:rsidRPr="00FA0D37">
        <w:rPr>
          <w:color w:val="993366"/>
        </w:rPr>
        <w:t>CHOICE</w:t>
      </w:r>
      <w:r w:rsidRPr="00FA0D37">
        <w:t xml:space="preserve"> {</w:t>
      </w:r>
    </w:p>
    <w:p w14:paraId="55E047C8" w14:textId="77777777" w:rsidR="00394471" w:rsidRPr="00FA0D37" w:rsidRDefault="00394471" w:rsidP="00FA0D37">
      <w:pPr>
        <w:pStyle w:val="PL"/>
      </w:pPr>
      <w:r w:rsidRPr="00FA0D37">
        <w:t xml:space="preserve">    rsrp                                        </w:t>
      </w:r>
      <w:r w:rsidRPr="00FA0D37">
        <w:rPr>
          <w:color w:val="993366"/>
        </w:rPr>
        <w:t>INTEGER</w:t>
      </w:r>
      <w:r w:rsidRPr="00FA0D37">
        <w:t xml:space="preserve"> (-30..30),</w:t>
      </w:r>
    </w:p>
    <w:p w14:paraId="182EAC42" w14:textId="77777777" w:rsidR="00394471" w:rsidRPr="00FA0D37" w:rsidRDefault="00394471" w:rsidP="00FA0D37">
      <w:pPr>
        <w:pStyle w:val="PL"/>
      </w:pPr>
      <w:r w:rsidRPr="00FA0D37">
        <w:t xml:space="preserve">    rsrq                                        </w:t>
      </w:r>
      <w:r w:rsidRPr="00FA0D37">
        <w:rPr>
          <w:color w:val="993366"/>
        </w:rPr>
        <w:t>INTEGER</w:t>
      </w:r>
      <w:r w:rsidRPr="00FA0D37">
        <w:t xml:space="preserve"> (-30..30),</w:t>
      </w:r>
    </w:p>
    <w:p w14:paraId="51932955" w14:textId="77777777" w:rsidR="00394471" w:rsidRPr="00FA0D37" w:rsidRDefault="00394471" w:rsidP="00FA0D37">
      <w:pPr>
        <w:pStyle w:val="PL"/>
      </w:pPr>
      <w:r w:rsidRPr="00FA0D37">
        <w:t xml:space="preserve">    sinr                                        </w:t>
      </w:r>
      <w:r w:rsidRPr="00FA0D37">
        <w:rPr>
          <w:color w:val="993366"/>
        </w:rPr>
        <w:t>INTEGER</w:t>
      </w:r>
      <w:r w:rsidRPr="00FA0D37">
        <w:t xml:space="preserve"> (-30..30)</w:t>
      </w:r>
    </w:p>
    <w:p w14:paraId="15A5750D" w14:textId="77777777" w:rsidR="00394471" w:rsidRPr="00FA0D37" w:rsidRDefault="00394471" w:rsidP="00FA0D37">
      <w:pPr>
        <w:pStyle w:val="PL"/>
      </w:pPr>
      <w:r w:rsidRPr="00FA0D37">
        <w:t>}</w:t>
      </w:r>
    </w:p>
    <w:p w14:paraId="07883F08" w14:textId="77777777" w:rsidR="00394471" w:rsidRPr="00FA0D37" w:rsidRDefault="00394471" w:rsidP="00FA0D37">
      <w:pPr>
        <w:pStyle w:val="PL"/>
      </w:pPr>
    </w:p>
    <w:p w14:paraId="10E6B814" w14:textId="77777777" w:rsidR="00394471" w:rsidRPr="00FA0D37" w:rsidRDefault="00394471" w:rsidP="00FA0D37">
      <w:pPr>
        <w:pStyle w:val="PL"/>
      </w:pPr>
    </w:p>
    <w:p w14:paraId="7E308425" w14:textId="77777777" w:rsidR="00394471" w:rsidRPr="00FA0D37" w:rsidRDefault="00394471" w:rsidP="00FA0D37">
      <w:pPr>
        <w:pStyle w:val="PL"/>
      </w:pPr>
      <w:r w:rsidRPr="00FA0D37">
        <w:t xml:space="preserve">MeasReportQuantity ::=                      </w:t>
      </w:r>
      <w:r w:rsidRPr="00FA0D37">
        <w:rPr>
          <w:color w:val="993366"/>
        </w:rPr>
        <w:t>SEQUENCE</w:t>
      </w:r>
      <w:r w:rsidRPr="00FA0D37">
        <w:t xml:space="preserve"> {</w:t>
      </w:r>
    </w:p>
    <w:p w14:paraId="264A7814" w14:textId="77777777" w:rsidR="00394471" w:rsidRPr="00FA0D37" w:rsidRDefault="00394471" w:rsidP="00FA0D37">
      <w:pPr>
        <w:pStyle w:val="PL"/>
      </w:pPr>
      <w:r w:rsidRPr="00FA0D37">
        <w:t xml:space="preserve">    rsrp                                        </w:t>
      </w:r>
      <w:r w:rsidRPr="00FA0D37">
        <w:rPr>
          <w:color w:val="993366"/>
        </w:rPr>
        <w:t>BOOLEAN</w:t>
      </w:r>
      <w:r w:rsidRPr="00FA0D37">
        <w:t>,</w:t>
      </w:r>
    </w:p>
    <w:p w14:paraId="11ED5BD4" w14:textId="77777777" w:rsidR="00394471" w:rsidRPr="00FA0D37" w:rsidRDefault="00394471" w:rsidP="00FA0D37">
      <w:pPr>
        <w:pStyle w:val="PL"/>
      </w:pPr>
      <w:r w:rsidRPr="00FA0D37">
        <w:t xml:space="preserve">    rsrq                                        </w:t>
      </w:r>
      <w:r w:rsidRPr="00FA0D37">
        <w:rPr>
          <w:color w:val="993366"/>
        </w:rPr>
        <w:t>BOOLEAN</w:t>
      </w:r>
      <w:r w:rsidRPr="00FA0D37">
        <w:t>,</w:t>
      </w:r>
    </w:p>
    <w:p w14:paraId="59E88F35" w14:textId="77777777" w:rsidR="00394471" w:rsidRPr="00FA0D37" w:rsidRDefault="00394471" w:rsidP="00FA0D37">
      <w:pPr>
        <w:pStyle w:val="PL"/>
      </w:pPr>
      <w:r w:rsidRPr="00FA0D37">
        <w:t xml:space="preserve">    sinr                                        </w:t>
      </w:r>
      <w:r w:rsidRPr="00FA0D37">
        <w:rPr>
          <w:color w:val="993366"/>
        </w:rPr>
        <w:t>BOOLEAN</w:t>
      </w:r>
    </w:p>
    <w:p w14:paraId="49CAD120" w14:textId="77777777" w:rsidR="00394471" w:rsidRPr="00FA0D37" w:rsidRDefault="00394471" w:rsidP="00FA0D37">
      <w:pPr>
        <w:pStyle w:val="PL"/>
      </w:pPr>
      <w:r w:rsidRPr="00FA0D37">
        <w:t>}</w:t>
      </w:r>
    </w:p>
    <w:p w14:paraId="04C58F8C" w14:textId="77777777" w:rsidR="00394471" w:rsidRPr="00FA0D37" w:rsidRDefault="00394471" w:rsidP="00FA0D37">
      <w:pPr>
        <w:pStyle w:val="PL"/>
      </w:pPr>
    </w:p>
    <w:p w14:paraId="2A2095F3" w14:textId="77777777" w:rsidR="00394471" w:rsidRPr="00FA0D37" w:rsidRDefault="00394471" w:rsidP="00FA0D37">
      <w:pPr>
        <w:pStyle w:val="PL"/>
      </w:pPr>
      <w:r w:rsidRPr="00FA0D37">
        <w:t xml:space="preserve">MeasRSSI-ReportConfig-r16 ::=               </w:t>
      </w:r>
      <w:r w:rsidRPr="00FA0D37">
        <w:rPr>
          <w:color w:val="993366"/>
        </w:rPr>
        <w:t>SEQUENCE</w:t>
      </w:r>
      <w:r w:rsidRPr="00FA0D37">
        <w:t xml:space="preserve"> {</w:t>
      </w:r>
    </w:p>
    <w:p w14:paraId="3F254592" w14:textId="77777777" w:rsidR="00394471" w:rsidRPr="00FA0D37" w:rsidRDefault="00394471" w:rsidP="00FA0D37">
      <w:pPr>
        <w:pStyle w:val="PL"/>
        <w:rPr>
          <w:color w:val="808080"/>
        </w:rPr>
      </w:pPr>
      <w:r w:rsidRPr="00FA0D37">
        <w:t xml:space="preserve">    channelOccupancyThreshold-r16               RSSI-Range-r16         </w:t>
      </w:r>
      <w:r w:rsidRPr="00FA0D37">
        <w:rPr>
          <w:color w:val="993366"/>
        </w:rPr>
        <w:t>OPTIONAL</w:t>
      </w:r>
      <w:r w:rsidRPr="00FA0D37">
        <w:t xml:space="preserve">   </w:t>
      </w:r>
      <w:r w:rsidRPr="00FA0D37">
        <w:rPr>
          <w:color w:val="808080"/>
        </w:rPr>
        <w:t>-- Need R</w:t>
      </w:r>
    </w:p>
    <w:p w14:paraId="13EAD805" w14:textId="77777777" w:rsidR="00394471" w:rsidRPr="00FA0D37" w:rsidRDefault="00394471" w:rsidP="00FA0D37">
      <w:pPr>
        <w:pStyle w:val="PL"/>
      </w:pPr>
      <w:r w:rsidRPr="00FA0D37">
        <w:t>}</w:t>
      </w:r>
    </w:p>
    <w:p w14:paraId="336DF376" w14:textId="77777777" w:rsidR="00394471" w:rsidRPr="00FA0D37" w:rsidRDefault="00394471" w:rsidP="00FA0D37">
      <w:pPr>
        <w:pStyle w:val="PL"/>
      </w:pPr>
    </w:p>
    <w:p w14:paraId="1C21BFD3" w14:textId="77777777" w:rsidR="00394471" w:rsidRPr="00FA0D37" w:rsidRDefault="00394471" w:rsidP="00FA0D37">
      <w:pPr>
        <w:pStyle w:val="PL"/>
      </w:pPr>
      <w:r w:rsidRPr="00FA0D37">
        <w:t xml:space="preserve">CLI-EventTriggerConfig-r16 ::=              </w:t>
      </w:r>
      <w:r w:rsidRPr="00FA0D37">
        <w:rPr>
          <w:color w:val="993366"/>
        </w:rPr>
        <w:t>SEQUENCE</w:t>
      </w:r>
      <w:r w:rsidRPr="00FA0D37">
        <w:t xml:space="preserve"> {</w:t>
      </w:r>
    </w:p>
    <w:p w14:paraId="55C8BFD8" w14:textId="77777777" w:rsidR="00394471" w:rsidRPr="00FA0D37" w:rsidRDefault="00394471" w:rsidP="00FA0D37">
      <w:pPr>
        <w:pStyle w:val="PL"/>
      </w:pPr>
      <w:r w:rsidRPr="00FA0D37">
        <w:t xml:space="preserve">    eventId-r16                                 </w:t>
      </w:r>
      <w:r w:rsidRPr="00FA0D37">
        <w:rPr>
          <w:color w:val="993366"/>
        </w:rPr>
        <w:t>CHOICE</w:t>
      </w:r>
      <w:r w:rsidRPr="00FA0D37">
        <w:t xml:space="preserve"> {</w:t>
      </w:r>
    </w:p>
    <w:p w14:paraId="1174922B" w14:textId="77777777" w:rsidR="00394471" w:rsidRPr="00FA0D37" w:rsidRDefault="00394471" w:rsidP="00FA0D37">
      <w:pPr>
        <w:pStyle w:val="PL"/>
      </w:pPr>
      <w:r w:rsidRPr="00FA0D37">
        <w:t xml:space="preserve">        eventI1-r16                                 </w:t>
      </w:r>
      <w:r w:rsidRPr="00FA0D37">
        <w:rPr>
          <w:color w:val="993366"/>
        </w:rPr>
        <w:t>SEQUENCE</w:t>
      </w:r>
      <w:r w:rsidRPr="00FA0D37">
        <w:t xml:space="preserve"> {</w:t>
      </w:r>
    </w:p>
    <w:p w14:paraId="40184726" w14:textId="77777777" w:rsidR="00394471" w:rsidRPr="00FA0D37" w:rsidRDefault="00394471" w:rsidP="00FA0D37">
      <w:pPr>
        <w:pStyle w:val="PL"/>
      </w:pPr>
      <w:r w:rsidRPr="00FA0D37">
        <w:t xml:space="preserve">            i1-Threshold-r16                            MeasTriggerQuantityCLI-r16,</w:t>
      </w:r>
    </w:p>
    <w:p w14:paraId="7E6E5A3D" w14:textId="77777777" w:rsidR="00394471" w:rsidRPr="00FA0D37" w:rsidRDefault="00394471" w:rsidP="00FA0D37">
      <w:pPr>
        <w:pStyle w:val="PL"/>
      </w:pPr>
      <w:r w:rsidRPr="00FA0D37">
        <w:t xml:space="preserve">            reportOnLeave-r16                           </w:t>
      </w:r>
      <w:r w:rsidRPr="00FA0D37">
        <w:rPr>
          <w:color w:val="993366"/>
        </w:rPr>
        <w:t>BOOLEAN</w:t>
      </w:r>
      <w:r w:rsidRPr="00FA0D37">
        <w:t>,</w:t>
      </w:r>
    </w:p>
    <w:p w14:paraId="6A88C367" w14:textId="77777777" w:rsidR="00394471" w:rsidRPr="00FA0D37" w:rsidRDefault="00394471" w:rsidP="00FA0D37">
      <w:pPr>
        <w:pStyle w:val="PL"/>
      </w:pPr>
      <w:r w:rsidRPr="00FA0D37">
        <w:t xml:space="preserve">            hysteresis-r16                              Hysteresis,</w:t>
      </w:r>
    </w:p>
    <w:p w14:paraId="1BBD4054" w14:textId="77777777" w:rsidR="00394471" w:rsidRPr="00FA0D37" w:rsidRDefault="00394471" w:rsidP="00FA0D37">
      <w:pPr>
        <w:pStyle w:val="PL"/>
      </w:pPr>
      <w:r w:rsidRPr="00FA0D37">
        <w:t xml:space="preserve">            timeToTrigger-r16                           TimeToTrigger</w:t>
      </w:r>
    </w:p>
    <w:p w14:paraId="46599E4C" w14:textId="77777777" w:rsidR="00394471" w:rsidRPr="00FA0D37" w:rsidRDefault="00394471" w:rsidP="00FA0D37">
      <w:pPr>
        <w:pStyle w:val="PL"/>
      </w:pPr>
      <w:r w:rsidRPr="00FA0D37">
        <w:t xml:space="preserve">        },</w:t>
      </w:r>
    </w:p>
    <w:p w14:paraId="771AA3E5" w14:textId="77777777" w:rsidR="00394471" w:rsidRPr="00FA0D37" w:rsidRDefault="00394471" w:rsidP="00FA0D37">
      <w:pPr>
        <w:pStyle w:val="PL"/>
      </w:pPr>
      <w:r w:rsidRPr="00FA0D37">
        <w:t xml:space="preserve">    ...</w:t>
      </w:r>
    </w:p>
    <w:p w14:paraId="540E83AC" w14:textId="77777777" w:rsidR="00394471" w:rsidRPr="00FA0D37" w:rsidRDefault="00394471" w:rsidP="00FA0D37">
      <w:pPr>
        <w:pStyle w:val="PL"/>
      </w:pPr>
      <w:r w:rsidRPr="00FA0D37">
        <w:t xml:space="preserve">    },</w:t>
      </w:r>
    </w:p>
    <w:p w14:paraId="4BDE4483" w14:textId="77777777" w:rsidR="00394471" w:rsidRPr="00FA0D37" w:rsidRDefault="00394471" w:rsidP="00FA0D37">
      <w:pPr>
        <w:pStyle w:val="PL"/>
      </w:pPr>
      <w:r w:rsidRPr="00FA0D37">
        <w:t xml:space="preserve">    reportInterval-r16                          ReportInterval,</w:t>
      </w:r>
    </w:p>
    <w:p w14:paraId="28F72611" w14:textId="77777777" w:rsidR="00394471" w:rsidRPr="00FA0D37" w:rsidRDefault="00394471" w:rsidP="00FA0D37">
      <w:pPr>
        <w:pStyle w:val="PL"/>
      </w:pPr>
      <w:r w:rsidRPr="00FA0D37">
        <w:t xml:space="preserve">    reportAmount-r16                            </w:t>
      </w:r>
      <w:r w:rsidRPr="00FA0D37">
        <w:rPr>
          <w:color w:val="993366"/>
        </w:rPr>
        <w:t>ENUMERATED</w:t>
      </w:r>
      <w:r w:rsidRPr="00FA0D37">
        <w:t xml:space="preserve"> {r1, r2, r4, r8, r16, r32, r64, infinity},</w:t>
      </w:r>
    </w:p>
    <w:p w14:paraId="2C7C10CD" w14:textId="77777777" w:rsidR="00394471" w:rsidRPr="00FA0D37" w:rsidRDefault="00394471" w:rsidP="00FA0D37">
      <w:pPr>
        <w:pStyle w:val="PL"/>
      </w:pPr>
      <w:r w:rsidRPr="00FA0D37">
        <w:t xml:space="preserve">    maxReportCLI-r16                            </w:t>
      </w:r>
      <w:r w:rsidRPr="00FA0D37">
        <w:rPr>
          <w:color w:val="993366"/>
        </w:rPr>
        <w:t>INTEGER</w:t>
      </w:r>
      <w:r w:rsidRPr="00FA0D37">
        <w:t xml:space="preserve"> (1..maxCLI-Report-r16),</w:t>
      </w:r>
    </w:p>
    <w:p w14:paraId="2E9D4BE9" w14:textId="77777777" w:rsidR="00394471" w:rsidRPr="00FA0D37" w:rsidRDefault="00394471" w:rsidP="00FA0D37">
      <w:pPr>
        <w:pStyle w:val="PL"/>
      </w:pPr>
      <w:r w:rsidRPr="00FA0D37">
        <w:t xml:space="preserve">    ...</w:t>
      </w:r>
    </w:p>
    <w:p w14:paraId="6375EF67" w14:textId="77777777" w:rsidR="00394471" w:rsidRPr="00FA0D37" w:rsidRDefault="00394471" w:rsidP="00FA0D37">
      <w:pPr>
        <w:pStyle w:val="PL"/>
      </w:pPr>
      <w:r w:rsidRPr="00FA0D37">
        <w:t>}</w:t>
      </w:r>
    </w:p>
    <w:p w14:paraId="3E6E2061" w14:textId="77777777" w:rsidR="00394471" w:rsidRPr="00FA0D37" w:rsidRDefault="00394471" w:rsidP="00FA0D37">
      <w:pPr>
        <w:pStyle w:val="PL"/>
      </w:pPr>
    </w:p>
    <w:p w14:paraId="21DCFA8A" w14:textId="77777777" w:rsidR="00394471" w:rsidRPr="00FA0D37" w:rsidRDefault="00394471" w:rsidP="00FA0D37">
      <w:pPr>
        <w:pStyle w:val="PL"/>
      </w:pPr>
      <w:r w:rsidRPr="00FA0D37">
        <w:t xml:space="preserve">CLI-PeriodicalReportConfig-r16 ::=          </w:t>
      </w:r>
      <w:r w:rsidRPr="00FA0D37">
        <w:rPr>
          <w:color w:val="993366"/>
        </w:rPr>
        <w:t>SEQUENCE</w:t>
      </w:r>
      <w:r w:rsidRPr="00FA0D37">
        <w:t xml:space="preserve"> {</w:t>
      </w:r>
    </w:p>
    <w:p w14:paraId="358436AE" w14:textId="77777777" w:rsidR="00394471" w:rsidRPr="00FA0D37" w:rsidRDefault="00394471" w:rsidP="00FA0D37">
      <w:pPr>
        <w:pStyle w:val="PL"/>
      </w:pPr>
      <w:r w:rsidRPr="00FA0D37">
        <w:t xml:space="preserve">    reportInterval-r16                          ReportInterval,</w:t>
      </w:r>
    </w:p>
    <w:p w14:paraId="2C32940B" w14:textId="77777777" w:rsidR="00394471" w:rsidRPr="00FA0D37" w:rsidRDefault="00394471" w:rsidP="00FA0D37">
      <w:pPr>
        <w:pStyle w:val="PL"/>
      </w:pPr>
      <w:r w:rsidRPr="00FA0D37">
        <w:t xml:space="preserve">    reportAmount-r16                            </w:t>
      </w:r>
      <w:r w:rsidRPr="00FA0D37">
        <w:rPr>
          <w:color w:val="993366"/>
        </w:rPr>
        <w:t>ENUMERATED</w:t>
      </w:r>
      <w:r w:rsidRPr="00FA0D37">
        <w:t xml:space="preserve"> {r1, r2, r4, r8, r16, r32, r64, infinity},</w:t>
      </w:r>
    </w:p>
    <w:p w14:paraId="2B6633E1" w14:textId="77777777" w:rsidR="00394471" w:rsidRPr="00FA0D37" w:rsidRDefault="00394471" w:rsidP="00FA0D37">
      <w:pPr>
        <w:pStyle w:val="PL"/>
      </w:pPr>
      <w:r w:rsidRPr="00FA0D37">
        <w:t xml:space="preserve">    reportQuantityCLI-r16                       MeasReportQuantityCLI-r16,</w:t>
      </w:r>
    </w:p>
    <w:p w14:paraId="0AE0F5F7" w14:textId="77777777" w:rsidR="00394471" w:rsidRPr="00FA0D37" w:rsidRDefault="00394471" w:rsidP="00FA0D37">
      <w:pPr>
        <w:pStyle w:val="PL"/>
      </w:pPr>
      <w:r w:rsidRPr="00FA0D37">
        <w:t xml:space="preserve">    maxReportCLI-r16                            </w:t>
      </w:r>
      <w:r w:rsidRPr="00FA0D37">
        <w:rPr>
          <w:color w:val="993366"/>
        </w:rPr>
        <w:t>INTEGER</w:t>
      </w:r>
      <w:r w:rsidRPr="00FA0D37">
        <w:t xml:space="preserve"> (1..maxCLI-Report-r16),</w:t>
      </w:r>
    </w:p>
    <w:p w14:paraId="7348B32F" w14:textId="77777777" w:rsidR="00394471" w:rsidRPr="00FA0D37" w:rsidRDefault="00394471" w:rsidP="00FA0D37">
      <w:pPr>
        <w:pStyle w:val="PL"/>
      </w:pPr>
      <w:r w:rsidRPr="00FA0D37">
        <w:t xml:space="preserve">    ...</w:t>
      </w:r>
    </w:p>
    <w:p w14:paraId="470F0397" w14:textId="77777777" w:rsidR="00394471" w:rsidRPr="00FA0D37" w:rsidRDefault="00394471" w:rsidP="00FA0D37">
      <w:pPr>
        <w:pStyle w:val="PL"/>
      </w:pPr>
      <w:r w:rsidRPr="00FA0D37">
        <w:t>}</w:t>
      </w:r>
    </w:p>
    <w:p w14:paraId="1FAAE201" w14:textId="77777777" w:rsidR="004E4A9E" w:rsidRPr="00FA0D37" w:rsidRDefault="004E4A9E" w:rsidP="00FA0D37">
      <w:pPr>
        <w:pStyle w:val="PL"/>
      </w:pPr>
    </w:p>
    <w:p w14:paraId="79ACFF73" w14:textId="6CB37E9F" w:rsidR="004E4A9E" w:rsidRPr="00FA0D37" w:rsidRDefault="004E4A9E" w:rsidP="00FA0D37">
      <w:pPr>
        <w:pStyle w:val="PL"/>
      </w:pPr>
      <w:r w:rsidRPr="00FA0D37">
        <w:t xml:space="preserve">RxTxPeriodical-r17  ::=                     </w:t>
      </w:r>
      <w:r w:rsidRPr="00FA0D37">
        <w:rPr>
          <w:color w:val="993366"/>
        </w:rPr>
        <w:t>SEQUENCE</w:t>
      </w:r>
      <w:r w:rsidRPr="00FA0D37">
        <w:t xml:space="preserve"> {</w:t>
      </w:r>
    </w:p>
    <w:p w14:paraId="7CD0DCBA" w14:textId="46DAA7A0" w:rsidR="004E4A9E" w:rsidRPr="00FA0D37" w:rsidRDefault="004E4A9E" w:rsidP="00FA0D37">
      <w:pPr>
        <w:pStyle w:val="PL"/>
        <w:rPr>
          <w:color w:val="808080"/>
        </w:rPr>
      </w:pPr>
      <w:r w:rsidRPr="00FA0D37">
        <w:lastRenderedPageBreak/>
        <w:t xml:space="preserve">    rxTxReportInterval-r17                      RxTxReportInterval-r17</w:t>
      </w:r>
      <w:r w:rsidR="00C36811" w:rsidRPr="00FA0D37">
        <w:t xml:space="preserve">                             </w:t>
      </w:r>
      <w:r w:rsidR="00C36811" w:rsidRPr="00FA0D37">
        <w:rPr>
          <w:color w:val="993366"/>
        </w:rPr>
        <w:t>OPTIONAL</w:t>
      </w:r>
      <w:r w:rsidRPr="00FA0D37">
        <w:t>,</w:t>
      </w:r>
      <w:r w:rsidR="00C36811" w:rsidRPr="00FA0D37">
        <w:t xml:space="preserve">   </w:t>
      </w:r>
      <w:r w:rsidR="00C36811" w:rsidRPr="00FA0D37">
        <w:rPr>
          <w:color w:val="808080"/>
        </w:rPr>
        <w:t>-- Need R</w:t>
      </w:r>
    </w:p>
    <w:p w14:paraId="73B0D8CF" w14:textId="77777777" w:rsidR="004E4A9E" w:rsidRPr="00FA0D37" w:rsidRDefault="004E4A9E" w:rsidP="00FA0D37">
      <w:pPr>
        <w:pStyle w:val="PL"/>
      </w:pPr>
      <w:r w:rsidRPr="00FA0D37">
        <w:t xml:space="preserve">    reportAmount-r17                            </w:t>
      </w:r>
      <w:r w:rsidRPr="00FA0D37">
        <w:rPr>
          <w:color w:val="993366"/>
        </w:rPr>
        <w:t>ENUMERATED</w:t>
      </w:r>
      <w:r w:rsidRPr="00FA0D37">
        <w:t xml:space="preserve"> {r1, infinity, spare6, spare5, spare4, spare3, spare2, spare1},</w:t>
      </w:r>
    </w:p>
    <w:p w14:paraId="627A662C" w14:textId="77777777" w:rsidR="004E4A9E" w:rsidRPr="00FA0D37" w:rsidRDefault="004E4A9E" w:rsidP="00FA0D37">
      <w:pPr>
        <w:pStyle w:val="PL"/>
      </w:pPr>
      <w:r w:rsidRPr="00FA0D37">
        <w:t xml:space="preserve">    ...</w:t>
      </w:r>
    </w:p>
    <w:p w14:paraId="0CAE9242" w14:textId="77777777" w:rsidR="004E4A9E" w:rsidRPr="00FA0D37" w:rsidRDefault="004E4A9E" w:rsidP="00FA0D37">
      <w:pPr>
        <w:pStyle w:val="PL"/>
      </w:pPr>
      <w:r w:rsidRPr="00FA0D37">
        <w:t>}</w:t>
      </w:r>
    </w:p>
    <w:p w14:paraId="202DB383" w14:textId="77777777" w:rsidR="004E4A9E" w:rsidRPr="00FA0D37" w:rsidRDefault="004E4A9E" w:rsidP="00FA0D37">
      <w:pPr>
        <w:pStyle w:val="PL"/>
      </w:pPr>
    </w:p>
    <w:p w14:paraId="260998E4" w14:textId="6D0A3730" w:rsidR="00394471" w:rsidRPr="00FA0D37" w:rsidRDefault="004E4A9E" w:rsidP="00FA0D37">
      <w:pPr>
        <w:pStyle w:val="PL"/>
      </w:pPr>
      <w:r w:rsidRPr="00FA0D37">
        <w:t xml:space="preserve">RxTxReportInterval-r17 ::= </w:t>
      </w:r>
      <w:r w:rsidRPr="00FA0D37">
        <w:rPr>
          <w:color w:val="993366"/>
        </w:rPr>
        <w:t>ENUMERATED</w:t>
      </w:r>
      <w:r w:rsidRPr="00FA0D37">
        <w:t xml:space="preserve"> {ms80,ms120,ms160,ms240,ms320,ms480,ms640,ms1024,ms1280,ms2048,ms2560,ms5120,spare4,spare3,spare2,spare1}</w:t>
      </w:r>
    </w:p>
    <w:p w14:paraId="3BF410EB" w14:textId="77777777" w:rsidR="004E4A9E" w:rsidRPr="00FA0D37" w:rsidRDefault="004E4A9E" w:rsidP="00FA0D37">
      <w:pPr>
        <w:pStyle w:val="PL"/>
      </w:pPr>
    </w:p>
    <w:p w14:paraId="593B1EEB" w14:textId="77777777" w:rsidR="00394471" w:rsidRPr="00FA0D37" w:rsidRDefault="00394471" w:rsidP="00FA0D37">
      <w:pPr>
        <w:pStyle w:val="PL"/>
      </w:pPr>
      <w:r w:rsidRPr="00FA0D37">
        <w:t xml:space="preserve">MeasTriggerQuantityCLI-r16 ::=              </w:t>
      </w:r>
      <w:r w:rsidRPr="00FA0D37">
        <w:rPr>
          <w:color w:val="993366"/>
        </w:rPr>
        <w:t>CHOICE</w:t>
      </w:r>
      <w:r w:rsidRPr="00FA0D37">
        <w:t xml:space="preserve"> {</w:t>
      </w:r>
    </w:p>
    <w:p w14:paraId="4C1E1123" w14:textId="77777777" w:rsidR="00394471" w:rsidRPr="00FA0D37" w:rsidRDefault="00394471" w:rsidP="00FA0D37">
      <w:pPr>
        <w:pStyle w:val="PL"/>
      </w:pPr>
      <w:r w:rsidRPr="00FA0D37">
        <w:t xml:space="preserve">    srs-RSRP-r16                                SRS-RSRP-Range-r16,</w:t>
      </w:r>
    </w:p>
    <w:p w14:paraId="3884378B" w14:textId="77777777" w:rsidR="00394471" w:rsidRPr="00FA0D37" w:rsidRDefault="00394471" w:rsidP="00FA0D37">
      <w:pPr>
        <w:pStyle w:val="PL"/>
      </w:pPr>
      <w:r w:rsidRPr="00FA0D37">
        <w:t xml:space="preserve">    cli-RSSI-r16                                CLI-RSSI-Range-r16</w:t>
      </w:r>
    </w:p>
    <w:p w14:paraId="4353A271" w14:textId="77777777" w:rsidR="00394471" w:rsidRPr="00FA0D37" w:rsidRDefault="00394471" w:rsidP="00FA0D37">
      <w:pPr>
        <w:pStyle w:val="PL"/>
      </w:pPr>
      <w:r w:rsidRPr="00FA0D37">
        <w:t>}</w:t>
      </w:r>
    </w:p>
    <w:p w14:paraId="7A8BA5CF" w14:textId="77777777" w:rsidR="00394471" w:rsidRPr="00FA0D37" w:rsidRDefault="00394471" w:rsidP="00FA0D37">
      <w:pPr>
        <w:pStyle w:val="PL"/>
      </w:pPr>
    </w:p>
    <w:p w14:paraId="5A64F174" w14:textId="77777777" w:rsidR="00394471" w:rsidRPr="00FA0D37" w:rsidRDefault="00394471" w:rsidP="00FA0D37">
      <w:pPr>
        <w:pStyle w:val="PL"/>
      </w:pPr>
      <w:r w:rsidRPr="00FA0D37">
        <w:t xml:space="preserve">MeasReportQuantityCLI-r16 ::=               </w:t>
      </w:r>
      <w:r w:rsidRPr="00FA0D37">
        <w:rPr>
          <w:color w:val="993366"/>
        </w:rPr>
        <w:t>ENUMERATED</w:t>
      </w:r>
      <w:r w:rsidRPr="00FA0D37">
        <w:t xml:space="preserve"> {srs-rsrp, cli-rssi}</w:t>
      </w:r>
    </w:p>
    <w:p w14:paraId="6D8FE7B3" w14:textId="77777777" w:rsidR="00394471" w:rsidRPr="00FA0D37" w:rsidRDefault="00394471" w:rsidP="00FA0D37">
      <w:pPr>
        <w:pStyle w:val="PL"/>
      </w:pPr>
    </w:p>
    <w:p w14:paraId="44B8A1D5" w14:textId="77777777" w:rsidR="00394471" w:rsidRPr="00FA0D37" w:rsidRDefault="00394471" w:rsidP="00FA0D37">
      <w:pPr>
        <w:pStyle w:val="PL"/>
        <w:rPr>
          <w:color w:val="808080"/>
        </w:rPr>
      </w:pPr>
      <w:r w:rsidRPr="00FA0D37">
        <w:rPr>
          <w:color w:val="808080"/>
        </w:rPr>
        <w:t>-- TAG-REPORTCONFIGNR-STOP</w:t>
      </w:r>
    </w:p>
    <w:p w14:paraId="7A25401E" w14:textId="77777777" w:rsidR="00394471" w:rsidRPr="00FA0D37" w:rsidRDefault="00394471" w:rsidP="00FA0D37">
      <w:pPr>
        <w:pStyle w:val="PL"/>
        <w:rPr>
          <w:color w:val="808080"/>
        </w:rPr>
      </w:pPr>
      <w:r w:rsidRPr="00FA0D37">
        <w:rPr>
          <w:color w:val="808080"/>
        </w:rPr>
        <w:t>-- ASN1STOP</w:t>
      </w:r>
    </w:p>
    <w:p w14:paraId="0219B3A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FA0D37" w:rsidRDefault="00394471" w:rsidP="00964CC4">
            <w:pPr>
              <w:pStyle w:val="TAH"/>
              <w:rPr>
                <w:szCs w:val="22"/>
                <w:lang w:eastAsia="sv-SE"/>
              </w:rPr>
            </w:pPr>
            <w:r w:rsidRPr="00FA0D37">
              <w:rPr>
                <w:i/>
                <w:szCs w:val="22"/>
                <w:lang w:eastAsia="sv-SE"/>
              </w:rPr>
              <w:t xml:space="preserve">CondTriggerConfig </w:t>
            </w:r>
            <w:r w:rsidRPr="00FA0D37">
              <w:rPr>
                <w:szCs w:val="22"/>
                <w:lang w:eastAsia="sv-SE"/>
              </w:rPr>
              <w:t>field descriptions</w:t>
            </w:r>
          </w:p>
        </w:tc>
      </w:tr>
      <w:tr w:rsidR="005C7FF4" w:rsidRPr="00FA0D37"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FA0D37" w:rsidRDefault="00394471" w:rsidP="00964CC4">
            <w:pPr>
              <w:pStyle w:val="TAL"/>
              <w:rPr>
                <w:b/>
                <w:i/>
                <w:szCs w:val="22"/>
                <w:lang w:eastAsia="en-GB"/>
              </w:rPr>
            </w:pPr>
            <w:r w:rsidRPr="00FA0D37">
              <w:rPr>
                <w:b/>
                <w:i/>
                <w:szCs w:val="22"/>
                <w:lang w:eastAsia="en-GB"/>
              </w:rPr>
              <w:t>a3-Offset</w:t>
            </w:r>
          </w:p>
          <w:p w14:paraId="27672A2C" w14:textId="77777777" w:rsidR="00394471" w:rsidRPr="00FA0D37" w:rsidRDefault="00394471" w:rsidP="00964CC4">
            <w:pPr>
              <w:pStyle w:val="TAL"/>
              <w:rPr>
                <w:b/>
                <w:i/>
                <w:szCs w:val="22"/>
                <w:lang w:eastAsia="ko-KR"/>
              </w:rPr>
            </w:pPr>
            <w:r w:rsidRPr="00FA0D37">
              <w:rPr>
                <w:szCs w:val="22"/>
                <w:lang w:eastAsia="ko-KR"/>
              </w:rPr>
              <w:t>Offset value(s) to be used in NR conditional reconfiguration triggering condition for cond event a3.</w:t>
            </w:r>
            <w:r w:rsidRPr="00FA0D37">
              <w:rPr>
                <w:rFonts w:cs="Arial"/>
                <w:szCs w:val="22"/>
                <w:lang w:eastAsia="ko-KR"/>
              </w:rPr>
              <w:t xml:space="preserve"> The actual value is field value * 0.5 dB.</w:t>
            </w:r>
          </w:p>
        </w:tc>
      </w:tr>
      <w:tr w:rsidR="005C7FF4" w:rsidRPr="00FA0D37"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FA0D37" w:rsidRDefault="00DB6B82" w:rsidP="00771058">
            <w:pPr>
              <w:pStyle w:val="TAL"/>
              <w:rPr>
                <w:b/>
                <w:i/>
                <w:szCs w:val="22"/>
                <w:lang w:eastAsia="en-GB"/>
              </w:rPr>
            </w:pPr>
            <w:r w:rsidRPr="00FA0D37">
              <w:rPr>
                <w:b/>
                <w:i/>
                <w:szCs w:val="22"/>
                <w:lang w:eastAsia="en-GB"/>
              </w:rPr>
              <w:t>a4-Threshold</w:t>
            </w:r>
          </w:p>
          <w:p w14:paraId="346B6D01" w14:textId="77777777" w:rsidR="00DB6B82" w:rsidRPr="00FA0D37" w:rsidRDefault="00DB6B82" w:rsidP="00771058">
            <w:pPr>
              <w:pStyle w:val="TAL"/>
              <w:rPr>
                <w:szCs w:val="22"/>
                <w:lang w:eastAsia="en-GB"/>
              </w:rPr>
            </w:pPr>
            <w:r w:rsidRPr="00FA0D37">
              <w:rPr>
                <w:szCs w:val="22"/>
                <w:lang w:eastAsia="en-GB"/>
              </w:rPr>
              <w:t>Threshold value associated to the selected trigger quantity (e.g. RSRP, RSRQ, SINR) per RS Type (e.g. SS/PBCH block, CSI-RS) to be used in NR conditional reconfiguration triggering condition for cond event a4.</w:t>
            </w:r>
          </w:p>
        </w:tc>
      </w:tr>
      <w:tr w:rsidR="005C7FF4" w:rsidRPr="00FA0D37"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FA0D37" w:rsidRDefault="00394471" w:rsidP="00964CC4">
            <w:pPr>
              <w:pStyle w:val="TAL"/>
              <w:rPr>
                <w:b/>
                <w:i/>
                <w:szCs w:val="22"/>
                <w:lang w:eastAsia="ko-KR"/>
              </w:rPr>
            </w:pPr>
            <w:r w:rsidRPr="00FA0D37">
              <w:rPr>
                <w:b/>
                <w:i/>
                <w:szCs w:val="22"/>
                <w:lang w:eastAsia="ko-KR"/>
              </w:rPr>
              <w:t>a5-Threshold1/ a5-Threshold2</w:t>
            </w:r>
          </w:p>
          <w:p w14:paraId="3BB34DE5" w14:textId="77777777" w:rsidR="00394471" w:rsidRPr="00FA0D37" w:rsidRDefault="00394471" w:rsidP="00964CC4">
            <w:pPr>
              <w:pStyle w:val="TAL"/>
              <w:rPr>
                <w:b/>
                <w:i/>
                <w:szCs w:val="22"/>
                <w:lang w:eastAsia="en-GB"/>
              </w:rPr>
            </w:pPr>
            <w:r w:rsidRPr="00FA0D37">
              <w:rPr>
                <w:szCs w:val="22"/>
                <w:lang w:eastAsia="ko-KR"/>
              </w:rPr>
              <w:t>Threshold value associated to the selected trigger quantity (e.g. RSRP, RSRQ, SINR) per RS Type (e.g. SS/PBCH block, CSI-RS) to be used in NR conditional reconfiguration triggering condition for cond event a5.</w:t>
            </w:r>
            <w:r w:rsidRPr="00FA0D37">
              <w:rPr>
                <w:szCs w:val="22"/>
                <w:lang w:eastAsia="sv-SE"/>
              </w:rPr>
              <w:t xml:space="preserve"> In the same </w:t>
            </w:r>
            <w:r w:rsidRPr="00FA0D37">
              <w:rPr>
                <w:i/>
                <w:szCs w:val="22"/>
                <w:lang w:eastAsia="sv-SE"/>
              </w:rPr>
              <w:t>condeventA5</w:t>
            </w:r>
            <w:r w:rsidRPr="00FA0D37">
              <w:rPr>
                <w:szCs w:val="22"/>
                <w:lang w:eastAsia="sv-SE"/>
              </w:rPr>
              <w:t xml:space="preserve">, the network configures the same quantity for the </w:t>
            </w:r>
            <w:r w:rsidRPr="00FA0D37">
              <w:rPr>
                <w:i/>
                <w:szCs w:val="22"/>
                <w:lang w:eastAsia="sv-SE"/>
              </w:rPr>
              <w:t>MeasTriggerQuantity</w:t>
            </w:r>
            <w:r w:rsidRPr="00FA0D37">
              <w:rPr>
                <w:szCs w:val="22"/>
                <w:lang w:eastAsia="sv-SE"/>
              </w:rPr>
              <w:t xml:space="preserve"> of the </w:t>
            </w:r>
            <w:r w:rsidRPr="00FA0D37">
              <w:rPr>
                <w:i/>
                <w:szCs w:val="22"/>
                <w:lang w:eastAsia="sv-SE"/>
              </w:rPr>
              <w:t>a5-Threshold1</w:t>
            </w:r>
            <w:r w:rsidRPr="00FA0D37">
              <w:rPr>
                <w:szCs w:val="22"/>
                <w:lang w:eastAsia="sv-SE"/>
              </w:rPr>
              <w:t xml:space="preserve"> and for the </w:t>
            </w:r>
            <w:r w:rsidRPr="00FA0D37">
              <w:rPr>
                <w:i/>
                <w:szCs w:val="22"/>
                <w:lang w:eastAsia="sv-SE"/>
              </w:rPr>
              <w:t>MeasTriggerQuantity</w:t>
            </w:r>
            <w:r w:rsidRPr="00FA0D37">
              <w:rPr>
                <w:szCs w:val="22"/>
                <w:lang w:eastAsia="sv-SE"/>
              </w:rPr>
              <w:t xml:space="preserve"> of the </w:t>
            </w:r>
            <w:r w:rsidRPr="00FA0D37">
              <w:rPr>
                <w:i/>
                <w:szCs w:val="22"/>
                <w:lang w:eastAsia="sv-SE"/>
              </w:rPr>
              <w:t>a5-Threshold2</w:t>
            </w:r>
            <w:r w:rsidRPr="00FA0D37">
              <w:rPr>
                <w:szCs w:val="22"/>
                <w:lang w:eastAsia="sv-SE"/>
              </w:rPr>
              <w:t>.</w:t>
            </w:r>
          </w:p>
        </w:tc>
      </w:tr>
      <w:tr w:rsidR="005C7FF4" w:rsidRPr="00FA0D37"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FA0D37" w:rsidRDefault="00394471" w:rsidP="00964CC4">
            <w:pPr>
              <w:pStyle w:val="TAL"/>
              <w:rPr>
                <w:b/>
                <w:i/>
                <w:szCs w:val="22"/>
                <w:lang w:eastAsia="en-GB"/>
              </w:rPr>
            </w:pPr>
            <w:r w:rsidRPr="00FA0D37">
              <w:rPr>
                <w:b/>
                <w:i/>
                <w:szCs w:val="22"/>
                <w:lang w:eastAsia="en-GB"/>
              </w:rPr>
              <w:t>condEventId</w:t>
            </w:r>
          </w:p>
          <w:p w14:paraId="14DC20E8" w14:textId="77777777" w:rsidR="00394471" w:rsidRPr="00FA0D37" w:rsidRDefault="00394471" w:rsidP="00964CC4">
            <w:pPr>
              <w:pStyle w:val="TAL"/>
              <w:rPr>
                <w:szCs w:val="22"/>
                <w:lang w:eastAsia="sv-SE"/>
              </w:rPr>
            </w:pPr>
            <w:r w:rsidRPr="00FA0D37">
              <w:rPr>
                <w:szCs w:val="22"/>
                <w:lang w:eastAsia="en-GB"/>
              </w:rPr>
              <w:t>Choice of NR conditional reconfiguration event triggered criteria.</w:t>
            </w:r>
          </w:p>
        </w:tc>
      </w:tr>
      <w:tr w:rsidR="005C7FF4" w:rsidRPr="00FA0D37"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FA0D37" w:rsidRDefault="001163BA" w:rsidP="0071565C">
            <w:pPr>
              <w:pStyle w:val="TAL"/>
              <w:rPr>
                <w:b/>
                <w:i/>
                <w:szCs w:val="22"/>
                <w:lang w:eastAsia="en-GB"/>
              </w:rPr>
            </w:pPr>
            <w:r w:rsidRPr="00FA0D37">
              <w:rPr>
                <w:b/>
                <w:i/>
                <w:szCs w:val="22"/>
                <w:lang w:eastAsia="en-GB"/>
              </w:rPr>
              <w:t>distanceThreshFromReference1, distanceThreshFromReference2</w:t>
            </w:r>
          </w:p>
          <w:p w14:paraId="42100E2D" w14:textId="77777777" w:rsidR="001163BA" w:rsidRPr="00FA0D37" w:rsidRDefault="001163BA" w:rsidP="0071565C">
            <w:pPr>
              <w:pStyle w:val="TAL"/>
              <w:rPr>
                <w:b/>
                <w:i/>
                <w:szCs w:val="22"/>
                <w:lang w:eastAsia="en-GB"/>
              </w:rPr>
            </w:pPr>
            <w:r w:rsidRPr="00FA0D37">
              <w:rPr>
                <w:szCs w:val="22"/>
                <w:lang w:eastAsia="ko-KR"/>
              </w:rPr>
              <w:t xml:space="preserve">Distance from a reference location configured with </w:t>
            </w:r>
            <w:r w:rsidRPr="00FA0D37">
              <w:rPr>
                <w:i/>
                <w:iCs/>
                <w:szCs w:val="22"/>
                <w:lang w:eastAsia="ko-KR"/>
              </w:rPr>
              <w:t>referenceLocation1</w:t>
            </w:r>
            <w:r w:rsidRPr="00FA0D37">
              <w:rPr>
                <w:szCs w:val="22"/>
                <w:lang w:eastAsia="ko-KR"/>
              </w:rPr>
              <w:t xml:space="preserve"> or </w:t>
            </w:r>
            <w:r w:rsidRPr="00FA0D37">
              <w:rPr>
                <w:i/>
                <w:iCs/>
                <w:szCs w:val="22"/>
                <w:lang w:eastAsia="ko-KR"/>
              </w:rPr>
              <w:t>referenceLocation2</w:t>
            </w:r>
            <w:r w:rsidRPr="00FA0D37">
              <w:rPr>
                <w:szCs w:val="22"/>
                <w:lang w:eastAsia="ko-KR"/>
              </w:rPr>
              <w:t>. Each step represents 50m.</w:t>
            </w:r>
          </w:p>
        </w:tc>
      </w:tr>
      <w:tr w:rsidR="005C7FF4" w:rsidRPr="00FA0D37"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FA0D37" w:rsidRDefault="005B7637" w:rsidP="00771058">
            <w:pPr>
              <w:pStyle w:val="TAL"/>
              <w:rPr>
                <w:b/>
                <w:bCs/>
                <w:i/>
                <w:iCs/>
              </w:rPr>
            </w:pPr>
            <w:r w:rsidRPr="00FA0D37">
              <w:rPr>
                <w:b/>
                <w:bCs/>
                <w:i/>
                <w:iCs/>
              </w:rPr>
              <w:t>duration</w:t>
            </w:r>
          </w:p>
          <w:p w14:paraId="76DC2D01" w14:textId="662820A9" w:rsidR="005B7637" w:rsidRPr="00FA0D37" w:rsidRDefault="005B7637" w:rsidP="00771058">
            <w:pPr>
              <w:pStyle w:val="TAL"/>
            </w:pPr>
            <w:r w:rsidRPr="00FA0D37">
              <w:t xml:space="preserve">This field is used for defining the leaving condition T1-2 for conditional HO event </w:t>
            </w:r>
            <w:r w:rsidRPr="00FA0D37">
              <w:rPr>
                <w:i/>
                <w:iCs/>
              </w:rPr>
              <w:t>condEventT1</w:t>
            </w:r>
            <w:r w:rsidRPr="00FA0D37">
              <w:t>. Each step represents 100ms.</w:t>
            </w:r>
          </w:p>
        </w:tc>
      </w:tr>
      <w:tr w:rsidR="005C7FF4" w:rsidRPr="00FA0D37"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FA0D37" w:rsidRDefault="001163BA" w:rsidP="0071565C">
            <w:pPr>
              <w:pStyle w:val="TAL"/>
              <w:rPr>
                <w:b/>
                <w:bCs/>
                <w:i/>
                <w:iCs/>
              </w:rPr>
            </w:pPr>
            <w:r w:rsidRPr="00FA0D37">
              <w:rPr>
                <w:b/>
                <w:bCs/>
                <w:i/>
                <w:iCs/>
              </w:rPr>
              <w:t>referenceLocation1, referenceLocation2</w:t>
            </w:r>
          </w:p>
          <w:p w14:paraId="45BAEF38" w14:textId="7B04647A" w:rsidR="001163BA" w:rsidRPr="00FA0D37" w:rsidRDefault="001163BA" w:rsidP="0071565C">
            <w:pPr>
              <w:pStyle w:val="TAL"/>
              <w:rPr>
                <w:b/>
                <w:bCs/>
                <w:i/>
                <w:iCs/>
              </w:rPr>
            </w:pPr>
            <w:r w:rsidRPr="00FA0D37">
              <w:rPr>
                <w:szCs w:val="22"/>
                <w:lang w:eastAsia="en-US"/>
              </w:rPr>
              <w:t xml:space="preserve">Reference locations used for </w:t>
            </w:r>
            <w:r w:rsidRPr="00FA0D37">
              <w:rPr>
                <w:i/>
                <w:iCs/>
                <w:szCs w:val="22"/>
                <w:lang w:eastAsia="en-US"/>
              </w:rPr>
              <w:t>condEventD1</w:t>
            </w:r>
            <w:r w:rsidRPr="00FA0D37">
              <w:rPr>
                <w:szCs w:val="22"/>
                <w:lang w:eastAsia="en-US"/>
              </w:rPr>
              <w:t>. The r</w:t>
            </w:r>
            <w:r w:rsidRPr="00FA0D37">
              <w:rPr>
                <w:i/>
                <w:iCs/>
                <w:szCs w:val="22"/>
                <w:lang w:eastAsia="en-US"/>
              </w:rPr>
              <w:t>eferenceLocation1</w:t>
            </w:r>
            <w:r w:rsidRPr="00FA0D37">
              <w:rPr>
                <w:szCs w:val="22"/>
                <w:lang w:eastAsia="en-US"/>
              </w:rPr>
              <w:t xml:space="preserve"> is associated to serving cell and </w:t>
            </w:r>
            <w:r w:rsidRPr="00FA0D37">
              <w:rPr>
                <w:i/>
                <w:iCs/>
                <w:szCs w:val="22"/>
                <w:lang w:eastAsia="en-US"/>
              </w:rPr>
              <w:t>referenceLocation2</w:t>
            </w:r>
            <w:r w:rsidRPr="00FA0D37">
              <w:rPr>
                <w:szCs w:val="22"/>
                <w:lang w:eastAsia="en-US"/>
              </w:rPr>
              <w:t xml:space="preserve"> is associated to candidate target cell.</w:t>
            </w:r>
          </w:p>
        </w:tc>
      </w:tr>
      <w:tr w:rsidR="005C7FF4" w:rsidRPr="00FA0D37"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FA0D37" w:rsidRDefault="005B7637" w:rsidP="00771058">
            <w:pPr>
              <w:pStyle w:val="TAL"/>
              <w:rPr>
                <w:b/>
                <w:i/>
                <w:szCs w:val="22"/>
                <w:lang w:eastAsia="en-GB"/>
              </w:rPr>
            </w:pPr>
            <w:r w:rsidRPr="00FA0D37">
              <w:rPr>
                <w:b/>
                <w:i/>
                <w:szCs w:val="22"/>
                <w:lang w:eastAsia="en-GB"/>
              </w:rPr>
              <w:t>t1-Threshold</w:t>
            </w:r>
          </w:p>
          <w:p w14:paraId="622055E2" w14:textId="77777777" w:rsidR="005B7637" w:rsidRPr="00FA0D37" w:rsidRDefault="005B7637" w:rsidP="00771058">
            <w:pPr>
              <w:pStyle w:val="TAL"/>
              <w:rPr>
                <w:b/>
                <w:i/>
                <w:szCs w:val="22"/>
                <w:lang w:eastAsia="en-GB"/>
              </w:rPr>
            </w:pPr>
            <w:r w:rsidRPr="00FA0D37">
              <w:rPr>
                <w:szCs w:val="22"/>
                <w:lang w:eastAsia="en-US"/>
              </w:rPr>
              <w:t>The field counts the number of UTC seconds in 10 ms units since 00:00:00 on Gregorian calendar date 1 January, 1900 (midnight between Sunday, December 31, 1899 and Monday, January 1, 1900).</w:t>
            </w:r>
          </w:p>
        </w:tc>
      </w:tr>
      <w:tr w:rsidR="00394471" w:rsidRPr="00FA0D37"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FA0D37" w:rsidRDefault="00394471" w:rsidP="00964CC4">
            <w:pPr>
              <w:pStyle w:val="TAL"/>
              <w:rPr>
                <w:b/>
                <w:i/>
                <w:szCs w:val="22"/>
                <w:lang w:eastAsia="en-GB"/>
              </w:rPr>
            </w:pPr>
            <w:r w:rsidRPr="00FA0D37">
              <w:rPr>
                <w:b/>
                <w:i/>
                <w:szCs w:val="22"/>
                <w:lang w:eastAsia="en-GB"/>
              </w:rPr>
              <w:t>timeToTrigger</w:t>
            </w:r>
          </w:p>
          <w:p w14:paraId="70BF01E8" w14:textId="77777777" w:rsidR="00394471" w:rsidRPr="00FA0D37" w:rsidRDefault="00394471" w:rsidP="00964CC4">
            <w:pPr>
              <w:pStyle w:val="TAL"/>
              <w:rPr>
                <w:b/>
                <w:i/>
                <w:szCs w:val="22"/>
                <w:lang w:eastAsia="sv-SE"/>
              </w:rPr>
            </w:pPr>
            <w:r w:rsidRPr="00FA0D37">
              <w:rPr>
                <w:szCs w:val="22"/>
                <w:lang w:eastAsia="en-GB"/>
              </w:rPr>
              <w:t>Time during which specific criteria for the event needs to be met in order to execute the conditional reconfiguration evaluation.</w:t>
            </w:r>
          </w:p>
        </w:tc>
      </w:tr>
    </w:tbl>
    <w:p w14:paraId="57D6CB5E" w14:textId="77777777" w:rsidR="00394471" w:rsidRPr="00FA0D3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FA0D37" w:rsidRDefault="00394471" w:rsidP="00964CC4">
            <w:pPr>
              <w:pStyle w:val="TAH"/>
              <w:rPr>
                <w:i/>
                <w:lang w:eastAsia="sv-SE"/>
              </w:rPr>
            </w:pPr>
            <w:r w:rsidRPr="00FA0D37">
              <w:rPr>
                <w:bCs/>
                <w:i/>
                <w:iCs/>
                <w:lang w:eastAsia="sv-SE"/>
              </w:rPr>
              <w:lastRenderedPageBreak/>
              <w:t>ReportConfigNR</w:t>
            </w:r>
            <w:r w:rsidRPr="00FA0D37">
              <w:rPr>
                <w:i/>
                <w:lang w:eastAsia="sv-SE"/>
              </w:rPr>
              <w:t xml:space="preserve"> </w:t>
            </w:r>
            <w:r w:rsidRPr="00FA0D37">
              <w:rPr>
                <w:lang w:eastAsia="sv-SE"/>
              </w:rPr>
              <w:t>field descriptions</w:t>
            </w:r>
          </w:p>
        </w:tc>
      </w:tr>
      <w:tr w:rsidR="00394471" w:rsidRPr="00FA0D37"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FA0D37" w:rsidRDefault="00394471" w:rsidP="00964CC4">
            <w:pPr>
              <w:pStyle w:val="TAL"/>
              <w:rPr>
                <w:b/>
                <w:i/>
                <w:lang w:eastAsia="sv-SE"/>
              </w:rPr>
            </w:pPr>
            <w:r w:rsidRPr="00FA0D37">
              <w:rPr>
                <w:b/>
                <w:i/>
                <w:lang w:eastAsia="sv-SE"/>
              </w:rPr>
              <w:t>reportType</w:t>
            </w:r>
          </w:p>
          <w:p w14:paraId="5A03E2F3" w14:textId="368723B5" w:rsidR="00394471" w:rsidRPr="00FA0D37" w:rsidRDefault="00394471" w:rsidP="00964CC4">
            <w:pPr>
              <w:pStyle w:val="TAL"/>
              <w:rPr>
                <w:lang w:eastAsia="sv-SE"/>
              </w:rPr>
            </w:pPr>
            <w:r w:rsidRPr="00FA0D37">
              <w:rPr>
                <w:lang w:eastAsia="sv-SE"/>
              </w:rPr>
              <w:t xml:space="preserve">Type of the configured measurement report. In </w:t>
            </w:r>
            <w:r w:rsidR="00A809D6" w:rsidRPr="00FA0D37">
              <w:rPr>
                <w:lang w:eastAsia="sv-SE"/>
              </w:rPr>
              <w:t>MR-DC</w:t>
            </w:r>
            <w:r w:rsidRPr="00FA0D37">
              <w:rPr>
                <w:lang w:eastAsia="sv-SE"/>
              </w:rPr>
              <w:t xml:space="preserve">, network does not configure report of type </w:t>
            </w:r>
            <w:r w:rsidRPr="00FA0D37">
              <w:rPr>
                <w:i/>
                <w:lang w:eastAsia="sv-SE"/>
              </w:rPr>
              <w:t>reportCGI</w:t>
            </w:r>
            <w:r w:rsidRPr="00FA0D37">
              <w:rPr>
                <w:lang w:eastAsia="sv-SE"/>
              </w:rPr>
              <w:t xml:space="preserve"> using SRB3.</w:t>
            </w:r>
            <w:r w:rsidRPr="00FA0D37">
              <w:rPr>
                <w:lang w:eastAsia="zh-CN"/>
              </w:rPr>
              <w:t xml:space="preserve"> The</w:t>
            </w:r>
            <w:r w:rsidRPr="00FA0D37">
              <w:rPr>
                <w:rFonts w:ascii="Courier New" w:hAnsi="Courier New"/>
                <w:noProof/>
                <w:sz w:val="16"/>
                <w:lang w:eastAsia="zh-CN"/>
              </w:rPr>
              <w:t xml:space="preserve"> </w:t>
            </w:r>
            <w:r w:rsidRPr="00FA0D37">
              <w:rPr>
                <w:i/>
                <w:lang w:eastAsia="zh-CN"/>
              </w:rPr>
              <w:t xml:space="preserve">condTriggerConfig is </w:t>
            </w:r>
            <w:r w:rsidRPr="00FA0D37">
              <w:rPr>
                <w:lang w:eastAsia="zh-CN"/>
              </w:rPr>
              <w:t>used for CHO</w:t>
            </w:r>
            <w:r w:rsidR="00DB6B82" w:rsidRPr="00FA0D37">
              <w:rPr>
                <w:lang w:eastAsia="zh-CN"/>
              </w:rPr>
              <w:t>, CPA</w:t>
            </w:r>
            <w:r w:rsidRPr="00FA0D37">
              <w:rPr>
                <w:lang w:eastAsia="zh-CN"/>
              </w:rPr>
              <w:t xml:space="preserve"> or CPC configuration.</w:t>
            </w:r>
          </w:p>
        </w:tc>
      </w:tr>
    </w:tbl>
    <w:p w14:paraId="755A120A" w14:textId="77777777" w:rsidR="00394471" w:rsidRPr="00FA0D3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FA0D37" w:rsidRDefault="00394471" w:rsidP="00964CC4">
            <w:pPr>
              <w:pStyle w:val="TAH"/>
              <w:rPr>
                <w:i/>
                <w:lang w:eastAsia="sv-SE"/>
              </w:rPr>
            </w:pPr>
            <w:r w:rsidRPr="00FA0D37">
              <w:rPr>
                <w:bCs/>
                <w:i/>
                <w:iCs/>
                <w:lang w:eastAsia="sv-SE"/>
              </w:rPr>
              <w:t>ReportCGI</w:t>
            </w:r>
            <w:r w:rsidRPr="00FA0D37">
              <w:rPr>
                <w:i/>
                <w:lang w:eastAsia="sv-SE"/>
              </w:rPr>
              <w:t xml:space="preserve"> </w:t>
            </w:r>
            <w:r w:rsidRPr="00FA0D37">
              <w:rPr>
                <w:lang w:eastAsia="sv-SE"/>
              </w:rPr>
              <w:t>field descriptions</w:t>
            </w:r>
          </w:p>
        </w:tc>
      </w:tr>
      <w:tr w:rsidR="00394471" w:rsidRPr="00FA0D37"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FA0D37" w:rsidRDefault="00394471" w:rsidP="00964CC4">
            <w:pPr>
              <w:pStyle w:val="TAL"/>
              <w:rPr>
                <w:b/>
                <w:i/>
                <w:lang w:eastAsia="sv-SE"/>
              </w:rPr>
            </w:pPr>
            <w:r w:rsidRPr="00FA0D37">
              <w:rPr>
                <w:b/>
                <w:i/>
                <w:lang w:eastAsia="sv-SE"/>
              </w:rPr>
              <w:t>useAutonomousGaps</w:t>
            </w:r>
          </w:p>
          <w:p w14:paraId="645E4480" w14:textId="77777777" w:rsidR="00394471" w:rsidRPr="00FA0D37" w:rsidRDefault="00394471" w:rsidP="00964CC4">
            <w:pPr>
              <w:pStyle w:val="TAL"/>
              <w:rPr>
                <w:lang w:eastAsia="sv-SE"/>
              </w:rPr>
            </w:pPr>
            <w:r w:rsidRPr="00FA0D37">
              <w:rPr>
                <w:lang w:eastAsia="sv-SE"/>
              </w:rPr>
              <w:t>Indicates whether or not the UE is allowed to use autonomous gaps in acquiring system information from the NR neighbour cell.</w:t>
            </w:r>
            <w:r w:rsidRPr="00FA0D37">
              <w:rPr>
                <w:lang w:eastAsia="zh-CN"/>
              </w:rPr>
              <w:t xml:space="preserve"> When the field is included, the UE</w:t>
            </w:r>
            <w:r w:rsidRPr="00FA0D37">
              <w:rPr>
                <w:lang w:eastAsia="sv-SE"/>
              </w:rPr>
              <w:t xml:space="preserve"> applies the corresponding value for T321</w:t>
            </w:r>
            <w:r w:rsidRPr="00FA0D37">
              <w:rPr>
                <w:iCs/>
                <w:noProof/>
                <w:lang w:eastAsia="en-GB"/>
              </w:rPr>
              <w:t>.</w:t>
            </w:r>
          </w:p>
        </w:tc>
      </w:tr>
    </w:tbl>
    <w:p w14:paraId="5E45CC2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FA0D37" w:rsidRDefault="00394471" w:rsidP="00964CC4">
            <w:pPr>
              <w:pStyle w:val="TAH"/>
              <w:rPr>
                <w:szCs w:val="22"/>
                <w:lang w:eastAsia="sv-SE"/>
              </w:rPr>
            </w:pPr>
            <w:r w:rsidRPr="00FA0D37">
              <w:rPr>
                <w:i/>
                <w:szCs w:val="22"/>
                <w:lang w:eastAsia="sv-SE"/>
              </w:rPr>
              <w:lastRenderedPageBreak/>
              <w:t xml:space="preserve">EventTriggerConfig </w:t>
            </w:r>
            <w:r w:rsidRPr="00FA0D37">
              <w:rPr>
                <w:szCs w:val="22"/>
                <w:lang w:eastAsia="sv-SE"/>
              </w:rPr>
              <w:t>field descriptions</w:t>
            </w:r>
          </w:p>
        </w:tc>
      </w:tr>
      <w:tr w:rsidR="005C7FF4" w:rsidRPr="00FA0D37"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FA0D37" w:rsidRDefault="00394471" w:rsidP="00964CC4">
            <w:pPr>
              <w:pStyle w:val="TAL"/>
              <w:rPr>
                <w:b/>
                <w:i/>
                <w:szCs w:val="22"/>
                <w:lang w:eastAsia="en-GB"/>
              </w:rPr>
            </w:pPr>
            <w:r w:rsidRPr="00FA0D37">
              <w:rPr>
                <w:b/>
                <w:i/>
                <w:szCs w:val="22"/>
                <w:lang w:eastAsia="en-GB"/>
              </w:rPr>
              <w:t>a3-Offset/a6-Offset</w:t>
            </w:r>
          </w:p>
          <w:p w14:paraId="3947A5CB" w14:textId="77777777" w:rsidR="00394471" w:rsidRPr="00FA0D37" w:rsidRDefault="00394471" w:rsidP="00964CC4">
            <w:pPr>
              <w:pStyle w:val="TAL"/>
              <w:rPr>
                <w:b/>
                <w:i/>
                <w:szCs w:val="22"/>
                <w:lang w:eastAsia="ko-KR"/>
              </w:rPr>
            </w:pPr>
            <w:r w:rsidRPr="00FA0D37">
              <w:rPr>
                <w:szCs w:val="22"/>
                <w:lang w:eastAsia="ko-KR"/>
              </w:rPr>
              <w:t>Offset value(s) to be used in NR measurement report triggering condition for event a3/a6.</w:t>
            </w:r>
            <w:r w:rsidRPr="00FA0D37">
              <w:rPr>
                <w:rFonts w:cs="Arial"/>
                <w:szCs w:val="22"/>
                <w:lang w:eastAsia="ko-KR"/>
              </w:rPr>
              <w:t xml:space="preserve"> The actual value is field value * 0.5 dB.</w:t>
            </w:r>
          </w:p>
        </w:tc>
      </w:tr>
      <w:tr w:rsidR="005C7FF4" w:rsidRPr="00FA0D37"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FA0D37" w:rsidRDefault="00394471" w:rsidP="00964CC4">
            <w:pPr>
              <w:pStyle w:val="TAL"/>
              <w:rPr>
                <w:b/>
                <w:i/>
                <w:szCs w:val="22"/>
                <w:lang w:eastAsia="ko-KR"/>
              </w:rPr>
            </w:pPr>
            <w:r w:rsidRPr="00FA0D37">
              <w:rPr>
                <w:b/>
                <w:i/>
                <w:szCs w:val="22"/>
                <w:lang w:eastAsia="ko-KR"/>
              </w:rPr>
              <w:t>aN-ThresholdM</w:t>
            </w:r>
          </w:p>
          <w:p w14:paraId="57B5D8BF" w14:textId="77777777" w:rsidR="00394471" w:rsidRPr="00FA0D37" w:rsidRDefault="00394471" w:rsidP="00964CC4">
            <w:pPr>
              <w:pStyle w:val="TAL"/>
              <w:rPr>
                <w:b/>
                <w:i/>
                <w:szCs w:val="22"/>
                <w:lang w:eastAsia="en-GB"/>
              </w:rPr>
            </w:pPr>
            <w:r w:rsidRPr="00FA0D37">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w:t>
            </w:r>
            <w:r w:rsidRPr="00FA0D37">
              <w:rPr>
                <w:i/>
                <w:iCs/>
                <w:szCs w:val="22"/>
                <w:lang w:eastAsia="ko-KR"/>
              </w:rPr>
              <w:t>aN-T</w:t>
            </w:r>
            <w:r w:rsidRPr="00FA0D37">
              <w:rPr>
                <w:i/>
                <w:iCs/>
                <w:szCs w:val="22"/>
                <w:lang w:eastAsia="sv-SE"/>
              </w:rPr>
              <w:t>hreshold1</w:t>
            </w:r>
            <w:r w:rsidRPr="00FA0D37">
              <w:rPr>
                <w:szCs w:val="22"/>
                <w:lang w:eastAsia="sv-SE"/>
              </w:rPr>
              <w:t xml:space="preserve"> only for events A1, A2, A4, A5 and </w:t>
            </w:r>
            <w:r w:rsidRPr="00FA0D37">
              <w:rPr>
                <w:i/>
                <w:iCs/>
                <w:szCs w:val="22"/>
                <w:lang w:eastAsia="sv-SE"/>
              </w:rPr>
              <w:t>a5-Threshold2</w:t>
            </w:r>
            <w:r w:rsidRPr="00FA0D37">
              <w:rPr>
                <w:szCs w:val="22"/>
                <w:lang w:eastAsia="sv-SE"/>
              </w:rPr>
              <w:t xml:space="preserve"> only for event A5. In the same </w:t>
            </w:r>
            <w:r w:rsidRPr="00FA0D37">
              <w:rPr>
                <w:i/>
                <w:szCs w:val="22"/>
                <w:lang w:eastAsia="sv-SE"/>
              </w:rPr>
              <w:t>eventA5</w:t>
            </w:r>
            <w:r w:rsidRPr="00FA0D37">
              <w:rPr>
                <w:szCs w:val="22"/>
                <w:lang w:eastAsia="sv-SE"/>
              </w:rPr>
              <w:t xml:space="preserve">, the network configures the same quantity for the </w:t>
            </w:r>
            <w:r w:rsidRPr="00FA0D37">
              <w:rPr>
                <w:i/>
                <w:szCs w:val="22"/>
                <w:lang w:eastAsia="sv-SE"/>
              </w:rPr>
              <w:t>MeasTriggerQuantity</w:t>
            </w:r>
            <w:r w:rsidRPr="00FA0D37">
              <w:rPr>
                <w:szCs w:val="22"/>
                <w:lang w:eastAsia="sv-SE"/>
              </w:rPr>
              <w:t xml:space="preserve"> of the </w:t>
            </w:r>
            <w:r w:rsidRPr="00FA0D37">
              <w:rPr>
                <w:i/>
                <w:szCs w:val="22"/>
                <w:lang w:eastAsia="sv-SE"/>
              </w:rPr>
              <w:t>a5-Threshold1</w:t>
            </w:r>
            <w:r w:rsidRPr="00FA0D37">
              <w:rPr>
                <w:szCs w:val="22"/>
                <w:lang w:eastAsia="sv-SE"/>
              </w:rPr>
              <w:t xml:space="preserve"> and for the </w:t>
            </w:r>
            <w:r w:rsidRPr="00FA0D37">
              <w:rPr>
                <w:i/>
                <w:szCs w:val="22"/>
                <w:lang w:eastAsia="sv-SE"/>
              </w:rPr>
              <w:t>MeasTriggerQuantity</w:t>
            </w:r>
            <w:r w:rsidRPr="00FA0D37">
              <w:rPr>
                <w:szCs w:val="22"/>
                <w:lang w:eastAsia="sv-SE"/>
              </w:rPr>
              <w:t xml:space="preserve"> of the </w:t>
            </w:r>
            <w:r w:rsidRPr="00FA0D37">
              <w:rPr>
                <w:i/>
                <w:szCs w:val="22"/>
                <w:lang w:eastAsia="sv-SE"/>
              </w:rPr>
              <w:t>a5-Threshold2</w:t>
            </w:r>
            <w:r w:rsidRPr="00FA0D37">
              <w:rPr>
                <w:szCs w:val="22"/>
                <w:lang w:eastAsia="sv-SE"/>
              </w:rPr>
              <w:t>.</w:t>
            </w:r>
          </w:p>
        </w:tc>
      </w:tr>
      <w:tr w:rsidR="005C7FF4" w:rsidRPr="00FA0D37"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FA0D37" w:rsidRDefault="00394471" w:rsidP="00964CC4">
            <w:pPr>
              <w:pStyle w:val="TAL"/>
              <w:rPr>
                <w:b/>
                <w:i/>
                <w:szCs w:val="22"/>
                <w:lang w:eastAsia="en-GB"/>
              </w:rPr>
            </w:pPr>
            <w:r w:rsidRPr="00FA0D37">
              <w:rPr>
                <w:rFonts w:cs="Arial"/>
                <w:b/>
                <w:i/>
                <w:szCs w:val="22"/>
                <w:lang w:eastAsia="ko-KR"/>
              </w:rPr>
              <w:t>channelOccupancyThreshol</w:t>
            </w:r>
            <w:r w:rsidRPr="00FA0D37">
              <w:rPr>
                <w:b/>
                <w:i/>
                <w:szCs w:val="22"/>
                <w:lang w:eastAsia="en-GB"/>
              </w:rPr>
              <w:t>d</w:t>
            </w:r>
          </w:p>
          <w:p w14:paraId="05DF7B12" w14:textId="77777777" w:rsidR="00394471" w:rsidRPr="00FA0D37" w:rsidRDefault="00394471" w:rsidP="00964CC4">
            <w:pPr>
              <w:pStyle w:val="TAL"/>
              <w:rPr>
                <w:b/>
                <w:i/>
                <w:szCs w:val="22"/>
                <w:lang w:eastAsia="ko-KR"/>
              </w:rPr>
            </w:pPr>
            <w:r w:rsidRPr="00FA0D37">
              <w:rPr>
                <w:rFonts w:cs="Arial"/>
                <w:szCs w:val="22"/>
                <w:lang w:eastAsia="ko-KR"/>
              </w:rPr>
              <w:t>RSSI threshold which is used for channel occupancy evaluation</w:t>
            </w:r>
            <w:r w:rsidRPr="00FA0D37">
              <w:rPr>
                <w:szCs w:val="22"/>
                <w:lang w:eastAsia="en-GB"/>
              </w:rPr>
              <w:t>.</w:t>
            </w:r>
          </w:p>
        </w:tc>
      </w:tr>
      <w:tr w:rsidR="005C7FF4" w:rsidRPr="00FA0D37"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FA0D37" w:rsidRDefault="00771058" w:rsidP="00771058">
            <w:pPr>
              <w:keepNext/>
              <w:keepLines/>
              <w:spacing w:after="0"/>
              <w:rPr>
                <w:rFonts w:ascii="Arial" w:hAnsi="Arial"/>
                <w:b/>
                <w:i/>
                <w:sz w:val="18"/>
                <w:lang w:eastAsia="ko-KR"/>
              </w:rPr>
            </w:pPr>
            <w:r w:rsidRPr="00FA0D37">
              <w:rPr>
                <w:rFonts w:ascii="Arial" w:hAnsi="Arial"/>
                <w:b/>
                <w:i/>
                <w:sz w:val="18"/>
                <w:lang w:eastAsia="ko-KR"/>
              </w:rPr>
              <w:t>coarseLocationRequest</w:t>
            </w:r>
          </w:p>
          <w:p w14:paraId="6E73F769" w14:textId="551A3700" w:rsidR="00771058" w:rsidRPr="00FA0D37" w:rsidRDefault="00771058" w:rsidP="00771058">
            <w:pPr>
              <w:pStyle w:val="TAL"/>
              <w:rPr>
                <w:rFonts w:cs="Arial"/>
                <w:b/>
                <w:i/>
                <w:szCs w:val="22"/>
                <w:lang w:eastAsia="ko-KR"/>
              </w:rPr>
            </w:pPr>
            <w:r w:rsidRPr="00FA0D37">
              <w:rPr>
                <w:lang w:eastAsia="ko-KR"/>
              </w:rPr>
              <w:t>This field is used to request UE to report coarse location information.</w:t>
            </w:r>
          </w:p>
        </w:tc>
      </w:tr>
      <w:tr w:rsidR="005C7FF4" w:rsidRPr="00FA0D37"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FA0D37" w:rsidRDefault="005B7637" w:rsidP="00771058">
            <w:pPr>
              <w:pStyle w:val="TAL"/>
              <w:rPr>
                <w:b/>
                <w:bCs/>
                <w:i/>
                <w:iCs/>
              </w:rPr>
            </w:pPr>
            <w:r w:rsidRPr="00FA0D37">
              <w:rPr>
                <w:b/>
                <w:bCs/>
                <w:i/>
                <w:iCs/>
              </w:rPr>
              <w:t>distanceThres</w:t>
            </w:r>
            <w:r w:rsidR="00771058" w:rsidRPr="00FA0D37">
              <w:rPr>
                <w:b/>
                <w:bCs/>
                <w:i/>
                <w:iCs/>
              </w:rPr>
              <w:t>h</w:t>
            </w:r>
            <w:r w:rsidRPr="00FA0D37">
              <w:rPr>
                <w:b/>
                <w:bCs/>
                <w:i/>
                <w:iCs/>
              </w:rPr>
              <w:t>FromReference1, distanceThres</w:t>
            </w:r>
            <w:r w:rsidR="00771058" w:rsidRPr="00FA0D37">
              <w:rPr>
                <w:b/>
                <w:bCs/>
                <w:i/>
                <w:iCs/>
              </w:rPr>
              <w:t>h</w:t>
            </w:r>
            <w:r w:rsidRPr="00FA0D37">
              <w:rPr>
                <w:b/>
                <w:bCs/>
                <w:i/>
                <w:iCs/>
              </w:rPr>
              <w:t>FromReference</w:t>
            </w:r>
            <w:r w:rsidR="00FE5A80" w:rsidRPr="00FA0D37">
              <w:rPr>
                <w:b/>
                <w:bCs/>
                <w:i/>
                <w:iCs/>
              </w:rPr>
              <w:t>2</w:t>
            </w:r>
          </w:p>
          <w:p w14:paraId="1592BD26" w14:textId="692F882A" w:rsidR="005B7637" w:rsidRPr="00FA0D37" w:rsidRDefault="001163BA" w:rsidP="00771058">
            <w:pPr>
              <w:pStyle w:val="TAL"/>
              <w:rPr>
                <w:rFonts w:cs="Arial"/>
                <w:bCs/>
                <w:iCs/>
                <w:szCs w:val="22"/>
                <w:lang w:eastAsia="ko-KR"/>
              </w:rPr>
            </w:pPr>
            <w:r w:rsidRPr="00FA0D37">
              <w:rPr>
                <w:rFonts w:cs="Arial"/>
                <w:iCs/>
              </w:rPr>
              <w:t xml:space="preserve">Threshold value associated to the </w:t>
            </w:r>
            <w:r w:rsidRPr="00FA0D37">
              <w:rPr>
                <w:rFonts w:cs="Arial"/>
                <w:iCs/>
                <w:szCs w:val="22"/>
              </w:rPr>
              <w:t>d</w:t>
            </w:r>
            <w:r w:rsidR="005B7637" w:rsidRPr="00FA0D37">
              <w:rPr>
                <w:rFonts w:cs="Arial"/>
                <w:iCs/>
                <w:szCs w:val="22"/>
              </w:rPr>
              <w:t xml:space="preserve">istance from a reference location configured with </w:t>
            </w:r>
            <w:r w:rsidR="005B7637" w:rsidRPr="00FA0D37">
              <w:rPr>
                <w:i/>
                <w:szCs w:val="22"/>
              </w:rPr>
              <w:t xml:space="preserve">referenceLocation1 </w:t>
            </w:r>
            <w:r w:rsidR="005B7637" w:rsidRPr="00FA0D37">
              <w:rPr>
                <w:iCs/>
                <w:szCs w:val="22"/>
              </w:rPr>
              <w:t>or</w:t>
            </w:r>
            <w:r w:rsidR="005B7637" w:rsidRPr="00FA0D37">
              <w:rPr>
                <w:i/>
                <w:szCs w:val="22"/>
              </w:rPr>
              <w:t xml:space="preserve"> referenceLocation2. </w:t>
            </w:r>
            <w:r w:rsidR="005B7637" w:rsidRPr="00FA0D37">
              <w:rPr>
                <w:iCs/>
                <w:szCs w:val="22"/>
              </w:rPr>
              <w:t>Each step represents 50m.</w:t>
            </w:r>
          </w:p>
        </w:tc>
      </w:tr>
      <w:tr w:rsidR="005C7FF4" w:rsidRPr="00FA0D37"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FA0D37" w:rsidRDefault="00394471" w:rsidP="00964CC4">
            <w:pPr>
              <w:pStyle w:val="TAL"/>
              <w:rPr>
                <w:b/>
                <w:i/>
                <w:szCs w:val="22"/>
                <w:lang w:eastAsia="en-GB"/>
              </w:rPr>
            </w:pPr>
            <w:r w:rsidRPr="00FA0D37">
              <w:rPr>
                <w:b/>
                <w:i/>
                <w:szCs w:val="22"/>
                <w:lang w:eastAsia="en-GB"/>
              </w:rPr>
              <w:t>eventId</w:t>
            </w:r>
          </w:p>
          <w:p w14:paraId="4C679720" w14:textId="2C79D9AC" w:rsidR="00394471" w:rsidRPr="00FA0D37" w:rsidRDefault="00394471" w:rsidP="00964CC4">
            <w:pPr>
              <w:pStyle w:val="TAL"/>
              <w:rPr>
                <w:szCs w:val="22"/>
                <w:lang w:eastAsia="sv-SE"/>
              </w:rPr>
            </w:pPr>
            <w:r w:rsidRPr="00FA0D37">
              <w:rPr>
                <w:szCs w:val="22"/>
                <w:lang w:eastAsia="en-GB"/>
              </w:rPr>
              <w:t>Choice of NR event triggered reporting criteria.</w:t>
            </w:r>
          </w:p>
        </w:tc>
      </w:tr>
      <w:tr w:rsidR="005C7FF4" w:rsidRPr="00FA0D37"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FA0D37" w:rsidRDefault="00394471" w:rsidP="00964CC4">
            <w:pPr>
              <w:pStyle w:val="TAL"/>
              <w:rPr>
                <w:b/>
                <w:i/>
                <w:szCs w:val="22"/>
                <w:lang w:eastAsia="en-GB"/>
              </w:rPr>
            </w:pPr>
            <w:r w:rsidRPr="00FA0D37">
              <w:rPr>
                <w:b/>
                <w:i/>
                <w:szCs w:val="22"/>
                <w:lang w:eastAsia="en-GB"/>
              </w:rPr>
              <w:t>maxNrofRS-IndexesToReport</w:t>
            </w:r>
          </w:p>
          <w:p w14:paraId="599D16CD" w14:textId="77777777" w:rsidR="00394471" w:rsidRPr="00FA0D37" w:rsidRDefault="00394471" w:rsidP="00964CC4">
            <w:pPr>
              <w:pStyle w:val="TAL"/>
              <w:rPr>
                <w:b/>
                <w:i/>
                <w:szCs w:val="22"/>
                <w:lang w:eastAsia="en-GB"/>
              </w:rPr>
            </w:pPr>
            <w:r w:rsidRPr="00FA0D37">
              <w:rPr>
                <w:szCs w:val="22"/>
                <w:lang w:eastAsia="en-GB"/>
              </w:rPr>
              <w:t>Max number of RS indexes to include in the measurement report for A1-A6 events.</w:t>
            </w:r>
          </w:p>
        </w:tc>
      </w:tr>
      <w:tr w:rsidR="005C7FF4" w:rsidRPr="00FA0D37"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FA0D37" w:rsidRDefault="00394471" w:rsidP="00964CC4">
            <w:pPr>
              <w:pStyle w:val="TAL"/>
              <w:rPr>
                <w:b/>
                <w:i/>
                <w:szCs w:val="22"/>
                <w:lang w:eastAsia="en-GB"/>
              </w:rPr>
            </w:pPr>
            <w:r w:rsidRPr="00FA0D37">
              <w:rPr>
                <w:b/>
                <w:i/>
                <w:szCs w:val="22"/>
                <w:lang w:eastAsia="en-GB"/>
              </w:rPr>
              <w:t>maxReportCells</w:t>
            </w:r>
          </w:p>
          <w:p w14:paraId="63FB7637" w14:textId="77777777" w:rsidR="00394471" w:rsidRPr="00FA0D37" w:rsidRDefault="00394471" w:rsidP="00964CC4">
            <w:pPr>
              <w:pStyle w:val="TAL"/>
              <w:rPr>
                <w:szCs w:val="22"/>
                <w:lang w:eastAsia="sv-SE"/>
              </w:rPr>
            </w:pPr>
            <w:r w:rsidRPr="00FA0D37">
              <w:rPr>
                <w:szCs w:val="22"/>
                <w:lang w:eastAsia="en-GB"/>
              </w:rPr>
              <w:t>Max number of non-serving cells to include in the measurement report.</w:t>
            </w:r>
          </w:p>
        </w:tc>
      </w:tr>
      <w:tr w:rsidR="005C7FF4" w:rsidRPr="00FA0D37"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5B7637" w:rsidRPr="00FA0D37" w:rsidRDefault="005B7637" w:rsidP="00771058">
            <w:pPr>
              <w:pStyle w:val="TAL"/>
              <w:rPr>
                <w:b/>
                <w:bCs/>
                <w:i/>
                <w:iCs/>
              </w:rPr>
            </w:pPr>
            <w:r w:rsidRPr="00FA0D37">
              <w:rPr>
                <w:b/>
                <w:bCs/>
                <w:i/>
                <w:iCs/>
              </w:rPr>
              <w:t>referenceLocation1, referenceLocation2</w:t>
            </w:r>
          </w:p>
          <w:p w14:paraId="64F65CC9" w14:textId="16E0DC3F" w:rsidR="005B7637" w:rsidRPr="00FA0D37" w:rsidRDefault="005B7637" w:rsidP="00771058">
            <w:pPr>
              <w:pStyle w:val="TAL"/>
              <w:rPr>
                <w:b/>
                <w:i/>
                <w:szCs w:val="22"/>
                <w:lang w:eastAsia="sv-SE"/>
              </w:rPr>
            </w:pPr>
            <w:r w:rsidRPr="00FA0D37">
              <w:rPr>
                <w:iCs/>
                <w:szCs w:val="22"/>
              </w:rPr>
              <w:t xml:space="preserve">Reference locations used for </w:t>
            </w:r>
            <w:r w:rsidRPr="00FA0D37">
              <w:rPr>
                <w:i/>
                <w:szCs w:val="22"/>
              </w:rPr>
              <w:t>event</w:t>
            </w:r>
            <w:r w:rsidR="001163BA" w:rsidRPr="00FA0D37">
              <w:rPr>
                <w:i/>
                <w:szCs w:val="22"/>
              </w:rPr>
              <w:t>D1</w:t>
            </w:r>
            <w:r w:rsidRPr="00FA0D37">
              <w:rPr>
                <w:iCs/>
                <w:szCs w:val="22"/>
              </w:rPr>
              <w:t xml:space="preserve">. The </w:t>
            </w:r>
            <w:r w:rsidRPr="00FA0D37">
              <w:rPr>
                <w:i/>
                <w:szCs w:val="22"/>
              </w:rPr>
              <w:t>referenceLocation1</w:t>
            </w:r>
            <w:r w:rsidRPr="00FA0D37">
              <w:rPr>
                <w:iCs/>
                <w:szCs w:val="22"/>
              </w:rPr>
              <w:t xml:space="preserve"> is associated to serving cell and </w:t>
            </w:r>
            <w:r w:rsidRPr="00FA0D37">
              <w:rPr>
                <w:i/>
                <w:szCs w:val="22"/>
              </w:rPr>
              <w:t>referenceLocation2</w:t>
            </w:r>
            <w:r w:rsidRPr="00FA0D37">
              <w:rPr>
                <w:iCs/>
                <w:szCs w:val="22"/>
              </w:rPr>
              <w:t xml:space="preserve"> is associated to </w:t>
            </w:r>
            <w:r w:rsidR="001163BA" w:rsidRPr="00FA0D37">
              <w:rPr>
                <w:iCs/>
                <w:szCs w:val="22"/>
              </w:rPr>
              <w:t>neighbour</w:t>
            </w:r>
            <w:r w:rsidR="0074055C" w:rsidRPr="00FA0D37">
              <w:rPr>
                <w:iCs/>
                <w:szCs w:val="22"/>
              </w:rPr>
              <w:t xml:space="preserve"> </w:t>
            </w:r>
            <w:r w:rsidRPr="00FA0D37">
              <w:rPr>
                <w:iCs/>
                <w:szCs w:val="22"/>
              </w:rPr>
              <w:t>cell.</w:t>
            </w:r>
          </w:p>
        </w:tc>
      </w:tr>
      <w:tr w:rsidR="005C7FF4" w:rsidRPr="00FA0D37"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394471" w:rsidRPr="00FA0D37" w:rsidRDefault="00394471" w:rsidP="00964CC4">
            <w:pPr>
              <w:pStyle w:val="TAL"/>
              <w:rPr>
                <w:b/>
                <w:i/>
                <w:szCs w:val="22"/>
                <w:lang w:eastAsia="sv-SE"/>
              </w:rPr>
            </w:pPr>
            <w:r w:rsidRPr="00FA0D37">
              <w:rPr>
                <w:b/>
                <w:i/>
                <w:szCs w:val="22"/>
                <w:lang w:eastAsia="sv-SE"/>
              </w:rPr>
              <w:t>reportAddNeighMeas</w:t>
            </w:r>
          </w:p>
          <w:p w14:paraId="1D98A7D1" w14:textId="77777777" w:rsidR="00394471" w:rsidRPr="00FA0D37" w:rsidRDefault="00394471" w:rsidP="00964CC4">
            <w:pPr>
              <w:pStyle w:val="TAL"/>
              <w:rPr>
                <w:b/>
                <w:i/>
                <w:szCs w:val="22"/>
                <w:lang w:eastAsia="sv-SE"/>
              </w:rPr>
            </w:pPr>
            <w:r w:rsidRPr="00FA0D37">
              <w:rPr>
                <w:szCs w:val="22"/>
                <w:lang w:eastAsia="en-GB"/>
              </w:rPr>
              <w:t>Indicates that the UE shall include the best neighbour cells per serving frequency.</w:t>
            </w:r>
          </w:p>
        </w:tc>
      </w:tr>
      <w:tr w:rsidR="005C7FF4" w:rsidRPr="00FA0D37"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394471" w:rsidRPr="00FA0D37" w:rsidRDefault="00394471" w:rsidP="00964CC4">
            <w:pPr>
              <w:pStyle w:val="TAL"/>
              <w:rPr>
                <w:b/>
                <w:i/>
                <w:szCs w:val="22"/>
                <w:lang w:eastAsia="en-GB"/>
              </w:rPr>
            </w:pPr>
            <w:r w:rsidRPr="00FA0D37">
              <w:rPr>
                <w:b/>
                <w:i/>
                <w:szCs w:val="22"/>
                <w:lang w:eastAsia="en-GB"/>
              </w:rPr>
              <w:t>reportAmount</w:t>
            </w:r>
          </w:p>
          <w:p w14:paraId="5A97B6F1" w14:textId="77777777" w:rsidR="00394471" w:rsidRPr="00FA0D37" w:rsidRDefault="00394471" w:rsidP="00964CC4">
            <w:pPr>
              <w:pStyle w:val="TAL"/>
              <w:rPr>
                <w:b/>
                <w:i/>
                <w:szCs w:val="22"/>
                <w:lang w:eastAsia="en-GB"/>
              </w:rPr>
            </w:pPr>
            <w:r w:rsidRPr="00FA0D37">
              <w:rPr>
                <w:i/>
                <w:szCs w:val="22"/>
                <w:lang w:eastAsia="en-GB"/>
              </w:rPr>
              <w:t>Number</w:t>
            </w:r>
            <w:r w:rsidRPr="00FA0D37">
              <w:rPr>
                <w:szCs w:val="22"/>
                <w:lang w:eastAsia="en-GB"/>
              </w:rPr>
              <w:t xml:space="preserve"> of measurement reports applicable for </w:t>
            </w:r>
            <w:r w:rsidRPr="00FA0D37">
              <w:rPr>
                <w:i/>
                <w:szCs w:val="22"/>
                <w:lang w:eastAsia="en-GB"/>
              </w:rPr>
              <w:t>eventTriggered</w:t>
            </w:r>
            <w:r w:rsidRPr="00FA0D37">
              <w:rPr>
                <w:szCs w:val="22"/>
                <w:lang w:eastAsia="en-GB"/>
              </w:rPr>
              <w:t xml:space="preserve"> as well as for </w:t>
            </w:r>
            <w:r w:rsidRPr="00FA0D37">
              <w:rPr>
                <w:i/>
                <w:szCs w:val="22"/>
                <w:lang w:eastAsia="en-GB"/>
              </w:rPr>
              <w:t>periodical</w:t>
            </w:r>
            <w:r w:rsidRPr="00FA0D37">
              <w:rPr>
                <w:szCs w:val="22"/>
                <w:lang w:eastAsia="en-GB"/>
              </w:rPr>
              <w:t xml:space="preserve"> report types.</w:t>
            </w:r>
          </w:p>
        </w:tc>
      </w:tr>
      <w:tr w:rsidR="005C7FF4" w:rsidRPr="00FA0D37"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394471" w:rsidRPr="00FA0D37" w:rsidRDefault="00394471" w:rsidP="00964CC4">
            <w:pPr>
              <w:pStyle w:val="TAL"/>
              <w:rPr>
                <w:b/>
                <w:i/>
                <w:szCs w:val="22"/>
                <w:lang w:eastAsia="en-GB"/>
              </w:rPr>
            </w:pPr>
            <w:r w:rsidRPr="00FA0D37">
              <w:rPr>
                <w:b/>
                <w:i/>
                <w:szCs w:val="22"/>
                <w:lang w:eastAsia="en-GB"/>
              </w:rPr>
              <w:t>reportOnLeave</w:t>
            </w:r>
          </w:p>
          <w:p w14:paraId="5394CAF3" w14:textId="77777777" w:rsidR="00771058" w:rsidRPr="00FA0D37" w:rsidRDefault="00394471" w:rsidP="00771058">
            <w:pPr>
              <w:pStyle w:val="TAL"/>
              <w:rPr>
                <w:szCs w:val="22"/>
                <w:lang w:eastAsia="en-GB"/>
              </w:rPr>
            </w:pPr>
            <w:r w:rsidRPr="00FA0D37">
              <w:rPr>
                <w:szCs w:val="22"/>
                <w:lang w:eastAsia="en-GB"/>
              </w:rPr>
              <w:t xml:space="preserve">Indicates whether or not the UE shall initiate the measurement reporting procedure when the leaving condition is met for a cell in </w:t>
            </w:r>
            <w:r w:rsidRPr="00FA0D37">
              <w:rPr>
                <w:i/>
                <w:lang w:eastAsia="sv-SE"/>
              </w:rPr>
              <w:t>cellsTriggeredList</w:t>
            </w:r>
            <w:r w:rsidRPr="00FA0D37">
              <w:rPr>
                <w:szCs w:val="22"/>
                <w:lang w:eastAsia="en-GB"/>
              </w:rPr>
              <w:t>, as specified in 5.5.4.1.</w:t>
            </w:r>
          </w:p>
          <w:p w14:paraId="18F49648" w14:textId="0E3AB029" w:rsidR="00394471" w:rsidRPr="00FA0D37" w:rsidRDefault="00771058" w:rsidP="00771058">
            <w:pPr>
              <w:pStyle w:val="TAL"/>
              <w:rPr>
                <w:b/>
                <w:i/>
                <w:szCs w:val="22"/>
                <w:lang w:eastAsia="en-GB"/>
              </w:rPr>
            </w:pPr>
            <w:r w:rsidRPr="00FA0D37">
              <w:rPr>
                <w:szCs w:val="22"/>
                <w:lang w:eastAsia="en-GB"/>
              </w:rPr>
              <w:t xml:space="preserve">Indicates whether or not the UE shall initiate the measurement reporting procedure when the leaving condition is met if configured in </w:t>
            </w:r>
            <w:r w:rsidRPr="00FA0D37">
              <w:rPr>
                <w:i/>
                <w:szCs w:val="22"/>
                <w:lang w:eastAsia="en-GB"/>
              </w:rPr>
              <w:t>eventD1</w:t>
            </w:r>
            <w:r w:rsidRPr="00FA0D37">
              <w:rPr>
                <w:szCs w:val="22"/>
                <w:lang w:eastAsia="en-GB"/>
              </w:rPr>
              <w:t>, as specified in 5.5.4.1.</w:t>
            </w:r>
          </w:p>
        </w:tc>
      </w:tr>
      <w:tr w:rsidR="005C7FF4" w:rsidRPr="00FA0D37"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394471" w:rsidRPr="00FA0D37" w:rsidRDefault="00394471" w:rsidP="00964CC4">
            <w:pPr>
              <w:pStyle w:val="TAL"/>
              <w:rPr>
                <w:b/>
                <w:i/>
                <w:szCs w:val="22"/>
                <w:lang w:eastAsia="sv-SE"/>
              </w:rPr>
            </w:pPr>
            <w:r w:rsidRPr="00FA0D37">
              <w:rPr>
                <w:b/>
                <w:i/>
                <w:szCs w:val="22"/>
                <w:lang w:eastAsia="sv-SE"/>
              </w:rPr>
              <w:t>reportQuantityCell</w:t>
            </w:r>
          </w:p>
          <w:p w14:paraId="7C6D757C" w14:textId="77777777" w:rsidR="00394471" w:rsidRPr="00FA0D37" w:rsidRDefault="00394471" w:rsidP="00964CC4">
            <w:pPr>
              <w:pStyle w:val="TAL"/>
              <w:rPr>
                <w:b/>
                <w:i/>
                <w:szCs w:val="22"/>
                <w:lang w:eastAsia="en-GB"/>
              </w:rPr>
            </w:pPr>
            <w:r w:rsidRPr="00FA0D37">
              <w:rPr>
                <w:szCs w:val="22"/>
                <w:lang w:eastAsia="en-GB"/>
              </w:rPr>
              <w:t>The cell measurement quantities to be included in the measurement report.</w:t>
            </w:r>
          </w:p>
        </w:tc>
      </w:tr>
      <w:tr w:rsidR="005C7FF4" w:rsidRPr="00FA0D37"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394471" w:rsidRPr="00FA0D37" w:rsidRDefault="00394471" w:rsidP="00964CC4">
            <w:pPr>
              <w:pStyle w:val="TAL"/>
              <w:rPr>
                <w:b/>
                <w:i/>
                <w:szCs w:val="22"/>
                <w:lang w:eastAsia="sv-SE"/>
              </w:rPr>
            </w:pPr>
            <w:r w:rsidRPr="00FA0D37">
              <w:rPr>
                <w:b/>
                <w:i/>
                <w:szCs w:val="22"/>
                <w:lang w:eastAsia="sv-SE"/>
              </w:rPr>
              <w:t>reportQuantityRS-Indexes</w:t>
            </w:r>
          </w:p>
          <w:p w14:paraId="30DD3DDB" w14:textId="77777777" w:rsidR="00394471" w:rsidRPr="00FA0D37" w:rsidRDefault="00394471" w:rsidP="00964CC4">
            <w:pPr>
              <w:pStyle w:val="TAL"/>
              <w:rPr>
                <w:szCs w:val="22"/>
                <w:lang w:eastAsia="en-GB"/>
              </w:rPr>
            </w:pPr>
            <w:r w:rsidRPr="00FA0D37">
              <w:rPr>
                <w:szCs w:val="22"/>
                <w:lang w:eastAsia="en-GB"/>
              </w:rPr>
              <w:t>Indicates which measurement information per RS index the UE shall include in the measurement report.</w:t>
            </w:r>
          </w:p>
        </w:tc>
      </w:tr>
      <w:tr w:rsidR="005C7FF4" w:rsidRPr="00FA0D37"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394471" w:rsidRPr="00FA0D37" w:rsidRDefault="00394471" w:rsidP="00964CC4">
            <w:pPr>
              <w:pStyle w:val="TAL"/>
              <w:rPr>
                <w:b/>
                <w:i/>
                <w:szCs w:val="22"/>
                <w:lang w:eastAsia="en-GB"/>
              </w:rPr>
            </w:pPr>
            <w:r w:rsidRPr="00FA0D37">
              <w:rPr>
                <w:b/>
                <w:i/>
                <w:szCs w:val="22"/>
                <w:lang w:eastAsia="en-GB"/>
              </w:rPr>
              <w:t>timeToTrigger</w:t>
            </w:r>
          </w:p>
          <w:p w14:paraId="4CCC2AA4" w14:textId="77777777" w:rsidR="00394471" w:rsidRPr="00FA0D37" w:rsidRDefault="00394471" w:rsidP="00964CC4">
            <w:pPr>
              <w:pStyle w:val="TAL"/>
              <w:rPr>
                <w:b/>
                <w:i/>
                <w:szCs w:val="22"/>
                <w:lang w:eastAsia="sv-SE"/>
              </w:rPr>
            </w:pPr>
            <w:r w:rsidRPr="00FA0D37">
              <w:rPr>
                <w:szCs w:val="22"/>
                <w:lang w:eastAsia="en-GB"/>
              </w:rPr>
              <w:t>Time during which specific criteria for the event needs to be met in order to trigger a measurement report.</w:t>
            </w:r>
          </w:p>
        </w:tc>
      </w:tr>
      <w:tr w:rsidR="005C7FF4" w:rsidRPr="00FA0D37"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5B6C6E" w:rsidRPr="00FA0D37" w:rsidRDefault="005B6C6E" w:rsidP="005B6C6E">
            <w:pPr>
              <w:pStyle w:val="TAL"/>
              <w:rPr>
                <w:b/>
                <w:bCs/>
                <w:i/>
                <w:iCs/>
                <w:lang w:eastAsia="ko-KR"/>
              </w:rPr>
            </w:pPr>
            <w:r w:rsidRPr="00FA0D37">
              <w:rPr>
                <w:b/>
                <w:bCs/>
                <w:i/>
                <w:iCs/>
                <w:lang w:eastAsia="ko-KR"/>
              </w:rPr>
              <w:t>useAllowedCellList</w:t>
            </w:r>
          </w:p>
          <w:p w14:paraId="47549925" w14:textId="77777777" w:rsidR="005B6C6E" w:rsidRPr="00FA0D37" w:rsidRDefault="005B6C6E" w:rsidP="000830BB">
            <w:pPr>
              <w:pStyle w:val="TAL"/>
              <w:rPr>
                <w:bCs/>
                <w:noProof/>
                <w:lang w:eastAsia="sv-SE"/>
              </w:rPr>
            </w:pPr>
            <w:r w:rsidRPr="00FA0D37">
              <w:rPr>
                <w:lang w:eastAsia="ko-KR"/>
              </w:rPr>
              <w:t>Indicates whether only the cells included in the allow-list of the associated measObject are applicable as specified in 5.5.4.1.</w:t>
            </w:r>
          </w:p>
        </w:tc>
      </w:tr>
      <w:tr w:rsidR="005C7FF4" w:rsidRPr="00FA0D37"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394471" w:rsidRPr="00FA0D37" w:rsidRDefault="00394471" w:rsidP="00964CC4">
            <w:pPr>
              <w:keepNext/>
              <w:keepLines/>
              <w:spacing w:after="0"/>
              <w:ind w:rightChars="-617" w:right="-1234"/>
              <w:rPr>
                <w:rFonts w:eastAsia="宋体"/>
                <w:noProof/>
                <w:lang w:eastAsia="sv-SE"/>
              </w:rPr>
            </w:pPr>
            <w:r w:rsidRPr="00FA0D37">
              <w:rPr>
                <w:rFonts w:ascii="Arial" w:hAnsi="Arial"/>
                <w:b/>
                <w:bCs/>
                <w:i/>
                <w:noProof/>
                <w:sz w:val="18"/>
                <w:lang w:eastAsia="sv-SE"/>
              </w:rPr>
              <w:t>useT312</w:t>
            </w:r>
          </w:p>
          <w:p w14:paraId="3D2B17DF" w14:textId="77777777" w:rsidR="00394471" w:rsidRPr="00FA0D37" w:rsidRDefault="00394471" w:rsidP="00964CC4">
            <w:pPr>
              <w:pStyle w:val="TAL"/>
              <w:rPr>
                <w:b/>
                <w:i/>
                <w:szCs w:val="22"/>
                <w:lang w:eastAsia="en-GB"/>
              </w:rPr>
            </w:pPr>
            <w:r w:rsidRPr="00FA0D37">
              <w:rPr>
                <w:noProof/>
                <w:lang w:eastAsia="ko-KR"/>
              </w:rPr>
              <w:t xml:space="preserve">If value </w:t>
            </w:r>
            <w:r w:rsidRPr="00FA0D37">
              <w:rPr>
                <w:i/>
                <w:noProof/>
                <w:lang w:eastAsia="ko-KR"/>
              </w:rPr>
              <w:t>TRUE</w:t>
            </w:r>
            <w:r w:rsidRPr="00FA0D37">
              <w:rPr>
                <w:noProof/>
                <w:lang w:eastAsia="ko-KR"/>
              </w:rPr>
              <w:t xml:space="preserve"> is configured, the UE shall use the timer T312 with the value </w:t>
            </w:r>
            <w:r w:rsidRPr="00FA0D37">
              <w:rPr>
                <w:i/>
                <w:noProof/>
                <w:lang w:eastAsia="ko-KR"/>
              </w:rPr>
              <w:t>t312</w:t>
            </w:r>
            <w:r w:rsidRPr="00FA0D37">
              <w:rPr>
                <w:noProof/>
                <w:lang w:eastAsia="ko-KR"/>
              </w:rPr>
              <w:t xml:space="preserve"> as specified in the corresponding </w:t>
            </w:r>
            <w:r w:rsidRPr="00FA0D37">
              <w:rPr>
                <w:i/>
                <w:lang w:eastAsia="en-GB"/>
              </w:rPr>
              <w:t>measObjectNR</w:t>
            </w:r>
            <w:r w:rsidRPr="00FA0D37">
              <w:rPr>
                <w:noProof/>
                <w:lang w:eastAsia="ko-KR"/>
              </w:rPr>
              <w:t xml:space="preserve">. If value FALSE is configured, the timer T312 is considered as disabled. </w:t>
            </w:r>
            <w:r w:rsidRPr="00FA0D37">
              <w:rPr>
                <w:rFonts w:eastAsia="Malgun Gothic"/>
                <w:lang w:eastAsia="ko-KR"/>
              </w:rPr>
              <w:t>Network</w:t>
            </w:r>
            <w:r w:rsidRPr="00FA0D37">
              <w:rPr>
                <w:lang w:eastAsia="en-GB"/>
              </w:rPr>
              <w:t xml:space="preserve"> configures </w:t>
            </w:r>
            <w:r w:rsidRPr="00FA0D37">
              <w:rPr>
                <w:noProof/>
                <w:lang w:eastAsia="ko-KR"/>
              </w:rPr>
              <w:t xml:space="preserve">value </w:t>
            </w:r>
            <w:r w:rsidRPr="00FA0D37">
              <w:rPr>
                <w:i/>
                <w:noProof/>
                <w:lang w:eastAsia="ko-KR"/>
              </w:rPr>
              <w:t>TRUE</w:t>
            </w:r>
            <w:r w:rsidRPr="00FA0D37">
              <w:rPr>
                <w:noProof/>
                <w:lang w:eastAsia="ko-KR"/>
              </w:rPr>
              <w:t xml:space="preserve"> </w:t>
            </w:r>
            <w:r w:rsidRPr="00FA0D37">
              <w:rPr>
                <w:lang w:eastAsia="en-GB"/>
              </w:rPr>
              <w:t xml:space="preserve">only if </w:t>
            </w:r>
            <w:r w:rsidRPr="00FA0D37">
              <w:rPr>
                <w:i/>
                <w:lang w:eastAsia="sv-SE"/>
              </w:rPr>
              <w:t>reportType</w:t>
            </w:r>
            <w:r w:rsidRPr="00FA0D37">
              <w:rPr>
                <w:lang w:eastAsia="sv-SE"/>
              </w:rPr>
              <w:t xml:space="preserve"> </w:t>
            </w:r>
            <w:r w:rsidRPr="00FA0D37">
              <w:rPr>
                <w:lang w:eastAsia="en-GB"/>
              </w:rPr>
              <w:t xml:space="preserve">is set to </w:t>
            </w:r>
            <w:r w:rsidRPr="00FA0D37">
              <w:rPr>
                <w:i/>
                <w:lang w:eastAsia="sv-SE"/>
              </w:rPr>
              <w:t>eventTriggered</w:t>
            </w:r>
            <w:r w:rsidRPr="00FA0D37">
              <w:rPr>
                <w:lang w:eastAsia="en-GB"/>
              </w:rPr>
              <w:t>.</w:t>
            </w:r>
          </w:p>
        </w:tc>
      </w:tr>
      <w:tr w:rsidR="000830BB" w:rsidRPr="00FA0D37"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BD2D2B" w:rsidRPr="00FA0D37" w:rsidRDefault="00BD2D2B" w:rsidP="00BD2D2B">
            <w:pPr>
              <w:pStyle w:val="TAL"/>
              <w:rPr>
                <w:b/>
                <w:i/>
                <w:szCs w:val="22"/>
                <w:lang w:eastAsia="ko-KR"/>
              </w:rPr>
            </w:pPr>
            <w:r w:rsidRPr="00FA0D37">
              <w:rPr>
                <w:b/>
                <w:i/>
                <w:szCs w:val="22"/>
                <w:lang w:eastAsia="ko-KR"/>
              </w:rPr>
              <w:lastRenderedPageBreak/>
              <w:t>xN-ThresholdM</w:t>
            </w:r>
          </w:p>
          <w:p w14:paraId="144B34B0" w14:textId="3F2E54EC" w:rsidR="00BD2D2B" w:rsidRPr="00FA0D37" w:rsidDel="005B6C6E" w:rsidRDefault="00BD2D2B" w:rsidP="00BD2D2B">
            <w:pPr>
              <w:pStyle w:val="TAL"/>
              <w:rPr>
                <w:bCs/>
                <w:iCs/>
                <w:szCs w:val="22"/>
                <w:lang w:eastAsia="ko-KR"/>
              </w:rPr>
            </w:pPr>
            <w:r w:rsidRPr="00FA0D37">
              <w:rPr>
                <w:bCs/>
                <w:iCs/>
                <w:szCs w:val="22"/>
                <w:lang w:eastAsia="ko-KR"/>
              </w:rPr>
              <w:t>Threshold value associated to the selected trigger quantity (e.g. RSRP, RSRQ, SINR) per RS Type (e.g. SS/PBCH block, CSI-RS) to be used in NR measurement report triggering condition for event xN. If multiple thresholds are defined for event number xN, the thresholds are differentiated by M. x1-Threshold1 and x2-Threshold indicates the threshold value for the serving L2 U2N Relay UE, x1-Threshold2 indicates the threshold value for the NR Cells.</w:t>
            </w:r>
          </w:p>
        </w:tc>
      </w:tr>
    </w:tbl>
    <w:p w14:paraId="073FA6E6" w14:textId="77777777" w:rsidR="00394471" w:rsidRPr="00FA0D3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FA0D37" w:rsidRDefault="00394471" w:rsidP="00964CC4">
            <w:pPr>
              <w:pStyle w:val="TAH"/>
              <w:rPr>
                <w:szCs w:val="22"/>
                <w:lang w:eastAsia="sv-SE"/>
              </w:rPr>
            </w:pPr>
            <w:r w:rsidRPr="00FA0D37">
              <w:rPr>
                <w:i/>
                <w:szCs w:val="22"/>
                <w:lang w:eastAsia="sv-SE"/>
              </w:rPr>
              <w:t xml:space="preserve">CLI-EventTriggerConfig </w:t>
            </w:r>
            <w:r w:rsidRPr="00FA0D37">
              <w:rPr>
                <w:szCs w:val="22"/>
                <w:lang w:eastAsia="sv-SE"/>
              </w:rPr>
              <w:t>field descriptions</w:t>
            </w:r>
          </w:p>
        </w:tc>
      </w:tr>
      <w:tr w:rsidR="005C7FF4" w:rsidRPr="00FA0D37"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FA0D37" w:rsidRDefault="00394471" w:rsidP="00964CC4">
            <w:pPr>
              <w:pStyle w:val="TAL"/>
              <w:rPr>
                <w:b/>
                <w:i/>
                <w:szCs w:val="22"/>
                <w:lang w:eastAsia="ko-KR"/>
              </w:rPr>
            </w:pPr>
            <w:r w:rsidRPr="00FA0D37">
              <w:rPr>
                <w:b/>
                <w:i/>
                <w:szCs w:val="22"/>
                <w:lang w:eastAsia="ko-KR"/>
              </w:rPr>
              <w:t>i1-Threshold</w:t>
            </w:r>
          </w:p>
          <w:p w14:paraId="207F64F1" w14:textId="77777777" w:rsidR="00394471" w:rsidRPr="00FA0D37" w:rsidRDefault="00394471" w:rsidP="00964CC4">
            <w:pPr>
              <w:pStyle w:val="TAL"/>
              <w:rPr>
                <w:b/>
                <w:i/>
                <w:szCs w:val="22"/>
                <w:lang w:eastAsia="en-GB"/>
              </w:rPr>
            </w:pPr>
            <w:r w:rsidRPr="00FA0D37">
              <w:rPr>
                <w:szCs w:val="22"/>
                <w:lang w:eastAsia="ko-KR"/>
              </w:rPr>
              <w:t>Threshold value associated to the selected trigger quantity (e.g. SRS-RSRP, CLI-RSSI) to be used in CLI measurement report triggering condition for event i1.</w:t>
            </w:r>
          </w:p>
        </w:tc>
      </w:tr>
      <w:tr w:rsidR="005C7FF4" w:rsidRPr="00FA0D37"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FA0D37" w:rsidRDefault="00394471" w:rsidP="00964CC4">
            <w:pPr>
              <w:pStyle w:val="TAL"/>
              <w:rPr>
                <w:b/>
                <w:i/>
                <w:szCs w:val="22"/>
                <w:lang w:eastAsia="en-GB"/>
              </w:rPr>
            </w:pPr>
            <w:r w:rsidRPr="00FA0D37">
              <w:rPr>
                <w:b/>
                <w:i/>
                <w:szCs w:val="22"/>
                <w:lang w:eastAsia="en-GB"/>
              </w:rPr>
              <w:t>eventId</w:t>
            </w:r>
          </w:p>
          <w:p w14:paraId="7243AF7E" w14:textId="77777777" w:rsidR="00394471" w:rsidRPr="00FA0D37" w:rsidRDefault="00394471" w:rsidP="00964CC4">
            <w:pPr>
              <w:pStyle w:val="TAL"/>
              <w:rPr>
                <w:szCs w:val="22"/>
                <w:lang w:eastAsia="sv-SE"/>
              </w:rPr>
            </w:pPr>
            <w:r w:rsidRPr="00FA0D37">
              <w:rPr>
                <w:szCs w:val="22"/>
                <w:lang w:eastAsia="en-GB"/>
              </w:rPr>
              <w:t>Choice of CLI event triggered reporting criteria.</w:t>
            </w:r>
          </w:p>
        </w:tc>
      </w:tr>
      <w:tr w:rsidR="005C7FF4" w:rsidRPr="00FA0D37"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FA0D37" w:rsidRDefault="00394471" w:rsidP="00964CC4">
            <w:pPr>
              <w:pStyle w:val="TAL"/>
              <w:rPr>
                <w:b/>
                <w:i/>
                <w:szCs w:val="22"/>
                <w:lang w:eastAsia="en-GB"/>
              </w:rPr>
            </w:pPr>
            <w:r w:rsidRPr="00FA0D37">
              <w:rPr>
                <w:b/>
                <w:i/>
                <w:szCs w:val="22"/>
                <w:lang w:eastAsia="en-GB"/>
              </w:rPr>
              <w:t>maxReportCLI</w:t>
            </w:r>
          </w:p>
          <w:p w14:paraId="49131389" w14:textId="77777777" w:rsidR="00394471" w:rsidRPr="00FA0D37" w:rsidRDefault="00394471" w:rsidP="00964CC4">
            <w:pPr>
              <w:pStyle w:val="TAL"/>
              <w:rPr>
                <w:szCs w:val="22"/>
                <w:lang w:eastAsia="sv-SE"/>
              </w:rPr>
            </w:pPr>
            <w:r w:rsidRPr="00FA0D37">
              <w:rPr>
                <w:szCs w:val="22"/>
                <w:lang w:eastAsia="en-GB"/>
              </w:rPr>
              <w:t xml:space="preserve">Max number of </w:t>
            </w:r>
            <w:r w:rsidRPr="00FA0D37">
              <w:rPr>
                <w:szCs w:val="22"/>
                <w:lang w:eastAsia="sv-SE"/>
              </w:rPr>
              <w:t>CLI measurement</w:t>
            </w:r>
            <w:r w:rsidRPr="00FA0D37">
              <w:rPr>
                <w:szCs w:val="22"/>
                <w:lang w:eastAsia="en-GB"/>
              </w:rPr>
              <w:t xml:space="preserve"> resource to include in the measurement report.</w:t>
            </w:r>
          </w:p>
        </w:tc>
      </w:tr>
      <w:tr w:rsidR="005C7FF4" w:rsidRPr="00FA0D37"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FA0D37" w:rsidRDefault="00394471" w:rsidP="00964CC4">
            <w:pPr>
              <w:pStyle w:val="TAL"/>
              <w:rPr>
                <w:b/>
                <w:i/>
                <w:szCs w:val="22"/>
                <w:lang w:eastAsia="en-GB"/>
              </w:rPr>
            </w:pPr>
            <w:r w:rsidRPr="00FA0D37">
              <w:rPr>
                <w:b/>
                <w:i/>
                <w:szCs w:val="22"/>
                <w:lang w:eastAsia="en-GB"/>
              </w:rPr>
              <w:t>reportAmount</w:t>
            </w:r>
          </w:p>
          <w:p w14:paraId="7781E0C1" w14:textId="77777777" w:rsidR="00394471" w:rsidRPr="00FA0D37" w:rsidRDefault="00394471" w:rsidP="00964CC4">
            <w:pPr>
              <w:pStyle w:val="TAL"/>
              <w:rPr>
                <w:b/>
                <w:i/>
                <w:szCs w:val="22"/>
                <w:lang w:eastAsia="en-GB"/>
              </w:rPr>
            </w:pPr>
            <w:r w:rsidRPr="00FA0D37">
              <w:rPr>
                <w:i/>
                <w:szCs w:val="22"/>
                <w:lang w:eastAsia="en-GB"/>
              </w:rPr>
              <w:t>Number</w:t>
            </w:r>
            <w:r w:rsidRPr="00FA0D37">
              <w:rPr>
                <w:szCs w:val="22"/>
                <w:lang w:eastAsia="en-GB"/>
              </w:rPr>
              <w:t xml:space="preserve"> of measurement reports.</w:t>
            </w:r>
          </w:p>
        </w:tc>
      </w:tr>
      <w:tr w:rsidR="005C7FF4" w:rsidRPr="00FA0D37"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FA0D37" w:rsidRDefault="00394471" w:rsidP="00964CC4">
            <w:pPr>
              <w:pStyle w:val="TAL"/>
              <w:rPr>
                <w:b/>
                <w:i/>
                <w:szCs w:val="22"/>
                <w:lang w:eastAsia="en-GB"/>
              </w:rPr>
            </w:pPr>
            <w:r w:rsidRPr="00FA0D37">
              <w:rPr>
                <w:b/>
                <w:i/>
                <w:szCs w:val="22"/>
                <w:lang w:eastAsia="en-GB"/>
              </w:rPr>
              <w:t>reportOnLeave</w:t>
            </w:r>
          </w:p>
          <w:p w14:paraId="67B89210" w14:textId="77777777" w:rsidR="00394471" w:rsidRPr="00FA0D37" w:rsidRDefault="00394471" w:rsidP="00964CC4">
            <w:pPr>
              <w:pStyle w:val="TAL"/>
              <w:rPr>
                <w:b/>
                <w:i/>
                <w:szCs w:val="22"/>
                <w:lang w:eastAsia="en-GB"/>
              </w:rPr>
            </w:pPr>
            <w:r w:rsidRPr="00FA0D37">
              <w:rPr>
                <w:szCs w:val="22"/>
                <w:lang w:eastAsia="en-GB"/>
              </w:rPr>
              <w:t xml:space="preserve">Indicates whether or not the UE shall initiate the measurement reporting procedure when the leaving condition is met for a CLI measurement resource in </w:t>
            </w:r>
            <w:r w:rsidRPr="00FA0D37">
              <w:rPr>
                <w:i/>
                <w:lang w:eastAsia="sv-SE"/>
              </w:rPr>
              <w:t xml:space="preserve">srsTriggeredList </w:t>
            </w:r>
            <w:r w:rsidRPr="00FA0D37">
              <w:rPr>
                <w:lang w:eastAsia="sv-SE"/>
              </w:rPr>
              <w:t>or</w:t>
            </w:r>
            <w:r w:rsidRPr="00FA0D37">
              <w:rPr>
                <w:i/>
                <w:lang w:eastAsia="sv-SE"/>
              </w:rPr>
              <w:t xml:space="preserve"> rssiTriggeredList</w:t>
            </w:r>
            <w:r w:rsidRPr="00FA0D37">
              <w:rPr>
                <w:szCs w:val="22"/>
                <w:lang w:eastAsia="en-GB"/>
              </w:rPr>
              <w:t>, as specified in 5.5.4.1.</w:t>
            </w:r>
          </w:p>
        </w:tc>
      </w:tr>
      <w:tr w:rsidR="00394471" w:rsidRPr="00FA0D37"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FA0D37" w:rsidRDefault="00394471" w:rsidP="00964CC4">
            <w:pPr>
              <w:pStyle w:val="TAL"/>
              <w:rPr>
                <w:b/>
                <w:i/>
                <w:szCs w:val="22"/>
                <w:lang w:eastAsia="en-GB"/>
              </w:rPr>
            </w:pPr>
            <w:r w:rsidRPr="00FA0D37">
              <w:rPr>
                <w:b/>
                <w:i/>
                <w:szCs w:val="22"/>
                <w:lang w:eastAsia="en-GB"/>
              </w:rPr>
              <w:t>timeToTrigger</w:t>
            </w:r>
          </w:p>
          <w:p w14:paraId="0039274A" w14:textId="77777777" w:rsidR="00394471" w:rsidRPr="00FA0D37" w:rsidRDefault="00394471" w:rsidP="00964CC4">
            <w:pPr>
              <w:pStyle w:val="TAL"/>
              <w:rPr>
                <w:b/>
                <w:i/>
                <w:szCs w:val="22"/>
                <w:lang w:eastAsia="sv-SE"/>
              </w:rPr>
            </w:pPr>
            <w:r w:rsidRPr="00FA0D37">
              <w:rPr>
                <w:szCs w:val="22"/>
                <w:lang w:eastAsia="en-GB"/>
              </w:rPr>
              <w:t>Time during which specific criteria for the event needs to be met in order to trigger a measurement report.</w:t>
            </w:r>
          </w:p>
        </w:tc>
      </w:tr>
    </w:tbl>
    <w:p w14:paraId="71D8C26E" w14:textId="77777777" w:rsidR="00394471" w:rsidRPr="00FA0D3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FA0D37" w:rsidRDefault="00394471" w:rsidP="00964CC4">
            <w:pPr>
              <w:pStyle w:val="TAH"/>
              <w:rPr>
                <w:szCs w:val="22"/>
                <w:lang w:eastAsia="sv-SE"/>
              </w:rPr>
            </w:pPr>
            <w:r w:rsidRPr="00FA0D37">
              <w:rPr>
                <w:i/>
                <w:szCs w:val="22"/>
                <w:lang w:eastAsia="sv-SE"/>
              </w:rPr>
              <w:t xml:space="preserve">CLI-PeriodicalReportConfig </w:t>
            </w:r>
            <w:r w:rsidRPr="00FA0D37">
              <w:rPr>
                <w:szCs w:val="22"/>
                <w:lang w:eastAsia="sv-SE"/>
              </w:rPr>
              <w:t>field descriptions</w:t>
            </w:r>
          </w:p>
        </w:tc>
      </w:tr>
      <w:tr w:rsidR="005C7FF4" w:rsidRPr="00FA0D37"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FA0D37" w:rsidRDefault="00394471" w:rsidP="00964CC4">
            <w:pPr>
              <w:pStyle w:val="TAL"/>
              <w:rPr>
                <w:b/>
                <w:i/>
                <w:szCs w:val="22"/>
                <w:lang w:eastAsia="en-GB"/>
              </w:rPr>
            </w:pPr>
            <w:r w:rsidRPr="00FA0D37">
              <w:rPr>
                <w:b/>
                <w:i/>
                <w:szCs w:val="22"/>
                <w:lang w:eastAsia="en-GB"/>
              </w:rPr>
              <w:t>maxReportCLI</w:t>
            </w:r>
          </w:p>
          <w:p w14:paraId="277403D8" w14:textId="77777777" w:rsidR="00394471" w:rsidRPr="00FA0D37" w:rsidRDefault="00394471" w:rsidP="00964CC4">
            <w:pPr>
              <w:pStyle w:val="TAL"/>
              <w:rPr>
                <w:szCs w:val="22"/>
                <w:lang w:eastAsia="sv-SE"/>
              </w:rPr>
            </w:pPr>
            <w:r w:rsidRPr="00FA0D37">
              <w:rPr>
                <w:szCs w:val="22"/>
                <w:lang w:eastAsia="en-GB"/>
              </w:rPr>
              <w:t xml:space="preserve">Max number of </w:t>
            </w:r>
            <w:r w:rsidRPr="00FA0D37">
              <w:rPr>
                <w:szCs w:val="22"/>
                <w:lang w:eastAsia="sv-SE"/>
              </w:rPr>
              <w:t>CLI measurement</w:t>
            </w:r>
            <w:r w:rsidRPr="00FA0D37">
              <w:rPr>
                <w:szCs w:val="22"/>
                <w:lang w:eastAsia="en-GB"/>
              </w:rPr>
              <w:t xml:space="preserve"> resource to include in the measurement report.</w:t>
            </w:r>
          </w:p>
        </w:tc>
      </w:tr>
      <w:tr w:rsidR="005C7FF4" w:rsidRPr="00FA0D37"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FA0D37" w:rsidRDefault="00394471" w:rsidP="00964CC4">
            <w:pPr>
              <w:pStyle w:val="TAL"/>
              <w:rPr>
                <w:b/>
                <w:i/>
                <w:szCs w:val="22"/>
                <w:lang w:eastAsia="en-GB"/>
              </w:rPr>
            </w:pPr>
            <w:r w:rsidRPr="00FA0D37">
              <w:rPr>
                <w:b/>
                <w:i/>
                <w:szCs w:val="22"/>
                <w:lang w:eastAsia="en-GB"/>
              </w:rPr>
              <w:t>reportAmount</w:t>
            </w:r>
          </w:p>
          <w:p w14:paraId="2D2B7541" w14:textId="77777777" w:rsidR="00394471" w:rsidRPr="00FA0D37" w:rsidRDefault="00394471" w:rsidP="00964CC4">
            <w:pPr>
              <w:pStyle w:val="TAL"/>
              <w:rPr>
                <w:b/>
                <w:i/>
                <w:szCs w:val="22"/>
                <w:lang w:eastAsia="en-GB"/>
              </w:rPr>
            </w:pPr>
            <w:r w:rsidRPr="00FA0D37">
              <w:rPr>
                <w:i/>
                <w:szCs w:val="22"/>
                <w:lang w:eastAsia="en-GB"/>
              </w:rPr>
              <w:t>Number</w:t>
            </w:r>
            <w:r w:rsidRPr="00FA0D37">
              <w:rPr>
                <w:szCs w:val="22"/>
                <w:lang w:eastAsia="en-GB"/>
              </w:rPr>
              <w:t xml:space="preserve"> of measurement reports.</w:t>
            </w:r>
          </w:p>
        </w:tc>
      </w:tr>
      <w:tr w:rsidR="00394471" w:rsidRPr="00FA0D37"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FA0D37" w:rsidRDefault="00394471" w:rsidP="00964CC4">
            <w:pPr>
              <w:pStyle w:val="TAL"/>
              <w:rPr>
                <w:b/>
                <w:i/>
                <w:szCs w:val="22"/>
                <w:lang w:eastAsia="sv-SE"/>
              </w:rPr>
            </w:pPr>
            <w:r w:rsidRPr="00FA0D37">
              <w:rPr>
                <w:b/>
                <w:i/>
                <w:szCs w:val="22"/>
                <w:lang w:eastAsia="sv-SE"/>
              </w:rPr>
              <w:t>reportQuantityCLI</w:t>
            </w:r>
          </w:p>
          <w:p w14:paraId="13C468D8" w14:textId="77777777" w:rsidR="00394471" w:rsidRPr="00FA0D37" w:rsidRDefault="00394471" w:rsidP="00964CC4">
            <w:pPr>
              <w:pStyle w:val="TAL"/>
              <w:rPr>
                <w:b/>
                <w:i/>
                <w:szCs w:val="22"/>
                <w:lang w:eastAsia="en-GB"/>
              </w:rPr>
            </w:pPr>
            <w:r w:rsidRPr="00FA0D37">
              <w:rPr>
                <w:szCs w:val="22"/>
                <w:lang w:eastAsia="en-GB"/>
              </w:rPr>
              <w:t>The CLI measurement quantities to be included in the measurement report.</w:t>
            </w:r>
          </w:p>
        </w:tc>
      </w:tr>
    </w:tbl>
    <w:p w14:paraId="47CF193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FA0D37" w:rsidRDefault="00394471" w:rsidP="00964CC4">
            <w:pPr>
              <w:pStyle w:val="TAH"/>
              <w:rPr>
                <w:szCs w:val="22"/>
                <w:lang w:eastAsia="sv-SE"/>
              </w:rPr>
            </w:pPr>
            <w:r w:rsidRPr="00FA0D37">
              <w:rPr>
                <w:i/>
                <w:szCs w:val="22"/>
                <w:lang w:eastAsia="sv-SE"/>
              </w:rPr>
              <w:lastRenderedPageBreak/>
              <w:t xml:space="preserve">PeriodicalReportConfig </w:t>
            </w:r>
            <w:r w:rsidRPr="00FA0D37">
              <w:rPr>
                <w:szCs w:val="22"/>
                <w:lang w:eastAsia="sv-SE"/>
              </w:rPr>
              <w:t>field descriptions</w:t>
            </w:r>
          </w:p>
        </w:tc>
      </w:tr>
      <w:tr w:rsidR="005C7FF4" w:rsidRPr="00FA0D37"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FA0D37" w:rsidRDefault="00771058" w:rsidP="00F747EB">
            <w:pPr>
              <w:pStyle w:val="TAL"/>
              <w:rPr>
                <w:b/>
                <w:bCs/>
                <w:i/>
                <w:iCs/>
                <w:lang w:eastAsia="ko-KR"/>
              </w:rPr>
            </w:pPr>
            <w:r w:rsidRPr="00FA0D37">
              <w:rPr>
                <w:b/>
                <w:bCs/>
                <w:i/>
                <w:iCs/>
                <w:lang w:eastAsia="ko-KR"/>
              </w:rPr>
              <w:t>coarseLocationRequest</w:t>
            </w:r>
          </w:p>
          <w:p w14:paraId="4ACAF516" w14:textId="61340DFC" w:rsidR="00771058" w:rsidRPr="00FA0D37" w:rsidRDefault="00771058" w:rsidP="00F747EB">
            <w:pPr>
              <w:pStyle w:val="TAL"/>
              <w:rPr>
                <w:lang w:eastAsia="sv-SE"/>
              </w:rPr>
            </w:pPr>
            <w:r w:rsidRPr="00FA0D37">
              <w:rPr>
                <w:lang w:eastAsia="ko-KR"/>
              </w:rPr>
              <w:t>This field is used to request UE to report coarse location information.</w:t>
            </w:r>
          </w:p>
        </w:tc>
      </w:tr>
      <w:tr w:rsidR="005C7FF4" w:rsidRPr="00FA0D37"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FA0D37" w:rsidRDefault="00394471" w:rsidP="00964CC4">
            <w:pPr>
              <w:pStyle w:val="TAL"/>
              <w:rPr>
                <w:b/>
                <w:i/>
                <w:szCs w:val="22"/>
                <w:lang w:eastAsia="en-GB"/>
              </w:rPr>
            </w:pPr>
            <w:r w:rsidRPr="00FA0D37">
              <w:rPr>
                <w:b/>
                <w:i/>
                <w:szCs w:val="22"/>
                <w:lang w:eastAsia="en-GB"/>
              </w:rPr>
              <w:t>maxNrofRS-IndexesToReport</w:t>
            </w:r>
          </w:p>
          <w:p w14:paraId="5C9639E4" w14:textId="77777777" w:rsidR="00394471" w:rsidRPr="00FA0D37" w:rsidRDefault="00394471" w:rsidP="00964CC4">
            <w:pPr>
              <w:pStyle w:val="TAL"/>
              <w:rPr>
                <w:b/>
                <w:i/>
                <w:szCs w:val="22"/>
                <w:lang w:eastAsia="en-GB"/>
              </w:rPr>
            </w:pPr>
            <w:r w:rsidRPr="00FA0D37">
              <w:rPr>
                <w:szCs w:val="22"/>
                <w:lang w:eastAsia="en-GB"/>
              </w:rPr>
              <w:t>Max number of RS indexes to include in the measurement report.</w:t>
            </w:r>
          </w:p>
        </w:tc>
      </w:tr>
      <w:tr w:rsidR="005C7FF4" w:rsidRPr="00FA0D37"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FA0D37" w:rsidRDefault="00394471" w:rsidP="00964CC4">
            <w:pPr>
              <w:pStyle w:val="TAL"/>
              <w:rPr>
                <w:b/>
                <w:i/>
                <w:szCs w:val="22"/>
                <w:lang w:eastAsia="en-GB"/>
              </w:rPr>
            </w:pPr>
            <w:r w:rsidRPr="00FA0D37">
              <w:rPr>
                <w:b/>
                <w:i/>
                <w:szCs w:val="22"/>
                <w:lang w:eastAsia="en-GB"/>
              </w:rPr>
              <w:t>maxReportCells</w:t>
            </w:r>
          </w:p>
          <w:p w14:paraId="11AFA6D3" w14:textId="77777777" w:rsidR="00394471" w:rsidRPr="00FA0D37" w:rsidRDefault="00394471" w:rsidP="00964CC4">
            <w:pPr>
              <w:pStyle w:val="TAL"/>
              <w:rPr>
                <w:szCs w:val="22"/>
                <w:lang w:eastAsia="sv-SE"/>
              </w:rPr>
            </w:pPr>
            <w:r w:rsidRPr="00FA0D37">
              <w:rPr>
                <w:szCs w:val="22"/>
                <w:lang w:eastAsia="en-GB"/>
              </w:rPr>
              <w:t>Max number of non-serving cells to include in the measurement report.</w:t>
            </w:r>
          </w:p>
        </w:tc>
      </w:tr>
      <w:tr w:rsidR="005C7FF4" w:rsidRPr="00FA0D37"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FA0D37" w:rsidRDefault="00394471" w:rsidP="00964CC4">
            <w:pPr>
              <w:pStyle w:val="TAL"/>
              <w:rPr>
                <w:b/>
                <w:bCs/>
                <w:i/>
                <w:iCs/>
              </w:rPr>
            </w:pPr>
            <w:r w:rsidRPr="00FA0D37">
              <w:rPr>
                <w:b/>
                <w:bCs/>
                <w:i/>
                <w:iCs/>
              </w:rPr>
              <w:t>reportAddNeighMeas</w:t>
            </w:r>
          </w:p>
          <w:p w14:paraId="4F1D911B" w14:textId="77777777" w:rsidR="00394471" w:rsidRPr="00FA0D37" w:rsidRDefault="00394471" w:rsidP="00964CC4">
            <w:pPr>
              <w:pStyle w:val="TAL"/>
              <w:rPr>
                <w:b/>
                <w:i/>
                <w:szCs w:val="22"/>
                <w:lang w:eastAsia="en-GB"/>
              </w:rPr>
            </w:pPr>
            <w:r w:rsidRPr="00FA0D37">
              <w:rPr>
                <w:szCs w:val="22"/>
                <w:lang w:eastAsia="en-GB"/>
              </w:rPr>
              <w:t>Indicates that the UE shall include the best neighbour cells per serving frequency.</w:t>
            </w:r>
          </w:p>
        </w:tc>
      </w:tr>
      <w:tr w:rsidR="005C7FF4" w:rsidRPr="00FA0D37"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FA0D37" w:rsidRDefault="00394471" w:rsidP="00964CC4">
            <w:pPr>
              <w:pStyle w:val="TAL"/>
              <w:rPr>
                <w:b/>
                <w:i/>
                <w:szCs w:val="22"/>
                <w:lang w:eastAsia="en-GB"/>
              </w:rPr>
            </w:pPr>
            <w:r w:rsidRPr="00FA0D37">
              <w:rPr>
                <w:b/>
                <w:i/>
                <w:szCs w:val="22"/>
                <w:lang w:eastAsia="en-GB"/>
              </w:rPr>
              <w:t>reportAmount</w:t>
            </w:r>
          </w:p>
          <w:p w14:paraId="63E79E9E" w14:textId="77777777" w:rsidR="00394471" w:rsidRPr="00FA0D37" w:rsidRDefault="00394471" w:rsidP="00964CC4">
            <w:pPr>
              <w:pStyle w:val="TAL"/>
              <w:rPr>
                <w:b/>
                <w:i/>
                <w:szCs w:val="22"/>
                <w:lang w:eastAsia="en-GB"/>
              </w:rPr>
            </w:pPr>
            <w:r w:rsidRPr="00FA0D37">
              <w:rPr>
                <w:i/>
                <w:szCs w:val="22"/>
                <w:lang w:eastAsia="en-GB"/>
              </w:rPr>
              <w:t>Number</w:t>
            </w:r>
            <w:r w:rsidRPr="00FA0D37">
              <w:rPr>
                <w:szCs w:val="22"/>
                <w:lang w:eastAsia="en-GB"/>
              </w:rPr>
              <w:t xml:space="preserve"> of measurement reports applicable for </w:t>
            </w:r>
            <w:r w:rsidRPr="00FA0D37">
              <w:rPr>
                <w:i/>
                <w:szCs w:val="22"/>
                <w:lang w:eastAsia="en-GB"/>
              </w:rPr>
              <w:t>eventTriggered</w:t>
            </w:r>
            <w:r w:rsidRPr="00FA0D37">
              <w:rPr>
                <w:szCs w:val="22"/>
                <w:lang w:eastAsia="en-GB"/>
              </w:rPr>
              <w:t xml:space="preserve"> as well as for </w:t>
            </w:r>
            <w:r w:rsidRPr="00FA0D37">
              <w:rPr>
                <w:i/>
                <w:szCs w:val="22"/>
                <w:lang w:eastAsia="en-GB"/>
              </w:rPr>
              <w:t>periodical</w:t>
            </w:r>
            <w:r w:rsidRPr="00FA0D37">
              <w:rPr>
                <w:szCs w:val="22"/>
                <w:lang w:eastAsia="en-GB"/>
              </w:rPr>
              <w:t xml:space="preserve"> report types</w:t>
            </w:r>
          </w:p>
        </w:tc>
      </w:tr>
      <w:tr w:rsidR="005C7FF4" w:rsidRPr="00FA0D37"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FA0D37" w:rsidRDefault="00394471" w:rsidP="00964CC4">
            <w:pPr>
              <w:pStyle w:val="TAL"/>
              <w:rPr>
                <w:b/>
                <w:i/>
                <w:szCs w:val="22"/>
                <w:lang w:eastAsia="sv-SE"/>
              </w:rPr>
            </w:pPr>
            <w:r w:rsidRPr="00FA0D37">
              <w:rPr>
                <w:b/>
                <w:i/>
                <w:szCs w:val="22"/>
                <w:lang w:eastAsia="sv-SE"/>
              </w:rPr>
              <w:t>reportQuantityCell</w:t>
            </w:r>
          </w:p>
          <w:p w14:paraId="06F49AC2" w14:textId="77777777" w:rsidR="00394471" w:rsidRPr="00FA0D37" w:rsidRDefault="00394471" w:rsidP="00964CC4">
            <w:pPr>
              <w:pStyle w:val="TAL"/>
              <w:rPr>
                <w:b/>
                <w:i/>
                <w:szCs w:val="22"/>
                <w:lang w:eastAsia="en-GB"/>
              </w:rPr>
            </w:pPr>
            <w:r w:rsidRPr="00FA0D37">
              <w:rPr>
                <w:szCs w:val="22"/>
                <w:lang w:eastAsia="en-GB"/>
              </w:rPr>
              <w:t>The cell measurement quantities to be included in the measurement report.</w:t>
            </w:r>
          </w:p>
        </w:tc>
      </w:tr>
      <w:tr w:rsidR="005C7FF4" w:rsidRPr="00FA0D37"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FA0D37" w:rsidRDefault="00394471" w:rsidP="00964CC4">
            <w:pPr>
              <w:pStyle w:val="TAL"/>
              <w:rPr>
                <w:b/>
                <w:i/>
                <w:szCs w:val="22"/>
                <w:lang w:eastAsia="sv-SE"/>
              </w:rPr>
            </w:pPr>
            <w:r w:rsidRPr="00FA0D37">
              <w:rPr>
                <w:b/>
                <w:i/>
                <w:szCs w:val="22"/>
                <w:lang w:eastAsia="sv-SE"/>
              </w:rPr>
              <w:t>reportQuantityRS-Indexes</w:t>
            </w:r>
          </w:p>
          <w:p w14:paraId="4FEAC27B" w14:textId="77777777" w:rsidR="00394471" w:rsidRPr="00FA0D37" w:rsidRDefault="00394471" w:rsidP="00964CC4">
            <w:pPr>
              <w:pStyle w:val="TAL"/>
              <w:rPr>
                <w:b/>
                <w:i/>
                <w:szCs w:val="22"/>
                <w:lang w:eastAsia="sv-SE"/>
              </w:rPr>
            </w:pPr>
            <w:r w:rsidRPr="00FA0D37">
              <w:rPr>
                <w:szCs w:val="22"/>
                <w:lang w:eastAsia="en-GB"/>
              </w:rPr>
              <w:t>Indicates which measurement information per RS index the UE shall include in the measurement report.</w:t>
            </w:r>
          </w:p>
        </w:tc>
      </w:tr>
      <w:tr w:rsidR="005C7FF4" w:rsidRPr="00FA0D37"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FA0D37" w:rsidRDefault="00424C1A" w:rsidP="003B657B">
            <w:pPr>
              <w:pStyle w:val="TAL"/>
              <w:rPr>
                <w:rFonts w:eastAsia="等线"/>
                <w:b/>
                <w:i/>
                <w:szCs w:val="22"/>
                <w:lang w:eastAsia="sv-SE"/>
              </w:rPr>
            </w:pPr>
            <w:r w:rsidRPr="00FA0D37">
              <w:rPr>
                <w:b/>
                <w:i/>
                <w:szCs w:val="22"/>
                <w:lang w:eastAsia="ko-KR"/>
              </w:rPr>
              <w:t>ul-DelayValueConfig</w:t>
            </w:r>
          </w:p>
          <w:p w14:paraId="2DBD8ADE" w14:textId="0507CF76" w:rsidR="00424C1A" w:rsidRPr="00FA0D37" w:rsidRDefault="00424C1A" w:rsidP="003B657B">
            <w:pPr>
              <w:pStyle w:val="TAL"/>
              <w:rPr>
                <w:b/>
                <w:i/>
                <w:szCs w:val="22"/>
                <w:lang w:eastAsia="sv-SE"/>
              </w:rPr>
            </w:pPr>
            <w:r w:rsidRPr="00FA0D37">
              <w:rPr>
                <w:szCs w:val="22"/>
                <w:lang w:eastAsia="ko-KR"/>
              </w:rPr>
              <w:t xml:space="preserve">If the field is present, the UE shall perform the actual UL PDCP Packet Average Delay measurement per DRB as specified in TS 38.314 [53] and the UE shall ignore the fields </w:t>
            </w:r>
            <w:r w:rsidRPr="00FA0D37">
              <w:rPr>
                <w:i/>
                <w:lang w:eastAsia="sv-SE"/>
              </w:rPr>
              <w:t>reportQuantityCell</w:t>
            </w:r>
            <w:r w:rsidRPr="00FA0D37">
              <w:rPr>
                <w:szCs w:val="22"/>
                <w:lang w:eastAsia="ko-KR"/>
              </w:rPr>
              <w:t xml:space="preserve"> and </w:t>
            </w:r>
            <w:r w:rsidRPr="00FA0D37">
              <w:rPr>
                <w:i/>
                <w:szCs w:val="22"/>
                <w:lang w:eastAsia="ko-KR"/>
              </w:rPr>
              <w:t>maxReportCells</w:t>
            </w:r>
            <w:r w:rsidRPr="00FA0D37">
              <w:rPr>
                <w:szCs w:val="22"/>
                <w:lang w:eastAsia="ko-KR"/>
              </w:rPr>
              <w:t xml:space="preserve">. The applicable values for the corresponding </w:t>
            </w:r>
            <w:r w:rsidRPr="00FA0D37">
              <w:rPr>
                <w:i/>
                <w:szCs w:val="22"/>
                <w:lang w:eastAsia="ko-KR"/>
              </w:rPr>
              <w:t>reportInterval</w:t>
            </w:r>
            <w:r w:rsidRPr="00FA0D37">
              <w:rPr>
                <w:szCs w:val="22"/>
                <w:lang w:eastAsia="ko-KR"/>
              </w:rPr>
              <w:t xml:space="preserve"> are (one of the) {ms120, ms240, ms480, ms640, ms1024, ms2048, ms5120, ms10240, ms20480, ms40960, min1,min6, min12, min30}. The </w:t>
            </w:r>
            <w:r w:rsidRPr="00FA0D37">
              <w:rPr>
                <w:i/>
                <w:szCs w:val="22"/>
                <w:lang w:eastAsia="ko-KR"/>
              </w:rPr>
              <w:t>reportInterval</w:t>
            </w:r>
            <w:r w:rsidRPr="00FA0D37">
              <w:rPr>
                <w:szCs w:val="22"/>
                <w:lang w:eastAsia="ko-KR"/>
              </w:rPr>
              <w:t xml:space="preserve"> indicates the periodicity for performing and reporting of UL PDCP Packet Average Delay per DRB measurement as specified in TS 38.314 [53].</w:t>
            </w:r>
          </w:p>
        </w:tc>
      </w:tr>
      <w:tr w:rsidR="005C7FF4" w:rsidRPr="00FA0D37"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FA0D37" w:rsidRDefault="00E84B6D" w:rsidP="00771058">
            <w:pPr>
              <w:pStyle w:val="TAL"/>
              <w:rPr>
                <w:rFonts w:eastAsia="等线"/>
                <w:b/>
                <w:i/>
                <w:szCs w:val="22"/>
                <w:lang w:eastAsia="sv-SE"/>
              </w:rPr>
            </w:pPr>
            <w:r w:rsidRPr="00FA0D37">
              <w:rPr>
                <w:b/>
                <w:i/>
                <w:szCs w:val="22"/>
                <w:lang w:eastAsia="ko-KR"/>
              </w:rPr>
              <w:t>ul-ExcessDelayConfig</w:t>
            </w:r>
          </w:p>
          <w:p w14:paraId="511F75A1" w14:textId="77777777" w:rsidR="00E84B6D" w:rsidRPr="00FA0D37" w:rsidRDefault="00E84B6D" w:rsidP="00771058">
            <w:pPr>
              <w:pStyle w:val="TAL"/>
              <w:rPr>
                <w:b/>
                <w:i/>
                <w:szCs w:val="22"/>
                <w:lang w:eastAsia="ko-KR"/>
              </w:rPr>
            </w:pPr>
            <w:r w:rsidRPr="00FA0D37">
              <w:rPr>
                <w:szCs w:val="22"/>
                <w:lang w:eastAsia="ko-KR"/>
              </w:rPr>
              <w:t xml:space="preserve">If the field is present, the UE shall perform the actual </w:t>
            </w:r>
            <w:r w:rsidRPr="00FA0D37">
              <w:t>UL PDCP Excess Packet Delay per DRB measurement</w:t>
            </w:r>
            <w:r w:rsidRPr="00FA0D37">
              <w:rPr>
                <w:szCs w:val="22"/>
                <w:lang w:eastAsia="ko-KR"/>
              </w:rPr>
              <w:t xml:space="preserve"> as specified in TS 38.314 [53] and the UE shall ignore the fields </w:t>
            </w:r>
            <w:r w:rsidRPr="00FA0D37">
              <w:rPr>
                <w:i/>
                <w:lang w:eastAsia="sv-SE"/>
              </w:rPr>
              <w:t>reportQuantityCell</w:t>
            </w:r>
            <w:r w:rsidRPr="00FA0D37">
              <w:rPr>
                <w:szCs w:val="22"/>
                <w:lang w:eastAsia="ko-KR"/>
              </w:rPr>
              <w:t xml:space="preserve"> and </w:t>
            </w:r>
            <w:r w:rsidRPr="00FA0D37">
              <w:rPr>
                <w:i/>
                <w:szCs w:val="22"/>
                <w:lang w:eastAsia="ko-KR"/>
              </w:rPr>
              <w:t>maxReportCells</w:t>
            </w:r>
            <w:r w:rsidRPr="00FA0D37">
              <w:rPr>
                <w:szCs w:val="22"/>
                <w:lang w:eastAsia="ko-KR"/>
              </w:rPr>
              <w:t xml:space="preserve">. The applicable values for the corresponding </w:t>
            </w:r>
            <w:r w:rsidRPr="00FA0D37">
              <w:rPr>
                <w:i/>
                <w:szCs w:val="22"/>
                <w:lang w:eastAsia="ko-KR"/>
              </w:rPr>
              <w:t>reportInterval</w:t>
            </w:r>
            <w:r w:rsidRPr="00FA0D37">
              <w:rPr>
                <w:szCs w:val="22"/>
                <w:lang w:eastAsia="ko-KR"/>
              </w:rPr>
              <w:t xml:space="preserve"> are (one of the) {ms120, ms240, ms480, ms640, ms1024, ms2048, ms5120, ms10240, ms20480, ms40960, min1,min6, min12, min30}. The </w:t>
            </w:r>
            <w:r w:rsidRPr="00FA0D37">
              <w:rPr>
                <w:i/>
                <w:szCs w:val="22"/>
                <w:lang w:eastAsia="ko-KR"/>
              </w:rPr>
              <w:t>reportInterval</w:t>
            </w:r>
            <w:r w:rsidRPr="00FA0D37">
              <w:rPr>
                <w:szCs w:val="22"/>
                <w:lang w:eastAsia="ko-KR"/>
              </w:rPr>
              <w:t xml:space="preserve"> indicates the periodicity for performing and reporting of </w:t>
            </w:r>
            <w:r w:rsidRPr="00FA0D37">
              <w:t>UL PDCP Excess Packet Delay per DRB measurement</w:t>
            </w:r>
            <w:r w:rsidRPr="00FA0D37">
              <w:rPr>
                <w:szCs w:val="22"/>
                <w:lang w:eastAsia="ko-KR"/>
              </w:rPr>
              <w:t xml:space="preserve"> as specified in TS 38.314 [53].</w:t>
            </w:r>
          </w:p>
        </w:tc>
      </w:tr>
      <w:tr w:rsidR="00394471" w:rsidRPr="00FA0D37"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FA0D37" w:rsidRDefault="00394471" w:rsidP="00964CC4">
            <w:pPr>
              <w:pStyle w:val="TAL"/>
              <w:rPr>
                <w:b/>
                <w:i/>
                <w:szCs w:val="22"/>
                <w:lang w:eastAsia="ko-KR"/>
              </w:rPr>
            </w:pPr>
            <w:r w:rsidRPr="00FA0D37">
              <w:rPr>
                <w:b/>
                <w:i/>
                <w:szCs w:val="22"/>
                <w:lang w:eastAsia="ko-KR"/>
              </w:rPr>
              <w:t>use</w:t>
            </w:r>
            <w:r w:rsidR="005B6C6E" w:rsidRPr="00FA0D37">
              <w:rPr>
                <w:b/>
                <w:i/>
                <w:szCs w:val="22"/>
                <w:lang w:eastAsia="ko-KR"/>
              </w:rPr>
              <w:t>Allowed</w:t>
            </w:r>
            <w:r w:rsidRPr="00FA0D37">
              <w:rPr>
                <w:b/>
                <w:i/>
                <w:szCs w:val="22"/>
                <w:lang w:eastAsia="ko-KR"/>
              </w:rPr>
              <w:t>CellList</w:t>
            </w:r>
          </w:p>
          <w:p w14:paraId="13CA6F27" w14:textId="10FEB5FE" w:rsidR="00394471" w:rsidRPr="00FA0D37" w:rsidRDefault="00394471" w:rsidP="00964CC4">
            <w:pPr>
              <w:pStyle w:val="TAL"/>
              <w:rPr>
                <w:b/>
                <w:i/>
                <w:szCs w:val="22"/>
                <w:lang w:eastAsia="sv-SE"/>
              </w:rPr>
            </w:pPr>
            <w:r w:rsidRPr="00FA0D37">
              <w:rPr>
                <w:szCs w:val="22"/>
                <w:lang w:eastAsia="ko-KR"/>
              </w:rPr>
              <w:t xml:space="preserve">Indicates whether only the cells included in the </w:t>
            </w:r>
            <w:r w:rsidR="005B6C6E" w:rsidRPr="00FA0D37">
              <w:rPr>
                <w:szCs w:val="22"/>
                <w:lang w:eastAsia="ko-KR"/>
              </w:rPr>
              <w:t>allow</w:t>
            </w:r>
            <w:r w:rsidRPr="00FA0D37">
              <w:rPr>
                <w:szCs w:val="22"/>
                <w:lang w:eastAsia="ko-KR"/>
              </w:rPr>
              <w:t>-list of the associated measObject are applicable as specified in 5.5.4.1.</w:t>
            </w:r>
          </w:p>
        </w:tc>
      </w:tr>
    </w:tbl>
    <w:p w14:paraId="00A48EE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FA0D37" w:rsidRDefault="00394471" w:rsidP="00964CC4">
            <w:pPr>
              <w:pStyle w:val="TAH"/>
              <w:rPr>
                <w:szCs w:val="22"/>
                <w:lang w:eastAsia="sv-SE"/>
              </w:rPr>
            </w:pPr>
            <w:r w:rsidRPr="00FA0D37">
              <w:rPr>
                <w:i/>
                <w:szCs w:val="22"/>
                <w:lang w:eastAsia="sv-SE"/>
              </w:rPr>
              <w:lastRenderedPageBreak/>
              <w:t xml:space="preserve">ReportSFTD-NR </w:t>
            </w:r>
            <w:r w:rsidRPr="00FA0D37">
              <w:rPr>
                <w:szCs w:val="22"/>
                <w:lang w:eastAsia="sv-SE"/>
              </w:rPr>
              <w:t>field descriptions</w:t>
            </w:r>
          </w:p>
        </w:tc>
      </w:tr>
      <w:tr w:rsidR="005C7FF4" w:rsidRPr="00FA0D37"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FA0D37" w:rsidRDefault="00394471" w:rsidP="00964CC4">
            <w:pPr>
              <w:pStyle w:val="TAL"/>
              <w:rPr>
                <w:b/>
                <w:i/>
                <w:lang w:eastAsia="sv-SE"/>
              </w:rPr>
            </w:pPr>
            <w:r w:rsidRPr="00FA0D37">
              <w:rPr>
                <w:b/>
                <w:i/>
                <w:lang w:eastAsia="sv-SE"/>
              </w:rPr>
              <w:t>cellForWhichToReportSFTD</w:t>
            </w:r>
          </w:p>
          <w:p w14:paraId="614A8915" w14:textId="77777777" w:rsidR="00394471" w:rsidRPr="00FA0D37" w:rsidRDefault="00394471" w:rsidP="00964CC4">
            <w:pPr>
              <w:pStyle w:val="TAL"/>
              <w:rPr>
                <w:lang w:eastAsia="sv-SE"/>
              </w:rPr>
            </w:pPr>
            <w:r w:rsidRPr="00FA0D37">
              <w:rPr>
                <w:szCs w:val="22"/>
                <w:lang w:eastAsia="en-GB"/>
              </w:rPr>
              <w:t>Indicates the target NR neighbour cells for SFTD measurement between PCell and NR neighbour cells.</w:t>
            </w:r>
          </w:p>
        </w:tc>
      </w:tr>
      <w:tr w:rsidR="005C7FF4" w:rsidRPr="00FA0D37"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FA0D37" w:rsidRDefault="00394471" w:rsidP="00964CC4">
            <w:pPr>
              <w:pStyle w:val="TAL"/>
              <w:rPr>
                <w:b/>
                <w:i/>
                <w:lang w:eastAsia="sv-SE"/>
              </w:rPr>
            </w:pPr>
            <w:r w:rsidRPr="00FA0D37">
              <w:rPr>
                <w:b/>
                <w:i/>
                <w:lang w:eastAsia="sv-SE"/>
              </w:rPr>
              <w:t>drx-SFTD-NeighMeas</w:t>
            </w:r>
          </w:p>
          <w:p w14:paraId="7BB0E39B" w14:textId="77777777" w:rsidR="00394471" w:rsidRPr="00FA0D37" w:rsidRDefault="00394471" w:rsidP="00964CC4">
            <w:pPr>
              <w:pStyle w:val="TAL"/>
              <w:rPr>
                <w:lang w:eastAsia="sv-SE"/>
              </w:rPr>
            </w:pPr>
            <w:r w:rsidRPr="00FA0D37">
              <w:rPr>
                <w:szCs w:val="22"/>
                <w:lang w:eastAsia="en-GB"/>
              </w:rPr>
              <w:t xml:space="preserve">Indicates that the UE shall use available idle periods (i.e. DRX off periods) for the SFTD measurement in NR standalone. The network only includes </w:t>
            </w:r>
            <w:r w:rsidRPr="00FA0D37">
              <w:rPr>
                <w:i/>
                <w:szCs w:val="22"/>
                <w:lang w:eastAsia="en-GB"/>
              </w:rPr>
              <w:t>drx-SFTD-NeighMeas</w:t>
            </w:r>
            <w:r w:rsidRPr="00FA0D37">
              <w:rPr>
                <w:szCs w:val="22"/>
                <w:lang w:eastAsia="en-GB"/>
              </w:rPr>
              <w:t xml:space="preserve"> field when </w:t>
            </w:r>
            <w:r w:rsidRPr="00FA0D37">
              <w:rPr>
                <w:i/>
                <w:szCs w:val="22"/>
                <w:lang w:eastAsia="en-GB"/>
              </w:rPr>
              <w:t>reprtSFTD-NeighMeas</w:t>
            </w:r>
            <w:r w:rsidRPr="00FA0D37">
              <w:rPr>
                <w:szCs w:val="22"/>
                <w:lang w:eastAsia="en-GB"/>
              </w:rPr>
              <w:t xml:space="preserve"> is set to true.</w:t>
            </w:r>
          </w:p>
        </w:tc>
      </w:tr>
      <w:tr w:rsidR="005C7FF4" w:rsidRPr="00FA0D37"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FA0D37" w:rsidRDefault="00394471" w:rsidP="00964CC4">
            <w:pPr>
              <w:pStyle w:val="TAL"/>
              <w:rPr>
                <w:b/>
                <w:i/>
                <w:szCs w:val="22"/>
                <w:lang w:eastAsia="en-GB"/>
              </w:rPr>
            </w:pPr>
            <w:r w:rsidRPr="00FA0D37">
              <w:rPr>
                <w:b/>
                <w:i/>
                <w:szCs w:val="22"/>
                <w:lang w:eastAsia="en-GB"/>
              </w:rPr>
              <w:t>reportSFTD-Meas</w:t>
            </w:r>
          </w:p>
          <w:p w14:paraId="5E4EA8E7" w14:textId="77777777" w:rsidR="00394471" w:rsidRPr="00FA0D37" w:rsidRDefault="00394471" w:rsidP="00964CC4">
            <w:pPr>
              <w:pStyle w:val="TAL"/>
              <w:rPr>
                <w:b/>
                <w:i/>
                <w:szCs w:val="22"/>
                <w:lang w:eastAsia="en-GB"/>
              </w:rPr>
            </w:pPr>
            <w:r w:rsidRPr="00FA0D37">
              <w:rPr>
                <w:szCs w:val="22"/>
                <w:lang w:eastAsia="en-GB"/>
              </w:rPr>
              <w:t>Indicates whether UE is required to perform SFTD measurement between PCell and NR PSCell in NR-DC.</w:t>
            </w:r>
          </w:p>
        </w:tc>
      </w:tr>
      <w:tr w:rsidR="005C7FF4" w:rsidRPr="00FA0D37"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FA0D37" w:rsidRDefault="00394471" w:rsidP="00964CC4">
            <w:pPr>
              <w:pStyle w:val="TAL"/>
              <w:rPr>
                <w:b/>
                <w:i/>
                <w:lang w:eastAsia="sv-SE"/>
              </w:rPr>
            </w:pPr>
            <w:r w:rsidRPr="00FA0D37">
              <w:rPr>
                <w:b/>
                <w:i/>
                <w:lang w:eastAsia="sv-SE"/>
              </w:rPr>
              <w:t>reportSFTD-NeighMeas</w:t>
            </w:r>
          </w:p>
          <w:p w14:paraId="18314BBA" w14:textId="77777777" w:rsidR="00394471" w:rsidRPr="00FA0D37" w:rsidRDefault="00394471" w:rsidP="00964CC4">
            <w:pPr>
              <w:pStyle w:val="TAL"/>
              <w:rPr>
                <w:b/>
                <w:i/>
                <w:szCs w:val="22"/>
                <w:lang w:eastAsia="en-GB"/>
              </w:rPr>
            </w:pPr>
            <w:r w:rsidRPr="00FA0D37">
              <w:rPr>
                <w:szCs w:val="22"/>
                <w:lang w:eastAsia="en-GB"/>
              </w:rPr>
              <w:t xml:space="preserve">Indicates whether UE is required to perform SFTD measurement between PCell and NR neighbour cells in NR standalone. The network does not include this field if </w:t>
            </w:r>
            <w:r w:rsidRPr="00FA0D37">
              <w:rPr>
                <w:i/>
                <w:szCs w:val="22"/>
                <w:lang w:eastAsia="en-GB"/>
              </w:rPr>
              <w:t>reportSFTD-Meas</w:t>
            </w:r>
            <w:r w:rsidRPr="00FA0D37">
              <w:rPr>
                <w:szCs w:val="22"/>
                <w:lang w:eastAsia="en-GB"/>
              </w:rPr>
              <w:t xml:space="preserve"> is set to </w:t>
            </w:r>
            <w:r w:rsidRPr="00FA0D37">
              <w:rPr>
                <w:i/>
                <w:szCs w:val="22"/>
                <w:lang w:eastAsia="en-GB"/>
              </w:rPr>
              <w:t>true</w:t>
            </w:r>
            <w:r w:rsidRPr="00FA0D37">
              <w:rPr>
                <w:szCs w:val="22"/>
                <w:lang w:eastAsia="en-GB"/>
              </w:rPr>
              <w:t>.</w:t>
            </w:r>
          </w:p>
        </w:tc>
      </w:tr>
      <w:tr w:rsidR="00F747EB" w:rsidRPr="00FA0D37"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FA0D37" w:rsidRDefault="00394471" w:rsidP="00964CC4">
            <w:pPr>
              <w:pStyle w:val="TAL"/>
              <w:rPr>
                <w:b/>
                <w:i/>
                <w:szCs w:val="22"/>
                <w:lang w:eastAsia="en-GB"/>
              </w:rPr>
            </w:pPr>
            <w:r w:rsidRPr="00FA0D37">
              <w:rPr>
                <w:b/>
                <w:i/>
                <w:szCs w:val="22"/>
                <w:lang w:eastAsia="en-GB"/>
              </w:rPr>
              <w:t>reportRSRP</w:t>
            </w:r>
          </w:p>
          <w:p w14:paraId="6AF974CE" w14:textId="77777777" w:rsidR="00394471" w:rsidRPr="00FA0D37" w:rsidRDefault="00394471" w:rsidP="00964CC4">
            <w:pPr>
              <w:pStyle w:val="TAL"/>
              <w:rPr>
                <w:b/>
                <w:i/>
                <w:szCs w:val="22"/>
                <w:lang w:eastAsia="en-GB"/>
              </w:rPr>
            </w:pPr>
            <w:r w:rsidRPr="00FA0D37">
              <w:rPr>
                <w:szCs w:val="22"/>
                <w:lang w:eastAsia="en-GB"/>
              </w:rPr>
              <w:t>Indicates whether UE is required to include RSRP result of NR PSCell or NR neighbour cells in SFTD measurement result</w:t>
            </w:r>
            <w:r w:rsidRPr="00FA0D37">
              <w:rPr>
                <w:szCs w:val="22"/>
                <w:lang w:eastAsia="zh-CN"/>
              </w:rPr>
              <w:t xml:space="preserve">, </w:t>
            </w:r>
            <w:r w:rsidRPr="00FA0D37">
              <w:rPr>
                <w:rFonts w:eastAsia="MS PGothic"/>
                <w:lang w:eastAsia="sv-SE"/>
              </w:rPr>
              <w:t>derived based on SSB</w:t>
            </w:r>
            <w:r w:rsidRPr="00FA0D37">
              <w:rPr>
                <w:szCs w:val="22"/>
                <w:lang w:eastAsia="en-GB"/>
              </w:rPr>
              <w:t>.</w:t>
            </w:r>
            <w:r w:rsidRPr="00FA0D37">
              <w:rPr>
                <w:szCs w:val="22"/>
                <w:lang w:eastAsia="zh-CN"/>
              </w:rPr>
              <w:t xml:space="preserve"> If it is set to true, the network should ensure that </w:t>
            </w:r>
            <w:r w:rsidRPr="00FA0D37">
              <w:rPr>
                <w:i/>
                <w:lang w:eastAsia="sv-SE"/>
              </w:rPr>
              <w:t>ssb-ConfigMobility</w:t>
            </w:r>
            <w:r w:rsidRPr="00FA0D37">
              <w:rPr>
                <w:i/>
                <w:lang w:eastAsia="zh-CN"/>
              </w:rPr>
              <w:t xml:space="preserve"> </w:t>
            </w:r>
            <w:r w:rsidRPr="00FA0D37">
              <w:rPr>
                <w:lang w:eastAsia="zh-CN"/>
              </w:rPr>
              <w:t xml:space="preserve">is included </w:t>
            </w:r>
            <w:r w:rsidRPr="00FA0D37">
              <w:rPr>
                <w:szCs w:val="22"/>
                <w:lang w:eastAsia="zh-CN"/>
              </w:rPr>
              <w:t xml:space="preserve">in the measurement object for NR PSCell </w:t>
            </w:r>
            <w:r w:rsidRPr="00FA0D37">
              <w:rPr>
                <w:szCs w:val="22"/>
                <w:lang w:eastAsia="en-GB"/>
              </w:rPr>
              <w:t>or NR neighbour cells</w:t>
            </w:r>
            <w:r w:rsidRPr="00FA0D37">
              <w:rPr>
                <w:szCs w:val="22"/>
                <w:lang w:eastAsia="zh-CN"/>
              </w:rPr>
              <w:t>.</w:t>
            </w:r>
          </w:p>
        </w:tc>
      </w:tr>
    </w:tbl>
    <w:p w14:paraId="01A3DB7F" w14:textId="77777777" w:rsidR="00C36811" w:rsidRPr="00FA0D37" w:rsidRDefault="00C36811" w:rsidP="00C36811"/>
    <w:tbl>
      <w:tblPr>
        <w:tblStyle w:val="af8"/>
        <w:tblW w:w="14173" w:type="dxa"/>
        <w:tblInd w:w="0" w:type="dxa"/>
        <w:tblLook w:val="04A0" w:firstRow="1" w:lastRow="0" w:firstColumn="1" w:lastColumn="0" w:noHBand="0" w:noVBand="1"/>
      </w:tblPr>
      <w:tblGrid>
        <w:gridCol w:w="14173"/>
      </w:tblGrid>
      <w:tr w:rsidR="005C7FF4" w:rsidRPr="00FA0D37" w14:paraId="521C8235" w14:textId="77777777" w:rsidTr="0071565C">
        <w:tc>
          <w:tcPr>
            <w:tcW w:w="14173" w:type="dxa"/>
          </w:tcPr>
          <w:p w14:paraId="06284645" w14:textId="77777777" w:rsidR="00C36811" w:rsidRPr="00FA0D37" w:rsidRDefault="00C36811" w:rsidP="0071565C">
            <w:pPr>
              <w:pStyle w:val="TAH"/>
            </w:pPr>
            <w:r w:rsidRPr="00FA0D37">
              <w:rPr>
                <w:i/>
              </w:rPr>
              <w:t>RxTxPeriodical field descriptions</w:t>
            </w:r>
          </w:p>
        </w:tc>
      </w:tr>
      <w:tr w:rsidR="005C7FF4" w:rsidRPr="00FA0D37" w14:paraId="4F429608" w14:textId="77777777" w:rsidTr="0071565C">
        <w:tc>
          <w:tcPr>
            <w:tcW w:w="14173" w:type="dxa"/>
          </w:tcPr>
          <w:p w14:paraId="2ABC18FC" w14:textId="77777777" w:rsidR="00C36811" w:rsidRPr="00FA0D37" w:rsidRDefault="00C36811" w:rsidP="0071565C">
            <w:pPr>
              <w:pStyle w:val="TAL"/>
              <w:rPr>
                <w:b/>
                <w:i/>
                <w:szCs w:val="22"/>
                <w:lang w:eastAsia="en-GB"/>
              </w:rPr>
            </w:pPr>
            <w:r w:rsidRPr="00FA0D37">
              <w:rPr>
                <w:b/>
                <w:i/>
                <w:szCs w:val="22"/>
                <w:lang w:eastAsia="en-GB"/>
              </w:rPr>
              <w:t>reportAmount</w:t>
            </w:r>
          </w:p>
          <w:p w14:paraId="0D173B17" w14:textId="77777777" w:rsidR="00C36811" w:rsidRPr="00FA0D37" w:rsidRDefault="00C36811" w:rsidP="0071565C">
            <w:pPr>
              <w:pStyle w:val="TAL"/>
              <w:rPr>
                <w:i/>
                <w:iCs/>
              </w:rPr>
            </w:pPr>
            <w:r w:rsidRPr="00FA0D37">
              <w:rPr>
                <w:iCs/>
                <w:szCs w:val="22"/>
                <w:lang w:eastAsia="en-GB"/>
              </w:rPr>
              <w:t xml:space="preserve">This field indicates the number of UE Rx-Tx time difference </w:t>
            </w:r>
            <w:r w:rsidRPr="00FA0D37">
              <w:rPr>
                <w:szCs w:val="22"/>
                <w:lang w:eastAsia="en-GB"/>
              </w:rPr>
              <w:t xml:space="preserve">measurement reports. If configured to </w:t>
            </w:r>
            <w:r w:rsidRPr="00FA0D37">
              <w:rPr>
                <w:i/>
                <w:iCs/>
                <w:szCs w:val="22"/>
                <w:lang w:eastAsia="en-GB"/>
              </w:rPr>
              <w:t xml:space="preserve">r1, </w:t>
            </w:r>
            <w:r w:rsidRPr="00FA0D37">
              <w:rPr>
                <w:szCs w:val="22"/>
                <w:lang w:eastAsia="en-GB"/>
              </w:rPr>
              <w:t xml:space="preserve">the network does not configure </w:t>
            </w:r>
            <w:r w:rsidRPr="00FA0D37">
              <w:rPr>
                <w:i/>
                <w:iCs/>
                <w:szCs w:val="22"/>
                <w:lang w:eastAsia="en-GB"/>
              </w:rPr>
              <w:t xml:space="preserve">rxTxReportInterval </w:t>
            </w:r>
            <w:r w:rsidRPr="00FA0D37">
              <w:rPr>
                <w:szCs w:val="22"/>
                <w:lang w:eastAsia="en-GB"/>
              </w:rPr>
              <w:t xml:space="preserve">and only one measurement is reported. If configured to </w:t>
            </w:r>
            <w:r w:rsidRPr="00FA0D37">
              <w:rPr>
                <w:i/>
                <w:iCs/>
                <w:szCs w:val="22"/>
                <w:lang w:eastAsia="en-GB"/>
              </w:rPr>
              <w:t>infinity</w:t>
            </w:r>
            <w:r w:rsidRPr="00FA0D37">
              <w:rPr>
                <w:szCs w:val="22"/>
                <w:lang w:eastAsia="en-GB"/>
              </w:rPr>
              <w:t xml:space="preserve">, UE periodically reports measurements according to the periodicity configured by </w:t>
            </w:r>
            <w:r w:rsidRPr="00FA0D37">
              <w:rPr>
                <w:i/>
                <w:iCs/>
                <w:szCs w:val="22"/>
                <w:lang w:eastAsia="en-GB"/>
              </w:rPr>
              <w:t>rxTxReportInterval</w:t>
            </w:r>
            <w:r w:rsidRPr="00FA0D37">
              <w:rPr>
                <w:szCs w:val="22"/>
                <w:lang w:eastAsia="en-GB"/>
              </w:rPr>
              <w:t>.</w:t>
            </w:r>
          </w:p>
        </w:tc>
      </w:tr>
      <w:tr w:rsidR="00F747EB" w:rsidRPr="00FA0D37" w14:paraId="43148F01" w14:textId="77777777" w:rsidTr="0071565C">
        <w:tc>
          <w:tcPr>
            <w:tcW w:w="14173" w:type="dxa"/>
          </w:tcPr>
          <w:p w14:paraId="48827EFB" w14:textId="77777777" w:rsidR="00C36811" w:rsidRPr="00FA0D37" w:rsidRDefault="00C36811" w:rsidP="0071565C">
            <w:pPr>
              <w:pStyle w:val="TAL"/>
              <w:rPr>
                <w:b/>
                <w:i/>
                <w:szCs w:val="22"/>
                <w:lang w:eastAsia="en-GB"/>
              </w:rPr>
            </w:pPr>
            <w:r w:rsidRPr="00FA0D37">
              <w:rPr>
                <w:b/>
                <w:i/>
                <w:szCs w:val="22"/>
                <w:lang w:eastAsia="en-GB"/>
              </w:rPr>
              <w:t>rxTxReportInterval</w:t>
            </w:r>
          </w:p>
          <w:p w14:paraId="514E475D" w14:textId="77777777" w:rsidR="00C36811" w:rsidRPr="00FA0D37" w:rsidRDefault="00C36811" w:rsidP="0071565C">
            <w:pPr>
              <w:pStyle w:val="TAL"/>
              <w:rPr>
                <w:b/>
                <w:i/>
                <w:szCs w:val="22"/>
                <w:lang w:eastAsia="en-GB"/>
              </w:rPr>
            </w:pPr>
            <w:r w:rsidRPr="00FA0D37">
              <w:rPr>
                <w:szCs w:val="22"/>
                <w:lang w:eastAsia="en-GB"/>
              </w:rPr>
              <w:t>This field indicates the measurement reporting periodicity of UE Rx-Tx time difference.</w:t>
            </w:r>
          </w:p>
        </w:tc>
      </w:tr>
    </w:tbl>
    <w:p w14:paraId="7D6A928E" w14:textId="77777777" w:rsidR="00C36811" w:rsidRPr="00FA0D37"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690A57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C7F3F" w14:textId="77777777" w:rsidR="00394471" w:rsidRPr="00FA0D37" w:rsidRDefault="00394471" w:rsidP="00964CC4">
            <w:pPr>
              <w:pStyle w:val="TAH"/>
              <w:rPr>
                <w:szCs w:val="22"/>
                <w:lang w:eastAsia="zh-CN"/>
              </w:rPr>
            </w:pPr>
            <w:r w:rsidRPr="00FA0D37">
              <w:rPr>
                <w:szCs w:val="22"/>
                <w:lang w:eastAsia="zh-CN"/>
              </w:rPr>
              <w:t>other</w:t>
            </w:r>
            <w:r w:rsidRPr="00FA0D37">
              <w:rPr>
                <w:i/>
                <w:szCs w:val="22"/>
                <w:lang w:eastAsia="zh-CN"/>
              </w:rPr>
              <w:t xml:space="preserve"> </w:t>
            </w:r>
            <w:r w:rsidRPr="00FA0D37">
              <w:rPr>
                <w:szCs w:val="22"/>
                <w:lang w:eastAsia="zh-CN"/>
              </w:rPr>
              <w:t>field descriptions</w:t>
            </w:r>
          </w:p>
        </w:tc>
      </w:tr>
      <w:tr w:rsidR="00394471" w:rsidRPr="00FA0D37" w14:paraId="6B10E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1022" w14:textId="77777777" w:rsidR="00394471" w:rsidRPr="00FA0D37" w:rsidRDefault="00394471" w:rsidP="00964CC4">
            <w:pPr>
              <w:pStyle w:val="TAL"/>
              <w:rPr>
                <w:b/>
                <w:i/>
                <w:lang w:eastAsia="zh-CN"/>
              </w:rPr>
            </w:pPr>
            <w:r w:rsidRPr="00FA0D37">
              <w:rPr>
                <w:b/>
                <w:i/>
                <w:lang w:eastAsia="zh-CN"/>
              </w:rPr>
              <w:t>MeasTriggerQuantity</w:t>
            </w:r>
          </w:p>
          <w:p w14:paraId="4B35D3F3" w14:textId="77777777" w:rsidR="00394471" w:rsidRPr="00FA0D37" w:rsidRDefault="00394471" w:rsidP="00964CC4">
            <w:pPr>
              <w:pStyle w:val="TAL"/>
              <w:rPr>
                <w:lang w:eastAsia="zh-CN"/>
              </w:rPr>
            </w:pPr>
            <w:r w:rsidRPr="00FA0D37">
              <w:rPr>
                <w:szCs w:val="22"/>
                <w:lang w:eastAsia="en-GB"/>
              </w:rPr>
              <w:t>SINR is applicable only for CONNECTED mode events.</w:t>
            </w:r>
          </w:p>
        </w:tc>
      </w:tr>
    </w:tbl>
    <w:p w14:paraId="02273A70" w14:textId="77777777" w:rsidR="00394471" w:rsidRPr="00FA0D37" w:rsidRDefault="00394471" w:rsidP="00394471"/>
    <w:p w14:paraId="35F98EC3" w14:textId="77777777" w:rsidR="00394471" w:rsidRPr="00FA0D37" w:rsidRDefault="00394471" w:rsidP="00394471">
      <w:pPr>
        <w:pStyle w:val="4"/>
      </w:pPr>
      <w:bookmarkStart w:id="1321" w:name="_Toc60777351"/>
      <w:bookmarkStart w:id="1322" w:name="_Toc146781432"/>
      <w:r w:rsidRPr="00FA0D37">
        <w:rPr>
          <w:rFonts w:eastAsia="MS Mincho"/>
        </w:rPr>
        <w:t>–</w:t>
      </w:r>
      <w:r w:rsidRPr="00FA0D37">
        <w:rPr>
          <w:rFonts w:eastAsia="MS Mincho"/>
        </w:rPr>
        <w:tab/>
      </w:r>
      <w:r w:rsidRPr="00FA0D37">
        <w:rPr>
          <w:rFonts w:eastAsia="MS Mincho"/>
          <w:i/>
          <w:iCs/>
        </w:rPr>
        <w:t>ReportConfigNR-SL</w:t>
      </w:r>
      <w:bookmarkEnd w:id="1321"/>
      <w:bookmarkEnd w:id="1322"/>
    </w:p>
    <w:p w14:paraId="41E6B1E6" w14:textId="56A22C2E" w:rsidR="00394471" w:rsidRPr="00FA0D37" w:rsidRDefault="00394471" w:rsidP="00394471">
      <w:pPr>
        <w:rPr>
          <w:rFonts w:eastAsia="MS Mincho"/>
        </w:rPr>
      </w:pPr>
      <w:r w:rsidRPr="00FA0D37">
        <w:t xml:space="preserve">The IE </w:t>
      </w:r>
      <w:r w:rsidRPr="00FA0D37">
        <w:rPr>
          <w:i/>
        </w:rPr>
        <w:t>ReportConfigNR-SL</w:t>
      </w:r>
      <w:r w:rsidRPr="00FA0D37">
        <w:t xml:space="preserve"> specifies criteria for triggering of a CBR measurement reporting event for NR sidelink communication</w:t>
      </w:r>
      <w:r w:rsidR="00B7096F" w:rsidRPr="00FA0D37">
        <w:t>/discovery</w:t>
      </w:r>
      <w:r w:rsidRPr="00FA0D37">
        <w:t>. Measurement reporting events are based on CBR measurement results on the corresponding transmission resource pools. These events are labelled CN with N equal to 1 and 2.</w:t>
      </w:r>
    </w:p>
    <w:p w14:paraId="4A4393FA" w14:textId="717B7829" w:rsidR="00394471" w:rsidRPr="00FA0D37" w:rsidRDefault="00394471" w:rsidP="00394471">
      <w:pPr>
        <w:ind w:left="568" w:hanging="284"/>
        <w:rPr>
          <w:lang w:eastAsia="x-none"/>
        </w:rPr>
      </w:pPr>
      <w:r w:rsidRPr="00FA0D37">
        <w:rPr>
          <w:lang w:eastAsia="x-none"/>
        </w:rPr>
        <w:t>Event C1:</w:t>
      </w:r>
      <w:r w:rsidRPr="00FA0D37">
        <w:rPr>
          <w:lang w:eastAsia="x-none"/>
        </w:rPr>
        <w:tab/>
        <w:t>CBR of NR sidelink communication</w:t>
      </w:r>
      <w:r w:rsidR="00B7096F" w:rsidRPr="00FA0D37">
        <w:rPr>
          <w:lang w:eastAsia="x-none"/>
        </w:rPr>
        <w:t>/discovery</w:t>
      </w:r>
      <w:r w:rsidRPr="00FA0D37">
        <w:rPr>
          <w:lang w:eastAsia="x-none"/>
        </w:rPr>
        <w:t xml:space="preserve"> </w:t>
      </w:r>
      <w:r w:rsidR="00692909" w:rsidRPr="00FA0D37">
        <w:rPr>
          <w:rFonts w:eastAsiaTheme="minorEastAsia"/>
          <w:lang w:eastAsia="x-none"/>
        </w:rPr>
        <w:t>is above a</w:t>
      </w:r>
      <w:r w:rsidRPr="00FA0D37">
        <w:rPr>
          <w:lang w:eastAsia="x-none"/>
        </w:rPr>
        <w:t xml:space="preserve"> threshold;</w:t>
      </w:r>
    </w:p>
    <w:p w14:paraId="1D90CC58" w14:textId="390D2348" w:rsidR="00394471" w:rsidRPr="00FA0D37" w:rsidRDefault="00394471" w:rsidP="00394471">
      <w:pPr>
        <w:ind w:left="568" w:hanging="284"/>
        <w:rPr>
          <w:lang w:eastAsia="x-none"/>
        </w:rPr>
      </w:pPr>
      <w:r w:rsidRPr="00FA0D37">
        <w:rPr>
          <w:lang w:eastAsia="x-none"/>
        </w:rPr>
        <w:t>Event C2:</w:t>
      </w:r>
      <w:r w:rsidRPr="00FA0D37">
        <w:rPr>
          <w:lang w:eastAsia="x-none"/>
        </w:rPr>
        <w:tab/>
        <w:t>CBR of NR sidelink communication</w:t>
      </w:r>
      <w:r w:rsidR="00B7096F" w:rsidRPr="00FA0D37">
        <w:rPr>
          <w:lang w:eastAsia="x-none"/>
        </w:rPr>
        <w:t>/discovery</w:t>
      </w:r>
      <w:r w:rsidRPr="00FA0D37">
        <w:rPr>
          <w:lang w:eastAsia="x-none"/>
        </w:rPr>
        <w:t xml:space="preserve"> </w:t>
      </w:r>
      <w:r w:rsidR="00692909" w:rsidRPr="00FA0D37">
        <w:rPr>
          <w:rFonts w:eastAsiaTheme="minorEastAsia"/>
          <w:lang w:eastAsia="x-none"/>
        </w:rPr>
        <w:t>is below a</w:t>
      </w:r>
      <w:r w:rsidRPr="00FA0D37">
        <w:rPr>
          <w:lang w:eastAsia="x-none"/>
        </w:rPr>
        <w:t xml:space="preserve"> threshold;</w:t>
      </w:r>
    </w:p>
    <w:p w14:paraId="56FBFC5F" w14:textId="77777777" w:rsidR="00394471" w:rsidRPr="00FA0D37" w:rsidRDefault="00394471" w:rsidP="00394471">
      <w:pPr>
        <w:pStyle w:val="TH"/>
        <w:rPr>
          <w:b w:val="0"/>
        </w:rPr>
      </w:pPr>
      <w:r w:rsidRPr="00FA0D37">
        <w:rPr>
          <w:i/>
        </w:rPr>
        <w:t>ReportConfigNR-SL</w:t>
      </w:r>
      <w:r w:rsidRPr="00FA0D37">
        <w:t xml:space="preserve"> information element</w:t>
      </w:r>
    </w:p>
    <w:p w14:paraId="1C0DAF64" w14:textId="77777777" w:rsidR="00394471" w:rsidRPr="00FA0D37" w:rsidRDefault="00394471" w:rsidP="00FA0D37">
      <w:pPr>
        <w:pStyle w:val="PL"/>
        <w:rPr>
          <w:color w:val="808080"/>
        </w:rPr>
      </w:pPr>
      <w:r w:rsidRPr="00FA0D37">
        <w:rPr>
          <w:color w:val="808080"/>
        </w:rPr>
        <w:t>-- ASN1START</w:t>
      </w:r>
    </w:p>
    <w:p w14:paraId="540E51DD" w14:textId="77777777" w:rsidR="00394471" w:rsidRPr="00FA0D37" w:rsidRDefault="00394471" w:rsidP="00FA0D37">
      <w:pPr>
        <w:pStyle w:val="PL"/>
        <w:rPr>
          <w:color w:val="808080"/>
        </w:rPr>
      </w:pPr>
      <w:r w:rsidRPr="00FA0D37">
        <w:rPr>
          <w:color w:val="808080"/>
        </w:rPr>
        <w:t>-- TAG-REPORTCONFIGNR-SL-START</w:t>
      </w:r>
    </w:p>
    <w:p w14:paraId="44677083" w14:textId="77777777" w:rsidR="00394471" w:rsidRPr="00FA0D37" w:rsidRDefault="00394471" w:rsidP="00FA0D37">
      <w:pPr>
        <w:pStyle w:val="PL"/>
      </w:pPr>
    </w:p>
    <w:p w14:paraId="4F543AA4" w14:textId="77777777" w:rsidR="00394471" w:rsidRPr="00FA0D37" w:rsidRDefault="00394471" w:rsidP="00FA0D37">
      <w:pPr>
        <w:pStyle w:val="PL"/>
      </w:pPr>
      <w:r w:rsidRPr="00FA0D37">
        <w:t xml:space="preserve">ReportConfigNR-SL-r16 ::=            </w:t>
      </w:r>
      <w:r w:rsidRPr="00FA0D37">
        <w:rPr>
          <w:color w:val="993366"/>
        </w:rPr>
        <w:t>SEQUENCE</w:t>
      </w:r>
      <w:r w:rsidRPr="00FA0D37">
        <w:t xml:space="preserve"> {</w:t>
      </w:r>
    </w:p>
    <w:p w14:paraId="6D5A7261" w14:textId="77777777" w:rsidR="00394471" w:rsidRPr="00FA0D37" w:rsidRDefault="00394471" w:rsidP="00FA0D37">
      <w:pPr>
        <w:pStyle w:val="PL"/>
      </w:pPr>
      <w:r w:rsidRPr="00FA0D37">
        <w:lastRenderedPageBreak/>
        <w:t xml:space="preserve">    reportType-r16                       </w:t>
      </w:r>
      <w:r w:rsidRPr="00FA0D37">
        <w:rPr>
          <w:color w:val="993366"/>
        </w:rPr>
        <w:t>CHOICE</w:t>
      </w:r>
      <w:r w:rsidRPr="00FA0D37">
        <w:t xml:space="preserve"> {</w:t>
      </w:r>
    </w:p>
    <w:p w14:paraId="41E2D40C" w14:textId="77777777" w:rsidR="00394471" w:rsidRPr="00FA0D37" w:rsidRDefault="00394471" w:rsidP="00FA0D37">
      <w:pPr>
        <w:pStyle w:val="PL"/>
      </w:pPr>
      <w:r w:rsidRPr="00FA0D37">
        <w:t xml:space="preserve">        periodical-r16                       PeriodicalReportConfigNR-SL-r16,</w:t>
      </w:r>
    </w:p>
    <w:p w14:paraId="35ED9DE9" w14:textId="77777777" w:rsidR="00394471" w:rsidRPr="00FA0D37" w:rsidRDefault="00394471" w:rsidP="00FA0D37">
      <w:pPr>
        <w:pStyle w:val="PL"/>
      </w:pPr>
      <w:r w:rsidRPr="00FA0D37">
        <w:t xml:space="preserve">        eventTriggered-r16                   EventTriggerConfigNR-SL-r16</w:t>
      </w:r>
    </w:p>
    <w:p w14:paraId="77CFCD68" w14:textId="77777777" w:rsidR="00394471" w:rsidRPr="00FA0D37" w:rsidRDefault="00394471" w:rsidP="00FA0D37">
      <w:pPr>
        <w:pStyle w:val="PL"/>
      </w:pPr>
      <w:r w:rsidRPr="00FA0D37">
        <w:t xml:space="preserve">    }</w:t>
      </w:r>
    </w:p>
    <w:p w14:paraId="7A07FFD8" w14:textId="77777777" w:rsidR="00394471" w:rsidRPr="00FA0D37" w:rsidRDefault="00394471" w:rsidP="00FA0D37">
      <w:pPr>
        <w:pStyle w:val="PL"/>
      </w:pPr>
      <w:r w:rsidRPr="00FA0D37">
        <w:t>}</w:t>
      </w:r>
    </w:p>
    <w:p w14:paraId="1FEF056B" w14:textId="77777777" w:rsidR="00394471" w:rsidRPr="00FA0D37" w:rsidRDefault="00394471" w:rsidP="00FA0D37">
      <w:pPr>
        <w:pStyle w:val="PL"/>
      </w:pPr>
    </w:p>
    <w:p w14:paraId="2FAFAEC4" w14:textId="77777777" w:rsidR="00394471" w:rsidRPr="00FA0D37" w:rsidRDefault="00394471" w:rsidP="00FA0D37">
      <w:pPr>
        <w:pStyle w:val="PL"/>
      </w:pPr>
      <w:r w:rsidRPr="00FA0D37">
        <w:t xml:space="preserve">EventTriggerConfigNR-SL-r16::=       </w:t>
      </w:r>
      <w:r w:rsidRPr="00FA0D37">
        <w:rPr>
          <w:color w:val="993366"/>
        </w:rPr>
        <w:t>SEQUENCE</w:t>
      </w:r>
      <w:r w:rsidRPr="00FA0D37">
        <w:t xml:space="preserve"> {</w:t>
      </w:r>
    </w:p>
    <w:p w14:paraId="01D06754" w14:textId="77777777" w:rsidR="00394471" w:rsidRPr="00FA0D37" w:rsidRDefault="00394471" w:rsidP="00FA0D37">
      <w:pPr>
        <w:pStyle w:val="PL"/>
      </w:pPr>
      <w:r w:rsidRPr="00FA0D37">
        <w:t xml:space="preserve">    eventId-r16                          </w:t>
      </w:r>
      <w:r w:rsidRPr="00FA0D37">
        <w:rPr>
          <w:color w:val="993366"/>
        </w:rPr>
        <w:t>CHOICE</w:t>
      </w:r>
      <w:r w:rsidRPr="00FA0D37">
        <w:t xml:space="preserve"> {</w:t>
      </w:r>
    </w:p>
    <w:p w14:paraId="3318B7FD" w14:textId="77777777" w:rsidR="00394471" w:rsidRPr="00FA0D37" w:rsidRDefault="00394471" w:rsidP="00FA0D37">
      <w:pPr>
        <w:pStyle w:val="PL"/>
      </w:pPr>
      <w:r w:rsidRPr="00FA0D37">
        <w:t xml:space="preserve">        eventC1                              </w:t>
      </w:r>
      <w:r w:rsidRPr="00FA0D37">
        <w:rPr>
          <w:color w:val="993366"/>
        </w:rPr>
        <w:t>SEQUENCE</w:t>
      </w:r>
      <w:r w:rsidRPr="00FA0D37">
        <w:t xml:space="preserve"> {</w:t>
      </w:r>
    </w:p>
    <w:p w14:paraId="565740C6" w14:textId="77777777" w:rsidR="00394471" w:rsidRPr="00FA0D37" w:rsidRDefault="00394471" w:rsidP="00FA0D37">
      <w:pPr>
        <w:pStyle w:val="PL"/>
      </w:pPr>
      <w:r w:rsidRPr="00FA0D37">
        <w:t xml:space="preserve">            c1-Threshold-r16                     SL-CBR-r16,</w:t>
      </w:r>
    </w:p>
    <w:p w14:paraId="6C5CD0EE" w14:textId="77777777" w:rsidR="00394471" w:rsidRPr="00FA0D37" w:rsidRDefault="00394471" w:rsidP="00FA0D37">
      <w:pPr>
        <w:pStyle w:val="PL"/>
      </w:pPr>
      <w:r w:rsidRPr="00FA0D37">
        <w:t xml:space="preserve">            hysteresis-r16                       Hysteresis,</w:t>
      </w:r>
    </w:p>
    <w:p w14:paraId="3FC834F8" w14:textId="77777777" w:rsidR="00394471" w:rsidRPr="00FA0D37" w:rsidRDefault="00394471" w:rsidP="00FA0D37">
      <w:pPr>
        <w:pStyle w:val="PL"/>
      </w:pPr>
      <w:r w:rsidRPr="00FA0D37">
        <w:t xml:space="preserve">            timeToTrigger-r16                    TimeToTrigger</w:t>
      </w:r>
    </w:p>
    <w:p w14:paraId="7EA4E754" w14:textId="77777777" w:rsidR="00394471" w:rsidRPr="00FA0D37" w:rsidRDefault="00394471" w:rsidP="00FA0D37">
      <w:pPr>
        <w:pStyle w:val="PL"/>
      </w:pPr>
      <w:r w:rsidRPr="00FA0D37">
        <w:t xml:space="preserve">        },</w:t>
      </w:r>
    </w:p>
    <w:p w14:paraId="174B8E89" w14:textId="77777777" w:rsidR="00394471" w:rsidRPr="00FA0D37" w:rsidRDefault="00394471" w:rsidP="00FA0D37">
      <w:pPr>
        <w:pStyle w:val="PL"/>
      </w:pPr>
      <w:r w:rsidRPr="00FA0D37">
        <w:t xml:space="preserve">        eventC2-r16                  </w:t>
      </w:r>
      <w:r w:rsidRPr="00FA0D37">
        <w:rPr>
          <w:color w:val="993366"/>
        </w:rPr>
        <w:t>SEQUENCE</w:t>
      </w:r>
      <w:r w:rsidRPr="00FA0D37">
        <w:t xml:space="preserve"> {</w:t>
      </w:r>
    </w:p>
    <w:p w14:paraId="48A7CB8D" w14:textId="77777777" w:rsidR="00394471" w:rsidRPr="00FA0D37" w:rsidRDefault="00394471" w:rsidP="00FA0D37">
      <w:pPr>
        <w:pStyle w:val="PL"/>
      </w:pPr>
      <w:r w:rsidRPr="00FA0D37">
        <w:t xml:space="preserve">            c2-Threshold-r16             SL-CBR-r16,</w:t>
      </w:r>
    </w:p>
    <w:p w14:paraId="6838B963" w14:textId="77777777" w:rsidR="00394471" w:rsidRPr="00FA0D37" w:rsidRDefault="00394471" w:rsidP="00FA0D37">
      <w:pPr>
        <w:pStyle w:val="PL"/>
      </w:pPr>
      <w:r w:rsidRPr="00FA0D37">
        <w:t xml:space="preserve">            hysteresis-r16               Hysteresis,</w:t>
      </w:r>
    </w:p>
    <w:p w14:paraId="632CEAA5" w14:textId="77777777" w:rsidR="00394471" w:rsidRPr="00FA0D37" w:rsidRDefault="00394471" w:rsidP="00FA0D37">
      <w:pPr>
        <w:pStyle w:val="PL"/>
      </w:pPr>
      <w:r w:rsidRPr="00FA0D37">
        <w:t xml:space="preserve">            timeToTrigger-r16            TimeToTrigger</w:t>
      </w:r>
    </w:p>
    <w:p w14:paraId="4D32BA6B" w14:textId="77777777" w:rsidR="00394471" w:rsidRPr="00FA0D37" w:rsidRDefault="00394471" w:rsidP="00FA0D37">
      <w:pPr>
        <w:pStyle w:val="PL"/>
      </w:pPr>
      <w:r w:rsidRPr="00FA0D37">
        <w:t xml:space="preserve">        },</w:t>
      </w:r>
    </w:p>
    <w:p w14:paraId="2E268C17" w14:textId="77777777" w:rsidR="00394471" w:rsidRPr="00FA0D37" w:rsidRDefault="00394471" w:rsidP="00FA0D37">
      <w:pPr>
        <w:pStyle w:val="PL"/>
      </w:pPr>
      <w:r w:rsidRPr="00FA0D37">
        <w:t xml:space="preserve">        ...</w:t>
      </w:r>
    </w:p>
    <w:p w14:paraId="17D91371" w14:textId="77777777" w:rsidR="00394471" w:rsidRPr="00FA0D37" w:rsidRDefault="00394471" w:rsidP="00FA0D37">
      <w:pPr>
        <w:pStyle w:val="PL"/>
      </w:pPr>
      <w:r w:rsidRPr="00FA0D37">
        <w:t xml:space="preserve">    },</w:t>
      </w:r>
    </w:p>
    <w:p w14:paraId="7DCB9BA8" w14:textId="77777777" w:rsidR="00394471" w:rsidRPr="00FA0D37" w:rsidRDefault="00394471" w:rsidP="00FA0D37">
      <w:pPr>
        <w:pStyle w:val="PL"/>
      </w:pPr>
      <w:r w:rsidRPr="00FA0D37">
        <w:t xml:space="preserve">    reportInterval-r16               ReportInterval,</w:t>
      </w:r>
    </w:p>
    <w:p w14:paraId="071F726C" w14:textId="77777777" w:rsidR="00394471" w:rsidRPr="00FA0D37" w:rsidRDefault="00394471" w:rsidP="00FA0D37">
      <w:pPr>
        <w:pStyle w:val="PL"/>
      </w:pPr>
      <w:r w:rsidRPr="00FA0D37">
        <w:t xml:space="preserve">    reportAmount-r16                 </w:t>
      </w:r>
      <w:r w:rsidRPr="00FA0D37">
        <w:rPr>
          <w:color w:val="993366"/>
        </w:rPr>
        <w:t>ENUMERATED</w:t>
      </w:r>
      <w:r w:rsidRPr="00FA0D37">
        <w:t xml:space="preserve"> {r1, r2, r4, r8, r16, r32, r64, infinity},</w:t>
      </w:r>
    </w:p>
    <w:p w14:paraId="5C754C69" w14:textId="77777777" w:rsidR="00394471" w:rsidRPr="00FA0D37" w:rsidRDefault="00394471" w:rsidP="00FA0D37">
      <w:pPr>
        <w:pStyle w:val="PL"/>
      </w:pPr>
      <w:r w:rsidRPr="00FA0D37">
        <w:t xml:space="preserve">    reportQuantity-r16               MeasReportQuantity-r16,</w:t>
      </w:r>
    </w:p>
    <w:p w14:paraId="1B01344F" w14:textId="77777777" w:rsidR="00394471" w:rsidRPr="00FA0D37" w:rsidRDefault="00394471" w:rsidP="00FA0D37">
      <w:pPr>
        <w:pStyle w:val="PL"/>
      </w:pPr>
      <w:r w:rsidRPr="00FA0D37">
        <w:t xml:space="preserve">    ...</w:t>
      </w:r>
    </w:p>
    <w:p w14:paraId="18407E36" w14:textId="77777777" w:rsidR="00394471" w:rsidRPr="00FA0D37" w:rsidRDefault="00394471" w:rsidP="00FA0D37">
      <w:pPr>
        <w:pStyle w:val="PL"/>
      </w:pPr>
      <w:r w:rsidRPr="00FA0D37">
        <w:t>}</w:t>
      </w:r>
    </w:p>
    <w:p w14:paraId="7D36AA57" w14:textId="77777777" w:rsidR="00394471" w:rsidRPr="00FA0D37" w:rsidRDefault="00394471" w:rsidP="00FA0D37">
      <w:pPr>
        <w:pStyle w:val="PL"/>
      </w:pPr>
    </w:p>
    <w:p w14:paraId="3531CBCF" w14:textId="77777777" w:rsidR="00394471" w:rsidRPr="00FA0D37" w:rsidRDefault="00394471" w:rsidP="00FA0D37">
      <w:pPr>
        <w:pStyle w:val="PL"/>
      </w:pPr>
      <w:r w:rsidRPr="00FA0D37">
        <w:t xml:space="preserve">PeriodicalReportConfigNR-SL-r16 ::=  </w:t>
      </w:r>
      <w:r w:rsidRPr="00FA0D37">
        <w:rPr>
          <w:color w:val="993366"/>
        </w:rPr>
        <w:t>SEQUENCE</w:t>
      </w:r>
      <w:r w:rsidRPr="00FA0D37">
        <w:t xml:space="preserve"> {</w:t>
      </w:r>
    </w:p>
    <w:p w14:paraId="526495F2" w14:textId="77777777" w:rsidR="00394471" w:rsidRPr="00FA0D37" w:rsidRDefault="00394471" w:rsidP="00FA0D37">
      <w:pPr>
        <w:pStyle w:val="PL"/>
      </w:pPr>
      <w:r w:rsidRPr="00FA0D37">
        <w:t xml:space="preserve">    reportInterval-r16                   ReportInterval,</w:t>
      </w:r>
    </w:p>
    <w:p w14:paraId="77D94545" w14:textId="77777777" w:rsidR="00394471" w:rsidRPr="00FA0D37" w:rsidRDefault="00394471" w:rsidP="00FA0D37">
      <w:pPr>
        <w:pStyle w:val="PL"/>
      </w:pPr>
      <w:r w:rsidRPr="00FA0D37">
        <w:t xml:space="preserve">    reportAmount-r16                     </w:t>
      </w:r>
      <w:r w:rsidRPr="00FA0D37">
        <w:rPr>
          <w:color w:val="993366"/>
        </w:rPr>
        <w:t>ENUMERATED</w:t>
      </w:r>
      <w:r w:rsidRPr="00FA0D37">
        <w:t xml:space="preserve"> {r1, r2, r4, r8, r16, r32, r64, infinity},</w:t>
      </w:r>
    </w:p>
    <w:p w14:paraId="65435888" w14:textId="77777777" w:rsidR="00394471" w:rsidRPr="00FA0D37" w:rsidRDefault="00394471" w:rsidP="00FA0D37">
      <w:pPr>
        <w:pStyle w:val="PL"/>
      </w:pPr>
      <w:r w:rsidRPr="00FA0D37">
        <w:t xml:space="preserve">    reportQuantity-r16                   MeasReportQuantity-r16,</w:t>
      </w:r>
    </w:p>
    <w:p w14:paraId="63A84BF8" w14:textId="77777777" w:rsidR="00394471" w:rsidRPr="00FA0D37" w:rsidRDefault="00394471" w:rsidP="00FA0D37">
      <w:pPr>
        <w:pStyle w:val="PL"/>
      </w:pPr>
      <w:r w:rsidRPr="00FA0D37">
        <w:t xml:space="preserve">    ...</w:t>
      </w:r>
    </w:p>
    <w:p w14:paraId="4A775EE1" w14:textId="77777777" w:rsidR="00394471" w:rsidRPr="00FA0D37" w:rsidRDefault="00394471" w:rsidP="00FA0D37">
      <w:pPr>
        <w:pStyle w:val="PL"/>
      </w:pPr>
      <w:r w:rsidRPr="00FA0D37">
        <w:t>}</w:t>
      </w:r>
    </w:p>
    <w:p w14:paraId="607FCC41" w14:textId="77777777" w:rsidR="00394471" w:rsidRPr="00FA0D37" w:rsidRDefault="00394471" w:rsidP="00FA0D37">
      <w:pPr>
        <w:pStyle w:val="PL"/>
      </w:pPr>
    </w:p>
    <w:p w14:paraId="21CBD6BF" w14:textId="77777777" w:rsidR="00394471" w:rsidRPr="00FA0D37" w:rsidRDefault="00394471" w:rsidP="00FA0D37">
      <w:pPr>
        <w:pStyle w:val="PL"/>
      </w:pPr>
      <w:r w:rsidRPr="00FA0D37">
        <w:t xml:space="preserve">MeasReportQuantity-r16 ::=           </w:t>
      </w:r>
      <w:r w:rsidRPr="00FA0D37">
        <w:rPr>
          <w:color w:val="993366"/>
        </w:rPr>
        <w:t>SEQUENCE</w:t>
      </w:r>
      <w:r w:rsidRPr="00FA0D37">
        <w:t xml:space="preserve"> {</w:t>
      </w:r>
    </w:p>
    <w:p w14:paraId="23FA1DE7" w14:textId="77777777" w:rsidR="00394471" w:rsidRPr="00FA0D37" w:rsidRDefault="00394471" w:rsidP="00FA0D37">
      <w:pPr>
        <w:pStyle w:val="PL"/>
      </w:pPr>
      <w:r w:rsidRPr="00FA0D37">
        <w:t xml:space="preserve">    cbr-r16                              </w:t>
      </w:r>
      <w:r w:rsidRPr="00FA0D37">
        <w:rPr>
          <w:color w:val="993366"/>
        </w:rPr>
        <w:t>BOOLEAN</w:t>
      </w:r>
      <w:r w:rsidRPr="00FA0D37">
        <w:t>,</w:t>
      </w:r>
    </w:p>
    <w:p w14:paraId="4D59E974" w14:textId="77777777" w:rsidR="00394471" w:rsidRPr="00FA0D37" w:rsidRDefault="00394471" w:rsidP="00FA0D37">
      <w:pPr>
        <w:pStyle w:val="PL"/>
      </w:pPr>
      <w:r w:rsidRPr="00FA0D37">
        <w:t xml:space="preserve">    ...</w:t>
      </w:r>
    </w:p>
    <w:p w14:paraId="0D5DEC5F" w14:textId="77777777" w:rsidR="00394471" w:rsidRPr="00FA0D37" w:rsidRDefault="00394471" w:rsidP="00FA0D37">
      <w:pPr>
        <w:pStyle w:val="PL"/>
      </w:pPr>
      <w:r w:rsidRPr="00FA0D37">
        <w:t>}</w:t>
      </w:r>
    </w:p>
    <w:p w14:paraId="6741BB32" w14:textId="77777777" w:rsidR="00394471" w:rsidRPr="00FA0D37" w:rsidRDefault="00394471" w:rsidP="00FA0D37">
      <w:pPr>
        <w:pStyle w:val="PL"/>
      </w:pPr>
    </w:p>
    <w:p w14:paraId="5FB76054" w14:textId="77777777" w:rsidR="00394471" w:rsidRPr="00FA0D37" w:rsidRDefault="00394471" w:rsidP="00FA0D37">
      <w:pPr>
        <w:pStyle w:val="PL"/>
        <w:rPr>
          <w:color w:val="808080"/>
        </w:rPr>
      </w:pPr>
      <w:r w:rsidRPr="00FA0D37">
        <w:rPr>
          <w:color w:val="808080"/>
        </w:rPr>
        <w:t>-- TAG-REPORTCONFIGNR-SL-STOP</w:t>
      </w:r>
    </w:p>
    <w:p w14:paraId="18F75753" w14:textId="77777777" w:rsidR="00394471" w:rsidRPr="00FA0D37" w:rsidRDefault="00394471" w:rsidP="00FA0D37">
      <w:pPr>
        <w:pStyle w:val="PL"/>
        <w:rPr>
          <w:color w:val="808080"/>
        </w:rPr>
      </w:pPr>
      <w:r w:rsidRPr="00FA0D37">
        <w:rPr>
          <w:color w:val="808080"/>
        </w:rPr>
        <w:t>-- ASN1STOP</w:t>
      </w:r>
    </w:p>
    <w:p w14:paraId="63DDD8B4" w14:textId="77777777" w:rsidR="00394471" w:rsidRPr="00FA0D3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FA0D37" w:rsidRDefault="00394471" w:rsidP="00964CC4">
            <w:pPr>
              <w:pStyle w:val="TAH"/>
              <w:rPr>
                <w:b w:val="0"/>
                <w:lang w:eastAsia="sv-SE"/>
              </w:rPr>
            </w:pPr>
            <w:r w:rsidRPr="00FA0D37">
              <w:rPr>
                <w:bCs/>
                <w:i/>
                <w:lang w:eastAsia="sv-SE"/>
              </w:rPr>
              <w:t>ReportConfigNR-SL</w:t>
            </w:r>
            <w:r w:rsidRPr="00FA0D37">
              <w:rPr>
                <w:lang w:eastAsia="sv-SE"/>
              </w:rPr>
              <w:t xml:space="preserve"> field descriptions</w:t>
            </w:r>
          </w:p>
        </w:tc>
      </w:tr>
      <w:tr w:rsidR="00394471" w:rsidRPr="00FA0D37"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FA0D37" w:rsidRDefault="00394471" w:rsidP="00964CC4">
            <w:pPr>
              <w:pStyle w:val="TAL"/>
              <w:rPr>
                <w:b/>
                <w:bCs/>
                <w:i/>
                <w:iCs/>
                <w:lang w:eastAsia="sv-SE"/>
              </w:rPr>
            </w:pPr>
            <w:r w:rsidRPr="00FA0D37">
              <w:rPr>
                <w:b/>
                <w:bCs/>
                <w:i/>
                <w:iCs/>
                <w:lang w:eastAsia="sv-SE"/>
              </w:rPr>
              <w:t>reportType</w:t>
            </w:r>
          </w:p>
          <w:p w14:paraId="1F547B8D" w14:textId="5FF8B60B" w:rsidR="00394471" w:rsidRPr="00FA0D37" w:rsidRDefault="00394471" w:rsidP="00964CC4">
            <w:pPr>
              <w:pStyle w:val="TAL"/>
              <w:rPr>
                <w:lang w:eastAsia="sv-SE"/>
              </w:rPr>
            </w:pPr>
            <w:r w:rsidRPr="00FA0D37">
              <w:rPr>
                <w:lang w:eastAsia="sv-SE"/>
              </w:rPr>
              <w:t>Type of the configured CBR measurement report for NR sidelink communication</w:t>
            </w:r>
            <w:r w:rsidR="00B7096F" w:rsidRPr="00FA0D37">
              <w:rPr>
                <w:lang w:eastAsia="x-none"/>
              </w:rPr>
              <w:t>/discovery</w:t>
            </w:r>
            <w:r w:rsidRPr="00FA0D37">
              <w:rPr>
                <w:lang w:eastAsia="sv-SE"/>
              </w:rPr>
              <w:t>.</w:t>
            </w:r>
          </w:p>
        </w:tc>
      </w:tr>
    </w:tbl>
    <w:p w14:paraId="3D37ABB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FA0D37" w:rsidRDefault="00394471" w:rsidP="00964CC4">
            <w:pPr>
              <w:pStyle w:val="TAH"/>
              <w:rPr>
                <w:b w:val="0"/>
                <w:lang w:eastAsia="sv-SE"/>
              </w:rPr>
            </w:pPr>
            <w:r w:rsidRPr="00FA0D37">
              <w:rPr>
                <w:i/>
                <w:iCs/>
                <w:lang w:eastAsia="sv-SE"/>
              </w:rPr>
              <w:lastRenderedPageBreak/>
              <w:t>EventTriggerConfig</w:t>
            </w:r>
            <w:r w:rsidR="001473C7" w:rsidRPr="00FA0D37">
              <w:rPr>
                <w:i/>
                <w:iCs/>
                <w:lang w:eastAsia="sv-SE"/>
              </w:rPr>
              <w:t>NR-SL</w:t>
            </w:r>
            <w:r w:rsidRPr="00FA0D37">
              <w:rPr>
                <w:lang w:eastAsia="sv-SE"/>
              </w:rPr>
              <w:t xml:space="preserve"> field descriptions</w:t>
            </w:r>
          </w:p>
        </w:tc>
      </w:tr>
      <w:tr w:rsidR="005C7FF4" w:rsidRPr="00FA0D37"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FA0D37" w:rsidRDefault="00394471" w:rsidP="00964CC4">
            <w:pPr>
              <w:pStyle w:val="TAL"/>
              <w:rPr>
                <w:b/>
                <w:bCs/>
                <w:i/>
                <w:iCs/>
                <w:lang w:eastAsia="ko-KR"/>
              </w:rPr>
            </w:pPr>
            <w:r w:rsidRPr="00FA0D37">
              <w:rPr>
                <w:b/>
                <w:bCs/>
                <w:i/>
                <w:iCs/>
                <w:lang w:eastAsia="ko-KR"/>
              </w:rPr>
              <w:t>cN-Threshold</w:t>
            </w:r>
          </w:p>
          <w:p w14:paraId="5EEE4C02" w14:textId="29B81442" w:rsidR="00394471" w:rsidRPr="00FA0D37" w:rsidRDefault="00394471" w:rsidP="00964CC4">
            <w:pPr>
              <w:pStyle w:val="TAL"/>
              <w:rPr>
                <w:lang w:eastAsia="en-GB"/>
              </w:rPr>
            </w:pPr>
            <w:r w:rsidRPr="00FA0D37">
              <w:rPr>
                <w:lang w:eastAsia="ko-KR"/>
              </w:rPr>
              <w:t xml:space="preserve">Threshold used for </w:t>
            </w:r>
            <w:r w:rsidRPr="00FA0D37">
              <w:rPr>
                <w:lang w:eastAsia="sv-SE"/>
              </w:rPr>
              <w:t xml:space="preserve">events C1 and C2 specified in </w:t>
            </w:r>
            <w:r w:rsidR="009C7196" w:rsidRPr="00FA0D37">
              <w:rPr>
                <w:lang w:eastAsia="sv-SE"/>
              </w:rPr>
              <w:t>clause</w:t>
            </w:r>
            <w:r w:rsidRPr="00FA0D37">
              <w:rPr>
                <w:lang w:eastAsia="sv-SE"/>
              </w:rPr>
              <w:t>s 5.5.4.11 and 5.5.4.12, respectively.</w:t>
            </w:r>
          </w:p>
        </w:tc>
      </w:tr>
      <w:tr w:rsidR="005C7FF4" w:rsidRPr="00FA0D37"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FA0D37" w:rsidRDefault="00394471" w:rsidP="00964CC4">
            <w:pPr>
              <w:pStyle w:val="TAL"/>
              <w:rPr>
                <w:b/>
                <w:bCs/>
                <w:i/>
                <w:iCs/>
                <w:lang w:eastAsia="en-GB"/>
              </w:rPr>
            </w:pPr>
            <w:r w:rsidRPr="00FA0D37">
              <w:rPr>
                <w:b/>
                <w:bCs/>
                <w:i/>
                <w:iCs/>
                <w:lang w:eastAsia="en-GB"/>
              </w:rPr>
              <w:t>eventId</w:t>
            </w:r>
          </w:p>
          <w:p w14:paraId="75ECA711" w14:textId="77777777" w:rsidR="00394471" w:rsidRPr="00FA0D37" w:rsidRDefault="00394471" w:rsidP="00964CC4">
            <w:pPr>
              <w:pStyle w:val="TAL"/>
              <w:rPr>
                <w:lang w:eastAsia="sv-SE"/>
              </w:rPr>
            </w:pPr>
            <w:r w:rsidRPr="00FA0D37">
              <w:rPr>
                <w:lang w:eastAsia="en-GB"/>
              </w:rPr>
              <w:t>Choice of NR event triggered reporting criteria.</w:t>
            </w:r>
          </w:p>
        </w:tc>
      </w:tr>
      <w:tr w:rsidR="005C7FF4" w:rsidRPr="00FA0D37"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FA0D37" w:rsidRDefault="00394471" w:rsidP="00964CC4">
            <w:pPr>
              <w:pStyle w:val="TAL"/>
              <w:rPr>
                <w:b/>
                <w:bCs/>
                <w:i/>
                <w:iCs/>
                <w:lang w:eastAsia="en-GB"/>
              </w:rPr>
            </w:pPr>
            <w:r w:rsidRPr="00FA0D37">
              <w:rPr>
                <w:b/>
                <w:bCs/>
                <w:i/>
                <w:iCs/>
                <w:lang w:eastAsia="en-GB"/>
              </w:rPr>
              <w:t>reportAmoun</w:t>
            </w:r>
          </w:p>
          <w:p w14:paraId="3FDE9DDF" w14:textId="77777777" w:rsidR="00394471" w:rsidRPr="00FA0D37" w:rsidRDefault="00394471" w:rsidP="00964CC4">
            <w:pPr>
              <w:pStyle w:val="TAL"/>
              <w:rPr>
                <w:lang w:eastAsia="en-GB"/>
              </w:rPr>
            </w:pPr>
            <w:r w:rsidRPr="00FA0D37">
              <w:rPr>
                <w:lang w:eastAsia="en-GB"/>
              </w:rPr>
              <w:t xml:space="preserve">Number of measurement reports applicable for </w:t>
            </w:r>
            <w:r w:rsidRPr="00FA0D37">
              <w:rPr>
                <w:i/>
                <w:iCs/>
                <w:lang w:eastAsia="en-GB"/>
              </w:rPr>
              <w:t>eventTriggered</w:t>
            </w:r>
            <w:r w:rsidRPr="00FA0D37">
              <w:rPr>
                <w:lang w:eastAsia="en-GB"/>
              </w:rPr>
              <w:t xml:space="preserve"> as well as for </w:t>
            </w:r>
            <w:r w:rsidRPr="00FA0D37">
              <w:rPr>
                <w:i/>
                <w:iCs/>
                <w:lang w:eastAsia="en-GB"/>
              </w:rPr>
              <w:t>periodical</w:t>
            </w:r>
            <w:r w:rsidRPr="00FA0D37">
              <w:rPr>
                <w:lang w:eastAsia="en-GB"/>
              </w:rPr>
              <w:t xml:space="preserve"> report types.</w:t>
            </w:r>
          </w:p>
        </w:tc>
      </w:tr>
      <w:tr w:rsidR="005C7FF4" w:rsidRPr="00FA0D37"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FA0D37" w:rsidRDefault="00394471" w:rsidP="00964CC4">
            <w:pPr>
              <w:pStyle w:val="TAL"/>
              <w:rPr>
                <w:b/>
                <w:bCs/>
                <w:i/>
                <w:iCs/>
                <w:lang w:eastAsia="sv-SE"/>
              </w:rPr>
            </w:pPr>
            <w:r w:rsidRPr="00FA0D37">
              <w:rPr>
                <w:b/>
                <w:bCs/>
                <w:i/>
                <w:iCs/>
                <w:lang w:eastAsia="sv-SE"/>
              </w:rPr>
              <w:t>reportQuantity</w:t>
            </w:r>
          </w:p>
          <w:p w14:paraId="349A3F94" w14:textId="77777777" w:rsidR="00394471" w:rsidRPr="00FA0D37" w:rsidRDefault="00394471" w:rsidP="00964CC4">
            <w:pPr>
              <w:pStyle w:val="TAL"/>
              <w:rPr>
                <w:lang w:eastAsia="en-GB"/>
              </w:rPr>
            </w:pPr>
            <w:r w:rsidRPr="00FA0D37">
              <w:rPr>
                <w:lang w:eastAsia="en-GB"/>
              </w:rPr>
              <w:t>The sidelink measurement quantities to be included in the measurement report. In this release, this is set as the CBR measurement result.</w:t>
            </w:r>
          </w:p>
        </w:tc>
      </w:tr>
      <w:tr w:rsidR="000830BB" w:rsidRPr="00FA0D37"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FA0D37" w:rsidRDefault="00394471" w:rsidP="00964CC4">
            <w:pPr>
              <w:pStyle w:val="TAL"/>
              <w:rPr>
                <w:b/>
                <w:bCs/>
                <w:i/>
                <w:iCs/>
                <w:lang w:eastAsia="en-GB"/>
              </w:rPr>
            </w:pPr>
            <w:r w:rsidRPr="00FA0D37">
              <w:rPr>
                <w:b/>
                <w:bCs/>
                <w:i/>
                <w:iCs/>
                <w:lang w:eastAsia="en-GB"/>
              </w:rPr>
              <w:t>timeToTrigger</w:t>
            </w:r>
          </w:p>
          <w:p w14:paraId="1A9C0F11" w14:textId="77777777" w:rsidR="00394471" w:rsidRPr="00FA0D37" w:rsidRDefault="00394471" w:rsidP="00964CC4">
            <w:pPr>
              <w:pStyle w:val="TAL"/>
              <w:rPr>
                <w:lang w:eastAsia="sv-SE"/>
              </w:rPr>
            </w:pPr>
            <w:r w:rsidRPr="00FA0D37">
              <w:rPr>
                <w:lang w:eastAsia="en-GB"/>
              </w:rPr>
              <w:t>Time during which specific criteria for the event needs to be met in order to trigger a measurement report.</w:t>
            </w:r>
          </w:p>
        </w:tc>
      </w:tr>
    </w:tbl>
    <w:p w14:paraId="2179011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FA0D37" w:rsidRDefault="00394471" w:rsidP="00964CC4">
            <w:pPr>
              <w:pStyle w:val="TAH"/>
              <w:rPr>
                <w:b w:val="0"/>
                <w:lang w:eastAsia="sv-SE"/>
              </w:rPr>
            </w:pPr>
            <w:r w:rsidRPr="00FA0D37">
              <w:rPr>
                <w:i/>
                <w:iCs/>
                <w:lang w:eastAsia="sv-SE"/>
              </w:rPr>
              <w:t>PeriodicalReportConfigNR-SL</w:t>
            </w:r>
            <w:r w:rsidRPr="00FA0D37">
              <w:rPr>
                <w:lang w:eastAsia="sv-SE"/>
              </w:rPr>
              <w:t xml:space="preserve"> field descriptions</w:t>
            </w:r>
          </w:p>
        </w:tc>
      </w:tr>
      <w:tr w:rsidR="005C7FF4" w:rsidRPr="00FA0D37"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FA0D37" w:rsidRDefault="00394471" w:rsidP="00964CC4">
            <w:pPr>
              <w:pStyle w:val="TAL"/>
              <w:rPr>
                <w:b/>
                <w:bCs/>
                <w:i/>
                <w:iCs/>
                <w:lang w:eastAsia="ko-KR"/>
              </w:rPr>
            </w:pPr>
            <w:r w:rsidRPr="00FA0D37">
              <w:rPr>
                <w:b/>
                <w:bCs/>
                <w:i/>
                <w:iCs/>
                <w:lang w:eastAsia="ko-KR"/>
              </w:rPr>
              <w:t>reportAmount</w:t>
            </w:r>
          </w:p>
          <w:p w14:paraId="6333EBCF" w14:textId="77777777" w:rsidR="00394471" w:rsidRPr="00FA0D37" w:rsidRDefault="00394471" w:rsidP="00964CC4">
            <w:pPr>
              <w:pStyle w:val="TAL"/>
              <w:rPr>
                <w:lang w:eastAsia="ko-KR"/>
              </w:rPr>
            </w:pPr>
            <w:r w:rsidRPr="00FA0D37">
              <w:rPr>
                <w:lang w:eastAsia="en-GB"/>
              </w:rPr>
              <w:t xml:space="preserve">Number of measurement reports applicable for </w:t>
            </w:r>
            <w:r w:rsidRPr="00FA0D37">
              <w:rPr>
                <w:i/>
                <w:iCs/>
                <w:lang w:eastAsia="en-GB"/>
              </w:rPr>
              <w:t>eventTriggered</w:t>
            </w:r>
            <w:r w:rsidRPr="00FA0D37">
              <w:rPr>
                <w:lang w:eastAsia="en-GB"/>
              </w:rPr>
              <w:t xml:space="preserve"> as well as for </w:t>
            </w:r>
            <w:r w:rsidRPr="00FA0D37">
              <w:rPr>
                <w:i/>
                <w:iCs/>
                <w:lang w:eastAsia="en-GB"/>
              </w:rPr>
              <w:t>periodical</w:t>
            </w:r>
            <w:r w:rsidRPr="00FA0D37">
              <w:rPr>
                <w:lang w:eastAsia="en-GB"/>
              </w:rPr>
              <w:t xml:space="preserve"> report types.</w:t>
            </w:r>
          </w:p>
        </w:tc>
      </w:tr>
      <w:tr w:rsidR="00394471" w:rsidRPr="00FA0D37"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FA0D37" w:rsidRDefault="00394471" w:rsidP="00964CC4">
            <w:pPr>
              <w:pStyle w:val="TAL"/>
              <w:rPr>
                <w:b/>
                <w:bCs/>
                <w:i/>
                <w:iCs/>
                <w:lang w:eastAsia="ko-KR"/>
              </w:rPr>
            </w:pPr>
            <w:r w:rsidRPr="00FA0D37">
              <w:rPr>
                <w:b/>
                <w:bCs/>
                <w:i/>
                <w:iCs/>
                <w:lang w:eastAsia="ko-KR"/>
              </w:rPr>
              <w:t>reportQuantity</w:t>
            </w:r>
          </w:p>
          <w:p w14:paraId="6F6AE5DA" w14:textId="77777777" w:rsidR="00394471" w:rsidRPr="00FA0D37" w:rsidRDefault="00394471" w:rsidP="00964CC4">
            <w:pPr>
              <w:pStyle w:val="TAL"/>
              <w:rPr>
                <w:lang w:eastAsia="ko-KR"/>
              </w:rPr>
            </w:pPr>
            <w:r w:rsidRPr="00FA0D37">
              <w:rPr>
                <w:lang w:eastAsia="en-GB"/>
              </w:rPr>
              <w:t>The sidelink measurement quantities to be included in the measurement report. In this release, this is set as the CBR measurement result.</w:t>
            </w:r>
          </w:p>
        </w:tc>
      </w:tr>
    </w:tbl>
    <w:p w14:paraId="0339650D" w14:textId="77777777" w:rsidR="00394471" w:rsidRPr="00FA0D37" w:rsidRDefault="00394471" w:rsidP="00394471"/>
    <w:p w14:paraId="4BE6479D" w14:textId="77777777" w:rsidR="00394471" w:rsidRPr="00FA0D37" w:rsidRDefault="00394471" w:rsidP="00394471">
      <w:pPr>
        <w:pStyle w:val="4"/>
        <w:rPr>
          <w:rFonts w:eastAsia="MS Mincho"/>
        </w:rPr>
      </w:pPr>
      <w:bookmarkStart w:id="1323" w:name="_Toc60777352"/>
      <w:bookmarkStart w:id="1324" w:name="_Toc146781433"/>
      <w:r w:rsidRPr="00FA0D37">
        <w:rPr>
          <w:rFonts w:eastAsia="MS Mincho"/>
        </w:rPr>
        <w:t>–</w:t>
      </w:r>
      <w:r w:rsidRPr="00FA0D37">
        <w:rPr>
          <w:rFonts w:eastAsia="MS Mincho"/>
        </w:rPr>
        <w:tab/>
      </w:r>
      <w:r w:rsidRPr="00FA0D37">
        <w:rPr>
          <w:rFonts w:eastAsia="MS Mincho"/>
          <w:i/>
        </w:rPr>
        <w:t>ReportConfigToAddModList</w:t>
      </w:r>
      <w:bookmarkEnd w:id="1323"/>
      <w:bookmarkEnd w:id="1324"/>
    </w:p>
    <w:p w14:paraId="5C562C1A" w14:textId="77777777" w:rsidR="00394471" w:rsidRPr="00FA0D37" w:rsidRDefault="00394471" w:rsidP="00394471">
      <w:pPr>
        <w:rPr>
          <w:rFonts w:eastAsia="MS Mincho"/>
        </w:rPr>
      </w:pPr>
      <w:r w:rsidRPr="00FA0D37">
        <w:t xml:space="preserve">The IE </w:t>
      </w:r>
      <w:r w:rsidRPr="00FA0D37">
        <w:rPr>
          <w:i/>
        </w:rPr>
        <w:t>ReportConfigToAddModList</w:t>
      </w:r>
      <w:r w:rsidRPr="00FA0D37">
        <w:t xml:space="preserve"> concerns a list of reporting configurations to add or modify.</w:t>
      </w:r>
    </w:p>
    <w:p w14:paraId="70E6B8A9" w14:textId="77777777" w:rsidR="00394471" w:rsidRPr="00FA0D37" w:rsidRDefault="00394471" w:rsidP="00394471">
      <w:pPr>
        <w:pStyle w:val="TH"/>
      </w:pPr>
      <w:r w:rsidRPr="00FA0D37">
        <w:t>ReportConfigToAddModList information element</w:t>
      </w:r>
    </w:p>
    <w:p w14:paraId="5E4715B7" w14:textId="77777777" w:rsidR="00394471" w:rsidRPr="00FA0D37" w:rsidRDefault="00394471" w:rsidP="00FA0D37">
      <w:pPr>
        <w:pStyle w:val="PL"/>
        <w:rPr>
          <w:color w:val="808080"/>
        </w:rPr>
      </w:pPr>
      <w:r w:rsidRPr="00FA0D37">
        <w:rPr>
          <w:color w:val="808080"/>
        </w:rPr>
        <w:t>-- ASN1START</w:t>
      </w:r>
    </w:p>
    <w:p w14:paraId="68190417" w14:textId="77777777" w:rsidR="00394471" w:rsidRPr="00FA0D37" w:rsidRDefault="00394471" w:rsidP="00FA0D37">
      <w:pPr>
        <w:pStyle w:val="PL"/>
        <w:rPr>
          <w:color w:val="808080"/>
        </w:rPr>
      </w:pPr>
      <w:r w:rsidRPr="00FA0D37">
        <w:rPr>
          <w:color w:val="808080"/>
        </w:rPr>
        <w:t>-- TAG-REPORTCONFIGTOADDMODLIST-START</w:t>
      </w:r>
    </w:p>
    <w:p w14:paraId="22BED4CD" w14:textId="77777777" w:rsidR="00394471" w:rsidRPr="00FA0D37" w:rsidRDefault="00394471" w:rsidP="00FA0D37">
      <w:pPr>
        <w:pStyle w:val="PL"/>
      </w:pPr>
    </w:p>
    <w:p w14:paraId="0DF68C46" w14:textId="77777777" w:rsidR="00394471" w:rsidRPr="00FA0D37" w:rsidRDefault="00394471" w:rsidP="00FA0D37">
      <w:pPr>
        <w:pStyle w:val="PL"/>
      </w:pPr>
      <w:r w:rsidRPr="00FA0D37">
        <w:t xml:space="preserve">ReportConfigToAddModList ::=        </w:t>
      </w:r>
      <w:r w:rsidRPr="00FA0D37">
        <w:rPr>
          <w:color w:val="993366"/>
        </w:rPr>
        <w:t>SEQUENCE</w:t>
      </w:r>
      <w:r w:rsidRPr="00FA0D37">
        <w:t xml:space="preserve"> (</w:t>
      </w:r>
      <w:r w:rsidRPr="00FA0D37">
        <w:rPr>
          <w:color w:val="993366"/>
        </w:rPr>
        <w:t>SIZE</w:t>
      </w:r>
      <w:r w:rsidRPr="00FA0D37">
        <w:t xml:space="preserve"> (1..maxReportConfigId))</w:t>
      </w:r>
      <w:r w:rsidRPr="00FA0D37">
        <w:rPr>
          <w:color w:val="993366"/>
        </w:rPr>
        <w:t xml:space="preserve"> OF</w:t>
      </w:r>
      <w:r w:rsidRPr="00FA0D37">
        <w:t xml:space="preserve"> ReportConfigToAddMod</w:t>
      </w:r>
    </w:p>
    <w:p w14:paraId="46701E10" w14:textId="77777777" w:rsidR="00394471" w:rsidRPr="00FA0D37" w:rsidRDefault="00394471" w:rsidP="00FA0D37">
      <w:pPr>
        <w:pStyle w:val="PL"/>
      </w:pPr>
    </w:p>
    <w:p w14:paraId="563E3456" w14:textId="77777777" w:rsidR="00394471" w:rsidRPr="00FA0D37" w:rsidRDefault="00394471" w:rsidP="00FA0D37">
      <w:pPr>
        <w:pStyle w:val="PL"/>
      </w:pPr>
      <w:r w:rsidRPr="00FA0D37">
        <w:t xml:space="preserve">ReportConfigToAddMod ::=            </w:t>
      </w:r>
      <w:r w:rsidRPr="00FA0D37">
        <w:rPr>
          <w:color w:val="993366"/>
        </w:rPr>
        <w:t>SEQUENCE</w:t>
      </w:r>
      <w:r w:rsidRPr="00FA0D37">
        <w:t xml:space="preserve"> {</w:t>
      </w:r>
    </w:p>
    <w:p w14:paraId="2B6AAFFE" w14:textId="77777777" w:rsidR="00394471" w:rsidRPr="00FA0D37" w:rsidRDefault="00394471" w:rsidP="00FA0D37">
      <w:pPr>
        <w:pStyle w:val="PL"/>
      </w:pPr>
      <w:r w:rsidRPr="00FA0D37">
        <w:t xml:space="preserve">    reportConfigId                      ReportConfigId,</w:t>
      </w:r>
    </w:p>
    <w:p w14:paraId="36EE7A91" w14:textId="77777777" w:rsidR="00394471" w:rsidRPr="00FA0D37" w:rsidRDefault="00394471" w:rsidP="00FA0D37">
      <w:pPr>
        <w:pStyle w:val="PL"/>
      </w:pPr>
      <w:r w:rsidRPr="00FA0D37">
        <w:t xml:space="preserve">    reportConfig                        </w:t>
      </w:r>
      <w:r w:rsidRPr="00FA0D37">
        <w:rPr>
          <w:color w:val="993366"/>
        </w:rPr>
        <w:t>CHOICE</w:t>
      </w:r>
      <w:r w:rsidRPr="00FA0D37">
        <w:t xml:space="preserve"> {</w:t>
      </w:r>
    </w:p>
    <w:p w14:paraId="75E0D79A" w14:textId="77777777" w:rsidR="00394471" w:rsidRPr="00FA0D37" w:rsidRDefault="00394471" w:rsidP="00FA0D37">
      <w:pPr>
        <w:pStyle w:val="PL"/>
      </w:pPr>
      <w:r w:rsidRPr="00FA0D37">
        <w:t xml:space="preserve">        reportConfigNR                      ReportConfigNR,</w:t>
      </w:r>
    </w:p>
    <w:p w14:paraId="4DBC215C" w14:textId="77777777" w:rsidR="00394471" w:rsidRPr="00FA0D37" w:rsidRDefault="00394471" w:rsidP="00FA0D37">
      <w:pPr>
        <w:pStyle w:val="PL"/>
      </w:pPr>
      <w:r w:rsidRPr="00FA0D37">
        <w:t xml:space="preserve">        ...,</w:t>
      </w:r>
    </w:p>
    <w:p w14:paraId="4558AE59" w14:textId="77777777" w:rsidR="00394471" w:rsidRPr="00FA0D37" w:rsidRDefault="00394471" w:rsidP="00FA0D37">
      <w:pPr>
        <w:pStyle w:val="PL"/>
      </w:pPr>
      <w:r w:rsidRPr="00FA0D37">
        <w:t xml:space="preserve">        reportConfigInterRAT                ReportConfigInterRAT,</w:t>
      </w:r>
    </w:p>
    <w:p w14:paraId="762563B2" w14:textId="77777777" w:rsidR="00394471" w:rsidRPr="00FA0D37" w:rsidRDefault="00394471" w:rsidP="00FA0D37">
      <w:pPr>
        <w:pStyle w:val="PL"/>
      </w:pPr>
      <w:r w:rsidRPr="00FA0D37">
        <w:t xml:space="preserve">        reportConfigNR-SL-r16               ReportConfigNR-SL-r16</w:t>
      </w:r>
    </w:p>
    <w:p w14:paraId="136E9BED" w14:textId="77777777" w:rsidR="00394471" w:rsidRPr="00FA0D37" w:rsidRDefault="00394471" w:rsidP="00FA0D37">
      <w:pPr>
        <w:pStyle w:val="PL"/>
      </w:pPr>
      <w:r w:rsidRPr="00FA0D37">
        <w:t xml:space="preserve">    }</w:t>
      </w:r>
    </w:p>
    <w:p w14:paraId="15609B1B" w14:textId="77777777" w:rsidR="00394471" w:rsidRPr="00FA0D37" w:rsidRDefault="00394471" w:rsidP="00FA0D37">
      <w:pPr>
        <w:pStyle w:val="PL"/>
      </w:pPr>
      <w:r w:rsidRPr="00FA0D37">
        <w:t>}</w:t>
      </w:r>
    </w:p>
    <w:p w14:paraId="362B23A4" w14:textId="77777777" w:rsidR="00394471" w:rsidRPr="00FA0D37" w:rsidRDefault="00394471" w:rsidP="00FA0D37">
      <w:pPr>
        <w:pStyle w:val="PL"/>
      </w:pPr>
    </w:p>
    <w:p w14:paraId="30031356" w14:textId="77777777" w:rsidR="00394471" w:rsidRPr="00FA0D37" w:rsidRDefault="00394471" w:rsidP="00FA0D37">
      <w:pPr>
        <w:pStyle w:val="PL"/>
        <w:rPr>
          <w:color w:val="808080"/>
        </w:rPr>
      </w:pPr>
      <w:r w:rsidRPr="00FA0D37">
        <w:rPr>
          <w:color w:val="808080"/>
        </w:rPr>
        <w:t>-- TAG-REPORTCONFIGTOADDMODLIST-STOP</w:t>
      </w:r>
    </w:p>
    <w:p w14:paraId="01098C09" w14:textId="77777777" w:rsidR="00394471" w:rsidRPr="00FA0D37" w:rsidRDefault="00394471" w:rsidP="00FA0D37">
      <w:pPr>
        <w:pStyle w:val="PL"/>
        <w:rPr>
          <w:color w:val="808080"/>
        </w:rPr>
      </w:pPr>
      <w:r w:rsidRPr="00FA0D37">
        <w:rPr>
          <w:color w:val="808080"/>
        </w:rPr>
        <w:t>-- ASN1STOP</w:t>
      </w:r>
    </w:p>
    <w:p w14:paraId="664DD4D0" w14:textId="77777777" w:rsidR="00394471" w:rsidRPr="00FA0D37" w:rsidRDefault="00394471" w:rsidP="00394471"/>
    <w:p w14:paraId="52EA1B76" w14:textId="77777777" w:rsidR="00394471" w:rsidRPr="00FA0D37" w:rsidRDefault="00394471" w:rsidP="00394471">
      <w:pPr>
        <w:pStyle w:val="4"/>
        <w:rPr>
          <w:rFonts w:eastAsia="MS Mincho"/>
        </w:rPr>
      </w:pPr>
      <w:bookmarkStart w:id="1325" w:name="_Toc60777353"/>
      <w:bookmarkStart w:id="1326" w:name="_Toc146781434"/>
      <w:r w:rsidRPr="00FA0D37">
        <w:rPr>
          <w:rFonts w:eastAsia="MS Mincho"/>
        </w:rPr>
        <w:lastRenderedPageBreak/>
        <w:t>–</w:t>
      </w:r>
      <w:r w:rsidRPr="00FA0D37">
        <w:rPr>
          <w:rFonts w:eastAsia="MS Mincho"/>
        </w:rPr>
        <w:tab/>
      </w:r>
      <w:r w:rsidRPr="00FA0D37">
        <w:rPr>
          <w:rFonts w:eastAsia="MS Mincho"/>
          <w:i/>
        </w:rPr>
        <w:t>ReportInterval</w:t>
      </w:r>
      <w:bookmarkEnd w:id="1325"/>
      <w:bookmarkEnd w:id="1326"/>
    </w:p>
    <w:p w14:paraId="7A2C5262" w14:textId="1AB88C1E" w:rsidR="00394471" w:rsidRPr="00FA0D37" w:rsidRDefault="00394471" w:rsidP="00394471">
      <w:pPr>
        <w:rPr>
          <w:rFonts w:eastAsia="MS Mincho"/>
        </w:rPr>
      </w:pPr>
      <w:r w:rsidRPr="00FA0D37">
        <w:t xml:space="preserve">The IE </w:t>
      </w:r>
      <w:r w:rsidRPr="00FA0D37">
        <w:rPr>
          <w:i/>
        </w:rPr>
        <w:t xml:space="preserve">ReportInterval </w:t>
      </w:r>
      <w:r w:rsidRPr="00FA0D37">
        <w:rPr>
          <w:iCs/>
        </w:rPr>
        <w:t xml:space="preserve">indicates the interval between periodical reports. </w:t>
      </w:r>
      <w:r w:rsidRPr="00FA0D37">
        <w:t xml:space="preserve">The </w:t>
      </w:r>
      <w:r w:rsidRPr="00FA0D37">
        <w:rPr>
          <w:i/>
        </w:rPr>
        <w:t>ReportInterval</w:t>
      </w:r>
      <w:r w:rsidRPr="00FA0D37">
        <w:t xml:space="preserve"> is </w:t>
      </w:r>
      <w:r w:rsidRPr="00FA0D37">
        <w:rPr>
          <w:iCs/>
        </w:rPr>
        <w:t xml:space="preserve">applicable if the UE performs periodical reporting (i.e. when </w:t>
      </w:r>
      <w:r w:rsidRPr="00FA0D37">
        <w:rPr>
          <w:i/>
          <w:iCs/>
        </w:rPr>
        <w:t>reportAmount</w:t>
      </w:r>
      <w:r w:rsidRPr="00FA0D37">
        <w:rPr>
          <w:iCs/>
        </w:rPr>
        <w:t xml:space="preserve"> exceeds 1) </w:t>
      </w:r>
      <w:r w:rsidR="00654402" w:rsidRPr="00FA0D37">
        <w:rPr>
          <w:iCs/>
        </w:rPr>
        <w:t>whe</w:t>
      </w:r>
      <w:r w:rsidR="00654402" w:rsidRPr="00FA0D37">
        <w:rPr>
          <w:iCs/>
          <w:lang w:eastAsia="ko-KR"/>
        </w:rPr>
        <w:t>n</w:t>
      </w:r>
      <w:r w:rsidR="00654402" w:rsidRPr="00FA0D37">
        <w:rPr>
          <w:i/>
          <w:iCs/>
          <w:lang w:eastAsia="ko-KR"/>
        </w:rPr>
        <w:t xml:space="preserve"> reportType </w:t>
      </w:r>
      <w:r w:rsidR="00654402" w:rsidRPr="00FA0D37">
        <w:rPr>
          <w:iCs/>
          <w:lang w:eastAsia="ko-KR"/>
        </w:rPr>
        <w:t xml:space="preserve">is set to either </w:t>
      </w:r>
      <w:r w:rsidR="00654402" w:rsidRPr="00FA0D37">
        <w:rPr>
          <w:i/>
          <w:iCs/>
          <w:lang w:eastAsia="ko-KR"/>
        </w:rPr>
        <w:t>eventTriggered</w:t>
      </w:r>
      <w:r w:rsidR="00654402" w:rsidRPr="00FA0D37">
        <w:rPr>
          <w:iCs/>
          <w:lang w:eastAsia="ko-KR"/>
        </w:rPr>
        <w:t xml:space="preserve">, </w:t>
      </w:r>
      <w:r w:rsidR="00654402" w:rsidRPr="00FA0D37">
        <w:rPr>
          <w:i/>
          <w:iCs/>
          <w:lang w:eastAsia="ko-KR"/>
        </w:rPr>
        <w:t>periodical</w:t>
      </w:r>
      <w:r w:rsidR="00654402" w:rsidRPr="00FA0D37">
        <w:rPr>
          <w:iCs/>
          <w:lang w:eastAsia="ko-KR"/>
        </w:rPr>
        <w:t xml:space="preserve">, </w:t>
      </w:r>
      <w:r w:rsidR="00654402" w:rsidRPr="00FA0D37">
        <w:rPr>
          <w:i/>
          <w:iCs/>
          <w:lang w:eastAsia="ko-KR"/>
        </w:rPr>
        <w:t>cli-EventTriggered</w:t>
      </w:r>
      <w:r w:rsidR="00654402" w:rsidRPr="00FA0D37">
        <w:rPr>
          <w:iCs/>
          <w:lang w:eastAsia="ko-KR"/>
        </w:rPr>
        <w:t xml:space="preserve"> or </w:t>
      </w:r>
      <w:r w:rsidR="00654402" w:rsidRPr="00FA0D37">
        <w:rPr>
          <w:i/>
          <w:iCs/>
          <w:lang w:eastAsia="ko-KR"/>
        </w:rPr>
        <w:t>cli-Periodical</w:t>
      </w:r>
      <w:r w:rsidRPr="00FA0D37">
        <w:t xml:space="preserve">. Value </w:t>
      </w:r>
      <w:r w:rsidRPr="00FA0D37">
        <w:rPr>
          <w:i/>
        </w:rPr>
        <w:t>ms120</w:t>
      </w:r>
      <w:r w:rsidRPr="00FA0D37">
        <w:t xml:space="preserve"> corresponds to 120 ms, value </w:t>
      </w:r>
      <w:r w:rsidRPr="00FA0D37">
        <w:rPr>
          <w:i/>
        </w:rPr>
        <w:t>ms240</w:t>
      </w:r>
      <w:r w:rsidRPr="00FA0D37">
        <w:t xml:space="preserve"> corresponds to 240 ms and so on, while value </w:t>
      </w:r>
      <w:r w:rsidRPr="00FA0D37">
        <w:rPr>
          <w:i/>
        </w:rPr>
        <w:t>min1</w:t>
      </w:r>
      <w:r w:rsidRPr="00FA0D37">
        <w:t xml:space="preserve"> corresponds to 1 min, </w:t>
      </w:r>
      <w:r w:rsidRPr="00FA0D37">
        <w:rPr>
          <w:i/>
        </w:rPr>
        <w:t>min6</w:t>
      </w:r>
      <w:r w:rsidRPr="00FA0D37">
        <w:t xml:space="preserve"> corresponds to 6 min and so on.</w:t>
      </w:r>
    </w:p>
    <w:p w14:paraId="1161759C" w14:textId="77777777" w:rsidR="00394471" w:rsidRPr="00FA0D37" w:rsidRDefault="00394471" w:rsidP="00394471">
      <w:pPr>
        <w:pStyle w:val="TH"/>
      </w:pPr>
      <w:r w:rsidRPr="00FA0D37">
        <w:rPr>
          <w:bCs/>
          <w:i/>
          <w:iCs/>
        </w:rPr>
        <w:t xml:space="preserve">ReportInterval </w:t>
      </w:r>
      <w:r w:rsidRPr="00FA0D37">
        <w:t>information element</w:t>
      </w:r>
    </w:p>
    <w:p w14:paraId="62E9ACD3" w14:textId="77777777" w:rsidR="00394471" w:rsidRPr="00FA0D37" w:rsidRDefault="00394471" w:rsidP="00FA0D37">
      <w:pPr>
        <w:pStyle w:val="PL"/>
        <w:rPr>
          <w:color w:val="808080"/>
        </w:rPr>
      </w:pPr>
      <w:r w:rsidRPr="00FA0D37">
        <w:rPr>
          <w:color w:val="808080"/>
        </w:rPr>
        <w:t>-- ASN1START</w:t>
      </w:r>
    </w:p>
    <w:p w14:paraId="3997FB9C" w14:textId="77777777" w:rsidR="00394471" w:rsidRPr="00FA0D37" w:rsidRDefault="00394471" w:rsidP="00FA0D37">
      <w:pPr>
        <w:pStyle w:val="PL"/>
        <w:rPr>
          <w:color w:val="808080"/>
        </w:rPr>
      </w:pPr>
      <w:r w:rsidRPr="00FA0D37">
        <w:rPr>
          <w:color w:val="808080"/>
        </w:rPr>
        <w:t>-- TAG-REPORTINTERVAL-START</w:t>
      </w:r>
    </w:p>
    <w:p w14:paraId="169C6B2A" w14:textId="77777777" w:rsidR="00394471" w:rsidRPr="00FA0D37" w:rsidRDefault="00394471" w:rsidP="00FA0D37">
      <w:pPr>
        <w:pStyle w:val="PL"/>
      </w:pPr>
    </w:p>
    <w:p w14:paraId="09C7D56C" w14:textId="77777777" w:rsidR="00394471" w:rsidRPr="00FA0D37" w:rsidRDefault="00394471" w:rsidP="00FA0D37">
      <w:pPr>
        <w:pStyle w:val="PL"/>
      </w:pPr>
      <w:r w:rsidRPr="00FA0D37">
        <w:t xml:space="preserve">ReportInterval ::=                  </w:t>
      </w:r>
      <w:r w:rsidRPr="00FA0D37">
        <w:rPr>
          <w:color w:val="993366"/>
        </w:rPr>
        <w:t>ENUMERATED</w:t>
      </w:r>
      <w:r w:rsidRPr="00FA0D37">
        <w:t xml:space="preserve"> {ms120, ms240, ms480, ms640, ms1024, ms2048, ms5120, ms10240, ms20480, ms40960,</w:t>
      </w:r>
    </w:p>
    <w:p w14:paraId="52533553" w14:textId="77777777" w:rsidR="00394471" w:rsidRPr="00FA0D37" w:rsidRDefault="00394471" w:rsidP="00FA0D37">
      <w:pPr>
        <w:pStyle w:val="PL"/>
      </w:pPr>
      <w:r w:rsidRPr="00FA0D37">
        <w:t xml:space="preserve">                                                    min1,min6, min12, min30 }</w:t>
      </w:r>
    </w:p>
    <w:p w14:paraId="5D31879E" w14:textId="77777777" w:rsidR="00394471" w:rsidRPr="00FA0D37" w:rsidRDefault="00394471" w:rsidP="00FA0D37">
      <w:pPr>
        <w:pStyle w:val="PL"/>
      </w:pPr>
    </w:p>
    <w:p w14:paraId="502CA9C4" w14:textId="77777777" w:rsidR="00394471" w:rsidRPr="00FA0D37" w:rsidRDefault="00394471" w:rsidP="00FA0D37">
      <w:pPr>
        <w:pStyle w:val="PL"/>
        <w:rPr>
          <w:color w:val="808080"/>
        </w:rPr>
      </w:pPr>
      <w:r w:rsidRPr="00FA0D37">
        <w:rPr>
          <w:color w:val="808080"/>
        </w:rPr>
        <w:t>-- TAG-REPORTINTERVAL-STOP</w:t>
      </w:r>
    </w:p>
    <w:p w14:paraId="5C799739" w14:textId="77777777" w:rsidR="00394471" w:rsidRPr="00FA0D37" w:rsidRDefault="00394471" w:rsidP="00FA0D37">
      <w:pPr>
        <w:pStyle w:val="PL"/>
        <w:rPr>
          <w:color w:val="808080"/>
        </w:rPr>
      </w:pPr>
      <w:r w:rsidRPr="00FA0D37">
        <w:rPr>
          <w:color w:val="808080"/>
        </w:rPr>
        <w:t>-- ASN1STOP</w:t>
      </w:r>
    </w:p>
    <w:p w14:paraId="3FAB4970" w14:textId="77777777" w:rsidR="00394471" w:rsidRPr="00FA0D37" w:rsidRDefault="00394471" w:rsidP="00394471"/>
    <w:p w14:paraId="292D1E76" w14:textId="77777777" w:rsidR="00394471" w:rsidRPr="00FA0D37" w:rsidRDefault="00394471" w:rsidP="00394471">
      <w:pPr>
        <w:pStyle w:val="4"/>
        <w:rPr>
          <w:rFonts w:eastAsia="宋体"/>
        </w:rPr>
      </w:pPr>
      <w:bookmarkStart w:id="1327" w:name="_Toc60777354"/>
      <w:bookmarkStart w:id="1328" w:name="_Toc146781435"/>
      <w:r w:rsidRPr="00FA0D37">
        <w:rPr>
          <w:rFonts w:eastAsia="宋体"/>
        </w:rPr>
        <w:t>–</w:t>
      </w:r>
      <w:r w:rsidRPr="00FA0D37">
        <w:rPr>
          <w:rFonts w:eastAsia="宋体"/>
        </w:rPr>
        <w:tab/>
      </w:r>
      <w:r w:rsidRPr="00FA0D37">
        <w:rPr>
          <w:rFonts w:eastAsia="宋体"/>
          <w:i/>
        </w:rPr>
        <w:t>ReselectionThreshold</w:t>
      </w:r>
      <w:bookmarkEnd w:id="1327"/>
      <w:bookmarkEnd w:id="1328"/>
    </w:p>
    <w:p w14:paraId="42F6675D" w14:textId="77777777" w:rsidR="00394471" w:rsidRPr="00FA0D37" w:rsidRDefault="00394471" w:rsidP="00394471">
      <w:pPr>
        <w:rPr>
          <w:rFonts w:eastAsia="宋体"/>
        </w:rPr>
      </w:pPr>
      <w:r w:rsidRPr="00FA0D37">
        <w:rPr>
          <w:noProof/>
        </w:rPr>
        <w:t>The IE</w:t>
      </w:r>
      <w:r w:rsidRPr="00FA0D37">
        <w:rPr>
          <w:i/>
          <w:noProof/>
        </w:rPr>
        <w:t xml:space="preserve"> ReselectionThreshold</w:t>
      </w:r>
      <w:r w:rsidRPr="00FA0D37">
        <w:t xml:space="preserve"> is used to indicate an Rx level threshold for cell reselection. Actual value of threshold = field value * 2 [dB].</w:t>
      </w:r>
    </w:p>
    <w:p w14:paraId="01E8341B" w14:textId="77777777" w:rsidR="00394471" w:rsidRPr="00FA0D37" w:rsidRDefault="00394471" w:rsidP="00394471">
      <w:pPr>
        <w:pStyle w:val="TH"/>
      </w:pPr>
      <w:r w:rsidRPr="00FA0D37">
        <w:rPr>
          <w:bCs/>
          <w:i/>
          <w:iCs/>
        </w:rPr>
        <w:t xml:space="preserve">ReselectionThreshold </w:t>
      </w:r>
      <w:r w:rsidRPr="00FA0D37">
        <w:t>information element</w:t>
      </w:r>
    </w:p>
    <w:p w14:paraId="442390B4" w14:textId="77777777" w:rsidR="00394471" w:rsidRPr="00FA0D37" w:rsidRDefault="00394471" w:rsidP="00FA0D37">
      <w:pPr>
        <w:pStyle w:val="PL"/>
        <w:rPr>
          <w:color w:val="808080"/>
        </w:rPr>
      </w:pPr>
      <w:r w:rsidRPr="00FA0D37">
        <w:rPr>
          <w:color w:val="808080"/>
        </w:rPr>
        <w:t>-- ASN1START</w:t>
      </w:r>
    </w:p>
    <w:p w14:paraId="23731945" w14:textId="77777777" w:rsidR="00394471" w:rsidRPr="00FA0D37" w:rsidRDefault="00394471" w:rsidP="00FA0D37">
      <w:pPr>
        <w:pStyle w:val="PL"/>
        <w:rPr>
          <w:color w:val="808080"/>
        </w:rPr>
      </w:pPr>
      <w:r w:rsidRPr="00FA0D37">
        <w:rPr>
          <w:color w:val="808080"/>
        </w:rPr>
        <w:t>-- TAG-RESELECTIONTHRESHOLD-START</w:t>
      </w:r>
    </w:p>
    <w:p w14:paraId="119D2850" w14:textId="77777777" w:rsidR="00394471" w:rsidRPr="00FA0D37" w:rsidRDefault="00394471" w:rsidP="00FA0D37">
      <w:pPr>
        <w:pStyle w:val="PL"/>
      </w:pPr>
    </w:p>
    <w:p w14:paraId="55203A09" w14:textId="77777777" w:rsidR="00394471" w:rsidRPr="00FA0D37" w:rsidRDefault="00394471" w:rsidP="00FA0D37">
      <w:pPr>
        <w:pStyle w:val="PL"/>
      </w:pPr>
      <w:r w:rsidRPr="00FA0D37">
        <w:t xml:space="preserve">ReselectionThreshold ::=                </w:t>
      </w:r>
      <w:r w:rsidRPr="00FA0D37">
        <w:rPr>
          <w:color w:val="993366"/>
        </w:rPr>
        <w:t>INTEGER</w:t>
      </w:r>
      <w:r w:rsidRPr="00FA0D37">
        <w:t xml:space="preserve"> (0..31)</w:t>
      </w:r>
    </w:p>
    <w:p w14:paraId="505F5538" w14:textId="77777777" w:rsidR="00394471" w:rsidRPr="00FA0D37" w:rsidRDefault="00394471" w:rsidP="00FA0D37">
      <w:pPr>
        <w:pStyle w:val="PL"/>
      </w:pPr>
    </w:p>
    <w:p w14:paraId="74551909" w14:textId="77777777" w:rsidR="00394471" w:rsidRPr="00FA0D37" w:rsidRDefault="00394471" w:rsidP="00FA0D37">
      <w:pPr>
        <w:pStyle w:val="PL"/>
        <w:rPr>
          <w:color w:val="808080"/>
        </w:rPr>
      </w:pPr>
      <w:r w:rsidRPr="00FA0D37">
        <w:rPr>
          <w:color w:val="808080"/>
        </w:rPr>
        <w:t>-- TAG-RESELECTIONTHRESHOLD-STOP</w:t>
      </w:r>
    </w:p>
    <w:p w14:paraId="7FAE6A59" w14:textId="77777777" w:rsidR="00394471" w:rsidRPr="00FA0D37" w:rsidRDefault="00394471" w:rsidP="00FA0D37">
      <w:pPr>
        <w:pStyle w:val="PL"/>
        <w:rPr>
          <w:rFonts w:eastAsia="宋体"/>
          <w:color w:val="808080"/>
        </w:rPr>
      </w:pPr>
      <w:r w:rsidRPr="00FA0D37">
        <w:rPr>
          <w:color w:val="808080"/>
        </w:rPr>
        <w:t>-- ASN1STOP</w:t>
      </w:r>
    </w:p>
    <w:p w14:paraId="6132D0BD" w14:textId="77777777" w:rsidR="00394471" w:rsidRPr="00FA0D37" w:rsidRDefault="00394471" w:rsidP="00394471"/>
    <w:p w14:paraId="757EDEF7" w14:textId="77777777" w:rsidR="00394471" w:rsidRPr="00FA0D37" w:rsidRDefault="00394471" w:rsidP="00394471">
      <w:pPr>
        <w:pStyle w:val="4"/>
        <w:rPr>
          <w:rFonts w:eastAsia="宋体"/>
        </w:rPr>
      </w:pPr>
      <w:bookmarkStart w:id="1329" w:name="_Toc60777355"/>
      <w:bookmarkStart w:id="1330" w:name="_Toc146781436"/>
      <w:r w:rsidRPr="00FA0D37">
        <w:rPr>
          <w:rFonts w:eastAsia="宋体"/>
        </w:rPr>
        <w:t>–</w:t>
      </w:r>
      <w:r w:rsidRPr="00FA0D37">
        <w:rPr>
          <w:rFonts w:eastAsia="宋体"/>
        </w:rPr>
        <w:tab/>
      </w:r>
      <w:r w:rsidRPr="00FA0D37">
        <w:rPr>
          <w:rFonts w:eastAsia="宋体"/>
          <w:i/>
        </w:rPr>
        <w:t>ReselectionThresholdQ</w:t>
      </w:r>
      <w:bookmarkEnd w:id="1329"/>
      <w:bookmarkEnd w:id="1330"/>
    </w:p>
    <w:p w14:paraId="1F3C90AF" w14:textId="77777777" w:rsidR="00394471" w:rsidRPr="00FA0D37" w:rsidRDefault="00394471" w:rsidP="00394471">
      <w:pPr>
        <w:rPr>
          <w:rFonts w:eastAsia="宋体"/>
        </w:rPr>
      </w:pPr>
      <w:r w:rsidRPr="00FA0D37">
        <w:t xml:space="preserve">The IE </w:t>
      </w:r>
      <w:r w:rsidRPr="00FA0D37">
        <w:rPr>
          <w:i/>
          <w:noProof/>
        </w:rPr>
        <w:t>ReselectionThresholdQ</w:t>
      </w:r>
      <w:r w:rsidRPr="00FA0D37">
        <w:t xml:space="preserve"> is used to indicate a quality level threshold for cell reselection. Actual value of threshold = field value [dB].</w:t>
      </w:r>
    </w:p>
    <w:p w14:paraId="7187533A" w14:textId="77777777" w:rsidR="00394471" w:rsidRPr="00FA0D37" w:rsidRDefault="00394471" w:rsidP="00394471">
      <w:pPr>
        <w:pStyle w:val="TH"/>
      </w:pPr>
      <w:r w:rsidRPr="00FA0D37">
        <w:rPr>
          <w:bCs/>
          <w:i/>
          <w:iCs/>
        </w:rPr>
        <w:t xml:space="preserve">ReselectionThresholdQ </w:t>
      </w:r>
      <w:r w:rsidRPr="00FA0D37">
        <w:t>information element</w:t>
      </w:r>
    </w:p>
    <w:p w14:paraId="6F90C71D" w14:textId="77777777" w:rsidR="00394471" w:rsidRPr="00FA0D37" w:rsidRDefault="00394471" w:rsidP="00FA0D37">
      <w:pPr>
        <w:pStyle w:val="PL"/>
        <w:rPr>
          <w:color w:val="808080"/>
        </w:rPr>
      </w:pPr>
      <w:r w:rsidRPr="00FA0D37">
        <w:rPr>
          <w:color w:val="808080"/>
        </w:rPr>
        <w:t>-- ASN1START</w:t>
      </w:r>
    </w:p>
    <w:p w14:paraId="203384DF" w14:textId="77777777" w:rsidR="00394471" w:rsidRPr="00FA0D37" w:rsidRDefault="00394471" w:rsidP="00FA0D37">
      <w:pPr>
        <w:pStyle w:val="PL"/>
        <w:rPr>
          <w:color w:val="808080"/>
        </w:rPr>
      </w:pPr>
      <w:r w:rsidRPr="00FA0D37">
        <w:rPr>
          <w:color w:val="808080"/>
        </w:rPr>
        <w:t>-- TAG-RESELECTIONTHRESHOLDQ-START</w:t>
      </w:r>
    </w:p>
    <w:p w14:paraId="737D10B0" w14:textId="77777777" w:rsidR="00394471" w:rsidRPr="00FA0D37" w:rsidRDefault="00394471" w:rsidP="00FA0D37">
      <w:pPr>
        <w:pStyle w:val="PL"/>
      </w:pPr>
    </w:p>
    <w:p w14:paraId="1FF61A30" w14:textId="77777777" w:rsidR="00394471" w:rsidRPr="00FA0D37" w:rsidRDefault="00394471" w:rsidP="00FA0D37">
      <w:pPr>
        <w:pStyle w:val="PL"/>
      </w:pPr>
      <w:r w:rsidRPr="00FA0D37">
        <w:t xml:space="preserve">ReselectionThresholdQ ::=           </w:t>
      </w:r>
      <w:r w:rsidRPr="00FA0D37">
        <w:rPr>
          <w:color w:val="993366"/>
        </w:rPr>
        <w:t>INTEGER</w:t>
      </w:r>
      <w:r w:rsidRPr="00FA0D37">
        <w:t xml:space="preserve"> (0..31)</w:t>
      </w:r>
    </w:p>
    <w:p w14:paraId="3F576CCB" w14:textId="77777777" w:rsidR="00394471" w:rsidRPr="00FA0D37" w:rsidRDefault="00394471" w:rsidP="00FA0D37">
      <w:pPr>
        <w:pStyle w:val="PL"/>
      </w:pPr>
    </w:p>
    <w:p w14:paraId="17F57AEB" w14:textId="77777777" w:rsidR="00394471" w:rsidRPr="00FA0D37" w:rsidRDefault="00394471" w:rsidP="00FA0D37">
      <w:pPr>
        <w:pStyle w:val="PL"/>
        <w:rPr>
          <w:color w:val="808080"/>
        </w:rPr>
      </w:pPr>
      <w:r w:rsidRPr="00FA0D37">
        <w:rPr>
          <w:color w:val="808080"/>
        </w:rPr>
        <w:t>-- TAG-RESELECTIONTHRESHOLDQ-STOP</w:t>
      </w:r>
    </w:p>
    <w:p w14:paraId="3F7954AD" w14:textId="77777777" w:rsidR="00394471" w:rsidRPr="00FA0D37" w:rsidRDefault="00394471" w:rsidP="00FA0D37">
      <w:pPr>
        <w:pStyle w:val="PL"/>
        <w:rPr>
          <w:rFonts w:eastAsia="宋体"/>
          <w:color w:val="808080"/>
        </w:rPr>
      </w:pPr>
      <w:r w:rsidRPr="00FA0D37">
        <w:rPr>
          <w:color w:val="808080"/>
        </w:rPr>
        <w:t>-- ASN1STOP</w:t>
      </w:r>
    </w:p>
    <w:p w14:paraId="2CB23961" w14:textId="77777777" w:rsidR="00394471" w:rsidRPr="00FA0D37" w:rsidRDefault="00394471" w:rsidP="00394471"/>
    <w:p w14:paraId="4C50117C" w14:textId="77777777" w:rsidR="00394471" w:rsidRPr="00FA0D37" w:rsidRDefault="00394471" w:rsidP="00394471">
      <w:pPr>
        <w:pStyle w:val="4"/>
        <w:rPr>
          <w:rFonts w:eastAsia="宋体"/>
        </w:rPr>
      </w:pPr>
      <w:bookmarkStart w:id="1331" w:name="_Toc60777356"/>
      <w:bookmarkStart w:id="1332" w:name="_Toc146781437"/>
      <w:r w:rsidRPr="00FA0D37">
        <w:rPr>
          <w:rFonts w:eastAsia="宋体"/>
        </w:rPr>
        <w:t>–</w:t>
      </w:r>
      <w:r w:rsidRPr="00FA0D37">
        <w:rPr>
          <w:rFonts w:eastAsia="宋体"/>
        </w:rPr>
        <w:tab/>
      </w:r>
      <w:r w:rsidRPr="00FA0D37">
        <w:rPr>
          <w:rFonts w:eastAsia="宋体"/>
          <w:i/>
        </w:rPr>
        <w:t>ResumeCause</w:t>
      </w:r>
      <w:bookmarkEnd w:id="1331"/>
      <w:bookmarkEnd w:id="1332"/>
    </w:p>
    <w:p w14:paraId="36BB9452" w14:textId="493698C1" w:rsidR="00394471" w:rsidRPr="00FA0D37" w:rsidRDefault="00394471" w:rsidP="00394471">
      <w:pPr>
        <w:rPr>
          <w:rFonts w:eastAsia="宋体"/>
        </w:rPr>
      </w:pPr>
      <w:r w:rsidRPr="00FA0D37">
        <w:t xml:space="preserve">The IE </w:t>
      </w:r>
      <w:r w:rsidRPr="00FA0D37">
        <w:rPr>
          <w:i/>
          <w:noProof/>
        </w:rPr>
        <w:t xml:space="preserve">ResumeCause </w:t>
      </w:r>
      <w:r w:rsidRPr="00FA0D37">
        <w:t xml:space="preserve">is used to indicate the resume cause in </w:t>
      </w:r>
      <w:r w:rsidRPr="00FA0D37">
        <w:rPr>
          <w:i/>
        </w:rPr>
        <w:t>RRCResumeRequest</w:t>
      </w:r>
      <w:r w:rsidR="00954955" w:rsidRPr="00FA0D37">
        <w:rPr>
          <w:iCs/>
        </w:rPr>
        <w:t>,</w:t>
      </w:r>
      <w:r w:rsidRPr="00FA0D37">
        <w:t xml:space="preserve"> </w:t>
      </w:r>
      <w:r w:rsidRPr="00FA0D37">
        <w:rPr>
          <w:i/>
        </w:rPr>
        <w:t>RRCResumeRequest1</w:t>
      </w:r>
      <w:r w:rsidR="00954955" w:rsidRPr="00FA0D37">
        <w:rPr>
          <w:i/>
        </w:rPr>
        <w:t xml:space="preserve"> </w:t>
      </w:r>
      <w:r w:rsidR="00954955" w:rsidRPr="00FA0D37">
        <w:t xml:space="preserve">and </w:t>
      </w:r>
      <w:r w:rsidR="00954955" w:rsidRPr="00FA0D37">
        <w:rPr>
          <w:i/>
        </w:rPr>
        <w:t>UEAssistanceInformation</w:t>
      </w:r>
      <w:r w:rsidRPr="00FA0D37">
        <w:t>.</w:t>
      </w:r>
    </w:p>
    <w:p w14:paraId="5535D233" w14:textId="77777777" w:rsidR="00394471" w:rsidRPr="00FA0D37" w:rsidRDefault="00394471" w:rsidP="00394471">
      <w:pPr>
        <w:pStyle w:val="TH"/>
      </w:pPr>
      <w:r w:rsidRPr="00FA0D37">
        <w:rPr>
          <w:bCs/>
          <w:i/>
          <w:iCs/>
        </w:rPr>
        <w:t xml:space="preserve">ResumeCause </w:t>
      </w:r>
      <w:r w:rsidRPr="00FA0D37">
        <w:t>information element</w:t>
      </w:r>
    </w:p>
    <w:p w14:paraId="0CCDC227" w14:textId="77777777" w:rsidR="00394471" w:rsidRPr="00FA0D37" w:rsidRDefault="00394471" w:rsidP="00FA0D37">
      <w:pPr>
        <w:pStyle w:val="PL"/>
        <w:rPr>
          <w:color w:val="808080"/>
        </w:rPr>
      </w:pPr>
      <w:r w:rsidRPr="00FA0D37">
        <w:rPr>
          <w:color w:val="808080"/>
        </w:rPr>
        <w:t>-- ASN1START</w:t>
      </w:r>
    </w:p>
    <w:p w14:paraId="4C9DFA8E" w14:textId="77777777" w:rsidR="00394471" w:rsidRPr="00FA0D37" w:rsidRDefault="00394471" w:rsidP="00FA0D37">
      <w:pPr>
        <w:pStyle w:val="PL"/>
        <w:rPr>
          <w:color w:val="808080"/>
        </w:rPr>
      </w:pPr>
      <w:r w:rsidRPr="00FA0D37">
        <w:rPr>
          <w:color w:val="808080"/>
        </w:rPr>
        <w:t>-- TAG-RESUMECAUSE-START</w:t>
      </w:r>
    </w:p>
    <w:p w14:paraId="63A1EFC0" w14:textId="77777777" w:rsidR="00394471" w:rsidRPr="00FA0D37" w:rsidRDefault="00394471" w:rsidP="00FA0D37">
      <w:pPr>
        <w:pStyle w:val="PL"/>
      </w:pPr>
    </w:p>
    <w:p w14:paraId="5677949B" w14:textId="77777777" w:rsidR="00394471" w:rsidRPr="00FA0D37" w:rsidRDefault="00394471" w:rsidP="00FA0D37">
      <w:pPr>
        <w:pStyle w:val="PL"/>
      </w:pPr>
      <w:r w:rsidRPr="00FA0D37">
        <w:t xml:space="preserve">ResumeCause ::=             </w:t>
      </w:r>
      <w:r w:rsidRPr="00FA0D37">
        <w:rPr>
          <w:color w:val="993366"/>
        </w:rPr>
        <w:t>ENUMERATED</w:t>
      </w:r>
      <w:r w:rsidRPr="00FA0D37">
        <w:t xml:space="preserve"> {emergency, highPriorityAccess, mt-Access, mo-Signalling,</w:t>
      </w:r>
    </w:p>
    <w:p w14:paraId="448CE1D0" w14:textId="77777777" w:rsidR="00394471" w:rsidRPr="00FA0D37" w:rsidRDefault="00394471" w:rsidP="00FA0D37">
      <w:pPr>
        <w:pStyle w:val="PL"/>
      </w:pPr>
      <w:r w:rsidRPr="00FA0D37">
        <w:t xml:space="preserve">                                        mo-Data, mo-VoiceCall, mo-VideoCall, mo-SMS, rna-Update, mps-PriorityAccess,</w:t>
      </w:r>
    </w:p>
    <w:p w14:paraId="6BBFCACB" w14:textId="77777777" w:rsidR="00394471" w:rsidRPr="00FA0D37" w:rsidRDefault="00394471" w:rsidP="00FA0D37">
      <w:pPr>
        <w:pStyle w:val="PL"/>
      </w:pPr>
      <w:r w:rsidRPr="00FA0D37">
        <w:t xml:space="preserve">                                        mcs-PriorityAccess, spare1, spare2, spare3, spare4, spare5 }</w:t>
      </w:r>
    </w:p>
    <w:p w14:paraId="37D3AC9B" w14:textId="77777777" w:rsidR="00394471" w:rsidRPr="00FA0D37" w:rsidRDefault="00394471" w:rsidP="00FA0D37">
      <w:pPr>
        <w:pStyle w:val="PL"/>
      </w:pPr>
    </w:p>
    <w:p w14:paraId="4E918EA6" w14:textId="77777777" w:rsidR="00394471" w:rsidRPr="00FA0D37" w:rsidRDefault="00394471" w:rsidP="00FA0D37">
      <w:pPr>
        <w:pStyle w:val="PL"/>
        <w:rPr>
          <w:color w:val="808080"/>
        </w:rPr>
      </w:pPr>
      <w:r w:rsidRPr="00FA0D37">
        <w:rPr>
          <w:color w:val="808080"/>
        </w:rPr>
        <w:t>-- TAG-RESUMECAUSE-STOP</w:t>
      </w:r>
    </w:p>
    <w:p w14:paraId="411A5610" w14:textId="77777777" w:rsidR="00394471" w:rsidRPr="00FA0D37" w:rsidRDefault="00394471" w:rsidP="00FA0D37">
      <w:pPr>
        <w:pStyle w:val="PL"/>
        <w:rPr>
          <w:rFonts w:eastAsia="宋体"/>
          <w:color w:val="808080"/>
        </w:rPr>
      </w:pPr>
      <w:r w:rsidRPr="00FA0D37">
        <w:rPr>
          <w:color w:val="808080"/>
        </w:rPr>
        <w:t>-- ASN1STOP</w:t>
      </w:r>
    </w:p>
    <w:p w14:paraId="2A6482E6" w14:textId="77777777" w:rsidR="00394471" w:rsidRPr="00FA0D37" w:rsidRDefault="00394471" w:rsidP="00394471"/>
    <w:p w14:paraId="6CFE7849" w14:textId="77777777" w:rsidR="00394471" w:rsidRPr="00FA0D37" w:rsidRDefault="00394471" w:rsidP="00394471">
      <w:pPr>
        <w:pStyle w:val="4"/>
        <w:rPr>
          <w:rFonts w:eastAsia="宋体"/>
        </w:rPr>
      </w:pPr>
      <w:bookmarkStart w:id="1333" w:name="_Toc60777357"/>
      <w:bookmarkStart w:id="1334" w:name="_Toc146781438"/>
      <w:r w:rsidRPr="00FA0D37">
        <w:rPr>
          <w:rFonts w:eastAsia="宋体"/>
        </w:rPr>
        <w:t>–</w:t>
      </w:r>
      <w:r w:rsidRPr="00FA0D37">
        <w:rPr>
          <w:rFonts w:eastAsia="宋体"/>
        </w:rPr>
        <w:tab/>
      </w:r>
      <w:r w:rsidRPr="00FA0D37">
        <w:rPr>
          <w:rFonts w:eastAsia="宋体"/>
          <w:i/>
        </w:rPr>
        <w:t>RLC-BearerConfig</w:t>
      </w:r>
      <w:bookmarkEnd w:id="1333"/>
      <w:bookmarkEnd w:id="1334"/>
    </w:p>
    <w:p w14:paraId="79597457" w14:textId="77777777" w:rsidR="00394471" w:rsidRPr="00FA0D37" w:rsidRDefault="00394471" w:rsidP="00394471">
      <w:pPr>
        <w:rPr>
          <w:rFonts w:eastAsia="宋体"/>
        </w:rPr>
      </w:pPr>
      <w:r w:rsidRPr="00FA0D37">
        <w:rPr>
          <w:rFonts w:eastAsia="宋体"/>
        </w:rPr>
        <w:t xml:space="preserve">The IE </w:t>
      </w:r>
      <w:r w:rsidRPr="00FA0D37">
        <w:rPr>
          <w:rFonts w:eastAsia="宋体"/>
          <w:i/>
        </w:rPr>
        <w:t>RLC-BearerConfig</w:t>
      </w:r>
      <w:r w:rsidRPr="00FA0D37">
        <w:rPr>
          <w:rFonts w:eastAsia="宋体"/>
        </w:rPr>
        <w:t xml:space="preserve"> is used to configure an RLC entity, a corresponding logical channel in MAC and the linking to a PDCP entity (served radio bearer).</w:t>
      </w:r>
    </w:p>
    <w:p w14:paraId="77D11621" w14:textId="77777777" w:rsidR="00394471" w:rsidRPr="00FA0D37" w:rsidRDefault="00394471" w:rsidP="00394471">
      <w:pPr>
        <w:pStyle w:val="TH"/>
        <w:rPr>
          <w:rFonts w:eastAsia="宋体"/>
        </w:rPr>
      </w:pPr>
      <w:r w:rsidRPr="00FA0D37">
        <w:rPr>
          <w:rFonts w:eastAsia="宋体"/>
          <w:i/>
        </w:rPr>
        <w:t>RLC-BearerConfig</w:t>
      </w:r>
      <w:r w:rsidRPr="00FA0D37">
        <w:rPr>
          <w:rFonts w:eastAsia="宋体"/>
        </w:rPr>
        <w:t xml:space="preserve"> information element</w:t>
      </w:r>
    </w:p>
    <w:p w14:paraId="2B4AD8D1" w14:textId="77777777" w:rsidR="00394471" w:rsidRPr="00FA0D37" w:rsidRDefault="00394471" w:rsidP="00FA0D37">
      <w:pPr>
        <w:pStyle w:val="PL"/>
        <w:rPr>
          <w:color w:val="808080"/>
        </w:rPr>
      </w:pPr>
      <w:r w:rsidRPr="00FA0D37">
        <w:rPr>
          <w:color w:val="808080"/>
        </w:rPr>
        <w:t>-- ASN1START</w:t>
      </w:r>
    </w:p>
    <w:p w14:paraId="716C81E5" w14:textId="77777777" w:rsidR="00394471" w:rsidRPr="00FA0D37" w:rsidRDefault="00394471" w:rsidP="00FA0D37">
      <w:pPr>
        <w:pStyle w:val="PL"/>
        <w:rPr>
          <w:color w:val="808080"/>
        </w:rPr>
      </w:pPr>
      <w:r w:rsidRPr="00FA0D37">
        <w:rPr>
          <w:color w:val="808080"/>
        </w:rPr>
        <w:t>-- TAG-RLC-BEARERCONFIG-START</w:t>
      </w:r>
    </w:p>
    <w:p w14:paraId="6AC02254" w14:textId="77777777" w:rsidR="00394471" w:rsidRPr="00FA0D37" w:rsidRDefault="00394471" w:rsidP="00FA0D37">
      <w:pPr>
        <w:pStyle w:val="PL"/>
      </w:pPr>
    </w:p>
    <w:p w14:paraId="67F1DF55" w14:textId="77777777" w:rsidR="00394471" w:rsidRPr="00FA0D37" w:rsidRDefault="00394471" w:rsidP="00FA0D37">
      <w:pPr>
        <w:pStyle w:val="PL"/>
      </w:pPr>
      <w:r w:rsidRPr="00FA0D37">
        <w:t xml:space="preserve">RLC-BearerConfig ::=                        </w:t>
      </w:r>
      <w:r w:rsidRPr="00FA0D37">
        <w:rPr>
          <w:color w:val="993366"/>
        </w:rPr>
        <w:t>SEQUENCE</w:t>
      </w:r>
      <w:r w:rsidRPr="00FA0D37">
        <w:t xml:space="preserve"> {</w:t>
      </w:r>
    </w:p>
    <w:p w14:paraId="4511B285" w14:textId="77777777" w:rsidR="00394471" w:rsidRPr="00FA0D37" w:rsidRDefault="00394471" w:rsidP="00FA0D37">
      <w:pPr>
        <w:pStyle w:val="PL"/>
      </w:pPr>
      <w:r w:rsidRPr="00FA0D37">
        <w:t xml:space="preserve">    logicalChannelIdentity                      LogicalChannelIdentity,</w:t>
      </w:r>
    </w:p>
    <w:p w14:paraId="52FA6EB5" w14:textId="77777777" w:rsidR="00394471" w:rsidRPr="00FA0D37" w:rsidRDefault="00394471" w:rsidP="00FA0D37">
      <w:pPr>
        <w:pStyle w:val="PL"/>
      </w:pPr>
      <w:r w:rsidRPr="00FA0D37">
        <w:t xml:space="preserve">    servedRadioBearer                           </w:t>
      </w:r>
      <w:r w:rsidRPr="00FA0D37">
        <w:rPr>
          <w:color w:val="993366"/>
        </w:rPr>
        <w:t>CHOICE</w:t>
      </w:r>
      <w:r w:rsidRPr="00FA0D37">
        <w:t xml:space="preserve"> {</w:t>
      </w:r>
    </w:p>
    <w:p w14:paraId="6C760026" w14:textId="77777777" w:rsidR="00394471" w:rsidRPr="00FA0D37" w:rsidRDefault="00394471" w:rsidP="00FA0D37">
      <w:pPr>
        <w:pStyle w:val="PL"/>
      </w:pPr>
      <w:r w:rsidRPr="00FA0D37">
        <w:t xml:space="preserve">        srb-Identity                                SRB-Identity,</w:t>
      </w:r>
    </w:p>
    <w:p w14:paraId="05F0AF50" w14:textId="77777777" w:rsidR="00394471" w:rsidRPr="00FA0D37" w:rsidRDefault="00394471" w:rsidP="00FA0D37">
      <w:pPr>
        <w:pStyle w:val="PL"/>
      </w:pPr>
      <w:r w:rsidRPr="00FA0D37">
        <w:t xml:space="preserve">        drb-Identity                                DRB-Identity</w:t>
      </w:r>
    </w:p>
    <w:p w14:paraId="7D824D20"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LCH-SetupOnly</w:t>
      </w:r>
    </w:p>
    <w:p w14:paraId="0AD5C641" w14:textId="77777777" w:rsidR="00394471" w:rsidRPr="00FA0D37" w:rsidRDefault="00394471" w:rsidP="00FA0D37">
      <w:pPr>
        <w:pStyle w:val="PL"/>
        <w:rPr>
          <w:color w:val="808080"/>
        </w:rPr>
      </w:pPr>
      <w:r w:rsidRPr="00FA0D37">
        <w:t xml:space="preserve">    reestablishRLC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46236861" w14:textId="77777777" w:rsidR="00394471" w:rsidRPr="00FA0D37" w:rsidRDefault="00394471" w:rsidP="00FA0D37">
      <w:pPr>
        <w:pStyle w:val="PL"/>
        <w:rPr>
          <w:color w:val="808080"/>
        </w:rPr>
      </w:pPr>
      <w:r w:rsidRPr="00FA0D37">
        <w:t xml:space="preserve">    rlc-Config                                  RLC-Config                                          </w:t>
      </w:r>
      <w:r w:rsidRPr="00FA0D37">
        <w:rPr>
          <w:color w:val="993366"/>
        </w:rPr>
        <w:t>OPTIONAL</w:t>
      </w:r>
      <w:r w:rsidRPr="00FA0D37">
        <w:t xml:space="preserve">,   </w:t>
      </w:r>
      <w:r w:rsidRPr="00FA0D37">
        <w:rPr>
          <w:color w:val="808080"/>
        </w:rPr>
        <w:t>-- Cond LCH-Setup</w:t>
      </w:r>
    </w:p>
    <w:p w14:paraId="576836FD" w14:textId="77777777" w:rsidR="00394471" w:rsidRPr="00FA0D37" w:rsidRDefault="00394471" w:rsidP="00FA0D37">
      <w:pPr>
        <w:pStyle w:val="PL"/>
        <w:rPr>
          <w:color w:val="808080"/>
        </w:rPr>
      </w:pPr>
      <w:r w:rsidRPr="00FA0D37">
        <w:t xml:space="preserve">    mac-LogicalChannelConfig                    LogicalChannelConfig                                </w:t>
      </w:r>
      <w:r w:rsidRPr="00FA0D37">
        <w:rPr>
          <w:color w:val="993366"/>
        </w:rPr>
        <w:t>OPTIONAL</w:t>
      </w:r>
      <w:r w:rsidRPr="00FA0D37">
        <w:t xml:space="preserve">,   </w:t>
      </w:r>
      <w:r w:rsidRPr="00FA0D37">
        <w:rPr>
          <w:color w:val="808080"/>
        </w:rPr>
        <w:t>-- Cond LCH-Setup</w:t>
      </w:r>
    </w:p>
    <w:p w14:paraId="54127B60" w14:textId="77777777" w:rsidR="00394471" w:rsidRPr="00FA0D37" w:rsidRDefault="00394471" w:rsidP="00FA0D37">
      <w:pPr>
        <w:pStyle w:val="PL"/>
      </w:pPr>
      <w:r w:rsidRPr="00FA0D37">
        <w:t xml:space="preserve">    ...,</w:t>
      </w:r>
    </w:p>
    <w:p w14:paraId="6413E831" w14:textId="77777777" w:rsidR="00394471" w:rsidRPr="00FA0D37" w:rsidRDefault="00394471" w:rsidP="00FA0D37">
      <w:pPr>
        <w:pStyle w:val="PL"/>
      </w:pPr>
      <w:r w:rsidRPr="00FA0D37">
        <w:t xml:space="preserve">    [[</w:t>
      </w:r>
    </w:p>
    <w:p w14:paraId="6ABF833A" w14:textId="77777777" w:rsidR="00394471" w:rsidRPr="00FA0D37" w:rsidRDefault="00394471" w:rsidP="00FA0D37">
      <w:pPr>
        <w:pStyle w:val="PL"/>
        <w:rPr>
          <w:color w:val="808080"/>
        </w:rPr>
      </w:pPr>
      <w:r w:rsidRPr="00FA0D37">
        <w:t xml:space="preserve">    rlc-Config-v1610                            RLC-Config-v1610                                    </w:t>
      </w:r>
      <w:r w:rsidRPr="00FA0D37">
        <w:rPr>
          <w:color w:val="993366"/>
        </w:rPr>
        <w:t>OPTIONAL</w:t>
      </w:r>
      <w:r w:rsidRPr="00FA0D37">
        <w:t xml:space="preserve">    </w:t>
      </w:r>
      <w:r w:rsidRPr="00FA0D37">
        <w:rPr>
          <w:color w:val="808080"/>
        </w:rPr>
        <w:t>-- Need R</w:t>
      </w:r>
    </w:p>
    <w:p w14:paraId="1F338826" w14:textId="39BE8A87" w:rsidR="005B7637" w:rsidRPr="00FA0D37" w:rsidRDefault="00394471" w:rsidP="00FA0D37">
      <w:pPr>
        <w:pStyle w:val="PL"/>
      </w:pPr>
      <w:r w:rsidRPr="00FA0D37">
        <w:t xml:space="preserve">    ]]</w:t>
      </w:r>
      <w:r w:rsidR="005B7637" w:rsidRPr="00FA0D37">
        <w:t>,</w:t>
      </w:r>
    </w:p>
    <w:p w14:paraId="16FACC9C" w14:textId="6A683AE6" w:rsidR="005B7637" w:rsidRPr="00FA0D37" w:rsidRDefault="005B7637" w:rsidP="00FA0D37">
      <w:pPr>
        <w:pStyle w:val="PL"/>
      </w:pPr>
      <w:r w:rsidRPr="00FA0D37">
        <w:t xml:space="preserve">    [[</w:t>
      </w:r>
    </w:p>
    <w:p w14:paraId="2E8835FE" w14:textId="50BFF9AF" w:rsidR="005B7637" w:rsidRPr="00FA0D37" w:rsidRDefault="005B7637" w:rsidP="00FA0D37">
      <w:pPr>
        <w:pStyle w:val="PL"/>
        <w:rPr>
          <w:color w:val="808080"/>
        </w:rPr>
      </w:pPr>
      <w:r w:rsidRPr="00FA0D37">
        <w:t xml:space="preserve">    rlc-Config-v1700                            RLC-Config-v17</w:t>
      </w:r>
      <w:r w:rsidR="001E593B" w:rsidRPr="00FA0D37">
        <w:t>00</w:t>
      </w:r>
      <w:r w:rsidRPr="00FA0D37">
        <w:t xml:space="preserve">                                    </w:t>
      </w:r>
      <w:r w:rsidRPr="00FA0D37">
        <w:rPr>
          <w:color w:val="993366"/>
        </w:rPr>
        <w:t>OPTIONAL</w:t>
      </w:r>
      <w:r w:rsidR="001E593B" w:rsidRPr="00FA0D37">
        <w:t>,</w:t>
      </w:r>
      <w:r w:rsidRPr="00FA0D37">
        <w:t xml:space="preserve">   </w:t>
      </w:r>
      <w:r w:rsidRPr="00FA0D37">
        <w:rPr>
          <w:color w:val="808080"/>
        </w:rPr>
        <w:t>-- Need R</w:t>
      </w:r>
    </w:p>
    <w:p w14:paraId="49F7A7B2" w14:textId="77777777" w:rsidR="001E593B" w:rsidRPr="00FA0D37" w:rsidRDefault="001E593B" w:rsidP="00FA0D37">
      <w:pPr>
        <w:pStyle w:val="PL"/>
        <w:rPr>
          <w:color w:val="808080"/>
        </w:rPr>
      </w:pPr>
      <w:r w:rsidRPr="00FA0D37">
        <w:t xml:space="preserve">    logicalChannelIdentityExt-r17               LogicalChannelIdentityExt-r17                       </w:t>
      </w:r>
      <w:r w:rsidRPr="00FA0D37">
        <w:rPr>
          <w:color w:val="993366"/>
        </w:rPr>
        <w:t>OPTIONAL</w:t>
      </w:r>
      <w:r w:rsidRPr="00FA0D37">
        <w:t xml:space="preserve">,   </w:t>
      </w:r>
      <w:r w:rsidRPr="00FA0D37">
        <w:rPr>
          <w:color w:val="808080"/>
        </w:rPr>
        <w:t>-- Cond LCH-SetupModMRB</w:t>
      </w:r>
    </w:p>
    <w:p w14:paraId="3CE93F37" w14:textId="2DFD7150" w:rsidR="001E593B" w:rsidRPr="00FA0D37" w:rsidRDefault="001E593B" w:rsidP="00FA0D37">
      <w:pPr>
        <w:pStyle w:val="PL"/>
        <w:rPr>
          <w:color w:val="808080"/>
        </w:rPr>
      </w:pPr>
      <w:r w:rsidRPr="00FA0D37">
        <w:t xml:space="preserve">    multicastRLC-BearerConfig-r17               MulticastRLC-BearerConfig-r17                       </w:t>
      </w:r>
      <w:r w:rsidRPr="00FA0D37">
        <w:rPr>
          <w:color w:val="993366"/>
        </w:rPr>
        <w:t>OPTIONAL</w:t>
      </w:r>
      <w:r w:rsidR="0046275D" w:rsidRPr="00FA0D37">
        <w:t>,</w:t>
      </w:r>
      <w:r w:rsidRPr="00FA0D37">
        <w:t xml:space="preserve">   </w:t>
      </w:r>
      <w:r w:rsidRPr="00FA0D37">
        <w:rPr>
          <w:color w:val="808080"/>
        </w:rPr>
        <w:t>-- Cond LCH-SetupOnlyMRB</w:t>
      </w:r>
    </w:p>
    <w:p w14:paraId="6FD4CA12" w14:textId="16BF0360" w:rsidR="0046275D" w:rsidRPr="00FA0D37" w:rsidRDefault="0046275D" w:rsidP="00FA0D37">
      <w:pPr>
        <w:pStyle w:val="PL"/>
        <w:rPr>
          <w:color w:val="808080"/>
        </w:rPr>
      </w:pPr>
      <w:r w:rsidRPr="00FA0D37">
        <w:t xml:space="preserve">    servedRadioBearerSRB4-r17                   SRB-Identity-v17</w:t>
      </w:r>
      <w:r w:rsidR="00325E14" w:rsidRPr="00FA0D37">
        <w:t>00</w:t>
      </w:r>
      <w:r w:rsidRPr="00FA0D37">
        <w:t xml:space="preserve">                                  </w:t>
      </w:r>
      <w:r w:rsidRPr="00FA0D37">
        <w:rPr>
          <w:color w:val="993366"/>
        </w:rPr>
        <w:t>OPTIONAL</w:t>
      </w:r>
      <w:r w:rsidRPr="00FA0D37">
        <w:t xml:space="preserve">    </w:t>
      </w:r>
      <w:r w:rsidRPr="00FA0D37">
        <w:rPr>
          <w:color w:val="808080"/>
        </w:rPr>
        <w:t>-- Need N</w:t>
      </w:r>
    </w:p>
    <w:p w14:paraId="501A49B2" w14:textId="169879BD" w:rsidR="00394471" w:rsidRPr="00FA0D37" w:rsidRDefault="005B7637" w:rsidP="00FA0D37">
      <w:pPr>
        <w:pStyle w:val="PL"/>
      </w:pPr>
      <w:r w:rsidRPr="00FA0D37">
        <w:t xml:space="preserve">    </w:t>
      </w:r>
      <w:r w:rsidR="004F1B8A" w:rsidRPr="00FA0D37">
        <w:t>]]</w:t>
      </w:r>
    </w:p>
    <w:p w14:paraId="1B8A14A6" w14:textId="77777777" w:rsidR="00394471" w:rsidRPr="00FA0D37" w:rsidRDefault="00394471" w:rsidP="00FA0D37">
      <w:pPr>
        <w:pStyle w:val="PL"/>
      </w:pPr>
      <w:r w:rsidRPr="00FA0D37">
        <w:t>}</w:t>
      </w:r>
    </w:p>
    <w:p w14:paraId="1B46D5C3" w14:textId="77777777" w:rsidR="00394471" w:rsidRPr="00FA0D37" w:rsidRDefault="00394471" w:rsidP="00FA0D37">
      <w:pPr>
        <w:pStyle w:val="PL"/>
      </w:pPr>
    </w:p>
    <w:p w14:paraId="420E3970" w14:textId="70B6A134" w:rsidR="001E593B" w:rsidRPr="00FA0D37" w:rsidRDefault="001E593B" w:rsidP="00FA0D37">
      <w:pPr>
        <w:pStyle w:val="PL"/>
      </w:pPr>
      <w:r w:rsidRPr="00FA0D37">
        <w:t xml:space="preserve">MulticastRLC-BearerConfig-r17 ::=           </w:t>
      </w:r>
      <w:r w:rsidRPr="00FA0D37">
        <w:rPr>
          <w:color w:val="993366"/>
        </w:rPr>
        <w:t>SEQUENCE</w:t>
      </w:r>
      <w:r w:rsidRPr="00FA0D37">
        <w:t xml:space="preserve"> {</w:t>
      </w:r>
    </w:p>
    <w:p w14:paraId="36BE676A" w14:textId="3F268867" w:rsidR="001E593B" w:rsidRPr="00FA0D37" w:rsidRDefault="001E593B" w:rsidP="00FA0D37">
      <w:pPr>
        <w:pStyle w:val="PL"/>
      </w:pPr>
      <w:r w:rsidRPr="00FA0D37">
        <w:t xml:space="preserve">    servedMBS-RadioBearer-r17                   MRB-Identity-r17,</w:t>
      </w:r>
    </w:p>
    <w:p w14:paraId="41920C4C" w14:textId="7936B49E" w:rsidR="001E593B" w:rsidRPr="00FA0D37" w:rsidRDefault="001E593B" w:rsidP="00FA0D37">
      <w:pPr>
        <w:pStyle w:val="PL"/>
        <w:rPr>
          <w:color w:val="808080"/>
        </w:rPr>
      </w:pPr>
      <w:r w:rsidRPr="00FA0D37">
        <w:t xml:space="preserve">    isPTM-Entity-r17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w:t>
      </w:r>
      <w:r w:rsidR="00AE0E17" w:rsidRPr="00FA0D37">
        <w:rPr>
          <w:color w:val="808080"/>
        </w:rPr>
        <w:t>eed</w:t>
      </w:r>
      <w:r w:rsidRPr="00FA0D37">
        <w:rPr>
          <w:color w:val="808080"/>
        </w:rPr>
        <w:t xml:space="preserve"> S</w:t>
      </w:r>
    </w:p>
    <w:p w14:paraId="1AEEA1B1" w14:textId="77777777" w:rsidR="001E593B" w:rsidRPr="00FA0D37" w:rsidRDefault="001E593B" w:rsidP="00FA0D37">
      <w:pPr>
        <w:pStyle w:val="PL"/>
      </w:pPr>
      <w:r w:rsidRPr="00FA0D37">
        <w:t>}</w:t>
      </w:r>
    </w:p>
    <w:p w14:paraId="4FBDD439" w14:textId="77777777" w:rsidR="001E593B" w:rsidRPr="00FA0D37" w:rsidRDefault="001E593B" w:rsidP="00FA0D37">
      <w:pPr>
        <w:pStyle w:val="PL"/>
      </w:pPr>
    </w:p>
    <w:p w14:paraId="40836F24" w14:textId="2784BC97" w:rsidR="001E593B" w:rsidRPr="00FA0D37" w:rsidRDefault="001E593B" w:rsidP="00FA0D37">
      <w:pPr>
        <w:pStyle w:val="PL"/>
      </w:pPr>
      <w:r w:rsidRPr="00FA0D37">
        <w:t xml:space="preserve">LogicalChannelIdentityExt-r17 ::=           </w:t>
      </w:r>
      <w:r w:rsidRPr="00FA0D37">
        <w:rPr>
          <w:color w:val="993366"/>
        </w:rPr>
        <w:t>INTEGER</w:t>
      </w:r>
      <w:r w:rsidRPr="00FA0D37">
        <w:t xml:space="preserve"> (320..65855)</w:t>
      </w:r>
    </w:p>
    <w:p w14:paraId="0D4B8927" w14:textId="77777777" w:rsidR="001E593B" w:rsidRPr="00FA0D37" w:rsidRDefault="001E593B" w:rsidP="00FA0D37">
      <w:pPr>
        <w:pStyle w:val="PL"/>
      </w:pPr>
    </w:p>
    <w:p w14:paraId="078348D3" w14:textId="77777777" w:rsidR="00394471" w:rsidRPr="00FA0D37" w:rsidRDefault="00394471" w:rsidP="00FA0D37">
      <w:pPr>
        <w:pStyle w:val="PL"/>
        <w:rPr>
          <w:color w:val="808080"/>
        </w:rPr>
      </w:pPr>
      <w:r w:rsidRPr="00FA0D37">
        <w:rPr>
          <w:color w:val="808080"/>
        </w:rPr>
        <w:t>-- TAG-RLC-BEARERCONFIG-STOP</w:t>
      </w:r>
    </w:p>
    <w:p w14:paraId="528D75DB" w14:textId="77777777" w:rsidR="00394471" w:rsidRPr="00FA0D37" w:rsidRDefault="00394471" w:rsidP="00FA0D37">
      <w:pPr>
        <w:pStyle w:val="PL"/>
        <w:rPr>
          <w:color w:val="808080"/>
        </w:rPr>
      </w:pPr>
      <w:r w:rsidRPr="00FA0D37">
        <w:rPr>
          <w:color w:val="808080"/>
        </w:rPr>
        <w:t>-- ASN1STOP</w:t>
      </w:r>
    </w:p>
    <w:p w14:paraId="17EF3D0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FA0D37" w:rsidRDefault="00394471" w:rsidP="00964CC4">
            <w:pPr>
              <w:pStyle w:val="TAH"/>
              <w:rPr>
                <w:szCs w:val="22"/>
                <w:lang w:eastAsia="sv-SE"/>
              </w:rPr>
            </w:pPr>
            <w:r w:rsidRPr="00FA0D37">
              <w:rPr>
                <w:i/>
                <w:szCs w:val="22"/>
                <w:lang w:eastAsia="sv-SE"/>
              </w:rPr>
              <w:t xml:space="preserve">RLC-BearerConfig </w:t>
            </w:r>
            <w:r w:rsidRPr="00FA0D37">
              <w:rPr>
                <w:szCs w:val="22"/>
                <w:lang w:eastAsia="sv-SE"/>
              </w:rPr>
              <w:t>field descriptions</w:t>
            </w:r>
          </w:p>
        </w:tc>
      </w:tr>
      <w:tr w:rsidR="005C7FF4" w:rsidRPr="00FA0D37"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FA0D37" w:rsidRDefault="001E593B" w:rsidP="001E593B">
            <w:pPr>
              <w:pStyle w:val="TAL"/>
              <w:rPr>
                <w:b/>
                <w:bCs/>
                <w:i/>
                <w:iCs/>
                <w:lang w:eastAsia="sv-SE"/>
              </w:rPr>
            </w:pPr>
            <w:r w:rsidRPr="00FA0D37">
              <w:rPr>
                <w:b/>
                <w:bCs/>
                <w:i/>
                <w:iCs/>
                <w:lang w:eastAsia="sv-SE"/>
              </w:rPr>
              <w:t>isPTM-Entity</w:t>
            </w:r>
          </w:p>
          <w:p w14:paraId="040AF946" w14:textId="4A5C35BB" w:rsidR="001E593B" w:rsidRPr="00FA0D37" w:rsidRDefault="001E593B" w:rsidP="000830BB">
            <w:pPr>
              <w:pStyle w:val="TAL"/>
              <w:rPr>
                <w:lang w:eastAsia="sv-SE"/>
              </w:rPr>
            </w:pPr>
            <w:r w:rsidRPr="00FA0D37">
              <w:rPr>
                <w:lang w:eastAsia="sv-SE"/>
              </w:rPr>
              <w:t>If configured, indicates that the RLC entity is used for PTM reception. When the field is absent the RLC entity is used for PTP transmission/reception.</w:t>
            </w:r>
          </w:p>
        </w:tc>
      </w:tr>
      <w:tr w:rsidR="005C7FF4" w:rsidRPr="00FA0D37"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FA0D37" w:rsidRDefault="00394471" w:rsidP="00964CC4">
            <w:pPr>
              <w:pStyle w:val="TAL"/>
              <w:rPr>
                <w:szCs w:val="22"/>
                <w:lang w:eastAsia="sv-SE"/>
              </w:rPr>
            </w:pPr>
            <w:r w:rsidRPr="00FA0D37">
              <w:rPr>
                <w:b/>
                <w:i/>
                <w:szCs w:val="22"/>
                <w:lang w:eastAsia="sv-SE"/>
              </w:rPr>
              <w:t>logicalChannelIdentity</w:t>
            </w:r>
          </w:p>
          <w:p w14:paraId="74AF5C09" w14:textId="7259A438" w:rsidR="00394471" w:rsidRPr="00FA0D37" w:rsidRDefault="00394471" w:rsidP="00964CC4">
            <w:pPr>
              <w:pStyle w:val="TAL"/>
              <w:rPr>
                <w:szCs w:val="22"/>
                <w:lang w:eastAsia="sv-SE"/>
              </w:rPr>
            </w:pPr>
            <w:r w:rsidRPr="00FA0D37">
              <w:rPr>
                <w:szCs w:val="22"/>
                <w:lang w:eastAsia="sv-SE"/>
              </w:rPr>
              <w:t>ID used commonly for the MAC logical channel and for the RLC bearer.</w:t>
            </w:r>
            <w:r w:rsidR="0046275D" w:rsidRPr="00FA0D37">
              <w:rPr>
                <w:szCs w:val="22"/>
                <w:lang w:eastAsia="sv-SE"/>
              </w:rPr>
              <w:t xml:space="preserve"> </w:t>
            </w:r>
            <w:r w:rsidR="0046275D" w:rsidRPr="00FA0D37">
              <w:rPr>
                <w:lang w:eastAsia="en-GB"/>
              </w:rPr>
              <w:t>Value 4 is not configured for DRBs if SRB4 is configured.</w:t>
            </w:r>
          </w:p>
        </w:tc>
      </w:tr>
      <w:tr w:rsidR="005C7FF4" w:rsidRPr="00FA0D37"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FA0D37" w:rsidRDefault="001E593B" w:rsidP="00771058">
            <w:pPr>
              <w:pStyle w:val="TAL"/>
              <w:rPr>
                <w:b/>
                <w:i/>
                <w:szCs w:val="22"/>
                <w:lang w:eastAsia="sv-SE"/>
              </w:rPr>
            </w:pPr>
            <w:r w:rsidRPr="00FA0D37">
              <w:rPr>
                <w:b/>
                <w:i/>
                <w:szCs w:val="22"/>
                <w:lang w:eastAsia="sv-SE"/>
              </w:rPr>
              <w:t>logicalChannelIdentityExt</w:t>
            </w:r>
          </w:p>
          <w:p w14:paraId="31C6BCDF" w14:textId="16A92066" w:rsidR="001E593B" w:rsidRPr="00FA0D37" w:rsidRDefault="001E593B" w:rsidP="00771058">
            <w:pPr>
              <w:pStyle w:val="TAL"/>
              <w:rPr>
                <w:rFonts w:eastAsia="等线"/>
                <w:szCs w:val="22"/>
                <w:lang w:eastAsia="zh-CN"/>
              </w:rPr>
            </w:pPr>
            <w:r w:rsidRPr="00FA0D37">
              <w:rPr>
                <w:szCs w:val="22"/>
                <w:lang w:eastAsia="sv-SE"/>
              </w:rPr>
              <w:t xml:space="preserve">Extended logical channel ID used commonly for the MAC logical channel and for the RLC bearer for </w:t>
            </w:r>
            <w:r w:rsidR="00280BA7" w:rsidRPr="00FA0D37">
              <w:rPr>
                <w:szCs w:val="22"/>
                <w:lang w:eastAsia="sv-SE"/>
              </w:rPr>
              <w:t>PTM reception</w:t>
            </w:r>
            <w:r w:rsidRPr="00FA0D37">
              <w:rPr>
                <w:szCs w:val="22"/>
                <w:lang w:eastAsia="sv-SE"/>
              </w:rPr>
              <w:t xml:space="preserve">. If this field is configured, the UE shall ignore </w:t>
            </w:r>
            <w:r w:rsidRPr="00FA0D37">
              <w:rPr>
                <w:i/>
                <w:szCs w:val="22"/>
                <w:lang w:eastAsia="sv-SE"/>
              </w:rPr>
              <w:t>logicalChannelIdentity</w:t>
            </w:r>
            <w:r w:rsidRPr="00FA0D37">
              <w:rPr>
                <w:rFonts w:eastAsia="等线"/>
                <w:szCs w:val="22"/>
                <w:lang w:eastAsia="zh-CN"/>
              </w:rPr>
              <w:t>.</w:t>
            </w:r>
          </w:p>
        </w:tc>
      </w:tr>
      <w:tr w:rsidR="005C7FF4" w:rsidRPr="00FA0D37"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FA0D37" w:rsidRDefault="00394471" w:rsidP="00964CC4">
            <w:pPr>
              <w:pStyle w:val="TAL"/>
              <w:rPr>
                <w:szCs w:val="22"/>
                <w:lang w:eastAsia="sv-SE"/>
              </w:rPr>
            </w:pPr>
            <w:r w:rsidRPr="00FA0D37">
              <w:rPr>
                <w:b/>
                <w:i/>
                <w:szCs w:val="22"/>
                <w:lang w:eastAsia="sv-SE"/>
              </w:rPr>
              <w:t>reestablishRLC</w:t>
            </w:r>
          </w:p>
          <w:p w14:paraId="4678A0D9" w14:textId="0CD6EAAA" w:rsidR="00394471" w:rsidRPr="00FA0D37" w:rsidRDefault="00394471" w:rsidP="00964CC4">
            <w:pPr>
              <w:pStyle w:val="TAL"/>
              <w:rPr>
                <w:szCs w:val="22"/>
                <w:lang w:eastAsia="sv-SE"/>
              </w:rPr>
            </w:pPr>
            <w:r w:rsidRPr="00FA0D37">
              <w:rPr>
                <w:szCs w:val="22"/>
                <w:lang w:eastAsia="sv-SE"/>
              </w:rPr>
              <w:t xml:space="preserve">Indicates that RLC should be re-established. Network sets this to </w:t>
            </w:r>
            <w:r w:rsidRPr="00FA0D37">
              <w:rPr>
                <w:i/>
                <w:iCs/>
                <w:lang w:eastAsia="en-GB"/>
              </w:rPr>
              <w:t>true</w:t>
            </w:r>
            <w:r w:rsidRPr="00FA0D37">
              <w:rPr>
                <w:szCs w:val="22"/>
                <w:lang w:eastAsia="sv-SE"/>
              </w:rPr>
              <w:t xml:space="preserve"> at least whenever the security key used for the radio bearer associated with this RLC entity changes. For SRB2</w:t>
            </w:r>
            <w:r w:rsidR="001E593B" w:rsidRPr="00FA0D37">
              <w:rPr>
                <w:szCs w:val="22"/>
                <w:lang w:eastAsia="sv-SE"/>
              </w:rPr>
              <w:t>, multicast MRBs</w:t>
            </w:r>
            <w:r w:rsidRPr="00FA0D37">
              <w:rPr>
                <w:szCs w:val="22"/>
                <w:lang w:eastAsia="sv-SE"/>
              </w:rPr>
              <w:t xml:space="preserve"> and DRBs, </w:t>
            </w:r>
            <w:r w:rsidR="001B3E50" w:rsidRPr="00FA0D37">
              <w:rPr>
                <w:szCs w:val="22"/>
                <w:lang w:eastAsia="sv-SE"/>
              </w:rPr>
              <w:t xml:space="preserve">unless full configuration is used, </w:t>
            </w:r>
            <w:r w:rsidRPr="00FA0D37">
              <w:rPr>
                <w:szCs w:val="22"/>
                <w:lang w:eastAsia="sv-SE"/>
              </w:rPr>
              <w:t xml:space="preserve">it is also set to </w:t>
            </w:r>
            <w:r w:rsidRPr="00FA0D37">
              <w:rPr>
                <w:i/>
                <w:iCs/>
                <w:lang w:eastAsia="en-GB"/>
              </w:rPr>
              <w:t>true</w:t>
            </w:r>
            <w:r w:rsidRPr="00FA0D37">
              <w:rPr>
                <w:szCs w:val="22"/>
                <w:lang w:eastAsia="sv-SE"/>
              </w:rPr>
              <w:t xml:space="preserve"> during the resumption of the RRC connection or the first reconfiguration after reestablishment.</w:t>
            </w:r>
            <w:r w:rsidR="001B3E50" w:rsidRPr="00FA0D37">
              <w:rPr>
                <w:rFonts w:eastAsia="宋体"/>
                <w:szCs w:val="22"/>
              </w:rPr>
              <w:t xml:space="preserve"> </w:t>
            </w:r>
            <w:r w:rsidR="001B3E50" w:rsidRPr="00FA0D37">
              <w:t xml:space="preserve">For SRB1, when resuming an RRC connection, or at the first reconfiguration after RRC connection reestablishment, the network does not set this field to </w:t>
            </w:r>
            <w:r w:rsidR="001B3E50" w:rsidRPr="00FA0D37">
              <w:rPr>
                <w:i/>
                <w:iCs/>
              </w:rPr>
              <w:t>true.</w:t>
            </w:r>
          </w:p>
        </w:tc>
      </w:tr>
      <w:tr w:rsidR="005C7FF4" w:rsidRPr="00FA0D37"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FA0D37" w:rsidRDefault="00394471" w:rsidP="00964CC4">
            <w:pPr>
              <w:pStyle w:val="TAL"/>
              <w:rPr>
                <w:szCs w:val="22"/>
                <w:lang w:eastAsia="sv-SE"/>
              </w:rPr>
            </w:pPr>
            <w:r w:rsidRPr="00FA0D37">
              <w:rPr>
                <w:b/>
                <w:i/>
                <w:szCs w:val="22"/>
                <w:lang w:eastAsia="sv-SE"/>
              </w:rPr>
              <w:t>rlc-Config</w:t>
            </w:r>
          </w:p>
          <w:p w14:paraId="7D63B114" w14:textId="4ED407FA" w:rsidR="00394471" w:rsidRPr="00FA0D37" w:rsidRDefault="00394471" w:rsidP="00964CC4">
            <w:pPr>
              <w:pStyle w:val="TAL"/>
              <w:rPr>
                <w:szCs w:val="22"/>
                <w:lang w:eastAsia="sv-SE"/>
              </w:rPr>
            </w:pPr>
            <w:r w:rsidRPr="00FA0D37">
              <w:rPr>
                <w:szCs w:val="22"/>
                <w:lang w:eastAsia="sv-SE"/>
              </w:rPr>
              <w:t>Determines the RLC mode (UM, AM) and provides corresponding parameters. RLC mode reconfiguration can only be performed by DRB</w:t>
            </w:r>
            <w:r w:rsidR="001E593B" w:rsidRPr="00FA0D37">
              <w:rPr>
                <w:szCs w:val="22"/>
                <w:lang w:eastAsia="sv-SE"/>
              </w:rPr>
              <w:t>/multicast MRB</w:t>
            </w:r>
            <w:r w:rsidRPr="00FA0D37">
              <w:rPr>
                <w:szCs w:val="22"/>
                <w:lang w:eastAsia="sv-SE"/>
              </w:rPr>
              <w:t xml:space="preserve"> release/addition or full configuration.</w:t>
            </w:r>
            <w:r w:rsidRPr="00FA0D37">
              <w:rPr>
                <w:szCs w:val="22"/>
              </w:rPr>
              <w:t xml:space="preserve"> The network may configure </w:t>
            </w:r>
            <w:r w:rsidRPr="00FA0D37">
              <w:rPr>
                <w:i/>
                <w:szCs w:val="22"/>
              </w:rPr>
              <w:t>rlc-Config-v1610</w:t>
            </w:r>
            <w:r w:rsidRPr="00FA0D37">
              <w:rPr>
                <w:szCs w:val="22"/>
              </w:rPr>
              <w:t xml:space="preserve"> only when </w:t>
            </w:r>
            <w:r w:rsidRPr="00FA0D37">
              <w:rPr>
                <w:i/>
                <w:szCs w:val="22"/>
              </w:rPr>
              <w:t>rlc-Config</w:t>
            </w:r>
            <w:r w:rsidRPr="00FA0D37">
              <w:rPr>
                <w:szCs w:val="22"/>
              </w:rPr>
              <w:t xml:space="preserve"> (without suffix) is set to </w:t>
            </w:r>
            <w:r w:rsidRPr="00FA0D37">
              <w:rPr>
                <w:i/>
                <w:szCs w:val="22"/>
              </w:rPr>
              <w:t>am</w:t>
            </w:r>
            <w:r w:rsidRPr="00FA0D37">
              <w:rPr>
                <w:szCs w:val="22"/>
              </w:rPr>
              <w:t>.</w:t>
            </w:r>
          </w:p>
        </w:tc>
      </w:tr>
      <w:tr w:rsidR="005C7FF4" w:rsidRPr="00FA0D37"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FA0D37" w:rsidRDefault="001E593B" w:rsidP="00771058">
            <w:pPr>
              <w:pStyle w:val="TAL"/>
              <w:rPr>
                <w:szCs w:val="22"/>
                <w:lang w:eastAsia="sv-SE"/>
              </w:rPr>
            </w:pPr>
            <w:r w:rsidRPr="00FA0D37">
              <w:rPr>
                <w:b/>
                <w:i/>
                <w:szCs w:val="22"/>
                <w:lang w:eastAsia="sv-SE"/>
              </w:rPr>
              <w:t>servedMBS-RadioBearer</w:t>
            </w:r>
          </w:p>
          <w:p w14:paraId="25AD9C75" w14:textId="77777777" w:rsidR="001E593B" w:rsidRPr="00FA0D37" w:rsidRDefault="001E593B" w:rsidP="00771058">
            <w:pPr>
              <w:pStyle w:val="TAL"/>
              <w:rPr>
                <w:b/>
                <w:i/>
                <w:szCs w:val="22"/>
                <w:lang w:eastAsia="sv-SE"/>
              </w:rPr>
            </w:pPr>
            <w:r w:rsidRPr="00FA0D37">
              <w:rPr>
                <w:szCs w:val="22"/>
                <w:lang w:eastAsia="sv-SE"/>
              </w:rPr>
              <w:t xml:space="preserve">Associates the RLC Bearer with a </w:t>
            </w:r>
            <w:r w:rsidRPr="00FA0D37">
              <w:rPr>
                <w:lang w:eastAsia="sv-SE"/>
              </w:rPr>
              <w:t>multicast</w:t>
            </w:r>
            <w:r w:rsidRPr="00FA0D37">
              <w:rPr>
                <w:szCs w:val="22"/>
                <w:lang w:eastAsia="sv-SE"/>
              </w:rPr>
              <w:t xml:space="preserve"> MRB. The UE shall deliver DL RLC SDUs received via the RLC entity of this RLC bearer to the PDCP entity of the </w:t>
            </w:r>
            <w:r w:rsidRPr="00FA0D37">
              <w:rPr>
                <w:i/>
                <w:szCs w:val="22"/>
                <w:lang w:eastAsia="sv-SE"/>
              </w:rPr>
              <w:t>servedMBS-RadioBearer</w:t>
            </w:r>
            <w:r w:rsidRPr="00FA0D37">
              <w:rPr>
                <w:szCs w:val="22"/>
                <w:lang w:eastAsia="sv-SE"/>
              </w:rPr>
              <w:t>.</w:t>
            </w:r>
          </w:p>
        </w:tc>
      </w:tr>
      <w:tr w:rsidR="00394471" w:rsidRPr="00FA0D37"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375506DC" w:rsidR="00394471" w:rsidRPr="00FA0D37" w:rsidRDefault="00394471" w:rsidP="00964CC4">
            <w:pPr>
              <w:pStyle w:val="TAL"/>
              <w:rPr>
                <w:szCs w:val="22"/>
                <w:lang w:eastAsia="sv-SE"/>
              </w:rPr>
            </w:pPr>
            <w:r w:rsidRPr="00FA0D37">
              <w:rPr>
                <w:b/>
                <w:i/>
                <w:szCs w:val="22"/>
                <w:lang w:eastAsia="sv-SE"/>
              </w:rPr>
              <w:t>servedRadioBearer</w:t>
            </w:r>
            <w:r w:rsidR="0046275D" w:rsidRPr="00FA0D37">
              <w:rPr>
                <w:b/>
                <w:i/>
                <w:szCs w:val="22"/>
                <w:lang w:eastAsia="sv-SE"/>
              </w:rPr>
              <w:t>, servedRadioBearerSRB4</w:t>
            </w:r>
          </w:p>
          <w:p w14:paraId="5C6013AA" w14:textId="77777777" w:rsidR="00394471" w:rsidRPr="00FA0D37" w:rsidRDefault="00394471" w:rsidP="00964CC4">
            <w:pPr>
              <w:pStyle w:val="TAL"/>
              <w:rPr>
                <w:szCs w:val="22"/>
                <w:lang w:eastAsia="sv-SE"/>
              </w:rPr>
            </w:pPr>
            <w:r w:rsidRPr="00FA0D37">
              <w:rPr>
                <w:szCs w:val="22"/>
                <w:lang w:eastAsia="sv-SE"/>
              </w:rPr>
              <w:t xml:space="preserve">Associates the RLC Bearer with an SRB or a DRB. The UE shall deliver DL RLC SDUs received via the RLC entity of this RLC bearer to the PDCP entity of the </w:t>
            </w:r>
            <w:r w:rsidRPr="00FA0D37">
              <w:rPr>
                <w:i/>
                <w:szCs w:val="22"/>
                <w:lang w:eastAsia="sv-SE"/>
              </w:rPr>
              <w:t>servedRadioBearer</w:t>
            </w:r>
            <w:r w:rsidRPr="00FA0D37">
              <w:rPr>
                <w:szCs w:val="22"/>
                <w:lang w:eastAsia="sv-SE"/>
              </w:rPr>
              <w:t xml:space="preserve">. Furthermore, the UE shall advertise and deliver uplink PDCP PDUs of the uplink PDCP entity of the </w:t>
            </w:r>
            <w:r w:rsidRPr="00FA0D37">
              <w:rPr>
                <w:i/>
                <w:szCs w:val="22"/>
                <w:lang w:eastAsia="sv-SE"/>
              </w:rPr>
              <w:t>servedRadioBearer</w:t>
            </w:r>
            <w:r w:rsidRPr="00FA0D37">
              <w:rPr>
                <w:szCs w:val="22"/>
                <w:lang w:eastAsia="sv-SE"/>
              </w:rPr>
              <w:t xml:space="preserve"> to the uplink RLC entity of this RLC bearer unless the uplink scheduling restrictions (</w:t>
            </w:r>
            <w:r w:rsidRPr="00FA0D37">
              <w:rPr>
                <w:i/>
                <w:szCs w:val="22"/>
                <w:lang w:eastAsia="sv-SE"/>
              </w:rPr>
              <w:t>moreThanOneRLC</w:t>
            </w:r>
            <w:r w:rsidRPr="00FA0D37">
              <w:rPr>
                <w:szCs w:val="22"/>
                <w:lang w:eastAsia="sv-SE"/>
              </w:rPr>
              <w:t xml:space="preserve"> in </w:t>
            </w:r>
            <w:r w:rsidRPr="00FA0D37">
              <w:rPr>
                <w:i/>
                <w:szCs w:val="22"/>
                <w:lang w:eastAsia="sv-SE"/>
              </w:rPr>
              <w:t>PDCP-Config</w:t>
            </w:r>
            <w:r w:rsidRPr="00FA0D37">
              <w:rPr>
                <w:szCs w:val="22"/>
                <w:lang w:eastAsia="sv-SE"/>
              </w:rPr>
              <w:t xml:space="preserve"> and the restrictions in </w:t>
            </w:r>
            <w:r w:rsidRPr="00FA0D37">
              <w:rPr>
                <w:i/>
                <w:szCs w:val="22"/>
                <w:lang w:eastAsia="sv-SE"/>
              </w:rPr>
              <w:t>LogicalChannelConfig</w:t>
            </w:r>
            <w:r w:rsidRPr="00FA0D37">
              <w:rPr>
                <w:szCs w:val="22"/>
                <w:lang w:eastAsia="sv-SE"/>
              </w:rPr>
              <w:t>) forbid it to do so.</w:t>
            </w:r>
          </w:p>
        </w:tc>
      </w:tr>
    </w:tbl>
    <w:p w14:paraId="4F611D01" w14:textId="77777777" w:rsidR="00394471" w:rsidRPr="00FA0D37" w:rsidRDefault="00394471" w:rsidP="00394471">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5C7FF4" w:rsidRPr="00FA0D37"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FA0D37" w:rsidRDefault="00394471" w:rsidP="00964CC4">
            <w:pPr>
              <w:pStyle w:val="TAH"/>
              <w:rPr>
                <w:rFonts w:eastAsia="宋体"/>
                <w:szCs w:val="22"/>
                <w:lang w:eastAsia="sv-SE"/>
              </w:rPr>
            </w:pPr>
            <w:r w:rsidRPr="00FA0D37">
              <w:rPr>
                <w:rFonts w:eastAsia="宋体"/>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FA0D37" w:rsidRDefault="00394471" w:rsidP="00964CC4">
            <w:pPr>
              <w:pStyle w:val="TAH"/>
              <w:rPr>
                <w:rFonts w:eastAsia="宋体"/>
                <w:szCs w:val="22"/>
                <w:lang w:eastAsia="sv-SE"/>
              </w:rPr>
            </w:pPr>
            <w:r w:rsidRPr="00FA0D37">
              <w:rPr>
                <w:rFonts w:eastAsia="宋体"/>
                <w:szCs w:val="22"/>
                <w:lang w:eastAsia="sv-SE"/>
              </w:rPr>
              <w:t>Explanation</w:t>
            </w:r>
          </w:p>
        </w:tc>
      </w:tr>
      <w:tr w:rsidR="005C7FF4" w:rsidRPr="00FA0D37"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FA0D37" w:rsidRDefault="00394471" w:rsidP="00964CC4">
            <w:pPr>
              <w:pStyle w:val="TAL"/>
              <w:rPr>
                <w:rFonts w:eastAsia="宋体"/>
                <w:i/>
                <w:szCs w:val="22"/>
                <w:lang w:eastAsia="sv-SE"/>
              </w:rPr>
            </w:pPr>
            <w:r w:rsidRPr="00FA0D37">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0A1172B7" w:rsidR="00394471" w:rsidRPr="00FA0D37" w:rsidRDefault="00394471" w:rsidP="00964CC4">
            <w:pPr>
              <w:pStyle w:val="TAL"/>
              <w:rPr>
                <w:rFonts w:eastAsia="宋体"/>
                <w:szCs w:val="22"/>
                <w:lang w:eastAsia="sv-SE"/>
              </w:rPr>
            </w:pPr>
            <w:r w:rsidRPr="00FA0D37">
              <w:rPr>
                <w:rFonts w:eastAsia="宋体"/>
                <w:szCs w:val="22"/>
                <w:lang w:eastAsia="sv-SE"/>
              </w:rPr>
              <w:t>This field is mandatory present upon creation of a new logical channel for a DRB</w:t>
            </w:r>
            <w:r w:rsidR="001E593B" w:rsidRPr="00FA0D37">
              <w:rPr>
                <w:rFonts w:eastAsia="宋体"/>
                <w:szCs w:val="22"/>
                <w:lang w:eastAsia="sv-SE"/>
              </w:rPr>
              <w:t xml:space="preserve"> or a multicast MRB</w:t>
            </w:r>
            <w:r w:rsidR="0054758A" w:rsidRPr="00FA0D37">
              <w:rPr>
                <w:rFonts w:eastAsia="宋体"/>
                <w:szCs w:val="22"/>
                <w:lang w:eastAsia="sv-SE"/>
              </w:rPr>
              <w:t xml:space="preserve"> or SRB4</w:t>
            </w:r>
            <w:r w:rsidRPr="00FA0D37">
              <w:rPr>
                <w:rFonts w:eastAsia="宋体"/>
                <w:szCs w:val="22"/>
                <w:lang w:eastAsia="sv-SE"/>
              </w:rPr>
              <w:t>. This field is optionally present, Need S, upon creation of a new logical channel for an SRB</w:t>
            </w:r>
            <w:r w:rsidR="0054758A" w:rsidRPr="00FA0D37">
              <w:rPr>
                <w:rFonts w:eastAsia="宋体"/>
                <w:szCs w:val="22"/>
                <w:lang w:eastAsia="sv-SE"/>
              </w:rPr>
              <w:t xml:space="preserve"> except SRB4</w:t>
            </w:r>
            <w:r w:rsidRPr="00FA0D37">
              <w:rPr>
                <w:rFonts w:eastAsia="宋体"/>
                <w:szCs w:val="22"/>
                <w:lang w:eastAsia="sv-SE"/>
              </w:rPr>
              <w:t>. It is optionally present, Need M, otherwise.</w:t>
            </w:r>
          </w:p>
        </w:tc>
      </w:tr>
      <w:tr w:rsidR="005C7FF4" w:rsidRPr="00FA0D37"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FA0D37" w:rsidRDefault="001E593B" w:rsidP="00771058">
            <w:pPr>
              <w:pStyle w:val="TAL"/>
              <w:rPr>
                <w:rFonts w:eastAsia="宋体"/>
                <w:i/>
                <w:iCs/>
                <w:szCs w:val="22"/>
                <w:lang w:eastAsia="sv-SE"/>
              </w:rPr>
            </w:pPr>
            <w:r w:rsidRPr="00FA0D37">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FA0D37" w:rsidRDefault="001E593B" w:rsidP="00771058">
            <w:pPr>
              <w:pStyle w:val="TAL"/>
              <w:rPr>
                <w:rFonts w:eastAsia="宋体"/>
                <w:szCs w:val="22"/>
                <w:lang w:eastAsia="sv-SE"/>
              </w:rPr>
            </w:pPr>
            <w:r w:rsidRPr="00FA0D37">
              <w:t xml:space="preserve">This field is optionally present upon creation of a new logical channel </w:t>
            </w:r>
            <w:r w:rsidR="00280BA7" w:rsidRPr="00FA0D37">
              <w:t xml:space="preserve">for PTM reception </w:t>
            </w:r>
            <w:r w:rsidRPr="00FA0D37">
              <w:t>for a multicast MRB. If this field is included upon creation of a new logical channel</w:t>
            </w:r>
            <w:r w:rsidR="00280BA7" w:rsidRPr="00FA0D37">
              <w:t xml:space="preserve"> for PTM reception</w:t>
            </w:r>
            <w:r w:rsidRPr="00FA0D37">
              <w:t xml:space="preserve"> for a multicast MRB, it shall be present when modifying this logical channel. The field is absent for logical channels configured for an SRB and a DRB.</w:t>
            </w:r>
          </w:p>
        </w:tc>
      </w:tr>
      <w:tr w:rsidR="005C7FF4" w:rsidRPr="00FA0D37"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FA0D37" w:rsidRDefault="00394471" w:rsidP="00964CC4">
            <w:pPr>
              <w:pStyle w:val="TAL"/>
              <w:rPr>
                <w:rFonts w:eastAsia="宋体"/>
                <w:i/>
                <w:szCs w:val="22"/>
                <w:lang w:eastAsia="sv-SE"/>
              </w:rPr>
            </w:pPr>
            <w:r w:rsidRPr="00FA0D37">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FA0D37" w:rsidRDefault="00394471" w:rsidP="00964CC4">
            <w:pPr>
              <w:pStyle w:val="TAL"/>
              <w:rPr>
                <w:rFonts w:eastAsia="宋体"/>
                <w:szCs w:val="22"/>
                <w:lang w:eastAsia="sv-SE"/>
              </w:rPr>
            </w:pPr>
            <w:r w:rsidRPr="00FA0D37">
              <w:rPr>
                <w:rFonts w:eastAsia="宋体"/>
                <w:szCs w:val="22"/>
                <w:lang w:eastAsia="sv-SE"/>
              </w:rPr>
              <w:t>This field is mandatory present upon creation of a new logical channel</w:t>
            </w:r>
            <w:r w:rsidR="001E593B" w:rsidRPr="00FA0D37">
              <w:rPr>
                <w:rFonts w:eastAsia="宋体"/>
                <w:szCs w:val="22"/>
                <w:lang w:eastAsia="sv-SE"/>
              </w:rPr>
              <w:t xml:space="preserve"> for a DRB or an SRB</w:t>
            </w:r>
            <w:r w:rsidR="0046275D" w:rsidRPr="00FA0D37">
              <w:rPr>
                <w:rFonts w:eastAsia="宋体"/>
                <w:szCs w:val="22"/>
                <w:lang w:eastAsia="sv-SE"/>
              </w:rPr>
              <w:t xml:space="preserve"> (</w:t>
            </w:r>
            <w:r w:rsidR="0046275D" w:rsidRPr="00FA0D37">
              <w:rPr>
                <w:rFonts w:eastAsia="宋体"/>
                <w:i/>
                <w:szCs w:val="22"/>
                <w:lang w:eastAsia="sv-SE"/>
              </w:rPr>
              <w:t>servedRadioBearer</w:t>
            </w:r>
            <w:r w:rsidR="0046275D" w:rsidRPr="00FA0D37">
              <w:rPr>
                <w:rFonts w:eastAsia="宋体"/>
                <w:szCs w:val="22"/>
                <w:lang w:eastAsia="sv-SE"/>
              </w:rPr>
              <w:t>)</w:t>
            </w:r>
            <w:r w:rsidRPr="00FA0D37">
              <w:rPr>
                <w:rFonts w:eastAsia="宋体"/>
                <w:szCs w:val="22"/>
                <w:lang w:eastAsia="sv-SE"/>
              </w:rPr>
              <w:t>. It is absent, Need M otherwise.</w:t>
            </w:r>
          </w:p>
        </w:tc>
      </w:tr>
      <w:tr w:rsidR="000830BB" w:rsidRPr="00FA0D37"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FA0D37" w:rsidRDefault="001E593B" w:rsidP="001E593B">
            <w:pPr>
              <w:pStyle w:val="TAL"/>
              <w:rPr>
                <w:rFonts w:eastAsia="宋体"/>
                <w:i/>
                <w:szCs w:val="22"/>
                <w:lang w:eastAsia="sv-SE"/>
              </w:rPr>
            </w:pPr>
            <w:r w:rsidRPr="00FA0D37">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FA0D37" w:rsidRDefault="001E593B" w:rsidP="001E593B">
            <w:pPr>
              <w:pStyle w:val="TAL"/>
              <w:rPr>
                <w:rFonts w:eastAsia="宋体"/>
                <w:szCs w:val="22"/>
                <w:lang w:eastAsia="sv-SE"/>
              </w:rPr>
            </w:pPr>
            <w:r w:rsidRPr="00FA0D37">
              <w:t>This field is mandatory present upon creation of a new logical channel for a multicast MRB</w:t>
            </w:r>
            <w:r w:rsidR="00280BA7" w:rsidRPr="00FA0D37">
              <w:t xml:space="preserve"> and upon modification of </w:t>
            </w:r>
            <w:r w:rsidR="00280BA7" w:rsidRPr="00FA0D37">
              <w:rPr>
                <w:i/>
              </w:rPr>
              <w:t>MRB-Identity</w:t>
            </w:r>
            <w:r w:rsidR="00280BA7" w:rsidRPr="00FA0D37">
              <w:t xml:space="preserve"> of the served MRB</w:t>
            </w:r>
            <w:r w:rsidRPr="00FA0D37">
              <w:t>. It is absent, Need M otherwise.</w:t>
            </w:r>
          </w:p>
        </w:tc>
      </w:tr>
    </w:tbl>
    <w:p w14:paraId="51776D7B" w14:textId="77777777" w:rsidR="00394471" w:rsidRPr="00FA0D37" w:rsidRDefault="00394471" w:rsidP="00394471"/>
    <w:p w14:paraId="6DAFEF3B" w14:textId="77777777" w:rsidR="00394471" w:rsidRPr="00FA0D37" w:rsidRDefault="00394471" w:rsidP="00394471">
      <w:pPr>
        <w:pStyle w:val="4"/>
        <w:rPr>
          <w:rFonts w:eastAsia="宋体"/>
        </w:rPr>
      </w:pPr>
      <w:bookmarkStart w:id="1335" w:name="_Toc60777358"/>
      <w:bookmarkStart w:id="1336" w:name="_Toc146781439"/>
      <w:r w:rsidRPr="00FA0D37">
        <w:rPr>
          <w:rFonts w:eastAsia="宋体"/>
        </w:rPr>
        <w:t>–</w:t>
      </w:r>
      <w:r w:rsidRPr="00FA0D37">
        <w:rPr>
          <w:rFonts w:eastAsia="宋体"/>
        </w:rPr>
        <w:tab/>
      </w:r>
      <w:r w:rsidRPr="00FA0D37">
        <w:rPr>
          <w:rFonts w:eastAsia="宋体"/>
          <w:i/>
        </w:rPr>
        <w:t>RLC-Config</w:t>
      </w:r>
      <w:bookmarkEnd w:id="1335"/>
      <w:bookmarkEnd w:id="1336"/>
    </w:p>
    <w:p w14:paraId="1179ABB0" w14:textId="21EC23C7" w:rsidR="00394471" w:rsidRPr="00FA0D37" w:rsidRDefault="00394471" w:rsidP="00394471">
      <w:r w:rsidRPr="00FA0D37">
        <w:t xml:space="preserve">The IE </w:t>
      </w:r>
      <w:r w:rsidRPr="00FA0D37">
        <w:rPr>
          <w:i/>
        </w:rPr>
        <w:t>RLC-Config</w:t>
      </w:r>
      <w:r w:rsidRPr="00FA0D37">
        <w:t xml:space="preserve"> is used to specify the RLC configuration of SRBs</w:t>
      </w:r>
      <w:r w:rsidR="001E593B" w:rsidRPr="00FA0D37">
        <w:t>, multicast MRBs</w:t>
      </w:r>
      <w:r w:rsidRPr="00FA0D37">
        <w:t xml:space="preserve"> and DRBs.</w:t>
      </w:r>
    </w:p>
    <w:p w14:paraId="03BC3F28" w14:textId="77777777" w:rsidR="00394471" w:rsidRPr="00FA0D37" w:rsidRDefault="00394471" w:rsidP="00394471">
      <w:pPr>
        <w:pStyle w:val="TH"/>
        <w:rPr>
          <w:rFonts w:eastAsia="宋体"/>
          <w:lang w:eastAsia="zh-CN"/>
        </w:rPr>
      </w:pPr>
      <w:r w:rsidRPr="00FA0D37">
        <w:rPr>
          <w:i/>
          <w:lang w:eastAsia="zh-CN"/>
        </w:rPr>
        <w:t>RLC-Config</w:t>
      </w:r>
      <w:r w:rsidRPr="00FA0D37">
        <w:rPr>
          <w:lang w:eastAsia="zh-CN"/>
        </w:rPr>
        <w:t xml:space="preserve"> information element</w:t>
      </w:r>
    </w:p>
    <w:p w14:paraId="67CF8831" w14:textId="77777777" w:rsidR="00394471" w:rsidRPr="00FA0D37" w:rsidRDefault="00394471" w:rsidP="00FA0D37">
      <w:pPr>
        <w:pStyle w:val="PL"/>
        <w:rPr>
          <w:color w:val="808080"/>
        </w:rPr>
      </w:pPr>
      <w:r w:rsidRPr="00FA0D37">
        <w:rPr>
          <w:color w:val="808080"/>
        </w:rPr>
        <w:t>-- ASN1START</w:t>
      </w:r>
    </w:p>
    <w:p w14:paraId="1FA8B584" w14:textId="77777777" w:rsidR="00394471" w:rsidRPr="00FA0D37" w:rsidRDefault="00394471" w:rsidP="00FA0D37">
      <w:pPr>
        <w:pStyle w:val="PL"/>
        <w:rPr>
          <w:color w:val="808080"/>
        </w:rPr>
      </w:pPr>
      <w:r w:rsidRPr="00FA0D37">
        <w:rPr>
          <w:color w:val="808080"/>
        </w:rPr>
        <w:t>-- TAG-RLC-CONFIG-START</w:t>
      </w:r>
    </w:p>
    <w:p w14:paraId="26484A25" w14:textId="77777777" w:rsidR="00394471" w:rsidRPr="00FA0D37" w:rsidRDefault="00394471" w:rsidP="00FA0D37">
      <w:pPr>
        <w:pStyle w:val="PL"/>
      </w:pPr>
    </w:p>
    <w:p w14:paraId="3E5121F7" w14:textId="77777777" w:rsidR="00394471" w:rsidRPr="00FA0D37" w:rsidRDefault="00394471" w:rsidP="00FA0D37">
      <w:pPr>
        <w:pStyle w:val="PL"/>
      </w:pPr>
      <w:r w:rsidRPr="00FA0D37">
        <w:t xml:space="preserve">RLC-Config ::=                      </w:t>
      </w:r>
      <w:r w:rsidRPr="00FA0D37">
        <w:rPr>
          <w:color w:val="993366"/>
        </w:rPr>
        <w:t>CHOICE</w:t>
      </w:r>
      <w:r w:rsidRPr="00FA0D37">
        <w:t xml:space="preserve"> {</w:t>
      </w:r>
    </w:p>
    <w:p w14:paraId="4990E73B" w14:textId="77777777" w:rsidR="00394471" w:rsidRPr="00FA0D37" w:rsidRDefault="00394471" w:rsidP="00FA0D37">
      <w:pPr>
        <w:pStyle w:val="PL"/>
      </w:pPr>
      <w:r w:rsidRPr="00FA0D37">
        <w:t xml:space="preserve">    am                                  </w:t>
      </w:r>
      <w:r w:rsidRPr="00FA0D37">
        <w:rPr>
          <w:color w:val="993366"/>
        </w:rPr>
        <w:t>SEQUENCE</w:t>
      </w:r>
      <w:r w:rsidRPr="00FA0D37">
        <w:t xml:space="preserve"> {</w:t>
      </w:r>
    </w:p>
    <w:p w14:paraId="5703AEDB" w14:textId="77777777" w:rsidR="00394471" w:rsidRPr="00FA0D37" w:rsidRDefault="00394471" w:rsidP="00FA0D37">
      <w:pPr>
        <w:pStyle w:val="PL"/>
      </w:pPr>
      <w:r w:rsidRPr="00FA0D37">
        <w:t xml:space="preserve">        ul-AM-RLC                           UL-AM-RLC,</w:t>
      </w:r>
    </w:p>
    <w:p w14:paraId="4357DB07" w14:textId="77777777" w:rsidR="00394471" w:rsidRPr="00FA0D37" w:rsidRDefault="00394471" w:rsidP="00FA0D37">
      <w:pPr>
        <w:pStyle w:val="PL"/>
      </w:pPr>
      <w:r w:rsidRPr="00FA0D37">
        <w:t xml:space="preserve">        dl-AM-RLC                           DL-AM-RLC</w:t>
      </w:r>
    </w:p>
    <w:p w14:paraId="1C7A82B9" w14:textId="77777777" w:rsidR="00394471" w:rsidRPr="00FA0D37" w:rsidRDefault="00394471" w:rsidP="00FA0D37">
      <w:pPr>
        <w:pStyle w:val="PL"/>
      </w:pPr>
      <w:r w:rsidRPr="00FA0D37">
        <w:t xml:space="preserve">    },</w:t>
      </w:r>
    </w:p>
    <w:p w14:paraId="22F5AB41" w14:textId="77777777" w:rsidR="00394471" w:rsidRPr="00FA0D37" w:rsidRDefault="00394471" w:rsidP="00FA0D37">
      <w:pPr>
        <w:pStyle w:val="PL"/>
      </w:pPr>
      <w:r w:rsidRPr="00FA0D37">
        <w:t xml:space="preserve">    um-Bi-Directional                   </w:t>
      </w:r>
      <w:r w:rsidRPr="00FA0D37">
        <w:rPr>
          <w:color w:val="993366"/>
        </w:rPr>
        <w:t>SEQUENCE</w:t>
      </w:r>
      <w:r w:rsidRPr="00FA0D37">
        <w:t xml:space="preserve"> {</w:t>
      </w:r>
    </w:p>
    <w:p w14:paraId="45B7B15B" w14:textId="77777777" w:rsidR="00394471" w:rsidRPr="00FA0D37" w:rsidRDefault="00394471" w:rsidP="00FA0D37">
      <w:pPr>
        <w:pStyle w:val="PL"/>
      </w:pPr>
      <w:r w:rsidRPr="00FA0D37">
        <w:t xml:space="preserve">        ul-UM-RLC                           UL-UM-RLC,</w:t>
      </w:r>
    </w:p>
    <w:p w14:paraId="331BDA9C" w14:textId="77777777" w:rsidR="00394471" w:rsidRPr="00FA0D37" w:rsidRDefault="00394471" w:rsidP="00FA0D37">
      <w:pPr>
        <w:pStyle w:val="PL"/>
      </w:pPr>
      <w:r w:rsidRPr="00FA0D37">
        <w:t xml:space="preserve">        dl-UM-RLC                           DL-UM-RLC</w:t>
      </w:r>
    </w:p>
    <w:p w14:paraId="4E9E5163" w14:textId="77777777" w:rsidR="00394471" w:rsidRPr="00FA0D37" w:rsidRDefault="00394471" w:rsidP="00FA0D37">
      <w:pPr>
        <w:pStyle w:val="PL"/>
      </w:pPr>
      <w:r w:rsidRPr="00FA0D37">
        <w:t xml:space="preserve">    },</w:t>
      </w:r>
    </w:p>
    <w:p w14:paraId="2AA51E14" w14:textId="77777777" w:rsidR="00394471" w:rsidRPr="00FA0D37" w:rsidRDefault="00394471" w:rsidP="00FA0D37">
      <w:pPr>
        <w:pStyle w:val="PL"/>
      </w:pPr>
      <w:r w:rsidRPr="00FA0D37">
        <w:t xml:space="preserve">    um-Uni-Directional-UL               </w:t>
      </w:r>
      <w:r w:rsidRPr="00FA0D37">
        <w:rPr>
          <w:color w:val="993366"/>
        </w:rPr>
        <w:t>SEQUENCE</w:t>
      </w:r>
      <w:r w:rsidRPr="00FA0D37">
        <w:t xml:space="preserve"> {</w:t>
      </w:r>
    </w:p>
    <w:p w14:paraId="1B7FBA50" w14:textId="77777777" w:rsidR="00394471" w:rsidRPr="00FA0D37" w:rsidRDefault="00394471" w:rsidP="00FA0D37">
      <w:pPr>
        <w:pStyle w:val="PL"/>
      </w:pPr>
      <w:r w:rsidRPr="00FA0D37">
        <w:t xml:space="preserve">        ul-UM-RLC                           UL-UM-RLC</w:t>
      </w:r>
    </w:p>
    <w:p w14:paraId="0E1B48C3" w14:textId="77777777" w:rsidR="00394471" w:rsidRPr="00FA0D37" w:rsidRDefault="00394471" w:rsidP="00FA0D37">
      <w:pPr>
        <w:pStyle w:val="PL"/>
      </w:pPr>
      <w:r w:rsidRPr="00FA0D37">
        <w:t xml:space="preserve">    },</w:t>
      </w:r>
    </w:p>
    <w:p w14:paraId="47C30F12" w14:textId="77777777" w:rsidR="00394471" w:rsidRPr="00FA0D37" w:rsidRDefault="00394471" w:rsidP="00FA0D37">
      <w:pPr>
        <w:pStyle w:val="PL"/>
      </w:pPr>
      <w:r w:rsidRPr="00FA0D37">
        <w:t xml:space="preserve">    um-Uni-Directional-DL               </w:t>
      </w:r>
      <w:r w:rsidRPr="00FA0D37">
        <w:rPr>
          <w:color w:val="993366"/>
        </w:rPr>
        <w:t>SEQUENCE</w:t>
      </w:r>
      <w:r w:rsidRPr="00FA0D37">
        <w:t xml:space="preserve"> {</w:t>
      </w:r>
    </w:p>
    <w:p w14:paraId="21260227" w14:textId="77777777" w:rsidR="00394471" w:rsidRPr="00FA0D37" w:rsidRDefault="00394471" w:rsidP="00FA0D37">
      <w:pPr>
        <w:pStyle w:val="PL"/>
      </w:pPr>
      <w:r w:rsidRPr="00FA0D37">
        <w:t xml:space="preserve">        dl-UM-RLC                           DL-UM-RLC</w:t>
      </w:r>
    </w:p>
    <w:p w14:paraId="4A2D5920" w14:textId="77777777" w:rsidR="00394471" w:rsidRPr="00FA0D37" w:rsidRDefault="00394471" w:rsidP="00FA0D37">
      <w:pPr>
        <w:pStyle w:val="PL"/>
      </w:pPr>
      <w:r w:rsidRPr="00FA0D37">
        <w:t xml:space="preserve">    },</w:t>
      </w:r>
    </w:p>
    <w:p w14:paraId="48C0FAFD" w14:textId="77777777" w:rsidR="00394471" w:rsidRPr="00FA0D37" w:rsidRDefault="00394471" w:rsidP="00FA0D37">
      <w:pPr>
        <w:pStyle w:val="PL"/>
      </w:pPr>
      <w:r w:rsidRPr="00FA0D37">
        <w:t xml:space="preserve">    ...</w:t>
      </w:r>
    </w:p>
    <w:p w14:paraId="2E699800" w14:textId="77777777" w:rsidR="00394471" w:rsidRPr="00FA0D37" w:rsidRDefault="00394471" w:rsidP="00FA0D37">
      <w:pPr>
        <w:pStyle w:val="PL"/>
      </w:pPr>
      <w:r w:rsidRPr="00FA0D37">
        <w:t>}</w:t>
      </w:r>
    </w:p>
    <w:p w14:paraId="23F8F48B" w14:textId="77777777" w:rsidR="00394471" w:rsidRPr="00FA0D37" w:rsidRDefault="00394471" w:rsidP="00FA0D37">
      <w:pPr>
        <w:pStyle w:val="PL"/>
      </w:pPr>
    </w:p>
    <w:p w14:paraId="20CA4959" w14:textId="77777777" w:rsidR="00394471" w:rsidRPr="00FA0D37" w:rsidRDefault="00394471" w:rsidP="00FA0D37">
      <w:pPr>
        <w:pStyle w:val="PL"/>
      </w:pPr>
      <w:r w:rsidRPr="00FA0D37">
        <w:t xml:space="preserve">UL-AM-RLC ::=                       </w:t>
      </w:r>
      <w:r w:rsidRPr="00FA0D37">
        <w:rPr>
          <w:color w:val="993366"/>
        </w:rPr>
        <w:t>SEQUENCE</w:t>
      </w:r>
      <w:r w:rsidRPr="00FA0D37">
        <w:t xml:space="preserve"> {</w:t>
      </w:r>
    </w:p>
    <w:p w14:paraId="0B6C8E70" w14:textId="77777777" w:rsidR="00394471" w:rsidRPr="00FA0D37" w:rsidRDefault="00394471" w:rsidP="00FA0D37">
      <w:pPr>
        <w:pStyle w:val="PL"/>
        <w:rPr>
          <w:color w:val="808080"/>
        </w:rPr>
      </w:pPr>
      <w:r w:rsidRPr="00FA0D37">
        <w:t xml:space="preserve">    sn-FieldLength                      SN-FieldLengthAM                                    </w:t>
      </w:r>
      <w:r w:rsidRPr="00FA0D37">
        <w:rPr>
          <w:color w:val="993366"/>
        </w:rPr>
        <w:t>OPTIONAL</w:t>
      </w:r>
      <w:r w:rsidRPr="00FA0D37">
        <w:t xml:space="preserve">,   </w:t>
      </w:r>
      <w:r w:rsidRPr="00FA0D37">
        <w:rPr>
          <w:color w:val="808080"/>
        </w:rPr>
        <w:t>-- Cond Reestab</w:t>
      </w:r>
    </w:p>
    <w:p w14:paraId="5EA10D84" w14:textId="77777777" w:rsidR="00394471" w:rsidRPr="00FA0D37" w:rsidRDefault="00394471" w:rsidP="00FA0D37">
      <w:pPr>
        <w:pStyle w:val="PL"/>
      </w:pPr>
      <w:r w:rsidRPr="00FA0D37">
        <w:t xml:space="preserve">    t-PollRetransmit                    T-PollRetransmit,</w:t>
      </w:r>
    </w:p>
    <w:p w14:paraId="63906EF2" w14:textId="77777777" w:rsidR="00394471" w:rsidRPr="00FA0D37" w:rsidRDefault="00394471" w:rsidP="00FA0D37">
      <w:pPr>
        <w:pStyle w:val="PL"/>
      </w:pPr>
      <w:r w:rsidRPr="00FA0D37">
        <w:t xml:space="preserve">    pollPDU                             PollPDU,</w:t>
      </w:r>
    </w:p>
    <w:p w14:paraId="36FD2CA1" w14:textId="77777777" w:rsidR="00394471" w:rsidRPr="00FA0D37" w:rsidRDefault="00394471" w:rsidP="00FA0D37">
      <w:pPr>
        <w:pStyle w:val="PL"/>
      </w:pPr>
      <w:r w:rsidRPr="00FA0D37">
        <w:t xml:space="preserve">    pollByte                            PollByte,</w:t>
      </w:r>
    </w:p>
    <w:p w14:paraId="29A5F9DA" w14:textId="77777777" w:rsidR="00394471" w:rsidRPr="00FA0D37" w:rsidRDefault="00394471" w:rsidP="00FA0D37">
      <w:pPr>
        <w:pStyle w:val="PL"/>
      </w:pPr>
      <w:r w:rsidRPr="00FA0D37">
        <w:t xml:space="preserve">    maxRetxThreshold                    </w:t>
      </w:r>
      <w:r w:rsidRPr="00FA0D37">
        <w:rPr>
          <w:color w:val="993366"/>
        </w:rPr>
        <w:t>ENUMERATED</w:t>
      </w:r>
      <w:r w:rsidRPr="00FA0D37">
        <w:t xml:space="preserve"> { t1, t2, t3, t4, t6, t8, t16, t32 }</w:t>
      </w:r>
    </w:p>
    <w:p w14:paraId="5F6EE01C" w14:textId="77777777" w:rsidR="00394471" w:rsidRPr="00FA0D37" w:rsidRDefault="00394471" w:rsidP="00FA0D37">
      <w:pPr>
        <w:pStyle w:val="PL"/>
      </w:pPr>
      <w:r w:rsidRPr="00FA0D37">
        <w:t>}</w:t>
      </w:r>
    </w:p>
    <w:p w14:paraId="3B9869B0" w14:textId="77777777" w:rsidR="00394471" w:rsidRPr="00FA0D37" w:rsidRDefault="00394471" w:rsidP="00FA0D37">
      <w:pPr>
        <w:pStyle w:val="PL"/>
      </w:pPr>
    </w:p>
    <w:p w14:paraId="611B64C5" w14:textId="77777777" w:rsidR="00394471" w:rsidRPr="00FA0D37" w:rsidRDefault="00394471" w:rsidP="00FA0D37">
      <w:pPr>
        <w:pStyle w:val="PL"/>
      </w:pPr>
      <w:r w:rsidRPr="00FA0D37">
        <w:t xml:space="preserve">DL-AM-RLC ::=                       </w:t>
      </w:r>
      <w:r w:rsidRPr="00FA0D37">
        <w:rPr>
          <w:color w:val="993366"/>
        </w:rPr>
        <w:t>SEQUENCE</w:t>
      </w:r>
      <w:r w:rsidRPr="00FA0D37">
        <w:t xml:space="preserve"> {</w:t>
      </w:r>
    </w:p>
    <w:p w14:paraId="72F5BF9E" w14:textId="77777777" w:rsidR="00394471" w:rsidRPr="00FA0D37" w:rsidRDefault="00394471" w:rsidP="00FA0D37">
      <w:pPr>
        <w:pStyle w:val="PL"/>
        <w:rPr>
          <w:color w:val="808080"/>
        </w:rPr>
      </w:pPr>
      <w:r w:rsidRPr="00FA0D37">
        <w:lastRenderedPageBreak/>
        <w:t xml:space="preserve">    sn-FieldLength                      SN-FieldLengthAM                                    </w:t>
      </w:r>
      <w:r w:rsidRPr="00FA0D37">
        <w:rPr>
          <w:color w:val="993366"/>
        </w:rPr>
        <w:t>OPTIONAL</w:t>
      </w:r>
      <w:r w:rsidRPr="00FA0D37">
        <w:t xml:space="preserve">,   </w:t>
      </w:r>
      <w:r w:rsidRPr="00FA0D37">
        <w:rPr>
          <w:color w:val="808080"/>
        </w:rPr>
        <w:t>-- Cond Reestab</w:t>
      </w:r>
    </w:p>
    <w:p w14:paraId="58C4F95F" w14:textId="77777777" w:rsidR="00394471" w:rsidRPr="00FA0D37" w:rsidRDefault="00394471" w:rsidP="00FA0D37">
      <w:pPr>
        <w:pStyle w:val="PL"/>
      </w:pPr>
      <w:r w:rsidRPr="00FA0D37">
        <w:t xml:space="preserve">    t-Reassembly                        T-Reassembly,</w:t>
      </w:r>
    </w:p>
    <w:p w14:paraId="179F9DC9" w14:textId="77777777" w:rsidR="00394471" w:rsidRPr="00FA0D37" w:rsidRDefault="00394471" w:rsidP="00FA0D37">
      <w:pPr>
        <w:pStyle w:val="PL"/>
      </w:pPr>
      <w:r w:rsidRPr="00FA0D37">
        <w:t xml:space="preserve">    t-StatusProhibit                    T-StatusProhibit</w:t>
      </w:r>
    </w:p>
    <w:p w14:paraId="6174ED8D" w14:textId="77777777" w:rsidR="00394471" w:rsidRPr="00FA0D37" w:rsidRDefault="00394471" w:rsidP="00FA0D37">
      <w:pPr>
        <w:pStyle w:val="PL"/>
      </w:pPr>
      <w:r w:rsidRPr="00FA0D37">
        <w:t>}</w:t>
      </w:r>
    </w:p>
    <w:p w14:paraId="5DCA29A4" w14:textId="77777777" w:rsidR="00394471" w:rsidRPr="00FA0D37" w:rsidRDefault="00394471" w:rsidP="00FA0D37">
      <w:pPr>
        <w:pStyle w:val="PL"/>
      </w:pPr>
    </w:p>
    <w:p w14:paraId="2FAC563D" w14:textId="77777777" w:rsidR="00394471" w:rsidRPr="00FA0D37" w:rsidRDefault="00394471" w:rsidP="00FA0D37">
      <w:pPr>
        <w:pStyle w:val="PL"/>
      </w:pPr>
      <w:r w:rsidRPr="00FA0D37">
        <w:t xml:space="preserve">UL-UM-RLC ::=                       </w:t>
      </w:r>
      <w:r w:rsidRPr="00FA0D37">
        <w:rPr>
          <w:color w:val="993366"/>
        </w:rPr>
        <w:t>SEQUENCE</w:t>
      </w:r>
      <w:r w:rsidRPr="00FA0D37">
        <w:t xml:space="preserve"> {</w:t>
      </w:r>
    </w:p>
    <w:p w14:paraId="01753DF4" w14:textId="77777777" w:rsidR="00394471" w:rsidRPr="00FA0D37" w:rsidRDefault="00394471" w:rsidP="00FA0D37">
      <w:pPr>
        <w:pStyle w:val="PL"/>
        <w:rPr>
          <w:color w:val="808080"/>
        </w:rPr>
      </w:pPr>
      <w:r w:rsidRPr="00FA0D37">
        <w:t xml:space="preserve">    sn-FieldLength                      SN-FieldLengthUM                                    </w:t>
      </w:r>
      <w:r w:rsidRPr="00FA0D37">
        <w:rPr>
          <w:color w:val="993366"/>
        </w:rPr>
        <w:t>OPTIONAL</w:t>
      </w:r>
      <w:r w:rsidRPr="00FA0D37">
        <w:t xml:space="preserve">    </w:t>
      </w:r>
      <w:r w:rsidRPr="00FA0D37">
        <w:rPr>
          <w:color w:val="808080"/>
        </w:rPr>
        <w:t>-- Cond Reestab</w:t>
      </w:r>
    </w:p>
    <w:p w14:paraId="09D65A50" w14:textId="77777777" w:rsidR="00394471" w:rsidRPr="00FA0D37" w:rsidRDefault="00394471" w:rsidP="00FA0D37">
      <w:pPr>
        <w:pStyle w:val="PL"/>
      </w:pPr>
      <w:r w:rsidRPr="00FA0D37">
        <w:t>}</w:t>
      </w:r>
    </w:p>
    <w:p w14:paraId="7F536A07" w14:textId="77777777" w:rsidR="00394471" w:rsidRPr="00FA0D37" w:rsidRDefault="00394471" w:rsidP="00FA0D37">
      <w:pPr>
        <w:pStyle w:val="PL"/>
      </w:pPr>
    </w:p>
    <w:p w14:paraId="3E179860" w14:textId="77777777" w:rsidR="00394471" w:rsidRPr="00FA0D37" w:rsidRDefault="00394471" w:rsidP="00FA0D37">
      <w:pPr>
        <w:pStyle w:val="PL"/>
      </w:pPr>
      <w:r w:rsidRPr="00FA0D37">
        <w:t xml:space="preserve">DL-UM-RLC ::=                       </w:t>
      </w:r>
      <w:r w:rsidRPr="00FA0D37">
        <w:rPr>
          <w:color w:val="993366"/>
        </w:rPr>
        <w:t>SEQUENCE</w:t>
      </w:r>
      <w:r w:rsidRPr="00FA0D37">
        <w:t xml:space="preserve"> {</w:t>
      </w:r>
    </w:p>
    <w:p w14:paraId="2A3D667B" w14:textId="77777777" w:rsidR="00394471" w:rsidRPr="00FA0D37" w:rsidRDefault="00394471" w:rsidP="00FA0D37">
      <w:pPr>
        <w:pStyle w:val="PL"/>
        <w:rPr>
          <w:color w:val="808080"/>
        </w:rPr>
      </w:pPr>
      <w:r w:rsidRPr="00FA0D37">
        <w:t xml:space="preserve">    sn-FieldLength                      SN-FieldLengthUM                                    </w:t>
      </w:r>
      <w:r w:rsidRPr="00FA0D37">
        <w:rPr>
          <w:color w:val="993366"/>
        </w:rPr>
        <w:t>OPTIONAL</w:t>
      </w:r>
      <w:r w:rsidRPr="00FA0D37">
        <w:t xml:space="preserve">,   </w:t>
      </w:r>
      <w:r w:rsidRPr="00FA0D37">
        <w:rPr>
          <w:color w:val="808080"/>
        </w:rPr>
        <w:t>-- Cond Reestab</w:t>
      </w:r>
    </w:p>
    <w:p w14:paraId="10913ABA" w14:textId="77777777" w:rsidR="00394471" w:rsidRPr="00FA0D37" w:rsidRDefault="00394471" w:rsidP="00FA0D37">
      <w:pPr>
        <w:pStyle w:val="PL"/>
      </w:pPr>
      <w:r w:rsidRPr="00FA0D37">
        <w:t xml:space="preserve">    t-Reassembly                        T-Reassembly</w:t>
      </w:r>
    </w:p>
    <w:p w14:paraId="2E86B455" w14:textId="77777777" w:rsidR="00394471" w:rsidRPr="00FA0D37" w:rsidRDefault="00394471" w:rsidP="00FA0D37">
      <w:pPr>
        <w:pStyle w:val="PL"/>
      </w:pPr>
      <w:r w:rsidRPr="00FA0D37">
        <w:t>}</w:t>
      </w:r>
    </w:p>
    <w:p w14:paraId="00C0F4A7" w14:textId="77777777" w:rsidR="00394471" w:rsidRPr="00FA0D37" w:rsidRDefault="00394471" w:rsidP="00FA0D37">
      <w:pPr>
        <w:pStyle w:val="PL"/>
      </w:pPr>
    </w:p>
    <w:p w14:paraId="057660FF" w14:textId="77777777" w:rsidR="00394471" w:rsidRPr="00FA0D37" w:rsidRDefault="00394471" w:rsidP="00FA0D37">
      <w:pPr>
        <w:pStyle w:val="PL"/>
      </w:pPr>
      <w:r w:rsidRPr="00FA0D37">
        <w:t xml:space="preserve">T-PollRetransmit ::=                </w:t>
      </w:r>
      <w:r w:rsidRPr="00FA0D37">
        <w:rPr>
          <w:color w:val="993366"/>
        </w:rPr>
        <w:t>ENUMERATED</w:t>
      </w:r>
      <w:r w:rsidRPr="00FA0D37">
        <w:t xml:space="preserve"> {</w:t>
      </w:r>
    </w:p>
    <w:p w14:paraId="2973BE34" w14:textId="77777777" w:rsidR="00394471" w:rsidRPr="00FA0D37" w:rsidRDefault="00394471" w:rsidP="00FA0D37">
      <w:pPr>
        <w:pStyle w:val="PL"/>
      </w:pPr>
      <w:r w:rsidRPr="00FA0D37">
        <w:t xml:space="preserve">                                        ms5, ms10, ms15, ms20, ms25, ms30, ms35,</w:t>
      </w:r>
    </w:p>
    <w:p w14:paraId="58548C44" w14:textId="77777777" w:rsidR="00394471" w:rsidRPr="00FA0D37" w:rsidRDefault="00394471" w:rsidP="00FA0D37">
      <w:pPr>
        <w:pStyle w:val="PL"/>
      </w:pPr>
      <w:r w:rsidRPr="00FA0D37">
        <w:t xml:space="preserve">                                        ms40, ms45, ms50, ms55, ms60, ms65, ms70,</w:t>
      </w:r>
    </w:p>
    <w:p w14:paraId="3E95F02C" w14:textId="77777777" w:rsidR="00394471" w:rsidRPr="00FA0D37" w:rsidRDefault="00394471" w:rsidP="00FA0D37">
      <w:pPr>
        <w:pStyle w:val="PL"/>
      </w:pPr>
      <w:r w:rsidRPr="00FA0D37">
        <w:t xml:space="preserve">                                        ms75, ms80, ms85, ms90, ms95, ms100, ms105,</w:t>
      </w:r>
    </w:p>
    <w:p w14:paraId="192B9384" w14:textId="77777777" w:rsidR="00394471" w:rsidRPr="00FA0D37" w:rsidRDefault="00394471" w:rsidP="00FA0D37">
      <w:pPr>
        <w:pStyle w:val="PL"/>
      </w:pPr>
      <w:r w:rsidRPr="00FA0D37">
        <w:t xml:space="preserve">                                        ms110, ms115, ms120, ms125, ms130, ms135,</w:t>
      </w:r>
    </w:p>
    <w:p w14:paraId="37C6E607" w14:textId="77777777" w:rsidR="00394471" w:rsidRPr="00FA0D37" w:rsidRDefault="00394471" w:rsidP="00FA0D37">
      <w:pPr>
        <w:pStyle w:val="PL"/>
      </w:pPr>
      <w:r w:rsidRPr="00FA0D37">
        <w:t xml:space="preserve">                                        ms140, ms145, ms150, ms155, ms160, ms165,</w:t>
      </w:r>
    </w:p>
    <w:p w14:paraId="6473616C" w14:textId="77777777" w:rsidR="00394471" w:rsidRPr="00FA0D37" w:rsidRDefault="00394471" w:rsidP="00FA0D37">
      <w:pPr>
        <w:pStyle w:val="PL"/>
      </w:pPr>
      <w:r w:rsidRPr="00FA0D37">
        <w:t xml:space="preserve">                                        ms170, ms175, ms180, ms185, ms190, ms195,</w:t>
      </w:r>
    </w:p>
    <w:p w14:paraId="396D65FE" w14:textId="77777777" w:rsidR="00394471" w:rsidRPr="00FA0D37" w:rsidRDefault="00394471" w:rsidP="00FA0D37">
      <w:pPr>
        <w:pStyle w:val="PL"/>
      </w:pPr>
      <w:r w:rsidRPr="00FA0D37">
        <w:t xml:space="preserve">                                        ms200, ms205, ms210, ms215, ms220, ms225,</w:t>
      </w:r>
    </w:p>
    <w:p w14:paraId="34EEA17B" w14:textId="77777777" w:rsidR="00394471" w:rsidRPr="00FA0D37" w:rsidRDefault="00394471" w:rsidP="00FA0D37">
      <w:pPr>
        <w:pStyle w:val="PL"/>
      </w:pPr>
      <w:r w:rsidRPr="00FA0D37">
        <w:t xml:space="preserve">                                        ms230, ms235, ms240, ms245, ms250, ms300,</w:t>
      </w:r>
    </w:p>
    <w:p w14:paraId="41B5CE37" w14:textId="77777777" w:rsidR="00394471" w:rsidRPr="00FA0D37" w:rsidRDefault="00394471" w:rsidP="00FA0D37">
      <w:pPr>
        <w:pStyle w:val="PL"/>
      </w:pPr>
      <w:r w:rsidRPr="00FA0D37">
        <w:t xml:space="preserve">                                        ms350, ms400, ms450, ms500, ms800, ms1000,</w:t>
      </w:r>
    </w:p>
    <w:p w14:paraId="76B4E859" w14:textId="77777777" w:rsidR="00394471" w:rsidRPr="00FA0D37" w:rsidRDefault="00394471" w:rsidP="00FA0D37">
      <w:pPr>
        <w:pStyle w:val="PL"/>
      </w:pPr>
      <w:r w:rsidRPr="00FA0D37">
        <w:t xml:space="preserve">                                        ms2000, ms4000, ms1-v1610, ms2-v1610, ms3-v1610,</w:t>
      </w:r>
    </w:p>
    <w:p w14:paraId="15428C68" w14:textId="77777777" w:rsidR="00394471" w:rsidRPr="00FA0D37" w:rsidRDefault="00394471" w:rsidP="00FA0D37">
      <w:pPr>
        <w:pStyle w:val="PL"/>
      </w:pPr>
      <w:r w:rsidRPr="00FA0D37">
        <w:t xml:space="preserve">                                        ms4-v1610, spare1}</w:t>
      </w:r>
    </w:p>
    <w:p w14:paraId="35111ED0" w14:textId="77777777" w:rsidR="00394471" w:rsidRPr="00FA0D37" w:rsidRDefault="00394471" w:rsidP="00FA0D37">
      <w:pPr>
        <w:pStyle w:val="PL"/>
      </w:pPr>
    </w:p>
    <w:p w14:paraId="6CD7F1C5" w14:textId="77777777" w:rsidR="00394471" w:rsidRPr="00FA0D37" w:rsidRDefault="00394471" w:rsidP="00FA0D37">
      <w:pPr>
        <w:pStyle w:val="PL"/>
      </w:pPr>
    </w:p>
    <w:p w14:paraId="3362F519" w14:textId="77777777" w:rsidR="00394471" w:rsidRPr="00FA0D37" w:rsidRDefault="00394471" w:rsidP="00FA0D37">
      <w:pPr>
        <w:pStyle w:val="PL"/>
      </w:pPr>
      <w:r w:rsidRPr="00FA0D37">
        <w:t xml:space="preserve">PollPDU ::=                         </w:t>
      </w:r>
      <w:r w:rsidRPr="00FA0D37">
        <w:rPr>
          <w:color w:val="993366"/>
        </w:rPr>
        <w:t>ENUMERATED</w:t>
      </w:r>
      <w:r w:rsidRPr="00FA0D37">
        <w:t xml:space="preserve"> {</w:t>
      </w:r>
    </w:p>
    <w:p w14:paraId="76619486" w14:textId="77777777" w:rsidR="00394471" w:rsidRPr="00FA0D37" w:rsidRDefault="00394471" w:rsidP="00FA0D37">
      <w:pPr>
        <w:pStyle w:val="PL"/>
      </w:pPr>
      <w:r w:rsidRPr="00FA0D37">
        <w:t xml:space="preserve">                                        p4, p8, p16, p32, p64, p128, p256, p512, p1024, p2048, p4096, p6144, p8192, p12288, p16384,p20480,</w:t>
      </w:r>
    </w:p>
    <w:p w14:paraId="188BCDB8" w14:textId="77777777" w:rsidR="00394471" w:rsidRPr="00FA0D37" w:rsidRDefault="00394471" w:rsidP="00FA0D37">
      <w:pPr>
        <w:pStyle w:val="PL"/>
      </w:pPr>
      <w:r w:rsidRPr="00FA0D37">
        <w:t xml:space="preserve">                                        p24576, p28672, p32768, p40960, p49152, p57344, p65536, infinity, spare8, spare7, spare6, spare5, spare4,</w:t>
      </w:r>
    </w:p>
    <w:p w14:paraId="465FDB31" w14:textId="77777777" w:rsidR="00394471" w:rsidRPr="00FA0D37" w:rsidRDefault="00394471" w:rsidP="00FA0D37">
      <w:pPr>
        <w:pStyle w:val="PL"/>
      </w:pPr>
      <w:r w:rsidRPr="00FA0D37">
        <w:t xml:space="preserve">                                        spare3, spare2, spare1}</w:t>
      </w:r>
    </w:p>
    <w:p w14:paraId="6668CE5A" w14:textId="77777777" w:rsidR="00394471" w:rsidRPr="00FA0D37" w:rsidRDefault="00394471" w:rsidP="00FA0D37">
      <w:pPr>
        <w:pStyle w:val="PL"/>
      </w:pPr>
    </w:p>
    <w:p w14:paraId="5DC12D95" w14:textId="77777777" w:rsidR="00394471" w:rsidRPr="00FA0D37" w:rsidRDefault="00394471" w:rsidP="00FA0D37">
      <w:pPr>
        <w:pStyle w:val="PL"/>
      </w:pPr>
      <w:r w:rsidRPr="00FA0D37">
        <w:t xml:space="preserve">PollByte ::=                        </w:t>
      </w:r>
      <w:r w:rsidRPr="00FA0D37">
        <w:rPr>
          <w:color w:val="993366"/>
        </w:rPr>
        <w:t>ENUMERATED</w:t>
      </w:r>
      <w:r w:rsidRPr="00FA0D37">
        <w:t xml:space="preserve"> {</w:t>
      </w:r>
    </w:p>
    <w:p w14:paraId="56FE93A1" w14:textId="77777777" w:rsidR="00394471" w:rsidRPr="00FA0D37" w:rsidRDefault="00394471" w:rsidP="00FA0D37">
      <w:pPr>
        <w:pStyle w:val="PL"/>
      </w:pPr>
      <w:r w:rsidRPr="00FA0D37">
        <w:t xml:space="preserve">                                        kB1, kB2, kB5, kB8, kB10, kB15, kB25, kB50, kB75,</w:t>
      </w:r>
    </w:p>
    <w:p w14:paraId="7F7273E8" w14:textId="77777777" w:rsidR="00394471" w:rsidRPr="00FA0D37" w:rsidRDefault="00394471" w:rsidP="00FA0D37">
      <w:pPr>
        <w:pStyle w:val="PL"/>
      </w:pPr>
      <w:r w:rsidRPr="00FA0D37">
        <w:t xml:space="preserve">                                        kB100, kB125, kB250, kB375, kB500, kB750, kB1000,</w:t>
      </w:r>
    </w:p>
    <w:p w14:paraId="64D5851D" w14:textId="77777777" w:rsidR="00394471" w:rsidRPr="00FA0D37" w:rsidRDefault="00394471" w:rsidP="00FA0D37">
      <w:pPr>
        <w:pStyle w:val="PL"/>
      </w:pPr>
      <w:r w:rsidRPr="00FA0D37">
        <w:t xml:space="preserve">                                        kB1250, kB1500, kB2000, kB3000, kB4000, kB4500,</w:t>
      </w:r>
    </w:p>
    <w:p w14:paraId="6E6090DC" w14:textId="77777777" w:rsidR="00394471" w:rsidRPr="00FA0D37" w:rsidRDefault="00394471" w:rsidP="00FA0D37">
      <w:pPr>
        <w:pStyle w:val="PL"/>
      </w:pPr>
      <w:r w:rsidRPr="00FA0D37">
        <w:t xml:space="preserve">                                        kB5000, kB5500, kB6000, kB6500, kB7000, kB7500,</w:t>
      </w:r>
    </w:p>
    <w:p w14:paraId="09A23446" w14:textId="77777777" w:rsidR="00394471" w:rsidRPr="00FA0D37" w:rsidRDefault="00394471" w:rsidP="00FA0D37">
      <w:pPr>
        <w:pStyle w:val="PL"/>
      </w:pPr>
      <w:r w:rsidRPr="00FA0D37">
        <w:t xml:space="preserve">                                        mB8, mB9, mB10, mB11, mB12, mB13, mB14, mB15,</w:t>
      </w:r>
    </w:p>
    <w:p w14:paraId="2EBC07B8" w14:textId="77777777" w:rsidR="00394471" w:rsidRPr="00FA0D37" w:rsidRDefault="00394471" w:rsidP="00FA0D37">
      <w:pPr>
        <w:pStyle w:val="PL"/>
      </w:pPr>
      <w:r w:rsidRPr="00FA0D37">
        <w:t xml:space="preserve">                                        mB16, mB17, mB18, mB20, mB25, mB30, mB40, infinity,</w:t>
      </w:r>
    </w:p>
    <w:p w14:paraId="7E80F0B6" w14:textId="77777777" w:rsidR="00394471" w:rsidRPr="00FA0D37" w:rsidRDefault="00394471" w:rsidP="00FA0D37">
      <w:pPr>
        <w:pStyle w:val="PL"/>
      </w:pPr>
      <w:r w:rsidRPr="00FA0D37">
        <w:t xml:space="preserve">                                        spare20, spare19, spare18, spare17, spare16,</w:t>
      </w:r>
    </w:p>
    <w:p w14:paraId="339F7246" w14:textId="77777777" w:rsidR="00394471" w:rsidRPr="00FA0D37" w:rsidRDefault="00394471" w:rsidP="00FA0D37">
      <w:pPr>
        <w:pStyle w:val="PL"/>
      </w:pPr>
      <w:r w:rsidRPr="00FA0D37">
        <w:t xml:space="preserve">                                        spare15, spare14, spare13, spare12, spare11,</w:t>
      </w:r>
    </w:p>
    <w:p w14:paraId="06EFC086" w14:textId="77777777" w:rsidR="00394471" w:rsidRPr="00FA0D37" w:rsidRDefault="00394471" w:rsidP="00FA0D37">
      <w:pPr>
        <w:pStyle w:val="PL"/>
      </w:pPr>
      <w:r w:rsidRPr="00FA0D37">
        <w:t xml:space="preserve">                                        spare10, spare9, spare8, spare7, spare6, spare5,</w:t>
      </w:r>
    </w:p>
    <w:p w14:paraId="36B98708" w14:textId="77777777" w:rsidR="00394471" w:rsidRPr="00FA0D37" w:rsidRDefault="00394471" w:rsidP="00FA0D37">
      <w:pPr>
        <w:pStyle w:val="PL"/>
      </w:pPr>
      <w:r w:rsidRPr="00FA0D37">
        <w:t xml:space="preserve">                                        spare4, spare3, spare2, spare1}</w:t>
      </w:r>
    </w:p>
    <w:p w14:paraId="067E1A26" w14:textId="77777777" w:rsidR="00394471" w:rsidRPr="00FA0D37" w:rsidRDefault="00394471" w:rsidP="00FA0D37">
      <w:pPr>
        <w:pStyle w:val="PL"/>
      </w:pPr>
    </w:p>
    <w:p w14:paraId="2EBDC7EC" w14:textId="77777777" w:rsidR="00394471" w:rsidRPr="00FA0D37" w:rsidRDefault="00394471" w:rsidP="00FA0D37">
      <w:pPr>
        <w:pStyle w:val="PL"/>
      </w:pPr>
      <w:r w:rsidRPr="00FA0D37">
        <w:t xml:space="preserve">T-Reassembly ::=                    </w:t>
      </w:r>
      <w:r w:rsidRPr="00FA0D37">
        <w:rPr>
          <w:color w:val="993366"/>
        </w:rPr>
        <w:t>ENUMERATED</w:t>
      </w:r>
      <w:r w:rsidRPr="00FA0D37">
        <w:t xml:space="preserve"> {</w:t>
      </w:r>
    </w:p>
    <w:p w14:paraId="41AB7157" w14:textId="77777777" w:rsidR="00394471" w:rsidRPr="00FA0D37" w:rsidRDefault="00394471" w:rsidP="00FA0D37">
      <w:pPr>
        <w:pStyle w:val="PL"/>
      </w:pPr>
      <w:r w:rsidRPr="00FA0D37">
        <w:t xml:space="preserve">                                        ms0, ms5, ms10, ms15, ms20, ms25, ms30, ms35,</w:t>
      </w:r>
    </w:p>
    <w:p w14:paraId="6927F0D1" w14:textId="77777777" w:rsidR="00394471" w:rsidRPr="00FA0D37" w:rsidRDefault="00394471" w:rsidP="00FA0D37">
      <w:pPr>
        <w:pStyle w:val="PL"/>
      </w:pPr>
      <w:r w:rsidRPr="00FA0D37">
        <w:t xml:space="preserve">                                        ms40, ms45, ms50, ms55, ms60, ms65, ms70,</w:t>
      </w:r>
    </w:p>
    <w:p w14:paraId="3C4E7671" w14:textId="77777777" w:rsidR="00394471" w:rsidRPr="00FA0D37" w:rsidRDefault="00394471" w:rsidP="00FA0D37">
      <w:pPr>
        <w:pStyle w:val="PL"/>
      </w:pPr>
      <w:r w:rsidRPr="00FA0D37">
        <w:t xml:space="preserve">                                        ms75, ms80, ms85, ms90, ms95, ms100, ms110,</w:t>
      </w:r>
    </w:p>
    <w:p w14:paraId="292291D6" w14:textId="77777777" w:rsidR="00394471" w:rsidRPr="00FA0D37" w:rsidRDefault="00394471" w:rsidP="00FA0D37">
      <w:pPr>
        <w:pStyle w:val="PL"/>
      </w:pPr>
      <w:r w:rsidRPr="00FA0D37">
        <w:t xml:space="preserve">                                        ms120, ms130, ms140, ms150, ms160, ms170,</w:t>
      </w:r>
    </w:p>
    <w:p w14:paraId="2E418ED8" w14:textId="77777777" w:rsidR="00394471" w:rsidRPr="00FA0D37" w:rsidRDefault="00394471" w:rsidP="00FA0D37">
      <w:pPr>
        <w:pStyle w:val="PL"/>
      </w:pPr>
      <w:r w:rsidRPr="00FA0D37">
        <w:t xml:space="preserve">                                        ms180, ms190, ms200, spare1}</w:t>
      </w:r>
    </w:p>
    <w:p w14:paraId="2411AE9D" w14:textId="77777777" w:rsidR="00394471" w:rsidRPr="00FA0D37" w:rsidRDefault="00394471" w:rsidP="00FA0D37">
      <w:pPr>
        <w:pStyle w:val="PL"/>
      </w:pPr>
    </w:p>
    <w:p w14:paraId="55649513" w14:textId="77777777" w:rsidR="00394471" w:rsidRPr="00FA0D37" w:rsidRDefault="00394471" w:rsidP="00FA0D37">
      <w:pPr>
        <w:pStyle w:val="PL"/>
      </w:pPr>
      <w:r w:rsidRPr="00FA0D37">
        <w:t xml:space="preserve">T-StatusProhibit ::=                </w:t>
      </w:r>
      <w:r w:rsidRPr="00FA0D37">
        <w:rPr>
          <w:color w:val="993366"/>
        </w:rPr>
        <w:t>ENUMERATED</w:t>
      </w:r>
      <w:r w:rsidRPr="00FA0D37">
        <w:t xml:space="preserve"> {</w:t>
      </w:r>
    </w:p>
    <w:p w14:paraId="0EB7E427" w14:textId="77777777" w:rsidR="00394471" w:rsidRPr="00FA0D37" w:rsidRDefault="00394471" w:rsidP="00FA0D37">
      <w:pPr>
        <w:pStyle w:val="PL"/>
      </w:pPr>
      <w:r w:rsidRPr="00FA0D37">
        <w:t xml:space="preserve">                                        ms0, ms5, ms10, ms15, ms20, ms25, ms30, ms35,</w:t>
      </w:r>
    </w:p>
    <w:p w14:paraId="3FB87560" w14:textId="77777777" w:rsidR="00394471" w:rsidRPr="00FA0D37" w:rsidRDefault="00394471" w:rsidP="00FA0D37">
      <w:pPr>
        <w:pStyle w:val="PL"/>
      </w:pPr>
      <w:r w:rsidRPr="00FA0D37">
        <w:t xml:space="preserve">                                        ms40, ms45, ms50, ms55, ms60, ms65, ms70,</w:t>
      </w:r>
    </w:p>
    <w:p w14:paraId="227BA91C" w14:textId="77777777" w:rsidR="00394471" w:rsidRPr="00FA0D37" w:rsidRDefault="00394471" w:rsidP="00FA0D37">
      <w:pPr>
        <w:pStyle w:val="PL"/>
      </w:pPr>
      <w:r w:rsidRPr="00FA0D37">
        <w:t xml:space="preserve">                                        ms75, ms80, ms85, ms90, ms95, ms100, ms105,</w:t>
      </w:r>
    </w:p>
    <w:p w14:paraId="7D136AB7" w14:textId="77777777" w:rsidR="00394471" w:rsidRPr="00FA0D37" w:rsidRDefault="00394471" w:rsidP="00FA0D37">
      <w:pPr>
        <w:pStyle w:val="PL"/>
      </w:pPr>
      <w:r w:rsidRPr="00FA0D37">
        <w:t xml:space="preserve">                                        ms110, ms115, ms120, ms125, ms130, ms135,</w:t>
      </w:r>
    </w:p>
    <w:p w14:paraId="6CF1DC9F" w14:textId="77777777" w:rsidR="00394471" w:rsidRPr="00FA0D37" w:rsidRDefault="00394471" w:rsidP="00FA0D37">
      <w:pPr>
        <w:pStyle w:val="PL"/>
      </w:pPr>
      <w:r w:rsidRPr="00FA0D37">
        <w:t xml:space="preserve">                                        ms140, ms145, ms150, ms155, ms160, ms165,</w:t>
      </w:r>
    </w:p>
    <w:p w14:paraId="15A9C091" w14:textId="77777777" w:rsidR="00394471" w:rsidRPr="00FA0D37" w:rsidRDefault="00394471" w:rsidP="00FA0D37">
      <w:pPr>
        <w:pStyle w:val="PL"/>
      </w:pPr>
      <w:r w:rsidRPr="00FA0D37">
        <w:t xml:space="preserve">                                        ms170, ms175, ms180, ms185, ms190, ms195,</w:t>
      </w:r>
    </w:p>
    <w:p w14:paraId="2C4D3772" w14:textId="77777777" w:rsidR="00394471" w:rsidRPr="00FA0D37" w:rsidRDefault="00394471" w:rsidP="00FA0D37">
      <w:pPr>
        <w:pStyle w:val="PL"/>
      </w:pPr>
      <w:r w:rsidRPr="00FA0D37">
        <w:t xml:space="preserve">                                        ms200, ms205, ms210, ms215, ms220, ms225,</w:t>
      </w:r>
    </w:p>
    <w:p w14:paraId="2954CFCE" w14:textId="77777777" w:rsidR="00394471" w:rsidRPr="00FA0D37" w:rsidRDefault="00394471" w:rsidP="00FA0D37">
      <w:pPr>
        <w:pStyle w:val="PL"/>
      </w:pPr>
      <w:r w:rsidRPr="00FA0D37">
        <w:t xml:space="preserve">                                        ms230, ms235, ms240, ms245, ms250, ms300,</w:t>
      </w:r>
    </w:p>
    <w:p w14:paraId="35B4DEF0" w14:textId="77777777" w:rsidR="00394471" w:rsidRPr="00FA0D37" w:rsidRDefault="00394471" w:rsidP="00FA0D37">
      <w:pPr>
        <w:pStyle w:val="PL"/>
      </w:pPr>
      <w:r w:rsidRPr="00FA0D37">
        <w:t xml:space="preserve">                                        ms350, ms400, ms450, ms500, ms800, ms1000,</w:t>
      </w:r>
    </w:p>
    <w:p w14:paraId="76D97380" w14:textId="77777777" w:rsidR="00394471" w:rsidRPr="00FA0D37" w:rsidRDefault="00394471" w:rsidP="00FA0D37">
      <w:pPr>
        <w:pStyle w:val="PL"/>
      </w:pPr>
      <w:r w:rsidRPr="00FA0D37">
        <w:t xml:space="preserve">                                        ms1200, ms1600, ms2000, ms2400, spare2, spare1}</w:t>
      </w:r>
    </w:p>
    <w:p w14:paraId="0F30FF4C" w14:textId="77777777" w:rsidR="00394471" w:rsidRPr="00FA0D37" w:rsidRDefault="00394471" w:rsidP="00FA0D37">
      <w:pPr>
        <w:pStyle w:val="PL"/>
      </w:pPr>
    </w:p>
    <w:p w14:paraId="65BEBB95" w14:textId="77777777" w:rsidR="00394471" w:rsidRPr="00FA0D37" w:rsidRDefault="00394471" w:rsidP="00FA0D37">
      <w:pPr>
        <w:pStyle w:val="PL"/>
      </w:pPr>
      <w:r w:rsidRPr="00FA0D37">
        <w:t xml:space="preserve">SN-FieldLengthUM ::=                </w:t>
      </w:r>
      <w:r w:rsidRPr="00FA0D37">
        <w:rPr>
          <w:color w:val="993366"/>
        </w:rPr>
        <w:t>ENUMERATED</w:t>
      </w:r>
      <w:r w:rsidRPr="00FA0D37">
        <w:t xml:space="preserve"> {size6, size12}</w:t>
      </w:r>
    </w:p>
    <w:p w14:paraId="612F2D13" w14:textId="77777777" w:rsidR="00394471" w:rsidRPr="00FA0D37" w:rsidRDefault="00394471" w:rsidP="00FA0D37">
      <w:pPr>
        <w:pStyle w:val="PL"/>
      </w:pPr>
      <w:r w:rsidRPr="00FA0D37">
        <w:t xml:space="preserve">SN-FieldLengthAM ::=                </w:t>
      </w:r>
      <w:r w:rsidRPr="00FA0D37">
        <w:rPr>
          <w:color w:val="993366"/>
        </w:rPr>
        <w:t>ENUMERATED</w:t>
      </w:r>
      <w:r w:rsidRPr="00FA0D37">
        <w:t xml:space="preserve"> {size12, size18}</w:t>
      </w:r>
    </w:p>
    <w:p w14:paraId="69E12BF5" w14:textId="77777777" w:rsidR="00394471" w:rsidRPr="00FA0D37" w:rsidRDefault="00394471" w:rsidP="00FA0D37">
      <w:pPr>
        <w:pStyle w:val="PL"/>
      </w:pPr>
    </w:p>
    <w:p w14:paraId="7E605215" w14:textId="77777777" w:rsidR="00394471" w:rsidRPr="00FA0D37" w:rsidRDefault="00394471" w:rsidP="00FA0D37">
      <w:pPr>
        <w:pStyle w:val="PL"/>
      </w:pPr>
      <w:r w:rsidRPr="00FA0D37">
        <w:t xml:space="preserve">RLC-Config-v1610 ::=                </w:t>
      </w:r>
      <w:r w:rsidRPr="00FA0D37">
        <w:rPr>
          <w:color w:val="993366"/>
        </w:rPr>
        <w:t>SEQUENCE</w:t>
      </w:r>
      <w:r w:rsidRPr="00FA0D37">
        <w:t xml:space="preserve"> {</w:t>
      </w:r>
    </w:p>
    <w:p w14:paraId="5039E80A" w14:textId="77777777" w:rsidR="00394471" w:rsidRPr="00FA0D37" w:rsidRDefault="00394471" w:rsidP="00FA0D37">
      <w:pPr>
        <w:pStyle w:val="PL"/>
      </w:pPr>
      <w:r w:rsidRPr="00FA0D37">
        <w:t xml:space="preserve">    dl-AM-RLC-v1610                     DL-AM-RLC-v1610</w:t>
      </w:r>
    </w:p>
    <w:p w14:paraId="58879D93" w14:textId="77777777" w:rsidR="00394471" w:rsidRPr="00FA0D37" w:rsidRDefault="00394471" w:rsidP="00FA0D37">
      <w:pPr>
        <w:pStyle w:val="PL"/>
      </w:pPr>
      <w:r w:rsidRPr="00FA0D37">
        <w:t>}</w:t>
      </w:r>
    </w:p>
    <w:p w14:paraId="4592BF5C" w14:textId="77777777" w:rsidR="005B7637" w:rsidRPr="00FA0D37" w:rsidRDefault="005B7637" w:rsidP="00FA0D37">
      <w:pPr>
        <w:pStyle w:val="PL"/>
      </w:pPr>
    </w:p>
    <w:p w14:paraId="29C40091" w14:textId="77777777" w:rsidR="005B7637" w:rsidRPr="00FA0D37" w:rsidRDefault="005B7637" w:rsidP="00FA0D37">
      <w:pPr>
        <w:pStyle w:val="PL"/>
      </w:pPr>
      <w:r w:rsidRPr="00FA0D37">
        <w:t xml:space="preserve">RLC-Config-v1700 ::=                </w:t>
      </w:r>
      <w:r w:rsidRPr="00FA0D37">
        <w:rPr>
          <w:color w:val="993366"/>
        </w:rPr>
        <w:t>SEQUENCE</w:t>
      </w:r>
      <w:r w:rsidRPr="00FA0D37">
        <w:t xml:space="preserve"> {</w:t>
      </w:r>
    </w:p>
    <w:p w14:paraId="41988A60" w14:textId="77777777" w:rsidR="00771058" w:rsidRPr="00FA0D37" w:rsidRDefault="00771058" w:rsidP="00FA0D37">
      <w:pPr>
        <w:pStyle w:val="PL"/>
      </w:pPr>
      <w:r w:rsidRPr="00FA0D37">
        <w:t xml:space="preserve">    dl-AM-RLC-v1700                     DL-AM-RLC-v1700,</w:t>
      </w:r>
    </w:p>
    <w:p w14:paraId="5F5693D7" w14:textId="1AD3B2D9" w:rsidR="005B7637" w:rsidRPr="00FA0D37" w:rsidRDefault="005B7637" w:rsidP="00FA0D37">
      <w:pPr>
        <w:pStyle w:val="PL"/>
      </w:pPr>
      <w:r w:rsidRPr="00FA0D37">
        <w:t xml:space="preserve">    dl-UM-RLC-v1700                     DL-UM-RLC-v17</w:t>
      </w:r>
      <w:r w:rsidR="00325E14" w:rsidRPr="00FA0D37">
        <w:t>00</w:t>
      </w:r>
    </w:p>
    <w:p w14:paraId="17727ECB" w14:textId="77777777" w:rsidR="005B7637" w:rsidRPr="00FA0D37" w:rsidRDefault="005B7637" w:rsidP="00FA0D37">
      <w:pPr>
        <w:pStyle w:val="PL"/>
      </w:pPr>
      <w:r w:rsidRPr="00FA0D37">
        <w:t>}</w:t>
      </w:r>
    </w:p>
    <w:p w14:paraId="65B4F75A" w14:textId="77777777" w:rsidR="00394471" w:rsidRPr="00FA0D37" w:rsidRDefault="00394471" w:rsidP="00FA0D37">
      <w:pPr>
        <w:pStyle w:val="PL"/>
      </w:pPr>
    </w:p>
    <w:p w14:paraId="6A822790" w14:textId="77777777" w:rsidR="00394471" w:rsidRPr="00FA0D37" w:rsidRDefault="00394471" w:rsidP="00FA0D37">
      <w:pPr>
        <w:pStyle w:val="PL"/>
      </w:pPr>
      <w:r w:rsidRPr="00FA0D37">
        <w:t xml:space="preserve">DL-AM-RLC-v1610 ::=                 </w:t>
      </w:r>
      <w:r w:rsidRPr="00FA0D37">
        <w:rPr>
          <w:color w:val="993366"/>
        </w:rPr>
        <w:t>SEQUENCE</w:t>
      </w:r>
      <w:r w:rsidRPr="00FA0D37">
        <w:t xml:space="preserve"> {</w:t>
      </w:r>
    </w:p>
    <w:p w14:paraId="1E34A06C" w14:textId="4E8F12A2" w:rsidR="00394471" w:rsidRPr="00FA0D37" w:rsidRDefault="00394471" w:rsidP="00FA0D37">
      <w:pPr>
        <w:pStyle w:val="PL"/>
        <w:rPr>
          <w:color w:val="808080"/>
        </w:rPr>
      </w:pPr>
      <w:r w:rsidRPr="00FA0D37">
        <w:t xml:space="preserve">    t-StatusProhibit-v1610              T-StatusProhibit-v1610                               </w:t>
      </w:r>
      <w:r w:rsidRPr="00FA0D37">
        <w:rPr>
          <w:color w:val="993366"/>
        </w:rPr>
        <w:t>OPTIONAL</w:t>
      </w:r>
      <w:r w:rsidRPr="00FA0D37">
        <w:t xml:space="preserve">,   </w:t>
      </w:r>
      <w:r w:rsidRPr="00FA0D37">
        <w:rPr>
          <w:color w:val="808080"/>
        </w:rPr>
        <w:t xml:space="preserve">-- Need </w:t>
      </w:r>
      <w:r w:rsidR="00582365" w:rsidRPr="00FA0D37">
        <w:rPr>
          <w:color w:val="808080"/>
        </w:rPr>
        <w:t>R</w:t>
      </w:r>
    </w:p>
    <w:p w14:paraId="63FB124B" w14:textId="2331487F" w:rsidR="00394471" w:rsidRPr="00FA0D37" w:rsidRDefault="00394471" w:rsidP="00FA0D37">
      <w:pPr>
        <w:pStyle w:val="PL"/>
      </w:pPr>
      <w:r w:rsidRPr="00FA0D37">
        <w:t xml:space="preserve">    ...</w:t>
      </w:r>
    </w:p>
    <w:p w14:paraId="31F9B6E4" w14:textId="5954053F" w:rsidR="00394471" w:rsidRPr="00FA0D37" w:rsidRDefault="00394471" w:rsidP="00FA0D37">
      <w:pPr>
        <w:pStyle w:val="PL"/>
      </w:pPr>
      <w:r w:rsidRPr="00FA0D37">
        <w:t>}</w:t>
      </w:r>
    </w:p>
    <w:p w14:paraId="203E36A4" w14:textId="77777777" w:rsidR="00771058" w:rsidRPr="00FA0D37" w:rsidRDefault="00771058" w:rsidP="00FA0D37">
      <w:pPr>
        <w:pStyle w:val="PL"/>
      </w:pPr>
    </w:p>
    <w:p w14:paraId="0DC30042" w14:textId="77777777" w:rsidR="00771058" w:rsidRPr="00FA0D37" w:rsidRDefault="00771058" w:rsidP="00FA0D37">
      <w:pPr>
        <w:pStyle w:val="PL"/>
      </w:pPr>
      <w:r w:rsidRPr="00FA0D37">
        <w:t xml:space="preserve">DL-AM-RLC-v1700 ::=                 </w:t>
      </w:r>
      <w:r w:rsidRPr="00FA0D37">
        <w:rPr>
          <w:color w:val="993366"/>
        </w:rPr>
        <w:t>SEQUENCE</w:t>
      </w:r>
      <w:r w:rsidRPr="00FA0D37">
        <w:t xml:space="preserve"> {</w:t>
      </w:r>
    </w:p>
    <w:p w14:paraId="0CED8CD1" w14:textId="61CAA79E" w:rsidR="00771058" w:rsidRPr="00FA0D37" w:rsidRDefault="00771058" w:rsidP="00FA0D37">
      <w:pPr>
        <w:pStyle w:val="PL"/>
        <w:rPr>
          <w:color w:val="808080"/>
        </w:rPr>
      </w:pPr>
      <w:r w:rsidRPr="00FA0D37">
        <w:t xml:space="preserve">    t-ReassemblyExt-r17                 T-ReassemblyExt-r17                                  </w:t>
      </w:r>
      <w:r w:rsidRPr="00FA0D37">
        <w:rPr>
          <w:color w:val="993366"/>
        </w:rPr>
        <w:t>OPTIONAL</w:t>
      </w:r>
      <w:r w:rsidRPr="00FA0D37">
        <w:t xml:space="preserve">    </w:t>
      </w:r>
      <w:r w:rsidRPr="00FA0D37">
        <w:rPr>
          <w:color w:val="808080"/>
        </w:rPr>
        <w:t xml:space="preserve">-- Need </w:t>
      </w:r>
      <w:r w:rsidR="00582365" w:rsidRPr="00FA0D37">
        <w:rPr>
          <w:color w:val="808080"/>
        </w:rPr>
        <w:t>R</w:t>
      </w:r>
    </w:p>
    <w:p w14:paraId="103FE12E" w14:textId="77777777" w:rsidR="00771058" w:rsidRPr="00FA0D37" w:rsidRDefault="00771058" w:rsidP="00FA0D37">
      <w:pPr>
        <w:pStyle w:val="PL"/>
      </w:pPr>
      <w:r w:rsidRPr="00FA0D37">
        <w:t>}</w:t>
      </w:r>
    </w:p>
    <w:p w14:paraId="1DFA23DA" w14:textId="77777777" w:rsidR="00771058" w:rsidRPr="00FA0D37" w:rsidRDefault="00771058" w:rsidP="00FA0D37">
      <w:pPr>
        <w:pStyle w:val="PL"/>
      </w:pPr>
    </w:p>
    <w:p w14:paraId="4215DC54" w14:textId="5F1E9986" w:rsidR="005B7637" w:rsidRPr="00FA0D37" w:rsidRDefault="005B7637" w:rsidP="00FA0D37">
      <w:pPr>
        <w:pStyle w:val="PL"/>
      </w:pPr>
      <w:r w:rsidRPr="00FA0D37">
        <w:t xml:space="preserve">DL-UM-RLC-v1700 ::=                 </w:t>
      </w:r>
      <w:r w:rsidRPr="00FA0D37">
        <w:rPr>
          <w:color w:val="993366"/>
        </w:rPr>
        <w:t>SEQUENCE</w:t>
      </w:r>
      <w:r w:rsidRPr="00FA0D37">
        <w:t xml:space="preserve"> {</w:t>
      </w:r>
    </w:p>
    <w:p w14:paraId="5BB24AAC" w14:textId="368D3F47" w:rsidR="005B7637" w:rsidRPr="00FA0D37" w:rsidRDefault="005B7637" w:rsidP="00FA0D37">
      <w:pPr>
        <w:pStyle w:val="PL"/>
        <w:rPr>
          <w:color w:val="808080"/>
        </w:rPr>
      </w:pPr>
      <w:r w:rsidRPr="00FA0D37">
        <w:t xml:space="preserve">    t-ReassemblyExt-r17                 T-ReassemblyExt-r17                                  </w:t>
      </w:r>
      <w:r w:rsidRPr="00FA0D37">
        <w:rPr>
          <w:color w:val="993366"/>
        </w:rPr>
        <w:t>OPTIONAL</w:t>
      </w:r>
      <w:r w:rsidR="003F1AB3" w:rsidRPr="00FA0D37">
        <w:t xml:space="preserve"> </w:t>
      </w:r>
      <w:r w:rsidRPr="00FA0D37">
        <w:t xml:space="preserve">   </w:t>
      </w:r>
      <w:r w:rsidRPr="00FA0D37">
        <w:rPr>
          <w:color w:val="808080"/>
        </w:rPr>
        <w:t xml:space="preserve">-- Need </w:t>
      </w:r>
      <w:r w:rsidR="00582365" w:rsidRPr="00FA0D37">
        <w:rPr>
          <w:color w:val="808080"/>
        </w:rPr>
        <w:t>R</w:t>
      </w:r>
    </w:p>
    <w:p w14:paraId="51773186" w14:textId="77777777" w:rsidR="005B7637" w:rsidRPr="00FA0D37" w:rsidRDefault="005B7637" w:rsidP="00FA0D37">
      <w:pPr>
        <w:pStyle w:val="PL"/>
      </w:pPr>
      <w:r w:rsidRPr="00FA0D37">
        <w:t>}</w:t>
      </w:r>
    </w:p>
    <w:p w14:paraId="67D3C412" w14:textId="77777777" w:rsidR="005B7637" w:rsidRPr="00FA0D37" w:rsidRDefault="005B7637" w:rsidP="00FA0D37">
      <w:pPr>
        <w:pStyle w:val="PL"/>
      </w:pPr>
    </w:p>
    <w:p w14:paraId="5635A354" w14:textId="77777777" w:rsidR="00394471" w:rsidRPr="00FA0D37" w:rsidRDefault="00394471" w:rsidP="00FA0D37">
      <w:pPr>
        <w:pStyle w:val="PL"/>
      </w:pPr>
      <w:r w:rsidRPr="00FA0D37">
        <w:t xml:space="preserve">T-StatusProhibit-v1610 ::=          </w:t>
      </w:r>
      <w:r w:rsidRPr="00FA0D37">
        <w:rPr>
          <w:color w:val="993366"/>
        </w:rPr>
        <w:t>ENUMERATED</w:t>
      </w:r>
      <w:r w:rsidRPr="00FA0D37">
        <w:t xml:space="preserve"> { ms1, ms2, ms3, ms4, spare4, spare3, spare2, spare1}</w:t>
      </w:r>
    </w:p>
    <w:p w14:paraId="62C7BC08" w14:textId="47566ADC" w:rsidR="00394471" w:rsidRPr="00FA0D37" w:rsidRDefault="00394471" w:rsidP="00FA0D37">
      <w:pPr>
        <w:pStyle w:val="PL"/>
      </w:pPr>
    </w:p>
    <w:p w14:paraId="39B6A955" w14:textId="2667B9B3" w:rsidR="005B7637" w:rsidRPr="00FA0D37" w:rsidRDefault="005B7637" w:rsidP="00FA0D37">
      <w:pPr>
        <w:pStyle w:val="PL"/>
      </w:pPr>
      <w:r w:rsidRPr="00FA0D37">
        <w:t xml:space="preserve">T-ReassemblyExt-r17 ::=             </w:t>
      </w:r>
      <w:r w:rsidRPr="00FA0D37">
        <w:rPr>
          <w:color w:val="993366"/>
        </w:rPr>
        <w:t>ENUMERATED</w:t>
      </w:r>
      <w:r w:rsidRPr="00FA0D37">
        <w:t xml:space="preserve"> {ms210, ms220, ms340, ms350, ms550, ms1100, ms1650, ms2200}</w:t>
      </w:r>
    </w:p>
    <w:p w14:paraId="594E64D8" w14:textId="77777777" w:rsidR="005B7637" w:rsidRPr="00FA0D37" w:rsidRDefault="005B7637" w:rsidP="00FA0D37">
      <w:pPr>
        <w:pStyle w:val="PL"/>
      </w:pPr>
    </w:p>
    <w:p w14:paraId="23857C0A" w14:textId="77777777" w:rsidR="00394471" w:rsidRPr="00FA0D37" w:rsidRDefault="00394471" w:rsidP="00FA0D37">
      <w:pPr>
        <w:pStyle w:val="PL"/>
        <w:rPr>
          <w:color w:val="808080"/>
        </w:rPr>
      </w:pPr>
      <w:r w:rsidRPr="00FA0D37">
        <w:rPr>
          <w:color w:val="808080"/>
        </w:rPr>
        <w:t>-- TAG-RLC-CONFIG-STOP</w:t>
      </w:r>
    </w:p>
    <w:p w14:paraId="52F44C25" w14:textId="77777777" w:rsidR="00394471" w:rsidRPr="00FA0D37" w:rsidRDefault="00394471" w:rsidP="00FA0D37">
      <w:pPr>
        <w:pStyle w:val="PL"/>
        <w:rPr>
          <w:color w:val="808080"/>
        </w:rPr>
      </w:pPr>
      <w:r w:rsidRPr="00FA0D37">
        <w:rPr>
          <w:color w:val="808080"/>
        </w:rPr>
        <w:t>-- ASN1STOP</w:t>
      </w:r>
    </w:p>
    <w:p w14:paraId="011A1058" w14:textId="77777777" w:rsidR="00394471" w:rsidRPr="00FA0D3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5C7FF4" w:rsidRPr="00FA0D37"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FA0D37" w:rsidRDefault="00394471" w:rsidP="00964CC4">
            <w:pPr>
              <w:pStyle w:val="TAH"/>
              <w:rPr>
                <w:lang w:eastAsia="en-GB"/>
              </w:rPr>
            </w:pPr>
            <w:r w:rsidRPr="00FA0D37">
              <w:rPr>
                <w:i/>
                <w:lang w:eastAsia="en-GB"/>
              </w:rPr>
              <w:lastRenderedPageBreak/>
              <w:t xml:space="preserve">RLC-Config </w:t>
            </w:r>
            <w:r w:rsidRPr="00FA0D37">
              <w:rPr>
                <w:lang w:eastAsia="en-GB"/>
              </w:rPr>
              <w:t>field descriptions</w:t>
            </w:r>
          </w:p>
        </w:tc>
      </w:tr>
      <w:tr w:rsidR="005C7FF4" w:rsidRPr="00FA0D37"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FA0D37" w:rsidRDefault="00394471" w:rsidP="00964CC4">
            <w:pPr>
              <w:pStyle w:val="TAL"/>
              <w:rPr>
                <w:b/>
                <w:bCs/>
                <w:i/>
                <w:iCs/>
                <w:lang w:eastAsia="en-GB"/>
              </w:rPr>
            </w:pPr>
            <w:r w:rsidRPr="00FA0D37">
              <w:rPr>
                <w:b/>
                <w:bCs/>
                <w:i/>
                <w:iCs/>
                <w:lang w:eastAsia="en-GB"/>
              </w:rPr>
              <w:t>maxRetxThreshold</w:t>
            </w:r>
          </w:p>
          <w:p w14:paraId="401437DC" w14:textId="77777777" w:rsidR="00394471" w:rsidRPr="00FA0D37" w:rsidRDefault="00394471" w:rsidP="00964CC4">
            <w:pPr>
              <w:pStyle w:val="TAL"/>
              <w:rPr>
                <w:iCs/>
                <w:lang w:eastAsia="en-GB"/>
              </w:rPr>
            </w:pPr>
            <w:r w:rsidRPr="00FA0D37">
              <w:rPr>
                <w:lang w:eastAsia="en-GB"/>
              </w:rPr>
              <w:t xml:space="preserve">Parameter for RLC AM in TS 38.322 [4]. Value </w:t>
            </w:r>
            <w:r w:rsidRPr="00FA0D37">
              <w:rPr>
                <w:i/>
                <w:lang w:eastAsia="sv-SE"/>
              </w:rPr>
              <w:t>t1</w:t>
            </w:r>
            <w:r w:rsidRPr="00FA0D37">
              <w:rPr>
                <w:lang w:eastAsia="en-GB"/>
              </w:rPr>
              <w:t xml:space="preserve"> corresponds to 1 retransmission, value </w:t>
            </w:r>
            <w:r w:rsidRPr="00FA0D37">
              <w:rPr>
                <w:i/>
                <w:lang w:eastAsia="sv-SE"/>
              </w:rPr>
              <w:t>t2</w:t>
            </w:r>
            <w:r w:rsidRPr="00FA0D37">
              <w:rPr>
                <w:lang w:eastAsia="en-GB"/>
              </w:rPr>
              <w:t xml:space="preserve"> corresponds to 2 retransmissions and so on.</w:t>
            </w:r>
          </w:p>
        </w:tc>
      </w:tr>
      <w:tr w:rsidR="005C7FF4" w:rsidRPr="00FA0D37"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FA0D37" w:rsidRDefault="00394471" w:rsidP="00964CC4">
            <w:pPr>
              <w:pStyle w:val="TAL"/>
              <w:rPr>
                <w:b/>
                <w:i/>
                <w:lang w:eastAsia="en-GB"/>
              </w:rPr>
            </w:pPr>
            <w:r w:rsidRPr="00FA0D37">
              <w:rPr>
                <w:b/>
                <w:i/>
                <w:lang w:eastAsia="en-GB"/>
              </w:rPr>
              <w:t>pollByte</w:t>
            </w:r>
          </w:p>
          <w:p w14:paraId="08E6FD51" w14:textId="77777777" w:rsidR="00394471" w:rsidRPr="00FA0D37" w:rsidRDefault="00394471" w:rsidP="00964CC4">
            <w:pPr>
              <w:pStyle w:val="TAL"/>
              <w:rPr>
                <w:b/>
                <w:bCs/>
                <w:i/>
                <w:lang w:eastAsia="en-GB"/>
              </w:rPr>
            </w:pPr>
            <w:r w:rsidRPr="00FA0D37">
              <w:rPr>
                <w:lang w:eastAsia="en-GB"/>
              </w:rPr>
              <w:t xml:space="preserve">Parameter for RLC AM in TS 38.322 [4]. Value </w:t>
            </w:r>
            <w:r w:rsidRPr="00FA0D37">
              <w:rPr>
                <w:i/>
                <w:lang w:eastAsia="sv-SE"/>
              </w:rPr>
              <w:t>kB25</w:t>
            </w:r>
            <w:r w:rsidRPr="00FA0D37">
              <w:rPr>
                <w:lang w:eastAsia="en-GB"/>
              </w:rPr>
              <w:t xml:space="preserve"> corresponds to 25 kBytes, value </w:t>
            </w:r>
            <w:r w:rsidRPr="00FA0D37">
              <w:rPr>
                <w:i/>
                <w:lang w:eastAsia="sv-SE"/>
              </w:rPr>
              <w:t>kB50</w:t>
            </w:r>
            <w:r w:rsidRPr="00FA0D37">
              <w:rPr>
                <w:lang w:eastAsia="en-GB"/>
              </w:rPr>
              <w:t xml:space="preserve"> corresponds to 50 kBytes and so on. </w:t>
            </w:r>
            <w:r w:rsidRPr="00FA0D37">
              <w:rPr>
                <w:i/>
                <w:lang w:eastAsia="sv-SE"/>
              </w:rPr>
              <w:t>infinity</w:t>
            </w:r>
            <w:r w:rsidRPr="00FA0D37">
              <w:rPr>
                <w:lang w:eastAsia="en-GB"/>
              </w:rPr>
              <w:t xml:space="preserve"> corresponds to an infinite amount of kBytes.</w:t>
            </w:r>
          </w:p>
        </w:tc>
      </w:tr>
      <w:tr w:rsidR="005C7FF4" w:rsidRPr="00FA0D37"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FA0D37" w:rsidRDefault="00394471" w:rsidP="00964CC4">
            <w:pPr>
              <w:pStyle w:val="TAL"/>
              <w:rPr>
                <w:b/>
                <w:i/>
                <w:lang w:eastAsia="en-GB"/>
              </w:rPr>
            </w:pPr>
            <w:r w:rsidRPr="00FA0D37">
              <w:rPr>
                <w:b/>
                <w:i/>
                <w:lang w:eastAsia="en-GB"/>
              </w:rPr>
              <w:t>pollPDU</w:t>
            </w:r>
          </w:p>
          <w:p w14:paraId="5DF464D6" w14:textId="77777777" w:rsidR="00394471" w:rsidRPr="00FA0D37" w:rsidRDefault="00394471" w:rsidP="00964CC4">
            <w:pPr>
              <w:pStyle w:val="TAL"/>
              <w:rPr>
                <w:lang w:eastAsia="zh-CN"/>
              </w:rPr>
            </w:pPr>
            <w:r w:rsidRPr="00FA0D37">
              <w:rPr>
                <w:lang w:eastAsia="en-GB"/>
              </w:rPr>
              <w:t xml:space="preserve">Parameter for RLC AM in TS 38.322 [4]. Value </w:t>
            </w:r>
            <w:r w:rsidRPr="00FA0D37">
              <w:rPr>
                <w:i/>
                <w:lang w:eastAsia="sv-SE"/>
              </w:rPr>
              <w:t>p4</w:t>
            </w:r>
            <w:r w:rsidRPr="00FA0D37">
              <w:rPr>
                <w:lang w:eastAsia="en-GB"/>
              </w:rPr>
              <w:t xml:space="preserve"> corresponds to 4 PDUs, value </w:t>
            </w:r>
            <w:r w:rsidRPr="00FA0D37">
              <w:rPr>
                <w:i/>
                <w:lang w:eastAsia="sv-SE"/>
              </w:rPr>
              <w:t>p8</w:t>
            </w:r>
            <w:r w:rsidRPr="00FA0D37">
              <w:rPr>
                <w:lang w:eastAsia="en-GB"/>
              </w:rPr>
              <w:t xml:space="preserve"> corresponds to 8 PDUs and so on. </w:t>
            </w:r>
            <w:r w:rsidRPr="00FA0D37">
              <w:rPr>
                <w:i/>
                <w:lang w:eastAsia="sv-SE"/>
              </w:rPr>
              <w:t>infinity</w:t>
            </w:r>
            <w:r w:rsidRPr="00FA0D37">
              <w:rPr>
                <w:lang w:eastAsia="en-GB"/>
              </w:rPr>
              <w:t xml:space="preserve"> corresponds to an infinite number of PDUs.</w:t>
            </w:r>
          </w:p>
        </w:tc>
      </w:tr>
      <w:tr w:rsidR="005C7FF4" w:rsidRPr="00FA0D37"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FA0D37" w:rsidRDefault="00394471" w:rsidP="00964CC4">
            <w:pPr>
              <w:pStyle w:val="TAL"/>
              <w:rPr>
                <w:b/>
                <w:i/>
                <w:lang w:eastAsia="en-GB"/>
              </w:rPr>
            </w:pPr>
            <w:r w:rsidRPr="00FA0D37">
              <w:rPr>
                <w:b/>
                <w:i/>
                <w:lang w:eastAsia="en-GB"/>
              </w:rPr>
              <w:t>sn-FieldLength</w:t>
            </w:r>
          </w:p>
          <w:p w14:paraId="73CCB1AD" w14:textId="4B6E124F" w:rsidR="00394471" w:rsidRPr="00FA0D37" w:rsidRDefault="00394471" w:rsidP="00964CC4">
            <w:pPr>
              <w:pStyle w:val="TAL"/>
              <w:rPr>
                <w:bCs/>
                <w:lang w:eastAsia="en-GB"/>
              </w:rPr>
            </w:pPr>
            <w:r w:rsidRPr="00FA0D37">
              <w:rPr>
                <w:lang w:eastAsia="en-GB"/>
              </w:rPr>
              <w:t xml:space="preserve">Indicates the RLC SN field size, see TS 38.322 [4], in bits. Value </w:t>
            </w:r>
            <w:r w:rsidRPr="00FA0D37">
              <w:rPr>
                <w:i/>
                <w:lang w:eastAsia="sv-SE"/>
              </w:rPr>
              <w:t>size6</w:t>
            </w:r>
            <w:r w:rsidRPr="00FA0D37">
              <w:rPr>
                <w:lang w:eastAsia="en-GB"/>
              </w:rPr>
              <w:t xml:space="preserve"> means 6 bits, value </w:t>
            </w:r>
            <w:r w:rsidRPr="00FA0D37">
              <w:rPr>
                <w:i/>
                <w:lang w:eastAsia="sv-SE"/>
              </w:rPr>
              <w:t>size12</w:t>
            </w:r>
            <w:r w:rsidRPr="00FA0D37">
              <w:rPr>
                <w:lang w:eastAsia="en-GB"/>
              </w:rPr>
              <w:t xml:space="preserve"> means 12 bits, value </w:t>
            </w:r>
            <w:r w:rsidRPr="00FA0D37">
              <w:rPr>
                <w:i/>
                <w:lang w:eastAsia="sv-SE"/>
              </w:rPr>
              <w:t>size18</w:t>
            </w:r>
            <w:r w:rsidRPr="00FA0D37">
              <w:rPr>
                <w:lang w:eastAsia="en-GB"/>
              </w:rPr>
              <w:t xml:space="preserve"> means 18 bits.</w:t>
            </w:r>
            <w:r w:rsidRPr="00FA0D37">
              <w:rPr>
                <w:bCs/>
                <w:lang w:eastAsia="en-GB"/>
              </w:rPr>
              <w:t xml:space="preserve"> The value of </w:t>
            </w:r>
            <w:r w:rsidRPr="00FA0D37">
              <w:rPr>
                <w:rFonts w:eastAsia="Yu Mincho"/>
                <w:i/>
                <w:lang w:eastAsia="sv-SE"/>
              </w:rPr>
              <w:t>sn-FieldLength</w:t>
            </w:r>
            <w:r w:rsidRPr="00FA0D37">
              <w:rPr>
                <w:bCs/>
                <w:lang w:eastAsia="en-GB"/>
              </w:rPr>
              <w:t xml:space="preserve"> </w:t>
            </w:r>
            <w:r w:rsidR="001220B7" w:rsidRPr="00FA0D37">
              <w:rPr>
                <w:bCs/>
                <w:lang w:eastAsia="en-GB"/>
              </w:rPr>
              <w:t xml:space="preserve">of an RLC entity </w:t>
            </w:r>
            <w:r w:rsidRPr="00FA0D37">
              <w:rPr>
                <w:bCs/>
                <w:lang w:eastAsia="en-GB"/>
              </w:rPr>
              <w:t xml:space="preserve">for </w:t>
            </w:r>
            <w:r w:rsidR="001220B7" w:rsidRPr="00FA0D37">
              <w:rPr>
                <w:bCs/>
                <w:lang w:eastAsia="en-GB"/>
              </w:rPr>
              <w:t>the</w:t>
            </w:r>
            <w:r w:rsidRPr="00FA0D37">
              <w:rPr>
                <w:bCs/>
                <w:lang w:eastAsia="en-GB"/>
              </w:rPr>
              <w:t xml:space="preserve"> DRB</w:t>
            </w:r>
            <w:r w:rsidR="001E593B" w:rsidRPr="00FA0D37">
              <w:rPr>
                <w:bCs/>
                <w:lang w:eastAsia="en-GB"/>
              </w:rPr>
              <w:t>/multicast MRB</w:t>
            </w:r>
            <w:r w:rsidRPr="00FA0D37">
              <w:rPr>
                <w:bCs/>
                <w:lang w:eastAsia="en-GB"/>
              </w:rPr>
              <w:t xml:space="preserve"> </w:t>
            </w:r>
            <w:r w:rsidRPr="00FA0D37">
              <w:rPr>
                <w:rFonts w:eastAsia="Yu Mincho"/>
                <w:bCs/>
                <w:lang w:eastAsia="sv-SE"/>
              </w:rPr>
              <w:t>shall</w:t>
            </w:r>
            <w:r w:rsidRPr="00FA0D37">
              <w:rPr>
                <w:bCs/>
                <w:lang w:eastAsia="en-GB"/>
              </w:rPr>
              <w:t xml:space="preserve"> be changed only using reconfiguration with sync. The network configures only value </w:t>
            </w:r>
            <w:r w:rsidRPr="00FA0D37">
              <w:rPr>
                <w:bCs/>
                <w:i/>
                <w:lang w:eastAsia="en-GB"/>
              </w:rPr>
              <w:t>size12</w:t>
            </w:r>
            <w:r w:rsidRPr="00FA0D37">
              <w:rPr>
                <w:bCs/>
                <w:lang w:eastAsia="en-GB"/>
              </w:rPr>
              <w:t xml:space="preserve"> in </w:t>
            </w:r>
            <w:r w:rsidRPr="00FA0D37">
              <w:rPr>
                <w:bCs/>
                <w:i/>
                <w:lang w:eastAsia="en-GB"/>
              </w:rPr>
              <w:t>SN-FieldLengthAM</w:t>
            </w:r>
            <w:r w:rsidRPr="00FA0D37">
              <w:rPr>
                <w:bCs/>
                <w:lang w:eastAsia="en-GB"/>
              </w:rPr>
              <w:t xml:space="preserve"> for SRB.</w:t>
            </w:r>
          </w:p>
        </w:tc>
      </w:tr>
      <w:tr w:rsidR="005C7FF4" w:rsidRPr="00FA0D37"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FA0D37" w:rsidRDefault="00394471" w:rsidP="00964CC4">
            <w:pPr>
              <w:pStyle w:val="TAL"/>
              <w:rPr>
                <w:b/>
                <w:i/>
                <w:lang w:eastAsia="en-GB"/>
              </w:rPr>
            </w:pPr>
            <w:r w:rsidRPr="00FA0D37">
              <w:rPr>
                <w:b/>
                <w:i/>
                <w:lang w:eastAsia="en-GB"/>
              </w:rPr>
              <w:t>t-PollRetransmit</w:t>
            </w:r>
          </w:p>
          <w:p w14:paraId="72BF35DC" w14:textId="77777777" w:rsidR="00394471" w:rsidRPr="00FA0D37" w:rsidRDefault="00394471" w:rsidP="00964CC4">
            <w:pPr>
              <w:pStyle w:val="TAL"/>
              <w:rPr>
                <w:lang w:eastAsia="ko-KR"/>
              </w:rPr>
            </w:pPr>
            <w:r w:rsidRPr="00FA0D37">
              <w:rPr>
                <w:lang w:eastAsia="en-GB"/>
              </w:rPr>
              <w:t xml:space="preserve">Timer for RLC AM in TS 38.322 [4], in milliseconds. Value </w:t>
            </w:r>
            <w:r w:rsidRPr="00FA0D37">
              <w:rPr>
                <w:i/>
                <w:lang w:eastAsia="sv-SE"/>
              </w:rPr>
              <w:t>ms5</w:t>
            </w:r>
            <w:r w:rsidRPr="00FA0D37">
              <w:rPr>
                <w:lang w:eastAsia="en-GB"/>
              </w:rPr>
              <w:t xml:space="preserve"> means 5 ms, value </w:t>
            </w:r>
            <w:r w:rsidRPr="00FA0D37">
              <w:rPr>
                <w:i/>
                <w:lang w:eastAsia="sv-SE"/>
              </w:rPr>
              <w:t>ms10</w:t>
            </w:r>
            <w:r w:rsidRPr="00FA0D37">
              <w:rPr>
                <w:lang w:eastAsia="en-GB"/>
              </w:rPr>
              <w:t xml:space="preserve"> means 10 ms and so on.</w:t>
            </w:r>
          </w:p>
        </w:tc>
      </w:tr>
      <w:tr w:rsidR="005C7FF4" w:rsidRPr="00FA0D37"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FA0D37" w:rsidRDefault="00394471" w:rsidP="00964CC4">
            <w:pPr>
              <w:pStyle w:val="TAL"/>
              <w:rPr>
                <w:b/>
                <w:i/>
                <w:lang w:eastAsia="en-GB"/>
              </w:rPr>
            </w:pPr>
            <w:r w:rsidRPr="00FA0D37">
              <w:rPr>
                <w:b/>
                <w:i/>
                <w:lang w:eastAsia="en-GB"/>
              </w:rPr>
              <w:t>t-Reassembly</w:t>
            </w:r>
            <w:r w:rsidR="00D4596A" w:rsidRPr="00FA0D37">
              <w:rPr>
                <w:b/>
                <w:i/>
                <w:lang w:eastAsia="en-GB"/>
              </w:rPr>
              <w:t>, t-ReassemblyExt</w:t>
            </w:r>
          </w:p>
          <w:p w14:paraId="0A514D5C" w14:textId="25C23ABA" w:rsidR="00394471" w:rsidRPr="00FA0D37" w:rsidRDefault="00394471" w:rsidP="00964CC4">
            <w:pPr>
              <w:pStyle w:val="TAL"/>
              <w:rPr>
                <w:bCs/>
                <w:lang w:eastAsia="en-GB"/>
              </w:rPr>
            </w:pPr>
            <w:r w:rsidRPr="00FA0D37">
              <w:rPr>
                <w:lang w:eastAsia="en-GB"/>
              </w:rPr>
              <w:t xml:space="preserve">Timer for reassembly in TS 38.322 [4], in milliseconds. Value </w:t>
            </w:r>
            <w:r w:rsidRPr="00FA0D37">
              <w:rPr>
                <w:i/>
                <w:lang w:eastAsia="sv-SE"/>
              </w:rPr>
              <w:t>ms0</w:t>
            </w:r>
            <w:r w:rsidRPr="00FA0D37">
              <w:rPr>
                <w:lang w:eastAsia="en-GB"/>
              </w:rPr>
              <w:t xml:space="preserve"> means 0 ms</w:t>
            </w:r>
            <w:r w:rsidRPr="00FA0D37">
              <w:rPr>
                <w:lang w:eastAsia="sv-SE"/>
              </w:rPr>
              <w:t>, value</w:t>
            </w:r>
            <w:r w:rsidRPr="00FA0D37">
              <w:rPr>
                <w:lang w:eastAsia="en-GB"/>
              </w:rPr>
              <w:t xml:space="preserve"> </w:t>
            </w:r>
            <w:r w:rsidRPr="00FA0D37">
              <w:rPr>
                <w:i/>
                <w:lang w:eastAsia="sv-SE"/>
              </w:rPr>
              <w:t>ms5</w:t>
            </w:r>
            <w:r w:rsidRPr="00FA0D37">
              <w:rPr>
                <w:lang w:eastAsia="en-GB"/>
              </w:rPr>
              <w:t xml:space="preserve"> means 5 ms and so on. </w:t>
            </w:r>
            <w:r w:rsidR="00D4596A" w:rsidRPr="00FA0D37">
              <w:t xml:space="preserve">If </w:t>
            </w:r>
            <w:r w:rsidR="00D4596A" w:rsidRPr="00FA0D37">
              <w:rPr>
                <w:i/>
                <w:iCs/>
              </w:rPr>
              <w:t>t-ReassemblyExt-r17</w:t>
            </w:r>
            <w:r w:rsidR="00D4596A" w:rsidRPr="00FA0D37">
              <w:t xml:space="preserve"> is configured, the UE shall ignore </w:t>
            </w:r>
            <w:r w:rsidR="00D4596A" w:rsidRPr="00FA0D37">
              <w:rPr>
                <w:i/>
                <w:iCs/>
              </w:rPr>
              <w:t>t-Reassembly</w:t>
            </w:r>
            <w:r w:rsidR="00D4596A" w:rsidRPr="00FA0D37">
              <w:t xml:space="preserve"> (without suffix).</w:t>
            </w:r>
          </w:p>
        </w:tc>
      </w:tr>
      <w:tr w:rsidR="00394471" w:rsidRPr="00FA0D37"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FA0D37" w:rsidRDefault="00394471" w:rsidP="00964CC4">
            <w:pPr>
              <w:pStyle w:val="TAL"/>
              <w:rPr>
                <w:b/>
                <w:bCs/>
                <w:i/>
                <w:iCs/>
                <w:lang w:eastAsia="x-none"/>
              </w:rPr>
            </w:pPr>
            <w:r w:rsidRPr="00FA0D37">
              <w:rPr>
                <w:b/>
                <w:bCs/>
                <w:i/>
                <w:iCs/>
                <w:lang w:eastAsia="x-none"/>
              </w:rPr>
              <w:t>t-StatusProhibit</w:t>
            </w:r>
          </w:p>
          <w:p w14:paraId="21A32FEF" w14:textId="77777777" w:rsidR="00394471" w:rsidRPr="00FA0D37" w:rsidRDefault="00394471" w:rsidP="00964CC4">
            <w:pPr>
              <w:pStyle w:val="TAL"/>
              <w:rPr>
                <w:b/>
                <w:i/>
                <w:lang w:eastAsia="en-GB"/>
              </w:rPr>
            </w:pPr>
            <w:r w:rsidRPr="00FA0D37">
              <w:rPr>
                <w:lang w:eastAsia="en-GB"/>
              </w:rPr>
              <w:t xml:space="preserve">Timer for status reporting in TS 38.322 [4], in milliseconds. Value </w:t>
            </w:r>
            <w:r w:rsidRPr="00FA0D37">
              <w:rPr>
                <w:i/>
                <w:lang w:eastAsia="en-GB"/>
              </w:rPr>
              <w:t>ms0</w:t>
            </w:r>
            <w:r w:rsidRPr="00FA0D37">
              <w:rPr>
                <w:lang w:eastAsia="en-GB"/>
              </w:rPr>
              <w:t xml:space="preserve"> means 0 ms, value </w:t>
            </w:r>
            <w:r w:rsidRPr="00FA0D37">
              <w:rPr>
                <w:i/>
                <w:lang w:eastAsia="en-GB"/>
              </w:rPr>
              <w:t>ms5</w:t>
            </w:r>
            <w:r w:rsidRPr="00FA0D37">
              <w:rPr>
                <w:lang w:eastAsia="en-GB"/>
              </w:rPr>
              <w:t xml:space="preserve"> means 5 ms and so on. If </w:t>
            </w:r>
            <w:r w:rsidRPr="00FA0D37">
              <w:rPr>
                <w:rFonts w:cs="Arial"/>
                <w:i/>
                <w:iCs/>
                <w:szCs w:val="18"/>
                <w:lang w:eastAsia="en-GB"/>
              </w:rPr>
              <w:t>t-StatusProhibit-v1610</w:t>
            </w:r>
            <w:r w:rsidRPr="00FA0D37">
              <w:rPr>
                <w:lang w:eastAsia="en-GB"/>
              </w:rPr>
              <w:t xml:space="preserve"> is present, the </w:t>
            </w:r>
            <w:r w:rsidRPr="00FA0D37">
              <w:rPr>
                <w:rFonts w:cs="Arial"/>
                <w:szCs w:val="18"/>
                <w:lang w:eastAsia="en-GB"/>
              </w:rPr>
              <w:t>UE shall ignore</w:t>
            </w:r>
            <w:r w:rsidRPr="00FA0D37">
              <w:rPr>
                <w:lang w:eastAsia="en-GB"/>
              </w:rPr>
              <w:t xml:space="preserve"> </w:t>
            </w:r>
            <w:r w:rsidRPr="00FA0D37">
              <w:rPr>
                <w:i/>
                <w:lang w:eastAsia="en-GB"/>
              </w:rPr>
              <w:t>t-</w:t>
            </w:r>
            <w:r w:rsidRPr="00FA0D37">
              <w:rPr>
                <w:rFonts w:cs="Arial"/>
                <w:i/>
                <w:iCs/>
                <w:szCs w:val="18"/>
                <w:lang w:eastAsia="en-GB"/>
              </w:rPr>
              <w:t>StatusProhibit</w:t>
            </w:r>
            <w:r w:rsidRPr="00FA0D37">
              <w:rPr>
                <w:rFonts w:cs="Arial"/>
                <w:szCs w:val="18"/>
                <w:lang w:eastAsia="en-GB"/>
              </w:rPr>
              <w:t xml:space="preserve"> (without suffix)</w:t>
            </w:r>
            <w:r w:rsidRPr="00FA0D37">
              <w:rPr>
                <w:lang w:eastAsia="en-GB"/>
              </w:rPr>
              <w:t>.</w:t>
            </w:r>
          </w:p>
        </w:tc>
      </w:tr>
    </w:tbl>
    <w:p w14:paraId="25C9982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FA0D37" w:rsidRDefault="00394471" w:rsidP="00964CC4">
            <w:pPr>
              <w:pStyle w:val="TAH"/>
              <w:rPr>
                <w:szCs w:val="22"/>
                <w:lang w:eastAsia="sv-SE"/>
              </w:rPr>
            </w:pPr>
            <w:r w:rsidRPr="00FA0D3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FA0D37" w:rsidRDefault="00394471" w:rsidP="00964CC4">
            <w:pPr>
              <w:pStyle w:val="TAH"/>
              <w:rPr>
                <w:szCs w:val="22"/>
                <w:lang w:eastAsia="sv-SE"/>
              </w:rPr>
            </w:pPr>
            <w:r w:rsidRPr="00FA0D37">
              <w:rPr>
                <w:szCs w:val="22"/>
                <w:lang w:eastAsia="sv-SE"/>
              </w:rPr>
              <w:t>Explanation</w:t>
            </w:r>
          </w:p>
        </w:tc>
      </w:tr>
      <w:tr w:rsidR="00394471" w:rsidRPr="00FA0D37"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FA0D37" w:rsidRDefault="00394471" w:rsidP="00964CC4">
            <w:pPr>
              <w:pStyle w:val="TAL"/>
              <w:rPr>
                <w:i/>
                <w:szCs w:val="22"/>
                <w:lang w:eastAsia="sv-SE"/>
              </w:rPr>
            </w:pPr>
            <w:r w:rsidRPr="00FA0D37">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FA0D37" w:rsidRDefault="00394471" w:rsidP="00964CC4">
            <w:pPr>
              <w:pStyle w:val="TAL"/>
              <w:rPr>
                <w:szCs w:val="22"/>
                <w:lang w:eastAsia="sv-SE"/>
              </w:rPr>
            </w:pPr>
            <w:r w:rsidRPr="00FA0D37">
              <w:rPr>
                <w:szCs w:val="22"/>
                <w:lang w:eastAsia="sv-SE"/>
              </w:rPr>
              <w:t xml:space="preserve">The field is mandatory present at </w:t>
            </w:r>
            <w:r w:rsidR="001220B7" w:rsidRPr="00FA0D37">
              <w:rPr>
                <w:szCs w:val="22"/>
                <w:lang w:eastAsia="sv-SE"/>
              </w:rPr>
              <w:t xml:space="preserve">RLC </w:t>
            </w:r>
            <w:r w:rsidRPr="00FA0D37">
              <w:rPr>
                <w:szCs w:val="22"/>
                <w:lang w:eastAsia="sv-SE"/>
              </w:rPr>
              <w:t>bearer setup. It is optionally present, need M, at RLC re-establishment. Otherwise it is absent. Need M.</w:t>
            </w:r>
          </w:p>
        </w:tc>
      </w:tr>
    </w:tbl>
    <w:p w14:paraId="577A0C6A" w14:textId="77777777" w:rsidR="00394471" w:rsidRPr="00FA0D37" w:rsidRDefault="00394471" w:rsidP="00394471"/>
    <w:p w14:paraId="003B24B7" w14:textId="77777777" w:rsidR="00394471" w:rsidRPr="00FA0D37" w:rsidRDefault="00394471" w:rsidP="00394471">
      <w:pPr>
        <w:pStyle w:val="4"/>
      </w:pPr>
      <w:bookmarkStart w:id="1337" w:name="_Toc60777359"/>
      <w:bookmarkStart w:id="1338" w:name="_Toc146781440"/>
      <w:r w:rsidRPr="00FA0D37">
        <w:t>–</w:t>
      </w:r>
      <w:r w:rsidRPr="00FA0D37">
        <w:tab/>
      </w:r>
      <w:r w:rsidRPr="00FA0D37">
        <w:rPr>
          <w:i/>
        </w:rPr>
        <w:t>RLF-TimersAndConstants</w:t>
      </w:r>
      <w:bookmarkEnd w:id="1337"/>
      <w:bookmarkEnd w:id="1338"/>
    </w:p>
    <w:p w14:paraId="77FC2AA9" w14:textId="77777777" w:rsidR="00394471" w:rsidRPr="00FA0D37" w:rsidRDefault="00394471" w:rsidP="00394471">
      <w:r w:rsidRPr="00FA0D37">
        <w:t xml:space="preserve">The IE </w:t>
      </w:r>
      <w:r w:rsidRPr="00FA0D37">
        <w:rPr>
          <w:i/>
        </w:rPr>
        <w:t xml:space="preserve">RLF-TimersAndConstants </w:t>
      </w:r>
      <w:r w:rsidRPr="00FA0D37">
        <w:t>is used to configure UE specific timers and constants.</w:t>
      </w:r>
    </w:p>
    <w:p w14:paraId="1FFD9FB7" w14:textId="77777777" w:rsidR="00394471" w:rsidRPr="00FA0D37" w:rsidRDefault="00394471" w:rsidP="00394471">
      <w:pPr>
        <w:pStyle w:val="TH"/>
      </w:pPr>
      <w:r w:rsidRPr="00FA0D37">
        <w:rPr>
          <w:bCs/>
          <w:i/>
          <w:iCs/>
        </w:rPr>
        <w:t xml:space="preserve">RLF-TimersAndConstants </w:t>
      </w:r>
      <w:r w:rsidRPr="00FA0D37">
        <w:t>information element</w:t>
      </w:r>
    </w:p>
    <w:p w14:paraId="5FE4FD2E" w14:textId="77777777" w:rsidR="00394471" w:rsidRPr="00FA0D37" w:rsidRDefault="00394471" w:rsidP="00FA0D37">
      <w:pPr>
        <w:pStyle w:val="PL"/>
        <w:rPr>
          <w:color w:val="808080"/>
        </w:rPr>
      </w:pPr>
      <w:r w:rsidRPr="00FA0D37">
        <w:rPr>
          <w:color w:val="808080"/>
        </w:rPr>
        <w:t>-- ASN1START</w:t>
      </w:r>
    </w:p>
    <w:p w14:paraId="6ED1B569" w14:textId="77777777" w:rsidR="00394471" w:rsidRPr="00FA0D37" w:rsidRDefault="00394471" w:rsidP="00FA0D37">
      <w:pPr>
        <w:pStyle w:val="PL"/>
        <w:rPr>
          <w:color w:val="808080"/>
        </w:rPr>
      </w:pPr>
      <w:r w:rsidRPr="00FA0D37">
        <w:rPr>
          <w:color w:val="808080"/>
        </w:rPr>
        <w:t>-- TAG-RLF-TIMERSANDCONSTANTS-START</w:t>
      </w:r>
    </w:p>
    <w:p w14:paraId="7E2965F7" w14:textId="77777777" w:rsidR="00394471" w:rsidRPr="00FA0D37" w:rsidRDefault="00394471" w:rsidP="00FA0D37">
      <w:pPr>
        <w:pStyle w:val="PL"/>
      </w:pPr>
    </w:p>
    <w:p w14:paraId="1539B96E" w14:textId="77777777" w:rsidR="00394471" w:rsidRPr="00FA0D37" w:rsidRDefault="00394471" w:rsidP="00FA0D37">
      <w:pPr>
        <w:pStyle w:val="PL"/>
      </w:pPr>
      <w:r w:rsidRPr="00FA0D37">
        <w:t xml:space="preserve">RLF-TimersAndConstants ::=          </w:t>
      </w:r>
      <w:r w:rsidRPr="00FA0D37">
        <w:rPr>
          <w:color w:val="993366"/>
        </w:rPr>
        <w:t>SEQUENCE</w:t>
      </w:r>
      <w:r w:rsidRPr="00FA0D37">
        <w:t xml:space="preserve"> {</w:t>
      </w:r>
    </w:p>
    <w:p w14:paraId="628B7ECF" w14:textId="77777777" w:rsidR="00394471" w:rsidRPr="00FA0D37" w:rsidRDefault="00394471" w:rsidP="00FA0D37">
      <w:pPr>
        <w:pStyle w:val="PL"/>
      </w:pPr>
      <w:r w:rsidRPr="00FA0D37">
        <w:t xml:space="preserve">    t310                                </w:t>
      </w:r>
      <w:r w:rsidRPr="00FA0D37">
        <w:rPr>
          <w:color w:val="993366"/>
        </w:rPr>
        <w:t>ENUMERATED</w:t>
      </w:r>
      <w:r w:rsidRPr="00FA0D37">
        <w:t xml:space="preserve"> {ms0, ms50, ms100, ms200, ms500, ms1000, ms2000, ms4000, ms6000},</w:t>
      </w:r>
    </w:p>
    <w:p w14:paraId="1C8CC0D7" w14:textId="77777777" w:rsidR="00394471" w:rsidRPr="00FA0D37" w:rsidRDefault="00394471" w:rsidP="00FA0D37">
      <w:pPr>
        <w:pStyle w:val="PL"/>
      </w:pPr>
      <w:r w:rsidRPr="00FA0D37">
        <w:t xml:space="preserve">    n310                                </w:t>
      </w:r>
      <w:r w:rsidRPr="00FA0D37">
        <w:rPr>
          <w:color w:val="993366"/>
        </w:rPr>
        <w:t>ENUMERATED</w:t>
      </w:r>
      <w:r w:rsidRPr="00FA0D37">
        <w:t xml:space="preserve"> {n1, n2, n3, n4, n6, n8, n10, n20},</w:t>
      </w:r>
    </w:p>
    <w:p w14:paraId="5ECEB253" w14:textId="77777777" w:rsidR="00394471" w:rsidRPr="00FA0D37" w:rsidRDefault="00394471" w:rsidP="00FA0D37">
      <w:pPr>
        <w:pStyle w:val="PL"/>
      </w:pPr>
      <w:r w:rsidRPr="00FA0D37">
        <w:t xml:space="preserve">    n311                                </w:t>
      </w:r>
      <w:r w:rsidRPr="00FA0D37">
        <w:rPr>
          <w:color w:val="993366"/>
        </w:rPr>
        <w:t>ENUMERATED</w:t>
      </w:r>
      <w:r w:rsidRPr="00FA0D37">
        <w:t xml:space="preserve"> {n1, n2, n3, n4, n5, n6, n8, n10},</w:t>
      </w:r>
    </w:p>
    <w:p w14:paraId="3A9BF929" w14:textId="77777777" w:rsidR="00394471" w:rsidRPr="00FA0D37" w:rsidRDefault="00394471" w:rsidP="00FA0D37">
      <w:pPr>
        <w:pStyle w:val="PL"/>
      </w:pPr>
      <w:r w:rsidRPr="00FA0D37">
        <w:t xml:space="preserve">    ...,</w:t>
      </w:r>
    </w:p>
    <w:p w14:paraId="0CB28006" w14:textId="77777777" w:rsidR="00394471" w:rsidRPr="00FA0D37" w:rsidRDefault="00394471" w:rsidP="00FA0D37">
      <w:pPr>
        <w:pStyle w:val="PL"/>
      </w:pPr>
      <w:r w:rsidRPr="00FA0D37">
        <w:t xml:space="preserve">    [[</w:t>
      </w:r>
    </w:p>
    <w:p w14:paraId="36E62FC3" w14:textId="77777777" w:rsidR="00394471" w:rsidRPr="00FA0D37" w:rsidRDefault="00394471" w:rsidP="00FA0D37">
      <w:pPr>
        <w:pStyle w:val="PL"/>
      </w:pPr>
      <w:r w:rsidRPr="00FA0D37">
        <w:t xml:space="preserve">    t311                                </w:t>
      </w:r>
      <w:r w:rsidRPr="00FA0D37">
        <w:rPr>
          <w:color w:val="993366"/>
        </w:rPr>
        <w:t>ENUMERATED</w:t>
      </w:r>
      <w:r w:rsidRPr="00FA0D37">
        <w:t xml:space="preserve"> {ms1000, ms3000, ms5000, ms10000, ms15000, ms20000, ms30000}</w:t>
      </w:r>
    </w:p>
    <w:p w14:paraId="37C30D8E" w14:textId="77777777" w:rsidR="00394471" w:rsidRPr="00FA0D37" w:rsidRDefault="00394471" w:rsidP="00FA0D37">
      <w:pPr>
        <w:pStyle w:val="PL"/>
      </w:pPr>
      <w:r w:rsidRPr="00FA0D37">
        <w:t xml:space="preserve">    ]]</w:t>
      </w:r>
    </w:p>
    <w:p w14:paraId="50EBBF86" w14:textId="77777777" w:rsidR="00394471" w:rsidRPr="00FA0D37" w:rsidRDefault="00394471" w:rsidP="00FA0D37">
      <w:pPr>
        <w:pStyle w:val="PL"/>
      </w:pPr>
      <w:r w:rsidRPr="00FA0D37">
        <w:t>}</w:t>
      </w:r>
    </w:p>
    <w:p w14:paraId="7F1F67B2" w14:textId="77777777" w:rsidR="00394471" w:rsidRPr="00FA0D37" w:rsidRDefault="00394471" w:rsidP="00FA0D37">
      <w:pPr>
        <w:pStyle w:val="PL"/>
      </w:pPr>
    </w:p>
    <w:p w14:paraId="72DA06B4" w14:textId="77777777" w:rsidR="00394471" w:rsidRPr="00FA0D37" w:rsidRDefault="00394471" w:rsidP="00FA0D37">
      <w:pPr>
        <w:pStyle w:val="PL"/>
        <w:rPr>
          <w:color w:val="808080"/>
        </w:rPr>
      </w:pPr>
      <w:r w:rsidRPr="00FA0D37">
        <w:rPr>
          <w:color w:val="808080"/>
        </w:rPr>
        <w:t>-- TAG-RLF-TIMERSANDCONSTANTS-STOP</w:t>
      </w:r>
    </w:p>
    <w:p w14:paraId="31402F16" w14:textId="77777777" w:rsidR="00394471" w:rsidRPr="00FA0D37" w:rsidRDefault="00394471" w:rsidP="00FA0D37">
      <w:pPr>
        <w:pStyle w:val="PL"/>
        <w:rPr>
          <w:color w:val="808080"/>
        </w:rPr>
      </w:pPr>
      <w:r w:rsidRPr="00FA0D37">
        <w:rPr>
          <w:color w:val="808080"/>
        </w:rPr>
        <w:lastRenderedPageBreak/>
        <w:t>-- ASN1STOP</w:t>
      </w:r>
    </w:p>
    <w:p w14:paraId="065B3709" w14:textId="77777777" w:rsidR="00394471" w:rsidRPr="00FA0D3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5C7FF4" w:rsidRPr="00FA0D37"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FA0D37" w:rsidRDefault="00394471" w:rsidP="00964CC4">
            <w:pPr>
              <w:pStyle w:val="TAH"/>
              <w:rPr>
                <w:lang w:eastAsia="en-GB"/>
              </w:rPr>
            </w:pPr>
            <w:r w:rsidRPr="00FA0D37">
              <w:rPr>
                <w:i/>
                <w:lang w:eastAsia="en-GB"/>
              </w:rPr>
              <w:t>RLF-TimersAndConstants</w:t>
            </w:r>
            <w:r w:rsidRPr="00FA0D37">
              <w:rPr>
                <w:iCs/>
                <w:lang w:eastAsia="en-GB"/>
              </w:rPr>
              <w:t xml:space="preserve"> field descriptions</w:t>
            </w:r>
          </w:p>
        </w:tc>
      </w:tr>
      <w:tr w:rsidR="005C7FF4" w:rsidRPr="00FA0D37"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FA0D37" w:rsidRDefault="00394471" w:rsidP="00964CC4">
            <w:pPr>
              <w:pStyle w:val="TAL"/>
              <w:rPr>
                <w:b/>
                <w:bCs/>
                <w:i/>
                <w:lang w:eastAsia="en-GB"/>
              </w:rPr>
            </w:pPr>
            <w:r w:rsidRPr="00FA0D37">
              <w:rPr>
                <w:b/>
                <w:bCs/>
                <w:i/>
                <w:lang w:eastAsia="en-GB"/>
              </w:rPr>
              <w:t>n3xy</w:t>
            </w:r>
          </w:p>
          <w:p w14:paraId="62BA169B" w14:textId="77777777" w:rsidR="00394471" w:rsidRPr="00FA0D37" w:rsidRDefault="00394471" w:rsidP="00964CC4">
            <w:pPr>
              <w:pStyle w:val="TAL"/>
              <w:rPr>
                <w:iCs/>
                <w:lang w:eastAsia="en-GB"/>
              </w:rPr>
            </w:pPr>
            <w:r w:rsidRPr="00FA0D37">
              <w:rPr>
                <w:bCs/>
                <w:lang w:eastAsia="en-GB"/>
              </w:rPr>
              <w:t xml:space="preserve">Constants are described in clause 7.3. Value </w:t>
            </w:r>
            <w:r w:rsidRPr="00FA0D37">
              <w:rPr>
                <w:bCs/>
                <w:i/>
                <w:lang w:eastAsia="en-GB"/>
              </w:rPr>
              <w:t>n1</w:t>
            </w:r>
            <w:r w:rsidRPr="00FA0D37">
              <w:rPr>
                <w:bCs/>
                <w:lang w:eastAsia="en-GB"/>
              </w:rPr>
              <w:t xml:space="preserve"> corresponds to 1, value </w:t>
            </w:r>
            <w:r w:rsidRPr="00FA0D37">
              <w:rPr>
                <w:bCs/>
                <w:i/>
                <w:lang w:eastAsia="en-GB"/>
              </w:rPr>
              <w:t>n2</w:t>
            </w:r>
            <w:r w:rsidRPr="00FA0D37">
              <w:rPr>
                <w:bCs/>
                <w:lang w:eastAsia="en-GB"/>
              </w:rPr>
              <w:t xml:space="preserve"> corresponds to 2 and so on.</w:t>
            </w:r>
          </w:p>
        </w:tc>
      </w:tr>
      <w:tr w:rsidR="00394471" w:rsidRPr="00FA0D37"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FA0D37" w:rsidRDefault="00394471" w:rsidP="00964CC4">
            <w:pPr>
              <w:pStyle w:val="TAL"/>
              <w:rPr>
                <w:b/>
                <w:bCs/>
                <w:i/>
                <w:lang w:eastAsia="en-GB"/>
              </w:rPr>
            </w:pPr>
            <w:r w:rsidRPr="00FA0D37">
              <w:rPr>
                <w:b/>
                <w:bCs/>
                <w:i/>
                <w:lang w:eastAsia="en-GB"/>
              </w:rPr>
              <w:t>t3xy</w:t>
            </w:r>
          </w:p>
          <w:p w14:paraId="0A9E3319" w14:textId="77777777" w:rsidR="00394471" w:rsidRPr="00FA0D37" w:rsidRDefault="00394471" w:rsidP="00964CC4">
            <w:pPr>
              <w:pStyle w:val="TAL"/>
              <w:rPr>
                <w:b/>
                <w:bCs/>
                <w:i/>
                <w:lang w:eastAsia="en-GB"/>
              </w:rPr>
            </w:pPr>
            <w:r w:rsidRPr="00FA0D37">
              <w:rPr>
                <w:iCs/>
                <w:lang w:eastAsia="en-GB"/>
              </w:rPr>
              <w:t xml:space="preserve">Timers are described in clause 7.1. Value </w:t>
            </w:r>
            <w:r w:rsidRPr="00FA0D37">
              <w:rPr>
                <w:i/>
                <w:iCs/>
                <w:lang w:eastAsia="en-GB"/>
              </w:rPr>
              <w:t>ms0</w:t>
            </w:r>
            <w:r w:rsidRPr="00FA0D37">
              <w:rPr>
                <w:iCs/>
                <w:lang w:eastAsia="en-GB"/>
              </w:rPr>
              <w:t xml:space="preserve"> corresponds to 0 ms, value </w:t>
            </w:r>
            <w:r w:rsidRPr="00FA0D37">
              <w:rPr>
                <w:i/>
                <w:iCs/>
                <w:lang w:eastAsia="en-GB"/>
              </w:rPr>
              <w:t>ms50</w:t>
            </w:r>
            <w:r w:rsidRPr="00FA0D37">
              <w:rPr>
                <w:iCs/>
                <w:lang w:eastAsia="en-GB"/>
              </w:rPr>
              <w:t xml:space="preserve"> corresponds to 50 ms and so on.</w:t>
            </w:r>
          </w:p>
        </w:tc>
      </w:tr>
    </w:tbl>
    <w:p w14:paraId="0EC8216D" w14:textId="77777777" w:rsidR="00394471" w:rsidRPr="00FA0D37" w:rsidRDefault="00394471" w:rsidP="00394471"/>
    <w:p w14:paraId="2EB71E0D" w14:textId="77777777" w:rsidR="00394471" w:rsidRPr="00FA0D37" w:rsidRDefault="00394471" w:rsidP="00394471">
      <w:pPr>
        <w:pStyle w:val="4"/>
      </w:pPr>
      <w:bookmarkStart w:id="1339" w:name="_Toc60777360"/>
      <w:bookmarkStart w:id="1340" w:name="_Toc146781441"/>
      <w:r w:rsidRPr="00FA0D37">
        <w:t>–</w:t>
      </w:r>
      <w:r w:rsidRPr="00FA0D37">
        <w:tab/>
      </w:r>
      <w:r w:rsidRPr="00FA0D37">
        <w:rPr>
          <w:i/>
        </w:rPr>
        <w:t>RNTI-Value</w:t>
      </w:r>
      <w:bookmarkEnd w:id="1339"/>
      <w:bookmarkEnd w:id="1340"/>
    </w:p>
    <w:p w14:paraId="4208AF31" w14:textId="77777777" w:rsidR="00394471" w:rsidRPr="00FA0D37" w:rsidRDefault="00394471" w:rsidP="00394471">
      <w:r w:rsidRPr="00FA0D37">
        <w:t xml:space="preserve">The IE </w:t>
      </w:r>
      <w:r w:rsidRPr="00FA0D37">
        <w:rPr>
          <w:i/>
        </w:rPr>
        <w:t>RNTI-Value</w:t>
      </w:r>
      <w:r w:rsidRPr="00FA0D37">
        <w:t xml:space="preserve"> represents a Radio Network Temporary Identity.</w:t>
      </w:r>
    </w:p>
    <w:p w14:paraId="6235B5CD" w14:textId="77777777" w:rsidR="00394471" w:rsidRPr="00FA0D37" w:rsidRDefault="00394471" w:rsidP="00394471">
      <w:pPr>
        <w:pStyle w:val="TH"/>
      </w:pPr>
      <w:r w:rsidRPr="00FA0D37">
        <w:rPr>
          <w:bCs/>
          <w:i/>
          <w:iCs/>
        </w:rPr>
        <w:t>RNTI-Value</w:t>
      </w:r>
      <w:r w:rsidRPr="00FA0D37">
        <w:t xml:space="preserve"> information element</w:t>
      </w:r>
    </w:p>
    <w:p w14:paraId="418C72DB" w14:textId="77777777" w:rsidR="00394471" w:rsidRPr="00FA0D37" w:rsidRDefault="00394471" w:rsidP="00FA0D37">
      <w:pPr>
        <w:pStyle w:val="PL"/>
        <w:rPr>
          <w:color w:val="808080"/>
        </w:rPr>
      </w:pPr>
      <w:r w:rsidRPr="00FA0D37">
        <w:rPr>
          <w:color w:val="808080"/>
        </w:rPr>
        <w:t>-- ASN1START</w:t>
      </w:r>
    </w:p>
    <w:p w14:paraId="441F1F4A" w14:textId="77777777" w:rsidR="00394471" w:rsidRPr="00FA0D37" w:rsidRDefault="00394471" w:rsidP="00FA0D37">
      <w:pPr>
        <w:pStyle w:val="PL"/>
        <w:rPr>
          <w:color w:val="808080"/>
        </w:rPr>
      </w:pPr>
      <w:r w:rsidRPr="00FA0D37">
        <w:rPr>
          <w:color w:val="808080"/>
        </w:rPr>
        <w:t>-- TAG-RNTI-VALUE-START</w:t>
      </w:r>
    </w:p>
    <w:p w14:paraId="79002AA7" w14:textId="77777777" w:rsidR="00394471" w:rsidRPr="00FA0D37" w:rsidRDefault="00394471" w:rsidP="00FA0D37">
      <w:pPr>
        <w:pStyle w:val="PL"/>
      </w:pPr>
    </w:p>
    <w:p w14:paraId="16714188" w14:textId="77777777" w:rsidR="00394471" w:rsidRPr="00FA0D37" w:rsidRDefault="00394471" w:rsidP="00FA0D37">
      <w:pPr>
        <w:pStyle w:val="PL"/>
      </w:pPr>
      <w:r w:rsidRPr="00FA0D37">
        <w:t xml:space="preserve">RNTI-Value ::=                      </w:t>
      </w:r>
      <w:r w:rsidRPr="00FA0D37">
        <w:rPr>
          <w:color w:val="993366"/>
        </w:rPr>
        <w:t>INTEGER</w:t>
      </w:r>
      <w:r w:rsidRPr="00FA0D37">
        <w:t xml:space="preserve"> (0..65535)</w:t>
      </w:r>
    </w:p>
    <w:p w14:paraId="11EBB170" w14:textId="77777777" w:rsidR="00394471" w:rsidRPr="00FA0D37" w:rsidRDefault="00394471" w:rsidP="00FA0D37">
      <w:pPr>
        <w:pStyle w:val="PL"/>
      </w:pPr>
    </w:p>
    <w:p w14:paraId="1A02BD8D" w14:textId="77777777" w:rsidR="00394471" w:rsidRPr="00FA0D37" w:rsidRDefault="00394471" w:rsidP="00FA0D37">
      <w:pPr>
        <w:pStyle w:val="PL"/>
        <w:rPr>
          <w:color w:val="808080"/>
        </w:rPr>
      </w:pPr>
      <w:r w:rsidRPr="00FA0D37">
        <w:rPr>
          <w:color w:val="808080"/>
        </w:rPr>
        <w:t>-- TAG-RNTI-VALUE-STOP</w:t>
      </w:r>
    </w:p>
    <w:p w14:paraId="762E95F9" w14:textId="77777777" w:rsidR="00394471" w:rsidRPr="00FA0D37" w:rsidRDefault="00394471" w:rsidP="00FA0D37">
      <w:pPr>
        <w:pStyle w:val="PL"/>
        <w:rPr>
          <w:rFonts w:eastAsia="MS Mincho"/>
          <w:color w:val="808080"/>
        </w:rPr>
      </w:pPr>
      <w:r w:rsidRPr="00FA0D37">
        <w:rPr>
          <w:color w:val="808080"/>
        </w:rPr>
        <w:t>-- ASN1STOP</w:t>
      </w:r>
    </w:p>
    <w:p w14:paraId="743C63CB" w14:textId="77777777" w:rsidR="00394471" w:rsidRPr="00FA0D37" w:rsidRDefault="00394471" w:rsidP="00394471"/>
    <w:p w14:paraId="4BCD6A24" w14:textId="77777777" w:rsidR="00394471" w:rsidRPr="00FA0D37" w:rsidRDefault="00394471" w:rsidP="00394471">
      <w:pPr>
        <w:pStyle w:val="4"/>
        <w:rPr>
          <w:rFonts w:eastAsia="MS Mincho"/>
        </w:rPr>
      </w:pPr>
      <w:bookmarkStart w:id="1341" w:name="_Toc60777361"/>
      <w:bookmarkStart w:id="1342" w:name="_Toc146781442"/>
      <w:r w:rsidRPr="00FA0D37">
        <w:rPr>
          <w:rFonts w:eastAsia="MS Mincho"/>
        </w:rPr>
        <w:t>–</w:t>
      </w:r>
      <w:r w:rsidRPr="00FA0D37">
        <w:rPr>
          <w:rFonts w:eastAsia="MS Mincho"/>
        </w:rPr>
        <w:tab/>
      </w:r>
      <w:r w:rsidRPr="00FA0D37">
        <w:rPr>
          <w:rFonts w:eastAsia="MS Mincho"/>
          <w:i/>
        </w:rPr>
        <w:t>RSRP-Range</w:t>
      </w:r>
      <w:bookmarkEnd w:id="1341"/>
      <w:bookmarkEnd w:id="1342"/>
    </w:p>
    <w:p w14:paraId="226DC99C" w14:textId="77777777" w:rsidR="00394471" w:rsidRPr="00FA0D37" w:rsidRDefault="00394471" w:rsidP="00394471">
      <w:pPr>
        <w:rPr>
          <w:rFonts w:eastAsia="MS Mincho"/>
        </w:rPr>
      </w:pPr>
      <w:r w:rsidRPr="00FA0D37">
        <w:t xml:space="preserve">The IE </w:t>
      </w:r>
      <w:r w:rsidRPr="00FA0D37">
        <w:rPr>
          <w:i/>
        </w:rPr>
        <w:t>RSRP-Range</w:t>
      </w:r>
      <w:r w:rsidRPr="00FA0D37">
        <w:t xml:space="preserve"> specifies the value range used in RSRP measurements and thresholds. For measurements, integer value for RSRP measurements is according to </w:t>
      </w:r>
      <w:r w:rsidRPr="00FA0D37">
        <w:rPr>
          <w:rFonts w:cs="v4.2.0"/>
        </w:rPr>
        <w:t>Table 10.1.6.1-1</w:t>
      </w:r>
      <w:r w:rsidRPr="00FA0D37">
        <w:t xml:space="preserve"> in TS 38.133 [14].</w:t>
      </w:r>
      <w:r w:rsidRPr="00FA0D37">
        <w:rPr>
          <w:lang w:eastAsia="ko-KR"/>
        </w:rPr>
        <w:t xml:space="preserve"> For thresholds, the actual value is (IE value – 156) dBm, except for the IE value 127, in which case the actual value is infinity.</w:t>
      </w:r>
    </w:p>
    <w:p w14:paraId="68DC3A0A" w14:textId="77777777" w:rsidR="00394471" w:rsidRPr="00FA0D37" w:rsidRDefault="00394471" w:rsidP="00394471">
      <w:pPr>
        <w:pStyle w:val="TH"/>
      </w:pPr>
      <w:r w:rsidRPr="00FA0D37">
        <w:rPr>
          <w:i/>
        </w:rPr>
        <w:t>RSRP-Range</w:t>
      </w:r>
      <w:r w:rsidRPr="00FA0D37">
        <w:t xml:space="preserve"> information element</w:t>
      </w:r>
    </w:p>
    <w:p w14:paraId="63AB7FB3" w14:textId="77777777" w:rsidR="00394471" w:rsidRPr="00FA0D37" w:rsidRDefault="00394471" w:rsidP="00FA0D37">
      <w:pPr>
        <w:pStyle w:val="PL"/>
        <w:rPr>
          <w:color w:val="808080"/>
        </w:rPr>
      </w:pPr>
      <w:r w:rsidRPr="00FA0D37">
        <w:rPr>
          <w:color w:val="808080"/>
        </w:rPr>
        <w:t>-- ASN1START</w:t>
      </w:r>
    </w:p>
    <w:p w14:paraId="454EEFB6" w14:textId="77777777" w:rsidR="00394471" w:rsidRPr="00FA0D37" w:rsidRDefault="00394471" w:rsidP="00FA0D37">
      <w:pPr>
        <w:pStyle w:val="PL"/>
        <w:rPr>
          <w:color w:val="808080"/>
        </w:rPr>
      </w:pPr>
      <w:r w:rsidRPr="00FA0D37">
        <w:rPr>
          <w:color w:val="808080"/>
        </w:rPr>
        <w:t>-- TAG-RSRP-RANGE-START</w:t>
      </w:r>
    </w:p>
    <w:p w14:paraId="004EF25C" w14:textId="77777777" w:rsidR="00394471" w:rsidRPr="00FA0D37" w:rsidRDefault="00394471" w:rsidP="00FA0D37">
      <w:pPr>
        <w:pStyle w:val="PL"/>
      </w:pPr>
    </w:p>
    <w:p w14:paraId="6FB473B5" w14:textId="77777777" w:rsidR="00394471" w:rsidRPr="00FA0D37" w:rsidRDefault="00394471" w:rsidP="00FA0D37">
      <w:pPr>
        <w:pStyle w:val="PL"/>
      </w:pPr>
      <w:r w:rsidRPr="00FA0D37">
        <w:t xml:space="preserve">RSRP-Range ::=                      </w:t>
      </w:r>
      <w:r w:rsidRPr="00FA0D37">
        <w:rPr>
          <w:color w:val="993366"/>
        </w:rPr>
        <w:t>INTEGER</w:t>
      </w:r>
      <w:r w:rsidRPr="00FA0D37">
        <w:t>(0..127)</w:t>
      </w:r>
    </w:p>
    <w:p w14:paraId="78C7E11C" w14:textId="77777777" w:rsidR="00394471" w:rsidRPr="00FA0D37" w:rsidRDefault="00394471" w:rsidP="00FA0D37">
      <w:pPr>
        <w:pStyle w:val="PL"/>
      </w:pPr>
    </w:p>
    <w:p w14:paraId="2713EF3A" w14:textId="77777777" w:rsidR="00394471" w:rsidRPr="00FA0D37" w:rsidRDefault="00394471" w:rsidP="00FA0D37">
      <w:pPr>
        <w:pStyle w:val="PL"/>
        <w:rPr>
          <w:color w:val="808080"/>
        </w:rPr>
      </w:pPr>
      <w:r w:rsidRPr="00FA0D37">
        <w:rPr>
          <w:color w:val="808080"/>
        </w:rPr>
        <w:t>-- TAG-RSRP-RANGE-STOP</w:t>
      </w:r>
    </w:p>
    <w:p w14:paraId="42CD47E1" w14:textId="77777777" w:rsidR="00394471" w:rsidRPr="00FA0D37" w:rsidRDefault="00394471" w:rsidP="00FA0D37">
      <w:pPr>
        <w:pStyle w:val="PL"/>
        <w:rPr>
          <w:color w:val="808080"/>
        </w:rPr>
      </w:pPr>
      <w:r w:rsidRPr="00FA0D37">
        <w:rPr>
          <w:color w:val="808080"/>
        </w:rPr>
        <w:t>-- ASN1STOP</w:t>
      </w:r>
    </w:p>
    <w:p w14:paraId="584B6B56" w14:textId="77777777" w:rsidR="00394471" w:rsidRPr="00FA0D37" w:rsidRDefault="00394471" w:rsidP="00394471"/>
    <w:p w14:paraId="6061B1F5" w14:textId="77777777" w:rsidR="00394471" w:rsidRPr="00FA0D37" w:rsidRDefault="00394471" w:rsidP="00394471">
      <w:pPr>
        <w:pStyle w:val="4"/>
        <w:rPr>
          <w:rFonts w:eastAsia="MS Mincho"/>
        </w:rPr>
      </w:pPr>
      <w:bookmarkStart w:id="1343" w:name="_Toc60777362"/>
      <w:bookmarkStart w:id="1344" w:name="_Toc146781443"/>
      <w:r w:rsidRPr="00FA0D37">
        <w:rPr>
          <w:rFonts w:eastAsia="MS Mincho"/>
        </w:rPr>
        <w:t>–</w:t>
      </w:r>
      <w:r w:rsidRPr="00FA0D37">
        <w:rPr>
          <w:rFonts w:eastAsia="MS Mincho"/>
        </w:rPr>
        <w:tab/>
      </w:r>
      <w:r w:rsidRPr="00FA0D37">
        <w:rPr>
          <w:rFonts w:eastAsia="MS Mincho"/>
          <w:i/>
        </w:rPr>
        <w:t>RSRQ-Range</w:t>
      </w:r>
      <w:bookmarkEnd w:id="1343"/>
      <w:bookmarkEnd w:id="1344"/>
    </w:p>
    <w:p w14:paraId="1EF4FD8A" w14:textId="77777777" w:rsidR="00394471" w:rsidRPr="00FA0D37" w:rsidRDefault="00394471" w:rsidP="00394471">
      <w:pPr>
        <w:rPr>
          <w:rFonts w:eastAsia="MS Mincho"/>
        </w:rPr>
      </w:pPr>
      <w:r w:rsidRPr="00FA0D37">
        <w:t xml:space="preserve">The IE </w:t>
      </w:r>
      <w:r w:rsidRPr="00FA0D37">
        <w:rPr>
          <w:i/>
        </w:rPr>
        <w:t>RSRQ-Range</w:t>
      </w:r>
      <w:r w:rsidRPr="00FA0D37">
        <w:t xml:space="preserve"> specifies the value range used in RSRQ measurements and thresholds. For measurements</w:t>
      </w:r>
      <w:r w:rsidRPr="00FA0D37">
        <w:rPr>
          <w:lang w:eastAsia="ko-KR"/>
        </w:rPr>
        <w:t xml:space="preserve">, </w:t>
      </w:r>
      <w:r w:rsidRPr="00FA0D37">
        <w:t xml:space="preserve">integer value for RSRQ measurements is according to Table </w:t>
      </w:r>
      <w:r w:rsidRPr="00FA0D37">
        <w:rPr>
          <w:rFonts w:cs="v4.2.0"/>
        </w:rPr>
        <w:t xml:space="preserve">10.1.11.1-1 </w:t>
      </w:r>
      <w:r w:rsidRPr="00FA0D37">
        <w:t>in TS 38.133 [14].</w:t>
      </w:r>
      <w:r w:rsidRPr="00FA0D37">
        <w:rPr>
          <w:lang w:eastAsia="ko-KR"/>
        </w:rPr>
        <w:t xml:space="preserve"> For thresholds, the actual value is (IE value – 87) / 2 dB.</w:t>
      </w:r>
    </w:p>
    <w:p w14:paraId="37AF6270" w14:textId="77777777" w:rsidR="00394471" w:rsidRPr="00FA0D37" w:rsidRDefault="00394471" w:rsidP="00394471">
      <w:pPr>
        <w:pStyle w:val="TH"/>
      </w:pPr>
      <w:r w:rsidRPr="00FA0D37">
        <w:rPr>
          <w:i/>
        </w:rPr>
        <w:lastRenderedPageBreak/>
        <w:t>RSRQ-Range</w:t>
      </w:r>
      <w:r w:rsidRPr="00FA0D37">
        <w:t xml:space="preserve"> information element</w:t>
      </w:r>
    </w:p>
    <w:p w14:paraId="5E602B37" w14:textId="77777777" w:rsidR="00394471" w:rsidRPr="00FA0D37" w:rsidRDefault="00394471" w:rsidP="00FA0D37">
      <w:pPr>
        <w:pStyle w:val="PL"/>
        <w:rPr>
          <w:color w:val="808080"/>
        </w:rPr>
      </w:pPr>
      <w:r w:rsidRPr="00FA0D37">
        <w:rPr>
          <w:color w:val="808080"/>
        </w:rPr>
        <w:t>-- ASN1START</w:t>
      </w:r>
    </w:p>
    <w:p w14:paraId="2A66D697" w14:textId="77777777" w:rsidR="00394471" w:rsidRPr="00FA0D37" w:rsidRDefault="00394471" w:rsidP="00FA0D37">
      <w:pPr>
        <w:pStyle w:val="PL"/>
        <w:rPr>
          <w:color w:val="808080"/>
        </w:rPr>
      </w:pPr>
      <w:r w:rsidRPr="00FA0D37">
        <w:rPr>
          <w:color w:val="808080"/>
        </w:rPr>
        <w:t>-- TAG-RSRQ-RANGE-START</w:t>
      </w:r>
    </w:p>
    <w:p w14:paraId="46433120" w14:textId="77777777" w:rsidR="00394471" w:rsidRPr="00FA0D37" w:rsidRDefault="00394471" w:rsidP="00FA0D37">
      <w:pPr>
        <w:pStyle w:val="PL"/>
      </w:pPr>
    </w:p>
    <w:p w14:paraId="1AC08367" w14:textId="77777777" w:rsidR="00394471" w:rsidRPr="00FA0D37" w:rsidRDefault="00394471" w:rsidP="00FA0D37">
      <w:pPr>
        <w:pStyle w:val="PL"/>
      </w:pPr>
      <w:r w:rsidRPr="00FA0D37">
        <w:t xml:space="preserve">RSRQ-Range ::=                      </w:t>
      </w:r>
      <w:r w:rsidRPr="00FA0D37">
        <w:rPr>
          <w:color w:val="993366"/>
        </w:rPr>
        <w:t>INTEGER</w:t>
      </w:r>
      <w:r w:rsidRPr="00FA0D37">
        <w:t>(0..127)</w:t>
      </w:r>
    </w:p>
    <w:p w14:paraId="667DB3AC" w14:textId="77777777" w:rsidR="00394471" w:rsidRPr="00FA0D37" w:rsidRDefault="00394471" w:rsidP="00FA0D37">
      <w:pPr>
        <w:pStyle w:val="PL"/>
      </w:pPr>
    </w:p>
    <w:p w14:paraId="7F62C298" w14:textId="77777777" w:rsidR="00394471" w:rsidRPr="00FA0D37" w:rsidRDefault="00394471" w:rsidP="00FA0D37">
      <w:pPr>
        <w:pStyle w:val="PL"/>
        <w:rPr>
          <w:color w:val="808080"/>
        </w:rPr>
      </w:pPr>
      <w:r w:rsidRPr="00FA0D37">
        <w:rPr>
          <w:color w:val="808080"/>
        </w:rPr>
        <w:t>-- TAG-RSRQ-RANGE-STOP</w:t>
      </w:r>
    </w:p>
    <w:p w14:paraId="0AD03DC1" w14:textId="77777777" w:rsidR="00394471" w:rsidRPr="00FA0D37" w:rsidRDefault="00394471" w:rsidP="00FA0D37">
      <w:pPr>
        <w:pStyle w:val="PL"/>
        <w:rPr>
          <w:color w:val="808080"/>
        </w:rPr>
      </w:pPr>
      <w:r w:rsidRPr="00FA0D37">
        <w:rPr>
          <w:color w:val="808080"/>
        </w:rPr>
        <w:t>-- ASN1STOP</w:t>
      </w:r>
    </w:p>
    <w:p w14:paraId="71DDC464" w14:textId="77777777" w:rsidR="00394471" w:rsidRPr="00FA0D37" w:rsidRDefault="00394471" w:rsidP="00394471"/>
    <w:p w14:paraId="63C421C5" w14:textId="77777777" w:rsidR="00394471" w:rsidRPr="00FA0D37" w:rsidRDefault="00394471" w:rsidP="00394471">
      <w:pPr>
        <w:pStyle w:val="4"/>
        <w:rPr>
          <w:rFonts w:eastAsia="MS Mincho"/>
        </w:rPr>
      </w:pPr>
      <w:bookmarkStart w:id="1345" w:name="_Toc60777363"/>
      <w:bookmarkStart w:id="1346" w:name="_Toc146781444"/>
      <w:r w:rsidRPr="00FA0D37">
        <w:rPr>
          <w:rFonts w:eastAsia="MS Mincho"/>
        </w:rPr>
        <w:t>–</w:t>
      </w:r>
      <w:r w:rsidRPr="00FA0D37">
        <w:rPr>
          <w:rFonts w:eastAsia="MS Mincho"/>
        </w:rPr>
        <w:tab/>
      </w:r>
      <w:r w:rsidRPr="00FA0D37">
        <w:rPr>
          <w:rFonts w:eastAsia="MS Mincho"/>
          <w:i/>
        </w:rPr>
        <w:t>RSSI-Range</w:t>
      </w:r>
      <w:bookmarkEnd w:id="1345"/>
      <w:bookmarkEnd w:id="1346"/>
    </w:p>
    <w:p w14:paraId="76505CB4" w14:textId="3A3DE683" w:rsidR="00394471" w:rsidRPr="00FA0D37" w:rsidRDefault="00394471" w:rsidP="00394471">
      <w:pPr>
        <w:rPr>
          <w:rFonts w:eastAsia="MS Mincho"/>
        </w:rPr>
      </w:pPr>
      <w:r w:rsidRPr="00FA0D37">
        <w:t xml:space="preserve">The IE </w:t>
      </w:r>
      <w:r w:rsidRPr="00FA0D37">
        <w:rPr>
          <w:i/>
        </w:rPr>
        <w:t>RSSI-Range</w:t>
      </w:r>
      <w:r w:rsidRPr="00FA0D37">
        <w:t xml:space="preserve"> specifies the value range used in RSSI measurements and thresholds for NR operation with shared spectrum channel access. The integer value for RSSI measurements is </w:t>
      </w:r>
      <w:r w:rsidR="00FB04AA" w:rsidRPr="00FA0D37">
        <w:t xml:space="preserve">according to Table 10.1.34.3-1 </w:t>
      </w:r>
      <w:r w:rsidRPr="00FA0D37">
        <w:t>in TS 38.133 [14].</w:t>
      </w:r>
    </w:p>
    <w:p w14:paraId="040152F1" w14:textId="77777777" w:rsidR="00394471" w:rsidRPr="00FA0D37" w:rsidRDefault="00394471" w:rsidP="00394471">
      <w:pPr>
        <w:pStyle w:val="TH"/>
      </w:pPr>
      <w:r w:rsidRPr="00FA0D37">
        <w:rPr>
          <w:i/>
        </w:rPr>
        <w:t>RSSI-Range</w:t>
      </w:r>
      <w:r w:rsidRPr="00FA0D37">
        <w:t xml:space="preserve"> information element</w:t>
      </w:r>
    </w:p>
    <w:p w14:paraId="41D78A3E" w14:textId="77777777" w:rsidR="00394471" w:rsidRPr="00FA0D37" w:rsidRDefault="00394471" w:rsidP="00FA0D37">
      <w:pPr>
        <w:pStyle w:val="PL"/>
        <w:rPr>
          <w:color w:val="808080"/>
        </w:rPr>
      </w:pPr>
      <w:r w:rsidRPr="00FA0D37">
        <w:rPr>
          <w:color w:val="808080"/>
        </w:rPr>
        <w:t>-- ASN1START</w:t>
      </w:r>
    </w:p>
    <w:p w14:paraId="04DF4A30" w14:textId="77777777" w:rsidR="00394471" w:rsidRPr="00FA0D37" w:rsidRDefault="00394471" w:rsidP="00FA0D37">
      <w:pPr>
        <w:pStyle w:val="PL"/>
        <w:rPr>
          <w:color w:val="808080"/>
        </w:rPr>
      </w:pPr>
      <w:r w:rsidRPr="00FA0D37">
        <w:rPr>
          <w:color w:val="808080"/>
        </w:rPr>
        <w:t>-- TAG-RSSI-RANGE-START</w:t>
      </w:r>
    </w:p>
    <w:p w14:paraId="052DC8DE" w14:textId="77777777" w:rsidR="00394471" w:rsidRPr="00FA0D37" w:rsidRDefault="00394471" w:rsidP="00FA0D37">
      <w:pPr>
        <w:pStyle w:val="PL"/>
      </w:pPr>
    </w:p>
    <w:p w14:paraId="487F8D51" w14:textId="77777777" w:rsidR="00394471" w:rsidRPr="00FA0D37" w:rsidRDefault="00394471" w:rsidP="00FA0D37">
      <w:pPr>
        <w:pStyle w:val="PL"/>
      </w:pPr>
      <w:r w:rsidRPr="00FA0D37">
        <w:t xml:space="preserve">RSSI-Range-r16 ::=                  </w:t>
      </w:r>
      <w:r w:rsidRPr="00FA0D37">
        <w:rPr>
          <w:color w:val="993366"/>
        </w:rPr>
        <w:t>INTEGER</w:t>
      </w:r>
      <w:r w:rsidRPr="00FA0D37">
        <w:t>(0..76)</w:t>
      </w:r>
    </w:p>
    <w:p w14:paraId="605D3DC2" w14:textId="77777777" w:rsidR="00394471" w:rsidRPr="00FA0D37" w:rsidRDefault="00394471" w:rsidP="00FA0D37">
      <w:pPr>
        <w:pStyle w:val="PL"/>
      </w:pPr>
    </w:p>
    <w:p w14:paraId="74171371" w14:textId="77777777" w:rsidR="00394471" w:rsidRPr="00FA0D37" w:rsidRDefault="00394471" w:rsidP="00FA0D37">
      <w:pPr>
        <w:pStyle w:val="PL"/>
        <w:rPr>
          <w:color w:val="808080"/>
        </w:rPr>
      </w:pPr>
      <w:r w:rsidRPr="00FA0D37">
        <w:rPr>
          <w:color w:val="808080"/>
        </w:rPr>
        <w:t>-- TAG-RSSI-RANGE-STOP</w:t>
      </w:r>
    </w:p>
    <w:p w14:paraId="3451B955" w14:textId="77777777" w:rsidR="00394471" w:rsidRPr="00FA0D37" w:rsidRDefault="00394471" w:rsidP="00FA0D37">
      <w:pPr>
        <w:pStyle w:val="PL"/>
        <w:rPr>
          <w:color w:val="808080"/>
        </w:rPr>
      </w:pPr>
      <w:r w:rsidRPr="00FA0D37">
        <w:rPr>
          <w:color w:val="808080"/>
        </w:rPr>
        <w:t>-- ASN1STOP</w:t>
      </w:r>
    </w:p>
    <w:p w14:paraId="3E3FBF48" w14:textId="1AF662C4" w:rsidR="00394471" w:rsidRPr="00FA0D37" w:rsidRDefault="00394471" w:rsidP="00394471"/>
    <w:p w14:paraId="1207279E" w14:textId="77777777" w:rsidR="004E4A9E" w:rsidRPr="00FA0D37" w:rsidRDefault="004E4A9E" w:rsidP="004E4A9E">
      <w:pPr>
        <w:pStyle w:val="4"/>
      </w:pPr>
      <w:bookmarkStart w:id="1347" w:name="_Toc146781445"/>
      <w:r w:rsidRPr="00FA0D37">
        <w:t>–</w:t>
      </w:r>
      <w:r w:rsidRPr="00FA0D37">
        <w:tab/>
      </w:r>
      <w:r w:rsidRPr="00FA0D37">
        <w:rPr>
          <w:i/>
        </w:rPr>
        <w:t>RxTxTimeDiff</w:t>
      </w:r>
      <w:bookmarkEnd w:id="1347"/>
    </w:p>
    <w:p w14:paraId="3787A2F4" w14:textId="77777777" w:rsidR="004E4A9E" w:rsidRPr="00FA0D37" w:rsidRDefault="004E4A9E" w:rsidP="004E4A9E">
      <w:r w:rsidRPr="00FA0D37">
        <w:t xml:space="preserve">The IE </w:t>
      </w:r>
      <w:r w:rsidRPr="00FA0D37">
        <w:rPr>
          <w:i/>
        </w:rPr>
        <w:t>RxTxTimeDiff</w:t>
      </w:r>
      <w:r w:rsidRPr="00FA0D37">
        <w:t xml:space="preserve"> contains the Rx-Tx time difference measurement at either the UE or the gNB.</w:t>
      </w:r>
    </w:p>
    <w:p w14:paraId="69833A36" w14:textId="77777777" w:rsidR="004E4A9E" w:rsidRPr="00FA0D37" w:rsidRDefault="004E4A9E" w:rsidP="004E4A9E">
      <w:pPr>
        <w:pStyle w:val="TH"/>
      </w:pPr>
      <w:r w:rsidRPr="00FA0D37">
        <w:rPr>
          <w:i/>
        </w:rPr>
        <w:t>RxTxTimeDiff</w:t>
      </w:r>
      <w:r w:rsidRPr="00FA0D37">
        <w:t xml:space="preserve"> information element</w:t>
      </w:r>
    </w:p>
    <w:p w14:paraId="6A5D2612" w14:textId="77777777" w:rsidR="004E4A9E" w:rsidRPr="00FA0D37" w:rsidRDefault="004E4A9E" w:rsidP="00FA0D37">
      <w:pPr>
        <w:pStyle w:val="PL"/>
        <w:rPr>
          <w:color w:val="808080"/>
        </w:rPr>
      </w:pPr>
      <w:r w:rsidRPr="00FA0D37">
        <w:rPr>
          <w:color w:val="808080"/>
        </w:rPr>
        <w:t>-- ASN1START</w:t>
      </w:r>
    </w:p>
    <w:p w14:paraId="128A756E" w14:textId="77777777" w:rsidR="004E4A9E" w:rsidRPr="00FA0D37" w:rsidRDefault="004E4A9E" w:rsidP="00FA0D37">
      <w:pPr>
        <w:pStyle w:val="PL"/>
        <w:rPr>
          <w:color w:val="808080"/>
        </w:rPr>
      </w:pPr>
      <w:r w:rsidRPr="00FA0D37">
        <w:rPr>
          <w:color w:val="808080"/>
        </w:rPr>
        <w:t>-- TAG-RXTXTIMEDIFF-START</w:t>
      </w:r>
    </w:p>
    <w:p w14:paraId="64C7BE39" w14:textId="77777777" w:rsidR="004E4A9E" w:rsidRPr="00FA0D37" w:rsidRDefault="004E4A9E" w:rsidP="00FA0D37">
      <w:pPr>
        <w:pStyle w:val="PL"/>
      </w:pPr>
    </w:p>
    <w:p w14:paraId="5DD97290" w14:textId="77777777" w:rsidR="004E4A9E" w:rsidRPr="00FA0D37" w:rsidRDefault="004E4A9E" w:rsidP="00FA0D37">
      <w:pPr>
        <w:pStyle w:val="PL"/>
      </w:pPr>
      <w:r w:rsidRPr="00FA0D37">
        <w:t xml:space="preserve">RxTxTimeDiff-r17  ::= </w:t>
      </w:r>
      <w:r w:rsidRPr="00FA0D37">
        <w:rPr>
          <w:color w:val="993366"/>
        </w:rPr>
        <w:t>SEQUENCE</w:t>
      </w:r>
      <w:r w:rsidRPr="00FA0D37">
        <w:t xml:space="preserve"> {</w:t>
      </w:r>
    </w:p>
    <w:p w14:paraId="7A0CE0B1" w14:textId="35D7D5FE" w:rsidR="004E4A9E" w:rsidRPr="00FA0D37" w:rsidRDefault="004E4A9E" w:rsidP="00FA0D37">
      <w:pPr>
        <w:pStyle w:val="PL"/>
        <w:rPr>
          <w:color w:val="808080"/>
        </w:rPr>
      </w:pPr>
      <w:r w:rsidRPr="00FA0D37">
        <w:t xml:space="preserve">    result-k5-r17         </w:t>
      </w:r>
      <w:r w:rsidRPr="00FA0D37">
        <w:rPr>
          <w:color w:val="993366"/>
        </w:rPr>
        <w:t>INTEGER</w:t>
      </w:r>
      <w:r w:rsidRPr="00FA0D37">
        <w:t xml:space="preserve"> (0..61565)</w:t>
      </w:r>
      <w:r w:rsidR="00C36811" w:rsidRPr="00FA0D37">
        <w:t xml:space="preserve">                 </w:t>
      </w:r>
      <w:r w:rsidR="00C36811" w:rsidRPr="00FA0D37">
        <w:rPr>
          <w:color w:val="993366"/>
        </w:rPr>
        <w:t>OPTIONAL</w:t>
      </w:r>
      <w:r w:rsidRPr="00FA0D37">
        <w:t>,</w:t>
      </w:r>
      <w:r w:rsidR="00C36811" w:rsidRPr="00FA0D37">
        <w:t xml:space="preserve"> </w:t>
      </w:r>
      <w:r w:rsidR="00C36811" w:rsidRPr="00FA0D37">
        <w:rPr>
          <w:color w:val="808080"/>
        </w:rPr>
        <w:t>-- Need N</w:t>
      </w:r>
    </w:p>
    <w:p w14:paraId="5B14D318" w14:textId="6B1780A7" w:rsidR="004E4A9E" w:rsidRPr="00FA0D37" w:rsidRDefault="004E4A9E" w:rsidP="00FA0D37">
      <w:pPr>
        <w:pStyle w:val="PL"/>
      </w:pPr>
      <w:r w:rsidRPr="00FA0D37">
        <w:t xml:space="preserve">    ...</w:t>
      </w:r>
    </w:p>
    <w:p w14:paraId="48F33608" w14:textId="77777777" w:rsidR="004E4A9E" w:rsidRPr="00FA0D37" w:rsidRDefault="004E4A9E" w:rsidP="00FA0D37">
      <w:pPr>
        <w:pStyle w:val="PL"/>
      </w:pPr>
      <w:r w:rsidRPr="00FA0D37">
        <w:t>}</w:t>
      </w:r>
    </w:p>
    <w:p w14:paraId="356CA37A" w14:textId="77777777" w:rsidR="004E4A9E" w:rsidRPr="00FA0D37" w:rsidRDefault="004E4A9E" w:rsidP="00FA0D37">
      <w:pPr>
        <w:pStyle w:val="PL"/>
      </w:pPr>
    </w:p>
    <w:p w14:paraId="23C85F9B" w14:textId="77777777" w:rsidR="004E4A9E" w:rsidRPr="00FA0D37" w:rsidRDefault="004E4A9E" w:rsidP="00FA0D37">
      <w:pPr>
        <w:pStyle w:val="PL"/>
        <w:rPr>
          <w:color w:val="808080"/>
        </w:rPr>
      </w:pPr>
      <w:r w:rsidRPr="00FA0D37">
        <w:rPr>
          <w:color w:val="808080"/>
        </w:rPr>
        <w:t>-- TAG-RXTXTIMEDIFF-STOP</w:t>
      </w:r>
    </w:p>
    <w:p w14:paraId="59088071" w14:textId="77777777" w:rsidR="004E4A9E" w:rsidRPr="00FA0D37" w:rsidRDefault="004E4A9E" w:rsidP="00FA0D37">
      <w:pPr>
        <w:pStyle w:val="PL"/>
        <w:rPr>
          <w:color w:val="808080"/>
        </w:rPr>
      </w:pPr>
      <w:r w:rsidRPr="00FA0D37">
        <w:rPr>
          <w:color w:val="808080"/>
        </w:rPr>
        <w:t>-- ASN1STOP</w:t>
      </w:r>
    </w:p>
    <w:p w14:paraId="363465AA" w14:textId="77777777" w:rsidR="004E4A9E" w:rsidRPr="00FA0D37" w:rsidRDefault="004E4A9E" w:rsidP="004E4A9E"/>
    <w:tbl>
      <w:tblPr>
        <w:tblStyle w:val="af8"/>
        <w:tblW w:w="14173" w:type="dxa"/>
        <w:tblInd w:w="0" w:type="dxa"/>
        <w:tblLook w:val="04A0" w:firstRow="1" w:lastRow="0" w:firstColumn="1" w:lastColumn="0" w:noHBand="0" w:noVBand="1"/>
      </w:tblPr>
      <w:tblGrid>
        <w:gridCol w:w="14173"/>
      </w:tblGrid>
      <w:tr w:rsidR="005C7FF4" w:rsidRPr="00FA0D37" w14:paraId="3E6CF1E8" w14:textId="77777777" w:rsidTr="00771058">
        <w:tc>
          <w:tcPr>
            <w:tcW w:w="14278" w:type="dxa"/>
          </w:tcPr>
          <w:p w14:paraId="132CF2D8" w14:textId="77777777" w:rsidR="004E4A9E" w:rsidRPr="00FA0D37" w:rsidRDefault="004E4A9E" w:rsidP="00771058">
            <w:pPr>
              <w:pStyle w:val="TAH"/>
            </w:pPr>
            <w:r w:rsidRPr="00FA0D37">
              <w:rPr>
                <w:i/>
              </w:rPr>
              <w:lastRenderedPageBreak/>
              <w:t>RxTxTimeDiff field descriptions</w:t>
            </w:r>
          </w:p>
        </w:tc>
      </w:tr>
      <w:tr w:rsidR="004E4A9E" w:rsidRPr="00FA0D37" w14:paraId="79A73C3A" w14:textId="77777777" w:rsidTr="00771058">
        <w:tc>
          <w:tcPr>
            <w:tcW w:w="14278" w:type="dxa"/>
          </w:tcPr>
          <w:p w14:paraId="748915EA" w14:textId="77777777" w:rsidR="004E4A9E" w:rsidRPr="00FA0D37" w:rsidRDefault="004E4A9E" w:rsidP="00771058">
            <w:pPr>
              <w:pStyle w:val="TAL"/>
              <w:rPr>
                <w:b/>
                <w:i/>
              </w:rPr>
            </w:pPr>
            <w:r w:rsidRPr="00FA0D37">
              <w:rPr>
                <w:b/>
                <w:i/>
              </w:rPr>
              <w:t>result-k5</w:t>
            </w:r>
          </w:p>
          <w:p w14:paraId="4A1A9A88" w14:textId="1F37E29F" w:rsidR="004E4A9E" w:rsidRPr="00FA0D37" w:rsidRDefault="004E4A9E" w:rsidP="00771058">
            <w:pPr>
              <w:pStyle w:val="TAL"/>
            </w:pPr>
            <w:r w:rsidRPr="00FA0D37">
              <w:t>This field indicates the Rx-Tx time difference measurement, see TS 38.215 [9]</w:t>
            </w:r>
            <w:r w:rsidR="00C36811" w:rsidRPr="00FA0D37">
              <w:t xml:space="preserve">, </w:t>
            </w:r>
            <w:r w:rsidR="00C36811" w:rsidRPr="00FA0D37">
              <w:rPr>
                <w:rFonts w:cs="Arial"/>
                <w:lang w:eastAsia="zh-CN"/>
              </w:rPr>
              <w:t xml:space="preserve">clause 10.1.25.3.1 of </w:t>
            </w:r>
            <w:r w:rsidR="00EA6373" w:rsidRPr="00FA0D37">
              <w:rPr>
                <w:rFonts w:cs="Arial"/>
                <w:lang w:eastAsia="zh-CN"/>
              </w:rPr>
              <w:t xml:space="preserve">TS </w:t>
            </w:r>
            <w:r w:rsidR="00C36811" w:rsidRPr="00FA0D37">
              <w:rPr>
                <w:rFonts w:cs="Arial"/>
                <w:lang w:eastAsia="zh-CN"/>
              </w:rPr>
              <w:t xml:space="preserve">38.133 [14] for UE Rx-Tx time difference and clause 13.2.1 of </w:t>
            </w:r>
            <w:r w:rsidR="00EA6373" w:rsidRPr="00FA0D37">
              <w:rPr>
                <w:rFonts w:cs="Arial"/>
                <w:lang w:eastAsia="zh-CN"/>
              </w:rPr>
              <w:t xml:space="preserve">TS </w:t>
            </w:r>
            <w:r w:rsidR="00C36811" w:rsidRPr="00FA0D37">
              <w:rPr>
                <w:rFonts w:cs="Arial"/>
                <w:lang w:eastAsia="zh-CN"/>
              </w:rPr>
              <w:t>38.133 [14] for gNB Rx-Tx time difference</w:t>
            </w:r>
            <w:r w:rsidRPr="00FA0D37">
              <w:t>.</w:t>
            </w:r>
          </w:p>
        </w:tc>
      </w:tr>
    </w:tbl>
    <w:p w14:paraId="7937BBF6" w14:textId="1AA55293" w:rsidR="004E4A9E" w:rsidRPr="00FA0D37" w:rsidRDefault="004E4A9E" w:rsidP="00394471"/>
    <w:p w14:paraId="38C81175" w14:textId="77777777" w:rsidR="00DB6B82" w:rsidRPr="00FA0D37" w:rsidRDefault="00DB6B82" w:rsidP="00DB6B82">
      <w:pPr>
        <w:pStyle w:val="4"/>
        <w:rPr>
          <w:i/>
        </w:rPr>
      </w:pPr>
      <w:bookmarkStart w:id="1348" w:name="_Toc146781446"/>
      <w:r w:rsidRPr="00FA0D37">
        <w:t>–</w:t>
      </w:r>
      <w:r w:rsidRPr="00FA0D37">
        <w:tab/>
      </w:r>
      <w:r w:rsidRPr="00FA0D37">
        <w:rPr>
          <w:i/>
        </w:rPr>
        <w:t>SCellActivationRS-Config</w:t>
      </w:r>
      <w:bookmarkEnd w:id="1348"/>
    </w:p>
    <w:p w14:paraId="6E527617" w14:textId="225D2205" w:rsidR="00DB6B82" w:rsidRPr="00FA0D37" w:rsidRDefault="00DB6B82" w:rsidP="00DB6B82">
      <w:r w:rsidRPr="00FA0D37">
        <w:t xml:space="preserve">The IE </w:t>
      </w:r>
      <w:r w:rsidRPr="00FA0D37">
        <w:rPr>
          <w:i/>
        </w:rPr>
        <w:t>SCellActivationRS-Config</w:t>
      </w:r>
      <w:r w:rsidRPr="00FA0D37">
        <w:t xml:space="preserve"> is used to configure a Reference Signal for </w:t>
      </w:r>
      <w:r w:rsidR="00BA464C" w:rsidRPr="00FA0D37">
        <w:t xml:space="preserve">fast </w:t>
      </w:r>
      <w:r w:rsidRPr="00FA0D37">
        <w:t xml:space="preserve">activation of the SCell where the IE is included (see TS 38.214 [19], clause </w:t>
      </w:r>
      <w:r w:rsidR="00BA464C" w:rsidRPr="00FA0D37">
        <w:t>5.2.1.5.3</w:t>
      </w:r>
      <w:r w:rsidRPr="00FA0D37">
        <w:t xml:space="preserve">. Usage of an </w:t>
      </w:r>
      <w:r w:rsidRPr="00FA0D37">
        <w:rPr>
          <w:i/>
        </w:rPr>
        <w:t>SCellActivationRS-Config</w:t>
      </w:r>
      <w:r w:rsidRPr="00FA0D37">
        <w:t xml:space="preserve"> is indicated by including its </w:t>
      </w:r>
      <w:r w:rsidRPr="00FA0D37">
        <w:rPr>
          <w:i/>
        </w:rPr>
        <w:t>scellActivationRS-Id</w:t>
      </w:r>
      <w:r w:rsidRPr="00FA0D37">
        <w:t xml:space="preserve"> in the Enhanced SCell activation MAC CE (see TS 38.321 [3] clause 6.1.3.</w:t>
      </w:r>
      <w:r w:rsidR="00052DEB" w:rsidRPr="00FA0D37">
        <w:t>55</w:t>
      </w:r>
      <w:r w:rsidRPr="00FA0D37">
        <w:t>).</w:t>
      </w:r>
    </w:p>
    <w:p w14:paraId="6C894039" w14:textId="77777777" w:rsidR="00DB6B82" w:rsidRPr="00FA0D37" w:rsidRDefault="00DB6B82" w:rsidP="00DB6B82">
      <w:pPr>
        <w:pStyle w:val="TH"/>
      </w:pPr>
      <w:r w:rsidRPr="00FA0D37">
        <w:rPr>
          <w:bCs/>
          <w:i/>
          <w:iCs/>
        </w:rPr>
        <w:t xml:space="preserve">SCellActivationRS-Config </w:t>
      </w:r>
      <w:r w:rsidRPr="00FA0D37">
        <w:t>information element</w:t>
      </w:r>
    </w:p>
    <w:p w14:paraId="6871ABE3" w14:textId="77777777" w:rsidR="00DB6B82" w:rsidRPr="00FA0D37" w:rsidRDefault="00DB6B82" w:rsidP="00FA0D37">
      <w:pPr>
        <w:pStyle w:val="PL"/>
        <w:rPr>
          <w:color w:val="808080"/>
        </w:rPr>
      </w:pPr>
      <w:r w:rsidRPr="00FA0D37">
        <w:rPr>
          <w:color w:val="808080"/>
        </w:rPr>
        <w:t>-- ASN1START</w:t>
      </w:r>
    </w:p>
    <w:p w14:paraId="6BDC13EE" w14:textId="77777777" w:rsidR="00DB6B82" w:rsidRPr="00FA0D37" w:rsidRDefault="00DB6B82" w:rsidP="00FA0D37">
      <w:pPr>
        <w:pStyle w:val="PL"/>
        <w:rPr>
          <w:color w:val="808080"/>
        </w:rPr>
      </w:pPr>
      <w:r w:rsidRPr="00FA0D37">
        <w:rPr>
          <w:color w:val="808080"/>
        </w:rPr>
        <w:t>-- TAG-SCELLACTIVATIONRS-CONFIG-START</w:t>
      </w:r>
    </w:p>
    <w:p w14:paraId="74F583F3" w14:textId="77777777" w:rsidR="00DB6B82" w:rsidRPr="00FA0D37" w:rsidRDefault="00DB6B82" w:rsidP="00FA0D37">
      <w:pPr>
        <w:pStyle w:val="PL"/>
      </w:pPr>
    </w:p>
    <w:p w14:paraId="09D3F01A" w14:textId="77777777" w:rsidR="00DB6B82" w:rsidRPr="00FA0D37" w:rsidRDefault="00DB6B82" w:rsidP="00FA0D37">
      <w:pPr>
        <w:pStyle w:val="PL"/>
      </w:pPr>
      <w:r w:rsidRPr="00FA0D37">
        <w:t xml:space="preserve">SCellActivationRS-Config-r17 ::= </w:t>
      </w:r>
      <w:r w:rsidRPr="00FA0D37">
        <w:rPr>
          <w:color w:val="993366"/>
        </w:rPr>
        <w:t>SEQUENCE</w:t>
      </w:r>
      <w:r w:rsidRPr="00FA0D37">
        <w:t xml:space="preserve"> {</w:t>
      </w:r>
    </w:p>
    <w:p w14:paraId="22AEBB70" w14:textId="04D1FFEB" w:rsidR="00DB6B82" w:rsidRPr="00FA0D37" w:rsidRDefault="00DB6B82" w:rsidP="00FA0D37">
      <w:pPr>
        <w:pStyle w:val="PL"/>
      </w:pPr>
      <w:r w:rsidRPr="00FA0D37">
        <w:t xml:space="preserve">    scellActivationRS-Id-r17         SCellActivationRS-ConfigId-r17,</w:t>
      </w:r>
    </w:p>
    <w:p w14:paraId="24596EB0" w14:textId="744BC5B1" w:rsidR="00DB6B82" w:rsidRPr="00FA0D37" w:rsidRDefault="00DB6B82" w:rsidP="00FA0D37">
      <w:pPr>
        <w:pStyle w:val="PL"/>
      </w:pPr>
      <w:r w:rsidRPr="00FA0D37">
        <w:t xml:space="preserve">    resourceSet-r17                  NZP-CSI-RS-ResourceSetI</w:t>
      </w:r>
      <w:r w:rsidR="00015613" w:rsidRPr="00FA0D37">
        <w:t>d</w:t>
      </w:r>
      <w:r w:rsidRPr="00FA0D37">
        <w:t>,</w:t>
      </w:r>
    </w:p>
    <w:p w14:paraId="15F815DB" w14:textId="3C368630" w:rsidR="00DB6B82" w:rsidRPr="00FA0D37" w:rsidRDefault="00DB6B82" w:rsidP="00FA0D37">
      <w:pPr>
        <w:pStyle w:val="PL"/>
        <w:rPr>
          <w:color w:val="808080"/>
        </w:rPr>
      </w:pPr>
      <w:r w:rsidRPr="00FA0D37">
        <w:t xml:space="preserve">    gapBetweenBursts-r17             </w:t>
      </w:r>
      <w:r w:rsidRPr="00FA0D37">
        <w:rPr>
          <w:color w:val="993366"/>
        </w:rPr>
        <w:t>INTEGER</w:t>
      </w:r>
      <w:r w:rsidRPr="00FA0D37">
        <w:t xml:space="preserve"> (2..31)                                                            </w:t>
      </w:r>
      <w:r w:rsidRPr="00FA0D37">
        <w:rPr>
          <w:color w:val="993366"/>
        </w:rPr>
        <w:t>OPTIONAL</w:t>
      </w:r>
      <w:r w:rsidRPr="00FA0D37">
        <w:t xml:space="preserve">, </w:t>
      </w:r>
      <w:r w:rsidRPr="00FA0D37">
        <w:rPr>
          <w:color w:val="808080"/>
        </w:rPr>
        <w:t>-- Need R</w:t>
      </w:r>
    </w:p>
    <w:p w14:paraId="696B23B6" w14:textId="111E001D" w:rsidR="00DB6B82" w:rsidRPr="00FA0D37" w:rsidRDefault="00DB6B82" w:rsidP="00FA0D37">
      <w:pPr>
        <w:pStyle w:val="PL"/>
      </w:pPr>
      <w:r w:rsidRPr="00FA0D37">
        <w:t xml:space="preserve">    qcl-Info-r17                     TCI-StateId,</w:t>
      </w:r>
    </w:p>
    <w:p w14:paraId="4E45DCF3" w14:textId="77777777" w:rsidR="00DB6B82" w:rsidRPr="00FA0D37" w:rsidRDefault="00DB6B82" w:rsidP="00FA0D37">
      <w:pPr>
        <w:pStyle w:val="PL"/>
      </w:pPr>
      <w:r w:rsidRPr="00FA0D37">
        <w:t xml:space="preserve">    ...</w:t>
      </w:r>
    </w:p>
    <w:p w14:paraId="693A3C54" w14:textId="77777777" w:rsidR="00DB6B82" w:rsidRPr="00FA0D37" w:rsidRDefault="00DB6B82" w:rsidP="00FA0D37">
      <w:pPr>
        <w:pStyle w:val="PL"/>
      </w:pPr>
      <w:r w:rsidRPr="00FA0D37">
        <w:t>}</w:t>
      </w:r>
    </w:p>
    <w:p w14:paraId="7A294B7D" w14:textId="77777777" w:rsidR="00DB6B82" w:rsidRPr="00FA0D37" w:rsidRDefault="00DB6B82" w:rsidP="00FA0D37">
      <w:pPr>
        <w:pStyle w:val="PL"/>
      </w:pPr>
    </w:p>
    <w:p w14:paraId="1D41E69C" w14:textId="77777777" w:rsidR="00DB6B82" w:rsidRPr="00FA0D37" w:rsidRDefault="00DB6B82" w:rsidP="00FA0D37">
      <w:pPr>
        <w:pStyle w:val="PL"/>
        <w:rPr>
          <w:color w:val="808080"/>
        </w:rPr>
      </w:pPr>
      <w:r w:rsidRPr="00FA0D37">
        <w:rPr>
          <w:color w:val="808080"/>
        </w:rPr>
        <w:t>-- TAG-SCELLACTIVATIONRS-CONFIG-STOP</w:t>
      </w:r>
    </w:p>
    <w:p w14:paraId="0438AD3E" w14:textId="77777777" w:rsidR="00DB6B82" w:rsidRPr="00FA0D37" w:rsidRDefault="00DB6B82" w:rsidP="00FA0D37">
      <w:pPr>
        <w:pStyle w:val="PL"/>
        <w:rPr>
          <w:color w:val="808080"/>
        </w:rPr>
      </w:pPr>
      <w:r w:rsidRPr="00FA0D37">
        <w:rPr>
          <w:color w:val="808080"/>
        </w:rPr>
        <w:t>-- ASN1STOP</w:t>
      </w:r>
    </w:p>
    <w:p w14:paraId="0D5ACA57" w14:textId="77777777" w:rsidR="00DB6B82" w:rsidRPr="00FA0D3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FA0D37" w:rsidRDefault="00DB6B82" w:rsidP="00771058">
            <w:pPr>
              <w:pStyle w:val="TAH"/>
              <w:rPr>
                <w:rFonts w:eastAsia="宋体"/>
                <w:szCs w:val="22"/>
                <w:lang w:eastAsia="sv-SE"/>
              </w:rPr>
            </w:pPr>
            <w:r w:rsidRPr="00FA0D37">
              <w:rPr>
                <w:rFonts w:eastAsia="宋体"/>
                <w:i/>
                <w:szCs w:val="22"/>
                <w:lang w:eastAsia="sv-SE"/>
              </w:rPr>
              <w:t>SCellActivationRS-Config</w:t>
            </w:r>
            <w:r w:rsidRPr="00FA0D37">
              <w:rPr>
                <w:rFonts w:eastAsia="宋体"/>
                <w:szCs w:val="22"/>
                <w:lang w:eastAsia="sv-SE"/>
              </w:rPr>
              <w:t xml:space="preserve"> field descriptions</w:t>
            </w:r>
          </w:p>
        </w:tc>
      </w:tr>
      <w:tr w:rsidR="005C7FF4" w:rsidRPr="00FA0D37"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FA0D37" w:rsidRDefault="00DB6B82" w:rsidP="00771058">
            <w:pPr>
              <w:pStyle w:val="TAL"/>
              <w:rPr>
                <w:b/>
                <w:bCs/>
                <w:i/>
                <w:szCs w:val="22"/>
                <w:lang w:eastAsia="en-GB"/>
              </w:rPr>
            </w:pPr>
            <w:r w:rsidRPr="00FA0D37">
              <w:rPr>
                <w:b/>
                <w:bCs/>
                <w:i/>
                <w:szCs w:val="22"/>
                <w:lang w:eastAsia="en-GB"/>
              </w:rPr>
              <w:t>gapBetweenBursts</w:t>
            </w:r>
          </w:p>
          <w:p w14:paraId="13D0A86A" w14:textId="77777777" w:rsidR="00DB6B82" w:rsidRPr="00FA0D37" w:rsidRDefault="00DB6B82" w:rsidP="00771058">
            <w:pPr>
              <w:pStyle w:val="TAL"/>
              <w:rPr>
                <w:bCs/>
                <w:szCs w:val="22"/>
                <w:lang w:eastAsia="en-GB"/>
              </w:rPr>
            </w:pPr>
            <w:r w:rsidRPr="00FA0D37">
              <w:rPr>
                <w:bCs/>
                <w:szCs w:val="22"/>
                <w:lang w:eastAsia="en-GB"/>
              </w:rPr>
              <w:t>When this field is present, there are two bursts and it indicates the gap between the two bursts in number of slots. When this field is absent, there is a single burst.</w:t>
            </w:r>
          </w:p>
        </w:tc>
      </w:tr>
      <w:tr w:rsidR="005C7FF4" w:rsidRPr="00FA0D37"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FA0D37" w:rsidRDefault="00DB6B82" w:rsidP="00771058">
            <w:pPr>
              <w:pStyle w:val="TAL"/>
              <w:rPr>
                <w:rFonts w:eastAsia="Yu Mincho"/>
                <w:b/>
                <w:bCs/>
                <w:i/>
                <w:szCs w:val="22"/>
                <w:lang w:eastAsia="sv-SE"/>
              </w:rPr>
            </w:pPr>
            <w:r w:rsidRPr="00FA0D37">
              <w:rPr>
                <w:rFonts w:eastAsia="Yu Mincho"/>
                <w:b/>
                <w:bCs/>
                <w:i/>
                <w:szCs w:val="22"/>
                <w:lang w:eastAsia="sv-SE"/>
              </w:rPr>
              <w:t>qcl-Info</w:t>
            </w:r>
          </w:p>
          <w:p w14:paraId="70AFF89A" w14:textId="785DA85A" w:rsidR="00DB6B82" w:rsidRPr="00FA0D37" w:rsidRDefault="00BA464C" w:rsidP="00771058">
            <w:pPr>
              <w:pStyle w:val="TAL"/>
              <w:rPr>
                <w:bCs/>
                <w:szCs w:val="22"/>
                <w:lang w:eastAsia="en-GB"/>
              </w:rPr>
            </w:pPr>
            <w:r w:rsidRPr="00FA0D37">
              <w:rPr>
                <w:rFonts w:eastAsia="Yu Mincho"/>
                <w:bCs/>
                <w:szCs w:val="22"/>
                <w:lang w:eastAsia="sv-SE"/>
              </w:rPr>
              <w:t>R</w:t>
            </w:r>
            <w:r w:rsidR="00DB6B82" w:rsidRPr="00FA0D37">
              <w:rPr>
                <w:rFonts w:eastAsia="Yu Mincho"/>
                <w:bCs/>
                <w:szCs w:val="22"/>
                <w:lang w:eastAsia="sv-SE"/>
              </w:rPr>
              <w:t xml:space="preserve">eference to TCI-State for providing the QCL source and QCL type for each </w:t>
            </w:r>
            <w:r w:rsidR="00DB6B82" w:rsidRPr="00FA0D37">
              <w:rPr>
                <w:rFonts w:eastAsia="Yu Mincho"/>
                <w:bCs/>
                <w:i/>
                <w:szCs w:val="22"/>
                <w:lang w:eastAsia="sv-SE"/>
              </w:rPr>
              <w:t>NZP-CSI-RS-Resource</w:t>
            </w:r>
            <w:r w:rsidR="00DB6B82" w:rsidRPr="00FA0D37">
              <w:rPr>
                <w:rFonts w:eastAsia="Yu Mincho"/>
                <w:bCs/>
                <w:szCs w:val="22"/>
                <w:lang w:eastAsia="sv-SE"/>
              </w:rPr>
              <w:t xml:space="preserve"> listed in </w:t>
            </w:r>
            <w:r w:rsidR="00DB6B82" w:rsidRPr="00FA0D37">
              <w:rPr>
                <w:rFonts w:eastAsia="Yu Mincho"/>
                <w:bCs/>
                <w:i/>
                <w:szCs w:val="22"/>
                <w:lang w:eastAsia="sv-SE"/>
              </w:rPr>
              <w:t>nzp-CSI-RS-Resources</w:t>
            </w:r>
            <w:r w:rsidR="00DB6B82" w:rsidRPr="00FA0D37">
              <w:rPr>
                <w:rFonts w:eastAsia="Yu Mincho"/>
                <w:bCs/>
                <w:szCs w:val="22"/>
                <w:lang w:eastAsia="sv-SE"/>
              </w:rPr>
              <w:t xml:space="preserve"> of the </w:t>
            </w:r>
            <w:r w:rsidR="00DB6B82" w:rsidRPr="00FA0D37">
              <w:rPr>
                <w:rFonts w:eastAsia="Yu Mincho"/>
                <w:bCs/>
                <w:i/>
                <w:szCs w:val="22"/>
                <w:lang w:eastAsia="sv-SE"/>
              </w:rPr>
              <w:t>NZP-CSI-RS-ResourceSet</w:t>
            </w:r>
            <w:r w:rsidR="00DB6B82" w:rsidRPr="00FA0D37">
              <w:rPr>
                <w:rFonts w:eastAsia="Yu Mincho"/>
                <w:bCs/>
                <w:szCs w:val="22"/>
                <w:lang w:eastAsia="sv-SE"/>
              </w:rPr>
              <w:t xml:space="preserve"> indicated by </w:t>
            </w:r>
            <w:r w:rsidR="00DB6B82" w:rsidRPr="00FA0D37">
              <w:rPr>
                <w:rFonts w:eastAsia="Yu Mincho"/>
                <w:bCs/>
                <w:i/>
                <w:szCs w:val="22"/>
                <w:lang w:eastAsia="sv-SE"/>
              </w:rPr>
              <w:t>resourceSet</w:t>
            </w:r>
            <w:r w:rsidRPr="00FA0D37">
              <w:rPr>
                <w:rFonts w:eastAsia="Yu Mincho"/>
                <w:bCs/>
                <w:szCs w:val="22"/>
                <w:lang w:eastAsia="sv-SE"/>
              </w:rPr>
              <w:t xml:space="preserve"> (see TS 38.214 [19], clause 5.1.6.1.1.1)</w:t>
            </w:r>
            <w:r w:rsidR="00DB6B82" w:rsidRPr="00FA0D37">
              <w:rPr>
                <w:rFonts w:eastAsia="Yu Mincho"/>
                <w:bCs/>
                <w:szCs w:val="22"/>
                <w:lang w:eastAsia="sv-SE"/>
              </w:rPr>
              <w:t xml:space="preserve">. </w:t>
            </w:r>
            <w:r w:rsidR="00DB6B82" w:rsidRPr="00FA0D37">
              <w:rPr>
                <w:rFonts w:eastAsia="Yu Mincho"/>
                <w:bCs/>
                <w:i/>
                <w:szCs w:val="22"/>
                <w:lang w:eastAsia="sv-SE"/>
              </w:rPr>
              <w:t>TCI-StateId</w:t>
            </w:r>
            <w:r w:rsidR="00DB6B82" w:rsidRPr="00FA0D37">
              <w:rPr>
                <w:rFonts w:eastAsia="Yu Mincho"/>
                <w:bCs/>
                <w:szCs w:val="22"/>
                <w:lang w:eastAsia="sv-SE"/>
              </w:rPr>
              <w:t xml:space="preserve"> refers to the </w:t>
            </w:r>
            <w:r w:rsidR="00DB6B82" w:rsidRPr="00FA0D37">
              <w:rPr>
                <w:rFonts w:eastAsia="Yu Mincho"/>
                <w:bCs/>
                <w:i/>
                <w:szCs w:val="22"/>
                <w:lang w:eastAsia="sv-SE"/>
              </w:rPr>
              <w:t>TCI-State</w:t>
            </w:r>
            <w:r w:rsidR="00DB6B82" w:rsidRPr="00FA0D37">
              <w:rPr>
                <w:rFonts w:eastAsia="Yu Mincho"/>
                <w:bCs/>
                <w:szCs w:val="22"/>
                <w:lang w:eastAsia="sv-SE"/>
              </w:rPr>
              <w:t xml:space="preserve"> which has this value for </w:t>
            </w:r>
            <w:r w:rsidR="00DB6B82" w:rsidRPr="00FA0D37">
              <w:rPr>
                <w:rFonts w:eastAsia="Yu Mincho"/>
                <w:bCs/>
                <w:i/>
                <w:szCs w:val="22"/>
                <w:lang w:eastAsia="sv-SE"/>
              </w:rPr>
              <w:t>tci-StateId</w:t>
            </w:r>
            <w:r w:rsidR="00DB6B82" w:rsidRPr="00FA0D37">
              <w:rPr>
                <w:rFonts w:eastAsia="Yu Mincho"/>
                <w:bCs/>
                <w:szCs w:val="22"/>
                <w:lang w:eastAsia="sv-SE"/>
              </w:rPr>
              <w:t xml:space="preserve"> and is defined in </w:t>
            </w:r>
            <w:r w:rsidR="00DB6B82" w:rsidRPr="00FA0D37">
              <w:rPr>
                <w:rFonts w:eastAsia="Yu Mincho"/>
                <w:bCs/>
                <w:i/>
                <w:szCs w:val="22"/>
                <w:lang w:eastAsia="sv-SE"/>
              </w:rPr>
              <w:t>tci-StatesToAddModList</w:t>
            </w:r>
            <w:r w:rsidR="00DB6B82" w:rsidRPr="00FA0D37">
              <w:rPr>
                <w:rFonts w:eastAsia="Yu Mincho"/>
                <w:bCs/>
                <w:szCs w:val="22"/>
                <w:lang w:eastAsia="sv-SE"/>
              </w:rPr>
              <w:t xml:space="preserve"> </w:t>
            </w:r>
            <w:r w:rsidR="003C29BB" w:rsidRPr="00FA0D37">
              <w:rPr>
                <w:rFonts w:eastAsia="Yu Mincho"/>
                <w:bCs/>
                <w:szCs w:val="22"/>
                <w:lang w:eastAsia="sv-SE"/>
              </w:rPr>
              <w:t xml:space="preserve">or </w:t>
            </w:r>
            <w:r w:rsidR="003C29BB" w:rsidRPr="00FA0D37">
              <w:rPr>
                <w:rFonts w:cs="Arial"/>
                <w:i/>
                <w:iCs/>
                <w:szCs w:val="18"/>
              </w:rPr>
              <w:t>dl-OrJointTCI-StateList</w:t>
            </w:r>
            <w:r w:rsidR="003C29BB" w:rsidRPr="00FA0D37">
              <w:rPr>
                <w:rFonts w:eastAsia="Yu Mincho"/>
                <w:bCs/>
                <w:szCs w:val="22"/>
                <w:lang w:eastAsia="sv-SE"/>
              </w:rPr>
              <w:t xml:space="preserve"> </w:t>
            </w:r>
            <w:r w:rsidR="00DB6B82" w:rsidRPr="00FA0D37">
              <w:rPr>
                <w:rFonts w:eastAsia="Yu Mincho"/>
                <w:bCs/>
                <w:szCs w:val="22"/>
                <w:lang w:eastAsia="sv-SE"/>
              </w:rPr>
              <w:t xml:space="preserve">in the </w:t>
            </w:r>
            <w:r w:rsidR="00DB6B82" w:rsidRPr="00FA0D37">
              <w:rPr>
                <w:rFonts w:eastAsia="Yu Mincho"/>
                <w:bCs/>
                <w:i/>
                <w:szCs w:val="22"/>
                <w:lang w:eastAsia="sv-SE"/>
              </w:rPr>
              <w:t>PDSCH-Config</w:t>
            </w:r>
            <w:r w:rsidR="00DB6B82" w:rsidRPr="00FA0D37">
              <w:rPr>
                <w:rFonts w:eastAsia="Yu Mincho"/>
                <w:bCs/>
                <w:szCs w:val="22"/>
                <w:lang w:eastAsia="sv-SE"/>
              </w:rPr>
              <w:t xml:space="preserve"> included in the </w:t>
            </w:r>
            <w:r w:rsidR="00DB6B82" w:rsidRPr="00FA0D37">
              <w:rPr>
                <w:rFonts w:eastAsia="Yu Mincho"/>
                <w:bCs/>
                <w:i/>
                <w:szCs w:val="22"/>
                <w:lang w:eastAsia="sv-SE"/>
              </w:rPr>
              <w:t>BWP-Downlink</w:t>
            </w:r>
            <w:r w:rsidR="00DB6B82" w:rsidRPr="00FA0D37">
              <w:rPr>
                <w:rFonts w:eastAsia="Yu Mincho"/>
                <w:bCs/>
                <w:szCs w:val="22"/>
                <w:lang w:eastAsia="sv-SE"/>
              </w:rPr>
              <w:t xml:space="preserve"> of this serving cell indicated by </w:t>
            </w:r>
            <w:r w:rsidR="00DB6B82" w:rsidRPr="00FA0D37">
              <w:rPr>
                <w:rFonts w:eastAsia="Yu Mincho"/>
                <w:bCs/>
                <w:i/>
                <w:szCs w:val="22"/>
                <w:lang w:eastAsia="sv-SE"/>
              </w:rPr>
              <w:t>firstActiveDownlinkBWP-Id</w:t>
            </w:r>
            <w:r w:rsidR="00DB6B82" w:rsidRPr="00FA0D37">
              <w:rPr>
                <w:rFonts w:eastAsia="Yu Mincho"/>
                <w:bCs/>
                <w:szCs w:val="22"/>
                <w:lang w:eastAsia="sv-SE"/>
              </w:rPr>
              <w:t xml:space="preserve"> in the </w:t>
            </w:r>
            <w:r w:rsidR="00DB6B82" w:rsidRPr="00FA0D37">
              <w:rPr>
                <w:rFonts w:eastAsia="Yu Mincho"/>
                <w:bCs/>
                <w:i/>
                <w:szCs w:val="22"/>
                <w:lang w:eastAsia="sv-SE"/>
              </w:rPr>
              <w:t>ServingCellConfig</w:t>
            </w:r>
            <w:r w:rsidR="00DB6B82" w:rsidRPr="00FA0D37">
              <w:rPr>
                <w:rFonts w:eastAsia="Yu Mincho"/>
                <w:bCs/>
                <w:szCs w:val="22"/>
                <w:lang w:eastAsia="sv-SE"/>
              </w:rPr>
              <w:t xml:space="preserve"> in which this IE is included.</w:t>
            </w:r>
          </w:p>
        </w:tc>
      </w:tr>
      <w:tr w:rsidR="00DB6B82" w:rsidRPr="00FA0D37"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FA0D37" w:rsidRDefault="00DB6B82" w:rsidP="00771058">
            <w:pPr>
              <w:pStyle w:val="TAL"/>
              <w:rPr>
                <w:rFonts w:eastAsia="Yu Mincho"/>
                <w:b/>
                <w:bCs/>
                <w:i/>
                <w:szCs w:val="22"/>
                <w:lang w:eastAsia="sv-SE"/>
              </w:rPr>
            </w:pPr>
            <w:r w:rsidRPr="00FA0D37">
              <w:rPr>
                <w:rFonts w:eastAsia="Yu Mincho"/>
                <w:b/>
                <w:bCs/>
                <w:i/>
                <w:szCs w:val="22"/>
                <w:lang w:eastAsia="sv-SE"/>
              </w:rPr>
              <w:t>resourceSet</w:t>
            </w:r>
          </w:p>
          <w:p w14:paraId="532C57D3" w14:textId="3BF4D03A" w:rsidR="00DB6B82" w:rsidRPr="00FA0D37" w:rsidRDefault="00DB6B82" w:rsidP="00771058">
            <w:pPr>
              <w:pStyle w:val="TAL"/>
              <w:rPr>
                <w:rFonts w:eastAsia="Yu Mincho"/>
                <w:bCs/>
                <w:szCs w:val="22"/>
                <w:lang w:eastAsia="sv-SE"/>
              </w:rPr>
            </w:pPr>
            <w:r w:rsidRPr="00FA0D37">
              <w:rPr>
                <w:rFonts w:eastAsia="Yu Mincho"/>
                <w:bCs/>
                <w:i/>
                <w:szCs w:val="22"/>
                <w:lang w:eastAsia="sv-SE"/>
              </w:rPr>
              <w:t>nzp-CSI-ResourceSetId</w:t>
            </w:r>
            <w:r w:rsidRPr="00FA0D37">
              <w:rPr>
                <w:rFonts w:eastAsia="Yu Mincho"/>
                <w:bCs/>
                <w:szCs w:val="22"/>
                <w:lang w:eastAsia="sv-SE"/>
              </w:rPr>
              <w:t xml:space="preserve"> of the </w:t>
            </w:r>
            <w:r w:rsidRPr="00FA0D37">
              <w:rPr>
                <w:rFonts w:eastAsia="Yu Mincho"/>
                <w:bCs/>
                <w:i/>
                <w:szCs w:val="22"/>
                <w:lang w:eastAsia="sv-SE"/>
              </w:rPr>
              <w:t>NZP-CSI-RS-ResourceSet</w:t>
            </w:r>
            <w:r w:rsidRPr="00FA0D37">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FA0D37">
              <w:rPr>
                <w:rFonts w:eastAsia="Yu Mincho"/>
                <w:bCs/>
                <w:szCs w:val="22"/>
                <w:lang w:eastAsia="sv-SE"/>
              </w:rPr>
              <w:t>5.1.6.1.1.1</w:t>
            </w:r>
            <w:r w:rsidRPr="00FA0D37">
              <w:rPr>
                <w:rFonts w:eastAsia="Yu Mincho"/>
                <w:bCs/>
                <w:szCs w:val="22"/>
                <w:lang w:eastAsia="sv-SE"/>
              </w:rPr>
              <w:t>). The CSI-RS associated with this NZP-CSI-RS-ResourceSet are located in the BWP addressed by firstActiveDownlinkBWP-Id.</w:t>
            </w:r>
          </w:p>
        </w:tc>
      </w:tr>
    </w:tbl>
    <w:p w14:paraId="0664E2FC" w14:textId="77777777" w:rsidR="00DB6B82" w:rsidRPr="00FA0D37" w:rsidRDefault="00DB6B82" w:rsidP="00DB6B82"/>
    <w:p w14:paraId="67649405" w14:textId="77777777" w:rsidR="00DB6B82" w:rsidRPr="00FA0D37" w:rsidRDefault="00DB6B82" w:rsidP="00DB6B82">
      <w:pPr>
        <w:pStyle w:val="4"/>
        <w:rPr>
          <w:i/>
        </w:rPr>
      </w:pPr>
      <w:bookmarkStart w:id="1349" w:name="_Toc146781447"/>
      <w:r w:rsidRPr="00FA0D37">
        <w:t>–</w:t>
      </w:r>
      <w:r w:rsidRPr="00FA0D37">
        <w:tab/>
      </w:r>
      <w:r w:rsidRPr="00FA0D37">
        <w:rPr>
          <w:i/>
        </w:rPr>
        <w:t>SCellActivationRS-ConfigId</w:t>
      </w:r>
      <w:bookmarkEnd w:id="1349"/>
    </w:p>
    <w:p w14:paraId="188F5FAE" w14:textId="77777777" w:rsidR="00DB6B82" w:rsidRPr="00FA0D37" w:rsidRDefault="00DB6B82" w:rsidP="00DB6B82">
      <w:r w:rsidRPr="00FA0D37">
        <w:t xml:space="preserve">The IE </w:t>
      </w:r>
      <w:r w:rsidRPr="00FA0D37">
        <w:rPr>
          <w:i/>
        </w:rPr>
        <w:t>SCellActivationRS-ConfigId</w:t>
      </w:r>
      <w:r w:rsidRPr="00FA0D37">
        <w:t xml:space="preserve"> is used to identify one </w:t>
      </w:r>
      <w:r w:rsidRPr="00FA0D37">
        <w:rPr>
          <w:i/>
        </w:rPr>
        <w:t>SCellActivationRS-Config</w:t>
      </w:r>
      <w:r w:rsidRPr="00FA0D37">
        <w:t>.</w:t>
      </w:r>
    </w:p>
    <w:p w14:paraId="4F566436" w14:textId="77777777" w:rsidR="00DB6B82" w:rsidRPr="00FA0D37" w:rsidRDefault="00DB6B82" w:rsidP="00DB6B82">
      <w:pPr>
        <w:pStyle w:val="TH"/>
      </w:pPr>
      <w:r w:rsidRPr="00FA0D37">
        <w:rPr>
          <w:bCs/>
          <w:i/>
          <w:iCs/>
        </w:rPr>
        <w:lastRenderedPageBreak/>
        <w:t xml:space="preserve">SCellActivationRS-ConfigId </w:t>
      </w:r>
      <w:r w:rsidRPr="00FA0D37">
        <w:t>information element</w:t>
      </w:r>
    </w:p>
    <w:p w14:paraId="404F48D4" w14:textId="77777777" w:rsidR="00DB6B82" w:rsidRPr="00FA0D37" w:rsidRDefault="00DB6B82" w:rsidP="00FA0D37">
      <w:pPr>
        <w:pStyle w:val="PL"/>
        <w:rPr>
          <w:color w:val="808080"/>
        </w:rPr>
      </w:pPr>
      <w:r w:rsidRPr="00FA0D37">
        <w:rPr>
          <w:color w:val="808080"/>
        </w:rPr>
        <w:t>-- ASN1START</w:t>
      </w:r>
    </w:p>
    <w:p w14:paraId="3CA9C55B" w14:textId="77777777" w:rsidR="00DB6B82" w:rsidRPr="00FA0D37" w:rsidRDefault="00DB6B82" w:rsidP="00FA0D37">
      <w:pPr>
        <w:pStyle w:val="PL"/>
        <w:rPr>
          <w:color w:val="808080"/>
        </w:rPr>
      </w:pPr>
      <w:r w:rsidRPr="00FA0D37">
        <w:rPr>
          <w:color w:val="808080"/>
        </w:rPr>
        <w:t>-- TAG-SCELLACTIVATIONRS-CONFIGID-START</w:t>
      </w:r>
    </w:p>
    <w:p w14:paraId="580513D1" w14:textId="77777777" w:rsidR="00DB6B82" w:rsidRPr="00FA0D37" w:rsidRDefault="00DB6B82" w:rsidP="00FA0D37">
      <w:pPr>
        <w:pStyle w:val="PL"/>
      </w:pPr>
    </w:p>
    <w:p w14:paraId="55D61802" w14:textId="77777777" w:rsidR="00DB6B82" w:rsidRPr="00FA0D37" w:rsidRDefault="00DB6B82" w:rsidP="00FA0D37">
      <w:pPr>
        <w:pStyle w:val="PL"/>
      </w:pPr>
      <w:r w:rsidRPr="00FA0D37">
        <w:t xml:space="preserve">SCellActivationRS-ConfigId-r17 ::=        </w:t>
      </w:r>
      <w:r w:rsidRPr="00FA0D37">
        <w:rPr>
          <w:color w:val="993366"/>
        </w:rPr>
        <w:t>INTEGER</w:t>
      </w:r>
      <w:r w:rsidRPr="00FA0D37">
        <w:t xml:space="preserve"> (1.. maxNrofSCellActRS-r17)</w:t>
      </w:r>
    </w:p>
    <w:p w14:paraId="1163F1D3" w14:textId="77777777" w:rsidR="00DB6B82" w:rsidRPr="00FA0D37" w:rsidRDefault="00DB6B82" w:rsidP="00FA0D37">
      <w:pPr>
        <w:pStyle w:val="PL"/>
      </w:pPr>
    </w:p>
    <w:p w14:paraId="4240F11C" w14:textId="77777777" w:rsidR="00DB6B82" w:rsidRPr="00FA0D37" w:rsidRDefault="00DB6B82" w:rsidP="00FA0D37">
      <w:pPr>
        <w:pStyle w:val="PL"/>
        <w:rPr>
          <w:color w:val="808080"/>
        </w:rPr>
      </w:pPr>
      <w:r w:rsidRPr="00FA0D37">
        <w:rPr>
          <w:color w:val="808080"/>
        </w:rPr>
        <w:t>-- TAG-SCELLACTIVATIONRS-CONFIGID-STOP</w:t>
      </w:r>
    </w:p>
    <w:p w14:paraId="506EA79F" w14:textId="77777777" w:rsidR="00DB6B82" w:rsidRPr="00FA0D37" w:rsidRDefault="00DB6B82" w:rsidP="00FA0D37">
      <w:pPr>
        <w:pStyle w:val="PL"/>
        <w:rPr>
          <w:color w:val="808080"/>
        </w:rPr>
      </w:pPr>
      <w:r w:rsidRPr="00FA0D37">
        <w:rPr>
          <w:color w:val="808080"/>
        </w:rPr>
        <w:t>-- ASN1STOP</w:t>
      </w:r>
    </w:p>
    <w:p w14:paraId="535D8CD2" w14:textId="77777777" w:rsidR="00DB6B82" w:rsidRPr="00FA0D37" w:rsidRDefault="00DB6B82" w:rsidP="00394471"/>
    <w:p w14:paraId="2E99F8FC" w14:textId="77777777" w:rsidR="00394471" w:rsidRPr="00FA0D37" w:rsidRDefault="00394471" w:rsidP="00394471">
      <w:pPr>
        <w:pStyle w:val="4"/>
        <w:rPr>
          <w:i/>
          <w:noProof/>
        </w:rPr>
      </w:pPr>
      <w:bookmarkStart w:id="1350" w:name="_Toc60777364"/>
      <w:bookmarkStart w:id="1351" w:name="_Toc146781448"/>
      <w:r w:rsidRPr="00FA0D37">
        <w:t>–</w:t>
      </w:r>
      <w:r w:rsidRPr="00FA0D37">
        <w:tab/>
      </w:r>
      <w:r w:rsidRPr="00FA0D37">
        <w:rPr>
          <w:i/>
        </w:rPr>
        <w:t>S</w:t>
      </w:r>
      <w:r w:rsidRPr="00FA0D37">
        <w:rPr>
          <w:i/>
          <w:noProof/>
        </w:rPr>
        <w:t>CellIndex</w:t>
      </w:r>
      <w:bookmarkEnd w:id="1350"/>
      <w:bookmarkEnd w:id="1351"/>
    </w:p>
    <w:p w14:paraId="63F1AE7E" w14:textId="22EBDEB8" w:rsidR="00394471" w:rsidRPr="00FA0D37" w:rsidRDefault="00394471" w:rsidP="00394471">
      <w:r w:rsidRPr="00FA0D37">
        <w:t xml:space="preserve">The IE </w:t>
      </w:r>
      <w:r w:rsidRPr="00FA0D37">
        <w:rPr>
          <w:i/>
        </w:rPr>
        <w:t>SCellIndex</w:t>
      </w:r>
      <w:r w:rsidRPr="00FA0D37">
        <w:t xml:space="preserve"> concerns a short identity, used to identify an SCell. The value range is shared across the Cell Groups.</w:t>
      </w:r>
    </w:p>
    <w:p w14:paraId="49BFF489" w14:textId="77777777" w:rsidR="00394471" w:rsidRPr="00FA0D37" w:rsidRDefault="00394471" w:rsidP="00394471">
      <w:pPr>
        <w:pStyle w:val="TH"/>
      </w:pPr>
      <w:r w:rsidRPr="00FA0D37">
        <w:rPr>
          <w:bCs/>
          <w:i/>
          <w:iCs/>
        </w:rPr>
        <w:t xml:space="preserve">SCellIndex </w:t>
      </w:r>
      <w:r w:rsidRPr="00FA0D37">
        <w:t>information element</w:t>
      </w:r>
    </w:p>
    <w:p w14:paraId="641500A9" w14:textId="77777777" w:rsidR="00394471" w:rsidRPr="00FA0D37" w:rsidRDefault="00394471" w:rsidP="00FA0D37">
      <w:pPr>
        <w:pStyle w:val="PL"/>
        <w:rPr>
          <w:color w:val="808080"/>
        </w:rPr>
      </w:pPr>
      <w:r w:rsidRPr="00FA0D37">
        <w:rPr>
          <w:color w:val="808080"/>
        </w:rPr>
        <w:t>-- ASN1START</w:t>
      </w:r>
    </w:p>
    <w:p w14:paraId="14C74BE2" w14:textId="77777777" w:rsidR="00394471" w:rsidRPr="00FA0D37" w:rsidRDefault="00394471" w:rsidP="00FA0D37">
      <w:pPr>
        <w:pStyle w:val="PL"/>
        <w:rPr>
          <w:color w:val="808080"/>
        </w:rPr>
      </w:pPr>
      <w:r w:rsidRPr="00FA0D37">
        <w:rPr>
          <w:color w:val="808080"/>
        </w:rPr>
        <w:t>-- TAG-SCELLINDEX-START</w:t>
      </w:r>
    </w:p>
    <w:p w14:paraId="3CB6D393" w14:textId="77777777" w:rsidR="00394471" w:rsidRPr="00FA0D37" w:rsidRDefault="00394471" w:rsidP="00FA0D37">
      <w:pPr>
        <w:pStyle w:val="PL"/>
      </w:pPr>
    </w:p>
    <w:p w14:paraId="4CDF8A44" w14:textId="77777777" w:rsidR="00394471" w:rsidRPr="00FA0D37" w:rsidRDefault="00394471" w:rsidP="00FA0D37">
      <w:pPr>
        <w:pStyle w:val="PL"/>
      </w:pPr>
      <w:r w:rsidRPr="00FA0D37">
        <w:t xml:space="preserve">SCellIndex ::=                      </w:t>
      </w:r>
      <w:r w:rsidRPr="00FA0D37">
        <w:rPr>
          <w:color w:val="993366"/>
        </w:rPr>
        <w:t>INTEGER</w:t>
      </w:r>
      <w:r w:rsidRPr="00FA0D37">
        <w:t xml:space="preserve"> (1..31)</w:t>
      </w:r>
    </w:p>
    <w:p w14:paraId="36C820B4" w14:textId="77777777" w:rsidR="00394471" w:rsidRPr="00FA0D37" w:rsidRDefault="00394471" w:rsidP="00FA0D37">
      <w:pPr>
        <w:pStyle w:val="PL"/>
      </w:pPr>
    </w:p>
    <w:p w14:paraId="369B769A" w14:textId="77777777" w:rsidR="00394471" w:rsidRPr="00FA0D37" w:rsidRDefault="00394471" w:rsidP="00FA0D37">
      <w:pPr>
        <w:pStyle w:val="PL"/>
        <w:rPr>
          <w:color w:val="808080"/>
        </w:rPr>
      </w:pPr>
      <w:r w:rsidRPr="00FA0D37">
        <w:rPr>
          <w:color w:val="808080"/>
        </w:rPr>
        <w:t>-- TAG-SCELLINDEX-STOP</w:t>
      </w:r>
    </w:p>
    <w:p w14:paraId="0521CA4A" w14:textId="77777777" w:rsidR="00394471" w:rsidRPr="00FA0D37" w:rsidRDefault="00394471" w:rsidP="00FA0D37">
      <w:pPr>
        <w:pStyle w:val="PL"/>
        <w:rPr>
          <w:color w:val="808080"/>
        </w:rPr>
      </w:pPr>
      <w:r w:rsidRPr="00FA0D37">
        <w:rPr>
          <w:color w:val="808080"/>
        </w:rPr>
        <w:t>-- ASN1STOP</w:t>
      </w:r>
    </w:p>
    <w:p w14:paraId="7C5A3246" w14:textId="77777777" w:rsidR="00394471" w:rsidRPr="00FA0D37" w:rsidRDefault="00394471" w:rsidP="00394471"/>
    <w:p w14:paraId="2B47ACE1" w14:textId="77777777" w:rsidR="00394471" w:rsidRPr="00FA0D37" w:rsidRDefault="00394471" w:rsidP="00394471">
      <w:pPr>
        <w:pStyle w:val="4"/>
        <w:rPr>
          <w:rFonts w:eastAsia="宋体"/>
        </w:rPr>
      </w:pPr>
      <w:bookmarkStart w:id="1352" w:name="_Toc60777365"/>
      <w:bookmarkStart w:id="1353" w:name="_Toc146781449"/>
      <w:r w:rsidRPr="00FA0D37">
        <w:rPr>
          <w:rFonts w:eastAsia="宋体"/>
        </w:rPr>
        <w:t>–</w:t>
      </w:r>
      <w:r w:rsidRPr="00FA0D37">
        <w:rPr>
          <w:rFonts w:eastAsia="宋体"/>
        </w:rPr>
        <w:tab/>
      </w:r>
      <w:r w:rsidRPr="00FA0D37">
        <w:rPr>
          <w:rFonts w:eastAsia="宋体"/>
          <w:i/>
        </w:rPr>
        <w:t>SchedulingRequestConfig</w:t>
      </w:r>
      <w:bookmarkEnd w:id="1352"/>
      <w:bookmarkEnd w:id="1353"/>
    </w:p>
    <w:p w14:paraId="77BFFA8B" w14:textId="77777777" w:rsidR="00394471" w:rsidRPr="00FA0D37" w:rsidRDefault="00394471" w:rsidP="00394471">
      <w:pPr>
        <w:rPr>
          <w:rFonts w:eastAsia="宋体"/>
          <w:lang w:eastAsia="zh-CN"/>
        </w:rPr>
      </w:pPr>
      <w:r w:rsidRPr="00FA0D37">
        <w:rPr>
          <w:rFonts w:eastAsia="宋体"/>
          <w:lang w:eastAsia="zh-CN"/>
        </w:rPr>
        <w:t xml:space="preserve">The IE </w:t>
      </w:r>
      <w:r w:rsidRPr="00FA0D37">
        <w:rPr>
          <w:rFonts w:eastAsia="宋体"/>
          <w:i/>
          <w:lang w:eastAsia="zh-CN"/>
        </w:rPr>
        <w:t>SchedulingRequestConfig</w:t>
      </w:r>
      <w:r w:rsidRPr="00FA0D37">
        <w:rPr>
          <w:rFonts w:eastAsia="宋体"/>
          <w:lang w:eastAsia="zh-CN"/>
        </w:rPr>
        <w:t xml:space="preserve"> is used to configure the parameters, for the dedicated scheduling request (SR) resources.</w:t>
      </w:r>
    </w:p>
    <w:p w14:paraId="1AFB994A" w14:textId="77777777" w:rsidR="00394471" w:rsidRPr="00FA0D37" w:rsidRDefault="00394471" w:rsidP="00394471">
      <w:pPr>
        <w:pStyle w:val="TH"/>
        <w:rPr>
          <w:lang w:eastAsia="zh-CN"/>
        </w:rPr>
      </w:pPr>
      <w:r w:rsidRPr="00FA0D37">
        <w:rPr>
          <w:i/>
          <w:lang w:eastAsia="zh-CN"/>
        </w:rPr>
        <w:t xml:space="preserve">SchedulingRequestConfig </w:t>
      </w:r>
      <w:r w:rsidRPr="00FA0D37">
        <w:rPr>
          <w:lang w:eastAsia="zh-CN"/>
        </w:rPr>
        <w:t>information element</w:t>
      </w:r>
    </w:p>
    <w:p w14:paraId="413469D9" w14:textId="77777777" w:rsidR="00394471" w:rsidRPr="00FA0D37" w:rsidRDefault="00394471" w:rsidP="00FA0D37">
      <w:pPr>
        <w:pStyle w:val="PL"/>
        <w:rPr>
          <w:color w:val="808080"/>
        </w:rPr>
      </w:pPr>
      <w:r w:rsidRPr="00FA0D37">
        <w:rPr>
          <w:color w:val="808080"/>
        </w:rPr>
        <w:t>-- ASN1START</w:t>
      </w:r>
    </w:p>
    <w:p w14:paraId="12CD8BFE" w14:textId="77777777" w:rsidR="00394471" w:rsidRPr="00FA0D37" w:rsidRDefault="00394471" w:rsidP="00FA0D37">
      <w:pPr>
        <w:pStyle w:val="PL"/>
        <w:rPr>
          <w:color w:val="808080"/>
        </w:rPr>
      </w:pPr>
      <w:r w:rsidRPr="00FA0D37">
        <w:rPr>
          <w:color w:val="808080"/>
        </w:rPr>
        <w:t>-- TAG-SCHEDULINGREQUESTCONFIG-START</w:t>
      </w:r>
    </w:p>
    <w:p w14:paraId="728040CC" w14:textId="77777777" w:rsidR="00394471" w:rsidRPr="00FA0D37" w:rsidRDefault="00394471" w:rsidP="00FA0D37">
      <w:pPr>
        <w:pStyle w:val="PL"/>
      </w:pPr>
    </w:p>
    <w:p w14:paraId="3D42D4C9" w14:textId="77777777" w:rsidR="00394471" w:rsidRPr="00FA0D37" w:rsidRDefault="00394471" w:rsidP="00FA0D37">
      <w:pPr>
        <w:pStyle w:val="PL"/>
      </w:pPr>
      <w:r w:rsidRPr="00FA0D37">
        <w:t xml:space="preserve">SchedulingRequestConfig ::=         </w:t>
      </w:r>
      <w:r w:rsidRPr="00FA0D37">
        <w:rPr>
          <w:color w:val="993366"/>
        </w:rPr>
        <w:t>SEQUENCE</w:t>
      </w:r>
      <w:r w:rsidRPr="00FA0D37">
        <w:t xml:space="preserve"> {</w:t>
      </w:r>
    </w:p>
    <w:p w14:paraId="47E9F477" w14:textId="77777777" w:rsidR="00394471" w:rsidRPr="00FA0D37" w:rsidRDefault="00394471" w:rsidP="00FA0D37">
      <w:pPr>
        <w:pStyle w:val="PL"/>
      </w:pPr>
      <w:r w:rsidRPr="00FA0D37">
        <w:t xml:space="preserve">    schedulingRequestToAddModList       </w:t>
      </w:r>
      <w:r w:rsidRPr="00FA0D37">
        <w:rPr>
          <w:color w:val="993366"/>
        </w:rPr>
        <w:t>SEQUENCE</w:t>
      </w:r>
      <w:r w:rsidRPr="00FA0D37">
        <w:t xml:space="preserve"> (</w:t>
      </w:r>
      <w:r w:rsidRPr="00FA0D37">
        <w:rPr>
          <w:color w:val="993366"/>
        </w:rPr>
        <w:t>SIZE</w:t>
      </w:r>
      <w:r w:rsidRPr="00FA0D37">
        <w:t xml:space="preserve"> (1..maxNrofSR-ConfigPerCellGroup))</w:t>
      </w:r>
      <w:r w:rsidRPr="00FA0D37">
        <w:rPr>
          <w:color w:val="993366"/>
        </w:rPr>
        <w:t xml:space="preserve"> OF</w:t>
      </w:r>
      <w:r w:rsidRPr="00FA0D37">
        <w:t xml:space="preserve"> SchedulingRequestToAddMod</w:t>
      </w:r>
    </w:p>
    <w:p w14:paraId="75546413"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41902DDB" w14:textId="77777777" w:rsidR="00394471" w:rsidRPr="00FA0D37" w:rsidRDefault="00394471" w:rsidP="00FA0D37">
      <w:pPr>
        <w:pStyle w:val="PL"/>
      </w:pPr>
      <w:r w:rsidRPr="00FA0D37">
        <w:t xml:space="preserve">    schedulingRequestToReleaseList      </w:t>
      </w:r>
      <w:r w:rsidRPr="00FA0D37">
        <w:rPr>
          <w:color w:val="993366"/>
        </w:rPr>
        <w:t>SEQUENCE</w:t>
      </w:r>
      <w:r w:rsidRPr="00FA0D37">
        <w:t xml:space="preserve"> (</w:t>
      </w:r>
      <w:r w:rsidRPr="00FA0D37">
        <w:rPr>
          <w:color w:val="993366"/>
        </w:rPr>
        <w:t>SIZE</w:t>
      </w:r>
      <w:r w:rsidRPr="00FA0D37">
        <w:t xml:space="preserve"> (1..maxNrofSR-ConfigPerCellGroup))</w:t>
      </w:r>
      <w:r w:rsidRPr="00FA0D37">
        <w:rPr>
          <w:color w:val="993366"/>
        </w:rPr>
        <w:t xml:space="preserve"> OF</w:t>
      </w:r>
      <w:r w:rsidRPr="00FA0D37">
        <w:t xml:space="preserve"> SchedulingRequestId</w:t>
      </w:r>
    </w:p>
    <w:p w14:paraId="533BF543"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3E3CE8DA" w14:textId="77777777" w:rsidR="00394471" w:rsidRPr="00FA0D37" w:rsidRDefault="00394471" w:rsidP="00FA0D37">
      <w:pPr>
        <w:pStyle w:val="PL"/>
      </w:pPr>
      <w:r w:rsidRPr="00FA0D37">
        <w:t>}</w:t>
      </w:r>
    </w:p>
    <w:p w14:paraId="41BDC10C" w14:textId="77777777" w:rsidR="00394471" w:rsidRPr="00FA0D37" w:rsidRDefault="00394471" w:rsidP="00FA0D37">
      <w:pPr>
        <w:pStyle w:val="PL"/>
      </w:pPr>
    </w:p>
    <w:p w14:paraId="27A3B8A3" w14:textId="77777777" w:rsidR="00394471" w:rsidRPr="00FA0D37" w:rsidRDefault="00394471" w:rsidP="00FA0D37">
      <w:pPr>
        <w:pStyle w:val="PL"/>
      </w:pPr>
      <w:r w:rsidRPr="00FA0D37">
        <w:t xml:space="preserve">SchedulingRequestToAddMod ::=       </w:t>
      </w:r>
      <w:r w:rsidRPr="00FA0D37">
        <w:rPr>
          <w:color w:val="993366"/>
        </w:rPr>
        <w:t>SEQUENCE</w:t>
      </w:r>
      <w:r w:rsidRPr="00FA0D37">
        <w:t xml:space="preserve"> {</w:t>
      </w:r>
    </w:p>
    <w:p w14:paraId="4EEEFF6F" w14:textId="77777777" w:rsidR="00394471" w:rsidRPr="00FA0D37" w:rsidRDefault="00394471" w:rsidP="00FA0D37">
      <w:pPr>
        <w:pStyle w:val="PL"/>
      </w:pPr>
      <w:r w:rsidRPr="00FA0D37">
        <w:t xml:space="preserve">    schedulingRequestId                 SchedulingRequestId,</w:t>
      </w:r>
    </w:p>
    <w:p w14:paraId="41CA2455" w14:textId="77777777" w:rsidR="00394471" w:rsidRPr="00FA0D37" w:rsidRDefault="00394471" w:rsidP="00FA0D37">
      <w:pPr>
        <w:pStyle w:val="PL"/>
        <w:rPr>
          <w:color w:val="808080"/>
        </w:rPr>
      </w:pPr>
      <w:r w:rsidRPr="00FA0D37">
        <w:t xml:space="preserve">    sr-ProhibitTimer                    </w:t>
      </w:r>
      <w:r w:rsidRPr="00FA0D37">
        <w:rPr>
          <w:color w:val="993366"/>
        </w:rPr>
        <w:t>ENUMERATED</w:t>
      </w:r>
      <w:r w:rsidRPr="00FA0D37">
        <w:t xml:space="preserve"> {ms1, ms2, ms4, ms8, ms16, ms32, ms64, ms128}          </w:t>
      </w:r>
      <w:r w:rsidRPr="00FA0D37">
        <w:rPr>
          <w:color w:val="993366"/>
        </w:rPr>
        <w:t>OPTIONAL</w:t>
      </w:r>
      <w:r w:rsidRPr="00FA0D37">
        <w:t xml:space="preserve">, </w:t>
      </w:r>
      <w:r w:rsidRPr="00FA0D37">
        <w:rPr>
          <w:color w:val="808080"/>
        </w:rPr>
        <w:t>-- Need S</w:t>
      </w:r>
    </w:p>
    <w:p w14:paraId="02E0B703" w14:textId="77777777" w:rsidR="00394471" w:rsidRPr="00FA0D37" w:rsidRDefault="00394471" w:rsidP="00FA0D37">
      <w:pPr>
        <w:pStyle w:val="PL"/>
      </w:pPr>
      <w:r w:rsidRPr="00FA0D37">
        <w:t xml:space="preserve">    sr-TransMax                         </w:t>
      </w:r>
      <w:r w:rsidRPr="00FA0D37">
        <w:rPr>
          <w:color w:val="993366"/>
        </w:rPr>
        <w:t>ENUMERATED</w:t>
      </w:r>
      <w:r w:rsidRPr="00FA0D37">
        <w:t xml:space="preserve"> { n4, n8, n16, n32, n64, spare3, spare2, spare1}</w:t>
      </w:r>
    </w:p>
    <w:p w14:paraId="01D9914F" w14:textId="77777777" w:rsidR="00394471" w:rsidRPr="00FA0D37" w:rsidRDefault="00394471" w:rsidP="00FA0D37">
      <w:pPr>
        <w:pStyle w:val="PL"/>
      </w:pPr>
      <w:r w:rsidRPr="00FA0D37">
        <w:t>}</w:t>
      </w:r>
    </w:p>
    <w:p w14:paraId="12A8456B" w14:textId="77777777" w:rsidR="00394471" w:rsidRPr="00FA0D37" w:rsidRDefault="00394471" w:rsidP="00FA0D37">
      <w:pPr>
        <w:pStyle w:val="PL"/>
      </w:pPr>
    </w:p>
    <w:p w14:paraId="7B89EB47" w14:textId="50194D62" w:rsidR="005B7637" w:rsidRPr="00FA0D37" w:rsidRDefault="005B7637" w:rsidP="00FA0D37">
      <w:pPr>
        <w:pStyle w:val="PL"/>
      </w:pPr>
      <w:r w:rsidRPr="00FA0D37">
        <w:lastRenderedPageBreak/>
        <w:t xml:space="preserve">SchedulingRequestConfig-v1700 ::=       </w:t>
      </w:r>
      <w:r w:rsidRPr="00FA0D37">
        <w:rPr>
          <w:color w:val="993366"/>
        </w:rPr>
        <w:t>SEQUENCE</w:t>
      </w:r>
      <w:r w:rsidRPr="00FA0D37">
        <w:t xml:space="preserve"> {</w:t>
      </w:r>
    </w:p>
    <w:p w14:paraId="7513EE89" w14:textId="53D22160" w:rsidR="005B7637" w:rsidRPr="00FA0D37" w:rsidRDefault="005B7637" w:rsidP="00FA0D37">
      <w:pPr>
        <w:pStyle w:val="PL"/>
      </w:pPr>
      <w:r w:rsidRPr="00FA0D37">
        <w:t xml:space="preserve">    schedulingRequestToAddModListExt-v1700  </w:t>
      </w:r>
      <w:r w:rsidRPr="00FA0D37">
        <w:rPr>
          <w:color w:val="993366"/>
        </w:rPr>
        <w:t>SEQUENCE</w:t>
      </w:r>
      <w:r w:rsidRPr="00FA0D37">
        <w:t xml:space="preserve"> (</w:t>
      </w:r>
      <w:r w:rsidRPr="00FA0D37">
        <w:rPr>
          <w:color w:val="993366"/>
        </w:rPr>
        <w:t>SIZE</w:t>
      </w:r>
      <w:r w:rsidRPr="00FA0D37">
        <w:t xml:space="preserve"> (1..maxNrofSR-ConfigPerCellGroup))</w:t>
      </w:r>
      <w:r w:rsidRPr="00FA0D37">
        <w:rPr>
          <w:color w:val="993366"/>
        </w:rPr>
        <w:t xml:space="preserve"> OF</w:t>
      </w:r>
      <w:r w:rsidRPr="00FA0D37">
        <w:t xml:space="preserve"> SchedulingRequestToAddModExt-v1700</w:t>
      </w:r>
    </w:p>
    <w:p w14:paraId="18B305C4" w14:textId="53C4DC62" w:rsidR="005B7637" w:rsidRPr="00FA0D37" w:rsidRDefault="005B7637"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26F0FDC1" w14:textId="77777777" w:rsidR="005B7637" w:rsidRPr="00FA0D37" w:rsidRDefault="005B7637" w:rsidP="00FA0D37">
      <w:pPr>
        <w:pStyle w:val="PL"/>
      </w:pPr>
      <w:r w:rsidRPr="00FA0D37">
        <w:t>}</w:t>
      </w:r>
    </w:p>
    <w:p w14:paraId="0643AEE2" w14:textId="77777777" w:rsidR="005B7637" w:rsidRPr="00FA0D37" w:rsidRDefault="005B7637" w:rsidP="00FA0D37">
      <w:pPr>
        <w:pStyle w:val="PL"/>
      </w:pPr>
    </w:p>
    <w:p w14:paraId="6D98B870" w14:textId="26D1F3D0" w:rsidR="005B7637" w:rsidRPr="00FA0D37" w:rsidRDefault="005B7637" w:rsidP="00FA0D37">
      <w:pPr>
        <w:pStyle w:val="PL"/>
      </w:pPr>
      <w:bookmarkStart w:id="1354" w:name="_Hlk94000517"/>
      <w:r w:rsidRPr="00FA0D37">
        <w:t xml:space="preserve">SchedulingRequestToAddModExt-v1700 ::=  </w:t>
      </w:r>
      <w:r w:rsidRPr="00FA0D37">
        <w:rPr>
          <w:color w:val="993366"/>
        </w:rPr>
        <w:t>SEQUENCE</w:t>
      </w:r>
      <w:r w:rsidRPr="00FA0D37">
        <w:t xml:space="preserve"> {</w:t>
      </w:r>
    </w:p>
    <w:p w14:paraId="51427068" w14:textId="22D66A62" w:rsidR="005B7637" w:rsidRPr="00FA0D37" w:rsidRDefault="005B7637" w:rsidP="00FA0D37">
      <w:pPr>
        <w:pStyle w:val="PL"/>
      </w:pPr>
      <w:r w:rsidRPr="00FA0D37">
        <w:t xml:space="preserve">    sr-ProhibitTimer-</w:t>
      </w:r>
      <w:r w:rsidR="00D4596A" w:rsidRPr="00FA0D37">
        <w:t>v</w:t>
      </w:r>
      <w:r w:rsidRPr="00FA0D37">
        <w:t>17</w:t>
      </w:r>
      <w:r w:rsidR="00D4596A" w:rsidRPr="00FA0D37">
        <w:t>00</w:t>
      </w:r>
      <w:r w:rsidRPr="00FA0D37">
        <w:t xml:space="preserve">                 </w:t>
      </w:r>
      <w:r w:rsidR="00D4596A" w:rsidRPr="00FA0D37">
        <w:t xml:space="preserve"> </w:t>
      </w:r>
      <w:r w:rsidRPr="00FA0D37">
        <w:rPr>
          <w:color w:val="993366"/>
        </w:rPr>
        <w:t>ENUMERATED</w:t>
      </w:r>
      <w:r w:rsidRPr="00FA0D37">
        <w:t xml:space="preserve"> { ms192, ms256, ms320, ms384, ms448, ms512, ms576, ms640, ms1082</w:t>
      </w:r>
      <w:r w:rsidR="004F1B8A" w:rsidRPr="00FA0D37">
        <w:t>,</w:t>
      </w:r>
      <w:r w:rsidRPr="00FA0D37" w:rsidDel="00382BBF">
        <w:t xml:space="preserve"> </w:t>
      </w:r>
      <w:r w:rsidR="00D4596A" w:rsidRPr="00FA0D37">
        <w:t xml:space="preserve">spare7, spare6, spare5, spare4, spare3, </w:t>
      </w:r>
      <w:r w:rsidRPr="00FA0D37">
        <w:t>spare</w:t>
      </w:r>
      <w:r w:rsidR="00CF303E" w:rsidRPr="00FA0D37">
        <w:t>2</w:t>
      </w:r>
      <w:r w:rsidRPr="00FA0D37">
        <w:t>, spare</w:t>
      </w:r>
      <w:r w:rsidR="00CF303E" w:rsidRPr="00FA0D37">
        <w:t>1</w:t>
      </w:r>
      <w:r w:rsidRPr="00FA0D37">
        <w:t>}</w:t>
      </w:r>
    </w:p>
    <w:p w14:paraId="16E8A490" w14:textId="16BBF08B" w:rsidR="005B7637" w:rsidRPr="00FA0D37" w:rsidRDefault="005B7637" w:rsidP="00FA0D37">
      <w:pPr>
        <w:pStyle w:val="PL"/>
        <w:rPr>
          <w:color w:val="808080"/>
        </w:rPr>
      </w:pPr>
      <w:r w:rsidRPr="00FA0D37">
        <w:t xml:space="preserve">                                                                                                          </w:t>
      </w:r>
      <w:r w:rsidRPr="00FA0D37">
        <w:rPr>
          <w:color w:val="993366"/>
        </w:rPr>
        <w:t>OPTIONAL</w:t>
      </w:r>
      <w:r w:rsidRPr="00FA0D37">
        <w:t xml:space="preserve">  </w:t>
      </w:r>
      <w:r w:rsidRPr="00FA0D37">
        <w:rPr>
          <w:color w:val="808080"/>
        </w:rPr>
        <w:t xml:space="preserve">-- Need </w:t>
      </w:r>
      <w:r w:rsidR="00D4596A" w:rsidRPr="00FA0D37">
        <w:rPr>
          <w:color w:val="808080"/>
        </w:rPr>
        <w:t>R</w:t>
      </w:r>
    </w:p>
    <w:p w14:paraId="75FDF629" w14:textId="77777777" w:rsidR="005B7637" w:rsidRPr="00FA0D37" w:rsidRDefault="005B7637" w:rsidP="00FA0D37">
      <w:pPr>
        <w:pStyle w:val="PL"/>
      </w:pPr>
      <w:r w:rsidRPr="00FA0D37">
        <w:t>}</w:t>
      </w:r>
    </w:p>
    <w:p w14:paraId="73F1DA23" w14:textId="77777777" w:rsidR="005B7637" w:rsidRPr="00FA0D37" w:rsidRDefault="005B7637" w:rsidP="00FA0D37">
      <w:pPr>
        <w:pStyle w:val="PL"/>
      </w:pPr>
    </w:p>
    <w:p w14:paraId="5ED8C1CB" w14:textId="77777777" w:rsidR="00394471" w:rsidRPr="00FA0D37" w:rsidRDefault="00394471" w:rsidP="00FA0D37">
      <w:pPr>
        <w:pStyle w:val="PL"/>
        <w:rPr>
          <w:color w:val="808080"/>
        </w:rPr>
      </w:pPr>
      <w:bookmarkStart w:id="1355" w:name="_Hlk101255930"/>
      <w:bookmarkEnd w:id="1354"/>
      <w:r w:rsidRPr="00FA0D37">
        <w:rPr>
          <w:color w:val="808080"/>
        </w:rPr>
        <w:t>-- TAG-SCHEDULINGREQUESTCONFIG-STOP</w:t>
      </w:r>
    </w:p>
    <w:p w14:paraId="3C8F656F" w14:textId="77777777" w:rsidR="00394471" w:rsidRPr="00FA0D37" w:rsidRDefault="00394471" w:rsidP="00FA0D37">
      <w:pPr>
        <w:pStyle w:val="PL"/>
        <w:rPr>
          <w:color w:val="808080"/>
        </w:rPr>
      </w:pPr>
      <w:r w:rsidRPr="00FA0D37">
        <w:rPr>
          <w:color w:val="808080"/>
        </w:rPr>
        <w:t>-- ASN1STOP</w:t>
      </w:r>
    </w:p>
    <w:bookmarkEnd w:id="1355"/>
    <w:p w14:paraId="6433213F"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FA0D37" w:rsidRDefault="00394471" w:rsidP="00964CC4">
            <w:pPr>
              <w:pStyle w:val="TAH"/>
              <w:rPr>
                <w:rFonts w:eastAsia="宋体"/>
                <w:szCs w:val="22"/>
                <w:lang w:eastAsia="sv-SE"/>
              </w:rPr>
            </w:pPr>
            <w:r w:rsidRPr="00FA0D37">
              <w:rPr>
                <w:rFonts w:eastAsia="宋体"/>
                <w:i/>
                <w:szCs w:val="22"/>
                <w:lang w:eastAsia="sv-SE"/>
              </w:rPr>
              <w:t>SchedulingRequestConfig</w:t>
            </w:r>
            <w:r w:rsidRPr="00FA0D37">
              <w:rPr>
                <w:rFonts w:eastAsia="宋体"/>
                <w:szCs w:val="22"/>
                <w:lang w:eastAsia="sv-SE"/>
              </w:rPr>
              <w:t xml:space="preserve"> field descriptions</w:t>
            </w:r>
          </w:p>
        </w:tc>
      </w:tr>
      <w:tr w:rsidR="005C7FF4" w:rsidRPr="00FA0D37"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FA0D37" w:rsidRDefault="00394471" w:rsidP="00964CC4">
            <w:pPr>
              <w:pStyle w:val="TAL"/>
              <w:rPr>
                <w:b/>
                <w:bCs/>
                <w:i/>
                <w:szCs w:val="22"/>
                <w:lang w:eastAsia="en-GB"/>
              </w:rPr>
            </w:pPr>
            <w:r w:rsidRPr="00FA0D37">
              <w:rPr>
                <w:b/>
                <w:bCs/>
                <w:i/>
                <w:szCs w:val="22"/>
                <w:lang w:eastAsia="en-GB"/>
              </w:rPr>
              <w:t>schedulingRequestToAddModList</w:t>
            </w:r>
            <w:r w:rsidR="00D4596A" w:rsidRPr="00FA0D37">
              <w:rPr>
                <w:b/>
                <w:bCs/>
                <w:i/>
                <w:szCs w:val="22"/>
                <w:lang w:eastAsia="en-GB"/>
              </w:rPr>
              <w:t>, schedulingRequestToAddModListExt</w:t>
            </w:r>
          </w:p>
          <w:p w14:paraId="11A25052" w14:textId="135C1D84" w:rsidR="00394471" w:rsidRPr="00FA0D37" w:rsidRDefault="00394471" w:rsidP="00964CC4">
            <w:pPr>
              <w:pStyle w:val="TAL"/>
              <w:rPr>
                <w:bCs/>
                <w:szCs w:val="22"/>
                <w:lang w:eastAsia="en-GB"/>
              </w:rPr>
            </w:pPr>
            <w:r w:rsidRPr="00FA0D37">
              <w:rPr>
                <w:bCs/>
                <w:szCs w:val="22"/>
                <w:lang w:eastAsia="en-GB"/>
              </w:rPr>
              <w:t>List of Scheduling Request configurations to add or modify.</w:t>
            </w:r>
            <w:r w:rsidR="00D4596A" w:rsidRPr="00FA0D37">
              <w:rPr>
                <w:bCs/>
                <w:szCs w:val="22"/>
                <w:lang w:eastAsia="en-GB"/>
              </w:rPr>
              <w:t xml:space="preserve"> If </w:t>
            </w:r>
            <w:r w:rsidR="00D4596A" w:rsidRPr="00FA0D37">
              <w:rPr>
                <w:i/>
                <w:iCs/>
              </w:rPr>
              <w:t>schedulingRequestToAddModListExt</w:t>
            </w:r>
            <w:r w:rsidR="00D4596A" w:rsidRPr="00FA0D37">
              <w:t xml:space="preserve"> is configured, it contains the same number of entries, and in the same order, as </w:t>
            </w:r>
            <w:r w:rsidR="00D4596A" w:rsidRPr="00FA0D37">
              <w:rPr>
                <w:i/>
                <w:iCs/>
              </w:rPr>
              <w:t>schedulingRequestToAddModList.</w:t>
            </w:r>
          </w:p>
        </w:tc>
      </w:tr>
      <w:tr w:rsidR="00394471" w:rsidRPr="00FA0D37"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FA0D37" w:rsidRDefault="00394471" w:rsidP="00964CC4">
            <w:pPr>
              <w:pStyle w:val="TAL"/>
              <w:rPr>
                <w:rFonts w:eastAsia="Yu Mincho"/>
                <w:b/>
                <w:bCs/>
                <w:i/>
                <w:szCs w:val="22"/>
                <w:lang w:eastAsia="sv-SE"/>
              </w:rPr>
            </w:pPr>
            <w:r w:rsidRPr="00FA0D37">
              <w:rPr>
                <w:rFonts w:eastAsia="Yu Mincho"/>
                <w:b/>
                <w:bCs/>
                <w:i/>
                <w:szCs w:val="22"/>
                <w:lang w:eastAsia="sv-SE"/>
              </w:rPr>
              <w:t>schedulingRequestToReleaseList</w:t>
            </w:r>
          </w:p>
          <w:p w14:paraId="0D567115" w14:textId="77777777" w:rsidR="00394471" w:rsidRPr="00FA0D37" w:rsidRDefault="00394471" w:rsidP="00964CC4">
            <w:pPr>
              <w:pStyle w:val="TAL"/>
              <w:rPr>
                <w:b/>
                <w:bCs/>
                <w:i/>
                <w:szCs w:val="22"/>
                <w:lang w:eastAsia="en-GB"/>
              </w:rPr>
            </w:pPr>
            <w:r w:rsidRPr="00FA0D37">
              <w:rPr>
                <w:bCs/>
                <w:szCs w:val="22"/>
                <w:lang w:eastAsia="en-GB"/>
              </w:rPr>
              <w:t xml:space="preserve">List of Scheduling Request configurations to </w:t>
            </w:r>
            <w:r w:rsidRPr="00FA0D37">
              <w:rPr>
                <w:rFonts w:eastAsia="Yu Mincho"/>
                <w:bCs/>
                <w:szCs w:val="22"/>
                <w:lang w:eastAsia="sv-SE"/>
              </w:rPr>
              <w:t>release.</w:t>
            </w:r>
          </w:p>
        </w:tc>
      </w:tr>
    </w:tbl>
    <w:p w14:paraId="62B6529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FA0D37" w:rsidRDefault="00394471" w:rsidP="00964CC4">
            <w:pPr>
              <w:pStyle w:val="TAH"/>
              <w:rPr>
                <w:szCs w:val="22"/>
                <w:lang w:eastAsia="sv-SE"/>
              </w:rPr>
            </w:pPr>
            <w:r w:rsidRPr="00FA0D37">
              <w:rPr>
                <w:i/>
                <w:szCs w:val="22"/>
                <w:lang w:eastAsia="sv-SE"/>
              </w:rPr>
              <w:t>SchedulingRequestToAddMod</w:t>
            </w:r>
            <w:r w:rsidRPr="00FA0D37">
              <w:rPr>
                <w:szCs w:val="22"/>
                <w:lang w:eastAsia="sv-SE"/>
              </w:rPr>
              <w:t xml:space="preserve"> field descriptions</w:t>
            </w:r>
          </w:p>
        </w:tc>
      </w:tr>
      <w:tr w:rsidR="005C7FF4" w:rsidRPr="00FA0D37"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FA0D37" w:rsidRDefault="00394471" w:rsidP="00964CC4">
            <w:pPr>
              <w:pStyle w:val="TAL"/>
              <w:rPr>
                <w:b/>
                <w:bCs/>
                <w:i/>
                <w:szCs w:val="22"/>
                <w:lang w:eastAsia="en-GB"/>
              </w:rPr>
            </w:pPr>
            <w:r w:rsidRPr="00FA0D37">
              <w:rPr>
                <w:b/>
                <w:bCs/>
                <w:i/>
                <w:szCs w:val="22"/>
                <w:lang w:eastAsia="en-GB"/>
              </w:rPr>
              <w:t>schedulingRequestId</w:t>
            </w:r>
          </w:p>
          <w:p w14:paraId="2A1A7026" w14:textId="77777777" w:rsidR="00394471" w:rsidRPr="00FA0D37" w:rsidRDefault="00394471" w:rsidP="00964CC4">
            <w:pPr>
              <w:pStyle w:val="TAL"/>
              <w:rPr>
                <w:bCs/>
                <w:szCs w:val="22"/>
                <w:lang w:eastAsia="en-GB"/>
              </w:rPr>
            </w:pPr>
            <w:r w:rsidRPr="00FA0D37">
              <w:rPr>
                <w:bCs/>
                <w:szCs w:val="22"/>
                <w:lang w:eastAsia="en-GB"/>
              </w:rPr>
              <w:t xml:space="preserve">Used to modify a SR configuration and to indicate, in </w:t>
            </w:r>
            <w:r w:rsidRPr="00FA0D37">
              <w:rPr>
                <w:i/>
                <w:lang w:eastAsia="sv-SE"/>
              </w:rPr>
              <w:t>LogicalChannelConfig</w:t>
            </w:r>
            <w:r w:rsidRPr="00FA0D37">
              <w:rPr>
                <w:bCs/>
                <w:szCs w:val="22"/>
                <w:lang w:eastAsia="en-GB"/>
              </w:rPr>
              <w:t xml:space="preserve">, the SR configuration to which a logical channel is mapped and to indicate, in </w:t>
            </w:r>
            <w:r w:rsidRPr="00FA0D37">
              <w:rPr>
                <w:bCs/>
                <w:i/>
                <w:szCs w:val="22"/>
                <w:lang w:eastAsia="en-GB"/>
              </w:rPr>
              <w:t>SchedulingRequestresourceConfig</w:t>
            </w:r>
            <w:r w:rsidRPr="00FA0D37">
              <w:rPr>
                <w:bCs/>
                <w:szCs w:val="22"/>
                <w:lang w:eastAsia="en-GB"/>
              </w:rPr>
              <w:t>, the SR configuration for which a scheduling request resource is used.</w:t>
            </w:r>
          </w:p>
        </w:tc>
      </w:tr>
      <w:tr w:rsidR="005C7FF4" w:rsidRPr="00FA0D37"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FA0D37" w:rsidRDefault="00394471" w:rsidP="00964CC4">
            <w:pPr>
              <w:pStyle w:val="TAL"/>
              <w:rPr>
                <w:b/>
                <w:bCs/>
                <w:i/>
                <w:szCs w:val="22"/>
                <w:lang w:eastAsia="en-GB"/>
              </w:rPr>
            </w:pPr>
            <w:r w:rsidRPr="00FA0D37">
              <w:rPr>
                <w:b/>
                <w:bCs/>
                <w:i/>
                <w:szCs w:val="22"/>
                <w:lang w:eastAsia="en-GB"/>
              </w:rPr>
              <w:t>sr-</w:t>
            </w:r>
            <w:r w:rsidRPr="00FA0D37">
              <w:rPr>
                <w:b/>
                <w:bCs/>
                <w:i/>
                <w:szCs w:val="22"/>
                <w:lang w:eastAsia="sv-SE"/>
              </w:rPr>
              <w:t>P</w:t>
            </w:r>
            <w:r w:rsidRPr="00FA0D37">
              <w:rPr>
                <w:b/>
                <w:bCs/>
                <w:i/>
                <w:szCs w:val="22"/>
                <w:lang w:eastAsia="en-GB"/>
              </w:rPr>
              <w:t>rohibitTimer</w:t>
            </w:r>
          </w:p>
          <w:p w14:paraId="46EBE486" w14:textId="0ADDD00E" w:rsidR="00394471" w:rsidRPr="00FA0D37" w:rsidRDefault="00394471" w:rsidP="00964CC4">
            <w:pPr>
              <w:pStyle w:val="TAL"/>
              <w:rPr>
                <w:szCs w:val="22"/>
                <w:lang w:eastAsia="en-GB"/>
              </w:rPr>
            </w:pPr>
            <w:r w:rsidRPr="00FA0D37">
              <w:rPr>
                <w:szCs w:val="22"/>
                <w:lang w:eastAsia="en-GB"/>
              </w:rPr>
              <w:t xml:space="preserve">Timer for SR transmission on PUCCH in TS 38.321 [3]. Value is in ms. Value </w:t>
            </w:r>
            <w:r w:rsidRPr="00FA0D37">
              <w:rPr>
                <w:i/>
                <w:szCs w:val="22"/>
                <w:lang w:eastAsia="en-GB"/>
              </w:rPr>
              <w:t>ms1</w:t>
            </w:r>
            <w:r w:rsidRPr="00FA0D37">
              <w:rPr>
                <w:szCs w:val="22"/>
                <w:lang w:eastAsia="en-GB"/>
              </w:rPr>
              <w:t xml:space="preserve"> corresponds to 1ms, value </w:t>
            </w:r>
            <w:r w:rsidRPr="00FA0D37">
              <w:rPr>
                <w:i/>
                <w:szCs w:val="22"/>
                <w:lang w:eastAsia="en-GB"/>
              </w:rPr>
              <w:t>ms2</w:t>
            </w:r>
            <w:r w:rsidRPr="00FA0D37">
              <w:rPr>
                <w:szCs w:val="22"/>
                <w:lang w:eastAsia="en-GB"/>
              </w:rPr>
              <w:t xml:space="preserve"> corresponds to 2ms, and so on. </w:t>
            </w:r>
            <w:r w:rsidR="001163BA" w:rsidRPr="00FA0D37">
              <w:t>I</w:t>
            </w:r>
            <w:r w:rsidR="00D4596A" w:rsidRPr="00FA0D37">
              <w:t>f sr</w:t>
            </w:r>
            <w:r w:rsidR="00D4596A" w:rsidRPr="00FA0D37">
              <w:rPr>
                <w:i/>
                <w:iCs/>
              </w:rPr>
              <w:t>-ProhibitTimer-v1700</w:t>
            </w:r>
            <w:r w:rsidR="00D4596A" w:rsidRPr="00FA0D37">
              <w:t xml:space="preserve"> is configured, UE shall ignore </w:t>
            </w:r>
            <w:r w:rsidR="00D4596A" w:rsidRPr="00FA0D37">
              <w:rPr>
                <w:i/>
                <w:iCs/>
              </w:rPr>
              <w:t xml:space="preserve">sr-ProhibitTimer </w:t>
            </w:r>
            <w:r w:rsidR="00D4596A" w:rsidRPr="00FA0D37">
              <w:t>(without suffix).</w:t>
            </w:r>
            <w:r w:rsidR="001163BA" w:rsidRPr="00FA0D37">
              <w:t xml:space="preserve"> If both sr-ProhibitTimer (without suffix) and sr-ProhibitTimer-v1700 are absent, the UE applies the value 0.</w:t>
            </w:r>
          </w:p>
        </w:tc>
      </w:tr>
      <w:tr w:rsidR="00394471" w:rsidRPr="00FA0D37"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FA0D37" w:rsidRDefault="00394471" w:rsidP="00964CC4">
            <w:pPr>
              <w:pStyle w:val="TAL"/>
              <w:rPr>
                <w:b/>
                <w:bCs/>
                <w:i/>
                <w:szCs w:val="22"/>
                <w:lang w:eastAsia="en-GB"/>
              </w:rPr>
            </w:pPr>
            <w:r w:rsidRPr="00FA0D37">
              <w:rPr>
                <w:b/>
                <w:bCs/>
                <w:i/>
                <w:szCs w:val="22"/>
                <w:lang w:eastAsia="en-GB"/>
              </w:rPr>
              <w:t>sr-TransMax</w:t>
            </w:r>
          </w:p>
          <w:p w14:paraId="74262DCD" w14:textId="77777777" w:rsidR="00394471" w:rsidRPr="00FA0D37" w:rsidRDefault="00394471" w:rsidP="00964CC4">
            <w:pPr>
              <w:pStyle w:val="TAL"/>
              <w:rPr>
                <w:b/>
                <w:bCs/>
                <w:i/>
                <w:szCs w:val="22"/>
                <w:lang w:eastAsia="en-GB"/>
              </w:rPr>
            </w:pPr>
            <w:r w:rsidRPr="00FA0D37">
              <w:rPr>
                <w:szCs w:val="22"/>
                <w:lang w:eastAsia="en-GB"/>
              </w:rPr>
              <w:t xml:space="preserve">Maximum number of SR transmissions as described in TS 38.321 [3]. Value </w:t>
            </w:r>
            <w:r w:rsidRPr="00FA0D37">
              <w:rPr>
                <w:i/>
                <w:szCs w:val="22"/>
                <w:lang w:eastAsia="en-GB"/>
              </w:rPr>
              <w:t>n4</w:t>
            </w:r>
            <w:r w:rsidRPr="00FA0D37">
              <w:rPr>
                <w:szCs w:val="22"/>
                <w:lang w:eastAsia="en-GB"/>
              </w:rPr>
              <w:t xml:space="preserve"> corresponds to 4, value </w:t>
            </w:r>
            <w:r w:rsidRPr="00FA0D37">
              <w:rPr>
                <w:i/>
                <w:szCs w:val="22"/>
                <w:lang w:eastAsia="en-GB"/>
              </w:rPr>
              <w:t>n8</w:t>
            </w:r>
            <w:r w:rsidRPr="00FA0D37">
              <w:rPr>
                <w:szCs w:val="22"/>
                <w:lang w:eastAsia="en-GB"/>
              </w:rPr>
              <w:t xml:space="preserve"> corresponds to 8, and so on. </w:t>
            </w:r>
          </w:p>
        </w:tc>
      </w:tr>
    </w:tbl>
    <w:p w14:paraId="697163B4" w14:textId="77777777" w:rsidR="00394471" w:rsidRPr="00FA0D37" w:rsidRDefault="00394471" w:rsidP="00394471"/>
    <w:p w14:paraId="3E0ACD3A" w14:textId="77777777" w:rsidR="00394471" w:rsidRPr="00FA0D37" w:rsidRDefault="00394471" w:rsidP="00394471">
      <w:pPr>
        <w:pStyle w:val="4"/>
        <w:rPr>
          <w:rFonts w:eastAsia="宋体"/>
        </w:rPr>
      </w:pPr>
      <w:bookmarkStart w:id="1356" w:name="_Toc60777366"/>
      <w:bookmarkStart w:id="1357" w:name="_Toc146781450"/>
      <w:r w:rsidRPr="00FA0D37">
        <w:rPr>
          <w:rFonts w:eastAsia="宋体"/>
        </w:rPr>
        <w:t>–</w:t>
      </w:r>
      <w:r w:rsidRPr="00FA0D37">
        <w:rPr>
          <w:rFonts w:eastAsia="宋体"/>
        </w:rPr>
        <w:tab/>
      </w:r>
      <w:r w:rsidRPr="00FA0D37">
        <w:rPr>
          <w:rFonts w:eastAsia="宋体"/>
          <w:i/>
        </w:rPr>
        <w:t>SchedulingRequestId</w:t>
      </w:r>
      <w:bookmarkEnd w:id="1356"/>
      <w:bookmarkEnd w:id="1357"/>
    </w:p>
    <w:p w14:paraId="3F7005EF" w14:textId="77777777" w:rsidR="00394471" w:rsidRPr="00FA0D37" w:rsidRDefault="00394471" w:rsidP="00394471">
      <w:pPr>
        <w:rPr>
          <w:rFonts w:eastAsia="宋体"/>
        </w:rPr>
      </w:pPr>
      <w:r w:rsidRPr="00FA0D37">
        <w:rPr>
          <w:rFonts w:eastAsia="宋体"/>
        </w:rPr>
        <w:t xml:space="preserve">The IE </w:t>
      </w:r>
      <w:r w:rsidRPr="00FA0D37">
        <w:rPr>
          <w:rFonts w:eastAsia="宋体"/>
          <w:i/>
        </w:rPr>
        <w:t>SchedulingRequestId</w:t>
      </w:r>
      <w:r w:rsidRPr="00FA0D37">
        <w:rPr>
          <w:rFonts w:eastAsia="宋体"/>
        </w:rPr>
        <w:t xml:space="preserve"> is used to identify a Scheduling Request instance in the MAC layer.</w:t>
      </w:r>
    </w:p>
    <w:p w14:paraId="47A06FD3" w14:textId="77777777" w:rsidR="00394471" w:rsidRPr="00FA0D37" w:rsidRDefault="00394471" w:rsidP="00394471">
      <w:pPr>
        <w:pStyle w:val="TH"/>
        <w:rPr>
          <w:rFonts w:eastAsia="宋体"/>
        </w:rPr>
      </w:pPr>
      <w:r w:rsidRPr="00FA0D37">
        <w:rPr>
          <w:rFonts w:eastAsia="宋体"/>
          <w:i/>
        </w:rPr>
        <w:t>SchedulingRequestId</w:t>
      </w:r>
      <w:r w:rsidRPr="00FA0D37">
        <w:rPr>
          <w:rFonts w:eastAsia="宋体"/>
        </w:rPr>
        <w:t xml:space="preserve"> information element</w:t>
      </w:r>
    </w:p>
    <w:p w14:paraId="70EECEDC" w14:textId="77777777" w:rsidR="00394471" w:rsidRPr="00FA0D37" w:rsidRDefault="00394471" w:rsidP="00FA0D37">
      <w:pPr>
        <w:pStyle w:val="PL"/>
        <w:rPr>
          <w:color w:val="808080"/>
        </w:rPr>
      </w:pPr>
      <w:r w:rsidRPr="00FA0D37">
        <w:rPr>
          <w:color w:val="808080"/>
        </w:rPr>
        <w:t>-- ASN1START</w:t>
      </w:r>
    </w:p>
    <w:p w14:paraId="1482CCA1" w14:textId="77777777" w:rsidR="00394471" w:rsidRPr="00FA0D37" w:rsidRDefault="00394471" w:rsidP="00FA0D37">
      <w:pPr>
        <w:pStyle w:val="PL"/>
        <w:rPr>
          <w:color w:val="808080"/>
        </w:rPr>
      </w:pPr>
      <w:r w:rsidRPr="00FA0D37">
        <w:rPr>
          <w:color w:val="808080"/>
        </w:rPr>
        <w:t>-- TAG-SCHEDULINGREQUESTID-START</w:t>
      </w:r>
    </w:p>
    <w:p w14:paraId="78F0F5F5" w14:textId="77777777" w:rsidR="00394471" w:rsidRPr="00FA0D37" w:rsidRDefault="00394471" w:rsidP="00FA0D37">
      <w:pPr>
        <w:pStyle w:val="PL"/>
      </w:pPr>
    </w:p>
    <w:p w14:paraId="4F189E0E" w14:textId="77777777" w:rsidR="00394471" w:rsidRPr="00FA0D37" w:rsidRDefault="00394471" w:rsidP="00FA0D37">
      <w:pPr>
        <w:pStyle w:val="PL"/>
      </w:pPr>
      <w:r w:rsidRPr="00FA0D37">
        <w:t xml:space="preserve">SchedulingRequestId ::=             </w:t>
      </w:r>
      <w:r w:rsidRPr="00FA0D37">
        <w:rPr>
          <w:color w:val="993366"/>
        </w:rPr>
        <w:t>INTEGER</w:t>
      </w:r>
      <w:r w:rsidRPr="00FA0D37">
        <w:t xml:space="preserve"> (0..7)</w:t>
      </w:r>
    </w:p>
    <w:p w14:paraId="7E746835" w14:textId="77777777" w:rsidR="00394471" w:rsidRPr="00FA0D37" w:rsidRDefault="00394471" w:rsidP="00FA0D37">
      <w:pPr>
        <w:pStyle w:val="PL"/>
      </w:pPr>
    </w:p>
    <w:p w14:paraId="52CEB363" w14:textId="77777777" w:rsidR="00394471" w:rsidRPr="00FA0D37" w:rsidRDefault="00394471" w:rsidP="00FA0D37">
      <w:pPr>
        <w:pStyle w:val="PL"/>
        <w:rPr>
          <w:color w:val="808080"/>
        </w:rPr>
      </w:pPr>
      <w:r w:rsidRPr="00FA0D37">
        <w:rPr>
          <w:color w:val="808080"/>
        </w:rPr>
        <w:t>-- TAG-SCHEDULINGREQUESTID-STOP</w:t>
      </w:r>
    </w:p>
    <w:p w14:paraId="5EC4B9CD" w14:textId="77777777" w:rsidR="00394471" w:rsidRPr="00FA0D37" w:rsidRDefault="00394471" w:rsidP="00FA0D37">
      <w:pPr>
        <w:pStyle w:val="PL"/>
        <w:rPr>
          <w:color w:val="808080"/>
        </w:rPr>
      </w:pPr>
      <w:r w:rsidRPr="00FA0D37">
        <w:rPr>
          <w:color w:val="808080"/>
        </w:rPr>
        <w:lastRenderedPageBreak/>
        <w:t>-- ASN1STOP</w:t>
      </w:r>
    </w:p>
    <w:p w14:paraId="3C18C956" w14:textId="77777777" w:rsidR="00394471" w:rsidRPr="00FA0D37" w:rsidRDefault="00394471" w:rsidP="00394471"/>
    <w:p w14:paraId="1DF0B63F" w14:textId="77777777" w:rsidR="00394471" w:rsidRPr="00FA0D37" w:rsidRDefault="00394471" w:rsidP="00394471">
      <w:pPr>
        <w:pStyle w:val="4"/>
        <w:rPr>
          <w:rFonts w:eastAsia="宋体"/>
        </w:rPr>
      </w:pPr>
      <w:bookmarkStart w:id="1358" w:name="_Toc60777367"/>
      <w:bookmarkStart w:id="1359" w:name="_Toc146781451"/>
      <w:r w:rsidRPr="00FA0D37">
        <w:rPr>
          <w:rFonts w:eastAsia="宋体"/>
        </w:rPr>
        <w:t>–</w:t>
      </w:r>
      <w:r w:rsidRPr="00FA0D37">
        <w:rPr>
          <w:rFonts w:eastAsia="宋体"/>
        </w:rPr>
        <w:tab/>
      </w:r>
      <w:r w:rsidRPr="00FA0D37">
        <w:rPr>
          <w:rFonts w:eastAsia="宋体"/>
          <w:i/>
        </w:rPr>
        <w:t>SchedulingRequestResourceConfig</w:t>
      </w:r>
      <w:bookmarkEnd w:id="1358"/>
      <w:bookmarkEnd w:id="1359"/>
    </w:p>
    <w:p w14:paraId="368C45BC" w14:textId="77777777" w:rsidR="00394471" w:rsidRPr="00FA0D37" w:rsidRDefault="00394471" w:rsidP="00394471">
      <w:pPr>
        <w:rPr>
          <w:rFonts w:eastAsia="宋体"/>
        </w:rPr>
      </w:pPr>
      <w:r w:rsidRPr="00FA0D37">
        <w:rPr>
          <w:rFonts w:eastAsia="宋体"/>
        </w:rPr>
        <w:t xml:space="preserve">The IE </w:t>
      </w:r>
      <w:r w:rsidRPr="00FA0D37">
        <w:rPr>
          <w:rFonts w:eastAsia="宋体"/>
          <w:i/>
        </w:rPr>
        <w:t>SchedulingRequestResourceConfig</w:t>
      </w:r>
      <w:r w:rsidRPr="00FA0D37">
        <w:rPr>
          <w:rFonts w:eastAsia="宋体"/>
        </w:rPr>
        <w:t xml:space="preserve"> determines physical layer resources on PUCCH where the UE may send the dedicated scheduling request (D-SR) (see TS 38.213 [13], clause 9.2.4).</w:t>
      </w:r>
    </w:p>
    <w:p w14:paraId="3E5C15A3" w14:textId="77777777" w:rsidR="00394471" w:rsidRPr="00FA0D37" w:rsidRDefault="00394471" w:rsidP="00394471">
      <w:pPr>
        <w:pStyle w:val="TH"/>
        <w:rPr>
          <w:rFonts w:eastAsia="宋体"/>
        </w:rPr>
      </w:pPr>
      <w:r w:rsidRPr="00FA0D37">
        <w:rPr>
          <w:rFonts w:eastAsia="宋体"/>
          <w:i/>
        </w:rPr>
        <w:t>SchedulingRequestResourceConfig</w:t>
      </w:r>
      <w:r w:rsidRPr="00FA0D37">
        <w:rPr>
          <w:rFonts w:eastAsia="宋体"/>
        </w:rPr>
        <w:t xml:space="preserve"> information element</w:t>
      </w:r>
    </w:p>
    <w:p w14:paraId="6DB6EDF9" w14:textId="77777777" w:rsidR="00394471" w:rsidRPr="00FA0D37" w:rsidRDefault="00394471" w:rsidP="00FA0D37">
      <w:pPr>
        <w:pStyle w:val="PL"/>
        <w:rPr>
          <w:color w:val="808080"/>
        </w:rPr>
      </w:pPr>
      <w:r w:rsidRPr="00FA0D37">
        <w:rPr>
          <w:color w:val="808080"/>
        </w:rPr>
        <w:t>-- ASN1START</w:t>
      </w:r>
    </w:p>
    <w:p w14:paraId="1DD4488B" w14:textId="77777777" w:rsidR="00394471" w:rsidRPr="00FA0D37" w:rsidRDefault="00394471" w:rsidP="00FA0D37">
      <w:pPr>
        <w:pStyle w:val="PL"/>
        <w:rPr>
          <w:color w:val="808080"/>
        </w:rPr>
      </w:pPr>
      <w:r w:rsidRPr="00FA0D37">
        <w:rPr>
          <w:color w:val="808080"/>
        </w:rPr>
        <w:t>-- TAG-SCHEDULINGREQUESTRESOURCECONFIG-START</w:t>
      </w:r>
    </w:p>
    <w:p w14:paraId="73EFC34D" w14:textId="77777777" w:rsidR="00394471" w:rsidRPr="00FA0D37" w:rsidRDefault="00394471" w:rsidP="00FA0D37">
      <w:pPr>
        <w:pStyle w:val="PL"/>
      </w:pPr>
    </w:p>
    <w:p w14:paraId="502453C3" w14:textId="77777777" w:rsidR="00394471" w:rsidRPr="00FA0D37" w:rsidRDefault="00394471" w:rsidP="00FA0D37">
      <w:pPr>
        <w:pStyle w:val="PL"/>
      </w:pPr>
      <w:r w:rsidRPr="00FA0D37">
        <w:t xml:space="preserve">SchedulingRequestResourceConfig ::=     </w:t>
      </w:r>
      <w:r w:rsidRPr="00FA0D37">
        <w:rPr>
          <w:color w:val="993366"/>
        </w:rPr>
        <w:t>SEQUENCE</w:t>
      </w:r>
      <w:r w:rsidRPr="00FA0D37">
        <w:t xml:space="preserve"> {</w:t>
      </w:r>
    </w:p>
    <w:p w14:paraId="1CAE442C" w14:textId="77777777" w:rsidR="00394471" w:rsidRPr="00FA0D37" w:rsidRDefault="00394471" w:rsidP="00FA0D37">
      <w:pPr>
        <w:pStyle w:val="PL"/>
      </w:pPr>
      <w:r w:rsidRPr="00FA0D37">
        <w:t xml:space="preserve">    schedulingRequestResourceId             SchedulingRequestResourceId,</w:t>
      </w:r>
    </w:p>
    <w:p w14:paraId="647A07C6" w14:textId="77777777" w:rsidR="00394471" w:rsidRPr="00FA0D37" w:rsidRDefault="00394471" w:rsidP="00FA0D37">
      <w:pPr>
        <w:pStyle w:val="PL"/>
      </w:pPr>
      <w:r w:rsidRPr="00FA0D37">
        <w:t xml:space="preserve">    schedulingRequestID                     SchedulingRequestId,</w:t>
      </w:r>
    </w:p>
    <w:p w14:paraId="3889352F" w14:textId="77777777" w:rsidR="00394471" w:rsidRPr="00FA0D37" w:rsidRDefault="00394471" w:rsidP="00FA0D37">
      <w:pPr>
        <w:pStyle w:val="PL"/>
      </w:pPr>
      <w:r w:rsidRPr="00FA0D37">
        <w:t xml:space="preserve">    periodicityAndOffset                    </w:t>
      </w:r>
      <w:r w:rsidRPr="00FA0D37">
        <w:rPr>
          <w:color w:val="993366"/>
        </w:rPr>
        <w:t>CHOICE</w:t>
      </w:r>
      <w:r w:rsidRPr="00FA0D37">
        <w:t xml:space="preserve"> {</w:t>
      </w:r>
    </w:p>
    <w:p w14:paraId="02CA2864" w14:textId="77777777" w:rsidR="00394471" w:rsidRPr="00FA0D37" w:rsidRDefault="00394471" w:rsidP="00FA0D37">
      <w:pPr>
        <w:pStyle w:val="PL"/>
      </w:pPr>
      <w:r w:rsidRPr="00FA0D37">
        <w:t xml:space="preserve">        sym2                                    </w:t>
      </w:r>
      <w:r w:rsidRPr="00FA0D37">
        <w:rPr>
          <w:color w:val="993366"/>
        </w:rPr>
        <w:t>NULL</w:t>
      </w:r>
      <w:r w:rsidRPr="00FA0D37">
        <w:t>,</w:t>
      </w:r>
    </w:p>
    <w:p w14:paraId="207C2F6A" w14:textId="77777777" w:rsidR="00394471" w:rsidRPr="00FA0D37" w:rsidRDefault="00394471" w:rsidP="00FA0D37">
      <w:pPr>
        <w:pStyle w:val="PL"/>
      </w:pPr>
      <w:r w:rsidRPr="00FA0D37">
        <w:t xml:space="preserve">        sym6or7                                 </w:t>
      </w:r>
      <w:r w:rsidRPr="00FA0D37">
        <w:rPr>
          <w:color w:val="993366"/>
        </w:rPr>
        <w:t>NULL</w:t>
      </w:r>
      <w:r w:rsidRPr="00FA0D37">
        <w:t>,</w:t>
      </w:r>
    </w:p>
    <w:p w14:paraId="5733B9FE" w14:textId="77777777" w:rsidR="00394471" w:rsidRPr="00FA0D37" w:rsidRDefault="00394471" w:rsidP="00FA0D37">
      <w:pPr>
        <w:pStyle w:val="PL"/>
        <w:rPr>
          <w:color w:val="808080"/>
        </w:rPr>
      </w:pPr>
      <w:r w:rsidRPr="00FA0D37">
        <w:t xml:space="preserve">        sl1                                     </w:t>
      </w:r>
      <w:r w:rsidRPr="00FA0D37">
        <w:rPr>
          <w:color w:val="993366"/>
        </w:rPr>
        <w:t>NULL</w:t>
      </w:r>
      <w:r w:rsidRPr="00FA0D37">
        <w:t xml:space="preserve">,                       </w:t>
      </w:r>
      <w:r w:rsidRPr="00FA0D37">
        <w:rPr>
          <w:color w:val="808080"/>
        </w:rPr>
        <w:t>-- Recurs in every slot</w:t>
      </w:r>
    </w:p>
    <w:p w14:paraId="767336DD" w14:textId="77777777" w:rsidR="00394471" w:rsidRPr="00FA0D37" w:rsidRDefault="00394471" w:rsidP="00FA0D37">
      <w:pPr>
        <w:pStyle w:val="PL"/>
      </w:pPr>
      <w:r w:rsidRPr="00FA0D37">
        <w:t xml:space="preserve">        sl2                                     </w:t>
      </w:r>
      <w:r w:rsidRPr="00FA0D37">
        <w:rPr>
          <w:color w:val="993366"/>
        </w:rPr>
        <w:t>INTEGER</w:t>
      </w:r>
      <w:r w:rsidRPr="00FA0D37">
        <w:t xml:space="preserve"> (0..1),</w:t>
      </w:r>
    </w:p>
    <w:p w14:paraId="3D0CA436" w14:textId="77777777" w:rsidR="00394471" w:rsidRPr="00FA0D37" w:rsidRDefault="00394471" w:rsidP="00FA0D37">
      <w:pPr>
        <w:pStyle w:val="PL"/>
      </w:pPr>
      <w:r w:rsidRPr="00FA0D37">
        <w:t xml:space="preserve">        sl4                                     </w:t>
      </w:r>
      <w:r w:rsidRPr="00FA0D37">
        <w:rPr>
          <w:color w:val="993366"/>
        </w:rPr>
        <w:t>INTEGER</w:t>
      </w:r>
      <w:r w:rsidRPr="00FA0D37">
        <w:t xml:space="preserve"> (0..3),</w:t>
      </w:r>
    </w:p>
    <w:p w14:paraId="2904830F" w14:textId="77777777" w:rsidR="00394471" w:rsidRPr="00FA0D37" w:rsidRDefault="00394471" w:rsidP="00FA0D37">
      <w:pPr>
        <w:pStyle w:val="PL"/>
      </w:pPr>
      <w:r w:rsidRPr="00FA0D37">
        <w:t xml:space="preserve">        sl5                                     </w:t>
      </w:r>
      <w:r w:rsidRPr="00FA0D37">
        <w:rPr>
          <w:color w:val="993366"/>
        </w:rPr>
        <w:t>INTEGER</w:t>
      </w:r>
      <w:r w:rsidRPr="00FA0D37">
        <w:t xml:space="preserve"> (0..4),</w:t>
      </w:r>
    </w:p>
    <w:p w14:paraId="2D24AF51" w14:textId="77777777" w:rsidR="00394471" w:rsidRPr="00FA0D37" w:rsidRDefault="00394471" w:rsidP="00FA0D37">
      <w:pPr>
        <w:pStyle w:val="PL"/>
      </w:pPr>
      <w:r w:rsidRPr="00FA0D37">
        <w:t xml:space="preserve">        sl8                                     </w:t>
      </w:r>
      <w:r w:rsidRPr="00FA0D37">
        <w:rPr>
          <w:color w:val="993366"/>
        </w:rPr>
        <w:t>INTEGER</w:t>
      </w:r>
      <w:r w:rsidRPr="00FA0D37">
        <w:t xml:space="preserve"> (0..7),</w:t>
      </w:r>
    </w:p>
    <w:p w14:paraId="73667A3C" w14:textId="77777777" w:rsidR="00394471" w:rsidRPr="00FA0D37" w:rsidRDefault="00394471" w:rsidP="00FA0D37">
      <w:pPr>
        <w:pStyle w:val="PL"/>
      </w:pPr>
      <w:r w:rsidRPr="00FA0D37">
        <w:t xml:space="preserve">        sl10                                    </w:t>
      </w:r>
      <w:r w:rsidRPr="00FA0D37">
        <w:rPr>
          <w:color w:val="993366"/>
        </w:rPr>
        <w:t>INTEGER</w:t>
      </w:r>
      <w:r w:rsidRPr="00FA0D37">
        <w:t xml:space="preserve"> (0..9),</w:t>
      </w:r>
    </w:p>
    <w:p w14:paraId="3D6C3866" w14:textId="77777777" w:rsidR="00394471" w:rsidRPr="00FA0D37" w:rsidRDefault="00394471" w:rsidP="00FA0D37">
      <w:pPr>
        <w:pStyle w:val="PL"/>
      </w:pPr>
      <w:r w:rsidRPr="00FA0D37">
        <w:t xml:space="preserve">        sl16                                    </w:t>
      </w:r>
      <w:r w:rsidRPr="00FA0D37">
        <w:rPr>
          <w:color w:val="993366"/>
        </w:rPr>
        <w:t>INTEGER</w:t>
      </w:r>
      <w:r w:rsidRPr="00FA0D37">
        <w:t xml:space="preserve"> (0..15),</w:t>
      </w:r>
    </w:p>
    <w:p w14:paraId="7BBC6A68" w14:textId="77777777" w:rsidR="00394471" w:rsidRPr="00FA0D37" w:rsidRDefault="00394471" w:rsidP="00FA0D37">
      <w:pPr>
        <w:pStyle w:val="PL"/>
      </w:pPr>
      <w:r w:rsidRPr="00FA0D37">
        <w:t xml:space="preserve">        sl20                                    </w:t>
      </w:r>
      <w:r w:rsidRPr="00FA0D37">
        <w:rPr>
          <w:color w:val="993366"/>
        </w:rPr>
        <w:t>INTEGER</w:t>
      </w:r>
      <w:r w:rsidRPr="00FA0D37">
        <w:t xml:space="preserve"> (0..19),</w:t>
      </w:r>
    </w:p>
    <w:p w14:paraId="064B1152" w14:textId="77777777" w:rsidR="00394471" w:rsidRPr="00FA0D37" w:rsidRDefault="00394471" w:rsidP="00FA0D37">
      <w:pPr>
        <w:pStyle w:val="PL"/>
      </w:pPr>
      <w:r w:rsidRPr="00FA0D37">
        <w:t xml:space="preserve">        sl40                                    </w:t>
      </w:r>
      <w:r w:rsidRPr="00FA0D37">
        <w:rPr>
          <w:color w:val="993366"/>
        </w:rPr>
        <w:t>INTEGER</w:t>
      </w:r>
      <w:r w:rsidRPr="00FA0D37">
        <w:t xml:space="preserve"> (0..39),</w:t>
      </w:r>
    </w:p>
    <w:p w14:paraId="08E41BE2" w14:textId="77777777" w:rsidR="00394471" w:rsidRPr="00FA0D37" w:rsidRDefault="00394471" w:rsidP="00FA0D37">
      <w:pPr>
        <w:pStyle w:val="PL"/>
      </w:pPr>
      <w:r w:rsidRPr="00FA0D37">
        <w:t xml:space="preserve">        sl80                                    </w:t>
      </w:r>
      <w:r w:rsidRPr="00FA0D37">
        <w:rPr>
          <w:color w:val="993366"/>
        </w:rPr>
        <w:t>INTEGER</w:t>
      </w:r>
      <w:r w:rsidRPr="00FA0D37">
        <w:t xml:space="preserve"> (0..79),</w:t>
      </w:r>
    </w:p>
    <w:p w14:paraId="320E5D35" w14:textId="77777777" w:rsidR="00394471" w:rsidRPr="00FA0D37" w:rsidRDefault="00394471" w:rsidP="00FA0D37">
      <w:pPr>
        <w:pStyle w:val="PL"/>
      </w:pPr>
      <w:r w:rsidRPr="00FA0D37">
        <w:t xml:space="preserve">        sl160                                   </w:t>
      </w:r>
      <w:r w:rsidRPr="00FA0D37">
        <w:rPr>
          <w:color w:val="993366"/>
        </w:rPr>
        <w:t>INTEGER</w:t>
      </w:r>
      <w:r w:rsidRPr="00FA0D37">
        <w:t xml:space="preserve"> (0..159),</w:t>
      </w:r>
    </w:p>
    <w:p w14:paraId="6C1A8541" w14:textId="77777777" w:rsidR="00394471" w:rsidRPr="00FA0D37" w:rsidRDefault="00394471" w:rsidP="00FA0D37">
      <w:pPr>
        <w:pStyle w:val="PL"/>
      </w:pPr>
      <w:r w:rsidRPr="00FA0D37">
        <w:t xml:space="preserve">        sl320                                   </w:t>
      </w:r>
      <w:r w:rsidRPr="00FA0D37">
        <w:rPr>
          <w:color w:val="993366"/>
        </w:rPr>
        <w:t>INTEGER</w:t>
      </w:r>
      <w:r w:rsidRPr="00FA0D37">
        <w:t xml:space="preserve"> (0..319),</w:t>
      </w:r>
    </w:p>
    <w:p w14:paraId="507707FF" w14:textId="77777777" w:rsidR="00394471" w:rsidRPr="00FA0D37" w:rsidRDefault="00394471" w:rsidP="00FA0D37">
      <w:pPr>
        <w:pStyle w:val="PL"/>
      </w:pPr>
      <w:r w:rsidRPr="00FA0D37">
        <w:t xml:space="preserve">        sl640                                   </w:t>
      </w:r>
      <w:r w:rsidRPr="00FA0D37">
        <w:rPr>
          <w:color w:val="993366"/>
        </w:rPr>
        <w:t>INTEGER</w:t>
      </w:r>
      <w:r w:rsidRPr="00FA0D37">
        <w:t xml:space="preserve"> (0..639)</w:t>
      </w:r>
    </w:p>
    <w:p w14:paraId="017AA55F"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5926D7EC" w14:textId="77777777" w:rsidR="00394471" w:rsidRPr="00FA0D37" w:rsidRDefault="00394471" w:rsidP="00FA0D37">
      <w:pPr>
        <w:pStyle w:val="PL"/>
        <w:rPr>
          <w:color w:val="808080"/>
        </w:rPr>
      </w:pPr>
      <w:r w:rsidRPr="00FA0D37">
        <w:t xml:space="preserve">    resource                                PUCCH-ResourceId                                                </w:t>
      </w:r>
      <w:r w:rsidRPr="00FA0D37">
        <w:rPr>
          <w:color w:val="993366"/>
        </w:rPr>
        <w:t>OPTIONAL</w:t>
      </w:r>
      <w:r w:rsidRPr="00FA0D37">
        <w:t xml:space="preserve">    </w:t>
      </w:r>
      <w:r w:rsidRPr="00FA0D37">
        <w:rPr>
          <w:color w:val="808080"/>
        </w:rPr>
        <w:t>-- Need M</w:t>
      </w:r>
    </w:p>
    <w:p w14:paraId="42364B3B" w14:textId="77777777" w:rsidR="00394471" w:rsidRPr="00FA0D37" w:rsidRDefault="00394471" w:rsidP="00FA0D37">
      <w:pPr>
        <w:pStyle w:val="PL"/>
      </w:pPr>
      <w:r w:rsidRPr="00FA0D37">
        <w:t>}</w:t>
      </w:r>
    </w:p>
    <w:p w14:paraId="37F0FB37" w14:textId="77777777" w:rsidR="00394471" w:rsidRPr="00FA0D37" w:rsidRDefault="00394471" w:rsidP="00FA0D37">
      <w:pPr>
        <w:pStyle w:val="PL"/>
      </w:pPr>
    </w:p>
    <w:p w14:paraId="32E22C39" w14:textId="2DF88CC2" w:rsidR="00394471" w:rsidRPr="00FA0D37" w:rsidRDefault="00394471" w:rsidP="00FA0D37">
      <w:pPr>
        <w:pStyle w:val="PL"/>
      </w:pPr>
      <w:r w:rsidRPr="00FA0D37">
        <w:t>SchedulingRequestResourceConfig</w:t>
      </w:r>
      <w:r w:rsidR="00C5556C" w:rsidRPr="00FA0D37">
        <w:t>Ext</w:t>
      </w:r>
      <w:r w:rsidRPr="00FA0D37">
        <w:t xml:space="preserve">-v1610 ::=   </w:t>
      </w:r>
      <w:r w:rsidRPr="00FA0D37">
        <w:rPr>
          <w:color w:val="993366"/>
        </w:rPr>
        <w:t>SEQUENCE</w:t>
      </w:r>
      <w:r w:rsidRPr="00FA0D37">
        <w:t xml:space="preserve"> {</w:t>
      </w:r>
    </w:p>
    <w:p w14:paraId="29C745E0" w14:textId="77777777" w:rsidR="00394471" w:rsidRPr="00FA0D37" w:rsidRDefault="00394471" w:rsidP="00FA0D37">
      <w:pPr>
        <w:pStyle w:val="PL"/>
        <w:rPr>
          <w:color w:val="808080"/>
        </w:rPr>
      </w:pPr>
      <w:r w:rsidRPr="00FA0D37">
        <w:t xml:space="preserve">    phy-PriorityIndex-r16                       </w:t>
      </w:r>
      <w:r w:rsidRPr="00FA0D37">
        <w:rPr>
          <w:color w:val="993366"/>
        </w:rPr>
        <w:t>ENUMERATED</w:t>
      </w:r>
      <w:r w:rsidRPr="00FA0D37">
        <w:t xml:space="preserve"> {p0, p1}                                         </w:t>
      </w:r>
      <w:r w:rsidRPr="00FA0D37">
        <w:rPr>
          <w:color w:val="993366"/>
        </w:rPr>
        <w:t>OPTIONAL</w:t>
      </w:r>
      <w:r w:rsidRPr="00FA0D37">
        <w:t xml:space="preserve">,   </w:t>
      </w:r>
      <w:r w:rsidRPr="00FA0D37">
        <w:rPr>
          <w:color w:val="808080"/>
        </w:rPr>
        <w:t>-- Need M</w:t>
      </w:r>
    </w:p>
    <w:p w14:paraId="5CD05A92" w14:textId="77777777" w:rsidR="00394471" w:rsidRPr="00FA0D37" w:rsidRDefault="00394471" w:rsidP="00FA0D37">
      <w:pPr>
        <w:pStyle w:val="PL"/>
      </w:pPr>
      <w:r w:rsidRPr="00FA0D37">
        <w:t xml:space="preserve">    ...</w:t>
      </w:r>
    </w:p>
    <w:p w14:paraId="0A37FF87" w14:textId="77777777" w:rsidR="00E826D8" w:rsidRPr="00FA0D37" w:rsidRDefault="00394471" w:rsidP="00FA0D37">
      <w:pPr>
        <w:pStyle w:val="PL"/>
      </w:pPr>
      <w:r w:rsidRPr="00FA0D37">
        <w:t>}</w:t>
      </w:r>
    </w:p>
    <w:p w14:paraId="2152A6BA" w14:textId="77777777" w:rsidR="00E826D8" w:rsidRPr="00FA0D37" w:rsidRDefault="00E826D8" w:rsidP="00FA0D37">
      <w:pPr>
        <w:pStyle w:val="PL"/>
      </w:pPr>
    </w:p>
    <w:p w14:paraId="7AD2E863" w14:textId="73FD42AA" w:rsidR="00E826D8" w:rsidRPr="00FA0D37" w:rsidRDefault="00E826D8" w:rsidP="00FA0D37">
      <w:pPr>
        <w:pStyle w:val="PL"/>
      </w:pPr>
      <w:r w:rsidRPr="00FA0D37">
        <w:t xml:space="preserve">SchedulingRequestResourceConfigExt-v1700 ::=    </w:t>
      </w:r>
      <w:r w:rsidRPr="00FA0D37">
        <w:rPr>
          <w:color w:val="993366"/>
        </w:rPr>
        <w:t>SEQUENCE</w:t>
      </w:r>
      <w:r w:rsidRPr="00FA0D37">
        <w:t xml:space="preserve"> {</w:t>
      </w:r>
    </w:p>
    <w:p w14:paraId="082A0E5C" w14:textId="37E3DC5F" w:rsidR="00E826D8" w:rsidRPr="00FA0D37" w:rsidRDefault="00E826D8" w:rsidP="00FA0D37">
      <w:pPr>
        <w:pStyle w:val="PL"/>
      </w:pPr>
      <w:r w:rsidRPr="00FA0D37">
        <w:t xml:space="preserve">    periodicityAndOffset-r17                        </w:t>
      </w:r>
      <w:r w:rsidRPr="00FA0D37">
        <w:rPr>
          <w:color w:val="993366"/>
        </w:rPr>
        <w:t>CHOICE</w:t>
      </w:r>
      <w:r w:rsidRPr="00FA0D37">
        <w:t xml:space="preserve"> {</w:t>
      </w:r>
    </w:p>
    <w:p w14:paraId="5900DB42" w14:textId="77777777" w:rsidR="00F747EB" w:rsidRPr="00FA0D37" w:rsidRDefault="00E826D8" w:rsidP="00FA0D37">
      <w:pPr>
        <w:pStyle w:val="PL"/>
      </w:pPr>
      <w:r w:rsidRPr="00FA0D37">
        <w:t xml:space="preserve">        sl1280                                          </w:t>
      </w:r>
      <w:r w:rsidRPr="00FA0D37">
        <w:rPr>
          <w:color w:val="993366"/>
        </w:rPr>
        <w:t>INTEGER</w:t>
      </w:r>
      <w:r w:rsidRPr="00FA0D37">
        <w:t xml:space="preserve"> (0..1279),</w:t>
      </w:r>
    </w:p>
    <w:p w14:paraId="4C37B4B5" w14:textId="10E856EF" w:rsidR="00E826D8" w:rsidRPr="00FA0D37" w:rsidRDefault="00E826D8" w:rsidP="00FA0D37">
      <w:pPr>
        <w:pStyle w:val="PL"/>
      </w:pPr>
      <w:r w:rsidRPr="00FA0D37">
        <w:t xml:space="preserve">        sl2560                                          </w:t>
      </w:r>
      <w:r w:rsidRPr="00FA0D37">
        <w:rPr>
          <w:color w:val="993366"/>
        </w:rPr>
        <w:t>INTEGER</w:t>
      </w:r>
      <w:r w:rsidRPr="00FA0D37">
        <w:t xml:space="preserve"> (0..2559),</w:t>
      </w:r>
    </w:p>
    <w:p w14:paraId="101C4FA9" w14:textId="546350E4" w:rsidR="00E826D8" w:rsidRPr="00FA0D37" w:rsidRDefault="00E826D8" w:rsidP="00FA0D37">
      <w:pPr>
        <w:pStyle w:val="PL"/>
      </w:pPr>
      <w:r w:rsidRPr="00FA0D37">
        <w:t xml:space="preserve">        sl5120                                          </w:t>
      </w:r>
      <w:r w:rsidRPr="00FA0D37">
        <w:rPr>
          <w:color w:val="993366"/>
        </w:rPr>
        <w:t>INTEGER</w:t>
      </w:r>
      <w:r w:rsidRPr="00FA0D37">
        <w:t xml:space="preserve"> (0..5119)</w:t>
      </w:r>
    </w:p>
    <w:p w14:paraId="0867CCE9" w14:textId="77777777" w:rsidR="00E826D8" w:rsidRPr="00FA0D37" w:rsidRDefault="00E826D8"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402F75B8" w14:textId="1A72518F" w:rsidR="00394471" w:rsidRPr="00FA0D37" w:rsidRDefault="00E826D8" w:rsidP="00FA0D37">
      <w:pPr>
        <w:pStyle w:val="PL"/>
      </w:pPr>
      <w:r w:rsidRPr="00FA0D37">
        <w:t>}</w:t>
      </w:r>
    </w:p>
    <w:p w14:paraId="77C3F626" w14:textId="77777777" w:rsidR="00394471" w:rsidRPr="00FA0D37" w:rsidRDefault="00394471" w:rsidP="00FA0D37">
      <w:pPr>
        <w:pStyle w:val="PL"/>
      </w:pPr>
    </w:p>
    <w:p w14:paraId="33C6F5A2" w14:textId="77777777" w:rsidR="00394471" w:rsidRPr="00FA0D37" w:rsidRDefault="00394471" w:rsidP="00FA0D37">
      <w:pPr>
        <w:pStyle w:val="PL"/>
        <w:rPr>
          <w:color w:val="808080"/>
        </w:rPr>
      </w:pPr>
      <w:r w:rsidRPr="00FA0D37">
        <w:rPr>
          <w:color w:val="808080"/>
        </w:rPr>
        <w:lastRenderedPageBreak/>
        <w:t>-- TAG-SCHEDULINGREQUESTRESOURCECONFIG-STOP</w:t>
      </w:r>
    </w:p>
    <w:p w14:paraId="72CA1BFE" w14:textId="77777777" w:rsidR="00394471" w:rsidRPr="00FA0D37" w:rsidRDefault="00394471" w:rsidP="00FA0D37">
      <w:pPr>
        <w:pStyle w:val="PL"/>
        <w:rPr>
          <w:color w:val="808080"/>
        </w:rPr>
      </w:pPr>
      <w:r w:rsidRPr="00FA0D37">
        <w:rPr>
          <w:color w:val="808080"/>
        </w:rPr>
        <w:t>-- ASN1STOP</w:t>
      </w:r>
    </w:p>
    <w:p w14:paraId="4EA0DEC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FA0D37" w:rsidRDefault="00394471" w:rsidP="00964CC4">
            <w:pPr>
              <w:pStyle w:val="TAH"/>
              <w:rPr>
                <w:szCs w:val="22"/>
                <w:lang w:eastAsia="sv-SE"/>
              </w:rPr>
            </w:pPr>
            <w:r w:rsidRPr="00FA0D37">
              <w:rPr>
                <w:i/>
                <w:szCs w:val="22"/>
                <w:lang w:eastAsia="sv-SE"/>
              </w:rPr>
              <w:t xml:space="preserve">SchedulingRequestResourceConfig </w:t>
            </w:r>
            <w:r w:rsidRPr="00FA0D37">
              <w:rPr>
                <w:szCs w:val="22"/>
                <w:lang w:eastAsia="sv-SE"/>
              </w:rPr>
              <w:t>field descriptions</w:t>
            </w:r>
          </w:p>
        </w:tc>
      </w:tr>
      <w:tr w:rsidR="005C7FF4" w:rsidRPr="00FA0D37"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FA0D37" w:rsidRDefault="00394471" w:rsidP="00964CC4">
            <w:pPr>
              <w:pStyle w:val="TAL"/>
              <w:rPr>
                <w:szCs w:val="22"/>
                <w:lang w:eastAsia="sv-SE"/>
              </w:rPr>
            </w:pPr>
            <w:r w:rsidRPr="00FA0D37">
              <w:rPr>
                <w:b/>
                <w:i/>
                <w:szCs w:val="22"/>
                <w:lang w:eastAsia="sv-SE"/>
              </w:rPr>
              <w:t>periodicityAndOffset</w:t>
            </w:r>
          </w:p>
          <w:p w14:paraId="72C5E562" w14:textId="77777777" w:rsidR="00394471" w:rsidRPr="00FA0D37" w:rsidRDefault="00394471" w:rsidP="00964CC4">
            <w:pPr>
              <w:pStyle w:val="TAL"/>
              <w:rPr>
                <w:szCs w:val="22"/>
                <w:lang w:eastAsia="sv-SE"/>
              </w:rPr>
            </w:pPr>
            <w:r w:rsidRPr="00FA0D37">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FA0D37" w:rsidRDefault="00394471" w:rsidP="00964CC4">
            <w:pPr>
              <w:pStyle w:val="TAL"/>
              <w:rPr>
                <w:szCs w:val="22"/>
                <w:lang w:eastAsia="sv-SE"/>
              </w:rPr>
            </w:pPr>
            <w:r w:rsidRPr="00FA0D37">
              <w:rPr>
                <w:szCs w:val="22"/>
                <w:lang w:eastAsia="sv-SE"/>
              </w:rPr>
              <w:t>SCS =  15 kHz: 2sym, 7sym, 1sl, 2sl, 4sl, 5sl, 8sl, 10sl, 16sl, 20sl, 40sl, 80sl</w:t>
            </w:r>
          </w:p>
          <w:p w14:paraId="1E8FBFA9" w14:textId="77777777" w:rsidR="00394471" w:rsidRPr="00FA0D37" w:rsidRDefault="00394471" w:rsidP="00964CC4">
            <w:pPr>
              <w:pStyle w:val="TAL"/>
              <w:rPr>
                <w:szCs w:val="22"/>
                <w:lang w:eastAsia="sv-SE"/>
              </w:rPr>
            </w:pPr>
            <w:r w:rsidRPr="00FA0D37">
              <w:rPr>
                <w:szCs w:val="22"/>
                <w:lang w:eastAsia="sv-SE"/>
              </w:rPr>
              <w:t>SCS =  30 kHz: 2sym, 7sym, 1sl, 2sl, 4sl, 8sl, 10sl, 16sl, 20sl, 40sl, 80sl, 160sl</w:t>
            </w:r>
          </w:p>
          <w:p w14:paraId="0BB8744A" w14:textId="77777777" w:rsidR="00394471" w:rsidRPr="00FA0D37" w:rsidRDefault="00394471" w:rsidP="00964CC4">
            <w:pPr>
              <w:pStyle w:val="TAL"/>
              <w:rPr>
                <w:szCs w:val="22"/>
                <w:lang w:eastAsia="sv-SE"/>
              </w:rPr>
            </w:pPr>
            <w:r w:rsidRPr="00FA0D37">
              <w:rPr>
                <w:szCs w:val="22"/>
                <w:lang w:eastAsia="sv-SE"/>
              </w:rPr>
              <w:t>SCS =  60 kHz: 2sym, 7sym/6sym, 1sl, 2sl, 4sl, 8sl, 16sl, 20sl, 40sl, 80sl, 160sl, 320sl</w:t>
            </w:r>
          </w:p>
          <w:p w14:paraId="3076B884" w14:textId="21C8CE40" w:rsidR="00E826D8" w:rsidRPr="00FA0D37" w:rsidRDefault="00394471" w:rsidP="00E826D8">
            <w:pPr>
              <w:pStyle w:val="TAL"/>
            </w:pPr>
            <w:r w:rsidRPr="00FA0D37">
              <w:rPr>
                <w:szCs w:val="22"/>
                <w:lang w:eastAsia="sv-SE"/>
              </w:rPr>
              <w:t>SCS = 120 kHz: 2sym, 7sym, 1sl, 2sl, 4sl, 8sl, 16sl, 40sl, 80sl, 160sl, 320sl, 640sl</w:t>
            </w:r>
          </w:p>
          <w:p w14:paraId="03138AB5" w14:textId="051FCFE2" w:rsidR="00E826D8" w:rsidRPr="00FA0D37" w:rsidRDefault="00E826D8" w:rsidP="00E826D8">
            <w:pPr>
              <w:pStyle w:val="TAL"/>
              <w:rPr>
                <w:szCs w:val="22"/>
                <w:lang w:eastAsia="sv-SE"/>
              </w:rPr>
            </w:pPr>
            <w:r w:rsidRPr="00FA0D37">
              <w:rPr>
                <w:szCs w:val="22"/>
                <w:lang w:eastAsia="sv-SE"/>
              </w:rPr>
              <w:t>SCS = 480 kHz: 1sl, 2sl, 4sl, 8sl, 16sl, 40sl, 80sl, 160sl, 320sl, 640sl, 1280sl, 2560sl</w:t>
            </w:r>
          </w:p>
          <w:p w14:paraId="3E51EFB5" w14:textId="1FBCED4A" w:rsidR="00394471" w:rsidRPr="00FA0D37" w:rsidRDefault="00E826D8" w:rsidP="00E826D8">
            <w:pPr>
              <w:pStyle w:val="TAL"/>
              <w:rPr>
                <w:szCs w:val="22"/>
                <w:lang w:eastAsia="sv-SE"/>
              </w:rPr>
            </w:pPr>
            <w:r w:rsidRPr="00FA0D37">
              <w:rPr>
                <w:szCs w:val="22"/>
                <w:lang w:eastAsia="sv-SE"/>
              </w:rPr>
              <w:t>SCS = 960 kHz: 1sl, 2sl, 4sl, 8sl, 16sl, 40sl, 80sl, 160sl, 320sl, 640sl, 1280sl, 2560sl, 5120sl</w:t>
            </w:r>
          </w:p>
          <w:p w14:paraId="6865CEC4" w14:textId="77777777" w:rsidR="00394471" w:rsidRPr="00FA0D37" w:rsidRDefault="00394471" w:rsidP="00964CC4">
            <w:pPr>
              <w:pStyle w:val="TAL"/>
              <w:rPr>
                <w:szCs w:val="22"/>
                <w:lang w:eastAsia="sv-SE"/>
              </w:rPr>
            </w:pPr>
          </w:p>
          <w:p w14:paraId="24BA1124" w14:textId="77777777" w:rsidR="00394471" w:rsidRPr="00FA0D37" w:rsidRDefault="00394471" w:rsidP="00964CC4">
            <w:pPr>
              <w:pStyle w:val="TAL"/>
              <w:rPr>
                <w:szCs w:val="22"/>
                <w:lang w:eastAsia="sv-SE"/>
              </w:rPr>
            </w:pPr>
            <w:r w:rsidRPr="00FA0D37">
              <w:rPr>
                <w:szCs w:val="22"/>
                <w:lang w:eastAsia="sv-SE"/>
              </w:rPr>
              <w:t>sym6or7 corresponds to 6 symbols if extended cyclic prefix and a SCS of 60 kHz are configured, otherwise it corresponds to 7 symbols.</w:t>
            </w:r>
          </w:p>
          <w:p w14:paraId="63BCB0CF" w14:textId="77777777" w:rsidR="00E826D8" w:rsidRPr="00FA0D37" w:rsidRDefault="00394471" w:rsidP="00E826D8">
            <w:pPr>
              <w:pStyle w:val="TAL"/>
              <w:rPr>
                <w:szCs w:val="22"/>
                <w:lang w:eastAsia="sv-SE"/>
              </w:rPr>
            </w:pPr>
            <w:r w:rsidRPr="00FA0D37">
              <w:rPr>
                <w:szCs w:val="22"/>
                <w:lang w:eastAsia="sv-SE"/>
              </w:rPr>
              <w:t>For periodicities 2sym, 7sym and sl1 the UE assumes an offset of 0 slots.</w:t>
            </w:r>
          </w:p>
          <w:p w14:paraId="1130670D" w14:textId="664A9726" w:rsidR="00394471" w:rsidRPr="00FA0D37" w:rsidRDefault="00E826D8" w:rsidP="00E826D8">
            <w:pPr>
              <w:pStyle w:val="TAL"/>
              <w:rPr>
                <w:szCs w:val="22"/>
                <w:lang w:eastAsia="sv-SE"/>
              </w:rPr>
            </w:pPr>
            <w:r w:rsidRPr="00FA0D37">
              <w:rPr>
                <w:szCs w:val="22"/>
                <w:lang w:eastAsia="sv-SE"/>
              </w:rPr>
              <w:t xml:space="preserve">If </w:t>
            </w:r>
            <w:r w:rsidR="008C38BA" w:rsidRPr="00FA0D37">
              <w:rPr>
                <w:i/>
                <w:iCs/>
              </w:rPr>
              <w:t>periodicityAndOffset-r17</w:t>
            </w:r>
            <w:r w:rsidRPr="00FA0D37">
              <w:rPr>
                <w:szCs w:val="22"/>
                <w:lang w:eastAsia="sv-SE"/>
              </w:rPr>
              <w:t xml:space="preserve"> is present, any previously configured </w:t>
            </w:r>
            <w:r w:rsidR="008C38BA" w:rsidRPr="00FA0D37">
              <w:rPr>
                <w:i/>
                <w:iCs/>
              </w:rPr>
              <w:t>periodicityAndOffset</w:t>
            </w:r>
            <w:r w:rsidRPr="00FA0D37">
              <w:rPr>
                <w:szCs w:val="22"/>
                <w:lang w:eastAsia="sv-SE"/>
              </w:rPr>
              <w:t xml:space="preserve"> (without suffix) is released, and vice versa.</w:t>
            </w:r>
          </w:p>
        </w:tc>
      </w:tr>
      <w:tr w:rsidR="005C7FF4" w:rsidRPr="00FA0D37"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FA0D37" w:rsidRDefault="00394471" w:rsidP="00964CC4">
            <w:pPr>
              <w:pStyle w:val="TAL"/>
              <w:rPr>
                <w:b/>
                <w:i/>
                <w:szCs w:val="22"/>
                <w:lang w:eastAsia="sv-SE"/>
              </w:rPr>
            </w:pPr>
            <w:r w:rsidRPr="00FA0D37">
              <w:rPr>
                <w:b/>
                <w:i/>
                <w:szCs w:val="22"/>
                <w:lang w:eastAsia="sv-SE"/>
              </w:rPr>
              <w:t>phy-PriorityIndex</w:t>
            </w:r>
          </w:p>
          <w:p w14:paraId="20BF9203" w14:textId="77777777" w:rsidR="00394471" w:rsidRPr="00FA0D37" w:rsidRDefault="00394471" w:rsidP="00964CC4">
            <w:pPr>
              <w:pStyle w:val="TAL"/>
              <w:rPr>
                <w:b/>
                <w:i/>
                <w:szCs w:val="22"/>
                <w:lang w:eastAsia="sv-SE"/>
              </w:rPr>
            </w:pPr>
            <w:r w:rsidRPr="00FA0D37">
              <w:rPr>
                <w:lang w:eastAsia="sv-SE"/>
              </w:rPr>
              <w:t xml:space="preserve">Indicates whether this scheduling request resource is </w:t>
            </w:r>
            <w:r w:rsidRPr="00FA0D37">
              <w:rPr>
                <w:i/>
                <w:lang w:eastAsia="sv-SE"/>
              </w:rPr>
              <w:t>high</w:t>
            </w:r>
            <w:r w:rsidRPr="00FA0D37">
              <w:rPr>
                <w:lang w:eastAsia="sv-SE"/>
              </w:rPr>
              <w:t xml:space="preserve"> or </w:t>
            </w:r>
            <w:r w:rsidRPr="00FA0D37">
              <w:rPr>
                <w:i/>
                <w:lang w:eastAsia="sv-SE"/>
              </w:rPr>
              <w:t>low</w:t>
            </w:r>
            <w:r w:rsidRPr="00FA0D37">
              <w:rPr>
                <w:lang w:eastAsia="sv-SE"/>
              </w:rPr>
              <w:t xml:space="preserve"> priority in PHY prioritization/multiplexing handling (see TS 38.213 [13], clause 9.2.4). Value </w:t>
            </w:r>
            <w:r w:rsidRPr="00FA0D37">
              <w:rPr>
                <w:i/>
                <w:lang w:eastAsia="sv-SE"/>
              </w:rPr>
              <w:t xml:space="preserve">p0 </w:t>
            </w:r>
            <w:r w:rsidRPr="00FA0D37">
              <w:rPr>
                <w:lang w:eastAsia="sv-SE"/>
              </w:rPr>
              <w:t xml:space="preserve">indicates low priority and value </w:t>
            </w:r>
            <w:r w:rsidRPr="00FA0D37">
              <w:rPr>
                <w:i/>
                <w:lang w:eastAsia="sv-SE"/>
              </w:rPr>
              <w:t xml:space="preserve">p1 </w:t>
            </w:r>
            <w:r w:rsidRPr="00FA0D37">
              <w:rPr>
                <w:lang w:eastAsia="sv-SE"/>
              </w:rPr>
              <w:t>indicates high priority.</w:t>
            </w:r>
          </w:p>
        </w:tc>
      </w:tr>
      <w:tr w:rsidR="005C7FF4" w:rsidRPr="00FA0D37"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FA0D37" w:rsidRDefault="00394471" w:rsidP="00964CC4">
            <w:pPr>
              <w:pStyle w:val="TAL"/>
              <w:rPr>
                <w:szCs w:val="22"/>
                <w:lang w:eastAsia="sv-SE"/>
              </w:rPr>
            </w:pPr>
            <w:r w:rsidRPr="00FA0D37">
              <w:rPr>
                <w:b/>
                <w:i/>
                <w:szCs w:val="22"/>
                <w:lang w:eastAsia="sv-SE"/>
              </w:rPr>
              <w:t>resource</w:t>
            </w:r>
          </w:p>
          <w:p w14:paraId="460EB83B" w14:textId="77777777" w:rsidR="00394471" w:rsidRPr="00FA0D37" w:rsidRDefault="00394471" w:rsidP="00964CC4">
            <w:pPr>
              <w:pStyle w:val="TAL"/>
              <w:rPr>
                <w:szCs w:val="22"/>
                <w:lang w:eastAsia="sv-SE"/>
              </w:rPr>
            </w:pPr>
            <w:r w:rsidRPr="00FA0D37">
              <w:rPr>
                <w:szCs w:val="22"/>
                <w:lang w:eastAsia="sv-SE"/>
              </w:rPr>
              <w:t xml:space="preserve">ID of the PUCCH resource in which the UE shall send the scheduling request. The actual </w:t>
            </w:r>
            <w:r w:rsidRPr="00FA0D37">
              <w:rPr>
                <w:i/>
                <w:szCs w:val="22"/>
                <w:lang w:eastAsia="sv-SE"/>
              </w:rPr>
              <w:t>PUCCH-Resource</w:t>
            </w:r>
            <w:r w:rsidRPr="00FA0D37">
              <w:rPr>
                <w:szCs w:val="22"/>
                <w:lang w:eastAsia="sv-SE"/>
              </w:rPr>
              <w:t xml:space="preserve"> is configured in </w:t>
            </w:r>
            <w:r w:rsidRPr="00FA0D37">
              <w:rPr>
                <w:i/>
                <w:szCs w:val="22"/>
                <w:lang w:eastAsia="sv-SE"/>
              </w:rPr>
              <w:t>PUCCH-Config</w:t>
            </w:r>
            <w:r w:rsidRPr="00FA0D37">
              <w:rPr>
                <w:szCs w:val="22"/>
                <w:lang w:eastAsia="sv-SE"/>
              </w:rPr>
              <w:t xml:space="preserve"> of the same UL BWP and serving cell as this </w:t>
            </w:r>
            <w:r w:rsidRPr="00FA0D37">
              <w:rPr>
                <w:i/>
                <w:szCs w:val="22"/>
                <w:lang w:eastAsia="sv-SE"/>
              </w:rPr>
              <w:t>SchedulingRequestResourceConfig</w:t>
            </w:r>
            <w:r w:rsidRPr="00FA0D37">
              <w:rPr>
                <w:szCs w:val="22"/>
                <w:lang w:eastAsia="sv-SE"/>
              </w:rPr>
              <w:t xml:space="preserve">. The network configures a </w:t>
            </w:r>
            <w:r w:rsidRPr="00FA0D37">
              <w:rPr>
                <w:i/>
                <w:szCs w:val="22"/>
                <w:lang w:eastAsia="sv-SE"/>
              </w:rPr>
              <w:t>PUCCH-Resource</w:t>
            </w:r>
            <w:r w:rsidRPr="00FA0D37">
              <w:rPr>
                <w:szCs w:val="22"/>
                <w:lang w:eastAsia="sv-SE"/>
              </w:rPr>
              <w:t xml:space="preserve"> of </w:t>
            </w:r>
            <w:r w:rsidRPr="00FA0D37">
              <w:rPr>
                <w:i/>
                <w:szCs w:val="22"/>
                <w:lang w:eastAsia="sv-SE"/>
              </w:rPr>
              <w:t>PUCCH-format0</w:t>
            </w:r>
            <w:r w:rsidRPr="00FA0D37">
              <w:rPr>
                <w:szCs w:val="22"/>
                <w:lang w:eastAsia="sv-SE"/>
              </w:rPr>
              <w:t xml:space="preserve"> or </w:t>
            </w:r>
            <w:r w:rsidRPr="00FA0D37">
              <w:rPr>
                <w:i/>
                <w:szCs w:val="22"/>
                <w:lang w:eastAsia="sv-SE"/>
              </w:rPr>
              <w:t>PUCCH-format1</w:t>
            </w:r>
            <w:r w:rsidRPr="00FA0D37">
              <w:rPr>
                <w:szCs w:val="22"/>
                <w:lang w:eastAsia="sv-SE"/>
              </w:rPr>
              <w:t xml:space="preserve"> (other formats not supported) (see TS 38.213 [13], clause 9.2.4)</w:t>
            </w:r>
          </w:p>
        </w:tc>
      </w:tr>
      <w:tr w:rsidR="00394471" w:rsidRPr="00FA0D37"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FA0D37" w:rsidRDefault="00394471" w:rsidP="00964CC4">
            <w:pPr>
              <w:pStyle w:val="TAL"/>
              <w:rPr>
                <w:szCs w:val="22"/>
                <w:lang w:eastAsia="sv-SE"/>
              </w:rPr>
            </w:pPr>
            <w:r w:rsidRPr="00FA0D37">
              <w:rPr>
                <w:b/>
                <w:i/>
                <w:szCs w:val="22"/>
                <w:lang w:eastAsia="sv-SE"/>
              </w:rPr>
              <w:t>schedulingRequestID</w:t>
            </w:r>
          </w:p>
          <w:p w14:paraId="0FF35D9E" w14:textId="77777777" w:rsidR="00394471" w:rsidRPr="00FA0D37" w:rsidRDefault="00394471" w:rsidP="00964CC4">
            <w:pPr>
              <w:pStyle w:val="TAL"/>
              <w:rPr>
                <w:szCs w:val="22"/>
                <w:lang w:eastAsia="sv-SE"/>
              </w:rPr>
            </w:pPr>
            <w:r w:rsidRPr="00FA0D37">
              <w:rPr>
                <w:szCs w:val="22"/>
                <w:lang w:eastAsia="sv-SE"/>
              </w:rPr>
              <w:t xml:space="preserve">The ID of the </w:t>
            </w:r>
            <w:r w:rsidRPr="00FA0D37">
              <w:rPr>
                <w:i/>
                <w:szCs w:val="22"/>
                <w:lang w:eastAsia="sv-SE"/>
              </w:rPr>
              <w:t>SchedulingRequestConfig</w:t>
            </w:r>
            <w:r w:rsidRPr="00FA0D37">
              <w:rPr>
                <w:szCs w:val="22"/>
                <w:lang w:eastAsia="sv-SE"/>
              </w:rPr>
              <w:t xml:space="preserve"> that uses this scheduling request resource.</w:t>
            </w:r>
          </w:p>
        </w:tc>
      </w:tr>
    </w:tbl>
    <w:p w14:paraId="72E961F7" w14:textId="77777777" w:rsidR="00394471" w:rsidRPr="00FA0D37" w:rsidRDefault="00394471" w:rsidP="00394471"/>
    <w:p w14:paraId="7E603E9B" w14:textId="77777777" w:rsidR="00394471" w:rsidRPr="00FA0D37" w:rsidRDefault="00394471" w:rsidP="00394471">
      <w:pPr>
        <w:pStyle w:val="4"/>
      </w:pPr>
      <w:bookmarkStart w:id="1360" w:name="_Toc60777368"/>
      <w:bookmarkStart w:id="1361" w:name="_Toc146781452"/>
      <w:r w:rsidRPr="00FA0D37">
        <w:t>–</w:t>
      </w:r>
      <w:r w:rsidRPr="00FA0D37">
        <w:tab/>
      </w:r>
      <w:r w:rsidRPr="00FA0D37">
        <w:rPr>
          <w:i/>
        </w:rPr>
        <w:t>SchedulingRequestResourceId</w:t>
      </w:r>
      <w:bookmarkEnd w:id="1360"/>
      <w:bookmarkEnd w:id="1361"/>
    </w:p>
    <w:p w14:paraId="4D4EC681" w14:textId="77777777" w:rsidR="00394471" w:rsidRPr="00FA0D37" w:rsidRDefault="00394471" w:rsidP="00394471">
      <w:r w:rsidRPr="00FA0D37">
        <w:t xml:space="preserve">The IE </w:t>
      </w:r>
      <w:r w:rsidRPr="00FA0D37">
        <w:rPr>
          <w:i/>
        </w:rPr>
        <w:t>SchedulingRequestResourceId</w:t>
      </w:r>
      <w:r w:rsidRPr="00FA0D37">
        <w:t xml:space="preserve"> is used to identify scheduling request resources on PUCCH.</w:t>
      </w:r>
    </w:p>
    <w:p w14:paraId="622228FD" w14:textId="77777777" w:rsidR="00394471" w:rsidRPr="00FA0D37" w:rsidRDefault="00394471" w:rsidP="00394471">
      <w:pPr>
        <w:pStyle w:val="TH"/>
      </w:pPr>
      <w:r w:rsidRPr="00FA0D37">
        <w:rPr>
          <w:i/>
        </w:rPr>
        <w:t>SchedulingRequestResourceId</w:t>
      </w:r>
      <w:r w:rsidRPr="00FA0D37">
        <w:t xml:space="preserve"> information element</w:t>
      </w:r>
    </w:p>
    <w:p w14:paraId="538B61DA" w14:textId="77777777" w:rsidR="00394471" w:rsidRPr="00FA0D37" w:rsidRDefault="00394471" w:rsidP="00FA0D37">
      <w:pPr>
        <w:pStyle w:val="PL"/>
        <w:rPr>
          <w:color w:val="808080"/>
        </w:rPr>
      </w:pPr>
      <w:r w:rsidRPr="00FA0D37">
        <w:rPr>
          <w:color w:val="808080"/>
        </w:rPr>
        <w:t>-- ASN1START</w:t>
      </w:r>
    </w:p>
    <w:p w14:paraId="2535D046" w14:textId="77777777" w:rsidR="00394471" w:rsidRPr="00FA0D37" w:rsidRDefault="00394471" w:rsidP="00FA0D37">
      <w:pPr>
        <w:pStyle w:val="PL"/>
        <w:rPr>
          <w:color w:val="808080"/>
        </w:rPr>
      </w:pPr>
      <w:r w:rsidRPr="00FA0D37">
        <w:rPr>
          <w:color w:val="808080"/>
        </w:rPr>
        <w:t>-- TAG-SCHEDULINGREQUESTRESOURCEID-START</w:t>
      </w:r>
    </w:p>
    <w:p w14:paraId="1C83CC5F" w14:textId="77777777" w:rsidR="00394471" w:rsidRPr="00FA0D37" w:rsidRDefault="00394471" w:rsidP="00FA0D37">
      <w:pPr>
        <w:pStyle w:val="PL"/>
      </w:pPr>
    </w:p>
    <w:p w14:paraId="0744222C" w14:textId="77777777" w:rsidR="00394471" w:rsidRPr="00FA0D37" w:rsidRDefault="00394471" w:rsidP="00FA0D37">
      <w:pPr>
        <w:pStyle w:val="PL"/>
      </w:pPr>
      <w:r w:rsidRPr="00FA0D37">
        <w:t xml:space="preserve">SchedulingRequestResourceId ::=     </w:t>
      </w:r>
      <w:r w:rsidRPr="00FA0D37">
        <w:rPr>
          <w:color w:val="993366"/>
        </w:rPr>
        <w:t>INTEGER</w:t>
      </w:r>
      <w:r w:rsidRPr="00FA0D37">
        <w:t xml:space="preserve"> (1..maxNrofSR-Resources)</w:t>
      </w:r>
    </w:p>
    <w:p w14:paraId="5BDF944D" w14:textId="77777777" w:rsidR="00394471" w:rsidRPr="00FA0D37" w:rsidRDefault="00394471" w:rsidP="00FA0D37">
      <w:pPr>
        <w:pStyle w:val="PL"/>
      </w:pPr>
    </w:p>
    <w:p w14:paraId="2B492F28" w14:textId="77777777" w:rsidR="00394471" w:rsidRPr="00FA0D37" w:rsidRDefault="00394471" w:rsidP="00FA0D37">
      <w:pPr>
        <w:pStyle w:val="PL"/>
        <w:rPr>
          <w:color w:val="808080"/>
        </w:rPr>
      </w:pPr>
      <w:r w:rsidRPr="00FA0D37">
        <w:rPr>
          <w:color w:val="808080"/>
        </w:rPr>
        <w:t>-- TAG-SCHEDULINGREQUESTRESOURCEID-STOP</w:t>
      </w:r>
    </w:p>
    <w:p w14:paraId="31A2DB90" w14:textId="77777777" w:rsidR="00394471" w:rsidRPr="00FA0D37" w:rsidRDefault="00394471" w:rsidP="00FA0D37">
      <w:pPr>
        <w:pStyle w:val="PL"/>
        <w:rPr>
          <w:color w:val="808080"/>
        </w:rPr>
      </w:pPr>
      <w:r w:rsidRPr="00FA0D37">
        <w:rPr>
          <w:color w:val="808080"/>
        </w:rPr>
        <w:t>-- ASN1STOP</w:t>
      </w:r>
    </w:p>
    <w:p w14:paraId="4FCDE878" w14:textId="77777777" w:rsidR="00394471" w:rsidRPr="00FA0D37" w:rsidRDefault="00394471" w:rsidP="00394471"/>
    <w:p w14:paraId="295C3689" w14:textId="77777777" w:rsidR="00394471" w:rsidRPr="00FA0D37" w:rsidRDefault="00394471" w:rsidP="00394471">
      <w:pPr>
        <w:pStyle w:val="4"/>
        <w:rPr>
          <w:rFonts w:eastAsia="宋体"/>
        </w:rPr>
      </w:pPr>
      <w:bookmarkStart w:id="1362" w:name="_Toc60777369"/>
      <w:bookmarkStart w:id="1363" w:name="_Toc146781453"/>
      <w:r w:rsidRPr="00FA0D37">
        <w:rPr>
          <w:rFonts w:eastAsia="宋体"/>
        </w:rPr>
        <w:lastRenderedPageBreak/>
        <w:t>–</w:t>
      </w:r>
      <w:r w:rsidRPr="00FA0D37">
        <w:rPr>
          <w:rFonts w:eastAsia="宋体"/>
        </w:rPr>
        <w:tab/>
      </w:r>
      <w:r w:rsidRPr="00FA0D37">
        <w:rPr>
          <w:rFonts w:eastAsia="宋体"/>
          <w:i/>
        </w:rPr>
        <w:t>ScramblingId</w:t>
      </w:r>
      <w:bookmarkEnd w:id="1362"/>
      <w:bookmarkEnd w:id="1363"/>
    </w:p>
    <w:p w14:paraId="51A4F1AC" w14:textId="77777777" w:rsidR="00394471" w:rsidRPr="00FA0D37" w:rsidRDefault="00394471" w:rsidP="00394471">
      <w:pPr>
        <w:rPr>
          <w:rFonts w:eastAsia="宋体"/>
        </w:rPr>
      </w:pPr>
      <w:r w:rsidRPr="00FA0D37">
        <w:rPr>
          <w:rFonts w:eastAsia="宋体"/>
        </w:rPr>
        <w:t xml:space="preserve">The IE </w:t>
      </w:r>
      <w:r w:rsidRPr="00FA0D37">
        <w:rPr>
          <w:rFonts w:eastAsia="宋体"/>
          <w:i/>
        </w:rPr>
        <w:t>ScramblingID</w:t>
      </w:r>
      <w:r w:rsidRPr="00FA0D37">
        <w:rPr>
          <w:rFonts w:eastAsia="宋体"/>
        </w:rPr>
        <w:t xml:space="preserve"> is used for scrambling channels and reference signals.</w:t>
      </w:r>
    </w:p>
    <w:p w14:paraId="3FD82D66" w14:textId="77777777" w:rsidR="00394471" w:rsidRPr="00FA0D37" w:rsidRDefault="00394471" w:rsidP="00394471">
      <w:pPr>
        <w:pStyle w:val="TH"/>
        <w:rPr>
          <w:rFonts w:eastAsia="宋体"/>
        </w:rPr>
      </w:pPr>
      <w:r w:rsidRPr="00FA0D37">
        <w:rPr>
          <w:rFonts w:eastAsia="宋体"/>
          <w:i/>
        </w:rPr>
        <w:t>ScramblingId</w:t>
      </w:r>
      <w:r w:rsidRPr="00FA0D37">
        <w:t xml:space="preserve"> information element</w:t>
      </w:r>
    </w:p>
    <w:p w14:paraId="63527AB1" w14:textId="77777777" w:rsidR="00394471" w:rsidRPr="00FA0D37" w:rsidRDefault="00394471" w:rsidP="00FA0D37">
      <w:pPr>
        <w:pStyle w:val="PL"/>
        <w:rPr>
          <w:color w:val="808080"/>
        </w:rPr>
      </w:pPr>
      <w:r w:rsidRPr="00FA0D37">
        <w:rPr>
          <w:color w:val="808080"/>
        </w:rPr>
        <w:t>-- ASN1START</w:t>
      </w:r>
    </w:p>
    <w:p w14:paraId="6E39D3EE" w14:textId="77777777" w:rsidR="00394471" w:rsidRPr="00FA0D37" w:rsidRDefault="00394471" w:rsidP="00FA0D37">
      <w:pPr>
        <w:pStyle w:val="PL"/>
        <w:rPr>
          <w:color w:val="808080"/>
        </w:rPr>
      </w:pPr>
      <w:r w:rsidRPr="00FA0D37">
        <w:rPr>
          <w:color w:val="808080"/>
        </w:rPr>
        <w:t>-- TAG-SCRAMBLINGID-START</w:t>
      </w:r>
    </w:p>
    <w:p w14:paraId="3B84466D" w14:textId="77777777" w:rsidR="00394471" w:rsidRPr="00FA0D37" w:rsidRDefault="00394471" w:rsidP="00FA0D37">
      <w:pPr>
        <w:pStyle w:val="PL"/>
      </w:pPr>
    </w:p>
    <w:p w14:paraId="5C8E8BE7" w14:textId="77777777" w:rsidR="00394471" w:rsidRPr="00FA0D37" w:rsidRDefault="00394471" w:rsidP="00FA0D37">
      <w:pPr>
        <w:pStyle w:val="PL"/>
      </w:pPr>
      <w:r w:rsidRPr="00FA0D37">
        <w:t xml:space="preserve">ScramblingId ::=                    </w:t>
      </w:r>
      <w:r w:rsidRPr="00FA0D37">
        <w:rPr>
          <w:color w:val="993366"/>
        </w:rPr>
        <w:t>INTEGER</w:t>
      </w:r>
      <w:r w:rsidRPr="00FA0D37">
        <w:t>(0..1023)</w:t>
      </w:r>
    </w:p>
    <w:p w14:paraId="639A019F" w14:textId="77777777" w:rsidR="00394471" w:rsidRPr="00FA0D37" w:rsidRDefault="00394471" w:rsidP="00FA0D37">
      <w:pPr>
        <w:pStyle w:val="PL"/>
      </w:pPr>
    </w:p>
    <w:p w14:paraId="263D0F66" w14:textId="77777777" w:rsidR="00394471" w:rsidRPr="00FA0D37" w:rsidRDefault="00394471" w:rsidP="00FA0D37">
      <w:pPr>
        <w:pStyle w:val="PL"/>
        <w:rPr>
          <w:color w:val="808080"/>
        </w:rPr>
      </w:pPr>
      <w:r w:rsidRPr="00FA0D37">
        <w:rPr>
          <w:color w:val="808080"/>
        </w:rPr>
        <w:t>-- TAG-SCRAMBLINGID-STOP</w:t>
      </w:r>
    </w:p>
    <w:p w14:paraId="0F847F58" w14:textId="77777777" w:rsidR="00394471" w:rsidRPr="00FA0D37" w:rsidRDefault="00394471" w:rsidP="00FA0D37">
      <w:pPr>
        <w:pStyle w:val="PL"/>
        <w:rPr>
          <w:rFonts w:eastAsia="宋体"/>
          <w:color w:val="808080"/>
        </w:rPr>
      </w:pPr>
      <w:r w:rsidRPr="00FA0D37">
        <w:rPr>
          <w:color w:val="808080"/>
        </w:rPr>
        <w:t>-- ASN1STOP</w:t>
      </w:r>
    </w:p>
    <w:p w14:paraId="69160ACA" w14:textId="77777777" w:rsidR="00394471" w:rsidRPr="00FA0D37" w:rsidRDefault="00394471" w:rsidP="00394471"/>
    <w:p w14:paraId="0DA8CD97" w14:textId="77777777" w:rsidR="00394471" w:rsidRPr="00FA0D37" w:rsidRDefault="00394471" w:rsidP="00394471">
      <w:pPr>
        <w:pStyle w:val="4"/>
      </w:pPr>
      <w:bookmarkStart w:id="1364" w:name="_Toc60777370"/>
      <w:bookmarkStart w:id="1365" w:name="_Toc146781454"/>
      <w:r w:rsidRPr="00FA0D37">
        <w:t>–</w:t>
      </w:r>
      <w:r w:rsidRPr="00FA0D37">
        <w:tab/>
      </w:r>
      <w:r w:rsidRPr="00FA0D37">
        <w:rPr>
          <w:i/>
        </w:rPr>
        <w:t>SCS-SpecificCarrier</w:t>
      </w:r>
      <w:bookmarkEnd w:id="1364"/>
      <w:bookmarkEnd w:id="1365"/>
    </w:p>
    <w:p w14:paraId="1FE3C40B" w14:textId="77777777" w:rsidR="00394471" w:rsidRPr="00FA0D37" w:rsidRDefault="00394471" w:rsidP="00394471">
      <w:r w:rsidRPr="00FA0D37">
        <w:t xml:space="preserve">The IE </w:t>
      </w:r>
      <w:r w:rsidRPr="00FA0D37">
        <w:rPr>
          <w:i/>
        </w:rPr>
        <w:t>SCS-SpecificCarrier</w:t>
      </w:r>
      <w:r w:rsidRPr="00FA0D37">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FA0D37" w:rsidRDefault="00394471" w:rsidP="00394471">
      <w:pPr>
        <w:pStyle w:val="TH"/>
      </w:pPr>
      <w:r w:rsidRPr="00FA0D37">
        <w:rPr>
          <w:i/>
        </w:rPr>
        <w:t>SCS-SpecificCarrier</w:t>
      </w:r>
      <w:r w:rsidRPr="00FA0D37">
        <w:t xml:space="preserve"> information element</w:t>
      </w:r>
    </w:p>
    <w:p w14:paraId="7F983B2B" w14:textId="77777777" w:rsidR="00394471" w:rsidRPr="00FA0D37" w:rsidRDefault="00394471" w:rsidP="00FA0D37">
      <w:pPr>
        <w:pStyle w:val="PL"/>
        <w:rPr>
          <w:color w:val="808080"/>
        </w:rPr>
      </w:pPr>
      <w:r w:rsidRPr="00FA0D37">
        <w:rPr>
          <w:color w:val="808080"/>
        </w:rPr>
        <w:t>-- ASN1START</w:t>
      </w:r>
    </w:p>
    <w:p w14:paraId="0E22CD32" w14:textId="77777777" w:rsidR="00394471" w:rsidRPr="00FA0D37" w:rsidRDefault="00394471" w:rsidP="00FA0D37">
      <w:pPr>
        <w:pStyle w:val="PL"/>
        <w:rPr>
          <w:color w:val="808080"/>
        </w:rPr>
      </w:pPr>
      <w:r w:rsidRPr="00FA0D37">
        <w:rPr>
          <w:color w:val="808080"/>
        </w:rPr>
        <w:t>-- TAG-SCS-SPECIFICCARRIER-START</w:t>
      </w:r>
    </w:p>
    <w:p w14:paraId="6826B248" w14:textId="77777777" w:rsidR="00394471" w:rsidRPr="00FA0D37" w:rsidRDefault="00394471" w:rsidP="00FA0D37">
      <w:pPr>
        <w:pStyle w:val="PL"/>
      </w:pPr>
    </w:p>
    <w:p w14:paraId="2F925A0F" w14:textId="77777777" w:rsidR="00394471" w:rsidRPr="00FA0D37" w:rsidRDefault="00394471" w:rsidP="00FA0D37">
      <w:pPr>
        <w:pStyle w:val="PL"/>
      </w:pPr>
      <w:r w:rsidRPr="00FA0D37">
        <w:t xml:space="preserve">SCS-SpecificCarrier ::=             </w:t>
      </w:r>
      <w:r w:rsidRPr="00FA0D37">
        <w:rPr>
          <w:color w:val="993366"/>
        </w:rPr>
        <w:t>SEQUENCE</w:t>
      </w:r>
      <w:r w:rsidRPr="00FA0D37">
        <w:t xml:space="preserve"> {</w:t>
      </w:r>
    </w:p>
    <w:p w14:paraId="1C95CC7D" w14:textId="77777777" w:rsidR="00394471" w:rsidRPr="00FA0D37" w:rsidRDefault="00394471" w:rsidP="00FA0D37">
      <w:pPr>
        <w:pStyle w:val="PL"/>
      </w:pPr>
      <w:r w:rsidRPr="00FA0D37">
        <w:t xml:space="preserve">    offsetToCarrier                     </w:t>
      </w:r>
      <w:r w:rsidRPr="00FA0D37">
        <w:rPr>
          <w:color w:val="993366"/>
        </w:rPr>
        <w:t>INTEGER</w:t>
      </w:r>
      <w:r w:rsidRPr="00FA0D37">
        <w:t xml:space="preserve"> (0..2199),</w:t>
      </w:r>
    </w:p>
    <w:p w14:paraId="39D2A57C" w14:textId="77777777" w:rsidR="00394471" w:rsidRPr="00FA0D37" w:rsidRDefault="00394471" w:rsidP="00FA0D37">
      <w:pPr>
        <w:pStyle w:val="PL"/>
      </w:pPr>
      <w:r w:rsidRPr="00FA0D37">
        <w:t xml:space="preserve">    subcarrierSpacing                   SubcarrierSpacing,</w:t>
      </w:r>
    </w:p>
    <w:p w14:paraId="61236A39" w14:textId="77777777" w:rsidR="00394471" w:rsidRPr="00FA0D37" w:rsidRDefault="00394471" w:rsidP="00FA0D37">
      <w:pPr>
        <w:pStyle w:val="PL"/>
      </w:pPr>
      <w:r w:rsidRPr="00FA0D37">
        <w:t xml:space="preserve">    carrierBandwidth                    </w:t>
      </w:r>
      <w:r w:rsidRPr="00FA0D37">
        <w:rPr>
          <w:color w:val="993366"/>
        </w:rPr>
        <w:t>INTEGER</w:t>
      </w:r>
      <w:r w:rsidRPr="00FA0D37">
        <w:t xml:space="preserve"> (1..maxNrofPhysicalResourceBlocks),</w:t>
      </w:r>
    </w:p>
    <w:p w14:paraId="26AF074B" w14:textId="77777777" w:rsidR="00394471" w:rsidRPr="00FA0D37" w:rsidRDefault="00394471" w:rsidP="00FA0D37">
      <w:pPr>
        <w:pStyle w:val="PL"/>
      </w:pPr>
      <w:r w:rsidRPr="00FA0D37">
        <w:t xml:space="preserve">    ...,</w:t>
      </w:r>
    </w:p>
    <w:p w14:paraId="23B78205" w14:textId="77777777" w:rsidR="00394471" w:rsidRPr="00FA0D37" w:rsidRDefault="00394471" w:rsidP="00FA0D37">
      <w:pPr>
        <w:pStyle w:val="PL"/>
      </w:pPr>
      <w:r w:rsidRPr="00FA0D37">
        <w:t xml:space="preserve">    [[</w:t>
      </w:r>
    </w:p>
    <w:p w14:paraId="5203AF04" w14:textId="77777777" w:rsidR="00394471" w:rsidRPr="00FA0D37" w:rsidRDefault="00394471" w:rsidP="00FA0D37">
      <w:pPr>
        <w:pStyle w:val="PL"/>
        <w:rPr>
          <w:color w:val="808080"/>
        </w:rPr>
      </w:pPr>
      <w:r w:rsidRPr="00FA0D37">
        <w:t xml:space="preserve">    txDirectCurrentLocation         </w:t>
      </w:r>
      <w:r w:rsidRPr="00FA0D37">
        <w:rPr>
          <w:color w:val="993366"/>
        </w:rPr>
        <w:t>INTEGER</w:t>
      </w:r>
      <w:r w:rsidRPr="00FA0D37">
        <w:t xml:space="preserve"> (0..4095)                                       </w:t>
      </w:r>
      <w:r w:rsidRPr="00FA0D37">
        <w:rPr>
          <w:color w:val="993366"/>
        </w:rPr>
        <w:t>OPTIONAL</w:t>
      </w:r>
      <w:r w:rsidRPr="00FA0D37">
        <w:t xml:space="preserve">            </w:t>
      </w:r>
      <w:r w:rsidRPr="00FA0D37">
        <w:rPr>
          <w:color w:val="808080"/>
        </w:rPr>
        <w:t>-- Need S</w:t>
      </w:r>
    </w:p>
    <w:p w14:paraId="725E04F1" w14:textId="77777777" w:rsidR="00394471" w:rsidRPr="00FA0D37" w:rsidRDefault="00394471" w:rsidP="00FA0D37">
      <w:pPr>
        <w:pStyle w:val="PL"/>
      </w:pPr>
      <w:r w:rsidRPr="00FA0D37">
        <w:t xml:space="preserve">    ]]</w:t>
      </w:r>
    </w:p>
    <w:p w14:paraId="1BF07F40" w14:textId="77777777" w:rsidR="00394471" w:rsidRPr="00FA0D37" w:rsidRDefault="00394471" w:rsidP="00FA0D37">
      <w:pPr>
        <w:pStyle w:val="PL"/>
      </w:pPr>
      <w:r w:rsidRPr="00FA0D37">
        <w:t>}</w:t>
      </w:r>
    </w:p>
    <w:p w14:paraId="744E6ABA" w14:textId="77777777" w:rsidR="00394471" w:rsidRPr="00FA0D37" w:rsidRDefault="00394471" w:rsidP="00FA0D37">
      <w:pPr>
        <w:pStyle w:val="PL"/>
      </w:pPr>
    </w:p>
    <w:p w14:paraId="7F614F69" w14:textId="77777777" w:rsidR="00394471" w:rsidRPr="00FA0D37" w:rsidRDefault="00394471" w:rsidP="00FA0D37">
      <w:pPr>
        <w:pStyle w:val="PL"/>
        <w:rPr>
          <w:color w:val="808080"/>
        </w:rPr>
      </w:pPr>
      <w:r w:rsidRPr="00FA0D37">
        <w:rPr>
          <w:color w:val="808080"/>
        </w:rPr>
        <w:t>-- TAG-SCS-SPECIFICCARRIER-STOP</w:t>
      </w:r>
    </w:p>
    <w:p w14:paraId="53307A6F" w14:textId="77777777" w:rsidR="00394471" w:rsidRPr="00FA0D37" w:rsidRDefault="00394471" w:rsidP="00FA0D37">
      <w:pPr>
        <w:pStyle w:val="PL"/>
        <w:rPr>
          <w:color w:val="808080"/>
        </w:rPr>
      </w:pPr>
      <w:r w:rsidRPr="00FA0D37">
        <w:rPr>
          <w:color w:val="808080"/>
        </w:rPr>
        <w:t>-- ASN1STOP</w:t>
      </w:r>
    </w:p>
    <w:p w14:paraId="05D5E7F1"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FA0D37" w:rsidRDefault="00394471" w:rsidP="00964CC4">
            <w:pPr>
              <w:pStyle w:val="TAH"/>
              <w:rPr>
                <w:rFonts w:eastAsia="MS Mincho"/>
                <w:szCs w:val="22"/>
                <w:lang w:eastAsia="sv-SE"/>
              </w:rPr>
            </w:pPr>
            <w:r w:rsidRPr="00FA0D37">
              <w:rPr>
                <w:rFonts w:eastAsia="MS Mincho"/>
                <w:i/>
                <w:szCs w:val="22"/>
                <w:lang w:eastAsia="sv-SE"/>
              </w:rPr>
              <w:lastRenderedPageBreak/>
              <w:t xml:space="preserve">SCS-SpecificCarrier </w:t>
            </w:r>
            <w:r w:rsidRPr="00FA0D37">
              <w:rPr>
                <w:rFonts w:eastAsia="MS Mincho"/>
                <w:szCs w:val="22"/>
                <w:lang w:eastAsia="sv-SE"/>
              </w:rPr>
              <w:t>field descriptions</w:t>
            </w:r>
          </w:p>
        </w:tc>
      </w:tr>
      <w:tr w:rsidR="005C7FF4" w:rsidRPr="00FA0D37"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carrierBandwidth</w:t>
            </w:r>
          </w:p>
          <w:p w14:paraId="1C38CBCB"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Width of this carrier in number of PRBs (using the </w:t>
            </w:r>
            <w:r w:rsidRPr="00FA0D37">
              <w:rPr>
                <w:rFonts w:eastAsia="MS Mincho"/>
                <w:i/>
                <w:szCs w:val="22"/>
                <w:lang w:eastAsia="sv-SE"/>
              </w:rPr>
              <w:t>subcarrierSpacing</w:t>
            </w:r>
            <w:r w:rsidRPr="00FA0D37">
              <w:rPr>
                <w:rFonts w:eastAsia="MS Mincho"/>
                <w:szCs w:val="22"/>
                <w:lang w:eastAsia="sv-SE"/>
              </w:rPr>
              <w:t xml:space="preserve"> defined for this carrier) (see TS 38.211 [16], clause 4.4.2).</w:t>
            </w:r>
          </w:p>
        </w:tc>
      </w:tr>
      <w:tr w:rsidR="005C7FF4" w:rsidRPr="00FA0D37"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offsetToCarrier</w:t>
            </w:r>
          </w:p>
          <w:p w14:paraId="01CA41C6" w14:textId="77777777" w:rsidR="00394471" w:rsidRPr="00FA0D37" w:rsidRDefault="00394471" w:rsidP="00964CC4">
            <w:pPr>
              <w:pStyle w:val="TAL"/>
              <w:rPr>
                <w:rFonts w:eastAsia="MS Mincho"/>
                <w:szCs w:val="22"/>
                <w:lang w:eastAsia="sv-SE"/>
              </w:rPr>
            </w:pPr>
            <w:r w:rsidRPr="00FA0D37">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5C7FF4" w:rsidRPr="00FA0D37"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txDirectCurrentLocation</w:t>
            </w:r>
          </w:p>
          <w:p w14:paraId="094C7FFF"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A0D37">
              <w:rPr>
                <w:rFonts w:eastAsia="MS Mincho"/>
                <w:i/>
                <w:szCs w:val="22"/>
                <w:lang w:eastAsia="sv-SE"/>
              </w:rPr>
              <w:t>ServingCellConfigCommon</w:t>
            </w:r>
            <w:r w:rsidRPr="00FA0D37">
              <w:rPr>
                <w:rFonts w:eastAsia="MS Mincho"/>
                <w:szCs w:val="22"/>
                <w:lang w:eastAsia="sv-SE"/>
              </w:rPr>
              <w:t xml:space="preserve"> and </w:t>
            </w:r>
            <w:r w:rsidRPr="00FA0D37">
              <w:rPr>
                <w:rFonts w:eastAsia="MS Mincho"/>
                <w:i/>
                <w:szCs w:val="22"/>
                <w:lang w:eastAsia="sv-SE"/>
              </w:rPr>
              <w:t>ServingCellConfigCommonSIB</w:t>
            </w:r>
            <w:r w:rsidRPr="00FA0D37">
              <w:rPr>
                <w:rFonts w:eastAsia="MS Mincho"/>
                <w:szCs w:val="22"/>
                <w:lang w:eastAsia="sv-SE"/>
              </w:rPr>
              <w:t xml:space="preserve">, the UE assumes the default value of 3300 (i.e. "Outside the carrier"). (see TS 38.211 [16], clause 4.4.2). Network does not configure this field via </w:t>
            </w:r>
            <w:r w:rsidRPr="00FA0D37">
              <w:rPr>
                <w:rFonts w:eastAsia="MS Mincho"/>
                <w:i/>
                <w:szCs w:val="22"/>
                <w:lang w:eastAsia="sv-SE"/>
              </w:rPr>
              <w:t>ServingCellConfig</w:t>
            </w:r>
            <w:r w:rsidRPr="00FA0D37">
              <w:rPr>
                <w:rFonts w:eastAsia="MS Mincho"/>
                <w:szCs w:val="22"/>
                <w:lang w:eastAsia="sv-SE"/>
              </w:rPr>
              <w:t xml:space="preserve"> or for uplink carriers.</w:t>
            </w:r>
          </w:p>
        </w:tc>
      </w:tr>
      <w:tr w:rsidR="00394471" w:rsidRPr="00FA0D37"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subcarrierSpacing</w:t>
            </w:r>
          </w:p>
          <w:p w14:paraId="5DC0E58C" w14:textId="0247BA2F" w:rsidR="00394471" w:rsidRPr="00FA0D37" w:rsidRDefault="00394471" w:rsidP="00964CC4">
            <w:pPr>
              <w:pStyle w:val="TAL"/>
              <w:rPr>
                <w:rFonts w:eastAsia="MS Mincho"/>
                <w:szCs w:val="22"/>
                <w:lang w:eastAsia="sv-SE"/>
              </w:rPr>
            </w:pPr>
            <w:r w:rsidRPr="00FA0D37">
              <w:rPr>
                <w:rFonts w:eastAsia="MS Mincho"/>
                <w:szCs w:val="22"/>
                <w:lang w:eastAsia="sv-SE"/>
              </w:rPr>
              <w:t>Subcarrier spacing of this carrier. It is used to convert the offsetToCarrier into an actual frequency.</w:t>
            </w:r>
          </w:p>
          <w:p w14:paraId="5B429378" w14:textId="77777777" w:rsidR="00E826D8" w:rsidRPr="00FA0D37" w:rsidRDefault="00E826D8" w:rsidP="00E826D8">
            <w:pPr>
              <w:pStyle w:val="TAL"/>
              <w:rPr>
                <w:rFonts w:eastAsia="MS Mincho"/>
                <w:szCs w:val="22"/>
                <w:lang w:eastAsia="sv-SE"/>
              </w:rPr>
            </w:pPr>
            <w:r w:rsidRPr="00FA0D37">
              <w:rPr>
                <w:rFonts w:eastAsia="MS Mincho"/>
                <w:szCs w:val="22"/>
                <w:lang w:eastAsia="sv-SE"/>
              </w:rPr>
              <w:t>Only the following values are applicable depending on the used frequency:</w:t>
            </w:r>
          </w:p>
          <w:p w14:paraId="242056D0" w14:textId="77777777" w:rsidR="00E826D8" w:rsidRPr="00FA0D37" w:rsidRDefault="00E826D8" w:rsidP="00E826D8">
            <w:pPr>
              <w:pStyle w:val="TAL"/>
              <w:rPr>
                <w:rFonts w:eastAsia="MS Mincho"/>
                <w:szCs w:val="22"/>
                <w:lang w:eastAsia="sv-SE"/>
              </w:rPr>
            </w:pPr>
            <w:r w:rsidRPr="00FA0D37">
              <w:rPr>
                <w:rFonts w:eastAsia="MS Mincho"/>
                <w:szCs w:val="22"/>
                <w:lang w:eastAsia="sv-SE"/>
              </w:rPr>
              <w:t>FR1:    15 or 30 kHz</w:t>
            </w:r>
          </w:p>
          <w:p w14:paraId="07AF1DF1" w14:textId="3C7EC87D" w:rsidR="00E826D8" w:rsidRPr="00FA0D37" w:rsidRDefault="00E826D8" w:rsidP="00E826D8">
            <w:pPr>
              <w:pStyle w:val="TAL"/>
              <w:rPr>
                <w:rFonts w:eastAsia="MS Mincho"/>
                <w:szCs w:val="22"/>
                <w:lang w:eastAsia="sv-SE"/>
              </w:rPr>
            </w:pPr>
            <w:r w:rsidRPr="00FA0D37">
              <w:rPr>
                <w:rFonts w:eastAsia="MS Mincho"/>
                <w:szCs w:val="22"/>
                <w:lang w:eastAsia="sv-SE"/>
              </w:rPr>
              <w:t>FR2-1:  60 or 120 kHz</w:t>
            </w:r>
          </w:p>
          <w:p w14:paraId="094CC3F6" w14:textId="641C58C0" w:rsidR="00E826D8" w:rsidRPr="00FA0D37" w:rsidRDefault="00E826D8" w:rsidP="00E826D8">
            <w:pPr>
              <w:pStyle w:val="TAL"/>
              <w:rPr>
                <w:rFonts w:eastAsia="MS Mincho"/>
                <w:szCs w:val="22"/>
                <w:lang w:eastAsia="sv-SE"/>
              </w:rPr>
            </w:pPr>
            <w:r w:rsidRPr="00FA0D37">
              <w:rPr>
                <w:rFonts w:eastAsia="MS Mincho"/>
                <w:szCs w:val="22"/>
                <w:lang w:eastAsia="sv-SE"/>
              </w:rPr>
              <w:t>FR2-2:  120, 480, or 960 kHz</w:t>
            </w:r>
          </w:p>
        </w:tc>
      </w:tr>
    </w:tbl>
    <w:p w14:paraId="4EF86D90" w14:textId="77777777" w:rsidR="00394471" w:rsidRPr="00FA0D37" w:rsidRDefault="00394471" w:rsidP="00394471">
      <w:pPr>
        <w:rPr>
          <w:rFonts w:eastAsia="MS Mincho"/>
        </w:rPr>
      </w:pPr>
    </w:p>
    <w:p w14:paraId="2B8FFBFD" w14:textId="77777777" w:rsidR="00394471" w:rsidRPr="00FA0D37" w:rsidRDefault="00394471" w:rsidP="00394471">
      <w:pPr>
        <w:pStyle w:val="4"/>
        <w:rPr>
          <w:rFonts w:eastAsia="宋体"/>
        </w:rPr>
      </w:pPr>
      <w:bookmarkStart w:id="1366" w:name="_Toc60777371"/>
      <w:bookmarkStart w:id="1367" w:name="_Toc146781455"/>
      <w:r w:rsidRPr="00FA0D37">
        <w:rPr>
          <w:rFonts w:eastAsia="宋体"/>
        </w:rPr>
        <w:t>–</w:t>
      </w:r>
      <w:r w:rsidRPr="00FA0D37">
        <w:rPr>
          <w:rFonts w:eastAsia="宋体"/>
        </w:rPr>
        <w:tab/>
      </w:r>
      <w:r w:rsidRPr="00FA0D37">
        <w:rPr>
          <w:rFonts w:eastAsia="宋体"/>
          <w:i/>
        </w:rPr>
        <w:t>SDAP-Config</w:t>
      </w:r>
      <w:bookmarkEnd w:id="1366"/>
      <w:bookmarkEnd w:id="1367"/>
    </w:p>
    <w:p w14:paraId="4DC2E81C" w14:textId="77777777" w:rsidR="00394471" w:rsidRPr="00FA0D37" w:rsidRDefault="00394471" w:rsidP="00394471">
      <w:pPr>
        <w:rPr>
          <w:rFonts w:eastAsia="宋体"/>
          <w:lang w:eastAsia="zh-CN"/>
        </w:rPr>
      </w:pPr>
      <w:r w:rsidRPr="00FA0D37">
        <w:rPr>
          <w:rFonts w:eastAsia="宋体"/>
          <w:lang w:eastAsia="zh-CN"/>
        </w:rPr>
        <w:t xml:space="preserve">The IE </w:t>
      </w:r>
      <w:r w:rsidRPr="00FA0D37">
        <w:rPr>
          <w:rFonts w:eastAsia="宋体"/>
          <w:i/>
          <w:lang w:eastAsia="zh-CN"/>
        </w:rPr>
        <w:t>SDAP-Config</w:t>
      </w:r>
      <w:r w:rsidRPr="00FA0D37">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FA0D37" w:rsidRDefault="00394471" w:rsidP="00394471">
      <w:pPr>
        <w:pStyle w:val="TH"/>
        <w:rPr>
          <w:rFonts w:eastAsia="宋体"/>
          <w:lang w:eastAsia="zh-CN"/>
        </w:rPr>
      </w:pPr>
      <w:r w:rsidRPr="00FA0D37">
        <w:rPr>
          <w:i/>
          <w:lang w:eastAsia="zh-CN"/>
        </w:rPr>
        <w:t>SDAP-Config</w:t>
      </w:r>
      <w:r w:rsidRPr="00FA0D37">
        <w:rPr>
          <w:lang w:eastAsia="zh-CN"/>
        </w:rPr>
        <w:t xml:space="preserve"> information element</w:t>
      </w:r>
    </w:p>
    <w:p w14:paraId="034E2927" w14:textId="77777777" w:rsidR="00394471" w:rsidRPr="00FA0D37" w:rsidRDefault="00394471" w:rsidP="00FA0D37">
      <w:pPr>
        <w:pStyle w:val="PL"/>
        <w:rPr>
          <w:color w:val="808080"/>
        </w:rPr>
      </w:pPr>
      <w:r w:rsidRPr="00FA0D37">
        <w:rPr>
          <w:color w:val="808080"/>
        </w:rPr>
        <w:t>-- ASN1START</w:t>
      </w:r>
    </w:p>
    <w:p w14:paraId="688D7C8E" w14:textId="77777777" w:rsidR="00394471" w:rsidRPr="00FA0D37" w:rsidRDefault="00394471" w:rsidP="00FA0D37">
      <w:pPr>
        <w:pStyle w:val="PL"/>
        <w:rPr>
          <w:color w:val="808080"/>
        </w:rPr>
      </w:pPr>
      <w:r w:rsidRPr="00FA0D37">
        <w:rPr>
          <w:color w:val="808080"/>
        </w:rPr>
        <w:t>-- TAG-SDAP-CONFIG-START</w:t>
      </w:r>
    </w:p>
    <w:p w14:paraId="16F0470E" w14:textId="77777777" w:rsidR="00394471" w:rsidRPr="00FA0D37" w:rsidRDefault="00394471" w:rsidP="00FA0D37">
      <w:pPr>
        <w:pStyle w:val="PL"/>
      </w:pPr>
    </w:p>
    <w:p w14:paraId="1AE2AB0C" w14:textId="77777777" w:rsidR="00394471" w:rsidRPr="00FA0D37" w:rsidRDefault="00394471" w:rsidP="00FA0D37">
      <w:pPr>
        <w:pStyle w:val="PL"/>
      </w:pPr>
      <w:r w:rsidRPr="00FA0D37">
        <w:t xml:space="preserve">SDAP-Config ::=                     </w:t>
      </w:r>
      <w:r w:rsidRPr="00FA0D37">
        <w:rPr>
          <w:color w:val="993366"/>
        </w:rPr>
        <w:t>SEQUENCE</w:t>
      </w:r>
      <w:r w:rsidRPr="00FA0D37">
        <w:t xml:space="preserve"> {</w:t>
      </w:r>
    </w:p>
    <w:p w14:paraId="04C89F5D" w14:textId="77777777" w:rsidR="00394471" w:rsidRPr="00FA0D37" w:rsidRDefault="00394471" w:rsidP="00FA0D37">
      <w:pPr>
        <w:pStyle w:val="PL"/>
      </w:pPr>
      <w:r w:rsidRPr="00FA0D37">
        <w:t xml:space="preserve">    pdu-Session                         PDU-SessionID,</w:t>
      </w:r>
    </w:p>
    <w:p w14:paraId="1F966883" w14:textId="77777777" w:rsidR="00394471" w:rsidRPr="00FA0D37" w:rsidRDefault="00394471" w:rsidP="00FA0D37">
      <w:pPr>
        <w:pStyle w:val="PL"/>
      </w:pPr>
      <w:r w:rsidRPr="00FA0D37">
        <w:t xml:space="preserve">    sdap-HeaderDL                       </w:t>
      </w:r>
      <w:r w:rsidRPr="00FA0D37">
        <w:rPr>
          <w:color w:val="993366"/>
        </w:rPr>
        <w:t>ENUMERATED</w:t>
      </w:r>
      <w:r w:rsidRPr="00FA0D37">
        <w:t xml:space="preserve"> {present, absent},</w:t>
      </w:r>
    </w:p>
    <w:p w14:paraId="68342621" w14:textId="77777777" w:rsidR="00394471" w:rsidRPr="00FA0D37" w:rsidRDefault="00394471" w:rsidP="00FA0D37">
      <w:pPr>
        <w:pStyle w:val="PL"/>
      </w:pPr>
      <w:r w:rsidRPr="00FA0D37">
        <w:t xml:space="preserve">    sdap-HeaderUL                       </w:t>
      </w:r>
      <w:r w:rsidRPr="00FA0D37">
        <w:rPr>
          <w:color w:val="993366"/>
        </w:rPr>
        <w:t>ENUMERATED</w:t>
      </w:r>
      <w:r w:rsidRPr="00FA0D37">
        <w:t xml:space="preserve"> {present, absent},</w:t>
      </w:r>
    </w:p>
    <w:p w14:paraId="33A7B733" w14:textId="77777777" w:rsidR="00394471" w:rsidRPr="00FA0D37" w:rsidRDefault="00394471" w:rsidP="00FA0D37">
      <w:pPr>
        <w:pStyle w:val="PL"/>
      </w:pPr>
      <w:r w:rsidRPr="00FA0D37">
        <w:t xml:space="preserve">    defaultDRB                          </w:t>
      </w:r>
      <w:r w:rsidRPr="00FA0D37">
        <w:rPr>
          <w:color w:val="993366"/>
        </w:rPr>
        <w:t>BOOLEAN</w:t>
      </w:r>
      <w:r w:rsidRPr="00FA0D37">
        <w:t>,</w:t>
      </w:r>
    </w:p>
    <w:p w14:paraId="442BF8FE" w14:textId="77777777" w:rsidR="00394471" w:rsidRPr="00FA0D37" w:rsidRDefault="00394471" w:rsidP="00FA0D37">
      <w:pPr>
        <w:pStyle w:val="PL"/>
        <w:rPr>
          <w:color w:val="808080"/>
        </w:rPr>
      </w:pPr>
      <w:r w:rsidRPr="00FA0D37">
        <w:t xml:space="preserve">    mappedQoS-FlowsToAdd                </w:t>
      </w:r>
      <w:r w:rsidRPr="00FA0D37">
        <w:rPr>
          <w:color w:val="993366"/>
        </w:rPr>
        <w:t>SEQUENCE</w:t>
      </w:r>
      <w:r w:rsidRPr="00FA0D37">
        <w:t xml:space="preserve"> (</w:t>
      </w:r>
      <w:r w:rsidRPr="00FA0D37">
        <w:rPr>
          <w:color w:val="993366"/>
        </w:rPr>
        <w:t>SIZE</w:t>
      </w:r>
      <w:r w:rsidRPr="00FA0D37">
        <w:t xml:space="preserve"> (1..maxNrofQFIs))</w:t>
      </w:r>
      <w:r w:rsidRPr="00FA0D37">
        <w:rPr>
          <w:color w:val="993366"/>
        </w:rPr>
        <w:t xml:space="preserve"> OF</w:t>
      </w:r>
      <w:r w:rsidRPr="00FA0D37">
        <w:t xml:space="preserve"> QFI                                 </w:t>
      </w:r>
      <w:r w:rsidRPr="00FA0D37">
        <w:rPr>
          <w:color w:val="993366"/>
        </w:rPr>
        <w:t>OPTIONAL</w:t>
      </w:r>
      <w:r w:rsidRPr="00FA0D37">
        <w:t xml:space="preserve">, </w:t>
      </w:r>
      <w:r w:rsidRPr="00FA0D37">
        <w:rPr>
          <w:color w:val="808080"/>
        </w:rPr>
        <w:t>-- Need N</w:t>
      </w:r>
    </w:p>
    <w:p w14:paraId="65FBFD77" w14:textId="77777777" w:rsidR="00394471" w:rsidRPr="00FA0D37" w:rsidRDefault="00394471" w:rsidP="00FA0D37">
      <w:pPr>
        <w:pStyle w:val="PL"/>
        <w:rPr>
          <w:color w:val="808080"/>
        </w:rPr>
      </w:pPr>
      <w:r w:rsidRPr="00FA0D37">
        <w:t xml:space="preserve">    mappedQoS-FlowsToRelease            </w:t>
      </w:r>
      <w:r w:rsidRPr="00FA0D37">
        <w:rPr>
          <w:color w:val="993366"/>
        </w:rPr>
        <w:t>SEQUENCE</w:t>
      </w:r>
      <w:r w:rsidRPr="00FA0D37">
        <w:t xml:space="preserve"> (</w:t>
      </w:r>
      <w:r w:rsidRPr="00FA0D37">
        <w:rPr>
          <w:color w:val="993366"/>
        </w:rPr>
        <w:t>SIZE</w:t>
      </w:r>
      <w:r w:rsidRPr="00FA0D37">
        <w:t xml:space="preserve"> (1..maxNrofQFIs))</w:t>
      </w:r>
      <w:r w:rsidRPr="00FA0D37">
        <w:rPr>
          <w:color w:val="993366"/>
        </w:rPr>
        <w:t xml:space="preserve"> OF</w:t>
      </w:r>
      <w:r w:rsidRPr="00FA0D37">
        <w:t xml:space="preserve"> QFI                                 </w:t>
      </w:r>
      <w:r w:rsidRPr="00FA0D37">
        <w:rPr>
          <w:color w:val="993366"/>
        </w:rPr>
        <w:t>OPTIONAL</w:t>
      </w:r>
      <w:r w:rsidRPr="00FA0D37">
        <w:t xml:space="preserve">, </w:t>
      </w:r>
      <w:r w:rsidRPr="00FA0D37">
        <w:rPr>
          <w:color w:val="808080"/>
        </w:rPr>
        <w:t>-- Need N</w:t>
      </w:r>
    </w:p>
    <w:p w14:paraId="0F37AC3A" w14:textId="77777777" w:rsidR="00394471" w:rsidRPr="00FA0D37" w:rsidRDefault="00394471" w:rsidP="00FA0D37">
      <w:pPr>
        <w:pStyle w:val="PL"/>
      </w:pPr>
      <w:r w:rsidRPr="00FA0D37">
        <w:t xml:space="preserve">    ...</w:t>
      </w:r>
    </w:p>
    <w:p w14:paraId="65D6F96C" w14:textId="77777777" w:rsidR="00394471" w:rsidRPr="00FA0D37" w:rsidRDefault="00394471" w:rsidP="00FA0D37">
      <w:pPr>
        <w:pStyle w:val="PL"/>
      </w:pPr>
      <w:r w:rsidRPr="00FA0D37">
        <w:t>}</w:t>
      </w:r>
    </w:p>
    <w:p w14:paraId="032B8199" w14:textId="77777777" w:rsidR="00394471" w:rsidRPr="00FA0D37" w:rsidRDefault="00394471" w:rsidP="00FA0D37">
      <w:pPr>
        <w:pStyle w:val="PL"/>
      </w:pPr>
    </w:p>
    <w:p w14:paraId="37178A7F" w14:textId="77777777" w:rsidR="00394471" w:rsidRPr="00FA0D37" w:rsidRDefault="00394471" w:rsidP="00FA0D37">
      <w:pPr>
        <w:pStyle w:val="PL"/>
      </w:pPr>
      <w:r w:rsidRPr="00FA0D37">
        <w:t xml:space="preserve">QFI ::=                             </w:t>
      </w:r>
      <w:r w:rsidRPr="00FA0D37">
        <w:rPr>
          <w:color w:val="993366"/>
        </w:rPr>
        <w:t>INTEGER</w:t>
      </w:r>
      <w:r w:rsidRPr="00FA0D37">
        <w:t xml:space="preserve"> (0..maxQFI)</w:t>
      </w:r>
    </w:p>
    <w:p w14:paraId="1D2901A8" w14:textId="77777777" w:rsidR="00394471" w:rsidRPr="00FA0D37" w:rsidRDefault="00394471" w:rsidP="00FA0D37">
      <w:pPr>
        <w:pStyle w:val="PL"/>
      </w:pPr>
    </w:p>
    <w:p w14:paraId="49315A81" w14:textId="77777777" w:rsidR="00394471" w:rsidRPr="00FA0D37" w:rsidRDefault="00394471" w:rsidP="00FA0D37">
      <w:pPr>
        <w:pStyle w:val="PL"/>
      </w:pPr>
      <w:r w:rsidRPr="00FA0D37">
        <w:t xml:space="preserve">PDU-SessionID ::=                   </w:t>
      </w:r>
      <w:r w:rsidRPr="00FA0D37">
        <w:rPr>
          <w:color w:val="993366"/>
        </w:rPr>
        <w:t>INTEGER</w:t>
      </w:r>
      <w:r w:rsidRPr="00FA0D37">
        <w:t xml:space="preserve"> (0..255)</w:t>
      </w:r>
    </w:p>
    <w:p w14:paraId="0569E3DA" w14:textId="77777777" w:rsidR="00394471" w:rsidRPr="00FA0D37" w:rsidRDefault="00394471" w:rsidP="00FA0D37">
      <w:pPr>
        <w:pStyle w:val="PL"/>
      </w:pPr>
    </w:p>
    <w:p w14:paraId="4A56E5A1" w14:textId="77777777" w:rsidR="00394471" w:rsidRPr="00FA0D37" w:rsidRDefault="00394471" w:rsidP="00FA0D37">
      <w:pPr>
        <w:pStyle w:val="PL"/>
        <w:rPr>
          <w:color w:val="808080"/>
        </w:rPr>
      </w:pPr>
      <w:r w:rsidRPr="00FA0D37">
        <w:rPr>
          <w:color w:val="808080"/>
        </w:rPr>
        <w:t>-- TAG-SDAP-CONFIG-STOP</w:t>
      </w:r>
    </w:p>
    <w:p w14:paraId="02B43D9D" w14:textId="77777777" w:rsidR="00394471" w:rsidRPr="00FA0D37" w:rsidRDefault="00394471" w:rsidP="00FA0D37">
      <w:pPr>
        <w:pStyle w:val="PL"/>
        <w:rPr>
          <w:color w:val="808080"/>
        </w:rPr>
      </w:pPr>
      <w:r w:rsidRPr="00FA0D37">
        <w:rPr>
          <w:color w:val="808080"/>
        </w:rPr>
        <w:t>-- ASN1STOP</w:t>
      </w:r>
    </w:p>
    <w:p w14:paraId="57AC67A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FA0D37" w:rsidRDefault="00394471" w:rsidP="00964CC4">
            <w:pPr>
              <w:pStyle w:val="TAH"/>
              <w:rPr>
                <w:szCs w:val="22"/>
                <w:lang w:eastAsia="sv-SE"/>
              </w:rPr>
            </w:pPr>
            <w:r w:rsidRPr="00FA0D37">
              <w:rPr>
                <w:i/>
                <w:szCs w:val="22"/>
                <w:lang w:eastAsia="sv-SE"/>
              </w:rPr>
              <w:lastRenderedPageBreak/>
              <w:t xml:space="preserve">SDAP-Config </w:t>
            </w:r>
            <w:r w:rsidRPr="00FA0D37">
              <w:rPr>
                <w:szCs w:val="22"/>
                <w:lang w:eastAsia="sv-SE"/>
              </w:rPr>
              <w:t>field descriptions</w:t>
            </w:r>
          </w:p>
        </w:tc>
      </w:tr>
      <w:tr w:rsidR="005C7FF4" w:rsidRPr="00FA0D37"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FA0D37" w:rsidRDefault="00394471" w:rsidP="00964CC4">
            <w:pPr>
              <w:pStyle w:val="TAL"/>
              <w:rPr>
                <w:b/>
                <w:bCs/>
                <w:i/>
                <w:szCs w:val="22"/>
                <w:lang w:eastAsia="en-GB"/>
              </w:rPr>
            </w:pPr>
            <w:r w:rsidRPr="00FA0D37">
              <w:rPr>
                <w:b/>
                <w:bCs/>
                <w:i/>
                <w:szCs w:val="22"/>
                <w:lang w:eastAsia="en-GB"/>
              </w:rPr>
              <w:t>defaultDRB</w:t>
            </w:r>
          </w:p>
          <w:p w14:paraId="34FA8387" w14:textId="77777777" w:rsidR="00394471" w:rsidRPr="00FA0D37" w:rsidRDefault="00394471" w:rsidP="00964CC4">
            <w:pPr>
              <w:pStyle w:val="TAL"/>
              <w:rPr>
                <w:b/>
                <w:i/>
                <w:szCs w:val="22"/>
                <w:lang w:eastAsia="sv-SE"/>
              </w:rPr>
            </w:pPr>
            <w:r w:rsidRPr="00FA0D37">
              <w:rPr>
                <w:bCs/>
                <w:szCs w:val="22"/>
                <w:lang w:eastAsia="en-GB"/>
              </w:rPr>
              <w:t xml:space="preserve">Indicates whether or not this is the default DRB for this PDU session. Among all configured instances of </w:t>
            </w:r>
            <w:r w:rsidRPr="00FA0D37">
              <w:rPr>
                <w:bCs/>
                <w:i/>
                <w:szCs w:val="22"/>
                <w:lang w:eastAsia="en-GB"/>
              </w:rPr>
              <w:t>SDAP-Config</w:t>
            </w:r>
            <w:r w:rsidRPr="00FA0D37">
              <w:rPr>
                <w:bCs/>
                <w:szCs w:val="22"/>
                <w:lang w:eastAsia="en-GB"/>
              </w:rPr>
              <w:t xml:space="preserve"> with the same value of </w:t>
            </w:r>
            <w:r w:rsidRPr="00FA0D37">
              <w:rPr>
                <w:bCs/>
                <w:i/>
                <w:szCs w:val="22"/>
                <w:lang w:eastAsia="en-GB"/>
              </w:rPr>
              <w:t>pdu-Session</w:t>
            </w:r>
            <w:r w:rsidRPr="00FA0D37">
              <w:rPr>
                <w:bCs/>
                <w:szCs w:val="22"/>
                <w:lang w:eastAsia="en-GB"/>
              </w:rPr>
              <w:t xml:space="preserve">, this field shall be set to </w:t>
            </w:r>
            <w:r w:rsidRPr="00FA0D37">
              <w:rPr>
                <w:i/>
                <w:iCs/>
                <w:lang w:eastAsia="en-GB"/>
              </w:rPr>
              <w:t>true</w:t>
            </w:r>
            <w:r w:rsidRPr="00FA0D37">
              <w:rPr>
                <w:bCs/>
                <w:szCs w:val="22"/>
                <w:lang w:eastAsia="en-GB"/>
              </w:rPr>
              <w:t xml:space="preserve"> in at most one instance of SDAP-Config and to </w:t>
            </w:r>
            <w:r w:rsidRPr="00FA0D37">
              <w:rPr>
                <w:bCs/>
                <w:i/>
                <w:szCs w:val="22"/>
                <w:lang w:eastAsia="en-GB"/>
              </w:rPr>
              <w:t>false</w:t>
            </w:r>
            <w:r w:rsidRPr="00FA0D37">
              <w:rPr>
                <w:bCs/>
                <w:szCs w:val="22"/>
                <w:lang w:eastAsia="en-GB"/>
              </w:rPr>
              <w:t xml:space="preserve"> in all other instances.</w:t>
            </w:r>
          </w:p>
        </w:tc>
      </w:tr>
      <w:tr w:rsidR="005C7FF4" w:rsidRPr="00FA0D37"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FA0D37" w:rsidRDefault="00394471" w:rsidP="00964CC4">
            <w:pPr>
              <w:pStyle w:val="TAL"/>
              <w:rPr>
                <w:b/>
                <w:bCs/>
                <w:i/>
                <w:szCs w:val="22"/>
                <w:lang w:eastAsia="en-GB"/>
              </w:rPr>
            </w:pPr>
            <w:r w:rsidRPr="00FA0D37">
              <w:rPr>
                <w:b/>
                <w:bCs/>
                <w:i/>
                <w:szCs w:val="22"/>
                <w:lang w:eastAsia="en-GB"/>
              </w:rPr>
              <w:t>mappedQoS-FlowsToAdd</w:t>
            </w:r>
          </w:p>
          <w:p w14:paraId="73E2C79A" w14:textId="77777777" w:rsidR="00394471" w:rsidRPr="00FA0D37" w:rsidRDefault="00394471" w:rsidP="00964CC4">
            <w:pPr>
              <w:pStyle w:val="TAL"/>
              <w:rPr>
                <w:b/>
                <w:bCs/>
                <w:i/>
                <w:szCs w:val="22"/>
                <w:lang w:eastAsia="en-GB"/>
              </w:rPr>
            </w:pPr>
            <w:r w:rsidRPr="00FA0D37">
              <w:rPr>
                <w:bCs/>
                <w:szCs w:val="22"/>
                <w:lang w:eastAsia="en-GB"/>
              </w:rPr>
              <w:t xml:space="preserve">Indicates the list of QFIs of UL QoS flows of the PDU session to be additionally mapped to this DRB. A QFI value can be included at most once in all configured instances of </w:t>
            </w:r>
            <w:r w:rsidRPr="00FA0D37">
              <w:rPr>
                <w:bCs/>
                <w:i/>
                <w:szCs w:val="22"/>
                <w:lang w:eastAsia="en-GB"/>
              </w:rPr>
              <w:t>SDAP-Config</w:t>
            </w:r>
            <w:r w:rsidRPr="00FA0D37">
              <w:rPr>
                <w:bCs/>
                <w:szCs w:val="22"/>
                <w:lang w:eastAsia="en-GB"/>
              </w:rPr>
              <w:t xml:space="preserve"> with the same value of </w:t>
            </w:r>
            <w:r w:rsidRPr="00FA0D37">
              <w:rPr>
                <w:bCs/>
                <w:i/>
                <w:szCs w:val="22"/>
                <w:lang w:eastAsia="en-GB"/>
              </w:rPr>
              <w:t>pdu-Session</w:t>
            </w:r>
            <w:r w:rsidRPr="00FA0D37">
              <w:rPr>
                <w:bCs/>
                <w:szCs w:val="22"/>
                <w:lang w:eastAsia="en-GB"/>
              </w:rPr>
              <w:t xml:space="preserve">. For QoS flow remapping, the QFI value of the remapped QoS flow is only included in </w:t>
            </w:r>
            <w:r w:rsidRPr="00FA0D37">
              <w:rPr>
                <w:bCs/>
                <w:i/>
                <w:szCs w:val="22"/>
                <w:lang w:eastAsia="en-GB"/>
              </w:rPr>
              <w:t>mappedQoS-FlowsToAdd</w:t>
            </w:r>
            <w:r w:rsidRPr="00FA0D37">
              <w:rPr>
                <w:bCs/>
                <w:szCs w:val="22"/>
                <w:lang w:eastAsia="en-GB"/>
              </w:rPr>
              <w:t xml:space="preserve"> in </w:t>
            </w:r>
            <w:r w:rsidRPr="00FA0D37">
              <w:rPr>
                <w:bCs/>
                <w:i/>
                <w:szCs w:val="22"/>
                <w:lang w:eastAsia="en-GB"/>
              </w:rPr>
              <w:t>sdap-Config</w:t>
            </w:r>
            <w:r w:rsidRPr="00FA0D37">
              <w:rPr>
                <w:bCs/>
                <w:szCs w:val="22"/>
                <w:lang w:eastAsia="en-GB"/>
              </w:rPr>
              <w:t xml:space="preserve"> corresponding to the new DRB and not included in </w:t>
            </w:r>
            <w:r w:rsidRPr="00FA0D37">
              <w:rPr>
                <w:bCs/>
                <w:i/>
                <w:szCs w:val="22"/>
                <w:lang w:eastAsia="en-GB"/>
              </w:rPr>
              <w:t>mappedQoS-FlowsToRelease</w:t>
            </w:r>
            <w:r w:rsidRPr="00FA0D37">
              <w:rPr>
                <w:bCs/>
                <w:szCs w:val="22"/>
                <w:lang w:eastAsia="en-GB"/>
              </w:rPr>
              <w:t xml:space="preserve"> in </w:t>
            </w:r>
            <w:r w:rsidRPr="00FA0D37">
              <w:rPr>
                <w:bCs/>
                <w:i/>
                <w:szCs w:val="22"/>
                <w:lang w:eastAsia="en-GB"/>
              </w:rPr>
              <w:t>sdap-Config</w:t>
            </w:r>
            <w:r w:rsidRPr="00FA0D37">
              <w:rPr>
                <w:bCs/>
                <w:szCs w:val="22"/>
                <w:lang w:eastAsia="en-GB"/>
              </w:rPr>
              <w:t xml:space="preserve"> corresponding to the old DRB.</w:t>
            </w:r>
          </w:p>
        </w:tc>
      </w:tr>
      <w:tr w:rsidR="005C7FF4" w:rsidRPr="00FA0D37"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FA0D37" w:rsidRDefault="00394471" w:rsidP="00964CC4">
            <w:pPr>
              <w:pStyle w:val="TAL"/>
              <w:rPr>
                <w:b/>
                <w:bCs/>
                <w:i/>
                <w:szCs w:val="22"/>
                <w:lang w:eastAsia="en-GB"/>
              </w:rPr>
            </w:pPr>
            <w:r w:rsidRPr="00FA0D37">
              <w:rPr>
                <w:b/>
                <w:bCs/>
                <w:i/>
                <w:szCs w:val="22"/>
                <w:lang w:eastAsia="en-GB"/>
              </w:rPr>
              <w:t>mappedQoS-FlowsToRelease</w:t>
            </w:r>
          </w:p>
          <w:p w14:paraId="49318804" w14:textId="77777777" w:rsidR="00394471" w:rsidRPr="00FA0D37" w:rsidRDefault="00394471" w:rsidP="00964CC4">
            <w:pPr>
              <w:pStyle w:val="TAL"/>
              <w:rPr>
                <w:b/>
                <w:bCs/>
                <w:i/>
                <w:szCs w:val="22"/>
                <w:lang w:eastAsia="en-GB"/>
              </w:rPr>
            </w:pPr>
            <w:r w:rsidRPr="00FA0D37">
              <w:rPr>
                <w:bCs/>
                <w:szCs w:val="22"/>
                <w:lang w:eastAsia="en-GB"/>
              </w:rPr>
              <w:t xml:space="preserve">Indicates the list of QFIs of QoS flows of the PDU session to be released from existing QoS flow to DRB mapping of this DRB. </w:t>
            </w:r>
          </w:p>
        </w:tc>
      </w:tr>
      <w:tr w:rsidR="005C7FF4" w:rsidRPr="00FA0D37"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FA0D37" w:rsidRDefault="00394471" w:rsidP="00964CC4">
            <w:pPr>
              <w:pStyle w:val="TAL"/>
              <w:rPr>
                <w:b/>
                <w:i/>
                <w:iCs/>
                <w:szCs w:val="22"/>
                <w:lang w:eastAsia="en-GB"/>
              </w:rPr>
            </w:pPr>
            <w:r w:rsidRPr="00FA0D37">
              <w:rPr>
                <w:b/>
                <w:i/>
                <w:iCs/>
                <w:szCs w:val="22"/>
                <w:lang w:eastAsia="en-GB"/>
              </w:rPr>
              <w:t>pdu-Session</w:t>
            </w:r>
          </w:p>
          <w:p w14:paraId="2F3FBEEE" w14:textId="77777777" w:rsidR="00394471" w:rsidRPr="00FA0D37" w:rsidRDefault="00394471" w:rsidP="00964CC4">
            <w:pPr>
              <w:pStyle w:val="TAL"/>
              <w:rPr>
                <w:b/>
                <w:bCs/>
                <w:i/>
                <w:szCs w:val="22"/>
                <w:lang w:eastAsia="en-GB"/>
              </w:rPr>
            </w:pPr>
            <w:r w:rsidRPr="00FA0D37">
              <w:rPr>
                <w:iCs/>
                <w:szCs w:val="22"/>
                <w:lang w:eastAsia="en-GB"/>
              </w:rPr>
              <w:t>Identity of the PDU session whose QoS flows are mapped to the DRB.</w:t>
            </w:r>
          </w:p>
        </w:tc>
      </w:tr>
      <w:tr w:rsidR="005C7FF4" w:rsidRPr="00FA0D37"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FA0D37" w:rsidRDefault="00394471" w:rsidP="00964CC4">
            <w:pPr>
              <w:pStyle w:val="TAL"/>
              <w:rPr>
                <w:b/>
                <w:bCs/>
                <w:i/>
                <w:szCs w:val="22"/>
                <w:lang w:eastAsia="en-GB"/>
              </w:rPr>
            </w:pPr>
            <w:r w:rsidRPr="00FA0D37">
              <w:rPr>
                <w:b/>
                <w:bCs/>
                <w:i/>
                <w:szCs w:val="22"/>
                <w:lang w:eastAsia="en-GB"/>
              </w:rPr>
              <w:t>sdap-HeaderUL</w:t>
            </w:r>
          </w:p>
          <w:p w14:paraId="6CB72AF1" w14:textId="77777777" w:rsidR="00394471" w:rsidRPr="00FA0D37" w:rsidRDefault="00394471" w:rsidP="00964CC4">
            <w:pPr>
              <w:pStyle w:val="TAL"/>
              <w:rPr>
                <w:b/>
                <w:bCs/>
                <w:i/>
                <w:szCs w:val="22"/>
                <w:lang w:eastAsia="en-GB"/>
              </w:rPr>
            </w:pPr>
            <w:r w:rsidRPr="00FA0D37">
              <w:rPr>
                <w:bCs/>
                <w:szCs w:val="22"/>
                <w:lang w:eastAsia="en-GB"/>
              </w:rPr>
              <w:t>Indicates whether or not a SDAP header is present for UL data on this DRB. The field cannot be changed after a DRB is established.</w:t>
            </w:r>
            <w:r w:rsidRPr="00FA0D37">
              <w:rPr>
                <w:lang w:eastAsia="sv-SE"/>
              </w:rPr>
              <w:t xml:space="preserve"> </w:t>
            </w:r>
            <w:r w:rsidRPr="00FA0D37">
              <w:rPr>
                <w:bCs/>
                <w:szCs w:val="22"/>
                <w:lang w:eastAsia="en-GB"/>
              </w:rPr>
              <w:t xml:space="preserve">The network sets this field to </w:t>
            </w:r>
            <w:r w:rsidRPr="00FA0D37">
              <w:rPr>
                <w:bCs/>
                <w:i/>
                <w:szCs w:val="22"/>
                <w:lang w:eastAsia="en-GB"/>
              </w:rPr>
              <w:t>present</w:t>
            </w:r>
            <w:r w:rsidRPr="00FA0D37">
              <w:rPr>
                <w:bCs/>
                <w:szCs w:val="22"/>
                <w:lang w:eastAsia="en-GB"/>
              </w:rPr>
              <w:t xml:space="preserve"> if the field </w:t>
            </w:r>
            <w:r w:rsidRPr="00FA0D37">
              <w:rPr>
                <w:bCs/>
                <w:i/>
                <w:szCs w:val="22"/>
                <w:lang w:eastAsia="en-GB"/>
              </w:rPr>
              <w:t>defaultDRB</w:t>
            </w:r>
            <w:r w:rsidRPr="00FA0D37">
              <w:rPr>
                <w:bCs/>
                <w:szCs w:val="22"/>
                <w:lang w:eastAsia="en-GB"/>
              </w:rPr>
              <w:t xml:space="preserve"> is set to </w:t>
            </w:r>
            <w:r w:rsidRPr="00FA0D37">
              <w:rPr>
                <w:i/>
                <w:iCs/>
                <w:lang w:eastAsia="en-GB"/>
              </w:rPr>
              <w:t>true</w:t>
            </w:r>
            <w:r w:rsidRPr="00FA0D37">
              <w:rPr>
                <w:bCs/>
                <w:szCs w:val="22"/>
                <w:lang w:eastAsia="en-GB"/>
              </w:rPr>
              <w:t>.</w:t>
            </w:r>
          </w:p>
        </w:tc>
      </w:tr>
      <w:tr w:rsidR="00394471" w:rsidRPr="00FA0D37"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FA0D37" w:rsidRDefault="00394471" w:rsidP="00964CC4">
            <w:pPr>
              <w:pStyle w:val="TAL"/>
              <w:rPr>
                <w:b/>
                <w:bCs/>
                <w:i/>
                <w:szCs w:val="22"/>
                <w:lang w:eastAsia="en-GB"/>
              </w:rPr>
            </w:pPr>
            <w:r w:rsidRPr="00FA0D37">
              <w:rPr>
                <w:b/>
                <w:bCs/>
                <w:i/>
                <w:szCs w:val="22"/>
                <w:lang w:eastAsia="en-GB"/>
              </w:rPr>
              <w:t>sdap-HeaderDL</w:t>
            </w:r>
          </w:p>
          <w:p w14:paraId="11855C7D" w14:textId="77777777" w:rsidR="00394471" w:rsidRPr="00FA0D37" w:rsidRDefault="00394471" w:rsidP="00964CC4">
            <w:pPr>
              <w:pStyle w:val="TAL"/>
              <w:rPr>
                <w:b/>
                <w:bCs/>
                <w:i/>
                <w:szCs w:val="22"/>
                <w:lang w:eastAsia="en-GB"/>
              </w:rPr>
            </w:pPr>
            <w:r w:rsidRPr="00FA0D37">
              <w:rPr>
                <w:bCs/>
                <w:szCs w:val="22"/>
                <w:lang w:eastAsia="en-GB"/>
              </w:rPr>
              <w:t>Indicates whether or not a SDAP header is present for DL data on this DRB. The field cannot be changed after a DRB is established.</w:t>
            </w:r>
          </w:p>
        </w:tc>
      </w:tr>
    </w:tbl>
    <w:p w14:paraId="7D802640" w14:textId="77777777" w:rsidR="00394471" w:rsidRPr="00FA0D37" w:rsidRDefault="00394471" w:rsidP="00394471"/>
    <w:p w14:paraId="38485F75" w14:textId="77777777" w:rsidR="00394471" w:rsidRPr="00FA0D37" w:rsidRDefault="00394471" w:rsidP="00394471">
      <w:pPr>
        <w:pStyle w:val="4"/>
      </w:pPr>
      <w:bookmarkStart w:id="1368" w:name="_Toc60777372"/>
      <w:bookmarkStart w:id="1369" w:name="_Toc146781456"/>
      <w:r w:rsidRPr="00FA0D37">
        <w:t>–</w:t>
      </w:r>
      <w:r w:rsidRPr="00FA0D37">
        <w:tab/>
      </w:r>
      <w:r w:rsidRPr="00FA0D37">
        <w:rPr>
          <w:i/>
        </w:rPr>
        <w:t>SearchSpace</w:t>
      </w:r>
      <w:bookmarkEnd w:id="1368"/>
      <w:bookmarkEnd w:id="1369"/>
    </w:p>
    <w:p w14:paraId="4B82EF3C" w14:textId="14BE3C2C" w:rsidR="00394471" w:rsidRPr="00FA0D37" w:rsidRDefault="00394471" w:rsidP="00394471">
      <w:r w:rsidRPr="00FA0D37">
        <w:t xml:space="preserve">The IE </w:t>
      </w:r>
      <w:r w:rsidRPr="00FA0D37">
        <w:rPr>
          <w:i/>
        </w:rPr>
        <w:t>SearchSpace</w:t>
      </w:r>
      <w:r w:rsidRPr="00FA0D37">
        <w:t xml:space="preserve"> defines how/where to search for PDCCH candidates. Each search space is associated with one </w:t>
      </w:r>
      <w:r w:rsidRPr="00FA0D37">
        <w:rPr>
          <w:i/>
        </w:rPr>
        <w:t>ControlResourceSet</w:t>
      </w:r>
      <w:r w:rsidRPr="00FA0D37">
        <w:t xml:space="preserve">. For a scheduled </w:t>
      </w:r>
      <w:r w:rsidR="00CF53DD" w:rsidRPr="00FA0D37">
        <w:t xml:space="preserve">SCell </w:t>
      </w:r>
      <w:r w:rsidRPr="00FA0D37">
        <w:t xml:space="preserve">in the case of cross carrier scheduling, except for </w:t>
      </w:r>
      <w:r w:rsidRPr="00FA0D37">
        <w:rPr>
          <w:i/>
        </w:rPr>
        <w:t>nrofCandidates</w:t>
      </w:r>
      <w:r w:rsidRPr="00FA0D37">
        <w:t>, all the optional fields are absent</w:t>
      </w:r>
      <w:r w:rsidRPr="00FA0D37">
        <w:rPr>
          <w:lang w:eastAsia="zh-CN"/>
        </w:rPr>
        <w:t xml:space="preserve"> (regardless of their presence conditions)</w:t>
      </w:r>
      <w:r w:rsidRPr="00FA0D37">
        <w:t>.</w:t>
      </w:r>
      <w:r w:rsidR="00CF53DD" w:rsidRPr="00FA0D37">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FA0D37">
        <w:rPr>
          <w:i/>
          <w:iCs/>
        </w:rPr>
        <w:t>nrofCandidates</w:t>
      </w:r>
      <w:r w:rsidR="00CF53DD" w:rsidRPr="00FA0D37">
        <w:t>.</w:t>
      </w:r>
    </w:p>
    <w:p w14:paraId="7920A191" w14:textId="77777777" w:rsidR="00394471" w:rsidRPr="00FA0D37" w:rsidRDefault="00394471" w:rsidP="00394471">
      <w:pPr>
        <w:pStyle w:val="TH"/>
      </w:pPr>
      <w:r w:rsidRPr="00FA0D37">
        <w:rPr>
          <w:i/>
        </w:rPr>
        <w:t>SearchSpace</w:t>
      </w:r>
      <w:r w:rsidRPr="00FA0D37">
        <w:t xml:space="preserve"> information element</w:t>
      </w:r>
    </w:p>
    <w:p w14:paraId="73E33088" w14:textId="77777777" w:rsidR="00394471" w:rsidRPr="00FA0D37" w:rsidRDefault="00394471" w:rsidP="00FA0D37">
      <w:pPr>
        <w:pStyle w:val="PL"/>
        <w:rPr>
          <w:color w:val="808080"/>
        </w:rPr>
      </w:pPr>
      <w:r w:rsidRPr="00FA0D37">
        <w:rPr>
          <w:color w:val="808080"/>
        </w:rPr>
        <w:t>-- ASN1START</w:t>
      </w:r>
    </w:p>
    <w:p w14:paraId="6DC9D128" w14:textId="77777777" w:rsidR="00394471" w:rsidRPr="00FA0D37" w:rsidRDefault="00394471" w:rsidP="00FA0D37">
      <w:pPr>
        <w:pStyle w:val="PL"/>
        <w:rPr>
          <w:color w:val="808080"/>
        </w:rPr>
      </w:pPr>
      <w:r w:rsidRPr="00FA0D37">
        <w:rPr>
          <w:color w:val="808080"/>
        </w:rPr>
        <w:t>-- TAG-SEARCHSPACE-START</w:t>
      </w:r>
    </w:p>
    <w:p w14:paraId="7269E031" w14:textId="77777777" w:rsidR="00394471" w:rsidRPr="00FA0D37" w:rsidRDefault="00394471" w:rsidP="00FA0D37">
      <w:pPr>
        <w:pStyle w:val="PL"/>
      </w:pPr>
    </w:p>
    <w:p w14:paraId="62CAB0F5" w14:textId="77777777" w:rsidR="00394471" w:rsidRPr="00FA0D37" w:rsidRDefault="00394471" w:rsidP="00FA0D37">
      <w:pPr>
        <w:pStyle w:val="PL"/>
      </w:pPr>
      <w:r w:rsidRPr="00FA0D37">
        <w:t xml:space="preserve">SearchSpace ::=                         </w:t>
      </w:r>
      <w:r w:rsidRPr="00FA0D37">
        <w:rPr>
          <w:color w:val="993366"/>
        </w:rPr>
        <w:t>SEQUENCE</w:t>
      </w:r>
      <w:r w:rsidRPr="00FA0D37">
        <w:t xml:space="preserve"> {</w:t>
      </w:r>
    </w:p>
    <w:p w14:paraId="14F39C45" w14:textId="77777777" w:rsidR="00394471" w:rsidRPr="00FA0D37" w:rsidRDefault="00394471" w:rsidP="00FA0D37">
      <w:pPr>
        <w:pStyle w:val="PL"/>
      </w:pPr>
      <w:r w:rsidRPr="00FA0D37">
        <w:t xml:space="preserve">    searchSpaceId                           SearchSpaceId,</w:t>
      </w:r>
    </w:p>
    <w:p w14:paraId="60BEC0CE" w14:textId="77777777" w:rsidR="00394471" w:rsidRPr="00FA0D37" w:rsidRDefault="00394471" w:rsidP="00FA0D37">
      <w:pPr>
        <w:pStyle w:val="PL"/>
        <w:rPr>
          <w:color w:val="808080"/>
        </w:rPr>
      </w:pPr>
      <w:r w:rsidRPr="00FA0D37">
        <w:t xml:space="preserve">    controlResourceSetId                    ControlResourceSetId                                        </w:t>
      </w:r>
      <w:r w:rsidRPr="00FA0D37">
        <w:rPr>
          <w:color w:val="993366"/>
        </w:rPr>
        <w:t>OPTIONAL</w:t>
      </w:r>
      <w:r w:rsidRPr="00FA0D37">
        <w:t xml:space="preserve">,   </w:t>
      </w:r>
      <w:r w:rsidRPr="00FA0D37">
        <w:rPr>
          <w:color w:val="808080"/>
        </w:rPr>
        <w:t>-- Cond SetupOnly</w:t>
      </w:r>
    </w:p>
    <w:p w14:paraId="10F79274" w14:textId="77777777" w:rsidR="00394471" w:rsidRPr="00FA0D37" w:rsidRDefault="00394471" w:rsidP="00FA0D37">
      <w:pPr>
        <w:pStyle w:val="PL"/>
      </w:pPr>
      <w:r w:rsidRPr="00FA0D37">
        <w:t xml:space="preserve">    monitoringSlotPeriodicityAndOffset      </w:t>
      </w:r>
      <w:r w:rsidRPr="00FA0D37">
        <w:rPr>
          <w:color w:val="993366"/>
        </w:rPr>
        <w:t>CHOICE</w:t>
      </w:r>
      <w:r w:rsidRPr="00FA0D37">
        <w:t xml:space="preserve"> {</w:t>
      </w:r>
    </w:p>
    <w:p w14:paraId="04BA2A09" w14:textId="77777777" w:rsidR="00394471" w:rsidRPr="00FA0D37" w:rsidRDefault="00394471" w:rsidP="00FA0D37">
      <w:pPr>
        <w:pStyle w:val="PL"/>
      </w:pPr>
      <w:r w:rsidRPr="00FA0D37">
        <w:t xml:space="preserve">        sl1                                     </w:t>
      </w:r>
      <w:r w:rsidRPr="00FA0D37">
        <w:rPr>
          <w:color w:val="993366"/>
        </w:rPr>
        <w:t>NULL</w:t>
      </w:r>
      <w:r w:rsidRPr="00FA0D37">
        <w:t>,</w:t>
      </w:r>
    </w:p>
    <w:p w14:paraId="74EB5017" w14:textId="77777777" w:rsidR="00394471" w:rsidRPr="00FA0D37" w:rsidRDefault="00394471" w:rsidP="00FA0D37">
      <w:pPr>
        <w:pStyle w:val="PL"/>
      </w:pPr>
      <w:r w:rsidRPr="00FA0D37">
        <w:t xml:space="preserve">        sl2                                     </w:t>
      </w:r>
      <w:r w:rsidRPr="00FA0D37">
        <w:rPr>
          <w:color w:val="993366"/>
        </w:rPr>
        <w:t>INTEGER</w:t>
      </w:r>
      <w:r w:rsidRPr="00FA0D37">
        <w:t xml:space="preserve"> (0..1),</w:t>
      </w:r>
    </w:p>
    <w:p w14:paraId="026C84BC" w14:textId="77777777" w:rsidR="00394471" w:rsidRPr="00FA0D37" w:rsidRDefault="00394471" w:rsidP="00FA0D37">
      <w:pPr>
        <w:pStyle w:val="PL"/>
      </w:pPr>
      <w:r w:rsidRPr="00FA0D37">
        <w:t xml:space="preserve">        sl4                                     </w:t>
      </w:r>
      <w:r w:rsidRPr="00FA0D37">
        <w:rPr>
          <w:color w:val="993366"/>
        </w:rPr>
        <w:t>INTEGER</w:t>
      </w:r>
      <w:r w:rsidRPr="00FA0D37">
        <w:t xml:space="preserve"> (0..3),</w:t>
      </w:r>
    </w:p>
    <w:p w14:paraId="182CD5E0" w14:textId="77777777" w:rsidR="00394471" w:rsidRPr="00FA0D37" w:rsidRDefault="00394471" w:rsidP="00FA0D37">
      <w:pPr>
        <w:pStyle w:val="PL"/>
      </w:pPr>
      <w:r w:rsidRPr="00FA0D37">
        <w:t xml:space="preserve">        sl5                                     </w:t>
      </w:r>
      <w:r w:rsidRPr="00FA0D37">
        <w:rPr>
          <w:color w:val="993366"/>
        </w:rPr>
        <w:t>INTEGER</w:t>
      </w:r>
      <w:r w:rsidRPr="00FA0D37">
        <w:t xml:space="preserve"> (0..4),</w:t>
      </w:r>
    </w:p>
    <w:p w14:paraId="0B15A0FC" w14:textId="77777777" w:rsidR="00394471" w:rsidRPr="00FA0D37" w:rsidRDefault="00394471" w:rsidP="00FA0D37">
      <w:pPr>
        <w:pStyle w:val="PL"/>
      </w:pPr>
      <w:r w:rsidRPr="00FA0D37">
        <w:t xml:space="preserve">        sl8                                     </w:t>
      </w:r>
      <w:r w:rsidRPr="00FA0D37">
        <w:rPr>
          <w:color w:val="993366"/>
        </w:rPr>
        <w:t>INTEGER</w:t>
      </w:r>
      <w:r w:rsidRPr="00FA0D37">
        <w:t xml:space="preserve"> (0..7),</w:t>
      </w:r>
    </w:p>
    <w:p w14:paraId="57CDAD46" w14:textId="77777777" w:rsidR="00394471" w:rsidRPr="00FA0D37" w:rsidRDefault="00394471" w:rsidP="00FA0D37">
      <w:pPr>
        <w:pStyle w:val="PL"/>
      </w:pPr>
      <w:r w:rsidRPr="00FA0D37">
        <w:t xml:space="preserve">        sl10                                    </w:t>
      </w:r>
      <w:r w:rsidRPr="00FA0D37">
        <w:rPr>
          <w:color w:val="993366"/>
        </w:rPr>
        <w:t>INTEGER</w:t>
      </w:r>
      <w:r w:rsidRPr="00FA0D37">
        <w:t xml:space="preserve"> (0..9),</w:t>
      </w:r>
    </w:p>
    <w:p w14:paraId="087D4C72" w14:textId="77777777" w:rsidR="00394471" w:rsidRPr="00FA0D37" w:rsidRDefault="00394471" w:rsidP="00FA0D37">
      <w:pPr>
        <w:pStyle w:val="PL"/>
      </w:pPr>
      <w:r w:rsidRPr="00FA0D37">
        <w:t xml:space="preserve">        sl16                                    </w:t>
      </w:r>
      <w:r w:rsidRPr="00FA0D37">
        <w:rPr>
          <w:color w:val="993366"/>
        </w:rPr>
        <w:t>INTEGER</w:t>
      </w:r>
      <w:r w:rsidRPr="00FA0D37">
        <w:t xml:space="preserve"> (0..15),</w:t>
      </w:r>
    </w:p>
    <w:p w14:paraId="49EA681D" w14:textId="77777777" w:rsidR="00394471" w:rsidRPr="00FA0D37" w:rsidRDefault="00394471" w:rsidP="00FA0D37">
      <w:pPr>
        <w:pStyle w:val="PL"/>
      </w:pPr>
      <w:r w:rsidRPr="00FA0D37">
        <w:t xml:space="preserve">        sl20                                    </w:t>
      </w:r>
      <w:r w:rsidRPr="00FA0D37">
        <w:rPr>
          <w:color w:val="993366"/>
        </w:rPr>
        <w:t>INTEGER</w:t>
      </w:r>
      <w:r w:rsidRPr="00FA0D37">
        <w:t xml:space="preserve"> (0..19),</w:t>
      </w:r>
    </w:p>
    <w:p w14:paraId="40A8EAF0" w14:textId="77777777" w:rsidR="00394471" w:rsidRPr="00FA0D37" w:rsidRDefault="00394471" w:rsidP="00FA0D37">
      <w:pPr>
        <w:pStyle w:val="PL"/>
      </w:pPr>
      <w:r w:rsidRPr="00FA0D37">
        <w:t xml:space="preserve">        sl40                                    </w:t>
      </w:r>
      <w:r w:rsidRPr="00FA0D37">
        <w:rPr>
          <w:color w:val="993366"/>
        </w:rPr>
        <w:t>INTEGER</w:t>
      </w:r>
      <w:r w:rsidRPr="00FA0D37">
        <w:t xml:space="preserve"> (0..39),</w:t>
      </w:r>
    </w:p>
    <w:p w14:paraId="2B49E131" w14:textId="77777777" w:rsidR="00394471" w:rsidRPr="00FA0D37" w:rsidRDefault="00394471" w:rsidP="00FA0D37">
      <w:pPr>
        <w:pStyle w:val="PL"/>
      </w:pPr>
      <w:r w:rsidRPr="00FA0D37">
        <w:t xml:space="preserve">        sl80                                    </w:t>
      </w:r>
      <w:r w:rsidRPr="00FA0D37">
        <w:rPr>
          <w:color w:val="993366"/>
        </w:rPr>
        <w:t>INTEGER</w:t>
      </w:r>
      <w:r w:rsidRPr="00FA0D37">
        <w:t xml:space="preserve"> (0..79),</w:t>
      </w:r>
    </w:p>
    <w:p w14:paraId="4C50CCC6" w14:textId="77777777" w:rsidR="00394471" w:rsidRPr="00FA0D37" w:rsidRDefault="00394471" w:rsidP="00FA0D37">
      <w:pPr>
        <w:pStyle w:val="PL"/>
      </w:pPr>
      <w:r w:rsidRPr="00FA0D37">
        <w:t xml:space="preserve">        sl160                                   </w:t>
      </w:r>
      <w:r w:rsidRPr="00FA0D37">
        <w:rPr>
          <w:color w:val="993366"/>
        </w:rPr>
        <w:t>INTEGER</w:t>
      </w:r>
      <w:r w:rsidRPr="00FA0D37">
        <w:t xml:space="preserve"> (0..159),</w:t>
      </w:r>
    </w:p>
    <w:p w14:paraId="52CC95B4" w14:textId="77777777" w:rsidR="00394471" w:rsidRPr="00FA0D37" w:rsidRDefault="00394471" w:rsidP="00FA0D37">
      <w:pPr>
        <w:pStyle w:val="PL"/>
      </w:pPr>
      <w:r w:rsidRPr="00FA0D37">
        <w:lastRenderedPageBreak/>
        <w:t xml:space="preserve">        sl320                                   </w:t>
      </w:r>
      <w:r w:rsidRPr="00FA0D37">
        <w:rPr>
          <w:color w:val="993366"/>
        </w:rPr>
        <w:t>INTEGER</w:t>
      </w:r>
      <w:r w:rsidRPr="00FA0D37">
        <w:t xml:space="preserve"> (0..319),</w:t>
      </w:r>
    </w:p>
    <w:p w14:paraId="0D980910" w14:textId="77777777" w:rsidR="00394471" w:rsidRPr="00FA0D37" w:rsidRDefault="00394471" w:rsidP="00FA0D37">
      <w:pPr>
        <w:pStyle w:val="PL"/>
      </w:pPr>
      <w:r w:rsidRPr="00FA0D37">
        <w:t xml:space="preserve">        sl640                                   </w:t>
      </w:r>
      <w:r w:rsidRPr="00FA0D37">
        <w:rPr>
          <w:color w:val="993366"/>
        </w:rPr>
        <w:t>INTEGER</w:t>
      </w:r>
      <w:r w:rsidRPr="00FA0D37">
        <w:t xml:space="preserve"> (0..639),</w:t>
      </w:r>
    </w:p>
    <w:p w14:paraId="1CA06928" w14:textId="77777777" w:rsidR="00394471" w:rsidRPr="00FA0D37" w:rsidRDefault="00394471" w:rsidP="00FA0D37">
      <w:pPr>
        <w:pStyle w:val="PL"/>
      </w:pPr>
      <w:r w:rsidRPr="00FA0D37">
        <w:t xml:space="preserve">        sl1280                                  </w:t>
      </w:r>
      <w:r w:rsidRPr="00FA0D37">
        <w:rPr>
          <w:color w:val="993366"/>
        </w:rPr>
        <w:t>INTEGER</w:t>
      </w:r>
      <w:r w:rsidRPr="00FA0D37">
        <w:t xml:space="preserve"> (0..1279),</w:t>
      </w:r>
    </w:p>
    <w:p w14:paraId="50EEDBCD" w14:textId="77777777" w:rsidR="00394471" w:rsidRPr="00FA0D37" w:rsidRDefault="00394471" w:rsidP="00FA0D37">
      <w:pPr>
        <w:pStyle w:val="PL"/>
      </w:pPr>
      <w:r w:rsidRPr="00FA0D37">
        <w:t xml:space="preserve">        sl2560                                  </w:t>
      </w:r>
      <w:r w:rsidRPr="00FA0D37">
        <w:rPr>
          <w:color w:val="993366"/>
        </w:rPr>
        <w:t>INTEGER</w:t>
      </w:r>
      <w:r w:rsidRPr="00FA0D37">
        <w:t xml:space="preserve"> (0..2559)</w:t>
      </w:r>
    </w:p>
    <w:p w14:paraId="7673311E" w14:textId="5F7621BC"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Setup</w:t>
      </w:r>
      <w:r w:rsidR="0021547E" w:rsidRPr="00FA0D37">
        <w:rPr>
          <w:color w:val="808080"/>
        </w:rPr>
        <w:t>4</w:t>
      </w:r>
    </w:p>
    <w:p w14:paraId="3C305072" w14:textId="569567D7" w:rsidR="00394471" w:rsidRPr="00FA0D37" w:rsidRDefault="00394471" w:rsidP="00FA0D37">
      <w:pPr>
        <w:pStyle w:val="PL"/>
        <w:rPr>
          <w:color w:val="808080"/>
        </w:rPr>
      </w:pPr>
      <w:r w:rsidRPr="00FA0D37">
        <w:t xml:space="preserve">    duration                                </w:t>
      </w:r>
      <w:r w:rsidRPr="00FA0D37">
        <w:rPr>
          <w:color w:val="993366"/>
        </w:rPr>
        <w:t>INTEGER</w:t>
      </w:r>
      <w:r w:rsidRPr="00FA0D37">
        <w:t xml:space="preserve"> (2..2559)                                           </w:t>
      </w:r>
      <w:r w:rsidRPr="00FA0D37">
        <w:rPr>
          <w:color w:val="993366"/>
        </w:rPr>
        <w:t>OPTIONAL</w:t>
      </w:r>
      <w:r w:rsidRPr="00FA0D37">
        <w:t xml:space="preserve">,   </w:t>
      </w:r>
      <w:r w:rsidRPr="00FA0D37">
        <w:rPr>
          <w:color w:val="808080"/>
        </w:rPr>
        <w:t xml:space="preserve">-- Need </w:t>
      </w:r>
      <w:r w:rsidR="00C05797" w:rsidRPr="00FA0D37">
        <w:rPr>
          <w:color w:val="808080"/>
        </w:rPr>
        <w:t>S</w:t>
      </w:r>
    </w:p>
    <w:p w14:paraId="248B0BB1" w14:textId="77777777" w:rsidR="00394471" w:rsidRPr="00FA0D37" w:rsidRDefault="00394471" w:rsidP="00FA0D37">
      <w:pPr>
        <w:pStyle w:val="PL"/>
        <w:rPr>
          <w:color w:val="808080"/>
        </w:rPr>
      </w:pPr>
      <w:r w:rsidRPr="00FA0D37">
        <w:t xml:space="preserve">    monitoringSymbolsWithinSlot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                                      </w:t>
      </w:r>
      <w:r w:rsidRPr="00FA0D37">
        <w:rPr>
          <w:color w:val="993366"/>
        </w:rPr>
        <w:t>OPTIONAL</w:t>
      </w:r>
      <w:r w:rsidRPr="00FA0D37">
        <w:t xml:space="preserve">,   </w:t>
      </w:r>
      <w:r w:rsidRPr="00FA0D37">
        <w:rPr>
          <w:color w:val="808080"/>
        </w:rPr>
        <w:t>-- Cond Setup</w:t>
      </w:r>
    </w:p>
    <w:p w14:paraId="054C5CD2" w14:textId="77777777" w:rsidR="00394471" w:rsidRPr="00FA0D37" w:rsidRDefault="00394471" w:rsidP="00FA0D37">
      <w:pPr>
        <w:pStyle w:val="PL"/>
      </w:pPr>
      <w:r w:rsidRPr="00FA0D37">
        <w:t xml:space="preserve">    nrofCandidates                          </w:t>
      </w:r>
      <w:r w:rsidRPr="00FA0D37">
        <w:rPr>
          <w:color w:val="993366"/>
        </w:rPr>
        <w:t>SEQUENCE</w:t>
      </w:r>
      <w:r w:rsidRPr="00FA0D37">
        <w:t xml:space="preserve"> {</w:t>
      </w:r>
    </w:p>
    <w:p w14:paraId="5D919DC2" w14:textId="77777777" w:rsidR="00394471" w:rsidRPr="00FA0D37" w:rsidRDefault="00394471" w:rsidP="00FA0D37">
      <w:pPr>
        <w:pStyle w:val="PL"/>
      </w:pPr>
      <w:r w:rsidRPr="00FA0D37">
        <w:t xml:space="preserve">        aggregationLevel1                       </w:t>
      </w:r>
      <w:r w:rsidRPr="00FA0D37">
        <w:rPr>
          <w:color w:val="993366"/>
        </w:rPr>
        <w:t>ENUMERATED</w:t>
      </w:r>
      <w:r w:rsidRPr="00FA0D37">
        <w:t xml:space="preserve"> {n0, n1, n2, n3, n4, n5, n6, n8},</w:t>
      </w:r>
    </w:p>
    <w:p w14:paraId="365E0188" w14:textId="77777777" w:rsidR="00394471" w:rsidRPr="00FA0D37" w:rsidRDefault="00394471" w:rsidP="00FA0D37">
      <w:pPr>
        <w:pStyle w:val="PL"/>
      </w:pPr>
      <w:r w:rsidRPr="00FA0D37">
        <w:t xml:space="preserve">        aggregationLevel2                       </w:t>
      </w:r>
      <w:r w:rsidRPr="00FA0D37">
        <w:rPr>
          <w:color w:val="993366"/>
        </w:rPr>
        <w:t>ENUMERATED</w:t>
      </w:r>
      <w:r w:rsidRPr="00FA0D37">
        <w:t xml:space="preserve"> {n0, n1, n2, n3, n4, n5, n6, n8},</w:t>
      </w:r>
    </w:p>
    <w:p w14:paraId="4F6D8104" w14:textId="77777777" w:rsidR="00394471" w:rsidRPr="00FA0D37" w:rsidRDefault="00394471" w:rsidP="00FA0D37">
      <w:pPr>
        <w:pStyle w:val="PL"/>
      </w:pPr>
      <w:r w:rsidRPr="00FA0D37">
        <w:t xml:space="preserve">        aggregationLevel4                       </w:t>
      </w:r>
      <w:r w:rsidRPr="00FA0D37">
        <w:rPr>
          <w:color w:val="993366"/>
        </w:rPr>
        <w:t>ENUMERATED</w:t>
      </w:r>
      <w:r w:rsidRPr="00FA0D37">
        <w:t xml:space="preserve"> {n0, n1, n2, n3, n4, n5, n6, n8},</w:t>
      </w:r>
    </w:p>
    <w:p w14:paraId="36FB62A7" w14:textId="77777777" w:rsidR="00394471" w:rsidRPr="00FA0D37" w:rsidRDefault="00394471" w:rsidP="00FA0D37">
      <w:pPr>
        <w:pStyle w:val="PL"/>
      </w:pPr>
      <w:r w:rsidRPr="00FA0D37">
        <w:t xml:space="preserve">        aggregationLevel8                       </w:t>
      </w:r>
      <w:r w:rsidRPr="00FA0D37">
        <w:rPr>
          <w:color w:val="993366"/>
        </w:rPr>
        <w:t>ENUMERATED</w:t>
      </w:r>
      <w:r w:rsidRPr="00FA0D37">
        <w:t xml:space="preserve"> {n0, n1, n2, n3, n4, n5, n6, n8},</w:t>
      </w:r>
    </w:p>
    <w:p w14:paraId="65045F3B" w14:textId="77777777" w:rsidR="00394471" w:rsidRPr="00FA0D37" w:rsidRDefault="00394471" w:rsidP="00FA0D37">
      <w:pPr>
        <w:pStyle w:val="PL"/>
      </w:pPr>
      <w:r w:rsidRPr="00FA0D37">
        <w:t xml:space="preserve">        aggregationLevel16                      </w:t>
      </w:r>
      <w:r w:rsidRPr="00FA0D37">
        <w:rPr>
          <w:color w:val="993366"/>
        </w:rPr>
        <w:t>ENUMERATED</w:t>
      </w:r>
      <w:r w:rsidRPr="00FA0D37">
        <w:t xml:space="preserve"> {n0, n1, n2, n3, n4, n5, n6, n8}</w:t>
      </w:r>
    </w:p>
    <w:p w14:paraId="73C64DF8"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Setup</w:t>
      </w:r>
    </w:p>
    <w:p w14:paraId="19AA26BF" w14:textId="77777777" w:rsidR="00394471" w:rsidRPr="00FA0D37" w:rsidRDefault="00394471" w:rsidP="00FA0D37">
      <w:pPr>
        <w:pStyle w:val="PL"/>
      </w:pPr>
      <w:r w:rsidRPr="00FA0D37">
        <w:t xml:space="preserve">    searchSpaceType                         </w:t>
      </w:r>
      <w:r w:rsidRPr="00FA0D37">
        <w:rPr>
          <w:color w:val="993366"/>
        </w:rPr>
        <w:t>CHOICE</w:t>
      </w:r>
      <w:r w:rsidRPr="00FA0D37">
        <w:t xml:space="preserve"> {</w:t>
      </w:r>
    </w:p>
    <w:p w14:paraId="2F9D2669" w14:textId="77777777" w:rsidR="00394471" w:rsidRPr="00FA0D37" w:rsidRDefault="00394471" w:rsidP="00FA0D37">
      <w:pPr>
        <w:pStyle w:val="PL"/>
      </w:pPr>
      <w:r w:rsidRPr="00FA0D37">
        <w:t xml:space="preserve">        common                                  </w:t>
      </w:r>
      <w:r w:rsidRPr="00FA0D37">
        <w:rPr>
          <w:color w:val="993366"/>
        </w:rPr>
        <w:t>SEQUENCE</w:t>
      </w:r>
      <w:r w:rsidRPr="00FA0D37">
        <w:t xml:space="preserve"> {</w:t>
      </w:r>
    </w:p>
    <w:p w14:paraId="3AD74663" w14:textId="77777777" w:rsidR="00394471" w:rsidRPr="00FA0D37" w:rsidRDefault="00394471" w:rsidP="00FA0D37">
      <w:pPr>
        <w:pStyle w:val="PL"/>
      </w:pPr>
      <w:r w:rsidRPr="00FA0D37">
        <w:t xml:space="preserve">            dci-Format0-0-AndFormat1-0              </w:t>
      </w:r>
      <w:r w:rsidRPr="00FA0D37">
        <w:rPr>
          <w:color w:val="993366"/>
        </w:rPr>
        <w:t>SEQUENCE</w:t>
      </w:r>
      <w:r w:rsidRPr="00FA0D37">
        <w:t xml:space="preserve"> {</w:t>
      </w:r>
    </w:p>
    <w:p w14:paraId="6FB41F4D" w14:textId="77777777" w:rsidR="00394471" w:rsidRPr="00FA0D37" w:rsidRDefault="00394471" w:rsidP="00FA0D37">
      <w:pPr>
        <w:pStyle w:val="PL"/>
      </w:pPr>
      <w:r w:rsidRPr="00FA0D37">
        <w:t xml:space="preserve">                ...</w:t>
      </w:r>
    </w:p>
    <w:p w14:paraId="6C21B6EB"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64734F94" w14:textId="77777777" w:rsidR="00394471" w:rsidRPr="00FA0D37" w:rsidRDefault="00394471" w:rsidP="00FA0D37">
      <w:pPr>
        <w:pStyle w:val="PL"/>
      </w:pPr>
      <w:r w:rsidRPr="00FA0D37">
        <w:t xml:space="preserve">            dci-Format2-0                           </w:t>
      </w:r>
      <w:r w:rsidRPr="00FA0D37">
        <w:rPr>
          <w:color w:val="993366"/>
        </w:rPr>
        <w:t>SEQUENCE</w:t>
      </w:r>
      <w:r w:rsidRPr="00FA0D37">
        <w:t xml:space="preserve"> {</w:t>
      </w:r>
    </w:p>
    <w:p w14:paraId="36C0C47F" w14:textId="77777777" w:rsidR="00394471" w:rsidRPr="00FA0D37" w:rsidRDefault="00394471" w:rsidP="00FA0D37">
      <w:pPr>
        <w:pStyle w:val="PL"/>
      </w:pPr>
      <w:r w:rsidRPr="00FA0D37">
        <w:t xml:space="preserve">                nrofCandidates-SFI                      </w:t>
      </w:r>
      <w:r w:rsidRPr="00FA0D37">
        <w:rPr>
          <w:color w:val="993366"/>
        </w:rPr>
        <w:t>SEQUENCE</w:t>
      </w:r>
      <w:r w:rsidRPr="00FA0D37">
        <w:t xml:space="preserve"> {</w:t>
      </w:r>
    </w:p>
    <w:p w14:paraId="1C3F0CE9" w14:textId="77777777" w:rsidR="00394471" w:rsidRPr="00FA0D37" w:rsidRDefault="00394471" w:rsidP="00FA0D37">
      <w:pPr>
        <w:pStyle w:val="PL"/>
        <w:rPr>
          <w:color w:val="808080"/>
        </w:rPr>
      </w:pPr>
      <w:r w:rsidRPr="00FA0D37">
        <w:t xml:space="preserve">                    aggregationLevel1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39DF1924" w14:textId="77777777" w:rsidR="00394471" w:rsidRPr="00FA0D37" w:rsidRDefault="00394471" w:rsidP="00FA0D37">
      <w:pPr>
        <w:pStyle w:val="PL"/>
        <w:rPr>
          <w:color w:val="808080"/>
        </w:rPr>
      </w:pPr>
      <w:r w:rsidRPr="00FA0D37">
        <w:t xml:space="preserve">                    aggregationLevel2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3ED45365" w14:textId="77777777" w:rsidR="00394471" w:rsidRPr="00FA0D37" w:rsidRDefault="00394471" w:rsidP="00FA0D37">
      <w:pPr>
        <w:pStyle w:val="PL"/>
        <w:rPr>
          <w:color w:val="808080"/>
        </w:rPr>
      </w:pPr>
      <w:r w:rsidRPr="00FA0D37">
        <w:t xml:space="preserve">                    aggregationLevel4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729010F2" w14:textId="77777777" w:rsidR="00394471" w:rsidRPr="00FA0D37" w:rsidRDefault="00394471" w:rsidP="00FA0D37">
      <w:pPr>
        <w:pStyle w:val="PL"/>
        <w:rPr>
          <w:color w:val="808080"/>
        </w:rPr>
      </w:pPr>
      <w:r w:rsidRPr="00FA0D37">
        <w:t xml:space="preserve">                    aggregationLevel8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1BE70A27" w14:textId="77777777" w:rsidR="00394471" w:rsidRPr="00FA0D37" w:rsidRDefault="00394471" w:rsidP="00FA0D37">
      <w:pPr>
        <w:pStyle w:val="PL"/>
        <w:rPr>
          <w:color w:val="808080"/>
        </w:rPr>
      </w:pPr>
      <w:r w:rsidRPr="00FA0D37">
        <w:t xml:space="preserve">                    aggregationLevel16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097D45ED" w14:textId="77777777" w:rsidR="00394471" w:rsidRPr="00FA0D37" w:rsidRDefault="00394471" w:rsidP="00FA0D37">
      <w:pPr>
        <w:pStyle w:val="PL"/>
      </w:pPr>
      <w:r w:rsidRPr="00FA0D37">
        <w:t xml:space="preserve">                },</w:t>
      </w:r>
    </w:p>
    <w:p w14:paraId="25F03AB7" w14:textId="77777777" w:rsidR="00394471" w:rsidRPr="00FA0D37" w:rsidRDefault="00394471" w:rsidP="00FA0D37">
      <w:pPr>
        <w:pStyle w:val="PL"/>
      </w:pPr>
      <w:r w:rsidRPr="00FA0D37">
        <w:t xml:space="preserve">                ...</w:t>
      </w:r>
    </w:p>
    <w:p w14:paraId="0C093901"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58DC8985" w14:textId="77777777" w:rsidR="00394471" w:rsidRPr="00FA0D37" w:rsidRDefault="00394471" w:rsidP="00FA0D37">
      <w:pPr>
        <w:pStyle w:val="PL"/>
      </w:pPr>
      <w:r w:rsidRPr="00FA0D37">
        <w:t xml:space="preserve">            dci-Format2-1                           </w:t>
      </w:r>
      <w:r w:rsidRPr="00FA0D37">
        <w:rPr>
          <w:color w:val="993366"/>
        </w:rPr>
        <w:t>SEQUENCE</w:t>
      </w:r>
      <w:r w:rsidRPr="00FA0D37">
        <w:t xml:space="preserve"> {</w:t>
      </w:r>
    </w:p>
    <w:p w14:paraId="1F9488F6" w14:textId="77777777" w:rsidR="00394471" w:rsidRPr="00FA0D37" w:rsidRDefault="00394471" w:rsidP="00FA0D37">
      <w:pPr>
        <w:pStyle w:val="PL"/>
      </w:pPr>
      <w:r w:rsidRPr="00FA0D37">
        <w:t xml:space="preserve">                ...</w:t>
      </w:r>
    </w:p>
    <w:p w14:paraId="20571073"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471EBF67" w14:textId="77777777" w:rsidR="00394471" w:rsidRPr="00FA0D37" w:rsidRDefault="00394471" w:rsidP="00FA0D37">
      <w:pPr>
        <w:pStyle w:val="PL"/>
      </w:pPr>
      <w:r w:rsidRPr="00FA0D37">
        <w:t xml:space="preserve">            dci-Format2-2                           </w:t>
      </w:r>
      <w:r w:rsidRPr="00FA0D37">
        <w:rPr>
          <w:color w:val="993366"/>
        </w:rPr>
        <w:t>SEQUENCE</w:t>
      </w:r>
      <w:r w:rsidRPr="00FA0D37">
        <w:t xml:space="preserve"> {</w:t>
      </w:r>
    </w:p>
    <w:p w14:paraId="01A1B208" w14:textId="77777777" w:rsidR="00394471" w:rsidRPr="00FA0D37" w:rsidRDefault="00394471" w:rsidP="00FA0D37">
      <w:pPr>
        <w:pStyle w:val="PL"/>
      </w:pPr>
      <w:r w:rsidRPr="00FA0D37">
        <w:t xml:space="preserve">                ...</w:t>
      </w:r>
    </w:p>
    <w:p w14:paraId="333787B1"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745D6046" w14:textId="77777777" w:rsidR="00394471" w:rsidRPr="00FA0D37" w:rsidRDefault="00394471" w:rsidP="00FA0D37">
      <w:pPr>
        <w:pStyle w:val="PL"/>
      </w:pPr>
      <w:r w:rsidRPr="00FA0D37">
        <w:t xml:space="preserve">            dci-Format2-3                           </w:t>
      </w:r>
      <w:r w:rsidRPr="00FA0D37">
        <w:rPr>
          <w:color w:val="993366"/>
        </w:rPr>
        <w:t>SEQUENCE</w:t>
      </w:r>
      <w:r w:rsidRPr="00FA0D37">
        <w:t xml:space="preserve"> {</w:t>
      </w:r>
    </w:p>
    <w:p w14:paraId="3D435401" w14:textId="77777777" w:rsidR="00394471" w:rsidRPr="00FA0D37" w:rsidRDefault="00394471" w:rsidP="00FA0D37">
      <w:pPr>
        <w:pStyle w:val="PL"/>
        <w:rPr>
          <w:color w:val="808080"/>
        </w:rPr>
      </w:pPr>
      <w:r w:rsidRPr="00FA0D37">
        <w:t xml:space="preserve">                dummy1                                  </w:t>
      </w:r>
      <w:r w:rsidRPr="00FA0D37">
        <w:rPr>
          <w:color w:val="993366"/>
        </w:rPr>
        <w:t>ENUMERATED</w:t>
      </w:r>
      <w:r w:rsidRPr="00FA0D37">
        <w:t xml:space="preserve"> {sl1, sl2, sl4, sl5, sl8, sl10, sl16, sl20}  </w:t>
      </w:r>
      <w:r w:rsidRPr="00FA0D37">
        <w:rPr>
          <w:color w:val="993366"/>
        </w:rPr>
        <w:t>OPTIONAL</w:t>
      </w:r>
      <w:r w:rsidRPr="00FA0D37">
        <w:t xml:space="preserve">,   </w:t>
      </w:r>
      <w:r w:rsidRPr="00FA0D37">
        <w:rPr>
          <w:color w:val="808080"/>
        </w:rPr>
        <w:t>-- Cond Setup</w:t>
      </w:r>
    </w:p>
    <w:p w14:paraId="5AFA8241" w14:textId="77777777" w:rsidR="00394471" w:rsidRPr="00FA0D37" w:rsidRDefault="00394471" w:rsidP="00FA0D37">
      <w:pPr>
        <w:pStyle w:val="PL"/>
      </w:pPr>
      <w:r w:rsidRPr="00FA0D37">
        <w:t xml:space="preserve">                dummy2                                  </w:t>
      </w:r>
      <w:r w:rsidRPr="00FA0D37">
        <w:rPr>
          <w:color w:val="993366"/>
        </w:rPr>
        <w:t>ENUMERATED</w:t>
      </w:r>
      <w:r w:rsidRPr="00FA0D37">
        <w:t xml:space="preserve"> {n1, n2},</w:t>
      </w:r>
    </w:p>
    <w:p w14:paraId="5763D3ED" w14:textId="77777777" w:rsidR="00394471" w:rsidRPr="00FA0D37" w:rsidRDefault="00394471" w:rsidP="00FA0D37">
      <w:pPr>
        <w:pStyle w:val="PL"/>
      </w:pPr>
      <w:r w:rsidRPr="00FA0D37">
        <w:t xml:space="preserve">                ...</w:t>
      </w:r>
    </w:p>
    <w:p w14:paraId="2BC5FC8C"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65764B58" w14:textId="77777777" w:rsidR="00394471" w:rsidRPr="00FA0D37" w:rsidRDefault="00394471" w:rsidP="00FA0D37">
      <w:pPr>
        <w:pStyle w:val="PL"/>
      </w:pPr>
      <w:r w:rsidRPr="00FA0D37">
        <w:t xml:space="preserve">        },</w:t>
      </w:r>
    </w:p>
    <w:p w14:paraId="06354990" w14:textId="77777777" w:rsidR="00394471" w:rsidRPr="00FA0D37" w:rsidRDefault="00394471" w:rsidP="00FA0D37">
      <w:pPr>
        <w:pStyle w:val="PL"/>
      </w:pPr>
      <w:r w:rsidRPr="00FA0D37">
        <w:t xml:space="preserve">        ue-Specific                                 </w:t>
      </w:r>
      <w:r w:rsidRPr="00FA0D37">
        <w:rPr>
          <w:color w:val="993366"/>
        </w:rPr>
        <w:t>SEQUENCE</w:t>
      </w:r>
      <w:r w:rsidRPr="00FA0D37">
        <w:t xml:space="preserve"> {</w:t>
      </w:r>
    </w:p>
    <w:p w14:paraId="4553BD94" w14:textId="77777777" w:rsidR="00394471" w:rsidRPr="00FA0D37" w:rsidRDefault="00394471" w:rsidP="00FA0D37">
      <w:pPr>
        <w:pStyle w:val="PL"/>
      </w:pPr>
      <w:r w:rsidRPr="00FA0D37">
        <w:t xml:space="preserve">            dci-Formats                                 </w:t>
      </w:r>
      <w:r w:rsidRPr="00FA0D37">
        <w:rPr>
          <w:color w:val="993366"/>
        </w:rPr>
        <w:t>ENUMERATED</w:t>
      </w:r>
      <w:r w:rsidRPr="00FA0D37">
        <w:t xml:space="preserve"> {formats0-0-And-1-0, formats0-1-And-1-1},</w:t>
      </w:r>
    </w:p>
    <w:p w14:paraId="389CAD4F" w14:textId="77777777" w:rsidR="00394471" w:rsidRPr="00FA0D37" w:rsidRDefault="00394471" w:rsidP="00FA0D37">
      <w:pPr>
        <w:pStyle w:val="PL"/>
      </w:pPr>
      <w:r w:rsidRPr="00FA0D37">
        <w:t xml:space="preserve">            ...,</w:t>
      </w:r>
    </w:p>
    <w:p w14:paraId="6DB181AB" w14:textId="77777777" w:rsidR="00394471" w:rsidRPr="00FA0D37" w:rsidRDefault="00394471" w:rsidP="00FA0D37">
      <w:pPr>
        <w:pStyle w:val="PL"/>
      </w:pPr>
      <w:r w:rsidRPr="00FA0D37">
        <w:t xml:space="preserve">            [[</w:t>
      </w:r>
    </w:p>
    <w:p w14:paraId="4DC87262" w14:textId="77777777" w:rsidR="00394471" w:rsidRPr="00FA0D37" w:rsidRDefault="00394471" w:rsidP="00FA0D37">
      <w:pPr>
        <w:pStyle w:val="PL"/>
        <w:rPr>
          <w:color w:val="808080"/>
        </w:rPr>
      </w:pPr>
      <w:r w:rsidRPr="00FA0D37">
        <w:t xml:space="preserve">            dci-Formats-MT-r16                   </w:t>
      </w:r>
      <w:r w:rsidRPr="00FA0D37">
        <w:rPr>
          <w:color w:val="993366"/>
        </w:rPr>
        <w:t>ENUMERATED</w:t>
      </w:r>
      <w:r w:rsidRPr="00FA0D37">
        <w:t xml:space="preserve"> {formats2-5}                                </w:t>
      </w:r>
      <w:r w:rsidRPr="00FA0D37">
        <w:rPr>
          <w:color w:val="993366"/>
        </w:rPr>
        <w:t>OPTIONAL</w:t>
      </w:r>
      <w:r w:rsidRPr="00FA0D37">
        <w:t xml:space="preserve">,    </w:t>
      </w:r>
      <w:r w:rsidRPr="00FA0D37">
        <w:rPr>
          <w:color w:val="808080"/>
        </w:rPr>
        <w:t>-- Need R</w:t>
      </w:r>
    </w:p>
    <w:p w14:paraId="1DD8FDC8" w14:textId="77777777" w:rsidR="00394471" w:rsidRPr="00FA0D37" w:rsidRDefault="00394471" w:rsidP="00FA0D37">
      <w:pPr>
        <w:pStyle w:val="PL"/>
      </w:pPr>
      <w:r w:rsidRPr="00FA0D37">
        <w:t xml:space="preserve">            dci-FormatsSL-r16                    </w:t>
      </w:r>
      <w:r w:rsidRPr="00FA0D37">
        <w:rPr>
          <w:color w:val="993366"/>
        </w:rPr>
        <w:t>ENUMERATED</w:t>
      </w:r>
      <w:r w:rsidRPr="00FA0D37">
        <w:t xml:space="preserve"> {formats0-0-And-1-0, formats0-1-And-1-1, formats3-0, formats3-1,</w:t>
      </w:r>
    </w:p>
    <w:p w14:paraId="288CB5E1" w14:textId="77777777" w:rsidR="00394471" w:rsidRPr="00FA0D37" w:rsidRDefault="00394471" w:rsidP="00FA0D37">
      <w:pPr>
        <w:pStyle w:val="PL"/>
        <w:rPr>
          <w:color w:val="808080"/>
        </w:rPr>
      </w:pPr>
      <w:r w:rsidRPr="00FA0D37">
        <w:t xml:space="preserve">                                                             formats3-0-And-3-1}                        </w:t>
      </w:r>
      <w:r w:rsidRPr="00FA0D37">
        <w:rPr>
          <w:color w:val="993366"/>
        </w:rPr>
        <w:t>OPTIONAL</w:t>
      </w:r>
      <w:r w:rsidRPr="00FA0D37">
        <w:t xml:space="preserve">,    </w:t>
      </w:r>
      <w:r w:rsidRPr="00FA0D37">
        <w:rPr>
          <w:color w:val="808080"/>
        </w:rPr>
        <w:t>-- Need R</w:t>
      </w:r>
    </w:p>
    <w:p w14:paraId="392A3282" w14:textId="77777777" w:rsidR="00394471" w:rsidRPr="00FA0D37" w:rsidRDefault="00394471" w:rsidP="00FA0D37">
      <w:pPr>
        <w:pStyle w:val="PL"/>
      </w:pPr>
      <w:r w:rsidRPr="00FA0D37">
        <w:t xml:space="preserve">            dci-FormatsExt-r16                   </w:t>
      </w:r>
      <w:r w:rsidRPr="00FA0D37">
        <w:rPr>
          <w:color w:val="993366"/>
        </w:rPr>
        <w:t>ENUMERATED</w:t>
      </w:r>
      <w:r w:rsidRPr="00FA0D37">
        <w:t xml:space="preserve"> {formats0-2-And-1-2, formats0-1-And-1-1And-0-2-And-1-2}</w:t>
      </w:r>
    </w:p>
    <w:p w14:paraId="22E080CB"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R</w:t>
      </w:r>
    </w:p>
    <w:p w14:paraId="19B99DE0" w14:textId="77777777" w:rsidR="00394471" w:rsidRPr="00FA0D37" w:rsidRDefault="00394471" w:rsidP="00FA0D37">
      <w:pPr>
        <w:pStyle w:val="PL"/>
      </w:pPr>
      <w:r w:rsidRPr="00FA0D37">
        <w:t xml:space="preserve">            ]]</w:t>
      </w:r>
    </w:p>
    <w:p w14:paraId="00EA61B6" w14:textId="77777777" w:rsidR="00394471" w:rsidRPr="00FA0D37" w:rsidRDefault="00394471" w:rsidP="00FA0D37">
      <w:pPr>
        <w:pStyle w:val="PL"/>
      </w:pPr>
      <w:r w:rsidRPr="00FA0D37">
        <w:lastRenderedPageBreak/>
        <w:t xml:space="preserve">        }</w:t>
      </w:r>
    </w:p>
    <w:p w14:paraId="3AB33399"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Setup2</w:t>
      </w:r>
    </w:p>
    <w:p w14:paraId="07CF3C12" w14:textId="77777777" w:rsidR="00394471" w:rsidRPr="00FA0D37" w:rsidRDefault="00394471" w:rsidP="00FA0D37">
      <w:pPr>
        <w:pStyle w:val="PL"/>
      </w:pPr>
      <w:r w:rsidRPr="00FA0D37">
        <w:t>}</w:t>
      </w:r>
    </w:p>
    <w:p w14:paraId="3440220E" w14:textId="77777777" w:rsidR="00394471" w:rsidRPr="00FA0D37" w:rsidRDefault="00394471" w:rsidP="00FA0D37">
      <w:pPr>
        <w:pStyle w:val="PL"/>
      </w:pPr>
    </w:p>
    <w:p w14:paraId="1B6750AD" w14:textId="77777777" w:rsidR="00394471" w:rsidRPr="00FA0D37" w:rsidRDefault="00394471" w:rsidP="00FA0D37">
      <w:pPr>
        <w:pStyle w:val="PL"/>
      </w:pPr>
      <w:r w:rsidRPr="00FA0D37">
        <w:t xml:space="preserve">SearchSpaceExt-r16 ::=                   </w:t>
      </w:r>
      <w:r w:rsidRPr="00FA0D37">
        <w:rPr>
          <w:color w:val="993366"/>
        </w:rPr>
        <w:t>SEQUENCE</w:t>
      </w:r>
      <w:r w:rsidRPr="00FA0D37">
        <w:t xml:space="preserve"> {</w:t>
      </w:r>
    </w:p>
    <w:p w14:paraId="658EAB4D" w14:textId="77777777" w:rsidR="00394471" w:rsidRPr="00FA0D37" w:rsidRDefault="00394471" w:rsidP="00FA0D37">
      <w:pPr>
        <w:pStyle w:val="PL"/>
        <w:rPr>
          <w:color w:val="808080"/>
        </w:rPr>
      </w:pPr>
      <w:r w:rsidRPr="00FA0D37">
        <w:t xml:space="preserve">    controlResourceSetId-r16                ControlResourceSetId-r16                                    </w:t>
      </w:r>
      <w:r w:rsidRPr="00FA0D37">
        <w:rPr>
          <w:color w:val="993366"/>
        </w:rPr>
        <w:t>OPTIONAL</w:t>
      </w:r>
      <w:r w:rsidRPr="00FA0D37">
        <w:t xml:space="preserve">,   </w:t>
      </w:r>
      <w:r w:rsidRPr="00FA0D37">
        <w:rPr>
          <w:color w:val="808080"/>
        </w:rPr>
        <w:t>-- Cond SetupOnly2</w:t>
      </w:r>
    </w:p>
    <w:p w14:paraId="2D4E9A7E" w14:textId="77777777" w:rsidR="00394471" w:rsidRPr="00FA0D37" w:rsidRDefault="00394471" w:rsidP="00FA0D37">
      <w:pPr>
        <w:pStyle w:val="PL"/>
      </w:pPr>
      <w:r w:rsidRPr="00FA0D37">
        <w:t xml:space="preserve">    searchSpaceType-r16                     </w:t>
      </w:r>
      <w:r w:rsidRPr="00FA0D37">
        <w:rPr>
          <w:color w:val="993366"/>
        </w:rPr>
        <w:t>SEQUENCE</w:t>
      </w:r>
      <w:r w:rsidRPr="00FA0D37">
        <w:t xml:space="preserve"> {</w:t>
      </w:r>
    </w:p>
    <w:p w14:paraId="3B898E5E" w14:textId="77777777" w:rsidR="00394471" w:rsidRPr="00FA0D37" w:rsidRDefault="00394471" w:rsidP="00FA0D37">
      <w:pPr>
        <w:pStyle w:val="PL"/>
      </w:pPr>
      <w:r w:rsidRPr="00FA0D37">
        <w:t xml:space="preserve">        common-r16                              </w:t>
      </w:r>
      <w:r w:rsidRPr="00FA0D37">
        <w:rPr>
          <w:color w:val="993366"/>
        </w:rPr>
        <w:t>SEQUENCE</w:t>
      </w:r>
      <w:r w:rsidRPr="00FA0D37">
        <w:t xml:space="preserve"> {</w:t>
      </w:r>
    </w:p>
    <w:p w14:paraId="272787A3" w14:textId="77777777" w:rsidR="00394471" w:rsidRPr="00FA0D37" w:rsidRDefault="00394471" w:rsidP="00FA0D37">
      <w:pPr>
        <w:pStyle w:val="PL"/>
      </w:pPr>
      <w:r w:rsidRPr="00FA0D37">
        <w:t xml:space="preserve">            dci-Format2-4-r16                       </w:t>
      </w:r>
      <w:r w:rsidRPr="00FA0D37">
        <w:rPr>
          <w:color w:val="993366"/>
        </w:rPr>
        <w:t>SEQUENCE</w:t>
      </w:r>
      <w:r w:rsidRPr="00FA0D37">
        <w:t xml:space="preserve"> {</w:t>
      </w:r>
    </w:p>
    <w:p w14:paraId="328B49BD" w14:textId="77777777" w:rsidR="00394471" w:rsidRPr="00FA0D37" w:rsidRDefault="00394471" w:rsidP="00FA0D37">
      <w:pPr>
        <w:pStyle w:val="PL"/>
      </w:pPr>
      <w:r w:rsidRPr="00FA0D37">
        <w:t xml:space="preserve">                nrofCandidates-CI-r16                   </w:t>
      </w:r>
      <w:r w:rsidRPr="00FA0D37">
        <w:rPr>
          <w:color w:val="993366"/>
        </w:rPr>
        <w:t>SEQUENCE</w:t>
      </w:r>
      <w:r w:rsidRPr="00FA0D37">
        <w:t xml:space="preserve"> {</w:t>
      </w:r>
    </w:p>
    <w:p w14:paraId="2498A31D" w14:textId="77777777" w:rsidR="00394471" w:rsidRPr="00FA0D37" w:rsidRDefault="00394471" w:rsidP="00FA0D37">
      <w:pPr>
        <w:pStyle w:val="PL"/>
        <w:rPr>
          <w:color w:val="808080"/>
        </w:rPr>
      </w:pPr>
      <w:r w:rsidRPr="00FA0D37">
        <w:t xml:space="preserve">                    aggregationLevel1-r16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0EB66601" w14:textId="77777777" w:rsidR="00394471" w:rsidRPr="00FA0D37" w:rsidRDefault="00394471" w:rsidP="00FA0D37">
      <w:pPr>
        <w:pStyle w:val="PL"/>
        <w:rPr>
          <w:color w:val="808080"/>
        </w:rPr>
      </w:pPr>
      <w:r w:rsidRPr="00FA0D37">
        <w:t xml:space="preserve">                    aggregationLevel2-r16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0673FF5F" w14:textId="77777777" w:rsidR="00394471" w:rsidRPr="00FA0D37" w:rsidRDefault="00394471" w:rsidP="00FA0D37">
      <w:pPr>
        <w:pStyle w:val="PL"/>
        <w:rPr>
          <w:color w:val="808080"/>
        </w:rPr>
      </w:pPr>
      <w:r w:rsidRPr="00FA0D37">
        <w:t xml:space="preserve">                    aggregationLevel4-r16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2B188C2C" w14:textId="77777777" w:rsidR="00394471" w:rsidRPr="00FA0D37" w:rsidRDefault="00394471" w:rsidP="00FA0D37">
      <w:pPr>
        <w:pStyle w:val="PL"/>
        <w:rPr>
          <w:color w:val="808080"/>
        </w:rPr>
      </w:pPr>
      <w:r w:rsidRPr="00FA0D37">
        <w:t xml:space="preserve">                    aggregationLevel8-r16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67C63159" w14:textId="77777777" w:rsidR="00394471" w:rsidRPr="00FA0D37" w:rsidRDefault="00394471" w:rsidP="00FA0D37">
      <w:pPr>
        <w:pStyle w:val="PL"/>
        <w:rPr>
          <w:color w:val="808080"/>
        </w:rPr>
      </w:pPr>
      <w:r w:rsidRPr="00FA0D37">
        <w:t xml:space="preserve">                    aggregationLevel16-r16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39601A78" w14:textId="77777777" w:rsidR="00394471" w:rsidRPr="00FA0D37" w:rsidRDefault="00394471" w:rsidP="00FA0D37">
      <w:pPr>
        <w:pStyle w:val="PL"/>
      </w:pPr>
      <w:r w:rsidRPr="00FA0D37">
        <w:t xml:space="preserve">                },</w:t>
      </w:r>
    </w:p>
    <w:p w14:paraId="36E44017" w14:textId="77777777" w:rsidR="00394471" w:rsidRPr="00FA0D37" w:rsidRDefault="00394471" w:rsidP="00FA0D37">
      <w:pPr>
        <w:pStyle w:val="PL"/>
      </w:pPr>
      <w:r w:rsidRPr="00FA0D37">
        <w:t xml:space="preserve">                ...</w:t>
      </w:r>
    </w:p>
    <w:p w14:paraId="6D7B8BAB"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7AA0CBE" w14:textId="77777777" w:rsidR="00394471" w:rsidRPr="00FA0D37" w:rsidRDefault="00394471" w:rsidP="00FA0D37">
      <w:pPr>
        <w:pStyle w:val="PL"/>
      </w:pPr>
      <w:r w:rsidRPr="00FA0D37">
        <w:t xml:space="preserve">            dci-Format2-5-r16                      </w:t>
      </w:r>
      <w:r w:rsidRPr="00FA0D37">
        <w:rPr>
          <w:color w:val="993366"/>
        </w:rPr>
        <w:t>SEQUENCE</w:t>
      </w:r>
      <w:r w:rsidRPr="00FA0D37">
        <w:t xml:space="preserve"> {</w:t>
      </w:r>
    </w:p>
    <w:p w14:paraId="11B7A4FA" w14:textId="77777777" w:rsidR="00394471" w:rsidRPr="00FA0D37" w:rsidRDefault="00394471" w:rsidP="00FA0D37">
      <w:pPr>
        <w:pStyle w:val="PL"/>
      </w:pPr>
      <w:r w:rsidRPr="00FA0D37">
        <w:t xml:space="preserve">                nrofCandidates-IAB-r16                  </w:t>
      </w:r>
      <w:r w:rsidRPr="00FA0D37">
        <w:rPr>
          <w:color w:val="993366"/>
        </w:rPr>
        <w:t>SEQUENCE</w:t>
      </w:r>
      <w:r w:rsidRPr="00FA0D37">
        <w:t xml:space="preserve"> {</w:t>
      </w:r>
    </w:p>
    <w:p w14:paraId="4D40B707" w14:textId="77777777" w:rsidR="00394471" w:rsidRPr="00FA0D37" w:rsidRDefault="00394471" w:rsidP="00FA0D37">
      <w:pPr>
        <w:pStyle w:val="PL"/>
        <w:rPr>
          <w:color w:val="808080"/>
        </w:rPr>
      </w:pPr>
      <w:r w:rsidRPr="00FA0D37">
        <w:t xml:space="preserve">                    aggregationLevel1-r16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46BA67D3" w14:textId="77777777" w:rsidR="00394471" w:rsidRPr="00FA0D37" w:rsidRDefault="00394471" w:rsidP="00FA0D37">
      <w:pPr>
        <w:pStyle w:val="PL"/>
        <w:rPr>
          <w:color w:val="808080"/>
        </w:rPr>
      </w:pPr>
      <w:r w:rsidRPr="00FA0D37">
        <w:t xml:space="preserve">                    aggregationLevel2-r16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782DF326" w14:textId="77777777" w:rsidR="00394471" w:rsidRPr="00FA0D37" w:rsidRDefault="00394471" w:rsidP="00FA0D37">
      <w:pPr>
        <w:pStyle w:val="PL"/>
        <w:rPr>
          <w:color w:val="808080"/>
        </w:rPr>
      </w:pPr>
      <w:r w:rsidRPr="00FA0D37">
        <w:t xml:space="preserve">                    aggregationLevel4-r16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15D5EF6B" w14:textId="77777777" w:rsidR="00394471" w:rsidRPr="00FA0D37" w:rsidRDefault="00394471" w:rsidP="00FA0D37">
      <w:pPr>
        <w:pStyle w:val="PL"/>
        <w:rPr>
          <w:color w:val="808080"/>
        </w:rPr>
      </w:pPr>
      <w:r w:rsidRPr="00FA0D37">
        <w:t xml:space="preserve">                    aggregationLevel8-r16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4B4EA407" w14:textId="77777777" w:rsidR="00394471" w:rsidRPr="00FA0D37" w:rsidRDefault="00394471" w:rsidP="00FA0D37">
      <w:pPr>
        <w:pStyle w:val="PL"/>
        <w:rPr>
          <w:color w:val="808080"/>
        </w:rPr>
      </w:pPr>
      <w:r w:rsidRPr="00FA0D37">
        <w:t xml:space="preserve">                    aggregationLevel16-r16                  </w:t>
      </w:r>
      <w:r w:rsidRPr="00FA0D37">
        <w:rPr>
          <w:color w:val="993366"/>
        </w:rPr>
        <w:t>ENUMERATED</w:t>
      </w:r>
      <w:r w:rsidRPr="00FA0D37">
        <w:t xml:space="preserve"> {n1, n2}                         </w:t>
      </w:r>
      <w:r w:rsidRPr="00FA0D37">
        <w:rPr>
          <w:color w:val="993366"/>
        </w:rPr>
        <w:t>OPTIONAL</w:t>
      </w:r>
      <w:r w:rsidRPr="00FA0D37">
        <w:t xml:space="preserve">    </w:t>
      </w:r>
      <w:r w:rsidRPr="00FA0D37">
        <w:rPr>
          <w:color w:val="808080"/>
        </w:rPr>
        <w:t>-- Need R</w:t>
      </w:r>
    </w:p>
    <w:p w14:paraId="22F77750" w14:textId="77777777" w:rsidR="00394471" w:rsidRPr="00FA0D37" w:rsidRDefault="00394471" w:rsidP="00FA0D37">
      <w:pPr>
        <w:pStyle w:val="PL"/>
      </w:pPr>
      <w:r w:rsidRPr="00FA0D37">
        <w:t xml:space="preserve">                },</w:t>
      </w:r>
    </w:p>
    <w:p w14:paraId="0AA8F894" w14:textId="77777777" w:rsidR="00394471" w:rsidRPr="00FA0D37" w:rsidRDefault="00394471" w:rsidP="00FA0D37">
      <w:pPr>
        <w:pStyle w:val="PL"/>
      </w:pPr>
      <w:r w:rsidRPr="00FA0D37">
        <w:t xml:space="preserve">                ...</w:t>
      </w:r>
    </w:p>
    <w:p w14:paraId="0F55084E"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4C2C5733" w14:textId="77777777" w:rsidR="00394471" w:rsidRPr="00FA0D37" w:rsidRDefault="00394471" w:rsidP="00FA0D37">
      <w:pPr>
        <w:pStyle w:val="PL"/>
      </w:pPr>
      <w:r w:rsidRPr="00FA0D37">
        <w:t xml:space="preserve">            dci-Format2-6-r16                       </w:t>
      </w:r>
      <w:r w:rsidRPr="00FA0D37">
        <w:rPr>
          <w:color w:val="993366"/>
        </w:rPr>
        <w:t>SEQUENCE</w:t>
      </w:r>
      <w:r w:rsidRPr="00FA0D37">
        <w:t xml:space="preserve"> {</w:t>
      </w:r>
    </w:p>
    <w:p w14:paraId="5C1A2893" w14:textId="77777777" w:rsidR="00394471" w:rsidRPr="00FA0D37" w:rsidRDefault="00394471" w:rsidP="00FA0D37">
      <w:pPr>
        <w:pStyle w:val="PL"/>
      </w:pPr>
      <w:r w:rsidRPr="00FA0D37">
        <w:t xml:space="preserve">                ...</w:t>
      </w:r>
    </w:p>
    <w:p w14:paraId="72938290"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450F8E91" w14:textId="3CBD978B" w:rsidR="00940426" w:rsidRPr="00FA0D37" w:rsidRDefault="00394471" w:rsidP="00FA0D37">
      <w:pPr>
        <w:pStyle w:val="PL"/>
      </w:pPr>
      <w:r w:rsidRPr="00FA0D37">
        <w:t xml:space="preserve">            ...</w:t>
      </w:r>
    </w:p>
    <w:p w14:paraId="747EC398" w14:textId="77777777" w:rsidR="00394471" w:rsidRPr="00FA0D37" w:rsidRDefault="00394471" w:rsidP="00FA0D37">
      <w:pPr>
        <w:pStyle w:val="PL"/>
      </w:pPr>
      <w:r w:rsidRPr="00FA0D37">
        <w:t xml:space="preserve">        }</w:t>
      </w:r>
    </w:p>
    <w:p w14:paraId="3E229E59"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Setup3</w:t>
      </w:r>
    </w:p>
    <w:p w14:paraId="5121872F" w14:textId="77777777" w:rsidR="00394471" w:rsidRPr="00FA0D37" w:rsidRDefault="00394471" w:rsidP="00FA0D37">
      <w:pPr>
        <w:pStyle w:val="PL"/>
        <w:rPr>
          <w:color w:val="808080"/>
        </w:rPr>
      </w:pPr>
      <w:r w:rsidRPr="00FA0D37">
        <w:t xml:space="preserve">    searchSpaceGroupIdList-r16                      </w:t>
      </w:r>
      <w:r w:rsidRPr="00FA0D37">
        <w:rPr>
          <w:color w:val="993366"/>
        </w:rPr>
        <w:t>SEQUENCE</w:t>
      </w:r>
      <w:r w:rsidRPr="00FA0D37">
        <w:t xml:space="preserve"> (</w:t>
      </w:r>
      <w:r w:rsidRPr="00FA0D37">
        <w:rPr>
          <w:color w:val="993366"/>
        </w:rPr>
        <w:t>SIZE</w:t>
      </w:r>
      <w:r w:rsidRPr="00FA0D37">
        <w:t xml:space="preserve"> (1.. 2))</w:t>
      </w:r>
      <w:r w:rsidRPr="00FA0D37">
        <w:rPr>
          <w:color w:val="993366"/>
        </w:rPr>
        <w:t xml:space="preserve"> OF</w:t>
      </w:r>
      <w:r w:rsidRPr="00FA0D37">
        <w:t xml:space="preserve">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R</w:t>
      </w:r>
    </w:p>
    <w:p w14:paraId="0E4C0186" w14:textId="77777777" w:rsidR="00394471" w:rsidRPr="00FA0D37" w:rsidRDefault="00394471" w:rsidP="00FA0D37">
      <w:pPr>
        <w:pStyle w:val="PL"/>
        <w:rPr>
          <w:color w:val="808080"/>
        </w:rPr>
      </w:pPr>
      <w:r w:rsidRPr="00FA0D37">
        <w:t xml:space="preserve">    freqMonitorLocations-r16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(5))                               </w:t>
      </w:r>
      <w:r w:rsidRPr="00FA0D37">
        <w:rPr>
          <w:color w:val="993366"/>
        </w:rPr>
        <w:t>OPTIONAL</w:t>
      </w:r>
      <w:r w:rsidRPr="00FA0D37">
        <w:t xml:space="preserve">     </w:t>
      </w:r>
      <w:r w:rsidRPr="00FA0D37">
        <w:rPr>
          <w:color w:val="808080"/>
        </w:rPr>
        <w:t>-- Need R</w:t>
      </w:r>
    </w:p>
    <w:p w14:paraId="14E3374B" w14:textId="77777777" w:rsidR="00394471" w:rsidRPr="00FA0D37" w:rsidRDefault="00394471" w:rsidP="00FA0D37">
      <w:pPr>
        <w:pStyle w:val="PL"/>
      </w:pPr>
      <w:r w:rsidRPr="00FA0D37">
        <w:t>}</w:t>
      </w:r>
    </w:p>
    <w:p w14:paraId="21AB58B6" w14:textId="668DDFA4" w:rsidR="0021547E" w:rsidRPr="00FA0D37" w:rsidRDefault="0021547E" w:rsidP="00FA0D37">
      <w:pPr>
        <w:pStyle w:val="PL"/>
      </w:pPr>
    </w:p>
    <w:p w14:paraId="6909CD83" w14:textId="0FAE09D0" w:rsidR="00940426" w:rsidRPr="00FA0D37" w:rsidRDefault="00940426" w:rsidP="00FA0D37">
      <w:pPr>
        <w:pStyle w:val="PL"/>
      </w:pPr>
      <w:r w:rsidRPr="00FA0D37">
        <w:t>SearchSpaceExt-v17</w:t>
      </w:r>
      <w:r w:rsidR="00A73A2D" w:rsidRPr="00FA0D37">
        <w:t>00</w:t>
      </w:r>
      <w:r w:rsidRPr="00FA0D37">
        <w:t xml:space="preserve"> ::=            </w:t>
      </w:r>
      <w:r w:rsidRPr="00FA0D37">
        <w:rPr>
          <w:color w:val="993366"/>
        </w:rPr>
        <w:t>SEQUENCE</w:t>
      </w:r>
      <w:r w:rsidRPr="00FA0D37">
        <w:t xml:space="preserve"> {</w:t>
      </w:r>
    </w:p>
    <w:p w14:paraId="410FED3D" w14:textId="3B37ACF8" w:rsidR="0021547E" w:rsidRPr="00FA0D37" w:rsidRDefault="0021547E" w:rsidP="00FA0D37">
      <w:pPr>
        <w:pStyle w:val="PL"/>
      </w:pPr>
      <w:r w:rsidRPr="00FA0D37">
        <w:t xml:space="preserve">    monitoringSlotPeriodicityAndOffset-</w:t>
      </w:r>
      <w:r w:rsidR="00F12A49" w:rsidRPr="00FA0D37">
        <w:t>v</w:t>
      </w:r>
      <w:r w:rsidRPr="00FA0D37">
        <w:t>17</w:t>
      </w:r>
      <w:r w:rsidR="00F12A49" w:rsidRPr="00FA0D37">
        <w:t>10</w:t>
      </w:r>
      <w:r w:rsidRPr="00FA0D37">
        <w:t xml:space="preserve"> </w:t>
      </w:r>
      <w:r w:rsidRPr="00FA0D37">
        <w:rPr>
          <w:color w:val="993366"/>
        </w:rPr>
        <w:t>CHOICE</w:t>
      </w:r>
      <w:r w:rsidRPr="00FA0D37">
        <w:t xml:space="preserve"> {</w:t>
      </w:r>
    </w:p>
    <w:p w14:paraId="1B0D029F" w14:textId="07F46B73" w:rsidR="0021547E" w:rsidRPr="00FA0D37" w:rsidRDefault="0021547E" w:rsidP="00FA0D37">
      <w:pPr>
        <w:pStyle w:val="PL"/>
      </w:pPr>
      <w:r w:rsidRPr="00FA0D37">
        <w:t xml:space="preserve">        sl32                                     </w:t>
      </w:r>
      <w:r w:rsidRPr="00FA0D37">
        <w:rPr>
          <w:color w:val="993366"/>
        </w:rPr>
        <w:t>INTEGER</w:t>
      </w:r>
      <w:r w:rsidRPr="00FA0D37">
        <w:t xml:space="preserve"> (0..31),</w:t>
      </w:r>
    </w:p>
    <w:p w14:paraId="5D2A4FD9" w14:textId="25E5F3BB" w:rsidR="0021547E" w:rsidRPr="00FA0D37" w:rsidRDefault="0021547E" w:rsidP="00FA0D37">
      <w:pPr>
        <w:pStyle w:val="PL"/>
      </w:pPr>
      <w:r w:rsidRPr="00FA0D37">
        <w:t xml:space="preserve">        sl64                                     </w:t>
      </w:r>
      <w:r w:rsidRPr="00FA0D37">
        <w:rPr>
          <w:color w:val="993366"/>
        </w:rPr>
        <w:t>INTEGER</w:t>
      </w:r>
      <w:r w:rsidRPr="00FA0D37">
        <w:t xml:space="preserve"> (0..63),</w:t>
      </w:r>
    </w:p>
    <w:p w14:paraId="3B46199D" w14:textId="18E19A2D" w:rsidR="0021547E" w:rsidRPr="00FA0D37" w:rsidRDefault="0021547E" w:rsidP="00FA0D37">
      <w:pPr>
        <w:pStyle w:val="PL"/>
      </w:pPr>
      <w:r w:rsidRPr="00FA0D37">
        <w:t xml:space="preserve">        sl128                                    </w:t>
      </w:r>
      <w:r w:rsidRPr="00FA0D37">
        <w:rPr>
          <w:color w:val="993366"/>
        </w:rPr>
        <w:t>INTEGER</w:t>
      </w:r>
      <w:r w:rsidRPr="00FA0D37">
        <w:t xml:space="preserve"> (0..127),</w:t>
      </w:r>
    </w:p>
    <w:p w14:paraId="0B517774" w14:textId="16A2966F" w:rsidR="0021547E" w:rsidRPr="00FA0D37" w:rsidRDefault="0021547E" w:rsidP="00FA0D37">
      <w:pPr>
        <w:pStyle w:val="PL"/>
      </w:pPr>
      <w:r w:rsidRPr="00FA0D37">
        <w:t xml:space="preserve">        sl5120                                   </w:t>
      </w:r>
      <w:r w:rsidRPr="00FA0D37">
        <w:rPr>
          <w:color w:val="993366"/>
        </w:rPr>
        <w:t>INTEGER</w:t>
      </w:r>
      <w:r w:rsidRPr="00FA0D37">
        <w:t xml:space="preserve"> (0..5119),</w:t>
      </w:r>
    </w:p>
    <w:p w14:paraId="4F604155" w14:textId="21532396" w:rsidR="0021547E" w:rsidRPr="00FA0D37" w:rsidRDefault="0021547E" w:rsidP="00FA0D37">
      <w:pPr>
        <w:pStyle w:val="PL"/>
      </w:pPr>
      <w:r w:rsidRPr="00FA0D37">
        <w:t xml:space="preserve">        sl10240                                  </w:t>
      </w:r>
      <w:r w:rsidRPr="00FA0D37">
        <w:rPr>
          <w:color w:val="993366"/>
        </w:rPr>
        <w:t>INTEGER</w:t>
      </w:r>
      <w:r w:rsidRPr="00FA0D37">
        <w:t xml:space="preserve"> (0..10239),</w:t>
      </w:r>
    </w:p>
    <w:p w14:paraId="3AB72974" w14:textId="5257D462" w:rsidR="0021547E" w:rsidRPr="00FA0D37" w:rsidRDefault="0021547E" w:rsidP="00FA0D37">
      <w:pPr>
        <w:pStyle w:val="PL"/>
      </w:pPr>
      <w:r w:rsidRPr="00FA0D37">
        <w:t xml:space="preserve">        sl20480                                  </w:t>
      </w:r>
      <w:r w:rsidRPr="00FA0D37">
        <w:rPr>
          <w:color w:val="993366"/>
        </w:rPr>
        <w:t>INTEGER</w:t>
      </w:r>
      <w:r w:rsidRPr="00FA0D37">
        <w:t xml:space="preserve"> (0..20479)</w:t>
      </w:r>
    </w:p>
    <w:p w14:paraId="1FBE1D3C" w14:textId="61F37750" w:rsidR="0021547E" w:rsidRPr="00FA0D37" w:rsidRDefault="0021547E"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Setup5</w:t>
      </w:r>
    </w:p>
    <w:p w14:paraId="1F6D10D4" w14:textId="77777777" w:rsidR="00F12A49" w:rsidRPr="00FA0D37" w:rsidRDefault="0021547E" w:rsidP="00FA0D37">
      <w:pPr>
        <w:pStyle w:val="PL"/>
      </w:pPr>
      <w:r w:rsidRPr="00FA0D37">
        <w:t xml:space="preserve">    monitoringSlotsWithinSlotGroup-r17       </w:t>
      </w:r>
      <w:r w:rsidR="00F12A49" w:rsidRPr="00FA0D37">
        <w:rPr>
          <w:color w:val="993366"/>
        </w:rPr>
        <w:t>CHOICE</w:t>
      </w:r>
      <w:r w:rsidR="00F12A49" w:rsidRPr="00FA0D37">
        <w:t xml:space="preserve"> {</w:t>
      </w:r>
    </w:p>
    <w:p w14:paraId="362B493E" w14:textId="04B17171" w:rsidR="00F12A49" w:rsidRPr="00FA0D37" w:rsidRDefault="00F12A49" w:rsidP="00FA0D37">
      <w:pPr>
        <w:pStyle w:val="PL"/>
      </w:pPr>
      <w:r w:rsidRPr="00FA0D37">
        <w:t xml:space="preserve">        slotGroupLength4-r17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r w:rsidR="001034AE" w:rsidRPr="00FA0D37">
        <w:t>,</w:t>
      </w:r>
    </w:p>
    <w:p w14:paraId="4B71AFDD" w14:textId="77777777" w:rsidR="00F12A49" w:rsidRPr="00FA0D37" w:rsidRDefault="00F12A49" w:rsidP="00FA0D37">
      <w:pPr>
        <w:pStyle w:val="PL"/>
      </w:pPr>
      <w:r w:rsidRPr="00FA0D37">
        <w:t xml:space="preserve">        slotGroupLength8-r17                     </w:t>
      </w:r>
      <w:r w:rsidR="0021547E" w:rsidRPr="00FA0D37">
        <w:rPr>
          <w:color w:val="993366"/>
        </w:rPr>
        <w:t>BIT</w:t>
      </w:r>
      <w:r w:rsidR="0021547E" w:rsidRPr="00FA0D37">
        <w:t xml:space="preserve"> </w:t>
      </w:r>
      <w:r w:rsidR="0021547E" w:rsidRPr="00FA0D37">
        <w:rPr>
          <w:color w:val="993366"/>
        </w:rPr>
        <w:t>STRING</w:t>
      </w:r>
      <w:r w:rsidR="0021547E" w:rsidRPr="00FA0D37">
        <w:t xml:space="preserve"> (</w:t>
      </w:r>
      <w:r w:rsidR="0021547E" w:rsidRPr="00FA0D37">
        <w:rPr>
          <w:color w:val="993366"/>
        </w:rPr>
        <w:t>SIZE</w:t>
      </w:r>
      <w:r w:rsidR="0021547E" w:rsidRPr="00FA0D37">
        <w:t xml:space="preserve"> (8))</w:t>
      </w:r>
    </w:p>
    <w:p w14:paraId="406A9BB1" w14:textId="5435345E" w:rsidR="00F12A49" w:rsidRPr="00FA0D37" w:rsidRDefault="00F12A49" w:rsidP="00FA0D37">
      <w:pPr>
        <w:pStyle w:val="PL"/>
        <w:rPr>
          <w:color w:val="808080"/>
        </w:rPr>
      </w:pPr>
      <w:r w:rsidRPr="00FA0D37">
        <w:t xml:space="preserve">    }                                                             </w:t>
      </w:r>
      <w:r w:rsidR="0021547E" w:rsidRPr="00FA0D37">
        <w:t xml:space="preserve">                                      </w:t>
      </w:r>
      <w:r w:rsidR="0021547E" w:rsidRPr="00FA0D37">
        <w:rPr>
          <w:color w:val="993366"/>
        </w:rPr>
        <w:t>OPTIONAL</w:t>
      </w:r>
      <w:r w:rsidR="0021547E" w:rsidRPr="00FA0D37">
        <w:t xml:space="preserve">,   </w:t>
      </w:r>
      <w:r w:rsidR="0021547E" w:rsidRPr="00FA0D37">
        <w:rPr>
          <w:color w:val="808080"/>
        </w:rPr>
        <w:t>-- Need R</w:t>
      </w:r>
    </w:p>
    <w:p w14:paraId="54E3A027" w14:textId="290C2CB1" w:rsidR="00F12A49" w:rsidRPr="00FA0D37" w:rsidRDefault="00F12A49" w:rsidP="00FA0D37">
      <w:pPr>
        <w:pStyle w:val="PL"/>
        <w:rPr>
          <w:color w:val="808080"/>
        </w:rPr>
      </w:pPr>
      <w:r w:rsidRPr="00FA0D37">
        <w:lastRenderedPageBreak/>
        <w:t xml:space="preserve">    duration-r17                             </w:t>
      </w:r>
      <w:r w:rsidRPr="00FA0D37">
        <w:rPr>
          <w:color w:val="993366"/>
        </w:rPr>
        <w:t>INTEGER</w:t>
      </w:r>
      <w:r w:rsidRPr="00FA0D37">
        <w:t xml:space="preserve"> (4..20476)                                         </w:t>
      </w:r>
      <w:r w:rsidRPr="00FA0D37">
        <w:rPr>
          <w:color w:val="993366"/>
        </w:rPr>
        <w:t>OPTIONAL</w:t>
      </w:r>
      <w:r w:rsidRPr="00FA0D37">
        <w:t xml:space="preserve">,   </w:t>
      </w:r>
      <w:r w:rsidRPr="00FA0D37">
        <w:rPr>
          <w:color w:val="808080"/>
        </w:rPr>
        <w:t>-- Need R</w:t>
      </w:r>
    </w:p>
    <w:p w14:paraId="5B745552" w14:textId="3B83E39E" w:rsidR="0021547E" w:rsidRPr="00FA0D37" w:rsidRDefault="0021547E" w:rsidP="00FA0D37">
      <w:pPr>
        <w:pStyle w:val="PL"/>
      </w:pPr>
    </w:p>
    <w:p w14:paraId="179454B5" w14:textId="52378899" w:rsidR="001E593B" w:rsidRPr="00FA0D37" w:rsidRDefault="001E593B" w:rsidP="00FA0D37">
      <w:pPr>
        <w:pStyle w:val="PL"/>
      </w:pPr>
      <w:r w:rsidRPr="00FA0D37">
        <w:t xml:space="preserve">    searchSpaceType-r17             </w:t>
      </w:r>
      <w:r w:rsidRPr="00FA0D37">
        <w:rPr>
          <w:color w:val="993366"/>
        </w:rPr>
        <w:t>SEQUENCE</w:t>
      </w:r>
      <w:r w:rsidRPr="00FA0D37">
        <w:t>{</w:t>
      </w:r>
    </w:p>
    <w:p w14:paraId="308250DD" w14:textId="235C7915" w:rsidR="001E593B" w:rsidRPr="00FA0D37" w:rsidRDefault="001E593B" w:rsidP="00FA0D37">
      <w:pPr>
        <w:pStyle w:val="PL"/>
      </w:pPr>
      <w:r w:rsidRPr="00FA0D37">
        <w:t xml:space="preserve">        common-r17                      </w:t>
      </w:r>
      <w:r w:rsidRPr="00FA0D37">
        <w:rPr>
          <w:color w:val="993366"/>
        </w:rPr>
        <w:t>SEQUENCE</w:t>
      </w:r>
      <w:r w:rsidRPr="00FA0D37">
        <w:t xml:space="preserve"> {</w:t>
      </w:r>
    </w:p>
    <w:p w14:paraId="1264EF1A" w14:textId="6C311E9A" w:rsidR="001E593B" w:rsidRPr="00FA0D37" w:rsidRDefault="001E593B" w:rsidP="00FA0D37">
      <w:pPr>
        <w:pStyle w:val="PL"/>
      </w:pPr>
      <w:r w:rsidRPr="00FA0D37">
        <w:t xml:space="preserve">            dci-Format4-0-r17               </w:t>
      </w:r>
      <w:r w:rsidRPr="00FA0D37">
        <w:rPr>
          <w:color w:val="993366"/>
        </w:rPr>
        <w:t>SEQUENCE</w:t>
      </w:r>
      <w:r w:rsidRPr="00FA0D37">
        <w:t xml:space="preserve"> {</w:t>
      </w:r>
    </w:p>
    <w:p w14:paraId="4535707E" w14:textId="77777777" w:rsidR="001E593B" w:rsidRPr="00FA0D37" w:rsidRDefault="001E593B" w:rsidP="00FA0D37">
      <w:pPr>
        <w:pStyle w:val="PL"/>
      </w:pPr>
      <w:r w:rsidRPr="00FA0D37">
        <w:t xml:space="preserve">                ...</w:t>
      </w:r>
    </w:p>
    <w:p w14:paraId="2E296685" w14:textId="4FAAEF0F" w:rsidR="001E593B" w:rsidRPr="00FA0D37" w:rsidRDefault="001E593B"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054EC081" w14:textId="28AFD6CB" w:rsidR="001E593B" w:rsidRPr="00FA0D37" w:rsidRDefault="001E593B" w:rsidP="00FA0D37">
      <w:pPr>
        <w:pStyle w:val="PL"/>
      </w:pPr>
      <w:r w:rsidRPr="00FA0D37">
        <w:t xml:space="preserve">            dci-Format4-1-r17               </w:t>
      </w:r>
      <w:r w:rsidRPr="00FA0D37">
        <w:rPr>
          <w:color w:val="993366"/>
        </w:rPr>
        <w:t>SEQUENCE</w:t>
      </w:r>
      <w:r w:rsidRPr="00FA0D37">
        <w:t xml:space="preserve"> {</w:t>
      </w:r>
    </w:p>
    <w:p w14:paraId="393BD394" w14:textId="77777777" w:rsidR="001E593B" w:rsidRPr="00FA0D37" w:rsidRDefault="001E593B" w:rsidP="00FA0D37">
      <w:pPr>
        <w:pStyle w:val="PL"/>
      </w:pPr>
      <w:r w:rsidRPr="00FA0D37">
        <w:t xml:space="preserve">                ...</w:t>
      </w:r>
    </w:p>
    <w:p w14:paraId="4730AFE1" w14:textId="77777777" w:rsidR="001E593B" w:rsidRPr="00FA0D37" w:rsidRDefault="001E593B"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1D81FC8" w14:textId="1510CFD8" w:rsidR="001E593B" w:rsidRPr="00FA0D37" w:rsidRDefault="001E593B" w:rsidP="00FA0D37">
      <w:pPr>
        <w:pStyle w:val="PL"/>
      </w:pPr>
      <w:r w:rsidRPr="00FA0D37">
        <w:t xml:space="preserve">            dci-Format4-2-r17               </w:t>
      </w:r>
      <w:r w:rsidRPr="00FA0D37">
        <w:rPr>
          <w:color w:val="993366"/>
        </w:rPr>
        <w:t>SEQUENCE</w:t>
      </w:r>
      <w:r w:rsidRPr="00FA0D37">
        <w:t xml:space="preserve"> {</w:t>
      </w:r>
    </w:p>
    <w:p w14:paraId="4B481BB7" w14:textId="77777777" w:rsidR="001E593B" w:rsidRPr="00FA0D37" w:rsidRDefault="001E593B" w:rsidP="00FA0D37">
      <w:pPr>
        <w:pStyle w:val="PL"/>
      </w:pPr>
      <w:r w:rsidRPr="00FA0D37">
        <w:t xml:space="preserve">                ...</w:t>
      </w:r>
    </w:p>
    <w:p w14:paraId="285C1014" w14:textId="77777777" w:rsidR="001E593B" w:rsidRPr="00FA0D37" w:rsidRDefault="001E593B"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6EE18583" w14:textId="6C4991AF" w:rsidR="001E593B" w:rsidRPr="00FA0D37" w:rsidRDefault="001E593B" w:rsidP="00FA0D37">
      <w:pPr>
        <w:pStyle w:val="PL"/>
      </w:pPr>
      <w:r w:rsidRPr="00FA0D37">
        <w:t xml:space="preserve">            dci-Format4-1-AndFormat4-2-r17  </w:t>
      </w:r>
      <w:r w:rsidRPr="00FA0D37">
        <w:rPr>
          <w:color w:val="993366"/>
        </w:rPr>
        <w:t>SEQUENCE</w:t>
      </w:r>
      <w:r w:rsidRPr="00FA0D37">
        <w:t xml:space="preserve"> {</w:t>
      </w:r>
    </w:p>
    <w:p w14:paraId="5CCBDFE9" w14:textId="77777777" w:rsidR="001E593B" w:rsidRPr="00FA0D37" w:rsidRDefault="001E593B" w:rsidP="00FA0D37">
      <w:pPr>
        <w:pStyle w:val="PL"/>
      </w:pPr>
      <w:r w:rsidRPr="00FA0D37">
        <w:t xml:space="preserve">                ...</w:t>
      </w:r>
    </w:p>
    <w:p w14:paraId="1459C816" w14:textId="1826E11A" w:rsidR="001E593B" w:rsidRPr="00FA0D37" w:rsidRDefault="001E593B" w:rsidP="00FA0D37">
      <w:pPr>
        <w:pStyle w:val="PL"/>
        <w:rPr>
          <w:color w:val="808080"/>
        </w:rPr>
      </w:pPr>
      <w:r w:rsidRPr="00FA0D37">
        <w:t xml:space="preserve">            }                                                                                           </w:t>
      </w:r>
      <w:r w:rsidRPr="00FA0D37">
        <w:rPr>
          <w:color w:val="993366"/>
        </w:rPr>
        <w:t>OPTIONAL</w:t>
      </w:r>
      <w:r w:rsidR="005220C9" w:rsidRPr="00FA0D37">
        <w:t>,</w:t>
      </w:r>
      <w:r w:rsidRPr="00FA0D37">
        <w:t xml:space="preserve">   </w:t>
      </w:r>
      <w:r w:rsidRPr="00FA0D37">
        <w:rPr>
          <w:color w:val="808080"/>
        </w:rPr>
        <w:t>-- Need R</w:t>
      </w:r>
    </w:p>
    <w:p w14:paraId="3F099124" w14:textId="5DFBF6DE" w:rsidR="005220C9" w:rsidRPr="00FA0D37" w:rsidRDefault="005220C9" w:rsidP="00FA0D37">
      <w:pPr>
        <w:pStyle w:val="PL"/>
      </w:pPr>
      <w:r w:rsidRPr="00FA0D37">
        <w:t xml:space="preserve">            dci-Format2-7-r17               </w:t>
      </w:r>
      <w:r w:rsidRPr="00FA0D37">
        <w:rPr>
          <w:color w:val="993366"/>
        </w:rPr>
        <w:t>SEQUENCE</w:t>
      </w:r>
      <w:r w:rsidRPr="00FA0D37">
        <w:t xml:space="preserve"> {</w:t>
      </w:r>
    </w:p>
    <w:p w14:paraId="6D11F8CD" w14:textId="2D7D0C00" w:rsidR="005220C9" w:rsidRPr="00FA0D37" w:rsidRDefault="005220C9" w:rsidP="00FA0D37">
      <w:pPr>
        <w:pStyle w:val="PL"/>
      </w:pPr>
      <w:r w:rsidRPr="00FA0D37">
        <w:t xml:space="preserve">                nrofCandidates-PEI-r17          </w:t>
      </w:r>
      <w:r w:rsidRPr="00FA0D37">
        <w:rPr>
          <w:color w:val="993366"/>
        </w:rPr>
        <w:t>SEQUENCE</w:t>
      </w:r>
      <w:r w:rsidRPr="00FA0D37">
        <w:t xml:space="preserve"> {</w:t>
      </w:r>
    </w:p>
    <w:p w14:paraId="6582D1CC" w14:textId="2C4ACEDE" w:rsidR="005220C9" w:rsidRPr="00FA0D37" w:rsidRDefault="005220C9" w:rsidP="00FA0D37">
      <w:pPr>
        <w:pStyle w:val="PL"/>
        <w:rPr>
          <w:color w:val="808080"/>
        </w:rPr>
      </w:pPr>
      <w:r w:rsidRPr="00FA0D37">
        <w:t xml:space="preserve">                    aggregationLevel4-r17       </w:t>
      </w:r>
      <w:r w:rsidRPr="00FA0D37">
        <w:rPr>
          <w:color w:val="993366"/>
        </w:rPr>
        <w:t>ENUMERATED</w:t>
      </w:r>
      <w:r w:rsidRPr="00FA0D37">
        <w:t xml:space="preserve"> {n0, n1, n2, n3, n4}                         </w:t>
      </w:r>
      <w:r w:rsidRPr="00FA0D37">
        <w:rPr>
          <w:color w:val="993366"/>
        </w:rPr>
        <w:t>OPTIONAL</w:t>
      </w:r>
      <w:r w:rsidRPr="00FA0D37">
        <w:t xml:space="preserve">,   </w:t>
      </w:r>
      <w:r w:rsidRPr="00FA0D37">
        <w:rPr>
          <w:color w:val="808080"/>
        </w:rPr>
        <w:t>-- Need R</w:t>
      </w:r>
    </w:p>
    <w:p w14:paraId="66B76CBA" w14:textId="03BBD343" w:rsidR="005220C9" w:rsidRPr="00FA0D37" w:rsidRDefault="005220C9" w:rsidP="00FA0D37">
      <w:pPr>
        <w:pStyle w:val="PL"/>
        <w:rPr>
          <w:color w:val="808080"/>
        </w:rPr>
      </w:pPr>
      <w:r w:rsidRPr="00FA0D37">
        <w:t xml:space="preserve">                    aggregationLevel8-r17       </w:t>
      </w:r>
      <w:r w:rsidRPr="00FA0D37">
        <w:rPr>
          <w:color w:val="993366"/>
        </w:rPr>
        <w:t>ENUMERATED</w:t>
      </w:r>
      <w:r w:rsidRPr="00FA0D37">
        <w:t xml:space="preserve"> {n0, n1, n2}                                 </w:t>
      </w:r>
      <w:r w:rsidRPr="00FA0D37">
        <w:rPr>
          <w:color w:val="993366"/>
        </w:rPr>
        <w:t>OPTIONAL</w:t>
      </w:r>
      <w:r w:rsidRPr="00FA0D37">
        <w:t xml:space="preserve">,   </w:t>
      </w:r>
      <w:r w:rsidRPr="00FA0D37">
        <w:rPr>
          <w:color w:val="808080"/>
        </w:rPr>
        <w:t>-- Need R</w:t>
      </w:r>
    </w:p>
    <w:p w14:paraId="25D311CF" w14:textId="4F29AE82" w:rsidR="005220C9" w:rsidRPr="00FA0D37" w:rsidRDefault="005220C9" w:rsidP="00FA0D37">
      <w:pPr>
        <w:pStyle w:val="PL"/>
        <w:rPr>
          <w:color w:val="808080"/>
        </w:rPr>
      </w:pPr>
      <w:r w:rsidRPr="00FA0D37">
        <w:t xml:space="preserve">                    aggregationLevel16-r17      </w:t>
      </w:r>
      <w:r w:rsidRPr="00FA0D37">
        <w:rPr>
          <w:color w:val="993366"/>
        </w:rPr>
        <w:t>ENUMERATED</w:t>
      </w:r>
      <w:r w:rsidRPr="00FA0D37">
        <w:t xml:space="preserve"> {n0, n1}                                     </w:t>
      </w:r>
      <w:r w:rsidRPr="00FA0D37">
        <w:rPr>
          <w:color w:val="993366"/>
        </w:rPr>
        <w:t>OPTIONAL</w:t>
      </w:r>
      <w:r w:rsidRPr="00FA0D37">
        <w:t xml:space="preserve">    </w:t>
      </w:r>
      <w:r w:rsidRPr="00FA0D37">
        <w:rPr>
          <w:color w:val="808080"/>
        </w:rPr>
        <w:t>-- Need R</w:t>
      </w:r>
    </w:p>
    <w:p w14:paraId="2D5EFDCE" w14:textId="77777777" w:rsidR="005220C9" w:rsidRPr="00FA0D37" w:rsidRDefault="005220C9" w:rsidP="00FA0D37">
      <w:pPr>
        <w:pStyle w:val="PL"/>
      </w:pPr>
      <w:r w:rsidRPr="00FA0D37">
        <w:t xml:space="preserve">                },</w:t>
      </w:r>
    </w:p>
    <w:p w14:paraId="303B85E1" w14:textId="77777777" w:rsidR="005220C9" w:rsidRPr="00FA0D37" w:rsidRDefault="005220C9" w:rsidP="00FA0D37">
      <w:pPr>
        <w:pStyle w:val="PL"/>
      </w:pPr>
      <w:r w:rsidRPr="00FA0D37">
        <w:t xml:space="preserve">                ...</w:t>
      </w:r>
    </w:p>
    <w:p w14:paraId="24459A9E" w14:textId="77777777" w:rsidR="005220C9" w:rsidRPr="00FA0D37" w:rsidRDefault="005220C9"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535DB0AF" w14:textId="3A853B6D" w:rsidR="001E593B" w:rsidRPr="00FA0D37" w:rsidRDefault="001E593B" w:rsidP="00FA0D37">
      <w:pPr>
        <w:pStyle w:val="PL"/>
      </w:pPr>
      <w:r w:rsidRPr="00FA0D37">
        <w:t xml:space="preserve">        }</w:t>
      </w:r>
    </w:p>
    <w:p w14:paraId="3F874578" w14:textId="0B332E59" w:rsidR="001E593B" w:rsidRPr="00FA0D37" w:rsidRDefault="001E593B" w:rsidP="00FA0D37">
      <w:pPr>
        <w:pStyle w:val="PL"/>
        <w:rPr>
          <w:color w:val="808080"/>
        </w:rPr>
      </w:pPr>
      <w:r w:rsidRPr="00FA0D37">
        <w:t xml:space="preserve">    }                                                                                                   </w:t>
      </w:r>
      <w:r w:rsidRPr="00FA0D37">
        <w:rPr>
          <w:color w:val="993366"/>
        </w:rPr>
        <w:t>OPTIONAL</w:t>
      </w:r>
      <w:r w:rsidR="0023081C" w:rsidRPr="00FA0D37">
        <w:t>,</w:t>
      </w:r>
      <w:r w:rsidRPr="00FA0D37">
        <w:t xml:space="preserve">   </w:t>
      </w:r>
      <w:r w:rsidRPr="00FA0D37">
        <w:rPr>
          <w:color w:val="808080"/>
        </w:rPr>
        <w:t>-- Need R</w:t>
      </w:r>
    </w:p>
    <w:p w14:paraId="38FF9F81" w14:textId="26966BF4" w:rsidR="002D7FAF" w:rsidRPr="00FA0D37" w:rsidRDefault="002D7FAF" w:rsidP="00FA0D37">
      <w:pPr>
        <w:pStyle w:val="PL"/>
        <w:rPr>
          <w:color w:val="808080"/>
        </w:rPr>
      </w:pPr>
      <w:r w:rsidRPr="00FA0D37">
        <w:t xml:space="preserve">    searchSpaceGroupIdList-r17          </w:t>
      </w:r>
      <w:r w:rsidRPr="00FA0D37">
        <w:rPr>
          <w:color w:val="993366"/>
        </w:rPr>
        <w:t>SEQUENCE</w:t>
      </w:r>
      <w:r w:rsidRPr="00FA0D37">
        <w:t xml:space="preserve"> (</w:t>
      </w:r>
      <w:r w:rsidRPr="00FA0D37">
        <w:rPr>
          <w:color w:val="993366"/>
        </w:rPr>
        <w:t>SIZE</w:t>
      </w:r>
      <w:r w:rsidRPr="00FA0D37">
        <w:t xml:space="preserve"> (1.. 3))</w:t>
      </w:r>
      <w:r w:rsidRPr="00FA0D37">
        <w:rPr>
          <w:color w:val="993366"/>
        </w:rPr>
        <w:t xml:space="preserve"> OF</w:t>
      </w:r>
      <w:r w:rsidRPr="00FA0D37">
        <w:t xml:space="preserve"> </w:t>
      </w:r>
      <w:r w:rsidRPr="00FA0D37">
        <w:rPr>
          <w:color w:val="993366"/>
        </w:rPr>
        <w:t>INTEGER</w:t>
      </w:r>
      <w:r w:rsidRPr="00FA0D37">
        <w:t xml:space="preserve"> (0.. maxNrofSearchSpaceGroups-1-r17)  </w:t>
      </w:r>
      <w:r w:rsidRPr="00FA0D37">
        <w:rPr>
          <w:color w:val="993366"/>
        </w:rPr>
        <w:t>OPTIONAL</w:t>
      </w:r>
      <w:r w:rsidRPr="00FA0D37">
        <w:t xml:space="preserve">,  </w:t>
      </w:r>
      <w:r w:rsidRPr="00FA0D37">
        <w:rPr>
          <w:color w:val="808080"/>
        </w:rPr>
        <w:t xml:space="preserve">-- </w:t>
      </w:r>
      <w:r w:rsidR="00F12A49" w:rsidRPr="00FA0D37">
        <w:rPr>
          <w:color w:val="808080"/>
        </w:rPr>
        <w:t>Cond DedicatedOnly</w:t>
      </w:r>
    </w:p>
    <w:p w14:paraId="34E34F09" w14:textId="73B82A62" w:rsidR="002D7FAF" w:rsidRPr="00FA0D37" w:rsidRDefault="002D7FAF" w:rsidP="00FA0D37">
      <w:pPr>
        <w:pStyle w:val="PL"/>
        <w:rPr>
          <w:color w:val="808080"/>
        </w:rPr>
      </w:pPr>
      <w:r w:rsidRPr="00FA0D37">
        <w:t xml:space="preserve">    searchSpaceLinkingId-r17            </w:t>
      </w:r>
      <w:r w:rsidRPr="00FA0D37">
        <w:rPr>
          <w:color w:val="993366"/>
        </w:rPr>
        <w:t>INTEGER</w:t>
      </w:r>
      <w:r w:rsidRPr="00FA0D37">
        <w:t xml:space="preserve"> (0..maxNrofSearchSpacesLinks-1</w:t>
      </w:r>
      <w:r w:rsidR="00015613" w:rsidRPr="00FA0D37">
        <w:t>-r17</w:t>
      </w:r>
      <w:r w:rsidRPr="00FA0D37">
        <w:t xml:space="preserve">)                     </w:t>
      </w:r>
      <w:r w:rsidRPr="00FA0D37">
        <w:rPr>
          <w:color w:val="993366"/>
        </w:rPr>
        <w:t>OPTIONAL</w:t>
      </w:r>
      <w:r w:rsidRPr="00FA0D37">
        <w:t xml:space="preserve">    </w:t>
      </w:r>
      <w:r w:rsidRPr="00FA0D37">
        <w:rPr>
          <w:color w:val="808080"/>
        </w:rPr>
        <w:t xml:space="preserve">-- </w:t>
      </w:r>
      <w:r w:rsidR="00F12A49" w:rsidRPr="00FA0D37">
        <w:rPr>
          <w:color w:val="808080"/>
        </w:rPr>
        <w:t>Cond DedicatedOnly</w:t>
      </w:r>
    </w:p>
    <w:p w14:paraId="0F5BCF09" w14:textId="77777777" w:rsidR="002D7FAF" w:rsidRPr="00FA0D37" w:rsidRDefault="002D7FAF" w:rsidP="00FA0D37">
      <w:pPr>
        <w:pStyle w:val="PL"/>
      </w:pPr>
      <w:r w:rsidRPr="00FA0D37">
        <w:t>}</w:t>
      </w:r>
    </w:p>
    <w:p w14:paraId="3A652661" w14:textId="77777777" w:rsidR="002D7FAF" w:rsidRPr="00FA0D37" w:rsidRDefault="002D7FAF" w:rsidP="00FA0D37">
      <w:pPr>
        <w:pStyle w:val="PL"/>
      </w:pPr>
    </w:p>
    <w:p w14:paraId="2E035AD2" w14:textId="4D09C0FC" w:rsidR="00394471" w:rsidRPr="00FA0D37" w:rsidRDefault="00394471" w:rsidP="00FA0D37">
      <w:pPr>
        <w:pStyle w:val="PL"/>
        <w:rPr>
          <w:color w:val="808080"/>
        </w:rPr>
      </w:pPr>
      <w:r w:rsidRPr="00FA0D37">
        <w:rPr>
          <w:color w:val="808080"/>
        </w:rPr>
        <w:t>-- TAG-SEARCHSPACE-STOP</w:t>
      </w:r>
    </w:p>
    <w:p w14:paraId="51C00686" w14:textId="77777777" w:rsidR="00394471" w:rsidRPr="00FA0D37" w:rsidRDefault="00394471" w:rsidP="00FA0D37">
      <w:pPr>
        <w:pStyle w:val="PL"/>
        <w:rPr>
          <w:color w:val="808080"/>
        </w:rPr>
      </w:pPr>
      <w:r w:rsidRPr="00FA0D37">
        <w:rPr>
          <w:color w:val="808080"/>
        </w:rPr>
        <w:t>-- ASN1STOP</w:t>
      </w:r>
    </w:p>
    <w:p w14:paraId="4EC7338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FA0D37" w:rsidRDefault="00394471" w:rsidP="00964CC4">
            <w:pPr>
              <w:pStyle w:val="TAH"/>
              <w:rPr>
                <w:szCs w:val="22"/>
                <w:lang w:eastAsia="sv-SE"/>
              </w:rPr>
            </w:pPr>
            <w:r w:rsidRPr="00FA0D37">
              <w:rPr>
                <w:i/>
                <w:szCs w:val="22"/>
                <w:lang w:eastAsia="sv-SE"/>
              </w:rPr>
              <w:lastRenderedPageBreak/>
              <w:t xml:space="preserve">SearchSpace </w:t>
            </w:r>
            <w:r w:rsidRPr="00FA0D37">
              <w:rPr>
                <w:szCs w:val="22"/>
                <w:lang w:eastAsia="sv-SE"/>
              </w:rPr>
              <w:t>field descriptions</w:t>
            </w:r>
          </w:p>
        </w:tc>
      </w:tr>
      <w:tr w:rsidR="005C7FF4" w:rsidRPr="00FA0D37"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FA0D37" w:rsidRDefault="00394471" w:rsidP="00964CC4">
            <w:pPr>
              <w:pStyle w:val="TAL"/>
              <w:rPr>
                <w:szCs w:val="22"/>
                <w:lang w:eastAsia="sv-SE"/>
              </w:rPr>
            </w:pPr>
            <w:r w:rsidRPr="00FA0D37">
              <w:rPr>
                <w:b/>
                <w:i/>
                <w:szCs w:val="22"/>
                <w:lang w:eastAsia="sv-SE"/>
              </w:rPr>
              <w:t>common</w:t>
            </w:r>
          </w:p>
          <w:p w14:paraId="4B5E6090" w14:textId="77777777" w:rsidR="00394471" w:rsidRPr="00FA0D37" w:rsidRDefault="00394471" w:rsidP="00964CC4">
            <w:pPr>
              <w:pStyle w:val="TAL"/>
              <w:rPr>
                <w:szCs w:val="22"/>
                <w:lang w:eastAsia="sv-SE"/>
              </w:rPr>
            </w:pPr>
            <w:r w:rsidRPr="00FA0D37">
              <w:rPr>
                <w:szCs w:val="22"/>
                <w:lang w:eastAsia="sv-SE"/>
              </w:rPr>
              <w:t>Configures this search space as common search space (CSS) and DCI formats to monitor.</w:t>
            </w:r>
          </w:p>
        </w:tc>
      </w:tr>
      <w:tr w:rsidR="005C7FF4" w:rsidRPr="00FA0D37"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FA0D37" w:rsidRDefault="00394471" w:rsidP="00964CC4">
            <w:pPr>
              <w:pStyle w:val="TAL"/>
              <w:rPr>
                <w:szCs w:val="22"/>
                <w:lang w:eastAsia="sv-SE"/>
              </w:rPr>
            </w:pPr>
            <w:r w:rsidRPr="00FA0D37">
              <w:rPr>
                <w:b/>
                <w:i/>
                <w:szCs w:val="22"/>
                <w:lang w:eastAsia="sv-SE"/>
              </w:rPr>
              <w:t>controlResourceSetId</w:t>
            </w:r>
          </w:p>
          <w:p w14:paraId="555EEEB5" w14:textId="1DB49D77" w:rsidR="00394471" w:rsidRPr="00FA0D37" w:rsidRDefault="00394471" w:rsidP="00964CC4">
            <w:pPr>
              <w:pStyle w:val="TAL"/>
              <w:rPr>
                <w:szCs w:val="22"/>
                <w:lang w:eastAsia="sv-SE"/>
              </w:rPr>
            </w:pPr>
            <w:r w:rsidRPr="00FA0D37">
              <w:rPr>
                <w:szCs w:val="22"/>
                <w:lang w:eastAsia="sv-SE"/>
              </w:rPr>
              <w:t xml:space="preserve">The CORESET applicable for this SearchSpace. Value 0 identifies the common CORESET#0 configured in MIB and in </w:t>
            </w:r>
            <w:r w:rsidRPr="00FA0D37">
              <w:rPr>
                <w:i/>
                <w:szCs w:val="22"/>
                <w:lang w:eastAsia="sv-SE"/>
              </w:rPr>
              <w:t>ServingCellConfigCommon</w:t>
            </w:r>
            <w:r w:rsidRPr="00FA0D37">
              <w:rPr>
                <w:szCs w:val="22"/>
                <w:lang w:eastAsia="sv-SE"/>
              </w:rPr>
              <w:t>. Values 1..</w:t>
            </w:r>
            <w:r w:rsidRPr="00FA0D37">
              <w:rPr>
                <w:i/>
                <w:szCs w:val="22"/>
                <w:lang w:eastAsia="sv-SE"/>
              </w:rPr>
              <w:t>maxNrofControlResourceSets-1</w:t>
            </w:r>
            <w:r w:rsidRPr="00FA0D37">
              <w:rPr>
                <w:szCs w:val="22"/>
                <w:lang w:eastAsia="sv-SE"/>
              </w:rPr>
              <w:t xml:space="preserve"> identify CORESETs configured in System Information or by dedicated signalling. The CORESETs with </w:t>
            </w:r>
            <w:r w:rsidRPr="00FA0D37">
              <w:rPr>
                <w:i/>
                <w:szCs w:val="22"/>
                <w:lang w:eastAsia="sv-SE"/>
              </w:rPr>
              <w:t>non-zero controlResourceSetId</w:t>
            </w:r>
            <w:r w:rsidRPr="00FA0D37">
              <w:rPr>
                <w:szCs w:val="22"/>
                <w:lang w:eastAsia="sv-SE"/>
              </w:rPr>
              <w:t xml:space="preserve"> </w:t>
            </w:r>
            <w:r w:rsidRPr="00FA0D37">
              <w:rPr>
                <w:rFonts w:cs="Arial"/>
                <w:szCs w:val="22"/>
                <w:lang w:eastAsia="sv-SE"/>
              </w:rPr>
              <w:t>are configured</w:t>
            </w:r>
            <w:r w:rsidRPr="00FA0D37">
              <w:rPr>
                <w:szCs w:val="22"/>
                <w:lang w:eastAsia="sv-SE"/>
              </w:rPr>
              <w:t xml:space="preserve"> in the same BWP as this </w:t>
            </w:r>
            <w:r w:rsidRPr="00FA0D37">
              <w:rPr>
                <w:i/>
                <w:szCs w:val="22"/>
                <w:lang w:eastAsia="sv-SE"/>
              </w:rPr>
              <w:t>SearchSpace</w:t>
            </w:r>
            <w:r w:rsidR="002211AC" w:rsidRPr="00FA0D37">
              <w:rPr>
                <w:iCs/>
                <w:szCs w:val="22"/>
                <w:lang w:eastAsia="sv-SE"/>
              </w:rPr>
              <w:t xml:space="preserve"> except </w:t>
            </w:r>
            <w:r w:rsidR="002211AC" w:rsidRPr="00FA0D37">
              <w:rPr>
                <w:i/>
                <w:szCs w:val="22"/>
                <w:lang w:eastAsia="sv-SE"/>
              </w:rPr>
              <w:t xml:space="preserve">commonControlResourceSetExt </w:t>
            </w:r>
            <w:r w:rsidR="002211AC" w:rsidRPr="00FA0D37">
              <w:rPr>
                <w:iCs/>
                <w:szCs w:val="22"/>
                <w:lang w:eastAsia="sv-SE"/>
              </w:rPr>
              <w:t xml:space="preserve">which is configured by </w:t>
            </w:r>
            <w:r w:rsidR="004D393F" w:rsidRPr="00FA0D37">
              <w:rPr>
                <w:iCs/>
                <w:szCs w:val="22"/>
                <w:lang w:eastAsia="sv-SE"/>
              </w:rPr>
              <w:t>SIB20</w:t>
            </w:r>
            <w:r w:rsidRPr="00FA0D37">
              <w:rPr>
                <w:szCs w:val="22"/>
                <w:lang w:eastAsia="sv-SE"/>
              </w:rPr>
              <w:t xml:space="preserve">. If the field </w:t>
            </w:r>
            <w:r w:rsidRPr="00FA0D37">
              <w:rPr>
                <w:i/>
                <w:szCs w:val="22"/>
                <w:lang w:eastAsia="sv-SE"/>
              </w:rPr>
              <w:t>controlResourceSetId-r16</w:t>
            </w:r>
            <w:r w:rsidRPr="00FA0D37">
              <w:rPr>
                <w:szCs w:val="22"/>
                <w:lang w:eastAsia="sv-SE"/>
              </w:rPr>
              <w:t xml:space="preserve"> is present, UE shall ignore the </w:t>
            </w:r>
            <w:r w:rsidRPr="00FA0D37">
              <w:rPr>
                <w:i/>
                <w:szCs w:val="22"/>
                <w:lang w:eastAsia="sv-SE"/>
              </w:rPr>
              <w:t>controlResourceSetId</w:t>
            </w:r>
            <w:r w:rsidRPr="00FA0D37">
              <w:rPr>
                <w:szCs w:val="22"/>
                <w:lang w:eastAsia="sv-SE"/>
              </w:rPr>
              <w:t xml:space="preserve"> (without suffix).</w:t>
            </w:r>
          </w:p>
        </w:tc>
      </w:tr>
      <w:tr w:rsidR="005C7FF4" w:rsidRPr="00FA0D37"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FA0D37" w:rsidRDefault="00394471" w:rsidP="00964CC4">
            <w:pPr>
              <w:pStyle w:val="TAL"/>
              <w:rPr>
                <w:rFonts w:eastAsia="宋体"/>
                <w:b/>
                <w:bCs/>
                <w:i/>
                <w:iCs/>
                <w:lang w:eastAsia="sv-SE"/>
              </w:rPr>
            </w:pPr>
            <w:r w:rsidRPr="00FA0D37">
              <w:rPr>
                <w:rFonts w:eastAsia="宋体"/>
                <w:b/>
                <w:bCs/>
                <w:i/>
                <w:iCs/>
                <w:lang w:eastAsia="sv-SE"/>
              </w:rPr>
              <w:t>dummy1, dummy2</w:t>
            </w:r>
          </w:p>
          <w:p w14:paraId="30EBF946" w14:textId="77777777" w:rsidR="00394471" w:rsidRPr="00FA0D37" w:rsidRDefault="00394471" w:rsidP="00964CC4">
            <w:pPr>
              <w:pStyle w:val="TAL"/>
              <w:rPr>
                <w:lang w:eastAsia="sv-SE"/>
              </w:rPr>
            </w:pPr>
            <w:r w:rsidRPr="00FA0D37">
              <w:rPr>
                <w:rFonts w:eastAsia="宋体"/>
                <w:lang w:eastAsia="sv-SE"/>
              </w:rPr>
              <w:t>This field is not used in the specification. If received it shall be ignored by the UE.</w:t>
            </w:r>
          </w:p>
        </w:tc>
      </w:tr>
      <w:tr w:rsidR="005C7FF4" w:rsidRPr="00FA0D37"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FA0D37" w:rsidRDefault="00394471" w:rsidP="00964CC4">
            <w:pPr>
              <w:pStyle w:val="TAL"/>
              <w:rPr>
                <w:szCs w:val="22"/>
                <w:lang w:eastAsia="sv-SE"/>
              </w:rPr>
            </w:pPr>
            <w:r w:rsidRPr="00FA0D37">
              <w:rPr>
                <w:b/>
                <w:i/>
                <w:szCs w:val="22"/>
                <w:lang w:eastAsia="sv-SE"/>
              </w:rPr>
              <w:t>dci-Format0-0-AndFormat1-0</w:t>
            </w:r>
          </w:p>
          <w:p w14:paraId="271A213C" w14:textId="77777777" w:rsidR="00394471" w:rsidRPr="00FA0D37" w:rsidRDefault="00394471" w:rsidP="00964CC4">
            <w:pPr>
              <w:pStyle w:val="TAL"/>
              <w:rPr>
                <w:szCs w:val="22"/>
                <w:lang w:eastAsia="sv-SE"/>
              </w:rPr>
            </w:pPr>
            <w:r w:rsidRPr="00FA0D37">
              <w:rPr>
                <w:szCs w:val="22"/>
                <w:lang w:eastAsia="sv-SE"/>
              </w:rPr>
              <w:t>If configured, the UE monitors the DCI formats 0_0 and 1_0 according to TS 38.213 [13], clause 10.1.</w:t>
            </w:r>
          </w:p>
        </w:tc>
      </w:tr>
      <w:tr w:rsidR="005C7FF4" w:rsidRPr="00FA0D37"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FA0D37" w:rsidRDefault="00394471" w:rsidP="00964CC4">
            <w:pPr>
              <w:pStyle w:val="TAL"/>
              <w:rPr>
                <w:szCs w:val="22"/>
                <w:lang w:eastAsia="sv-SE"/>
              </w:rPr>
            </w:pPr>
            <w:r w:rsidRPr="00FA0D37">
              <w:rPr>
                <w:b/>
                <w:i/>
                <w:szCs w:val="22"/>
                <w:lang w:eastAsia="sv-SE"/>
              </w:rPr>
              <w:t>dci-Format2-0</w:t>
            </w:r>
          </w:p>
          <w:p w14:paraId="08C1C8BF" w14:textId="77777777" w:rsidR="00394471" w:rsidRPr="00FA0D37" w:rsidRDefault="00394471" w:rsidP="00964CC4">
            <w:pPr>
              <w:pStyle w:val="TAL"/>
              <w:rPr>
                <w:szCs w:val="22"/>
                <w:lang w:eastAsia="sv-SE"/>
              </w:rPr>
            </w:pPr>
            <w:r w:rsidRPr="00FA0D37">
              <w:rPr>
                <w:szCs w:val="22"/>
                <w:lang w:eastAsia="sv-SE"/>
              </w:rPr>
              <w:t>If configured, UE monitors the DCI format 2_0 according to TS 38.213 [13], clause 10.1, 11.1.1.</w:t>
            </w:r>
          </w:p>
        </w:tc>
      </w:tr>
      <w:tr w:rsidR="005C7FF4" w:rsidRPr="00FA0D37"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FA0D37" w:rsidRDefault="00394471" w:rsidP="00964CC4">
            <w:pPr>
              <w:pStyle w:val="TAL"/>
              <w:rPr>
                <w:szCs w:val="22"/>
                <w:lang w:eastAsia="sv-SE"/>
              </w:rPr>
            </w:pPr>
            <w:r w:rsidRPr="00FA0D37">
              <w:rPr>
                <w:b/>
                <w:i/>
                <w:szCs w:val="22"/>
                <w:lang w:eastAsia="sv-SE"/>
              </w:rPr>
              <w:t>dci-Format2-1</w:t>
            </w:r>
          </w:p>
          <w:p w14:paraId="4EED0CCD" w14:textId="77777777" w:rsidR="00394471" w:rsidRPr="00FA0D37" w:rsidRDefault="00394471" w:rsidP="00964CC4">
            <w:pPr>
              <w:pStyle w:val="TAL"/>
              <w:rPr>
                <w:szCs w:val="22"/>
                <w:lang w:eastAsia="sv-SE"/>
              </w:rPr>
            </w:pPr>
            <w:r w:rsidRPr="00FA0D37">
              <w:rPr>
                <w:szCs w:val="22"/>
                <w:lang w:eastAsia="sv-SE"/>
              </w:rPr>
              <w:t>If configured, UE monitors the DCI format 2_1 according to TS 38.213 [13], clause 10.1, 11.2.</w:t>
            </w:r>
          </w:p>
        </w:tc>
      </w:tr>
      <w:tr w:rsidR="005C7FF4" w:rsidRPr="00FA0D37"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FA0D37" w:rsidRDefault="00394471" w:rsidP="00964CC4">
            <w:pPr>
              <w:pStyle w:val="TAL"/>
              <w:rPr>
                <w:szCs w:val="22"/>
                <w:lang w:eastAsia="sv-SE"/>
              </w:rPr>
            </w:pPr>
            <w:r w:rsidRPr="00FA0D37">
              <w:rPr>
                <w:b/>
                <w:i/>
                <w:szCs w:val="22"/>
                <w:lang w:eastAsia="sv-SE"/>
              </w:rPr>
              <w:t>dci-Format2-2</w:t>
            </w:r>
          </w:p>
          <w:p w14:paraId="60E179BF" w14:textId="77777777" w:rsidR="00394471" w:rsidRPr="00FA0D37" w:rsidRDefault="00394471" w:rsidP="00964CC4">
            <w:pPr>
              <w:pStyle w:val="TAL"/>
              <w:rPr>
                <w:szCs w:val="22"/>
                <w:lang w:eastAsia="sv-SE"/>
              </w:rPr>
            </w:pPr>
            <w:r w:rsidRPr="00FA0D37">
              <w:rPr>
                <w:szCs w:val="22"/>
                <w:lang w:eastAsia="sv-SE"/>
              </w:rPr>
              <w:t>If configured, UE monitors the DCI format 2_2 according to TS 38.213 [13], clause 10.1, 11.3.</w:t>
            </w:r>
          </w:p>
        </w:tc>
      </w:tr>
      <w:tr w:rsidR="005C7FF4" w:rsidRPr="00FA0D37"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FA0D37" w:rsidRDefault="00394471" w:rsidP="00964CC4">
            <w:pPr>
              <w:pStyle w:val="TAL"/>
              <w:rPr>
                <w:szCs w:val="22"/>
                <w:lang w:eastAsia="sv-SE"/>
              </w:rPr>
            </w:pPr>
            <w:r w:rsidRPr="00FA0D37">
              <w:rPr>
                <w:b/>
                <w:i/>
                <w:szCs w:val="22"/>
                <w:lang w:eastAsia="sv-SE"/>
              </w:rPr>
              <w:t>dci-Format2-3</w:t>
            </w:r>
          </w:p>
          <w:p w14:paraId="62B0051F" w14:textId="77777777" w:rsidR="00394471" w:rsidRPr="00FA0D37" w:rsidRDefault="00394471" w:rsidP="00964CC4">
            <w:pPr>
              <w:pStyle w:val="TAL"/>
              <w:rPr>
                <w:szCs w:val="22"/>
                <w:lang w:eastAsia="sv-SE"/>
              </w:rPr>
            </w:pPr>
            <w:r w:rsidRPr="00FA0D37">
              <w:rPr>
                <w:szCs w:val="22"/>
                <w:lang w:eastAsia="sv-SE"/>
              </w:rPr>
              <w:t>If configured, UE monitors the DCI format 2_3 according to TS 38.213 [13], clause 10.1, 11.4</w:t>
            </w:r>
          </w:p>
        </w:tc>
      </w:tr>
      <w:tr w:rsidR="005C7FF4" w:rsidRPr="00FA0D37"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FA0D37" w:rsidRDefault="00394471" w:rsidP="00964CC4">
            <w:pPr>
              <w:pStyle w:val="TAL"/>
              <w:rPr>
                <w:b/>
                <w:bCs/>
                <w:i/>
                <w:iCs/>
                <w:lang w:eastAsia="x-none"/>
              </w:rPr>
            </w:pPr>
            <w:r w:rsidRPr="00FA0D37">
              <w:rPr>
                <w:b/>
                <w:bCs/>
                <w:i/>
                <w:iCs/>
                <w:lang w:eastAsia="x-none"/>
              </w:rPr>
              <w:t>dci-Format2-4</w:t>
            </w:r>
          </w:p>
          <w:p w14:paraId="362B178E" w14:textId="77777777" w:rsidR="00394471" w:rsidRPr="00FA0D37" w:rsidRDefault="00394471" w:rsidP="00964CC4">
            <w:pPr>
              <w:pStyle w:val="TAL"/>
              <w:rPr>
                <w:b/>
                <w:i/>
                <w:szCs w:val="22"/>
                <w:lang w:eastAsia="sv-SE"/>
              </w:rPr>
            </w:pPr>
            <w:r w:rsidRPr="00FA0D37">
              <w:rPr>
                <w:szCs w:val="22"/>
                <w:lang w:eastAsia="sv-SE"/>
              </w:rPr>
              <w:t>If configured, UE monitors the DCI format 2_4 according to TS 38.213 [13], clause 11.2A.</w:t>
            </w:r>
          </w:p>
        </w:tc>
      </w:tr>
      <w:tr w:rsidR="005C7FF4" w:rsidRPr="00FA0D37"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FA0D37" w:rsidRDefault="00394471" w:rsidP="00964CC4">
            <w:pPr>
              <w:pStyle w:val="TAL"/>
              <w:rPr>
                <w:szCs w:val="22"/>
                <w:lang w:eastAsia="sv-SE"/>
              </w:rPr>
            </w:pPr>
            <w:r w:rsidRPr="00FA0D37">
              <w:rPr>
                <w:b/>
                <w:i/>
                <w:szCs w:val="22"/>
                <w:lang w:eastAsia="sv-SE"/>
              </w:rPr>
              <w:t>dci-Format2-5</w:t>
            </w:r>
          </w:p>
          <w:p w14:paraId="239ABFA7" w14:textId="77777777" w:rsidR="00394471" w:rsidRPr="00FA0D37" w:rsidRDefault="00394471" w:rsidP="00964CC4">
            <w:pPr>
              <w:pStyle w:val="TAL"/>
              <w:rPr>
                <w:b/>
                <w:i/>
                <w:szCs w:val="22"/>
                <w:lang w:eastAsia="sv-SE"/>
              </w:rPr>
            </w:pPr>
            <w:r w:rsidRPr="00FA0D37">
              <w:rPr>
                <w:szCs w:val="22"/>
                <w:lang w:eastAsia="sv-SE"/>
              </w:rPr>
              <w:t>If configured, IAB-MT monitors the DCI format 2_5 according to TS 38.213 [13], clause 14.</w:t>
            </w:r>
          </w:p>
        </w:tc>
      </w:tr>
      <w:tr w:rsidR="005C7FF4" w:rsidRPr="00FA0D37"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FA0D37" w:rsidRDefault="00394471" w:rsidP="00964CC4">
            <w:pPr>
              <w:pStyle w:val="TAL"/>
              <w:rPr>
                <w:szCs w:val="22"/>
                <w:lang w:eastAsia="sv-SE"/>
              </w:rPr>
            </w:pPr>
            <w:r w:rsidRPr="00FA0D37">
              <w:rPr>
                <w:b/>
                <w:i/>
                <w:szCs w:val="22"/>
                <w:lang w:eastAsia="sv-SE"/>
              </w:rPr>
              <w:t>dci-Format2-6</w:t>
            </w:r>
          </w:p>
          <w:p w14:paraId="486523E9" w14:textId="565E0BB8" w:rsidR="00394471" w:rsidRPr="00FA0D37" w:rsidRDefault="00394471" w:rsidP="00964CC4">
            <w:pPr>
              <w:pStyle w:val="TAL"/>
              <w:rPr>
                <w:szCs w:val="22"/>
                <w:lang w:eastAsia="sv-SE"/>
              </w:rPr>
            </w:pPr>
            <w:r w:rsidRPr="00FA0D37">
              <w:rPr>
                <w:szCs w:val="22"/>
                <w:lang w:eastAsia="sv-SE"/>
              </w:rPr>
              <w:t xml:space="preserve">If configured, UE monitors the DCI format 2_6 according to TS 38.213 [13], clause 10.1, </w:t>
            </w:r>
            <w:r w:rsidR="00BF52D8" w:rsidRPr="00FA0D37">
              <w:rPr>
                <w:szCs w:val="22"/>
                <w:lang w:eastAsia="sv-SE"/>
              </w:rPr>
              <w:t>10.3</w:t>
            </w:r>
            <w:r w:rsidRPr="00FA0D37">
              <w:rPr>
                <w:szCs w:val="22"/>
                <w:lang w:eastAsia="sv-SE"/>
              </w:rPr>
              <w:t>. DCI format 2_6 can only be configured on the SpCell.</w:t>
            </w:r>
          </w:p>
        </w:tc>
      </w:tr>
      <w:tr w:rsidR="005C7FF4" w:rsidRPr="00FA0D37"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FA0D37" w:rsidRDefault="005220C9" w:rsidP="005220C9">
            <w:pPr>
              <w:pStyle w:val="TAL"/>
              <w:rPr>
                <w:rFonts w:eastAsia="等线"/>
                <w:b/>
                <w:bCs/>
                <w:i/>
                <w:iCs/>
                <w:lang w:eastAsia="zh-CN"/>
              </w:rPr>
            </w:pPr>
            <w:r w:rsidRPr="00FA0D37">
              <w:rPr>
                <w:b/>
                <w:bCs/>
                <w:i/>
                <w:iCs/>
                <w:lang w:eastAsia="x-none"/>
              </w:rPr>
              <w:t>dci-Format2-</w:t>
            </w:r>
            <w:r w:rsidRPr="00FA0D37">
              <w:rPr>
                <w:rFonts w:eastAsia="等线"/>
                <w:b/>
                <w:bCs/>
                <w:i/>
                <w:iCs/>
                <w:lang w:eastAsia="zh-CN"/>
              </w:rPr>
              <w:t>7</w:t>
            </w:r>
          </w:p>
          <w:p w14:paraId="528578C6" w14:textId="7A27E875" w:rsidR="005220C9" w:rsidRPr="00FA0D37" w:rsidRDefault="005220C9" w:rsidP="005220C9">
            <w:pPr>
              <w:pStyle w:val="TAL"/>
              <w:rPr>
                <w:b/>
                <w:i/>
                <w:szCs w:val="22"/>
                <w:lang w:eastAsia="sv-SE"/>
              </w:rPr>
            </w:pPr>
            <w:r w:rsidRPr="00FA0D37">
              <w:rPr>
                <w:szCs w:val="22"/>
                <w:lang w:eastAsia="sv-SE"/>
              </w:rPr>
              <w:t>If configured, UE monitors the DCI format 2_</w:t>
            </w:r>
            <w:r w:rsidRPr="00FA0D37">
              <w:rPr>
                <w:rFonts w:eastAsia="等线"/>
                <w:szCs w:val="22"/>
                <w:lang w:eastAsia="zh-CN"/>
              </w:rPr>
              <w:t>7</w:t>
            </w:r>
            <w:r w:rsidRPr="00FA0D37">
              <w:rPr>
                <w:szCs w:val="22"/>
                <w:lang w:eastAsia="sv-SE"/>
              </w:rPr>
              <w:t xml:space="preserve"> according to TS 38.213 [13], clause </w:t>
            </w:r>
            <w:r w:rsidRPr="00FA0D37">
              <w:rPr>
                <w:rFonts w:eastAsia="等线"/>
                <w:szCs w:val="22"/>
                <w:lang w:eastAsia="zh-CN"/>
              </w:rPr>
              <w:t xml:space="preserve">10.1, </w:t>
            </w:r>
            <w:r w:rsidRPr="00FA0D37">
              <w:rPr>
                <w:szCs w:val="22"/>
                <w:lang w:eastAsia="sv-SE"/>
              </w:rPr>
              <w:t>1</w:t>
            </w:r>
            <w:r w:rsidRPr="00FA0D37">
              <w:rPr>
                <w:rFonts w:eastAsia="等线"/>
                <w:szCs w:val="22"/>
                <w:lang w:eastAsia="zh-CN"/>
              </w:rPr>
              <w:t>0</w:t>
            </w:r>
            <w:r w:rsidRPr="00FA0D37">
              <w:rPr>
                <w:szCs w:val="22"/>
                <w:lang w:eastAsia="sv-SE"/>
              </w:rPr>
              <w:t>.</w:t>
            </w:r>
            <w:r w:rsidRPr="00FA0D37">
              <w:rPr>
                <w:rFonts w:eastAsia="等线"/>
                <w:szCs w:val="22"/>
                <w:lang w:eastAsia="zh-CN"/>
              </w:rPr>
              <w:t>4</w:t>
            </w:r>
            <w:r w:rsidRPr="00FA0D37">
              <w:rPr>
                <w:szCs w:val="22"/>
                <w:lang w:eastAsia="sv-SE"/>
              </w:rPr>
              <w:t>A.</w:t>
            </w:r>
          </w:p>
        </w:tc>
      </w:tr>
      <w:tr w:rsidR="005C7FF4" w:rsidRPr="00FA0D37"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FA0D37" w:rsidRDefault="002211AC" w:rsidP="00771058">
            <w:pPr>
              <w:pStyle w:val="TAL"/>
              <w:rPr>
                <w:b/>
                <w:i/>
                <w:szCs w:val="22"/>
                <w:lang w:eastAsia="sv-SE"/>
              </w:rPr>
            </w:pPr>
            <w:r w:rsidRPr="00FA0D37">
              <w:rPr>
                <w:b/>
                <w:i/>
                <w:szCs w:val="22"/>
                <w:lang w:eastAsia="sv-SE"/>
              </w:rPr>
              <w:t>dci-Format4-0</w:t>
            </w:r>
          </w:p>
          <w:p w14:paraId="1B699029" w14:textId="41C5C3F4" w:rsidR="002211AC" w:rsidRPr="00FA0D37" w:rsidRDefault="002211AC" w:rsidP="00771058">
            <w:pPr>
              <w:pStyle w:val="TAL"/>
              <w:rPr>
                <w:b/>
                <w:i/>
                <w:szCs w:val="22"/>
                <w:lang w:eastAsia="sv-SE"/>
              </w:rPr>
            </w:pPr>
            <w:r w:rsidRPr="00FA0D37">
              <w:rPr>
                <w:szCs w:val="22"/>
                <w:lang w:eastAsia="sv-SE"/>
              </w:rPr>
              <w:t>If configured, the UE monitors the DCI format 4_0 with CRC s</w:t>
            </w:r>
            <w:r w:rsidR="00280BA7" w:rsidRPr="00FA0D37">
              <w:rPr>
                <w:szCs w:val="22"/>
                <w:lang w:eastAsia="sv-SE"/>
              </w:rPr>
              <w:t>c</w:t>
            </w:r>
            <w:r w:rsidRPr="00FA0D37">
              <w:rPr>
                <w:szCs w:val="22"/>
                <w:lang w:eastAsia="sv-SE"/>
              </w:rPr>
              <w:t>rambled by MCCH-RNTI/G-RNTI according to TS 38.213 [13], clause [10.1].</w:t>
            </w:r>
          </w:p>
        </w:tc>
      </w:tr>
      <w:tr w:rsidR="005C7FF4" w:rsidRPr="00FA0D37"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FA0D37" w:rsidRDefault="002211AC" w:rsidP="00771058">
            <w:pPr>
              <w:pStyle w:val="TAL"/>
              <w:rPr>
                <w:b/>
                <w:i/>
                <w:szCs w:val="22"/>
                <w:lang w:eastAsia="sv-SE"/>
              </w:rPr>
            </w:pPr>
            <w:r w:rsidRPr="00FA0D37">
              <w:rPr>
                <w:b/>
                <w:i/>
                <w:szCs w:val="22"/>
                <w:lang w:eastAsia="sv-SE"/>
              </w:rPr>
              <w:t>dci-Format4-1-AndFormat4-2</w:t>
            </w:r>
          </w:p>
          <w:p w14:paraId="50D7FBA4" w14:textId="5CDC2AB6" w:rsidR="002211AC" w:rsidRPr="00FA0D37" w:rsidRDefault="002211AC" w:rsidP="00771058">
            <w:pPr>
              <w:pStyle w:val="TAL"/>
              <w:rPr>
                <w:b/>
                <w:i/>
                <w:szCs w:val="22"/>
                <w:lang w:eastAsia="sv-SE"/>
              </w:rPr>
            </w:pPr>
            <w:r w:rsidRPr="00FA0D37">
              <w:rPr>
                <w:szCs w:val="22"/>
                <w:lang w:eastAsia="sv-SE"/>
              </w:rPr>
              <w:t>If configured, the UE monitors the DCI format 4_1 and 4_2 with CRC s</w:t>
            </w:r>
            <w:r w:rsidR="00280BA7" w:rsidRPr="00FA0D37">
              <w:rPr>
                <w:szCs w:val="22"/>
                <w:lang w:eastAsia="sv-SE"/>
              </w:rPr>
              <w:t>c</w:t>
            </w:r>
            <w:r w:rsidRPr="00FA0D37">
              <w:rPr>
                <w:szCs w:val="22"/>
                <w:lang w:eastAsia="sv-SE"/>
              </w:rPr>
              <w:t>rambled by G-RNTI/G-CS-RNTI according to TS 38.213 [13], clause [11.1].</w:t>
            </w:r>
          </w:p>
        </w:tc>
      </w:tr>
      <w:tr w:rsidR="005C7FF4" w:rsidRPr="00FA0D37"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FA0D37" w:rsidRDefault="002211AC" w:rsidP="00771058">
            <w:pPr>
              <w:pStyle w:val="TAL"/>
              <w:rPr>
                <w:b/>
                <w:i/>
                <w:szCs w:val="22"/>
                <w:lang w:eastAsia="sv-SE"/>
              </w:rPr>
            </w:pPr>
            <w:r w:rsidRPr="00FA0D37">
              <w:rPr>
                <w:b/>
                <w:i/>
                <w:szCs w:val="22"/>
                <w:lang w:eastAsia="sv-SE"/>
              </w:rPr>
              <w:t>dci-Format4-1</w:t>
            </w:r>
          </w:p>
          <w:p w14:paraId="01E47ECC" w14:textId="055F64E2" w:rsidR="002211AC" w:rsidRPr="00FA0D37" w:rsidRDefault="002211AC" w:rsidP="00771058">
            <w:pPr>
              <w:pStyle w:val="TAL"/>
              <w:rPr>
                <w:b/>
                <w:i/>
                <w:szCs w:val="22"/>
                <w:lang w:eastAsia="sv-SE"/>
              </w:rPr>
            </w:pPr>
            <w:r w:rsidRPr="00FA0D37">
              <w:rPr>
                <w:szCs w:val="22"/>
                <w:lang w:eastAsia="sv-SE"/>
              </w:rPr>
              <w:t>If configured, the UE monitors the DCI format 4_1 with CRC s</w:t>
            </w:r>
            <w:r w:rsidR="00280BA7" w:rsidRPr="00FA0D37">
              <w:rPr>
                <w:szCs w:val="22"/>
                <w:lang w:eastAsia="sv-SE"/>
              </w:rPr>
              <w:t>c</w:t>
            </w:r>
            <w:r w:rsidRPr="00FA0D37">
              <w:rPr>
                <w:szCs w:val="22"/>
                <w:lang w:eastAsia="sv-SE"/>
              </w:rPr>
              <w:t>rambled by G-RNTI/G-CS-RNTI according to TS 38.213 [13], clause [10.1].</w:t>
            </w:r>
          </w:p>
        </w:tc>
      </w:tr>
      <w:tr w:rsidR="005C7FF4" w:rsidRPr="00FA0D37"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FA0D37" w:rsidRDefault="002211AC" w:rsidP="00771058">
            <w:pPr>
              <w:pStyle w:val="TAL"/>
              <w:rPr>
                <w:szCs w:val="22"/>
                <w:lang w:eastAsia="sv-SE"/>
              </w:rPr>
            </w:pPr>
            <w:r w:rsidRPr="00FA0D37">
              <w:rPr>
                <w:b/>
                <w:i/>
                <w:szCs w:val="22"/>
                <w:lang w:eastAsia="sv-SE"/>
              </w:rPr>
              <w:t>dci-Format4-2</w:t>
            </w:r>
          </w:p>
          <w:p w14:paraId="211D0C22" w14:textId="37ADE0A2" w:rsidR="002211AC" w:rsidRPr="00FA0D37" w:rsidRDefault="002211AC" w:rsidP="00771058">
            <w:pPr>
              <w:pStyle w:val="TAL"/>
              <w:rPr>
                <w:b/>
                <w:i/>
                <w:szCs w:val="22"/>
                <w:lang w:eastAsia="sv-SE"/>
              </w:rPr>
            </w:pPr>
            <w:r w:rsidRPr="00FA0D37">
              <w:rPr>
                <w:szCs w:val="22"/>
                <w:lang w:eastAsia="sv-SE"/>
              </w:rPr>
              <w:t>If configured, the UE monitors the DCI format 4_2 with CRC s</w:t>
            </w:r>
            <w:r w:rsidR="00280BA7" w:rsidRPr="00FA0D37">
              <w:rPr>
                <w:szCs w:val="22"/>
                <w:lang w:eastAsia="sv-SE"/>
              </w:rPr>
              <w:t>c</w:t>
            </w:r>
            <w:r w:rsidRPr="00FA0D37">
              <w:rPr>
                <w:szCs w:val="22"/>
                <w:lang w:eastAsia="sv-SE"/>
              </w:rPr>
              <w:t>rambled by G-RNTI/G-CS-RNTI according to TS 38.213 [13], clause [10.1].</w:t>
            </w:r>
          </w:p>
        </w:tc>
      </w:tr>
      <w:tr w:rsidR="005C7FF4" w:rsidRPr="00FA0D37"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FA0D37" w:rsidRDefault="00394471" w:rsidP="00964CC4">
            <w:pPr>
              <w:pStyle w:val="TAL"/>
              <w:rPr>
                <w:szCs w:val="22"/>
                <w:lang w:eastAsia="sv-SE"/>
              </w:rPr>
            </w:pPr>
            <w:r w:rsidRPr="00FA0D37">
              <w:rPr>
                <w:b/>
                <w:i/>
                <w:szCs w:val="22"/>
                <w:lang w:eastAsia="sv-SE"/>
              </w:rPr>
              <w:t>dci-Formats</w:t>
            </w:r>
          </w:p>
          <w:p w14:paraId="4F13C073" w14:textId="77777777" w:rsidR="00394471" w:rsidRPr="00FA0D37" w:rsidRDefault="00394471" w:rsidP="00964CC4">
            <w:pPr>
              <w:pStyle w:val="TAL"/>
              <w:rPr>
                <w:szCs w:val="22"/>
                <w:lang w:eastAsia="sv-SE"/>
              </w:rPr>
            </w:pPr>
            <w:r w:rsidRPr="00FA0D37">
              <w:rPr>
                <w:szCs w:val="22"/>
                <w:lang w:eastAsia="sv-SE"/>
              </w:rPr>
              <w:t>Indicates whether the UE monitors in this USS for DCI formats 0-0 and 1-0 or for formats 0-1 and 1-1.</w:t>
            </w:r>
          </w:p>
        </w:tc>
      </w:tr>
      <w:tr w:rsidR="005C7FF4" w:rsidRPr="00FA0D37"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FA0D37" w:rsidRDefault="00394471" w:rsidP="00964CC4">
            <w:pPr>
              <w:pStyle w:val="TAL"/>
              <w:rPr>
                <w:b/>
                <w:i/>
                <w:szCs w:val="22"/>
                <w:lang w:eastAsia="sv-SE"/>
              </w:rPr>
            </w:pPr>
            <w:r w:rsidRPr="00FA0D37">
              <w:rPr>
                <w:b/>
                <w:i/>
                <w:szCs w:val="22"/>
                <w:lang w:eastAsia="sv-SE"/>
              </w:rPr>
              <w:t>dci-FormatsExt</w:t>
            </w:r>
          </w:p>
          <w:p w14:paraId="681B16F9" w14:textId="4C5CF720" w:rsidR="00394471" w:rsidRPr="00FA0D37" w:rsidRDefault="00394471" w:rsidP="00964CC4">
            <w:pPr>
              <w:pStyle w:val="TAL"/>
              <w:rPr>
                <w:lang w:eastAsia="sv-SE"/>
              </w:rPr>
            </w:pPr>
            <w:r w:rsidRPr="00FA0D37">
              <w:rPr>
                <w:lang w:eastAsia="sv-SE"/>
              </w:rPr>
              <w:t xml:space="preserve">If this field is present, the field </w:t>
            </w:r>
            <w:r w:rsidRPr="00FA0D37">
              <w:rPr>
                <w:i/>
                <w:iCs/>
                <w:lang w:eastAsia="sv-SE"/>
              </w:rPr>
              <w:t>dci-Formats</w:t>
            </w:r>
            <w:r w:rsidRPr="00FA0D37">
              <w:rPr>
                <w:lang w:eastAsia="sv-SE"/>
              </w:rPr>
              <w:t xml:space="preserve"> is ignored and </w:t>
            </w:r>
            <w:r w:rsidRPr="00FA0D37">
              <w:rPr>
                <w:i/>
                <w:iCs/>
                <w:lang w:eastAsia="sv-SE"/>
              </w:rPr>
              <w:t xml:space="preserve">dci-FormatsExt </w:t>
            </w:r>
            <w:r w:rsidRPr="00FA0D37">
              <w:rPr>
                <w:lang w:eastAsia="sv-SE"/>
              </w:rPr>
              <w:t>is used instead to indicate whether the UE monitors in this USS for DCI format 0_2 and 1_2 or formats 0_1 and 1_1 and 0_2 and 1_2 (see TS 38.212 [17], clause 7.3.1 and TS 38.213 [13], clause 10.1).</w:t>
            </w:r>
            <w:r w:rsidR="00E655F3" w:rsidRPr="00FA0D37">
              <w:t xml:space="preserve"> This field is not configured for operation</w:t>
            </w:r>
            <w:r w:rsidR="00E655F3" w:rsidRPr="00FA0D37">
              <w:rPr>
                <w:rFonts w:cs="Arial"/>
                <w:szCs w:val="22"/>
                <w:lang w:eastAsia="sv-SE"/>
              </w:rPr>
              <w:t xml:space="preserve"> with shared spectrum channel access in this release</w:t>
            </w:r>
            <w:r w:rsidR="00E655F3" w:rsidRPr="00FA0D37">
              <w:rPr>
                <w:i/>
                <w:iCs/>
              </w:rPr>
              <w:t>.</w:t>
            </w:r>
          </w:p>
        </w:tc>
      </w:tr>
      <w:tr w:rsidR="005C7FF4" w:rsidRPr="00FA0D37"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394471" w:rsidRPr="00FA0D37" w:rsidRDefault="00394471" w:rsidP="00964CC4">
            <w:pPr>
              <w:pStyle w:val="TAL"/>
              <w:rPr>
                <w:b/>
                <w:bCs/>
                <w:i/>
                <w:iCs/>
              </w:rPr>
            </w:pPr>
            <w:r w:rsidRPr="00FA0D37">
              <w:rPr>
                <w:b/>
                <w:bCs/>
                <w:i/>
                <w:iCs/>
              </w:rPr>
              <w:lastRenderedPageBreak/>
              <w:t>dci-Formats-MT</w:t>
            </w:r>
          </w:p>
          <w:p w14:paraId="0730CEE8" w14:textId="77777777" w:rsidR="00394471" w:rsidRPr="00FA0D37" w:rsidRDefault="00394471" w:rsidP="00964CC4">
            <w:pPr>
              <w:pStyle w:val="TAL"/>
              <w:rPr>
                <w:b/>
                <w:i/>
                <w:szCs w:val="22"/>
                <w:lang w:eastAsia="sv-SE"/>
              </w:rPr>
            </w:pPr>
            <w:r w:rsidRPr="00FA0D37">
              <w:t>Indicates whether the IAB-MT monitors the DCI formats 2-5 according to TS 38.213 [13], clause 14.</w:t>
            </w:r>
          </w:p>
        </w:tc>
      </w:tr>
      <w:tr w:rsidR="005C7FF4" w:rsidRPr="00FA0D37"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394471" w:rsidRPr="00FA0D37" w:rsidRDefault="00394471" w:rsidP="00964CC4">
            <w:pPr>
              <w:pStyle w:val="TAL"/>
              <w:rPr>
                <w:b/>
                <w:bCs/>
                <w:i/>
                <w:iCs/>
                <w:lang w:eastAsia="sv-SE"/>
              </w:rPr>
            </w:pPr>
            <w:r w:rsidRPr="00FA0D37">
              <w:rPr>
                <w:b/>
                <w:bCs/>
                <w:i/>
                <w:iCs/>
                <w:lang w:eastAsia="sv-SE"/>
              </w:rPr>
              <w:t>dci-FormatsSL</w:t>
            </w:r>
          </w:p>
          <w:p w14:paraId="332B49D0" w14:textId="27DF7582" w:rsidR="00394471" w:rsidRPr="00FA0D37" w:rsidRDefault="00394471" w:rsidP="00964CC4">
            <w:pPr>
              <w:pStyle w:val="TAL"/>
              <w:rPr>
                <w:lang w:eastAsia="sv-SE"/>
              </w:rPr>
            </w:pPr>
            <w:r w:rsidRPr="00FA0D37">
              <w:rPr>
                <w:lang w:eastAsia="sv-SE"/>
              </w:rPr>
              <w:t>Indicates whether the UE monitors in this USS for DCI formats 0-0 and 1-0 or for formats 0-1 and 1-1 or for format 3-0 or for format 3-1 or for formats 3-0 and 3-1.</w:t>
            </w:r>
            <w:r w:rsidR="00074B98" w:rsidRPr="00FA0D37">
              <w:rPr>
                <w:lang w:eastAsia="sv-SE"/>
              </w:rPr>
              <w:t xml:space="preserve"> If this field is present, the field </w:t>
            </w:r>
            <w:r w:rsidR="00074B98" w:rsidRPr="00FA0D37">
              <w:rPr>
                <w:i/>
                <w:iCs/>
                <w:lang w:eastAsia="sv-SE"/>
              </w:rPr>
              <w:t>dci-Formats</w:t>
            </w:r>
            <w:r w:rsidR="00074B98" w:rsidRPr="00FA0D37">
              <w:rPr>
                <w:lang w:eastAsia="sv-SE"/>
              </w:rPr>
              <w:t xml:space="preserve"> is ignored and </w:t>
            </w:r>
            <w:r w:rsidR="00074B98" w:rsidRPr="00FA0D37">
              <w:rPr>
                <w:i/>
                <w:iCs/>
                <w:lang w:eastAsia="sv-SE"/>
              </w:rPr>
              <w:t>dci-FormatsSL</w:t>
            </w:r>
            <w:r w:rsidR="00074B98" w:rsidRPr="00FA0D37">
              <w:rPr>
                <w:lang w:eastAsia="sv-SE"/>
              </w:rPr>
              <w:t xml:space="preserve"> is used.</w:t>
            </w:r>
          </w:p>
        </w:tc>
      </w:tr>
      <w:tr w:rsidR="005C7FF4" w:rsidRPr="00FA0D37"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394471" w:rsidRPr="00FA0D37" w:rsidRDefault="00394471" w:rsidP="00964CC4">
            <w:pPr>
              <w:pStyle w:val="TAL"/>
              <w:rPr>
                <w:szCs w:val="22"/>
                <w:lang w:eastAsia="sv-SE"/>
              </w:rPr>
            </w:pPr>
            <w:r w:rsidRPr="00FA0D37">
              <w:rPr>
                <w:b/>
                <w:i/>
                <w:szCs w:val="22"/>
                <w:lang w:eastAsia="sv-SE"/>
              </w:rPr>
              <w:t>duration</w:t>
            </w:r>
          </w:p>
          <w:p w14:paraId="2C4938AF" w14:textId="77777777" w:rsidR="00F12A49" w:rsidRPr="00FA0D37" w:rsidRDefault="00394471" w:rsidP="00F12A49">
            <w:pPr>
              <w:pStyle w:val="TAL"/>
              <w:rPr>
                <w:szCs w:val="22"/>
                <w:lang w:eastAsia="sv-SE"/>
              </w:rPr>
            </w:pPr>
            <w:r w:rsidRPr="00FA0D37">
              <w:rPr>
                <w:szCs w:val="22"/>
                <w:lang w:eastAsia="sv-SE"/>
              </w:rPr>
              <w:t xml:space="preserve">Number of consecutive slots that a SearchSpace lasts in every occasion, i.e., upon every period as given in the </w:t>
            </w:r>
            <w:r w:rsidRPr="00FA0D37">
              <w:rPr>
                <w:i/>
                <w:szCs w:val="22"/>
                <w:lang w:eastAsia="sv-SE"/>
              </w:rPr>
              <w:t>periodicityAndOffset</w:t>
            </w:r>
            <w:r w:rsidRPr="00FA0D37">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FA0D37">
              <w:rPr>
                <w:i/>
                <w:szCs w:val="22"/>
                <w:lang w:eastAsia="sv-SE"/>
              </w:rPr>
              <w:t>monitoringSlotPeriodicityAndOffset</w:t>
            </w:r>
            <w:r w:rsidRPr="00FA0D37">
              <w:rPr>
                <w:szCs w:val="22"/>
                <w:lang w:eastAsia="sv-SE"/>
              </w:rPr>
              <w:t>).</w:t>
            </w:r>
          </w:p>
          <w:p w14:paraId="6CFCB143" w14:textId="7B3D3141" w:rsidR="00394471" w:rsidRPr="00FA0D37" w:rsidRDefault="00F12A49" w:rsidP="00964CC4">
            <w:pPr>
              <w:pStyle w:val="TAL"/>
              <w:rPr>
                <w:lang w:eastAsia="sv-SE"/>
              </w:rPr>
            </w:pPr>
            <w:r w:rsidRPr="00FA0D37">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FA0D37">
              <w:rPr>
                <w:i/>
                <w:iCs/>
                <w:szCs w:val="22"/>
                <w:lang w:eastAsia="sv-SE"/>
              </w:rPr>
              <w:t>monitoringSlotsWithinSlotGroup-r17</w:t>
            </w:r>
            <w:r w:rsidRPr="00FA0D37">
              <w:rPr>
                <w:szCs w:val="22"/>
                <w:lang w:eastAsia="sv-SE"/>
              </w:rPr>
              <w:t xml:space="preserve">. </w:t>
            </w:r>
            <w:r w:rsidR="00A345A2" w:rsidRPr="00FA0D37">
              <w:rPr>
                <w:szCs w:val="22"/>
                <w:lang w:eastAsia="sv-SE"/>
              </w:rPr>
              <w:t xml:space="preserve">If </w:t>
            </w:r>
            <w:r w:rsidR="00A345A2" w:rsidRPr="00FA0D37">
              <w:rPr>
                <w:i/>
                <w:szCs w:val="22"/>
                <w:lang w:eastAsia="sv-SE"/>
              </w:rPr>
              <w:t xml:space="preserve">duration-r17 </w:t>
            </w:r>
            <w:r w:rsidR="00A345A2" w:rsidRPr="00FA0D37">
              <w:rPr>
                <w:szCs w:val="22"/>
                <w:lang w:eastAsia="sv-SE"/>
              </w:rPr>
              <w:t xml:space="preserve">is absent, the UE assumes the duration in slots is equal to L. </w:t>
            </w:r>
            <w:r w:rsidRPr="00FA0D37">
              <w:rPr>
                <w:lang w:eastAsia="sv-SE"/>
              </w:rPr>
              <w:t>The maximum valid duration is periodicity-L.</w:t>
            </w:r>
          </w:p>
          <w:p w14:paraId="12FDB069" w14:textId="77777777" w:rsidR="00F12A49" w:rsidRPr="00FA0D37" w:rsidRDefault="00F12A49" w:rsidP="00964CC4">
            <w:pPr>
              <w:pStyle w:val="TAL"/>
              <w:rPr>
                <w:sz w:val="16"/>
                <w:lang w:eastAsia="sv-SE"/>
              </w:rPr>
            </w:pPr>
          </w:p>
          <w:p w14:paraId="35294CE7" w14:textId="77777777" w:rsidR="00394471" w:rsidRPr="00FA0D37" w:rsidRDefault="00394471" w:rsidP="00964CC4">
            <w:pPr>
              <w:pStyle w:val="TAL"/>
              <w:rPr>
                <w:szCs w:val="22"/>
                <w:lang w:eastAsia="sv-SE"/>
              </w:rPr>
            </w:pPr>
            <w:r w:rsidRPr="00FA0D37">
              <w:rPr>
                <w:szCs w:val="18"/>
                <w:lang w:eastAsia="sv-SE"/>
              </w:rPr>
              <w:t>For IAB-MT, duration indicates n</w:t>
            </w:r>
            <w:r w:rsidRPr="00FA0D37">
              <w:rPr>
                <w:rFonts w:cs="Arial"/>
                <w:szCs w:val="18"/>
                <w:lang w:eastAsia="sv-SE"/>
              </w:rPr>
              <w:t xml:space="preserve">umber of consecutive slots that a SearchSpace lasts in every occasion, i.e., upon every period as given in the </w:t>
            </w:r>
            <w:r w:rsidRPr="00FA0D37">
              <w:rPr>
                <w:rFonts w:cs="Arial"/>
                <w:i/>
                <w:szCs w:val="18"/>
                <w:lang w:eastAsia="sv-SE"/>
              </w:rPr>
              <w:t>periodicityAndOffset</w:t>
            </w:r>
            <w:r w:rsidRPr="00FA0D37">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FA0D37">
              <w:rPr>
                <w:rFonts w:cs="Arial"/>
                <w:i/>
                <w:szCs w:val="18"/>
                <w:lang w:eastAsia="sv-SE"/>
              </w:rPr>
              <w:t>monitoringSlotPeriodicityAndOffset</w:t>
            </w:r>
            <w:r w:rsidRPr="00FA0D37">
              <w:rPr>
                <w:rFonts w:cs="Arial"/>
                <w:szCs w:val="18"/>
                <w:lang w:eastAsia="sv-SE"/>
              </w:rPr>
              <w:t>).</w:t>
            </w:r>
          </w:p>
        </w:tc>
      </w:tr>
      <w:tr w:rsidR="005C7FF4" w:rsidRPr="00FA0D37"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394471" w:rsidRPr="00FA0D37" w:rsidRDefault="00394471" w:rsidP="00964CC4">
            <w:pPr>
              <w:pStyle w:val="TAL"/>
              <w:rPr>
                <w:szCs w:val="22"/>
                <w:lang w:eastAsia="sv-SE"/>
              </w:rPr>
            </w:pPr>
            <w:r w:rsidRPr="00FA0D37">
              <w:rPr>
                <w:b/>
                <w:i/>
                <w:szCs w:val="22"/>
                <w:lang w:eastAsia="sv-SE"/>
              </w:rPr>
              <w:t>freqMonitorLocations</w:t>
            </w:r>
          </w:p>
          <w:p w14:paraId="71E37669" w14:textId="5D9C061C" w:rsidR="00394471" w:rsidRPr="00FA0D37" w:rsidRDefault="00261BA1" w:rsidP="00964CC4">
            <w:pPr>
              <w:pStyle w:val="TAL"/>
              <w:rPr>
                <w:b/>
                <w:i/>
                <w:szCs w:val="22"/>
                <w:lang w:eastAsia="sv-SE"/>
              </w:rPr>
            </w:pPr>
            <w:r w:rsidRPr="00FA0D37">
              <w:rPr>
                <w:szCs w:val="22"/>
              </w:rPr>
              <w:t xml:space="preserve">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w:t>
            </w:r>
            <w:r w:rsidR="00681B4D" w:rsidRPr="00FA0D37">
              <w:rPr>
                <w:szCs w:val="22"/>
              </w:rPr>
              <w:t xml:space="preserve">leftmost </w:t>
            </w:r>
            <w:r w:rsidRPr="00FA0D37">
              <w:rPr>
                <w:szCs w:val="22"/>
              </w:rPr>
              <w:t>(</w:t>
            </w:r>
            <w:r w:rsidR="00681B4D" w:rsidRPr="00FA0D37">
              <w:rPr>
                <w:szCs w:val="22"/>
              </w:rPr>
              <w:t xml:space="preserve">most </w:t>
            </w:r>
            <w:r w:rsidRPr="00FA0D37">
              <w:rPr>
                <w:szCs w:val="22"/>
              </w:rPr>
              <w:t>significant) bit</w:t>
            </w:r>
            <w:r w:rsidRPr="00FA0D37">
              <w:rPr>
                <w:szCs w:val="22"/>
                <w:lang w:eastAsia="sv-SE"/>
              </w:rPr>
              <w:t xml:space="preserve"> corresponds to RB set 0 in the BWP.</w:t>
            </w:r>
            <w:r w:rsidRPr="00FA0D37">
              <w:rPr>
                <w:szCs w:val="22"/>
              </w:rPr>
              <w:t xml:space="preserve"> A bit set to </w:t>
            </w:r>
            <w:r w:rsidR="00394471" w:rsidRPr="00FA0D37">
              <w:rPr>
                <w:szCs w:val="22"/>
                <w:lang w:eastAsia="sv-SE"/>
              </w:rPr>
              <w:t xml:space="preserve">1 </w:t>
            </w:r>
            <w:r w:rsidR="00394471" w:rsidRPr="00FA0D37">
              <w:rPr>
                <w:szCs w:val="22"/>
              </w:rPr>
              <w:t xml:space="preserve">indicates that </w:t>
            </w:r>
            <w:r w:rsidR="00394471" w:rsidRPr="00FA0D37">
              <w:rPr>
                <w:szCs w:val="22"/>
                <w:lang w:eastAsia="sv-SE"/>
              </w:rPr>
              <w:t>a frequency domain resource allocation replicated from the pattern configured in the associated CORESET is mapped to the RB set.</w:t>
            </w:r>
          </w:p>
        </w:tc>
      </w:tr>
      <w:tr w:rsidR="005C7FF4" w:rsidRPr="00FA0D37"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394471" w:rsidRPr="00FA0D37" w:rsidRDefault="00394471" w:rsidP="00964CC4">
            <w:pPr>
              <w:pStyle w:val="TAL"/>
              <w:rPr>
                <w:szCs w:val="22"/>
                <w:lang w:eastAsia="sv-SE"/>
              </w:rPr>
            </w:pPr>
            <w:r w:rsidRPr="00FA0D37">
              <w:rPr>
                <w:b/>
                <w:i/>
                <w:szCs w:val="22"/>
                <w:lang w:eastAsia="sv-SE"/>
              </w:rPr>
              <w:t>monitoringSlotPeriodicityAndOffset</w:t>
            </w:r>
          </w:p>
          <w:p w14:paraId="350756BF" w14:textId="77777777" w:rsidR="00F12A49" w:rsidRPr="00FA0D37" w:rsidRDefault="00394471" w:rsidP="00F12A49">
            <w:pPr>
              <w:pStyle w:val="TAL"/>
              <w:rPr>
                <w:szCs w:val="22"/>
                <w:lang w:eastAsia="sv-SE"/>
              </w:rPr>
            </w:pPr>
            <w:r w:rsidRPr="00FA0D37">
              <w:rPr>
                <w:szCs w:val="22"/>
                <w:lang w:eastAsia="sv-SE"/>
              </w:rPr>
              <w:t>Slots for PDCCH Monitoring configured as periodicity and offset.</w:t>
            </w:r>
          </w:p>
          <w:p w14:paraId="7597AEAE" w14:textId="77777777" w:rsidR="00F12A49" w:rsidRPr="00FA0D37" w:rsidRDefault="00F12A49" w:rsidP="00F12A49">
            <w:pPr>
              <w:pStyle w:val="TAL"/>
              <w:rPr>
                <w:szCs w:val="22"/>
                <w:lang w:eastAsia="sv-SE"/>
              </w:rPr>
            </w:pPr>
            <w:r w:rsidRPr="00FA0D37">
              <w:rPr>
                <w:szCs w:val="22"/>
                <w:lang w:eastAsia="sv-SE"/>
              </w:rPr>
              <w:t>For SCS 15, 30, 60, and 120 kHz and if the UE is configured to monitor:</w:t>
            </w:r>
          </w:p>
          <w:p w14:paraId="3A69A585" w14:textId="13747F0E" w:rsidR="00F12A49" w:rsidRPr="00FA0D37" w:rsidRDefault="00F12A49" w:rsidP="00F12A49">
            <w:pPr>
              <w:pStyle w:val="TAL"/>
              <w:rPr>
                <w:szCs w:val="22"/>
                <w:lang w:eastAsia="sv-SE"/>
              </w:rPr>
            </w:pPr>
            <w:r w:rsidRPr="00FA0D37">
              <w:rPr>
                <w:szCs w:val="22"/>
                <w:lang w:eastAsia="sv-SE"/>
              </w:rPr>
              <w:t>-</w:t>
            </w:r>
            <w:r w:rsidR="00394471" w:rsidRPr="00FA0D37">
              <w:rPr>
                <w:szCs w:val="22"/>
                <w:lang w:eastAsia="sv-SE"/>
              </w:rPr>
              <w:t xml:space="preserve"> DCI format 2_1, only the values 'sl1', 'sl2' or 'sl4' are applicable.</w:t>
            </w:r>
          </w:p>
          <w:p w14:paraId="4F622E55" w14:textId="773AFD0C" w:rsidR="00F12A49" w:rsidRPr="00FA0D37" w:rsidRDefault="00F12A49" w:rsidP="00F12A49">
            <w:pPr>
              <w:pStyle w:val="TAL"/>
              <w:rPr>
                <w:szCs w:val="22"/>
                <w:lang w:eastAsia="sv-SE"/>
              </w:rPr>
            </w:pPr>
            <w:r w:rsidRPr="00FA0D37">
              <w:rPr>
                <w:szCs w:val="22"/>
                <w:lang w:eastAsia="sv-SE"/>
              </w:rPr>
              <w:t xml:space="preserve">- </w:t>
            </w:r>
            <w:r w:rsidR="00394471" w:rsidRPr="00FA0D37">
              <w:rPr>
                <w:szCs w:val="22"/>
                <w:lang w:eastAsia="sv-SE"/>
              </w:rPr>
              <w:t xml:space="preserve">DCI format 2_0, only the values ′sl1′, ′sl2′, </w:t>
            </w:r>
            <w:r w:rsidR="00394471" w:rsidRPr="00FA0D37">
              <w:rPr>
                <w:rFonts w:cs="Arial"/>
                <w:szCs w:val="22"/>
                <w:lang w:eastAsia="sv-SE"/>
              </w:rPr>
              <w:t>′</w:t>
            </w:r>
            <w:r w:rsidR="00394471" w:rsidRPr="00FA0D37">
              <w:rPr>
                <w:szCs w:val="22"/>
                <w:lang w:eastAsia="sv-SE"/>
              </w:rPr>
              <w:t>sl4′, ′sl5′, ′sl8′, ′sl10′, ′sl16′, and ′sl20′ are applicable (see TS 38.213 [13], clause 10).</w:t>
            </w:r>
          </w:p>
          <w:p w14:paraId="24617B8F" w14:textId="0BEA6969" w:rsidR="00394471" w:rsidRPr="00FA0D37" w:rsidRDefault="00F12A49" w:rsidP="00F12A49">
            <w:pPr>
              <w:pStyle w:val="TAL"/>
              <w:rPr>
                <w:szCs w:val="22"/>
                <w:lang w:eastAsia="sv-SE"/>
              </w:rPr>
            </w:pPr>
            <w:r w:rsidRPr="00FA0D37">
              <w:rPr>
                <w:szCs w:val="22"/>
                <w:lang w:eastAsia="sv-SE"/>
              </w:rPr>
              <w:t>-</w:t>
            </w:r>
            <w:r w:rsidR="00394471" w:rsidRPr="00FA0D37">
              <w:rPr>
                <w:szCs w:val="22"/>
                <w:lang w:eastAsia="sv-SE"/>
              </w:rPr>
              <w:t xml:space="preserve"> DCI format 2_4, only the values 'sl1', 'sl2', 'sl4', 'sl5', 'sl8' and 'sl10' are applicable.</w:t>
            </w:r>
          </w:p>
          <w:p w14:paraId="67C2998B" w14:textId="77777777" w:rsidR="00F12A49" w:rsidRPr="00FA0D37" w:rsidRDefault="00F12A49" w:rsidP="00F12A49">
            <w:pPr>
              <w:pStyle w:val="TAL"/>
              <w:rPr>
                <w:szCs w:val="22"/>
                <w:lang w:eastAsia="sv-SE"/>
              </w:rPr>
            </w:pPr>
            <w:r w:rsidRPr="00FA0D37">
              <w:rPr>
                <w:szCs w:val="22"/>
                <w:lang w:eastAsia="sv-SE"/>
              </w:rPr>
              <w:t>For SCS 480 kHz and if the UE is configured to monitor:</w:t>
            </w:r>
          </w:p>
          <w:p w14:paraId="003B4F0F" w14:textId="16D23A84" w:rsidR="00F747EB" w:rsidRPr="00FA0D37" w:rsidRDefault="00F12A49" w:rsidP="00F12A49">
            <w:pPr>
              <w:pStyle w:val="TAL"/>
              <w:rPr>
                <w:szCs w:val="22"/>
                <w:lang w:eastAsia="sv-SE"/>
              </w:rPr>
            </w:pPr>
            <w:r w:rsidRPr="00FA0D37">
              <w:rPr>
                <w:szCs w:val="22"/>
                <w:lang w:eastAsia="sv-SE"/>
              </w:rPr>
              <w:t>- DCI format 2_0, only the values 'sl4', 'sl8', 'sl16', 'sl20', 'sl32', 'sl40', 'sl64', and 'sl80</w:t>
            </w:r>
            <w:r w:rsidR="00743BF8" w:rsidRPr="00FA0D37">
              <w:rPr>
                <w:szCs w:val="22"/>
                <w:lang w:eastAsia="sv-SE"/>
              </w:rPr>
              <w:t>'</w:t>
            </w:r>
            <w:r w:rsidRPr="00FA0D37">
              <w:rPr>
                <w:szCs w:val="22"/>
                <w:lang w:eastAsia="sv-SE"/>
              </w:rPr>
              <w:t xml:space="preserve"> are applicable.</w:t>
            </w:r>
          </w:p>
          <w:p w14:paraId="41CBF630" w14:textId="7E54AF23" w:rsidR="00F12A49" w:rsidRPr="00FA0D37" w:rsidRDefault="00F12A49" w:rsidP="00F12A49">
            <w:pPr>
              <w:pStyle w:val="TAL"/>
              <w:rPr>
                <w:szCs w:val="22"/>
                <w:lang w:eastAsia="sv-SE"/>
              </w:rPr>
            </w:pPr>
            <w:r w:rsidRPr="00FA0D37">
              <w:rPr>
                <w:szCs w:val="22"/>
                <w:lang w:eastAsia="sv-SE"/>
              </w:rPr>
              <w:t xml:space="preserve">- DCI format 2_1, only the values </w:t>
            </w:r>
            <w:r w:rsidRPr="00FA0D37">
              <w:rPr>
                <w:rFonts w:cs="Arial"/>
                <w:szCs w:val="22"/>
                <w:lang w:eastAsia="sv-SE"/>
              </w:rPr>
              <w:t>′</w:t>
            </w:r>
            <w:r w:rsidRPr="00FA0D37">
              <w:rPr>
                <w:szCs w:val="22"/>
                <w:lang w:eastAsia="sv-SE"/>
              </w:rPr>
              <w:t>sl4′, ′sl8′, and ′sl16′ are applicable.</w:t>
            </w:r>
          </w:p>
          <w:p w14:paraId="48B06707" w14:textId="77777777" w:rsidR="00F12A49" w:rsidRPr="00FA0D37" w:rsidRDefault="00F12A49" w:rsidP="00F12A49">
            <w:pPr>
              <w:pStyle w:val="TAL"/>
              <w:rPr>
                <w:szCs w:val="22"/>
                <w:lang w:eastAsia="sv-SE"/>
              </w:rPr>
            </w:pPr>
            <w:r w:rsidRPr="00FA0D37">
              <w:rPr>
                <w:szCs w:val="22"/>
                <w:lang w:eastAsia="sv-SE"/>
              </w:rPr>
              <w:t>- DCI format 2_4, only the values 'sl4', 'sl8', 'sl16', 'sl20', 'sl32', 'sl40' are applicable.</w:t>
            </w:r>
          </w:p>
          <w:p w14:paraId="326D5E59" w14:textId="77777777" w:rsidR="00F12A49" w:rsidRPr="00FA0D37" w:rsidRDefault="00F12A49" w:rsidP="00F12A49">
            <w:pPr>
              <w:pStyle w:val="TAL"/>
              <w:rPr>
                <w:szCs w:val="22"/>
                <w:lang w:eastAsia="sv-SE"/>
              </w:rPr>
            </w:pPr>
            <w:r w:rsidRPr="00FA0D37">
              <w:rPr>
                <w:szCs w:val="22"/>
                <w:lang w:eastAsia="sv-SE"/>
              </w:rPr>
              <w:t>For SCS 960 kHz and if the UE is configured to monitor:</w:t>
            </w:r>
          </w:p>
          <w:p w14:paraId="28C937E7" w14:textId="50F3E66A" w:rsidR="00F12A49" w:rsidRPr="00FA0D37" w:rsidRDefault="00F12A49" w:rsidP="00F12A49">
            <w:pPr>
              <w:pStyle w:val="TAL"/>
              <w:rPr>
                <w:szCs w:val="22"/>
                <w:lang w:eastAsia="sv-SE"/>
              </w:rPr>
            </w:pPr>
            <w:r w:rsidRPr="00FA0D37">
              <w:rPr>
                <w:szCs w:val="22"/>
                <w:lang w:eastAsia="sv-SE"/>
              </w:rPr>
              <w:t>- DCI format 2_0, only the values 'sl8', 'sl16', 'sl32', 'sl40', 'sl64', 'sl80</w:t>
            </w:r>
            <w:r w:rsidR="00743BF8" w:rsidRPr="00FA0D37">
              <w:rPr>
                <w:szCs w:val="22"/>
                <w:lang w:eastAsia="sv-SE"/>
              </w:rPr>
              <w:t>'</w:t>
            </w:r>
            <w:r w:rsidR="003C24D5" w:rsidRPr="00FA0D37">
              <w:rPr>
                <w:szCs w:val="22"/>
                <w:lang w:eastAsia="sv-SE"/>
              </w:rPr>
              <w:t>, 'sl128</w:t>
            </w:r>
            <w:r w:rsidR="00CD36EE" w:rsidRPr="00FA0D37">
              <w:rPr>
                <w:szCs w:val="22"/>
                <w:lang w:eastAsia="sv-SE"/>
              </w:rPr>
              <w:t>'</w:t>
            </w:r>
            <w:r w:rsidR="003C24D5" w:rsidRPr="00FA0D37">
              <w:rPr>
                <w:szCs w:val="22"/>
                <w:lang w:eastAsia="sv-SE"/>
              </w:rPr>
              <w:t>, and 'sl160'</w:t>
            </w:r>
            <w:r w:rsidRPr="00FA0D37">
              <w:rPr>
                <w:szCs w:val="22"/>
                <w:lang w:eastAsia="sv-SE"/>
              </w:rPr>
              <w:t xml:space="preserve"> are applicable.</w:t>
            </w:r>
          </w:p>
          <w:p w14:paraId="4A725BE7" w14:textId="76FF3918" w:rsidR="00F12A49" w:rsidRPr="00FA0D37" w:rsidRDefault="00F12A49" w:rsidP="00F12A49">
            <w:pPr>
              <w:pStyle w:val="TAL"/>
              <w:rPr>
                <w:szCs w:val="22"/>
                <w:lang w:eastAsia="sv-SE"/>
              </w:rPr>
            </w:pPr>
            <w:r w:rsidRPr="00FA0D37">
              <w:rPr>
                <w:szCs w:val="22"/>
                <w:lang w:eastAsia="sv-SE"/>
              </w:rPr>
              <w:t>- DCI format 2_1, only the values ′sl8′, ′sl16′</w:t>
            </w:r>
            <w:r w:rsidR="003C24D5" w:rsidRPr="00FA0D37">
              <w:rPr>
                <w:szCs w:val="22"/>
                <w:lang w:eastAsia="sv-SE"/>
              </w:rPr>
              <w:t>, and 'sl32'</w:t>
            </w:r>
            <w:r w:rsidRPr="00FA0D37">
              <w:rPr>
                <w:szCs w:val="22"/>
                <w:lang w:eastAsia="sv-SE"/>
              </w:rPr>
              <w:t xml:space="preserve"> are applicable.</w:t>
            </w:r>
          </w:p>
          <w:p w14:paraId="203C9598" w14:textId="77777777" w:rsidR="00F12A49" w:rsidRPr="00FA0D37" w:rsidRDefault="00F12A49" w:rsidP="00F12A49">
            <w:pPr>
              <w:pStyle w:val="TAL"/>
              <w:rPr>
                <w:szCs w:val="22"/>
                <w:lang w:eastAsia="sv-SE"/>
              </w:rPr>
            </w:pPr>
            <w:r w:rsidRPr="00FA0D37">
              <w:rPr>
                <w:szCs w:val="22"/>
                <w:lang w:eastAsia="sv-SE"/>
              </w:rPr>
              <w:t>- DCI format 2_4, only the values 'sl8', 'sl16', 'sl32', 'sl40', 'sl64', 'sl80' are applicable.</w:t>
            </w:r>
          </w:p>
          <w:p w14:paraId="4F43B88B" w14:textId="77777777" w:rsidR="00F12A49" w:rsidRPr="00FA0D37" w:rsidRDefault="00F12A49" w:rsidP="00F12A49">
            <w:pPr>
              <w:pStyle w:val="TAL"/>
              <w:rPr>
                <w:szCs w:val="22"/>
                <w:lang w:eastAsia="sv-SE"/>
              </w:rPr>
            </w:pPr>
          </w:p>
          <w:p w14:paraId="740B7B8B" w14:textId="77777777" w:rsidR="00F12A49" w:rsidRPr="00FA0D37" w:rsidRDefault="00F12A49" w:rsidP="00F12A49">
            <w:pPr>
              <w:pStyle w:val="TAL"/>
              <w:rPr>
                <w:szCs w:val="22"/>
                <w:lang w:eastAsia="sv-SE"/>
              </w:rPr>
            </w:pPr>
            <w:r w:rsidRPr="00FA0D37">
              <w:rPr>
                <w:szCs w:val="22"/>
                <w:lang w:eastAsia="sv-SE"/>
              </w:rPr>
              <w:t xml:space="preserve">For SCS 480 kHz and SCS 960 kHz, and the configured periodicity and offset are restricted to be an integer multiple of L slots, where L is the configured length of the bitmap provided by </w:t>
            </w:r>
            <w:r w:rsidRPr="00FA0D37">
              <w:rPr>
                <w:i/>
                <w:iCs/>
                <w:szCs w:val="22"/>
                <w:lang w:eastAsia="sv-SE"/>
              </w:rPr>
              <w:t>monitoringSlotsWithinSlotGroup-r17</w:t>
            </w:r>
            <w:r w:rsidRPr="00FA0D37">
              <w:rPr>
                <w:szCs w:val="22"/>
                <w:lang w:eastAsia="sv-SE"/>
              </w:rPr>
              <w:t>, i.e. for a given periodicity, the offset has a range of {0, L, 2*L, …, L*FLOOR(1/L*(periodicity-1))}.</w:t>
            </w:r>
          </w:p>
          <w:p w14:paraId="778F7589" w14:textId="77777777" w:rsidR="00F12A49" w:rsidRPr="00FA0D37" w:rsidRDefault="00F12A49" w:rsidP="00F12A49">
            <w:pPr>
              <w:pStyle w:val="TAL"/>
              <w:rPr>
                <w:szCs w:val="22"/>
                <w:lang w:eastAsia="sv-SE"/>
              </w:rPr>
            </w:pPr>
          </w:p>
          <w:p w14:paraId="6370D2A1" w14:textId="77777777" w:rsidR="0021547E" w:rsidRPr="00FA0D37" w:rsidRDefault="00394471" w:rsidP="0021547E">
            <w:pPr>
              <w:pStyle w:val="TAL"/>
              <w:rPr>
                <w:rFonts w:cs="Arial"/>
                <w:szCs w:val="18"/>
                <w:lang w:eastAsia="sv-SE"/>
              </w:rPr>
            </w:pPr>
            <w:r w:rsidRPr="00FA0D37">
              <w:rPr>
                <w:szCs w:val="22"/>
                <w:lang w:eastAsia="sv-SE"/>
              </w:rPr>
              <w:t>For IAB-MT,</w:t>
            </w:r>
            <w:r w:rsidRPr="00FA0D37">
              <w:rPr>
                <w:rFonts w:cs="Arial"/>
                <w:sz w:val="16"/>
                <w:szCs w:val="16"/>
                <w:lang w:eastAsia="sv-SE"/>
              </w:rPr>
              <w:t xml:space="preserve"> </w:t>
            </w:r>
            <w:r w:rsidRPr="00FA0D37">
              <w:rPr>
                <w:rFonts w:cs="Arial"/>
                <w:szCs w:val="16"/>
                <w:lang w:eastAsia="sv-SE"/>
              </w:rPr>
              <w:t>I</w:t>
            </w:r>
            <w:r w:rsidRPr="00FA0D37">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394471" w:rsidRPr="00FA0D37" w:rsidRDefault="0021547E" w:rsidP="0021547E">
            <w:pPr>
              <w:pStyle w:val="TAL"/>
              <w:rPr>
                <w:szCs w:val="22"/>
                <w:lang w:eastAsia="sv-SE"/>
              </w:rPr>
            </w:pPr>
            <w:r w:rsidRPr="00FA0D37">
              <w:rPr>
                <w:rFonts w:cs="Arial"/>
                <w:szCs w:val="18"/>
                <w:lang w:eastAsia="sv-SE"/>
              </w:rPr>
              <w:t xml:space="preserve">If </w:t>
            </w:r>
            <w:r w:rsidRPr="00FA0D37">
              <w:rPr>
                <w:rFonts w:cs="Arial"/>
                <w:i/>
                <w:iCs/>
                <w:szCs w:val="18"/>
                <w:lang w:eastAsia="sv-SE"/>
              </w:rPr>
              <w:t>monitoringSlotPeriodicityAndOffset-</w:t>
            </w:r>
            <w:r w:rsidR="00156D01" w:rsidRPr="00FA0D37">
              <w:rPr>
                <w:rFonts w:cs="Arial"/>
                <w:i/>
                <w:iCs/>
                <w:szCs w:val="18"/>
                <w:lang w:eastAsia="sv-SE"/>
              </w:rPr>
              <w:t>v1710</w:t>
            </w:r>
            <w:r w:rsidRPr="00FA0D37">
              <w:rPr>
                <w:rFonts w:cs="Arial"/>
                <w:szCs w:val="18"/>
                <w:lang w:eastAsia="sv-SE"/>
              </w:rPr>
              <w:t xml:space="preserve"> is present, any previously configured </w:t>
            </w:r>
            <w:r w:rsidRPr="00FA0D37">
              <w:rPr>
                <w:rFonts w:cs="Arial"/>
                <w:i/>
                <w:iCs/>
                <w:szCs w:val="18"/>
                <w:lang w:eastAsia="sv-SE"/>
              </w:rPr>
              <w:t>monitoringSlotPeriodicityAndOffset</w:t>
            </w:r>
            <w:r w:rsidRPr="00FA0D37">
              <w:rPr>
                <w:rFonts w:cs="Arial"/>
                <w:szCs w:val="18"/>
                <w:lang w:eastAsia="sv-SE"/>
              </w:rPr>
              <w:t xml:space="preserve"> is released, and if </w:t>
            </w:r>
            <w:r w:rsidRPr="00FA0D37">
              <w:rPr>
                <w:rFonts w:cs="Arial"/>
                <w:i/>
                <w:iCs/>
                <w:szCs w:val="18"/>
                <w:lang w:eastAsia="sv-SE"/>
              </w:rPr>
              <w:t>monitoringSlotPeriodicityAndOffset</w:t>
            </w:r>
            <w:r w:rsidRPr="00FA0D37">
              <w:rPr>
                <w:rFonts w:cs="Arial"/>
                <w:szCs w:val="18"/>
                <w:lang w:eastAsia="sv-SE"/>
              </w:rPr>
              <w:t xml:space="preserve"> is present, any previously configured </w:t>
            </w:r>
            <w:r w:rsidRPr="00FA0D37">
              <w:rPr>
                <w:rFonts w:cs="Arial"/>
                <w:i/>
                <w:iCs/>
                <w:szCs w:val="18"/>
                <w:lang w:eastAsia="sv-SE"/>
              </w:rPr>
              <w:t>monitoringSlotPeriodicityAndOffset-</w:t>
            </w:r>
            <w:r w:rsidR="00156D01" w:rsidRPr="00FA0D37">
              <w:rPr>
                <w:rFonts w:cs="Arial"/>
                <w:i/>
                <w:iCs/>
                <w:szCs w:val="18"/>
                <w:lang w:eastAsia="sv-SE"/>
              </w:rPr>
              <w:t>v1710</w:t>
            </w:r>
            <w:r w:rsidRPr="00FA0D37">
              <w:rPr>
                <w:rFonts w:cs="Arial"/>
                <w:szCs w:val="18"/>
                <w:lang w:eastAsia="sv-SE"/>
              </w:rPr>
              <w:t xml:space="preserve"> is released.</w:t>
            </w:r>
          </w:p>
        </w:tc>
      </w:tr>
      <w:tr w:rsidR="005C7FF4" w:rsidRPr="00FA0D37"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21547E" w:rsidRPr="00FA0D37" w:rsidRDefault="0021547E" w:rsidP="000830BB">
            <w:pPr>
              <w:pStyle w:val="TAL"/>
              <w:rPr>
                <w:b/>
                <w:bCs/>
                <w:i/>
                <w:iCs/>
                <w:lang w:eastAsia="sv-SE"/>
              </w:rPr>
            </w:pPr>
            <w:r w:rsidRPr="00FA0D37">
              <w:rPr>
                <w:b/>
                <w:bCs/>
                <w:i/>
                <w:iCs/>
                <w:lang w:eastAsia="sv-SE"/>
              </w:rPr>
              <w:lastRenderedPageBreak/>
              <w:t>monitoringSlotsWithinSlotGroup</w:t>
            </w:r>
          </w:p>
          <w:p w14:paraId="58A5AF78" w14:textId="7F7B214A" w:rsidR="0021547E" w:rsidRPr="00FA0D37" w:rsidRDefault="0021547E" w:rsidP="000830BB">
            <w:pPr>
              <w:pStyle w:val="TAL"/>
              <w:rPr>
                <w:bCs/>
                <w:iCs/>
                <w:lang w:eastAsia="sv-SE"/>
              </w:rPr>
            </w:pPr>
            <w:r w:rsidRPr="00FA0D37">
              <w:rPr>
                <w:lang w:eastAsia="sv-SE"/>
              </w:rPr>
              <w:t>Indicates which slot(s) within a slot group are configured for multi-slot PDCCH monitoring. The first (leftmost, most significant) bit represents</w:t>
            </w:r>
            <w:r w:rsidRPr="00FA0D37">
              <w:rPr>
                <w:bCs/>
                <w:iCs/>
                <w:lang w:eastAsia="sv-SE"/>
              </w:rPr>
              <w:t xml:space="preserve"> the first slot in the slot group, the second bit represents the second slot in the slot group, and so on. A bit set to </w:t>
            </w:r>
            <w:r w:rsidR="00584CE6" w:rsidRPr="00FA0D37">
              <w:rPr>
                <w:bCs/>
                <w:iCs/>
                <w:lang w:eastAsia="sv-SE"/>
              </w:rPr>
              <w:t>'</w:t>
            </w:r>
            <w:r w:rsidRPr="00FA0D37">
              <w:rPr>
                <w:bCs/>
                <w:iCs/>
                <w:lang w:eastAsia="sv-SE"/>
              </w:rPr>
              <w:t>1</w:t>
            </w:r>
            <w:r w:rsidR="00584CE6" w:rsidRPr="00FA0D37">
              <w:rPr>
                <w:bCs/>
                <w:iCs/>
                <w:lang w:eastAsia="sv-SE"/>
              </w:rPr>
              <w:t>'</w:t>
            </w:r>
            <w:r w:rsidRPr="00FA0D37">
              <w:rPr>
                <w:bCs/>
                <w:iCs/>
                <w:lang w:eastAsia="sv-SE"/>
              </w:rPr>
              <w:t xml:space="preserve"> indicates that the corresponding slot is configured for multi-slot PDCCH monitoring </w:t>
            </w:r>
            <w:r w:rsidRPr="00FA0D37">
              <w:rPr>
                <w:rFonts w:cs="Arial"/>
                <w:szCs w:val="18"/>
                <w:lang w:eastAsia="sv-SE"/>
              </w:rPr>
              <w:t>(see TS 38.213</w:t>
            </w:r>
            <w:r w:rsidR="00A345A2" w:rsidRPr="00FA0D37">
              <w:rPr>
                <w:rFonts w:cs="Arial"/>
                <w:szCs w:val="18"/>
                <w:lang w:eastAsia="sv-SE"/>
              </w:rPr>
              <w:t xml:space="preserve"> [13]</w:t>
            </w:r>
            <w:r w:rsidRPr="00FA0D37">
              <w:rPr>
                <w:rFonts w:cs="Arial"/>
                <w:szCs w:val="18"/>
                <w:lang w:eastAsia="sv-SE"/>
              </w:rPr>
              <w:t>, clause 10).</w:t>
            </w:r>
            <w:r w:rsidR="00A345A2" w:rsidRPr="00FA0D37">
              <w:rPr>
                <w:rFonts w:cs="Arial"/>
                <w:szCs w:val="18"/>
                <w:lang w:eastAsia="sv-SE"/>
              </w:rPr>
              <w:t xml:space="preserve"> </w:t>
            </w:r>
            <w:bookmarkStart w:id="1370" w:name="_Hlk109833350"/>
            <w:r w:rsidR="00A345A2" w:rsidRPr="00FA0D37">
              <w:t>The number of slots for multi-slot PDCCH monitoring is configured according to clause 10 in TS 38.213 [13].</w:t>
            </w:r>
            <w:bookmarkEnd w:id="1370"/>
          </w:p>
        </w:tc>
      </w:tr>
      <w:tr w:rsidR="005C7FF4" w:rsidRPr="00FA0D37"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394471" w:rsidRPr="00FA0D37" w:rsidRDefault="00394471" w:rsidP="00964CC4">
            <w:pPr>
              <w:pStyle w:val="TAL"/>
              <w:rPr>
                <w:szCs w:val="22"/>
                <w:lang w:eastAsia="sv-SE"/>
              </w:rPr>
            </w:pPr>
            <w:r w:rsidRPr="00FA0D37">
              <w:rPr>
                <w:b/>
                <w:i/>
                <w:szCs w:val="22"/>
                <w:lang w:eastAsia="sv-SE"/>
              </w:rPr>
              <w:t>monitoringSymbolsWithinSlot</w:t>
            </w:r>
          </w:p>
          <w:p w14:paraId="69149483" w14:textId="116EEE71" w:rsidR="00394471" w:rsidRPr="00FA0D37" w:rsidRDefault="00394471" w:rsidP="00964CC4">
            <w:pPr>
              <w:pStyle w:val="TAL"/>
              <w:rPr>
                <w:szCs w:val="22"/>
                <w:lang w:eastAsia="sv-SE"/>
              </w:rPr>
            </w:pPr>
            <w:r w:rsidRPr="00FA0D37">
              <w:rPr>
                <w:szCs w:val="22"/>
                <w:lang w:eastAsia="sv-SE"/>
              </w:rPr>
              <w:t xml:space="preserve">The first symbol(s) for PDCCH monitoring in the slots configured for </w:t>
            </w:r>
            <w:r w:rsidR="0021547E" w:rsidRPr="00FA0D37">
              <w:rPr>
                <w:szCs w:val="22"/>
                <w:lang w:eastAsia="sv-SE"/>
              </w:rPr>
              <w:t>(</w:t>
            </w:r>
            <w:r w:rsidR="0021547E" w:rsidRPr="00FA0D37">
              <w:rPr>
                <w:bCs/>
                <w:iCs/>
                <w:szCs w:val="22"/>
                <w:lang w:eastAsia="sv-SE"/>
              </w:rPr>
              <w:t>multi-slot</w:t>
            </w:r>
            <w:r w:rsidR="0021547E" w:rsidRPr="00FA0D37">
              <w:rPr>
                <w:szCs w:val="22"/>
                <w:lang w:eastAsia="sv-SE"/>
              </w:rPr>
              <w:t xml:space="preserve">) </w:t>
            </w:r>
            <w:r w:rsidRPr="00FA0D37">
              <w:rPr>
                <w:szCs w:val="22"/>
                <w:lang w:eastAsia="sv-SE"/>
              </w:rPr>
              <w:t xml:space="preserve">PDCCH monitoring (see </w:t>
            </w:r>
            <w:r w:rsidRPr="00FA0D37">
              <w:rPr>
                <w:i/>
                <w:szCs w:val="22"/>
                <w:lang w:eastAsia="sv-SE"/>
              </w:rPr>
              <w:t>monitoringSlotPeriodicityAndOffset</w:t>
            </w:r>
            <w:r w:rsidRPr="00FA0D37">
              <w:rPr>
                <w:szCs w:val="22"/>
                <w:lang w:eastAsia="sv-SE"/>
              </w:rPr>
              <w:t xml:space="preserve"> and </w:t>
            </w:r>
            <w:r w:rsidRPr="00FA0D37">
              <w:rPr>
                <w:i/>
                <w:szCs w:val="22"/>
                <w:lang w:eastAsia="sv-SE"/>
              </w:rPr>
              <w:t>duration</w:t>
            </w:r>
            <w:r w:rsidRPr="00FA0D37">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394471" w:rsidRPr="00FA0D37" w:rsidRDefault="00394471" w:rsidP="00964CC4">
            <w:pPr>
              <w:pStyle w:val="TAL"/>
              <w:rPr>
                <w:szCs w:val="22"/>
                <w:lang w:eastAsia="sv-SE"/>
              </w:rPr>
            </w:pPr>
            <w:r w:rsidRPr="00FA0D37">
              <w:rPr>
                <w:szCs w:val="22"/>
                <w:lang w:eastAsia="sv-SE"/>
              </w:rPr>
              <w:t xml:space="preserve">For DCI format 2_0, the first one symbol applies if the </w:t>
            </w:r>
            <w:r w:rsidRPr="00FA0D37">
              <w:rPr>
                <w:i/>
                <w:szCs w:val="22"/>
                <w:lang w:eastAsia="sv-SE"/>
              </w:rPr>
              <w:t>duration</w:t>
            </w:r>
            <w:r w:rsidRPr="00FA0D37">
              <w:rPr>
                <w:szCs w:val="22"/>
                <w:lang w:eastAsia="sv-SE"/>
              </w:rPr>
              <w:t xml:space="preserve"> of CORESET (in the IE </w:t>
            </w:r>
            <w:r w:rsidRPr="00FA0D37">
              <w:rPr>
                <w:i/>
                <w:szCs w:val="22"/>
                <w:lang w:eastAsia="sv-SE"/>
              </w:rPr>
              <w:t>ControlResourceSet</w:t>
            </w:r>
            <w:r w:rsidRPr="00FA0D37">
              <w:rPr>
                <w:szCs w:val="22"/>
                <w:lang w:eastAsia="sv-SE"/>
              </w:rPr>
              <w:t xml:space="preserve">) identified by </w:t>
            </w:r>
            <w:r w:rsidRPr="00FA0D37">
              <w:rPr>
                <w:i/>
                <w:szCs w:val="22"/>
                <w:lang w:eastAsia="sv-SE"/>
              </w:rPr>
              <w:t>controlResourceSetId</w:t>
            </w:r>
            <w:r w:rsidRPr="00FA0D37">
              <w:rPr>
                <w:szCs w:val="22"/>
                <w:lang w:eastAsia="sv-SE"/>
              </w:rPr>
              <w:t xml:space="preserve"> indicates 3 symbols, the first two symbols apply if the </w:t>
            </w:r>
            <w:r w:rsidRPr="00FA0D37">
              <w:rPr>
                <w:i/>
                <w:szCs w:val="22"/>
                <w:lang w:eastAsia="sv-SE"/>
              </w:rPr>
              <w:t>duration</w:t>
            </w:r>
            <w:r w:rsidRPr="00FA0D37">
              <w:rPr>
                <w:szCs w:val="22"/>
                <w:lang w:eastAsia="sv-SE"/>
              </w:rPr>
              <w:t xml:space="preserve"> of CORESET identified by </w:t>
            </w:r>
            <w:r w:rsidRPr="00FA0D37">
              <w:rPr>
                <w:i/>
                <w:szCs w:val="22"/>
                <w:lang w:eastAsia="sv-SE"/>
              </w:rPr>
              <w:t>controlResourceSetId</w:t>
            </w:r>
            <w:r w:rsidRPr="00FA0D37">
              <w:rPr>
                <w:szCs w:val="22"/>
                <w:lang w:eastAsia="sv-SE"/>
              </w:rPr>
              <w:t xml:space="preserve"> indicates 2 symbols, and the first three symbols apply if the </w:t>
            </w:r>
            <w:r w:rsidRPr="00FA0D37">
              <w:rPr>
                <w:i/>
                <w:szCs w:val="22"/>
                <w:lang w:eastAsia="sv-SE"/>
              </w:rPr>
              <w:t>duration</w:t>
            </w:r>
            <w:r w:rsidRPr="00FA0D37">
              <w:rPr>
                <w:szCs w:val="22"/>
                <w:lang w:eastAsia="sv-SE"/>
              </w:rPr>
              <w:t xml:space="preserve"> of CORESET identified by </w:t>
            </w:r>
            <w:r w:rsidRPr="00FA0D37">
              <w:rPr>
                <w:i/>
                <w:szCs w:val="22"/>
                <w:lang w:eastAsia="sv-SE"/>
              </w:rPr>
              <w:t>controlResourceSetId</w:t>
            </w:r>
            <w:r w:rsidRPr="00FA0D37">
              <w:rPr>
                <w:szCs w:val="22"/>
                <w:lang w:eastAsia="sv-SE"/>
              </w:rPr>
              <w:t xml:space="preserve"> indicates 1 symbol.</w:t>
            </w:r>
          </w:p>
          <w:p w14:paraId="67A66479" w14:textId="77777777" w:rsidR="00394471" w:rsidRPr="00FA0D37" w:rsidRDefault="00394471" w:rsidP="00964CC4">
            <w:pPr>
              <w:pStyle w:val="TAL"/>
              <w:rPr>
                <w:szCs w:val="22"/>
                <w:lang w:eastAsia="sv-SE"/>
              </w:rPr>
            </w:pPr>
            <w:r w:rsidRPr="00FA0D37">
              <w:rPr>
                <w:szCs w:val="22"/>
                <w:lang w:eastAsia="sv-SE"/>
              </w:rPr>
              <w:t>See TS 38.213 [13], clause 10.</w:t>
            </w:r>
          </w:p>
          <w:p w14:paraId="756971F6" w14:textId="77777777" w:rsidR="00394471" w:rsidRPr="00FA0D37" w:rsidRDefault="00394471" w:rsidP="00964CC4">
            <w:pPr>
              <w:pStyle w:val="TAL"/>
              <w:rPr>
                <w:szCs w:val="22"/>
                <w:lang w:eastAsia="sv-SE"/>
              </w:rPr>
            </w:pPr>
            <w:r w:rsidRPr="00FA0D37">
              <w:rPr>
                <w:szCs w:val="22"/>
                <w:lang w:eastAsia="sv-SE"/>
              </w:rPr>
              <w:t xml:space="preserve">For IAB-MT: For DCI format 2_0 or DCI format 2_5, the first one symbol applies if the duration of CORESET (in the IE </w:t>
            </w:r>
            <w:r w:rsidRPr="00FA0D37">
              <w:rPr>
                <w:i/>
                <w:iCs/>
                <w:szCs w:val="22"/>
                <w:lang w:eastAsia="sv-SE"/>
              </w:rPr>
              <w:t>ControlResourceSet</w:t>
            </w:r>
            <w:r w:rsidRPr="00FA0D37">
              <w:rPr>
                <w:szCs w:val="22"/>
                <w:lang w:eastAsia="sv-SE"/>
              </w:rPr>
              <w:t xml:space="preserve">) identified by </w:t>
            </w:r>
            <w:r w:rsidRPr="00FA0D37">
              <w:rPr>
                <w:i/>
                <w:iCs/>
                <w:szCs w:val="22"/>
                <w:lang w:eastAsia="sv-SE"/>
              </w:rPr>
              <w:t>controlResourceSetId</w:t>
            </w:r>
            <w:r w:rsidRPr="00FA0D37">
              <w:rPr>
                <w:szCs w:val="22"/>
                <w:lang w:eastAsia="sv-SE"/>
              </w:rPr>
              <w:t xml:space="preserve"> indicates 3 symbols, the first two symbols apply if the </w:t>
            </w:r>
            <w:r w:rsidRPr="00FA0D37">
              <w:rPr>
                <w:i/>
                <w:iCs/>
                <w:szCs w:val="22"/>
                <w:lang w:eastAsia="sv-SE"/>
              </w:rPr>
              <w:t>duration</w:t>
            </w:r>
            <w:r w:rsidRPr="00FA0D37">
              <w:rPr>
                <w:szCs w:val="22"/>
                <w:lang w:eastAsia="sv-SE"/>
              </w:rPr>
              <w:t xml:space="preserve"> of CORESET identified by </w:t>
            </w:r>
            <w:r w:rsidRPr="00FA0D37">
              <w:rPr>
                <w:i/>
                <w:iCs/>
                <w:szCs w:val="22"/>
                <w:lang w:eastAsia="sv-SE"/>
              </w:rPr>
              <w:t>controlResourceSetId</w:t>
            </w:r>
            <w:r w:rsidRPr="00FA0D37">
              <w:rPr>
                <w:szCs w:val="22"/>
                <w:lang w:eastAsia="sv-SE"/>
              </w:rPr>
              <w:t xml:space="preserve"> indicates 2 symbols, and the first three symbols apply if the </w:t>
            </w:r>
            <w:r w:rsidRPr="00FA0D37">
              <w:rPr>
                <w:i/>
                <w:iCs/>
                <w:szCs w:val="22"/>
                <w:lang w:eastAsia="sv-SE"/>
              </w:rPr>
              <w:t>duration</w:t>
            </w:r>
            <w:r w:rsidRPr="00FA0D37">
              <w:rPr>
                <w:szCs w:val="22"/>
                <w:lang w:eastAsia="sv-SE"/>
              </w:rPr>
              <w:t xml:space="preserve"> of CORESET identified by </w:t>
            </w:r>
            <w:r w:rsidRPr="00FA0D37">
              <w:rPr>
                <w:i/>
                <w:iCs/>
                <w:szCs w:val="22"/>
                <w:lang w:eastAsia="sv-SE"/>
              </w:rPr>
              <w:t>controlResourceSetId</w:t>
            </w:r>
            <w:r w:rsidRPr="00FA0D37">
              <w:rPr>
                <w:szCs w:val="22"/>
                <w:lang w:eastAsia="sv-SE"/>
              </w:rPr>
              <w:t xml:space="preserve"> indicates 1 symbol.</w:t>
            </w:r>
          </w:p>
          <w:p w14:paraId="6945DBCE" w14:textId="77777777" w:rsidR="00394471" w:rsidRPr="00FA0D37" w:rsidRDefault="00394471" w:rsidP="00964CC4">
            <w:pPr>
              <w:pStyle w:val="TAL"/>
              <w:rPr>
                <w:szCs w:val="22"/>
                <w:lang w:eastAsia="sv-SE"/>
              </w:rPr>
            </w:pPr>
            <w:r w:rsidRPr="00FA0D37">
              <w:rPr>
                <w:szCs w:val="22"/>
                <w:lang w:eastAsia="sv-SE"/>
              </w:rPr>
              <w:t>See TS 38.213 [13], clause 10.</w:t>
            </w:r>
          </w:p>
        </w:tc>
      </w:tr>
      <w:tr w:rsidR="005C7FF4" w:rsidRPr="00FA0D37"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394471" w:rsidRPr="00FA0D37" w:rsidRDefault="00394471" w:rsidP="00964CC4">
            <w:pPr>
              <w:pStyle w:val="TAL"/>
              <w:rPr>
                <w:b/>
                <w:bCs/>
                <w:i/>
                <w:iCs/>
                <w:lang w:eastAsia="sv-SE"/>
              </w:rPr>
            </w:pPr>
            <w:r w:rsidRPr="00FA0D37">
              <w:rPr>
                <w:b/>
                <w:bCs/>
                <w:i/>
                <w:iCs/>
                <w:lang w:eastAsia="sv-SE"/>
              </w:rPr>
              <w:t>nrofCandidates-CI</w:t>
            </w:r>
          </w:p>
          <w:p w14:paraId="04F5FC4B" w14:textId="77777777" w:rsidR="00394471" w:rsidRPr="00FA0D37" w:rsidRDefault="00394471" w:rsidP="00964CC4">
            <w:pPr>
              <w:pStyle w:val="TAL"/>
              <w:rPr>
                <w:lang w:eastAsia="sv-SE"/>
              </w:rPr>
            </w:pPr>
            <w:r w:rsidRPr="00FA0D37">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5C7FF4" w:rsidRPr="00FA0D37"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73A2D" w:rsidRPr="00FA0D37" w:rsidRDefault="00A73A2D" w:rsidP="00A73A2D">
            <w:pPr>
              <w:pStyle w:val="TAL"/>
              <w:rPr>
                <w:b/>
                <w:bCs/>
                <w:i/>
                <w:iCs/>
                <w:lang w:eastAsia="sv-SE"/>
              </w:rPr>
            </w:pPr>
            <w:r w:rsidRPr="00FA0D37">
              <w:rPr>
                <w:b/>
                <w:bCs/>
                <w:i/>
                <w:iCs/>
                <w:lang w:eastAsia="sv-SE"/>
              </w:rPr>
              <w:t>nrofCandidates-PEI</w:t>
            </w:r>
          </w:p>
          <w:p w14:paraId="35A522A1" w14:textId="68925056" w:rsidR="00A73A2D" w:rsidRPr="00FA0D37" w:rsidRDefault="00A73A2D" w:rsidP="00A73A2D">
            <w:pPr>
              <w:pStyle w:val="TAL"/>
              <w:rPr>
                <w:lang w:eastAsia="sv-SE"/>
              </w:rPr>
            </w:pPr>
            <w:r w:rsidRPr="00FA0D37">
              <w:rPr>
                <w:lang w:eastAsia="sv-SE"/>
              </w:rPr>
              <w:t>The number of PDCCH candidates specifically for format 2-7 for the configured aggregation level.</w:t>
            </w:r>
          </w:p>
        </w:tc>
      </w:tr>
      <w:tr w:rsidR="005C7FF4" w:rsidRPr="00FA0D37"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394471" w:rsidRPr="00FA0D37" w:rsidRDefault="00394471" w:rsidP="00964CC4">
            <w:pPr>
              <w:pStyle w:val="TAL"/>
              <w:rPr>
                <w:szCs w:val="22"/>
                <w:lang w:eastAsia="sv-SE"/>
              </w:rPr>
            </w:pPr>
            <w:r w:rsidRPr="00FA0D37">
              <w:rPr>
                <w:b/>
                <w:i/>
                <w:szCs w:val="22"/>
                <w:lang w:eastAsia="sv-SE"/>
              </w:rPr>
              <w:t>nrofCandidates-SFI</w:t>
            </w:r>
          </w:p>
          <w:p w14:paraId="51EC37F6" w14:textId="77777777" w:rsidR="00394471" w:rsidRPr="00FA0D37" w:rsidRDefault="00394471" w:rsidP="00964CC4">
            <w:pPr>
              <w:pStyle w:val="TAL"/>
              <w:rPr>
                <w:szCs w:val="22"/>
                <w:lang w:eastAsia="sv-SE"/>
              </w:rPr>
            </w:pPr>
            <w:r w:rsidRPr="00FA0D37">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FA0D37">
              <w:rPr>
                <w:i/>
                <w:iCs/>
                <w:szCs w:val="22"/>
                <w:lang w:eastAsia="sv-SE"/>
              </w:rPr>
              <w:t>freqMonitorLocations-r16</w:t>
            </w:r>
            <w:r w:rsidRPr="00FA0D37">
              <w:rPr>
                <w:szCs w:val="22"/>
                <w:lang w:eastAsia="sv-SE"/>
              </w:rPr>
              <w:t>, only value ′n1′ is valid.</w:t>
            </w:r>
          </w:p>
        </w:tc>
      </w:tr>
      <w:tr w:rsidR="005C7FF4" w:rsidRPr="00FA0D37"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394471" w:rsidRPr="00FA0D37" w:rsidRDefault="00394471" w:rsidP="00964CC4">
            <w:pPr>
              <w:pStyle w:val="TAL"/>
              <w:rPr>
                <w:szCs w:val="22"/>
                <w:lang w:eastAsia="sv-SE"/>
              </w:rPr>
            </w:pPr>
            <w:r w:rsidRPr="00FA0D37">
              <w:rPr>
                <w:b/>
                <w:i/>
                <w:szCs w:val="22"/>
                <w:lang w:eastAsia="sv-SE"/>
              </w:rPr>
              <w:t>nrofCandidates</w:t>
            </w:r>
          </w:p>
          <w:p w14:paraId="3BA2C868" w14:textId="77777777" w:rsidR="00394471" w:rsidRPr="00FA0D37" w:rsidRDefault="00394471" w:rsidP="00964CC4">
            <w:pPr>
              <w:pStyle w:val="TAL"/>
              <w:rPr>
                <w:szCs w:val="22"/>
                <w:lang w:eastAsia="sv-SE"/>
              </w:rPr>
            </w:pPr>
            <w:r w:rsidRPr="00FA0D37">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FA0D37">
              <w:rPr>
                <w:i/>
                <w:szCs w:val="22"/>
                <w:lang w:eastAsia="sv-SE"/>
              </w:rPr>
              <w:t>searchSpaceType</w:t>
            </w:r>
            <w:r w:rsidRPr="00FA0D37">
              <w:rPr>
                <w:szCs w:val="22"/>
                <w:lang w:eastAsia="sv-SE"/>
              </w:rPr>
              <w:t xml:space="preserve">). If configured in the </w:t>
            </w:r>
            <w:r w:rsidRPr="00FA0D37">
              <w:rPr>
                <w:i/>
                <w:szCs w:val="22"/>
                <w:lang w:eastAsia="sv-SE"/>
              </w:rPr>
              <w:t>SearchSpace</w:t>
            </w:r>
            <w:r w:rsidRPr="00FA0D37">
              <w:rPr>
                <w:szCs w:val="22"/>
                <w:lang w:eastAsia="sv-SE"/>
              </w:rPr>
              <w:t xml:space="preserve"> of a cross carrier scheduled cell, this field determines the number of candidates and aggregation levels to be used on the linked scheduling cell (see TS 38.213 [13], clause 10).</w:t>
            </w:r>
          </w:p>
        </w:tc>
      </w:tr>
      <w:tr w:rsidR="005C7FF4" w:rsidRPr="00FA0D37"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394471" w:rsidRPr="00FA0D37" w:rsidRDefault="00394471" w:rsidP="00964CC4">
            <w:pPr>
              <w:pStyle w:val="TAL"/>
              <w:rPr>
                <w:szCs w:val="22"/>
                <w:lang w:eastAsia="sv-SE"/>
              </w:rPr>
            </w:pPr>
            <w:r w:rsidRPr="00FA0D37">
              <w:rPr>
                <w:b/>
                <w:i/>
                <w:szCs w:val="22"/>
                <w:lang w:eastAsia="sv-SE"/>
              </w:rPr>
              <w:t>searchSpaceGroupIdList</w:t>
            </w:r>
            <w:r w:rsidR="00EF0970" w:rsidRPr="00FA0D37">
              <w:rPr>
                <w:b/>
                <w:i/>
                <w:szCs w:val="22"/>
                <w:lang w:eastAsia="sv-SE"/>
              </w:rPr>
              <w:t>-r16, searchSpaceGroupIdList-r17</w:t>
            </w:r>
          </w:p>
          <w:p w14:paraId="253C2494" w14:textId="134D9538" w:rsidR="00394471" w:rsidRPr="00FA0D37" w:rsidRDefault="00394471" w:rsidP="00964CC4">
            <w:pPr>
              <w:pStyle w:val="TAL"/>
              <w:rPr>
                <w:b/>
                <w:i/>
                <w:szCs w:val="22"/>
                <w:lang w:eastAsia="sv-SE"/>
              </w:rPr>
            </w:pPr>
            <w:r w:rsidRPr="00FA0D37">
              <w:rPr>
                <w:szCs w:val="22"/>
                <w:lang w:eastAsia="sv-SE"/>
              </w:rPr>
              <w:t>List of search space group IDs which the search space is associated with.</w:t>
            </w:r>
            <w:r w:rsidRPr="00FA0D37">
              <w:rPr>
                <w:szCs w:val="22"/>
              </w:rPr>
              <w:t xml:space="preserve"> The network configures at most 2 search space groups per BWP where the group ID is either 0 or 1</w:t>
            </w:r>
            <w:r w:rsidR="00A73A2D" w:rsidRPr="00FA0D37">
              <w:rPr>
                <w:szCs w:val="22"/>
              </w:rPr>
              <w:t xml:space="preserve"> </w:t>
            </w:r>
            <w:r w:rsidR="005220C9" w:rsidRPr="00FA0D37">
              <w:rPr>
                <w:rFonts w:cs="Arial"/>
                <w:szCs w:val="18"/>
              </w:rPr>
              <w:t>i</w:t>
            </w:r>
            <w:r w:rsidR="00A73A2D" w:rsidRPr="00FA0D37">
              <w:rPr>
                <w:rFonts w:cs="Arial"/>
                <w:szCs w:val="18"/>
              </w:rPr>
              <w:t xml:space="preserve">f </w:t>
            </w:r>
            <w:r w:rsidR="00A73A2D" w:rsidRPr="00FA0D37">
              <w:rPr>
                <w:rFonts w:cs="Arial"/>
                <w:i/>
                <w:szCs w:val="18"/>
              </w:rPr>
              <w:t>searchSpaceGroupIdList</w:t>
            </w:r>
            <w:r w:rsidR="00EF0970" w:rsidRPr="00FA0D37">
              <w:rPr>
                <w:rFonts w:cs="Arial"/>
                <w:i/>
                <w:szCs w:val="18"/>
              </w:rPr>
              <w:t>-r16</w:t>
            </w:r>
            <w:r w:rsidR="00A73A2D" w:rsidRPr="00FA0D37">
              <w:rPr>
                <w:rFonts w:cs="Arial"/>
                <w:kern w:val="2"/>
                <w:szCs w:val="18"/>
              </w:rPr>
              <w:t xml:space="preserve"> is included</w:t>
            </w:r>
            <w:r w:rsidR="00A73A2D" w:rsidRPr="00FA0D37">
              <w:rPr>
                <w:rFonts w:cs="Arial"/>
                <w:szCs w:val="18"/>
              </w:rPr>
              <w:t xml:space="preserve">. The network configures at most 3 search space groups per BWP where the group ID is either 0, 1 or 2 if </w:t>
            </w:r>
            <w:r w:rsidR="00A73A2D" w:rsidRPr="00FA0D37">
              <w:rPr>
                <w:rFonts w:cs="Arial"/>
                <w:i/>
                <w:szCs w:val="18"/>
              </w:rPr>
              <w:t>searchSpaceGroupIdList-r17</w:t>
            </w:r>
            <w:r w:rsidR="00A73A2D" w:rsidRPr="00FA0D37">
              <w:rPr>
                <w:rFonts w:cs="Arial"/>
                <w:szCs w:val="18"/>
              </w:rPr>
              <w:t xml:space="preserve"> is included. And if </w:t>
            </w:r>
            <w:r w:rsidR="00A73A2D" w:rsidRPr="00FA0D37">
              <w:rPr>
                <w:rFonts w:cs="Arial"/>
                <w:i/>
                <w:szCs w:val="18"/>
              </w:rPr>
              <w:t>searchSpaceGroupIdList-r17</w:t>
            </w:r>
            <w:r w:rsidR="00A73A2D" w:rsidRPr="00FA0D37">
              <w:rPr>
                <w:rFonts w:cs="Arial"/>
                <w:szCs w:val="18"/>
              </w:rPr>
              <w:t xml:space="preserve"> is included, </w:t>
            </w:r>
            <w:r w:rsidR="00A73A2D" w:rsidRPr="00FA0D37">
              <w:rPr>
                <w:rFonts w:cs="Arial"/>
                <w:i/>
                <w:szCs w:val="18"/>
              </w:rPr>
              <w:t>searchSpaceGroupIdList</w:t>
            </w:r>
            <w:r w:rsidR="00EF0970" w:rsidRPr="00FA0D37">
              <w:rPr>
                <w:rFonts w:cs="Arial"/>
                <w:i/>
                <w:szCs w:val="18"/>
              </w:rPr>
              <w:t>-r16</w:t>
            </w:r>
            <w:r w:rsidR="00A73A2D" w:rsidRPr="00FA0D37">
              <w:rPr>
                <w:rFonts w:cs="Arial"/>
                <w:kern w:val="2"/>
                <w:szCs w:val="18"/>
              </w:rPr>
              <w:t xml:space="preserve"> is ignored.</w:t>
            </w:r>
          </w:p>
        </w:tc>
      </w:tr>
      <w:tr w:rsidR="005C7FF4" w:rsidRPr="00FA0D37"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394471" w:rsidRPr="00FA0D37" w:rsidRDefault="00394471" w:rsidP="00964CC4">
            <w:pPr>
              <w:pStyle w:val="TAL"/>
              <w:rPr>
                <w:szCs w:val="22"/>
                <w:lang w:eastAsia="sv-SE"/>
              </w:rPr>
            </w:pPr>
            <w:r w:rsidRPr="00FA0D37">
              <w:rPr>
                <w:b/>
                <w:i/>
                <w:szCs w:val="22"/>
                <w:lang w:eastAsia="sv-SE"/>
              </w:rPr>
              <w:t>searchSpaceId</w:t>
            </w:r>
          </w:p>
          <w:p w14:paraId="4C8DDF54" w14:textId="77777777" w:rsidR="00394471" w:rsidRPr="00FA0D37" w:rsidRDefault="00394471" w:rsidP="00964CC4">
            <w:pPr>
              <w:pStyle w:val="TAL"/>
              <w:rPr>
                <w:szCs w:val="22"/>
                <w:lang w:eastAsia="sv-SE"/>
              </w:rPr>
            </w:pPr>
            <w:r w:rsidRPr="00FA0D37">
              <w:rPr>
                <w:szCs w:val="22"/>
                <w:lang w:eastAsia="sv-SE"/>
              </w:rPr>
              <w:t xml:space="preserve">Identity of the search space. SearchSpaceId = 0 identifies the </w:t>
            </w:r>
            <w:r w:rsidRPr="00FA0D37">
              <w:rPr>
                <w:i/>
                <w:szCs w:val="22"/>
                <w:lang w:eastAsia="sv-SE"/>
              </w:rPr>
              <w:t>searchSpaceZero</w:t>
            </w:r>
            <w:r w:rsidRPr="00FA0D37">
              <w:rPr>
                <w:szCs w:val="22"/>
                <w:lang w:eastAsia="sv-SE"/>
              </w:rPr>
              <w:t xml:space="preserve"> configured via PBCH (MIB) or </w:t>
            </w:r>
            <w:r w:rsidRPr="00FA0D37">
              <w:rPr>
                <w:i/>
                <w:szCs w:val="22"/>
                <w:lang w:eastAsia="sv-SE"/>
              </w:rPr>
              <w:t>ServingCellConfigCommon</w:t>
            </w:r>
            <w:r w:rsidRPr="00FA0D37">
              <w:rPr>
                <w:szCs w:val="22"/>
                <w:lang w:eastAsia="sv-SE"/>
              </w:rPr>
              <w:t xml:space="preserve"> and may hence not be used in the </w:t>
            </w:r>
            <w:r w:rsidRPr="00FA0D37">
              <w:rPr>
                <w:i/>
                <w:szCs w:val="22"/>
                <w:lang w:eastAsia="sv-SE"/>
              </w:rPr>
              <w:t>SearchSpace</w:t>
            </w:r>
            <w:r w:rsidRPr="00FA0D37">
              <w:rPr>
                <w:szCs w:val="22"/>
                <w:lang w:eastAsia="sv-SE"/>
              </w:rPr>
              <w:t xml:space="preserve"> IE. The </w:t>
            </w:r>
            <w:r w:rsidRPr="00FA0D37">
              <w:rPr>
                <w:i/>
                <w:szCs w:val="22"/>
                <w:lang w:eastAsia="sv-SE"/>
              </w:rPr>
              <w:t>searchSpaceId</w:t>
            </w:r>
            <w:r w:rsidRPr="00FA0D37">
              <w:rPr>
                <w:szCs w:val="22"/>
                <w:lang w:eastAsia="sv-SE"/>
              </w:rPr>
              <w:t xml:space="preserve"> is unique among the BWPs of a Serving Cell. In case of cross carrier scheduling, search spaces with the same </w:t>
            </w:r>
            <w:r w:rsidRPr="00FA0D37">
              <w:rPr>
                <w:i/>
                <w:szCs w:val="22"/>
                <w:lang w:eastAsia="sv-SE"/>
              </w:rPr>
              <w:t>searchSpaceId</w:t>
            </w:r>
            <w:r w:rsidRPr="00FA0D37">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394471" w:rsidRPr="00FA0D37" w:rsidRDefault="00394471" w:rsidP="00964CC4">
            <w:pPr>
              <w:pStyle w:val="TAL"/>
              <w:rPr>
                <w:szCs w:val="22"/>
                <w:lang w:eastAsia="sv-SE"/>
              </w:rPr>
            </w:pPr>
            <w:r w:rsidRPr="00FA0D37">
              <w:rPr>
                <w:szCs w:val="22"/>
                <w:lang w:eastAsia="sv-SE"/>
              </w:rPr>
              <w:t>For an IAB-MT, the search space defines how/where to search for PDCCH candidates for an IAB-MT</w:t>
            </w:r>
            <w:r w:rsidR="00AC74CA" w:rsidRPr="00FA0D37">
              <w:rPr>
                <w:szCs w:val="22"/>
                <w:lang w:eastAsia="sv-SE"/>
              </w:rPr>
              <w:t xml:space="preserve"> where </w:t>
            </w:r>
            <w:r w:rsidR="00CF53DD" w:rsidRPr="00FA0D37">
              <w:rPr>
                <w:szCs w:val="22"/>
                <w:lang w:eastAsia="sv-SE"/>
              </w:rPr>
              <w:t>e</w:t>
            </w:r>
            <w:r w:rsidRPr="00FA0D37">
              <w:rPr>
                <w:szCs w:val="22"/>
                <w:lang w:eastAsia="sv-SE"/>
              </w:rPr>
              <w:t>ach search space is associated with one ControlResearchSet</w:t>
            </w:r>
            <w:r w:rsidR="00AC74CA" w:rsidRPr="00FA0D37">
              <w:rPr>
                <w:szCs w:val="22"/>
                <w:lang w:eastAsia="sv-SE"/>
              </w:rPr>
              <w:t xml:space="preserve"> and</w:t>
            </w:r>
            <w:r w:rsidRPr="00FA0D37">
              <w:rPr>
                <w:szCs w:val="22"/>
                <w:lang w:eastAsia="sv-SE"/>
              </w:rPr>
              <w:t xml:space="preserve"> </w:t>
            </w:r>
            <w:r w:rsidR="00C15504" w:rsidRPr="00FA0D37">
              <w:rPr>
                <w:szCs w:val="22"/>
                <w:lang w:eastAsia="sv-SE"/>
              </w:rPr>
              <w:t>f</w:t>
            </w:r>
            <w:r w:rsidRPr="00FA0D37">
              <w:rPr>
                <w:szCs w:val="22"/>
                <w:lang w:eastAsia="sv-SE"/>
              </w:rPr>
              <w:t>or a scheduled cell in the case of cross carrier scheduling, except for nrofCandidates, all the optional fields are absent.</w:t>
            </w:r>
          </w:p>
        </w:tc>
      </w:tr>
      <w:tr w:rsidR="005C7FF4" w:rsidRPr="00FA0D37"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651368" w:rsidRPr="00FA0D37" w:rsidRDefault="00651368" w:rsidP="00771058">
            <w:pPr>
              <w:pStyle w:val="TAL"/>
              <w:rPr>
                <w:b/>
                <w:i/>
                <w:szCs w:val="22"/>
                <w:lang w:eastAsia="sv-SE"/>
              </w:rPr>
            </w:pPr>
            <w:r w:rsidRPr="00FA0D37">
              <w:rPr>
                <w:b/>
                <w:i/>
                <w:szCs w:val="22"/>
                <w:lang w:eastAsia="sv-SE"/>
              </w:rPr>
              <w:lastRenderedPageBreak/>
              <w:t>SearchSpaceLinkingId</w:t>
            </w:r>
          </w:p>
          <w:p w14:paraId="43EE1483" w14:textId="42BBFB0D" w:rsidR="00E36B13" w:rsidRPr="00FA0D37" w:rsidRDefault="00651368" w:rsidP="00E36B13">
            <w:pPr>
              <w:pStyle w:val="TAL"/>
              <w:rPr>
                <w:lang w:eastAsia="zh-CN"/>
              </w:rPr>
            </w:pPr>
            <w:r w:rsidRPr="00FA0D37">
              <w:rPr>
                <w:bCs/>
                <w:iCs/>
                <w:szCs w:val="22"/>
                <w:lang w:eastAsia="sv-SE"/>
              </w:rPr>
              <w:t>This parameter is used to link two search spaces of same type</w:t>
            </w:r>
            <w:r w:rsidR="007B122D" w:rsidRPr="00FA0D37">
              <w:rPr>
                <w:bCs/>
                <w:iCs/>
                <w:szCs w:val="22"/>
                <w:lang w:eastAsia="sv-SE"/>
              </w:rPr>
              <w:t xml:space="preserve"> in the same BWP</w:t>
            </w:r>
            <w:r w:rsidRPr="00FA0D37">
              <w:rPr>
                <w:bCs/>
                <w:iCs/>
                <w:szCs w:val="22"/>
                <w:lang w:eastAsia="sv-SE"/>
              </w:rPr>
              <w:t xml:space="preserve">. If two search spaces have the same </w:t>
            </w:r>
            <w:r w:rsidRPr="00FA0D37">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FA0D37">
              <w:rPr>
                <w:i/>
                <w:iCs/>
              </w:rPr>
              <w:t>searchSpaceSIB1</w:t>
            </w:r>
            <w:r w:rsidRPr="00FA0D37">
              <w:t xml:space="preserve">, </w:t>
            </w:r>
            <w:r w:rsidRPr="00FA0D37">
              <w:rPr>
                <w:i/>
                <w:iCs/>
              </w:rPr>
              <w:t>searchSpaceOtherSystemInformation</w:t>
            </w:r>
            <w:r w:rsidRPr="00FA0D37">
              <w:t xml:space="preserve">, </w:t>
            </w:r>
            <w:r w:rsidRPr="00FA0D37">
              <w:rPr>
                <w:i/>
                <w:iCs/>
              </w:rPr>
              <w:t>pagingSearchSpace</w:t>
            </w:r>
            <w:r w:rsidRPr="00FA0D37">
              <w:t xml:space="preserve">, </w:t>
            </w:r>
            <w:r w:rsidRPr="00FA0D37">
              <w:rPr>
                <w:i/>
                <w:iCs/>
              </w:rPr>
              <w:t>ra-SearchSpace</w:t>
            </w:r>
            <w:r w:rsidRPr="00FA0D37">
              <w:t xml:space="preserve">, </w:t>
            </w:r>
            <w:r w:rsidR="002A4990" w:rsidRPr="00FA0D37">
              <w:rPr>
                <w:rFonts w:eastAsia="Yu Mincho"/>
                <w:i/>
              </w:rPr>
              <w:t>searchSpaceMCCH</w:t>
            </w:r>
            <w:r w:rsidR="002A4990" w:rsidRPr="00FA0D37">
              <w:rPr>
                <w:rFonts w:eastAsia="Yu Mincho"/>
              </w:rPr>
              <w:t xml:space="preserve">, </w:t>
            </w:r>
            <w:r w:rsidR="002A4990" w:rsidRPr="00FA0D37">
              <w:rPr>
                <w:rFonts w:eastAsia="Yu Mincho"/>
                <w:i/>
              </w:rPr>
              <w:t>searchSpaceMTCH</w:t>
            </w:r>
            <w:r w:rsidRPr="00FA0D37">
              <w:t xml:space="preserve">, </w:t>
            </w:r>
            <w:r w:rsidRPr="00FA0D37">
              <w:rPr>
                <w:i/>
                <w:iCs/>
              </w:rPr>
              <w:t>peiSearchSpace</w:t>
            </w:r>
            <w:r w:rsidRPr="00FA0D37">
              <w:t xml:space="preserve">, and </w:t>
            </w:r>
            <w:r w:rsidRPr="00FA0D37">
              <w:rPr>
                <w:i/>
                <w:iCs/>
              </w:rPr>
              <w:t>sdt-SearchSpace</w:t>
            </w:r>
            <w:r w:rsidRPr="00FA0D37">
              <w:t xml:space="preserve">. SS set configured by </w:t>
            </w:r>
            <w:r w:rsidRPr="00FA0D37">
              <w:rPr>
                <w:i/>
                <w:iCs/>
              </w:rPr>
              <w:t>recoverySearchSpaceId</w:t>
            </w:r>
            <w:r w:rsidRPr="00FA0D37">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5B622402" w14:textId="1F95B76A" w:rsidR="00651368" w:rsidRPr="00FA0D37" w:rsidRDefault="00E36B13" w:rsidP="00E36B13">
            <w:pPr>
              <w:pStyle w:val="TAL"/>
            </w:pPr>
            <w:r w:rsidRPr="00FA0D37">
              <w:rPr>
                <w:lang w:eastAsia="zh-CN"/>
              </w:rPr>
              <w:t xml:space="preserve">This parameter is not applicable to search space configured with </w:t>
            </w:r>
            <w:r w:rsidRPr="00FA0D37">
              <w:rPr>
                <w:i/>
                <w:lang w:eastAsia="zh-CN"/>
              </w:rPr>
              <w:t>dci-FormatsSL</w:t>
            </w:r>
            <w:r w:rsidRPr="00FA0D37">
              <w:rPr>
                <w:lang w:eastAsia="zh-CN"/>
              </w:rPr>
              <w:t xml:space="preserve"> for monitoring format 3-0 or format 3-1 or for monitoring formats 3-0 and format 3-1.</w:t>
            </w:r>
          </w:p>
        </w:tc>
      </w:tr>
      <w:tr w:rsidR="005C7FF4" w:rsidRPr="00FA0D37"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394471" w:rsidRPr="00FA0D37" w:rsidRDefault="00394471" w:rsidP="00964CC4">
            <w:pPr>
              <w:pStyle w:val="TAL"/>
              <w:rPr>
                <w:szCs w:val="22"/>
                <w:lang w:eastAsia="sv-SE"/>
              </w:rPr>
            </w:pPr>
            <w:r w:rsidRPr="00FA0D37">
              <w:rPr>
                <w:b/>
                <w:i/>
                <w:szCs w:val="22"/>
                <w:lang w:eastAsia="sv-SE"/>
              </w:rPr>
              <w:t>searchSpaceType</w:t>
            </w:r>
          </w:p>
          <w:p w14:paraId="6AAD41D5" w14:textId="77777777" w:rsidR="00394471" w:rsidRPr="00FA0D37" w:rsidRDefault="00394471" w:rsidP="00964CC4">
            <w:pPr>
              <w:pStyle w:val="TAL"/>
              <w:rPr>
                <w:szCs w:val="22"/>
                <w:lang w:eastAsia="sv-SE"/>
              </w:rPr>
            </w:pPr>
            <w:r w:rsidRPr="00FA0D37">
              <w:rPr>
                <w:szCs w:val="22"/>
                <w:lang w:eastAsia="sv-SE"/>
              </w:rPr>
              <w:t>Indicates whether this is a common search space (present) or a UE specific search space as well as DCI formats to monitor for.</w:t>
            </w:r>
          </w:p>
        </w:tc>
      </w:tr>
      <w:tr w:rsidR="00394471" w:rsidRPr="00FA0D37"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394471" w:rsidRPr="00FA0D37" w:rsidRDefault="00394471" w:rsidP="00964CC4">
            <w:pPr>
              <w:pStyle w:val="TAL"/>
              <w:rPr>
                <w:szCs w:val="22"/>
                <w:lang w:eastAsia="sv-SE"/>
              </w:rPr>
            </w:pPr>
            <w:r w:rsidRPr="00FA0D37">
              <w:rPr>
                <w:b/>
                <w:i/>
                <w:szCs w:val="22"/>
                <w:lang w:eastAsia="sv-SE"/>
              </w:rPr>
              <w:t>ue-Specific</w:t>
            </w:r>
          </w:p>
          <w:p w14:paraId="2DFA1688" w14:textId="77777777" w:rsidR="00394471" w:rsidRPr="00FA0D37" w:rsidRDefault="00394471" w:rsidP="00964CC4">
            <w:pPr>
              <w:pStyle w:val="TAL"/>
              <w:rPr>
                <w:szCs w:val="22"/>
                <w:lang w:eastAsia="sv-SE"/>
              </w:rPr>
            </w:pPr>
            <w:r w:rsidRPr="00FA0D37">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FA0D37" w:rsidRDefault="00394471" w:rsidP="00964CC4">
            <w:pPr>
              <w:pStyle w:val="TAH"/>
              <w:rPr>
                <w:lang w:eastAsia="sv-SE"/>
              </w:rPr>
            </w:pPr>
            <w:r w:rsidRPr="00FA0D37">
              <w:rPr>
                <w:lang w:eastAsia="sv-SE"/>
              </w:rPr>
              <w:t>Explanation</w:t>
            </w:r>
          </w:p>
        </w:tc>
      </w:tr>
      <w:tr w:rsidR="005C7FF4" w:rsidRPr="00FA0D37"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FA0D37" w:rsidRDefault="00F12A49" w:rsidP="00F747EB">
            <w:pPr>
              <w:pStyle w:val="TAL"/>
              <w:rPr>
                <w:lang w:eastAsia="sv-SE"/>
              </w:rPr>
            </w:pPr>
            <w:r w:rsidRPr="00FA0D37">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FA0D37" w:rsidRDefault="00F12A49" w:rsidP="00F747EB">
            <w:pPr>
              <w:pStyle w:val="TAL"/>
              <w:rPr>
                <w:lang w:eastAsia="sv-SE"/>
              </w:rPr>
            </w:pPr>
            <w:r w:rsidRPr="00FA0D37">
              <w:rPr>
                <w:lang w:eastAsia="sv-SE"/>
              </w:rPr>
              <w:t>In PDCCH-Config, the field is optionally present</w:t>
            </w:r>
            <w:r w:rsidR="00A345A2" w:rsidRPr="00FA0D37">
              <w:rPr>
                <w:lang w:eastAsia="sv-SE"/>
              </w:rPr>
              <w:t>, Need R</w:t>
            </w:r>
            <w:r w:rsidRPr="00FA0D37">
              <w:rPr>
                <w:lang w:eastAsia="sv-SE"/>
              </w:rPr>
              <w:t>. Otherwise it is absent, Need R.</w:t>
            </w:r>
          </w:p>
        </w:tc>
      </w:tr>
      <w:tr w:rsidR="005C7FF4" w:rsidRPr="00FA0D37"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FA0D37" w:rsidRDefault="00394471" w:rsidP="00964CC4">
            <w:pPr>
              <w:pStyle w:val="TAL"/>
              <w:rPr>
                <w:i/>
                <w:lang w:eastAsia="sv-SE"/>
              </w:rPr>
            </w:pPr>
            <w:r w:rsidRPr="00FA0D3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FA0D37" w:rsidRDefault="00394471" w:rsidP="00964CC4">
            <w:pPr>
              <w:pStyle w:val="TAL"/>
              <w:rPr>
                <w:lang w:eastAsia="sv-SE"/>
              </w:rPr>
            </w:pPr>
            <w:r w:rsidRPr="00FA0D37">
              <w:rPr>
                <w:lang w:eastAsia="sv-SE"/>
              </w:rPr>
              <w:t xml:space="preserve">This field is mandatory present upon creation of a new </w:t>
            </w:r>
            <w:r w:rsidRPr="00FA0D37">
              <w:rPr>
                <w:i/>
                <w:lang w:eastAsia="sv-SE"/>
              </w:rPr>
              <w:t>SearchSpace</w:t>
            </w:r>
            <w:r w:rsidRPr="00FA0D37">
              <w:rPr>
                <w:lang w:eastAsia="sv-SE"/>
              </w:rPr>
              <w:t>. It is optionally present, Need M, otherwise.</w:t>
            </w:r>
          </w:p>
        </w:tc>
      </w:tr>
      <w:tr w:rsidR="005C7FF4" w:rsidRPr="00FA0D37"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FA0D37" w:rsidRDefault="00394471" w:rsidP="00964CC4">
            <w:pPr>
              <w:pStyle w:val="TAL"/>
              <w:rPr>
                <w:i/>
                <w:lang w:eastAsia="sv-SE"/>
              </w:rPr>
            </w:pPr>
            <w:r w:rsidRPr="00FA0D37">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1BCE7210" w:rsidR="00394471" w:rsidRPr="00FA0D37" w:rsidRDefault="00394471" w:rsidP="00964CC4">
            <w:pPr>
              <w:pStyle w:val="TAL"/>
              <w:rPr>
                <w:lang w:eastAsia="sv-SE"/>
              </w:rPr>
            </w:pPr>
            <w:r w:rsidRPr="00FA0D37">
              <w:rPr>
                <w:lang w:eastAsia="sv-SE"/>
              </w:rPr>
              <w:t xml:space="preserve">This field is mandatory present when a new </w:t>
            </w:r>
            <w:r w:rsidRPr="00FA0D37">
              <w:rPr>
                <w:i/>
                <w:lang w:eastAsia="sv-SE"/>
              </w:rPr>
              <w:t>SearchSpace</w:t>
            </w:r>
            <w:r w:rsidRPr="00FA0D37">
              <w:rPr>
                <w:lang w:eastAsia="sv-SE"/>
              </w:rPr>
              <w:t xml:space="preserve"> is set up, if the same </w:t>
            </w:r>
            <w:r w:rsidRPr="00FA0D37">
              <w:rPr>
                <w:i/>
                <w:lang w:eastAsia="sv-SE"/>
              </w:rPr>
              <w:t>SearchSpace</w:t>
            </w:r>
            <w:r w:rsidRPr="00FA0D37">
              <w:rPr>
                <w:lang w:eastAsia="sv-SE"/>
              </w:rPr>
              <w:t xml:space="preserve"> ID is not included in </w:t>
            </w:r>
            <w:r w:rsidRPr="00FA0D37">
              <w:rPr>
                <w:i/>
                <w:lang w:eastAsia="sv-SE"/>
              </w:rPr>
              <w:t>searchSpacesToAddModListExt-r16</w:t>
            </w:r>
            <w:r w:rsidRPr="00FA0D37">
              <w:rPr>
                <w:lang w:eastAsia="sv-SE"/>
              </w:rPr>
              <w:t xml:space="preserve"> of the parent IE with the field </w:t>
            </w:r>
            <w:r w:rsidRPr="00FA0D37">
              <w:rPr>
                <w:i/>
                <w:lang w:eastAsia="sv-SE"/>
              </w:rPr>
              <w:t>searchSpaceType-r16</w:t>
            </w:r>
            <w:r w:rsidRPr="00FA0D37">
              <w:rPr>
                <w:lang w:eastAsia="sv-SE"/>
              </w:rPr>
              <w:t xml:space="preserve"> </w:t>
            </w:r>
            <w:r w:rsidR="002211AC" w:rsidRPr="00FA0D37">
              <w:rPr>
                <w:lang w:eastAsia="sv-SE"/>
              </w:rPr>
              <w:t xml:space="preserve">or </w:t>
            </w:r>
            <w:r w:rsidR="002211AC" w:rsidRPr="00FA0D37">
              <w:rPr>
                <w:i/>
                <w:lang w:eastAsia="sv-SE"/>
              </w:rPr>
              <w:t>searchSpaceType-r17</w:t>
            </w:r>
            <w:r w:rsidR="002211AC" w:rsidRPr="00FA0D37">
              <w:rPr>
                <w:lang w:eastAsia="sv-SE"/>
              </w:rPr>
              <w:t xml:space="preserve"> </w:t>
            </w:r>
            <w:r w:rsidRPr="00FA0D37">
              <w:rPr>
                <w:lang w:eastAsia="sv-SE"/>
              </w:rPr>
              <w:t>included. Otherwise it is optionally present, Need M.</w:t>
            </w:r>
          </w:p>
        </w:tc>
      </w:tr>
      <w:tr w:rsidR="005C7FF4" w:rsidRPr="00FA0D37"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FA0D37" w:rsidRDefault="00394471" w:rsidP="00964CC4">
            <w:pPr>
              <w:pStyle w:val="TAL"/>
              <w:rPr>
                <w:i/>
                <w:lang w:eastAsia="sv-SE"/>
              </w:rPr>
            </w:pPr>
            <w:r w:rsidRPr="00FA0D37">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FA0D37" w:rsidRDefault="00394471" w:rsidP="00964CC4">
            <w:pPr>
              <w:pStyle w:val="TAL"/>
              <w:rPr>
                <w:lang w:eastAsia="sv-SE"/>
              </w:rPr>
            </w:pPr>
            <w:r w:rsidRPr="00FA0D37">
              <w:rPr>
                <w:lang w:eastAsia="sv-SE"/>
              </w:rPr>
              <w:t xml:space="preserve">This field is mandatory present when a new </w:t>
            </w:r>
            <w:r w:rsidRPr="00FA0D37">
              <w:rPr>
                <w:i/>
                <w:lang w:eastAsia="sv-SE"/>
              </w:rPr>
              <w:t>SearchSpace</w:t>
            </w:r>
            <w:r w:rsidRPr="00FA0D37">
              <w:rPr>
                <w:lang w:eastAsia="sv-SE"/>
              </w:rPr>
              <w:t xml:space="preserve"> is set up, if the same </w:t>
            </w:r>
            <w:r w:rsidRPr="00FA0D37">
              <w:rPr>
                <w:i/>
                <w:lang w:eastAsia="sv-SE"/>
              </w:rPr>
              <w:t>SearchSpace</w:t>
            </w:r>
            <w:r w:rsidRPr="00FA0D37">
              <w:rPr>
                <w:lang w:eastAsia="sv-SE"/>
              </w:rPr>
              <w:t xml:space="preserve"> ID is not included in </w:t>
            </w:r>
            <w:r w:rsidRPr="00FA0D37">
              <w:rPr>
                <w:i/>
                <w:lang w:eastAsia="sv-SE"/>
              </w:rPr>
              <w:t>searchSpacesToAddModListExt</w:t>
            </w:r>
            <w:r w:rsidRPr="00FA0D37">
              <w:rPr>
                <w:lang w:eastAsia="sv-SE"/>
              </w:rPr>
              <w:t xml:space="preserve"> (without suffix) of the parent IE with the field </w:t>
            </w:r>
            <w:r w:rsidRPr="00FA0D37">
              <w:rPr>
                <w:i/>
                <w:lang w:eastAsia="sv-SE"/>
              </w:rPr>
              <w:t>searchSpaceType</w:t>
            </w:r>
            <w:r w:rsidRPr="00FA0D37">
              <w:rPr>
                <w:lang w:eastAsia="sv-SE"/>
              </w:rPr>
              <w:t xml:space="preserve"> (without suffix) included.  Otherwise it is optionally present, Need M.</w:t>
            </w:r>
          </w:p>
        </w:tc>
      </w:tr>
      <w:tr w:rsidR="005C7FF4" w:rsidRPr="00FA0D37"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FA0D37" w:rsidRDefault="0021547E" w:rsidP="000830BB">
            <w:pPr>
              <w:pStyle w:val="TAL"/>
              <w:rPr>
                <w:i/>
                <w:iCs/>
                <w:lang w:eastAsia="sv-SE"/>
              </w:rPr>
            </w:pPr>
            <w:r w:rsidRPr="00FA0D37">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FA0D37" w:rsidRDefault="0021547E" w:rsidP="000830BB">
            <w:pPr>
              <w:pStyle w:val="TAL"/>
              <w:rPr>
                <w:lang w:eastAsia="sv-SE"/>
              </w:rPr>
            </w:pPr>
            <w:r w:rsidRPr="00FA0D37">
              <w:rPr>
                <w:lang w:eastAsia="sv-SE"/>
              </w:rPr>
              <w:t xml:space="preserve">This field is mandatory present </w:t>
            </w:r>
            <w:r w:rsidRPr="00FA0D37">
              <w:rPr>
                <w:rFonts w:eastAsia="宋体" w:cs="Arial"/>
                <w:szCs w:val="18"/>
                <w:lang w:eastAsia="sv-SE"/>
              </w:rPr>
              <w:t xml:space="preserve">upon creation of a new </w:t>
            </w:r>
            <w:r w:rsidRPr="00FA0D37">
              <w:rPr>
                <w:rFonts w:eastAsia="宋体" w:cs="Arial"/>
                <w:i/>
                <w:szCs w:val="18"/>
                <w:lang w:eastAsia="sv-SE"/>
              </w:rPr>
              <w:t>SearchSpace</w:t>
            </w:r>
            <w:r w:rsidRPr="00FA0D37">
              <w:rPr>
                <w:rFonts w:eastAsia="宋体" w:cs="Arial"/>
                <w:iCs/>
                <w:szCs w:val="18"/>
                <w:lang w:eastAsia="sv-SE"/>
              </w:rPr>
              <w:t xml:space="preserve"> </w:t>
            </w:r>
            <w:r w:rsidRPr="00FA0D37">
              <w:rPr>
                <w:rFonts w:eastAsia="宋体" w:cs="Arial"/>
                <w:szCs w:val="18"/>
                <w:lang w:eastAsia="sv-SE"/>
              </w:rPr>
              <w:t>if</w:t>
            </w:r>
            <w:r w:rsidRPr="00FA0D37">
              <w:rPr>
                <w:rFonts w:eastAsia="宋体" w:cs="Arial"/>
                <w:iCs/>
                <w:szCs w:val="18"/>
                <w:lang w:eastAsia="sv-SE"/>
              </w:rPr>
              <w:t xml:space="preserve"> </w:t>
            </w:r>
            <w:r w:rsidRPr="00FA0D37">
              <w:rPr>
                <w:rFonts w:eastAsia="宋体" w:cs="Arial"/>
                <w:i/>
                <w:szCs w:val="18"/>
                <w:lang w:eastAsia="sv-SE"/>
              </w:rPr>
              <w:t>monitoringSlotPeriodicityAndOffset-</w:t>
            </w:r>
            <w:r w:rsidR="00156D01" w:rsidRPr="00FA0D37">
              <w:rPr>
                <w:rFonts w:eastAsia="宋体" w:cs="Arial"/>
                <w:i/>
                <w:szCs w:val="18"/>
                <w:lang w:eastAsia="sv-SE"/>
              </w:rPr>
              <w:t>v1710</w:t>
            </w:r>
            <w:r w:rsidRPr="00FA0D37">
              <w:rPr>
                <w:rFonts w:eastAsia="宋体" w:cs="Arial"/>
                <w:iCs/>
                <w:szCs w:val="18"/>
                <w:lang w:eastAsia="sv-SE"/>
              </w:rPr>
              <w:t xml:space="preserve"> </w:t>
            </w:r>
            <w:r w:rsidRPr="00FA0D37">
              <w:rPr>
                <w:rFonts w:eastAsia="宋体" w:cs="Arial"/>
                <w:szCs w:val="18"/>
                <w:lang w:eastAsia="sv-SE"/>
              </w:rPr>
              <w:t>is not included. It is optionally present, Need M, otherwise.</w:t>
            </w:r>
          </w:p>
        </w:tc>
      </w:tr>
      <w:tr w:rsidR="005C7FF4" w:rsidRPr="00FA0D37"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FA0D37" w:rsidRDefault="0021547E" w:rsidP="000830BB">
            <w:pPr>
              <w:pStyle w:val="TAL"/>
              <w:rPr>
                <w:i/>
                <w:iCs/>
                <w:lang w:eastAsia="sv-SE"/>
              </w:rPr>
            </w:pPr>
            <w:r w:rsidRPr="00FA0D37">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FA0D37" w:rsidRDefault="0021547E" w:rsidP="000830BB">
            <w:pPr>
              <w:pStyle w:val="TAL"/>
              <w:rPr>
                <w:lang w:eastAsia="sv-SE"/>
              </w:rPr>
            </w:pPr>
            <w:r w:rsidRPr="00FA0D37">
              <w:rPr>
                <w:lang w:eastAsia="sv-SE"/>
              </w:rPr>
              <w:t xml:space="preserve">This field is mandatory present </w:t>
            </w:r>
            <w:r w:rsidRPr="00FA0D37">
              <w:rPr>
                <w:rFonts w:eastAsia="宋体" w:cs="Arial"/>
                <w:szCs w:val="18"/>
                <w:lang w:eastAsia="sv-SE"/>
              </w:rPr>
              <w:t xml:space="preserve">upon creation of a new </w:t>
            </w:r>
            <w:r w:rsidRPr="00FA0D37">
              <w:rPr>
                <w:rFonts w:eastAsia="宋体" w:cs="Arial"/>
                <w:i/>
                <w:szCs w:val="18"/>
                <w:lang w:eastAsia="sv-SE"/>
              </w:rPr>
              <w:t>SearchSpace</w:t>
            </w:r>
            <w:r w:rsidRPr="00FA0D37">
              <w:rPr>
                <w:rFonts w:eastAsia="宋体" w:cs="Arial"/>
                <w:iCs/>
                <w:szCs w:val="18"/>
                <w:lang w:eastAsia="sv-SE"/>
              </w:rPr>
              <w:t xml:space="preserve"> </w:t>
            </w:r>
            <w:r w:rsidRPr="00FA0D37">
              <w:rPr>
                <w:rFonts w:eastAsia="宋体" w:cs="Arial"/>
                <w:szCs w:val="18"/>
                <w:lang w:eastAsia="sv-SE"/>
              </w:rPr>
              <w:t>if</w:t>
            </w:r>
            <w:r w:rsidRPr="00FA0D37">
              <w:rPr>
                <w:rFonts w:eastAsia="宋体" w:cs="Arial"/>
                <w:iCs/>
                <w:szCs w:val="18"/>
                <w:lang w:eastAsia="sv-SE"/>
              </w:rPr>
              <w:t xml:space="preserve"> </w:t>
            </w:r>
            <w:r w:rsidRPr="00FA0D37">
              <w:rPr>
                <w:rFonts w:eastAsia="宋体" w:cs="Arial"/>
                <w:i/>
                <w:szCs w:val="18"/>
                <w:lang w:eastAsia="sv-SE"/>
              </w:rPr>
              <w:t>monitoringSlotPeriodicityAndOffset</w:t>
            </w:r>
            <w:r w:rsidRPr="00FA0D37">
              <w:rPr>
                <w:rFonts w:eastAsia="宋体" w:cs="Arial"/>
                <w:szCs w:val="18"/>
                <w:lang w:eastAsia="sv-SE"/>
              </w:rPr>
              <w:t xml:space="preserve"> (without suffix) is not included. It is optionally present, Need M, otherwise.</w:t>
            </w:r>
          </w:p>
        </w:tc>
      </w:tr>
      <w:tr w:rsidR="005C7FF4" w:rsidRPr="00FA0D37"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FA0D37" w:rsidRDefault="00394471" w:rsidP="00964CC4">
            <w:pPr>
              <w:pStyle w:val="TAL"/>
              <w:rPr>
                <w:i/>
                <w:lang w:eastAsia="sv-SE"/>
              </w:rPr>
            </w:pPr>
            <w:r w:rsidRPr="00FA0D37">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FA0D37" w:rsidRDefault="00394471" w:rsidP="00964CC4">
            <w:pPr>
              <w:pStyle w:val="TAL"/>
              <w:rPr>
                <w:lang w:eastAsia="sv-SE"/>
              </w:rPr>
            </w:pPr>
            <w:r w:rsidRPr="00FA0D37">
              <w:rPr>
                <w:lang w:eastAsia="sv-SE"/>
              </w:rPr>
              <w:t xml:space="preserve">This field is mandatory present upon creation of a new </w:t>
            </w:r>
            <w:r w:rsidRPr="00FA0D37">
              <w:rPr>
                <w:i/>
                <w:lang w:eastAsia="sv-SE"/>
              </w:rPr>
              <w:t>SearchSpace</w:t>
            </w:r>
            <w:r w:rsidRPr="00FA0D37">
              <w:rPr>
                <w:lang w:eastAsia="sv-SE"/>
              </w:rPr>
              <w:t>. It is absent, Need M, otherwise.</w:t>
            </w:r>
          </w:p>
        </w:tc>
      </w:tr>
      <w:tr w:rsidR="00394471" w:rsidRPr="00FA0D37"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FA0D37" w:rsidRDefault="00394471" w:rsidP="00964CC4">
            <w:pPr>
              <w:pStyle w:val="TAL"/>
              <w:rPr>
                <w:i/>
                <w:lang w:eastAsia="sv-SE"/>
              </w:rPr>
            </w:pPr>
            <w:r w:rsidRPr="00FA0D37">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FA0D37" w:rsidRDefault="00394471" w:rsidP="00964CC4">
            <w:pPr>
              <w:pStyle w:val="TAL"/>
              <w:rPr>
                <w:lang w:eastAsia="sv-SE"/>
              </w:rPr>
            </w:pPr>
            <w:r w:rsidRPr="00FA0D37">
              <w:rPr>
                <w:lang w:eastAsia="sv-SE"/>
              </w:rPr>
              <w:t>In PDCCH-Config, the field is optionally present upon creation of a new SearchSpace and absent, Need M upon reconfiguration of an existing SearchSpace.</w:t>
            </w:r>
          </w:p>
          <w:p w14:paraId="635B1761" w14:textId="77777777" w:rsidR="00394471" w:rsidRPr="00FA0D37" w:rsidRDefault="00394471" w:rsidP="00964CC4">
            <w:pPr>
              <w:pStyle w:val="TAL"/>
              <w:rPr>
                <w:lang w:eastAsia="sv-SE"/>
              </w:rPr>
            </w:pPr>
            <w:r w:rsidRPr="00FA0D37">
              <w:rPr>
                <w:lang w:eastAsia="sv-SE"/>
              </w:rPr>
              <w:t>In PDCCH-ConfigCommon, the field is absent.</w:t>
            </w:r>
          </w:p>
        </w:tc>
      </w:tr>
    </w:tbl>
    <w:p w14:paraId="73F20BDE" w14:textId="77777777" w:rsidR="00394471" w:rsidRPr="00FA0D37" w:rsidRDefault="00394471" w:rsidP="00394471"/>
    <w:p w14:paraId="27BE4C2B" w14:textId="77777777" w:rsidR="00394471" w:rsidRPr="00FA0D37" w:rsidRDefault="00394471" w:rsidP="00394471">
      <w:pPr>
        <w:pStyle w:val="4"/>
      </w:pPr>
      <w:bookmarkStart w:id="1371" w:name="_Toc60777373"/>
      <w:bookmarkStart w:id="1372" w:name="_Toc146781457"/>
      <w:r w:rsidRPr="00FA0D37">
        <w:t>–</w:t>
      </w:r>
      <w:r w:rsidRPr="00FA0D37">
        <w:tab/>
      </w:r>
      <w:r w:rsidRPr="00FA0D37">
        <w:rPr>
          <w:i/>
        </w:rPr>
        <w:t>SearchSpaceId</w:t>
      </w:r>
      <w:bookmarkEnd w:id="1371"/>
      <w:bookmarkEnd w:id="1372"/>
    </w:p>
    <w:p w14:paraId="4A7CE5A9" w14:textId="77777777" w:rsidR="00394471" w:rsidRPr="00FA0D37" w:rsidRDefault="00394471" w:rsidP="00394471">
      <w:r w:rsidRPr="00FA0D37">
        <w:t xml:space="preserve">The IE </w:t>
      </w:r>
      <w:r w:rsidRPr="00FA0D37">
        <w:rPr>
          <w:i/>
        </w:rPr>
        <w:t>SearchSpaceId</w:t>
      </w:r>
      <w:r w:rsidRPr="00FA0D37">
        <w:t xml:space="preserve"> is used to identify Search Spaces. The ID space is used across the BWPs of a Serving Cell. The search space with the </w:t>
      </w:r>
      <w:r w:rsidRPr="00FA0D37">
        <w:rPr>
          <w:i/>
        </w:rPr>
        <w:t>SearchSpaceId</w:t>
      </w:r>
      <w:r w:rsidRPr="00FA0D37">
        <w:t xml:space="preserve"> = 0 identifies the search space configured via PBCH (MIB) and in </w:t>
      </w:r>
      <w:r w:rsidRPr="00FA0D37">
        <w:rPr>
          <w:i/>
        </w:rPr>
        <w:t>ServingCellConfigCommon</w:t>
      </w:r>
      <w:r w:rsidRPr="00FA0D37">
        <w:t xml:space="preserve"> (</w:t>
      </w:r>
      <w:r w:rsidRPr="00FA0D37">
        <w:rPr>
          <w:i/>
        </w:rPr>
        <w:t>searchSpaceZero</w:t>
      </w:r>
      <w:r w:rsidRPr="00FA0D37">
        <w:t>). The number of Search Spaces per BWP is limited to 10 including the common and UE specific Search Spaces.</w:t>
      </w:r>
    </w:p>
    <w:p w14:paraId="34836EA5" w14:textId="77777777" w:rsidR="00394471" w:rsidRPr="00FA0D37" w:rsidRDefault="00394471" w:rsidP="00394471">
      <w:pPr>
        <w:pStyle w:val="TH"/>
      </w:pPr>
      <w:r w:rsidRPr="00FA0D37">
        <w:rPr>
          <w:i/>
        </w:rPr>
        <w:lastRenderedPageBreak/>
        <w:t>SearchSpaceId</w:t>
      </w:r>
      <w:r w:rsidRPr="00FA0D37">
        <w:t xml:space="preserve"> information element</w:t>
      </w:r>
    </w:p>
    <w:p w14:paraId="31387926" w14:textId="77777777" w:rsidR="00394471" w:rsidRPr="00FA0D37" w:rsidRDefault="00394471" w:rsidP="00FA0D37">
      <w:pPr>
        <w:pStyle w:val="PL"/>
        <w:rPr>
          <w:color w:val="808080"/>
        </w:rPr>
      </w:pPr>
      <w:r w:rsidRPr="00FA0D37">
        <w:rPr>
          <w:color w:val="808080"/>
        </w:rPr>
        <w:t>-- ASN1START</w:t>
      </w:r>
    </w:p>
    <w:p w14:paraId="5E8C6C09" w14:textId="77777777" w:rsidR="00394471" w:rsidRPr="00FA0D37" w:rsidRDefault="00394471" w:rsidP="00FA0D37">
      <w:pPr>
        <w:pStyle w:val="PL"/>
        <w:rPr>
          <w:color w:val="808080"/>
        </w:rPr>
      </w:pPr>
      <w:r w:rsidRPr="00FA0D37">
        <w:rPr>
          <w:color w:val="808080"/>
        </w:rPr>
        <w:t>-- TAG-SEARCHSPACEID-START</w:t>
      </w:r>
    </w:p>
    <w:p w14:paraId="4C198F2D" w14:textId="77777777" w:rsidR="00394471" w:rsidRPr="00FA0D37" w:rsidRDefault="00394471" w:rsidP="00FA0D37">
      <w:pPr>
        <w:pStyle w:val="PL"/>
      </w:pPr>
    </w:p>
    <w:p w14:paraId="0B969F7F" w14:textId="77777777" w:rsidR="00394471" w:rsidRPr="00FA0D37" w:rsidRDefault="00394471" w:rsidP="00FA0D37">
      <w:pPr>
        <w:pStyle w:val="PL"/>
      </w:pPr>
      <w:r w:rsidRPr="00FA0D37">
        <w:t xml:space="preserve">SearchSpaceId ::=                   </w:t>
      </w:r>
      <w:r w:rsidRPr="00FA0D37">
        <w:rPr>
          <w:color w:val="993366"/>
        </w:rPr>
        <w:t>INTEGER</w:t>
      </w:r>
      <w:r w:rsidRPr="00FA0D37">
        <w:t xml:space="preserve"> (0..maxNrofSearchSpaces-1)</w:t>
      </w:r>
    </w:p>
    <w:p w14:paraId="2C717F10" w14:textId="77777777" w:rsidR="00394471" w:rsidRPr="00FA0D37" w:rsidRDefault="00394471" w:rsidP="00FA0D37">
      <w:pPr>
        <w:pStyle w:val="PL"/>
      </w:pPr>
    </w:p>
    <w:p w14:paraId="19245DEF" w14:textId="77777777" w:rsidR="00394471" w:rsidRPr="00FA0D37" w:rsidRDefault="00394471" w:rsidP="00FA0D37">
      <w:pPr>
        <w:pStyle w:val="PL"/>
        <w:rPr>
          <w:color w:val="808080"/>
        </w:rPr>
      </w:pPr>
      <w:r w:rsidRPr="00FA0D37">
        <w:rPr>
          <w:color w:val="808080"/>
        </w:rPr>
        <w:t>-- TAG-SEARCHSPACEID-STOP</w:t>
      </w:r>
    </w:p>
    <w:p w14:paraId="23345A7D" w14:textId="77777777" w:rsidR="00394471" w:rsidRPr="00FA0D37" w:rsidRDefault="00394471" w:rsidP="00FA0D37">
      <w:pPr>
        <w:pStyle w:val="PL"/>
        <w:rPr>
          <w:color w:val="808080"/>
        </w:rPr>
      </w:pPr>
      <w:r w:rsidRPr="00FA0D37">
        <w:rPr>
          <w:color w:val="808080"/>
        </w:rPr>
        <w:t>-- ASN1STOP</w:t>
      </w:r>
    </w:p>
    <w:p w14:paraId="2A803DE3" w14:textId="77777777" w:rsidR="00394471" w:rsidRPr="00FA0D37" w:rsidRDefault="00394471" w:rsidP="00394471"/>
    <w:p w14:paraId="14D2E417" w14:textId="77777777" w:rsidR="00394471" w:rsidRPr="00FA0D37" w:rsidRDefault="00394471" w:rsidP="00394471">
      <w:pPr>
        <w:pStyle w:val="4"/>
      </w:pPr>
      <w:bookmarkStart w:id="1373" w:name="_Toc60777374"/>
      <w:bookmarkStart w:id="1374" w:name="_Toc146781458"/>
      <w:r w:rsidRPr="00FA0D37">
        <w:t>–</w:t>
      </w:r>
      <w:r w:rsidRPr="00FA0D37">
        <w:tab/>
      </w:r>
      <w:r w:rsidRPr="00FA0D37">
        <w:rPr>
          <w:i/>
        </w:rPr>
        <w:t>SearchSpaceZero</w:t>
      </w:r>
      <w:bookmarkEnd w:id="1373"/>
      <w:bookmarkEnd w:id="1374"/>
    </w:p>
    <w:p w14:paraId="798509CA" w14:textId="77777777" w:rsidR="00394471" w:rsidRPr="00FA0D37" w:rsidRDefault="00394471" w:rsidP="00394471">
      <w:r w:rsidRPr="00FA0D37">
        <w:t xml:space="preserve">The IE </w:t>
      </w:r>
      <w:r w:rsidRPr="00FA0D37">
        <w:rPr>
          <w:i/>
        </w:rPr>
        <w:t>SearchSpaceZero</w:t>
      </w:r>
      <w:r w:rsidRPr="00FA0D37">
        <w:t xml:space="preserve"> is used to configure SearchSpace#0 of the initial BWP (see TS 38.213 [13], clause 13).</w:t>
      </w:r>
    </w:p>
    <w:p w14:paraId="7FD57680" w14:textId="77777777" w:rsidR="00394471" w:rsidRPr="00FA0D37" w:rsidRDefault="00394471" w:rsidP="00394471">
      <w:pPr>
        <w:pStyle w:val="TH"/>
      </w:pPr>
      <w:r w:rsidRPr="00FA0D37">
        <w:rPr>
          <w:i/>
        </w:rPr>
        <w:t>SearchSpaceZero</w:t>
      </w:r>
      <w:r w:rsidRPr="00FA0D37">
        <w:t xml:space="preserve"> information element</w:t>
      </w:r>
    </w:p>
    <w:p w14:paraId="3B3010E6" w14:textId="77777777" w:rsidR="00394471" w:rsidRPr="00FA0D37" w:rsidRDefault="00394471" w:rsidP="00FA0D37">
      <w:pPr>
        <w:pStyle w:val="PL"/>
        <w:rPr>
          <w:color w:val="808080"/>
        </w:rPr>
      </w:pPr>
      <w:r w:rsidRPr="00FA0D37">
        <w:rPr>
          <w:color w:val="808080"/>
        </w:rPr>
        <w:t>-- ASN1START</w:t>
      </w:r>
    </w:p>
    <w:p w14:paraId="3E051FE5" w14:textId="77777777" w:rsidR="00394471" w:rsidRPr="00FA0D37" w:rsidRDefault="00394471" w:rsidP="00FA0D37">
      <w:pPr>
        <w:pStyle w:val="PL"/>
        <w:rPr>
          <w:color w:val="808080"/>
        </w:rPr>
      </w:pPr>
      <w:r w:rsidRPr="00FA0D37">
        <w:rPr>
          <w:color w:val="808080"/>
        </w:rPr>
        <w:t>-- TAG-SEARCHSPACEZERO-START</w:t>
      </w:r>
    </w:p>
    <w:p w14:paraId="65A573F3" w14:textId="77777777" w:rsidR="00394471" w:rsidRPr="00FA0D37" w:rsidRDefault="00394471" w:rsidP="00FA0D37">
      <w:pPr>
        <w:pStyle w:val="PL"/>
      </w:pPr>
    </w:p>
    <w:p w14:paraId="175E105D" w14:textId="77777777" w:rsidR="00394471" w:rsidRPr="00FA0D37" w:rsidRDefault="00394471" w:rsidP="00FA0D37">
      <w:pPr>
        <w:pStyle w:val="PL"/>
      </w:pPr>
      <w:r w:rsidRPr="00FA0D37">
        <w:t xml:space="preserve">SearchSpaceZero ::=                 </w:t>
      </w:r>
      <w:r w:rsidRPr="00FA0D37">
        <w:rPr>
          <w:color w:val="993366"/>
        </w:rPr>
        <w:t>INTEGER</w:t>
      </w:r>
      <w:r w:rsidRPr="00FA0D37">
        <w:t xml:space="preserve"> (0..15)</w:t>
      </w:r>
    </w:p>
    <w:p w14:paraId="0EA68685" w14:textId="77777777" w:rsidR="00394471" w:rsidRPr="00FA0D37" w:rsidRDefault="00394471" w:rsidP="00FA0D37">
      <w:pPr>
        <w:pStyle w:val="PL"/>
      </w:pPr>
    </w:p>
    <w:p w14:paraId="258361C7" w14:textId="77777777" w:rsidR="00394471" w:rsidRPr="00FA0D37" w:rsidRDefault="00394471" w:rsidP="00FA0D37">
      <w:pPr>
        <w:pStyle w:val="PL"/>
        <w:rPr>
          <w:color w:val="808080"/>
        </w:rPr>
      </w:pPr>
      <w:r w:rsidRPr="00FA0D37">
        <w:rPr>
          <w:color w:val="808080"/>
        </w:rPr>
        <w:t>-- TAG-SEARCHSPACEZERO-STOP</w:t>
      </w:r>
    </w:p>
    <w:p w14:paraId="3C4AD161" w14:textId="77777777" w:rsidR="00394471" w:rsidRPr="00FA0D37" w:rsidRDefault="00394471" w:rsidP="00FA0D37">
      <w:pPr>
        <w:pStyle w:val="PL"/>
        <w:rPr>
          <w:color w:val="808080"/>
        </w:rPr>
      </w:pPr>
      <w:r w:rsidRPr="00FA0D37">
        <w:rPr>
          <w:color w:val="808080"/>
        </w:rPr>
        <w:t>-- ASN1STOP</w:t>
      </w:r>
    </w:p>
    <w:p w14:paraId="1D4F5806" w14:textId="77777777" w:rsidR="00394471" w:rsidRPr="00FA0D37" w:rsidRDefault="00394471" w:rsidP="00394471"/>
    <w:p w14:paraId="07F0933C" w14:textId="77777777" w:rsidR="00394471" w:rsidRPr="00FA0D37" w:rsidRDefault="00394471" w:rsidP="00394471">
      <w:pPr>
        <w:pStyle w:val="4"/>
      </w:pPr>
      <w:bookmarkStart w:id="1375" w:name="_Toc60777375"/>
      <w:bookmarkStart w:id="1376" w:name="_Toc146781459"/>
      <w:r w:rsidRPr="00FA0D37">
        <w:t>–</w:t>
      </w:r>
      <w:r w:rsidRPr="00FA0D37">
        <w:tab/>
      </w:r>
      <w:r w:rsidRPr="00FA0D37">
        <w:rPr>
          <w:i/>
          <w:noProof/>
        </w:rPr>
        <w:t>SecurityAlgorithmConfig</w:t>
      </w:r>
      <w:bookmarkEnd w:id="1375"/>
      <w:bookmarkEnd w:id="1376"/>
    </w:p>
    <w:p w14:paraId="334D08FD" w14:textId="77777777" w:rsidR="00394471" w:rsidRPr="00FA0D37" w:rsidRDefault="00394471" w:rsidP="00394471">
      <w:r w:rsidRPr="00FA0D37">
        <w:t xml:space="preserve">The IE </w:t>
      </w:r>
      <w:r w:rsidRPr="00FA0D37">
        <w:rPr>
          <w:i/>
        </w:rPr>
        <w:t>SecurityAlgorithmConfig</w:t>
      </w:r>
      <w:r w:rsidRPr="00FA0D37">
        <w:t xml:space="preserve"> is used to configure AS integrity protection algorithm and AS ciphering algorithm for SRBs and DRBs.</w:t>
      </w:r>
    </w:p>
    <w:p w14:paraId="2D5EA17C" w14:textId="77777777" w:rsidR="00394471" w:rsidRPr="00FA0D37" w:rsidRDefault="00394471" w:rsidP="00394471">
      <w:pPr>
        <w:pStyle w:val="TH"/>
      </w:pPr>
      <w:r w:rsidRPr="00FA0D37">
        <w:rPr>
          <w:bCs/>
          <w:i/>
          <w:iCs/>
        </w:rPr>
        <w:t xml:space="preserve">SecurityAlgorithmConfig </w:t>
      </w:r>
      <w:r w:rsidRPr="00FA0D37">
        <w:t>information element</w:t>
      </w:r>
    </w:p>
    <w:p w14:paraId="2265E824" w14:textId="77777777" w:rsidR="00394471" w:rsidRPr="00FA0D37" w:rsidRDefault="00394471" w:rsidP="00FA0D37">
      <w:pPr>
        <w:pStyle w:val="PL"/>
        <w:rPr>
          <w:color w:val="808080"/>
        </w:rPr>
      </w:pPr>
      <w:r w:rsidRPr="00FA0D37">
        <w:rPr>
          <w:color w:val="808080"/>
        </w:rPr>
        <w:t>-- ASN1START</w:t>
      </w:r>
    </w:p>
    <w:p w14:paraId="3A877B9B" w14:textId="77777777" w:rsidR="00394471" w:rsidRPr="00FA0D37" w:rsidRDefault="00394471" w:rsidP="00FA0D37">
      <w:pPr>
        <w:pStyle w:val="PL"/>
        <w:rPr>
          <w:color w:val="808080"/>
        </w:rPr>
      </w:pPr>
      <w:r w:rsidRPr="00FA0D37">
        <w:rPr>
          <w:color w:val="808080"/>
        </w:rPr>
        <w:t>-- TAG-SECURITYALGORITHMCONFIG-START</w:t>
      </w:r>
    </w:p>
    <w:p w14:paraId="7A9DAA91" w14:textId="77777777" w:rsidR="00394471" w:rsidRPr="00FA0D37" w:rsidRDefault="00394471" w:rsidP="00FA0D37">
      <w:pPr>
        <w:pStyle w:val="PL"/>
      </w:pPr>
    </w:p>
    <w:p w14:paraId="0DA584E6" w14:textId="77777777" w:rsidR="00394471" w:rsidRPr="00FA0D37" w:rsidRDefault="00394471" w:rsidP="00FA0D37">
      <w:pPr>
        <w:pStyle w:val="PL"/>
      </w:pPr>
      <w:r w:rsidRPr="00FA0D37">
        <w:t xml:space="preserve">SecurityAlgorithmConfig ::=         </w:t>
      </w:r>
      <w:r w:rsidRPr="00FA0D37">
        <w:rPr>
          <w:color w:val="993366"/>
        </w:rPr>
        <w:t>SEQUENCE</w:t>
      </w:r>
      <w:r w:rsidRPr="00FA0D37">
        <w:t xml:space="preserve"> {</w:t>
      </w:r>
    </w:p>
    <w:p w14:paraId="21E827B9" w14:textId="77777777" w:rsidR="00394471" w:rsidRPr="00FA0D37" w:rsidRDefault="00394471" w:rsidP="00FA0D37">
      <w:pPr>
        <w:pStyle w:val="PL"/>
      </w:pPr>
      <w:r w:rsidRPr="00FA0D37">
        <w:t xml:space="preserve">    cipheringAlgorithm                  CipheringAlgorithm,</w:t>
      </w:r>
    </w:p>
    <w:p w14:paraId="6248B893" w14:textId="77777777" w:rsidR="00394471" w:rsidRPr="00FA0D37" w:rsidRDefault="00394471" w:rsidP="00FA0D37">
      <w:pPr>
        <w:pStyle w:val="PL"/>
        <w:rPr>
          <w:color w:val="808080"/>
        </w:rPr>
      </w:pPr>
      <w:r w:rsidRPr="00FA0D37">
        <w:t xml:space="preserve">    integrityProtAlgorithm              IntegrityProtAlgorithm          </w:t>
      </w:r>
      <w:r w:rsidRPr="00FA0D37">
        <w:rPr>
          <w:color w:val="993366"/>
        </w:rPr>
        <w:t>OPTIONAL</w:t>
      </w:r>
      <w:r w:rsidRPr="00FA0D37">
        <w:t xml:space="preserve">,   </w:t>
      </w:r>
      <w:r w:rsidRPr="00FA0D37">
        <w:rPr>
          <w:color w:val="808080"/>
        </w:rPr>
        <w:t>-- Need R</w:t>
      </w:r>
    </w:p>
    <w:p w14:paraId="1ADDCD79" w14:textId="77777777" w:rsidR="00394471" w:rsidRPr="00FA0D37" w:rsidRDefault="00394471" w:rsidP="00FA0D37">
      <w:pPr>
        <w:pStyle w:val="PL"/>
      </w:pPr>
      <w:r w:rsidRPr="00FA0D37">
        <w:t xml:space="preserve">    ...</w:t>
      </w:r>
    </w:p>
    <w:p w14:paraId="4A206E47" w14:textId="77777777" w:rsidR="00394471" w:rsidRPr="00FA0D37" w:rsidRDefault="00394471" w:rsidP="00FA0D37">
      <w:pPr>
        <w:pStyle w:val="PL"/>
      </w:pPr>
      <w:r w:rsidRPr="00FA0D37">
        <w:t>}</w:t>
      </w:r>
    </w:p>
    <w:p w14:paraId="59337308" w14:textId="77777777" w:rsidR="00394471" w:rsidRPr="00FA0D37" w:rsidRDefault="00394471" w:rsidP="00FA0D37">
      <w:pPr>
        <w:pStyle w:val="PL"/>
      </w:pPr>
    </w:p>
    <w:p w14:paraId="25D0E08F" w14:textId="77777777" w:rsidR="00394471" w:rsidRPr="00FA0D37" w:rsidRDefault="00394471" w:rsidP="00FA0D37">
      <w:pPr>
        <w:pStyle w:val="PL"/>
      </w:pPr>
      <w:r w:rsidRPr="00FA0D37">
        <w:t xml:space="preserve">IntegrityProtAlgorithm ::=          </w:t>
      </w:r>
      <w:r w:rsidRPr="00FA0D37">
        <w:rPr>
          <w:color w:val="993366"/>
        </w:rPr>
        <w:t>ENUMERATED</w:t>
      </w:r>
      <w:r w:rsidRPr="00FA0D37">
        <w:t xml:space="preserve"> {</w:t>
      </w:r>
    </w:p>
    <w:p w14:paraId="5943A1F1" w14:textId="77777777" w:rsidR="00394471" w:rsidRPr="00FA0D37" w:rsidRDefault="00394471" w:rsidP="00FA0D37">
      <w:pPr>
        <w:pStyle w:val="PL"/>
      </w:pPr>
      <w:r w:rsidRPr="00FA0D37">
        <w:t xml:space="preserve">                                        nia0, nia1, nia2, nia3, spare4, spare3,</w:t>
      </w:r>
    </w:p>
    <w:p w14:paraId="12A88C25" w14:textId="77777777" w:rsidR="00394471" w:rsidRPr="00FA0D37" w:rsidRDefault="00394471" w:rsidP="00FA0D37">
      <w:pPr>
        <w:pStyle w:val="PL"/>
      </w:pPr>
      <w:r w:rsidRPr="00FA0D37">
        <w:t xml:space="preserve">                                        spare2, spare1, ...}</w:t>
      </w:r>
    </w:p>
    <w:p w14:paraId="67152900" w14:textId="77777777" w:rsidR="00394471" w:rsidRPr="00FA0D37" w:rsidRDefault="00394471" w:rsidP="00FA0D37">
      <w:pPr>
        <w:pStyle w:val="PL"/>
      </w:pPr>
    </w:p>
    <w:p w14:paraId="31D2E2BB" w14:textId="77777777" w:rsidR="00394471" w:rsidRPr="00FA0D37" w:rsidRDefault="00394471" w:rsidP="00FA0D37">
      <w:pPr>
        <w:pStyle w:val="PL"/>
      </w:pPr>
      <w:r w:rsidRPr="00FA0D37">
        <w:t xml:space="preserve">CipheringAlgorithm ::=              </w:t>
      </w:r>
      <w:r w:rsidRPr="00FA0D37">
        <w:rPr>
          <w:color w:val="993366"/>
        </w:rPr>
        <w:t>ENUMERATED</w:t>
      </w:r>
      <w:r w:rsidRPr="00FA0D37">
        <w:t xml:space="preserve"> {</w:t>
      </w:r>
    </w:p>
    <w:p w14:paraId="0250F1D6" w14:textId="77777777" w:rsidR="00394471" w:rsidRPr="00FA0D37" w:rsidRDefault="00394471" w:rsidP="00FA0D37">
      <w:pPr>
        <w:pStyle w:val="PL"/>
      </w:pPr>
      <w:r w:rsidRPr="00FA0D37">
        <w:t xml:space="preserve">                                        nea0, nea1, nea2, nea3, spare4, spare3,</w:t>
      </w:r>
    </w:p>
    <w:p w14:paraId="765A404F" w14:textId="77777777" w:rsidR="00394471" w:rsidRPr="00FA0D37" w:rsidRDefault="00394471" w:rsidP="00FA0D37">
      <w:pPr>
        <w:pStyle w:val="PL"/>
      </w:pPr>
      <w:r w:rsidRPr="00FA0D37">
        <w:t xml:space="preserve">                                        spare2, spare1, ...}</w:t>
      </w:r>
    </w:p>
    <w:p w14:paraId="7F61FEEC" w14:textId="77777777" w:rsidR="00394471" w:rsidRPr="00FA0D37" w:rsidRDefault="00394471" w:rsidP="00FA0D37">
      <w:pPr>
        <w:pStyle w:val="PL"/>
      </w:pPr>
    </w:p>
    <w:p w14:paraId="6D7DADFA" w14:textId="77777777" w:rsidR="00394471" w:rsidRPr="00FA0D37" w:rsidRDefault="00394471" w:rsidP="00FA0D37">
      <w:pPr>
        <w:pStyle w:val="PL"/>
        <w:rPr>
          <w:color w:val="808080"/>
        </w:rPr>
      </w:pPr>
      <w:r w:rsidRPr="00FA0D37">
        <w:rPr>
          <w:color w:val="808080"/>
        </w:rPr>
        <w:t>-- TAG-SECURITYALGORITHMCONFIG-STOP</w:t>
      </w:r>
    </w:p>
    <w:p w14:paraId="09882E9C" w14:textId="77777777" w:rsidR="00394471" w:rsidRPr="00FA0D37" w:rsidRDefault="00394471" w:rsidP="00FA0D37">
      <w:pPr>
        <w:pStyle w:val="PL"/>
        <w:rPr>
          <w:color w:val="808080"/>
        </w:rPr>
      </w:pPr>
      <w:r w:rsidRPr="00FA0D37">
        <w:rPr>
          <w:color w:val="808080"/>
        </w:rPr>
        <w:t>-- ASN1STOP</w:t>
      </w:r>
    </w:p>
    <w:p w14:paraId="4870C19B" w14:textId="77777777" w:rsidR="00394471" w:rsidRPr="00FA0D37"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5C7FF4" w:rsidRPr="00FA0D37"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FA0D37" w:rsidRDefault="00394471" w:rsidP="00964CC4">
            <w:pPr>
              <w:pStyle w:val="TAH"/>
              <w:rPr>
                <w:lang w:eastAsia="en-GB"/>
              </w:rPr>
            </w:pPr>
            <w:r w:rsidRPr="00FA0D37">
              <w:rPr>
                <w:i/>
                <w:lang w:eastAsia="en-GB"/>
              </w:rPr>
              <w:t>SecurityAlgorithmConfig</w:t>
            </w:r>
            <w:r w:rsidRPr="00FA0D37">
              <w:rPr>
                <w:iCs/>
                <w:lang w:eastAsia="en-GB"/>
              </w:rPr>
              <w:t xml:space="preserve"> field descriptions</w:t>
            </w:r>
          </w:p>
        </w:tc>
      </w:tr>
      <w:tr w:rsidR="005C7FF4" w:rsidRPr="00FA0D37"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FA0D37" w:rsidRDefault="00394471" w:rsidP="00964CC4">
            <w:pPr>
              <w:pStyle w:val="TAL"/>
              <w:rPr>
                <w:b/>
                <w:bCs/>
                <w:i/>
                <w:lang w:eastAsia="en-GB"/>
              </w:rPr>
            </w:pPr>
            <w:r w:rsidRPr="00FA0D37">
              <w:rPr>
                <w:b/>
                <w:bCs/>
                <w:i/>
                <w:lang w:eastAsia="en-GB"/>
              </w:rPr>
              <w:t>cipheringAlgorithm</w:t>
            </w:r>
          </w:p>
          <w:p w14:paraId="19DEB9CF" w14:textId="77777777" w:rsidR="00394471" w:rsidRPr="00FA0D37" w:rsidRDefault="00394471" w:rsidP="00964CC4">
            <w:pPr>
              <w:pStyle w:val="TAL"/>
              <w:rPr>
                <w:lang w:eastAsia="en-GB"/>
              </w:rPr>
            </w:pPr>
            <w:r w:rsidRPr="00FA0D37">
              <w:rPr>
                <w:lang w:eastAsia="en-GB"/>
              </w:rPr>
              <w:t>Indicates the ciphering algorithm to be used for SRBs and DRBs</w:t>
            </w:r>
            <w:r w:rsidRPr="00FA0D37">
              <w:rPr>
                <w:iCs/>
                <w:lang w:eastAsia="en-GB"/>
              </w:rPr>
              <w:t>, as specified in TS 33.501 [11]</w:t>
            </w:r>
            <w:r w:rsidRPr="00FA0D37">
              <w:rPr>
                <w:lang w:eastAsia="en-GB"/>
              </w:rPr>
              <w:t xml:space="preserve">. The algorithms </w:t>
            </w:r>
            <w:r w:rsidRPr="00FA0D37">
              <w:rPr>
                <w:i/>
                <w:lang w:eastAsia="sv-SE"/>
              </w:rPr>
              <w:t>nea0</w:t>
            </w:r>
            <w:r w:rsidRPr="00FA0D37">
              <w:rPr>
                <w:lang w:eastAsia="en-GB"/>
              </w:rPr>
              <w:t>-</w:t>
            </w:r>
            <w:r w:rsidRPr="00FA0D37">
              <w:rPr>
                <w:i/>
                <w:lang w:eastAsia="sv-SE"/>
              </w:rPr>
              <w:t>nea3</w:t>
            </w:r>
            <w:r w:rsidRPr="00FA0D37">
              <w:rPr>
                <w:lang w:eastAsia="en-GB"/>
              </w:rPr>
              <w:t xml:space="preserve"> are identical to the LTE algorithms eea0-3. The algorithms configured for all bearers using </w:t>
            </w:r>
            <w:r w:rsidRPr="00FA0D37">
              <w:rPr>
                <w:lang w:eastAsia="zh-CN"/>
              </w:rPr>
              <w:t>master key</w:t>
            </w:r>
            <w:r w:rsidRPr="00FA0D37">
              <w:rPr>
                <w:lang w:eastAsia="en-GB"/>
              </w:rPr>
              <w:t xml:space="preserve"> shall be the same, </w:t>
            </w:r>
            <w:r w:rsidRPr="00FA0D37">
              <w:rPr>
                <w:lang w:eastAsia="sv-SE"/>
              </w:rPr>
              <w:t xml:space="preserve">and the algorithms configured for all bearers using </w:t>
            </w:r>
            <w:r w:rsidRPr="00FA0D37">
              <w:rPr>
                <w:lang w:eastAsia="zh-CN"/>
              </w:rPr>
              <w:t>secondary key, if any,</w:t>
            </w:r>
            <w:r w:rsidRPr="00FA0D37">
              <w:rPr>
                <w:lang w:eastAsia="sv-SE"/>
              </w:rPr>
              <w:t xml:space="preserve"> shall be the same. If UE is connected to E-UTRA/EPC</w:t>
            </w:r>
            <w:r w:rsidRPr="00FA0D37">
              <w:rPr>
                <w:lang w:eastAsia="en-GB"/>
              </w:rPr>
              <w:t>, this field indicates the ciphering algorithm to be used for RBs configured with NR PDCP, as specified in TS 33.501 [11].</w:t>
            </w:r>
          </w:p>
        </w:tc>
      </w:tr>
      <w:tr w:rsidR="00394471" w:rsidRPr="00FA0D37"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FA0D37" w:rsidRDefault="00394471" w:rsidP="00964CC4">
            <w:pPr>
              <w:pStyle w:val="TAL"/>
              <w:rPr>
                <w:b/>
                <w:bCs/>
                <w:i/>
                <w:lang w:eastAsia="en-GB"/>
              </w:rPr>
            </w:pPr>
            <w:r w:rsidRPr="00FA0D37">
              <w:rPr>
                <w:b/>
                <w:bCs/>
                <w:i/>
                <w:lang w:eastAsia="en-GB"/>
              </w:rPr>
              <w:t>integrityProtAlgorithm</w:t>
            </w:r>
          </w:p>
          <w:p w14:paraId="5C301BB2" w14:textId="77777777" w:rsidR="00394471" w:rsidRPr="00FA0D37" w:rsidRDefault="00394471" w:rsidP="00964CC4">
            <w:pPr>
              <w:pStyle w:val="TAL"/>
              <w:rPr>
                <w:lang w:eastAsia="sv-SE"/>
              </w:rPr>
            </w:pPr>
            <w:r w:rsidRPr="00FA0D37">
              <w:rPr>
                <w:lang w:eastAsia="en-GB"/>
              </w:rPr>
              <w:t>I</w:t>
            </w:r>
            <w:r w:rsidRPr="00FA0D37">
              <w:rPr>
                <w:lang w:eastAsia="sv-SE"/>
              </w:rPr>
              <w:t xml:space="preserve">ndicates the integrity protection algorithm to be used for SRBs and DRBs, as specified in TS 33.501 [11]. </w:t>
            </w:r>
            <w:r w:rsidRPr="00FA0D37">
              <w:rPr>
                <w:lang w:eastAsia="en-GB"/>
              </w:rPr>
              <w:t xml:space="preserve">The algorithms </w:t>
            </w:r>
            <w:r w:rsidRPr="00FA0D37">
              <w:rPr>
                <w:i/>
                <w:lang w:eastAsia="en-GB"/>
              </w:rPr>
              <w:t>nia0-nia3</w:t>
            </w:r>
            <w:r w:rsidRPr="00FA0D37">
              <w:rPr>
                <w:lang w:eastAsia="en-GB"/>
              </w:rPr>
              <w:t xml:space="preserve"> are identical to the E-UTRA algorithms </w:t>
            </w:r>
            <w:r w:rsidRPr="00FA0D37">
              <w:rPr>
                <w:i/>
                <w:lang w:eastAsia="en-GB"/>
              </w:rPr>
              <w:t>eia0-3</w:t>
            </w:r>
            <w:r w:rsidRPr="00FA0D37">
              <w:rPr>
                <w:lang w:eastAsia="en-GB"/>
              </w:rPr>
              <w:t xml:space="preserve">. The algorithms configured for all bearers using </w:t>
            </w:r>
            <w:r w:rsidRPr="00FA0D37">
              <w:rPr>
                <w:lang w:eastAsia="zh-CN"/>
              </w:rPr>
              <w:t>master key</w:t>
            </w:r>
            <w:r w:rsidRPr="00FA0D37">
              <w:rPr>
                <w:lang w:eastAsia="en-GB"/>
              </w:rPr>
              <w:t xml:space="preserve"> shall be the same </w:t>
            </w:r>
            <w:r w:rsidRPr="00FA0D37">
              <w:rPr>
                <w:lang w:eastAsia="sv-SE"/>
              </w:rPr>
              <w:t xml:space="preserve">and the algorithms configured for all bearers using </w:t>
            </w:r>
            <w:r w:rsidRPr="00FA0D37">
              <w:rPr>
                <w:lang w:eastAsia="zh-CN"/>
              </w:rPr>
              <w:t>secondary key, if any,</w:t>
            </w:r>
            <w:r w:rsidRPr="00FA0D37">
              <w:rPr>
                <w:lang w:eastAsia="sv-SE"/>
              </w:rPr>
              <w:t xml:space="preserve"> shall be the same.</w:t>
            </w:r>
            <w:r w:rsidRPr="00FA0D37">
              <w:rPr>
                <w:lang w:eastAsia="en-GB"/>
              </w:rPr>
              <w:t xml:space="preserve"> </w:t>
            </w:r>
            <w:r w:rsidRPr="00FA0D37">
              <w:rPr>
                <w:lang w:eastAsia="sv-SE"/>
              </w:rPr>
              <w:t xml:space="preserve">The network does not configure </w:t>
            </w:r>
            <w:r w:rsidRPr="00FA0D37">
              <w:rPr>
                <w:i/>
                <w:lang w:eastAsia="sv-SE"/>
              </w:rPr>
              <w:t>nia0</w:t>
            </w:r>
            <w:r w:rsidRPr="00FA0D37">
              <w:rPr>
                <w:lang w:eastAsia="sv-SE"/>
              </w:rPr>
              <w:t xml:space="preserve"> except for unauthenticated emergency sessions for unauthenticated UEs in LSM (limited service mode).</w:t>
            </w:r>
          </w:p>
          <w:p w14:paraId="3CA3501C" w14:textId="59FA8E00" w:rsidR="00394471" w:rsidRPr="00FA0D37" w:rsidRDefault="00394471" w:rsidP="00964CC4">
            <w:pPr>
              <w:pStyle w:val="TAL"/>
              <w:rPr>
                <w:lang w:eastAsia="en-GB"/>
              </w:rPr>
            </w:pPr>
            <w:r w:rsidRPr="00FA0D37">
              <w:rPr>
                <w:lang w:eastAsia="sv-SE"/>
              </w:rPr>
              <w:t>If UE is connected to E-UTRA/EPC, this field indicates</w:t>
            </w:r>
            <w:r w:rsidRPr="00FA0D37">
              <w:rPr>
                <w:lang w:eastAsia="en-GB"/>
              </w:rPr>
              <w:t xml:space="preserve"> the integrity protection algorithm to be used for SRBs configured with NR PDCP as specified in TS 33.501 [11]</w:t>
            </w:r>
            <w:r w:rsidR="007D1660" w:rsidRPr="00FA0D37">
              <w:rPr>
                <w:rFonts w:cs="Arial"/>
                <w:lang w:eastAsia="en-GB"/>
              </w:rPr>
              <w:t>, and DRBs configured with integrity protection as specified in TS 33.401 [30]</w:t>
            </w:r>
            <w:r w:rsidRPr="00FA0D37">
              <w:rPr>
                <w:lang w:eastAsia="en-GB"/>
              </w:rPr>
              <w:t xml:space="preserve">. The network does not configure </w:t>
            </w:r>
            <w:r w:rsidRPr="00FA0D37">
              <w:rPr>
                <w:i/>
                <w:lang w:eastAsia="en-GB"/>
              </w:rPr>
              <w:t>nia0</w:t>
            </w:r>
            <w:r w:rsidRPr="00FA0D37">
              <w:rPr>
                <w:lang w:eastAsia="en-GB"/>
              </w:rPr>
              <w:t xml:space="preserve"> for SRB3.</w:t>
            </w:r>
          </w:p>
        </w:tc>
      </w:tr>
    </w:tbl>
    <w:p w14:paraId="54A42408" w14:textId="77777777" w:rsidR="00394471" w:rsidRPr="00FA0D37" w:rsidRDefault="00394471" w:rsidP="00394471">
      <w:pPr>
        <w:rPr>
          <w:lang w:eastAsia="x-none"/>
        </w:rPr>
      </w:pPr>
    </w:p>
    <w:p w14:paraId="38072085" w14:textId="77777777" w:rsidR="00394471" w:rsidRPr="00FA0D37" w:rsidRDefault="00394471" w:rsidP="00394471">
      <w:pPr>
        <w:pStyle w:val="4"/>
      </w:pPr>
      <w:bookmarkStart w:id="1377" w:name="_Toc60777376"/>
      <w:bookmarkStart w:id="1378" w:name="_Toc146781460"/>
      <w:r w:rsidRPr="00FA0D37">
        <w:t>–</w:t>
      </w:r>
      <w:r w:rsidRPr="00FA0D37">
        <w:tab/>
      </w:r>
      <w:r w:rsidRPr="00FA0D37">
        <w:rPr>
          <w:i/>
          <w:noProof/>
        </w:rPr>
        <w:t>SemiStaticChannelAccessConfig</w:t>
      </w:r>
      <w:bookmarkEnd w:id="1377"/>
      <w:bookmarkEnd w:id="1378"/>
    </w:p>
    <w:p w14:paraId="04777173" w14:textId="18433FB5" w:rsidR="00394471" w:rsidRPr="00FA0D37" w:rsidRDefault="00394471" w:rsidP="00394471">
      <w:r w:rsidRPr="00FA0D37">
        <w:t xml:space="preserve">The IE </w:t>
      </w:r>
      <w:r w:rsidRPr="00FA0D37">
        <w:rPr>
          <w:i/>
        </w:rPr>
        <w:t>SemiStaticChannelAccessConfig</w:t>
      </w:r>
      <w:r w:rsidRPr="00FA0D37">
        <w:t xml:space="preserve"> is used to configure channel access parameters when the network is operating in semi-static channel acces</w:t>
      </w:r>
      <w:r w:rsidR="00C813A9" w:rsidRPr="00FA0D37">
        <w:t>s</w:t>
      </w:r>
      <w:r w:rsidRPr="00FA0D37">
        <w:t xml:space="preserve"> mode (see clause 4.3 </w:t>
      </w:r>
      <w:r w:rsidR="009A73F3" w:rsidRPr="00FA0D37">
        <w:t xml:space="preserve">in </w:t>
      </w:r>
      <w:r w:rsidRPr="00FA0D37">
        <w:t>TS 37.213 [48].</w:t>
      </w:r>
    </w:p>
    <w:p w14:paraId="7548082A" w14:textId="77777777" w:rsidR="00394471" w:rsidRPr="00FA0D37" w:rsidRDefault="00394471" w:rsidP="00394471">
      <w:pPr>
        <w:pStyle w:val="TH"/>
      </w:pPr>
      <w:r w:rsidRPr="00FA0D37">
        <w:rPr>
          <w:i/>
        </w:rPr>
        <w:t xml:space="preserve">SemiStaticChannelAccessConfig </w:t>
      </w:r>
      <w:r w:rsidRPr="00FA0D37">
        <w:t>information element</w:t>
      </w:r>
    </w:p>
    <w:p w14:paraId="676E26B8" w14:textId="77777777" w:rsidR="00394471" w:rsidRPr="00FA0D37" w:rsidRDefault="00394471" w:rsidP="00FA0D37">
      <w:pPr>
        <w:pStyle w:val="PL"/>
        <w:rPr>
          <w:color w:val="808080"/>
        </w:rPr>
      </w:pPr>
      <w:r w:rsidRPr="00FA0D37">
        <w:rPr>
          <w:color w:val="808080"/>
        </w:rPr>
        <w:t>-- ASN1START</w:t>
      </w:r>
    </w:p>
    <w:p w14:paraId="07D05D9A" w14:textId="77777777" w:rsidR="00394471" w:rsidRPr="00FA0D37" w:rsidRDefault="00394471" w:rsidP="00FA0D37">
      <w:pPr>
        <w:pStyle w:val="PL"/>
        <w:rPr>
          <w:color w:val="808080"/>
        </w:rPr>
      </w:pPr>
      <w:r w:rsidRPr="00FA0D37">
        <w:rPr>
          <w:color w:val="808080"/>
        </w:rPr>
        <w:t>-- TAG-SEMISTATICCHANNELACCESSCONFIG-START</w:t>
      </w:r>
    </w:p>
    <w:p w14:paraId="5FA3A0FB" w14:textId="77777777" w:rsidR="00394471" w:rsidRPr="00FA0D37" w:rsidRDefault="00394471" w:rsidP="00FA0D37">
      <w:pPr>
        <w:pStyle w:val="PL"/>
      </w:pPr>
    </w:p>
    <w:p w14:paraId="23639454" w14:textId="6B37D31D" w:rsidR="00394471" w:rsidRPr="00FA0D37" w:rsidRDefault="00394471" w:rsidP="00FA0D37">
      <w:pPr>
        <w:pStyle w:val="PL"/>
      </w:pPr>
      <w:r w:rsidRPr="00FA0D37">
        <w:t>SemiStaticChannelAccessConfig</w:t>
      </w:r>
      <w:r w:rsidR="00261BA1" w:rsidRPr="00FA0D37">
        <w:t>-r16</w:t>
      </w:r>
      <w:r w:rsidRPr="00FA0D37">
        <w:t xml:space="preserve"> ::=    </w:t>
      </w:r>
      <w:r w:rsidRPr="00FA0D37">
        <w:rPr>
          <w:color w:val="993366"/>
        </w:rPr>
        <w:t>SEQUENCE</w:t>
      </w:r>
      <w:r w:rsidRPr="00FA0D37">
        <w:t xml:space="preserve"> {</w:t>
      </w:r>
    </w:p>
    <w:p w14:paraId="3E3E1782" w14:textId="66EFBD32" w:rsidR="00394471" w:rsidRPr="00FA0D37" w:rsidRDefault="00394471" w:rsidP="00FA0D37">
      <w:pPr>
        <w:pStyle w:val="PL"/>
      </w:pPr>
      <w:r w:rsidRPr="00FA0D37">
        <w:t xml:space="preserve">    period</w:t>
      </w:r>
      <w:r w:rsidR="00EE1777" w:rsidRPr="00FA0D37">
        <w:t>-r16</w:t>
      </w:r>
      <w:r w:rsidRPr="00FA0D37">
        <w:t xml:space="preserve">                               </w:t>
      </w:r>
      <w:r w:rsidRPr="00FA0D37">
        <w:rPr>
          <w:color w:val="993366"/>
        </w:rPr>
        <w:t>ENUMERATED</w:t>
      </w:r>
      <w:r w:rsidRPr="00FA0D37">
        <w:t xml:space="preserve"> {ms1, ms2, ms2dot5, ms4, ms5, ms10}</w:t>
      </w:r>
    </w:p>
    <w:p w14:paraId="6F18AA85" w14:textId="77777777" w:rsidR="00394471" w:rsidRPr="00FA0D37" w:rsidRDefault="00394471" w:rsidP="00FA0D37">
      <w:pPr>
        <w:pStyle w:val="PL"/>
      </w:pPr>
      <w:r w:rsidRPr="00FA0D37">
        <w:t>}</w:t>
      </w:r>
    </w:p>
    <w:p w14:paraId="2052976C" w14:textId="77777777" w:rsidR="00394471" w:rsidRPr="00FA0D37" w:rsidRDefault="00394471" w:rsidP="00FA0D37">
      <w:pPr>
        <w:pStyle w:val="PL"/>
      </w:pPr>
    </w:p>
    <w:p w14:paraId="1B87BB51" w14:textId="77777777" w:rsidR="00394471" w:rsidRPr="00FA0D37" w:rsidRDefault="00394471" w:rsidP="00FA0D37">
      <w:pPr>
        <w:pStyle w:val="PL"/>
        <w:rPr>
          <w:color w:val="808080"/>
        </w:rPr>
      </w:pPr>
      <w:r w:rsidRPr="00FA0D37">
        <w:rPr>
          <w:color w:val="808080"/>
        </w:rPr>
        <w:t>-- TAG-SEMISTATICCHANNELACCESSCONFIG-STOP</w:t>
      </w:r>
    </w:p>
    <w:p w14:paraId="4129C4ED" w14:textId="77777777" w:rsidR="00394471" w:rsidRPr="00FA0D37" w:rsidRDefault="00394471" w:rsidP="00FA0D37">
      <w:pPr>
        <w:pStyle w:val="PL"/>
        <w:rPr>
          <w:color w:val="808080"/>
        </w:rPr>
      </w:pPr>
      <w:r w:rsidRPr="00FA0D37">
        <w:rPr>
          <w:color w:val="808080"/>
        </w:rPr>
        <w:t>-- ASN1STOP</w:t>
      </w:r>
    </w:p>
    <w:p w14:paraId="7A74A24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FA0D37" w:rsidRDefault="00394471" w:rsidP="00964CC4">
            <w:pPr>
              <w:pStyle w:val="TAH"/>
              <w:rPr>
                <w:szCs w:val="22"/>
                <w:lang w:eastAsia="sv-SE"/>
              </w:rPr>
            </w:pPr>
            <w:r w:rsidRPr="00FA0D37">
              <w:rPr>
                <w:i/>
                <w:szCs w:val="22"/>
                <w:lang w:eastAsia="sv-SE"/>
              </w:rPr>
              <w:t xml:space="preserve">SemiStaticChannelAccessConfig </w:t>
            </w:r>
            <w:r w:rsidRPr="00FA0D37">
              <w:rPr>
                <w:szCs w:val="22"/>
                <w:lang w:eastAsia="sv-SE"/>
              </w:rPr>
              <w:t>field descriptions</w:t>
            </w:r>
          </w:p>
        </w:tc>
      </w:tr>
      <w:tr w:rsidR="000830BB" w:rsidRPr="00FA0D37"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FA0D37" w:rsidRDefault="00394471" w:rsidP="00964CC4">
            <w:pPr>
              <w:pStyle w:val="TAL"/>
              <w:rPr>
                <w:b/>
                <w:bCs/>
                <w:i/>
                <w:iCs/>
                <w:szCs w:val="22"/>
                <w:lang w:eastAsia="sv-SE"/>
              </w:rPr>
            </w:pPr>
            <w:r w:rsidRPr="00FA0D37">
              <w:rPr>
                <w:b/>
                <w:bCs/>
                <w:i/>
                <w:iCs/>
                <w:szCs w:val="22"/>
                <w:lang w:eastAsia="sv-SE"/>
              </w:rPr>
              <w:t>period</w:t>
            </w:r>
          </w:p>
          <w:p w14:paraId="5B2E6A13" w14:textId="77777777" w:rsidR="00394471" w:rsidRPr="00FA0D37" w:rsidRDefault="00394471" w:rsidP="00964CC4">
            <w:pPr>
              <w:pStyle w:val="TAL"/>
              <w:rPr>
                <w:szCs w:val="22"/>
              </w:rPr>
            </w:pPr>
            <w:r w:rsidRPr="00FA0D37">
              <w:rPr>
                <w:szCs w:val="22"/>
                <w:lang w:eastAsia="sv-SE"/>
              </w:rPr>
              <w:t>Indicates the periodicity of the semi-static channel access mode (see TS 37.213 [48]</w:t>
            </w:r>
            <w:r w:rsidRPr="00FA0D37">
              <w:rPr>
                <w:szCs w:val="22"/>
              </w:rPr>
              <w:t>, clause 4.3)</w:t>
            </w:r>
            <w:r w:rsidRPr="00FA0D37">
              <w:rPr>
                <w:szCs w:val="22"/>
                <w:lang w:eastAsia="sv-SE"/>
              </w:rPr>
              <w:t>.</w:t>
            </w:r>
            <w:r w:rsidRPr="00FA0D37">
              <w:rPr>
                <w:szCs w:val="22"/>
              </w:rPr>
              <w:t xml:space="preserve"> Value ms1 corresponds to 1 ms, value ms2 corresponds to 2 ms, value ms2dot5 corresponds to 2.5 ms, and so on.</w:t>
            </w:r>
          </w:p>
        </w:tc>
      </w:tr>
    </w:tbl>
    <w:p w14:paraId="3923EA5B" w14:textId="368E54EB" w:rsidR="00394471" w:rsidRPr="00FA0D37" w:rsidRDefault="00394471" w:rsidP="00394471">
      <w:pPr>
        <w:rPr>
          <w:rFonts w:eastAsiaTheme="minorEastAsia"/>
        </w:rPr>
      </w:pPr>
    </w:p>
    <w:p w14:paraId="60D082DA" w14:textId="77777777" w:rsidR="004E4A9E" w:rsidRPr="00FA0D37" w:rsidRDefault="004E4A9E" w:rsidP="004E4A9E">
      <w:pPr>
        <w:pStyle w:val="4"/>
      </w:pPr>
      <w:bookmarkStart w:id="1379" w:name="_Toc146781461"/>
      <w:r w:rsidRPr="00FA0D37">
        <w:t>–</w:t>
      </w:r>
      <w:r w:rsidRPr="00FA0D37">
        <w:tab/>
      </w:r>
      <w:r w:rsidRPr="00FA0D37">
        <w:rPr>
          <w:i/>
          <w:noProof/>
        </w:rPr>
        <w:t>SemiStaticChannelAccessConfigUE</w:t>
      </w:r>
      <w:bookmarkEnd w:id="1379"/>
    </w:p>
    <w:p w14:paraId="3A38D151" w14:textId="77777777" w:rsidR="004E4A9E" w:rsidRPr="00FA0D37" w:rsidRDefault="004E4A9E" w:rsidP="004E4A9E">
      <w:r w:rsidRPr="00FA0D37">
        <w:t xml:space="preserve">The IE </w:t>
      </w:r>
      <w:r w:rsidRPr="00FA0D37">
        <w:rPr>
          <w:i/>
        </w:rPr>
        <w:t>SemiStaticChannelAccessConfigUE</w:t>
      </w:r>
      <w:r w:rsidRPr="00FA0D37">
        <w:t xml:space="preserve"> is used to configure channel access parameters for UE initiated semi-static channel access.</w:t>
      </w:r>
    </w:p>
    <w:p w14:paraId="30C2EE63" w14:textId="77777777" w:rsidR="004E4A9E" w:rsidRPr="00FA0D37" w:rsidRDefault="004E4A9E" w:rsidP="004E4A9E">
      <w:pPr>
        <w:pStyle w:val="TH"/>
      </w:pPr>
      <w:r w:rsidRPr="00FA0D37">
        <w:rPr>
          <w:i/>
          <w:noProof/>
        </w:rPr>
        <w:lastRenderedPageBreak/>
        <w:t>SemiStaticChannelAccessConfigUE</w:t>
      </w:r>
      <w:r w:rsidRPr="00FA0D37">
        <w:t xml:space="preserve"> information element</w:t>
      </w:r>
    </w:p>
    <w:p w14:paraId="41401D43" w14:textId="77777777" w:rsidR="004E4A9E" w:rsidRPr="00FA0D37" w:rsidRDefault="004E4A9E" w:rsidP="00FA0D37">
      <w:pPr>
        <w:pStyle w:val="PL"/>
        <w:rPr>
          <w:color w:val="808080"/>
        </w:rPr>
      </w:pPr>
      <w:r w:rsidRPr="00FA0D37">
        <w:rPr>
          <w:color w:val="808080"/>
        </w:rPr>
        <w:t>-- ASN1START</w:t>
      </w:r>
    </w:p>
    <w:p w14:paraId="53AF7040" w14:textId="77777777" w:rsidR="004E4A9E" w:rsidRPr="00FA0D37" w:rsidRDefault="004E4A9E" w:rsidP="00FA0D37">
      <w:pPr>
        <w:pStyle w:val="PL"/>
        <w:rPr>
          <w:color w:val="808080"/>
        </w:rPr>
      </w:pPr>
      <w:r w:rsidRPr="00FA0D37">
        <w:rPr>
          <w:color w:val="808080"/>
        </w:rPr>
        <w:t>-- TAG-SEMISTATICCHANNELACCESSCONFIGUE-START</w:t>
      </w:r>
    </w:p>
    <w:p w14:paraId="0C722A15" w14:textId="77777777" w:rsidR="004E4A9E" w:rsidRPr="00FA0D37" w:rsidRDefault="004E4A9E" w:rsidP="00FA0D37">
      <w:pPr>
        <w:pStyle w:val="PL"/>
      </w:pPr>
    </w:p>
    <w:p w14:paraId="12C53183" w14:textId="77777777" w:rsidR="004E4A9E" w:rsidRPr="00FA0D37" w:rsidRDefault="004E4A9E" w:rsidP="00FA0D37">
      <w:pPr>
        <w:pStyle w:val="PL"/>
      </w:pPr>
      <w:r w:rsidRPr="00FA0D37">
        <w:t xml:space="preserve">SemiStaticChannelAccessConfigUE-r17 ::=    </w:t>
      </w:r>
      <w:r w:rsidRPr="00FA0D37">
        <w:rPr>
          <w:color w:val="993366"/>
        </w:rPr>
        <w:t>SEQUENCE</w:t>
      </w:r>
      <w:r w:rsidRPr="00FA0D37">
        <w:t xml:space="preserve"> {</w:t>
      </w:r>
    </w:p>
    <w:p w14:paraId="320925D0" w14:textId="6DFE6A56" w:rsidR="004E4A9E" w:rsidRPr="00FA0D37" w:rsidRDefault="004E4A9E" w:rsidP="00FA0D37">
      <w:pPr>
        <w:pStyle w:val="PL"/>
      </w:pPr>
      <w:r w:rsidRPr="00FA0D37">
        <w:t xml:space="preserve">    periodUE-r17                               </w:t>
      </w:r>
      <w:r w:rsidRPr="00FA0D37">
        <w:rPr>
          <w:color w:val="993366"/>
        </w:rPr>
        <w:t>ENUMERATED</w:t>
      </w:r>
      <w:r w:rsidRPr="00FA0D37">
        <w:t xml:space="preserve"> {ms1, ms2, ms2dot5, ms4, ms5, ms10, spare</w:t>
      </w:r>
      <w:r w:rsidR="00CF303E" w:rsidRPr="00FA0D37">
        <w:t>2</w:t>
      </w:r>
      <w:r w:rsidRPr="00FA0D37">
        <w:t>, spare</w:t>
      </w:r>
      <w:r w:rsidR="00CF303E" w:rsidRPr="00FA0D37">
        <w:t>1</w:t>
      </w:r>
      <w:r w:rsidRPr="00FA0D37">
        <w:t>},</w:t>
      </w:r>
    </w:p>
    <w:p w14:paraId="23FC7162" w14:textId="01856032" w:rsidR="004E4A9E" w:rsidRPr="00FA0D37" w:rsidRDefault="004E4A9E" w:rsidP="00FA0D37">
      <w:pPr>
        <w:pStyle w:val="PL"/>
      </w:pPr>
      <w:r w:rsidRPr="00FA0D37">
        <w:t xml:space="preserve">    offsetUE-r17                               </w:t>
      </w:r>
      <w:r w:rsidRPr="00FA0D37">
        <w:rPr>
          <w:color w:val="993366"/>
        </w:rPr>
        <w:t>INTEGER</w:t>
      </w:r>
      <w:r w:rsidRPr="00FA0D37">
        <w:t xml:space="preserve"> (0..</w:t>
      </w:r>
      <w:r w:rsidR="00C36811" w:rsidRPr="00FA0D37">
        <w:t>559</w:t>
      </w:r>
      <w:r w:rsidRPr="00FA0D37">
        <w:t>)</w:t>
      </w:r>
    </w:p>
    <w:p w14:paraId="269687C2" w14:textId="77777777" w:rsidR="004E4A9E" w:rsidRPr="00FA0D37" w:rsidRDefault="004E4A9E" w:rsidP="00FA0D37">
      <w:pPr>
        <w:pStyle w:val="PL"/>
      </w:pPr>
      <w:r w:rsidRPr="00FA0D37">
        <w:t>}</w:t>
      </w:r>
    </w:p>
    <w:p w14:paraId="77E2D811" w14:textId="77777777" w:rsidR="004E4A9E" w:rsidRPr="00FA0D37" w:rsidRDefault="004E4A9E" w:rsidP="00FA0D37">
      <w:pPr>
        <w:pStyle w:val="PL"/>
      </w:pPr>
    </w:p>
    <w:p w14:paraId="54880607" w14:textId="77777777" w:rsidR="004E4A9E" w:rsidRPr="00FA0D37" w:rsidRDefault="004E4A9E" w:rsidP="00FA0D37">
      <w:pPr>
        <w:pStyle w:val="PL"/>
        <w:rPr>
          <w:color w:val="808080"/>
        </w:rPr>
      </w:pPr>
      <w:r w:rsidRPr="00FA0D37">
        <w:rPr>
          <w:color w:val="808080"/>
        </w:rPr>
        <w:t>-- TAG-SEMISTATICCHANNELACCESSCONFIGUE-STOP</w:t>
      </w:r>
    </w:p>
    <w:p w14:paraId="015C0C25" w14:textId="77777777" w:rsidR="004E4A9E" w:rsidRPr="00FA0D37" w:rsidRDefault="004E4A9E" w:rsidP="00FA0D37">
      <w:pPr>
        <w:pStyle w:val="PL"/>
        <w:rPr>
          <w:color w:val="808080"/>
        </w:rPr>
      </w:pPr>
      <w:r w:rsidRPr="00FA0D37">
        <w:rPr>
          <w:color w:val="808080"/>
        </w:rPr>
        <w:t>-- ASN1STOP</w:t>
      </w:r>
    </w:p>
    <w:p w14:paraId="434A9380" w14:textId="77777777" w:rsidR="004E4A9E" w:rsidRPr="00FA0D37"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FA0D37" w:rsidRDefault="004E4A9E" w:rsidP="00771058">
            <w:pPr>
              <w:pStyle w:val="TAH"/>
              <w:rPr>
                <w:szCs w:val="22"/>
                <w:lang w:eastAsia="sv-SE"/>
              </w:rPr>
            </w:pPr>
            <w:r w:rsidRPr="00FA0D37">
              <w:rPr>
                <w:i/>
                <w:szCs w:val="22"/>
                <w:lang w:eastAsia="sv-SE"/>
              </w:rPr>
              <w:t xml:space="preserve">SemiStaticChannelAccessConfigUE </w:t>
            </w:r>
            <w:r w:rsidRPr="00FA0D37">
              <w:rPr>
                <w:szCs w:val="22"/>
                <w:lang w:eastAsia="sv-SE"/>
              </w:rPr>
              <w:t>field descriptions</w:t>
            </w:r>
          </w:p>
        </w:tc>
      </w:tr>
      <w:tr w:rsidR="005C7FF4" w:rsidRPr="00FA0D37"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FA0D37" w:rsidRDefault="004E4A9E" w:rsidP="00771058">
            <w:pPr>
              <w:pStyle w:val="TAL"/>
              <w:rPr>
                <w:b/>
                <w:bCs/>
                <w:i/>
                <w:iCs/>
                <w:szCs w:val="22"/>
                <w:lang w:eastAsia="sv-SE"/>
              </w:rPr>
            </w:pPr>
            <w:r w:rsidRPr="00FA0D37">
              <w:rPr>
                <w:b/>
                <w:bCs/>
                <w:i/>
                <w:iCs/>
                <w:szCs w:val="22"/>
                <w:lang w:eastAsia="sv-SE"/>
              </w:rPr>
              <w:t>periodUE</w:t>
            </w:r>
          </w:p>
          <w:p w14:paraId="4753554B" w14:textId="77777777" w:rsidR="004E4A9E" w:rsidRPr="00FA0D37" w:rsidRDefault="004E4A9E" w:rsidP="00771058">
            <w:pPr>
              <w:pStyle w:val="TAL"/>
              <w:rPr>
                <w:szCs w:val="22"/>
              </w:rPr>
            </w:pPr>
            <w:r w:rsidRPr="00FA0D37">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FA0D37"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FA0D37" w:rsidRDefault="004E4A9E" w:rsidP="00771058">
            <w:pPr>
              <w:pStyle w:val="TAL"/>
              <w:rPr>
                <w:b/>
                <w:bCs/>
                <w:i/>
                <w:iCs/>
                <w:szCs w:val="22"/>
                <w:lang w:eastAsia="sv-SE"/>
              </w:rPr>
            </w:pPr>
            <w:r w:rsidRPr="00FA0D37">
              <w:rPr>
                <w:b/>
                <w:bCs/>
                <w:i/>
                <w:iCs/>
                <w:szCs w:val="22"/>
                <w:lang w:eastAsia="sv-SE"/>
              </w:rPr>
              <w:t>offsetUE</w:t>
            </w:r>
          </w:p>
          <w:p w14:paraId="3B6B84FB" w14:textId="2542C2DC" w:rsidR="004E4A9E" w:rsidRPr="00FA0D37" w:rsidRDefault="004E4A9E" w:rsidP="00771058">
            <w:pPr>
              <w:pStyle w:val="TAL"/>
              <w:rPr>
                <w:szCs w:val="22"/>
                <w:lang w:eastAsia="sv-SE"/>
              </w:rPr>
            </w:pPr>
            <w:r w:rsidRPr="00FA0D37">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FA0D37">
              <w:rPr>
                <w:i/>
                <w:iCs/>
                <w:szCs w:val="22"/>
                <w:lang w:eastAsia="sv-SE"/>
              </w:rPr>
              <w:t>periodUE</w:t>
            </w:r>
            <w:r w:rsidRPr="00FA0D37">
              <w:rPr>
                <w:szCs w:val="22"/>
                <w:lang w:eastAsia="sv-SE"/>
              </w:rPr>
              <w:t xml:space="preserve">. The maximum value is </w:t>
            </w:r>
            <w:r w:rsidR="00C36811" w:rsidRPr="00FA0D37">
              <w:rPr>
                <w:szCs w:val="22"/>
                <w:lang w:eastAsia="sv-SE"/>
              </w:rPr>
              <w:t>139</w:t>
            </w:r>
            <w:r w:rsidRPr="00FA0D37">
              <w:rPr>
                <w:szCs w:val="22"/>
                <w:lang w:eastAsia="sv-SE"/>
              </w:rPr>
              <w:t xml:space="preserve">, </w:t>
            </w:r>
            <w:r w:rsidR="00C36811" w:rsidRPr="00FA0D37">
              <w:rPr>
                <w:szCs w:val="22"/>
                <w:lang w:eastAsia="sv-SE"/>
              </w:rPr>
              <w:t>279</w:t>
            </w:r>
            <w:r w:rsidRPr="00FA0D37">
              <w:rPr>
                <w:szCs w:val="22"/>
                <w:lang w:eastAsia="sv-SE"/>
              </w:rPr>
              <w:t xml:space="preserve"> and </w:t>
            </w:r>
            <w:r w:rsidR="00C36811" w:rsidRPr="00FA0D37">
              <w:rPr>
                <w:szCs w:val="22"/>
                <w:lang w:eastAsia="sv-SE"/>
              </w:rPr>
              <w:t>559</w:t>
            </w:r>
            <w:r w:rsidRPr="00FA0D37">
              <w:rPr>
                <w:szCs w:val="22"/>
                <w:lang w:eastAsia="sv-SE"/>
              </w:rPr>
              <w:t xml:space="preserve"> for 15, 30 and 60 kHz subcarrier spacing, respectively.</w:t>
            </w:r>
          </w:p>
        </w:tc>
      </w:tr>
    </w:tbl>
    <w:p w14:paraId="0D5C9E94" w14:textId="77777777" w:rsidR="004E4A9E" w:rsidRPr="00FA0D37" w:rsidRDefault="004E4A9E" w:rsidP="00394471">
      <w:pPr>
        <w:rPr>
          <w:rFonts w:eastAsiaTheme="minorEastAsia"/>
        </w:rPr>
      </w:pPr>
    </w:p>
    <w:p w14:paraId="31E27755" w14:textId="77777777" w:rsidR="00394471" w:rsidRPr="00FA0D37" w:rsidRDefault="00394471" w:rsidP="00394471">
      <w:pPr>
        <w:pStyle w:val="4"/>
      </w:pPr>
      <w:bookmarkStart w:id="1380" w:name="_Toc60777377"/>
      <w:bookmarkStart w:id="1381" w:name="_Toc146781462"/>
      <w:r w:rsidRPr="00FA0D37">
        <w:t>–</w:t>
      </w:r>
      <w:r w:rsidRPr="00FA0D37">
        <w:tab/>
      </w:r>
      <w:r w:rsidRPr="00FA0D37">
        <w:rPr>
          <w:i/>
        </w:rPr>
        <w:t>Sensor-LocationInfo</w:t>
      </w:r>
      <w:bookmarkEnd w:id="1380"/>
      <w:bookmarkEnd w:id="1381"/>
    </w:p>
    <w:p w14:paraId="5808BC4A" w14:textId="77777777" w:rsidR="00394471" w:rsidRPr="00FA0D37" w:rsidRDefault="00394471" w:rsidP="00394471">
      <w:r w:rsidRPr="00FA0D37">
        <w:t xml:space="preserve">The IE </w:t>
      </w:r>
      <w:r w:rsidRPr="00FA0D37">
        <w:rPr>
          <w:i/>
        </w:rPr>
        <w:t>Sensor-LocationInfo</w:t>
      </w:r>
      <w:r w:rsidRPr="00FA0D37">
        <w:rPr>
          <w:i/>
          <w:iCs/>
        </w:rPr>
        <w:t xml:space="preserve"> </w:t>
      </w:r>
      <w:r w:rsidRPr="00FA0D37">
        <w:t xml:space="preserve">is used </w:t>
      </w:r>
      <w:r w:rsidRPr="00FA0D37">
        <w:rPr>
          <w:lang w:eastAsia="zh-CN"/>
        </w:rPr>
        <w:t xml:space="preserve">by the UE </w:t>
      </w:r>
      <w:r w:rsidRPr="00FA0D37">
        <w:t>to provide sensor information.</w:t>
      </w:r>
    </w:p>
    <w:p w14:paraId="622C3680" w14:textId="77777777" w:rsidR="00394471" w:rsidRPr="00FA0D37" w:rsidRDefault="00394471" w:rsidP="00394471">
      <w:pPr>
        <w:pStyle w:val="TH"/>
      </w:pPr>
      <w:r w:rsidRPr="00FA0D37">
        <w:rPr>
          <w:i/>
        </w:rPr>
        <w:t xml:space="preserve">Sensor-LocationInfo </w:t>
      </w:r>
      <w:r w:rsidRPr="00FA0D37">
        <w:t>information element</w:t>
      </w:r>
    </w:p>
    <w:p w14:paraId="5533C19D" w14:textId="77777777" w:rsidR="00394471" w:rsidRPr="00FA0D37" w:rsidRDefault="00394471" w:rsidP="00FA0D37">
      <w:pPr>
        <w:pStyle w:val="PL"/>
        <w:rPr>
          <w:color w:val="808080"/>
        </w:rPr>
      </w:pPr>
      <w:r w:rsidRPr="00FA0D37">
        <w:rPr>
          <w:color w:val="808080"/>
        </w:rPr>
        <w:t>-- ASN1START</w:t>
      </w:r>
    </w:p>
    <w:p w14:paraId="3D977A34" w14:textId="77777777" w:rsidR="00394471" w:rsidRPr="00FA0D37" w:rsidRDefault="00394471" w:rsidP="00FA0D37">
      <w:pPr>
        <w:pStyle w:val="PL"/>
        <w:rPr>
          <w:color w:val="808080"/>
        </w:rPr>
      </w:pPr>
      <w:r w:rsidRPr="00FA0D37">
        <w:rPr>
          <w:color w:val="808080"/>
        </w:rPr>
        <w:t>-- TAG-SENSORLOCATIONINFO-START</w:t>
      </w:r>
    </w:p>
    <w:p w14:paraId="7737F261" w14:textId="77777777" w:rsidR="00394471" w:rsidRPr="00FA0D37" w:rsidRDefault="00394471" w:rsidP="00FA0D37">
      <w:pPr>
        <w:pStyle w:val="PL"/>
      </w:pPr>
    </w:p>
    <w:p w14:paraId="385A7D1B" w14:textId="77777777" w:rsidR="00394471" w:rsidRPr="00FA0D37" w:rsidRDefault="00394471" w:rsidP="00FA0D37">
      <w:pPr>
        <w:pStyle w:val="PL"/>
        <w:rPr>
          <w:rFonts w:eastAsia="Malgun Gothic"/>
        </w:rPr>
      </w:pPr>
      <w:r w:rsidRPr="00FA0D37">
        <w:rPr>
          <w:rFonts w:eastAsia="Malgun Gothic"/>
        </w:rPr>
        <w:t xml:space="preserve">Sensor-LocationInfo-r16 ::= </w:t>
      </w:r>
      <w:r w:rsidRPr="00FA0D37">
        <w:rPr>
          <w:color w:val="993366"/>
        </w:rPr>
        <w:t>SEQUENCE</w:t>
      </w:r>
      <w:r w:rsidRPr="00FA0D37">
        <w:rPr>
          <w:rFonts w:eastAsia="Malgun Gothic"/>
        </w:rPr>
        <w:t xml:space="preserve"> {</w:t>
      </w:r>
    </w:p>
    <w:p w14:paraId="027E570B" w14:textId="77777777" w:rsidR="00394471" w:rsidRPr="00FA0D37" w:rsidRDefault="00394471" w:rsidP="00FA0D37">
      <w:pPr>
        <w:pStyle w:val="PL"/>
      </w:pPr>
      <w:r w:rsidRPr="00FA0D37">
        <w:t xml:space="preserve">    sensor-MeasurementInformation-r16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3DDF97E" w14:textId="77777777" w:rsidR="00394471" w:rsidRPr="00FA0D37" w:rsidRDefault="00394471" w:rsidP="00FA0D37">
      <w:pPr>
        <w:pStyle w:val="PL"/>
      </w:pPr>
      <w:r w:rsidRPr="00FA0D37">
        <w:t xml:space="preserve">    sensor-MotionInformation-r16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5B92EF8" w14:textId="77777777" w:rsidR="00394471" w:rsidRPr="00FA0D37" w:rsidRDefault="00394471" w:rsidP="00FA0D37">
      <w:pPr>
        <w:pStyle w:val="PL"/>
      </w:pPr>
      <w:r w:rsidRPr="00FA0D37">
        <w:t xml:space="preserve">    ...</w:t>
      </w:r>
    </w:p>
    <w:p w14:paraId="1C4BA28F" w14:textId="77777777" w:rsidR="00394471" w:rsidRPr="00FA0D37" w:rsidRDefault="00394471" w:rsidP="00FA0D37">
      <w:pPr>
        <w:pStyle w:val="PL"/>
        <w:rPr>
          <w:rFonts w:eastAsia="Malgun Gothic"/>
        </w:rPr>
      </w:pPr>
      <w:r w:rsidRPr="00FA0D37">
        <w:rPr>
          <w:rFonts w:eastAsia="Malgun Gothic"/>
        </w:rPr>
        <w:t>}</w:t>
      </w:r>
    </w:p>
    <w:p w14:paraId="1CA7FFD9" w14:textId="77777777" w:rsidR="00394471" w:rsidRPr="00FA0D37" w:rsidRDefault="00394471" w:rsidP="00FA0D37">
      <w:pPr>
        <w:pStyle w:val="PL"/>
      </w:pPr>
    </w:p>
    <w:p w14:paraId="740EEEA3" w14:textId="77777777" w:rsidR="00394471" w:rsidRPr="00FA0D37" w:rsidRDefault="00394471" w:rsidP="00FA0D37">
      <w:pPr>
        <w:pStyle w:val="PL"/>
        <w:rPr>
          <w:color w:val="808080"/>
        </w:rPr>
      </w:pPr>
      <w:r w:rsidRPr="00FA0D37">
        <w:rPr>
          <w:color w:val="808080"/>
        </w:rPr>
        <w:t>-- TAG-SENSORLOCATIONINFO-STOP</w:t>
      </w:r>
    </w:p>
    <w:p w14:paraId="7BE5D600" w14:textId="77777777" w:rsidR="00394471" w:rsidRPr="00FA0D37" w:rsidRDefault="00394471" w:rsidP="00FA0D37">
      <w:pPr>
        <w:pStyle w:val="PL"/>
        <w:rPr>
          <w:color w:val="808080"/>
        </w:rPr>
      </w:pPr>
      <w:r w:rsidRPr="00FA0D37">
        <w:rPr>
          <w:color w:val="808080"/>
        </w:rPr>
        <w:t>-- ASN1STOP</w:t>
      </w:r>
    </w:p>
    <w:p w14:paraId="3B4FC8B1"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FA0D37" w:rsidRDefault="00394471" w:rsidP="00964CC4">
            <w:pPr>
              <w:pStyle w:val="TAH"/>
              <w:rPr>
                <w:szCs w:val="22"/>
                <w:lang w:eastAsia="sv-SE"/>
              </w:rPr>
            </w:pPr>
            <w:r w:rsidRPr="00FA0D37">
              <w:rPr>
                <w:i/>
                <w:lang w:eastAsia="sv-SE"/>
              </w:rPr>
              <w:lastRenderedPageBreak/>
              <w:t>Sensor-LocationInfo</w:t>
            </w:r>
            <w:r w:rsidRPr="00FA0D37">
              <w:rPr>
                <w:i/>
                <w:szCs w:val="22"/>
                <w:lang w:eastAsia="sv-SE"/>
              </w:rPr>
              <w:t xml:space="preserve"> </w:t>
            </w:r>
            <w:r w:rsidRPr="00FA0D37">
              <w:rPr>
                <w:szCs w:val="22"/>
                <w:lang w:eastAsia="sv-SE"/>
              </w:rPr>
              <w:t>field descriptions</w:t>
            </w:r>
          </w:p>
        </w:tc>
      </w:tr>
      <w:tr w:rsidR="005C7FF4" w:rsidRPr="00FA0D37"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FA0D37" w:rsidRDefault="00394471" w:rsidP="00964CC4">
            <w:pPr>
              <w:pStyle w:val="TAL"/>
              <w:rPr>
                <w:b/>
                <w:i/>
                <w:szCs w:val="22"/>
                <w:lang w:eastAsia="sv-SE"/>
              </w:rPr>
            </w:pPr>
            <w:r w:rsidRPr="00FA0D37">
              <w:rPr>
                <w:b/>
                <w:i/>
                <w:szCs w:val="22"/>
                <w:lang w:eastAsia="sv-SE"/>
              </w:rPr>
              <w:t>sensor-MeasurementInformation</w:t>
            </w:r>
          </w:p>
          <w:p w14:paraId="05BD5AC3" w14:textId="77777777" w:rsidR="00394471" w:rsidRPr="00FA0D37" w:rsidRDefault="00394471" w:rsidP="00964CC4">
            <w:pPr>
              <w:pStyle w:val="TAL"/>
              <w:rPr>
                <w:szCs w:val="22"/>
                <w:lang w:eastAsia="sv-SE"/>
              </w:rPr>
            </w:pPr>
            <w:r w:rsidRPr="00FA0D37">
              <w:rPr>
                <w:szCs w:val="22"/>
                <w:lang w:eastAsia="sv-SE"/>
              </w:rPr>
              <w:t xml:space="preserve">This field provides barometric pressure measurements as </w:t>
            </w:r>
            <w:r w:rsidRPr="00FA0D37">
              <w:rPr>
                <w:i/>
                <w:lang w:eastAsia="sv-SE"/>
              </w:rPr>
              <w:t>Sensor-MeasurementInformation</w:t>
            </w:r>
            <w:r w:rsidRPr="00FA0D37">
              <w:rPr>
                <w:lang w:eastAsia="sv-SE"/>
              </w:rPr>
              <w:t xml:space="preserve"> </w:t>
            </w:r>
            <w:r w:rsidRPr="00FA0D37">
              <w:rPr>
                <w:lang w:eastAsia="ko-KR"/>
              </w:rPr>
              <w:t>defined in TS 37.355 [49]</w:t>
            </w:r>
            <w:r w:rsidRPr="00FA0D37">
              <w:rPr>
                <w:lang w:eastAsia="sv-SE"/>
              </w:rPr>
              <w:t xml:space="preserve">. </w:t>
            </w:r>
            <w:r w:rsidRPr="00FA0D37">
              <w:rPr>
                <w:lang w:eastAsia="en-GB"/>
              </w:rPr>
              <w:t>The first/leftmost bit of the first octet contains the most significant bit.</w:t>
            </w:r>
          </w:p>
        </w:tc>
      </w:tr>
      <w:tr w:rsidR="00F747EB" w:rsidRPr="00FA0D37"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FA0D37" w:rsidRDefault="00394471" w:rsidP="00964CC4">
            <w:pPr>
              <w:pStyle w:val="TAL"/>
              <w:rPr>
                <w:b/>
                <w:bCs/>
                <w:i/>
                <w:iCs/>
                <w:szCs w:val="22"/>
                <w:lang w:eastAsia="sv-SE"/>
              </w:rPr>
            </w:pPr>
            <w:r w:rsidRPr="00FA0D37">
              <w:rPr>
                <w:b/>
                <w:bCs/>
                <w:i/>
                <w:iCs/>
                <w:szCs w:val="22"/>
                <w:lang w:eastAsia="sv-SE"/>
              </w:rPr>
              <w:t>sensor-MotionInformation</w:t>
            </w:r>
          </w:p>
          <w:p w14:paraId="1486D03C" w14:textId="77777777" w:rsidR="00394471" w:rsidRPr="00FA0D37" w:rsidRDefault="00394471" w:rsidP="00964CC4">
            <w:pPr>
              <w:pStyle w:val="TAL"/>
              <w:rPr>
                <w:szCs w:val="22"/>
                <w:lang w:eastAsia="sv-SE"/>
              </w:rPr>
            </w:pPr>
            <w:r w:rsidRPr="00FA0D37">
              <w:rPr>
                <w:szCs w:val="22"/>
                <w:lang w:eastAsia="sv-SE"/>
              </w:rPr>
              <w:t xml:space="preserve">This field provides motion sensor measurements as </w:t>
            </w:r>
            <w:r w:rsidRPr="00FA0D37">
              <w:rPr>
                <w:i/>
                <w:lang w:eastAsia="sv-SE"/>
              </w:rPr>
              <w:t>Sensor-MotionInformation</w:t>
            </w:r>
            <w:r w:rsidRPr="00FA0D37">
              <w:rPr>
                <w:lang w:eastAsia="sv-SE"/>
              </w:rPr>
              <w:t xml:space="preserve"> </w:t>
            </w:r>
            <w:r w:rsidRPr="00FA0D37">
              <w:rPr>
                <w:lang w:eastAsia="ko-KR"/>
              </w:rPr>
              <w:t>defined in TS 37.355 [49]</w:t>
            </w:r>
            <w:r w:rsidRPr="00FA0D37">
              <w:rPr>
                <w:lang w:eastAsia="sv-SE"/>
              </w:rPr>
              <w:t xml:space="preserve">. </w:t>
            </w:r>
            <w:r w:rsidRPr="00FA0D37">
              <w:rPr>
                <w:lang w:eastAsia="en-GB"/>
              </w:rPr>
              <w:t>The first/leftmost bit of the first octet contains the most significant bit.</w:t>
            </w:r>
          </w:p>
        </w:tc>
      </w:tr>
    </w:tbl>
    <w:p w14:paraId="7F6ABE6B" w14:textId="77777777" w:rsidR="00977C82" w:rsidRPr="00FA0D37" w:rsidRDefault="00977C82" w:rsidP="00977C82"/>
    <w:p w14:paraId="3D180BDA" w14:textId="77777777" w:rsidR="00977C82" w:rsidRPr="00FA0D37" w:rsidRDefault="00977C82" w:rsidP="00977C82">
      <w:pPr>
        <w:pStyle w:val="4"/>
        <w:rPr>
          <w:i/>
          <w:noProof/>
        </w:rPr>
      </w:pPr>
      <w:bookmarkStart w:id="1382" w:name="_Toc146781463"/>
      <w:r w:rsidRPr="00FA0D37">
        <w:rPr>
          <w:i/>
          <w:noProof/>
        </w:rPr>
        <w:t>–</w:t>
      </w:r>
      <w:r w:rsidRPr="00FA0D37">
        <w:rPr>
          <w:i/>
          <w:noProof/>
        </w:rPr>
        <w:tab/>
        <w:t>ServingCellAndBWP-Id</w:t>
      </w:r>
      <w:bookmarkEnd w:id="1382"/>
    </w:p>
    <w:p w14:paraId="65A1F135" w14:textId="77777777" w:rsidR="00F747EB" w:rsidRPr="00FA0D37" w:rsidRDefault="00977C82" w:rsidP="00977C82">
      <w:r w:rsidRPr="00FA0D37">
        <w:t xml:space="preserve">The IE </w:t>
      </w:r>
      <w:r w:rsidRPr="00FA0D37">
        <w:rPr>
          <w:i/>
          <w:iCs/>
        </w:rPr>
        <w:t>ServingCellAndBWP-Id</w:t>
      </w:r>
      <w:r w:rsidRPr="00FA0D37">
        <w:t xml:space="preserve"> is used to indicate a serving cell and an uplink or a downlink BWP.</w:t>
      </w:r>
    </w:p>
    <w:p w14:paraId="2932A07F" w14:textId="10AF6F79" w:rsidR="00977C82" w:rsidRPr="00FA0D37" w:rsidRDefault="00977C82" w:rsidP="00977C82">
      <w:pPr>
        <w:pStyle w:val="TH"/>
      </w:pPr>
      <w:r w:rsidRPr="00FA0D37">
        <w:rPr>
          <w:bCs/>
          <w:i/>
          <w:iCs/>
        </w:rPr>
        <w:t xml:space="preserve">ServingCellAndBWP-Id </w:t>
      </w:r>
      <w:r w:rsidRPr="00FA0D37">
        <w:t>information element</w:t>
      </w:r>
    </w:p>
    <w:p w14:paraId="1643E641" w14:textId="77777777" w:rsidR="00977C82" w:rsidRPr="00FA0D37" w:rsidRDefault="00977C82" w:rsidP="00FA0D37">
      <w:pPr>
        <w:pStyle w:val="PL"/>
        <w:rPr>
          <w:color w:val="808080"/>
        </w:rPr>
      </w:pPr>
      <w:r w:rsidRPr="00FA0D37">
        <w:rPr>
          <w:color w:val="808080"/>
        </w:rPr>
        <w:t>-- ASN1START</w:t>
      </w:r>
    </w:p>
    <w:p w14:paraId="45E51558" w14:textId="77777777" w:rsidR="00977C82" w:rsidRPr="00FA0D37" w:rsidRDefault="00977C82" w:rsidP="00FA0D37">
      <w:pPr>
        <w:pStyle w:val="PL"/>
        <w:rPr>
          <w:color w:val="808080"/>
        </w:rPr>
      </w:pPr>
      <w:r w:rsidRPr="00FA0D37">
        <w:rPr>
          <w:color w:val="808080"/>
        </w:rPr>
        <w:t>-- TAG-SERVINGCELLANDBWP-ID-START</w:t>
      </w:r>
    </w:p>
    <w:p w14:paraId="0070A09F" w14:textId="77777777" w:rsidR="00977C82" w:rsidRPr="00FA0D37" w:rsidRDefault="00977C82" w:rsidP="00FA0D37">
      <w:pPr>
        <w:pStyle w:val="PL"/>
      </w:pPr>
    </w:p>
    <w:p w14:paraId="7BCEAA75" w14:textId="77777777" w:rsidR="00977C82" w:rsidRPr="00FA0D37" w:rsidRDefault="00977C82" w:rsidP="00FA0D37">
      <w:pPr>
        <w:pStyle w:val="PL"/>
      </w:pPr>
      <w:r w:rsidRPr="00FA0D37">
        <w:t xml:space="preserve">ServingCellAndBWP-Id-r17 ::= </w:t>
      </w:r>
      <w:r w:rsidRPr="00FA0D37">
        <w:rPr>
          <w:color w:val="993366"/>
        </w:rPr>
        <w:t>SEQUENCE</w:t>
      </w:r>
      <w:r w:rsidRPr="00FA0D37">
        <w:t xml:space="preserve"> {</w:t>
      </w:r>
    </w:p>
    <w:p w14:paraId="426E3B46" w14:textId="77777777" w:rsidR="00977C82" w:rsidRPr="00FA0D37" w:rsidRDefault="00977C82" w:rsidP="00FA0D37">
      <w:pPr>
        <w:pStyle w:val="PL"/>
      </w:pPr>
      <w:r w:rsidRPr="00FA0D37">
        <w:t xml:space="preserve">    servingcell-r17              ServCellIndex,</w:t>
      </w:r>
    </w:p>
    <w:p w14:paraId="19E4B9AF" w14:textId="77777777" w:rsidR="00977C82" w:rsidRPr="00FA0D37" w:rsidRDefault="00977C82" w:rsidP="00FA0D37">
      <w:pPr>
        <w:pStyle w:val="PL"/>
      </w:pPr>
      <w:r w:rsidRPr="00FA0D37">
        <w:t xml:space="preserve">    bwp-r17                      BWP-Id</w:t>
      </w:r>
    </w:p>
    <w:p w14:paraId="76B42C76" w14:textId="77777777" w:rsidR="00977C82" w:rsidRPr="00FA0D37" w:rsidRDefault="00977C82" w:rsidP="00FA0D37">
      <w:pPr>
        <w:pStyle w:val="PL"/>
      </w:pPr>
      <w:r w:rsidRPr="00FA0D37">
        <w:t>}</w:t>
      </w:r>
    </w:p>
    <w:p w14:paraId="791AAC6A" w14:textId="77777777" w:rsidR="00977C82" w:rsidRPr="00FA0D37" w:rsidRDefault="00977C82" w:rsidP="00FA0D37">
      <w:pPr>
        <w:pStyle w:val="PL"/>
      </w:pPr>
    </w:p>
    <w:p w14:paraId="0F5560F6" w14:textId="77777777" w:rsidR="00977C82" w:rsidRPr="00FA0D37" w:rsidRDefault="00977C82" w:rsidP="00FA0D37">
      <w:pPr>
        <w:pStyle w:val="PL"/>
        <w:rPr>
          <w:color w:val="808080"/>
        </w:rPr>
      </w:pPr>
      <w:r w:rsidRPr="00FA0D37">
        <w:rPr>
          <w:color w:val="808080"/>
        </w:rPr>
        <w:t>-- TAG-SERVINGCELLANDBWP-ID-STOP</w:t>
      </w:r>
    </w:p>
    <w:p w14:paraId="597579FC" w14:textId="77777777" w:rsidR="00977C82" w:rsidRPr="00FA0D37" w:rsidRDefault="00977C82" w:rsidP="00FA0D37">
      <w:pPr>
        <w:pStyle w:val="PL"/>
        <w:rPr>
          <w:color w:val="808080"/>
        </w:rPr>
      </w:pPr>
      <w:r w:rsidRPr="00FA0D37">
        <w:rPr>
          <w:color w:val="808080"/>
        </w:rPr>
        <w:t>-- ASN1STOP</w:t>
      </w:r>
    </w:p>
    <w:p w14:paraId="01D59304" w14:textId="77777777" w:rsidR="00394471" w:rsidRPr="00FA0D37" w:rsidRDefault="00394471" w:rsidP="00394471"/>
    <w:p w14:paraId="7975B99F" w14:textId="77777777" w:rsidR="00394471" w:rsidRPr="00FA0D37" w:rsidRDefault="00394471" w:rsidP="00394471">
      <w:pPr>
        <w:pStyle w:val="4"/>
        <w:rPr>
          <w:noProof/>
        </w:rPr>
      </w:pPr>
      <w:bookmarkStart w:id="1383" w:name="_Toc60777378"/>
      <w:bookmarkStart w:id="1384" w:name="_Toc146781464"/>
      <w:r w:rsidRPr="00FA0D37">
        <w:t>–</w:t>
      </w:r>
      <w:r w:rsidRPr="00FA0D37">
        <w:tab/>
      </w:r>
      <w:r w:rsidRPr="00FA0D37">
        <w:rPr>
          <w:i/>
        </w:rPr>
        <w:t>Serv</w:t>
      </w:r>
      <w:r w:rsidRPr="00FA0D37">
        <w:rPr>
          <w:i/>
          <w:noProof/>
        </w:rPr>
        <w:t>CellIndex</w:t>
      </w:r>
      <w:bookmarkEnd w:id="1383"/>
      <w:bookmarkEnd w:id="1384"/>
    </w:p>
    <w:p w14:paraId="345EF94F" w14:textId="4CA7B7BF" w:rsidR="00394471" w:rsidRPr="00FA0D37" w:rsidRDefault="00394471" w:rsidP="00394471">
      <w:r w:rsidRPr="00FA0D37">
        <w:t xml:space="preserve">The IE </w:t>
      </w:r>
      <w:r w:rsidRPr="00FA0D37">
        <w:rPr>
          <w:i/>
        </w:rPr>
        <w:t>ServCellIndex</w:t>
      </w:r>
      <w:r w:rsidRPr="00FA0D37">
        <w:t xml:space="preserve"> concerns a short identity, used to </w:t>
      </w:r>
      <w:r w:rsidR="00685C0F" w:rsidRPr="00FA0D37">
        <w:t xml:space="preserve">uniquely </w:t>
      </w:r>
      <w:r w:rsidRPr="00FA0D37">
        <w:t>identify a serving cell (i.e. the PCell, the PSCell or an SCell)</w:t>
      </w:r>
      <w:r w:rsidR="00685C0F" w:rsidRPr="00FA0D37">
        <w:t xml:space="preserve"> across the cell groups</w:t>
      </w:r>
      <w:r w:rsidRPr="00FA0D37">
        <w:t xml:space="preserve">. Value 0 applies for the PCell, while the </w:t>
      </w:r>
      <w:r w:rsidRPr="00FA0D37">
        <w:rPr>
          <w:i/>
        </w:rPr>
        <w:t>SCellIndex</w:t>
      </w:r>
      <w:r w:rsidRPr="00FA0D37">
        <w:t xml:space="preserve"> that has previously been assigned applies for SCells.</w:t>
      </w:r>
    </w:p>
    <w:p w14:paraId="3A8F0F83" w14:textId="77777777" w:rsidR="00394471" w:rsidRPr="00FA0D37" w:rsidRDefault="00394471" w:rsidP="00394471">
      <w:pPr>
        <w:pStyle w:val="TH"/>
      </w:pPr>
      <w:r w:rsidRPr="00FA0D37">
        <w:rPr>
          <w:bCs/>
          <w:i/>
          <w:iCs/>
        </w:rPr>
        <w:t xml:space="preserve">ServCellIndex </w:t>
      </w:r>
      <w:r w:rsidRPr="00FA0D37">
        <w:t>information element</w:t>
      </w:r>
    </w:p>
    <w:p w14:paraId="1D52D6D4" w14:textId="77777777" w:rsidR="00394471" w:rsidRPr="00FA0D37" w:rsidRDefault="00394471" w:rsidP="00FA0D37">
      <w:pPr>
        <w:pStyle w:val="PL"/>
        <w:rPr>
          <w:color w:val="808080"/>
        </w:rPr>
      </w:pPr>
      <w:r w:rsidRPr="00FA0D37">
        <w:rPr>
          <w:color w:val="808080"/>
        </w:rPr>
        <w:t>-- ASN1START</w:t>
      </w:r>
    </w:p>
    <w:p w14:paraId="0E084C60" w14:textId="77777777" w:rsidR="00394471" w:rsidRPr="00FA0D37" w:rsidRDefault="00394471" w:rsidP="00FA0D37">
      <w:pPr>
        <w:pStyle w:val="PL"/>
        <w:rPr>
          <w:color w:val="808080"/>
        </w:rPr>
      </w:pPr>
      <w:r w:rsidRPr="00FA0D37">
        <w:rPr>
          <w:color w:val="808080"/>
        </w:rPr>
        <w:t>-- TAG-SERVCELLINDEX-START</w:t>
      </w:r>
    </w:p>
    <w:p w14:paraId="6F66ABAE" w14:textId="77777777" w:rsidR="00394471" w:rsidRPr="00FA0D37" w:rsidRDefault="00394471" w:rsidP="00FA0D37">
      <w:pPr>
        <w:pStyle w:val="PL"/>
      </w:pPr>
    </w:p>
    <w:p w14:paraId="50D523E0" w14:textId="77777777" w:rsidR="00394471" w:rsidRPr="00FA0D37" w:rsidRDefault="00394471" w:rsidP="00FA0D37">
      <w:pPr>
        <w:pStyle w:val="PL"/>
      </w:pPr>
      <w:r w:rsidRPr="00FA0D37">
        <w:t xml:space="preserve">ServCellIndex ::=                   </w:t>
      </w:r>
      <w:r w:rsidRPr="00FA0D37">
        <w:rPr>
          <w:color w:val="993366"/>
        </w:rPr>
        <w:t>INTEGER</w:t>
      </w:r>
      <w:r w:rsidRPr="00FA0D37">
        <w:t xml:space="preserve"> (0..maxNrofServingCells-1)</w:t>
      </w:r>
    </w:p>
    <w:p w14:paraId="1BCE3759" w14:textId="77777777" w:rsidR="00394471" w:rsidRPr="00FA0D37" w:rsidRDefault="00394471" w:rsidP="00FA0D37">
      <w:pPr>
        <w:pStyle w:val="PL"/>
      </w:pPr>
    </w:p>
    <w:p w14:paraId="512E052F" w14:textId="77777777" w:rsidR="00394471" w:rsidRPr="00FA0D37" w:rsidRDefault="00394471" w:rsidP="00FA0D37">
      <w:pPr>
        <w:pStyle w:val="PL"/>
        <w:rPr>
          <w:color w:val="808080"/>
        </w:rPr>
      </w:pPr>
      <w:r w:rsidRPr="00FA0D37">
        <w:rPr>
          <w:color w:val="808080"/>
        </w:rPr>
        <w:t>-- TAG-SERVCELLINDEX-STOP</w:t>
      </w:r>
    </w:p>
    <w:p w14:paraId="6D89AA39" w14:textId="77777777" w:rsidR="00394471" w:rsidRPr="00FA0D37" w:rsidRDefault="00394471" w:rsidP="00FA0D37">
      <w:pPr>
        <w:pStyle w:val="PL"/>
        <w:rPr>
          <w:iCs/>
          <w:color w:val="808080"/>
        </w:rPr>
      </w:pPr>
      <w:r w:rsidRPr="00FA0D37">
        <w:rPr>
          <w:color w:val="808080"/>
        </w:rPr>
        <w:t>-- ASN1STOP</w:t>
      </w:r>
    </w:p>
    <w:p w14:paraId="2717A949" w14:textId="77777777" w:rsidR="007B122D" w:rsidRPr="00FA0D37" w:rsidRDefault="007B122D" w:rsidP="00394471"/>
    <w:p w14:paraId="1AEF9CCF" w14:textId="77777777" w:rsidR="00394471" w:rsidRPr="00FA0D37" w:rsidRDefault="00394471" w:rsidP="00394471">
      <w:pPr>
        <w:pStyle w:val="4"/>
      </w:pPr>
      <w:bookmarkStart w:id="1385" w:name="_Toc60777379"/>
      <w:bookmarkStart w:id="1386" w:name="_Toc146781465"/>
      <w:r w:rsidRPr="00FA0D37">
        <w:lastRenderedPageBreak/>
        <w:t>–</w:t>
      </w:r>
      <w:r w:rsidRPr="00FA0D37">
        <w:tab/>
      </w:r>
      <w:r w:rsidRPr="00FA0D37">
        <w:rPr>
          <w:i/>
        </w:rPr>
        <w:t>ServingCellConfig</w:t>
      </w:r>
      <w:bookmarkEnd w:id="1385"/>
      <w:bookmarkEnd w:id="1386"/>
    </w:p>
    <w:p w14:paraId="755F7947" w14:textId="77777777" w:rsidR="00394471" w:rsidRPr="00FA0D37" w:rsidRDefault="00394471" w:rsidP="00394471">
      <w:r w:rsidRPr="00FA0D37">
        <w:t xml:space="preserve">The IE </w:t>
      </w:r>
      <w:r w:rsidRPr="00FA0D37">
        <w:rPr>
          <w:i/>
        </w:rPr>
        <w:t xml:space="preserve">ServingCellConfig </w:t>
      </w:r>
      <w:r w:rsidRPr="00FA0D37">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FA0D37" w:rsidRDefault="00394471" w:rsidP="00394471">
      <w:pPr>
        <w:pStyle w:val="TH"/>
      </w:pPr>
      <w:r w:rsidRPr="00FA0D37">
        <w:rPr>
          <w:bCs/>
          <w:i/>
          <w:iCs/>
        </w:rPr>
        <w:t xml:space="preserve">ServingCellConfig </w:t>
      </w:r>
      <w:r w:rsidRPr="00FA0D37">
        <w:t>information element</w:t>
      </w:r>
    </w:p>
    <w:p w14:paraId="5EC511B6" w14:textId="77777777" w:rsidR="00394471" w:rsidRPr="00FA0D37" w:rsidRDefault="00394471" w:rsidP="00FA0D37">
      <w:pPr>
        <w:pStyle w:val="PL"/>
        <w:rPr>
          <w:color w:val="808080"/>
        </w:rPr>
      </w:pPr>
      <w:r w:rsidRPr="00FA0D37">
        <w:rPr>
          <w:color w:val="808080"/>
        </w:rPr>
        <w:t>-- ASN1START</w:t>
      </w:r>
    </w:p>
    <w:p w14:paraId="4945629C" w14:textId="77777777" w:rsidR="00394471" w:rsidRPr="00FA0D37" w:rsidRDefault="00394471" w:rsidP="00FA0D37">
      <w:pPr>
        <w:pStyle w:val="PL"/>
        <w:rPr>
          <w:color w:val="808080"/>
        </w:rPr>
      </w:pPr>
      <w:r w:rsidRPr="00FA0D37">
        <w:rPr>
          <w:color w:val="808080"/>
        </w:rPr>
        <w:t>-- TAG-SERVINGCELLCONFIG-START</w:t>
      </w:r>
    </w:p>
    <w:p w14:paraId="05E4DF4E" w14:textId="77777777" w:rsidR="00394471" w:rsidRPr="00FA0D37" w:rsidRDefault="00394471" w:rsidP="00FA0D37">
      <w:pPr>
        <w:pStyle w:val="PL"/>
      </w:pPr>
    </w:p>
    <w:p w14:paraId="385764A4" w14:textId="77777777" w:rsidR="00394471" w:rsidRPr="00FA0D37" w:rsidRDefault="00394471" w:rsidP="00FA0D37">
      <w:pPr>
        <w:pStyle w:val="PL"/>
      </w:pPr>
      <w:r w:rsidRPr="00FA0D37">
        <w:t xml:space="preserve">ServingCellConfig ::=               </w:t>
      </w:r>
      <w:r w:rsidRPr="00FA0D37">
        <w:rPr>
          <w:color w:val="993366"/>
        </w:rPr>
        <w:t>SEQUENCE</w:t>
      </w:r>
      <w:r w:rsidRPr="00FA0D37">
        <w:t xml:space="preserve"> {</w:t>
      </w:r>
    </w:p>
    <w:p w14:paraId="0BBCAEFD" w14:textId="77777777" w:rsidR="00394471" w:rsidRPr="00FA0D37" w:rsidRDefault="00394471" w:rsidP="00FA0D37">
      <w:pPr>
        <w:pStyle w:val="PL"/>
        <w:rPr>
          <w:color w:val="808080"/>
        </w:rPr>
      </w:pPr>
      <w:r w:rsidRPr="00FA0D37">
        <w:t xml:space="preserve">    tdd-UL-DL-ConfigurationDedicated    TDD-UL-DL-ConfigDedicated                                                </w:t>
      </w:r>
      <w:r w:rsidRPr="00FA0D37">
        <w:rPr>
          <w:color w:val="993366"/>
        </w:rPr>
        <w:t>OPTIONAL</w:t>
      </w:r>
      <w:r w:rsidRPr="00FA0D37">
        <w:t xml:space="preserve">,   </w:t>
      </w:r>
      <w:r w:rsidRPr="00FA0D37">
        <w:rPr>
          <w:color w:val="808080"/>
        </w:rPr>
        <w:t>-- Cond TDD</w:t>
      </w:r>
    </w:p>
    <w:p w14:paraId="6091D75B" w14:textId="77777777" w:rsidR="00394471" w:rsidRPr="00FA0D37" w:rsidRDefault="00394471" w:rsidP="00FA0D37">
      <w:pPr>
        <w:pStyle w:val="PL"/>
        <w:rPr>
          <w:color w:val="808080"/>
        </w:rPr>
      </w:pPr>
      <w:r w:rsidRPr="00FA0D37">
        <w:t xml:space="preserve">    initialDownlinkBWP                  BWP-DownlinkDedicated                                                    </w:t>
      </w:r>
      <w:r w:rsidRPr="00FA0D37">
        <w:rPr>
          <w:color w:val="993366"/>
        </w:rPr>
        <w:t>OPTIONAL</w:t>
      </w:r>
      <w:r w:rsidRPr="00FA0D37">
        <w:t xml:space="preserve">,   </w:t>
      </w:r>
      <w:r w:rsidRPr="00FA0D37">
        <w:rPr>
          <w:color w:val="808080"/>
        </w:rPr>
        <w:t>-- Need M</w:t>
      </w:r>
    </w:p>
    <w:p w14:paraId="55FFA7C8" w14:textId="77777777" w:rsidR="00394471" w:rsidRPr="00FA0D37" w:rsidRDefault="00394471" w:rsidP="00FA0D37">
      <w:pPr>
        <w:pStyle w:val="PL"/>
        <w:rPr>
          <w:color w:val="808080"/>
        </w:rPr>
      </w:pPr>
      <w:r w:rsidRPr="00FA0D37">
        <w:t xml:space="preserve">    downlinkBWP-ToReleaseList           </w:t>
      </w:r>
      <w:r w:rsidRPr="00FA0D37">
        <w:rPr>
          <w:color w:val="993366"/>
        </w:rPr>
        <w:t>SEQUENCE</w:t>
      </w:r>
      <w:r w:rsidRPr="00FA0D37">
        <w:t xml:space="preserve"> (</w:t>
      </w:r>
      <w:r w:rsidRPr="00FA0D37">
        <w:rPr>
          <w:color w:val="993366"/>
        </w:rPr>
        <w:t>SIZE</w:t>
      </w:r>
      <w:r w:rsidRPr="00FA0D37">
        <w:t xml:space="preserve"> (1..maxNrofBWPs))</w:t>
      </w:r>
      <w:r w:rsidRPr="00FA0D37">
        <w:rPr>
          <w:color w:val="993366"/>
        </w:rPr>
        <w:t xml:space="preserve"> OF</w:t>
      </w:r>
      <w:r w:rsidRPr="00FA0D37">
        <w:t xml:space="preserve"> BWP-Id                               </w:t>
      </w:r>
      <w:r w:rsidRPr="00FA0D37">
        <w:rPr>
          <w:color w:val="993366"/>
        </w:rPr>
        <w:t>OPTIONAL</w:t>
      </w:r>
      <w:r w:rsidRPr="00FA0D37">
        <w:t xml:space="preserve">,   </w:t>
      </w:r>
      <w:r w:rsidRPr="00FA0D37">
        <w:rPr>
          <w:color w:val="808080"/>
        </w:rPr>
        <w:t>-- Need N</w:t>
      </w:r>
    </w:p>
    <w:p w14:paraId="4BD488CF" w14:textId="77777777" w:rsidR="00394471" w:rsidRPr="00FA0D37" w:rsidRDefault="00394471" w:rsidP="00FA0D37">
      <w:pPr>
        <w:pStyle w:val="PL"/>
        <w:rPr>
          <w:color w:val="808080"/>
        </w:rPr>
      </w:pPr>
      <w:r w:rsidRPr="00FA0D37">
        <w:t xml:space="preserve">    downlinkBWP-ToAddModList            </w:t>
      </w:r>
      <w:r w:rsidRPr="00FA0D37">
        <w:rPr>
          <w:color w:val="993366"/>
        </w:rPr>
        <w:t>SEQUENCE</w:t>
      </w:r>
      <w:r w:rsidRPr="00FA0D37">
        <w:t xml:space="preserve"> (</w:t>
      </w:r>
      <w:r w:rsidRPr="00FA0D37">
        <w:rPr>
          <w:color w:val="993366"/>
        </w:rPr>
        <w:t>SIZE</w:t>
      </w:r>
      <w:r w:rsidRPr="00FA0D37">
        <w:t xml:space="preserve"> (1..maxNrofBWPs))</w:t>
      </w:r>
      <w:r w:rsidRPr="00FA0D37">
        <w:rPr>
          <w:color w:val="993366"/>
        </w:rPr>
        <w:t xml:space="preserve"> OF</w:t>
      </w:r>
      <w:r w:rsidRPr="00FA0D37">
        <w:t xml:space="preserve"> BWP-Downlink                         </w:t>
      </w:r>
      <w:r w:rsidRPr="00FA0D37">
        <w:rPr>
          <w:color w:val="993366"/>
        </w:rPr>
        <w:t>OPTIONAL</w:t>
      </w:r>
      <w:r w:rsidRPr="00FA0D37">
        <w:t xml:space="preserve">,   </w:t>
      </w:r>
      <w:r w:rsidRPr="00FA0D37">
        <w:rPr>
          <w:color w:val="808080"/>
        </w:rPr>
        <w:t>-- Need N</w:t>
      </w:r>
    </w:p>
    <w:p w14:paraId="33914F48" w14:textId="77777777" w:rsidR="00394471" w:rsidRPr="00FA0D37" w:rsidRDefault="00394471" w:rsidP="00FA0D37">
      <w:pPr>
        <w:pStyle w:val="PL"/>
        <w:rPr>
          <w:color w:val="808080"/>
        </w:rPr>
      </w:pPr>
      <w:r w:rsidRPr="00FA0D37">
        <w:t xml:space="preserve">    firstActiveDownlinkBWP-Id           BWP-Id                                                                   </w:t>
      </w:r>
      <w:r w:rsidRPr="00FA0D37">
        <w:rPr>
          <w:color w:val="993366"/>
        </w:rPr>
        <w:t>OPTIONAL</w:t>
      </w:r>
      <w:r w:rsidRPr="00FA0D37">
        <w:t xml:space="preserve">,   </w:t>
      </w:r>
      <w:r w:rsidRPr="00FA0D37">
        <w:rPr>
          <w:color w:val="808080"/>
        </w:rPr>
        <w:t>-- Cond SyncAndCellAdd</w:t>
      </w:r>
    </w:p>
    <w:p w14:paraId="689B4E14" w14:textId="77777777" w:rsidR="00394471" w:rsidRPr="00FA0D37" w:rsidRDefault="00394471" w:rsidP="00FA0D37">
      <w:pPr>
        <w:pStyle w:val="PL"/>
      </w:pPr>
      <w:r w:rsidRPr="00FA0D37">
        <w:t xml:space="preserve">    bwp-InactivityTimer                 </w:t>
      </w:r>
      <w:r w:rsidRPr="00FA0D37">
        <w:rPr>
          <w:color w:val="993366"/>
        </w:rPr>
        <w:t>ENUMERATED</w:t>
      </w:r>
      <w:r w:rsidRPr="00FA0D37">
        <w:t xml:space="preserve"> {ms2, ms3, ms4, ms5, ms6, ms8, ms10, ms20, ms30,</w:t>
      </w:r>
    </w:p>
    <w:p w14:paraId="290F35B3" w14:textId="77777777" w:rsidR="00394471" w:rsidRPr="00FA0D37" w:rsidRDefault="00394471" w:rsidP="00FA0D37">
      <w:pPr>
        <w:pStyle w:val="PL"/>
      </w:pPr>
      <w:r w:rsidRPr="00FA0D37">
        <w:t xml:space="preserve">                                                    ms40,ms50, ms60, ms80,ms100, ms200,ms300, ms500,</w:t>
      </w:r>
    </w:p>
    <w:p w14:paraId="478BE51A" w14:textId="77777777" w:rsidR="00394471" w:rsidRPr="00FA0D37" w:rsidRDefault="00394471" w:rsidP="00FA0D37">
      <w:pPr>
        <w:pStyle w:val="PL"/>
      </w:pPr>
      <w:r w:rsidRPr="00FA0D37">
        <w:t xml:space="preserve">                                                    ms750, ms1280, ms1920, ms2560, spare10, spare9, spare8,</w:t>
      </w:r>
    </w:p>
    <w:p w14:paraId="5CE0DE73" w14:textId="77777777" w:rsidR="00394471" w:rsidRPr="00FA0D37" w:rsidRDefault="00394471" w:rsidP="00FA0D37">
      <w:pPr>
        <w:pStyle w:val="PL"/>
        <w:rPr>
          <w:color w:val="808080"/>
        </w:rPr>
      </w:pPr>
      <w:r w:rsidRPr="00FA0D37">
        <w:t xml:space="preserve">                                                    spare7, spare6, spare5, spare4, spare3, spare2, spare1 }    </w:t>
      </w:r>
      <w:r w:rsidRPr="00FA0D37">
        <w:rPr>
          <w:color w:val="993366"/>
        </w:rPr>
        <w:t>OPTIONAL</w:t>
      </w:r>
      <w:r w:rsidRPr="00FA0D37">
        <w:t xml:space="preserve">,   </w:t>
      </w:r>
      <w:r w:rsidRPr="00FA0D37">
        <w:rPr>
          <w:color w:val="808080"/>
        </w:rPr>
        <w:t>--Need R</w:t>
      </w:r>
    </w:p>
    <w:p w14:paraId="39C2D0F9" w14:textId="77777777" w:rsidR="00394471" w:rsidRPr="00FA0D37" w:rsidRDefault="00394471" w:rsidP="00FA0D37">
      <w:pPr>
        <w:pStyle w:val="PL"/>
        <w:rPr>
          <w:color w:val="808080"/>
        </w:rPr>
      </w:pPr>
      <w:r w:rsidRPr="00FA0D37">
        <w:t xml:space="preserve">    defaultDownlinkBWP-Id               BWP-Id                                                                  </w:t>
      </w:r>
      <w:r w:rsidRPr="00FA0D37">
        <w:rPr>
          <w:color w:val="993366"/>
        </w:rPr>
        <w:t>OPTIONAL</w:t>
      </w:r>
      <w:r w:rsidRPr="00FA0D37">
        <w:t xml:space="preserve">,   </w:t>
      </w:r>
      <w:r w:rsidRPr="00FA0D37">
        <w:rPr>
          <w:color w:val="808080"/>
        </w:rPr>
        <w:t>-- Need S</w:t>
      </w:r>
    </w:p>
    <w:p w14:paraId="01D7A937" w14:textId="77777777" w:rsidR="00394471" w:rsidRPr="00FA0D37" w:rsidRDefault="00394471" w:rsidP="00FA0D37">
      <w:pPr>
        <w:pStyle w:val="PL"/>
        <w:rPr>
          <w:color w:val="808080"/>
        </w:rPr>
      </w:pPr>
      <w:r w:rsidRPr="00FA0D37">
        <w:t xml:space="preserve">    uplinkConfig                        UplinkConfig                                                            </w:t>
      </w:r>
      <w:r w:rsidRPr="00FA0D37">
        <w:rPr>
          <w:color w:val="993366"/>
        </w:rPr>
        <w:t>OPTIONAL</w:t>
      </w:r>
      <w:r w:rsidRPr="00FA0D37">
        <w:t xml:space="preserve">,   </w:t>
      </w:r>
      <w:r w:rsidRPr="00FA0D37">
        <w:rPr>
          <w:color w:val="808080"/>
        </w:rPr>
        <w:t>-- Need M</w:t>
      </w:r>
    </w:p>
    <w:p w14:paraId="498364C4" w14:textId="77777777" w:rsidR="00394471" w:rsidRPr="00FA0D37" w:rsidRDefault="00394471" w:rsidP="00FA0D37">
      <w:pPr>
        <w:pStyle w:val="PL"/>
        <w:rPr>
          <w:color w:val="808080"/>
        </w:rPr>
      </w:pPr>
      <w:r w:rsidRPr="00FA0D37">
        <w:t xml:space="preserve">    supplementaryUplink                 UplinkConfig                                                            </w:t>
      </w:r>
      <w:r w:rsidRPr="00FA0D37">
        <w:rPr>
          <w:color w:val="993366"/>
        </w:rPr>
        <w:t>OPTIONAL</w:t>
      </w:r>
      <w:r w:rsidRPr="00FA0D37">
        <w:t xml:space="preserve">,   </w:t>
      </w:r>
      <w:r w:rsidRPr="00FA0D37">
        <w:rPr>
          <w:color w:val="808080"/>
        </w:rPr>
        <w:t>-- Need M</w:t>
      </w:r>
    </w:p>
    <w:p w14:paraId="50BD9F7A" w14:textId="77777777" w:rsidR="00394471" w:rsidRPr="00FA0D37" w:rsidRDefault="00394471" w:rsidP="00FA0D37">
      <w:pPr>
        <w:pStyle w:val="PL"/>
        <w:rPr>
          <w:color w:val="808080"/>
        </w:rPr>
      </w:pPr>
      <w:r w:rsidRPr="00FA0D37">
        <w:t xml:space="preserve">    pdcch-ServingCellConfig             SetupRelease { PDCCH-ServingCellConfig }                                </w:t>
      </w:r>
      <w:r w:rsidRPr="00FA0D37">
        <w:rPr>
          <w:color w:val="993366"/>
        </w:rPr>
        <w:t>OPTIONAL</w:t>
      </w:r>
      <w:r w:rsidRPr="00FA0D37">
        <w:t xml:space="preserve">,   </w:t>
      </w:r>
      <w:r w:rsidRPr="00FA0D37">
        <w:rPr>
          <w:color w:val="808080"/>
        </w:rPr>
        <w:t>-- Need M</w:t>
      </w:r>
    </w:p>
    <w:p w14:paraId="159BE7DC" w14:textId="77777777" w:rsidR="00394471" w:rsidRPr="00FA0D37" w:rsidRDefault="00394471" w:rsidP="00FA0D37">
      <w:pPr>
        <w:pStyle w:val="PL"/>
        <w:rPr>
          <w:color w:val="808080"/>
        </w:rPr>
      </w:pPr>
      <w:r w:rsidRPr="00FA0D37">
        <w:t xml:space="preserve">    pdsch-ServingCellConfig             SetupRelease { PDSCH-ServingCellConfig }                                </w:t>
      </w:r>
      <w:r w:rsidRPr="00FA0D37">
        <w:rPr>
          <w:color w:val="993366"/>
        </w:rPr>
        <w:t>OPTIONAL</w:t>
      </w:r>
      <w:r w:rsidRPr="00FA0D37">
        <w:t xml:space="preserve">,   </w:t>
      </w:r>
      <w:r w:rsidRPr="00FA0D37">
        <w:rPr>
          <w:color w:val="808080"/>
        </w:rPr>
        <w:t>-- Need M</w:t>
      </w:r>
    </w:p>
    <w:p w14:paraId="191AA2EA" w14:textId="77777777" w:rsidR="00394471" w:rsidRPr="00FA0D37" w:rsidRDefault="00394471" w:rsidP="00FA0D37">
      <w:pPr>
        <w:pStyle w:val="PL"/>
        <w:rPr>
          <w:color w:val="808080"/>
        </w:rPr>
      </w:pPr>
      <w:r w:rsidRPr="00FA0D37">
        <w:t xml:space="preserve">    csi-MeasConfig                      SetupRelease { CSI-MeasConfig }                                         </w:t>
      </w:r>
      <w:r w:rsidRPr="00FA0D37">
        <w:rPr>
          <w:color w:val="993366"/>
        </w:rPr>
        <w:t>OPTIONAL</w:t>
      </w:r>
      <w:r w:rsidRPr="00FA0D37">
        <w:t xml:space="preserve">,   </w:t>
      </w:r>
      <w:r w:rsidRPr="00FA0D37">
        <w:rPr>
          <w:color w:val="808080"/>
        </w:rPr>
        <w:t>-- Need M</w:t>
      </w:r>
    </w:p>
    <w:p w14:paraId="2DE8A321" w14:textId="77777777" w:rsidR="00394471" w:rsidRPr="00FA0D37" w:rsidRDefault="00394471" w:rsidP="00FA0D37">
      <w:pPr>
        <w:pStyle w:val="PL"/>
      </w:pPr>
      <w:r w:rsidRPr="00FA0D37">
        <w:t xml:space="preserve">    sCellDeactivationTimer              </w:t>
      </w:r>
      <w:r w:rsidRPr="00FA0D37">
        <w:rPr>
          <w:color w:val="993366"/>
        </w:rPr>
        <w:t>ENUMERATED</w:t>
      </w:r>
      <w:r w:rsidRPr="00FA0D37">
        <w:t xml:space="preserve"> {ms20, ms40, ms80, ms160, ms200, ms240,</w:t>
      </w:r>
    </w:p>
    <w:p w14:paraId="50C704B3" w14:textId="77777777" w:rsidR="00394471" w:rsidRPr="00FA0D37" w:rsidRDefault="00394471" w:rsidP="00FA0D37">
      <w:pPr>
        <w:pStyle w:val="PL"/>
      </w:pPr>
      <w:r w:rsidRPr="00FA0D37">
        <w:t xml:space="preserve">                                                    ms320, ms400, ms480, ms520, ms640, ms720,</w:t>
      </w:r>
    </w:p>
    <w:p w14:paraId="7E0C2D73" w14:textId="77777777" w:rsidR="00394471" w:rsidRPr="00FA0D37" w:rsidRDefault="00394471" w:rsidP="00FA0D37">
      <w:pPr>
        <w:pStyle w:val="PL"/>
        <w:rPr>
          <w:color w:val="808080"/>
        </w:rPr>
      </w:pPr>
      <w:r w:rsidRPr="00FA0D37">
        <w:t xml:space="preserve">                                                    ms840, ms1280, spare2,spare1}       </w:t>
      </w:r>
      <w:r w:rsidRPr="00FA0D37">
        <w:rPr>
          <w:color w:val="993366"/>
        </w:rPr>
        <w:t>OPTIONAL</w:t>
      </w:r>
      <w:r w:rsidRPr="00FA0D37">
        <w:t xml:space="preserve">,   </w:t>
      </w:r>
      <w:r w:rsidRPr="00FA0D37">
        <w:rPr>
          <w:color w:val="808080"/>
        </w:rPr>
        <w:t>-- Cond ServingCellWithoutPUCCH</w:t>
      </w:r>
    </w:p>
    <w:p w14:paraId="3438A098" w14:textId="77777777" w:rsidR="00394471" w:rsidRPr="00FA0D37" w:rsidRDefault="00394471" w:rsidP="00FA0D37">
      <w:pPr>
        <w:pStyle w:val="PL"/>
        <w:rPr>
          <w:color w:val="808080"/>
        </w:rPr>
      </w:pPr>
      <w:r w:rsidRPr="00FA0D37">
        <w:t xml:space="preserve">    crossCarrierSchedulingConfig        CrossCarrierSchedulingConfig                                            </w:t>
      </w:r>
      <w:r w:rsidRPr="00FA0D37">
        <w:rPr>
          <w:color w:val="993366"/>
        </w:rPr>
        <w:t>OPTIONAL</w:t>
      </w:r>
      <w:r w:rsidRPr="00FA0D37">
        <w:t xml:space="preserve">,   </w:t>
      </w:r>
      <w:r w:rsidRPr="00FA0D37">
        <w:rPr>
          <w:color w:val="808080"/>
        </w:rPr>
        <w:t>-- Need M</w:t>
      </w:r>
    </w:p>
    <w:p w14:paraId="7B75BEF5" w14:textId="77777777" w:rsidR="00394471" w:rsidRPr="00FA0D37" w:rsidRDefault="00394471" w:rsidP="00FA0D37">
      <w:pPr>
        <w:pStyle w:val="PL"/>
      </w:pPr>
      <w:r w:rsidRPr="00FA0D37">
        <w:t xml:space="preserve">    tag-Id                              TAG-Id,</w:t>
      </w:r>
    </w:p>
    <w:p w14:paraId="6F2BB1BD" w14:textId="6C4A28AC" w:rsidR="00394471" w:rsidRPr="00FA0D37" w:rsidRDefault="00394471" w:rsidP="00FA0D37">
      <w:pPr>
        <w:pStyle w:val="PL"/>
        <w:rPr>
          <w:color w:val="808080"/>
        </w:rPr>
      </w:pPr>
      <w:r w:rsidRPr="00FA0D37">
        <w:t xml:space="preserve">    dummy</w:t>
      </w:r>
      <w:r w:rsidR="00763FBA" w:rsidRPr="00FA0D37">
        <w:t>1</w:t>
      </w:r>
      <w:r w:rsidRPr="00FA0D37">
        <w:t xml:space="preserve">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7A4E9FDC" w14:textId="77777777" w:rsidR="00394471" w:rsidRPr="00FA0D37" w:rsidRDefault="00394471" w:rsidP="00FA0D37">
      <w:pPr>
        <w:pStyle w:val="PL"/>
        <w:rPr>
          <w:color w:val="808080"/>
        </w:rPr>
      </w:pPr>
      <w:r w:rsidRPr="00FA0D37">
        <w:t xml:space="preserve">    pathlossReferenceLinking            </w:t>
      </w:r>
      <w:r w:rsidRPr="00FA0D37">
        <w:rPr>
          <w:color w:val="993366"/>
        </w:rPr>
        <w:t>ENUMERATED</w:t>
      </w:r>
      <w:r w:rsidRPr="00FA0D37">
        <w:t xml:space="preserve"> {spCell, sCell}                                              </w:t>
      </w:r>
      <w:r w:rsidRPr="00FA0D37">
        <w:rPr>
          <w:color w:val="993366"/>
        </w:rPr>
        <w:t>OPTIONAL</w:t>
      </w:r>
      <w:r w:rsidRPr="00FA0D37">
        <w:t xml:space="preserve">,   </w:t>
      </w:r>
      <w:r w:rsidRPr="00FA0D37">
        <w:rPr>
          <w:color w:val="808080"/>
        </w:rPr>
        <w:t>-- Cond SCellOnly</w:t>
      </w:r>
    </w:p>
    <w:p w14:paraId="3557B308" w14:textId="77777777" w:rsidR="00394471" w:rsidRPr="00FA0D37" w:rsidRDefault="00394471" w:rsidP="00FA0D37">
      <w:pPr>
        <w:pStyle w:val="PL"/>
        <w:rPr>
          <w:color w:val="808080"/>
        </w:rPr>
      </w:pPr>
      <w:r w:rsidRPr="00FA0D37">
        <w:t xml:space="preserve">    servingCellMO                       MeasObjectId                                                            </w:t>
      </w:r>
      <w:r w:rsidRPr="00FA0D37">
        <w:rPr>
          <w:color w:val="993366"/>
        </w:rPr>
        <w:t>OPTIONAL</w:t>
      </w:r>
      <w:r w:rsidRPr="00FA0D37">
        <w:t xml:space="preserve">,   </w:t>
      </w:r>
      <w:r w:rsidRPr="00FA0D37">
        <w:rPr>
          <w:color w:val="808080"/>
        </w:rPr>
        <w:t>-- Cond MeasObject</w:t>
      </w:r>
    </w:p>
    <w:p w14:paraId="007C1A58" w14:textId="77777777" w:rsidR="00394471" w:rsidRPr="00FA0D37" w:rsidRDefault="00394471" w:rsidP="00FA0D37">
      <w:pPr>
        <w:pStyle w:val="PL"/>
      </w:pPr>
      <w:r w:rsidRPr="00FA0D37">
        <w:t xml:space="preserve">    ...,</w:t>
      </w:r>
    </w:p>
    <w:p w14:paraId="340B4CAE" w14:textId="77777777" w:rsidR="00394471" w:rsidRPr="00FA0D37" w:rsidRDefault="00394471" w:rsidP="00FA0D37">
      <w:pPr>
        <w:pStyle w:val="PL"/>
        <w:rPr>
          <w:rFonts w:eastAsia="宋体"/>
        </w:rPr>
      </w:pPr>
      <w:r w:rsidRPr="00FA0D37">
        <w:t xml:space="preserve">    </w:t>
      </w:r>
      <w:r w:rsidRPr="00FA0D37">
        <w:rPr>
          <w:rFonts w:eastAsia="宋体"/>
        </w:rPr>
        <w:t>[[</w:t>
      </w:r>
    </w:p>
    <w:p w14:paraId="30897738" w14:textId="77777777" w:rsidR="00394471" w:rsidRPr="00FA0D37" w:rsidRDefault="00394471" w:rsidP="00FA0D37">
      <w:pPr>
        <w:pStyle w:val="PL"/>
        <w:rPr>
          <w:color w:val="808080"/>
        </w:rPr>
      </w:pPr>
      <w:r w:rsidRPr="00FA0D37">
        <w:t xml:space="preserve">    lte-CRS-ToMatchAround               SetupRelease { RateMatchPatternLTE-CRS }                                </w:t>
      </w:r>
      <w:r w:rsidRPr="00FA0D37">
        <w:rPr>
          <w:color w:val="993366"/>
        </w:rPr>
        <w:t>OPTIONAL</w:t>
      </w:r>
      <w:r w:rsidRPr="00FA0D37">
        <w:t xml:space="preserve">,   </w:t>
      </w:r>
      <w:r w:rsidRPr="00FA0D37">
        <w:rPr>
          <w:color w:val="808080"/>
        </w:rPr>
        <w:t>-- Need M</w:t>
      </w:r>
    </w:p>
    <w:p w14:paraId="24AF73AD" w14:textId="77777777" w:rsidR="00394471" w:rsidRPr="00FA0D37" w:rsidRDefault="00394471" w:rsidP="00FA0D37">
      <w:pPr>
        <w:pStyle w:val="PL"/>
        <w:rPr>
          <w:color w:val="808080"/>
        </w:rPr>
      </w:pPr>
      <w:r w:rsidRPr="00FA0D37">
        <w:t xml:space="preserve">    rateMatchPatternToAddModList        </w:t>
      </w:r>
      <w:r w:rsidRPr="00FA0D37">
        <w:rPr>
          <w:color w:val="993366"/>
        </w:rPr>
        <w:t>SEQUENCE</w:t>
      </w:r>
      <w:r w:rsidRPr="00FA0D37">
        <w:t xml:space="preserve"> (</w:t>
      </w:r>
      <w:r w:rsidRPr="00FA0D37">
        <w:rPr>
          <w:color w:val="993366"/>
        </w:rPr>
        <w:t>SIZE</w:t>
      </w:r>
      <w:r w:rsidRPr="00FA0D37">
        <w:t xml:space="preserve"> (1..maxNrofRateMatchPatterns))</w:t>
      </w:r>
      <w:r w:rsidRPr="00FA0D37">
        <w:rPr>
          <w:color w:val="993366"/>
        </w:rPr>
        <w:t xml:space="preserve"> OF</w:t>
      </w:r>
      <w:r w:rsidRPr="00FA0D37">
        <w:t xml:space="preserve"> RateMatchPattern       </w:t>
      </w:r>
      <w:r w:rsidRPr="00FA0D37">
        <w:rPr>
          <w:color w:val="993366"/>
        </w:rPr>
        <w:t>OPTIONAL</w:t>
      </w:r>
      <w:r w:rsidRPr="00FA0D37">
        <w:t xml:space="preserve">,   </w:t>
      </w:r>
      <w:r w:rsidRPr="00FA0D37">
        <w:rPr>
          <w:color w:val="808080"/>
        </w:rPr>
        <w:t>-- Need N</w:t>
      </w:r>
    </w:p>
    <w:p w14:paraId="79F58B40" w14:textId="77777777" w:rsidR="00394471" w:rsidRPr="00FA0D37" w:rsidRDefault="00394471" w:rsidP="00FA0D37">
      <w:pPr>
        <w:pStyle w:val="PL"/>
        <w:rPr>
          <w:color w:val="808080"/>
        </w:rPr>
      </w:pPr>
      <w:r w:rsidRPr="00FA0D37">
        <w:t xml:space="preserve">    rateMatchPatternToReleaseList       </w:t>
      </w:r>
      <w:r w:rsidRPr="00FA0D37">
        <w:rPr>
          <w:color w:val="993366"/>
        </w:rPr>
        <w:t>SEQUENCE</w:t>
      </w:r>
      <w:r w:rsidRPr="00FA0D37">
        <w:t xml:space="preserve"> (</w:t>
      </w:r>
      <w:r w:rsidRPr="00FA0D37">
        <w:rPr>
          <w:color w:val="993366"/>
        </w:rPr>
        <w:t>SIZE</w:t>
      </w:r>
      <w:r w:rsidRPr="00FA0D37">
        <w:t xml:space="preserve"> (1..maxNrofRateMatchPatterns))</w:t>
      </w:r>
      <w:r w:rsidRPr="00FA0D37">
        <w:rPr>
          <w:color w:val="993366"/>
        </w:rPr>
        <w:t xml:space="preserve"> OF</w:t>
      </w:r>
      <w:r w:rsidRPr="00FA0D37">
        <w:t xml:space="preserve"> RateMatchPatternId     </w:t>
      </w:r>
      <w:r w:rsidRPr="00FA0D37">
        <w:rPr>
          <w:color w:val="993366"/>
        </w:rPr>
        <w:t>OPTIONAL</w:t>
      </w:r>
      <w:r w:rsidRPr="00FA0D37">
        <w:t xml:space="preserve">,   </w:t>
      </w:r>
      <w:r w:rsidRPr="00FA0D37">
        <w:rPr>
          <w:color w:val="808080"/>
        </w:rPr>
        <w:t>-- Need N</w:t>
      </w:r>
    </w:p>
    <w:p w14:paraId="5BEBFED0" w14:textId="77777777" w:rsidR="00394471" w:rsidRPr="00FA0D37" w:rsidRDefault="00394471" w:rsidP="00FA0D37">
      <w:pPr>
        <w:pStyle w:val="PL"/>
        <w:rPr>
          <w:color w:val="808080"/>
        </w:rPr>
      </w:pPr>
      <w:r w:rsidRPr="00FA0D37">
        <w:t xml:space="preserve">    downlinkChannelBW-PerSCS-List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SCS-SpecificCarrier                     </w:t>
      </w:r>
      <w:r w:rsidRPr="00FA0D37">
        <w:rPr>
          <w:color w:val="993366"/>
        </w:rPr>
        <w:t>OPTIONAL</w:t>
      </w:r>
      <w:r w:rsidRPr="00FA0D37">
        <w:t xml:space="preserve">    </w:t>
      </w:r>
      <w:r w:rsidRPr="00FA0D37">
        <w:rPr>
          <w:color w:val="808080"/>
        </w:rPr>
        <w:t>-- Need S</w:t>
      </w:r>
    </w:p>
    <w:p w14:paraId="079B4AA8" w14:textId="77777777" w:rsidR="00394471" w:rsidRPr="00FA0D37" w:rsidRDefault="00394471" w:rsidP="00FA0D37">
      <w:pPr>
        <w:pStyle w:val="PL"/>
        <w:rPr>
          <w:rFonts w:eastAsia="宋体"/>
        </w:rPr>
      </w:pPr>
      <w:r w:rsidRPr="00FA0D37">
        <w:t xml:space="preserve">    </w:t>
      </w:r>
      <w:r w:rsidRPr="00FA0D37">
        <w:rPr>
          <w:rFonts w:eastAsia="宋体"/>
        </w:rPr>
        <w:t>]],</w:t>
      </w:r>
    </w:p>
    <w:p w14:paraId="6B8BC161" w14:textId="77777777" w:rsidR="00394471" w:rsidRPr="00FA0D37" w:rsidRDefault="00394471" w:rsidP="00FA0D37">
      <w:pPr>
        <w:pStyle w:val="PL"/>
        <w:rPr>
          <w:rFonts w:eastAsia="宋体"/>
        </w:rPr>
      </w:pPr>
      <w:r w:rsidRPr="00FA0D37">
        <w:t xml:space="preserve">    </w:t>
      </w:r>
      <w:r w:rsidRPr="00FA0D37">
        <w:rPr>
          <w:rFonts w:eastAsia="宋体"/>
        </w:rPr>
        <w:t>[[</w:t>
      </w:r>
    </w:p>
    <w:p w14:paraId="6B86A8D6" w14:textId="74073F53" w:rsidR="00394471" w:rsidRPr="00FA0D37" w:rsidRDefault="00394471" w:rsidP="00FA0D37">
      <w:pPr>
        <w:pStyle w:val="PL"/>
        <w:rPr>
          <w:rFonts w:eastAsia="宋体"/>
          <w:color w:val="808080"/>
        </w:rPr>
      </w:pPr>
      <w:r w:rsidRPr="00FA0D37">
        <w:t xml:space="preserve">    supplementaryUplinkRelease-r16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28080AA9" w14:textId="77777777" w:rsidR="00394471" w:rsidRPr="00FA0D37" w:rsidRDefault="00394471" w:rsidP="00FA0D37">
      <w:pPr>
        <w:pStyle w:val="PL"/>
        <w:rPr>
          <w:color w:val="808080"/>
        </w:rPr>
      </w:pPr>
      <w:r w:rsidRPr="00FA0D37">
        <w:t xml:space="preserve">    tdd-UL-DL-ConfigurationDedicated-IAB-MT-r16    TDD-UL-DL-ConfigDedicated-IAB-MT-r16                         </w:t>
      </w:r>
      <w:r w:rsidRPr="00FA0D37">
        <w:rPr>
          <w:color w:val="993366"/>
        </w:rPr>
        <w:t>OPTIONAL</w:t>
      </w:r>
      <w:r w:rsidRPr="00FA0D37">
        <w:t xml:space="preserve">,   </w:t>
      </w:r>
      <w:r w:rsidRPr="00FA0D37">
        <w:rPr>
          <w:color w:val="808080"/>
        </w:rPr>
        <w:t>-- Cond TDD_IAB</w:t>
      </w:r>
    </w:p>
    <w:p w14:paraId="578DC50B" w14:textId="77777777" w:rsidR="00394471" w:rsidRPr="00FA0D37" w:rsidRDefault="00394471" w:rsidP="00FA0D37">
      <w:pPr>
        <w:pStyle w:val="PL"/>
        <w:rPr>
          <w:color w:val="808080"/>
        </w:rPr>
      </w:pPr>
      <w:r w:rsidRPr="00FA0D37">
        <w:t xml:space="preserve">    dormantBWP-Config-r16               SetupRelease { DormantBWP-Config-r16 }                                  </w:t>
      </w:r>
      <w:r w:rsidRPr="00FA0D37">
        <w:rPr>
          <w:color w:val="993366"/>
        </w:rPr>
        <w:t>OPTIONAL</w:t>
      </w:r>
      <w:r w:rsidRPr="00FA0D37">
        <w:t xml:space="preserve">,   </w:t>
      </w:r>
      <w:r w:rsidRPr="00FA0D37">
        <w:rPr>
          <w:color w:val="808080"/>
        </w:rPr>
        <w:t>-- Need M</w:t>
      </w:r>
    </w:p>
    <w:p w14:paraId="74CD140E" w14:textId="77777777" w:rsidR="00394471" w:rsidRPr="00FA0D37" w:rsidRDefault="00394471" w:rsidP="00FA0D37">
      <w:pPr>
        <w:pStyle w:val="PL"/>
      </w:pPr>
      <w:r w:rsidRPr="00FA0D37">
        <w:t xml:space="preserve">    ca-SlotOffset-r16                   </w:t>
      </w:r>
      <w:r w:rsidRPr="00FA0D37">
        <w:rPr>
          <w:color w:val="993366"/>
        </w:rPr>
        <w:t>CHOICE</w:t>
      </w:r>
      <w:r w:rsidRPr="00FA0D37">
        <w:t xml:space="preserve"> {</w:t>
      </w:r>
    </w:p>
    <w:p w14:paraId="7A874DDA" w14:textId="77777777" w:rsidR="00394471" w:rsidRPr="00FA0D37" w:rsidRDefault="00394471" w:rsidP="00FA0D37">
      <w:pPr>
        <w:pStyle w:val="PL"/>
      </w:pPr>
      <w:r w:rsidRPr="00FA0D37">
        <w:t xml:space="preserve">        refSCS15kHz                         </w:t>
      </w:r>
      <w:r w:rsidRPr="00FA0D37">
        <w:rPr>
          <w:color w:val="993366"/>
        </w:rPr>
        <w:t>INTEGER</w:t>
      </w:r>
      <w:r w:rsidRPr="00FA0D37">
        <w:t xml:space="preserve"> (-2..2),</w:t>
      </w:r>
    </w:p>
    <w:p w14:paraId="33C28C46" w14:textId="77777777" w:rsidR="00394471" w:rsidRPr="00FA0D37" w:rsidRDefault="00394471" w:rsidP="00FA0D37">
      <w:pPr>
        <w:pStyle w:val="PL"/>
      </w:pPr>
      <w:r w:rsidRPr="00FA0D37">
        <w:t xml:space="preserve">        refSCS30KHz                         </w:t>
      </w:r>
      <w:r w:rsidRPr="00FA0D37">
        <w:rPr>
          <w:color w:val="993366"/>
        </w:rPr>
        <w:t>INTEGER</w:t>
      </w:r>
      <w:r w:rsidRPr="00FA0D37">
        <w:t xml:space="preserve"> (-5..5),</w:t>
      </w:r>
    </w:p>
    <w:p w14:paraId="498C1872" w14:textId="77777777" w:rsidR="00394471" w:rsidRPr="00FA0D37" w:rsidRDefault="00394471" w:rsidP="00FA0D37">
      <w:pPr>
        <w:pStyle w:val="PL"/>
      </w:pPr>
      <w:r w:rsidRPr="00FA0D37">
        <w:lastRenderedPageBreak/>
        <w:t xml:space="preserve">        refSCS60KHz                         </w:t>
      </w:r>
      <w:r w:rsidRPr="00FA0D37">
        <w:rPr>
          <w:color w:val="993366"/>
        </w:rPr>
        <w:t>INTEGER</w:t>
      </w:r>
      <w:r w:rsidRPr="00FA0D37">
        <w:t xml:space="preserve"> (-10..10),</w:t>
      </w:r>
    </w:p>
    <w:p w14:paraId="1E929E0A" w14:textId="77777777" w:rsidR="00394471" w:rsidRPr="00FA0D37" w:rsidRDefault="00394471" w:rsidP="00FA0D37">
      <w:pPr>
        <w:pStyle w:val="PL"/>
      </w:pPr>
      <w:r w:rsidRPr="00FA0D37">
        <w:t xml:space="preserve">        refSCS120KHz                        </w:t>
      </w:r>
      <w:r w:rsidRPr="00FA0D37">
        <w:rPr>
          <w:color w:val="993366"/>
        </w:rPr>
        <w:t>INTEGER</w:t>
      </w:r>
      <w:r w:rsidRPr="00FA0D37">
        <w:t xml:space="preserve"> (-20..20)</w:t>
      </w:r>
    </w:p>
    <w:p w14:paraId="79C5AA30"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AsyncCA</w:t>
      </w:r>
    </w:p>
    <w:p w14:paraId="2F1EFB5C" w14:textId="234EBF20" w:rsidR="00394471" w:rsidRPr="00FA0D37" w:rsidRDefault="00394471" w:rsidP="00FA0D37">
      <w:pPr>
        <w:pStyle w:val="PL"/>
        <w:rPr>
          <w:color w:val="808080"/>
        </w:rPr>
      </w:pPr>
      <w:r w:rsidRPr="00FA0D37">
        <w:t xml:space="preserve">    </w:t>
      </w:r>
      <w:r w:rsidR="00763FBA" w:rsidRPr="00FA0D37">
        <w:rPr>
          <w:rFonts w:eastAsia="宋体"/>
        </w:rPr>
        <w:t>dummy2</w:t>
      </w:r>
      <w:r w:rsidRPr="00FA0D37">
        <w:t xml:space="preserve">             </w:t>
      </w:r>
      <w:r w:rsidR="00763FBA" w:rsidRPr="00FA0D37">
        <w:t xml:space="preserve">                 </w:t>
      </w:r>
      <w:r w:rsidRPr="00FA0D37">
        <w:t xml:space="preserve">SetupRelease { </w:t>
      </w:r>
      <w:r w:rsidR="00763FBA" w:rsidRPr="00FA0D37">
        <w:rPr>
          <w:rFonts w:eastAsia="宋体"/>
        </w:rPr>
        <w:t>DummyJ</w:t>
      </w:r>
      <w:r w:rsidRPr="00FA0D37">
        <w:t xml:space="preserve"> }                                </w:t>
      </w:r>
      <w:r w:rsidR="00763FBA" w:rsidRPr="00FA0D37">
        <w:t xml:space="preserve">                 </w:t>
      </w:r>
      <w:r w:rsidRPr="00FA0D37">
        <w:rPr>
          <w:color w:val="993366"/>
        </w:rPr>
        <w:t>OPTIONAL</w:t>
      </w:r>
      <w:r w:rsidRPr="00FA0D37">
        <w:t xml:space="preserve">,   </w:t>
      </w:r>
      <w:r w:rsidRPr="00FA0D37">
        <w:rPr>
          <w:color w:val="808080"/>
        </w:rPr>
        <w:t>-- Need M</w:t>
      </w:r>
    </w:p>
    <w:p w14:paraId="529DBF14" w14:textId="77777777" w:rsidR="00394471" w:rsidRPr="00FA0D37" w:rsidRDefault="00394471" w:rsidP="00FA0D37">
      <w:pPr>
        <w:pStyle w:val="PL"/>
        <w:rPr>
          <w:color w:val="808080"/>
        </w:rPr>
      </w:pPr>
      <w:r w:rsidRPr="00FA0D37">
        <w:t xml:space="preserve">    intraCellGuardBandsDL-List-r16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IntraCellGuardBandsPerSCS-r16           </w:t>
      </w:r>
      <w:r w:rsidRPr="00FA0D37">
        <w:rPr>
          <w:color w:val="993366"/>
        </w:rPr>
        <w:t>OPTIONAL</w:t>
      </w:r>
      <w:r w:rsidRPr="00FA0D37">
        <w:t xml:space="preserve">,   </w:t>
      </w:r>
      <w:r w:rsidRPr="00FA0D37">
        <w:rPr>
          <w:color w:val="808080"/>
        </w:rPr>
        <w:t>-- Need S</w:t>
      </w:r>
    </w:p>
    <w:p w14:paraId="08B8471F" w14:textId="77777777" w:rsidR="00394471" w:rsidRPr="00FA0D37" w:rsidRDefault="00394471" w:rsidP="00FA0D37">
      <w:pPr>
        <w:pStyle w:val="PL"/>
        <w:rPr>
          <w:color w:val="808080"/>
        </w:rPr>
      </w:pPr>
      <w:r w:rsidRPr="00FA0D37">
        <w:t xml:space="preserve">    intraCellGuardBandsUL-List-r16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IntraCellGuardBandsPerSCS-r16           </w:t>
      </w:r>
      <w:r w:rsidRPr="00FA0D37">
        <w:rPr>
          <w:color w:val="993366"/>
        </w:rPr>
        <w:t>OPTIONAL</w:t>
      </w:r>
      <w:r w:rsidRPr="00FA0D37">
        <w:t xml:space="preserve">,   </w:t>
      </w:r>
      <w:r w:rsidRPr="00FA0D37">
        <w:rPr>
          <w:color w:val="808080"/>
        </w:rPr>
        <w:t>-- Need S</w:t>
      </w:r>
    </w:p>
    <w:p w14:paraId="208D3679" w14:textId="429CE913" w:rsidR="00394471" w:rsidRPr="00FA0D37" w:rsidRDefault="00394471" w:rsidP="00FA0D37">
      <w:pPr>
        <w:pStyle w:val="PL"/>
        <w:rPr>
          <w:color w:val="808080"/>
        </w:rPr>
      </w:pPr>
      <w:r w:rsidRPr="00FA0D37">
        <w:t xml:space="preserve">    csi-RS-ValidationWithDCI-r16       </w:t>
      </w:r>
      <w:r w:rsidR="0021547E" w:rsidRPr="00FA0D37">
        <w:t xml:space="preserve">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46F7B00" w14:textId="77777777" w:rsidR="00394471" w:rsidRPr="00FA0D37" w:rsidRDefault="00394471" w:rsidP="00FA0D37">
      <w:pPr>
        <w:pStyle w:val="PL"/>
        <w:rPr>
          <w:color w:val="808080"/>
        </w:rPr>
      </w:pPr>
      <w:r w:rsidRPr="00FA0D37">
        <w:t xml:space="preserve">    lte-CRS-PatternList1-r16            SetupRelease { LTE-CRS-PatternList-r16 }                                </w:t>
      </w:r>
      <w:r w:rsidRPr="00FA0D37">
        <w:rPr>
          <w:color w:val="993366"/>
        </w:rPr>
        <w:t>OPTIONAL</w:t>
      </w:r>
      <w:r w:rsidRPr="00FA0D37">
        <w:t xml:space="preserve">,   </w:t>
      </w:r>
      <w:r w:rsidRPr="00FA0D37">
        <w:rPr>
          <w:color w:val="808080"/>
        </w:rPr>
        <w:t>-- Need M</w:t>
      </w:r>
    </w:p>
    <w:p w14:paraId="23CE8DF0" w14:textId="77777777" w:rsidR="00394471" w:rsidRPr="00FA0D37" w:rsidRDefault="00394471" w:rsidP="00FA0D37">
      <w:pPr>
        <w:pStyle w:val="PL"/>
        <w:rPr>
          <w:color w:val="808080"/>
        </w:rPr>
      </w:pPr>
      <w:r w:rsidRPr="00FA0D37">
        <w:t xml:space="preserve">    lte-CRS-PatternList2-r16            SetupRelease { LTE-CRS-PatternList-r16 }                                </w:t>
      </w:r>
      <w:r w:rsidRPr="00FA0D37">
        <w:rPr>
          <w:color w:val="993366"/>
        </w:rPr>
        <w:t>OPTIONAL</w:t>
      </w:r>
      <w:r w:rsidRPr="00FA0D37">
        <w:t xml:space="preserve">,   </w:t>
      </w:r>
      <w:r w:rsidRPr="00FA0D37">
        <w:rPr>
          <w:color w:val="808080"/>
        </w:rPr>
        <w:t>-- Need M</w:t>
      </w:r>
    </w:p>
    <w:p w14:paraId="4627E8FC" w14:textId="77777777" w:rsidR="00394471" w:rsidRPr="00FA0D37" w:rsidRDefault="00394471" w:rsidP="00FA0D37">
      <w:pPr>
        <w:pStyle w:val="PL"/>
        <w:rPr>
          <w:color w:val="808080"/>
        </w:rPr>
      </w:pPr>
      <w:r w:rsidRPr="00FA0D37">
        <w:t xml:space="preserve">    crs-RateMatch-PerCORESETPoolIndex-r16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0421D940" w14:textId="77777777" w:rsidR="00394471" w:rsidRPr="00FA0D37" w:rsidRDefault="00394471" w:rsidP="00FA0D37">
      <w:pPr>
        <w:pStyle w:val="PL"/>
        <w:rPr>
          <w:color w:val="808080"/>
        </w:rPr>
      </w:pPr>
      <w:r w:rsidRPr="00FA0D37">
        <w:t xml:space="preserve">    enableTwoDefaultTCI-States-r16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1982D97" w14:textId="77777777" w:rsidR="00394471" w:rsidRPr="00FA0D37" w:rsidRDefault="00394471" w:rsidP="00FA0D37">
      <w:pPr>
        <w:pStyle w:val="PL"/>
        <w:rPr>
          <w:color w:val="808080"/>
        </w:rPr>
      </w:pPr>
      <w:r w:rsidRPr="00FA0D37">
        <w:t xml:space="preserve">    enableDefaultTCI-StatePerCoresetPoolIndex-r16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619BC51" w14:textId="77777777" w:rsidR="00394471" w:rsidRPr="00FA0D37" w:rsidRDefault="00394471" w:rsidP="00FA0D37">
      <w:pPr>
        <w:pStyle w:val="PL"/>
        <w:rPr>
          <w:color w:val="808080"/>
        </w:rPr>
      </w:pPr>
      <w:r w:rsidRPr="00FA0D37">
        <w:t xml:space="preserve">    enableBeamSwitchTiming-r16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045A4DB1" w14:textId="77777777" w:rsidR="00394471" w:rsidRPr="00FA0D37" w:rsidRDefault="00394471" w:rsidP="00FA0D37">
      <w:pPr>
        <w:pStyle w:val="PL"/>
        <w:rPr>
          <w:color w:val="808080"/>
        </w:rPr>
      </w:pPr>
      <w:r w:rsidRPr="00FA0D37">
        <w:t xml:space="preserve">    cbg-TxDiffTBsProcessingType1-r16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17631FBF" w14:textId="77777777" w:rsidR="00394471" w:rsidRPr="00FA0D37" w:rsidRDefault="00394471" w:rsidP="00FA0D37">
      <w:pPr>
        <w:pStyle w:val="PL"/>
        <w:rPr>
          <w:color w:val="808080"/>
        </w:rPr>
      </w:pPr>
      <w:r w:rsidRPr="00FA0D37">
        <w:t xml:space="preserve">    cbg-TxDiffTBsProcessingType2-r16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53D1D513" w14:textId="00A8A54D" w:rsidR="00DD71AB" w:rsidRPr="00FA0D37" w:rsidRDefault="00394471" w:rsidP="00FA0D37">
      <w:pPr>
        <w:pStyle w:val="PL"/>
        <w:rPr>
          <w:rFonts w:eastAsia="宋体"/>
        </w:rPr>
      </w:pPr>
      <w:r w:rsidRPr="00FA0D37">
        <w:t xml:space="preserve">    </w:t>
      </w:r>
      <w:r w:rsidRPr="00FA0D37">
        <w:rPr>
          <w:rFonts w:eastAsia="宋体"/>
        </w:rPr>
        <w:t>]]</w:t>
      </w:r>
      <w:r w:rsidR="00DD71AB" w:rsidRPr="00FA0D37">
        <w:rPr>
          <w:rFonts w:eastAsia="宋体"/>
        </w:rPr>
        <w:t>,</w:t>
      </w:r>
    </w:p>
    <w:p w14:paraId="33E80BCD" w14:textId="77777777" w:rsidR="00DD71AB" w:rsidRPr="00FA0D37" w:rsidRDefault="00DD71AB" w:rsidP="00FA0D37">
      <w:pPr>
        <w:pStyle w:val="PL"/>
      </w:pPr>
      <w:r w:rsidRPr="00FA0D37">
        <w:t xml:space="preserve">    [[</w:t>
      </w:r>
    </w:p>
    <w:p w14:paraId="68197F67" w14:textId="6833790F" w:rsidR="00DD71AB" w:rsidRPr="00FA0D37" w:rsidRDefault="00DD71AB" w:rsidP="00FA0D37">
      <w:pPr>
        <w:pStyle w:val="PL"/>
        <w:rPr>
          <w:color w:val="808080"/>
        </w:rPr>
      </w:pPr>
      <w:r w:rsidRPr="00FA0D37">
        <w:t xml:space="preserve">    directionalCollisionHandling-r16    </w:t>
      </w:r>
      <w:r w:rsidRPr="00FA0D37">
        <w:rPr>
          <w:color w:val="993366"/>
        </w:rPr>
        <w:t>ENUMERATED</w:t>
      </w:r>
      <w:r w:rsidRPr="00FA0D37">
        <w:t xml:space="preserve"> {enabled}                                                    </w:t>
      </w:r>
      <w:r w:rsidRPr="00FA0D37">
        <w:rPr>
          <w:color w:val="993366"/>
        </w:rPr>
        <w:t>OPTIONAL</w:t>
      </w:r>
      <w:r w:rsidR="00763FBA" w:rsidRPr="00FA0D37">
        <w:t>,</w:t>
      </w:r>
      <w:r w:rsidRPr="00FA0D37">
        <w:t xml:space="preserve">   </w:t>
      </w:r>
      <w:r w:rsidRPr="00FA0D37">
        <w:rPr>
          <w:color w:val="808080"/>
        </w:rPr>
        <w:t>-- Need R</w:t>
      </w:r>
    </w:p>
    <w:p w14:paraId="12249309" w14:textId="77777777" w:rsidR="00763FBA" w:rsidRPr="00FA0D37" w:rsidRDefault="00763FBA" w:rsidP="00FA0D37">
      <w:pPr>
        <w:pStyle w:val="PL"/>
        <w:rPr>
          <w:color w:val="808080"/>
        </w:rPr>
      </w:pPr>
      <w:r w:rsidRPr="00FA0D37">
        <w:t xml:space="preserve">    </w:t>
      </w:r>
      <w:r w:rsidRPr="00FA0D37">
        <w:rPr>
          <w:rFonts w:eastAsia="宋体"/>
        </w:rPr>
        <w:t>channelAccessConfig-r16</w:t>
      </w:r>
      <w:r w:rsidRPr="00FA0D37">
        <w:t xml:space="preserve">             SetupRelease { </w:t>
      </w:r>
      <w:r w:rsidRPr="00FA0D37">
        <w:rPr>
          <w:rFonts w:eastAsia="宋体"/>
        </w:rPr>
        <w:t>ChannelAccessConfig-</w:t>
      </w:r>
      <w:r w:rsidRPr="00FA0D37">
        <w:t xml:space="preserve">r16 }                                </w:t>
      </w:r>
      <w:r w:rsidRPr="00FA0D37">
        <w:rPr>
          <w:color w:val="993366"/>
        </w:rPr>
        <w:t>OPTIONAL</w:t>
      </w:r>
      <w:r w:rsidRPr="00FA0D37">
        <w:t xml:space="preserve">    </w:t>
      </w:r>
      <w:r w:rsidRPr="00FA0D37">
        <w:rPr>
          <w:color w:val="808080"/>
        </w:rPr>
        <w:t>-- Need M</w:t>
      </w:r>
    </w:p>
    <w:p w14:paraId="58B6C8CB" w14:textId="373B69F2" w:rsidR="004E4A9E" w:rsidRPr="00FA0D37" w:rsidRDefault="00DD71AB" w:rsidP="00FA0D37">
      <w:pPr>
        <w:pStyle w:val="PL"/>
      </w:pPr>
      <w:r w:rsidRPr="00FA0D37">
        <w:t xml:space="preserve">    ]]</w:t>
      </w:r>
      <w:r w:rsidR="004E4A9E" w:rsidRPr="00FA0D37">
        <w:t>,</w:t>
      </w:r>
    </w:p>
    <w:p w14:paraId="7741E9FC" w14:textId="77777777" w:rsidR="004E4A9E" w:rsidRPr="00FA0D37" w:rsidRDefault="004E4A9E" w:rsidP="00FA0D37">
      <w:pPr>
        <w:pStyle w:val="PL"/>
      </w:pPr>
      <w:r w:rsidRPr="00FA0D37">
        <w:t xml:space="preserve">    [[</w:t>
      </w:r>
    </w:p>
    <w:p w14:paraId="36BA6B5F" w14:textId="5CE317F5" w:rsidR="004E4A9E" w:rsidRPr="00FA0D37" w:rsidRDefault="004E4A9E" w:rsidP="00FA0D37">
      <w:pPr>
        <w:pStyle w:val="PL"/>
        <w:rPr>
          <w:color w:val="808080"/>
        </w:rPr>
      </w:pPr>
      <w:r w:rsidRPr="00FA0D37">
        <w:t xml:space="preserve">    nr-dl-PRS-PDC-Info-r17                 SetupRelease {NR-DL-PRS-PDC-Info-r17}                               </w:t>
      </w:r>
      <w:r w:rsidR="0021547E" w:rsidRPr="00FA0D37">
        <w:t xml:space="preserve"> </w:t>
      </w:r>
      <w:r w:rsidRPr="00FA0D37">
        <w:rPr>
          <w:color w:val="993366"/>
        </w:rPr>
        <w:t>OPTIONAL</w:t>
      </w:r>
      <w:r w:rsidRPr="00FA0D37">
        <w:t xml:space="preserve">,   </w:t>
      </w:r>
      <w:r w:rsidRPr="00FA0D37">
        <w:rPr>
          <w:color w:val="808080"/>
        </w:rPr>
        <w:t>-- Need M</w:t>
      </w:r>
    </w:p>
    <w:p w14:paraId="28B5FB0C" w14:textId="146211D8" w:rsidR="004E4A9E" w:rsidRPr="00FA0D37" w:rsidRDefault="004E4A9E" w:rsidP="00FA0D37">
      <w:pPr>
        <w:pStyle w:val="PL"/>
        <w:rPr>
          <w:color w:val="808080"/>
        </w:rPr>
      </w:pPr>
      <w:r w:rsidRPr="00FA0D37">
        <w:t xml:space="preserve">    semiStaticChannelAccessConfigUE-r17    SetupRelease {SemiStaticChannelAccessConfigUE-r17}                  </w:t>
      </w:r>
      <w:r w:rsidR="0021547E" w:rsidRPr="00FA0D37">
        <w:t xml:space="preserve"> </w:t>
      </w:r>
      <w:r w:rsidRPr="00FA0D37">
        <w:rPr>
          <w:color w:val="993366"/>
        </w:rPr>
        <w:t>OPTIONAL</w:t>
      </w:r>
      <w:r w:rsidR="00651368" w:rsidRPr="00FA0D37">
        <w:t>,</w:t>
      </w:r>
      <w:r w:rsidRPr="00FA0D37">
        <w:t xml:space="preserve">   </w:t>
      </w:r>
      <w:r w:rsidRPr="00FA0D37">
        <w:rPr>
          <w:color w:val="808080"/>
        </w:rPr>
        <w:t>-- Need M</w:t>
      </w:r>
    </w:p>
    <w:p w14:paraId="5C99A717" w14:textId="77777777" w:rsidR="007B122D" w:rsidRPr="00FA0D37" w:rsidRDefault="007B122D" w:rsidP="00FA0D37">
      <w:pPr>
        <w:pStyle w:val="PL"/>
        <w:rPr>
          <w:color w:val="808080"/>
        </w:rPr>
      </w:pPr>
      <w:r w:rsidRPr="00FA0D37">
        <w:t xml:space="preserve">    mimoParam-r17                       SetupRelease {MIMOParam-r17}                                            </w:t>
      </w:r>
      <w:r w:rsidRPr="00FA0D37">
        <w:rPr>
          <w:color w:val="993366"/>
        </w:rPr>
        <w:t>OPTIONAL</w:t>
      </w:r>
      <w:r w:rsidRPr="00FA0D37">
        <w:t xml:space="preserve">,   </w:t>
      </w:r>
      <w:r w:rsidRPr="00FA0D37">
        <w:rPr>
          <w:color w:val="808080"/>
        </w:rPr>
        <w:t>-- Need M</w:t>
      </w:r>
    </w:p>
    <w:p w14:paraId="0A3201AB" w14:textId="77777777" w:rsidR="0021547E" w:rsidRPr="00FA0D37" w:rsidRDefault="0021547E" w:rsidP="00FA0D37">
      <w:pPr>
        <w:pStyle w:val="PL"/>
        <w:rPr>
          <w:color w:val="808080"/>
        </w:rPr>
      </w:pPr>
      <w:r w:rsidRPr="00FA0D37">
        <w:t xml:space="preserve">    channelAccessMode2-r17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3B76AEE0" w14:textId="77777777" w:rsidR="0021547E" w:rsidRPr="00FA0D37" w:rsidRDefault="0021547E" w:rsidP="00FA0D37">
      <w:pPr>
        <w:pStyle w:val="PL"/>
        <w:rPr>
          <w:color w:val="808080"/>
        </w:rPr>
      </w:pPr>
      <w:r w:rsidRPr="00FA0D37">
        <w:t xml:space="preserve">    timeDomainHARQ-BundlingType1-r17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E151408" w14:textId="231AD4E5" w:rsidR="0021547E" w:rsidRPr="00FA0D37" w:rsidRDefault="0021547E" w:rsidP="00FA0D37">
      <w:pPr>
        <w:pStyle w:val="PL"/>
        <w:rPr>
          <w:color w:val="808080"/>
        </w:rPr>
      </w:pPr>
      <w:r w:rsidRPr="00FA0D37">
        <w:t xml:space="preserve">    nrofHARQ-BundlingGroups-r17         </w:t>
      </w:r>
      <w:r w:rsidRPr="00FA0D37">
        <w:rPr>
          <w:color w:val="993366"/>
        </w:rPr>
        <w:t>ENUMERATED</w:t>
      </w:r>
      <w:r w:rsidRPr="00FA0D37">
        <w:t xml:space="preserve"> {n1, n2, n4}                                                 </w:t>
      </w:r>
      <w:r w:rsidRPr="00FA0D37">
        <w:rPr>
          <w:color w:val="993366"/>
        </w:rPr>
        <w:t>OPTIONAL</w:t>
      </w:r>
      <w:r w:rsidR="002211AC" w:rsidRPr="00FA0D37">
        <w:t>,</w:t>
      </w:r>
      <w:r w:rsidRPr="00FA0D37">
        <w:t xml:space="preserve">   </w:t>
      </w:r>
      <w:r w:rsidRPr="00FA0D37">
        <w:rPr>
          <w:color w:val="808080"/>
        </w:rPr>
        <w:t>-- Need R</w:t>
      </w:r>
    </w:p>
    <w:p w14:paraId="0F160A4C" w14:textId="4378C78A" w:rsidR="002211AC" w:rsidRPr="00FA0D37" w:rsidRDefault="002211AC" w:rsidP="00FA0D37">
      <w:pPr>
        <w:pStyle w:val="PL"/>
        <w:rPr>
          <w:color w:val="808080"/>
        </w:rPr>
      </w:pPr>
      <w:r w:rsidRPr="00FA0D37">
        <w:t xml:space="preserve">    fdmed-ReceptionMulticast-r17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B95BAA8" w14:textId="5D75AF87" w:rsidR="002211AC" w:rsidRPr="00FA0D37" w:rsidRDefault="002211AC" w:rsidP="00FA0D37">
      <w:pPr>
        <w:pStyle w:val="PL"/>
        <w:rPr>
          <w:color w:val="808080"/>
        </w:rPr>
      </w:pPr>
      <w:r w:rsidRPr="00FA0D37">
        <w:t xml:space="preserve">    moreThanOneNackOnlyMode-r17         </w:t>
      </w:r>
      <w:r w:rsidRPr="00FA0D37">
        <w:rPr>
          <w:color w:val="993366"/>
        </w:rPr>
        <w:t>ENUMERATED</w:t>
      </w:r>
      <w:r w:rsidRPr="00FA0D37">
        <w:t xml:space="preserve"> {mode2}                                                </w:t>
      </w:r>
      <w:r w:rsidR="00280BA7" w:rsidRPr="00FA0D37">
        <w:t xml:space="preserve">      </w:t>
      </w:r>
      <w:r w:rsidRPr="00FA0D37">
        <w:rPr>
          <w:color w:val="993366"/>
        </w:rPr>
        <w:t>OPTIONAL</w:t>
      </w:r>
      <w:r w:rsidR="00DB6B82" w:rsidRPr="00FA0D37">
        <w:t>,</w:t>
      </w:r>
      <w:r w:rsidRPr="00FA0D37">
        <w:t xml:space="preserve">   </w:t>
      </w:r>
      <w:r w:rsidRPr="00FA0D37">
        <w:rPr>
          <w:color w:val="808080"/>
        </w:rPr>
        <w:t>-- Need S</w:t>
      </w:r>
    </w:p>
    <w:p w14:paraId="32E08A83" w14:textId="4000BC07" w:rsidR="00DB6B82" w:rsidRPr="00FA0D37" w:rsidRDefault="00DB6B82" w:rsidP="00FA0D37">
      <w:pPr>
        <w:pStyle w:val="PL"/>
        <w:rPr>
          <w:color w:val="808080"/>
        </w:rPr>
      </w:pPr>
      <w:r w:rsidRPr="00FA0D37">
        <w:t xml:space="preserve">    tci-</w:t>
      </w:r>
      <w:r w:rsidR="0005240D" w:rsidRPr="00FA0D37">
        <w:t>ActivatedConfig</w:t>
      </w:r>
      <w:r w:rsidRPr="00FA0D37">
        <w:t>-r17             TCI-</w:t>
      </w:r>
      <w:r w:rsidR="0005240D" w:rsidRPr="00FA0D37">
        <w:t>ActivatedConfig-r17</w:t>
      </w:r>
      <w:r w:rsidRPr="00FA0D37">
        <w:t xml:space="preserve">                                                 </w:t>
      </w:r>
      <w:r w:rsidRPr="00FA0D37">
        <w:rPr>
          <w:color w:val="993366"/>
        </w:rPr>
        <w:t>OPTIONAL</w:t>
      </w:r>
      <w:r w:rsidR="00052615" w:rsidRPr="00FA0D37">
        <w:t xml:space="preserve">,  </w:t>
      </w:r>
      <w:r w:rsidRPr="00FA0D37">
        <w:t xml:space="preserve"> </w:t>
      </w:r>
      <w:r w:rsidRPr="00FA0D37">
        <w:rPr>
          <w:color w:val="808080"/>
        </w:rPr>
        <w:t>-- Cond TCI_</w:t>
      </w:r>
      <w:r w:rsidR="0005240D" w:rsidRPr="00FA0D37">
        <w:rPr>
          <w:color w:val="808080"/>
        </w:rPr>
        <w:t>ActivatedConfig</w:t>
      </w:r>
    </w:p>
    <w:p w14:paraId="06E76D0A" w14:textId="06DBA3FD" w:rsidR="00052615" w:rsidRPr="00FA0D37" w:rsidRDefault="00052615" w:rsidP="00FA0D37">
      <w:pPr>
        <w:pStyle w:val="PL"/>
        <w:rPr>
          <w:color w:val="808080"/>
        </w:rPr>
      </w:pPr>
      <w:r w:rsidRPr="00FA0D37">
        <w:t xml:space="preserve">    directionalCollisionHandling-DC-r17 </w:t>
      </w:r>
      <w:r w:rsidRPr="00FA0D37">
        <w:rPr>
          <w:color w:val="993366"/>
        </w:rPr>
        <w:t>ENUMERATED</w:t>
      </w:r>
      <w:r w:rsidRPr="00FA0D37">
        <w:t xml:space="preserve"> {enabled}                                                    </w:t>
      </w:r>
      <w:r w:rsidRPr="00FA0D37">
        <w:rPr>
          <w:color w:val="993366"/>
        </w:rPr>
        <w:t>OPTIONAL</w:t>
      </w:r>
      <w:r w:rsidR="00977C82" w:rsidRPr="00FA0D37">
        <w:t>,</w:t>
      </w:r>
      <w:r w:rsidRPr="00FA0D37">
        <w:t xml:space="preserve">   </w:t>
      </w:r>
      <w:r w:rsidRPr="00FA0D37">
        <w:rPr>
          <w:color w:val="808080"/>
        </w:rPr>
        <w:t>-- Need R</w:t>
      </w:r>
    </w:p>
    <w:p w14:paraId="02A2A4F7" w14:textId="1FE10549" w:rsidR="000F7D20" w:rsidRPr="00FA0D37" w:rsidRDefault="000F7D20" w:rsidP="00FA0D37">
      <w:pPr>
        <w:pStyle w:val="PL"/>
        <w:rPr>
          <w:color w:val="808080"/>
        </w:rPr>
      </w:pPr>
      <w:r w:rsidRPr="00FA0D37">
        <w:t xml:space="preserve">    lte-NeighCellsCRS-AssistInfoList-r17  SetupRelease { LTE-NeighCellsCRS-AssistInfoList-r17 }                 </w:t>
      </w:r>
      <w:r w:rsidRPr="00FA0D37">
        <w:rPr>
          <w:color w:val="993366"/>
        </w:rPr>
        <w:t>OPTIONAL</w:t>
      </w:r>
      <w:r w:rsidR="00977C82" w:rsidRPr="00FA0D37">
        <w:t xml:space="preserve"> </w:t>
      </w:r>
      <w:r w:rsidRPr="00FA0D37">
        <w:t xml:space="preserve">   </w:t>
      </w:r>
      <w:r w:rsidRPr="00FA0D37">
        <w:rPr>
          <w:color w:val="808080"/>
        </w:rPr>
        <w:t>-- Need M</w:t>
      </w:r>
    </w:p>
    <w:p w14:paraId="2A22CAF0" w14:textId="3D619907" w:rsidR="00F64D3E" w:rsidRPr="00FA0D37" w:rsidRDefault="000F7D20" w:rsidP="00FA0D37">
      <w:pPr>
        <w:pStyle w:val="PL"/>
      </w:pPr>
      <w:r w:rsidRPr="00FA0D37">
        <w:t xml:space="preserve">    ]]</w:t>
      </w:r>
      <w:r w:rsidR="00F64D3E" w:rsidRPr="00FA0D37">
        <w:t>,</w:t>
      </w:r>
    </w:p>
    <w:p w14:paraId="13D02D56" w14:textId="6524086B" w:rsidR="00F64D3E" w:rsidRPr="00FA0D37" w:rsidRDefault="00F64D3E" w:rsidP="00FA0D37">
      <w:pPr>
        <w:pStyle w:val="PL"/>
      </w:pPr>
      <w:r w:rsidRPr="00FA0D37">
        <w:t xml:space="preserve">    [[</w:t>
      </w:r>
    </w:p>
    <w:p w14:paraId="3467EF0B" w14:textId="3B98B5E9" w:rsidR="00F64D3E" w:rsidRPr="00FA0D37" w:rsidRDefault="00F64D3E" w:rsidP="00FA0D37">
      <w:pPr>
        <w:pStyle w:val="PL"/>
        <w:rPr>
          <w:color w:val="808080"/>
        </w:rPr>
      </w:pPr>
      <w:r w:rsidRPr="00FA0D37">
        <w:t xml:space="preserve">    lte-NeighCellsCRS-Assumptions-r17   </w:t>
      </w:r>
      <w:r w:rsidRPr="00FA0D37">
        <w:rPr>
          <w:color w:val="993366"/>
        </w:rPr>
        <w:t>ENUMERATED</w:t>
      </w:r>
      <w:r w:rsidRPr="00FA0D37">
        <w:t xml:space="preserve"> {false}                                                      </w:t>
      </w:r>
      <w:r w:rsidRPr="00FA0D37">
        <w:rPr>
          <w:color w:val="993366"/>
        </w:rPr>
        <w:t>OPTIONAL</w:t>
      </w:r>
      <w:r w:rsidRPr="00FA0D37">
        <w:t xml:space="preserve">    </w:t>
      </w:r>
      <w:r w:rsidRPr="00FA0D37">
        <w:rPr>
          <w:color w:val="808080"/>
        </w:rPr>
        <w:t>-- Need R</w:t>
      </w:r>
    </w:p>
    <w:p w14:paraId="5BB2AE7F" w14:textId="37265741" w:rsidR="003475B1" w:rsidRPr="00FA0D37" w:rsidRDefault="00F64D3E" w:rsidP="00FA0D37">
      <w:pPr>
        <w:pStyle w:val="PL"/>
      </w:pPr>
      <w:r w:rsidRPr="00FA0D37">
        <w:t xml:space="preserve">    ]]</w:t>
      </w:r>
      <w:r w:rsidR="003475B1" w:rsidRPr="00FA0D37">
        <w:t>,</w:t>
      </w:r>
    </w:p>
    <w:p w14:paraId="70DD2323" w14:textId="77777777" w:rsidR="003475B1" w:rsidRPr="00FA0D37" w:rsidRDefault="003475B1" w:rsidP="00FA0D37">
      <w:pPr>
        <w:pStyle w:val="PL"/>
      </w:pPr>
      <w:r w:rsidRPr="00FA0D37">
        <w:t xml:space="preserve">    [[</w:t>
      </w:r>
    </w:p>
    <w:p w14:paraId="6E99F038" w14:textId="5D72D592" w:rsidR="003475B1" w:rsidRPr="00FA0D37" w:rsidRDefault="003475B1" w:rsidP="00FA0D37">
      <w:pPr>
        <w:pStyle w:val="PL"/>
        <w:rPr>
          <w:color w:val="808080"/>
        </w:rPr>
      </w:pPr>
      <w:r w:rsidRPr="00FA0D37">
        <w:t xml:space="preserve">    crossCarrierSchedulingConfigRelease-r17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50C5AED0" w14:textId="22A193F3" w:rsidR="00394471" w:rsidRPr="00FA0D37" w:rsidRDefault="003475B1" w:rsidP="00FA0D37">
      <w:pPr>
        <w:pStyle w:val="PL"/>
      </w:pPr>
      <w:r w:rsidRPr="00FA0D37">
        <w:t xml:space="preserve">    ]]</w:t>
      </w:r>
    </w:p>
    <w:p w14:paraId="4AD045E4" w14:textId="77777777" w:rsidR="00394471" w:rsidRPr="00FA0D37" w:rsidRDefault="00394471" w:rsidP="00FA0D37">
      <w:pPr>
        <w:pStyle w:val="PL"/>
      </w:pPr>
      <w:r w:rsidRPr="00FA0D37">
        <w:t>}</w:t>
      </w:r>
    </w:p>
    <w:p w14:paraId="33161DFC" w14:textId="77777777" w:rsidR="00394471" w:rsidRPr="00FA0D37" w:rsidRDefault="00394471" w:rsidP="00FA0D37">
      <w:pPr>
        <w:pStyle w:val="PL"/>
      </w:pPr>
    </w:p>
    <w:p w14:paraId="7289246F" w14:textId="77777777" w:rsidR="00394471" w:rsidRPr="00FA0D37" w:rsidRDefault="00394471" w:rsidP="00FA0D37">
      <w:pPr>
        <w:pStyle w:val="PL"/>
      </w:pPr>
      <w:r w:rsidRPr="00FA0D37">
        <w:t xml:space="preserve">UplinkConfig ::=                    </w:t>
      </w:r>
      <w:r w:rsidRPr="00FA0D37">
        <w:rPr>
          <w:color w:val="993366"/>
        </w:rPr>
        <w:t>SEQUENCE</w:t>
      </w:r>
      <w:r w:rsidRPr="00FA0D37">
        <w:t xml:space="preserve"> {</w:t>
      </w:r>
    </w:p>
    <w:p w14:paraId="1247B901" w14:textId="77777777" w:rsidR="00394471" w:rsidRPr="00FA0D37" w:rsidRDefault="00394471" w:rsidP="00FA0D37">
      <w:pPr>
        <w:pStyle w:val="PL"/>
        <w:rPr>
          <w:color w:val="808080"/>
        </w:rPr>
      </w:pPr>
      <w:r w:rsidRPr="00FA0D37">
        <w:t xml:space="preserve">    initialUplinkBWP                    BWP-UplinkDedicated                                                     </w:t>
      </w:r>
      <w:r w:rsidRPr="00FA0D37">
        <w:rPr>
          <w:color w:val="993366"/>
        </w:rPr>
        <w:t>OPTIONAL</w:t>
      </w:r>
      <w:r w:rsidRPr="00FA0D37">
        <w:t xml:space="preserve">,   </w:t>
      </w:r>
      <w:r w:rsidRPr="00FA0D37">
        <w:rPr>
          <w:color w:val="808080"/>
        </w:rPr>
        <w:t>-- Need M</w:t>
      </w:r>
    </w:p>
    <w:p w14:paraId="64910672" w14:textId="77777777" w:rsidR="00394471" w:rsidRPr="00FA0D37" w:rsidRDefault="00394471" w:rsidP="00FA0D37">
      <w:pPr>
        <w:pStyle w:val="PL"/>
        <w:rPr>
          <w:color w:val="808080"/>
        </w:rPr>
      </w:pPr>
      <w:r w:rsidRPr="00FA0D37">
        <w:t xml:space="preserve">    uplinkBWP-ToReleaseList             </w:t>
      </w:r>
      <w:r w:rsidRPr="00FA0D37">
        <w:rPr>
          <w:color w:val="993366"/>
        </w:rPr>
        <w:t>SEQUENCE</w:t>
      </w:r>
      <w:r w:rsidRPr="00FA0D37">
        <w:t xml:space="preserve"> (</w:t>
      </w:r>
      <w:r w:rsidRPr="00FA0D37">
        <w:rPr>
          <w:color w:val="993366"/>
        </w:rPr>
        <w:t>SIZE</w:t>
      </w:r>
      <w:r w:rsidRPr="00FA0D37">
        <w:t xml:space="preserve"> (1..maxNrofBWPs))</w:t>
      </w:r>
      <w:r w:rsidRPr="00FA0D37">
        <w:rPr>
          <w:color w:val="993366"/>
        </w:rPr>
        <w:t xml:space="preserve"> OF</w:t>
      </w:r>
      <w:r w:rsidRPr="00FA0D37">
        <w:t xml:space="preserve"> BWP-Id                              </w:t>
      </w:r>
      <w:r w:rsidRPr="00FA0D37">
        <w:rPr>
          <w:color w:val="993366"/>
        </w:rPr>
        <w:t>OPTIONAL</w:t>
      </w:r>
      <w:r w:rsidRPr="00FA0D37">
        <w:t xml:space="preserve">,   </w:t>
      </w:r>
      <w:r w:rsidRPr="00FA0D37">
        <w:rPr>
          <w:color w:val="808080"/>
        </w:rPr>
        <w:t>-- Need N</w:t>
      </w:r>
    </w:p>
    <w:p w14:paraId="2AB12E43" w14:textId="77777777" w:rsidR="00394471" w:rsidRPr="00FA0D37" w:rsidRDefault="00394471" w:rsidP="00FA0D37">
      <w:pPr>
        <w:pStyle w:val="PL"/>
        <w:rPr>
          <w:color w:val="808080"/>
        </w:rPr>
      </w:pPr>
      <w:r w:rsidRPr="00FA0D37">
        <w:t xml:space="preserve">    uplinkBWP-ToAddModList              </w:t>
      </w:r>
      <w:r w:rsidRPr="00FA0D37">
        <w:rPr>
          <w:color w:val="993366"/>
        </w:rPr>
        <w:t>SEQUENCE</w:t>
      </w:r>
      <w:r w:rsidRPr="00FA0D37">
        <w:t xml:space="preserve"> (</w:t>
      </w:r>
      <w:r w:rsidRPr="00FA0D37">
        <w:rPr>
          <w:color w:val="993366"/>
        </w:rPr>
        <w:t>SIZE</w:t>
      </w:r>
      <w:r w:rsidRPr="00FA0D37">
        <w:t xml:space="preserve"> (1..maxNrofBWPs))</w:t>
      </w:r>
      <w:r w:rsidRPr="00FA0D37">
        <w:rPr>
          <w:color w:val="993366"/>
        </w:rPr>
        <w:t xml:space="preserve"> OF</w:t>
      </w:r>
      <w:r w:rsidRPr="00FA0D37">
        <w:t xml:space="preserve"> BWP-Uplink                          </w:t>
      </w:r>
      <w:r w:rsidRPr="00FA0D37">
        <w:rPr>
          <w:color w:val="993366"/>
        </w:rPr>
        <w:t>OPTIONAL</w:t>
      </w:r>
      <w:r w:rsidRPr="00FA0D37">
        <w:t xml:space="preserve">,   </w:t>
      </w:r>
      <w:r w:rsidRPr="00FA0D37">
        <w:rPr>
          <w:color w:val="808080"/>
        </w:rPr>
        <w:t>-- Need N</w:t>
      </w:r>
    </w:p>
    <w:p w14:paraId="6A489AED" w14:textId="77777777" w:rsidR="00394471" w:rsidRPr="00FA0D37" w:rsidRDefault="00394471" w:rsidP="00FA0D37">
      <w:pPr>
        <w:pStyle w:val="PL"/>
        <w:rPr>
          <w:color w:val="808080"/>
        </w:rPr>
      </w:pPr>
      <w:r w:rsidRPr="00FA0D37">
        <w:t xml:space="preserve">    firstActiveUplinkBWP-Id             BWP-Id                                                                  </w:t>
      </w:r>
      <w:r w:rsidRPr="00FA0D37">
        <w:rPr>
          <w:color w:val="993366"/>
        </w:rPr>
        <w:t>OPTIONAL</w:t>
      </w:r>
      <w:r w:rsidRPr="00FA0D37">
        <w:t xml:space="preserve">,   </w:t>
      </w:r>
      <w:r w:rsidRPr="00FA0D37">
        <w:rPr>
          <w:color w:val="808080"/>
        </w:rPr>
        <w:t>-- Cond SyncAndCellAdd</w:t>
      </w:r>
    </w:p>
    <w:p w14:paraId="7E6C6716" w14:textId="77777777" w:rsidR="00394471" w:rsidRPr="00FA0D37" w:rsidRDefault="00394471" w:rsidP="00FA0D37">
      <w:pPr>
        <w:pStyle w:val="PL"/>
        <w:rPr>
          <w:color w:val="808080"/>
        </w:rPr>
      </w:pPr>
      <w:r w:rsidRPr="00FA0D37">
        <w:t xml:space="preserve">    pusch-ServingCellConfig             SetupRelease { PUSCH-ServingCellConfig }                                </w:t>
      </w:r>
      <w:r w:rsidRPr="00FA0D37">
        <w:rPr>
          <w:color w:val="993366"/>
        </w:rPr>
        <w:t>OPTIONAL</w:t>
      </w:r>
      <w:r w:rsidRPr="00FA0D37">
        <w:t xml:space="preserve">,   </w:t>
      </w:r>
      <w:r w:rsidRPr="00FA0D37">
        <w:rPr>
          <w:color w:val="808080"/>
        </w:rPr>
        <w:t>-- Need M</w:t>
      </w:r>
    </w:p>
    <w:p w14:paraId="1FBBB3E6" w14:textId="77777777" w:rsidR="00394471" w:rsidRPr="00FA0D37" w:rsidRDefault="00394471" w:rsidP="00FA0D37">
      <w:pPr>
        <w:pStyle w:val="PL"/>
        <w:rPr>
          <w:color w:val="808080"/>
        </w:rPr>
      </w:pPr>
      <w:r w:rsidRPr="00FA0D37">
        <w:t xml:space="preserve">    carrierSwitching                    SetupRelease { SRS-CarrierSwitching }                                   </w:t>
      </w:r>
      <w:r w:rsidRPr="00FA0D37">
        <w:rPr>
          <w:color w:val="993366"/>
        </w:rPr>
        <w:t>OPTIONAL</w:t>
      </w:r>
      <w:r w:rsidRPr="00FA0D37">
        <w:t xml:space="preserve">,   </w:t>
      </w:r>
      <w:r w:rsidRPr="00FA0D37">
        <w:rPr>
          <w:color w:val="808080"/>
        </w:rPr>
        <w:t>-- Need M</w:t>
      </w:r>
    </w:p>
    <w:p w14:paraId="7EF15099" w14:textId="77777777" w:rsidR="00394471" w:rsidRPr="00FA0D37" w:rsidRDefault="00394471" w:rsidP="00FA0D37">
      <w:pPr>
        <w:pStyle w:val="PL"/>
      </w:pPr>
      <w:r w:rsidRPr="00FA0D37">
        <w:t xml:space="preserve">    ...,</w:t>
      </w:r>
    </w:p>
    <w:p w14:paraId="0AADF9D1" w14:textId="77777777" w:rsidR="00394471" w:rsidRPr="00FA0D37" w:rsidRDefault="00394471" w:rsidP="00FA0D37">
      <w:pPr>
        <w:pStyle w:val="PL"/>
      </w:pPr>
      <w:r w:rsidRPr="00FA0D37">
        <w:t xml:space="preserve">    [[</w:t>
      </w:r>
    </w:p>
    <w:p w14:paraId="4F5580B2" w14:textId="77777777" w:rsidR="00394471" w:rsidRPr="00FA0D37" w:rsidRDefault="00394471" w:rsidP="00FA0D37">
      <w:pPr>
        <w:pStyle w:val="PL"/>
        <w:rPr>
          <w:color w:val="808080"/>
        </w:rPr>
      </w:pPr>
      <w:r w:rsidRPr="00FA0D37">
        <w:lastRenderedPageBreak/>
        <w:t xml:space="preserve">    powerBoostPi2BPSK                   </w:t>
      </w:r>
      <w:r w:rsidRPr="00FA0D37">
        <w:rPr>
          <w:color w:val="993366"/>
        </w:rPr>
        <w:t>BOOLEAN</w:t>
      </w:r>
      <w:r w:rsidRPr="00FA0D37">
        <w:t xml:space="preserve">                                                                 </w:t>
      </w:r>
      <w:r w:rsidRPr="00FA0D37">
        <w:rPr>
          <w:color w:val="993366"/>
        </w:rPr>
        <w:t>OPTIONAL</w:t>
      </w:r>
      <w:r w:rsidRPr="00FA0D37">
        <w:t xml:space="preserve">,   </w:t>
      </w:r>
      <w:r w:rsidRPr="00FA0D37">
        <w:rPr>
          <w:color w:val="808080"/>
        </w:rPr>
        <w:t>-- Need M</w:t>
      </w:r>
    </w:p>
    <w:p w14:paraId="1E37083B" w14:textId="77777777" w:rsidR="00394471" w:rsidRPr="00FA0D37" w:rsidRDefault="00394471" w:rsidP="00FA0D37">
      <w:pPr>
        <w:pStyle w:val="PL"/>
        <w:rPr>
          <w:color w:val="808080"/>
        </w:rPr>
      </w:pPr>
      <w:r w:rsidRPr="00FA0D37">
        <w:t xml:space="preserve">    uplinkChannelBW-PerSCS-List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SCS-SpecificCarrier                     </w:t>
      </w:r>
      <w:r w:rsidRPr="00FA0D37">
        <w:rPr>
          <w:color w:val="993366"/>
        </w:rPr>
        <w:t>OPTIONAL</w:t>
      </w:r>
      <w:r w:rsidRPr="00FA0D37">
        <w:t xml:space="preserve">    </w:t>
      </w:r>
      <w:r w:rsidRPr="00FA0D37">
        <w:rPr>
          <w:color w:val="808080"/>
        </w:rPr>
        <w:t>-- Need S</w:t>
      </w:r>
    </w:p>
    <w:p w14:paraId="40437190" w14:textId="77777777" w:rsidR="00394471" w:rsidRPr="00FA0D37" w:rsidRDefault="00394471" w:rsidP="00FA0D37">
      <w:pPr>
        <w:pStyle w:val="PL"/>
      </w:pPr>
      <w:r w:rsidRPr="00FA0D37">
        <w:t xml:space="preserve">    ]],</w:t>
      </w:r>
    </w:p>
    <w:p w14:paraId="766868A4" w14:textId="77777777" w:rsidR="00394471" w:rsidRPr="00FA0D37" w:rsidRDefault="00394471" w:rsidP="00FA0D37">
      <w:pPr>
        <w:pStyle w:val="PL"/>
      </w:pPr>
      <w:r w:rsidRPr="00FA0D37">
        <w:t xml:space="preserve">    [[</w:t>
      </w:r>
    </w:p>
    <w:p w14:paraId="1E8358C9" w14:textId="77777777" w:rsidR="00394471" w:rsidRPr="00FA0D37" w:rsidRDefault="00394471" w:rsidP="00FA0D37">
      <w:pPr>
        <w:pStyle w:val="PL"/>
        <w:rPr>
          <w:color w:val="808080"/>
        </w:rPr>
      </w:pPr>
      <w:r w:rsidRPr="00FA0D37">
        <w:t xml:space="preserve">    enablePL-RS-UpdateForPUSCH-SRS-r16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FF1DE94" w14:textId="77777777" w:rsidR="00394471" w:rsidRPr="00FA0D37" w:rsidRDefault="00394471" w:rsidP="00FA0D37">
      <w:pPr>
        <w:pStyle w:val="PL"/>
        <w:rPr>
          <w:color w:val="808080"/>
        </w:rPr>
      </w:pPr>
      <w:r w:rsidRPr="00FA0D37">
        <w:t xml:space="preserve">    enableDefaultBeamPL-ForPUSCH0-0-r16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6CF49926" w14:textId="77777777" w:rsidR="00394471" w:rsidRPr="00FA0D37" w:rsidRDefault="00394471" w:rsidP="00FA0D37">
      <w:pPr>
        <w:pStyle w:val="PL"/>
        <w:rPr>
          <w:color w:val="808080"/>
        </w:rPr>
      </w:pPr>
      <w:r w:rsidRPr="00FA0D37">
        <w:t xml:space="preserve">    enableDefaultBeamPL-ForPUCCH-r16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7EA42848" w14:textId="77777777" w:rsidR="00394471" w:rsidRPr="00FA0D37" w:rsidRDefault="00394471" w:rsidP="00FA0D37">
      <w:pPr>
        <w:pStyle w:val="PL"/>
        <w:rPr>
          <w:color w:val="808080"/>
        </w:rPr>
      </w:pPr>
      <w:r w:rsidRPr="00FA0D37">
        <w:t xml:space="preserve">    enableDefaultBeamPL-ForSRS-r16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7AAA5E7E" w14:textId="77777777" w:rsidR="00394471" w:rsidRPr="00FA0D37" w:rsidRDefault="00394471" w:rsidP="00FA0D37">
      <w:pPr>
        <w:pStyle w:val="PL"/>
        <w:rPr>
          <w:color w:val="808080"/>
        </w:rPr>
      </w:pPr>
      <w:r w:rsidRPr="00FA0D37">
        <w:t xml:space="preserve">    uplinkTxSwitching-r16               SetupRelease { UplinkTxSwitching-r16 }                                  </w:t>
      </w:r>
      <w:r w:rsidRPr="00FA0D37">
        <w:rPr>
          <w:color w:val="993366"/>
        </w:rPr>
        <w:t>OPTIONAL</w:t>
      </w:r>
      <w:r w:rsidRPr="00FA0D37">
        <w:t xml:space="preserve">,   </w:t>
      </w:r>
      <w:r w:rsidRPr="00FA0D37">
        <w:rPr>
          <w:color w:val="808080"/>
        </w:rPr>
        <w:t>-- Need M</w:t>
      </w:r>
    </w:p>
    <w:p w14:paraId="74F81037" w14:textId="77777777" w:rsidR="00394471" w:rsidRPr="00FA0D37" w:rsidRDefault="00394471" w:rsidP="00FA0D37">
      <w:pPr>
        <w:pStyle w:val="PL"/>
        <w:rPr>
          <w:color w:val="808080"/>
        </w:rPr>
      </w:pPr>
      <w:r w:rsidRPr="00FA0D37">
        <w:t xml:space="preserve">    mpr-PowerBoost-FR2-r16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6B930557" w14:textId="77777777" w:rsidR="00394471" w:rsidRPr="00FA0D37" w:rsidRDefault="00394471" w:rsidP="00FA0D37">
      <w:pPr>
        <w:pStyle w:val="PL"/>
      </w:pPr>
      <w:r w:rsidRPr="00FA0D37">
        <w:t xml:space="preserve">    ]]</w:t>
      </w:r>
    </w:p>
    <w:p w14:paraId="0240C216" w14:textId="77777777" w:rsidR="00394471" w:rsidRPr="00FA0D37" w:rsidRDefault="00394471" w:rsidP="00FA0D37">
      <w:pPr>
        <w:pStyle w:val="PL"/>
      </w:pPr>
      <w:r w:rsidRPr="00FA0D37">
        <w:t>}</w:t>
      </w:r>
    </w:p>
    <w:p w14:paraId="096273A1" w14:textId="77777777" w:rsidR="00394471" w:rsidRPr="00FA0D37" w:rsidRDefault="00394471" w:rsidP="00FA0D37">
      <w:pPr>
        <w:pStyle w:val="PL"/>
      </w:pPr>
    </w:p>
    <w:p w14:paraId="20FA8C5C" w14:textId="19B834F4" w:rsidR="00394471" w:rsidRPr="00FA0D37" w:rsidRDefault="00763FBA" w:rsidP="00FA0D37">
      <w:pPr>
        <w:pStyle w:val="PL"/>
      </w:pPr>
      <w:r w:rsidRPr="00FA0D37">
        <w:t>DummyJ</w:t>
      </w:r>
      <w:r w:rsidR="00394471" w:rsidRPr="00FA0D37">
        <w:t xml:space="preserve"> ::=            </w:t>
      </w:r>
      <w:r w:rsidRPr="00FA0D37">
        <w:t xml:space="preserve">              </w:t>
      </w:r>
      <w:r w:rsidR="00394471" w:rsidRPr="00FA0D37">
        <w:rPr>
          <w:color w:val="993366"/>
        </w:rPr>
        <w:t>SEQUENCE</w:t>
      </w:r>
      <w:r w:rsidR="00394471" w:rsidRPr="00FA0D37">
        <w:t xml:space="preserve"> {</w:t>
      </w:r>
    </w:p>
    <w:p w14:paraId="46E7579D" w14:textId="77777777" w:rsidR="00394471" w:rsidRPr="00FA0D37" w:rsidRDefault="00394471" w:rsidP="00FA0D37">
      <w:pPr>
        <w:pStyle w:val="PL"/>
      </w:pPr>
      <w:r w:rsidRPr="00FA0D37">
        <w:t xml:space="preserve">    maxEnergyDetectionThreshold-r16         </w:t>
      </w:r>
      <w:r w:rsidRPr="00FA0D37">
        <w:rPr>
          <w:color w:val="993366"/>
        </w:rPr>
        <w:t>INTEGER</w:t>
      </w:r>
      <w:r w:rsidRPr="00FA0D37">
        <w:t>(-85..-52),</w:t>
      </w:r>
    </w:p>
    <w:p w14:paraId="34190774" w14:textId="77777777" w:rsidR="00394471" w:rsidRPr="00FA0D37" w:rsidRDefault="00394471" w:rsidP="00FA0D37">
      <w:pPr>
        <w:pStyle w:val="PL"/>
      </w:pPr>
      <w:r w:rsidRPr="00FA0D37">
        <w:t xml:space="preserve">    energyDetectionThresholdOffset-r16      </w:t>
      </w:r>
      <w:r w:rsidRPr="00FA0D37">
        <w:rPr>
          <w:color w:val="993366"/>
        </w:rPr>
        <w:t>INTEGER</w:t>
      </w:r>
      <w:r w:rsidRPr="00FA0D37">
        <w:t xml:space="preserve"> (-20..-13),</w:t>
      </w:r>
    </w:p>
    <w:p w14:paraId="3F3FAE07" w14:textId="044BD2FA" w:rsidR="00394471" w:rsidRPr="00FA0D37" w:rsidRDefault="00394471" w:rsidP="00FA0D37">
      <w:pPr>
        <w:pStyle w:val="PL"/>
        <w:rPr>
          <w:color w:val="808080"/>
        </w:rPr>
      </w:pPr>
      <w:r w:rsidRPr="00FA0D37">
        <w:t xml:space="preserve">    ul-toDL-COT-SharingED-Threshold-r16     </w:t>
      </w:r>
      <w:r w:rsidRPr="00FA0D37">
        <w:rPr>
          <w:color w:val="993366"/>
        </w:rPr>
        <w:t>INTEGER</w:t>
      </w:r>
      <w:r w:rsidRPr="00FA0D37">
        <w:t xml:space="preserve"> (-85..-52)    </w:t>
      </w:r>
      <w:r w:rsidR="00763FBA" w:rsidRPr="00FA0D37">
        <w:t xml:space="preserve">                                              </w:t>
      </w:r>
      <w:r w:rsidRPr="00FA0D37">
        <w:rPr>
          <w:color w:val="993366"/>
        </w:rPr>
        <w:t>OPTIONAL</w:t>
      </w:r>
      <w:r w:rsidRPr="00FA0D37">
        <w:t xml:space="preserve">,   </w:t>
      </w:r>
      <w:r w:rsidRPr="00FA0D37">
        <w:rPr>
          <w:color w:val="808080"/>
        </w:rPr>
        <w:t>-- Need R</w:t>
      </w:r>
    </w:p>
    <w:p w14:paraId="090427ED" w14:textId="0FD1177F" w:rsidR="00394471" w:rsidRPr="00FA0D37" w:rsidRDefault="00394471" w:rsidP="00FA0D37">
      <w:pPr>
        <w:pStyle w:val="PL"/>
        <w:rPr>
          <w:color w:val="808080"/>
        </w:rPr>
      </w:pPr>
      <w:r w:rsidRPr="00FA0D37">
        <w:t xml:space="preserve">    absenceOfAnyOtherTechnology-r16         </w:t>
      </w:r>
      <w:r w:rsidRPr="00FA0D37">
        <w:rPr>
          <w:color w:val="993366"/>
        </w:rPr>
        <w:t>ENUMERATED</w:t>
      </w:r>
      <w:r w:rsidRPr="00FA0D37">
        <w:t xml:space="preserve"> {true}     </w:t>
      </w:r>
      <w:r w:rsidR="00763FBA" w:rsidRPr="00FA0D37">
        <w:t xml:space="preserve">                                              </w:t>
      </w:r>
      <w:r w:rsidRPr="00FA0D37">
        <w:rPr>
          <w:color w:val="993366"/>
        </w:rPr>
        <w:t>OPTIONAL</w:t>
      </w:r>
      <w:r w:rsidRPr="00FA0D37">
        <w:t xml:space="preserve">    </w:t>
      </w:r>
      <w:r w:rsidRPr="00FA0D37">
        <w:rPr>
          <w:color w:val="808080"/>
        </w:rPr>
        <w:t>-- Need R</w:t>
      </w:r>
    </w:p>
    <w:p w14:paraId="7F7C595B" w14:textId="77777777" w:rsidR="00394471" w:rsidRPr="00FA0D37" w:rsidRDefault="00394471" w:rsidP="00FA0D37">
      <w:pPr>
        <w:pStyle w:val="PL"/>
      </w:pPr>
      <w:r w:rsidRPr="00FA0D37">
        <w:t>}</w:t>
      </w:r>
    </w:p>
    <w:p w14:paraId="187F8B32" w14:textId="77777777" w:rsidR="00763FBA" w:rsidRPr="00FA0D37" w:rsidRDefault="00763FBA" w:rsidP="00FA0D37">
      <w:pPr>
        <w:pStyle w:val="PL"/>
      </w:pPr>
    </w:p>
    <w:p w14:paraId="37BC3F3B" w14:textId="52802104" w:rsidR="00763FBA" w:rsidRPr="00FA0D37" w:rsidRDefault="00763FBA" w:rsidP="00FA0D37">
      <w:pPr>
        <w:pStyle w:val="PL"/>
      </w:pPr>
      <w:r w:rsidRPr="00FA0D37">
        <w:t xml:space="preserve">ChannelAccessConfig-r16 ::=         </w:t>
      </w:r>
      <w:r w:rsidRPr="00FA0D37">
        <w:rPr>
          <w:color w:val="993366"/>
        </w:rPr>
        <w:t>SEQUENCE</w:t>
      </w:r>
      <w:r w:rsidRPr="00FA0D37">
        <w:t xml:space="preserve"> {</w:t>
      </w:r>
    </w:p>
    <w:p w14:paraId="4BD28D01" w14:textId="77777777" w:rsidR="00763FBA" w:rsidRPr="00FA0D37" w:rsidRDefault="00763FBA" w:rsidP="00FA0D37">
      <w:pPr>
        <w:pStyle w:val="PL"/>
      </w:pPr>
      <w:r w:rsidRPr="00FA0D37">
        <w:t xml:space="preserve">    energyDetectionConfig-r16           </w:t>
      </w:r>
      <w:r w:rsidRPr="00FA0D37">
        <w:rPr>
          <w:color w:val="993366"/>
        </w:rPr>
        <w:t>CHOICE</w:t>
      </w:r>
      <w:r w:rsidRPr="00FA0D37">
        <w:t xml:space="preserve"> {</w:t>
      </w:r>
    </w:p>
    <w:p w14:paraId="67783FA5" w14:textId="77777777" w:rsidR="00763FBA" w:rsidRPr="00FA0D37" w:rsidRDefault="00763FBA" w:rsidP="00FA0D37">
      <w:pPr>
        <w:pStyle w:val="PL"/>
      </w:pPr>
      <w:r w:rsidRPr="00FA0D37">
        <w:t xml:space="preserve">        maxEnergyDetectionThreshold-r16         </w:t>
      </w:r>
      <w:r w:rsidRPr="00FA0D37">
        <w:rPr>
          <w:color w:val="993366"/>
        </w:rPr>
        <w:t>INTEGER</w:t>
      </w:r>
      <w:r w:rsidRPr="00FA0D37">
        <w:t xml:space="preserve"> (-85..-52),</w:t>
      </w:r>
    </w:p>
    <w:p w14:paraId="0B2E8672" w14:textId="77777777" w:rsidR="00763FBA" w:rsidRPr="00FA0D37" w:rsidRDefault="00763FBA" w:rsidP="00FA0D37">
      <w:pPr>
        <w:pStyle w:val="PL"/>
      </w:pPr>
      <w:r w:rsidRPr="00FA0D37">
        <w:t xml:space="preserve">        energyDetectionThresholdOffset-r16      </w:t>
      </w:r>
      <w:r w:rsidRPr="00FA0D37">
        <w:rPr>
          <w:color w:val="993366"/>
        </w:rPr>
        <w:t>INTEGER</w:t>
      </w:r>
      <w:r w:rsidRPr="00FA0D37">
        <w:t xml:space="preserve"> (-13..20)</w:t>
      </w:r>
    </w:p>
    <w:p w14:paraId="12E86D4D" w14:textId="77777777" w:rsidR="00763FBA" w:rsidRPr="00FA0D37" w:rsidRDefault="00763FBA"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79B5EB0D" w14:textId="77777777" w:rsidR="00763FBA" w:rsidRPr="00FA0D37" w:rsidRDefault="00763FBA" w:rsidP="00FA0D37">
      <w:pPr>
        <w:pStyle w:val="PL"/>
        <w:rPr>
          <w:color w:val="808080"/>
        </w:rPr>
      </w:pPr>
      <w:r w:rsidRPr="00FA0D37">
        <w:t xml:space="preserve">    ul-toDL-COT-SharingED-Threshold-r16         </w:t>
      </w:r>
      <w:r w:rsidRPr="00FA0D37">
        <w:rPr>
          <w:color w:val="993366"/>
        </w:rPr>
        <w:t>INTEGER</w:t>
      </w:r>
      <w:r w:rsidRPr="00FA0D37">
        <w:t xml:space="preserve"> (-85..-52)                                              </w:t>
      </w:r>
      <w:r w:rsidRPr="00FA0D37">
        <w:rPr>
          <w:color w:val="993366"/>
        </w:rPr>
        <w:t>OPTIONAL</w:t>
      </w:r>
      <w:r w:rsidRPr="00FA0D37">
        <w:t xml:space="preserve">,   </w:t>
      </w:r>
      <w:r w:rsidRPr="00FA0D37">
        <w:rPr>
          <w:color w:val="808080"/>
        </w:rPr>
        <w:t>-- Need R</w:t>
      </w:r>
    </w:p>
    <w:p w14:paraId="530747E2" w14:textId="77777777" w:rsidR="00763FBA" w:rsidRPr="00FA0D37" w:rsidRDefault="00763FBA" w:rsidP="00FA0D37">
      <w:pPr>
        <w:pStyle w:val="PL"/>
        <w:rPr>
          <w:color w:val="808080"/>
        </w:rPr>
      </w:pPr>
      <w:r w:rsidRPr="00FA0D37">
        <w:t xml:space="preserve">    absenceOfAnyOtherTechnology-r16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95D942C" w14:textId="77777777" w:rsidR="00763FBA" w:rsidRPr="00FA0D37" w:rsidRDefault="00763FBA" w:rsidP="00FA0D37">
      <w:pPr>
        <w:pStyle w:val="PL"/>
      </w:pPr>
      <w:r w:rsidRPr="00FA0D37">
        <w:t>}</w:t>
      </w:r>
    </w:p>
    <w:p w14:paraId="607CE2FB" w14:textId="77777777" w:rsidR="00394471" w:rsidRPr="00FA0D37" w:rsidRDefault="00394471" w:rsidP="00FA0D37">
      <w:pPr>
        <w:pStyle w:val="PL"/>
      </w:pPr>
    </w:p>
    <w:p w14:paraId="321C98D1" w14:textId="77777777" w:rsidR="00394471" w:rsidRPr="00FA0D37" w:rsidRDefault="00394471" w:rsidP="00FA0D37">
      <w:pPr>
        <w:pStyle w:val="PL"/>
      </w:pPr>
      <w:r w:rsidRPr="00FA0D37">
        <w:t xml:space="preserve">IntraCellGuardBandsPerSCS-r16 ::=      </w:t>
      </w:r>
      <w:r w:rsidRPr="00FA0D37">
        <w:rPr>
          <w:color w:val="993366"/>
        </w:rPr>
        <w:t>SEQUENCE</w:t>
      </w:r>
      <w:r w:rsidRPr="00FA0D37">
        <w:t xml:space="preserve"> {</w:t>
      </w:r>
    </w:p>
    <w:p w14:paraId="0E1F5768" w14:textId="77777777" w:rsidR="00394471" w:rsidRPr="00FA0D37" w:rsidRDefault="00394471" w:rsidP="00FA0D37">
      <w:pPr>
        <w:pStyle w:val="PL"/>
      </w:pPr>
      <w:r w:rsidRPr="00FA0D37">
        <w:t xml:space="preserve">    guardBandSCS-r16                       SubcarrierSpacing,</w:t>
      </w:r>
    </w:p>
    <w:p w14:paraId="6368DD36" w14:textId="77777777" w:rsidR="00394471" w:rsidRPr="00FA0D37" w:rsidRDefault="00394471" w:rsidP="00FA0D37">
      <w:pPr>
        <w:pStyle w:val="PL"/>
      </w:pPr>
      <w:r w:rsidRPr="00FA0D37">
        <w:t xml:space="preserve">    intraCellGuardBands-r16                </w:t>
      </w:r>
      <w:r w:rsidRPr="00FA0D37">
        <w:rPr>
          <w:color w:val="993366"/>
        </w:rPr>
        <w:t>SEQUENCE</w:t>
      </w:r>
      <w:r w:rsidRPr="00FA0D37">
        <w:t xml:space="preserve"> (</w:t>
      </w:r>
      <w:r w:rsidRPr="00FA0D37">
        <w:rPr>
          <w:color w:val="993366"/>
        </w:rPr>
        <w:t>SIZE</w:t>
      </w:r>
      <w:r w:rsidRPr="00FA0D37">
        <w:t xml:space="preserve"> (1..4))</w:t>
      </w:r>
      <w:r w:rsidRPr="00FA0D37">
        <w:rPr>
          <w:color w:val="993366"/>
        </w:rPr>
        <w:t xml:space="preserve"> OF</w:t>
      </w:r>
      <w:r w:rsidRPr="00FA0D37">
        <w:t xml:space="preserve"> GuardBand-r16</w:t>
      </w:r>
    </w:p>
    <w:p w14:paraId="48FB55CE" w14:textId="77777777" w:rsidR="00394471" w:rsidRPr="00FA0D37" w:rsidRDefault="00394471" w:rsidP="00FA0D37">
      <w:pPr>
        <w:pStyle w:val="PL"/>
      </w:pPr>
      <w:r w:rsidRPr="00FA0D37">
        <w:t>}</w:t>
      </w:r>
    </w:p>
    <w:p w14:paraId="6D179CF8" w14:textId="77777777" w:rsidR="00394471" w:rsidRPr="00FA0D37" w:rsidRDefault="00394471" w:rsidP="00FA0D37">
      <w:pPr>
        <w:pStyle w:val="PL"/>
      </w:pPr>
    </w:p>
    <w:p w14:paraId="3DEDCDD4" w14:textId="77777777" w:rsidR="00394471" w:rsidRPr="00FA0D37" w:rsidRDefault="00394471" w:rsidP="00FA0D37">
      <w:pPr>
        <w:pStyle w:val="PL"/>
      </w:pPr>
      <w:r w:rsidRPr="00FA0D37">
        <w:t xml:space="preserve">GuardBand-r16 ::=                      </w:t>
      </w:r>
      <w:r w:rsidRPr="00FA0D37">
        <w:rPr>
          <w:color w:val="993366"/>
        </w:rPr>
        <w:t>SEQUENCE</w:t>
      </w:r>
      <w:r w:rsidRPr="00FA0D37">
        <w:t xml:space="preserve"> {</w:t>
      </w:r>
    </w:p>
    <w:p w14:paraId="66FE220B" w14:textId="77777777" w:rsidR="00394471" w:rsidRPr="00FA0D37" w:rsidRDefault="00394471" w:rsidP="00FA0D37">
      <w:pPr>
        <w:pStyle w:val="PL"/>
      </w:pPr>
      <w:r w:rsidRPr="00FA0D37">
        <w:t xml:space="preserve">     startCRB-r16                          </w:t>
      </w:r>
      <w:r w:rsidRPr="00FA0D37">
        <w:rPr>
          <w:color w:val="993366"/>
        </w:rPr>
        <w:t>INTEGER</w:t>
      </w:r>
      <w:r w:rsidRPr="00FA0D37">
        <w:t xml:space="preserve"> (0..274),</w:t>
      </w:r>
    </w:p>
    <w:p w14:paraId="3E6CECA4" w14:textId="77777777" w:rsidR="00394471" w:rsidRPr="00FA0D37" w:rsidRDefault="00394471" w:rsidP="00FA0D37">
      <w:pPr>
        <w:pStyle w:val="PL"/>
      </w:pPr>
      <w:r w:rsidRPr="00FA0D37">
        <w:t xml:space="preserve">     nrofCRBs-r16                          </w:t>
      </w:r>
      <w:r w:rsidRPr="00FA0D37">
        <w:rPr>
          <w:color w:val="993366"/>
        </w:rPr>
        <w:t>INTEGER</w:t>
      </w:r>
      <w:r w:rsidRPr="00FA0D37">
        <w:t xml:space="preserve"> (0..15)</w:t>
      </w:r>
    </w:p>
    <w:p w14:paraId="73BF37F3" w14:textId="77777777" w:rsidR="00394471" w:rsidRPr="00FA0D37" w:rsidRDefault="00394471" w:rsidP="00FA0D37">
      <w:pPr>
        <w:pStyle w:val="PL"/>
      </w:pPr>
      <w:r w:rsidRPr="00FA0D37">
        <w:t>}</w:t>
      </w:r>
    </w:p>
    <w:p w14:paraId="09D26675" w14:textId="77777777" w:rsidR="00394471" w:rsidRPr="00FA0D37" w:rsidRDefault="00394471" w:rsidP="00FA0D37">
      <w:pPr>
        <w:pStyle w:val="PL"/>
      </w:pPr>
    </w:p>
    <w:p w14:paraId="67B14FAC" w14:textId="77777777" w:rsidR="00394471" w:rsidRPr="00FA0D37" w:rsidRDefault="00394471" w:rsidP="00FA0D37">
      <w:pPr>
        <w:pStyle w:val="PL"/>
      </w:pPr>
      <w:r w:rsidRPr="00FA0D37">
        <w:t xml:space="preserve">DormancyGroupID-r16 ::=         </w:t>
      </w:r>
      <w:r w:rsidRPr="00FA0D37">
        <w:rPr>
          <w:color w:val="993366"/>
        </w:rPr>
        <w:t>INTEGER</w:t>
      </w:r>
      <w:r w:rsidRPr="00FA0D37">
        <w:t xml:space="preserve"> (0..4)</w:t>
      </w:r>
    </w:p>
    <w:p w14:paraId="184A6A08" w14:textId="77777777" w:rsidR="00394471" w:rsidRPr="00FA0D37" w:rsidRDefault="00394471" w:rsidP="00FA0D37">
      <w:pPr>
        <w:pStyle w:val="PL"/>
      </w:pPr>
    </w:p>
    <w:p w14:paraId="79D261A3" w14:textId="77777777" w:rsidR="00394471" w:rsidRPr="00FA0D37" w:rsidRDefault="00394471" w:rsidP="00FA0D37">
      <w:pPr>
        <w:pStyle w:val="PL"/>
      </w:pPr>
      <w:r w:rsidRPr="00FA0D37">
        <w:t xml:space="preserve">DormantBWP-Config-r16::=               </w:t>
      </w:r>
      <w:r w:rsidRPr="00FA0D37">
        <w:rPr>
          <w:color w:val="993366"/>
        </w:rPr>
        <w:t>SEQUENCE</w:t>
      </w:r>
      <w:r w:rsidRPr="00FA0D37">
        <w:t xml:space="preserve"> {</w:t>
      </w:r>
    </w:p>
    <w:p w14:paraId="16F894EA" w14:textId="77777777" w:rsidR="00394471" w:rsidRPr="00FA0D37" w:rsidRDefault="00394471" w:rsidP="00FA0D37">
      <w:pPr>
        <w:pStyle w:val="PL"/>
        <w:rPr>
          <w:color w:val="808080"/>
        </w:rPr>
      </w:pPr>
      <w:r w:rsidRPr="00FA0D37">
        <w:t xml:space="preserve">    dormantBWP-Id-r16                      BWP-Id                                                           </w:t>
      </w:r>
      <w:r w:rsidRPr="00FA0D37">
        <w:rPr>
          <w:color w:val="993366"/>
        </w:rPr>
        <w:t>OPTIONAL</w:t>
      </w:r>
      <w:r w:rsidRPr="00FA0D37">
        <w:t xml:space="preserve">,   </w:t>
      </w:r>
      <w:r w:rsidRPr="00FA0D37">
        <w:rPr>
          <w:color w:val="808080"/>
        </w:rPr>
        <w:t>-- Need M</w:t>
      </w:r>
    </w:p>
    <w:p w14:paraId="5975A1A9" w14:textId="77777777" w:rsidR="00394471" w:rsidRPr="00FA0D37" w:rsidRDefault="00394471" w:rsidP="00FA0D37">
      <w:pPr>
        <w:pStyle w:val="PL"/>
        <w:rPr>
          <w:color w:val="808080"/>
        </w:rPr>
      </w:pPr>
      <w:r w:rsidRPr="00FA0D37">
        <w:t xml:space="preserve">    withinActiveTimeConfig-r16             SetupRelease { WithinActiveTimeConfig-r16 }                      </w:t>
      </w:r>
      <w:r w:rsidRPr="00FA0D37">
        <w:rPr>
          <w:color w:val="993366"/>
        </w:rPr>
        <w:t>OPTIONAL</w:t>
      </w:r>
      <w:r w:rsidRPr="00FA0D37">
        <w:t xml:space="preserve">,   </w:t>
      </w:r>
      <w:r w:rsidRPr="00FA0D37">
        <w:rPr>
          <w:color w:val="808080"/>
        </w:rPr>
        <w:t>-- Need M</w:t>
      </w:r>
    </w:p>
    <w:p w14:paraId="10C7A345" w14:textId="77777777" w:rsidR="00394471" w:rsidRPr="00FA0D37" w:rsidRDefault="00394471" w:rsidP="00FA0D37">
      <w:pPr>
        <w:pStyle w:val="PL"/>
        <w:rPr>
          <w:color w:val="808080"/>
        </w:rPr>
      </w:pPr>
      <w:r w:rsidRPr="00FA0D37">
        <w:t xml:space="preserve">    outsideActiveTimeConfig-r16            SetupRelease { OutsideActiveTimeConfig-r16 }                     </w:t>
      </w:r>
      <w:r w:rsidRPr="00FA0D37">
        <w:rPr>
          <w:color w:val="993366"/>
        </w:rPr>
        <w:t>OPTIONAL</w:t>
      </w:r>
      <w:r w:rsidRPr="00FA0D37">
        <w:t xml:space="preserve">    </w:t>
      </w:r>
      <w:r w:rsidRPr="00FA0D37">
        <w:rPr>
          <w:color w:val="808080"/>
        </w:rPr>
        <w:t>-- Need M</w:t>
      </w:r>
    </w:p>
    <w:p w14:paraId="55CF3D7F" w14:textId="77777777" w:rsidR="00394471" w:rsidRPr="00FA0D37" w:rsidRDefault="00394471" w:rsidP="00FA0D37">
      <w:pPr>
        <w:pStyle w:val="PL"/>
      </w:pPr>
      <w:r w:rsidRPr="00FA0D37">
        <w:t>}</w:t>
      </w:r>
    </w:p>
    <w:p w14:paraId="0A770A28" w14:textId="77777777" w:rsidR="00394471" w:rsidRPr="00FA0D37" w:rsidRDefault="00394471" w:rsidP="00FA0D37">
      <w:pPr>
        <w:pStyle w:val="PL"/>
      </w:pPr>
    </w:p>
    <w:p w14:paraId="13CD4BEB" w14:textId="77777777" w:rsidR="00394471" w:rsidRPr="00FA0D37" w:rsidRDefault="00394471" w:rsidP="00FA0D37">
      <w:pPr>
        <w:pStyle w:val="PL"/>
      </w:pPr>
      <w:r w:rsidRPr="00FA0D37">
        <w:t xml:space="preserve">WithinActiveTimeConfig-r16 ::=         </w:t>
      </w:r>
      <w:r w:rsidRPr="00FA0D37">
        <w:rPr>
          <w:color w:val="993366"/>
        </w:rPr>
        <w:t>SEQUENCE</w:t>
      </w:r>
      <w:r w:rsidRPr="00FA0D37">
        <w:t xml:space="preserve"> {</w:t>
      </w:r>
    </w:p>
    <w:p w14:paraId="45E6305E" w14:textId="77777777" w:rsidR="00394471" w:rsidRPr="00FA0D37" w:rsidRDefault="00394471" w:rsidP="00FA0D37">
      <w:pPr>
        <w:pStyle w:val="PL"/>
        <w:rPr>
          <w:color w:val="808080"/>
        </w:rPr>
      </w:pPr>
      <w:r w:rsidRPr="00FA0D37">
        <w:t xml:space="preserve">   firstWithinActiveTimeBWP-Id-r16         BWP-Id                                                           </w:t>
      </w:r>
      <w:r w:rsidRPr="00FA0D37">
        <w:rPr>
          <w:color w:val="993366"/>
        </w:rPr>
        <w:t>OPTIONAL</w:t>
      </w:r>
      <w:r w:rsidRPr="00FA0D37">
        <w:t xml:space="preserve">,   </w:t>
      </w:r>
      <w:r w:rsidRPr="00FA0D37">
        <w:rPr>
          <w:color w:val="808080"/>
        </w:rPr>
        <w:t>-- Need M</w:t>
      </w:r>
    </w:p>
    <w:p w14:paraId="2ADA5041" w14:textId="77777777" w:rsidR="00394471" w:rsidRPr="00FA0D37" w:rsidRDefault="00394471" w:rsidP="00FA0D37">
      <w:pPr>
        <w:pStyle w:val="PL"/>
        <w:rPr>
          <w:color w:val="808080"/>
        </w:rPr>
      </w:pPr>
      <w:r w:rsidRPr="00FA0D37">
        <w:t xml:space="preserve">   dormancyGroupWithinActiveTime-r16       DormancyGroupID-r16                                              </w:t>
      </w:r>
      <w:r w:rsidRPr="00FA0D37">
        <w:rPr>
          <w:color w:val="993366"/>
        </w:rPr>
        <w:t>OPTIONAL</w:t>
      </w:r>
      <w:r w:rsidRPr="00FA0D37">
        <w:t xml:space="preserve">    </w:t>
      </w:r>
      <w:r w:rsidRPr="00FA0D37">
        <w:rPr>
          <w:color w:val="808080"/>
        </w:rPr>
        <w:t>-- Need R</w:t>
      </w:r>
    </w:p>
    <w:p w14:paraId="144599BE" w14:textId="77777777" w:rsidR="00394471" w:rsidRPr="00FA0D37" w:rsidRDefault="00394471" w:rsidP="00FA0D37">
      <w:pPr>
        <w:pStyle w:val="PL"/>
      </w:pPr>
      <w:r w:rsidRPr="00FA0D37">
        <w:t>}</w:t>
      </w:r>
    </w:p>
    <w:p w14:paraId="4D27D67B" w14:textId="77777777" w:rsidR="00394471" w:rsidRPr="00FA0D37" w:rsidRDefault="00394471" w:rsidP="00FA0D37">
      <w:pPr>
        <w:pStyle w:val="PL"/>
      </w:pPr>
    </w:p>
    <w:p w14:paraId="0C5BF8F7" w14:textId="77777777" w:rsidR="00394471" w:rsidRPr="00FA0D37" w:rsidRDefault="00394471" w:rsidP="00FA0D37">
      <w:pPr>
        <w:pStyle w:val="PL"/>
      </w:pPr>
      <w:r w:rsidRPr="00FA0D37">
        <w:t xml:space="preserve">OutsideActiveTimeConfig-r16 ::=        </w:t>
      </w:r>
      <w:r w:rsidRPr="00FA0D37">
        <w:rPr>
          <w:color w:val="993366"/>
        </w:rPr>
        <w:t>SEQUENCE</w:t>
      </w:r>
      <w:r w:rsidRPr="00FA0D37">
        <w:t xml:space="preserve"> {</w:t>
      </w:r>
    </w:p>
    <w:p w14:paraId="3F6ACBC3" w14:textId="77777777" w:rsidR="00394471" w:rsidRPr="00FA0D37" w:rsidRDefault="00394471" w:rsidP="00FA0D37">
      <w:pPr>
        <w:pStyle w:val="PL"/>
        <w:rPr>
          <w:color w:val="808080"/>
        </w:rPr>
      </w:pPr>
      <w:r w:rsidRPr="00FA0D37">
        <w:t xml:space="preserve">   firstOutsideActiveTimeBWP-Id-r16        BWP-Id                                                           </w:t>
      </w:r>
      <w:r w:rsidRPr="00FA0D37">
        <w:rPr>
          <w:color w:val="993366"/>
        </w:rPr>
        <w:t>OPTIONAL</w:t>
      </w:r>
      <w:r w:rsidRPr="00FA0D37">
        <w:t xml:space="preserve">,   </w:t>
      </w:r>
      <w:r w:rsidRPr="00FA0D37">
        <w:rPr>
          <w:color w:val="808080"/>
        </w:rPr>
        <w:t>-- Need M</w:t>
      </w:r>
    </w:p>
    <w:p w14:paraId="7F17BBDF" w14:textId="77777777" w:rsidR="00394471" w:rsidRPr="00FA0D37" w:rsidRDefault="00394471" w:rsidP="00FA0D37">
      <w:pPr>
        <w:pStyle w:val="PL"/>
        <w:rPr>
          <w:color w:val="808080"/>
        </w:rPr>
      </w:pPr>
      <w:r w:rsidRPr="00FA0D37">
        <w:t xml:space="preserve">   dormancyGroupOutsideActiveTime-r16      DormancyGroupID-r16                                              </w:t>
      </w:r>
      <w:r w:rsidRPr="00FA0D37">
        <w:rPr>
          <w:color w:val="993366"/>
        </w:rPr>
        <w:t>OPTIONAL</w:t>
      </w:r>
      <w:r w:rsidRPr="00FA0D37">
        <w:t xml:space="preserve">    </w:t>
      </w:r>
      <w:r w:rsidRPr="00FA0D37">
        <w:rPr>
          <w:color w:val="808080"/>
        </w:rPr>
        <w:t>-- Need R</w:t>
      </w:r>
    </w:p>
    <w:p w14:paraId="4C8F5784" w14:textId="77777777" w:rsidR="00394471" w:rsidRPr="00FA0D37" w:rsidRDefault="00394471" w:rsidP="00FA0D37">
      <w:pPr>
        <w:pStyle w:val="PL"/>
      </w:pPr>
      <w:r w:rsidRPr="00FA0D37">
        <w:t>}</w:t>
      </w:r>
    </w:p>
    <w:p w14:paraId="321D4662" w14:textId="77777777" w:rsidR="00394471" w:rsidRPr="00FA0D37" w:rsidRDefault="00394471" w:rsidP="00FA0D37">
      <w:pPr>
        <w:pStyle w:val="PL"/>
      </w:pPr>
    </w:p>
    <w:p w14:paraId="2821F8DE" w14:textId="77777777" w:rsidR="00394471" w:rsidRPr="00FA0D37" w:rsidRDefault="00394471" w:rsidP="00FA0D37">
      <w:pPr>
        <w:pStyle w:val="PL"/>
      </w:pPr>
      <w:r w:rsidRPr="00FA0D37">
        <w:t xml:space="preserve">UplinkTxSwitching-r16 ::=              </w:t>
      </w:r>
      <w:r w:rsidRPr="00FA0D37">
        <w:rPr>
          <w:color w:val="993366"/>
        </w:rPr>
        <w:t>SEQUENCE</w:t>
      </w:r>
      <w:r w:rsidRPr="00FA0D37">
        <w:t xml:space="preserve"> {</w:t>
      </w:r>
    </w:p>
    <w:p w14:paraId="3A551944" w14:textId="77777777" w:rsidR="00394471" w:rsidRPr="00FA0D37" w:rsidRDefault="00394471" w:rsidP="00FA0D37">
      <w:pPr>
        <w:pStyle w:val="PL"/>
      </w:pPr>
      <w:r w:rsidRPr="00FA0D37">
        <w:t xml:space="preserve">    uplinkTxSwitchingPeriodLocation-r16    </w:t>
      </w:r>
      <w:r w:rsidRPr="00FA0D37">
        <w:rPr>
          <w:color w:val="993366"/>
        </w:rPr>
        <w:t>BOOLEAN</w:t>
      </w:r>
      <w:r w:rsidRPr="00FA0D37">
        <w:t>,</w:t>
      </w:r>
    </w:p>
    <w:p w14:paraId="6DB71D84" w14:textId="77777777" w:rsidR="00394471" w:rsidRPr="00FA0D37" w:rsidRDefault="00394471" w:rsidP="00FA0D37">
      <w:pPr>
        <w:pStyle w:val="PL"/>
      </w:pPr>
      <w:r w:rsidRPr="00FA0D37">
        <w:t xml:space="preserve">    uplinkTxSwitchingCarrier-r16           </w:t>
      </w:r>
      <w:r w:rsidRPr="00FA0D37">
        <w:rPr>
          <w:color w:val="993366"/>
        </w:rPr>
        <w:t>ENUMERATED</w:t>
      </w:r>
      <w:r w:rsidRPr="00FA0D37">
        <w:t xml:space="preserve"> {carrier1, carrier2}</w:t>
      </w:r>
    </w:p>
    <w:p w14:paraId="24F44CA9" w14:textId="77777777" w:rsidR="00394471" w:rsidRPr="00FA0D37" w:rsidRDefault="00394471" w:rsidP="00FA0D37">
      <w:pPr>
        <w:pStyle w:val="PL"/>
      </w:pPr>
      <w:r w:rsidRPr="00FA0D37">
        <w:t>}</w:t>
      </w:r>
    </w:p>
    <w:p w14:paraId="0B7FFE2B" w14:textId="77777777" w:rsidR="007B122D" w:rsidRPr="00FA0D37" w:rsidRDefault="007B122D" w:rsidP="00FA0D37">
      <w:pPr>
        <w:pStyle w:val="PL"/>
      </w:pPr>
    </w:p>
    <w:p w14:paraId="48468087" w14:textId="77777777" w:rsidR="007B122D" w:rsidRPr="00FA0D37" w:rsidRDefault="007B122D" w:rsidP="00FA0D37">
      <w:pPr>
        <w:pStyle w:val="PL"/>
      </w:pPr>
      <w:r w:rsidRPr="00FA0D37">
        <w:t xml:space="preserve">MIMOParam-r17 ::= </w:t>
      </w:r>
      <w:r w:rsidRPr="00FA0D37">
        <w:rPr>
          <w:color w:val="993366"/>
        </w:rPr>
        <w:t>SEQUENCE</w:t>
      </w:r>
      <w:r w:rsidRPr="00FA0D37">
        <w:t xml:space="preserve"> {</w:t>
      </w:r>
    </w:p>
    <w:p w14:paraId="53BD8AC4" w14:textId="5FCE8456" w:rsidR="007B122D" w:rsidRPr="00FA0D37" w:rsidRDefault="007B122D" w:rsidP="00FA0D37">
      <w:pPr>
        <w:pStyle w:val="PL"/>
        <w:rPr>
          <w:color w:val="808080"/>
        </w:rPr>
      </w:pPr>
      <w:r w:rsidRPr="00FA0D37">
        <w:t xml:space="preserve">    additionalPCI-ToAddModList-r17     </w:t>
      </w:r>
      <w:r w:rsidRPr="00FA0D37">
        <w:rPr>
          <w:color w:val="993366"/>
        </w:rPr>
        <w:t>SEQUENCE</w:t>
      </w:r>
      <w:r w:rsidRPr="00FA0D37">
        <w:t xml:space="preserve"> (</w:t>
      </w:r>
      <w:r w:rsidRPr="00FA0D37">
        <w:rPr>
          <w:color w:val="993366"/>
        </w:rPr>
        <w:t>SIZE</w:t>
      </w:r>
      <w:r w:rsidRPr="00FA0D37">
        <w:t>(1..maxNrofAdditionalPCI-r17))</w:t>
      </w:r>
      <w:r w:rsidRPr="00FA0D37">
        <w:rPr>
          <w:color w:val="993366"/>
        </w:rPr>
        <w:t xml:space="preserve"> OF</w:t>
      </w:r>
      <w:r w:rsidRPr="00FA0D37">
        <w:t xml:space="preserve"> SSB-MTC-AdditionalPCI-r17  </w:t>
      </w:r>
      <w:r w:rsidRPr="00FA0D37">
        <w:rPr>
          <w:color w:val="993366"/>
        </w:rPr>
        <w:t>OPTIONAL</w:t>
      </w:r>
      <w:r w:rsidRPr="00FA0D37">
        <w:t xml:space="preserve">,   </w:t>
      </w:r>
      <w:r w:rsidRPr="00FA0D37">
        <w:rPr>
          <w:color w:val="808080"/>
        </w:rPr>
        <w:t>-- Need N</w:t>
      </w:r>
    </w:p>
    <w:p w14:paraId="2981653C" w14:textId="03F80DBB" w:rsidR="007B122D" w:rsidRPr="00FA0D37" w:rsidRDefault="007B122D" w:rsidP="00FA0D37">
      <w:pPr>
        <w:pStyle w:val="PL"/>
        <w:rPr>
          <w:color w:val="808080"/>
        </w:rPr>
      </w:pPr>
      <w:r w:rsidRPr="00FA0D37">
        <w:t xml:space="preserve">    additionalPCI-ToReleaseList-r17    </w:t>
      </w:r>
      <w:r w:rsidRPr="00FA0D37">
        <w:rPr>
          <w:color w:val="993366"/>
        </w:rPr>
        <w:t>SEQUENCE</w:t>
      </w:r>
      <w:r w:rsidRPr="00FA0D37">
        <w:t xml:space="preserve"> (</w:t>
      </w:r>
      <w:r w:rsidRPr="00FA0D37">
        <w:rPr>
          <w:color w:val="993366"/>
        </w:rPr>
        <w:t>SIZE</w:t>
      </w:r>
      <w:r w:rsidRPr="00FA0D37">
        <w:t>(1..maxNrofAdditionalPCI-r17))</w:t>
      </w:r>
      <w:r w:rsidRPr="00FA0D37">
        <w:rPr>
          <w:color w:val="993366"/>
        </w:rPr>
        <w:t xml:space="preserve"> OF</w:t>
      </w:r>
      <w:r w:rsidRPr="00FA0D37">
        <w:t xml:space="preserve"> AdditionalPCIIndex-r17     </w:t>
      </w:r>
      <w:r w:rsidRPr="00FA0D37">
        <w:rPr>
          <w:color w:val="993366"/>
        </w:rPr>
        <w:t>OPTIONAL</w:t>
      </w:r>
      <w:r w:rsidRPr="00FA0D37">
        <w:t xml:space="preserve">,   </w:t>
      </w:r>
      <w:r w:rsidRPr="00FA0D37">
        <w:rPr>
          <w:color w:val="808080"/>
        </w:rPr>
        <w:t>-- Need N</w:t>
      </w:r>
    </w:p>
    <w:p w14:paraId="64157514" w14:textId="29550E90" w:rsidR="007B122D" w:rsidRPr="00FA0D37" w:rsidRDefault="007B122D" w:rsidP="00FA0D37">
      <w:pPr>
        <w:pStyle w:val="PL"/>
        <w:rPr>
          <w:color w:val="808080"/>
        </w:rPr>
      </w:pPr>
      <w:r w:rsidRPr="00FA0D37">
        <w:t xml:space="preserve">    unifiedTCI-StateType-r17           </w:t>
      </w:r>
      <w:r w:rsidRPr="00FA0D37">
        <w:rPr>
          <w:color w:val="993366"/>
        </w:rPr>
        <w:t>ENUMERATED</w:t>
      </w:r>
      <w:r w:rsidRPr="00FA0D37">
        <w:t xml:space="preserve"> {separate, joint}                                         </w:t>
      </w:r>
      <w:r w:rsidRPr="00FA0D37">
        <w:rPr>
          <w:color w:val="993366"/>
        </w:rPr>
        <w:t>OPTIONAL</w:t>
      </w:r>
      <w:r w:rsidRPr="00FA0D37">
        <w:t xml:space="preserve">,   </w:t>
      </w:r>
      <w:r w:rsidRPr="00FA0D37">
        <w:rPr>
          <w:color w:val="808080"/>
        </w:rPr>
        <w:t>-- Need R</w:t>
      </w:r>
    </w:p>
    <w:p w14:paraId="263968A5" w14:textId="5EB5D889" w:rsidR="007B122D" w:rsidRPr="00FA0D37" w:rsidRDefault="007B122D" w:rsidP="00FA0D37">
      <w:pPr>
        <w:pStyle w:val="PL"/>
        <w:rPr>
          <w:color w:val="808080"/>
        </w:rPr>
      </w:pPr>
      <w:r w:rsidRPr="00FA0D37">
        <w:t xml:space="preserve">    uplink-PowerControlToAddModList-r17  </w:t>
      </w:r>
      <w:r w:rsidRPr="00FA0D37">
        <w:rPr>
          <w:color w:val="993366"/>
        </w:rPr>
        <w:t>SEQUENCE</w:t>
      </w:r>
      <w:r w:rsidRPr="00FA0D37">
        <w:t xml:space="preserve"> (</w:t>
      </w:r>
      <w:r w:rsidRPr="00FA0D37">
        <w:rPr>
          <w:color w:val="993366"/>
        </w:rPr>
        <w:t>SIZE</w:t>
      </w:r>
      <w:r w:rsidRPr="00FA0D37">
        <w:t xml:space="preserve"> (1..maxUL-TCI-r17))</w:t>
      </w:r>
      <w:r w:rsidRPr="00FA0D37">
        <w:rPr>
          <w:color w:val="993366"/>
        </w:rPr>
        <w:t xml:space="preserve"> OF</w:t>
      </w:r>
      <w:r w:rsidRPr="00FA0D37">
        <w:t xml:space="preserve"> Uplink-powerControl-r17      </w:t>
      </w:r>
      <w:r w:rsidRPr="00FA0D37">
        <w:rPr>
          <w:color w:val="993366"/>
        </w:rPr>
        <w:t>OPTIONAL</w:t>
      </w:r>
      <w:r w:rsidRPr="00FA0D37">
        <w:t xml:space="preserve">,   </w:t>
      </w:r>
      <w:r w:rsidRPr="00FA0D37">
        <w:rPr>
          <w:color w:val="808080"/>
        </w:rPr>
        <w:t>-- Need N</w:t>
      </w:r>
    </w:p>
    <w:p w14:paraId="03703665" w14:textId="261C8252" w:rsidR="007B122D" w:rsidRPr="00FA0D37" w:rsidRDefault="007B122D" w:rsidP="00FA0D37">
      <w:pPr>
        <w:pStyle w:val="PL"/>
        <w:rPr>
          <w:color w:val="808080"/>
        </w:rPr>
      </w:pPr>
      <w:r w:rsidRPr="00FA0D37">
        <w:t xml:space="preserve">    uplink-PowerControlToReleaseList-r17 </w:t>
      </w:r>
      <w:r w:rsidRPr="00FA0D37">
        <w:rPr>
          <w:color w:val="993366"/>
        </w:rPr>
        <w:t>SEQUENCE</w:t>
      </w:r>
      <w:r w:rsidRPr="00FA0D37">
        <w:t xml:space="preserve"> (</w:t>
      </w:r>
      <w:r w:rsidRPr="00FA0D37">
        <w:rPr>
          <w:color w:val="993366"/>
        </w:rPr>
        <w:t>SIZE</w:t>
      </w:r>
      <w:r w:rsidRPr="00FA0D37">
        <w:t xml:space="preserve"> (1..maxUL-TCI-r17))</w:t>
      </w:r>
      <w:r w:rsidRPr="00FA0D37">
        <w:rPr>
          <w:color w:val="993366"/>
        </w:rPr>
        <w:t xml:space="preserve"> OF</w:t>
      </w:r>
      <w:r w:rsidRPr="00FA0D37">
        <w:t xml:space="preserve"> Uplink-powerControlId-r17    </w:t>
      </w:r>
      <w:r w:rsidRPr="00FA0D37">
        <w:rPr>
          <w:color w:val="993366"/>
        </w:rPr>
        <w:t>OPTIONAL</w:t>
      </w:r>
      <w:r w:rsidRPr="00FA0D37">
        <w:t xml:space="preserve">,   </w:t>
      </w:r>
      <w:r w:rsidRPr="00FA0D37">
        <w:rPr>
          <w:color w:val="808080"/>
        </w:rPr>
        <w:t>-- Need N</w:t>
      </w:r>
    </w:p>
    <w:p w14:paraId="02E379DE" w14:textId="55B8E57C" w:rsidR="007B122D" w:rsidRPr="00FA0D37" w:rsidRDefault="007B122D" w:rsidP="00FA0D37">
      <w:pPr>
        <w:pStyle w:val="PL"/>
        <w:rPr>
          <w:color w:val="808080"/>
        </w:rPr>
      </w:pPr>
      <w:r w:rsidRPr="00FA0D37">
        <w:t xml:space="preserve">    sfnSchemePDCCH-r17                 </w:t>
      </w:r>
      <w:r w:rsidRPr="00FA0D37">
        <w:rPr>
          <w:color w:val="993366"/>
        </w:rPr>
        <w:t>ENUMERATED</w:t>
      </w:r>
      <w:r w:rsidRPr="00FA0D37">
        <w:t xml:space="preserve"> {sfnSchemeA,sfnSchemeB}                                   </w:t>
      </w:r>
      <w:r w:rsidRPr="00FA0D37">
        <w:rPr>
          <w:color w:val="993366"/>
        </w:rPr>
        <w:t>OPTIONAL</w:t>
      </w:r>
      <w:r w:rsidRPr="00FA0D37">
        <w:t xml:space="preserve">,   </w:t>
      </w:r>
      <w:r w:rsidRPr="00FA0D37">
        <w:rPr>
          <w:color w:val="808080"/>
        </w:rPr>
        <w:t>-- Need R</w:t>
      </w:r>
    </w:p>
    <w:p w14:paraId="6BC6DD76" w14:textId="1EEC53CB" w:rsidR="007B122D" w:rsidRPr="00FA0D37" w:rsidRDefault="007B122D" w:rsidP="00FA0D37">
      <w:pPr>
        <w:pStyle w:val="PL"/>
        <w:rPr>
          <w:color w:val="808080"/>
        </w:rPr>
      </w:pPr>
      <w:r w:rsidRPr="00FA0D37">
        <w:t xml:space="preserve">    sfnSchemePDSCH-r17                 </w:t>
      </w:r>
      <w:r w:rsidRPr="00FA0D37">
        <w:rPr>
          <w:color w:val="993366"/>
        </w:rPr>
        <w:t>ENUMERATED</w:t>
      </w:r>
      <w:r w:rsidRPr="00FA0D37">
        <w:t xml:space="preserve"> {sfnSchemeA,sfnSchemeB}                                   </w:t>
      </w:r>
      <w:r w:rsidRPr="00FA0D37">
        <w:rPr>
          <w:color w:val="993366"/>
        </w:rPr>
        <w:t>OPTIONAL</w:t>
      </w:r>
      <w:r w:rsidRPr="00FA0D37">
        <w:t xml:space="preserve">    </w:t>
      </w:r>
      <w:r w:rsidRPr="00FA0D37">
        <w:rPr>
          <w:color w:val="808080"/>
        </w:rPr>
        <w:t>-- Need R</w:t>
      </w:r>
    </w:p>
    <w:p w14:paraId="472AF154" w14:textId="77777777" w:rsidR="007B122D" w:rsidRPr="00FA0D37" w:rsidRDefault="007B122D" w:rsidP="00FA0D37">
      <w:pPr>
        <w:pStyle w:val="PL"/>
      </w:pPr>
    </w:p>
    <w:p w14:paraId="70CAD6F9" w14:textId="1DD5DB25" w:rsidR="007B122D" w:rsidRPr="00FA0D37" w:rsidRDefault="007B122D" w:rsidP="00FA0D37">
      <w:pPr>
        <w:pStyle w:val="PL"/>
      </w:pPr>
      <w:r w:rsidRPr="00FA0D37">
        <w:t>}</w:t>
      </w:r>
    </w:p>
    <w:p w14:paraId="3044EE23" w14:textId="77777777" w:rsidR="007B122D" w:rsidRPr="00FA0D37" w:rsidRDefault="007B122D" w:rsidP="00FA0D37">
      <w:pPr>
        <w:pStyle w:val="PL"/>
      </w:pPr>
    </w:p>
    <w:p w14:paraId="35ECDBB6" w14:textId="77777777" w:rsidR="00394471" w:rsidRPr="00FA0D37" w:rsidRDefault="00394471" w:rsidP="00FA0D37">
      <w:pPr>
        <w:pStyle w:val="PL"/>
        <w:rPr>
          <w:color w:val="808080"/>
        </w:rPr>
      </w:pPr>
      <w:r w:rsidRPr="00FA0D37">
        <w:rPr>
          <w:color w:val="808080"/>
        </w:rPr>
        <w:t>-- TAG-SERVINGCELLCONFIG-STOP</w:t>
      </w:r>
    </w:p>
    <w:p w14:paraId="5AB5AF1B" w14:textId="77777777" w:rsidR="00394471" w:rsidRPr="00FA0D37" w:rsidRDefault="00394471" w:rsidP="00FA0D37">
      <w:pPr>
        <w:pStyle w:val="PL"/>
        <w:rPr>
          <w:color w:val="808080"/>
        </w:rPr>
      </w:pPr>
      <w:r w:rsidRPr="00FA0D37">
        <w:rPr>
          <w:color w:val="808080"/>
        </w:rPr>
        <w:t>-- ASN1STOP</w:t>
      </w:r>
    </w:p>
    <w:p w14:paraId="0CE8C090" w14:textId="77777777" w:rsidR="00FE5FE8" w:rsidRPr="00FA0D37"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FA0D37" w:rsidRDefault="00FE5FE8" w:rsidP="0018654E">
            <w:pPr>
              <w:pStyle w:val="TAH"/>
              <w:rPr>
                <w:szCs w:val="22"/>
                <w:lang w:eastAsia="sv-SE"/>
              </w:rPr>
            </w:pPr>
            <w:r w:rsidRPr="00FA0D37">
              <w:rPr>
                <w:i/>
                <w:szCs w:val="22"/>
                <w:lang w:eastAsia="sv-SE"/>
              </w:rPr>
              <w:t xml:space="preserve">ChannelAccessConfig </w:t>
            </w:r>
            <w:r w:rsidRPr="00FA0D37">
              <w:rPr>
                <w:szCs w:val="22"/>
                <w:lang w:eastAsia="sv-SE"/>
              </w:rPr>
              <w:t>field descriptions</w:t>
            </w:r>
          </w:p>
        </w:tc>
      </w:tr>
      <w:tr w:rsidR="005C7FF4" w:rsidRPr="00FA0D37"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FA0D37" w:rsidRDefault="00FE5FE8" w:rsidP="0018654E">
            <w:pPr>
              <w:pStyle w:val="TAL"/>
              <w:rPr>
                <w:szCs w:val="22"/>
                <w:lang w:eastAsia="sv-SE"/>
              </w:rPr>
            </w:pPr>
            <w:r w:rsidRPr="00FA0D37">
              <w:rPr>
                <w:b/>
                <w:i/>
                <w:szCs w:val="22"/>
                <w:lang w:eastAsia="sv-SE"/>
              </w:rPr>
              <w:t>absenceOfAnyOtherTechnology</w:t>
            </w:r>
          </w:p>
          <w:p w14:paraId="151F948F" w14:textId="77777777" w:rsidR="00FE5FE8" w:rsidRPr="00FA0D37" w:rsidRDefault="00FE5FE8" w:rsidP="0018654E">
            <w:pPr>
              <w:pStyle w:val="TAL"/>
              <w:rPr>
                <w:b/>
                <w:i/>
                <w:szCs w:val="22"/>
                <w:lang w:eastAsia="sv-SE"/>
              </w:rPr>
            </w:pPr>
            <w:r w:rsidRPr="00FA0D37">
              <w:rPr>
                <w:lang w:eastAsia="zh-CN"/>
              </w:rPr>
              <w:t>Presence of this field indicates absence on a long term basis (e.g. by level of regulation) of any other technology sharing the carrier; absence of this field i</w:t>
            </w:r>
            <w:r w:rsidRPr="00FA0D37">
              <w:rPr>
                <w:lang w:eastAsia="sv-SE"/>
              </w:rPr>
              <w:t xml:space="preserve">ndicates </w:t>
            </w:r>
            <w:r w:rsidRPr="00FA0D37">
              <w:rPr>
                <w:lang w:eastAsia="zh-CN"/>
              </w:rPr>
              <w:t>the</w:t>
            </w:r>
            <w:r w:rsidRPr="00FA0D37">
              <w:rPr>
                <w:lang w:eastAsia="sv-SE"/>
              </w:rPr>
              <w:t xml:space="preserve"> </w:t>
            </w:r>
            <w:r w:rsidRPr="00FA0D37">
              <w:rPr>
                <w:lang w:eastAsia="zh-CN"/>
              </w:rPr>
              <w:t xml:space="preserve">potential </w:t>
            </w:r>
            <w:r w:rsidRPr="00FA0D37">
              <w:rPr>
                <w:lang w:eastAsia="sv-SE"/>
              </w:rPr>
              <w:t>presence of any other technology sharing the carrier</w:t>
            </w:r>
            <w:r w:rsidRPr="00FA0D37">
              <w:rPr>
                <w:lang w:eastAsia="zh-CN"/>
              </w:rPr>
              <w:t>,</w:t>
            </w:r>
            <w:r w:rsidRPr="00FA0D37">
              <w:rPr>
                <w:lang w:eastAsia="sv-SE"/>
              </w:rPr>
              <w:t xml:space="preserve"> as specified in TS 37.213 [48] clauses 4.2</w:t>
            </w:r>
            <w:r w:rsidRPr="00FA0D37">
              <w:rPr>
                <w:szCs w:val="22"/>
                <w:lang w:eastAsia="sv-SE"/>
              </w:rPr>
              <w:t>.1 and 4.2.3.</w:t>
            </w:r>
          </w:p>
        </w:tc>
      </w:tr>
      <w:tr w:rsidR="005C7FF4" w:rsidRPr="00FA0D37"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FA0D37" w:rsidRDefault="00FE5FE8" w:rsidP="0018654E">
            <w:pPr>
              <w:pStyle w:val="TAL"/>
              <w:rPr>
                <w:b/>
                <w:bCs/>
                <w:i/>
                <w:iCs/>
              </w:rPr>
            </w:pPr>
            <w:r w:rsidRPr="00FA0D37">
              <w:rPr>
                <w:b/>
                <w:bCs/>
                <w:i/>
                <w:iCs/>
              </w:rPr>
              <w:t>energyDetectionConfig</w:t>
            </w:r>
          </w:p>
          <w:p w14:paraId="26322064" w14:textId="3AFD82DD" w:rsidR="00FE5FE8" w:rsidRPr="00FA0D37" w:rsidRDefault="00FE5FE8" w:rsidP="0018654E">
            <w:pPr>
              <w:spacing w:after="0"/>
              <w:rPr>
                <w:rFonts w:ascii="Arial" w:hAnsi="Arial"/>
                <w:bCs/>
                <w:i/>
                <w:sz w:val="18"/>
                <w:szCs w:val="22"/>
              </w:rPr>
            </w:pPr>
            <w:r w:rsidRPr="00FA0D37">
              <w:rPr>
                <w:rFonts w:ascii="Arial" w:hAnsi="Arial"/>
                <w:bCs/>
                <w:iCs/>
                <w:sz w:val="18"/>
                <w:szCs w:val="22"/>
              </w:rPr>
              <w:t>Indicates whether to use the</w:t>
            </w:r>
            <w:r w:rsidRPr="00FA0D37">
              <w:rPr>
                <w:rFonts w:ascii="Arial" w:hAnsi="Arial"/>
                <w:bCs/>
                <w:i/>
                <w:sz w:val="18"/>
                <w:szCs w:val="22"/>
              </w:rPr>
              <w:t xml:space="preserve"> maxEnergyDetectionThreshold </w:t>
            </w:r>
            <w:r w:rsidRPr="00FA0D37">
              <w:rPr>
                <w:rFonts w:ascii="Arial" w:hAnsi="Arial"/>
                <w:bCs/>
                <w:iCs/>
                <w:sz w:val="18"/>
                <w:szCs w:val="22"/>
              </w:rPr>
              <w:t>or the</w:t>
            </w:r>
            <w:r w:rsidRPr="00FA0D37">
              <w:rPr>
                <w:rFonts w:ascii="Arial" w:hAnsi="Arial"/>
                <w:bCs/>
                <w:i/>
                <w:sz w:val="18"/>
                <w:szCs w:val="22"/>
              </w:rPr>
              <w:t xml:space="preserve"> </w:t>
            </w:r>
            <w:r w:rsidRPr="00FA0D37">
              <w:rPr>
                <w:rFonts w:ascii="Arial" w:hAnsi="Arial" w:cs="Arial"/>
                <w:bCs/>
                <w:i/>
                <w:sz w:val="18"/>
                <w:szCs w:val="18"/>
              </w:rPr>
              <w:t>energyDetectionThresholdOffset</w:t>
            </w:r>
            <w:r w:rsidRPr="00FA0D37">
              <w:rPr>
                <w:rFonts w:ascii="Arial" w:hAnsi="Arial" w:cs="Arial"/>
                <w:sz w:val="18"/>
                <w:szCs w:val="18"/>
              </w:rPr>
              <w:t xml:space="preserve"> (see TS 37.213</w:t>
            </w:r>
            <w:r w:rsidR="00B1249E" w:rsidRPr="00FA0D37">
              <w:rPr>
                <w:rFonts w:ascii="Arial" w:hAnsi="Arial" w:cs="Arial"/>
                <w:sz w:val="18"/>
                <w:szCs w:val="18"/>
              </w:rPr>
              <w:t xml:space="preserve"> [48]</w:t>
            </w:r>
            <w:r w:rsidRPr="00FA0D37">
              <w:rPr>
                <w:rFonts w:ascii="Arial" w:hAnsi="Arial" w:cs="Arial"/>
                <w:sz w:val="18"/>
                <w:szCs w:val="18"/>
              </w:rPr>
              <w:t>, clause 4.2.3)</w:t>
            </w:r>
            <w:r w:rsidRPr="00FA0D37">
              <w:rPr>
                <w:rFonts w:ascii="Arial" w:hAnsi="Arial"/>
                <w:bCs/>
                <w:i/>
                <w:sz w:val="18"/>
                <w:szCs w:val="22"/>
              </w:rPr>
              <w:t>.</w:t>
            </w:r>
          </w:p>
        </w:tc>
      </w:tr>
      <w:tr w:rsidR="005C7FF4" w:rsidRPr="00FA0D37"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FA0D37" w:rsidRDefault="00FE5FE8" w:rsidP="0018654E">
            <w:pPr>
              <w:pStyle w:val="TAL"/>
              <w:rPr>
                <w:b/>
                <w:bCs/>
                <w:i/>
                <w:iCs/>
              </w:rPr>
            </w:pPr>
            <w:r w:rsidRPr="00FA0D37">
              <w:rPr>
                <w:b/>
                <w:bCs/>
                <w:i/>
                <w:iCs/>
              </w:rPr>
              <w:t>energyDetectionThresholdOffset</w:t>
            </w:r>
          </w:p>
          <w:p w14:paraId="426E45C8" w14:textId="77777777" w:rsidR="00FE5FE8" w:rsidRPr="00FA0D37" w:rsidRDefault="00FE5FE8" w:rsidP="0018654E">
            <w:pPr>
              <w:spacing w:after="0"/>
              <w:rPr>
                <w:rFonts w:ascii="Arial" w:hAnsi="Arial"/>
                <w:bCs/>
                <w:iCs/>
                <w:sz w:val="18"/>
                <w:szCs w:val="22"/>
              </w:rPr>
            </w:pPr>
            <w:r w:rsidRPr="00FA0D37">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5C7FF4" w:rsidRPr="00FA0D37"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FA0D37" w:rsidRDefault="00FE5FE8" w:rsidP="0018654E">
            <w:pPr>
              <w:pStyle w:val="TAL"/>
              <w:rPr>
                <w:b/>
                <w:bCs/>
                <w:i/>
                <w:iCs/>
              </w:rPr>
            </w:pPr>
            <w:r w:rsidRPr="00FA0D37">
              <w:rPr>
                <w:b/>
                <w:bCs/>
                <w:i/>
                <w:iCs/>
              </w:rPr>
              <w:t>maxEnergyDetectionThreshold</w:t>
            </w:r>
          </w:p>
          <w:p w14:paraId="57623DA9" w14:textId="77777777" w:rsidR="00FE5FE8" w:rsidRPr="00FA0D37" w:rsidRDefault="00FE5FE8" w:rsidP="0018654E">
            <w:pPr>
              <w:spacing w:after="0"/>
              <w:rPr>
                <w:rFonts w:ascii="Arial" w:hAnsi="Arial"/>
                <w:bCs/>
                <w:iCs/>
                <w:sz w:val="18"/>
                <w:szCs w:val="22"/>
              </w:rPr>
            </w:pPr>
            <w:r w:rsidRPr="00FA0D37">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FE5FE8" w:rsidRPr="00FA0D37"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FA0D37" w:rsidRDefault="00FE5FE8" w:rsidP="0018654E">
            <w:pPr>
              <w:pStyle w:val="TAL"/>
              <w:rPr>
                <w:szCs w:val="22"/>
                <w:lang w:eastAsia="sv-SE"/>
              </w:rPr>
            </w:pPr>
            <w:r w:rsidRPr="00FA0D37">
              <w:rPr>
                <w:b/>
                <w:i/>
                <w:szCs w:val="22"/>
                <w:lang w:eastAsia="sv-SE"/>
              </w:rPr>
              <w:t>ul-toDL-COT-SharingED-Threshold</w:t>
            </w:r>
          </w:p>
          <w:p w14:paraId="30D06C53" w14:textId="65036E0C" w:rsidR="00FE5FE8" w:rsidRPr="00FA0D37" w:rsidRDefault="00FE5FE8" w:rsidP="0018654E">
            <w:pPr>
              <w:pStyle w:val="TAL"/>
              <w:rPr>
                <w:b/>
                <w:i/>
                <w:szCs w:val="22"/>
                <w:lang w:eastAsia="sv-SE"/>
              </w:rPr>
            </w:pPr>
            <w:r w:rsidRPr="00FA0D37">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FA0D37">
              <w:rPr>
                <w:szCs w:val="22"/>
                <w:lang w:eastAsia="sv-SE"/>
              </w:rPr>
              <w:t xml:space="preserve"> This field is not applicable in semi-static channel access mode.</w:t>
            </w:r>
          </w:p>
        </w:tc>
      </w:tr>
    </w:tbl>
    <w:p w14:paraId="070B7E6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FA0D37" w:rsidRDefault="00394471" w:rsidP="00964CC4">
            <w:pPr>
              <w:pStyle w:val="TAH"/>
              <w:rPr>
                <w:szCs w:val="22"/>
                <w:lang w:eastAsia="sv-SE"/>
              </w:rPr>
            </w:pPr>
            <w:r w:rsidRPr="00FA0D37">
              <w:rPr>
                <w:i/>
                <w:szCs w:val="22"/>
                <w:lang w:eastAsia="sv-SE"/>
              </w:rPr>
              <w:lastRenderedPageBreak/>
              <w:t xml:space="preserve">ServingCellConfig </w:t>
            </w:r>
            <w:r w:rsidRPr="00FA0D37">
              <w:rPr>
                <w:szCs w:val="22"/>
                <w:lang w:eastAsia="sv-SE"/>
              </w:rPr>
              <w:t>field descriptions</w:t>
            </w:r>
          </w:p>
        </w:tc>
      </w:tr>
      <w:tr w:rsidR="005C7FF4" w:rsidRPr="00FA0D37"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FA0D37" w:rsidRDefault="000F2B5F" w:rsidP="000F2B5F">
            <w:pPr>
              <w:pStyle w:val="TAL"/>
              <w:rPr>
                <w:b/>
                <w:bCs/>
                <w:i/>
                <w:iCs/>
                <w:szCs w:val="22"/>
                <w:lang w:eastAsia="sv-SE"/>
              </w:rPr>
            </w:pPr>
            <w:r w:rsidRPr="00FA0D37">
              <w:rPr>
                <w:b/>
                <w:bCs/>
                <w:i/>
                <w:iCs/>
              </w:rPr>
              <w:t>additionalPCI</w:t>
            </w:r>
            <w:r w:rsidR="0005240D" w:rsidRPr="00FA0D37">
              <w:rPr>
                <w:b/>
                <w:bCs/>
                <w:i/>
                <w:iCs/>
              </w:rPr>
              <w:t>-ToAddMod</w:t>
            </w:r>
            <w:r w:rsidRPr="00FA0D37">
              <w:rPr>
                <w:b/>
                <w:bCs/>
                <w:i/>
                <w:iCs/>
              </w:rPr>
              <w:t>List</w:t>
            </w:r>
          </w:p>
          <w:p w14:paraId="4EA7EC18" w14:textId="409AF09F" w:rsidR="000F2B5F" w:rsidRPr="00FA0D37" w:rsidRDefault="000F2B5F" w:rsidP="000830BB">
            <w:pPr>
              <w:pStyle w:val="TAL"/>
              <w:rPr>
                <w:lang w:eastAsia="sv-SE"/>
              </w:rPr>
            </w:pPr>
            <w:r w:rsidRPr="00FA0D37">
              <w:rPr>
                <w:szCs w:val="22"/>
              </w:rPr>
              <w:t xml:space="preserve">List of information for the additional SSB with different PCI than </w:t>
            </w:r>
            <w:r w:rsidR="0005240D" w:rsidRPr="00FA0D37">
              <w:rPr>
                <w:szCs w:val="22"/>
              </w:rPr>
              <w:t xml:space="preserve">the </w:t>
            </w:r>
            <w:r w:rsidRPr="00FA0D37">
              <w:rPr>
                <w:szCs w:val="22"/>
              </w:rPr>
              <w:t>serving cell PCI.</w:t>
            </w:r>
            <w:r w:rsidR="007B122D" w:rsidRPr="00FA0D37">
              <w:rPr>
                <w:szCs w:val="22"/>
              </w:rPr>
              <w:t xml:space="preserve"> T</w:t>
            </w:r>
            <w:r w:rsidR="007B122D" w:rsidRPr="00FA0D37">
              <w:t xml:space="preserve">he additional SSBs with different PCIs are not used for </w:t>
            </w:r>
            <w:r w:rsidR="00FC0CBC" w:rsidRPr="00FA0D37">
              <w:t>serving cell quality derivation</w:t>
            </w:r>
            <w:r w:rsidR="007B122D" w:rsidRPr="00FA0D37">
              <w:t>.</w:t>
            </w:r>
          </w:p>
        </w:tc>
      </w:tr>
      <w:tr w:rsidR="005C7FF4" w:rsidRPr="00FA0D37"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FA0D37" w:rsidRDefault="000F2B5F" w:rsidP="000F2B5F">
            <w:pPr>
              <w:pStyle w:val="TAL"/>
              <w:rPr>
                <w:szCs w:val="22"/>
                <w:lang w:eastAsia="sv-SE"/>
              </w:rPr>
            </w:pPr>
            <w:r w:rsidRPr="00FA0D37">
              <w:rPr>
                <w:b/>
                <w:i/>
                <w:szCs w:val="22"/>
                <w:lang w:eastAsia="sv-SE"/>
              </w:rPr>
              <w:t>bwp-InactivityTimer</w:t>
            </w:r>
          </w:p>
          <w:p w14:paraId="74D62FF8" w14:textId="77777777" w:rsidR="000F2B5F" w:rsidRPr="00FA0D37" w:rsidRDefault="000F2B5F" w:rsidP="000F2B5F">
            <w:pPr>
              <w:pStyle w:val="TAL"/>
              <w:rPr>
                <w:szCs w:val="22"/>
                <w:lang w:eastAsia="sv-SE"/>
              </w:rPr>
            </w:pPr>
            <w:r w:rsidRPr="00FA0D37">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5C7FF4" w:rsidRPr="00FA0D37"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FA0D37" w:rsidRDefault="000F2B5F" w:rsidP="000F2B5F">
            <w:pPr>
              <w:pStyle w:val="TAL"/>
              <w:rPr>
                <w:b/>
                <w:bCs/>
                <w:i/>
                <w:iCs/>
                <w:lang w:eastAsia="x-none"/>
              </w:rPr>
            </w:pPr>
            <w:r w:rsidRPr="00FA0D37">
              <w:rPr>
                <w:b/>
                <w:bCs/>
                <w:i/>
                <w:iCs/>
                <w:lang w:eastAsia="x-none"/>
              </w:rPr>
              <w:t>ca-SlotOffset</w:t>
            </w:r>
          </w:p>
          <w:p w14:paraId="4182D5A3" w14:textId="77777777" w:rsidR="000F2B5F" w:rsidRPr="00FA0D37" w:rsidRDefault="000F2B5F" w:rsidP="000F2B5F">
            <w:pPr>
              <w:pStyle w:val="TAL"/>
              <w:rPr>
                <w:lang w:eastAsia="sv-SE"/>
              </w:rPr>
            </w:pPr>
            <w:r w:rsidRPr="00FA0D37">
              <w:rPr>
                <w:lang w:eastAsia="sv-SE"/>
              </w:rPr>
              <w:t>Slot offset between the primary cell (PCell/PSCell) and the S</w:t>
            </w:r>
            <w:r w:rsidRPr="00FA0D37">
              <w:t>C</w:t>
            </w:r>
            <w:r w:rsidRPr="00FA0D37">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A0D37">
              <w:rPr>
                <w:i/>
                <w:iCs/>
                <w:lang w:eastAsia="x-none"/>
              </w:rPr>
              <w:t>SCS-SpecificCarrierList</w:t>
            </w:r>
            <w:r w:rsidRPr="00FA0D37">
              <w:rPr>
                <w:lang w:eastAsia="sv-SE"/>
              </w:rPr>
              <w:t xml:space="preserve"> in </w:t>
            </w:r>
            <w:r w:rsidRPr="00FA0D37">
              <w:rPr>
                <w:i/>
                <w:iCs/>
                <w:lang w:eastAsia="sv-SE"/>
              </w:rPr>
              <w:t>ServingCellConfigCommon</w:t>
            </w:r>
            <w:r w:rsidRPr="00FA0D37">
              <w:rPr>
                <w:lang w:eastAsia="sv-SE"/>
              </w:rPr>
              <w:t xml:space="preserve"> or </w:t>
            </w:r>
            <w:r w:rsidRPr="00FA0D37">
              <w:rPr>
                <w:i/>
                <w:iCs/>
                <w:lang w:eastAsia="sv-SE"/>
              </w:rPr>
              <w:t>ServingCellConfigCommonSIB</w:t>
            </w:r>
            <w:r w:rsidRPr="00FA0D37">
              <w:rPr>
                <w:lang w:eastAsia="sv-SE"/>
              </w:rPr>
              <w:t xml:space="preserve"> and this serving cell's lowest SCS among all the configured SCSs in DL/UL </w:t>
            </w:r>
            <w:r w:rsidRPr="00FA0D37">
              <w:rPr>
                <w:i/>
                <w:iCs/>
                <w:lang w:eastAsia="x-none"/>
              </w:rPr>
              <w:t>SCS-SpecificCarrierList</w:t>
            </w:r>
            <w:r w:rsidRPr="00FA0D37">
              <w:rPr>
                <w:lang w:eastAsia="sv-SE"/>
              </w:rPr>
              <w:t xml:space="preserve"> in </w:t>
            </w:r>
            <w:r w:rsidRPr="00FA0D37">
              <w:rPr>
                <w:i/>
                <w:iCs/>
                <w:lang w:eastAsia="sv-SE"/>
              </w:rPr>
              <w:t>ServingCellConfigCommon</w:t>
            </w:r>
            <w:r w:rsidRPr="00FA0D37">
              <w:rPr>
                <w:lang w:eastAsia="sv-SE"/>
              </w:rPr>
              <w:t xml:space="preserve"> or </w:t>
            </w:r>
            <w:r w:rsidRPr="00FA0D37">
              <w:rPr>
                <w:i/>
                <w:iCs/>
                <w:lang w:eastAsia="sv-SE"/>
              </w:rPr>
              <w:t>ServingCellConfigCommonSIB</w:t>
            </w:r>
            <w:r w:rsidRPr="00FA0D37">
              <w:rPr>
                <w:lang w:eastAsia="sv-SE"/>
              </w:rPr>
              <w:t>).</w:t>
            </w:r>
          </w:p>
          <w:p w14:paraId="534A9792" w14:textId="77777777" w:rsidR="000F2B5F" w:rsidRPr="00FA0D37" w:rsidRDefault="000F2B5F" w:rsidP="000F2B5F">
            <w:pPr>
              <w:pStyle w:val="TAL"/>
              <w:rPr>
                <w:lang w:eastAsia="sv-SE"/>
              </w:rPr>
            </w:pPr>
            <w:r w:rsidRPr="00FA0D37">
              <w:rPr>
                <w:lang w:eastAsia="sv-SE"/>
              </w:rPr>
              <w:t>The Network configures at most single non-zero offset duration in ms (independent on SCS) among CCs in the unaligned CA configuration. If the field is absent, the UE applies the value of 0.</w:t>
            </w:r>
            <w:r w:rsidRPr="00FA0D37">
              <w:t xml:space="preserve"> </w:t>
            </w:r>
            <w:r w:rsidRPr="00FA0D37">
              <w:rPr>
                <w:lang w:eastAsia="sv-SE"/>
              </w:rPr>
              <w:t>The slot offset value can only be changed with SCell release and add.</w:t>
            </w:r>
          </w:p>
        </w:tc>
      </w:tr>
      <w:tr w:rsidR="005C7FF4" w:rsidRPr="00FA0D37"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FA0D37" w:rsidRDefault="000F2B5F" w:rsidP="000F2B5F">
            <w:pPr>
              <w:pStyle w:val="TAL"/>
              <w:rPr>
                <w:b/>
                <w:i/>
                <w:szCs w:val="22"/>
              </w:rPr>
            </w:pPr>
            <w:r w:rsidRPr="00FA0D37">
              <w:rPr>
                <w:b/>
                <w:i/>
                <w:szCs w:val="22"/>
              </w:rPr>
              <w:t>cbg-TxDiffTBsProcessingType1, cbg-TxDiffTBsProcessingType2</w:t>
            </w:r>
          </w:p>
          <w:p w14:paraId="1FE28758" w14:textId="77777777" w:rsidR="000F2B5F" w:rsidRPr="00FA0D37" w:rsidRDefault="000F2B5F" w:rsidP="000F2B5F">
            <w:pPr>
              <w:pStyle w:val="TAL"/>
              <w:rPr>
                <w:b/>
                <w:bCs/>
                <w:i/>
                <w:iCs/>
                <w:lang w:eastAsia="x-none"/>
              </w:rPr>
            </w:pPr>
            <w:r w:rsidRPr="00FA0D37">
              <w:rPr>
                <w:szCs w:val="22"/>
              </w:rPr>
              <w:t>Indicates whether processing types 1 and 2 based CBG based operation is enabled according to Rel-16 UE capabilities.</w:t>
            </w:r>
          </w:p>
        </w:tc>
      </w:tr>
      <w:tr w:rsidR="005C7FF4" w:rsidRPr="00FA0D37"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FA0D37" w:rsidRDefault="000F2B5F" w:rsidP="000F2B5F">
            <w:pPr>
              <w:pStyle w:val="TAL"/>
              <w:rPr>
                <w:szCs w:val="22"/>
                <w:lang w:eastAsia="sv-SE"/>
              </w:rPr>
            </w:pPr>
            <w:r w:rsidRPr="00FA0D37">
              <w:rPr>
                <w:b/>
                <w:i/>
                <w:szCs w:val="22"/>
                <w:lang w:eastAsia="sv-SE"/>
              </w:rPr>
              <w:t>channelAccessConfig</w:t>
            </w:r>
          </w:p>
          <w:p w14:paraId="2B65FFD6" w14:textId="77777777" w:rsidR="000F2B5F" w:rsidRPr="00FA0D37" w:rsidRDefault="000F2B5F" w:rsidP="000F2B5F">
            <w:pPr>
              <w:pStyle w:val="TAL"/>
              <w:rPr>
                <w:b/>
                <w:i/>
                <w:szCs w:val="22"/>
                <w:lang w:eastAsia="sv-SE"/>
              </w:rPr>
            </w:pPr>
            <w:r w:rsidRPr="00FA0D37">
              <w:rPr>
                <w:szCs w:val="22"/>
                <w:lang w:eastAsia="sv-SE"/>
              </w:rPr>
              <w:t>List of parameters used for access procedures of operation with shared spectrum channel access (see TS 37.213 [48).</w:t>
            </w:r>
          </w:p>
        </w:tc>
      </w:tr>
      <w:tr w:rsidR="005C7FF4" w:rsidRPr="00FA0D37"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FA0D37" w:rsidRDefault="008754E6" w:rsidP="000830BB">
            <w:pPr>
              <w:pStyle w:val="TAL"/>
              <w:rPr>
                <w:b/>
                <w:bCs/>
                <w:i/>
                <w:iCs/>
                <w:lang w:eastAsia="sv-SE"/>
              </w:rPr>
            </w:pPr>
            <w:r w:rsidRPr="00FA0D37">
              <w:rPr>
                <w:b/>
                <w:bCs/>
                <w:i/>
                <w:iCs/>
                <w:lang w:eastAsia="sv-SE"/>
              </w:rPr>
              <w:t>channelAccessMode2</w:t>
            </w:r>
          </w:p>
          <w:p w14:paraId="79BFC6E4" w14:textId="130DE7DE" w:rsidR="008754E6" w:rsidRPr="00FA0D37" w:rsidRDefault="008754E6" w:rsidP="000830BB">
            <w:pPr>
              <w:pStyle w:val="TAL"/>
              <w:rPr>
                <w:lang w:eastAsia="sv-SE"/>
              </w:rPr>
            </w:pPr>
            <w:r w:rsidRPr="00FA0D37">
              <w:rPr>
                <w:rFonts w:cs="Arial"/>
              </w:rPr>
              <w:t xml:space="preserve">If present, this field </w:t>
            </w:r>
            <w:r w:rsidRPr="00FA0D37">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FA0D37">
              <w:rPr>
                <w:lang w:eastAsia="sv-SE"/>
              </w:rPr>
              <w:t xml:space="preserve"> The network always configures this field if channel access procedures are required for the serving cell within this region by regulations.</w:t>
            </w:r>
          </w:p>
          <w:p w14:paraId="4D3E2192" w14:textId="77777777" w:rsidR="008754E6" w:rsidRPr="00FA0D37" w:rsidRDefault="008754E6" w:rsidP="000830BB">
            <w:pPr>
              <w:pStyle w:val="TAL"/>
              <w:rPr>
                <w:lang w:eastAsia="sv-SE"/>
              </w:rPr>
            </w:pPr>
            <w:r w:rsidRPr="00FA0D37">
              <w:rPr>
                <w:lang w:eastAsia="sv-SE"/>
              </w:rPr>
              <w:t xml:space="preserve">Overwrites the corresponding field in </w:t>
            </w:r>
            <w:r w:rsidRPr="00FA0D37">
              <w:rPr>
                <w:i/>
                <w:lang w:eastAsia="sv-SE"/>
              </w:rPr>
              <w:t>ServingCellConfigCommon</w:t>
            </w:r>
            <w:r w:rsidRPr="00FA0D37">
              <w:rPr>
                <w:lang w:eastAsia="sv-SE"/>
              </w:rPr>
              <w:t xml:space="preserve"> or </w:t>
            </w:r>
            <w:r w:rsidRPr="00FA0D37">
              <w:rPr>
                <w:i/>
                <w:lang w:eastAsia="sv-SE"/>
              </w:rPr>
              <w:t>ServingCellConfigCommonSIB</w:t>
            </w:r>
            <w:r w:rsidRPr="00FA0D37">
              <w:rPr>
                <w:lang w:eastAsia="sv-SE"/>
              </w:rPr>
              <w:t xml:space="preserve"> for this serving cell.</w:t>
            </w:r>
          </w:p>
        </w:tc>
      </w:tr>
      <w:tr w:rsidR="005C7FF4" w:rsidRPr="00FA0D37"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FA0D37" w:rsidRDefault="000F2B5F" w:rsidP="000F2B5F">
            <w:pPr>
              <w:pStyle w:val="TAL"/>
              <w:rPr>
                <w:szCs w:val="22"/>
                <w:lang w:eastAsia="sv-SE"/>
              </w:rPr>
            </w:pPr>
            <w:r w:rsidRPr="00FA0D37">
              <w:rPr>
                <w:b/>
                <w:i/>
                <w:szCs w:val="22"/>
                <w:lang w:eastAsia="sv-SE"/>
              </w:rPr>
              <w:t>crossCarrierSchedulingConfig</w:t>
            </w:r>
          </w:p>
          <w:p w14:paraId="38A5BB14" w14:textId="208E02ED" w:rsidR="000F2B5F" w:rsidRPr="00FA0D37" w:rsidRDefault="000F2B5F" w:rsidP="000F2B5F">
            <w:pPr>
              <w:pStyle w:val="TAL"/>
              <w:rPr>
                <w:szCs w:val="22"/>
                <w:lang w:eastAsia="sv-SE"/>
              </w:rPr>
            </w:pPr>
            <w:r w:rsidRPr="00FA0D37">
              <w:rPr>
                <w:szCs w:val="22"/>
                <w:lang w:eastAsia="sv-SE"/>
              </w:rPr>
              <w:t xml:space="preserve">Indicates whether this serving cell is cross-carrier scheduled by another serving cell or whether it cross-carrier schedules another serving cell. If the field </w:t>
            </w:r>
            <w:r w:rsidRPr="00FA0D37">
              <w:rPr>
                <w:i/>
                <w:iCs/>
                <w:szCs w:val="22"/>
                <w:lang w:eastAsia="sv-SE"/>
              </w:rPr>
              <w:t xml:space="preserve">other </w:t>
            </w:r>
            <w:r w:rsidRPr="00FA0D37">
              <w:rPr>
                <w:szCs w:val="22"/>
                <w:lang w:eastAsia="sv-SE"/>
              </w:rPr>
              <w:t>is configured for an SpCell (i.e., the SpCell is cross-carrier scheduled by another serving cell), the SpCell can be additionally scheduled by the PDCCH on the SpCell.</w:t>
            </w:r>
          </w:p>
        </w:tc>
      </w:tr>
      <w:tr w:rsidR="005C7FF4" w:rsidRPr="00FA0D37"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FA0D37" w:rsidRDefault="003475B1" w:rsidP="005C7FF4">
            <w:pPr>
              <w:pStyle w:val="TAL"/>
              <w:rPr>
                <w:b/>
                <w:bCs/>
                <w:i/>
                <w:iCs/>
                <w:lang w:eastAsia="sv-SE"/>
              </w:rPr>
            </w:pPr>
            <w:r w:rsidRPr="00FA0D37">
              <w:rPr>
                <w:b/>
                <w:bCs/>
                <w:i/>
                <w:iCs/>
                <w:lang w:eastAsia="sv-SE"/>
              </w:rPr>
              <w:t>crossCarrierSchedulingConfigRelease</w:t>
            </w:r>
          </w:p>
          <w:p w14:paraId="48E404AB" w14:textId="154382D1" w:rsidR="003475B1" w:rsidRPr="00FA0D37" w:rsidRDefault="003475B1" w:rsidP="003475B1">
            <w:pPr>
              <w:pStyle w:val="TAL"/>
              <w:rPr>
                <w:lang w:eastAsia="sv-SE"/>
              </w:rPr>
            </w:pPr>
            <w:r w:rsidRPr="00FA0D37">
              <w:rPr>
                <w:lang w:eastAsia="sv-SE"/>
              </w:rPr>
              <w:t xml:space="preserve">If this field is included, the UE shall release the cross carrier scheduling configuration configured by </w:t>
            </w:r>
            <w:r w:rsidRPr="00FA0D37">
              <w:rPr>
                <w:i/>
                <w:iCs/>
                <w:lang w:eastAsia="sv-SE"/>
              </w:rPr>
              <w:t>crossCarrierSchedulingConfig</w:t>
            </w:r>
            <w:r w:rsidRPr="00FA0D37">
              <w:rPr>
                <w:lang w:eastAsia="sv-SE"/>
              </w:rPr>
              <w:t xml:space="preserve">. The network may only include either </w:t>
            </w:r>
            <w:r w:rsidRPr="00FA0D37">
              <w:rPr>
                <w:i/>
                <w:iCs/>
                <w:lang w:eastAsia="sv-SE"/>
              </w:rPr>
              <w:t>crossCarrierSchedulingConfigRelease</w:t>
            </w:r>
            <w:r w:rsidRPr="00FA0D37">
              <w:rPr>
                <w:lang w:eastAsia="sv-SE"/>
              </w:rPr>
              <w:t xml:space="preserve"> or </w:t>
            </w:r>
            <w:r w:rsidRPr="00FA0D37">
              <w:rPr>
                <w:i/>
                <w:iCs/>
                <w:lang w:eastAsia="sv-SE"/>
              </w:rPr>
              <w:t>crossCarrierSchedulingConfig</w:t>
            </w:r>
            <w:r w:rsidRPr="00FA0D37">
              <w:rPr>
                <w:lang w:eastAsia="sv-SE"/>
              </w:rPr>
              <w:t xml:space="preserve"> at a time.</w:t>
            </w:r>
          </w:p>
        </w:tc>
      </w:tr>
      <w:tr w:rsidR="005C7FF4" w:rsidRPr="00FA0D37"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FA0D37" w:rsidRDefault="003475B1" w:rsidP="003475B1">
            <w:pPr>
              <w:keepNext/>
              <w:keepLines/>
              <w:spacing w:after="0"/>
              <w:rPr>
                <w:rFonts w:ascii="Arial" w:hAnsi="Arial"/>
                <w:b/>
                <w:i/>
                <w:sz w:val="18"/>
                <w:szCs w:val="22"/>
              </w:rPr>
            </w:pPr>
            <w:r w:rsidRPr="00FA0D37">
              <w:rPr>
                <w:rFonts w:ascii="Arial" w:hAnsi="Arial"/>
                <w:b/>
                <w:i/>
                <w:sz w:val="18"/>
                <w:szCs w:val="22"/>
              </w:rPr>
              <w:t>crs-RateMatch-PerCORESETPoolIndex</w:t>
            </w:r>
          </w:p>
          <w:p w14:paraId="4688B2C4" w14:textId="2FC2EF28" w:rsidR="003475B1" w:rsidRPr="00FA0D37" w:rsidRDefault="003475B1" w:rsidP="003475B1">
            <w:pPr>
              <w:pStyle w:val="TAL"/>
              <w:rPr>
                <w:b/>
                <w:i/>
                <w:szCs w:val="22"/>
                <w:lang w:eastAsia="sv-SE"/>
              </w:rPr>
            </w:pPr>
            <w:r w:rsidRPr="00FA0D37">
              <w:rPr>
                <w:szCs w:val="22"/>
              </w:rPr>
              <w:t>Indicates how UE performs rate matching when both lte-CRS-PatternList1-r16 and lte-CRS-PatternList2-r16 are configured as specified in TS 38.214 [19], clause 5.1.4.2.</w:t>
            </w:r>
          </w:p>
        </w:tc>
      </w:tr>
      <w:tr w:rsidR="005C7FF4" w:rsidRPr="00FA0D37"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FA0D37" w:rsidRDefault="003475B1" w:rsidP="003475B1">
            <w:pPr>
              <w:pStyle w:val="TAL"/>
              <w:rPr>
                <w:b/>
                <w:bCs/>
                <w:i/>
                <w:iCs/>
              </w:rPr>
            </w:pPr>
            <w:r w:rsidRPr="00FA0D37">
              <w:rPr>
                <w:b/>
                <w:bCs/>
                <w:i/>
                <w:iCs/>
              </w:rPr>
              <w:t>csi-RS-ValidationWithDCI</w:t>
            </w:r>
          </w:p>
          <w:p w14:paraId="158D2B42" w14:textId="77777777" w:rsidR="003475B1" w:rsidRPr="00FA0D37" w:rsidRDefault="003475B1" w:rsidP="003475B1">
            <w:pPr>
              <w:pStyle w:val="TAL"/>
            </w:pPr>
            <w:r w:rsidRPr="00FA0D37">
              <w:rPr>
                <w:bCs/>
                <w:iCs/>
              </w:rPr>
              <w:t>Indicates how the UE performs periodic and semi-persistent CSI-RS reception in a slot. The presence of this field indicates that the UE uses</w:t>
            </w:r>
            <w:r w:rsidRPr="00FA0D37">
              <w:t xml:space="preserve"> </w:t>
            </w:r>
            <w:r w:rsidRPr="00FA0D37">
              <w:rPr>
                <w:bCs/>
                <w:iCs/>
              </w:rPr>
              <w:t>DCI detection to validate whether to receive CSI-RS (see TS 38.213 [13], clause 11.1).</w:t>
            </w:r>
          </w:p>
        </w:tc>
      </w:tr>
      <w:tr w:rsidR="005C7FF4" w:rsidRPr="00FA0D37"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FA0D37" w:rsidRDefault="003475B1" w:rsidP="003475B1">
            <w:pPr>
              <w:pStyle w:val="TAL"/>
              <w:rPr>
                <w:szCs w:val="22"/>
                <w:lang w:eastAsia="sv-SE"/>
              </w:rPr>
            </w:pPr>
            <w:r w:rsidRPr="00FA0D37">
              <w:rPr>
                <w:b/>
                <w:i/>
                <w:szCs w:val="22"/>
                <w:lang w:eastAsia="sv-SE"/>
              </w:rPr>
              <w:t>defaultDownlinkBWP-Id</w:t>
            </w:r>
          </w:p>
          <w:p w14:paraId="312FB0AB" w14:textId="53671A15" w:rsidR="003475B1" w:rsidRPr="00FA0D37" w:rsidRDefault="003475B1" w:rsidP="003475B1">
            <w:pPr>
              <w:pStyle w:val="TAL"/>
              <w:rPr>
                <w:szCs w:val="22"/>
                <w:lang w:eastAsia="sv-SE"/>
              </w:rPr>
            </w:pPr>
            <w:r w:rsidRPr="00FA0D37">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5C7FF4" w:rsidRPr="00FA0D37"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FA0D37" w:rsidRDefault="003475B1" w:rsidP="003475B1">
            <w:pPr>
              <w:pStyle w:val="TAL"/>
              <w:rPr>
                <w:b/>
                <w:i/>
                <w:lang w:eastAsia="sv-SE"/>
              </w:rPr>
            </w:pPr>
            <w:r w:rsidRPr="00FA0D37">
              <w:rPr>
                <w:b/>
                <w:i/>
                <w:lang w:eastAsia="sv-SE"/>
              </w:rPr>
              <w:t>directionalCollisionHandling</w:t>
            </w:r>
          </w:p>
          <w:p w14:paraId="7AF8EE39" w14:textId="1C9DF54F" w:rsidR="003475B1" w:rsidRPr="00FA0D37" w:rsidRDefault="003475B1" w:rsidP="003475B1">
            <w:pPr>
              <w:pStyle w:val="TAL"/>
              <w:rPr>
                <w:b/>
                <w:i/>
                <w:szCs w:val="22"/>
                <w:lang w:eastAsia="sv-SE"/>
              </w:rPr>
            </w:pPr>
            <w:r w:rsidRPr="00FA0D37">
              <w:rPr>
                <w:szCs w:val="22"/>
                <w:lang w:eastAsia="sv-SE"/>
              </w:rPr>
              <w:t xml:space="preserve">Indicates that this serving cell is using </w:t>
            </w:r>
            <w:r w:rsidRPr="00FA0D37">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FA0D37">
              <w:rPr>
                <w:lang w:eastAsia="sv-SE"/>
              </w:rPr>
              <w:br/>
            </w:r>
            <w:r w:rsidRPr="00FA0D37">
              <w:rPr>
                <w:lang w:eastAsia="sv-SE"/>
              </w:rPr>
              <w:br/>
              <w:t>The network only configures this field for TDD serving cells that are using the same SCS.</w:t>
            </w:r>
          </w:p>
        </w:tc>
      </w:tr>
      <w:tr w:rsidR="005C7FF4" w:rsidRPr="00FA0D37"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FA0D37" w:rsidRDefault="003475B1" w:rsidP="003475B1">
            <w:pPr>
              <w:pStyle w:val="TAL"/>
              <w:rPr>
                <w:b/>
                <w:i/>
                <w:lang w:eastAsia="sv-SE"/>
              </w:rPr>
            </w:pPr>
            <w:r w:rsidRPr="00FA0D37">
              <w:rPr>
                <w:b/>
                <w:i/>
                <w:lang w:eastAsia="sv-SE"/>
              </w:rPr>
              <w:lastRenderedPageBreak/>
              <w:t>directionalCollisionHandling-DC</w:t>
            </w:r>
          </w:p>
          <w:p w14:paraId="32B35F1D" w14:textId="6D500171" w:rsidR="003475B1" w:rsidRPr="00FA0D37" w:rsidRDefault="003475B1" w:rsidP="003475B1">
            <w:pPr>
              <w:pStyle w:val="TAL"/>
              <w:rPr>
                <w:b/>
                <w:i/>
                <w:lang w:eastAsia="sv-SE"/>
              </w:rPr>
            </w:pPr>
            <w:r w:rsidRPr="00FA0D37">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5C7FF4" w:rsidRPr="00FA0D37"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FA0D37" w:rsidRDefault="003475B1" w:rsidP="003475B1">
            <w:pPr>
              <w:pStyle w:val="TAL"/>
              <w:rPr>
                <w:b/>
                <w:i/>
                <w:szCs w:val="22"/>
              </w:rPr>
            </w:pPr>
            <w:r w:rsidRPr="00FA0D37">
              <w:rPr>
                <w:b/>
                <w:i/>
                <w:szCs w:val="22"/>
              </w:rPr>
              <w:t>dormantBWP-Config</w:t>
            </w:r>
          </w:p>
          <w:p w14:paraId="5E2D05C1" w14:textId="77777777" w:rsidR="003475B1" w:rsidRPr="00FA0D37" w:rsidRDefault="003475B1" w:rsidP="003475B1">
            <w:pPr>
              <w:pStyle w:val="TAL"/>
              <w:rPr>
                <w:b/>
                <w:i/>
                <w:szCs w:val="22"/>
                <w:lang w:eastAsia="sv-SE"/>
              </w:rPr>
            </w:pPr>
            <w:r w:rsidRPr="00FA0D37">
              <w:rPr>
                <w:szCs w:val="22"/>
              </w:rPr>
              <w:t xml:space="preserve">The dormant BWP configuration for an SCell. This field can be configured only for a </w:t>
            </w:r>
            <w:r w:rsidRPr="00FA0D37">
              <w:rPr>
                <w:bCs/>
                <w:iCs/>
                <w:szCs w:val="22"/>
              </w:rPr>
              <w:t>(non-PUCCH) SCell.</w:t>
            </w:r>
          </w:p>
        </w:tc>
      </w:tr>
      <w:tr w:rsidR="005C7FF4" w:rsidRPr="00FA0D37"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FA0D37" w:rsidRDefault="003475B1" w:rsidP="003475B1">
            <w:pPr>
              <w:pStyle w:val="TAL"/>
              <w:rPr>
                <w:szCs w:val="22"/>
                <w:lang w:eastAsia="sv-SE"/>
              </w:rPr>
            </w:pPr>
            <w:r w:rsidRPr="00FA0D37">
              <w:rPr>
                <w:b/>
                <w:i/>
                <w:szCs w:val="22"/>
                <w:lang w:eastAsia="sv-SE"/>
              </w:rPr>
              <w:t>downlinkBWP-ToAddModList</w:t>
            </w:r>
          </w:p>
          <w:p w14:paraId="076B2D17" w14:textId="77777777" w:rsidR="003475B1" w:rsidRPr="00FA0D37" w:rsidRDefault="003475B1" w:rsidP="003475B1">
            <w:pPr>
              <w:pStyle w:val="TAL"/>
              <w:rPr>
                <w:szCs w:val="22"/>
                <w:lang w:eastAsia="sv-SE"/>
              </w:rPr>
            </w:pPr>
            <w:r w:rsidRPr="00FA0D37">
              <w:rPr>
                <w:szCs w:val="22"/>
                <w:lang w:eastAsia="sv-SE"/>
              </w:rPr>
              <w:t>List of additional downlink bandwidth parts to be added or modified. (see TS 38.213 [13], clause 12).</w:t>
            </w:r>
          </w:p>
        </w:tc>
      </w:tr>
      <w:tr w:rsidR="005C7FF4" w:rsidRPr="00FA0D37"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FA0D37" w:rsidRDefault="003475B1" w:rsidP="003475B1">
            <w:pPr>
              <w:pStyle w:val="TAL"/>
              <w:rPr>
                <w:szCs w:val="22"/>
                <w:lang w:eastAsia="sv-SE"/>
              </w:rPr>
            </w:pPr>
            <w:r w:rsidRPr="00FA0D37">
              <w:rPr>
                <w:b/>
                <w:i/>
                <w:szCs w:val="22"/>
                <w:lang w:eastAsia="sv-SE"/>
              </w:rPr>
              <w:t>downlinkBWP-ToReleaseList</w:t>
            </w:r>
          </w:p>
          <w:p w14:paraId="459F57BE" w14:textId="77777777" w:rsidR="003475B1" w:rsidRPr="00FA0D37" w:rsidRDefault="003475B1" w:rsidP="003475B1">
            <w:pPr>
              <w:pStyle w:val="TAL"/>
              <w:rPr>
                <w:szCs w:val="22"/>
                <w:lang w:eastAsia="sv-SE"/>
              </w:rPr>
            </w:pPr>
            <w:r w:rsidRPr="00FA0D37">
              <w:rPr>
                <w:szCs w:val="22"/>
                <w:lang w:eastAsia="sv-SE"/>
              </w:rPr>
              <w:t>List of additional downlink bandwidth parts to be released. (see TS 38.213 [13], clause 12).</w:t>
            </w:r>
          </w:p>
        </w:tc>
      </w:tr>
      <w:tr w:rsidR="005C7FF4" w:rsidRPr="00FA0D37"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FA0D37" w:rsidRDefault="003475B1" w:rsidP="003475B1">
            <w:pPr>
              <w:pStyle w:val="TAL"/>
              <w:rPr>
                <w:b/>
                <w:i/>
                <w:szCs w:val="22"/>
                <w:lang w:eastAsia="sv-SE"/>
              </w:rPr>
            </w:pPr>
            <w:r w:rsidRPr="00FA0D37">
              <w:rPr>
                <w:b/>
                <w:i/>
                <w:szCs w:val="22"/>
                <w:lang w:eastAsia="sv-SE"/>
              </w:rPr>
              <w:t>downlinkChannelBW-PerSCS-List</w:t>
            </w:r>
          </w:p>
          <w:p w14:paraId="7DB98655" w14:textId="163A1B15" w:rsidR="003475B1" w:rsidRPr="00FA0D37" w:rsidRDefault="003475B1" w:rsidP="003475B1">
            <w:pPr>
              <w:pStyle w:val="TAL"/>
              <w:rPr>
                <w:szCs w:val="22"/>
                <w:lang w:eastAsia="sv-SE"/>
              </w:rPr>
            </w:pPr>
            <w:r w:rsidRPr="00FA0D3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A0D37">
              <w:rPr>
                <w:i/>
                <w:szCs w:val="22"/>
                <w:lang w:eastAsia="sv-SE"/>
              </w:rPr>
              <w:t>scs-SpecificCarrierList</w:t>
            </w:r>
            <w:r w:rsidRPr="00FA0D37">
              <w:rPr>
                <w:szCs w:val="22"/>
                <w:lang w:eastAsia="sv-SE"/>
              </w:rPr>
              <w:t xml:space="preserve"> in </w:t>
            </w:r>
            <w:r w:rsidRPr="00FA0D37">
              <w:rPr>
                <w:i/>
                <w:szCs w:val="22"/>
                <w:lang w:eastAsia="sv-SE"/>
              </w:rPr>
              <w:t>DownlinkConfigCommon</w:t>
            </w:r>
            <w:r w:rsidRPr="00FA0D37">
              <w:rPr>
                <w:szCs w:val="22"/>
                <w:lang w:eastAsia="sv-SE"/>
              </w:rPr>
              <w:t xml:space="preserve"> / </w:t>
            </w:r>
            <w:r w:rsidRPr="00FA0D37">
              <w:rPr>
                <w:i/>
                <w:szCs w:val="22"/>
                <w:lang w:eastAsia="sv-SE"/>
              </w:rPr>
              <w:t>DownlinkConfigCommonSIB</w:t>
            </w:r>
            <w:r w:rsidRPr="00FA0D37">
              <w:rPr>
                <w:szCs w:val="22"/>
                <w:lang w:eastAsia="sv-SE"/>
              </w:rPr>
              <w:t>. Network only configures channel bandwidth that corresponds to the channel bandwidth values defined in TS 38.101-1 [15], TS 38.101-2 [39], and TS 38.101-5 [75].</w:t>
            </w:r>
          </w:p>
        </w:tc>
      </w:tr>
      <w:tr w:rsidR="005C7FF4" w:rsidRPr="00FA0D37"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FA0D37" w:rsidRDefault="003475B1" w:rsidP="003475B1">
            <w:pPr>
              <w:pStyle w:val="TAL"/>
              <w:rPr>
                <w:b/>
                <w:i/>
                <w:szCs w:val="22"/>
                <w:lang w:eastAsia="sv-SE"/>
              </w:rPr>
            </w:pPr>
            <w:r w:rsidRPr="00FA0D37">
              <w:rPr>
                <w:b/>
                <w:i/>
                <w:szCs w:val="22"/>
                <w:lang w:eastAsia="sv-SE"/>
              </w:rPr>
              <w:t>dummy1, dummy 2</w:t>
            </w:r>
          </w:p>
          <w:p w14:paraId="086EEE94" w14:textId="77777777" w:rsidR="003475B1" w:rsidRPr="00FA0D37" w:rsidRDefault="003475B1" w:rsidP="003475B1">
            <w:pPr>
              <w:pStyle w:val="TAL"/>
              <w:rPr>
                <w:b/>
                <w:i/>
                <w:szCs w:val="22"/>
                <w:lang w:eastAsia="sv-SE"/>
              </w:rPr>
            </w:pPr>
            <w:r w:rsidRPr="00FA0D37">
              <w:rPr>
                <w:szCs w:val="22"/>
                <w:lang w:eastAsia="sv-SE"/>
              </w:rPr>
              <w:t>This field is not used in the specification. If received it shall be ignored by the UE.</w:t>
            </w:r>
          </w:p>
        </w:tc>
      </w:tr>
      <w:tr w:rsidR="005C7FF4" w:rsidRPr="00FA0D37"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FA0D37" w:rsidRDefault="003475B1" w:rsidP="003475B1">
            <w:pPr>
              <w:pStyle w:val="TAL"/>
              <w:rPr>
                <w:b/>
                <w:i/>
                <w:szCs w:val="22"/>
              </w:rPr>
            </w:pPr>
            <w:r w:rsidRPr="00FA0D37">
              <w:rPr>
                <w:b/>
                <w:i/>
                <w:szCs w:val="22"/>
              </w:rPr>
              <w:t>enableBeamSwitchTiming</w:t>
            </w:r>
          </w:p>
          <w:p w14:paraId="45AD81FF" w14:textId="77777777" w:rsidR="003475B1" w:rsidRPr="00FA0D37" w:rsidRDefault="003475B1" w:rsidP="003475B1">
            <w:pPr>
              <w:pStyle w:val="TAL"/>
              <w:rPr>
                <w:b/>
                <w:i/>
                <w:szCs w:val="22"/>
                <w:lang w:eastAsia="sv-SE"/>
              </w:rPr>
            </w:pPr>
            <w:r w:rsidRPr="00FA0D37">
              <w:rPr>
                <w:szCs w:val="22"/>
              </w:rPr>
              <w:t>Indicates the aperiodic CSI-RS triggering with beam switching triggering behaviour as defined in clause 5.2.1.5.1 of TS 38.214 [19].</w:t>
            </w:r>
          </w:p>
        </w:tc>
      </w:tr>
      <w:tr w:rsidR="005C7FF4" w:rsidRPr="00FA0D37"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FA0D37" w:rsidRDefault="003475B1" w:rsidP="003475B1">
            <w:pPr>
              <w:pStyle w:val="TAL"/>
              <w:rPr>
                <w:b/>
                <w:bCs/>
                <w:i/>
                <w:iCs/>
                <w:lang w:eastAsia="fi-FI"/>
              </w:rPr>
            </w:pPr>
            <w:r w:rsidRPr="00FA0D37">
              <w:rPr>
                <w:b/>
                <w:bCs/>
                <w:i/>
                <w:iCs/>
                <w:lang w:eastAsia="fi-FI"/>
              </w:rPr>
              <w:t>enableDefaultTCI-StatePerCoresetPoolIndex</w:t>
            </w:r>
          </w:p>
          <w:p w14:paraId="282C3D99" w14:textId="77777777" w:rsidR="003475B1" w:rsidRPr="00FA0D37" w:rsidRDefault="003475B1" w:rsidP="003475B1">
            <w:pPr>
              <w:pStyle w:val="TAL"/>
              <w:rPr>
                <w:b/>
                <w:i/>
                <w:szCs w:val="22"/>
                <w:lang w:eastAsia="sv-SE"/>
              </w:rPr>
            </w:pPr>
            <w:r w:rsidRPr="00FA0D37">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5C7FF4" w:rsidRPr="00FA0D37"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FA0D37" w:rsidRDefault="003475B1" w:rsidP="003475B1">
            <w:pPr>
              <w:pStyle w:val="TAL"/>
              <w:rPr>
                <w:b/>
                <w:bCs/>
                <w:i/>
                <w:iCs/>
                <w:lang w:eastAsia="fi-FI"/>
              </w:rPr>
            </w:pPr>
            <w:r w:rsidRPr="00FA0D37">
              <w:rPr>
                <w:b/>
                <w:bCs/>
                <w:i/>
                <w:iCs/>
                <w:lang w:eastAsia="fi-FI"/>
              </w:rPr>
              <w:t>enableTwoDefaultTCI-States</w:t>
            </w:r>
          </w:p>
          <w:p w14:paraId="22E68A4C" w14:textId="77777777" w:rsidR="003475B1" w:rsidRPr="00FA0D37" w:rsidRDefault="003475B1" w:rsidP="003475B1">
            <w:pPr>
              <w:pStyle w:val="TAL"/>
              <w:rPr>
                <w:b/>
                <w:i/>
                <w:szCs w:val="22"/>
                <w:lang w:eastAsia="sv-SE"/>
              </w:rPr>
            </w:pPr>
            <w:r w:rsidRPr="00FA0D37">
              <w:rPr>
                <w:bCs/>
                <w:iCs/>
                <w:szCs w:val="22"/>
                <w:lang w:eastAsia="fi-FI"/>
              </w:rPr>
              <w:t>Presence of this field indicates the UE shall follow the release 16 behavior of two default TCI states for PDSCH when at least one TCI codepoint is mapped to two TCI states is enabled</w:t>
            </w:r>
          </w:p>
        </w:tc>
      </w:tr>
      <w:tr w:rsidR="005C7FF4" w:rsidRPr="00FA0D37"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FA0D37" w:rsidRDefault="003475B1" w:rsidP="003475B1">
            <w:pPr>
              <w:pStyle w:val="TAL"/>
              <w:rPr>
                <w:b/>
                <w:bCs/>
                <w:i/>
                <w:iCs/>
                <w:lang w:eastAsia="fi-FI"/>
              </w:rPr>
            </w:pPr>
            <w:r w:rsidRPr="00FA0D37">
              <w:rPr>
                <w:b/>
                <w:bCs/>
                <w:i/>
                <w:iCs/>
                <w:lang w:eastAsia="fi-FI"/>
              </w:rPr>
              <w:t>fdmed-ReceptionMulticast</w:t>
            </w:r>
          </w:p>
          <w:p w14:paraId="64E37964" w14:textId="77777777" w:rsidR="003475B1" w:rsidRPr="00FA0D37" w:rsidRDefault="003475B1" w:rsidP="003475B1">
            <w:pPr>
              <w:pStyle w:val="TAL"/>
              <w:rPr>
                <w:bCs/>
                <w:iCs/>
                <w:szCs w:val="22"/>
                <w:lang w:eastAsia="fi-FI"/>
              </w:rPr>
            </w:pPr>
            <w:r w:rsidRPr="00FA0D37">
              <w:rPr>
                <w:bCs/>
                <w:iCs/>
                <w:szCs w:val="22"/>
                <w:lang w:eastAsia="fi-FI"/>
              </w:rPr>
              <w:t xml:space="preserve">Indicates the Type-1 HARQ codebook generation as specified </w:t>
            </w:r>
            <w:r w:rsidRPr="00FA0D37">
              <w:rPr>
                <w:szCs w:val="22"/>
                <w:lang w:eastAsia="sv-SE"/>
              </w:rPr>
              <w:t xml:space="preserve">in </w:t>
            </w:r>
            <w:r w:rsidRPr="00FA0D37">
              <w:rPr>
                <w:bCs/>
                <w:iCs/>
                <w:szCs w:val="22"/>
                <w:lang w:eastAsia="fi-FI"/>
              </w:rPr>
              <w:t xml:space="preserve">TS 38.213 [13], </w:t>
            </w:r>
            <w:r w:rsidRPr="00FA0D37">
              <w:rPr>
                <w:szCs w:val="22"/>
                <w:lang w:eastAsia="sv-SE"/>
              </w:rPr>
              <w:t>clause 9.1.2.1</w:t>
            </w:r>
            <w:r w:rsidRPr="00FA0D37">
              <w:rPr>
                <w:bCs/>
                <w:iCs/>
                <w:szCs w:val="22"/>
                <w:lang w:eastAsia="fi-FI"/>
              </w:rPr>
              <w:t>.</w:t>
            </w:r>
          </w:p>
        </w:tc>
      </w:tr>
      <w:tr w:rsidR="005C7FF4" w:rsidRPr="00FA0D37"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FA0D37" w:rsidRDefault="003475B1" w:rsidP="003475B1">
            <w:pPr>
              <w:pStyle w:val="TAL"/>
              <w:rPr>
                <w:szCs w:val="22"/>
                <w:lang w:eastAsia="sv-SE"/>
              </w:rPr>
            </w:pPr>
            <w:r w:rsidRPr="00FA0D37">
              <w:rPr>
                <w:b/>
                <w:i/>
                <w:szCs w:val="22"/>
                <w:lang w:eastAsia="sv-SE"/>
              </w:rPr>
              <w:t>firstActiveDownlinkBWP-Id</w:t>
            </w:r>
          </w:p>
          <w:p w14:paraId="792C1031" w14:textId="440B8370" w:rsidR="003475B1" w:rsidRPr="00FA0D37" w:rsidRDefault="003475B1" w:rsidP="003475B1">
            <w:pPr>
              <w:pStyle w:val="TAL"/>
              <w:rPr>
                <w:szCs w:val="22"/>
                <w:lang w:eastAsia="sv-SE"/>
              </w:rPr>
            </w:pPr>
            <w:r w:rsidRPr="00FA0D37">
              <w:rPr>
                <w:szCs w:val="22"/>
                <w:lang w:eastAsia="sv-SE"/>
              </w:rPr>
              <w:t xml:space="preserve">If configured for an SpCell, this field contains the ID of the DL BWP to be activated or to be used for RLM, BFD and measurements if included in an </w:t>
            </w:r>
            <w:r w:rsidRPr="00FA0D37">
              <w:rPr>
                <w:i/>
                <w:szCs w:val="22"/>
                <w:lang w:eastAsia="sv-SE"/>
              </w:rPr>
              <w:t>RRCReconfiguration</w:t>
            </w:r>
            <w:r w:rsidRPr="00FA0D37">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FA0D37" w:rsidRDefault="003475B1" w:rsidP="003475B1">
            <w:pPr>
              <w:pStyle w:val="TAL"/>
              <w:rPr>
                <w:szCs w:val="22"/>
                <w:lang w:eastAsia="sv-SE"/>
              </w:rPr>
            </w:pPr>
            <w:r w:rsidRPr="00FA0D37">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FA0D37" w:rsidRDefault="003475B1" w:rsidP="003475B1">
            <w:pPr>
              <w:pStyle w:val="TAL"/>
              <w:rPr>
                <w:szCs w:val="22"/>
                <w:lang w:eastAsia="sv-SE"/>
              </w:rPr>
            </w:pPr>
            <w:r w:rsidRPr="00FA0D37">
              <w:rPr>
                <w:szCs w:val="22"/>
                <w:lang w:eastAsia="sv-SE"/>
              </w:rPr>
              <w:t xml:space="preserve">Upon reconfiguration with </w:t>
            </w:r>
            <w:r w:rsidRPr="00FA0D37">
              <w:rPr>
                <w:i/>
                <w:iCs/>
                <w:szCs w:val="22"/>
                <w:lang w:eastAsia="sv-SE"/>
              </w:rPr>
              <w:t>reconfigurationWithSync</w:t>
            </w:r>
            <w:r w:rsidRPr="00FA0D37">
              <w:rPr>
                <w:szCs w:val="22"/>
                <w:lang w:eastAsia="sv-SE"/>
              </w:rPr>
              <w:t xml:space="preserve">, the network sets the </w:t>
            </w:r>
            <w:r w:rsidRPr="00FA0D37">
              <w:rPr>
                <w:i/>
                <w:szCs w:val="22"/>
                <w:lang w:eastAsia="sv-SE"/>
              </w:rPr>
              <w:t>firstActiveDownlinkBWP-Id</w:t>
            </w:r>
            <w:r w:rsidRPr="00FA0D37">
              <w:rPr>
                <w:szCs w:val="22"/>
                <w:lang w:eastAsia="sv-SE"/>
              </w:rPr>
              <w:t xml:space="preserve"> and </w:t>
            </w:r>
            <w:r w:rsidRPr="00FA0D37">
              <w:rPr>
                <w:i/>
                <w:szCs w:val="22"/>
                <w:lang w:eastAsia="sv-SE"/>
              </w:rPr>
              <w:t>firstActiveUplinkBWP-Id</w:t>
            </w:r>
            <w:r w:rsidRPr="00FA0D37">
              <w:rPr>
                <w:szCs w:val="22"/>
                <w:lang w:eastAsia="sv-SE"/>
              </w:rPr>
              <w:t xml:space="preserve"> to the same value.</w:t>
            </w:r>
          </w:p>
        </w:tc>
      </w:tr>
      <w:tr w:rsidR="005C7FF4" w:rsidRPr="00FA0D37"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FA0D37" w:rsidRDefault="003475B1" w:rsidP="003475B1">
            <w:pPr>
              <w:pStyle w:val="TAL"/>
              <w:rPr>
                <w:szCs w:val="22"/>
                <w:lang w:eastAsia="sv-SE"/>
              </w:rPr>
            </w:pPr>
            <w:r w:rsidRPr="00FA0D37">
              <w:rPr>
                <w:b/>
                <w:i/>
                <w:szCs w:val="22"/>
                <w:lang w:eastAsia="sv-SE"/>
              </w:rPr>
              <w:t>initialDownlinkBWP</w:t>
            </w:r>
          </w:p>
          <w:p w14:paraId="2BA38944" w14:textId="3FE35217" w:rsidR="003475B1" w:rsidRPr="00FA0D37" w:rsidRDefault="003475B1" w:rsidP="003475B1">
            <w:pPr>
              <w:pStyle w:val="TAL"/>
              <w:rPr>
                <w:szCs w:val="22"/>
                <w:lang w:eastAsia="sv-SE"/>
              </w:rPr>
            </w:pPr>
            <w:r w:rsidRPr="00FA0D37">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A0D37">
              <w:rPr>
                <w:lang w:eastAsia="sv-SE"/>
              </w:rPr>
              <w:t>the UE with a value for</w:t>
            </w:r>
            <w:r w:rsidRPr="00FA0D37">
              <w:rPr>
                <w:szCs w:val="22"/>
                <w:lang w:eastAsia="sv-SE"/>
              </w:rPr>
              <w:t xml:space="preserve"> this field if no other BWPs are configured. NOTE1</w:t>
            </w:r>
          </w:p>
        </w:tc>
      </w:tr>
      <w:tr w:rsidR="005C7FF4" w:rsidRPr="00FA0D37"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FA0D37" w:rsidRDefault="003475B1" w:rsidP="003475B1">
            <w:pPr>
              <w:pStyle w:val="TAL"/>
              <w:rPr>
                <w:szCs w:val="22"/>
              </w:rPr>
            </w:pPr>
            <w:r w:rsidRPr="00FA0D37">
              <w:rPr>
                <w:b/>
                <w:i/>
                <w:szCs w:val="22"/>
              </w:rPr>
              <w:t>intraCellGuardBandsDL-List, intraCellGuardBandsUL-List</w:t>
            </w:r>
          </w:p>
          <w:p w14:paraId="3384042F" w14:textId="6E13A3FF" w:rsidR="003475B1" w:rsidRPr="00FA0D37" w:rsidRDefault="003475B1" w:rsidP="003475B1">
            <w:pPr>
              <w:pStyle w:val="TAL"/>
              <w:rPr>
                <w:b/>
                <w:i/>
                <w:szCs w:val="22"/>
                <w:lang w:eastAsia="sv-SE"/>
              </w:rPr>
            </w:pPr>
            <w:r w:rsidRPr="00FA0D37">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5C7FF4" w:rsidRPr="00FA0D37"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FA0D37" w:rsidRDefault="003475B1" w:rsidP="003475B1">
            <w:pPr>
              <w:pStyle w:val="TAL"/>
              <w:rPr>
                <w:b/>
                <w:i/>
                <w:lang w:eastAsia="sv-SE"/>
              </w:rPr>
            </w:pPr>
            <w:r w:rsidRPr="00FA0D37">
              <w:rPr>
                <w:b/>
                <w:i/>
                <w:lang w:eastAsia="sv-SE"/>
              </w:rPr>
              <w:lastRenderedPageBreak/>
              <w:t>lte-CRS-PatternList1</w:t>
            </w:r>
          </w:p>
          <w:p w14:paraId="60CF967C" w14:textId="77777777" w:rsidR="003475B1" w:rsidRPr="00FA0D37" w:rsidRDefault="003475B1" w:rsidP="003475B1">
            <w:pPr>
              <w:pStyle w:val="TAL"/>
              <w:rPr>
                <w:b/>
                <w:i/>
                <w:szCs w:val="22"/>
                <w:lang w:eastAsia="sv-SE"/>
              </w:rPr>
            </w:pPr>
            <w:r w:rsidRPr="00FA0D37">
              <w:rPr>
                <w:lang w:eastAsia="sv-SE"/>
              </w:rPr>
              <w:t>A list of LTE CRS patterns around which the UE shall do rate matching for PDSCH. The LTE CRS patterns in this list shall be non-overlapping in frequency.</w:t>
            </w:r>
            <w:r w:rsidRPr="00FA0D37">
              <w:t xml:space="preserve"> The network does not configure this field and </w:t>
            </w:r>
            <w:r w:rsidRPr="00FA0D37">
              <w:rPr>
                <w:i/>
                <w:iCs/>
              </w:rPr>
              <w:t>lte-CRS-ToMatchAround</w:t>
            </w:r>
            <w:r w:rsidRPr="00FA0D37">
              <w:t xml:space="preserve"> simultaneously.</w:t>
            </w:r>
          </w:p>
        </w:tc>
      </w:tr>
      <w:tr w:rsidR="005C7FF4" w:rsidRPr="00FA0D37"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FA0D37" w:rsidRDefault="003475B1" w:rsidP="003475B1">
            <w:pPr>
              <w:pStyle w:val="TAL"/>
              <w:rPr>
                <w:b/>
                <w:i/>
                <w:lang w:eastAsia="sv-SE"/>
              </w:rPr>
            </w:pPr>
            <w:r w:rsidRPr="00FA0D37">
              <w:rPr>
                <w:b/>
                <w:i/>
                <w:lang w:eastAsia="sv-SE"/>
              </w:rPr>
              <w:t>lte-CRS-PatternList2</w:t>
            </w:r>
          </w:p>
          <w:p w14:paraId="0057EC86" w14:textId="06BEFBAD" w:rsidR="003475B1" w:rsidRPr="00FA0D37" w:rsidRDefault="003475B1" w:rsidP="003475B1">
            <w:pPr>
              <w:pStyle w:val="TAL"/>
              <w:rPr>
                <w:b/>
                <w:i/>
                <w:szCs w:val="22"/>
                <w:lang w:eastAsia="sv-SE"/>
              </w:rPr>
            </w:pPr>
            <w:r w:rsidRPr="00FA0D37">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FA0D37">
              <w:t xml:space="preserve"> Network configures this field only if the field </w:t>
            </w:r>
            <w:r w:rsidRPr="00FA0D37">
              <w:rPr>
                <w:i/>
                <w:iCs/>
              </w:rPr>
              <w:t>lte-CRS-ToMatchAround</w:t>
            </w:r>
            <w:r w:rsidRPr="00FA0D37">
              <w:t xml:space="preserve"> is not configured and there is at least one ControlResourceSet in one DL BWP of this serving cell with </w:t>
            </w:r>
            <w:r w:rsidRPr="00FA0D37">
              <w:rPr>
                <w:i/>
                <w:iCs/>
              </w:rPr>
              <w:t>coresetPoolIndex</w:t>
            </w:r>
            <w:r w:rsidRPr="00FA0D37">
              <w:t xml:space="preserve"> set to 1.</w:t>
            </w:r>
          </w:p>
        </w:tc>
      </w:tr>
      <w:tr w:rsidR="005C7FF4" w:rsidRPr="00FA0D37"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FA0D37" w:rsidRDefault="003475B1" w:rsidP="003475B1">
            <w:pPr>
              <w:pStyle w:val="TAL"/>
              <w:rPr>
                <w:szCs w:val="22"/>
                <w:lang w:eastAsia="sv-SE"/>
              </w:rPr>
            </w:pPr>
            <w:r w:rsidRPr="00FA0D37">
              <w:rPr>
                <w:b/>
                <w:i/>
                <w:szCs w:val="22"/>
                <w:lang w:eastAsia="sv-SE"/>
              </w:rPr>
              <w:t>lte-CRS-ToMatchAround</w:t>
            </w:r>
          </w:p>
          <w:p w14:paraId="49CD2DA6" w14:textId="77777777" w:rsidR="003475B1" w:rsidRPr="00FA0D37" w:rsidRDefault="003475B1" w:rsidP="003475B1">
            <w:pPr>
              <w:pStyle w:val="TAL"/>
              <w:rPr>
                <w:b/>
                <w:i/>
                <w:szCs w:val="22"/>
                <w:lang w:eastAsia="sv-SE"/>
              </w:rPr>
            </w:pPr>
            <w:r w:rsidRPr="00FA0D37">
              <w:rPr>
                <w:szCs w:val="22"/>
                <w:lang w:eastAsia="sv-SE"/>
              </w:rPr>
              <w:t>Parameters to determine an LTE CRS pattern that the UE shall rate match around.</w:t>
            </w:r>
          </w:p>
        </w:tc>
      </w:tr>
      <w:tr w:rsidR="005C7FF4" w:rsidRPr="00FA0D37"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FA0D37" w:rsidRDefault="003475B1" w:rsidP="003475B1">
            <w:pPr>
              <w:pStyle w:val="TAL"/>
              <w:rPr>
                <w:b/>
                <w:bCs/>
                <w:i/>
                <w:iCs/>
                <w:lang w:eastAsia="sv-SE"/>
              </w:rPr>
            </w:pPr>
            <w:r w:rsidRPr="00FA0D37">
              <w:rPr>
                <w:b/>
                <w:bCs/>
                <w:i/>
                <w:iCs/>
                <w:lang w:eastAsia="sv-SE"/>
              </w:rPr>
              <w:t>lte-NeighCellsCRS-AssistInfoList</w:t>
            </w:r>
          </w:p>
          <w:p w14:paraId="1C13FC6B" w14:textId="446077A4" w:rsidR="003475B1" w:rsidRPr="00FA0D37" w:rsidRDefault="003475B1" w:rsidP="003475B1">
            <w:pPr>
              <w:pStyle w:val="TAL"/>
              <w:rPr>
                <w:b/>
                <w:i/>
                <w:szCs w:val="22"/>
                <w:lang w:eastAsia="sv-SE"/>
              </w:rPr>
            </w:pPr>
            <w:r w:rsidRPr="00FA0D37">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FA0D37">
              <w:rPr>
                <w:i/>
                <w:szCs w:val="22"/>
                <w:lang w:eastAsia="sv-SE"/>
              </w:rPr>
              <w:t xml:space="preserve">LTE-NeighCellsCRS-AssistInfo </w:t>
            </w:r>
            <w:r w:rsidRPr="00FA0D37">
              <w:rPr>
                <w:szCs w:val="22"/>
                <w:lang w:eastAsia="sv-SE"/>
              </w:rPr>
              <w:t>entries is considered to be newly created and the conditions and Need codes for setup of the entry apply.</w:t>
            </w:r>
          </w:p>
        </w:tc>
      </w:tr>
      <w:tr w:rsidR="005C7FF4" w:rsidRPr="00FA0D37"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FA0D37" w:rsidRDefault="003475B1" w:rsidP="003475B1">
            <w:pPr>
              <w:pStyle w:val="TAL"/>
              <w:rPr>
                <w:b/>
                <w:bCs/>
                <w:i/>
                <w:iCs/>
                <w:lang w:eastAsia="sv-SE"/>
              </w:rPr>
            </w:pPr>
            <w:r w:rsidRPr="00FA0D37">
              <w:rPr>
                <w:b/>
                <w:bCs/>
                <w:i/>
                <w:iCs/>
                <w:lang w:eastAsia="sv-SE"/>
              </w:rPr>
              <w:t>lte-NeighCellsCRS-Assumptions</w:t>
            </w:r>
          </w:p>
          <w:p w14:paraId="7246A5C9" w14:textId="77777777" w:rsidR="003475B1" w:rsidRPr="00FA0D37" w:rsidRDefault="003475B1" w:rsidP="003475B1">
            <w:pPr>
              <w:pStyle w:val="TAL"/>
            </w:pPr>
            <w:r w:rsidRPr="00FA0D37">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FA0D37" w:rsidRDefault="003475B1" w:rsidP="003475B1">
            <w:pPr>
              <w:pStyle w:val="TAL"/>
              <w:ind w:left="313" w:hanging="313"/>
              <w:rPr>
                <w:rFonts w:eastAsia="Batang"/>
                <w:szCs w:val="24"/>
              </w:rPr>
            </w:pPr>
            <w:r w:rsidRPr="00FA0D37">
              <w:rPr>
                <w:rFonts w:eastAsia="Batang"/>
                <w:szCs w:val="24"/>
              </w:rPr>
              <w:t>-</w:t>
            </w:r>
            <w:r w:rsidRPr="00FA0D37">
              <w:tab/>
            </w:r>
            <w:r w:rsidRPr="00FA0D37">
              <w:rPr>
                <w:rFonts w:eastAsia="Batang"/>
                <w:szCs w:val="24"/>
              </w:rPr>
              <w:t xml:space="preserve">The CRS port number is the same as the one indicated in </w:t>
            </w:r>
            <w:r w:rsidRPr="00FA0D37">
              <w:rPr>
                <w:rFonts w:eastAsia="Batang"/>
                <w:i/>
                <w:iCs/>
                <w:szCs w:val="24"/>
              </w:rPr>
              <w:t>RateMatchPatternLTE-CRS</w:t>
            </w:r>
            <w:r w:rsidRPr="00FA0D37">
              <w:rPr>
                <w:rFonts w:eastAsia="Batang"/>
                <w:szCs w:val="24"/>
              </w:rPr>
              <w:t xml:space="preserve"> if configured for the serving cell.</w:t>
            </w:r>
          </w:p>
          <w:p w14:paraId="5A9B3CC1" w14:textId="58E1BD47" w:rsidR="003475B1" w:rsidRPr="00FA0D37" w:rsidRDefault="003475B1" w:rsidP="003475B1">
            <w:pPr>
              <w:pStyle w:val="TAL"/>
              <w:ind w:left="313" w:hanging="313"/>
              <w:rPr>
                <w:rFonts w:eastAsia="Batang"/>
                <w:szCs w:val="24"/>
              </w:rPr>
            </w:pPr>
            <w:r w:rsidRPr="00FA0D37">
              <w:rPr>
                <w:rFonts w:eastAsia="Batang"/>
                <w:szCs w:val="24"/>
              </w:rPr>
              <w:t>-</w:t>
            </w:r>
            <w:r w:rsidRPr="00FA0D37">
              <w:tab/>
            </w:r>
            <w:r w:rsidRPr="00FA0D37">
              <w:rPr>
                <w:rFonts w:eastAsia="Batang"/>
                <w:szCs w:val="24"/>
              </w:rPr>
              <w:t xml:space="preserve">The CRS port number is 4 if </w:t>
            </w:r>
            <w:r w:rsidRPr="00FA0D37">
              <w:rPr>
                <w:rFonts w:eastAsia="Batang"/>
                <w:i/>
                <w:iCs/>
                <w:szCs w:val="24"/>
              </w:rPr>
              <w:t>RateMatchPatternLTE-CRS</w:t>
            </w:r>
            <w:r w:rsidRPr="00FA0D37">
              <w:rPr>
                <w:rFonts w:eastAsia="Batang"/>
                <w:szCs w:val="24"/>
              </w:rPr>
              <w:t xml:space="preserve"> is not configured for the serving cell.</w:t>
            </w:r>
          </w:p>
          <w:p w14:paraId="1076AD01" w14:textId="232F72C1" w:rsidR="003475B1" w:rsidRPr="00FA0D37" w:rsidRDefault="003475B1" w:rsidP="003475B1">
            <w:pPr>
              <w:pStyle w:val="TAL"/>
              <w:ind w:left="313" w:hanging="313"/>
              <w:rPr>
                <w:rFonts w:eastAsia="Batang"/>
                <w:szCs w:val="24"/>
              </w:rPr>
            </w:pPr>
            <w:r w:rsidRPr="00FA0D37">
              <w:rPr>
                <w:rFonts w:eastAsia="Batang"/>
                <w:szCs w:val="24"/>
              </w:rPr>
              <w:t>-</w:t>
            </w:r>
            <w:r w:rsidRPr="00FA0D37">
              <w:tab/>
            </w:r>
            <w:r w:rsidRPr="00FA0D37">
              <w:rPr>
                <w:rFonts w:eastAsia="Batang"/>
                <w:szCs w:val="24"/>
              </w:rPr>
              <w:t xml:space="preserve">The channel bandwidth and centre frequency are the same as the ones indicated in </w:t>
            </w:r>
            <w:r w:rsidRPr="00FA0D37">
              <w:rPr>
                <w:rFonts w:eastAsia="Batang"/>
                <w:i/>
                <w:iCs/>
                <w:szCs w:val="24"/>
              </w:rPr>
              <w:t>RateMatchPatternLTE-CRS</w:t>
            </w:r>
            <w:r w:rsidRPr="00FA0D37">
              <w:rPr>
                <w:rFonts w:eastAsia="Batang"/>
                <w:szCs w:val="24"/>
              </w:rPr>
              <w:t xml:space="preserve"> if configured for the serving cell.</w:t>
            </w:r>
          </w:p>
          <w:p w14:paraId="33D7C0A0" w14:textId="3BA76CEF" w:rsidR="003475B1" w:rsidRPr="00FA0D37" w:rsidRDefault="003475B1" w:rsidP="003475B1">
            <w:pPr>
              <w:pStyle w:val="TAL"/>
              <w:ind w:left="313" w:hanging="313"/>
              <w:rPr>
                <w:rFonts w:eastAsia="Batang"/>
                <w:szCs w:val="24"/>
              </w:rPr>
            </w:pPr>
            <w:r w:rsidRPr="00FA0D37">
              <w:rPr>
                <w:rFonts w:eastAsia="Batang"/>
                <w:szCs w:val="24"/>
              </w:rPr>
              <w:t>-</w:t>
            </w:r>
            <w:r w:rsidRPr="00FA0D37">
              <w:tab/>
            </w:r>
            <w:r w:rsidRPr="00FA0D37">
              <w:rPr>
                <w:rFonts w:eastAsia="Batang"/>
                <w:szCs w:val="24"/>
              </w:rPr>
              <w:t xml:space="preserve">The MBSFN configuration is the same as the one indicated in </w:t>
            </w:r>
            <w:r w:rsidRPr="00FA0D37">
              <w:rPr>
                <w:rFonts w:eastAsia="Batang"/>
                <w:i/>
                <w:iCs/>
                <w:szCs w:val="24"/>
              </w:rPr>
              <w:t>RateMatchPatternLTE-CRS</w:t>
            </w:r>
            <w:r w:rsidRPr="00FA0D37">
              <w:rPr>
                <w:rFonts w:eastAsia="Batang"/>
                <w:szCs w:val="24"/>
              </w:rPr>
              <w:t xml:space="preserve"> if configured for the serving cell. If </w:t>
            </w:r>
            <w:r w:rsidRPr="00FA0D37">
              <w:rPr>
                <w:rFonts w:eastAsia="Batang"/>
                <w:i/>
                <w:iCs/>
                <w:szCs w:val="24"/>
              </w:rPr>
              <w:t>RateMatchPatternLTE-CRS</w:t>
            </w:r>
            <w:r w:rsidRPr="00FA0D37">
              <w:rPr>
                <w:rFonts w:eastAsia="Batang"/>
                <w:szCs w:val="24"/>
              </w:rPr>
              <w:t xml:space="preserve"> is not configured for the serving cell, MBSFN subframe is not configured.</w:t>
            </w:r>
          </w:p>
          <w:p w14:paraId="77059BFA" w14:textId="0CE57FB6" w:rsidR="003475B1" w:rsidRPr="00FA0D37" w:rsidRDefault="003475B1" w:rsidP="003475B1">
            <w:pPr>
              <w:pStyle w:val="TAL"/>
              <w:ind w:left="313" w:hanging="313"/>
              <w:rPr>
                <w:rFonts w:eastAsia="Batang"/>
                <w:szCs w:val="24"/>
              </w:rPr>
            </w:pPr>
            <w:r w:rsidRPr="00FA0D37">
              <w:rPr>
                <w:rFonts w:eastAsia="Batang"/>
                <w:szCs w:val="24"/>
              </w:rPr>
              <w:t>-</w:t>
            </w:r>
            <w:r w:rsidRPr="00FA0D37">
              <w:tab/>
            </w:r>
            <w:r w:rsidRPr="00FA0D37">
              <w:rPr>
                <w:rFonts w:eastAsia="Batang"/>
                <w:szCs w:val="24"/>
              </w:rPr>
              <w:t xml:space="preserve">Network-based CRS interference mitigation (i.e., CRS muting), as in </w:t>
            </w:r>
            <w:r w:rsidRPr="00FA0D37">
              <w:rPr>
                <w:rFonts w:eastAsia="Batang"/>
                <w:i/>
                <w:iCs/>
                <w:szCs w:val="24"/>
              </w:rPr>
              <w:t>crs-IntfMitigConfig</w:t>
            </w:r>
            <w:r w:rsidRPr="00FA0D37">
              <w:rPr>
                <w:rFonts w:eastAsia="Batang"/>
                <w:szCs w:val="24"/>
              </w:rPr>
              <w:t xml:space="preserve"> specified in TS 36.331 [10], is not enabled.</w:t>
            </w:r>
          </w:p>
          <w:p w14:paraId="2D3DCE91" w14:textId="3759477A" w:rsidR="003475B1" w:rsidRPr="00FA0D37" w:rsidRDefault="003475B1" w:rsidP="003475B1">
            <w:pPr>
              <w:pStyle w:val="TAL"/>
            </w:pPr>
            <w:r w:rsidRPr="00FA0D37">
              <w:t xml:space="preserve">If the field is configured (i.e. false) and </w:t>
            </w:r>
            <w:r w:rsidRPr="00FA0D37">
              <w:rPr>
                <w:i/>
                <w:iCs/>
              </w:rPr>
              <w:t>LTE-NeighCellsCRS-AssistInfoList</w:t>
            </w:r>
            <w:r w:rsidRPr="00FA0D37">
              <w:t xml:space="preserve"> is configured, the configuration provided in </w:t>
            </w:r>
            <w:r w:rsidRPr="00FA0D37">
              <w:rPr>
                <w:i/>
                <w:iCs/>
              </w:rPr>
              <w:t>LTE-NeighCellsCRS-AssistInfoList</w:t>
            </w:r>
            <w:r w:rsidRPr="00FA0D37">
              <w:t xml:space="preserve"> overrides the default network configuration assumptions.</w:t>
            </w:r>
          </w:p>
          <w:p w14:paraId="372A572F" w14:textId="7717F267" w:rsidR="003475B1" w:rsidRPr="00FA0D37" w:rsidRDefault="003475B1" w:rsidP="003475B1">
            <w:pPr>
              <w:pStyle w:val="TAL"/>
              <w:rPr>
                <w:rFonts w:eastAsiaTheme="minorEastAsia"/>
              </w:rPr>
            </w:pPr>
            <w:r w:rsidRPr="00FA0D37">
              <w:t xml:space="preserve">If the field is configured (i.e. false) and </w:t>
            </w:r>
            <w:r w:rsidRPr="00FA0D37">
              <w:rPr>
                <w:i/>
                <w:iCs/>
              </w:rPr>
              <w:t>LTE-NeighCellsCRS-AssistInfoList</w:t>
            </w:r>
            <w:r w:rsidRPr="00FA0D37">
              <w:t xml:space="preserve"> is not configured, it is up to the UE implementation whether to apply CRS-IM operation.</w:t>
            </w:r>
          </w:p>
        </w:tc>
      </w:tr>
      <w:tr w:rsidR="005C7FF4" w:rsidRPr="00FA0D37"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FA0D37" w:rsidRDefault="003475B1" w:rsidP="003475B1">
            <w:pPr>
              <w:pStyle w:val="TAL"/>
              <w:rPr>
                <w:b/>
                <w:i/>
                <w:szCs w:val="22"/>
                <w:lang w:eastAsia="sv-SE"/>
              </w:rPr>
            </w:pPr>
            <w:r w:rsidRPr="00FA0D37">
              <w:rPr>
                <w:b/>
                <w:i/>
                <w:szCs w:val="22"/>
                <w:lang w:eastAsia="sv-SE"/>
              </w:rPr>
              <w:t>nr-dl-PRS-PDC-Info</w:t>
            </w:r>
          </w:p>
          <w:p w14:paraId="5126A6BD" w14:textId="77777777" w:rsidR="003475B1" w:rsidRPr="00FA0D37" w:rsidRDefault="003475B1" w:rsidP="003475B1">
            <w:pPr>
              <w:pStyle w:val="TAL"/>
              <w:rPr>
                <w:b/>
                <w:i/>
                <w:szCs w:val="22"/>
                <w:lang w:eastAsia="sv-SE"/>
              </w:rPr>
            </w:pPr>
            <w:r w:rsidRPr="00FA0D37">
              <w:rPr>
                <w:bCs/>
                <w:iCs/>
                <w:szCs w:val="22"/>
                <w:lang w:eastAsia="sv-SE"/>
              </w:rPr>
              <w:t>Configures the DL PRS for propagation delay compensation. When configured, the UE measures the UE Rx-Tx time difference based on the reference signals configured in this field.</w:t>
            </w:r>
          </w:p>
        </w:tc>
      </w:tr>
      <w:tr w:rsidR="005C7FF4" w:rsidRPr="00FA0D37"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FA0D37" w:rsidRDefault="003475B1" w:rsidP="003475B1">
            <w:pPr>
              <w:pStyle w:val="TAL"/>
              <w:rPr>
                <w:b/>
                <w:bCs/>
                <w:i/>
                <w:iCs/>
                <w:lang w:eastAsia="sv-SE"/>
              </w:rPr>
            </w:pPr>
            <w:r w:rsidRPr="00FA0D37">
              <w:rPr>
                <w:b/>
                <w:bCs/>
                <w:i/>
                <w:iCs/>
                <w:lang w:eastAsia="sv-SE"/>
              </w:rPr>
              <w:t>nrofHARQ-BundlingGroups</w:t>
            </w:r>
          </w:p>
          <w:p w14:paraId="4BA5CC03" w14:textId="77777777" w:rsidR="003475B1" w:rsidRPr="00FA0D37" w:rsidRDefault="003475B1" w:rsidP="003475B1">
            <w:pPr>
              <w:pStyle w:val="TAL"/>
              <w:rPr>
                <w:lang w:eastAsia="sv-SE"/>
              </w:rPr>
            </w:pPr>
            <w:r w:rsidRPr="00FA0D37">
              <w:rPr>
                <w:lang w:eastAsia="sv-SE"/>
              </w:rPr>
              <w:t>Indicates the number of HARQ bundling groups for type2 HARQ-ACK codebook.</w:t>
            </w:r>
          </w:p>
        </w:tc>
      </w:tr>
      <w:tr w:rsidR="005C7FF4" w:rsidRPr="00FA0D37"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FA0D37" w:rsidRDefault="003475B1" w:rsidP="003475B1">
            <w:pPr>
              <w:pStyle w:val="TAL"/>
              <w:rPr>
                <w:szCs w:val="22"/>
                <w:lang w:eastAsia="sv-SE"/>
              </w:rPr>
            </w:pPr>
            <w:r w:rsidRPr="00FA0D37">
              <w:rPr>
                <w:b/>
                <w:i/>
                <w:szCs w:val="22"/>
                <w:lang w:eastAsia="sv-SE"/>
              </w:rPr>
              <w:t>pathlossReferenceLinking</w:t>
            </w:r>
          </w:p>
          <w:p w14:paraId="0BCCAB0F" w14:textId="77777777" w:rsidR="003475B1" w:rsidRPr="00FA0D37" w:rsidRDefault="003475B1" w:rsidP="003475B1">
            <w:pPr>
              <w:pStyle w:val="TAL"/>
              <w:rPr>
                <w:szCs w:val="22"/>
                <w:lang w:eastAsia="sv-SE"/>
              </w:rPr>
            </w:pPr>
            <w:r w:rsidRPr="00FA0D37">
              <w:rPr>
                <w:szCs w:val="22"/>
                <w:lang w:eastAsia="sv-SE"/>
              </w:rPr>
              <w:t>Indicates whether UE shall apply as pathloss reference either the downlink of SpCell (PCell for MCG or PSCell for SCG) or of SCell that corresponds with this uplink (see TS 38.213 [13], clause 7).</w:t>
            </w:r>
          </w:p>
        </w:tc>
      </w:tr>
      <w:tr w:rsidR="005C7FF4" w:rsidRPr="00FA0D37"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FA0D37" w:rsidRDefault="003475B1" w:rsidP="003475B1">
            <w:pPr>
              <w:pStyle w:val="TAL"/>
              <w:rPr>
                <w:szCs w:val="22"/>
                <w:lang w:eastAsia="sv-SE"/>
              </w:rPr>
            </w:pPr>
            <w:r w:rsidRPr="00FA0D37">
              <w:rPr>
                <w:b/>
                <w:i/>
                <w:szCs w:val="22"/>
                <w:lang w:eastAsia="sv-SE"/>
              </w:rPr>
              <w:t>pdsch-ServingCellConfig</w:t>
            </w:r>
          </w:p>
          <w:p w14:paraId="2C96A48F" w14:textId="77777777" w:rsidR="003475B1" w:rsidRPr="00FA0D37" w:rsidRDefault="003475B1" w:rsidP="003475B1">
            <w:pPr>
              <w:pStyle w:val="TAL"/>
              <w:rPr>
                <w:szCs w:val="22"/>
                <w:lang w:eastAsia="sv-SE"/>
              </w:rPr>
            </w:pPr>
            <w:r w:rsidRPr="00FA0D37">
              <w:rPr>
                <w:szCs w:val="22"/>
                <w:lang w:eastAsia="sv-SE"/>
              </w:rPr>
              <w:t>PDSCH related parameters that are not BWP-specific.</w:t>
            </w:r>
          </w:p>
        </w:tc>
      </w:tr>
      <w:tr w:rsidR="005C7FF4" w:rsidRPr="00FA0D37"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FA0D37" w:rsidRDefault="003475B1" w:rsidP="003475B1">
            <w:pPr>
              <w:pStyle w:val="TAL"/>
              <w:tabs>
                <w:tab w:val="left" w:pos="5823"/>
              </w:tabs>
              <w:rPr>
                <w:szCs w:val="22"/>
                <w:lang w:eastAsia="sv-SE"/>
              </w:rPr>
            </w:pPr>
            <w:r w:rsidRPr="00FA0D37">
              <w:rPr>
                <w:b/>
                <w:i/>
                <w:szCs w:val="22"/>
                <w:lang w:eastAsia="sv-SE"/>
              </w:rPr>
              <w:t>rateMatchPatternToAddModList</w:t>
            </w:r>
          </w:p>
          <w:p w14:paraId="6386CD61" w14:textId="074392AA" w:rsidR="003475B1" w:rsidRPr="00FA0D37" w:rsidRDefault="003475B1" w:rsidP="003475B1">
            <w:pPr>
              <w:pStyle w:val="TAL"/>
              <w:rPr>
                <w:szCs w:val="22"/>
                <w:lang w:eastAsia="sv-SE"/>
              </w:rPr>
            </w:pPr>
            <w:r w:rsidRPr="00FA0D37">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FA0D37">
              <w:t xml:space="preserve">If a </w:t>
            </w:r>
            <w:r w:rsidRPr="00FA0D37">
              <w:rPr>
                <w:i/>
              </w:rPr>
              <w:t>RateMatchPattern</w:t>
            </w:r>
            <w:r w:rsidRPr="00FA0D37">
              <w:t xml:space="preserve"> with the same </w:t>
            </w:r>
            <w:r w:rsidRPr="00FA0D37">
              <w:rPr>
                <w:i/>
              </w:rPr>
              <w:t>RateMatchPatternId</w:t>
            </w:r>
            <w:r w:rsidRPr="00FA0D37">
              <w:t xml:space="preserve"> is configured in both </w:t>
            </w:r>
            <w:r w:rsidRPr="00FA0D37">
              <w:rPr>
                <w:i/>
              </w:rPr>
              <w:t>ServingCellConfig/ServingCellConfigCommon</w:t>
            </w:r>
            <w:r w:rsidRPr="00FA0D37">
              <w:t xml:space="preserve"> and in SIB20/MCCH, the entire </w:t>
            </w:r>
            <w:r w:rsidRPr="00FA0D37">
              <w:rPr>
                <w:i/>
              </w:rPr>
              <w:t>RateMatchPattern</w:t>
            </w:r>
            <w:r w:rsidRPr="00FA0D37">
              <w:t xml:space="preserve"> configuration shall be the same</w:t>
            </w:r>
            <w:r w:rsidRPr="00FA0D37">
              <w:rPr>
                <w:szCs w:val="22"/>
                <w:lang w:eastAsia="sv-SE"/>
              </w:rPr>
              <w:t>, including the set of RBs/REs indicated by the patterns for the rate matching around,</w:t>
            </w:r>
            <w:r w:rsidRPr="00FA0D37">
              <w:t xml:space="preserve"> and they are counted as a single rate match pattern in the total configured rate match patterns as defined in TS 38.214 [19].</w:t>
            </w:r>
          </w:p>
        </w:tc>
      </w:tr>
      <w:tr w:rsidR="005C7FF4" w:rsidRPr="00FA0D37"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FA0D37" w:rsidRDefault="003475B1" w:rsidP="003475B1">
            <w:pPr>
              <w:pStyle w:val="TAL"/>
              <w:rPr>
                <w:szCs w:val="22"/>
                <w:lang w:eastAsia="sv-SE"/>
              </w:rPr>
            </w:pPr>
            <w:r w:rsidRPr="00FA0D37">
              <w:rPr>
                <w:b/>
                <w:i/>
                <w:szCs w:val="22"/>
                <w:lang w:eastAsia="sv-SE"/>
              </w:rPr>
              <w:lastRenderedPageBreak/>
              <w:t>sCellDeactivationTimer</w:t>
            </w:r>
          </w:p>
          <w:p w14:paraId="5EB4A826" w14:textId="77777777" w:rsidR="003475B1" w:rsidRPr="00FA0D37" w:rsidRDefault="003475B1" w:rsidP="003475B1">
            <w:pPr>
              <w:pStyle w:val="TAL"/>
              <w:rPr>
                <w:szCs w:val="22"/>
                <w:lang w:eastAsia="sv-SE"/>
              </w:rPr>
            </w:pPr>
            <w:r w:rsidRPr="00FA0D37">
              <w:rPr>
                <w:szCs w:val="22"/>
                <w:lang w:eastAsia="sv-SE"/>
              </w:rPr>
              <w:t>SCell deactivation timer in TS 38.321 [3]. If the field is absent, the UE applies the value infinity.</w:t>
            </w:r>
          </w:p>
        </w:tc>
      </w:tr>
      <w:tr w:rsidR="005C7FF4" w:rsidRPr="00FA0D37"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FA0D37" w:rsidRDefault="003475B1" w:rsidP="003475B1">
            <w:pPr>
              <w:pStyle w:val="TAL"/>
              <w:rPr>
                <w:b/>
                <w:bCs/>
                <w:i/>
                <w:iCs/>
                <w:szCs w:val="22"/>
                <w:lang w:eastAsia="sv-SE"/>
              </w:rPr>
            </w:pPr>
            <w:r w:rsidRPr="00FA0D37">
              <w:rPr>
                <w:b/>
                <w:bCs/>
                <w:i/>
                <w:iCs/>
                <w:szCs w:val="22"/>
                <w:lang w:eastAsia="sv-SE"/>
              </w:rPr>
              <w:t>sfnSchemePDCCH</w:t>
            </w:r>
          </w:p>
          <w:p w14:paraId="08122DC0" w14:textId="54044D4D" w:rsidR="003475B1" w:rsidRPr="00FA0D37" w:rsidRDefault="003475B1" w:rsidP="003475B1">
            <w:pPr>
              <w:pStyle w:val="TAL"/>
              <w:rPr>
                <w:b/>
                <w:i/>
                <w:szCs w:val="22"/>
                <w:lang w:eastAsia="sv-SE"/>
              </w:rPr>
            </w:pPr>
            <w:r w:rsidRPr="00FA0D37">
              <w:rPr>
                <w:szCs w:val="22"/>
                <w:lang w:eastAsia="sv-SE"/>
              </w:rPr>
              <w:t xml:space="preserve">This parameter is used to configure SFN scheme for PDCCH: sfnSchemeA or sfnSchemeB as specified </w:t>
            </w:r>
            <w:r w:rsidRPr="00FA0D37">
              <w:rPr>
                <w:bCs/>
                <w:iCs/>
                <w:szCs w:val="22"/>
                <w:lang w:eastAsia="sv-SE"/>
              </w:rPr>
              <w:t xml:space="preserve">(see TS 38.214 [19], clause 5.1). If network includes both </w:t>
            </w:r>
            <w:r w:rsidRPr="00FA0D37">
              <w:rPr>
                <w:bCs/>
                <w:i/>
                <w:szCs w:val="22"/>
                <w:lang w:eastAsia="sv-SE"/>
              </w:rPr>
              <w:t>sfnSchemePDCCH</w:t>
            </w:r>
            <w:r w:rsidRPr="00FA0D37">
              <w:rPr>
                <w:bCs/>
                <w:iCs/>
                <w:szCs w:val="22"/>
                <w:lang w:eastAsia="sv-SE"/>
              </w:rPr>
              <w:t xml:space="preserve"> and </w:t>
            </w:r>
            <w:r w:rsidRPr="00FA0D37">
              <w:rPr>
                <w:bCs/>
                <w:i/>
                <w:szCs w:val="22"/>
                <w:lang w:eastAsia="sv-SE"/>
              </w:rPr>
              <w:t>sfnSchemePDSCH</w:t>
            </w:r>
            <w:r w:rsidRPr="00FA0D37">
              <w:rPr>
                <w:bCs/>
                <w:iCs/>
                <w:szCs w:val="22"/>
                <w:lang w:eastAsia="sv-SE"/>
              </w:rPr>
              <w:t>, same value shall be configured.</w:t>
            </w:r>
          </w:p>
        </w:tc>
      </w:tr>
      <w:tr w:rsidR="005C7FF4" w:rsidRPr="00FA0D37"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FA0D37" w:rsidRDefault="003475B1" w:rsidP="003475B1">
            <w:pPr>
              <w:pStyle w:val="TAL"/>
              <w:rPr>
                <w:b/>
                <w:bCs/>
                <w:i/>
                <w:iCs/>
                <w:szCs w:val="22"/>
                <w:lang w:eastAsia="sv-SE"/>
              </w:rPr>
            </w:pPr>
            <w:r w:rsidRPr="00FA0D37">
              <w:rPr>
                <w:b/>
                <w:bCs/>
                <w:i/>
                <w:iCs/>
                <w:szCs w:val="22"/>
                <w:lang w:eastAsia="sv-SE"/>
              </w:rPr>
              <w:t>sfnSchemePDSCH</w:t>
            </w:r>
          </w:p>
          <w:p w14:paraId="2814AB88" w14:textId="3FDB83ED" w:rsidR="003475B1" w:rsidRPr="00FA0D37" w:rsidRDefault="003475B1" w:rsidP="003475B1">
            <w:pPr>
              <w:pStyle w:val="TAL"/>
              <w:rPr>
                <w:b/>
                <w:i/>
                <w:szCs w:val="22"/>
                <w:lang w:eastAsia="sv-SE"/>
              </w:rPr>
            </w:pPr>
            <w:r w:rsidRPr="00FA0D37">
              <w:rPr>
                <w:szCs w:val="22"/>
                <w:lang w:eastAsia="sv-SE"/>
              </w:rPr>
              <w:t xml:space="preserve">This parameter is used to configure SFN scheme for PDSCH: sfnSchemeA or sfnSchemeB as specified </w:t>
            </w:r>
            <w:r w:rsidRPr="00FA0D37">
              <w:rPr>
                <w:bCs/>
                <w:iCs/>
                <w:szCs w:val="22"/>
                <w:lang w:eastAsia="sv-SE"/>
              </w:rPr>
              <w:t xml:space="preserve">(see TS 38.214 [19], clause 5.1). If network includes both </w:t>
            </w:r>
            <w:r w:rsidRPr="00FA0D37">
              <w:rPr>
                <w:bCs/>
                <w:i/>
                <w:szCs w:val="22"/>
                <w:lang w:eastAsia="sv-SE"/>
              </w:rPr>
              <w:t>sfnSchemePDCCH</w:t>
            </w:r>
            <w:r w:rsidRPr="00FA0D37">
              <w:rPr>
                <w:bCs/>
                <w:iCs/>
                <w:szCs w:val="22"/>
                <w:lang w:eastAsia="sv-SE"/>
              </w:rPr>
              <w:t xml:space="preserve"> and </w:t>
            </w:r>
            <w:r w:rsidRPr="00FA0D37">
              <w:rPr>
                <w:bCs/>
                <w:i/>
                <w:szCs w:val="22"/>
                <w:lang w:eastAsia="sv-SE"/>
              </w:rPr>
              <w:t>sfnSchemePDSCH</w:t>
            </w:r>
            <w:r w:rsidRPr="00FA0D37">
              <w:rPr>
                <w:bCs/>
                <w:iCs/>
                <w:szCs w:val="22"/>
                <w:lang w:eastAsia="sv-SE"/>
              </w:rPr>
              <w:t>, same value shall be configured.</w:t>
            </w:r>
            <w:r w:rsidR="00DD5FF7" w:rsidRPr="00FA0D37">
              <w:t xml:space="preserve"> </w:t>
            </w:r>
            <w:r w:rsidR="00DD5FF7" w:rsidRPr="00FA0D37">
              <w:rPr>
                <w:bCs/>
                <w:iCs/>
                <w:szCs w:val="22"/>
                <w:lang w:eastAsia="sv-SE"/>
              </w:rPr>
              <w:t xml:space="preserve">The network does not configure this parameter and </w:t>
            </w:r>
            <w:r w:rsidR="00DD5FF7" w:rsidRPr="00FA0D37">
              <w:rPr>
                <w:bCs/>
                <w:i/>
                <w:iCs/>
                <w:szCs w:val="22"/>
                <w:lang w:eastAsia="sv-SE"/>
              </w:rPr>
              <w:t>repetitionSchemeConfig</w:t>
            </w:r>
            <w:r w:rsidR="00DD5FF7" w:rsidRPr="00FA0D37">
              <w:rPr>
                <w:bCs/>
                <w:iCs/>
                <w:szCs w:val="22"/>
                <w:lang w:eastAsia="sv-SE"/>
              </w:rPr>
              <w:t xml:space="preserve"> in </w:t>
            </w:r>
            <w:r w:rsidR="00DD5FF7" w:rsidRPr="00FA0D37">
              <w:rPr>
                <w:bCs/>
                <w:i/>
                <w:iCs/>
                <w:szCs w:val="22"/>
                <w:lang w:eastAsia="sv-SE"/>
              </w:rPr>
              <w:t>PDSCH-Config</w:t>
            </w:r>
            <w:r w:rsidR="00DD5FF7" w:rsidRPr="00FA0D37">
              <w:rPr>
                <w:bCs/>
                <w:iCs/>
                <w:szCs w:val="22"/>
                <w:lang w:eastAsia="sv-SE"/>
              </w:rPr>
              <w:t xml:space="preserve"> simultaneously</w:t>
            </w:r>
            <w:r w:rsidR="00DD5FF7" w:rsidRPr="00FA0D37">
              <w:rPr>
                <w:lang w:eastAsia="sv-SE"/>
              </w:rPr>
              <w:t xml:space="preserve"> in the same serving cell.</w:t>
            </w:r>
          </w:p>
        </w:tc>
      </w:tr>
      <w:tr w:rsidR="005C7FF4" w:rsidRPr="00FA0D37"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FA0D37" w:rsidRDefault="003475B1" w:rsidP="003475B1">
            <w:pPr>
              <w:pStyle w:val="TAL"/>
              <w:rPr>
                <w:b/>
                <w:i/>
                <w:szCs w:val="22"/>
                <w:lang w:eastAsia="sv-SE"/>
              </w:rPr>
            </w:pPr>
            <w:r w:rsidRPr="00FA0D37">
              <w:rPr>
                <w:b/>
                <w:i/>
                <w:szCs w:val="22"/>
                <w:lang w:eastAsia="sv-SE"/>
              </w:rPr>
              <w:t>semiStaticChannelAccessConfigUE</w:t>
            </w:r>
          </w:p>
          <w:p w14:paraId="13E31BCD" w14:textId="67A58127" w:rsidR="003475B1" w:rsidRPr="00FA0D37" w:rsidRDefault="003475B1" w:rsidP="003475B1">
            <w:pPr>
              <w:pStyle w:val="TAL"/>
              <w:rPr>
                <w:bCs/>
                <w:iCs/>
                <w:szCs w:val="22"/>
                <w:lang w:eastAsia="sv-SE"/>
              </w:rPr>
            </w:pPr>
            <w:r w:rsidRPr="00FA0D37">
              <w:rPr>
                <w:bCs/>
                <w:iCs/>
                <w:szCs w:val="22"/>
                <w:lang w:eastAsia="sv-SE"/>
              </w:rPr>
              <w:t xml:space="preserve">When this field is configured and when </w:t>
            </w:r>
            <w:r w:rsidRPr="00FA0D37">
              <w:rPr>
                <w:bCs/>
                <w:i/>
                <w:szCs w:val="22"/>
                <w:lang w:eastAsia="sv-SE"/>
              </w:rPr>
              <w:t xml:space="preserve">channelAccessMode-r16 </w:t>
            </w:r>
            <w:r w:rsidRPr="00FA0D37">
              <w:rPr>
                <w:bCs/>
                <w:iCs/>
                <w:szCs w:val="22"/>
                <w:lang w:eastAsia="sv-SE"/>
              </w:rPr>
              <w:t xml:space="preserve">(see IE ServingCellConfigCommon and IE ServingCellConfigCommonSIB) is configured to </w:t>
            </w:r>
            <w:r w:rsidRPr="00FA0D37">
              <w:rPr>
                <w:bCs/>
                <w:i/>
                <w:szCs w:val="22"/>
                <w:lang w:eastAsia="sv-SE"/>
              </w:rPr>
              <w:t>semiStatic</w:t>
            </w:r>
            <w:r w:rsidRPr="00FA0D37">
              <w:rPr>
                <w:bCs/>
                <w:iCs/>
                <w:szCs w:val="22"/>
                <w:lang w:eastAsia="sv-SE"/>
              </w:rPr>
              <w:t>, the UE operates in semi-static channel access mode and can initiate a channel occupancy periodically (see TS 37.213 [48], Clause 4.3).</w:t>
            </w:r>
          </w:p>
          <w:p w14:paraId="0AAE33C2" w14:textId="4E2DA807" w:rsidR="003475B1" w:rsidRPr="00FA0D37" w:rsidRDefault="003475B1" w:rsidP="003475B1">
            <w:pPr>
              <w:pStyle w:val="TAL"/>
              <w:rPr>
                <w:b/>
                <w:i/>
                <w:szCs w:val="22"/>
                <w:lang w:eastAsia="sv-SE"/>
              </w:rPr>
            </w:pPr>
            <w:r w:rsidRPr="00FA0D37">
              <w:rPr>
                <w:bCs/>
                <w:iCs/>
                <w:szCs w:val="22"/>
                <w:lang w:eastAsia="sv-SE"/>
              </w:rPr>
              <w:t xml:space="preserve">The period can be configured independently from period configured in </w:t>
            </w:r>
            <w:r w:rsidRPr="00FA0D37">
              <w:rPr>
                <w:bCs/>
                <w:i/>
                <w:szCs w:val="22"/>
                <w:lang w:eastAsia="sv-SE"/>
              </w:rPr>
              <w:t>SemiStaticChannelAccessConfig-r16</w:t>
            </w:r>
            <w:r w:rsidRPr="00FA0D37">
              <w:rPr>
                <w:bCs/>
                <w:iCs/>
                <w:szCs w:val="22"/>
                <w:lang w:eastAsia="sv-SE"/>
              </w:rPr>
              <w:t xml:space="preserve"> if the UE indicates the corresponding capability. Otherwise, the periodicity configured by </w:t>
            </w:r>
            <w:r w:rsidRPr="00FA0D37">
              <w:rPr>
                <w:bCs/>
                <w:i/>
                <w:szCs w:val="22"/>
                <w:lang w:eastAsia="sv-SE"/>
              </w:rPr>
              <w:t>periodUE-r17</w:t>
            </w:r>
            <w:r w:rsidRPr="00FA0D37">
              <w:rPr>
                <w:bCs/>
                <w:iCs/>
                <w:szCs w:val="22"/>
                <w:lang w:eastAsia="sv-SE"/>
              </w:rPr>
              <w:t xml:space="preserve"> is an integer multiple of or an integer factor of the periodicity indicated by </w:t>
            </w:r>
            <w:r w:rsidRPr="00FA0D37">
              <w:rPr>
                <w:bCs/>
                <w:i/>
                <w:szCs w:val="22"/>
                <w:lang w:eastAsia="sv-SE"/>
              </w:rPr>
              <w:t xml:space="preserve">period </w:t>
            </w:r>
            <w:r w:rsidRPr="00FA0D37">
              <w:rPr>
                <w:bCs/>
                <w:iCs/>
                <w:szCs w:val="22"/>
                <w:lang w:eastAsia="sv-SE"/>
              </w:rPr>
              <w:t xml:space="preserve">in </w:t>
            </w:r>
            <w:r w:rsidRPr="00FA0D37">
              <w:rPr>
                <w:bCs/>
                <w:i/>
                <w:szCs w:val="22"/>
                <w:lang w:eastAsia="sv-SE"/>
              </w:rPr>
              <w:t>SemiStaticChannelAccessConfig-r16.</w:t>
            </w:r>
          </w:p>
        </w:tc>
      </w:tr>
      <w:tr w:rsidR="005C7FF4" w:rsidRPr="00FA0D37"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FA0D37" w:rsidRDefault="003475B1" w:rsidP="003475B1">
            <w:pPr>
              <w:pStyle w:val="TAL"/>
              <w:rPr>
                <w:b/>
                <w:i/>
                <w:szCs w:val="22"/>
                <w:lang w:eastAsia="sv-SE"/>
              </w:rPr>
            </w:pPr>
            <w:r w:rsidRPr="00FA0D37">
              <w:rPr>
                <w:b/>
                <w:i/>
                <w:szCs w:val="22"/>
                <w:lang w:eastAsia="sv-SE"/>
              </w:rPr>
              <w:t>servingCellMO</w:t>
            </w:r>
          </w:p>
          <w:p w14:paraId="45A75732" w14:textId="72D89836" w:rsidR="003475B1" w:rsidRPr="00FA0D37" w:rsidRDefault="003475B1" w:rsidP="003475B1">
            <w:pPr>
              <w:pStyle w:val="TAL"/>
              <w:rPr>
                <w:b/>
                <w:i/>
                <w:szCs w:val="22"/>
                <w:lang w:eastAsia="sv-SE"/>
              </w:rPr>
            </w:pPr>
            <w:r w:rsidRPr="00FA0D37">
              <w:rPr>
                <w:i/>
                <w:szCs w:val="22"/>
                <w:lang w:eastAsia="sv-SE"/>
              </w:rPr>
              <w:t xml:space="preserve">measObjectId </w:t>
            </w:r>
            <w:r w:rsidRPr="00FA0D37">
              <w:rPr>
                <w:szCs w:val="22"/>
                <w:lang w:eastAsia="sv-SE"/>
              </w:rPr>
              <w:t xml:space="preserve">of the </w:t>
            </w:r>
            <w:r w:rsidRPr="00FA0D37">
              <w:rPr>
                <w:i/>
                <w:szCs w:val="22"/>
                <w:lang w:eastAsia="sv-SE"/>
              </w:rPr>
              <w:t>MeasObjectNR</w:t>
            </w:r>
            <w:r w:rsidRPr="00FA0D37">
              <w:rPr>
                <w:szCs w:val="22"/>
                <w:lang w:eastAsia="sv-SE"/>
              </w:rPr>
              <w:t xml:space="preserve"> in </w:t>
            </w:r>
            <w:r w:rsidRPr="00FA0D37">
              <w:rPr>
                <w:i/>
                <w:lang w:eastAsia="sv-SE"/>
              </w:rPr>
              <w:t>MeasConfig</w:t>
            </w:r>
            <w:r w:rsidRPr="00FA0D37">
              <w:rPr>
                <w:lang w:eastAsia="sv-SE"/>
              </w:rPr>
              <w:t xml:space="preserve"> which is </w:t>
            </w:r>
            <w:r w:rsidRPr="00FA0D37">
              <w:rPr>
                <w:szCs w:val="22"/>
                <w:lang w:eastAsia="sv-SE"/>
              </w:rPr>
              <w:t xml:space="preserve">associated to the serving cell. For this </w:t>
            </w:r>
            <w:r w:rsidRPr="00FA0D37">
              <w:rPr>
                <w:i/>
                <w:szCs w:val="22"/>
                <w:lang w:eastAsia="sv-SE"/>
              </w:rPr>
              <w:t>MeasObjectNR</w:t>
            </w:r>
            <w:r w:rsidRPr="00FA0D37">
              <w:rPr>
                <w:szCs w:val="22"/>
                <w:lang w:eastAsia="sv-SE"/>
              </w:rPr>
              <w:t xml:space="preserve">, the following relationship applies between this MeasObjectNR and </w:t>
            </w:r>
            <w:r w:rsidRPr="00FA0D37">
              <w:rPr>
                <w:i/>
                <w:szCs w:val="22"/>
                <w:lang w:eastAsia="sv-SE"/>
              </w:rPr>
              <w:t>frequencyInfoDL</w:t>
            </w:r>
            <w:r w:rsidRPr="00FA0D37">
              <w:rPr>
                <w:szCs w:val="22"/>
                <w:lang w:eastAsia="sv-SE"/>
              </w:rPr>
              <w:t xml:space="preserve"> in </w:t>
            </w:r>
            <w:r w:rsidRPr="00FA0D37">
              <w:rPr>
                <w:i/>
                <w:szCs w:val="22"/>
                <w:lang w:eastAsia="sv-SE"/>
              </w:rPr>
              <w:t>ServingCellConfigCommon</w:t>
            </w:r>
            <w:r w:rsidRPr="00FA0D37">
              <w:rPr>
                <w:szCs w:val="22"/>
                <w:lang w:eastAsia="sv-SE"/>
              </w:rPr>
              <w:t xml:space="preserve"> of the serving cell: if </w:t>
            </w:r>
            <w:r w:rsidRPr="00FA0D37">
              <w:rPr>
                <w:i/>
                <w:szCs w:val="22"/>
                <w:lang w:eastAsia="sv-SE"/>
              </w:rPr>
              <w:t>ssbFrequency</w:t>
            </w:r>
            <w:r w:rsidRPr="00FA0D37">
              <w:rPr>
                <w:szCs w:val="22"/>
                <w:lang w:eastAsia="sv-SE"/>
              </w:rPr>
              <w:t xml:space="preserve"> is configured, its value is the same as the </w:t>
            </w:r>
            <w:r w:rsidRPr="00FA0D37">
              <w:rPr>
                <w:i/>
                <w:lang w:eastAsia="sv-SE"/>
              </w:rPr>
              <w:t>absoluteFrequencySSB</w:t>
            </w:r>
            <w:r w:rsidRPr="00FA0D37">
              <w:rPr>
                <w:lang w:eastAsia="sv-SE"/>
              </w:rPr>
              <w:t xml:space="preserve"> and if </w:t>
            </w:r>
            <w:r w:rsidRPr="00FA0D37">
              <w:rPr>
                <w:i/>
                <w:lang w:eastAsia="sv-SE"/>
              </w:rPr>
              <w:t>csi-rs-ResourceConfigMobility</w:t>
            </w:r>
            <w:r w:rsidRPr="00FA0D37">
              <w:rPr>
                <w:lang w:eastAsia="sv-SE"/>
              </w:rPr>
              <w:t xml:space="preserve"> is configured, the value of its </w:t>
            </w:r>
            <w:r w:rsidRPr="00FA0D37">
              <w:rPr>
                <w:i/>
                <w:lang w:eastAsia="sv-SE"/>
              </w:rPr>
              <w:t>subcarrierSpacing</w:t>
            </w:r>
            <w:r w:rsidRPr="00FA0D37">
              <w:rPr>
                <w:lang w:eastAsia="sv-SE"/>
              </w:rPr>
              <w:t xml:space="preserve"> is present in one entry of the </w:t>
            </w:r>
            <w:r w:rsidRPr="00FA0D37">
              <w:rPr>
                <w:i/>
                <w:lang w:eastAsia="sv-SE"/>
              </w:rPr>
              <w:t>scs-SpecificCarrierList</w:t>
            </w:r>
            <w:r w:rsidRPr="00FA0D37">
              <w:rPr>
                <w:lang w:eastAsia="sv-SE"/>
              </w:rPr>
              <w:t xml:space="preserve">, </w:t>
            </w:r>
            <w:r w:rsidRPr="00FA0D37">
              <w:rPr>
                <w:i/>
                <w:lang w:eastAsia="sv-SE"/>
              </w:rPr>
              <w:t>csi-RS-</w:t>
            </w:r>
            <w:r w:rsidRPr="00FA0D37">
              <w:rPr>
                <w:i/>
                <w:lang w:eastAsia="ko-KR"/>
              </w:rPr>
              <w:t>Cell</w:t>
            </w:r>
            <w:r w:rsidRPr="00FA0D37">
              <w:rPr>
                <w:i/>
                <w:lang w:eastAsia="sv-SE"/>
              </w:rPr>
              <w:t>ListMobility</w:t>
            </w:r>
            <w:r w:rsidRPr="00FA0D37">
              <w:rPr>
                <w:lang w:eastAsia="sv-SE"/>
              </w:rPr>
              <w:t xml:space="preserve"> includes an entry corresponding to the serving cell (with </w:t>
            </w:r>
            <w:r w:rsidRPr="00FA0D37">
              <w:rPr>
                <w:i/>
                <w:lang w:eastAsia="sv-SE"/>
              </w:rPr>
              <w:t>cellId</w:t>
            </w:r>
            <w:r w:rsidRPr="00FA0D37">
              <w:rPr>
                <w:lang w:eastAsia="sv-SE"/>
              </w:rPr>
              <w:t xml:space="preserve"> equal to </w:t>
            </w:r>
            <w:r w:rsidRPr="00FA0D37">
              <w:rPr>
                <w:i/>
                <w:lang w:eastAsia="sv-SE"/>
              </w:rPr>
              <w:t>physCellId</w:t>
            </w:r>
            <w:r w:rsidRPr="00FA0D37">
              <w:rPr>
                <w:lang w:eastAsia="sv-SE"/>
              </w:rPr>
              <w:t xml:space="preserve"> in </w:t>
            </w:r>
            <w:r w:rsidRPr="00FA0D37">
              <w:rPr>
                <w:i/>
                <w:lang w:eastAsia="sv-SE"/>
              </w:rPr>
              <w:t>ServingCellConfigCommon</w:t>
            </w:r>
            <w:r w:rsidRPr="00FA0D37">
              <w:rPr>
                <w:lang w:eastAsia="sv-SE"/>
              </w:rPr>
              <w:t xml:space="preserve">) and the frequency range indicated by the </w:t>
            </w:r>
            <w:r w:rsidRPr="00FA0D37">
              <w:rPr>
                <w:i/>
                <w:lang w:eastAsia="sv-SE"/>
              </w:rPr>
              <w:t>csi-rs-MeasurementBW</w:t>
            </w:r>
            <w:r w:rsidRPr="00FA0D37">
              <w:rPr>
                <w:lang w:eastAsia="sv-SE"/>
              </w:rPr>
              <w:t xml:space="preserve"> of the entry in </w:t>
            </w:r>
            <w:r w:rsidRPr="00FA0D37">
              <w:rPr>
                <w:i/>
                <w:lang w:eastAsia="sv-SE"/>
              </w:rPr>
              <w:t>csi-RS-</w:t>
            </w:r>
            <w:r w:rsidRPr="00FA0D37">
              <w:rPr>
                <w:i/>
                <w:lang w:eastAsia="ko-KR"/>
              </w:rPr>
              <w:t>Cell</w:t>
            </w:r>
            <w:r w:rsidRPr="00FA0D37">
              <w:rPr>
                <w:i/>
                <w:lang w:eastAsia="sv-SE"/>
              </w:rPr>
              <w:t>ListMobility</w:t>
            </w:r>
            <w:r w:rsidRPr="00FA0D37">
              <w:rPr>
                <w:lang w:eastAsia="sv-SE"/>
              </w:rPr>
              <w:t xml:space="preserve"> is included in the frequency range indicated by in the entry of the </w:t>
            </w:r>
            <w:r w:rsidRPr="00FA0D37">
              <w:rPr>
                <w:i/>
                <w:lang w:eastAsia="sv-SE"/>
              </w:rPr>
              <w:t>scs-SpecificCarrierList</w:t>
            </w:r>
            <w:r w:rsidRPr="00FA0D37">
              <w:rPr>
                <w:lang w:eastAsia="sv-SE"/>
              </w:rPr>
              <w:t>.</w:t>
            </w:r>
          </w:p>
        </w:tc>
      </w:tr>
      <w:tr w:rsidR="005C7FF4" w:rsidRPr="00FA0D37"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3475B1" w:rsidRPr="00FA0D37" w:rsidRDefault="003475B1" w:rsidP="003475B1">
            <w:pPr>
              <w:pStyle w:val="TAL"/>
              <w:rPr>
                <w:b/>
                <w:i/>
                <w:szCs w:val="22"/>
                <w:lang w:eastAsia="sv-SE"/>
              </w:rPr>
            </w:pPr>
            <w:r w:rsidRPr="00FA0D37">
              <w:rPr>
                <w:b/>
                <w:i/>
                <w:szCs w:val="22"/>
                <w:lang w:eastAsia="sv-SE"/>
              </w:rPr>
              <w:t>supplementaryUplink</w:t>
            </w:r>
          </w:p>
          <w:p w14:paraId="63B47070" w14:textId="77777777" w:rsidR="003475B1" w:rsidRPr="00FA0D37" w:rsidRDefault="003475B1" w:rsidP="003475B1">
            <w:pPr>
              <w:pStyle w:val="TAL"/>
              <w:rPr>
                <w:szCs w:val="22"/>
                <w:lang w:eastAsia="sv-SE"/>
              </w:rPr>
            </w:pPr>
            <w:r w:rsidRPr="00FA0D37">
              <w:rPr>
                <w:szCs w:val="22"/>
                <w:lang w:eastAsia="sv-SE"/>
              </w:rPr>
              <w:t xml:space="preserve">Network may configure this field only when </w:t>
            </w:r>
            <w:r w:rsidRPr="00FA0D37">
              <w:rPr>
                <w:i/>
                <w:szCs w:val="22"/>
                <w:lang w:eastAsia="sv-SE"/>
              </w:rPr>
              <w:t>supplementaryUplinkConfig</w:t>
            </w:r>
            <w:r w:rsidRPr="00FA0D37">
              <w:rPr>
                <w:szCs w:val="22"/>
                <w:lang w:eastAsia="sv-SE"/>
              </w:rPr>
              <w:t xml:space="preserve"> is configured in </w:t>
            </w:r>
            <w:r w:rsidRPr="00FA0D37">
              <w:rPr>
                <w:i/>
                <w:szCs w:val="22"/>
                <w:lang w:eastAsia="sv-SE"/>
              </w:rPr>
              <w:t>ServingCellConfigCommon</w:t>
            </w:r>
            <w:r w:rsidRPr="00FA0D37">
              <w:rPr>
                <w:szCs w:val="22"/>
                <w:lang w:eastAsia="sv-SE"/>
              </w:rPr>
              <w:t xml:space="preserve"> or </w:t>
            </w:r>
            <w:r w:rsidRPr="00FA0D37">
              <w:rPr>
                <w:i/>
                <w:iCs/>
                <w:szCs w:val="22"/>
                <w:lang w:eastAsia="sv-SE"/>
              </w:rPr>
              <w:t>supplementaryUplink</w:t>
            </w:r>
            <w:r w:rsidRPr="00FA0D37">
              <w:rPr>
                <w:szCs w:val="22"/>
                <w:lang w:eastAsia="sv-SE"/>
              </w:rPr>
              <w:t xml:space="preserve"> is configured in</w:t>
            </w:r>
            <w:r w:rsidRPr="00FA0D37">
              <w:rPr>
                <w:szCs w:val="22"/>
              </w:rPr>
              <w:t xml:space="preserve"> </w:t>
            </w:r>
            <w:r w:rsidRPr="00FA0D37">
              <w:rPr>
                <w:i/>
                <w:szCs w:val="22"/>
                <w:lang w:eastAsia="sv-SE"/>
              </w:rPr>
              <w:t>ServingCellConfigCommonSIB</w:t>
            </w:r>
            <w:r w:rsidRPr="00FA0D37">
              <w:rPr>
                <w:szCs w:val="22"/>
                <w:lang w:eastAsia="sv-SE"/>
              </w:rPr>
              <w:t>.</w:t>
            </w:r>
          </w:p>
        </w:tc>
      </w:tr>
      <w:tr w:rsidR="005C7FF4" w:rsidRPr="00FA0D37"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3475B1" w:rsidRPr="00FA0D37" w:rsidRDefault="003475B1" w:rsidP="003475B1">
            <w:pPr>
              <w:pStyle w:val="TAL"/>
              <w:rPr>
                <w:b/>
                <w:bCs/>
                <w:i/>
                <w:iCs/>
                <w:lang w:eastAsia="x-none"/>
              </w:rPr>
            </w:pPr>
            <w:r w:rsidRPr="00FA0D37">
              <w:rPr>
                <w:b/>
                <w:bCs/>
                <w:i/>
                <w:iCs/>
                <w:lang w:eastAsia="x-none"/>
              </w:rPr>
              <w:t>supplementaryUplinkRelease</w:t>
            </w:r>
          </w:p>
          <w:p w14:paraId="5FC374BB" w14:textId="77777777" w:rsidR="003475B1" w:rsidRPr="00FA0D37" w:rsidRDefault="003475B1" w:rsidP="003475B1">
            <w:pPr>
              <w:pStyle w:val="TAL"/>
              <w:rPr>
                <w:lang w:eastAsia="sv-SE"/>
              </w:rPr>
            </w:pPr>
            <w:r w:rsidRPr="00FA0D37">
              <w:rPr>
                <w:lang w:eastAsia="sv-SE"/>
              </w:rPr>
              <w:t xml:space="preserve">If this field is included, the UE shall release the uplink configuration configured by </w:t>
            </w:r>
            <w:r w:rsidRPr="00FA0D37">
              <w:rPr>
                <w:i/>
                <w:iCs/>
                <w:lang w:eastAsia="x-none"/>
              </w:rPr>
              <w:t>supplementaryUplink</w:t>
            </w:r>
            <w:r w:rsidRPr="00FA0D37">
              <w:rPr>
                <w:lang w:eastAsia="sv-SE"/>
              </w:rPr>
              <w:t xml:space="preserve">. The network only includes either </w:t>
            </w:r>
            <w:r w:rsidRPr="00FA0D37">
              <w:rPr>
                <w:i/>
                <w:lang w:eastAsia="x-none"/>
              </w:rPr>
              <w:t>supplementaryUplinkRelease</w:t>
            </w:r>
            <w:r w:rsidRPr="00FA0D37">
              <w:rPr>
                <w:lang w:eastAsia="sv-SE"/>
              </w:rPr>
              <w:t xml:space="preserve"> or </w:t>
            </w:r>
            <w:r w:rsidRPr="00FA0D37">
              <w:rPr>
                <w:i/>
                <w:lang w:eastAsia="x-none"/>
              </w:rPr>
              <w:t>supplementaryUplink</w:t>
            </w:r>
            <w:r w:rsidRPr="00FA0D37">
              <w:rPr>
                <w:lang w:eastAsia="sv-SE"/>
              </w:rPr>
              <w:t xml:space="preserve"> at a time.</w:t>
            </w:r>
          </w:p>
        </w:tc>
      </w:tr>
      <w:tr w:rsidR="005C7FF4" w:rsidRPr="00FA0D37"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77777777" w:rsidR="003475B1" w:rsidRPr="00FA0D37" w:rsidRDefault="003475B1" w:rsidP="003475B1">
            <w:pPr>
              <w:pStyle w:val="TAL"/>
              <w:rPr>
                <w:szCs w:val="22"/>
                <w:lang w:eastAsia="sv-SE"/>
              </w:rPr>
            </w:pPr>
            <w:r w:rsidRPr="00FA0D37">
              <w:rPr>
                <w:b/>
                <w:i/>
                <w:szCs w:val="22"/>
                <w:lang w:eastAsia="sv-SE"/>
              </w:rPr>
              <w:t>tag-Id</w:t>
            </w:r>
          </w:p>
          <w:p w14:paraId="4C4DC896" w14:textId="77777777" w:rsidR="003475B1" w:rsidRPr="00FA0D37" w:rsidRDefault="003475B1" w:rsidP="003475B1">
            <w:pPr>
              <w:pStyle w:val="TAL"/>
              <w:rPr>
                <w:szCs w:val="22"/>
                <w:lang w:eastAsia="sv-SE"/>
              </w:rPr>
            </w:pPr>
            <w:r w:rsidRPr="00FA0D37">
              <w:rPr>
                <w:szCs w:val="22"/>
                <w:lang w:eastAsia="sv-SE"/>
              </w:rPr>
              <w:t>Timing Advance Group ID, as specified in TS 38.321 [3], which this cell belongs to.</w:t>
            </w:r>
          </w:p>
        </w:tc>
      </w:tr>
      <w:tr w:rsidR="005C7FF4" w:rsidRPr="00FA0D37"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3475B1" w:rsidRPr="00FA0D37" w:rsidRDefault="003475B1" w:rsidP="003475B1">
            <w:pPr>
              <w:pStyle w:val="TAL"/>
              <w:rPr>
                <w:b/>
                <w:i/>
                <w:szCs w:val="22"/>
                <w:lang w:eastAsia="sv-SE"/>
              </w:rPr>
            </w:pPr>
            <w:r w:rsidRPr="00FA0D37">
              <w:rPr>
                <w:b/>
                <w:i/>
                <w:szCs w:val="22"/>
                <w:lang w:eastAsia="sv-SE"/>
              </w:rPr>
              <w:t>tci-ActivatedConfig</w:t>
            </w:r>
          </w:p>
          <w:p w14:paraId="2CCAAFF0" w14:textId="678CFB69" w:rsidR="003475B1" w:rsidRPr="00FA0D37" w:rsidRDefault="003475B1" w:rsidP="003475B1">
            <w:pPr>
              <w:pStyle w:val="TAL"/>
              <w:rPr>
                <w:lang w:eastAsia="sv-SE"/>
              </w:rPr>
            </w:pPr>
            <w:r w:rsidRPr="00FA0D37">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3475B1" w:rsidRPr="00FA0D37" w:rsidRDefault="003475B1" w:rsidP="003475B1">
            <w:pPr>
              <w:pStyle w:val="TAL"/>
              <w:rPr>
                <w:lang w:eastAsia="sv-SE"/>
              </w:rPr>
            </w:pPr>
            <w:r w:rsidRPr="00FA0D37">
              <w:rPr>
                <w:lang w:eastAsia="sv-SE"/>
              </w:rPr>
              <w:t>If configured for the PSCell when the SCG is indicated as deactivated in the containing message:</w:t>
            </w:r>
          </w:p>
          <w:p w14:paraId="2183A584" w14:textId="5CE62FDF" w:rsidR="003475B1" w:rsidRPr="00FA0D37" w:rsidRDefault="003475B1" w:rsidP="003475B1">
            <w:pPr>
              <w:pStyle w:val="TAL"/>
              <w:rPr>
                <w:lang w:eastAsia="sv-SE"/>
              </w:rPr>
            </w:pPr>
            <w:r w:rsidRPr="00FA0D37">
              <w:rPr>
                <w:lang w:eastAsia="sv-SE"/>
              </w:rPr>
              <w:t xml:space="preserve">- the UE shall consider the TCI states provided in this field as the TCI states to be activated for PDCCH/PDSCH reception upon a later SCG activation in which </w:t>
            </w:r>
            <w:r w:rsidRPr="00FA0D37">
              <w:rPr>
                <w:i/>
                <w:lang w:eastAsia="sv-SE"/>
              </w:rPr>
              <w:t>tci-ActivatedConfig</w:t>
            </w:r>
            <w:r w:rsidRPr="00FA0D37">
              <w:rPr>
                <w:lang w:eastAsia="sv-SE"/>
              </w:rPr>
              <w:t xml:space="preserve"> is absent</w:t>
            </w:r>
          </w:p>
          <w:p w14:paraId="52718C1F" w14:textId="05C7554F" w:rsidR="003475B1" w:rsidRPr="00FA0D37" w:rsidRDefault="003475B1" w:rsidP="003475B1">
            <w:pPr>
              <w:pStyle w:val="TAL"/>
              <w:rPr>
                <w:lang w:eastAsia="sv-SE"/>
              </w:rPr>
            </w:pPr>
            <w:r w:rsidRPr="00FA0D37">
              <w:rPr>
                <w:lang w:eastAsia="sv-SE"/>
              </w:rPr>
              <w:t xml:space="preserve">- if bfd-and-RLM is configured and no RS is configured in </w:t>
            </w:r>
            <w:r w:rsidRPr="00FA0D37">
              <w:rPr>
                <w:i/>
                <w:lang w:eastAsia="sv-SE"/>
              </w:rPr>
              <w:t>RadioLinkMonitoringConfig</w:t>
            </w:r>
            <w:r w:rsidRPr="00FA0D37">
              <w:rPr>
                <w:lang w:eastAsia="sv-SE"/>
              </w:rPr>
              <w:t xml:space="preserve"> for RLM, respectively for BFD, the UE shall use the TCI states provided in this field for PDCCH as RS for RLM, respectively for BFD.</w:t>
            </w:r>
          </w:p>
          <w:p w14:paraId="105ADCFF" w14:textId="77777777" w:rsidR="003475B1" w:rsidRPr="00FA0D37" w:rsidRDefault="003475B1" w:rsidP="003475B1">
            <w:pPr>
              <w:pStyle w:val="TAL"/>
              <w:rPr>
                <w:lang w:eastAsia="sv-SE"/>
              </w:rPr>
            </w:pPr>
            <w:r w:rsidRPr="00FA0D37">
              <w:rPr>
                <w:lang w:eastAsia="sv-SE"/>
              </w:rPr>
              <w:t>When this field is absent for the PSCell and the SCG is being deactivated:</w:t>
            </w:r>
          </w:p>
          <w:p w14:paraId="08DCCF86" w14:textId="4B205C44" w:rsidR="003475B1" w:rsidRPr="00FA0D37" w:rsidRDefault="003475B1" w:rsidP="003475B1">
            <w:pPr>
              <w:pStyle w:val="TAL"/>
              <w:rPr>
                <w:lang w:eastAsia="sv-SE"/>
              </w:rPr>
            </w:pPr>
            <w:r w:rsidRPr="00FA0D37">
              <w:rPr>
                <w:lang w:eastAsia="sv-SE"/>
              </w:rPr>
              <w:t xml:space="preserve">- the UE shall consider the previously activated TCI states as the TCI states to be activated for PDCCH/PDSCH reception upon a later SCG activation in which </w:t>
            </w:r>
            <w:r w:rsidRPr="00FA0D37">
              <w:rPr>
                <w:i/>
                <w:lang w:eastAsia="sv-SE"/>
              </w:rPr>
              <w:t>tci-ActivatedConfig</w:t>
            </w:r>
            <w:r w:rsidRPr="00FA0D37">
              <w:rPr>
                <w:lang w:eastAsia="sv-SE"/>
              </w:rPr>
              <w:t xml:space="preserve"> is absent</w:t>
            </w:r>
          </w:p>
          <w:p w14:paraId="1A11F397" w14:textId="77777777" w:rsidR="003475B1" w:rsidRPr="00FA0D37" w:rsidRDefault="003475B1" w:rsidP="003475B1">
            <w:pPr>
              <w:pStyle w:val="TAL"/>
              <w:rPr>
                <w:b/>
                <w:i/>
                <w:szCs w:val="22"/>
                <w:lang w:eastAsia="sv-SE"/>
              </w:rPr>
            </w:pPr>
            <w:r w:rsidRPr="00FA0D37">
              <w:rPr>
                <w:lang w:eastAsia="sv-SE"/>
              </w:rPr>
              <w:t xml:space="preserve">- if </w:t>
            </w:r>
            <w:r w:rsidRPr="00FA0D37">
              <w:rPr>
                <w:i/>
                <w:lang w:eastAsia="sv-SE"/>
              </w:rPr>
              <w:t>bfd-and-RLM</w:t>
            </w:r>
            <w:r w:rsidRPr="00FA0D37">
              <w:rPr>
                <w:lang w:eastAsia="sv-SE"/>
              </w:rPr>
              <w:t xml:space="preserve"> is configured and no RS is configured in </w:t>
            </w:r>
            <w:r w:rsidRPr="00FA0D37">
              <w:rPr>
                <w:i/>
                <w:lang w:eastAsia="sv-SE"/>
              </w:rPr>
              <w:t>RadioLinkMonitoringConfig</w:t>
            </w:r>
            <w:r w:rsidRPr="00FA0D37">
              <w:rPr>
                <w:lang w:eastAsia="sv-SE"/>
              </w:rPr>
              <w:t xml:space="preserve"> for RLM, respectively for BFD, the UE shall use the previously activated TCI states for PDCCH as RS for RLM, respectively for BFD.</w:t>
            </w:r>
          </w:p>
        </w:tc>
      </w:tr>
      <w:tr w:rsidR="005C7FF4" w:rsidRPr="00FA0D37"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3475B1" w:rsidRPr="00FA0D37" w:rsidRDefault="003475B1" w:rsidP="003475B1">
            <w:pPr>
              <w:pStyle w:val="TAL"/>
              <w:rPr>
                <w:szCs w:val="22"/>
                <w:lang w:eastAsia="sv-SE"/>
              </w:rPr>
            </w:pPr>
            <w:r w:rsidRPr="00FA0D37">
              <w:rPr>
                <w:b/>
                <w:i/>
                <w:szCs w:val="22"/>
                <w:lang w:eastAsia="sv-SE"/>
              </w:rPr>
              <w:t>tdd-UL-DL-ConfigurationDedicated-IAB-MT</w:t>
            </w:r>
          </w:p>
          <w:p w14:paraId="7167C3D2" w14:textId="77777777" w:rsidR="003475B1" w:rsidRPr="00FA0D37" w:rsidRDefault="003475B1" w:rsidP="003475B1">
            <w:pPr>
              <w:pStyle w:val="TAL"/>
              <w:rPr>
                <w:szCs w:val="22"/>
                <w:lang w:eastAsia="sv-SE"/>
              </w:rPr>
            </w:pPr>
            <w:r w:rsidRPr="00FA0D37">
              <w:rPr>
                <w:szCs w:val="22"/>
                <w:lang w:eastAsia="sv-SE"/>
              </w:rPr>
              <w:t xml:space="preserve">Resource configuration per IAB-MT D/U/F overrides all symbols (with a limitation that effectively only flexible symbols can be overwritten in Rel-16) per slot over the number of slots as provided by </w:t>
            </w:r>
            <w:r w:rsidRPr="00FA0D37">
              <w:rPr>
                <w:i/>
                <w:szCs w:val="22"/>
                <w:lang w:eastAsia="sv-SE"/>
              </w:rPr>
              <w:t>TDD-UL-DL ConfigurationCommon</w:t>
            </w:r>
            <w:r w:rsidRPr="00FA0D37">
              <w:rPr>
                <w:szCs w:val="22"/>
                <w:lang w:eastAsia="sv-SE"/>
              </w:rPr>
              <w:t>.</w:t>
            </w:r>
          </w:p>
        </w:tc>
      </w:tr>
      <w:tr w:rsidR="005C7FF4" w:rsidRPr="00FA0D37"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3475B1" w:rsidRPr="00FA0D37" w:rsidRDefault="003475B1" w:rsidP="003475B1">
            <w:pPr>
              <w:pStyle w:val="TAL"/>
              <w:rPr>
                <w:b/>
                <w:i/>
                <w:szCs w:val="22"/>
                <w:lang w:eastAsia="sv-SE"/>
              </w:rPr>
            </w:pPr>
            <w:r w:rsidRPr="00FA0D37">
              <w:rPr>
                <w:b/>
                <w:i/>
                <w:szCs w:val="22"/>
                <w:lang w:eastAsia="sv-SE"/>
              </w:rPr>
              <w:lastRenderedPageBreak/>
              <w:t>unifiedTCI-StateType</w:t>
            </w:r>
          </w:p>
          <w:p w14:paraId="6D9D3B87" w14:textId="0357A173" w:rsidR="003475B1" w:rsidRPr="00FA0D37" w:rsidRDefault="003475B1" w:rsidP="003475B1">
            <w:pPr>
              <w:pStyle w:val="TAL"/>
              <w:rPr>
                <w:bCs/>
                <w:iCs/>
                <w:szCs w:val="22"/>
                <w:lang w:eastAsia="sv-SE"/>
              </w:rPr>
            </w:pPr>
            <w:r w:rsidRPr="00FA0D37">
              <w:rPr>
                <w:bCs/>
                <w:iCs/>
                <w:szCs w:val="22"/>
                <w:lang w:eastAsia="sv-SE"/>
              </w:rPr>
              <w:t xml:space="preserve">Indicates the unified TCI state type the UE is configured for this serving cell. The value </w:t>
            </w:r>
            <w:r w:rsidRPr="00FA0D37">
              <w:rPr>
                <w:bCs/>
                <w:i/>
                <w:szCs w:val="22"/>
                <w:lang w:eastAsia="sv-SE"/>
              </w:rPr>
              <w:t>separate</w:t>
            </w:r>
            <w:r w:rsidRPr="00FA0D37">
              <w:rPr>
                <w:bCs/>
                <w:iCs/>
                <w:szCs w:val="22"/>
                <w:lang w:eastAsia="sv-SE"/>
              </w:rPr>
              <w:t xml:space="preserve"> means this serving cell is configured with </w:t>
            </w:r>
            <w:r w:rsidRPr="00FA0D37">
              <w:rPr>
                <w:i/>
                <w:iCs/>
              </w:rPr>
              <w:t>dl-OrJointTCI-StateList</w:t>
            </w:r>
            <w:r w:rsidRPr="00FA0D37">
              <w:t xml:space="preserve"> for DL TCI state and </w:t>
            </w:r>
            <w:r w:rsidRPr="00FA0D37">
              <w:rPr>
                <w:i/>
                <w:iCs/>
              </w:rPr>
              <w:t>ul-TCI-ToAddModList</w:t>
            </w:r>
            <w:r w:rsidRPr="00FA0D37">
              <w:t xml:space="preserve"> for UL TCI state.</w:t>
            </w:r>
            <w:r w:rsidRPr="00FA0D37">
              <w:rPr>
                <w:bCs/>
                <w:iCs/>
                <w:szCs w:val="22"/>
                <w:lang w:eastAsia="sv-SE"/>
              </w:rPr>
              <w:t xml:space="preserve"> The value </w:t>
            </w:r>
            <w:r w:rsidRPr="00FA0D37">
              <w:rPr>
                <w:bCs/>
                <w:i/>
                <w:szCs w:val="22"/>
                <w:lang w:eastAsia="sv-SE"/>
              </w:rPr>
              <w:t>joint</w:t>
            </w:r>
            <w:r w:rsidRPr="00FA0D37">
              <w:rPr>
                <w:bCs/>
                <w:iCs/>
                <w:szCs w:val="22"/>
                <w:lang w:eastAsia="sv-SE"/>
              </w:rPr>
              <w:t xml:space="preserve"> means this serving cell is configured with </w:t>
            </w:r>
            <w:r w:rsidRPr="00FA0D37">
              <w:rPr>
                <w:i/>
                <w:iCs/>
              </w:rPr>
              <w:t>dl-OrJointTCI-StateList</w:t>
            </w:r>
            <w:r w:rsidRPr="00FA0D37">
              <w:t xml:space="preserve"> for joint TCI state for UL and DL operation. The network does not configure the field in a serving cell that is configured with more than one value for the </w:t>
            </w:r>
            <w:r w:rsidRPr="00FA0D37">
              <w:rPr>
                <w:i/>
                <w:iCs/>
              </w:rPr>
              <w:t>coresetPoolIndex.</w:t>
            </w:r>
          </w:p>
        </w:tc>
      </w:tr>
      <w:tr w:rsidR="005C7FF4" w:rsidRPr="00FA0D37"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3475B1" w:rsidRPr="00FA0D37" w:rsidRDefault="003475B1" w:rsidP="003475B1">
            <w:pPr>
              <w:pStyle w:val="TAL"/>
              <w:rPr>
                <w:b/>
                <w:i/>
                <w:szCs w:val="22"/>
                <w:lang w:eastAsia="sv-SE"/>
              </w:rPr>
            </w:pPr>
            <w:r w:rsidRPr="00FA0D37">
              <w:rPr>
                <w:b/>
                <w:i/>
                <w:szCs w:val="22"/>
                <w:lang w:eastAsia="sv-SE"/>
              </w:rPr>
              <w:t>uplinkConfig</w:t>
            </w:r>
          </w:p>
          <w:p w14:paraId="4B3AF1B8" w14:textId="77777777" w:rsidR="003475B1" w:rsidRPr="00FA0D37" w:rsidRDefault="003475B1" w:rsidP="003475B1">
            <w:pPr>
              <w:pStyle w:val="TAL"/>
              <w:rPr>
                <w:szCs w:val="22"/>
                <w:lang w:eastAsia="sv-SE"/>
              </w:rPr>
            </w:pPr>
            <w:r w:rsidRPr="00FA0D37">
              <w:rPr>
                <w:szCs w:val="22"/>
                <w:lang w:eastAsia="sv-SE"/>
              </w:rPr>
              <w:t xml:space="preserve">Network may configure this field only when </w:t>
            </w:r>
            <w:r w:rsidRPr="00FA0D37">
              <w:rPr>
                <w:i/>
                <w:szCs w:val="22"/>
                <w:lang w:eastAsia="sv-SE"/>
              </w:rPr>
              <w:t>uplinkConfigCommon</w:t>
            </w:r>
            <w:r w:rsidRPr="00FA0D37">
              <w:rPr>
                <w:szCs w:val="22"/>
                <w:lang w:eastAsia="sv-SE"/>
              </w:rPr>
              <w:t xml:space="preserve"> is configured in </w:t>
            </w:r>
            <w:r w:rsidRPr="00FA0D37">
              <w:rPr>
                <w:i/>
                <w:szCs w:val="22"/>
                <w:lang w:eastAsia="sv-SE"/>
              </w:rPr>
              <w:t>ServingCellConfigCommon</w:t>
            </w:r>
            <w:r w:rsidRPr="00FA0D37">
              <w:rPr>
                <w:szCs w:val="22"/>
                <w:lang w:eastAsia="sv-SE"/>
              </w:rPr>
              <w:t xml:space="preserve"> or </w:t>
            </w:r>
            <w:r w:rsidRPr="00FA0D37">
              <w:rPr>
                <w:i/>
                <w:szCs w:val="22"/>
                <w:lang w:eastAsia="sv-SE"/>
              </w:rPr>
              <w:t>ServingCellConfigCommonSIB</w:t>
            </w:r>
            <w:r w:rsidRPr="00FA0D37">
              <w:rPr>
                <w:szCs w:val="22"/>
                <w:lang w:eastAsia="sv-SE"/>
              </w:rPr>
              <w:t>.</w:t>
            </w:r>
            <w:r w:rsidRPr="00FA0D37">
              <w:t xml:space="preserve"> Addition or release of this field can only be done upon SCell addition or release (respectively).</w:t>
            </w:r>
          </w:p>
        </w:tc>
      </w:tr>
      <w:tr w:rsidR="003475B1" w:rsidRPr="00FA0D37"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77777777" w:rsidR="003475B1" w:rsidRPr="00FA0D37" w:rsidRDefault="003475B1" w:rsidP="003475B1">
            <w:pPr>
              <w:pStyle w:val="TAL"/>
              <w:rPr>
                <w:b/>
                <w:i/>
                <w:szCs w:val="22"/>
                <w:lang w:eastAsia="sv-SE"/>
              </w:rPr>
            </w:pPr>
            <w:r w:rsidRPr="00FA0D37">
              <w:rPr>
                <w:b/>
                <w:i/>
                <w:szCs w:val="22"/>
                <w:lang w:eastAsia="sv-SE"/>
              </w:rPr>
              <w:t>uplink-PowerControlToAddModList</w:t>
            </w:r>
          </w:p>
          <w:p w14:paraId="6F6CDA9C" w14:textId="41440307" w:rsidR="003475B1" w:rsidRPr="00FA0D37" w:rsidRDefault="003475B1" w:rsidP="003475B1">
            <w:pPr>
              <w:pStyle w:val="TAL"/>
              <w:rPr>
                <w:bCs/>
                <w:iCs/>
                <w:szCs w:val="22"/>
                <w:lang w:eastAsia="sv-SE"/>
              </w:rPr>
            </w:pPr>
            <w:r w:rsidRPr="00FA0D37">
              <w:rPr>
                <w:bCs/>
                <w:iCs/>
                <w:szCs w:val="22"/>
                <w:lang w:eastAsia="sv-SE"/>
              </w:rPr>
              <w:t>Configures UL power control parameters for PUSCH, PUCCH and SRS when field unifiedTCI-StateType is configured for this serving cell.</w:t>
            </w:r>
          </w:p>
        </w:tc>
      </w:tr>
    </w:tbl>
    <w:p w14:paraId="5C74675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FA0D37" w:rsidRDefault="00394471" w:rsidP="00964CC4">
            <w:pPr>
              <w:pStyle w:val="TAH"/>
              <w:rPr>
                <w:szCs w:val="22"/>
                <w:lang w:eastAsia="sv-SE"/>
              </w:rPr>
            </w:pPr>
            <w:r w:rsidRPr="00FA0D37">
              <w:rPr>
                <w:i/>
                <w:szCs w:val="22"/>
                <w:lang w:eastAsia="sv-SE"/>
              </w:rPr>
              <w:lastRenderedPageBreak/>
              <w:t xml:space="preserve">UplinkConfig </w:t>
            </w:r>
            <w:r w:rsidRPr="00FA0D37">
              <w:rPr>
                <w:szCs w:val="22"/>
                <w:lang w:eastAsia="sv-SE"/>
              </w:rPr>
              <w:t>field descriptions</w:t>
            </w:r>
          </w:p>
        </w:tc>
      </w:tr>
      <w:tr w:rsidR="005C7FF4" w:rsidRPr="00FA0D37"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FA0D37" w:rsidRDefault="00394471" w:rsidP="00964CC4">
            <w:pPr>
              <w:pStyle w:val="TAL"/>
              <w:rPr>
                <w:szCs w:val="22"/>
                <w:lang w:eastAsia="sv-SE"/>
              </w:rPr>
            </w:pPr>
            <w:r w:rsidRPr="00FA0D37">
              <w:rPr>
                <w:b/>
                <w:i/>
                <w:szCs w:val="22"/>
                <w:lang w:eastAsia="sv-SE"/>
              </w:rPr>
              <w:t>carrierSwitching</w:t>
            </w:r>
          </w:p>
          <w:p w14:paraId="63272008" w14:textId="77777777" w:rsidR="00394471" w:rsidRPr="00FA0D37" w:rsidRDefault="00394471" w:rsidP="00964CC4">
            <w:pPr>
              <w:pStyle w:val="TAL"/>
              <w:rPr>
                <w:b/>
                <w:i/>
                <w:szCs w:val="22"/>
                <w:lang w:eastAsia="sv-SE"/>
              </w:rPr>
            </w:pPr>
            <w:r w:rsidRPr="00FA0D37">
              <w:rPr>
                <w:szCs w:val="22"/>
                <w:lang w:eastAsia="sv-SE"/>
              </w:rPr>
              <w:t>Includes parameters for configuration of carrier based SRS switching (see TS 38.214 [19], clause 6.2.1.3.</w:t>
            </w:r>
          </w:p>
        </w:tc>
      </w:tr>
      <w:tr w:rsidR="005C7FF4" w:rsidRPr="00FA0D37"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FA0D37" w:rsidRDefault="00394471" w:rsidP="00964CC4">
            <w:pPr>
              <w:pStyle w:val="TAL"/>
              <w:rPr>
                <w:b/>
                <w:i/>
                <w:szCs w:val="22"/>
                <w:lang w:eastAsia="sv-SE"/>
              </w:rPr>
            </w:pPr>
            <w:r w:rsidRPr="00FA0D37">
              <w:rPr>
                <w:b/>
                <w:i/>
                <w:szCs w:val="22"/>
                <w:lang w:eastAsia="sv-SE"/>
              </w:rPr>
              <w:t>enableDefaultBeamPL-ForPUSCH0-0, enableDefaultBeamPL-ForPUCCH, enableDefaultBeamPL-ForSRS</w:t>
            </w:r>
          </w:p>
          <w:p w14:paraId="388CEC1F" w14:textId="6B57C254" w:rsidR="00394471" w:rsidRPr="00FA0D37" w:rsidRDefault="00394471" w:rsidP="00964CC4">
            <w:pPr>
              <w:pStyle w:val="TAL"/>
              <w:rPr>
                <w:b/>
                <w:i/>
                <w:szCs w:val="22"/>
                <w:lang w:eastAsia="sv-SE"/>
              </w:rPr>
            </w:pPr>
            <w:r w:rsidRPr="00FA0D37">
              <w:rPr>
                <w:szCs w:val="22"/>
                <w:lang w:eastAsia="sv-SE"/>
              </w:rPr>
              <w:t xml:space="preserve">When the parameter is present, UE derives the </w:t>
            </w:r>
            <w:r w:rsidRPr="00FA0D37">
              <w:rPr>
                <w:lang w:eastAsia="sv-SE"/>
              </w:rPr>
              <w:t>spatial relation and the corresponding pathloss reference Rs as specified in 38.213, clauses 7.1.1, 7.2.1, 7.3.1 and 9.2.2</w:t>
            </w:r>
            <w:r w:rsidR="005A6121" w:rsidRPr="00FA0D37">
              <w:rPr>
                <w:lang w:eastAsia="sv-SE"/>
              </w:rPr>
              <w:t xml:space="preserve">. </w:t>
            </w:r>
            <w:r w:rsidRPr="00FA0D37">
              <w:rPr>
                <w:lang w:eastAsia="sv-SE"/>
              </w:rPr>
              <w:t>The network only configures these parameters for FR2.</w:t>
            </w:r>
          </w:p>
        </w:tc>
      </w:tr>
      <w:tr w:rsidR="005C7FF4" w:rsidRPr="00FA0D37"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FA0D37" w:rsidRDefault="00394471" w:rsidP="00964CC4">
            <w:pPr>
              <w:pStyle w:val="TAL"/>
              <w:rPr>
                <w:b/>
                <w:i/>
                <w:szCs w:val="22"/>
                <w:lang w:eastAsia="sv-SE"/>
              </w:rPr>
            </w:pPr>
            <w:r w:rsidRPr="00FA0D37">
              <w:rPr>
                <w:b/>
                <w:i/>
                <w:szCs w:val="22"/>
                <w:lang w:eastAsia="sv-SE"/>
              </w:rPr>
              <w:t>enablePL-RS-UpdateForPUSCH-SRS</w:t>
            </w:r>
          </w:p>
          <w:p w14:paraId="12DB0B87" w14:textId="77777777" w:rsidR="00394471" w:rsidRPr="00FA0D37" w:rsidRDefault="00394471" w:rsidP="00964CC4">
            <w:pPr>
              <w:pStyle w:val="TAL"/>
              <w:rPr>
                <w:b/>
                <w:i/>
                <w:szCs w:val="22"/>
                <w:lang w:eastAsia="sv-SE"/>
              </w:rPr>
            </w:pPr>
            <w:r w:rsidRPr="00FA0D37">
              <w:rPr>
                <w:lang w:eastAsia="sv-SE"/>
              </w:rPr>
              <w:t xml:space="preserve">When this parameter is present, the Rel-16 feature of MAC CE based pathloss RS updates for PUSCH/SRS is enabled. Network only configures this parameter when the UE is configured with </w:t>
            </w:r>
            <w:r w:rsidRPr="00FA0D37">
              <w:rPr>
                <w:i/>
                <w:lang w:eastAsia="sv-SE"/>
              </w:rPr>
              <w:t>sri-PUSCH-PowerControl</w:t>
            </w:r>
            <w:r w:rsidRPr="00FA0D37">
              <w:rPr>
                <w:lang w:eastAsia="sv-SE"/>
              </w:rPr>
              <w:t>.</w:t>
            </w:r>
            <w:r w:rsidRPr="00FA0D37">
              <w:t xml:space="preserve"> </w:t>
            </w:r>
            <w:r w:rsidRPr="00FA0D37">
              <w:rPr>
                <w:lang w:eastAsia="sv-SE"/>
              </w:rPr>
              <w:t xml:space="preserve">If this field is not configured, </w:t>
            </w:r>
            <w:r w:rsidRPr="00FA0D37">
              <w:rPr>
                <w:rFonts w:eastAsia="Malgun Gothic"/>
              </w:rPr>
              <w:t xml:space="preserve">network configures at most 4 pathloss RS resources for </w:t>
            </w:r>
            <w:r w:rsidRPr="00FA0D37">
              <w:rPr>
                <w:lang w:eastAsia="sv-SE"/>
              </w:rPr>
              <w:t xml:space="preserve">PUSCH/PUCCH/SRS transmissions </w:t>
            </w:r>
            <w:r w:rsidRPr="00FA0D37">
              <w:rPr>
                <w:rFonts w:eastAsia="Malgun Gothic"/>
              </w:rPr>
              <w:t>per BWP, not including pathloss RS resources for SRS transmissions for positioning</w:t>
            </w:r>
            <w:r w:rsidRPr="00FA0D37">
              <w:rPr>
                <w:lang w:eastAsia="sv-SE"/>
              </w:rPr>
              <w:t>.</w:t>
            </w:r>
            <w:r w:rsidRPr="00FA0D37">
              <w:rPr>
                <w:bCs/>
                <w:iCs/>
                <w:szCs w:val="22"/>
              </w:rPr>
              <w:t xml:space="preserve"> (See TS 38.213 [13], clause 7).</w:t>
            </w:r>
          </w:p>
        </w:tc>
      </w:tr>
      <w:tr w:rsidR="005C7FF4" w:rsidRPr="00FA0D37"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FA0D37" w:rsidRDefault="00394471" w:rsidP="00964CC4">
            <w:pPr>
              <w:pStyle w:val="TAL"/>
              <w:rPr>
                <w:szCs w:val="22"/>
                <w:lang w:eastAsia="sv-SE"/>
              </w:rPr>
            </w:pPr>
            <w:r w:rsidRPr="00FA0D37">
              <w:rPr>
                <w:b/>
                <w:i/>
                <w:szCs w:val="22"/>
                <w:lang w:eastAsia="sv-SE"/>
              </w:rPr>
              <w:t>firstActiveUplinkBWP-Id</w:t>
            </w:r>
          </w:p>
          <w:p w14:paraId="5FE09891" w14:textId="77777777" w:rsidR="00394471" w:rsidRPr="00FA0D37" w:rsidRDefault="00394471" w:rsidP="00964CC4">
            <w:pPr>
              <w:pStyle w:val="TAL"/>
              <w:rPr>
                <w:szCs w:val="22"/>
                <w:lang w:eastAsia="sv-SE"/>
              </w:rPr>
            </w:pPr>
            <w:r w:rsidRPr="00FA0D37">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FA0D37" w:rsidRDefault="00394471" w:rsidP="00964CC4">
            <w:pPr>
              <w:pStyle w:val="TAL"/>
              <w:rPr>
                <w:szCs w:val="22"/>
                <w:lang w:eastAsia="sv-SE"/>
              </w:rPr>
            </w:pPr>
            <w:r w:rsidRPr="00FA0D37">
              <w:rPr>
                <w:szCs w:val="22"/>
                <w:lang w:eastAsia="sv-SE"/>
              </w:rPr>
              <w:t>If configured for an SCell, this field contains the ID of the uplink bandwidth part to be used upon activation of an SCell. The initial bandwidth part is referred to by BandiwdthPartId = 0.</w:t>
            </w:r>
          </w:p>
        </w:tc>
      </w:tr>
      <w:tr w:rsidR="005C7FF4" w:rsidRPr="00FA0D37"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FA0D37" w:rsidRDefault="00394471" w:rsidP="00964CC4">
            <w:pPr>
              <w:pStyle w:val="TAL"/>
              <w:rPr>
                <w:szCs w:val="22"/>
                <w:lang w:eastAsia="sv-SE"/>
              </w:rPr>
            </w:pPr>
            <w:r w:rsidRPr="00FA0D37">
              <w:rPr>
                <w:b/>
                <w:i/>
                <w:szCs w:val="22"/>
                <w:lang w:eastAsia="sv-SE"/>
              </w:rPr>
              <w:t>initialUplinkBWP</w:t>
            </w:r>
          </w:p>
          <w:p w14:paraId="7AD3E66F" w14:textId="77777777" w:rsidR="00394471" w:rsidRPr="00FA0D37" w:rsidRDefault="00394471" w:rsidP="00964CC4">
            <w:pPr>
              <w:pStyle w:val="TAL"/>
              <w:rPr>
                <w:szCs w:val="22"/>
                <w:lang w:eastAsia="sv-SE"/>
              </w:rPr>
            </w:pPr>
            <w:r w:rsidRPr="00FA0D37">
              <w:rPr>
                <w:szCs w:val="22"/>
                <w:lang w:eastAsia="sv-SE"/>
              </w:rPr>
              <w:t xml:space="preserve">The dedicated (UE-specific) configuration for the initial uplink bandwidth-part (i.e. UL BWP#0). If any of the optional IEs are configured within this IE as part of the IE </w:t>
            </w:r>
            <w:r w:rsidRPr="00FA0D37">
              <w:rPr>
                <w:i/>
                <w:szCs w:val="22"/>
                <w:lang w:eastAsia="sv-SE"/>
              </w:rPr>
              <w:t>uplinkConfig</w:t>
            </w:r>
            <w:r w:rsidRPr="00FA0D37">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FA0D37">
              <w:rPr>
                <w:lang w:eastAsia="sv-SE"/>
              </w:rPr>
              <w:t>the UE with a value for</w:t>
            </w:r>
            <w:r w:rsidRPr="00FA0D37">
              <w:rPr>
                <w:szCs w:val="22"/>
                <w:lang w:eastAsia="sv-SE"/>
              </w:rPr>
              <w:t xml:space="preserve"> this field if no other BWPs are configured. NOTE1</w:t>
            </w:r>
          </w:p>
        </w:tc>
      </w:tr>
      <w:tr w:rsidR="005C7FF4" w:rsidRPr="00FA0D37"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FA0D37" w:rsidRDefault="002211AC" w:rsidP="00771058">
            <w:pPr>
              <w:pStyle w:val="TAL"/>
              <w:rPr>
                <w:b/>
                <w:i/>
                <w:szCs w:val="22"/>
                <w:lang w:eastAsia="sv-SE"/>
              </w:rPr>
            </w:pPr>
            <w:r w:rsidRPr="00FA0D37">
              <w:rPr>
                <w:b/>
                <w:i/>
                <w:szCs w:val="22"/>
                <w:lang w:eastAsia="sv-SE"/>
              </w:rPr>
              <w:t>moreThanOneNackOnlyMode</w:t>
            </w:r>
          </w:p>
          <w:p w14:paraId="39A69728" w14:textId="431FCA00" w:rsidR="002211AC" w:rsidRPr="00FA0D37" w:rsidRDefault="002211AC" w:rsidP="00771058">
            <w:pPr>
              <w:pStyle w:val="TAL"/>
              <w:rPr>
                <w:b/>
                <w:i/>
                <w:szCs w:val="22"/>
                <w:lang w:eastAsia="sv-SE"/>
              </w:rPr>
            </w:pPr>
            <w:r w:rsidRPr="00FA0D37">
              <w:rPr>
                <w:bCs/>
                <w:iCs/>
                <w:szCs w:val="22"/>
                <w:lang w:eastAsia="sv-SE"/>
              </w:rPr>
              <w:t>Indicates the mode of NACK-only feedback in the PUCCH transmission</w:t>
            </w:r>
            <w:r w:rsidR="002C350C" w:rsidRPr="00FA0D37">
              <w:rPr>
                <w:bCs/>
                <w:iCs/>
                <w:szCs w:val="22"/>
                <w:lang w:eastAsia="sv-SE"/>
              </w:rPr>
              <w:t>, as specified in TS 38.213 [13], clause 18</w:t>
            </w:r>
            <w:r w:rsidRPr="00FA0D37">
              <w:rPr>
                <w:bCs/>
                <w:iCs/>
                <w:szCs w:val="22"/>
                <w:lang w:eastAsia="sv-SE"/>
              </w:rPr>
              <w:t xml:space="preserve">. </w:t>
            </w:r>
            <w:r w:rsidRPr="00FA0D37">
              <w:rPr>
                <w:szCs w:val="22"/>
                <w:lang w:eastAsia="sv-SE"/>
              </w:rPr>
              <w:t xml:space="preserve">If </w:t>
            </w:r>
            <w:r w:rsidR="00280BA7" w:rsidRPr="00FA0D37">
              <w:rPr>
                <w:szCs w:val="22"/>
                <w:lang w:eastAsia="sv-SE"/>
              </w:rPr>
              <w:t xml:space="preserve">multicast CFR is not configured, this field is not included. Otherwise, if the field is </w:t>
            </w:r>
            <w:r w:rsidRPr="00FA0D37">
              <w:rPr>
                <w:szCs w:val="22"/>
                <w:lang w:eastAsia="sv-SE"/>
              </w:rPr>
              <w:t>absent, UE uses mode</w:t>
            </w:r>
            <w:r w:rsidR="00280BA7" w:rsidRPr="00FA0D37">
              <w:rPr>
                <w:szCs w:val="22"/>
                <w:lang w:eastAsia="sv-SE"/>
              </w:rPr>
              <w:t xml:space="preserve"> 1</w:t>
            </w:r>
            <w:r w:rsidRPr="00FA0D37">
              <w:rPr>
                <w:szCs w:val="22"/>
                <w:lang w:eastAsia="sv-SE"/>
              </w:rPr>
              <w:t xml:space="preserve"> for mul</w:t>
            </w:r>
            <w:r w:rsidR="00280BA7" w:rsidRPr="00FA0D37">
              <w:rPr>
                <w:szCs w:val="22"/>
                <w:lang w:eastAsia="sv-SE"/>
              </w:rPr>
              <w:t>t</w:t>
            </w:r>
            <w:r w:rsidRPr="00FA0D37">
              <w:rPr>
                <w:szCs w:val="22"/>
                <w:lang w:eastAsia="sv-SE"/>
              </w:rPr>
              <w:t>icast CFR.</w:t>
            </w:r>
          </w:p>
        </w:tc>
      </w:tr>
      <w:tr w:rsidR="005C7FF4" w:rsidRPr="00FA0D37"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FA0D37" w:rsidRDefault="00394471" w:rsidP="00964CC4">
            <w:pPr>
              <w:pStyle w:val="TAL"/>
              <w:rPr>
                <w:b/>
                <w:i/>
                <w:szCs w:val="22"/>
                <w:lang w:eastAsia="sv-SE"/>
              </w:rPr>
            </w:pPr>
            <w:r w:rsidRPr="00FA0D37">
              <w:rPr>
                <w:b/>
                <w:i/>
                <w:szCs w:val="22"/>
                <w:lang w:eastAsia="sv-SE"/>
              </w:rPr>
              <w:t>mpr-PowerBoost-FR2</w:t>
            </w:r>
          </w:p>
          <w:p w14:paraId="31AE8728" w14:textId="77777777" w:rsidR="00394471" w:rsidRPr="00FA0D37" w:rsidRDefault="00394471" w:rsidP="00964CC4">
            <w:pPr>
              <w:pStyle w:val="TAL"/>
              <w:rPr>
                <w:bCs/>
                <w:iCs/>
                <w:szCs w:val="22"/>
                <w:lang w:eastAsia="sv-SE"/>
              </w:rPr>
            </w:pPr>
            <w:r w:rsidRPr="00FA0D37">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5C7FF4" w:rsidRPr="00FA0D37"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FA0D37" w:rsidRDefault="00394471" w:rsidP="00964CC4">
            <w:pPr>
              <w:pStyle w:val="TAL"/>
              <w:rPr>
                <w:b/>
                <w:i/>
                <w:szCs w:val="22"/>
                <w:lang w:eastAsia="sv-SE"/>
              </w:rPr>
            </w:pPr>
            <w:r w:rsidRPr="00FA0D37">
              <w:rPr>
                <w:b/>
                <w:i/>
                <w:szCs w:val="22"/>
                <w:lang w:eastAsia="sv-SE"/>
              </w:rPr>
              <w:t>powerBoostPi2BPSK</w:t>
            </w:r>
          </w:p>
          <w:p w14:paraId="2B2BAC2E" w14:textId="77777777" w:rsidR="00394471" w:rsidRPr="00FA0D37" w:rsidRDefault="00394471" w:rsidP="00964CC4">
            <w:pPr>
              <w:pStyle w:val="TAL"/>
              <w:rPr>
                <w:szCs w:val="22"/>
                <w:lang w:eastAsia="sv-SE"/>
              </w:rPr>
            </w:pPr>
            <w:r w:rsidRPr="00FA0D37">
              <w:rPr>
                <w:szCs w:val="22"/>
                <w:lang w:eastAsia="sv-SE"/>
              </w:rPr>
              <w:t xml:space="preserve">If this field is set to </w:t>
            </w:r>
            <w:r w:rsidRPr="00FA0D37">
              <w:rPr>
                <w:i/>
                <w:iCs/>
                <w:lang w:eastAsia="en-GB"/>
              </w:rPr>
              <w:t>true</w:t>
            </w:r>
            <w:r w:rsidRPr="00FA0D37">
              <w:rPr>
                <w:szCs w:val="22"/>
                <w:lang w:eastAsia="sv-SE"/>
              </w:rPr>
              <w:t>, the UE determines the maximum output power for PUCCH/PUSCH transmissions that use pi/2 BPSK modulation according to TS 38.101-1 [15], clause 6.2.4.</w:t>
            </w:r>
          </w:p>
        </w:tc>
      </w:tr>
      <w:tr w:rsidR="005C7FF4" w:rsidRPr="00FA0D37"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FA0D37" w:rsidRDefault="00394471" w:rsidP="00964CC4">
            <w:pPr>
              <w:pStyle w:val="TAL"/>
              <w:rPr>
                <w:szCs w:val="22"/>
                <w:lang w:eastAsia="sv-SE"/>
              </w:rPr>
            </w:pPr>
            <w:r w:rsidRPr="00FA0D37">
              <w:rPr>
                <w:b/>
                <w:i/>
                <w:szCs w:val="22"/>
                <w:lang w:eastAsia="sv-SE"/>
              </w:rPr>
              <w:t>pusch-ServingCellConfig</w:t>
            </w:r>
          </w:p>
          <w:p w14:paraId="07DB9B20" w14:textId="77777777" w:rsidR="00394471" w:rsidRPr="00FA0D37" w:rsidRDefault="00394471" w:rsidP="00964CC4">
            <w:pPr>
              <w:pStyle w:val="TAL"/>
              <w:rPr>
                <w:szCs w:val="22"/>
                <w:lang w:eastAsia="sv-SE"/>
              </w:rPr>
            </w:pPr>
            <w:r w:rsidRPr="00FA0D37">
              <w:rPr>
                <w:szCs w:val="22"/>
                <w:lang w:eastAsia="sv-SE"/>
              </w:rPr>
              <w:t>PUSCH related parameters that are not BWP-specific.</w:t>
            </w:r>
          </w:p>
        </w:tc>
      </w:tr>
      <w:tr w:rsidR="005C7FF4" w:rsidRPr="00FA0D37"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FA0D37" w:rsidRDefault="00394471" w:rsidP="00964CC4">
            <w:pPr>
              <w:pStyle w:val="TAL"/>
              <w:rPr>
                <w:b/>
                <w:i/>
                <w:szCs w:val="22"/>
                <w:lang w:eastAsia="sv-SE"/>
              </w:rPr>
            </w:pPr>
            <w:r w:rsidRPr="00FA0D37">
              <w:rPr>
                <w:b/>
                <w:i/>
                <w:szCs w:val="22"/>
                <w:lang w:eastAsia="sv-SE"/>
              </w:rPr>
              <w:t>uplinkBWP-ToAddModList</w:t>
            </w:r>
          </w:p>
          <w:p w14:paraId="314BF2FC" w14:textId="77777777" w:rsidR="00394471" w:rsidRPr="00FA0D37" w:rsidRDefault="00394471" w:rsidP="00964CC4">
            <w:pPr>
              <w:pStyle w:val="TAL"/>
              <w:rPr>
                <w:lang w:eastAsia="sv-SE"/>
              </w:rPr>
            </w:pPr>
            <w:r w:rsidRPr="00FA0D37">
              <w:rPr>
                <w:lang w:eastAsia="sv-SE"/>
              </w:rPr>
              <w:t xml:space="preserve">The additional bandwidth parts for uplink to be added or modified. In case of TDD uplink- and downlink BWP with the same </w:t>
            </w:r>
            <w:r w:rsidRPr="00FA0D37">
              <w:rPr>
                <w:i/>
                <w:lang w:eastAsia="sv-SE"/>
              </w:rPr>
              <w:t>bandwidthPartId</w:t>
            </w:r>
            <w:r w:rsidRPr="00FA0D37">
              <w:rPr>
                <w:lang w:eastAsia="sv-SE"/>
              </w:rPr>
              <w:t xml:space="preserve"> are considered as a BWP pair and must have the same center frequency.</w:t>
            </w:r>
          </w:p>
        </w:tc>
      </w:tr>
      <w:tr w:rsidR="005C7FF4" w:rsidRPr="00FA0D37"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FA0D37" w:rsidRDefault="00394471" w:rsidP="00964CC4">
            <w:pPr>
              <w:pStyle w:val="TAL"/>
              <w:rPr>
                <w:szCs w:val="22"/>
                <w:lang w:eastAsia="sv-SE"/>
              </w:rPr>
            </w:pPr>
            <w:r w:rsidRPr="00FA0D37">
              <w:rPr>
                <w:b/>
                <w:i/>
                <w:szCs w:val="22"/>
                <w:lang w:eastAsia="sv-SE"/>
              </w:rPr>
              <w:t>uplinkBWP-ToReleaseList</w:t>
            </w:r>
          </w:p>
          <w:p w14:paraId="1CB795E2" w14:textId="77777777" w:rsidR="00394471" w:rsidRPr="00FA0D37" w:rsidRDefault="00394471" w:rsidP="00964CC4">
            <w:pPr>
              <w:pStyle w:val="TAL"/>
              <w:rPr>
                <w:szCs w:val="22"/>
                <w:lang w:eastAsia="sv-SE"/>
              </w:rPr>
            </w:pPr>
            <w:r w:rsidRPr="00FA0D37">
              <w:rPr>
                <w:szCs w:val="22"/>
                <w:lang w:eastAsia="sv-SE"/>
              </w:rPr>
              <w:t>The additional bandwidth parts for uplink to be released.</w:t>
            </w:r>
          </w:p>
        </w:tc>
      </w:tr>
      <w:tr w:rsidR="005C7FF4" w:rsidRPr="00FA0D37"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FA0D37" w:rsidRDefault="00394471" w:rsidP="00964CC4">
            <w:pPr>
              <w:pStyle w:val="TAL"/>
              <w:rPr>
                <w:b/>
                <w:i/>
                <w:szCs w:val="22"/>
                <w:lang w:eastAsia="sv-SE"/>
              </w:rPr>
            </w:pPr>
            <w:r w:rsidRPr="00FA0D37">
              <w:rPr>
                <w:b/>
                <w:i/>
                <w:szCs w:val="22"/>
                <w:lang w:eastAsia="sv-SE"/>
              </w:rPr>
              <w:t>uplinkChannelBW-PerSCS-List</w:t>
            </w:r>
          </w:p>
          <w:p w14:paraId="6303B470" w14:textId="4894059C" w:rsidR="00394471" w:rsidRPr="00FA0D37" w:rsidRDefault="00394471" w:rsidP="00964CC4">
            <w:pPr>
              <w:pStyle w:val="TAL"/>
              <w:rPr>
                <w:szCs w:val="22"/>
                <w:lang w:eastAsia="sv-SE"/>
              </w:rPr>
            </w:pPr>
            <w:r w:rsidRPr="00FA0D3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A0D37">
              <w:rPr>
                <w:i/>
                <w:szCs w:val="22"/>
                <w:lang w:eastAsia="sv-SE"/>
              </w:rPr>
              <w:t>scs-SpecificCarrierList</w:t>
            </w:r>
            <w:r w:rsidRPr="00FA0D37">
              <w:rPr>
                <w:szCs w:val="22"/>
                <w:lang w:eastAsia="sv-SE"/>
              </w:rPr>
              <w:t xml:space="preserve"> in </w:t>
            </w:r>
            <w:r w:rsidRPr="00FA0D37">
              <w:rPr>
                <w:i/>
                <w:szCs w:val="22"/>
                <w:lang w:eastAsia="sv-SE"/>
              </w:rPr>
              <w:t>UplinkConfigCommon</w:t>
            </w:r>
            <w:r w:rsidRPr="00FA0D37">
              <w:rPr>
                <w:szCs w:val="22"/>
                <w:lang w:eastAsia="sv-SE"/>
              </w:rPr>
              <w:t xml:space="preserve"> / </w:t>
            </w:r>
            <w:r w:rsidRPr="00FA0D37">
              <w:rPr>
                <w:i/>
                <w:szCs w:val="22"/>
                <w:lang w:eastAsia="sv-SE"/>
              </w:rPr>
              <w:t>UplinkConfigCommonSIB</w:t>
            </w:r>
            <w:r w:rsidRPr="00FA0D37">
              <w:rPr>
                <w:szCs w:val="22"/>
                <w:lang w:eastAsia="sv-SE"/>
              </w:rPr>
              <w:t>. Network only configures channel bandwidth that corresponds to the channel bandwidth values defined in TS 38.101-1 [15]</w:t>
            </w:r>
            <w:r w:rsidR="00862D3D" w:rsidRPr="00FA0D37">
              <w:rPr>
                <w:szCs w:val="22"/>
                <w:lang w:eastAsia="sv-SE"/>
              </w:rPr>
              <w:t>,</w:t>
            </w:r>
            <w:r w:rsidRPr="00FA0D37">
              <w:rPr>
                <w:szCs w:val="22"/>
                <w:lang w:eastAsia="sv-SE"/>
              </w:rPr>
              <w:t xml:space="preserve"> TS 38.101-2 [39]</w:t>
            </w:r>
            <w:r w:rsidR="00862D3D" w:rsidRPr="00FA0D37">
              <w:rPr>
                <w:szCs w:val="22"/>
                <w:lang w:eastAsia="sv-SE"/>
              </w:rPr>
              <w:t>, and TS 38.101-5 [75]</w:t>
            </w:r>
            <w:r w:rsidRPr="00FA0D37">
              <w:rPr>
                <w:szCs w:val="22"/>
                <w:lang w:eastAsia="sv-SE"/>
              </w:rPr>
              <w:t>.</w:t>
            </w:r>
          </w:p>
        </w:tc>
      </w:tr>
      <w:tr w:rsidR="005C7FF4" w:rsidRPr="00FA0D37"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FA0D37" w:rsidRDefault="00394471" w:rsidP="00964CC4">
            <w:pPr>
              <w:pStyle w:val="TAL"/>
              <w:rPr>
                <w:b/>
                <w:i/>
                <w:szCs w:val="22"/>
                <w:lang w:eastAsia="sv-SE"/>
              </w:rPr>
            </w:pPr>
            <w:r w:rsidRPr="00FA0D37">
              <w:rPr>
                <w:b/>
                <w:i/>
                <w:szCs w:val="22"/>
                <w:lang w:eastAsia="sv-SE"/>
              </w:rPr>
              <w:lastRenderedPageBreak/>
              <w:t>uplinkTxSwitchingPeriodLocation</w:t>
            </w:r>
          </w:p>
          <w:p w14:paraId="51ADA585" w14:textId="670B1A28" w:rsidR="007D1660" w:rsidRPr="00FA0D37" w:rsidRDefault="00394471" w:rsidP="00964CC4">
            <w:pPr>
              <w:pStyle w:val="TAL"/>
              <w:rPr>
                <w:bCs/>
                <w:iCs/>
                <w:szCs w:val="22"/>
                <w:lang w:eastAsia="sv-SE"/>
              </w:rPr>
            </w:pPr>
            <w:r w:rsidRPr="00FA0D37">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FA0D37" w:rsidRDefault="00394471" w:rsidP="007D1660">
            <w:pPr>
              <w:pStyle w:val="TAL"/>
              <w:rPr>
                <w:bCs/>
                <w:iCs/>
                <w:szCs w:val="22"/>
                <w:lang w:eastAsia="sv-SE"/>
              </w:rPr>
            </w:pPr>
            <w:r w:rsidRPr="00FA0D37">
              <w:rPr>
                <w:bCs/>
                <w:iCs/>
                <w:szCs w:val="22"/>
                <w:lang w:eastAsia="sv-SE"/>
              </w:rPr>
              <w:t>In case of (NG)EN-DC, network always configures this field to TRUE for NR carrier (i.e. with (NG)EN-DC, the UL switching period always occurs on the NR carrier).</w:t>
            </w:r>
          </w:p>
          <w:p w14:paraId="78859DA0" w14:textId="12BBB09A" w:rsidR="00394471" w:rsidRPr="00FA0D37" w:rsidRDefault="007D1660" w:rsidP="007D1660">
            <w:pPr>
              <w:pStyle w:val="TAL"/>
              <w:rPr>
                <w:bCs/>
                <w:iCs/>
                <w:szCs w:val="22"/>
                <w:lang w:eastAsia="sv-SE"/>
              </w:rPr>
            </w:pPr>
            <w:r w:rsidRPr="00FA0D37">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FA0D37"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FA0D37" w:rsidRDefault="00394471" w:rsidP="00964CC4">
            <w:pPr>
              <w:pStyle w:val="TAL"/>
              <w:rPr>
                <w:b/>
                <w:i/>
                <w:szCs w:val="22"/>
                <w:lang w:eastAsia="sv-SE"/>
              </w:rPr>
            </w:pPr>
            <w:r w:rsidRPr="00FA0D37">
              <w:rPr>
                <w:b/>
                <w:i/>
                <w:szCs w:val="22"/>
                <w:lang w:eastAsia="sv-SE"/>
              </w:rPr>
              <w:t>uplinkTxSwitchingCarrier</w:t>
            </w:r>
          </w:p>
          <w:p w14:paraId="214D8442" w14:textId="42ACADF8" w:rsidR="007D1660" w:rsidRPr="00FA0D37" w:rsidRDefault="00394471" w:rsidP="007D1660">
            <w:pPr>
              <w:pStyle w:val="TAL"/>
              <w:rPr>
                <w:bCs/>
                <w:iCs/>
                <w:szCs w:val="22"/>
                <w:lang w:eastAsia="sv-SE"/>
              </w:rPr>
            </w:pPr>
            <w:r w:rsidRPr="00FA0D37">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FA0D37" w:rsidRDefault="007D1660" w:rsidP="007D1660">
            <w:pPr>
              <w:pStyle w:val="TAL"/>
              <w:rPr>
                <w:bCs/>
                <w:iCs/>
                <w:szCs w:val="22"/>
                <w:lang w:eastAsia="sv-SE"/>
              </w:rPr>
            </w:pPr>
            <w:r w:rsidRPr="00FA0D37">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FA0D37" w:rsidRDefault="00394471" w:rsidP="00964CC4">
            <w:pPr>
              <w:pStyle w:val="TAH"/>
              <w:rPr>
                <w:szCs w:val="22"/>
                <w:lang w:eastAsia="sv-SE"/>
              </w:rPr>
            </w:pPr>
            <w:r w:rsidRPr="00FA0D37">
              <w:rPr>
                <w:i/>
                <w:szCs w:val="22"/>
                <w:lang w:eastAsia="sv-SE"/>
              </w:rPr>
              <w:t xml:space="preserve">DormantBWP-Config </w:t>
            </w:r>
            <w:r w:rsidRPr="00FA0D37">
              <w:rPr>
                <w:szCs w:val="22"/>
                <w:lang w:eastAsia="sv-SE"/>
              </w:rPr>
              <w:t>field descriptions</w:t>
            </w:r>
          </w:p>
        </w:tc>
      </w:tr>
      <w:tr w:rsidR="005C7FF4" w:rsidRPr="00FA0D37"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FA0D37" w:rsidRDefault="00394471" w:rsidP="00964CC4">
            <w:pPr>
              <w:pStyle w:val="TAL"/>
              <w:rPr>
                <w:b/>
                <w:i/>
                <w:szCs w:val="22"/>
                <w:lang w:eastAsia="sv-SE"/>
              </w:rPr>
            </w:pPr>
            <w:r w:rsidRPr="00FA0D37">
              <w:rPr>
                <w:b/>
                <w:i/>
                <w:szCs w:val="22"/>
                <w:lang w:eastAsia="sv-SE"/>
              </w:rPr>
              <w:t>dormancyGroupWithinActiveTime</w:t>
            </w:r>
          </w:p>
          <w:p w14:paraId="0214DFC6" w14:textId="186FCDED" w:rsidR="00394471" w:rsidRPr="00FA0D37" w:rsidRDefault="00394471" w:rsidP="00964CC4">
            <w:pPr>
              <w:pStyle w:val="TAL"/>
              <w:rPr>
                <w:b/>
                <w:i/>
                <w:szCs w:val="22"/>
                <w:lang w:eastAsia="sv-SE"/>
              </w:rPr>
            </w:pPr>
            <w:r w:rsidRPr="00FA0D37">
              <w:rPr>
                <w:bCs/>
                <w:iCs/>
                <w:szCs w:val="22"/>
                <w:lang w:eastAsia="sv-SE"/>
              </w:rPr>
              <w:t xml:space="preserve">This field contains the ID of an SCell group for Dormancy within active time, to which this SCell belongs. The use of the Dormancy within active time </w:t>
            </w:r>
            <w:r w:rsidR="00654402" w:rsidRPr="00FA0D37">
              <w:rPr>
                <w:bCs/>
                <w:iCs/>
                <w:szCs w:val="22"/>
                <w:lang w:eastAsia="sv-SE"/>
              </w:rPr>
              <w:t xml:space="preserve">for </w:t>
            </w:r>
            <w:r w:rsidRPr="00FA0D37">
              <w:rPr>
                <w:bCs/>
                <w:iCs/>
                <w:szCs w:val="22"/>
                <w:lang w:eastAsia="sv-SE"/>
              </w:rPr>
              <w:t>SCell groups is specified in TS 38.213 [13].</w:t>
            </w:r>
          </w:p>
        </w:tc>
      </w:tr>
      <w:tr w:rsidR="005C7FF4" w:rsidRPr="00FA0D37"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FA0D37" w:rsidRDefault="00394471" w:rsidP="00964CC4">
            <w:pPr>
              <w:pStyle w:val="TAL"/>
              <w:rPr>
                <w:b/>
                <w:i/>
                <w:szCs w:val="22"/>
                <w:lang w:eastAsia="sv-SE"/>
              </w:rPr>
            </w:pPr>
            <w:r w:rsidRPr="00FA0D37">
              <w:rPr>
                <w:b/>
                <w:i/>
                <w:szCs w:val="22"/>
                <w:lang w:eastAsia="sv-SE"/>
              </w:rPr>
              <w:t>dormancyGroupOutsideActiveTime</w:t>
            </w:r>
          </w:p>
          <w:p w14:paraId="68B26781" w14:textId="29A5218C" w:rsidR="00394471" w:rsidRPr="00FA0D37" w:rsidRDefault="00394471" w:rsidP="00964CC4">
            <w:pPr>
              <w:pStyle w:val="TAL"/>
              <w:rPr>
                <w:b/>
                <w:i/>
                <w:szCs w:val="22"/>
                <w:lang w:eastAsia="sv-SE"/>
              </w:rPr>
            </w:pPr>
            <w:r w:rsidRPr="00FA0D37">
              <w:rPr>
                <w:bCs/>
                <w:iCs/>
                <w:szCs w:val="22"/>
                <w:lang w:eastAsia="sv-SE"/>
              </w:rPr>
              <w:t xml:space="preserve">This field contains the ID of an SCell group for Dormancy outside active time, to which this SCell belongs. The use of the Dormancy outside active time </w:t>
            </w:r>
            <w:r w:rsidR="00654402" w:rsidRPr="00FA0D37">
              <w:rPr>
                <w:bCs/>
                <w:iCs/>
                <w:szCs w:val="22"/>
                <w:lang w:eastAsia="sv-SE"/>
              </w:rPr>
              <w:t xml:space="preserve">for </w:t>
            </w:r>
            <w:r w:rsidRPr="00FA0D37">
              <w:rPr>
                <w:bCs/>
                <w:iCs/>
                <w:szCs w:val="22"/>
                <w:lang w:eastAsia="sv-SE"/>
              </w:rPr>
              <w:t>SCell groups is specified in TS 38.213 [13].</w:t>
            </w:r>
          </w:p>
        </w:tc>
      </w:tr>
      <w:tr w:rsidR="005C7FF4" w:rsidRPr="00FA0D37"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FA0D37" w:rsidRDefault="00394471" w:rsidP="00964CC4">
            <w:pPr>
              <w:pStyle w:val="TAL"/>
              <w:rPr>
                <w:b/>
                <w:i/>
                <w:szCs w:val="22"/>
                <w:lang w:eastAsia="sv-SE"/>
              </w:rPr>
            </w:pPr>
            <w:r w:rsidRPr="00FA0D37">
              <w:rPr>
                <w:b/>
                <w:i/>
                <w:szCs w:val="22"/>
                <w:lang w:eastAsia="sv-SE"/>
              </w:rPr>
              <w:t>dormantBWP-Id</w:t>
            </w:r>
          </w:p>
          <w:p w14:paraId="65AD5CC4" w14:textId="77777777" w:rsidR="00394471" w:rsidRPr="00FA0D37" w:rsidRDefault="00394471" w:rsidP="00964CC4">
            <w:pPr>
              <w:pStyle w:val="TAL"/>
              <w:rPr>
                <w:b/>
                <w:i/>
                <w:szCs w:val="22"/>
                <w:lang w:eastAsia="sv-SE"/>
              </w:rPr>
            </w:pPr>
            <w:r w:rsidRPr="00FA0D37">
              <w:rPr>
                <w:bCs/>
                <w:iCs/>
                <w:szCs w:val="22"/>
                <w:lang w:eastAsia="sv-SE"/>
              </w:rPr>
              <w:t xml:space="preserve">This field contains the ID of the downlink bandwidth part to be used as dormant BWP. </w:t>
            </w:r>
            <w:r w:rsidRPr="00FA0D37">
              <w:rPr>
                <w:bCs/>
                <w:iCs/>
                <w:szCs w:val="22"/>
                <w:lang w:eastAsia="zh-CN"/>
              </w:rPr>
              <w:t xml:space="preserve">If this field is configured, its value is different from </w:t>
            </w:r>
            <w:r w:rsidRPr="00FA0D37">
              <w:rPr>
                <w:bCs/>
                <w:i/>
                <w:szCs w:val="22"/>
                <w:lang w:eastAsia="zh-CN"/>
              </w:rPr>
              <w:t>defaultDownlinkBWP-Id</w:t>
            </w:r>
            <w:r w:rsidRPr="00FA0D37">
              <w:rPr>
                <w:bCs/>
                <w:iCs/>
                <w:szCs w:val="22"/>
                <w:lang w:eastAsia="zh-CN"/>
              </w:rPr>
              <w:t xml:space="preserve">, and at least one of the </w:t>
            </w:r>
            <w:r w:rsidRPr="00FA0D37">
              <w:rPr>
                <w:bCs/>
                <w:i/>
                <w:iCs/>
                <w:szCs w:val="22"/>
                <w:lang w:eastAsia="zh-CN"/>
              </w:rPr>
              <w:t>withinActiveTimeConfig</w:t>
            </w:r>
            <w:r w:rsidRPr="00FA0D37">
              <w:rPr>
                <w:bCs/>
                <w:iCs/>
                <w:szCs w:val="22"/>
                <w:lang w:eastAsia="zh-CN"/>
              </w:rPr>
              <w:t xml:space="preserve"> and </w:t>
            </w:r>
            <w:r w:rsidRPr="00FA0D37">
              <w:rPr>
                <w:bCs/>
                <w:i/>
                <w:iCs/>
                <w:szCs w:val="22"/>
                <w:lang w:eastAsia="zh-CN"/>
              </w:rPr>
              <w:t>outsideActiveTimeConfig</w:t>
            </w:r>
            <w:r w:rsidRPr="00FA0D37">
              <w:rPr>
                <w:bCs/>
                <w:iCs/>
                <w:szCs w:val="22"/>
                <w:lang w:eastAsia="zh-CN"/>
              </w:rPr>
              <w:t xml:space="preserve"> should be configured.</w:t>
            </w:r>
          </w:p>
        </w:tc>
      </w:tr>
      <w:tr w:rsidR="005C7FF4" w:rsidRPr="00FA0D37"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FA0D37" w:rsidRDefault="00394471" w:rsidP="00964CC4">
            <w:pPr>
              <w:pStyle w:val="TAL"/>
              <w:rPr>
                <w:b/>
                <w:i/>
                <w:szCs w:val="22"/>
                <w:lang w:eastAsia="sv-SE"/>
              </w:rPr>
            </w:pPr>
            <w:r w:rsidRPr="00FA0D37">
              <w:rPr>
                <w:b/>
                <w:i/>
                <w:szCs w:val="22"/>
                <w:lang w:eastAsia="sv-SE"/>
              </w:rPr>
              <w:t>firstOutsideActiveTimeBWP-Id</w:t>
            </w:r>
          </w:p>
          <w:p w14:paraId="07DD3834" w14:textId="77777777" w:rsidR="00394471" w:rsidRPr="00FA0D37" w:rsidRDefault="00394471" w:rsidP="00964CC4">
            <w:pPr>
              <w:pStyle w:val="TAL"/>
              <w:rPr>
                <w:szCs w:val="22"/>
                <w:lang w:eastAsia="sv-SE"/>
              </w:rPr>
            </w:pPr>
            <w:r w:rsidRPr="00FA0D37">
              <w:rPr>
                <w:bCs/>
                <w:iCs/>
                <w:szCs w:val="22"/>
                <w:lang w:eastAsia="sv-SE"/>
              </w:rPr>
              <w:t>This field contains the ID of the downlink bandwidth part to be activated when receiving a DCI indication for SCell dormancy outside active time.</w:t>
            </w:r>
          </w:p>
        </w:tc>
      </w:tr>
      <w:tr w:rsidR="005C7FF4" w:rsidRPr="00FA0D37"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FA0D37" w:rsidRDefault="00394471" w:rsidP="00964CC4">
            <w:pPr>
              <w:pStyle w:val="TAL"/>
              <w:rPr>
                <w:b/>
                <w:i/>
                <w:szCs w:val="22"/>
                <w:lang w:eastAsia="sv-SE"/>
              </w:rPr>
            </w:pPr>
            <w:r w:rsidRPr="00FA0D37">
              <w:rPr>
                <w:b/>
                <w:i/>
                <w:szCs w:val="22"/>
                <w:lang w:eastAsia="sv-SE"/>
              </w:rPr>
              <w:t>firstWithinActiveTimeBWP-Id</w:t>
            </w:r>
          </w:p>
          <w:p w14:paraId="0F49F712" w14:textId="77777777" w:rsidR="00394471" w:rsidRPr="00FA0D37" w:rsidRDefault="00394471" w:rsidP="00964CC4">
            <w:pPr>
              <w:pStyle w:val="TAL"/>
              <w:rPr>
                <w:szCs w:val="22"/>
                <w:lang w:eastAsia="sv-SE"/>
              </w:rPr>
            </w:pPr>
            <w:r w:rsidRPr="00FA0D37">
              <w:rPr>
                <w:bCs/>
                <w:iCs/>
                <w:szCs w:val="22"/>
                <w:lang w:eastAsia="sv-SE"/>
              </w:rPr>
              <w:t>This field contains the ID of the downlink bandwidth part to be activated when receiving a DCI indication for SCell dormancy within active time.</w:t>
            </w:r>
          </w:p>
        </w:tc>
      </w:tr>
      <w:tr w:rsidR="005C7FF4" w:rsidRPr="00FA0D37"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FA0D37" w:rsidRDefault="00394471" w:rsidP="00964CC4">
            <w:pPr>
              <w:pStyle w:val="TAL"/>
              <w:rPr>
                <w:b/>
                <w:i/>
                <w:szCs w:val="22"/>
                <w:lang w:eastAsia="sv-SE"/>
              </w:rPr>
            </w:pPr>
            <w:r w:rsidRPr="00FA0D37">
              <w:rPr>
                <w:b/>
                <w:i/>
                <w:szCs w:val="22"/>
                <w:lang w:eastAsia="sv-SE"/>
              </w:rPr>
              <w:t>outsideActiveTimeConfig</w:t>
            </w:r>
          </w:p>
          <w:p w14:paraId="7A2D9DEA" w14:textId="77777777" w:rsidR="00394471" w:rsidRPr="00FA0D37" w:rsidRDefault="00394471" w:rsidP="00964CC4">
            <w:pPr>
              <w:pStyle w:val="TAL"/>
              <w:rPr>
                <w:b/>
                <w:i/>
                <w:szCs w:val="22"/>
                <w:lang w:eastAsia="sv-SE"/>
              </w:rPr>
            </w:pPr>
            <w:r w:rsidRPr="00FA0D37">
              <w:rPr>
                <w:bCs/>
                <w:iCs/>
                <w:szCs w:val="22"/>
                <w:lang w:eastAsia="sv-SE"/>
              </w:rPr>
              <w:t xml:space="preserve">This field contains the configuration to be used for SCell dormancy outside active time, as specified in TS 38.213 [13]. </w:t>
            </w:r>
            <w:r w:rsidRPr="00FA0D37">
              <w:rPr>
                <w:iCs/>
                <w:szCs w:val="22"/>
                <w:lang w:eastAsia="sv-SE"/>
              </w:rPr>
              <w:t xml:space="preserve">The field can only be configured when the cell group the SCell belongs to is configured with </w:t>
            </w:r>
            <w:r w:rsidRPr="00FA0D37">
              <w:rPr>
                <w:i/>
                <w:szCs w:val="22"/>
                <w:lang w:eastAsia="sv-SE"/>
              </w:rPr>
              <w:t>dcp-Config</w:t>
            </w:r>
            <w:r w:rsidRPr="00FA0D37">
              <w:rPr>
                <w:iCs/>
                <w:szCs w:val="22"/>
                <w:lang w:eastAsia="sv-SE"/>
              </w:rPr>
              <w:t>.</w:t>
            </w:r>
          </w:p>
        </w:tc>
      </w:tr>
      <w:tr w:rsidR="00394471" w:rsidRPr="00FA0D37"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FA0D37" w:rsidRDefault="00394471" w:rsidP="00964CC4">
            <w:pPr>
              <w:pStyle w:val="TAL"/>
              <w:rPr>
                <w:b/>
                <w:i/>
                <w:szCs w:val="22"/>
                <w:lang w:eastAsia="sv-SE"/>
              </w:rPr>
            </w:pPr>
            <w:r w:rsidRPr="00FA0D37">
              <w:rPr>
                <w:b/>
                <w:i/>
                <w:szCs w:val="22"/>
                <w:lang w:eastAsia="sv-SE"/>
              </w:rPr>
              <w:t>withinActiveTimeConfig</w:t>
            </w:r>
          </w:p>
          <w:p w14:paraId="1F0C5E7E" w14:textId="77777777" w:rsidR="00394471" w:rsidRPr="00FA0D37" w:rsidRDefault="00394471" w:rsidP="00964CC4">
            <w:pPr>
              <w:pStyle w:val="TAL"/>
              <w:rPr>
                <w:b/>
                <w:i/>
                <w:szCs w:val="22"/>
                <w:lang w:eastAsia="sv-SE"/>
              </w:rPr>
            </w:pPr>
            <w:r w:rsidRPr="00FA0D37">
              <w:rPr>
                <w:bCs/>
                <w:iCs/>
                <w:szCs w:val="22"/>
                <w:lang w:eastAsia="sv-SE"/>
              </w:rPr>
              <w:t xml:space="preserve">This field contains the configuration to be used for SCell dormancy within active time, as specified in TS 38.213 [13]. </w:t>
            </w:r>
          </w:p>
        </w:tc>
      </w:tr>
    </w:tbl>
    <w:p w14:paraId="4AFA0A3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FA0D37" w:rsidRDefault="00394471" w:rsidP="00964CC4">
            <w:pPr>
              <w:pStyle w:val="TAH"/>
              <w:rPr>
                <w:szCs w:val="22"/>
                <w:lang w:eastAsia="sv-SE"/>
              </w:rPr>
            </w:pPr>
            <w:r w:rsidRPr="00FA0D37">
              <w:rPr>
                <w:i/>
                <w:szCs w:val="22"/>
                <w:lang w:eastAsia="sv-SE"/>
              </w:rPr>
              <w:t xml:space="preserve">GuardBand </w:t>
            </w:r>
            <w:r w:rsidRPr="00FA0D37">
              <w:rPr>
                <w:szCs w:val="22"/>
                <w:lang w:eastAsia="sv-SE"/>
              </w:rPr>
              <w:t>field descriptions</w:t>
            </w:r>
          </w:p>
        </w:tc>
      </w:tr>
      <w:tr w:rsidR="005C7FF4" w:rsidRPr="00FA0D37"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FA0D37" w:rsidRDefault="00394471" w:rsidP="00964CC4">
            <w:pPr>
              <w:pStyle w:val="TAL"/>
              <w:rPr>
                <w:b/>
                <w:i/>
                <w:szCs w:val="22"/>
                <w:lang w:eastAsia="sv-SE"/>
              </w:rPr>
            </w:pPr>
            <w:r w:rsidRPr="00FA0D37">
              <w:rPr>
                <w:b/>
                <w:i/>
                <w:szCs w:val="22"/>
                <w:lang w:eastAsia="sv-SE"/>
              </w:rPr>
              <w:t>startCRB</w:t>
            </w:r>
          </w:p>
          <w:p w14:paraId="41A6C327" w14:textId="77777777" w:rsidR="00394471" w:rsidRPr="00FA0D37" w:rsidRDefault="00394471" w:rsidP="00964CC4">
            <w:pPr>
              <w:pStyle w:val="TAL"/>
              <w:rPr>
                <w:b/>
                <w:i/>
                <w:szCs w:val="22"/>
                <w:lang w:eastAsia="sv-SE"/>
              </w:rPr>
            </w:pPr>
            <w:r w:rsidRPr="00FA0D37">
              <w:t>Indicates the starting RB of the guard band.</w:t>
            </w:r>
          </w:p>
        </w:tc>
      </w:tr>
      <w:tr w:rsidR="00394471" w:rsidRPr="00FA0D37"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FA0D37" w:rsidRDefault="00394471" w:rsidP="00964CC4">
            <w:pPr>
              <w:pStyle w:val="TAL"/>
              <w:rPr>
                <w:b/>
                <w:i/>
                <w:szCs w:val="22"/>
                <w:lang w:eastAsia="sv-SE"/>
              </w:rPr>
            </w:pPr>
            <w:r w:rsidRPr="00FA0D37">
              <w:rPr>
                <w:b/>
                <w:i/>
                <w:szCs w:val="22"/>
                <w:lang w:eastAsia="sv-SE"/>
              </w:rPr>
              <w:t>nrofCRB</w:t>
            </w:r>
          </w:p>
          <w:p w14:paraId="77F4AD2F" w14:textId="77777777" w:rsidR="00394471" w:rsidRPr="00FA0D37" w:rsidRDefault="00394471" w:rsidP="00964CC4">
            <w:pPr>
              <w:pStyle w:val="TAL"/>
              <w:rPr>
                <w:b/>
                <w:i/>
                <w:szCs w:val="22"/>
                <w:lang w:eastAsia="sv-SE"/>
              </w:rPr>
            </w:pPr>
            <w:r w:rsidRPr="00FA0D37">
              <w:t>Indicates the length of the guard band in RBs. When set to 0, zero-size guard band is used.</w:t>
            </w:r>
          </w:p>
        </w:tc>
      </w:tr>
    </w:tbl>
    <w:p w14:paraId="4CCCC2BF" w14:textId="77777777" w:rsidR="00763FBA" w:rsidRPr="00FA0D37" w:rsidRDefault="00763FBA" w:rsidP="00394471"/>
    <w:p w14:paraId="1931C91B" w14:textId="77777777" w:rsidR="00394471" w:rsidRPr="00FA0D37" w:rsidRDefault="00394471" w:rsidP="00394471">
      <w:pPr>
        <w:pStyle w:val="NO"/>
        <w:rPr>
          <w:rFonts w:eastAsia="宋体"/>
        </w:rPr>
      </w:pPr>
      <w:r w:rsidRPr="00FA0D37">
        <w:rPr>
          <w:rFonts w:eastAsia="宋体"/>
        </w:rPr>
        <w:lastRenderedPageBreak/>
        <w:t>NOTE 1:</w:t>
      </w:r>
      <w:r w:rsidRPr="00FA0D37">
        <w:rPr>
          <w:rFonts w:eastAsia="宋体"/>
        </w:rPr>
        <w:tab/>
        <w:t xml:space="preserve">If the dedicated part of initial UL/DL BWP configuration is absent, the initial BWP can be used but with some limitations. For example, changing to another BWP requires </w:t>
      </w:r>
      <w:r w:rsidRPr="00FA0D37">
        <w:rPr>
          <w:rFonts w:eastAsia="宋体"/>
          <w:i/>
        </w:rPr>
        <w:t>RRCReconfiguration</w:t>
      </w:r>
      <w:r w:rsidRPr="00FA0D37">
        <w:rPr>
          <w:rFonts w:eastAsia="宋体"/>
        </w:rPr>
        <w:t xml:space="preserve"> since DCI format 1_0 doesn't support DCI-based switching.</w:t>
      </w:r>
    </w:p>
    <w:p w14:paraId="25FCD89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FA0D37" w:rsidRDefault="00394471" w:rsidP="00964CC4">
            <w:pPr>
              <w:pStyle w:val="TAH"/>
              <w:rPr>
                <w:lang w:eastAsia="sv-SE"/>
              </w:rPr>
            </w:pPr>
            <w:r w:rsidRPr="00FA0D37">
              <w:rPr>
                <w:lang w:eastAsia="sv-SE"/>
              </w:rPr>
              <w:t>Explanation</w:t>
            </w:r>
          </w:p>
        </w:tc>
      </w:tr>
      <w:tr w:rsidR="005C7FF4" w:rsidRPr="00FA0D37"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FA0D37" w:rsidRDefault="00394471" w:rsidP="00964CC4">
            <w:pPr>
              <w:pStyle w:val="TAL"/>
              <w:rPr>
                <w:i/>
                <w:lang w:eastAsia="sv-SE"/>
              </w:rPr>
            </w:pPr>
            <w:r w:rsidRPr="00FA0D37">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FA0D37" w:rsidRDefault="00394471" w:rsidP="00964CC4">
            <w:pPr>
              <w:pStyle w:val="TAL"/>
              <w:rPr>
                <w:lang w:eastAsia="sv-SE"/>
              </w:rPr>
            </w:pPr>
            <w:r w:rsidRPr="00FA0D37">
              <w:rPr>
                <w:lang w:eastAsia="sv-SE"/>
              </w:rPr>
              <w:t>This field is mandatory present for SCells whose slot offset between the SpCell is not 0. Otherwise it is absent, Need S.</w:t>
            </w:r>
          </w:p>
        </w:tc>
      </w:tr>
      <w:tr w:rsidR="005C7FF4" w:rsidRPr="00FA0D37"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FA0D37" w:rsidRDefault="00394471" w:rsidP="00964CC4">
            <w:pPr>
              <w:pStyle w:val="TAL"/>
              <w:rPr>
                <w:i/>
                <w:lang w:eastAsia="sv-SE"/>
              </w:rPr>
            </w:pPr>
            <w:r w:rsidRPr="00FA0D37">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32EC9D5E" w:rsidR="00394471" w:rsidRPr="00FA0D37" w:rsidRDefault="00394471" w:rsidP="00964CC4">
            <w:pPr>
              <w:pStyle w:val="TAL"/>
              <w:rPr>
                <w:lang w:eastAsia="sv-SE"/>
              </w:rPr>
            </w:pPr>
            <w:r w:rsidRPr="00FA0D37">
              <w:rPr>
                <w:lang w:eastAsia="sv-SE"/>
              </w:rPr>
              <w:t xml:space="preserve">This field is mandatory present for the SpCell if the UE has a </w:t>
            </w:r>
            <w:r w:rsidRPr="00FA0D37">
              <w:rPr>
                <w:i/>
                <w:lang w:eastAsia="sv-SE"/>
              </w:rPr>
              <w:t>measConfig</w:t>
            </w:r>
            <w:r w:rsidRPr="00FA0D37">
              <w:rPr>
                <w:lang w:eastAsia="sv-SE"/>
              </w:rPr>
              <w:t>, and it is optionally present, Need M, for SCells</w:t>
            </w:r>
            <w:r w:rsidR="004A5E25" w:rsidRPr="00FA0D37">
              <w:rPr>
                <w:lang w:eastAsia="sv-SE"/>
              </w:rPr>
              <w:t>.</w:t>
            </w:r>
            <w:r w:rsidR="003F4345" w:rsidRPr="00FA0D37">
              <w:rPr>
                <w:lang w:eastAsia="sv-SE"/>
              </w:rPr>
              <w:t xml:space="preserve"> </w:t>
            </w:r>
            <w:r w:rsidR="004A5E25" w:rsidRPr="00FA0D37">
              <w:rPr>
                <w:lang w:eastAsia="sv-SE"/>
              </w:rPr>
              <w:t>For RedCap UEs, this field is optionally present, Need M</w:t>
            </w:r>
            <w:r w:rsidRPr="00FA0D37">
              <w:rPr>
                <w:lang w:eastAsia="sv-SE"/>
              </w:rPr>
              <w:t>.</w:t>
            </w:r>
          </w:p>
        </w:tc>
      </w:tr>
      <w:tr w:rsidR="005C7FF4" w:rsidRPr="00FA0D37"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FA0D37" w:rsidRDefault="00394471" w:rsidP="00964CC4">
            <w:pPr>
              <w:pStyle w:val="TAL"/>
              <w:rPr>
                <w:i/>
                <w:lang w:eastAsia="sv-SE"/>
              </w:rPr>
            </w:pPr>
            <w:r w:rsidRPr="00FA0D37">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FA0D37" w:rsidRDefault="00394471" w:rsidP="00964CC4">
            <w:pPr>
              <w:pStyle w:val="TAL"/>
              <w:rPr>
                <w:lang w:eastAsia="sv-SE"/>
              </w:rPr>
            </w:pPr>
            <w:r w:rsidRPr="00FA0D37">
              <w:rPr>
                <w:lang w:eastAsia="sv-SE"/>
              </w:rPr>
              <w:t xml:space="preserve">This field is optionally present, Need R, for SCells. It is absent otherwise. </w:t>
            </w:r>
          </w:p>
        </w:tc>
      </w:tr>
      <w:tr w:rsidR="005C7FF4" w:rsidRPr="00FA0D37"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FA0D37" w:rsidRDefault="00394471" w:rsidP="00964CC4">
            <w:pPr>
              <w:pStyle w:val="TAL"/>
              <w:rPr>
                <w:i/>
                <w:lang w:eastAsia="sv-SE"/>
              </w:rPr>
            </w:pPr>
            <w:r w:rsidRPr="00FA0D37">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FA0D37" w:rsidRDefault="00394471" w:rsidP="00964CC4">
            <w:pPr>
              <w:pStyle w:val="TAL"/>
              <w:rPr>
                <w:lang w:eastAsia="sv-SE"/>
              </w:rPr>
            </w:pPr>
            <w:r w:rsidRPr="00FA0D37">
              <w:rPr>
                <w:lang w:eastAsia="sv-SE"/>
              </w:rPr>
              <w:t>This field is optionally present, Need S, for SCells except PUCCH SCells. It is absent otherwise.</w:t>
            </w:r>
          </w:p>
        </w:tc>
      </w:tr>
      <w:tr w:rsidR="005C7FF4" w:rsidRPr="00FA0D37"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FA0D37" w:rsidRDefault="00394471" w:rsidP="00964CC4">
            <w:pPr>
              <w:pStyle w:val="TAL"/>
              <w:rPr>
                <w:i/>
                <w:lang w:eastAsia="sv-SE"/>
              </w:rPr>
            </w:pPr>
            <w:r w:rsidRPr="00FA0D37">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FA0D37" w:rsidRDefault="00394471" w:rsidP="00964CC4">
            <w:pPr>
              <w:pStyle w:val="TAL"/>
              <w:rPr>
                <w:lang w:eastAsia="sv-SE"/>
              </w:rPr>
            </w:pPr>
            <w:r w:rsidRPr="00FA0D37">
              <w:rPr>
                <w:lang w:eastAsia="sv-SE"/>
              </w:rPr>
              <w:t xml:space="preserve">This field is mandatory present for a SpCell upon </w:t>
            </w:r>
            <w:r w:rsidR="00A10112" w:rsidRPr="00FA0D37">
              <w:rPr>
                <w:lang w:eastAsia="sv-SE"/>
              </w:rPr>
              <w:t xml:space="preserve">reconfiguration with </w:t>
            </w:r>
            <w:r w:rsidR="00A10112" w:rsidRPr="00FA0D37">
              <w:rPr>
                <w:i/>
                <w:lang w:eastAsia="sv-SE"/>
              </w:rPr>
              <w:t>reconfigurationWithSync</w:t>
            </w:r>
            <w:r w:rsidR="00A10112" w:rsidRPr="00FA0D37">
              <w:rPr>
                <w:lang w:eastAsia="sv-SE"/>
              </w:rPr>
              <w:t xml:space="preserve"> </w:t>
            </w:r>
            <w:r w:rsidRPr="00FA0D37">
              <w:rPr>
                <w:lang w:eastAsia="sv-SE"/>
              </w:rPr>
              <w:t xml:space="preserve">and upon </w:t>
            </w:r>
            <w:r w:rsidRPr="00FA0D37">
              <w:rPr>
                <w:i/>
                <w:lang w:eastAsia="sv-SE"/>
              </w:rPr>
              <w:t>RRCSetup</w:t>
            </w:r>
            <w:r w:rsidRPr="00FA0D37">
              <w:rPr>
                <w:lang w:eastAsia="sv-SE"/>
              </w:rPr>
              <w:t>/</w:t>
            </w:r>
            <w:r w:rsidRPr="00FA0D37">
              <w:rPr>
                <w:i/>
                <w:lang w:eastAsia="sv-SE"/>
              </w:rPr>
              <w:t>RRCResume</w:t>
            </w:r>
            <w:r w:rsidRPr="00FA0D37">
              <w:rPr>
                <w:lang w:eastAsia="sv-SE"/>
              </w:rPr>
              <w:t>.</w:t>
            </w:r>
          </w:p>
          <w:p w14:paraId="043DE767" w14:textId="48F77657" w:rsidR="00394471" w:rsidRPr="00FA0D37" w:rsidRDefault="00A10112" w:rsidP="00964CC4">
            <w:pPr>
              <w:pStyle w:val="TAL"/>
              <w:rPr>
                <w:lang w:eastAsia="sv-SE"/>
              </w:rPr>
            </w:pPr>
            <w:r w:rsidRPr="00FA0D37">
              <w:rPr>
                <w:lang w:eastAsia="sv-SE"/>
              </w:rPr>
              <w:t>T</w:t>
            </w:r>
            <w:r w:rsidR="00394471" w:rsidRPr="00FA0D37">
              <w:rPr>
                <w:lang w:eastAsia="sv-SE"/>
              </w:rPr>
              <w:t>he field is optionally present</w:t>
            </w:r>
            <w:r w:rsidRPr="00FA0D37">
              <w:rPr>
                <w:lang w:eastAsia="sv-SE"/>
              </w:rPr>
              <w:t xml:space="preserve"> for a</w:t>
            </w:r>
            <w:r w:rsidR="004D34F2" w:rsidRPr="00FA0D37">
              <w:rPr>
                <w:lang w:eastAsia="sv-SE"/>
              </w:rPr>
              <w:t>n</w:t>
            </w:r>
            <w:r w:rsidRPr="00FA0D37">
              <w:rPr>
                <w:lang w:eastAsia="sv-SE"/>
              </w:rPr>
              <w:t xml:space="preserve"> SpCell</w:t>
            </w:r>
            <w:r w:rsidR="00394471" w:rsidRPr="00FA0D37">
              <w:rPr>
                <w:lang w:eastAsia="sv-SE"/>
              </w:rPr>
              <w:t xml:space="preserve">, Need N, upon reconfiguration without </w:t>
            </w:r>
            <w:r w:rsidR="00394471" w:rsidRPr="00FA0D37">
              <w:rPr>
                <w:i/>
                <w:lang w:eastAsia="sv-SE"/>
              </w:rPr>
              <w:t>reconfigurationWithSync</w:t>
            </w:r>
            <w:r w:rsidR="00394471" w:rsidRPr="00FA0D37">
              <w:rPr>
                <w:lang w:eastAsia="sv-SE"/>
              </w:rPr>
              <w:t>.</w:t>
            </w:r>
          </w:p>
          <w:p w14:paraId="55E310F7" w14:textId="5883D2D4" w:rsidR="00394471" w:rsidRPr="00FA0D37" w:rsidRDefault="00A10112" w:rsidP="00A10112">
            <w:pPr>
              <w:pStyle w:val="TAL"/>
              <w:rPr>
                <w:rFonts w:cs="Arial"/>
              </w:rPr>
            </w:pPr>
            <w:r w:rsidRPr="00FA0D37">
              <w:rPr>
                <w:rFonts w:cs="Arial"/>
              </w:rPr>
              <w:t>The field is mandatory present for an SCell upon addition, and absent for SCell in other cases, Need M.</w:t>
            </w:r>
          </w:p>
        </w:tc>
      </w:tr>
      <w:tr w:rsidR="005C7FF4" w:rsidRPr="00FA0D37"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FA0D37" w:rsidRDefault="00DB6B82" w:rsidP="00771058">
            <w:pPr>
              <w:pStyle w:val="TAL"/>
              <w:rPr>
                <w:i/>
                <w:lang w:eastAsia="sv-SE"/>
              </w:rPr>
            </w:pPr>
            <w:r w:rsidRPr="00FA0D37">
              <w:rPr>
                <w:i/>
                <w:lang w:eastAsia="sv-SE"/>
              </w:rPr>
              <w:t>TCI_</w:t>
            </w:r>
            <w:r w:rsidR="0005240D" w:rsidRPr="00FA0D37">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FA0D37" w:rsidRDefault="00DB6B82" w:rsidP="00771058">
            <w:pPr>
              <w:pStyle w:val="TAL"/>
              <w:rPr>
                <w:lang w:eastAsia="sv-SE"/>
              </w:rPr>
            </w:pPr>
            <w:r w:rsidRPr="00FA0D37">
              <w:rPr>
                <w:lang w:eastAsia="sv-SE"/>
              </w:rPr>
              <w:t xml:space="preserve">This field is optional Need N for SCells if </w:t>
            </w:r>
            <w:r w:rsidRPr="00FA0D37">
              <w:rPr>
                <w:i/>
                <w:lang w:eastAsia="sv-SE"/>
              </w:rPr>
              <w:t>sCellState</w:t>
            </w:r>
            <w:r w:rsidRPr="00FA0D37">
              <w:rPr>
                <w:lang w:eastAsia="sv-SE"/>
              </w:rPr>
              <w:t xml:space="preserve"> is configured, otherwise it is absent.</w:t>
            </w:r>
          </w:p>
          <w:p w14:paraId="7CCA1CB7" w14:textId="77777777" w:rsidR="00DB6B82" w:rsidRPr="00FA0D37" w:rsidRDefault="00DB6B82" w:rsidP="00771058">
            <w:pPr>
              <w:pStyle w:val="TAL"/>
              <w:rPr>
                <w:lang w:eastAsia="sv-SE"/>
              </w:rPr>
            </w:pPr>
            <w:r w:rsidRPr="00FA0D37">
              <w:rPr>
                <w:lang w:eastAsia="sv-SE"/>
              </w:rPr>
              <w:t>This field is optional Need S for the PSCell when the SCG is indicated as deactivated or is being activated, otherwise it is absent.</w:t>
            </w:r>
          </w:p>
          <w:p w14:paraId="70BCA2A5" w14:textId="77777777" w:rsidR="00DB6B82" w:rsidRPr="00FA0D37" w:rsidRDefault="00DB6B82" w:rsidP="00771058">
            <w:pPr>
              <w:pStyle w:val="TAL"/>
              <w:rPr>
                <w:lang w:eastAsia="sv-SE"/>
              </w:rPr>
            </w:pPr>
            <w:r w:rsidRPr="00FA0D37">
              <w:rPr>
                <w:lang w:eastAsia="sv-SE"/>
              </w:rPr>
              <w:t>This field is absent for the PCell.</w:t>
            </w:r>
          </w:p>
        </w:tc>
      </w:tr>
      <w:tr w:rsidR="005C7FF4" w:rsidRPr="00FA0D37"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FA0D37" w:rsidRDefault="00394471" w:rsidP="00964CC4">
            <w:pPr>
              <w:pStyle w:val="TAL"/>
              <w:rPr>
                <w:i/>
                <w:lang w:eastAsia="sv-SE"/>
              </w:rPr>
            </w:pPr>
            <w:r w:rsidRPr="00FA0D37">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FA0D37" w:rsidRDefault="00394471" w:rsidP="00964CC4">
            <w:pPr>
              <w:pStyle w:val="TAL"/>
              <w:rPr>
                <w:lang w:eastAsia="sv-SE"/>
              </w:rPr>
            </w:pPr>
            <w:r w:rsidRPr="00FA0D37">
              <w:rPr>
                <w:lang w:eastAsia="sv-SE"/>
              </w:rPr>
              <w:t>This field is optionally present, Need R, for TDD cells. It is absent otherwise.</w:t>
            </w:r>
          </w:p>
        </w:tc>
      </w:tr>
      <w:tr w:rsidR="00394471" w:rsidRPr="00FA0D37"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FA0D37" w:rsidRDefault="00394471" w:rsidP="00964CC4">
            <w:pPr>
              <w:pStyle w:val="TAL"/>
              <w:rPr>
                <w:i/>
                <w:lang w:eastAsia="zh-CN"/>
              </w:rPr>
            </w:pPr>
            <w:r w:rsidRPr="00FA0D37">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FA0D37" w:rsidRDefault="00394471" w:rsidP="00964CC4">
            <w:pPr>
              <w:pStyle w:val="TAL"/>
              <w:rPr>
                <w:lang w:eastAsia="zh-CN"/>
              </w:rPr>
            </w:pPr>
            <w:r w:rsidRPr="00FA0D37">
              <w:rPr>
                <w:lang w:eastAsia="zh-CN"/>
              </w:rPr>
              <w:t>For IAB-MT, this field is optionally present, Need R, for TDD cells. It is absent otherwise.</w:t>
            </w:r>
          </w:p>
        </w:tc>
      </w:tr>
    </w:tbl>
    <w:p w14:paraId="6EEFCD6F" w14:textId="77777777" w:rsidR="00394471" w:rsidRPr="00FA0D37" w:rsidRDefault="00394471" w:rsidP="00394471"/>
    <w:p w14:paraId="00A91144" w14:textId="77777777" w:rsidR="00394471" w:rsidRPr="00FA0D37" w:rsidRDefault="00394471" w:rsidP="00394471">
      <w:pPr>
        <w:pStyle w:val="4"/>
      </w:pPr>
      <w:bookmarkStart w:id="1387" w:name="_Toc60777380"/>
      <w:bookmarkStart w:id="1388" w:name="_Toc146781466"/>
      <w:r w:rsidRPr="00FA0D37">
        <w:t>–</w:t>
      </w:r>
      <w:r w:rsidRPr="00FA0D37">
        <w:tab/>
      </w:r>
      <w:r w:rsidRPr="00FA0D37">
        <w:rPr>
          <w:i/>
        </w:rPr>
        <w:t>ServingCellConfigCommon</w:t>
      </w:r>
      <w:bookmarkEnd w:id="1387"/>
      <w:bookmarkEnd w:id="1388"/>
    </w:p>
    <w:p w14:paraId="71080D94" w14:textId="77777777" w:rsidR="00394471" w:rsidRPr="00FA0D37" w:rsidRDefault="00394471" w:rsidP="00394471">
      <w:r w:rsidRPr="00FA0D37">
        <w:t xml:space="preserve">The IE </w:t>
      </w:r>
      <w:r w:rsidRPr="00FA0D37">
        <w:rPr>
          <w:i/>
        </w:rPr>
        <w:t xml:space="preserve">ServingCellConfigCommon </w:t>
      </w:r>
      <w:r w:rsidRPr="00FA0D37">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FA0D37" w:rsidRDefault="00394471" w:rsidP="00394471">
      <w:pPr>
        <w:pStyle w:val="TH"/>
      </w:pPr>
      <w:r w:rsidRPr="00FA0D37">
        <w:rPr>
          <w:bCs/>
          <w:i/>
          <w:iCs/>
        </w:rPr>
        <w:t xml:space="preserve">ServingCellConfigCommon </w:t>
      </w:r>
      <w:r w:rsidRPr="00FA0D37">
        <w:t>information element</w:t>
      </w:r>
    </w:p>
    <w:p w14:paraId="13F730C8" w14:textId="77777777" w:rsidR="00394471" w:rsidRPr="00FA0D37" w:rsidRDefault="00394471" w:rsidP="00FA0D37">
      <w:pPr>
        <w:pStyle w:val="PL"/>
        <w:rPr>
          <w:color w:val="808080"/>
        </w:rPr>
      </w:pPr>
      <w:r w:rsidRPr="00FA0D37">
        <w:rPr>
          <w:color w:val="808080"/>
        </w:rPr>
        <w:t>-- ASN1START</w:t>
      </w:r>
    </w:p>
    <w:p w14:paraId="0D1723DA" w14:textId="77777777" w:rsidR="00394471" w:rsidRPr="00FA0D37" w:rsidRDefault="00394471" w:rsidP="00FA0D37">
      <w:pPr>
        <w:pStyle w:val="PL"/>
        <w:rPr>
          <w:color w:val="808080"/>
        </w:rPr>
      </w:pPr>
      <w:r w:rsidRPr="00FA0D37">
        <w:rPr>
          <w:color w:val="808080"/>
        </w:rPr>
        <w:t>-- TAG-SERVINGCELLCONFIGCOMMON-START</w:t>
      </w:r>
    </w:p>
    <w:p w14:paraId="4BC728B4" w14:textId="77777777" w:rsidR="00394471" w:rsidRPr="00FA0D37" w:rsidRDefault="00394471" w:rsidP="00FA0D37">
      <w:pPr>
        <w:pStyle w:val="PL"/>
      </w:pPr>
    </w:p>
    <w:p w14:paraId="3271584F" w14:textId="77777777" w:rsidR="00394471" w:rsidRPr="00FA0D37" w:rsidRDefault="00394471" w:rsidP="00FA0D37">
      <w:pPr>
        <w:pStyle w:val="PL"/>
      </w:pPr>
      <w:r w:rsidRPr="00FA0D37">
        <w:t xml:space="preserve">ServingCellConfigCommon ::=         </w:t>
      </w:r>
      <w:r w:rsidRPr="00FA0D37">
        <w:rPr>
          <w:color w:val="993366"/>
        </w:rPr>
        <w:t>SEQUENCE</w:t>
      </w:r>
      <w:r w:rsidRPr="00FA0D37">
        <w:t xml:space="preserve"> {</w:t>
      </w:r>
    </w:p>
    <w:p w14:paraId="41559D26" w14:textId="77777777" w:rsidR="00394471" w:rsidRPr="00FA0D37" w:rsidRDefault="00394471" w:rsidP="00FA0D37">
      <w:pPr>
        <w:pStyle w:val="PL"/>
        <w:rPr>
          <w:color w:val="808080"/>
        </w:rPr>
      </w:pPr>
      <w:r w:rsidRPr="00FA0D37">
        <w:t xml:space="preserve">    physCellId                          PhysCellId                                                          </w:t>
      </w:r>
      <w:r w:rsidRPr="00FA0D37">
        <w:rPr>
          <w:color w:val="993366"/>
        </w:rPr>
        <w:t>OPTIONAL</w:t>
      </w:r>
      <w:r w:rsidRPr="00FA0D37">
        <w:t xml:space="preserve">,   </w:t>
      </w:r>
      <w:r w:rsidRPr="00FA0D37">
        <w:rPr>
          <w:color w:val="808080"/>
        </w:rPr>
        <w:t>-- Cond HOAndServCellAdd,</w:t>
      </w:r>
    </w:p>
    <w:p w14:paraId="0C7A9B77" w14:textId="77777777" w:rsidR="00394471" w:rsidRPr="00FA0D37" w:rsidRDefault="00394471" w:rsidP="00FA0D37">
      <w:pPr>
        <w:pStyle w:val="PL"/>
        <w:rPr>
          <w:color w:val="808080"/>
        </w:rPr>
      </w:pPr>
      <w:r w:rsidRPr="00FA0D37">
        <w:t xml:space="preserve">    downlinkConfigCommon                DownlinkConfigCommon                                                </w:t>
      </w:r>
      <w:r w:rsidRPr="00FA0D37">
        <w:rPr>
          <w:color w:val="993366"/>
        </w:rPr>
        <w:t>OPTIONAL</w:t>
      </w:r>
      <w:r w:rsidRPr="00FA0D37">
        <w:t xml:space="preserve">,   </w:t>
      </w:r>
      <w:r w:rsidRPr="00FA0D37">
        <w:rPr>
          <w:color w:val="808080"/>
        </w:rPr>
        <w:t>-- Cond HOAndServCellAdd</w:t>
      </w:r>
    </w:p>
    <w:p w14:paraId="56AAE3D8" w14:textId="77777777" w:rsidR="00394471" w:rsidRPr="00FA0D37" w:rsidRDefault="00394471" w:rsidP="00FA0D37">
      <w:pPr>
        <w:pStyle w:val="PL"/>
        <w:rPr>
          <w:color w:val="808080"/>
        </w:rPr>
      </w:pPr>
      <w:r w:rsidRPr="00FA0D37">
        <w:t xml:space="preserve">    uplinkConfigCommon                  UplinkConfigCommon                                                  </w:t>
      </w:r>
      <w:r w:rsidRPr="00FA0D37">
        <w:rPr>
          <w:color w:val="993366"/>
        </w:rPr>
        <w:t>OPTIONAL</w:t>
      </w:r>
      <w:r w:rsidRPr="00FA0D37">
        <w:t xml:space="preserve">,   </w:t>
      </w:r>
      <w:r w:rsidRPr="00FA0D37">
        <w:rPr>
          <w:color w:val="808080"/>
        </w:rPr>
        <w:t>-- Need M</w:t>
      </w:r>
    </w:p>
    <w:p w14:paraId="74F3B779" w14:textId="77777777" w:rsidR="00394471" w:rsidRPr="00FA0D37" w:rsidRDefault="00394471" w:rsidP="00FA0D37">
      <w:pPr>
        <w:pStyle w:val="PL"/>
        <w:rPr>
          <w:color w:val="808080"/>
        </w:rPr>
      </w:pPr>
      <w:r w:rsidRPr="00FA0D37">
        <w:t xml:space="preserve">    supplementaryUplinkConfig           UplinkConfigCommon                                                  </w:t>
      </w:r>
      <w:r w:rsidRPr="00FA0D37">
        <w:rPr>
          <w:color w:val="993366"/>
        </w:rPr>
        <w:t>OPTIONAL</w:t>
      </w:r>
      <w:r w:rsidRPr="00FA0D37">
        <w:t xml:space="preserve">,   </w:t>
      </w:r>
      <w:r w:rsidRPr="00FA0D37">
        <w:rPr>
          <w:color w:val="808080"/>
        </w:rPr>
        <w:t>-- Need S</w:t>
      </w:r>
    </w:p>
    <w:p w14:paraId="44D28D46" w14:textId="77777777" w:rsidR="00394471" w:rsidRPr="00FA0D37" w:rsidRDefault="00394471" w:rsidP="00FA0D37">
      <w:pPr>
        <w:pStyle w:val="PL"/>
        <w:rPr>
          <w:color w:val="808080"/>
        </w:rPr>
      </w:pPr>
      <w:r w:rsidRPr="00FA0D37">
        <w:t xml:space="preserve">    n-TimingAdvanceOffset               </w:t>
      </w:r>
      <w:r w:rsidRPr="00FA0D37">
        <w:rPr>
          <w:color w:val="993366"/>
        </w:rPr>
        <w:t>ENUMERATED</w:t>
      </w:r>
      <w:r w:rsidRPr="00FA0D37">
        <w:t xml:space="preserve"> { n0, n25600, n39936 }                                   </w:t>
      </w:r>
      <w:r w:rsidRPr="00FA0D37">
        <w:rPr>
          <w:color w:val="993366"/>
        </w:rPr>
        <w:t>OPTIONAL</w:t>
      </w:r>
      <w:r w:rsidRPr="00FA0D37">
        <w:t xml:space="preserve">,   </w:t>
      </w:r>
      <w:r w:rsidRPr="00FA0D37">
        <w:rPr>
          <w:color w:val="808080"/>
        </w:rPr>
        <w:t>-- Need S</w:t>
      </w:r>
    </w:p>
    <w:p w14:paraId="5C829B0F" w14:textId="77777777" w:rsidR="00394471" w:rsidRPr="00FA0D37" w:rsidRDefault="00394471" w:rsidP="00FA0D37">
      <w:pPr>
        <w:pStyle w:val="PL"/>
      </w:pPr>
      <w:r w:rsidRPr="00FA0D37">
        <w:t xml:space="preserve">    ssb-PositionsInBurst                </w:t>
      </w:r>
      <w:r w:rsidRPr="00FA0D37">
        <w:rPr>
          <w:color w:val="993366"/>
        </w:rPr>
        <w:t>CHOICE</w:t>
      </w:r>
      <w:r w:rsidRPr="00FA0D37">
        <w:t xml:space="preserve"> {</w:t>
      </w:r>
    </w:p>
    <w:p w14:paraId="1983661E" w14:textId="77777777" w:rsidR="00394471" w:rsidRPr="00FA0D37" w:rsidRDefault="00394471" w:rsidP="00FA0D37">
      <w:pPr>
        <w:pStyle w:val="PL"/>
      </w:pPr>
      <w:r w:rsidRPr="00FA0D37">
        <w:t xml:space="preserve">        shortBitmap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60F1544E" w14:textId="77777777" w:rsidR="00394471" w:rsidRPr="00FA0D37" w:rsidRDefault="00394471" w:rsidP="00FA0D37">
      <w:pPr>
        <w:pStyle w:val="PL"/>
      </w:pPr>
      <w:r w:rsidRPr="00FA0D37">
        <w:t xml:space="preserve">        mediumBitmap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253C1226" w14:textId="77777777" w:rsidR="00394471" w:rsidRPr="00FA0D37" w:rsidRDefault="00394471" w:rsidP="00FA0D37">
      <w:pPr>
        <w:pStyle w:val="PL"/>
      </w:pPr>
      <w:r w:rsidRPr="00FA0D37">
        <w:t xml:space="preserve">        longBitmap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0C90FF2B"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AbsFreqSSB</w:t>
      </w:r>
    </w:p>
    <w:p w14:paraId="3199D36A" w14:textId="77777777" w:rsidR="00394471" w:rsidRPr="00FA0D37" w:rsidRDefault="00394471" w:rsidP="00FA0D37">
      <w:pPr>
        <w:pStyle w:val="PL"/>
        <w:rPr>
          <w:color w:val="808080"/>
        </w:rPr>
      </w:pPr>
      <w:r w:rsidRPr="00FA0D37">
        <w:lastRenderedPageBreak/>
        <w:t xml:space="preserve">    ssb-periodicityServingCell          </w:t>
      </w:r>
      <w:r w:rsidRPr="00FA0D37">
        <w:rPr>
          <w:color w:val="993366"/>
        </w:rPr>
        <w:t>ENUMERATED</w:t>
      </w:r>
      <w:r w:rsidRPr="00FA0D37">
        <w:t xml:space="preserve"> { ms5, ms10, ms20, ms40, ms80, ms160, spare2, spare1 }   </w:t>
      </w:r>
      <w:r w:rsidRPr="00FA0D37">
        <w:rPr>
          <w:color w:val="993366"/>
        </w:rPr>
        <w:t>OPTIONAL</w:t>
      </w:r>
      <w:r w:rsidRPr="00FA0D37">
        <w:t xml:space="preserve">, </w:t>
      </w:r>
      <w:r w:rsidRPr="00FA0D37">
        <w:rPr>
          <w:color w:val="808080"/>
        </w:rPr>
        <w:t>-- Need S</w:t>
      </w:r>
    </w:p>
    <w:p w14:paraId="75504539" w14:textId="77777777" w:rsidR="00394471" w:rsidRPr="00FA0D37" w:rsidRDefault="00394471" w:rsidP="00FA0D37">
      <w:pPr>
        <w:pStyle w:val="PL"/>
      </w:pPr>
      <w:r w:rsidRPr="00FA0D37">
        <w:t xml:space="preserve">    dmrs-TypeA-Position                 </w:t>
      </w:r>
      <w:r w:rsidRPr="00FA0D37">
        <w:rPr>
          <w:color w:val="993366"/>
        </w:rPr>
        <w:t>ENUMERATED</w:t>
      </w:r>
      <w:r w:rsidRPr="00FA0D37">
        <w:t xml:space="preserve"> {pos2, pos3},</w:t>
      </w:r>
    </w:p>
    <w:p w14:paraId="237C92FF" w14:textId="77777777" w:rsidR="00394471" w:rsidRPr="00FA0D37" w:rsidRDefault="00394471" w:rsidP="00FA0D37">
      <w:pPr>
        <w:pStyle w:val="PL"/>
        <w:rPr>
          <w:color w:val="808080"/>
        </w:rPr>
      </w:pPr>
      <w:r w:rsidRPr="00FA0D37">
        <w:t xml:space="preserve">    lte-CRS-ToMatchAround               SetupRelease { RateMatchPatternLTE-CRS }                            </w:t>
      </w:r>
      <w:r w:rsidRPr="00FA0D37">
        <w:rPr>
          <w:color w:val="993366"/>
        </w:rPr>
        <w:t>OPTIONAL</w:t>
      </w:r>
      <w:r w:rsidRPr="00FA0D37">
        <w:t xml:space="preserve">, </w:t>
      </w:r>
      <w:r w:rsidRPr="00FA0D37">
        <w:rPr>
          <w:color w:val="808080"/>
        </w:rPr>
        <w:t>-- Need M</w:t>
      </w:r>
    </w:p>
    <w:p w14:paraId="7D1FFAB4" w14:textId="77777777" w:rsidR="00394471" w:rsidRPr="00FA0D37" w:rsidRDefault="00394471" w:rsidP="00FA0D37">
      <w:pPr>
        <w:pStyle w:val="PL"/>
        <w:rPr>
          <w:color w:val="808080"/>
        </w:rPr>
      </w:pPr>
      <w:r w:rsidRPr="00FA0D37">
        <w:t xml:space="preserve">    rateMatchPatternToAddModList        </w:t>
      </w:r>
      <w:r w:rsidRPr="00FA0D37">
        <w:rPr>
          <w:color w:val="993366"/>
        </w:rPr>
        <w:t>SEQUENCE</w:t>
      </w:r>
      <w:r w:rsidRPr="00FA0D37">
        <w:t xml:space="preserve"> (</w:t>
      </w:r>
      <w:r w:rsidRPr="00FA0D37">
        <w:rPr>
          <w:color w:val="993366"/>
        </w:rPr>
        <w:t>SIZE</w:t>
      </w:r>
      <w:r w:rsidRPr="00FA0D37">
        <w:t xml:space="preserve"> (1..maxNrofRateMatchPatterns))</w:t>
      </w:r>
      <w:r w:rsidRPr="00FA0D37">
        <w:rPr>
          <w:color w:val="993366"/>
        </w:rPr>
        <w:t xml:space="preserve"> OF</w:t>
      </w:r>
      <w:r w:rsidRPr="00FA0D37">
        <w:t xml:space="preserve"> RateMatchPattern   </w:t>
      </w:r>
      <w:r w:rsidRPr="00FA0D37">
        <w:rPr>
          <w:color w:val="993366"/>
        </w:rPr>
        <w:t>OPTIONAL</w:t>
      </w:r>
      <w:r w:rsidRPr="00FA0D37">
        <w:t xml:space="preserve">, </w:t>
      </w:r>
      <w:r w:rsidRPr="00FA0D37">
        <w:rPr>
          <w:color w:val="808080"/>
        </w:rPr>
        <w:t>-- Need N</w:t>
      </w:r>
    </w:p>
    <w:p w14:paraId="4EE1C2D3" w14:textId="77777777" w:rsidR="00394471" w:rsidRPr="00FA0D37" w:rsidRDefault="00394471" w:rsidP="00FA0D37">
      <w:pPr>
        <w:pStyle w:val="PL"/>
        <w:rPr>
          <w:color w:val="808080"/>
        </w:rPr>
      </w:pPr>
      <w:r w:rsidRPr="00FA0D37">
        <w:t xml:space="preserve">    rateMatchPatternToReleaseList       </w:t>
      </w:r>
      <w:r w:rsidRPr="00FA0D37">
        <w:rPr>
          <w:color w:val="993366"/>
        </w:rPr>
        <w:t>SEQUENCE</w:t>
      </w:r>
      <w:r w:rsidRPr="00FA0D37">
        <w:t xml:space="preserve"> (</w:t>
      </w:r>
      <w:r w:rsidRPr="00FA0D37">
        <w:rPr>
          <w:color w:val="993366"/>
        </w:rPr>
        <w:t>SIZE</w:t>
      </w:r>
      <w:r w:rsidRPr="00FA0D37">
        <w:t xml:space="preserve"> (1..maxNrofRateMatchPatterns))</w:t>
      </w:r>
      <w:r w:rsidRPr="00FA0D37">
        <w:rPr>
          <w:color w:val="993366"/>
        </w:rPr>
        <w:t xml:space="preserve"> OF</w:t>
      </w:r>
      <w:r w:rsidRPr="00FA0D37">
        <w:t xml:space="preserve"> RateMatchPatternId </w:t>
      </w:r>
      <w:r w:rsidRPr="00FA0D37">
        <w:rPr>
          <w:color w:val="993366"/>
        </w:rPr>
        <w:t>OPTIONAL</w:t>
      </w:r>
      <w:r w:rsidRPr="00FA0D37">
        <w:t xml:space="preserve">, </w:t>
      </w:r>
      <w:r w:rsidRPr="00FA0D37">
        <w:rPr>
          <w:color w:val="808080"/>
        </w:rPr>
        <w:t>-- Need N</w:t>
      </w:r>
    </w:p>
    <w:p w14:paraId="45FC072C" w14:textId="77777777" w:rsidR="00394471" w:rsidRPr="00FA0D37" w:rsidRDefault="00394471" w:rsidP="00FA0D37">
      <w:pPr>
        <w:pStyle w:val="PL"/>
        <w:rPr>
          <w:color w:val="808080"/>
        </w:rPr>
      </w:pPr>
      <w:r w:rsidRPr="00FA0D37">
        <w:t xml:space="preserve">    ssbSubcarrierSpacing                SubcarrierSpacing                                                   </w:t>
      </w:r>
      <w:r w:rsidRPr="00FA0D37">
        <w:rPr>
          <w:color w:val="993366"/>
        </w:rPr>
        <w:t>OPTIONAL</w:t>
      </w:r>
      <w:r w:rsidRPr="00FA0D37">
        <w:t xml:space="preserve">, </w:t>
      </w:r>
      <w:r w:rsidRPr="00FA0D37">
        <w:rPr>
          <w:color w:val="808080"/>
        </w:rPr>
        <w:t>-- Cond HOAndServCellWithSSB</w:t>
      </w:r>
    </w:p>
    <w:p w14:paraId="70ABF9C0" w14:textId="77777777" w:rsidR="00394471" w:rsidRPr="00FA0D37" w:rsidRDefault="00394471" w:rsidP="00FA0D37">
      <w:pPr>
        <w:pStyle w:val="PL"/>
        <w:rPr>
          <w:color w:val="808080"/>
        </w:rPr>
      </w:pPr>
      <w:r w:rsidRPr="00FA0D37">
        <w:t xml:space="preserve">    tdd-UL-DL-ConfigurationCommon       TDD-UL-DL-ConfigCommon                                              </w:t>
      </w:r>
      <w:r w:rsidRPr="00FA0D37">
        <w:rPr>
          <w:color w:val="993366"/>
        </w:rPr>
        <w:t>OPTIONAL</w:t>
      </w:r>
      <w:r w:rsidRPr="00FA0D37">
        <w:t xml:space="preserve">, </w:t>
      </w:r>
      <w:r w:rsidRPr="00FA0D37">
        <w:rPr>
          <w:color w:val="808080"/>
        </w:rPr>
        <w:t>-- Cond TDD</w:t>
      </w:r>
    </w:p>
    <w:p w14:paraId="109921A1" w14:textId="77777777" w:rsidR="00394471" w:rsidRPr="00FA0D37" w:rsidRDefault="00394471" w:rsidP="00FA0D37">
      <w:pPr>
        <w:pStyle w:val="PL"/>
      </w:pPr>
      <w:r w:rsidRPr="00FA0D37">
        <w:t xml:space="preserve">    ss-PBCH-BlockPower                  </w:t>
      </w:r>
      <w:r w:rsidRPr="00FA0D37">
        <w:rPr>
          <w:color w:val="993366"/>
        </w:rPr>
        <w:t>INTEGER</w:t>
      </w:r>
      <w:r w:rsidRPr="00FA0D37">
        <w:t xml:space="preserve"> (-60..50),</w:t>
      </w:r>
    </w:p>
    <w:p w14:paraId="5DABE019" w14:textId="77777777" w:rsidR="00394471" w:rsidRPr="00FA0D37" w:rsidRDefault="00394471" w:rsidP="00FA0D37">
      <w:pPr>
        <w:pStyle w:val="PL"/>
      </w:pPr>
      <w:r w:rsidRPr="00FA0D37">
        <w:t xml:space="preserve">    ...,</w:t>
      </w:r>
    </w:p>
    <w:p w14:paraId="25C10B48" w14:textId="77777777" w:rsidR="00394471" w:rsidRPr="00FA0D37" w:rsidRDefault="00394471" w:rsidP="00FA0D37">
      <w:pPr>
        <w:pStyle w:val="PL"/>
      </w:pPr>
      <w:r w:rsidRPr="00FA0D37">
        <w:t xml:space="preserve">    [[</w:t>
      </w:r>
    </w:p>
    <w:p w14:paraId="79DA87B8" w14:textId="77777777" w:rsidR="00394471" w:rsidRPr="00FA0D37" w:rsidRDefault="00394471" w:rsidP="00FA0D37">
      <w:pPr>
        <w:pStyle w:val="PL"/>
      </w:pPr>
      <w:r w:rsidRPr="00FA0D37">
        <w:t xml:space="preserve">    channelAccessMode-r16               </w:t>
      </w:r>
      <w:r w:rsidRPr="00FA0D37">
        <w:rPr>
          <w:color w:val="993366"/>
        </w:rPr>
        <w:t>CHOICE</w:t>
      </w:r>
      <w:r w:rsidRPr="00FA0D37">
        <w:t xml:space="preserve"> {</w:t>
      </w:r>
    </w:p>
    <w:p w14:paraId="4F959162" w14:textId="77777777" w:rsidR="00394471" w:rsidRPr="00FA0D37" w:rsidRDefault="00394471" w:rsidP="00FA0D37">
      <w:pPr>
        <w:pStyle w:val="PL"/>
      </w:pPr>
      <w:r w:rsidRPr="00FA0D37">
        <w:t xml:space="preserve">        dynamic                             </w:t>
      </w:r>
      <w:r w:rsidRPr="00FA0D37">
        <w:rPr>
          <w:color w:val="993366"/>
        </w:rPr>
        <w:t>NULL</w:t>
      </w:r>
      <w:r w:rsidRPr="00FA0D37">
        <w:t>,</w:t>
      </w:r>
    </w:p>
    <w:p w14:paraId="37F73A0A" w14:textId="13B4B182" w:rsidR="00394471" w:rsidRPr="00FA0D37" w:rsidRDefault="00394471" w:rsidP="00FA0D37">
      <w:pPr>
        <w:pStyle w:val="PL"/>
      </w:pPr>
      <w:r w:rsidRPr="00FA0D37">
        <w:t xml:space="preserve">        semiStatic                          SemiStaticChannelAccessConfig</w:t>
      </w:r>
      <w:r w:rsidR="00261BA1" w:rsidRPr="00FA0D37">
        <w:t>-r16</w:t>
      </w:r>
    </w:p>
    <w:p w14:paraId="227A5884"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SharedSpectrum</w:t>
      </w:r>
    </w:p>
    <w:p w14:paraId="4AA29359" w14:textId="77777777" w:rsidR="00394471" w:rsidRPr="00FA0D37" w:rsidRDefault="00394471" w:rsidP="00FA0D37">
      <w:pPr>
        <w:pStyle w:val="PL"/>
        <w:rPr>
          <w:color w:val="808080"/>
        </w:rPr>
      </w:pPr>
      <w:r w:rsidRPr="00FA0D37">
        <w:t xml:space="preserve">    discoveryBurstWindowLength-r16          </w:t>
      </w:r>
      <w:r w:rsidRPr="00FA0D37">
        <w:rPr>
          <w:color w:val="993366"/>
        </w:rPr>
        <w:t>ENUMERATED</w:t>
      </w:r>
      <w:r w:rsidRPr="00FA0D37">
        <w:t xml:space="preserve"> {ms0dot5, ms1, ms2, ms3, ms4, ms5}                   </w:t>
      </w:r>
      <w:r w:rsidRPr="00FA0D37">
        <w:rPr>
          <w:color w:val="993366"/>
        </w:rPr>
        <w:t>OPTIONAL</w:t>
      </w:r>
      <w:r w:rsidRPr="00FA0D37">
        <w:t xml:space="preserve">, </w:t>
      </w:r>
      <w:r w:rsidRPr="00FA0D37">
        <w:rPr>
          <w:color w:val="808080"/>
        </w:rPr>
        <w:t>-- Need R</w:t>
      </w:r>
    </w:p>
    <w:p w14:paraId="59FB9D8A" w14:textId="77777777" w:rsidR="00394471" w:rsidRPr="00FA0D37" w:rsidRDefault="00394471" w:rsidP="00FA0D37">
      <w:pPr>
        <w:pStyle w:val="PL"/>
        <w:rPr>
          <w:color w:val="808080"/>
        </w:rPr>
      </w:pPr>
      <w:r w:rsidRPr="00FA0D37">
        <w:t xml:space="preserve">    ssb-PositionQCL-r16                     SSB-PositionQCL-Relation-r16                                    </w:t>
      </w:r>
      <w:r w:rsidRPr="00FA0D37">
        <w:rPr>
          <w:color w:val="993366"/>
        </w:rPr>
        <w:t>OPTIONAL</w:t>
      </w:r>
      <w:r w:rsidRPr="00FA0D37">
        <w:t xml:space="preserve">, </w:t>
      </w:r>
      <w:r w:rsidRPr="00FA0D37">
        <w:rPr>
          <w:color w:val="808080"/>
        </w:rPr>
        <w:t>-- Cond SharedSpectrum</w:t>
      </w:r>
    </w:p>
    <w:p w14:paraId="24D799AA" w14:textId="77777777" w:rsidR="00394471" w:rsidRPr="00FA0D37" w:rsidRDefault="00394471" w:rsidP="00FA0D37">
      <w:pPr>
        <w:pStyle w:val="PL"/>
        <w:rPr>
          <w:color w:val="808080"/>
        </w:rPr>
      </w:pPr>
      <w:r w:rsidRPr="00FA0D37">
        <w:t xml:space="preserve">    highSpeedConfig-r16                     HighSpeedConfig-r16                                             </w:t>
      </w:r>
      <w:r w:rsidRPr="00FA0D37">
        <w:rPr>
          <w:color w:val="993366"/>
        </w:rPr>
        <w:t>OPTIONAL</w:t>
      </w:r>
      <w:r w:rsidRPr="00FA0D37">
        <w:t xml:space="preserve">  </w:t>
      </w:r>
      <w:r w:rsidRPr="00FA0D37">
        <w:rPr>
          <w:color w:val="808080"/>
        </w:rPr>
        <w:t>-- Need R</w:t>
      </w:r>
    </w:p>
    <w:p w14:paraId="7F245CC1" w14:textId="05C9E514" w:rsidR="00B001B7" w:rsidRPr="00FA0D37" w:rsidRDefault="00394471" w:rsidP="00FA0D37">
      <w:pPr>
        <w:pStyle w:val="PL"/>
      </w:pPr>
      <w:r w:rsidRPr="00FA0D37">
        <w:t xml:space="preserve">    ]]</w:t>
      </w:r>
      <w:r w:rsidR="00B001B7" w:rsidRPr="00FA0D37">
        <w:t>,</w:t>
      </w:r>
    </w:p>
    <w:p w14:paraId="310746A2" w14:textId="56E9ACAF" w:rsidR="00B001B7" w:rsidRPr="00FA0D37" w:rsidRDefault="00B001B7" w:rsidP="00FA0D37">
      <w:pPr>
        <w:pStyle w:val="PL"/>
      </w:pPr>
      <w:r w:rsidRPr="00FA0D37">
        <w:t xml:space="preserve">    [[</w:t>
      </w:r>
    </w:p>
    <w:p w14:paraId="7F2D8BB1" w14:textId="759ADC7B" w:rsidR="00B001B7" w:rsidRPr="00FA0D37" w:rsidRDefault="00B001B7" w:rsidP="00FA0D37">
      <w:pPr>
        <w:pStyle w:val="PL"/>
        <w:rPr>
          <w:color w:val="808080"/>
        </w:rPr>
      </w:pPr>
      <w:r w:rsidRPr="00FA0D37">
        <w:t xml:space="preserve">    highSpeedConfig-v1700               HighSpeedConfig-v1700                                           </w:t>
      </w:r>
      <w:r w:rsidR="008754E6" w:rsidRPr="00FA0D37">
        <w:t xml:space="preserve">    </w:t>
      </w:r>
      <w:r w:rsidRPr="00FA0D37">
        <w:rPr>
          <w:color w:val="993366"/>
        </w:rPr>
        <w:t>OPTIONAL</w:t>
      </w:r>
      <w:r w:rsidR="002E3CD0" w:rsidRPr="00FA0D37">
        <w:t>,</w:t>
      </w:r>
      <w:r w:rsidRPr="00FA0D37">
        <w:t xml:space="preserve"> </w:t>
      </w:r>
      <w:r w:rsidRPr="00FA0D37">
        <w:rPr>
          <w:color w:val="808080"/>
        </w:rPr>
        <w:t>-- Need R</w:t>
      </w:r>
    </w:p>
    <w:p w14:paraId="20BEE208" w14:textId="1151B142" w:rsidR="008754E6" w:rsidRPr="00FA0D37" w:rsidRDefault="008754E6" w:rsidP="00FA0D37">
      <w:pPr>
        <w:pStyle w:val="PL"/>
        <w:rPr>
          <w:color w:val="808080"/>
        </w:rPr>
      </w:pPr>
      <w:r w:rsidRPr="00FA0D37">
        <w:t xml:space="preserve">    channelAccessMode2-r17              </w:t>
      </w:r>
      <w:r w:rsidRPr="00FA0D37">
        <w:rPr>
          <w:color w:val="993366"/>
        </w:rPr>
        <w:t>ENUMERATED</w:t>
      </w:r>
      <w:r w:rsidRPr="00FA0D37">
        <w:t xml:space="preserve"> {enabled}                                          </w:t>
      </w:r>
      <w:r w:rsidR="00F12A49" w:rsidRPr="00FA0D37">
        <w:t xml:space="preserve">      </w:t>
      </w:r>
      <w:r w:rsidRPr="00FA0D37">
        <w:rPr>
          <w:color w:val="993366"/>
        </w:rPr>
        <w:t>OPTIONAL</w:t>
      </w:r>
      <w:r w:rsidRPr="00FA0D37">
        <w:t xml:space="preserve">, </w:t>
      </w:r>
      <w:r w:rsidRPr="00FA0D37">
        <w:rPr>
          <w:color w:val="808080"/>
        </w:rPr>
        <w:t>-- Cond SharedSpectrum2</w:t>
      </w:r>
    </w:p>
    <w:p w14:paraId="30D3F82A" w14:textId="2FA0C285" w:rsidR="008754E6" w:rsidRPr="00FA0D37" w:rsidRDefault="008754E6" w:rsidP="00FA0D37">
      <w:pPr>
        <w:pStyle w:val="PL"/>
        <w:rPr>
          <w:color w:val="808080"/>
        </w:rPr>
      </w:pPr>
      <w:r w:rsidRPr="00FA0D37">
        <w:t xml:space="preserve">    discoveryBurstWindowLength-r17      </w:t>
      </w:r>
      <w:r w:rsidRPr="00FA0D37">
        <w:rPr>
          <w:color w:val="993366"/>
        </w:rPr>
        <w:t>ENUMERATED</w:t>
      </w:r>
      <w:r w:rsidRPr="00FA0D37">
        <w:t xml:space="preserve"> {ms0dot125, ms0dot25, ms0dot5, ms0dot75, ms1, ms1dot25}  </w:t>
      </w:r>
      <w:r w:rsidRPr="00FA0D37">
        <w:rPr>
          <w:color w:val="993366"/>
        </w:rPr>
        <w:t>OPTIONAL</w:t>
      </w:r>
      <w:r w:rsidR="00A2423A" w:rsidRPr="00FA0D37">
        <w:t>,</w:t>
      </w:r>
      <w:r w:rsidRPr="00FA0D37">
        <w:t xml:space="preserve"> </w:t>
      </w:r>
      <w:r w:rsidRPr="00FA0D37">
        <w:rPr>
          <w:color w:val="808080"/>
        </w:rPr>
        <w:t>-- Need R</w:t>
      </w:r>
    </w:p>
    <w:p w14:paraId="2AC67DE9" w14:textId="77777777" w:rsidR="00F12A49" w:rsidRPr="00FA0D37" w:rsidRDefault="00F12A49" w:rsidP="00FA0D37">
      <w:pPr>
        <w:pStyle w:val="PL"/>
        <w:rPr>
          <w:color w:val="808080"/>
        </w:rPr>
      </w:pPr>
      <w:r w:rsidRPr="00FA0D37">
        <w:t xml:space="preserve">    ssb-PositionQCL-r17                 SSB-PositionQCL-Relation-r17                                        </w:t>
      </w:r>
      <w:r w:rsidRPr="00FA0D37">
        <w:rPr>
          <w:color w:val="993366"/>
        </w:rPr>
        <w:t>OPTIONAL</w:t>
      </w:r>
      <w:r w:rsidRPr="00FA0D37">
        <w:t xml:space="preserve">, </w:t>
      </w:r>
      <w:r w:rsidRPr="00FA0D37">
        <w:rPr>
          <w:color w:val="808080"/>
        </w:rPr>
        <w:t>-- Cond SharedSpectrum2</w:t>
      </w:r>
    </w:p>
    <w:p w14:paraId="7197CC52" w14:textId="488383EE" w:rsidR="00A2423A" w:rsidRPr="00FA0D37" w:rsidRDefault="00A2423A" w:rsidP="00FA0D37">
      <w:pPr>
        <w:pStyle w:val="PL"/>
        <w:rPr>
          <w:color w:val="808080"/>
        </w:rPr>
      </w:pPr>
      <w:r w:rsidRPr="00FA0D37">
        <w:t xml:space="preserve">    highSpeedConfigFR2-r17              HighSpeedConfigFR2-r17                                              </w:t>
      </w:r>
      <w:r w:rsidRPr="00FA0D37">
        <w:rPr>
          <w:color w:val="993366"/>
        </w:rPr>
        <w:t>OPTIONAL</w:t>
      </w:r>
      <w:r w:rsidR="00C85859" w:rsidRPr="00FA0D37">
        <w:t>,</w:t>
      </w:r>
      <w:r w:rsidRPr="00FA0D37">
        <w:t xml:space="preserve"> </w:t>
      </w:r>
      <w:r w:rsidRPr="00FA0D37">
        <w:rPr>
          <w:color w:val="808080"/>
        </w:rPr>
        <w:t>-- Need R</w:t>
      </w:r>
    </w:p>
    <w:p w14:paraId="6B9CE8D0" w14:textId="767DD8E9" w:rsidR="00C85859" w:rsidRPr="00FA0D37" w:rsidRDefault="00C85859" w:rsidP="00FA0D37">
      <w:pPr>
        <w:pStyle w:val="PL"/>
        <w:rPr>
          <w:color w:val="808080"/>
        </w:rPr>
      </w:pPr>
      <w:r w:rsidRPr="00FA0D37">
        <w:t xml:space="preserve">    uplinkConfigCommon-v1700            UplinkConfigCommon-v1700                                            </w:t>
      </w:r>
      <w:r w:rsidRPr="00FA0D37">
        <w:rPr>
          <w:color w:val="993366"/>
        </w:rPr>
        <w:t>OPTIONAL</w:t>
      </w:r>
      <w:r w:rsidR="00D4596A" w:rsidRPr="00FA0D37">
        <w:t>,</w:t>
      </w:r>
      <w:r w:rsidRPr="00FA0D37">
        <w:t xml:space="preserve"> </w:t>
      </w:r>
      <w:r w:rsidRPr="00FA0D37">
        <w:rPr>
          <w:color w:val="808080"/>
        </w:rPr>
        <w:t>-- Need R</w:t>
      </w:r>
    </w:p>
    <w:p w14:paraId="3AFFA11F" w14:textId="35A7D9ED" w:rsidR="00D4596A" w:rsidRPr="00FA0D37" w:rsidRDefault="00D4596A" w:rsidP="00FA0D37">
      <w:pPr>
        <w:pStyle w:val="PL"/>
        <w:rPr>
          <w:color w:val="808080"/>
        </w:rPr>
      </w:pPr>
      <w:r w:rsidRPr="00FA0D37">
        <w:t xml:space="preserve">    ntn-Config-r17                      NTN-Config-r17                                                      </w:t>
      </w:r>
      <w:r w:rsidRPr="00FA0D37">
        <w:rPr>
          <w:color w:val="993366"/>
        </w:rPr>
        <w:t>OPTIONAL</w:t>
      </w:r>
      <w:r w:rsidRPr="00FA0D37">
        <w:t xml:space="preserve">  </w:t>
      </w:r>
      <w:r w:rsidRPr="00FA0D37">
        <w:rPr>
          <w:color w:val="808080"/>
        </w:rPr>
        <w:t>-- Need R</w:t>
      </w:r>
    </w:p>
    <w:p w14:paraId="6F072A10" w14:textId="1F658AAC" w:rsidR="00A251FC" w:rsidRPr="00FA0D37" w:rsidRDefault="00B001B7" w:rsidP="00FA0D37">
      <w:pPr>
        <w:pStyle w:val="PL"/>
      </w:pPr>
      <w:r w:rsidRPr="00FA0D37">
        <w:t xml:space="preserve">    ]]</w:t>
      </w:r>
      <w:r w:rsidR="00A251FC" w:rsidRPr="00FA0D37">
        <w:t>,</w:t>
      </w:r>
    </w:p>
    <w:p w14:paraId="00E58F25" w14:textId="708090DC" w:rsidR="00A251FC" w:rsidRPr="00FA0D37" w:rsidRDefault="00A251FC" w:rsidP="00FA0D37">
      <w:pPr>
        <w:pStyle w:val="PL"/>
      </w:pPr>
      <w:r w:rsidRPr="00FA0D37">
        <w:t xml:space="preserve">    [[</w:t>
      </w:r>
    </w:p>
    <w:p w14:paraId="01B11E24" w14:textId="5EF9C3B8" w:rsidR="00A251FC" w:rsidRPr="00FA0D37" w:rsidRDefault="00A251FC" w:rsidP="00FA0D37">
      <w:pPr>
        <w:pStyle w:val="PL"/>
      </w:pPr>
      <w:r w:rsidRPr="00FA0D37">
        <w:t xml:space="preserve">    featurePriorities-r17        </w:t>
      </w:r>
      <w:r w:rsidR="00082087" w:rsidRPr="00FA0D37">
        <w:t xml:space="preserve">       </w:t>
      </w:r>
      <w:r w:rsidRPr="00FA0D37">
        <w:rPr>
          <w:color w:val="993366"/>
        </w:rPr>
        <w:t>SEQUENCE</w:t>
      </w:r>
      <w:r w:rsidRPr="00FA0D37">
        <w:t xml:space="preserve"> {</w:t>
      </w:r>
    </w:p>
    <w:p w14:paraId="02DDF831" w14:textId="1B5BF3E2" w:rsidR="00A251FC" w:rsidRPr="00FA0D37" w:rsidRDefault="00A251FC" w:rsidP="00FA0D37">
      <w:pPr>
        <w:pStyle w:val="PL"/>
        <w:rPr>
          <w:color w:val="808080"/>
        </w:rPr>
      </w:pPr>
      <w:r w:rsidRPr="00FA0D37">
        <w:t xml:space="preserve">        redCapPriority-r17     </w:t>
      </w:r>
      <w:r w:rsidR="00082087" w:rsidRPr="00FA0D37">
        <w:t xml:space="preserve">       </w:t>
      </w:r>
      <w:r w:rsidRPr="00FA0D37">
        <w:t xml:space="preserve">      FeaturePriority-r17                                             </w:t>
      </w:r>
      <w:r w:rsidRPr="00FA0D37">
        <w:rPr>
          <w:color w:val="993366"/>
        </w:rPr>
        <w:t>OPTIONAL</w:t>
      </w:r>
      <w:r w:rsidRPr="00FA0D37">
        <w:t xml:space="preserve">, </w:t>
      </w:r>
      <w:r w:rsidRPr="00FA0D37">
        <w:rPr>
          <w:color w:val="808080"/>
        </w:rPr>
        <w:t>-- Need R</w:t>
      </w:r>
    </w:p>
    <w:p w14:paraId="188715C1" w14:textId="0A79569F" w:rsidR="00A251FC" w:rsidRPr="00FA0D37" w:rsidRDefault="00A251FC" w:rsidP="00FA0D37">
      <w:pPr>
        <w:pStyle w:val="PL"/>
        <w:rPr>
          <w:color w:val="808080"/>
        </w:rPr>
      </w:pPr>
      <w:r w:rsidRPr="00FA0D37">
        <w:t xml:space="preserve">        slicingPriority-r17   </w:t>
      </w:r>
      <w:r w:rsidR="00082087" w:rsidRPr="00FA0D37">
        <w:t xml:space="preserve">       </w:t>
      </w:r>
      <w:r w:rsidRPr="00FA0D37">
        <w:t xml:space="preserve">       FeaturePriority-r17                                             </w:t>
      </w:r>
      <w:r w:rsidRPr="00FA0D37">
        <w:rPr>
          <w:color w:val="993366"/>
        </w:rPr>
        <w:t>OPTIONAL</w:t>
      </w:r>
      <w:r w:rsidRPr="00FA0D37">
        <w:t xml:space="preserve">, </w:t>
      </w:r>
      <w:r w:rsidRPr="00FA0D37">
        <w:rPr>
          <w:color w:val="808080"/>
        </w:rPr>
        <w:t>-- Need R</w:t>
      </w:r>
    </w:p>
    <w:p w14:paraId="115A3CD1" w14:textId="3BE507FA" w:rsidR="00A251FC" w:rsidRPr="00FA0D37" w:rsidRDefault="00A251FC" w:rsidP="00FA0D37">
      <w:pPr>
        <w:pStyle w:val="PL"/>
        <w:rPr>
          <w:color w:val="808080"/>
        </w:rPr>
      </w:pPr>
      <w:r w:rsidRPr="00FA0D37">
        <w:t xml:space="preserve">        msg3-Repetitions-Priority-r17</w:t>
      </w:r>
      <w:r w:rsidR="00082087" w:rsidRPr="00FA0D37">
        <w:t xml:space="preserve">      </w:t>
      </w:r>
      <w:r w:rsidRPr="00FA0D37">
        <w:t xml:space="preserve"> FeaturePriority-r17                                             </w:t>
      </w:r>
      <w:r w:rsidRPr="00FA0D37">
        <w:rPr>
          <w:color w:val="993366"/>
        </w:rPr>
        <w:t>OPTIONAL</w:t>
      </w:r>
      <w:r w:rsidRPr="00FA0D37">
        <w:t xml:space="preserve">, </w:t>
      </w:r>
      <w:r w:rsidRPr="00FA0D37">
        <w:rPr>
          <w:color w:val="808080"/>
        </w:rPr>
        <w:t>-- Need R</w:t>
      </w:r>
    </w:p>
    <w:p w14:paraId="4DDBE508" w14:textId="4C8B92FB" w:rsidR="00A251FC" w:rsidRPr="00FA0D37" w:rsidRDefault="00A251FC" w:rsidP="00FA0D37">
      <w:pPr>
        <w:pStyle w:val="PL"/>
        <w:rPr>
          <w:color w:val="808080"/>
        </w:rPr>
      </w:pPr>
      <w:r w:rsidRPr="00FA0D37">
        <w:t xml:space="preserve">        sdt-Priority-r17         </w:t>
      </w:r>
      <w:r w:rsidR="00082087" w:rsidRPr="00FA0D37">
        <w:t xml:space="preserve">       </w:t>
      </w:r>
      <w:r w:rsidRPr="00FA0D37">
        <w:t xml:space="preserve">    FeaturePriority-r17                                             </w:t>
      </w:r>
      <w:r w:rsidRPr="00FA0D37">
        <w:rPr>
          <w:color w:val="993366"/>
        </w:rPr>
        <w:t>OPTIONAL</w:t>
      </w:r>
      <w:r w:rsidRPr="00FA0D37">
        <w:t xml:space="preserve">  </w:t>
      </w:r>
      <w:r w:rsidRPr="00FA0D37">
        <w:rPr>
          <w:color w:val="808080"/>
        </w:rPr>
        <w:t>-- Need R</w:t>
      </w:r>
    </w:p>
    <w:p w14:paraId="07EE4C36" w14:textId="2FBA6F20" w:rsidR="00A251FC" w:rsidRPr="00FA0D37" w:rsidRDefault="00A251FC" w:rsidP="00FA0D37">
      <w:pPr>
        <w:pStyle w:val="PL"/>
        <w:rPr>
          <w:color w:val="808080"/>
        </w:rPr>
      </w:pPr>
      <w:r w:rsidRPr="00FA0D37">
        <w:t xml:space="preserve">    }                                                                                                 </w:t>
      </w:r>
      <w:r w:rsidR="00082087" w:rsidRPr="00FA0D37">
        <w:t xml:space="preserve">    </w:t>
      </w:r>
      <w:r w:rsidRPr="00FA0D37">
        <w:t xml:space="preserve">  </w:t>
      </w:r>
      <w:r w:rsidRPr="00FA0D37">
        <w:rPr>
          <w:color w:val="993366"/>
        </w:rPr>
        <w:t>OPTIONAL</w:t>
      </w:r>
      <w:r w:rsidRPr="00FA0D37">
        <w:t xml:space="preserve">  </w:t>
      </w:r>
      <w:r w:rsidRPr="00FA0D37">
        <w:rPr>
          <w:color w:val="808080"/>
        </w:rPr>
        <w:t>-- Need R</w:t>
      </w:r>
    </w:p>
    <w:p w14:paraId="4D6ECD01" w14:textId="0CAE8303" w:rsidR="00D5120D" w:rsidRPr="00FA0D37" w:rsidRDefault="00A251FC" w:rsidP="00FA0D37">
      <w:pPr>
        <w:pStyle w:val="PL"/>
      </w:pPr>
      <w:r w:rsidRPr="00FA0D37">
        <w:t xml:space="preserve">    ]]</w:t>
      </w:r>
      <w:r w:rsidR="00D5120D" w:rsidRPr="00FA0D37">
        <w:t>,</w:t>
      </w:r>
    </w:p>
    <w:p w14:paraId="2EBB6CC4" w14:textId="77777777" w:rsidR="00D5120D" w:rsidRPr="00FA0D37" w:rsidRDefault="00D5120D" w:rsidP="00FA0D37">
      <w:pPr>
        <w:pStyle w:val="PL"/>
      </w:pPr>
      <w:r w:rsidRPr="00FA0D37">
        <w:t xml:space="preserve">    [[</w:t>
      </w:r>
    </w:p>
    <w:p w14:paraId="67486707" w14:textId="71D97251" w:rsidR="00D5120D" w:rsidRPr="00FA0D37" w:rsidRDefault="00D5120D" w:rsidP="00FA0D37">
      <w:pPr>
        <w:pStyle w:val="PL"/>
        <w:rPr>
          <w:color w:val="808080"/>
        </w:rPr>
      </w:pPr>
      <w:r w:rsidRPr="00FA0D37">
        <w:t xml:space="preserve">    ra-ChannelAccess-r17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Cond SharedSpectrum2</w:t>
      </w:r>
    </w:p>
    <w:p w14:paraId="7E2EE320" w14:textId="35373B0A" w:rsidR="00394471" w:rsidRPr="00FA0D37" w:rsidRDefault="00D5120D" w:rsidP="00FA0D37">
      <w:pPr>
        <w:pStyle w:val="PL"/>
      </w:pPr>
      <w:r w:rsidRPr="00FA0D37">
        <w:t xml:space="preserve">    ]]</w:t>
      </w:r>
    </w:p>
    <w:p w14:paraId="67CC30B1" w14:textId="77777777" w:rsidR="00394471" w:rsidRPr="00FA0D37" w:rsidRDefault="00394471" w:rsidP="00FA0D37">
      <w:pPr>
        <w:pStyle w:val="PL"/>
      </w:pPr>
      <w:r w:rsidRPr="00FA0D37">
        <w:t>}</w:t>
      </w:r>
    </w:p>
    <w:p w14:paraId="1F74F010" w14:textId="77777777" w:rsidR="00394471" w:rsidRPr="00FA0D37" w:rsidRDefault="00394471" w:rsidP="00FA0D37">
      <w:pPr>
        <w:pStyle w:val="PL"/>
      </w:pPr>
    </w:p>
    <w:p w14:paraId="642A4FA8" w14:textId="77777777" w:rsidR="00394471" w:rsidRPr="00FA0D37" w:rsidRDefault="00394471" w:rsidP="00FA0D37">
      <w:pPr>
        <w:pStyle w:val="PL"/>
        <w:rPr>
          <w:color w:val="808080"/>
        </w:rPr>
      </w:pPr>
      <w:r w:rsidRPr="00FA0D37">
        <w:rPr>
          <w:color w:val="808080"/>
        </w:rPr>
        <w:t>-- TAG-SERVINGCELLCONFIGCOMMON-STOP</w:t>
      </w:r>
    </w:p>
    <w:p w14:paraId="463EC290" w14:textId="77777777" w:rsidR="00394471" w:rsidRPr="00FA0D37" w:rsidRDefault="00394471" w:rsidP="00FA0D37">
      <w:pPr>
        <w:pStyle w:val="PL"/>
        <w:rPr>
          <w:color w:val="808080"/>
        </w:rPr>
      </w:pPr>
      <w:r w:rsidRPr="00FA0D37">
        <w:rPr>
          <w:color w:val="808080"/>
        </w:rPr>
        <w:t>-- ASN1STOP</w:t>
      </w:r>
    </w:p>
    <w:p w14:paraId="70BAE2A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FA0D37" w:rsidRDefault="00394471" w:rsidP="00964CC4">
            <w:pPr>
              <w:pStyle w:val="TAH"/>
              <w:rPr>
                <w:szCs w:val="22"/>
                <w:lang w:eastAsia="sv-SE"/>
              </w:rPr>
            </w:pPr>
            <w:r w:rsidRPr="00FA0D37">
              <w:rPr>
                <w:i/>
                <w:szCs w:val="22"/>
                <w:lang w:eastAsia="sv-SE"/>
              </w:rPr>
              <w:lastRenderedPageBreak/>
              <w:t xml:space="preserve">ServingCellConfigCommon </w:t>
            </w:r>
            <w:r w:rsidRPr="00FA0D37">
              <w:rPr>
                <w:szCs w:val="22"/>
                <w:lang w:eastAsia="sv-SE"/>
              </w:rPr>
              <w:t>field descriptions</w:t>
            </w:r>
          </w:p>
        </w:tc>
      </w:tr>
      <w:tr w:rsidR="005C7FF4" w:rsidRPr="00FA0D37"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FA0D37" w:rsidRDefault="00394471" w:rsidP="00964CC4">
            <w:pPr>
              <w:pStyle w:val="TAL"/>
              <w:rPr>
                <w:szCs w:val="22"/>
                <w:lang w:eastAsia="sv-SE"/>
              </w:rPr>
            </w:pPr>
            <w:r w:rsidRPr="00FA0D37">
              <w:rPr>
                <w:b/>
                <w:bCs/>
                <w:i/>
                <w:szCs w:val="22"/>
                <w:lang w:eastAsia="en-GB"/>
              </w:rPr>
              <w:t>channelAccessMode</w:t>
            </w:r>
          </w:p>
          <w:p w14:paraId="271C877E" w14:textId="0DBB6D3A" w:rsidR="00394471" w:rsidRPr="00FA0D37" w:rsidRDefault="00394471" w:rsidP="00964CC4">
            <w:pPr>
              <w:pStyle w:val="TAL"/>
              <w:rPr>
                <w:b/>
                <w:i/>
                <w:szCs w:val="22"/>
                <w:lang w:eastAsia="sv-SE"/>
              </w:rPr>
            </w:pPr>
            <w:r w:rsidRPr="00FA0D37">
              <w:t xml:space="preserve">If present, this field indicates which channel access procedures to apply for operation with shared spectrum channel access as defined in TS 37.213 [48]. </w:t>
            </w:r>
            <w:r w:rsidRPr="00FA0D37">
              <w:rPr>
                <w:lang w:eastAsia="sv-SE"/>
              </w:rPr>
              <w:t xml:space="preserve">If the field is configured as "semiStatic", the </w:t>
            </w:r>
            <w:r w:rsidRPr="00FA0D37">
              <w:t xml:space="preserve">UE shall apply the </w:t>
            </w:r>
            <w:r w:rsidRPr="00FA0D37">
              <w:rPr>
                <w:lang w:eastAsia="sv-SE"/>
              </w:rPr>
              <w:t xml:space="preserve">channel access procedures for semi-static channel occupancy as described in </w:t>
            </w:r>
            <w:r w:rsidR="009C7196" w:rsidRPr="00FA0D37">
              <w:rPr>
                <w:lang w:eastAsia="sv-SE"/>
              </w:rPr>
              <w:t>clause</w:t>
            </w:r>
            <w:r w:rsidRPr="00FA0D37">
              <w:rPr>
                <w:lang w:eastAsia="sv-SE"/>
              </w:rPr>
              <w:t xml:space="preserve"> 4.3 in TS 37.213. If the field is configured as "dynamic", </w:t>
            </w:r>
            <w:r w:rsidRPr="00FA0D37">
              <w:t xml:space="preserve">the UE shall apply </w:t>
            </w:r>
            <w:r w:rsidRPr="00FA0D37">
              <w:rPr>
                <w:lang w:eastAsia="sv-SE"/>
              </w:rPr>
              <w:t xml:space="preserve">the channel access procedures </w:t>
            </w:r>
            <w:r w:rsidR="001B0D59" w:rsidRPr="00FA0D37">
              <w:rPr>
                <w:lang w:eastAsia="sv-SE"/>
              </w:rPr>
              <w:t xml:space="preserve">as defined </w:t>
            </w:r>
            <w:r w:rsidRPr="00FA0D37">
              <w:rPr>
                <w:lang w:eastAsia="sv-SE"/>
              </w:rPr>
              <w:t xml:space="preserve">in TS 37.213, </w:t>
            </w:r>
            <w:r w:rsidR="009C7196" w:rsidRPr="00FA0D37">
              <w:rPr>
                <w:lang w:eastAsia="sv-SE"/>
              </w:rPr>
              <w:t>clause</w:t>
            </w:r>
            <w:r w:rsidRPr="00FA0D37">
              <w:rPr>
                <w:lang w:eastAsia="sv-SE"/>
              </w:rPr>
              <w:t xml:space="preserve"> 4.</w:t>
            </w:r>
            <w:r w:rsidR="001B0D59" w:rsidRPr="00FA0D37">
              <w:rPr>
                <w:lang w:eastAsia="sv-SE"/>
              </w:rPr>
              <w:t>1</w:t>
            </w:r>
            <w:r w:rsidRPr="00FA0D37">
              <w:rPr>
                <w:lang w:eastAsia="sv-SE"/>
              </w:rPr>
              <w:t xml:space="preserve"> </w:t>
            </w:r>
            <w:r w:rsidR="001B0D59" w:rsidRPr="00FA0D37">
              <w:rPr>
                <w:lang w:eastAsia="sv-SE"/>
              </w:rPr>
              <w:t>and 4.2</w:t>
            </w:r>
            <w:r w:rsidRPr="00FA0D37">
              <w:rPr>
                <w:szCs w:val="22"/>
                <w:lang w:eastAsia="sv-SE"/>
              </w:rPr>
              <w:t>.</w:t>
            </w:r>
          </w:p>
        </w:tc>
      </w:tr>
      <w:tr w:rsidR="005C7FF4" w:rsidRPr="00FA0D37"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FA0D37" w:rsidRDefault="008754E6" w:rsidP="000830BB">
            <w:pPr>
              <w:pStyle w:val="TAL"/>
              <w:rPr>
                <w:b/>
                <w:bCs/>
                <w:i/>
                <w:iCs/>
                <w:lang w:eastAsia="sv-SE"/>
              </w:rPr>
            </w:pPr>
            <w:r w:rsidRPr="00FA0D37">
              <w:rPr>
                <w:b/>
                <w:bCs/>
                <w:i/>
                <w:iCs/>
                <w:lang w:eastAsia="en-GB"/>
              </w:rPr>
              <w:t>channelAccessMode2</w:t>
            </w:r>
          </w:p>
          <w:p w14:paraId="59F552F7" w14:textId="16B8ADA7" w:rsidR="008754E6" w:rsidRPr="00FA0D37" w:rsidRDefault="008754E6" w:rsidP="000830BB">
            <w:pPr>
              <w:pStyle w:val="TAL"/>
              <w:rPr>
                <w:lang w:eastAsia="sv-SE"/>
              </w:rPr>
            </w:pPr>
            <w:r w:rsidRPr="00FA0D37">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FA0D37">
              <w:rPr>
                <w:lang w:eastAsia="sv-SE"/>
              </w:rPr>
              <w:t xml:space="preserve"> The network always configures this field if channel access procedures are required for the serving cell within this region by regulations.</w:t>
            </w:r>
          </w:p>
        </w:tc>
      </w:tr>
      <w:tr w:rsidR="005C7FF4" w:rsidRPr="00FA0D37"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FA0D37" w:rsidRDefault="00394471" w:rsidP="00964CC4">
            <w:pPr>
              <w:pStyle w:val="TAL"/>
              <w:rPr>
                <w:szCs w:val="22"/>
                <w:lang w:eastAsia="sv-SE"/>
              </w:rPr>
            </w:pPr>
            <w:r w:rsidRPr="00FA0D37">
              <w:rPr>
                <w:b/>
                <w:i/>
                <w:szCs w:val="22"/>
                <w:lang w:eastAsia="sv-SE"/>
              </w:rPr>
              <w:t>dmrs-TypeA-Position</w:t>
            </w:r>
          </w:p>
          <w:p w14:paraId="7A57351F" w14:textId="77777777" w:rsidR="00394471" w:rsidRPr="00FA0D37" w:rsidRDefault="00394471" w:rsidP="00964CC4">
            <w:pPr>
              <w:pStyle w:val="TAL"/>
              <w:rPr>
                <w:szCs w:val="22"/>
                <w:lang w:eastAsia="sv-SE"/>
              </w:rPr>
            </w:pPr>
            <w:r w:rsidRPr="00FA0D37">
              <w:rPr>
                <w:szCs w:val="22"/>
                <w:lang w:eastAsia="sv-SE"/>
              </w:rPr>
              <w:t>Position of (first) DM-RS for downlink (see TS 38.211 [16], clause 7.4.1.1.1) and uplink (TS 38.211 [16], clause 6.4.1.1.3).</w:t>
            </w:r>
          </w:p>
        </w:tc>
      </w:tr>
      <w:tr w:rsidR="005C7FF4" w:rsidRPr="00FA0D37"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FA0D37" w:rsidRDefault="00394471" w:rsidP="00964CC4">
            <w:pPr>
              <w:pStyle w:val="TAL"/>
              <w:rPr>
                <w:szCs w:val="22"/>
                <w:lang w:eastAsia="sv-SE"/>
              </w:rPr>
            </w:pPr>
            <w:r w:rsidRPr="00FA0D37">
              <w:rPr>
                <w:b/>
                <w:i/>
                <w:szCs w:val="22"/>
                <w:lang w:eastAsia="sv-SE"/>
              </w:rPr>
              <w:t>downlinkConfigCommon</w:t>
            </w:r>
          </w:p>
          <w:p w14:paraId="268CEC21" w14:textId="77777777" w:rsidR="00394471" w:rsidRPr="00FA0D37" w:rsidRDefault="00394471" w:rsidP="00964CC4">
            <w:pPr>
              <w:pStyle w:val="TAL"/>
              <w:rPr>
                <w:szCs w:val="22"/>
                <w:lang w:eastAsia="sv-SE"/>
              </w:rPr>
            </w:pPr>
            <w:r w:rsidRPr="00FA0D37">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A0D37">
              <w:rPr>
                <w:i/>
                <w:szCs w:val="22"/>
                <w:lang w:eastAsia="sv-SE"/>
              </w:rPr>
              <w:t>controlResourceSetZero</w:t>
            </w:r>
            <w:r w:rsidRPr="00FA0D37">
              <w:rPr>
                <w:szCs w:val="22"/>
                <w:lang w:eastAsia="sv-SE"/>
              </w:rPr>
              <w:t xml:space="preserve"> and </w:t>
            </w:r>
            <w:r w:rsidRPr="00FA0D37">
              <w:rPr>
                <w:i/>
                <w:szCs w:val="22"/>
                <w:lang w:eastAsia="sv-SE"/>
              </w:rPr>
              <w:t>searchSpaceZero</w:t>
            </w:r>
            <w:r w:rsidRPr="00FA0D37">
              <w:rPr>
                <w:szCs w:val="22"/>
                <w:lang w:eastAsia="sv-SE"/>
              </w:rPr>
              <w:t xml:space="preserve"> which can be configured in </w:t>
            </w:r>
            <w:r w:rsidRPr="00FA0D37">
              <w:rPr>
                <w:i/>
                <w:szCs w:val="22"/>
                <w:lang w:eastAsia="sv-SE"/>
              </w:rPr>
              <w:t>ServingCellConfigCommon</w:t>
            </w:r>
            <w:r w:rsidRPr="00FA0D37">
              <w:rPr>
                <w:szCs w:val="22"/>
                <w:lang w:eastAsia="sv-SE"/>
              </w:rPr>
              <w:t xml:space="preserve"> even if MIB indicates that they are absent.</w:t>
            </w:r>
          </w:p>
        </w:tc>
      </w:tr>
      <w:tr w:rsidR="005C7FF4" w:rsidRPr="00FA0D37"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FA0D37" w:rsidRDefault="00394471" w:rsidP="00964CC4">
            <w:pPr>
              <w:pStyle w:val="TAL"/>
              <w:rPr>
                <w:b/>
                <w:i/>
                <w:szCs w:val="22"/>
                <w:lang w:eastAsia="sv-SE"/>
              </w:rPr>
            </w:pPr>
            <w:r w:rsidRPr="00FA0D37">
              <w:rPr>
                <w:b/>
                <w:i/>
                <w:szCs w:val="22"/>
                <w:lang w:eastAsia="sv-SE"/>
              </w:rPr>
              <w:t>discoveryBurstWindowLength</w:t>
            </w:r>
          </w:p>
          <w:p w14:paraId="2D66C57F" w14:textId="0EECE4D1" w:rsidR="00394471" w:rsidRPr="00FA0D37" w:rsidRDefault="00394471" w:rsidP="00964CC4">
            <w:pPr>
              <w:pStyle w:val="TAL"/>
              <w:rPr>
                <w:b/>
                <w:i/>
                <w:szCs w:val="22"/>
                <w:lang w:eastAsia="sv-SE"/>
              </w:rPr>
            </w:pPr>
            <w:r w:rsidRPr="00FA0D37">
              <w:rPr>
                <w:szCs w:val="22"/>
                <w:lang w:eastAsia="sv-SE"/>
              </w:rPr>
              <w:t>Indicates the window length of the discovery burst in ms (see TS 37.213 [48]).</w:t>
            </w:r>
            <w:r w:rsidR="008754E6" w:rsidRPr="00FA0D37">
              <w:rPr>
                <w:szCs w:val="22"/>
                <w:lang w:eastAsia="sv-SE"/>
              </w:rPr>
              <w:t xml:space="preserve"> The field </w:t>
            </w:r>
            <w:r w:rsidR="008754E6" w:rsidRPr="00FA0D37">
              <w:rPr>
                <w:i/>
                <w:iCs/>
                <w:szCs w:val="22"/>
                <w:lang w:eastAsia="sv-SE"/>
              </w:rPr>
              <w:t>discoveryBurstWindowLength-r17</w:t>
            </w:r>
            <w:r w:rsidR="008754E6" w:rsidRPr="00FA0D37">
              <w:rPr>
                <w:szCs w:val="22"/>
                <w:lang w:eastAsia="sv-SE"/>
              </w:rPr>
              <w:t xml:space="preserve"> is applicable to SCS 480 kHz and SCS 960 kHz.</w:t>
            </w:r>
          </w:p>
        </w:tc>
      </w:tr>
      <w:tr w:rsidR="005C7FF4" w:rsidRPr="00FA0D37"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FA0D37" w:rsidRDefault="00082087" w:rsidP="0071565C">
            <w:pPr>
              <w:pStyle w:val="TAL"/>
              <w:rPr>
                <w:szCs w:val="22"/>
              </w:rPr>
            </w:pPr>
            <w:r w:rsidRPr="00FA0D37">
              <w:rPr>
                <w:b/>
                <w:i/>
                <w:szCs w:val="22"/>
              </w:rPr>
              <w:t>featurePriorities</w:t>
            </w:r>
          </w:p>
          <w:p w14:paraId="7BA081CB" w14:textId="77777777" w:rsidR="00082087" w:rsidRPr="00FA0D37" w:rsidDel="00EA1F7F" w:rsidRDefault="00082087" w:rsidP="0071565C">
            <w:pPr>
              <w:pStyle w:val="TAL"/>
              <w:rPr>
                <w:b/>
                <w:i/>
                <w:szCs w:val="22"/>
                <w:lang w:eastAsia="sv-SE"/>
              </w:rPr>
            </w:pPr>
            <w:r w:rsidRPr="00FA0D37">
              <w:rPr>
                <w:szCs w:val="22"/>
              </w:rPr>
              <w:t xml:space="preserve">Indicates priorities for features, such as RedCap, Slicing, SDT and MSG3-Repetitions for Coverage Enhancements. These priorities are used to determine which </w:t>
            </w:r>
            <w:r w:rsidRPr="00FA0D37">
              <w:rPr>
                <w:i/>
                <w:iCs/>
                <w:szCs w:val="22"/>
              </w:rPr>
              <w:t>FeatureCombinationPreambles</w:t>
            </w:r>
            <w:r w:rsidRPr="00FA0D37">
              <w:rPr>
                <w:szCs w:val="22"/>
              </w:rPr>
              <w:t xml:space="preserve"> the UE shall use when a feature maps to more than one </w:t>
            </w:r>
            <w:r w:rsidRPr="00FA0D37">
              <w:rPr>
                <w:i/>
                <w:iCs/>
                <w:szCs w:val="22"/>
              </w:rPr>
              <w:t>FeatureCombinationPreambles</w:t>
            </w:r>
            <w:r w:rsidRPr="00FA0D37">
              <w:rPr>
                <w:szCs w:val="22"/>
              </w:rPr>
              <w:t xml:space="preserve">, as specified in TS 38.321 [3]. A lower value means a higher priority. The network does not signal the same priority for more than one feature. The network signals a priority for all feature that map to at least one </w:t>
            </w:r>
            <w:r w:rsidRPr="00FA0D37">
              <w:rPr>
                <w:i/>
                <w:iCs/>
                <w:szCs w:val="22"/>
              </w:rPr>
              <w:t>FeatureCombinationPreambles</w:t>
            </w:r>
            <w:r w:rsidRPr="00FA0D37">
              <w:rPr>
                <w:szCs w:val="22"/>
              </w:rPr>
              <w:t>.</w:t>
            </w:r>
          </w:p>
        </w:tc>
      </w:tr>
      <w:tr w:rsidR="005C7FF4" w:rsidRPr="00FA0D37"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FA0D37" w:rsidRDefault="00394471" w:rsidP="00964CC4">
            <w:pPr>
              <w:pStyle w:val="TAL"/>
              <w:rPr>
                <w:szCs w:val="22"/>
                <w:lang w:eastAsia="sv-SE"/>
              </w:rPr>
            </w:pPr>
            <w:r w:rsidRPr="00FA0D37">
              <w:rPr>
                <w:b/>
                <w:i/>
                <w:szCs w:val="22"/>
                <w:lang w:eastAsia="sv-SE"/>
              </w:rPr>
              <w:t>longBitmap</w:t>
            </w:r>
          </w:p>
          <w:p w14:paraId="55695BF5" w14:textId="77777777" w:rsidR="00394471" w:rsidRPr="00FA0D37" w:rsidRDefault="00394471" w:rsidP="00964CC4">
            <w:pPr>
              <w:pStyle w:val="TAL"/>
              <w:rPr>
                <w:szCs w:val="22"/>
                <w:lang w:eastAsia="sv-SE"/>
              </w:rPr>
            </w:pPr>
            <w:r w:rsidRPr="00FA0D37">
              <w:rPr>
                <w:szCs w:val="22"/>
                <w:lang w:eastAsia="sv-SE"/>
              </w:rPr>
              <w:t>Bitmap when maximum number of SS/PBCH blocks per half frame equals to 64 as defined in TS 38.213 [13], clause 4.1.</w:t>
            </w:r>
          </w:p>
        </w:tc>
      </w:tr>
      <w:tr w:rsidR="005C7FF4" w:rsidRPr="00FA0D37"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FA0D37" w:rsidRDefault="00394471" w:rsidP="00964CC4">
            <w:pPr>
              <w:pStyle w:val="TAL"/>
              <w:rPr>
                <w:szCs w:val="22"/>
                <w:lang w:eastAsia="sv-SE"/>
              </w:rPr>
            </w:pPr>
            <w:r w:rsidRPr="00FA0D37">
              <w:rPr>
                <w:b/>
                <w:i/>
                <w:szCs w:val="22"/>
                <w:lang w:eastAsia="sv-SE"/>
              </w:rPr>
              <w:t>lte-CRS-ToMatchAround</w:t>
            </w:r>
          </w:p>
          <w:p w14:paraId="32E1227F" w14:textId="77777777" w:rsidR="00394471" w:rsidRPr="00FA0D37" w:rsidRDefault="00394471" w:rsidP="00964CC4">
            <w:pPr>
              <w:pStyle w:val="TAL"/>
              <w:rPr>
                <w:szCs w:val="22"/>
                <w:lang w:eastAsia="sv-SE"/>
              </w:rPr>
            </w:pPr>
            <w:r w:rsidRPr="00FA0D37">
              <w:rPr>
                <w:szCs w:val="22"/>
                <w:lang w:eastAsia="sv-SE"/>
              </w:rPr>
              <w:t>Parameters to determine an LTE CRS pattern that the UE shall rate match around.</w:t>
            </w:r>
          </w:p>
        </w:tc>
      </w:tr>
      <w:tr w:rsidR="005C7FF4" w:rsidRPr="00FA0D37"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FA0D37" w:rsidRDefault="00394471" w:rsidP="00964CC4">
            <w:pPr>
              <w:pStyle w:val="TAL"/>
              <w:rPr>
                <w:szCs w:val="22"/>
                <w:lang w:eastAsia="sv-SE"/>
              </w:rPr>
            </w:pPr>
            <w:r w:rsidRPr="00FA0D37">
              <w:rPr>
                <w:b/>
                <w:i/>
                <w:szCs w:val="22"/>
                <w:lang w:eastAsia="sv-SE"/>
              </w:rPr>
              <w:t>mediumBitmap</w:t>
            </w:r>
          </w:p>
          <w:p w14:paraId="6582D22E" w14:textId="77777777" w:rsidR="00394471" w:rsidRPr="00FA0D37" w:rsidRDefault="00394471" w:rsidP="00964CC4">
            <w:pPr>
              <w:pStyle w:val="TAL"/>
              <w:rPr>
                <w:szCs w:val="22"/>
                <w:lang w:eastAsia="sv-SE"/>
              </w:rPr>
            </w:pPr>
            <w:r w:rsidRPr="00FA0D37">
              <w:rPr>
                <w:szCs w:val="22"/>
                <w:lang w:eastAsia="sv-SE"/>
              </w:rPr>
              <w:t>Bitmap when maximum number of SS/PBCH blocks per half frame equals to 8 as defined in TS 38.213 [13], clause 4.1.</w:t>
            </w:r>
          </w:p>
        </w:tc>
      </w:tr>
      <w:tr w:rsidR="005C7FF4" w:rsidRPr="00FA0D37"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FA0D37" w:rsidRDefault="00394471" w:rsidP="00964CC4">
            <w:pPr>
              <w:pStyle w:val="TAL"/>
              <w:rPr>
                <w:b/>
                <w:i/>
                <w:szCs w:val="22"/>
                <w:lang w:eastAsia="sv-SE"/>
              </w:rPr>
            </w:pPr>
            <w:r w:rsidRPr="00FA0D37">
              <w:rPr>
                <w:b/>
                <w:i/>
                <w:szCs w:val="22"/>
                <w:lang w:eastAsia="sv-SE"/>
              </w:rPr>
              <w:t>n-TimingAdvanceOffset</w:t>
            </w:r>
          </w:p>
          <w:p w14:paraId="3F996820" w14:textId="77777777" w:rsidR="00394471" w:rsidRPr="00FA0D37" w:rsidRDefault="00394471" w:rsidP="00964CC4">
            <w:pPr>
              <w:pStyle w:val="TAL"/>
              <w:rPr>
                <w:b/>
                <w:i/>
                <w:szCs w:val="22"/>
                <w:lang w:eastAsia="sv-SE"/>
              </w:rPr>
            </w:pPr>
            <w:r w:rsidRPr="00FA0D37">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5C7FF4" w:rsidRPr="00FA0D37"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FA0D37" w:rsidRDefault="00D5120D" w:rsidP="0071565C">
            <w:pPr>
              <w:pStyle w:val="TAL"/>
              <w:rPr>
                <w:rFonts w:eastAsia="MS Mincho"/>
                <w:b/>
                <w:i/>
                <w:szCs w:val="22"/>
                <w:lang w:eastAsia="sv-SE"/>
              </w:rPr>
            </w:pPr>
            <w:r w:rsidRPr="00FA0D37">
              <w:rPr>
                <w:rFonts w:eastAsia="MS Mincho"/>
                <w:b/>
                <w:i/>
                <w:szCs w:val="22"/>
                <w:lang w:eastAsia="sv-SE"/>
              </w:rPr>
              <w:t>ra-ChannelAccess</w:t>
            </w:r>
          </w:p>
          <w:p w14:paraId="304AE317" w14:textId="77777777" w:rsidR="00D5120D" w:rsidRPr="00FA0D37" w:rsidRDefault="00D5120D" w:rsidP="0071565C">
            <w:pPr>
              <w:pStyle w:val="TAL"/>
              <w:rPr>
                <w:b/>
                <w:i/>
                <w:szCs w:val="22"/>
                <w:lang w:eastAsia="sv-SE"/>
              </w:rPr>
            </w:pPr>
            <w:r w:rsidRPr="00FA0D37">
              <w:t xml:space="preserve">If present, this field </w:t>
            </w:r>
            <w:r w:rsidRPr="00FA0D37">
              <w:rPr>
                <w:lang w:eastAsia="sv-SE"/>
              </w:rPr>
              <w:t>indicates that the UE shall apply channel access procedures before msg1/msgA transmission for operation with shared spectrum channel access in accordance with TS 37.213 [48], clause 4.4.5 for FR2-2.</w:t>
            </w:r>
          </w:p>
        </w:tc>
      </w:tr>
      <w:tr w:rsidR="005C7FF4" w:rsidRPr="00FA0D37"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FA0D37" w:rsidRDefault="00394471" w:rsidP="00964CC4">
            <w:pPr>
              <w:pStyle w:val="TAL"/>
              <w:rPr>
                <w:szCs w:val="22"/>
                <w:lang w:eastAsia="sv-SE"/>
              </w:rPr>
            </w:pPr>
            <w:r w:rsidRPr="00FA0D37">
              <w:rPr>
                <w:b/>
                <w:i/>
                <w:szCs w:val="22"/>
                <w:lang w:eastAsia="sv-SE"/>
              </w:rPr>
              <w:t>rateMatchPatternToAddModList</w:t>
            </w:r>
          </w:p>
          <w:p w14:paraId="319C1F00" w14:textId="3474082E" w:rsidR="00394471" w:rsidRPr="00FA0D37" w:rsidRDefault="00394471" w:rsidP="00964CC4">
            <w:pPr>
              <w:pStyle w:val="TAL"/>
              <w:rPr>
                <w:szCs w:val="22"/>
                <w:lang w:eastAsia="sv-SE"/>
              </w:rPr>
            </w:pPr>
            <w:r w:rsidRPr="00FA0D37">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FA0D37">
              <w:rPr>
                <w:szCs w:val="22"/>
                <w:lang w:eastAsia="sv-SE"/>
              </w:rPr>
              <w:t>.</w:t>
            </w:r>
            <w:r w:rsidRPr="00FA0D37">
              <w:rPr>
                <w:szCs w:val="22"/>
                <w:lang w:eastAsia="sv-SE"/>
              </w:rPr>
              <w:t>1).</w:t>
            </w:r>
            <w:r w:rsidR="00280BA7" w:rsidRPr="00FA0D37">
              <w:t xml:space="preserve"> If a </w:t>
            </w:r>
            <w:r w:rsidR="00280BA7" w:rsidRPr="00FA0D37">
              <w:rPr>
                <w:i/>
              </w:rPr>
              <w:t>RateMatchPattern</w:t>
            </w:r>
            <w:r w:rsidR="00280BA7" w:rsidRPr="00FA0D37">
              <w:t xml:space="preserve"> with the same </w:t>
            </w:r>
            <w:r w:rsidR="00280BA7" w:rsidRPr="00FA0D37">
              <w:rPr>
                <w:i/>
              </w:rPr>
              <w:t>RateMatchPatternId</w:t>
            </w:r>
            <w:r w:rsidR="00280BA7" w:rsidRPr="00FA0D37">
              <w:t xml:space="preserve"> is configured in both </w:t>
            </w:r>
            <w:r w:rsidR="00280BA7" w:rsidRPr="00FA0D37">
              <w:rPr>
                <w:i/>
              </w:rPr>
              <w:t>ServingCellConfig/ServingCellConfigCommon</w:t>
            </w:r>
            <w:r w:rsidR="00280BA7" w:rsidRPr="00FA0D37">
              <w:t xml:space="preserve"> and in SIB20/MCCH, the entire </w:t>
            </w:r>
            <w:r w:rsidR="00280BA7" w:rsidRPr="00FA0D37">
              <w:rPr>
                <w:i/>
              </w:rPr>
              <w:t>RateMatchPattern</w:t>
            </w:r>
            <w:r w:rsidR="00280BA7" w:rsidRPr="00FA0D37">
              <w:t xml:space="preserve"> configuration</w:t>
            </w:r>
            <w:r w:rsidR="00FD05B6" w:rsidRPr="00FA0D37">
              <w:rPr>
                <w:szCs w:val="22"/>
                <w:lang w:eastAsia="sv-SE"/>
              </w:rPr>
              <w:t>, including the set of RBs/REs indicated by the patterns for the rate matching around,</w:t>
            </w:r>
            <w:r w:rsidR="00280BA7" w:rsidRPr="00FA0D37">
              <w:t xml:space="preserve"> shall be the same and they are counted as a single rate match pattern in the total configured rate match patterns as defined in TS 38.214 [19].</w:t>
            </w:r>
          </w:p>
        </w:tc>
      </w:tr>
      <w:tr w:rsidR="005C7FF4" w:rsidRPr="00FA0D37"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FA0D37" w:rsidRDefault="00394471" w:rsidP="00964CC4">
            <w:pPr>
              <w:pStyle w:val="TAL"/>
              <w:rPr>
                <w:szCs w:val="22"/>
                <w:lang w:eastAsia="sv-SE"/>
              </w:rPr>
            </w:pPr>
            <w:r w:rsidRPr="00FA0D37">
              <w:rPr>
                <w:b/>
                <w:i/>
                <w:szCs w:val="22"/>
                <w:lang w:eastAsia="sv-SE"/>
              </w:rPr>
              <w:t>shortBitmap</w:t>
            </w:r>
          </w:p>
          <w:p w14:paraId="7F915E37" w14:textId="77777777" w:rsidR="00394471" w:rsidRPr="00FA0D37" w:rsidRDefault="00394471" w:rsidP="00964CC4">
            <w:pPr>
              <w:pStyle w:val="TAL"/>
              <w:rPr>
                <w:szCs w:val="22"/>
                <w:lang w:eastAsia="sv-SE"/>
              </w:rPr>
            </w:pPr>
            <w:r w:rsidRPr="00FA0D37">
              <w:rPr>
                <w:szCs w:val="22"/>
                <w:lang w:eastAsia="sv-SE"/>
              </w:rPr>
              <w:t>Bitmap when maximum number of SS/PBCH blocks per half frame equals to 4 as defined in TS 38.213 [13], clause 4.1.</w:t>
            </w:r>
          </w:p>
        </w:tc>
      </w:tr>
      <w:tr w:rsidR="005C7FF4" w:rsidRPr="00FA0D37"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FA0D37" w:rsidRDefault="00394471" w:rsidP="00964CC4">
            <w:pPr>
              <w:pStyle w:val="TAL"/>
              <w:rPr>
                <w:szCs w:val="22"/>
                <w:lang w:eastAsia="sv-SE"/>
              </w:rPr>
            </w:pPr>
            <w:r w:rsidRPr="00FA0D37">
              <w:rPr>
                <w:b/>
                <w:i/>
                <w:szCs w:val="22"/>
                <w:lang w:eastAsia="sv-SE"/>
              </w:rPr>
              <w:t>ss-PBCH-BlockPower</w:t>
            </w:r>
          </w:p>
          <w:p w14:paraId="66A3400A" w14:textId="77777777" w:rsidR="00394471" w:rsidRPr="00FA0D37" w:rsidRDefault="00394471" w:rsidP="00964CC4">
            <w:pPr>
              <w:pStyle w:val="TAL"/>
              <w:rPr>
                <w:szCs w:val="22"/>
                <w:lang w:eastAsia="sv-SE"/>
              </w:rPr>
            </w:pPr>
            <w:r w:rsidRPr="00FA0D37">
              <w:rPr>
                <w:szCs w:val="22"/>
                <w:lang w:eastAsia="sv-SE"/>
              </w:rPr>
              <w:t>Average EPRE of the resources elements that carry secondary synchronization signals in dBm that the NW used for SSB transmission, see TS 38.213 [13], clause 7.</w:t>
            </w:r>
          </w:p>
        </w:tc>
      </w:tr>
      <w:tr w:rsidR="005C7FF4" w:rsidRPr="00FA0D37"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FA0D37" w:rsidRDefault="00394471" w:rsidP="00964CC4">
            <w:pPr>
              <w:pStyle w:val="TAL"/>
              <w:rPr>
                <w:szCs w:val="22"/>
                <w:lang w:eastAsia="sv-SE"/>
              </w:rPr>
            </w:pPr>
            <w:r w:rsidRPr="00FA0D37">
              <w:rPr>
                <w:b/>
                <w:i/>
                <w:szCs w:val="22"/>
                <w:lang w:eastAsia="sv-SE"/>
              </w:rPr>
              <w:lastRenderedPageBreak/>
              <w:t>ssb-periodicityServingCell</w:t>
            </w:r>
          </w:p>
          <w:p w14:paraId="3631C12E" w14:textId="77777777" w:rsidR="00394471" w:rsidRPr="00FA0D37" w:rsidRDefault="00394471" w:rsidP="00964CC4">
            <w:pPr>
              <w:pStyle w:val="TAL"/>
              <w:rPr>
                <w:szCs w:val="22"/>
                <w:lang w:eastAsia="sv-SE"/>
              </w:rPr>
            </w:pPr>
            <w:r w:rsidRPr="00FA0D37">
              <w:rPr>
                <w:szCs w:val="22"/>
                <w:lang w:eastAsia="sv-SE"/>
              </w:rPr>
              <w:t>The SSB periodicity in ms for the rate matching purpose. If the field is absent, the UE applies the value ms5. (see TS 38.213 [13], clause 4.1)</w:t>
            </w:r>
          </w:p>
        </w:tc>
      </w:tr>
      <w:tr w:rsidR="005C7FF4" w:rsidRPr="00FA0D37"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FA0D37" w:rsidRDefault="00394471" w:rsidP="00964CC4">
            <w:pPr>
              <w:pStyle w:val="TAL"/>
              <w:rPr>
                <w:b/>
                <w:bCs/>
                <w:i/>
                <w:iCs/>
                <w:lang w:eastAsia="sv-SE"/>
              </w:rPr>
            </w:pPr>
            <w:r w:rsidRPr="00FA0D37">
              <w:rPr>
                <w:b/>
                <w:bCs/>
                <w:i/>
                <w:iCs/>
                <w:lang w:eastAsia="sv-SE"/>
              </w:rPr>
              <w:t>ssb-PositionQCL</w:t>
            </w:r>
          </w:p>
          <w:p w14:paraId="255948D2" w14:textId="6FD360A4" w:rsidR="00394471" w:rsidRPr="00FA0D37" w:rsidRDefault="00394471" w:rsidP="00964CC4">
            <w:pPr>
              <w:pStyle w:val="TAL"/>
              <w:rPr>
                <w:b/>
                <w:i/>
                <w:szCs w:val="22"/>
                <w:lang w:eastAsia="sv-SE"/>
              </w:rPr>
            </w:pPr>
            <w:r w:rsidRPr="00FA0D37">
              <w:rPr>
                <w:rFonts w:cs="Arial"/>
                <w:bCs/>
                <w:lang w:eastAsia="en-GB"/>
              </w:rPr>
              <w:t>Indicates the QCL relation between SSB positions for this serving cell as specified in TS 38.213 [13], clause 4.1.</w:t>
            </w:r>
          </w:p>
        </w:tc>
      </w:tr>
      <w:tr w:rsidR="005C7FF4" w:rsidRPr="00FA0D37"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FA0D37" w:rsidRDefault="00394471" w:rsidP="00964CC4">
            <w:pPr>
              <w:pStyle w:val="TAL"/>
              <w:rPr>
                <w:szCs w:val="22"/>
                <w:lang w:eastAsia="sv-SE"/>
              </w:rPr>
            </w:pPr>
            <w:r w:rsidRPr="00FA0D37">
              <w:rPr>
                <w:b/>
                <w:i/>
                <w:szCs w:val="22"/>
                <w:lang w:eastAsia="sv-SE"/>
              </w:rPr>
              <w:t>ssb-PositionsInBurst</w:t>
            </w:r>
          </w:p>
          <w:p w14:paraId="42A54F0F" w14:textId="77777777" w:rsidR="00394471" w:rsidRPr="00FA0D37" w:rsidRDefault="00394471" w:rsidP="00964CC4">
            <w:pPr>
              <w:pStyle w:val="TAL"/>
              <w:rPr>
                <w:szCs w:val="22"/>
                <w:lang w:eastAsia="sv-SE"/>
              </w:rPr>
            </w:pPr>
            <w:r w:rsidRPr="00FA0D37">
              <w:rPr>
                <w:szCs w:val="22"/>
              </w:rPr>
              <w:t>For operation in licensed spectrum, i</w:t>
            </w:r>
            <w:r w:rsidRPr="00FA0D37">
              <w:rPr>
                <w:szCs w:val="22"/>
                <w:lang w:eastAsia="sv-SE"/>
              </w:rPr>
              <w:t xml:space="preserve">ndicates the time domain positions of the transmitted SS-blocks in </w:t>
            </w:r>
            <w:r w:rsidRPr="00FA0D37">
              <w:rPr>
                <w:lang w:eastAsia="sv-SE"/>
              </w:rPr>
              <w:t>a half frame with SS/PBCH blocks</w:t>
            </w:r>
            <w:r w:rsidRPr="00FA0D3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FA0D37" w:rsidRDefault="00394471" w:rsidP="00964CC4">
            <w:pPr>
              <w:pStyle w:val="TAL"/>
              <w:rPr>
                <w:szCs w:val="22"/>
                <w:lang w:eastAsia="sv-SE"/>
              </w:rPr>
            </w:pPr>
            <w:r w:rsidRPr="00FA0D37">
              <w:rPr>
                <w:szCs w:val="22"/>
                <w:lang w:eastAsia="sv-SE"/>
              </w:rPr>
              <w:t xml:space="preserve">For operation with shared spectrum channel access, </w:t>
            </w:r>
            <w:r w:rsidRPr="00FA0D37">
              <w:rPr>
                <w:rFonts w:cs="Arial"/>
                <w:szCs w:val="18"/>
              </w:rPr>
              <w:t xml:space="preserve">the UE assumes that one or more SS/PBCH blocks indicated by </w:t>
            </w:r>
            <w:r w:rsidRPr="00FA0D37">
              <w:rPr>
                <w:rFonts w:cs="Arial"/>
                <w:i/>
                <w:iCs/>
                <w:szCs w:val="18"/>
              </w:rPr>
              <w:t>ssb-PositionsInBurst</w:t>
            </w:r>
            <w:r w:rsidRPr="00FA0D37">
              <w:rPr>
                <w:rFonts w:cs="Arial"/>
                <w:szCs w:val="18"/>
              </w:rPr>
              <w:t xml:space="preserve"> may be transmitted within the discovery burst transmission window and have candidate SS/PBCH blocks indexes corresponding to SS/PBCH block indexes provided by </w:t>
            </w:r>
            <w:r w:rsidRPr="00FA0D37">
              <w:rPr>
                <w:rFonts w:cs="Arial"/>
                <w:i/>
                <w:iCs/>
                <w:szCs w:val="18"/>
              </w:rPr>
              <w:t>ssb-PositionsInBurst</w:t>
            </w:r>
            <w:r w:rsidRPr="00FA0D37">
              <w:rPr>
                <w:rFonts w:cs="Arial"/>
                <w:szCs w:val="18"/>
              </w:rPr>
              <w:t xml:space="preserve"> (see TS 38.213 [13], clause 4.1). If the k-th bit of </w:t>
            </w:r>
            <w:r w:rsidRPr="00FA0D37">
              <w:rPr>
                <w:rFonts w:cs="Arial"/>
                <w:i/>
                <w:iCs/>
                <w:szCs w:val="18"/>
              </w:rPr>
              <w:t>ssb-PositionsInBurst</w:t>
            </w:r>
            <w:r w:rsidRPr="00FA0D37">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FA0D37">
              <w:rPr>
                <w:rFonts w:cs="Arial"/>
                <w:szCs w:val="18"/>
              </w:rPr>
              <w:t>T</w:t>
            </w:r>
            <w:r w:rsidRPr="00FA0D37">
              <w:rPr>
                <w:rFonts w:cs="Arial"/>
                <w:szCs w:val="18"/>
              </w:rPr>
              <w:t xml:space="preserve">he k-th bit is set to 0, where k &gt; </w:t>
            </w:r>
            <w:r w:rsidRPr="00FA0D37">
              <w:rPr>
                <w:rFonts w:cs="Arial"/>
                <w:i/>
                <w:szCs w:val="18"/>
              </w:rPr>
              <w:t xml:space="preserve">ssb-PositionQCL </w:t>
            </w:r>
            <w:r w:rsidRPr="00FA0D37">
              <w:rPr>
                <w:rFonts w:cs="Arial"/>
                <w:iCs/>
                <w:szCs w:val="18"/>
              </w:rPr>
              <w:t xml:space="preserve">and </w:t>
            </w:r>
            <w:r w:rsidRPr="00FA0D37">
              <w:rPr>
                <w:rFonts w:cs="Arial"/>
                <w:szCs w:val="18"/>
              </w:rPr>
              <w:t xml:space="preserve">the number of actually transmitted SS/PBCH blocks is not larger than the number of 1's in the bitmap. The network configures the same pattern in this field as in the corresponding field in </w:t>
            </w:r>
            <w:r w:rsidRPr="00FA0D37">
              <w:rPr>
                <w:rFonts w:cs="Arial"/>
                <w:i/>
                <w:iCs/>
                <w:szCs w:val="18"/>
              </w:rPr>
              <w:t>ServingCellConfigCommonSIB</w:t>
            </w:r>
            <w:r w:rsidRPr="00FA0D37">
              <w:rPr>
                <w:szCs w:val="22"/>
                <w:lang w:eastAsia="sv-SE"/>
              </w:rPr>
              <w:t>.</w:t>
            </w:r>
            <w:r w:rsidR="008754E6" w:rsidRPr="00FA0D37">
              <w:t xml:space="preserve"> </w:t>
            </w:r>
            <w:r w:rsidR="008754E6" w:rsidRPr="00FA0D37">
              <w:rPr>
                <w:szCs w:val="22"/>
                <w:lang w:eastAsia="sv-SE"/>
              </w:rPr>
              <w:t xml:space="preserve">For operation with shared spectrum channel access in FR1, only </w:t>
            </w:r>
            <w:r w:rsidR="008754E6" w:rsidRPr="00FA0D37">
              <w:rPr>
                <w:i/>
                <w:iCs/>
              </w:rPr>
              <w:t>mediumBitmap</w:t>
            </w:r>
            <w:r w:rsidR="008754E6" w:rsidRPr="00FA0D37">
              <w:rPr>
                <w:szCs w:val="22"/>
                <w:lang w:eastAsia="sv-SE"/>
              </w:rPr>
              <w:t xml:space="preserve"> is used, and for FR2-2, </w:t>
            </w:r>
            <w:r w:rsidR="008754E6" w:rsidRPr="00FA0D37">
              <w:rPr>
                <w:i/>
                <w:iCs/>
                <w:szCs w:val="22"/>
                <w:lang w:eastAsia="sv-SE"/>
              </w:rPr>
              <w:t>longBitmap</w:t>
            </w:r>
            <w:r w:rsidR="008754E6" w:rsidRPr="00FA0D37">
              <w:rPr>
                <w:szCs w:val="22"/>
                <w:lang w:eastAsia="sv-SE"/>
              </w:rPr>
              <w:t xml:space="preserve"> is used.</w:t>
            </w:r>
          </w:p>
        </w:tc>
      </w:tr>
      <w:tr w:rsidR="005C7FF4" w:rsidRPr="00FA0D37"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FA0D37" w:rsidRDefault="00394471" w:rsidP="00964CC4">
            <w:pPr>
              <w:pStyle w:val="TAL"/>
              <w:rPr>
                <w:szCs w:val="22"/>
                <w:lang w:eastAsia="sv-SE"/>
              </w:rPr>
            </w:pPr>
            <w:r w:rsidRPr="00FA0D37">
              <w:rPr>
                <w:b/>
                <w:i/>
                <w:szCs w:val="22"/>
                <w:lang w:eastAsia="sv-SE"/>
              </w:rPr>
              <w:t>ssbSubcarrierSpacing</w:t>
            </w:r>
          </w:p>
          <w:p w14:paraId="1B0575FD" w14:textId="1F0C3092" w:rsidR="00394471" w:rsidRPr="00FA0D37" w:rsidRDefault="00394471" w:rsidP="00964CC4">
            <w:pPr>
              <w:pStyle w:val="TAL"/>
              <w:rPr>
                <w:szCs w:val="22"/>
                <w:lang w:eastAsia="sv-SE"/>
              </w:rPr>
            </w:pPr>
            <w:r w:rsidRPr="00FA0D37">
              <w:rPr>
                <w:szCs w:val="22"/>
                <w:lang w:eastAsia="sv-SE"/>
              </w:rPr>
              <w:t>Subcarrier spacing of SSB.</w:t>
            </w:r>
          </w:p>
          <w:p w14:paraId="120D3D9C" w14:textId="77777777" w:rsidR="008754E6" w:rsidRPr="00FA0D37" w:rsidRDefault="008754E6" w:rsidP="008754E6">
            <w:pPr>
              <w:pStyle w:val="TAL"/>
              <w:rPr>
                <w:szCs w:val="22"/>
                <w:lang w:eastAsia="sv-SE"/>
              </w:rPr>
            </w:pPr>
            <w:r w:rsidRPr="00FA0D37">
              <w:rPr>
                <w:szCs w:val="22"/>
                <w:lang w:eastAsia="sv-SE"/>
              </w:rPr>
              <w:t>Only the following values are applicable depending on the used frequency:</w:t>
            </w:r>
          </w:p>
          <w:p w14:paraId="210148C4" w14:textId="77777777" w:rsidR="008754E6" w:rsidRPr="00FA0D37" w:rsidRDefault="008754E6" w:rsidP="008754E6">
            <w:pPr>
              <w:pStyle w:val="TAL"/>
              <w:rPr>
                <w:szCs w:val="22"/>
                <w:lang w:eastAsia="sv-SE"/>
              </w:rPr>
            </w:pPr>
            <w:r w:rsidRPr="00FA0D37">
              <w:rPr>
                <w:szCs w:val="22"/>
                <w:lang w:eastAsia="sv-SE"/>
              </w:rPr>
              <w:t>FR1:   15 or 30 kHz</w:t>
            </w:r>
          </w:p>
          <w:p w14:paraId="4951386E" w14:textId="001A6C56" w:rsidR="008754E6" w:rsidRPr="00FA0D37" w:rsidRDefault="008754E6" w:rsidP="008754E6">
            <w:pPr>
              <w:pStyle w:val="TAL"/>
              <w:rPr>
                <w:szCs w:val="22"/>
                <w:lang w:eastAsia="sv-SE"/>
              </w:rPr>
            </w:pPr>
            <w:r w:rsidRPr="00FA0D37">
              <w:rPr>
                <w:szCs w:val="22"/>
                <w:lang w:eastAsia="sv-SE"/>
              </w:rPr>
              <w:t>FR2-1:  120 or 240 kHz</w:t>
            </w:r>
          </w:p>
          <w:p w14:paraId="5B5F43E0" w14:textId="4BEEBAC3" w:rsidR="008754E6" w:rsidRPr="00FA0D37" w:rsidRDefault="008754E6" w:rsidP="008754E6">
            <w:pPr>
              <w:pStyle w:val="TAL"/>
              <w:rPr>
                <w:szCs w:val="22"/>
                <w:lang w:eastAsia="sv-SE"/>
              </w:rPr>
            </w:pPr>
            <w:r w:rsidRPr="00FA0D37">
              <w:rPr>
                <w:szCs w:val="22"/>
                <w:lang w:eastAsia="sv-SE"/>
              </w:rPr>
              <w:t>FR2-2:  120, 480, or 960 kHz</w:t>
            </w:r>
          </w:p>
        </w:tc>
      </w:tr>
      <w:tr w:rsidR="005C7FF4" w:rsidRPr="00FA0D37"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FA0D37" w:rsidRDefault="00394471" w:rsidP="00964CC4">
            <w:pPr>
              <w:pStyle w:val="TAL"/>
              <w:rPr>
                <w:b/>
                <w:bCs/>
                <w:i/>
                <w:iCs/>
                <w:lang w:eastAsia="sv-SE"/>
              </w:rPr>
            </w:pPr>
            <w:r w:rsidRPr="00FA0D37">
              <w:rPr>
                <w:b/>
                <w:bCs/>
                <w:i/>
                <w:iCs/>
                <w:lang w:eastAsia="sv-SE"/>
              </w:rPr>
              <w:t>supplementaryUplinkConfig</w:t>
            </w:r>
          </w:p>
          <w:p w14:paraId="364DC230" w14:textId="77777777" w:rsidR="00394471" w:rsidRPr="00FA0D37" w:rsidRDefault="00394471" w:rsidP="00964CC4">
            <w:pPr>
              <w:pStyle w:val="TAL"/>
              <w:rPr>
                <w:b/>
                <w:i/>
                <w:szCs w:val="22"/>
                <w:lang w:eastAsia="sv-SE"/>
              </w:rPr>
            </w:pPr>
            <w:r w:rsidRPr="00FA0D37">
              <w:rPr>
                <w:szCs w:val="22"/>
                <w:lang w:eastAsia="sv-SE"/>
              </w:rPr>
              <w:t xml:space="preserve">The network configures this field only if </w:t>
            </w:r>
            <w:r w:rsidRPr="00FA0D37">
              <w:rPr>
                <w:i/>
                <w:szCs w:val="22"/>
                <w:lang w:eastAsia="sv-SE"/>
              </w:rPr>
              <w:t>uplinkConfigCommon</w:t>
            </w:r>
            <w:r w:rsidRPr="00FA0D37">
              <w:rPr>
                <w:szCs w:val="22"/>
                <w:lang w:eastAsia="sv-SE"/>
              </w:rPr>
              <w:t xml:space="preserve"> is configured</w:t>
            </w:r>
            <w:r w:rsidRPr="00FA0D37">
              <w:rPr>
                <w:szCs w:val="22"/>
                <w:lang w:eastAsia="zh-CN"/>
              </w:rPr>
              <w:t xml:space="preserve">. If this field is absent, the UE shall release the </w:t>
            </w:r>
            <w:r w:rsidRPr="00FA0D37">
              <w:rPr>
                <w:i/>
                <w:szCs w:val="22"/>
                <w:lang w:eastAsia="zh-CN"/>
              </w:rPr>
              <w:t>supplementaryUplinkConfig</w:t>
            </w:r>
            <w:r w:rsidRPr="00FA0D37">
              <w:rPr>
                <w:szCs w:val="22"/>
                <w:lang w:eastAsia="zh-CN"/>
              </w:rPr>
              <w:t xml:space="preserve"> and the </w:t>
            </w:r>
            <w:r w:rsidRPr="00FA0D37">
              <w:rPr>
                <w:i/>
                <w:szCs w:val="22"/>
                <w:lang w:eastAsia="zh-CN"/>
              </w:rPr>
              <w:t>supplementaryUplink</w:t>
            </w:r>
            <w:r w:rsidRPr="00FA0D37">
              <w:rPr>
                <w:szCs w:val="22"/>
                <w:lang w:eastAsia="zh-CN"/>
              </w:rPr>
              <w:t xml:space="preserve"> configured in </w:t>
            </w:r>
            <w:r w:rsidRPr="00FA0D37">
              <w:rPr>
                <w:i/>
                <w:szCs w:val="22"/>
                <w:lang w:eastAsia="zh-CN"/>
              </w:rPr>
              <w:t>ServingCellConfig</w:t>
            </w:r>
            <w:r w:rsidRPr="00FA0D37">
              <w:rPr>
                <w:szCs w:val="22"/>
                <w:lang w:eastAsia="zh-CN"/>
              </w:rPr>
              <w:t xml:space="preserve"> of this serving cell, if configured.</w:t>
            </w:r>
          </w:p>
        </w:tc>
      </w:tr>
      <w:tr w:rsidR="00394471" w:rsidRPr="00FA0D37"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FA0D37" w:rsidRDefault="00394471" w:rsidP="00964CC4">
            <w:pPr>
              <w:pStyle w:val="TAL"/>
              <w:rPr>
                <w:szCs w:val="22"/>
                <w:lang w:eastAsia="sv-SE"/>
              </w:rPr>
            </w:pPr>
            <w:r w:rsidRPr="00FA0D37">
              <w:rPr>
                <w:b/>
                <w:i/>
                <w:szCs w:val="22"/>
                <w:lang w:eastAsia="sv-SE"/>
              </w:rPr>
              <w:t>tdd-UL-DL-ConfigurationCommon</w:t>
            </w:r>
          </w:p>
          <w:p w14:paraId="5DAE6283" w14:textId="77777777" w:rsidR="00394471" w:rsidRPr="00FA0D37" w:rsidRDefault="00394471" w:rsidP="00964CC4">
            <w:pPr>
              <w:pStyle w:val="TAL"/>
              <w:rPr>
                <w:b/>
                <w:i/>
                <w:szCs w:val="22"/>
                <w:lang w:eastAsia="sv-SE"/>
              </w:rPr>
            </w:pPr>
            <w:r w:rsidRPr="00FA0D37">
              <w:rPr>
                <w:lang w:eastAsia="sv-SE"/>
              </w:rPr>
              <w:t>A cell-specific TDD UL/DL configuration, see TS 38.213 [13], clause 11.1.</w:t>
            </w:r>
          </w:p>
        </w:tc>
      </w:tr>
    </w:tbl>
    <w:p w14:paraId="364AE24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FA0D37" w:rsidRDefault="00394471" w:rsidP="00964CC4">
            <w:pPr>
              <w:pStyle w:val="TAH"/>
              <w:rPr>
                <w:lang w:eastAsia="sv-SE"/>
              </w:rPr>
            </w:pPr>
            <w:r w:rsidRPr="00FA0D37">
              <w:rPr>
                <w:lang w:eastAsia="sv-SE"/>
              </w:rPr>
              <w:t>Explanation</w:t>
            </w:r>
          </w:p>
        </w:tc>
      </w:tr>
      <w:tr w:rsidR="005C7FF4" w:rsidRPr="00FA0D37"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FA0D37" w:rsidRDefault="00394471" w:rsidP="00964CC4">
            <w:pPr>
              <w:pStyle w:val="TAL"/>
              <w:rPr>
                <w:i/>
                <w:lang w:eastAsia="sv-SE"/>
              </w:rPr>
            </w:pPr>
            <w:r w:rsidRPr="00FA0D37">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FA0D37" w:rsidRDefault="00394471" w:rsidP="00964CC4">
            <w:pPr>
              <w:pStyle w:val="TAL"/>
              <w:rPr>
                <w:lang w:eastAsia="sv-SE"/>
              </w:rPr>
            </w:pPr>
            <w:r w:rsidRPr="00FA0D37">
              <w:rPr>
                <w:lang w:eastAsia="sv-SE"/>
              </w:rPr>
              <w:t xml:space="preserve">The field is absent when </w:t>
            </w:r>
            <w:r w:rsidRPr="00FA0D37">
              <w:rPr>
                <w:i/>
                <w:lang w:eastAsia="sv-SE"/>
              </w:rPr>
              <w:t>absoluteFrequencySSB</w:t>
            </w:r>
            <w:r w:rsidRPr="00FA0D37">
              <w:rPr>
                <w:lang w:eastAsia="sv-SE"/>
              </w:rPr>
              <w:t xml:space="preserve"> in frequencyInfoDL is absent, otherwise the field is mandatory present.</w:t>
            </w:r>
          </w:p>
        </w:tc>
      </w:tr>
      <w:tr w:rsidR="005C7FF4" w:rsidRPr="00FA0D37"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FA0D37" w:rsidRDefault="00394471" w:rsidP="00964CC4">
            <w:pPr>
              <w:pStyle w:val="TAL"/>
              <w:rPr>
                <w:i/>
                <w:lang w:eastAsia="sv-SE"/>
              </w:rPr>
            </w:pPr>
            <w:r w:rsidRPr="00FA0D37">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FA0D37" w:rsidRDefault="00394471" w:rsidP="00964CC4">
            <w:pPr>
              <w:pStyle w:val="TAL"/>
              <w:rPr>
                <w:lang w:eastAsia="sv-SE"/>
              </w:rPr>
            </w:pPr>
            <w:r w:rsidRPr="00FA0D37">
              <w:rPr>
                <w:lang w:eastAsia="sv-SE"/>
              </w:rPr>
              <w:t xml:space="preserve">This field is mandatory present upon SpCell change </w:t>
            </w:r>
            <w:r w:rsidR="0039645C" w:rsidRPr="00FA0D37">
              <w:rPr>
                <w:rFonts w:cs="Arial"/>
                <w:lang w:eastAsia="sv-SE"/>
              </w:rPr>
              <w:t xml:space="preserve">(including </w:t>
            </w:r>
            <w:r w:rsidR="0039645C" w:rsidRPr="00FA0D37">
              <w:rPr>
                <w:rFonts w:cs="Arial"/>
                <w:lang w:eastAsia="en-GB"/>
              </w:rPr>
              <w:t xml:space="preserve">path switch </w:t>
            </w:r>
            <w:r w:rsidR="0039645C" w:rsidRPr="00FA0D37">
              <w:rPr>
                <w:rFonts w:cs="Arial"/>
              </w:rPr>
              <w:t>between a serving cell and a L2 U2N Relay UE</w:t>
            </w:r>
            <w:r w:rsidR="0039645C" w:rsidRPr="00FA0D37">
              <w:rPr>
                <w:rFonts w:cs="Arial"/>
                <w:lang w:eastAsia="sv-SE"/>
              </w:rPr>
              <w:t xml:space="preserve">) </w:t>
            </w:r>
            <w:r w:rsidRPr="00FA0D37">
              <w:rPr>
                <w:lang w:eastAsia="sv-SE"/>
              </w:rPr>
              <w:t>and upon serving cell (PSCell/SCell) addition. Otherwise, the field is absent.</w:t>
            </w:r>
          </w:p>
        </w:tc>
      </w:tr>
      <w:tr w:rsidR="005C7FF4" w:rsidRPr="00FA0D37"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FA0D37" w:rsidRDefault="00394471" w:rsidP="00964CC4">
            <w:pPr>
              <w:pStyle w:val="TAL"/>
              <w:rPr>
                <w:i/>
                <w:lang w:eastAsia="sv-SE"/>
              </w:rPr>
            </w:pPr>
            <w:r w:rsidRPr="00FA0D37">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FA0D37" w:rsidRDefault="00394471" w:rsidP="00964CC4">
            <w:pPr>
              <w:pStyle w:val="TAL"/>
              <w:rPr>
                <w:lang w:eastAsia="sv-SE"/>
              </w:rPr>
            </w:pPr>
            <w:r w:rsidRPr="00FA0D37">
              <w:rPr>
                <w:lang w:eastAsia="sv-SE"/>
              </w:rPr>
              <w:t>This field is mandatory present upon SpCell change and upon serving cell (SCell with SSB or PSCell) addition. Otherwise, the field is absent.</w:t>
            </w:r>
          </w:p>
        </w:tc>
      </w:tr>
      <w:tr w:rsidR="005C7FF4" w:rsidRPr="00FA0D37"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FA0D37" w:rsidRDefault="00394471" w:rsidP="00964CC4">
            <w:pPr>
              <w:pStyle w:val="TAL"/>
              <w:rPr>
                <w:i/>
                <w:lang w:eastAsia="sv-SE"/>
              </w:rPr>
            </w:pPr>
            <w:r w:rsidRPr="00FA0D37">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FA0D37" w:rsidRDefault="00394471" w:rsidP="00964CC4">
            <w:pPr>
              <w:pStyle w:val="TAL"/>
              <w:rPr>
                <w:lang w:eastAsia="sv-SE"/>
              </w:rPr>
            </w:pPr>
            <w:r w:rsidRPr="00FA0D37">
              <w:rPr>
                <w:szCs w:val="22"/>
              </w:rPr>
              <w:t>This field is mandatory present if this cell operates with shared spectrum channel access</w:t>
            </w:r>
            <w:r w:rsidR="002D7FAF" w:rsidRPr="00FA0D37">
              <w:rPr>
                <w:szCs w:val="22"/>
              </w:rPr>
              <w:t xml:space="preserve"> in FR1</w:t>
            </w:r>
            <w:r w:rsidRPr="00FA0D37">
              <w:rPr>
                <w:szCs w:val="22"/>
              </w:rPr>
              <w:t>. Otherwise, it is absent, Need R.</w:t>
            </w:r>
          </w:p>
        </w:tc>
      </w:tr>
      <w:tr w:rsidR="005C7FF4" w:rsidRPr="00FA0D37"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FA0D37" w:rsidRDefault="008754E6" w:rsidP="000830BB">
            <w:pPr>
              <w:pStyle w:val="TAL"/>
              <w:rPr>
                <w:i/>
                <w:iCs/>
                <w:lang w:eastAsia="sv-SE"/>
              </w:rPr>
            </w:pPr>
            <w:r w:rsidRPr="00FA0D37">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FA0D37" w:rsidRDefault="008754E6" w:rsidP="000830BB">
            <w:pPr>
              <w:pStyle w:val="TAL"/>
              <w:rPr>
                <w:lang w:eastAsia="sv-SE"/>
              </w:rPr>
            </w:pPr>
            <w:r w:rsidRPr="00FA0D37">
              <w:rPr>
                <w:szCs w:val="22"/>
              </w:rPr>
              <w:t>This field is optionally present if this cell operates with shared spectrum channel access in FR2-2</w:t>
            </w:r>
            <w:r w:rsidR="00A345A2" w:rsidRPr="00FA0D37">
              <w:rPr>
                <w:szCs w:val="22"/>
              </w:rPr>
              <w:t>, Need R</w:t>
            </w:r>
            <w:r w:rsidRPr="00FA0D37">
              <w:rPr>
                <w:szCs w:val="22"/>
              </w:rPr>
              <w:t>. Otherwise, it is absent, Need R.</w:t>
            </w:r>
          </w:p>
        </w:tc>
      </w:tr>
      <w:tr w:rsidR="00394471" w:rsidRPr="00FA0D37"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FA0D37" w:rsidRDefault="00394471" w:rsidP="00964CC4">
            <w:pPr>
              <w:pStyle w:val="TAL"/>
              <w:rPr>
                <w:i/>
                <w:iCs/>
                <w:lang w:eastAsia="sv-SE"/>
              </w:rPr>
            </w:pPr>
            <w:r w:rsidRPr="00FA0D37">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FA0D37" w:rsidRDefault="00394471" w:rsidP="00964CC4">
            <w:pPr>
              <w:pStyle w:val="TAL"/>
              <w:rPr>
                <w:lang w:eastAsia="sv-SE"/>
              </w:rPr>
            </w:pPr>
            <w:r w:rsidRPr="00FA0D37">
              <w:rPr>
                <w:lang w:eastAsia="sv-SE"/>
              </w:rPr>
              <w:t>The field is optionally present, Need R, for TDD cells; otherwise it is absent.</w:t>
            </w:r>
          </w:p>
        </w:tc>
      </w:tr>
    </w:tbl>
    <w:p w14:paraId="5B8983D7" w14:textId="77777777" w:rsidR="00394471" w:rsidRPr="00FA0D37" w:rsidRDefault="00394471" w:rsidP="00394471"/>
    <w:p w14:paraId="4593A7E5" w14:textId="77777777" w:rsidR="00394471" w:rsidRPr="00FA0D37" w:rsidRDefault="00394471" w:rsidP="00394471">
      <w:pPr>
        <w:pStyle w:val="4"/>
      </w:pPr>
      <w:bookmarkStart w:id="1389" w:name="_Toc60777381"/>
      <w:bookmarkStart w:id="1390" w:name="_Toc146781467"/>
      <w:r w:rsidRPr="00FA0D37">
        <w:lastRenderedPageBreak/>
        <w:t>–</w:t>
      </w:r>
      <w:r w:rsidRPr="00FA0D37">
        <w:tab/>
      </w:r>
      <w:r w:rsidRPr="00FA0D37">
        <w:rPr>
          <w:i/>
        </w:rPr>
        <w:t>ServingCellConfigCommonSIB</w:t>
      </w:r>
      <w:bookmarkEnd w:id="1389"/>
      <w:bookmarkEnd w:id="1390"/>
    </w:p>
    <w:p w14:paraId="4C9CDF65" w14:textId="77777777" w:rsidR="00394471" w:rsidRPr="00FA0D37" w:rsidRDefault="00394471" w:rsidP="00394471">
      <w:r w:rsidRPr="00FA0D37">
        <w:t xml:space="preserve">The IE </w:t>
      </w:r>
      <w:r w:rsidRPr="00FA0D37">
        <w:rPr>
          <w:i/>
        </w:rPr>
        <w:t xml:space="preserve">ServingCellConfigCommonSIB </w:t>
      </w:r>
      <w:r w:rsidRPr="00FA0D37">
        <w:t>is used to configure cell specific parameters of a UE's serving cell in SIB1.</w:t>
      </w:r>
    </w:p>
    <w:p w14:paraId="3933126A" w14:textId="77777777" w:rsidR="00394471" w:rsidRPr="00FA0D37" w:rsidRDefault="00394471" w:rsidP="00394471">
      <w:pPr>
        <w:pStyle w:val="TH"/>
      </w:pPr>
      <w:r w:rsidRPr="00FA0D37">
        <w:rPr>
          <w:bCs/>
          <w:i/>
          <w:iCs/>
        </w:rPr>
        <w:t xml:space="preserve">ServingCellConfigCommonSIB </w:t>
      </w:r>
      <w:r w:rsidRPr="00FA0D37">
        <w:t>information element</w:t>
      </w:r>
    </w:p>
    <w:p w14:paraId="7756357C" w14:textId="77777777" w:rsidR="00394471" w:rsidRPr="00FA0D37" w:rsidRDefault="00394471" w:rsidP="00FA0D37">
      <w:pPr>
        <w:pStyle w:val="PL"/>
        <w:rPr>
          <w:color w:val="808080"/>
        </w:rPr>
      </w:pPr>
      <w:r w:rsidRPr="00FA0D37">
        <w:rPr>
          <w:color w:val="808080"/>
        </w:rPr>
        <w:t>-- ASN1START</w:t>
      </w:r>
    </w:p>
    <w:p w14:paraId="414ED31A" w14:textId="77777777" w:rsidR="00394471" w:rsidRPr="00FA0D37" w:rsidRDefault="00394471" w:rsidP="00FA0D37">
      <w:pPr>
        <w:pStyle w:val="PL"/>
        <w:rPr>
          <w:color w:val="808080"/>
        </w:rPr>
      </w:pPr>
      <w:r w:rsidRPr="00FA0D37">
        <w:rPr>
          <w:color w:val="808080"/>
        </w:rPr>
        <w:t>-- TAG-SERVINGCELLCONFIGCOMMONSIB-START</w:t>
      </w:r>
    </w:p>
    <w:p w14:paraId="08056C6F" w14:textId="77777777" w:rsidR="00394471" w:rsidRPr="00FA0D37" w:rsidRDefault="00394471" w:rsidP="00FA0D37">
      <w:pPr>
        <w:pStyle w:val="PL"/>
      </w:pPr>
    </w:p>
    <w:p w14:paraId="531D8596" w14:textId="77777777" w:rsidR="00394471" w:rsidRPr="00FA0D37" w:rsidRDefault="00394471" w:rsidP="00FA0D37">
      <w:pPr>
        <w:pStyle w:val="PL"/>
      </w:pPr>
      <w:r w:rsidRPr="00FA0D37">
        <w:t xml:space="preserve">ServingCellConfigCommonSIB ::=      </w:t>
      </w:r>
      <w:r w:rsidRPr="00FA0D37">
        <w:rPr>
          <w:color w:val="993366"/>
        </w:rPr>
        <w:t>SEQUENCE</w:t>
      </w:r>
      <w:r w:rsidRPr="00FA0D37">
        <w:t xml:space="preserve"> {</w:t>
      </w:r>
    </w:p>
    <w:p w14:paraId="2E9AAC3A" w14:textId="77777777" w:rsidR="00394471" w:rsidRPr="00FA0D37" w:rsidRDefault="00394471" w:rsidP="00FA0D37">
      <w:pPr>
        <w:pStyle w:val="PL"/>
      </w:pPr>
      <w:r w:rsidRPr="00FA0D37">
        <w:t xml:space="preserve">    downlinkConfigCommon                DownlinkConfigCommonSIB,</w:t>
      </w:r>
    </w:p>
    <w:p w14:paraId="7ECDF3A6" w14:textId="77777777" w:rsidR="00394471" w:rsidRPr="00FA0D37" w:rsidRDefault="00394471" w:rsidP="00FA0D37">
      <w:pPr>
        <w:pStyle w:val="PL"/>
        <w:rPr>
          <w:color w:val="808080"/>
        </w:rPr>
      </w:pPr>
      <w:r w:rsidRPr="00FA0D37">
        <w:t xml:space="preserve">    uplinkConfigCommon                  UplinkConfigCommonSIB                                       </w:t>
      </w:r>
      <w:r w:rsidRPr="00FA0D37">
        <w:rPr>
          <w:color w:val="993366"/>
        </w:rPr>
        <w:t>OPTIONAL</w:t>
      </w:r>
      <w:r w:rsidRPr="00FA0D37">
        <w:t xml:space="preserve">, </w:t>
      </w:r>
      <w:r w:rsidRPr="00FA0D37">
        <w:rPr>
          <w:color w:val="808080"/>
        </w:rPr>
        <w:t>-- Need R</w:t>
      </w:r>
    </w:p>
    <w:p w14:paraId="3E092B8E" w14:textId="77777777" w:rsidR="00394471" w:rsidRPr="00FA0D37" w:rsidRDefault="00394471" w:rsidP="00FA0D37">
      <w:pPr>
        <w:pStyle w:val="PL"/>
        <w:rPr>
          <w:color w:val="808080"/>
        </w:rPr>
      </w:pPr>
      <w:r w:rsidRPr="00FA0D37">
        <w:t xml:space="preserve">    supplementaryUplink                 UplinkConfigCommonSIB                                       </w:t>
      </w:r>
      <w:r w:rsidRPr="00FA0D37">
        <w:rPr>
          <w:color w:val="993366"/>
        </w:rPr>
        <w:t>OPTIONAL</w:t>
      </w:r>
      <w:r w:rsidRPr="00FA0D37">
        <w:t xml:space="preserve">, </w:t>
      </w:r>
      <w:r w:rsidRPr="00FA0D37">
        <w:rPr>
          <w:color w:val="808080"/>
        </w:rPr>
        <w:t>-- Need R</w:t>
      </w:r>
    </w:p>
    <w:p w14:paraId="00D8B0FE" w14:textId="77777777" w:rsidR="00394471" w:rsidRPr="00FA0D37" w:rsidRDefault="00394471" w:rsidP="00FA0D37">
      <w:pPr>
        <w:pStyle w:val="PL"/>
        <w:rPr>
          <w:color w:val="808080"/>
        </w:rPr>
      </w:pPr>
      <w:r w:rsidRPr="00FA0D37">
        <w:t xml:space="preserve">    n-TimingAdvanceOffset               </w:t>
      </w:r>
      <w:r w:rsidRPr="00FA0D37">
        <w:rPr>
          <w:color w:val="993366"/>
        </w:rPr>
        <w:t>ENUMERATED</w:t>
      </w:r>
      <w:r w:rsidRPr="00FA0D37">
        <w:t xml:space="preserve"> { n0, n25600, n39936 }                           </w:t>
      </w:r>
      <w:r w:rsidRPr="00FA0D37">
        <w:rPr>
          <w:color w:val="993366"/>
        </w:rPr>
        <w:t>OPTIONAL</w:t>
      </w:r>
      <w:r w:rsidRPr="00FA0D37">
        <w:t xml:space="preserve">, </w:t>
      </w:r>
      <w:r w:rsidRPr="00FA0D37">
        <w:rPr>
          <w:color w:val="808080"/>
        </w:rPr>
        <w:t>-- Need S</w:t>
      </w:r>
    </w:p>
    <w:p w14:paraId="140AC1EA" w14:textId="77777777" w:rsidR="00394471" w:rsidRPr="00FA0D37" w:rsidRDefault="00394471" w:rsidP="00FA0D37">
      <w:pPr>
        <w:pStyle w:val="PL"/>
      </w:pPr>
      <w:r w:rsidRPr="00FA0D37">
        <w:t xml:space="preserve">    ssb-PositionsInBurst                </w:t>
      </w:r>
      <w:r w:rsidRPr="00FA0D37">
        <w:rPr>
          <w:color w:val="993366"/>
        </w:rPr>
        <w:t>SEQUENCE</w:t>
      </w:r>
      <w:r w:rsidRPr="00FA0D37">
        <w:t xml:space="preserve"> {</w:t>
      </w:r>
    </w:p>
    <w:p w14:paraId="7BBDE5FA" w14:textId="77777777" w:rsidR="00394471" w:rsidRPr="00FA0D37" w:rsidRDefault="00394471" w:rsidP="00FA0D37">
      <w:pPr>
        <w:pStyle w:val="PL"/>
      </w:pPr>
      <w:r w:rsidRPr="00FA0D37">
        <w:t xml:space="preserve">        inOneGroup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3F2CA776" w14:textId="77777777" w:rsidR="00394471" w:rsidRPr="00FA0D37" w:rsidRDefault="00394471" w:rsidP="00FA0D37">
      <w:pPr>
        <w:pStyle w:val="PL"/>
        <w:rPr>
          <w:color w:val="808080"/>
        </w:rPr>
      </w:pPr>
      <w:r w:rsidRPr="00FA0D37">
        <w:t xml:space="preserve">        groupPresence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Pr="00FA0D37">
        <w:rPr>
          <w:color w:val="993366"/>
        </w:rPr>
        <w:t>OPTIONAL</w:t>
      </w:r>
      <w:r w:rsidRPr="00FA0D37">
        <w:t xml:space="preserve">  </w:t>
      </w:r>
      <w:r w:rsidRPr="00FA0D37">
        <w:rPr>
          <w:color w:val="808080"/>
        </w:rPr>
        <w:t>-- Cond FR2-Only</w:t>
      </w:r>
    </w:p>
    <w:p w14:paraId="2F2130DC" w14:textId="77777777" w:rsidR="00394471" w:rsidRPr="00FA0D37" w:rsidRDefault="00394471" w:rsidP="00FA0D37">
      <w:pPr>
        <w:pStyle w:val="PL"/>
      </w:pPr>
      <w:r w:rsidRPr="00FA0D37">
        <w:t xml:space="preserve">    },</w:t>
      </w:r>
    </w:p>
    <w:p w14:paraId="275C3D58" w14:textId="77777777" w:rsidR="00394471" w:rsidRPr="00FA0D37" w:rsidRDefault="00394471" w:rsidP="00FA0D37">
      <w:pPr>
        <w:pStyle w:val="PL"/>
      </w:pPr>
      <w:r w:rsidRPr="00FA0D37">
        <w:t xml:space="preserve">    ssb-PeriodicityServingCell          </w:t>
      </w:r>
      <w:r w:rsidRPr="00FA0D37">
        <w:rPr>
          <w:color w:val="993366"/>
        </w:rPr>
        <w:t>ENUMERATED</w:t>
      </w:r>
      <w:r w:rsidRPr="00FA0D37">
        <w:t xml:space="preserve"> {ms5, ms10, ms20, ms40, ms80, ms160},</w:t>
      </w:r>
    </w:p>
    <w:p w14:paraId="18AA0F25" w14:textId="77777777" w:rsidR="00394471" w:rsidRPr="00FA0D37" w:rsidRDefault="00394471" w:rsidP="00FA0D37">
      <w:pPr>
        <w:pStyle w:val="PL"/>
        <w:rPr>
          <w:color w:val="808080"/>
        </w:rPr>
      </w:pPr>
      <w:r w:rsidRPr="00FA0D37">
        <w:t xml:space="preserve">    tdd-UL-DL-ConfigurationCommon       TDD-UL-DL-ConfigCommon                                      </w:t>
      </w:r>
      <w:r w:rsidRPr="00FA0D37">
        <w:rPr>
          <w:color w:val="993366"/>
        </w:rPr>
        <w:t>OPTIONAL</w:t>
      </w:r>
      <w:r w:rsidRPr="00FA0D37">
        <w:t xml:space="preserve">, </w:t>
      </w:r>
      <w:r w:rsidRPr="00FA0D37">
        <w:rPr>
          <w:color w:val="808080"/>
        </w:rPr>
        <w:t>-- Cond TDD</w:t>
      </w:r>
    </w:p>
    <w:p w14:paraId="4F13BE6E" w14:textId="77777777" w:rsidR="00394471" w:rsidRPr="00FA0D37" w:rsidRDefault="00394471" w:rsidP="00FA0D37">
      <w:pPr>
        <w:pStyle w:val="PL"/>
      </w:pPr>
      <w:r w:rsidRPr="00FA0D37">
        <w:t xml:space="preserve">    ss-PBCH-BlockPower                  </w:t>
      </w:r>
      <w:r w:rsidRPr="00FA0D37">
        <w:rPr>
          <w:color w:val="993366"/>
        </w:rPr>
        <w:t>INTEGER</w:t>
      </w:r>
      <w:r w:rsidRPr="00FA0D37">
        <w:t xml:space="preserve"> (-60..50),</w:t>
      </w:r>
    </w:p>
    <w:p w14:paraId="437D6072" w14:textId="77777777" w:rsidR="00394471" w:rsidRPr="00FA0D37" w:rsidRDefault="00394471" w:rsidP="00FA0D37">
      <w:pPr>
        <w:pStyle w:val="PL"/>
      </w:pPr>
      <w:r w:rsidRPr="00FA0D37">
        <w:t xml:space="preserve">    ...,</w:t>
      </w:r>
    </w:p>
    <w:p w14:paraId="3BE9D120" w14:textId="77777777" w:rsidR="00394471" w:rsidRPr="00FA0D37" w:rsidRDefault="00394471" w:rsidP="00FA0D37">
      <w:pPr>
        <w:pStyle w:val="PL"/>
      </w:pPr>
      <w:r w:rsidRPr="00FA0D37">
        <w:t xml:space="preserve">    [[</w:t>
      </w:r>
    </w:p>
    <w:p w14:paraId="14089F0E" w14:textId="77777777" w:rsidR="00394471" w:rsidRPr="00FA0D37" w:rsidRDefault="00394471" w:rsidP="00FA0D37">
      <w:pPr>
        <w:pStyle w:val="PL"/>
      </w:pPr>
      <w:r w:rsidRPr="00FA0D37">
        <w:t xml:space="preserve">    channelAccessMode-r16               </w:t>
      </w:r>
      <w:r w:rsidRPr="00FA0D37">
        <w:rPr>
          <w:color w:val="993366"/>
        </w:rPr>
        <w:t>CHOICE</w:t>
      </w:r>
      <w:r w:rsidRPr="00FA0D37">
        <w:t xml:space="preserve"> {</w:t>
      </w:r>
    </w:p>
    <w:p w14:paraId="29CA9B2D" w14:textId="77777777" w:rsidR="00394471" w:rsidRPr="00FA0D37" w:rsidRDefault="00394471" w:rsidP="00FA0D37">
      <w:pPr>
        <w:pStyle w:val="PL"/>
      </w:pPr>
      <w:r w:rsidRPr="00FA0D37">
        <w:t xml:space="preserve">        dynamic                             </w:t>
      </w:r>
      <w:r w:rsidRPr="00FA0D37">
        <w:rPr>
          <w:color w:val="993366"/>
        </w:rPr>
        <w:t>NULL</w:t>
      </w:r>
      <w:r w:rsidRPr="00FA0D37">
        <w:t>,</w:t>
      </w:r>
    </w:p>
    <w:p w14:paraId="5CAFE4F0" w14:textId="379FF7D8" w:rsidR="00394471" w:rsidRPr="00FA0D37" w:rsidRDefault="00394471" w:rsidP="00FA0D37">
      <w:pPr>
        <w:pStyle w:val="PL"/>
      </w:pPr>
      <w:r w:rsidRPr="00FA0D37">
        <w:t xml:space="preserve">        semiStatic                          SemiStaticChannelAccessConfig</w:t>
      </w:r>
      <w:r w:rsidR="00261BA1" w:rsidRPr="00FA0D37">
        <w:t>-r16</w:t>
      </w:r>
    </w:p>
    <w:p w14:paraId="62EEB1F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SharedSpectrum</w:t>
      </w:r>
    </w:p>
    <w:p w14:paraId="7A2F18D7" w14:textId="77777777" w:rsidR="00394471" w:rsidRPr="00FA0D37" w:rsidRDefault="00394471" w:rsidP="00FA0D37">
      <w:pPr>
        <w:pStyle w:val="PL"/>
        <w:rPr>
          <w:color w:val="808080"/>
        </w:rPr>
      </w:pPr>
      <w:r w:rsidRPr="00FA0D37">
        <w:t xml:space="preserve">    discoveryBurstWindowLength-r16      </w:t>
      </w:r>
      <w:r w:rsidRPr="00FA0D37">
        <w:rPr>
          <w:color w:val="993366"/>
        </w:rPr>
        <w:t>ENUMERATED</w:t>
      </w:r>
      <w:r w:rsidRPr="00FA0D37">
        <w:t xml:space="preserve"> {ms0dot5, ms1, ms2, ms3, ms4, ms5}               </w:t>
      </w:r>
      <w:r w:rsidRPr="00FA0D37">
        <w:rPr>
          <w:color w:val="993366"/>
        </w:rPr>
        <w:t>OPTIONAL</w:t>
      </w:r>
      <w:r w:rsidRPr="00FA0D37">
        <w:t xml:space="preserve">, </w:t>
      </w:r>
      <w:r w:rsidRPr="00FA0D37">
        <w:rPr>
          <w:color w:val="808080"/>
        </w:rPr>
        <w:t>-- Need R</w:t>
      </w:r>
    </w:p>
    <w:p w14:paraId="7BD8D974" w14:textId="77777777" w:rsidR="00394471" w:rsidRPr="00FA0D37" w:rsidRDefault="00394471" w:rsidP="00FA0D37">
      <w:pPr>
        <w:pStyle w:val="PL"/>
        <w:rPr>
          <w:color w:val="808080"/>
        </w:rPr>
      </w:pPr>
      <w:r w:rsidRPr="00FA0D37">
        <w:t xml:space="preserve">    highSpeedConfig-r16                 HighSpeedConfig-r16                                         </w:t>
      </w:r>
      <w:r w:rsidRPr="00FA0D37">
        <w:rPr>
          <w:color w:val="993366"/>
        </w:rPr>
        <w:t>OPTIONAL</w:t>
      </w:r>
      <w:r w:rsidRPr="00FA0D37">
        <w:t xml:space="preserve">  </w:t>
      </w:r>
      <w:r w:rsidRPr="00FA0D37">
        <w:rPr>
          <w:color w:val="808080"/>
        </w:rPr>
        <w:t>-- Need R</w:t>
      </w:r>
    </w:p>
    <w:p w14:paraId="4C636793" w14:textId="728C991B" w:rsidR="008754E6" w:rsidRPr="00FA0D37" w:rsidRDefault="00394471" w:rsidP="00FA0D37">
      <w:pPr>
        <w:pStyle w:val="PL"/>
      </w:pPr>
      <w:r w:rsidRPr="00FA0D37">
        <w:t xml:space="preserve">    ]]</w:t>
      </w:r>
      <w:r w:rsidR="008754E6" w:rsidRPr="00FA0D37">
        <w:t>,</w:t>
      </w:r>
    </w:p>
    <w:p w14:paraId="1C894C2B" w14:textId="77777777" w:rsidR="008754E6" w:rsidRPr="00FA0D37" w:rsidRDefault="008754E6" w:rsidP="00FA0D37">
      <w:pPr>
        <w:pStyle w:val="PL"/>
      </w:pPr>
      <w:r w:rsidRPr="00FA0D37">
        <w:t xml:space="preserve">    [[</w:t>
      </w:r>
    </w:p>
    <w:p w14:paraId="5A3BD853" w14:textId="4403F1FA" w:rsidR="008754E6" w:rsidRPr="00FA0D37" w:rsidRDefault="008754E6" w:rsidP="00FA0D37">
      <w:pPr>
        <w:pStyle w:val="PL"/>
        <w:rPr>
          <w:color w:val="808080"/>
        </w:rPr>
      </w:pPr>
      <w:r w:rsidRPr="00FA0D37">
        <w:t xml:space="preserve">    channelAccessMode2-r17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Cond SharedSpectrum2</w:t>
      </w:r>
    </w:p>
    <w:p w14:paraId="44E6C5AA" w14:textId="2C23959C" w:rsidR="008754E6" w:rsidRPr="00FA0D37" w:rsidRDefault="008754E6" w:rsidP="00FA0D37">
      <w:pPr>
        <w:pStyle w:val="PL"/>
        <w:rPr>
          <w:color w:val="808080"/>
        </w:rPr>
      </w:pPr>
      <w:r w:rsidRPr="00FA0D37">
        <w:t xml:space="preserve">    discoveryBurstWindowLength-v1700    </w:t>
      </w:r>
      <w:r w:rsidRPr="00FA0D37">
        <w:rPr>
          <w:color w:val="993366"/>
        </w:rPr>
        <w:t>ENUMERATED</w:t>
      </w:r>
      <w:r w:rsidRPr="00FA0D37">
        <w:t xml:space="preserve"> {ms0dot125, ms0dot25, ms0dot5, ms0dot75, ms1, ms1dot25} </w:t>
      </w:r>
      <w:r w:rsidRPr="00FA0D37">
        <w:rPr>
          <w:color w:val="993366"/>
        </w:rPr>
        <w:t>OPTIONAL</w:t>
      </w:r>
      <w:r w:rsidR="00AB2D24" w:rsidRPr="00FA0D37">
        <w:t>,</w:t>
      </w:r>
      <w:r w:rsidRPr="00FA0D37">
        <w:t xml:space="preserve">  </w:t>
      </w:r>
      <w:r w:rsidRPr="00FA0D37">
        <w:rPr>
          <w:color w:val="808080"/>
        </w:rPr>
        <w:t>-- Need R</w:t>
      </w:r>
    </w:p>
    <w:p w14:paraId="3655FDD8" w14:textId="01FB6BDD" w:rsidR="00A2423A" w:rsidRPr="00FA0D37" w:rsidRDefault="00A2423A" w:rsidP="00FA0D37">
      <w:pPr>
        <w:pStyle w:val="PL"/>
        <w:rPr>
          <w:color w:val="808080"/>
        </w:rPr>
      </w:pPr>
      <w:r w:rsidRPr="00FA0D37">
        <w:t xml:space="preserve">    highSpeedConfigFR2-r17              HighSpeedConfigFR2-r17                          </w:t>
      </w:r>
      <w:r w:rsidR="00AB2D24" w:rsidRPr="00FA0D37">
        <w:t xml:space="preserve">     </w:t>
      </w:r>
      <w:r w:rsidRPr="00FA0D37">
        <w:t xml:space="preserve">       </w:t>
      </w:r>
      <w:r w:rsidRPr="00FA0D37">
        <w:rPr>
          <w:color w:val="993366"/>
        </w:rPr>
        <w:t>OPTIONAL</w:t>
      </w:r>
      <w:r w:rsidR="00C85859" w:rsidRPr="00FA0D37">
        <w:t>,</w:t>
      </w:r>
      <w:r w:rsidRPr="00FA0D37">
        <w:t xml:space="preserve"> </w:t>
      </w:r>
      <w:r w:rsidRPr="00FA0D37">
        <w:rPr>
          <w:color w:val="808080"/>
        </w:rPr>
        <w:t>-- Need R</w:t>
      </w:r>
    </w:p>
    <w:p w14:paraId="21816C37" w14:textId="5F4687E8" w:rsidR="00C85859" w:rsidRPr="00FA0D37" w:rsidRDefault="00C85859" w:rsidP="00FA0D37">
      <w:pPr>
        <w:pStyle w:val="PL"/>
        <w:rPr>
          <w:color w:val="808080"/>
        </w:rPr>
      </w:pPr>
      <w:r w:rsidRPr="00FA0D37">
        <w:t xml:space="preserve">    uplinkConfigCommon-v1700            UplinkConfigCommonSIB-v1700                                 </w:t>
      </w:r>
      <w:r w:rsidRPr="00FA0D37">
        <w:rPr>
          <w:color w:val="993366"/>
        </w:rPr>
        <w:t>OPTIONAL</w:t>
      </w:r>
      <w:r w:rsidRPr="00FA0D37">
        <w:t xml:space="preserve">  </w:t>
      </w:r>
      <w:r w:rsidRPr="00FA0D37">
        <w:rPr>
          <w:color w:val="808080"/>
        </w:rPr>
        <w:t>-- Need R</w:t>
      </w:r>
    </w:p>
    <w:p w14:paraId="79BD223A" w14:textId="2917CFEA" w:rsidR="00A3134E" w:rsidRPr="00FA0D37" w:rsidRDefault="008754E6" w:rsidP="00FA0D37">
      <w:pPr>
        <w:pStyle w:val="PL"/>
      </w:pPr>
      <w:r w:rsidRPr="00FA0D37">
        <w:t xml:space="preserve">    ]]</w:t>
      </w:r>
      <w:r w:rsidR="00A3134E" w:rsidRPr="00FA0D37">
        <w:t>,</w:t>
      </w:r>
    </w:p>
    <w:p w14:paraId="67D6F863" w14:textId="77777777" w:rsidR="00A3134E" w:rsidRPr="00FA0D37" w:rsidRDefault="00A3134E" w:rsidP="00FA0D37">
      <w:pPr>
        <w:pStyle w:val="PL"/>
      </w:pPr>
      <w:r w:rsidRPr="00FA0D37">
        <w:t xml:space="preserve">    [[</w:t>
      </w:r>
    </w:p>
    <w:p w14:paraId="3D03EEC4" w14:textId="59560D08" w:rsidR="00A3134E" w:rsidRPr="00FA0D37" w:rsidRDefault="00A3134E" w:rsidP="00FA0D37">
      <w:pPr>
        <w:pStyle w:val="PL"/>
        <w:rPr>
          <w:color w:val="808080"/>
        </w:rPr>
      </w:pPr>
      <w:r w:rsidRPr="00FA0D37">
        <w:t xml:space="preserve">    enhancedMeasurementLEO-r17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4D45EC6E" w14:textId="3CFB139F" w:rsidR="00D5120D" w:rsidRPr="00FA0D37" w:rsidRDefault="00A3134E" w:rsidP="00FA0D37">
      <w:pPr>
        <w:pStyle w:val="PL"/>
      </w:pPr>
      <w:r w:rsidRPr="00FA0D37">
        <w:t xml:space="preserve">    ]]</w:t>
      </w:r>
      <w:r w:rsidR="00D5120D" w:rsidRPr="00FA0D37">
        <w:t>,</w:t>
      </w:r>
    </w:p>
    <w:p w14:paraId="072C810C" w14:textId="2463C1DB" w:rsidR="00140A8D" w:rsidRPr="00FA0D37" w:rsidRDefault="00140A8D" w:rsidP="00FA0D37">
      <w:pPr>
        <w:pStyle w:val="PL"/>
      </w:pPr>
      <w:r w:rsidRPr="00FA0D37">
        <w:t xml:space="preserve">    [[</w:t>
      </w:r>
    </w:p>
    <w:p w14:paraId="0E8C23C9" w14:textId="35952FA0" w:rsidR="00D5120D" w:rsidRPr="00FA0D37" w:rsidRDefault="00D5120D" w:rsidP="00FA0D37">
      <w:pPr>
        <w:pStyle w:val="PL"/>
        <w:rPr>
          <w:color w:val="808080"/>
        </w:rPr>
      </w:pPr>
      <w:r w:rsidRPr="00FA0D37">
        <w:t xml:space="preserve">    ra-ChannelAccess-r17             </w:t>
      </w:r>
      <w:r w:rsidR="00140A8D" w:rsidRPr="00FA0D37">
        <w:t xml:space="preserve">   </w:t>
      </w:r>
      <w:r w:rsidRPr="00FA0D37">
        <w:rPr>
          <w:color w:val="993366"/>
        </w:rPr>
        <w:t>ENUMERATED</w:t>
      </w:r>
      <w:r w:rsidRPr="00FA0D37">
        <w:t xml:space="preserve"> {enabled}                                        </w:t>
      </w:r>
      <w:r w:rsidRPr="00FA0D37">
        <w:rPr>
          <w:color w:val="993366"/>
        </w:rPr>
        <w:t>OPTIONAL</w:t>
      </w:r>
      <w:r w:rsidRPr="00FA0D37">
        <w:t xml:space="preserve"> </w:t>
      </w:r>
      <w:r w:rsidR="006658B2" w:rsidRPr="00FA0D37">
        <w:t xml:space="preserve"> </w:t>
      </w:r>
      <w:r w:rsidRPr="00FA0D37">
        <w:rPr>
          <w:color w:val="808080"/>
        </w:rPr>
        <w:t>-- Cond SharedSpectrum2</w:t>
      </w:r>
    </w:p>
    <w:p w14:paraId="071DD83E" w14:textId="6B39FD11" w:rsidR="00BD4216" w:rsidRPr="00FA0D37" w:rsidRDefault="00D5120D" w:rsidP="00FA0D37">
      <w:pPr>
        <w:pStyle w:val="PL"/>
      </w:pPr>
      <w:r w:rsidRPr="00FA0D37">
        <w:t xml:space="preserve">    ]]</w:t>
      </w:r>
      <w:r w:rsidR="00BD4216" w:rsidRPr="00FA0D37">
        <w:t>,</w:t>
      </w:r>
    </w:p>
    <w:p w14:paraId="66A6669A" w14:textId="7D57B988" w:rsidR="00B30C99" w:rsidRPr="00FA0D37" w:rsidRDefault="00B30C99" w:rsidP="00FA0D37">
      <w:pPr>
        <w:pStyle w:val="PL"/>
      </w:pPr>
      <w:r w:rsidRPr="00FA0D37">
        <w:t xml:space="preserve">    [[</w:t>
      </w:r>
    </w:p>
    <w:p w14:paraId="1EFD643E" w14:textId="7A13363A" w:rsidR="00BD4216" w:rsidRPr="00FA0D37" w:rsidRDefault="00BD4216" w:rsidP="00FA0D37">
      <w:pPr>
        <w:pStyle w:val="PL"/>
        <w:rPr>
          <w:color w:val="808080"/>
        </w:rPr>
      </w:pPr>
      <w:r w:rsidRPr="00FA0D37">
        <w:t xml:space="preserve">    downlinkConfigCommon-v1760          DownlinkConfigCommonSIB-v1760                               </w:t>
      </w:r>
      <w:r w:rsidRPr="00FA0D37">
        <w:rPr>
          <w:color w:val="993366"/>
        </w:rPr>
        <w:t>OPTIONAL</w:t>
      </w:r>
      <w:r w:rsidRPr="00FA0D37">
        <w:t xml:space="preserve">, </w:t>
      </w:r>
      <w:r w:rsidRPr="00FA0D37">
        <w:rPr>
          <w:color w:val="808080"/>
        </w:rPr>
        <w:t>-- Need R</w:t>
      </w:r>
    </w:p>
    <w:p w14:paraId="79FB6E52" w14:textId="185D8035" w:rsidR="00BD4216" w:rsidRPr="00FA0D37" w:rsidRDefault="00BD4216" w:rsidP="00FA0D37">
      <w:pPr>
        <w:pStyle w:val="PL"/>
        <w:rPr>
          <w:color w:val="808080"/>
        </w:rPr>
      </w:pPr>
      <w:r w:rsidRPr="00FA0D37">
        <w:t xml:space="preserve">    uplinkConfigCommon-v1760            UplinkConfigCommonSIB-v1760                                 </w:t>
      </w:r>
      <w:r w:rsidRPr="00FA0D37">
        <w:rPr>
          <w:color w:val="993366"/>
        </w:rPr>
        <w:t>OPTIONAL</w:t>
      </w:r>
      <w:r w:rsidRPr="00FA0D37">
        <w:t xml:space="preserve">  </w:t>
      </w:r>
      <w:r w:rsidRPr="00FA0D37">
        <w:rPr>
          <w:color w:val="808080"/>
        </w:rPr>
        <w:t>-- Need R</w:t>
      </w:r>
    </w:p>
    <w:p w14:paraId="491B1FF7" w14:textId="3D2E34F6" w:rsidR="00394471" w:rsidRPr="00FA0D37" w:rsidRDefault="00BD4216" w:rsidP="00FA0D37">
      <w:pPr>
        <w:pStyle w:val="PL"/>
      </w:pPr>
      <w:r w:rsidRPr="00FA0D37">
        <w:t xml:space="preserve">    ]]</w:t>
      </w:r>
    </w:p>
    <w:p w14:paraId="30A62511" w14:textId="270F5A25" w:rsidR="00394471" w:rsidRPr="00FA0D37" w:rsidRDefault="00394471" w:rsidP="00FA0D37">
      <w:pPr>
        <w:pStyle w:val="PL"/>
      </w:pPr>
      <w:r w:rsidRPr="00FA0D37">
        <w:t>}</w:t>
      </w:r>
    </w:p>
    <w:p w14:paraId="70E8CAF3" w14:textId="77777777" w:rsidR="00394471" w:rsidRPr="00FA0D37" w:rsidRDefault="00394471" w:rsidP="00FA0D37">
      <w:pPr>
        <w:pStyle w:val="PL"/>
      </w:pPr>
    </w:p>
    <w:p w14:paraId="2DBEBAF3" w14:textId="77777777" w:rsidR="00394471" w:rsidRPr="00FA0D37" w:rsidRDefault="00394471" w:rsidP="00FA0D37">
      <w:pPr>
        <w:pStyle w:val="PL"/>
        <w:rPr>
          <w:color w:val="808080"/>
        </w:rPr>
      </w:pPr>
      <w:r w:rsidRPr="00FA0D37">
        <w:rPr>
          <w:color w:val="808080"/>
        </w:rPr>
        <w:t>-- TAG-SERVINGCELLCONFIGCOMMONSIB-STOP</w:t>
      </w:r>
    </w:p>
    <w:p w14:paraId="0916BAB2" w14:textId="77777777" w:rsidR="00394471" w:rsidRPr="00FA0D37" w:rsidRDefault="00394471" w:rsidP="00FA0D37">
      <w:pPr>
        <w:pStyle w:val="PL"/>
        <w:rPr>
          <w:color w:val="808080"/>
        </w:rPr>
      </w:pPr>
      <w:r w:rsidRPr="00FA0D37">
        <w:rPr>
          <w:color w:val="808080"/>
        </w:rPr>
        <w:t>-- ASN1STOP</w:t>
      </w:r>
    </w:p>
    <w:p w14:paraId="4804FDE7"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FA0D37" w:rsidRDefault="00394471" w:rsidP="00964CC4">
            <w:pPr>
              <w:pStyle w:val="TAH"/>
              <w:rPr>
                <w:rFonts w:eastAsia="MS Mincho"/>
                <w:szCs w:val="22"/>
                <w:lang w:eastAsia="sv-SE"/>
              </w:rPr>
            </w:pPr>
            <w:r w:rsidRPr="00FA0D37">
              <w:rPr>
                <w:rFonts w:eastAsia="MS Mincho"/>
                <w:i/>
                <w:szCs w:val="22"/>
                <w:lang w:eastAsia="sv-SE"/>
              </w:rPr>
              <w:t xml:space="preserve">ServingCellConfigCommonSIB </w:t>
            </w:r>
            <w:r w:rsidRPr="00FA0D37">
              <w:rPr>
                <w:rFonts w:eastAsia="MS Mincho"/>
                <w:szCs w:val="22"/>
                <w:lang w:eastAsia="sv-SE"/>
              </w:rPr>
              <w:t>field descriptions</w:t>
            </w:r>
          </w:p>
        </w:tc>
      </w:tr>
      <w:tr w:rsidR="005C7FF4" w:rsidRPr="00FA0D37"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FA0D37" w:rsidRDefault="00394471" w:rsidP="00964CC4">
            <w:pPr>
              <w:pStyle w:val="TAL"/>
              <w:rPr>
                <w:szCs w:val="22"/>
                <w:lang w:eastAsia="sv-SE"/>
              </w:rPr>
            </w:pPr>
            <w:r w:rsidRPr="00FA0D37">
              <w:rPr>
                <w:b/>
                <w:bCs/>
                <w:i/>
                <w:szCs w:val="22"/>
                <w:lang w:eastAsia="en-GB"/>
              </w:rPr>
              <w:t>channelAccessMode</w:t>
            </w:r>
          </w:p>
          <w:p w14:paraId="30EEA604" w14:textId="25FA1981" w:rsidR="00394471" w:rsidRPr="00FA0D37" w:rsidRDefault="00394471" w:rsidP="00964CC4">
            <w:pPr>
              <w:pStyle w:val="TAL"/>
              <w:rPr>
                <w:rFonts w:eastAsia="MS Mincho"/>
                <w:b/>
                <w:i/>
                <w:szCs w:val="22"/>
                <w:lang w:eastAsia="sv-SE"/>
              </w:rPr>
            </w:pPr>
            <w:r w:rsidRPr="00FA0D37">
              <w:t xml:space="preserve">If present, this field indicates which channel access procedures to apply for operation with shared spectrum channel access as defined in TS 37.213 [48]. </w:t>
            </w:r>
            <w:r w:rsidRPr="00FA0D37">
              <w:rPr>
                <w:lang w:eastAsia="sv-SE"/>
              </w:rPr>
              <w:t xml:space="preserve">If the field is configured as "semiStatic", </w:t>
            </w:r>
            <w:r w:rsidRPr="00FA0D37">
              <w:t xml:space="preserve">the UE shall apply </w:t>
            </w:r>
            <w:r w:rsidRPr="00FA0D37">
              <w:rPr>
                <w:lang w:eastAsia="sv-SE"/>
              </w:rPr>
              <w:t xml:space="preserve">the channel access procedures for semi-static channel occupancy as described in </w:t>
            </w:r>
            <w:r w:rsidR="009C7196" w:rsidRPr="00FA0D37">
              <w:rPr>
                <w:lang w:eastAsia="sv-SE"/>
              </w:rPr>
              <w:t>clause</w:t>
            </w:r>
            <w:r w:rsidRPr="00FA0D37">
              <w:rPr>
                <w:lang w:eastAsia="sv-SE"/>
              </w:rPr>
              <w:t xml:space="preserve"> 4.3 in TS 37.213. If the field is configured as "dynamic", </w:t>
            </w:r>
            <w:r w:rsidRPr="00FA0D37">
              <w:t xml:space="preserve">the UE shall apply </w:t>
            </w:r>
            <w:r w:rsidRPr="00FA0D37">
              <w:rPr>
                <w:lang w:eastAsia="sv-SE"/>
              </w:rPr>
              <w:t xml:space="preserve">the channel access procedures </w:t>
            </w:r>
            <w:r w:rsidR="001B0D59" w:rsidRPr="00FA0D37">
              <w:rPr>
                <w:lang w:eastAsia="sv-SE"/>
              </w:rPr>
              <w:t xml:space="preserve">as defined </w:t>
            </w:r>
            <w:r w:rsidRPr="00FA0D37">
              <w:rPr>
                <w:lang w:eastAsia="sv-SE"/>
              </w:rPr>
              <w:t xml:space="preserve">in TS 37.213, </w:t>
            </w:r>
            <w:r w:rsidR="009C7196" w:rsidRPr="00FA0D37">
              <w:rPr>
                <w:lang w:eastAsia="sv-SE"/>
              </w:rPr>
              <w:t>clause</w:t>
            </w:r>
            <w:r w:rsidRPr="00FA0D37">
              <w:rPr>
                <w:lang w:eastAsia="sv-SE"/>
              </w:rPr>
              <w:t xml:space="preserve"> 4.</w:t>
            </w:r>
            <w:r w:rsidR="001B0D59" w:rsidRPr="00FA0D37">
              <w:rPr>
                <w:lang w:eastAsia="sv-SE"/>
              </w:rPr>
              <w:t>1 and 4.2</w:t>
            </w:r>
            <w:r w:rsidRPr="00FA0D37">
              <w:rPr>
                <w:szCs w:val="22"/>
                <w:lang w:eastAsia="sv-SE"/>
              </w:rPr>
              <w:t>.</w:t>
            </w:r>
          </w:p>
        </w:tc>
      </w:tr>
      <w:tr w:rsidR="005C7FF4" w:rsidRPr="00FA0D37"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FA0D37" w:rsidRDefault="008754E6" w:rsidP="000830BB">
            <w:pPr>
              <w:pStyle w:val="TAL"/>
              <w:rPr>
                <w:b/>
                <w:bCs/>
                <w:i/>
                <w:iCs/>
                <w:lang w:eastAsia="sv-SE"/>
              </w:rPr>
            </w:pPr>
            <w:r w:rsidRPr="00FA0D37">
              <w:rPr>
                <w:b/>
                <w:bCs/>
                <w:i/>
                <w:iCs/>
                <w:lang w:eastAsia="en-GB"/>
              </w:rPr>
              <w:t>channelAccessMode2</w:t>
            </w:r>
          </w:p>
          <w:p w14:paraId="085B2B52" w14:textId="5751A17B" w:rsidR="008754E6" w:rsidRPr="00FA0D37" w:rsidRDefault="008754E6" w:rsidP="000830BB">
            <w:pPr>
              <w:pStyle w:val="TAL"/>
              <w:rPr>
                <w:lang w:eastAsia="en-GB"/>
              </w:rPr>
            </w:pPr>
            <w:r w:rsidRPr="00FA0D37">
              <w:t xml:space="preserve">If present, this field </w:t>
            </w:r>
            <w:r w:rsidRPr="00FA0D37">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FA0D37">
              <w:rPr>
                <w:lang w:eastAsia="sv-SE"/>
              </w:rPr>
              <w:t xml:space="preserve"> The network always configures this field if channel access procedures are required for the serving cell within this region by regulations.</w:t>
            </w:r>
          </w:p>
        </w:tc>
      </w:tr>
      <w:tr w:rsidR="005C7FF4" w:rsidRPr="00FA0D37"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FA0D37" w:rsidRDefault="00394471" w:rsidP="00964CC4">
            <w:pPr>
              <w:pStyle w:val="TAL"/>
              <w:rPr>
                <w:b/>
                <w:i/>
                <w:szCs w:val="22"/>
                <w:lang w:eastAsia="sv-SE"/>
              </w:rPr>
            </w:pPr>
            <w:r w:rsidRPr="00FA0D37">
              <w:rPr>
                <w:b/>
                <w:i/>
                <w:szCs w:val="22"/>
                <w:lang w:eastAsia="sv-SE"/>
              </w:rPr>
              <w:t>discoveryBurstWindowLength</w:t>
            </w:r>
          </w:p>
          <w:p w14:paraId="226E6FCE" w14:textId="0B262A9D" w:rsidR="00394471" w:rsidRPr="00FA0D37" w:rsidRDefault="00394471" w:rsidP="00964CC4">
            <w:pPr>
              <w:pStyle w:val="TAL"/>
              <w:rPr>
                <w:rFonts w:eastAsia="MS Mincho"/>
                <w:b/>
                <w:i/>
                <w:szCs w:val="22"/>
                <w:lang w:eastAsia="sv-SE"/>
              </w:rPr>
            </w:pPr>
            <w:r w:rsidRPr="00FA0D37">
              <w:rPr>
                <w:szCs w:val="22"/>
                <w:lang w:eastAsia="sv-SE"/>
              </w:rPr>
              <w:t>Indicates the window length of the discovery burst in ms (see TS 37.213 [48]).</w:t>
            </w:r>
            <w:r w:rsidR="008754E6" w:rsidRPr="00FA0D37">
              <w:rPr>
                <w:szCs w:val="22"/>
                <w:lang w:eastAsia="sv-SE"/>
              </w:rPr>
              <w:t xml:space="preserve"> The field </w:t>
            </w:r>
            <w:r w:rsidR="008754E6" w:rsidRPr="00FA0D37">
              <w:rPr>
                <w:i/>
                <w:iCs/>
                <w:szCs w:val="22"/>
                <w:lang w:eastAsia="sv-SE"/>
              </w:rPr>
              <w:t>discoveryBurstWindowLength-v1700</w:t>
            </w:r>
            <w:r w:rsidR="008754E6" w:rsidRPr="00FA0D37">
              <w:rPr>
                <w:szCs w:val="22"/>
                <w:lang w:eastAsia="sv-SE"/>
              </w:rPr>
              <w:t xml:space="preserve"> is applicable to SCS 480 kHz and SCS 960 kHz.</w:t>
            </w:r>
          </w:p>
        </w:tc>
      </w:tr>
      <w:tr w:rsidR="005C7FF4" w:rsidRPr="00FA0D37"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777777" w:rsidR="00A3134E" w:rsidRPr="00FA0D37" w:rsidRDefault="00A3134E" w:rsidP="0071565C">
            <w:pPr>
              <w:pStyle w:val="TAL"/>
              <w:rPr>
                <w:rFonts w:eastAsia="MS Mincho"/>
                <w:b/>
                <w:i/>
                <w:szCs w:val="22"/>
                <w:lang w:eastAsia="sv-SE"/>
              </w:rPr>
            </w:pPr>
            <w:r w:rsidRPr="00FA0D37">
              <w:rPr>
                <w:rFonts w:eastAsia="MS Mincho"/>
                <w:b/>
                <w:i/>
                <w:szCs w:val="22"/>
                <w:lang w:eastAsia="sv-SE"/>
              </w:rPr>
              <w:t>enhancedMeasurementLEO</w:t>
            </w:r>
          </w:p>
          <w:p w14:paraId="0A32321F" w14:textId="0C02D8C7" w:rsidR="00A3134E" w:rsidRPr="00FA0D37" w:rsidRDefault="00A3134E" w:rsidP="0071565C">
            <w:pPr>
              <w:pStyle w:val="TAL"/>
              <w:rPr>
                <w:rFonts w:eastAsia="MS Mincho"/>
                <w:bCs/>
                <w:iCs/>
                <w:szCs w:val="22"/>
                <w:lang w:eastAsia="sv-SE"/>
              </w:rPr>
            </w:pPr>
            <w:r w:rsidRPr="00FA0D37">
              <w:t xml:space="preserve">If the field is present </w:t>
            </w:r>
            <w:r w:rsidRPr="00FA0D37">
              <w:rPr>
                <w:rFonts w:cs="Arial"/>
                <w:szCs w:val="18"/>
              </w:rPr>
              <w:t>and</w:t>
            </w:r>
            <w:r w:rsidRPr="00FA0D37">
              <w:rPr>
                <w:rFonts w:eastAsia="TimesNewRomanPSMT" w:cs="Arial"/>
                <w:szCs w:val="18"/>
              </w:rPr>
              <w:t xml:space="preserve"> </w:t>
            </w:r>
            <w:r w:rsidRPr="00FA0D37">
              <w:rPr>
                <w:rFonts w:cs="Arial"/>
                <w:szCs w:val="18"/>
              </w:rPr>
              <w:t>UE supports</w:t>
            </w:r>
            <w:r w:rsidRPr="00FA0D37">
              <w:rPr>
                <w:rFonts w:eastAsia="TimesNewRomanPSMT" w:cs="Arial"/>
                <w:szCs w:val="18"/>
              </w:rPr>
              <w:t xml:space="preserve"> the enhanced cell reselection requirements for NTN LEO in RRC_IDLE/RRC_INACTIVE</w:t>
            </w:r>
            <w:r w:rsidRPr="00FA0D37">
              <w:t xml:space="preserve">, the UE shall apply the enhanced </w:t>
            </w:r>
            <w:r w:rsidRPr="00FA0D37">
              <w:rPr>
                <w:rFonts w:eastAsia="TimesNewRomanPSMT" w:cs="Arial"/>
                <w:szCs w:val="18"/>
              </w:rPr>
              <w:t>cell reselection requirements for NTN LEO</w:t>
            </w:r>
            <w:r w:rsidRPr="00FA0D37">
              <w:t xml:space="preserve"> as specified in TS 38.133 </w:t>
            </w:r>
            <w:r w:rsidR="00AE0E17" w:rsidRPr="00FA0D37">
              <w:t>[14], c</w:t>
            </w:r>
            <w:r w:rsidRPr="00FA0D37">
              <w:t>lause</w:t>
            </w:r>
            <w:r w:rsidR="00AE0E17" w:rsidRPr="00FA0D37">
              <w:t>s</w:t>
            </w:r>
            <w:r w:rsidRPr="00FA0D37">
              <w:t xml:space="preserve"> 4.2C.2.3 and 4.2C.2.4.</w:t>
            </w:r>
          </w:p>
        </w:tc>
      </w:tr>
      <w:tr w:rsidR="005C7FF4" w:rsidRPr="00FA0D37"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groupPresence</w:t>
            </w:r>
          </w:p>
          <w:p w14:paraId="73B9DBE0"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A0D37">
              <w:rPr>
                <w:rFonts w:eastAsia="MS Mincho"/>
                <w:i/>
                <w:szCs w:val="22"/>
                <w:lang w:eastAsia="sv-SE"/>
              </w:rPr>
              <w:t>inOneGroup</w:t>
            </w:r>
            <w:r w:rsidRPr="00FA0D37">
              <w:rPr>
                <w:rFonts w:eastAsia="MS Mincho"/>
                <w:szCs w:val="22"/>
                <w:lang w:eastAsia="sv-SE"/>
              </w:rPr>
              <w:t xml:space="preserve"> are absent. Value 1 indicates that the SS/PBCH blocks are transmitted in accordance with </w:t>
            </w:r>
            <w:r w:rsidRPr="00FA0D37">
              <w:rPr>
                <w:rFonts w:eastAsia="MS Mincho"/>
                <w:i/>
                <w:szCs w:val="22"/>
                <w:lang w:eastAsia="sv-SE"/>
              </w:rPr>
              <w:t>inOneGroup</w:t>
            </w:r>
            <w:r w:rsidRPr="00FA0D37">
              <w:rPr>
                <w:rFonts w:eastAsia="MS Mincho"/>
                <w:szCs w:val="22"/>
                <w:lang w:eastAsia="sv-SE"/>
              </w:rPr>
              <w:t>.</w:t>
            </w:r>
          </w:p>
        </w:tc>
      </w:tr>
      <w:tr w:rsidR="005C7FF4" w:rsidRPr="00FA0D37"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inOneGroup</w:t>
            </w:r>
          </w:p>
          <w:p w14:paraId="38855C41" w14:textId="77777777" w:rsidR="00394471" w:rsidRPr="00FA0D37" w:rsidRDefault="00394471" w:rsidP="00964CC4">
            <w:pPr>
              <w:pStyle w:val="TAL"/>
              <w:rPr>
                <w:rFonts w:eastAsia="MS Mincho"/>
                <w:szCs w:val="22"/>
                <w:lang w:eastAsia="sv-SE"/>
              </w:rPr>
            </w:pPr>
            <w:r w:rsidRPr="00FA0D37">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5C7FF4" w:rsidRPr="00FA0D37"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n-TimingAdvanceOffset</w:t>
            </w:r>
          </w:p>
          <w:p w14:paraId="45C40E7D" w14:textId="77777777" w:rsidR="00394471" w:rsidRPr="00FA0D37" w:rsidRDefault="00394471" w:rsidP="00964CC4">
            <w:pPr>
              <w:pStyle w:val="TAL"/>
              <w:rPr>
                <w:rFonts w:eastAsia="MS Mincho"/>
                <w:szCs w:val="22"/>
                <w:lang w:eastAsia="sv-SE"/>
              </w:rPr>
            </w:pPr>
            <w:r w:rsidRPr="00FA0D37">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5C7FF4" w:rsidRPr="00FA0D37"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FA0D37" w:rsidRDefault="00D5120D" w:rsidP="0071565C">
            <w:pPr>
              <w:pStyle w:val="TAL"/>
              <w:rPr>
                <w:rFonts w:eastAsia="MS Mincho"/>
                <w:b/>
                <w:i/>
                <w:szCs w:val="22"/>
                <w:lang w:eastAsia="sv-SE"/>
              </w:rPr>
            </w:pPr>
            <w:r w:rsidRPr="00FA0D37">
              <w:rPr>
                <w:rFonts w:eastAsia="MS Mincho"/>
                <w:b/>
                <w:i/>
                <w:szCs w:val="22"/>
                <w:lang w:eastAsia="sv-SE"/>
              </w:rPr>
              <w:t>ra-ChannelAccess</w:t>
            </w:r>
          </w:p>
          <w:p w14:paraId="154399D6" w14:textId="77777777" w:rsidR="00D5120D" w:rsidRPr="00FA0D37" w:rsidRDefault="00D5120D" w:rsidP="0071565C">
            <w:pPr>
              <w:pStyle w:val="TAL"/>
              <w:rPr>
                <w:rFonts w:eastAsia="MS Mincho"/>
                <w:b/>
                <w:iCs/>
                <w:szCs w:val="22"/>
                <w:lang w:eastAsia="sv-SE"/>
              </w:rPr>
            </w:pPr>
            <w:r w:rsidRPr="00FA0D37">
              <w:t xml:space="preserve">If present, this field </w:t>
            </w:r>
            <w:r w:rsidRPr="00FA0D37">
              <w:rPr>
                <w:lang w:eastAsia="sv-SE"/>
              </w:rPr>
              <w:t>indicates that the UE shall apply channel access procedures before msg1/msgA transmission for operation with shared spectrum channel access in accordance with TS 37.213 [48], clause 4.4.5 for FR2-2.</w:t>
            </w:r>
          </w:p>
        </w:tc>
      </w:tr>
      <w:tr w:rsidR="005C7FF4" w:rsidRPr="00FA0D37"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ssb-PositionsInBurst</w:t>
            </w:r>
          </w:p>
          <w:p w14:paraId="60AD7B0E" w14:textId="77777777" w:rsidR="00A940A7" w:rsidRPr="00FA0D37" w:rsidRDefault="00394471" w:rsidP="00964CC4">
            <w:pPr>
              <w:pStyle w:val="TAL"/>
              <w:rPr>
                <w:szCs w:val="22"/>
                <w:lang w:eastAsia="sv-SE"/>
              </w:rPr>
            </w:pPr>
            <w:r w:rsidRPr="00FA0D37">
              <w:rPr>
                <w:rFonts w:eastAsia="MS Mincho"/>
                <w:szCs w:val="22"/>
                <w:lang w:eastAsia="sv-SE"/>
              </w:rPr>
              <w:t>Time domain positions of the transmitted SS-blocks in an SS-burst as defined in TS 38.213 [13], clause 4.1.</w:t>
            </w:r>
          </w:p>
          <w:p w14:paraId="4F7A2554" w14:textId="1DF9863C" w:rsidR="00394471" w:rsidRPr="00FA0D37" w:rsidRDefault="00394471" w:rsidP="00964CC4">
            <w:pPr>
              <w:pStyle w:val="TAL"/>
              <w:rPr>
                <w:rFonts w:eastAsia="MS Mincho"/>
                <w:szCs w:val="22"/>
                <w:lang w:eastAsia="sv-SE"/>
              </w:rPr>
            </w:pPr>
            <w:r w:rsidRPr="00FA0D37">
              <w:t>For operation with shared spectrum channel access</w:t>
            </w:r>
            <w:r w:rsidR="008754E6" w:rsidRPr="00FA0D37">
              <w:rPr>
                <w:rFonts w:cs="Arial"/>
              </w:rPr>
              <w:t xml:space="preserve"> in FR1</w:t>
            </w:r>
            <w:r w:rsidRPr="00FA0D37">
              <w:t xml:space="preserve">, only </w:t>
            </w:r>
            <w:r w:rsidRPr="00FA0D37">
              <w:rPr>
                <w:rFonts w:eastAsia="MS Mincho"/>
                <w:i/>
                <w:iCs/>
              </w:rPr>
              <w:t>inOneGroup</w:t>
            </w:r>
            <w:r w:rsidRPr="00FA0D37">
              <w:rPr>
                <w:rFonts w:eastAsia="MS Mincho"/>
              </w:rPr>
              <w:t xml:space="preserve"> </w:t>
            </w:r>
            <w:r w:rsidRPr="00FA0D37">
              <w:t xml:space="preserve">is used and the UE interprets this field same as </w:t>
            </w:r>
            <w:r w:rsidRPr="00FA0D37">
              <w:rPr>
                <w:i/>
                <w:iCs/>
              </w:rPr>
              <w:t>mediumBitmap</w:t>
            </w:r>
            <w:r w:rsidRPr="00FA0D37">
              <w:t xml:space="preserve"> in </w:t>
            </w:r>
            <w:r w:rsidRPr="00FA0D37">
              <w:rPr>
                <w:i/>
                <w:iCs/>
              </w:rPr>
              <w:t>ServingCellConfigCommon</w:t>
            </w:r>
            <w:r w:rsidRPr="00FA0D37">
              <w:t>.</w:t>
            </w:r>
            <w:r w:rsidR="00A940A7" w:rsidRPr="00FA0D37">
              <w:rPr>
                <w:rFonts w:eastAsia="Batang"/>
                <w:szCs w:val="22"/>
                <w:lang w:eastAsia="sv-SE"/>
              </w:rPr>
              <w:t xml:space="preserve"> The UE assumes that a bit </w:t>
            </w:r>
            <w:r w:rsidR="008754E6" w:rsidRPr="00FA0D37">
              <w:rPr>
                <w:rFonts w:eastAsia="Batang" w:cs="Arial"/>
                <w:szCs w:val="22"/>
                <w:lang w:eastAsia="sv-SE"/>
              </w:rPr>
              <w:t xml:space="preserve">in </w:t>
            </w:r>
            <w:r w:rsidR="008754E6" w:rsidRPr="00FA0D37">
              <w:rPr>
                <w:rFonts w:eastAsia="Batang" w:cs="Arial"/>
                <w:i/>
                <w:iCs/>
                <w:szCs w:val="22"/>
                <w:lang w:eastAsia="sv-SE"/>
              </w:rPr>
              <w:t>inOneGroup</w:t>
            </w:r>
            <w:r w:rsidR="008754E6" w:rsidRPr="00FA0D37">
              <w:rPr>
                <w:rFonts w:eastAsia="Batang"/>
                <w:szCs w:val="22"/>
                <w:lang w:eastAsia="sv-SE"/>
              </w:rPr>
              <w:t xml:space="preserve"> </w:t>
            </w:r>
            <w:r w:rsidR="00A940A7" w:rsidRPr="00FA0D37">
              <w:rPr>
                <w:rFonts w:eastAsia="Batang"/>
                <w:szCs w:val="22"/>
                <w:lang w:eastAsia="sv-SE"/>
              </w:rPr>
              <w:t xml:space="preserve">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A0D37">
              <w:rPr>
                <w:rFonts w:eastAsia="Batang"/>
              </w:rPr>
              <w:t xml:space="preserve"> </w:t>
            </w:r>
            <w:r w:rsidR="00A940A7" w:rsidRPr="00FA0D37">
              <w:rPr>
                <w:rFonts w:eastAsia="Batang"/>
                <w:iCs/>
                <w:szCs w:val="22"/>
                <w:lang w:eastAsia="sv-SE"/>
              </w:rPr>
              <w:t>is 0</w:t>
            </w:r>
            <w:r w:rsidR="00A940A7" w:rsidRPr="00FA0D37">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A0D37">
              <w:rPr>
                <w:rFonts w:eastAsia="Batang"/>
              </w:rPr>
              <w:t xml:space="preserve"> is obtained from </w:t>
            </w:r>
            <w:r w:rsidR="00A940A7" w:rsidRPr="00FA0D37">
              <w:rPr>
                <w:rFonts w:eastAsia="Batang"/>
                <w:i/>
                <w:iCs/>
              </w:rPr>
              <w:t>MIB</w:t>
            </w:r>
            <w:r w:rsidR="00A940A7" w:rsidRPr="00FA0D37">
              <w:rPr>
                <w:rFonts w:eastAsia="Batang"/>
              </w:rPr>
              <w:t xml:space="preserve"> as specified in TS 38.213 [13], clause 4.1</w:t>
            </w:r>
            <w:r w:rsidR="00A940A7" w:rsidRPr="00FA0D37">
              <w:rPr>
                <w:rFonts w:eastAsia="Batang"/>
                <w:iCs/>
                <w:szCs w:val="22"/>
                <w:lang w:eastAsia="sv-SE"/>
              </w:rPr>
              <w:t>.</w:t>
            </w:r>
            <w:r w:rsidR="008754E6" w:rsidRPr="00FA0D37">
              <w:rPr>
                <w:rFonts w:eastAsia="Batang" w:cs="Arial"/>
                <w:szCs w:val="22"/>
                <w:lang w:eastAsia="sv-SE"/>
              </w:rPr>
              <w:t xml:space="preserve"> For operation with shared spectrum channel access in FR2-2, the m-th bit in </w:t>
            </w:r>
            <w:r w:rsidR="008754E6" w:rsidRPr="00FA0D37">
              <w:rPr>
                <w:rFonts w:eastAsia="Batang" w:cs="Arial"/>
                <w:i/>
                <w:szCs w:val="22"/>
                <w:lang w:eastAsia="sv-SE"/>
              </w:rPr>
              <w:t>groupPresence</w:t>
            </w:r>
            <w:r w:rsidR="008754E6" w:rsidRPr="00FA0D37">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A0D37">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A0D37">
              <w:rPr>
                <w:rFonts w:eastAsia="Batang" w:cs="Arial"/>
                <w:iCs/>
                <w:szCs w:val="22"/>
                <w:lang w:eastAsia="sv-SE"/>
              </w:rPr>
              <w:t xml:space="preserve"> is obtained from </w:t>
            </w:r>
            <w:r w:rsidR="008754E6" w:rsidRPr="00FA0D37">
              <w:rPr>
                <w:rFonts w:eastAsia="Batang" w:cs="Arial"/>
                <w:i/>
                <w:iCs/>
                <w:szCs w:val="22"/>
                <w:lang w:eastAsia="sv-SE"/>
              </w:rPr>
              <w:t>MIB</w:t>
            </w:r>
            <w:r w:rsidR="008754E6" w:rsidRPr="00FA0D37">
              <w:rPr>
                <w:rFonts w:eastAsia="Batang" w:cs="Arial"/>
                <w:iCs/>
                <w:szCs w:val="22"/>
                <w:lang w:eastAsia="sv-SE"/>
              </w:rPr>
              <w:t xml:space="preserve"> as specified in TS 38.213 [13], clause 4.1.</w:t>
            </w:r>
          </w:p>
        </w:tc>
      </w:tr>
      <w:tr w:rsidR="00394471" w:rsidRPr="00FA0D37"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FA0D37" w:rsidRDefault="00394471" w:rsidP="00964CC4">
            <w:pPr>
              <w:pStyle w:val="TAL"/>
              <w:rPr>
                <w:szCs w:val="22"/>
                <w:lang w:eastAsia="sv-SE"/>
              </w:rPr>
            </w:pPr>
            <w:r w:rsidRPr="00FA0D37">
              <w:rPr>
                <w:b/>
                <w:i/>
                <w:szCs w:val="22"/>
                <w:lang w:eastAsia="sv-SE"/>
              </w:rPr>
              <w:t>ss-PBCH-BlockPower</w:t>
            </w:r>
          </w:p>
          <w:p w14:paraId="1DED654A" w14:textId="77777777" w:rsidR="00394471" w:rsidRPr="00FA0D37" w:rsidRDefault="00394471" w:rsidP="00964CC4">
            <w:pPr>
              <w:pStyle w:val="TAL"/>
              <w:rPr>
                <w:rFonts w:eastAsia="MS Mincho"/>
                <w:b/>
                <w:i/>
                <w:szCs w:val="22"/>
                <w:lang w:eastAsia="sv-SE"/>
              </w:rPr>
            </w:pPr>
            <w:r w:rsidRPr="00FA0D37">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FA0D37"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5C7FF4" w:rsidRPr="00FA0D37"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FA0D37" w:rsidRDefault="00394471" w:rsidP="00964CC4">
            <w:pPr>
              <w:pStyle w:val="TAH"/>
              <w:rPr>
                <w:rFonts w:eastAsia="MS Mincho"/>
                <w:szCs w:val="22"/>
                <w:lang w:eastAsia="sv-SE"/>
              </w:rPr>
            </w:pPr>
            <w:r w:rsidRPr="00FA0D37">
              <w:rPr>
                <w:rFonts w:eastAsia="MS Mincho"/>
                <w:szCs w:val="22"/>
                <w:lang w:eastAsia="sv-SE"/>
              </w:rPr>
              <w:lastRenderedPageBreak/>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FA0D37" w:rsidRDefault="00394471" w:rsidP="00964CC4">
            <w:pPr>
              <w:pStyle w:val="TAH"/>
              <w:rPr>
                <w:rFonts w:eastAsia="MS Mincho"/>
                <w:szCs w:val="22"/>
                <w:lang w:eastAsia="sv-SE"/>
              </w:rPr>
            </w:pPr>
            <w:r w:rsidRPr="00FA0D37">
              <w:rPr>
                <w:rFonts w:eastAsia="MS Mincho"/>
                <w:szCs w:val="22"/>
                <w:lang w:eastAsia="sv-SE"/>
              </w:rPr>
              <w:t>Explanation</w:t>
            </w:r>
          </w:p>
        </w:tc>
      </w:tr>
      <w:tr w:rsidR="005C7FF4" w:rsidRPr="00FA0D37"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FA0D37" w:rsidRDefault="00394471" w:rsidP="00964CC4">
            <w:pPr>
              <w:pStyle w:val="TAL"/>
              <w:rPr>
                <w:rFonts w:eastAsia="MS Mincho"/>
                <w:i/>
                <w:szCs w:val="22"/>
                <w:lang w:eastAsia="sv-SE"/>
              </w:rPr>
            </w:pPr>
            <w:r w:rsidRPr="00FA0D37">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FA0D37" w:rsidRDefault="00394471" w:rsidP="00964CC4">
            <w:pPr>
              <w:pStyle w:val="TAL"/>
              <w:rPr>
                <w:rFonts w:eastAsia="MS Mincho"/>
                <w:szCs w:val="22"/>
                <w:lang w:eastAsia="sv-SE"/>
              </w:rPr>
            </w:pPr>
            <w:r w:rsidRPr="00FA0D37">
              <w:rPr>
                <w:rFonts w:eastAsia="MS Mincho"/>
                <w:szCs w:val="22"/>
                <w:lang w:eastAsia="sv-SE"/>
              </w:rPr>
              <w:t>This field is mandatory present for an FR2 carrier frequency. It is absent otherwise and UE releases any configured value.</w:t>
            </w:r>
          </w:p>
        </w:tc>
      </w:tr>
      <w:tr w:rsidR="005C7FF4" w:rsidRPr="00FA0D37"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FA0D37" w:rsidRDefault="00394471" w:rsidP="00964CC4">
            <w:pPr>
              <w:pStyle w:val="TAL"/>
              <w:rPr>
                <w:rFonts w:eastAsia="MS Mincho"/>
                <w:i/>
                <w:szCs w:val="22"/>
                <w:lang w:eastAsia="sv-SE"/>
              </w:rPr>
            </w:pPr>
            <w:r w:rsidRPr="00FA0D37">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FA0D37" w:rsidRDefault="00394471" w:rsidP="00964CC4">
            <w:pPr>
              <w:pStyle w:val="TAL"/>
              <w:rPr>
                <w:rFonts w:eastAsia="MS Mincho"/>
                <w:szCs w:val="22"/>
                <w:lang w:eastAsia="sv-SE"/>
              </w:rPr>
            </w:pPr>
            <w:r w:rsidRPr="00FA0D37">
              <w:rPr>
                <w:szCs w:val="22"/>
              </w:rPr>
              <w:t>This field is mandatory present if this cell operates with shared spectrum channel access</w:t>
            </w:r>
            <w:r w:rsidR="008754E6" w:rsidRPr="00FA0D37">
              <w:rPr>
                <w:rFonts w:cs="Arial"/>
                <w:szCs w:val="22"/>
              </w:rPr>
              <w:t xml:space="preserve"> in FR1</w:t>
            </w:r>
            <w:r w:rsidRPr="00FA0D37">
              <w:rPr>
                <w:szCs w:val="22"/>
              </w:rPr>
              <w:t>. Otherwise, it is absent, Need R.</w:t>
            </w:r>
          </w:p>
        </w:tc>
      </w:tr>
      <w:tr w:rsidR="005C7FF4" w:rsidRPr="00FA0D37"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FA0D37" w:rsidRDefault="008754E6" w:rsidP="000830BB">
            <w:pPr>
              <w:pStyle w:val="TAL"/>
              <w:rPr>
                <w:rFonts w:eastAsia="MS Mincho"/>
                <w:i/>
                <w:iCs/>
                <w:szCs w:val="22"/>
                <w:lang w:eastAsia="sv-SE"/>
              </w:rPr>
            </w:pPr>
            <w:r w:rsidRPr="00FA0D37">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FA0D37" w:rsidRDefault="008754E6" w:rsidP="000830BB">
            <w:pPr>
              <w:pStyle w:val="TAL"/>
              <w:rPr>
                <w:rFonts w:eastAsia="MS Mincho"/>
                <w:szCs w:val="22"/>
                <w:lang w:eastAsia="sv-SE"/>
              </w:rPr>
            </w:pPr>
            <w:r w:rsidRPr="00FA0D37">
              <w:rPr>
                <w:rFonts w:eastAsia="MS Mincho"/>
                <w:szCs w:val="22"/>
                <w:lang w:eastAsia="sv-SE"/>
              </w:rPr>
              <w:t xml:space="preserve">This field is optionally present </w:t>
            </w:r>
            <w:r w:rsidRPr="00FA0D37">
              <w:rPr>
                <w:szCs w:val="22"/>
              </w:rPr>
              <w:t xml:space="preserve">if this cell operates with shared spectrum channel access in </w:t>
            </w:r>
            <w:r w:rsidRPr="00FA0D37">
              <w:rPr>
                <w:rFonts w:eastAsia="MS Mincho"/>
                <w:szCs w:val="22"/>
                <w:lang w:eastAsia="sv-SE"/>
              </w:rPr>
              <w:t>FR2-2</w:t>
            </w:r>
            <w:r w:rsidR="00A345A2" w:rsidRPr="00FA0D37">
              <w:rPr>
                <w:szCs w:val="22"/>
              </w:rPr>
              <w:t>, Need R</w:t>
            </w:r>
            <w:r w:rsidRPr="00FA0D37">
              <w:rPr>
                <w:rFonts w:eastAsia="MS Mincho"/>
                <w:szCs w:val="22"/>
                <w:lang w:eastAsia="sv-SE"/>
              </w:rPr>
              <w:t>. Otherwise, it is absent, Need R.</w:t>
            </w:r>
          </w:p>
        </w:tc>
      </w:tr>
      <w:tr w:rsidR="00394471" w:rsidRPr="00FA0D37"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FA0D37" w:rsidRDefault="00394471" w:rsidP="00964CC4">
            <w:pPr>
              <w:pStyle w:val="TAL"/>
              <w:rPr>
                <w:rFonts w:eastAsia="MS Mincho"/>
                <w:i/>
                <w:szCs w:val="22"/>
                <w:lang w:eastAsia="sv-SE"/>
              </w:rPr>
            </w:pPr>
            <w:r w:rsidRPr="00FA0D37">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FA0D37" w:rsidRDefault="00394471" w:rsidP="00964CC4">
            <w:pPr>
              <w:pStyle w:val="TAL"/>
              <w:rPr>
                <w:rFonts w:eastAsia="MS Mincho"/>
                <w:szCs w:val="22"/>
                <w:lang w:eastAsia="sv-SE"/>
              </w:rPr>
            </w:pPr>
            <w:r w:rsidRPr="00FA0D37">
              <w:rPr>
                <w:rFonts w:eastAsia="MS Mincho"/>
                <w:szCs w:val="22"/>
                <w:lang w:eastAsia="sv-SE"/>
              </w:rPr>
              <w:t>The field is optionally present, Need R, for TDD cells; otherwise it is absent.</w:t>
            </w:r>
          </w:p>
        </w:tc>
      </w:tr>
    </w:tbl>
    <w:p w14:paraId="2B1D297F" w14:textId="77777777" w:rsidR="00394471" w:rsidRPr="00FA0D37" w:rsidRDefault="00394471" w:rsidP="00394471"/>
    <w:p w14:paraId="18CDB838" w14:textId="77777777" w:rsidR="00394471" w:rsidRPr="00FA0D37" w:rsidRDefault="00394471" w:rsidP="00394471">
      <w:pPr>
        <w:pStyle w:val="4"/>
        <w:rPr>
          <w:rFonts w:eastAsia="MS Mincho"/>
          <w:i/>
          <w:iCs/>
        </w:rPr>
      </w:pPr>
      <w:bookmarkStart w:id="1391" w:name="_Toc60777382"/>
      <w:bookmarkStart w:id="1392" w:name="_Toc146781468"/>
      <w:r w:rsidRPr="00FA0D37">
        <w:rPr>
          <w:rFonts w:eastAsia="MS Mincho"/>
          <w:i/>
          <w:iCs/>
        </w:rPr>
        <w:t>–</w:t>
      </w:r>
      <w:r w:rsidRPr="00FA0D37">
        <w:rPr>
          <w:rFonts w:eastAsia="MS Mincho"/>
          <w:i/>
          <w:iCs/>
        </w:rPr>
        <w:tab/>
        <w:t>ShortI-RNTI-Value</w:t>
      </w:r>
      <w:bookmarkEnd w:id="1391"/>
      <w:bookmarkEnd w:id="1392"/>
    </w:p>
    <w:p w14:paraId="2720EFF9" w14:textId="77777777" w:rsidR="00394471" w:rsidRPr="00FA0D37" w:rsidRDefault="00394471" w:rsidP="00394471">
      <w:pPr>
        <w:rPr>
          <w:rFonts w:eastAsia="MS Mincho"/>
        </w:rPr>
      </w:pPr>
      <w:r w:rsidRPr="00FA0D37">
        <w:rPr>
          <w:lang w:eastAsia="ko-KR"/>
        </w:rPr>
        <w:t xml:space="preserve">The IE </w:t>
      </w:r>
      <w:r w:rsidRPr="00FA0D37">
        <w:rPr>
          <w:rFonts w:eastAsia="MS Mincho"/>
          <w:i/>
        </w:rPr>
        <w:t>Short</w:t>
      </w:r>
      <w:r w:rsidRPr="00FA0D37">
        <w:rPr>
          <w:i/>
          <w:lang w:eastAsia="ko-KR"/>
        </w:rPr>
        <w:t>I-RNTI-Value</w:t>
      </w:r>
      <w:r w:rsidRPr="00FA0D37">
        <w:rPr>
          <w:lang w:eastAsia="ko-KR"/>
        </w:rPr>
        <w:t xml:space="preserve"> is used to identify the suspended UE context of a UE in RRC_INACTIVE using fewer bits compared to I-RNTI-Value.</w:t>
      </w:r>
    </w:p>
    <w:p w14:paraId="35A2DCB4" w14:textId="77777777" w:rsidR="00394471" w:rsidRPr="00FA0D37" w:rsidRDefault="00394471" w:rsidP="00394471">
      <w:pPr>
        <w:pStyle w:val="TH"/>
      </w:pPr>
      <w:r w:rsidRPr="00FA0D37">
        <w:rPr>
          <w:rFonts w:eastAsia="MS Mincho"/>
          <w:i/>
        </w:rPr>
        <w:t>Short</w:t>
      </w:r>
      <w:r w:rsidRPr="00FA0D37">
        <w:rPr>
          <w:bCs/>
          <w:i/>
          <w:iCs/>
        </w:rPr>
        <w:t xml:space="preserve">I-RNTI-Value </w:t>
      </w:r>
      <w:r w:rsidRPr="00FA0D37">
        <w:t>information element</w:t>
      </w:r>
    </w:p>
    <w:p w14:paraId="43F9B68A" w14:textId="77777777" w:rsidR="00394471" w:rsidRPr="00FA0D37" w:rsidRDefault="00394471" w:rsidP="00FA0D37">
      <w:pPr>
        <w:pStyle w:val="PL"/>
        <w:rPr>
          <w:color w:val="808080"/>
        </w:rPr>
      </w:pPr>
      <w:r w:rsidRPr="00FA0D37">
        <w:rPr>
          <w:color w:val="808080"/>
        </w:rPr>
        <w:t>-- ASN1START</w:t>
      </w:r>
    </w:p>
    <w:p w14:paraId="5DDC9B1B" w14:textId="77777777" w:rsidR="00394471" w:rsidRPr="00FA0D37" w:rsidRDefault="00394471" w:rsidP="00FA0D37">
      <w:pPr>
        <w:pStyle w:val="PL"/>
        <w:rPr>
          <w:color w:val="808080"/>
        </w:rPr>
      </w:pPr>
      <w:r w:rsidRPr="00FA0D37">
        <w:rPr>
          <w:color w:val="808080"/>
        </w:rPr>
        <w:t>-- TAG-SHORTI-RNTI-VALUE-START</w:t>
      </w:r>
    </w:p>
    <w:p w14:paraId="733745E1" w14:textId="77777777" w:rsidR="00394471" w:rsidRPr="00FA0D37" w:rsidRDefault="00394471" w:rsidP="00FA0D37">
      <w:pPr>
        <w:pStyle w:val="PL"/>
      </w:pPr>
    </w:p>
    <w:p w14:paraId="2A80B83C" w14:textId="77777777" w:rsidR="00394471" w:rsidRPr="00FA0D37" w:rsidRDefault="00394471" w:rsidP="00FA0D37">
      <w:pPr>
        <w:pStyle w:val="PL"/>
      </w:pPr>
      <w:r w:rsidRPr="00FA0D37">
        <w:t xml:space="preserve">ShortI-RNTI-Value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(24))</w:t>
      </w:r>
    </w:p>
    <w:p w14:paraId="27289410" w14:textId="77777777" w:rsidR="00394471" w:rsidRPr="00FA0D37" w:rsidRDefault="00394471" w:rsidP="00FA0D37">
      <w:pPr>
        <w:pStyle w:val="PL"/>
      </w:pPr>
    </w:p>
    <w:p w14:paraId="5AC5017A" w14:textId="77777777" w:rsidR="00394471" w:rsidRPr="00FA0D37" w:rsidRDefault="00394471" w:rsidP="00FA0D37">
      <w:pPr>
        <w:pStyle w:val="PL"/>
        <w:rPr>
          <w:color w:val="808080"/>
        </w:rPr>
      </w:pPr>
      <w:r w:rsidRPr="00FA0D37">
        <w:rPr>
          <w:color w:val="808080"/>
        </w:rPr>
        <w:t>-- TAG-SHORTI-RNTI-VALUE-STOP</w:t>
      </w:r>
    </w:p>
    <w:p w14:paraId="52D69317" w14:textId="77777777" w:rsidR="00394471" w:rsidRPr="00FA0D37" w:rsidRDefault="00394471" w:rsidP="00FA0D37">
      <w:pPr>
        <w:pStyle w:val="PL"/>
        <w:rPr>
          <w:rFonts w:eastAsia="MS Mincho"/>
          <w:color w:val="808080"/>
        </w:rPr>
      </w:pPr>
      <w:r w:rsidRPr="00FA0D37">
        <w:rPr>
          <w:color w:val="808080"/>
        </w:rPr>
        <w:t>-- ASN1STOP</w:t>
      </w:r>
    </w:p>
    <w:p w14:paraId="0CD5B72B" w14:textId="77777777" w:rsidR="00394471" w:rsidRPr="00FA0D37" w:rsidRDefault="00394471" w:rsidP="00394471"/>
    <w:p w14:paraId="7DE0AFFA" w14:textId="77777777" w:rsidR="00394471" w:rsidRPr="00FA0D37" w:rsidRDefault="00394471" w:rsidP="00394471">
      <w:pPr>
        <w:pStyle w:val="4"/>
        <w:rPr>
          <w:i/>
          <w:iCs/>
        </w:rPr>
      </w:pPr>
      <w:bookmarkStart w:id="1393" w:name="_Toc60777383"/>
      <w:bookmarkStart w:id="1394" w:name="_Toc146781469"/>
      <w:r w:rsidRPr="00FA0D37">
        <w:rPr>
          <w:i/>
          <w:iCs/>
        </w:rPr>
        <w:t>–</w:t>
      </w:r>
      <w:r w:rsidRPr="00FA0D37">
        <w:rPr>
          <w:i/>
          <w:iCs/>
        </w:rPr>
        <w:tab/>
      </w:r>
      <w:r w:rsidRPr="00FA0D37">
        <w:rPr>
          <w:i/>
          <w:iCs/>
          <w:noProof/>
        </w:rPr>
        <w:t>ShortMAC-I</w:t>
      </w:r>
      <w:bookmarkEnd w:id="1393"/>
      <w:bookmarkEnd w:id="1394"/>
    </w:p>
    <w:p w14:paraId="2FCC1557" w14:textId="77777777" w:rsidR="00394471" w:rsidRPr="00FA0D37" w:rsidRDefault="00394471" w:rsidP="00394471">
      <w:r w:rsidRPr="00FA0D37">
        <w:t xml:space="preserve">The IE </w:t>
      </w:r>
      <w:r w:rsidRPr="00FA0D37">
        <w:rPr>
          <w:i/>
          <w:noProof/>
        </w:rPr>
        <w:t>ShortMAC-I</w:t>
      </w:r>
      <w:r w:rsidRPr="00FA0D37">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FA0D37" w:rsidRDefault="00394471" w:rsidP="00394471">
      <w:pPr>
        <w:pStyle w:val="TH"/>
      </w:pPr>
      <w:r w:rsidRPr="00FA0D37">
        <w:rPr>
          <w:bCs/>
          <w:i/>
          <w:iCs/>
        </w:rPr>
        <w:t xml:space="preserve">ShortMAC-I </w:t>
      </w:r>
      <w:r w:rsidRPr="00FA0D37">
        <w:t>information element</w:t>
      </w:r>
    </w:p>
    <w:p w14:paraId="24770ED1" w14:textId="77777777" w:rsidR="00394471" w:rsidRPr="00FA0D37" w:rsidRDefault="00394471" w:rsidP="00FA0D37">
      <w:pPr>
        <w:pStyle w:val="PL"/>
        <w:rPr>
          <w:color w:val="808080"/>
        </w:rPr>
      </w:pPr>
      <w:r w:rsidRPr="00FA0D37">
        <w:rPr>
          <w:color w:val="808080"/>
        </w:rPr>
        <w:t>-- ASN1START</w:t>
      </w:r>
    </w:p>
    <w:p w14:paraId="0680401F" w14:textId="77777777" w:rsidR="00394471" w:rsidRPr="00FA0D37" w:rsidRDefault="00394471" w:rsidP="00FA0D37">
      <w:pPr>
        <w:pStyle w:val="PL"/>
        <w:rPr>
          <w:color w:val="808080"/>
        </w:rPr>
      </w:pPr>
      <w:r w:rsidRPr="00FA0D37">
        <w:rPr>
          <w:color w:val="808080"/>
        </w:rPr>
        <w:t>-- TAG-SHORTMAC-I-START</w:t>
      </w:r>
    </w:p>
    <w:p w14:paraId="012890B9" w14:textId="77777777" w:rsidR="00394471" w:rsidRPr="00FA0D37" w:rsidRDefault="00394471" w:rsidP="00FA0D37">
      <w:pPr>
        <w:pStyle w:val="PL"/>
      </w:pPr>
    </w:p>
    <w:p w14:paraId="0C44CA2C" w14:textId="77777777" w:rsidR="00394471" w:rsidRPr="00FA0D37" w:rsidRDefault="00394471" w:rsidP="00FA0D37">
      <w:pPr>
        <w:pStyle w:val="PL"/>
      </w:pPr>
      <w:r w:rsidRPr="00FA0D37">
        <w:t xml:space="preserve">ShortMAC-I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w:t>
      </w:r>
    </w:p>
    <w:p w14:paraId="460CBFF8" w14:textId="77777777" w:rsidR="00394471" w:rsidRPr="00FA0D37" w:rsidRDefault="00394471" w:rsidP="00FA0D37">
      <w:pPr>
        <w:pStyle w:val="PL"/>
      </w:pPr>
    </w:p>
    <w:p w14:paraId="722D6518" w14:textId="77777777" w:rsidR="00394471" w:rsidRPr="00FA0D37" w:rsidRDefault="00394471" w:rsidP="00FA0D37">
      <w:pPr>
        <w:pStyle w:val="PL"/>
        <w:rPr>
          <w:color w:val="808080"/>
        </w:rPr>
      </w:pPr>
      <w:r w:rsidRPr="00FA0D37">
        <w:rPr>
          <w:color w:val="808080"/>
        </w:rPr>
        <w:t>-- TAG-SHORTMAC-I-STOP</w:t>
      </w:r>
    </w:p>
    <w:p w14:paraId="528C43B4" w14:textId="77777777" w:rsidR="00394471" w:rsidRPr="00FA0D37" w:rsidRDefault="00394471" w:rsidP="00FA0D37">
      <w:pPr>
        <w:pStyle w:val="PL"/>
        <w:rPr>
          <w:color w:val="808080"/>
        </w:rPr>
      </w:pPr>
      <w:r w:rsidRPr="00FA0D37">
        <w:rPr>
          <w:color w:val="808080"/>
        </w:rPr>
        <w:t>-- ASN1STOP</w:t>
      </w:r>
    </w:p>
    <w:p w14:paraId="6A0E1F23" w14:textId="77777777" w:rsidR="00394471" w:rsidRPr="00FA0D37" w:rsidRDefault="00394471" w:rsidP="00394471"/>
    <w:p w14:paraId="3ACD7E3F" w14:textId="77777777" w:rsidR="00394471" w:rsidRPr="00FA0D37" w:rsidRDefault="00394471" w:rsidP="00394471">
      <w:pPr>
        <w:pStyle w:val="4"/>
        <w:rPr>
          <w:rFonts w:eastAsia="MS Mincho"/>
        </w:rPr>
      </w:pPr>
      <w:bookmarkStart w:id="1395" w:name="_Toc60777384"/>
      <w:bookmarkStart w:id="1396" w:name="_Toc146781470"/>
      <w:r w:rsidRPr="00FA0D37">
        <w:rPr>
          <w:rFonts w:eastAsia="MS Mincho"/>
        </w:rPr>
        <w:t>–</w:t>
      </w:r>
      <w:r w:rsidRPr="00FA0D37">
        <w:rPr>
          <w:rFonts w:eastAsia="MS Mincho"/>
        </w:rPr>
        <w:tab/>
      </w:r>
      <w:r w:rsidRPr="00FA0D37">
        <w:rPr>
          <w:rFonts w:eastAsia="MS Mincho"/>
          <w:i/>
        </w:rPr>
        <w:t>SINR-Range</w:t>
      </w:r>
      <w:bookmarkEnd w:id="1395"/>
      <w:bookmarkEnd w:id="1396"/>
    </w:p>
    <w:p w14:paraId="78710C60" w14:textId="77777777" w:rsidR="00394471" w:rsidRPr="00FA0D37" w:rsidRDefault="00394471" w:rsidP="00394471">
      <w:pPr>
        <w:rPr>
          <w:rFonts w:eastAsia="MS Mincho"/>
        </w:rPr>
      </w:pPr>
      <w:r w:rsidRPr="00FA0D37">
        <w:t xml:space="preserve">The IE </w:t>
      </w:r>
      <w:r w:rsidRPr="00FA0D37">
        <w:rPr>
          <w:i/>
        </w:rPr>
        <w:t>SINR-Range</w:t>
      </w:r>
      <w:r w:rsidRPr="00FA0D37">
        <w:t xml:space="preserve"> specifies the value range used in SINR measurements and thresholds. For measurements</w:t>
      </w:r>
      <w:r w:rsidRPr="00FA0D37">
        <w:rPr>
          <w:lang w:eastAsia="ko-KR"/>
        </w:rPr>
        <w:t xml:space="preserve">, </w:t>
      </w:r>
      <w:r w:rsidRPr="00FA0D37">
        <w:t xml:space="preserve">integer value for SINR measurements is according to Table </w:t>
      </w:r>
      <w:r w:rsidRPr="00FA0D37">
        <w:rPr>
          <w:rFonts w:cs="v4.2.0"/>
        </w:rPr>
        <w:t>10.1.16.1-1</w:t>
      </w:r>
      <w:r w:rsidRPr="00FA0D37">
        <w:t xml:space="preserve"> in TS 38.133 [14].</w:t>
      </w:r>
      <w:r w:rsidRPr="00FA0D37">
        <w:rPr>
          <w:lang w:eastAsia="ko-KR"/>
        </w:rPr>
        <w:t xml:space="preserve"> For thresholds, the actual value is (IE value – 46) / 2 dB.</w:t>
      </w:r>
    </w:p>
    <w:p w14:paraId="23F4C8BF" w14:textId="77777777" w:rsidR="00394471" w:rsidRPr="00FA0D37" w:rsidRDefault="00394471" w:rsidP="00394471">
      <w:pPr>
        <w:pStyle w:val="TH"/>
      </w:pPr>
      <w:r w:rsidRPr="00FA0D37">
        <w:rPr>
          <w:i/>
        </w:rPr>
        <w:lastRenderedPageBreak/>
        <w:t>SINR-Range</w:t>
      </w:r>
      <w:r w:rsidRPr="00FA0D37">
        <w:t xml:space="preserve"> information element</w:t>
      </w:r>
    </w:p>
    <w:p w14:paraId="00C60342" w14:textId="77777777" w:rsidR="00394471" w:rsidRPr="00FA0D37" w:rsidRDefault="00394471" w:rsidP="00FA0D37">
      <w:pPr>
        <w:pStyle w:val="PL"/>
        <w:rPr>
          <w:color w:val="808080"/>
        </w:rPr>
      </w:pPr>
      <w:r w:rsidRPr="00FA0D37">
        <w:rPr>
          <w:color w:val="808080"/>
        </w:rPr>
        <w:t>-- ASN1START</w:t>
      </w:r>
    </w:p>
    <w:p w14:paraId="4777B379" w14:textId="77777777" w:rsidR="00394471" w:rsidRPr="00FA0D37" w:rsidRDefault="00394471" w:rsidP="00FA0D37">
      <w:pPr>
        <w:pStyle w:val="PL"/>
        <w:rPr>
          <w:color w:val="808080"/>
        </w:rPr>
      </w:pPr>
      <w:r w:rsidRPr="00FA0D37">
        <w:rPr>
          <w:color w:val="808080"/>
        </w:rPr>
        <w:t>-- TAG-SINR-RANGE-START</w:t>
      </w:r>
    </w:p>
    <w:p w14:paraId="562D0126" w14:textId="77777777" w:rsidR="00394471" w:rsidRPr="00FA0D37" w:rsidRDefault="00394471" w:rsidP="00FA0D37">
      <w:pPr>
        <w:pStyle w:val="PL"/>
      </w:pPr>
    </w:p>
    <w:p w14:paraId="1791EC18" w14:textId="77777777" w:rsidR="00394471" w:rsidRPr="00FA0D37" w:rsidRDefault="00394471" w:rsidP="00FA0D37">
      <w:pPr>
        <w:pStyle w:val="PL"/>
      </w:pPr>
      <w:r w:rsidRPr="00FA0D37">
        <w:t xml:space="preserve">SINR-Range ::=                      </w:t>
      </w:r>
      <w:r w:rsidRPr="00FA0D37">
        <w:rPr>
          <w:color w:val="993366"/>
        </w:rPr>
        <w:t>INTEGER</w:t>
      </w:r>
      <w:r w:rsidRPr="00FA0D37">
        <w:t>(0..127)</w:t>
      </w:r>
    </w:p>
    <w:p w14:paraId="541B0DAA" w14:textId="77777777" w:rsidR="00394471" w:rsidRPr="00FA0D37" w:rsidRDefault="00394471" w:rsidP="00FA0D37">
      <w:pPr>
        <w:pStyle w:val="PL"/>
      </w:pPr>
    </w:p>
    <w:p w14:paraId="2CE80E66" w14:textId="77777777" w:rsidR="00394471" w:rsidRPr="00FA0D37" w:rsidRDefault="00394471" w:rsidP="00FA0D37">
      <w:pPr>
        <w:pStyle w:val="PL"/>
        <w:rPr>
          <w:color w:val="808080"/>
        </w:rPr>
      </w:pPr>
      <w:r w:rsidRPr="00FA0D37">
        <w:rPr>
          <w:color w:val="808080"/>
        </w:rPr>
        <w:t>-- TAG-SINR-RANGE-STOP</w:t>
      </w:r>
    </w:p>
    <w:p w14:paraId="5D7D1826" w14:textId="77777777" w:rsidR="00394471" w:rsidRPr="00FA0D37" w:rsidRDefault="00394471" w:rsidP="00FA0D37">
      <w:pPr>
        <w:pStyle w:val="PL"/>
        <w:rPr>
          <w:color w:val="808080"/>
        </w:rPr>
      </w:pPr>
      <w:r w:rsidRPr="00FA0D37">
        <w:rPr>
          <w:color w:val="808080"/>
        </w:rPr>
        <w:t>-- ASN1STOP</w:t>
      </w:r>
    </w:p>
    <w:p w14:paraId="23145361" w14:textId="77777777" w:rsidR="00394471" w:rsidRPr="00FA0D37" w:rsidRDefault="00394471" w:rsidP="00394471"/>
    <w:p w14:paraId="5DCF8774" w14:textId="77777777" w:rsidR="00394471" w:rsidRPr="00FA0D37" w:rsidRDefault="00394471" w:rsidP="00394471">
      <w:pPr>
        <w:pStyle w:val="4"/>
        <w:rPr>
          <w:rFonts w:eastAsia="宋体"/>
        </w:rPr>
      </w:pPr>
      <w:bookmarkStart w:id="1397" w:name="_Toc60777385"/>
      <w:bookmarkStart w:id="1398" w:name="_Toc146781471"/>
      <w:r w:rsidRPr="00FA0D37">
        <w:rPr>
          <w:rFonts w:eastAsia="宋体"/>
        </w:rPr>
        <w:t>–</w:t>
      </w:r>
      <w:r w:rsidRPr="00FA0D37">
        <w:rPr>
          <w:rFonts w:eastAsia="宋体"/>
        </w:rPr>
        <w:tab/>
      </w:r>
      <w:r w:rsidRPr="00FA0D37">
        <w:rPr>
          <w:rFonts w:eastAsia="宋体"/>
          <w:i/>
        </w:rPr>
        <w:t>SI-RequestConfig</w:t>
      </w:r>
      <w:bookmarkEnd w:id="1397"/>
      <w:bookmarkEnd w:id="1398"/>
    </w:p>
    <w:p w14:paraId="7D8C5776" w14:textId="77777777" w:rsidR="00394471" w:rsidRPr="00FA0D37" w:rsidRDefault="00394471" w:rsidP="00394471">
      <w:pPr>
        <w:rPr>
          <w:rFonts w:eastAsia="宋体"/>
        </w:rPr>
      </w:pPr>
      <w:r w:rsidRPr="00FA0D37">
        <w:t xml:space="preserve">The IE </w:t>
      </w:r>
      <w:r w:rsidRPr="00FA0D37">
        <w:rPr>
          <w:i/>
        </w:rPr>
        <w:t xml:space="preserve">SI-RequestConfig </w:t>
      </w:r>
      <w:r w:rsidRPr="00FA0D37">
        <w:t>contains configuration for Msg1 based SI request.</w:t>
      </w:r>
    </w:p>
    <w:p w14:paraId="0C044068" w14:textId="77777777" w:rsidR="00394471" w:rsidRPr="00FA0D37" w:rsidRDefault="00394471" w:rsidP="00394471">
      <w:pPr>
        <w:pStyle w:val="TH"/>
      </w:pPr>
      <w:r w:rsidRPr="00FA0D37">
        <w:rPr>
          <w:bCs/>
          <w:i/>
          <w:iCs/>
        </w:rPr>
        <w:t xml:space="preserve">SI-RequestConfig </w:t>
      </w:r>
      <w:r w:rsidRPr="00FA0D37">
        <w:t>information element</w:t>
      </w:r>
    </w:p>
    <w:p w14:paraId="1A27970C" w14:textId="77777777" w:rsidR="00394471" w:rsidRPr="00FA0D37" w:rsidRDefault="00394471" w:rsidP="00FA0D37">
      <w:pPr>
        <w:pStyle w:val="PL"/>
        <w:rPr>
          <w:color w:val="808080"/>
        </w:rPr>
      </w:pPr>
      <w:r w:rsidRPr="00FA0D37">
        <w:rPr>
          <w:color w:val="808080"/>
        </w:rPr>
        <w:t>-- ASN1START</w:t>
      </w:r>
    </w:p>
    <w:p w14:paraId="7BDA62D9" w14:textId="406287E3" w:rsidR="00394471" w:rsidRPr="00FA0D37" w:rsidRDefault="00394471" w:rsidP="00FA0D37">
      <w:pPr>
        <w:pStyle w:val="PL"/>
        <w:rPr>
          <w:color w:val="808080"/>
        </w:rPr>
      </w:pPr>
      <w:r w:rsidRPr="00FA0D37">
        <w:rPr>
          <w:color w:val="808080"/>
        </w:rPr>
        <w:t>-- TAG</w:t>
      </w:r>
      <w:r w:rsidR="00EA6373" w:rsidRPr="00FA0D37">
        <w:rPr>
          <w:color w:val="808080"/>
        </w:rPr>
        <w:t>-</w:t>
      </w:r>
      <w:r w:rsidRPr="00FA0D37">
        <w:rPr>
          <w:color w:val="808080"/>
        </w:rPr>
        <w:t>SI-REQUESTCONFIG-START</w:t>
      </w:r>
    </w:p>
    <w:p w14:paraId="040F2795" w14:textId="77777777" w:rsidR="00394471" w:rsidRPr="00FA0D37" w:rsidRDefault="00394471" w:rsidP="00FA0D37">
      <w:pPr>
        <w:pStyle w:val="PL"/>
      </w:pPr>
    </w:p>
    <w:p w14:paraId="546E1F46" w14:textId="61860283" w:rsidR="00394471" w:rsidRPr="00FA0D37" w:rsidRDefault="00394471" w:rsidP="00FA0D37">
      <w:pPr>
        <w:pStyle w:val="PL"/>
      </w:pPr>
      <w:r w:rsidRPr="00FA0D37">
        <w:t>SI-RequestConfig</w:t>
      </w:r>
      <w:r w:rsidR="00A371DB" w:rsidRPr="00FA0D37">
        <w:t xml:space="preserve"> </w:t>
      </w:r>
      <w:r w:rsidRPr="00FA0D37">
        <w:t xml:space="preserve">::=                </w:t>
      </w:r>
      <w:r w:rsidRPr="00FA0D37">
        <w:rPr>
          <w:color w:val="993366"/>
        </w:rPr>
        <w:t>SEQUENCE</w:t>
      </w:r>
      <w:r w:rsidRPr="00FA0D37">
        <w:t xml:space="preserve"> {</w:t>
      </w:r>
    </w:p>
    <w:p w14:paraId="1FB29759" w14:textId="77777777" w:rsidR="00394471" w:rsidRPr="00FA0D37" w:rsidRDefault="00394471" w:rsidP="00FA0D37">
      <w:pPr>
        <w:pStyle w:val="PL"/>
      </w:pPr>
      <w:r w:rsidRPr="00FA0D37">
        <w:t xml:space="preserve">    rach-OccasionsSI                    </w:t>
      </w:r>
      <w:r w:rsidRPr="00FA0D37">
        <w:rPr>
          <w:color w:val="993366"/>
        </w:rPr>
        <w:t>SEQUENCE</w:t>
      </w:r>
      <w:r w:rsidRPr="00FA0D37">
        <w:t xml:space="preserve"> {</w:t>
      </w:r>
    </w:p>
    <w:p w14:paraId="2164FFC9" w14:textId="77777777" w:rsidR="00394471" w:rsidRPr="00FA0D37" w:rsidRDefault="00394471" w:rsidP="00FA0D37">
      <w:pPr>
        <w:pStyle w:val="PL"/>
      </w:pPr>
      <w:r w:rsidRPr="00FA0D37">
        <w:t xml:space="preserve">        rach-ConfigSI                       RACH-ConfigGeneric,</w:t>
      </w:r>
    </w:p>
    <w:p w14:paraId="3AB57C50" w14:textId="77777777" w:rsidR="00394471" w:rsidRPr="00FA0D37" w:rsidRDefault="00394471" w:rsidP="00FA0D37">
      <w:pPr>
        <w:pStyle w:val="PL"/>
      </w:pPr>
      <w:r w:rsidRPr="00FA0D37">
        <w:t xml:space="preserve">        ssb-perRACH-Occasion                </w:t>
      </w:r>
      <w:r w:rsidRPr="00FA0D37">
        <w:rPr>
          <w:color w:val="993366"/>
        </w:rPr>
        <w:t>ENUMERATED</w:t>
      </w:r>
      <w:r w:rsidRPr="00FA0D37">
        <w:t xml:space="preserve"> {oneEighth, oneFourth, oneHalf, one, two, four, eight, sixteen}</w:t>
      </w:r>
    </w:p>
    <w:p w14:paraId="5F6EEF0A"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DD534A4" w14:textId="77777777" w:rsidR="00394471" w:rsidRPr="00FA0D37" w:rsidRDefault="00394471" w:rsidP="00FA0D37">
      <w:pPr>
        <w:pStyle w:val="PL"/>
        <w:rPr>
          <w:color w:val="808080"/>
        </w:rPr>
      </w:pPr>
      <w:r w:rsidRPr="00FA0D37">
        <w:t xml:space="preserve">    si-RequestPeriod                    </w:t>
      </w:r>
      <w:r w:rsidRPr="00FA0D37">
        <w:rPr>
          <w:color w:val="993366"/>
        </w:rPr>
        <w:t>ENUMERATED</w:t>
      </w:r>
      <w:r w:rsidRPr="00FA0D37">
        <w:t xml:space="preserve"> {one, two, four, six, eight, ten, twelve, sixteen}       </w:t>
      </w:r>
      <w:r w:rsidRPr="00FA0D37">
        <w:rPr>
          <w:color w:val="993366"/>
        </w:rPr>
        <w:t>OPTIONAL</w:t>
      </w:r>
      <w:r w:rsidRPr="00FA0D37">
        <w:t xml:space="preserve">,   </w:t>
      </w:r>
      <w:r w:rsidRPr="00FA0D37">
        <w:rPr>
          <w:color w:val="808080"/>
        </w:rPr>
        <w:t>-- Need R</w:t>
      </w:r>
    </w:p>
    <w:p w14:paraId="37514189" w14:textId="77777777" w:rsidR="00394471" w:rsidRPr="00FA0D37" w:rsidRDefault="00394471" w:rsidP="00FA0D37">
      <w:pPr>
        <w:pStyle w:val="PL"/>
      </w:pPr>
      <w:r w:rsidRPr="00FA0D37">
        <w:t xml:space="preserve">    si-RequestResources                 </w:t>
      </w:r>
      <w:r w:rsidRPr="00FA0D37">
        <w:rPr>
          <w:color w:val="993366"/>
        </w:rPr>
        <w:t>SEQUENCE</w:t>
      </w:r>
      <w:r w:rsidRPr="00FA0D37">
        <w:t xml:space="preserve"> (</w:t>
      </w:r>
      <w:r w:rsidRPr="00FA0D37">
        <w:rPr>
          <w:color w:val="993366"/>
        </w:rPr>
        <w:t>SIZE</w:t>
      </w:r>
      <w:r w:rsidRPr="00FA0D37">
        <w:t xml:space="preserve"> (1..maxSI-Message))</w:t>
      </w:r>
      <w:r w:rsidRPr="00FA0D37">
        <w:rPr>
          <w:color w:val="993366"/>
        </w:rPr>
        <w:t xml:space="preserve"> OF</w:t>
      </w:r>
      <w:r w:rsidRPr="00FA0D37">
        <w:t xml:space="preserve"> SI-RequestResources</w:t>
      </w:r>
    </w:p>
    <w:p w14:paraId="434BE2F6" w14:textId="77777777" w:rsidR="00394471" w:rsidRPr="00FA0D37" w:rsidRDefault="00394471" w:rsidP="00FA0D37">
      <w:pPr>
        <w:pStyle w:val="PL"/>
      </w:pPr>
      <w:r w:rsidRPr="00FA0D37">
        <w:t>}</w:t>
      </w:r>
    </w:p>
    <w:p w14:paraId="514EC810" w14:textId="77777777" w:rsidR="00394471" w:rsidRPr="00FA0D37" w:rsidRDefault="00394471" w:rsidP="00FA0D37">
      <w:pPr>
        <w:pStyle w:val="PL"/>
      </w:pPr>
    </w:p>
    <w:p w14:paraId="565DFFB4" w14:textId="77777777" w:rsidR="00394471" w:rsidRPr="00FA0D37" w:rsidRDefault="00394471" w:rsidP="00FA0D37">
      <w:pPr>
        <w:pStyle w:val="PL"/>
      </w:pPr>
      <w:r w:rsidRPr="00FA0D37">
        <w:t xml:space="preserve">SI-RequestResources ::=             </w:t>
      </w:r>
      <w:r w:rsidRPr="00FA0D37">
        <w:rPr>
          <w:color w:val="993366"/>
        </w:rPr>
        <w:t>SEQUENCE</w:t>
      </w:r>
      <w:r w:rsidRPr="00FA0D37">
        <w:t xml:space="preserve"> {</w:t>
      </w:r>
    </w:p>
    <w:p w14:paraId="6F2779D3" w14:textId="77777777" w:rsidR="00394471" w:rsidRPr="00FA0D37" w:rsidRDefault="00394471" w:rsidP="00FA0D37">
      <w:pPr>
        <w:pStyle w:val="PL"/>
      </w:pPr>
      <w:r w:rsidRPr="00FA0D37">
        <w:t xml:space="preserve">    ra-PreambleStartIndex               </w:t>
      </w:r>
      <w:r w:rsidRPr="00FA0D37">
        <w:rPr>
          <w:color w:val="993366"/>
        </w:rPr>
        <w:t>INTEGER</w:t>
      </w:r>
      <w:r w:rsidRPr="00FA0D37">
        <w:t xml:space="preserve"> (0..63),</w:t>
      </w:r>
    </w:p>
    <w:p w14:paraId="587980E6" w14:textId="77777777" w:rsidR="00394471" w:rsidRPr="00FA0D37" w:rsidRDefault="00394471" w:rsidP="00FA0D37">
      <w:pPr>
        <w:pStyle w:val="PL"/>
        <w:rPr>
          <w:color w:val="808080"/>
        </w:rPr>
      </w:pPr>
      <w:r w:rsidRPr="00FA0D37">
        <w:t xml:space="preserve">    ra-AssociationPeriodIndex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R</w:t>
      </w:r>
    </w:p>
    <w:p w14:paraId="4852CB19" w14:textId="77777777" w:rsidR="00394471" w:rsidRPr="00FA0D37" w:rsidRDefault="00394471" w:rsidP="00FA0D37">
      <w:pPr>
        <w:pStyle w:val="PL"/>
        <w:rPr>
          <w:color w:val="808080"/>
        </w:rPr>
      </w:pPr>
      <w:r w:rsidRPr="00FA0D37">
        <w:t xml:space="preserve">    ra-ssb-OccasionMaskIndex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R</w:t>
      </w:r>
    </w:p>
    <w:p w14:paraId="2B466C3A" w14:textId="77777777" w:rsidR="00394471" w:rsidRPr="00FA0D37" w:rsidRDefault="00394471" w:rsidP="00FA0D37">
      <w:pPr>
        <w:pStyle w:val="PL"/>
      </w:pPr>
      <w:r w:rsidRPr="00FA0D37">
        <w:t>}</w:t>
      </w:r>
    </w:p>
    <w:p w14:paraId="47B2C75C" w14:textId="77777777" w:rsidR="00394471" w:rsidRPr="00FA0D37" w:rsidRDefault="00394471" w:rsidP="00FA0D37">
      <w:pPr>
        <w:pStyle w:val="PL"/>
      </w:pPr>
    </w:p>
    <w:p w14:paraId="6D1DC7F9" w14:textId="1F03E3B0" w:rsidR="00AA5AF7" w:rsidRPr="00FA0D37" w:rsidRDefault="00AA5AF7" w:rsidP="00FA0D37">
      <w:pPr>
        <w:pStyle w:val="PL"/>
        <w:rPr>
          <w:color w:val="808080"/>
        </w:rPr>
      </w:pPr>
      <w:r w:rsidRPr="00FA0D37">
        <w:rPr>
          <w:color w:val="808080"/>
        </w:rPr>
        <w:t>-- TAG-SI-REQUESTCONFIG-STOP</w:t>
      </w:r>
    </w:p>
    <w:p w14:paraId="3096E98B" w14:textId="77777777" w:rsidR="00394471" w:rsidRPr="00FA0D37" w:rsidRDefault="00394471" w:rsidP="00FA0D37">
      <w:pPr>
        <w:pStyle w:val="PL"/>
        <w:rPr>
          <w:color w:val="808080"/>
        </w:rPr>
      </w:pPr>
      <w:r w:rsidRPr="00FA0D37">
        <w:rPr>
          <w:color w:val="808080"/>
        </w:rPr>
        <w:t>-- ASN1STOP</w:t>
      </w:r>
    </w:p>
    <w:p w14:paraId="59E6075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FA0D37" w:rsidRDefault="00394471" w:rsidP="00964CC4">
            <w:pPr>
              <w:pStyle w:val="TAH"/>
              <w:rPr>
                <w:szCs w:val="22"/>
              </w:rPr>
            </w:pPr>
            <w:r w:rsidRPr="00FA0D37">
              <w:rPr>
                <w:i/>
                <w:szCs w:val="22"/>
              </w:rPr>
              <w:lastRenderedPageBreak/>
              <w:t xml:space="preserve">SI-RequestConfig </w:t>
            </w:r>
            <w:r w:rsidRPr="00FA0D37">
              <w:rPr>
                <w:szCs w:val="22"/>
              </w:rPr>
              <w:t>field descriptions</w:t>
            </w:r>
          </w:p>
        </w:tc>
      </w:tr>
      <w:tr w:rsidR="005C7FF4" w:rsidRPr="00FA0D37"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FA0D37" w:rsidRDefault="00394471" w:rsidP="00964CC4">
            <w:pPr>
              <w:pStyle w:val="TAL"/>
              <w:rPr>
                <w:szCs w:val="22"/>
              </w:rPr>
            </w:pPr>
            <w:r w:rsidRPr="00FA0D37">
              <w:rPr>
                <w:b/>
                <w:i/>
                <w:szCs w:val="22"/>
              </w:rPr>
              <w:t>rach-OccasionsSI</w:t>
            </w:r>
          </w:p>
          <w:p w14:paraId="6EDA730E" w14:textId="5BF5B30D" w:rsidR="00394471" w:rsidRPr="00FA0D37" w:rsidRDefault="00394471" w:rsidP="00964CC4">
            <w:pPr>
              <w:pStyle w:val="TAL"/>
              <w:rPr>
                <w:szCs w:val="22"/>
              </w:rPr>
            </w:pPr>
            <w:r w:rsidRPr="00FA0D37">
              <w:rPr>
                <w:szCs w:val="22"/>
              </w:rPr>
              <w:t xml:space="preserve">Configuration of dedicated RACH Occasions for SI. If the field is absent, the UE uses the corresponding parameters configured in </w:t>
            </w:r>
            <w:r w:rsidRPr="00FA0D37">
              <w:rPr>
                <w:i/>
                <w:szCs w:val="22"/>
              </w:rPr>
              <w:t>rach-ConfigCommon</w:t>
            </w:r>
            <w:r w:rsidRPr="00FA0D37">
              <w:rPr>
                <w:szCs w:val="22"/>
              </w:rPr>
              <w:t xml:space="preserve"> of the initial uplink BWP.</w:t>
            </w:r>
          </w:p>
        </w:tc>
      </w:tr>
      <w:tr w:rsidR="005C7FF4" w:rsidRPr="00FA0D37"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FA0D37" w:rsidRDefault="00394471" w:rsidP="00964CC4">
            <w:pPr>
              <w:pStyle w:val="TAL"/>
              <w:rPr>
                <w:szCs w:val="22"/>
              </w:rPr>
            </w:pPr>
            <w:r w:rsidRPr="00FA0D37">
              <w:rPr>
                <w:b/>
                <w:i/>
                <w:szCs w:val="22"/>
              </w:rPr>
              <w:t>si-RequestPeriod</w:t>
            </w:r>
          </w:p>
          <w:p w14:paraId="0C550150" w14:textId="77777777" w:rsidR="00394471" w:rsidRPr="00FA0D37" w:rsidRDefault="00394471" w:rsidP="00964CC4">
            <w:pPr>
              <w:pStyle w:val="TAL"/>
              <w:rPr>
                <w:szCs w:val="22"/>
              </w:rPr>
            </w:pPr>
            <w:r w:rsidRPr="00FA0D37">
              <w:rPr>
                <w:szCs w:val="22"/>
              </w:rPr>
              <w:t xml:space="preserve">Periodicity of the </w:t>
            </w:r>
            <w:r w:rsidRPr="00FA0D37">
              <w:rPr>
                <w:i/>
                <w:szCs w:val="22"/>
              </w:rPr>
              <w:t>SI-Request</w:t>
            </w:r>
            <w:r w:rsidRPr="00FA0D37">
              <w:rPr>
                <w:szCs w:val="22"/>
              </w:rPr>
              <w:t xml:space="preserve"> configuration in number of association periods.</w:t>
            </w:r>
          </w:p>
        </w:tc>
      </w:tr>
      <w:tr w:rsidR="00394471" w:rsidRPr="00FA0D37"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FA0D37" w:rsidRDefault="00394471" w:rsidP="00964CC4">
            <w:pPr>
              <w:pStyle w:val="TAL"/>
              <w:rPr>
                <w:szCs w:val="22"/>
              </w:rPr>
            </w:pPr>
            <w:r w:rsidRPr="00FA0D37">
              <w:rPr>
                <w:b/>
                <w:i/>
                <w:szCs w:val="22"/>
              </w:rPr>
              <w:t>si-RequestResources</w:t>
            </w:r>
          </w:p>
          <w:p w14:paraId="2441604F" w14:textId="77777777" w:rsidR="00213644" w:rsidRPr="00FA0D37" w:rsidRDefault="00394471" w:rsidP="00964CC4">
            <w:pPr>
              <w:pStyle w:val="TAL"/>
              <w:rPr>
                <w:szCs w:val="22"/>
              </w:rPr>
            </w:pPr>
            <w:r w:rsidRPr="00FA0D37">
              <w:rPr>
                <w:szCs w:val="22"/>
              </w:rPr>
              <w:t xml:space="preserve">If there is only one entry in the list, the configuration is used for all SI messages for which </w:t>
            </w:r>
            <w:r w:rsidRPr="00FA0D37">
              <w:rPr>
                <w:i/>
                <w:szCs w:val="22"/>
              </w:rPr>
              <w:t>si-BroadcastStatus</w:t>
            </w:r>
            <w:r w:rsidRPr="00FA0D37">
              <w:rPr>
                <w:szCs w:val="22"/>
              </w:rPr>
              <w:t xml:space="preserve"> </w:t>
            </w:r>
            <w:r w:rsidR="00213644" w:rsidRPr="00FA0D37">
              <w:rPr>
                <w:rFonts w:cs="Arial"/>
                <w:szCs w:val="18"/>
              </w:rPr>
              <w:t xml:space="preserve">or </w:t>
            </w:r>
            <w:r w:rsidR="00213644" w:rsidRPr="00FA0D37">
              <w:rPr>
                <w:rFonts w:cs="Arial"/>
                <w:i/>
                <w:iCs/>
                <w:szCs w:val="18"/>
              </w:rPr>
              <w:t>posSI-BroadcastStatus</w:t>
            </w:r>
            <w:r w:rsidR="00213644" w:rsidRPr="00FA0D37">
              <w:rPr>
                <w:szCs w:val="22"/>
              </w:rPr>
              <w:t xml:space="preserve"> </w:t>
            </w:r>
            <w:r w:rsidRPr="00FA0D37">
              <w:rPr>
                <w:szCs w:val="22"/>
              </w:rPr>
              <w:t xml:space="preserve">is set to </w:t>
            </w:r>
            <w:r w:rsidRPr="00FA0D37">
              <w:rPr>
                <w:i/>
                <w:szCs w:val="22"/>
              </w:rPr>
              <w:t>notBroadcasting</w:t>
            </w:r>
            <w:r w:rsidRPr="00FA0D37">
              <w:rPr>
                <w:szCs w:val="22"/>
              </w:rPr>
              <w:t>. Otherwise</w:t>
            </w:r>
            <w:r w:rsidR="00213644" w:rsidRPr="00FA0D37">
              <w:rPr>
                <w:szCs w:val="22"/>
              </w:rPr>
              <w:t>:</w:t>
            </w:r>
          </w:p>
          <w:p w14:paraId="6E2E59B1" w14:textId="40348914" w:rsidR="00394471" w:rsidRPr="00FA0D37" w:rsidRDefault="00213644" w:rsidP="00A12BD9">
            <w:pPr>
              <w:pStyle w:val="TAL"/>
              <w:ind w:left="313" w:hanging="313"/>
              <w:rPr>
                <w:szCs w:val="22"/>
              </w:rPr>
            </w:pPr>
            <w:r w:rsidRPr="00FA0D37">
              <w:rPr>
                <w:szCs w:val="22"/>
              </w:rPr>
              <w:t>-</w:t>
            </w:r>
            <w:r w:rsidRPr="00FA0D37">
              <w:rPr>
                <w:rFonts w:eastAsia="宋体"/>
              </w:rPr>
              <w:tab/>
            </w:r>
            <w:r w:rsidRPr="00FA0D37">
              <w:rPr>
                <w:rFonts w:cs="Arial"/>
                <w:szCs w:val="18"/>
              </w:rPr>
              <w:t xml:space="preserve">If </w:t>
            </w:r>
            <w:r w:rsidRPr="00FA0D37">
              <w:rPr>
                <w:rFonts w:cs="Arial"/>
                <w:i/>
                <w:iCs/>
                <w:szCs w:val="18"/>
              </w:rPr>
              <w:t>si-SchedulingInfo-v1700</w:t>
            </w:r>
            <w:r w:rsidRPr="00FA0D37">
              <w:rPr>
                <w:rFonts w:cs="Arial"/>
                <w:szCs w:val="18"/>
              </w:rPr>
              <w:t xml:space="preserve"> is not present</w:t>
            </w:r>
            <w:r w:rsidR="003633F7" w:rsidRPr="00FA0D37">
              <w:rPr>
                <w:rFonts w:cs="Arial"/>
                <w:szCs w:val="18"/>
              </w:rPr>
              <w:t xml:space="preserve"> and the </w:t>
            </w:r>
            <w:r w:rsidR="003633F7" w:rsidRPr="00FA0D37">
              <w:rPr>
                <w:rFonts w:cs="Arial"/>
                <w:i/>
                <w:iCs/>
                <w:szCs w:val="18"/>
              </w:rPr>
              <w:t>SI-RequestConfig</w:t>
            </w:r>
            <w:r w:rsidR="003633F7" w:rsidRPr="00FA0D37">
              <w:rPr>
                <w:rFonts w:cs="Arial"/>
                <w:szCs w:val="18"/>
              </w:rPr>
              <w:t xml:space="preserve"> is used for on-demand SI request in </w:t>
            </w:r>
            <w:r w:rsidR="003633F7" w:rsidRPr="00FA0D37">
              <w:rPr>
                <w:rFonts w:cs="Arial"/>
                <w:i/>
                <w:iCs/>
                <w:szCs w:val="18"/>
              </w:rPr>
              <w:t>SI-SchedulingInfo</w:t>
            </w:r>
            <w:r w:rsidR="003633F7" w:rsidRPr="00FA0D37">
              <w:rPr>
                <w:rFonts w:cs="Arial"/>
                <w:szCs w:val="18"/>
              </w:rPr>
              <w:t xml:space="preserve"> or </w:t>
            </w:r>
            <w:r w:rsidR="003633F7" w:rsidRPr="00FA0D37">
              <w:rPr>
                <w:rFonts w:cs="Arial"/>
                <w:i/>
                <w:iCs/>
                <w:szCs w:val="18"/>
              </w:rPr>
              <w:t>PosSI-SchedulingInfo</w:t>
            </w:r>
            <w:r w:rsidRPr="00FA0D37">
              <w:rPr>
                <w:rFonts w:cs="Arial"/>
                <w:szCs w:val="18"/>
              </w:rPr>
              <w:t>,</w:t>
            </w:r>
            <w:r w:rsidR="00394471" w:rsidRPr="00FA0D37">
              <w:rPr>
                <w:szCs w:val="22"/>
              </w:rPr>
              <w:t xml:space="preserve"> the 1</w:t>
            </w:r>
            <w:r w:rsidR="00394471" w:rsidRPr="00FA0D37">
              <w:rPr>
                <w:szCs w:val="22"/>
                <w:vertAlign w:val="superscript"/>
              </w:rPr>
              <w:t>st</w:t>
            </w:r>
            <w:r w:rsidR="00394471" w:rsidRPr="00FA0D37">
              <w:rPr>
                <w:szCs w:val="22"/>
              </w:rPr>
              <w:t xml:space="preserve"> entry in the list corresponds to the first SI message in </w:t>
            </w:r>
            <w:r w:rsidR="00394471" w:rsidRPr="00FA0D37">
              <w:rPr>
                <w:i/>
                <w:szCs w:val="22"/>
              </w:rPr>
              <w:t>schedulingInfoList</w:t>
            </w:r>
            <w:r w:rsidR="00394471" w:rsidRPr="00FA0D37">
              <w:rPr>
                <w:szCs w:val="22"/>
              </w:rPr>
              <w:t xml:space="preserve"> </w:t>
            </w:r>
            <w:r w:rsidRPr="00FA0D37">
              <w:rPr>
                <w:rFonts w:cs="Arial"/>
                <w:szCs w:val="18"/>
              </w:rPr>
              <w:t xml:space="preserve">or </w:t>
            </w:r>
            <w:r w:rsidRPr="00FA0D37">
              <w:rPr>
                <w:rFonts w:cs="Arial"/>
                <w:i/>
                <w:iCs/>
                <w:szCs w:val="18"/>
              </w:rPr>
              <w:t xml:space="preserve">posSchedulingInfoList </w:t>
            </w:r>
            <w:r w:rsidR="00394471" w:rsidRPr="00FA0D37">
              <w:rPr>
                <w:szCs w:val="22"/>
              </w:rPr>
              <w:t xml:space="preserve">for which </w:t>
            </w:r>
            <w:r w:rsidR="00394471" w:rsidRPr="00FA0D37">
              <w:rPr>
                <w:i/>
                <w:szCs w:val="22"/>
              </w:rPr>
              <w:t>si-BroadcastStatus</w:t>
            </w:r>
            <w:r w:rsidR="00394471" w:rsidRPr="00FA0D37">
              <w:rPr>
                <w:szCs w:val="22"/>
              </w:rPr>
              <w:t xml:space="preserve"> </w:t>
            </w:r>
            <w:r w:rsidRPr="00FA0D37">
              <w:rPr>
                <w:rFonts w:cs="Arial"/>
                <w:szCs w:val="18"/>
              </w:rPr>
              <w:t xml:space="preserve">or </w:t>
            </w:r>
            <w:r w:rsidRPr="00FA0D37">
              <w:rPr>
                <w:rFonts w:cs="Arial"/>
                <w:i/>
                <w:iCs/>
                <w:szCs w:val="18"/>
              </w:rPr>
              <w:t xml:space="preserve">posSI-BroadcastStatus </w:t>
            </w:r>
            <w:r w:rsidR="00394471" w:rsidRPr="00FA0D37">
              <w:rPr>
                <w:szCs w:val="22"/>
              </w:rPr>
              <w:t xml:space="preserve">is set to </w:t>
            </w:r>
            <w:r w:rsidR="00394471" w:rsidRPr="00FA0D37">
              <w:rPr>
                <w:i/>
                <w:szCs w:val="22"/>
              </w:rPr>
              <w:t>notBroadcasting</w:t>
            </w:r>
            <w:r w:rsidR="00394471" w:rsidRPr="00FA0D37">
              <w:rPr>
                <w:szCs w:val="22"/>
              </w:rPr>
              <w:t>, 2</w:t>
            </w:r>
            <w:r w:rsidR="00394471" w:rsidRPr="00FA0D37">
              <w:rPr>
                <w:szCs w:val="22"/>
                <w:vertAlign w:val="superscript"/>
              </w:rPr>
              <w:t>nd</w:t>
            </w:r>
            <w:r w:rsidR="00394471" w:rsidRPr="00FA0D37">
              <w:rPr>
                <w:szCs w:val="22"/>
              </w:rPr>
              <w:t xml:space="preserve"> entry in the list corresponds to the second SI message in </w:t>
            </w:r>
            <w:r w:rsidR="00394471" w:rsidRPr="00FA0D37">
              <w:rPr>
                <w:i/>
                <w:szCs w:val="22"/>
              </w:rPr>
              <w:t>schedulingInfoList</w:t>
            </w:r>
            <w:r w:rsidR="00394471" w:rsidRPr="00FA0D37">
              <w:rPr>
                <w:szCs w:val="22"/>
              </w:rPr>
              <w:t xml:space="preserve"> </w:t>
            </w:r>
            <w:r w:rsidRPr="00FA0D37">
              <w:rPr>
                <w:rFonts w:cs="Arial"/>
                <w:szCs w:val="18"/>
              </w:rPr>
              <w:t xml:space="preserve">or </w:t>
            </w:r>
            <w:r w:rsidRPr="00FA0D37">
              <w:rPr>
                <w:rFonts w:cs="Arial"/>
                <w:i/>
                <w:iCs/>
                <w:szCs w:val="18"/>
              </w:rPr>
              <w:t>posSchedulingInfoList</w:t>
            </w:r>
            <w:r w:rsidRPr="00FA0D37">
              <w:rPr>
                <w:szCs w:val="22"/>
              </w:rPr>
              <w:t xml:space="preserve"> </w:t>
            </w:r>
            <w:r w:rsidR="00394471" w:rsidRPr="00FA0D37">
              <w:rPr>
                <w:szCs w:val="22"/>
              </w:rPr>
              <w:t xml:space="preserve">for which </w:t>
            </w:r>
            <w:r w:rsidR="00394471" w:rsidRPr="00FA0D37">
              <w:rPr>
                <w:i/>
                <w:szCs w:val="22"/>
              </w:rPr>
              <w:t>si-BroadcastStatus</w:t>
            </w:r>
            <w:r w:rsidRPr="00FA0D37">
              <w:rPr>
                <w:rFonts w:cs="Arial"/>
                <w:szCs w:val="18"/>
              </w:rPr>
              <w:t xml:space="preserve"> or </w:t>
            </w:r>
            <w:r w:rsidRPr="00FA0D37">
              <w:rPr>
                <w:rFonts w:cs="Arial"/>
                <w:i/>
                <w:iCs/>
                <w:szCs w:val="18"/>
              </w:rPr>
              <w:t>posSI-BroadcastStatus</w:t>
            </w:r>
            <w:r w:rsidR="00394471" w:rsidRPr="00FA0D37">
              <w:rPr>
                <w:szCs w:val="22"/>
              </w:rPr>
              <w:t xml:space="preserve"> is set to </w:t>
            </w:r>
            <w:r w:rsidR="00394471" w:rsidRPr="00FA0D37">
              <w:rPr>
                <w:i/>
                <w:szCs w:val="22"/>
              </w:rPr>
              <w:t>notBroadcasting</w:t>
            </w:r>
            <w:r w:rsidR="00394471" w:rsidRPr="00FA0D37">
              <w:rPr>
                <w:szCs w:val="22"/>
              </w:rPr>
              <w:t xml:space="preserve"> and so on.</w:t>
            </w:r>
          </w:p>
          <w:p w14:paraId="3B22B568" w14:textId="4482491C" w:rsidR="00213644" w:rsidRPr="00FA0D37" w:rsidRDefault="00213644" w:rsidP="00A12BD9">
            <w:pPr>
              <w:pStyle w:val="TAL"/>
              <w:ind w:left="313" w:hanging="313"/>
            </w:pPr>
            <w:r w:rsidRPr="00FA0D37">
              <w:t>-</w:t>
            </w:r>
            <w:r w:rsidRPr="00FA0D37">
              <w:rPr>
                <w:rFonts w:eastAsia="宋体"/>
              </w:rPr>
              <w:tab/>
            </w:r>
            <w:r w:rsidRPr="00FA0D37">
              <w:t xml:space="preserve">If </w:t>
            </w:r>
            <w:r w:rsidRPr="00FA0D37">
              <w:rPr>
                <w:i/>
                <w:iCs/>
              </w:rPr>
              <w:t>si-SchedulingInfo-v1700</w:t>
            </w:r>
            <w:r w:rsidRPr="00FA0D37">
              <w:t xml:space="preserve"> is present and </w:t>
            </w:r>
            <w:r w:rsidRPr="00FA0D37">
              <w:rPr>
                <w:i/>
                <w:iCs/>
              </w:rPr>
              <w:t xml:space="preserve">SI-RequestConfig </w:t>
            </w:r>
            <w:r w:rsidRPr="00FA0D37">
              <w:t xml:space="preserve">is configured in </w:t>
            </w:r>
            <w:r w:rsidRPr="00FA0D37">
              <w:rPr>
                <w:i/>
                <w:iCs/>
              </w:rPr>
              <w:t>SI-SchedulingInfo</w:t>
            </w:r>
            <w:r w:rsidRPr="00FA0D37">
              <w:t xml:space="preserve"> for on-demand SI request</w:t>
            </w:r>
            <w:r w:rsidRPr="00FA0D37">
              <w:rPr>
                <w:iCs/>
              </w:rPr>
              <w:t>,</w:t>
            </w:r>
            <w:r w:rsidRPr="00FA0D37">
              <w:t xml:space="preserve"> the UE generates a list of concatenated SI messages by appending the SI messages containing type1 SIB configured by </w:t>
            </w:r>
            <w:r w:rsidRPr="00FA0D37">
              <w:rPr>
                <w:i/>
                <w:iCs/>
              </w:rPr>
              <w:t>schedulingInfoList2</w:t>
            </w:r>
            <w:r w:rsidRPr="00FA0D37">
              <w:t xml:space="preserve"> in </w:t>
            </w:r>
            <w:r w:rsidRPr="00FA0D37">
              <w:rPr>
                <w:i/>
                <w:iCs/>
              </w:rPr>
              <w:t xml:space="preserve">si-SchedulingInfo-v1700 </w:t>
            </w:r>
            <w:r w:rsidRPr="00FA0D37">
              <w:t>to the SI messages</w:t>
            </w:r>
            <w:r w:rsidRPr="00FA0D37">
              <w:rPr>
                <w:i/>
                <w:iCs/>
              </w:rPr>
              <w:t xml:space="preserve"> </w:t>
            </w:r>
            <w:r w:rsidRPr="00FA0D37">
              <w:t xml:space="preserve">configured by </w:t>
            </w:r>
            <w:r w:rsidRPr="00FA0D37">
              <w:rPr>
                <w:i/>
                <w:iCs/>
              </w:rPr>
              <w:t>schedulingInfoList</w:t>
            </w:r>
            <w:r w:rsidRPr="00FA0D37">
              <w:t xml:space="preserve"> in </w:t>
            </w:r>
            <w:r w:rsidRPr="00FA0D37">
              <w:rPr>
                <w:i/>
                <w:iCs/>
              </w:rPr>
              <w:t>si-SchedulingInfo.</w:t>
            </w:r>
            <w:r w:rsidRPr="00FA0D37">
              <w:t xml:space="preserve"> The 1</w:t>
            </w:r>
            <w:r w:rsidRPr="00FA0D37">
              <w:rPr>
                <w:vertAlign w:val="superscript"/>
              </w:rPr>
              <w:t>st</w:t>
            </w:r>
            <w:r w:rsidRPr="00FA0D37">
              <w:t xml:space="preserve"> entry in the list corresponds to the first SI message for which </w:t>
            </w:r>
            <w:r w:rsidRPr="00FA0D37">
              <w:rPr>
                <w:i/>
                <w:iCs/>
              </w:rPr>
              <w:t>si-BroadcastStatus</w:t>
            </w:r>
            <w:r w:rsidRPr="00FA0D37">
              <w:t xml:space="preserve"> is set to </w:t>
            </w:r>
            <w:r w:rsidRPr="00FA0D37">
              <w:rPr>
                <w:i/>
                <w:iCs/>
              </w:rPr>
              <w:t>notBroadcasting</w:t>
            </w:r>
            <w:r w:rsidRPr="00FA0D37">
              <w:t>, 2</w:t>
            </w:r>
            <w:r w:rsidRPr="00FA0D37">
              <w:rPr>
                <w:vertAlign w:val="superscript"/>
              </w:rPr>
              <w:t>nd</w:t>
            </w:r>
            <w:r w:rsidRPr="00FA0D37">
              <w:t xml:space="preserve"> entry in the list corresponds to the second SI message</w:t>
            </w:r>
            <w:r w:rsidRPr="00FA0D37">
              <w:rPr>
                <w:i/>
                <w:iCs/>
              </w:rPr>
              <w:t xml:space="preserve"> </w:t>
            </w:r>
            <w:r w:rsidRPr="00FA0D37">
              <w:t xml:space="preserve">for which </w:t>
            </w:r>
            <w:r w:rsidRPr="00FA0D37">
              <w:rPr>
                <w:i/>
                <w:iCs/>
              </w:rPr>
              <w:t>si-BroadcastStatus</w:t>
            </w:r>
            <w:r w:rsidRPr="00FA0D37">
              <w:t xml:space="preserve"> is set to </w:t>
            </w:r>
            <w:r w:rsidRPr="00FA0D37">
              <w:rPr>
                <w:i/>
                <w:iCs/>
              </w:rPr>
              <w:t>notBroadcasting</w:t>
            </w:r>
            <w:r w:rsidRPr="00FA0D37">
              <w:t xml:space="preserve"> and so on.</w:t>
            </w:r>
          </w:p>
          <w:p w14:paraId="1B531C12" w14:textId="77777777" w:rsidR="00213644" w:rsidRPr="00FA0D37" w:rsidRDefault="00213644" w:rsidP="00A12BD9">
            <w:pPr>
              <w:pStyle w:val="TAL"/>
              <w:ind w:left="313" w:hanging="313"/>
              <w:rPr>
                <w:rFonts w:cs="Arial"/>
                <w:szCs w:val="18"/>
              </w:rPr>
            </w:pPr>
            <w:r w:rsidRPr="00FA0D37">
              <w:rPr>
                <w:rFonts w:cs="Arial"/>
                <w:szCs w:val="18"/>
              </w:rPr>
              <w:t>-</w:t>
            </w:r>
            <w:r w:rsidRPr="00FA0D37">
              <w:rPr>
                <w:rFonts w:eastAsia="宋体"/>
              </w:rPr>
              <w:tab/>
            </w:r>
            <w:r w:rsidRPr="00FA0D37">
              <w:rPr>
                <w:rFonts w:cs="Arial"/>
                <w:szCs w:val="18"/>
              </w:rPr>
              <w:t xml:space="preserve">If </w:t>
            </w:r>
            <w:r w:rsidRPr="00FA0D37">
              <w:rPr>
                <w:rFonts w:cs="Arial"/>
                <w:i/>
                <w:iCs/>
                <w:szCs w:val="18"/>
              </w:rPr>
              <w:t>si-SchedulingInfo-v1700</w:t>
            </w:r>
            <w:r w:rsidRPr="00FA0D37">
              <w:rPr>
                <w:rFonts w:cs="Arial"/>
                <w:szCs w:val="18"/>
              </w:rPr>
              <w:t xml:space="preserve"> is present and </w:t>
            </w:r>
            <w:r w:rsidRPr="00FA0D37">
              <w:rPr>
                <w:rFonts w:cs="Arial"/>
                <w:i/>
                <w:iCs/>
                <w:szCs w:val="18"/>
              </w:rPr>
              <w:t xml:space="preserve">SI-RequestConfig </w:t>
            </w:r>
            <w:r w:rsidRPr="00FA0D37">
              <w:rPr>
                <w:rFonts w:cs="Arial"/>
                <w:szCs w:val="18"/>
              </w:rPr>
              <w:t xml:space="preserve">is configured in </w:t>
            </w:r>
            <w:r w:rsidRPr="00FA0D37">
              <w:rPr>
                <w:rFonts w:cs="Arial"/>
                <w:i/>
                <w:iCs/>
                <w:szCs w:val="18"/>
              </w:rPr>
              <w:t>PosSI-SchedulingInfo</w:t>
            </w:r>
            <w:r w:rsidRPr="00FA0D37">
              <w:rPr>
                <w:rFonts w:cs="Arial"/>
                <w:szCs w:val="18"/>
              </w:rPr>
              <w:t xml:space="preserve"> for on-demand SI request</w:t>
            </w:r>
            <w:r w:rsidRPr="00FA0D37">
              <w:rPr>
                <w:rFonts w:cs="Arial"/>
                <w:iCs/>
                <w:szCs w:val="18"/>
              </w:rPr>
              <w:t>,</w:t>
            </w:r>
            <w:r w:rsidRPr="00FA0D37">
              <w:rPr>
                <w:rFonts w:cs="Arial"/>
                <w:szCs w:val="18"/>
              </w:rPr>
              <w:t xml:space="preserve"> the UE generates a list of concatenated SI messages by appending the SI messages containing type2 SIB configured by </w:t>
            </w:r>
            <w:r w:rsidRPr="00FA0D37">
              <w:rPr>
                <w:rFonts w:cs="Arial"/>
                <w:i/>
                <w:iCs/>
                <w:szCs w:val="18"/>
              </w:rPr>
              <w:t>schedulingInfoList2</w:t>
            </w:r>
            <w:r w:rsidRPr="00FA0D37">
              <w:rPr>
                <w:rFonts w:cs="Arial"/>
                <w:szCs w:val="18"/>
              </w:rPr>
              <w:t xml:space="preserve"> in </w:t>
            </w:r>
            <w:r w:rsidRPr="00FA0D37">
              <w:rPr>
                <w:rFonts w:cs="Arial"/>
                <w:i/>
                <w:iCs/>
                <w:szCs w:val="18"/>
              </w:rPr>
              <w:t xml:space="preserve">si-SchedulingInfo-v1700 </w:t>
            </w:r>
            <w:r w:rsidRPr="00FA0D37">
              <w:rPr>
                <w:rFonts w:cs="Arial"/>
                <w:szCs w:val="18"/>
              </w:rPr>
              <w:t>to the SI messages</w:t>
            </w:r>
            <w:r w:rsidRPr="00FA0D37">
              <w:rPr>
                <w:rFonts w:cs="Arial"/>
                <w:i/>
                <w:iCs/>
                <w:szCs w:val="18"/>
              </w:rPr>
              <w:t xml:space="preserve"> </w:t>
            </w:r>
            <w:r w:rsidRPr="00FA0D37">
              <w:rPr>
                <w:rFonts w:cs="Arial"/>
                <w:szCs w:val="18"/>
              </w:rPr>
              <w:t xml:space="preserve">configured by </w:t>
            </w:r>
            <w:r w:rsidRPr="00FA0D37">
              <w:rPr>
                <w:rFonts w:cs="Arial"/>
                <w:i/>
                <w:iCs/>
                <w:szCs w:val="18"/>
              </w:rPr>
              <w:t>posSchedulingInfoList</w:t>
            </w:r>
            <w:r w:rsidRPr="00FA0D37">
              <w:rPr>
                <w:rFonts w:cs="Arial"/>
                <w:szCs w:val="18"/>
              </w:rPr>
              <w:t xml:space="preserve"> in </w:t>
            </w:r>
            <w:r w:rsidRPr="00FA0D37">
              <w:rPr>
                <w:rFonts w:cs="Arial"/>
                <w:i/>
                <w:iCs/>
                <w:szCs w:val="18"/>
              </w:rPr>
              <w:t>posSI-SchedulingInfo.</w:t>
            </w:r>
            <w:r w:rsidRPr="00FA0D37">
              <w:rPr>
                <w:rFonts w:cs="Arial"/>
                <w:szCs w:val="18"/>
              </w:rPr>
              <w:t xml:space="preserve"> The 1</w:t>
            </w:r>
            <w:r w:rsidRPr="00FA0D37">
              <w:rPr>
                <w:rFonts w:cs="Arial"/>
                <w:szCs w:val="18"/>
                <w:vertAlign w:val="superscript"/>
              </w:rPr>
              <w:t>st</w:t>
            </w:r>
            <w:r w:rsidRPr="00FA0D37">
              <w:rPr>
                <w:rFonts w:cs="Arial"/>
                <w:szCs w:val="18"/>
              </w:rPr>
              <w:t xml:space="preserve"> entry in the list corresponds to the first SI message for which </w:t>
            </w:r>
            <w:r w:rsidRPr="00FA0D37">
              <w:rPr>
                <w:rFonts w:cs="Arial"/>
                <w:i/>
                <w:iCs/>
                <w:szCs w:val="18"/>
              </w:rPr>
              <w:t>posSI-BroadcastStatus</w:t>
            </w:r>
            <w:r w:rsidRPr="00FA0D37">
              <w:rPr>
                <w:rFonts w:cs="Arial"/>
                <w:szCs w:val="18"/>
              </w:rPr>
              <w:t xml:space="preserve"> or </w:t>
            </w:r>
            <w:r w:rsidRPr="00FA0D37">
              <w:rPr>
                <w:rFonts w:cs="Arial"/>
                <w:i/>
                <w:iCs/>
                <w:szCs w:val="18"/>
              </w:rPr>
              <w:t>si-BroadcastStatus</w:t>
            </w:r>
            <w:r w:rsidRPr="00FA0D37">
              <w:rPr>
                <w:rFonts w:cs="Arial"/>
                <w:szCs w:val="18"/>
              </w:rPr>
              <w:t xml:space="preserve"> is set to </w:t>
            </w:r>
            <w:r w:rsidRPr="00FA0D37">
              <w:rPr>
                <w:rFonts w:cs="Arial"/>
                <w:i/>
                <w:iCs/>
                <w:szCs w:val="18"/>
              </w:rPr>
              <w:t>notBroadcasting</w:t>
            </w:r>
            <w:r w:rsidRPr="00FA0D37">
              <w:rPr>
                <w:rFonts w:cs="Arial"/>
                <w:szCs w:val="18"/>
              </w:rPr>
              <w:t>, 2</w:t>
            </w:r>
            <w:r w:rsidRPr="00FA0D37">
              <w:rPr>
                <w:rFonts w:cs="Arial"/>
                <w:szCs w:val="18"/>
                <w:vertAlign w:val="superscript"/>
              </w:rPr>
              <w:t>nd</w:t>
            </w:r>
            <w:r w:rsidRPr="00FA0D37">
              <w:rPr>
                <w:rFonts w:cs="Arial"/>
                <w:szCs w:val="18"/>
              </w:rPr>
              <w:t xml:space="preserve"> entry in the list corresponds to the second SI message</w:t>
            </w:r>
            <w:r w:rsidRPr="00FA0D37">
              <w:rPr>
                <w:rFonts w:cs="Arial"/>
                <w:i/>
                <w:iCs/>
                <w:szCs w:val="18"/>
              </w:rPr>
              <w:t xml:space="preserve"> </w:t>
            </w:r>
            <w:r w:rsidRPr="00FA0D37">
              <w:rPr>
                <w:rFonts w:cs="Arial"/>
                <w:szCs w:val="18"/>
              </w:rPr>
              <w:t xml:space="preserve">for which </w:t>
            </w:r>
            <w:r w:rsidRPr="00FA0D37">
              <w:rPr>
                <w:rFonts w:cs="Arial"/>
                <w:i/>
                <w:iCs/>
                <w:szCs w:val="18"/>
              </w:rPr>
              <w:t>posSI-BroadcastStatus</w:t>
            </w:r>
            <w:r w:rsidRPr="00FA0D37">
              <w:rPr>
                <w:rFonts w:cs="Arial"/>
                <w:szCs w:val="18"/>
              </w:rPr>
              <w:t xml:space="preserve"> or </w:t>
            </w:r>
            <w:r w:rsidRPr="00FA0D37">
              <w:rPr>
                <w:rFonts w:cs="Arial"/>
                <w:i/>
                <w:iCs/>
                <w:szCs w:val="18"/>
              </w:rPr>
              <w:t>si-BroadcastStatus</w:t>
            </w:r>
            <w:r w:rsidRPr="00FA0D37">
              <w:rPr>
                <w:rFonts w:cs="Arial"/>
                <w:szCs w:val="18"/>
              </w:rPr>
              <w:t xml:space="preserve"> is set to </w:t>
            </w:r>
            <w:r w:rsidRPr="00FA0D37">
              <w:rPr>
                <w:rFonts w:cs="Arial"/>
                <w:i/>
                <w:iCs/>
                <w:szCs w:val="18"/>
              </w:rPr>
              <w:t>notBroadcasting</w:t>
            </w:r>
            <w:r w:rsidRPr="00FA0D37">
              <w:rPr>
                <w:rFonts w:cs="Arial"/>
                <w:szCs w:val="18"/>
              </w:rPr>
              <w:t xml:space="preserve"> and so on.</w:t>
            </w:r>
          </w:p>
          <w:p w14:paraId="5410FD8C" w14:textId="39F355F3" w:rsidR="003633F7" w:rsidRPr="00FA0D37" w:rsidRDefault="003633F7" w:rsidP="003633F7">
            <w:pPr>
              <w:pStyle w:val="TAL"/>
              <w:ind w:left="313" w:hanging="313"/>
              <w:rPr>
                <w:szCs w:val="22"/>
              </w:rPr>
            </w:pPr>
            <w:r w:rsidRPr="00FA0D37">
              <w:rPr>
                <w:szCs w:val="22"/>
              </w:rPr>
              <w:t xml:space="preserve">Change of </w:t>
            </w:r>
            <w:r w:rsidRPr="00FA0D37">
              <w:rPr>
                <w:i/>
                <w:iCs/>
                <w:szCs w:val="22"/>
              </w:rPr>
              <w:t>si-RequestResources</w:t>
            </w:r>
            <w:r w:rsidRPr="00FA0D37">
              <w:rPr>
                <w:szCs w:val="22"/>
              </w:rPr>
              <w:t xml:space="preserve"> should not result in system information change notification.</w:t>
            </w:r>
          </w:p>
        </w:tc>
      </w:tr>
    </w:tbl>
    <w:p w14:paraId="45DBEB58" w14:textId="77777777" w:rsidR="005A6121" w:rsidRPr="00FA0D37"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FA0D37" w:rsidRDefault="005A6121" w:rsidP="00C1392F">
            <w:pPr>
              <w:pStyle w:val="TAH"/>
              <w:rPr>
                <w:szCs w:val="22"/>
                <w:lang w:eastAsia="sv-SE"/>
              </w:rPr>
            </w:pPr>
            <w:r w:rsidRPr="00FA0D37">
              <w:rPr>
                <w:i/>
                <w:szCs w:val="22"/>
                <w:lang w:eastAsia="sv-SE"/>
              </w:rPr>
              <w:t xml:space="preserve">SI-RequestResources </w:t>
            </w:r>
            <w:r w:rsidRPr="00FA0D37">
              <w:rPr>
                <w:szCs w:val="22"/>
                <w:lang w:eastAsia="sv-SE"/>
              </w:rPr>
              <w:t>field descriptions</w:t>
            </w:r>
          </w:p>
        </w:tc>
      </w:tr>
      <w:tr w:rsidR="005C7FF4" w:rsidRPr="00FA0D37"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FA0D37" w:rsidRDefault="005A6121" w:rsidP="00C1392F">
            <w:pPr>
              <w:pStyle w:val="TAL"/>
              <w:rPr>
                <w:szCs w:val="22"/>
                <w:lang w:eastAsia="sv-SE"/>
              </w:rPr>
            </w:pPr>
            <w:r w:rsidRPr="00FA0D37">
              <w:rPr>
                <w:b/>
                <w:i/>
                <w:szCs w:val="22"/>
                <w:lang w:eastAsia="sv-SE"/>
              </w:rPr>
              <w:t>ra-AssociationPeriodIndex</w:t>
            </w:r>
          </w:p>
          <w:p w14:paraId="2EBDFBA5" w14:textId="77777777" w:rsidR="005A6121" w:rsidRPr="00FA0D37" w:rsidRDefault="005A6121" w:rsidP="00C1392F">
            <w:pPr>
              <w:pStyle w:val="TAL"/>
              <w:rPr>
                <w:szCs w:val="22"/>
                <w:lang w:eastAsia="sv-SE"/>
              </w:rPr>
            </w:pPr>
            <w:r w:rsidRPr="00FA0D37">
              <w:rPr>
                <w:szCs w:val="22"/>
                <w:lang w:eastAsia="sv-SE"/>
              </w:rPr>
              <w:t xml:space="preserve">Index of the association period in the </w:t>
            </w:r>
            <w:r w:rsidRPr="00FA0D37">
              <w:rPr>
                <w:i/>
                <w:iCs/>
                <w:szCs w:val="22"/>
                <w:lang w:eastAsia="sv-SE"/>
              </w:rPr>
              <w:t>si-RequestPeriod</w:t>
            </w:r>
            <w:r w:rsidRPr="00FA0D37">
              <w:rPr>
                <w:szCs w:val="22"/>
                <w:lang w:eastAsia="sv-SE"/>
              </w:rPr>
              <w:t xml:space="preserve"> in which the UE can send the SI request for SI message(s) corresponding to this </w:t>
            </w:r>
            <w:r w:rsidRPr="00FA0D37">
              <w:rPr>
                <w:i/>
                <w:szCs w:val="22"/>
                <w:lang w:eastAsia="sv-SE"/>
              </w:rPr>
              <w:t>SI-RequestResources</w:t>
            </w:r>
            <w:r w:rsidRPr="00FA0D37">
              <w:rPr>
                <w:szCs w:val="22"/>
                <w:lang w:eastAsia="sv-SE"/>
              </w:rPr>
              <w:t xml:space="preserve">, using the preambles indicated by </w:t>
            </w:r>
            <w:r w:rsidRPr="00FA0D37">
              <w:rPr>
                <w:i/>
                <w:szCs w:val="22"/>
                <w:lang w:eastAsia="sv-SE"/>
              </w:rPr>
              <w:t>ra-PreambleStartIndex</w:t>
            </w:r>
            <w:r w:rsidRPr="00FA0D37">
              <w:rPr>
                <w:szCs w:val="22"/>
                <w:lang w:eastAsia="sv-SE"/>
              </w:rPr>
              <w:t xml:space="preserve"> and rach occasions indicated by </w:t>
            </w:r>
            <w:r w:rsidRPr="00FA0D37">
              <w:rPr>
                <w:i/>
                <w:szCs w:val="22"/>
                <w:lang w:eastAsia="sv-SE"/>
              </w:rPr>
              <w:t>ra-ssb-OccasionMaskIndex</w:t>
            </w:r>
            <w:r w:rsidRPr="00FA0D37">
              <w:rPr>
                <w:szCs w:val="22"/>
                <w:lang w:eastAsia="sv-SE"/>
              </w:rPr>
              <w:t>.</w:t>
            </w:r>
          </w:p>
        </w:tc>
      </w:tr>
      <w:tr w:rsidR="005A6121" w:rsidRPr="00FA0D37"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FA0D37" w:rsidRDefault="005A6121" w:rsidP="00C1392F">
            <w:pPr>
              <w:pStyle w:val="TAL"/>
              <w:rPr>
                <w:szCs w:val="22"/>
                <w:lang w:eastAsia="sv-SE"/>
              </w:rPr>
            </w:pPr>
            <w:r w:rsidRPr="00FA0D37">
              <w:rPr>
                <w:b/>
                <w:i/>
                <w:szCs w:val="22"/>
                <w:lang w:eastAsia="sv-SE"/>
              </w:rPr>
              <w:t>ra-PreambleStartIndex</w:t>
            </w:r>
          </w:p>
          <w:p w14:paraId="730755FA" w14:textId="77777777" w:rsidR="005A6121" w:rsidRPr="00FA0D37" w:rsidRDefault="005A6121" w:rsidP="00C1392F">
            <w:pPr>
              <w:pStyle w:val="TAL"/>
              <w:rPr>
                <w:szCs w:val="22"/>
                <w:lang w:eastAsia="sv-SE"/>
              </w:rPr>
            </w:pPr>
            <w:r w:rsidRPr="00FA0D37">
              <w:rPr>
                <w:szCs w:val="22"/>
                <w:lang w:eastAsia="sv-SE"/>
              </w:rPr>
              <w:t xml:space="preserve">If N SSBs are associated with a RACH occasion, where N &gt; = 1, for the i-th SSB (i=0, …, N-1) the preamble with preamble index = </w:t>
            </w:r>
            <w:r w:rsidRPr="00FA0D37">
              <w:rPr>
                <w:i/>
                <w:szCs w:val="22"/>
                <w:lang w:eastAsia="sv-SE"/>
              </w:rPr>
              <w:t>ra-PreambleStartIndex</w:t>
            </w:r>
            <w:r w:rsidRPr="00FA0D37">
              <w:rPr>
                <w:szCs w:val="22"/>
                <w:lang w:eastAsia="sv-SE"/>
              </w:rPr>
              <w:t xml:space="preserve"> + i is used for SI request; For N &lt; 1, the preamble with preamble index = </w:t>
            </w:r>
            <w:r w:rsidRPr="00FA0D37">
              <w:rPr>
                <w:i/>
                <w:szCs w:val="22"/>
                <w:lang w:eastAsia="sv-SE"/>
              </w:rPr>
              <w:t>ra-PreambleStartIndex</w:t>
            </w:r>
            <w:r w:rsidRPr="00FA0D37">
              <w:rPr>
                <w:szCs w:val="22"/>
                <w:lang w:eastAsia="sv-SE"/>
              </w:rPr>
              <w:t xml:space="preserve"> is used for SI request.</w:t>
            </w:r>
          </w:p>
        </w:tc>
      </w:tr>
    </w:tbl>
    <w:p w14:paraId="4B7F2865" w14:textId="77777777" w:rsidR="00394471" w:rsidRPr="00FA0D37" w:rsidRDefault="00394471" w:rsidP="00394471"/>
    <w:p w14:paraId="683D9AEF" w14:textId="77777777" w:rsidR="00394471" w:rsidRPr="00FA0D37" w:rsidRDefault="00394471" w:rsidP="00394471">
      <w:pPr>
        <w:pStyle w:val="4"/>
        <w:rPr>
          <w:rFonts w:eastAsia="宋体"/>
        </w:rPr>
      </w:pPr>
      <w:bookmarkStart w:id="1399" w:name="_Toc60777386"/>
      <w:bookmarkStart w:id="1400" w:name="_Toc146781472"/>
      <w:r w:rsidRPr="00FA0D37">
        <w:rPr>
          <w:rFonts w:eastAsia="宋体"/>
        </w:rPr>
        <w:t>–</w:t>
      </w:r>
      <w:r w:rsidRPr="00FA0D37">
        <w:rPr>
          <w:rFonts w:eastAsia="宋体"/>
        </w:rPr>
        <w:tab/>
      </w:r>
      <w:r w:rsidRPr="00FA0D37">
        <w:rPr>
          <w:rFonts w:eastAsia="宋体"/>
          <w:i/>
        </w:rPr>
        <w:t>SI-SchedulingInfo</w:t>
      </w:r>
      <w:bookmarkEnd w:id="1399"/>
      <w:bookmarkEnd w:id="1400"/>
    </w:p>
    <w:p w14:paraId="1E6DA069" w14:textId="77777777" w:rsidR="00394471" w:rsidRPr="00FA0D37" w:rsidRDefault="00394471" w:rsidP="00394471">
      <w:pPr>
        <w:rPr>
          <w:rFonts w:eastAsia="宋体"/>
        </w:rPr>
      </w:pPr>
      <w:r w:rsidRPr="00FA0D37">
        <w:t xml:space="preserve">The IE </w:t>
      </w:r>
      <w:r w:rsidRPr="00FA0D37">
        <w:rPr>
          <w:i/>
        </w:rPr>
        <w:t xml:space="preserve">SI-SchedulingInfo </w:t>
      </w:r>
      <w:r w:rsidRPr="00FA0D37">
        <w:t>contains information needed for acquisition of SI messages.</w:t>
      </w:r>
    </w:p>
    <w:p w14:paraId="6EAFB0F6" w14:textId="77777777" w:rsidR="00394471" w:rsidRPr="00FA0D37" w:rsidRDefault="00394471" w:rsidP="00394471">
      <w:pPr>
        <w:pStyle w:val="TH"/>
      </w:pPr>
      <w:r w:rsidRPr="00FA0D37">
        <w:rPr>
          <w:bCs/>
          <w:i/>
          <w:iCs/>
        </w:rPr>
        <w:t xml:space="preserve">SI-SchedulingInfo </w:t>
      </w:r>
      <w:r w:rsidRPr="00FA0D37">
        <w:t>information element</w:t>
      </w:r>
    </w:p>
    <w:p w14:paraId="6524BEE2" w14:textId="77777777" w:rsidR="00394471" w:rsidRPr="00FA0D37" w:rsidRDefault="00394471" w:rsidP="00FA0D37">
      <w:pPr>
        <w:pStyle w:val="PL"/>
        <w:rPr>
          <w:color w:val="808080"/>
        </w:rPr>
      </w:pPr>
      <w:r w:rsidRPr="00FA0D37">
        <w:rPr>
          <w:color w:val="808080"/>
        </w:rPr>
        <w:t>-- ASN1START</w:t>
      </w:r>
    </w:p>
    <w:p w14:paraId="4DBBC522" w14:textId="734290B4" w:rsidR="00394471" w:rsidRPr="00FA0D37" w:rsidRDefault="00394471" w:rsidP="00FA0D37">
      <w:pPr>
        <w:pStyle w:val="PL"/>
        <w:rPr>
          <w:color w:val="808080"/>
        </w:rPr>
      </w:pPr>
      <w:r w:rsidRPr="00FA0D37">
        <w:rPr>
          <w:color w:val="808080"/>
        </w:rPr>
        <w:t>-- TAG</w:t>
      </w:r>
      <w:r w:rsidR="00EA6373" w:rsidRPr="00FA0D37">
        <w:rPr>
          <w:color w:val="808080"/>
        </w:rPr>
        <w:t>-</w:t>
      </w:r>
      <w:r w:rsidRPr="00FA0D37">
        <w:rPr>
          <w:color w:val="808080"/>
        </w:rPr>
        <w:t>SI-SCHEDULINGINFO-START</w:t>
      </w:r>
    </w:p>
    <w:p w14:paraId="37868BCF" w14:textId="77777777" w:rsidR="00394471" w:rsidRPr="00FA0D37" w:rsidRDefault="00394471" w:rsidP="00FA0D37">
      <w:pPr>
        <w:pStyle w:val="PL"/>
      </w:pPr>
    </w:p>
    <w:p w14:paraId="3FAE519A" w14:textId="77777777" w:rsidR="00394471" w:rsidRPr="00FA0D37" w:rsidRDefault="00394471" w:rsidP="00FA0D37">
      <w:pPr>
        <w:pStyle w:val="PL"/>
      </w:pPr>
      <w:r w:rsidRPr="00FA0D37">
        <w:t xml:space="preserve">SI-SchedulingInfo ::=               </w:t>
      </w:r>
      <w:r w:rsidRPr="00FA0D37">
        <w:rPr>
          <w:color w:val="993366"/>
        </w:rPr>
        <w:t>SEQUENCE</w:t>
      </w:r>
      <w:r w:rsidRPr="00FA0D37">
        <w:t xml:space="preserve"> {</w:t>
      </w:r>
    </w:p>
    <w:p w14:paraId="1D7D4CC6" w14:textId="77777777" w:rsidR="00394471" w:rsidRPr="00FA0D37" w:rsidRDefault="00394471" w:rsidP="00FA0D37">
      <w:pPr>
        <w:pStyle w:val="PL"/>
      </w:pPr>
      <w:r w:rsidRPr="00FA0D37">
        <w:t xml:space="preserve">    schedulingInfoList                  </w:t>
      </w:r>
      <w:r w:rsidRPr="00FA0D37">
        <w:rPr>
          <w:color w:val="993366"/>
        </w:rPr>
        <w:t>SEQUENCE</w:t>
      </w:r>
      <w:r w:rsidRPr="00FA0D37">
        <w:t xml:space="preserve"> (</w:t>
      </w:r>
      <w:r w:rsidRPr="00FA0D37">
        <w:rPr>
          <w:color w:val="993366"/>
        </w:rPr>
        <w:t>SIZE</w:t>
      </w:r>
      <w:r w:rsidRPr="00FA0D37">
        <w:t xml:space="preserve"> (1..maxSI-Message))</w:t>
      </w:r>
      <w:r w:rsidRPr="00FA0D37">
        <w:rPr>
          <w:color w:val="993366"/>
        </w:rPr>
        <w:t xml:space="preserve"> OF</w:t>
      </w:r>
      <w:r w:rsidRPr="00FA0D37">
        <w:t xml:space="preserve"> SchedulingInfo,</w:t>
      </w:r>
    </w:p>
    <w:p w14:paraId="6AF71ADF" w14:textId="254F9984" w:rsidR="00394471" w:rsidRPr="00FA0D37" w:rsidRDefault="00394471" w:rsidP="00FA0D37">
      <w:pPr>
        <w:pStyle w:val="PL"/>
      </w:pPr>
      <w:r w:rsidRPr="00FA0D37">
        <w:t xml:space="preserve">    si-WindowLength                     </w:t>
      </w:r>
      <w:r w:rsidRPr="00FA0D37">
        <w:rPr>
          <w:color w:val="993366"/>
        </w:rPr>
        <w:t>ENUMERATED</w:t>
      </w:r>
      <w:r w:rsidRPr="00FA0D37">
        <w:t xml:space="preserve"> {s5, s10, s20, s40, s80, s160, s320, s640, s1280</w:t>
      </w:r>
      <w:r w:rsidR="00F12A49" w:rsidRPr="00FA0D37">
        <w:t xml:space="preserve">, s2560-v1710, s5120-v1710 </w:t>
      </w:r>
      <w:r w:rsidRPr="00FA0D37">
        <w:t>},</w:t>
      </w:r>
    </w:p>
    <w:p w14:paraId="24CEE023" w14:textId="77777777" w:rsidR="00394471" w:rsidRPr="00FA0D37" w:rsidRDefault="00394471" w:rsidP="00FA0D37">
      <w:pPr>
        <w:pStyle w:val="PL"/>
        <w:rPr>
          <w:color w:val="808080"/>
        </w:rPr>
      </w:pPr>
      <w:r w:rsidRPr="00FA0D37">
        <w:t xml:space="preserve">    si-RequestConfig                    SI-RequestConfig                                                </w:t>
      </w:r>
      <w:r w:rsidRPr="00FA0D37">
        <w:rPr>
          <w:color w:val="993366"/>
        </w:rPr>
        <w:t>OPTIONAL</w:t>
      </w:r>
      <w:r w:rsidRPr="00FA0D37">
        <w:t xml:space="preserve">,  </w:t>
      </w:r>
      <w:r w:rsidRPr="00FA0D37">
        <w:rPr>
          <w:color w:val="808080"/>
        </w:rPr>
        <w:t>-- Cond MSG-1</w:t>
      </w:r>
    </w:p>
    <w:p w14:paraId="2F7973C3" w14:textId="77777777" w:rsidR="00394471" w:rsidRPr="00FA0D37" w:rsidRDefault="00394471" w:rsidP="00FA0D37">
      <w:pPr>
        <w:pStyle w:val="PL"/>
        <w:rPr>
          <w:color w:val="808080"/>
        </w:rPr>
      </w:pPr>
      <w:r w:rsidRPr="00FA0D37">
        <w:lastRenderedPageBreak/>
        <w:t xml:space="preserve">    si-RequestConfigSUL                 SI-RequestConfig                                                </w:t>
      </w:r>
      <w:r w:rsidRPr="00FA0D37">
        <w:rPr>
          <w:color w:val="993366"/>
        </w:rPr>
        <w:t>OPTIONAL</w:t>
      </w:r>
      <w:r w:rsidRPr="00FA0D37">
        <w:t xml:space="preserve">,  </w:t>
      </w:r>
      <w:r w:rsidRPr="00FA0D37">
        <w:rPr>
          <w:color w:val="808080"/>
        </w:rPr>
        <w:t>-- Cond SUL-MSG-1</w:t>
      </w:r>
    </w:p>
    <w:p w14:paraId="615AB988" w14:textId="3A7BA54C" w:rsidR="00394471" w:rsidRPr="00FA0D37" w:rsidRDefault="00394471" w:rsidP="00FA0D37">
      <w:pPr>
        <w:pStyle w:val="PL"/>
        <w:rPr>
          <w:color w:val="808080"/>
        </w:rPr>
      </w:pPr>
      <w:r w:rsidRPr="00FA0D37">
        <w:t xml:space="preserve">    systemInformationAreaID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(24))                                          </w:t>
      </w:r>
      <w:r w:rsidRPr="00FA0D37">
        <w:rPr>
          <w:color w:val="993366"/>
        </w:rPr>
        <w:t>OPTIONAL</w:t>
      </w:r>
      <w:r w:rsidRPr="00FA0D37">
        <w:t xml:space="preserve">,  </w:t>
      </w:r>
      <w:r w:rsidRPr="00FA0D37">
        <w:rPr>
          <w:color w:val="808080"/>
        </w:rPr>
        <w:t>-- Need R</w:t>
      </w:r>
    </w:p>
    <w:p w14:paraId="708C915C" w14:textId="77777777" w:rsidR="00394471" w:rsidRPr="00FA0D37" w:rsidRDefault="00394471" w:rsidP="00FA0D37">
      <w:pPr>
        <w:pStyle w:val="PL"/>
      </w:pPr>
      <w:r w:rsidRPr="00FA0D37">
        <w:t xml:space="preserve">    ...</w:t>
      </w:r>
    </w:p>
    <w:p w14:paraId="5BB17965" w14:textId="77777777" w:rsidR="00394471" w:rsidRPr="00FA0D37" w:rsidRDefault="00394471" w:rsidP="00FA0D37">
      <w:pPr>
        <w:pStyle w:val="PL"/>
      </w:pPr>
      <w:r w:rsidRPr="00FA0D37">
        <w:t>}</w:t>
      </w:r>
    </w:p>
    <w:p w14:paraId="428B0503" w14:textId="77777777" w:rsidR="00394471" w:rsidRPr="00FA0D37" w:rsidRDefault="00394471" w:rsidP="00FA0D37">
      <w:pPr>
        <w:pStyle w:val="PL"/>
      </w:pPr>
    </w:p>
    <w:p w14:paraId="6A4C1E73" w14:textId="77777777" w:rsidR="00394471" w:rsidRPr="00FA0D37" w:rsidRDefault="00394471" w:rsidP="00FA0D37">
      <w:pPr>
        <w:pStyle w:val="PL"/>
      </w:pPr>
      <w:r w:rsidRPr="00FA0D37">
        <w:t xml:space="preserve">SchedulingInfo ::=                  </w:t>
      </w:r>
      <w:r w:rsidRPr="00FA0D37">
        <w:rPr>
          <w:color w:val="993366"/>
        </w:rPr>
        <w:t>SEQUENCE</w:t>
      </w:r>
      <w:r w:rsidRPr="00FA0D37">
        <w:t xml:space="preserve"> {</w:t>
      </w:r>
    </w:p>
    <w:p w14:paraId="0539243B" w14:textId="77777777" w:rsidR="00394471" w:rsidRPr="00FA0D37" w:rsidRDefault="00394471" w:rsidP="00FA0D37">
      <w:pPr>
        <w:pStyle w:val="PL"/>
      </w:pPr>
      <w:r w:rsidRPr="00FA0D37">
        <w:t xml:space="preserve">    si-BroadcastStatus                  </w:t>
      </w:r>
      <w:r w:rsidRPr="00FA0D37">
        <w:rPr>
          <w:color w:val="993366"/>
        </w:rPr>
        <w:t>ENUMERATED</w:t>
      </w:r>
      <w:r w:rsidRPr="00FA0D37">
        <w:t xml:space="preserve"> {broadcasting, notBroadcasting},</w:t>
      </w:r>
    </w:p>
    <w:p w14:paraId="7C2FA7F9" w14:textId="77777777" w:rsidR="00394471" w:rsidRPr="00FA0D37" w:rsidRDefault="00394471" w:rsidP="00FA0D37">
      <w:pPr>
        <w:pStyle w:val="PL"/>
      </w:pPr>
      <w:r w:rsidRPr="00FA0D37">
        <w:t xml:space="preserve">    si-Periodicity                      </w:t>
      </w:r>
      <w:r w:rsidRPr="00FA0D37">
        <w:rPr>
          <w:color w:val="993366"/>
        </w:rPr>
        <w:t>ENUMERATED</w:t>
      </w:r>
      <w:r w:rsidRPr="00FA0D37">
        <w:t xml:space="preserve"> {rf8, rf16, rf32, rf64, rf128, rf256, rf512},</w:t>
      </w:r>
    </w:p>
    <w:p w14:paraId="4B4BF2AB" w14:textId="77777777" w:rsidR="00394471" w:rsidRPr="00FA0D37" w:rsidRDefault="00394471" w:rsidP="00FA0D37">
      <w:pPr>
        <w:pStyle w:val="PL"/>
      </w:pPr>
      <w:r w:rsidRPr="00FA0D37">
        <w:t xml:space="preserve">    sib-MappingInfo                     SIB-Mapping</w:t>
      </w:r>
    </w:p>
    <w:p w14:paraId="662FCE2C" w14:textId="77777777" w:rsidR="00B44B7F" w:rsidRPr="00FA0D37" w:rsidRDefault="00394471" w:rsidP="00FA0D37">
      <w:pPr>
        <w:pStyle w:val="PL"/>
      </w:pPr>
      <w:r w:rsidRPr="00FA0D37">
        <w:t>}</w:t>
      </w:r>
    </w:p>
    <w:p w14:paraId="53055CF4" w14:textId="77777777" w:rsidR="00B44B7F" w:rsidRPr="00FA0D37" w:rsidRDefault="00B44B7F" w:rsidP="00FA0D37">
      <w:pPr>
        <w:pStyle w:val="PL"/>
      </w:pPr>
    </w:p>
    <w:p w14:paraId="0FCBD6DC" w14:textId="595CAC2D" w:rsidR="00B44B7F" w:rsidRPr="00FA0D37" w:rsidRDefault="00B44B7F" w:rsidP="00FA0D37">
      <w:pPr>
        <w:pStyle w:val="PL"/>
      </w:pPr>
      <w:r w:rsidRPr="00FA0D37">
        <w:t xml:space="preserve">SI-SchedulingInfo-v1700 ::=         </w:t>
      </w:r>
      <w:r w:rsidRPr="00FA0D37">
        <w:rPr>
          <w:color w:val="993366"/>
        </w:rPr>
        <w:t>SEQUENCE</w:t>
      </w:r>
      <w:r w:rsidRPr="00FA0D37">
        <w:t xml:space="preserve"> {</w:t>
      </w:r>
    </w:p>
    <w:p w14:paraId="3D10C525" w14:textId="77777777" w:rsidR="003F4345" w:rsidRPr="00FA0D37" w:rsidRDefault="00B44B7F" w:rsidP="00FA0D37">
      <w:pPr>
        <w:pStyle w:val="PL"/>
      </w:pPr>
      <w:r w:rsidRPr="00FA0D37">
        <w:t xml:space="preserve">    schedulingInfoList2-r17             </w:t>
      </w:r>
      <w:r w:rsidRPr="00FA0D37">
        <w:rPr>
          <w:color w:val="993366"/>
        </w:rPr>
        <w:t>SEQUENCE</w:t>
      </w:r>
      <w:r w:rsidRPr="00FA0D37">
        <w:t xml:space="preserve"> (</w:t>
      </w:r>
      <w:r w:rsidRPr="00FA0D37">
        <w:rPr>
          <w:color w:val="993366"/>
        </w:rPr>
        <w:t>SIZE</w:t>
      </w:r>
      <w:r w:rsidRPr="00FA0D37">
        <w:t xml:space="preserve"> (1..maxSI-Message))</w:t>
      </w:r>
      <w:r w:rsidRPr="00FA0D37">
        <w:rPr>
          <w:color w:val="993366"/>
        </w:rPr>
        <w:t xml:space="preserve"> OF</w:t>
      </w:r>
      <w:r w:rsidRPr="00FA0D37">
        <w:t xml:space="preserve"> SchedulingInfo2-r17</w:t>
      </w:r>
      <w:r w:rsidR="003F4345" w:rsidRPr="00FA0D37">
        <w:t>,</w:t>
      </w:r>
    </w:p>
    <w:p w14:paraId="19FE5DB6" w14:textId="5EFB7D97" w:rsidR="00B44B7F" w:rsidRPr="00FA0D37" w:rsidRDefault="003F4345" w:rsidP="00FA0D37">
      <w:pPr>
        <w:pStyle w:val="PL"/>
      </w:pPr>
      <w:r w:rsidRPr="00FA0D37">
        <w:t xml:space="preserve">    </w:t>
      </w:r>
      <w:r w:rsidR="00FE557A" w:rsidRPr="00FA0D37">
        <w:t>dummy</w:t>
      </w:r>
      <w:r w:rsidRPr="00FA0D37">
        <w:t xml:space="preserve">         </w:t>
      </w:r>
      <w:r w:rsidR="00FE557A" w:rsidRPr="00FA0D37">
        <w:t xml:space="preserve">                     </w:t>
      </w:r>
      <w:r w:rsidRPr="00FA0D37">
        <w:t xml:space="preserve">SI-RequestConfig                                                </w:t>
      </w:r>
      <w:r w:rsidRPr="00FA0D37">
        <w:rPr>
          <w:color w:val="993366"/>
        </w:rPr>
        <w:t>OPTIONAL</w:t>
      </w:r>
    </w:p>
    <w:p w14:paraId="4E5DD3E7" w14:textId="77777777" w:rsidR="00B44B7F" w:rsidRPr="00FA0D37" w:rsidRDefault="00B44B7F" w:rsidP="00FA0D37">
      <w:pPr>
        <w:pStyle w:val="PL"/>
      </w:pPr>
      <w:r w:rsidRPr="00FA0D37">
        <w:t>}</w:t>
      </w:r>
    </w:p>
    <w:p w14:paraId="57D1F51B" w14:textId="77777777" w:rsidR="00FE557A" w:rsidRPr="00FA0D37" w:rsidRDefault="00FE557A" w:rsidP="00FA0D37">
      <w:pPr>
        <w:pStyle w:val="PL"/>
      </w:pPr>
    </w:p>
    <w:p w14:paraId="2AB612AB" w14:textId="710E0329" w:rsidR="00FE557A" w:rsidRPr="00FA0D37" w:rsidRDefault="00FE557A" w:rsidP="00FA0D37">
      <w:pPr>
        <w:pStyle w:val="PL"/>
      </w:pPr>
      <w:r w:rsidRPr="00FA0D37">
        <w:t xml:space="preserve">SI-SchedulingInfo-v1740 ::=        </w:t>
      </w:r>
      <w:r w:rsidR="006658B2" w:rsidRPr="00FA0D37">
        <w:t xml:space="preserve"> </w:t>
      </w:r>
      <w:r w:rsidRPr="00FA0D37">
        <w:rPr>
          <w:color w:val="993366"/>
        </w:rPr>
        <w:t>SEQUENCE</w:t>
      </w:r>
      <w:r w:rsidRPr="00FA0D37">
        <w:t xml:space="preserve"> {</w:t>
      </w:r>
    </w:p>
    <w:p w14:paraId="25F6FCEB" w14:textId="10D80F3E" w:rsidR="00FE557A" w:rsidRPr="00FA0D37" w:rsidRDefault="00FE557A" w:rsidP="00FA0D37">
      <w:pPr>
        <w:pStyle w:val="PL"/>
        <w:rPr>
          <w:color w:val="808080"/>
        </w:rPr>
      </w:pPr>
      <w:r w:rsidRPr="00FA0D37">
        <w:t xml:space="preserve">    si-RequestConfigRedCap-r17          SI-RequestConfig                                                </w:t>
      </w:r>
      <w:r w:rsidRPr="00FA0D37">
        <w:rPr>
          <w:color w:val="993366"/>
        </w:rPr>
        <w:t>OPTIONAL</w:t>
      </w:r>
      <w:r w:rsidRPr="00FA0D37">
        <w:t xml:space="preserve">   </w:t>
      </w:r>
      <w:r w:rsidRPr="00FA0D37">
        <w:rPr>
          <w:color w:val="808080"/>
        </w:rPr>
        <w:t>-- Cond REDCAP-MSG-1</w:t>
      </w:r>
    </w:p>
    <w:p w14:paraId="3F0E1AF6" w14:textId="272E3D1E" w:rsidR="00B44B7F" w:rsidRPr="00FA0D37" w:rsidRDefault="00FE557A" w:rsidP="00FA0D37">
      <w:pPr>
        <w:pStyle w:val="PL"/>
      </w:pPr>
      <w:r w:rsidRPr="00FA0D37">
        <w:t>}</w:t>
      </w:r>
    </w:p>
    <w:p w14:paraId="33EB7BF8" w14:textId="77777777" w:rsidR="00FE557A" w:rsidRPr="00FA0D37" w:rsidRDefault="00FE557A" w:rsidP="00FA0D37">
      <w:pPr>
        <w:pStyle w:val="PL"/>
      </w:pPr>
    </w:p>
    <w:p w14:paraId="1B2D2769" w14:textId="5D76ACFD" w:rsidR="00B44B7F" w:rsidRPr="00FA0D37" w:rsidRDefault="00B44B7F" w:rsidP="00FA0D37">
      <w:pPr>
        <w:pStyle w:val="PL"/>
      </w:pPr>
      <w:r w:rsidRPr="00FA0D37">
        <w:t xml:space="preserve">SchedulingInfo2-r17 ::=             </w:t>
      </w:r>
      <w:r w:rsidRPr="00FA0D37">
        <w:rPr>
          <w:color w:val="993366"/>
        </w:rPr>
        <w:t>SEQUENCE</w:t>
      </w:r>
      <w:r w:rsidRPr="00FA0D37">
        <w:t xml:space="preserve"> {</w:t>
      </w:r>
    </w:p>
    <w:p w14:paraId="2E4DB67F" w14:textId="77777777" w:rsidR="00B44B7F" w:rsidRPr="00FA0D37" w:rsidRDefault="00B44B7F" w:rsidP="00FA0D37">
      <w:pPr>
        <w:pStyle w:val="PL"/>
      </w:pPr>
      <w:r w:rsidRPr="00FA0D37">
        <w:t xml:space="preserve">    si-BroadcastStatus-r17              </w:t>
      </w:r>
      <w:r w:rsidRPr="00FA0D37">
        <w:rPr>
          <w:color w:val="993366"/>
        </w:rPr>
        <w:t>ENUMERATED</w:t>
      </w:r>
      <w:r w:rsidRPr="00FA0D37">
        <w:t xml:space="preserve"> {broadcasting, notBroadcasting},</w:t>
      </w:r>
    </w:p>
    <w:p w14:paraId="765EE752" w14:textId="77777777" w:rsidR="00B44B7F" w:rsidRPr="00FA0D37" w:rsidRDefault="00B44B7F" w:rsidP="00FA0D37">
      <w:pPr>
        <w:pStyle w:val="PL"/>
      </w:pPr>
      <w:r w:rsidRPr="00FA0D37">
        <w:t xml:space="preserve">    si-WindowPosition-r17               </w:t>
      </w:r>
      <w:r w:rsidRPr="00FA0D37">
        <w:rPr>
          <w:color w:val="993366"/>
        </w:rPr>
        <w:t>INTEGER</w:t>
      </w:r>
      <w:r w:rsidRPr="00FA0D37">
        <w:t xml:space="preserve"> (1..256),</w:t>
      </w:r>
    </w:p>
    <w:p w14:paraId="31DD360B" w14:textId="77777777" w:rsidR="00B44B7F" w:rsidRPr="00FA0D37" w:rsidRDefault="00B44B7F" w:rsidP="00FA0D37">
      <w:pPr>
        <w:pStyle w:val="PL"/>
      </w:pPr>
      <w:r w:rsidRPr="00FA0D37">
        <w:t xml:space="preserve">    si-Periodicity-r17                  </w:t>
      </w:r>
      <w:r w:rsidRPr="00FA0D37">
        <w:rPr>
          <w:color w:val="993366"/>
        </w:rPr>
        <w:t>ENUMERATED</w:t>
      </w:r>
      <w:r w:rsidRPr="00FA0D37">
        <w:t xml:space="preserve"> {rf8, rf16, rf32, rf64, rf128, rf256, rf512},</w:t>
      </w:r>
    </w:p>
    <w:p w14:paraId="0E6F0437" w14:textId="651BE13F" w:rsidR="00B44B7F" w:rsidRPr="00FA0D37" w:rsidRDefault="00B44B7F" w:rsidP="00FA0D37">
      <w:pPr>
        <w:pStyle w:val="PL"/>
      </w:pPr>
      <w:r w:rsidRPr="00FA0D37">
        <w:t xml:space="preserve">    sib-MappingInfo-r17                 SIB-Mapping-v1700</w:t>
      </w:r>
    </w:p>
    <w:p w14:paraId="3BA963A9" w14:textId="540158A4" w:rsidR="00394471" w:rsidRPr="00FA0D37" w:rsidRDefault="00B44B7F" w:rsidP="00FA0D37">
      <w:pPr>
        <w:pStyle w:val="PL"/>
      </w:pPr>
      <w:r w:rsidRPr="00FA0D37">
        <w:t>}</w:t>
      </w:r>
    </w:p>
    <w:p w14:paraId="6C61268E" w14:textId="77777777" w:rsidR="00394471" w:rsidRPr="00FA0D37" w:rsidRDefault="00394471" w:rsidP="00FA0D37">
      <w:pPr>
        <w:pStyle w:val="PL"/>
      </w:pPr>
    </w:p>
    <w:p w14:paraId="6610FF75" w14:textId="77777777" w:rsidR="00394471" w:rsidRPr="00FA0D37" w:rsidRDefault="00394471" w:rsidP="00FA0D37">
      <w:pPr>
        <w:pStyle w:val="PL"/>
      </w:pPr>
      <w:r w:rsidRPr="00FA0D37">
        <w:t xml:space="preserve">SIB-Mapping ::=                     </w:t>
      </w:r>
      <w:r w:rsidRPr="00FA0D37">
        <w:rPr>
          <w:color w:val="993366"/>
        </w:rPr>
        <w:t>SEQUENCE</w:t>
      </w:r>
      <w:r w:rsidRPr="00FA0D37">
        <w:t xml:space="preserve"> (</w:t>
      </w:r>
      <w:r w:rsidRPr="00FA0D37">
        <w:rPr>
          <w:color w:val="993366"/>
        </w:rPr>
        <w:t>SIZE</w:t>
      </w:r>
      <w:r w:rsidRPr="00FA0D37">
        <w:t xml:space="preserve"> (1..maxSIB))</w:t>
      </w:r>
      <w:r w:rsidRPr="00FA0D37">
        <w:rPr>
          <w:color w:val="993366"/>
        </w:rPr>
        <w:t xml:space="preserve"> OF</w:t>
      </w:r>
      <w:r w:rsidRPr="00FA0D37">
        <w:t xml:space="preserve"> SIB-TypeInfo</w:t>
      </w:r>
    </w:p>
    <w:p w14:paraId="35251EAB" w14:textId="7D9942A1" w:rsidR="00394471" w:rsidRPr="00FA0D37" w:rsidRDefault="00394471" w:rsidP="00FA0D37">
      <w:pPr>
        <w:pStyle w:val="PL"/>
      </w:pPr>
    </w:p>
    <w:p w14:paraId="7B9E0D33" w14:textId="2344446D" w:rsidR="00B44B7F" w:rsidRPr="00FA0D37" w:rsidRDefault="00B44B7F" w:rsidP="00FA0D37">
      <w:pPr>
        <w:pStyle w:val="PL"/>
      </w:pPr>
      <w:r w:rsidRPr="00FA0D37">
        <w:t xml:space="preserve">SIB-Mapping-v1700  ::=              </w:t>
      </w:r>
      <w:r w:rsidRPr="00FA0D37">
        <w:rPr>
          <w:color w:val="993366"/>
        </w:rPr>
        <w:t>SEQUENCE</w:t>
      </w:r>
      <w:r w:rsidRPr="00FA0D37">
        <w:t xml:space="preserve"> (</w:t>
      </w:r>
      <w:r w:rsidRPr="00FA0D37">
        <w:rPr>
          <w:color w:val="993366"/>
        </w:rPr>
        <w:t>SIZE</w:t>
      </w:r>
      <w:r w:rsidRPr="00FA0D37">
        <w:t xml:space="preserve"> (1..maxSIB))</w:t>
      </w:r>
      <w:r w:rsidRPr="00FA0D37">
        <w:rPr>
          <w:color w:val="993366"/>
        </w:rPr>
        <w:t xml:space="preserve"> OF</w:t>
      </w:r>
      <w:r w:rsidRPr="00FA0D37">
        <w:t xml:space="preserve"> SIB-TypeInfo-v1700</w:t>
      </w:r>
    </w:p>
    <w:p w14:paraId="0BC57280" w14:textId="77777777" w:rsidR="00B44B7F" w:rsidRPr="00FA0D37" w:rsidRDefault="00B44B7F" w:rsidP="00FA0D37">
      <w:pPr>
        <w:pStyle w:val="PL"/>
      </w:pPr>
    </w:p>
    <w:p w14:paraId="6C1666ED" w14:textId="77777777" w:rsidR="00394471" w:rsidRPr="00FA0D37" w:rsidRDefault="00394471" w:rsidP="00FA0D37">
      <w:pPr>
        <w:pStyle w:val="PL"/>
      </w:pPr>
      <w:r w:rsidRPr="00FA0D37">
        <w:t xml:space="preserve">SIB-TypeInfo ::=                    </w:t>
      </w:r>
      <w:r w:rsidRPr="00FA0D37">
        <w:rPr>
          <w:color w:val="993366"/>
        </w:rPr>
        <w:t>SEQUENCE</w:t>
      </w:r>
      <w:r w:rsidRPr="00FA0D37">
        <w:t xml:space="preserve"> {</w:t>
      </w:r>
    </w:p>
    <w:p w14:paraId="32778603" w14:textId="77777777" w:rsidR="00394471" w:rsidRPr="00FA0D37" w:rsidRDefault="00394471" w:rsidP="00FA0D37">
      <w:pPr>
        <w:pStyle w:val="PL"/>
      </w:pPr>
      <w:r w:rsidRPr="00FA0D37">
        <w:t xml:space="preserve">    type                                </w:t>
      </w:r>
      <w:r w:rsidRPr="00FA0D37">
        <w:rPr>
          <w:color w:val="993366"/>
        </w:rPr>
        <w:t>ENUMERATED</w:t>
      </w:r>
      <w:r w:rsidRPr="00FA0D37">
        <w:t xml:space="preserve"> {sibType2, sibType3, sibType4, sibType5, sibType6, sibType7, sibType8, sibType9,</w:t>
      </w:r>
    </w:p>
    <w:p w14:paraId="7E358B6D" w14:textId="77777777" w:rsidR="00A73A2D" w:rsidRPr="00FA0D37" w:rsidRDefault="00394471" w:rsidP="00FA0D37">
      <w:pPr>
        <w:pStyle w:val="PL"/>
      </w:pPr>
      <w:r w:rsidRPr="00FA0D37">
        <w:t xml:space="preserve">                                                     sibType10-v1610, sibType11-v1610, sibType12-v1610, sibType13-v1610,</w:t>
      </w:r>
    </w:p>
    <w:p w14:paraId="40134E22" w14:textId="4C8CA0E1" w:rsidR="00394471" w:rsidRPr="00FA0D37" w:rsidRDefault="00A73A2D" w:rsidP="00FA0D37">
      <w:pPr>
        <w:pStyle w:val="PL"/>
      </w:pPr>
      <w:r w:rsidRPr="00FA0D37">
        <w:t xml:space="preserve">                                                    </w:t>
      </w:r>
      <w:r w:rsidR="00394471" w:rsidRPr="00FA0D37">
        <w:t xml:space="preserve"> sibType14-v1610, spare3, spare2, spare1,... },</w:t>
      </w:r>
    </w:p>
    <w:p w14:paraId="3FA947BE" w14:textId="4A04AAAF" w:rsidR="00394471" w:rsidRPr="00FA0D37" w:rsidRDefault="00394471" w:rsidP="00FA0D37">
      <w:pPr>
        <w:pStyle w:val="PL"/>
        <w:rPr>
          <w:color w:val="808080"/>
        </w:rPr>
      </w:pPr>
      <w:r w:rsidRPr="00FA0D37">
        <w:t xml:space="preserve">    valueTag                            </w:t>
      </w:r>
      <w:r w:rsidRPr="00FA0D37">
        <w:rPr>
          <w:color w:val="993366"/>
        </w:rPr>
        <w:t>INTEGER</w:t>
      </w:r>
      <w:r w:rsidRPr="00FA0D37">
        <w:t xml:space="preserve"> (0..31)                                                 </w:t>
      </w:r>
      <w:r w:rsidRPr="00FA0D37">
        <w:rPr>
          <w:color w:val="993366"/>
        </w:rPr>
        <w:t>OPTIONAL</w:t>
      </w:r>
      <w:r w:rsidRPr="00FA0D37">
        <w:t xml:space="preserve">, </w:t>
      </w:r>
      <w:r w:rsidRPr="00FA0D37">
        <w:rPr>
          <w:color w:val="808080"/>
        </w:rPr>
        <w:t>-- Cond SIB-TYPE</w:t>
      </w:r>
    </w:p>
    <w:p w14:paraId="5C32123F" w14:textId="3014D856" w:rsidR="00394471" w:rsidRPr="00FA0D37" w:rsidRDefault="00394471" w:rsidP="00FA0D37">
      <w:pPr>
        <w:pStyle w:val="PL"/>
        <w:rPr>
          <w:color w:val="808080"/>
        </w:rPr>
      </w:pPr>
      <w:r w:rsidRPr="00FA0D37">
        <w:t xml:space="preserve">    areaScope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07F2ED02" w14:textId="77777777" w:rsidR="00394471" w:rsidRPr="00FA0D37" w:rsidRDefault="00394471" w:rsidP="00FA0D37">
      <w:pPr>
        <w:pStyle w:val="PL"/>
      </w:pPr>
      <w:r w:rsidRPr="00FA0D37">
        <w:t>}</w:t>
      </w:r>
    </w:p>
    <w:p w14:paraId="5DE34FFC" w14:textId="77777777" w:rsidR="00B44B7F" w:rsidRPr="00FA0D37" w:rsidRDefault="00B44B7F" w:rsidP="00FA0D37">
      <w:pPr>
        <w:pStyle w:val="PL"/>
      </w:pPr>
    </w:p>
    <w:p w14:paraId="748064B0" w14:textId="2751CB9C" w:rsidR="00B44B7F" w:rsidRPr="00FA0D37" w:rsidRDefault="00B44B7F" w:rsidP="00FA0D37">
      <w:pPr>
        <w:pStyle w:val="PL"/>
      </w:pPr>
      <w:r w:rsidRPr="00FA0D37">
        <w:t xml:space="preserve">SIB-TypeInfo-v1700 ::=              </w:t>
      </w:r>
      <w:r w:rsidRPr="00FA0D37">
        <w:rPr>
          <w:color w:val="993366"/>
        </w:rPr>
        <w:t>SEQUENCE</w:t>
      </w:r>
      <w:r w:rsidRPr="00FA0D37">
        <w:t xml:space="preserve"> {</w:t>
      </w:r>
    </w:p>
    <w:p w14:paraId="7CA3B496" w14:textId="197F07CE" w:rsidR="00B44B7F" w:rsidRPr="00FA0D37" w:rsidRDefault="00B44B7F" w:rsidP="00FA0D37">
      <w:pPr>
        <w:pStyle w:val="PL"/>
      </w:pPr>
      <w:r w:rsidRPr="00FA0D37">
        <w:t xml:space="preserve">    sibType-r17                         </w:t>
      </w:r>
      <w:r w:rsidRPr="00FA0D37">
        <w:rPr>
          <w:color w:val="993366"/>
        </w:rPr>
        <w:t>CHOICE</w:t>
      </w:r>
      <w:r w:rsidRPr="00FA0D37">
        <w:t xml:space="preserve"> {</w:t>
      </w:r>
    </w:p>
    <w:p w14:paraId="00D7BFD3" w14:textId="77777777" w:rsidR="005B0782" w:rsidRPr="00FA0D37" w:rsidRDefault="00B44B7F" w:rsidP="00FA0D37">
      <w:pPr>
        <w:pStyle w:val="PL"/>
      </w:pPr>
      <w:r w:rsidRPr="00FA0D37">
        <w:t xml:space="preserve">        type1-r17                           </w:t>
      </w:r>
      <w:r w:rsidRPr="00FA0D37">
        <w:rPr>
          <w:color w:val="993366"/>
        </w:rPr>
        <w:t>ENUMERATED</w:t>
      </w:r>
      <w:r w:rsidRPr="00FA0D37">
        <w:t xml:space="preserve"> {</w:t>
      </w:r>
      <w:r w:rsidR="00944564" w:rsidRPr="00FA0D37">
        <w:t>sibType15, sibType16, sibType17, sibType18, sibType19, sibType20, sibType21,</w:t>
      </w:r>
    </w:p>
    <w:p w14:paraId="2F53DA0D" w14:textId="57B6A6C8" w:rsidR="00B44B7F" w:rsidRPr="00FA0D37" w:rsidRDefault="005B0782" w:rsidP="00FA0D37">
      <w:pPr>
        <w:pStyle w:val="PL"/>
      </w:pPr>
      <w:r w:rsidRPr="00FA0D37">
        <w:t xml:space="preserve">                                                        </w:t>
      </w:r>
      <w:del w:id="1401" w:author="Huawei, HiSilicon" w:date="2023-12-06T15:45:00Z">
        <w:r w:rsidRPr="00FA0D37" w:rsidDel="00EF781F">
          <w:delText>spare9</w:delText>
        </w:r>
      </w:del>
      <w:ins w:id="1402" w:author="Huawei, HiSilicon" w:date="2023-12-06T15:45:00Z">
        <w:r w:rsidR="00EF781F">
          <w:t>sibTypeX</w:t>
        </w:r>
      </w:ins>
      <w:r w:rsidRPr="00FA0D37">
        <w:t>, spare8, spare7, spare6, spare5, spare4, spare3, spare2, spare1,</w:t>
      </w:r>
      <w:r w:rsidR="00944564" w:rsidRPr="00FA0D37">
        <w:t>...</w:t>
      </w:r>
      <w:r w:rsidR="00B44B7F" w:rsidRPr="00FA0D37">
        <w:t>},</w:t>
      </w:r>
    </w:p>
    <w:p w14:paraId="3EE0EC6E" w14:textId="7B25639E" w:rsidR="00B44B7F" w:rsidRPr="00FA0D37" w:rsidRDefault="00B44B7F" w:rsidP="00FA0D37">
      <w:pPr>
        <w:pStyle w:val="PL"/>
      </w:pPr>
      <w:r w:rsidRPr="00FA0D37">
        <w:t xml:space="preserve">        type2-r17                           </w:t>
      </w:r>
      <w:r w:rsidRPr="00FA0D37">
        <w:rPr>
          <w:color w:val="993366"/>
        </w:rPr>
        <w:t>SEQUENCE</w:t>
      </w:r>
      <w:r w:rsidRPr="00FA0D37">
        <w:t xml:space="preserve"> {</w:t>
      </w:r>
    </w:p>
    <w:p w14:paraId="67367354" w14:textId="77777777" w:rsidR="00F747EB" w:rsidRPr="00FA0D37" w:rsidRDefault="00B44B7F" w:rsidP="00FA0D37">
      <w:pPr>
        <w:pStyle w:val="PL"/>
      </w:pPr>
      <w:r w:rsidRPr="00FA0D37">
        <w:t xml:space="preserve">            posSibType-r17                      </w:t>
      </w:r>
      <w:r w:rsidRPr="00FA0D37">
        <w:rPr>
          <w:color w:val="993366"/>
        </w:rPr>
        <w:t>ENUMERATED</w:t>
      </w:r>
      <w:r w:rsidRPr="00FA0D37">
        <w:t xml:space="preserve"> {</w:t>
      </w:r>
      <w:r w:rsidR="00944564" w:rsidRPr="00FA0D37">
        <w:t>posSibType1-9, posSibType1-10, posSibType2-24, posSibType2-25,</w:t>
      </w:r>
    </w:p>
    <w:p w14:paraId="224C1889" w14:textId="2EF35D6B" w:rsidR="005B0782" w:rsidRPr="00FA0D37" w:rsidRDefault="005B0782" w:rsidP="00FA0D37">
      <w:pPr>
        <w:pStyle w:val="PL"/>
      </w:pPr>
      <w:r w:rsidRPr="00FA0D37">
        <w:t xml:space="preserve">                                                            </w:t>
      </w:r>
      <w:r w:rsidR="00944564" w:rsidRPr="00FA0D37">
        <w:t>posSibType6-4, posSibType6-5, posSibType6-6,</w:t>
      </w:r>
      <w:r w:rsidRPr="00FA0D37">
        <w:t xml:space="preserve"> spare9, spare8, spare7, spare6,</w:t>
      </w:r>
    </w:p>
    <w:p w14:paraId="55DB0B48" w14:textId="3410771D" w:rsidR="00B44B7F" w:rsidRPr="00FA0D37" w:rsidRDefault="005B0782" w:rsidP="00FA0D37">
      <w:pPr>
        <w:pStyle w:val="PL"/>
      </w:pPr>
      <w:r w:rsidRPr="00FA0D37">
        <w:t xml:space="preserve">                                                            spare5, spare4, spare3, spare2, spare1,</w:t>
      </w:r>
      <w:r w:rsidR="00944564" w:rsidRPr="00FA0D37">
        <w:t>...</w:t>
      </w:r>
      <w:r w:rsidR="00B44B7F" w:rsidRPr="00FA0D37">
        <w:t>},</w:t>
      </w:r>
    </w:p>
    <w:p w14:paraId="4F4CA265" w14:textId="58F23787" w:rsidR="00B44B7F" w:rsidRPr="00FA0D37" w:rsidRDefault="00B44B7F" w:rsidP="00FA0D37">
      <w:pPr>
        <w:pStyle w:val="PL"/>
        <w:rPr>
          <w:color w:val="808080"/>
        </w:rPr>
      </w:pPr>
      <w:r w:rsidRPr="00FA0D37">
        <w:t xml:space="preserve">            encrypted-r17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Need R</w:t>
      </w:r>
    </w:p>
    <w:p w14:paraId="49FEE358" w14:textId="7FAAF2CB" w:rsidR="00B44B7F" w:rsidRPr="00FA0D37" w:rsidRDefault="00B44B7F" w:rsidP="00FA0D37">
      <w:pPr>
        <w:pStyle w:val="PL"/>
        <w:rPr>
          <w:color w:val="808080"/>
        </w:rPr>
      </w:pPr>
      <w:r w:rsidRPr="00FA0D37">
        <w:t xml:space="preserve">            gnss-id-r17                         GNSS-ID-r16                                             </w:t>
      </w:r>
      <w:r w:rsidRPr="00FA0D37">
        <w:rPr>
          <w:color w:val="993366"/>
        </w:rPr>
        <w:t>OPTIONAL</w:t>
      </w:r>
      <w:r w:rsidRPr="00FA0D37">
        <w:t xml:space="preserve">, </w:t>
      </w:r>
      <w:r w:rsidRPr="00FA0D37">
        <w:rPr>
          <w:color w:val="808080"/>
        </w:rPr>
        <w:t>-- Need R</w:t>
      </w:r>
    </w:p>
    <w:p w14:paraId="52647AF6" w14:textId="719181FE" w:rsidR="00B44B7F" w:rsidRPr="00FA0D37" w:rsidRDefault="00B44B7F" w:rsidP="00FA0D37">
      <w:pPr>
        <w:pStyle w:val="PL"/>
        <w:rPr>
          <w:color w:val="808080"/>
        </w:rPr>
      </w:pPr>
      <w:r w:rsidRPr="00FA0D37">
        <w:t xml:space="preserve">            sbas-id-r17                         SBAS-ID-r16                                             </w:t>
      </w:r>
      <w:r w:rsidRPr="00FA0D37">
        <w:rPr>
          <w:color w:val="993366"/>
        </w:rPr>
        <w:t>OPTIONAL</w:t>
      </w:r>
      <w:r w:rsidRPr="00FA0D37">
        <w:t xml:space="preserve">  </w:t>
      </w:r>
      <w:r w:rsidRPr="00FA0D37">
        <w:rPr>
          <w:color w:val="808080"/>
        </w:rPr>
        <w:t>-- Need R</w:t>
      </w:r>
    </w:p>
    <w:p w14:paraId="73CE20F5" w14:textId="77777777" w:rsidR="00B44B7F" w:rsidRPr="00FA0D37" w:rsidRDefault="00B44B7F" w:rsidP="00FA0D37">
      <w:pPr>
        <w:pStyle w:val="PL"/>
      </w:pPr>
      <w:r w:rsidRPr="00FA0D37">
        <w:t xml:space="preserve">        }</w:t>
      </w:r>
    </w:p>
    <w:p w14:paraId="45D33EEE" w14:textId="13E12D24" w:rsidR="00B44B7F" w:rsidRPr="00FA0D37" w:rsidRDefault="00B44B7F" w:rsidP="00FA0D37">
      <w:pPr>
        <w:pStyle w:val="PL"/>
      </w:pPr>
      <w:r w:rsidRPr="00FA0D37">
        <w:lastRenderedPageBreak/>
        <w:t xml:space="preserve">    }</w:t>
      </w:r>
      <w:r w:rsidR="002E3CD0" w:rsidRPr="00FA0D37">
        <w:t>,</w:t>
      </w:r>
    </w:p>
    <w:p w14:paraId="542207E7" w14:textId="32920567" w:rsidR="00B44B7F" w:rsidRPr="00FA0D37" w:rsidRDefault="00B44B7F" w:rsidP="00FA0D37">
      <w:pPr>
        <w:pStyle w:val="PL"/>
        <w:rPr>
          <w:color w:val="808080"/>
        </w:rPr>
      </w:pPr>
      <w:r w:rsidRPr="00FA0D37">
        <w:t xml:space="preserve">    valueTag-r17                            </w:t>
      </w:r>
      <w:r w:rsidRPr="00FA0D37">
        <w:rPr>
          <w:color w:val="993366"/>
        </w:rPr>
        <w:t>INTEGER</w:t>
      </w:r>
      <w:r w:rsidRPr="00FA0D37">
        <w:t xml:space="preserve"> (0..31)                                             </w:t>
      </w:r>
      <w:r w:rsidRPr="00FA0D37">
        <w:rPr>
          <w:color w:val="993366"/>
        </w:rPr>
        <w:t>OPTIONAL</w:t>
      </w:r>
      <w:r w:rsidRPr="00FA0D37">
        <w:t xml:space="preserve">, </w:t>
      </w:r>
      <w:r w:rsidRPr="00FA0D37">
        <w:rPr>
          <w:color w:val="808080"/>
        </w:rPr>
        <w:t xml:space="preserve">-- Cond </w:t>
      </w:r>
      <w:r w:rsidR="005B0782" w:rsidRPr="00FA0D37">
        <w:rPr>
          <w:color w:val="808080"/>
        </w:rPr>
        <w:t>NonPosSIB</w:t>
      </w:r>
    </w:p>
    <w:p w14:paraId="389601C9" w14:textId="31DF1669" w:rsidR="00B44B7F" w:rsidRPr="00FA0D37" w:rsidRDefault="00B44B7F" w:rsidP="00FA0D37">
      <w:pPr>
        <w:pStyle w:val="PL"/>
        <w:rPr>
          <w:color w:val="808080"/>
        </w:rPr>
      </w:pPr>
      <w:r w:rsidRPr="00FA0D37">
        <w:t xml:space="preserve">    areaScope-r17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S</w:t>
      </w:r>
    </w:p>
    <w:p w14:paraId="6DCF3FD4" w14:textId="77777777" w:rsidR="00B44B7F" w:rsidRPr="00FA0D37" w:rsidRDefault="00B44B7F" w:rsidP="00FA0D37">
      <w:pPr>
        <w:pStyle w:val="PL"/>
      </w:pPr>
      <w:r w:rsidRPr="00FA0D37">
        <w:t>}</w:t>
      </w:r>
    </w:p>
    <w:p w14:paraId="0D7B0B58" w14:textId="77777777" w:rsidR="00394471" w:rsidRPr="00FA0D37" w:rsidRDefault="00394471" w:rsidP="00FA0D37">
      <w:pPr>
        <w:pStyle w:val="PL"/>
      </w:pPr>
    </w:p>
    <w:p w14:paraId="446EE97D" w14:textId="77777777" w:rsidR="00394471" w:rsidRPr="00FA0D37" w:rsidRDefault="00394471" w:rsidP="00FA0D37">
      <w:pPr>
        <w:pStyle w:val="PL"/>
        <w:rPr>
          <w:color w:val="808080"/>
        </w:rPr>
      </w:pPr>
      <w:r w:rsidRPr="00FA0D37">
        <w:rPr>
          <w:color w:val="808080"/>
        </w:rPr>
        <w:t>-- TAG-SI-SCHEDULINGINFO-STOP</w:t>
      </w:r>
    </w:p>
    <w:p w14:paraId="6E0034ED" w14:textId="77777777" w:rsidR="00394471" w:rsidRPr="00FA0D37" w:rsidRDefault="00394471" w:rsidP="00FA0D37">
      <w:pPr>
        <w:pStyle w:val="PL"/>
        <w:rPr>
          <w:rFonts w:eastAsia="宋体"/>
          <w:color w:val="808080"/>
        </w:rPr>
      </w:pPr>
      <w:r w:rsidRPr="00FA0D37">
        <w:rPr>
          <w:color w:val="808080"/>
        </w:rPr>
        <w:t>-- ASN1STOP</w:t>
      </w:r>
    </w:p>
    <w:p w14:paraId="18FB641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FA0D37" w:rsidRDefault="00394471" w:rsidP="00964CC4">
            <w:pPr>
              <w:pStyle w:val="TAH"/>
              <w:rPr>
                <w:szCs w:val="22"/>
                <w:lang w:eastAsia="sv-SE"/>
              </w:rPr>
            </w:pPr>
            <w:r w:rsidRPr="00FA0D37">
              <w:rPr>
                <w:i/>
                <w:szCs w:val="22"/>
                <w:lang w:eastAsia="sv-SE"/>
              </w:rPr>
              <w:t xml:space="preserve">SchedulingInfo </w:t>
            </w:r>
            <w:r w:rsidRPr="00FA0D37">
              <w:rPr>
                <w:szCs w:val="22"/>
                <w:lang w:eastAsia="sv-SE"/>
              </w:rPr>
              <w:t>field descriptions</w:t>
            </w:r>
          </w:p>
        </w:tc>
      </w:tr>
      <w:tr w:rsidR="005C7FF4" w:rsidRPr="00FA0D37"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FA0D37" w:rsidRDefault="00394471" w:rsidP="00964CC4">
            <w:pPr>
              <w:pStyle w:val="TAL"/>
              <w:rPr>
                <w:b/>
                <w:i/>
                <w:lang w:eastAsia="sv-SE"/>
              </w:rPr>
            </w:pPr>
            <w:r w:rsidRPr="00FA0D37">
              <w:rPr>
                <w:b/>
                <w:i/>
                <w:lang w:eastAsia="sv-SE"/>
              </w:rPr>
              <w:t>areaScope</w:t>
            </w:r>
          </w:p>
          <w:p w14:paraId="24CE63D8" w14:textId="77777777" w:rsidR="00394471" w:rsidRPr="00FA0D37" w:rsidRDefault="00394471" w:rsidP="00964CC4">
            <w:pPr>
              <w:pStyle w:val="TAL"/>
              <w:rPr>
                <w:szCs w:val="22"/>
                <w:lang w:eastAsia="sv-SE"/>
              </w:rPr>
            </w:pPr>
            <w:r w:rsidRPr="00FA0D37">
              <w:rPr>
                <w:szCs w:val="22"/>
                <w:lang w:eastAsia="sv-SE"/>
              </w:rPr>
              <w:t>Indicates that a SIB is area specific. If the field is absent, the SIB is cell specific.</w:t>
            </w:r>
          </w:p>
        </w:tc>
      </w:tr>
      <w:tr w:rsidR="005C7FF4" w:rsidRPr="00FA0D37"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FA0D37" w:rsidRDefault="00394471" w:rsidP="00964CC4">
            <w:pPr>
              <w:pStyle w:val="TAL"/>
              <w:rPr>
                <w:b/>
                <w:bCs/>
                <w:i/>
                <w:iCs/>
                <w:lang w:eastAsia="sv-SE"/>
              </w:rPr>
            </w:pPr>
            <w:r w:rsidRPr="00FA0D37">
              <w:rPr>
                <w:b/>
                <w:bCs/>
                <w:i/>
                <w:iCs/>
                <w:szCs w:val="22"/>
                <w:lang w:eastAsia="sv-SE"/>
              </w:rPr>
              <w:t>si-BroadcastStatus</w:t>
            </w:r>
          </w:p>
          <w:p w14:paraId="67F7D49A" w14:textId="77777777" w:rsidR="00213644" w:rsidRPr="00FA0D37" w:rsidRDefault="00394471" w:rsidP="00213644">
            <w:pPr>
              <w:pStyle w:val="TAL"/>
              <w:rPr>
                <w:szCs w:val="22"/>
                <w:lang w:eastAsia="sv-SE"/>
              </w:rPr>
            </w:pPr>
            <w:r w:rsidRPr="00FA0D37">
              <w:rPr>
                <w:szCs w:val="22"/>
                <w:lang w:eastAsia="sv-SE"/>
              </w:rPr>
              <w:t>Indicates if the SI message is being broadcasted or not. Change of</w:t>
            </w:r>
            <w:r w:rsidRPr="00FA0D37">
              <w:rPr>
                <w:i/>
                <w:szCs w:val="22"/>
                <w:lang w:eastAsia="sv-SE"/>
              </w:rPr>
              <w:t xml:space="preserve"> si-BroadcastStat</w:t>
            </w:r>
            <w:r w:rsidRPr="00FA0D3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FA0D37">
              <w:rPr>
                <w:i/>
                <w:szCs w:val="22"/>
                <w:lang w:eastAsia="sv-SE"/>
              </w:rPr>
              <w:t>broadcasting</w:t>
            </w:r>
            <w:r w:rsidR="00C509BF" w:rsidRPr="00FA0D37">
              <w:rPr>
                <w:i/>
                <w:szCs w:val="22"/>
                <w:lang w:eastAsia="sv-SE"/>
              </w:rPr>
              <w:t xml:space="preserve">. </w:t>
            </w:r>
            <w:r w:rsidR="00C509BF" w:rsidRPr="00FA0D37">
              <w:t xml:space="preserve">When </w:t>
            </w:r>
            <w:r w:rsidR="00C509BF" w:rsidRPr="00FA0D37">
              <w:rPr>
                <w:i/>
                <w:iCs/>
              </w:rPr>
              <w:t>SIB19</w:t>
            </w:r>
            <w:r w:rsidR="00C509BF" w:rsidRPr="00FA0D37">
              <w:t xml:space="preserve"> is scheduled, the </w:t>
            </w:r>
            <w:r w:rsidR="00C509BF" w:rsidRPr="00FA0D37">
              <w:rPr>
                <w:i/>
                <w:iCs/>
              </w:rPr>
              <w:t>si-BroadcastStatus</w:t>
            </w:r>
            <w:r w:rsidR="00C509BF" w:rsidRPr="00FA0D37">
              <w:t xml:space="preserve"> for the mapped </w:t>
            </w:r>
            <w:r w:rsidR="00C509BF" w:rsidRPr="00FA0D37">
              <w:rPr>
                <w:i/>
                <w:iCs/>
              </w:rPr>
              <w:t>SIB19</w:t>
            </w:r>
            <w:r w:rsidR="00C509BF" w:rsidRPr="00FA0D37">
              <w:t xml:space="preserve"> is set to </w:t>
            </w:r>
            <w:r w:rsidR="00C509BF" w:rsidRPr="00FA0D37">
              <w:rPr>
                <w:i/>
                <w:iCs/>
              </w:rPr>
              <w:t>broadcasting</w:t>
            </w:r>
            <w:r w:rsidRPr="00FA0D37">
              <w:rPr>
                <w:szCs w:val="22"/>
                <w:lang w:eastAsia="sv-SE"/>
              </w:rPr>
              <w:t>.</w:t>
            </w:r>
          </w:p>
          <w:p w14:paraId="142819ED" w14:textId="7ADC0298" w:rsidR="00394471" w:rsidRPr="00FA0D37" w:rsidRDefault="00213644" w:rsidP="00213644">
            <w:pPr>
              <w:pStyle w:val="TAL"/>
              <w:rPr>
                <w:b/>
                <w:i/>
                <w:lang w:eastAsia="sv-SE"/>
              </w:rPr>
            </w:pPr>
            <w:r w:rsidRPr="00FA0D37">
              <w:rPr>
                <w:szCs w:val="22"/>
                <w:lang w:eastAsia="sv-SE"/>
              </w:rPr>
              <w:t xml:space="preserve">If </w:t>
            </w:r>
            <w:r w:rsidRPr="00FA0D37">
              <w:rPr>
                <w:i/>
                <w:iCs/>
                <w:szCs w:val="22"/>
                <w:lang w:eastAsia="sv-SE"/>
              </w:rPr>
              <w:t>si-SchedulingInfo-v1700</w:t>
            </w:r>
            <w:r w:rsidRPr="00FA0D37">
              <w:rPr>
                <w:szCs w:val="22"/>
                <w:lang w:eastAsia="sv-SE"/>
              </w:rPr>
              <w:t xml:space="preserve"> is present, </w:t>
            </w:r>
            <w:r w:rsidR="003633F7" w:rsidRPr="00FA0D37">
              <w:rPr>
                <w:szCs w:val="22"/>
                <w:lang w:eastAsia="sv-SE"/>
              </w:rPr>
              <w:t xml:space="preserve">the network ensures that </w:t>
            </w:r>
            <w:r w:rsidRPr="00FA0D37">
              <w:rPr>
                <w:szCs w:val="22"/>
                <w:lang w:eastAsia="sv-SE"/>
              </w:rPr>
              <w:t xml:space="preserve">the total number of SI messages with </w:t>
            </w:r>
            <w:r w:rsidRPr="00FA0D37">
              <w:rPr>
                <w:i/>
                <w:iCs/>
                <w:szCs w:val="22"/>
                <w:lang w:eastAsia="sv-SE"/>
              </w:rPr>
              <w:t>si-BroadcastStatus</w:t>
            </w:r>
            <w:r w:rsidRPr="00FA0D37">
              <w:rPr>
                <w:szCs w:val="22"/>
                <w:lang w:eastAsia="sv-SE"/>
              </w:rPr>
              <w:t xml:space="preserve"> set to </w:t>
            </w:r>
            <w:r w:rsidRPr="00FA0D37">
              <w:rPr>
                <w:i/>
                <w:iCs/>
                <w:szCs w:val="22"/>
                <w:lang w:eastAsia="sv-SE"/>
              </w:rPr>
              <w:t>notBroadcasting</w:t>
            </w:r>
            <w:r w:rsidRPr="00FA0D37">
              <w:rPr>
                <w:szCs w:val="22"/>
                <w:lang w:eastAsia="sv-SE"/>
              </w:rPr>
              <w:t xml:space="preserve"> in the list of concatenated SI messages configured by </w:t>
            </w:r>
            <w:r w:rsidRPr="00FA0D37">
              <w:rPr>
                <w:i/>
                <w:iCs/>
                <w:szCs w:val="22"/>
                <w:lang w:eastAsia="sv-SE"/>
              </w:rPr>
              <w:t>schedulingInfoList</w:t>
            </w:r>
            <w:r w:rsidRPr="00FA0D37">
              <w:rPr>
                <w:szCs w:val="22"/>
                <w:lang w:eastAsia="sv-SE"/>
              </w:rPr>
              <w:t xml:space="preserve"> in </w:t>
            </w:r>
            <w:r w:rsidRPr="00FA0D37">
              <w:rPr>
                <w:i/>
                <w:iCs/>
                <w:szCs w:val="22"/>
                <w:lang w:eastAsia="sv-SE"/>
              </w:rPr>
              <w:t>si-SchedulingInfo</w:t>
            </w:r>
            <w:r w:rsidRPr="00FA0D37">
              <w:rPr>
                <w:szCs w:val="22"/>
                <w:lang w:eastAsia="sv-SE"/>
              </w:rPr>
              <w:t xml:space="preserve"> and SI messages containing type</w:t>
            </w:r>
            <w:r w:rsidR="003633F7" w:rsidRPr="00FA0D37">
              <w:rPr>
                <w:szCs w:val="22"/>
                <w:lang w:eastAsia="sv-SE"/>
              </w:rPr>
              <w:t>1</w:t>
            </w:r>
            <w:r w:rsidRPr="00FA0D37">
              <w:rPr>
                <w:szCs w:val="22"/>
                <w:lang w:eastAsia="sv-SE"/>
              </w:rPr>
              <w:t xml:space="preserve"> SIB configured by </w:t>
            </w:r>
            <w:r w:rsidRPr="00FA0D37">
              <w:rPr>
                <w:i/>
                <w:iCs/>
                <w:szCs w:val="22"/>
                <w:lang w:eastAsia="sv-SE"/>
              </w:rPr>
              <w:t>schedulingInfoList2</w:t>
            </w:r>
            <w:r w:rsidRPr="00FA0D37">
              <w:rPr>
                <w:szCs w:val="22"/>
                <w:lang w:eastAsia="sv-SE"/>
              </w:rPr>
              <w:t xml:space="preserve"> in </w:t>
            </w:r>
            <w:r w:rsidRPr="00FA0D37">
              <w:rPr>
                <w:i/>
                <w:iCs/>
                <w:szCs w:val="22"/>
                <w:lang w:eastAsia="sv-SE"/>
              </w:rPr>
              <w:t>si-SchedulingInfo-v1700</w:t>
            </w:r>
            <w:r w:rsidRPr="00FA0D37">
              <w:rPr>
                <w:szCs w:val="22"/>
                <w:lang w:eastAsia="sv-SE"/>
              </w:rPr>
              <w:t xml:space="preserve"> does not exceed the limit of </w:t>
            </w:r>
            <w:r w:rsidRPr="00FA0D37">
              <w:rPr>
                <w:i/>
                <w:iCs/>
                <w:szCs w:val="22"/>
                <w:lang w:eastAsia="sv-SE"/>
              </w:rPr>
              <w:t>maxSI-Message</w:t>
            </w:r>
            <w:r w:rsidRPr="00FA0D37">
              <w:rPr>
                <w:szCs w:val="22"/>
                <w:lang w:eastAsia="sv-SE"/>
              </w:rPr>
              <w:t xml:space="preserve"> when </w:t>
            </w:r>
            <w:r w:rsidR="003633F7" w:rsidRPr="00FA0D37">
              <w:rPr>
                <w:i/>
                <w:iCs/>
                <w:szCs w:val="22"/>
                <w:lang w:eastAsia="sv-SE"/>
              </w:rPr>
              <w:t>si-RequestConfig</w:t>
            </w:r>
            <w:r w:rsidR="006658B2" w:rsidRPr="00FA0D37">
              <w:rPr>
                <w:szCs w:val="22"/>
                <w:lang w:eastAsia="sv-SE"/>
              </w:rPr>
              <w:t>,</w:t>
            </w:r>
            <w:r w:rsidRPr="00FA0D37">
              <w:rPr>
                <w:szCs w:val="22"/>
                <w:lang w:eastAsia="sv-SE"/>
              </w:rPr>
              <w:t xml:space="preserve"> </w:t>
            </w:r>
            <w:r w:rsidR="003633F7" w:rsidRPr="00FA0D37">
              <w:rPr>
                <w:i/>
                <w:iCs/>
                <w:szCs w:val="22"/>
                <w:lang w:eastAsia="sv-SE"/>
              </w:rPr>
              <w:t>si-RequestConfigRedCap</w:t>
            </w:r>
            <w:r w:rsidRPr="00FA0D37">
              <w:rPr>
                <w:szCs w:val="22"/>
                <w:lang w:eastAsia="sv-SE"/>
              </w:rPr>
              <w:t xml:space="preserve"> or </w:t>
            </w:r>
            <w:r w:rsidR="003633F7" w:rsidRPr="00FA0D37">
              <w:rPr>
                <w:i/>
                <w:iCs/>
                <w:szCs w:val="22"/>
                <w:lang w:eastAsia="sv-SE"/>
              </w:rPr>
              <w:t>si-RequestConfigSUL</w:t>
            </w:r>
            <w:r w:rsidRPr="00FA0D37">
              <w:rPr>
                <w:szCs w:val="22"/>
                <w:lang w:eastAsia="sv-SE"/>
              </w:rPr>
              <w:t xml:space="preserve"> is configured.</w:t>
            </w:r>
          </w:p>
        </w:tc>
      </w:tr>
      <w:tr w:rsidR="00394471" w:rsidRPr="00FA0D37"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FA0D37" w:rsidRDefault="00394471" w:rsidP="00964CC4">
            <w:pPr>
              <w:pStyle w:val="TAL"/>
              <w:rPr>
                <w:szCs w:val="22"/>
                <w:lang w:eastAsia="sv-SE"/>
              </w:rPr>
            </w:pPr>
            <w:r w:rsidRPr="00FA0D37">
              <w:rPr>
                <w:b/>
                <w:i/>
                <w:szCs w:val="22"/>
                <w:lang w:eastAsia="sv-SE"/>
              </w:rPr>
              <w:t>si-Periodicity</w:t>
            </w:r>
          </w:p>
          <w:p w14:paraId="5F39D765" w14:textId="77777777" w:rsidR="00394471" w:rsidRPr="00FA0D37" w:rsidRDefault="00394471" w:rsidP="00964CC4">
            <w:pPr>
              <w:pStyle w:val="TAL"/>
              <w:rPr>
                <w:szCs w:val="22"/>
                <w:lang w:eastAsia="sv-SE"/>
              </w:rPr>
            </w:pPr>
            <w:r w:rsidRPr="00FA0D37">
              <w:rPr>
                <w:szCs w:val="22"/>
                <w:lang w:eastAsia="sv-SE"/>
              </w:rPr>
              <w:t xml:space="preserve">Periodicity of the SI-message in radio frames. Value </w:t>
            </w:r>
            <w:r w:rsidRPr="00FA0D37">
              <w:rPr>
                <w:i/>
                <w:szCs w:val="22"/>
                <w:lang w:eastAsia="sv-SE"/>
              </w:rPr>
              <w:t>rf8</w:t>
            </w:r>
            <w:r w:rsidRPr="00FA0D37">
              <w:rPr>
                <w:szCs w:val="22"/>
                <w:lang w:eastAsia="sv-SE"/>
              </w:rPr>
              <w:t xml:space="preserve"> corresponds to 8 radio frames, value </w:t>
            </w:r>
            <w:r w:rsidRPr="00FA0D37">
              <w:rPr>
                <w:i/>
                <w:szCs w:val="22"/>
                <w:lang w:eastAsia="sv-SE"/>
              </w:rPr>
              <w:t>rf16</w:t>
            </w:r>
            <w:r w:rsidRPr="00FA0D37">
              <w:rPr>
                <w:szCs w:val="22"/>
                <w:lang w:eastAsia="sv-SE"/>
              </w:rPr>
              <w:t xml:space="preserve"> corresponds to 16 radio frames, and so on.</w:t>
            </w:r>
          </w:p>
        </w:tc>
      </w:tr>
    </w:tbl>
    <w:p w14:paraId="3050A23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FA0D37" w:rsidRDefault="00394471" w:rsidP="00964CC4">
            <w:pPr>
              <w:pStyle w:val="TAH"/>
              <w:rPr>
                <w:szCs w:val="22"/>
                <w:lang w:eastAsia="sv-SE"/>
              </w:rPr>
            </w:pPr>
            <w:r w:rsidRPr="00FA0D37">
              <w:rPr>
                <w:i/>
                <w:szCs w:val="22"/>
                <w:lang w:eastAsia="sv-SE"/>
              </w:rPr>
              <w:t xml:space="preserve">SI-SchedulingInfo </w:t>
            </w:r>
            <w:r w:rsidRPr="00FA0D37">
              <w:rPr>
                <w:szCs w:val="22"/>
                <w:lang w:eastAsia="sv-SE"/>
              </w:rPr>
              <w:t>field descriptions</w:t>
            </w:r>
          </w:p>
        </w:tc>
      </w:tr>
      <w:tr w:rsidR="005C7FF4" w:rsidRPr="00FA0D37"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FA0D37" w:rsidRDefault="00FE557A" w:rsidP="00651E87">
            <w:pPr>
              <w:pStyle w:val="TAL"/>
              <w:rPr>
                <w:b/>
                <w:bCs/>
                <w:i/>
                <w:iCs/>
                <w:lang w:eastAsia="sv-SE"/>
              </w:rPr>
            </w:pPr>
            <w:r w:rsidRPr="00FA0D37">
              <w:rPr>
                <w:b/>
                <w:bCs/>
                <w:i/>
                <w:iCs/>
                <w:lang w:eastAsia="sv-SE"/>
              </w:rPr>
              <w:t>dummy</w:t>
            </w:r>
          </w:p>
          <w:p w14:paraId="1740857D" w14:textId="77777777" w:rsidR="00FE557A" w:rsidRPr="00FA0D37" w:rsidRDefault="00FE557A" w:rsidP="00651E87">
            <w:pPr>
              <w:pStyle w:val="TAL"/>
              <w:rPr>
                <w:lang w:eastAsia="sv-SE"/>
              </w:rPr>
            </w:pPr>
            <w:r w:rsidRPr="00FA0D37">
              <w:rPr>
                <w:lang w:eastAsia="sv-SE"/>
              </w:rPr>
              <w:t>This field is not used in this specification. If received, it is ignored by the UE.</w:t>
            </w:r>
          </w:p>
        </w:tc>
      </w:tr>
      <w:tr w:rsidR="005C7FF4" w:rsidRPr="00FA0D37"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FA0D37" w:rsidRDefault="00394471" w:rsidP="00964CC4">
            <w:pPr>
              <w:pStyle w:val="TAL"/>
              <w:rPr>
                <w:b/>
                <w:i/>
                <w:lang w:eastAsia="sv-SE"/>
              </w:rPr>
            </w:pPr>
            <w:r w:rsidRPr="00FA0D37">
              <w:rPr>
                <w:b/>
                <w:bCs/>
                <w:i/>
                <w:iCs/>
                <w:szCs w:val="22"/>
                <w:lang w:eastAsia="sv-SE"/>
              </w:rPr>
              <w:t>si-RequestConfig</w:t>
            </w:r>
          </w:p>
          <w:p w14:paraId="04B35E91" w14:textId="77777777" w:rsidR="00394471" w:rsidRPr="00FA0D37" w:rsidRDefault="00394471" w:rsidP="00964CC4">
            <w:pPr>
              <w:pStyle w:val="TAL"/>
              <w:rPr>
                <w:lang w:eastAsia="sv-SE"/>
              </w:rPr>
            </w:pPr>
            <w:r w:rsidRPr="00FA0D37">
              <w:rPr>
                <w:lang w:eastAsia="sv-SE"/>
              </w:rPr>
              <w:t xml:space="preserve">Configuration of Msg1 resources that the UE uses for requesting SI-messages for which </w:t>
            </w:r>
            <w:r w:rsidRPr="00FA0D37">
              <w:rPr>
                <w:i/>
                <w:lang w:eastAsia="sv-SE"/>
              </w:rPr>
              <w:t>si-BroadcastStatus</w:t>
            </w:r>
            <w:r w:rsidRPr="00FA0D37">
              <w:rPr>
                <w:lang w:eastAsia="sv-SE"/>
              </w:rPr>
              <w:t xml:space="preserve"> is set to </w:t>
            </w:r>
            <w:r w:rsidRPr="00FA0D37">
              <w:rPr>
                <w:i/>
                <w:iCs/>
                <w:lang w:eastAsia="sv-SE"/>
              </w:rPr>
              <w:t>notBroadcasting</w:t>
            </w:r>
            <w:r w:rsidRPr="00FA0D37">
              <w:rPr>
                <w:lang w:eastAsia="sv-SE"/>
              </w:rPr>
              <w:t>.</w:t>
            </w:r>
          </w:p>
        </w:tc>
      </w:tr>
      <w:tr w:rsidR="005C7FF4" w:rsidRPr="00FA0D37"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FA0D37" w:rsidRDefault="003F4345" w:rsidP="0071565C">
            <w:pPr>
              <w:pStyle w:val="TAL"/>
              <w:rPr>
                <w:b/>
                <w:i/>
                <w:lang w:eastAsia="sv-SE"/>
              </w:rPr>
            </w:pPr>
            <w:r w:rsidRPr="00FA0D37">
              <w:rPr>
                <w:b/>
                <w:bCs/>
                <w:i/>
                <w:iCs/>
                <w:szCs w:val="22"/>
                <w:lang w:eastAsia="sv-SE"/>
              </w:rPr>
              <w:t>si-RequestConfigRedCap</w:t>
            </w:r>
          </w:p>
          <w:p w14:paraId="7C7BE646" w14:textId="77777777" w:rsidR="003F4345" w:rsidRPr="00FA0D37" w:rsidRDefault="003F4345" w:rsidP="0071565C">
            <w:pPr>
              <w:pStyle w:val="TAL"/>
              <w:rPr>
                <w:b/>
                <w:bCs/>
                <w:i/>
                <w:iCs/>
                <w:szCs w:val="22"/>
                <w:lang w:eastAsia="sv-SE"/>
              </w:rPr>
            </w:pPr>
            <w:r w:rsidRPr="00FA0D37">
              <w:rPr>
                <w:lang w:eastAsia="sv-SE"/>
              </w:rPr>
              <w:t xml:space="preserve">Configuration of Msg1 resources for </w:t>
            </w:r>
            <w:r w:rsidRPr="00FA0D37">
              <w:rPr>
                <w:bCs/>
                <w:i/>
                <w:lang w:eastAsia="sv-SE"/>
              </w:rPr>
              <w:t>initialUplinkBWP-RedCap</w:t>
            </w:r>
            <w:r w:rsidRPr="00FA0D37">
              <w:rPr>
                <w:b/>
                <w:i/>
                <w:lang w:eastAsia="sv-SE"/>
              </w:rPr>
              <w:t xml:space="preserve"> </w:t>
            </w:r>
            <w:r w:rsidRPr="00FA0D37">
              <w:rPr>
                <w:lang w:eastAsia="sv-SE"/>
              </w:rPr>
              <w:t xml:space="preserve">that the </w:t>
            </w:r>
            <w:r w:rsidRPr="00FA0D37">
              <w:rPr>
                <w:bCs/>
                <w:iCs/>
                <w:lang w:eastAsia="sv-SE"/>
              </w:rPr>
              <w:t xml:space="preserve">RedCap </w:t>
            </w:r>
            <w:r w:rsidRPr="00FA0D37">
              <w:rPr>
                <w:lang w:eastAsia="sv-SE"/>
              </w:rPr>
              <w:t xml:space="preserve">UE uses for requesting SI-messages for which </w:t>
            </w:r>
            <w:r w:rsidRPr="00FA0D37">
              <w:rPr>
                <w:i/>
                <w:lang w:eastAsia="sv-SE"/>
              </w:rPr>
              <w:t>si-BroadcastStatus</w:t>
            </w:r>
            <w:r w:rsidRPr="00FA0D37">
              <w:rPr>
                <w:lang w:eastAsia="sv-SE"/>
              </w:rPr>
              <w:t xml:space="preserve"> is set to </w:t>
            </w:r>
            <w:r w:rsidRPr="00FA0D37">
              <w:rPr>
                <w:i/>
                <w:iCs/>
                <w:lang w:eastAsia="sv-SE"/>
              </w:rPr>
              <w:t>notBroadcasting</w:t>
            </w:r>
            <w:r w:rsidRPr="00FA0D37">
              <w:rPr>
                <w:lang w:eastAsia="sv-SE"/>
              </w:rPr>
              <w:t>.</w:t>
            </w:r>
          </w:p>
        </w:tc>
      </w:tr>
      <w:tr w:rsidR="005C7FF4" w:rsidRPr="00FA0D37"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394471" w:rsidRPr="00FA0D37" w:rsidRDefault="00394471" w:rsidP="00964CC4">
            <w:pPr>
              <w:pStyle w:val="TAL"/>
              <w:rPr>
                <w:b/>
                <w:i/>
                <w:lang w:eastAsia="sv-SE"/>
              </w:rPr>
            </w:pPr>
            <w:r w:rsidRPr="00FA0D37">
              <w:rPr>
                <w:b/>
                <w:bCs/>
                <w:i/>
                <w:iCs/>
                <w:szCs w:val="22"/>
                <w:lang w:eastAsia="sv-SE"/>
              </w:rPr>
              <w:t>si-RequestConfigSUL</w:t>
            </w:r>
          </w:p>
          <w:p w14:paraId="14944668" w14:textId="77777777" w:rsidR="00394471" w:rsidRPr="00FA0D37" w:rsidRDefault="00394471" w:rsidP="00964CC4">
            <w:pPr>
              <w:pStyle w:val="TAL"/>
              <w:rPr>
                <w:lang w:eastAsia="sv-SE"/>
              </w:rPr>
            </w:pPr>
            <w:r w:rsidRPr="00FA0D37">
              <w:rPr>
                <w:lang w:eastAsia="sv-SE"/>
              </w:rPr>
              <w:t xml:space="preserve">Configuration of Msg1 resources that the UE uses for requesting SI-messages for which </w:t>
            </w:r>
            <w:r w:rsidRPr="00FA0D37">
              <w:rPr>
                <w:i/>
                <w:lang w:eastAsia="sv-SE"/>
              </w:rPr>
              <w:t>si-BroadcastStatus</w:t>
            </w:r>
            <w:r w:rsidRPr="00FA0D37">
              <w:rPr>
                <w:lang w:eastAsia="sv-SE"/>
              </w:rPr>
              <w:t xml:space="preserve"> is set to </w:t>
            </w:r>
            <w:r w:rsidRPr="00FA0D37">
              <w:rPr>
                <w:i/>
                <w:iCs/>
                <w:lang w:eastAsia="sv-SE"/>
              </w:rPr>
              <w:t>notBroadcasting</w:t>
            </w:r>
            <w:r w:rsidRPr="00FA0D37">
              <w:rPr>
                <w:lang w:eastAsia="sv-SE"/>
              </w:rPr>
              <w:t>.</w:t>
            </w:r>
          </w:p>
        </w:tc>
      </w:tr>
      <w:tr w:rsidR="005C7FF4" w:rsidRPr="00FA0D37"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394471" w:rsidRPr="00FA0D37" w:rsidRDefault="00394471" w:rsidP="00964CC4">
            <w:pPr>
              <w:pStyle w:val="TAL"/>
              <w:rPr>
                <w:b/>
                <w:bCs/>
                <w:i/>
                <w:iCs/>
                <w:szCs w:val="22"/>
                <w:lang w:eastAsia="sv-SE"/>
              </w:rPr>
            </w:pPr>
            <w:r w:rsidRPr="00FA0D37">
              <w:rPr>
                <w:b/>
                <w:bCs/>
                <w:i/>
                <w:iCs/>
                <w:szCs w:val="22"/>
                <w:lang w:eastAsia="sv-SE"/>
              </w:rPr>
              <w:t>si-WindowLength</w:t>
            </w:r>
          </w:p>
          <w:p w14:paraId="00161831" w14:textId="26E61A7C" w:rsidR="00394471" w:rsidRPr="00FA0D37" w:rsidRDefault="00394471" w:rsidP="00964CC4">
            <w:pPr>
              <w:pStyle w:val="TAL"/>
              <w:rPr>
                <w:lang w:eastAsia="sv-SE"/>
              </w:rPr>
            </w:pPr>
            <w:r w:rsidRPr="00FA0D37">
              <w:rPr>
                <w:lang w:eastAsia="sv-SE"/>
              </w:rPr>
              <w:t xml:space="preserve">The length of the SI scheduling window. Value </w:t>
            </w:r>
            <w:r w:rsidRPr="00FA0D37">
              <w:rPr>
                <w:i/>
                <w:lang w:eastAsia="sv-SE"/>
              </w:rPr>
              <w:t>s5</w:t>
            </w:r>
            <w:r w:rsidRPr="00FA0D37">
              <w:rPr>
                <w:lang w:eastAsia="sv-SE"/>
              </w:rPr>
              <w:t xml:space="preserve"> corresponds to 5 slots, value </w:t>
            </w:r>
            <w:r w:rsidRPr="00FA0D37">
              <w:rPr>
                <w:i/>
                <w:lang w:eastAsia="sv-SE"/>
              </w:rPr>
              <w:t>s10</w:t>
            </w:r>
            <w:r w:rsidRPr="00FA0D37">
              <w:rPr>
                <w:lang w:eastAsia="sv-SE"/>
              </w:rPr>
              <w:t xml:space="preserve"> corresponds to 10 slots and so on.</w:t>
            </w:r>
            <w:r w:rsidRPr="00FA0D37">
              <w:rPr>
                <w:szCs w:val="22"/>
                <w:lang w:eastAsia="sv-SE"/>
              </w:rPr>
              <w:t xml:space="preserve"> The network always configures </w:t>
            </w:r>
            <w:r w:rsidRPr="00FA0D37">
              <w:rPr>
                <w:i/>
                <w:szCs w:val="22"/>
                <w:lang w:eastAsia="sv-SE"/>
              </w:rPr>
              <w:t>si-WindowLength</w:t>
            </w:r>
            <w:r w:rsidRPr="00FA0D37">
              <w:rPr>
                <w:szCs w:val="22"/>
                <w:lang w:eastAsia="sv-SE"/>
              </w:rPr>
              <w:t xml:space="preserve"> to be shorter than or equal to the </w:t>
            </w:r>
            <w:r w:rsidRPr="00FA0D37">
              <w:rPr>
                <w:i/>
                <w:szCs w:val="22"/>
                <w:lang w:eastAsia="sv-SE"/>
              </w:rPr>
              <w:t>si-Periodicity</w:t>
            </w:r>
            <w:r w:rsidRPr="00FA0D37">
              <w:rPr>
                <w:szCs w:val="22"/>
                <w:lang w:eastAsia="sv-SE"/>
              </w:rPr>
              <w:t>.</w:t>
            </w:r>
            <w:r w:rsidR="00F12A49" w:rsidRPr="00FA0D37">
              <w:rPr>
                <w:szCs w:val="22"/>
                <w:lang w:eastAsia="sv-SE"/>
              </w:rPr>
              <w:t xml:space="preserve"> The values </w:t>
            </w:r>
            <w:r w:rsidR="00F12A49" w:rsidRPr="00FA0D37">
              <w:rPr>
                <w:i/>
                <w:iCs/>
                <w:szCs w:val="22"/>
                <w:lang w:eastAsia="sv-SE"/>
              </w:rPr>
              <w:t>s2560-v1710</w:t>
            </w:r>
            <w:r w:rsidR="00977C82" w:rsidRPr="00FA0D37">
              <w:rPr>
                <w:szCs w:val="22"/>
                <w:lang w:eastAsia="sv-SE"/>
              </w:rPr>
              <w:t xml:space="preserve"> and</w:t>
            </w:r>
            <w:r w:rsidR="00F12A49" w:rsidRPr="00FA0D37">
              <w:rPr>
                <w:szCs w:val="22"/>
                <w:lang w:eastAsia="sv-SE"/>
              </w:rPr>
              <w:t xml:space="preserve"> </w:t>
            </w:r>
            <w:r w:rsidR="00F12A49" w:rsidRPr="00FA0D37">
              <w:rPr>
                <w:i/>
                <w:iCs/>
                <w:szCs w:val="22"/>
                <w:lang w:eastAsia="sv-SE"/>
              </w:rPr>
              <w:t>s5120-v1710</w:t>
            </w:r>
            <w:r w:rsidR="00F12A49" w:rsidRPr="00FA0D37">
              <w:rPr>
                <w:szCs w:val="22"/>
                <w:lang w:eastAsia="sv-SE"/>
              </w:rPr>
              <w:t xml:space="preserve"> are only applicable for SCS 480 kHz.</w:t>
            </w:r>
          </w:p>
        </w:tc>
      </w:tr>
      <w:tr w:rsidR="000830BB" w:rsidRPr="00FA0D37"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394471" w:rsidRPr="00FA0D37" w:rsidRDefault="00394471" w:rsidP="00964CC4">
            <w:pPr>
              <w:pStyle w:val="TAL"/>
              <w:rPr>
                <w:b/>
                <w:i/>
                <w:lang w:eastAsia="sv-SE"/>
              </w:rPr>
            </w:pPr>
            <w:r w:rsidRPr="00FA0D37">
              <w:rPr>
                <w:b/>
                <w:bCs/>
                <w:i/>
                <w:iCs/>
                <w:szCs w:val="22"/>
                <w:lang w:eastAsia="sv-SE"/>
              </w:rPr>
              <w:t>systemInformationAreaID</w:t>
            </w:r>
          </w:p>
          <w:p w14:paraId="707153A0" w14:textId="41A9C2A8" w:rsidR="00394471" w:rsidRPr="00FA0D37" w:rsidRDefault="00394471" w:rsidP="00964CC4">
            <w:pPr>
              <w:pStyle w:val="TAL"/>
              <w:rPr>
                <w:lang w:eastAsia="sv-SE"/>
              </w:rPr>
            </w:pPr>
            <w:r w:rsidRPr="00FA0D37">
              <w:rPr>
                <w:lang w:eastAsia="sv-SE"/>
              </w:rPr>
              <w:t xml:space="preserve">Indicates the system information area that the cell belongs to, if any. Any SIB with </w:t>
            </w:r>
            <w:r w:rsidRPr="00FA0D37">
              <w:rPr>
                <w:i/>
                <w:lang w:eastAsia="sv-SE"/>
              </w:rPr>
              <w:t>areaScope</w:t>
            </w:r>
            <w:r w:rsidRPr="00FA0D37">
              <w:rPr>
                <w:lang w:eastAsia="sv-SE"/>
              </w:rPr>
              <w:t xml:space="preserve"> within the SI is considered to belong to this </w:t>
            </w:r>
            <w:r w:rsidRPr="00FA0D37">
              <w:rPr>
                <w:i/>
                <w:lang w:eastAsia="sv-SE"/>
              </w:rPr>
              <w:t>systemInformationAreaID</w:t>
            </w:r>
            <w:r w:rsidRPr="00FA0D37">
              <w:rPr>
                <w:lang w:eastAsia="sv-SE"/>
              </w:rPr>
              <w:t>. The systemInformationAreaID is unique within a PLMN</w:t>
            </w:r>
            <w:r w:rsidR="00985AB7" w:rsidRPr="00FA0D37">
              <w:rPr>
                <w:lang w:eastAsia="sv-SE"/>
              </w:rPr>
              <w:t>/SNPN</w:t>
            </w:r>
            <w:r w:rsidRPr="00FA0D37">
              <w:rPr>
                <w:lang w:eastAsia="sv-SE"/>
              </w:rPr>
              <w:t>.</w:t>
            </w:r>
          </w:p>
        </w:tc>
      </w:tr>
    </w:tbl>
    <w:p w14:paraId="53671689" w14:textId="5B7EA1B3"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FA0D37" w:rsidRDefault="00B44B7F" w:rsidP="00771058">
            <w:pPr>
              <w:pStyle w:val="TAH"/>
              <w:rPr>
                <w:szCs w:val="22"/>
                <w:lang w:eastAsia="sv-SE"/>
              </w:rPr>
            </w:pPr>
            <w:r w:rsidRPr="00FA0D37">
              <w:rPr>
                <w:i/>
                <w:szCs w:val="22"/>
                <w:lang w:eastAsia="sv-SE"/>
              </w:rPr>
              <w:lastRenderedPageBreak/>
              <w:t xml:space="preserve">SchedulingInfo2 </w:t>
            </w:r>
            <w:r w:rsidRPr="00FA0D37">
              <w:rPr>
                <w:szCs w:val="22"/>
                <w:lang w:eastAsia="sv-SE"/>
              </w:rPr>
              <w:t>field descriptions</w:t>
            </w:r>
          </w:p>
        </w:tc>
      </w:tr>
      <w:tr w:rsidR="005C7FF4" w:rsidRPr="00FA0D37"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FA0D37" w:rsidRDefault="00B44B7F" w:rsidP="00771058">
            <w:pPr>
              <w:pStyle w:val="TAL"/>
              <w:rPr>
                <w:b/>
                <w:bCs/>
                <w:i/>
                <w:noProof/>
                <w:lang w:eastAsia="en-GB"/>
              </w:rPr>
            </w:pPr>
            <w:r w:rsidRPr="00FA0D37">
              <w:rPr>
                <w:b/>
                <w:bCs/>
                <w:i/>
                <w:noProof/>
                <w:lang w:eastAsia="en-GB"/>
              </w:rPr>
              <w:t>encrypted</w:t>
            </w:r>
          </w:p>
          <w:p w14:paraId="63E5C3ED" w14:textId="77777777" w:rsidR="00B44B7F" w:rsidRPr="00FA0D37" w:rsidRDefault="00B44B7F" w:rsidP="00771058">
            <w:pPr>
              <w:pStyle w:val="TAL"/>
              <w:rPr>
                <w:b/>
                <w:i/>
                <w:lang w:eastAsia="sv-SE"/>
              </w:rPr>
            </w:pPr>
            <w:r w:rsidRPr="00FA0D37">
              <w:rPr>
                <w:bCs/>
                <w:noProof/>
                <w:lang w:eastAsia="en-GB"/>
              </w:rPr>
              <w:t>The presence of this field indicates that the pos-sib-type is encrypted as specified in TS 37.355 [49].</w:t>
            </w:r>
          </w:p>
        </w:tc>
      </w:tr>
      <w:tr w:rsidR="005C7FF4" w:rsidRPr="00FA0D37"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FA0D37" w:rsidRDefault="00B44B7F" w:rsidP="00771058">
            <w:pPr>
              <w:pStyle w:val="TAL"/>
              <w:rPr>
                <w:b/>
                <w:bCs/>
                <w:i/>
                <w:noProof/>
                <w:lang w:eastAsia="en-GB"/>
              </w:rPr>
            </w:pPr>
            <w:r w:rsidRPr="00FA0D37">
              <w:rPr>
                <w:b/>
                <w:bCs/>
                <w:i/>
                <w:noProof/>
                <w:lang w:eastAsia="en-GB"/>
              </w:rPr>
              <w:t>gnss-id</w:t>
            </w:r>
          </w:p>
          <w:p w14:paraId="3AB93CEC" w14:textId="77777777" w:rsidR="00B44B7F" w:rsidRPr="00FA0D37" w:rsidRDefault="00B44B7F" w:rsidP="00771058">
            <w:pPr>
              <w:pStyle w:val="TAL"/>
              <w:rPr>
                <w:b/>
                <w:bCs/>
                <w:i/>
                <w:noProof/>
                <w:lang w:eastAsia="en-GB"/>
              </w:rPr>
            </w:pPr>
            <w:r w:rsidRPr="00FA0D37">
              <w:rPr>
                <w:bCs/>
                <w:noProof/>
                <w:lang w:eastAsia="en-GB"/>
              </w:rPr>
              <w:t>The presence of this field indicates that the positioning SIB type is for a specific GNSS. Indicates a specific GNSS (see also TS 37.355 [49])</w:t>
            </w:r>
          </w:p>
        </w:tc>
      </w:tr>
      <w:tr w:rsidR="005C7FF4" w:rsidRPr="00FA0D37"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FA0D37" w:rsidRDefault="00B44B7F" w:rsidP="00771058">
            <w:pPr>
              <w:pStyle w:val="TAL"/>
              <w:rPr>
                <w:b/>
                <w:bCs/>
                <w:i/>
                <w:noProof/>
                <w:lang w:eastAsia="en-GB"/>
              </w:rPr>
            </w:pPr>
            <w:r w:rsidRPr="00FA0D37">
              <w:rPr>
                <w:b/>
                <w:bCs/>
                <w:i/>
                <w:noProof/>
                <w:lang w:eastAsia="en-GB"/>
              </w:rPr>
              <w:t>posSibType</w:t>
            </w:r>
          </w:p>
          <w:p w14:paraId="50629CA1" w14:textId="77777777" w:rsidR="00B44B7F" w:rsidRPr="00FA0D37" w:rsidRDefault="00B44B7F" w:rsidP="00771058">
            <w:pPr>
              <w:pStyle w:val="TAL"/>
              <w:rPr>
                <w:bCs/>
                <w:iCs/>
                <w:szCs w:val="22"/>
                <w:lang w:eastAsia="sv-SE"/>
              </w:rPr>
            </w:pPr>
            <w:r w:rsidRPr="00FA0D37">
              <w:rPr>
                <w:bCs/>
                <w:noProof/>
                <w:lang w:eastAsia="en-GB"/>
              </w:rPr>
              <w:t>The posSIBs as defined in TS 37.355 [49] mapped to SI for scheduling using</w:t>
            </w:r>
            <w:r w:rsidRPr="00FA0D37">
              <w:rPr>
                <w:b/>
                <w:bCs/>
                <w:noProof/>
                <w:lang w:eastAsia="en-GB"/>
              </w:rPr>
              <w:t xml:space="preserve"> </w:t>
            </w:r>
            <w:r w:rsidRPr="00FA0D37">
              <w:rPr>
                <w:i/>
              </w:rPr>
              <w:t>schedulingInfoList2</w:t>
            </w:r>
            <w:r w:rsidRPr="00FA0D37">
              <w:t xml:space="preserve">. </w:t>
            </w:r>
          </w:p>
        </w:tc>
      </w:tr>
      <w:tr w:rsidR="005C7FF4" w:rsidRPr="00FA0D37"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FA0D37" w:rsidRDefault="00B44B7F" w:rsidP="00771058">
            <w:pPr>
              <w:pStyle w:val="TAL"/>
              <w:rPr>
                <w:b/>
                <w:bCs/>
                <w:i/>
                <w:iCs/>
                <w:lang w:eastAsia="sv-SE"/>
              </w:rPr>
            </w:pPr>
            <w:r w:rsidRPr="00FA0D37">
              <w:rPr>
                <w:b/>
                <w:bCs/>
                <w:i/>
                <w:iCs/>
                <w:lang w:eastAsia="sv-SE"/>
              </w:rPr>
              <w:t>sbas-id</w:t>
            </w:r>
          </w:p>
          <w:p w14:paraId="522B9E72" w14:textId="77777777" w:rsidR="00B44B7F" w:rsidRPr="00FA0D37" w:rsidRDefault="00B44B7F" w:rsidP="00771058">
            <w:pPr>
              <w:pStyle w:val="TAL"/>
              <w:rPr>
                <w:b/>
                <w:bCs/>
                <w:i/>
                <w:noProof/>
                <w:lang w:eastAsia="en-GB"/>
              </w:rPr>
            </w:pPr>
            <w:r w:rsidRPr="00FA0D37">
              <w:rPr>
                <w:lang w:eastAsia="sv-SE"/>
              </w:rPr>
              <w:t>The presence of this field indicates that the positioning SIB type is for a specific SBAS. Indicates a specific SBAS (see also TS 37.355 [49]).</w:t>
            </w:r>
          </w:p>
        </w:tc>
      </w:tr>
      <w:tr w:rsidR="005C7FF4" w:rsidRPr="00FA0D37"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FA0D37" w:rsidRDefault="00B44B7F" w:rsidP="000830BB">
            <w:pPr>
              <w:pStyle w:val="TAL"/>
              <w:rPr>
                <w:b/>
                <w:bCs/>
                <w:i/>
                <w:iCs/>
                <w:lang w:eastAsia="sv-SE"/>
              </w:rPr>
            </w:pPr>
            <w:r w:rsidRPr="00FA0D37">
              <w:rPr>
                <w:b/>
                <w:bCs/>
                <w:i/>
                <w:iCs/>
                <w:lang w:eastAsia="sv-SE"/>
              </w:rPr>
              <w:t>si-WindowPosition</w:t>
            </w:r>
          </w:p>
          <w:p w14:paraId="23A2E881" w14:textId="2B783C3E" w:rsidR="00B44B7F" w:rsidRPr="00FA0D37" w:rsidRDefault="00B44B7F" w:rsidP="00771058">
            <w:pPr>
              <w:pStyle w:val="TAL"/>
              <w:rPr>
                <w:b/>
                <w:bCs/>
                <w:i/>
                <w:noProof/>
                <w:lang w:eastAsia="en-GB"/>
              </w:rPr>
            </w:pPr>
            <w:r w:rsidRPr="00FA0D37">
              <w:rPr>
                <w:rFonts w:cs="Arial"/>
                <w:bCs/>
                <w:iCs/>
                <w:szCs w:val="18"/>
                <w:lang w:eastAsia="sv-SE"/>
              </w:rPr>
              <w:t>This field indicates</w:t>
            </w:r>
            <w:r w:rsidRPr="00FA0D37">
              <w:rPr>
                <w:rFonts w:cs="Arial"/>
                <w:szCs w:val="18"/>
                <w:lang w:eastAsia="x-none"/>
              </w:rPr>
              <w:t xml:space="preserve"> the SI </w:t>
            </w:r>
            <w:r w:rsidRPr="00FA0D37">
              <w:rPr>
                <w:rFonts w:cs="Arial"/>
                <w:szCs w:val="18"/>
                <w:lang w:eastAsia="zh-CN"/>
              </w:rPr>
              <w:t>window</w:t>
            </w:r>
            <w:r w:rsidRPr="00FA0D37">
              <w:rPr>
                <w:rFonts w:cs="Arial"/>
                <w:szCs w:val="18"/>
                <w:lang w:eastAsia="x-none"/>
              </w:rPr>
              <w:t xml:space="preserve"> position of the associated SI-message. </w:t>
            </w:r>
            <w:r w:rsidRPr="00FA0D37">
              <w:t xml:space="preserve">The network provides </w:t>
            </w:r>
            <w:r w:rsidRPr="00FA0D37">
              <w:rPr>
                <w:i/>
                <w:iCs/>
              </w:rPr>
              <w:t>si-WindowPosition</w:t>
            </w:r>
            <w:r w:rsidRPr="00FA0D37">
              <w:t xml:space="preserve"> in an ascending order, i.e. </w:t>
            </w:r>
            <w:r w:rsidRPr="00FA0D37">
              <w:rPr>
                <w:i/>
                <w:iCs/>
              </w:rPr>
              <w:t>si-WindowPosition</w:t>
            </w:r>
            <w:r w:rsidRPr="00FA0D37">
              <w:t xml:space="preserve"> in the subsequent entry in </w:t>
            </w:r>
            <w:r w:rsidRPr="00FA0D37">
              <w:rPr>
                <w:i/>
                <w:iCs/>
              </w:rPr>
              <w:t>schedulingInfoList2</w:t>
            </w:r>
            <w:r w:rsidRPr="00FA0D37">
              <w:t xml:space="preserve"> has always value higher than in the previous entry of </w:t>
            </w:r>
            <w:r w:rsidRPr="00FA0D37">
              <w:rPr>
                <w:i/>
                <w:iCs/>
              </w:rPr>
              <w:t>schedulingInfoList2</w:t>
            </w:r>
            <w:r w:rsidRPr="00FA0D37">
              <w:rPr>
                <w:iCs/>
              </w:rPr>
              <w:t>.</w:t>
            </w:r>
            <w:r w:rsidR="005B0782" w:rsidRPr="00FA0D37">
              <w:rPr>
                <w:iCs/>
              </w:rPr>
              <w:t xml:space="preserve"> </w:t>
            </w:r>
            <w:r w:rsidR="005B0782" w:rsidRPr="00FA0D37">
              <w:t xml:space="preserve">The network configures this field in a way that ensures that SI messages scheduled by </w:t>
            </w:r>
            <w:r w:rsidR="005B0782" w:rsidRPr="00FA0D37">
              <w:rPr>
                <w:i/>
              </w:rPr>
              <w:t>schedulingInfoList</w:t>
            </w:r>
            <w:r w:rsidR="005B0782" w:rsidRPr="00FA0D37">
              <w:t xml:space="preserve"> and/or </w:t>
            </w:r>
            <w:r w:rsidR="005B0782" w:rsidRPr="00FA0D37">
              <w:rPr>
                <w:i/>
              </w:rPr>
              <w:t xml:space="preserve">posSchedulingInfoList </w:t>
            </w:r>
            <w:r w:rsidR="005B0782" w:rsidRPr="00FA0D37">
              <w:t xml:space="preserve">do not overlap with SI messages scheduled by </w:t>
            </w:r>
            <w:r w:rsidR="005B0782" w:rsidRPr="00FA0D37">
              <w:rPr>
                <w:i/>
              </w:rPr>
              <w:t>schedulingInfoList2</w:t>
            </w:r>
            <w:r w:rsidR="005B0782" w:rsidRPr="00FA0D37">
              <w:t>.</w:t>
            </w:r>
          </w:p>
        </w:tc>
      </w:tr>
      <w:tr w:rsidR="005C7FF4" w:rsidRPr="00FA0D37"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FA0D37" w:rsidRDefault="00B44B7F" w:rsidP="000830BB">
            <w:pPr>
              <w:pStyle w:val="TAL"/>
              <w:rPr>
                <w:b/>
                <w:bCs/>
                <w:i/>
                <w:iCs/>
                <w:lang w:eastAsia="sv-SE"/>
              </w:rPr>
            </w:pPr>
            <w:r w:rsidRPr="00FA0D37">
              <w:rPr>
                <w:b/>
                <w:bCs/>
                <w:i/>
                <w:iCs/>
                <w:lang w:eastAsia="sv-SE"/>
              </w:rPr>
              <w:t>sib-MappingInfo</w:t>
            </w:r>
          </w:p>
          <w:p w14:paraId="568D9BBF" w14:textId="0F34AB5C" w:rsidR="00B44B7F" w:rsidRPr="00FA0D37" w:rsidRDefault="00B44B7F" w:rsidP="00771058">
            <w:pPr>
              <w:pStyle w:val="TAL"/>
              <w:rPr>
                <w:b/>
                <w:bCs/>
                <w:i/>
                <w:noProof/>
                <w:lang w:eastAsia="en-GB"/>
              </w:rPr>
            </w:pPr>
            <w:r w:rsidRPr="00FA0D37">
              <w:rPr>
                <w:bCs/>
                <w:iCs/>
                <w:szCs w:val="22"/>
                <w:lang w:eastAsia="sv-SE"/>
              </w:rPr>
              <w:t>Indicates which SIBs or posSIBs are contained in the SI message.</w:t>
            </w:r>
          </w:p>
        </w:tc>
      </w:tr>
      <w:tr w:rsidR="00AA64D0" w:rsidRPr="00FA0D37"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FA0D37" w:rsidRDefault="00AA64D0" w:rsidP="00771058">
            <w:pPr>
              <w:pStyle w:val="TAL"/>
              <w:rPr>
                <w:b/>
                <w:bCs/>
                <w:i/>
                <w:noProof/>
                <w:lang w:eastAsia="en-GB"/>
              </w:rPr>
            </w:pPr>
            <w:r w:rsidRPr="00FA0D37">
              <w:rPr>
                <w:b/>
                <w:bCs/>
                <w:i/>
                <w:noProof/>
                <w:lang w:eastAsia="en-GB"/>
              </w:rPr>
              <w:t>sibType</w:t>
            </w:r>
          </w:p>
          <w:p w14:paraId="4DB88679" w14:textId="524C86A9" w:rsidR="00B44B7F" w:rsidRPr="00FA0D37" w:rsidRDefault="00AA64D0" w:rsidP="00771058">
            <w:pPr>
              <w:pStyle w:val="TAL"/>
              <w:rPr>
                <w:bCs/>
                <w:noProof/>
                <w:lang w:eastAsia="en-GB"/>
              </w:rPr>
            </w:pPr>
            <w:r w:rsidRPr="00FA0D37">
              <w:rPr>
                <w:rFonts w:cs="Arial"/>
                <w:szCs w:val="18"/>
                <w:lang w:eastAsia="en-GB"/>
              </w:rPr>
              <w:t>The type of SIB(s) mapped to SI for scheduling using</w:t>
            </w:r>
            <w:r w:rsidRPr="00FA0D37">
              <w:rPr>
                <w:rFonts w:cs="Arial"/>
                <w:b/>
                <w:bCs/>
                <w:szCs w:val="18"/>
                <w:lang w:eastAsia="en-GB"/>
              </w:rPr>
              <w:t xml:space="preserve"> </w:t>
            </w:r>
            <w:r w:rsidRPr="00FA0D37">
              <w:rPr>
                <w:rFonts w:cs="Arial"/>
                <w:i/>
                <w:iCs/>
                <w:szCs w:val="18"/>
              </w:rPr>
              <w:t>schedulingInfoList2</w:t>
            </w:r>
            <w:r w:rsidRPr="00FA0D37">
              <w:rPr>
                <w:rFonts w:cs="Arial"/>
                <w:szCs w:val="18"/>
              </w:rPr>
              <w:t xml:space="preserve">. Value </w:t>
            </w:r>
            <w:r w:rsidRPr="00FA0D37">
              <w:rPr>
                <w:rFonts w:cs="Arial"/>
                <w:i/>
                <w:iCs/>
                <w:szCs w:val="18"/>
              </w:rPr>
              <w:t>type1</w:t>
            </w:r>
            <w:r w:rsidRPr="00FA0D37">
              <w:rPr>
                <w:rFonts w:cs="Arial"/>
                <w:szCs w:val="18"/>
              </w:rPr>
              <w:t xml:space="preserve"> indicates SIBs and value </w:t>
            </w:r>
            <w:r w:rsidRPr="00FA0D37">
              <w:rPr>
                <w:rFonts w:cs="Arial"/>
                <w:i/>
                <w:iCs/>
                <w:szCs w:val="18"/>
              </w:rPr>
              <w:t>type2</w:t>
            </w:r>
            <w:r w:rsidRPr="00FA0D37">
              <w:rPr>
                <w:rFonts w:cs="Arial"/>
                <w:szCs w:val="18"/>
              </w:rPr>
              <w:t xml:space="preserve"> indicates posSIBs.</w:t>
            </w:r>
          </w:p>
        </w:tc>
      </w:tr>
    </w:tbl>
    <w:p w14:paraId="240E32B6" w14:textId="77777777" w:rsidR="00B44B7F" w:rsidRPr="00FA0D37"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5C7FF4" w:rsidRPr="00FA0D37"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FA0D37" w:rsidRDefault="00394471" w:rsidP="00964CC4">
            <w:pPr>
              <w:pStyle w:val="TAH"/>
              <w:rPr>
                <w:lang w:eastAsia="en-GB"/>
              </w:rPr>
            </w:pPr>
            <w:r w:rsidRPr="00FA0D37">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FA0D37" w:rsidRDefault="00394471" w:rsidP="00964CC4">
            <w:pPr>
              <w:pStyle w:val="TAH"/>
              <w:rPr>
                <w:lang w:eastAsia="en-GB"/>
              </w:rPr>
            </w:pPr>
            <w:r w:rsidRPr="00FA0D37">
              <w:rPr>
                <w:lang w:eastAsia="en-GB"/>
              </w:rPr>
              <w:t>Explanation</w:t>
            </w:r>
          </w:p>
        </w:tc>
      </w:tr>
      <w:tr w:rsidR="005C7FF4" w:rsidRPr="00FA0D37"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FA0D37" w:rsidRDefault="00394471" w:rsidP="00964CC4">
            <w:pPr>
              <w:pStyle w:val="TAL"/>
              <w:rPr>
                <w:i/>
                <w:lang w:eastAsia="en-GB"/>
              </w:rPr>
            </w:pPr>
            <w:r w:rsidRPr="00FA0D3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FA0D37" w:rsidRDefault="00394471" w:rsidP="00964CC4">
            <w:pPr>
              <w:pStyle w:val="TAL"/>
              <w:rPr>
                <w:lang w:eastAsia="en-GB"/>
              </w:rPr>
            </w:pPr>
            <w:r w:rsidRPr="00FA0D37">
              <w:rPr>
                <w:lang w:eastAsia="en-GB"/>
              </w:rPr>
              <w:t xml:space="preserve">The field is optionally present, Need R, if </w:t>
            </w:r>
            <w:r w:rsidRPr="00FA0D37">
              <w:rPr>
                <w:i/>
                <w:lang w:eastAsia="en-GB"/>
              </w:rPr>
              <w:t>si-BroadcastStatus</w:t>
            </w:r>
            <w:r w:rsidRPr="00FA0D37">
              <w:rPr>
                <w:lang w:eastAsia="en-GB"/>
              </w:rPr>
              <w:t xml:space="preserve"> is set to </w:t>
            </w:r>
            <w:r w:rsidRPr="00FA0D37">
              <w:rPr>
                <w:i/>
                <w:lang w:eastAsia="sv-SE"/>
              </w:rPr>
              <w:t>notBroadcasting</w:t>
            </w:r>
            <w:r w:rsidRPr="00FA0D37">
              <w:rPr>
                <w:lang w:eastAsia="sv-SE"/>
              </w:rPr>
              <w:t xml:space="preserve"> </w:t>
            </w:r>
            <w:r w:rsidRPr="00FA0D37">
              <w:rPr>
                <w:lang w:eastAsia="en-GB"/>
              </w:rPr>
              <w:t xml:space="preserve">for any SI-message included in </w:t>
            </w:r>
            <w:r w:rsidR="007B252F" w:rsidRPr="00FA0D37">
              <w:rPr>
                <w:i/>
                <w:iCs/>
              </w:rPr>
              <w:t>schedulingInfoList</w:t>
            </w:r>
            <w:r w:rsidR="007B252F" w:rsidRPr="00FA0D37">
              <w:rPr>
                <w:rFonts w:eastAsia="宋体"/>
                <w:i/>
                <w:iCs/>
                <w:lang w:eastAsia="zh-CN"/>
              </w:rPr>
              <w:t xml:space="preserve"> </w:t>
            </w:r>
            <w:r w:rsidR="007B252F" w:rsidRPr="00FA0D37">
              <w:rPr>
                <w:rFonts w:eastAsia="宋体"/>
                <w:iCs/>
                <w:lang w:eastAsia="zh-CN"/>
              </w:rPr>
              <w:t>or</w:t>
            </w:r>
            <w:r w:rsidR="007B252F" w:rsidRPr="00FA0D37">
              <w:rPr>
                <w:i/>
                <w:lang w:eastAsia="zh-CN"/>
              </w:rPr>
              <w:t xml:space="preserve"> </w:t>
            </w:r>
            <w:r w:rsidR="007B252F" w:rsidRPr="00FA0D37">
              <w:rPr>
                <w:iCs/>
                <w:lang w:eastAsia="zh-CN"/>
              </w:rPr>
              <w:t>any</w:t>
            </w:r>
            <w:r w:rsidR="007B252F" w:rsidRPr="00FA0D37">
              <w:rPr>
                <w:i/>
                <w:lang w:eastAsia="zh-CN"/>
              </w:rPr>
              <w:t xml:space="preserve"> </w:t>
            </w:r>
            <w:r w:rsidR="007B252F" w:rsidRPr="00FA0D37">
              <w:rPr>
                <w:rFonts w:cs="Arial"/>
                <w:szCs w:val="18"/>
              </w:rPr>
              <w:t>SI</w:t>
            </w:r>
            <w:r w:rsidR="007B252F" w:rsidRPr="00FA0D37">
              <w:rPr>
                <w:rFonts w:eastAsia="宋体" w:cs="Arial"/>
                <w:szCs w:val="18"/>
                <w:lang w:eastAsia="zh-CN"/>
              </w:rPr>
              <w:t>-</w:t>
            </w:r>
            <w:r w:rsidR="007B252F" w:rsidRPr="00FA0D37">
              <w:rPr>
                <w:rFonts w:cs="Arial"/>
                <w:szCs w:val="18"/>
              </w:rPr>
              <w:t>message containing type</w:t>
            </w:r>
            <w:r w:rsidR="007B252F" w:rsidRPr="00FA0D37">
              <w:rPr>
                <w:rFonts w:eastAsia="宋体" w:cs="Arial"/>
                <w:szCs w:val="18"/>
                <w:lang w:eastAsia="zh-CN"/>
              </w:rPr>
              <w:t>1</w:t>
            </w:r>
            <w:r w:rsidR="007B252F" w:rsidRPr="00FA0D37">
              <w:rPr>
                <w:rFonts w:cs="Arial"/>
                <w:szCs w:val="18"/>
              </w:rPr>
              <w:t xml:space="preserve"> SIB </w:t>
            </w:r>
            <w:r w:rsidR="007B252F" w:rsidRPr="00FA0D37">
              <w:rPr>
                <w:lang w:eastAsia="en-GB"/>
              </w:rPr>
              <w:t>included in</w:t>
            </w:r>
            <w:r w:rsidR="007B252F" w:rsidRPr="00FA0D37">
              <w:rPr>
                <w:rFonts w:eastAsia="宋体" w:cs="Arial"/>
                <w:szCs w:val="18"/>
                <w:lang w:eastAsia="zh-CN"/>
              </w:rPr>
              <w:t xml:space="preserve"> </w:t>
            </w:r>
            <w:r w:rsidR="007B252F" w:rsidRPr="00FA0D37">
              <w:rPr>
                <w:i/>
                <w:iCs/>
              </w:rPr>
              <w:t>schedulingInfoList2</w:t>
            </w:r>
            <w:r w:rsidRPr="00FA0D37">
              <w:rPr>
                <w:lang w:eastAsia="en-GB"/>
              </w:rPr>
              <w:t>. It is absent otherwise.</w:t>
            </w:r>
          </w:p>
        </w:tc>
      </w:tr>
      <w:tr w:rsidR="005C7FF4" w:rsidRPr="00FA0D37"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FA0D37" w:rsidRDefault="00394471" w:rsidP="00964CC4">
            <w:pPr>
              <w:pStyle w:val="TAL"/>
              <w:rPr>
                <w:i/>
                <w:lang w:eastAsia="en-GB"/>
              </w:rPr>
            </w:pPr>
            <w:r w:rsidRPr="00FA0D37">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FA0D37" w:rsidRDefault="00394471" w:rsidP="00964CC4">
            <w:pPr>
              <w:pStyle w:val="TAL"/>
              <w:rPr>
                <w:lang w:eastAsia="en-GB"/>
              </w:rPr>
            </w:pPr>
            <w:r w:rsidRPr="00FA0D37">
              <w:rPr>
                <w:lang w:eastAsia="en-GB"/>
              </w:rPr>
              <w:t xml:space="preserve">The field is mandatory present if the SIB type is different from </w:t>
            </w:r>
            <w:r w:rsidRPr="00FA0D37">
              <w:rPr>
                <w:i/>
                <w:lang w:eastAsia="en-GB"/>
              </w:rPr>
              <w:t>SIB6</w:t>
            </w:r>
            <w:r w:rsidRPr="00FA0D37">
              <w:rPr>
                <w:lang w:eastAsia="en-GB"/>
              </w:rPr>
              <w:t xml:space="preserve">, </w:t>
            </w:r>
            <w:r w:rsidRPr="00FA0D37">
              <w:rPr>
                <w:i/>
                <w:lang w:eastAsia="en-GB"/>
              </w:rPr>
              <w:t>SIB7</w:t>
            </w:r>
            <w:r w:rsidRPr="00FA0D37">
              <w:rPr>
                <w:lang w:eastAsia="en-GB"/>
              </w:rPr>
              <w:t xml:space="preserve"> or </w:t>
            </w:r>
            <w:r w:rsidRPr="00FA0D37">
              <w:rPr>
                <w:i/>
                <w:lang w:eastAsia="en-GB"/>
              </w:rPr>
              <w:t>SIB8</w:t>
            </w:r>
            <w:r w:rsidRPr="00FA0D37">
              <w:rPr>
                <w:lang w:eastAsia="en-GB"/>
              </w:rPr>
              <w:t xml:space="preserve">. For </w:t>
            </w:r>
            <w:r w:rsidRPr="00FA0D37">
              <w:rPr>
                <w:i/>
                <w:lang w:eastAsia="en-GB"/>
              </w:rPr>
              <w:t>SIB6</w:t>
            </w:r>
            <w:r w:rsidRPr="00FA0D37">
              <w:rPr>
                <w:lang w:eastAsia="en-GB"/>
              </w:rPr>
              <w:t xml:space="preserve">, </w:t>
            </w:r>
            <w:r w:rsidRPr="00FA0D37">
              <w:rPr>
                <w:i/>
                <w:lang w:eastAsia="en-GB"/>
              </w:rPr>
              <w:t>SIB7</w:t>
            </w:r>
            <w:r w:rsidRPr="00FA0D37">
              <w:rPr>
                <w:lang w:eastAsia="en-GB"/>
              </w:rPr>
              <w:t xml:space="preserve"> and </w:t>
            </w:r>
            <w:r w:rsidRPr="00FA0D37">
              <w:rPr>
                <w:i/>
                <w:lang w:eastAsia="en-GB"/>
              </w:rPr>
              <w:t>SIB8</w:t>
            </w:r>
            <w:r w:rsidRPr="00FA0D37">
              <w:rPr>
                <w:lang w:eastAsia="en-GB"/>
              </w:rPr>
              <w:t xml:space="preserve"> it is absent.</w:t>
            </w:r>
          </w:p>
        </w:tc>
      </w:tr>
      <w:tr w:rsidR="005C7FF4" w:rsidRPr="00FA0D37"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FA0D37" w:rsidRDefault="005B0782" w:rsidP="000830BB">
            <w:pPr>
              <w:pStyle w:val="TAL"/>
              <w:rPr>
                <w:i/>
                <w:iCs/>
                <w:lang w:eastAsia="en-GB"/>
              </w:rPr>
            </w:pPr>
            <w:r w:rsidRPr="00FA0D37">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FA0D37" w:rsidRDefault="00B44B7F" w:rsidP="000830BB">
            <w:pPr>
              <w:pStyle w:val="TAL"/>
              <w:rPr>
                <w:lang w:eastAsia="en-GB"/>
              </w:rPr>
            </w:pPr>
            <w:r w:rsidRPr="00FA0D37">
              <w:rPr>
                <w:lang w:eastAsia="en-GB"/>
              </w:rPr>
              <w:t xml:space="preserve">The field is mandatory present if the SIB type is </w:t>
            </w:r>
            <w:r w:rsidRPr="00FA0D37">
              <w:rPr>
                <w:i/>
                <w:iCs/>
                <w:lang w:eastAsia="en-GB"/>
              </w:rPr>
              <w:t>type1</w:t>
            </w:r>
            <w:r w:rsidRPr="00FA0D37">
              <w:rPr>
                <w:lang w:eastAsia="en-GB"/>
              </w:rPr>
              <w:t xml:space="preserve">. For </w:t>
            </w:r>
            <w:r w:rsidRPr="00FA0D37">
              <w:rPr>
                <w:rFonts w:eastAsia="Batang" w:cs="Arial"/>
                <w:i/>
                <w:iCs/>
                <w:noProof/>
                <w:lang w:eastAsia="sv-SE"/>
              </w:rPr>
              <w:t>type2</w:t>
            </w:r>
            <w:r w:rsidRPr="00FA0D37">
              <w:rPr>
                <w:lang w:eastAsia="en-GB"/>
              </w:rPr>
              <w:t xml:space="preserve"> it is absent.</w:t>
            </w:r>
          </w:p>
        </w:tc>
      </w:tr>
      <w:tr w:rsidR="005C7FF4" w:rsidRPr="00FA0D37"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FA0D37" w:rsidRDefault="00394471" w:rsidP="00964CC4">
            <w:pPr>
              <w:pStyle w:val="TAL"/>
              <w:rPr>
                <w:i/>
                <w:lang w:eastAsia="en-GB"/>
              </w:rPr>
            </w:pPr>
            <w:r w:rsidRPr="00FA0D3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FA0D37" w:rsidRDefault="00394471" w:rsidP="00964CC4">
            <w:pPr>
              <w:pStyle w:val="TAL"/>
              <w:rPr>
                <w:lang w:eastAsia="en-GB"/>
              </w:rPr>
            </w:pPr>
            <w:r w:rsidRPr="00FA0D37">
              <w:rPr>
                <w:lang w:eastAsia="en-GB"/>
              </w:rPr>
              <w:t xml:space="preserve">The field is optionally present, Need R, if </w:t>
            </w:r>
            <w:r w:rsidRPr="00FA0D37">
              <w:rPr>
                <w:i/>
                <w:iCs/>
                <w:lang w:eastAsia="en-GB"/>
              </w:rPr>
              <w:t>supplementaryUplink</w:t>
            </w:r>
            <w:r w:rsidRPr="00FA0D37">
              <w:rPr>
                <w:lang w:eastAsia="en-GB"/>
              </w:rPr>
              <w:t xml:space="preserve"> is configured in </w:t>
            </w:r>
            <w:r w:rsidRPr="00FA0D37">
              <w:rPr>
                <w:i/>
                <w:iCs/>
                <w:lang w:eastAsia="en-GB"/>
              </w:rPr>
              <w:t>ServingCellConfigCommonSIB</w:t>
            </w:r>
            <w:r w:rsidRPr="00FA0D37">
              <w:rPr>
                <w:lang w:eastAsia="en-GB"/>
              </w:rPr>
              <w:t xml:space="preserve"> and if </w:t>
            </w:r>
            <w:r w:rsidRPr="00FA0D37">
              <w:rPr>
                <w:i/>
                <w:lang w:eastAsia="en-GB"/>
              </w:rPr>
              <w:t>si-BroadcastStatus</w:t>
            </w:r>
            <w:r w:rsidRPr="00FA0D37">
              <w:rPr>
                <w:lang w:eastAsia="en-GB"/>
              </w:rPr>
              <w:t xml:space="preserve"> is set to </w:t>
            </w:r>
            <w:r w:rsidRPr="00FA0D37">
              <w:rPr>
                <w:i/>
                <w:lang w:eastAsia="sv-SE"/>
              </w:rPr>
              <w:t>notBroadcasting</w:t>
            </w:r>
            <w:r w:rsidRPr="00FA0D37">
              <w:rPr>
                <w:lang w:eastAsia="en-GB"/>
              </w:rPr>
              <w:t xml:space="preserve"> for any SI-message included in </w:t>
            </w:r>
            <w:r w:rsidR="007B252F" w:rsidRPr="00FA0D37">
              <w:rPr>
                <w:i/>
                <w:iCs/>
              </w:rPr>
              <w:t>schedulingInfoList</w:t>
            </w:r>
            <w:r w:rsidR="007B252F" w:rsidRPr="00FA0D37">
              <w:rPr>
                <w:rFonts w:eastAsia="宋体"/>
                <w:i/>
                <w:iCs/>
                <w:lang w:eastAsia="zh-CN"/>
              </w:rPr>
              <w:t xml:space="preserve"> </w:t>
            </w:r>
            <w:r w:rsidR="007B252F" w:rsidRPr="00FA0D37">
              <w:rPr>
                <w:rFonts w:eastAsia="宋体"/>
                <w:iCs/>
                <w:lang w:eastAsia="zh-CN"/>
              </w:rPr>
              <w:t>or</w:t>
            </w:r>
            <w:r w:rsidR="007B252F" w:rsidRPr="00FA0D37">
              <w:rPr>
                <w:i/>
                <w:lang w:eastAsia="zh-CN"/>
              </w:rPr>
              <w:t xml:space="preserve"> </w:t>
            </w:r>
            <w:r w:rsidR="007B252F" w:rsidRPr="00FA0D37">
              <w:rPr>
                <w:iCs/>
                <w:lang w:eastAsia="zh-CN"/>
              </w:rPr>
              <w:t>any</w:t>
            </w:r>
            <w:r w:rsidR="007B252F" w:rsidRPr="00FA0D37">
              <w:rPr>
                <w:i/>
                <w:lang w:eastAsia="zh-CN"/>
              </w:rPr>
              <w:t xml:space="preserve"> </w:t>
            </w:r>
            <w:r w:rsidR="007B252F" w:rsidRPr="00FA0D37">
              <w:rPr>
                <w:rFonts w:cs="Arial"/>
                <w:szCs w:val="18"/>
              </w:rPr>
              <w:t>SI</w:t>
            </w:r>
            <w:r w:rsidR="007B252F" w:rsidRPr="00FA0D37">
              <w:rPr>
                <w:rFonts w:eastAsia="宋体" w:cs="Arial"/>
                <w:szCs w:val="18"/>
                <w:lang w:eastAsia="zh-CN"/>
              </w:rPr>
              <w:t>-</w:t>
            </w:r>
            <w:r w:rsidR="007B252F" w:rsidRPr="00FA0D37">
              <w:rPr>
                <w:rFonts w:cs="Arial"/>
                <w:szCs w:val="18"/>
              </w:rPr>
              <w:t>message containing type</w:t>
            </w:r>
            <w:r w:rsidR="007B252F" w:rsidRPr="00FA0D37">
              <w:rPr>
                <w:rFonts w:eastAsia="宋体" w:cs="Arial"/>
                <w:szCs w:val="18"/>
                <w:lang w:eastAsia="zh-CN"/>
              </w:rPr>
              <w:t>1</w:t>
            </w:r>
            <w:r w:rsidR="007B252F" w:rsidRPr="00FA0D37">
              <w:rPr>
                <w:rFonts w:cs="Arial"/>
                <w:szCs w:val="18"/>
              </w:rPr>
              <w:t xml:space="preserve"> SIB </w:t>
            </w:r>
            <w:r w:rsidR="007B252F" w:rsidRPr="00FA0D37">
              <w:rPr>
                <w:lang w:eastAsia="en-GB"/>
              </w:rPr>
              <w:t>included in</w:t>
            </w:r>
            <w:r w:rsidR="007B252F" w:rsidRPr="00FA0D37">
              <w:rPr>
                <w:rFonts w:eastAsia="宋体" w:cs="Arial"/>
                <w:szCs w:val="18"/>
                <w:lang w:eastAsia="zh-CN"/>
              </w:rPr>
              <w:t xml:space="preserve"> </w:t>
            </w:r>
            <w:r w:rsidR="007B252F" w:rsidRPr="00FA0D37">
              <w:rPr>
                <w:i/>
                <w:iCs/>
              </w:rPr>
              <w:t>schedulingInfoList2</w:t>
            </w:r>
            <w:r w:rsidRPr="00FA0D37">
              <w:rPr>
                <w:lang w:eastAsia="en-GB"/>
              </w:rPr>
              <w:t>. It is absent otherwise.</w:t>
            </w:r>
          </w:p>
        </w:tc>
      </w:tr>
      <w:tr w:rsidR="00F747EB" w:rsidRPr="00FA0D37"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FA0D37" w:rsidRDefault="003F4345" w:rsidP="0071565C">
            <w:pPr>
              <w:pStyle w:val="TAL"/>
              <w:rPr>
                <w:i/>
                <w:lang w:eastAsia="en-GB"/>
              </w:rPr>
            </w:pPr>
            <w:r w:rsidRPr="00FA0D37">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FA0D37" w:rsidRDefault="003F4345" w:rsidP="0071565C">
            <w:pPr>
              <w:pStyle w:val="TAL"/>
              <w:rPr>
                <w:lang w:eastAsia="en-GB"/>
              </w:rPr>
            </w:pPr>
            <w:r w:rsidRPr="00FA0D37">
              <w:rPr>
                <w:lang w:eastAsia="en-GB"/>
              </w:rPr>
              <w:t xml:space="preserve">The field is optionally present, Need R, if </w:t>
            </w:r>
            <w:r w:rsidRPr="00FA0D37">
              <w:rPr>
                <w:i/>
                <w:iCs/>
                <w:lang w:eastAsia="en-GB"/>
              </w:rPr>
              <w:t>initialUplinkBWP-RedCap</w:t>
            </w:r>
            <w:r w:rsidRPr="00FA0D37">
              <w:rPr>
                <w:lang w:eastAsia="en-GB"/>
              </w:rPr>
              <w:t xml:space="preserve"> is configured in </w:t>
            </w:r>
            <w:r w:rsidRPr="00FA0D37">
              <w:rPr>
                <w:i/>
                <w:iCs/>
                <w:lang w:eastAsia="en-GB"/>
              </w:rPr>
              <w:t>UplinkConfigCommonSIB</w:t>
            </w:r>
            <w:r w:rsidRPr="00FA0D37">
              <w:rPr>
                <w:lang w:eastAsia="en-GB"/>
              </w:rPr>
              <w:t xml:space="preserve"> and if </w:t>
            </w:r>
            <w:r w:rsidRPr="00FA0D37">
              <w:rPr>
                <w:i/>
                <w:iCs/>
                <w:lang w:eastAsia="en-GB"/>
              </w:rPr>
              <w:t>si-BroadcastStatus</w:t>
            </w:r>
            <w:r w:rsidRPr="00FA0D37">
              <w:rPr>
                <w:lang w:eastAsia="en-GB"/>
              </w:rPr>
              <w:t xml:space="preserve"> is set to </w:t>
            </w:r>
            <w:r w:rsidRPr="00FA0D37">
              <w:rPr>
                <w:i/>
                <w:iCs/>
                <w:lang w:eastAsia="en-GB"/>
              </w:rPr>
              <w:t>notBroadcasting</w:t>
            </w:r>
            <w:r w:rsidRPr="00FA0D37">
              <w:rPr>
                <w:lang w:eastAsia="en-GB"/>
              </w:rPr>
              <w:t xml:space="preserve"> for any SI-message included in </w:t>
            </w:r>
            <w:r w:rsidR="007B252F" w:rsidRPr="00FA0D37">
              <w:rPr>
                <w:i/>
                <w:iCs/>
              </w:rPr>
              <w:t>schedulingInfoList</w:t>
            </w:r>
            <w:r w:rsidR="007B252F" w:rsidRPr="00FA0D37">
              <w:rPr>
                <w:rFonts w:eastAsia="宋体"/>
                <w:i/>
                <w:iCs/>
                <w:lang w:eastAsia="zh-CN"/>
              </w:rPr>
              <w:t xml:space="preserve"> </w:t>
            </w:r>
            <w:r w:rsidR="007B252F" w:rsidRPr="00FA0D37">
              <w:rPr>
                <w:rFonts w:eastAsia="宋体"/>
                <w:iCs/>
                <w:lang w:eastAsia="zh-CN"/>
              </w:rPr>
              <w:t>or</w:t>
            </w:r>
            <w:r w:rsidR="007B252F" w:rsidRPr="00FA0D37">
              <w:rPr>
                <w:i/>
                <w:lang w:eastAsia="zh-CN"/>
              </w:rPr>
              <w:t xml:space="preserve"> </w:t>
            </w:r>
            <w:r w:rsidR="007B252F" w:rsidRPr="00FA0D37">
              <w:rPr>
                <w:iCs/>
                <w:lang w:eastAsia="zh-CN"/>
              </w:rPr>
              <w:t>any</w:t>
            </w:r>
            <w:r w:rsidR="007B252F" w:rsidRPr="00FA0D37">
              <w:rPr>
                <w:i/>
                <w:lang w:eastAsia="zh-CN"/>
              </w:rPr>
              <w:t xml:space="preserve"> </w:t>
            </w:r>
            <w:r w:rsidR="007B252F" w:rsidRPr="00FA0D37">
              <w:rPr>
                <w:rFonts w:cs="Arial"/>
                <w:szCs w:val="18"/>
              </w:rPr>
              <w:t>SI</w:t>
            </w:r>
            <w:r w:rsidR="007B252F" w:rsidRPr="00FA0D37">
              <w:rPr>
                <w:rFonts w:eastAsia="宋体" w:cs="Arial"/>
                <w:szCs w:val="18"/>
                <w:lang w:eastAsia="zh-CN"/>
              </w:rPr>
              <w:t>-</w:t>
            </w:r>
            <w:r w:rsidR="007B252F" w:rsidRPr="00FA0D37">
              <w:rPr>
                <w:rFonts w:cs="Arial"/>
                <w:szCs w:val="18"/>
              </w:rPr>
              <w:t>message containing type</w:t>
            </w:r>
            <w:r w:rsidR="007B252F" w:rsidRPr="00FA0D37">
              <w:rPr>
                <w:rFonts w:eastAsia="宋体" w:cs="Arial"/>
                <w:szCs w:val="18"/>
                <w:lang w:eastAsia="zh-CN"/>
              </w:rPr>
              <w:t>1</w:t>
            </w:r>
            <w:r w:rsidR="007B252F" w:rsidRPr="00FA0D37">
              <w:rPr>
                <w:rFonts w:cs="Arial"/>
                <w:szCs w:val="18"/>
              </w:rPr>
              <w:t xml:space="preserve"> SIB </w:t>
            </w:r>
            <w:r w:rsidR="007B252F" w:rsidRPr="00FA0D37">
              <w:rPr>
                <w:lang w:eastAsia="en-GB"/>
              </w:rPr>
              <w:t>included in</w:t>
            </w:r>
            <w:r w:rsidR="007B252F" w:rsidRPr="00FA0D37">
              <w:rPr>
                <w:rFonts w:eastAsia="宋体" w:cs="Arial"/>
                <w:szCs w:val="18"/>
                <w:lang w:eastAsia="zh-CN"/>
              </w:rPr>
              <w:t xml:space="preserve"> </w:t>
            </w:r>
            <w:r w:rsidR="007B252F" w:rsidRPr="00FA0D37">
              <w:rPr>
                <w:i/>
                <w:iCs/>
              </w:rPr>
              <w:t>schedulingInfoList2</w:t>
            </w:r>
            <w:r w:rsidRPr="00FA0D37">
              <w:rPr>
                <w:lang w:eastAsia="en-GB"/>
              </w:rPr>
              <w:t>. It is absent otherwise.</w:t>
            </w:r>
          </w:p>
        </w:tc>
      </w:tr>
    </w:tbl>
    <w:p w14:paraId="6F4A567F" w14:textId="77777777" w:rsidR="00394471" w:rsidRPr="00FA0D37" w:rsidRDefault="00394471" w:rsidP="00394471"/>
    <w:p w14:paraId="11E5345C" w14:textId="77777777" w:rsidR="00394471" w:rsidRPr="00FA0D37" w:rsidRDefault="00394471" w:rsidP="00394471">
      <w:pPr>
        <w:pStyle w:val="4"/>
        <w:rPr>
          <w:rFonts w:eastAsia="宋体"/>
          <w:i/>
          <w:iCs/>
        </w:rPr>
      </w:pPr>
      <w:bookmarkStart w:id="1403" w:name="_Toc60777387"/>
      <w:bookmarkStart w:id="1404" w:name="_Toc146781473"/>
      <w:r w:rsidRPr="00FA0D37">
        <w:rPr>
          <w:rFonts w:eastAsia="宋体"/>
          <w:i/>
          <w:iCs/>
        </w:rPr>
        <w:t>–</w:t>
      </w:r>
      <w:r w:rsidRPr="00FA0D37">
        <w:rPr>
          <w:rFonts w:eastAsia="宋体"/>
          <w:i/>
          <w:iCs/>
        </w:rPr>
        <w:tab/>
      </w:r>
      <w:r w:rsidRPr="00FA0D37">
        <w:rPr>
          <w:i/>
          <w:iCs/>
        </w:rPr>
        <w:t>SK-Counter</w:t>
      </w:r>
      <w:bookmarkEnd w:id="1403"/>
      <w:bookmarkEnd w:id="1404"/>
    </w:p>
    <w:p w14:paraId="21166865" w14:textId="77777777" w:rsidR="00394471" w:rsidRPr="00FA0D37" w:rsidRDefault="00394471" w:rsidP="00394471">
      <w:pPr>
        <w:rPr>
          <w:rFonts w:eastAsia="宋体"/>
        </w:rPr>
      </w:pPr>
      <w:r w:rsidRPr="00FA0D37">
        <w:rPr>
          <w:rFonts w:eastAsia="宋体"/>
        </w:rPr>
        <w:t xml:space="preserve">The IE </w:t>
      </w:r>
      <w:r w:rsidRPr="00FA0D37">
        <w:rPr>
          <w:rFonts w:eastAsia="宋体"/>
          <w:i/>
        </w:rPr>
        <w:t xml:space="preserve">SK-Counter </w:t>
      </w:r>
      <w:r w:rsidRPr="00FA0D37">
        <w:rPr>
          <w:rFonts w:eastAsia="宋体"/>
        </w:rPr>
        <w:t xml:space="preserve">is a counter used </w:t>
      </w:r>
      <w:r w:rsidRPr="00FA0D37">
        <w:rPr>
          <w:szCs w:val="22"/>
        </w:rPr>
        <w:t xml:space="preserve">upon initial configuration of SN security for NR-DC and NE-DC, as well as </w:t>
      </w:r>
      <w:r w:rsidRPr="00FA0D37">
        <w:rPr>
          <w:rFonts w:eastAsia="宋体"/>
        </w:rPr>
        <w:t>upon refresh of S-K</w:t>
      </w:r>
      <w:r w:rsidRPr="00FA0D37">
        <w:rPr>
          <w:rStyle w:val="NOChar"/>
          <w:rFonts w:eastAsia="宋体"/>
          <w:vertAlign w:val="subscript"/>
        </w:rPr>
        <w:t>gNB</w:t>
      </w:r>
      <w:r w:rsidRPr="00FA0D37">
        <w:rPr>
          <w:rFonts w:eastAsia="宋体"/>
        </w:rPr>
        <w:t xml:space="preserve"> or S-K</w:t>
      </w:r>
      <w:r w:rsidRPr="00FA0D37">
        <w:rPr>
          <w:rStyle w:val="NOChar"/>
          <w:rFonts w:eastAsia="宋体"/>
          <w:vertAlign w:val="subscript"/>
        </w:rPr>
        <w:t>eNB</w:t>
      </w:r>
      <w:r w:rsidRPr="00FA0D37">
        <w:rPr>
          <w:rFonts w:eastAsia="宋体"/>
        </w:rPr>
        <w:t xml:space="preserve"> based on the current or newly derived K</w:t>
      </w:r>
      <w:r w:rsidRPr="00FA0D37">
        <w:rPr>
          <w:rFonts w:eastAsia="宋体"/>
          <w:vertAlign w:val="subscript"/>
        </w:rPr>
        <w:t>gNB</w:t>
      </w:r>
      <w:r w:rsidRPr="00FA0D37">
        <w:rPr>
          <w:rFonts w:eastAsia="宋体"/>
        </w:rPr>
        <w:t xml:space="preserve"> during RRC Resume or RRC Reconfiguration, </w:t>
      </w:r>
      <w:r w:rsidRPr="00FA0D37">
        <w:t>as defined in TS 33.501 [11]</w:t>
      </w:r>
      <w:r w:rsidRPr="00FA0D37">
        <w:rPr>
          <w:rFonts w:eastAsia="宋体"/>
        </w:rPr>
        <w:t>.</w:t>
      </w:r>
    </w:p>
    <w:p w14:paraId="73AF9C4B" w14:textId="77777777" w:rsidR="00394471" w:rsidRPr="00FA0D37" w:rsidRDefault="00394471" w:rsidP="00FA0D37">
      <w:pPr>
        <w:pStyle w:val="PL"/>
        <w:rPr>
          <w:color w:val="808080"/>
        </w:rPr>
      </w:pPr>
      <w:r w:rsidRPr="00FA0D37">
        <w:rPr>
          <w:color w:val="808080"/>
        </w:rPr>
        <w:t>-- ASN1START</w:t>
      </w:r>
    </w:p>
    <w:p w14:paraId="330BCC87" w14:textId="77777777" w:rsidR="00394471" w:rsidRPr="00FA0D37" w:rsidRDefault="00394471" w:rsidP="00FA0D37">
      <w:pPr>
        <w:pStyle w:val="PL"/>
        <w:rPr>
          <w:color w:val="808080"/>
        </w:rPr>
      </w:pPr>
      <w:r w:rsidRPr="00FA0D37">
        <w:rPr>
          <w:color w:val="808080"/>
        </w:rPr>
        <w:t>-- TAG-SKCOUNTER-START</w:t>
      </w:r>
    </w:p>
    <w:p w14:paraId="66B22471" w14:textId="77777777" w:rsidR="00394471" w:rsidRPr="00FA0D37" w:rsidRDefault="00394471" w:rsidP="00FA0D37">
      <w:pPr>
        <w:pStyle w:val="PL"/>
      </w:pPr>
    </w:p>
    <w:p w14:paraId="5B2CF53D" w14:textId="77777777" w:rsidR="00394471" w:rsidRPr="00FA0D37" w:rsidRDefault="00394471" w:rsidP="00FA0D37">
      <w:pPr>
        <w:pStyle w:val="PL"/>
      </w:pPr>
      <w:r w:rsidRPr="00FA0D37">
        <w:t xml:space="preserve">SK-Counter ::=  </w:t>
      </w:r>
      <w:r w:rsidRPr="00FA0D37">
        <w:rPr>
          <w:color w:val="993366"/>
        </w:rPr>
        <w:t>INTEGER</w:t>
      </w:r>
      <w:r w:rsidRPr="00FA0D37">
        <w:t xml:space="preserve"> (0..65535)</w:t>
      </w:r>
    </w:p>
    <w:p w14:paraId="66C91E78" w14:textId="77777777" w:rsidR="00394471" w:rsidRPr="00FA0D37" w:rsidRDefault="00394471" w:rsidP="00FA0D37">
      <w:pPr>
        <w:pStyle w:val="PL"/>
      </w:pPr>
    </w:p>
    <w:p w14:paraId="4CA2BE5B" w14:textId="77777777" w:rsidR="00394471" w:rsidRPr="00FA0D37" w:rsidRDefault="00394471" w:rsidP="00FA0D37">
      <w:pPr>
        <w:pStyle w:val="PL"/>
        <w:rPr>
          <w:color w:val="808080"/>
        </w:rPr>
      </w:pPr>
      <w:r w:rsidRPr="00FA0D37">
        <w:rPr>
          <w:color w:val="808080"/>
        </w:rPr>
        <w:t>-- TAG-SKCOUNTER-STOP</w:t>
      </w:r>
    </w:p>
    <w:p w14:paraId="1A6D7DF4" w14:textId="77777777" w:rsidR="00394471" w:rsidRPr="00FA0D37" w:rsidRDefault="00394471" w:rsidP="00FA0D37">
      <w:pPr>
        <w:pStyle w:val="PL"/>
        <w:rPr>
          <w:rFonts w:eastAsia="宋体"/>
          <w:color w:val="808080"/>
        </w:rPr>
      </w:pPr>
      <w:r w:rsidRPr="00FA0D37">
        <w:rPr>
          <w:color w:val="808080"/>
        </w:rPr>
        <w:t>-- ASN1STOP</w:t>
      </w:r>
    </w:p>
    <w:p w14:paraId="7585CBC2" w14:textId="77777777" w:rsidR="00394471" w:rsidRPr="00FA0D37" w:rsidRDefault="00394471" w:rsidP="00394471"/>
    <w:p w14:paraId="28E6D4AE" w14:textId="77777777" w:rsidR="00394471" w:rsidRPr="00FA0D37" w:rsidRDefault="00394471" w:rsidP="00394471">
      <w:pPr>
        <w:pStyle w:val="4"/>
      </w:pPr>
      <w:bookmarkStart w:id="1405" w:name="_Toc60777388"/>
      <w:bookmarkStart w:id="1406" w:name="_Toc146781474"/>
      <w:r w:rsidRPr="00FA0D37">
        <w:t>–</w:t>
      </w:r>
      <w:r w:rsidRPr="00FA0D37">
        <w:tab/>
      </w:r>
      <w:r w:rsidRPr="00FA0D37">
        <w:rPr>
          <w:i/>
        </w:rPr>
        <w:t>SlotFormatCombinationsPerCell</w:t>
      </w:r>
      <w:bookmarkEnd w:id="1405"/>
      <w:bookmarkEnd w:id="1406"/>
    </w:p>
    <w:p w14:paraId="3A79CCC9" w14:textId="77777777" w:rsidR="00394471" w:rsidRPr="00FA0D37" w:rsidRDefault="00394471" w:rsidP="00394471">
      <w:r w:rsidRPr="00FA0D37">
        <w:t xml:space="preserve">The IE </w:t>
      </w:r>
      <w:r w:rsidRPr="00FA0D37">
        <w:rPr>
          <w:i/>
        </w:rPr>
        <w:t>SlotFormatCombinationsPerCell</w:t>
      </w:r>
      <w:r w:rsidRPr="00FA0D37">
        <w:t xml:space="preserve"> is used to configure the SlotFormatCombinations applicable for one serving cell (see TS 38.213 [13], clause 11.1.1).</w:t>
      </w:r>
    </w:p>
    <w:p w14:paraId="6DB20FFC" w14:textId="77777777" w:rsidR="00394471" w:rsidRPr="00FA0D37" w:rsidRDefault="00394471" w:rsidP="00394471">
      <w:pPr>
        <w:pStyle w:val="TH"/>
      </w:pPr>
      <w:r w:rsidRPr="00FA0D37">
        <w:rPr>
          <w:i/>
        </w:rPr>
        <w:t>SlotFormatCombinationsPerCell</w:t>
      </w:r>
      <w:r w:rsidRPr="00FA0D37">
        <w:t xml:space="preserve"> information element</w:t>
      </w:r>
    </w:p>
    <w:p w14:paraId="631C3600" w14:textId="77777777" w:rsidR="00394471" w:rsidRPr="00FA0D37" w:rsidRDefault="00394471" w:rsidP="00FA0D37">
      <w:pPr>
        <w:pStyle w:val="PL"/>
        <w:rPr>
          <w:color w:val="808080"/>
        </w:rPr>
      </w:pPr>
      <w:r w:rsidRPr="00FA0D37">
        <w:rPr>
          <w:color w:val="808080"/>
        </w:rPr>
        <w:t>-- ASN1START</w:t>
      </w:r>
    </w:p>
    <w:p w14:paraId="4C5076CA" w14:textId="77777777" w:rsidR="00394471" w:rsidRPr="00FA0D37" w:rsidRDefault="00394471" w:rsidP="00FA0D37">
      <w:pPr>
        <w:pStyle w:val="PL"/>
        <w:rPr>
          <w:color w:val="808080"/>
        </w:rPr>
      </w:pPr>
      <w:r w:rsidRPr="00FA0D37">
        <w:rPr>
          <w:color w:val="808080"/>
        </w:rPr>
        <w:t>-- TAG-SLOTFORMATCOMBINATIONSPERCELL-START</w:t>
      </w:r>
    </w:p>
    <w:p w14:paraId="45EA0696" w14:textId="77777777" w:rsidR="00394471" w:rsidRPr="00FA0D37" w:rsidRDefault="00394471" w:rsidP="00FA0D37">
      <w:pPr>
        <w:pStyle w:val="PL"/>
      </w:pPr>
    </w:p>
    <w:p w14:paraId="3E0B9537" w14:textId="77777777" w:rsidR="00394471" w:rsidRPr="00FA0D37" w:rsidRDefault="00394471" w:rsidP="00FA0D37">
      <w:pPr>
        <w:pStyle w:val="PL"/>
      </w:pPr>
      <w:r w:rsidRPr="00FA0D37">
        <w:t xml:space="preserve">SlotFormatCombinationsPerCell ::=   </w:t>
      </w:r>
      <w:r w:rsidRPr="00FA0D37">
        <w:rPr>
          <w:color w:val="993366"/>
        </w:rPr>
        <w:t>SEQUENCE</w:t>
      </w:r>
      <w:r w:rsidRPr="00FA0D37">
        <w:t xml:space="preserve"> {</w:t>
      </w:r>
    </w:p>
    <w:p w14:paraId="5D6827F6" w14:textId="77777777" w:rsidR="00394471" w:rsidRPr="00FA0D37" w:rsidRDefault="00394471" w:rsidP="00FA0D37">
      <w:pPr>
        <w:pStyle w:val="PL"/>
      </w:pPr>
      <w:r w:rsidRPr="00FA0D37">
        <w:t xml:space="preserve">    servingCellId                       ServCellIndex,</w:t>
      </w:r>
    </w:p>
    <w:p w14:paraId="7FD1DF0E" w14:textId="77777777" w:rsidR="00394471" w:rsidRPr="00FA0D37" w:rsidRDefault="00394471" w:rsidP="00FA0D37">
      <w:pPr>
        <w:pStyle w:val="PL"/>
      </w:pPr>
      <w:r w:rsidRPr="00FA0D37">
        <w:t xml:space="preserve">    subcarrierSpacing                   SubcarrierSpacing,</w:t>
      </w:r>
    </w:p>
    <w:p w14:paraId="3167225C" w14:textId="77777777" w:rsidR="00394471" w:rsidRPr="00FA0D37" w:rsidRDefault="00394471" w:rsidP="00FA0D37">
      <w:pPr>
        <w:pStyle w:val="PL"/>
        <w:rPr>
          <w:color w:val="808080"/>
        </w:rPr>
      </w:pPr>
      <w:r w:rsidRPr="00FA0D37">
        <w:t xml:space="preserve">    subcarrierSpacing2                  SubcarrierSpacing                                                         </w:t>
      </w:r>
      <w:r w:rsidRPr="00FA0D37">
        <w:rPr>
          <w:color w:val="993366"/>
        </w:rPr>
        <w:t>OPTIONAL</w:t>
      </w:r>
      <w:r w:rsidRPr="00FA0D37">
        <w:t xml:space="preserve">, </w:t>
      </w:r>
      <w:r w:rsidRPr="00FA0D37">
        <w:rPr>
          <w:color w:val="808080"/>
        </w:rPr>
        <w:t>-- Need R</w:t>
      </w:r>
    </w:p>
    <w:p w14:paraId="5C9DEA14" w14:textId="77777777" w:rsidR="00394471" w:rsidRPr="00FA0D37" w:rsidRDefault="00394471" w:rsidP="00FA0D37">
      <w:pPr>
        <w:pStyle w:val="PL"/>
      </w:pPr>
      <w:r w:rsidRPr="00FA0D37">
        <w:t xml:space="preserve">    slotFormatCombinations              </w:t>
      </w:r>
      <w:r w:rsidRPr="00FA0D37">
        <w:rPr>
          <w:color w:val="993366"/>
        </w:rPr>
        <w:t>SEQUENCE</w:t>
      </w:r>
      <w:r w:rsidRPr="00FA0D37">
        <w:t xml:space="preserve"> (</w:t>
      </w:r>
      <w:r w:rsidRPr="00FA0D37">
        <w:rPr>
          <w:color w:val="993366"/>
        </w:rPr>
        <w:t>SIZE</w:t>
      </w:r>
      <w:r w:rsidRPr="00FA0D37">
        <w:t xml:space="preserve"> (1..maxNrofSlotFormatCombinationsPerSet))</w:t>
      </w:r>
      <w:r w:rsidRPr="00FA0D37">
        <w:rPr>
          <w:color w:val="993366"/>
        </w:rPr>
        <w:t xml:space="preserve"> OF</w:t>
      </w:r>
      <w:r w:rsidRPr="00FA0D37">
        <w:t xml:space="preserve"> SlotFormatCombination</w:t>
      </w:r>
    </w:p>
    <w:p w14:paraId="3129E61F"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2F6DF979" w14:textId="77777777" w:rsidR="00394471" w:rsidRPr="00FA0D37" w:rsidRDefault="00394471" w:rsidP="00FA0D37">
      <w:pPr>
        <w:pStyle w:val="PL"/>
        <w:rPr>
          <w:color w:val="808080"/>
        </w:rPr>
      </w:pPr>
      <w:r w:rsidRPr="00FA0D37">
        <w:t xml:space="preserve">    positionInDCI                       </w:t>
      </w:r>
      <w:r w:rsidRPr="00FA0D37">
        <w:rPr>
          <w:color w:val="993366"/>
        </w:rPr>
        <w:t>INTEGER</w:t>
      </w:r>
      <w:r w:rsidRPr="00FA0D37">
        <w:t xml:space="preserve">(0..maxSFI-DCI-PayloadSize-1)                                      </w:t>
      </w:r>
      <w:r w:rsidRPr="00FA0D37">
        <w:rPr>
          <w:color w:val="993366"/>
        </w:rPr>
        <w:t>OPTIONAL</w:t>
      </w:r>
      <w:r w:rsidRPr="00FA0D37">
        <w:t xml:space="preserve">, </w:t>
      </w:r>
      <w:r w:rsidRPr="00FA0D37">
        <w:rPr>
          <w:color w:val="808080"/>
        </w:rPr>
        <w:t>-- Need M</w:t>
      </w:r>
    </w:p>
    <w:p w14:paraId="29085201" w14:textId="77777777" w:rsidR="00394471" w:rsidRPr="00FA0D37" w:rsidRDefault="00394471" w:rsidP="00FA0D37">
      <w:pPr>
        <w:pStyle w:val="PL"/>
      </w:pPr>
      <w:r w:rsidRPr="00FA0D37">
        <w:t xml:space="preserve">    ...,</w:t>
      </w:r>
    </w:p>
    <w:p w14:paraId="3F3EA8EF" w14:textId="77777777" w:rsidR="00394471" w:rsidRPr="00FA0D37" w:rsidRDefault="00394471" w:rsidP="00FA0D37">
      <w:pPr>
        <w:pStyle w:val="PL"/>
      </w:pPr>
      <w:r w:rsidRPr="00FA0D37">
        <w:t xml:space="preserve">    [[</w:t>
      </w:r>
    </w:p>
    <w:p w14:paraId="61E3B7FB" w14:textId="77777777" w:rsidR="00394471" w:rsidRPr="00FA0D37" w:rsidRDefault="00394471" w:rsidP="00FA0D37">
      <w:pPr>
        <w:pStyle w:val="PL"/>
        <w:rPr>
          <w:color w:val="808080"/>
        </w:rPr>
      </w:pPr>
      <w:r w:rsidRPr="00FA0D37">
        <w:t xml:space="preserve">    enableConfiguredUL-r16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78160C3F" w14:textId="77777777" w:rsidR="00394471" w:rsidRPr="00FA0D37" w:rsidRDefault="00394471" w:rsidP="00FA0D37">
      <w:pPr>
        <w:pStyle w:val="PL"/>
      </w:pPr>
      <w:r w:rsidRPr="00FA0D37">
        <w:t xml:space="preserve">    ]]</w:t>
      </w:r>
    </w:p>
    <w:p w14:paraId="00E0B497" w14:textId="77777777" w:rsidR="00394471" w:rsidRPr="00FA0D37" w:rsidRDefault="00394471" w:rsidP="00FA0D37">
      <w:pPr>
        <w:pStyle w:val="PL"/>
      </w:pPr>
    </w:p>
    <w:p w14:paraId="477CC751" w14:textId="77777777" w:rsidR="00394471" w:rsidRPr="00FA0D37" w:rsidRDefault="00394471" w:rsidP="00FA0D37">
      <w:pPr>
        <w:pStyle w:val="PL"/>
      </w:pPr>
      <w:r w:rsidRPr="00FA0D37">
        <w:t>}</w:t>
      </w:r>
    </w:p>
    <w:p w14:paraId="18F74CB0" w14:textId="77777777" w:rsidR="00394471" w:rsidRPr="00FA0D37" w:rsidRDefault="00394471" w:rsidP="00FA0D37">
      <w:pPr>
        <w:pStyle w:val="PL"/>
      </w:pPr>
    </w:p>
    <w:p w14:paraId="6245CE35" w14:textId="77777777" w:rsidR="00394471" w:rsidRPr="00FA0D37" w:rsidRDefault="00394471" w:rsidP="00FA0D37">
      <w:pPr>
        <w:pStyle w:val="PL"/>
      </w:pPr>
      <w:r w:rsidRPr="00FA0D37">
        <w:t xml:space="preserve">SlotFormatCombination ::=           </w:t>
      </w:r>
      <w:r w:rsidRPr="00FA0D37">
        <w:rPr>
          <w:color w:val="993366"/>
        </w:rPr>
        <w:t>SEQUENCE</w:t>
      </w:r>
      <w:r w:rsidRPr="00FA0D37">
        <w:t xml:space="preserve"> {</w:t>
      </w:r>
    </w:p>
    <w:p w14:paraId="2B04B207" w14:textId="77777777" w:rsidR="00394471" w:rsidRPr="00FA0D37" w:rsidRDefault="00394471" w:rsidP="00FA0D37">
      <w:pPr>
        <w:pStyle w:val="PL"/>
      </w:pPr>
      <w:r w:rsidRPr="00FA0D37">
        <w:t xml:space="preserve">    slotFormatCombinationId             SlotFormatCombinationId,</w:t>
      </w:r>
    </w:p>
    <w:p w14:paraId="6E2E8A29" w14:textId="77777777" w:rsidR="00394471" w:rsidRPr="00FA0D37" w:rsidRDefault="00394471" w:rsidP="00FA0D37">
      <w:pPr>
        <w:pStyle w:val="PL"/>
      </w:pPr>
      <w:r w:rsidRPr="00FA0D37">
        <w:t xml:space="preserve">    slotFormats                         </w:t>
      </w:r>
      <w:r w:rsidRPr="00FA0D37">
        <w:rPr>
          <w:color w:val="993366"/>
        </w:rPr>
        <w:t>SEQUENCE</w:t>
      </w:r>
      <w:r w:rsidRPr="00FA0D37">
        <w:t xml:space="preserve"> (</w:t>
      </w:r>
      <w:r w:rsidRPr="00FA0D37">
        <w:rPr>
          <w:color w:val="993366"/>
        </w:rPr>
        <w:t>SIZE</w:t>
      </w:r>
      <w:r w:rsidRPr="00FA0D37">
        <w:t xml:space="preserve"> (1..maxNrofSlotFormatsPerCombination))</w:t>
      </w:r>
      <w:r w:rsidRPr="00FA0D37">
        <w:rPr>
          <w:color w:val="993366"/>
        </w:rPr>
        <w:t xml:space="preserve"> OF</w:t>
      </w:r>
      <w:r w:rsidRPr="00FA0D37">
        <w:t xml:space="preserve"> </w:t>
      </w:r>
      <w:r w:rsidRPr="00FA0D37">
        <w:rPr>
          <w:color w:val="993366"/>
        </w:rPr>
        <w:t>INTEGER</w:t>
      </w:r>
      <w:r w:rsidRPr="00FA0D37">
        <w:t xml:space="preserve"> (0..255)</w:t>
      </w:r>
    </w:p>
    <w:p w14:paraId="0A773C03" w14:textId="77777777" w:rsidR="00394471" w:rsidRPr="00FA0D37" w:rsidRDefault="00394471" w:rsidP="00FA0D37">
      <w:pPr>
        <w:pStyle w:val="PL"/>
      </w:pPr>
      <w:r w:rsidRPr="00FA0D37">
        <w:t>}</w:t>
      </w:r>
    </w:p>
    <w:p w14:paraId="1B45EEF9" w14:textId="77777777" w:rsidR="00394471" w:rsidRPr="00FA0D37" w:rsidRDefault="00394471" w:rsidP="00FA0D37">
      <w:pPr>
        <w:pStyle w:val="PL"/>
      </w:pPr>
    </w:p>
    <w:p w14:paraId="64ED7C8E" w14:textId="77777777" w:rsidR="00394471" w:rsidRPr="00FA0D37" w:rsidRDefault="00394471" w:rsidP="00FA0D37">
      <w:pPr>
        <w:pStyle w:val="PL"/>
      </w:pPr>
      <w:r w:rsidRPr="00FA0D37">
        <w:t xml:space="preserve">SlotFormatCombinationId ::=         </w:t>
      </w:r>
      <w:r w:rsidRPr="00FA0D37">
        <w:rPr>
          <w:color w:val="993366"/>
        </w:rPr>
        <w:t>INTEGER</w:t>
      </w:r>
      <w:r w:rsidRPr="00FA0D37">
        <w:t xml:space="preserve"> (0..maxNrofSlotFormatCombinationsPerSet-1)</w:t>
      </w:r>
    </w:p>
    <w:p w14:paraId="05D032F9" w14:textId="77777777" w:rsidR="00394471" w:rsidRPr="00FA0D37" w:rsidRDefault="00394471" w:rsidP="00FA0D37">
      <w:pPr>
        <w:pStyle w:val="PL"/>
      </w:pPr>
    </w:p>
    <w:p w14:paraId="1F4036B4" w14:textId="77777777" w:rsidR="00394471" w:rsidRPr="00FA0D37" w:rsidRDefault="00394471" w:rsidP="00FA0D37">
      <w:pPr>
        <w:pStyle w:val="PL"/>
        <w:rPr>
          <w:color w:val="808080"/>
        </w:rPr>
      </w:pPr>
      <w:r w:rsidRPr="00FA0D37">
        <w:rPr>
          <w:color w:val="808080"/>
        </w:rPr>
        <w:t>-- TAG-SLOTFORMATCOMBINATIONSPERCELL-STOP</w:t>
      </w:r>
    </w:p>
    <w:p w14:paraId="7D7F4C5D" w14:textId="77777777" w:rsidR="00394471" w:rsidRPr="00FA0D37" w:rsidRDefault="00394471" w:rsidP="00FA0D37">
      <w:pPr>
        <w:pStyle w:val="PL"/>
        <w:rPr>
          <w:color w:val="808080"/>
        </w:rPr>
      </w:pPr>
      <w:r w:rsidRPr="00FA0D37">
        <w:rPr>
          <w:color w:val="808080"/>
        </w:rPr>
        <w:t>-- ASN1STOP</w:t>
      </w:r>
    </w:p>
    <w:p w14:paraId="17A175BD"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FA0D37" w:rsidRDefault="00394471" w:rsidP="00964CC4">
            <w:pPr>
              <w:pStyle w:val="TAH"/>
              <w:rPr>
                <w:szCs w:val="22"/>
                <w:lang w:eastAsia="sv-SE"/>
              </w:rPr>
            </w:pPr>
            <w:r w:rsidRPr="00FA0D37">
              <w:rPr>
                <w:i/>
                <w:szCs w:val="22"/>
                <w:lang w:eastAsia="sv-SE"/>
              </w:rPr>
              <w:t xml:space="preserve">SlotFormatCombination </w:t>
            </w:r>
            <w:r w:rsidRPr="00FA0D37">
              <w:rPr>
                <w:szCs w:val="22"/>
                <w:lang w:eastAsia="sv-SE"/>
              </w:rPr>
              <w:t>field descriptions</w:t>
            </w:r>
          </w:p>
        </w:tc>
      </w:tr>
      <w:tr w:rsidR="005C7FF4" w:rsidRPr="00FA0D37"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FA0D37" w:rsidRDefault="00394471" w:rsidP="00964CC4">
            <w:pPr>
              <w:pStyle w:val="TAL"/>
              <w:rPr>
                <w:szCs w:val="22"/>
                <w:lang w:eastAsia="sv-SE"/>
              </w:rPr>
            </w:pPr>
            <w:r w:rsidRPr="00FA0D37">
              <w:rPr>
                <w:b/>
                <w:i/>
                <w:szCs w:val="22"/>
                <w:lang w:eastAsia="sv-SE"/>
              </w:rPr>
              <w:t>slotFormatCombinationId</w:t>
            </w:r>
          </w:p>
          <w:p w14:paraId="76A9270F" w14:textId="77777777" w:rsidR="00394471" w:rsidRPr="00FA0D37" w:rsidRDefault="00394471" w:rsidP="00964CC4">
            <w:pPr>
              <w:pStyle w:val="TAL"/>
              <w:rPr>
                <w:szCs w:val="22"/>
                <w:lang w:eastAsia="sv-SE"/>
              </w:rPr>
            </w:pPr>
            <w:r w:rsidRPr="00FA0D37">
              <w:rPr>
                <w:szCs w:val="22"/>
                <w:lang w:eastAsia="sv-SE"/>
              </w:rPr>
              <w:t xml:space="preserve">This ID is used in the DCI payload to dynamically select this </w:t>
            </w:r>
            <w:r w:rsidRPr="00FA0D37">
              <w:rPr>
                <w:i/>
                <w:szCs w:val="22"/>
                <w:lang w:eastAsia="sv-SE"/>
              </w:rPr>
              <w:t>SlotFormatCombination</w:t>
            </w:r>
            <w:r w:rsidRPr="00FA0D37">
              <w:rPr>
                <w:szCs w:val="22"/>
                <w:lang w:eastAsia="sv-SE"/>
              </w:rPr>
              <w:t xml:space="preserve"> (see TS 38.213 [13], clause 11.1.1).</w:t>
            </w:r>
          </w:p>
        </w:tc>
      </w:tr>
      <w:tr w:rsidR="00394471" w:rsidRPr="00FA0D37"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FA0D37" w:rsidRDefault="00394471" w:rsidP="00964CC4">
            <w:pPr>
              <w:pStyle w:val="TAL"/>
              <w:rPr>
                <w:szCs w:val="22"/>
                <w:lang w:eastAsia="sv-SE"/>
              </w:rPr>
            </w:pPr>
            <w:r w:rsidRPr="00FA0D37">
              <w:rPr>
                <w:b/>
                <w:i/>
                <w:szCs w:val="22"/>
                <w:lang w:eastAsia="sv-SE"/>
              </w:rPr>
              <w:t>slotFormats</w:t>
            </w:r>
          </w:p>
          <w:p w14:paraId="08E07E2E" w14:textId="77777777" w:rsidR="00394471" w:rsidRPr="00FA0D37" w:rsidRDefault="00394471" w:rsidP="00964CC4">
            <w:pPr>
              <w:pStyle w:val="TAL"/>
              <w:rPr>
                <w:szCs w:val="22"/>
                <w:lang w:eastAsia="sv-SE"/>
              </w:rPr>
            </w:pPr>
            <w:r w:rsidRPr="00FA0D37">
              <w:rPr>
                <w:szCs w:val="22"/>
                <w:lang w:eastAsia="sv-SE"/>
              </w:rPr>
              <w:t>Slot formats that occur in consecutive slots in time domain order as listed here (see TS 38.213 [13], clause 11.1.1</w:t>
            </w:r>
            <w:r w:rsidRPr="00FA0D37">
              <w:rPr>
                <w:szCs w:val="22"/>
              </w:rPr>
              <w:t xml:space="preserve"> and TS 38.213 [13], clause 14 for IAB-MT</w:t>
            </w:r>
            <w:r w:rsidRPr="00FA0D37">
              <w:rPr>
                <w:szCs w:val="22"/>
                <w:lang w:eastAsia="sv-SE"/>
              </w:rPr>
              <w:t>).</w:t>
            </w:r>
          </w:p>
        </w:tc>
      </w:tr>
    </w:tbl>
    <w:p w14:paraId="13C2C9D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FA0D37" w:rsidRDefault="00394471" w:rsidP="00964CC4">
            <w:pPr>
              <w:pStyle w:val="TAH"/>
              <w:rPr>
                <w:szCs w:val="22"/>
                <w:lang w:eastAsia="sv-SE"/>
              </w:rPr>
            </w:pPr>
            <w:r w:rsidRPr="00FA0D37">
              <w:rPr>
                <w:i/>
                <w:szCs w:val="22"/>
                <w:lang w:eastAsia="sv-SE"/>
              </w:rPr>
              <w:lastRenderedPageBreak/>
              <w:t xml:space="preserve">SlotFormatCombinationsPerCell </w:t>
            </w:r>
            <w:r w:rsidRPr="00FA0D37">
              <w:rPr>
                <w:szCs w:val="22"/>
                <w:lang w:eastAsia="sv-SE"/>
              </w:rPr>
              <w:t>field descriptions</w:t>
            </w:r>
          </w:p>
        </w:tc>
      </w:tr>
      <w:tr w:rsidR="005C7FF4" w:rsidRPr="00FA0D37"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FA0D37" w:rsidRDefault="00394471" w:rsidP="00964CC4">
            <w:pPr>
              <w:pStyle w:val="TAL"/>
              <w:rPr>
                <w:b/>
                <w:bCs/>
                <w:i/>
                <w:iCs/>
              </w:rPr>
            </w:pPr>
            <w:r w:rsidRPr="00FA0D37">
              <w:rPr>
                <w:b/>
                <w:bCs/>
                <w:i/>
                <w:iCs/>
              </w:rPr>
              <w:t>enableConfiguredUL</w:t>
            </w:r>
          </w:p>
          <w:p w14:paraId="1DDAA6CE" w14:textId="4A040A3B" w:rsidR="00394471" w:rsidRPr="00FA0D37" w:rsidRDefault="00394471" w:rsidP="00964CC4">
            <w:pPr>
              <w:pStyle w:val="TAL"/>
              <w:rPr>
                <w:lang w:eastAsia="sv-SE"/>
              </w:rPr>
            </w:pPr>
            <w:r w:rsidRPr="00FA0D37">
              <w:t>If configured, the UE is allowed to transmit uplink signals</w:t>
            </w:r>
            <w:r w:rsidR="00A371DB" w:rsidRPr="00FA0D37">
              <w:t>/channels</w:t>
            </w:r>
            <w:r w:rsidRPr="00FA0D37">
              <w:t xml:space="preserve"> (SRS, PUCCH, CG-PUSCH) in the set of symbols of the slot when the UE </w:t>
            </w:r>
            <w:r w:rsidRPr="00FA0D37">
              <w:rPr>
                <w:lang w:eastAsia="zh-CN"/>
              </w:rPr>
              <w:t xml:space="preserve">does not detect a DCI format 2_0 providing a slot format for the set of symbols </w:t>
            </w:r>
            <w:r w:rsidRPr="00FA0D37">
              <w:rPr>
                <w:iCs/>
              </w:rPr>
              <w:t>(see TS 38.213 [13], 11.1.1).</w:t>
            </w:r>
            <w:r w:rsidR="004E4A9E" w:rsidRPr="00FA0D37">
              <w:rPr>
                <w:iCs/>
              </w:rPr>
              <w:t xml:space="preserve"> This field is applicable only if </w:t>
            </w:r>
            <w:r w:rsidR="004E4A9E" w:rsidRPr="00FA0D37">
              <w:rPr>
                <w:i/>
              </w:rPr>
              <w:t>cg-RetransmissionTimer-r16</w:t>
            </w:r>
            <w:r w:rsidR="004E4A9E" w:rsidRPr="00FA0D37">
              <w:rPr>
                <w:iCs/>
              </w:rPr>
              <w:t xml:space="preserve"> is configured.</w:t>
            </w:r>
          </w:p>
        </w:tc>
      </w:tr>
      <w:tr w:rsidR="005C7FF4" w:rsidRPr="00FA0D37"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FA0D37" w:rsidRDefault="00394471" w:rsidP="00964CC4">
            <w:pPr>
              <w:pStyle w:val="TAL"/>
              <w:rPr>
                <w:szCs w:val="22"/>
                <w:lang w:eastAsia="sv-SE"/>
              </w:rPr>
            </w:pPr>
            <w:r w:rsidRPr="00FA0D37">
              <w:rPr>
                <w:b/>
                <w:i/>
                <w:szCs w:val="22"/>
                <w:lang w:eastAsia="sv-SE"/>
              </w:rPr>
              <w:t>positionInDCI</w:t>
            </w:r>
          </w:p>
          <w:p w14:paraId="48B4BBB0" w14:textId="77777777" w:rsidR="00394471" w:rsidRPr="00FA0D37" w:rsidRDefault="00394471" w:rsidP="00964CC4">
            <w:pPr>
              <w:pStyle w:val="TAL"/>
              <w:rPr>
                <w:szCs w:val="22"/>
                <w:lang w:eastAsia="sv-SE"/>
              </w:rPr>
            </w:pPr>
            <w:r w:rsidRPr="00FA0D37">
              <w:rPr>
                <w:szCs w:val="22"/>
                <w:lang w:eastAsia="sv-SE"/>
              </w:rPr>
              <w:t>The (starting) position (bit) of the slotFormatCombinationId (SFI-Index) for this serving cell (servingCellId) within the DCI payload (see TS 38.213 [13], clause 11.1.1).</w:t>
            </w:r>
          </w:p>
        </w:tc>
      </w:tr>
      <w:tr w:rsidR="005C7FF4" w:rsidRPr="00FA0D37"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FA0D37" w:rsidRDefault="00394471" w:rsidP="00964CC4">
            <w:pPr>
              <w:pStyle w:val="TAL"/>
              <w:rPr>
                <w:szCs w:val="22"/>
                <w:lang w:eastAsia="sv-SE"/>
              </w:rPr>
            </w:pPr>
            <w:r w:rsidRPr="00FA0D37">
              <w:rPr>
                <w:b/>
                <w:i/>
                <w:szCs w:val="22"/>
                <w:lang w:eastAsia="sv-SE"/>
              </w:rPr>
              <w:t>servingCellId</w:t>
            </w:r>
          </w:p>
          <w:p w14:paraId="15BF5F12" w14:textId="77777777" w:rsidR="00394471" w:rsidRPr="00FA0D37" w:rsidRDefault="00394471" w:rsidP="00964CC4">
            <w:pPr>
              <w:pStyle w:val="TAL"/>
              <w:rPr>
                <w:szCs w:val="22"/>
                <w:lang w:eastAsia="sv-SE"/>
              </w:rPr>
            </w:pPr>
            <w:r w:rsidRPr="00FA0D37">
              <w:rPr>
                <w:szCs w:val="22"/>
                <w:lang w:eastAsia="sv-SE"/>
              </w:rPr>
              <w:t>The ID of the serving cell for which the slotFormatCombinations are applicable.</w:t>
            </w:r>
          </w:p>
        </w:tc>
      </w:tr>
      <w:tr w:rsidR="005C7FF4" w:rsidRPr="00FA0D37"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FA0D37" w:rsidRDefault="00394471" w:rsidP="00964CC4">
            <w:pPr>
              <w:pStyle w:val="TAL"/>
              <w:rPr>
                <w:szCs w:val="22"/>
                <w:lang w:eastAsia="sv-SE"/>
              </w:rPr>
            </w:pPr>
            <w:r w:rsidRPr="00FA0D37">
              <w:rPr>
                <w:b/>
                <w:i/>
                <w:szCs w:val="22"/>
                <w:lang w:eastAsia="sv-SE"/>
              </w:rPr>
              <w:t>slotFormatCombinations</w:t>
            </w:r>
          </w:p>
          <w:p w14:paraId="5E0856BC" w14:textId="77777777" w:rsidR="00394471" w:rsidRPr="00FA0D37" w:rsidRDefault="00394471" w:rsidP="00964CC4">
            <w:pPr>
              <w:pStyle w:val="TAL"/>
              <w:rPr>
                <w:lang w:eastAsia="sv-SE"/>
              </w:rPr>
            </w:pPr>
            <w:r w:rsidRPr="00FA0D37">
              <w:rPr>
                <w:lang w:eastAsia="sv-SE"/>
              </w:rPr>
              <w:t xml:space="preserve">A list with </w:t>
            </w:r>
            <w:r w:rsidRPr="00FA0D37">
              <w:rPr>
                <w:i/>
                <w:lang w:eastAsia="sv-SE"/>
              </w:rPr>
              <w:t>SlotFormatCombinations</w:t>
            </w:r>
            <w:r w:rsidRPr="00FA0D37">
              <w:rPr>
                <w:lang w:eastAsia="sv-SE"/>
              </w:rPr>
              <w:t xml:space="preserve">. Each </w:t>
            </w:r>
            <w:r w:rsidRPr="00FA0D37">
              <w:rPr>
                <w:i/>
                <w:lang w:eastAsia="sv-SE"/>
              </w:rPr>
              <w:t>SlotFormatCombination</w:t>
            </w:r>
            <w:r w:rsidRPr="00FA0D37">
              <w:rPr>
                <w:lang w:eastAsia="sv-SE"/>
              </w:rPr>
              <w:t xml:space="preserve"> comprises of one or more </w:t>
            </w:r>
            <w:r w:rsidRPr="00FA0D37">
              <w:rPr>
                <w:i/>
                <w:lang w:eastAsia="sv-SE"/>
              </w:rPr>
              <w:t>SlotFormats</w:t>
            </w:r>
            <w:r w:rsidRPr="00FA0D37">
              <w:rPr>
                <w:lang w:eastAsia="sv-SE"/>
              </w:rPr>
              <w:t xml:space="preserve"> (see TS 38.211 [16], clause 4.3.2). The total number of </w:t>
            </w:r>
            <w:r w:rsidRPr="00FA0D37">
              <w:rPr>
                <w:i/>
                <w:lang w:eastAsia="sv-SE"/>
              </w:rPr>
              <w:t>slotFormats</w:t>
            </w:r>
            <w:r w:rsidRPr="00FA0D37">
              <w:rPr>
                <w:lang w:eastAsia="sv-SE"/>
              </w:rPr>
              <w:t xml:space="preserve"> in the </w:t>
            </w:r>
            <w:r w:rsidRPr="00FA0D37">
              <w:rPr>
                <w:i/>
                <w:lang w:eastAsia="sv-SE"/>
              </w:rPr>
              <w:t>slotFormatCombinations</w:t>
            </w:r>
            <w:r w:rsidRPr="00FA0D37">
              <w:rPr>
                <w:lang w:eastAsia="sv-SE"/>
              </w:rPr>
              <w:t xml:space="preserve"> list does not exceed 512. </w:t>
            </w:r>
          </w:p>
        </w:tc>
      </w:tr>
      <w:tr w:rsidR="005C7FF4" w:rsidRPr="00FA0D37"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FA0D37" w:rsidRDefault="00394471" w:rsidP="00964CC4">
            <w:pPr>
              <w:pStyle w:val="TAL"/>
              <w:rPr>
                <w:szCs w:val="22"/>
                <w:lang w:eastAsia="sv-SE"/>
              </w:rPr>
            </w:pPr>
            <w:r w:rsidRPr="00FA0D37">
              <w:rPr>
                <w:b/>
                <w:i/>
                <w:szCs w:val="22"/>
                <w:lang w:eastAsia="sv-SE"/>
              </w:rPr>
              <w:t>subcarrierSpacing2</w:t>
            </w:r>
          </w:p>
          <w:p w14:paraId="0FF398CF" w14:textId="77777777" w:rsidR="00394471" w:rsidRPr="00FA0D37" w:rsidRDefault="00394471" w:rsidP="00964CC4">
            <w:pPr>
              <w:pStyle w:val="TAL"/>
              <w:rPr>
                <w:szCs w:val="22"/>
                <w:lang w:eastAsia="sv-SE"/>
              </w:rPr>
            </w:pPr>
            <w:r w:rsidRPr="00FA0D37">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A0D37">
              <w:rPr>
                <w:i/>
                <w:szCs w:val="22"/>
                <w:lang w:eastAsia="sv-SE"/>
              </w:rPr>
              <w:t>subcarrierSpacing</w:t>
            </w:r>
            <w:r w:rsidRPr="00FA0D37">
              <w:rPr>
                <w:szCs w:val="22"/>
                <w:lang w:eastAsia="sv-SE"/>
              </w:rPr>
              <w:t xml:space="preserve"> (SFI-scs) is the reference SCS for non-SUL carrier and </w:t>
            </w:r>
            <w:r w:rsidRPr="00FA0D37">
              <w:rPr>
                <w:i/>
                <w:szCs w:val="22"/>
                <w:lang w:eastAsia="sv-SE"/>
              </w:rPr>
              <w:t>subcarrierSpacing2</w:t>
            </w:r>
            <w:r w:rsidRPr="00FA0D37">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FA0D37"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FA0D37" w:rsidRDefault="00394471" w:rsidP="00964CC4">
            <w:pPr>
              <w:pStyle w:val="TAL"/>
              <w:rPr>
                <w:szCs w:val="22"/>
                <w:lang w:eastAsia="sv-SE"/>
              </w:rPr>
            </w:pPr>
            <w:r w:rsidRPr="00FA0D37">
              <w:rPr>
                <w:b/>
                <w:i/>
                <w:szCs w:val="22"/>
                <w:lang w:eastAsia="sv-SE"/>
              </w:rPr>
              <w:t>subcarrierSpacing</w:t>
            </w:r>
          </w:p>
          <w:p w14:paraId="1AA29D1E" w14:textId="77777777" w:rsidR="00394471" w:rsidRPr="00FA0D37" w:rsidRDefault="00394471" w:rsidP="00964CC4">
            <w:pPr>
              <w:pStyle w:val="TAL"/>
              <w:rPr>
                <w:szCs w:val="22"/>
                <w:lang w:eastAsia="sv-SE"/>
              </w:rPr>
            </w:pPr>
            <w:r w:rsidRPr="00FA0D37">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FA0D37" w:rsidRDefault="00394471" w:rsidP="00394471"/>
    <w:p w14:paraId="661BCB4F" w14:textId="77777777" w:rsidR="00394471" w:rsidRPr="00FA0D37" w:rsidRDefault="00394471" w:rsidP="00394471">
      <w:pPr>
        <w:pStyle w:val="4"/>
      </w:pPr>
      <w:bookmarkStart w:id="1407" w:name="_Toc60777389"/>
      <w:bookmarkStart w:id="1408" w:name="_Toc146781475"/>
      <w:r w:rsidRPr="00FA0D37">
        <w:t>–</w:t>
      </w:r>
      <w:r w:rsidRPr="00FA0D37">
        <w:tab/>
      </w:r>
      <w:r w:rsidRPr="00FA0D37">
        <w:rPr>
          <w:i/>
        </w:rPr>
        <w:t>SlotFormatIndicator</w:t>
      </w:r>
      <w:bookmarkEnd w:id="1407"/>
      <w:bookmarkEnd w:id="1408"/>
    </w:p>
    <w:p w14:paraId="53537F7F" w14:textId="77777777" w:rsidR="00394471" w:rsidRPr="00FA0D37" w:rsidRDefault="00394471" w:rsidP="00394471">
      <w:r w:rsidRPr="00FA0D37">
        <w:t xml:space="preserve">The IE </w:t>
      </w:r>
      <w:r w:rsidRPr="00FA0D37">
        <w:rPr>
          <w:i/>
        </w:rPr>
        <w:t>SlotFormatIndicator</w:t>
      </w:r>
      <w:r w:rsidRPr="00FA0D37">
        <w:t xml:space="preserve"> is used to configure monitoring a Group-Common-PDCCH for Slot-Format-Indicators (SFI).</w:t>
      </w:r>
    </w:p>
    <w:p w14:paraId="454F1742" w14:textId="77777777" w:rsidR="00394471" w:rsidRPr="00FA0D37" w:rsidRDefault="00394471" w:rsidP="00394471">
      <w:pPr>
        <w:pStyle w:val="TH"/>
      </w:pPr>
      <w:r w:rsidRPr="00FA0D37">
        <w:rPr>
          <w:i/>
        </w:rPr>
        <w:t>SlotFormatIndicator</w:t>
      </w:r>
      <w:r w:rsidRPr="00FA0D37">
        <w:t xml:space="preserve"> information element</w:t>
      </w:r>
    </w:p>
    <w:p w14:paraId="063C1CF1" w14:textId="77777777" w:rsidR="00394471" w:rsidRPr="00FA0D37" w:rsidRDefault="00394471" w:rsidP="00FA0D37">
      <w:pPr>
        <w:pStyle w:val="PL"/>
        <w:rPr>
          <w:color w:val="808080"/>
        </w:rPr>
      </w:pPr>
      <w:r w:rsidRPr="00FA0D37">
        <w:rPr>
          <w:color w:val="808080"/>
        </w:rPr>
        <w:t>-- ASN1START</w:t>
      </w:r>
    </w:p>
    <w:p w14:paraId="4B2EF47C" w14:textId="77777777" w:rsidR="00394471" w:rsidRPr="00FA0D37" w:rsidRDefault="00394471" w:rsidP="00FA0D37">
      <w:pPr>
        <w:pStyle w:val="PL"/>
        <w:rPr>
          <w:color w:val="808080"/>
        </w:rPr>
      </w:pPr>
      <w:r w:rsidRPr="00FA0D37">
        <w:rPr>
          <w:color w:val="808080"/>
        </w:rPr>
        <w:t>-- TAG-SLOTFORMATINDICATOR-START</w:t>
      </w:r>
    </w:p>
    <w:p w14:paraId="636615F5" w14:textId="77777777" w:rsidR="00394471" w:rsidRPr="00FA0D37" w:rsidRDefault="00394471" w:rsidP="00FA0D37">
      <w:pPr>
        <w:pStyle w:val="PL"/>
      </w:pPr>
    </w:p>
    <w:p w14:paraId="5E653AD5" w14:textId="77777777" w:rsidR="00394471" w:rsidRPr="00FA0D37" w:rsidRDefault="00394471" w:rsidP="00FA0D37">
      <w:pPr>
        <w:pStyle w:val="PL"/>
      </w:pPr>
      <w:r w:rsidRPr="00FA0D37">
        <w:t xml:space="preserve">SlotFormatIndicator ::=     </w:t>
      </w:r>
      <w:r w:rsidRPr="00FA0D37">
        <w:rPr>
          <w:color w:val="993366"/>
        </w:rPr>
        <w:t>SEQUENCE</w:t>
      </w:r>
      <w:r w:rsidRPr="00FA0D37">
        <w:t xml:space="preserve"> {</w:t>
      </w:r>
    </w:p>
    <w:p w14:paraId="6C8EED9E" w14:textId="77777777" w:rsidR="00394471" w:rsidRPr="00FA0D37" w:rsidRDefault="00394471" w:rsidP="00FA0D37">
      <w:pPr>
        <w:pStyle w:val="PL"/>
      </w:pPr>
      <w:r w:rsidRPr="00FA0D37">
        <w:t xml:space="preserve">    sfi-RNTI                    RNTI-Value,</w:t>
      </w:r>
    </w:p>
    <w:p w14:paraId="423ECA59" w14:textId="77777777" w:rsidR="00394471" w:rsidRPr="00FA0D37" w:rsidRDefault="00394471" w:rsidP="00FA0D37">
      <w:pPr>
        <w:pStyle w:val="PL"/>
      </w:pPr>
      <w:r w:rsidRPr="00FA0D37">
        <w:t xml:space="preserve">    dci-PayloadSize             </w:t>
      </w:r>
      <w:r w:rsidRPr="00FA0D37">
        <w:rPr>
          <w:color w:val="993366"/>
        </w:rPr>
        <w:t>INTEGER</w:t>
      </w:r>
      <w:r w:rsidRPr="00FA0D37">
        <w:t xml:space="preserve"> (1..maxSFI-DCI-PayloadSize),</w:t>
      </w:r>
    </w:p>
    <w:p w14:paraId="7DE58D39" w14:textId="77777777" w:rsidR="00394471" w:rsidRPr="00FA0D37" w:rsidRDefault="00394471" w:rsidP="00FA0D37">
      <w:pPr>
        <w:pStyle w:val="PL"/>
      </w:pPr>
      <w:r w:rsidRPr="00FA0D37">
        <w:t xml:space="preserve">    slotFormatCombToAddModList  </w:t>
      </w:r>
      <w:r w:rsidRPr="00FA0D37">
        <w:rPr>
          <w:color w:val="993366"/>
        </w:rPr>
        <w:t>SEQUENCE</w:t>
      </w:r>
      <w:r w:rsidRPr="00FA0D37">
        <w:t xml:space="preserve"> (</w:t>
      </w:r>
      <w:r w:rsidRPr="00FA0D37">
        <w:rPr>
          <w:color w:val="993366"/>
        </w:rPr>
        <w:t>SIZE</w:t>
      </w:r>
      <w:r w:rsidRPr="00FA0D37">
        <w:t>(1..maxNrofAggregatedCellsPerCellGroup))</w:t>
      </w:r>
      <w:r w:rsidRPr="00FA0D37">
        <w:rPr>
          <w:color w:val="993366"/>
        </w:rPr>
        <w:t xml:space="preserve"> OF</w:t>
      </w:r>
      <w:r w:rsidRPr="00FA0D37">
        <w:t xml:space="preserve"> SlotFormatCombinationsPerCell</w:t>
      </w:r>
    </w:p>
    <w:p w14:paraId="6A67BC31"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28AB80A4" w14:textId="77777777" w:rsidR="00394471" w:rsidRPr="00FA0D37" w:rsidRDefault="00394471" w:rsidP="00FA0D37">
      <w:pPr>
        <w:pStyle w:val="PL"/>
        <w:rPr>
          <w:color w:val="808080"/>
        </w:rPr>
      </w:pPr>
      <w:r w:rsidRPr="00FA0D37">
        <w:t xml:space="preserve">    slotFormatCombToReleaseList </w:t>
      </w:r>
      <w:r w:rsidRPr="00FA0D37">
        <w:rPr>
          <w:color w:val="993366"/>
        </w:rPr>
        <w:t>SEQUENCE</w:t>
      </w:r>
      <w:r w:rsidRPr="00FA0D37">
        <w:t xml:space="preserve"> (</w:t>
      </w:r>
      <w:r w:rsidRPr="00FA0D37">
        <w:rPr>
          <w:color w:val="993366"/>
        </w:rPr>
        <w:t>SIZE</w:t>
      </w:r>
      <w:r w:rsidRPr="00FA0D37">
        <w:t>(1..maxNrofAggregatedCellsPerCellGroup))</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N</w:t>
      </w:r>
    </w:p>
    <w:p w14:paraId="5672C913" w14:textId="77777777" w:rsidR="00394471" w:rsidRPr="00FA0D37" w:rsidRDefault="00394471" w:rsidP="00FA0D37">
      <w:pPr>
        <w:pStyle w:val="PL"/>
      </w:pPr>
      <w:r w:rsidRPr="00FA0D37">
        <w:t xml:space="preserve">    ...,</w:t>
      </w:r>
    </w:p>
    <w:p w14:paraId="0C98D245" w14:textId="77777777" w:rsidR="00394471" w:rsidRPr="00FA0D37" w:rsidRDefault="00394471" w:rsidP="00FA0D37">
      <w:pPr>
        <w:pStyle w:val="PL"/>
      </w:pPr>
      <w:r w:rsidRPr="00FA0D37">
        <w:t xml:space="preserve">    [[</w:t>
      </w:r>
    </w:p>
    <w:p w14:paraId="5DC757EA" w14:textId="77777777" w:rsidR="00394471" w:rsidRPr="00FA0D37" w:rsidRDefault="00394471" w:rsidP="00FA0D37">
      <w:pPr>
        <w:pStyle w:val="PL"/>
        <w:rPr>
          <w:color w:val="808080"/>
        </w:rPr>
      </w:pPr>
      <w:r w:rsidRPr="00FA0D37">
        <w:t xml:space="preserve">    availableRB-SetsToAddModList-r16  </w:t>
      </w:r>
      <w:r w:rsidRPr="00FA0D37">
        <w:rPr>
          <w:color w:val="993366"/>
        </w:rPr>
        <w:t>SEQUENCE</w:t>
      </w:r>
      <w:r w:rsidRPr="00FA0D37">
        <w:t xml:space="preserve"> (</w:t>
      </w:r>
      <w:r w:rsidRPr="00FA0D37">
        <w:rPr>
          <w:color w:val="993366"/>
        </w:rPr>
        <w:t>SIZE</w:t>
      </w:r>
      <w:r w:rsidRPr="00FA0D37">
        <w:t>(1..maxNrofAggregatedCellsPerCellGroup))</w:t>
      </w:r>
      <w:r w:rsidRPr="00FA0D37">
        <w:rPr>
          <w:color w:val="993366"/>
        </w:rPr>
        <w:t xml:space="preserve"> OF</w:t>
      </w:r>
      <w:r w:rsidRPr="00FA0D37">
        <w:t xml:space="preserve"> AvailableRB-SetsPerCell-r16   </w:t>
      </w:r>
      <w:r w:rsidRPr="00FA0D37">
        <w:rPr>
          <w:color w:val="993366"/>
        </w:rPr>
        <w:t>OPTIONAL</w:t>
      </w:r>
      <w:r w:rsidRPr="00FA0D37">
        <w:t xml:space="preserve">, </w:t>
      </w:r>
      <w:r w:rsidRPr="00FA0D37">
        <w:rPr>
          <w:color w:val="808080"/>
        </w:rPr>
        <w:t>-- Need N</w:t>
      </w:r>
    </w:p>
    <w:p w14:paraId="43848459" w14:textId="543BE615" w:rsidR="00394471" w:rsidRPr="00FA0D37" w:rsidRDefault="00394471" w:rsidP="00FA0D37">
      <w:pPr>
        <w:pStyle w:val="PL"/>
        <w:rPr>
          <w:color w:val="808080"/>
        </w:rPr>
      </w:pPr>
      <w:r w:rsidRPr="00FA0D37">
        <w:t xml:space="preserve">    availableRB-SetsToRelease</w:t>
      </w:r>
      <w:r w:rsidR="000514F7" w:rsidRPr="00FA0D37">
        <w:t>List</w:t>
      </w:r>
      <w:r w:rsidRPr="00FA0D37">
        <w:t xml:space="preserve">-r16 </w:t>
      </w:r>
      <w:r w:rsidRPr="00FA0D37">
        <w:rPr>
          <w:color w:val="993366"/>
        </w:rPr>
        <w:t>SEQUENCE</w:t>
      </w:r>
      <w:r w:rsidRPr="00FA0D37">
        <w:t xml:space="preserve"> (</w:t>
      </w:r>
      <w:r w:rsidRPr="00FA0D37">
        <w:rPr>
          <w:color w:val="993366"/>
        </w:rPr>
        <w:t>SIZE</w:t>
      </w:r>
      <w:r w:rsidRPr="00FA0D37">
        <w:t>(1..maxNrofAggregatedCellsPerCellGroup))</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N</w:t>
      </w:r>
    </w:p>
    <w:p w14:paraId="4DD62A17" w14:textId="77777777" w:rsidR="00394471" w:rsidRPr="00FA0D37" w:rsidRDefault="00394471" w:rsidP="00FA0D37">
      <w:pPr>
        <w:pStyle w:val="PL"/>
        <w:rPr>
          <w:color w:val="808080"/>
        </w:rPr>
      </w:pPr>
      <w:r w:rsidRPr="00FA0D37">
        <w:t xml:space="preserve">    switchTriggerToAddModList-r16     </w:t>
      </w:r>
      <w:r w:rsidRPr="00FA0D37">
        <w:rPr>
          <w:color w:val="993366"/>
        </w:rPr>
        <w:t>SEQUENCE</w:t>
      </w:r>
      <w:r w:rsidRPr="00FA0D37">
        <w:t xml:space="preserve"> (</w:t>
      </w:r>
      <w:r w:rsidRPr="00FA0D37">
        <w:rPr>
          <w:color w:val="993366"/>
        </w:rPr>
        <w:t>SIZE</w:t>
      </w:r>
      <w:r w:rsidRPr="00FA0D37">
        <w:t>(1..4))</w:t>
      </w:r>
      <w:r w:rsidRPr="00FA0D37">
        <w:rPr>
          <w:color w:val="993366"/>
        </w:rPr>
        <w:t xml:space="preserve"> OF</w:t>
      </w:r>
      <w:r w:rsidRPr="00FA0D37">
        <w:t xml:space="preserve"> SearchSpaceSwitchTrigger-r16                                   </w:t>
      </w:r>
      <w:r w:rsidRPr="00FA0D37">
        <w:rPr>
          <w:color w:val="993366"/>
        </w:rPr>
        <w:t>OPTIONAL</w:t>
      </w:r>
      <w:r w:rsidRPr="00FA0D37">
        <w:t xml:space="preserve">, </w:t>
      </w:r>
      <w:r w:rsidRPr="00FA0D37">
        <w:rPr>
          <w:color w:val="808080"/>
        </w:rPr>
        <w:t>-- Need N</w:t>
      </w:r>
    </w:p>
    <w:p w14:paraId="2C199371" w14:textId="77777777" w:rsidR="00394471" w:rsidRPr="00FA0D37" w:rsidRDefault="00394471" w:rsidP="00FA0D37">
      <w:pPr>
        <w:pStyle w:val="PL"/>
        <w:rPr>
          <w:color w:val="808080"/>
        </w:rPr>
      </w:pPr>
      <w:r w:rsidRPr="00FA0D37">
        <w:t xml:space="preserve">    switchTriggerToReleaseList-r16    </w:t>
      </w:r>
      <w:r w:rsidRPr="00FA0D37">
        <w:rPr>
          <w:color w:val="993366"/>
        </w:rPr>
        <w:t>SEQUENCE</w:t>
      </w:r>
      <w:r w:rsidRPr="00FA0D37">
        <w:t xml:space="preserve"> (</w:t>
      </w:r>
      <w:r w:rsidRPr="00FA0D37">
        <w:rPr>
          <w:color w:val="993366"/>
        </w:rPr>
        <w:t>SIZE</w:t>
      </w:r>
      <w:r w:rsidRPr="00FA0D37">
        <w:t>(1..4))</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N</w:t>
      </w:r>
    </w:p>
    <w:p w14:paraId="6C3A1CC8" w14:textId="77777777" w:rsidR="00394471" w:rsidRPr="00FA0D37" w:rsidRDefault="00394471" w:rsidP="00FA0D37">
      <w:pPr>
        <w:pStyle w:val="PL"/>
        <w:rPr>
          <w:color w:val="808080"/>
        </w:rPr>
      </w:pPr>
      <w:r w:rsidRPr="00FA0D37">
        <w:t xml:space="preserve">    co-DurationsPerCellToAddModList-r16 </w:t>
      </w:r>
      <w:r w:rsidRPr="00FA0D37">
        <w:rPr>
          <w:color w:val="993366"/>
        </w:rPr>
        <w:t>SEQUENCE</w:t>
      </w:r>
      <w:r w:rsidRPr="00FA0D37">
        <w:t xml:space="preserve"> (</w:t>
      </w:r>
      <w:r w:rsidRPr="00FA0D37">
        <w:rPr>
          <w:color w:val="993366"/>
        </w:rPr>
        <w:t>SIZE</w:t>
      </w:r>
      <w:r w:rsidRPr="00FA0D37">
        <w:t>(1..maxNrofAggregatedCellsPerCellGroup))</w:t>
      </w:r>
      <w:r w:rsidRPr="00FA0D37">
        <w:rPr>
          <w:color w:val="993366"/>
        </w:rPr>
        <w:t xml:space="preserve"> OF</w:t>
      </w:r>
      <w:r w:rsidRPr="00FA0D37">
        <w:t xml:space="preserve"> CO-DurationsPerCell-r16     </w:t>
      </w:r>
      <w:r w:rsidRPr="00FA0D37">
        <w:rPr>
          <w:color w:val="993366"/>
        </w:rPr>
        <w:t>OPTIONAL</w:t>
      </w:r>
      <w:r w:rsidRPr="00FA0D37">
        <w:t xml:space="preserve">, </w:t>
      </w:r>
      <w:r w:rsidRPr="00FA0D37">
        <w:rPr>
          <w:color w:val="808080"/>
        </w:rPr>
        <w:t>-- Need N</w:t>
      </w:r>
    </w:p>
    <w:p w14:paraId="0C6F107B" w14:textId="77777777" w:rsidR="00394471" w:rsidRPr="00FA0D37" w:rsidRDefault="00394471" w:rsidP="00FA0D37">
      <w:pPr>
        <w:pStyle w:val="PL"/>
        <w:rPr>
          <w:color w:val="808080"/>
        </w:rPr>
      </w:pPr>
      <w:r w:rsidRPr="00FA0D37">
        <w:t xml:space="preserve">    co-DurationsPerCellToReleaseList-r16 </w:t>
      </w:r>
      <w:r w:rsidRPr="00FA0D37">
        <w:rPr>
          <w:color w:val="993366"/>
        </w:rPr>
        <w:t>SEQUENCE</w:t>
      </w:r>
      <w:r w:rsidRPr="00FA0D37">
        <w:t xml:space="preserve"> (</w:t>
      </w:r>
      <w:r w:rsidRPr="00FA0D37">
        <w:rPr>
          <w:color w:val="993366"/>
        </w:rPr>
        <w:t>SIZE</w:t>
      </w:r>
      <w:r w:rsidRPr="00FA0D37">
        <w:t>(1..maxNrofAggregatedCellsPerCellGroup))</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N</w:t>
      </w:r>
    </w:p>
    <w:p w14:paraId="124164AD" w14:textId="31CE6D48" w:rsidR="00522428" w:rsidRPr="00FA0D37" w:rsidRDefault="00394471" w:rsidP="00FA0D37">
      <w:pPr>
        <w:pStyle w:val="PL"/>
      </w:pPr>
      <w:r w:rsidRPr="00FA0D37">
        <w:t xml:space="preserve">    ]]</w:t>
      </w:r>
      <w:r w:rsidR="00522428" w:rsidRPr="00FA0D37">
        <w:t>,</w:t>
      </w:r>
    </w:p>
    <w:p w14:paraId="71BFEE2D" w14:textId="0C7F0270" w:rsidR="00522428" w:rsidRPr="00FA0D37" w:rsidRDefault="00522428" w:rsidP="00FA0D37">
      <w:pPr>
        <w:pStyle w:val="PL"/>
      </w:pPr>
      <w:r w:rsidRPr="00FA0D37">
        <w:lastRenderedPageBreak/>
        <w:t xml:space="preserve">    [[</w:t>
      </w:r>
    </w:p>
    <w:p w14:paraId="2B74ACAE" w14:textId="630E8B3C" w:rsidR="00522428" w:rsidRPr="00FA0D37" w:rsidRDefault="00522428" w:rsidP="00FA0D37">
      <w:pPr>
        <w:pStyle w:val="PL"/>
      </w:pPr>
      <w:r w:rsidRPr="00FA0D37">
        <w:t xml:space="preserve">    switchTriggerToAddModListSizeExt-</w:t>
      </w:r>
      <w:r w:rsidR="00521FFF" w:rsidRPr="00FA0D37">
        <w:t>r</w:t>
      </w:r>
      <w:r w:rsidRPr="00FA0D37">
        <w:t xml:space="preserve">16   </w:t>
      </w:r>
      <w:r w:rsidRPr="00FA0D37">
        <w:rPr>
          <w:color w:val="993366"/>
        </w:rPr>
        <w:t>SEQUENCE</w:t>
      </w:r>
      <w:r w:rsidRPr="00FA0D37">
        <w:t xml:space="preserve"> (</w:t>
      </w:r>
      <w:r w:rsidRPr="00FA0D37">
        <w:rPr>
          <w:color w:val="993366"/>
        </w:rPr>
        <w:t>SIZE</w:t>
      </w:r>
      <w:r w:rsidRPr="00FA0D37">
        <w:t>(1..maxNrofAggregatedCellsPerCellGroupMinus4-r16))</w:t>
      </w:r>
      <w:r w:rsidRPr="00FA0D37">
        <w:rPr>
          <w:color w:val="993366"/>
        </w:rPr>
        <w:t xml:space="preserve"> OF</w:t>
      </w:r>
    </w:p>
    <w:p w14:paraId="6B21306D" w14:textId="11744476" w:rsidR="00522428" w:rsidRPr="00FA0D37" w:rsidRDefault="00522428" w:rsidP="00FA0D37">
      <w:pPr>
        <w:pStyle w:val="PL"/>
        <w:rPr>
          <w:color w:val="808080"/>
        </w:rPr>
      </w:pPr>
      <w:r w:rsidRPr="00FA0D37">
        <w:t xml:space="preserve">        SearchSpaceSwitchTrigger-r16  </w:t>
      </w:r>
      <w:r w:rsidRPr="00FA0D37">
        <w:rPr>
          <w:color w:val="993366"/>
        </w:rPr>
        <w:t>OPTIONAL</w:t>
      </w:r>
      <w:r w:rsidRPr="00FA0D37">
        <w:t xml:space="preserve">, </w:t>
      </w:r>
      <w:r w:rsidRPr="00FA0D37">
        <w:rPr>
          <w:color w:val="808080"/>
        </w:rPr>
        <w:t>-- Need N</w:t>
      </w:r>
    </w:p>
    <w:p w14:paraId="31AC0469" w14:textId="649258A7" w:rsidR="00BB1623" w:rsidRPr="00FA0D37" w:rsidRDefault="00522428" w:rsidP="00FA0D37">
      <w:pPr>
        <w:pStyle w:val="PL"/>
      </w:pPr>
      <w:r w:rsidRPr="00FA0D37">
        <w:t xml:space="preserve">    switchTriggerToReleaseListSizeExt-</w:t>
      </w:r>
      <w:r w:rsidR="00521FFF" w:rsidRPr="00FA0D37">
        <w:t>r</w:t>
      </w:r>
      <w:r w:rsidRPr="00FA0D37">
        <w:t xml:space="preserve">16  </w:t>
      </w:r>
      <w:r w:rsidRPr="00FA0D37">
        <w:rPr>
          <w:color w:val="993366"/>
        </w:rPr>
        <w:t>SEQUENCE</w:t>
      </w:r>
      <w:r w:rsidRPr="00FA0D37">
        <w:t xml:space="preserve"> (</w:t>
      </w:r>
      <w:r w:rsidRPr="00FA0D37">
        <w:rPr>
          <w:color w:val="993366"/>
        </w:rPr>
        <w:t>SIZE</w:t>
      </w:r>
      <w:r w:rsidRPr="00FA0D37">
        <w:t>(1.. maxNrofAggregatedCellsPerCellGroupMinus4-r16))</w:t>
      </w:r>
      <w:r w:rsidRPr="00FA0D37">
        <w:rPr>
          <w:color w:val="993366"/>
        </w:rPr>
        <w:t xml:space="preserve"> OF</w:t>
      </w:r>
    </w:p>
    <w:p w14:paraId="734BBE01" w14:textId="5A564CB5" w:rsidR="00522428" w:rsidRPr="00FA0D37" w:rsidRDefault="00522428" w:rsidP="00FA0D37">
      <w:pPr>
        <w:pStyle w:val="PL"/>
        <w:rPr>
          <w:color w:val="808080"/>
        </w:rPr>
      </w:pPr>
      <w:r w:rsidRPr="00FA0D37">
        <w:t xml:space="preserve">       </w:t>
      </w:r>
      <w:r w:rsidR="00BB1623" w:rsidRPr="00FA0D37">
        <w:t xml:space="preserve"> </w:t>
      </w:r>
      <w:r w:rsidR="00842893" w:rsidRPr="00FA0D37">
        <w:t>ServCellIndex</w:t>
      </w:r>
      <w:r w:rsidR="00BB1623" w:rsidRPr="00FA0D37">
        <w:t xml:space="preserve">                </w:t>
      </w:r>
      <w:r w:rsidRPr="00FA0D37">
        <w:t xml:space="preserve"> </w:t>
      </w:r>
      <w:r w:rsidRPr="00FA0D37">
        <w:rPr>
          <w:color w:val="993366"/>
        </w:rPr>
        <w:t>OPTIONAL</w:t>
      </w:r>
      <w:r w:rsidRPr="00FA0D37">
        <w:t xml:space="preserve">  </w:t>
      </w:r>
      <w:r w:rsidRPr="00FA0D37">
        <w:rPr>
          <w:color w:val="808080"/>
        </w:rPr>
        <w:t>-- Need N</w:t>
      </w:r>
    </w:p>
    <w:p w14:paraId="30EB0EEB" w14:textId="37891035" w:rsidR="00F12A49" w:rsidRPr="00FA0D37" w:rsidRDefault="00835756" w:rsidP="00FA0D37">
      <w:pPr>
        <w:pStyle w:val="PL"/>
      </w:pPr>
      <w:r w:rsidRPr="00FA0D37">
        <w:t xml:space="preserve">    </w:t>
      </w:r>
      <w:r w:rsidR="00522428" w:rsidRPr="00FA0D37">
        <w:t>]]</w:t>
      </w:r>
      <w:r w:rsidR="00F12A49" w:rsidRPr="00FA0D37">
        <w:t>,</w:t>
      </w:r>
    </w:p>
    <w:p w14:paraId="44A82CE8" w14:textId="7BC5C964" w:rsidR="00F12A49" w:rsidRPr="00FA0D37" w:rsidRDefault="00F12A49" w:rsidP="00FA0D37">
      <w:pPr>
        <w:pStyle w:val="PL"/>
      </w:pPr>
      <w:r w:rsidRPr="00FA0D37">
        <w:t xml:space="preserve">    [[</w:t>
      </w:r>
    </w:p>
    <w:p w14:paraId="02CF8A77" w14:textId="3D8BC68D" w:rsidR="00F12A49" w:rsidRPr="00FA0D37" w:rsidRDefault="00F12A49" w:rsidP="00FA0D37">
      <w:pPr>
        <w:pStyle w:val="PL"/>
        <w:rPr>
          <w:color w:val="808080"/>
        </w:rPr>
      </w:pPr>
      <w:r w:rsidRPr="00FA0D37">
        <w:t xml:space="preserve">    co-DurationsPerCellToAddModList-r17 </w:t>
      </w:r>
      <w:r w:rsidRPr="00FA0D37">
        <w:rPr>
          <w:color w:val="993366"/>
        </w:rPr>
        <w:t>SEQUENCE</w:t>
      </w:r>
      <w:r w:rsidRPr="00FA0D37">
        <w:t xml:space="preserve"> (</w:t>
      </w:r>
      <w:r w:rsidRPr="00FA0D37">
        <w:rPr>
          <w:color w:val="993366"/>
        </w:rPr>
        <w:t>SIZE</w:t>
      </w:r>
      <w:r w:rsidRPr="00FA0D37">
        <w:t>(1..maxNrofAggregatedCellsPerCellGroup))</w:t>
      </w:r>
      <w:r w:rsidRPr="00FA0D37">
        <w:rPr>
          <w:color w:val="993366"/>
        </w:rPr>
        <w:t xml:space="preserve"> OF</w:t>
      </w:r>
      <w:r w:rsidRPr="00FA0D37">
        <w:t xml:space="preserve"> CO-DurationsPerCell-r17 </w:t>
      </w:r>
      <w:r w:rsidRPr="00FA0D37">
        <w:rPr>
          <w:color w:val="993366"/>
        </w:rPr>
        <w:t>OPTIONAL</w:t>
      </w:r>
      <w:r w:rsidRPr="00FA0D37">
        <w:t xml:space="preserve">  </w:t>
      </w:r>
      <w:r w:rsidRPr="00FA0D37">
        <w:rPr>
          <w:color w:val="808080"/>
        </w:rPr>
        <w:t>-- Need N</w:t>
      </w:r>
    </w:p>
    <w:p w14:paraId="1BD800D9" w14:textId="0C301461" w:rsidR="00394471" w:rsidRPr="00FA0D37" w:rsidRDefault="00F12A49" w:rsidP="00FA0D37">
      <w:pPr>
        <w:pStyle w:val="PL"/>
      </w:pPr>
      <w:r w:rsidRPr="00FA0D37">
        <w:t xml:space="preserve">    ]]</w:t>
      </w:r>
    </w:p>
    <w:p w14:paraId="48A54738" w14:textId="77777777" w:rsidR="00394471" w:rsidRPr="00FA0D37" w:rsidRDefault="00394471" w:rsidP="00FA0D37">
      <w:pPr>
        <w:pStyle w:val="PL"/>
      </w:pPr>
      <w:r w:rsidRPr="00FA0D37">
        <w:t>}</w:t>
      </w:r>
    </w:p>
    <w:p w14:paraId="07AA06A4" w14:textId="77777777" w:rsidR="00394471" w:rsidRPr="00FA0D37" w:rsidRDefault="00394471" w:rsidP="00FA0D37">
      <w:pPr>
        <w:pStyle w:val="PL"/>
      </w:pPr>
    </w:p>
    <w:p w14:paraId="20CD6625" w14:textId="77777777" w:rsidR="00394471" w:rsidRPr="00FA0D37" w:rsidRDefault="00394471" w:rsidP="00FA0D37">
      <w:pPr>
        <w:pStyle w:val="PL"/>
      </w:pPr>
      <w:r w:rsidRPr="00FA0D37">
        <w:t xml:space="preserve">CO-DurationsPerCell-r16 ::=   </w:t>
      </w:r>
      <w:r w:rsidRPr="00FA0D37">
        <w:rPr>
          <w:color w:val="993366"/>
        </w:rPr>
        <w:t>SEQUENCE</w:t>
      </w:r>
      <w:r w:rsidRPr="00FA0D37">
        <w:t xml:space="preserve"> {</w:t>
      </w:r>
    </w:p>
    <w:p w14:paraId="02D4657F" w14:textId="75048C50" w:rsidR="00394471" w:rsidRPr="00FA0D37" w:rsidRDefault="00394471" w:rsidP="00FA0D37">
      <w:pPr>
        <w:pStyle w:val="PL"/>
      </w:pPr>
      <w:r w:rsidRPr="00FA0D37">
        <w:t xml:space="preserve">    servingCellId-r16            </w:t>
      </w:r>
      <w:r w:rsidR="00F12A49" w:rsidRPr="00FA0D37">
        <w:t xml:space="preserve"> </w:t>
      </w:r>
      <w:r w:rsidRPr="00FA0D37">
        <w:t>ServCellIndex,</w:t>
      </w:r>
    </w:p>
    <w:p w14:paraId="29467AA0" w14:textId="3522487D" w:rsidR="00394471" w:rsidRPr="00FA0D37" w:rsidRDefault="00394471" w:rsidP="00FA0D37">
      <w:pPr>
        <w:pStyle w:val="PL"/>
      </w:pPr>
      <w:r w:rsidRPr="00FA0D37">
        <w:t xml:space="preserve">    positionInDCI-r16            </w:t>
      </w:r>
      <w:r w:rsidR="00F12A49" w:rsidRPr="00FA0D37">
        <w:t xml:space="preserve"> </w:t>
      </w:r>
      <w:r w:rsidRPr="00FA0D37">
        <w:rPr>
          <w:color w:val="993366"/>
        </w:rPr>
        <w:t>INTEGER</w:t>
      </w:r>
      <w:r w:rsidRPr="00FA0D37">
        <w:t>(0..maxSFI-DCI-PayloadSize-1),</w:t>
      </w:r>
    </w:p>
    <w:p w14:paraId="0FDB1C87" w14:textId="32226772" w:rsidR="00394471" w:rsidRPr="00FA0D37" w:rsidRDefault="00394471" w:rsidP="00FA0D37">
      <w:pPr>
        <w:pStyle w:val="PL"/>
      </w:pPr>
      <w:r w:rsidRPr="00FA0D37">
        <w:t xml:space="preserve">    subcarrierSpacing-r16        </w:t>
      </w:r>
      <w:r w:rsidR="00F12A49" w:rsidRPr="00FA0D37">
        <w:t xml:space="preserve"> </w:t>
      </w:r>
      <w:r w:rsidRPr="00FA0D37">
        <w:t>SubcarrierSpacing,</w:t>
      </w:r>
    </w:p>
    <w:p w14:paraId="63E22DB3" w14:textId="1E9AF03E" w:rsidR="00394471" w:rsidRPr="00FA0D37" w:rsidRDefault="00394471" w:rsidP="00FA0D37">
      <w:pPr>
        <w:pStyle w:val="PL"/>
      </w:pPr>
      <w:r w:rsidRPr="00FA0D37">
        <w:t xml:space="preserve">    co-DurationList-r16          </w:t>
      </w:r>
      <w:r w:rsidR="00F12A49" w:rsidRPr="00FA0D37">
        <w:t xml:space="preserve"> </w:t>
      </w:r>
      <w:r w:rsidRPr="00FA0D37">
        <w:rPr>
          <w:color w:val="993366"/>
        </w:rPr>
        <w:t>SEQUENCE</w:t>
      </w:r>
      <w:r w:rsidRPr="00FA0D37">
        <w:t xml:space="preserve"> (</w:t>
      </w:r>
      <w:r w:rsidRPr="00FA0D37">
        <w:rPr>
          <w:color w:val="993366"/>
        </w:rPr>
        <w:t>SIZE</w:t>
      </w:r>
      <w:r w:rsidRPr="00FA0D37">
        <w:t>(1..64))</w:t>
      </w:r>
      <w:r w:rsidRPr="00FA0D37">
        <w:rPr>
          <w:color w:val="993366"/>
        </w:rPr>
        <w:t xml:space="preserve"> OF</w:t>
      </w:r>
      <w:r w:rsidRPr="00FA0D37">
        <w:t xml:space="preserve"> CO-Duration-r16</w:t>
      </w:r>
    </w:p>
    <w:p w14:paraId="770010E1" w14:textId="77777777" w:rsidR="00394471" w:rsidRPr="00FA0D37" w:rsidRDefault="00394471" w:rsidP="00FA0D37">
      <w:pPr>
        <w:pStyle w:val="PL"/>
      </w:pPr>
      <w:r w:rsidRPr="00FA0D37">
        <w:t>}</w:t>
      </w:r>
    </w:p>
    <w:p w14:paraId="462EDAD3" w14:textId="77777777" w:rsidR="00F12A49" w:rsidRPr="00FA0D37" w:rsidRDefault="00F12A49" w:rsidP="00FA0D37">
      <w:pPr>
        <w:pStyle w:val="PL"/>
      </w:pPr>
    </w:p>
    <w:p w14:paraId="0E8DB8CE" w14:textId="77777777" w:rsidR="00F12A49" w:rsidRPr="00FA0D37" w:rsidRDefault="00F12A49" w:rsidP="00FA0D37">
      <w:pPr>
        <w:pStyle w:val="PL"/>
      </w:pPr>
      <w:r w:rsidRPr="00FA0D37">
        <w:t xml:space="preserve">CO-DurationsPerCell-r17 ::=   </w:t>
      </w:r>
      <w:r w:rsidRPr="00FA0D37">
        <w:rPr>
          <w:color w:val="993366"/>
        </w:rPr>
        <w:t>SEQUENCE</w:t>
      </w:r>
      <w:r w:rsidRPr="00FA0D37">
        <w:t xml:space="preserve"> {</w:t>
      </w:r>
    </w:p>
    <w:p w14:paraId="6DF77CBE" w14:textId="479CEE2C" w:rsidR="00F12A49" w:rsidRPr="00FA0D37" w:rsidRDefault="00F12A49" w:rsidP="00FA0D37">
      <w:pPr>
        <w:pStyle w:val="PL"/>
      </w:pPr>
      <w:r w:rsidRPr="00FA0D37">
        <w:t xml:space="preserve">    servingCellId-r17             ServCellIndex,</w:t>
      </w:r>
    </w:p>
    <w:p w14:paraId="4A7970EB" w14:textId="4CF999AA" w:rsidR="00F12A49" w:rsidRPr="00FA0D37" w:rsidRDefault="00F12A49" w:rsidP="00FA0D37">
      <w:pPr>
        <w:pStyle w:val="PL"/>
      </w:pPr>
      <w:r w:rsidRPr="00FA0D37">
        <w:t xml:space="preserve">    positionInDCI-r17             </w:t>
      </w:r>
      <w:r w:rsidRPr="00FA0D37">
        <w:rPr>
          <w:color w:val="993366"/>
        </w:rPr>
        <w:t>INTEGER</w:t>
      </w:r>
      <w:r w:rsidRPr="00FA0D37">
        <w:t>(0..maxSFI-DCI-PayloadSize-1),</w:t>
      </w:r>
    </w:p>
    <w:p w14:paraId="2FEDD6CA" w14:textId="430D0363" w:rsidR="00F12A49" w:rsidRPr="00FA0D37" w:rsidRDefault="00F12A49" w:rsidP="00FA0D37">
      <w:pPr>
        <w:pStyle w:val="PL"/>
      </w:pPr>
      <w:r w:rsidRPr="00FA0D37">
        <w:t xml:space="preserve">    subcarrierSpacing-r17         SubcarrierSpacing,</w:t>
      </w:r>
    </w:p>
    <w:p w14:paraId="5255E10B" w14:textId="49E6C3B1" w:rsidR="00F12A49" w:rsidRPr="00FA0D37" w:rsidRDefault="00F12A49" w:rsidP="00FA0D37">
      <w:pPr>
        <w:pStyle w:val="PL"/>
      </w:pPr>
      <w:r w:rsidRPr="00FA0D37">
        <w:t xml:space="preserve">    co-DurationList-r17           </w:t>
      </w:r>
      <w:r w:rsidRPr="00FA0D37">
        <w:rPr>
          <w:color w:val="993366"/>
        </w:rPr>
        <w:t>SEQUENCE</w:t>
      </w:r>
      <w:r w:rsidRPr="00FA0D37">
        <w:t xml:space="preserve"> (</w:t>
      </w:r>
      <w:r w:rsidRPr="00FA0D37">
        <w:rPr>
          <w:color w:val="993366"/>
        </w:rPr>
        <w:t>SIZE</w:t>
      </w:r>
      <w:r w:rsidRPr="00FA0D37">
        <w:t>(1..64))</w:t>
      </w:r>
      <w:r w:rsidRPr="00FA0D37">
        <w:rPr>
          <w:color w:val="993366"/>
        </w:rPr>
        <w:t xml:space="preserve"> OF</w:t>
      </w:r>
      <w:r w:rsidRPr="00FA0D37">
        <w:t xml:space="preserve"> CO-Duration-r17</w:t>
      </w:r>
    </w:p>
    <w:p w14:paraId="5894744F" w14:textId="3F368A49" w:rsidR="00394471" w:rsidRPr="00FA0D37" w:rsidRDefault="00F12A49" w:rsidP="00FA0D37">
      <w:pPr>
        <w:pStyle w:val="PL"/>
      </w:pPr>
      <w:r w:rsidRPr="00FA0D37">
        <w:t>}</w:t>
      </w:r>
    </w:p>
    <w:p w14:paraId="2A63E8EA" w14:textId="77777777" w:rsidR="00F12A49" w:rsidRPr="00FA0D37" w:rsidRDefault="00F12A49" w:rsidP="00FA0D37">
      <w:pPr>
        <w:pStyle w:val="PL"/>
      </w:pPr>
    </w:p>
    <w:p w14:paraId="523EDC2E" w14:textId="77777777" w:rsidR="00394471" w:rsidRPr="00FA0D37" w:rsidRDefault="00394471" w:rsidP="00FA0D37">
      <w:pPr>
        <w:pStyle w:val="PL"/>
      </w:pPr>
      <w:r w:rsidRPr="00FA0D37">
        <w:t xml:space="preserve">CO-Duration-r16 ::=    </w:t>
      </w:r>
      <w:r w:rsidRPr="00FA0D37">
        <w:rPr>
          <w:color w:val="993366"/>
        </w:rPr>
        <w:t>INTEGER</w:t>
      </w:r>
      <w:r w:rsidRPr="00FA0D37">
        <w:t xml:space="preserve"> (0..1120)</w:t>
      </w:r>
    </w:p>
    <w:p w14:paraId="5091B69D" w14:textId="3B28401C" w:rsidR="00394471" w:rsidRPr="00FA0D37" w:rsidRDefault="00F12A49" w:rsidP="00FA0D37">
      <w:pPr>
        <w:pStyle w:val="PL"/>
      </w:pPr>
      <w:r w:rsidRPr="00FA0D37">
        <w:t xml:space="preserve">CO-Duration-r17 ::=    </w:t>
      </w:r>
      <w:r w:rsidRPr="00FA0D37">
        <w:rPr>
          <w:color w:val="993366"/>
        </w:rPr>
        <w:t>INTEGER</w:t>
      </w:r>
      <w:r w:rsidRPr="00FA0D37">
        <w:t xml:space="preserve"> (0..4480)</w:t>
      </w:r>
    </w:p>
    <w:p w14:paraId="12303A42" w14:textId="77777777" w:rsidR="00F12A49" w:rsidRPr="00FA0D37" w:rsidRDefault="00F12A49" w:rsidP="00FA0D37">
      <w:pPr>
        <w:pStyle w:val="PL"/>
      </w:pPr>
    </w:p>
    <w:p w14:paraId="01178014" w14:textId="77777777" w:rsidR="00394471" w:rsidRPr="00FA0D37" w:rsidRDefault="00394471" w:rsidP="00FA0D37">
      <w:pPr>
        <w:pStyle w:val="PL"/>
      </w:pPr>
      <w:r w:rsidRPr="00FA0D37">
        <w:t xml:space="preserve">AvailableRB-SetsPerCell-r16 ::=   </w:t>
      </w:r>
      <w:r w:rsidRPr="00FA0D37">
        <w:rPr>
          <w:color w:val="993366"/>
        </w:rPr>
        <w:t>SEQUENCE</w:t>
      </w:r>
      <w:r w:rsidRPr="00FA0D37">
        <w:t xml:space="preserve"> {</w:t>
      </w:r>
    </w:p>
    <w:p w14:paraId="7D9926F9" w14:textId="77777777" w:rsidR="00394471" w:rsidRPr="00FA0D37" w:rsidRDefault="00394471" w:rsidP="00FA0D37">
      <w:pPr>
        <w:pStyle w:val="PL"/>
      </w:pPr>
      <w:r w:rsidRPr="00FA0D37">
        <w:t xml:space="preserve">    servingCellId-r16                 ServCellIndex,</w:t>
      </w:r>
    </w:p>
    <w:p w14:paraId="777928FF" w14:textId="77777777" w:rsidR="00394471" w:rsidRPr="00FA0D37" w:rsidRDefault="00394471" w:rsidP="00FA0D37">
      <w:pPr>
        <w:pStyle w:val="PL"/>
      </w:pPr>
      <w:r w:rsidRPr="00FA0D37">
        <w:t xml:space="preserve">    positionInDCI-r16                 </w:t>
      </w:r>
      <w:r w:rsidRPr="00FA0D37">
        <w:rPr>
          <w:color w:val="993366"/>
        </w:rPr>
        <w:t>INTEGER</w:t>
      </w:r>
      <w:r w:rsidRPr="00FA0D37">
        <w:t>(0..maxSFI-DCI-PayloadSize-1)</w:t>
      </w:r>
    </w:p>
    <w:p w14:paraId="7E26C4D4" w14:textId="77777777" w:rsidR="00394471" w:rsidRPr="00FA0D37" w:rsidRDefault="00394471" w:rsidP="00FA0D37">
      <w:pPr>
        <w:pStyle w:val="PL"/>
      </w:pPr>
      <w:r w:rsidRPr="00FA0D37">
        <w:t>}</w:t>
      </w:r>
    </w:p>
    <w:p w14:paraId="305A0582" w14:textId="77777777" w:rsidR="00394471" w:rsidRPr="00FA0D37" w:rsidRDefault="00394471" w:rsidP="00FA0D37">
      <w:pPr>
        <w:pStyle w:val="PL"/>
      </w:pPr>
    </w:p>
    <w:p w14:paraId="089215E3" w14:textId="77777777" w:rsidR="00394471" w:rsidRPr="00FA0D37" w:rsidRDefault="00394471" w:rsidP="00FA0D37">
      <w:pPr>
        <w:pStyle w:val="PL"/>
      </w:pPr>
      <w:r w:rsidRPr="00FA0D37">
        <w:t xml:space="preserve">SearchSpaceSwitchTrigger-r16 ::=   </w:t>
      </w:r>
      <w:r w:rsidRPr="00FA0D37">
        <w:rPr>
          <w:color w:val="993366"/>
        </w:rPr>
        <w:t>SEQUENCE</w:t>
      </w:r>
      <w:r w:rsidRPr="00FA0D37">
        <w:t xml:space="preserve"> {</w:t>
      </w:r>
    </w:p>
    <w:p w14:paraId="675E47C8" w14:textId="77777777" w:rsidR="00394471" w:rsidRPr="00FA0D37" w:rsidRDefault="00394471" w:rsidP="00FA0D37">
      <w:pPr>
        <w:pStyle w:val="PL"/>
      </w:pPr>
      <w:r w:rsidRPr="00FA0D37">
        <w:t xml:space="preserve">    servingCellId-r16                  ServCellIndex,</w:t>
      </w:r>
    </w:p>
    <w:p w14:paraId="26F4A4D7" w14:textId="77777777" w:rsidR="00394471" w:rsidRPr="00FA0D37" w:rsidRDefault="00394471" w:rsidP="00FA0D37">
      <w:pPr>
        <w:pStyle w:val="PL"/>
      </w:pPr>
      <w:r w:rsidRPr="00FA0D37">
        <w:t xml:space="preserve">    positionInDCI-r16                  </w:t>
      </w:r>
      <w:r w:rsidRPr="00FA0D37">
        <w:rPr>
          <w:color w:val="993366"/>
        </w:rPr>
        <w:t>INTEGER</w:t>
      </w:r>
      <w:r w:rsidRPr="00FA0D37">
        <w:t>(0..maxSFI-DCI-PayloadSize-1)</w:t>
      </w:r>
    </w:p>
    <w:p w14:paraId="12649623" w14:textId="77777777" w:rsidR="00394471" w:rsidRPr="00FA0D37" w:rsidRDefault="00394471" w:rsidP="00FA0D37">
      <w:pPr>
        <w:pStyle w:val="PL"/>
      </w:pPr>
      <w:r w:rsidRPr="00FA0D37">
        <w:t>}</w:t>
      </w:r>
    </w:p>
    <w:p w14:paraId="37E081E0" w14:textId="77777777" w:rsidR="00394471" w:rsidRPr="00FA0D37" w:rsidRDefault="00394471" w:rsidP="00FA0D37">
      <w:pPr>
        <w:pStyle w:val="PL"/>
      </w:pPr>
    </w:p>
    <w:p w14:paraId="3AE33AF4" w14:textId="77777777" w:rsidR="00394471" w:rsidRPr="00FA0D37" w:rsidRDefault="00394471" w:rsidP="00FA0D37">
      <w:pPr>
        <w:pStyle w:val="PL"/>
        <w:rPr>
          <w:color w:val="808080"/>
        </w:rPr>
      </w:pPr>
      <w:r w:rsidRPr="00FA0D37">
        <w:rPr>
          <w:color w:val="808080"/>
        </w:rPr>
        <w:t>-- TAG-SLOTFORMATINDICATOR-STOP</w:t>
      </w:r>
    </w:p>
    <w:p w14:paraId="3A596E8B" w14:textId="77777777" w:rsidR="00394471" w:rsidRPr="00FA0D37" w:rsidRDefault="00394471" w:rsidP="00FA0D37">
      <w:pPr>
        <w:pStyle w:val="PL"/>
        <w:rPr>
          <w:color w:val="808080"/>
        </w:rPr>
      </w:pPr>
      <w:r w:rsidRPr="00FA0D37">
        <w:rPr>
          <w:color w:val="808080"/>
        </w:rPr>
        <w:t>-- ASN1STOP</w:t>
      </w:r>
    </w:p>
    <w:p w14:paraId="13F2A46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FA0D37" w:rsidRDefault="00394471" w:rsidP="00964CC4">
            <w:pPr>
              <w:pStyle w:val="TAH"/>
              <w:rPr>
                <w:szCs w:val="22"/>
                <w:lang w:eastAsia="sv-SE"/>
              </w:rPr>
            </w:pPr>
            <w:r w:rsidRPr="00FA0D37">
              <w:rPr>
                <w:i/>
                <w:szCs w:val="22"/>
                <w:lang w:eastAsia="sv-SE"/>
              </w:rPr>
              <w:lastRenderedPageBreak/>
              <w:t xml:space="preserve">SlotFormatIndicator </w:t>
            </w:r>
            <w:r w:rsidRPr="00FA0D37">
              <w:rPr>
                <w:szCs w:val="22"/>
                <w:lang w:eastAsia="sv-SE"/>
              </w:rPr>
              <w:t>field descriptions</w:t>
            </w:r>
          </w:p>
        </w:tc>
      </w:tr>
      <w:tr w:rsidR="005C7FF4" w:rsidRPr="00FA0D37"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FA0D37" w:rsidRDefault="00394471" w:rsidP="00964CC4">
            <w:pPr>
              <w:pStyle w:val="TAL"/>
              <w:rPr>
                <w:szCs w:val="22"/>
                <w:lang w:eastAsia="sv-SE"/>
              </w:rPr>
            </w:pPr>
            <w:r w:rsidRPr="00FA0D37">
              <w:rPr>
                <w:b/>
                <w:i/>
                <w:szCs w:val="22"/>
                <w:lang w:eastAsia="sv-SE"/>
              </w:rPr>
              <w:t>availableRB-Set</w:t>
            </w:r>
            <w:r w:rsidRPr="00FA0D37">
              <w:rPr>
                <w:b/>
                <w:i/>
                <w:szCs w:val="22"/>
              </w:rPr>
              <w:t>sToAddModList</w:t>
            </w:r>
          </w:p>
          <w:p w14:paraId="55EBEA47" w14:textId="77777777" w:rsidR="00394471" w:rsidRPr="00FA0D37" w:rsidRDefault="00394471" w:rsidP="00964CC4">
            <w:pPr>
              <w:pStyle w:val="TAL"/>
              <w:rPr>
                <w:b/>
                <w:i/>
                <w:szCs w:val="22"/>
                <w:lang w:eastAsia="sv-SE"/>
              </w:rPr>
            </w:pPr>
            <w:r w:rsidRPr="00FA0D37">
              <w:rPr>
                <w:szCs w:val="22"/>
              </w:rPr>
              <w:t xml:space="preserve">A list of </w:t>
            </w:r>
            <w:r w:rsidRPr="00FA0D37">
              <w:rPr>
                <w:i/>
              </w:rPr>
              <w:t xml:space="preserve">AvailableRB-SetsPerCell </w:t>
            </w:r>
            <w:r w:rsidRPr="00FA0D37">
              <w:rPr>
                <w:iCs/>
              </w:rPr>
              <w:t>objects</w:t>
            </w:r>
            <w:r w:rsidRPr="00FA0D37">
              <w:rPr>
                <w:szCs w:val="22"/>
                <w:lang w:eastAsia="sv-SE"/>
              </w:rPr>
              <w:t xml:space="preserve"> (see TS 38.213 [13], clause 11.1.1).</w:t>
            </w:r>
          </w:p>
        </w:tc>
      </w:tr>
      <w:tr w:rsidR="005C7FF4" w:rsidRPr="00FA0D37"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FA0D37" w:rsidRDefault="00394471" w:rsidP="00964CC4">
            <w:pPr>
              <w:pStyle w:val="TAL"/>
              <w:rPr>
                <w:szCs w:val="22"/>
                <w:lang w:eastAsia="sv-SE"/>
              </w:rPr>
            </w:pPr>
            <w:r w:rsidRPr="00FA0D37">
              <w:rPr>
                <w:b/>
                <w:i/>
                <w:szCs w:val="22"/>
                <w:lang w:eastAsia="sv-SE"/>
              </w:rPr>
              <w:t>co-DurationsPerCell</w:t>
            </w:r>
            <w:r w:rsidRPr="00FA0D37">
              <w:rPr>
                <w:b/>
                <w:i/>
                <w:szCs w:val="22"/>
              </w:rPr>
              <w:t>ToAddModList</w:t>
            </w:r>
          </w:p>
          <w:p w14:paraId="199DDF63" w14:textId="0948F2D5" w:rsidR="00394471" w:rsidRPr="00FA0D37" w:rsidRDefault="00394471" w:rsidP="00964CC4">
            <w:pPr>
              <w:pStyle w:val="TAL"/>
              <w:rPr>
                <w:b/>
                <w:i/>
                <w:szCs w:val="22"/>
                <w:lang w:eastAsia="sv-SE"/>
              </w:rPr>
            </w:pPr>
            <w:r w:rsidRPr="00FA0D37">
              <w:rPr>
                <w:szCs w:val="22"/>
              </w:rPr>
              <w:t xml:space="preserve">A list of </w:t>
            </w:r>
            <w:r w:rsidRPr="00FA0D37">
              <w:rPr>
                <w:i/>
              </w:rPr>
              <w:t>CO-Duration</w:t>
            </w:r>
            <w:r w:rsidR="00522AAC" w:rsidRPr="00FA0D37">
              <w:rPr>
                <w:i/>
              </w:rPr>
              <w:t>s</w:t>
            </w:r>
            <w:r w:rsidRPr="00FA0D37">
              <w:rPr>
                <w:i/>
              </w:rPr>
              <w:t xml:space="preserve">PerCell </w:t>
            </w:r>
            <w:r w:rsidRPr="00FA0D37">
              <w:rPr>
                <w:iCs/>
              </w:rPr>
              <w:t xml:space="preserve">objects. </w:t>
            </w:r>
            <w:r w:rsidRPr="00FA0D37">
              <w:rPr>
                <w:szCs w:val="22"/>
                <w:lang w:eastAsia="sv-SE"/>
              </w:rPr>
              <w:t xml:space="preserve">If not configured, the UE uses </w:t>
            </w:r>
            <w:r w:rsidR="00261BA1" w:rsidRPr="00FA0D37">
              <w:rPr>
                <w:szCs w:val="22"/>
                <w:lang w:eastAsia="sv-SE"/>
              </w:rPr>
              <w:t xml:space="preserve">the </w:t>
            </w:r>
            <w:r w:rsidRPr="00FA0D37">
              <w:rPr>
                <w:szCs w:val="22"/>
              </w:rPr>
              <w:t>slot format indicator (</w:t>
            </w:r>
            <w:r w:rsidRPr="00FA0D37">
              <w:rPr>
                <w:szCs w:val="22"/>
                <w:lang w:eastAsia="sv-SE"/>
              </w:rPr>
              <w:t>SFI</w:t>
            </w:r>
            <w:r w:rsidRPr="00FA0D37">
              <w:rPr>
                <w:szCs w:val="22"/>
              </w:rPr>
              <w:t>), if available,</w:t>
            </w:r>
            <w:r w:rsidRPr="00FA0D37">
              <w:rPr>
                <w:szCs w:val="22"/>
                <w:lang w:eastAsia="sv-SE"/>
              </w:rPr>
              <w:t xml:space="preserve"> to determine the channel occupancy duration</w:t>
            </w:r>
            <w:r w:rsidR="00261BA1" w:rsidRPr="00FA0D37">
              <w:rPr>
                <w:szCs w:val="22"/>
                <w:lang w:eastAsia="sv-SE"/>
              </w:rPr>
              <w:t xml:space="preserve"> (see TS 38.213 [13], clause 11.1.1)</w:t>
            </w:r>
            <w:r w:rsidRPr="00FA0D37">
              <w:rPr>
                <w:szCs w:val="22"/>
                <w:lang w:eastAsia="sv-SE"/>
              </w:rPr>
              <w:t>.</w:t>
            </w:r>
          </w:p>
        </w:tc>
      </w:tr>
      <w:tr w:rsidR="005C7FF4" w:rsidRPr="00FA0D37"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FA0D37" w:rsidRDefault="001B0D59" w:rsidP="001B0D59">
            <w:pPr>
              <w:pStyle w:val="TAL"/>
              <w:rPr>
                <w:b/>
                <w:bCs/>
                <w:i/>
                <w:iCs/>
              </w:rPr>
            </w:pPr>
            <w:r w:rsidRPr="00FA0D37">
              <w:rPr>
                <w:b/>
                <w:bCs/>
                <w:i/>
                <w:iCs/>
              </w:rPr>
              <w:t>co-DurationsPerCellToReleaseList</w:t>
            </w:r>
          </w:p>
          <w:p w14:paraId="2D4116A8" w14:textId="7F538389" w:rsidR="001B0D59" w:rsidRPr="00FA0D37" w:rsidRDefault="001B0D59" w:rsidP="001B0D59">
            <w:pPr>
              <w:pStyle w:val="TAL"/>
              <w:rPr>
                <w:b/>
                <w:i/>
                <w:szCs w:val="22"/>
                <w:lang w:eastAsia="sv-SE"/>
              </w:rPr>
            </w:pPr>
            <w:r w:rsidRPr="00FA0D37">
              <w:rPr>
                <w:szCs w:val="22"/>
              </w:rPr>
              <w:t xml:space="preserve">A list of </w:t>
            </w:r>
            <w:r w:rsidRPr="00FA0D37">
              <w:rPr>
                <w:i/>
              </w:rPr>
              <w:t>CO-Duration</w:t>
            </w:r>
            <w:r w:rsidR="00AE0E17" w:rsidRPr="00FA0D37">
              <w:rPr>
                <w:i/>
              </w:rPr>
              <w:t>s</w:t>
            </w:r>
            <w:r w:rsidRPr="00FA0D37">
              <w:rPr>
                <w:i/>
              </w:rPr>
              <w:t xml:space="preserve">PerCell </w:t>
            </w:r>
            <w:r w:rsidRPr="00FA0D37">
              <w:rPr>
                <w:iCs/>
              </w:rPr>
              <w:t>objects to be released. A</w:t>
            </w:r>
            <w:r w:rsidRPr="00FA0D37">
              <w:rPr>
                <w:bCs/>
                <w:iCs/>
                <w:szCs w:val="22"/>
                <w:lang w:eastAsia="sv-SE"/>
              </w:rPr>
              <w:t xml:space="preserve">n entry created using </w:t>
            </w:r>
            <w:r w:rsidRPr="00FA0D37">
              <w:rPr>
                <w:i/>
                <w:iCs/>
              </w:rPr>
              <w:t>co-DurationsPerCellToAddModList-r16</w:t>
            </w:r>
            <w:r w:rsidRPr="00FA0D37">
              <w:rPr>
                <w:bCs/>
                <w:iCs/>
                <w:szCs w:val="22"/>
                <w:lang w:eastAsia="sv-SE"/>
              </w:rPr>
              <w:t xml:space="preserve"> or </w:t>
            </w:r>
            <w:r w:rsidRPr="00FA0D37">
              <w:rPr>
                <w:i/>
                <w:iCs/>
              </w:rPr>
              <w:t>co-DurationsPerCellToAddModList-r17</w:t>
            </w:r>
            <w:r w:rsidRPr="00FA0D37">
              <w:rPr>
                <w:bCs/>
                <w:iCs/>
                <w:szCs w:val="22"/>
                <w:lang w:eastAsia="sv-SE"/>
              </w:rPr>
              <w:t xml:space="preserve"> can be deleted using </w:t>
            </w:r>
            <w:r w:rsidRPr="00FA0D37">
              <w:rPr>
                <w:i/>
                <w:iCs/>
              </w:rPr>
              <w:t>co-DurationsPerCellToReleaseList</w:t>
            </w:r>
            <w:r w:rsidRPr="00FA0D37">
              <w:rPr>
                <w:b/>
                <w:bCs/>
                <w:i/>
                <w:iCs/>
              </w:rPr>
              <w:t>.</w:t>
            </w:r>
          </w:p>
        </w:tc>
      </w:tr>
      <w:tr w:rsidR="005C7FF4" w:rsidRPr="00FA0D37"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FA0D37" w:rsidRDefault="00394471" w:rsidP="00964CC4">
            <w:pPr>
              <w:pStyle w:val="TAL"/>
              <w:rPr>
                <w:szCs w:val="22"/>
                <w:lang w:eastAsia="sv-SE"/>
              </w:rPr>
            </w:pPr>
            <w:r w:rsidRPr="00FA0D37">
              <w:rPr>
                <w:b/>
                <w:i/>
                <w:szCs w:val="22"/>
                <w:lang w:eastAsia="sv-SE"/>
              </w:rPr>
              <w:t>dci-PayloadSize</w:t>
            </w:r>
          </w:p>
          <w:p w14:paraId="1169AD1F" w14:textId="77777777" w:rsidR="00394471" w:rsidRPr="00FA0D37" w:rsidRDefault="00394471" w:rsidP="00964CC4">
            <w:pPr>
              <w:pStyle w:val="TAL"/>
              <w:rPr>
                <w:szCs w:val="22"/>
                <w:lang w:eastAsia="sv-SE"/>
              </w:rPr>
            </w:pPr>
            <w:r w:rsidRPr="00FA0D37">
              <w:rPr>
                <w:szCs w:val="22"/>
                <w:lang w:eastAsia="sv-SE"/>
              </w:rPr>
              <w:t>Total length of the DCI payload scrambled with SFI-RNTI (see TS 38.213 [13], clause 11.1.1).</w:t>
            </w:r>
          </w:p>
        </w:tc>
      </w:tr>
      <w:tr w:rsidR="005C7FF4" w:rsidRPr="00FA0D37"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FA0D37" w:rsidRDefault="00394471" w:rsidP="00964CC4">
            <w:pPr>
              <w:pStyle w:val="TAL"/>
              <w:rPr>
                <w:szCs w:val="22"/>
                <w:lang w:eastAsia="sv-SE"/>
              </w:rPr>
            </w:pPr>
            <w:r w:rsidRPr="00FA0D37">
              <w:rPr>
                <w:b/>
                <w:i/>
                <w:szCs w:val="22"/>
                <w:lang w:eastAsia="sv-SE"/>
              </w:rPr>
              <w:t>sfi-RNTI</w:t>
            </w:r>
          </w:p>
          <w:p w14:paraId="1D2366CC" w14:textId="77777777" w:rsidR="00394471" w:rsidRPr="00FA0D37" w:rsidRDefault="00394471" w:rsidP="00964CC4">
            <w:pPr>
              <w:pStyle w:val="TAL"/>
              <w:rPr>
                <w:szCs w:val="22"/>
                <w:lang w:eastAsia="sv-SE"/>
              </w:rPr>
            </w:pPr>
            <w:r w:rsidRPr="00FA0D37">
              <w:rPr>
                <w:szCs w:val="22"/>
                <w:lang w:eastAsia="sv-SE"/>
              </w:rPr>
              <w:t>RNTI used for SFI on the given cell (see TS 38.213 [13], clause 11.1.1).</w:t>
            </w:r>
          </w:p>
        </w:tc>
      </w:tr>
      <w:tr w:rsidR="005C7FF4" w:rsidRPr="00FA0D37"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FA0D37" w:rsidRDefault="00394471" w:rsidP="00964CC4">
            <w:pPr>
              <w:pStyle w:val="TAL"/>
              <w:rPr>
                <w:szCs w:val="22"/>
                <w:lang w:eastAsia="sv-SE"/>
              </w:rPr>
            </w:pPr>
            <w:r w:rsidRPr="00FA0D37">
              <w:rPr>
                <w:b/>
                <w:i/>
                <w:szCs w:val="22"/>
                <w:lang w:eastAsia="sv-SE"/>
              </w:rPr>
              <w:t>slotFormatCombToAddModList</w:t>
            </w:r>
          </w:p>
          <w:p w14:paraId="3F34B057" w14:textId="77777777" w:rsidR="00394471" w:rsidRPr="00FA0D37" w:rsidRDefault="00394471" w:rsidP="00964CC4">
            <w:pPr>
              <w:pStyle w:val="TAL"/>
              <w:rPr>
                <w:szCs w:val="22"/>
                <w:lang w:eastAsia="sv-SE"/>
              </w:rPr>
            </w:pPr>
            <w:r w:rsidRPr="00FA0D37">
              <w:rPr>
                <w:szCs w:val="22"/>
                <w:lang w:eastAsia="sv-SE"/>
              </w:rPr>
              <w:t>A list of SlotFormatCombinations for the UE's serving cells (see TS 38.213 [13], clause 11.1.1).</w:t>
            </w:r>
          </w:p>
        </w:tc>
      </w:tr>
      <w:tr w:rsidR="005C7FF4" w:rsidRPr="00FA0D37"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FA0D37" w:rsidRDefault="00394471" w:rsidP="00964CC4">
            <w:pPr>
              <w:pStyle w:val="TAL"/>
              <w:rPr>
                <w:szCs w:val="22"/>
                <w:lang w:eastAsia="sv-SE"/>
              </w:rPr>
            </w:pPr>
            <w:r w:rsidRPr="00FA0D37">
              <w:rPr>
                <w:b/>
                <w:i/>
                <w:szCs w:val="22"/>
                <w:lang w:eastAsia="sv-SE"/>
              </w:rPr>
              <w:t>switchTrigger</w:t>
            </w:r>
            <w:r w:rsidRPr="00FA0D37">
              <w:rPr>
                <w:b/>
                <w:i/>
                <w:szCs w:val="22"/>
              </w:rPr>
              <w:t>ToAddModList</w:t>
            </w:r>
            <w:r w:rsidR="00BB1623" w:rsidRPr="00FA0D37">
              <w:rPr>
                <w:rFonts w:cs="Arial"/>
                <w:b/>
                <w:i/>
                <w:szCs w:val="22"/>
              </w:rPr>
              <w:t xml:space="preserve">, </w:t>
            </w:r>
            <w:r w:rsidR="00BB1623" w:rsidRPr="00FA0D37">
              <w:rPr>
                <w:rFonts w:cs="Arial"/>
                <w:b/>
                <w:i/>
                <w:szCs w:val="22"/>
                <w:lang w:eastAsia="sv-SE"/>
              </w:rPr>
              <w:t>switchTrigger</w:t>
            </w:r>
            <w:r w:rsidR="00BB1623" w:rsidRPr="00FA0D37">
              <w:rPr>
                <w:rFonts w:cs="Arial"/>
                <w:b/>
                <w:i/>
                <w:szCs w:val="22"/>
              </w:rPr>
              <w:t>ToAddModListSizeExt</w:t>
            </w:r>
          </w:p>
          <w:p w14:paraId="419E5D33" w14:textId="38E530A5" w:rsidR="00394471" w:rsidRPr="00FA0D37" w:rsidRDefault="00394471" w:rsidP="00964CC4">
            <w:pPr>
              <w:pStyle w:val="TAL"/>
              <w:rPr>
                <w:b/>
                <w:i/>
                <w:szCs w:val="22"/>
                <w:lang w:eastAsia="sv-SE"/>
              </w:rPr>
            </w:pPr>
            <w:r w:rsidRPr="00FA0D37">
              <w:t xml:space="preserve">A list of </w:t>
            </w:r>
            <w:r w:rsidRPr="00FA0D37">
              <w:rPr>
                <w:i/>
                <w:iCs/>
              </w:rPr>
              <w:t>SearchSpaceSwitchTrigger</w:t>
            </w:r>
            <w:r w:rsidRPr="00FA0D37">
              <w:t xml:space="preserve"> objects. Each </w:t>
            </w:r>
            <w:r w:rsidRPr="00FA0D37">
              <w:rPr>
                <w:i/>
                <w:iCs/>
              </w:rPr>
              <w:t>SearchSpaceSwitchTrigger</w:t>
            </w:r>
            <w:r w:rsidRPr="00FA0D37">
              <w:t xml:space="preserve"> object </w:t>
            </w:r>
            <w:r w:rsidRPr="00FA0D37">
              <w:rPr>
                <w:szCs w:val="22"/>
                <w:lang w:eastAsia="sv-SE"/>
              </w:rPr>
              <w:t xml:space="preserve">provides position in DCI of the bit field indicating search space switching flag for a </w:t>
            </w:r>
            <w:r w:rsidRPr="00FA0D37">
              <w:rPr>
                <w:szCs w:val="22"/>
              </w:rPr>
              <w:t xml:space="preserve">serving cell or, if </w:t>
            </w:r>
            <w:r w:rsidR="00261BA1" w:rsidRPr="00FA0D37">
              <w:rPr>
                <w:i/>
                <w:szCs w:val="22"/>
              </w:rPr>
              <w:t>c</w:t>
            </w:r>
            <w:r w:rsidRPr="00FA0D37">
              <w:rPr>
                <w:i/>
                <w:szCs w:val="22"/>
              </w:rPr>
              <w:t>ellGroup</w:t>
            </w:r>
            <w:r w:rsidR="00261BA1" w:rsidRPr="00FA0D37">
              <w:rPr>
                <w:i/>
                <w:szCs w:val="22"/>
              </w:rPr>
              <w:t>s</w:t>
            </w:r>
            <w:r w:rsidRPr="00FA0D37">
              <w:rPr>
                <w:i/>
                <w:szCs w:val="22"/>
              </w:rPr>
              <w:t>ForSwitch</w:t>
            </w:r>
            <w:r w:rsidR="00261BA1" w:rsidRPr="00FA0D37">
              <w:rPr>
                <w:i/>
                <w:szCs w:val="22"/>
              </w:rPr>
              <w:t>List</w:t>
            </w:r>
            <w:r w:rsidRPr="00FA0D37">
              <w:rPr>
                <w:iCs/>
                <w:szCs w:val="22"/>
              </w:rPr>
              <w:t xml:space="preserve"> is configured, </w:t>
            </w:r>
            <w:r w:rsidRPr="00FA0D37">
              <w:rPr>
                <w:szCs w:val="22"/>
                <w:lang w:eastAsia="sv-SE"/>
              </w:rPr>
              <w:t>group of serving cells (see TS 38.213 [13], clause 10.4).</w:t>
            </w:r>
            <w:r w:rsidR="00BB1623" w:rsidRPr="00FA0D37">
              <w:rPr>
                <w:rFonts w:cs="Arial"/>
                <w:szCs w:val="22"/>
                <w:lang w:eastAsia="sv-SE"/>
              </w:rPr>
              <w:t xml:space="preserve"> I</w:t>
            </w:r>
            <w:r w:rsidR="00BB1623" w:rsidRPr="00FA0D37">
              <w:rPr>
                <w:rFonts w:cs="Arial"/>
                <w:szCs w:val="22"/>
              </w:rPr>
              <w:t xml:space="preserve">f </w:t>
            </w:r>
            <w:r w:rsidR="00BB1623" w:rsidRPr="00FA0D37">
              <w:rPr>
                <w:rFonts w:cs="Arial"/>
                <w:i/>
                <w:szCs w:val="22"/>
              </w:rPr>
              <w:t>cellGroupsForSwitchList</w:t>
            </w:r>
            <w:r w:rsidR="00BB1623" w:rsidRPr="00FA0D37">
              <w:rPr>
                <w:rFonts w:cs="Arial"/>
                <w:iCs/>
                <w:szCs w:val="22"/>
              </w:rPr>
              <w:t xml:space="preserve"> is configured, only one of the cells belonging to the same cell group is</w:t>
            </w:r>
            <w:r w:rsidR="00BB1623" w:rsidRPr="00FA0D37">
              <w:rPr>
                <w:rFonts w:cs="Arial"/>
              </w:rPr>
              <w:t xml:space="preserve"> added/modified, and the configuration applies to all cells belonging to the </w:t>
            </w:r>
            <w:r w:rsidR="00BB1623" w:rsidRPr="00FA0D37">
              <w:rPr>
                <w:rFonts w:cs="Arial"/>
                <w:i/>
                <w:szCs w:val="22"/>
              </w:rPr>
              <w:t xml:space="preserve">cellGroupsForSwitchList </w:t>
            </w:r>
            <w:r w:rsidR="00BB1623" w:rsidRPr="00FA0D37">
              <w:rPr>
                <w:rFonts w:cs="Arial"/>
                <w:iCs/>
                <w:szCs w:val="22"/>
              </w:rPr>
              <w:t>(</w:t>
            </w:r>
            <w:r w:rsidR="00BB1623" w:rsidRPr="00FA0D37">
              <w:rPr>
                <w:rFonts w:cs="Arial"/>
                <w:szCs w:val="22"/>
                <w:lang w:eastAsia="sv-SE"/>
              </w:rPr>
              <w:t>see TS 38.213 [13], clause 10.4).</w:t>
            </w:r>
            <w:r w:rsidR="00BB1623" w:rsidRPr="00FA0D37">
              <w:t xml:space="preserve"> </w:t>
            </w:r>
            <w:r w:rsidR="00BB1623" w:rsidRPr="00FA0D37">
              <w:rPr>
                <w:rFonts w:cs="Arial"/>
                <w:bCs/>
                <w:iCs/>
                <w:szCs w:val="22"/>
              </w:rPr>
              <w:t xml:space="preserve">The network configures more than 4 </w:t>
            </w:r>
            <w:r w:rsidR="00BB1623" w:rsidRPr="00FA0D37">
              <w:rPr>
                <w:rFonts w:cs="Arial"/>
                <w:bCs/>
                <w:i/>
                <w:szCs w:val="22"/>
              </w:rPr>
              <w:t>SearchSpaceSwitchTrigger</w:t>
            </w:r>
            <w:r w:rsidR="00BB1623" w:rsidRPr="00FA0D37">
              <w:rPr>
                <w:rFonts w:cs="Arial"/>
                <w:bCs/>
                <w:iCs/>
                <w:szCs w:val="22"/>
              </w:rPr>
              <w:t xml:space="preserve"> objects only if </w:t>
            </w:r>
            <w:r w:rsidR="00BB1623" w:rsidRPr="00FA0D37">
              <w:rPr>
                <w:rFonts w:cs="Arial"/>
                <w:bCs/>
                <w:i/>
                <w:szCs w:val="22"/>
              </w:rPr>
              <w:t>cellGroupsForSwitchList</w:t>
            </w:r>
            <w:r w:rsidR="00BB1623" w:rsidRPr="00FA0D37">
              <w:rPr>
                <w:rFonts w:cs="Arial"/>
                <w:bCs/>
                <w:iCs/>
                <w:szCs w:val="22"/>
              </w:rPr>
              <w:t xml:space="preserve"> is not configured. </w:t>
            </w:r>
            <w:r w:rsidR="00BB1623" w:rsidRPr="00FA0D37">
              <w:rPr>
                <w:rFonts w:cs="Arial"/>
                <w:szCs w:val="18"/>
              </w:rPr>
              <w:t xml:space="preserve">The UE shall consider entries in </w:t>
            </w:r>
            <w:r w:rsidR="00BB1623" w:rsidRPr="00FA0D37">
              <w:rPr>
                <w:rFonts w:cs="Arial"/>
                <w:i/>
                <w:iCs/>
                <w:szCs w:val="18"/>
              </w:rPr>
              <w:t>switchTriggerToAddModList</w:t>
            </w:r>
            <w:r w:rsidR="00BB1623" w:rsidRPr="00FA0D37">
              <w:rPr>
                <w:rFonts w:cs="Arial"/>
                <w:szCs w:val="18"/>
              </w:rPr>
              <w:t xml:space="preserve"> and in </w:t>
            </w:r>
            <w:r w:rsidR="00BB1623" w:rsidRPr="00FA0D37">
              <w:rPr>
                <w:rFonts w:cs="Arial"/>
                <w:i/>
                <w:iCs/>
                <w:szCs w:val="18"/>
              </w:rPr>
              <w:t>switchTriggerToAddModListSizeExt</w:t>
            </w:r>
            <w:r w:rsidR="00BB1623" w:rsidRPr="00FA0D37">
              <w:rPr>
                <w:rFonts w:cs="Arial"/>
                <w:szCs w:val="18"/>
              </w:rPr>
              <w:t xml:space="preserve"> as a single list, i.e. an entry created using </w:t>
            </w:r>
            <w:r w:rsidR="00BB1623" w:rsidRPr="00FA0D37">
              <w:rPr>
                <w:rFonts w:cs="Arial"/>
                <w:i/>
                <w:iCs/>
                <w:szCs w:val="18"/>
              </w:rPr>
              <w:t>switchTriggerToAddModList</w:t>
            </w:r>
            <w:r w:rsidR="00BB1623" w:rsidRPr="00FA0D37">
              <w:rPr>
                <w:rFonts w:cs="Arial"/>
                <w:szCs w:val="18"/>
              </w:rPr>
              <w:t xml:space="preserve"> can be modifed using </w:t>
            </w:r>
            <w:r w:rsidR="00BB1623" w:rsidRPr="00FA0D37">
              <w:rPr>
                <w:rFonts w:cs="Arial"/>
                <w:i/>
                <w:iCs/>
                <w:szCs w:val="18"/>
              </w:rPr>
              <w:t>switchTriggerToAddModListSizeExt</w:t>
            </w:r>
            <w:r w:rsidR="00BB1623" w:rsidRPr="00FA0D37">
              <w:rPr>
                <w:rFonts w:cs="Arial"/>
                <w:szCs w:val="18"/>
              </w:rPr>
              <w:t xml:space="preserve"> and vice-versa.</w:t>
            </w:r>
          </w:p>
        </w:tc>
      </w:tr>
      <w:tr w:rsidR="008E528F" w:rsidRPr="00FA0D37"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FA0D37" w:rsidRDefault="00BB1623" w:rsidP="00BB1623">
            <w:pPr>
              <w:pStyle w:val="TAL"/>
              <w:rPr>
                <w:b/>
                <w:i/>
                <w:szCs w:val="22"/>
                <w:lang w:eastAsia="sv-SE"/>
              </w:rPr>
            </w:pPr>
            <w:r w:rsidRPr="00FA0D37">
              <w:rPr>
                <w:b/>
                <w:i/>
                <w:szCs w:val="22"/>
                <w:lang w:eastAsia="sv-SE"/>
              </w:rPr>
              <w:t>switchTriggerToReleaseModList, switchTriggerToReleaseListSizeExt</w:t>
            </w:r>
          </w:p>
          <w:p w14:paraId="05FC4449" w14:textId="7B67E192" w:rsidR="00BB1623" w:rsidRPr="00FA0D37" w:rsidRDefault="00BB1623" w:rsidP="00BB1623">
            <w:pPr>
              <w:pStyle w:val="TAL"/>
              <w:rPr>
                <w:bCs/>
                <w:iCs/>
                <w:szCs w:val="22"/>
                <w:lang w:eastAsia="sv-SE"/>
              </w:rPr>
            </w:pPr>
            <w:r w:rsidRPr="00FA0D37">
              <w:rPr>
                <w:bCs/>
                <w:iCs/>
                <w:szCs w:val="22"/>
                <w:lang w:eastAsia="sv-SE"/>
              </w:rPr>
              <w:t xml:space="preserve">A list of </w:t>
            </w:r>
            <w:r w:rsidRPr="00FA0D37">
              <w:rPr>
                <w:bCs/>
                <w:i/>
                <w:szCs w:val="22"/>
                <w:lang w:eastAsia="sv-SE"/>
              </w:rPr>
              <w:t>SearchSpaceSwitchTriggers</w:t>
            </w:r>
            <w:r w:rsidRPr="00FA0D37">
              <w:rPr>
                <w:bCs/>
                <w:iCs/>
                <w:szCs w:val="22"/>
                <w:lang w:eastAsia="sv-SE"/>
              </w:rPr>
              <w:t xml:space="preserve"> to be released. If </w:t>
            </w:r>
            <w:r w:rsidRPr="00FA0D37">
              <w:rPr>
                <w:bCs/>
                <w:i/>
                <w:szCs w:val="22"/>
                <w:lang w:eastAsia="sv-SE"/>
              </w:rPr>
              <w:t>cellGroupsForSwitchList</w:t>
            </w:r>
            <w:r w:rsidRPr="00FA0D37">
              <w:rPr>
                <w:bCs/>
                <w:iCs/>
                <w:szCs w:val="22"/>
                <w:lang w:eastAsia="sv-SE"/>
              </w:rPr>
              <w:t xml:space="preserve"> is configured, the </w:t>
            </w:r>
            <w:r w:rsidRPr="00FA0D37">
              <w:rPr>
                <w:bCs/>
                <w:i/>
                <w:szCs w:val="22"/>
                <w:lang w:eastAsia="sv-SE"/>
              </w:rPr>
              <w:t>SearchSpaceSwitchTrigger</w:t>
            </w:r>
            <w:r w:rsidRPr="00FA0D37">
              <w:rPr>
                <w:bCs/>
                <w:iCs/>
                <w:szCs w:val="22"/>
                <w:lang w:eastAsia="sv-SE"/>
              </w:rPr>
              <w:t xml:space="preserve"> is released for all serving cells belonging to the same </w:t>
            </w:r>
            <w:r w:rsidRPr="00FA0D37">
              <w:rPr>
                <w:bCs/>
                <w:i/>
                <w:szCs w:val="22"/>
                <w:lang w:eastAsia="sv-SE"/>
              </w:rPr>
              <w:t>CellGroupForSwitch</w:t>
            </w:r>
            <w:r w:rsidRPr="00FA0D37">
              <w:rPr>
                <w:bCs/>
                <w:iCs/>
                <w:szCs w:val="22"/>
                <w:lang w:eastAsia="sv-SE"/>
              </w:rPr>
              <w:t xml:space="preserve">. The UE shall consider entries in </w:t>
            </w:r>
            <w:r w:rsidRPr="00FA0D37">
              <w:rPr>
                <w:bCs/>
                <w:i/>
                <w:szCs w:val="22"/>
                <w:lang w:eastAsia="sv-SE"/>
              </w:rPr>
              <w:t>switchTriggerToReleaseList</w:t>
            </w:r>
            <w:r w:rsidRPr="00FA0D37">
              <w:rPr>
                <w:bCs/>
                <w:iCs/>
                <w:szCs w:val="22"/>
                <w:lang w:eastAsia="sv-SE"/>
              </w:rPr>
              <w:t xml:space="preserve"> and in </w:t>
            </w:r>
            <w:r w:rsidRPr="00FA0D37">
              <w:rPr>
                <w:bCs/>
                <w:i/>
                <w:szCs w:val="22"/>
                <w:lang w:eastAsia="sv-SE"/>
              </w:rPr>
              <w:t>switchTriggerToReleaseListSizeExt</w:t>
            </w:r>
            <w:r w:rsidRPr="00FA0D37">
              <w:rPr>
                <w:bCs/>
                <w:iCs/>
                <w:szCs w:val="22"/>
                <w:lang w:eastAsia="sv-SE"/>
              </w:rPr>
              <w:t xml:space="preserve"> as a single list, i.e. an entry created using </w:t>
            </w:r>
            <w:r w:rsidRPr="00FA0D37">
              <w:rPr>
                <w:bCs/>
                <w:i/>
                <w:szCs w:val="22"/>
                <w:lang w:eastAsia="sv-SE"/>
              </w:rPr>
              <w:t>switchTriggerToAddModList</w:t>
            </w:r>
            <w:r w:rsidRPr="00FA0D37">
              <w:rPr>
                <w:bCs/>
                <w:iCs/>
                <w:szCs w:val="22"/>
                <w:lang w:eastAsia="sv-SE"/>
              </w:rPr>
              <w:t xml:space="preserve"> or </w:t>
            </w:r>
            <w:r w:rsidRPr="00FA0D37">
              <w:rPr>
                <w:bCs/>
                <w:i/>
                <w:szCs w:val="22"/>
                <w:lang w:eastAsia="sv-SE"/>
              </w:rPr>
              <w:t>switchTriggerToAddModListSizeExt</w:t>
            </w:r>
            <w:r w:rsidRPr="00FA0D37">
              <w:rPr>
                <w:bCs/>
                <w:iCs/>
                <w:szCs w:val="22"/>
                <w:lang w:eastAsia="sv-SE"/>
              </w:rPr>
              <w:t xml:space="preserve"> can be deleted using </w:t>
            </w:r>
            <w:r w:rsidRPr="00FA0D37">
              <w:rPr>
                <w:bCs/>
                <w:i/>
                <w:szCs w:val="22"/>
                <w:lang w:eastAsia="sv-SE"/>
              </w:rPr>
              <w:t>switchTriggerToReleaseList</w:t>
            </w:r>
            <w:r w:rsidRPr="00FA0D37">
              <w:rPr>
                <w:bCs/>
                <w:iCs/>
                <w:szCs w:val="22"/>
                <w:lang w:eastAsia="sv-SE"/>
              </w:rPr>
              <w:t xml:space="preserve"> or </w:t>
            </w:r>
            <w:r w:rsidRPr="00FA0D37">
              <w:rPr>
                <w:bCs/>
                <w:i/>
                <w:szCs w:val="22"/>
                <w:lang w:eastAsia="sv-SE"/>
              </w:rPr>
              <w:t>switchTriggerToReleaseListSizeExt</w:t>
            </w:r>
            <w:r w:rsidRPr="00FA0D37">
              <w:rPr>
                <w:bCs/>
                <w:iCs/>
                <w:szCs w:val="22"/>
                <w:lang w:eastAsia="sv-SE"/>
              </w:rPr>
              <w:t>.</w:t>
            </w:r>
          </w:p>
        </w:tc>
      </w:tr>
    </w:tbl>
    <w:p w14:paraId="4E6BFC64"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FA0D37" w:rsidRDefault="00394471" w:rsidP="00964CC4">
            <w:pPr>
              <w:pStyle w:val="TAH"/>
              <w:rPr>
                <w:szCs w:val="22"/>
              </w:rPr>
            </w:pPr>
            <w:r w:rsidRPr="00FA0D37">
              <w:rPr>
                <w:i/>
              </w:rPr>
              <w:t xml:space="preserve">AvailableRB-SetsPerCell </w:t>
            </w:r>
            <w:r w:rsidRPr="00FA0D37">
              <w:rPr>
                <w:szCs w:val="22"/>
              </w:rPr>
              <w:t>field descriptions</w:t>
            </w:r>
          </w:p>
        </w:tc>
      </w:tr>
      <w:tr w:rsidR="005C7FF4" w:rsidRPr="00FA0D37"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FA0D37" w:rsidRDefault="00394471" w:rsidP="00964CC4">
            <w:pPr>
              <w:pStyle w:val="TAL"/>
              <w:rPr>
                <w:b/>
                <w:i/>
                <w:szCs w:val="22"/>
              </w:rPr>
            </w:pPr>
            <w:r w:rsidRPr="00FA0D37">
              <w:rPr>
                <w:b/>
                <w:i/>
                <w:szCs w:val="22"/>
              </w:rPr>
              <w:t>positionInDCI</w:t>
            </w:r>
          </w:p>
          <w:p w14:paraId="357DB7F4" w14:textId="77777777" w:rsidR="00394471" w:rsidRPr="00FA0D37" w:rsidRDefault="00394471" w:rsidP="00964CC4">
            <w:pPr>
              <w:pStyle w:val="TAL"/>
              <w:rPr>
                <w:szCs w:val="22"/>
              </w:rPr>
            </w:pPr>
            <w:r w:rsidRPr="00FA0D37">
              <w:rPr>
                <w:szCs w:val="22"/>
              </w:rPr>
              <w:t>The (starting) position of the bits within DCI payload indicating the availability of the RB sets of a serving cell (see TS 38.213 [13], clause 11.1.1).</w:t>
            </w:r>
          </w:p>
        </w:tc>
      </w:tr>
      <w:tr w:rsidR="00394471" w:rsidRPr="00FA0D37"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FA0D37" w:rsidRDefault="00394471" w:rsidP="00964CC4">
            <w:pPr>
              <w:pStyle w:val="TAL"/>
              <w:rPr>
                <w:szCs w:val="22"/>
              </w:rPr>
            </w:pPr>
            <w:r w:rsidRPr="00FA0D37">
              <w:rPr>
                <w:b/>
                <w:i/>
                <w:szCs w:val="22"/>
              </w:rPr>
              <w:t>servingCelIId</w:t>
            </w:r>
          </w:p>
          <w:p w14:paraId="56EC8980" w14:textId="77777777" w:rsidR="00394471" w:rsidRPr="00FA0D37" w:rsidRDefault="00394471" w:rsidP="00964CC4">
            <w:pPr>
              <w:pStyle w:val="TAL"/>
              <w:rPr>
                <w:szCs w:val="22"/>
              </w:rPr>
            </w:pPr>
            <w:r w:rsidRPr="00FA0D37">
              <w:rPr>
                <w:szCs w:val="22"/>
              </w:rPr>
              <w:t>The ID of the serving cell for which the configuration is applicable.</w:t>
            </w:r>
          </w:p>
        </w:tc>
      </w:tr>
    </w:tbl>
    <w:p w14:paraId="51F10FF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FA0D37" w:rsidRDefault="00394471" w:rsidP="00964CC4">
            <w:pPr>
              <w:pStyle w:val="TAH"/>
              <w:rPr>
                <w:szCs w:val="22"/>
              </w:rPr>
            </w:pPr>
            <w:r w:rsidRPr="00FA0D37">
              <w:rPr>
                <w:i/>
              </w:rPr>
              <w:lastRenderedPageBreak/>
              <w:t xml:space="preserve">CO-DurationsPerCell </w:t>
            </w:r>
            <w:r w:rsidRPr="00FA0D37">
              <w:rPr>
                <w:szCs w:val="22"/>
              </w:rPr>
              <w:t>field descriptions</w:t>
            </w:r>
          </w:p>
        </w:tc>
      </w:tr>
      <w:tr w:rsidR="005C7FF4" w:rsidRPr="00FA0D37"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FA0D37" w:rsidRDefault="00394471" w:rsidP="00964CC4">
            <w:pPr>
              <w:pStyle w:val="TAL"/>
              <w:rPr>
                <w:szCs w:val="22"/>
              </w:rPr>
            </w:pPr>
            <w:r w:rsidRPr="00FA0D37">
              <w:rPr>
                <w:b/>
                <w:i/>
                <w:szCs w:val="22"/>
              </w:rPr>
              <w:t>co-DurationList</w:t>
            </w:r>
          </w:p>
          <w:p w14:paraId="65546AF8" w14:textId="6DF3225D" w:rsidR="00F12A49" w:rsidRPr="00FA0D37" w:rsidRDefault="00394471" w:rsidP="00F12A49">
            <w:pPr>
              <w:pStyle w:val="TAL"/>
              <w:rPr>
                <w:szCs w:val="22"/>
              </w:rPr>
            </w:pPr>
            <w:r w:rsidRPr="00FA0D37">
              <w:t xml:space="preserve">A list of </w:t>
            </w:r>
            <w:r w:rsidRPr="00FA0D37">
              <w:rPr>
                <w:szCs w:val="22"/>
              </w:rPr>
              <w:t>Channel Occupancy duration in symbols.</w:t>
            </w:r>
          </w:p>
          <w:p w14:paraId="7298A480" w14:textId="468DCCC8" w:rsidR="00F12A49" w:rsidRPr="00FA0D37" w:rsidRDefault="00F12A49" w:rsidP="00F12A49">
            <w:pPr>
              <w:pStyle w:val="TAL"/>
              <w:rPr>
                <w:szCs w:val="22"/>
              </w:rPr>
            </w:pPr>
            <w:r w:rsidRPr="00FA0D37">
              <w:rPr>
                <w:szCs w:val="22"/>
              </w:rPr>
              <w:t>The maximum duration that can be configured for the following SCS</w:t>
            </w:r>
            <w:r w:rsidR="00AE0E17" w:rsidRPr="00FA0D37">
              <w:rPr>
                <w:szCs w:val="22"/>
              </w:rPr>
              <w:t>:</w:t>
            </w:r>
          </w:p>
          <w:p w14:paraId="2547E033" w14:textId="7F520E5B" w:rsidR="001B0D59" w:rsidRPr="00FA0D37" w:rsidRDefault="00AE0E17" w:rsidP="001B0D59">
            <w:pPr>
              <w:pStyle w:val="TAL"/>
              <w:rPr>
                <w:szCs w:val="22"/>
              </w:rPr>
            </w:pPr>
            <w:r w:rsidRPr="00FA0D37">
              <w:rPr>
                <w:szCs w:val="22"/>
              </w:rPr>
              <w:t>-</w:t>
            </w:r>
            <w:r w:rsidRPr="00FA0D37">
              <w:tab/>
            </w:r>
            <w:r w:rsidR="001B0D59" w:rsidRPr="00FA0D37">
              <w:rPr>
                <w:szCs w:val="22"/>
              </w:rPr>
              <w:t>15 kHz: 280.</w:t>
            </w:r>
          </w:p>
          <w:p w14:paraId="5170DC0B" w14:textId="2C4C03A0" w:rsidR="001B0D59" w:rsidRPr="00FA0D37" w:rsidRDefault="00AE0E17" w:rsidP="001B0D59">
            <w:pPr>
              <w:pStyle w:val="TAL"/>
              <w:rPr>
                <w:szCs w:val="22"/>
              </w:rPr>
            </w:pPr>
            <w:r w:rsidRPr="00FA0D37">
              <w:rPr>
                <w:szCs w:val="22"/>
              </w:rPr>
              <w:t>-</w:t>
            </w:r>
            <w:r w:rsidRPr="00FA0D37">
              <w:tab/>
            </w:r>
            <w:r w:rsidR="001B0D59" w:rsidRPr="00FA0D37">
              <w:rPr>
                <w:szCs w:val="22"/>
              </w:rPr>
              <w:t>30 kHz: 560.</w:t>
            </w:r>
          </w:p>
          <w:p w14:paraId="7C3E778A" w14:textId="326A9F8D" w:rsidR="001B0D59" w:rsidRPr="00FA0D37" w:rsidRDefault="00AE0E17" w:rsidP="001B0D59">
            <w:pPr>
              <w:pStyle w:val="TAL"/>
              <w:rPr>
                <w:szCs w:val="22"/>
              </w:rPr>
            </w:pPr>
            <w:r w:rsidRPr="00FA0D37">
              <w:rPr>
                <w:szCs w:val="22"/>
              </w:rPr>
              <w:t>-</w:t>
            </w:r>
            <w:r w:rsidRPr="00FA0D37">
              <w:tab/>
            </w:r>
            <w:r w:rsidR="001B0D59" w:rsidRPr="00FA0D37">
              <w:rPr>
                <w:szCs w:val="22"/>
              </w:rPr>
              <w:t>60 kHz: 1120.</w:t>
            </w:r>
          </w:p>
          <w:p w14:paraId="64EBBEBB" w14:textId="45C7A3EF" w:rsidR="00F12A49" w:rsidRPr="00FA0D37" w:rsidRDefault="00AE0E17" w:rsidP="001B0D59">
            <w:pPr>
              <w:pStyle w:val="TAL"/>
              <w:rPr>
                <w:szCs w:val="22"/>
              </w:rPr>
            </w:pPr>
            <w:r w:rsidRPr="00FA0D37">
              <w:rPr>
                <w:szCs w:val="22"/>
              </w:rPr>
              <w:t>-</w:t>
            </w:r>
            <w:r w:rsidRPr="00FA0D37">
              <w:tab/>
            </w:r>
            <w:r w:rsidR="00F12A49" w:rsidRPr="00FA0D37">
              <w:rPr>
                <w:szCs w:val="22"/>
              </w:rPr>
              <w:t>120 kHz: 560.</w:t>
            </w:r>
          </w:p>
          <w:p w14:paraId="4300EC11" w14:textId="40E69DB0" w:rsidR="00F12A49" w:rsidRPr="00FA0D37" w:rsidRDefault="00AE0E17" w:rsidP="00F12A49">
            <w:pPr>
              <w:pStyle w:val="TAL"/>
              <w:rPr>
                <w:szCs w:val="22"/>
              </w:rPr>
            </w:pPr>
            <w:r w:rsidRPr="00FA0D37">
              <w:rPr>
                <w:szCs w:val="22"/>
              </w:rPr>
              <w:t>-</w:t>
            </w:r>
            <w:r w:rsidRPr="00FA0D37">
              <w:tab/>
            </w:r>
            <w:r w:rsidR="00F12A49" w:rsidRPr="00FA0D37">
              <w:rPr>
                <w:szCs w:val="22"/>
              </w:rPr>
              <w:t>480 kHz: 2240.</w:t>
            </w:r>
          </w:p>
          <w:p w14:paraId="13EE6343" w14:textId="6C42AD58" w:rsidR="00394471" w:rsidRPr="00FA0D37" w:rsidRDefault="00AE0E17" w:rsidP="00F12A49">
            <w:pPr>
              <w:pStyle w:val="TAL"/>
              <w:rPr>
                <w:b/>
                <w:i/>
                <w:szCs w:val="22"/>
              </w:rPr>
            </w:pPr>
            <w:r w:rsidRPr="00FA0D37">
              <w:rPr>
                <w:szCs w:val="22"/>
              </w:rPr>
              <w:t>-</w:t>
            </w:r>
            <w:r w:rsidRPr="00FA0D37">
              <w:tab/>
            </w:r>
            <w:r w:rsidR="00F12A49" w:rsidRPr="00FA0D37">
              <w:rPr>
                <w:szCs w:val="22"/>
              </w:rPr>
              <w:t>960 kHz: 4480.</w:t>
            </w:r>
          </w:p>
        </w:tc>
      </w:tr>
      <w:tr w:rsidR="005C7FF4" w:rsidRPr="00FA0D37"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FA0D37" w:rsidRDefault="00394471" w:rsidP="00964CC4">
            <w:pPr>
              <w:pStyle w:val="TAL"/>
              <w:rPr>
                <w:b/>
                <w:i/>
                <w:szCs w:val="22"/>
              </w:rPr>
            </w:pPr>
            <w:r w:rsidRPr="00FA0D37">
              <w:rPr>
                <w:b/>
                <w:i/>
                <w:szCs w:val="22"/>
              </w:rPr>
              <w:t>positionInDCI</w:t>
            </w:r>
          </w:p>
          <w:p w14:paraId="37478D54" w14:textId="77777777" w:rsidR="00394471" w:rsidRPr="00FA0D37" w:rsidRDefault="00394471" w:rsidP="00964CC4">
            <w:pPr>
              <w:pStyle w:val="TAL"/>
              <w:rPr>
                <w:szCs w:val="22"/>
              </w:rPr>
            </w:pPr>
            <w:r w:rsidRPr="00FA0D37">
              <w:rPr>
                <w:szCs w:val="22"/>
              </w:rPr>
              <w:t>Position in DCI of the bit field indicating Channel Occupancy duration for UE's serving cells (see TS 38.213 [13], clause 11.1.1).</w:t>
            </w:r>
          </w:p>
        </w:tc>
      </w:tr>
      <w:tr w:rsidR="005C7FF4" w:rsidRPr="00FA0D37"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FA0D37" w:rsidRDefault="00394471" w:rsidP="00964CC4">
            <w:pPr>
              <w:pStyle w:val="TAL"/>
              <w:rPr>
                <w:szCs w:val="22"/>
              </w:rPr>
            </w:pPr>
            <w:r w:rsidRPr="00FA0D37">
              <w:rPr>
                <w:b/>
                <w:i/>
                <w:szCs w:val="22"/>
              </w:rPr>
              <w:t>servingCelIId</w:t>
            </w:r>
          </w:p>
          <w:p w14:paraId="70020813" w14:textId="77777777" w:rsidR="00394471" w:rsidRPr="00FA0D37" w:rsidRDefault="00394471" w:rsidP="00964CC4">
            <w:pPr>
              <w:pStyle w:val="TAL"/>
              <w:rPr>
                <w:szCs w:val="22"/>
              </w:rPr>
            </w:pPr>
            <w:r w:rsidRPr="00FA0D37">
              <w:rPr>
                <w:szCs w:val="22"/>
              </w:rPr>
              <w:t>The ID of the serving cell for which the configuration is applicable.</w:t>
            </w:r>
          </w:p>
        </w:tc>
      </w:tr>
      <w:tr w:rsidR="00394471" w:rsidRPr="00FA0D37"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FA0D37" w:rsidRDefault="00394471" w:rsidP="00964CC4">
            <w:pPr>
              <w:pStyle w:val="TAL"/>
              <w:rPr>
                <w:b/>
                <w:i/>
                <w:szCs w:val="22"/>
              </w:rPr>
            </w:pPr>
            <w:r w:rsidRPr="00FA0D37">
              <w:rPr>
                <w:b/>
                <w:i/>
                <w:szCs w:val="22"/>
              </w:rPr>
              <w:t>subcarrierSpacing</w:t>
            </w:r>
          </w:p>
          <w:p w14:paraId="7A0C1DFB" w14:textId="2E3BF609" w:rsidR="00682C05" w:rsidRPr="00FA0D37" w:rsidRDefault="00394471" w:rsidP="00682C05">
            <w:pPr>
              <w:pStyle w:val="TAL"/>
              <w:rPr>
                <w:szCs w:val="22"/>
              </w:rPr>
            </w:pPr>
            <w:r w:rsidRPr="00FA0D37">
              <w:rPr>
                <w:szCs w:val="22"/>
              </w:rPr>
              <w:t>Reference subcarrier spacing for the list of Channel Occupancy durations (see TS 38.213 [13], clause 11.1.1).</w:t>
            </w:r>
          </w:p>
          <w:p w14:paraId="3DE70DA9" w14:textId="77777777" w:rsidR="00682C05" w:rsidRPr="00FA0D37" w:rsidRDefault="00682C05" w:rsidP="00682C05">
            <w:pPr>
              <w:pStyle w:val="TAL"/>
              <w:rPr>
                <w:rFonts w:eastAsia="MS Mincho"/>
                <w:szCs w:val="22"/>
                <w:lang w:eastAsia="sv-SE"/>
              </w:rPr>
            </w:pPr>
            <w:r w:rsidRPr="00FA0D37">
              <w:rPr>
                <w:rFonts w:eastAsia="MS Mincho"/>
                <w:szCs w:val="22"/>
                <w:lang w:eastAsia="sv-SE"/>
              </w:rPr>
              <w:t>Only the following values are applicable depending on the used frequency range:</w:t>
            </w:r>
          </w:p>
          <w:p w14:paraId="6403E063" w14:textId="77777777" w:rsidR="00682C05" w:rsidRPr="00FA0D37" w:rsidRDefault="00682C05" w:rsidP="00682C05">
            <w:pPr>
              <w:pStyle w:val="TAL"/>
              <w:rPr>
                <w:rFonts w:eastAsia="MS Mincho"/>
                <w:szCs w:val="22"/>
                <w:lang w:eastAsia="sv-SE"/>
              </w:rPr>
            </w:pPr>
            <w:r w:rsidRPr="00FA0D37">
              <w:rPr>
                <w:rFonts w:eastAsia="MS Mincho"/>
                <w:szCs w:val="22"/>
                <w:lang w:eastAsia="sv-SE"/>
              </w:rPr>
              <w:t>FR1:    15, 30, or 60 kHz</w:t>
            </w:r>
          </w:p>
          <w:p w14:paraId="118FD7C6" w14:textId="03C4278F" w:rsidR="00394471" w:rsidRPr="00FA0D37" w:rsidRDefault="00682C05" w:rsidP="00682C05">
            <w:pPr>
              <w:pStyle w:val="TAL"/>
              <w:rPr>
                <w:b/>
                <w:i/>
                <w:szCs w:val="22"/>
              </w:rPr>
            </w:pPr>
            <w:r w:rsidRPr="00FA0D37">
              <w:rPr>
                <w:rFonts w:eastAsia="MS Mincho"/>
                <w:szCs w:val="22"/>
                <w:lang w:eastAsia="sv-SE"/>
              </w:rPr>
              <w:t>FR2-2:  120, 480, or 960 kHz</w:t>
            </w:r>
          </w:p>
        </w:tc>
      </w:tr>
    </w:tbl>
    <w:p w14:paraId="2C05CE4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FA0D37" w:rsidRDefault="00394471" w:rsidP="00964CC4">
            <w:pPr>
              <w:pStyle w:val="TAH"/>
              <w:rPr>
                <w:szCs w:val="22"/>
              </w:rPr>
            </w:pPr>
            <w:r w:rsidRPr="00FA0D37">
              <w:rPr>
                <w:i/>
              </w:rPr>
              <w:t xml:space="preserve">SearchSpaceSwitchTrigger </w:t>
            </w:r>
            <w:r w:rsidRPr="00FA0D37">
              <w:rPr>
                <w:szCs w:val="22"/>
              </w:rPr>
              <w:t>field descriptions</w:t>
            </w:r>
          </w:p>
        </w:tc>
      </w:tr>
      <w:tr w:rsidR="005C7FF4" w:rsidRPr="00FA0D37"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FA0D37" w:rsidRDefault="00394471" w:rsidP="00964CC4">
            <w:pPr>
              <w:pStyle w:val="TAL"/>
              <w:rPr>
                <w:b/>
                <w:i/>
                <w:szCs w:val="22"/>
              </w:rPr>
            </w:pPr>
            <w:r w:rsidRPr="00FA0D37">
              <w:rPr>
                <w:b/>
                <w:i/>
                <w:szCs w:val="22"/>
              </w:rPr>
              <w:t>positionInDCI</w:t>
            </w:r>
          </w:p>
          <w:p w14:paraId="2083B1C8" w14:textId="77777777" w:rsidR="00394471" w:rsidRPr="00FA0D37" w:rsidRDefault="00394471" w:rsidP="00964CC4">
            <w:pPr>
              <w:pStyle w:val="TAL"/>
              <w:rPr>
                <w:szCs w:val="22"/>
              </w:rPr>
            </w:pPr>
            <w:r w:rsidRPr="00FA0D37">
              <w:t>The position of the bit within DCI payload containing a search space switching flag (see TS 38.213 [13], clause 11.1.1).</w:t>
            </w:r>
          </w:p>
        </w:tc>
      </w:tr>
      <w:tr w:rsidR="00394471" w:rsidRPr="00FA0D37"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FA0D37" w:rsidRDefault="00394471" w:rsidP="00964CC4">
            <w:pPr>
              <w:pStyle w:val="TAL"/>
              <w:rPr>
                <w:szCs w:val="22"/>
              </w:rPr>
            </w:pPr>
            <w:r w:rsidRPr="00FA0D37">
              <w:rPr>
                <w:b/>
                <w:i/>
                <w:szCs w:val="22"/>
              </w:rPr>
              <w:t>servingCellId</w:t>
            </w:r>
          </w:p>
          <w:p w14:paraId="55B1FF0B" w14:textId="77777777" w:rsidR="00394471" w:rsidRPr="00FA0D37" w:rsidRDefault="00394471" w:rsidP="00964CC4">
            <w:pPr>
              <w:pStyle w:val="TAL"/>
              <w:rPr>
                <w:szCs w:val="22"/>
              </w:rPr>
            </w:pPr>
            <w:r w:rsidRPr="00FA0D37">
              <w:rPr>
                <w:szCs w:val="22"/>
              </w:rPr>
              <w:t xml:space="preserve">The ID of the serving cell for which the configuration is applicable </w:t>
            </w:r>
            <w:r w:rsidRPr="00FA0D37">
              <w:t xml:space="preserve">or the group of serving cells as indicated by </w:t>
            </w:r>
            <w:r w:rsidRPr="00FA0D37">
              <w:rPr>
                <w:i/>
                <w:iCs/>
              </w:rPr>
              <w:t>CellGroupsForSwitch-r16</w:t>
            </w:r>
            <w:r w:rsidRPr="00FA0D37">
              <w:t xml:space="preserve"> containing this </w:t>
            </w:r>
            <w:r w:rsidRPr="00FA0D37">
              <w:rPr>
                <w:i/>
                <w:iCs/>
              </w:rPr>
              <w:t>servingCellId</w:t>
            </w:r>
            <w:r w:rsidRPr="00FA0D37">
              <w:rPr>
                <w:szCs w:val="22"/>
              </w:rPr>
              <w:t>.</w:t>
            </w:r>
          </w:p>
        </w:tc>
      </w:tr>
    </w:tbl>
    <w:p w14:paraId="09CAD7DB" w14:textId="77777777" w:rsidR="00394471" w:rsidRPr="00FA0D37" w:rsidRDefault="00394471" w:rsidP="00394471"/>
    <w:p w14:paraId="45C7AE32" w14:textId="77777777" w:rsidR="00394471" w:rsidRPr="00FA0D37" w:rsidRDefault="00394471" w:rsidP="00394471">
      <w:pPr>
        <w:pStyle w:val="4"/>
      </w:pPr>
      <w:bookmarkStart w:id="1409" w:name="_Toc60777390"/>
      <w:bookmarkStart w:id="1410" w:name="_Toc146781476"/>
      <w:r w:rsidRPr="00FA0D37">
        <w:t>–</w:t>
      </w:r>
      <w:r w:rsidRPr="00FA0D37">
        <w:tab/>
      </w:r>
      <w:r w:rsidRPr="00FA0D37">
        <w:rPr>
          <w:i/>
        </w:rPr>
        <w:t>S-NSSAI</w:t>
      </w:r>
      <w:bookmarkEnd w:id="1409"/>
      <w:bookmarkEnd w:id="1410"/>
    </w:p>
    <w:p w14:paraId="18729280" w14:textId="77777777" w:rsidR="00394471" w:rsidRPr="00FA0D37" w:rsidRDefault="00394471" w:rsidP="00394471">
      <w:r w:rsidRPr="00FA0D37">
        <w:t xml:space="preserve">The IE </w:t>
      </w:r>
      <w:r w:rsidRPr="00FA0D37">
        <w:rPr>
          <w:i/>
        </w:rPr>
        <w:t xml:space="preserve">S-NSSAI (Single Network Slice Selection Assistance Information) </w:t>
      </w:r>
      <w:r w:rsidRPr="00FA0D37">
        <w:t>identifies a Network Slice end to end and comprises a slice/service type and a slice differentiator, see TS 23.003 [21].</w:t>
      </w:r>
    </w:p>
    <w:p w14:paraId="7E6B0646" w14:textId="77777777" w:rsidR="00394471" w:rsidRPr="00FA0D37" w:rsidRDefault="00394471" w:rsidP="00394471">
      <w:pPr>
        <w:pStyle w:val="TH"/>
      </w:pPr>
      <w:r w:rsidRPr="00FA0D37">
        <w:rPr>
          <w:bCs/>
          <w:i/>
          <w:iCs/>
        </w:rPr>
        <w:t xml:space="preserve">S-NSSAI </w:t>
      </w:r>
      <w:r w:rsidRPr="00FA0D37">
        <w:t>information element</w:t>
      </w:r>
    </w:p>
    <w:p w14:paraId="6ADC9A19" w14:textId="77777777" w:rsidR="00394471" w:rsidRPr="00FA0D37" w:rsidRDefault="00394471" w:rsidP="00FA0D37">
      <w:pPr>
        <w:pStyle w:val="PL"/>
        <w:rPr>
          <w:color w:val="808080"/>
        </w:rPr>
      </w:pPr>
      <w:r w:rsidRPr="00FA0D37">
        <w:rPr>
          <w:color w:val="808080"/>
        </w:rPr>
        <w:t>-- ASN1START</w:t>
      </w:r>
    </w:p>
    <w:p w14:paraId="2C1095DD" w14:textId="77777777" w:rsidR="00394471" w:rsidRPr="00FA0D37" w:rsidRDefault="00394471" w:rsidP="00FA0D37">
      <w:pPr>
        <w:pStyle w:val="PL"/>
        <w:rPr>
          <w:color w:val="808080"/>
        </w:rPr>
      </w:pPr>
      <w:r w:rsidRPr="00FA0D37">
        <w:rPr>
          <w:color w:val="808080"/>
        </w:rPr>
        <w:t>-- TAG-S-NSSAI-START</w:t>
      </w:r>
    </w:p>
    <w:p w14:paraId="1351FE9A" w14:textId="77777777" w:rsidR="00394471" w:rsidRPr="00FA0D37" w:rsidRDefault="00394471" w:rsidP="00FA0D37">
      <w:pPr>
        <w:pStyle w:val="PL"/>
      </w:pPr>
    </w:p>
    <w:p w14:paraId="4BA12014" w14:textId="77777777" w:rsidR="00394471" w:rsidRPr="00FA0D37" w:rsidRDefault="00394471" w:rsidP="00FA0D37">
      <w:pPr>
        <w:pStyle w:val="PL"/>
      </w:pPr>
      <w:r w:rsidRPr="00FA0D37">
        <w:t xml:space="preserve">S-NSSAI  ::=                        </w:t>
      </w:r>
      <w:r w:rsidRPr="00FA0D37">
        <w:rPr>
          <w:color w:val="993366"/>
        </w:rPr>
        <w:t>CHOICE</w:t>
      </w:r>
      <w:r w:rsidRPr="00FA0D37">
        <w:t>{</w:t>
      </w:r>
    </w:p>
    <w:p w14:paraId="7F5879B3" w14:textId="77777777" w:rsidR="00394471" w:rsidRPr="00FA0D37" w:rsidRDefault="00394471" w:rsidP="00FA0D37">
      <w:pPr>
        <w:pStyle w:val="PL"/>
      </w:pPr>
      <w:r w:rsidRPr="00FA0D37">
        <w:t xml:space="preserve">    sst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0041D173" w14:textId="77777777" w:rsidR="00394471" w:rsidRPr="00FA0D37" w:rsidRDefault="00394471" w:rsidP="00FA0D37">
      <w:pPr>
        <w:pStyle w:val="PL"/>
      </w:pPr>
      <w:r w:rsidRPr="00FA0D37">
        <w:t xml:space="preserve">    sst-SD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w:t>
      </w:r>
    </w:p>
    <w:p w14:paraId="780CE158" w14:textId="77777777" w:rsidR="00394471" w:rsidRPr="00FA0D37" w:rsidRDefault="00394471" w:rsidP="00FA0D37">
      <w:pPr>
        <w:pStyle w:val="PL"/>
      </w:pPr>
      <w:r w:rsidRPr="00FA0D37">
        <w:t>}</w:t>
      </w:r>
    </w:p>
    <w:p w14:paraId="212DF27F" w14:textId="77777777" w:rsidR="00394471" w:rsidRPr="00FA0D37" w:rsidRDefault="00394471" w:rsidP="00FA0D37">
      <w:pPr>
        <w:pStyle w:val="PL"/>
      </w:pPr>
    </w:p>
    <w:p w14:paraId="7ABCA7DB" w14:textId="77777777" w:rsidR="00394471" w:rsidRPr="00FA0D37" w:rsidRDefault="00394471" w:rsidP="00FA0D37">
      <w:pPr>
        <w:pStyle w:val="PL"/>
        <w:rPr>
          <w:color w:val="808080"/>
        </w:rPr>
      </w:pPr>
      <w:r w:rsidRPr="00FA0D37">
        <w:rPr>
          <w:color w:val="808080"/>
        </w:rPr>
        <w:t>-- TAG-S-NSSAI-STOP</w:t>
      </w:r>
    </w:p>
    <w:p w14:paraId="328085D4" w14:textId="77777777" w:rsidR="00394471" w:rsidRPr="00FA0D37" w:rsidRDefault="00394471" w:rsidP="00FA0D37">
      <w:pPr>
        <w:pStyle w:val="PL"/>
        <w:rPr>
          <w:color w:val="808080"/>
        </w:rPr>
      </w:pPr>
      <w:r w:rsidRPr="00FA0D37">
        <w:rPr>
          <w:color w:val="808080"/>
        </w:rPr>
        <w:t>-- ASN1STOP</w:t>
      </w:r>
    </w:p>
    <w:p w14:paraId="079AE6D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FA0D37" w:rsidRDefault="00394471" w:rsidP="00964CC4">
            <w:pPr>
              <w:pStyle w:val="TAH"/>
              <w:rPr>
                <w:szCs w:val="22"/>
                <w:lang w:eastAsia="sv-SE"/>
              </w:rPr>
            </w:pPr>
            <w:r w:rsidRPr="00FA0D37">
              <w:rPr>
                <w:i/>
                <w:szCs w:val="22"/>
                <w:lang w:eastAsia="sv-SE"/>
              </w:rPr>
              <w:t xml:space="preserve">S-NSSAI </w:t>
            </w:r>
            <w:r w:rsidRPr="00FA0D37">
              <w:rPr>
                <w:szCs w:val="22"/>
                <w:lang w:eastAsia="sv-SE"/>
              </w:rPr>
              <w:t>field descriptions</w:t>
            </w:r>
          </w:p>
        </w:tc>
      </w:tr>
      <w:tr w:rsidR="005C7FF4" w:rsidRPr="00FA0D37"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FA0D37" w:rsidRDefault="00394471" w:rsidP="00964CC4">
            <w:pPr>
              <w:pStyle w:val="TAL"/>
              <w:rPr>
                <w:szCs w:val="22"/>
                <w:lang w:eastAsia="sv-SE"/>
              </w:rPr>
            </w:pPr>
            <w:r w:rsidRPr="00FA0D37">
              <w:rPr>
                <w:b/>
                <w:i/>
                <w:szCs w:val="22"/>
                <w:lang w:eastAsia="sv-SE"/>
              </w:rPr>
              <w:t>sst</w:t>
            </w:r>
          </w:p>
          <w:p w14:paraId="01CE4937" w14:textId="77777777" w:rsidR="00394471" w:rsidRPr="00FA0D37" w:rsidRDefault="00394471" w:rsidP="00964CC4">
            <w:pPr>
              <w:pStyle w:val="TAL"/>
              <w:rPr>
                <w:b/>
                <w:i/>
                <w:szCs w:val="22"/>
                <w:lang w:eastAsia="sv-SE"/>
              </w:rPr>
            </w:pPr>
            <w:r w:rsidRPr="00FA0D37">
              <w:rPr>
                <w:szCs w:val="22"/>
                <w:lang w:eastAsia="sv-SE"/>
              </w:rPr>
              <w:t>Indicates the S-NSSAI consisting of Slice/Service Type, see TS 23.003 [21].</w:t>
            </w:r>
          </w:p>
        </w:tc>
      </w:tr>
      <w:tr w:rsidR="00394471" w:rsidRPr="00FA0D37"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FA0D37" w:rsidRDefault="00394471" w:rsidP="00964CC4">
            <w:pPr>
              <w:pStyle w:val="TAL"/>
              <w:rPr>
                <w:szCs w:val="22"/>
                <w:lang w:eastAsia="sv-SE"/>
              </w:rPr>
            </w:pPr>
            <w:r w:rsidRPr="00FA0D37">
              <w:rPr>
                <w:b/>
                <w:i/>
                <w:szCs w:val="22"/>
                <w:lang w:eastAsia="sv-SE"/>
              </w:rPr>
              <w:t>sst-SD</w:t>
            </w:r>
          </w:p>
          <w:p w14:paraId="0917E17F" w14:textId="77777777" w:rsidR="00394471" w:rsidRPr="00FA0D37" w:rsidRDefault="00394471" w:rsidP="00964CC4">
            <w:pPr>
              <w:pStyle w:val="TAL"/>
              <w:rPr>
                <w:szCs w:val="22"/>
                <w:lang w:eastAsia="sv-SE"/>
              </w:rPr>
            </w:pPr>
            <w:r w:rsidRPr="00FA0D37">
              <w:rPr>
                <w:szCs w:val="22"/>
                <w:lang w:eastAsia="sv-SE"/>
              </w:rPr>
              <w:t>Indicates the S-NSSAI consisting of Slice/Service Type and Slice Differentiator, see TS 23.003 [21].</w:t>
            </w:r>
          </w:p>
        </w:tc>
      </w:tr>
    </w:tbl>
    <w:p w14:paraId="5815B71B" w14:textId="77777777" w:rsidR="00394471" w:rsidRPr="00FA0D37" w:rsidRDefault="00394471" w:rsidP="00394471"/>
    <w:p w14:paraId="541E7C5F" w14:textId="77777777" w:rsidR="00394471" w:rsidRPr="00FA0D37" w:rsidRDefault="00394471" w:rsidP="00394471">
      <w:pPr>
        <w:pStyle w:val="4"/>
      </w:pPr>
      <w:bookmarkStart w:id="1411" w:name="_Toc60777391"/>
      <w:bookmarkStart w:id="1412" w:name="_Toc146781477"/>
      <w:r w:rsidRPr="00FA0D37">
        <w:t>–</w:t>
      </w:r>
      <w:r w:rsidRPr="00FA0D37">
        <w:tab/>
      </w:r>
      <w:r w:rsidRPr="00FA0D37">
        <w:rPr>
          <w:i/>
        </w:rPr>
        <w:t>SpeedStateScaleFactors</w:t>
      </w:r>
      <w:bookmarkEnd w:id="1411"/>
      <w:bookmarkEnd w:id="1412"/>
    </w:p>
    <w:p w14:paraId="30962221" w14:textId="77777777" w:rsidR="00394471" w:rsidRPr="00FA0D37" w:rsidRDefault="00394471" w:rsidP="00394471">
      <w:r w:rsidRPr="00FA0D37">
        <w:t xml:space="preserve">The IE </w:t>
      </w:r>
      <w:r w:rsidRPr="00FA0D37">
        <w:rPr>
          <w:i/>
          <w:noProof/>
        </w:rPr>
        <w:t>SpeedStateScaleFactors</w:t>
      </w:r>
      <w:r w:rsidRPr="00FA0D37">
        <w:t xml:space="preserve"> concerns factors, to be applied when the UE is in medium or high speed state, used for scaling a mobility control related parameter.</w:t>
      </w:r>
    </w:p>
    <w:p w14:paraId="0AA808C2" w14:textId="77777777" w:rsidR="00394471" w:rsidRPr="00FA0D37" w:rsidRDefault="00394471" w:rsidP="00394471">
      <w:pPr>
        <w:pStyle w:val="TH"/>
      </w:pPr>
      <w:r w:rsidRPr="00FA0D37">
        <w:rPr>
          <w:bCs/>
          <w:i/>
          <w:iCs/>
        </w:rPr>
        <w:t xml:space="preserve">SpeedStateScaleFactors </w:t>
      </w:r>
      <w:r w:rsidRPr="00FA0D37">
        <w:t>information element</w:t>
      </w:r>
    </w:p>
    <w:p w14:paraId="6B64B9DD" w14:textId="77777777" w:rsidR="00394471" w:rsidRPr="00FA0D37" w:rsidRDefault="00394471" w:rsidP="00FA0D37">
      <w:pPr>
        <w:pStyle w:val="PL"/>
        <w:rPr>
          <w:color w:val="808080"/>
        </w:rPr>
      </w:pPr>
      <w:r w:rsidRPr="00FA0D37">
        <w:rPr>
          <w:color w:val="808080"/>
        </w:rPr>
        <w:t>-- ASN1START</w:t>
      </w:r>
    </w:p>
    <w:p w14:paraId="123B46C1" w14:textId="77777777" w:rsidR="00394471" w:rsidRPr="00FA0D37" w:rsidRDefault="00394471" w:rsidP="00FA0D37">
      <w:pPr>
        <w:pStyle w:val="PL"/>
        <w:rPr>
          <w:color w:val="808080"/>
        </w:rPr>
      </w:pPr>
      <w:r w:rsidRPr="00FA0D37">
        <w:rPr>
          <w:color w:val="808080"/>
        </w:rPr>
        <w:t>-- TAG-SPEEDSTATESCALEFACTORS-START</w:t>
      </w:r>
    </w:p>
    <w:p w14:paraId="07160A25" w14:textId="77777777" w:rsidR="00394471" w:rsidRPr="00FA0D37" w:rsidRDefault="00394471" w:rsidP="00FA0D37">
      <w:pPr>
        <w:pStyle w:val="PL"/>
      </w:pPr>
    </w:p>
    <w:p w14:paraId="738FF179" w14:textId="77777777" w:rsidR="00394471" w:rsidRPr="00FA0D37" w:rsidRDefault="00394471" w:rsidP="00FA0D37">
      <w:pPr>
        <w:pStyle w:val="PL"/>
      </w:pPr>
      <w:r w:rsidRPr="00FA0D37">
        <w:t xml:space="preserve">SpeedStateScaleFactors ::=          </w:t>
      </w:r>
      <w:r w:rsidRPr="00FA0D37">
        <w:rPr>
          <w:color w:val="993366"/>
        </w:rPr>
        <w:t>SEQUENCE</w:t>
      </w:r>
      <w:r w:rsidRPr="00FA0D37">
        <w:t xml:space="preserve"> {</w:t>
      </w:r>
    </w:p>
    <w:p w14:paraId="742FAC76" w14:textId="77777777" w:rsidR="00394471" w:rsidRPr="00FA0D37" w:rsidRDefault="00394471" w:rsidP="00FA0D37">
      <w:pPr>
        <w:pStyle w:val="PL"/>
      </w:pPr>
      <w:r w:rsidRPr="00FA0D37">
        <w:t xml:space="preserve">    sf-Medium                           </w:t>
      </w:r>
      <w:r w:rsidRPr="00FA0D37">
        <w:rPr>
          <w:color w:val="993366"/>
        </w:rPr>
        <w:t>ENUMERATED</w:t>
      </w:r>
      <w:r w:rsidRPr="00FA0D37">
        <w:t xml:space="preserve"> {oDot25, oDot5, oDot75, lDot0},</w:t>
      </w:r>
    </w:p>
    <w:p w14:paraId="63F80E4C" w14:textId="77777777" w:rsidR="00394471" w:rsidRPr="00FA0D37" w:rsidRDefault="00394471" w:rsidP="00FA0D37">
      <w:pPr>
        <w:pStyle w:val="PL"/>
      </w:pPr>
      <w:r w:rsidRPr="00FA0D37">
        <w:t xml:space="preserve">    sf-High                             </w:t>
      </w:r>
      <w:r w:rsidRPr="00FA0D37">
        <w:rPr>
          <w:color w:val="993366"/>
        </w:rPr>
        <w:t>ENUMERATED</w:t>
      </w:r>
      <w:r w:rsidRPr="00FA0D37">
        <w:t xml:space="preserve"> {oDot25, oDot5, oDot75, lDot0}</w:t>
      </w:r>
    </w:p>
    <w:p w14:paraId="3E4954F3" w14:textId="77777777" w:rsidR="00394471" w:rsidRPr="00FA0D37" w:rsidRDefault="00394471" w:rsidP="00FA0D37">
      <w:pPr>
        <w:pStyle w:val="PL"/>
      </w:pPr>
      <w:r w:rsidRPr="00FA0D37">
        <w:t>}</w:t>
      </w:r>
    </w:p>
    <w:p w14:paraId="1E4CB1DD" w14:textId="77777777" w:rsidR="00394471" w:rsidRPr="00FA0D37" w:rsidRDefault="00394471" w:rsidP="00FA0D37">
      <w:pPr>
        <w:pStyle w:val="PL"/>
        <w:rPr>
          <w:color w:val="808080"/>
        </w:rPr>
      </w:pPr>
      <w:r w:rsidRPr="00FA0D37">
        <w:rPr>
          <w:color w:val="808080"/>
        </w:rPr>
        <w:t>-- TAG-SPEEDSTATESCALEFACTORS-STOP</w:t>
      </w:r>
    </w:p>
    <w:p w14:paraId="7F503EFA" w14:textId="77777777" w:rsidR="00394471" w:rsidRPr="00FA0D37" w:rsidRDefault="00394471" w:rsidP="00FA0D37">
      <w:pPr>
        <w:pStyle w:val="PL"/>
        <w:rPr>
          <w:color w:val="808080"/>
        </w:rPr>
      </w:pPr>
      <w:r w:rsidRPr="00FA0D37">
        <w:rPr>
          <w:color w:val="808080"/>
        </w:rPr>
        <w:t>-- ASN1STOP</w:t>
      </w:r>
    </w:p>
    <w:p w14:paraId="448CF8E7"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5C7FF4" w:rsidRPr="00FA0D37"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FA0D37" w:rsidRDefault="00394471" w:rsidP="00964CC4">
            <w:pPr>
              <w:pStyle w:val="TAH"/>
              <w:rPr>
                <w:lang w:eastAsia="en-GB"/>
              </w:rPr>
            </w:pPr>
            <w:r w:rsidRPr="00FA0D37">
              <w:rPr>
                <w:i/>
                <w:noProof/>
                <w:lang w:eastAsia="en-GB"/>
              </w:rPr>
              <w:t>SpeedStateScaleFactors</w:t>
            </w:r>
            <w:r w:rsidRPr="00FA0D37">
              <w:rPr>
                <w:iCs/>
                <w:noProof/>
                <w:lang w:eastAsia="en-GB"/>
              </w:rPr>
              <w:t xml:space="preserve"> field descriptions</w:t>
            </w:r>
          </w:p>
        </w:tc>
      </w:tr>
      <w:tr w:rsidR="005C7FF4" w:rsidRPr="00FA0D37"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FA0D37" w:rsidRDefault="00394471" w:rsidP="00964CC4">
            <w:pPr>
              <w:pStyle w:val="TAL"/>
              <w:rPr>
                <w:b/>
                <w:bCs/>
                <w:i/>
                <w:noProof/>
                <w:lang w:eastAsia="en-GB"/>
              </w:rPr>
            </w:pPr>
            <w:r w:rsidRPr="00FA0D37">
              <w:rPr>
                <w:b/>
                <w:bCs/>
                <w:i/>
                <w:noProof/>
                <w:lang w:eastAsia="en-GB"/>
              </w:rPr>
              <w:t>sf-High</w:t>
            </w:r>
          </w:p>
          <w:p w14:paraId="1873C51F" w14:textId="77777777" w:rsidR="00394471" w:rsidRPr="00FA0D37" w:rsidRDefault="00394471" w:rsidP="00964CC4">
            <w:pPr>
              <w:pStyle w:val="TAL"/>
              <w:rPr>
                <w:b/>
                <w:bCs/>
                <w:i/>
                <w:noProof/>
                <w:lang w:eastAsia="en-GB"/>
              </w:rPr>
            </w:pPr>
            <w:r w:rsidRPr="00FA0D37">
              <w:rPr>
                <w:lang w:eastAsia="en-GB"/>
              </w:rPr>
              <w:t xml:space="preserve">The concerned mobility control related parameter is multiplied with this factor if the UE is in High Mobility state </w:t>
            </w:r>
            <w:r w:rsidRPr="00FA0D37">
              <w:rPr>
                <w:iCs/>
                <w:noProof/>
                <w:lang w:eastAsia="en-GB"/>
              </w:rPr>
              <w:t>as defined in TS 38.304 [20]</w:t>
            </w:r>
            <w:r w:rsidRPr="00FA0D37">
              <w:rPr>
                <w:lang w:eastAsia="en-GB"/>
              </w:rPr>
              <w:t xml:space="preserve">. Value </w:t>
            </w:r>
            <w:r w:rsidRPr="00FA0D37">
              <w:rPr>
                <w:i/>
                <w:lang w:eastAsia="en-GB"/>
              </w:rPr>
              <w:t>oDot25</w:t>
            </w:r>
            <w:r w:rsidRPr="00FA0D37">
              <w:rPr>
                <w:lang w:eastAsia="en-GB"/>
              </w:rPr>
              <w:t xml:space="preserve"> corresponds to 0.25, value </w:t>
            </w:r>
            <w:r w:rsidRPr="00FA0D37">
              <w:rPr>
                <w:i/>
                <w:lang w:eastAsia="en-GB"/>
              </w:rPr>
              <w:t>oDot5</w:t>
            </w:r>
            <w:r w:rsidRPr="00FA0D37">
              <w:rPr>
                <w:lang w:eastAsia="en-GB"/>
              </w:rPr>
              <w:t xml:space="preserve"> corresponds to 0.5, </w:t>
            </w:r>
            <w:r w:rsidRPr="00FA0D37">
              <w:rPr>
                <w:i/>
                <w:lang w:eastAsia="en-GB"/>
              </w:rPr>
              <w:t>oDot75</w:t>
            </w:r>
            <w:r w:rsidRPr="00FA0D37">
              <w:rPr>
                <w:lang w:eastAsia="en-GB"/>
              </w:rPr>
              <w:t xml:space="preserve"> corresponds to 0.75 and so on.</w:t>
            </w:r>
          </w:p>
        </w:tc>
      </w:tr>
      <w:tr w:rsidR="00394471" w:rsidRPr="00FA0D37"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FA0D37" w:rsidRDefault="00394471" w:rsidP="00964CC4">
            <w:pPr>
              <w:pStyle w:val="TAL"/>
              <w:rPr>
                <w:b/>
                <w:bCs/>
                <w:i/>
                <w:noProof/>
                <w:lang w:eastAsia="en-GB"/>
              </w:rPr>
            </w:pPr>
            <w:r w:rsidRPr="00FA0D37">
              <w:rPr>
                <w:b/>
                <w:bCs/>
                <w:i/>
                <w:noProof/>
                <w:lang w:eastAsia="en-GB"/>
              </w:rPr>
              <w:t>sf-Medium</w:t>
            </w:r>
          </w:p>
          <w:p w14:paraId="530C0AF5" w14:textId="77777777" w:rsidR="00394471" w:rsidRPr="00FA0D37" w:rsidRDefault="00394471" w:rsidP="00964CC4">
            <w:pPr>
              <w:pStyle w:val="TAL"/>
              <w:rPr>
                <w:b/>
                <w:bCs/>
                <w:i/>
                <w:noProof/>
                <w:lang w:eastAsia="en-GB"/>
              </w:rPr>
            </w:pPr>
            <w:r w:rsidRPr="00FA0D37">
              <w:rPr>
                <w:lang w:eastAsia="en-GB"/>
              </w:rPr>
              <w:t xml:space="preserve">The concerned mobility control related parameter is multiplied with this factor if the UE is in Medium Mobility state </w:t>
            </w:r>
            <w:r w:rsidRPr="00FA0D37">
              <w:rPr>
                <w:iCs/>
                <w:noProof/>
                <w:lang w:eastAsia="en-GB"/>
              </w:rPr>
              <w:t>as defined in TS 38.304 [20]</w:t>
            </w:r>
            <w:r w:rsidRPr="00FA0D37">
              <w:rPr>
                <w:lang w:eastAsia="en-GB"/>
              </w:rPr>
              <w:t xml:space="preserve">. Value </w:t>
            </w:r>
            <w:r w:rsidRPr="00FA0D37">
              <w:rPr>
                <w:i/>
                <w:lang w:eastAsia="en-GB"/>
              </w:rPr>
              <w:t>oDot25</w:t>
            </w:r>
            <w:r w:rsidRPr="00FA0D37">
              <w:rPr>
                <w:lang w:eastAsia="en-GB"/>
              </w:rPr>
              <w:t xml:space="preserve"> corresponds to 0.25, value </w:t>
            </w:r>
            <w:r w:rsidRPr="00FA0D37">
              <w:rPr>
                <w:i/>
                <w:lang w:eastAsia="en-GB"/>
              </w:rPr>
              <w:t>oDot5</w:t>
            </w:r>
            <w:r w:rsidRPr="00FA0D37">
              <w:rPr>
                <w:lang w:eastAsia="en-GB"/>
              </w:rPr>
              <w:t xml:space="preserve"> corresponds to 0.5, value </w:t>
            </w:r>
            <w:r w:rsidRPr="00FA0D37">
              <w:rPr>
                <w:i/>
                <w:lang w:eastAsia="en-GB"/>
              </w:rPr>
              <w:t>oDot75</w:t>
            </w:r>
            <w:r w:rsidRPr="00FA0D37">
              <w:rPr>
                <w:lang w:eastAsia="en-GB"/>
              </w:rPr>
              <w:t xml:space="preserve"> corresponds to 0.75, and so on.</w:t>
            </w:r>
          </w:p>
        </w:tc>
      </w:tr>
    </w:tbl>
    <w:p w14:paraId="67EB1D0A" w14:textId="77777777" w:rsidR="00394471" w:rsidRPr="00FA0D37" w:rsidRDefault="00394471" w:rsidP="00394471"/>
    <w:p w14:paraId="41C601DE" w14:textId="77777777" w:rsidR="00394471" w:rsidRPr="00FA0D37" w:rsidRDefault="00394471" w:rsidP="00394471">
      <w:pPr>
        <w:pStyle w:val="4"/>
        <w:rPr>
          <w:i/>
        </w:rPr>
      </w:pPr>
      <w:bookmarkStart w:id="1413" w:name="_Toc60777392"/>
      <w:bookmarkStart w:id="1414" w:name="_Toc146781478"/>
      <w:r w:rsidRPr="00FA0D37">
        <w:t>–</w:t>
      </w:r>
      <w:r w:rsidRPr="00FA0D37">
        <w:tab/>
      </w:r>
      <w:r w:rsidRPr="00FA0D37">
        <w:rPr>
          <w:i/>
        </w:rPr>
        <w:t>SPS-Config</w:t>
      </w:r>
      <w:bookmarkEnd w:id="1413"/>
      <w:bookmarkEnd w:id="1414"/>
    </w:p>
    <w:p w14:paraId="64427770" w14:textId="77777777" w:rsidR="00394471" w:rsidRPr="00FA0D37" w:rsidRDefault="00394471" w:rsidP="00394471">
      <w:r w:rsidRPr="00FA0D37">
        <w:t xml:space="preserve">The IE </w:t>
      </w:r>
      <w:r w:rsidRPr="00FA0D37">
        <w:rPr>
          <w:i/>
        </w:rPr>
        <w:t>SPS-Config</w:t>
      </w:r>
      <w:r w:rsidRPr="00FA0D37">
        <w:t xml:space="preserve"> is used to configure downlink semi-persistent transmission. Multiple Downlink SPS configurations may be configured in one BWP of a serving cell.</w:t>
      </w:r>
    </w:p>
    <w:p w14:paraId="64ED0310" w14:textId="77777777" w:rsidR="00394471" w:rsidRPr="00FA0D37" w:rsidRDefault="00394471" w:rsidP="00394471">
      <w:pPr>
        <w:pStyle w:val="TH"/>
      </w:pPr>
      <w:r w:rsidRPr="00FA0D37">
        <w:rPr>
          <w:bCs/>
          <w:i/>
          <w:iCs/>
        </w:rPr>
        <w:t xml:space="preserve">SPS-Config </w:t>
      </w:r>
      <w:r w:rsidRPr="00FA0D37">
        <w:t>information element</w:t>
      </w:r>
    </w:p>
    <w:p w14:paraId="739B74EB" w14:textId="77777777" w:rsidR="00394471" w:rsidRPr="00FA0D37" w:rsidRDefault="00394471" w:rsidP="00FA0D37">
      <w:pPr>
        <w:pStyle w:val="PL"/>
        <w:rPr>
          <w:color w:val="808080"/>
        </w:rPr>
      </w:pPr>
      <w:r w:rsidRPr="00FA0D37">
        <w:rPr>
          <w:color w:val="808080"/>
        </w:rPr>
        <w:t>-- ASN1START</w:t>
      </w:r>
    </w:p>
    <w:p w14:paraId="2DE16218" w14:textId="77777777" w:rsidR="00394471" w:rsidRPr="00FA0D37" w:rsidRDefault="00394471" w:rsidP="00FA0D37">
      <w:pPr>
        <w:pStyle w:val="PL"/>
        <w:rPr>
          <w:color w:val="808080"/>
        </w:rPr>
      </w:pPr>
      <w:r w:rsidRPr="00FA0D37">
        <w:rPr>
          <w:color w:val="808080"/>
        </w:rPr>
        <w:t>-- TAG-SPS-CONFIG-START</w:t>
      </w:r>
    </w:p>
    <w:p w14:paraId="3A7CFCF9" w14:textId="77777777" w:rsidR="00394471" w:rsidRPr="00FA0D37" w:rsidRDefault="00394471" w:rsidP="00FA0D37">
      <w:pPr>
        <w:pStyle w:val="PL"/>
      </w:pPr>
    </w:p>
    <w:p w14:paraId="6801B685" w14:textId="77777777" w:rsidR="00394471" w:rsidRPr="00FA0D37" w:rsidRDefault="00394471" w:rsidP="00FA0D37">
      <w:pPr>
        <w:pStyle w:val="PL"/>
      </w:pPr>
      <w:r w:rsidRPr="00FA0D37">
        <w:t xml:space="preserve">SPS-Config ::=                  </w:t>
      </w:r>
      <w:r w:rsidRPr="00FA0D37">
        <w:rPr>
          <w:color w:val="993366"/>
        </w:rPr>
        <w:t>SEQUENCE</w:t>
      </w:r>
      <w:r w:rsidRPr="00FA0D37">
        <w:t xml:space="preserve"> {</w:t>
      </w:r>
    </w:p>
    <w:p w14:paraId="24C3F2E5" w14:textId="77777777" w:rsidR="00394471" w:rsidRPr="00FA0D37" w:rsidRDefault="00394471" w:rsidP="00FA0D37">
      <w:pPr>
        <w:pStyle w:val="PL"/>
      </w:pPr>
      <w:r w:rsidRPr="00FA0D37">
        <w:t xml:space="preserve">    periodicity                     </w:t>
      </w:r>
      <w:r w:rsidRPr="00FA0D37">
        <w:rPr>
          <w:color w:val="993366"/>
        </w:rPr>
        <w:t>ENUMERATED</w:t>
      </w:r>
      <w:r w:rsidRPr="00FA0D37">
        <w:t xml:space="preserve"> {ms10, ms20, ms32, ms40, ms64, ms80, ms128, ms160, ms320, ms640,</w:t>
      </w:r>
    </w:p>
    <w:p w14:paraId="0C4A0839" w14:textId="77777777" w:rsidR="00394471" w:rsidRPr="00FA0D37" w:rsidRDefault="00394471" w:rsidP="00FA0D37">
      <w:pPr>
        <w:pStyle w:val="PL"/>
      </w:pPr>
      <w:r w:rsidRPr="00FA0D37">
        <w:lastRenderedPageBreak/>
        <w:t xml:space="preserve">                                                        spare6, spare5, spare4, spare3, spare2, spare1},</w:t>
      </w:r>
    </w:p>
    <w:p w14:paraId="0F2A1BB2" w14:textId="77777777" w:rsidR="00394471" w:rsidRPr="00FA0D37" w:rsidRDefault="00394471" w:rsidP="00FA0D37">
      <w:pPr>
        <w:pStyle w:val="PL"/>
      </w:pPr>
      <w:r w:rsidRPr="00FA0D37">
        <w:t xml:space="preserve">    nrofHARQ-Processes              </w:t>
      </w:r>
      <w:r w:rsidRPr="00FA0D37">
        <w:rPr>
          <w:color w:val="993366"/>
        </w:rPr>
        <w:t>INTEGER</w:t>
      </w:r>
      <w:r w:rsidRPr="00FA0D37">
        <w:t xml:space="preserve"> (1..8),</w:t>
      </w:r>
    </w:p>
    <w:p w14:paraId="5D753CDA" w14:textId="6C4E6E93" w:rsidR="00394471" w:rsidRPr="00FA0D37" w:rsidRDefault="00394471" w:rsidP="00FA0D37">
      <w:pPr>
        <w:pStyle w:val="PL"/>
        <w:rPr>
          <w:color w:val="808080"/>
        </w:rPr>
      </w:pPr>
      <w:r w:rsidRPr="00FA0D37">
        <w:t xml:space="preserve">    n1PUCCH-AN                      PUCCH-ResourceId                                                            </w:t>
      </w:r>
      <w:r w:rsidRPr="00FA0D37">
        <w:rPr>
          <w:color w:val="993366"/>
        </w:rPr>
        <w:t>OPTIONAL</w:t>
      </w:r>
      <w:r w:rsidRPr="00FA0D37">
        <w:t xml:space="preserve">,   </w:t>
      </w:r>
      <w:r w:rsidRPr="00FA0D37">
        <w:rPr>
          <w:color w:val="808080"/>
        </w:rPr>
        <w:t>-- Need M</w:t>
      </w:r>
    </w:p>
    <w:p w14:paraId="75AC5215" w14:textId="17F4FFA1" w:rsidR="00394471" w:rsidRPr="00FA0D37" w:rsidRDefault="00394471" w:rsidP="00FA0D37">
      <w:pPr>
        <w:pStyle w:val="PL"/>
        <w:rPr>
          <w:color w:val="808080"/>
        </w:rPr>
      </w:pPr>
      <w:r w:rsidRPr="00FA0D37">
        <w:t xml:space="preserve">    mcs-Table                       </w:t>
      </w:r>
      <w:r w:rsidRPr="00FA0D37">
        <w:rPr>
          <w:color w:val="993366"/>
        </w:rPr>
        <w:t>ENUMERATED</w:t>
      </w:r>
      <w:r w:rsidRPr="00FA0D37">
        <w:t xml:space="preserve"> {qam64LowSE}                                                     </w:t>
      </w:r>
      <w:r w:rsidRPr="00FA0D37">
        <w:rPr>
          <w:color w:val="993366"/>
        </w:rPr>
        <w:t>OPTIONAL</w:t>
      </w:r>
      <w:r w:rsidRPr="00FA0D37">
        <w:t xml:space="preserve">,   </w:t>
      </w:r>
      <w:r w:rsidRPr="00FA0D37">
        <w:rPr>
          <w:color w:val="808080"/>
        </w:rPr>
        <w:t>-- Need S</w:t>
      </w:r>
    </w:p>
    <w:p w14:paraId="6ED5D621" w14:textId="77777777" w:rsidR="00394471" w:rsidRPr="00FA0D37" w:rsidRDefault="00394471" w:rsidP="00FA0D37">
      <w:pPr>
        <w:pStyle w:val="PL"/>
      </w:pPr>
      <w:r w:rsidRPr="00FA0D37">
        <w:t xml:space="preserve">    ...,</w:t>
      </w:r>
    </w:p>
    <w:p w14:paraId="1C849C69" w14:textId="77777777" w:rsidR="00394471" w:rsidRPr="00FA0D37" w:rsidRDefault="00394471" w:rsidP="00FA0D37">
      <w:pPr>
        <w:pStyle w:val="PL"/>
      </w:pPr>
      <w:r w:rsidRPr="00FA0D37">
        <w:t xml:space="preserve">    [[</w:t>
      </w:r>
    </w:p>
    <w:p w14:paraId="26713BB1" w14:textId="2CFF91A4" w:rsidR="00394471" w:rsidRPr="00FA0D37" w:rsidRDefault="00394471" w:rsidP="00FA0D37">
      <w:pPr>
        <w:pStyle w:val="PL"/>
        <w:rPr>
          <w:color w:val="808080"/>
        </w:rPr>
      </w:pPr>
      <w:r w:rsidRPr="00FA0D37">
        <w:t xml:space="preserve">    sps-ConfigIndex-r16             SPS-ConfigIndex-r16                                                         </w:t>
      </w:r>
      <w:r w:rsidRPr="00FA0D37">
        <w:rPr>
          <w:color w:val="993366"/>
        </w:rPr>
        <w:t>OPTIONAL</w:t>
      </w:r>
      <w:r w:rsidRPr="00FA0D37">
        <w:t xml:space="preserve">,   </w:t>
      </w:r>
      <w:r w:rsidRPr="00FA0D37">
        <w:rPr>
          <w:color w:val="808080"/>
        </w:rPr>
        <w:t>-- Cond SPS-List</w:t>
      </w:r>
    </w:p>
    <w:p w14:paraId="610BBD15" w14:textId="6383055C" w:rsidR="00394471" w:rsidRPr="00FA0D37" w:rsidRDefault="00394471" w:rsidP="00FA0D37">
      <w:pPr>
        <w:pStyle w:val="PL"/>
        <w:rPr>
          <w:color w:val="808080"/>
        </w:rPr>
      </w:pPr>
      <w:r w:rsidRPr="00FA0D37">
        <w:t xml:space="preserve">    harq-ProcID-Offset-r16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R</w:t>
      </w:r>
    </w:p>
    <w:p w14:paraId="1A61A8EC" w14:textId="347190E2" w:rsidR="00394471" w:rsidRPr="00FA0D37" w:rsidRDefault="00394471" w:rsidP="00FA0D37">
      <w:pPr>
        <w:pStyle w:val="PL"/>
        <w:rPr>
          <w:color w:val="808080"/>
        </w:rPr>
      </w:pPr>
      <w:r w:rsidRPr="00FA0D37">
        <w:t xml:space="preserve">    periodicityExt-r16              </w:t>
      </w:r>
      <w:r w:rsidRPr="00FA0D37">
        <w:rPr>
          <w:color w:val="993366"/>
        </w:rPr>
        <w:t>INTEGER</w:t>
      </w:r>
      <w:r w:rsidRPr="00FA0D37">
        <w:t xml:space="preserve"> (1..5120)                                                           </w:t>
      </w:r>
      <w:r w:rsidRPr="00FA0D37">
        <w:rPr>
          <w:color w:val="993366"/>
        </w:rPr>
        <w:t>OPTIONAL</w:t>
      </w:r>
      <w:r w:rsidRPr="00FA0D37">
        <w:t xml:space="preserve">,   </w:t>
      </w:r>
      <w:r w:rsidRPr="00FA0D37">
        <w:rPr>
          <w:color w:val="808080"/>
        </w:rPr>
        <w:t>-- Need R</w:t>
      </w:r>
    </w:p>
    <w:p w14:paraId="2F9A147E" w14:textId="03D00E9D" w:rsidR="00394471" w:rsidRPr="00FA0D37" w:rsidRDefault="00394471" w:rsidP="00FA0D37">
      <w:pPr>
        <w:pStyle w:val="PL"/>
        <w:rPr>
          <w:color w:val="808080"/>
        </w:rPr>
      </w:pPr>
      <w:r w:rsidRPr="00FA0D37">
        <w:t xml:space="preserve">    harq-CodebookID-r16             </w:t>
      </w:r>
      <w:r w:rsidRPr="00FA0D37">
        <w:rPr>
          <w:color w:val="993366"/>
        </w:rPr>
        <w:t>INTEGER</w:t>
      </w:r>
      <w:r w:rsidRPr="00FA0D37">
        <w:t xml:space="preserve"> (1..2)                                                              </w:t>
      </w:r>
      <w:r w:rsidRPr="00FA0D37">
        <w:rPr>
          <w:color w:val="993366"/>
        </w:rPr>
        <w:t>OPTIONAL</w:t>
      </w:r>
      <w:r w:rsidRPr="00FA0D37">
        <w:t xml:space="preserve">,   </w:t>
      </w:r>
      <w:r w:rsidRPr="00FA0D37">
        <w:rPr>
          <w:color w:val="808080"/>
        </w:rPr>
        <w:t>-- Need R</w:t>
      </w:r>
    </w:p>
    <w:p w14:paraId="4510E670" w14:textId="5FCD4EB6" w:rsidR="00394471" w:rsidRPr="00FA0D37" w:rsidRDefault="00394471" w:rsidP="00FA0D37">
      <w:pPr>
        <w:pStyle w:val="PL"/>
        <w:rPr>
          <w:color w:val="808080"/>
        </w:rPr>
      </w:pPr>
      <w:r w:rsidRPr="00FA0D37">
        <w:t xml:space="preserve">    pdsch-AggregationFactor-r16     </w:t>
      </w:r>
      <w:r w:rsidRPr="00FA0D37">
        <w:rPr>
          <w:color w:val="993366"/>
        </w:rPr>
        <w:t>ENUMERATED</w:t>
      </w:r>
      <w:r w:rsidRPr="00FA0D37">
        <w:t xml:space="preserve"> {n1, n2, n4, n8 }                                                </w:t>
      </w:r>
      <w:r w:rsidRPr="00FA0D37">
        <w:rPr>
          <w:color w:val="993366"/>
        </w:rPr>
        <w:t>OPTIONAL</w:t>
      </w:r>
      <w:r w:rsidRPr="00FA0D37">
        <w:t xml:space="preserve">    </w:t>
      </w:r>
      <w:r w:rsidRPr="00FA0D37">
        <w:rPr>
          <w:color w:val="808080"/>
        </w:rPr>
        <w:t>-- Need S</w:t>
      </w:r>
    </w:p>
    <w:p w14:paraId="5EB6113F" w14:textId="1781A5CB" w:rsidR="004E4A9E" w:rsidRPr="00FA0D37" w:rsidRDefault="00394471" w:rsidP="00FA0D37">
      <w:pPr>
        <w:pStyle w:val="PL"/>
      </w:pPr>
      <w:r w:rsidRPr="00FA0D37">
        <w:t xml:space="preserve">    ]]</w:t>
      </w:r>
      <w:r w:rsidR="004E4A9E" w:rsidRPr="00FA0D37">
        <w:t>,</w:t>
      </w:r>
    </w:p>
    <w:p w14:paraId="09C09480" w14:textId="77777777" w:rsidR="004E4A9E" w:rsidRPr="00FA0D37" w:rsidRDefault="004E4A9E" w:rsidP="00FA0D37">
      <w:pPr>
        <w:pStyle w:val="PL"/>
      </w:pPr>
      <w:r w:rsidRPr="00FA0D37">
        <w:t xml:space="preserve">    [[</w:t>
      </w:r>
    </w:p>
    <w:p w14:paraId="3C0DBA95" w14:textId="3DF9E48F" w:rsidR="004E4A9E" w:rsidRPr="00FA0D37" w:rsidRDefault="004E4A9E" w:rsidP="00FA0D37">
      <w:pPr>
        <w:pStyle w:val="PL"/>
        <w:rPr>
          <w:color w:val="808080"/>
        </w:rPr>
      </w:pPr>
      <w:r w:rsidRPr="00FA0D37">
        <w:t xml:space="preserve">    sps-HARQ-Deferral-r17           </w:t>
      </w:r>
      <w:r w:rsidRPr="00FA0D37">
        <w:rPr>
          <w:color w:val="993366"/>
        </w:rPr>
        <w:t>INTEGER</w:t>
      </w:r>
      <w:r w:rsidRPr="00FA0D37">
        <w:t xml:space="preserve"> (1..32)              </w:t>
      </w:r>
      <w:r w:rsidR="008754E6" w:rsidRPr="00FA0D37">
        <w:t xml:space="preserve">                                               </w:t>
      </w:r>
      <w:r w:rsidRPr="00FA0D37">
        <w:rPr>
          <w:color w:val="993366"/>
        </w:rPr>
        <w:t>OPTIONAL</w:t>
      </w:r>
      <w:r w:rsidRPr="00FA0D37">
        <w:t xml:space="preserve">,   </w:t>
      </w:r>
      <w:r w:rsidRPr="00FA0D37">
        <w:rPr>
          <w:color w:val="808080"/>
        </w:rPr>
        <w:t>-- Need R</w:t>
      </w:r>
    </w:p>
    <w:p w14:paraId="75BBB5ED" w14:textId="36AAFFF9" w:rsidR="004E4A9E" w:rsidRPr="00FA0D37" w:rsidRDefault="004E4A9E" w:rsidP="00FA0D37">
      <w:pPr>
        <w:pStyle w:val="PL"/>
        <w:rPr>
          <w:color w:val="808080"/>
        </w:rPr>
      </w:pPr>
      <w:r w:rsidRPr="00FA0D37">
        <w:t xml:space="preserve">    n1PUCCH-AN-PUCCHsSCell-r17      PUCCH-ResourceId             </w:t>
      </w:r>
      <w:r w:rsidR="008754E6" w:rsidRPr="00FA0D37">
        <w:t xml:space="preserve">                                               </w:t>
      </w:r>
      <w:r w:rsidRPr="00FA0D37">
        <w:rPr>
          <w:color w:val="993366"/>
        </w:rPr>
        <w:t>OPTIONAL</w:t>
      </w:r>
      <w:r w:rsidR="008754E6" w:rsidRPr="00FA0D37">
        <w:t>,</w:t>
      </w:r>
      <w:r w:rsidRPr="00FA0D37">
        <w:t xml:space="preserve">   </w:t>
      </w:r>
      <w:r w:rsidRPr="00FA0D37">
        <w:rPr>
          <w:color w:val="808080"/>
        </w:rPr>
        <w:t>-- Need R</w:t>
      </w:r>
    </w:p>
    <w:p w14:paraId="2D708A3D" w14:textId="7140A37C" w:rsidR="008754E6" w:rsidRPr="00FA0D37" w:rsidRDefault="008754E6" w:rsidP="00FA0D37">
      <w:pPr>
        <w:pStyle w:val="PL"/>
        <w:rPr>
          <w:color w:val="808080"/>
        </w:rPr>
      </w:pPr>
      <w:r w:rsidRPr="00FA0D37">
        <w:t xml:space="preserve">    periodicityExt-r17              </w:t>
      </w:r>
      <w:r w:rsidRPr="00FA0D37">
        <w:rPr>
          <w:color w:val="993366"/>
        </w:rPr>
        <w:t>INTEGER</w:t>
      </w:r>
      <w:r w:rsidRPr="00FA0D37">
        <w:t xml:space="preserve"> (1..40960)                                                          </w:t>
      </w:r>
      <w:r w:rsidRPr="00FA0D37">
        <w:rPr>
          <w:color w:val="993366"/>
        </w:rPr>
        <w:t>OPTIONAL</w:t>
      </w:r>
      <w:r w:rsidR="005B7637" w:rsidRPr="00FA0D37">
        <w:t>,</w:t>
      </w:r>
      <w:r w:rsidRPr="00FA0D37">
        <w:t xml:space="preserve">   </w:t>
      </w:r>
      <w:r w:rsidRPr="00FA0D37">
        <w:rPr>
          <w:color w:val="808080"/>
        </w:rPr>
        <w:t>-- Need R</w:t>
      </w:r>
    </w:p>
    <w:p w14:paraId="70AB237F" w14:textId="23E2D2C4" w:rsidR="005B7637" w:rsidRPr="00FA0D37" w:rsidRDefault="005B7637" w:rsidP="00FA0D37">
      <w:pPr>
        <w:pStyle w:val="PL"/>
        <w:rPr>
          <w:color w:val="808080"/>
        </w:rPr>
      </w:pPr>
      <w:r w:rsidRPr="00FA0D37">
        <w:t xml:space="preserve">    nrofHARQ-Processes-</w:t>
      </w:r>
      <w:r w:rsidR="0090199E" w:rsidRPr="00FA0D37">
        <w:t>v</w:t>
      </w:r>
      <w:r w:rsidRPr="00FA0D37">
        <w:t>17</w:t>
      </w:r>
      <w:r w:rsidR="0090199E" w:rsidRPr="00FA0D37">
        <w:t>10</w:t>
      </w:r>
      <w:r w:rsidRPr="00FA0D37">
        <w:t xml:space="preserve">       </w:t>
      </w:r>
      <w:r w:rsidR="0090199E" w:rsidRPr="00FA0D37">
        <w:t xml:space="preserve"> </w:t>
      </w:r>
      <w:r w:rsidRPr="00FA0D37">
        <w:rPr>
          <w:color w:val="993366"/>
        </w:rPr>
        <w:t>INTEGER</w:t>
      </w:r>
      <w:r w:rsidRPr="00FA0D37">
        <w:t xml:space="preserve">(9..32)                                                              </w:t>
      </w:r>
      <w:r w:rsidRPr="00FA0D37">
        <w:rPr>
          <w:color w:val="993366"/>
        </w:rPr>
        <w:t>OPTIONAL</w:t>
      </w:r>
      <w:r w:rsidRPr="00FA0D37">
        <w:t xml:space="preserve">,   </w:t>
      </w:r>
      <w:r w:rsidRPr="00FA0D37">
        <w:rPr>
          <w:color w:val="808080"/>
        </w:rPr>
        <w:t>-- Need R</w:t>
      </w:r>
    </w:p>
    <w:p w14:paraId="707DA8B5" w14:textId="50D1610B" w:rsidR="005B7637" w:rsidRPr="00FA0D37" w:rsidRDefault="005B7637" w:rsidP="00FA0D37">
      <w:pPr>
        <w:pStyle w:val="PL"/>
        <w:rPr>
          <w:color w:val="808080"/>
        </w:rPr>
      </w:pPr>
      <w:r w:rsidRPr="00FA0D37">
        <w:t xml:space="preserve">    harq-ProcID-Offset-v1700        </w:t>
      </w:r>
      <w:r w:rsidRPr="00FA0D37">
        <w:rPr>
          <w:color w:val="993366"/>
        </w:rPr>
        <w:t>INTEGER</w:t>
      </w:r>
      <w:r w:rsidRPr="00FA0D37">
        <w:t xml:space="preserve"> (16..31)                                                            </w:t>
      </w:r>
      <w:r w:rsidRPr="00FA0D37">
        <w:rPr>
          <w:color w:val="993366"/>
        </w:rPr>
        <w:t>OPTIONAL</w:t>
      </w:r>
      <w:r w:rsidRPr="00FA0D37">
        <w:t xml:space="preserve">    </w:t>
      </w:r>
      <w:r w:rsidRPr="00FA0D37">
        <w:rPr>
          <w:color w:val="808080"/>
        </w:rPr>
        <w:t>-- Need R</w:t>
      </w:r>
    </w:p>
    <w:p w14:paraId="34652729" w14:textId="18F295FB" w:rsidR="00394471" w:rsidRPr="00FA0D37" w:rsidRDefault="004E4A9E" w:rsidP="00FA0D37">
      <w:pPr>
        <w:pStyle w:val="PL"/>
      </w:pPr>
      <w:r w:rsidRPr="00FA0D37">
        <w:t xml:space="preserve">    ]]</w:t>
      </w:r>
    </w:p>
    <w:p w14:paraId="279C2CE2" w14:textId="77777777" w:rsidR="00394471" w:rsidRPr="00FA0D37" w:rsidRDefault="00394471" w:rsidP="00FA0D37">
      <w:pPr>
        <w:pStyle w:val="PL"/>
      </w:pPr>
      <w:r w:rsidRPr="00FA0D37">
        <w:t>}</w:t>
      </w:r>
    </w:p>
    <w:p w14:paraId="2D729D8A" w14:textId="77777777" w:rsidR="00394471" w:rsidRPr="00FA0D37" w:rsidRDefault="00394471" w:rsidP="00FA0D37">
      <w:pPr>
        <w:pStyle w:val="PL"/>
      </w:pPr>
    </w:p>
    <w:p w14:paraId="21127CE5" w14:textId="77777777" w:rsidR="00394471" w:rsidRPr="00FA0D37" w:rsidRDefault="00394471" w:rsidP="00FA0D37">
      <w:pPr>
        <w:pStyle w:val="PL"/>
        <w:rPr>
          <w:color w:val="808080"/>
        </w:rPr>
      </w:pPr>
      <w:r w:rsidRPr="00FA0D37">
        <w:rPr>
          <w:color w:val="808080"/>
        </w:rPr>
        <w:t>-- TAG-SPS-CONFIG-STOP</w:t>
      </w:r>
    </w:p>
    <w:p w14:paraId="5D4E14C9" w14:textId="77777777" w:rsidR="00394471" w:rsidRPr="00FA0D37" w:rsidRDefault="00394471" w:rsidP="00FA0D37">
      <w:pPr>
        <w:pStyle w:val="PL"/>
        <w:rPr>
          <w:color w:val="808080"/>
        </w:rPr>
      </w:pPr>
      <w:r w:rsidRPr="00FA0D37">
        <w:rPr>
          <w:color w:val="808080"/>
        </w:rPr>
        <w:t>-- ASN1STOP</w:t>
      </w:r>
    </w:p>
    <w:p w14:paraId="17805AA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FA0D37" w:rsidRDefault="00394471" w:rsidP="00964CC4">
            <w:pPr>
              <w:pStyle w:val="TAH"/>
              <w:rPr>
                <w:szCs w:val="22"/>
                <w:lang w:eastAsia="sv-SE"/>
              </w:rPr>
            </w:pPr>
            <w:r w:rsidRPr="00FA0D37">
              <w:rPr>
                <w:i/>
                <w:szCs w:val="22"/>
                <w:lang w:eastAsia="sv-SE"/>
              </w:rPr>
              <w:lastRenderedPageBreak/>
              <w:t xml:space="preserve">SPS-Config </w:t>
            </w:r>
            <w:r w:rsidRPr="00FA0D37">
              <w:rPr>
                <w:szCs w:val="22"/>
                <w:lang w:eastAsia="sv-SE"/>
              </w:rPr>
              <w:t>field descriptions</w:t>
            </w:r>
          </w:p>
        </w:tc>
      </w:tr>
      <w:tr w:rsidR="005C7FF4" w:rsidRPr="00FA0D37"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FA0D37" w:rsidRDefault="00394471" w:rsidP="00964CC4">
            <w:pPr>
              <w:pStyle w:val="TAL"/>
              <w:rPr>
                <w:b/>
                <w:i/>
                <w:szCs w:val="22"/>
                <w:lang w:eastAsia="sv-SE"/>
              </w:rPr>
            </w:pPr>
            <w:r w:rsidRPr="00FA0D37">
              <w:rPr>
                <w:b/>
                <w:i/>
                <w:szCs w:val="22"/>
                <w:lang w:eastAsia="sv-SE"/>
              </w:rPr>
              <w:t>harq-CodebookID</w:t>
            </w:r>
          </w:p>
          <w:p w14:paraId="6011572A" w14:textId="77777777" w:rsidR="00394471" w:rsidRPr="00FA0D37" w:rsidRDefault="00394471" w:rsidP="00964CC4">
            <w:pPr>
              <w:pStyle w:val="TAL"/>
              <w:rPr>
                <w:szCs w:val="22"/>
                <w:lang w:eastAsia="sv-SE"/>
              </w:rPr>
            </w:pPr>
            <w:r w:rsidRPr="00FA0D37">
              <w:rPr>
                <w:szCs w:val="22"/>
                <w:lang w:eastAsia="sv-SE"/>
              </w:rPr>
              <w:t>Indicates the HARQ-ACK codebook index for the corresponding HARQ-ACK codebook for SPS PDSCH and ACK for SPS PDSCH release.</w:t>
            </w:r>
          </w:p>
        </w:tc>
      </w:tr>
      <w:tr w:rsidR="005C7FF4" w:rsidRPr="00FA0D37"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FA0D37" w:rsidRDefault="00394471" w:rsidP="00964CC4">
            <w:pPr>
              <w:pStyle w:val="TAL"/>
              <w:rPr>
                <w:b/>
                <w:i/>
                <w:szCs w:val="22"/>
                <w:lang w:eastAsia="sv-SE"/>
              </w:rPr>
            </w:pPr>
            <w:r w:rsidRPr="00FA0D37">
              <w:rPr>
                <w:b/>
                <w:i/>
                <w:szCs w:val="22"/>
                <w:lang w:eastAsia="sv-SE"/>
              </w:rPr>
              <w:t>harq-ProcID-Offset</w:t>
            </w:r>
          </w:p>
          <w:p w14:paraId="369BE6D9" w14:textId="77777777" w:rsidR="00394471" w:rsidRPr="00FA0D37" w:rsidRDefault="00394471" w:rsidP="00964CC4">
            <w:pPr>
              <w:pStyle w:val="TAL"/>
              <w:rPr>
                <w:b/>
                <w:i/>
                <w:szCs w:val="22"/>
                <w:lang w:eastAsia="sv-SE"/>
              </w:rPr>
            </w:pPr>
            <w:r w:rsidRPr="00FA0D37">
              <w:rPr>
                <w:lang w:eastAsia="sv-SE"/>
              </w:rPr>
              <w:t>Indicates the offset used in deriving the HARQ process IDs, see TS 38.321 [3], clause 5.3.1.</w:t>
            </w:r>
          </w:p>
        </w:tc>
      </w:tr>
      <w:tr w:rsidR="005C7FF4" w:rsidRPr="00FA0D37"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FA0D37" w:rsidRDefault="00394471" w:rsidP="00964CC4">
            <w:pPr>
              <w:pStyle w:val="TAL"/>
              <w:rPr>
                <w:szCs w:val="22"/>
                <w:lang w:eastAsia="sv-SE"/>
              </w:rPr>
            </w:pPr>
            <w:r w:rsidRPr="00FA0D37">
              <w:rPr>
                <w:b/>
                <w:i/>
                <w:szCs w:val="22"/>
                <w:lang w:eastAsia="sv-SE"/>
              </w:rPr>
              <w:t>mcs-Table</w:t>
            </w:r>
          </w:p>
          <w:p w14:paraId="6F02494B" w14:textId="2D2125FE" w:rsidR="00394471" w:rsidRPr="00FA0D37" w:rsidRDefault="00394471" w:rsidP="00964CC4">
            <w:pPr>
              <w:pStyle w:val="TAL"/>
              <w:rPr>
                <w:szCs w:val="22"/>
                <w:lang w:eastAsia="sv-SE"/>
              </w:rPr>
            </w:pPr>
            <w:r w:rsidRPr="00FA0D37">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FA0D37">
              <w:rPr>
                <w:szCs w:val="22"/>
                <w:lang w:eastAsia="sv-SE"/>
              </w:rPr>
              <w:t xml:space="preserve">If this field is absent and the field </w:t>
            </w:r>
            <w:r w:rsidR="00BB4037" w:rsidRPr="00FA0D37">
              <w:rPr>
                <w:i/>
                <w:iCs/>
                <w:szCs w:val="22"/>
                <w:lang w:eastAsia="sv-SE"/>
              </w:rPr>
              <w:t>mcs-Table-r17</w:t>
            </w:r>
            <w:r w:rsidR="00BB4037" w:rsidRPr="00FA0D37">
              <w:rPr>
                <w:szCs w:val="22"/>
                <w:lang w:eastAsia="sv-SE"/>
              </w:rPr>
              <w:t xml:space="preserve"> in </w:t>
            </w:r>
            <w:r w:rsidR="00BB4037" w:rsidRPr="00FA0D37">
              <w:rPr>
                <w:i/>
                <w:iCs/>
                <w:szCs w:val="22"/>
                <w:lang w:eastAsia="sv-SE"/>
              </w:rPr>
              <w:t>PDSCH-Config</w:t>
            </w:r>
            <w:r w:rsidR="00BB4037" w:rsidRPr="00FA0D37">
              <w:rPr>
                <w:szCs w:val="22"/>
                <w:lang w:eastAsia="sv-SE"/>
              </w:rPr>
              <w:t xml:space="preserve"> is set to </w:t>
            </w:r>
            <w:r w:rsidR="00584CE6" w:rsidRPr="00FA0D37">
              <w:rPr>
                <w:szCs w:val="22"/>
                <w:lang w:eastAsia="sv-SE"/>
              </w:rPr>
              <w:t>'</w:t>
            </w:r>
            <w:r w:rsidR="00BB4037" w:rsidRPr="00FA0D37">
              <w:rPr>
                <w:szCs w:val="22"/>
                <w:lang w:eastAsia="sv-SE"/>
              </w:rPr>
              <w:t>qam1024</w:t>
            </w:r>
            <w:r w:rsidR="00584CE6" w:rsidRPr="00FA0D37">
              <w:rPr>
                <w:szCs w:val="22"/>
                <w:lang w:eastAsia="sv-SE"/>
              </w:rPr>
              <w:t>'</w:t>
            </w:r>
            <w:r w:rsidR="00BB4037" w:rsidRPr="00FA0D37">
              <w:rPr>
                <w:szCs w:val="22"/>
                <w:lang w:eastAsia="sv-SE"/>
              </w:rPr>
              <w:t xml:space="preserve"> and the activating DCI is format 1_1, the UE applies the 1024QAM table indicated in Table 5.1.3.1-4 of TS 38.214 [19]. </w:t>
            </w:r>
            <w:r w:rsidRPr="00FA0D37">
              <w:rPr>
                <w:szCs w:val="22"/>
                <w:lang w:eastAsia="sv-SE"/>
              </w:rPr>
              <w:t>Otherwise, the UE applies the non-low-SE 64QAM table indicated in Table 5.1.3.1-1 of TS 38.214 [19].</w:t>
            </w:r>
          </w:p>
        </w:tc>
      </w:tr>
      <w:tr w:rsidR="005C7FF4" w:rsidRPr="00FA0D37"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FA0D37" w:rsidRDefault="00394471" w:rsidP="00964CC4">
            <w:pPr>
              <w:pStyle w:val="TAL"/>
              <w:rPr>
                <w:szCs w:val="22"/>
                <w:lang w:eastAsia="sv-SE"/>
              </w:rPr>
            </w:pPr>
            <w:r w:rsidRPr="00FA0D37">
              <w:rPr>
                <w:b/>
                <w:i/>
                <w:szCs w:val="22"/>
                <w:lang w:eastAsia="sv-SE"/>
              </w:rPr>
              <w:t>n1PUCCH-AN</w:t>
            </w:r>
          </w:p>
          <w:p w14:paraId="247AA5FF" w14:textId="77777777" w:rsidR="00394471" w:rsidRPr="00FA0D37" w:rsidRDefault="00394471" w:rsidP="00964CC4">
            <w:pPr>
              <w:pStyle w:val="TAL"/>
              <w:rPr>
                <w:szCs w:val="22"/>
                <w:lang w:eastAsia="sv-SE"/>
              </w:rPr>
            </w:pPr>
            <w:r w:rsidRPr="00FA0D37">
              <w:rPr>
                <w:szCs w:val="22"/>
                <w:lang w:eastAsia="sv-SE"/>
              </w:rPr>
              <w:t xml:space="preserve">HARQ resource for PUCCH for DL SPS. The network configures the resource either as format0 or format1. The actual </w:t>
            </w:r>
            <w:r w:rsidRPr="00FA0D37">
              <w:rPr>
                <w:i/>
                <w:szCs w:val="22"/>
                <w:lang w:eastAsia="sv-SE"/>
              </w:rPr>
              <w:t>PUCCH-Resource</w:t>
            </w:r>
            <w:r w:rsidRPr="00FA0D37">
              <w:rPr>
                <w:szCs w:val="22"/>
                <w:lang w:eastAsia="sv-SE"/>
              </w:rPr>
              <w:t xml:space="preserve"> is configured in </w:t>
            </w:r>
            <w:r w:rsidRPr="00FA0D37">
              <w:rPr>
                <w:i/>
                <w:szCs w:val="22"/>
                <w:lang w:eastAsia="sv-SE"/>
              </w:rPr>
              <w:t>PUCCH-Config</w:t>
            </w:r>
            <w:r w:rsidRPr="00FA0D37">
              <w:rPr>
                <w:szCs w:val="22"/>
                <w:lang w:eastAsia="sv-SE"/>
              </w:rPr>
              <w:t xml:space="preserve"> and referred to by its ID. See TS 38.213 [13], clause 9.2.3.</w:t>
            </w:r>
          </w:p>
        </w:tc>
      </w:tr>
      <w:tr w:rsidR="005C7FF4" w:rsidRPr="00FA0D37"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FA0D37" w:rsidRDefault="00306103" w:rsidP="00771058">
            <w:pPr>
              <w:pStyle w:val="TAL"/>
              <w:rPr>
                <w:szCs w:val="22"/>
                <w:lang w:eastAsia="sv-SE"/>
              </w:rPr>
            </w:pPr>
            <w:r w:rsidRPr="00FA0D37">
              <w:rPr>
                <w:b/>
                <w:i/>
                <w:szCs w:val="22"/>
                <w:lang w:eastAsia="sv-SE"/>
              </w:rPr>
              <w:t>n1PUCCH-AN-PUCCHsSCell</w:t>
            </w:r>
          </w:p>
          <w:p w14:paraId="4FFE9544" w14:textId="77777777" w:rsidR="00306103" w:rsidRPr="00FA0D37" w:rsidRDefault="00306103" w:rsidP="00771058">
            <w:pPr>
              <w:pStyle w:val="TAL"/>
              <w:rPr>
                <w:b/>
                <w:i/>
                <w:szCs w:val="22"/>
                <w:lang w:eastAsia="sv-SE"/>
              </w:rPr>
            </w:pPr>
            <w:r w:rsidRPr="00FA0D37">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5C7FF4" w:rsidRPr="00FA0D37"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FA0D37" w:rsidRDefault="00394471" w:rsidP="00964CC4">
            <w:pPr>
              <w:pStyle w:val="TAL"/>
              <w:rPr>
                <w:szCs w:val="22"/>
                <w:lang w:eastAsia="sv-SE"/>
              </w:rPr>
            </w:pPr>
            <w:r w:rsidRPr="00FA0D37">
              <w:rPr>
                <w:b/>
                <w:i/>
                <w:szCs w:val="22"/>
                <w:lang w:eastAsia="sv-SE"/>
              </w:rPr>
              <w:t>nrofHARQ-Processes</w:t>
            </w:r>
          </w:p>
          <w:p w14:paraId="70A547BE" w14:textId="246609CB" w:rsidR="00394471" w:rsidRPr="00FA0D37" w:rsidRDefault="00394471" w:rsidP="00964CC4">
            <w:pPr>
              <w:pStyle w:val="TAL"/>
              <w:rPr>
                <w:szCs w:val="22"/>
                <w:lang w:eastAsia="sv-SE"/>
              </w:rPr>
            </w:pPr>
            <w:r w:rsidRPr="00FA0D37">
              <w:rPr>
                <w:szCs w:val="22"/>
                <w:lang w:eastAsia="sv-SE"/>
              </w:rPr>
              <w:t>Number of configured HARQ processes for SPS DL (see TS 38.321 [3], clause 5.8.1).</w:t>
            </w:r>
            <w:r w:rsidR="005B7637" w:rsidRPr="00FA0D37">
              <w:rPr>
                <w:szCs w:val="22"/>
                <w:lang w:eastAsia="sv-SE"/>
              </w:rPr>
              <w:t xml:space="preserve"> If UE is configured with </w:t>
            </w:r>
            <w:r w:rsidR="005B7637" w:rsidRPr="00FA0D37">
              <w:rPr>
                <w:i/>
                <w:iCs/>
              </w:rPr>
              <w:t>nrofHARQ-Processes</w:t>
            </w:r>
            <w:r w:rsidR="0090199E" w:rsidRPr="00FA0D37">
              <w:rPr>
                <w:i/>
                <w:iCs/>
              </w:rPr>
              <w:t>-v1710</w:t>
            </w:r>
            <w:r w:rsidR="005B7637" w:rsidRPr="00FA0D37">
              <w:t xml:space="preserve"> UE shall ignore </w:t>
            </w:r>
            <w:r w:rsidR="005B7637" w:rsidRPr="00FA0D37">
              <w:rPr>
                <w:i/>
                <w:iCs/>
              </w:rPr>
              <w:t>nrofHARQ-Processes</w:t>
            </w:r>
            <w:r w:rsidR="0090199E" w:rsidRPr="00FA0D37">
              <w:rPr>
                <w:i/>
                <w:iCs/>
              </w:rPr>
              <w:t xml:space="preserve"> (without suffix)</w:t>
            </w:r>
            <w:r w:rsidR="005B7637" w:rsidRPr="00FA0D37">
              <w:t>.</w:t>
            </w:r>
          </w:p>
        </w:tc>
      </w:tr>
      <w:tr w:rsidR="005C7FF4" w:rsidRPr="00FA0D37"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FA0D37" w:rsidRDefault="00394471" w:rsidP="00964CC4">
            <w:pPr>
              <w:pStyle w:val="TAL"/>
              <w:rPr>
                <w:b/>
                <w:i/>
                <w:szCs w:val="22"/>
              </w:rPr>
            </w:pPr>
            <w:r w:rsidRPr="00FA0D37">
              <w:rPr>
                <w:b/>
                <w:i/>
                <w:szCs w:val="22"/>
              </w:rPr>
              <w:t>pdsch-AggregationFactor</w:t>
            </w:r>
          </w:p>
          <w:p w14:paraId="53E56B91" w14:textId="734BEFE6" w:rsidR="00394471" w:rsidRPr="00FA0D37" w:rsidRDefault="00394471" w:rsidP="00964CC4">
            <w:pPr>
              <w:pStyle w:val="TAL"/>
              <w:rPr>
                <w:b/>
                <w:i/>
                <w:szCs w:val="22"/>
                <w:lang w:eastAsia="sv-SE"/>
              </w:rPr>
            </w:pPr>
            <w:r w:rsidRPr="00FA0D37">
              <w:rPr>
                <w:szCs w:val="22"/>
              </w:rPr>
              <w:t xml:space="preserve">Number of repetitions for SPS PDSCH (see TS 38.214 [19], clause 5.1.2.1). When the field is absent, the UE applies </w:t>
            </w:r>
            <w:r w:rsidR="00E1245C" w:rsidRPr="00FA0D37">
              <w:rPr>
                <w:szCs w:val="22"/>
              </w:rPr>
              <w:t xml:space="preserve">the value 1 </w:t>
            </w:r>
            <w:r w:rsidR="00E1245C" w:rsidRPr="00FA0D37">
              <w:rPr>
                <w:szCs w:val="22"/>
                <w:lang w:eastAsia="sv-SE"/>
              </w:rPr>
              <w:t>for</w:t>
            </w:r>
            <w:r w:rsidR="00E1245C" w:rsidRPr="00FA0D37">
              <w:rPr>
                <w:szCs w:val="22"/>
              </w:rPr>
              <w:t xml:space="preserve"> MBS multicast data and the </w:t>
            </w:r>
            <w:r w:rsidR="00E1245C" w:rsidRPr="00FA0D37">
              <w:rPr>
                <w:rFonts w:eastAsia="Gulim"/>
                <w:i/>
                <w:iCs/>
                <w:szCs w:val="24"/>
              </w:rPr>
              <w:t>pdsch-AggregationFactor</w:t>
            </w:r>
            <w:r w:rsidR="00E1245C" w:rsidRPr="00FA0D37">
              <w:rPr>
                <w:rFonts w:eastAsia="Gulim"/>
                <w:szCs w:val="24"/>
              </w:rPr>
              <w:t xml:space="preserve"> in </w:t>
            </w:r>
            <w:r w:rsidR="00E1245C" w:rsidRPr="00FA0D37">
              <w:rPr>
                <w:rFonts w:eastAsia="Gulim"/>
                <w:i/>
                <w:iCs/>
                <w:szCs w:val="24"/>
              </w:rPr>
              <w:t>pdsch-</w:t>
            </w:r>
            <w:r w:rsidR="002247AB" w:rsidRPr="00FA0D37">
              <w:rPr>
                <w:rFonts w:eastAsia="Gulim"/>
                <w:i/>
                <w:iCs/>
                <w:szCs w:val="24"/>
              </w:rPr>
              <w:t>C</w:t>
            </w:r>
            <w:r w:rsidR="00E1245C" w:rsidRPr="00FA0D37">
              <w:rPr>
                <w:rFonts w:eastAsia="Gulim"/>
                <w:i/>
                <w:iCs/>
                <w:szCs w:val="24"/>
              </w:rPr>
              <w:t>onfig</w:t>
            </w:r>
            <w:r w:rsidR="00E1245C" w:rsidRPr="00FA0D37">
              <w:rPr>
                <w:lang w:eastAsia="ko-KR"/>
              </w:rPr>
              <w:t xml:space="preserve"> </w:t>
            </w:r>
            <w:r w:rsidR="00E1245C" w:rsidRPr="00FA0D37">
              <w:rPr>
                <w:szCs w:val="22"/>
                <w:lang w:eastAsia="sv-SE"/>
              </w:rPr>
              <w:t>for</w:t>
            </w:r>
            <w:r w:rsidR="00E1245C" w:rsidRPr="00FA0D37">
              <w:rPr>
                <w:szCs w:val="22"/>
              </w:rPr>
              <w:t xml:space="preserve"> other data</w:t>
            </w:r>
            <w:r w:rsidRPr="00FA0D37">
              <w:rPr>
                <w:szCs w:val="22"/>
              </w:rPr>
              <w:t>.</w:t>
            </w:r>
          </w:p>
        </w:tc>
      </w:tr>
      <w:tr w:rsidR="005C7FF4" w:rsidRPr="00FA0D37"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FA0D37" w:rsidRDefault="00394471" w:rsidP="00964CC4">
            <w:pPr>
              <w:pStyle w:val="TAL"/>
              <w:rPr>
                <w:szCs w:val="22"/>
                <w:lang w:eastAsia="sv-SE"/>
              </w:rPr>
            </w:pPr>
            <w:r w:rsidRPr="00FA0D37">
              <w:rPr>
                <w:b/>
                <w:i/>
                <w:szCs w:val="22"/>
                <w:lang w:eastAsia="sv-SE"/>
              </w:rPr>
              <w:t>periodicity</w:t>
            </w:r>
          </w:p>
          <w:p w14:paraId="3DD5179B" w14:textId="77777777" w:rsidR="00394471" w:rsidRPr="00FA0D37" w:rsidRDefault="00394471" w:rsidP="00964CC4">
            <w:pPr>
              <w:pStyle w:val="TAL"/>
              <w:rPr>
                <w:szCs w:val="22"/>
                <w:lang w:eastAsia="sv-SE"/>
              </w:rPr>
            </w:pPr>
            <w:r w:rsidRPr="00FA0D37">
              <w:rPr>
                <w:szCs w:val="22"/>
                <w:lang w:eastAsia="sv-SE"/>
              </w:rPr>
              <w:t>Periodicity for DL SPS (see TS 38.214 [19] and TS 38.321 [3], clause 5.8.1).</w:t>
            </w:r>
          </w:p>
        </w:tc>
      </w:tr>
      <w:tr w:rsidR="005C7FF4" w:rsidRPr="00FA0D37"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FA0D37" w:rsidRDefault="00394471" w:rsidP="00964CC4">
            <w:pPr>
              <w:pStyle w:val="TAL"/>
              <w:rPr>
                <w:b/>
                <w:i/>
                <w:szCs w:val="22"/>
                <w:lang w:eastAsia="sv-SE"/>
              </w:rPr>
            </w:pPr>
            <w:r w:rsidRPr="00FA0D37">
              <w:rPr>
                <w:b/>
                <w:i/>
                <w:szCs w:val="22"/>
                <w:lang w:eastAsia="sv-SE"/>
              </w:rPr>
              <w:t>periodicityExt</w:t>
            </w:r>
          </w:p>
          <w:p w14:paraId="18F07F22" w14:textId="6443045C" w:rsidR="00394471" w:rsidRPr="00FA0D37" w:rsidRDefault="00394471" w:rsidP="00964CC4">
            <w:pPr>
              <w:pStyle w:val="TAL"/>
              <w:rPr>
                <w:lang w:eastAsia="sv-SE"/>
              </w:rPr>
            </w:pPr>
            <w:r w:rsidRPr="00FA0D37">
              <w:rPr>
                <w:lang w:eastAsia="sv-SE"/>
              </w:rPr>
              <w:t>This field is used to calculate the periodicity for DL SPS (see TS 38.214 [19] and see TS 38.321 [3], clause 5</w:t>
            </w:r>
            <w:r w:rsidR="00262741" w:rsidRPr="00FA0D37">
              <w:rPr>
                <w:lang w:eastAsia="sv-SE"/>
              </w:rPr>
              <w:t>.</w:t>
            </w:r>
            <w:r w:rsidRPr="00FA0D37">
              <w:rPr>
                <w:lang w:eastAsia="sv-SE"/>
              </w:rPr>
              <w:t xml:space="preserve">8.1). If this field is present, the field </w:t>
            </w:r>
            <w:r w:rsidRPr="00FA0D37">
              <w:rPr>
                <w:i/>
                <w:lang w:eastAsia="sv-SE"/>
              </w:rPr>
              <w:t>periodicity</w:t>
            </w:r>
            <w:r w:rsidRPr="00FA0D37">
              <w:rPr>
                <w:lang w:eastAsia="sv-SE"/>
              </w:rPr>
              <w:t xml:space="preserve"> is ignored.</w:t>
            </w:r>
          </w:p>
          <w:p w14:paraId="5D4A04B4" w14:textId="77777777" w:rsidR="00394471" w:rsidRPr="00FA0D37" w:rsidRDefault="00394471" w:rsidP="00964CC4">
            <w:pPr>
              <w:pStyle w:val="TAL"/>
              <w:rPr>
                <w:lang w:eastAsia="sv-SE"/>
              </w:rPr>
            </w:pPr>
            <w:r w:rsidRPr="00FA0D37">
              <w:rPr>
                <w:lang w:eastAsia="sv-SE"/>
              </w:rPr>
              <w:t>The following periodicities are supported depending on the configured subcarrier spacing [ms]:</w:t>
            </w:r>
          </w:p>
          <w:p w14:paraId="7BA366EC" w14:textId="77777777" w:rsidR="00394471" w:rsidRPr="00FA0D37" w:rsidRDefault="00394471" w:rsidP="00964CC4">
            <w:pPr>
              <w:pStyle w:val="TAL"/>
              <w:tabs>
                <w:tab w:val="left" w:pos="2014"/>
              </w:tabs>
              <w:rPr>
                <w:szCs w:val="22"/>
                <w:lang w:eastAsia="sv-SE"/>
              </w:rPr>
            </w:pPr>
            <w:r w:rsidRPr="00FA0D37">
              <w:rPr>
                <w:szCs w:val="22"/>
                <w:lang w:eastAsia="sv-SE"/>
              </w:rPr>
              <w:t>15 kHz:</w:t>
            </w:r>
            <w:r w:rsidRPr="00FA0D37">
              <w:rPr>
                <w:szCs w:val="22"/>
                <w:lang w:eastAsia="sv-SE"/>
              </w:rPr>
              <w:tab/>
            </w:r>
            <w:r w:rsidRPr="00FA0D37">
              <w:rPr>
                <w:i/>
                <w:szCs w:val="22"/>
                <w:lang w:eastAsia="sv-SE"/>
              </w:rPr>
              <w:t>periodicityExt</w:t>
            </w:r>
            <w:r w:rsidRPr="00FA0D37">
              <w:rPr>
                <w:szCs w:val="22"/>
                <w:lang w:eastAsia="sv-SE"/>
              </w:rPr>
              <w:t xml:space="preserve">, where </w:t>
            </w:r>
            <w:r w:rsidRPr="00FA0D37">
              <w:rPr>
                <w:i/>
                <w:szCs w:val="22"/>
                <w:lang w:eastAsia="sv-SE"/>
              </w:rPr>
              <w:t>periodicityExt</w:t>
            </w:r>
            <w:r w:rsidRPr="00FA0D37">
              <w:rPr>
                <w:szCs w:val="22"/>
                <w:lang w:eastAsia="sv-SE"/>
              </w:rPr>
              <w:t xml:space="preserve"> has a value between 1 and 640.</w:t>
            </w:r>
          </w:p>
          <w:p w14:paraId="46B05D67" w14:textId="77777777" w:rsidR="00394471" w:rsidRPr="00FA0D37" w:rsidRDefault="00394471" w:rsidP="00964CC4">
            <w:pPr>
              <w:pStyle w:val="TAL"/>
              <w:tabs>
                <w:tab w:val="left" w:pos="2014"/>
              </w:tabs>
              <w:rPr>
                <w:szCs w:val="22"/>
                <w:lang w:eastAsia="sv-SE"/>
              </w:rPr>
            </w:pPr>
            <w:r w:rsidRPr="00FA0D37">
              <w:rPr>
                <w:szCs w:val="22"/>
                <w:lang w:eastAsia="sv-SE"/>
              </w:rPr>
              <w:t>30 kHz:</w:t>
            </w:r>
            <w:r w:rsidRPr="00FA0D37">
              <w:rPr>
                <w:szCs w:val="22"/>
                <w:lang w:eastAsia="sv-SE"/>
              </w:rPr>
              <w:tab/>
              <w:t xml:space="preserve">0.5 x </w:t>
            </w:r>
            <w:r w:rsidRPr="00FA0D37">
              <w:rPr>
                <w:i/>
                <w:szCs w:val="22"/>
                <w:lang w:eastAsia="sv-SE"/>
              </w:rPr>
              <w:t>periodicityExt</w:t>
            </w:r>
            <w:r w:rsidRPr="00FA0D37">
              <w:rPr>
                <w:szCs w:val="22"/>
                <w:lang w:eastAsia="sv-SE"/>
              </w:rPr>
              <w:t xml:space="preserve">, where </w:t>
            </w:r>
            <w:r w:rsidRPr="00FA0D37">
              <w:rPr>
                <w:i/>
                <w:szCs w:val="22"/>
                <w:lang w:eastAsia="sv-SE"/>
              </w:rPr>
              <w:t>periodicityExt</w:t>
            </w:r>
            <w:r w:rsidRPr="00FA0D37">
              <w:rPr>
                <w:szCs w:val="22"/>
                <w:lang w:eastAsia="sv-SE"/>
              </w:rPr>
              <w:t xml:space="preserve"> has a value between 1 and 1280.</w:t>
            </w:r>
          </w:p>
          <w:p w14:paraId="76FC0105" w14:textId="5F6C289B" w:rsidR="00394471" w:rsidRPr="00FA0D37" w:rsidRDefault="00394471" w:rsidP="00964CC4">
            <w:pPr>
              <w:pStyle w:val="TAL"/>
              <w:tabs>
                <w:tab w:val="left" w:pos="2014"/>
              </w:tabs>
              <w:rPr>
                <w:szCs w:val="22"/>
                <w:lang w:eastAsia="sv-SE"/>
              </w:rPr>
            </w:pPr>
            <w:r w:rsidRPr="00FA0D37">
              <w:rPr>
                <w:szCs w:val="22"/>
                <w:lang w:eastAsia="sv-SE"/>
              </w:rPr>
              <w:t>60 kHz with normal CP</w:t>
            </w:r>
            <w:r w:rsidR="00F20572" w:rsidRPr="00FA0D37">
              <w:rPr>
                <w:szCs w:val="22"/>
                <w:lang w:eastAsia="sv-SE"/>
              </w:rPr>
              <w:t>.</w:t>
            </w:r>
            <w:r w:rsidRPr="00FA0D37">
              <w:rPr>
                <w:szCs w:val="22"/>
                <w:lang w:eastAsia="sv-SE"/>
              </w:rPr>
              <w:tab/>
              <w:t xml:space="preserve">0.25 x </w:t>
            </w:r>
            <w:r w:rsidRPr="00FA0D37">
              <w:rPr>
                <w:i/>
                <w:szCs w:val="22"/>
                <w:lang w:eastAsia="sv-SE"/>
              </w:rPr>
              <w:t>periodicityExt</w:t>
            </w:r>
            <w:r w:rsidRPr="00FA0D37">
              <w:rPr>
                <w:szCs w:val="22"/>
                <w:lang w:eastAsia="sv-SE"/>
              </w:rPr>
              <w:t xml:space="preserve">, where </w:t>
            </w:r>
            <w:r w:rsidRPr="00FA0D37">
              <w:rPr>
                <w:i/>
                <w:szCs w:val="22"/>
                <w:lang w:eastAsia="sv-SE"/>
              </w:rPr>
              <w:t>periodicityExt</w:t>
            </w:r>
            <w:r w:rsidRPr="00FA0D37">
              <w:rPr>
                <w:szCs w:val="22"/>
                <w:lang w:eastAsia="sv-SE"/>
              </w:rPr>
              <w:t xml:space="preserve"> has a value between 1 and 2560.</w:t>
            </w:r>
          </w:p>
          <w:p w14:paraId="3CC01D65" w14:textId="77777777" w:rsidR="00394471" w:rsidRPr="00FA0D37" w:rsidRDefault="00394471" w:rsidP="00F20572">
            <w:pPr>
              <w:pStyle w:val="TAL"/>
              <w:tabs>
                <w:tab w:val="left" w:pos="2014"/>
              </w:tabs>
              <w:rPr>
                <w:szCs w:val="22"/>
                <w:lang w:eastAsia="sv-SE"/>
              </w:rPr>
            </w:pPr>
            <w:r w:rsidRPr="00FA0D37">
              <w:rPr>
                <w:szCs w:val="22"/>
                <w:lang w:eastAsia="sv-SE"/>
              </w:rPr>
              <w:t>60 kHz with ECP:</w:t>
            </w:r>
            <w:r w:rsidRPr="00FA0D37">
              <w:rPr>
                <w:szCs w:val="22"/>
                <w:lang w:eastAsia="sv-SE"/>
              </w:rPr>
              <w:tab/>
              <w:t xml:space="preserve">0.25 x </w:t>
            </w:r>
            <w:r w:rsidRPr="00FA0D37">
              <w:rPr>
                <w:i/>
                <w:szCs w:val="22"/>
                <w:lang w:eastAsia="sv-SE"/>
              </w:rPr>
              <w:t>periodicityExt</w:t>
            </w:r>
            <w:r w:rsidRPr="00FA0D37">
              <w:rPr>
                <w:szCs w:val="22"/>
                <w:lang w:eastAsia="sv-SE"/>
              </w:rPr>
              <w:t xml:space="preserve">, where </w:t>
            </w:r>
            <w:r w:rsidRPr="00FA0D37">
              <w:rPr>
                <w:i/>
                <w:szCs w:val="22"/>
                <w:lang w:eastAsia="sv-SE"/>
              </w:rPr>
              <w:t>periodicityExt</w:t>
            </w:r>
            <w:r w:rsidRPr="00FA0D37">
              <w:rPr>
                <w:szCs w:val="22"/>
                <w:lang w:eastAsia="sv-SE"/>
              </w:rPr>
              <w:t xml:space="preserve"> has a value between 1 and 2560.</w:t>
            </w:r>
          </w:p>
          <w:p w14:paraId="3696B4B3" w14:textId="77777777" w:rsidR="00727F8C" w:rsidRPr="00FA0D37" w:rsidRDefault="00394471" w:rsidP="00727F8C">
            <w:pPr>
              <w:pStyle w:val="TAL"/>
              <w:tabs>
                <w:tab w:val="left" w:pos="2014"/>
              </w:tabs>
              <w:rPr>
                <w:szCs w:val="22"/>
                <w:lang w:eastAsia="sv-SE"/>
              </w:rPr>
            </w:pPr>
            <w:r w:rsidRPr="00FA0D37">
              <w:rPr>
                <w:szCs w:val="22"/>
                <w:lang w:eastAsia="sv-SE"/>
              </w:rPr>
              <w:t>120 kHz:</w:t>
            </w:r>
            <w:r w:rsidRPr="00FA0D37">
              <w:rPr>
                <w:szCs w:val="22"/>
                <w:lang w:eastAsia="sv-SE"/>
              </w:rPr>
              <w:tab/>
              <w:t xml:space="preserve">0.125 x </w:t>
            </w:r>
            <w:r w:rsidRPr="00FA0D37">
              <w:rPr>
                <w:i/>
                <w:szCs w:val="22"/>
                <w:lang w:eastAsia="sv-SE"/>
              </w:rPr>
              <w:t>periodicityExt</w:t>
            </w:r>
            <w:r w:rsidRPr="00FA0D37">
              <w:rPr>
                <w:szCs w:val="22"/>
                <w:lang w:eastAsia="sv-SE"/>
              </w:rPr>
              <w:t xml:space="preserve">, where </w:t>
            </w:r>
            <w:r w:rsidRPr="00FA0D37">
              <w:rPr>
                <w:i/>
                <w:szCs w:val="22"/>
                <w:lang w:eastAsia="sv-SE"/>
              </w:rPr>
              <w:t>periodicityExt</w:t>
            </w:r>
            <w:r w:rsidRPr="00FA0D37">
              <w:rPr>
                <w:szCs w:val="22"/>
                <w:lang w:eastAsia="sv-SE"/>
              </w:rPr>
              <w:t xml:space="preserve"> has a value between 1 and 5120.</w:t>
            </w:r>
          </w:p>
          <w:p w14:paraId="4E9F0135" w14:textId="7A0B34DB" w:rsidR="00727F8C" w:rsidRPr="00FA0D37" w:rsidRDefault="00727F8C" w:rsidP="00727F8C">
            <w:pPr>
              <w:pStyle w:val="TAL"/>
              <w:tabs>
                <w:tab w:val="left" w:pos="2014"/>
              </w:tabs>
              <w:rPr>
                <w:szCs w:val="22"/>
                <w:lang w:eastAsia="sv-SE"/>
              </w:rPr>
            </w:pPr>
            <w:r w:rsidRPr="00FA0D37">
              <w:rPr>
                <w:szCs w:val="22"/>
                <w:lang w:eastAsia="sv-SE"/>
              </w:rPr>
              <w:t>480 kHz:</w:t>
            </w:r>
            <w:r w:rsidRPr="00FA0D37">
              <w:rPr>
                <w:szCs w:val="22"/>
                <w:lang w:eastAsia="sv-SE"/>
              </w:rPr>
              <w:tab/>
            </w:r>
            <w:r w:rsidR="001B0D59" w:rsidRPr="00FA0D37">
              <w:rPr>
                <w:szCs w:val="22"/>
                <w:lang w:eastAsia="sv-SE"/>
              </w:rPr>
              <w:t>0.03125</w:t>
            </w:r>
            <w:r w:rsidRPr="00FA0D37">
              <w:rPr>
                <w:szCs w:val="22"/>
                <w:lang w:eastAsia="sv-SE"/>
              </w:rPr>
              <w:t xml:space="preserve"> x periodicityExt, where periodicityExt has a value between 1 and 20480.</w:t>
            </w:r>
          </w:p>
          <w:p w14:paraId="1469C773" w14:textId="1AF7A3EE" w:rsidR="00F12A49" w:rsidRPr="00FA0D37" w:rsidRDefault="00727F8C" w:rsidP="00F12A49">
            <w:pPr>
              <w:pStyle w:val="TAL"/>
              <w:tabs>
                <w:tab w:val="left" w:pos="2014"/>
              </w:tabs>
              <w:rPr>
                <w:szCs w:val="22"/>
                <w:lang w:eastAsia="sv-SE"/>
              </w:rPr>
            </w:pPr>
            <w:r w:rsidRPr="00FA0D37">
              <w:rPr>
                <w:szCs w:val="22"/>
                <w:lang w:eastAsia="sv-SE"/>
              </w:rPr>
              <w:t>960 kHz:</w:t>
            </w:r>
            <w:r w:rsidRPr="00FA0D37">
              <w:rPr>
                <w:szCs w:val="22"/>
                <w:lang w:eastAsia="sv-SE"/>
              </w:rPr>
              <w:tab/>
            </w:r>
            <w:r w:rsidR="001B0D59" w:rsidRPr="00FA0D37">
              <w:rPr>
                <w:szCs w:val="22"/>
                <w:lang w:eastAsia="sv-SE"/>
              </w:rPr>
              <w:t>0.015625</w:t>
            </w:r>
            <w:r w:rsidRPr="00FA0D37">
              <w:rPr>
                <w:szCs w:val="22"/>
                <w:lang w:eastAsia="sv-SE"/>
              </w:rPr>
              <w:t xml:space="preserve"> x periodicityExt, where periodicityExt has a value between 1 and 40960.</w:t>
            </w:r>
          </w:p>
          <w:p w14:paraId="313479D8" w14:textId="39153F0D" w:rsidR="00394471" w:rsidRPr="00FA0D37" w:rsidRDefault="00F12A49" w:rsidP="00F12A49">
            <w:pPr>
              <w:pStyle w:val="TAL"/>
              <w:tabs>
                <w:tab w:val="left" w:pos="2014"/>
              </w:tabs>
              <w:rPr>
                <w:b/>
                <w:i/>
                <w:szCs w:val="22"/>
                <w:lang w:eastAsia="sv-SE"/>
              </w:rPr>
            </w:pPr>
            <w:r w:rsidRPr="00FA0D37">
              <w:rPr>
                <w:i/>
                <w:iCs/>
              </w:rPr>
              <w:t>periodicityExt-r17</w:t>
            </w:r>
            <w:r w:rsidRPr="00FA0D37">
              <w:t xml:space="preserve"> is only applicable for SCS 480 kHz and 960 kHz.</w:t>
            </w:r>
          </w:p>
        </w:tc>
      </w:tr>
      <w:tr w:rsidR="005C7FF4" w:rsidRPr="00FA0D37"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FA0D37" w:rsidRDefault="00394471" w:rsidP="00964CC4">
            <w:pPr>
              <w:pStyle w:val="TAL"/>
              <w:rPr>
                <w:b/>
                <w:i/>
                <w:szCs w:val="22"/>
                <w:lang w:eastAsia="sv-SE"/>
              </w:rPr>
            </w:pPr>
            <w:r w:rsidRPr="00FA0D37">
              <w:rPr>
                <w:b/>
                <w:i/>
                <w:szCs w:val="22"/>
                <w:lang w:eastAsia="sv-SE"/>
              </w:rPr>
              <w:t>sps-ConfigIndex</w:t>
            </w:r>
          </w:p>
          <w:p w14:paraId="411D37A0" w14:textId="77777777" w:rsidR="00394471" w:rsidRPr="00FA0D37" w:rsidRDefault="00394471" w:rsidP="00964CC4">
            <w:pPr>
              <w:pStyle w:val="TAL"/>
              <w:rPr>
                <w:b/>
                <w:i/>
                <w:szCs w:val="22"/>
                <w:lang w:eastAsia="sv-SE"/>
              </w:rPr>
            </w:pPr>
            <w:r w:rsidRPr="00FA0D37">
              <w:rPr>
                <w:lang w:eastAsia="sv-SE"/>
              </w:rPr>
              <w:t>Indicates the index of one of multiple SPS configurations.</w:t>
            </w:r>
          </w:p>
        </w:tc>
      </w:tr>
      <w:tr w:rsidR="000830BB" w:rsidRPr="00FA0D37"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FA0D37" w:rsidRDefault="00306103" w:rsidP="00771058">
            <w:pPr>
              <w:pStyle w:val="TAL"/>
              <w:rPr>
                <w:b/>
                <w:i/>
                <w:szCs w:val="22"/>
                <w:lang w:eastAsia="sv-SE"/>
              </w:rPr>
            </w:pPr>
            <w:r w:rsidRPr="00FA0D37">
              <w:rPr>
                <w:b/>
                <w:i/>
                <w:szCs w:val="22"/>
                <w:lang w:eastAsia="sv-SE"/>
              </w:rPr>
              <w:t>sps-HARQ-Deferral</w:t>
            </w:r>
          </w:p>
          <w:p w14:paraId="47DE5C22" w14:textId="77777777" w:rsidR="00306103" w:rsidRPr="00FA0D37" w:rsidRDefault="00306103" w:rsidP="00771058">
            <w:pPr>
              <w:pStyle w:val="TAL"/>
              <w:rPr>
                <w:bCs/>
                <w:iCs/>
                <w:szCs w:val="22"/>
                <w:lang w:eastAsia="sv-SE"/>
              </w:rPr>
            </w:pPr>
            <w:r w:rsidRPr="00FA0D37">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FA0D37" w:rsidRDefault="00394471" w:rsidP="00394471"/>
    <w:tbl>
      <w:tblPr>
        <w:tblW w:w="14173" w:type="dxa"/>
        <w:tblLook w:val="04A0" w:firstRow="1" w:lastRow="0" w:firstColumn="1" w:lastColumn="0" w:noHBand="0" w:noVBand="1"/>
      </w:tblPr>
      <w:tblGrid>
        <w:gridCol w:w="4028"/>
        <w:gridCol w:w="10145"/>
      </w:tblGrid>
      <w:tr w:rsidR="005C7FF4" w:rsidRPr="00FA0D37"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FA0D37" w:rsidRDefault="00394471" w:rsidP="00964CC4">
            <w:pPr>
              <w:pStyle w:val="TAH"/>
              <w:rPr>
                <w:lang w:eastAsia="sv-SE"/>
              </w:rPr>
            </w:pPr>
            <w:r w:rsidRPr="00FA0D37">
              <w:rPr>
                <w:lang w:eastAsia="sv-SE"/>
              </w:rPr>
              <w:lastRenderedPageBreak/>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FA0D37" w:rsidRDefault="00394471" w:rsidP="00964CC4">
            <w:pPr>
              <w:pStyle w:val="TAH"/>
              <w:rPr>
                <w:lang w:eastAsia="sv-SE"/>
              </w:rPr>
            </w:pPr>
            <w:r w:rsidRPr="00FA0D37">
              <w:rPr>
                <w:lang w:eastAsia="sv-SE"/>
              </w:rPr>
              <w:t>Explanation</w:t>
            </w:r>
          </w:p>
        </w:tc>
      </w:tr>
      <w:tr w:rsidR="00394471" w:rsidRPr="00FA0D37"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FA0D37" w:rsidRDefault="00394471" w:rsidP="00964CC4">
            <w:pPr>
              <w:pStyle w:val="TAL"/>
              <w:rPr>
                <w:i/>
                <w:lang w:eastAsia="sv-SE"/>
              </w:rPr>
            </w:pPr>
            <w:r w:rsidRPr="00FA0D37">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FA0D37" w:rsidRDefault="00394471" w:rsidP="00964CC4">
            <w:pPr>
              <w:pStyle w:val="TAL"/>
              <w:rPr>
                <w:lang w:eastAsia="sv-SE"/>
              </w:rPr>
            </w:pPr>
            <w:r w:rsidRPr="00FA0D37">
              <w:rPr>
                <w:lang w:eastAsia="sv-SE"/>
              </w:rPr>
              <w:t xml:space="preserve">The field is mandatory present when included in </w:t>
            </w:r>
            <w:r w:rsidRPr="00FA0D37">
              <w:rPr>
                <w:i/>
                <w:iCs/>
                <w:lang w:eastAsia="sv-SE"/>
              </w:rPr>
              <w:t>sps-ConfigToAddModList-r16</w:t>
            </w:r>
            <w:r w:rsidR="002A4990" w:rsidRPr="00FA0D37">
              <w:rPr>
                <w:b/>
                <w:iCs/>
                <w:kern w:val="2"/>
                <w:lang w:eastAsia="sv-SE"/>
              </w:rPr>
              <w:t xml:space="preserve"> </w:t>
            </w:r>
            <w:r w:rsidR="002A4990" w:rsidRPr="00FA0D37">
              <w:rPr>
                <w:iCs/>
                <w:kern w:val="2"/>
                <w:lang w:eastAsia="sv-SE"/>
              </w:rPr>
              <w:t xml:space="preserve">or </w:t>
            </w:r>
            <w:r w:rsidR="002A4990" w:rsidRPr="00FA0D37">
              <w:rPr>
                <w:i/>
                <w:iCs/>
                <w:kern w:val="2"/>
                <w:lang w:eastAsia="sv-SE"/>
              </w:rPr>
              <w:t>sps-ConfigMulticastToAddModList-r17</w:t>
            </w:r>
            <w:r w:rsidRPr="00FA0D37">
              <w:rPr>
                <w:lang w:eastAsia="sv-SE"/>
              </w:rPr>
              <w:t>, otherwise the field is absent.</w:t>
            </w:r>
          </w:p>
        </w:tc>
      </w:tr>
    </w:tbl>
    <w:p w14:paraId="2521CA9E" w14:textId="77777777" w:rsidR="00394471" w:rsidRPr="00FA0D37" w:rsidRDefault="00394471" w:rsidP="00394471"/>
    <w:p w14:paraId="1C66DFE0" w14:textId="77777777" w:rsidR="00394471" w:rsidRPr="00FA0D37" w:rsidRDefault="00394471" w:rsidP="00394471">
      <w:pPr>
        <w:pStyle w:val="4"/>
      </w:pPr>
      <w:bookmarkStart w:id="1415" w:name="_Toc60777393"/>
      <w:bookmarkStart w:id="1416" w:name="_Toc146781479"/>
      <w:r w:rsidRPr="00FA0D37">
        <w:t>–</w:t>
      </w:r>
      <w:r w:rsidRPr="00FA0D37">
        <w:tab/>
      </w:r>
      <w:r w:rsidRPr="00FA0D37">
        <w:rPr>
          <w:i/>
        </w:rPr>
        <w:t>SPS-ConfigIndex</w:t>
      </w:r>
      <w:bookmarkEnd w:id="1415"/>
      <w:bookmarkEnd w:id="1416"/>
    </w:p>
    <w:p w14:paraId="31A74B00" w14:textId="77777777" w:rsidR="00394471" w:rsidRPr="00FA0D37" w:rsidRDefault="00394471" w:rsidP="00394471">
      <w:r w:rsidRPr="00FA0D37">
        <w:t xml:space="preserve">The IE </w:t>
      </w:r>
      <w:r w:rsidRPr="00FA0D37">
        <w:rPr>
          <w:i/>
        </w:rPr>
        <w:t>SPS-ConfigIndex</w:t>
      </w:r>
      <w:r w:rsidRPr="00FA0D37">
        <w:t xml:space="preserve"> is used to indicate the index of one of multiple DL SPS configurations in one BWP.</w:t>
      </w:r>
    </w:p>
    <w:p w14:paraId="79F5026F" w14:textId="77777777" w:rsidR="00394471" w:rsidRPr="00FA0D37" w:rsidRDefault="00394471" w:rsidP="00394471">
      <w:pPr>
        <w:pStyle w:val="TH"/>
      </w:pPr>
      <w:r w:rsidRPr="00FA0D37">
        <w:rPr>
          <w:i/>
        </w:rPr>
        <w:t>SPS-ConfigIndex</w:t>
      </w:r>
      <w:r w:rsidRPr="00FA0D37">
        <w:t xml:space="preserve"> information element</w:t>
      </w:r>
    </w:p>
    <w:p w14:paraId="476B4872" w14:textId="77777777" w:rsidR="00394471" w:rsidRPr="00FA0D37" w:rsidRDefault="00394471" w:rsidP="00FA0D37">
      <w:pPr>
        <w:pStyle w:val="PL"/>
        <w:rPr>
          <w:color w:val="808080"/>
        </w:rPr>
      </w:pPr>
      <w:r w:rsidRPr="00FA0D37">
        <w:rPr>
          <w:color w:val="808080"/>
        </w:rPr>
        <w:t>-- ASN1START</w:t>
      </w:r>
    </w:p>
    <w:p w14:paraId="79C71B72" w14:textId="77777777" w:rsidR="00394471" w:rsidRPr="00FA0D37" w:rsidRDefault="00394471" w:rsidP="00FA0D37">
      <w:pPr>
        <w:pStyle w:val="PL"/>
        <w:rPr>
          <w:color w:val="808080"/>
        </w:rPr>
      </w:pPr>
      <w:r w:rsidRPr="00FA0D37">
        <w:rPr>
          <w:color w:val="808080"/>
        </w:rPr>
        <w:t>-- TAG-SPS-CONFIGINDEX-START</w:t>
      </w:r>
    </w:p>
    <w:p w14:paraId="6674E30A" w14:textId="77777777" w:rsidR="00394471" w:rsidRPr="00FA0D37" w:rsidRDefault="00394471" w:rsidP="00FA0D37">
      <w:pPr>
        <w:pStyle w:val="PL"/>
      </w:pPr>
    </w:p>
    <w:p w14:paraId="2D36F5F0" w14:textId="6E0EC55B" w:rsidR="00394471" w:rsidRPr="00FA0D37" w:rsidRDefault="00394471" w:rsidP="00FA0D37">
      <w:pPr>
        <w:pStyle w:val="PL"/>
      </w:pPr>
      <w:r w:rsidRPr="00FA0D37">
        <w:t xml:space="preserve">SPS-ConfigIndex-r16             ::= </w:t>
      </w:r>
      <w:r w:rsidRPr="00FA0D37">
        <w:rPr>
          <w:color w:val="993366"/>
        </w:rPr>
        <w:t>INTEGER</w:t>
      </w:r>
      <w:r w:rsidRPr="00FA0D37">
        <w:t xml:space="preserve"> (0.. maxNrofSPS-Config-</w:t>
      </w:r>
      <w:r w:rsidR="00A371DB" w:rsidRPr="00FA0D37">
        <w:t>1-r16</w:t>
      </w:r>
      <w:r w:rsidRPr="00FA0D37">
        <w:t>)</w:t>
      </w:r>
    </w:p>
    <w:p w14:paraId="3085C2F8" w14:textId="77777777" w:rsidR="00394471" w:rsidRPr="00FA0D37" w:rsidRDefault="00394471" w:rsidP="00FA0D37">
      <w:pPr>
        <w:pStyle w:val="PL"/>
      </w:pPr>
    </w:p>
    <w:p w14:paraId="16956236" w14:textId="77777777" w:rsidR="00394471" w:rsidRPr="00FA0D37" w:rsidRDefault="00394471" w:rsidP="00FA0D37">
      <w:pPr>
        <w:pStyle w:val="PL"/>
        <w:rPr>
          <w:color w:val="808080"/>
        </w:rPr>
      </w:pPr>
      <w:r w:rsidRPr="00FA0D37">
        <w:rPr>
          <w:color w:val="808080"/>
        </w:rPr>
        <w:t>-- TAG-SPS-CONFIGINDEX-STOP</w:t>
      </w:r>
    </w:p>
    <w:p w14:paraId="7BE57B58" w14:textId="77777777" w:rsidR="00394471" w:rsidRPr="00FA0D37" w:rsidRDefault="00394471" w:rsidP="00FA0D37">
      <w:pPr>
        <w:pStyle w:val="PL"/>
        <w:rPr>
          <w:color w:val="808080"/>
        </w:rPr>
      </w:pPr>
      <w:r w:rsidRPr="00FA0D37">
        <w:rPr>
          <w:color w:val="808080"/>
        </w:rPr>
        <w:t>-- ASN1STOP</w:t>
      </w:r>
    </w:p>
    <w:p w14:paraId="2DB9D4FB" w14:textId="77777777" w:rsidR="00394471" w:rsidRPr="00FA0D37" w:rsidRDefault="00394471" w:rsidP="00394471"/>
    <w:p w14:paraId="4D2C7E52" w14:textId="77777777" w:rsidR="00394471" w:rsidRPr="00FA0D37" w:rsidRDefault="00394471" w:rsidP="00394471">
      <w:pPr>
        <w:pStyle w:val="4"/>
      </w:pPr>
      <w:bookmarkStart w:id="1417" w:name="_Toc60777394"/>
      <w:bookmarkStart w:id="1418" w:name="_Toc146781480"/>
      <w:r w:rsidRPr="00FA0D37">
        <w:t>–</w:t>
      </w:r>
      <w:r w:rsidRPr="00FA0D37">
        <w:tab/>
      </w:r>
      <w:r w:rsidRPr="00FA0D37">
        <w:rPr>
          <w:i/>
        </w:rPr>
        <w:t>SPS-PUCCH-AN</w:t>
      </w:r>
      <w:bookmarkEnd w:id="1417"/>
      <w:bookmarkEnd w:id="1418"/>
    </w:p>
    <w:p w14:paraId="3EF6E129" w14:textId="77777777" w:rsidR="00394471" w:rsidRPr="00FA0D37" w:rsidRDefault="00394471" w:rsidP="00394471">
      <w:r w:rsidRPr="00FA0D37">
        <w:t xml:space="preserve">The IE </w:t>
      </w:r>
      <w:r w:rsidRPr="00FA0D37">
        <w:rPr>
          <w:i/>
        </w:rPr>
        <w:t>SPS-PUCCH-AN</w:t>
      </w:r>
      <w:r w:rsidRPr="00FA0D37">
        <w:t xml:space="preserve"> is used to indicate a PUCCH resource for HARQ ACK and configure the corresponding maximum payload size for the PUCCH resource.</w:t>
      </w:r>
    </w:p>
    <w:p w14:paraId="2028C5C7" w14:textId="77777777" w:rsidR="00394471" w:rsidRPr="00FA0D37" w:rsidRDefault="00394471" w:rsidP="00394471">
      <w:pPr>
        <w:pStyle w:val="TH"/>
      </w:pPr>
      <w:r w:rsidRPr="00FA0D37">
        <w:rPr>
          <w:i/>
        </w:rPr>
        <w:t>SPS-PUCCH-AN</w:t>
      </w:r>
      <w:r w:rsidRPr="00FA0D37">
        <w:t xml:space="preserve"> information element</w:t>
      </w:r>
    </w:p>
    <w:p w14:paraId="57381BA3" w14:textId="77777777" w:rsidR="00394471" w:rsidRPr="00FA0D37" w:rsidRDefault="00394471" w:rsidP="00FA0D37">
      <w:pPr>
        <w:pStyle w:val="PL"/>
        <w:rPr>
          <w:color w:val="808080"/>
        </w:rPr>
      </w:pPr>
      <w:r w:rsidRPr="00FA0D37">
        <w:rPr>
          <w:color w:val="808080"/>
        </w:rPr>
        <w:t>-- ASN1START</w:t>
      </w:r>
    </w:p>
    <w:p w14:paraId="1E892CD6" w14:textId="77777777" w:rsidR="00394471" w:rsidRPr="00FA0D37" w:rsidRDefault="00394471" w:rsidP="00FA0D37">
      <w:pPr>
        <w:pStyle w:val="PL"/>
        <w:rPr>
          <w:color w:val="808080"/>
        </w:rPr>
      </w:pPr>
      <w:r w:rsidRPr="00FA0D37">
        <w:rPr>
          <w:color w:val="808080"/>
        </w:rPr>
        <w:t>-- TAG-SPS-PUCCH-AN-START</w:t>
      </w:r>
    </w:p>
    <w:p w14:paraId="0F89C172" w14:textId="77777777" w:rsidR="00394471" w:rsidRPr="00FA0D37" w:rsidRDefault="00394471" w:rsidP="00FA0D37">
      <w:pPr>
        <w:pStyle w:val="PL"/>
      </w:pPr>
    </w:p>
    <w:p w14:paraId="32CEF2A1" w14:textId="77777777" w:rsidR="00394471" w:rsidRPr="00FA0D37" w:rsidRDefault="00394471" w:rsidP="00FA0D37">
      <w:pPr>
        <w:pStyle w:val="PL"/>
      </w:pPr>
      <w:r w:rsidRPr="00FA0D37">
        <w:t xml:space="preserve">SPS-PUCCH-AN-r16  ::=           </w:t>
      </w:r>
      <w:r w:rsidRPr="00FA0D37">
        <w:rPr>
          <w:color w:val="993366"/>
        </w:rPr>
        <w:t>SEQUENCE</w:t>
      </w:r>
      <w:r w:rsidRPr="00FA0D37">
        <w:t xml:space="preserve"> {</w:t>
      </w:r>
    </w:p>
    <w:p w14:paraId="483ED784" w14:textId="77777777" w:rsidR="00394471" w:rsidRPr="00FA0D37" w:rsidRDefault="00394471" w:rsidP="00FA0D37">
      <w:pPr>
        <w:pStyle w:val="PL"/>
      </w:pPr>
      <w:r w:rsidRPr="00FA0D37">
        <w:t xml:space="preserve">    sps-PUCCH-AN-ResourceID-r16     PUCCH-ResourceId,</w:t>
      </w:r>
    </w:p>
    <w:p w14:paraId="2DDEB24E" w14:textId="77777777" w:rsidR="00394471" w:rsidRPr="00FA0D37" w:rsidRDefault="00394471" w:rsidP="00FA0D37">
      <w:pPr>
        <w:pStyle w:val="PL"/>
        <w:rPr>
          <w:color w:val="808080"/>
        </w:rPr>
      </w:pPr>
      <w:r w:rsidRPr="00FA0D37">
        <w:t xml:space="preserve">    maxPayloadSize-r16              </w:t>
      </w:r>
      <w:r w:rsidRPr="00FA0D37">
        <w:rPr>
          <w:color w:val="993366"/>
        </w:rPr>
        <w:t>INTEGER</w:t>
      </w:r>
      <w:r w:rsidRPr="00FA0D37">
        <w:t xml:space="preserve"> (4..256)                     </w:t>
      </w:r>
      <w:r w:rsidRPr="00FA0D37">
        <w:rPr>
          <w:color w:val="993366"/>
        </w:rPr>
        <w:t>OPTIONAL</w:t>
      </w:r>
      <w:r w:rsidRPr="00FA0D37">
        <w:t xml:space="preserve">    </w:t>
      </w:r>
      <w:r w:rsidRPr="00FA0D37">
        <w:rPr>
          <w:color w:val="808080"/>
        </w:rPr>
        <w:t>-- Need R</w:t>
      </w:r>
    </w:p>
    <w:p w14:paraId="536B1B86" w14:textId="77777777" w:rsidR="00394471" w:rsidRPr="00FA0D37" w:rsidRDefault="00394471" w:rsidP="00FA0D37">
      <w:pPr>
        <w:pStyle w:val="PL"/>
      </w:pPr>
      <w:r w:rsidRPr="00FA0D37">
        <w:t>}</w:t>
      </w:r>
    </w:p>
    <w:p w14:paraId="4F0BBE91" w14:textId="77777777" w:rsidR="00394471" w:rsidRPr="00FA0D37" w:rsidRDefault="00394471" w:rsidP="00FA0D37">
      <w:pPr>
        <w:pStyle w:val="PL"/>
      </w:pPr>
    </w:p>
    <w:p w14:paraId="109AA72E" w14:textId="77777777" w:rsidR="00394471" w:rsidRPr="00FA0D37" w:rsidRDefault="00394471" w:rsidP="00FA0D37">
      <w:pPr>
        <w:pStyle w:val="PL"/>
        <w:rPr>
          <w:color w:val="808080"/>
        </w:rPr>
      </w:pPr>
      <w:r w:rsidRPr="00FA0D37">
        <w:rPr>
          <w:color w:val="808080"/>
        </w:rPr>
        <w:t>-- TAG-SPS-PUCCH-AN-STOP</w:t>
      </w:r>
    </w:p>
    <w:p w14:paraId="180C55C6" w14:textId="77777777" w:rsidR="00394471" w:rsidRPr="00FA0D37" w:rsidRDefault="00394471" w:rsidP="00FA0D37">
      <w:pPr>
        <w:pStyle w:val="PL"/>
        <w:rPr>
          <w:color w:val="808080"/>
        </w:rPr>
      </w:pPr>
      <w:r w:rsidRPr="00FA0D37">
        <w:rPr>
          <w:color w:val="808080"/>
        </w:rPr>
        <w:t>-- ASN1STOP</w:t>
      </w:r>
    </w:p>
    <w:p w14:paraId="2C433A0A" w14:textId="77777777" w:rsidR="00394471" w:rsidRPr="00FA0D37" w:rsidRDefault="00394471" w:rsidP="00394471"/>
    <w:tbl>
      <w:tblPr>
        <w:tblW w:w="14173" w:type="dxa"/>
        <w:tblLook w:val="04A0" w:firstRow="1" w:lastRow="0" w:firstColumn="1" w:lastColumn="0" w:noHBand="0" w:noVBand="1"/>
      </w:tblPr>
      <w:tblGrid>
        <w:gridCol w:w="14173"/>
      </w:tblGrid>
      <w:tr w:rsidR="005C7FF4" w:rsidRPr="00FA0D37"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FA0D37" w:rsidRDefault="00394471" w:rsidP="00964CC4">
            <w:pPr>
              <w:pStyle w:val="TAH"/>
              <w:rPr>
                <w:lang w:eastAsia="sv-SE"/>
              </w:rPr>
            </w:pPr>
            <w:r w:rsidRPr="00FA0D37">
              <w:rPr>
                <w:i/>
                <w:lang w:eastAsia="sv-SE"/>
              </w:rPr>
              <w:t>SPS-PUCCH-AN field descriptions</w:t>
            </w:r>
          </w:p>
        </w:tc>
      </w:tr>
      <w:tr w:rsidR="005C7FF4" w:rsidRPr="00FA0D37"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FA0D37" w:rsidRDefault="00394471" w:rsidP="00964CC4">
            <w:pPr>
              <w:pStyle w:val="TAL"/>
              <w:rPr>
                <w:b/>
                <w:i/>
                <w:lang w:eastAsia="sv-SE"/>
              </w:rPr>
            </w:pPr>
            <w:r w:rsidRPr="00FA0D37">
              <w:rPr>
                <w:b/>
                <w:i/>
                <w:lang w:eastAsia="sv-SE"/>
              </w:rPr>
              <w:t>maxPayloadSize</w:t>
            </w:r>
          </w:p>
          <w:p w14:paraId="1FBE393E" w14:textId="77777777" w:rsidR="00394471" w:rsidRPr="00FA0D37" w:rsidRDefault="00394471" w:rsidP="00964CC4">
            <w:pPr>
              <w:pStyle w:val="TAL"/>
              <w:rPr>
                <w:b/>
                <w:i/>
                <w:lang w:eastAsia="sv-SE"/>
              </w:rPr>
            </w:pPr>
            <w:r w:rsidRPr="00FA0D37">
              <w:rPr>
                <w:lang w:eastAsia="sv-SE"/>
              </w:rPr>
              <w:t>Indicates the maximum payload size for the corresponding PUCCH resource ID.</w:t>
            </w:r>
          </w:p>
        </w:tc>
      </w:tr>
      <w:tr w:rsidR="00394471" w:rsidRPr="00FA0D37"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FA0D37" w:rsidRDefault="00394471" w:rsidP="00964CC4">
            <w:pPr>
              <w:pStyle w:val="TAL"/>
              <w:rPr>
                <w:b/>
                <w:i/>
                <w:lang w:eastAsia="sv-SE"/>
              </w:rPr>
            </w:pPr>
            <w:r w:rsidRPr="00FA0D37">
              <w:rPr>
                <w:b/>
                <w:i/>
                <w:lang w:eastAsia="sv-SE"/>
              </w:rPr>
              <w:t>sps-PUCCH-AN-ResourceID</w:t>
            </w:r>
          </w:p>
          <w:p w14:paraId="2C20237A" w14:textId="77777777" w:rsidR="00394471" w:rsidRPr="00FA0D37" w:rsidRDefault="00394471" w:rsidP="00964CC4">
            <w:pPr>
              <w:pStyle w:val="TAL"/>
              <w:rPr>
                <w:b/>
                <w:i/>
                <w:lang w:eastAsia="sv-SE"/>
              </w:rPr>
            </w:pPr>
            <w:r w:rsidRPr="00FA0D37">
              <w:rPr>
                <w:lang w:eastAsia="sv-SE"/>
              </w:rPr>
              <w:t>Indicates the PUCCH resource ID</w:t>
            </w:r>
          </w:p>
        </w:tc>
      </w:tr>
    </w:tbl>
    <w:p w14:paraId="0BAFA30D" w14:textId="77777777" w:rsidR="00394471" w:rsidRPr="00FA0D37" w:rsidRDefault="00394471" w:rsidP="00394471"/>
    <w:p w14:paraId="6C0EDFF8" w14:textId="77777777" w:rsidR="00394471" w:rsidRPr="00FA0D37" w:rsidRDefault="00394471" w:rsidP="00394471">
      <w:pPr>
        <w:pStyle w:val="4"/>
      </w:pPr>
      <w:bookmarkStart w:id="1419" w:name="_Toc60777395"/>
      <w:bookmarkStart w:id="1420" w:name="_Toc146781481"/>
      <w:r w:rsidRPr="00FA0D37">
        <w:lastRenderedPageBreak/>
        <w:t>–</w:t>
      </w:r>
      <w:r w:rsidRPr="00FA0D37">
        <w:tab/>
      </w:r>
      <w:r w:rsidRPr="00FA0D37">
        <w:rPr>
          <w:i/>
        </w:rPr>
        <w:t>SPS-PUCCH-AN-List</w:t>
      </w:r>
      <w:bookmarkEnd w:id="1419"/>
      <w:bookmarkEnd w:id="1420"/>
    </w:p>
    <w:p w14:paraId="11B31A6B" w14:textId="77777777" w:rsidR="00394471" w:rsidRPr="00FA0D37" w:rsidRDefault="00394471" w:rsidP="00394471">
      <w:r w:rsidRPr="00FA0D37">
        <w:t xml:space="preserve">The IE </w:t>
      </w:r>
      <w:r w:rsidRPr="00FA0D37">
        <w:rPr>
          <w:i/>
        </w:rPr>
        <w:t>SPS-PUCCH-AN-List</w:t>
      </w:r>
      <w:r w:rsidRPr="00FA0D37">
        <w:t xml:space="preserve"> is used to configure the list of PUCCH resources per HARQ ACK codebook</w:t>
      </w:r>
    </w:p>
    <w:p w14:paraId="1F092EF3" w14:textId="77777777" w:rsidR="00394471" w:rsidRPr="00FA0D37" w:rsidRDefault="00394471" w:rsidP="00394471">
      <w:pPr>
        <w:pStyle w:val="TH"/>
      </w:pPr>
      <w:r w:rsidRPr="00FA0D37">
        <w:rPr>
          <w:i/>
        </w:rPr>
        <w:t>SPS-PUCCH-AN-List</w:t>
      </w:r>
      <w:r w:rsidRPr="00FA0D37">
        <w:t xml:space="preserve"> information element</w:t>
      </w:r>
    </w:p>
    <w:p w14:paraId="3E5ADCF8" w14:textId="77777777" w:rsidR="00394471" w:rsidRPr="00FA0D37" w:rsidRDefault="00394471" w:rsidP="00FA0D37">
      <w:pPr>
        <w:pStyle w:val="PL"/>
        <w:rPr>
          <w:color w:val="808080"/>
        </w:rPr>
      </w:pPr>
      <w:r w:rsidRPr="00FA0D37">
        <w:rPr>
          <w:color w:val="808080"/>
        </w:rPr>
        <w:t>-- ASN1START</w:t>
      </w:r>
    </w:p>
    <w:p w14:paraId="3EDBF4E1" w14:textId="77777777" w:rsidR="00394471" w:rsidRPr="00FA0D37" w:rsidRDefault="00394471" w:rsidP="00FA0D37">
      <w:pPr>
        <w:pStyle w:val="PL"/>
        <w:rPr>
          <w:color w:val="808080"/>
        </w:rPr>
      </w:pPr>
      <w:r w:rsidRPr="00FA0D37">
        <w:rPr>
          <w:color w:val="808080"/>
        </w:rPr>
        <w:t>-- TAG-SPS-PUCCH-AN-LIST-START</w:t>
      </w:r>
    </w:p>
    <w:p w14:paraId="174E2CF7" w14:textId="77777777" w:rsidR="00394471" w:rsidRPr="00FA0D37" w:rsidRDefault="00394471" w:rsidP="00FA0D37">
      <w:pPr>
        <w:pStyle w:val="PL"/>
      </w:pPr>
    </w:p>
    <w:p w14:paraId="2D1FAF50" w14:textId="77777777" w:rsidR="00394471" w:rsidRPr="00FA0D37" w:rsidRDefault="00394471" w:rsidP="00FA0D37">
      <w:pPr>
        <w:pStyle w:val="PL"/>
      </w:pPr>
      <w:r w:rsidRPr="00FA0D37">
        <w:t xml:space="preserve">SPS-PUCCH-AN-List-r16 ::=      </w:t>
      </w:r>
      <w:r w:rsidRPr="00FA0D37">
        <w:rPr>
          <w:color w:val="993366"/>
        </w:rPr>
        <w:t>SEQUENCE</w:t>
      </w:r>
      <w:r w:rsidRPr="00FA0D37">
        <w:t xml:space="preserve"> (</w:t>
      </w:r>
      <w:r w:rsidRPr="00FA0D37">
        <w:rPr>
          <w:color w:val="993366"/>
        </w:rPr>
        <w:t>SIZE</w:t>
      </w:r>
      <w:r w:rsidRPr="00FA0D37">
        <w:t>(1..4))</w:t>
      </w:r>
      <w:r w:rsidRPr="00FA0D37">
        <w:rPr>
          <w:color w:val="993366"/>
        </w:rPr>
        <w:t xml:space="preserve"> OF</w:t>
      </w:r>
      <w:r w:rsidRPr="00FA0D37">
        <w:t xml:space="preserve"> SPS-PUCCH-AN-r16</w:t>
      </w:r>
    </w:p>
    <w:p w14:paraId="339550A7" w14:textId="77777777" w:rsidR="00394471" w:rsidRPr="00FA0D37" w:rsidRDefault="00394471" w:rsidP="00FA0D37">
      <w:pPr>
        <w:pStyle w:val="PL"/>
      </w:pPr>
    </w:p>
    <w:p w14:paraId="0243E02D" w14:textId="77777777" w:rsidR="00394471" w:rsidRPr="00FA0D37" w:rsidRDefault="00394471" w:rsidP="00FA0D37">
      <w:pPr>
        <w:pStyle w:val="PL"/>
        <w:rPr>
          <w:color w:val="808080"/>
        </w:rPr>
      </w:pPr>
      <w:r w:rsidRPr="00FA0D37">
        <w:rPr>
          <w:color w:val="808080"/>
        </w:rPr>
        <w:t>-- TAG-SPS-PUCCH-AN-LIST-STOP</w:t>
      </w:r>
    </w:p>
    <w:p w14:paraId="00FBD918" w14:textId="77777777" w:rsidR="00394471" w:rsidRPr="00FA0D37" w:rsidRDefault="00394471" w:rsidP="00FA0D37">
      <w:pPr>
        <w:pStyle w:val="PL"/>
        <w:rPr>
          <w:color w:val="808080"/>
        </w:rPr>
      </w:pPr>
      <w:r w:rsidRPr="00FA0D37">
        <w:rPr>
          <w:color w:val="808080"/>
        </w:rPr>
        <w:t>-- ASN1STOP</w:t>
      </w:r>
    </w:p>
    <w:p w14:paraId="58C430C8" w14:textId="77777777" w:rsidR="00394471" w:rsidRPr="00FA0D37" w:rsidRDefault="00394471" w:rsidP="00394471"/>
    <w:p w14:paraId="799048EE" w14:textId="77777777" w:rsidR="00394471" w:rsidRPr="00FA0D37" w:rsidRDefault="00394471" w:rsidP="00394471">
      <w:pPr>
        <w:pStyle w:val="4"/>
      </w:pPr>
      <w:bookmarkStart w:id="1421" w:name="_Toc60777396"/>
      <w:bookmarkStart w:id="1422" w:name="_Toc146781482"/>
      <w:r w:rsidRPr="00FA0D37">
        <w:t>–</w:t>
      </w:r>
      <w:r w:rsidRPr="00FA0D37">
        <w:tab/>
      </w:r>
      <w:r w:rsidRPr="00FA0D37">
        <w:rPr>
          <w:i/>
        </w:rPr>
        <w:t>SRB-Identity</w:t>
      </w:r>
      <w:bookmarkEnd w:id="1421"/>
      <w:bookmarkEnd w:id="1422"/>
    </w:p>
    <w:p w14:paraId="2F4ACF38" w14:textId="77777777" w:rsidR="00394471" w:rsidRPr="00FA0D37" w:rsidRDefault="00394471" w:rsidP="00394471">
      <w:r w:rsidRPr="00FA0D37">
        <w:t>The IE SRB-Identity is used to identify a Signalling Radio Bearer (SRB) used by a UE.</w:t>
      </w:r>
    </w:p>
    <w:p w14:paraId="63FC5B74" w14:textId="77777777" w:rsidR="00394471" w:rsidRPr="00FA0D37" w:rsidRDefault="00394471" w:rsidP="00394471">
      <w:pPr>
        <w:pStyle w:val="TH"/>
      </w:pPr>
      <w:r w:rsidRPr="00FA0D37">
        <w:rPr>
          <w:i/>
        </w:rPr>
        <w:t>SRB-Identity</w:t>
      </w:r>
      <w:r w:rsidRPr="00FA0D37">
        <w:t xml:space="preserve"> information element</w:t>
      </w:r>
    </w:p>
    <w:p w14:paraId="634D4F40" w14:textId="77777777" w:rsidR="00394471" w:rsidRPr="00FA0D37" w:rsidRDefault="00394471" w:rsidP="00FA0D37">
      <w:pPr>
        <w:pStyle w:val="PL"/>
        <w:rPr>
          <w:color w:val="808080"/>
        </w:rPr>
      </w:pPr>
      <w:r w:rsidRPr="00FA0D37">
        <w:rPr>
          <w:color w:val="808080"/>
        </w:rPr>
        <w:t>-- ASN1START</w:t>
      </w:r>
    </w:p>
    <w:p w14:paraId="27E6297C" w14:textId="77777777" w:rsidR="00394471" w:rsidRPr="00FA0D37" w:rsidRDefault="00394471" w:rsidP="00FA0D37">
      <w:pPr>
        <w:pStyle w:val="PL"/>
        <w:rPr>
          <w:color w:val="808080"/>
        </w:rPr>
      </w:pPr>
      <w:r w:rsidRPr="00FA0D37">
        <w:rPr>
          <w:color w:val="808080"/>
        </w:rPr>
        <w:t>-- TAG-SRB-IDENTITY-START</w:t>
      </w:r>
    </w:p>
    <w:p w14:paraId="43D24EB7" w14:textId="77777777" w:rsidR="00394471" w:rsidRPr="00FA0D37" w:rsidRDefault="00394471" w:rsidP="00FA0D37">
      <w:pPr>
        <w:pStyle w:val="PL"/>
      </w:pPr>
    </w:p>
    <w:p w14:paraId="6DF14039" w14:textId="4E7B77CB" w:rsidR="0046275D" w:rsidRPr="00FA0D37" w:rsidRDefault="00394471" w:rsidP="00FA0D37">
      <w:pPr>
        <w:pStyle w:val="PL"/>
      </w:pPr>
      <w:r w:rsidRPr="00FA0D37">
        <w:t xml:space="preserve">SRB-Identity ::=                    </w:t>
      </w:r>
      <w:r w:rsidRPr="00FA0D37">
        <w:rPr>
          <w:color w:val="993366"/>
        </w:rPr>
        <w:t>INTEGER</w:t>
      </w:r>
      <w:r w:rsidRPr="00FA0D37">
        <w:t xml:space="preserve"> (1..3)</w:t>
      </w:r>
    </w:p>
    <w:p w14:paraId="5B39C8CF" w14:textId="77777777" w:rsidR="0046275D" w:rsidRPr="00FA0D37" w:rsidRDefault="0046275D" w:rsidP="00FA0D37">
      <w:pPr>
        <w:pStyle w:val="PL"/>
      </w:pPr>
    </w:p>
    <w:p w14:paraId="7622A60F" w14:textId="03122F79" w:rsidR="00394471" w:rsidRPr="00FA0D37" w:rsidRDefault="0046275D" w:rsidP="00FA0D37">
      <w:pPr>
        <w:pStyle w:val="PL"/>
      </w:pPr>
      <w:r w:rsidRPr="00FA0D37">
        <w:t xml:space="preserve">SRB-Identity-v1700 ::=              </w:t>
      </w:r>
      <w:r w:rsidRPr="00FA0D37">
        <w:rPr>
          <w:color w:val="993366"/>
        </w:rPr>
        <w:t>INTEGER</w:t>
      </w:r>
      <w:r w:rsidRPr="00FA0D37">
        <w:t xml:space="preserve"> (4)</w:t>
      </w:r>
    </w:p>
    <w:p w14:paraId="2A4976A6" w14:textId="77777777" w:rsidR="00394471" w:rsidRPr="00FA0D37" w:rsidRDefault="00394471" w:rsidP="00FA0D37">
      <w:pPr>
        <w:pStyle w:val="PL"/>
      </w:pPr>
    </w:p>
    <w:p w14:paraId="5F59990B" w14:textId="77777777" w:rsidR="00394471" w:rsidRPr="00FA0D37" w:rsidRDefault="00394471" w:rsidP="00FA0D37">
      <w:pPr>
        <w:pStyle w:val="PL"/>
        <w:rPr>
          <w:color w:val="808080"/>
        </w:rPr>
      </w:pPr>
      <w:r w:rsidRPr="00FA0D37">
        <w:rPr>
          <w:color w:val="808080"/>
        </w:rPr>
        <w:t>-- TAG-SRB-IDENTITY-STOP</w:t>
      </w:r>
    </w:p>
    <w:p w14:paraId="0B511391" w14:textId="77777777" w:rsidR="00394471" w:rsidRPr="00FA0D37" w:rsidRDefault="00394471" w:rsidP="00FA0D37">
      <w:pPr>
        <w:pStyle w:val="PL"/>
        <w:rPr>
          <w:color w:val="808080"/>
        </w:rPr>
      </w:pPr>
      <w:r w:rsidRPr="00FA0D37">
        <w:rPr>
          <w:color w:val="808080"/>
        </w:rPr>
        <w:t>-- ASN1STOP</w:t>
      </w:r>
    </w:p>
    <w:p w14:paraId="4068499D" w14:textId="77777777" w:rsidR="00394471" w:rsidRPr="00FA0D37" w:rsidRDefault="00394471" w:rsidP="00394471">
      <w:pPr>
        <w:pStyle w:val="PL"/>
      </w:pPr>
    </w:p>
    <w:p w14:paraId="7BDCDEC1" w14:textId="77777777" w:rsidR="00394471" w:rsidRPr="00FA0D37" w:rsidRDefault="00394471" w:rsidP="00394471"/>
    <w:p w14:paraId="635A8055" w14:textId="77777777" w:rsidR="00394471" w:rsidRPr="00FA0D37" w:rsidRDefault="00394471" w:rsidP="00394471">
      <w:pPr>
        <w:pStyle w:val="4"/>
      </w:pPr>
      <w:bookmarkStart w:id="1423" w:name="_Toc60777397"/>
      <w:bookmarkStart w:id="1424" w:name="_Toc146781483"/>
      <w:r w:rsidRPr="00FA0D37">
        <w:t>–</w:t>
      </w:r>
      <w:r w:rsidRPr="00FA0D37">
        <w:tab/>
      </w:r>
      <w:r w:rsidRPr="00FA0D37">
        <w:rPr>
          <w:i/>
        </w:rPr>
        <w:t>SRS-CarrierSwitching</w:t>
      </w:r>
      <w:bookmarkEnd w:id="1423"/>
      <w:bookmarkEnd w:id="1424"/>
    </w:p>
    <w:p w14:paraId="21FA1E37" w14:textId="77777777" w:rsidR="00394471" w:rsidRPr="00FA0D37" w:rsidRDefault="00394471" w:rsidP="00394471">
      <w:r w:rsidRPr="00FA0D37">
        <w:t xml:space="preserve">The IE </w:t>
      </w:r>
      <w:r w:rsidRPr="00FA0D37">
        <w:rPr>
          <w:i/>
        </w:rPr>
        <w:t>SRS-CarrierSwitching</w:t>
      </w:r>
      <w:r w:rsidRPr="00FA0D37">
        <w:t xml:space="preserve"> is used to configure for SRS carrier switching when PUSCH is not configured and independent SRS power control from that of PUSCH.</w:t>
      </w:r>
    </w:p>
    <w:p w14:paraId="1365D596" w14:textId="77777777" w:rsidR="00394471" w:rsidRPr="00FA0D37" w:rsidRDefault="00394471" w:rsidP="00394471">
      <w:pPr>
        <w:pStyle w:val="TH"/>
      </w:pPr>
      <w:r w:rsidRPr="00FA0D37">
        <w:rPr>
          <w:i/>
        </w:rPr>
        <w:t>SRS-CarrierSwitching</w:t>
      </w:r>
      <w:r w:rsidRPr="00FA0D37">
        <w:t xml:space="preserve"> information element</w:t>
      </w:r>
    </w:p>
    <w:p w14:paraId="44BF9869" w14:textId="77777777" w:rsidR="00394471" w:rsidRPr="00FA0D37" w:rsidRDefault="00394471" w:rsidP="00FA0D37">
      <w:pPr>
        <w:pStyle w:val="PL"/>
        <w:rPr>
          <w:color w:val="808080"/>
        </w:rPr>
      </w:pPr>
      <w:r w:rsidRPr="00FA0D37">
        <w:rPr>
          <w:color w:val="808080"/>
        </w:rPr>
        <w:t>-- ASN1START</w:t>
      </w:r>
    </w:p>
    <w:p w14:paraId="0546C179" w14:textId="77777777" w:rsidR="00394471" w:rsidRPr="00FA0D37" w:rsidRDefault="00394471" w:rsidP="00FA0D37">
      <w:pPr>
        <w:pStyle w:val="PL"/>
        <w:rPr>
          <w:color w:val="808080"/>
        </w:rPr>
      </w:pPr>
      <w:r w:rsidRPr="00FA0D37">
        <w:rPr>
          <w:color w:val="808080"/>
        </w:rPr>
        <w:t>-- TAG-SRS-CARRIERSWITCHING-START</w:t>
      </w:r>
    </w:p>
    <w:p w14:paraId="067903D2" w14:textId="77777777" w:rsidR="00394471" w:rsidRPr="00FA0D37" w:rsidRDefault="00394471" w:rsidP="00FA0D37">
      <w:pPr>
        <w:pStyle w:val="PL"/>
      </w:pPr>
    </w:p>
    <w:p w14:paraId="6B943FFD" w14:textId="77777777" w:rsidR="00394471" w:rsidRPr="00FA0D37" w:rsidRDefault="00394471" w:rsidP="00FA0D37">
      <w:pPr>
        <w:pStyle w:val="PL"/>
      </w:pPr>
      <w:r w:rsidRPr="00FA0D37">
        <w:t xml:space="preserve">SRS-CarrierSwitching ::=            </w:t>
      </w:r>
      <w:r w:rsidRPr="00FA0D37">
        <w:rPr>
          <w:color w:val="993366"/>
        </w:rPr>
        <w:t>SEQUENCE</w:t>
      </w:r>
      <w:r w:rsidRPr="00FA0D37">
        <w:t xml:space="preserve"> {</w:t>
      </w:r>
    </w:p>
    <w:p w14:paraId="3167CFA9" w14:textId="77777777" w:rsidR="00394471" w:rsidRPr="00FA0D37" w:rsidRDefault="00394471" w:rsidP="00FA0D37">
      <w:pPr>
        <w:pStyle w:val="PL"/>
        <w:rPr>
          <w:color w:val="808080"/>
        </w:rPr>
      </w:pPr>
      <w:r w:rsidRPr="00FA0D37">
        <w:t xml:space="preserve">    srs-SwitchFromServCellIndex         </w:t>
      </w:r>
      <w:r w:rsidRPr="00FA0D37">
        <w:rPr>
          <w:color w:val="993366"/>
        </w:rPr>
        <w:t>INTEGER</w:t>
      </w:r>
      <w:r w:rsidRPr="00FA0D37">
        <w:t xml:space="preserve"> (0..31)                                                         </w:t>
      </w:r>
      <w:r w:rsidRPr="00FA0D37">
        <w:rPr>
          <w:color w:val="993366"/>
        </w:rPr>
        <w:t>OPTIONAL</w:t>
      </w:r>
      <w:r w:rsidRPr="00FA0D37">
        <w:t xml:space="preserve">,   </w:t>
      </w:r>
      <w:r w:rsidRPr="00FA0D37">
        <w:rPr>
          <w:color w:val="808080"/>
        </w:rPr>
        <w:t>-- Need M</w:t>
      </w:r>
    </w:p>
    <w:p w14:paraId="76965EE2" w14:textId="77777777" w:rsidR="00394471" w:rsidRPr="00FA0D37" w:rsidRDefault="00394471" w:rsidP="00FA0D37">
      <w:pPr>
        <w:pStyle w:val="PL"/>
      </w:pPr>
      <w:r w:rsidRPr="00FA0D37">
        <w:t xml:space="preserve">    srs-SwitchFromCarrier               </w:t>
      </w:r>
      <w:r w:rsidRPr="00FA0D37">
        <w:rPr>
          <w:color w:val="993366"/>
        </w:rPr>
        <w:t>ENUMERATED</w:t>
      </w:r>
      <w:r w:rsidRPr="00FA0D37">
        <w:t xml:space="preserve"> {sUL, nUL},</w:t>
      </w:r>
    </w:p>
    <w:p w14:paraId="01C2F1CD" w14:textId="77777777" w:rsidR="00394471" w:rsidRPr="00FA0D37" w:rsidRDefault="00394471" w:rsidP="00FA0D37">
      <w:pPr>
        <w:pStyle w:val="PL"/>
      </w:pPr>
      <w:r w:rsidRPr="00FA0D37">
        <w:t xml:space="preserve">    srs-TPC-PDCCH-Group                 </w:t>
      </w:r>
      <w:r w:rsidRPr="00FA0D37">
        <w:rPr>
          <w:color w:val="993366"/>
        </w:rPr>
        <w:t>CHOICE</w:t>
      </w:r>
      <w:r w:rsidRPr="00FA0D37">
        <w:t xml:space="preserve"> {</w:t>
      </w:r>
    </w:p>
    <w:p w14:paraId="2EC2F5F4" w14:textId="77777777" w:rsidR="00394471" w:rsidRPr="00FA0D37" w:rsidRDefault="00394471" w:rsidP="00FA0D37">
      <w:pPr>
        <w:pStyle w:val="PL"/>
      </w:pPr>
      <w:r w:rsidRPr="00FA0D37">
        <w:t xml:space="preserve">        typeA                               </w:t>
      </w:r>
      <w:r w:rsidRPr="00FA0D37">
        <w:rPr>
          <w:color w:val="993366"/>
        </w:rPr>
        <w:t>SEQUENCE</w:t>
      </w:r>
      <w:r w:rsidRPr="00FA0D37">
        <w:t xml:space="preserve"> (</w:t>
      </w:r>
      <w:r w:rsidRPr="00FA0D37">
        <w:rPr>
          <w:color w:val="993366"/>
        </w:rPr>
        <w:t>SIZE</w:t>
      </w:r>
      <w:r w:rsidRPr="00FA0D37">
        <w:t xml:space="preserve"> (1..32))</w:t>
      </w:r>
      <w:r w:rsidRPr="00FA0D37">
        <w:rPr>
          <w:color w:val="993366"/>
        </w:rPr>
        <w:t xml:space="preserve"> OF</w:t>
      </w:r>
      <w:r w:rsidRPr="00FA0D37">
        <w:t xml:space="preserve"> SRS-TPC-PDCCH-Config,</w:t>
      </w:r>
    </w:p>
    <w:p w14:paraId="08625921" w14:textId="77777777" w:rsidR="00394471" w:rsidRPr="00FA0D37" w:rsidRDefault="00394471" w:rsidP="00FA0D37">
      <w:pPr>
        <w:pStyle w:val="PL"/>
      </w:pPr>
      <w:r w:rsidRPr="00FA0D37">
        <w:lastRenderedPageBreak/>
        <w:t xml:space="preserve">        typeB                               SRS-TPC-PDCCH-Config</w:t>
      </w:r>
    </w:p>
    <w:p w14:paraId="4001F60B"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2648E089" w14:textId="77777777" w:rsidR="00394471" w:rsidRPr="00FA0D37" w:rsidRDefault="00394471" w:rsidP="00FA0D37">
      <w:pPr>
        <w:pStyle w:val="PL"/>
        <w:rPr>
          <w:color w:val="808080"/>
        </w:rPr>
      </w:pPr>
      <w:r w:rsidRPr="00FA0D37">
        <w:t xml:space="preserve">    monitoringCells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ServCellIndex               </w:t>
      </w:r>
      <w:r w:rsidRPr="00FA0D37">
        <w:rPr>
          <w:color w:val="993366"/>
        </w:rPr>
        <w:t>OPTIONAL</w:t>
      </w:r>
      <w:r w:rsidRPr="00FA0D37">
        <w:t xml:space="preserve">,   </w:t>
      </w:r>
      <w:r w:rsidRPr="00FA0D37">
        <w:rPr>
          <w:color w:val="808080"/>
        </w:rPr>
        <w:t>-- Need M</w:t>
      </w:r>
    </w:p>
    <w:p w14:paraId="54DAA7C2" w14:textId="77777777" w:rsidR="00394471" w:rsidRPr="00FA0D37" w:rsidRDefault="00394471" w:rsidP="00FA0D37">
      <w:pPr>
        <w:pStyle w:val="PL"/>
      </w:pPr>
      <w:r w:rsidRPr="00FA0D37">
        <w:t xml:space="preserve">    ...</w:t>
      </w:r>
    </w:p>
    <w:p w14:paraId="63629BF6" w14:textId="77777777" w:rsidR="00394471" w:rsidRPr="00FA0D37" w:rsidRDefault="00394471" w:rsidP="00FA0D37">
      <w:pPr>
        <w:pStyle w:val="PL"/>
      </w:pPr>
      <w:r w:rsidRPr="00FA0D37">
        <w:t>}</w:t>
      </w:r>
    </w:p>
    <w:p w14:paraId="59060814" w14:textId="77777777" w:rsidR="00394471" w:rsidRPr="00FA0D37" w:rsidRDefault="00394471" w:rsidP="00FA0D37">
      <w:pPr>
        <w:pStyle w:val="PL"/>
      </w:pPr>
    </w:p>
    <w:p w14:paraId="5770CDB1" w14:textId="77777777" w:rsidR="00394471" w:rsidRPr="00FA0D37" w:rsidRDefault="00394471" w:rsidP="00FA0D37">
      <w:pPr>
        <w:pStyle w:val="PL"/>
      </w:pPr>
      <w:r w:rsidRPr="00FA0D37">
        <w:t xml:space="preserve">SRS-TPC-PDCCH-Config ::=            </w:t>
      </w:r>
      <w:r w:rsidRPr="00FA0D37">
        <w:rPr>
          <w:color w:val="993366"/>
        </w:rPr>
        <w:t>SEQUENCE</w:t>
      </w:r>
      <w:r w:rsidRPr="00FA0D37">
        <w:t xml:space="preserve"> {</w:t>
      </w:r>
    </w:p>
    <w:p w14:paraId="1D8FE4C2" w14:textId="77777777" w:rsidR="00394471" w:rsidRPr="00FA0D37" w:rsidRDefault="00394471" w:rsidP="00FA0D37">
      <w:pPr>
        <w:pStyle w:val="PL"/>
        <w:rPr>
          <w:color w:val="808080"/>
        </w:rPr>
      </w:pPr>
      <w:r w:rsidRPr="00FA0D37">
        <w:t xml:space="preserve">    srs-CC-SetIndexlist                 </w:t>
      </w:r>
      <w:r w:rsidRPr="00FA0D37">
        <w:rPr>
          <w:color w:val="993366"/>
        </w:rPr>
        <w:t>SEQUENCE</w:t>
      </w:r>
      <w:r w:rsidRPr="00FA0D37">
        <w:t xml:space="preserve"> (</w:t>
      </w:r>
      <w:r w:rsidRPr="00FA0D37">
        <w:rPr>
          <w:color w:val="993366"/>
        </w:rPr>
        <w:t>SIZE</w:t>
      </w:r>
      <w:r w:rsidRPr="00FA0D37">
        <w:t>(1..4))</w:t>
      </w:r>
      <w:r w:rsidRPr="00FA0D37">
        <w:rPr>
          <w:color w:val="993366"/>
        </w:rPr>
        <w:t xml:space="preserve"> OF</w:t>
      </w:r>
      <w:r w:rsidRPr="00FA0D37">
        <w:t xml:space="preserve"> SRS-CC-SetIndex                                </w:t>
      </w:r>
      <w:r w:rsidRPr="00FA0D37">
        <w:rPr>
          <w:color w:val="993366"/>
        </w:rPr>
        <w:t>OPTIONAL</w:t>
      </w:r>
      <w:r w:rsidRPr="00FA0D37">
        <w:t xml:space="preserve">    </w:t>
      </w:r>
      <w:r w:rsidRPr="00FA0D37">
        <w:rPr>
          <w:color w:val="808080"/>
        </w:rPr>
        <w:t>-- Need M</w:t>
      </w:r>
    </w:p>
    <w:p w14:paraId="344797B5" w14:textId="77777777" w:rsidR="00394471" w:rsidRPr="00FA0D37" w:rsidRDefault="00394471" w:rsidP="00FA0D37">
      <w:pPr>
        <w:pStyle w:val="PL"/>
      </w:pPr>
      <w:r w:rsidRPr="00FA0D37">
        <w:t>}</w:t>
      </w:r>
    </w:p>
    <w:p w14:paraId="3993BB31" w14:textId="77777777" w:rsidR="00394471" w:rsidRPr="00FA0D37" w:rsidRDefault="00394471" w:rsidP="00FA0D37">
      <w:pPr>
        <w:pStyle w:val="PL"/>
      </w:pPr>
    </w:p>
    <w:p w14:paraId="738128BB" w14:textId="77777777" w:rsidR="00394471" w:rsidRPr="00FA0D37" w:rsidRDefault="00394471" w:rsidP="00FA0D37">
      <w:pPr>
        <w:pStyle w:val="PL"/>
      </w:pPr>
      <w:r w:rsidRPr="00FA0D37">
        <w:t xml:space="preserve">SRS-CC-SetIndex ::=                 </w:t>
      </w:r>
      <w:r w:rsidRPr="00FA0D37">
        <w:rPr>
          <w:color w:val="993366"/>
        </w:rPr>
        <w:t>SEQUENCE</w:t>
      </w:r>
      <w:r w:rsidRPr="00FA0D37">
        <w:t xml:space="preserve"> {</w:t>
      </w:r>
    </w:p>
    <w:p w14:paraId="3D047749" w14:textId="77777777" w:rsidR="00394471" w:rsidRPr="00FA0D37" w:rsidRDefault="00394471" w:rsidP="00FA0D37">
      <w:pPr>
        <w:pStyle w:val="PL"/>
        <w:rPr>
          <w:color w:val="808080"/>
        </w:rPr>
      </w:pPr>
      <w:r w:rsidRPr="00FA0D37">
        <w:t xml:space="preserve">    cc-SetIndex                         </w:t>
      </w:r>
      <w:r w:rsidRPr="00FA0D37">
        <w:rPr>
          <w:color w:val="993366"/>
        </w:rPr>
        <w:t>INTEGER</w:t>
      </w:r>
      <w:r w:rsidRPr="00FA0D37">
        <w:t xml:space="preserve"> (0..3)                                                          </w:t>
      </w:r>
      <w:r w:rsidRPr="00FA0D37">
        <w:rPr>
          <w:color w:val="993366"/>
        </w:rPr>
        <w:t>OPTIONAL</w:t>
      </w:r>
      <w:r w:rsidRPr="00FA0D37">
        <w:t xml:space="preserve">,   </w:t>
      </w:r>
      <w:r w:rsidRPr="00FA0D37">
        <w:rPr>
          <w:color w:val="808080"/>
        </w:rPr>
        <w:t>-- Need M</w:t>
      </w:r>
    </w:p>
    <w:p w14:paraId="6F60EDFA" w14:textId="77777777" w:rsidR="00394471" w:rsidRPr="00FA0D37" w:rsidRDefault="00394471" w:rsidP="00FA0D37">
      <w:pPr>
        <w:pStyle w:val="PL"/>
        <w:rPr>
          <w:color w:val="808080"/>
        </w:rPr>
      </w:pPr>
      <w:r w:rsidRPr="00FA0D37">
        <w:t xml:space="preserve">    cc-IndexInOneCC-Set                 </w:t>
      </w:r>
      <w:r w:rsidRPr="00FA0D37">
        <w:rPr>
          <w:color w:val="993366"/>
        </w:rPr>
        <w:t>INTEGER</w:t>
      </w:r>
      <w:r w:rsidRPr="00FA0D37">
        <w:t xml:space="preserve"> (0..7)                                                          </w:t>
      </w:r>
      <w:r w:rsidRPr="00FA0D37">
        <w:rPr>
          <w:color w:val="993366"/>
        </w:rPr>
        <w:t>OPTIONAL</w:t>
      </w:r>
      <w:r w:rsidRPr="00FA0D37">
        <w:t xml:space="preserve">    </w:t>
      </w:r>
      <w:r w:rsidRPr="00FA0D37">
        <w:rPr>
          <w:color w:val="808080"/>
        </w:rPr>
        <w:t>-- Need M</w:t>
      </w:r>
    </w:p>
    <w:p w14:paraId="74969471" w14:textId="77777777" w:rsidR="00394471" w:rsidRPr="00FA0D37" w:rsidRDefault="00394471" w:rsidP="00FA0D37">
      <w:pPr>
        <w:pStyle w:val="PL"/>
      </w:pPr>
      <w:r w:rsidRPr="00FA0D37">
        <w:t>}</w:t>
      </w:r>
    </w:p>
    <w:p w14:paraId="4FC9A05F" w14:textId="77777777" w:rsidR="00394471" w:rsidRPr="00FA0D37" w:rsidRDefault="00394471" w:rsidP="00FA0D37">
      <w:pPr>
        <w:pStyle w:val="PL"/>
      </w:pPr>
    </w:p>
    <w:p w14:paraId="051A36F4" w14:textId="77777777" w:rsidR="00394471" w:rsidRPr="00FA0D37" w:rsidRDefault="00394471" w:rsidP="00FA0D37">
      <w:pPr>
        <w:pStyle w:val="PL"/>
        <w:rPr>
          <w:color w:val="808080"/>
        </w:rPr>
      </w:pPr>
      <w:r w:rsidRPr="00FA0D37">
        <w:rPr>
          <w:color w:val="808080"/>
        </w:rPr>
        <w:t>-- TAG-SRS-CARRIERSWITCHING-STOP</w:t>
      </w:r>
    </w:p>
    <w:p w14:paraId="59BAEB55" w14:textId="77777777" w:rsidR="00394471" w:rsidRPr="00FA0D37" w:rsidRDefault="00394471" w:rsidP="00FA0D37">
      <w:pPr>
        <w:pStyle w:val="PL"/>
        <w:rPr>
          <w:color w:val="808080"/>
        </w:rPr>
      </w:pPr>
      <w:r w:rsidRPr="00FA0D37">
        <w:rPr>
          <w:color w:val="808080"/>
        </w:rPr>
        <w:t>-- ASN1STOP</w:t>
      </w:r>
    </w:p>
    <w:p w14:paraId="72E2FAA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FA0D37" w:rsidRDefault="00394471" w:rsidP="00964CC4">
            <w:pPr>
              <w:pStyle w:val="TAH"/>
              <w:rPr>
                <w:szCs w:val="22"/>
                <w:lang w:eastAsia="sv-SE"/>
              </w:rPr>
            </w:pPr>
            <w:r w:rsidRPr="00FA0D37">
              <w:rPr>
                <w:i/>
                <w:szCs w:val="22"/>
                <w:lang w:eastAsia="sv-SE"/>
              </w:rPr>
              <w:t xml:space="preserve">SRS-CC-SetIndex </w:t>
            </w:r>
            <w:r w:rsidRPr="00FA0D37">
              <w:rPr>
                <w:szCs w:val="22"/>
                <w:lang w:eastAsia="sv-SE"/>
              </w:rPr>
              <w:t>field descriptions</w:t>
            </w:r>
          </w:p>
        </w:tc>
      </w:tr>
      <w:tr w:rsidR="005C7FF4" w:rsidRPr="00FA0D37"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FA0D37" w:rsidRDefault="00394471" w:rsidP="00964CC4">
            <w:pPr>
              <w:pStyle w:val="TAL"/>
              <w:rPr>
                <w:szCs w:val="22"/>
                <w:lang w:eastAsia="sv-SE"/>
              </w:rPr>
            </w:pPr>
            <w:r w:rsidRPr="00FA0D37">
              <w:rPr>
                <w:b/>
                <w:i/>
                <w:szCs w:val="22"/>
                <w:lang w:eastAsia="sv-SE"/>
              </w:rPr>
              <w:t>cc-IndexInOneCC-Set</w:t>
            </w:r>
          </w:p>
          <w:p w14:paraId="44F3786C" w14:textId="4D08F453" w:rsidR="00394471" w:rsidRPr="00FA0D37" w:rsidRDefault="00394471" w:rsidP="00964CC4">
            <w:pPr>
              <w:pStyle w:val="TAL"/>
              <w:rPr>
                <w:szCs w:val="22"/>
                <w:lang w:eastAsia="sv-SE"/>
              </w:rPr>
            </w:pPr>
            <w:r w:rsidRPr="00FA0D37">
              <w:rPr>
                <w:szCs w:val="22"/>
                <w:lang w:eastAsia="sv-SE"/>
              </w:rPr>
              <w:t>Indicates the CC index in one CC set for Type A (see TS 38.212 [17], TS 38.213 [13], clause 7.3.1, 11.4).</w:t>
            </w:r>
            <w:r w:rsidRPr="00FA0D37">
              <w:rPr>
                <w:lang w:eastAsia="sv-SE"/>
              </w:rPr>
              <w:t xml:space="preserve"> The network always includes this field when the </w:t>
            </w:r>
            <w:r w:rsidRPr="00FA0D37">
              <w:rPr>
                <w:i/>
                <w:lang w:eastAsia="sv-SE"/>
              </w:rPr>
              <w:t>srs-TPC-PDCCH-Group</w:t>
            </w:r>
            <w:r w:rsidRPr="00FA0D37">
              <w:rPr>
                <w:lang w:eastAsia="sv-SE"/>
              </w:rPr>
              <w:t xml:space="preserve"> is set to </w:t>
            </w:r>
            <w:r w:rsidRPr="00FA0D37">
              <w:rPr>
                <w:i/>
                <w:lang w:eastAsia="sv-SE"/>
              </w:rPr>
              <w:t>typeA.</w:t>
            </w:r>
          </w:p>
        </w:tc>
      </w:tr>
      <w:tr w:rsidR="00394471" w:rsidRPr="00FA0D37"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FA0D37" w:rsidRDefault="00394471" w:rsidP="00964CC4">
            <w:pPr>
              <w:pStyle w:val="TAL"/>
              <w:rPr>
                <w:szCs w:val="22"/>
                <w:lang w:eastAsia="sv-SE"/>
              </w:rPr>
            </w:pPr>
            <w:r w:rsidRPr="00FA0D37">
              <w:rPr>
                <w:b/>
                <w:i/>
                <w:szCs w:val="22"/>
                <w:lang w:eastAsia="sv-SE"/>
              </w:rPr>
              <w:t>cc-SetIndex</w:t>
            </w:r>
          </w:p>
          <w:p w14:paraId="050552D5" w14:textId="2E1012C2" w:rsidR="00394471" w:rsidRPr="00FA0D37" w:rsidRDefault="00394471" w:rsidP="00964CC4">
            <w:pPr>
              <w:pStyle w:val="TAL"/>
              <w:rPr>
                <w:szCs w:val="22"/>
                <w:lang w:eastAsia="sv-SE"/>
              </w:rPr>
            </w:pPr>
            <w:r w:rsidRPr="00FA0D37">
              <w:rPr>
                <w:szCs w:val="22"/>
                <w:lang w:eastAsia="sv-SE"/>
              </w:rPr>
              <w:t xml:space="preserve">Indicates the CC set index for Type A associated (see TS 38.212 [17], TS 38.213 [13], clause 7.3.1, 11.4). </w:t>
            </w:r>
            <w:r w:rsidRPr="00FA0D37">
              <w:rPr>
                <w:lang w:eastAsia="sv-SE"/>
              </w:rPr>
              <w:t xml:space="preserve">The network always includes this field when the </w:t>
            </w:r>
            <w:r w:rsidRPr="00FA0D37">
              <w:rPr>
                <w:i/>
                <w:lang w:eastAsia="sv-SE"/>
              </w:rPr>
              <w:t>srs-TPC-PDCCH-Group</w:t>
            </w:r>
            <w:r w:rsidRPr="00FA0D37">
              <w:rPr>
                <w:lang w:eastAsia="sv-SE"/>
              </w:rPr>
              <w:t xml:space="preserve"> is set to </w:t>
            </w:r>
            <w:r w:rsidRPr="00FA0D37">
              <w:rPr>
                <w:i/>
                <w:lang w:eastAsia="sv-SE"/>
              </w:rPr>
              <w:t>typeA.</w:t>
            </w:r>
            <w:r w:rsidR="002E0E79" w:rsidRPr="00FA0D37">
              <w:rPr>
                <w:lang w:eastAsia="zh-CN"/>
              </w:rPr>
              <w:t xml:space="preserve"> The network does not configure this field to 3 in this release of specification.</w:t>
            </w:r>
          </w:p>
        </w:tc>
      </w:tr>
    </w:tbl>
    <w:p w14:paraId="2934CCB6"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FA0D37" w:rsidRDefault="00394471" w:rsidP="00964CC4">
            <w:pPr>
              <w:pStyle w:val="TAH"/>
              <w:rPr>
                <w:szCs w:val="22"/>
                <w:lang w:eastAsia="sv-SE"/>
              </w:rPr>
            </w:pPr>
            <w:r w:rsidRPr="00FA0D37">
              <w:rPr>
                <w:i/>
                <w:szCs w:val="22"/>
                <w:lang w:eastAsia="sv-SE"/>
              </w:rPr>
              <w:t xml:space="preserve">SRS-CarrierSwitching </w:t>
            </w:r>
            <w:r w:rsidRPr="00FA0D37">
              <w:rPr>
                <w:szCs w:val="22"/>
                <w:lang w:eastAsia="sv-SE"/>
              </w:rPr>
              <w:t>field descriptions</w:t>
            </w:r>
          </w:p>
        </w:tc>
      </w:tr>
      <w:tr w:rsidR="005C7FF4" w:rsidRPr="00FA0D37"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FA0D37" w:rsidRDefault="00394471" w:rsidP="00964CC4">
            <w:pPr>
              <w:pStyle w:val="TAL"/>
              <w:rPr>
                <w:szCs w:val="22"/>
                <w:lang w:eastAsia="sv-SE"/>
              </w:rPr>
            </w:pPr>
            <w:r w:rsidRPr="00FA0D37">
              <w:rPr>
                <w:b/>
                <w:i/>
                <w:szCs w:val="22"/>
                <w:lang w:eastAsia="sv-SE"/>
              </w:rPr>
              <w:t>monitoringCells</w:t>
            </w:r>
          </w:p>
          <w:p w14:paraId="069889C0" w14:textId="77777777" w:rsidR="00394471" w:rsidRPr="00FA0D37" w:rsidRDefault="00394471" w:rsidP="00964CC4">
            <w:pPr>
              <w:pStyle w:val="TAL"/>
              <w:rPr>
                <w:szCs w:val="22"/>
                <w:lang w:eastAsia="sv-SE"/>
              </w:rPr>
            </w:pPr>
            <w:r w:rsidRPr="00FA0D37">
              <w:rPr>
                <w:szCs w:val="22"/>
                <w:lang w:eastAsia="sv-SE"/>
              </w:rPr>
              <w:t>A set of serving cells for monitoring PDCCH conveying SRS DCI format with CRC scrambled by TPC-SRS-RNTI (see TS 38.212 [17], TS 38.213 [13], clause 7.3.1, 11.3).</w:t>
            </w:r>
          </w:p>
        </w:tc>
      </w:tr>
      <w:tr w:rsidR="005C7FF4" w:rsidRPr="00FA0D37"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FA0D37" w:rsidRDefault="00394471" w:rsidP="00964CC4">
            <w:pPr>
              <w:pStyle w:val="TAL"/>
              <w:rPr>
                <w:szCs w:val="22"/>
                <w:lang w:eastAsia="sv-SE"/>
              </w:rPr>
            </w:pPr>
            <w:r w:rsidRPr="00FA0D37">
              <w:rPr>
                <w:b/>
                <w:i/>
                <w:szCs w:val="22"/>
                <w:lang w:eastAsia="sv-SE"/>
              </w:rPr>
              <w:t>srs-SwitchFromServCellIndex</w:t>
            </w:r>
          </w:p>
          <w:p w14:paraId="73C61088" w14:textId="77777777" w:rsidR="00394471" w:rsidRPr="00FA0D37" w:rsidRDefault="00394471" w:rsidP="00964CC4">
            <w:pPr>
              <w:pStyle w:val="TAL"/>
              <w:rPr>
                <w:szCs w:val="22"/>
                <w:lang w:eastAsia="sv-SE"/>
              </w:rPr>
            </w:pPr>
            <w:r w:rsidRPr="00FA0D37">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5C7FF4" w:rsidRPr="00FA0D37"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FA0D37" w:rsidRDefault="00394471" w:rsidP="00964CC4">
            <w:pPr>
              <w:pStyle w:val="TAL"/>
              <w:rPr>
                <w:szCs w:val="22"/>
                <w:lang w:eastAsia="sv-SE"/>
              </w:rPr>
            </w:pPr>
            <w:r w:rsidRPr="00FA0D37">
              <w:rPr>
                <w:b/>
                <w:i/>
                <w:szCs w:val="22"/>
                <w:lang w:eastAsia="sv-SE"/>
              </w:rPr>
              <w:t>srs-TPC-PDCCH-Group</w:t>
            </w:r>
          </w:p>
          <w:p w14:paraId="020A85F2" w14:textId="77777777" w:rsidR="00394471" w:rsidRPr="00FA0D37" w:rsidRDefault="00394471" w:rsidP="00964CC4">
            <w:pPr>
              <w:pStyle w:val="TAL"/>
              <w:rPr>
                <w:szCs w:val="22"/>
                <w:lang w:eastAsia="sv-SE"/>
              </w:rPr>
            </w:pPr>
            <w:r w:rsidRPr="00FA0D37">
              <w:rPr>
                <w:szCs w:val="22"/>
                <w:lang w:eastAsia="sv-SE"/>
              </w:rPr>
              <w:t>Network configures the UE with either typeA-SRS-TPC-PDCCH-Group or typeB-SRS-TPC-PDCCH-Group, if any.</w:t>
            </w:r>
          </w:p>
        </w:tc>
      </w:tr>
      <w:tr w:rsidR="005C7FF4" w:rsidRPr="00FA0D37"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FA0D37" w:rsidRDefault="00394471" w:rsidP="00964CC4">
            <w:pPr>
              <w:pStyle w:val="TAL"/>
              <w:rPr>
                <w:szCs w:val="22"/>
                <w:lang w:eastAsia="sv-SE"/>
              </w:rPr>
            </w:pPr>
            <w:r w:rsidRPr="00FA0D37">
              <w:rPr>
                <w:b/>
                <w:i/>
                <w:szCs w:val="22"/>
                <w:lang w:eastAsia="sv-SE"/>
              </w:rPr>
              <w:t>typeA</w:t>
            </w:r>
          </w:p>
          <w:p w14:paraId="21A07D02" w14:textId="6B91E632" w:rsidR="00394471" w:rsidRPr="00FA0D37" w:rsidRDefault="00394471" w:rsidP="00964CC4">
            <w:pPr>
              <w:pStyle w:val="TAL"/>
              <w:rPr>
                <w:szCs w:val="22"/>
                <w:lang w:eastAsia="sv-SE"/>
              </w:rPr>
            </w:pPr>
            <w:r w:rsidRPr="00FA0D37">
              <w:rPr>
                <w:szCs w:val="22"/>
                <w:lang w:eastAsia="sv-SE"/>
              </w:rPr>
              <w:t>Type A trigger configuration for SRS transmission on a PUSCH-less SCell (see TS 38.213 [13], clause 11.4).</w:t>
            </w:r>
            <w:r w:rsidRPr="00FA0D37">
              <w:rPr>
                <w:szCs w:val="22"/>
              </w:rPr>
              <w:t xml:space="preserve"> In this release, the network configures at most one entry (the first entry) of </w:t>
            </w:r>
            <w:r w:rsidRPr="00FA0D37">
              <w:rPr>
                <w:i/>
                <w:iCs/>
                <w:szCs w:val="22"/>
              </w:rPr>
              <w:t>typeA</w:t>
            </w:r>
            <w:r w:rsidRPr="00FA0D37">
              <w:rPr>
                <w:szCs w:val="22"/>
              </w:rPr>
              <w:t xml:space="preserve">, and the first entry corresponds to the </w:t>
            </w:r>
            <w:r w:rsidR="002E0E79" w:rsidRPr="00FA0D37">
              <w:rPr>
                <w:szCs w:val="22"/>
              </w:rPr>
              <w:t>serving cell</w:t>
            </w:r>
            <w:r w:rsidRPr="00FA0D37">
              <w:rPr>
                <w:szCs w:val="22"/>
              </w:rPr>
              <w:t xml:space="preserve"> in which the </w:t>
            </w:r>
            <w:r w:rsidRPr="00FA0D37">
              <w:rPr>
                <w:i/>
                <w:iCs/>
                <w:szCs w:val="22"/>
              </w:rPr>
              <w:t>SRS-CarrierSwitching</w:t>
            </w:r>
            <w:r w:rsidRPr="00FA0D37">
              <w:rPr>
                <w:szCs w:val="22"/>
              </w:rPr>
              <w:t xml:space="preserve"> field is configured.</w:t>
            </w:r>
            <w:r w:rsidR="002E0E79" w:rsidRPr="00FA0D37">
              <w:rPr>
                <w:szCs w:val="22"/>
              </w:rPr>
              <w:t xml:space="preserve"> SRS carrier switching to SUL carrier is not supported in this version of the specification.</w:t>
            </w:r>
          </w:p>
        </w:tc>
      </w:tr>
      <w:tr w:rsidR="00394471" w:rsidRPr="00FA0D37"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FA0D37" w:rsidRDefault="00394471" w:rsidP="00964CC4">
            <w:pPr>
              <w:pStyle w:val="TAL"/>
              <w:rPr>
                <w:szCs w:val="22"/>
                <w:lang w:eastAsia="sv-SE"/>
              </w:rPr>
            </w:pPr>
            <w:r w:rsidRPr="00FA0D37">
              <w:rPr>
                <w:b/>
                <w:i/>
                <w:szCs w:val="22"/>
                <w:lang w:eastAsia="sv-SE"/>
              </w:rPr>
              <w:t>typeB</w:t>
            </w:r>
          </w:p>
          <w:p w14:paraId="26186A08" w14:textId="77777777" w:rsidR="00394471" w:rsidRPr="00FA0D37" w:rsidRDefault="00394471" w:rsidP="00964CC4">
            <w:pPr>
              <w:pStyle w:val="TAL"/>
              <w:rPr>
                <w:szCs w:val="22"/>
                <w:lang w:eastAsia="sv-SE"/>
              </w:rPr>
            </w:pPr>
            <w:r w:rsidRPr="00FA0D37">
              <w:rPr>
                <w:szCs w:val="22"/>
                <w:lang w:eastAsia="sv-SE"/>
              </w:rPr>
              <w:t>Type B trigger configuration for SRS transmission on a PUSCH-less SCell (see TS 38.213 [13], clause 11.4).</w:t>
            </w:r>
          </w:p>
        </w:tc>
      </w:tr>
    </w:tbl>
    <w:p w14:paraId="069F136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FA0D37" w:rsidRDefault="00394471" w:rsidP="00964CC4">
            <w:pPr>
              <w:pStyle w:val="TAH"/>
              <w:rPr>
                <w:szCs w:val="22"/>
                <w:lang w:eastAsia="sv-SE"/>
              </w:rPr>
            </w:pPr>
            <w:r w:rsidRPr="00FA0D37">
              <w:rPr>
                <w:i/>
                <w:szCs w:val="22"/>
                <w:lang w:eastAsia="sv-SE"/>
              </w:rPr>
              <w:lastRenderedPageBreak/>
              <w:t xml:space="preserve">SRS-TPC-PDCCH-Config </w:t>
            </w:r>
            <w:r w:rsidRPr="00FA0D37">
              <w:rPr>
                <w:szCs w:val="22"/>
                <w:lang w:eastAsia="sv-SE"/>
              </w:rPr>
              <w:t>field descriptions</w:t>
            </w:r>
          </w:p>
        </w:tc>
      </w:tr>
      <w:tr w:rsidR="00394471" w:rsidRPr="00FA0D37"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FA0D37" w:rsidRDefault="00394471" w:rsidP="00964CC4">
            <w:pPr>
              <w:pStyle w:val="TAL"/>
              <w:rPr>
                <w:szCs w:val="22"/>
                <w:lang w:eastAsia="sv-SE"/>
              </w:rPr>
            </w:pPr>
            <w:r w:rsidRPr="00FA0D37">
              <w:rPr>
                <w:b/>
                <w:i/>
                <w:szCs w:val="22"/>
                <w:lang w:eastAsia="sv-SE"/>
              </w:rPr>
              <w:t>srs-CC-SetIndexlist</w:t>
            </w:r>
          </w:p>
          <w:p w14:paraId="030ABAEC" w14:textId="77777777" w:rsidR="00394471" w:rsidRPr="00FA0D37" w:rsidRDefault="00394471" w:rsidP="00964CC4">
            <w:pPr>
              <w:pStyle w:val="TAL"/>
              <w:rPr>
                <w:szCs w:val="22"/>
                <w:lang w:eastAsia="sv-SE"/>
              </w:rPr>
            </w:pPr>
            <w:r w:rsidRPr="00FA0D37">
              <w:rPr>
                <w:szCs w:val="22"/>
                <w:lang w:eastAsia="sv-SE"/>
              </w:rPr>
              <w:t>A list of pairs of [cc-SetIndex; cc-IndexInOneCC-Set] (see TS 38.212 [17], TS 38.213 [13], clause 7.3.1, 11.4).</w:t>
            </w:r>
            <w:r w:rsidRPr="00FA0D37">
              <w:t xml:space="preserve"> The network does not configure this field for </w:t>
            </w:r>
            <w:r w:rsidRPr="00FA0D37">
              <w:rPr>
                <w:i/>
                <w:iCs/>
              </w:rPr>
              <w:t>typeB</w:t>
            </w:r>
            <w:r w:rsidRPr="00FA0D37">
              <w:t>.</w:t>
            </w:r>
          </w:p>
        </w:tc>
      </w:tr>
    </w:tbl>
    <w:p w14:paraId="35502374" w14:textId="77777777" w:rsidR="00394471" w:rsidRPr="00FA0D37" w:rsidRDefault="00394471" w:rsidP="00394471"/>
    <w:p w14:paraId="5E6CE4E4" w14:textId="77777777" w:rsidR="00394471" w:rsidRPr="00FA0D37" w:rsidRDefault="00394471" w:rsidP="00394471">
      <w:pPr>
        <w:pStyle w:val="4"/>
      </w:pPr>
      <w:bookmarkStart w:id="1425" w:name="_Toc60777398"/>
      <w:bookmarkStart w:id="1426" w:name="_Toc146781484"/>
      <w:r w:rsidRPr="00FA0D37">
        <w:t>–</w:t>
      </w:r>
      <w:r w:rsidRPr="00FA0D37">
        <w:tab/>
      </w:r>
      <w:r w:rsidRPr="00FA0D37">
        <w:rPr>
          <w:i/>
        </w:rPr>
        <w:t>SRS-Config</w:t>
      </w:r>
      <w:bookmarkEnd w:id="1425"/>
      <w:bookmarkEnd w:id="1426"/>
    </w:p>
    <w:p w14:paraId="1295F12C" w14:textId="7FC77941" w:rsidR="00394471" w:rsidRPr="00FA0D37" w:rsidRDefault="00394471" w:rsidP="00394471">
      <w:r w:rsidRPr="00FA0D37">
        <w:t xml:space="preserve">The IE </w:t>
      </w:r>
      <w:r w:rsidRPr="00FA0D37">
        <w:rPr>
          <w:i/>
        </w:rPr>
        <w:t xml:space="preserve">SRS-Config </w:t>
      </w:r>
      <w:r w:rsidRPr="00FA0D37">
        <w:t>is used to configure sounding reference signal transmissions. The configuration defines a list of SRS-Resources</w:t>
      </w:r>
      <w:r w:rsidR="00B477A2" w:rsidRPr="00FA0D37">
        <w:rPr>
          <w:lang w:eastAsia="zh-CN"/>
        </w:rPr>
        <w:t>, a list of SRS-PosResources, a list of SRS-PosResourceSets</w:t>
      </w:r>
      <w:r w:rsidRPr="00FA0D37">
        <w:t xml:space="preserve"> and a list of SRS-ResourceSets. Each resource set defines a set of SRS-Resources</w:t>
      </w:r>
      <w:r w:rsidR="00B477A2" w:rsidRPr="00FA0D37">
        <w:rPr>
          <w:lang w:eastAsia="zh-CN"/>
        </w:rPr>
        <w:t xml:space="preserve"> or SRS-PosResources</w:t>
      </w:r>
      <w:r w:rsidRPr="00FA0D37">
        <w:t xml:space="preserve">. The network triggers the transmission of the set of SRS-Resources </w:t>
      </w:r>
      <w:r w:rsidR="00B477A2" w:rsidRPr="00FA0D37">
        <w:rPr>
          <w:lang w:eastAsia="zh-CN"/>
        </w:rPr>
        <w:t xml:space="preserve">or SRS-PosResources </w:t>
      </w:r>
      <w:r w:rsidRPr="00FA0D37">
        <w:t>using a configured aperiodicSRS-ResourceTrigger (L1 DCI).</w:t>
      </w:r>
      <w:r w:rsidR="007B122D" w:rsidRPr="00FA0D37">
        <w:t xml:space="preserve"> The network does not configure SRS specific power control parameters, </w:t>
      </w:r>
      <w:r w:rsidR="007B122D" w:rsidRPr="00FA0D37">
        <w:rPr>
          <w:i/>
          <w:iCs/>
        </w:rPr>
        <w:t>alpha</w:t>
      </w:r>
      <w:r w:rsidR="00753A67" w:rsidRPr="00FA0D37">
        <w:rPr>
          <w:i/>
          <w:iCs/>
          <w:lang w:eastAsia="zh-CN"/>
        </w:rPr>
        <w:t xml:space="preserve"> </w:t>
      </w:r>
      <w:r w:rsidR="00753A67" w:rsidRPr="00FA0D37">
        <w:t>(without suffix)</w:t>
      </w:r>
      <w:r w:rsidR="007B122D" w:rsidRPr="00FA0D37">
        <w:rPr>
          <w:i/>
          <w:iCs/>
        </w:rPr>
        <w:t>, p0</w:t>
      </w:r>
      <w:r w:rsidR="007B122D" w:rsidRPr="00FA0D37">
        <w:t xml:space="preserve"> </w:t>
      </w:r>
      <w:r w:rsidR="00753A67" w:rsidRPr="00FA0D37">
        <w:t>(without suffix)</w:t>
      </w:r>
      <w:r w:rsidR="00753A67" w:rsidRPr="00FA0D37">
        <w:rPr>
          <w:lang w:eastAsia="zh-CN"/>
        </w:rPr>
        <w:t xml:space="preserve"> </w:t>
      </w:r>
      <w:r w:rsidR="007B122D" w:rsidRPr="00FA0D37">
        <w:t xml:space="preserve">or </w:t>
      </w:r>
      <w:r w:rsidR="007B122D" w:rsidRPr="00FA0D37">
        <w:rPr>
          <w:i/>
          <w:iCs/>
        </w:rPr>
        <w:t>pathlossReferenceRS</w:t>
      </w:r>
      <w:r w:rsidR="007B122D" w:rsidRPr="00FA0D37">
        <w:t xml:space="preserve"> if </w:t>
      </w:r>
      <w:r w:rsidR="007B122D" w:rsidRPr="00FA0D37">
        <w:rPr>
          <w:i/>
          <w:iCs/>
        </w:rPr>
        <w:t>unifiedTCI-StateType</w:t>
      </w:r>
      <w:r w:rsidR="007B122D" w:rsidRPr="00FA0D37">
        <w:t xml:space="preserve"> is configured for the serving cell.</w:t>
      </w:r>
    </w:p>
    <w:p w14:paraId="1D51DF81" w14:textId="77777777" w:rsidR="00394471" w:rsidRPr="00FA0D37" w:rsidRDefault="00394471" w:rsidP="00394471">
      <w:pPr>
        <w:pStyle w:val="TH"/>
      </w:pPr>
      <w:r w:rsidRPr="00FA0D37">
        <w:rPr>
          <w:bCs/>
          <w:i/>
          <w:iCs/>
        </w:rPr>
        <w:t xml:space="preserve">SRS-Config </w:t>
      </w:r>
      <w:r w:rsidRPr="00FA0D37">
        <w:t>information element</w:t>
      </w:r>
    </w:p>
    <w:p w14:paraId="68F82C61" w14:textId="77777777" w:rsidR="00394471" w:rsidRPr="00FA0D37" w:rsidRDefault="00394471" w:rsidP="00FA0D37">
      <w:pPr>
        <w:pStyle w:val="PL"/>
        <w:rPr>
          <w:color w:val="808080"/>
        </w:rPr>
      </w:pPr>
      <w:r w:rsidRPr="00FA0D37">
        <w:rPr>
          <w:color w:val="808080"/>
        </w:rPr>
        <w:t>-- ASN1START</w:t>
      </w:r>
    </w:p>
    <w:p w14:paraId="13CB813F" w14:textId="77777777" w:rsidR="00394471" w:rsidRPr="00FA0D37" w:rsidRDefault="00394471" w:rsidP="00FA0D37">
      <w:pPr>
        <w:pStyle w:val="PL"/>
        <w:rPr>
          <w:color w:val="808080"/>
        </w:rPr>
      </w:pPr>
      <w:r w:rsidRPr="00FA0D37">
        <w:rPr>
          <w:color w:val="808080"/>
        </w:rPr>
        <w:t>-- TAG-SRS-CONFIG-START</w:t>
      </w:r>
    </w:p>
    <w:p w14:paraId="012A18F8" w14:textId="77777777" w:rsidR="00394471" w:rsidRPr="00FA0D37" w:rsidRDefault="00394471" w:rsidP="00FA0D37">
      <w:pPr>
        <w:pStyle w:val="PL"/>
      </w:pPr>
    </w:p>
    <w:p w14:paraId="470C95B8" w14:textId="77777777" w:rsidR="00394471" w:rsidRPr="00FA0D37" w:rsidRDefault="00394471" w:rsidP="00FA0D37">
      <w:pPr>
        <w:pStyle w:val="PL"/>
      </w:pPr>
      <w:r w:rsidRPr="00FA0D37">
        <w:t xml:space="preserve">SRS-Config ::=                          </w:t>
      </w:r>
      <w:r w:rsidRPr="00FA0D37">
        <w:rPr>
          <w:color w:val="993366"/>
        </w:rPr>
        <w:t>SEQUENCE</w:t>
      </w:r>
      <w:r w:rsidRPr="00FA0D37">
        <w:t xml:space="preserve"> {</w:t>
      </w:r>
    </w:p>
    <w:p w14:paraId="48D89374" w14:textId="6251865D" w:rsidR="00394471" w:rsidRPr="00FA0D37" w:rsidRDefault="00394471" w:rsidP="00FA0D37">
      <w:pPr>
        <w:pStyle w:val="PL"/>
        <w:rPr>
          <w:color w:val="808080"/>
        </w:rPr>
      </w:pPr>
      <w:r w:rsidRPr="00FA0D37">
        <w:t xml:space="preserve">    srs-ResourceSetToReleaseList            </w:t>
      </w:r>
      <w:r w:rsidRPr="00FA0D37">
        <w:rPr>
          <w:color w:val="993366"/>
        </w:rPr>
        <w:t>SEQUENCE</w:t>
      </w:r>
      <w:r w:rsidRPr="00FA0D37">
        <w:t xml:space="preserve"> (</w:t>
      </w:r>
      <w:r w:rsidRPr="00FA0D37">
        <w:rPr>
          <w:color w:val="993366"/>
        </w:rPr>
        <w:t>SIZE</w:t>
      </w:r>
      <w:r w:rsidRPr="00FA0D37">
        <w:t>(1..maxNrofSRS-ResourceSets))</w:t>
      </w:r>
      <w:r w:rsidRPr="00FA0D37">
        <w:rPr>
          <w:color w:val="993366"/>
        </w:rPr>
        <w:t xml:space="preserve"> OF</w:t>
      </w:r>
      <w:r w:rsidRPr="00FA0D37">
        <w:t xml:space="preserve"> SRS-ResourceSetId        </w:t>
      </w:r>
      <w:r w:rsidRPr="00FA0D37">
        <w:rPr>
          <w:color w:val="993366"/>
        </w:rPr>
        <w:t>OPTIONAL</w:t>
      </w:r>
      <w:r w:rsidRPr="00FA0D37">
        <w:t xml:space="preserve">,   </w:t>
      </w:r>
      <w:r w:rsidRPr="00FA0D37">
        <w:rPr>
          <w:color w:val="808080"/>
        </w:rPr>
        <w:t>-- Need N</w:t>
      </w:r>
    </w:p>
    <w:p w14:paraId="379DA5C1" w14:textId="6C9C8D5A" w:rsidR="00394471" w:rsidRPr="00FA0D37" w:rsidRDefault="00394471" w:rsidP="00FA0D37">
      <w:pPr>
        <w:pStyle w:val="PL"/>
        <w:rPr>
          <w:color w:val="808080"/>
        </w:rPr>
      </w:pPr>
      <w:r w:rsidRPr="00FA0D37">
        <w:t xml:space="preserve">    srs-ResourceSetToAddModList             </w:t>
      </w:r>
      <w:r w:rsidRPr="00FA0D37">
        <w:rPr>
          <w:color w:val="993366"/>
        </w:rPr>
        <w:t>SEQUENCE</w:t>
      </w:r>
      <w:r w:rsidRPr="00FA0D37">
        <w:t xml:space="preserve"> (</w:t>
      </w:r>
      <w:r w:rsidRPr="00FA0D37">
        <w:rPr>
          <w:color w:val="993366"/>
        </w:rPr>
        <w:t>SIZE</w:t>
      </w:r>
      <w:r w:rsidRPr="00FA0D37">
        <w:t>(1..maxNrofSRS-ResourceSets))</w:t>
      </w:r>
      <w:r w:rsidRPr="00FA0D37">
        <w:rPr>
          <w:color w:val="993366"/>
        </w:rPr>
        <w:t xml:space="preserve"> OF</w:t>
      </w:r>
      <w:r w:rsidRPr="00FA0D37">
        <w:t xml:space="preserve"> SRS-ResourceSet          </w:t>
      </w:r>
      <w:r w:rsidRPr="00FA0D37">
        <w:rPr>
          <w:color w:val="993366"/>
        </w:rPr>
        <w:t>OPTIONAL</w:t>
      </w:r>
      <w:r w:rsidRPr="00FA0D37">
        <w:t xml:space="preserve">,   </w:t>
      </w:r>
      <w:r w:rsidRPr="00FA0D37">
        <w:rPr>
          <w:color w:val="808080"/>
        </w:rPr>
        <w:t>-- Need N</w:t>
      </w:r>
    </w:p>
    <w:p w14:paraId="35ECA412" w14:textId="4CE7A14B" w:rsidR="00394471" w:rsidRPr="00FA0D37" w:rsidRDefault="00394471" w:rsidP="00FA0D37">
      <w:pPr>
        <w:pStyle w:val="PL"/>
        <w:rPr>
          <w:color w:val="808080"/>
        </w:rPr>
      </w:pPr>
      <w:r w:rsidRPr="00FA0D37">
        <w:t xml:space="preserve">    srs-ResourceToReleaseList               </w:t>
      </w:r>
      <w:r w:rsidRPr="00FA0D37">
        <w:rPr>
          <w:color w:val="993366"/>
        </w:rPr>
        <w:t>SEQUENCE</w:t>
      </w:r>
      <w:r w:rsidRPr="00FA0D37">
        <w:t xml:space="preserve"> (</w:t>
      </w:r>
      <w:r w:rsidRPr="00FA0D37">
        <w:rPr>
          <w:color w:val="993366"/>
        </w:rPr>
        <w:t>SIZE</w:t>
      </w:r>
      <w:r w:rsidRPr="00FA0D37">
        <w:t>(1..maxNrofSRS-Resources))</w:t>
      </w:r>
      <w:r w:rsidRPr="00FA0D37">
        <w:rPr>
          <w:color w:val="993366"/>
        </w:rPr>
        <w:t xml:space="preserve"> OF</w:t>
      </w:r>
      <w:r w:rsidRPr="00FA0D37">
        <w:t xml:space="preserve"> SRS-ResourceId              </w:t>
      </w:r>
      <w:r w:rsidRPr="00FA0D37">
        <w:rPr>
          <w:color w:val="993366"/>
        </w:rPr>
        <w:t>OPTIONAL</w:t>
      </w:r>
      <w:r w:rsidRPr="00FA0D37">
        <w:t xml:space="preserve">,   </w:t>
      </w:r>
      <w:r w:rsidRPr="00FA0D37">
        <w:rPr>
          <w:color w:val="808080"/>
        </w:rPr>
        <w:t>-- Need N</w:t>
      </w:r>
    </w:p>
    <w:p w14:paraId="525F20E7" w14:textId="6D238DCA" w:rsidR="00394471" w:rsidRPr="00FA0D37" w:rsidRDefault="00394471" w:rsidP="00FA0D37">
      <w:pPr>
        <w:pStyle w:val="PL"/>
        <w:rPr>
          <w:color w:val="808080"/>
        </w:rPr>
      </w:pPr>
      <w:r w:rsidRPr="00FA0D37">
        <w:t xml:space="preserve">    srs-ResourceToAddModList                </w:t>
      </w:r>
      <w:r w:rsidRPr="00FA0D37">
        <w:rPr>
          <w:color w:val="993366"/>
        </w:rPr>
        <w:t>SEQUENCE</w:t>
      </w:r>
      <w:r w:rsidRPr="00FA0D37">
        <w:t xml:space="preserve"> (</w:t>
      </w:r>
      <w:r w:rsidRPr="00FA0D37">
        <w:rPr>
          <w:color w:val="993366"/>
        </w:rPr>
        <w:t>SIZE</w:t>
      </w:r>
      <w:r w:rsidRPr="00FA0D37">
        <w:t>(1..maxNrofSRS-Resources))</w:t>
      </w:r>
      <w:r w:rsidRPr="00FA0D37">
        <w:rPr>
          <w:color w:val="993366"/>
        </w:rPr>
        <w:t xml:space="preserve"> OF</w:t>
      </w:r>
      <w:r w:rsidRPr="00FA0D37">
        <w:t xml:space="preserve"> SRS-Resource                </w:t>
      </w:r>
      <w:r w:rsidRPr="00FA0D37">
        <w:rPr>
          <w:color w:val="993366"/>
        </w:rPr>
        <w:t>OPTIONAL</w:t>
      </w:r>
      <w:r w:rsidRPr="00FA0D37">
        <w:t xml:space="preserve">,   </w:t>
      </w:r>
      <w:r w:rsidRPr="00FA0D37">
        <w:rPr>
          <w:color w:val="808080"/>
        </w:rPr>
        <w:t>-- Need N</w:t>
      </w:r>
    </w:p>
    <w:p w14:paraId="267E1A02" w14:textId="08036C88" w:rsidR="00394471" w:rsidRPr="00FA0D37" w:rsidRDefault="00394471" w:rsidP="00FA0D37">
      <w:pPr>
        <w:pStyle w:val="PL"/>
        <w:rPr>
          <w:color w:val="808080"/>
        </w:rPr>
      </w:pPr>
      <w:r w:rsidRPr="00FA0D37">
        <w:t xml:space="preserve">    tpc-Accumulation                        </w:t>
      </w:r>
      <w:r w:rsidRPr="00FA0D37">
        <w:rPr>
          <w:color w:val="993366"/>
        </w:rPr>
        <w:t>ENUMERATED</w:t>
      </w:r>
      <w:r w:rsidRPr="00FA0D37">
        <w:t xml:space="preserve"> {disabled}                                                   </w:t>
      </w:r>
      <w:r w:rsidRPr="00FA0D37">
        <w:rPr>
          <w:color w:val="993366"/>
        </w:rPr>
        <w:t>OPTIONAL</w:t>
      </w:r>
      <w:r w:rsidRPr="00FA0D37">
        <w:t xml:space="preserve">,   </w:t>
      </w:r>
      <w:r w:rsidRPr="00FA0D37">
        <w:rPr>
          <w:color w:val="808080"/>
        </w:rPr>
        <w:t>-- Need S</w:t>
      </w:r>
    </w:p>
    <w:p w14:paraId="4EB87B45" w14:textId="77777777" w:rsidR="00394471" w:rsidRPr="00FA0D37" w:rsidRDefault="00394471" w:rsidP="00FA0D37">
      <w:pPr>
        <w:pStyle w:val="PL"/>
      </w:pPr>
      <w:r w:rsidRPr="00FA0D37">
        <w:t xml:space="preserve">    ...,</w:t>
      </w:r>
    </w:p>
    <w:p w14:paraId="165DD6EB" w14:textId="77777777" w:rsidR="00394471" w:rsidRPr="00FA0D37" w:rsidRDefault="00394471" w:rsidP="00FA0D37">
      <w:pPr>
        <w:pStyle w:val="PL"/>
      </w:pPr>
      <w:r w:rsidRPr="00FA0D37">
        <w:t xml:space="preserve">    [[</w:t>
      </w:r>
    </w:p>
    <w:p w14:paraId="290AA879" w14:textId="77777777" w:rsidR="00394471" w:rsidRPr="00FA0D37" w:rsidRDefault="00394471" w:rsidP="00FA0D37">
      <w:pPr>
        <w:pStyle w:val="PL"/>
        <w:rPr>
          <w:color w:val="808080"/>
        </w:rPr>
      </w:pPr>
      <w:r w:rsidRPr="00FA0D37">
        <w:t xml:space="preserve">    srs-RequestDCI-1-2-r16                  </w:t>
      </w:r>
      <w:r w:rsidRPr="00FA0D37">
        <w:rPr>
          <w:color w:val="993366"/>
        </w:rPr>
        <w:t>INTEGER</w:t>
      </w:r>
      <w:r w:rsidRPr="00FA0D37">
        <w:t xml:space="preserve"> (1..2)                                                          </w:t>
      </w:r>
      <w:r w:rsidRPr="00FA0D37">
        <w:rPr>
          <w:color w:val="993366"/>
        </w:rPr>
        <w:t>OPTIONAL</w:t>
      </w:r>
      <w:r w:rsidRPr="00FA0D37">
        <w:t xml:space="preserve">, </w:t>
      </w:r>
      <w:r w:rsidRPr="00FA0D37">
        <w:rPr>
          <w:color w:val="808080"/>
        </w:rPr>
        <w:t>-- Need S</w:t>
      </w:r>
    </w:p>
    <w:p w14:paraId="18EDFF27" w14:textId="77777777" w:rsidR="00394471" w:rsidRPr="00FA0D37" w:rsidRDefault="00394471" w:rsidP="00FA0D37">
      <w:pPr>
        <w:pStyle w:val="PL"/>
        <w:rPr>
          <w:color w:val="808080"/>
        </w:rPr>
      </w:pPr>
      <w:r w:rsidRPr="00FA0D37">
        <w:t xml:space="preserve">    srs-RequestDCI-0-2-r16                  </w:t>
      </w:r>
      <w:r w:rsidRPr="00FA0D37">
        <w:rPr>
          <w:color w:val="993366"/>
        </w:rPr>
        <w:t>INTEGER</w:t>
      </w:r>
      <w:r w:rsidRPr="00FA0D37">
        <w:t xml:space="preserve"> (1..2)                                                          </w:t>
      </w:r>
      <w:r w:rsidRPr="00FA0D37">
        <w:rPr>
          <w:color w:val="993366"/>
        </w:rPr>
        <w:t>OPTIONAL</w:t>
      </w:r>
      <w:r w:rsidRPr="00FA0D37">
        <w:t xml:space="preserve">, </w:t>
      </w:r>
      <w:r w:rsidRPr="00FA0D37">
        <w:rPr>
          <w:color w:val="808080"/>
        </w:rPr>
        <w:t>-- Need S</w:t>
      </w:r>
    </w:p>
    <w:p w14:paraId="7D6242CC" w14:textId="77777777" w:rsidR="00394471" w:rsidRPr="00FA0D37" w:rsidRDefault="00394471" w:rsidP="00FA0D37">
      <w:pPr>
        <w:pStyle w:val="PL"/>
        <w:rPr>
          <w:color w:val="808080"/>
        </w:rPr>
      </w:pPr>
      <w:r w:rsidRPr="00FA0D37">
        <w:t xml:space="preserve">    srs-ResourceSetToAddModListDCI-0-2-r16  </w:t>
      </w:r>
      <w:r w:rsidRPr="00FA0D37">
        <w:rPr>
          <w:color w:val="993366"/>
        </w:rPr>
        <w:t>SEQUENCE</w:t>
      </w:r>
      <w:r w:rsidRPr="00FA0D37">
        <w:t xml:space="preserve"> (</w:t>
      </w:r>
      <w:r w:rsidRPr="00FA0D37">
        <w:rPr>
          <w:color w:val="993366"/>
        </w:rPr>
        <w:t>SIZE</w:t>
      </w:r>
      <w:r w:rsidRPr="00FA0D37">
        <w:t>(1..maxNrofSRS-ResourceSets))</w:t>
      </w:r>
      <w:r w:rsidRPr="00FA0D37">
        <w:rPr>
          <w:color w:val="993366"/>
        </w:rPr>
        <w:t xml:space="preserve"> OF</w:t>
      </w:r>
      <w:r w:rsidRPr="00FA0D37">
        <w:t xml:space="preserve"> SRS-ResourceSet          </w:t>
      </w:r>
      <w:r w:rsidRPr="00FA0D37">
        <w:rPr>
          <w:color w:val="993366"/>
        </w:rPr>
        <w:t>OPTIONAL</w:t>
      </w:r>
      <w:r w:rsidRPr="00FA0D37">
        <w:t xml:space="preserve">, </w:t>
      </w:r>
      <w:r w:rsidRPr="00FA0D37">
        <w:rPr>
          <w:color w:val="808080"/>
        </w:rPr>
        <w:t>-- Need N</w:t>
      </w:r>
    </w:p>
    <w:p w14:paraId="3DA97ED3" w14:textId="77777777" w:rsidR="00394471" w:rsidRPr="00FA0D37" w:rsidRDefault="00394471" w:rsidP="00FA0D37">
      <w:pPr>
        <w:pStyle w:val="PL"/>
        <w:rPr>
          <w:color w:val="808080"/>
        </w:rPr>
      </w:pPr>
      <w:r w:rsidRPr="00FA0D37">
        <w:t xml:space="preserve">    srs-ResourceSetToReleaseListDCI-0-2-r16 </w:t>
      </w:r>
      <w:r w:rsidRPr="00FA0D37">
        <w:rPr>
          <w:color w:val="993366"/>
        </w:rPr>
        <w:t>SEQUENCE</w:t>
      </w:r>
      <w:r w:rsidRPr="00FA0D37">
        <w:t xml:space="preserve"> (</w:t>
      </w:r>
      <w:r w:rsidRPr="00FA0D37">
        <w:rPr>
          <w:color w:val="993366"/>
        </w:rPr>
        <w:t>SIZE</w:t>
      </w:r>
      <w:r w:rsidRPr="00FA0D37">
        <w:t>(1..maxNrofSRS-ResourceSets))</w:t>
      </w:r>
      <w:r w:rsidRPr="00FA0D37">
        <w:rPr>
          <w:color w:val="993366"/>
        </w:rPr>
        <w:t xml:space="preserve"> OF</w:t>
      </w:r>
      <w:r w:rsidRPr="00FA0D37">
        <w:t xml:space="preserve"> SRS-ResourceSetId        </w:t>
      </w:r>
      <w:r w:rsidRPr="00FA0D37">
        <w:rPr>
          <w:color w:val="993366"/>
        </w:rPr>
        <w:t>OPTIONAL</w:t>
      </w:r>
      <w:r w:rsidRPr="00FA0D37">
        <w:t xml:space="preserve">, </w:t>
      </w:r>
      <w:r w:rsidRPr="00FA0D37">
        <w:rPr>
          <w:color w:val="808080"/>
        </w:rPr>
        <w:t>-- Need N</w:t>
      </w:r>
    </w:p>
    <w:p w14:paraId="2A734217" w14:textId="77777777" w:rsidR="00394471" w:rsidRPr="00FA0D37" w:rsidRDefault="00394471" w:rsidP="00FA0D37">
      <w:pPr>
        <w:pStyle w:val="PL"/>
      </w:pPr>
      <w:r w:rsidRPr="00FA0D37">
        <w:t xml:space="preserve">    srs-PosResourceSetToReleaseList-r16     </w:t>
      </w:r>
      <w:r w:rsidRPr="00FA0D37">
        <w:rPr>
          <w:color w:val="993366"/>
        </w:rPr>
        <w:t>SEQUENCE</w:t>
      </w:r>
      <w:r w:rsidRPr="00FA0D37">
        <w:t xml:space="preserve"> (</w:t>
      </w:r>
      <w:r w:rsidRPr="00FA0D37">
        <w:rPr>
          <w:color w:val="993366"/>
        </w:rPr>
        <w:t>SIZE</w:t>
      </w:r>
      <w:r w:rsidRPr="00FA0D37">
        <w:t>(1..maxNrofSRS-PosResourceSets-r16))</w:t>
      </w:r>
      <w:r w:rsidRPr="00FA0D37">
        <w:rPr>
          <w:color w:val="993366"/>
        </w:rPr>
        <w:t xml:space="preserve"> OF</w:t>
      </w:r>
      <w:r w:rsidRPr="00FA0D37">
        <w:t xml:space="preserve"> SRS-PosResourceSetId-r16</w:t>
      </w:r>
    </w:p>
    <w:p w14:paraId="22BB333D"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N</w:t>
      </w:r>
    </w:p>
    <w:p w14:paraId="02A97E8F" w14:textId="77777777" w:rsidR="00394471" w:rsidRPr="00FA0D37" w:rsidRDefault="00394471" w:rsidP="00FA0D37">
      <w:pPr>
        <w:pStyle w:val="PL"/>
        <w:rPr>
          <w:color w:val="808080"/>
        </w:rPr>
      </w:pPr>
      <w:r w:rsidRPr="00FA0D37">
        <w:t xml:space="preserve">    srs-PosResourceSetToAddModList-r16      </w:t>
      </w:r>
      <w:r w:rsidRPr="00FA0D37">
        <w:rPr>
          <w:color w:val="993366"/>
        </w:rPr>
        <w:t>SEQUENCE</w:t>
      </w:r>
      <w:r w:rsidRPr="00FA0D37">
        <w:t xml:space="preserve"> (</w:t>
      </w:r>
      <w:r w:rsidRPr="00FA0D37">
        <w:rPr>
          <w:color w:val="993366"/>
        </w:rPr>
        <w:t>SIZE</w:t>
      </w:r>
      <w:r w:rsidRPr="00FA0D37">
        <w:t>(1..maxNrofSRS-PosResourceSets-r16))</w:t>
      </w:r>
      <w:r w:rsidRPr="00FA0D37">
        <w:rPr>
          <w:color w:val="993366"/>
        </w:rPr>
        <w:t xml:space="preserve"> OF</w:t>
      </w:r>
      <w:r w:rsidRPr="00FA0D37">
        <w:t xml:space="preserve"> SRS-PosResourceSet-r16        </w:t>
      </w:r>
      <w:r w:rsidRPr="00FA0D37">
        <w:rPr>
          <w:color w:val="993366"/>
        </w:rPr>
        <w:t>OPTIONAL</w:t>
      </w:r>
      <w:r w:rsidRPr="00FA0D37">
        <w:t>,</w:t>
      </w:r>
      <w:r w:rsidRPr="00FA0D37">
        <w:rPr>
          <w:color w:val="808080"/>
        </w:rPr>
        <w:t>-- Need N</w:t>
      </w:r>
    </w:p>
    <w:p w14:paraId="3B68EDCB" w14:textId="77777777" w:rsidR="00394471" w:rsidRPr="00FA0D37" w:rsidRDefault="00394471" w:rsidP="00FA0D37">
      <w:pPr>
        <w:pStyle w:val="PL"/>
        <w:rPr>
          <w:color w:val="808080"/>
        </w:rPr>
      </w:pPr>
      <w:r w:rsidRPr="00FA0D37">
        <w:t xml:space="preserve">    srs-PosResourceToReleaseList-r16        </w:t>
      </w:r>
      <w:r w:rsidRPr="00FA0D37">
        <w:rPr>
          <w:color w:val="993366"/>
        </w:rPr>
        <w:t>SEQUENCE</w:t>
      </w:r>
      <w:r w:rsidRPr="00FA0D37">
        <w:t xml:space="preserve"> (</w:t>
      </w:r>
      <w:r w:rsidRPr="00FA0D37">
        <w:rPr>
          <w:color w:val="993366"/>
        </w:rPr>
        <w:t>SIZE</w:t>
      </w:r>
      <w:r w:rsidRPr="00FA0D37">
        <w:t>(1..maxNrofSRS-PosResources-r16))</w:t>
      </w:r>
      <w:r w:rsidRPr="00FA0D37">
        <w:rPr>
          <w:color w:val="993366"/>
        </w:rPr>
        <w:t xml:space="preserve"> OF</w:t>
      </w:r>
      <w:r w:rsidRPr="00FA0D37">
        <w:t xml:space="preserve"> SRS-PosResourceId-r16            </w:t>
      </w:r>
      <w:r w:rsidRPr="00FA0D37">
        <w:rPr>
          <w:color w:val="993366"/>
        </w:rPr>
        <w:t>OPTIONAL</w:t>
      </w:r>
      <w:r w:rsidRPr="00FA0D37">
        <w:t>,</w:t>
      </w:r>
      <w:r w:rsidRPr="00FA0D37">
        <w:rPr>
          <w:color w:val="808080"/>
        </w:rPr>
        <w:t>-- Need N</w:t>
      </w:r>
    </w:p>
    <w:p w14:paraId="43776747" w14:textId="77777777" w:rsidR="00394471" w:rsidRPr="00FA0D37" w:rsidRDefault="00394471" w:rsidP="00FA0D37">
      <w:pPr>
        <w:pStyle w:val="PL"/>
        <w:rPr>
          <w:color w:val="808080"/>
        </w:rPr>
      </w:pPr>
      <w:r w:rsidRPr="00FA0D37">
        <w:t xml:space="preserve">    srs-PosResourceToAddModList-r16         </w:t>
      </w:r>
      <w:r w:rsidRPr="00FA0D37">
        <w:rPr>
          <w:color w:val="993366"/>
        </w:rPr>
        <w:t>SEQUENCE</w:t>
      </w:r>
      <w:r w:rsidRPr="00FA0D37">
        <w:t xml:space="preserve"> (</w:t>
      </w:r>
      <w:r w:rsidRPr="00FA0D37">
        <w:rPr>
          <w:color w:val="993366"/>
        </w:rPr>
        <w:t>SIZE</w:t>
      </w:r>
      <w:r w:rsidRPr="00FA0D37">
        <w:t>(1..maxNrofSRS-PosResources-r16))</w:t>
      </w:r>
      <w:r w:rsidRPr="00FA0D37">
        <w:rPr>
          <w:color w:val="993366"/>
        </w:rPr>
        <w:t xml:space="preserve"> OF</w:t>
      </w:r>
      <w:r w:rsidRPr="00FA0D37">
        <w:t xml:space="preserve"> SRS-PosResource-r16              </w:t>
      </w:r>
      <w:r w:rsidRPr="00FA0D37">
        <w:rPr>
          <w:color w:val="993366"/>
        </w:rPr>
        <w:t>OPTIONAL</w:t>
      </w:r>
      <w:r w:rsidRPr="00FA0D37">
        <w:t xml:space="preserve"> </w:t>
      </w:r>
      <w:r w:rsidRPr="00FA0D37">
        <w:rPr>
          <w:color w:val="808080"/>
        </w:rPr>
        <w:t>-- Need N</w:t>
      </w:r>
    </w:p>
    <w:p w14:paraId="56C1FA2A" w14:textId="09CF5D6B" w:rsidR="00394471" w:rsidRPr="00FA0D37" w:rsidRDefault="00394471" w:rsidP="00FA0D37">
      <w:pPr>
        <w:pStyle w:val="PL"/>
      </w:pPr>
      <w:r w:rsidRPr="00FA0D37">
        <w:t xml:space="preserve">    ]]</w:t>
      </w:r>
    </w:p>
    <w:p w14:paraId="6AA70242" w14:textId="77777777" w:rsidR="00394471" w:rsidRPr="00FA0D37" w:rsidRDefault="00394471" w:rsidP="00FA0D37">
      <w:pPr>
        <w:pStyle w:val="PL"/>
      </w:pPr>
      <w:r w:rsidRPr="00FA0D37">
        <w:t>}</w:t>
      </w:r>
    </w:p>
    <w:p w14:paraId="240E987D" w14:textId="77777777" w:rsidR="00394471" w:rsidRPr="00FA0D37" w:rsidRDefault="00394471" w:rsidP="00FA0D37">
      <w:pPr>
        <w:pStyle w:val="PL"/>
      </w:pPr>
    </w:p>
    <w:p w14:paraId="5EFCA636" w14:textId="77777777" w:rsidR="00394471" w:rsidRPr="00FA0D37" w:rsidRDefault="00394471" w:rsidP="00FA0D37">
      <w:pPr>
        <w:pStyle w:val="PL"/>
      </w:pPr>
      <w:r w:rsidRPr="00FA0D37">
        <w:t xml:space="preserve">SRS-ResourceSet ::=                     </w:t>
      </w:r>
      <w:r w:rsidRPr="00FA0D37">
        <w:rPr>
          <w:color w:val="993366"/>
        </w:rPr>
        <w:t>SEQUENCE</w:t>
      </w:r>
      <w:r w:rsidRPr="00FA0D37">
        <w:t xml:space="preserve"> {</w:t>
      </w:r>
    </w:p>
    <w:p w14:paraId="1D81454E" w14:textId="77777777" w:rsidR="00394471" w:rsidRPr="00FA0D37" w:rsidRDefault="00394471" w:rsidP="00FA0D37">
      <w:pPr>
        <w:pStyle w:val="PL"/>
      </w:pPr>
      <w:r w:rsidRPr="00FA0D37">
        <w:t xml:space="preserve">    srs-ResourceSetId                       SRS-ResourceSetId,</w:t>
      </w:r>
    </w:p>
    <w:p w14:paraId="034C7318" w14:textId="77777777" w:rsidR="00394471" w:rsidRPr="00FA0D37" w:rsidRDefault="00394471" w:rsidP="00FA0D37">
      <w:pPr>
        <w:pStyle w:val="PL"/>
        <w:rPr>
          <w:color w:val="808080"/>
        </w:rPr>
      </w:pPr>
      <w:r w:rsidRPr="00FA0D37">
        <w:t xml:space="preserve">    srs-ResourceIdList                      </w:t>
      </w:r>
      <w:r w:rsidRPr="00FA0D37">
        <w:rPr>
          <w:color w:val="993366"/>
        </w:rPr>
        <w:t>SEQUENCE</w:t>
      </w:r>
      <w:r w:rsidRPr="00FA0D37">
        <w:t xml:space="preserve"> (</w:t>
      </w:r>
      <w:r w:rsidRPr="00FA0D37">
        <w:rPr>
          <w:color w:val="993366"/>
        </w:rPr>
        <w:t>SIZE</w:t>
      </w:r>
      <w:r w:rsidRPr="00FA0D37">
        <w:t>(1..maxNrofSRS-ResourcesPerSet))</w:t>
      </w:r>
      <w:r w:rsidRPr="00FA0D37">
        <w:rPr>
          <w:color w:val="993366"/>
        </w:rPr>
        <w:t xml:space="preserve"> OF</w:t>
      </w:r>
      <w:r w:rsidRPr="00FA0D37">
        <w:t xml:space="preserve"> SRS-ResourceId    </w:t>
      </w:r>
      <w:r w:rsidRPr="00FA0D37">
        <w:rPr>
          <w:color w:val="993366"/>
        </w:rPr>
        <w:t>OPTIONAL</w:t>
      </w:r>
      <w:r w:rsidRPr="00FA0D37">
        <w:t xml:space="preserve">, </w:t>
      </w:r>
      <w:r w:rsidRPr="00FA0D37">
        <w:rPr>
          <w:color w:val="808080"/>
        </w:rPr>
        <w:t>-- Cond Setup</w:t>
      </w:r>
    </w:p>
    <w:p w14:paraId="26E80436" w14:textId="77777777" w:rsidR="00394471" w:rsidRPr="00FA0D37" w:rsidRDefault="00394471" w:rsidP="00FA0D37">
      <w:pPr>
        <w:pStyle w:val="PL"/>
      </w:pPr>
      <w:r w:rsidRPr="00FA0D37">
        <w:t xml:space="preserve">    resourceType                            </w:t>
      </w:r>
      <w:r w:rsidRPr="00FA0D37">
        <w:rPr>
          <w:color w:val="993366"/>
        </w:rPr>
        <w:t>CHOICE</w:t>
      </w:r>
      <w:r w:rsidRPr="00FA0D37">
        <w:t xml:space="preserve"> {</w:t>
      </w:r>
    </w:p>
    <w:p w14:paraId="2DF650B4" w14:textId="77777777" w:rsidR="00394471" w:rsidRPr="00FA0D37" w:rsidRDefault="00394471" w:rsidP="00FA0D37">
      <w:pPr>
        <w:pStyle w:val="PL"/>
      </w:pPr>
      <w:r w:rsidRPr="00FA0D37">
        <w:t xml:space="preserve">        aperiodic                               </w:t>
      </w:r>
      <w:r w:rsidRPr="00FA0D37">
        <w:rPr>
          <w:color w:val="993366"/>
        </w:rPr>
        <w:t>SEQUENCE</w:t>
      </w:r>
      <w:r w:rsidRPr="00FA0D37">
        <w:t xml:space="preserve"> {</w:t>
      </w:r>
    </w:p>
    <w:p w14:paraId="5D82E600" w14:textId="77777777" w:rsidR="00394471" w:rsidRPr="00FA0D37" w:rsidRDefault="00394471" w:rsidP="00FA0D37">
      <w:pPr>
        <w:pStyle w:val="PL"/>
      </w:pPr>
      <w:r w:rsidRPr="00FA0D37">
        <w:t xml:space="preserve">            aperiodicSRS-ResourceTrigger            </w:t>
      </w:r>
      <w:r w:rsidRPr="00FA0D37">
        <w:rPr>
          <w:color w:val="993366"/>
        </w:rPr>
        <w:t>INTEGER</w:t>
      </w:r>
      <w:r w:rsidRPr="00FA0D37">
        <w:t xml:space="preserve"> (1..maxNrofSRS-TriggerStates-1),</w:t>
      </w:r>
    </w:p>
    <w:p w14:paraId="01BE7B53" w14:textId="77777777" w:rsidR="00394471" w:rsidRPr="00FA0D37" w:rsidRDefault="00394471" w:rsidP="00FA0D37">
      <w:pPr>
        <w:pStyle w:val="PL"/>
        <w:rPr>
          <w:color w:val="808080"/>
        </w:rPr>
      </w:pPr>
      <w:r w:rsidRPr="00FA0D37">
        <w:t xml:space="preserve">            csi-RS                                  NZP-CSI-RS-ResourceId                                  </w:t>
      </w:r>
      <w:r w:rsidRPr="00FA0D37">
        <w:rPr>
          <w:color w:val="993366"/>
        </w:rPr>
        <w:t>OPTIONAL</w:t>
      </w:r>
      <w:r w:rsidRPr="00FA0D37">
        <w:t xml:space="preserve">, </w:t>
      </w:r>
      <w:r w:rsidRPr="00FA0D37">
        <w:rPr>
          <w:color w:val="808080"/>
        </w:rPr>
        <w:t>-- Cond NonCodebook</w:t>
      </w:r>
    </w:p>
    <w:p w14:paraId="038DD328" w14:textId="77777777" w:rsidR="00394471" w:rsidRPr="00FA0D37" w:rsidRDefault="00394471" w:rsidP="00FA0D37">
      <w:pPr>
        <w:pStyle w:val="PL"/>
        <w:rPr>
          <w:color w:val="808080"/>
        </w:rPr>
      </w:pPr>
      <w:r w:rsidRPr="00FA0D37">
        <w:t xml:space="preserve">            slotOffset                              </w:t>
      </w:r>
      <w:r w:rsidRPr="00FA0D37">
        <w:rPr>
          <w:color w:val="993366"/>
        </w:rPr>
        <w:t>INTEGER</w:t>
      </w:r>
      <w:r w:rsidRPr="00FA0D37">
        <w:t xml:space="preserve"> (1..32)                                        </w:t>
      </w:r>
      <w:r w:rsidRPr="00FA0D37">
        <w:rPr>
          <w:color w:val="993366"/>
        </w:rPr>
        <w:t>OPTIONAL</w:t>
      </w:r>
      <w:r w:rsidRPr="00FA0D37">
        <w:t xml:space="preserve">, </w:t>
      </w:r>
      <w:r w:rsidRPr="00FA0D37">
        <w:rPr>
          <w:color w:val="808080"/>
        </w:rPr>
        <w:t>-- Need S</w:t>
      </w:r>
    </w:p>
    <w:p w14:paraId="72EA5B41" w14:textId="77777777" w:rsidR="00394471" w:rsidRPr="00FA0D37" w:rsidRDefault="00394471" w:rsidP="00FA0D37">
      <w:pPr>
        <w:pStyle w:val="PL"/>
      </w:pPr>
      <w:r w:rsidRPr="00FA0D37">
        <w:t xml:space="preserve">            ...,</w:t>
      </w:r>
    </w:p>
    <w:p w14:paraId="23BBC684" w14:textId="77777777" w:rsidR="00394471" w:rsidRPr="00FA0D37" w:rsidRDefault="00394471" w:rsidP="00FA0D37">
      <w:pPr>
        <w:pStyle w:val="PL"/>
      </w:pPr>
      <w:r w:rsidRPr="00FA0D37">
        <w:t xml:space="preserve">            [[</w:t>
      </w:r>
    </w:p>
    <w:p w14:paraId="75BB6E85" w14:textId="77777777" w:rsidR="00394471" w:rsidRPr="00FA0D37" w:rsidRDefault="00394471" w:rsidP="00FA0D37">
      <w:pPr>
        <w:pStyle w:val="PL"/>
      </w:pPr>
      <w:r w:rsidRPr="00FA0D37">
        <w:t xml:space="preserve">            aperiodicSRS-ResourceTriggerList            </w:t>
      </w:r>
      <w:r w:rsidRPr="00FA0D37">
        <w:rPr>
          <w:color w:val="993366"/>
        </w:rPr>
        <w:t>SEQUENCE</w:t>
      </w:r>
      <w:r w:rsidRPr="00FA0D37">
        <w:t xml:space="preserve"> (</w:t>
      </w:r>
      <w:r w:rsidRPr="00FA0D37">
        <w:rPr>
          <w:color w:val="993366"/>
        </w:rPr>
        <w:t>SIZE</w:t>
      </w:r>
      <w:r w:rsidRPr="00FA0D37">
        <w:t>(1..maxNrofSRS-TriggerStates-2))</w:t>
      </w:r>
    </w:p>
    <w:p w14:paraId="328BE9D7" w14:textId="77777777" w:rsidR="00394471" w:rsidRPr="00FA0D37" w:rsidRDefault="00394471" w:rsidP="00FA0D37">
      <w:pPr>
        <w:pStyle w:val="PL"/>
        <w:rPr>
          <w:color w:val="808080"/>
        </w:rPr>
      </w:pPr>
      <w:r w:rsidRPr="00FA0D37">
        <w:lastRenderedPageBreak/>
        <w:t xml:space="preserve">                                                           </w:t>
      </w:r>
      <w:r w:rsidRPr="00FA0D37">
        <w:rPr>
          <w:color w:val="993366"/>
        </w:rPr>
        <w:t xml:space="preserve"> OF</w:t>
      </w:r>
      <w:r w:rsidRPr="00FA0D37">
        <w:t xml:space="preserve"> </w:t>
      </w:r>
      <w:r w:rsidRPr="00FA0D37">
        <w:rPr>
          <w:color w:val="993366"/>
        </w:rPr>
        <w:t>INTEGER</w:t>
      </w:r>
      <w:r w:rsidRPr="00FA0D37">
        <w:t xml:space="preserve"> (1..maxNrofSRS-TriggerStates-1)     </w:t>
      </w:r>
      <w:r w:rsidRPr="00FA0D37">
        <w:rPr>
          <w:color w:val="993366"/>
        </w:rPr>
        <w:t>OPTIONAL</w:t>
      </w:r>
      <w:r w:rsidRPr="00FA0D37">
        <w:t xml:space="preserve">  </w:t>
      </w:r>
      <w:r w:rsidRPr="00FA0D37">
        <w:rPr>
          <w:color w:val="808080"/>
        </w:rPr>
        <w:t>-- Need M</w:t>
      </w:r>
    </w:p>
    <w:p w14:paraId="3C96AAF5" w14:textId="77777777" w:rsidR="00394471" w:rsidRPr="00FA0D37" w:rsidRDefault="00394471" w:rsidP="00FA0D37">
      <w:pPr>
        <w:pStyle w:val="PL"/>
      </w:pPr>
      <w:r w:rsidRPr="00FA0D37">
        <w:t xml:space="preserve">            ]]</w:t>
      </w:r>
    </w:p>
    <w:p w14:paraId="7B294846" w14:textId="77777777" w:rsidR="00394471" w:rsidRPr="00FA0D37" w:rsidRDefault="00394471" w:rsidP="00FA0D37">
      <w:pPr>
        <w:pStyle w:val="PL"/>
      </w:pPr>
      <w:r w:rsidRPr="00FA0D37">
        <w:t xml:space="preserve">        },</w:t>
      </w:r>
    </w:p>
    <w:p w14:paraId="79C6AC5F" w14:textId="77777777" w:rsidR="00394471" w:rsidRPr="00FA0D37" w:rsidRDefault="00394471" w:rsidP="00FA0D37">
      <w:pPr>
        <w:pStyle w:val="PL"/>
      </w:pPr>
      <w:r w:rsidRPr="00FA0D37">
        <w:t xml:space="preserve">        semi-persistent                         </w:t>
      </w:r>
      <w:r w:rsidRPr="00FA0D37">
        <w:rPr>
          <w:color w:val="993366"/>
        </w:rPr>
        <w:t>SEQUENCE</w:t>
      </w:r>
      <w:r w:rsidRPr="00FA0D37">
        <w:t xml:space="preserve"> {</w:t>
      </w:r>
    </w:p>
    <w:p w14:paraId="55CFBDF5" w14:textId="77777777" w:rsidR="00394471" w:rsidRPr="00FA0D37" w:rsidRDefault="00394471" w:rsidP="00FA0D37">
      <w:pPr>
        <w:pStyle w:val="PL"/>
        <w:rPr>
          <w:color w:val="808080"/>
        </w:rPr>
      </w:pPr>
      <w:r w:rsidRPr="00FA0D37">
        <w:t xml:space="preserve">            associatedCSI-RS                        NZP-CSI-RS-ResourceId                                  </w:t>
      </w:r>
      <w:r w:rsidRPr="00FA0D37">
        <w:rPr>
          <w:color w:val="993366"/>
        </w:rPr>
        <w:t>OPTIONAL</w:t>
      </w:r>
      <w:r w:rsidRPr="00FA0D37">
        <w:t xml:space="preserve">, </w:t>
      </w:r>
      <w:r w:rsidRPr="00FA0D37">
        <w:rPr>
          <w:color w:val="808080"/>
        </w:rPr>
        <w:t>-- Cond NonCodebook</w:t>
      </w:r>
    </w:p>
    <w:p w14:paraId="1DB74D2D" w14:textId="77777777" w:rsidR="00394471" w:rsidRPr="00FA0D37" w:rsidRDefault="00394471" w:rsidP="00FA0D37">
      <w:pPr>
        <w:pStyle w:val="PL"/>
      </w:pPr>
      <w:r w:rsidRPr="00FA0D37">
        <w:t xml:space="preserve">            ...</w:t>
      </w:r>
    </w:p>
    <w:p w14:paraId="1C1883C7" w14:textId="77777777" w:rsidR="00394471" w:rsidRPr="00FA0D37" w:rsidRDefault="00394471" w:rsidP="00FA0D37">
      <w:pPr>
        <w:pStyle w:val="PL"/>
      </w:pPr>
      <w:r w:rsidRPr="00FA0D37">
        <w:t xml:space="preserve">        },</w:t>
      </w:r>
    </w:p>
    <w:p w14:paraId="73842741" w14:textId="77777777" w:rsidR="00394471" w:rsidRPr="00FA0D37" w:rsidRDefault="00394471" w:rsidP="00FA0D37">
      <w:pPr>
        <w:pStyle w:val="PL"/>
      </w:pPr>
      <w:r w:rsidRPr="00FA0D37">
        <w:t xml:space="preserve">        periodic                                </w:t>
      </w:r>
      <w:r w:rsidRPr="00FA0D37">
        <w:rPr>
          <w:color w:val="993366"/>
        </w:rPr>
        <w:t>SEQUENCE</w:t>
      </w:r>
      <w:r w:rsidRPr="00FA0D37">
        <w:t xml:space="preserve"> {</w:t>
      </w:r>
    </w:p>
    <w:p w14:paraId="2FE2F122" w14:textId="77777777" w:rsidR="00394471" w:rsidRPr="00FA0D37" w:rsidRDefault="00394471" w:rsidP="00FA0D37">
      <w:pPr>
        <w:pStyle w:val="PL"/>
        <w:rPr>
          <w:color w:val="808080"/>
        </w:rPr>
      </w:pPr>
      <w:r w:rsidRPr="00FA0D37">
        <w:t xml:space="preserve">            associatedCSI-RS                        NZP-CSI-RS-ResourceId                                  </w:t>
      </w:r>
      <w:r w:rsidRPr="00FA0D37">
        <w:rPr>
          <w:color w:val="993366"/>
        </w:rPr>
        <w:t>OPTIONAL</w:t>
      </w:r>
      <w:r w:rsidRPr="00FA0D37">
        <w:t xml:space="preserve">, </w:t>
      </w:r>
      <w:r w:rsidRPr="00FA0D37">
        <w:rPr>
          <w:color w:val="808080"/>
        </w:rPr>
        <w:t>-- Cond NonCodebook</w:t>
      </w:r>
    </w:p>
    <w:p w14:paraId="30497D65" w14:textId="77777777" w:rsidR="00394471" w:rsidRPr="00FA0D37" w:rsidRDefault="00394471" w:rsidP="00FA0D37">
      <w:pPr>
        <w:pStyle w:val="PL"/>
      </w:pPr>
      <w:r w:rsidRPr="00FA0D37">
        <w:t xml:space="preserve">            ...</w:t>
      </w:r>
    </w:p>
    <w:p w14:paraId="0E5C4F94" w14:textId="77777777" w:rsidR="00394471" w:rsidRPr="00FA0D37" w:rsidRDefault="00394471" w:rsidP="00FA0D37">
      <w:pPr>
        <w:pStyle w:val="PL"/>
      </w:pPr>
      <w:r w:rsidRPr="00FA0D37">
        <w:t xml:space="preserve">        }</w:t>
      </w:r>
    </w:p>
    <w:p w14:paraId="0665A9F9" w14:textId="77777777" w:rsidR="00394471" w:rsidRPr="00FA0D37" w:rsidRDefault="00394471" w:rsidP="00FA0D37">
      <w:pPr>
        <w:pStyle w:val="PL"/>
      </w:pPr>
      <w:r w:rsidRPr="00FA0D37">
        <w:t xml:space="preserve">    },</w:t>
      </w:r>
    </w:p>
    <w:p w14:paraId="05367AB2" w14:textId="77777777" w:rsidR="00394471" w:rsidRPr="00FA0D37" w:rsidRDefault="00394471" w:rsidP="00FA0D37">
      <w:pPr>
        <w:pStyle w:val="PL"/>
      </w:pPr>
      <w:r w:rsidRPr="00FA0D37">
        <w:t xml:space="preserve">    usage                                   </w:t>
      </w:r>
      <w:r w:rsidRPr="00FA0D37">
        <w:rPr>
          <w:color w:val="993366"/>
        </w:rPr>
        <w:t>ENUMERATED</w:t>
      </w:r>
      <w:r w:rsidRPr="00FA0D37">
        <w:t xml:space="preserve"> {beamManagement, codebook, nonCodebook, antennaSwitching},</w:t>
      </w:r>
    </w:p>
    <w:p w14:paraId="160DABD9" w14:textId="77777777" w:rsidR="00394471" w:rsidRPr="00FA0D37" w:rsidRDefault="00394471" w:rsidP="00FA0D37">
      <w:pPr>
        <w:pStyle w:val="PL"/>
        <w:rPr>
          <w:color w:val="808080"/>
        </w:rPr>
      </w:pPr>
      <w:r w:rsidRPr="00FA0D37">
        <w:t xml:space="preserve">    alpha                                   Alpha                                                          </w:t>
      </w:r>
      <w:r w:rsidRPr="00FA0D37">
        <w:rPr>
          <w:color w:val="993366"/>
        </w:rPr>
        <w:t>OPTIONAL</w:t>
      </w:r>
      <w:r w:rsidRPr="00FA0D37">
        <w:t xml:space="preserve">, </w:t>
      </w:r>
      <w:r w:rsidRPr="00FA0D37">
        <w:rPr>
          <w:color w:val="808080"/>
        </w:rPr>
        <w:t>-- Need S</w:t>
      </w:r>
    </w:p>
    <w:p w14:paraId="25866B9E" w14:textId="77777777" w:rsidR="00394471" w:rsidRPr="00FA0D37" w:rsidRDefault="00394471" w:rsidP="00FA0D37">
      <w:pPr>
        <w:pStyle w:val="PL"/>
        <w:rPr>
          <w:color w:val="808080"/>
        </w:rPr>
      </w:pPr>
      <w:r w:rsidRPr="00FA0D37">
        <w:t xml:space="preserve">    p0                                      </w:t>
      </w:r>
      <w:r w:rsidRPr="00FA0D37">
        <w:rPr>
          <w:color w:val="993366"/>
        </w:rPr>
        <w:t>INTEGER</w:t>
      </w:r>
      <w:r w:rsidRPr="00FA0D37">
        <w:t xml:space="preserve"> (-202..24)                                             </w:t>
      </w:r>
      <w:r w:rsidRPr="00FA0D37">
        <w:rPr>
          <w:color w:val="993366"/>
        </w:rPr>
        <w:t>OPTIONAL</w:t>
      </w:r>
      <w:r w:rsidRPr="00FA0D37">
        <w:t xml:space="preserve">, </w:t>
      </w:r>
      <w:r w:rsidRPr="00FA0D37">
        <w:rPr>
          <w:color w:val="808080"/>
        </w:rPr>
        <w:t>-- Cond Setup</w:t>
      </w:r>
    </w:p>
    <w:p w14:paraId="30DB4053" w14:textId="77777777" w:rsidR="00394471" w:rsidRPr="00FA0D37" w:rsidRDefault="00394471" w:rsidP="00FA0D37">
      <w:pPr>
        <w:pStyle w:val="PL"/>
        <w:rPr>
          <w:color w:val="808080"/>
        </w:rPr>
      </w:pPr>
      <w:r w:rsidRPr="00FA0D37">
        <w:t xml:space="preserve">    pathlossReferenceRS                     PathlossReferenceRS-Config                                     </w:t>
      </w:r>
      <w:r w:rsidRPr="00FA0D37">
        <w:rPr>
          <w:color w:val="993366"/>
        </w:rPr>
        <w:t>OPTIONAL</w:t>
      </w:r>
      <w:r w:rsidRPr="00FA0D37">
        <w:t xml:space="preserve">, </w:t>
      </w:r>
      <w:r w:rsidRPr="00FA0D37">
        <w:rPr>
          <w:color w:val="808080"/>
        </w:rPr>
        <w:t>-- Need M</w:t>
      </w:r>
    </w:p>
    <w:p w14:paraId="663F8545" w14:textId="77777777" w:rsidR="00394471" w:rsidRPr="00FA0D37" w:rsidRDefault="00394471" w:rsidP="00FA0D37">
      <w:pPr>
        <w:pStyle w:val="PL"/>
        <w:rPr>
          <w:color w:val="808080"/>
        </w:rPr>
      </w:pPr>
      <w:r w:rsidRPr="00FA0D37">
        <w:t xml:space="preserve">    srs-PowerControlAdjustmentStates        </w:t>
      </w:r>
      <w:r w:rsidRPr="00FA0D37">
        <w:rPr>
          <w:color w:val="993366"/>
        </w:rPr>
        <w:t>ENUMERATED</w:t>
      </w:r>
      <w:r w:rsidRPr="00FA0D37">
        <w:t xml:space="preserve"> { sameAsFci2, separateClosedLoop}                   </w:t>
      </w:r>
      <w:r w:rsidRPr="00FA0D37">
        <w:rPr>
          <w:color w:val="993366"/>
        </w:rPr>
        <w:t>OPTIONAL</w:t>
      </w:r>
      <w:r w:rsidRPr="00FA0D37">
        <w:t xml:space="preserve">, </w:t>
      </w:r>
      <w:r w:rsidRPr="00FA0D37">
        <w:rPr>
          <w:color w:val="808080"/>
        </w:rPr>
        <w:t>-- Need S</w:t>
      </w:r>
    </w:p>
    <w:p w14:paraId="2DE88F18" w14:textId="77777777" w:rsidR="00394471" w:rsidRPr="00FA0D37" w:rsidRDefault="00394471" w:rsidP="00FA0D37">
      <w:pPr>
        <w:pStyle w:val="PL"/>
      </w:pPr>
      <w:r w:rsidRPr="00FA0D37">
        <w:t xml:space="preserve">    ...,</w:t>
      </w:r>
    </w:p>
    <w:p w14:paraId="4DC65C31" w14:textId="77777777" w:rsidR="00394471" w:rsidRPr="00FA0D37" w:rsidRDefault="00394471" w:rsidP="00FA0D37">
      <w:pPr>
        <w:pStyle w:val="PL"/>
      </w:pPr>
      <w:r w:rsidRPr="00FA0D37">
        <w:t xml:space="preserve">    [[</w:t>
      </w:r>
    </w:p>
    <w:p w14:paraId="4DCBA0C9" w14:textId="77777777" w:rsidR="00394471" w:rsidRPr="00FA0D37" w:rsidRDefault="00394471" w:rsidP="00FA0D37">
      <w:pPr>
        <w:pStyle w:val="PL"/>
        <w:rPr>
          <w:color w:val="808080"/>
        </w:rPr>
      </w:pPr>
      <w:r w:rsidRPr="00FA0D37">
        <w:t xml:space="preserve">    pathlossReferenceRSList-r16             SetupRelease { PathlossReferenceRSList-r16}                    </w:t>
      </w:r>
      <w:r w:rsidRPr="00FA0D37">
        <w:rPr>
          <w:color w:val="993366"/>
        </w:rPr>
        <w:t>OPTIONAL</w:t>
      </w:r>
      <w:r w:rsidRPr="00FA0D37">
        <w:t xml:space="preserve">  </w:t>
      </w:r>
      <w:r w:rsidRPr="00FA0D37">
        <w:rPr>
          <w:color w:val="808080"/>
        </w:rPr>
        <w:t>-- Need M</w:t>
      </w:r>
    </w:p>
    <w:p w14:paraId="28596B07" w14:textId="3F386DF6" w:rsidR="00306103" w:rsidRPr="00FA0D37" w:rsidRDefault="00394471" w:rsidP="00FA0D37">
      <w:pPr>
        <w:pStyle w:val="PL"/>
      </w:pPr>
      <w:r w:rsidRPr="00FA0D37">
        <w:t xml:space="preserve">    ]]</w:t>
      </w:r>
      <w:r w:rsidR="00306103" w:rsidRPr="00FA0D37">
        <w:t>,</w:t>
      </w:r>
    </w:p>
    <w:p w14:paraId="096BB37A" w14:textId="77777777" w:rsidR="00306103" w:rsidRPr="00FA0D37" w:rsidRDefault="00306103" w:rsidP="00FA0D37">
      <w:pPr>
        <w:pStyle w:val="PL"/>
      </w:pPr>
      <w:r w:rsidRPr="00FA0D37">
        <w:t xml:space="preserve">    [[</w:t>
      </w:r>
    </w:p>
    <w:p w14:paraId="03D11130" w14:textId="6AB9181E" w:rsidR="00306103" w:rsidRPr="00FA0D37" w:rsidRDefault="00306103" w:rsidP="00FA0D37">
      <w:pPr>
        <w:pStyle w:val="PL"/>
        <w:rPr>
          <w:color w:val="808080"/>
        </w:rPr>
      </w:pPr>
      <w:r w:rsidRPr="00FA0D37">
        <w:t xml:space="preserve">    usagePDC-r17                            </w:t>
      </w:r>
      <w:r w:rsidRPr="00FA0D37">
        <w:rPr>
          <w:color w:val="993366"/>
        </w:rPr>
        <w:t>ENUMERATED</w:t>
      </w:r>
      <w:r w:rsidRPr="00FA0D37">
        <w:t xml:space="preserve"> {true}                                              </w:t>
      </w:r>
      <w:r w:rsidRPr="00FA0D37">
        <w:rPr>
          <w:color w:val="993366"/>
        </w:rPr>
        <w:t>OPTIONAL</w:t>
      </w:r>
      <w:r w:rsidR="000F2B5F" w:rsidRPr="00FA0D37">
        <w:t>,</w:t>
      </w:r>
      <w:r w:rsidRPr="00FA0D37">
        <w:t xml:space="preserve"> </w:t>
      </w:r>
      <w:r w:rsidRPr="00FA0D37">
        <w:rPr>
          <w:color w:val="808080"/>
        </w:rPr>
        <w:t>-- Need R</w:t>
      </w:r>
    </w:p>
    <w:p w14:paraId="1584C5A8" w14:textId="136EFC57" w:rsidR="000F2B5F" w:rsidRPr="00FA0D37" w:rsidRDefault="000F2B5F" w:rsidP="00FA0D37">
      <w:pPr>
        <w:pStyle w:val="PL"/>
        <w:rPr>
          <w:color w:val="808080"/>
        </w:rPr>
      </w:pPr>
      <w:r w:rsidRPr="00FA0D37">
        <w:t xml:space="preserve">    availableSlotOffsetList-r17             </w:t>
      </w:r>
      <w:r w:rsidRPr="00FA0D37">
        <w:rPr>
          <w:color w:val="993366"/>
        </w:rPr>
        <w:t>SEQUENCE</w:t>
      </w:r>
      <w:r w:rsidRPr="00FA0D37">
        <w:t xml:space="preserve"> (</w:t>
      </w:r>
      <w:r w:rsidRPr="00FA0D37">
        <w:rPr>
          <w:color w:val="993366"/>
        </w:rPr>
        <w:t>SIZE</w:t>
      </w:r>
      <w:r w:rsidRPr="00FA0D37">
        <w:t>(1..4))</w:t>
      </w:r>
      <w:r w:rsidRPr="00FA0D37">
        <w:rPr>
          <w:color w:val="993366"/>
        </w:rPr>
        <w:t xml:space="preserve"> OF</w:t>
      </w:r>
      <w:r w:rsidRPr="00FA0D37">
        <w:t xml:space="preserve"> AvailableSlotOffset-r17               </w:t>
      </w:r>
      <w:r w:rsidRPr="00FA0D37">
        <w:rPr>
          <w:color w:val="993366"/>
        </w:rPr>
        <w:t>OPTIONAL</w:t>
      </w:r>
      <w:r w:rsidRPr="00FA0D37">
        <w:t xml:space="preserve">, </w:t>
      </w:r>
      <w:r w:rsidRPr="00FA0D37">
        <w:rPr>
          <w:color w:val="808080"/>
        </w:rPr>
        <w:t>-- Need R</w:t>
      </w:r>
    </w:p>
    <w:p w14:paraId="13F943DD" w14:textId="498CA7DF" w:rsidR="000F2B5F" w:rsidRPr="00FA0D37" w:rsidRDefault="000F2B5F" w:rsidP="00FA0D37">
      <w:pPr>
        <w:pStyle w:val="PL"/>
        <w:rPr>
          <w:color w:val="808080"/>
        </w:rPr>
      </w:pPr>
      <w:r w:rsidRPr="00FA0D37">
        <w:t xml:space="preserve">    followUnifiedTCI</w:t>
      </w:r>
      <w:r w:rsidR="005D46C6" w:rsidRPr="00FA0D37">
        <w:t>-S</w:t>
      </w:r>
      <w:r w:rsidRPr="00FA0D37">
        <w:t xml:space="preserve">tateSRS-r17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17E428D2" w14:textId="25DC6AC8" w:rsidR="00394471" w:rsidRPr="00FA0D37" w:rsidRDefault="00306103" w:rsidP="00FA0D37">
      <w:pPr>
        <w:pStyle w:val="PL"/>
      </w:pPr>
      <w:r w:rsidRPr="00FA0D37">
        <w:t xml:space="preserve">    ]]</w:t>
      </w:r>
    </w:p>
    <w:p w14:paraId="26FEC60D" w14:textId="77777777" w:rsidR="00394471" w:rsidRPr="00FA0D37" w:rsidRDefault="00394471" w:rsidP="00FA0D37">
      <w:pPr>
        <w:pStyle w:val="PL"/>
      </w:pPr>
      <w:r w:rsidRPr="00FA0D37">
        <w:t>}</w:t>
      </w:r>
    </w:p>
    <w:p w14:paraId="17009853" w14:textId="77777777" w:rsidR="00394471" w:rsidRPr="00FA0D37" w:rsidRDefault="00394471" w:rsidP="00FA0D37">
      <w:pPr>
        <w:pStyle w:val="PL"/>
      </w:pPr>
    </w:p>
    <w:p w14:paraId="09DB43D7" w14:textId="77777777" w:rsidR="000F2B5F" w:rsidRPr="00FA0D37" w:rsidRDefault="000F2B5F" w:rsidP="00FA0D37">
      <w:pPr>
        <w:pStyle w:val="PL"/>
      </w:pPr>
      <w:r w:rsidRPr="00FA0D37">
        <w:t xml:space="preserve">AvailableSlotOffset-r17 ::=   </w:t>
      </w:r>
      <w:r w:rsidRPr="00FA0D37">
        <w:rPr>
          <w:color w:val="993366"/>
        </w:rPr>
        <w:t>INTEGER</w:t>
      </w:r>
      <w:r w:rsidRPr="00FA0D37">
        <w:t xml:space="preserve"> (0..7)</w:t>
      </w:r>
    </w:p>
    <w:p w14:paraId="3BC65444" w14:textId="77777777" w:rsidR="000F2B5F" w:rsidRPr="00FA0D37" w:rsidRDefault="000F2B5F" w:rsidP="00FA0D37">
      <w:pPr>
        <w:pStyle w:val="PL"/>
      </w:pPr>
    </w:p>
    <w:p w14:paraId="0CE05317" w14:textId="77777777" w:rsidR="00394471" w:rsidRPr="00FA0D37" w:rsidRDefault="00394471" w:rsidP="00FA0D37">
      <w:pPr>
        <w:pStyle w:val="PL"/>
      </w:pPr>
      <w:r w:rsidRPr="00FA0D37">
        <w:t xml:space="preserve">PathlossReferenceRS-Config ::=              </w:t>
      </w:r>
      <w:r w:rsidRPr="00FA0D37">
        <w:rPr>
          <w:color w:val="993366"/>
        </w:rPr>
        <w:t>CHOICE</w:t>
      </w:r>
      <w:r w:rsidRPr="00FA0D37">
        <w:t xml:space="preserve"> {</w:t>
      </w:r>
    </w:p>
    <w:p w14:paraId="14E04FE8" w14:textId="77777777" w:rsidR="00394471" w:rsidRPr="00FA0D37" w:rsidRDefault="00394471" w:rsidP="00FA0D37">
      <w:pPr>
        <w:pStyle w:val="PL"/>
      </w:pPr>
      <w:r w:rsidRPr="00FA0D37">
        <w:t xml:space="preserve">    ssb-Index                                   SSB-Index,</w:t>
      </w:r>
    </w:p>
    <w:p w14:paraId="7C6633BF" w14:textId="77777777" w:rsidR="00394471" w:rsidRPr="00FA0D37" w:rsidRDefault="00394471" w:rsidP="00FA0D37">
      <w:pPr>
        <w:pStyle w:val="PL"/>
      </w:pPr>
      <w:r w:rsidRPr="00FA0D37">
        <w:t xml:space="preserve">    csi-RS-Index                                NZP-CSI-RS-ResourceId</w:t>
      </w:r>
    </w:p>
    <w:p w14:paraId="77DC16A0" w14:textId="77777777" w:rsidR="00394471" w:rsidRPr="00FA0D37" w:rsidRDefault="00394471" w:rsidP="00FA0D37">
      <w:pPr>
        <w:pStyle w:val="PL"/>
      </w:pPr>
      <w:r w:rsidRPr="00FA0D37">
        <w:t>}</w:t>
      </w:r>
    </w:p>
    <w:p w14:paraId="515CFC39" w14:textId="77777777" w:rsidR="00394471" w:rsidRPr="00FA0D37" w:rsidRDefault="00394471" w:rsidP="00FA0D37">
      <w:pPr>
        <w:pStyle w:val="PL"/>
      </w:pPr>
    </w:p>
    <w:p w14:paraId="7744F989" w14:textId="77777777" w:rsidR="00394471" w:rsidRPr="00FA0D37" w:rsidRDefault="00394471" w:rsidP="00FA0D37">
      <w:pPr>
        <w:pStyle w:val="PL"/>
      </w:pPr>
      <w:r w:rsidRPr="00FA0D37">
        <w:t xml:space="preserve">PathlossReferenceRSList-r16 ::=             </w:t>
      </w:r>
      <w:r w:rsidRPr="00FA0D37">
        <w:rPr>
          <w:color w:val="993366"/>
        </w:rPr>
        <w:t>SEQUENCE</w:t>
      </w:r>
      <w:r w:rsidRPr="00FA0D37">
        <w:t xml:space="preserve"> (</w:t>
      </w:r>
      <w:r w:rsidRPr="00FA0D37">
        <w:rPr>
          <w:color w:val="993366"/>
        </w:rPr>
        <w:t>SIZE</w:t>
      </w:r>
      <w:r w:rsidRPr="00FA0D37">
        <w:t xml:space="preserve"> (1..maxNrofSRS-PathlossReferenceRS-r16))</w:t>
      </w:r>
      <w:r w:rsidRPr="00FA0D37">
        <w:rPr>
          <w:color w:val="993366"/>
        </w:rPr>
        <w:t xml:space="preserve"> OF</w:t>
      </w:r>
      <w:r w:rsidRPr="00FA0D37">
        <w:t xml:space="preserve"> PathlossReferenceRS-r16</w:t>
      </w:r>
    </w:p>
    <w:p w14:paraId="2C25ED03" w14:textId="77777777" w:rsidR="00394471" w:rsidRPr="00FA0D37" w:rsidRDefault="00394471" w:rsidP="00FA0D37">
      <w:pPr>
        <w:pStyle w:val="PL"/>
      </w:pPr>
    </w:p>
    <w:p w14:paraId="460269D3" w14:textId="77777777" w:rsidR="00394471" w:rsidRPr="00FA0D37" w:rsidRDefault="00394471" w:rsidP="00FA0D37">
      <w:pPr>
        <w:pStyle w:val="PL"/>
      </w:pPr>
      <w:r w:rsidRPr="00FA0D37">
        <w:t xml:space="preserve">PathlossReferenceRS-r16 ::=                 </w:t>
      </w:r>
      <w:r w:rsidRPr="00FA0D37">
        <w:rPr>
          <w:color w:val="993366"/>
        </w:rPr>
        <w:t>SEQUENCE</w:t>
      </w:r>
      <w:r w:rsidRPr="00FA0D37">
        <w:t xml:space="preserve"> {</w:t>
      </w:r>
    </w:p>
    <w:p w14:paraId="65A2A668" w14:textId="77777777" w:rsidR="00394471" w:rsidRPr="00FA0D37" w:rsidRDefault="00394471" w:rsidP="00FA0D37">
      <w:pPr>
        <w:pStyle w:val="PL"/>
      </w:pPr>
      <w:r w:rsidRPr="00FA0D37">
        <w:t xml:space="preserve">    srs-PathlossReferenceRS-Id-r16              SRS-PathlossReferenceRS-Id-r16,</w:t>
      </w:r>
    </w:p>
    <w:p w14:paraId="2BD6CD0F" w14:textId="77777777" w:rsidR="00394471" w:rsidRPr="00FA0D37" w:rsidRDefault="00394471" w:rsidP="00FA0D37">
      <w:pPr>
        <w:pStyle w:val="PL"/>
      </w:pPr>
      <w:r w:rsidRPr="00FA0D37">
        <w:t xml:space="preserve">    pathlossReferenceRS-r16                     PathlossReferenceRS-Config</w:t>
      </w:r>
    </w:p>
    <w:p w14:paraId="6A8573CA" w14:textId="77777777" w:rsidR="00394471" w:rsidRPr="00FA0D37" w:rsidRDefault="00394471" w:rsidP="00FA0D37">
      <w:pPr>
        <w:pStyle w:val="PL"/>
      </w:pPr>
      <w:r w:rsidRPr="00FA0D37">
        <w:t>}</w:t>
      </w:r>
    </w:p>
    <w:p w14:paraId="1CB80731" w14:textId="77777777" w:rsidR="00394471" w:rsidRPr="00FA0D37" w:rsidRDefault="00394471" w:rsidP="00FA0D37">
      <w:pPr>
        <w:pStyle w:val="PL"/>
      </w:pPr>
    </w:p>
    <w:p w14:paraId="5AF8B179" w14:textId="77777777" w:rsidR="00394471" w:rsidRPr="00FA0D37" w:rsidRDefault="00394471" w:rsidP="00FA0D37">
      <w:pPr>
        <w:pStyle w:val="PL"/>
      </w:pPr>
      <w:r w:rsidRPr="00FA0D37">
        <w:t xml:space="preserve">SRS-PathlossReferenceRS-Id-r16 ::=          </w:t>
      </w:r>
      <w:r w:rsidRPr="00FA0D37">
        <w:rPr>
          <w:color w:val="993366"/>
        </w:rPr>
        <w:t>INTEGER</w:t>
      </w:r>
      <w:r w:rsidRPr="00FA0D37">
        <w:t xml:space="preserve"> (0..maxNrofSRS-PathlossReferenceRS-1-r16)</w:t>
      </w:r>
    </w:p>
    <w:p w14:paraId="11BD6486" w14:textId="77777777" w:rsidR="00394471" w:rsidRPr="00FA0D37" w:rsidRDefault="00394471" w:rsidP="00FA0D37">
      <w:pPr>
        <w:pStyle w:val="PL"/>
      </w:pPr>
    </w:p>
    <w:p w14:paraId="29C61BEF" w14:textId="77777777" w:rsidR="00394471" w:rsidRPr="00FA0D37" w:rsidRDefault="00394471" w:rsidP="00FA0D37">
      <w:pPr>
        <w:pStyle w:val="PL"/>
      </w:pPr>
      <w:r w:rsidRPr="00FA0D37">
        <w:t xml:space="preserve">SRS-PosResourceSet-r16 ::=                  </w:t>
      </w:r>
      <w:r w:rsidRPr="00FA0D37">
        <w:rPr>
          <w:color w:val="993366"/>
        </w:rPr>
        <w:t>SEQUENCE</w:t>
      </w:r>
      <w:r w:rsidRPr="00FA0D37">
        <w:t xml:space="preserve"> {</w:t>
      </w:r>
    </w:p>
    <w:p w14:paraId="302A5C98" w14:textId="77777777" w:rsidR="00394471" w:rsidRPr="00FA0D37" w:rsidRDefault="00394471" w:rsidP="00FA0D37">
      <w:pPr>
        <w:pStyle w:val="PL"/>
      </w:pPr>
      <w:r w:rsidRPr="00FA0D37">
        <w:t xml:space="preserve">    srs-PosResourceSetId-r16                    SRS-PosResourceSetId-r16,</w:t>
      </w:r>
    </w:p>
    <w:p w14:paraId="642EF29B" w14:textId="77777777" w:rsidR="00394471" w:rsidRPr="00FA0D37" w:rsidRDefault="00394471" w:rsidP="00FA0D37">
      <w:pPr>
        <w:pStyle w:val="PL"/>
      </w:pPr>
      <w:r w:rsidRPr="00FA0D37">
        <w:t xml:space="preserve">    srs-PosResourceIdList-r16                   </w:t>
      </w:r>
      <w:r w:rsidRPr="00FA0D37">
        <w:rPr>
          <w:color w:val="993366"/>
        </w:rPr>
        <w:t>SEQUENCE</w:t>
      </w:r>
      <w:r w:rsidRPr="00FA0D37">
        <w:t xml:space="preserve"> (</w:t>
      </w:r>
      <w:r w:rsidRPr="00FA0D37">
        <w:rPr>
          <w:color w:val="993366"/>
        </w:rPr>
        <w:t>SIZE</w:t>
      </w:r>
      <w:r w:rsidRPr="00FA0D37">
        <w:t>(1..maxNrofSRS-ResourcesPerSet))</w:t>
      </w:r>
      <w:r w:rsidRPr="00FA0D37">
        <w:rPr>
          <w:color w:val="993366"/>
        </w:rPr>
        <w:t xml:space="preserve"> OF</w:t>
      </w:r>
      <w:r w:rsidRPr="00FA0D37">
        <w:t xml:space="preserve"> SRS-PosResourceId-r16</w:t>
      </w:r>
    </w:p>
    <w:p w14:paraId="781E17C5"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Cond Setup</w:t>
      </w:r>
    </w:p>
    <w:p w14:paraId="3582DD3F" w14:textId="77777777" w:rsidR="00394471" w:rsidRPr="00FA0D37" w:rsidRDefault="00394471" w:rsidP="00FA0D37">
      <w:pPr>
        <w:pStyle w:val="PL"/>
      </w:pPr>
      <w:r w:rsidRPr="00FA0D37">
        <w:t xml:space="preserve">    resourceType-r16                            </w:t>
      </w:r>
      <w:r w:rsidRPr="00FA0D37">
        <w:rPr>
          <w:color w:val="993366"/>
        </w:rPr>
        <w:t>CHOICE</w:t>
      </w:r>
      <w:r w:rsidRPr="00FA0D37">
        <w:t xml:space="preserve"> {</w:t>
      </w:r>
    </w:p>
    <w:p w14:paraId="786E9D50" w14:textId="77777777" w:rsidR="00394471" w:rsidRPr="00FA0D37" w:rsidRDefault="00394471" w:rsidP="00FA0D37">
      <w:pPr>
        <w:pStyle w:val="PL"/>
      </w:pPr>
      <w:r w:rsidRPr="00FA0D37">
        <w:t xml:space="preserve">        aperiodic-r16                               </w:t>
      </w:r>
      <w:r w:rsidRPr="00FA0D37">
        <w:rPr>
          <w:color w:val="993366"/>
        </w:rPr>
        <w:t>SEQUENCE</w:t>
      </w:r>
      <w:r w:rsidRPr="00FA0D37">
        <w:t xml:space="preserve"> {</w:t>
      </w:r>
    </w:p>
    <w:p w14:paraId="469607B0" w14:textId="77777777" w:rsidR="00394471" w:rsidRPr="00FA0D37" w:rsidRDefault="00394471" w:rsidP="00FA0D37">
      <w:pPr>
        <w:pStyle w:val="PL"/>
      </w:pPr>
      <w:r w:rsidRPr="00FA0D37">
        <w:t xml:space="preserve">            aperiodicSRS-ResourceTriggerList-r16        </w:t>
      </w:r>
      <w:r w:rsidRPr="00FA0D37">
        <w:rPr>
          <w:color w:val="993366"/>
        </w:rPr>
        <w:t>SEQUENCE</w:t>
      </w:r>
      <w:r w:rsidRPr="00FA0D37">
        <w:t xml:space="preserve"> (</w:t>
      </w:r>
      <w:r w:rsidRPr="00FA0D37">
        <w:rPr>
          <w:color w:val="993366"/>
        </w:rPr>
        <w:t>SIZE</w:t>
      </w:r>
      <w:r w:rsidRPr="00FA0D37">
        <w:t>(1..maxNrofSRS-TriggerStates-1))</w:t>
      </w:r>
    </w:p>
    <w:p w14:paraId="04B1CE12" w14:textId="77777777" w:rsidR="00394471" w:rsidRPr="00FA0D37" w:rsidRDefault="00394471" w:rsidP="00FA0D37">
      <w:pPr>
        <w:pStyle w:val="PL"/>
        <w:rPr>
          <w:color w:val="808080"/>
        </w:rPr>
      </w:pPr>
      <w:r w:rsidRPr="00FA0D37">
        <w:lastRenderedPageBreak/>
        <w:t xml:space="preserve">                                                           </w:t>
      </w:r>
      <w:r w:rsidRPr="00FA0D37">
        <w:rPr>
          <w:color w:val="993366"/>
        </w:rPr>
        <w:t xml:space="preserve"> OF</w:t>
      </w:r>
      <w:r w:rsidRPr="00FA0D37">
        <w:t xml:space="preserve"> </w:t>
      </w:r>
      <w:r w:rsidRPr="00FA0D37">
        <w:rPr>
          <w:color w:val="993366"/>
        </w:rPr>
        <w:t>INTEGER</w:t>
      </w:r>
      <w:r w:rsidRPr="00FA0D37">
        <w:t xml:space="preserve"> (1..maxNrofSRS-TriggerStates-1)     </w:t>
      </w:r>
      <w:r w:rsidRPr="00FA0D37">
        <w:rPr>
          <w:color w:val="993366"/>
        </w:rPr>
        <w:t>OPTIONAL</w:t>
      </w:r>
      <w:r w:rsidRPr="00FA0D37">
        <w:t xml:space="preserve">, </w:t>
      </w:r>
      <w:r w:rsidRPr="00FA0D37">
        <w:rPr>
          <w:color w:val="808080"/>
        </w:rPr>
        <w:t>-- Need M</w:t>
      </w:r>
    </w:p>
    <w:p w14:paraId="343B47EE" w14:textId="77777777" w:rsidR="00394471" w:rsidRPr="00FA0D37" w:rsidRDefault="00394471" w:rsidP="00FA0D37">
      <w:pPr>
        <w:pStyle w:val="PL"/>
      </w:pPr>
      <w:r w:rsidRPr="00FA0D37">
        <w:t xml:space="preserve">            ...</w:t>
      </w:r>
    </w:p>
    <w:p w14:paraId="6143428F" w14:textId="77777777" w:rsidR="00394471" w:rsidRPr="00FA0D37" w:rsidRDefault="00394471" w:rsidP="00FA0D37">
      <w:pPr>
        <w:pStyle w:val="PL"/>
      </w:pPr>
      <w:r w:rsidRPr="00FA0D37">
        <w:t xml:space="preserve">        },</w:t>
      </w:r>
    </w:p>
    <w:p w14:paraId="6C5D64A1" w14:textId="77777777" w:rsidR="00394471" w:rsidRPr="00FA0D37" w:rsidRDefault="00394471" w:rsidP="00FA0D37">
      <w:pPr>
        <w:pStyle w:val="PL"/>
      </w:pPr>
      <w:r w:rsidRPr="00FA0D37">
        <w:t xml:space="preserve">        semi-persistent-r16                         </w:t>
      </w:r>
      <w:r w:rsidRPr="00FA0D37">
        <w:rPr>
          <w:color w:val="993366"/>
        </w:rPr>
        <w:t>SEQUENCE</w:t>
      </w:r>
      <w:r w:rsidRPr="00FA0D37">
        <w:t xml:space="preserve"> {</w:t>
      </w:r>
    </w:p>
    <w:p w14:paraId="55EA57EB" w14:textId="77777777" w:rsidR="00394471" w:rsidRPr="00FA0D37" w:rsidRDefault="00394471" w:rsidP="00FA0D37">
      <w:pPr>
        <w:pStyle w:val="PL"/>
      </w:pPr>
      <w:r w:rsidRPr="00FA0D37">
        <w:t xml:space="preserve">            ...</w:t>
      </w:r>
    </w:p>
    <w:p w14:paraId="1A3BADB6" w14:textId="77777777" w:rsidR="00394471" w:rsidRPr="00FA0D37" w:rsidRDefault="00394471" w:rsidP="00FA0D37">
      <w:pPr>
        <w:pStyle w:val="PL"/>
      </w:pPr>
      <w:r w:rsidRPr="00FA0D37">
        <w:t xml:space="preserve">        },</w:t>
      </w:r>
    </w:p>
    <w:p w14:paraId="7E83E2B3" w14:textId="77777777" w:rsidR="00394471" w:rsidRPr="00FA0D37" w:rsidRDefault="00394471" w:rsidP="00FA0D37">
      <w:pPr>
        <w:pStyle w:val="PL"/>
      </w:pPr>
      <w:r w:rsidRPr="00FA0D37">
        <w:t xml:space="preserve">        periodic-r16                                </w:t>
      </w:r>
      <w:r w:rsidRPr="00FA0D37">
        <w:rPr>
          <w:color w:val="993366"/>
        </w:rPr>
        <w:t>SEQUENCE</w:t>
      </w:r>
      <w:r w:rsidRPr="00FA0D37">
        <w:t xml:space="preserve"> {</w:t>
      </w:r>
    </w:p>
    <w:p w14:paraId="249CE716" w14:textId="77777777" w:rsidR="00394471" w:rsidRPr="00FA0D37" w:rsidRDefault="00394471" w:rsidP="00FA0D37">
      <w:pPr>
        <w:pStyle w:val="PL"/>
      </w:pPr>
      <w:r w:rsidRPr="00FA0D37">
        <w:t xml:space="preserve">            ...</w:t>
      </w:r>
    </w:p>
    <w:p w14:paraId="325A0CC9" w14:textId="77777777" w:rsidR="00394471" w:rsidRPr="00FA0D37" w:rsidRDefault="00394471" w:rsidP="00FA0D37">
      <w:pPr>
        <w:pStyle w:val="PL"/>
      </w:pPr>
      <w:r w:rsidRPr="00FA0D37">
        <w:t xml:space="preserve">        }</w:t>
      </w:r>
    </w:p>
    <w:p w14:paraId="43A95409" w14:textId="77777777" w:rsidR="00394471" w:rsidRPr="00FA0D37" w:rsidRDefault="00394471" w:rsidP="00FA0D37">
      <w:pPr>
        <w:pStyle w:val="PL"/>
      </w:pPr>
      <w:r w:rsidRPr="00FA0D37">
        <w:t xml:space="preserve">    },</w:t>
      </w:r>
    </w:p>
    <w:p w14:paraId="5209AF04" w14:textId="77777777" w:rsidR="00394471" w:rsidRPr="00FA0D37" w:rsidRDefault="00394471" w:rsidP="00FA0D37">
      <w:pPr>
        <w:pStyle w:val="PL"/>
        <w:rPr>
          <w:color w:val="808080"/>
        </w:rPr>
      </w:pPr>
      <w:r w:rsidRPr="00FA0D37">
        <w:t xml:space="preserve">    alpha-r16                                   Alpha                                                      </w:t>
      </w:r>
      <w:r w:rsidRPr="00FA0D37">
        <w:rPr>
          <w:color w:val="993366"/>
        </w:rPr>
        <w:t>OPTIONAL</w:t>
      </w:r>
      <w:r w:rsidRPr="00FA0D37">
        <w:t xml:space="preserve">, </w:t>
      </w:r>
      <w:r w:rsidRPr="00FA0D37">
        <w:rPr>
          <w:color w:val="808080"/>
        </w:rPr>
        <w:t>-- Need S</w:t>
      </w:r>
    </w:p>
    <w:p w14:paraId="588C0CCF" w14:textId="77777777" w:rsidR="00394471" w:rsidRPr="00FA0D37" w:rsidRDefault="00394471" w:rsidP="00FA0D37">
      <w:pPr>
        <w:pStyle w:val="PL"/>
        <w:rPr>
          <w:color w:val="808080"/>
        </w:rPr>
      </w:pPr>
      <w:r w:rsidRPr="00FA0D37">
        <w:t xml:space="preserve">    p0-r16                                      </w:t>
      </w:r>
      <w:r w:rsidRPr="00FA0D37">
        <w:rPr>
          <w:color w:val="993366"/>
        </w:rPr>
        <w:t>INTEGER</w:t>
      </w:r>
      <w:r w:rsidRPr="00FA0D37">
        <w:t xml:space="preserve"> (-202..24)                                         </w:t>
      </w:r>
      <w:r w:rsidRPr="00FA0D37">
        <w:rPr>
          <w:color w:val="993366"/>
        </w:rPr>
        <w:t>OPTIONAL</w:t>
      </w:r>
      <w:r w:rsidRPr="00FA0D37">
        <w:t xml:space="preserve">, </w:t>
      </w:r>
      <w:r w:rsidRPr="00FA0D37">
        <w:rPr>
          <w:color w:val="808080"/>
        </w:rPr>
        <w:t>-- Cond Setup</w:t>
      </w:r>
    </w:p>
    <w:p w14:paraId="0FD451AB" w14:textId="77777777" w:rsidR="00394471" w:rsidRPr="00FA0D37" w:rsidRDefault="00394471" w:rsidP="00FA0D37">
      <w:pPr>
        <w:pStyle w:val="PL"/>
      </w:pPr>
      <w:r w:rsidRPr="00FA0D37">
        <w:t xml:space="preserve">    pathlossReferenceRS-Pos-r16                 </w:t>
      </w:r>
      <w:r w:rsidRPr="00FA0D37">
        <w:rPr>
          <w:color w:val="993366"/>
        </w:rPr>
        <w:t>CHOICE</w:t>
      </w:r>
      <w:r w:rsidRPr="00FA0D37">
        <w:t xml:space="preserve"> {</w:t>
      </w:r>
    </w:p>
    <w:p w14:paraId="5F4DD93F" w14:textId="77777777" w:rsidR="00394471" w:rsidRPr="00FA0D37" w:rsidRDefault="00394471" w:rsidP="00FA0D37">
      <w:pPr>
        <w:pStyle w:val="PL"/>
      </w:pPr>
      <w:r w:rsidRPr="00FA0D37">
        <w:t xml:space="preserve">        ssb-IndexServing-r16                        SSB-Index,</w:t>
      </w:r>
    </w:p>
    <w:p w14:paraId="489434B5" w14:textId="77777777" w:rsidR="00394471" w:rsidRPr="00FA0D37" w:rsidRDefault="00394471" w:rsidP="00FA0D37">
      <w:pPr>
        <w:pStyle w:val="PL"/>
      </w:pPr>
      <w:r w:rsidRPr="00FA0D37">
        <w:t xml:space="preserve">        ssb-Ncell-r16                               SSB-InfoNcell-r16,</w:t>
      </w:r>
    </w:p>
    <w:p w14:paraId="78B6D007" w14:textId="77777777" w:rsidR="00394471" w:rsidRPr="00FA0D37" w:rsidRDefault="00394471" w:rsidP="00FA0D37">
      <w:pPr>
        <w:pStyle w:val="PL"/>
      </w:pPr>
      <w:r w:rsidRPr="00FA0D37">
        <w:t xml:space="preserve">        dl-PRS-r16                                  DL-PRS-Info-r16</w:t>
      </w:r>
    </w:p>
    <w:p w14:paraId="1857994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73A0E314" w14:textId="77777777" w:rsidR="00394471" w:rsidRPr="00FA0D37" w:rsidRDefault="00394471" w:rsidP="00FA0D37">
      <w:pPr>
        <w:pStyle w:val="PL"/>
      </w:pPr>
      <w:r w:rsidRPr="00FA0D37">
        <w:t xml:space="preserve">    </w:t>
      </w:r>
      <w:r w:rsidRPr="00FA0D37">
        <w:rPr>
          <w:rFonts w:eastAsiaTheme="minorEastAsia"/>
        </w:rPr>
        <w:t>...</w:t>
      </w:r>
    </w:p>
    <w:p w14:paraId="7E347ABC" w14:textId="77777777" w:rsidR="00394471" w:rsidRPr="00FA0D37" w:rsidRDefault="00394471" w:rsidP="00FA0D37">
      <w:pPr>
        <w:pStyle w:val="PL"/>
      </w:pPr>
      <w:r w:rsidRPr="00FA0D37">
        <w:t>}</w:t>
      </w:r>
    </w:p>
    <w:p w14:paraId="3E5583E5" w14:textId="77777777" w:rsidR="00394471" w:rsidRPr="00FA0D37" w:rsidRDefault="00394471" w:rsidP="00FA0D37">
      <w:pPr>
        <w:pStyle w:val="PL"/>
      </w:pPr>
    </w:p>
    <w:p w14:paraId="71B1BCEF" w14:textId="77777777" w:rsidR="00394471" w:rsidRPr="00FA0D37" w:rsidRDefault="00394471" w:rsidP="00FA0D37">
      <w:pPr>
        <w:pStyle w:val="PL"/>
      </w:pPr>
      <w:r w:rsidRPr="00FA0D37">
        <w:t xml:space="preserve">SRS-ResourceSetId ::=                   </w:t>
      </w:r>
      <w:r w:rsidRPr="00FA0D37">
        <w:rPr>
          <w:color w:val="993366"/>
        </w:rPr>
        <w:t>INTEGER</w:t>
      </w:r>
      <w:r w:rsidRPr="00FA0D37">
        <w:t xml:space="preserve"> (0..maxNrofSRS-ResourceSets-1)</w:t>
      </w:r>
    </w:p>
    <w:p w14:paraId="4AAA075F" w14:textId="77777777" w:rsidR="00394471" w:rsidRPr="00FA0D37" w:rsidRDefault="00394471" w:rsidP="00FA0D37">
      <w:pPr>
        <w:pStyle w:val="PL"/>
      </w:pPr>
    </w:p>
    <w:p w14:paraId="77E9ACBD" w14:textId="77777777" w:rsidR="00394471" w:rsidRPr="00FA0D37" w:rsidRDefault="00394471" w:rsidP="00FA0D37">
      <w:pPr>
        <w:pStyle w:val="PL"/>
      </w:pPr>
      <w:r w:rsidRPr="00FA0D37">
        <w:t xml:space="preserve">SRS-PosResourceSetId-r16 ::=            </w:t>
      </w:r>
      <w:r w:rsidRPr="00FA0D37">
        <w:rPr>
          <w:color w:val="993366"/>
        </w:rPr>
        <w:t>INTEGER</w:t>
      </w:r>
      <w:r w:rsidRPr="00FA0D37">
        <w:t xml:space="preserve"> (0..maxNrofSRS-PosResourceSets-1-r16)</w:t>
      </w:r>
    </w:p>
    <w:p w14:paraId="5A94B7B5" w14:textId="77777777" w:rsidR="00394471" w:rsidRPr="00FA0D37" w:rsidRDefault="00394471" w:rsidP="00FA0D37">
      <w:pPr>
        <w:pStyle w:val="PL"/>
      </w:pPr>
    </w:p>
    <w:p w14:paraId="16588E12" w14:textId="77777777" w:rsidR="00394471" w:rsidRPr="00FA0D37" w:rsidRDefault="00394471" w:rsidP="00FA0D37">
      <w:pPr>
        <w:pStyle w:val="PL"/>
      </w:pPr>
      <w:r w:rsidRPr="00FA0D37">
        <w:t xml:space="preserve">SRS-Resource ::=                        </w:t>
      </w:r>
      <w:r w:rsidRPr="00FA0D37">
        <w:rPr>
          <w:color w:val="993366"/>
        </w:rPr>
        <w:t>SEQUENCE</w:t>
      </w:r>
      <w:r w:rsidRPr="00FA0D37">
        <w:t xml:space="preserve"> {</w:t>
      </w:r>
    </w:p>
    <w:p w14:paraId="5E4F10EB" w14:textId="77777777" w:rsidR="00394471" w:rsidRPr="00FA0D37" w:rsidRDefault="00394471" w:rsidP="00FA0D37">
      <w:pPr>
        <w:pStyle w:val="PL"/>
      </w:pPr>
      <w:r w:rsidRPr="00FA0D37">
        <w:t xml:space="preserve">    srs-ResourceId                          SRS-ResourceId,</w:t>
      </w:r>
    </w:p>
    <w:p w14:paraId="1A48F30C" w14:textId="77777777" w:rsidR="00394471" w:rsidRPr="00FA0D37" w:rsidRDefault="00394471" w:rsidP="00FA0D37">
      <w:pPr>
        <w:pStyle w:val="PL"/>
      </w:pPr>
      <w:r w:rsidRPr="00FA0D37">
        <w:t xml:space="preserve">    nrofSRS-Ports                           </w:t>
      </w:r>
      <w:r w:rsidRPr="00FA0D37">
        <w:rPr>
          <w:color w:val="993366"/>
        </w:rPr>
        <w:t>ENUMERATED</w:t>
      </w:r>
      <w:r w:rsidRPr="00FA0D37">
        <w:t xml:space="preserve"> {port1, ports2, ports4},</w:t>
      </w:r>
    </w:p>
    <w:p w14:paraId="7BA0C782" w14:textId="77777777" w:rsidR="00394471" w:rsidRPr="00FA0D37" w:rsidRDefault="00394471" w:rsidP="00FA0D37">
      <w:pPr>
        <w:pStyle w:val="PL"/>
        <w:rPr>
          <w:color w:val="808080"/>
        </w:rPr>
      </w:pPr>
      <w:r w:rsidRPr="00FA0D37">
        <w:t xml:space="preserve">    ptrs-PortIndex                          </w:t>
      </w:r>
      <w:r w:rsidRPr="00FA0D37">
        <w:rPr>
          <w:color w:val="993366"/>
        </w:rPr>
        <w:t>ENUMERATED</w:t>
      </w:r>
      <w:r w:rsidRPr="00FA0D37">
        <w:t xml:space="preserve"> {n0, n1 }                                           </w:t>
      </w:r>
      <w:r w:rsidRPr="00FA0D37">
        <w:rPr>
          <w:color w:val="993366"/>
        </w:rPr>
        <w:t>OPTIONAL</w:t>
      </w:r>
      <w:r w:rsidRPr="00FA0D37">
        <w:t xml:space="preserve">,   </w:t>
      </w:r>
      <w:r w:rsidRPr="00FA0D37">
        <w:rPr>
          <w:color w:val="808080"/>
        </w:rPr>
        <w:t>-- Need R</w:t>
      </w:r>
    </w:p>
    <w:p w14:paraId="6212B040" w14:textId="77777777" w:rsidR="00394471" w:rsidRPr="00FA0D37" w:rsidRDefault="00394471" w:rsidP="00FA0D37">
      <w:pPr>
        <w:pStyle w:val="PL"/>
      </w:pPr>
      <w:r w:rsidRPr="00FA0D37">
        <w:t xml:space="preserve">    transmissionComb                        </w:t>
      </w:r>
      <w:r w:rsidRPr="00FA0D37">
        <w:rPr>
          <w:color w:val="993366"/>
        </w:rPr>
        <w:t>CHOICE</w:t>
      </w:r>
      <w:r w:rsidRPr="00FA0D37">
        <w:t xml:space="preserve"> {</w:t>
      </w:r>
    </w:p>
    <w:p w14:paraId="020061FE" w14:textId="77777777" w:rsidR="00394471" w:rsidRPr="00FA0D37" w:rsidRDefault="00394471" w:rsidP="00FA0D37">
      <w:pPr>
        <w:pStyle w:val="PL"/>
      </w:pPr>
      <w:r w:rsidRPr="00FA0D37">
        <w:t xml:space="preserve">        n2                                      </w:t>
      </w:r>
      <w:r w:rsidRPr="00FA0D37">
        <w:rPr>
          <w:color w:val="993366"/>
        </w:rPr>
        <w:t>SEQUENCE</w:t>
      </w:r>
      <w:r w:rsidRPr="00FA0D37">
        <w:t xml:space="preserve"> {</w:t>
      </w:r>
    </w:p>
    <w:p w14:paraId="63BBFF79" w14:textId="77777777" w:rsidR="00394471" w:rsidRPr="00FA0D37" w:rsidRDefault="00394471" w:rsidP="00FA0D37">
      <w:pPr>
        <w:pStyle w:val="PL"/>
      </w:pPr>
      <w:r w:rsidRPr="00FA0D37">
        <w:t xml:space="preserve">            combOffset-n2                           </w:t>
      </w:r>
      <w:r w:rsidRPr="00FA0D37">
        <w:rPr>
          <w:color w:val="993366"/>
        </w:rPr>
        <w:t>INTEGER</w:t>
      </w:r>
      <w:r w:rsidRPr="00FA0D37">
        <w:t xml:space="preserve"> (0..1),</w:t>
      </w:r>
    </w:p>
    <w:p w14:paraId="3E44B9A0" w14:textId="77777777" w:rsidR="00394471" w:rsidRPr="00FA0D37" w:rsidRDefault="00394471" w:rsidP="00FA0D37">
      <w:pPr>
        <w:pStyle w:val="PL"/>
      </w:pPr>
      <w:r w:rsidRPr="00FA0D37">
        <w:t xml:space="preserve">            cyclicShift-n2                          </w:t>
      </w:r>
      <w:r w:rsidRPr="00FA0D37">
        <w:rPr>
          <w:color w:val="993366"/>
        </w:rPr>
        <w:t>INTEGER</w:t>
      </w:r>
      <w:r w:rsidRPr="00FA0D37">
        <w:t xml:space="preserve"> (0..7)</w:t>
      </w:r>
    </w:p>
    <w:p w14:paraId="6D91F27C" w14:textId="77777777" w:rsidR="00394471" w:rsidRPr="00FA0D37" w:rsidRDefault="00394471" w:rsidP="00FA0D37">
      <w:pPr>
        <w:pStyle w:val="PL"/>
      </w:pPr>
      <w:r w:rsidRPr="00FA0D37">
        <w:t xml:space="preserve">        },</w:t>
      </w:r>
    </w:p>
    <w:p w14:paraId="13106434" w14:textId="77777777" w:rsidR="00394471" w:rsidRPr="00FA0D37" w:rsidRDefault="00394471" w:rsidP="00FA0D37">
      <w:pPr>
        <w:pStyle w:val="PL"/>
      </w:pPr>
      <w:r w:rsidRPr="00FA0D37">
        <w:t xml:space="preserve">        n4                                      </w:t>
      </w:r>
      <w:r w:rsidRPr="00FA0D37">
        <w:rPr>
          <w:color w:val="993366"/>
        </w:rPr>
        <w:t>SEQUENCE</w:t>
      </w:r>
      <w:r w:rsidRPr="00FA0D37">
        <w:t xml:space="preserve"> {</w:t>
      </w:r>
    </w:p>
    <w:p w14:paraId="76E0DAC1" w14:textId="77777777" w:rsidR="00394471" w:rsidRPr="00FA0D37" w:rsidRDefault="00394471" w:rsidP="00FA0D37">
      <w:pPr>
        <w:pStyle w:val="PL"/>
      </w:pPr>
      <w:r w:rsidRPr="00FA0D37">
        <w:t xml:space="preserve">            combOffset-n4                           </w:t>
      </w:r>
      <w:r w:rsidRPr="00FA0D37">
        <w:rPr>
          <w:color w:val="993366"/>
        </w:rPr>
        <w:t>INTEGER</w:t>
      </w:r>
      <w:r w:rsidRPr="00FA0D37">
        <w:t xml:space="preserve"> (0..3),</w:t>
      </w:r>
    </w:p>
    <w:p w14:paraId="2B352356" w14:textId="77777777" w:rsidR="00394471" w:rsidRPr="00FA0D37" w:rsidRDefault="00394471" w:rsidP="00FA0D37">
      <w:pPr>
        <w:pStyle w:val="PL"/>
      </w:pPr>
      <w:r w:rsidRPr="00FA0D37">
        <w:t xml:space="preserve">            cyclicShift-n4                          </w:t>
      </w:r>
      <w:r w:rsidRPr="00FA0D37">
        <w:rPr>
          <w:color w:val="993366"/>
        </w:rPr>
        <w:t>INTEGER</w:t>
      </w:r>
      <w:r w:rsidRPr="00FA0D37">
        <w:t xml:space="preserve"> (0..11)</w:t>
      </w:r>
    </w:p>
    <w:p w14:paraId="30997295" w14:textId="77777777" w:rsidR="00394471" w:rsidRPr="00FA0D37" w:rsidRDefault="00394471" w:rsidP="00FA0D37">
      <w:pPr>
        <w:pStyle w:val="PL"/>
      </w:pPr>
      <w:r w:rsidRPr="00FA0D37">
        <w:t xml:space="preserve">        }</w:t>
      </w:r>
    </w:p>
    <w:p w14:paraId="09CD9DE4" w14:textId="77777777" w:rsidR="00394471" w:rsidRPr="00FA0D37" w:rsidRDefault="00394471" w:rsidP="00FA0D37">
      <w:pPr>
        <w:pStyle w:val="PL"/>
      </w:pPr>
      <w:r w:rsidRPr="00FA0D37">
        <w:t xml:space="preserve">    },</w:t>
      </w:r>
    </w:p>
    <w:p w14:paraId="302EEC8D" w14:textId="77777777" w:rsidR="00394471" w:rsidRPr="00FA0D37" w:rsidRDefault="00394471" w:rsidP="00FA0D37">
      <w:pPr>
        <w:pStyle w:val="PL"/>
      </w:pPr>
      <w:r w:rsidRPr="00FA0D37">
        <w:t xml:space="preserve">    resourceMapping                         </w:t>
      </w:r>
      <w:r w:rsidRPr="00FA0D37">
        <w:rPr>
          <w:color w:val="993366"/>
        </w:rPr>
        <w:t>SEQUENCE</w:t>
      </w:r>
      <w:r w:rsidRPr="00FA0D37">
        <w:t xml:space="preserve"> {</w:t>
      </w:r>
    </w:p>
    <w:p w14:paraId="1335A3F5" w14:textId="77777777" w:rsidR="00394471" w:rsidRPr="00FA0D37" w:rsidRDefault="00394471" w:rsidP="00FA0D37">
      <w:pPr>
        <w:pStyle w:val="PL"/>
      </w:pPr>
      <w:r w:rsidRPr="00FA0D37">
        <w:t xml:space="preserve">        startPosition                           </w:t>
      </w:r>
      <w:r w:rsidRPr="00FA0D37">
        <w:rPr>
          <w:color w:val="993366"/>
        </w:rPr>
        <w:t>INTEGER</w:t>
      </w:r>
      <w:r w:rsidRPr="00FA0D37">
        <w:t xml:space="preserve"> (0..5),</w:t>
      </w:r>
    </w:p>
    <w:p w14:paraId="0BDFB377" w14:textId="77777777" w:rsidR="00394471" w:rsidRPr="00FA0D37" w:rsidRDefault="00394471" w:rsidP="00FA0D37">
      <w:pPr>
        <w:pStyle w:val="PL"/>
      </w:pPr>
      <w:r w:rsidRPr="00FA0D37">
        <w:t xml:space="preserve">        nrofSymbols                             </w:t>
      </w:r>
      <w:r w:rsidRPr="00FA0D37">
        <w:rPr>
          <w:color w:val="993366"/>
        </w:rPr>
        <w:t>ENUMERATED</w:t>
      </w:r>
      <w:r w:rsidRPr="00FA0D37">
        <w:t xml:space="preserve"> {n1, n2, n4},</w:t>
      </w:r>
    </w:p>
    <w:p w14:paraId="1FF49E52" w14:textId="77777777" w:rsidR="00394471" w:rsidRPr="00FA0D37" w:rsidRDefault="00394471" w:rsidP="00FA0D37">
      <w:pPr>
        <w:pStyle w:val="PL"/>
      </w:pPr>
      <w:r w:rsidRPr="00FA0D37">
        <w:t xml:space="preserve">        repetitionFactor                        </w:t>
      </w:r>
      <w:r w:rsidRPr="00FA0D37">
        <w:rPr>
          <w:color w:val="993366"/>
        </w:rPr>
        <w:t>ENUMERATED</w:t>
      </w:r>
      <w:r w:rsidRPr="00FA0D37">
        <w:t xml:space="preserve"> {n1, n2, n4}</w:t>
      </w:r>
    </w:p>
    <w:p w14:paraId="066A6B36" w14:textId="77777777" w:rsidR="00394471" w:rsidRPr="00FA0D37" w:rsidRDefault="00394471" w:rsidP="00FA0D37">
      <w:pPr>
        <w:pStyle w:val="PL"/>
      </w:pPr>
      <w:r w:rsidRPr="00FA0D37">
        <w:t xml:space="preserve">    },</w:t>
      </w:r>
    </w:p>
    <w:p w14:paraId="3B9FABAB" w14:textId="77777777" w:rsidR="00394471" w:rsidRPr="00FA0D37" w:rsidRDefault="00394471" w:rsidP="00FA0D37">
      <w:pPr>
        <w:pStyle w:val="PL"/>
      </w:pPr>
      <w:r w:rsidRPr="00FA0D37">
        <w:t xml:space="preserve">    freqDomainPosition                      </w:t>
      </w:r>
      <w:r w:rsidRPr="00FA0D37">
        <w:rPr>
          <w:color w:val="993366"/>
        </w:rPr>
        <w:t>INTEGER</w:t>
      </w:r>
      <w:r w:rsidRPr="00FA0D37">
        <w:t xml:space="preserve"> (0..67),</w:t>
      </w:r>
    </w:p>
    <w:p w14:paraId="778989AC" w14:textId="77777777" w:rsidR="00394471" w:rsidRPr="00FA0D37" w:rsidRDefault="00394471" w:rsidP="00FA0D37">
      <w:pPr>
        <w:pStyle w:val="PL"/>
      </w:pPr>
      <w:r w:rsidRPr="00FA0D37">
        <w:t xml:space="preserve">    freqDomainShift                         </w:t>
      </w:r>
      <w:r w:rsidRPr="00FA0D37">
        <w:rPr>
          <w:color w:val="993366"/>
        </w:rPr>
        <w:t>INTEGER</w:t>
      </w:r>
      <w:r w:rsidRPr="00FA0D37">
        <w:t xml:space="preserve"> (0..268),</w:t>
      </w:r>
    </w:p>
    <w:p w14:paraId="7273816B" w14:textId="77777777" w:rsidR="00394471" w:rsidRPr="00FA0D37" w:rsidRDefault="00394471" w:rsidP="00FA0D37">
      <w:pPr>
        <w:pStyle w:val="PL"/>
      </w:pPr>
      <w:r w:rsidRPr="00FA0D37">
        <w:t xml:space="preserve">    freqHopping                             </w:t>
      </w:r>
      <w:r w:rsidRPr="00FA0D37">
        <w:rPr>
          <w:color w:val="993366"/>
        </w:rPr>
        <w:t>SEQUENCE</w:t>
      </w:r>
      <w:r w:rsidRPr="00FA0D37">
        <w:t xml:space="preserve"> {</w:t>
      </w:r>
    </w:p>
    <w:p w14:paraId="5438E27A" w14:textId="77777777" w:rsidR="00394471" w:rsidRPr="00FA0D37" w:rsidRDefault="00394471" w:rsidP="00FA0D37">
      <w:pPr>
        <w:pStyle w:val="PL"/>
      </w:pPr>
      <w:r w:rsidRPr="00FA0D37">
        <w:t xml:space="preserve">        c-SRS                                   </w:t>
      </w:r>
      <w:r w:rsidRPr="00FA0D37">
        <w:rPr>
          <w:color w:val="993366"/>
        </w:rPr>
        <w:t>INTEGER</w:t>
      </w:r>
      <w:r w:rsidRPr="00FA0D37">
        <w:t xml:space="preserve"> (0..63),</w:t>
      </w:r>
    </w:p>
    <w:p w14:paraId="25553EDC" w14:textId="77777777" w:rsidR="00394471" w:rsidRPr="00FA0D37" w:rsidRDefault="00394471" w:rsidP="00FA0D37">
      <w:pPr>
        <w:pStyle w:val="PL"/>
      </w:pPr>
      <w:r w:rsidRPr="00FA0D37">
        <w:t xml:space="preserve">        b-SRS                                   </w:t>
      </w:r>
      <w:r w:rsidRPr="00FA0D37">
        <w:rPr>
          <w:color w:val="993366"/>
        </w:rPr>
        <w:t>INTEGER</w:t>
      </w:r>
      <w:r w:rsidRPr="00FA0D37">
        <w:t xml:space="preserve"> (0..3),</w:t>
      </w:r>
    </w:p>
    <w:p w14:paraId="52593DE9" w14:textId="77777777" w:rsidR="00394471" w:rsidRPr="00FA0D37" w:rsidRDefault="00394471" w:rsidP="00FA0D37">
      <w:pPr>
        <w:pStyle w:val="PL"/>
      </w:pPr>
      <w:r w:rsidRPr="00FA0D37">
        <w:t xml:space="preserve">        b-hop                                   </w:t>
      </w:r>
      <w:r w:rsidRPr="00FA0D37">
        <w:rPr>
          <w:color w:val="993366"/>
        </w:rPr>
        <w:t>INTEGER</w:t>
      </w:r>
      <w:r w:rsidRPr="00FA0D37">
        <w:t xml:space="preserve"> (0..3)</w:t>
      </w:r>
    </w:p>
    <w:p w14:paraId="44A8F221" w14:textId="77777777" w:rsidR="00394471" w:rsidRPr="00FA0D37" w:rsidRDefault="00394471" w:rsidP="00FA0D37">
      <w:pPr>
        <w:pStyle w:val="PL"/>
      </w:pPr>
      <w:r w:rsidRPr="00FA0D37">
        <w:t xml:space="preserve">    },</w:t>
      </w:r>
    </w:p>
    <w:p w14:paraId="205DB7B4" w14:textId="77777777" w:rsidR="00394471" w:rsidRPr="00FA0D37" w:rsidRDefault="00394471" w:rsidP="00FA0D37">
      <w:pPr>
        <w:pStyle w:val="PL"/>
      </w:pPr>
      <w:r w:rsidRPr="00FA0D37">
        <w:t xml:space="preserve">    groupOrSequenceHopping                  </w:t>
      </w:r>
      <w:r w:rsidRPr="00FA0D37">
        <w:rPr>
          <w:color w:val="993366"/>
        </w:rPr>
        <w:t>ENUMERATED</w:t>
      </w:r>
      <w:r w:rsidRPr="00FA0D37">
        <w:t xml:space="preserve"> { neither, groupHopping, sequenceHopping },</w:t>
      </w:r>
    </w:p>
    <w:p w14:paraId="465D3474" w14:textId="77777777" w:rsidR="00394471" w:rsidRPr="00FA0D37" w:rsidRDefault="00394471" w:rsidP="00FA0D37">
      <w:pPr>
        <w:pStyle w:val="PL"/>
      </w:pPr>
      <w:r w:rsidRPr="00FA0D37">
        <w:lastRenderedPageBreak/>
        <w:t xml:space="preserve">    resourceType                            </w:t>
      </w:r>
      <w:r w:rsidRPr="00FA0D37">
        <w:rPr>
          <w:color w:val="993366"/>
        </w:rPr>
        <w:t>CHOICE</w:t>
      </w:r>
      <w:r w:rsidRPr="00FA0D37">
        <w:t xml:space="preserve"> {</w:t>
      </w:r>
    </w:p>
    <w:p w14:paraId="00B22B99" w14:textId="77777777" w:rsidR="00394471" w:rsidRPr="00FA0D37" w:rsidRDefault="00394471" w:rsidP="00FA0D37">
      <w:pPr>
        <w:pStyle w:val="PL"/>
      </w:pPr>
      <w:r w:rsidRPr="00FA0D37">
        <w:t xml:space="preserve">        aperiodic                               </w:t>
      </w:r>
      <w:r w:rsidRPr="00FA0D37">
        <w:rPr>
          <w:color w:val="993366"/>
        </w:rPr>
        <w:t>SEQUENCE</w:t>
      </w:r>
      <w:r w:rsidRPr="00FA0D37">
        <w:t xml:space="preserve"> {</w:t>
      </w:r>
    </w:p>
    <w:p w14:paraId="4E3F3DCF" w14:textId="77777777" w:rsidR="00394471" w:rsidRPr="00FA0D37" w:rsidRDefault="00394471" w:rsidP="00FA0D37">
      <w:pPr>
        <w:pStyle w:val="PL"/>
      </w:pPr>
      <w:r w:rsidRPr="00FA0D37">
        <w:t xml:space="preserve">            ...</w:t>
      </w:r>
    </w:p>
    <w:p w14:paraId="6B331500" w14:textId="77777777" w:rsidR="00394471" w:rsidRPr="00FA0D37" w:rsidRDefault="00394471" w:rsidP="00FA0D37">
      <w:pPr>
        <w:pStyle w:val="PL"/>
      </w:pPr>
      <w:r w:rsidRPr="00FA0D37">
        <w:t xml:space="preserve">        },</w:t>
      </w:r>
    </w:p>
    <w:p w14:paraId="21B98E66" w14:textId="77777777" w:rsidR="00394471" w:rsidRPr="00FA0D37" w:rsidRDefault="00394471" w:rsidP="00FA0D37">
      <w:pPr>
        <w:pStyle w:val="PL"/>
      </w:pPr>
      <w:r w:rsidRPr="00FA0D37">
        <w:t xml:space="preserve">        semi-persistent                         </w:t>
      </w:r>
      <w:r w:rsidRPr="00FA0D37">
        <w:rPr>
          <w:color w:val="993366"/>
        </w:rPr>
        <w:t>SEQUENCE</w:t>
      </w:r>
      <w:r w:rsidRPr="00FA0D37">
        <w:t xml:space="preserve"> {</w:t>
      </w:r>
    </w:p>
    <w:p w14:paraId="66989A05" w14:textId="77777777" w:rsidR="00394471" w:rsidRPr="00FA0D37" w:rsidRDefault="00394471" w:rsidP="00FA0D37">
      <w:pPr>
        <w:pStyle w:val="PL"/>
      </w:pPr>
      <w:r w:rsidRPr="00FA0D37">
        <w:t xml:space="preserve">            periodicityAndOffset-sp                     SRS-PeriodicityAndOffset,</w:t>
      </w:r>
    </w:p>
    <w:p w14:paraId="0759B026" w14:textId="77777777" w:rsidR="00394471" w:rsidRPr="00FA0D37" w:rsidRDefault="00394471" w:rsidP="00FA0D37">
      <w:pPr>
        <w:pStyle w:val="PL"/>
      </w:pPr>
      <w:r w:rsidRPr="00FA0D37">
        <w:t xml:space="preserve">            ...</w:t>
      </w:r>
    </w:p>
    <w:p w14:paraId="16C75EB9" w14:textId="77777777" w:rsidR="00394471" w:rsidRPr="00FA0D37" w:rsidRDefault="00394471" w:rsidP="00FA0D37">
      <w:pPr>
        <w:pStyle w:val="PL"/>
      </w:pPr>
      <w:r w:rsidRPr="00FA0D37">
        <w:t xml:space="preserve">        },</w:t>
      </w:r>
    </w:p>
    <w:p w14:paraId="7989AC88" w14:textId="77777777" w:rsidR="00394471" w:rsidRPr="00FA0D37" w:rsidRDefault="00394471" w:rsidP="00FA0D37">
      <w:pPr>
        <w:pStyle w:val="PL"/>
      </w:pPr>
      <w:r w:rsidRPr="00FA0D37">
        <w:t xml:space="preserve">        periodic                                </w:t>
      </w:r>
      <w:r w:rsidRPr="00FA0D37">
        <w:rPr>
          <w:color w:val="993366"/>
        </w:rPr>
        <w:t>SEQUENCE</w:t>
      </w:r>
      <w:r w:rsidRPr="00FA0D37">
        <w:t xml:space="preserve"> {</w:t>
      </w:r>
    </w:p>
    <w:p w14:paraId="31ACC8A1" w14:textId="77777777" w:rsidR="00394471" w:rsidRPr="00FA0D37" w:rsidRDefault="00394471" w:rsidP="00FA0D37">
      <w:pPr>
        <w:pStyle w:val="PL"/>
      </w:pPr>
      <w:r w:rsidRPr="00FA0D37">
        <w:t xml:space="preserve">            periodicityAndOffset-p                      SRS-PeriodicityAndOffset,</w:t>
      </w:r>
    </w:p>
    <w:p w14:paraId="4C999FA1" w14:textId="77777777" w:rsidR="00394471" w:rsidRPr="00FA0D37" w:rsidRDefault="00394471" w:rsidP="00FA0D37">
      <w:pPr>
        <w:pStyle w:val="PL"/>
      </w:pPr>
      <w:r w:rsidRPr="00FA0D37">
        <w:t xml:space="preserve">            ...</w:t>
      </w:r>
    </w:p>
    <w:p w14:paraId="3C8DC6D8" w14:textId="77777777" w:rsidR="00394471" w:rsidRPr="00FA0D37" w:rsidRDefault="00394471" w:rsidP="00FA0D37">
      <w:pPr>
        <w:pStyle w:val="PL"/>
      </w:pPr>
      <w:r w:rsidRPr="00FA0D37">
        <w:t xml:space="preserve">        }</w:t>
      </w:r>
    </w:p>
    <w:p w14:paraId="261220C4" w14:textId="77777777" w:rsidR="00394471" w:rsidRPr="00FA0D37" w:rsidRDefault="00394471" w:rsidP="00FA0D37">
      <w:pPr>
        <w:pStyle w:val="PL"/>
      </w:pPr>
      <w:r w:rsidRPr="00FA0D37">
        <w:t xml:space="preserve">    },</w:t>
      </w:r>
    </w:p>
    <w:p w14:paraId="207FBFF2" w14:textId="77777777" w:rsidR="00394471" w:rsidRPr="00FA0D37" w:rsidRDefault="00394471" w:rsidP="00FA0D37">
      <w:pPr>
        <w:pStyle w:val="PL"/>
      </w:pPr>
      <w:r w:rsidRPr="00FA0D37">
        <w:t xml:space="preserve">    sequenceId                              </w:t>
      </w:r>
      <w:r w:rsidRPr="00FA0D37">
        <w:rPr>
          <w:color w:val="993366"/>
        </w:rPr>
        <w:t>INTEGER</w:t>
      </w:r>
      <w:r w:rsidRPr="00FA0D37">
        <w:t xml:space="preserve"> (0..1023),</w:t>
      </w:r>
    </w:p>
    <w:p w14:paraId="5FF357FE" w14:textId="77777777" w:rsidR="00394471" w:rsidRPr="00FA0D37" w:rsidRDefault="00394471" w:rsidP="00FA0D37">
      <w:pPr>
        <w:pStyle w:val="PL"/>
        <w:rPr>
          <w:color w:val="808080"/>
        </w:rPr>
      </w:pPr>
      <w:r w:rsidRPr="00FA0D37">
        <w:t xml:space="preserve">    spatialRelationInfo                     SRS-SpatialRelationInfo                                        </w:t>
      </w:r>
      <w:r w:rsidRPr="00FA0D37">
        <w:rPr>
          <w:color w:val="993366"/>
        </w:rPr>
        <w:t>OPTIONAL</w:t>
      </w:r>
      <w:r w:rsidRPr="00FA0D37">
        <w:t xml:space="preserve">,   </w:t>
      </w:r>
      <w:r w:rsidRPr="00FA0D37">
        <w:rPr>
          <w:color w:val="808080"/>
        </w:rPr>
        <w:t>-- Need R</w:t>
      </w:r>
    </w:p>
    <w:p w14:paraId="15838424" w14:textId="77777777" w:rsidR="00394471" w:rsidRPr="00FA0D37" w:rsidRDefault="00394471" w:rsidP="00FA0D37">
      <w:pPr>
        <w:pStyle w:val="PL"/>
      </w:pPr>
      <w:r w:rsidRPr="00FA0D37">
        <w:t xml:space="preserve">    ...,</w:t>
      </w:r>
    </w:p>
    <w:p w14:paraId="71711CE3" w14:textId="77777777" w:rsidR="00394471" w:rsidRPr="00FA0D37" w:rsidRDefault="00394471" w:rsidP="00FA0D37">
      <w:pPr>
        <w:pStyle w:val="PL"/>
      </w:pPr>
      <w:r w:rsidRPr="00FA0D37">
        <w:t xml:space="preserve">    [[</w:t>
      </w:r>
    </w:p>
    <w:p w14:paraId="1B6E1911" w14:textId="77777777" w:rsidR="00394471" w:rsidRPr="00FA0D37" w:rsidRDefault="00394471" w:rsidP="00FA0D37">
      <w:pPr>
        <w:pStyle w:val="PL"/>
      </w:pPr>
      <w:r w:rsidRPr="00FA0D37">
        <w:t xml:space="preserve">    resourceMapping-r16                     </w:t>
      </w:r>
      <w:r w:rsidRPr="00FA0D37">
        <w:rPr>
          <w:color w:val="993366"/>
        </w:rPr>
        <w:t>SEQUENCE</w:t>
      </w:r>
      <w:r w:rsidRPr="00FA0D37">
        <w:t xml:space="preserve"> {</w:t>
      </w:r>
    </w:p>
    <w:p w14:paraId="69C46A87" w14:textId="77777777" w:rsidR="00394471" w:rsidRPr="00FA0D37" w:rsidRDefault="00394471" w:rsidP="00FA0D37">
      <w:pPr>
        <w:pStyle w:val="PL"/>
      </w:pPr>
      <w:r w:rsidRPr="00FA0D37">
        <w:t xml:space="preserve">        startPosition-r16                       </w:t>
      </w:r>
      <w:r w:rsidRPr="00FA0D37">
        <w:rPr>
          <w:color w:val="993366"/>
        </w:rPr>
        <w:t>INTEGER</w:t>
      </w:r>
      <w:r w:rsidRPr="00FA0D37">
        <w:t xml:space="preserve"> (0..13),</w:t>
      </w:r>
    </w:p>
    <w:p w14:paraId="2F37B694" w14:textId="77777777" w:rsidR="00394471" w:rsidRPr="00FA0D37" w:rsidRDefault="00394471" w:rsidP="00FA0D37">
      <w:pPr>
        <w:pStyle w:val="PL"/>
      </w:pPr>
      <w:r w:rsidRPr="00FA0D37">
        <w:t xml:space="preserve">        nrofSymbols-r16                         </w:t>
      </w:r>
      <w:r w:rsidRPr="00FA0D37">
        <w:rPr>
          <w:color w:val="993366"/>
        </w:rPr>
        <w:t>ENUMERATED</w:t>
      </w:r>
      <w:r w:rsidRPr="00FA0D37">
        <w:t xml:space="preserve"> {n1, n2, n4},</w:t>
      </w:r>
    </w:p>
    <w:p w14:paraId="07641713" w14:textId="77777777" w:rsidR="00394471" w:rsidRPr="00FA0D37" w:rsidRDefault="00394471" w:rsidP="00FA0D37">
      <w:pPr>
        <w:pStyle w:val="PL"/>
      </w:pPr>
      <w:r w:rsidRPr="00FA0D37">
        <w:t xml:space="preserve">        repetitionFactor-r16                    </w:t>
      </w:r>
      <w:r w:rsidRPr="00FA0D37">
        <w:rPr>
          <w:color w:val="993366"/>
        </w:rPr>
        <w:t>ENUMERATED</w:t>
      </w:r>
      <w:r w:rsidRPr="00FA0D37">
        <w:t xml:space="preserve"> {n1, n2, n4}</w:t>
      </w:r>
    </w:p>
    <w:p w14:paraId="25D5D612"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79D6B1F0" w14:textId="25120D71" w:rsidR="00306103" w:rsidRPr="00FA0D37" w:rsidRDefault="00394471" w:rsidP="00FA0D37">
      <w:pPr>
        <w:pStyle w:val="PL"/>
      </w:pPr>
      <w:r w:rsidRPr="00FA0D37">
        <w:t xml:space="preserve">    ]]</w:t>
      </w:r>
      <w:r w:rsidR="00306103" w:rsidRPr="00FA0D37">
        <w:t>,</w:t>
      </w:r>
    </w:p>
    <w:p w14:paraId="3C754D62" w14:textId="77777777" w:rsidR="00306103" w:rsidRPr="00FA0D37" w:rsidRDefault="00306103" w:rsidP="00FA0D37">
      <w:pPr>
        <w:pStyle w:val="PL"/>
      </w:pPr>
      <w:r w:rsidRPr="00FA0D37">
        <w:t xml:space="preserve">    [[</w:t>
      </w:r>
    </w:p>
    <w:p w14:paraId="7B26728D" w14:textId="5F531EB6" w:rsidR="00306103" w:rsidRPr="00FA0D37" w:rsidRDefault="00306103" w:rsidP="00FA0D37">
      <w:pPr>
        <w:pStyle w:val="PL"/>
        <w:rPr>
          <w:color w:val="808080"/>
        </w:rPr>
      </w:pPr>
      <w:r w:rsidRPr="00FA0D37">
        <w:t xml:space="preserve">    spatialRelationInfo-PDC-r17             SetupRelease { SpatialRelationInfo-PDC-r17 }                   </w:t>
      </w:r>
      <w:r w:rsidRPr="00FA0D37">
        <w:rPr>
          <w:color w:val="993366"/>
        </w:rPr>
        <w:t>OPTIONAL</w:t>
      </w:r>
      <w:r w:rsidR="000F2B5F" w:rsidRPr="00FA0D37">
        <w:t>,</w:t>
      </w:r>
      <w:r w:rsidRPr="00FA0D37">
        <w:t xml:space="preserve">   </w:t>
      </w:r>
      <w:r w:rsidRPr="00FA0D37">
        <w:rPr>
          <w:color w:val="808080"/>
        </w:rPr>
        <w:t>-- Need M</w:t>
      </w:r>
    </w:p>
    <w:p w14:paraId="17029371" w14:textId="77777777" w:rsidR="000F2B5F" w:rsidRPr="00FA0D37" w:rsidRDefault="000F2B5F" w:rsidP="00FA0D37">
      <w:pPr>
        <w:pStyle w:val="PL"/>
      </w:pPr>
      <w:r w:rsidRPr="00FA0D37">
        <w:t xml:space="preserve">    resourceMapping-r17                     </w:t>
      </w:r>
      <w:r w:rsidRPr="00FA0D37">
        <w:rPr>
          <w:color w:val="993366"/>
        </w:rPr>
        <w:t>SEQUENCE</w:t>
      </w:r>
      <w:r w:rsidRPr="00FA0D37">
        <w:t xml:space="preserve"> {</w:t>
      </w:r>
    </w:p>
    <w:p w14:paraId="47FB7A90" w14:textId="77777777" w:rsidR="007B122D" w:rsidRPr="00FA0D37" w:rsidRDefault="007B122D" w:rsidP="00FA0D37">
      <w:pPr>
        <w:pStyle w:val="PL"/>
      </w:pPr>
      <w:r w:rsidRPr="00FA0D37">
        <w:t xml:space="preserve">        startPosition-r17                       </w:t>
      </w:r>
      <w:r w:rsidRPr="00FA0D37">
        <w:rPr>
          <w:color w:val="993366"/>
        </w:rPr>
        <w:t>INTEGER</w:t>
      </w:r>
      <w:r w:rsidRPr="00FA0D37">
        <w:t xml:space="preserve"> (0..13),</w:t>
      </w:r>
    </w:p>
    <w:p w14:paraId="58DF14C4" w14:textId="6CB11BC1" w:rsidR="000F2B5F" w:rsidRPr="00FA0D37" w:rsidRDefault="000F2B5F" w:rsidP="00FA0D37">
      <w:pPr>
        <w:pStyle w:val="PL"/>
      </w:pPr>
      <w:r w:rsidRPr="00FA0D37">
        <w:t xml:space="preserve">        nrofSymbols-r17                         </w:t>
      </w:r>
      <w:r w:rsidRPr="00FA0D37">
        <w:rPr>
          <w:color w:val="993366"/>
        </w:rPr>
        <w:t>ENUMERATED</w:t>
      </w:r>
      <w:r w:rsidRPr="00FA0D37">
        <w:t xml:space="preserve"> {</w:t>
      </w:r>
      <w:r w:rsidR="007B122D" w:rsidRPr="00FA0D37">
        <w:t xml:space="preserve">n1, n2, n4, </w:t>
      </w:r>
      <w:r w:rsidRPr="00FA0D37">
        <w:t>n8, n10, n12, n14},</w:t>
      </w:r>
    </w:p>
    <w:p w14:paraId="012C7E52" w14:textId="0817E94B" w:rsidR="000F2B5F" w:rsidRPr="00FA0D37" w:rsidRDefault="000F2B5F" w:rsidP="00FA0D37">
      <w:pPr>
        <w:pStyle w:val="PL"/>
      </w:pPr>
      <w:r w:rsidRPr="00FA0D37">
        <w:t xml:space="preserve">        repetitionFactor-r17                    </w:t>
      </w:r>
      <w:r w:rsidRPr="00FA0D37">
        <w:rPr>
          <w:color w:val="993366"/>
        </w:rPr>
        <w:t>ENUMERATED</w:t>
      </w:r>
      <w:r w:rsidRPr="00FA0D37">
        <w:t xml:space="preserve"> {n1, n2, n4, n5, n6, n7, n8, n10, n12, n14}</w:t>
      </w:r>
    </w:p>
    <w:p w14:paraId="22F6BE79" w14:textId="733F8857" w:rsidR="000F2B5F" w:rsidRPr="00FA0D37" w:rsidRDefault="000F2B5F" w:rsidP="00FA0D37">
      <w:pPr>
        <w:pStyle w:val="PL"/>
        <w:rPr>
          <w:color w:val="808080"/>
        </w:rPr>
      </w:pPr>
      <w:r w:rsidRPr="00FA0D37">
        <w:t xml:space="preserve">    }</w:t>
      </w:r>
      <w:r w:rsidR="00215224" w:rsidRPr="00FA0D37">
        <w:t xml:space="preserve">                                                                                                      </w:t>
      </w:r>
      <w:r w:rsidR="00215224" w:rsidRPr="00FA0D37">
        <w:rPr>
          <w:color w:val="993366"/>
        </w:rPr>
        <w:t>OPTIONAL</w:t>
      </w:r>
      <w:r w:rsidR="00215224" w:rsidRPr="00FA0D37">
        <w:t xml:space="preserve">,   </w:t>
      </w:r>
      <w:r w:rsidR="00215224" w:rsidRPr="00FA0D37">
        <w:rPr>
          <w:color w:val="808080"/>
        </w:rPr>
        <w:t>-- Need R</w:t>
      </w:r>
    </w:p>
    <w:p w14:paraId="6EF5E1A7" w14:textId="6B07DBF2" w:rsidR="000F2B5F" w:rsidRPr="00FA0D37" w:rsidRDefault="000F2B5F" w:rsidP="00FA0D37">
      <w:pPr>
        <w:pStyle w:val="PL"/>
      </w:pPr>
      <w:r w:rsidRPr="00FA0D37">
        <w:t xml:space="preserve">    partialFreqSounding-r17                 </w:t>
      </w:r>
      <w:r w:rsidRPr="00FA0D37">
        <w:rPr>
          <w:color w:val="993366"/>
        </w:rPr>
        <w:t>SEQUENCE</w:t>
      </w:r>
      <w:r w:rsidRPr="00FA0D37">
        <w:t xml:space="preserve"> {</w:t>
      </w:r>
    </w:p>
    <w:p w14:paraId="69DEA3C3" w14:textId="01BABD98" w:rsidR="000F2B5F" w:rsidRPr="00FA0D37" w:rsidRDefault="000F2B5F" w:rsidP="00FA0D37">
      <w:pPr>
        <w:pStyle w:val="PL"/>
      </w:pPr>
      <w:r w:rsidRPr="00FA0D37">
        <w:t xml:space="preserve">        startRBIndexFScaling-r17                </w:t>
      </w:r>
      <w:r w:rsidRPr="00FA0D37">
        <w:rPr>
          <w:color w:val="993366"/>
        </w:rPr>
        <w:t>CHOICE</w:t>
      </w:r>
      <w:r w:rsidRPr="00FA0D37">
        <w:t>{</w:t>
      </w:r>
    </w:p>
    <w:p w14:paraId="1D3D5B37" w14:textId="019958C2" w:rsidR="000F2B5F" w:rsidRPr="00FA0D37" w:rsidRDefault="000F2B5F" w:rsidP="00FA0D37">
      <w:pPr>
        <w:pStyle w:val="PL"/>
      </w:pPr>
      <w:r w:rsidRPr="00FA0D37">
        <w:t xml:space="preserve">            startRBIndexAndFreqScalingFactor2-r17   </w:t>
      </w:r>
      <w:r w:rsidRPr="00FA0D37">
        <w:rPr>
          <w:color w:val="993366"/>
        </w:rPr>
        <w:t>INTEGER</w:t>
      </w:r>
      <w:r w:rsidRPr="00FA0D37">
        <w:t xml:space="preserve"> (0..1),</w:t>
      </w:r>
    </w:p>
    <w:p w14:paraId="55E10B9F" w14:textId="4ADEA3C7" w:rsidR="000F2B5F" w:rsidRPr="00FA0D37" w:rsidRDefault="000F2B5F" w:rsidP="00FA0D37">
      <w:pPr>
        <w:pStyle w:val="PL"/>
      </w:pPr>
      <w:r w:rsidRPr="00FA0D37">
        <w:t xml:space="preserve">            startRBIndexAndFreqScalingFactor4-r17   </w:t>
      </w:r>
      <w:r w:rsidRPr="00FA0D37">
        <w:rPr>
          <w:color w:val="993366"/>
        </w:rPr>
        <w:t>INTEGER</w:t>
      </w:r>
      <w:r w:rsidRPr="00FA0D37">
        <w:t xml:space="preserve"> (0..3)</w:t>
      </w:r>
    </w:p>
    <w:p w14:paraId="3587A6E8" w14:textId="0A0AE1A4" w:rsidR="000F2B5F" w:rsidRPr="00FA0D37" w:rsidRDefault="000F2B5F" w:rsidP="00FA0D37">
      <w:pPr>
        <w:pStyle w:val="PL"/>
      </w:pPr>
      <w:r w:rsidRPr="00FA0D37">
        <w:t xml:space="preserve">        }</w:t>
      </w:r>
      <w:r w:rsidR="00F37CDC" w:rsidRPr="00FA0D37">
        <w:t>,</w:t>
      </w:r>
    </w:p>
    <w:p w14:paraId="301AEB72" w14:textId="33B18F8D" w:rsidR="000F2B5F" w:rsidRPr="00FA0D37" w:rsidRDefault="000F2B5F" w:rsidP="00FA0D37">
      <w:pPr>
        <w:pStyle w:val="PL"/>
        <w:rPr>
          <w:color w:val="808080"/>
        </w:rPr>
      </w:pPr>
      <w:r w:rsidRPr="00FA0D37">
        <w:t xml:space="preserve">        enableStartRBHopping-r17                </w:t>
      </w:r>
      <w:r w:rsidRPr="00FA0D37">
        <w:rPr>
          <w:color w:val="993366"/>
        </w:rPr>
        <w:t>ENUMERATED</w:t>
      </w:r>
      <w:r w:rsidR="00015613" w:rsidRPr="00FA0D37">
        <w:t xml:space="preserve"> </w:t>
      </w:r>
      <w:r w:rsidR="00F37CDC" w:rsidRPr="00FA0D37">
        <w:t>{</w:t>
      </w:r>
      <w:r w:rsidRPr="00FA0D37">
        <w:t>enable</w:t>
      </w:r>
      <w:r w:rsidR="00F37CDC" w:rsidRPr="00FA0D37">
        <w:t>}</w:t>
      </w:r>
      <w:r w:rsidRPr="00FA0D37">
        <w:t xml:space="preserve">                                        </w:t>
      </w:r>
      <w:r w:rsidRPr="00FA0D37">
        <w:rPr>
          <w:color w:val="993366"/>
        </w:rPr>
        <w:t>OPTIONAL</w:t>
      </w:r>
      <w:r w:rsidRPr="00FA0D37">
        <w:t xml:space="preserve">    </w:t>
      </w:r>
      <w:r w:rsidRPr="00FA0D37">
        <w:rPr>
          <w:color w:val="808080"/>
        </w:rPr>
        <w:t>-- Need R</w:t>
      </w:r>
    </w:p>
    <w:p w14:paraId="13C7541A" w14:textId="3DDCF555" w:rsidR="000F2B5F" w:rsidRPr="00FA0D37" w:rsidRDefault="000F2B5F" w:rsidP="00FA0D37">
      <w:pPr>
        <w:pStyle w:val="PL"/>
        <w:rPr>
          <w:color w:val="808080"/>
        </w:rPr>
      </w:pPr>
      <w:r w:rsidRPr="00FA0D37">
        <w:t xml:space="preserve">    }                                                                                                      </w:t>
      </w:r>
      <w:r w:rsidRPr="00FA0D37">
        <w:rPr>
          <w:color w:val="993366"/>
        </w:rPr>
        <w:t>OPTIONAL</w:t>
      </w:r>
      <w:r w:rsidR="00F37CDC" w:rsidRPr="00FA0D37">
        <w:t>,</w:t>
      </w:r>
      <w:r w:rsidRPr="00FA0D37">
        <w:t xml:space="preserve">   </w:t>
      </w:r>
      <w:r w:rsidRPr="00FA0D37">
        <w:rPr>
          <w:color w:val="808080"/>
        </w:rPr>
        <w:t>-- Need R</w:t>
      </w:r>
    </w:p>
    <w:p w14:paraId="60F21B32" w14:textId="4B797C4F" w:rsidR="000F2B5F" w:rsidRPr="00FA0D37" w:rsidRDefault="000F2B5F" w:rsidP="00FA0D37">
      <w:pPr>
        <w:pStyle w:val="PL"/>
      </w:pPr>
      <w:r w:rsidRPr="00FA0D37">
        <w:t xml:space="preserve">    transmissionComb-n8-r17                 </w:t>
      </w:r>
      <w:r w:rsidRPr="00FA0D37">
        <w:rPr>
          <w:color w:val="993366"/>
        </w:rPr>
        <w:t>SEQUENCE</w:t>
      </w:r>
      <w:r w:rsidRPr="00FA0D37">
        <w:t xml:space="preserve"> {</w:t>
      </w:r>
    </w:p>
    <w:p w14:paraId="7B07FAAF" w14:textId="3343086B" w:rsidR="000F2B5F" w:rsidRPr="00FA0D37" w:rsidRDefault="000F2B5F" w:rsidP="00FA0D37">
      <w:pPr>
        <w:pStyle w:val="PL"/>
      </w:pPr>
      <w:r w:rsidRPr="00FA0D37">
        <w:t xml:space="preserve">        combOffset-n8-r17                       </w:t>
      </w:r>
      <w:r w:rsidRPr="00FA0D37">
        <w:rPr>
          <w:color w:val="993366"/>
        </w:rPr>
        <w:t>INTEGER</w:t>
      </w:r>
      <w:r w:rsidRPr="00FA0D37">
        <w:t xml:space="preserve"> (0..7),</w:t>
      </w:r>
    </w:p>
    <w:p w14:paraId="7C28F78B" w14:textId="7C503BC9" w:rsidR="000F2B5F" w:rsidRPr="00FA0D37" w:rsidRDefault="000F2B5F" w:rsidP="00FA0D37">
      <w:pPr>
        <w:pStyle w:val="PL"/>
      </w:pPr>
      <w:r w:rsidRPr="00FA0D37">
        <w:t xml:space="preserve">        cyclicShift-n8-r17                      </w:t>
      </w:r>
      <w:r w:rsidRPr="00FA0D37">
        <w:rPr>
          <w:color w:val="993366"/>
        </w:rPr>
        <w:t>INTEGER</w:t>
      </w:r>
      <w:r w:rsidRPr="00FA0D37">
        <w:t xml:space="preserve"> (0..5)</w:t>
      </w:r>
    </w:p>
    <w:p w14:paraId="4AAD85F5" w14:textId="5B2575E6" w:rsidR="000F2B5F" w:rsidRPr="00FA0D37" w:rsidRDefault="000F2B5F" w:rsidP="00FA0D37">
      <w:pPr>
        <w:pStyle w:val="PL"/>
        <w:rPr>
          <w:color w:val="808080"/>
        </w:rPr>
      </w:pPr>
      <w:r w:rsidRPr="00FA0D37">
        <w:t xml:space="preserve">    }                                                                                                      </w:t>
      </w:r>
      <w:r w:rsidRPr="00FA0D37">
        <w:rPr>
          <w:color w:val="993366"/>
        </w:rPr>
        <w:t>OPTIONAL</w:t>
      </w:r>
      <w:r w:rsidR="007B122D" w:rsidRPr="00FA0D37">
        <w:t>,</w:t>
      </w:r>
      <w:r w:rsidRPr="00FA0D37">
        <w:t xml:space="preserve">   </w:t>
      </w:r>
      <w:r w:rsidRPr="00FA0D37">
        <w:rPr>
          <w:color w:val="808080"/>
        </w:rPr>
        <w:t>-- Need R</w:t>
      </w:r>
    </w:p>
    <w:p w14:paraId="3FAA45E8" w14:textId="3410FA0B" w:rsidR="007B122D" w:rsidRPr="00FA0D37" w:rsidRDefault="007B122D" w:rsidP="00FA0D37">
      <w:pPr>
        <w:pStyle w:val="PL"/>
      </w:pPr>
      <w:r w:rsidRPr="00FA0D37">
        <w:t xml:space="preserve">    srs-TCI</w:t>
      </w:r>
      <w:r w:rsidR="005D46C6" w:rsidRPr="00FA0D37">
        <w:t>-</w:t>
      </w:r>
      <w:r w:rsidRPr="00FA0D37">
        <w:t xml:space="preserve">State-r17                       </w:t>
      </w:r>
      <w:r w:rsidRPr="00FA0D37">
        <w:rPr>
          <w:color w:val="993366"/>
        </w:rPr>
        <w:t>CHOICE</w:t>
      </w:r>
      <w:r w:rsidRPr="00FA0D37">
        <w:t xml:space="preserve"> {</w:t>
      </w:r>
    </w:p>
    <w:p w14:paraId="02489EDD" w14:textId="5CD6EA38" w:rsidR="007B122D" w:rsidRPr="00FA0D37" w:rsidRDefault="007B122D" w:rsidP="00FA0D37">
      <w:pPr>
        <w:pStyle w:val="PL"/>
      </w:pPr>
      <w:r w:rsidRPr="00FA0D37">
        <w:t xml:space="preserve">        srs-UL-TCI</w:t>
      </w:r>
      <w:r w:rsidR="005D46C6" w:rsidRPr="00FA0D37">
        <w:t>-</w:t>
      </w:r>
      <w:r w:rsidRPr="00FA0D37">
        <w:t xml:space="preserve">State                    </w:t>
      </w:r>
      <w:r w:rsidR="00F35EF5" w:rsidRPr="00FA0D37">
        <w:t xml:space="preserve">    </w:t>
      </w:r>
      <w:r w:rsidRPr="00FA0D37">
        <w:t>TCI-UL-StateId-r17,</w:t>
      </w:r>
    </w:p>
    <w:p w14:paraId="37034600" w14:textId="505B3FDC" w:rsidR="007B122D" w:rsidRPr="00FA0D37" w:rsidRDefault="007B122D" w:rsidP="00FA0D37">
      <w:pPr>
        <w:pStyle w:val="PL"/>
      </w:pPr>
      <w:r w:rsidRPr="00FA0D37">
        <w:t xml:space="preserve">        srs-DLorJointTCI</w:t>
      </w:r>
      <w:r w:rsidR="005D46C6" w:rsidRPr="00FA0D37">
        <w:t>-</w:t>
      </w:r>
      <w:r w:rsidRPr="00FA0D37">
        <w:t xml:space="preserve">State              </w:t>
      </w:r>
      <w:r w:rsidR="00F35EF5" w:rsidRPr="00FA0D37">
        <w:t xml:space="preserve">    </w:t>
      </w:r>
      <w:r w:rsidRPr="00FA0D37">
        <w:t>TCI-StateId</w:t>
      </w:r>
    </w:p>
    <w:p w14:paraId="13A12CF2" w14:textId="77777777" w:rsidR="007B122D" w:rsidRPr="00FA0D37" w:rsidRDefault="007B122D"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7F0B54A7" w14:textId="165B568F" w:rsidR="005D46C6" w:rsidRPr="00FA0D37" w:rsidRDefault="00306103" w:rsidP="00FA0D37">
      <w:pPr>
        <w:pStyle w:val="PL"/>
      </w:pPr>
      <w:r w:rsidRPr="00FA0D37">
        <w:t xml:space="preserve">    ]]</w:t>
      </w:r>
      <w:r w:rsidR="005D46C6" w:rsidRPr="00FA0D37">
        <w:t>,</w:t>
      </w:r>
    </w:p>
    <w:p w14:paraId="70BB8D31" w14:textId="77777777" w:rsidR="005D46C6" w:rsidRPr="00FA0D37" w:rsidRDefault="005D46C6" w:rsidP="00FA0D37">
      <w:pPr>
        <w:pStyle w:val="PL"/>
      </w:pPr>
      <w:r w:rsidRPr="00FA0D37">
        <w:t xml:space="preserve">    [[</w:t>
      </w:r>
    </w:p>
    <w:p w14:paraId="66247AD3" w14:textId="526077CB" w:rsidR="005D46C6" w:rsidRPr="00FA0D37" w:rsidRDefault="005D46C6" w:rsidP="00FA0D37">
      <w:pPr>
        <w:pStyle w:val="PL"/>
        <w:rPr>
          <w:color w:val="808080"/>
        </w:rPr>
      </w:pPr>
      <w:r w:rsidRPr="00FA0D37">
        <w:t xml:space="preserve">    repetitionFactor-v1730                  </w:t>
      </w:r>
      <w:r w:rsidRPr="00FA0D37">
        <w:rPr>
          <w:color w:val="993366"/>
        </w:rPr>
        <w:t>ENUMERATED</w:t>
      </w:r>
      <w:r w:rsidRPr="00FA0D37">
        <w:t xml:space="preserve"> {n3}                                                </w:t>
      </w:r>
      <w:r w:rsidRPr="00FA0D37">
        <w:rPr>
          <w:color w:val="993366"/>
        </w:rPr>
        <w:t>OPTIONAL</w:t>
      </w:r>
      <w:r w:rsidRPr="00FA0D37">
        <w:t xml:space="preserve">,   </w:t>
      </w:r>
      <w:r w:rsidRPr="00FA0D37">
        <w:rPr>
          <w:color w:val="808080"/>
        </w:rPr>
        <w:t>-- Need R</w:t>
      </w:r>
    </w:p>
    <w:p w14:paraId="2088CB65" w14:textId="25811E71" w:rsidR="005D46C6" w:rsidRPr="00FA0D37" w:rsidRDefault="005D46C6" w:rsidP="00FA0D37">
      <w:pPr>
        <w:pStyle w:val="PL"/>
      </w:pPr>
      <w:r w:rsidRPr="00FA0D37">
        <w:t xml:space="preserve">    srs-DLorJointTCI-State-v1730            </w:t>
      </w:r>
      <w:r w:rsidRPr="00FA0D37">
        <w:rPr>
          <w:color w:val="993366"/>
        </w:rPr>
        <w:t>SEQUENCE</w:t>
      </w:r>
      <w:r w:rsidRPr="00FA0D37">
        <w:t xml:space="preserve"> {</w:t>
      </w:r>
    </w:p>
    <w:p w14:paraId="3AEF93E5" w14:textId="5BA41658" w:rsidR="005D46C6" w:rsidRPr="00FA0D37" w:rsidRDefault="005D46C6" w:rsidP="00FA0D37">
      <w:pPr>
        <w:pStyle w:val="PL"/>
      </w:pPr>
      <w:r w:rsidRPr="00FA0D37">
        <w:t xml:space="preserve">        cellAndBWP-r17                          ServingCellAndBWP-Id-r17</w:t>
      </w:r>
    </w:p>
    <w:p w14:paraId="1409867F" w14:textId="029F98DE" w:rsidR="005D46C6" w:rsidRPr="00FA0D37" w:rsidRDefault="005D46C6"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DLorJointTCI-SRS</w:t>
      </w:r>
    </w:p>
    <w:p w14:paraId="7B6F484A" w14:textId="4C79627E" w:rsidR="00394471" w:rsidRPr="00FA0D37" w:rsidRDefault="005D46C6" w:rsidP="00FA0D37">
      <w:pPr>
        <w:pStyle w:val="PL"/>
      </w:pPr>
      <w:r w:rsidRPr="00FA0D37">
        <w:lastRenderedPageBreak/>
        <w:t xml:space="preserve">    ]]</w:t>
      </w:r>
    </w:p>
    <w:p w14:paraId="773529A7" w14:textId="77777777" w:rsidR="00394471" w:rsidRPr="00FA0D37" w:rsidRDefault="00394471" w:rsidP="00FA0D37">
      <w:pPr>
        <w:pStyle w:val="PL"/>
      </w:pPr>
      <w:r w:rsidRPr="00FA0D37">
        <w:t>}</w:t>
      </w:r>
    </w:p>
    <w:p w14:paraId="23EF99D1" w14:textId="77777777" w:rsidR="007B122D" w:rsidRPr="00FA0D37" w:rsidRDefault="007B122D" w:rsidP="00FA0D37">
      <w:pPr>
        <w:pStyle w:val="PL"/>
      </w:pPr>
    </w:p>
    <w:p w14:paraId="0AF8E65E" w14:textId="77777777" w:rsidR="00394471" w:rsidRPr="00FA0D37" w:rsidRDefault="00394471" w:rsidP="00FA0D37">
      <w:pPr>
        <w:pStyle w:val="PL"/>
      </w:pPr>
      <w:r w:rsidRPr="00FA0D37">
        <w:t xml:space="preserve">SRS-PosResource-r16::=                  </w:t>
      </w:r>
      <w:r w:rsidRPr="00FA0D37">
        <w:rPr>
          <w:color w:val="993366"/>
        </w:rPr>
        <w:t>SEQUENCE</w:t>
      </w:r>
      <w:r w:rsidRPr="00FA0D37">
        <w:t xml:space="preserve"> {</w:t>
      </w:r>
    </w:p>
    <w:p w14:paraId="09AA56CE" w14:textId="77777777" w:rsidR="00394471" w:rsidRPr="00FA0D37" w:rsidRDefault="00394471" w:rsidP="00FA0D37">
      <w:pPr>
        <w:pStyle w:val="PL"/>
      </w:pPr>
      <w:r w:rsidRPr="00FA0D37">
        <w:t xml:space="preserve">    srs-PosResourceId-r16                   SRS-PosResourceId-r16,</w:t>
      </w:r>
    </w:p>
    <w:p w14:paraId="66D0C838" w14:textId="77777777" w:rsidR="00394471" w:rsidRPr="00FA0D37" w:rsidRDefault="00394471" w:rsidP="00FA0D37">
      <w:pPr>
        <w:pStyle w:val="PL"/>
      </w:pPr>
      <w:r w:rsidRPr="00FA0D37">
        <w:t xml:space="preserve">    transmissionComb-r16                    </w:t>
      </w:r>
      <w:r w:rsidRPr="00FA0D37">
        <w:rPr>
          <w:color w:val="993366"/>
        </w:rPr>
        <w:t>CHOICE</w:t>
      </w:r>
      <w:r w:rsidRPr="00FA0D37">
        <w:t xml:space="preserve"> {</w:t>
      </w:r>
    </w:p>
    <w:p w14:paraId="729DECB3" w14:textId="77777777" w:rsidR="00394471" w:rsidRPr="00FA0D37" w:rsidRDefault="00394471" w:rsidP="00FA0D37">
      <w:pPr>
        <w:pStyle w:val="PL"/>
      </w:pPr>
      <w:r w:rsidRPr="00FA0D37">
        <w:t xml:space="preserve">        n2-r16                                  </w:t>
      </w:r>
      <w:r w:rsidRPr="00FA0D37">
        <w:rPr>
          <w:color w:val="993366"/>
        </w:rPr>
        <w:t>SEQUENCE</w:t>
      </w:r>
      <w:r w:rsidRPr="00FA0D37">
        <w:t xml:space="preserve"> {</w:t>
      </w:r>
    </w:p>
    <w:p w14:paraId="2F8E7F7F" w14:textId="77777777" w:rsidR="00394471" w:rsidRPr="00FA0D37" w:rsidRDefault="00394471" w:rsidP="00FA0D37">
      <w:pPr>
        <w:pStyle w:val="PL"/>
      </w:pPr>
      <w:r w:rsidRPr="00FA0D37">
        <w:t xml:space="preserve">            combOffset-n2-r16                       </w:t>
      </w:r>
      <w:r w:rsidRPr="00FA0D37">
        <w:rPr>
          <w:color w:val="993366"/>
        </w:rPr>
        <w:t>INTEGER</w:t>
      </w:r>
      <w:r w:rsidRPr="00FA0D37">
        <w:t xml:space="preserve"> (0..1),</w:t>
      </w:r>
    </w:p>
    <w:p w14:paraId="08BDF758" w14:textId="77777777" w:rsidR="00394471" w:rsidRPr="00FA0D37" w:rsidRDefault="00394471" w:rsidP="00FA0D37">
      <w:pPr>
        <w:pStyle w:val="PL"/>
      </w:pPr>
      <w:r w:rsidRPr="00FA0D37">
        <w:t xml:space="preserve">            cyclicShift-n2-r16                      </w:t>
      </w:r>
      <w:r w:rsidRPr="00FA0D37">
        <w:rPr>
          <w:color w:val="993366"/>
        </w:rPr>
        <w:t>INTEGER</w:t>
      </w:r>
      <w:r w:rsidRPr="00FA0D37">
        <w:t xml:space="preserve"> (0..7)</w:t>
      </w:r>
    </w:p>
    <w:p w14:paraId="7AC69407" w14:textId="77777777" w:rsidR="00394471" w:rsidRPr="00FA0D37" w:rsidRDefault="00394471" w:rsidP="00FA0D37">
      <w:pPr>
        <w:pStyle w:val="PL"/>
      </w:pPr>
      <w:r w:rsidRPr="00FA0D37">
        <w:t xml:space="preserve">        },</w:t>
      </w:r>
    </w:p>
    <w:p w14:paraId="2F29BF10" w14:textId="77777777" w:rsidR="00394471" w:rsidRPr="00FA0D37" w:rsidRDefault="00394471" w:rsidP="00FA0D37">
      <w:pPr>
        <w:pStyle w:val="PL"/>
      </w:pPr>
      <w:r w:rsidRPr="00FA0D37">
        <w:t xml:space="preserve">        n4-r16                                  </w:t>
      </w:r>
      <w:r w:rsidRPr="00FA0D37">
        <w:rPr>
          <w:color w:val="993366"/>
        </w:rPr>
        <w:t>SEQUENCE</w:t>
      </w:r>
      <w:r w:rsidRPr="00FA0D37">
        <w:t xml:space="preserve"> {</w:t>
      </w:r>
    </w:p>
    <w:p w14:paraId="6F939FA7" w14:textId="79AFCA8A" w:rsidR="00394471" w:rsidRPr="00FA0D37" w:rsidRDefault="00394471" w:rsidP="00FA0D37">
      <w:pPr>
        <w:pStyle w:val="PL"/>
      </w:pPr>
      <w:r w:rsidRPr="00FA0D37">
        <w:t xml:space="preserve">            combOffset-n4-</w:t>
      </w:r>
      <w:r w:rsidR="005A6121" w:rsidRPr="00FA0D37">
        <w:t>r</w:t>
      </w:r>
      <w:r w:rsidRPr="00FA0D37">
        <w:t xml:space="preserve">16                        </w:t>
      </w:r>
      <w:r w:rsidRPr="00FA0D37">
        <w:rPr>
          <w:color w:val="993366"/>
        </w:rPr>
        <w:t>INTEGER</w:t>
      </w:r>
      <w:r w:rsidRPr="00FA0D37">
        <w:t xml:space="preserve"> (0..3),</w:t>
      </w:r>
    </w:p>
    <w:p w14:paraId="0D60B784" w14:textId="77777777" w:rsidR="00394471" w:rsidRPr="00FA0D37" w:rsidRDefault="00394471" w:rsidP="00FA0D37">
      <w:pPr>
        <w:pStyle w:val="PL"/>
      </w:pPr>
      <w:r w:rsidRPr="00FA0D37">
        <w:t xml:space="preserve">            cyclicShift-n4-r16                      </w:t>
      </w:r>
      <w:r w:rsidRPr="00FA0D37">
        <w:rPr>
          <w:color w:val="993366"/>
        </w:rPr>
        <w:t>INTEGER</w:t>
      </w:r>
      <w:r w:rsidRPr="00FA0D37">
        <w:t xml:space="preserve"> (0..11)</w:t>
      </w:r>
    </w:p>
    <w:p w14:paraId="526D0184" w14:textId="77777777" w:rsidR="00394471" w:rsidRPr="00FA0D37" w:rsidRDefault="00394471" w:rsidP="00FA0D37">
      <w:pPr>
        <w:pStyle w:val="PL"/>
      </w:pPr>
      <w:r w:rsidRPr="00FA0D37">
        <w:t xml:space="preserve">        },</w:t>
      </w:r>
    </w:p>
    <w:p w14:paraId="3AE0187E" w14:textId="77777777" w:rsidR="00394471" w:rsidRPr="00FA0D37" w:rsidRDefault="00394471" w:rsidP="00FA0D37">
      <w:pPr>
        <w:pStyle w:val="PL"/>
      </w:pPr>
      <w:r w:rsidRPr="00FA0D37">
        <w:t xml:space="preserve">        n8-r16                                  </w:t>
      </w:r>
      <w:r w:rsidRPr="00FA0D37">
        <w:rPr>
          <w:color w:val="993366"/>
        </w:rPr>
        <w:t>SEQUENCE</w:t>
      </w:r>
      <w:r w:rsidRPr="00FA0D37">
        <w:t xml:space="preserve"> {</w:t>
      </w:r>
    </w:p>
    <w:p w14:paraId="4218770F" w14:textId="77777777" w:rsidR="00394471" w:rsidRPr="00FA0D37" w:rsidRDefault="00394471" w:rsidP="00FA0D37">
      <w:pPr>
        <w:pStyle w:val="PL"/>
      </w:pPr>
      <w:r w:rsidRPr="00FA0D37">
        <w:t xml:space="preserve">            combOffset-n8-r16                       </w:t>
      </w:r>
      <w:r w:rsidRPr="00FA0D37">
        <w:rPr>
          <w:color w:val="993366"/>
        </w:rPr>
        <w:t>INTEGER</w:t>
      </w:r>
      <w:r w:rsidRPr="00FA0D37">
        <w:t xml:space="preserve"> (0..7),</w:t>
      </w:r>
    </w:p>
    <w:p w14:paraId="3F9C59C2" w14:textId="77777777" w:rsidR="00394471" w:rsidRPr="00FA0D37" w:rsidRDefault="00394471" w:rsidP="00FA0D37">
      <w:pPr>
        <w:pStyle w:val="PL"/>
      </w:pPr>
      <w:r w:rsidRPr="00FA0D37">
        <w:t xml:space="preserve">            cyclicShift-n8-r16                      </w:t>
      </w:r>
      <w:r w:rsidRPr="00FA0D37">
        <w:rPr>
          <w:color w:val="993366"/>
        </w:rPr>
        <w:t>INTEGER</w:t>
      </w:r>
      <w:r w:rsidRPr="00FA0D37">
        <w:t xml:space="preserve"> (0..5)</w:t>
      </w:r>
    </w:p>
    <w:p w14:paraId="6C2C431D" w14:textId="77777777" w:rsidR="00394471" w:rsidRPr="00FA0D37" w:rsidRDefault="00394471" w:rsidP="00FA0D37">
      <w:pPr>
        <w:pStyle w:val="PL"/>
      </w:pPr>
      <w:r w:rsidRPr="00FA0D37">
        <w:t xml:space="preserve">        },</w:t>
      </w:r>
    </w:p>
    <w:p w14:paraId="79178EFE" w14:textId="77777777" w:rsidR="00394471" w:rsidRPr="00FA0D37" w:rsidRDefault="00394471" w:rsidP="00FA0D37">
      <w:pPr>
        <w:pStyle w:val="PL"/>
      </w:pPr>
      <w:r w:rsidRPr="00FA0D37">
        <w:t xml:space="preserve">    ...</w:t>
      </w:r>
    </w:p>
    <w:p w14:paraId="17D59000" w14:textId="77777777" w:rsidR="00394471" w:rsidRPr="00FA0D37" w:rsidRDefault="00394471" w:rsidP="00FA0D37">
      <w:pPr>
        <w:pStyle w:val="PL"/>
      </w:pPr>
      <w:r w:rsidRPr="00FA0D37">
        <w:t xml:space="preserve">    },</w:t>
      </w:r>
    </w:p>
    <w:p w14:paraId="77020EDD" w14:textId="77777777" w:rsidR="00394471" w:rsidRPr="00FA0D37" w:rsidRDefault="00394471" w:rsidP="00FA0D37">
      <w:pPr>
        <w:pStyle w:val="PL"/>
      </w:pPr>
      <w:r w:rsidRPr="00FA0D37">
        <w:t xml:space="preserve">    resourceMapping-r16                       </w:t>
      </w:r>
      <w:r w:rsidRPr="00FA0D37">
        <w:rPr>
          <w:color w:val="993366"/>
        </w:rPr>
        <w:t>SEQUENCE</w:t>
      </w:r>
      <w:r w:rsidRPr="00FA0D37">
        <w:t xml:space="preserve"> {</w:t>
      </w:r>
    </w:p>
    <w:p w14:paraId="25011D56" w14:textId="77777777" w:rsidR="00394471" w:rsidRPr="00FA0D37" w:rsidRDefault="00394471" w:rsidP="00FA0D37">
      <w:pPr>
        <w:pStyle w:val="PL"/>
      </w:pPr>
      <w:r w:rsidRPr="00FA0D37">
        <w:t xml:space="preserve">        startPosition-r16                           </w:t>
      </w:r>
      <w:r w:rsidRPr="00FA0D37">
        <w:rPr>
          <w:color w:val="993366"/>
        </w:rPr>
        <w:t>INTEGER</w:t>
      </w:r>
      <w:r w:rsidRPr="00FA0D37">
        <w:t xml:space="preserve"> (0..13),</w:t>
      </w:r>
    </w:p>
    <w:p w14:paraId="36CF3932" w14:textId="77777777" w:rsidR="00394471" w:rsidRPr="00FA0D37" w:rsidRDefault="00394471" w:rsidP="00FA0D37">
      <w:pPr>
        <w:pStyle w:val="PL"/>
      </w:pPr>
      <w:r w:rsidRPr="00FA0D37">
        <w:t xml:space="preserve">        nrofSymbols-r16                             </w:t>
      </w:r>
      <w:r w:rsidRPr="00FA0D37">
        <w:rPr>
          <w:color w:val="993366"/>
        </w:rPr>
        <w:t>ENUMERATED</w:t>
      </w:r>
      <w:r w:rsidRPr="00FA0D37">
        <w:t xml:space="preserve"> {n1, n2, n4, n8, n12}</w:t>
      </w:r>
    </w:p>
    <w:p w14:paraId="46D1FB8B" w14:textId="77777777" w:rsidR="00394471" w:rsidRPr="00FA0D37" w:rsidRDefault="00394471" w:rsidP="00FA0D37">
      <w:pPr>
        <w:pStyle w:val="PL"/>
      </w:pPr>
      <w:r w:rsidRPr="00FA0D37">
        <w:t xml:space="preserve">    },</w:t>
      </w:r>
    </w:p>
    <w:p w14:paraId="00ABEF2C" w14:textId="77777777" w:rsidR="00394471" w:rsidRPr="00FA0D37" w:rsidRDefault="00394471" w:rsidP="00FA0D37">
      <w:pPr>
        <w:pStyle w:val="PL"/>
      </w:pPr>
      <w:r w:rsidRPr="00FA0D37">
        <w:t xml:space="preserve">    freqDomainShift-r16                       </w:t>
      </w:r>
      <w:r w:rsidRPr="00FA0D37">
        <w:rPr>
          <w:color w:val="993366"/>
        </w:rPr>
        <w:t>INTEGER</w:t>
      </w:r>
      <w:r w:rsidRPr="00FA0D37">
        <w:t xml:space="preserve"> (0..268),</w:t>
      </w:r>
    </w:p>
    <w:p w14:paraId="5F031F22" w14:textId="77777777" w:rsidR="00394471" w:rsidRPr="00FA0D37" w:rsidRDefault="00394471" w:rsidP="00FA0D37">
      <w:pPr>
        <w:pStyle w:val="PL"/>
      </w:pPr>
      <w:r w:rsidRPr="00FA0D37">
        <w:t xml:space="preserve">    freqHopping-r16                           </w:t>
      </w:r>
      <w:r w:rsidRPr="00FA0D37">
        <w:rPr>
          <w:color w:val="993366"/>
        </w:rPr>
        <w:t>SEQUENCE</w:t>
      </w:r>
      <w:r w:rsidRPr="00FA0D37">
        <w:t xml:space="preserve"> {</w:t>
      </w:r>
    </w:p>
    <w:p w14:paraId="15CE4561" w14:textId="77777777" w:rsidR="00394471" w:rsidRPr="00FA0D37" w:rsidRDefault="00394471" w:rsidP="00FA0D37">
      <w:pPr>
        <w:pStyle w:val="PL"/>
      </w:pPr>
      <w:r w:rsidRPr="00FA0D37">
        <w:t xml:space="preserve">        c-SRS-r16                                 </w:t>
      </w:r>
      <w:r w:rsidRPr="00FA0D37">
        <w:rPr>
          <w:color w:val="993366"/>
        </w:rPr>
        <w:t>INTEGER</w:t>
      </w:r>
      <w:r w:rsidRPr="00FA0D37">
        <w:t xml:space="preserve"> (0..63),</w:t>
      </w:r>
    </w:p>
    <w:p w14:paraId="25485A01" w14:textId="77777777" w:rsidR="00394471" w:rsidRPr="00FA0D37" w:rsidRDefault="00394471" w:rsidP="00FA0D37">
      <w:pPr>
        <w:pStyle w:val="PL"/>
      </w:pPr>
      <w:r w:rsidRPr="00FA0D37">
        <w:t xml:space="preserve">        ...</w:t>
      </w:r>
    </w:p>
    <w:p w14:paraId="63B1A1F1" w14:textId="77777777" w:rsidR="00394471" w:rsidRPr="00FA0D37" w:rsidRDefault="00394471" w:rsidP="00FA0D37">
      <w:pPr>
        <w:pStyle w:val="PL"/>
      </w:pPr>
      <w:r w:rsidRPr="00FA0D37">
        <w:t xml:space="preserve">    },</w:t>
      </w:r>
    </w:p>
    <w:p w14:paraId="309E82A1" w14:textId="77777777" w:rsidR="00394471" w:rsidRPr="00FA0D37" w:rsidRDefault="00394471" w:rsidP="00FA0D37">
      <w:pPr>
        <w:pStyle w:val="PL"/>
      </w:pPr>
      <w:r w:rsidRPr="00FA0D37">
        <w:t xml:space="preserve">    groupOrSequenceHopping-r16                </w:t>
      </w:r>
      <w:r w:rsidRPr="00FA0D37">
        <w:rPr>
          <w:color w:val="993366"/>
        </w:rPr>
        <w:t>ENUMERATED</w:t>
      </w:r>
      <w:r w:rsidRPr="00FA0D37">
        <w:t xml:space="preserve"> { neither, groupHopping, sequenceHopping },</w:t>
      </w:r>
    </w:p>
    <w:p w14:paraId="4C06196D" w14:textId="77777777" w:rsidR="00394471" w:rsidRPr="00FA0D37" w:rsidRDefault="00394471" w:rsidP="00FA0D37">
      <w:pPr>
        <w:pStyle w:val="PL"/>
      </w:pPr>
      <w:r w:rsidRPr="00FA0D37">
        <w:t xml:space="preserve">    resourceType-r16                          </w:t>
      </w:r>
      <w:r w:rsidRPr="00FA0D37">
        <w:rPr>
          <w:color w:val="993366"/>
        </w:rPr>
        <w:t>CHOICE</w:t>
      </w:r>
      <w:r w:rsidRPr="00FA0D37">
        <w:t xml:space="preserve"> {</w:t>
      </w:r>
    </w:p>
    <w:p w14:paraId="210A5A9E" w14:textId="77777777" w:rsidR="00394471" w:rsidRPr="00FA0D37" w:rsidRDefault="00394471" w:rsidP="00FA0D37">
      <w:pPr>
        <w:pStyle w:val="PL"/>
      </w:pPr>
      <w:r w:rsidRPr="00FA0D37">
        <w:t xml:space="preserve">        aperiodic-r16                             </w:t>
      </w:r>
      <w:r w:rsidRPr="00FA0D37">
        <w:rPr>
          <w:color w:val="993366"/>
        </w:rPr>
        <w:t>SEQUENCE</w:t>
      </w:r>
      <w:r w:rsidRPr="00FA0D37">
        <w:t xml:space="preserve"> {</w:t>
      </w:r>
    </w:p>
    <w:p w14:paraId="25432815" w14:textId="77777777" w:rsidR="00394471" w:rsidRPr="00FA0D37" w:rsidRDefault="00394471" w:rsidP="00FA0D37">
      <w:pPr>
        <w:pStyle w:val="PL"/>
        <w:rPr>
          <w:color w:val="808080"/>
        </w:rPr>
      </w:pPr>
      <w:r w:rsidRPr="00FA0D37">
        <w:t xml:space="preserve">            slotOffset-r16                            </w:t>
      </w:r>
      <w:r w:rsidRPr="00FA0D37">
        <w:rPr>
          <w:color w:val="993366"/>
        </w:rPr>
        <w:t>INTEGER</w:t>
      </w:r>
      <w:r w:rsidRPr="00FA0D37">
        <w:t xml:space="preserve"> (1..32)                                      </w:t>
      </w:r>
      <w:r w:rsidRPr="00FA0D37">
        <w:rPr>
          <w:color w:val="993366"/>
        </w:rPr>
        <w:t>OPTIONAL</w:t>
      </w:r>
      <w:r w:rsidRPr="00FA0D37">
        <w:t xml:space="preserve">,   </w:t>
      </w:r>
      <w:r w:rsidRPr="00FA0D37">
        <w:rPr>
          <w:color w:val="808080"/>
        </w:rPr>
        <w:t>-- Need S</w:t>
      </w:r>
    </w:p>
    <w:p w14:paraId="1C656873" w14:textId="77777777" w:rsidR="00394471" w:rsidRPr="00FA0D37" w:rsidRDefault="00394471" w:rsidP="00FA0D37">
      <w:pPr>
        <w:pStyle w:val="PL"/>
      </w:pPr>
      <w:r w:rsidRPr="00FA0D37">
        <w:t xml:space="preserve">            ...</w:t>
      </w:r>
    </w:p>
    <w:p w14:paraId="7964CDCE" w14:textId="77777777" w:rsidR="00394471" w:rsidRPr="00FA0D37" w:rsidRDefault="00394471" w:rsidP="00FA0D37">
      <w:pPr>
        <w:pStyle w:val="PL"/>
      </w:pPr>
      <w:r w:rsidRPr="00FA0D37">
        <w:t xml:space="preserve">        },</w:t>
      </w:r>
    </w:p>
    <w:p w14:paraId="2B38435C" w14:textId="77777777" w:rsidR="00394471" w:rsidRPr="00FA0D37" w:rsidRDefault="00394471" w:rsidP="00FA0D37">
      <w:pPr>
        <w:pStyle w:val="PL"/>
      </w:pPr>
      <w:r w:rsidRPr="00FA0D37">
        <w:t xml:space="preserve">        semi-persistent-r16                       </w:t>
      </w:r>
      <w:r w:rsidRPr="00FA0D37">
        <w:rPr>
          <w:color w:val="993366"/>
        </w:rPr>
        <w:t>SEQUENCE</w:t>
      </w:r>
      <w:r w:rsidRPr="00FA0D37">
        <w:t xml:space="preserve"> {</w:t>
      </w:r>
    </w:p>
    <w:p w14:paraId="287CED13" w14:textId="77777777" w:rsidR="00394471" w:rsidRPr="00FA0D37" w:rsidRDefault="00394471" w:rsidP="00FA0D37">
      <w:pPr>
        <w:pStyle w:val="PL"/>
      </w:pPr>
      <w:r w:rsidRPr="00FA0D37">
        <w:t xml:space="preserve">            periodicityAndOffset-sp-r16               SRS-PeriodicityAndOffset-r16,</w:t>
      </w:r>
    </w:p>
    <w:p w14:paraId="28CD7C40" w14:textId="6FB4347A" w:rsidR="00963709" w:rsidRPr="00FA0D37" w:rsidRDefault="00394471" w:rsidP="00FA0D37">
      <w:pPr>
        <w:pStyle w:val="PL"/>
      </w:pPr>
      <w:r w:rsidRPr="00FA0D37">
        <w:t xml:space="preserve">            ...</w:t>
      </w:r>
      <w:r w:rsidR="00963709" w:rsidRPr="00FA0D37">
        <w:t>,</w:t>
      </w:r>
    </w:p>
    <w:p w14:paraId="6E247778" w14:textId="77777777" w:rsidR="00963709" w:rsidRPr="00FA0D37" w:rsidRDefault="00963709" w:rsidP="00FA0D37">
      <w:pPr>
        <w:pStyle w:val="PL"/>
      </w:pPr>
      <w:r w:rsidRPr="00FA0D37">
        <w:t xml:space="preserve">            [[</w:t>
      </w:r>
    </w:p>
    <w:p w14:paraId="080816BB" w14:textId="669D0D43" w:rsidR="00963709" w:rsidRPr="00FA0D37" w:rsidRDefault="00963709" w:rsidP="00FA0D37">
      <w:pPr>
        <w:pStyle w:val="PL"/>
        <w:rPr>
          <w:color w:val="808080"/>
        </w:rPr>
      </w:pPr>
      <w:r w:rsidRPr="00FA0D37">
        <w:t xml:space="preserve">            periodicityAndOffset-sp-Ext-r16           SRS-PeriodicityAndOffsetExt-r16                      </w:t>
      </w:r>
      <w:r w:rsidRPr="00FA0D37">
        <w:rPr>
          <w:color w:val="993366"/>
        </w:rPr>
        <w:t>OPTIONAL</w:t>
      </w:r>
      <w:r w:rsidRPr="00FA0D37">
        <w:t xml:space="preserve">    </w:t>
      </w:r>
      <w:r w:rsidRPr="00FA0D37">
        <w:rPr>
          <w:color w:val="808080"/>
        </w:rPr>
        <w:t>-- Need R</w:t>
      </w:r>
    </w:p>
    <w:p w14:paraId="5B9FC4C6" w14:textId="395CB935" w:rsidR="00394471" w:rsidRPr="00FA0D37" w:rsidRDefault="00963709" w:rsidP="00FA0D37">
      <w:pPr>
        <w:pStyle w:val="PL"/>
      </w:pPr>
      <w:r w:rsidRPr="00FA0D37">
        <w:t xml:space="preserve">            ]]</w:t>
      </w:r>
    </w:p>
    <w:p w14:paraId="1B4CB5BA" w14:textId="77777777" w:rsidR="00394471" w:rsidRPr="00FA0D37" w:rsidRDefault="00394471" w:rsidP="00FA0D37">
      <w:pPr>
        <w:pStyle w:val="PL"/>
      </w:pPr>
      <w:r w:rsidRPr="00FA0D37">
        <w:t xml:space="preserve">        },</w:t>
      </w:r>
    </w:p>
    <w:p w14:paraId="68E45338" w14:textId="77777777" w:rsidR="00394471" w:rsidRPr="00FA0D37" w:rsidRDefault="00394471" w:rsidP="00FA0D37">
      <w:pPr>
        <w:pStyle w:val="PL"/>
      </w:pPr>
      <w:r w:rsidRPr="00FA0D37">
        <w:t xml:space="preserve">        periodic-r16                              </w:t>
      </w:r>
      <w:r w:rsidRPr="00FA0D37">
        <w:rPr>
          <w:color w:val="993366"/>
        </w:rPr>
        <w:t>SEQUENCE</w:t>
      </w:r>
      <w:r w:rsidRPr="00FA0D37">
        <w:t xml:space="preserve"> {</w:t>
      </w:r>
    </w:p>
    <w:p w14:paraId="1A598375" w14:textId="77777777" w:rsidR="00394471" w:rsidRPr="00FA0D37" w:rsidRDefault="00394471" w:rsidP="00FA0D37">
      <w:pPr>
        <w:pStyle w:val="PL"/>
      </w:pPr>
      <w:r w:rsidRPr="00FA0D37">
        <w:t xml:space="preserve">            periodicityAndOffset-p-r16                SRS-PeriodicityAndOffset-r16,</w:t>
      </w:r>
    </w:p>
    <w:p w14:paraId="6C01B960" w14:textId="6FC774FB" w:rsidR="00963709" w:rsidRPr="00FA0D37" w:rsidRDefault="00394471" w:rsidP="00FA0D37">
      <w:pPr>
        <w:pStyle w:val="PL"/>
      </w:pPr>
      <w:r w:rsidRPr="00FA0D37">
        <w:t xml:space="preserve">            ...</w:t>
      </w:r>
      <w:r w:rsidR="00963709" w:rsidRPr="00FA0D37">
        <w:t>,</w:t>
      </w:r>
    </w:p>
    <w:p w14:paraId="19318D81" w14:textId="77777777" w:rsidR="00963709" w:rsidRPr="00FA0D37" w:rsidRDefault="00963709" w:rsidP="00FA0D37">
      <w:pPr>
        <w:pStyle w:val="PL"/>
      </w:pPr>
      <w:r w:rsidRPr="00FA0D37">
        <w:t xml:space="preserve">            [[</w:t>
      </w:r>
    </w:p>
    <w:p w14:paraId="1D0E5F50" w14:textId="1F43630F" w:rsidR="00963709" w:rsidRPr="00FA0D37" w:rsidRDefault="00963709" w:rsidP="00FA0D37">
      <w:pPr>
        <w:pStyle w:val="PL"/>
        <w:rPr>
          <w:color w:val="808080"/>
        </w:rPr>
      </w:pPr>
      <w:r w:rsidRPr="00FA0D37">
        <w:t xml:space="preserve">            periodicityAndOffset-p-Ext-r16            SRS-PeriodicityAndOffsetExt-r16                      </w:t>
      </w:r>
      <w:r w:rsidRPr="00FA0D37">
        <w:rPr>
          <w:color w:val="993366"/>
        </w:rPr>
        <w:t>OPTIONAL</w:t>
      </w:r>
      <w:r w:rsidRPr="00FA0D37">
        <w:t xml:space="preserve">    </w:t>
      </w:r>
      <w:r w:rsidRPr="00FA0D37">
        <w:rPr>
          <w:color w:val="808080"/>
        </w:rPr>
        <w:t>-- Need R</w:t>
      </w:r>
    </w:p>
    <w:p w14:paraId="7714D97F" w14:textId="4B6B448C" w:rsidR="00394471" w:rsidRPr="00FA0D37" w:rsidRDefault="00963709" w:rsidP="00FA0D37">
      <w:pPr>
        <w:pStyle w:val="PL"/>
      </w:pPr>
      <w:r w:rsidRPr="00FA0D37">
        <w:t xml:space="preserve">            ]]</w:t>
      </w:r>
    </w:p>
    <w:p w14:paraId="75E8CD9A" w14:textId="77777777" w:rsidR="00394471" w:rsidRPr="00FA0D37" w:rsidRDefault="00394471" w:rsidP="00FA0D37">
      <w:pPr>
        <w:pStyle w:val="PL"/>
      </w:pPr>
      <w:r w:rsidRPr="00FA0D37">
        <w:t xml:space="preserve">        }</w:t>
      </w:r>
    </w:p>
    <w:p w14:paraId="7F247F82" w14:textId="77777777" w:rsidR="00394471" w:rsidRPr="00FA0D37" w:rsidRDefault="00394471" w:rsidP="00FA0D37">
      <w:pPr>
        <w:pStyle w:val="PL"/>
      </w:pPr>
      <w:r w:rsidRPr="00FA0D37">
        <w:t xml:space="preserve">    },</w:t>
      </w:r>
    </w:p>
    <w:p w14:paraId="363C9417" w14:textId="77777777" w:rsidR="00394471" w:rsidRPr="00FA0D37" w:rsidRDefault="00394471" w:rsidP="00FA0D37">
      <w:pPr>
        <w:pStyle w:val="PL"/>
      </w:pPr>
      <w:r w:rsidRPr="00FA0D37">
        <w:t xml:space="preserve">    sequenceId-r16                            </w:t>
      </w:r>
      <w:r w:rsidRPr="00FA0D37">
        <w:rPr>
          <w:color w:val="993366"/>
        </w:rPr>
        <w:t>INTEGER</w:t>
      </w:r>
      <w:r w:rsidRPr="00FA0D37">
        <w:t xml:space="preserve"> (0..65535),</w:t>
      </w:r>
    </w:p>
    <w:p w14:paraId="4D0A058E" w14:textId="77777777" w:rsidR="00394471" w:rsidRPr="00FA0D37" w:rsidRDefault="00394471" w:rsidP="00FA0D37">
      <w:pPr>
        <w:pStyle w:val="PL"/>
        <w:rPr>
          <w:color w:val="808080"/>
        </w:rPr>
      </w:pPr>
      <w:r w:rsidRPr="00FA0D37">
        <w:lastRenderedPageBreak/>
        <w:t xml:space="preserve">    spatialRelationInfoPos-r16                SRS-SpatialRelationInfoPos-r16                               </w:t>
      </w:r>
      <w:r w:rsidRPr="00FA0D37">
        <w:rPr>
          <w:color w:val="993366"/>
        </w:rPr>
        <w:t>OPTIONAL</w:t>
      </w:r>
      <w:r w:rsidRPr="00FA0D37">
        <w:t xml:space="preserve">,   </w:t>
      </w:r>
      <w:r w:rsidRPr="00FA0D37">
        <w:rPr>
          <w:color w:val="808080"/>
        </w:rPr>
        <w:t>-- Need R</w:t>
      </w:r>
    </w:p>
    <w:p w14:paraId="1483F234" w14:textId="77777777" w:rsidR="00394471" w:rsidRPr="00FA0D37" w:rsidRDefault="00394471" w:rsidP="00FA0D37">
      <w:pPr>
        <w:pStyle w:val="PL"/>
      </w:pPr>
      <w:r w:rsidRPr="00FA0D37">
        <w:t xml:space="preserve">    ...</w:t>
      </w:r>
    </w:p>
    <w:p w14:paraId="24EF71A9" w14:textId="77777777" w:rsidR="00394471" w:rsidRPr="00FA0D37" w:rsidRDefault="00394471" w:rsidP="00FA0D37">
      <w:pPr>
        <w:pStyle w:val="PL"/>
      </w:pPr>
      <w:r w:rsidRPr="00FA0D37">
        <w:t>}</w:t>
      </w:r>
    </w:p>
    <w:p w14:paraId="10E81FC9" w14:textId="77777777" w:rsidR="00394471" w:rsidRPr="00FA0D37" w:rsidRDefault="00394471" w:rsidP="00FA0D37">
      <w:pPr>
        <w:pStyle w:val="PL"/>
      </w:pPr>
    </w:p>
    <w:p w14:paraId="34182F1F" w14:textId="77777777" w:rsidR="00394471" w:rsidRPr="00FA0D37" w:rsidRDefault="00394471" w:rsidP="00FA0D37">
      <w:pPr>
        <w:pStyle w:val="PL"/>
      </w:pPr>
      <w:r w:rsidRPr="00FA0D37">
        <w:t xml:space="preserve">SRS-SpatialRelationInfo ::=     </w:t>
      </w:r>
      <w:r w:rsidRPr="00FA0D37">
        <w:rPr>
          <w:color w:val="993366"/>
        </w:rPr>
        <w:t>SEQUENCE</w:t>
      </w:r>
      <w:r w:rsidRPr="00FA0D37">
        <w:t xml:space="preserve"> {</w:t>
      </w:r>
    </w:p>
    <w:p w14:paraId="1ED48E95" w14:textId="77777777" w:rsidR="00394471" w:rsidRPr="00FA0D37" w:rsidRDefault="00394471" w:rsidP="00FA0D37">
      <w:pPr>
        <w:pStyle w:val="PL"/>
        <w:rPr>
          <w:color w:val="808080"/>
        </w:rPr>
      </w:pPr>
      <w:r w:rsidRPr="00FA0D37">
        <w:t xml:space="preserve">    servingCellId                       ServCellIndex                                                      </w:t>
      </w:r>
      <w:r w:rsidRPr="00FA0D37">
        <w:rPr>
          <w:color w:val="993366"/>
        </w:rPr>
        <w:t>OPTIONAL</w:t>
      </w:r>
      <w:r w:rsidRPr="00FA0D37">
        <w:t xml:space="preserve">,   </w:t>
      </w:r>
      <w:r w:rsidRPr="00FA0D37">
        <w:rPr>
          <w:color w:val="808080"/>
        </w:rPr>
        <w:t>-- Need S</w:t>
      </w:r>
    </w:p>
    <w:p w14:paraId="5B6EA732" w14:textId="77777777" w:rsidR="00394471" w:rsidRPr="00FA0D37" w:rsidRDefault="00394471" w:rsidP="00FA0D37">
      <w:pPr>
        <w:pStyle w:val="PL"/>
      </w:pPr>
      <w:r w:rsidRPr="00FA0D37">
        <w:t xml:space="preserve">    referenceSignal                     </w:t>
      </w:r>
      <w:r w:rsidRPr="00FA0D37">
        <w:rPr>
          <w:color w:val="993366"/>
        </w:rPr>
        <w:t>CHOICE</w:t>
      </w:r>
      <w:r w:rsidRPr="00FA0D37">
        <w:t xml:space="preserve"> {</w:t>
      </w:r>
    </w:p>
    <w:p w14:paraId="3F11046D" w14:textId="77777777" w:rsidR="00394471" w:rsidRPr="00FA0D37" w:rsidRDefault="00394471" w:rsidP="00FA0D37">
      <w:pPr>
        <w:pStyle w:val="PL"/>
      </w:pPr>
      <w:r w:rsidRPr="00FA0D37">
        <w:t xml:space="preserve">        ssb-Index                           SSB-Index,</w:t>
      </w:r>
    </w:p>
    <w:p w14:paraId="0AE3AC95" w14:textId="77777777" w:rsidR="00394471" w:rsidRPr="00FA0D37" w:rsidRDefault="00394471" w:rsidP="00FA0D37">
      <w:pPr>
        <w:pStyle w:val="PL"/>
      </w:pPr>
      <w:r w:rsidRPr="00FA0D37">
        <w:t xml:space="preserve">        csi-RS-Index                        NZP-CSI-RS-ResourceId,</w:t>
      </w:r>
    </w:p>
    <w:p w14:paraId="5B608195" w14:textId="77777777" w:rsidR="00394471" w:rsidRPr="00FA0D37" w:rsidRDefault="00394471" w:rsidP="00FA0D37">
      <w:pPr>
        <w:pStyle w:val="PL"/>
      </w:pPr>
      <w:r w:rsidRPr="00FA0D37">
        <w:t xml:space="preserve">        srs                                 </w:t>
      </w:r>
      <w:r w:rsidRPr="00FA0D37">
        <w:rPr>
          <w:color w:val="993366"/>
        </w:rPr>
        <w:t>SEQUENCE</w:t>
      </w:r>
      <w:r w:rsidRPr="00FA0D37">
        <w:t xml:space="preserve"> {</w:t>
      </w:r>
    </w:p>
    <w:p w14:paraId="20580679" w14:textId="77777777" w:rsidR="00394471" w:rsidRPr="00FA0D37" w:rsidRDefault="00394471" w:rsidP="00FA0D37">
      <w:pPr>
        <w:pStyle w:val="PL"/>
      </w:pPr>
      <w:r w:rsidRPr="00FA0D37">
        <w:t xml:space="preserve">            resourceId                          SRS-ResourceId,</w:t>
      </w:r>
    </w:p>
    <w:p w14:paraId="6BFD2586" w14:textId="77777777" w:rsidR="00394471" w:rsidRPr="00FA0D37" w:rsidRDefault="00394471" w:rsidP="00FA0D37">
      <w:pPr>
        <w:pStyle w:val="PL"/>
      </w:pPr>
      <w:r w:rsidRPr="00FA0D37">
        <w:t xml:space="preserve">            uplinkBWP                           BWP-Id</w:t>
      </w:r>
    </w:p>
    <w:p w14:paraId="69957027" w14:textId="77777777" w:rsidR="00394471" w:rsidRPr="00FA0D37" w:rsidRDefault="00394471" w:rsidP="00FA0D37">
      <w:pPr>
        <w:pStyle w:val="PL"/>
      </w:pPr>
      <w:r w:rsidRPr="00FA0D37">
        <w:t xml:space="preserve">        }</w:t>
      </w:r>
    </w:p>
    <w:p w14:paraId="24FC665B" w14:textId="77777777" w:rsidR="00394471" w:rsidRPr="00FA0D37" w:rsidRDefault="00394471" w:rsidP="00FA0D37">
      <w:pPr>
        <w:pStyle w:val="PL"/>
      </w:pPr>
      <w:r w:rsidRPr="00FA0D37">
        <w:t xml:space="preserve">    }</w:t>
      </w:r>
    </w:p>
    <w:p w14:paraId="01EF70E7" w14:textId="77777777" w:rsidR="00394471" w:rsidRPr="00FA0D37" w:rsidRDefault="00394471" w:rsidP="00FA0D37">
      <w:pPr>
        <w:pStyle w:val="PL"/>
      </w:pPr>
      <w:r w:rsidRPr="00FA0D37">
        <w:t>}</w:t>
      </w:r>
    </w:p>
    <w:p w14:paraId="59CAF81A" w14:textId="77777777" w:rsidR="00394471" w:rsidRPr="00FA0D37" w:rsidRDefault="00394471" w:rsidP="00FA0D37">
      <w:pPr>
        <w:pStyle w:val="PL"/>
      </w:pPr>
    </w:p>
    <w:p w14:paraId="5A9CE167" w14:textId="77777777" w:rsidR="00394471" w:rsidRPr="00FA0D37" w:rsidRDefault="00394471" w:rsidP="00FA0D37">
      <w:pPr>
        <w:pStyle w:val="PL"/>
      </w:pPr>
      <w:r w:rsidRPr="00FA0D37">
        <w:t xml:space="preserve">SRS-SpatialRelationInfoPos-r16 ::=      </w:t>
      </w:r>
      <w:r w:rsidRPr="00FA0D37">
        <w:rPr>
          <w:color w:val="993366"/>
        </w:rPr>
        <w:t>CHOICE</w:t>
      </w:r>
      <w:r w:rsidRPr="00FA0D37">
        <w:t xml:space="preserve"> {</w:t>
      </w:r>
    </w:p>
    <w:p w14:paraId="4F8002BC" w14:textId="77777777" w:rsidR="00394471" w:rsidRPr="00FA0D37" w:rsidRDefault="00394471" w:rsidP="00FA0D37">
      <w:pPr>
        <w:pStyle w:val="PL"/>
      </w:pPr>
      <w:r w:rsidRPr="00FA0D37">
        <w:t xml:space="preserve">    servingRS-r16                           </w:t>
      </w:r>
      <w:r w:rsidRPr="00FA0D37">
        <w:rPr>
          <w:color w:val="993366"/>
        </w:rPr>
        <w:t>SEQUENCE</w:t>
      </w:r>
      <w:r w:rsidRPr="00FA0D37">
        <w:t xml:space="preserve"> {</w:t>
      </w:r>
    </w:p>
    <w:p w14:paraId="7CF5C9B9" w14:textId="77777777" w:rsidR="00394471" w:rsidRPr="00FA0D37" w:rsidRDefault="00394471" w:rsidP="00FA0D37">
      <w:pPr>
        <w:pStyle w:val="PL"/>
        <w:rPr>
          <w:color w:val="808080"/>
        </w:rPr>
      </w:pPr>
      <w:r w:rsidRPr="00FA0D37">
        <w:t xml:space="preserve">        servingCellId                           ServCellIndex                                              </w:t>
      </w:r>
      <w:r w:rsidRPr="00FA0D37">
        <w:rPr>
          <w:color w:val="993366"/>
        </w:rPr>
        <w:t>OPTIONAL</w:t>
      </w:r>
      <w:r w:rsidRPr="00FA0D37">
        <w:t xml:space="preserve">,   </w:t>
      </w:r>
      <w:r w:rsidRPr="00FA0D37">
        <w:rPr>
          <w:color w:val="808080"/>
        </w:rPr>
        <w:t>-- Need S</w:t>
      </w:r>
    </w:p>
    <w:p w14:paraId="7C48BFD4" w14:textId="77777777" w:rsidR="00394471" w:rsidRPr="00FA0D37" w:rsidRDefault="00394471" w:rsidP="00FA0D37">
      <w:pPr>
        <w:pStyle w:val="PL"/>
      </w:pPr>
      <w:r w:rsidRPr="00FA0D37">
        <w:t xml:space="preserve">        referenceSignal-r16                     </w:t>
      </w:r>
      <w:r w:rsidRPr="00FA0D37">
        <w:rPr>
          <w:color w:val="993366"/>
        </w:rPr>
        <w:t>CHOICE</w:t>
      </w:r>
      <w:r w:rsidRPr="00FA0D37">
        <w:t xml:space="preserve"> {</w:t>
      </w:r>
    </w:p>
    <w:p w14:paraId="0DF43183" w14:textId="77777777" w:rsidR="00394471" w:rsidRPr="00FA0D37" w:rsidRDefault="00394471" w:rsidP="00FA0D37">
      <w:pPr>
        <w:pStyle w:val="PL"/>
      </w:pPr>
      <w:r w:rsidRPr="00FA0D37">
        <w:t xml:space="preserve">            ssb-IndexServing-r16                    SSB-Index,</w:t>
      </w:r>
    </w:p>
    <w:p w14:paraId="6C1C2E0D" w14:textId="77777777" w:rsidR="00394471" w:rsidRPr="00FA0D37" w:rsidRDefault="00394471" w:rsidP="00FA0D37">
      <w:pPr>
        <w:pStyle w:val="PL"/>
      </w:pPr>
      <w:r w:rsidRPr="00FA0D37">
        <w:t xml:space="preserve">            csi-RS-IndexServing-r16                 NZP-CSI-RS-ResourceId,</w:t>
      </w:r>
    </w:p>
    <w:p w14:paraId="101FA329" w14:textId="77777777" w:rsidR="00394471" w:rsidRPr="00FA0D37" w:rsidRDefault="00394471" w:rsidP="00FA0D37">
      <w:pPr>
        <w:pStyle w:val="PL"/>
      </w:pPr>
      <w:r w:rsidRPr="00FA0D37">
        <w:t xml:space="preserve">            srs-SpatialRelation-r16                 </w:t>
      </w:r>
      <w:r w:rsidRPr="00FA0D37">
        <w:rPr>
          <w:color w:val="993366"/>
        </w:rPr>
        <w:t>SEQUENCE</w:t>
      </w:r>
      <w:r w:rsidRPr="00FA0D37">
        <w:t xml:space="preserve"> {</w:t>
      </w:r>
    </w:p>
    <w:p w14:paraId="28C307E1" w14:textId="77777777" w:rsidR="00394471" w:rsidRPr="00FA0D37" w:rsidRDefault="00394471" w:rsidP="00FA0D37">
      <w:pPr>
        <w:pStyle w:val="PL"/>
      </w:pPr>
      <w:r w:rsidRPr="00FA0D37">
        <w:t xml:space="preserve">                resourceSelection-r16                   </w:t>
      </w:r>
      <w:r w:rsidRPr="00FA0D37">
        <w:rPr>
          <w:color w:val="993366"/>
        </w:rPr>
        <w:t>CHOICE</w:t>
      </w:r>
      <w:r w:rsidRPr="00FA0D37">
        <w:t xml:space="preserve"> {</w:t>
      </w:r>
    </w:p>
    <w:p w14:paraId="5D120E1D" w14:textId="77777777" w:rsidR="00394471" w:rsidRPr="00FA0D37" w:rsidRDefault="00394471" w:rsidP="00FA0D37">
      <w:pPr>
        <w:pStyle w:val="PL"/>
      </w:pPr>
      <w:r w:rsidRPr="00FA0D37">
        <w:t xml:space="preserve">                    srs-ResourceId-r16                      SRS-ResourceId,</w:t>
      </w:r>
    </w:p>
    <w:p w14:paraId="18B46466" w14:textId="77777777" w:rsidR="00394471" w:rsidRPr="00FA0D37" w:rsidRDefault="00394471" w:rsidP="00FA0D37">
      <w:pPr>
        <w:pStyle w:val="PL"/>
      </w:pPr>
      <w:r w:rsidRPr="00FA0D37">
        <w:t xml:space="preserve">                    srs-PosResourceId-r16                   SRS-PosResourceId-r16</w:t>
      </w:r>
    </w:p>
    <w:p w14:paraId="5B7C6C2D" w14:textId="77777777" w:rsidR="00394471" w:rsidRPr="00FA0D37" w:rsidRDefault="00394471" w:rsidP="00FA0D37">
      <w:pPr>
        <w:pStyle w:val="PL"/>
      </w:pPr>
      <w:r w:rsidRPr="00FA0D37">
        <w:t xml:space="preserve">                },</w:t>
      </w:r>
    </w:p>
    <w:p w14:paraId="4F4EF35B" w14:textId="77777777" w:rsidR="00394471" w:rsidRPr="00FA0D37" w:rsidRDefault="00394471" w:rsidP="00FA0D37">
      <w:pPr>
        <w:pStyle w:val="PL"/>
      </w:pPr>
      <w:r w:rsidRPr="00FA0D37">
        <w:t xml:space="preserve">                uplinkBWP-r16                           BWP-Id</w:t>
      </w:r>
    </w:p>
    <w:p w14:paraId="22DAD150" w14:textId="77777777" w:rsidR="00394471" w:rsidRPr="00FA0D37" w:rsidRDefault="00394471" w:rsidP="00FA0D37">
      <w:pPr>
        <w:pStyle w:val="PL"/>
      </w:pPr>
      <w:r w:rsidRPr="00FA0D37">
        <w:t xml:space="preserve">            }</w:t>
      </w:r>
    </w:p>
    <w:p w14:paraId="3F9CA914" w14:textId="77777777" w:rsidR="00394471" w:rsidRPr="00FA0D37" w:rsidRDefault="00394471" w:rsidP="00FA0D37">
      <w:pPr>
        <w:pStyle w:val="PL"/>
      </w:pPr>
      <w:r w:rsidRPr="00FA0D37">
        <w:t xml:space="preserve">        }</w:t>
      </w:r>
    </w:p>
    <w:p w14:paraId="780F34E3" w14:textId="77777777" w:rsidR="00394471" w:rsidRPr="00FA0D37" w:rsidRDefault="00394471" w:rsidP="00FA0D37">
      <w:pPr>
        <w:pStyle w:val="PL"/>
      </w:pPr>
      <w:r w:rsidRPr="00FA0D37">
        <w:t xml:space="preserve">    },</w:t>
      </w:r>
    </w:p>
    <w:p w14:paraId="7A6CD362" w14:textId="77777777" w:rsidR="00394471" w:rsidRPr="00FA0D37" w:rsidRDefault="00394471" w:rsidP="00FA0D37">
      <w:pPr>
        <w:pStyle w:val="PL"/>
      </w:pPr>
      <w:r w:rsidRPr="00FA0D37">
        <w:t xml:space="preserve">    ssb-Ncell-r16                           SSB-InfoNcell-r16,</w:t>
      </w:r>
    </w:p>
    <w:p w14:paraId="3BF65E99" w14:textId="77777777" w:rsidR="00394471" w:rsidRPr="00FA0D37" w:rsidRDefault="00394471" w:rsidP="00FA0D37">
      <w:pPr>
        <w:pStyle w:val="PL"/>
      </w:pPr>
      <w:r w:rsidRPr="00FA0D37">
        <w:t xml:space="preserve">    dl-PRS-r16                              DL-PRS-Info-r16</w:t>
      </w:r>
    </w:p>
    <w:p w14:paraId="7597E121" w14:textId="77777777" w:rsidR="00394471" w:rsidRPr="00FA0D37" w:rsidRDefault="00394471" w:rsidP="00FA0D37">
      <w:pPr>
        <w:pStyle w:val="PL"/>
      </w:pPr>
      <w:r w:rsidRPr="00FA0D37">
        <w:t>}</w:t>
      </w:r>
    </w:p>
    <w:p w14:paraId="5EA4AF1D" w14:textId="77777777" w:rsidR="00394471" w:rsidRPr="00FA0D37" w:rsidRDefault="00394471" w:rsidP="00FA0D37">
      <w:pPr>
        <w:pStyle w:val="PL"/>
      </w:pPr>
    </w:p>
    <w:p w14:paraId="6EDEDCC0" w14:textId="77777777" w:rsidR="00394471" w:rsidRPr="00FA0D37" w:rsidRDefault="00394471" w:rsidP="00FA0D37">
      <w:pPr>
        <w:pStyle w:val="PL"/>
      </w:pPr>
      <w:r w:rsidRPr="00FA0D37">
        <w:t xml:space="preserve">SSB-Configuration-r16  ::=          </w:t>
      </w:r>
      <w:r w:rsidRPr="00FA0D37">
        <w:rPr>
          <w:color w:val="993366"/>
        </w:rPr>
        <w:t>SEQUENCE</w:t>
      </w:r>
      <w:r w:rsidRPr="00FA0D37">
        <w:t xml:space="preserve"> {</w:t>
      </w:r>
    </w:p>
    <w:p w14:paraId="76C79D32" w14:textId="77777777" w:rsidR="00394471" w:rsidRPr="00FA0D37" w:rsidRDefault="00394471" w:rsidP="00FA0D37">
      <w:pPr>
        <w:pStyle w:val="PL"/>
      </w:pPr>
      <w:r w:rsidRPr="00FA0D37">
        <w:t xml:space="preserve">    ssb-Freq-r16                     ARFCN-ValueNR,</w:t>
      </w:r>
    </w:p>
    <w:p w14:paraId="62E67349" w14:textId="77777777" w:rsidR="00394471" w:rsidRPr="00FA0D37" w:rsidRDefault="00394471" w:rsidP="00FA0D37">
      <w:pPr>
        <w:pStyle w:val="PL"/>
      </w:pPr>
      <w:r w:rsidRPr="00FA0D37">
        <w:t xml:space="preserve">    halfFrameIndex-r16                  </w:t>
      </w:r>
      <w:r w:rsidRPr="00FA0D37">
        <w:rPr>
          <w:color w:val="993366"/>
        </w:rPr>
        <w:t>ENUMERATED</w:t>
      </w:r>
      <w:r w:rsidRPr="00FA0D37">
        <w:t xml:space="preserve"> {zero, one},</w:t>
      </w:r>
    </w:p>
    <w:p w14:paraId="3DE1958E" w14:textId="77777777" w:rsidR="00394471" w:rsidRPr="00FA0D37" w:rsidRDefault="00394471" w:rsidP="00FA0D37">
      <w:pPr>
        <w:pStyle w:val="PL"/>
      </w:pPr>
      <w:r w:rsidRPr="00FA0D37">
        <w:t xml:space="preserve">    ssbSubcarrierSpacing-r16            SubcarrierSpacing,</w:t>
      </w:r>
    </w:p>
    <w:p w14:paraId="123340DB" w14:textId="77777777" w:rsidR="00394471" w:rsidRPr="00FA0D37" w:rsidRDefault="00394471" w:rsidP="00FA0D37">
      <w:pPr>
        <w:pStyle w:val="PL"/>
        <w:rPr>
          <w:color w:val="808080"/>
        </w:rPr>
      </w:pPr>
      <w:r w:rsidRPr="00FA0D37">
        <w:t xml:space="preserve">    ssb-Periodicity-r16                 </w:t>
      </w:r>
      <w:r w:rsidRPr="00FA0D37">
        <w:rPr>
          <w:color w:val="993366"/>
        </w:rPr>
        <w:t>ENUMERATED</w:t>
      </w:r>
      <w:r w:rsidRPr="00FA0D37">
        <w:t xml:space="preserve"> { ms5, ms10, ms20, ms40, ms80, ms160, spare2,spare1 }   </w:t>
      </w:r>
      <w:r w:rsidRPr="00FA0D37">
        <w:rPr>
          <w:color w:val="993366"/>
        </w:rPr>
        <w:t>OPTIONAL</w:t>
      </w:r>
      <w:r w:rsidRPr="00FA0D37">
        <w:t xml:space="preserve">, </w:t>
      </w:r>
      <w:r w:rsidRPr="00FA0D37">
        <w:rPr>
          <w:color w:val="808080"/>
        </w:rPr>
        <w:t>-- Need S</w:t>
      </w:r>
    </w:p>
    <w:p w14:paraId="534BC3FC" w14:textId="77777777" w:rsidR="00394471" w:rsidRPr="00FA0D37" w:rsidRDefault="00394471" w:rsidP="00FA0D37">
      <w:pPr>
        <w:pStyle w:val="PL"/>
      </w:pPr>
      <w:r w:rsidRPr="00FA0D37">
        <w:t xml:space="preserve">    sfn0-Offset-r16                     </w:t>
      </w:r>
      <w:r w:rsidRPr="00FA0D37">
        <w:rPr>
          <w:color w:val="993366"/>
        </w:rPr>
        <w:t>SEQUENCE</w:t>
      </w:r>
      <w:r w:rsidRPr="00FA0D37">
        <w:t xml:space="preserve"> {</w:t>
      </w:r>
    </w:p>
    <w:p w14:paraId="1CAA7DC1" w14:textId="77777777" w:rsidR="00394471" w:rsidRPr="00FA0D37" w:rsidRDefault="00394471" w:rsidP="00FA0D37">
      <w:pPr>
        <w:pStyle w:val="PL"/>
      </w:pPr>
      <w:r w:rsidRPr="00FA0D37">
        <w:t xml:space="preserve">        sfn-Offset-r16                      </w:t>
      </w:r>
      <w:r w:rsidRPr="00FA0D37">
        <w:rPr>
          <w:color w:val="993366"/>
        </w:rPr>
        <w:t>INTEGER</w:t>
      </w:r>
      <w:r w:rsidRPr="00FA0D37">
        <w:t xml:space="preserve"> (0..1023),</w:t>
      </w:r>
    </w:p>
    <w:p w14:paraId="53A71B78" w14:textId="77777777" w:rsidR="00394471" w:rsidRPr="00FA0D37" w:rsidRDefault="00394471" w:rsidP="00FA0D37">
      <w:pPr>
        <w:pStyle w:val="PL"/>
        <w:rPr>
          <w:color w:val="808080"/>
        </w:rPr>
      </w:pPr>
      <w:r w:rsidRPr="00FA0D37">
        <w:t xml:space="preserve">        integerSubframeOffset-r16           </w:t>
      </w:r>
      <w:r w:rsidRPr="00FA0D37">
        <w:rPr>
          <w:color w:val="993366"/>
        </w:rPr>
        <w:t>INTEGER</w:t>
      </w:r>
      <w:r w:rsidRPr="00FA0D37">
        <w:t xml:space="preserve"> (0..9)                                                 </w:t>
      </w:r>
      <w:r w:rsidRPr="00FA0D37">
        <w:rPr>
          <w:color w:val="993366"/>
        </w:rPr>
        <w:t>OPTIONAL</w:t>
      </w:r>
      <w:r w:rsidRPr="00FA0D37">
        <w:t xml:space="preserve">  </w:t>
      </w:r>
      <w:r w:rsidRPr="00FA0D37">
        <w:rPr>
          <w:color w:val="808080"/>
        </w:rPr>
        <w:t>-- Need R</w:t>
      </w:r>
    </w:p>
    <w:p w14:paraId="4CD5B9F0"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E4B02E1" w14:textId="77777777" w:rsidR="00394471" w:rsidRPr="00FA0D37" w:rsidRDefault="00394471" w:rsidP="00FA0D37">
      <w:pPr>
        <w:pStyle w:val="PL"/>
      </w:pPr>
      <w:r w:rsidRPr="00FA0D37">
        <w:t xml:space="preserve">    sfn-SSB-Offset-r16                  </w:t>
      </w:r>
      <w:r w:rsidRPr="00FA0D37">
        <w:rPr>
          <w:color w:val="993366"/>
        </w:rPr>
        <w:t>INTEGER</w:t>
      </w:r>
      <w:r w:rsidRPr="00FA0D37">
        <w:t xml:space="preserve"> (0..15),</w:t>
      </w:r>
    </w:p>
    <w:p w14:paraId="5EBA51A5" w14:textId="77777777" w:rsidR="00394471" w:rsidRPr="00FA0D37" w:rsidRDefault="00394471" w:rsidP="00FA0D37">
      <w:pPr>
        <w:pStyle w:val="PL"/>
        <w:rPr>
          <w:color w:val="808080"/>
        </w:rPr>
      </w:pPr>
      <w:r w:rsidRPr="00FA0D37">
        <w:t xml:space="preserve">    ss-PBCH-BlockPower-r16              </w:t>
      </w:r>
      <w:r w:rsidRPr="00FA0D37">
        <w:rPr>
          <w:color w:val="993366"/>
        </w:rPr>
        <w:t>INTEGER</w:t>
      </w:r>
      <w:r w:rsidRPr="00FA0D37">
        <w:t xml:space="preserve"> (-60..50)                                                  </w:t>
      </w:r>
      <w:r w:rsidRPr="00FA0D37">
        <w:rPr>
          <w:color w:val="993366"/>
        </w:rPr>
        <w:t>OPTIONAL</w:t>
      </w:r>
      <w:r w:rsidRPr="00FA0D37">
        <w:t xml:space="preserve">  </w:t>
      </w:r>
      <w:r w:rsidRPr="00FA0D37">
        <w:rPr>
          <w:color w:val="808080"/>
        </w:rPr>
        <w:t>-- Cond Pathloss</w:t>
      </w:r>
    </w:p>
    <w:p w14:paraId="2CDB13F7" w14:textId="77777777" w:rsidR="00394471" w:rsidRPr="00FA0D37" w:rsidRDefault="00394471" w:rsidP="00FA0D37">
      <w:pPr>
        <w:pStyle w:val="PL"/>
      </w:pPr>
      <w:r w:rsidRPr="00FA0D37">
        <w:t>}</w:t>
      </w:r>
    </w:p>
    <w:p w14:paraId="6B99A938" w14:textId="77777777" w:rsidR="00394471" w:rsidRPr="00FA0D37" w:rsidRDefault="00394471" w:rsidP="00FA0D37">
      <w:pPr>
        <w:pStyle w:val="PL"/>
      </w:pPr>
    </w:p>
    <w:p w14:paraId="00FDB5EB" w14:textId="77777777" w:rsidR="00394471" w:rsidRPr="00FA0D37" w:rsidRDefault="00394471" w:rsidP="00FA0D37">
      <w:pPr>
        <w:pStyle w:val="PL"/>
      </w:pPr>
      <w:r w:rsidRPr="00FA0D37">
        <w:t xml:space="preserve">SSB-InfoNcell-r16  ::=              </w:t>
      </w:r>
      <w:r w:rsidRPr="00FA0D37">
        <w:rPr>
          <w:color w:val="993366"/>
        </w:rPr>
        <w:t>SEQUENCE</w:t>
      </w:r>
      <w:r w:rsidRPr="00FA0D37">
        <w:t xml:space="preserve"> {</w:t>
      </w:r>
    </w:p>
    <w:p w14:paraId="2038B37E" w14:textId="77777777" w:rsidR="00394471" w:rsidRPr="00FA0D37" w:rsidRDefault="00394471" w:rsidP="00FA0D37">
      <w:pPr>
        <w:pStyle w:val="PL"/>
      </w:pPr>
      <w:r w:rsidRPr="00FA0D37">
        <w:t xml:space="preserve">    physicalCellId-r16                  PhysCellId,</w:t>
      </w:r>
    </w:p>
    <w:p w14:paraId="3A4AA851" w14:textId="77777777" w:rsidR="00394471" w:rsidRPr="00FA0D37" w:rsidRDefault="00394471" w:rsidP="00FA0D37">
      <w:pPr>
        <w:pStyle w:val="PL"/>
        <w:rPr>
          <w:color w:val="808080"/>
        </w:rPr>
      </w:pPr>
      <w:r w:rsidRPr="00FA0D37">
        <w:t xml:space="preserve">    ssb-IndexNcell-r16                  SSB-Index                                                          </w:t>
      </w:r>
      <w:r w:rsidRPr="00FA0D37">
        <w:rPr>
          <w:color w:val="993366"/>
        </w:rPr>
        <w:t>OPTIONAL</w:t>
      </w:r>
      <w:r w:rsidRPr="00FA0D37">
        <w:t xml:space="preserve">, </w:t>
      </w:r>
      <w:r w:rsidRPr="00FA0D37">
        <w:rPr>
          <w:color w:val="808080"/>
        </w:rPr>
        <w:t>-- Need S</w:t>
      </w:r>
    </w:p>
    <w:p w14:paraId="5D27EB9A" w14:textId="77777777" w:rsidR="00394471" w:rsidRPr="00FA0D37" w:rsidRDefault="00394471" w:rsidP="00FA0D37">
      <w:pPr>
        <w:pStyle w:val="PL"/>
        <w:rPr>
          <w:color w:val="808080"/>
        </w:rPr>
      </w:pPr>
      <w:r w:rsidRPr="00FA0D37">
        <w:lastRenderedPageBreak/>
        <w:t xml:space="preserve">    ssb-Configuration-r16               SSB-Configuration-r16                                              </w:t>
      </w:r>
      <w:r w:rsidRPr="00FA0D37">
        <w:rPr>
          <w:color w:val="993366"/>
        </w:rPr>
        <w:t>OPTIONAL</w:t>
      </w:r>
      <w:r w:rsidRPr="00FA0D37">
        <w:t xml:space="preserve">  </w:t>
      </w:r>
      <w:r w:rsidRPr="00FA0D37">
        <w:rPr>
          <w:color w:val="808080"/>
        </w:rPr>
        <w:t>-- Need S</w:t>
      </w:r>
    </w:p>
    <w:p w14:paraId="5F864FB4" w14:textId="77777777" w:rsidR="00394471" w:rsidRPr="00FA0D37" w:rsidRDefault="00394471" w:rsidP="00FA0D37">
      <w:pPr>
        <w:pStyle w:val="PL"/>
      </w:pPr>
      <w:r w:rsidRPr="00FA0D37">
        <w:t>}</w:t>
      </w:r>
    </w:p>
    <w:p w14:paraId="3EACA7A6" w14:textId="77777777" w:rsidR="00394471" w:rsidRPr="00FA0D37" w:rsidRDefault="00394471" w:rsidP="00FA0D37">
      <w:pPr>
        <w:pStyle w:val="PL"/>
      </w:pPr>
    </w:p>
    <w:p w14:paraId="00A85D6E" w14:textId="77777777" w:rsidR="00394471" w:rsidRPr="00FA0D37" w:rsidRDefault="00394471" w:rsidP="00FA0D37">
      <w:pPr>
        <w:pStyle w:val="PL"/>
      </w:pPr>
      <w:r w:rsidRPr="00FA0D37">
        <w:t xml:space="preserve">DL-PRS-Info-r16  ::=                </w:t>
      </w:r>
      <w:r w:rsidRPr="00FA0D37">
        <w:rPr>
          <w:color w:val="993366"/>
        </w:rPr>
        <w:t>SEQUENCE</w:t>
      </w:r>
      <w:r w:rsidRPr="00FA0D37">
        <w:t xml:space="preserve"> {</w:t>
      </w:r>
    </w:p>
    <w:p w14:paraId="5614FB6F" w14:textId="77777777" w:rsidR="00394471" w:rsidRPr="00FA0D37" w:rsidRDefault="00394471" w:rsidP="00FA0D37">
      <w:pPr>
        <w:pStyle w:val="PL"/>
      </w:pPr>
      <w:r w:rsidRPr="00FA0D37">
        <w:t xml:space="preserve">    dl-PRS-ID-r16                      </w:t>
      </w:r>
      <w:r w:rsidRPr="00FA0D37">
        <w:rPr>
          <w:color w:val="993366"/>
        </w:rPr>
        <w:t>INTEGER</w:t>
      </w:r>
      <w:r w:rsidRPr="00FA0D37">
        <w:t xml:space="preserve"> (0..255),</w:t>
      </w:r>
    </w:p>
    <w:p w14:paraId="7DFEAD2F" w14:textId="77777777" w:rsidR="00394471" w:rsidRPr="00FA0D37" w:rsidRDefault="00394471" w:rsidP="00FA0D37">
      <w:pPr>
        <w:pStyle w:val="PL"/>
      </w:pPr>
      <w:r w:rsidRPr="00FA0D37">
        <w:t xml:space="preserve">    dl-PRS-ResourceSetId-r16           </w:t>
      </w:r>
      <w:r w:rsidRPr="00FA0D37">
        <w:rPr>
          <w:color w:val="993366"/>
        </w:rPr>
        <w:t>INTEGER</w:t>
      </w:r>
      <w:r w:rsidRPr="00FA0D37">
        <w:t xml:space="preserve"> (0..7),</w:t>
      </w:r>
    </w:p>
    <w:p w14:paraId="2E46E3E7" w14:textId="77777777" w:rsidR="00394471" w:rsidRPr="00FA0D37" w:rsidRDefault="00394471" w:rsidP="00FA0D37">
      <w:pPr>
        <w:pStyle w:val="PL"/>
        <w:rPr>
          <w:color w:val="808080"/>
        </w:rPr>
      </w:pPr>
      <w:r w:rsidRPr="00FA0D37">
        <w:t xml:space="preserve">    dl-PRS-ResourceId-r16              </w:t>
      </w:r>
      <w:r w:rsidRPr="00FA0D37">
        <w:rPr>
          <w:color w:val="993366"/>
        </w:rPr>
        <w:t>INTEGER</w:t>
      </w:r>
      <w:r w:rsidRPr="00FA0D37">
        <w:t xml:space="preserve"> (0..63)                                                     </w:t>
      </w:r>
      <w:r w:rsidRPr="00FA0D37">
        <w:rPr>
          <w:color w:val="993366"/>
        </w:rPr>
        <w:t>OPTIONAL</w:t>
      </w:r>
      <w:r w:rsidRPr="00FA0D37">
        <w:t xml:space="preserve">  </w:t>
      </w:r>
      <w:r w:rsidRPr="00FA0D37">
        <w:rPr>
          <w:color w:val="808080"/>
        </w:rPr>
        <w:t>-- Need S</w:t>
      </w:r>
    </w:p>
    <w:p w14:paraId="70A1EA42" w14:textId="77777777" w:rsidR="00394471" w:rsidRPr="00FA0D37" w:rsidRDefault="00394471" w:rsidP="00FA0D37">
      <w:pPr>
        <w:pStyle w:val="PL"/>
      </w:pPr>
      <w:r w:rsidRPr="00FA0D37">
        <w:t>}</w:t>
      </w:r>
    </w:p>
    <w:p w14:paraId="0EA4E1E9" w14:textId="77777777" w:rsidR="00394471" w:rsidRPr="00FA0D37" w:rsidRDefault="00394471" w:rsidP="00FA0D37">
      <w:pPr>
        <w:pStyle w:val="PL"/>
      </w:pPr>
    </w:p>
    <w:p w14:paraId="667B6BE7" w14:textId="77777777" w:rsidR="00394471" w:rsidRPr="00FA0D37" w:rsidRDefault="00394471" w:rsidP="00FA0D37">
      <w:pPr>
        <w:pStyle w:val="PL"/>
      </w:pPr>
      <w:r w:rsidRPr="00FA0D37">
        <w:t xml:space="preserve">SRS-ResourceId ::=                      </w:t>
      </w:r>
      <w:r w:rsidRPr="00FA0D37">
        <w:rPr>
          <w:color w:val="993366"/>
        </w:rPr>
        <w:t>INTEGER</w:t>
      </w:r>
      <w:r w:rsidRPr="00FA0D37">
        <w:t xml:space="preserve"> (0..maxNrofSRS-Resources-1)</w:t>
      </w:r>
    </w:p>
    <w:p w14:paraId="27E768F7" w14:textId="77777777" w:rsidR="00394471" w:rsidRPr="00FA0D37" w:rsidRDefault="00394471" w:rsidP="00FA0D37">
      <w:pPr>
        <w:pStyle w:val="PL"/>
      </w:pPr>
      <w:r w:rsidRPr="00FA0D37">
        <w:t xml:space="preserve">SRS-PosResourceId-r16 ::=               </w:t>
      </w:r>
      <w:r w:rsidRPr="00FA0D37">
        <w:rPr>
          <w:color w:val="993366"/>
        </w:rPr>
        <w:t>INTEGER</w:t>
      </w:r>
      <w:r w:rsidRPr="00FA0D37">
        <w:t xml:space="preserve"> (0..maxNrofSRS-PosResources-1-r16)</w:t>
      </w:r>
    </w:p>
    <w:p w14:paraId="73B2A2B8" w14:textId="77777777" w:rsidR="00394471" w:rsidRPr="00FA0D37" w:rsidRDefault="00394471" w:rsidP="00FA0D37">
      <w:pPr>
        <w:pStyle w:val="PL"/>
      </w:pPr>
    </w:p>
    <w:p w14:paraId="271968A1" w14:textId="77777777" w:rsidR="00394471" w:rsidRPr="00FA0D37" w:rsidRDefault="00394471" w:rsidP="00FA0D37">
      <w:pPr>
        <w:pStyle w:val="PL"/>
      </w:pPr>
      <w:r w:rsidRPr="00FA0D37">
        <w:t xml:space="preserve">SRS-PeriodicityAndOffset ::=            </w:t>
      </w:r>
      <w:r w:rsidRPr="00FA0D37">
        <w:rPr>
          <w:color w:val="993366"/>
        </w:rPr>
        <w:t>CHOICE</w:t>
      </w:r>
      <w:r w:rsidRPr="00FA0D37">
        <w:t xml:space="preserve"> {</w:t>
      </w:r>
    </w:p>
    <w:p w14:paraId="14CF9EAA" w14:textId="77777777" w:rsidR="00394471" w:rsidRPr="00FA0D37" w:rsidRDefault="00394471" w:rsidP="00FA0D37">
      <w:pPr>
        <w:pStyle w:val="PL"/>
      </w:pPr>
      <w:r w:rsidRPr="00FA0D37">
        <w:t xml:space="preserve">    sl1                                     </w:t>
      </w:r>
      <w:r w:rsidRPr="00FA0D37">
        <w:rPr>
          <w:color w:val="993366"/>
        </w:rPr>
        <w:t>NULL</w:t>
      </w:r>
      <w:r w:rsidRPr="00FA0D37">
        <w:t>,</w:t>
      </w:r>
    </w:p>
    <w:p w14:paraId="7C069FBE" w14:textId="77777777" w:rsidR="00394471" w:rsidRPr="00FA0D37" w:rsidRDefault="00394471" w:rsidP="00FA0D37">
      <w:pPr>
        <w:pStyle w:val="PL"/>
      </w:pPr>
      <w:r w:rsidRPr="00FA0D37">
        <w:t xml:space="preserve">    sl2                                     </w:t>
      </w:r>
      <w:r w:rsidRPr="00FA0D37">
        <w:rPr>
          <w:color w:val="993366"/>
        </w:rPr>
        <w:t>INTEGER</w:t>
      </w:r>
      <w:r w:rsidRPr="00FA0D37">
        <w:t>(0..1),</w:t>
      </w:r>
    </w:p>
    <w:p w14:paraId="252B40E0" w14:textId="77777777" w:rsidR="00394471" w:rsidRPr="00FA0D37" w:rsidRDefault="00394471" w:rsidP="00FA0D37">
      <w:pPr>
        <w:pStyle w:val="PL"/>
      </w:pPr>
      <w:r w:rsidRPr="00FA0D37">
        <w:t xml:space="preserve">    sl4                                     </w:t>
      </w:r>
      <w:r w:rsidRPr="00FA0D37">
        <w:rPr>
          <w:color w:val="993366"/>
        </w:rPr>
        <w:t>INTEGER</w:t>
      </w:r>
      <w:r w:rsidRPr="00FA0D37">
        <w:t>(0..3),</w:t>
      </w:r>
    </w:p>
    <w:p w14:paraId="076486CD" w14:textId="77777777" w:rsidR="00394471" w:rsidRPr="00FA0D37" w:rsidRDefault="00394471" w:rsidP="00FA0D37">
      <w:pPr>
        <w:pStyle w:val="PL"/>
      </w:pPr>
      <w:r w:rsidRPr="00FA0D37">
        <w:t xml:space="preserve">    sl5                                     </w:t>
      </w:r>
      <w:r w:rsidRPr="00FA0D37">
        <w:rPr>
          <w:color w:val="993366"/>
        </w:rPr>
        <w:t>INTEGER</w:t>
      </w:r>
      <w:r w:rsidRPr="00FA0D37">
        <w:t>(0..4),</w:t>
      </w:r>
    </w:p>
    <w:p w14:paraId="36942D81" w14:textId="77777777" w:rsidR="00394471" w:rsidRPr="00FA0D37" w:rsidRDefault="00394471" w:rsidP="00FA0D37">
      <w:pPr>
        <w:pStyle w:val="PL"/>
      </w:pPr>
      <w:r w:rsidRPr="00FA0D37">
        <w:t xml:space="preserve">    sl8                                     </w:t>
      </w:r>
      <w:r w:rsidRPr="00FA0D37">
        <w:rPr>
          <w:color w:val="993366"/>
        </w:rPr>
        <w:t>INTEGER</w:t>
      </w:r>
      <w:r w:rsidRPr="00FA0D37">
        <w:t>(0..7),</w:t>
      </w:r>
    </w:p>
    <w:p w14:paraId="6DA28F31" w14:textId="77777777" w:rsidR="00394471" w:rsidRPr="00FA0D37" w:rsidRDefault="00394471" w:rsidP="00FA0D37">
      <w:pPr>
        <w:pStyle w:val="PL"/>
      </w:pPr>
      <w:r w:rsidRPr="00FA0D37">
        <w:t xml:space="preserve">    sl10                                    </w:t>
      </w:r>
      <w:r w:rsidRPr="00FA0D37">
        <w:rPr>
          <w:color w:val="993366"/>
        </w:rPr>
        <w:t>INTEGER</w:t>
      </w:r>
      <w:r w:rsidRPr="00FA0D37">
        <w:t>(0..9),</w:t>
      </w:r>
    </w:p>
    <w:p w14:paraId="105C4922" w14:textId="77777777" w:rsidR="00394471" w:rsidRPr="00FA0D37" w:rsidRDefault="00394471" w:rsidP="00FA0D37">
      <w:pPr>
        <w:pStyle w:val="PL"/>
      </w:pPr>
      <w:r w:rsidRPr="00FA0D37">
        <w:t xml:space="preserve">    sl16                                    </w:t>
      </w:r>
      <w:r w:rsidRPr="00FA0D37">
        <w:rPr>
          <w:color w:val="993366"/>
        </w:rPr>
        <w:t>INTEGER</w:t>
      </w:r>
      <w:r w:rsidRPr="00FA0D37">
        <w:t>(0..15),</w:t>
      </w:r>
    </w:p>
    <w:p w14:paraId="3F6E5A6B" w14:textId="77777777" w:rsidR="00394471" w:rsidRPr="00FA0D37" w:rsidRDefault="00394471" w:rsidP="00FA0D37">
      <w:pPr>
        <w:pStyle w:val="PL"/>
      </w:pPr>
      <w:r w:rsidRPr="00FA0D37">
        <w:t xml:space="preserve">    sl20                                    </w:t>
      </w:r>
      <w:r w:rsidRPr="00FA0D37">
        <w:rPr>
          <w:color w:val="993366"/>
        </w:rPr>
        <w:t>INTEGER</w:t>
      </w:r>
      <w:r w:rsidRPr="00FA0D37">
        <w:t>(0..19),</w:t>
      </w:r>
    </w:p>
    <w:p w14:paraId="078F9623" w14:textId="77777777" w:rsidR="00394471" w:rsidRPr="00FA0D37" w:rsidRDefault="00394471" w:rsidP="00FA0D37">
      <w:pPr>
        <w:pStyle w:val="PL"/>
      </w:pPr>
      <w:r w:rsidRPr="00FA0D37">
        <w:t xml:space="preserve">    sl32                                    </w:t>
      </w:r>
      <w:r w:rsidRPr="00FA0D37">
        <w:rPr>
          <w:color w:val="993366"/>
        </w:rPr>
        <w:t>INTEGER</w:t>
      </w:r>
      <w:r w:rsidRPr="00FA0D37">
        <w:t>(0..31),</w:t>
      </w:r>
    </w:p>
    <w:p w14:paraId="2A7F7955" w14:textId="77777777" w:rsidR="00394471" w:rsidRPr="00FA0D37" w:rsidRDefault="00394471" w:rsidP="00FA0D37">
      <w:pPr>
        <w:pStyle w:val="PL"/>
      </w:pPr>
      <w:r w:rsidRPr="00FA0D37">
        <w:t xml:space="preserve">    sl40                                    </w:t>
      </w:r>
      <w:r w:rsidRPr="00FA0D37">
        <w:rPr>
          <w:color w:val="993366"/>
        </w:rPr>
        <w:t>INTEGER</w:t>
      </w:r>
      <w:r w:rsidRPr="00FA0D37">
        <w:t>(0..39),</w:t>
      </w:r>
    </w:p>
    <w:p w14:paraId="775E89B1" w14:textId="77777777" w:rsidR="00394471" w:rsidRPr="00FA0D37" w:rsidRDefault="00394471" w:rsidP="00FA0D37">
      <w:pPr>
        <w:pStyle w:val="PL"/>
      </w:pPr>
      <w:r w:rsidRPr="00FA0D37">
        <w:t xml:space="preserve">    sl64                                    </w:t>
      </w:r>
      <w:r w:rsidRPr="00FA0D37">
        <w:rPr>
          <w:color w:val="993366"/>
        </w:rPr>
        <w:t>INTEGER</w:t>
      </w:r>
      <w:r w:rsidRPr="00FA0D37">
        <w:t>(0..63),</w:t>
      </w:r>
    </w:p>
    <w:p w14:paraId="00D54703" w14:textId="77777777" w:rsidR="00394471" w:rsidRPr="00FA0D37" w:rsidRDefault="00394471" w:rsidP="00FA0D37">
      <w:pPr>
        <w:pStyle w:val="PL"/>
      </w:pPr>
      <w:r w:rsidRPr="00FA0D37">
        <w:t xml:space="preserve">    sl80                                    </w:t>
      </w:r>
      <w:r w:rsidRPr="00FA0D37">
        <w:rPr>
          <w:color w:val="993366"/>
        </w:rPr>
        <w:t>INTEGER</w:t>
      </w:r>
      <w:r w:rsidRPr="00FA0D37">
        <w:t>(0..79),</w:t>
      </w:r>
    </w:p>
    <w:p w14:paraId="1111ED5F" w14:textId="77777777" w:rsidR="00394471" w:rsidRPr="00FA0D37" w:rsidRDefault="00394471" w:rsidP="00FA0D37">
      <w:pPr>
        <w:pStyle w:val="PL"/>
      </w:pPr>
      <w:r w:rsidRPr="00FA0D37">
        <w:t xml:space="preserve">    sl160                                   </w:t>
      </w:r>
      <w:r w:rsidRPr="00FA0D37">
        <w:rPr>
          <w:color w:val="993366"/>
        </w:rPr>
        <w:t>INTEGER</w:t>
      </w:r>
      <w:r w:rsidRPr="00FA0D37">
        <w:t>(0..159),</w:t>
      </w:r>
    </w:p>
    <w:p w14:paraId="77CC2097" w14:textId="77777777" w:rsidR="00394471" w:rsidRPr="00FA0D37" w:rsidRDefault="00394471" w:rsidP="00FA0D37">
      <w:pPr>
        <w:pStyle w:val="PL"/>
      </w:pPr>
      <w:r w:rsidRPr="00FA0D37">
        <w:t xml:space="preserve">    sl320                                   </w:t>
      </w:r>
      <w:r w:rsidRPr="00FA0D37">
        <w:rPr>
          <w:color w:val="993366"/>
        </w:rPr>
        <w:t>INTEGER</w:t>
      </w:r>
      <w:r w:rsidRPr="00FA0D37">
        <w:t>(0..319),</w:t>
      </w:r>
    </w:p>
    <w:p w14:paraId="6D0B2658" w14:textId="77777777" w:rsidR="00394471" w:rsidRPr="00FA0D37" w:rsidRDefault="00394471" w:rsidP="00FA0D37">
      <w:pPr>
        <w:pStyle w:val="PL"/>
      </w:pPr>
      <w:r w:rsidRPr="00FA0D37">
        <w:t xml:space="preserve">    sl640                                   </w:t>
      </w:r>
      <w:r w:rsidRPr="00FA0D37">
        <w:rPr>
          <w:color w:val="993366"/>
        </w:rPr>
        <w:t>INTEGER</w:t>
      </w:r>
      <w:r w:rsidRPr="00FA0D37">
        <w:t>(0..639),</w:t>
      </w:r>
    </w:p>
    <w:p w14:paraId="5FCAEC56" w14:textId="77777777" w:rsidR="00394471" w:rsidRPr="00FA0D37" w:rsidRDefault="00394471" w:rsidP="00FA0D37">
      <w:pPr>
        <w:pStyle w:val="PL"/>
      </w:pPr>
      <w:r w:rsidRPr="00FA0D37">
        <w:t xml:space="preserve">    sl1280                                  </w:t>
      </w:r>
      <w:r w:rsidRPr="00FA0D37">
        <w:rPr>
          <w:color w:val="993366"/>
        </w:rPr>
        <w:t>INTEGER</w:t>
      </w:r>
      <w:r w:rsidRPr="00FA0D37">
        <w:t>(0..1279),</w:t>
      </w:r>
    </w:p>
    <w:p w14:paraId="06D98E84" w14:textId="77777777" w:rsidR="00394471" w:rsidRPr="00FA0D37" w:rsidRDefault="00394471" w:rsidP="00FA0D37">
      <w:pPr>
        <w:pStyle w:val="PL"/>
      </w:pPr>
      <w:r w:rsidRPr="00FA0D37">
        <w:t xml:space="preserve">    sl2560                                  </w:t>
      </w:r>
      <w:r w:rsidRPr="00FA0D37">
        <w:rPr>
          <w:color w:val="993366"/>
        </w:rPr>
        <w:t>INTEGER</w:t>
      </w:r>
      <w:r w:rsidRPr="00FA0D37">
        <w:t>(0..2559)</w:t>
      </w:r>
    </w:p>
    <w:p w14:paraId="633D0750" w14:textId="77777777" w:rsidR="00394471" w:rsidRPr="00FA0D37" w:rsidRDefault="00394471" w:rsidP="00FA0D37">
      <w:pPr>
        <w:pStyle w:val="PL"/>
      </w:pPr>
      <w:r w:rsidRPr="00FA0D37">
        <w:t>}</w:t>
      </w:r>
    </w:p>
    <w:p w14:paraId="374E6C18" w14:textId="77777777" w:rsidR="00394471" w:rsidRPr="00FA0D37" w:rsidRDefault="00394471" w:rsidP="00FA0D37">
      <w:pPr>
        <w:pStyle w:val="PL"/>
      </w:pPr>
    </w:p>
    <w:p w14:paraId="56959B00" w14:textId="77777777" w:rsidR="00394471" w:rsidRPr="00FA0D37" w:rsidRDefault="00394471" w:rsidP="00FA0D37">
      <w:pPr>
        <w:pStyle w:val="PL"/>
      </w:pPr>
      <w:r w:rsidRPr="00FA0D37">
        <w:t xml:space="preserve">SRS-PeriodicityAndOffset-r16 ::=        </w:t>
      </w:r>
      <w:r w:rsidRPr="00FA0D37">
        <w:rPr>
          <w:color w:val="993366"/>
        </w:rPr>
        <w:t>CHOICE</w:t>
      </w:r>
      <w:r w:rsidRPr="00FA0D37">
        <w:t xml:space="preserve"> {</w:t>
      </w:r>
    </w:p>
    <w:p w14:paraId="44683760" w14:textId="77777777" w:rsidR="00394471" w:rsidRPr="00FA0D37" w:rsidRDefault="00394471" w:rsidP="00FA0D37">
      <w:pPr>
        <w:pStyle w:val="PL"/>
      </w:pPr>
      <w:r w:rsidRPr="00FA0D37">
        <w:t xml:space="preserve">    sl1                                     </w:t>
      </w:r>
      <w:r w:rsidRPr="00FA0D37">
        <w:rPr>
          <w:color w:val="993366"/>
        </w:rPr>
        <w:t>NULL</w:t>
      </w:r>
      <w:r w:rsidRPr="00FA0D37">
        <w:t>,</w:t>
      </w:r>
    </w:p>
    <w:p w14:paraId="6D2138B0" w14:textId="77777777" w:rsidR="00394471" w:rsidRPr="00FA0D37" w:rsidRDefault="00394471" w:rsidP="00FA0D37">
      <w:pPr>
        <w:pStyle w:val="PL"/>
      </w:pPr>
      <w:r w:rsidRPr="00FA0D37">
        <w:t xml:space="preserve">    sl2                                     </w:t>
      </w:r>
      <w:r w:rsidRPr="00FA0D37">
        <w:rPr>
          <w:color w:val="993366"/>
        </w:rPr>
        <w:t>INTEGER</w:t>
      </w:r>
      <w:r w:rsidRPr="00FA0D37">
        <w:t>(0..1),</w:t>
      </w:r>
    </w:p>
    <w:p w14:paraId="2E889779" w14:textId="77777777" w:rsidR="00394471" w:rsidRPr="00FA0D37" w:rsidRDefault="00394471" w:rsidP="00FA0D37">
      <w:pPr>
        <w:pStyle w:val="PL"/>
      </w:pPr>
      <w:r w:rsidRPr="00FA0D37">
        <w:t xml:space="preserve">    sl4                                     </w:t>
      </w:r>
      <w:r w:rsidRPr="00FA0D37">
        <w:rPr>
          <w:color w:val="993366"/>
        </w:rPr>
        <w:t>INTEGER</w:t>
      </w:r>
      <w:r w:rsidRPr="00FA0D37">
        <w:t>(0..3),</w:t>
      </w:r>
    </w:p>
    <w:p w14:paraId="4927C736" w14:textId="77777777" w:rsidR="00394471" w:rsidRPr="00FA0D37" w:rsidRDefault="00394471" w:rsidP="00FA0D37">
      <w:pPr>
        <w:pStyle w:val="PL"/>
      </w:pPr>
      <w:r w:rsidRPr="00FA0D37">
        <w:t xml:space="preserve">    sl5                                     </w:t>
      </w:r>
      <w:r w:rsidRPr="00FA0D37">
        <w:rPr>
          <w:color w:val="993366"/>
        </w:rPr>
        <w:t>INTEGER</w:t>
      </w:r>
      <w:r w:rsidRPr="00FA0D37">
        <w:t>(0..4),</w:t>
      </w:r>
    </w:p>
    <w:p w14:paraId="16123CAF" w14:textId="77777777" w:rsidR="00394471" w:rsidRPr="00FA0D37" w:rsidRDefault="00394471" w:rsidP="00FA0D37">
      <w:pPr>
        <w:pStyle w:val="PL"/>
      </w:pPr>
      <w:r w:rsidRPr="00FA0D37">
        <w:t xml:space="preserve">    sl8                                     </w:t>
      </w:r>
      <w:r w:rsidRPr="00FA0D37">
        <w:rPr>
          <w:color w:val="993366"/>
        </w:rPr>
        <w:t>INTEGER</w:t>
      </w:r>
      <w:r w:rsidRPr="00FA0D37">
        <w:t>(0..7),</w:t>
      </w:r>
    </w:p>
    <w:p w14:paraId="54AEC5C9" w14:textId="77777777" w:rsidR="00394471" w:rsidRPr="00FA0D37" w:rsidRDefault="00394471" w:rsidP="00FA0D37">
      <w:pPr>
        <w:pStyle w:val="PL"/>
      </w:pPr>
      <w:r w:rsidRPr="00FA0D37">
        <w:t xml:space="preserve">    sl10                                    </w:t>
      </w:r>
      <w:r w:rsidRPr="00FA0D37">
        <w:rPr>
          <w:color w:val="993366"/>
        </w:rPr>
        <w:t>INTEGER</w:t>
      </w:r>
      <w:r w:rsidRPr="00FA0D37">
        <w:t>(0..9),</w:t>
      </w:r>
    </w:p>
    <w:p w14:paraId="4FE6A369" w14:textId="77777777" w:rsidR="00394471" w:rsidRPr="00FA0D37" w:rsidRDefault="00394471" w:rsidP="00FA0D37">
      <w:pPr>
        <w:pStyle w:val="PL"/>
      </w:pPr>
      <w:r w:rsidRPr="00FA0D37">
        <w:t xml:space="preserve">    sl16                                    </w:t>
      </w:r>
      <w:r w:rsidRPr="00FA0D37">
        <w:rPr>
          <w:color w:val="993366"/>
        </w:rPr>
        <w:t>INTEGER</w:t>
      </w:r>
      <w:r w:rsidRPr="00FA0D37">
        <w:t>(0..15),</w:t>
      </w:r>
    </w:p>
    <w:p w14:paraId="5E17C27E" w14:textId="77777777" w:rsidR="00394471" w:rsidRPr="00FA0D37" w:rsidRDefault="00394471" w:rsidP="00FA0D37">
      <w:pPr>
        <w:pStyle w:val="PL"/>
      </w:pPr>
      <w:r w:rsidRPr="00FA0D37">
        <w:t xml:space="preserve">    sl20                                    </w:t>
      </w:r>
      <w:r w:rsidRPr="00FA0D37">
        <w:rPr>
          <w:color w:val="993366"/>
        </w:rPr>
        <w:t>INTEGER</w:t>
      </w:r>
      <w:r w:rsidRPr="00FA0D37">
        <w:t>(0..19),</w:t>
      </w:r>
    </w:p>
    <w:p w14:paraId="508D4353" w14:textId="77777777" w:rsidR="00394471" w:rsidRPr="00FA0D37" w:rsidRDefault="00394471" w:rsidP="00FA0D37">
      <w:pPr>
        <w:pStyle w:val="PL"/>
      </w:pPr>
      <w:r w:rsidRPr="00FA0D37">
        <w:t xml:space="preserve">    sl32                                    </w:t>
      </w:r>
      <w:r w:rsidRPr="00FA0D37">
        <w:rPr>
          <w:color w:val="993366"/>
        </w:rPr>
        <w:t>INTEGER</w:t>
      </w:r>
      <w:r w:rsidRPr="00FA0D37">
        <w:t>(0..31),</w:t>
      </w:r>
    </w:p>
    <w:p w14:paraId="565CA20A" w14:textId="77777777" w:rsidR="00394471" w:rsidRPr="00FA0D37" w:rsidRDefault="00394471" w:rsidP="00FA0D37">
      <w:pPr>
        <w:pStyle w:val="PL"/>
      </w:pPr>
      <w:r w:rsidRPr="00FA0D37">
        <w:t xml:space="preserve">    sl40                                    </w:t>
      </w:r>
      <w:r w:rsidRPr="00FA0D37">
        <w:rPr>
          <w:color w:val="993366"/>
        </w:rPr>
        <w:t>INTEGER</w:t>
      </w:r>
      <w:r w:rsidRPr="00FA0D37">
        <w:t>(0..39),</w:t>
      </w:r>
    </w:p>
    <w:p w14:paraId="3AC14023" w14:textId="77777777" w:rsidR="00394471" w:rsidRPr="00FA0D37" w:rsidRDefault="00394471" w:rsidP="00FA0D37">
      <w:pPr>
        <w:pStyle w:val="PL"/>
      </w:pPr>
      <w:r w:rsidRPr="00FA0D37">
        <w:t xml:space="preserve">    sl64                                    </w:t>
      </w:r>
      <w:r w:rsidRPr="00FA0D37">
        <w:rPr>
          <w:color w:val="993366"/>
        </w:rPr>
        <w:t>INTEGER</w:t>
      </w:r>
      <w:r w:rsidRPr="00FA0D37">
        <w:t>(0..63),</w:t>
      </w:r>
    </w:p>
    <w:p w14:paraId="22C644C6" w14:textId="77777777" w:rsidR="00394471" w:rsidRPr="00FA0D37" w:rsidRDefault="00394471" w:rsidP="00FA0D37">
      <w:pPr>
        <w:pStyle w:val="PL"/>
      </w:pPr>
      <w:r w:rsidRPr="00FA0D37">
        <w:t xml:space="preserve">    sl80                                    </w:t>
      </w:r>
      <w:r w:rsidRPr="00FA0D37">
        <w:rPr>
          <w:color w:val="993366"/>
        </w:rPr>
        <w:t>INTEGER</w:t>
      </w:r>
      <w:r w:rsidRPr="00FA0D37">
        <w:t>(0..79),</w:t>
      </w:r>
    </w:p>
    <w:p w14:paraId="2B493367" w14:textId="77777777" w:rsidR="00394471" w:rsidRPr="00FA0D37" w:rsidRDefault="00394471" w:rsidP="00FA0D37">
      <w:pPr>
        <w:pStyle w:val="PL"/>
      </w:pPr>
      <w:r w:rsidRPr="00FA0D37">
        <w:t xml:space="preserve">    sl160                                   </w:t>
      </w:r>
      <w:r w:rsidRPr="00FA0D37">
        <w:rPr>
          <w:color w:val="993366"/>
        </w:rPr>
        <w:t>INTEGER</w:t>
      </w:r>
      <w:r w:rsidRPr="00FA0D37">
        <w:t>(0..159),</w:t>
      </w:r>
    </w:p>
    <w:p w14:paraId="3245B73B" w14:textId="77777777" w:rsidR="00394471" w:rsidRPr="00FA0D37" w:rsidRDefault="00394471" w:rsidP="00FA0D37">
      <w:pPr>
        <w:pStyle w:val="PL"/>
      </w:pPr>
      <w:r w:rsidRPr="00FA0D37">
        <w:t xml:space="preserve">    sl320                                   </w:t>
      </w:r>
      <w:r w:rsidRPr="00FA0D37">
        <w:rPr>
          <w:color w:val="993366"/>
        </w:rPr>
        <w:t>INTEGER</w:t>
      </w:r>
      <w:r w:rsidRPr="00FA0D37">
        <w:t>(0..319),</w:t>
      </w:r>
    </w:p>
    <w:p w14:paraId="379330D8" w14:textId="77777777" w:rsidR="00394471" w:rsidRPr="00FA0D37" w:rsidRDefault="00394471" w:rsidP="00FA0D37">
      <w:pPr>
        <w:pStyle w:val="PL"/>
      </w:pPr>
      <w:r w:rsidRPr="00FA0D37">
        <w:t xml:space="preserve">    sl640                                   </w:t>
      </w:r>
      <w:r w:rsidRPr="00FA0D37">
        <w:rPr>
          <w:color w:val="993366"/>
        </w:rPr>
        <w:t>INTEGER</w:t>
      </w:r>
      <w:r w:rsidRPr="00FA0D37">
        <w:t>(0..639),</w:t>
      </w:r>
    </w:p>
    <w:p w14:paraId="24C5A337" w14:textId="77777777" w:rsidR="00394471" w:rsidRPr="00FA0D37" w:rsidRDefault="00394471" w:rsidP="00FA0D37">
      <w:pPr>
        <w:pStyle w:val="PL"/>
      </w:pPr>
      <w:r w:rsidRPr="00FA0D37">
        <w:t xml:space="preserve">    sl1280                                  </w:t>
      </w:r>
      <w:r w:rsidRPr="00FA0D37">
        <w:rPr>
          <w:color w:val="993366"/>
        </w:rPr>
        <w:t>INTEGER</w:t>
      </w:r>
      <w:r w:rsidRPr="00FA0D37">
        <w:t>(0..1279),</w:t>
      </w:r>
    </w:p>
    <w:p w14:paraId="4D13392A" w14:textId="77777777" w:rsidR="00394471" w:rsidRPr="00FA0D37" w:rsidRDefault="00394471" w:rsidP="00FA0D37">
      <w:pPr>
        <w:pStyle w:val="PL"/>
      </w:pPr>
      <w:r w:rsidRPr="00FA0D37">
        <w:t xml:space="preserve">    sl2560                                  </w:t>
      </w:r>
      <w:r w:rsidRPr="00FA0D37">
        <w:rPr>
          <w:color w:val="993366"/>
        </w:rPr>
        <w:t>INTEGER</w:t>
      </w:r>
      <w:r w:rsidRPr="00FA0D37">
        <w:t>(0..2559),</w:t>
      </w:r>
    </w:p>
    <w:p w14:paraId="7584E555" w14:textId="77777777" w:rsidR="00394471" w:rsidRPr="00FA0D37" w:rsidRDefault="00394471" w:rsidP="00FA0D37">
      <w:pPr>
        <w:pStyle w:val="PL"/>
      </w:pPr>
      <w:r w:rsidRPr="00FA0D37">
        <w:t xml:space="preserve">    sl5120                                  </w:t>
      </w:r>
      <w:r w:rsidRPr="00FA0D37">
        <w:rPr>
          <w:color w:val="993366"/>
        </w:rPr>
        <w:t>INTEGER</w:t>
      </w:r>
      <w:r w:rsidRPr="00FA0D37">
        <w:t>(0..5119),</w:t>
      </w:r>
    </w:p>
    <w:p w14:paraId="065EEF5C" w14:textId="77777777" w:rsidR="00394471" w:rsidRPr="00FA0D37" w:rsidRDefault="00394471" w:rsidP="00FA0D37">
      <w:pPr>
        <w:pStyle w:val="PL"/>
      </w:pPr>
      <w:r w:rsidRPr="00FA0D37">
        <w:lastRenderedPageBreak/>
        <w:t xml:space="preserve">    sl10240                                 </w:t>
      </w:r>
      <w:r w:rsidRPr="00FA0D37">
        <w:rPr>
          <w:color w:val="993366"/>
        </w:rPr>
        <w:t>INTEGER</w:t>
      </w:r>
      <w:r w:rsidRPr="00FA0D37">
        <w:t>(0..10239),</w:t>
      </w:r>
    </w:p>
    <w:p w14:paraId="03114B1B" w14:textId="77777777" w:rsidR="00394471" w:rsidRPr="00FA0D37" w:rsidRDefault="00394471" w:rsidP="00FA0D37">
      <w:pPr>
        <w:pStyle w:val="PL"/>
      </w:pPr>
      <w:r w:rsidRPr="00FA0D37">
        <w:t xml:space="preserve">    sl40960                                 </w:t>
      </w:r>
      <w:r w:rsidRPr="00FA0D37">
        <w:rPr>
          <w:color w:val="993366"/>
        </w:rPr>
        <w:t>INTEGER</w:t>
      </w:r>
      <w:r w:rsidRPr="00FA0D37">
        <w:t>(0..40959),</w:t>
      </w:r>
    </w:p>
    <w:p w14:paraId="497B0481" w14:textId="77777777" w:rsidR="00394471" w:rsidRPr="00FA0D37" w:rsidRDefault="00394471" w:rsidP="00FA0D37">
      <w:pPr>
        <w:pStyle w:val="PL"/>
      </w:pPr>
      <w:r w:rsidRPr="00FA0D37">
        <w:t xml:space="preserve">    sl81920                                 </w:t>
      </w:r>
      <w:r w:rsidRPr="00FA0D37">
        <w:rPr>
          <w:color w:val="993366"/>
        </w:rPr>
        <w:t>INTEGER</w:t>
      </w:r>
      <w:r w:rsidRPr="00FA0D37">
        <w:t>(0..81919),</w:t>
      </w:r>
    </w:p>
    <w:p w14:paraId="0F689D77" w14:textId="77777777" w:rsidR="00394471" w:rsidRPr="00FA0D37" w:rsidRDefault="00394471" w:rsidP="00FA0D37">
      <w:pPr>
        <w:pStyle w:val="PL"/>
      </w:pPr>
      <w:r w:rsidRPr="00FA0D37">
        <w:t xml:space="preserve">    ...</w:t>
      </w:r>
    </w:p>
    <w:p w14:paraId="3B6D851E" w14:textId="77777777" w:rsidR="00394471" w:rsidRPr="00FA0D37" w:rsidRDefault="00394471" w:rsidP="00FA0D37">
      <w:pPr>
        <w:pStyle w:val="PL"/>
      </w:pPr>
      <w:r w:rsidRPr="00FA0D37">
        <w:t>}</w:t>
      </w:r>
    </w:p>
    <w:p w14:paraId="630F6F92" w14:textId="6B102863" w:rsidR="00306103" w:rsidRPr="00FA0D37" w:rsidRDefault="00306103" w:rsidP="00FA0D37">
      <w:pPr>
        <w:pStyle w:val="PL"/>
      </w:pPr>
    </w:p>
    <w:p w14:paraId="6364CCE7" w14:textId="313ACAD4" w:rsidR="00963709" w:rsidRPr="00FA0D37" w:rsidRDefault="00963709" w:rsidP="00FA0D37">
      <w:pPr>
        <w:pStyle w:val="PL"/>
      </w:pPr>
      <w:r w:rsidRPr="00FA0D37">
        <w:t xml:space="preserve">SRS-PeriodicityAndOffsetExt-r16 ::=     </w:t>
      </w:r>
      <w:r w:rsidRPr="00FA0D37">
        <w:rPr>
          <w:color w:val="993366"/>
        </w:rPr>
        <w:t>CHOICE</w:t>
      </w:r>
      <w:r w:rsidRPr="00FA0D37">
        <w:t xml:space="preserve"> {</w:t>
      </w:r>
    </w:p>
    <w:p w14:paraId="2D15A0CC" w14:textId="7ED1235F" w:rsidR="00963709" w:rsidRPr="00FA0D37" w:rsidRDefault="00963709" w:rsidP="00FA0D37">
      <w:pPr>
        <w:pStyle w:val="PL"/>
      </w:pPr>
      <w:r w:rsidRPr="00FA0D37">
        <w:t xml:space="preserve">    sl128                                   </w:t>
      </w:r>
      <w:r w:rsidRPr="00FA0D37">
        <w:rPr>
          <w:color w:val="993366"/>
        </w:rPr>
        <w:t>INTEGER</w:t>
      </w:r>
      <w:r w:rsidRPr="00FA0D37">
        <w:t>(0..127),</w:t>
      </w:r>
    </w:p>
    <w:p w14:paraId="31C674A6" w14:textId="18C33AF5" w:rsidR="00963709" w:rsidRPr="00FA0D37" w:rsidRDefault="00963709" w:rsidP="00FA0D37">
      <w:pPr>
        <w:pStyle w:val="PL"/>
      </w:pPr>
      <w:r w:rsidRPr="00FA0D37">
        <w:t xml:space="preserve">    sl256                                   </w:t>
      </w:r>
      <w:r w:rsidRPr="00FA0D37">
        <w:rPr>
          <w:color w:val="993366"/>
        </w:rPr>
        <w:t>INTEGER</w:t>
      </w:r>
      <w:r w:rsidRPr="00FA0D37">
        <w:t>(0..255),</w:t>
      </w:r>
    </w:p>
    <w:p w14:paraId="2575C32C" w14:textId="7B0BA64E" w:rsidR="00963709" w:rsidRPr="00FA0D37" w:rsidRDefault="00963709" w:rsidP="00FA0D37">
      <w:pPr>
        <w:pStyle w:val="PL"/>
      </w:pPr>
      <w:r w:rsidRPr="00FA0D37">
        <w:t xml:space="preserve">    sl512                                   </w:t>
      </w:r>
      <w:r w:rsidRPr="00FA0D37">
        <w:rPr>
          <w:color w:val="993366"/>
        </w:rPr>
        <w:t>INTEGER</w:t>
      </w:r>
      <w:r w:rsidRPr="00FA0D37">
        <w:t>(0..511),</w:t>
      </w:r>
    </w:p>
    <w:p w14:paraId="31CD31AC" w14:textId="2E92C707" w:rsidR="00963709" w:rsidRPr="00FA0D37" w:rsidRDefault="00963709" w:rsidP="00FA0D37">
      <w:pPr>
        <w:pStyle w:val="PL"/>
      </w:pPr>
      <w:r w:rsidRPr="00FA0D37">
        <w:t xml:space="preserve">    sl20480                                 </w:t>
      </w:r>
      <w:r w:rsidRPr="00FA0D37">
        <w:rPr>
          <w:color w:val="993366"/>
        </w:rPr>
        <w:t>INTEGER</w:t>
      </w:r>
      <w:r w:rsidRPr="00FA0D37">
        <w:t>(0..20479)</w:t>
      </w:r>
    </w:p>
    <w:p w14:paraId="65EA539A" w14:textId="69B4C3F1" w:rsidR="00963709" w:rsidRPr="00FA0D37" w:rsidRDefault="00963709" w:rsidP="00FA0D37">
      <w:pPr>
        <w:pStyle w:val="PL"/>
      </w:pPr>
      <w:r w:rsidRPr="00FA0D37">
        <w:t>}</w:t>
      </w:r>
    </w:p>
    <w:p w14:paraId="56CDF0B5" w14:textId="77777777" w:rsidR="00963709" w:rsidRPr="00FA0D37" w:rsidRDefault="00963709" w:rsidP="00FA0D37">
      <w:pPr>
        <w:pStyle w:val="PL"/>
      </w:pPr>
    </w:p>
    <w:p w14:paraId="62381BAA" w14:textId="209F7859" w:rsidR="00306103" w:rsidRPr="00FA0D37" w:rsidRDefault="00306103" w:rsidP="00FA0D37">
      <w:pPr>
        <w:pStyle w:val="PL"/>
      </w:pPr>
      <w:r w:rsidRPr="00FA0D37">
        <w:t xml:space="preserve">SpatialRelationInfo-PDC-r17 ::=   </w:t>
      </w:r>
      <w:r w:rsidRPr="00FA0D37">
        <w:rPr>
          <w:color w:val="993366"/>
        </w:rPr>
        <w:t>SEQUENCE</w:t>
      </w:r>
      <w:r w:rsidRPr="00FA0D37">
        <w:t xml:space="preserve"> {</w:t>
      </w:r>
    </w:p>
    <w:p w14:paraId="1D8A2A9E" w14:textId="0B6DBE26" w:rsidR="00306103" w:rsidRPr="00FA0D37" w:rsidRDefault="00306103" w:rsidP="00FA0D37">
      <w:pPr>
        <w:pStyle w:val="PL"/>
      </w:pPr>
      <w:r w:rsidRPr="00FA0D37">
        <w:t xml:space="preserve">    referenceSignal                   </w:t>
      </w:r>
      <w:r w:rsidRPr="00FA0D37">
        <w:rPr>
          <w:color w:val="993366"/>
        </w:rPr>
        <w:t>CHOICE</w:t>
      </w:r>
      <w:r w:rsidRPr="00FA0D37">
        <w:t xml:space="preserve"> {</w:t>
      </w:r>
    </w:p>
    <w:p w14:paraId="5891AB6A" w14:textId="27AC2481" w:rsidR="00306103" w:rsidRPr="00FA0D37" w:rsidRDefault="00306103" w:rsidP="00FA0D37">
      <w:pPr>
        <w:pStyle w:val="PL"/>
      </w:pPr>
      <w:r w:rsidRPr="00FA0D37">
        <w:t xml:space="preserve">        ssb-Index                         SSB-Index,</w:t>
      </w:r>
    </w:p>
    <w:p w14:paraId="6769EE4D" w14:textId="0F13BA7F" w:rsidR="00306103" w:rsidRPr="00FA0D37" w:rsidRDefault="00306103" w:rsidP="00FA0D37">
      <w:pPr>
        <w:pStyle w:val="PL"/>
      </w:pPr>
      <w:r w:rsidRPr="00FA0D37">
        <w:t xml:space="preserve">        csi-RS-Index                      NZP-CSI-RS-ResourceId,</w:t>
      </w:r>
    </w:p>
    <w:p w14:paraId="65E7F648" w14:textId="0867D7A3" w:rsidR="00306103" w:rsidRPr="00FA0D37" w:rsidRDefault="00306103" w:rsidP="00FA0D37">
      <w:pPr>
        <w:pStyle w:val="PL"/>
      </w:pPr>
      <w:r w:rsidRPr="00FA0D37">
        <w:t xml:space="preserve">        dl-PRS-PDC                        NR-DL-PRS-ResourceID-r17,</w:t>
      </w:r>
    </w:p>
    <w:p w14:paraId="0EE02118" w14:textId="545B5BA1" w:rsidR="00306103" w:rsidRPr="00FA0D37" w:rsidRDefault="00306103" w:rsidP="00FA0D37">
      <w:pPr>
        <w:pStyle w:val="PL"/>
      </w:pPr>
      <w:r w:rsidRPr="00FA0D37">
        <w:t xml:space="preserve">        srs                               </w:t>
      </w:r>
      <w:r w:rsidRPr="00FA0D37">
        <w:rPr>
          <w:color w:val="993366"/>
        </w:rPr>
        <w:t>SEQUENCE</w:t>
      </w:r>
      <w:r w:rsidRPr="00FA0D37">
        <w:t xml:space="preserve"> {</w:t>
      </w:r>
    </w:p>
    <w:p w14:paraId="47624FA3" w14:textId="185E8235" w:rsidR="00306103" w:rsidRPr="00FA0D37" w:rsidRDefault="00306103" w:rsidP="00FA0D37">
      <w:pPr>
        <w:pStyle w:val="PL"/>
      </w:pPr>
      <w:r w:rsidRPr="00FA0D37">
        <w:t xml:space="preserve">            resourceId                        SRS-ResourceId,</w:t>
      </w:r>
    </w:p>
    <w:p w14:paraId="219609B7" w14:textId="140FA064" w:rsidR="00306103" w:rsidRPr="00FA0D37" w:rsidRDefault="00306103" w:rsidP="00FA0D37">
      <w:pPr>
        <w:pStyle w:val="PL"/>
      </w:pPr>
      <w:r w:rsidRPr="00FA0D37">
        <w:t xml:space="preserve">            uplinkBWP                         BWP-Id</w:t>
      </w:r>
    </w:p>
    <w:p w14:paraId="13FF81BB" w14:textId="77777777" w:rsidR="00306103" w:rsidRPr="00FA0D37" w:rsidRDefault="00306103" w:rsidP="00FA0D37">
      <w:pPr>
        <w:pStyle w:val="PL"/>
      </w:pPr>
      <w:r w:rsidRPr="00FA0D37">
        <w:t xml:space="preserve">        },</w:t>
      </w:r>
    </w:p>
    <w:p w14:paraId="4C20AB04" w14:textId="77777777" w:rsidR="00306103" w:rsidRPr="00FA0D37" w:rsidRDefault="00306103" w:rsidP="00FA0D37">
      <w:pPr>
        <w:pStyle w:val="PL"/>
      </w:pPr>
      <w:r w:rsidRPr="00FA0D37">
        <w:t xml:space="preserve">        ...</w:t>
      </w:r>
    </w:p>
    <w:p w14:paraId="1C4D8841" w14:textId="77777777" w:rsidR="00306103" w:rsidRPr="00FA0D37" w:rsidRDefault="00306103" w:rsidP="00FA0D37">
      <w:pPr>
        <w:pStyle w:val="PL"/>
      </w:pPr>
      <w:r w:rsidRPr="00FA0D37">
        <w:t xml:space="preserve">    },</w:t>
      </w:r>
    </w:p>
    <w:p w14:paraId="6570EA3F" w14:textId="77777777" w:rsidR="00306103" w:rsidRPr="00FA0D37" w:rsidRDefault="00306103" w:rsidP="00FA0D37">
      <w:pPr>
        <w:pStyle w:val="PL"/>
      </w:pPr>
      <w:r w:rsidRPr="00FA0D37">
        <w:t xml:space="preserve">    ...</w:t>
      </w:r>
    </w:p>
    <w:p w14:paraId="7398B426" w14:textId="3F9393C8" w:rsidR="00394471" w:rsidRPr="00FA0D37" w:rsidRDefault="00306103" w:rsidP="00FA0D37">
      <w:pPr>
        <w:pStyle w:val="PL"/>
      </w:pPr>
      <w:r w:rsidRPr="00FA0D37">
        <w:t>}</w:t>
      </w:r>
    </w:p>
    <w:p w14:paraId="63157089" w14:textId="77777777" w:rsidR="009B1D75" w:rsidRPr="00FA0D37" w:rsidRDefault="009B1D75" w:rsidP="00FA0D37">
      <w:pPr>
        <w:pStyle w:val="PL"/>
      </w:pPr>
    </w:p>
    <w:p w14:paraId="4444175B" w14:textId="77777777" w:rsidR="00394471" w:rsidRPr="00FA0D37" w:rsidRDefault="00394471" w:rsidP="00FA0D37">
      <w:pPr>
        <w:pStyle w:val="PL"/>
        <w:rPr>
          <w:color w:val="808080"/>
        </w:rPr>
      </w:pPr>
      <w:r w:rsidRPr="00FA0D37">
        <w:rPr>
          <w:color w:val="808080"/>
        </w:rPr>
        <w:t>-- TAG-SRS-CONFIG-STOP</w:t>
      </w:r>
    </w:p>
    <w:p w14:paraId="0340DA26" w14:textId="77777777" w:rsidR="00394471" w:rsidRPr="00FA0D37" w:rsidRDefault="00394471" w:rsidP="00FA0D37">
      <w:pPr>
        <w:pStyle w:val="PL"/>
        <w:rPr>
          <w:color w:val="808080"/>
        </w:rPr>
      </w:pPr>
      <w:r w:rsidRPr="00FA0D37">
        <w:rPr>
          <w:color w:val="808080"/>
        </w:rPr>
        <w:t>-- ASN1STOP</w:t>
      </w:r>
    </w:p>
    <w:p w14:paraId="69FDA05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FA0D37" w:rsidRDefault="00394471" w:rsidP="00964CC4">
            <w:pPr>
              <w:pStyle w:val="TAH"/>
              <w:rPr>
                <w:szCs w:val="22"/>
                <w:lang w:eastAsia="sv-SE"/>
              </w:rPr>
            </w:pPr>
            <w:r w:rsidRPr="00FA0D37">
              <w:rPr>
                <w:i/>
                <w:szCs w:val="22"/>
                <w:lang w:eastAsia="sv-SE"/>
              </w:rPr>
              <w:t xml:space="preserve">SRS-Config </w:t>
            </w:r>
            <w:r w:rsidRPr="00FA0D37">
              <w:rPr>
                <w:szCs w:val="22"/>
                <w:lang w:eastAsia="sv-SE"/>
              </w:rPr>
              <w:t>field descriptions</w:t>
            </w:r>
          </w:p>
        </w:tc>
      </w:tr>
      <w:tr w:rsidR="00F747EB" w:rsidRPr="00FA0D37"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FA0D37" w:rsidRDefault="00394471" w:rsidP="00964CC4">
            <w:pPr>
              <w:pStyle w:val="TAL"/>
              <w:rPr>
                <w:szCs w:val="22"/>
                <w:lang w:eastAsia="sv-SE"/>
              </w:rPr>
            </w:pPr>
            <w:r w:rsidRPr="00FA0D37">
              <w:rPr>
                <w:b/>
                <w:i/>
                <w:szCs w:val="22"/>
                <w:lang w:eastAsia="sv-SE"/>
              </w:rPr>
              <w:t>tpc-Accumulation</w:t>
            </w:r>
          </w:p>
          <w:p w14:paraId="5DB1908F" w14:textId="77777777" w:rsidR="00394471" w:rsidRPr="00FA0D37" w:rsidRDefault="00394471" w:rsidP="00964CC4">
            <w:pPr>
              <w:pStyle w:val="TAL"/>
              <w:rPr>
                <w:szCs w:val="22"/>
                <w:lang w:eastAsia="sv-SE"/>
              </w:rPr>
            </w:pPr>
            <w:r w:rsidRPr="00FA0D37">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FA0D37" w:rsidRDefault="00394471" w:rsidP="00964CC4">
            <w:pPr>
              <w:pStyle w:val="TAH"/>
              <w:rPr>
                <w:szCs w:val="22"/>
                <w:lang w:eastAsia="sv-SE"/>
              </w:rPr>
            </w:pPr>
            <w:r w:rsidRPr="00FA0D37">
              <w:rPr>
                <w:i/>
                <w:szCs w:val="22"/>
                <w:lang w:eastAsia="sv-SE"/>
              </w:rPr>
              <w:lastRenderedPageBreak/>
              <w:t>SRS-Resource</w:t>
            </w:r>
            <w:r w:rsidR="00B477A2" w:rsidRPr="00FA0D37">
              <w:rPr>
                <w:i/>
                <w:szCs w:val="22"/>
                <w:lang w:eastAsia="zh-CN"/>
              </w:rPr>
              <w:t>, SRS-PosResource</w:t>
            </w:r>
            <w:r w:rsidRPr="00FA0D37">
              <w:rPr>
                <w:i/>
                <w:szCs w:val="22"/>
                <w:lang w:eastAsia="sv-SE"/>
              </w:rPr>
              <w:t xml:space="preserve"> </w:t>
            </w:r>
            <w:r w:rsidRPr="00FA0D37">
              <w:rPr>
                <w:szCs w:val="22"/>
                <w:lang w:eastAsia="sv-SE"/>
              </w:rPr>
              <w:t>field descriptions</w:t>
            </w:r>
          </w:p>
        </w:tc>
      </w:tr>
      <w:tr w:rsidR="005C7FF4" w:rsidRPr="00FA0D37"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FA0D37" w:rsidRDefault="00394471" w:rsidP="00964CC4">
            <w:pPr>
              <w:pStyle w:val="TAL"/>
              <w:rPr>
                <w:szCs w:val="22"/>
                <w:lang w:eastAsia="sv-SE"/>
              </w:rPr>
            </w:pPr>
            <w:r w:rsidRPr="00FA0D37">
              <w:rPr>
                <w:b/>
                <w:i/>
                <w:szCs w:val="22"/>
                <w:lang w:eastAsia="sv-SE"/>
              </w:rPr>
              <w:t>cyclicShift-n2</w:t>
            </w:r>
          </w:p>
          <w:p w14:paraId="0F6A35F1" w14:textId="77777777" w:rsidR="00394471" w:rsidRPr="00FA0D37" w:rsidRDefault="00394471" w:rsidP="00964CC4">
            <w:pPr>
              <w:pStyle w:val="TAL"/>
              <w:rPr>
                <w:szCs w:val="22"/>
                <w:lang w:eastAsia="sv-SE"/>
              </w:rPr>
            </w:pPr>
            <w:r w:rsidRPr="00FA0D37">
              <w:rPr>
                <w:szCs w:val="22"/>
                <w:lang w:eastAsia="sv-SE"/>
              </w:rPr>
              <w:t>Cyclic shift configuration (see TS 38.214 [19], clause 6.2.1).</w:t>
            </w:r>
          </w:p>
        </w:tc>
      </w:tr>
      <w:tr w:rsidR="005C7FF4" w:rsidRPr="00FA0D37"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FA0D37" w:rsidRDefault="00394471" w:rsidP="00964CC4">
            <w:pPr>
              <w:pStyle w:val="TAL"/>
              <w:rPr>
                <w:szCs w:val="22"/>
                <w:lang w:eastAsia="sv-SE"/>
              </w:rPr>
            </w:pPr>
            <w:r w:rsidRPr="00FA0D37">
              <w:rPr>
                <w:b/>
                <w:i/>
                <w:szCs w:val="22"/>
                <w:lang w:eastAsia="sv-SE"/>
              </w:rPr>
              <w:t>cyclicShift-n4</w:t>
            </w:r>
          </w:p>
          <w:p w14:paraId="4C600023" w14:textId="77777777" w:rsidR="00394471" w:rsidRPr="00FA0D37" w:rsidRDefault="00394471" w:rsidP="00964CC4">
            <w:pPr>
              <w:pStyle w:val="TAL"/>
              <w:rPr>
                <w:szCs w:val="22"/>
                <w:lang w:eastAsia="sv-SE"/>
              </w:rPr>
            </w:pPr>
            <w:r w:rsidRPr="00FA0D37">
              <w:rPr>
                <w:szCs w:val="22"/>
                <w:lang w:eastAsia="sv-SE"/>
              </w:rPr>
              <w:t>Cyclic shift configuration (see TS 38.214 [19], clause 6.2.1).</w:t>
            </w:r>
          </w:p>
        </w:tc>
      </w:tr>
      <w:tr w:rsidR="005C7FF4" w:rsidRPr="00FA0D37"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FA0D37" w:rsidRDefault="0018069D" w:rsidP="0018069D">
            <w:pPr>
              <w:pStyle w:val="TAL"/>
              <w:rPr>
                <w:rFonts w:eastAsia="宋体"/>
                <w:szCs w:val="22"/>
                <w:lang w:eastAsia="zh-CN"/>
              </w:rPr>
            </w:pPr>
            <w:r w:rsidRPr="00FA0D37">
              <w:rPr>
                <w:b/>
                <w:i/>
                <w:szCs w:val="22"/>
                <w:lang w:eastAsia="sv-SE"/>
              </w:rPr>
              <w:t>cyclicShift-n</w:t>
            </w:r>
            <w:r w:rsidRPr="00FA0D37">
              <w:rPr>
                <w:rFonts w:eastAsia="宋体"/>
                <w:b/>
                <w:i/>
                <w:szCs w:val="22"/>
                <w:lang w:eastAsia="zh-CN"/>
              </w:rPr>
              <w:t>8</w:t>
            </w:r>
          </w:p>
          <w:p w14:paraId="517B541E" w14:textId="5D3F00D9" w:rsidR="0018069D" w:rsidRPr="00FA0D37" w:rsidRDefault="0018069D" w:rsidP="0018069D">
            <w:pPr>
              <w:pStyle w:val="TAL"/>
              <w:rPr>
                <w:b/>
                <w:i/>
                <w:szCs w:val="22"/>
                <w:lang w:eastAsia="sv-SE"/>
              </w:rPr>
            </w:pPr>
            <w:r w:rsidRPr="00FA0D37">
              <w:rPr>
                <w:szCs w:val="22"/>
                <w:lang w:eastAsia="sv-SE"/>
              </w:rPr>
              <w:t>Cyclic shift configuration (see TS 38.214 [19], clause 6.2.1).</w:t>
            </w:r>
          </w:p>
        </w:tc>
      </w:tr>
      <w:tr w:rsidR="005C7FF4" w:rsidRPr="00FA0D37"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0F2B5F" w:rsidRPr="00FA0D37" w:rsidRDefault="000F2B5F" w:rsidP="00771058">
            <w:pPr>
              <w:pStyle w:val="TAL"/>
              <w:rPr>
                <w:b/>
                <w:bCs/>
                <w:i/>
                <w:iCs/>
              </w:rPr>
            </w:pPr>
            <w:r w:rsidRPr="00FA0D37">
              <w:rPr>
                <w:b/>
                <w:bCs/>
                <w:i/>
                <w:iCs/>
              </w:rPr>
              <w:t>enableStartRBHopping</w:t>
            </w:r>
          </w:p>
          <w:p w14:paraId="65D889B5" w14:textId="7E0CD340" w:rsidR="000F2B5F" w:rsidRPr="00FA0D37" w:rsidRDefault="000F2B5F" w:rsidP="00771058">
            <w:pPr>
              <w:pStyle w:val="TAL"/>
              <w:rPr>
                <w:szCs w:val="22"/>
                <w:lang w:eastAsia="sv-SE"/>
              </w:rPr>
            </w:pPr>
            <w:r w:rsidRPr="00FA0D37">
              <w:rPr>
                <w:szCs w:val="22"/>
                <w:lang w:eastAsia="sv-SE"/>
              </w:rPr>
              <w:t>When this RRC parameter is configured, start RB location hopping is enabled for partial frequency sounding in different SRS frequency hopping periods for periodic/semi-persistent/aperiodic SRS as described in Clause 6.4.1.4 in TS 38.211.</w:t>
            </w:r>
          </w:p>
        </w:tc>
      </w:tr>
      <w:tr w:rsidR="005C7FF4" w:rsidRPr="00FA0D37"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394471" w:rsidRPr="00FA0D37" w:rsidRDefault="00394471" w:rsidP="00964CC4">
            <w:pPr>
              <w:pStyle w:val="TAL"/>
              <w:rPr>
                <w:szCs w:val="22"/>
                <w:lang w:eastAsia="sv-SE"/>
              </w:rPr>
            </w:pPr>
            <w:r w:rsidRPr="00FA0D37">
              <w:rPr>
                <w:b/>
                <w:i/>
                <w:szCs w:val="22"/>
                <w:lang w:eastAsia="sv-SE"/>
              </w:rPr>
              <w:t>freqHopping</w:t>
            </w:r>
          </w:p>
          <w:p w14:paraId="1C20B01D" w14:textId="77777777" w:rsidR="00394471" w:rsidRPr="00FA0D37" w:rsidRDefault="00394471" w:rsidP="00964CC4">
            <w:pPr>
              <w:pStyle w:val="TAL"/>
              <w:rPr>
                <w:szCs w:val="22"/>
                <w:lang w:eastAsia="sv-SE"/>
              </w:rPr>
            </w:pPr>
            <w:r w:rsidRPr="00FA0D37">
              <w:rPr>
                <w:szCs w:val="22"/>
                <w:lang w:eastAsia="sv-SE"/>
              </w:rPr>
              <w:t xml:space="preserve">Includes parameters capturing SRS frequency hopping (see TS 38.214 [19], clause 6.2.1). For CLI SRS-RSRP measurement, the network always configures this field such that </w:t>
            </w:r>
            <w:r w:rsidRPr="00FA0D37">
              <w:rPr>
                <w:i/>
                <w:szCs w:val="22"/>
                <w:lang w:eastAsia="sv-SE"/>
              </w:rPr>
              <w:t>b-hop</w:t>
            </w:r>
            <w:r w:rsidRPr="00FA0D37">
              <w:rPr>
                <w:szCs w:val="22"/>
                <w:lang w:eastAsia="sv-SE"/>
              </w:rPr>
              <w:t xml:space="preserve"> &gt; </w:t>
            </w:r>
            <w:r w:rsidRPr="00FA0D37">
              <w:rPr>
                <w:i/>
                <w:szCs w:val="22"/>
                <w:lang w:eastAsia="sv-SE"/>
              </w:rPr>
              <w:t>b-SRS</w:t>
            </w:r>
            <w:r w:rsidRPr="00FA0D37">
              <w:rPr>
                <w:szCs w:val="22"/>
                <w:lang w:eastAsia="sv-SE"/>
              </w:rPr>
              <w:t>.</w:t>
            </w:r>
          </w:p>
        </w:tc>
      </w:tr>
      <w:tr w:rsidR="005C7FF4" w:rsidRPr="00FA0D37"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394471" w:rsidRPr="00FA0D37" w:rsidRDefault="00394471" w:rsidP="00964CC4">
            <w:pPr>
              <w:pStyle w:val="TAL"/>
              <w:rPr>
                <w:szCs w:val="22"/>
                <w:lang w:eastAsia="sv-SE"/>
              </w:rPr>
            </w:pPr>
            <w:r w:rsidRPr="00FA0D37">
              <w:rPr>
                <w:b/>
                <w:i/>
                <w:szCs w:val="22"/>
                <w:lang w:eastAsia="sv-SE"/>
              </w:rPr>
              <w:t>groupOrSequenceHopping</w:t>
            </w:r>
          </w:p>
          <w:p w14:paraId="58E011DD" w14:textId="77777777" w:rsidR="00394471" w:rsidRPr="00FA0D37" w:rsidRDefault="00394471" w:rsidP="00964CC4">
            <w:pPr>
              <w:pStyle w:val="TAL"/>
              <w:rPr>
                <w:szCs w:val="22"/>
                <w:lang w:eastAsia="sv-SE"/>
              </w:rPr>
            </w:pPr>
            <w:r w:rsidRPr="00FA0D37">
              <w:rPr>
                <w:szCs w:val="22"/>
                <w:lang w:eastAsia="sv-SE"/>
              </w:rPr>
              <w:t>Parameter(s) for configuring group or sequence hopping (see TS 38.211 [16], clause  6.4.1.4.2). For CLI SRS-RSRP measurement, the network always configures this parameter to 'neither'.</w:t>
            </w:r>
          </w:p>
        </w:tc>
      </w:tr>
      <w:tr w:rsidR="005C7FF4" w:rsidRPr="00FA0D37"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394471" w:rsidRPr="00FA0D37" w:rsidRDefault="00394471" w:rsidP="00964CC4">
            <w:pPr>
              <w:pStyle w:val="TAL"/>
              <w:rPr>
                <w:b/>
                <w:i/>
                <w:szCs w:val="22"/>
                <w:lang w:eastAsia="sv-SE"/>
              </w:rPr>
            </w:pPr>
            <w:r w:rsidRPr="00FA0D37">
              <w:rPr>
                <w:b/>
                <w:i/>
                <w:szCs w:val="22"/>
                <w:lang w:eastAsia="sv-SE"/>
              </w:rPr>
              <w:t>nrofSRS-Ports</w:t>
            </w:r>
          </w:p>
          <w:p w14:paraId="55E14C62" w14:textId="77777777" w:rsidR="00394471" w:rsidRPr="00FA0D37" w:rsidRDefault="00394471" w:rsidP="00964CC4">
            <w:pPr>
              <w:pStyle w:val="TAL"/>
              <w:rPr>
                <w:szCs w:val="22"/>
                <w:lang w:eastAsia="sv-SE"/>
              </w:rPr>
            </w:pPr>
            <w:r w:rsidRPr="00FA0D37">
              <w:rPr>
                <w:szCs w:val="22"/>
                <w:lang w:eastAsia="sv-SE"/>
              </w:rPr>
              <w:t>Number of ports. For CLI SRS-RSRP measurement, the network always configures this parameter to 'port1'.</w:t>
            </w:r>
          </w:p>
        </w:tc>
      </w:tr>
      <w:tr w:rsidR="005C7FF4" w:rsidRPr="00FA0D37"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394471" w:rsidRPr="00FA0D37" w:rsidRDefault="00394471" w:rsidP="00964CC4">
            <w:pPr>
              <w:pStyle w:val="TAL"/>
              <w:rPr>
                <w:szCs w:val="22"/>
                <w:lang w:eastAsia="sv-SE"/>
              </w:rPr>
            </w:pPr>
            <w:r w:rsidRPr="00FA0D37">
              <w:rPr>
                <w:b/>
                <w:i/>
                <w:szCs w:val="22"/>
                <w:lang w:eastAsia="sv-SE"/>
              </w:rPr>
              <w:t>periodicityAndOffset-p</w:t>
            </w:r>
            <w:r w:rsidR="00963709" w:rsidRPr="00FA0D37">
              <w:rPr>
                <w:b/>
                <w:i/>
                <w:szCs w:val="22"/>
                <w:lang w:eastAsia="sv-SE"/>
              </w:rPr>
              <w:t>, periodicityAndOffset-p-Ext</w:t>
            </w:r>
          </w:p>
          <w:p w14:paraId="31543F80" w14:textId="79AE894C" w:rsidR="00963709" w:rsidRPr="00FA0D37" w:rsidRDefault="00394471" w:rsidP="00963709">
            <w:pPr>
              <w:pStyle w:val="TAL"/>
              <w:rPr>
                <w:szCs w:val="22"/>
                <w:lang w:eastAsia="sv-SE"/>
              </w:rPr>
            </w:pPr>
            <w:r w:rsidRPr="00FA0D37">
              <w:rPr>
                <w:szCs w:val="22"/>
                <w:lang w:eastAsia="sv-SE"/>
              </w:rPr>
              <w:t xml:space="preserve">Periodicity and slot offset for this SRS resource. All values are in "number of slots". Value </w:t>
            </w:r>
            <w:r w:rsidRPr="00FA0D37">
              <w:rPr>
                <w:i/>
                <w:szCs w:val="22"/>
                <w:lang w:eastAsia="sv-SE"/>
              </w:rPr>
              <w:t>sl1</w:t>
            </w:r>
            <w:r w:rsidRPr="00FA0D37">
              <w:rPr>
                <w:szCs w:val="22"/>
                <w:lang w:eastAsia="sv-SE"/>
              </w:rPr>
              <w:t xml:space="preserve"> corresponds to a periodicity of 1 slot, value </w:t>
            </w:r>
            <w:r w:rsidRPr="00FA0D37">
              <w:rPr>
                <w:i/>
                <w:szCs w:val="22"/>
                <w:lang w:eastAsia="sv-SE"/>
              </w:rPr>
              <w:t>sl2</w:t>
            </w:r>
            <w:r w:rsidRPr="00FA0D37">
              <w:rPr>
                <w:szCs w:val="22"/>
                <w:lang w:eastAsia="sv-SE"/>
              </w:rPr>
              <w:t xml:space="preserve"> corresponds to a periodicity of 2 slots, and so on. For each periodicity the corresponding offset is given in number of slots. For periodicity </w:t>
            </w:r>
            <w:r w:rsidRPr="00FA0D37">
              <w:rPr>
                <w:i/>
                <w:szCs w:val="22"/>
                <w:lang w:eastAsia="sv-SE"/>
              </w:rPr>
              <w:t>sl1</w:t>
            </w:r>
            <w:r w:rsidRPr="00FA0D37">
              <w:rPr>
                <w:szCs w:val="22"/>
                <w:lang w:eastAsia="sv-SE"/>
              </w:rPr>
              <w:t xml:space="preserve"> the offset is 0 slots (see TS 38.214 [19], clause 6.2.1). For CLI SRS-RSRP measurement, </w:t>
            </w:r>
            <w:r w:rsidRPr="00FA0D37">
              <w:rPr>
                <w:i/>
                <w:szCs w:val="22"/>
                <w:lang w:eastAsia="sv-SE"/>
              </w:rPr>
              <w:t>sl1280</w:t>
            </w:r>
            <w:r w:rsidRPr="00FA0D37">
              <w:rPr>
                <w:szCs w:val="22"/>
                <w:lang w:eastAsia="sv-SE"/>
              </w:rPr>
              <w:t xml:space="preserve"> and </w:t>
            </w:r>
            <w:r w:rsidRPr="00FA0D37">
              <w:rPr>
                <w:i/>
                <w:szCs w:val="22"/>
                <w:lang w:eastAsia="sv-SE"/>
              </w:rPr>
              <w:t>sl2560</w:t>
            </w:r>
            <w:r w:rsidRPr="00FA0D37">
              <w:rPr>
                <w:szCs w:val="22"/>
                <w:lang w:eastAsia="sv-SE"/>
              </w:rPr>
              <w:t xml:space="preserve"> cannot be configured.</w:t>
            </w:r>
            <w:r w:rsidR="00963709" w:rsidRPr="00FA0D37">
              <w:rPr>
                <w:szCs w:val="22"/>
                <w:lang w:eastAsia="sv-SE"/>
              </w:rPr>
              <w:t xml:space="preserve"> For </w:t>
            </w:r>
            <w:r w:rsidR="00963709" w:rsidRPr="00FA0D37">
              <w:rPr>
                <w:i/>
                <w:iCs/>
                <w:szCs w:val="22"/>
                <w:lang w:eastAsia="sv-SE"/>
              </w:rPr>
              <w:t>SRS-PosResource</w:t>
            </w:r>
            <w:r w:rsidR="00963709" w:rsidRPr="00FA0D37">
              <w:rPr>
                <w:szCs w:val="22"/>
                <w:lang w:eastAsia="sv-SE"/>
              </w:rPr>
              <w:t xml:space="preserve">, </w:t>
            </w:r>
            <w:r w:rsidR="003071C2" w:rsidRPr="00FA0D37">
              <w:rPr>
                <w:szCs w:val="22"/>
                <w:lang w:eastAsia="sv-SE"/>
              </w:rPr>
              <w:t xml:space="preserve">values </w:t>
            </w:r>
            <w:r w:rsidR="00963709" w:rsidRPr="00FA0D37">
              <w:rPr>
                <w:i/>
                <w:iCs/>
                <w:szCs w:val="22"/>
                <w:lang w:eastAsia="sv-SE"/>
              </w:rPr>
              <w:t>sl20480</w:t>
            </w:r>
            <w:r w:rsidR="00963709" w:rsidRPr="00FA0D37">
              <w:rPr>
                <w:szCs w:val="22"/>
                <w:lang w:eastAsia="sv-SE"/>
              </w:rPr>
              <w:t xml:space="preserve">, </w:t>
            </w:r>
            <w:r w:rsidR="00963709" w:rsidRPr="00FA0D37">
              <w:rPr>
                <w:i/>
                <w:iCs/>
                <w:szCs w:val="22"/>
                <w:lang w:eastAsia="sv-SE"/>
              </w:rPr>
              <w:t>sl40960</w:t>
            </w:r>
            <w:r w:rsidR="00963709" w:rsidRPr="00FA0D37">
              <w:rPr>
                <w:szCs w:val="22"/>
                <w:lang w:eastAsia="sv-SE"/>
              </w:rPr>
              <w:t xml:space="preserve"> and </w:t>
            </w:r>
            <w:r w:rsidR="00963709" w:rsidRPr="00FA0D37">
              <w:rPr>
                <w:i/>
                <w:iCs/>
                <w:szCs w:val="22"/>
                <w:lang w:eastAsia="sv-SE"/>
              </w:rPr>
              <w:t>sl81920</w:t>
            </w:r>
            <w:r w:rsidR="00963709" w:rsidRPr="00FA0D37">
              <w:rPr>
                <w:szCs w:val="22"/>
                <w:lang w:eastAsia="sv-SE"/>
              </w:rPr>
              <w:t xml:space="preserve"> cannot be configured for SCS=15kHz, </w:t>
            </w:r>
            <w:r w:rsidR="003071C2" w:rsidRPr="00FA0D37">
              <w:rPr>
                <w:szCs w:val="22"/>
                <w:lang w:eastAsia="sv-SE"/>
              </w:rPr>
              <w:t xml:space="preserve">values </w:t>
            </w:r>
            <w:r w:rsidR="00963709" w:rsidRPr="00FA0D37">
              <w:rPr>
                <w:i/>
                <w:iCs/>
                <w:szCs w:val="22"/>
                <w:lang w:eastAsia="sv-SE"/>
              </w:rPr>
              <w:t>sl40960</w:t>
            </w:r>
            <w:r w:rsidR="00963709" w:rsidRPr="00FA0D37">
              <w:rPr>
                <w:szCs w:val="22"/>
                <w:lang w:eastAsia="sv-SE"/>
              </w:rPr>
              <w:t xml:space="preserve"> and </w:t>
            </w:r>
            <w:r w:rsidR="00963709" w:rsidRPr="00FA0D37">
              <w:rPr>
                <w:i/>
                <w:iCs/>
                <w:szCs w:val="22"/>
                <w:lang w:eastAsia="sv-SE"/>
              </w:rPr>
              <w:t>sl81920</w:t>
            </w:r>
            <w:r w:rsidR="00963709" w:rsidRPr="00FA0D37">
              <w:rPr>
                <w:szCs w:val="22"/>
                <w:lang w:eastAsia="sv-SE"/>
              </w:rPr>
              <w:t xml:space="preserve"> cannot be configured for SCS=30kHz, and </w:t>
            </w:r>
            <w:r w:rsidR="003071C2" w:rsidRPr="00FA0D37">
              <w:rPr>
                <w:szCs w:val="22"/>
                <w:lang w:eastAsia="sv-SE"/>
              </w:rPr>
              <w:t xml:space="preserve">value </w:t>
            </w:r>
            <w:r w:rsidR="00963709" w:rsidRPr="00FA0D37">
              <w:rPr>
                <w:i/>
                <w:iCs/>
                <w:szCs w:val="22"/>
                <w:lang w:eastAsia="sv-SE"/>
              </w:rPr>
              <w:t>sl81920</w:t>
            </w:r>
            <w:r w:rsidR="00963709" w:rsidRPr="00FA0D37">
              <w:rPr>
                <w:szCs w:val="22"/>
                <w:lang w:eastAsia="sv-SE"/>
              </w:rPr>
              <w:t xml:space="preserve"> cannot be configured for SCS=60kHz.</w:t>
            </w:r>
          </w:p>
          <w:p w14:paraId="32B2C4C0" w14:textId="434232E6" w:rsidR="00394471" w:rsidRPr="00FA0D37" w:rsidRDefault="00963709" w:rsidP="00963709">
            <w:pPr>
              <w:pStyle w:val="TAL"/>
              <w:rPr>
                <w:szCs w:val="22"/>
                <w:lang w:eastAsia="sv-SE"/>
              </w:rPr>
            </w:pPr>
            <w:r w:rsidRPr="00FA0D37">
              <w:rPr>
                <w:szCs w:val="22"/>
                <w:lang w:eastAsia="sv-SE"/>
              </w:rPr>
              <w:t xml:space="preserve">When </w:t>
            </w:r>
            <w:r w:rsidRPr="00FA0D37">
              <w:rPr>
                <w:i/>
                <w:iCs/>
                <w:szCs w:val="22"/>
                <w:lang w:eastAsia="sv-SE"/>
              </w:rPr>
              <w:t>periodicityAndOffset-p-Ext</w:t>
            </w:r>
            <w:r w:rsidRPr="00FA0D37">
              <w:rPr>
                <w:szCs w:val="22"/>
                <w:lang w:eastAsia="sv-SE"/>
              </w:rPr>
              <w:t xml:space="preserve"> is present, </w:t>
            </w:r>
            <w:r w:rsidRPr="00FA0D37">
              <w:rPr>
                <w:i/>
                <w:iCs/>
                <w:szCs w:val="22"/>
                <w:lang w:eastAsia="sv-SE"/>
              </w:rPr>
              <w:t>periodicityAndOffset-p</w:t>
            </w:r>
            <w:r w:rsidRPr="00FA0D37">
              <w:rPr>
                <w:szCs w:val="22"/>
                <w:lang w:eastAsia="sv-SE"/>
              </w:rPr>
              <w:t xml:space="preserve"> shall be ignored by the UE.</w:t>
            </w:r>
          </w:p>
        </w:tc>
      </w:tr>
      <w:tr w:rsidR="005C7FF4" w:rsidRPr="00FA0D37"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394471" w:rsidRPr="00FA0D37" w:rsidRDefault="00394471" w:rsidP="00964CC4">
            <w:pPr>
              <w:pStyle w:val="TAL"/>
              <w:rPr>
                <w:szCs w:val="22"/>
                <w:lang w:eastAsia="sv-SE"/>
              </w:rPr>
            </w:pPr>
            <w:r w:rsidRPr="00FA0D37">
              <w:rPr>
                <w:b/>
                <w:i/>
                <w:szCs w:val="22"/>
                <w:lang w:eastAsia="sv-SE"/>
              </w:rPr>
              <w:t>periodicityAndOffset-sp</w:t>
            </w:r>
            <w:r w:rsidR="00963709" w:rsidRPr="00FA0D37">
              <w:rPr>
                <w:b/>
                <w:i/>
                <w:szCs w:val="22"/>
                <w:lang w:eastAsia="sv-SE"/>
              </w:rPr>
              <w:t>, periodicityAndOffset-sp-Ext</w:t>
            </w:r>
          </w:p>
          <w:p w14:paraId="5BC89AB5" w14:textId="7CCE462C" w:rsidR="00394471" w:rsidRPr="00FA0D37" w:rsidRDefault="00394471" w:rsidP="00964CC4">
            <w:pPr>
              <w:pStyle w:val="TAL"/>
              <w:rPr>
                <w:szCs w:val="22"/>
                <w:lang w:eastAsia="sv-SE"/>
              </w:rPr>
            </w:pPr>
            <w:r w:rsidRPr="00FA0D37">
              <w:rPr>
                <w:szCs w:val="22"/>
                <w:lang w:eastAsia="sv-SE"/>
              </w:rPr>
              <w:t xml:space="preserve">Periodicity and slot offset for this SRS resource. All values are in "number of slots". Value </w:t>
            </w:r>
            <w:r w:rsidRPr="00FA0D37">
              <w:rPr>
                <w:i/>
                <w:szCs w:val="22"/>
                <w:lang w:eastAsia="sv-SE"/>
              </w:rPr>
              <w:t>sl1</w:t>
            </w:r>
            <w:r w:rsidRPr="00FA0D37">
              <w:rPr>
                <w:szCs w:val="22"/>
                <w:lang w:eastAsia="sv-SE"/>
              </w:rPr>
              <w:t xml:space="preserve"> corresponds to a periodicity of 1 slot, value </w:t>
            </w:r>
            <w:r w:rsidRPr="00FA0D37">
              <w:rPr>
                <w:i/>
                <w:szCs w:val="22"/>
                <w:lang w:eastAsia="sv-SE"/>
              </w:rPr>
              <w:t>sl2</w:t>
            </w:r>
            <w:r w:rsidRPr="00FA0D37">
              <w:rPr>
                <w:szCs w:val="22"/>
                <w:lang w:eastAsia="sv-SE"/>
              </w:rPr>
              <w:t xml:space="preserve"> corresponds to a periodicity of 2 slots, and so on. For each periodicity the corresponding offset is given in number of slots. For periodicity </w:t>
            </w:r>
            <w:r w:rsidRPr="00FA0D37">
              <w:rPr>
                <w:i/>
                <w:szCs w:val="22"/>
                <w:lang w:eastAsia="sv-SE"/>
              </w:rPr>
              <w:t>sl1</w:t>
            </w:r>
            <w:r w:rsidRPr="00FA0D37">
              <w:rPr>
                <w:szCs w:val="22"/>
                <w:lang w:eastAsia="sv-SE"/>
              </w:rPr>
              <w:t xml:space="preserve"> the offset is 0 slots (see TS 38.214 [19], clause 6.2.1).</w:t>
            </w:r>
            <w:r w:rsidR="00963709" w:rsidRPr="00FA0D37">
              <w:rPr>
                <w:szCs w:val="22"/>
                <w:lang w:eastAsia="sv-SE"/>
              </w:rPr>
              <w:t xml:space="preserve"> For </w:t>
            </w:r>
            <w:r w:rsidR="00963709" w:rsidRPr="00FA0D37">
              <w:rPr>
                <w:i/>
                <w:iCs/>
                <w:szCs w:val="22"/>
                <w:lang w:eastAsia="sv-SE"/>
              </w:rPr>
              <w:t>SRS-PosResource</w:t>
            </w:r>
            <w:r w:rsidR="00963709" w:rsidRPr="00FA0D37">
              <w:rPr>
                <w:szCs w:val="22"/>
                <w:lang w:eastAsia="sv-SE"/>
              </w:rPr>
              <w:t xml:space="preserve">, </w:t>
            </w:r>
            <w:r w:rsidR="003071C2" w:rsidRPr="00FA0D37">
              <w:rPr>
                <w:szCs w:val="22"/>
                <w:lang w:eastAsia="sv-SE"/>
              </w:rPr>
              <w:t xml:space="preserve">values </w:t>
            </w:r>
            <w:r w:rsidR="00963709" w:rsidRPr="00FA0D37">
              <w:rPr>
                <w:i/>
                <w:iCs/>
                <w:szCs w:val="22"/>
                <w:lang w:eastAsia="sv-SE"/>
              </w:rPr>
              <w:t>sl20480</w:t>
            </w:r>
            <w:r w:rsidR="00963709" w:rsidRPr="00FA0D37">
              <w:rPr>
                <w:szCs w:val="22"/>
                <w:lang w:eastAsia="sv-SE"/>
              </w:rPr>
              <w:t xml:space="preserve">, </w:t>
            </w:r>
            <w:r w:rsidR="00963709" w:rsidRPr="00FA0D37">
              <w:rPr>
                <w:i/>
                <w:iCs/>
                <w:szCs w:val="22"/>
                <w:lang w:eastAsia="sv-SE"/>
              </w:rPr>
              <w:t>sl40960</w:t>
            </w:r>
            <w:r w:rsidR="00963709" w:rsidRPr="00FA0D37">
              <w:rPr>
                <w:szCs w:val="22"/>
                <w:lang w:eastAsia="sv-SE"/>
              </w:rPr>
              <w:t xml:space="preserve"> and </w:t>
            </w:r>
            <w:r w:rsidR="00963709" w:rsidRPr="00FA0D37">
              <w:rPr>
                <w:i/>
                <w:iCs/>
                <w:szCs w:val="22"/>
                <w:lang w:eastAsia="sv-SE"/>
              </w:rPr>
              <w:t>sl81920</w:t>
            </w:r>
            <w:r w:rsidR="00963709" w:rsidRPr="00FA0D37">
              <w:rPr>
                <w:szCs w:val="22"/>
                <w:lang w:eastAsia="sv-SE"/>
              </w:rPr>
              <w:t xml:space="preserve"> cannot be configured for SCS=15kHz, </w:t>
            </w:r>
            <w:r w:rsidR="003071C2" w:rsidRPr="00FA0D37">
              <w:rPr>
                <w:szCs w:val="22"/>
                <w:lang w:eastAsia="sv-SE"/>
              </w:rPr>
              <w:t xml:space="preserve">values </w:t>
            </w:r>
            <w:r w:rsidR="00963709" w:rsidRPr="00FA0D37">
              <w:rPr>
                <w:i/>
                <w:iCs/>
                <w:szCs w:val="22"/>
                <w:lang w:eastAsia="sv-SE"/>
              </w:rPr>
              <w:t>sl40960</w:t>
            </w:r>
            <w:r w:rsidR="00963709" w:rsidRPr="00FA0D37">
              <w:rPr>
                <w:szCs w:val="22"/>
                <w:lang w:eastAsia="sv-SE"/>
              </w:rPr>
              <w:t xml:space="preserve"> and </w:t>
            </w:r>
            <w:r w:rsidR="00963709" w:rsidRPr="00FA0D37">
              <w:rPr>
                <w:i/>
                <w:iCs/>
                <w:szCs w:val="22"/>
                <w:lang w:eastAsia="sv-SE"/>
              </w:rPr>
              <w:t>sl81920</w:t>
            </w:r>
            <w:r w:rsidR="00963709" w:rsidRPr="00FA0D37">
              <w:rPr>
                <w:szCs w:val="22"/>
                <w:lang w:eastAsia="sv-SE"/>
              </w:rPr>
              <w:t xml:space="preserve"> cannot be configured for SCS=30kHz, and </w:t>
            </w:r>
            <w:r w:rsidR="003071C2" w:rsidRPr="00FA0D37">
              <w:rPr>
                <w:szCs w:val="22"/>
                <w:lang w:eastAsia="sv-SE"/>
              </w:rPr>
              <w:t xml:space="preserve">value </w:t>
            </w:r>
            <w:r w:rsidR="00963709" w:rsidRPr="00FA0D37">
              <w:rPr>
                <w:i/>
                <w:iCs/>
                <w:szCs w:val="22"/>
                <w:lang w:eastAsia="sv-SE"/>
              </w:rPr>
              <w:t>sl81920</w:t>
            </w:r>
            <w:r w:rsidR="00963709" w:rsidRPr="00FA0D37">
              <w:rPr>
                <w:szCs w:val="22"/>
                <w:lang w:eastAsia="sv-SE"/>
              </w:rPr>
              <w:t xml:space="preserve"> cannot be configured for SCS=60kHz.</w:t>
            </w:r>
          </w:p>
          <w:p w14:paraId="05F5AE18" w14:textId="7ED390BD" w:rsidR="00963709" w:rsidRPr="00FA0D37" w:rsidRDefault="00963709" w:rsidP="00964CC4">
            <w:pPr>
              <w:pStyle w:val="TAL"/>
              <w:rPr>
                <w:szCs w:val="22"/>
                <w:lang w:eastAsia="sv-SE"/>
              </w:rPr>
            </w:pPr>
            <w:r w:rsidRPr="00FA0D37">
              <w:rPr>
                <w:szCs w:val="22"/>
                <w:lang w:eastAsia="sv-SE"/>
              </w:rPr>
              <w:t xml:space="preserve">When </w:t>
            </w:r>
            <w:r w:rsidRPr="00FA0D37">
              <w:rPr>
                <w:i/>
                <w:szCs w:val="22"/>
                <w:lang w:eastAsia="sv-SE"/>
              </w:rPr>
              <w:t>periodicityAndOffset-sp-Ext</w:t>
            </w:r>
            <w:r w:rsidRPr="00FA0D37">
              <w:rPr>
                <w:szCs w:val="22"/>
                <w:lang w:eastAsia="sv-SE"/>
              </w:rPr>
              <w:t xml:space="preserve"> is present, </w:t>
            </w:r>
            <w:r w:rsidRPr="00FA0D37">
              <w:rPr>
                <w:i/>
                <w:szCs w:val="22"/>
                <w:lang w:eastAsia="sv-SE"/>
              </w:rPr>
              <w:t>periodicityAndOffset-sp</w:t>
            </w:r>
            <w:r w:rsidRPr="00FA0D37">
              <w:rPr>
                <w:szCs w:val="22"/>
                <w:lang w:eastAsia="sv-SE"/>
              </w:rPr>
              <w:t xml:space="preserve"> shall be ignored by the UE.</w:t>
            </w:r>
          </w:p>
        </w:tc>
      </w:tr>
      <w:tr w:rsidR="005C7FF4" w:rsidRPr="00FA0D37"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394471" w:rsidRPr="00FA0D37" w:rsidRDefault="00394471" w:rsidP="00964CC4">
            <w:pPr>
              <w:pStyle w:val="TAL"/>
              <w:rPr>
                <w:szCs w:val="22"/>
                <w:lang w:eastAsia="sv-SE"/>
              </w:rPr>
            </w:pPr>
            <w:r w:rsidRPr="00FA0D37">
              <w:rPr>
                <w:b/>
                <w:i/>
                <w:szCs w:val="22"/>
                <w:lang w:eastAsia="sv-SE"/>
              </w:rPr>
              <w:t>ptrs-PortIndex</w:t>
            </w:r>
          </w:p>
          <w:p w14:paraId="38092A5C" w14:textId="77777777" w:rsidR="00394471" w:rsidRPr="00FA0D37" w:rsidRDefault="00394471" w:rsidP="00964CC4">
            <w:pPr>
              <w:pStyle w:val="TAL"/>
              <w:rPr>
                <w:szCs w:val="22"/>
                <w:lang w:eastAsia="sv-SE"/>
              </w:rPr>
            </w:pPr>
            <w:r w:rsidRPr="00FA0D37">
              <w:rPr>
                <w:szCs w:val="22"/>
                <w:lang w:eastAsia="sv-SE"/>
              </w:rPr>
              <w:t xml:space="preserve">The PTRS port index for this SRS resource for non-codebook based UL MIMO. This is only applicable when the corresponding </w:t>
            </w:r>
            <w:r w:rsidRPr="00FA0D37">
              <w:rPr>
                <w:i/>
                <w:szCs w:val="22"/>
                <w:lang w:eastAsia="sv-SE"/>
              </w:rPr>
              <w:t>PTRS-UplinkConfig</w:t>
            </w:r>
            <w:r w:rsidRPr="00FA0D37">
              <w:rPr>
                <w:szCs w:val="22"/>
                <w:lang w:eastAsia="sv-SE"/>
              </w:rPr>
              <w:t xml:space="preserve"> is set to CP-OFDM. The </w:t>
            </w:r>
            <w:r w:rsidRPr="00FA0D37">
              <w:rPr>
                <w:i/>
                <w:szCs w:val="22"/>
                <w:lang w:eastAsia="sv-SE"/>
              </w:rPr>
              <w:t>ptrs-PortIndex</w:t>
            </w:r>
            <w:r w:rsidRPr="00FA0D37">
              <w:rPr>
                <w:szCs w:val="22"/>
                <w:lang w:eastAsia="sv-SE"/>
              </w:rPr>
              <w:t xml:space="preserve"> configured here must be smaller than the </w:t>
            </w:r>
            <w:r w:rsidRPr="00FA0D37">
              <w:rPr>
                <w:i/>
                <w:szCs w:val="22"/>
                <w:lang w:eastAsia="sv-SE"/>
              </w:rPr>
              <w:t>maxNrofPorts</w:t>
            </w:r>
            <w:r w:rsidRPr="00FA0D37">
              <w:rPr>
                <w:szCs w:val="22"/>
                <w:lang w:eastAsia="sv-SE"/>
              </w:rPr>
              <w:t xml:space="preserve"> configured in the </w:t>
            </w:r>
            <w:r w:rsidRPr="00FA0D37">
              <w:rPr>
                <w:i/>
                <w:szCs w:val="22"/>
                <w:lang w:eastAsia="sv-SE"/>
              </w:rPr>
              <w:t>PTRS-UplinkConfig</w:t>
            </w:r>
            <w:r w:rsidRPr="00FA0D37">
              <w:rPr>
                <w:szCs w:val="22"/>
                <w:lang w:eastAsia="sv-SE"/>
              </w:rPr>
              <w:t xml:space="preserve"> (see TS 38.214 [19], clause 6.2.3.1). This parameter is not applicable to CLI SRS-RSRP measurement.</w:t>
            </w:r>
          </w:p>
        </w:tc>
      </w:tr>
      <w:tr w:rsidR="005C7FF4" w:rsidRPr="00FA0D37"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394471" w:rsidRPr="00FA0D37" w:rsidRDefault="00394471" w:rsidP="00964CC4">
            <w:pPr>
              <w:pStyle w:val="TAL"/>
              <w:rPr>
                <w:szCs w:val="22"/>
                <w:lang w:eastAsia="sv-SE"/>
              </w:rPr>
            </w:pPr>
            <w:r w:rsidRPr="00FA0D37">
              <w:rPr>
                <w:b/>
                <w:i/>
                <w:szCs w:val="22"/>
                <w:lang w:eastAsia="sv-SE"/>
              </w:rPr>
              <w:t>resourceMapping</w:t>
            </w:r>
          </w:p>
          <w:p w14:paraId="25DADB9B" w14:textId="20E7BD98" w:rsidR="00394471" w:rsidRPr="00FA0D37" w:rsidRDefault="00394471" w:rsidP="00964CC4">
            <w:pPr>
              <w:pStyle w:val="TAL"/>
              <w:rPr>
                <w:szCs w:val="22"/>
                <w:lang w:eastAsia="sv-SE"/>
              </w:rPr>
            </w:pPr>
            <w:r w:rsidRPr="00FA0D37">
              <w:rPr>
                <w:szCs w:val="22"/>
                <w:lang w:eastAsia="sv-SE"/>
              </w:rPr>
              <w:t xml:space="preserve">OFDM symbol location of the SRS resource within a slot including </w:t>
            </w:r>
            <w:r w:rsidRPr="00FA0D37">
              <w:rPr>
                <w:i/>
                <w:lang w:eastAsia="sv-SE"/>
              </w:rPr>
              <w:t>nrofSymbols</w:t>
            </w:r>
            <w:r w:rsidRPr="00FA0D37">
              <w:rPr>
                <w:lang w:eastAsia="sv-SE"/>
              </w:rPr>
              <w:t xml:space="preserve"> (</w:t>
            </w:r>
            <w:r w:rsidRPr="00FA0D37">
              <w:rPr>
                <w:szCs w:val="22"/>
                <w:lang w:eastAsia="sv-SE"/>
              </w:rPr>
              <w:t xml:space="preserve">number of OFDM symbols), </w:t>
            </w:r>
            <w:r w:rsidRPr="00FA0D37">
              <w:rPr>
                <w:i/>
                <w:szCs w:val="22"/>
                <w:lang w:eastAsia="sv-SE"/>
              </w:rPr>
              <w:t>startPosition</w:t>
            </w:r>
            <w:r w:rsidRPr="00FA0D37">
              <w:rPr>
                <w:szCs w:val="22"/>
                <w:lang w:eastAsia="sv-SE"/>
              </w:rPr>
              <w:t xml:space="preserve"> (value 0 refers to the last symbol, value 1 refers to the second last symbol, and so on) and </w:t>
            </w:r>
            <w:r w:rsidRPr="00FA0D37">
              <w:rPr>
                <w:i/>
                <w:szCs w:val="22"/>
                <w:lang w:eastAsia="sv-SE"/>
              </w:rPr>
              <w:t>repetitionFactor</w:t>
            </w:r>
            <w:r w:rsidRPr="00FA0D37">
              <w:rPr>
                <w:szCs w:val="22"/>
                <w:lang w:eastAsia="sv-SE"/>
              </w:rPr>
              <w:t xml:space="preserve"> (see TS 38.214 [19], clause 6.2.1 and TS 38.211 [16], clause 6.4.1.4). The configured SRS resource does not exceed the slot boundary. If </w:t>
            </w:r>
            <w:r w:rsidRPr="00FA0D37">
              <w:rPr>
                <w:i/>
                <w:szCs w:val="22"/>
                <w:lang w:eastAsia="sv-SE"/>
              </w:rPr>
              <w:t>resourceMapping-r16</w:t>
            </w:r>
            <w:r w:rsidRPr="00FA0D37">
              <w:rPr>
                <w:szCs w:val="22"/>
                <w:lang w:eastAsia="sv-SE"/>
              </w:rPr>
              <w:t xml:space="preserve"> is signalled, UE shall ignore the </w:t>
            </w:r>
            <w:r w:rsidRPr="00FA0D37">
              <w:rPr>
                <w:i/>
                <w:szCs w:val="22"/>
                <w:lang w:eastAsia="sv-SE"/>
              </w:rPr>
              <w:t xml:space="preserve">resourceMapping </w:t>
            </w:r>
            <w:r w:rsidRPr="00FA0D37">
              <w:rPr>
                <w:szCs w:val="22"/>
                <w:lang w:eastAsia="sv-SE"/>
              </w:rPr>
              <w:t xml:space="preserve">(without suffix). </w:t>
            </w:r>
            <w:r w:rsidR="000F2B5F" w:rsidRPr="00FA0D37">
              <w:rPr>
                <w:szCs w:val="22"/>
                <w:lang w:eastAsia="sv-SE"/>
              </w:rPr>
              <w:t xml:space="preserve">If </w:t>
            </w:r>
            <w:r w:rsidR="000F2B5F" w:rsidRPr="00FA0D37">
              <w:rPr>
                <w:i/>
                <w:szCs w:val="22"/>
                <w:lang w:eastAsia="sv-SE"/>
              </w:rPr>
              <w:t>resourceMapping-r17</w:t>
            </w:r>
            <w:r w:rsidR="000F2B5F" w:rsidRPr="00FA0D37">
              <w:rPr>
                <w:szCs w:val="22"/>
                <w:lang w:eastAsia="sv-SE"/>
              </w:rPr>
              <w:t xml:space="preserve"> is signalled, </w:t>
            </w:r>
            <w:r w:rsidR="005D46C6" w:rsidRPr="00FA0D37">
              <w:rPr>
                <w:i/>
                <w:szCs w:val="22"/>
                <w:lang w:eastAsia="sv-SE"/>
              </w:rPr>
              <w:t>resourceMapping-r16</w:t>
            </w:r>
            <w:r w:rsidR="005D46C6" w:rsidRPr="00FA0D37">
              <w:rPr>
                <w:szCs w:val="22"/>
                <w:lang w:eastAsia="sv-SE"/>
              </w:rPr>
              <w:t xml:space="preserve"> is not signalled and the </w:t>
            </w:r>
            <w:r w:rsidR="000F2B5F" w:rsidRPr="00FA0D37">
              <w:rPr>
                <w:szCs w:val="22"/>
                <w:lang w:eastAsia="sv-SE"/>
              </w:rPr>
              <w:t xml:space="preserve">UE shall ignore the </w:t>
            </w:r>
            <w:r w:rsidR="000F2B5F" w:rsidRPr="00FA0D37">
              <w:rPr>
                <w:i/>
                <w:szCs w:val="22"/>
                <w:lang w:eastAsia="sv-SE"/>
              </w:rPr>
              <w:t xml:space="preserve">resourceMapping </w:t>
            </w:r>
            <w:r w:rsidR="000F2B5F" w:rsidRPr="00FA0D37">
              <w:rPr>
                <w:szCs w:val="22"/>
                <w:lang w:eastAsia="sv-SE"/>
              </w:rPr>
              <w:t xml:space="preserve">(without suffix) and only the values of nrofSymbols which are integer multiples of the configured repetitionFactor can be configured. </w:t>
            </w:r>
            <w:r w:rsidR="005D46C6" w:rsidRPr="00FA0D37">
              <w:rPr>
                <w:szCs w:val="22"/>
                <w:lang w:eastAsia="sv-SE"/>
              </w:rPr>
              <w:t xml:space="preserve">The network can only signal </w:t>
            </w:r>
            <w:r w:rsidR="005D46C6" w:rsidRPr="00FA0D37">
              <w:rPr>
                <w:i/>
                <w:szCs w:val="22"/>
                <w:lang w:eastAsia="sv-SE"/>
              </w:rPr>
              <w:t xml:space="preserve">repetitionFactor-v1730 </w:t>
            </w:r>
            <w:r w:rsidR="005D46C6" w:rsidRPr="00FA0D37">
              <w:rPr>
                <w:szCs w:val="22"/>
                <w:lang w:eastAsia="sv-SE"/>
              </w:rPr>
              <w:t xml:space="preserve">if </w:t>
            </w:r>
            <w:r w:rsidR="005D46C6" w:rsidRPr="00FA0D37">
              <w:rPr>
                <w:i/>
                <w:szCs w:val="22"/>
                <w:lang w:eastAsia="sv-SE"/>
              </w:rPr>
              <w:t>resourceMapping-r17</w:t>
            </w:r>
            <w:r w:rsidR="005D46C6" w:rsidRPr="00FA0D37">
              <w:rPr>
                <w:szCs w:val="22"/>
                <w:lang w:eastAsia="sv-SE"/>
              </w:rPr>
              <w:t xml:space="preserve"> is signalled. When </w:t>
            </w:r>
            <w:r w:rsidR="005D46C6" w:rsidRPr="00FA0D37">
              <w:rPr>
                <w:i/>
                <w:szCs w:val="22"/>
                <w:lang w:eastAsia="sv-SE"/>
              </w:rPr>
              <w:t xml:space="preserve">repetitionFactor-v1730 </w:t>
            </w:r>
            <w:r w:rsidR="005D46C6" w:rsidRPr="00FA0D37">
              <w:rPr>
                <w:szCs w:val="22"/>
                <w:lang w:eastAsia="sv-SE"/>
              </w:rPr>
              <w:t xml:space="preserve">is signalled, the UE shall ignore </w:t>
            </w:r>
            <w:r w:rsidR="005D46C6" w:rsidRPr="00FA0D37">
              <w:rPr>
                <w:i/>
                <w:szCs w:val="22"/>
                <w:lang w:eastAsia="sv-SE"/>
              </w:rPr>
              <w:t>repetitionFactor-r17</w:t>
            </w:r>
            <w:r w:rsidR="005D46C6" w:rsidRPr="00FA0D37">
              <w:rPr>
                <w:szCs w:val="22"/>
                <w:lang w:eastAsia="sv-SE"/>
              </w:rPr>
              <w:t xml:space="preserve">. </w:t>
            </w:r>
            <w:r w:rsidRPr="00FA0D37">
              <w:rPr>
                <w:szCs w:val="22"/>
                <w:lang w:eastAsia="sv-SE"/>
              </w:rPr>
              <w:t xml:space="preserve">For CLI SRS-RSRP measurement, the network always configures </w:t>
            </w:r>
            <w:r w:rsidRPr="00FA0D37">
              <w:rPr>
                <w:i/>
                <w:szCs w:val="22"/>
                <w:lang w:eastAsia="sv-SE"/>
              </w:rPr>
              <w:t>nrofSymbols</w:t>
            </w:r>
            <w:r w:rsidRPr="00FA0D37">
              <w:rPr>
                <w:szCs w:val="22"/>
                <w:lang w:eastAsia="sv-SE"/>
              </w:rPr>
              <w:t xml:space="preserve"> and </w:t>
            </w:r>
            <w:r w:rsidRPr="00FA0D37">
              <w:rPr>
                <w:i/>
                <w:szCs w:val="22"/>
                <w:lang w:eastAsia="sv-SE"/>
              </w:rPr>
              <w:t>repetitionFactor</w:t>
            </w:r>
            <w:r w:rsidRPr="00FA0D37">
              <w:rPr>
                <w:szCs w:val="22"/>
                <w:lang w:eastAsia="sv-SE"/>
              </w:rPr>
              <w:t xml:space="preserve"> to 'n1'.</w:t>
            </w:r>
          </w:p>
        </w:tc>
      </w:tr>
      <w:tr w:rsidR="005C7FF4" w:rsidRPr="00FA0D37"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394471" w:rsidRPr="00FA0D37" w:rsidRDefault="00394471" w:rsidP="00964CC4">
            <w:pPr>
              <w:pStyle w:val="TAL"/>
              <w:rPr>
                <w:szCs w:val="22"/>
                <w:lang w:eastAsia="sv-SE"/>
              </w:rPr>
            </w:pPr>
            <w:r w:rsidRPr="00FA0D37">
              <w:rPr>
                <w:b/>
                <w:i/>
                <w:szCs w:val="22"/>
                <w:lang w:eastAsia="sv-SE"/>
              </w:rPr>
              <w:t>resourceType</w:t>
            </w:r>
          </w:p>
          <w:p w14:paraId="67D40175" w14:textId="335B767B" w:rsidR="00394471" w:rsidRPr="00FA0D37" w:rsidRDefault="00394471" w:rsidP="00964CC4">
            <w:pPr>
              <w:pStyle w:val="TAL"/>
              <w:rPr>
                <w:szCs w:val="22"/>
                <w:lang w:eastAsia="sv-SE"/>
              </w:rPr>
            </w:pPr>
            <w:r w:rsidRPr="00FA0D37">
              <w:rPr>
                <w:szCs w:val="22"/>
                <w:lang w:eastAsia="sv-SE"/>
              </w:rPr>
              <w:t>Periodicity and offset for semi-persistent and periodic SRS resource</w:t>
            </w:r>
            <w:r w:rsidR="0018069D" w:rsidRPr="00FA0D37">
              <w:rPr>
                <w:rFonts w:eastAsia="宋体"/>
                <w:szCs w:val="22"/>
                <w:lang w:eastAsia="zh-CN"/>
              </w:rPr>
              <w:t xml:space="preserve">, or </w:t>
            </w:r>
            <w:r w:rsidR="0018069D" w:rsidRPr="00FA0D37">
              <w:t>slot</w:t>
            </w:r>
            <w:r w:rsidR="0018069D" w:rsidRPr="00FA0D37">
              <w:rPr>
                <w:rFonts w:eastAsia="宋体"/>
                <w:lang w:eastAsia="zh-CN"/>
              </w:rPr>
              <w:t xml:space="preserve"> o</w:t>
            </w:r>
            <w:r w:rsidR="0018069D" w:rsidRPr="00FA0D37">
              <w:t>ffset</w:t>
            </w:r>
            <w:r w:rsidR="0018069D" w:rsidRPr="00FA0D37">
              <w:rPr>
                <w:rFonts w:eastAsia="宋体"/>
                <w:lang w:eastAsia="zh-CN"/>
              </w:rPr>
              <w:t xml:space="preserve"> for </w:t>
            </w:r>
            <w:r w:rsidR="0018069D" w:rsidRPr="00FA0D37">
              <w:rPr>
                <w:rFonts w:eastAsia="宋体"/>
                <w:szCs w:val="22"/>
                <w:lang w:eastAsia="zh-CN"/>
              </w:rPr>
              <w:t>a</w:t>
            </w:r>
            <w:r w:rsidR="0018069D" w:rsidRPr="00FA0D37">
              <w:rPr>
                <w:szCs w:val="22"/>
                <w:lang w:eastAsia="sv-SE"/>
              </w:rPr>
              <w:t>periodic SRS resource</w:t>
            </w:r>
            <w:r w:rsidR="0018069D" w:rsidRPr="00FA0D37">
              <w:rPr>
                <w:rFonts w:eastAsia="宋体"/>
                <w:szCs w:val="22"/>
                <w:lang w:eastAsia="zh-CN"/>
              </w:rPr>
              <w:t xml:space="preserve"> </w:t>
            </w:r>
            <w:r w:rsidR="0018069D" w:rsidRPr="00FA0D37">
              <w:t>for positioning</w:t>
            </w:r>
            <w:r w:rsidRPr="00FA0D37">
              <w:rPr>
                <w:szCs w:val="22"/>
                <w:lang w:eastAsia="sv-SE"/>
              </w:rPr>
              <w:t xml:space="preserve"> (see TS 38.214 [19], clause 6.2.1). For CLI SRS-RSRP measurement, only 'periodic' is applicable for </w:t>
            </w:r>
            <w:r w:rsidRPr="00FA0D37">
              <w:rPr>
                <w:i/>
                <w:szCs w:val="22"/>
                <w:lang w:eastAsia="sv-SE"/>
              </w:rPr>
              <w:t>resourceType</w:t>
            </w:r>
            <w:r w:rsidRPr="00FA0D37">
              <w:rPr>
                <w:szCs w:val="22"/>
                <w:lang w:eastAsia="sv-SE"/>
              </w:rPr>
              <w:t>.</w:t>
            </w:r>
          </w:p>
        </w:tc>
      </w:tr>
      <w:tr w:rsidR="005C7FF4" w:rsidRPr="00FA0D37"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394471" w:rsidRPr="00FA0D37" w:rsidRDefault="00394471" w:rsidP="00964CC4">
            <w:pPr>
              <w:pStyle w:val="TAL"/>
              <w:rPr>
                <w:szCs w:val="22"/>
                <w:lang w:eastAsia="sv-SE"/>
              </w:rPr>
            </w:pPr>
            <w:r w:rsidRPr="00FA0D37">
              <w:rPr>
                <w:b/>
                <w:i/>
                <w:szCs w:val="22"/>
                <w:lang w:eastAsia="sv-SE"/>
              </w:rPr>
              <w:lastRenderedPageBreak/>
              <w:t>sequenceId</w:t>
            </w:r>
          </w:p>
          <w:p w14:paraId="319255E8" w14:textId="77777777" w:rsidR="00394471" w:rsidRPr="00FA0D37" w:rsidRDefault="00394471" w:rsidP="00964CC4">
            <w:pPr>
              <w:pStyle w:val="TAL"/>
              <w:rPr>
                <w:szCs w:val="22"/>
                <w:lang w:eastAsia="sv-SE"/>
              </w:rPr>
            </w:pPr>
            <w:r w:rsidRPr="00FA0D37">
              <w:rPr>
                <w:szCs w:val="22"/>
                <w:lang w:eastAsia="sv-SE"/>
              </w:rPr>
              <w:t>Sequence ID used to initialize pseudo random group and sequence hopping (see TS 38.214 [19], clause 6.2.1).</w:t>
            </w:r>
          </w:p>
        </w:tc>
      </w:tr>
      <w:tr w:rsidR="005C7FF4" w:rsidRPr="00FA0D37"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394471" w:rsidRPr="00FA0D37" w:rsidRDefault="00394471" w:rsidP="00964CC4">
            <w:pPr>
              <w:pStyle w:val="TAL"/>
              <w:rPr>
                <w:szCs w:val="22"/>
                <w:lang w:eastAsia="sv-SE"/>
              </w:rPr>
            </w:pPr>
            <w:r w:rsidRPr="00FA0D37">
              <w:rPr>
                <w:b/>
                <w:i/>
                <w:szCs w:val="22"/>
                <w:lang w:eastAsia="sv-SE"/>
              </w:rPr>
              <w:t>spatialRelationInfo</w:t>
            </w:r>
          </w:p>
          <w:p w14:paraId="5C8B50E3" w14:textId="17C57D6D" w:rsidR="00394471" w:rsidRPr="00FA0D37" w:rsidRDefault="00394471" w:rsidP="00964CC4">
            <w:pPr>
              <w:pStyle w:val="TAL"/>
              <w:rPr>
                <w:szCs w:val="22"/>
                <w:lang w:eastAsia="sv-SE"/>
              </w:rPr>
            </w:pPr>
            <w:r w:rsidRPr="00FA0D37">
              <w:rPr>
                <w:szCs w:val="22"/>
                <w:lang w:eastAsia="sv-SE"/>
              </w:rPr>
              <w:t>Configuration of the spatial relation between a reference RS and the target SRS. Reference RS can be SSB/CSI-RS/SRS (see TS 38.214 [19], clause 6.2.1). This parameter is not applicable to CLI SRS-RSRP measurement.</w:t>
            </w:r>
            <w:r w:rsidR="005D46C6" w:rsidRPr="00FA0D37">
              <w:t xml:space="preserve"> </w:t>
            </w:r>
            <w:r w:rsidR="005D46C6" w:rsidRPr="00FA0D37">
              <w:rPr>
                <w:szCs w:val="22"/>
                <w:lang w:eastAsia="sv-SE"/>
              </w:rPr>
              <w:t xml:space="preserve">This field is not configured if </w:t>
            </w:r>
            <w:r w:rsidR="005D46C6" w:rsidRPr="00FA0D37">
              <w:rPr>
                <w:i/>
                <w:iCs/>
                <w:szCs w:val="22"/>
                <w:lang w:eastAsia="sv-SE"/>
              </w:rPr>
              <w:t>unifiedTCI-StateType</w:t>
            </w:r>
            <w:r w:rsidR="005D46C6" w:rsidRPr="00FA0D37">
              <w:rPr>
                <w:szCs w:val="22"/>
                <w:lang w:eastAsia="sv-SE"/>
              </w:rPr>
              <w:t xml:space="preserve"> is configured for the serving cell.</w:t>
            </w:r>
          </w:p>
        </w:tc>
      </w:tr>
      <w:tr w:rsidR="005C7FF4" w:rsidRPr="00FA0D37"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306103" w:rsidRPr="00FA0D37" w:rsidRDefault="00306103" w:rsidP="00771058">
            <w:pPr>
              <w:pStyle w:val="TAL"/>
              <w:rPr>
                <w:b/>
                <w:i/>
                <w:szCs w:val="22"/>
                <w:lang w:eastAsia="sv-SE"/>
              </w:rPr>
            </w:pPr>
            <w:r w:rsidRPr="00FA0D37">
              <w:rPr>
                <w:b/>
                <w:i/>
                <w:szCs w:val="22"/>
                <w:lang w:eastAsia="sv-SE"/>
              </w:rPr>
              <w:t>spatialRelationInfo-PDC</w:t>
            </w:r>
          </w:p>
          <w:p w14:paraId="4F1EC84E" w14:textId="77777777" w:rsidR="00306103" w:rsidRPr="00FA0D37" w:rsidRDefault="00306103" w:rsidP="00771058">
            <w:pPr>
              <w:pStyle w:val="TAL"/>
              <w:rPr>
                <w:bCs/>
                <w:iCs/>
                <w:szCs w:val="22"/>
                <w:lang w:eastAsia="sv-SE"/>
              </w:rPr>
            </w:pPr>
            <w:r w:rsidRPr="00FA0D37">
              <w:rPr>
                <w:bCs/>
                <w:iCs/>
                <w:szCs w:val="22"/>
                <w:lang w:eastAsia="sv-SE"/>
              </w:rPr>
              <w:t xml:space="preserve">Configuration of the spatial relation between a reference RS and the target SRS. Reference RS can be SSB/CSI-RS/SRS/DL-PRS-PDC (see TS 38.214 [19], clause 6.2.1). The field is present in case of </w:t>
            </w:r>
            <w:r w:rsidRPr="00FA0D37">
              <w:rPr>
                <w:bCs/>
                <w:i/>
                <w:szCs w:val="22"/>
                <w:lang w:eastAsia="sv-SE"/>
              </w:rPr>
              <w:t>resourceType=periodic</w:t>
            </w:r>
            <w:r w:rsidRPr="00FA0D37">
              <w:rPr>
                <w:bCs/>
                <w:iCs/>
                <w:szCs w:val="22"/>
                <w:lang w:eastAsia="sv-SE"/>
              </w:rPr>
              <w:t xml:space="preserve"> and </w:t>
            </w:r>
            <w:r w:rsidRPr="00FA0D37">
              <w:rPr>
                <w:i/>
                <w:iCs/>
              </w:rPr>
              <w:t>usagePDC-r17</w:t>
            </w:r>
            <w:r w:rsidRPr="00FA0D37">
              <w:rPr>
                <w:bCs/>
                <w:i/>
                <w:iCs/>
                <w:szCs w:val="22"/>
                <w:lang w:eastAsia="sv-SE"/>
              </w:rPr>
              <w:t>=</w:t>
            </w:r>
            <w:r w:rsidRPr="00FA0D37">
              <w:rPr>
                <w:bCs/>
                <w:i/>
                <w:szCs w:val="22"/>
                <w:lang w:eastAsia="sv-SE"/>
              </w:rPr>
              <w:t>true</w:t>
            </w:r>
            <w:r w:rsidRPr="00FA0D37">
              <w:rPr>
                <w:bCs/>
                <w:iCs/>
                <w:szCs w:val="22"/>
                <w:lang w:eastAsia="sv-SE"/>
              </w:rPr>
              <w:t xml:space="preserve"> in the </w:t>
            </w:r>
            <w:r w:rsidRPr="00FA0D37">
              <w:rPr>
                <w:bCs/>
                <w:i/>
                <w:szCs w:val="22"/>
                <w:lang w:eastAsia="sv-SE"/>
              </w:rPr>
              <w:t>SRS-ResourceSet</w:t>
            </w:r>
            <w:r w:rsidRPr="00FA0D37">
              <w:rPr>
                <w:bCs/>
                <w:iCs/>
                <w:szCs w:val="22"/>
                <w:lang w:eastAsia="sv-SE"/>
              </w:rPr>
              <w:t>, otherwise the field is absent.</w:t>
            </w:r>
          </w:p>
        </w:tc>
      </w:tr>
      <w:tr w:rsidR="005C7FF4" w:rsidRPr="00FA0D37"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394471" w:rsidRPr="00FA0D37" w:rsidRDefault="00394471" w:rsidP="00964CC4">
            <w:pPr>
              <w:pStyle w:val="TAL"/>
              <w:rPr>
                <w:szCs w:val="22"/>
                <w:lang w:eastAsia="sv-SE"/>
              </w:rPr>
            </w:pPr>
            <w:r w:rsidRPr="00FA0D37">
              <w:rPr>
                <w:b/>
                <w:i/>
                <w:szCs w:val="22"/>
                <w:lang w:eastAsia="sv-SE"/>
              </w:rPr>
              <w:t>spatialRelationInfoPos</w:t>
            </w:r>
          </w:p>
          <w:p w14:paraId="0BA1DFD3" w14:textId="77777777" w:rsidR="001B10B7" w:rsidRPr="00FA0D37" w:rsidRDefault="00394471" w:rsidP="001B10B7">
            <w:pPr>
              <w:pStyle w:val="TAL"/>
              <w:rPr>
                <w:szCs w:val="22"/>
                <w:lang w:eastAsia="zh-CN"/>
              </w:rPr>
            </w:pPr>
            <w:r w:rsidRPr="00FA0D37">
              <w:rPr>
                <w:szCs w:val="22"/>
                <w:lang w:eastAsia="sv-SE"/>
              </w:rPr>
              <w:t>Configuration of the spatial relation between a reference RS and the target SRS. Reference RS can be SSB/CSI-RS/SRS/DL-PRS (see TS 38.214 [19], clause 6.2.1).</w:t>
            </w:r>
          </w:p>
          <w:p w14:paraId="7DBB57A7" w14:textId="5C145354" w:rsidR="00394471" w:rsidRPr="00FA0D37" w:rsidRDefault="001B10B7" w:rsidP="001B10B7">
            <w:pPr>
              <w:pStyle w:val="TAL"/>
              <w:rPr>
                <w:b/>
                <w:i/>
                <w:szCs w:val="22"/>
                <w:lang w:eastAsia="sv-SE"/>
              </w:rPr>
            </w:pPr>
            <w:r w:rsidRPr="00FA0D37">
              <w:rPr>
                <w:rFonts w:cs="Arial"/>
                <w:szCs w:val="18"/>
                <w:lang w:eastAsia="zh-CN"/>
              </w:rPr>
              <w:t>If</w:t>
            </w:r>
            <w:r w:rsidRPr="00FA0D37">
              <w:rPr>
                <w:rFonts w:cs="Arial"/>
                <w:szCs w:val="18"/>
                <w:lang w:eastAsia="sv-SE"/>
              </w:rPr>
              <w:t xml:space="preserve"> the IE </w:t>
            </w:r>
            <w:r w:rsidRPr="00FA0D37">
              <w:rPr>
                <w:rFonts w:cs="Arial"/>
                <w:i/>
                <w:szCs w:val="18"/>
                <w:lang w:eastAsia="sv-SE"/>
              </w:rPr>
              <w:t>srs-ResourceId-Ext</w:t>
            </w:r>
            <w:r w:rsidRPr="00FA0D37">
              <w:rPr>
                <w:rFonts w:cs="Arial"/>
                <w:szCs w:val="18"/>
                <w:lang w:eastAsia="zh-CN"/>
              </w:rPr>
              <w:t xml:space="preserve"> is present, the IE </w:t>
            </w:r>
            <w:bookmarkStart w:id="1427" w:name="OLE_LINK15"/>
            <w:bookmarkStart w:id="1428" w:name="OLE_LINK16"/>
            <w:r w:rsidRPr="00FA0D37">
              <w:rPr>
                <w:rFonts w:cs="Arial"/>
                <w:i/>
                <w:szCs w:val="18"/>
                <w:lang w:eastAsia="zh-CN"/>
              </w:rPr>
              <w:t xml:space="preserve">srs-ResourceId </w:t>
            </w:r>
            <w:bookmarkEnd w:id="1427"/>
            <w:bookmarkEnd w:id="1428"/>
            <w:r w:rsidRPr="00FA0D37">
              <w:rPr>
                <w:rFonts w:cs="Arial"/>
                <w:szCs w:val="18"/>
                <w:lang w:eastAsia="zh-CN"/>
              </w:rPr>
              <w:t xml:space="preserve">in </w:t>
            </w:r>
            <w:r w:rsidRPr="00FA0D37">
              <w:rPr>
                <w:rFonts w:cs="Arial"/>
                <w:i/>
                <w:szCs w:val="18"/>
                <w:lang w:eastAsia="zh-CN"/>
              </w:rPr>
              <w:t xml:space="preserve">spatialRelationInfoPos </w:t>
            </w:r>
            <w:r w:rsidRPr="00FA0D37">
              <w:rPr>
                <w:rFonts w:cs="Arial"/>
                <w:noProof/>
                <w:szCs w:val="18"/>
              </w:rPr>
              <w:t>represent</w:t>
            </w:r>
            <w:r w:rsidRPr="00FA0D37">
              <w:rPr>
                <w:rFonts w:cs="Arial"/>
                <w:noProof/>
                <w:szCs w:val="18"/>
                <w:lang w:eastAsia="zh-CN"/>
              </w:rPr>
              <w:t>s</w:t>
            </w:r>
            <w:r w:rsidRPr="00FA0D37">
              <w:rPr>
                <w:rFonts w:cs="Arial"/>
                <w:noProof/>
                <w:szCs w:val="18"/>
              </w:rPr>
              <w:t xml:space="preserve"> the index </w:t>
            </w:r>
            <w:r w:rsidRPr="00FA0D37">
              <w:rPr>
                <w:rFonts w:cs="Arial"/>
                <w:noProof/>
                <w:szCs w:val="18"/>
                <w:lang w:eastAsia="zh-CN"/>
              </w:rPr>
              <w:t xml:space="preserve">from </w:t>
            </w:r>
            <w:r w:rsidRPr="00FA0D37">
              <w:rPr>
                <w:rFonts w:cs="Arial"/>
                <w:noProof/>
                <w:szCs w:val="18"/>
              </w:rPr>
              <w:t xml:space="preserve">0 to </w:t>
            </w:r>
            <w:r w:rsidRPr="00FA0D37">
              <w:rPr>
                <w:rFonts w:cs="Arial"/>
                <w:noProof/>
                <w:szCs w:val="18"/>
                <w:lang w:eastAsia="zh-CN"/>
              </w:rPr>
              <w:t xml:space="preserve">63. </w:t>
            </w:r>
            <w:r w:rsidRPr="00FA0D37">
              <w:rPr>
                <w:rFonts w:cs="Arial"/>
                <w:szCs w:val="18"/>
                <w:lang w:eastAsia="zh-CN"/>
              </w:rPr>
              <w:t xml:space="preserve">Otherwise the IE </w:t>
            </w:r>
            <w:r w:rsidRPr="00FA0D37">
              <w:rPr>
                <w:rFonts w:cs="Arial"/>
                <w:i/>
                <w:szCs w:val="18"/>
                <w:lang w:eastAsia="zh-CN"/>
              </w:rPr>
              <w:t xml:space="preserve">srs-ResourceId </w:t>
            </w:r>
            <w:r w:rsidRPr="00FA0D37">
              <w:rPr>
                <w:rFonts w:cs="Arial"/>
                <w:szCs w:val="18"/>
                <w:lang w:eastAsia="zh-CN"/>
              </w:rPr>
              <w:t xml:space="preserve">in </w:t>
            </w:r>
            <w:r w:rsidRPr="00FA0D37">
              <w:rPr>
                <w:rFonts w:cs="Arial"/>
                <w:i/>
                <w:szCs w:val="18"/>
                <w:lang w:eastAsia="zh-CN"/>
              </w:rPr>
              <w:t xml:space="preserve">spatialRelationInfoPos </w:t>
            </w:r>
            <w:r w:rsidRPr="00FA0D37">
              <w:rPr>
                <w:rFonts w:cs="Arial"/>
                <w:noProof/>
                <w:szCs w:val="18"/>
              </w:rPr>
              <w:t>represent</w:t>
            </w:r>
            <w:r w:rsidRPr="00FA0D37">
              <w:rPr>
                <w:rFonts w:cs="Arial"/>
                <w:noProof/>
                <w:szCs w:val="18"/>
                <w:lang w:eastAsia="zh-CN"/>
              </w:rPr>
              <w:t>s</w:t>
            </w:r>
            <w:r w:rsidRPr="00FA0D37">
              <w:rPr>
                <w:rFonts w:cs="Arial"/>
                <w:noProof/>
                <w:szCs w:val="18"/>
              </w:rPr>
              <w:t xml:space="preserve"> the index </w:t>
            </w:r>
            <w:r w:rsidRPr="00FA0D37">
              <w:rPr>
                <w:rFonts w:cs="Arial"/>
                <w:noProof/>
                <w:szCs w:val="18"/>
                <w:lang w:eastAsia="zh-CN"/>
              </w:rPr>
              <w:t xml:space="preserve">from </w:t>
            </w:r>
            <w:r w:rsidRPr="00FA0D37">
              <w:rPr>
                <w:rFonts w:cs="Arial"/>
                <w:noProof/>
                <w:szCs w:val="18"/>
              </w:rPr>
              <w:t>0 to 31</w:t>
            </w:r>
            <w:r w:rsidRPr="00FA0D37">
              <w:rPr>
                <w:rFonts w:cs="Arial"/>
                <w:noProof/>
                <w:szCs w:val="18"/>
                <w:lang w:eastAsia="zh-CN"/>
              </w:rPr>
              <w:t>.</w:t>
            </w:r>
          </w:p>
        </w:tc>
      </w:tr>
      <w:tr w:rsidR="005C7FF4" w:rsidRPr="00FA0D37"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394471" w:rsidRPr="00FA0D37" w:rsidRDefault="00394471" w:rsidP="00964CC4">
            <w:pPr>
              <w:pStyle w:val="TAL"/>
              <w:rPr>
                <w:b/>
                <w:bCs/>
                <w:i/>
                <w:iCs/>
                <w:lang w:eastAsia="x-none"/>
              </w:rPr>
            </w:pPr>
            <w:r w:rsidRPr="00FA0D37">
              <w:rPr>
                <w:b/>
                <w:bCs/>
                <w:i/>
                <w:iCs/>
                <w:lang w:eastAsia="x-none"/>
              </w:rPr>
              <w:t>srs-RequestDCI-0-2</w:t>
            </w:r>
          </w:p>
          <w:p w14:paraId="1550DA52" w14:textId="77777777" w:rsidR="00394471" w:rsidRPr="00FA0D37" w:rsidRDefault="00394471" w:rsidP="00964CC4">
            <w:pPr>
              <w:pStyle w:val="TAL"/>
              <w:rPr>
                <w:b/>
                <w:i/>
                <w:szCs w:val="22"/>
                <w:lang w:eastAsia="sv-SE"/>
              </w:rPr>
            </w:pPr>
            <w:r w:rsidRPr="00FA0D37">
              <w:rPr>
                <w:szCs w:val="22"/>
                <w:lang w:eastAsia="sv-SE"/>
              </w:rPr>
              <w:t xml:space="preserve">Indicate the number of bits for "SRS request"in DCI format 0_2. When the field is absent, then the value of 0 bit for "SRS request" in DCI format 0_2 is applied. If the parameter </w:t>
            </w:r>
            <w:r w:rsidRPr="00FA0D37">
              <w:rPr>
                <w:i/>
                <w:szCs w:val="22"/>
                <w:lang w:eastAsia="sv-SE"/>
              </w:rPr>
              <w:t>srs-RequestDCI-0-2</w:t>
            </w:r>
            <w:r w:rsidRPr="00FA0D37">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A0D37">
              <w:rPr>
                <w:i/>
                <w:szCs w:val="22"/>
                <w:lang w:eastAsia="sv-SE"/>
              </w:rPr>
              <w:t>supplementaryUplink</w:t>
            </w:r>
            <w:r w:rsidRPr="00FA0D37">
              <w:rPr>
                <w:szCs w:val="22"/>
                <w:lang w:eastAsia="sv-SE"/>
              </w:rPr>
              <w:t>, an extra bit (the first bit of the SRS request field) is used for the non-SUL/SUL indication.</w:t>
            </w:r>
          </w:p>
        </w:tc>
      </w:tr>
      <w:tr w:rsidR="005C7FF4" w:rsidRPr="00FA0D37"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394471" w:rsidRPr="00FA0D37" w:rsidRDefault="00394471" w:rsidP="00964CC4">
            <w:pPr>
              <w:pStyle w:val="TAL"/>
              <w:rPr>
                <w:b/>
                <w:bCs/>
                <w:i/>
                <w:iCs/>
                <w:lang w:eastAsia="x-none"/>
              </w:rPr>
            </w:pPr>
            <w:r w:rsidRPr="00FA0D37">
              <w:rPr>
                <w:b/>
                <w:bCs/>
                <w:i/>
                <w:iCs/>
                <w:lang w:eastAsia="x-none"/>
              </w:rPr>
              <w:t>srs-RequestDCI-1-2</w:t>
            </w:r>
          </w:p>
          <w:p w14:paraId="39CD5D4B" w14:textId="77777777" w:rsidR="00394471" w:rsidRPr="00FA0D37" w:rsidRDefault="00394471" w:rsidP="00964CC4">
            <w:pPr>
              <w:pStyle w:val="TAL"/>
              <w:rPr>
                <w:b/>
                <w:i/>
                <w:szCs w:val="22"/>
                <w:lang w:eastAsia="sv-SE"/>
              </w:rPr>
            </w:pPr>
            <w:r w:rsidRPr="00FA0D37">
              <w:rPr>
                <w:szCs w:val="22"/>
                <w:lang w:eastAsia="sv-SE"/>
              </w:rPr>
              <w:t xml:space="preserve">Indicate the number of bits for "SRS request" in DCI format 1_2. When the field is absent, then the value of 0 bit for "SRS request" in DCI format 1_2 is applied. When the UE is configured with </w:t>
            </w:r>
            <w:r w:rsidRPr="00FA0D37">
              <w:rPr>
                <w:i/>
                <w:szCs w:val="22"/>
                <w:lang w:eastAsia="sv-SE"/>
              </w:rPr>
              <w:t>supplementaryUplink</w:t>
            </w:r>
            <w:r w:rsidRPr="00FA0D37">
              <w:rPr>
                <w:szCs w:val="22"/>
                <w:lang w:eastAsia="sv-SE"/>
              </w:rPr>
              <w:t>, an extra bit (the first bit of the SRS request field) is used for the non-SUL/SUL indication (see TS 38.214 [19], clause 6.1.1.2).</w:t>
            </w:r>
          </w:p>
        </w:tc>
      </w:tr>
      <w:tr w:rsidR="005C7FF4" w:rsidRPr="00FA0D37"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394471" w:rsidRPr="00FA0D37" w:rsidRDefault="00394471" w:rsidP="00964CC4">
            <w:pPr>
              <w:pStyle w:val="TAL"/>
              <w:rPr>
                <w:b/>
                <w:bCs/>
                <w:i/>
                <w:iCs/>
                <w:lang w:eastAsia="x-none"/>
              </w:rPr>
            </w:pPr>
            <w:r w:rsidRPr="00FA0D37">
              <w:rPr>
                <w:b/>
                <w:bCs/>
                <w:i/>
                <w:iCs/>
                <w:lang w:eastAsia="x-none"/>
              </w:rPr>
              <w:t>srs-ResourceSetToAddModListDCI-0-2</w:t>
            </w:r>
          </w:p>
          <w:p w14:paraId="21C8E740" w14:textId="77777777" w:rsidR="00394471" w:rsidRPr="00FA0D37" w:rsidRDefault="00394471" w:rsidP="00964CC4">
            <w:pPr>
              <w:pStyle w:val="TAL"/>
              <w:rPr>
                <w:b/>
                <w:i/>
                <w:szCs w:val="22"/>
                <w:lang w:eastAsia="sv-SE"/>
              </w:rPr>
            </w:pPr>
            <w:r w:rsidRPr="00FA0D37">
              <w:rPr>
                <w:szCs w:val="22"/>
                <w:lang w:eastAsia="sv-SE"/>
              </w:rPr>
              <w:t>List of SRS resource set to be added or modified for DCI format 0_2 (see TS 38.212 [17], clause 7.3.1).</w:t>
            </w:r>
          </w:p>
        </w:tc>
      </w:tr>
      <w:tr w:rsidR="005C7FF4" w:rsidRPr="00FA0D37"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394471" w:rsidRPr="00FA0D37" w:rsidRDefault="00394471" w:rsidP="00964CC4">
            <w:pPr>
              <w:pStyle w:val="TAL"/>
              <w:rPr>
                <w:b/>
                <w:bCs/>
                <w:i/>
                <w:iCs/>
                <w:lang w:eastAsia="x-none"/>
              </w:rPr>
            </w:pPr>
            <w:r w:rsidRPr="00FA0D37">
              <w:rPr>
                <w:b/>
                <w:bCs/>
                <w:i/>
                <w:iCs/>
                <w:lang w:eastAsia="x-none"/>
              </w:rPr>
              <w:t>srs-ResourceSetToReleaseListDCI-0-2</w:t>
            </w:r>
          </w:p>
          <w:p w14:paraId="2717206E" w14:textId="77777777" w:rsidR="00394471" w:rsidRPr="00FA0D37" w:rsidRDefault="00394471" w:rsidP="00964CC4">
            <w:pPr>
              <w:pStyle w:val="TAL"/>
              <w:rPr>
                <w:b/>
                <w:i/>
                <w:szCs w:val="22"/>
                <w:lang w:eastAsia="sv-SE"/>
              </w:rPr>
            </w:pPr>
            <w:r w:rsidRPr="00FA0D37">
              <w:rPr>
                <w:szCs w:val="22"/>
                <w:lang w:eastAsia="sv-SE"/>
              </w:rPr>
              <w:t>List of SRS resource set to be released for DCI format 0_2 (see TS 38.212 [17], clause 7.3.1).</w:t>
            </w:r>
          </w:p>
        </w:tc>
      </w:tr>
      <w:tr w:rsidR="005C7FF4" w:rsidRPr="00FA0D37"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7B122D" w:rsidRPr="00FA0D37" w:rsidRDefault="007B122D" w:rsidP="007B122D">
            <w:pPr>
              <w:pStyle w:val="TAL"/>
              <w:rPr>
                <w:lang w:eastAsia="sv-SE"/>
              </w:rPr>
            </w:pPr>
            <w:r w:rsidRPr="00FA0D37">
              <w:rPr>
                <w:b/>
                <w:i/>
                <w:lang w:eastAsia="sv-SE"/>
              </w:rPr>
              <w:t>srs-TCI</w:t>
            </w:r>
            <w:r w:rsidR="005D46C6" w:rsidRPr="00FA0D37">
              <w:rPr>
                <w:b/>
                <w:i/>
                <w:lang w:eastAsia="sv-SE"/>
              </w:rPr>
              <w:t>-</w:t>
            </w:r>
            <w:r w:rsidRPr="00FA0D37">
              <w:rPr>
                <w:b/>
                <w:i/>
                <w:lang w:eastAsia="sv-SE"/>
              </w:rPr>
              <w:t>State</w:t>
            </w:r>
          </w:p>
          <w:p w14:paraId="1F1F54C8" w14:textId="1E94CCBA" w:rsidR="007B122D" w:rsidRPr="00FA0D37" w:rsidRDefault="007B122D" w:rsidP="007B122D">
            <w:pPr>
              <w:pStyle w:val="TAL"/>
              <w:rPr>
                <w:b/>
                <w:bCs/>
                <w:i/>
                <w:iCs/>
                <w:lang w:eastAsia="x-none"/>
              </w:rPr>
            </w:pPr>
            <w:r w:rsidRPr="00FA0D37">
              <w:rPr>
                <w:lang w:eastAsia="sv-SE"/>
              </w:rPr>
              <w:t xml:space="preserve">Configuration of either a UL TCI state or a joint TCI state for the SRS resource. </w:t>
            </w:r>
            <w:r w:rsidR="005D46C6" w:rsidRPr="00FA0D37">
              <w:rPr>
                <w:lang w:eastAsia="sv-SE"/>
              </w:rPr>
              <w:t xml:space="preserve">In case of </w:t>
            </w:r>
            <w:r w:rsidR="005D46C6" w:rsidRPr="00FA0D37">
              <w:rPr>
                <w:i/>
                <w:iCs/>
                <w:lang w:eastAsia="sv-SE"/>
              </w:rPr>
              <w:t>UL TCI-State</w:t>
            </w:r>
            <w:r w:rsidR="005D46C6" w:rsidRPr="00FA0D37">
              <w:rPr>
                <w:lang w:eastAsia="sv-SE"/>
              </w:rPr>
              <w:t xml:space="preserve">, refers to the TCI state defined in </w:t>
            </w:r>
            <w:r w:rsidR="005D46C6" w:rsidRPr="00FA0D37">
              <w:rPr>
                <w:i/>
                <w:iCs/>
                <w:lang w:eastAsia="sv-SE"/>
              </w:rPr>
              <w:t>ul-TCI-StateList</w:t>
            </w:r>
            <w:r w:rsidR="005D46C6" w:rsidRPr="00FA0D37">
              <w:rPr>
                <w:lang w:eastAsia="sv-SE"/>
              </w:rPr>
              <w:t xml:space="preserve"> in the </w:t>
            </w:r>
            <w:r w:rsidR="005D46C6" w:rsidRPr="00FA0D37">
              <w:rPr>
                <w:i/>
                <w:iCs/>
                <w:lang w:eastAsia="sv-SE"/>
              </w:rPr>
              <w:t>BWP-UplinkDedicated</w:t>
            </w:r>
            <w:r w:rsidR="005D46C6" w:rsidRPr="00FA0D37">
              <w:rPr>
                <w:lang w:eastAsia="sv-SE"/>
              </w:rPr>
              <w:t xml:space="preserve"> where the </w:t>
            </w:r>
            <w:r w:rsidR="005D46C6" w:rsidRPr="00FA0D37">
              <w:rPr>
                <w:i/>
                <w:iCs/>
                <w:lang w:eastAsia="sv-SE"/>
              </w:rPr>
              <w:t>SRS-Config</w:t>
            </w:r>
            <w:r w:rsidR="005D46C6" w:rsidRPr="00FA0D37">
              <w:rPr>
                <w:lang w:eastAsia="sv-SE"/>
              </w:rPr>
              <w:t xml:space="preserve"> is configured.</w:t>
            </w:r>
            <w:r w:rsidR="005D46C6" w:rsidRPr="00FA0D37">
              <w:t xml:space="preserve"> </w:t>
            </w:r>
            <w:r w:rsidR="005D46C6" w:rsidRPr="00FA0D37">
              <w:rPr>
                <w:lang w:eastAsia="sv-SE"/>
              </w:rPr>
              <w:t xml:space="preserve">In case of joint TCI state, refers to a TCI state defined in </w:t>
            </w:r>
            <w:r w:rsidR="00753A67" w:rsidRPr="00FA0D37">
              <w:rPr>
                <w:rFonts w:cs="Arial"/>
                <w:i/>
                <w:szCs w:val="18"/>
              </w:rPr>
              <w:t>dl-OrJointTCI-StateList</w:t>
            </w:r>
            <w:r w:rsidR="005D46C6" w:rsidRPr="00FA0D37">
              <w:rPr>
                <w:lang w:eastAsia="sv-SE"/>
              </w:rPr>
              <w:t xml:space="preserve"> in </w:t>
            </w:r>
            <w:r w:rsidR="005D46C6" w:rsidRPr="00FA0D37">
              <w:rPr>
                <w:i/>
                <w:iCs/>
                <w:lang w:eastAsia="sv-SE"/>
              </w:rPr>
              <w:t>pdsch-Config</w:t>
            </w:r>
            <w:r w:rsidR="005D46C6" w:rsidRPr="00FA0D37">
              <w:rPr>
                <w:lang w:eastAsia="sv-SE"/>
              </w:rPr>
              <w:t xml:space="preserve"> of the </w:t>
            </w:r>
            <w:r w:rsidR="005D46C6" w:rsidRPr="00FA0D37">
              <w:rPr>
                <w:i/>
                <w:iCs/>
                <w:lang w:eastAsia="sv-SE"/>
              </w:rPr>
              <w:t>BWP-DownlinkDedicated</w:t>
            </w:r>
            <w:r w:rsidR="005D46C6" w:rsidRPr="00FA0D37">
              <w:rPr>
                <w:lang w:eastAsia="sv-SE"/>
              </w:rPr>
              <w:t xml:space="preserve"> and serving cell indicated by </w:t>
            </w:r>
            <w:r w:rsidR="005D46C6" w:rsidRPr="00FA0D37">
              <w:rPr>
                <w:i/>
                <w:iCs/>
                <w:lang w:eastAsia="sv-SE"/>
              </w:rPr>
              <w:t>cellAndBWP</w:t>
            </w:r>
            <w:r w:rsidR="005D46C6" w:rsidRPr="00FA0D37">
              <w:rPr>
                <w:lang w:eastAsia="sv-SE"/>
              </w:rPr>
              <w:t>.</w:t>
            </w:r>
            <w:r w:rsidR="005D46C6" w:rsidRPr="00FA0D37">
              <w:rPr>
                <w:i/>
                <w:iCs/>
                <w:lang w:eastAsia="sv-SE"/>
              </w:rPr>
              <w:t xml:space="preserve"> </w:t>
            </w:r>
            <w:r w:rsidRPr="00FA0D37">
              <w:rPr>
                <w:lang w:eastAsia="sv-SE"/>
              </w:rPr>
              <w:t>This field is absent when the SRS resource is in a</w:t>
            </w:r>
            <w:r w:rsidR="00262741" w:rsidRPr="00FA0D37">
              <w:rPr>
                <w:lang w:eastAsia="sv-SE"/>
              </w:rPr>
              <w:t>n</w:t>
            </w:r>
            <w:r w:rsidRPr="00FA0D37">
              <w:rPr>
                <w:lang w:eastAsia="sv-SE"/>
              </w:rPr>
              <w:t xml:space="preserve"> </w:t>
            </w:r>
            <w:r w:rsidRPr="00FA0D37">
              <w:rPr>
                <w:i/>
                <w:lang w:eastAsia="sv-SE"/>
              </w:rPr>
              <w:t>SRS-ResourceSet</w:t>
            </w:r>
            <w:r w:rsidRPr="00FA0D37">
              <w:rPr>
                <w:lang w:eastAsia="sv-SE"/>
              </w:rPr>
              <w:t xml:space="preserve"> configured with </w:t>
            </w:r>
            <w:r w:rsidRPr="00FA0D37">
              <w:rPr>
                <w:i/>
                <w:lang w:eastAsia="sv-SE"/>
              </w:rPr>
              <w:t>followUnifiedTCI</w:t>
            </w:r>
            <w:r w:rsidR="005D46C6" w:rsidRPr="00FA0D37">
              <w:rPr>
                <w:i/>
                <w:lang w:eastAsia="sv-SE"/>
              </w:rPr>
              <w:t>-S</w:t>
            </w:r>
            <w:r w:rsidRPr="00FA0D37">
              <w:rPr>
                <w:i/>
                <w:lang w:eastAsia="sv-SE"/>
              </w:rPr>
              <w:t xml:space="preserve">tateSRS-r17 </w:t>
            </w:r>
            <w:r w:rsidRPr="00FA0D37">
              <w:rPr>
                <w:lang w:eastAsia="sv-SE"/>
              </w:rPr>
              <w:t xml:space="preserve">or when </w:t>
            </w:r>
            <w:r w:rsidRPr="00FA0D37">
              <w:rPr>
                <w:bCs/>
                <w:iCs/>
                <w:lang w:eastAsia="sv-SE"/>
              </w:rPr>
              <w:t xml:space="preserve">the field </w:t>
            </w:r>
            <w:r w:rsidRPr="00FA0D37">
              <w:rPr>
                <w:bCs/>
                <w:i/>
                <w:iCs/>
                <w:lang w:eastAsia="sv-SE"/>
              </w:rPr>
              <w:t>unifiedTCI-StateType</w:t>
            </w:r>
            <w:r w:rsidRPr="00FA0D37">
              <w:rPr>
                <w:bCs/>
                <w:iCs/>
                <w:lang w:eastAsia="sv-SE"/>
              </w:rPr>
              <w:t xml:space="preserve"> is not configured to the serving cell which the SRS resource is located in</w:t>
            </w:r>
            <w:r w:rsidRPr="00FA0D37">
              <w:rPr>
                <w:lang w:eastAsia="sv-SE"/>
              </w:rPr>
              <w:t>.</w:t>
            </w:r>
          </w:p>
        </w:tc>
      </w:tr>
      <w:tr w:rsidR="005C7FF4" w:rsidRPr="00FA0D37"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0F2B5F" w:rsidRPr="00FA0D37" w:rsidRDefault="000F2B5F" w:rsidP="00771058">
            <w:pPr>
              <w:pStyle w:val="TAL"/>
              <w:rPr>
                <w:b/>
                <w:bCs/>
                <w:i/>
                <w:iCs/>
              </w:rPr>
            </w:pPr>
            <w:r w:rsidRPr="00FA0D37">
              <w:rPr>
                <w:b/>
                <w:bCs/>
                <w:i/>
                <w:iCs/>
              </w:rPr>
              <w:t>startRBIndexAndFreqScalingFactor</w:t>
            </w:r>
          </w:p>
          <w:p w14:paraId="7F9E9DB0" w14:textId="023D69E9" w:rsidR="000F2B5F" w:rsidRPr="00FA0D37" w:rsidRDefault="000F2B5F" w:rsidP="00771058">
            <w:pPr>
              <w:pStyle w:val="TAL"/>
              <w:rPr>
                <w:bCs/>
                <w:iCs/>
                <w:szCs w:val="22"/>
                <w:lang w:eastAsia="sv-SE"/>
              </w:rPr>
            </w:pPr>
            <w:r w:rsidRPr="00FA0D37">
              <w:rPr>
                <w:bCs/>
                <w:iCs/>
                <w:szCs w:val="22"/>
                <w:lang w:eastAsia="sv-SE"/>
              </w:rPr>
              <w:t xml:space="preserve">Configures the UE with the startRBIndex and freqScalingFactor for partial frequency sounding as described in Clause 6.4.1.4 in TS 38.211. The </w:t>
            </w:r>
            <w:r w:rsidRPr="00FA0D37">
              <w:t>startRBIndexForFScaling2 gives the startRBIndex when freqScalingFactor is 2 and t</w:t>
            </w:r>
            <w:r w:rsidRPr="00FA0D37">
              <w:rPr>
                <w:bCs/>
                <w:iCs/>
                <w:szCs w:val="22"/>
                <w:lang w:eastAsia="sv-SE"/>
              </w:rPr>
              <w:t xml:space="preserve">he </w:t>
            </w:r>
            <w:r w:rsidRPr="00FA0D37">
              <w:t xml:space="preserve">startRBIndexForFScaling4 gives the startRBIndex when FreqScalingFactor is 4 </w:t>
            </w:r>
          </w:p>
        </w:tc>
      </w:tr>
      <w:tr w:rsidR="00394471" w:rsidRPr="00FA0D37"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68D95ADF" w:rsidR="00394471" w:rsidRPr="00FA0D37" w:rsidRDefault="00394471" w:rsidP="00964CC4">
            <w:pPr>
              <w:pStyle w:val="TAL"/>
              <w:rPr>
                <w:szCs w:val="22"/>
                <w:lang w:eastAsia="sv-SE"/>
              </w:rPr>
            </w:pPr>
            <w:r w:rsidRPr="00FA0D37">
              <w:rPr>
                <w:b/>
                <w:i/>
                <w:szCs w:val="22"/>
                <w:lang w:eastAsia="sv-SE"/>
              </w:rPr>
              <w:t>transmissionComb</w:t>
            </w:r>
            <w:r w:rsidR="000F2B5F" w:rsidRPr="00FA0D37">
              <w:rPr>
                <w:b/>
                <w:i/>
                <w:szCs w:val="22"/>
                <w:lang w:eastAsia="sv-SE"/>
              </w:rPr>
              <w:t>, transmissionComb-n8</w:t>
            </w:r>
          </w:p>
          <w:p w14:paraId="740D6D2B" w14:textId="77777777" w:rsidR="00394471" w:rsidRPr="00FA0D37" w:rsidRDefault="00394471" w:rsidP="00964CC4">
            <w:pPr>
              <w:pStyle w:val="TAL"/>
              <w:rPr>
                <w:szCs w:val="22"/>
                <w:lang w:eastAsia="sv-SE"/>
              </w:rPr>
            </w:pPr>
            <w:r w:rsidRPr="00FA0D37">
              <w:rPr>
                <w:szCs w:val="22"/>
                <w:lang w:eastAsia="sv-SE"/>
              </w:rPr>
              <w:t>Comb value (2 or 4 or 8) and comb offset (0..combValue-1) (see TS 38.214 [19], clause 6.2.1).</w:t>
            </w:r>
          </w:p>
        </w:tc>
      </w:tr>
    </w:tbl>
    <w:p w14:paraId="2C31B2F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FA0D37" w:rsidRDefault="00394471" w:rsidP="00964CC4">
            <w:pPr>
              <w:pStyle w:val="TAH"/>
              <w:rPr>
                <w:szCs w:val="22"/>
                <w:lang w:eastAsia="sv-SE"/>
              </w:rPr>
            </w:pPr>
            <w:r w:rsidRPr="00FA0D37">
              <w:rPr>
                <w:i/>
                <w:szCs w:val="22"/>
                <w:lang w:eastAsia="sv-SE"/>
              </w:rPr>
              <w:lastRenderedPageBreak/>
              <w:t>SRS-ResourceSet</w:t>
            </w:r>
            <w:r w:rsidR="00B477A2" w:rsidRPr="00FA0D37">
              <w:rPr>
                <w:i/>
                <w:szCs w:val="22"/>
                <w:lang w:eastAsia="zh-CN"/>
              </w:rPr>
              <w:t xml:space="preserve">, </w:t>
            </w:r>
            <w:r w:rsidR="00B477A2" w:rsidRPr="00FA0D37">
              <w:rPr>
                <w:i/>
                <w:szCs w:val="22"/>
                <w:lang w:eastAsia="sv-SE"/>
              </w:rPr>
              <w:t>SRS-</w:t>
            </w:r>
            <w:r w:rsidR="00B477A2" w:rsidRPr="00FA0D37">
              <w:rPr>
                <w:i/>
                <w:szCs w:val="22"/>
                <w:lang w:eastAsia="zh-CN"/>
              </w:rPr>
              <w:t>Pos</w:t>
            </w:r>
            <w:r w:rsidR="00B477A2" w:rsidRPr="00FA0D37">
              <w:rPr>
                <w:i/>
                <w:szCs w:val="22"/>
                <w:lang w:eastAsia="sv-SE"/>
              </w:rPr>
              <w:t>ResourceSet</w:t>
            </w:r>
            <w:r w:rsidRPr="00FA0D37">
              <w:rPr>
                <w:i/>
                <w:szCs w:val="22"/>
                <w:lang w:eastAsia="sv-SE"/>
              </w:rPr>
              <w:t xml:space="preserve"> </w:t>
            </w:r>
            <w:r w:rsidRPr="00FA0D37">
              <w:rPr>
                <w:szCs w:val="22"/>
                <w:lang w:eastAsia="sv-SE"/>
              </w:rPr>
              <w:t>field descriptions</w:t>
            </w:r>
          </w:p>
        </w:tc>
      </w:tr>
      <w:tr w:rsidR="005C7FF4" w:rsidRPr="00FA0D37"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77777777" w:rsidR="00394471" w:rsidRPr="00FA0D37" w:rsidRDefault="00394471" w:rsidP="00964CC4">
            <w:pPr>
              <w:pStyle w:val="TAL"/>
              <w:rPr>
                <w:szCs w:val="22"/>
                <w:lang w:eastAsia="sv-SE"/>
              </w:rPr>
            </w:pPr>
            <w:r w:rsidRPr="00FA0D37">
              <w:rPr>
                <w:b/>
                <w:i/>
                <w:szCs w:val="22"/>
                <w:lang w:eastAsia="sv-SE"/>
              </w:rPr>
              <w:t>alpha</w:t>
            </w:r>
          </w:p>
          <w:p w14:paraId="4733E94A" w14:textId="77777777" w:rsidR="00394471" w:rsidRPr="00FA0D37" w:rsidRDefault="00394471" w:rsidP="00964CC4">
            <w:pPr>
              <w:pStyle w:val="TAL"/>
              <w:rPr>
                <w:szCs w:val="22"/>
                <w:lang w:eastAsia="sv-SE"/>
              </w:rPr>
            </w:pPr>
            <w:r w:rsidRPr="00FA0D37">
              <w:rPr>
                <w:szCs w:val="22"/>
                <w:lang w:eastAsia="sv-SE"/>
              </w:rPr>
              <w:t>alpha value for SRS power control (see TS 38.213 [13], clause 7.3). When the field is absent the UE applies the value 1.</w:t>
            </w:r>
          </w:p>
        </w:tc>
      </w:tr>
      <w:tr w:rsidR="005C7FF4" w:rsidRPr="00FA0D37"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FA0D37" w:rsidRDefault="00394471" w:rsidP="00964CC4">
            <w:pPr>
              <w:pStyle w:val="TAL"/>
              <w:rPr>
                <w:szCs w:val="22"/>
                <w:lang w:eastAsia="sv-SE"/>
              </w:rPr>
            </w:pPr>
            <w:r w:rsidRPr="00FA0D37">
              <w:rPr>
                <w:b/>
                <w:i/>
                <w:szCs w:val="22"/>
                <w:lang w:eastAsia="sv-SE"/>
              </w:rPr>
              <w:t>aperiodicSRS-ResourceTriggerList</w:t>
            </w:r>
          </w:p>
          <w:p w14:paraId="5E8E12FE" w14:textId="211201D8" w:rsidR="00394471" w:rsidRPr="00FA0D37" w:rsidRDefault="00394471" w:rsidP="00964CC4">
            <w:pPr>
              <w:pStyle w:val="TAL"/>
              <w:rPr>
                <w:lang w:eastAsia="sv-SE"/>
              </w:rPr>
            </w:pPr>
            <w:r w:rsidRPr="00FA0D37">
              <w:rPr>
                <w:lang w:eastAsia="sv-SE"/>
              </w:rPr>
              <w:t xml:space="preserve">An additional list of DCI "code points" upon which the UE shall transmit SRS according to this SRS resource set configuration (see TS 38.214 [19], clause 6). When the field is not included during a reconfiguration of </w:t>
            </w:r>
            <w:r w:rsidRPr="00FA0D37">
              <w:rPr>
                <w:i/>
                <w:lang w:eastAsia="sv-SE"/>
              </w:rPr>
              <w:t>SRS-ResourceSet</w:t>
            </w:r>
            <w:r w:rsidRPr="00FA0D37">
              <w:rPr>
                <w:lang w:eastAsia="sv-SE"/>
              </w:rPr>
              <w:t xml:space="preserve"> of </w:t>
            </w:r>
            <w:r w:rsidRPr="00FA0D37">
              <w:rPr>
                <w:i/>
                <w:lang w:eastAsia="sv-SE"/>
              </w:rPr>
              <w:t>resourceType</w:t>
            </w:r>
            <w:r w:rsidRPr="00FA0D37">
              <w:rPr>
                <w:lang w:eastAsia="sv-SE"/>
              </w:rPr>
              <w:t xml:space="preserve"> set to </w:t>
            </w:r>
            <w:r w:rsidRPr="00FA0D37">
              <w:rPr>
                <w:i/>
                <w:lang w:eastAsia="sv-SE"/>
              </w:rPr>
              <w:t>aperiodic</w:t>
            </w:r>
            <w:r w:rsidRPr="00FA0D37">
              <w:rPr>
                <w:lang w:eastAsia="sv-SE"/>
              </w:rPr>
              <w:t xml:space="preserve">, UE maintains this value based on the Need M; that is, this list is not considered as an extension of </w:t>
            </w:r>
            <w:r w:rsidRPr="00FA0D37">
              <w:rPr>
                <w:i/>
                <w:szCs w:val="22"/>
                <w:lang w:eastAsia="sv-SE"/>
              </w:rPr>
              <w:t>aperiodicSRS-ResourceTrigger</w:t>
            </w:r>
            <w:r w:rsidRPr="00FA0D37">
              <w:rPr>
                <w:lang w:eastAsia="sv-SE"/>
              </w:rPr>
              <w:t xml:space="preserve"> for purpose of applying the general rule for extended list in clause 6.1.3.</w:t>
            </w:r>
          </w:p>
        </w:tc>
      </w:tr>
      <w:tr w:rsidR="005C7FF4" w:rsidRPr="00FA0D37"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FA0D37" w:rsidRDefault="00394471" w:rsidP="00964CC4">
            <w:pPr>
              <w:pStyle w:val="TAL"/>
              <w:rPr>
                <w:szCs w:val="22"/>
                <w:lang w:eastAsia="sv-SE"/>
              </w:rPr>
            </w:pPr>
            <w:r w:rsidRPr="00FA0D37">
              <w:rPr>
                <w:b/>
                <w:i/>
                <w:szCs w:val="22"/>
                <w:lang w:eastAsia="sv-SE"/>
              </w:rPr>
              <w:t>aperiodicSRS-ResourceTrigger</w:t>
            </w:r>
          </w:p>
          <w:p w14:paraId="4A5529E7" w14:textId="2CB3C30D" w:rsidR="00394471" w:rsidRPr="00FA0D37" w:rsidRDefault="00394471" w:rsidP="00964CC4">
            <w:pPr>
              <w:pStyle w:val="TAL"/>
              <w:rPr>
                <w:szCs w:val="22"/>
                <w:lang w:eastAsia="sv-SE"/>
              </w:rPr>
            </w:pPr>
            <w:r w:rsidRPr="00FA0D37">
              <w:rPr>
                <w:szCs w:val="22"/>
                <w:lang w:eastAsia="sv-SE"/>
              </w:rPr>
              <w:t>The DCI "code point" upon which the UE shall transmit SRS according to this SRS resource set configuration (see TS 38.214 [19], clause 6).</w:t>
            </w:r>
          </w:p>
        </w:tc>
      </w:tr>
      <w:tr w:rsidR="005C7FF4" w:rsidRPr="00FA0D37"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FA0D37" w:rsidRDefault="00394471" w:rsidP="00964CC4">
            <w:pPr>
              <w:pStyle w:val="TAL"/>
              <w:rPr>
                <w:szCs w:val="22"/>
                <w:lang w:eastAsia="sv-SE"/>
              </w:rPr>
            </w:pPr>
            <w:r w:rsidRPr="00FA0D37">
              <w:rPr>
                <w:b/>
                <w:i/>
                <w:szCs w:val="22"/>
                <w:lang w:eastAsia="sv-SE"/>
              </w:rPr>
              <w:t>associatedCSI-RS</w:t>
            </w:r>
          </w:p>
          <w:p w14:paraId="43B81C64" w14:textId="77777777" w:rsidR="00394471" w:rsidRPr="00FA0D37" w:rsidRDefault="00394471" w:rsidP="00964CC4">
            <w:pPr>
              <w:pStyle w:val="TAL"/>
              <w:rPr>
                <w:szCs w:val="22"/>
                <w:lang w:eastAsia="sv-SE"/>
              </w:rPr>
            </w:pPr>
            <w:r w:rsidRPr="00FA0D37">
              <w:rPr>
                <w:szCs w:val="22"/>
                <w:lang w:eastAsia="sv-SE"/>
              </w:rPr>
              <w:t>ID of CSI-RS resource associated with this SRS resource set in non-codebook based operation (see TS 38.214 [19], clause 6.1.1.2).</w:t>
            </w:r>
          </w:p>
        </w:tc>
      </w:tr>
      <w:tr w:rsidR="005C7FF4" w:rsidRPr="00FA0D37"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77777777" w:rsidR="000F2B5F" w:rsidRPr="00FA0D37" w:rsidRDefault="000F2B5F" w:rsidP="00771058">
            <w:pPr>
              <w:pStyle w:val="TAL"/>
              <w:rPr>
                <w:b/>
                <w:bCs/>
                <w:i/>
                <w:iCs/>
              </w:rPr>
            </w:pPr>
            <w:r w:rsidRPr="00FA0D37">
              <w:rPr>
                <w:b/>
                <w:bCs/>
                <w:i/>
                <w:iCs/>
              </w:rPr>
              <w:t>availableSlotOffset</w:t>
            </w:r>
          </w:p>
          <w:p w14:paraId="190E57A9" w14:textId="34E42A79" w:rsidR="000F2B5F" w:rsidRPr="00FA0D37" w:rsidRDefault="000F2B5F" w:rsidP="00771058">
            <w:pPr>
              <w:pStyle w:val="TAL"/>
              <w:rPr>
                <w:szCs w:val="22"/>
                <w:lang w:eastAsia="sv-SE"/>
              </w:rPr>
            </w:pPr>
            <w:r w:rsidRPr="00FA0D37">
              <w:rPr>
                <w:szCs w:val="22"/>
                <w:lang w:eastAsia="sv-SE"/>
              </w:rPr>
              <w:t>Indicates the number of available slots from slot n+k to the slot where the aperiodic SRS resource set is transmitted, where slot n is the slot with the triggering DCI, and k is the legacy triggering offset (slotOffset, not based on availabl</w:t>
            </w:r>
            <w:r w:rsidR="00654402" w:rsidRPr="00FA0D37">
              <w:rPr>
                <w:szCs w:val="22"/>
                <w:lang w:eastAsia="sv-SE"/>
              </w:rPr>
              <w:t>e</w:t>
            </w:r>
            <w:r w:rsidRPr="00FA0D37">
              <w:rPr>
                <w:szCs w:val="22"/>
                <w:lang w:eastAsia="sv-SE"/>
              </w:rPr>
              <w:t xml:space="preserve"> slot) as described in clause 6.2.1 of TS 38.214</w:t>
            </w:r>
            <w:r w:rsidR="00654402" w:rsidRPr="00FA0D37">
              <w:rPr>
                <w:szCs w:val="22"/>
                <w:lang w:eastAsia="sv-SE"/>
              </w:rPr>
              <w:t xml:space="preserve"> [19]</w:t>
            </w:r>
            <w:r w:rsidRPr="00FA0D37">
              <w:rPr>
                <w:szCs w:val="22"/>
                <w:lang w:eastAsia="sv-SE"/>
              </w:rPr>
              <w:t>.</w:t>
            </w:r>
          </w:p>
        </w:tc>
      </w:tr>
      <w:tr w:rsidR="005C7FF4" w:rsidRPr="00FA0D37"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FA0D37" w:rsidRDefault="00394471" w:rsidP="00964CC4">
            <w:pPr>
              <w:pStyle w:val="TAL"/>
              <w:rPr>
                <w:szCs w:val="22"/>
                <w:lang w:eastAsia="sv-SE"/>
              </w:rPr>
            </w:pPr>
            <w:r w:rsidRPr="00FA0D37">
              <w:rPr>
                <w:b/>
                <w:i/>
                <w:szCs w:val="22"/>
                <w:lang w:eastAsia="sv-SE"/>
              </w:rPr>
              <w:t>csi-RS</w:t>
            </w:r>
          </w:p>
          <w:p w14:paraId="7D36F89C" w14:textId="303E3A0D" w:rsidR="00394471" w:rsidRPr="00FA0D37" w:rsidRDefault="00394471" w:rsidP="00964CC4">
            <w:pPr>
              <w:pStyle w:val="TAL"/>
              <w:rPr>
                <w:szCs w:val="22"/>
                <w:lang w:eastAsia="sv-SE"/>
              </w:rPr>
            </w:pPr>
            <w:r w:rsidRPr="00FA0D37">
              <w:rPr>
                <w:szCs w:val="22"/>
                <w:lang w:eastAsia="sv-SE"/>
              </w:rPr>
              <w:t>ID of CSI-RS resource associated with this SRS resource set (see TS 38.214 [19], clause 6.1.1.2).</w:t>
            </w:r>
          </w:p>
        </w:tc>
      </w:tr>
      <w:tr w:rsidR="005C7FF4" w:rsidRPr="00FA0D37"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6658B2" w:rsidRPr="00FA0D37" w:rsidRDefault="006658B2" w:rsidP="0071565C">
            <w:pPr>
              <w:pStyle w:val="TAL"/>
              <w:rPr>
                <w:rFonts w:eastAsia="宋体"/>
                <w:b/>
                <w:bCs/>
                <w:i/>
                <w:iCs/>
                <w:lang w:eastAsia="zh-CN"/>
              </w:rPr>
            </w:pPr>
            <w:r w:rsidRPr="00FA0D37">
              <w:rPr>
                <w:rFonts w:eastAsia="宋体"/>
                <w:b/>
                <w:bCs/>
                <w:i/>
                <w:iCs/>
                <w:lang w:eastAsia="zh-CN"/>
              </w:rPr>
              <w:t>dl-PRS</w:t>
            </w:r>
          </w:p>
          <w:p w14:paraId="6518DAB6" w14:textId="77777777" w:rsidR="006658B2" w:rsidRPr="00FA0D37" w:rsidRDefault="006658B2" w:rsidP="0071565C">
            <w:pPr>
              <w:pStyle w:val="TAL"/>
              <w:rPr>
                <w:rFonts w:eastAsia="宋体"/>
                <w:b/>
                <w:bCs/>
                <w:i/>
                <w:iCs/>
                <w:lang w:eastAsia="zh-CN"/>
              </w:rPr>
            </w:pPr>
            <w:r w:rsidRPr="00FA0D37">
              <w:rPr>
                <w:rFonts w:eastAsia="宋体"/>
                <w:bCs/>
                <w:iCs/>
                <w:lang w:eastAsia="zh-CN"/>
              </w:rPr>
              <w:t>This field indicates a PRS configuration.</w:t>
            </w:r>
          </w:p>
        </w:tc>
      </w:tr>
      <w:tr w:rsidR="005C7FF4" w:rsidRPr="00FA0D37"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0F2B5F" w:rsidRPr="00FA0D37" w:rsidRDefault="000F2B5F" w:rsidP="00771058">
            <w:pPr>
              <w:pStyle w:val="TAL"/>
              <w:rPr>
                <w:rFonts w:cs="Arial"/>
                <w:b/>
                <w:bCs/>
                <w:i/>
                <w:iCs/>
              </w:rPr>
            </w:pPr>
            <w:r w:rsidRPr="00FA0D37">
              <w:rPr>
                <w:rFonts w:cs="Arial"/>
                <w:b/>
                <w:bCs/>
                <w:i/>
                <w:iCs/>
              </w:rPr>
              <w:t>followUnifiedTCI</w:t>
            </w:r>
            <w:r w:rsidR="005D46C6" w:rsidRPr="00FA0D37">
              <w:rPr>
                <w:rFonts w:cs="Arial"/>
                <w:b/>
                <w:bCs/>
                <w:i/>
                <w:iCs/>
              </w:rPr>
              <w:t>-S</w:t>
            </w:r>
            <w:r w:rsidRPr="00FA0D37">
              <w:rPr>
                <w:rFonts w:cs="Arial"/>
                <w:b/>
                <w:bCs/>
                <w:i/>
                <w:iCs/>
              </w:rPr>
              <w:t>tateSRS</w:t>
            </w:r>
          </w:p>
          <w:p w14:paraId="1EEA26F5" w14:textId="267D72B4" w:rsidR="000F2B5F" w:rsidRPr="00FA0D37" w:rsidRDefault="000F2B5F" w:rsidP="00771058">
            <w:pPr>
              <w:pStyle w:val="TAL"/>
              <w:rPr>
                <w:b/>
                <w:i/>
                <w:szCs w:val="22"/>
                <w:lang w:eastAsia="sv-SE"/>
              </w:rPr>
            </w:pPr>
            <w:r w:rsidRPr="00FA0D37">
              <w:rPr>
                <w:lang w:eastAsia="zh-CN"/>
              </w:rPr>
              <w:t xml:space="preserve">When set to enabled, for SRS resource Set, the UE applies the "indicated" </w:t>
            </w:r>
            <w:r w:rsidR="007B122D" w:rsidRPr="00FA0D37">
              <w:rPr>
                <w:lang w:eastAsia="zh-CN"/>
              </w:rPr>
              <w:t>U</w:t>
            </w:r>
            <w:r w:rsidRPr="00FA0D37">
              <w:rPr>
                <w:lang w:eastAsia="zh-CN"/>
              </w:rPr>
              <w:t xml:space="preserve">L only </w:t>
            </w:r>
            <w:r w:rsidR="007B122D" w:rsidRPr="00FA0D37">
              <w:rPr>
                <w:lang w:eastAsia="zh-CN"/>
              </w:rPr>
              <w:t xml:space="preserve">TCI </w:t>
            </w:r>
            <w:r w:rsidRPr="00FA0D37">
              <w:rPr>
                <w:lang w:eastAsia="zh-CN"/>
              </w:rPr>
              <w:t>or joint TCI as specified in TS 38.214</w:t>
            </w:r>
            <w:r w:rsidR="00262741" w:rsidRPr="00FA0D37">
              <w:rPr>
                <w:lang w:eastAsia="zh-CN"/>
              </w:rPr>
              <w:t xml:space="preserve"> [19],</w:t>
            </w:r>
            <w:r w:rsidRPr="00FA0D37">
              <w:rPr>
                <w:lang w:eastAsia="zh-CN"/>
              </w:rPr>
              <w:t xml:space="preserve"> clause 5.1.5.</w:t>
            </w:r>
            <w:r w:rsidR="00977C82" w:rsidRPr="00FA0D37">
              <w:rPr>
                <w:lang w:eastAsia="zh-CN"/>
              </w:rPr>
              <w:t xml:space="preserve"> </w:t>
            </w:r>
            <w:r w:rsidRPr="00FA0D37">
              <w:rPr>
                <w:rFonts w:cs="Arial"/>
              </w:rPr>
              <w:t>This parameter may be configured for aperiodic SRS for BM or SRS of any time-domain behavior for codebook, non-codebook, and antenna switching.</w:t>
            </w:r>
          </w:p>
        </w:tc>
      </w:tr>
      <w:tr w:rsidR="005C7FF4" w:rsidRPr="00FA0D37"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FA0D37" w:rsidRDefault="00394471" w:rsidP="00964CC4">
            <w:pPr>
              <w:pStyle w:val="TAL"/>
              <w:rPr>
                <w:szCs w:val="22"/>
                <w:lang w:eastAsia="sv-SE"/>
              </w:rPr>
            </w:pPr>
            <w:r w:rsidRPr="00FA0D37">
              <w:rPr>
                <w:b/>
                <w:i/>
                <w:szCs w:val="22"/>
                <w:lang w:eastAsia="sv-SE"/>
              </w:rPr>
              <w:t>p0</w:t>
            </w:r>
          </w:p>
          <w:p w14:paraId="531F4907" w14:textId="77777777" w:rsidR="00394471" w:rsidRPr="00FA0D37" w:rsidRDefault="00394471" w:rsidP="00964CC4">
            <w:pPr>
              <w:pStyle w:val="TAL"/>
              <w:rPr>
                <w:szCs w:val="22"/>
                <w:lang w:eastAsia="sv-SE"/>
              </w:rPr>
            </w:pPr>
            <w:r w:rsidRPr="00FA0D37">
              <w:rPr>
                <w:szCs w:val="22"/>
                <w:lang w:eastAsia="sv-SE"/>
              </w:rPr>
              <w:t>P0 value for SRS power control. The value is in dBm. Only even values (step size 2) are allowed (see TS 38.213 [13], clause 7.3).</w:t>
            </w:r>
          </w:p>
        </w:tc>
      </w:tr>
      <w:tr w:rsidR="005C7FF4" w:rsidRPr="00FA0D37"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FA0D37" w:rsidRDefault="00394471" w:rsidP="00964CC4">
            <w:pPr>
              <w:pStyle w:val="TAL"/>
              <w:rPr>
                <w:szCs w:val="22"/>
                <w:lang w:eastAsia="sv-SE"/>
              </w:rPr>
            </w:pPr>
            <w:r w:rsidRPr="00FA0D37">
              <w:rPr>
                <w:b/>
                <w:i/>
                <w:szCs w:val="22"/>
                <w:lang w:eastAsia="sv-SE"/>
              </w:rPr>
              <w:t>pathlossReferenceRS</w:t>
            </w:r>
          </w:p>
          <w:p w14:paraId="1C9DC3B2" w14:textId="77777777" w:rsidR="00394471" w:rsidRPr="00FA0D37" w:rsidRDefault="00394471" w:rsidP="00964CC4">
            <w:pPr>
              <w:pStyle w:val="TAL"/>
              <w:rPr>
                <w:szCs w:val="22"/>
                <w:lang w:eastAsia="sv-SE"/>
              </w:rPr>
            </w:pPr>
            <w:r w:rsidRPr="00FA0D37">
              <w:rPr>
                <w:szCs w:val="22"/>
                <w:lang w:eastAsia="sv-SE"/>
              </w:rPr>
              <w:t>A reference signal (e.g. a CSI-RS config or a SS block) to be used for SRS path loss estimation (see TS 38.213 [13], clause 7.3).</w:t>
            </w:r>
          </w:p>
        </w:tc>
      </w:tr>
      <w:tr w:rsidR="005C7FF4" w:rsidRPr="00FA0D37"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FA0D37" w:rsidRDefault="00394471" w:rsidP="00964CC4">
            <w:pPr>
              <w:pStyle w:val="TAL"/>
              <w:rPr>
                <w:szCs w:val="22"/>
                <w:lang w:eastAsia="sv-SE"/>
              </w:rPr>
            </w:pPr>
            <w:r w:rsidRPr="00FA0D37">
              <w:rPr>
                <w:b/>
                <w:i/>
                <w:szCs w:val="22"/>
                <w:lang w:eastAsia="sv-SE"/>
              </w:rPr>
              <w:t>pathlossReferenceRS-Pos</w:t>
            </w:r>
          </w:p>
          <w:p w14:paraId="2D1586FB" w14:textId="77777777" w:rsidR="00394471" w:rsidRPr="00FA0D37" w:rsidRDefault="00394471" w:rsidP="00964CC4">
            <w:pPr>
              <w:pStyle w:val="TAL"/>
              <w:rPr>
                <w:b/>
                <w:i/>
                <w:szCs w:val="22"/>
                <w:lang w:eastAsia="sv-SE"/>
              </w:rPr>
            </w:pPr>
            <w:r w:rsidRPr="00FA0D37">
              <w:rPr>
                <w:szCs w:val="22"/>
                <w:lang w:eastAsia="sv-SE"/>
              </w:rPr>
              <w:t>A reference signal (e.g. a SS block or a DL-PRS config) to be used for SRS path loss estimation (see TS 38.213 [13], clause 7.3).</w:t>
            </w:r>
          </w:p>
        </w:tc>
      </w:tr>
      <w:tr w:rsidR="005C7FF4" w:rsidRPr="00FA0D37"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FA0D37" w:rsidRDefault="00394471" w:rsidP="00964CC4">
            <w:pPr>
              <w:pStyle w:val="TAL"/>
              <w:rPr>
                <w:b/>
                <w:bCs/>
                <w:i/>
                <w:iCs/>
              </w:rPr>
            </w:pPr>
            <w:r w:rsidRPr="00FA0D37">
              <w:rPr>
                <w:b/>
                <w:bCs/>
                <w:i/>
                <w:iCs/>
              </w:rPr>
              <w:t>pathlossReferenceRSList</w:t>
            </w:r>
          </w:p>
          <w:p w14:paraId="393AED31" w14:textId="77777777" w:rsidR="00394471" w:rsidRPr="00FA0D37" w:rsidRDefault="00394471" w:rsidP="00964CC4">
            <w:pPr>
              <w:pStyle w:val="TAL"/>
              <w:rPr>
                <w:b/>
                <w:i/>
                <w:szCs w:val="22"/>
                <w:lang w:eastAsia="sv-SE"/>
              </w:rPr>
            </w:pPr>
            <w:r w:rsidRPr="00FA0D37">
              <w:rPr>
                <w:szCs w:val="22"/>
              </w:rPr>
              <w:t xml:space="preserve">Multiple candidate pathloss reference RS(s) for SRS power control, where one candidate RS can be mapped to SRS Resource Set via MAC CE (clause 6.1.3.27 in TS 38.321 [3]). The network can only configure this field if </w:t>
            </w:r>
            <w:r w:rsidRPr="00FA0D37">
              <w:rPr>
                <w:i/>
                <w:iCs/>
                <w:szCs w:val="22"/>
              </w:rPr>
              <w:t>pathlossReferenceRS</w:t>
            </w:r>
            <w:r w:rsidRPr="00FA0D37">
              <w:rPr>
                <w:szCs w:val="22"/>
              </w:rPr>
              <w:t xml:space="preserve"> is not configured in the same </w:t>
            </w:r>
            <w:r w:rsidRPr="00FA0D37">
              <w:rPr>
                <w:i/>
                <w:iCs/>
                <w:szCs w:val="22"/>
              </w:rPr>
              <w:t>SRS-ResourceSet</w:t>
            </w:r>
            <w:r w:rsidRPr="00FA0D37">
              <w:rPr>
                <w:szCs w:val="22"/>
              </w:rPr>
              <w:t>.</w:t>
            </w:r>
          </w:p>
        </w:tc>
      </w:tr>
      <w:tr w:rsidR="005C7FF4" w:rsidRPr="00FA0D37"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FA0D37" w:rsidRDefault="00394471" w:rsidP="00964CC4">
            <w:pPr>
              <w:pStyle w:val="TAL"/>
              <w:rPr>
                <w:b/>
                <w:i/>
                <w:szCs w:val="22"/>
                <w:lang w:eastAsia="sv-SE"/>
              </w:rPr>
            </w:pPr>
            <w:r w:rsidRPr="00FA0D37">
              <w:rPr>
                <w:b/>
                <w:i/>
                <w:szCs w:val="22"/>
                <w:lang w:eastAsia="sv-SE"/>
              </w:rPr>
              <w:t>resourceType</w:t>
            </w:r>
          </w:p>
          <w:p w14:paraId="0A2A0AD0" w14:textId="31846DB3" w:rsidR="00394471" w:rsidRPr="00FA0D37" w:rsidRDefault="00394471" w:rsidP="00964CC4">
            <w:pPr>
              <w:pStyle w:val="TAL"/>
              <w:rPr>
                <w:szCs w:val="22"/>
                <w:lang w:eastAsia="sv-SE"/>
              </w:rPr>
            </w:pPr>
            <w:r w:rsidRPr="00FA0D37">
              <w:rPr>
                <w:szCs w:val="22"/>
                <w:lang w:eastAsia="sv-SE"/>
              </w:rPr>
              <w:t>Time domain behavior of SRS resource configuration, see TS 38.214 [19], clause 6.2.1. The network configures SRS resources in the same resource set with the same time domain behavior on periodic, aperiodic and semi-persistent SRS.</w:t>
            </w:r>
            <w:r w:rsidR="009B1D75" w:rsidRPr="00FA0D37">
              <w:rPr>
                <w:szCs w:val="22"/>
                <w:lang w:eastAsia="sv-SE"/>
              </w:rPr>
              <w:t xml:space="preserve"> </w:t>
            </w:r>
            <w:r w:rsidR="009B1D75" w:rsidRPr="00FA0D37">
              <w:rPr>
                <w:rFonts w:cs="Arial"/>
                <w:szCs w:val="22"/>
                <w:lang w:eastAsia="sv-SE"/>
              </w:rPr>
              <w:t>The aperiodic SRS is not applicable for the UE in RRC_INACTIVE</w:t>
            </w:r>
            <w:r w:rsidR="00FA3FBB" w:rsidRPr="00FA0D37">
              <w:rPr>
                <w:rFonts w:cs="Arial"/>
                <w:szCs w:val="22"/>
                <w:lang w:eastAsia="sv-SE"/>
              </w:rPr>
              <w:t>.</w:t>
            </w:r>
          </w:p>
        </w:tc>
      </w:tr>
      <w:tr w:rsidR="005C7FF4" w:rsidRPr="00FA0D37"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FA0D37" w:rsidRDefault="00394471" w:rsidP="00964CC4">
            <w:pPr>
              <w:pStyle w:val="TAL"/>
              <w:rPr>
                <w:szCs w:val="22"/>
                <w:lang w:eastAsia="sv-SE"/>
              </w:rPr>
            </w:pPr>
            <w:r w:rsidRPr="00FA0D37">
              <w:rPr>
                <w:b/>
                <w:i/>
                <w:szCs w:val="22"/>
                <w:lang w:eastAsia="sv-SE"/>
              </w:rPr>
              <w:t>slotOffset</w:t>
            </w:r>
          </w:p>
          <w:p w14:paraId="4CAF2F71" w14:textId="77777777" w:rsidR="00394471" w:rsidRPr="00FA0D37" w:rsidRDefault="00394471" w:rsidP="00964CC4">
            <w:pPr>
              <w:pStyle w:val="TAL"/>
              <w:rPr>
                <w:szCs w:val="22"/>
                <w:lang w:eastAsia="sv-SE"/>
              </w:rPr>
            </w:pPr>
            <w:r w:rsidRPr="00FA0D37">
              <w:rPr>
                <w:szCs w:val="22"/>
                <w:lang w:eastAsia="sv-SE"/>
              </w:rPr>
              <w:t xml:space="preserve">An offset in number of slots between the triggering DCI and the actual transmission of this </w:t>
            </w:r>
            <w:r w:rsidRPr="00FA0D37">
              <w:rPr>
                <w:i/>
                <w:szCs w:val="22"/>
                <w:lang w:eastAsia="sv-SE"/>
              </w:rPr>
              <w:t>SRS-ResourceSet</w:t>
            </w:r>
            <w:r w:rsidRPr="00FA0D37">
              <w:rPr>
                <w:szCs w:val="22"/>
                <w:lang w:eastAsia="sv-SE"/>
              </w:rPr>
              <w:t>. If the field is absent the UE applies no offset (value 0).</w:t>
            </w:r>
          </w:p>
        </w:tc>
      </w:tr>
      <w:tr w:rsidR="005C7FF4" w:rsidRPr="00FA0D37"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FA0D37" w:rsidRDefault="00394471" w:rsidP="00964CC4">
            <w:pPr>
              <w:pStyle w:val="TAL"/>
              <w:rPr>
                <w:szCs w:val="22"/>
                <w:lang w:eastAsia="sv-SE"/>
              </w:rPr>
            </w:pPr>
            <w:r w:rsidRPr="00FA0D37">
              <w:rPr>
                <w:b/>
                <w:i/>
                <w:szCs w:val="22"/>
                <w:lang w:eastAsia="sv-SE"/>
              </w:rPr>
              <w:t>srs-PowerControlAdjustmentStates</w:t>
            </w:r>
          </w:p>
          <w:p w14:paraId="087D4A7D" w14:textId="77777777" w:rsidR="00394471" w:rsidRPr="00FA0D37" w:rsidRDefault="00394471" w:rsidP="00964CC4">
            <w:pPr>
              <w:pStyle w:val="TAL"/>
              <w:rPr>
                <w:szCs w:val="22"/>
                <w:lang w:eastAsia="sv-SE"/>
              </w:rPr>
            </w:pPr>
            <w:r w:rsidRPr="00FA0D37">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5C7FF4" w:rsidRPr="00FA0D37"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FA0D37" w:rsidRDefault="00394471" w:rsidP="00964CC4">
            <w:pPr>
              <w:pStyle w:val="TAL"/>
              <w:rPr>
                <w:szCs w:val="22"/>
                <w:lang w:eastAsia="sv-SE"/>
              </w:rPr>
            </w:pPr>
            <w:r w:rsidRPr="00FA0D37">
              <w:rPr>
                <w:b/>
                <w:i/>
                <w:szCs w:val="22"/>
                <w:lang w:eastAsia="sv-SE"/>
              </w:rPr>
              <w:t>srs-ResourceIdList</w:t>
            </w:r>
            <w:r w:rsidR="00B477A2" w:rsidRPr="00FA0D37">
              <w:rPr>
                <w:b/>
                <w:i/>
                <w:szCs w:val="22"/>
                <w:lang w:eastAsia="zh-CN"/>
              </w:rPr>
              <w:t>, srs-PosResourceIdList</w:t>
            </w:r>
          </w:p>
          <w:p w14:paraId="24B223CB" w14:textId="162ED8FF" w:rsidR="00394471" w:rsidRPr="00FA0D37" w:rsidRDefault="00394471" w:rsidP="00964CC4">
            <w:pPr>
              <w:pStyle w:val="TAL"/>
              <w:rPr>
                <w:szCs w:val="22"/>
                <w:lang w:eastAsia="sv-SE"/>
              </w:rPr>
            </w:pPr>
            <w:r w:rsidRPr="00FA0D37">
              <w:rPr>
                <w:szCs w:val="22"/>
                <w:lang w:eastAsia="sv-SE"/>
              </w:rPr>
              <w:t>The IDs of the SRS-Resources</w:t>
            </w:r>
            <w:r w:rsidR="00B477A2" w:rsidRPr="00FA0D37">
              <w:rPr>
                <w:szCs w:val="22"/>
                <w:lang w:eastAsia="zh-CN"/>
              </w:rPr>
              <w:t>/SRS-PosResource</w:t>
            </w:r>
            <w:r w:rsidRPr="00FA0D37">
              <w:rPr>
                <w:szCs w:val="22"/>
                <w:lang w:eastAsia="sv-SE"/>
              </w:rPr>
              <w:t xml:space="preserve"> used in this </w:t>
            </w:r>
            <w:r w:rsidRPr="00FA0D37">
              <w:rPr>
                <w:i/>
                <w:szCs w:val="22"/>
                <w:lang w:eastAsia="sv-SE"/>
              </w:rPr>
              <w:t>SRS-ResourceSet</w:t>
            </w:r>
            <w:r w:rsidR="00B477A2" w:rsidRPr="00FA0D37">
              <w:rPr>
                <w:i/>
                <w:szCs w:val="22"/>
                <w:lang w:eastAsia="zh-CN"/>
              </w:rPr>
              <w:t>/</w:t>
            </w:r>
            <w:r w:rsidR="00B477A2" w:rsidRPr="00FA0D37">
              <w:rPr>
                <w:i/>
                <w:szCs w:val="22"/>
                <w:lang w:eastAsia="sv-SE"/>
              </w:rPr>
              <w:t>SRS-</w:t>
            </w:r>
            <w:r w:rsidR="00B477A2" w:rsidRPr="00FA0D37">
              <w:rPr>
                <w:i/>
                <w:szCs w:val="22"/>
                <w:lang w:eastAsia="zh-CN"/>
              </w:rPr>
              <w:t>Pos</w:t>
            </w:r>
            <w:r w:rsidR="00B477A2" w:rsidRPr="00FA0D37">
              <w:rPr>
                <w:i/>
                <w:szCs w:val="22"/>
                <w:lang w:eastAsia="sv-SE"/>
              </w:rPr>
              <w:t>ResourceSet</w:t>
            </w:r>
            <w:r w:rsidRPr="00FA0D37">
              <w:rPr>
                <w:szCs w:val="22"/>
                <w:lang w:eastAsia="sv-SE"/>
              </w:rPr>
              <w:t xml:space="preserve">. If this </w:t>
            </w:r>
            <w:r w:rsidRPr="00FA0D37">
              <w:rPr>
                <w:i/>
                <w:szCs w:val="22"/>
                <w:lang w:eastAsia="sv-SE"/>
              </w:rPr>
              <w:t>SRS-ResourceSet</w:t>
            </w:r>
            <w:r w:rsidRPr="00FA0D37">
              <w:rPr>
                <w:szCs w:val="22"/>
                <w:lang w:eastAsia="sv-SE"/>
              </w:rPr>
              <w:t xml:space="preserve"> is configured with usage set to codebook, the </w:t>
            </w:r>
            <w:r w:rsidRPr="00FA0D37">
              <w:rPr>
                <w:i/>
                <w:szCs w:val="22"/>
                <w:lang w:eastAsia="sv-SE"/>
              </w:rPr>
              <w:t>srs-ResourceIdList</w:t>
            </w:r>
            <w:r w:rsidRPr="00FA0D37">
              <w:rPr>
                <w:szCs w:val="22"/>
                <w:lang w:eastAsia="sv-SE"/>
              </w:rPr>
              <w:t xml:space="preserve"> contains at most 2 entries. If this </w:t>
            </w:r>
            <w:r w:rsidRPr="00FA0D37">
              <w:rPr>
                <w:i/>
                <w:szCs w:val="22"/>
                <w:lang w:eastAsia="sv-SE"/>
              </w:rPr>
              <w:t>SRS-ResourceSet</w:t>
            </w:r>
            <w:r w:rsidRPr="00FA0D37">
              <w:rPr>
                <w:szCs w:val="22"/>
                <w:lang w:eastAsia="sv-SE"/>
              </w:rPr>
              <w:t xml:space="preserve"> is configured with </w:t>
            </w:r>
            <w:r w:rsidRPr="00FA0D37">
              <w:rPr>
                <w:i/>
                <w:szCs w:val="22"/>
                <w:lang w:eastAsia="sv-SE"/>
              </w:rPr>
              <w:t>usage</w:t>
            </w:r>
            <w:r w:rsidRPr="00FA0D37">
              <w:rPr>
                <w:szCs w:val="22"/>
                <w:lang w:eastAsia="sv-SE"/>
              </w:rPr>
              <w:t xml:space="preserve"> set to </w:t>
            </w:r>
            <w:r w:rsidRPr="00FA0D37">
              <w:rPr>
                <w:i/>
                <w:szCs w:val="22"/>
                <w:lang w:eastAsia="sv-SE"/>
              </w:rPr>
              <w:t>nonCodebook</w:t>
            </w:r>
            <w:r w:rsidRPr="00FA0D37">
              <w:rPr>
                <w:szCs w:val="22"/>
                <w:lang w:eastAsia="sv-SE"/>
              </w:rPr>
              <w:t xml:space="preserve">, the </w:t>
            </w:r>
            <w:r w:rsidRPr="00FA0D37">
              <w:rPr>
                <w:i/>
                <w:szCs w:val="22"/>
                <w:lang w:eastAsia="sv-SE"/>
              </w:rPr>
              <w:t>srs-ResourceIdList</w:t>
            </w:r>
            <w:r w:rsidRPr="00FA0D37">
              <w:rPr>
                <w:szCs w:val="22"/>
                <w:lang w:eastAsia="sv-SE"/>
              </w:rPr>
              <w:t xml:space="preserve"> contains at most 4 entries.</w:t>
            </w:r>
          </w:p>
        </w:tc>
      </w:tr>
      <w:tr w:rsidR="005C7FF4" w:rsidRPr="00FA0D37"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FA0D37" w:rsidRDefault="00394471" w:rsidP="00964CC4">
            <w:pPr>
              <w:pStyle w:val="TAL"/>
              <w:rPr>
                <w:szCs w:val="22"/>
                <w:lang w:eastAsia="sv-SE"/>
              </w:rPr>
            </w:pPr>
            <w:r w:rsidRPr="00FA0D37">
              <w:rPr>
                <w:b/>
                <w:i/>
                <w:szCs w:val="22"/>
                <w:lang w:eastAsia="sv-SE"/>
              </w:rPr>
              <w:t>srs-ResourceSetId</w:t>
            </w:r>
            <w:r w:rsidR="00B477A2" w:rsidRPr="00FA0D37">
              <w:rPr>
                <w:b/>
                <w:i/>
                <w:szCs w:val="22"/>
                <w:lang w:eastAsia="zh-CN"/>
              </w:rPr>
              <w:t>, srs-PosResourceSetId</w:t>
            </w:r>
          </w:p>
          <w:p w14:paraId="5C0B5DE9" w14:textId="77777777" w:rsidR="00394471" w:rsidRPr="00FA0D37" w:rsidRDefault="00394471" w:rsidP="00964CC4">
            <w:pPr>
              <w:pStyle w:val="TAL"/>
              <w:rPr>
                <w:szCs w:val="22"/>
                <w:lang w:eastAsia="sv-SE"/>
              </w:rPr>
            </w:pPr>
            <w:r w:rsidRPr="00FA0D37">
              <w:rPr>
                <w:szCs w:val="22"/>
                <w:lang w:eastAsia="sv-SE"/>
              </w:rPr>
              <w:t xml:space="preserve">The ID of this resource set. It is unique in the context of the BWP in which the parent </w:t>
            </w:r>
            <w:r w:rsidRPr="00FA0D37">
              <w:rPr>
                <w:i/>
                <w:szCs w:val="22"/>
                <w:lang w:eastAsia="sv-SE"/>
              </w:rPr>
              <w:t>SRS-Config</w:t>
            </w:r>
            <w:r w:rsidRPr="00FA0D37">
              <w:rPr>
                <w:szCs w:val="22"/>
                <w:lang w:eastAsia="sv-SE"/>
              </w:rPr>
              <w:t xml:space="preserve"> is defined.</w:t>
            </w:r>
          </w:p>
        </w:tc>
      </w:tr>
      <w:tr w:rsidR="005C7FF4" w:rsidRPr="00FA0D37"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394471" w:rsidRPr="00FA0D37" w:rsidRDefault="00394471" w:rsidP="00964CC4">
            <w:pPr>
              <w:pStyle w:val="TAL"/>
              <w:rPr>
                <w:b/>
                <w:i/>
                <w:szCs w:val="18"/>
                <w:lang w:eastAsia="sv-SE"/>
              </w:rPr>
            </w:pPr>
            <w:r w:rsidRPr="00FA0D37">
              <w:rPr>
                <w:b/>
                <w:i/>
                <w:szCs w:val="18"/>
                <w:lang w:eastAsia="sv-SE"/>
              </w:rPr>
              <w:lastRenderedPageBreak/>
              <w:t>ssb-IndexSe</w:t>
            </w:r>
            <w:r w:rsidR="0018069D" w:rsidRPr="00FA0D37">
              <w:rPr>
                <w:b/>
                <w:i/>
                <w:szCs w:val="18"/>
                <w:lang w:eastAsia="sv-SE"/>
              </w:rPr>
              <w:t>r</w:t>
            </w:r>
            <w:r w:rsidRPr="00FA0D37">
              <w:rPr>
                <w:b/>
                <w:i/>
                <w:szCs w:val="18"/>
                <w:lang w:eastAsia="sv-SE"/>
              </w:rPr>
              <w:t>ving</w:t>
            </w:r>
          </w:p>
          <w:p w14:paraId="18EEC09C" w14:textId="649D7327" w:rsidR="00394471" w:rsidRPr="00FA0D37" w:rsidRDefault="00394471" w:rsidP="00964CC4">
            <w:pPr>
              <w:pStyle w:val="TAL"/>
              <w:rPr>
                <w:b/>
                <w:i/>
                <w:szCs w:val="18"/>
                <w:lang w:eastAsia="sv-SE"/>
              </w:rPr>
            </w:pPr>
            <w:r w:rsidRPr="00FA0D37">
              <w:rPr>
                <w:szCs w:val="18"/>
                <w:lang w:eastAsia="sv-SE"/>
              </w:rPr>
              <w:t>Indicates SSB index belonging to a serving cell</w:t>
            </w:r>
            <w:r w:rsidR="0018069D" w:rsidRPr="00FA0D37">
              <w:rPr>
                <w:rFonts w:eastAsia="宋体"/>
                <w:szCs w:val="18"/>
                <w:lang w:eastAsia="zh-CN"/>
              </w:rPr>
              <w:t xml:space="preserve"> </w:t>
            </w:r>
            <w:r w:rsidR="0018069D" w:rsidRPr="00FA0D37">
              <w:rPr>
                <w:rFonts w:eastAsia="宋体" w:cs="Arial"/>
              </w:rPr>
              <w:t>where the SRS is configured</w:t>
            </w:r>
            <w:r w:rsidR="0018069D" w:rsidRPr="00FA0D37">
              <w:rPr>
                <w:rFonts w:eastAsia="宋体" w:cs="Arial"/>
                <w:lang w:eastAsia="zh-CN"/>
              </w:rPr>
              <w:t>.</w:t>
            </w:r>
          </w:p>
        </w:tc>
      </w:tr>
      <w:tr w:rsidR="005C7FF4" w:rsidRPr="00FA0D37"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394471" w:rsidRPr="00FA0D37" w:rsidRDefault="00394471" w:rsidP="00964CC4">
            <w:pPr>
              <w:pStyle w:val="TAL"/>
              <w:rPr>
                <w:rFonts w:eastAsia="宋体"/>
                <w:b/>
                <w:bCs/>
                <w:i/>
                <w:iCs/>
                <w:lang w:eastAsia="zh-CN"/>
              </w:rPr>
            </w:pPr>
            <w:r w:rsidRPr="00FA0D37">
              <w:rPr>
                <w:rFonts w:eastAsia="宋体"/>
                <w:b/>
                <w:bCs/>
                <w:i/>
                <w:iCs/>
                <w:lang w:eastAsia="zh-CN"/>
              </w:rPr>
              <w:t>ssb-N</w:t>
            </w:r>
            <w:r w:rsidR="00EE1777" w:rsidRPr="00FA0D37">
              <w:rPr>
                <w:rFonts w:eastAsia="宋体"/>
                <w:b/>
                <w:bCs/>
                <w:i/>
                <w:iCs/>
                <w:lang w:eastAsia="zh-CN"/>
              </w:rPr>
              <w:t>c</w:t>
            </w:r>
            <w:r w:rsidRPr="00FA0D37">
              <w:rPr>
                <w:rFonts w:eastAsia="宋体"/>
                <w:b/>
                <w:bCs/>
                <w:i/>
                <w:iCs/>
                <w:lang w:eastAsia="zh-CN"/>
              </w:rPr>
              <w:t>ell</w:t>
            </w:r>
          </w:p>
          <w:p w14:paraId="6CA58E75" w14:textId="002C39D9" w:rsidR="00394471" w:rsidRPr="00FA0D37" w:rsidRDefault="00394471" w:rsidP="00964CC4">
            <w:pPr>
              <w:pStyle w:val="TAL"/>
              <w:rPr>
                <w:b/>
                <w:i/>
                <w:szCs w:val="18"/>
                <w:lang w:eastAsia="sv-SE"/>
              </w:rPr>
            </w:pPr>
            <w:r w:rsidRPr="00FA0D37">
              <w:rPr>
                <w:rFonts w:eastAsia="宋体"/>
                <w:bCs/>
                <w:iCs/>
                <w:lang w:eastAsia="zh-CN"/>
              </w:rPr>
              <w:t>This field indicates a SSB configuration from neighboring cell</w:t>
            </w:r>
            <w:r w:rsidR="0018069D" w:rsidRPr="00FA0D37">
              <w:rPr>
                <w:rFonts w:eastAsia="宋体"/>
                <w:bCs/>
                <w:iCs/>
                <w:lang w:eastAsia="zh-CN"/>
              </w:rPr>
              <w:t>.</w:t>
            </w:r>
          </w:p>
        </w:tc>
      </w:tr>
      <w:tr w:rsidR="005C7FF4" w:rsidRPr="00FA0D37"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FA0D37" w:rsidRDefault="00394471" w:rsidP="00964CC4">
            <w:pPr>
              <w:pStyle w:val="TAL"/>
              <w:rPr>
                <w:szCs w:val="22"/>
                <w:lang w:eastAsia="sv-SE"/>
              </w:rPr>
            </w:pPr>
            <w:r w:rsidRPr="00FA0D37">
              <w:rPr>
                <w:b/>
                <w:i/>
                <w:szCs w:val="22"/>
                <w:lang w:eastAsia="sv-SE"/>
              </w:rPr>
              <w:t>usage</w:t>
            </w:r>
          </w:p>
          <w:p w14:paraId="794F15AE" w14:textId="77777777" w:rsidR="00394471" w:rsidRPr="00FA0D37" w:rsidRDefault="00394471" w:rsidP="00964CC4">
            <w:pPr>
              <w:pStyle w:val="TAL"/>
              <w:rPr>
                <w:szCs w:val="22"/>
                <w:lang w:eastAsia="sv-SE"/>
              </w:rPr>
            </w:pPr>
            <w:r w:rsidRPr="00FA0D37">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0830BB" w:rsidRPr="00FA0D37"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306103" w:rsidRPr="00FA0D37" w:rsidRDefault="00306103" w:rsidP="00771058">
            <w:pPr>
              <w:pStyle w:val="TAL"/>
              <w:rPr>
                <w:b/>
                <w:i/>
                <w:szCs w:val="22"/>
                <w:lang w:eastAsia="sv-SE"/>
              </w:rPr>
            </w:pPr>
            <w:r w:rsidRPr="00FA0D37">
              <w:rPr>
                <w:b/>
                <w:i/>
                <w:szCs w:val="22"/>
                <w:lang w:eastAsia="sv-SE"/>
              </w:rPr>
              <w:t>usagePDC</w:t>
            </w:r>
          </w:p>
          <w:p w14:paraId="40AD145C" w14:textId="3BE18B8E" w:rsidR="00306103" w:rsidRPr="00FA0D37" w:rsidRDefault="00306103" w:rsidP="00771058">
            <w:pPr>
              <w:pStyle w:val="TAL"/>
              <w:rPr>
                <w:bCs/>
                <w:iCs/>
                <w:szCs w:val="22"/>
                <w:lang w:eastAsia="sv-SE"/>
              </w:rPr>
            </w:pPr>
            <w:r w:rsidRPr="00FA0D37">
              <w:rPr>
                <w:bCs/>
                <w:iCs/>
                <w:szCs w:val="22"/>
                <w:lang w:eastAsia="sv-SE"/>
              </w:rPr>
              <w:t xml:space="preserve">If configured, it indicates that this SRS resource set is used for propagation delay compensation. The field can be present in only one </w:t>
            </w:r>
            <w:r w:rsidRPr="00FA0D37">
              <w:rPr>
                <w:bCs/>
                <w:i/>
                <w:szCs w:val="22"/>
                <w:lang w:eastAsia="sv-SE"/>
              </w:rPr>
              <w:t>SRS-ResourceSet</w:t>
            </w:r>
            <w:r w:rsidRPr="00FA0D37">
              <w:rPr>
                <w:bCs/>
                <w:iCs/>
                <w:szCs w:val="22"/>
                <w:lang w:eastAsia="sv-SE"/>
              </w:rPr>
              <w:t>.</w:t>
            </w:r>
          </w:p>
        </w:tc>
      </w:tr>
    </w:tbl>
    <w:p w14:paraId="40FE558F" w14:textId="77777777" w:rsidR="0018069D" w:rsidRPr="00FA0D37"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5C7FF4" w:rsidRPr="00FA0D37"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FA0D37" w:rsidRDefault="0018069D" w:rsidP="0071565C">
            <w:pPr>
              <w:pStyle w:val="TAH"/>
              <w:rPr>
                <w:szCs w:val="22"/>
              </w:rPr>
            </w:pPr>
            <w:r w:rsidRPr="00FA0D37">
              <w:rPr>
                <w:i/>
                <w:iCs/>
              </w:rPr>
              <w:t>SRS-SpatialRelationInfoPos</w:t>
            </w:r>
            <w:r w:rsidRPr="00FA0D37">
              <w:rPr>
                <w:i/>
                <w:szCs w:val="22"/>
              </w:rPr>
              <w:t xml:space="preserve"> </w:t>
            </w:r>
            <w:r w:rsidRPr="00FA0D37">
              <w:rPr>
                <w:szCs w:val="22"/>
              </w:rPr>
              <w:t>field descriptions</w:t>
            </w:r>
          </w:p>
        </w:tc>
      </w:tr>
      <w:tr w:rsidR="005C7FF4" w:rsidRPr="00FA0D37"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FA0D37" w:rsidRDefault="00E36333" w:rsidP="0071565C">
            <w:pPr>
              <w:pStyle w:val="TAL"/>
              <w:rPr>
                <w:b/>
                <w:i/>
                <w:szCs w:val="18"/>
                <w:lang w:eastAsia="sv-SE"/>
              </w:rPr>
            </w:pPr>
            <w:r w:rsidRPr="00FA0D37">
              <w:rPr>
                <w:b/>
                <w:i/>
                <w:szCs w:val="18"/>
                <w:lang w:eastAsia="sv-SE"/>
              </w:rPr>
              <w:t>csi-RS-IndexServing</w:t>
            </w:r>
          </w:p>
          <w:p w14:paraId="2EA947DB" w14:textId="77777777" w:rsidR="00E36333" w:rsidRPr="00FA0D37" w:rsidRDefault="00E36333" w:rsidP="0071565C">
            <w:pPr>
              <w:pStyle w:val="TAL"/>
              <w:rPr>
                <w:rFonts w:eastAsia="宋体"/>
                <w:szCs w:val="18"/>
                <w:lang w:eastAsia="zh-CN"/>
              </w:rPr>
            </w:pPr>
            <w:r w:rsidRPr="00FA0D37">
              <w:rPr>
                <w:szCs w:val="18"/>
                <w:lang w:eastAsia="sv-SE"/>
              </w:rPr>
              <w:t>Indicates CSI-RS index belonging to a serving cell</w:t>
            </w:r>
            <w:r w:rsidRPr="00FA0D37">
              <w:rPr>
                <w:rFonts w:eastAsia="宋体"/>
                <w:szCs w:val="18"/>
                <w:lang w:eastAsia="zh-CN"/>
              </w:rPr>
              <w:t>.</w:t>
            </w:r>
          </w:p>
        </w:tc>
      </w:tr>
      <w:tr w:rsidR="005C7FF4" w:rsidRPr="00FA0D37"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FA0D37" w:rsidRDefault="00E36333" w:rsidP="0071565C">
            <w:pPr>
              <w:pStyle w:val="TAL"/>
              <w:rPr>
                <w:rFonts w:eastAsia="宋体"/>
                <w:b/>
                <w:bCs/>
                <w:i/>
                <w:iCs/>
                <w:lang w:eastAsia="zh-CN"/>
              </w:rPr>
            </w:pPr>
            <w:r w:rsidRPr="00FA0D37">
              <w:rPr>
                <w:rFonts w:eastAsia="宋体"/>
                <w:b/>
                <w:bCs/>
                <w:i/>
                <w:iCs/>
                <w:lang w:eastAsia="zh-CN"/>
              </w:rPr>
              <w:t>dl-PRS</w:t>
            </w:r>
          </w:p>
          <w:p w14:paraId="48D1116A" w14:textId="77777777" w:rsidR="00E36333" w:rsidRPr="00FA0D37" w:rsidRDefault="00E36333" w:rsidP="0071565C">
            <w:pPr>
              <w:pStyle w:val="TAL"/>
              <w:rPr>
                <w:rFonts w:eastAsia="宋体"/>
                <w:bCs/>
                <w:iCs/>
                <w:lang w:eastAsia="zh-CN"/>
              </w:rPr>
            </w:pPr>
            <w:r w:rsidRPr="00FA0D37">
              <w:rPr>
                <w:rFonts w:eastAsia="宋体"/>
                <w:bCs/>
                <w:iCs/>
                <w:lang w:eastAsia="zh-CN"/>
              </w:rPr>
              <w:t>This field indicates a PRS configuration.</w:t>
            </w:r>
          </w:p>
        </w:tc>
      </w:tr>
      <w:tr w:rsidR="005C7FF4" w:rsidRPr="00FA0D37"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FA0D37" w:rsidRDefault="00E36333" w:rsidP="0071565C">
            <w:pPr>
              <w:pStyle w:val="TAL"/>
              <w:rPr>
                <w:rFonts w:cs="Arial"/>
                <w:b/>
                <w:i/>
                <w:sz w:val="20"/>
                <w:szCs w:val="18"/>
                <w:lang w:eastAsia="sv-SE"/>
              </w:rPr>
            </w:pPr>
            <w:r w:rsidRPr="00FA0D37">
              <w:rPr>
                <w:rFonts w:cs="Arial"/>
                <w:b/>
                <w:i/>
                <w:lang w:eastAsia="en-GB"/>
              </w:rPr>
              <w:t>resourceSelection</w:t>
            </w:r>
          </w:p>
          <w:p w14:paraId="15D09FD3" w14:textId="77777777" w:rsidR="00E36333" w:rsidRPr="00FA0D37" w:rsidRDefault="00E36333" w:rsidP="0071565C">
            <w:pPr>
              <w:pStyle w:val="TAL"/>
              <w:rPr>
                <w:szCs w:val="18"/>
                <w:lang w:eastAsia="sv-SE"/>
              </w:rPr>
            </w:pPr>
            <w:r w:rsidRPr="00FA0D37">
              <w:rPr>
                <w:szCs w:val="18"/>
                <w:lang w:eastAsia="sv-SE"/>
              </w:rPr>
              <w:t xml:space="preserve">Indicates whether the configured SRS spatial relation resource is a </w:t>
            </w:r>
            <w:r w:rsidRPr="00FA0D37">
              <w:rPr>
                <w:i/>
                <w:lang w:eastAsia="sv-SE"/>
              </w:rPr>
              <w:t>SRS-Resource</w:t>
            </w:r>
            <w:r w:rsidRPr="00FA0D37">
              <w:rPr>
                <w:lang w:eastAsia="sv-SE"/>
              </w:rPr>
              <w:t xml:space="preserve"> or </w:t>
            </w:r>
            <w:r w:rsidRPr="00FA0D37">
              <w:rPr>
                <w:i/>
                <w:lang w:eastAsia="sv-SE"/>
              </w:rPr>
              <w:t>SRS-PosResource</w:t>
            </w:r>
            <w:r w:rsidRPr="00FA0D37">
              <w:rPr>
                <w:lang w:eastAsia="sv-SE"/>
              </w:rPr>
              <w:t>.</w:t>
            </w:r>
          </w:p>
        </w:tc>
      </w:tr>
      <w:tr w:rsidR="005C7FF4" w:rsidRPr="00FA0D37"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FA0D37" w:rsidRDefault="0018069D" w:rsidP="0071565C">
            <w:pPr>
              <w:pStyle w:val="TAL"/>
              <w:rPr>
                <w:b/>
                <w:bCs/>
                <w:i/>
                <w:iCs/>
              </w:rPr>
            </w:pPr>
            <w:r w:rsidRPr="00FA0D37">
              <w:rPr>
                <w:b/>
                <w:bCs/>
                <w:i/>
                <w:iCs/>
              </w:rPr>
              <w:t>servingCellId</w:t>
            </w:r>
          </w:p>
          <w:p w14:paraId="379B2E7A" w14:textId="77777777" w:rsidR="0018069D" w:rsidRPr="00FA0D37" w:rsidRDefault="0018069D" w:rsidP="0071565C">
            <w:pPr>
              <w:pStyle w:val="TAL"/>
              <w:rPr>
                <w:szCs w:val="22"/>
              </w:rPr>
            </w:pPr>
            <w:r w:rsidRPr="00FA0D37">
              <w:rPr>
                <w:szCs w:val="22"/>
              </w:rPr>
              <w:t xml:space="preserve">The serving Cell ID of the source SSB, CSI-RS, or SRS for the spatial relation of the target SRS resource. </w:t>
            </w:r>
            <w:r w:rsidRPr="00FA0D37">
              <w:rPr>
                <w:rFonts w:eastAsia="宋体" w:cs="Arial"/>
              </w:rPr>
              <w:t>If this field is absent the SSB, the CSI-RS, or the SRS is from the same serving cell where the SRS is configured.</w:t>
            </w:r>
          </w:p>
        </w:tc>
      </w:tr>
      <w:tr w:rsidR="005C7FF4" w:rsidRPr="00FA0D37"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FA0D37" w:rsidRDefault="0018069D" w:rsidP="0071565C">
            <w:pPr>
              <w:pStyle w:val="TAL"/>
              <w:rPr>
                <w:b/>
                <w:i/>
                <w:szCs w:val="18"/>
                <w:lang w:eastAsia="sv-SE"/>
              </w:rPr>
            </w:pPr>
            <w:r w:rsidRPr="00FA0D37">
              <w:rPr>
                <w:b/>
                <w:i/>
                <w:szCs w:val="18"/>
                <w:lang w:eastAsia="sv-SE"/>
              </w:rPr>
              <w:t>s</w:t>
            </w:r>
            <w:r w:rsidRPr="00FA0D37">
              <w:rPr>
                <w:rFonts w:eastAsia="宋体"/>
                <w:b/>
                <w:i/>
                <w:szCs w:val="18"/>
                <w:lang w:eastAsia="zh-CN"/>
              </w:rPr>
              <w:t>s</w:t>
            </w:r>
            <w:r w:rsidRPr="00FA0D37">
              <w:rPr>
                <w:b/>
                <w:i/>
                <w:szCs w:val="18"/>
                <w:lang w:eastAsia="sv-SE"/>
              </w:rPr>
              <w:t>b-IndexSe</w:t>
            </w:r>
            <w:r w:rsidRPr="00FA0D37">
              <w:rPr>
                <w:rFonts w:eastAsia="宋体"/>
                <w:b/>
                <w:i/>
                <w:szCs w:val="18"/>
                <w:lang w:eastAsia="zh-CN"/>
              </w:rPr>
              <w:t>r</w:t>
            </w:r>
            <w:r w:rsidRPr="00FA0D37">
              <w:rPr>
                <w:b/>
                <w:i/>
                <w:szCs w:val="18"/>
                <w:lang w:eastAsia="sv-SE"/>
              </w:rPr>
              <w:t>ving</w:t>
            </w:r>
          </w:p>
          <w:p w14:paraId="01BF7C21" w14:textId="77777777" w:rsidR="0018069D" w:rsidRPr="00FA0D37" w:rsidRDefault="0018069D" w:rsidP="0071565C">
            <w:pPr>
              <w:pStyle w:val="TAL"/>
              <w:rPr>
                <w:b/>
                <w:sz w:val="16"/>
                <w:szCs w:val="22"/>
              </w:rPr>
            </w:pPr>
            <w:r w:rsidRPr="00FA0D37">
              <w:rPr>
                <w:szCs w:val="18"/>
                <w:lang w:eastAsia="sv-SE"/>
              </w:rPr>
              <w:t>Indicates SSB index belonging to a serving cell</w:t>
            </w:r>
            <w:r w:rsidRPr="00FA0D37">
              <w:rPr>
                <w:szCs w:val="18"/>
              </w:rPr>
              <w:t>.</w:t>
            </w:r>
          </w:p>
        </w:tc>
      </w:tr>
      <w:tr w:rsidR="0018069D" w:rsidRPr="00FA0D37"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FA0D37" w:rsidRDefault="0018069D" w:rsidP="0071565C">
            <w:pPr>
              <w:pStyle w:val="TAL"/>
              <w:rPr>
                <w:rFonts w:eastAsia="宋体"/>
                <w:b/>
                <w:bCs/>
                <w:i/>
                <w:iCs/>
                <w:lang w:eastAsia="zh-CN"/>
              </w:rPr>
            </w:pPr>
            <w:r w:rsidRPr="00FA0D37">
              <w:rPr>
                <w:rFonts w:eastAsia="宋体"/>
                <w:b/>
                <w:bCs/>
                <w:i/>
                <w:iCs/>
                <w:lang w:eastAsia="zh-CN"/>
              </w:rPr>
              <w:t>ssb-N</w:t>
            </w:r>
            <w:r w:rsidR="00E36333" w:rsidRPr="00FA0D37">
              <w:rPr>
                <w:rFonts w:eastAsia="宋体"/>
                <w:b/>
                <w:bCs/>
                <w:i/>
                <w:iCs/>
                <w:lang w:eastAsia="zh-CN"/>
              </w:rPr>
              <w:t>c</w:t>
            </w:r>
            <w:r w:rsidRPr="00FA0D37">
              <w:rPr>
                <w:rFonts w:eastAsia="宋体"/>
                <w:b/>
                <w:bCs/>
                <w:i/>
                <w:iCs/>
                <w:lang w:eastAsia="zh-CN"/>
              </w:rPr>
              <w:t>ell</w:t>
            </w:r>
          </w:p>
          <w:p w14:paraId="504D9649" w14:textId="77777777" w:rsidR="0018069D" w:rsidRPr="00FA0D37" w:rsidRDefault="0018069D" w:rsidP="0071565C">
            <w:pPr>
              <w:pStyle w:val="TAL"/>
              <w:rPr>
                <w:szCs w:val="18"/>
                <w:lang w:eastAsia="sv-SE"/>
              </w:rPr>
            </w:pPr>
            <w:r w:rsidRPr="00FA0D37">
              <w:rPr>
                <w:rFonts w:eastAsia="宋体"/>
                <w:bCs/>
                <w:iCs/>
                <w:lang w:eastAsia="zh-CN"/>
              </w:rPr>
              <w:t>This field indicates a SSB configuration from neighboring cell.</w:t>
            </w:r>
          </w:p>
        </w:tc>
      </w:tr>
    </w:tbl>
    <w:p w14:paraId="0E4F3F9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FA0D37" w:rsidRDefault="00394471" w:rsidP="00964CC4">
            <w:pPr>
              <w:pStyle w:val="TAH"/>
              <w:rPr>
                <w:szCs w:val="22"/>
              </w:rPr>
            </w:pPr>
            <w:r w:rsidRPr="00FA0D37">
              <w:rPr>
                <w:i/>
                <w:szCs w:val="22"/>
              </w:rPr>
              <w:t xml:space="preserve">SSB-InfoNCell </w:t>
            </w:r>
            <w:r w:rsidRPr="00FA0D37">
              <w:rPr>
                <w:szCs w:val="22"/>
              </w:rPr>
              <w:t>field descriptions</w:t>
            </w:r>
          </w:p>
        </w:tc>
      </w:tr>
      <w:tr w:rsidR="005C7FF4" w:rsidRPr="00FA0D37"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FA0D37" w:rsidRDefault="00394471" w:rsidP="00964CC4">
            <w:pPr>
              <w:pStyle w:val="TAL"/>
              <w:rPr>
                <w:szCs w:val="22"/>
              </w:rPr>
            </w:pPr>
            <w:r w:rsidRPr="00FA0D37">
              <w:rPr>
                <w:b/>
                <w:i/>
                <w:szCs w:val="22"/>
              </w:rPr>
              <w:t>physicalCellId</w:t>
            </w:r>
          </w:p>
          <w:p w14:paraId="5ED136F2" w14:textId="77777777" w:rsidR="00394471" w:rsidRPr="00FA0D37" w:rsidRDefault="00394471" w:rsidP="00964CC4">
            <w:pPr>
              <w:pStyle w:val="TAL"/>
              <w:rPr>
                <w:szCs w:val="22"/>
              </w:rPr>
            </w:pPr>
            <w:r w:rsidRPr="00FA0D37">
              <w:rPr>
                <w:szCs w:val="18"/>
              </w:rPr>
              <w:t>This field specifies the physical cell ID of the neighbour cell for which SSB configuration is provided.</w:t>
            </w:r>
          </w:p>
        </w:tc>
      </w:tr>
      <w:tr w:rsidR="005C7FF4" w:rsidRPr="00FA0D37"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FA0D37" w:rsidRDefault="00394471" w:rsidP="00964CC4">
            <w:pPr>
              <w:pStyle w:val="TAL"/>
              <w:rPr>
                <w:b/>
                <w:i/>
                <w:szCs w:val="22"/>
              </w:rPr>
            </w:pPr>
            <w:r w:rsidRPr="00FA0D37">
              <w:rPr>
                <w:b/>
                <w:i/>
                <w:szCs w:val="22"/>
              </w:rPr>
              <w:t>ssb-IndexNcell</w:t>
            </w:r>
          </w:p>
          <w:p w14:paraId="43AD7579" w14:textId="77777777" w:rsidR="00394471" w:rsidRPr="00FA0D37" w:rsidRDefault="00394471" w:rsidP="00964CC4">
            <w:pPr>
              <w:pStyle w:val="TAL"/>
              <w:rPr>
                <w:i/>
                <w:szCs w:val="22"/>
              </w:rPr>
            </w:pPr>
            <w:r w:rsidRPr="00FA0D37">
              <w:rPr>
                <w:szCs w:val="18"/>
              </w:rPr>
              <w:t xml:space="preserve">This field specifies the index of the SSB for a neighbour cell. See TS 38.213 [13]. </w:t>
            </w:r>
            <w:r w:rsidRPr="00FA0D37">
              <w:t xml:space="preserve">If this field is absent, the UE determines the </w:t>
            </w:r>
            <w:r w:rsidRPr="00FA0D37">
              <w:rPr>
                <w:i/>
                <w:iCs/>
              </w:rPr>
              <w:t>ssb-IndexNcell</w:t>
            </w:r>
            <w:r w:rsidRPr="00FA0D37">
              <w:t xml:space="preserve"> of the </w:t>
            </w:r>
            <w:r w:rsidRPr="00FA0D37">
              <w:rPr>
                <w:i/>
                <w:szCs w:val="22"/>
              </w:rPr>
              <w:t>physicalCellId</w:t>
            </w:r>
          </w:p>
          <w:p w14:paraId="708071B4" w14:textId="77777777" w:rsidR="00394471" w:rsidRPr="00FA0D37" w:rsidRDefault="00394471" w:rsidP="00964CC4">
            <w:pPr>
              <w:pStyle w:val="TAL"/>
              <w:rPr>
                <w:b/>
                <w:i/>
                <w:szCs w:val="22"/>
              </w:rPr>
            </w:pPr>
            <w:r w:rsidRPr="00FA0D37">
              <w:t>based on its SSB measurement from the cell.</w:t>
            </w:r>
          </w:p>
        </w:tc>
      </w:tr>
      <w:tr w:rsidR="00394471" w:rsidRPr="00FA0D37"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FA0D37" w:rsidRDefault="00394471" w:rsidP="00964CC4">
            <w:pPr>
              <w:pStyle w:val="TAL"/>
              <w:rPr>
                <w:b/>
                <w:i/>
                <w:szCs w:val="22"/>
              </w:rPr>
            </w:pPr>
            <w:r w:rsidRPr="00FA0D37">
              <w:rPr>
                <w:b/>
                <w:i/>
                <w:szCs w:val="22"/>
              </w:rPr>
              <w:t>ssb-Configuration</w:t>
            </w:r>
          </w:p>
          <w:p w14:paraId="6E3A6D50" w14:textId="77777777" w:rsidR="00394471" w:rsidRPr="00FA0D37" w:rsidRDefault="00394471" w:rsidP="00964CC4">
            <w:pPr>
              <w:pStyle w:val="TAL"/>
              <w:rPr>
                <w:b/>
                <w:sz w:val="16"/>
                <w:szCs w:val="22"/>
              </w:rPr>
            </w:pPr>
            <w:r w:rsidRPr="00FA0D37">
              <w:rPr>
                <w:szCs w:val="18"/>
              </w:rPr>
              <w:t xml:space="preserve">This field specifies the full configuration of the SSB. If this field is absent, the UE obtains the configuration for the SSB from </w:t>
            </w:r>
            <w:r w:rsidRPr="00FA0D37">
              <w:rPr>
                <w:i/>
                <w:szCs w:val="18"/>
              </w:rPr>
              <w:t>nr-SSB-Config</w:t>
            </w:r>
            <w:r w:rsidRPr="00FA0D37">
              <w:rPr>
                <w:iCs/>
                <w:szCs w:val="18"/>
              </w:rPr>
              <w:t xml:space="preserve"> received as part of DL-PRS assistance data in LPP</w:t>
            </w:r>
            <w:r w:rsidRPr="00FA0D37">
              <w:rPr>
                <w:i/>
                <w:szCs w:val="18"/>
              </w:rPr>
              <w:t>,</w:t>
            </w:r>
            <w:r w:rsidRPr="00FA0D37">
              <w:rPr>
                <w:szCs w:val="18"/>
              </w:rPr>
              <w:t xml:space="preserve"> see TS 37.355 [49], by looking up the corresponding SSB configuration using the field </w:t>
            </w:r>
            <w:r w:rsidRPr="00FA0D37">
              <w:rPr>
                <w:i/>
                <w:szCs w:val="18"/>
              </w:rPr>
              <w:t>physicalCellId</w:t>
            </w:r>
            <w:r w:rsidRPr="00FA0D37">
              <w:rPr>
                <w:szCs w:val="18"/>
              </w:rPr>
              <w:t>.</w:t>
            </w:r>
          </w:p>
        </w:tc>
      </w:tr>
    </w:tbl>
    <w:p w14:paraId="2A174031" w14:textId="77777777" w:rsidR="00394471" w:rsidRPr="00FA0D37"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FA0D37" w:rsidRDefault="00394471" w:rsidP="00964CC4">
            <w:pPr>
              <w:pStyle w:val="TAH"/>
              <w:rPr>
                <w:szCs w:val="22"/>
              </w:rPr>
            </w:pPr>
            <w:r w:rsidRPr="00FA0D37">
              <w:rPr>
                <w:i/>
                <w:szCs w:val="22"/>
              </w:rPr>
              <w:lastRenderedPageBreak/>
              <w:t xml:space="preserve">DL-PRS-Info </w:t>
            </w:r>
            <w:r w:rsidRPr="00FA0D37">
              <w:rPr>
                <w:szCs w:val="22"/>
              </w:rPr>
              <w:t>field descriptions</w:t>
            </w:r>
          </w:p>
        </w:tc>
      </w:tr>
      <w:tr w:rsidR="005C7FF4" w:rsidRPr="00FA0D37"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FA0D37" w:rsidRDefault="00394471" w:rsidP="00964CC4">
            <w:pPr>
              <w:pStyle w:val="TAL"/>
              <w:rPr>
                <w:szCs w:val="22"/>
              </w:rPr>
            </w:pPr>
            <w:r w:rsidRPr="00FA0D37">
              <w:rPr>
                <w:b/>
                <w:i/>
                <w:szCs w:val="22"/>
              </w:rPr>
              <w:t>dl-PRS-ID</w:t>
            </w:r>
          </w:p>
          <w:p w14:paraId="2A665F24" w14:textId="77777777" w:rsidR="00394471" w:rsidRPr="00FA0D37" w:rsidRDefault="00394471" w:rsidP="00964CC4">
            <w:pPr>
              <w:pStyle w:val="TAL"/>
              <w:rPr>
                <w:szCs w:val="22"/>
              </w:rPr>
            </w:pPr>
            <w:r w:rsidRPr="00FA0D37">
              <w:rPr>
                <w:szCs w:val="18"/>
              </w:rPr>
              <w:t xml:space="preserve">This field specifies the UE specific TRP ID (see TS 37.355 [49]) for which PRS configuration is provided. </w:t>
            </w:r>
          </w:p>
        </w:tc>
      </w:tr>
      <w:tr w:rsidR="005C7FF4" w:rsidRPr="00FA0D37"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FA0D37" w:rsidRDefault="00394471" w:rsidP="00964CC4">
            <w:pPr>
              <w:pStyle w:val="TAL"/>
              <w:rPr>
                <w:b/>
                <w:i/>
                <w:szCs w:val="22"/>
              </w:rPr>
            </w:pPr>
            <w:r w:rsidRPr="00FA0D37">
              <w:rPr>
                <w:b/>
                <w:i/>
                <w:szCs w:val="22"/>
              </w:rPr>
              <w:t>dl</w:t>
            </w:r>
            <w:r w:rsidRPr="00FA0D37">
              <w:rPr>
                <w:rFonts w:ascii="宋体" w:eastAsia="宋体" w:hAnsi="宋体"/>
                <w:b/>
                <w:i/>
                <w:szCs w:val="22"/>
                <w:lang w:eastAsia="zh-CN"/>
              </w:rPr>
              <w:t>-</w:t>
            </w:r>
            <w:r w:rsidRPr="00FA0D37">
              <w:rPr>
                <w:b/>
                <w:i/>
                <w:szCs w:val="22"/>
              </w:rPr>
              <w:t>PRS-ResourceSetId</w:t>
            </w:r>
          </w:p>
          <w:p w14:paraId="45201DB5" w14:textId="77777777" w:rsidR="00394471" w:rsidRPr="00FA0D37" w:rsidRDefault="00394471" w:rsidP="00964CC4">
            <w:pPr>
              <w:pStyle w:val="TAL"/>
              <w:rPr>
                <w:b/>
                <w:i/>
                <w:szCs w:val="22"/>
              </w:rPr>
            </w:pPr>
            <w:r w:rsidRPr="00FA0D37">
              <w:rPr>
                <w:szCs w:val="18"/>
              </w:rPr>
              <w:t>This field specifies the PRS-ResourceSet ID of a PRS resourceSet.</w:t>
            </w:r>
          </w:p>
        </w:tc>
      </w:tr>
      <w:tr w:rsidR="00394471" w:rsidRPr="00FA0D37"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FA0D37" w:rsidRDefault="00394471" w:rsidP="00964CC4">
            <w:pPr>
              <w:pStyle w:val="TAL"/>
              <w:rPr>
                <w:b/>
                <w:i/>
                <w:szCs w:val="22"/>
              </w:rPr>
            </w:pPr>
            <w:r w:rsidRPr="00FA0D37">
              <w:rPr>
                <w:b/>
                <w:i/>
                <w:szCs w:val="22"/>
              </w:rPr>
              <w:t>dl-PRS-ResourceId</w:t>
            </w:r>
          </w:p>
          <w:p w14:paraId="6209D2D1" w14:textId="6618F301" w:rsidR="00394471" w:rsidRPr="00FA0D37" w:rsidRDefault="00394471" w:rsidP="00964CC4">
            <w:pPr>
              <w:pStyle w:val="TAL"/>
              <w:rPr>
                <w:b/>
                <w:i/>
                <w:szCs w:val="22"/>
              </w:rPr>
            </w:pPr>
            <w:r w:rsidRPr="00FA0D37">
              <w:rPr>
                <w:szCs w:val="18"/>
              </w:rPr>
              <w:t xml:space="preserve">This field specifies the PRS-Resource ID of a PRS resource. </w:t>
            </w:r>
            <w:r w:rsidRPr="00FA0D37">
              <w:t xml:space="preserve">If this field is absent, the UE determines the </w:t>
            </w:r>
            <w:r w:rsidRPr="00FA0D37">
              <w:rPr>
                <w:i/>
                <w:iCs/>
              </w:rPr>
              <w:t>dl-PRS-ResourceID</w:t>
            </w:r>
            <w:r w:rsidRPr="00FA0D37">
              <w:t xml:space="preserve"> based on its PRS measurement from the TRP </w:t>
            </w:r>
            <w:r w:rsidR="00F95F79" w:rsidRPr="00FA0D37">
              <w:rPr>
                <w:szCs w:val="18"/>
              </w:rPr>
              <w:t xml:space="preserve">(see TS 37.355 [49]) </w:t>
            </w:r>
            <w:r w:rsidRPr="00FA0D37">
              <w:t>and DL-PRS Resource Set.</w:t>
            </w:r>
          </w:p>
        </w:tc>
      </w:tr>
    </w:tbl>
    <w:p w14:paraId="74DE1DC1" w14:textId="77777777" w:rsidR="00394471" w:rsidRPr="00FA0D37"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5C7FF4" w:rsidRPr="00FA0D37"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FA0D37" w:rsidRDefault="00394471" w:rsidP="00964CC4">
            <w:pPr>
              <w:pStyle w:val="TAH"/>
              <w:rPr>
                <w:szCs w:val="22"/>
              </w:rPr>
            </w:pPr>
            <w:r w:rsidRPr="00FA0D37">
              <w:rPr>
                <w:i/>
                <w:szCs w:val="22"/>
              </w:rPr>
              <w:t xml:space="preserve">SSB-Configuration </w:t>
            </w:r>
            <w:r w:rsidRPr="00FA0D37">
              <w:rPr>
                <w:szCs w:val="22"/>
              </w:rPr>
              <w:t>field descriptions</w:t>
            </w:r>
          </w:p>
        </w:tc>
      </w:tr>
      <w:tr w:rsidR="005C7FF4" w:rsidRPr="00FA0D37"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FA0D37" w:rsidRDefault="00394471" w:rsidP="00964CC4">
            <w:pPr>
              <w:pStyle w:val="TAL"/>
              <w:rPr>
                <w:rFonts w:eastAsia="宋体"/>
                <w:szCs w:val="22"/>
                <w:lang w:eastAsia="zh-CN"/>
              </w:rPr>
            </w:pPr>
            <w:r w:rsidRPr="00FA0D37">
              <w:rPr>
                <w:rFonts w:eastAsia="宋体"/>
                <w:b/>
                <w:i/>
                <w:szCs w:val="22"/>
                <w:lang w:eastAsia="zh-CN"/>
              </w:rPr>
              <w:t>halfFrameIndex</w:t>
            </w:r>
          </w:p>
          <w:p w14:paraId="192D3EC2" w14:textId="77777777" w:rsidR="00394471" w:rsidRPr="00FA0D37" w:rsidRDefault="00394471" w:rsidP="00964CC4">
            <w:pPr>
              <w:pStyle w:val="TAH"/>
              <w:jc w:val="left"/>
              <w:rPr>
                <w:rFonts w:eastAsiaTheme="minorEastAsia"/>
                <w:szCs w:val="22"/>
                <w:lang w:eastAsia="en-US"/>
              </w:rPr>
            </w:pPr>
            <w:r w:rsidRPr="00FA0D37">
              <w:rPr>
                <w:b w:val="0"/>
                <w:szCs w:val="18"/>
              </w:rPr>
              <w:t xml:space="preserve">Indicates </w:t>
            </w:r>
            <w:r w:rsidRPr="00FA0D37">
              <w:rPr>
                <w:b w:val="0"/>
                <w:szCs w:val="18"/>
                <w:lang w:eastAsia="zh-CN"/>
              </w:rPr>
              <w:t>whether SSB is in the first half or the second half of the frame.</w:t>
            </w:r>
            <w:r w:rsidRPr="00FA0D37">
              <w:rPr>
                <w:szCs w:val="18"/>
                <w:lang w:eastAsia="zh-CN"/>
              </w:rPr>
              <w:t xml:space="preserve"> </w:t>
            </w:r>
            <w:r w:rsidRPr="00FA0D37">
              <w:rPr>
                <w:b w:val="0"/>
                <w:szCs w:val="18"/>
                <w:lang w:eastAsia="zh-CN"/>
              </w:rPr>
              <w:t>Value zero indicates the first half and value 1 indicates the second half.</w:t>
            </w:r>
          </w:p>
        </w:tc>
      </w:tr>
      <w:tr w:rsidR="005C7FF4" w:rsidRPr="00FA0D37"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FA0D37" w:rsidRDefault="00394471" w:rsidP="00964CC4">
            <w:pPr>
              <w:pStyle w:val="TAL"/>
              <w:keepNext w:val="0"/>
              <w:keepLines w:val="0"/>
              <w:widowControl w:val="0"/>
              <w:rPr>
                <w:b/>
                <w:i/>
                <w:snapToGrid w:val="0"/>
              </w:rPr>
            </w:pPr>
            <w:r w:rsidRPr="00FA0D37">
              <w:rPr>
                <w:b/>
                <w:i/>
                <w:snapToGrid w:val="0"/>
              </w:rPr>
              <w:t>integerSubframeOffset</w:t>
            </w:r>
          </w:p>
          <w:p w14:paraId="3EE35F1B" w14:textId="77777777" w:rsidR="00394471" w:rsidRPr="00FA0D37" w:rsidRDefault="00394471" w:rsidP="00964CC4">
            <w:pPr>
              <w:pStyle w:val="TAL"/>
              <w:rPr>
                <w:rFonts w:eastAsia="宋体"/>
                <w:b/>
                <w:i/>
                <w:szCs w:val="22"/>
                <w:lang w:eastAsia="zh-CN"/>
              </w:rPr>
            </w:pPr>
            <w:r w:rsidRPr="00FA0D37">
              <w:t>Indicates the subframe boundary offset of the cell in which SSB is transmited</w:t>
            </w:r>
            <w:r w:rsidRPr="00FA0D37">
              <w:rPr>
                <w:bCs/>
                <w:iCs/>
                <w:noProof/>
              </w:rPr>
              <w:t>.</w:t>
            </w:r>
          </w:p>
        </w:tc>
      </w:tr>
      <w:tr w:rsidR="005C7FF4" w:rsidRPr="00FA0D37"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FA0D37" w:rsidRDefault="00394471" w:rsidP="00964CC4">
            <w:pPr>
              <w:pStyle w:val="TAL"/>
              <w:keepNext w:val="0"/>
              <w:keepLines w:val="0"/>
              <w:widowControl w:val="0"/>
              <w:rPr>
                <w:b/>
                <w:bCs/>
                <w:i/>
                <w:iCs/>
                <w:noProof/>
                <w:lang w:eastAsia="en-US"/>
              </w:rPr>
            </w:pPr>
            <w:r w:rsidRPr="00FA0D37">
              <w:rPr>
                <w:b/>
                <w:bCs/>
                <w:i/>
                <w:iCs/>
                <w:noProof/>
              </w:rPr>
              <w:t>sfn0-Offset</w:t>
            </w:r>
          </w:p>
          <w:p w14:paraId="52142A72" w14:textId="77777777" w:rsidR="00394471" w:rsidRPr="00FA0D37" w:rsidRDefault="00394471" w:rsidP="00964CC4">
            <w:pPr>
              <w:pStyle w:val="TAL"/>
              <w:keepNext w:val="0"/>
              <w:keepLines w:val="0"/>
              <w:widowControl w:val="0"/>
              <w:rPr>
                <w:rFonts w:eastAsiaTheme="minorEastAsia"/>
                <w:b/>
                <w:i/>
                <w:snapToGrid w:val="0"/>
              </w:rPr>
            </w:pPr>
            <w:r w:rsidRPr="00FA0D37">
              <w:rPr>
                <w:bCs/>
                <w:iCs/>
                <w:noProof/>
              </w:rPr>
              <w:t>Indiactes the time offset of the SFN0 slot 0 for the cell with respect to SFN0 slot 0 of serving cell.</w:t>
            </w:r>
          </w:p>
        </w:tc>
      </w:tr>
      <w:tr w:rsidR="005C7FF4" w:rsidRPr="00FA0D37"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FA0D37" w:rsidRDefault="00394471" w:rsidP="00964CC4">
            <w:pPr>
              <w:pStyle w:val="TAL"/>
              <w:rPr>
                <w:rFonts w:eastAsia="宋体"/>
                <w:b/>
                <w:szCs w:val="22"/>
                <w:lang w:eastAsia="zh-CN"/>
              </w:rPr>
            </w:pPr>
            <w:r w:rsidRPr="00FA0D37">
              <w:rPr>
                <w:rFonts w:eastAsia="宋体"/>
                <w:b/>
                <w:i/>
                <w:szCs w:val="22"/>
                <w:lang w:eastAsia="zh-CN"/>
              </w:rPr>
              <w:t>sfn-Offset</w:t>
            </w:r>
          </w:p>
          <w:p w14:paraId="48AA9307" w14:textId="74C85B20" w:rsidR="00394471" w:rsidRPr="00FA0D37" w:rsidRDefault="00C077F0" w:rsidP="00964CC4">
            <w:pPr>
              <w:pStyle w:val="TAL"/>
              <w:rPr>
                <w:rFonts w:eastAsiaTheme="minorEastAsia"/>
                <w:b/>
                <w:i/>
                <w:szCs w:val="22"/>
                <w:lang w:eastAsia="en-US"/>
              </w:rPr>
            </w:pPr>
            <w:r w:rsidRPr="00FA0D37">
              <w:rPr>
                <w:rFonts w:cs="Arial"/>
                <w:szCs w:val="18"/>
              </w:rPr>
              <w:t>Specifies the SFN offset</w:t>
            </w:r>
            <w:r w:rsidRPr="00FA0D37">
              <w:rPr>
                <w:rFonts w:cs="Arial"/>
                <w:szCs w:val="18"/>
                <w:lang w:eastAsia="zh-CN"/>
              </w:rPr>
              <w:t xml:space="preserve"> </w:t>
            </w:r>
            <w:r w:rsidRPr="00FA0D37">
              <w:rPr>
                <w:rFonts w:cs="Arial"/>
                <w:szCs w:val="18"/>
              </w:rPr>
              <w:t xml:space="preserve">between the </w:t>
            </w:r>
            <w:r w:rsidRPr="00FA0D37">
              <w:rPr>
                <w:rFonts w:cs="Arial"/>
                <w:szCs w:val="18"/>
                <w:lang w:eastAsia="zh-CN"/>
              </w:rPr>
              <w:t>cell</w:t>
            </w:r>
            <w:r w:rsidRPr="00FA0D37">
              <w:rPr>
                <w:rFonts w:cs="Arial"/>
                <w:szCs w:val="18"/>
              </w:rPr>
              <w:t xml:space="preserve"> in which SSB is transmited and serving cell.</w:t>
            </w:r>
            <w:r w:rsidRPr="00FA0D37">
              <w:rPr>
                <w:rFonts w:cs="Arial"/>
                <w:szCs w:val="18"/>
                <w:lang w:eastAsia="zh-CN"/>
              </w:rPr>
              <w:t xml:space="preserve"> </w:t>
            </w:r>
            <w:bookmarkStart w:id="1429" w:name="OLE_LINK36"/>
            <w:bookmarkStart w:id="1430" w:name="OLE_LINK37"/>
            <w:r w:rsidRPr="00FA0D37">
              <w:rPr>
                <w:rFonts w:cs="Arial"/>
                <w:szCs w:val="18"/>
              </w:rPr>
              <w:t>The offset corresponds to the number of full radio frames counted from the beginning of a radio frame #0 of</w:t>
            </w:r>
            <w:r w:rsidRPr="00FA0D37">
              <w:rPr>
                <w:rFonts w:cs="Arial"/>
                <w:szCs w:val="18"/>
                <w:lang w:eastAsia="zh-CN"/>
              </w:rPr>
              <w:t xml:space="preserve"> serving cell</w:t>
            </w:r>
            <w:r w:rsidRPr="00FA0D37">
              <w:rPr>
                <w:rFonts w:cs="Arial"/>
                <w:szCs w:val="18"/>
              </w:rPr>
              <w:t xml:space="preserve"> to the beginning of the closest subsequent radio frame #0 of the </w:t>
            </w:r>
            <w:r w:rsidRPr="00FA0D37">
              <w:rPr>
                <w:rFonts w:cs="Arial"/>
                <w:szCs w:val="18"/>
                <w:lang w:eastAsia="zh-CN"/>
              </w:rPr>
              <w:t xml:space="preserve">cell </w:t>
            </w:r>
            <w:r w:rsidRPr="00FA0D37">
              <w:rPr>
                <w:rFonts w:cs="Arial"/>
                <w:szCs w:val="18"/>
              </w:rPr>
              <w:t>in which SSB is transmi</w:t>
            </w:r>
            <w:r w:rsidRPr="00FA0D37">
              <w:rPr>
                <w:rFonts w:cs="Arial"/>
                <w:szCs w:val="18"/>
                <w:lang w:eastAsia="zh-CN"/>
              </w:rPr>
              <w:t>t</w:t>
            </w:r>
            <w:r w:rsidRPr="00FA0D37">
              <w:rPr>
                <w:rFonts w:cs="Arial"/>
                <w:szCs w:val="18"/>
              </w:rPr>
              <w:t>ted.</w:t>
            </w:r>
            <w:bookmarkEnd w:id="1429"/>
            <w:bookmarkEnd w:id="1430"/>
          </w:p>
        </w:tc>
      </w:tr>
      <w:tr w:rsidR="005C7FF4" w:rsidRPr="00FA0D37"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FA0D37" w:rsidRDefault="00C077F0" w:rsidP="00C077F0">
            <w:pPr>
              <w:pStyle w:val="TAL"/>
              <w:rPr>
                <w:rFonts w:eastAsia="宋体"/>
                <w:b/>
                <w:i/>
                <w:szCs w:val="22"/>
                <w:lang w:eastAsia="zh-CN"/>
              </w:rPr>
            </w:pPr>
            <w:r w:rsidRPr="00FA0D37">
              <w:rPr>
                <w:b/>
                <w:i/>
                <w:szCs w:val="22"/>
                <w:lang w:eastAsia="zh-CN"/>
              </w:rPr>
              <w:t>sfn-SSB-Offset</w:t>
            </w:r>
          </w:p>
          <w:p w14:paraId="1121FD78" w14:textId="2865B4EB" w:rsidR="00C077F0" w:rsidRPr="00FA0D37" w:rsidRDefault="00C077F0" w:rsidP="00C077F0">
            <w:pPr>
              <w:pStyle w:val="TAL"/>
              <w:rPr>
                <w:rFonts w:eastAsia="宋体"/>
                <w:b/>
                <w:i/>
                <w:szCs w:val="22"/>
                <w:lang w:eastAsia="zh-CN"/>
              </w:rPr>
            </w:pPr>
            <w:r w:rsidRPr="00FA0D37">
              <w:rPr>
                <w:rFonts w:cs="Arial"/>
                <w:lang w:eastAsia="zh-CN"/>
              </w:rPr>
              <w:t xml:space="preserve">Indicates </w:t>
            </w:r>
            <w:r w:rsidRPr="00FA0D37">
              <w:rPr>
                <w:rFonts w:cs="Arial"/>
              </w:rPr>
              <w:t xml:space="preserve">the SFN offset of </w:t>
            </w:r>
            <w:r w:rsidRPr="00FA0D37">
              <w:rPr>
                <w:rFonts w:cs="Arial"/>
                <w:lang w:eastAsia="zh-CN"/>
              </w:rPr>
              <w:t>the transmitted</w:t>
            </w:r>
            <w:r w:rsidRPr="00FA0D37">
              <w:rPr>
                <w:rFonts w:cs="Arial"/>
              </w:rPr>
              <w:t xml:space="preserve"> SSB relative to the start of the SSB period</w:t>
            </w:r>
            <w:r w:rsidRPr="00FA0D37">
              <w:rPr>
                <w:rFonts w:cs="Arial"/>
                <w:lang w:eastAsia="zh-CN"/>
              </w:rPr>
              <w:t xml:space="preserve">. Value </w:t>
            </w:r>
            <w:r w:rsidRPr="00FA0D37">
              <w:rPr>
                <w:rFonts w:eastAsia="宋体"/>
                <w:szCs w:val="22"/>
                <w:lang w:eastAsia="zh-CN"/>
              </w:rPr>
              <w:t xml:space="preserve">0 indicates that the SSB is transmitted in the first system frame, value 1 indicates that SSB is transmitted in the second system frame and so on. </w:t>
            </w:r>
            <w:r w:rsidR="00B1249E" w:rsidRPr="00FA0D37">
              <w:rPr>
                <w:rFonts w:eastAsia="宋体"/>
                <w:szCs w:val="22"/>
                <w:lang w:eastAsia="zh-CN"/>
              </w:rPr>
              <w:t>The network configures t</w:t>
            </w:r>
            <w:r w:rsidRPr="00FA0D37">
              <w:rPr>
                <w:rFonts w:eastAsia="宋体"/>
                <w:szCs w:val="22"/>
                <w:lang w:eastAsia="zh-CN"/>
              </w:rPr>
              <w:t xml:space="preserve">his field according to the field </w:t>
            </w:r>
            <w:r w:rsidRPr="00FA0D37">
              <w:rPr>
                <w:rFonts w:eastAsia="宋体"/>
                <w:i/>
                <w:szCs w:val="22"/>
                <w:lang w:eastAsia="zh-CN"/>
              </w:rPr>
              <w:t>ssb-Periodicity</w:t>
            </w:r>
            <w:r w:rsidRPr="00FA0D37">
              <w:rPr>
                <w:rFonts w:eastAsia="宋体"/>
                <w:szCs w:val="22"/>
                <w:lang w:eastAsia="zh-CN"/>
              </w:rPr>
              <w:t xml:space="preserve"> such that the indicated system frame </w:t>
            </w:r>
            <w:r w:rsidR="00B1249E" w:rsidRPr="00FA0D37">
              <w:rPr>
                <w:rFonts w:eastAsia="宋体"/>
                <w:szCs w:val="22"/>
                <w:lang w:eastAsia="zh-CN"/>
              </w:rPr>
              <w:t>does</w:t>
            </w:r>
            <w:r w:rsidRPr="00FA0D37">
              <w:rPr>
                <w:rFonts w:eastAsia="宋体"/>
                <w:szCs w:val="22"/>
                <w:lang w:eastAsia="zh-CN"/>
              </w:rPr>
              <w:t xml:space="preserve"> not exceed the configured SSB periodicity.</w:t>
            </w:r>
          </w:p>
        </w:tc>
      </w:tr>
      <w:tr w:rsidR="005C7FF4" w:rsidRPr="00FA0D37"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FA0D37" w:rsidRDefault="00394471" w:rsidP="00964CC4">
            <w:pPr>
              <w:pStyle w:val="TAL"/>
              <w:rPr>
                <w:szCs w:val="22"/>
              </w:rPr>
            </w:pPr>
            <w:r w:rsidRPr="00FA0D37">
              <w:rPr>
                <w:b/>
                <w:i/>
                <w:szCs w:val="22"/>
              </w:rPr>
              <w:t>ssb-Freq</w:t>
            </w:r>
          </w:p>
          <w:p w14:paraId="5B1CED68" w14:textId="77777777" w:rsidR="00394471" w:rsidRPr="00FA0D37" w:rsidRDefault="00394471" w:rsidP="00964CC4">
            <w:pPr>
              <w:pStyle w:val="TAL"/>
              <w:rPr>
                <w:rFonts w:eastAsia="宋体"/>
                <w:b/>
                <w:i/>
                <w:szCs w:val="22"/>
                <w:lang w:eastAsia="zh-CN"/>
              </w:rPr>
            </w:pPr>
            <w:r w:rsidRPr="00FA0D37">
              <w:rPr>
                <w:rFonts w:cs="Arial"/>
                <w:iCs/>
                <w:szCs w:val="18"/>
              </w:rPr>
              <w:t>Indicates the frequency of the SSB.</w:t>
            </w:r>
          </w:p>
        </w:tc>
      </w:tr>
      <w:tr w:rsidR="005C7FF4" w:rsidRPr="00FA0D37"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FA0D37" w:rsidRDefault="00394471" w:rsidP="00964CC4">
            <w:pPr>
              <w:pStyle w:val="TAL"/>
              <w:rPr>
                <w:rFonts w:eastAsia="宋体"/>
                <w:b/>
                <w:i/>
                <w:szCs w:val="22"/>
                <w:lang w:eastAsia="zh-CN"/>
              </w:rPr>
            </w:pPr>
            <w:r w:rsidRPr="00FA0D37">
              <w:rPr>
                <w:rFonts w:eastAsia="宋体"/>
                <w:b/>
                <w:i/>
                <w:szCs w:val="22"/>
                <w:lang w:eastAsia="zh-CN"/>
              </w:rPr>
              <w:t>ss-PBCH-BlockPower</w:t>
            </w:r>
          </w:p>
          <w:p w14:paraId="3992DE91" w14:textId="77777777" w:rsidR="00394471" w:rsidRPr="00FA0D37" w:rsidRDefault="00394471" w:rsidP="00964CC4">
            <w:pPr>
              <w:pStyle w:val="TAL"/>
              <w:rPr>
                <w:rFonts w:eastAsia="宋体"/>
                <w:b/>
                <w:i/>
                <w:szCs w:val="22"/>
                <w:lang w:eastAsia="zh-CN"/>
              </w:rPr>
            </w:pPr>
            <w:r w:rsidRPr="00FA0D37">
              <w:rPr>
                <w:szCs w:val="22"/>
              </w:rPr>
              <w:t>Average EPRE of the resources elements that carry secondary synchronization signals in dBm that the NW used for SSB transmission, see TS 38.213 [13], clause 7.</w:t>
            </w:r>
          </w:p>
        </w:tc>
      </w:tr>
      <w:tr w:rsidR="005C7FF4" w:rsidRPr="00FA0D37"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FA0D37" w:rsidRDefault="00394471" w:rsidP="00964CC4">
            <w:pPr>
              <w:pStyle w:val="TAL"/>
              <w:rPr>
                <w:rFonts w:eastAsia="宋体"/>
                <w:b/>
                <w:i/>
                <w:szCs w:val="22"/>
                <w:lang w:eastAsia="zh-CN"/>
              </w:rPr>
            </w:pPr>
            <w:r w:rsidRPr="00FA0D37">
              <w:rPr>
                <w:rFonts w:eastAsia="宋体"/>
                <w:b/>
                <w:i/>
                <w:szCs w:val="22"/>
                <w:lang w:eastAsia="zh-CN"/>
              </w:rPr>
              <w:t>ssb-Periodicity</w:t>
            </w:r>
          </w:p>
          <w:p w14:paraId="0F6C96AD" w14:textId="77777777" w:rsidR="00394471" w:rsidRPr="00FA0D37" w:rsidRDefault="00394471" w:rsidP="00964CC4">
            <w:pPr>
              <w:pStyle w:val="TAL"/>
              <w:rPr>
                <w:rFonts w:eastAsiaTheme="minorEastAsia"/>
                <w:b/>
                <w:i/>
                <w:szCs w:val="22"/>
                <w:lang w:eastAsia="en-US"/>
              </w:rPr>
            </w:pPr>
            <w:r w:rsidRPr="00FA0D37">
              <w:rPr>
                <w:rFonts w:eastAsia="宋体"/>
                <w:szCs w:val="22"/>
                <w:lang w:eastAsia="zh-CN"/>
              </w:rPr>
              <w:t xml:space="preserve">Indicates the periodicity of the SSB. </w:t>
            </w:r>
            <w:r w:rsidRPr="00FA0D37">
              <w:rPr>
                <w:szCs w:val="22"/>
              </w:rPr>
              <w:t>If the field is absent, the UE applies the value ms5. (see TS 38.213 [13], clause 4.1)</w:t>
            </w:r>
          </w:p>
        </w:tc>
      </w:tr>
      <w:tr w:rsidR="00394471" w:rsidRPr="00FA0D37"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FA0D37" w:rsidRDefault="00394471" w:rsidP="00964CC4">
            <w:pPr>
              <w:pStyle w:val="TAL"/>
              <w:rPr>
                <w:b/>
                <w:bCs/>
                <w:i/>
                <w:iCs/>
              </w:rPr>
            </w:pPr>
            <w:r w:rsidRPr="00FA0D37">
              <w:rPr>
                <w:b/>
                <w:bCs/>
                <w:i/>
                <w:iCs/>
              </w:rPr>
              <w:t>ssbSubcarrierSpacing</w:t>
            </w:r>
          </w:p>
          <w:p w14:paraId="76956842" w14:textId="375D183D" w:rsidR="00727F8C" w:rsidRPr="00FA0D37" w:rsidRDefault="00394471" w:rsidP="00727F8C">
            <w:pPr>
              <w:pStyle w:val="TAL"/>
              <w:rPr>
                <w:szCs w:val="22"/>
              </w:rPr>
            </w:pPr>
            <w:r w:rsidRPr="00FA0D37">
              <w:rPr>
                <w:szCs w:val="22"/>
              </w:rPr>
              <w:t>Subcarrier spacing of SSB.</w:t>
            </w:r>
          </w:p>
          <w:p w14:paraId="5CCD9493" w14:textId="77777777" w:rsidR="00727F8C" w:rsidRPr="00FA0D37" w:rsidRDefault="00727F8C" w:rsidP="00727F8C">
            <w:pPr>
              <w:pStyle w:val="TAL"/>
              <w:rPr>
                <w:szCs w:val="22"/>
              </w:rPr>
            </w:pPr>
            <w:r w:rsidRPr="00FA0D37">
              <w:rPr>
                <w:szCs w:val="22"/>
              </w:rPr>
              <w:t>Only the following values are applicable depending on the used frequency:</w:t>
            </w:r>
          </w:p>
          <w:p w14:paraId="55C9BB1F" w14:textId="77777777" w:rsidR="00727F8C" w:rsidRPr="00FA0D37" w:rsidRDefault="00727F8C" w:rsidP="00727F8C">
            <w:pPr>
              <w:pStyle w:val="TAL"/>
              <w:rPr>
                <w:szCs w:val="22"/>
              </w:rPr>
            </w:pPr>
            <w:r w:rsidRPr="00FA0D37">
              <w:rPr>
                <w:szCs w:val="22"/>
              </w:rPr>
              <w:t>FR1:    15 or 30 kHz</w:t>
            </w:r>
          </w:p>
          <w:p w14:paraId="371C676F" w14:textId="0192FD23" w:rsidR="00727F8C" w:rsidRPr="00FA0D37" w:rsidRDefault="00727F8C" w:rsidP="00727F8C">
            <w:pPr>
              <w:pStyle w:val="TAL"/>
              <w:rPr>
                <w:szCs w:val="22"/>
              </w:rPr>
            </w:pPr>
            <w:r w:rsidRPr="00FA0D37">
              <w:rPr>
                <w:szCs w:val="22"/>
              </w:rPr>
              <w:t>FR2-1:  120 or 240 kHz</w:t>
            </w:r>
          </w:p>
          <w:p w14:paraId="6D76DADC" w14:textId="57B8D8A0" w:rsidR="00394471" w:rsidRPr="00FA0D37" w:rsidRDefault="00727F8C" w:rsidP="00727F8C">
            <w:pPr>
              <w:pStyle w:val="TAL"/>
            </w:pPr>
            <w:r w:rsidRPr="00FA0D37">
              <w:rPr>
                <w:szCs w:val="22"/>
              </w:rPr>
              <w:t>FR2-2:  120, 480, or 960 kHz</w:t>
            </w:r>
          </w:p>
        </w:tc>
      </w:tr>
    </w:tbl>
    <w:p w14:paraId="1FE9F81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FA0D37" w:rsidRDefault="00394471" w:rsidP="00964CC4">
            <w:pPr>
              <w:pStyle w:val="TAH"/>
              <w:rPr>
                <w:lang w:eastAsia="sv-SE"/>
              </w:rPr>
            </w:pPr>
            <w:r w:rsidRPr="00FA0D37">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FA0D37" w:rsidRDefault="00394471" w:rsidP="00964CC4">
            <w:pPr>
              <w:pStyle w:val="TAH"/>
              <w:rPr>
                <w:lang w:eastAsia="sv-SE"/>
              </w:rPr>
            </w:pPr>
            <w:r w:rsidRPr="00FA0D37">
              <w:rPr>
                <w:lang w:eastAsia="sv-SE"/>
              </w:rPr>
              <w:t>Explanation</w:t>
            </w:r>
          </w:p>
        </w:tc>
      </w:tr>
      <w:tr w:rsidR="005C7FF4" w:rsidRPr="00FA0D37" w14:paraId="2961491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439892" w14:textId="77777777" w:rsidR="00394471" w:rsidRPr="00FA0D37" w:rsidRDefault="00394471" w:rsidP="00964CC4">
            <w:pPr>
              <w:pStyle w:val="TAL"/>
              <w:rPr>
                <w:i/>
                <w:lang w:eastAsia="sv-SE"/>
              </w:rPr>
            </w:pPr>
            <w:r w:rsidRPr="00FA0D3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B410B75" w14:textId="77777777" w:rsidR="00394471" w:rsidRPr="00FA0D37" w:rsidRDefault="00394471" w:rsidP="00964CC4">
            <w:pPr>
              <w:pStyle w:val="TAL"/>
              <w:rPr>
                <w:lang w:eastAsia="sv-SE"/>
              </w:rPr>
            </w:pPr>
            <w:r w:rsidRPr="00FA0D37">
              <w:rPr>
                <w:lang w:eastAsia="sv-SE"/>
              </w:rPr>
              <w:t xml:space="preserve">This field is mandatory present upon configuration of </w:t>
            </w:r>
            <w:r w:rsidRPr="00FA0D37">
              <w:rPr>
                <w:i/>
                <w:lang w:eastAsia="sv-SE"/>
              </w:rPr>
              <w:t>SRS-ResourceSet</w:t>
            </w:r>
            <w:r w:rsidRPr="00FA0D37">
              <w:rPr>
                <w:lang w:eastAsia="sv-SE"/>
              </w:rPr>
              <w:t xml:space="preserve"> or </w:t>
            </w:r>
            <w:r w:rsidRPr="00FA0D37">
              <w:rPr>
                <w:i/>
                <w:lang w:eastAsia="sv-SE"/>
              </w:rPr>
              <w:t>SRS-Resource</w:t>
            </w:r>
            <w:r w:rsidRPr="00FA0D37">
              <w:rPr>
                <w:lang w:eastAsia="sv-SE"/>
              </w:rPr>
              <w:t xml:space="preserve"> and optionally present, Need M, otherwise.</w:t>
            </w:r>
          </w:p>
        </w:tc>
      </w:tr>
      <w:tr w:rsidR="005C7FF4" w:rsidRPr="00FA0D37"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FA0D37" w:rsidRDefault="00394471" w:rsidP="00964CC4">
            <w:pPr>
              <w:pStyle w:val="TAL"/>
              <w:rPr>
                <w:i/>
                <w:lang w:eastAsia="sv-SE"/>
              </w:rPr>
            </w:pPr>
            <w:r w:rsidRPr="00FA0D37">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FA0D37" w:rsidRDefault="00394471" w:rsidP="00964CC4">
            <w:pPr>
              <w:pStyle w:val="TAL"/>
              <w:rPr>
                <w:lang w:eastAsia="sv-SE"/>
              </w:rPr>
            </w:pPr>
            <w:r w:rsidRPr="00FA0D37">
              <w:rPr>
                <w:lang w:eastAsia="sv-SE"/>
              </w:rPr>
              <w:t xml:space="preserve">This field is optionally present, Need M, in case of </w:t>
            </w:r>
            <w:r w:rsidRPr="00FA0D37">
              <w:rPr>
                <w:szCs w:val="22"/>
                <w:lang w:eastAsia="sv-SE"/>
              </w:rPr>
              <w:t>non-codebook based transmission, otherwise the field is absent.</w:t>
            </w:r>
          </w:p>
        </w:tc>
      </w:tr>
      <w:tr w:rsidR="005C7FF4" w:rsidRPr="00FA0D37"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FA0D37" w:rsidRDefault="00394471" w:rsidP="00964CC4">
            <w:pPr>
              <w:pStyle w:val="TAL"/>
              <w:rPr>
                <w:i/>
                <w:lang w:eastAsia="sv-SE"/>
              </w:rPr>
            </w:pPr>
            <w:r w:rsidRPr="00FA0D37">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FA0D37" w:rsidRDefault="00394471" w:rsidP="00964CC4">
            <w:pPr>
              <w:pStyle w:val="TAL"/>
              <w:rPr>
                <w:lang w:eastAsia="sv-SE"/>
              </w:rPr>
            </w:pPr>
            <w:r w:rsidRPr="00FA0D37">
              <w:rPr>
                <w:lang w:eastAsia="en-GB"/>
              </w:rPr>
              <w:t xml:space="preserve">The field is mandatory present if the IE </w:t>
            </w:r>
            <w:r w:rsidRPr="00FA0D37">
              <w:rPr>
                <w:i/>
                <w:lang w:eastAsia="en-GB"/>
              </w:rPr>
              <w:t xml:space="preserve">SSB-InfoNcell </w:t>
            </w:r>
            <w:r w:rsidRPr="00FA0D37">
              <w:rPr>
                <w:lang w:eastAsia="en-GB"/>
              </w:rPr>
              <w:t>is included in</w:t>
            </w:r>
            <w:r w:rsidRPr="00FA0D37">
              <w:rPr>
                <w:i/>
                <w:iCs/>
                <w:lang w:eastAsia="en-GB"/>
              </w:rPr>
              <w:t xml:space="preserve"> pathlossReferenceRS-Pos</w:t>
            </w:r>
            <w:r w:rsidRPr="00FA0D37">
              <w:rPr>
                <w:lang w:eastAsia="en-GB"/>
              </w:rPr>
              <w:t>; otherwise it is optionally present, Need R</w:t>
            </w:r>
          </w:p>
        </w:tc>
      </w:tr>
      <w:tr w:rsidR="005D46C6" w:rsidRPr="00FA0D37" w14:paraId="0903165A"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1FAE3161" w14:textId="77777777" w:rsidR="005D46C6" w:rsidRPr="00FA0D37" w:rsidRDefault="005D46C6" w:rsidP="0071565C">
            <w:pPr>
              <w:pStyle w:val="TAL"/>
              <w:rPr>
                <w:i/>
                <w:iCs/>
                <w:lang w:eastAsia="en-GB"/>
              </w:rPr>
            </w:pPr>
            <w:r w:rsidRPr="00FA0D37">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78A91121" w14:textId="77777777" w:rsidR="005D46C6" w:rsidRPr="00FA0D37" w:rsidRDefault="005D46C6" w:rsidP="0071565C">
            <w:pPr>
              <w:pStyle w:val="TAL"/>
              <w:rPr>
                <w:lang w:eastAsia="en-GB"/>
              </w:rPr>
            </w:pPr>
            <w:r w:rsidRPr="00FA0D37">
              <w:rPr>
                <w:lang w:eastAsia="en-GB"/>
              </w:rPr>
              <w:t>The field is mandatory present if srs-DLorJointTCI-State is configured, otherwise it is absent Need R.</w:t>
            </w:r>
          </w:p>
        </w:tc>
      </w:tr>
    </w:tbl>
    <w:p w14:paraId="1020768B" w14:textId="77777777" w:rsidR="00394471" w:rsidRPr="00FA0D37" w:rsidRDefault="00394471" w:rsidP="00394471"/>
    <w:p w14:paraId="48706645" w14:textId="77777777" w:rsidR="00394471" w:rsidRPr="00FA0D37" w:rsidRDefault="00394471" w:rsidP="00394471">
      <w:pPr>
        <w:pStyle w:val="4"/>
        <w:rPr>
          <w:rFonts w:eastAsia="MS Mincho"/>
        </w:rPr>
      </w:pPr>
      <w:bookmarkStart w:id="1431" w:name="_Toc60777399"/>
      <w:bookmarkStart w:id="1432" w:name="_Toc146781485"/>
      <w:r w:rsidRPr="00FA0D37">
        <w:rPr>
          <w:rFonts w:eastAsia="MS Mincho"/>
        </w:rPr>
        <w:t>–</w:t>
      </w:r>
      <w:r w:rsidRPr="00FA0D37">
        <w:rPr>
          <w:rFonts w:eastAsia="MS Mincho"/>
        </w:rPr>
        <w:tab/>
      </w:r>
      <w:r w:rsidRPr="00FA0D37">
        <w:rPr>
          <w:rFonts w:eastAsia="MS Mincho"/>
          <w:i/>
        </w:rPr>
        <w:t>SRS-RSRP-Range</w:t>
      </w:r>
      <w:bookmarkEnd w:id="1431"/>
      <w:bookmarkEnd w:id="1432"/>
    </w:p>
    <w:p w14:paraId="1B10529D" w14:textId="197D5A0A" w:rsidR="00394471" w:rsidRPr="00FA0D37" w:rsidRDefault="00394471" w:rsidP="00394471">
      <w:pPr>
        <w:rPr>
          <w:rFonts w:eastAsia="MS Mincho"/>
        </w:rPr>
      </w:pPr>
      <w:r w:rsidRPr="00FA0D37">
        <w:t xml:space="preserve">The IE </w:t>
      </w:r>
      <w:r w:rsidRPr="00FA0D37">
        <w:rPr>
          <w:i/>
        </w:rPr>
        <w:t>SRS-RSRP-Range</w:t>
      </w:r>
      <w:r w:rsidRPr="00FA0D37">
        <w:t xml:space="preserve"> specifies the value range used in SRS-RSRP measurements and thresholds. The integer value for SRS-RSRP measurements is according to Table </w:t>
      </w:r>
      <w:r w:rsidR="00297A1D" w:rsidRPr="00FA0D37">
        <w:t>10.1.22.1.2-1</w:t>
      </w:r>
      <w:r w:rsidRPr="00FA0D37">
        <w:t xml:space="preserve"> in TS 38.133 [14].</w:t>
      </w:r>
      <w:r w:rsidRPr="00FA0D37">
        <w:rPr>
          <w:lang w:eastAsia="ko-KR"/>
        </w:rPr>
        <w:t xml:space="preserve"> For thresholds, the actual value is (IE value –140) dBm, </w:t>
      </w:r>
      <w:r w:rsidRPr="00FA0D37">
        <w:t>except for the IE value 98, in which case the actual value is infinity.</w:t>
      </w:r>
    </w:p>
    <w:p w14:paraId="5C3E19F0" w14:textId="77777777" w:rsidR="00394471" w:rsidRPr="00FA0D37" w:rsidRDefault="00394471" w:rsidP="00394471">
      <w:pPr>
        <w:pStyle w:val="TH"/>
      </w:pPr>
      <w:r w:rsidRPr="00FA0D37">
        <w:rPr>
          <w:i/>
        </w:rPr>
        <w:t>SRS-RSRP-Range</w:t>
      </w:r>
      <w:r w:rsidRPr="00FA0D37">
        <w:t xml:space="preserve"> information element</w:t>
      </w:r>
    </w:p>
    <w:p w14:paraId="55760246" w14:textId="77777777" w:rsidR="00394471" w:rsidRPr="00FA0D37" w:rsidRDefault="00394471" w:rsidP="00FA0D37">
      <w:pPr>
        <w:pStyle w:val="PL"/>
        <w:rPr>
          <w:color w:val="808080"/>
        </w:rPr>
      </w:pPr>
      <w:r w:rsidRPr="00FA0D37">
        <w:rPr>
          <w:color w:val="808080"/>
        </w:rPr>
        <w:t>-- ASN1START</w:t>
      </w:r>
    </w:p>
    <w:p w14:paraId="2B421B76" w14:textId="77777777" w:rsidR="00394471" w:rsidRPr="00FA0D37" w:rsidRDefault="00394471" w:rsidP="00FA0D37">
      <w:pPr>
        <w:pStyle w:val="PL"/>
        <w:rPr>
          <w:color w:val="808080"/>
        </w:rPr>
      </w:pPr>
      <w:r w:rsidRPr="00FA0D37">
        <w:rPr>
          <w:color w:val="808080"/>
        </w:rPr>
        <w:t>-- TAG-SRS-RSRP-RANGE-START</w:t>
      </w:r>
    </w:p>
    <w:p w14:paraId="22244427" w14:textId="77777777" w:rsidR="00394471" w:rsidRPr="00FA0D37" w:rsidRDefault="00394471" w:rsidP="00FA0D37">
      <w:pPr>
        <w:pStyle w:val="PL"/>
      </w:pPr>
    </w:p>
    <w:p w14:paraId="64574E2E" w14:textId="77777777" w:rsidR="00394471" w:rsidRPr="00FA0D37" w:rsidRDefault="00394471" w:rsidP="00FA0D37">
      <w:pPr>
        <w:pStyle w:val="PL"/>
      </w:pPr>
      <w:r w:rsidRPr="00FA0D37">
        <w:t xml:space="preserve">SRS-RSRP-Range-r16 ::=                      </w:t>
      </w:r>
      <w:r w:rsidRPr="00FA0D37">
        <w:rPr>
          <w:color w:val="993366"/>
        </w:rPr>
        <w:t>INTEGER</w:t>
      </w:r>
      <w:r w:rsidRPr="00FA0D37">
        <w:t>(0..98)</w:t>
      </w:r>
    </w:p>
    <w:p w14:paraId="045F1587" w14:textId="77777777" w:rsidR="00394471" w:rsidRPr="00FA0D37" w:rsidRDefault="00394471" w:rsidP="00FA0D37">
      <w:pPr>
        <w:pStyle w:val="PL"/>
      </w:pPr>
    </w:p>
    <w:p w14:paraId="4EC99536" w14:textId="77777777" w:rsidR="00394471" w:rsidRPr="00FA0D37" w:rsidRDefault="00394471" w:rsidP="00FA0D37">
      <w:pPr>
        <w:pStyle w:val="PL"/>
        <w:rPr>
          <w:color w:val="808080"/>
        </w:rPr>
      </w:pPr>
      <w:r w:rsidRPr="00FA0D37">
        <w:rPr>
          <w:color w:val="808080"/>
        </w:rPr>
        <w:t>-- TAG-SRS-RSRP-RANGE-STOP</w:t>
      </w:r>
    </w:p>
    <w:p w14:paraId="266E2929" w14:textId="77777777" w:rsidR="00394471" w:rsidRPr="00FA0D37" w:rsidRDefault="00394471" w:rsidP="00FA0D37">
      <w:pPr>
        <w:pStyle w:val="PL"/>
        <w:rPr>
          <w:color w:val="808080"/>
        </w:rPr>
      </w:pPr>
      <w:r w:rsidRPr="00FA0D37">
        <w:rPr>
          <w:color w:val="808080"/>
        </w:rPr>
        <w:t>-- ASN1STOP</w:t>
      </w:r>
    </w:p>
    <w:p w14:paraId="6B2DDCFD" w14:textId="77777777" w:rsidR="00394471" w:rsidRPr="00FA0D37" w:rsidRDefault="00394471" w:rsidP="00394471"/>
    <w:p w14:paraId="5983C09B" w14:textId="77777777" w:rsidR="00394471" w:rsidRPr="00FA0D37" w:rsidRDefault="00394471" w:rsidP="00394471">
      <w:pPr>
        <w:pStyle w:val="4"/>
      </w:pPr>
      <w:bookmarkStart w:id="1433" w:name="_Toc60777400"/>
      <w:bookmarkStart w:id="1434" w:name="_Toc146781486"/>
      <w:r w:rsidRPr="00FA0D37">
        <w:t>–</w:t>
      </w:r>
      <w:r w:rsidRPr="00FA0D37">
        <w:tab/>
      </w:r>
      <w:r w:rsidRPr="00FA0D37">
        <w:rPr>
          <w:i/>
        </w:rPr>
        <w:t>SRS-TPC-CommandConfig</w:t>
      </w:r>
      <w:bookmarkEnd w:id="1433"/>
      <w:bookmarkEnd w:id="1434"/>
    </w:p>
    <w:p w14:paraId="2E80ED53" w14:textId="77777777" w:rsidR="00394471" w:rsidRPr="00FA0D37" w:rsidRDefault="00394471" w:rsidP="00394471">
      <w:r w:rsidRPr="00FA0D37">
        <w:t xml:space="preserve">The IE </w:t>
      </w:r>
      <w:r w:rsidRPr="00FA0D37">
        <w:rPr>
          <w:i/>
        </w:rPr>
        <w:t>SRS-TPC-CommandConfig</w:t>
      </w:r>
      <w:r w:rsidRPr="00FA0D37">
        <w:t xml:space="preserve"> is used to configure the UE for extracting TPC commands for SRS from a group-TPC messages on DCI</w:t>
      </w:r>
    </w:p>
    <w:p w14:paraId="231D5C06" w14:textId="77777777" w:rsidR="00394471" w:rsidRPr="00FA0D37" w:rsidRDefault="00394471" w:rsidP="00394471">
      <w:pPr>
        <w:pStyle w:val="TH"/>
      </w:pPr>
      <w:r w:rsidRPr="00FA0D37">
        <w:rPr>
          <w:i/>
        </w:rPr>
        <w:t>SRS-TPC-CommandConfig</w:t>
      </w:r>
      <w:r w:rsidRPr="00FA0D37">
        <w:t xml:space="preserve"> information element</w:t>
      </w:r>
    </w:p>
    <w:p w14:paraId="386027F9" w14:textId="77777777" w:rsidR="00394471" w:rsidRPr="00FA0D37" w:rsidRDefault="00394471" w:rsidP="00FA0D37">
      <w:pPr>
        <w:pStyle w:val="PL"/>
        <w:rPr>
          <w:color w:val="808080"/>
        </w:rPr>
      </w:pPr>
      <w:r w:rsidRPr="00FA0D37">
        <w:rPr>
          <w:color w:val="808080"/>
        </w:rPr>
        <w:t>-- ASN1START</w:t>
      </w:r>
    </w:p>
    <w:p w14:paraId="5BEA5478" w14:textId="77777777" w:rsidR="00394471" w:rsidRPr="00FA0D37" w:rsidRDefault="00394471" w:rsidP="00FA0D37">
      <w:pPr>
        <w:pStyle w:val="PL"/>
        <w:rPr>
          <w:color w:val="808080"/>
        </w:rPr>
      </w:pPr>
      <w:r w:rsidRPr="00FA0D37">
        <w:rPr>
          <w:color w:val="808080"/>
        </w:rPr>
        <w:t>-- TAG-SRS-TPC-COMMANDCONFIG-START</w:t>
      </w:r>
    </w:p>
    <w:p w14:paraId="47B777B4" w14:textId="77777777" w:rsidR="00394471" w:rsidRPr="00FA0D37" w:rsidRDefault="00394471" w:rsidP="00FA0D37">
      <w:pPr>
        <w:pStyle w:val="PL"/>
      </w:pPr>
    </w:p>
    <w:p w14:paraId="647814BF" w14:textId="77777777" w:rsidR="00394471" w:rsidRPr="00FA0D37" w:rsidRDefault="00394471" w:rsidP="00FA0D37">
      <w:pPr>
        <w:pStyle w:val="PL"/>
      </w:pPr>
      <w:r w:rsidRPr="00FA0D37">
        <w:t xml:space="preserve">SRS-TPC-CommandConfig ::=               </w:t>
      </w:r>
      <w:r w:rsidRPr="00FA0D37">
        <w:rPr>
          <w:color w:val="993366"/>
        </w:rPr>
        <w:t>SEQUENCE</w:t>
      </w:r>
      <w:r w:rsidRPr="00FA0D37">
        <w:t xml:space="preserve"> {</w:t>
      </w:r>
    </w:p>
    <w:p w14:paraId="6DC0D3DA" w14:textId="77777777" w:rsidR="00394471" w:rsidRPr="00FA0D37" w:rsidRDefault="00394471" w:rsidP="00FA0D37">
      <w:pPr>
        <w:pStyle w:val="PL"/>
        <w:rPr>
          <w:color w:val="808080"/>
        </w:rPr>
      </w:pPr>
      <w:r w:rsidRPr="00FA0D37">
        <w:t xml:space="preserve">    startingBitOfFormat2-3                  </w:t>
      </w:r>
      <w:r w:rsidRPr="00FA0D37">
        <w:rPr>
          <w:color w:val="993366"/>
        </w:rPr>
        <w:t>INTEGER</w:t>
      </w:r>
      <w:r w:rsidRPr="00FA0D37">
        <w:t xml:space="preserve"> (1..31)                                                     </w:t>
      </w:r>
      <w:r w:rsidRPr="00FA0D37">
        <w:rPr>
          <w:color w:val="993366"/>
        </w:rPr>
        <w:t>OPTIONAL</w:t>
      </w:r>
      <w:r w:rsidRPr="00FA0D37">
        <w:t xml:space="preserve">,   </w:t>
      </w:r>
      <w:r w:rsidRPr="00FA0D37">
        <w:rPr>
          <w:color w:val="808080"/>
        </w:rPr>
        <w:t>-- Need R</w:t>
      </w:r>
    </w:p>
    <w:p w14:paraId="198C44B0" w14:textId="77777777" w:rsidR="00394471" w:rsidRPr="00FA0D37" w:rsidRDefault="00394471" w:rsidP="00FA0D37">
      <w:pPr>
        <w:pStyle w:val="PL"/>
        <w:rPr>
          <w:color w:val="808080"/>
        </w:rPr>
      </w:pPr>
      <w:r w:rsidRPr="00FA0D37">
        <w:t xml:space="preserve">    fieldTypeFormat2-3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R</w:t>
      </w:r>
    </w:p>
    <w:p w14:paraId="3533DC65" w14:textId="77777777" w:rsidR="00394471" w:rsidRPr="00FA0D37" w:rsidRDefault="00394471" w:rsidP="00FA0D37">
      <w:pPr>
        <w:pStyle w:val="PL"/>
      </w:pPr>
      <w:r w:rsidRPr="00FA0D37">
        <w:t xml:space="preserve">    ...,</w:t>
      </w:r>
    </w:p>
    <w:p w14:paraId="219ADAF8" w14:textId="77777777" w:rsidR="00394471" w:rsidRPr="00FA0D37" w:rsidRDefault="00394471" w:rsidP="00FA0D37">
      <w:pPr>
        <w:pStyle w:val="PL"/>
      </w:pPr>
      <w:r w:rsidRPr="00FA0D37">
        <w:t xml:space="preserve">    [[</w:t>
      </w:r>
    </w:p>
    <w:p w14:paraId="4CCF327C" w14:textId="77777777" w:rsidR="00394471" w:rsidRPr="00FA0D37" w:rsidRDefault="00394471" w:rsidP="00FA0D37">
      <w:pPr>
        <w:pStyle w:val="PL"/>
        <w:rPr>
          <w:color w:val="808080"/>
        </w:rPr>
      </w:pPr>
      <w:r w:rsidRPr="00FA0D37">
        <w:t xml:space="preserve">    startingBitOfFormat2-3SUL               </w:t>
      </w:r>
      <w:r w:rsidRPr="00FA0D37">
        <w:rPr>
          <w:color w:val="993366"/>
        </w:rPr>
        <w:t>INTEGER</w:t>
      </w:r>
      <w:r w:rsidRPr="00FA0D37">
        <w:t xml:space="preserve"> (1..31)                                                     </w:t>
      </w:r>
      <w:r w:rsidRPr="00FA0D37">
        <w:rPr>
          <w:color w:val="993366"/>
        </w:rPr>
        <w:t>OPTIONAL</w:t>
      </w:r>
      <w:r w:rsidRPr="00FA0D37">
        <w:t xml:space="preserve">    </w:t>
      </w:r>
      <w:r w:rsidRPr="00FA0D37">
        <w:rPr>
          <w:color w:val="808080"/>
        </w:rPr>
        <w:t>-- Need R</w:t>
      </w:r>
    </w:p>
    <w:p w14:paraId="43D0A972" w14:textId="77777777" w:rsidR="00394471" w:rsidRPr="00FA0D37" w:rsidRDefault="00394471" w:rsidP="00FA0D37">
      <w:pPr>
        <w:pStyle w:val="PL"/>
      </w:pPr>
      <w:r w:rsidRPr="00FA0D37">
        <w:t xml:space="preserve">    ]]</w:t>
      </w:r>
    </w:p>
    <w:p w14:paraId="3701518E" w14:textId="77777777" w:rsidR="00394471" w:rsidRPr="00FA0D37" w:rsidRDefault="00394471" w:rsidP="00FA0D37">
      <w:pPr>
        <w:pStyle w:val="PL"/>
      </w:pPr>
      <w:r w:rsidRPr="00FA0D37">
        <w:t>}</w:t>
      </w:r>
    </w:p>
    <w:p w14:paraId="48A297F1" w14:textId="77777777" w:rsidR="00394471" w:rsidRPr="00FA0D37" w:rsidRDefault="00394471" w:rsidP="00FA0D37">
      <w:pPr>
        <w:pStyle w:val="PL"/>
      </w:pPr>
    </w:p>
    <w:p w14:paraId="20ABCCD9" w14:textId="77777777" w:rsidR="00394471" w:rsidRPr="00FA0D37" w:rsidRDefault="00394471" w:rsidP="00FA0D37">
      <w:pPr>
        <w:pStyle w:val="PL"/>
        <w:rPr>
          <w:color w:val="808080"/>
        </w:rPr>
      </w:pPr>
      <w:r w:rsidRPr="00FA0D37">
        <w:rPr>
          <w:color w:val="808080"/>
        </w:rPr>
        <w:t>-- TAG-SRS-TPC-COMMANDCONFIG-STOP</w:t>
      </w:r>
    </w:p>
    <w:p w14:paraId="79DE6191" w14:textId="77777777" w:rsidR="00394471" w:rsidRPr="00FA0D37" w:rsidRDefault="00394471" w:rsidP="00FA0D37">
      <w:pPr>
        <w:pStyle w:val="PL"/>
        <w:rPr>
          <w:color w:val="808080"/>
        </w:rPr>
      </w:pPr>
      <w:r w:rsidRPr="00FA0D37">
        <w:rPr>
          <w:color w:val="808080"/>
        </w:rPr>
        <w:t>-- ASN1STOP</w:t>
      </w:r>
    </w:p>
    <w:p w14:paraId="6351F57B"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FA0D37" w:rsidRDefault="00394471" w:rsidP="00964CC4">
            <w:pPr>
              <w:pStyle w:val="TAH"/>
              <w:rPr>
                <w:szCs w:val="22"/>
                <w:lang w:eastAsia="sv-SE"/>
              </w:rPr>
            </w:pPr>
            <w:r w:rsidRPr="00FA0D37">
              <w:rPr>
                <w:i/>
                <w:szCs w:val="22"/>
                <w:lang w:eastAsia="sv-SE"/>
              </w:rPr>
              <w:lastRenderedPageBreak/>
              <w:t xml:space="preserve">SRS-TPC-CommandConfig </w:t>
            </w:r>
            <w:r w:rsidRPr="00FA0D37">
              <w:rPr>
                <w:szCs w:val="22"/>
                <w:lang w:eastAsia="sv-SE"/>
              </w:rPr>
              <w:t>field descriptions</w:t>
            </w:r>
          </w:p>
        </w:tc>
      </w:tr>
      <w:tr w:rsidR="005C7FF4" w:rsidRPr="00FA0D37"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FA0D37" w:rsidRDefault="00394471" w:rsidP="00964CC4">
            <w:pPr>
              <w:pStyle w:val="TAL"/>
              <w:rPr>
                <w:b/>
                <w:i/>
                <w:szCs w:val="22"/>
                <w:lang w:eastAsia="sv-SE"/>
              </w:rPr>
            </w:pPr>
            <w:r w:rsidRPr="00FA0D37">
              <w:rPr>
                <w:b/>
                <w:i/>
                <w:szCs w:val="22"/>
                <w:lang w:eastAsia="sv-SE"/>
              </w:rPr>
              <w:t>fieldTypeFormat2-3</w:t>
            </w:r>
          </w:p>
          <w:p w14:paraId="64CC98C8" w14:textId="77777777" w:rsidR="00394471" w:rsidRPr="00FA0D37" w:rsidRDefault="00394471" w:rsidP="00964CC4">
            <w:pPr>
              <w:pStyle w:val="TAL"/>
              <w:rPr>
                <w:szCs w:val="22"/>
                <w:lang w:eastAsia="sv-SE"/>
              </w:rPr>
            </w:pPr>
            <w:r w:rsidRPr="00FA0D37">
              <w:rPr>
                <w:szCs w:val="22"/>
                <w:lang w:eastAsia="sv-SE"/>
              </w:rPr>
              <w:t>The type of a field within the group DCI with SRS request fields (optional), which indicates how many bits in the field are for SRS request (0 or 2).</w:t>
            </w:r>
          </w:p>
          <w:p w14:paraId="180E26AC" w14:textId="77777777" w:rsidR="00394471" w:rsidRPr="00FA0D37" w:rsidRDefault="00394471" w:rsidP="00964CC4">
            <w:pPr>
              <w:pStyle w:val="TAL"/>
              <w:rPr>
                <w:szCs w:val="22"/>
                <w:lang w:eastAsia="sv-SE"/>
              </w:rPr>
            </w:pPr>
            <w:r w:rsidRPr="00FA0D37">
              <w:rPr>
                <w:szCs w:val="22"/>
                <w:lang w:eastAsia="sv-SE"/>
              </w:rPr>
              <w:t>Note that for Type A, there is a common SRS request field for all SCells in the set, but each SCell has its own TPC command bits. See TS 38.212 [17] clause 7.3.1 and , TS 38.213 [13], clause 11.3.</w:t>
            </w:r>
          </w:p>
        </w:tc>
      </w:tr>
      <w:tr w:rsidR="005C7FF4" w:rsidRPr="00FA0D37"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FA0D37" w:rsidRDefault="00394471" w:rsidP="00964CC4">
            <w:pPr>
              <w:pStyle w:val="TAL"/>
              <w:rPr>
                <w:b/>
                <w:i/>
                <w:szCs w:val="22"/>
                <w:lang w:eastAsia="sv-SE"/>
              </w:rPr>
            </w:pPr>
            <w:r w:rsidRPr="00FA0D37">
              <w:rPr>
                <w:b/>
                <w:i/>
                <w:szCs w:val="22"/>
                <w:lang w:eastAsia="sv-SE"/>
              </w:rPr>
              <w:t>startingBitOfFormat2-3</w:t>
            </w:r>
          </w:p>
          <w:p w14:paraId="39697465" w14:textId="77777777" w:rsidR="00394471" w:rsidRPr="00FA0D37" w:rsidRDefault="00394471" w:rsidP="00964CC4">
            <w:pPr>
              <w:pStyle w:val="TAL"/>
              <w:rPr>
                <w:b/>
                <w:i/>
                <w:szCs w:val="22"/>
                <w:lang w:eastAsia="sv-SE"/>
              </w:rPr>
            </w:pPr>
            <w:r w:rsidRPr="00FA0D37">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94471" w:rsidRPr="00FA0D37"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FA0D37" w:rsidRDefault="00394471" w:rsidP="00964CC4">
            <w:pPr>
              <w:pStyle w:val="TAL"/>
              <w:rPr>
                <w:b/>
                <w:i/>
                <w:szCs w:val="22"/>
                <w:lang w:eastAsia="sv-SE"/>
              </w:rPr>
            </w:pPr>
            <w:r w:rsidRPr="00FA0D37">
              <w:rPr>
                <w:b/>
                <w:i/>
                <w:szCs w:val="22"/>
                <w:lang w:eastAsia="sv-SE"/>
              </w:rPr>
              <w:t>startingBitOfFormat2-3SUL</w:t>
            </w:r>
          </w:p>
          <w:p w14:paraId="5F7AC8ED" w14:textId="77777777" w:rsidR="00394471" w:rsidRPr="00FA0D37" w:rsidRDefault="00394471" w:rsidP="00964CC4">
            <w:pPr>
              <w:pStyle w:val="TAL"/>
              <w:rPr>
                <w:szCs w:val="22"/>
                <w:lang w:eastAsia="sv-SE"/>
              </w:rPr>
            </w:pPr>
            <w:r w:rsidRPr="00FA0D37">
              <w:rPr>
                <w:szCs w:val="22"/>
                <w:lang w:eastAsia="sv-SE"/>
              </w:rPr>
              <w:t>The starting bit position of a block within the group DCI with SRS request fields (optional) and TPC commands for SUL carrier (see TS 38.212 [17], clause 7.3.1 and TS 38.213 [13], clause 11.3).</w:t>
            </w:r>
          </w:p>
        </w:tc>
      </w:tr>
    </w:tbl>
    <w:p w14:paraId="7FB94D2F" w14:textId="77777777" w:rsidR="00394471" w:rsidRPr="00FA0D37" w:rsidRDefault="00394471" w:rsidP="00394471"/>
    <w:p w14:paraId="02D2EF9A" w14:textId="77777777" w:rsidR="00394471" w:rsidRPr="00FA0D37" w:rsidRDefault="00394471" w:rsidP="00394471">
      <w:pPr>
        <w:pStyle w:val="4"/>
      </w:pPr>
      <w:bookmarkStart w:id="1435" w:name="_Toc60777401"/>
      <w:bookmarkStart w:id="1436" w:name="_Toc146781487"/>
      <w:r w:rsidRPr="00FA0D37">
        <w:t>–</w:t>
      </w:r>
      <w:r w:rsidRPr="00FA0D37">
        <w:tab/>
      </w:r>
      <w:r w:rsidRPr="00FA0D37">
        <w:rPr>
          <w:i/>
        </w:rPr>
        <w:t>SSB-Index</w:t>
      </w:r>
      <w:bookmarkEnd w:id="1435"/>
      <w:bookmarkEnd w:id="1436"/>
    </w:p>
    <w:p w14:paraId="713E8D3B" w14:textId="77777777" w:rsidR="00394471" w:rsidRPr="00FA0D37" w:rsidRDefault="00394471" w:rsidP="00394471">
      <w:r w:rsidRPr="00FA0D37">
        <w:t xml:space="preserve">The IE </w:t>
      </w:r>
      <w:r w:rsidRPr="00FA0D37">
        <w:rPr>
          <w:i/>
        </w:rPr>
        <w:t>SSB-Index</w:t>
      </w:r>
      <w:r w:rsidRPr="00FA0D37">
        <w:t xml:space="preserve"> identifies an SS-Block within an SS-Burst. See </w:t>
      </w:r>
      <w:r w:rsidRPr="00FA0D37">
        <w:rPr>
          <w:szCs w:val="22"/>
          <w:lang w:eastAsia="en-GB"/>
        </w:rPr>
        <w:t>TS 38.213 [13], clause 4.1</w:t>
      </w:r>
      <w:r w:rsidRPr="00FA0D37">
        <w:t>.</w:t>
      </w:r>
    </w:p>
    <w:p w14:paraId="07BD09AC" w14:textId="77777777" w:rsidR="00394471" w:rsidRPr="00FA0D37" w:rsidRDefault="00394471" w:rsidP="00394471">
      <w:pPr>
        <w:pStyle w:val="TH"/>
      </w:pPr>
      <w:r w:rsidRPr="00FA0D37">
        <w:rPr>
          <w:i/>
        </w:rPr>
        <w:t>SSB-Index</w:t>
      </w:r>
      <w:r w:rsidRPr="00FA0D37">
        <w:t xml:space="preserve"> information element</w:t>
      </w:r>
    </w:p>
    <w:p w14:paraId="7A28D1FD" w14:textId="77777777" w:rsidR="00394471" w:rsidRPr="00FA0D37" w:rsidRDefault="00394471" w:rsidP="00FA0D37">
      <w:pPr>
        <w:pStyle w:val="PL"/>
        <w:rPr>
          <w:color w:val="808080"/>
        </w:rPr>
      </w:pPr>
      <w:r w:rsidRPr="00FA0D37">
        <w:rPr>
          <w:color w:val="808080"/>
        </w:rPr>
        <w:t>-- ASN1START</w:t>
      </w:r>
    </w:p>
    <w:p w14:paraId="0B0CD432" w14:textId="77777777" w:rsidR="00394471" w:rsidRPr="00FA0D37" w:rsidRDefault="00394471" w:rsidP="00FA0D37">
      <w:pPr>
        <w:pStyle w:val="PL"/>
        <w:rPr>
          <w:color w:val="808080"/>
        </w:rPr>
      </w:pPr>
      <w:r w:rsidRPr="00FA0D37">
        <w:rPr>
          <w:color w:val="808080"/>
        </w:rPr>
        <w:t>-- TAG-SSB-INDEX-START</w:t>
      </w:r>
    </w:p>
    <w:p w14:paraId="06352A41" w14:textId="77777777" w:rsidR="00394471" w:rsidRPr="00FA0D37" w:rsidRDefault="00394471" w:rsidP="00FA0D37">
      <w:pPr>
        <w:pStyle w:val="PL"/>
      </w:pPr>
    </w:p>
    <w:p w14:paraId="40A2B9E8" w14:textId="77777777" w:rsidR="00394471" w:rsidRPr="00FA0D37" w:rsidRDefault="00394471" w:rsidP="00FA0D37">
      <w:pPr>
        <w:pStyle w:val="PL"/>
      </w:pPr>
      <w:r w:rsidRPr="00FA0D37">
        <w:t xml:space="preserve">SSB-Index ::=                       </w:t>
      </w:r>
      <w:r w:rsidRPr="00FA0D37">
        <w:rPr>
          <w:color w:val="993366"/>
        </w:rPr>
        <w:t>INTEGER</w:t>
      </w:r>
      <w:r w:rsidRPr="00FA0D37">
        <w:t xml:space="preserve"> (0..maxNrofSSBs-1)</w:t>
      </w:r>
    </w:p>
    <w:p w14:paraId="3DC2DF42" w14:textId="77777777" w:rsidR="00394471" w:rsidRPr="00FA0D37" w:rsidRDefault="00394471" w:rsidP="00FA0D37">
      <w:pPr>
        <w:pStyle w:val="PL"/>
      </w:pPr>
    </w:p>
    <w:p w14:paraId="77FBC8FB" w14:textId="77777777" w:rsidR="00394471" w:rsidRPr="00FA0D37" w:rsidRDefault="00394471" w:rsidP="00FA0D37">
      <w:pPr>
        <w:pStyle w:val="PL"/>
        <w:rPr>
          <w:color w:val="808080"/>
        </w:rPr>
      </w:pPr>
      <w:r w:rsidRPr="00FA0D37">
        <w:rPr>
          <w:color w:val="808080"/>
        </w:rPr>
        <w:t>-- TAG-SSB-INDEX-STOP</w:t>
      </w:r>
    </w:p>
    <w:p w14:paraId="115A3581" w14:textId="77777777" w:rsidR="00394471" w:rsidRPr="00FA0D37" w:rsidRDefault="00394471" w:rsidP="00FA0D37">
      <w:pPr>
        <w:pStyle w:val="PL"/>
        <w:rPr>
          <w:rFonts w:eastAsia="MS Mincho"/>
          <w:color w:val="808080"/>
        </w:rPr>
      </w:pPr>
      <w:r w:rsidRPr="00FA0D37">
        <w:rPr>
          <w:color w:val="808080"/>
        </w:rPr>
        <w:t>-- ASN1STOP</w:t>
      </w:r>
    </w:p>
    <w:p w14:paraId="4CC35421" w14:textId="77777777" w:rsidR="00394471" w:rsidRPr="00FA0D37" w:rsidRDefault="00394471" w:rsidP="00394471"/>
    <w:p w14:paraId="7C7F4DA7" w14:textId="77777777" w:rsidR="00394471" w:rsidRPr="00FA0D37" w:rsidRDefault="00394471" w:rsidP="00394471">
      <w:pPr>
        <w:pStyle w:val="4"/>
      </w:pPr>
      <w:bookmarkStart w:id="1437" w:name="_Toc60777402"/>
      <w:bookmarkStart w:id="1438" w:name="_Toc146781488"/>
      <w:r w:rsidRPr="00FA0D37">
        <w:t>–</w:t>
      </w:r>
      <w:r w:rsidRPr="00FA0D37">
        <w:tab/>
      </w:r>
      <w:r w:rsidRPr="00FA0D37">
        <w:rPr>
          <w:i/>
        </w:rPr>
        <w:t>SSB-MTC</w:t>
      </w:r>
      <w:bookmarkEnd w:id="1437"/>
      <w:bookmarkEnd w:id="1438"/>
    </w:p>
    <w:p w14:paraId="3AD2ED70" w14:textId="77777777" w:rsidR="00394471" w:rsidRPr="00FA0D37" w:rsidRDefault="00394471" w:rsidP="00394471">
      <w:r w:rsidRPr="00FA0D37">
        <w:t xml:space="preserve">The IE </w:t>
      </w:r>
      <w:r w:rsidRPr="00FA0D37">
        <w:rPr>
          <w:i/>
        </w:rPr>
        <w:t>SSB-MTC</w:t>
      </w:r>
      <w:r w:rsidRPr="00FA0D37">
        <w:t xml:space="preserve"> is used to configure measurement timing configurations, i.e., timing occasions at which the UE measures SSBs.</w:t>
      </w:r>
    </w:p>
    <w:p w14:paraId="48EBBF93" w14:textId="77777777" w:rsidR="00394471" w:rsidRPr="00FA0D37" w:rsidRDefault="00394471" w:rsidP="00394471">
      <w:pPr>
        <w:pStyle w:val="TH"/>
      </w:pPr>
      <w:r w:rsidRPr="00FA0D37">
        <w:rPr>
          <w:i/>
        </w:rPr>
        <w:t>SSB-MTC</w:t>
      </w:r>
      <w:r w:rsidRPr="00FA0D37">
        <w:t xml:space="preserve"> information element</w:t>
      </w:r>
    </w:p>
    <w:p w14:paraId="172134BC" w14:textId="77777777" w:rsidR="00394471" w:rsidRPr="00FA0D37" w:rsidRDefault="00394471" w:rsidP="00FA0D37">
      <w:pPr>
        <w:pStyle w:val="PL"/>
        <w:rPr>
          <w:color w:val="808080"/>
        </w:rPr>
      </w:pPr>
      <w:r w:rsidRPr="00FA0D37">
        <w:rPr>
          <w:color w:val="808080"/>
        </w:rPr>
        <w:t>-- ASN1START</w:t>
      </w:r>
    </w:p>
    <w:p w14:paraId="6FF0CAF7" w14:textId="77777777" w:rsidR="00394471" w:rsidRPr="00FA0D37" w:rsidRDefault="00394471" w:rsidP="00FA0D37">
      <w:pPr>
        <w:pStyle w:val="PL"/>
        <w:rPr>
          <w:color w:val="808080"/>
        </w:rPr>
      </w:pPr>
      <w:r w:rsidRPr="00FA0D37">
        <w:rPr>
          <w:color w:val="808080"/>
        </w:rPr>
        <w:t>-- TAG-SSB-MTC-START</w:t>
      </w:r>
    </w:p>
    <w:p w14:paraId="03A74831" w14:textId="77777777" w:rsidR="00394471" w:rsidRPr="00FA0D37" w:rsidRDefault="00394471" w:rsidP="00FA0D37">
      <w:pPr>
        <w:pStyle w:val="PL"/>
      </w:pPr>
    </w:p>
    <w:p w14:paraId="438926FD" w14:textId="77777777" w:rsidR="00394471" w:rsidRPr="00FA0D37" w:rsidRDefault="00394471" w:rsidP="00FA0D37">
      <w:pPr>
        <w:pStyle w:val="PL"/>
      </w:pPr>
      <w:r w:rsidRPr="00FA0D37">
        <w:t xml:space="preserve">SSB-MTC ::=                             </w:t>
      </w:r>
      <w:r w:rsidRPr="00FA0D37">
        <w:rPr>
          <w:color w:val="993366"/>
        </w:rPr>
        <w:t>SEQUENCE</w:t>
      </w:r>
      <w:r w:rsidRPr="00FA0D37">
        <w:t xml:space="preserve"> {</w:t>
      </w:r>
    </w:p>
    <w:p w14:paraId="7FA991AC" w14:textId="77777777" w:rsidR="00394471" w:rsidRPr="00FA0D37" w:rsidRDefault="00394471" w:rsidP="00FA0D37">
      <w:pPr>
        <w:pStyle w:val="PL"/>
      </w:pPr>
      <w:r w:rsidRPr="00FA0D37">
        <w:t xml:space="preserve">    periodicityAndOffset                    </w:t>
      </w:r>
      <w:r w:rsidRPr="00FA0D37">
        <w:rPr>
          <w:color w:val="993366"/>
        </w:rPr>
        <w:t>CHOICE</w:t>
      </w:r>
      <w:r w:rsidRPr="00FA0D37">
        <w:t xml:space="preserve"> {</w:t>
      </w:r>
    </w:p>
    <w:p w14:paraId="2746648E" w14:textId="77777777" w:rsidR="00394471" w:rsidRPr="00FA0D37" w:rsidRDefault="00394471" w:rsidP="00FA0D37">
      <w:pPr>
        <w:pStyle w:val="PL"/>
      </w:pPr>
      <w:r w:rsidRPr="00FA0D37">
        <w:t xml:space="preserve">        sf5                                 </w:t>
      </w:r>
      <w:r w:rsidRPr="00FA0D37">
        <w:rPr>
          <w:color w:val="993366"/>
        </w:rPr>
        <w:t>INTEGER</w:t>
      </w:r>
      <w:r w:rsidRPr="00FA0D37">
        <w:t xml:space="preserve"> (0..4),</w:t>
      </w:r>
    </w:p>
    <w:p w14:paraId="528C52CF" w14:textId="77777777" w:rsidR="00394471" w:rsidRPr="00FA0D37" w:rsidRDefault="00394471" w:rsidP="00FA0D37">
      <w:pPr>
        <w:pStyle w:val="PL"/>
      </w:pPr>
      <w:r w:rsidRPr="00FA0D37">
        <w:t xml:space="preserve">        sf10                                    </w:t>
      </w:r>
      <w:r w:rsidRPr="00FA0D37">
        <w:rPr>
          <w:color w:val="993366"/>
        </w:rPr>
        <w:t>INTEGER</w:t>
      </w:r>
      <w:r w:rsidRPr="00FA0D37">
        <w:t xml:space="preserve"> (0..9),</w:t>
      </w:r>
    </w:p>
    <w:p w14:paraId="6C51A404" w14:textId="77777777" w:rsidR="00394471" w:rsidRPr="00FA0D37" w:rsidRDefault="00394471" w:rsidP="00FA0D37">
      <w:pPr>
        <w:pStyle w:val="PL"/>
      </w:pPr>
      <w:r w:rsidRPr="00FA0D37">
        <w:t xml:space="preserve">        sf20                                    </w:t>
      </w:r>
      <w:r w:rsidRPr="00FA0D37">
        <w:rPr>
          <w:color w:val="993366"/>
        </w:rPr>
        <w:t>INTEGER</w:t>
      </w:r>
      <w:r w:rsidRPr="00FA0D37">
        <w:t xml:space="preserve"> (0..19),</w:t>
      </w:r>
    </w:p>
    <w:p w14:paraId="130E1EF9" w14:textId="77777777" w:rsidR="00394471" w:rsidRPr="00FA0D37" w:rsidRDefault="00394471" w:rsidP="00FA0D37">
      <w:pPr>
        <w:pStyle w:val="PL"/>
      </w:pPr>
      <w:r w:rsidRPr="00FA0D37">
        <w:t xml:space="preserve">        sf40                                    </w:t>
      </w:r>
      <w:r w:rsidRPr="00FA0D37">
        <w:rPr>
          <w:color w:val="993366"/>
        </w:rPr>
        <w:t>INTEGER</w:t>
      </w:r>
      <w:r w:rsidRPr="00FA0D37">
        <w:t xml:space="preserve"> (0..39),</w:t>
      </w:r>
    </w:p>
    <w:p w14:paraId="1FC6F121" w14:textId="77777777" w:rsidR="00394471" w:rsidRPr="00FA0D37" w:rsidRDefault="00394471" w:rsidP="00FA0D37">
      <w:pPr>
        <w:pStyle w:val="PL"/>
      </w:pPr>
      <w:r w:rsidRPr="00FA0D37">
        <w:t xml:space="preserve">        sf80                                    </w:t>
      </w:r>
      <w:r w:rsidRPr="00FA0D37">
        <w:rPr>
          <w:color w:val="993366"/>
        </w:rPr>
        <w:t>INTEGER</w:t>
      </w:r>
      <w:r w:rsidRPr="00FA0D37">
        <w:t xml:space="preserve"> (0..79),</w:t>
      </w:r>
    </w:p>
    <w:p w14:paraId="2E1D3B15" w14:textId="77777777" w:rsidR="00394471" w:rsidRPr="00FA0D37" w:rsidRDefault="00394471" w:rsidP="00FA0D37">
      <w:pPr>
        <w:pStyle w:val="PL"/>
      </w:pPr>
      <w:r w:rsidRPr="00FA0D37">
        <w:t xml:space="preserve">        sf160                                   </w:t>
      </w:r>
      <w:r w:rsidRPr="00FA0D37">
        <w:rPr>
          <w:color w:val="993366"/>
        </w:rPr>
        <w:t>INTEGER</w:t>
      </w:r>
      <w:r w:rsidRPr="00FA0D37">
        <w:t xml:space="preserve"> (0..159)</w:t>
      </w:r>
    </w:p>
    <w:p w14:paraId="32706208" w14:textId="77777777" w:rsidR="00394471" w:rsidRPr="00FA0D37" w:rsidRDefault="00394471" w:rsidP="00FA0D37">
      <w:pPr>
        <w:pStyle w:val="PL"/>
      </w:pPr>
      <w:r w:rsidRPr="00FA0D37">
        <w:t xml:space="preserve">    },</w:t>
      </w:r>
    </w:p>
    <w:p w14:paraId="1C6D98BC" w14:textId="77777777" w:rsidR="00394471" w:rsidRPr="00FA0D37" w:rsidRDefault="00394471" w:rsidP="00FA0D37">
      <w:pPr>
        <w:pStyle w:val="PL"/>
      </w:pPr>
      <w:r w:rsidRPr="00FA0D37">
        <w:lastRenderedPageBreak/>
        <w:t xml:space="preserve">    duration                                </w:t>
      </w:r>
      <w:r w:rsidRPr="00FA0D37">
        <w:rPr>
          <w:color w:val="993366"/>
        </w:rPr>
        <w:t>ENUMERATED</w:t>
      </w:r>
      <w:r w:rsidRPr="00FA0D37">
        <w:t xml:space="preserve"> { sf1, sf2, sf3, sf4, sf5 }</w:t>
      </w:r>
    </w:p>
    <w:p w14:paraId="3389373E" w14:textId="77777777" w:rsidR="00394471" w:rsidRPr="00FA0D37" w:rsidRDefault="00394471" w:rsidP="00FA0D37">
      <w:pPr>
        <w:pStyle w:val="PL"/>
      </w:pPr>
      <w:r w:rsidRPr="00FA0D37">
        <w:t>}</w:t>
      </w:r>
    </w:p>
    <w:p w14:paraId="32192249" w14:textId="77777777" w:rsidR="00394471" w:rsidRPr="00FA0D37" w:rsidRDefault="00394471" w:rsidP="00FA0D37">
      <w:pPr>
        <w:pStyle w:val="PL"/>
      </w:pPr>
    </w:p>
    <w:p w14:paraId="09451F6B" w14:textId="77777777" w:rsidR="00394471" w:rsidRPr="00FA0D37" w:rsidRDefault="00394471" w:rsidP="00FA0D37">
      <w:pPr>
        <w:pStyle w:val="PL"/>
      </w:pPr>
      <w:r w:rsidRPr="00FA0D37">
        <w:t xml:space="preserve">SSB-MTC2 ::=                        </w:t>
      </w:r>
      <w:r w:rsidRPr="00FA0D37">
        <w:rPr>
          <w:color w:val="993366"/>
        </w:rPr>
        <w:t>SEQUENCE</w:t>
      </w:r>
      <w:r w:rsidRPr="00FA0D37">
        <w:t xml:space="preserve"> {</w:t>
      </w:r>
    </w:p>
    <w:p w14:paraId="3BD2F7A1" w14:textId="77777777" w:rsidR="00394471" w:rsidRPr="00FA0D37" w:rsidRDefault="00394471" w:rsidP="00FA0D37">
      <w:pPr>
        <w:pStyle w:val="PL"/>
        <w:rPr>
          <w:color w:val="808080"/>
        </w:rPr>
      </w:pPr>
      <w:r w:rsidRPr="00FA0D37">
        <w:t xml:space="preserve">    pci-List                            </w:t>
      </w:r>
      <w:r w:rsidRPr="00FA0D37">
        <w:rPr>
          <w:color w:val="993366"/>
        </w:rPr>
        <w:t>SEQUENCE</w:t>
      </w:r>
      <w:r w:rsidRPr="00FA0D37">
        <w:t xml:space="preserve"> (</w:t>
      </w:r>
      <w:r w:rsidRPr="00FA0D37">
        <w:rPr>
          <w:color w:val="993366"/>
        </w:rPr>
        <w:t>SIZE</w:t>
      </w:r>
      <w:r w:rsidRPr="00FA0D37">
        <w:t xml:space="preserve"> (1..maxNrofPCIsPerSMTC))</w:t>
      </w:r>
      <w:r w:rsidRPr="00FA0D37">
        <w:rPr>
          <w:color w:val="993366"/>
        </w:rPr>
        <w:t xml:space="preserve"> OF</w:t>
      </w:r>
      <w:r w:rsidRPr="00FA0D37">
        <w:t xml:space="preserve"> PhysCellId                   </w:t>
      </w:r>
      <w:r w:rsidRPr="00FA0D37">
        <w:rPr>
          <w:color w:val="993366"/>
        </w:rPr>
        <w:t>OPTIONAL</w:t>
      </w:r>
      <w:r w:rsidRPr="00FA0D37">
        <w:t xml:space="preserve">,   </w:t>
      </w:r>
      <w:r w:rsidRPr="00FA0D37">
        <w:rPr>
          <w:color w:val="808080"/>
        </w:rPr>
        <w:t>-- Need M</w:t>
      </w:r>
    </w:p>
    <w:p w14:paraId="2772B854" w14:textId="77777777" w:rsidR="00394471" w:rsidRPr="00FA0D37" w:rsidRDefault="00394471" w:rsidP="00FA0D37">
      <w:pPr>
        <w:pStyle w:val="PL"/>
      </w:pPr>
      <w:r w:rsidRPr="00FA0D37">
        <w:t xml:space="preserve">    periodicity                         </w:t>
      </w:r>
      <w:r w:rsidRPr="00FA0D37">
        <w:rPr>
          <w:color w:val="993366"/>
        </w:rPr>
        <w:t>ENUMERATED</w:t>
      </w:r>
      <w:r w:rsidRPr="00FA0D37">
        <w:t xml:space="preserve"> {sf5, sf10, sf20, sf40, sf80, spare3, spare2, spare1}</w:t>
      </w:r>
    </w:p>
    <w:p w14:paraId="77162403" w14:textId="77777777" w:rsidR="00394471" w:rsidRPr="00FA0D37" w:rsidRDefault="00394471" w:rsidP="00FA0D37">
      <w:pPr>
        <w:pStyle w:val="PL"/>
      </w:pPr>
      <w:r w:rsidRPr="00FA0D37">
        <w:t>}</w:t>
      </w:r>
    </w:p>
    <w:p w14:paraId="27707B75" w14:textId="77777777" w:rsidR="00394471" w:rsidRPr="00FA0D37" w:rsidRDefault="00394471" w:rsidP="00FA0D37">
      <w:pPr>
        <w:pStyle w:val="PL"/>
      </w:pPr>
    </w:p>
    <w:p w14:paraId="213CEE6E" w14:textId="77777777" w:rsidR="00394471" w:rsidRPr="00FA0D37" w:rsidRDefault="00394471" w:rsidP="00FA0D37">
      <w:pPr>
        <w:pStyle w:val="PL"/>
      </w:pPr>
      <w:r w:rsidRPr="00FA0D37">
        <w:t xml:space="preserve">SSB-MTC2-LP-r16 ::=                 </w:t>
      </w:r>
      <w:r w:rsidRPr="00FA0D37">
        <w:rPr>
          <w:color w:val="993366"/>
        </w:rPr>
        <w:t>SEQUENCE</w:t>
      </w:r>
      <w:r w:rsidRPr="00FA0D37">
        <w:t xml:space="preserve"> {</w:t>
      </w:r>
    </w:p>
    <w:p w14:paraId="3993AAE8" w14:textId="77777777" w:rsidR="00394471" w:rsidRPr="00FA0D37" w:rsidRDefault="00394471" w:rsidP="00FA0D37">
      <w:pPr>
        <w:pStyle w:val="PL"/>
        <w:rPr>
          <w:color w:val="808080"/>
        </w:rPr>
      </w:pPr>
      <w:r w:rsidRPr="00FA0D37">
        <w:t xml:space="preserve">    pci-List                            </w:t>
      </w:r>
      <w:r w:rsidRPr="00FA0D37">
        <w:rPr>
          <w:color w:val="993366"/>
        </w:rPr>
        <w:t>SEQUENCE</w:t>
      </w:r>
      <w:r w:rsidRPr="00FA0D37">
        <w:t xml:space="preserve"> (</w:t>
      </w:r>
      <w:r w:rsidRPr="00FA0D37">
        <w:rPr>
          <w:color w:val="993366"/>
        </w:rPr>
        <w:t>SIZE</w:t>
      </w:r>
      <w:r w:rsidRPr="00FA0D37">
        <w:t xml:space="preserve"> (1..maxNrofPCIsPerSMTC))</w:t>
      </w:r>
      <w:r w:rsidRPr="00FA0D37">
        <w:rPr>
          <w:color w:val="993366"/>
        </w:rPr>
        <w:t xml:space="preserve"> OF</w:t>
      </w:r>
      <w:r w:rsidRPr="00FA0D37">
        <w:t xml:space="preserve"> PhysCellId                   </w:t>
      </w:r>
      <w:r w:rsidRPr="00FA0D37">
        <w:rPr>
          <w:color w:val="993366"/>
        </w:rPr>
        <w:t>OPTIONAL</w:t>
      </w:r>
      <w:r w:rsidRPr="00FA0D37">
        <w:t xml:space="preserve">,   </w:t>
      </w:r>
      <w:r w:rsidRPr="00FA0D37">
        <w:rPr>
          <w:color w:val="808080"/>
        </w:rPr>
        <w:t>-- Need R</w:t>
      </w:r>
    </w:p>
    <w:p w14:paraId="711061EA" w14:textId="77777777" w:rsidR="00394471" w:rsidRPr="00FA0D37" w:rsidRDefault="00394471" w:rsidP="00FA0D37">
      <w:pPr>
        <w:pStyle w:val="PL"/>
      </w:pPr>
      <w:r w:rsidRPr="00FA0D37">
        <w:t xml:space="preserve">    periodicity                         </w:t>
      </w:r>
      <w:r w:rsidRPr="00FA0D37">
        <w:rPr>
          <w:color w:val="993366"/>
        </w:rPr>
        <w:t>ENUMERATED</w:t>
      </w:r>
      <w:r w:rsidRPr="00FA0D37">
        <w:t xml:space="preserve"> {sf10, sf20, sf40, sf80, sf160, spare3, spare2, spare1}</w:t>
      </w:r>
    </w:p>
    <w:p w14:paraId="1C8953D5" w14:textId="77777777" w:rsidR="00394471" w:rsidRPr="00FA0D37" w:rsidRDefault="00394471" w:rsidP="00FA0D37">
      <w:pPr>
        <w:pStyle w:val="PL"/>
      </w:pPr>
      <w:r w:rsidRPr="00FA0D37">
        <w:t>}</w:t>
      </w:r>
    </w:p>
    <w:p w14:paraId="5B61D5BD" w14:textId="77777777" w:rsidR="00394471" w:rsidRPr="00FA0D37" w:rsidRDefault="00394471" w:rsidP="00FA0D37">
      <w:pPr>
        <w:pStyle w:val="PL"/>
      </w:pPr>
    </w:p>
    <w:p w14:paraId="535198D0" w14:textId="77777777" w:rsidR="00394471" w:rsidRPr="00FA0D37" w:rsidRDefault="00394471" w:rsidP="00FA0D37">
      <w:pPr>
        <w:pStyle w:val="PL"/>
      </w:pPr>
      <w:r w:rsidRPr="00FA0D37">
        <w:t xml:space="preserve">SSB-MTC3-r16 ::=                    </w:t>
      </w:r>
      <w:r w:rsidRPr="00FA0D37">
        <w:rPr>
          <w:color w:val="993366"/>
        </w:rPr>
        <w:t>SEQUENCE</w:t>
      </w:r>
      <w:r w:rsidRPr="00FA0D37">
        <w:t xml:space="preserve"> {</w:t>
      </w:r>
    </w:p>
    <w:p w14:paraId="7C6045A4" w14:textId="77777777" w:rsidR="00394471" w:rsidRPr="00FA0D37" w:rsidRDefault="00394471" w:rsidP="00FA0D37">
      <w:pPr>
        <w:pStyle w:val="PL"/>
      </w:pPr>
      <w:r w:rsidRPr="00FA0D37">
        <w:t xml:space="preserve">    periodicityAndOffset-r16            </w:t>
      </w:r>
      <w:r w:rsidRPr="00FA0D37">
        <w:rPr>
          <w:color w:val="993366"/>
        </w:rPr>
        <w:t>CHOICE</w:t>
      </w:r>
      <w:r w:rsidRPr="00FA0D37">
        <w:t xml:space="preserve"> {</w:t>
      </w:r>
    </w:p>
    <w:p w14:paraId="145C9BDE" w14:textId="77777777" w:rsidR="00394471" w:rsidRPr="00FA0D37" w:rsidRDefault="00394471" w:rsidP="00FA0D37">
      <w:pPr>
        <w:pStyle w:val="PL"/>
      </w:pPr>
      <w:r w:rsidRPr="00FA0D37">
        <w:t xml:space="preserve">        sf5-r16                                     </w:t>
      </w:r>
      <w:r w:rsidRPr="00FA0D37">
        <w:rPr>
          <w:color w:val="993366"/>
        </w:rPr>
        <w:t>INTEGER</w:t>
      </w:r>
      <w:r w:rsidRPr="00FA0D37">
        <w:t xml:space="preserve"> (0..4),</w:t>
      </w:r>
    </w:p>
    <w:p w14:paraId="3FD44DB8" w14:textId="77777777" w:rsidR="00394471" w:rsidRPr="00FA0D37" w:rsidRDefault="00394471" w:rsidP="00FA0D37">
      <w:pPr>
        <w:pStyle w:val="PL"/>
      </w:pPr>
      <w:r w:rsidRPr="00FA0D37">
        <w:t xml:space="preserve">        sf10-r16                                    </w:t>
      </w:r>
      <w:r w:rsidRPr="00FA0D37">
        <w:rPr>
          <w:color w:val="993366"/>
        </w:rPr>
        <w:t>INTEGER</w:t>
      </w:r>
      <w:r w:rsidRPr="00FA0D37">
        <w:t xml:space="preserve"> (0..9),</w:t>
      </w:r>
    </w:p>
    <w:p w14:paraId="4EB65CEA" w14:textId="77777777" w:rsidR="00394471" w:rsidRPr="00FA0D37" w:rsidRDefault="00394471" w:rsidP="00FA0D37">
      <w:pPr>
        <w:pStyle w:val="PL"/>
      </w:pPr>
      <w:r w:rsidRPr="00FA0D37">
        <w:t xml:space="preserve">        sf20-r16                                    </w:t>
      </w:r>
      <w:r w:rsidRPr="00FA0D37">
        <w:rPr>
          <w:color w:val="993366"/>
        </w:rPr>
        <w:t>INTEGER</w:t>
      </w:r>
      <w:r w:rsidRPr="00FA0D37">
        <w:t xml:space="preserve"> (0..19),</w:t>
      </w:r>
    </w:p>
    <w:p w14:paraId="45176B61" w14:textId="77777777" w:rsidR="00394471" w:rsidRPr="00FA0D37" w:rsidRDefault="00394471" w:rsidP="00FA0D37">
      <w:pPr>
        <w:pStyle w:val="PL"/>
      </w:pPr>
      <w:r w:rsidRPr="00FA0D37">
        <w:t xml:space="preserve">        sf40-r16                                    </w:t>
      </w:r>
      <w:r w:rsidRPr="00FA0D37">
        <w:rPr>
          <w:color w:val="993366"/>
        </w:rPr>
        <w:t>INTEGER</w:t>
      </w:r>
      <w:r w:rsidRPr="00FA0D37">
        <w:t xml:space="preserve"> (0..39),</w:t>
      </w:r>
    </w:p>
    <w:p w14:paraId="2E7F3112" w14:textId="77777777" w:rsidR="00394471" w:rsidRPr="00FA0D37" w:rsidRDefault="00394471" w:rsidP="00FA0D37">
      <w:pPr>
        <w:pStyle w:val="PL"/>
      </w:pPr>
      <w:r w:rsidRPr="00FA0D37">
        <w:t xml:space="preserve">        sf80-r16                                    </w:t>
      </w:r>
      <w:r w:rsidRPr="00FA0D37">
        <w:rPr>
          <w:color w:val="993366"/>
        </w:rPr>
        <w:t>INTEGER</w:t>
      </w:r>
      <w:r w:rsidRPr="00FA0D37">
        <w:t xml:space="preserve"> (0..79),</w:t>
      </w:r>
    </w:p>
    <w:p w14:paraId="608A484B" w14:textId="77777777" w:rsidR="00394471" w:rsidRPr="00FA0D37" w:rsidRDefault="00394471" w:rsidP="00FA0D37">
      <w:pPr>
        <w:pStyle w:val="PL"/>
      </w:pPr>
      <w:r w:rsidRPr="00FA0D37">
        <w:t xml:space="preserve">        sf160-r16                                   </w:t>
      </w:r>
      <w:r w:rsidRPr="00FA0D37">
        <w:rPr>
          <w:color w:val="993366"/>
        </w:rPr>
        <w:t>INTEGER</w:t>
      </w:r>
      <w:r w:rsidRPr="00FA0D37">
        <w:t xml:space="preserve"> (0..159),</w:t>
      </w:r>
    </w:p>
    <w:p w14:paraId="34044D66" w14:textId="77777777" w:rsidR="00394471" w:rsidRPr="00FA0D37" w:rsidRDefault="00394471" w:rsidP="00FA0D37">
      <w:pPr>
        <w:pStyle w:val="PL"/>
      </w:pPr>
      <w:r w:rsidRPr="00FA0D37">
        <w:t xml:space="preserve">        sf320-r16                                   </w:t>
      </w:r>
      <w:r w:rsidRPr="00FA0D37">
        <w:rPr>
          <w:color w:val="993366"/>
        </w:rPr>
        <w:t>INTEGER</w:t>
      </w:r>
      <w:r w:rsidRPr="00FA0D37">
        <w:t xml:space="preserve"> (0..319),</w:t>
      </w:r>
    </w:p>
    <w:p w14:paraId="241A07F7" w14:textId="77777777" w:rsidR="00394471" w:rsidRPr="00FA0D37" w:rsidRDefault="00394471" w:rsidP="00FA0D37">
      <w:pPr>
        <w:pStyle w:val="PL"/>
      </w:pPr>
      <w:r w:rsidRPr="00FA0D37">
        <w:t xml:space="preserve">        sf640-r16                                   </w:t>
      </w:r>
      <w:r w:rsidRPr="00FA0D37">
        <w:rPr>
          <w:color w:val="993366"/>
        </w:rPr>
        <w:t>INTEGER</w:t>
      </w:r>
      <w:r w:rsidRPr="00FA0D37">
        <w:t xml:space="preserve"> (0..639),</w:t>
      </w:r>
    </w:p>
    <w:p w14:paraId="15B05444" w14:textId="77777777" w:rsidR="00394471" w:rsidRPr="00FA0D37" w:rsidRDefault="00394471" w:rsidP="00FA0D37">
      <w:pPr>
        <w:pStyle w:val="PL"/>
      </w:pPr>
      <w:r w:rsidRPr="00FA0D37">
        <w:t xml:space="preserve">        sf1280-r16                                  </w:t>
      </w:r>
      <w:r w:rsidRPr="00FA0D37">
        <w:rPr>
          <w:color w:val="993366"/>
        </w:rPr>
        <w:t>INTEGER</w:t>
      </w:r>
      <w:r w:rsidRPr="00FA0D37">
        <w:t xml:space="preserve"> (0..1279)</w:t>
      </w:r>
    </w:p>
    <w:p w14:paraId="289D7DC3" w14:textId="77777777" w:rsidR="00394471" w:rsidRPr="00FA0D37" w:rsidRDefault="00394471" w:rsidP="00FA0D37">
      <w:pPr>
        <w:pStyle w:val="PL"/>
      </w:pPr>
      <w:r w:rsidRPr="00FA0D37">
        <w:t xml:space="preserve">    },</w:t>
      </w:r>
    </w:p>
    <w:p w14:paraId="3CEE5923" w14:textId="77777777" w:rsidR="00394471" w:rsidRPr="00FA0D37" w:rsidRDefault="00394471" w:rsidP="00FA0D37">
      <w:pPr>
        <w:pStyle w:val="PL"/>
      </w:pPr>
      <w:r w:rsidRPr="00FA0D37">
        <w:t xml:space="preserve">    duration-r16                        </w:t>
      </w:r>
      <w:r w:rsidRPr="00FA0D37">
        <w:rPr>
          <w:color w:val="993366"/>
        </w:rPr>
        <w:t>ENUMERATED</w:t>
      </w:r>
      <w:r w:rsidRPr="00FA0D37">
        <w:t xml:space="preserve"> {sf1, sf2, sf3, sf4, sf5},</w:t>
      </w:r>
    </w:p>
    <w:p w14:paraId="1EDE6F81" w14:textId="77777777" w:rsidR="00394471" w:rsidRPr="00FA0D37" w:rsidRDefault="00394471" w:rsidP="00FA0D37">
      <w:pPr>
        <w:pStyle w:val="PL"/>
        <w:rPr>
          <w:color w:val="808080"/>
        </w:rPr>
      </w:pPr>
      <w:r w:rsidRPr="00FA0D37">
        <w:t xml:space="preserve">    pci-List-r16                        </w:t>
      </w:r>
      <w:r w:rsidRPr="00FA0D37">
        <w:rPr>
          <w:color w:val="993366"/>
        </w:rPr>
        <w:t>SEQUENCE</w:t>
      </w:r>
      <w:r w:rsidRPr="00FA0D37">
        <w:t xml:space="preserve"> (</w:t>
      </w:r>
      <w:r w:rsidRPr="00FA0D37">
        <w:rPr>
          <w:color w:val="993366"/>
        </w:rPr>
        <w:t>SIZE</w:t>
      </w:r>
      <w:r w:rsidRPr="00FA0D37">
        <w:t xml:space="preserve"> (1..maxNrofPCIsPerSMTC))</w:t>
      </w:r>
      <w:r w:rsidRPr="00FA0D37">
        <w:rPr>
          <w:color w:val="993366"/>
        </w:rPr>
        <w:t xml:space="preserve"> OF</w:t>
      </w:r>
      <w:r w:rsidRPr="00FA0D37">
        <w:t xml:space="preserve"> PhysCellId                   </w:t>
      </w:r>
      <w:r w:rsidRPr="00FA0D37">
        <w:rPr>
          <w:color w:val="993366"/>
        </w:rPr>
        <w:t>OPTIONAL</w:t>
      </w:r>
      <w:r w:rsidRPr="00FA0D37">
        <w:t xml:space="preserve">,  </w:t>
      </w:r>
      <w:r w:rsidRPr="00FA0D37">
        <w:rPr>
          <w:color w:val="808080"/>
        </w:rPr>
        <w:t>-- Need M</w:t>
      </w:r>
    </w:p>
    <w:p w14:paraId="56686EE5" w14:textId="77777777" w:rsidR="00394471" w:rsidRPr="00FA0D37" w:rsidRDefault="00394471" w:rsidP="00FA0D37">
      <w:pPr>
        <w:pStyle w:val="PL"/>
        <w:rPr>
          <w:color w:val="808080"/>
        </w:rPr>
      </w:pPr>
      <w:r w:rsidRPr="00FA0D37">
        <w:t xml:space="preserve">    ssb-ToMeasure-r16                   SetupRelease { SSB-ToMeasure }                                          </w:t>
      </w:r>
      <w:r w:rsidRPr="00FA0D37">
        <w:rPr>
          <w:color w:val="993366"/>
        </w:rPr>
        <w:t>OPTIONAL</w:t>
      </w:r>
      <w:r w:rsidRPr="00FA0D37">
        <w:t xml:space="preserve">   </w:t>
      </w:r>
      <w:r w:rsidRPr="00FA0D37">
        <w:rPr>
          <w:color w:val="808080"/>
        </w:rPr>
        <w:t>-- Need M</w:t>
      </w:r>
    </w:p>
    <w:p w14:paraId="7F732885" w14:textId="77777777" w:rsidR="00394471" w:rsidRPr="00FA0D37" w:rsidRDefault="00394471" w:rsidP="00FA0D37">
      <w:pPr>
        <w:pStyle w:val="PL"/>
      </w:pPr>
      <w:r w:rsidRPr="00FA0D37">
        <w:t>}</w:t>
      </w:r>
    </w:p>
    <w:p w14:paraId="534DC212" w14:textId="77777777" w:rsidR="002D7FAF" w:rsidRPr="00FA0D37" w:rsidRDefault="002D7FAF" w:rsidP="00FA0D37">
      <w:pPr>
        <w:pStyle w:val="PL"/>
      </w:pPr>
    </w:p>
    <w:p w14:paraId="691B0F5E" w14:textId="77777777" w:rsidR="002D7FAF" w:rsidRPr="00FA0D37" w:rsidRDefault="002D7FAF" w:rsidP="00FA0D37">
      <w:pPr>
        <w:pStyle w:val="PL"/>
      </w:pPr>
      <w:r w:rsidRPr="00FA0D37">
        <w:t xml:space="preserve">SSB-MTC4-r17 ::=             </w:t>
      </w:r>
      <w:r w:rsidRPr="00FA0D37">
        <w:rPr>
          <w:color w:val="993366"/>
        </w:rPr>
        <w:t>SEQUENCE</w:t>
      </w:r>
      <w:r w:rsidRPr="00FA0D37">
        <w:t xml:space="preserve"> {</w:t>
      </w:r>
    </w:p>
    <w:p w14:paraId="4E297964" w14:textId="30696EA3" w:rsidR="002D7FAF" w:rsidRPr="00FA0D37" w:rsidRDefault="002D7FAF" w:rsidP="00FA0D37">
      <w:pPr>
        <w:pStyle w:val="PL"/>
        <w:rPr>
          <w:color w:val="808080"/>
        </w:rPr>
      </w:pPr>
      <w:r w:rsidRPr="00FA0D37">
        <w:t xml:space="preserve">    pci-List-r17                 </w:t>
      </w:r>
      <w:r w:rsidRPr="00FA0D37">
        <w:rPr>
          <w:color w:val="993366"/>
        </w:rPr>
        <w:t>SEQUENCE</w:t>
      </w:r>
      <w:r w:rsidRPr="00FA0D37">
        <w:t xml:space="preserve"> (</w:t>
      </w:r>
      <w:r w:rsidRPr="00FA0D37">
        <w:rPr>
          <w:color w:val="993366"/>
        </w:rPr>
        <w:t>SIZE</w:t>
      </w:r>
      <w:r w:rsidRPr="00FA0D37">
        <w:t xml:space="preserve"> (1..maxNrofPCIsPerSMTC))</w:t>
      </w:r>
      <w:r w:rsidRPr="00FA0D37">
        <w:rPr>
          <w:color w:val="993366"/>
        </w:rPr>
        <w:t xml:space="preserve"> OF</w:t>
      </w:r>
      <w:r w:rsidRPr="00FA0D37">
        <w:t xml:space="preserve"> PhysCellId                          </w:t>
      </w:r>
      <w:r w:rsidRPr="00FA0D37">
        <w:rPr>
          <w:color w:val="993366"/>
        </w:rPr>
        <w:t>OPTIONAL</w:t>
      </w:r>
      <w:r w:rsidRPr="00FA0D37">
        <w:t xml:space="preserve">,  </w:t>
      </w:r>
      <w:r w:rsidRPr="00FA0D37">
        <w:rPr>
          <w:color w:val="808080"/>
        </w:rPr>
        <w:t xml:space="preserve">-- Need </w:t>
      </w:r>
      <w:r w:rsidR="0090199E" w:rsidRPr="00FA0D37">
        <w:rPr>
          <w:color w:val="808080"/>
        </w:rPr>
        <w:t>M</w:t>
      </w:r>
    </w:p>
    <w:p w14:paraId="2822CEEA" w14:textId="77777777" w:rsidR="002D7FAF" w:rsidRPr="00FA0D37" w:rsidRDefault="002D7FAF" w:rsidP="00FA0D37">
      <w:pPr>
        <w:pStyle w:val="PL"/>
      </w:pPr>
      <w:r w:rsidRPr="00FA0D37">
        <w:t xml:space="preserve">    offset-r17                   </w:t>
      </w:r>
      <w:r w:rsidRPr="00FA0D37">
        <w:rPr>
          <w:color w:val="993366"/>
        </w:rPr>
        <w:t>INTEGER</w:t>
      </w:r>
      <w:r w:rsidRPr="00FA0D37">
        <w:t xml:space="preserve"> (0..159)</w:t>
      </w:r>
    </w:p>
    <w:p w14:paraId="5A68BBD3" w14:textId="77777777" w:rsidR="002D7FAF" w:rsidRPr="00FA0D37" w:rsidRDefault="002D7FAF" w:rsidP="00FA0D37">
      <w:pPr>
        <w:pStyle w:val="PL"/>
      </w:pPr>
      <w:r w:rsidRPr="00FA0D37">
        <w:t>}</w:t>
      </w:r>
    </w:p>
    <w:p w14:paraId="7FE674A4" w14:textId="77777777" w:rsidR="00394471" w:rsidRPr="00FA0D37" w:rsidRDefault="00394471" w:rsidP="00FA0D37">
      <w:pPr>
        <w:pStyle w:val="PL"/>
      </w:pPr>
    </w:p>
    <w:p w14:paraId="13B1D0C9" w14:textId="1FAF946F" w:rsidR="000F2B5F" w:rsidRPr="00FA0D37" w:rsidRDefault="000F2B5F" w:rsidP="00FA0D37">
      <w:pPr>
        <w:pStyle w:val="PL"/>
      </w:pPr>
      <w:r w:rsidRPr="00FA0D37">
        <w:t xml:space="preserve">SSB-MTC-AdditionalPCI-r17 ::=       </w:t>
      </w:r>
      <w:r w:rsidRPr="00FA0D37">
        <w:rPr>
          <w:color w:val="993366"/>
        </w:rPr>
        <w:t>SEQUENCE</w:t>
      </w:r>
      <w:r w:rsidRPr="00FA0D37">
        <w:t xml:space="preserve"> </w:t>
      </w:r>
      <w:r w:rsidR="00064591" w:rsidRPr="00FA0D37">
        <w:t>{</w:t>
      </w:r>
    </w:p>
    <w:p w14:paraId="27A36E69" w14:textId="54EB2EAA" w:rsidR="000F2B5F" w:rsidRPr="00FA0D37" w:rsidRDefault="000F2B5F" w:rsidP="00FA0D37">
      <w:pPr>
        <w:pStyle w:val="PL"/>
      </w:pPr>
      <w:r w:rsidRPr="00FA0D37">
        <w:t xml:space="preserve">    additionalPCIIndex-r17              AdditionalPCIIndex-r17,</w:t>
      </w:r>
    </w:p>
    <w:p w14:paraId="0A516A35" w14:textId="56ACD863" w:rsidR="000F2B5F" w:rsidRPr="00FA0D37" w:rsidRDefault="000F2B5F" w:rsidP="00FA0D37">
      <w:pPr>
        <w:pStyle w:val="PL"/>
      </w:pPr>
      <w:r w:rsidRPr="00FA0D37">
        <w:t xml:space="preserve">    additionalPCI-r17                   PhysCellId,</w:t>
      </w:r>
    </w:p>
    <w:p w14:paraId="4E9E950D" w14:textId="482A546A" w:rsidR="000F2B5F" w:rsidRPr="00FA0D37" w:rsidRDefault="000F2B5F" w:rsidP="00FA0D37">
      <w:pPr>
        <w:pStyle w:val="PL"/>
      </w:pPr>
      <w:r w:rsidRPr="00FA0D37">
        <w:t xml:space="preserve">    periodicity-r17                 </w:t>
      </w:r>
      <w:r w:rsidR="006B0BE5" w:rsidRPr="00FA0D37">
        <w:t xml:space="preserve">    </w:t>
      </w:r>
      <w:r w:rsidRPr="00FA0D37">
        <w:rPr>
          <w:color w:val="993366"/>
        </w:rPr>
        <w:t>ENUMERATED</w:t>
      </w:r>
      <w:r w:rsidRPr="00FA0D37">
        <w:t xml:space="preserve"> { ms5, ms10, ms20, ms40, ms80, ms160, spare2, spare1 }</w:t>
      </w:r>
      <w:r w:rsidR="007B122D" w:rsidRPr="00FA0D37">
        <w:t>,</w:t>
      </w:r>
    </w:p>
    <w:p w14:paraId="34C8F6DB" w14:textId="6EC69FBE" w:rsidR="000F2B5F" w:rsidRPr="00FA0D37" w:rsidRDefault="000F2B5F" w:rsidP="00FA0D37">
      <w:pPr>
        <w:pStyle w:val="PL"/>
      </w:pPr>
      <w:r w:rsidRPr="00FA0D37">
        <w:t xml:space="preserve">    ssb-PositionsInBurst-r17            </w:t>
      </w:r>
      <w:r w:rsidRPr="00FA0D37">
        <w:rPr>
          <w:color w:val="993366"/>
        </w:rPr>
        <w:t>CHOICE</w:t>
      </w:r>
      <w:r w:rsidRPr="00FA0D37">
        <w:t xml:space="preserve"> {</w:t>
      </w:r>
    </w:p>
    <w:p w14:paraId="1CB2EEF3" w14:textId="77777777" w:rsidR="000F2B5F" w:rsidRPr="00FA0D37" w:rsidRDefault="000F2B5F" w:rsidP="00FA0D37">
      <w:pPr>
        <w:pStyle w:val="PL"/>
      </w:pPr>
      <w:r w:rsidRPr="00FA0D37">
        <w:t xml:space="preserve">        shortBitmap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1785AD62" w14:textId="77777777" w:rsidR="000F2B5F" w:rsidRPr="00FA0D37" w:rsidRDefault="000F2B5F" w:rsidP="00FA0D37">
      <w:pPr>
        <w:pStyle w:val="PL"/>
      </w:pPr>
      <w:r w:rsidRPr="00FA0D37">
        <w:t xml:space="preserve">        mediumBitmap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7E59388D" w14:textId="77777777" w:rsidR="000F2B5F" w:rsidRPr="00FA0D37" w:rsidRDefault="000F2B5F" w:rsidP="00FA0D37">
      <w:pPr>
        <w:pStyle w:val="PL"/>
      </w:pPr>
      <w:r w:rsidRPr="00FA0D37">
        <w:t xml:space="preserve">        longBitmap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3FDB8304" w14:textId="12BFDDAA" w:rsidR="000F2B5F" w:rsidRPr="00FA0D37" w:rsidRDefault="000F2B5F" w:rsidP="00FA0D37">
      <w:pPr>
        <w:pStyle w:val="PL"/>
      </w:pPr>
      <w:r w:rsidRPr="00FA0D37">
        <w:t xml:space="preserve">    }</w:t>
      </w:r>
      <w:r w:rsidR="00F37CDC" w:rsidRPr="00FA0D37">
        <w:t>,</w:t>
      </w:r>
    </w:p>
    <w:p w14:paraId="633E0BCA" w14:textId="4D7A531B" w:rsidR="000F2B5F" w:rsidRPr="00FA0D37" w:rsidRDefault="000F2B5F" w:rsidP="00FA0D37">
      <w:pPr>
        <w:pStyle w:val="PL"/>
      </w:pPr>
      <w:r w:rsidRPr="00FA0D37">
        <w:t xml:space="preserve">    ss-PBCH-BlockPower-r17              </w:t>
      </w:r>
      <w:r w:rsidRPr="00FA0D37">
        <w:rPr>
          <w:color w:val="993366"/>
        </w:rPr>
        <w:t>INTEGER</w:t>
      </w:r>
      <w:r w:rsidRPr="00FA0D37">
        <w:t xml:space="preserve"> (-60..50)</w:t>
      </w:r>
    </w:p>
    <w:p w14:paraId="31174CD4" w14:textId="77777777" w:rsidR="00F37CDC" w:rsidRPr="00FA0D37" w:rsidRDefault="00F37CDC" w:rsidP="00FA0D37">
      <w:pPr>
        <w:pStyle w:val="PL"/>
      </w:pPr>
      <w:r w:rsidRPr="00FA0D37">
        <w:t>}</w:t>
      </w:r>
    </w:p>
    <w:p w14:paraId="7802FC27" w14:textId="77777777" w:rsidR="00064591" w:rsidRPr="00FA0D37" w:rsidRDefault="00064591" w:rsidP="00FA0D37">
      <w:pPr>
        <w:pStyle w:val="PL"/>
      </w:pPr>
    </w:p>
    <w:p w14:paraId="00354B20" w14:textId="6809353E" w:rsidR="000F2B5F" w:rsidRPr="00FA0D37" w:rsidRDefault="000F2B5F" w:rsidP="00FA0D37">
      <w:pPr>
        <w:pStyle w:val="PL"/>
      </w:pPr>
      <w:r w:rsidRPr="00FA0D37">
        <w:t xml:space="preserve">AdditionalPCIIndex-r17  ::=  </w:t>
      </w:r>
      <w:r w:rsidRPr="00FA0D37">
        <w:rPr>
          <w:color w:val="993366"/>
        </w:rPr>
        <w:t>INTEGER</w:t>
      </w:r>
      <w:r w:rsidRPr="00FA0D37">
        <w:t>(</w:t>
      </w:r>
      <w:r w:rsidR="007B122D" w:rsidRPr="00FA0D37">
        <w:t>1</w:t>
      </w:r>
      <w:r w:rsidRPr="00FA0D37">
        <w:t>..</w:t>
      </w:r>
      <w:r w:rsidR="00F37CDC" w:rsidRPr="00FA0D37">
        <w:t>maxNrofAdditionalPCI</w:t>
      </w:r>
      <w:r w:rsidR="00CF303E" w:rsidRPr="00FA0D37">
        <w:t>-</w:t>
      </w:r>
      <w:r w:rsidRPr="00FA0D37">
        <w:t>r17)</w:t>
      </w:r>
    </w:p>
    <w:p w14:paraId="69F4DD56" w14:textId="77777777" w:rsidR="005B7637" w:rsidRPr="00FA0D37" w:rsidRDefault="005B7637" w:rsidP="00FA0D37">
      <w:pPr>
        <w:pStyle w:val="PL"/>
      </w:pPr>
    </w:p>
    <w:p w14:paraId="28A834DA" w14:textId="77777777" w:rsidR="00394471" w:rsidRPr="00FA0D37" w:rsidRDefault="00394471" w:rsidP="00FA0D37">
      <w:pPr>
        <w:pStyle w:val="PL"/>
        <w:rPr>
          <w:color w:val="808080"/>
        </w:rPr>
      </w:pPr>
      <w:r w:rsidRPr="00FA0D37">
        <w:rPr>
          <w:color w:val="808080"/>
        </w:rPr>
        <w:t>-- TAG-SSB-MTC-STOP</w:t>
      </w:r>
    </w:p>
    <w:p w14:paraId="580052C8" w14:textId="77777777" w:rsidR="00394471" w:rsidRPr="00FA0D37" w:rsidRDefault="00394471" w:rsidP="00FA0D37">
      <w:pPr>
        <w:pStyle w:val="PL"/>
        <w:rPr>
          <w:color w:val="808080"/>
        </w:rPr>
      </w:pPr>
      <w:r w:rsidRPr="00FA0D37">
        <w:rPr>
          <w:color w:val="808080"/>
        </w:rPr>
        <w:t>-- ASN1STOP</w:t>
      </w:r>
    </w:p>
    <w:p w14:paraId="1F74965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FA0D37" w:rsidRDefault="00394471" w:rsidP="00964CC4">
            <w:pPr>
              <w:pStyle w:val="TAH"/>
              <w:rPr>
                <w:szCs w:val="22"/>
                <w:lang w:eastAsia="sv-SE"/>
              </w:rPr>
            </w:pPr>
            <w:r w:rsidRPr="00FA0D37">
              <w:rPr>
                <w:i/>
                <w:szCs w:val="22"/>
                <w:lang w:eastAsia="sv-SE"/>
              </w:rPr>
              <w:t xml:space="preserve">SSB-MTC </w:t>
            </w:r>
            <w:r w:rsidRPr="00FA0D37">
              <w:rPr>
                <w:lang w:eastAsia="sv-SE"/>
              </w:rPr>
              <w:t>field descriptions</w:t>
            </w:r>
          </w:p>
        </w:tc>
      </w:tr>
      <w:tr w:rsidR="005C7FF4" w:rsidRPr="00FA0D37"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FA0D37" w:rsidRDefault="00394471" w:rsidP="00964CC4">
            <w:pPr>
              <w:pStyle w:val="TAL"/>
              <w:rPr>
                <w:szCs w:val="22"/>
                <w:lang w:eastAsia="en-GB"/>
              </w:rPr>
            </w:pPr>
            <w:r w:rsidRPr="00FA0D37">
              <w:rPr>
                <w:b/>
                <w:i/>
                <w:szCs w:val="22"/>
                <w:lang w:eastAsia="en-GB"/>
              </w:rPr>
              <w:t>duration</w:t>
            </w:r>
          </w:p>
          <w:p w14:paraId="515A2F1F" w14:textId="77777777" w:rsidR="00394471" w:rsidRPr="00FA0D37" w:rsidRDefault="00394471" w:rsidP="00964CC4">
            <w:pPr>
              <w:pStyle w:val="TAL"/>
              <w:rPr>
                <w:szCs w:val="22"/>
                <w:lang w:eastAsia="sv-SE"/>
              </w:rPr>
            </w:pPr>
            <w:r w:rsidRPr="00FA0D37">
              <w:rPr>
                <w:szCs w:val="22"/>
                <w:lang w:eastAsia="en-GB"/>
              </w:rPr>
              <w:t>Duration of the measurement window in which to receive SS/PBCH blocks. It is given in number of subframes (see TS 38.213 [13], clause 4.1).</w:t>
            </w:r>
          </w:p>
        </w:tc>
      </w:tr>
      <w:tr w:rsidR="00394471" w:rsidRPr="00FA0D37"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FA0D37" w:rsidRDefault="00394471" w:rsidP="00964CC4">
            <w:pPr>
              <w:pStyle w:val="TAL"/>
              <w:rPr>
                <w:szCs w:val="22"/>
                <w:lang w:eastAsia="sv-SE"/>
              </w:rPr>
            </w:pPr>
            <w:r w:rsidRPr="00FA0D37">
              <w:rPr>
                <w:b/>
                <w:i/>
                <w:szCs w:val="22"/>
                <w:lang w:eastAsia="sv-SE"/>
              </w:rPr>
              <w:t>periodicityAndOffset</w:t>
            </w:r>
          </w:p>
          <w:p w14:paraId="648D3B05" w14:textId="77777777" w:rsidR="00394471" w:rsidRPr="00FA0D37" w:rsidRDefault="00394471" w:rsidP="00964CC4">
            <w:pPr>
              <w:pStyle w:val="TAL"/>
              <w:rPr>
                <w:szCs w:val="22"/>
                <w:lang w:eastAsia="sv-SE"/>
              </w:rPr>
            </w:pPr>
            <w:r w:rsidRPr="00FA0D37">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FA0D37" w:rsidRDefault="00394471" w:rsidP="00964CC4">
            <w:pPr>
              <w:pStyle w:val="TAH"/>
              <w:rPr>
                <w:szCs w:val="22"/>
                <w:lang w:eastAsia="sv-SE"/>
              </w:rPr>
            </w:pPr>
            <w:r w:rsidRPr="00FA0D37">
              <w:rPr>
                <w:i/>
                <w:szCs w:val="22"/>
                <w:lang w:eastAsia="sv-SE"/>
              </w:rPr>
              <w:t xml:space="preserve">SSB-MTC2 </w:t>
            </w:r>
            <w:r w:rsidRPr="00FA0D37">
              <w:rPr>
                <w:szCs w:val="22"/>
                <w:lang w:eastAsia="sv-SE"/>
              </w:rPr>
              <w:t>field descriptions</w:t>
            </w:r>
          </w:p>
        </w:tc>
      </w:tr>
      <w:tr w:rsidR="00394471" w:rsidRPr="00FA0D37"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FA0D37" w:rsidRDefault="00394471" w:rsidP="00964CC4">
            <w:pPr>
              <w:pStyle w:val="TAL"/>
              <w:rPr>
                <w:szCs w:val="22"/>
                <w:lang w:eastAsia="sv-SE"/>
              </w:rPr>
            </w:pPr>
            <w:r w:rsidRPr="00FA0D37">
              <w:rPr>
                <w:b/>
                <w:i/>
                <w:szCs w:val="22"/>
                <w:lang w:eastAsia="sv-SE"/>
              </w:rPr>
              <w:t>pci-List</w:t>
            </w:r>
          </w:p>
          <w:p w14:paraId="6646C404" w14:textId="503E2372" w:rsidR="00394471" w:rsidRPr="00FA0D37" w:rsidRDefault="00394471" w:rsidP="00964CC4">
            <w:pPr>
              <w:pStyle w:val="TAL"/>
              <w:rPr>
                <w:szCs w:val="22"/>
                <w:lang w:eastAsia="sv-SE"/>
              </w:rPr>
            </w:pPr>
            <w:r w:rsidRPr="00FA0D37">
              <w:rPr>
                <w:szCs w:val="22"/>
                <w:lang w:eastAsia="sv-SE"/>
              </w:rPr>
              <w:t>PCIs that follow this SMTC.</w:t>
            </w:r>
          </w:p>
        </w:tc>
      </w:tr>
    </w:tbl>
    <w:p w14:paraId="36AF95A7" w14:textId="77777777" w:rsidR="00394471" w:rsidRPr="00FA0D3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FA0D37" w:rsidRDefault="00394471" w:rsidP="00964CC4">
            <w:pPr>
              <w:pStyle w:val="TAH"/>
              <w:rPr>
                <w:szCs w:val="22"/>
                <w:lang w:eastAsia="sv-SE"/>
              </w:rPr>
            </w:pPr>
            <w:r w:rsidRPr="00FA0D37">
              <w:rPr>
                <w:i/>
                <w:szCs w:val="22"/>
                <w:lang w:eastAsia="sv-SE"/>
              </w:rPr>
              <w:t xml:space="preserve">SSB-MTC3 </w:t>
            </w:r>
            <w:r w:rsidRPr="00FA0D37">
              <w:rPr>
                <w:szCs w:val="22"/>
                <w:lang w:eastAsia="sv-SE"/>
              </w:rPr>
              <w:t>field descriptions</w:t>
            </w:r>
          </w:p>
        </w:tc>
      </w:tr>
      <w:tr w:rsidR="005C7FF4" w:rsidRPr="00FA0D37"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FA0D37" w:rsidRDefault="00394471" w:rsidP="00964CC4">
            <w:pPr>
              <w:pStyle w:val="TAL"/>
              <w:rPr>
                <w:b/>
                <w:bCs/>
                <w:i/>
                <w:iCs/>
                <w:lang w:eastAsia="sv-SE"/>
              </w:rPr>
            </w:pPr>
            <w:r w:rsidRPr="00FA0D37">
              <w:rPr>
                <w:b/>
                <w:bCs/>
                <w:i/>
                <w:iCs/>
                <w:lang w:eastAsia="sv-SE"/>
              </w:rPr>
              <w:t>duration</w:t>
            </w:r>
          </w:p>
          <w:p w14:paraId="56CC895A" w14:textId="6A0B6603" w:rsidR="00394471" w:rsidRPr="00FA0D37" w:rsidRDefault="00394471" w:rsidP="00964CC4">
            <w:pPr>
              <w:pStyle w:val="TAL"/>
              <w:rPr>
                <w:b/>
                <w:lang w:eastAsia="sv-SE"/>
              </w:rPr>
            </w:pPr>
            <w:r w:rsidRPr="00FA0D37">
              <w:rPr>
                <w:lang w:eastAsia="sv-SE"/>
              </w:rPr>
              <w:t>Duration of the measurement window in which to receive SS</w:t>
            </w:r>
            <w:r w:rsidR="00A27DAE" w:rsidRPr="00FA0D37">
              <w:rPr>
                <w:szCs w:val="22"/>
                <w:lang w:eastAsia="en-GB"/>
              </w:rPr>
              <w:t>/PBCH blocks</w:t>
            </w:r>
            <w:r w:rsidRPr="00FA0D37">
              <w:rPr>
                <w:lang w:eastAsia="sv-SE"/>
              </w:rPr>
              <w:t>. It is given in number of subframes (see TS 38.213 [13], clause 4.1).</w:t>
            </w:r>
          </w:p>
        </w:tc>
      </w:tr>
      <w:tr w:rsidR="005C7FF4" w:rsidRPr="00FA0D37"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FA0D37" w:rsidRDefault="00394471" w:rsidP="00964CC4">
            <w:pPr>
              <w:pStyle w:val="TAL"/>
              <w:rPr>
                <w:b/>
                <w:i/>
                <w:szCs w:val="22"/>
                <w:lang w:eastAsia="sv-SE"/>
              </w:rPr>
            </w:pPr>
            <w:r w:rsidRPr="00FA0D37">
              <w:rPr>
                <w:b/>
                <w:i/>
                <w:szCs w:val="22"/>
                <w:lang w:eastAsia="sv-SE"/>
              </w:rPr>
              <w:t>pci-List</w:t>
            </w:r>
          </w:p>
          <w:p w14:paraId="68084BF6" w14:textId="7AE2A93F" w:rsidR="00394471" w:rsidRPr="00FA0D37" w:rsidRDefault="00394471" w:rsidP="00964CC4">
            <w:pPr>
              <w:pStyle w:val="TAL"/>
              <w:rPr>
                <w:b/>
                <w:i/>
                <w:szCs w:val="22"/>
                <w:lang w:eastAsia="sv-SE"/>
              </w:rPr>
            </w:pPr>
            <w:r w:rsidRPr="00FA0D37">
              <w:rPr>
                <w:szCs w:val="22"/>
                <w:lang w:eastAsia="sv-SE"/>
              </w:rPr>
              <w:t>PCIs that follow this SMTC, used for IAB-node discovery.</w:t>
            </w:r>
          </w:p>
        </w:tc>
      </w:tr>
      <w:tr w:rsidR="005C7FF4" w:rsidRPr="00FA0D37"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FA0D37" w:rsidRDefault="00394471" w:rsidP="00964CC4">
            <w:pPr>
              <w:pStyle w:val="TAL"/>
              <w:rPr>
                <w:b/>
                <w:i/>
                <w:szCs w:val="22"/>
                <w:lang w:eastAsia="sv-SE"/>
              </w:rPr>
            </w:pPr>
            <w:r w:rsidRPr="00FA0D37">
              <w:rPr>
                <w:b/>
                <w:i/>
                <w:szCs w:val="22"/>
                <w:lang w:eastAsia="sv-SE"/>
              </w:rPr>
              <w:t>periodicityAndOffset</w:t>
            </w:r>
          </w:p>
          <w:p w14:paraId="59BF80F9" w14:textId="4E5FE422" w:rsidR="00394471" w:rsidRPr="00FA0D37" w:rsidRDefault="00394471" w:rsidP="00964CC4">
            <w:pPr>
              <w:pStyle w:val="TAL"/>
              <w:rPr>
                <w:szCs w:val="22"/>
                <w:lang w:eastAsia="sv-SE"/>
              </w:rPr>
            </w:pPr>
            <w:r w:rsidRPr="00FA0D37">
              <w:rPr>
                <w:szCs w:val="22"/>
                <w:lang w:eastAsia="sv-SE"/>
              </w:rPr>
              <w:t>Periodicity and offset of the measurement window in which to receive SS</w:t>
            </w:r>
            <w:r w:rsidR="00A27DAE" w:rsidRPr="00FA0D37">
              <w:rPr>
                <w:szCs w:val="22"/>
                <w:lang w:eastAsia="en-GB"/>
              </w:rPr>
              <w:t>/PBCH blocks</w:t>
            </w:r>
            <w:r w:rsidRPr="00FA0D37">
              <w:rPr>
                <w:szCs w:val="22"/>
                <w:lang w:eastAsia="sv-SE"/>
              </w:rPr>
              <w:t>, see 5.5.2.10. Periodicity and offset are given in number of subframes.</w:t>
            </w:r>
          </w:p>
        </w:tc>
      </w:tr>
      <w:tr w:rsidR="00F747EB" w:rsidRPr="00FA0D37"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FA0D37" w:rsidRDefault="00394471" w:rsidP="00964CC4">
            <w:pPr>
              <w:pStyle w:val="TAL"/>
              <w:rPr>
                <w:szCs w:val="22"/>
              </w:rPr>
            </w:pPr>
            <w:r w:rsidRPr="00FA0D37">
              <w:rPr>
                <w:b/>
                <w:i/>
                <w:szCs w:val="22"/>
              </w:rPr>
              <w:t>ssb-ToMeasure</w:t>
            </w:r>
          </w:p>
          <w:p w14:paraId="65E2D2EB" w14:textId="77777777" w:rsidR="00394471" w:rsidRPr="00FA0D37" w:rsidDel="00CE6070" w:rsidRDefault="00394471" w:rsidP="00964CC4">
            <w:pPr>
              <w:pStyle w:val="TAL"/>
              <w:rPr>
                <w:b/>
                <w:i/>
                <w:szCs w:val="22"/>
                <w:lang w:eastAsia="sv-SE"/>
              </w:rPr>
            </w:pPr>
            <w:r w:rsidRPr="00FA0D37">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FA0D37">
              <w:rPr>
                <w:i/>
                <w:szCs w:val="22"/>
              </w:rPr>
              <w:t>smtc</w:t>
            </w:r>
            <w:r w:rsidRPr="00FA0D37">
              <w:rPr>
                <w:szCs w:val="22"/>
              </w:rPr>
              <w:t xml:space="preserve"> are not to be measured. See TS 38.215 [9] clause 5.1.1.</w:t>
            </w:r>
          </w:p>
        </w:tc>
      </w:tr>
    </w:tbl>
    <w:p w14:paraId="6A44A982" w14:textId="77777777" w:rsidR="0090199E" w:rsidRPr="00FA0D37" w:rsidRDefault="0090199E" w:rsidP="0090199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FA0D37" w:rsidRDefault="0090199E" w:rsidP="0071565C">
            <w:pPr>
              <w:pStyle w:val="TAH"/>
              <w:rPr>
                <w:szCs w:val="22"/>
                <w:lang w:eastAsia="sv-SE"/>
              </w:rPr>
            </w:pPr>
            <w:r w:rsidRPr="00FA0D37">
              <w:rPr>
                <w:i/>
                <w:szCs w:val="22"/>
                <w:lang w:eastAsia="sv-SE"/>
              </w:rPr>
              <w:t xml:space="preserve">SSB-MTC4 </w:t>
            </w:r>
            <w:r w:rsidRPr="00FA0D37">
              <w:rPr>
                <w:szCs w:val="22"/>
                <w:lang w:eastAsia="sv-SE"/>
              </w:rPr>
              <w:t>field descriptions</w:t>
            </w:r>
          </w:p>
        </w:tc>
      </w:tr>
      <w:tr w:rsidR="005C7FF4" w:rsidRPr="00FA0D37"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FA0D37" w:rsidRDefault="0090199E" w:rsidP="0071565C">
            <w:pPr>
              <w:pStyle w:val="TAL"/>
              <w:rPr>
                <w:b/>
                <w:i/>
                <w:szCs w:val="22"/>
                <w:lang w:eastAsia="sv-SE"/>
              </w:rPr>
            </w:pPr>
            <w:r w:rsidRPr="00FA0D37">
              <w:rPr>
                <w:b/>
                <w:i/>
                <w:szCs w:val="22"/>
                <w:lang w:eastAsia="sv-SE"/>
              </w:rPr>
              <w:t>pci-List</w:t>
            </w:r>
          </w:p>
          <w:p w14:paraId="21DF98B3" w14:textId="6483D81C" w:rsidR="0090199E" w:rsidRPr="00FA0D37" w:rsidRDefault="0090199E" w:rsidP="0071565C">
            <w:pPr>
              <w:pStyle w:val="TAL"/>
              <w:rPr>
                <w:b/>
                <w:lang w:eastAsia="sv-SE"/>
              </w:rPr>
            </w:pPr>
            <w:r w:rsidRPr="00FA0D37">
              <w:rPr>
                <w:szCs w:val="22"/>
                <w:lang w:eastAsia="sv-SE"/>
              </w:rPr>
              <w:t>PCIs that follow this SMTC.</w:t>
            </w:r>
          </w:p>
        </w:tc>
      </w:tr>
      <w:tr w:rsidR="00F747EB" w:rsidRPr="00FA0D37"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FA0D37" w:rsidRDefault="0090199E" w:rsidP="0071565C">
            <w:pPr>
              <w:pStyle w:val="TAL"/>
              <w:rPr>
                <w:b/>
                <w:i/>
                <w:szCs w:val="22"/>
                <w:lang w:eastAsia="sv-SE"/>
              </w:rPr>
            </w:pPr>
            <w:r w:rsidRPr="00FA0D37">
              <w:rPr>
                <w:b/>
                <w:i/>
                <w:szCs w:val="22"/>
                <w:lang w:eastAsia="sv-SE"/>
              </w:rPr>
              <w:t>offset</w:t>
            </w:r>
          </w:p>
          <w:p w14:paraId="0BE054EA" w14:textId="77777777" w:rsidR="0090199E" w:rsidRPr="00FA0D37" w:rsidRDefault="0090199E" w:rsidP="0071565C">
            <w:pPr>
              <w:pStyle w:val="TAL"/>
              <w:rPr>
                <w:b/>
                <w:i/>
                <w:szCs w:val="22"/>
                <w:lang w:eastAsia="sv-SE"/>
              </w:rPr>
            </w:pPr>
            <w:r w:rsidRPr="00FA0D37">
              <w:rPr>
                <w:szCs w:val="22"/>
                <w:lang w:eastAsia="sv-SE"/>
              </w:rPr>
              <w:t>Offset of the measurement window in which to receive SS</w:t>
            </w:r>
            <w:r w:rsidRPr="00FA0D37">
              <w:rPr>
                <w:szCs w:val="22"/>
                <w:lang w:eastAsia="en-GB"/>
              </w:rPr>
              <w:t>/PBCH blocks</w:t>
            </w:r>
            <w:r w:rsidRPr="00FA0D37">
              <w:rPr>
                <w:szCs w:val="22"/>
                <w:lang w:eastAsia="sv-SE"/>
              </w:rPr>
              <w:t>, see 5.5.2.10. Offset is given in number of subframes.</w:t>
            </w:r>
          </w:p>
        </w:tc>
      </w:tr>
    </w:tbl>
    <w:p w14:paraId="0116FF16" w14:textId="77777777" w:rsidR="0090199E" w:rsidRPr="00FA0D37" w:rsidRDefault="0090199E" w:rsidP="000645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FA0D37" w:rsidRDefault="00064591" w:rsidP="00771058">
            <w:pPr>
              <w:pStyle w:val="TAH"/>
              <w:rPr>
                <w:szCs w:val="22"/>
                <w:lang w:eastAsia="sv-SE"/>
              </w:rPr>
            </w:pPr>
            <w:r w:rsidRPr="00FA0D37">
              <w:rPr>
                <w:i/>
                <w:szCs w:val="22"/>
                <w:lang w:eastAsia="sv-SE"/>
              </w:rPr>
              <w:lastRenderedPageBreak/>
              <w:t xml:space="preserve">SSB-MTC-AdditionalPCI </w:t>
            </w:r>
            <w:r w:rsidRPr="00FA0D37">
              <w:rPr>
                <w:szCs w:val="22"/>
                <w:lang w:eastAsia="sv-SE"/>
              </w:rPr>
              <w:t>field descriptions</w:t>
            </w:r>
          </w:p>
        </w:tc>
      </w:tr>
      <w:tr w:rsidR="005C7FF4" w:rsidRPr="00FA0D37"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FA0D37" w:rsidRDefault="00064591" w:rsidP="00771058">
            <w:pPr>
              <w:pStyle w:val="TAL"/>
              <w:rPr>
                <w:b/>
                <w:i/>
                <w:szCs w:val="22"/>
                <w:lang w:eastAsia="sv-SE"/>
              </w:rPr>
            </w:pPr>
            <w:r w:rsidRPr="00FA0D37">
              <w:rPr>
                <w:b/>
                <w:i/>
                <w:szCs w:val="22"/>
                <w:lang w:eastAsia="sv-SE"/>
              </w:rPr>
              <w:t>additionalPCI</w:t>
            </w:r>
          </w:p>
          <w:p w14:paraId="570C2D85" w14:textId="40DBF737" w:rsidR="00064591" w:rsidRPr="00FA0D37" w:rsidRDefault="00064591" w:rsidP="00771058">
            <w:pPr>
              <w:pStyle w:val="TAL"/>
              <w:rPr>
                <w:b/>
                <w:lang w:eastAsia="sv-SE"/>
              </w:rPr>
            </w:pPr>
            <w:r w:rsidRPr="00FA0D37">
              <w:rPr>
                <w:szCs w:val="22"/>
                <w:lang w:eastAsia="sv-SE"/>
              </w:rPr>
              <w:t>PCI of the additional SSB different from serving cell PCI.</w:t>
            </w:r>
          </w:p>
        </w:tc>
      </w:tr>
      <w:tr w:rsidR="005C7FF4" w:rsidRPr="00FA0D37"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FA0D37" w:rsidRDefault="00064591" w:rsidP="00771058">
            <w:pPr>
              <w:pStyle w:val="TAL"/>
              <w:rPr>
                <w:b/>
                <w:i/>
                <w:szCs w:val="22"/>
                <w:lang w:eastAsia="sv-SE"/>
              </w:rPr>
            </w:pPr>
            <w:r w:rsidRPr="00FA0D37">
              <w:rPr>
                <w:b/>
                <w:i/>
                <w:szCs w:val="22"/>
                <w:lang w:eastAsia="sv-SE"/>
              </w:rPr>
              <w:t>periodicity</w:t>
            </w:r>
          </w:p>
          <w:p w14:paraId="3B8219C5" w14:textId="77777777" w:rsidR="00064591" w:rsidRPr="00FA0D37" w:rsidRDefault="00064591" w:rsidP="00771058">
            <w:pPr>
              <w:pStyle w:val="TAL"/>
              <w:rPr>
                <w:b/>
                <w:i/>
                <w:szCs w:val="22"/>
                <w:lang w:eastAsia="sv-SE"/>
              </w:rPr>
            </w:pPr>
            <w:r w:rsidRPr="00FA0D37">
              <w:rPr>
                <w:szCs w:val="22"/>
                <w:lang w:eastAsia="sv-SE"/>
              </w:rPr>
              <w:t>Periodicity of the SS</w:t>
            </w:r>
            <w:r w:rsidRPr="00FA0D37">
              <w:rPr>
                <w:szCs w:val="22"/>
                <w:lang w:eastAsia="en-GB"/>
              </w:rPr>
              <w:t>/PBCH blocks</w:t>
            </w:r>
            <w:r w:rsidRPr="00FA0D37">
              <w:rPr>
                <w:szCs w:val="22"/>
                <w:lang w:eastAsia="sv-SE"/>
              </w:rPr>
              <w:t>, see 5.5.2.10. Periodicity is given in number of subframes.</w:t>
            </w:r>
          </w:p>
        </w:tc>
      </w:tr>
      <w:tr w:rsidR="005C7FF4" w:rsidRPr="00FA0D37"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FA0D37" w:rsidRDefault="00064591" w:rsidP="00771058">
            <w:pPr>
              <w:pStyle w:val="TAL"/>
              <w:rPr>
                <w:szCs w:val="22"/>
                <w:lang w:eastAsia="sv-SE"/>
              </w:rPr>
            </w:pPr>
            <w:r w:rsidRPr="00FA0D37">
              <w:rPr>
                <w:b/>
                <w:i/>
                <w:szCs w:val="22"/>
                <w:lang w:eastAsia="sv-SE"/>
              </w:rPr>
              <w:t>ssb-PositionsInBurst</w:t>
            </w:r>
          </w:p>
          <w:p w14:paraId="2163C3E6" w14:textId="5BC5730F" w:rsidR="00064591" w:rsidRPr="00FA0D37" w:rsidRDefault="00064591" w:rsidP="00771058">
            <w:pPr>
              <w:pStyle w:val="TAL"/>
              <w:rPr>
                <w:szCs w:val="22"/>
                <w:lang w:eastAsia="sv-SE"/>
              </w:rPr>
            </w:pPr>
            <w:r w:rsidRPr="00FA0D37">
              <w:rPr>
                <w:szCs w:val="22"/>
              </w:rPr>
              <w:t>I</w:t>
            </w:r>
            <w:r w:rsidRPr="00FA0D37">
              <w:rPr>
                <w:szCs w:val="22"/>
                <w:lang w:eastAsia="sv-SE"/>
              </w:rPr>
              <w:t xml:space="preserve">ndicates the time domain positions of the transmitted SS-blocks in </w:t>
            </w:r>
            <w:r w:rsidRPr="00FA0D37">
              <w:rPr>
                <w:lang w:eastAsia="sv-SE"/>
              </w:rPr>
              <w:t>a half frame with SS/PBCH blocks</w:t>
            </w:r>
            <w:r w:rsidRPr="00FA0D3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FA0D37"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FA0D37" w:rsidRDefault="00064591" w:rsidP="00771058">
            <w:pPr>
              <w:pStyle w:val="TAL"/>
              <w:rPr>
                <w:szCs w:val="22"/>
                <w:lang w:eastAsia="sv-SE"/>
              </w:rPr>
            </w:pPr>
            <w:r w:rsidRPr="00FA0D37">
              <w:rPr>
                <w:b/>
                <w:i/>
                <w:szCs w:val="22"/>
                <w:lang w:eastAsia="sv-SE"/>
              </w:rPr>
              <w:t>ss-PBCH-BlockPower</w:t>
            </w:r>
          </w:p>
          <w:p w14:paraId="46AE76FE" w14:textId="77777777" w:rsidR="00064591" w:rsidRPr="00FA0D37" w:rsidDel="00CE6070" w:rsidRDefault="00064591" w:rsidP="00771058">
            <w:pPr>
              <w:pStyle w:val="TAL"/>
              <w:rPr>
                <w:szCs w:val="22"/>
                <w:lang w:eastAsia="sv-SE"/>
              </w:rPr>
            </w:pPr>
            <w:r w:rsidRPr="00FA0D37">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FA0D37" w:rsidRDefault="00394471" w:rsidP="00394471"/>
    <w:p w14:paraId="793DF91A" w14:textId="77777777" w:rsidR="00394471" w:rsidRPr="00FA0D37" w:rsidRDefault="00394471" w:rsidP="00394471">
      <w:pPr>
        <w:pStyle w:val="4"/>
      </w:pPr>
      <w:bookmarkStart w:id="1439" w:name="_Toc60777403"/>
      <w:bookmarkStart w:id="1440" w:name="_Toc146781489"/>
      <w:r w:rsidRPr="00FA0D37">
        <w:t>–</w:t>
      </w:r>
      <w:r w:rsidRPr="00FA0D37">
        <w:tab/>
      </w:r>
      <w:r w:rsidRPr="00FA0D37">
        <w:rPr>
          <w:i/>
          <w:iCs/>
        </w:rPr>
        <w:t>SSB</w:t>
      </w:r>
      <w:r w:rsidRPr="00FA0D37">
        <w:rPr>
          <w:rFonts w:cs="Courier New"/>
          <w:i/>
          <w:iCs/>
        </w:rPr>
        <w:t>-PositionQCL-Relation</w:t>
      </w:r>
      <w:bookmarkEnd w:id="1439"/>
      <w:bookmarkEnd w:id="1440"/>
    </w:p>
    <w:p w14:paraId="598A637D" w14:textId="77777777" w:rsidR="00394471" w:rsidRPr="00FA0D37" w:rsidRDefault="00394471" w:rsidP="00394471">
      <w:r w:rsidRPr="00FA0D37">
        <w:t xml:space="preserve">The IE </w:t>
      </w:r>
      <w:r w:rsidRPr="00FA0D37">
        <w:rPr>
          <w:i/>
        </w:rPr>
        <w:t xml:space="preserve">SSB-PositionQCL-Relation </w:t>
      </w:r>
      <w:r w:rsidRPr="00FA0D37">
        <w:t xml:space="preserve">is used to indicate the </w:t>
      </w:r>
      <w:r w:rsidRPr="00FA0D37">
        <w:rPr>
          <w:rFonts w:cs="Arial"/>
          <w:bCs/>
          <w:lang w:eastAsia="en-GB"/>
        </w:rPr>
        <w:t xml:space="preserve">QCL relationship between SSB positions on the frequency indicated by </w:t>
      </w:r>
      <w:r w:rsidRPr="00FA0D37">
        <w:rPr>
          <w:rFonts w:cs="Arial"/>
          <w:i/>
          <w:iCs/>
          <w:szCs w:val="18"/>
        </w:rPr>
        <w:t>ssbFrequency</w:t>
      </w:r>
      <w:r w:rsidRPr="00FA0D37">
        <w:rPr>
          <w:rFonts w:cs="Arial"/>
          <w:bCs/>
          <w:lang w:eastAsia="en-GB"/>
        </w:rPr>
        <w:t xml:space="preserve"> (see TS 38.213 [13], clause 4.1) for operation with shared spectrum channel access. Value n1 corresponds to 1, value n2 corresponds to 2 and so on</w:t>
      </w:r>
      <w:r w:rsidRPr="00FA0D37">
        <w:t>.</w:t>
      </w:r>
    </w:p>
    <w:p w14:paraId="2D1794CB" w14:textId="77777777" w:rsidR="00394471" w:rsidRPr="00FA0D37" w:rsidRDefault="00394471" w:rsidP="00394471">
      <w:pPr>
        <w:pStyle w:val="TH"/>
        <w:rPr>
          <w:b w:val="0"/>
        </w:rPr>
      </w:pPr>
      <w:r w:rsidRPr="00FA0D37">
        <w:rPr>
          <w:i/>
          <w:iCs/>
          <w:lang w:eastAsia="x-none"/>
        </w:rPr>
        <w:t>SSB-PositionQCL-Relation</w:t>
      </w:r>
      <w:r w:rsidRPr="00FA0D37">
        <w:t xml:space="preserve"> information element</w:t>
      </w:r>
    </w:p>
    <w:p w14:paraId="7CB3F62D" w14:textId="77777777" w:rsidR="00394471" w:rsidRPr="00FA0D37" w:rsidRDefault="00394471" w:rsidP="00FA0D37">
      <w:pPr>
        <w:pStyle w:val="PL"/>
        <w:rPr>
          <w:color w:val="808080"/>
        </w:rPr>
      </w:pPr>
      <w:r w:rsidRPr="00FA0D37">
        <w:rPr>
          <w:color w:val="808080"/>
        </w:rPr>
        <w:t>-- ASN1START</w:t>
      </w:r>
    </w:p>
    <w:p w14:paraId="1EF812A9" w14:textId="77777777" w:rsidR="00394471" w:rsidRPr="00FA0D37" w:rsidRDefault="00394471" w:rsidP="00FA0D37">
      <w:pPr>
        <w:pStyle w:val="PL"/>
        <w:rPr>
          <w:color w:val="808080"/>
        </w:rPr>
      </w:pPr>
      <w:r w:rsidRPr="00FA0D37">
        <w:rPr>
          <w:color w:val="808080"/>
        </w:rPr>
        <w:t>-- TAG-SSB-POSITIONQCL-RELATION-START</w:t>
      </w:r>
    </w:p>
    <w:p w14:paraId="2DF0B00B" w14:textId="77777777" w:rsidR="00394471" w:rsidRPr="00FA0D37" w:rsidRDefault="00394471" w:rsidP="00FA0D37">
      <w:pPr>
        <w:pStyle w:val="PL"/>
      </w:pPr>
    </w:p>
    <w:p w14:paraId="1A8E69D0" w14:textId="77777777" w:rsidR="00F12A49" w:rsidRPr="00FA0D37" w:rsidRDefault="00394471" w:rsidP="00FA0D37">
      <w:pPr>
        <w:pStyle w:val="PL"/>
      </w:pPr>
      <w:r w:rsidRPr="00FA0D37">
        <w:t xml:space="preserve">SSB-PositionQCL-Relation-r16 ::=  </w:t>
      </w:r>
      <w:r w:rsidRPr="00FA0D37">
        <w:rPr>
          <w:color w:val="993366"/>
        </w:rPr>
        <w:t>ENUMERATED</w:t>
      </w:r>
      <w:r w:rsidRPr="00FA0D37">
        <w:t xml:space="preserve"> {n1,n2,n4,n8}</w:t>
      </w:r>
    </w:p>
    <w:p w14:paraId="647E1B1D" w14:textId="77777777" w:rsidR="00F12A49" w:rsidRPr="00FA0D37" w:rsidRDefault="00F12A49" w:rsidP="00FA0D37">
      <w:pPr>
        <w:pStyle w:val="PL"/>
      </w:pPr>
    </w:p>
    <w:p w14:paraId="059E56E3" w14:textId="54E31D79" w:rsidR="00394471" w:rsidRPr="00FA0D37" w:rsidRDefault="00F12A49" w:rsidP="00FA0D37">
      <w:pPr>
        <w:pStyle w:val="PL"/>
      </w:pPr>
      <w:r w:rsidRPr="00FA0D37">
        <w:t xml:space="preserve">SSB-PositionQCL-Relation-r17 ::=  </w:t>
      </w:r>
      <w:r w:rsidRPr="00FA0D37">
        <w:rPr>
          <w:color w:val="993366"/>
        </w:rPr>
        <w:t>ENUMERATED</w:t>
      </w:r>
      <w:r w:rsidRPr="00FA0D37">
        <w:t xml:space="preserve"> {n32, n64}</w:t>
      </w:r>
    </w:p>
    <w:p w14:paraId="2678017B" w14:textId="77777777" w:rsidR="00394471" w:rsidRPr="00FA0D37" w:rsidRDefault="00394471" w:rsidP="00FA0D37">
      <w:pPr>
        <w:pStyle w:val="PL"/>
      </w:pPr>
    </w:p>
    <w:p w14:paraId="64DD9C4E" w14:textId="77777777" w:rsidR="00394471" w:rsidRPr="00FA0D37" w:rsidRDefault="00394471" w:rsidP="00FA0D37">
      <w:pPr>
        <w:pStyle w:val="PL"/>
        <w:rPr>
          <w:color w:val="808080"/>
        </w:rPr>
      </w:pPr>
      <w:r w:rsidRPr="00FA0D37">
        <w:rPr>
          <w:color w:val="808080"/>
        </w:rPr>
        <w:t>-- TAG-SSB-POSITIONQCL-RELATION-STOP</w:t>
      </w:r>
    </w:p>
    <w:p w14:paraId="24C24743" w14:textId="77777777" w:rsidR="00394471" w:rsidRPr="00FA0D37" w:rsidRDefault="00394471" w:rsidP="00FA0D37">
      <w:pPr>
        <w:pStyle w:val="PL"/>
        <w:rPr>
          <w:color w:val="808080"/>
        </w:rPr>
      </w:pPr>
      <w:r w:rsidRPr="00FA0D37">
        <w:rPr>
          <w:color w:val="808080"/>
        </w:rPr>
        <w:t>-- ASN1STOP</w:t>
      </w:r>
    </w:p>
    <w:p w14:paraId="4C349088" w14:textId="77777777" w:rsidR="00394471" w:rsidRPr="00FA0D37" w:rsidRDefault="00394471" w:rsidP="00394471"/>
    <w:p w14:paraId="17999E48" w14:textId="77777777" w:rsidR="00394471" w:rsidRPr="00FA0D37" w:rsidRDefault="00394471" w:rsidP="00394471">
      <w:pPr>
        <w:pStyle w:val="4"/>
      </w:pPr>
      <w:bookmarkStart w:id="1441" w:name="_Toc60777404"/>
      <w:bookmarkStart w:id="1442" w:name="_Toc146781490"/>
      <w:r w:rsidRPr="00FA0D37">
        <w:t>–</w:t>
      </w:r>
      <w:r w:rsidRPr="00FA0D37">
        <w:tab/>
      </w:r>
      <w:r w:rsidRPr="00FA0D37">
        <w:rPr>
          <w:i/>
        </w:rPr>
        <w:t>SSB-ToMeasure</w:t>
      </w:r>
      <w:bookmarkEnd w:id="1441"/>
      <w:bookmarkEnd w:id="1442"/>
    </w:p>
    <w:p w14:paraId="7B59E0B5" w14:textId="37CB48AC" w:rsidR="00394471" w:rsidRPr="00FA0D37" w:rsidRDefault="00394471" w:rsidP="00394471">
      <w:r w:rsidRPr="00FA0D37">
        <w:t xml:space="preserve">The IE </w:t>
      </w:r>
      <w:r w:rsidRPr="00FA0D37">
        <w:rPr>
          <w:i/>
        </w:rPr>
        <w:t>SSB-ToMeasure</w:t>
      </w:r>
      <w:r w:rsidRPr="00FA0D37">
        <w:t xml:space="preserve"> is used to configure a pattern of SSBs.</w:t>
      </w:r>
      <w:r w:rsidR="004545C1" w:rsidRPr="00FA0D37">
        <w:t xml:space="preserve"> For operation with shared spectrum channel access</w:t>
      </w:r>
      <w:r w:rsidR="00F12A49" w:rsidRPr="00FA0D37">
        <w:rPr>
          <w:szCs w:val="22"/>
          <w:lang w:eastAsia="sv-SE"/>
        </w:rPr>
        <w:t xml:space="preserve"> in FR1</w:t>
      </w:r>
      <w:r w:rsidR="004545C1" w:rsidRPr="00FA0D37">
        <w:t xml:space="preserve">, only </w:t>
      </w:r>
      <w:r w:rsidR="004545C1" w:rsidRPr="00FA0D37">
        <w:rPr>
          <w:i/>
          <w:iCs/>
        </w:rPr>
        <w:t>mediumBitmap</w:t>
      </w:r>
      <w:r w:rsidR="004545C1" w:rsidRPr="00FA0D37">
        <w:t xml:space="preserve"> is used</w:t>
      </w:r>
      <w:r w:rsidR="00F12A49" w:rsidRPr="00FA0D37">
        <w:rPr>
          <w:szCs w:val="22"/>
          <w:lang w:eastAsia="sv-SE"/>
        </w:rPr>
        <w:t xml:space="preserve">, and for FR2-2, </w:t>
      </w:r>
      <w:r w:rsidR="00F12A49" w:rsidRPr="00FA0D37">
        <w:rPr>
          <w:i/>
          <w:iCs/>
          <w:szCs w:val="22"/>
          <w:lang w:eastAsia="sv-SE"/>
        </w:rPr>
        <w:t>longBitmap</w:t>
      </w:r>
      <w:r w:rsidR="00F12A49" w:rsidRPr="00FA0D37">
        <w:rPr>
          <w:szCs w:val="22"/>
          <w:lang w:eastAsia="sv-SE"/>
        </w:rPr>
        <w:t xml:space="preserve"> is used</w:t>
      </w:r>
      <w:r w:rsidR="004545C1" w:rsidRPr="00FA0D37">
        <w:t>.</w:t>
      </w:r>
    </w:p>
    <w:p w14:paraId="420E7491" w14:textId="77777777" w:rsidR="00394471" w:rsidRPr="00FA0D37" w:rsidRDefault="00394471" w:rsidP="00394471">
      <w:pPr>
        <w:pStyle w:val="TH"/>
      </w:pPr>
      <w:r w:rsidRPr="00FA0D37">
        <w:rPr>
          <w:i/>
        </w:rPr>
        <w:t>SSB-ToMeasure</w:t>
      </w:r>
      <w:r w:rsidRPr="00FA0D37">
        <w:t xml:space="preserve"> information element</w:t>
      </w:r>
    </w:p>
    <w:p w14:paraId="3F9ABF69" w14:textId="77777777" w:rsidR="00394471" w:rsidRPr="00FA0D37" w:rsidRDefault="00394471" w:rsidP="00FA0D37">
      <w:pPr>
        <w:pStyle w:val="PL"/>
        <w:rPr>
          <w:color w:val="808080"/>
        </w:rPr>
      </w:pPr>
      <w:r w:rsidRPr="00FA0D37">
        <w:rPr>
          <w:color w:val="808080"/>
        </w:rPr>
        <w:t>-- ASN1START</w:t>
      </w:r>
    </w:p>
    <w:p w14:paraId="2EADE5BA" w14:textId="77777777" w:rsidR="00394471" w:rsidRPr="00FA0D37" w:rsidRDefault="00394471" w:rsidP="00FA0D37">
      <w:pPr>
        <w:pStyle w:val="PL"/>
        <w:rPr>
          <w:color w:val="808080"/>
        </w:rPr>
      </w:pPr>
      <w:r w:rsidRPr="00FA0D37">
        <w:rPr>
          <w:color w:val="808080"/>
        </w:rPr>
        <w:t>-- TAG-SSB-TOMEASURE-START</w:t>
      </w:r>
    </w:p>
    <w:p w14:paraId="6052EE74" w14:textId="77777777" w:rsidR="00394471" w:rsidRPr="00FA0D37" w:rsidRDefault="00394471" w:rsidP="00FA0D37">
      <w:pPr>
        <w:pStyle w:val="PL"/>
      </w:pPr>
    </w:p>
    <w:p w14:paraId="6892C8D5" w14:textId="77777777" w:rsidR="00394471" w:rsidRPr="00FA0D37" w:rsidRDefault="00394471" w:rsidP="00FA0D37">
      <w:pPr>
        <w:pStyle w:val="PL"/>
      </w:pPr>
      <w:r w:rsidRPr="00FA0D37">
        <w:t xml:space="preserve">SSB-ToMeasure ::=                   </w:t>
      </w:r>
      <w:r w:rsidRPr="00FA0D37">
        <w:rPr>
          <w:color w:val="993366"/>
        </w:rPr>
        <w:t>CHOICE</w:t>
      </w:r>
      <w:r w:rsidRPr="00FA0D37">
        <w:t xml:space="preserve"> {</w:t>
      </w:r>
    </w:p>
    <w:p w14:paraId="622F7469" w14:textId="77777777" w:rsidR="00394471" w:rsidRPr="00FA0D37" w:rsidRDefault="00394471" w:rsidP="00FA0D37">
      <w:pPr>
        <w:pStyle w:val="PL"/>
      </w:pPr>
      <w:r w:rsidRPr="00FA0D37">
        <w:t xml:space="preserve">    shortBitmap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p>
    <w:p w14:paraId="5191C299" w14:textId="77777777" w:rsidR="00394471" w:rsidRPr="00FA0D37" w:rsidRDefault="00394471" w:rsidP="00FA0D37">
      <w:pPr>
        <w:pStyle w:val="PL"/>
      </w:pPr>
      <w:r w:rsidRPr="00FA0D37">
        <w:t xml:space="preserve">    mediumBitmap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w:t>
      </w:r>
    </w:p>
    <w:p w14:paraId="5FE35B58" w14:textId="77777777" w:rsidR="00394471" w:rsidRPr="00FA0D37" w:rsidRDefault="00394471" w:rsidP="00FA0D37">
      <w:pPr>
        <w:pStyle w:val="PL"/>
      </w:pPr>
      <w:r w:rsidRPr="00FA0D37">
        <w:t xml:space="preserve">    longBitmap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(64))</w:t>
      </w:r>
    </w:p>
    <w:p w14:paraId="30343129" w14:textId="77777777" w:rsidR="00394471" w:rsidRPr="00FA0D37" w:rsidRDefault="00394471" w:rsidP="00FA0D37">
      <w:pPr>
        <w:pStyle w:val="PL"/>
      </w:pPr>
      <w:r w:rsidRPr="00FA0D37">
        <w:t>}</w:t>
      </w:r>
    </w:p>
    <w:p w14:paraId="5D4EC4D7" w14:textId="77777777" w:rsidR="00394471" w:rsidRPr="00FA0D37" w:rsidRDefault="00394471" w:rsidP="00FA0D37">
      <w:pPr>
        <w:pStyle w:val="PL"/>
      </w:pPr>
    </w:p>
    <w:p w14:paraId="31E248DE" w14:textId="77777777" w:rsidR="00394471" w:rsidRPr="00FA0D37" w:rsidRDefault="00394471" w:rsidP="00FA0D37">
      <w:pPr>
        <w:pStyle w:val="PL"/>
        <w:rPr>
          <w:color w:val="808080"/>
        </w:rPr>
      </w:pPr>
      <w:r w:rsidRPr="00FA0D37">
        <w:rPr>
          <w:color w:val="808080"/>
        </w:rPr>
        <w:t>-- TAG-SSB-TOMEASURE-STOP</w:t>
      </w:r>
    </w:p>
    <w:p w14:paraId="5112418B" w14:textId="77777777" w:rsidR="00394471" w:rsidRPr="00FA0D37" w:rsidRDefault="00394471" w:rsidP="00FA0D37">
      <w:pPr>
        <w:pStyle w:val="PL"/>
        <w:rPr>
          <w:color w:val="808080"/>
        </w:rPr>
      </w:pPr>
      <w:r w:rsidRPr="00FA0D37">
        <w:rPr>
          <w:color w:val="808080"/>
        </w:rPr>
        <w:t>-- ASN1STOP</w:t>
      </w:r>
    </w:p>
    <w:p w14:paraId="4469439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FA0D37" w:rsidRDefault="00394471" w:rsidP="00964CC4">
            <w:pPr>
              <w:pStyle w:val="TAH"/>
              <w:rPr>
                <w:szCs w:val="22"/>
                <w:lang w:eastAsia="sv-SE"/>
              </w:rPr>
            </w:pPr>
            <w:r w:rsidRPr="00FA0D37">
              <w:rPr>
                <w:i/>
                <w:szCs w:val="22"/>
                <w:lang w:eastAsia="sv-SE"/>
              </w:rPr>
              <w:t xml:space="preserve">SSB-ToMeasure </w:t>
            </w:r>
            <w:r w:rsidRPr="00FA0D37">
              <w:rPr>
                <w:szCs w:val="22"/>
                <w:lang w:eastAsia="sv-SE"/>
              </w:rPr>
              <w:t>field descriptions</w:t>
            </w:r>
          </w:p>
        </w:tc>
      </w:tr>
      <w:tr w:rsidR="005C7FF4" w:rsidRPr="00FA0D37"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FA0D37" w:rsidRDefault="00394471" w:rsidP="00964CC4">
            <w:pPr>
              <w:pStyle w:val="TAL"/>
              <w:rPr>
                <w:szCs w:val="22"/>
                <w:lang w:eastAsia="sv-SE"/>
              </w:rPr>
            </w:pPr>
            <w:r w:rsidRPr="00FA0D37">
              <w:rPr>
                <w:b/>
                <w:i/>
                <w:szCs w:val="22"/>
                <w:lang w:eastAsia="sv-SE"/>
              </w:rPr>
              <w:t>longBitmap</w:t>
            </w:r>
          </w:p>
          <w:p w14:paraId="52A3C2E7" w14:textId="16377225" w:rsidR="00394471" w:rsidRPr="00FA0D37" w:rsidRDefault="00394471" w:rsidP="00964CC4">
            <w:pPr>
              <w:pStyle w:val="TAL"/>
              <w:rPr>
                <w:szCs w:val="22"/>
                <w:lang w:eastAsia="sv-SE"/>
              </w:rPr>
            </w:pPr>
            <w:r w:rsidRPr="00FA0D37">
              <w:rPr>
                <w:szCs w:val="22"/>
                <w:lang w:eastAsia="sv-SE"/>
              </w:rPr>
              <w:t>Bitmap when maximum number of SS/PBCH blocks per half frame equals to 64 as defined in TS 38.213 [13], clause 4.1.</w:t>
            </w:r>
            <w:r w:rsidR="00F12A49" w:rsidRPr="00FA0D37">
              <w:rPr>
                <w:szCs w:val="22"/>
                <w:lang w:eastAsia="sv-SE"/>
              </w:rPr>
              <w:t xml:space="preserve"> </w:t>
            </w:r>
            <w:r w:rsidR="00F12A49" w:rsidRPr="00FA0D37">
              <w:t>For operation with shared spectrum channel access in FR2-2, i</w:t>
            </w:r>
            <w:r w:rsidR="00F12A49" w:rsidRPr="00FA0D37">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5C7FF4" w:rsidRPr="00FA0D37"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FA0D37" w:rsidRDefault="00394471" w:rsidP="00964CC4">
            <w:pPr>
              <w:pStyle w:val="TAL"/>
              <w:rPr>
                <w:szCs w:val="22"/>
                <w:lang w:eastAsia="sv-SE"/>
              </w:rPr>
            </w:pPr>
            <w:r w:rsidRPr="00FA0D37">
              <w:rPr>
                <w:b/>
                <w:i/>
                <w:szCs w:val="22"/>
                <w:lang w:eastAsia="sv-SE"/>
              </w:rPr>
              <w:t>mediumBitmap</w:t>
            </w:r>
          </w:p>
          <w:p w14:paraId="32845288" w14:textId="419C5387" w:rsidR="00394471" w:rsidRPr="00FA0D37" w:rsidRDefault="00394471" w:rsidP="00964CC4">
            <w:pPr>
              <w:pStyle w:val="TAL"/>
              <w:rPr>
                <w:szCs w:val="22"/>
                <w:lang w:eastAsia="sv-SE"/>
              </w:rPr>
            </w:pPr>
            <w:r w:rsidRPr="00FA0D37">
              <w:rPr>
                <w:szCs w:val="22"/>
                <w:lang w:eastAsia="sv-SE"/>
              </w:rPr>
              <w:t>Bitmap when maximum number of SS/PBCH blocks per half frame equals to 8 as defined in TS 38.213 [13], clause 4.1.</w:t>
            </w:r>
            <w:r w:rsidRPr="00FA0D37">
              <w:rPr>
                <w:szCs w:val="22"/>
              </w:rPr>
              <w:t xml:space="preserve"> For operation with shared spectrum channel access, i</w:t>
            </w:r>
            <w:r w:rsidRPr="00FA0D37">
              <w:rPr>
                <w:rFonts w:cs="Arial"/>
                <w:szCs w:val="18"/>
              </w:rPr>
              <w:t xml:space="preserve">f the k-th bit is set to 1, the UE assumes that one or more SS/PBCH blocks within the </w:t>
            </w:r>
            <w:r w:rsidR="004545C1" w:rsidRPr="00FA0D37">
              <w:rPr>
                <w:rFonts w:cs="Arial"/>
                <w:szCs w:val="18"/>
              </w:rPr>
              <w:t>SMTC measurement duration</w:t>
            </w:r>
            <w:r w:rsidRPr="00FA0D37">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FA0D37">
              <w:rPr>
                <w:rFonts w:cs="Arial"/>
                <w:szCs w:val="18"/>
              </w:rPr>
              <w:t>T</w:t>
            </w:r>
            <w:r w:rsidRPr="00FA0D37">
              <w:rPr>
                <w:rFonts w:cs="Arial"/>
                <w:szCs w:val="18"/>
              </w:rPr>
              <w:t xml:space="preserve">he k-th bit is set to 0, where k &gt; </w:t>
            </w:r>
            <w:r w:rsidRPr="00FA0D37">
              <w:rPr>
                <w:rFonts w:cs="Arial"/>
                <w:i/>
                <w:szCs w:val="18"/>
              </w:rPr>
              <w:t>ssb-PositionQCL</w:t>
            </w:r>
            <w:r w:rsidR="004545C1" w:rsidRPr="00FA0D37">
              <w:rPr>
                <w:rFonts w:cs="Arial"/>
                <w:i/>
                <w:szCs w:val="18"/>
              </w:rPr>
              <w:t>-Common</w:t>
            </w:r>
            <w:r w:rsidRPr="00FA0D37">
              <w:rPr>
                <w:rFonts w:cs="Arial"/>
                <w:i/>
                <w:szCs w:val="18"/>
              </w:rPr>
              <w:t xml:space="preserve"> </w:t>
            </w:r>
            <w:r w:rsidRPr="00FA0D37">
              <w:rPr>
                <w:rFonts w:cs="Arial"/>
                <w:iCs/>
                <w:szCs w:val="18"/>
              </w:rPr>
              <w:t xml:space="preserve">and </w:t>
            </w:r>
            <w:r w:rsidRPr="00FA0D37">
              <w:rPr>
                <w:rFonts w:cs="Arial"/>
                <w:szCs w:val="18"/>
              </w:rPr>
              <w:t>the number of actually transmitted SS/PBCH blocks is not larger than the number of 1's in the bitmap</w:t>
            </w:r>
            <w:r w:rsidRPr="00FA0D37">
              <w:rPr>
                <w:szCs w:val="22"/>
              </w:rPr>
              <w:t>.</w:t>
            </w:r>
            <w:r w:rsidR="004545C1" w:rsidRPr="00FA0D37">
              <w:rPr>
                <w:szCs w:val="22"/>
              </w:rPr>
              <w:t xml:space="preserve"> If </w:t>
            </w:r>
            <w:r w:rsidR="004545C1" w:rsidRPr="00FA0D37">
              <w:rPr>
                <w:i/>
                <w:iCs/>
                <w:szCs w:val="22"/>
              </w:rPr>
              <w:t>ssb-PositionQCL</w:t>
            </w:r>
            <w:r w:rsidR="004545C1" w:rsidRPr="00FA0D37">
              <w:rPr>
                <w:szCs w:val="22"/>
              </w:rPr>
              <w:t xml:space="preserve"> is configured with a value smaller than </w:t>
            </w:r>
            <w:r w:rsidR="004545C1" w:rsidRPr="00FA0D37">
              <w:rPr>
                <w:i/>
                <w:iCs/>
                <w:szCs w:val="22"/>
              </w:rPr>
              <w:t>ssb-PositionQCL-Common</w:t>
            </w:r>
            <w:r w:rsidR="004545C1" w:rsidRPr="00FA0D37">
              <w:rPr>
                <w:szCs w:val="22"/>
              </w:rPr>
              <w:t xml:space="preserve">, only the leftmost K bits (K = </w:t>
            </w:r>
            <w:r w:rsidR="004545C1" w:rsidRPr="00FA0D37">
              <w:rPr>
                <w:i/>
                <w:iCs/>
                <w:szCs w:val="22"/>
              </w:rPr>
              <w:t>ssb-PositionQCL</w:t>
            </w:r>
            <w:r w:rsidR="004545C1" w:rsidRPr="00FA0D37">
              <w:rPr>
                <w:szCs w:val="22"/>
              </w:rPr>
              <w:t>) are applicable for the corresponding cell.</w:t>
            </w:r>
          </w:p>
        </w:tc>
      </w:tr>
      <w:tr w:rsidR="00394471" w:rsidRPr="00FA0D37"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FA0D37" w:rsidRDefault="00394471" w:rsidP="00964CC4">
            <w:pPr>
              <w:pStyle w:val="TAL"/>
              <w:rPr>
                <w:szCs w:val="22"/>
                <w:lang w:eastAsia="sv-SE"/>
              </w:rPr>
            </w:pPr>
            <w:r w:rsidRPr="00FA0D37">
              <w:rPr>
                <w:b/>
                <w:i/>
                <w:szCs w:val="22"/>
                <w:lang w:eastAsia="sv-SE"/>
              </w:rPr>
              <w:t>shortBitmap</w:t>
            </w:r>
          </w:p>
          <w:p w14:paraId="5455A3E2" w14:textId="77777777" w:rsidR="00394471" w:rsidRPr="00FA0D37" w:rsidRDefault="00394471" w:rsidP="00964CC4">
            <w:pPr>
              <w:pStyle w:val="TAL"/>
              <w:rPr>
                <w:szCs w:val="22"/>
                <w:lang w:eastAsia="sv-SE"/>
              </w:rPr>
            </w:pPr>
            <w:r w:rsidRPr="00FA0D37">
              <w:rPr>
                <w:szCs w:val="22"/>
                <w:lang w:eastAsia="sv-SE"/>
              </w:rPr>
              <w:t>Bitmap when maximum number of SS/PBCH blocks per half frame equals to 4 as defined in TS 38.213 [13], clause 4.1.</w:t>
            </w:r>
          </w:p>
        </w:tc>
      </w:tr>
    </w:tbl>
    <w:p w14:paraId="7809E3AB" w14:textId="77777777" w:rsidR="00394471" w:rsidRPr="00FA0D37" w:rsidRDefault="00394471" w:rsidP="00394471"/>
    <w:p w14:paraId="2E700BF0" w14:textId="77777777" w:rsidR="00394471" w:rsidRPr="00FA0D37" w:rsidRDefault="00394471" w:rsidP="00394471">
      <w:pPr>
        <w:pStyle w:val="4"/>
      </w:pPr>
      <w:bookmarkStart w:id="1443" w:name="_Toc60777405"/>
      <w:bookmarkStart w:id="1444" w:name="_Toc146781491"/>
      <w:r w:rsidRPr="00FA0D37">
        <w:t>–</w:t>
      </w:r>
      <w:r w:rsidRPr="00FA0D37">
        <w:tab/>
      </w:r>
      <w:r w:rsidRPr="00FA0D37">
        <w:rPr>
          <w:i/>
        </w:rPr>
        <w:t>SS-RSSI-Measurement</w:t>
      </w:r>
      <w:bookmarkEnd w:id="1443"/>
      <w:bookmarkEnd w:id="1444"/>
    </w:p>
    <w:p w14:paraId="1B86B08F" w14:textId="77777777" w:rsidR="00394471" w:rsidRPr="00FA0D37" w:rsidRDefault="00394471" w:rsidP="00394471">
      <w:r w:rsidRPr="00FA0D37">
        <w:t xml:space="preserve">The IE </w:t>
      </w:r>
      <w:r w:rsidRPr="00FA0D37">
        <w:rPr>
          <w:i/>
        </w:rPr>
        <w:t>SS-RSSI-Measurement</w:t>
      </w:r>
      <w:r w:rsidRPr="00FA0D37">
        <w:t xml:space="preserve"> is used to configure RSSI measurements based on synchronization reference signals.</w:t>
      </w:r>
    </w:p>
    <w:p w14:paraId="19302489" w14:textId="77777777" w:rsidR="00394471" w:rsidRPr="00FA0D37" w:rsidRDefault="00394471" w:rsidP="00394471">
      <w:pPr>
        <w:pStyle w:val="TH"/>
      </w:pPr>
      <w:r w:rsidRPr="00FA0D37">
        <w:rPr>
          <w:i/>
        </w:rPr>
        <w:t>SS-RSSI-Measurement</w:t>
      </w:r>
      <w:r w:rsidRPr="00FA0D37">
        <w:t xml:space="preserve"> information element</w:t>
      </w:r>
    </w:p>
    <w:p w14:paraId="66F6534A" w14:textId="77777777" w:rsidR="00394471" w:rsidRPr="00FA0D37" w:rsidRDefault="00394471" w:rsidP="00FA0D37">
      <w:pPr>
        <w:pStyle w:val="PL"/>
        <w:rPr>
          <w:color w:val="808080"/>
        </w:rPr>
      </w:pPr>
      <w:r w:rsidRPr="00FA0D37">
        <w:rPr>
          <w:color w:val="808080"/>
        </w:rPr>
        <w:t>-- ASN1START</w:t>
      </w:r>
    </w:p>
    <w:p w14:paraId="12E62E94" w14:textId="77777777" w:rsidR="00394471" w:rsidRPr="00FA0D37" w:rsidRDefault="00394471" w:rsidP="00FA0D37">
      <w:pPr>
        <w:pStyle w:val="PL"/>
        <w:rPr>
          <w:color w:val="808080"/>
        </w:rPr>
      </w:pPr>
      <w:r w:rsidRPr="00FA0D37">
        <w:rPr>
          <w:color w:val="808080"/>
        </w:rPr>
        <w:t>-- TAG-SS-RSSI-MEASUREMENT-START</w:t>
      </w:r>
    </w:p>
    <w:p w14:paraId="23959E70" w14:textId="77777777" w:rsidR="00394471" w:rsidRPr="00FA0D37" w:rsidRDefault="00394471" w:rsidP="00FA0D37">
      <w:pPr>
        <w:pStyle w:val="PL"/>
      </w:pPr>
    </w:p>
    <w:p w14:paraId="3DEBEAC8" w14:textId="77777777" w:rsidR="00394471" w:rsidRPr="00FA0D37" w:rsidRDefault="00394471" w:rsidP="00FA0D37">
      <w:pPr>
        <w:pStyle w:val="PL"/>
      </w:pPr>
      <w:r w:rsidRPr="00FA0D37">
        <w:t xml:space="preserve">SS-RSSI-Measurement ::=             </w:t>
      </w:r>
      <w:r w:rsidRPr="00FA0D37">
        <w:rPr>
          <w:color w:val="993366"/>
        </w:rPr>
        <w:t>SEQUENCE</w:t>
      </w:r>
      <w:r w:rsidRPr="00FA0D37">
        <w:t xml:space="preserve"> {</w:t>
      </w:r>
    </w:p>
    <w:p w14:paraId="1E9AC80F" w14:textId="77777777" w:rsidR="00394471" w:rsidRPr="00FA0D37" w:rsidRDefault="00394471" w:rsidP="00FA0D37">
      <w:pPr>
        <w:pStyle w:val="PL"/>
      </w:pPr>
      <w:r w:rsidRPr="00FA0D37">
        <w:t xml:space="preserve">    measurementSlots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(1..80)),</w:t>
      </w:r>
    </w:p>
    <w:p w14:paraId="32F9B347" w14:textId="77777777" w:rsidR="00394471" w:rsidRPr="00FA0D37" w:rsidRDefault="00394471" w:rsidP="00FA0D37">
      <w:pPr>
        <w:pStyle w:val="PL"/>
      </w:pPr>
      <w:r w:rsidRPr="00FA0D37">
        <w:t xml:space="preserve">    endSymbol                           </w:t>
      </w:r>
      <w:r w:rsidRPr="00FA0D37">
        <w:rPr>
          <w:color w:val="993366"/>
        </w:rPr>
        <w:t>INTEGER</w:t>
      </w:r>
      <w:r w:rsidRPr="00FA0D37">
        <w:t>(0..3)</w:t>
      </w:r>
    </w:p>
    <w:p w14:paraId="305F7DBD" w14:textId="77777777" w:rsidR="00394471" w:rsidRPr="00FA0D37" w:rsidRDefault="00394471" w:rsidP="00FA0D37">
      <w:pPr>
        <w:pStyle w:val="PL"/>
      </w:pPr>
      <w:r w:rsidRPr="00FA0D37">
        <w:t>}</w:t>
      </w:r>
    </w:p>
    <w:p w14:paraId="5A67986C" w14:textId="77777777" w:rsidR="00394471" w:rsidRPr="00FA0D37" w:rsidRDefault="00394471" w:rsidP="00FA0D37">
      <w:pPr>
        <w:pStyle w:val="PL"/>
      </w:pPr>
    </w:p>
    <w:p w14:paraId="534F3C21" w14:textId="77777777" w:rsidR="00394471" w:rsidRPr="00FA0D37" w:rsidRDefault="00394471" w:rsidP="00FA0D37">
      <w:pPr>
        <w:pStyle w:val="PL"/>
        <w:rPr>
          <w:color w:val="808080"/>
        </w:rPr>
      </w:pPr>
      <w:r w:rsidRPr="00FA0D37">
        <w:rPr>
          <w:color w:val="808080"/>
        </w:rPr>
        <w:t>-- TAG-SS-RSSI-MEASUREMENT-STOP</w:t>
      </w:r>
    </w:p>
    <w:p w14:paraId="21C2901D" w14:textId="77777777" w:rsidR="00394471" w:rsidRPr="00FA0D37" w:rsidRDefault="00394471" w:rsidP="00FA0D37">
      <w:pPr>
        <w:pStyle w:val="PL"/>
        <w:rPr>
          <w:color w:val="808080"/>
        </w:rPr>
      </w:pPr>
      <w:r w:rsidRPr="00FA0D37">
        <w:rPr>
          <w:color w:val="808080"/>
        </w:rPr>
        <w:t>-- ASN1STOP</w:t>
      </w:r>
    </w:p>
    <w:p w14:paraId="401F5F0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FA0D37" w:rsidRDefault="00394471" w:rsidP="00964CC4">
            <w:pPr>
              <w:pStyle w:val="TAH"/>
              <w:rPr>
                <w:szCs w:val="22"/>
                <w:lang w:eastAsia="sv-SE"/>
              </w:rPr>
            </w:pPr>
            <w:r w:rsidRPr="00FA0D37">
              <w:rPr>
                <w:i/>
                <w:szCs w:val="22"/>
                <w:lang w:eastAsia="sv-SE"/>
              </w:rPr>
              <w:lastRenderedPageBreak/>
              <w:t xml:space="preserve">SS-RSSI-Measurement </w:t>
            </w:r>
            <w:r w:rsidRPr="00FA0D37">
              <w:rPr>
                <w:szCs w:val="22"/>
                <w:lang w:eastAsia="sv-SE"/>
              </w:rPr>
              <w:t>field descriptions</w:t>
            </w:r>
          </w:p>
        </w:tc>
      </w:tr>
      <w:tr w:rsidR="005C7FF4" w:rsidRPr="00FA0D37"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FA0D37" w:rsidRDefault="00394471" w:rsidP="00964CC4">
            <w:pPr>
              <w:pStyle w:val="TAL"/>
              <w:rPr>
                <w:szCs w:val="22"/>
                <w:lang w:eastAsia="sv-SE"/>
              </w:rPr>
            </w:pPr>
            <w:r w:rsidRPr="00FA0D37">
              <w:rPr>
                <w:b/>
                <w:i/>
                <w:szCs w:val="22"/>
                <w:lang w:eastAsia="sv-SE"/>
              </w:rPr>
              <w:t>endSymbol</w:t>
            </w:r>
          </w:p>
          <w:p w14:paraId="6AF548E8" w14:textId="77777777" w:rsidR="00394471" w:rsidRPr="00FA0D37" w:rsidRDefault="00394471" w:rsidP="00964CC4">
            <w:pPr>
              <w:pStyle w:val="TAL"/>
              <w:rPr>
                <w:szCs w:val="22"/>
                <w:lang w:eastAsia="sv-SE"/>
              </w:rPr>
            </w:pPr>
            <w:r w:rsidRPr="00FA0D37">
              <w:rPr>
                <w:szCs w:val="22"/>
                <w:lang w:eastAsia="sv-SE"/>
              </w:rPr>
              <w:t xml:space="preserve">Within a slot that is configured for RSSI measurements (see </w:t>
            </w:r>
            <w:r w:rsidRPr="00FA0D37">
              <w:rPr>
                <w:i/>
                <w:szCs w:val="22"/>
                <w:lang w:eastAsia="sv-SE"/>
              </w:rPr>
              <w:t>measurementSlots</w:t>
            </w:r>
            <w:r w:rsidRPr="00FA0D37">
              <w:rPr>
                <w:szCs w:val="22"/>
                <w:lang w:eastAsia="sv-SE"/>
              </w:rPr>
              <w:t xml:space="preserve">) the UE measures the RSSI from symbol 0 to symbol </w:t>
            </w:r>
            <w:r w:rsidRPr="00FA0D37">
              <w:rPr>
                <w:i/>
                <w:szCs w:val="22"/>
                <w:lang w:eastAsia="sv-SE"/>
              </w:rPr>
              <w:t>endSymbol</w:t>
            </w:r>
            <w:r w:rsidRPr="00FA0D37">
              <w:rPr>
                <w:szCs w:val="22"/>
                <w:lang w:eastAsia="sv-SE"/>
              </w:rPr>
              <w:t>. This field identifies the entry in Table 5.1.3-1 in TS 38.215 [9], which determines the actual end symbol.</w:t>
            </w:r>
          </w:p>
        </w:tc>
      </w:tr>
      <w:tr w:rsidR="00394471" w:rsidRPr="00FA0D37"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FA0D37" w:rsidRDefault="00394471" w:rsidP="00964CC4">
            <w:pPr>
              <w:pStyle w:val="TAL"/>
              <w:rPr>
                <w:szCs w:val="22"/>
                <w:lang w:eastAsia="sv-SE"/>
              </w:rPr>
            </w:pPr>
            <w:r w:rsidRPr="00FA0D37">
              <w:rPr>
                <w:b/>
                <w:i/>
                <w:szCs w:val="22"/>
                <w:lang w:eastAsia="sv-SE"/>
              </w:rPr>
              <w:t>measurementSlots</w:t>
            </w:r>
          </w:p>
          <w:p w14:paraId="00E06B52" w14:textId="2D355DF2" w:rsidR="00394471" w:rsidRPr="00FA0D37" w:rsidRDefault="00394471" w:rsidP="00964CC4">
            <w:pPr>
              <w:pStyle w:val="TAL"/>
              <w:rPr>
                <w:szCs w:val="22"/>
                <w:lang w:eastAsia="sv-SE"/>
              </w:rPr>
            </w:pPr>
            <w:r w:rsidRPr="00FA0D37">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FA0D37">
              <w:rPr>
                <w:rFonts w:eastAsia="宋体"/>
                <w:szCs w:val="22"/>
                <w:lang w:eastAsia="zh-CN"/>
              </w:rPr>
              <w:t xml:space="preserve"> In case this field is configured for a SCell with </w:t>
            </w:r>
            <w:r w:rsidR="001A67E1" w:rsidRPr="00FA0D37">
              <w:rPr>
                <w:rFonts w:eastAsia="宋体"/>
                <w:i/>
                <w:szCs w:val="22"/>
                <w:lang w:eastAsia="zh-CN"/>
              </w:rPr>
              <w:t>ca-SlotOffset-r16</w:t>
            </w:r>
            <w:r w:rsidR="001A67E1" w:rsidRPr="00FA0D37">
              <w:rPr>
                <w:rFonts w:eastAsia="宋体"/>
                <w:szCs w:val="22"/>
                <w:lang w:eastAsia="zh-CN"/>
              </w:rPr>
              <w:t>, the bits in the bitmap corresponds to the slots that are fully contained in the SMTC window.</w:t>
            </w:r>
          </w:p>
        </w:tc>
      </w:tr>
    </w:tbl>
    <w:p w14:paraId="5E619D90" w14:textId="77777777" w:rsidR="00394471" w:rsidRPr="00FA0D37" w:rsidRDefault="00394471" w:rsidP="00394471"/>
    <w:p w14:paraId="61E68383" w14:textId="77777777" w:rsidR="00394471" w:rsidRPr="00FA0D37" w:rsidRDefault="00394471" w:rsidP="00394471">
      <w:pPr>
        <w:pStyle w:val="4"/>
        <w:rPr>
          <w:i/>
          <w:noProof/>
        </w:rPr>
      </w:pPr>
      <w:bookmarkStart w:id="1445" w:name="_Toc60777406"/>
      <w:bookmarkStart w:id="1446" w:name="_Toc146781492"/>
      <w:r w:rsidRPr="00FA0D37">
        <w:t>–</w:t>
      </w:r>
      <w:r w:rsidRPr="00FA0D37">
        <w:tab/>
      </w:r>
      <w:r w:rsidRPr="00FA0D37">
        <w:rPr>
          <w:i/>
        </w:rPr>
        <w:t>SubcarrierSpacing</w:t>
      </w:r>
      <w:bookmarkEnd w:id="1445"/>
      <w:bookmarkEnd w:id="1446"/>
    </w:p>
    <w:p w14:paraId="63502F80" w14:textId="77777777" w:rsidR="00394471" w:rsidRPr="00FA0D37" w:rsidRDefault="00394471" w:rsidP="00394471">
      <w:r w:rsidRPr="00FA0D37">
        <w:t xml:space="preserve">The IE </w:t>
      </w:r>
      <w:r w:rsidRPr="00FA0D37">
        <w:rPr>
          <w:i/>
        </w:rPr>
        <w:t>SubcarrierSpacing</w:t>
      </w:r>
      <w:r w:rsidRPr="00FA0D37">
        <w:t xml:space="preserve"> determines the subcarrier spacing. Restrictions applicable for certain frequencies, channels or signals are clarified in the fields that use this IE.</w:t>
      </w:r>
    </w:p>
    <w:p w14:paraId="163B2575" w14:textId="77777777" w:rsidR="00394471" w:rsidRPr="00FA0D37" w:rsidRDefault="00394471" w:rsidP="00394471">
      <w:pPr>
        <w:pStyle w:val="TH"/>
      </w:pPr>
      <w:r w:rsidRPr="00FA0D37">
        <w:rPr>
          <w:i/>
        </w:rPr>
        <w:t xml:space="preserve">SubcarrierSpacing </w:t>
      </w:r>
      <w:r w:rsidRPr="00FA0D37">
        <w:t>information element</w:t>
      </w:r>
    </w:p>
    <w:p w14:paraId="7618B8D1" w14:textId="77777777" w:rsidR="00394471" w:rsidRPr="00FA0D37" w:rsidRDefault="00394471" w:rsidP="00FA0D37">
      <w:pPr>
        <w:pStyle w:val="PL"/>
        <w:rPr>
          <w:color w:val="808080"/>
        </w:rPr>
      </w:pPr>
      <w:r w:rsidRPr="00FA0D37">
        <w:rPr>
          <w:color w:val="808080"/>
        </w:rPr>
        <w:t>-- ASN1START</w:t>
      </w:r>
    </w:p>
    <w:p w14:paraId="2D77166C" w14:textId="77777777" w:rsidR="00394471" w:rsidRPr="00FA0D37" w:rsidRDefault="00394471" w:rsidP="00FA0D37">
      <w:pPr>
        <w:pStyle w:val="PL"/>
        <w:rPr>
          <w:color w:val="808080"/>
        </w:rPr>
      </w:pPr>
      <w:r w:rsidRPr="00FA0D37">
        <w:rPr>
          <w:color w:val="808080"/>
        </w:rPr>
        <w:t>-- TAG-SUBCARRIERSPACING-START</w:t>
      </w:r>
    </w:p>
    <w:p w14:paraId="4CA407AC" w14:textId="77777777" w:rsidR="00394471" w:rsidRPr="00FA0D37" w:rsidRDefault="00394471" w:rsidP="00FA0D37">
      <w:pPr>
        <w:pStyle w:val="PL"/>
      </w:pPr>
    </w:p>
    <w:p w14:paraId="4BC7348A" w14:textId="7B89AD27" w:rsidR="00394471" w:rsidRPr="00FA0D37" w:rsidRDefault="00394471" w:rsidP="00FA0D37">
      <w:pPr>
        <w:pStyle w:val="PL"/>
      </w:pPr>
      <w:r w:rsidRPr="00FA0D37">
        <w:t xml:space="preserve">SubcarrierSpacing ::=               </w:t>
      </w:r>
      <w:r w:rsidRPr="00FA0D37">
        <w:rPr>
          <w:color w:val="993366"/>
        </w:rPr>
        <w:t>ENUMERATED</w:t>
      </w:r>
      <w:r w:rsidRPr="00FA0D37">
        <w:t xml:space="preserve"> {kHz15, kHz30, kHz60, kHz120, kHz240, </w:t>
      </w:r>
      <w:r w:rsidR="00727F8C" w:rsidRPr="00FA0D37">
        <w:t>kHz480-v17</w:t>
      </w:r>
      <w:r w:rsidR="003006DC" w:rsidRPr="00FA0D37">
        <w:t>00</w:t>
      </w:r>
      <w:r w:rsidRPr="00FA0D37">
        <w:t xml:space="preserve">, </w:t>
      </w:r>
      <w:r w:rsidR="00727F8C" w:rsidRPr="00FA0D37">
        <w:t>kHz960-v17</w:t>
      </w:r>
      <w:r w:rsidR="003006DC" w:rsidRPr="00FA0D37">
        <w:t>00</w:t>
      </w:r>
      <w:r w:rsidRPr="00FA0D37">
        <w:t>, spare1}</w:t>
      </w:r>
    </w:p>
    <w:p w14:paraId="343770EB" w14:textId="77777777" w:rsidR="00394471" w:rsidRPr="00FA0D37" w:rsidRDefault="00394471" w:rsidP="00FA0D37">
      <w:pPr>
        <w:pStyle w:val="PL"/>
      </w:pPr>
    </w:p>
    <w:p w14:paraId="4DF3B898" w14:textId="77777777" w:rsidR="00394471" w:rsidRPr="00FA0D37" w:rsidRDefault="00394471" w:rsidP="00FA0D37">
      <w:pPr>
        <w:pStyle w:val="PL"/>
        <w:rPr>
          <w:color w:val="808080"/>
        </w:rPr>
      </w:pPr>
      <w:r w:rsidRPr="00FA0D37">
        <w:rPr>
          <w:color w:val="808080"/>
        </w:rPr>
        <w:t>-- TAG-SUBCARRIERSPACING-STOP</w:t>
      </w:r>
    </w:p>
    <w:p w14:paraId="19FD752A" w14:textId="77777777" w:rsidR="00394471" w:rsidRPr="00FA0D37" w:rsidRDefault="00394471" w:rsidP="00FA0D37">
      <w:pPr>
        <w:pStyle w:val="PL"/>
        <w:rPr>
          <w:color w:val="808080"/>
        </w:rPr>
      </w:pPr>
      <w:r w:rsidRPr="00FA0D37">
        <w:rPr>
          <w:color w:val="808080"/>
        </w:rPr>
        <w:t>-- ASN1STOP</w:t>
      </w:r>
    </w:p>
    <w:p w14:paraId="2B848CD9" w14:textId="77777777" w:rsidR="00394471" w:rsidRPr="00FA0D37" w:rsidRDefault="00394471" w:rsidP="00394471"/>
    <w:p w14:paraId="171C2A57" w14:textId="77777777" w:rsidR="00394471" w:rsidRPr="00FA0D37" w:rsidRDefault="00394471" w:rsidP="00394471">
      <w:pPr>
        <w:pStyle w:val="4"/>
      </w:pPr>
      <w:bookmarkStart w:id="1447" w:name="_Toc60777407"/>
      <w:bookmarkStart w:id="1448" w:name="_Toc146781493"/>
      <w:r w:rsidRPr="00FA0D37">
        <w:t>–</w:t>
      </w:r>
      <w:r w:rsidRPr="00FA0D37">
        <w:tab/>
      </w:r>
      <w:r w:rsidRPr="00FA0D37">
        <w:rPr>
          <w:i/>
        </w:rPr>
        <w:t>TAG-Config</w:t>
      </w:r>
      <w:bookmarkEnd w:id="1447"/>
      <w:bookmarkEnd w:id="1448"/>
    </w:p>
    <w:p w14:paraId="2E91065A" w14:textId="77777777" w:rsidR="00394471" w:rsidRPr="00FA0D37" w:rsidRDefault="00394471" w:rsidP="00394471">
      <w:r w:rsidRPr="00FA0D37">
        <w:t xml:space="preserve">The IE </w:t>
      </w:r>
      <w:r w:rsidRPr="00FA0D37">
        <w:rPr>
          <w:i/>
        </w:rPr>
        <w:t>TAG-Config</w:t>
      </w:r>
      <w:r w:rsidRPr="00FA0D37">
        <w:t xml:space="preserve"> is used to configure parameters for a time-alignment group.</w:t>
      </w:r>
    </w:p>
    <w:p w14:paraId="0CAD6DC2" w14:textId="77777777" w:rsidR="00394471" w:rsidRPr="00FA0D37" w:rsidRDefault="00394471" w:rsidP="00394471">
      <w:pPr>
        <w:pStyle w:val="TH"/>
      </w:pPr>
      <w:r w:rsidRPr="00FA0D37">
        <w:rPr>
          <w:i/>
        </w:rPr>
        <w:t>TAG-Config</w:t>
      </w:r>
      <w:r w:rsidRPr="00FA0D37">
        <w:t xml:space="preserve"> information element</w:t>
      </w:r>
    </w:p>
    <w:p w14:paraId="745874C1" w14:textId="77777777" w:rsidR="00394471" w:rsidRPr="00FA0D37" w:rsidRDefault="00394471" w:rsidP="00FA0D37">
      <w:pPr>
        <w:pStyle w:val="PL"/>
        <w:rPr>
          <w:color w:val="808080"/>
        </w:rPr>
      </w:pPr>
      <w:r w:rsidRPr="00FA0D37">
        <w:rPr>
          <w:color w:val="808080"/>
        </w:rPr>
        <w:t>-- ASN1START</w:t>
      </w:r>
    </w:p>
    <w:p w14:paraId="008402AF" w14:textId="77777777" w:rsidR="00394471" w:rsidRPr="00FA0D37" w:rsidRDefault="00394471" w:rsidP="00FA0D37">
      <w:pPr>
        <w:pStyle w:val="PL"/>
        <w:rPr>
          <w:color w:val="808080"/>
        </w:rPr>
      </w:pPr>
      <w:r w:rsidRPr="00FA0D37">
        <w:rPr>
          <w:color w:val="808080"/>
        </w:rPr>
        <w:t>-- TAG-TAG-CONFIG-START</w:t>
      </w:r>
    </w:p>
    <w:p w14:paraId="63679CB5" w14:textId="77777777" w:rsidR="00394471" w:rsidRPr="00FA0D37" w:rsidRDefault="00394471" w:rsidP="00FA0D37">
      <w:pPr>
        <w:pStyle w:val="PL"/>
      </w:pPr>
    </w:p>
    <w:p w14:paraId="18F3C13F" w14:textId="77777777" w:rsidR="00394471" w:rsidRPr="00FA0D37" w:rsidRDefault="00394471" w:rsidP="00FA0D37">
      <w:pPr>
        <w:pStyle w:val="PL"/>
      </w:pPr>
      <w:r w:rsidRPr="00FA0D37">
        <w:t xml:space="preserve">TAG-Config ::=                      </w:t>
      </w:r>
      <w:r w:rsidRPr="00FA0D37">
        <w:rPr>
          <w:color w:val="993366"/>
        </w:rPr>
        <w:t>SEQUENCE</w:t>
      </w:r>
      <w:r w:rsidRPr="00FA0D37">
        <w:t xml:space="preserve"> {</w:t>
      </w:r>
    </w:p>
    <w:p w14:paraId="5A4945A2" w14:textId="77777777" w:rsidR="00394471" w:rsidRPr="00FA0D37" w:rsidRDefault="00394471" w:rsidP="00FA0D37">
      <w:pPr>
        <w:pStyle w:val="PL"/>
        <w:rPr>
          <w:color w:val="808080"/>
        </w:rPr>
      </w:pPr>
      <w:r w:rsidRPr="00FA0D37">
        <w:t xml:space="preserve">    tag-ToReleaseList                   </w:t>
      </w:r>
      <w:r w:rsidRPr="00FA0D37">
        <w:rPr>
          <w:color w:val="993366"/>
        </w:rPr>
        <w:t>SEQUENCE</w:t>
      </w:r>
      <w:r w:rsidRPr="00FA0D37">
        <w:t xml:space="preserve"> (</w:t>
      </w:r>
      <w:r w:rsidRPr="00FA0D37">
        <w:rPr>
          <w:color w:val="993366"/>
        </w:rPr>
        <w:t>SIZE</w:t>
      </w:r>
      <w:r w:rsidRPr="00FA0D37">
        <w:t xml:space="preserve"> (1..maxNrofTAGs))</w:t>
      </w:r>
      <w:r w:rsidRPr="00FA0D37">
        <w:rPr>
          <w:color w:val="993366"/>
        </w:rPr>
        <w:t xml:space="preserve"> OF</w:t>
      </w:r>
      <w:r w:rsidRPr="00FA0D37">
        <w:t xml:space="preserve"> TAG-Id                          </w:t>
      </w:r>
      <w:r w:rsidRPr="00FA0D37">
        <w:rPr>
          <w:color w:val="993366"/>
        </w:rPr>
        <w:t>OPTIONAL</w:t>
      </w:r>
      <w:r w:rsidRPr="00FA0D37">
        <w:t xml:space="preserve">,   </w:t>
      </w:r>
      <w:r w:rsidRPr="00FA0D37">
        <w:rPr>
          <w:color w:val="808080"/>
        </w:rPr>
        <w:t>-- Need N</w:t>
      </w:r>
    </w:p>
    <w:p w14:paraId="48013716" w14:textId="77777777" w:rsidR="00394471" w:rsidRPr="00FA0D37" w:rsidRDefault="00394471" w:rsidP="00FA0D37">
      <w:pPr>
        <w:pStyle w:val="PL"/>
        <w:rPr>
          <w:color w:val="808080"/>
        </w:rPr>
      </w:pPr>
      <w:r w:rsidRPr="00FA0D37">
        <w:t xml:space="preserve">    tag-ToAddModList                    </w:t>
      </w:r>
      <w:r w:rsidRPr="00FA0D37">
        <w:rPr>
          <w:color w:val="993366"/>
        </w:rPr>
        <w:t>SEQUENCE</w:t>
      </w:r>
      <w:r w:rsidRPr="00FA0D37">
        <w:t xml:space="preserve"> (</w:t>
      </w:r>
      <w:r w:rsidRPr="00FA0D37">
        <w:rPr>
          <w:color w:val="993366"/>
        </w:rPr>
        <w:t>SIZE</w:t>
      </w:r>
      <w:r w:rsidRPr="00FA0D37">
        <w:t xml:space="preserve"> (1..maxNrofTAGs))</w:t>
      </w:r>
      <w:r w:rsidRPr="00FA0D37">
        <w:rPr>
          <w:color w:val="993366"/>
        </w:rPr>
        <w:t xml:space="preserve"> OF</w:t>
      </w:r>
      <w:r w:rsidRPr="00FA0D37">
        <w:t xml:space="preserve"> TAG                             </w:t>
      </w:r>
      <w:r w:rsidRPr="00FA0D37">
        <w:rPr>
          <w:color w:val="993366"/>
        </w:rPr>
        <w:t>OPTIONAL</w:t>
      </w:r>
      <w:r w:rsidRPr="00FA0D37">
        <w:t xml:space="preserve">    </w:t>
      </w:r>
      <w:r w:rsidRPr="00FA0D37">
        <w:rPr>
          <w:color w:val="808080"/>
        </w:rPr>
        <w:t>-- Need N</w:t>
      </w:r>
    </w:p>
    <w:p w14:paraId="71AB1BA9" w14:textId="77777777" w:rsidR="00394471" w:rsidRPr="00FA0D37" w:rsidRDefault="00394471" w:rsidP="00FA0D37">
      <w:pPr>
        <w:pStyle w:val="PL"/>
      </w:pPr>
      <w:r w:rsidRPr="00FA0D37">
        <w:t>}</w:t>
      </w:r>
    </w:p>
    <w:p w14:paraId="4C5105F9" w14:textId="77777777" w:rsidR="00394471" w:rsidRPr="00FA0D37" w:rsidRDefault="00394471" w:rsidP="00FA0D37">
      <w:pPr>
        <w:pStyle w:val="PL"/>
      </w:pPr>
    </w:p>
    <w:p w14:paraId="5B5F0ABB" w14:textId="77777777" w:rsidR="00394471" w:rsidRPr="00FA0D37" w:rsidRDefault="00394471" w:rsidP="00FA0D37">
      <w:pPr>
        <w:pStyle w:val="PL"/>
      </w:pPr>
      <w:r w:rsidRPr="00FA0D37">
        <w:t xml:space="preserve">TAG ::=                             </w:t>
      </w:r>
      <w:r w:rsidRPr="00FA0D37">
        <w:rPr>
          <w:color w:val="993366"/>
        </w:rPr>
        <w:t>SEQUENCE</w:t>
      </w:r>
      <w:r w:rsidRPr="00FA0D37">
        <w:t xml:space="preserve"> {</w:t>
      </w:r>
    </w:p>
    <w:p w14:paraId="682B89A3" w14:textId="77777777" w:rsidR="00394471" w:rsidRPr="00FA0D37" w:rsidRDefault="00394471" w:rsidP="00FA0D37">
      <w:pPr>
        <w:pStyle w:val="PL"/>
      </w:pPr>
      <w:r w:rsidRPr="00FA0D37">
        <w:t xml:space="preserve">    tag-Id                              TAG-Id,</w:t>
      </w:r>
    </w:p>
    <w:p w14:paraId="694C2D05" w14:textId="77777777" w:rsidR="00394471" w:rsidRPr="00FA0D37" w:rsidRDefault="00394471" w:rsidP="00FA0D37">
      <w:pPr>
        <w:pStyle w:val="PL"/>
      </w:pPr>
      <w:r w:rsidRPr="00FA0D37">
        <w:t xml:space="preserve">    timeAlignmentTimer                  TimeAlignmentTimer,</w:t>
      </w:r>
    </w:p>
    <w:p w14:paraId="2A680DDB" w14:textId="77777777" w:rsidR="00394471" w:rsidRPr="00FA0D37" w:rsidRDefault="00394471" w:rsidP="00FA0D37">
      <w:pPr>
        <w:pStyle w:val="PL"/>
      </w:pPr>
      <w:r w:rsidRPr="00FA0D37">
        <w:t xml:space="preserve">    ...</w:t>
      </w:r>
    </w:p>
    <w:p w14:paraId="74E859C1" w14:textId="77777777" w:rsidR="00394471" w:rsidRPr="00FA0D37" w:rsidRDefault="00394471" w:rsidP="00FA0D37">
      <w:pPr>
        <w:pStyle w:val="PL"/>
      </w:pPr>
      <w:r w:rsidRPr="00FA0D37">
        <w:t>}</w:t>
      </w:r>
    </w:p>
    <w:p w14:paraId="10C84118" w14:textId="77777777" w:rsidR="00394471" w:rsidRPr="00FA0D37" w:rsidRDefault="00394471" w:rsidP="00FA0D37">
      <w:pPr>
        <w:pStyle w:val="PL"/>
      </w:pPr>
    </w:p>
    <w:p w14:paraId="6D75F27C" w14:textId="77777777" w:rsidR="00394471" w:rsidRPr="00FA0D37" w:rsidRDefault="00394471" w:rsidP="00FA0D37">
      <w:pPr>
        <w:pStyle w:val="PL"/>
      </w:pPr>
      <w:r w:rsidRPr="00FA0D37">
        <w:t xml:space="preserve">TAG-Id ::=                          </w:t>
      </w:r>
      <w:r w:rsidRPr="00FA0D37">
        <w:rPr>
          <w:color w:val="993366"/>
        </w:rPr>
        <w:t>INTEGER</w:t>
      </w:r>
      <w:r w:rsidRPr="00FA0D37">
        <w:t xml:space="preserve"> (0..maxNrofTAGs-1)</w:t>
      </w:r>
    </w:p>
    <w:p w14:paraId="60E464CC" w14:textId="77777777" w:rsidR="00394471" w:rsidRPr="00FA0D37" w:rsidRDefault="00394471" w:rsidP="00FA0D37">
      <w:pPr>
        <w:pStyle w:val="PL"/>
      </w:pPr>
    </w:p>
    <w:p w14:paraId="701FF40D" w14:textId="77777777" w:rsidR="00394471" w:rsidRPr="00FA0D37" w:rsidRDefault="00394471" w:rsidP="00FA0D37">
      <w:pPr>
        <w:pStyle w:val="PL"/>
        <w:rPr>
          <w:color w:val="808080"/>
        </w:rPr>
      </w:pPr>
      <w:r w:rsidRPr="00FA0D37">
        <w:rPr>
          <w:color w:val="808080"/>
        </w:rPr>
        <w:t>-- TAG-TAG-CONFIG-STOP</w:t>
      </w:r>
    </w:p>
    <w:p w14:paraId="14E2991A" w14:textId="77777777" w:rsidR="00394471" w:rsidRPr="00FA0D37" w:rsidRDefault="00394471" w:rsidP="00FA0D37">
      <w:pPr>
        <w:pStyle w:val="PL"/>
        <w:rPr>
          <w:color w:val="808080"/>
        </w:rPr>
      </w:pPr>
      <w:r w:rsidRPr="00FA0D37">
        <w:rPr>
          <w:color w:val="808080"/>
        </w:rPr>
        <w:t>-- ASN1STOP</w:t>
      </w:r>
    </w:p>
    <w:p w14:paraId="5418300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FA0D37" w:rsidRDefault="00394471" w:rsidP="00964CC4">
            <w:pPr>
              <w:pStyle w:val="TAH"/>
              <w:rPr>
                <w:szCs w:val="22"/>
                <w:lang w:eastAsia="sv-SE"/>
              </w:rPr>
            </w:pPr>
            <w:r w:rsidRPr="00FA0D37">
              <w:rPr>
                <w:i/>
                <w:szCs w:val="22"/>
                <w:lang w:eastAsia="sv-SE"/>
              </w:rPr>
              <w:t xml:space="preserve">TAG </w:t>
            </w:r>
            <w:r w:rsidRPr="00FA0D37">
              <w:rPr>
                <w:szCs w:val="22"/>
                <w:lang w:eastAsia="sv-SE"/>
              </w:rPr>
              <w:t>field descriptions</w:t>
            </w:r>
          </w:p>
        </w:tc>
      </w:tr>
      <w:tr w:rsidR="005C7FF4" w:rsidRPr="00FA0D37"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FA0D37" w:rsidRDefault="00394471" w:rsidP="00964CC4">
            <w:pPr>
              <w:pStyle w:val="TAL"/>
              <w:rPr>
                <w:szCs w:val="22"/>
                <w:lang w:eastAsia="sv-SE"/>
              </w:rPr>
            </w:pPr>
            <w:r w:rsidRPr="00FA0D37">
              <w:rPr>
                <w:b/>
                <w:i/>
                <w:szCs w:val="22"/>
                <w:lang w:eastAsia="sv-SE"/>
              </w:rPr>
              <w:t>tag-Id</w:t>
            </w:r>
          </w:p>
          <w:p w14:paraId="0FA34EB4" w14:textId="77777777" w:rsidR="00394471" w:rsidRPr="00FA0D37" w:rsidRDefault="00394471" w:rsidP="00964CC4">
            <w:pPr>
              <w:pStyle w:val="TAL"/>
              <w:rPr>
                <w:szCs w:val="22"/>
                <w:lang w:eastAsia="sv-SE"/>
              </w:rPr>
            </w:pPr>
            <w:r w:rsidRPr="00FA0D37">
              <w:rPr>
                <w:szCs w:val="22"/>
                <w:lang w:eastAsia="sv-SE"/>
              </w:rPr>
              <w:t>Indicates the TAG of the SpCell or an SCell, see TS 38.321 [3]. Uniquely identifies the TAG within the scope of a Cell Group (i.e. MCG or SCG).</w:t>
            </w:r>
          </w:p>
        </w:tc>
      </w:tr>
      <w:tr w:rsidR="00F747EB" w:rsidRPr="00FA0D37"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FA0D37" w:rsidRDefault="00394471" w:rsidP="00964CC4">
            <w:pPr>
              <w:pStyle w:val="TAL"/>
              <w:rPr>
                <w:szCs w:val="22"/>
                <w:lang w:eastAsia="sv-SE"/>
              </w:rPr>
            </w:pPr>
            <w:r w:rsidRPr="00FA0D37">
              <w:rPr>
                <w:b/>
                <w:i/>
                <w:szCs w:val="22"/>
                <w:lang w:eastAsia="sv-SE"/>
              </w:rPr>
              <w:t>timeAlignmentTimer</w:t>
            </w:r>
          </w:p>
          <w:p w14:paraId="2DCEAF9D" w14:textId="129461C6" w:rsidR="00394471" w:rsidRPr="00FA0D37" w:rsidRDefault="005B0782" w:rsidP="00964CC4">
            <w:pPr>
              <w:pStyle w:val="TAL"/>
              <w:rPr>
                <w:szCs w:val="22"/>
                <w:lang w:eastAsia="sv-SE"/>
              </w:rPr>
            </w:pPr>
            <w:r w:rsidRPr="00FA0D37">
              <w:rPr>
                <w:szCs w:val="22"/>
                <w:lang w:eastAsia="sv-SE"/>
              </w:rPr>
              <w:t>T</w:t>
            </w:r>
            <w:r w:rsidR="00394471" w:rsidRPr="00FA0D37">
              <w:rPr>
                <w:szCs w:val="22"/>
                <w:lang w:eastAsia="sv-SE"/>
              </w:rPr>
              <w:t xml:space="preserve">he </w:t>
            </w:r>
            <w:r w:rsidR="00394471" w:rsidRPr="00FA0D37">
              <w:rPr>
                <w:i/>
                <w:lang w:eastAsia="sv-SE"/>
              </w:rPr>
              <w:t>timeAlignmentTimer</w:t>
            </w:r>
            <w:r w:rsidR="00394471" w:rsidRPr="00FA0D37">
              <w:rPr>
                <w:szCs w:val="22"/>
                <w:lang w:eastAsia="sv-SE"/>
              </w:rPr>
              <w:t xml:space="preserve"> for TAG with ID </w:t>
            </w:r>
            <w:r w:rsidR="00394471" w:rsidRPr="00FA0D37">
              <w:rPr>
                <w:i/>
                <w:lang w:eastAsia="sv-SE"/>
              </w:rPr>
              <w:t>tag-Id</w:t>
            </w:r>
            <w:r w:rsidR="00394471" w:rsidRPr="00FA0D37">
              <w:rPr>
                <w:szCs w:val="22"/>
                <w:lang w:eastAsia="sv-SE"/>
              </w:rPr>
              <w:t>, as specified in TS 38.321 [3].</w:t>
            </w:r>
          </w:p>
        </w:tc>
      </w:tr>
    </w:tbl>
    <w:p w14:paraId="5CA25450" w14:textId="77777777" w:rsidR="0090199E" w:rsidRPr="00FA0D37" w:rsidRDefault="0090199E" w:rsidP="0090199E"/>
    <w:p w14:paraId="5A895BF3" w14:textId="77777777" w:rsidR="0090199E" w:rsidRPr="00FA0D37" w:rsidRDefault="0090199E" w:rsidP="0090199E">
      <w:pPr>
        <w:pStyle w:val="4"/>
        <w:ind w:left="864" w:hanging="864"/>
      </w:pPr>
      <w:bookmarkStart w:id="1449" w:name="_Toc146781494"/>
      <w:r w:rsidRPr="00FA0D37">
        <w:t>–</w:t>
      </w:r>
      <w:r w:rsidRPr="00FA0D37">
        <w:tab/>
      </w:r>
      <w:r w:rsidRPr="00FA0D37">
        <w:rPr>
          <w:i/>
        </w:rPr>
        <w:t>TAR-Config</w:t>
      </w:r>
      <w:bookmarkEnd w:id="1449"/>
    </w:p>
    <w:p w14:paraId="62995FC7" w14:textId="77777777" w:rsidR="0090199E" w:rsidRPr="00FA0D37" w:rsidRDefault="0090199E" w:rsidP="0090199E">
      <w:r w:rsidRPr="00FA0D37">
        <w:t xml:space="preserve">The IE </w:t>
      </w:r>
      <w:r w:rsidRPr="00FA0D37">
        <w:rPr>
          <w:i/>
        </w:rPr>
        <w:t>TAR-Config</w:t>
      </w:r>
      <w:r w:rsidRPr="00FA0D37">
        <w:t xml:space="preserve"> is used to configure Timing Advance reporting in non-terrestrial networks.</w:t>
      </w:r>
    </w:p>
    <w:p w14:paraId="30FC41B7" w14:textId="77777777" w:rsidR="0090199E" w:rsidRPr="00FA0D37" w:rsidRDefault="0090199E" w:rsidP="0090199E">
      <w:pPr>
        <w:pStyle w:val="TH"/>
      </w:pPr>
      <w:r w:rsidRPr="00FA0D37">
        <w:rPr>
          <w:i/>
        </w:rPr>
        <w:t>TAR-Config</w:t>
      </w:r>
      <w:r w:rsidRPr="00FA0D37">
        <w:t xml:space="preserve"> information element</w:t>
      </w:r>
    </w:p>
    <w:p w14:paraId="5871DCF3" w14:textId="77777777" w:rsidR="0090199E" w:rsidRPr="00FA0D37" w:rsidRDefault="0090199E" w:rsidP="00FA0D37">
      <w:pPr>
        <w:pStyle w:val="PL"/>
        <w:rPr>
          <w:color w:val="808080"/>
        </w:rPr>
      </w:pPr>
      <w:r w:rsidRPr="00FA0D37">
        <w:rPr>
          <w:color w:val="808080"/>
        </w:rPr>
        <w:t>-- ASN1START</w:t>
      </w:r>
    </w:p>
    <w:p w14:paraId="23363D75" w14:textId="77777777" w:rsidR="0090199E" w:rsidRPr="00FA0D37" w:rsidRDefault="0090199E" w:rsidP="00FA0D37">
      <w:pPr>
        <w:pStyle w:val="PL"/>
        <w:rPr>
          <w:color w:val="808080"/>
        </w:rPr>
      </w:pPr>
      <w:r w:rsidRPr="00FA0D37">
        <w:rPr>
          <w:color w:val="808080"/>
        </w:rPr>
        <w:t>-- TAG-TAR-CONFIG-START</w:t>
      </w:r>
    </w:p>
    <w:p w14:paraId="72E0698C" w14:textId="77777777" w:rsidR="0090199E" w:rsidRPr="00FA0D37" w:rsidRDefault="0090199E" w:rsidP="00FA0D37">
      <w:pPr>
        <w:pStyle w:val="PL"/>
      </w:pPr>
    </w:p>
    <w:p w14:paraId="263E1AF8" w14:textId="77777777" w:rsidR="0090199E" w:rsidRPr="00FA0D37" w:rsidRDefault="0090199E" w:rsidP="00FA0D37">
      <w:pPr>
        <w:pStyle w:val="PL"/>
      </w:pPr>
      <w:r w:rsidRPr="00FA0D37">
        <w:t xml:space="preserve">TAR-Config-r17 ::=                      </w:t>
      </w:r>
      <w:r w:rsidRPr="00FA0D37">
        <w:rPr>
          <w:color w:val="993366"/>
        </w:rPr>
        <w:t>SEQUENCE</w:t>
      </w:r>
      <w:r w:rsidRPr="00FA0D37">
        <w:t xml:space="preserve"> {</w:t>
      </w:r>
    </w:p>
    <w:p w14:paraId="379D605B" w14:textId="77777777" w:rsidR="0090199E" w:rsidRPr="00FA0D37" w:rsidRDefault="0090199E" w:rsidP="00FA0D37">
      <w:pPr>
        <w:pStyle w:val="PL"/>
      </w:pPr>
      <w:r w:rsidRPr="00FA0D37">
        <w:t xml:space="preserve">    offsetThresholdTA-r17               </w:t>
      </w:r>
      <w:r w:rsidRPr="00FA0D37">
        <w:rPr>
          <w:color w:val="993366"/>
        </w:rPr>
        <w:t>ENUMERATED</w:t>
      </w:r>
      <w:r w:rsidRPr="00FA0D37">
        <w:t xml:space="preserve"> {ms0dot5, ms1, ms2, ms3, ms4, ms5, ms6 ,ms7, ms8, ms9, ms10, ms11, ms12,</w:t>
      </w:r>
    </w:p>
    <w:p w14:paraId="43F9F5BD" w14:textId="77777777" w:rsidR="00CB6D16" w:rsidRPr="00FA0D37" w:rsidRDefault="0090199E" w:rsidP="00FA0D37">
      <w:pPr>
        <w:pStyle w:val="PL"/>
      </w:pPr>
      <w:r w:rsidRPr="00FA0D37">
        <w:t xml:space="preserve">                                                   ms13, ms14, ms15, </w:t>
      </w:r>
      <w:r w:rsidR="00CB6D16" w:rsidRPr="00FA0D37">
        <w:t>spare13, spare12, spare11, spare10, spare9, spare8, spare7,</w:t>
      </w:r>
    </w:p>
    <w:p w14:paraId="2B8648BE" w14:textId="6177B56E" w:rsidR="0090199E" w:rsidRPr="00FA0D37" w:rsidRDefault="00CB6D16" w:rsidP="00FA0D37">
      <w:pPr>
        <w:pStyle w:val="PL"/>
        <w:rPr>
          <w:color w:val="808080"/>
        </w:rPr>
      </w:pPr>
      <w:r w:rsidRPr="00FA0D37">
        <w:t xml:space="preserve">                                                   spare6, spare5, spare4, </w:t>
      </w:r>
      <w:r w:rsidR="0090199E" w:rsidRPr="00FA0D37">
        <w:t xml:space="preserve">spare3, spare2, spare1}          </w:t>
      </w:r>
      <w:r w:rsidR="0090199E" w:rsidRPr="00FA0D37">
        <w:rPr>
          <w:color w:val="993366"/>
        </w:rPr>
        <w:t>OPTIONAL</w:t>
      </w:r>
      <w:r w:rsidR="0090199E" w:rsidRPr="00FA0D37">
        <w:t xml:space="preserve">,    </w:t>
      </w:r>
      <w:r w:rsidR="0090199E" w:rsidRPr="00FA0D37">
        <w:rPr>
          <w:color w:val="808080"/>
        </w:rPr>
        <w:t>-- Need R</w:t>
      </w:r>
    </w:p>
    <w:p w14:paraId="59A17804" w14:textId="77777777" w:rsidR="0090199E" w:rsidRPr="00FA0D37" w:rsidRDefault="0090199E" w:rsidP="00FA0D37">
      <w:pPr>
        <w:pStyle w:val="PL"/>
        <w:rPr>
          <w:color w:val="808080"/>
        </w:rPr>
      </w:pPr>
      <w:r w:rsidRPr="00FA0D37">
        <w:t xml:space="preserve">    timingAdvanceSR-r17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228606E0" w14:textId="77777777" w:rsidR="0090199E" w:rsidRPr="00FA0D37" w:rsidRDefault="0090199E" w:rsidP="00FA0D37">
      <w:pPr>
        <w:pStyle w:val="PL"/>
      </w:pPr>
      <w:r w:rsidRPr="00FA0D37">
        <w:t xml:space="preserve">    ...</w:t>
      </w:r>
    </w:p>
    <w:p w14:paraId="0AC2758D" w14:textId="77777777" w:rsidR="0090199E" w:rsidRPr="00FA0D37" w:rsidRDefault="0090199E" w:rsidP="00FA0D37">
      <w:pPr>
        <w:pStyle w:val="PL"/>
      </w:pPr>
      <w:r w:rsidRPr="00FA0D37">
        <w:t>}</w:t>
      </w:r>
    </w:p>
    <w:p w14:paraId="61246236" w14:textId="77777777" w:rsidR="0090199E" w:rsidRPr="00FA0D37" w:rsidRDefault="0090199E" w:rsidP="00FA0D37">
      <w:pPr>
        <w:pStyle w:val="PL"/>
      </w:pPr>
    </w:p>
    <w:p w14:paraId="4BD8901A" w14:textId="77777777" w:rsidR="0090199E" w:rsidRPr="00FA0D37" w:rsidRDefault="0090199E" w:rsidP="00FA0D37">
      <w:pPr>
        <w:pStyle w:val="PL"/>
        <w:rPr>
          <w:color w:val="808080"/>
        </w:rPr>
      </w:pPr>
      <w:r w:rsidRPr="00FA0D37">
        <w:rPr>
          <w:color w:val="808080"/>
        </w:rPr>
        <w:t>-- TAG-TAR-CONFIG-STOP</w:t>
      </w:r>
    </w:p>
    <w:p w14:paraId="4E1D1128" w14:textId="77777777" w:rsidR="0090199E" w:rsidRPr="00FA0D37" w:rsidRDefault="0090199E" w:rsidP="00FA0D37">
      <w:pPr>
        <w:pStyle w:val="PL"/>
        <w:rPr>
          <w:color w:val="808080"/>
        </w:rPr>
      </w:pPr>
      <w:r w:rsidRPr="00FA0D37">
        <w:rPr>
          <w:color w:val="808080"/>
        </w:rPr>
        <w:t>-- ASN1STOP</w:t>
      </w:r>
    </w:p>
    <w:p w14:paraId="4C2811F5" w14:textId="77777777" w:rsidR="0090199E" w:rsidRPr="00FA0D37"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FA0D37" w:rsidRDefault="0090199E" w:rsidP="0071565C">
            <w:pPr>
              <w:pStyle w:val="TAH"/>
              <w:rPr>
                <w:szCs w:val="22"/>
                <w:lang w:eastAsia="sv-SE"/>
              </w:rPr>
            </w:pPr>
            <w:r w:rsidRPr="00FA0D37">
              <w:rPr>
                <w:i/>
                <w:szCs w:val="22"/>
                <w:lang w:eastAsia="sv-SE"/>
              </w:rPr>
              <w:t xml:space="preserve">TAR-Config </w:t>
            </w:r>
            <w:r w:rsidRPr="00FA0D37">
              <w:rPr>
                <w:szCs w:val="22"/>
                <w:lang w:eastAsia="sv-SE"/>
              </w:rPr>
              <w:t>field descriptions</w:t>
            </w:r>
          </w:p>
        </w:tc>
      </w:tr>
      <w:tr w:rsidR="005C7FF4" w:rsidRPr="00FA0D37"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FA0D37" w:rsidRDefault="0090199E" w:rsidP="0071565C">
            <w:pPr>
              <w:pStyle w:val="TAL"/>
              <w:rPr>
                <w:b/>
                <w:i/>
                <w:szCs w:val="22"/>
                <w:lang w:eastAsia="sv-SE"/>
              </w:rPr>
            </w:pPr>
            <w:r w:rsidRPr="00FA0D37">
              <w:rPr>
                <w:b/>
                <w:i/>
                <w:szCs w:val="22"/>
                <w:lang w:eastAsia="sv-SE"/>
              </w:rPr>
              <w:t>offsetThresholdTA</w:t>
            </w:r>
          </w:p>
          <w:p w14:paraId="04174040" w14:textId="66028AB8" w:rsidR="0090199E" w:rsidRPr="00FA0D37" w:rsidRDefault="0090199E" w:rsidP="0071565C">
            <w:pPr>
              <w:pStyle w:val="TAL"/>
              <w:rPr>
                <w:szCs w:val="22"/>
                <w:lang w:eastAsia="sv-SE"/>
              </w:rPr>
            </w:pPr>
            <w:r w:rsidRPr="00FA0D37">
              <w:rPr>
                <w:bCs/>
                <w:iCs/>
                <w:szCs w:val="22"/>
                <w:lang w:eastAsia="sv-SE"/>
              </w:rPr>
              <w:t xml:space="preserve">Offset for TA reporting as specified in TS 38.321 [3]. </w:t>
            </w:r>
            <w:r w:rsidR="00C509BF" w:rsidRPr="00FA0D37">
              <w:rPr>
                <w:bCs/>
                <w:iCs/>
                <w:szCs w:val="22"/>
                <w:lang w:eastAsia="sv-SE"/>
              </w:rPr>
              <w:t>Network only configures t</w:t>
            </w:r>
            <w:r w:rsidRPr="00FA0D37">
              <w:rPr>
                <w:bCs/>
                <w:iCs/>
                <w:szCs w:val="22"/>
                <w:lang w:eastAsia="sv-SE"/>
              </w:rPr>
              <w:t xml:space="preserve">his parameter </w:t>
            </w:r>
            <w:r w:rsidR="00C509BF" w:rsidRPr="00FA0D37">
              <w:rPr>
                <w:bCs/>
                <w:iCs/>
                <w:szCs w:val="22"/>
                <w:lang w:eastAsia="sv-SE"/>
              </w:rPr>
              <w:t>for</w:t>
            </w:r>
            <w:r w:rsidRPr="00FA0D37">
              <w:rPr>
                <w:bCs/>
                <w:iCs/>
                <w:szCs w:val="22"/>
                <w:lang w:eastAsia="sv-SE"/>
              </w:rPr>
              <w:t xml:space="preserve"> MCG.</w:t>
            </w:r>
          </w:p>
        </w:tc>
      </w:tr>
      <w:tr w:rsidR="00F747EB" w:rsidRPr="00FA0D37"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FA0D37" w:rsidRDefault="0090199E" w:rsidP="0071565C">
            <w:pPr>
              <w:pStyle w:val="TAL"/>
              <w:rPr>
                <w:b/>
                <w:bCs/>
                <w:i/>
                <w:iCs/>
                <w:szCs w:val="22"/>
                <w:lang w:eastAsia="sv-SE"/>
              </w:rPr>
            </w:pPr>
            <w:r w:rsidRPr="00FA0D37">
              <w:rPr>
                <w:b/>
                <w:bCs/>
                <w:i/>
                <w:iCs/>
              </w:rPr>
              <w:t>timingAdvanceSR</w:t>
            </w:r>
          </w:p>
          <w:p w14:paraId="1BAA6A48" w14:textId="77777777" w:rsidR="0090199E" w:rsidRPr="00FA0D37" w:rsidRDefault="0090199E" w:rsidP="0071565C">
            <w:pPr>
              <w:pStyle w:val="TAL"/>
              <w:rPr>
                <w:szCs w:val="22"/>
                <w:lang w:eastAsia="sv-SE"/>
              </w:rPr>
            </w:pPr>
            <w:r w:rsidRPr="00FA0D37">
              <w:rPr>
                <w:szCs w:val="22"/>
                <w:lang w:eastAsia="sv-SE"/>
              </w:rPr>
              <w:t>Used to configure whether a Timing Advance report may trigger a Scheduling Request as specified in TS 38.321 [3].</w:t>
            </w:r>
          </w:p>
        </w:tc>
      </w:tr>
    </w:tbl>
    <w:p w14:paraId="661F9CA9" w14:textId="77777777" w:rsidR="0090199E" w:rsidRPr="00FA0D37" w:rsidRDefault="0090199E" w:rsidP="00394471"/>
    <w:p w14:paraId="642252F3" w14:textId="0A90AB4F" w:rsidR="00DB6B82" w:rsidRPr="00FA0D37" w:rsidRDefault="00DB6B82" w:rsidP="00DB6B82">
      <w:pPr>
        <w:pStyle w:val="4"/>
      </w:pPr>
      <w:bookmarkStart w:id="1450" w:name="_Toc146781495"/>
      <w:r w:rsidRPr="00FA0D37">
        <w:t>–</w:t>
      </w:r>
      <w:r w:rsidRPr="00FA0D37">
        <w:tab/>
      </w:r>
      <w:r w:rsidRPr="00FA0D37">
        <w:rPr>
          <w:i/>
        </w:rPr>
        <w:t>TCI-</w:t>
      </w:r>
      <w:r w:rsidR="0005240D" w:rsidRPr="00FA0D37">
        <w:rPr>
          <w:i/>
        </w:rPr>
        <w:t>ActivatedConfig</w:t>
      </w:r>
      <w:bookmarkEnd w:id="1450"/>
    </w:p>
    <w:p w14:paraId="13D5158A" w14:textId="4F1CFA44" w:rsidR="00DB6B82" w:rsidRPr="00FA0D37" w:rsidRDefault="00DB6B82" w:rsidP="00DB6B82">
      <w:r w:rsidRPr="00FA0D37">
        <w:t xml:space="preserve">The IE </w:t>
      </w:r>
      <w:r w:rsidRPr="00FA0D37">
        <w:rPr>
          <w:i/>
        </w:rPr>
        <w:t>TCI-</w:t>
      </w:r>
      <w:r w:rsidR="0005240D" w:rsidRPr="00FA0D37">
        <w:rPr>
          <w:i/>
        </w:rPr>
        <w:t>ActivatedConfig</w:t>
      </w:r>
      <w:r w:rsidRPr="00FA0D37">
        <w:t xml:space="preserve"> is used to </w:t>
      </w:r>
      <w:r w:rsidR="0005240D" w:rsidRPr="00FA0D37">
        <w:t>provide activated</w:t>
      </w:r>
      <w:r w:rsidRPr="00FA0D37">
        <w:t xml:space="preserve"> TCI states for PDSCH and/or PDCCH of the PSCell</w:t>
      </w:r>
      <w:r w:rsidR="00627E02" w:rsidRPr="00FA0D37">
        <w:t xml:space="preserve"> or of an SCell</w:t>
      </w:r>
      <w:r w:rsidRPr="00FA0D37">
        <w:t>.</w:t>
      </w:r>
    </w:p>
    <w:p w14:paraId="70A7F9C4" w14:textId="34956A8D" w:rsidR="00DB6B82" w:rsidRPr="00FA0D37" w:rsidRDefault="00DB6B82" w:rsidP="00DB6B82">
      <w:pPr>
        <w:pStyle w:val="TH"/>
      </w:pPr>
      <w:r w:rsidRPr="00FA0D37">
        <w:rPr>
          <w:i/>
        </w:rPr>
        <w:lastRenderedPageBreak/>
        <w:t>TCI-</w:t>
      </w:r>
      <w:r w:rsidR="0005240D" w:rsidRPr="00FA0D37">
        <w:rPr>
          <w:i/>
        </w:rPr>
        <w:t>ActivatedConfig</w:t>
      </w:r>
      <w:r w:rsidRPr="00FA0D37">
        <w:t xml:space="preserve"> information element</w:t>
      </w:r>
    </w:p>
    <w:p w14:paraId="7725BB9A" w14:textId="77777777" w:rsidR="00DB6B82" w:rsidRPr="00FA0D37" w:rsidRDefault="00DB6B82" w:rsidP="00FA0D37">
      <w:pPr>
        <w:pStyle w:val="PL"/>
        <w:rPr>
          <w:color w:val="808080"/>
        </w:rPr>
      </w:pPr>
      <w:r w:rsidRPr="00FA0D37">
        <w:rPr>
          <w:color w:val="808080"/>
        </w:rPr>
        <w:t>-- ASN1START</w:t>
      </w:r>
    </w:p>
    <w:p w14:paraId="7D9AF642" w14:textId="63257365" w:rsidR="00DB6B82" w:rsidRPr="00FA0D37" w:rsidRDefault="00DB6B82" w:rsidP="00FA0D37">
      <w:pPr>
        <w:pStyle w:val="PL"/>
        <w:rPr>
          <w:color w:val="808080"/>
        </w:rPr>
      </w:pPr>
      <w:r w:rsidRPr="00FA0D37">
        <w:rPr>
          <w:color w:val="808080"/>
        </w:rPr>
        <w:t>-- TAG-TCI-</w:t>
      </w:r>
      <w:r w:rsidR="0005240D" w:rsidRPr="00FA0D37">
        <w:rPr>
          <w:color w:val="808080"/>
        </w:rPr>
        <w:t>ACTIVATEDCONFIG</w:t>
      </w:r>
      <w:r w:rsidRPr="00FA0D37">
        <w:rPr>
          <w:color w:val="808080"/>
        </w:rPr>
        <w:t>-START</w:t>
      </w:r>
    </w:p>
    <w:p w14:paraId="3CE630CC" w14:textId="77777777" w:rsidR="00DB6B82" w:rsidRPr="00FA0D37" w:rsidRDefault="00DB6B82" w:rsidP="00FA0D37">
      <w:pPr>
        <w:pStyle w:val="PL"/>
      </w:pPr>
    </w:p>
    <w:p w14:paraId="65EACE76" w14:textId="690D328A" w:rsidR="00DB6B82" w:rsidRPr="00FA0D37" w:rsidRDefault="00DB6B82" w:rsidP="00FA0D37">
      <w:pPr>
        <w:pStyle w:val="PL"/>
      </w:pPr>
      <w:r w:rsidRPr="00FA0D37">
        <w:t>TCI-</w:t>
      </w:r>
      <w:r w:rsidR="0005240D" w:rsidRPr="00FA0D37">
        <w:t>ActivatedConfig</w:t>
      </w:r>
      <w:r w:rsidR="003071C2" w:rsidRPr="00FA0D37">
        <w:t>-r17</w:t>
      </w:r>
      <w:r w:rsidRPr="00FA0D37">
        <w:t xml:space="preserve"> ::= </w:t>
      </w:r>
      <w:r w:rsidRPr="00FA0D37">
        <w:rPr>
          <w:color w:val="993366"/>
        </w:rPr>
        <w:t>SEQUENCE</w:t>
      </w:r>
      <w:r w:rsidRPr="00FA0D37">
        <w:t xml:space="preserve"> {</w:t>
      </w:r>
    </w:p>
    <w:p w14:paraId="7BFF6239" w14:textId="7E823600" w:rsidR="00DB6B82" w:rsidRPr="00FA0D37" w:rsidRDefault="00DB6B82" w:rsidP="00FA0D37">
      <w:pPr>
        <w:pStyle w:val="PL"/>
      </w:pPr>
      <w:r w:rsidRPr="00FA0D37">
        <w:t xml:space="preserve">    pdcch-TCI-r17       </w:t>
      </w:r>
      <w:r w:rsidR="0005240D" w:rsidRPr="00FA0D37">
        <w:t xml:space="preserve">    </w:t>
      </w:r>
      <w:r w:rsidR="003071C2" w:rsidRPr="00FA0D37">
        <w:t xml:space="preserve">    </w:t>
      </w:r>
      <w:r w:rsidRPr="00FA0D37">
        <w:rPr>
          <w:color w:val="993366"/>
        </w:rPr>
        <w:t>SEQUENCE</w:t>
      </w:r>
      <w:r w:rsidRPr="00FA0D37">
        <w:t xml:space="preserve"> (</w:t>
      </w:r>
      <w:r w:rsidRPr="00FA0D37">
        <w:rPr>
          <w:color w:val="993366"/>
        </w:rPr>
        <w:t>SIZE</w:t>
      </w:r>
      <w:r w:rsidRPr="00FA0D37">
        <w:t xml:space="preserve"> (1..5)</w:t>
      </w:r>
      <w:r w:rsidR="006B0BE5" w:rsidRPr="00FA0D37">
        <w:t>)</w:t>
      </w:r>
      <w:r w:rsidRPr="00FA0D37">
        <w:rPr>
          <w:color w:val="993366"/>
        </w:rPr>
        <w:t xml:space="preserve"> OF</w:t>
      </w:r>
      <w:r w:rsidRPr="00FA0D37">
        <w:t xml:space="preserve"> TCI-StateId,</w:t>
      </w:r>
    </w:p>
    <w:p w14:paraId="0F68315A" w14:textId="74EE860E" w:rsidR="00DB6B82" w:rsidRPr="00FA0D37" w:rsidRDefault="00DB6B82" w:rsidP="00FA0D37">
      <w:pPr>
        <w:pStyle w:val="PL"/>
      </w:pPr>
      <w:r w:rsidRPr="00FA0D37">
        <w:t xml:space="preserve">    pdsch-TCI-r17       </w:t>
      </w:r>
      <w:r w:rsidR="0005240D" w:rsidRPr="00FA0D37">
        <w:t xml:space="preserve">    </w:t>
      </w:r>
      <w:r w:rsidR="003071C2" w:rsidRPr="00FA0D37">
        <w:t xml:space="preserve">    </w:t>
      </w:r>
      <w:r w:rsidRPr="00FA0D37">
        <w:rPr>
          <w:color w:val="993366"/>
        </w:rPr>
        <w:t>BIT</w:t>
      </w:r>
      <w:r w:rsidR="00015613" w:rsidRPr="00FA0D37">
        <w:t xml:space="preserve"> </w:t>
      </w:r>
      <w:r w:rsidRPr="00FA0D37">
        <w:rPr>
          <w:color w:val="993366"/>
        </w:rPr>
        <w:t>STRING</w:t>
      </w:r>
      <w:r w:rsidR="002D7FAF" w:rsidRPr="00FA0D37">
        <w:t xml:space="preserve"> (</w:t>
      </w:r>
      <w:r w:rsidR="002D7FAF" w:rsidRPr="00FA0D37">
        <w:rPr>
          <w:color w:val="993366"/>
        </w:rPr>
        <w:t>SIZE</w:t>
      </w:r>
      <w:r w:rsidRPr="00FA0D37">
        <w:t xml:space="preserve"> (1..maxNrofTCI-States)</w:t>
      </w:r>
      <w:r w:rsidR="006665C6" w:rsidRPr="00FA0D37">
        <w:t>)</w:t>
      </w:r>
    </w:p>
    <w:p w14:paraId="2B39FAED" w14:textId="77777777" w:rsidR="00DB6B82" w:rsidRPr="00FA0D37" w:rsidRDefault="00DB6B82" w:rsidP="00FA0D37">
      <w:pPr>
        <w:pStyle w:val="PL"/>
      </w:pPr>
      <w:r w:rsidRPr="00FA0D37">
        <w:t>}</w:t>
      </w:r>
    </w:p>
    <w:p w14:paraId="6A5C1689" w14:textId="77777777" w:rsidR="00DB6B82" w:rsidRPr="00FA0D37" w:rsidRDefault="00DB6B82" w:rsidP="00FA0D37">
      <w:pPr>
        <w:pStyle w:val="PL"/>
      </w:pPr>
    </w:p>
    <w:p w14:paraId="542F768D" w14:textId="7A345228" w:rsidR="00DB6B82" w:rsidRPr="00FA0D37" w:rsidRDefault="00DB6B82" w:rsidP="00FA0D37">
      <w:pPr>
        <w:pStyle w:val="PL"/>
        <w:rPr>
          <w:color w:val="808080"/>
        </w:rPr>
      </w:pPr>
      <w:r w:rsidRPr="00FA0D37">
        <w:rPr>
          <w:color w:val="808080"/>
        </w:rPr>
        <w:t>-- TAG-TCI-</w:t>
      </w:r>
      <w:r w:rsidR="0005240D" w:rsidRPr="00FA0D37">
        <w:rPr>
          <w:color w:val="808080"/>
        </w:rPr>
        <w:t>ACTIVATEDCONFIG</w:t>
      </w:r>
      <w:r w:rsidRPr="00FA0D37">
        <w:rPr>
          <w:color w:val="808080"/>
        </w:rPr>
        <w:t>-STOP</w:t>
      </w:r>
    </w:p>
    <w:p w14:paraId="3BE3CF8C" w14:textId="77777777" w:rsidR="00DB6B82" w:rsidRPr="00FA0D37" w:rsidRDefault="00DB6B82" w:rsidP="00FA0D37">
      <w:pPr>
        <w:pStyle w:val="PL"/>
        <w:rPr>
          <w:color w:val="808080"/>
        </w:rPr>
      </w:pPr>
      <w:r w:rsidRPr="00FA0D37">
        <w:rPr>
          <w:color w:val="808080"/>
        </w:rPr>
        <w:t>-- ASN1STOP</w:t>
      </w:r>
    </w:p>
    <w:p w14:paraId="2D9DFCE9" w14:textId="77777777" w:rsidR="00DB6B82" w:rsidRPr="00FA0D3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FA0D37" w:rsidRDefault="00DB6B82" w:rsidP="00771058">
            <w:pPr>
              <w:pStyle w:val="TAH"/>
              <w:rPr>
                <w:szCs w:val="22"/>
                <w:lang w:eastAsia="sv-SE"/>
              </w:rPr>
            </w:pPr>
            <w:r w:rsidRPr="00FA0D37">
              <w:rPr>
                <w:i/>
                <w:szCs w:val="22"/>
                <w:lang w:eastAsia="sv-SE"/>
              </w:rPr>
              <w:t>TCI-</w:t>
            </w:r>
            <w:r w:rsidR="0005240D" w:rsidRPr="00FA0D37">
              <w:rPr>
                <w:i/>
                <w:szCs w:val="22"/>
                <w:lang w:eastAsia="sv-SE"/>
              </w:rPr>
              <w:t>ActivatedConfig</w:t>
            </w:r>
            <w:r w:rsidRPr="00FA0D37">
              <w:rPr>
                <w:i/>
                <w:szCs w:val="22"/>
                <w:lang w:eastAsia="sv-SE"/>
              </w:rPr>
              <w:t xml:space="preserve"> </w:t>
            </w:r>
            <w:r w:rsidRPr="00FA0D37">
              <w:rPr>
                <w:szCs w:val="22"/>
                <w:lang w:eastAsia="sv-SE"/>
              </w:rPr>
              <w:t>field descriptions</w:t>
            </w:r>
          </w:p>
        </w:tc>
      </w:tr>
      <w:tr w:rsidR="005C7FF4" w:rsidRPr="00FA0D37"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FA0D37" w:rsidRDefault="00DB6B82" w:rsidP="00771058">
            <w:pPr>
              <w:pStyle w:val="TAL"/>
              <w:rPr>
                <w:b/>
                <w:i/>
                <w:szCs w:val="22"/>
                <w:lang w:eastAsia="sv-SE"/>
              </w:rPr>
            </w:pPr>
            <w:r w:rsidRPr="00FA0D37">
              <w:rPr>
                <w:b/>
                <w:i/>
                <w:szCs w:val="22"/>
                <w:lang w:eastAsia="sv-SE"/>
              </w:rPr>
              <w:t>pdcch-TCI</w:t>
            </w:r>
          </w:p>
          <w:p w14:paraId="50D877B3" w14:textId="77777777" w:rsidR="00DB6B82" w:rsidRPr="00FA0D37" w:rsidRDefault="00DB6B82" w:rsidP="00771058">
            <w:pPr>
              <w:pStyle w:val="TAL"/>
              <w:rPr>
                <w:szCs w:val="22"/>
                <w:lang w:eastAsia="sv-SE"/>
              </w:rPr>
            </w:pPr>
            <w:r w:rsidRPr="00FA0D37">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FA0D37">
              <w:rPr>
                <w:i/>
                <w:szCs w:val="22"/>
                <w:lang w:eastAsia="sv-SE"/>
              </w:rPr>
              <w:t>ControlResourceSet-Id</w:t>
            </w:r>
            <w:r w:rsidRPr="00FA0D37">
              <w:rPr>
                <w:szCs w:val="22"/>
                <w:lang w:eastAsia="sv-SE"/>
              </w:rPr>
              <w:t xml:space="preserve">, i.e. the first entry indicates the TCI state for the configured CORESET with the lowest </w:t>
            </w:r>
            <w:r w:rsidRPr="00FA0D37">
              <w:rPr>
                <w:i/>
                <w:szCs w:val="22"/>
                <w:lang w:eastAsia="sv-SE"/>
              </w:rPr>
              <w:t>ControlResourceset-Id value</w:t>
            </w:r>
            <w:r w:rsidRPr="00FA0D37">
              <w:rPr>
                <w:szCs w:val="22"/>
                <w:lang w:eastAsia="sv-SE"/>
              </w:rPr>
              <w:t xml:space="preserve">, the second value indicates the TCI states for the configured CORESET with the second lowest </w:t>
            </w:r>
            <w:r w:rsidRPr="00FA0D37">
              <w:rPr>
                <w:i/>
                <w:szCs w:val="22"/>
                <w:lang w:eastAsia="sv-SE"/>
              </w:rPr>
              <w:t>ControlResourceset-Id</w:t>
            </w:r>
            <w:r w:rsidRPr="00FA0D37">
              <w:rPr>
                <w:szCs w:val="22"/>
                <w:lang w:eastAsia="sv-SE"/>
              </w:rPr>
              <w:t xml:space="preserve"> value, and so on.</w:t>
            </w:r>
          </w:p>
        </w:tc>
      </w:tr>
      <w:tr w:rsidR="000830BB" w:rsidRPr="00FA0D37"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FA0D37" w:rsidRDefault="00DB6B82" w:rsidP="00771058">
            <w:pPr>
              <w:pStyle w:val="TAL"/>
              <w:rPr>
                <w:b/>
                <w:i/>
                <w:szCs w:val="22"/>
                <w:lang w:eastAsia="sv-SE"/>
              </w:rPr>
            </w:pPr>
            <w:r w:rsidRPr="00FA0D37">
              <w:rPr>
                <w:b/>
                <w:i/>
                <w:szCs w:val="22"/>
                <w:lang w:eastAsia="sv-SE"/>
              </w:rPr>
              <w:t>pdsch-TCI</w:t>
            </w:r>
          </w:p>
          <w:p w14:paraId="27F5C72A" w14:textId="52B81C82" w:rsidR="00DB6B82" w:rsidRPr="00FA0D37" w:rsidRDefault="00DB6B82" w:rsidP="00771058">
            <w:pPr>
              <w:pStyle w:val="TAL"/>
              <w:rPr>
                <w:szCs w:val="22"/>
                <w:lang w:eastAsia="sv-SE"/>
              </w:rPr>
            </w:pPr>
            <w:r w:rsidRPr="00FA0D37">
              <w:rPr>
                <w:szCs w:val="22"/>
                <w:lang w:eastAsia="sv-SE"/>
              </w:rPr>
              <w:t>Indicates TCI states for PDSCH reception at SCell addition/activation or of the PSCell at SCG activation. This field</w:t>
            </w:r>
            <w:r w:rsidR="00454D3A" w:rsidRPr="00FA0D37">
              <w:rPr>
                <w:szCs w:val="22"/>
                <w:lang w:eastAsia="sv-SE"/>
              </w:rPr>
              <w:t xml:space="preserve"> indicates activated</w:t>
            </w:r>
            <w:r w:rsidRPr="00FA0D37">
              <w:rPr>
                <w:szCs w:val="22"/>
                <w:lang w:eastAsia="sv-SE"/>
              </w:rPr>
              <w:t xml:space="preserve"> TCI state</w:t>
            </w:r>
            <w:r w:rsidR="00454D3A" w:rsidRPr="00FA0D37">
              <w:rPr>
                <w:szCs w:val="22"/>
                <w:lang w:eastAsia="sv-SE"/>
              </w:rPr>
              <w:t>(s) for</w:t>
            </w:r>
            <w:r w:rsidRPr="00FA0D37">
              <w:rPr>
                <w:szCs w:val="22"/>
                <w:lang w:eastAsia="sv-SE"/>
              </w:rPr>
              <w:t xml:space="preserve"> this BWP ordered by increasing values of </w:t>
            </w:r>
            <w:r w:rsidRPr="00FA0D37">
              <w:rPr>
                <w:i/>
                <w:szCs w:val="22"/>
                <w:lang w:eastAsia="sv-SE"/>
              </w:rPr>
              <w:t>TCI-StateId</w:t>
            </w:r>
            <w:r w:rsidRPr="00FA0D37">
              <w:rPr>
                <w:szCs w:val="22"/>
                <w:lang w:eastAsia="sv-SE"/>
              </w:rPr>
              <w:t xml:space="preserve">, i.e. the first bit indicates the activation state of the TCI state with the lowest </w:t>
            </w:r>
            <w:r w:rsidRPr="00FA0D37">
              <w:rPr>
                <w:i/>
                <w:szCs w:val="22"/>
                <w:lang w:eastAsia="sv-SE"/>
              </w:rPr>
              <w:t>TCI-StateId</w:t>
            </w:r>
            <w:r w:rsidRPr="00FA0D37">
              <w:rPr>
                <w:szCs w:val="22"/>
                <w:lang w:eastAsia="sv-SE"/>
              </w:rPr>
              <w:t xml:space="preserve"> value, the second value indicates the activation status of the TCI state with the second lowest </w:t>
            </w:r>
            <w:r w:rsidRPr="00FA0D37">
              <w:rPr>
                <w:i/>
                <w:szCs w:val="22"/>
                <w:lang w:eastAsia="sv-SE"/>
              </w:rPr>
              <w:t>TCI-State-Id</w:t>
            </w:r>
            <w:r w:rsidRPr="00FA0D37">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FA0D37" w:rsidRDefault="00DB6B82" w:rsidP="00394471"/>
    <w:p w14:paraId="0FE2E0F5" w14:textId="77777777" w:rsidR="00394471" w:rsidRPr="00FA0D37" w:rsidRDefault="00394471" w:rsidP="00394471">
      <w:pPr>
        <w:pStyle w:val="4"/>
      </w:pPr>
      <w:bookmarkStart w:id="1451" w:name="_Toc60777408"/>
      <w:bookmarkStart w:id="1452" w:name="_Toc146781496"/>
      <w:r w:rsidRPr="00FA0D37">
        <w:t>–</w:t>
      </w:r>
      <w:r w:rsidRPr="00FA0D37">
        <w:tab/>
      </w:r>
      <w:r w:rsidRPr="00FA0D37">
        <w:rPr>
          <w:i/>
        </w:rPr>
        <w:t>TCI-State</w:t>
      </w:r>
      <w:bookmarkEnd w:id="1451"/>
      <w:bookmarkEnd w:id="1452"/>
    </w:p>
    <w:p w14:paraId="0DDCDF2A" w14:textId="48782842" w:rsidR="00394471" w:rsidRPr="00FA0D37" w:rsidRDefault="00394471" w:rsidP="00394471">
      <w:r w:rsidRPr="00FA0D37">
        <w:t xml:space="preserve">The IE </w:t>
      </w:r>
      <w:r w:rsidRPr="00FA0D37">
        <w:rPr>
          <w:i/>
        </w:rPr>
        <w:t>TCI-State</w:t>
      </w:r>
      <w:r w:rsidRPr="00FA0D37">
        <w:t xml:space="preserve"> associates one or two DL reference signals with a corresponding quasi-colocation (QCL) type.</w:t>
      </w:r>
    </w:p>
    <w:p w14:paraId="6D69FEA9" w14:textId="77777777" w:rsidR="00394471" w:rsidRPr="00FA0D37" w:rsidRDefault="00394471" w:rsidP="00394471">
      <w:pPr>
        <w:pStyle w:val="TH"/>
      </w:pPr>
      <w:r w:rsidRPr="00FA0D37">
        <w:rPr>
          <w:i/>
        </w:rPr>
        <w:t>TCI-State</w:t>
      </w:r>
      <w:r w:rsidRPr="00FA0D37">
        <w:t xml:space="preserve"> information element</w:t>
      </w:r>
    </w:p>
    <w:p w14:paraId="165B8046" w14:textId="77777777" w:rsidR="00394471" w:rsidRPr="00FA0D37" w:rsidRDefault="00394471" w:rsidP="00FA0D37">
      <w:pPr>
        <w:pStyle w:val="PL"/>
        <w:rPr>
          <w:color w:val="808080"/>
        </w:rPr>
      </w:pPr>
      <w:r w:rsidRPr="00FA0D37">
        <w:rPr>
          <w:color w:val="808080"/>
        </w:rPr>
        <w:t>-- ASN1START</w:t>
      </w:r>
    </w:p>
    <w:p w14:paraId="4F54C00A" w14:textId="77777777" w:rsidR="00394471" w:rsidRPr="00FA0D37" w:rsidRDefault="00394471" w:rsidP="00FA0D37">
      <w:pPr>
        <w:pStyle w:val="PL"/>
        <w:rPr>
          <w:color w:val="808080"/>
        </w:rPr>
      </w:pPr>
      <w:r w:rsidRPr="00FA0D37">
        <w:rPr>
          <w:color w:val="808080"/>
        </w:rPr>
        <w:t>-- TAG-TCI-STATE-START</w:t>
      </w:r>
    </w:p>
    <w:p w14:paraId="01582BD5" w14:textId="77777777" w:rsidR="00394471" w:rsidRPr="00FA0D37" w:rsidRDefault="00394471" w:rsidP="00FA0D37">
      <w:pPr>
        <w:pStyle w:val="PL"/>
      </w:pPr>
    </w:p>
    <w:p w14:paraId="2E9648F2" w14:textId="77777777" w:rsidR="00394471" w:rsidRPr="00FA0D37" w:rsidRDefault="00394471" w:rsidP="00FA0D37">
      <w:pPr>
        <w:pStyle w:val="PL"/>
      </w:pPr>
      <w:r w:rsidRPr="00FA0D37">
        <w:t xml:space="preserve">TCI-State ::=                       </w:t>
      </w:r>
      <w:r w:rsidRPr="00FA0D37">
        <w:rPr>
          <w:color w:val="993366"/>
        </w:rPr>
        <w:t>SEQUENCE</w:t>
      </w:r>
      <w:r w:rsidRPr="00FA0D37">
        <w:t xml:space="preserve"> {</w:t>
      </w:r>
    </w:p>
    <w:p w14:paraId="56793917" w14:textId="77777777" w:rsidR="00394471" w:rsidRPr="00FA0D37" w:rsidRDefault="00394471" w:rsidP="00FA0D37">
      <w:pPr>
        <w:pStyle w:val="PL"/>
      </w:pPr>
      <w:r w:rsidRPr="00FA0D37">
        <w:t xml:space="preserve">    tci-StateId                         TCI-StateId,</w:t>
      </w:r>
    </w:p>
    <w:p w14:paraId="03901026" w14:textId="77777777" w:rsidR="00394471" w:rsidRPr="00FA0D37" w:rsidRDefault="00394471" w:rsidP="00FA0D37">
      <w:pPr>
        <w:pStyle w:val="PL"/>
      </w:pPr>
      <w:r w:rsidRPr="00FA0D37">
        <w:t xml:space="preserve">    qcl-Type1                           QCL-Info,</w:t>
      </w:r>
    </w:p>
    <w:p w14:paraId="48C82313" w14:textId="77777777" w:rsidR="00394471" w:rsidRPr="00FA0D37" w:rsidRDefault="00394471" w:rsidP="00FA0D37">
      <w:pPr>
        <w:pStyle w:val="PL"/>
        <w:rPr>
          <w:color w:val="808080"/>
        </w:rPr>
      </w:pPr>
      <w:r w:rsidRPr="00FA0D37">
        <w:t xml:space="preserve">    qcl-Type2                           QCL-Info                                                    </w:t>
      </w:r>
      <w:r w:rsidRPr="00FA0D37">
        <w:rPr>
          <w:color w:val="993366"/>
        </w:rPr>
        <w:t>OPTIONAL</w:t>
      </w:r>
      <w:r w:rsidRPr="00FA0D37">
        <w:t xml:space="preserve">,   </w:t>
      </w:r>
      <w:r w:rsidRPr="00FA0D37">
        <w:rPr>
          <w:color w:val="808080"/>
        </w:rPr>
        <w:t>-- Need R</w:t>
      </w:r>
    </w:p>
    <w:p w14:paraId="7F3CBF17" w14:textId="089528E7" w:rsidR="007B122D" w:rsidRPr="00FA0D37" w:rsidRDefault="00394471" w:rsidP="00FA0D37">
      <w:pPr>
        <w:pStyle w:val="PL"/>
      </w:pPr>
      <w:r w:rsidRPr="00FA0D37">
        <w:t xml:space="preserve">    ...</w:t>
      </w:r>
      <w:r w:rsidR="007B122D" w:rsidRPr="00FA0D37">
        <w:t>,</w:t>
      </w:r>
    </w:p>
    <w:p w14:paraId="587BD987" w14:textId="77777777" w:rsidR="007B122D" w:rsidRPr="00FA0D37" w:rsidRDefault="007B122D" w:rsidP="00FA0D37">
      <w:pPr>
        <w:pStyle w:val="PL"/>
      </w:pPr>
      <w:r w:rsidRPr="00FA0D37">
        <w:t xml:space="preserve">    [[</w:t>
      </w:r>
    </w:p>
    <w:p w14:paraId="2254F9C5" w14:textId="41455557" w:rsidR="007B122D" w:rsidRPr="00FA0D37" w:rsidRDefault="007B122D" w:rsidP="00FA0D37">
      <w:pPr>
        <w:pStyle w:val="PL"/>
        <w:rPr>
          <w:color w:val="808080"/>
        </w:rPr>
      </w:pPr>
      <w:r w:rsidRPr="00FA0D37">
        <w:t xml:space="preserve">    additionalPCI-r17                   AdditionalPCIIndex-r17                                      </w:t>
      </w:r>
      <w:r w:rsidRPr="00FA0D37">
        <w:rPr>
          <w:color w:val="993366"/>
        </w:rPr>
        <w:t>OPTIONAL</w:t>
      </w:r>
      <w:r w:rsidRPr="00FA0D37">
        <w:t xml:space="preserve">,   </w:t>
      </w:r>
      <w:r w:rsidRPr="00FA0D37">
        <w:rPr>
          <w:color w:val="808080"/>
        </w:rPr>
        <w:t>-- Need R</w:t>
      </w:r>
    </w:p>
    <w:p w14:paraId="30FEB95C" w14:textId="25B9CF48" w:rsidR="007B122D" w:rsidRPr="00FA0D37" w:rsidRDefault="007B122D" w:rsidP="00FA0D37">
      <w:pPr>
        <w:pStyle w:val="PL"/>
        <w:rPr>
          <w:color w:val="808080"/>
        </w:rPr>
      </w:pPr>
      <w:r w:rsidRPr="00FA0D37">
        <w:t xml:space="preserve">    pathlossReferenceRS-Id-r17          PathlossReferenceRS-Id</w:t>
      </w:r>
      <w:r w:rsidR="00454D3A" w:rsidRPr="00FA0D37">
        <w:t>-r17</w:t>
      </w:r>
      <w:r w:rsidRPr="00FA0D37">
        <w:t xml:space="preserve">                            </w:t>
      </w:r>
      <w:r w:rsidR="005D46C6" w:rsidRPr="00FA0D37">
        <w:t xml:space="preserve">      </w:t>
      </w:r>
      <w:r w:rsidRPr="00FA0D37">
        <w:rPr>
          <w:color w:val="993366"/>
        </w:rPr>
        <w:t>OPTIONAL</w:t>
      </w:r>
      <w:r w:rsidRPr="00FA0D37">
        <w:t xml:space="preserve">,   </w:t>
      </w:r>
      <w:r w:rsidRPr="00FA0D37">
        <w:rPr>
          <w:color w:val="808080"/>
        </w:rPr>
        <w:t>-- Cond JointTCI</w:t>
      </w:r>
      <w:r w:rsidR="005D46C6" w:rsidRPr="00FA0D37">
        <w:rPr>
          <w:color w:val="808080"/>
        </w:rPr>
        <w:t>1</w:t>
      </w:r>
    </w:p>
    <w:p w14:paraId="635B3C79" w14:textId="4FE16FBD" w:rsidR="00C148E4" w:rsidRPr="00FA0D37" w:rsidRDefault="007B122D" w:rsidP="00FA0D37">
      <w:pPr>
        <w:pStyle w:val="PL"/>
        <w:rPr>
          <w:color w:val="808080"/>
        </w:rPr>
      </w:pPr>
      <w:r w:rsidRPr="00FA0D37">
        <w:t xml:space="preserve">    ul-powerControl-r17                 Uplink-powerControlId-r17                                   </w:t>
      </w:r>
      <w:r w:rsidRPr="00FA0D37">
        <w:rPr>
          <w:color w:val="993366"/>
        </w:rPr>
        <w:t>OPTIONAL</w:t>
      </w:r>
      <w:r w:rsidRPr="00FA0D37">
        <w:t xml:space="preserve">    </w:t>
      </w:r>
      <w:r w:rsidRPr="00FA0D37">
        <w:rPr>
          <w:color w:val="808080"/>
        </w:rPr>
        <w:t>-- Cond JointTCI</w:t>
      </w:r>
    </w:p>
    <w:p w14:paraId="2C33886F" w14:textId="3E2BEC5D" w:rsidR="007B122D" w:rsidRPr="00FA0D37" w:rsidRDefault="007B122D" w:rsidP="00FA0D37">
      <w:pPr>
        <w:pStyle w:val="PL"/>
      </w:pPr>
      <w:r w:rsidRPr="00FA0D37">
        <w:t xml:space="preserve">    ]]</w:t>
      </w:r>
    </w:p>
    <w:p w14:paraId="40F65C41" w14:textId="5005DB79" w:rsidR="00394471" w:rsidRPr="00FA0D37" w:rsidRDefault="00394471" w:rsidP="00FA0D37">
      <w:pPr>
        <w:pStyle w:val="PL"/>
      </w:pPr>
    </w:p>
    <w:p w14:paraId="463E06F9" w14:textId="77777777" w:rsidR="00394471" w:rsidRPr="00FA0D37" w:rsidRDefault="00394471" w:rsidP="00FA0D37">
      <w:pPr>
        <w:pStyle w:val="PL"/>
      </w:pPr>
      <w:r w:rsidRPr="00FA0D37">
        <w:lastRenderedPageBreak/>
        <w:t>}</w:t>
      </w:r>
    </w:p>
    <w:p w14:paraId="549E64BC" w14:textId="77777777" w:rsidR="00394471" w:rsidRPr="00FA0D37" w:rsidRDefault="00394471" w:rsidP="00FA0D37">
      <w:pPr>
        <w:pStyle w:val="PL"/>
      </w:pPr>
    </w:p>
    <w:p w14:paraId="5B8B57D0" w14:textId="77777777" w:rsidR="00394471" w:rsidRPr="00FA0D37" w:rsidRDefault="00394471" w:rsidP="00FA0D37">
      <w:pPr>
        <w:pStyle w:val="PL"/>
      </w:pPr>
      <w:r w:rsidRPr="00FA0D37">
        <w:t xml:space="preserve">QCL-Info ::=                        </w:t>
      </w:r>
      <w:r w:rsidRPr="00FA0D37">
        <w:rPr>
          <w:color w:val="993366"/>
        </w:rPr>
        <w:t>SEQUENCE</w:t>
      </w:r>
      <w:r w:rsidRPr="00FA0D37">
        <w:t xml:space="preserve"> {</w:t>
      </w:r>
    </w:p>
    <w:p w14:paraId="0BB4A666" w14:textId="77777777" w:rsidR="00394471" w:rsidRPr="00FA0D37" w:rsidRDefault="00394471" w:rsidP="00FA0D37">
      <w:pPr>
        <w:pStyle w:val="PL"/>
        <w:rPr>
          <w:color w:val="808080"/>
        </w:rPr>
      </w:pPr>
      <w:r w:rsidRPr="00FA0D37">
        <w:t xml:space="preserve">    cell                                ServCellIndex                                               </w:t>
      </w:r>
      <w:r w:rsidRPr="00FA0D37">
        <w:rPr>
          <w:color w:val="993366"/>
        </w:rPr>
        <w:t>OPTIONAL</w:t>
      </w:r>
      <w:r w:rsidRPr="00FA0D37">
        <w:t xml:space="preserve">,   </w:t>
      </w:r>
      <w:r w:rsidRPr="00FA0D37">
        <w:rPr>
          <w:color w:val="808080"/>
        </w:rPr>
        <w:t>-- Need R</w:t>
      </w:r>
    </w:p>
    <w:p w14:paraId="2C6056BF" w14:textId="77777777" w:rsidR="00394471" w:rsidRPr="00FA0D37" w:rsidRDefault="00394471" w:rsidP="00FA0D37">
      <w:pPr>
        <w:pStyle w:val="PL"/>
        <w:rPr>
          <w:color w:val="808080"/>
        </w:rPr>
      </w:pPr>
      <w:r w:rsidRPr="00FA0D37">
        <w:t xml:space="preserve">    bwp-Id                              BWP-Id                                                      </w:t>
      </w:r>
      <w:r w:rsidRPr="00FA0D37">
        <w:rPr>
          <w:color w:val="993366"/>
        </w:rPr>
        <w:t>OPTIONAL</w:t>
      </w:r>
      <w:r w:rsidRPr="00FA0D37">
        <w:t xml:space="preserve">, </w:t>
      </w:r>
      <w:r w:rsidRPr="00FA0D37">
        <w:rPr>
          <w:color w:val="808080"/>
        </w:rPr>
        <w:t>-- Cond CSI-RS-Indicated</w:t>
      </w:r>
    </w:p>
    <w:p w14:paraId="06ECA000" w14:textId="77777777" w:rsidR="00394471" w:rsidRPr="00FA0D37" w:rsidRDefault="00394471" w:rsidP="00FA0D37">
      <w:pPr>
        <w:pStyle w:val="PL"/>
      </w:pPr>
      <w:r w:rsidRPr="00FA0D37">
        <w:t xml:space="preserve">    referenceSignal                     </w:t>
      </w:r>
      <w:r w:rsidRPr="00FA0D37">
        <w:rPr>
          <w:color w:val="993366"/>
        </w:rPr>
        <w:t>CHOICE</w:t>
      </w:r>
      <w:r w:rsidRPr="00FA0D37">
        <w:t xml:space="preserve"> {</w:t>
      </w:r>
    </w:p>
    <w:p w14:paraId="3EC2E5D5" w14:textId="77777777" w:rsidR="00394471" w:rsidRPr="00FA0D37" w:rsidRDefault="00394471" w:rsidP="00FA0D37">
      <w:pPr>
        <w:pStyle w:val="PL"/>
      </w:pPr>
      <w:r w:rsidRPr="00FA0D37">
        <w:t xml:space="preserve">        csi-rs                              NZP-CSI-RS-ResourceId,</w:t>
      </w:r>
    </w:p>
    <w:p w14:paraId="55F8014E" w14:textId="77777777" w:rsidR="00394471" w:rsidRPr="00FA0D37" w:rsidRDefault="00394471" w:rsidP="00FA0D37">
      <w:pPr>
        <w:pStyle w:val="PL"/>
      </w:pPr>
      <w:r w:rsidRPr="00FA0D37">
        <w:t xml:space="preserve">        ssb                                 SSB-Index</w:t>
      </w:r>
    </w:p>
    <w:p w14:paraId="265700E1" w14:textId="77777777" w:rsidR="00394471" w:rsidRPr="00FA0D37" w:rsidRDefault="00394471" w:rsidP="00FA0D37">
      <w:pPr>
        <w:pStyle w:val="PL"/>
      </w:pPr>
      <w:r w:rsidRPr="00FA0D37">
        <w:t xml:space="preserve">    },</w:t>
      </w:r>
    </w:p>
    <w:p w14:paraId="72C96EA8" w14:textId="77777777" w:rsidR="00394471" w:rsidRPr="00FA0D37" w:rsidRDefault="00394471" w:rsidP="00FA0D37">
      <w:pPr>
        <w:pStyle w:val="PL"/>
      </w:pPr>
      <w:r w:rsidRPr="00FA0D37">
        <w:t xml:space="preserve">    qcl-Type                            </w:t>
      </w:r>
      <w:r w:rsidRPr="00FA0D37">
        <w:rPr>
          <w:color w:val="993366"/>
        </w:rPr>
        <w:t>ENUMERATED</w:t>
      </w:r>
      <w:r w:rsidRPr="00FA0D37">
        <w:t xml:space="preserve"> {typeA, typeB, typeC, typeD},</w:t>
      </w:r>
    </w:p>
    <w:p w14:paraId="34A728B4" w14:textId="2DB3B26C" w:rsidR="00394471" w:rsidRPr="00FA0D37" w:rsidRDefault="00394471" w:rsidP="00FA0D37">
      <w:pPr>
        <w:pStyle w:val="PL"/>
      </w:pPr>
      <w:r w:rsidRPr="00FA0D37">
        <w:t xml:space="preserve">    ...</w:t>
      </w:r>
    </w:p>
    <w:p w14:paraId="0BD15D08" w14:textId="77777777" w:rsidR="00394471" w:rsidRPr="00FA0D37" w:rsidRDefault="00394471" w:rsidP="00FA0D37">
      <w:pPr>
        <w:pStyle w:val="PL"/>
      </w:pPr>
      <w:r w:rsidRPr="00FA0D37">
        <w:t>}</w:t>
      </w:r>
    </w:p>
    <w:p w14:paraId="0C113CA3" w14:textId="77777777" w:rsidR="00064591" w:rsidRPr="00FA0D37" w:rsidRDefault="00064591" w:rsidP="00FA0D37">
      <w:pPr>
        <w:pStyle w:val="PL"/>
      </w:pPr>
    </w:p>
    <w:p w14:paraId="3C2EAA93" w14:textId="77777777" w:rsidR="00394471" w:rsidRPr="00FA0D37" w:rsidRDefault="00394471" w:rsidP="00FA0D37">
      <w:pPr>
        <w:pStyle w:val="PL"/>
        <w:rPr>
          <w:color w:val="808080"/>
        </w:rPr>
      </w:pPr>
      <w:r w:rsidRPr="00FA0D37">
        <w:rPr>
          <w:color w:val="808080"/>
        </w:rPr>
        <w:t>-- TAG-TCI-STATE-STOP</w:t>
      </w:r>
    </w:p>
    <w:p w14:paraId="6552A0B1" w14:textId="77777777" w:rsidR="00394471" w:rsidRPr="00FA0D37" w:rsidRDefault="00394471" w:rsidP="00FA0D37">
      <w:pPr>
        <w:pStyle w:val="PL"/>
        <w:rPr>
          <w:color w:val="808080"/>
        </w:rPr>
      </w:pPr>
      <w:r w:rsidRPr="00FA0D37">
        <w:rPr>
          <w:color w:val="808080"/>
        </w:rPr>
        <w:t>-- ASN1STOP</w:t>
      </w:r>
    </w:p>
    <w:p w14:paraId="2DEB9798"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FA0D37" w:rsidRDefault="00394471" w:rsidP="00964CC4">
            <w:pPr>
              <w:pStyle w:val="TAH"/>
              <w:rPr>
                <w:szCs w:val="22"/>
                <w:lang w:eastAsia="sv-SE"/>
              </w:rPr>
            </w:pPr>
            <w:r w:rsidRPr="00FA0D37">
              <w:rPr>
                <w:i/>
                <w:szCs w:val="22"/>
                <w:lang w:eastAsia="sv-SE"/>
              </w:rPr>
              <w:t xml:space="preserve">QCL-Info </w:t>
            </w:r>
            <w:r w:rsidRPr="00FA0D37">
              <w:rPr>
                <w:szCs w:val="22"/>
                <w:lang w:eastAsia="sv-SE"/>
              </w:rPr>
              <w:t>field descriptions</w:t>
            </w:r>
          </w:p>
        </w:tc>
      </w:tr>
      <w:tr w:rsidR="005C7FF4" w:rsidRPr="00FA0D37"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FA0D37" w:rsidRDefault="00394471" w:rsidP="00964CC4">
            <w:pPr>
              <w:pStyle w:val="TAL"/>
              <w:rPr>
                <w:szCs w:val="22"/>
                <w:lang w:eastAsia="sv-SE"/>
              </w:rPr>
            </w:pPr>
            <w:r w:rsidRPr="00FA0D37">
              <w:rPr>
                <w:b/>
                <w:i/>
                <w:szCs w:val="22"/>
                <w:lang w:eastAsia="sv-SE"/>
              </w:rPr>
              <w:t>bwp-Id</w:t>
            </w:r>
          </w:p>
          <w:p w14:paraId="6F4DBA95" w14:textId="76F3C59D" w:rsidR="00394471" w:rsidRPr="00FA0D37" w:rsidRDefault="00394471" w:rsidP="00964CC4">
            <w:pPr>
              <w:pStyle w:val="TAL"/>
              <w:rPr>
                <w:szCs w:val="22"/>
                <w:lang w:eastAsia="sv-SE"/>
              </w:rPr>
            </w:pPr>
            <w:r w:rsidRPr="00FA0D37">
              <w:rPr>
                <w:szCs w:val="22"/>
                <w:lang w:eastAsia="sv-SE"/>
              </w:rPr>
              <w:t>The DL BWP which the RS is located in.</w:t>
            </w:r>
            <w:r w:rsidR="004616D4" w:rsidRPr="00FA0D37">
              <w:rPr>
                <w:szCs w:val="22"/>
                <w:lang w:eastAsia="sv-SE"/>
              </w:rPr>
              <w:t xml:space="preserve"> </w:t>
            </w:r>
            <w:r w:rsidR="004616D4" w:rsidRPr="00FA0D37">
              <w:rPr>
                <w:rFonts w:cs="Arial"/>
                <w:szCs w:val="18"/>
                <w:lang w:eastAsia="sv-SE"/>
              </w:rPr>
              <w:t>If</w:t>
            </w:r>
            <w:r w:rsidR="004616D4" w:rsidRPr="00FA0D37">
              <w:rPr>
                <w:rFonts w:cs="Arial"/>
                <w:iCs/>
                <w:szCs w:val="18"/>
                <w:lang w:eastAsia="sv-SE"/>
              </w:rPr>
              <w:t xml:space="preserve"> the field is absent, the RS is located in</w:t>
            </w:r>
            <w:r w:rsidR="004616D4" w:rsidRPr="00FA0D37">
              <w:rPr>
                <w:rFonts w:cs="Arial"/>
                <w:szCs w:val="18"/>
                <w:lang w:eastAsia="sv-SE"/>
              </w:rPr>
              <w:t xml:space="preserve"> the DL BWP in which the </w:t>
            </w:r>
            <w:r w:rsidR="004616D4" w:rsidRPr="00FA0D37">
              <w:rPr>
                <w:rFonts w:cs="Arial"/>
                <w:i/>
                <w:szCs w:val="18"/>
                <w:lang w:eastAsia="sv-SE"/>
              </w:rPr>
              <w:t xml:space="preserve">TCI-State </w:t>
            </w:r>
            <w:r w:rsidR="004616D4" w:rsidRPr="00FA0D37">
              <w:rPr>
                <w:rFonts w:cs="Arial"/>
                <w:szCs w:val="18"/>
                <w:lang w:eastAsia="sv-SE"/>
              </w:rPr>
              <w:t>is applied by the UE.</w:t>
            </w:r>
          </w:p>
        </w:tc>
      </w:tr>
      <w:tr w:rsidR="005C7FF4" w:rsidRPr="00FA0D37"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FA0D37" w:rsidRDefault="00394471" w:rsidP="00964CC4">
            <w:pPr>
              <w:pStyle w:val="TAL"/>
              <w:rPr>
                <w:szCs w:val="22"/>
                <w:lang w:eastAsia="sv-SE"/>
              </w:rPr>
            </w:pPr>
            <w:r w:rsidRPr="00FA0D37">
              <w:rPr>
                <w:b/>
                <w:i/>
                <w:szCs w:val="22"/>
                <w:lang w:eastAsia="sv-SE"/>
              </w:rPr>
              <w:t>cell</w:t>
            </w:r>
          </w:p>
          <w:p w14:paraId="66FA1929" w14:textId="6B2CE85D" w:rsidR="00394471" w:rsidRPr="00FA0D37" w:rsidRDefault="00394471" w:rsidP="00964CC4">
            <w:pPr>
              <w:pStyle w:val="TAL"/>
              <w:rPr>
                <w:szCs w:val="22"/>
                <w:lang w:eastAsia="sv-SE"/>
              </w:rPr>
            </w:pPr>
            <w:r w:rsidRPr="00FA0D37">
              <w:rPr>
                <w:szCs w:val="22"/>
                <w:lang w:eastAsia="sv-SE"/>
              </w:rPr>
              <w:t xml:space="preserve">The UE's serving cell in which the </w:t>
            </w:r>
            <w:r w:rsidRPr="00FA0D37">
              <w:rPr>
                <w:i/>
                <w:szCs w:val="22"/>
                <w:lang w:eastAsia="sv-SE"/>
              </w:rPr>
              <w:t>referenceSignal</w:t>
            </w:r>
            <w:r w:rsidRPr="00FA0D37">
              <w:rPr>
                <w:szCs w:val="22"/>
                <w:lang w:eastAsia="sv-SE"/>
              </w:rPr>
              <w:t xml:space="preserve"> is configured. If the field is absent, </w:t>
            </w:r>
            <w:r w:rsidR="00D1788C" w:rsidRPr="00FA0D37">
              <w:rPr>
                <w:szCs w:val="22"/>
                <w:lang w:eastAsia="sv-SE"/>
              </w:rPr>
              <w:t xml:space="preserve">the </w:t>
            </w:r>
            <w:r w:rsidR="00D1788C" w:rsidRPr="00FA0D37">
              <w:rPr>
                <w:i/>
                <w:szCs w:val="22"/>
                <w:lang w:eastAsia="sv-SE"/>
              </w:rPr>
              <w:t>referenceSignal</w:t>
            </w:r>
            <w:r w:rsidR="00D1788C" w:rsidRPr="00FA0D37">
              <w:rPr>
                <w:szCs w:val="22"/>
                <w:lang w:eastAsia="sv-SE"/>
              </w:rPr>
              <w:t xml:space="preserve"> is configured in</w:t>
            </w:r>
            <w:r w:rsidRPr="00FA0D37">
              <w:rPr>
                <w:szCs w:val="22"/>
                <w:lang w:eastAsia="sv-SE"/>
              </w:rPr>
              <w:t xml:space="preserve"> the serving cell in which the </w:t>
            </w:r>
            <w:r w:rsidRPr="00FA0D37">
              <w:rPr>
                <w:i/>
                <w:szCs w:val="22"/>
                <w:lang w:eastAsia="sv-SE"/>
              </w:rPr>
              <w:t xml:space="preserve">TCI-State </w:t>
            </w:r>
            <w:r w:rsidRPr="00FA0D37">
              <w:rPr>
                <w:szCs w:val="22"/>
                <w:lang w:eastAsia="sv-SE"/>
              </w:rPr>
              <w:t xml:space="preserve">is </w:t>
            </w:r>
            <w:r w:rsidR="00454D3A" w:rsidRPr="00FA0D37">
              <w:rPr>
                <w:szCs w:val="22"/>
                <w:lang w:eastAsia="sv-SE"/>
              </w:rPr>
              <w:t>applied</w:t>
            </w:r>
            <w:r w:rsidR="005D46C6" w:rsidRPr="00FA0D37">
              <w:rPr>
                <w:szCs w:val="22"/>
                <w:lang w:eastAsia="sv-SE"/>
              </w:rPr>
              <w:t xml:space="preserve"> by the UE</w:t>
            </w:r>
            <w:r w:rsidRPr="00FA0D37">
              <w:rPr>
                <w:szCs w:val="22"/>
                <w:lang w:eastAsia="sv-SE"/>
              </w:rPr>
              <w:t xml:space="preserve">. The RS can be located on a serving cell other than the serving cell </w:t>
            </w:r>
            <w:r w:rsidR="005D46C6" w:rsidRPr="00FA0D37">
              <w:rPr>
                <w:szCs w:val="22"/>
                <w:lang w:eastAsia="sv-SE"/>
              </w:rPr>
              <w:t>for</w:t>
            </w:r>
            <w:r w:rsidRPr="00FA0D37">
              <w:rPr>
                <w:szCs w:val="22"/>
                <w:lang w:eastAsia="sv-SE"/>
              </w:rPr>
              <w:t xml:space="preserve"> which the </w:t>
            </w:r>
            <w:r w:rsidRPr="00FA0D37">
              <w:rPr>
                <w:i/>
                <w:szCs w:val="22"/>
                <w:lang w:eastAsia="sv-SE"/>
              </w:rPr>
              <w:t xml:space="preserve">TCI-State </w:t>
            </w:r>
            <w:r w:rsidRPr="00FA0D37">
              <w:rPr>
                <w:szCs w:val="22"/>
                <w:lang w:eastAsia="sv-SE"/>
              </w:rPr>
              <w:t xml:space="preserve">is </w:t>
            </w:r>
            <w:r w:rsidR="005D46C6" w:rsidRPr="00FA0D37">
              <w:rPr>
                <w:szCs w:val="22"/>
                <w:lang w:eastAsia="sv-SE"/>
              </w:rPr>
              <w:t>applied by the UE</w:t>
            </w:r>
            <w:r w:rsidRPr="00FA0D37">
              <w:rPr>
                <w:szCs w:val="22"/>
                <w:lang w:eastAsia="sv-SE"/>
              </w:rPr>
              <w:t xml:space="preserve"> only if the </w:t>
            </w:r>
            <w:r w:rsidRPr="00FA0D37">
              <w:rPr>
                <w:i/>
                <w:szCs w:val="22"/>
                <w:lang w:eastAsia="sv-SE"/>
              </w:rPr>
              <w:t>qcl-Type</w:t>
            </w:r>
            <w:r w:rsidRPr="00FA0D37">
              <w:rPr>
                <w:szCs w:val="22"/>
                <w:lang w:eastAsia="sv-SE"/>
              </w:rPr>
              <w:t xml:space="preserve"> is configured as </w:t>
            </w:r>
            <w:r w:rsidRPr="00FA0D37">
              <w:rPr>
                <w:i/>
                <w:szCs w:val="22"/>
                <w:lang w:eastAsia="sv-SE"/>
              </w:rPr>
              <w:t>typeC</w:t>
            </w:r>
            <w:r w:rsidRPr="00FA0D37">
              <w:rPr>
                <w:szCs w:val="22"/>
                <w:lang w:eastAsia="sv-SE"/>
              </w:rPr>
              <w:t xml:space="preserve"> or </w:t>
            </w:r>
            <w:r w:rsidRPr="00FA0D37">
              <w:rPr>
                <w:i/>
                <w:szCs w:val="22"/>
                <w:lang w:eastAsia="sv-SE"/>
              </w:rPr>
              <w:t>typeD</w:t>
            </w:r>
            <w:r w:rsidRPr="00FA0D37">
              <w:rPr>
                <w:szCs w:val="22"/>
                <w:lang w:eastAsia="sv-SE"/>
              </w:rPr>
              <w:t xml:space="preserve">. </w:t>
            </w:r>
            <w:r w:rsidR="004616D4" w:rsidRPr="00FA0D37">
              <w:rPr>
                <w:szCs w:val="22"/>
                <w:lang w:eastAsia="sv-SE"/>
              </w:rPr>
              <w:t xml:space="preserve">If the </w:t>
            </w:r>
            <w:r w:rsidR="004616D4" w:rsidRPr="00FA0D37">
              <w:rPr>
                <w:i/>
                <w:szCs w:val="22"/>
                <w:lang w:eastAsia="sv-SE"/>
              </w:rPr>
              <w:t xml:space="preserve">referenceSignal </w:t>
            </w:r>
            <w:r w:rsidR="004616D4" w:rsidRPr="00FA0D37">
              <w:rPr>
                <w:szCs w:val="22"/>
                <w:lang w:eastAsia="sv-SE"/>
              </w:rPr>
              <w:t xml:space="preserve">is set to </w:t>
            </w:r>
            <w:r w:rsidR="004616D4" w:rsidRPr="00FA0D37">
              <w:rPr>
                <w:i/>
                <w:szCs w:val="22"/>
                <w:lang w:eastAsia="sv-SE"/>
              </w:rPr>
              <w:t>csi-rs</w:t>
            </w:r>
            <w:r w:rsidR="004616D4" w:rsidRPr="00FA0D37">
              <w:rPr>
                <w:szCs w:val="22"/>
                <w:lang w:eastAsia="sv-SE"/>
              </w:rPr>
              <w:t xml:space="preserve"> and </w:t>
            </w:r>
            <w:r w:rsidR="004616D4" w:rsidRPr="00FA0D37">
              <w:rPr>
                <w:i/>
                <w:szCs w:val="22"/>
                <w:lang w:eastAsia="sv-SE"/>
              </w:rPr>
              <w:t>unifiedTCI-StateType</w:t>
            </w:r>
            <w:r w:rsidR="004616D4" w:rsidRPr="00FA0D37">
              <w:rPr>
                <w:szCs w:val="22"/>
                <w:lang w:eastAsia="sv-SE"/>
              </w:rPr>
              <w:t xml:space="preserve"> is configured, either both </w:t>
            </w:r>
            <w:r w:rsidR="004616D4" w:rsidRPr="00FA0D37">
              <w:rPr>
                <w:i/>
                <w:szCs w:val="22"/>
                <w:lang w:eastAsia="sv-SE"/>
              </w:rPr>
              <w:t xml:space="preserve">cell </w:t>
            </w:r>
            <w:r w:rsidR="004616D4" w:rsidRPr="00FA0D37">
              <w:rPr>
                <w:szCs w:val="22"/>
                <w:lang w:eastAsia="sv-SE"/>
              </w:rPr>
              <w:t xml:space="preserve">and </w:t>
            </w:r>
            <w:r w:rsidR="004616D4" w:rsidRPr="00FA0D37">
              <w:rPr>
                <w:i/>
                <w:szCs w:val="22"/>
                <w:lang w:eastAsia="sv-SE"/>
              </w:rPr>
              <w:t>bwp-Id</w:t>
            </w:r>
            <w:r w:rsidR="004616D4" w:rsidRPr="00FA0D37">
              <w:rPr>
                <w:szCs w:val="22"/>
                <w:lang w:eastAsia="sv-SE"/>
              </w:rPr>
              <w:t xml:space="preserve"> are present or both </w:t>
            </w:r>
            <w:r w:rsidR="004616D4" w:rsidRPr="00FA0D37">
              <w:rPr>
                <w:i/>
                <w:szCs w:val="22"/>
                <w:lang w:eastAsia="sv-SE"/>
              </w:rPr>
              <w:t xml:space="preserve">cell </w:t>
            </w:r>
            <w:r w:rsidR="004616D4" w:rsidRPr="00FA0D37">
              <w:rPr>
                <w:szCs w:val="22"/>
                <w:lang w:eastAsia="sv-SE"/>
              </w:rPr>
              <w:t xml:space="preserve">and </w:t>
            </w:r>
            <w:r w:rsidR="004616D4" w:rsidRPr="00FA0D37">
              <w:rPr>
                <w:i/>
                <w:szCs w:val="22"/>
                <w:lang w:eastAsia="sv-SE"/>
              </w:rPr>
              <w:t>bwp-Id</w:t>
            </w:r>
            <w:r w:rsidR="004616D4" w:rsidRPr="00FA0D37">
              <w:rPr>
                <w:szCs w:val="22"/>
                <w:lang w:eastAsia="sv-SE"/>
              </w:rPr>
              <w:t xml:space="preserve"> are absent. </w:t>
            </w:r>
            <w:r w:rsidRPr="00FA0D37">
              <w:rPr>
                <w:szCs w:val="22"/>
                <w:lang w:eastAsia="sv-SE"/>
              </w:rPr>
              <w:t>See TS 38.214 [19] clause 5.1.5.</w:t>
            </w:r>
          </w:p>
        </w:tc>
      </w:tr>
      <w:tr w:rsidR="005C7FF4" w:rsidRPr="00FA0D37"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FA0D37" w:rsidRDefault="00394471" w:rsidP="00964CC4">
            <w:pPr>
              <w:pStyle w:val="TAL"/>
              <w:rPr>
                <w:szCs w:val="22"/>
                <w:lang w:eastAsia="sv-SE"/>
              </w:rPr>
            </w:pPr>
            <w:r w:rsidRPr="00FA0D37">
              <w:rPr>
                <w:b/>
                <w:i/>
                <w:szCs w:val="22"/>
                <w:lang w:eastAsia="sv-SE"/>
              </w:rPr>
              <w:t>referenceSignal</w:t>
            </w:r>
          </w:p>
          <w:p w14:paraId="02A5AFE6" w14:textId="511B3FF3" w:rsidR="00394471" w:rsidRPr="00FA0D37" w:rsidRDefault="00394471" w:rsidP="00964CC4">
            <w:pPr>
              <w:pStyle w:val="TAL"/>
              <w:rPr>
                <w:szCs w:val="22"/>
                <w:lang w:eastAsia="sv-SE"/>
              </w:rPr>
            </w:pPr>
            <w:r w:rsidRPr="00FA0D37">
              <w:rPr>
                <w:szCs w:val="22"/>
                <w:lang w:eastAsia="sv-SE"/>
              </w:rPr>
              <w:t xml:space="preserve">Reference signal with which quasi-collocation information is provided as specified in TS 38.214 [19] </w:t>
            </w:r>
            <w:r w:rsidR="009C7196" w:rsidRPr="00FA0D37">
              <w:rPr>
                <w:szCs w:val="22"/>
                <w:lang w:eastAsia="sv-SE"/>
              </w:rPr>
              <w:t>clause</w:t>
            </w:r>
            <w:r w:rsidRPr="00FA0D37">
              <w:rPr>
                <w:szCs w:val="22"/>
                <w:lang w:eastAsia="sv-SE"/>
              </w:rPr>
              <w:t xml:space="preserve"> 5.1.5.</w:t>
            </w:r>
          </w:p>
        </w:tc>
      </w:tr>
      <w:tr w:rsidR="00F747EB" w:rsidRPr="00FA0D37"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FA0D37" w:rsidRDefault="00394471" w:rsidP="00964CC4">
            <w:pPr>
              <w:pStyle w:val="TAL"/>
              <w:rPr>
                <w:b/>
                <w:i/>
                <w:szCs w:val="22"/>
                <w:lang w:eastAsia="sv-SE"/>
              </w:rPr>
            </w:pPr>
            <w:r w:rsidRPr="00FA0D37">
              <w:rPr>
                <w:b/>
                <w:i/>
                <w:szCs w:val="22"/>
                <w:lang w:eastAsia="sv-SE"/>
              </w:rPr>
              <w:t>qcl-Type</w:t>
            </w:r>
          </w:p>
          <w:p w14:paraId="7AE01522" w14:textId="4344C57A" w:rsidR="00394471" w:rsidRPr="00FA0D37" w:rsidRDefault="00394471" w:rsidP="00964CC4">
            <w:pPr>
              <w:pStyle w:val="TAL"/>
              <w:rPr>
                <w:b/>
                <w:i/>
                <w:szCs w:val="22"/>
                <w:lang w:eastAsia="sv-SE"/>
              </w:rPr>
            </w:pPr>
            <w:r w:rsidRPr="00FA0D37">
              <w:rPr>
                <w:szCs w:val="22"/>
                <w:lang w:eastAsia="sv-SE"/>
              </w:rPr>
              <w:t xml:space="preserve">QCL type as specified in TS 38.214 [19] </w:t>
            </w:r>
            <w:r w:rsidR="009C7196" w:rsidRPr="00FA0D37">
              <w:rPr>
                <w:szCs w:val="22"/>
                <w:lang w:eastAsia="sv-SE"/>
              </w:rPr>
              <w:t>clause</w:t>
            </w:r>
            <w:r w:rsidRPr="00FA0D37">
              <w:rPr>
                <w:szCs w:val="22"/>
                <w:lang w:eastAsia="sv-SE"/>
              </w:rPr>
              <w:t xml:space="preserve"> 5.1.5.</w:t>
            </w:r>
          </w:p>
        </w:tc>
      </w:tr>
    </w:tbl>
    <w:p w14:paraId="6D05FF00" w14:textId="77777777" w:rsidR="007B122D" w:rsidRPr="00FA0D3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FA0D37" w:rsidRDefault="007B122D" w:rsidP="0071565C">
            <w:pPr>
              <w:pStyle w:val="TAH"/>
              <w:rPr>
                <w:szCs w:val="22"/>
                <w:lang w:eastAsia="sv-SE"/>
              </w:rPr>
            </w:pPr>
            <w:r w:rsidRPr="00FA0D37">
              <w:rPr>
                <w:i/>
                <w:szCs w:val="22"/>
                <w:lang w:eastAsia="sv-SE"/>
              </w:rPr>
              <w:lastRenderedPageBreak/>
              <w:t xml:space="preserve">TCI-State </w:t>
            </w:r>
            <w:r w:rsidRPr="00FA0D37">
              <w:rPr>
                <w:szCs w:val="22"/>
                <w:lang w:eastAsia="sv-SE"/>
              </w:rPr>
              <w:t>field descriptions</w:t>
            </w:r>
          </w:p>
        </w:tc>
      </w:tr>
      <w:tr w:rsidR="005C7FF4" w:rsidRPr="00FA0D37"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FA0D37" w:rsidRDefault="007B122D" w:rsidP="0071565C">
            <w:pPr>
              <w:pStyle w:val="TAL"/>
            </w:pPr>
            <w:r w:rsidRPr="00FA0D37">
              <w:rPr>
                <w:b/>
                <w:i/>
                <w:szCs w:val="22"/>
                <w:lang w:eastAsia="sv-SE"/>
              </w:rPr>
              <w:t>additionalPCI</w:t>
            </w:r>
          </w:p>
          <w:p w14:paraId="0609C6A9" w14:textId="50C0869E" w:rsidR="007B122D" w:rsidRPr="00FA0D37" w:rsidRDefault="00454D3A" w:rsidP="0071565C">
            <w:pPr>
              <w:pStyle w:val="TAL"/>
              <w:rPr>
                <w:szCs w:val="22"/>
                <w:lang w:eastAsia="sv-SE"/>
              </w:rPr>
            </w:pPr>
            <w:r w:rsidRPr="00FA0D37">
              <w:t xml:space="preserve">Indicates the physical cell IDs (PCI) of the SSBs when </w:t>
            </w:r>
            <w:r w:rsidRPr="00FA0D37">
              <w:rPr>
                <w:i/>
                <w:iCs/>
              </w:rPr>
              <w:t xml:space="preserve">referenceSignal </w:t>
            </w:r>
            <w:r w:rsidRPr="00FA0D37">
              <w:t>is configured as SSB for both QCL-Type1 and QCL-Type2. In case the c</w:t>
            </w:r>
            <w:r w:rsidRPr="00FA0D37">
              <w:rPr>
                <w:i/>
                <w:iCs/>
              </w:rPr>
              <w:t>ell</w:t>
            </w:r>
            <w:r w:rsidRPr="00FA0D37">
              <w:t xml:space="preserve"> is present, the </w:t>
            </w:r>
            <w:r w:rsidRPr="00FA0D37">
              <w:rPr>
                <w:i/>
                <w:iCs/>
              </w:rPr>
              <w:t xml:space="preserve">additionalPCI </w:t>
            </w:r>
            <w:r w:rsidRPr="00FA0D37">
              <w:t xml:space="preserve">refers </w:t>
            </w:r>
            <w:r w:rsidRPr="00FA0D37">
              <w:rPr>
                <w:rFonts w:cs="Arial"/>
              </w:rPr>
              <w:t xml:space="preserve">to a PCI value configured in the list configured using </w:t>
            </w:r>
            <w:r w:rsidRPr="00FA0D37">
              <w:rPr>
                <w:rFonts w:cs="Arial"/>
                <w:i/>
                <w:iCs/>
              </w:rPr>
              <w:t>additionalPCI-ToAddModList</w:t>
            </w:r>
            <w:r w:rsidRPr="00FA0D37">
              <w:t xml:space="preserve"> in the serving cell indicated by the field c</w:t>
            </w:r>
            <w:r w:rsidRPr="00FA0D37">
              <w:rPr>
                <w:i/>
                <w:iCs/>
              </w:rPr>
              <w:t>ell</w:t>
            </w:r>
            <w:r w:rsidRPr="00FA0D37">
              <w:t xml:space="preserve">. Otherwise, it refers to </w:t>
            </w:r>
            <w:r w:rsidRPr="00FA0D37">
              <w:rPr>
                <w:rFonts w:cs="Arial"/>
              </w:rPr>
              <w:t xml:space="preserve">a PCI value configured in a list </w:t>
            </w:r>
            <w:r w:rsidRPr="00FA0D37">
              <w:rPr>
                <w:rFonts w:cs="Arial"/>
                <w:i/>
                <w:iCs/>
              </w:rPr>
              <w:t>additionalPCI-ToAddModList</w:t>
            </w:r>
            <w:r w:rsidRPr="00FA0D37">
              <w:t xml:space="preserve"> configured in the serving cell where the </w:t>
            </w:r>
            <w:r w:rsidRPr="00FA0D37">
              <w:rPr>
                <w:i/>
              </w:rPr>
              <w:t xml:space="preserve">TCI-State </w:t>
            </w:r>
            <w:r w:rsidRPr="00FA0D37">
              <w:t>is applied</w:t>
            </w:r>
            <w:r w:rsidR="005D46C6" w:rsidRPr="00FA0D37">
              <w:t xml:space="preserve"> by the UE</w:t>
            </w:r>
            <w:r w:rsidRPr="00FA0D37">
              <w:t>.</w:t>
            </w:r>
            <w:r w:rsidR="005D46C6" w:rsidRPr="00FA0D37">
              <w:t xml:space="preserve"> </w:t>
            </w:r>
            <w:r w:rsidRPr="00FA0D37">
              <w:t xml:space="preserve">When this field is present the </w:t>
            </w:r>
            <w:r w:rsidRPr="00FA0D37">
              <w:rPr>
                <w:i/>
                <w:iCs/>
              </w:rPr>
              <w:t>cell</w:t>
            </w:r>
            <w:r w:rsidRPr="00FA0D37">
              <w:t xml:space="preserve"> for </w:t>
            </w:r>
            <w:r w:rsidRPr="00FA0D37">
              <w:rPr>
                <w:i/>
                <w:iCs/>
              </w:rPr>
              <w:t>qcl-Type1</w:t>
            </w:r>
            <w:r w:rsidRPr="00FA0D37">
              <w:t xml:space="preserve"> and </w:t>
            </w:r>
            <w:r w:rsidRPr="00FA0D37">
              <w:rPr>
                <w:i/>
                <w:iCs/>
              </w:rPr>
              <w:t>qcl-Type2</w:t>
            </w:r>
            <w:r w:rsidRPr="00FA0D37">
              <w:t xml:space="preserve"> is configured with same value, if present.</w:t>
            </w:r>
          </w:p>
        </w:tc>
      </w:tr>
      <w:tr w:rsidR="005C7FF4" w:rsidRPr="00FA0D37"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7B122D" w:rsidRPr="00FA0D37" w:rsidRDefault="007B122D" w:rsidP="0071565C">
            <w:pPr>
              <w:pStyle w:val="TAL"/>
              <w:rPr>
                <w:szCs w:val="22"/>
                <w:lang w:eastAsia="sv-SE"/>
              </w:rPr>
            </w:pPr>
            <w:r w:rsidRPr="00FA0D37">
              <w:rPr>
                <w:b/>
                <w:i/>
                <w:szCs w:val="22"/>
                <w:lang w:eastAsia="sv-SE"/>
              </w:rPr>
              <w:t>pathlossReferenceRS-Id</w:t>
            </w:r>
          </w:p>
          <w:p w14:paraId="437EB79B" w14:textId="331BF560" w:rsidR="007B122D" w:rsidRPr="00FA0D37" w:rsidRDefault="007B122D" w:rsidP="0071565C">
            <w:pPr>
              <w:pStyle w:val="TAL"/>
              <w:rPr>
                <w:szCs w:val="22"/>
                <w:lang w:eastAsia="sv-SE"/>
              </w:rPr>
            </w:pPr>
            <w:r w:rsidRPr="00FA0D37">
              <w:rPr>
                <w:szCs w:val="22"/>
                <w:lang w:eastAsia="sv-SE"/>
              </w:rPr>
              <w:t xml:space="preserve">The ID of the reference </w:t>
            </w:r>
            <w:r w:rsidR="005D46C6" w:rsidRPr="00FA0D37">
              <w:rPr>
                <w:szCs w:val="22"/>
                <w:lang w:eastAsia="sv-SE"/>
              </w:rPr>
              <w:t>s</w:t>
            </w:r>
            <w:r w:rsidRPr="00FA0D37">
              <w:rPr>
                <w:szCs w:val="22"/>
                <w:lang w:eastAsia="sv-SE"/>
              </w:rPr>
              <w:t>ignal (e.g. a CSI-RS or a</w:t>
            </w:r>
            <w:r w:rsidR="00262741" w:rsidRPr="00FA0D37">
              <w:rPr>
                <w:szCs w:val="22"/>
                <w:lang w:eastAsia="sv-SE"/>
              </w:rPr>
              <w:t>n</w:t>
            </w:r>
            <w:r w:rsidRPr="00FA0D37">
              <w:rPr>
                <w:szCs w:val="22"/>
                <w:lang w:eastAsia="sv-SE"/>
              </w:rPr>
              <w:t xml:space="preserve"> SS block) used for PUSCH</w:t>
            </w:r>
            <w:r w:rsidR="005D46C6" w:rsidRPr="00FA0D37">
              <w:rPr>
                <w:szCs w:val="22"/>
                <w:lang w:eastAsia="sv-SE"/>
              </w:rPr>
              <w:t>, PUCCH and SRS</w:t>
            </w:r>
            <w:r w:rsidRPr="00FA0D37">
              <w:rPr>
                <w:szCs w:val="22"/>
                <w:lang w:eastAsia="sv-SE"/>
              </w:rPr>
              <w:t xml:space="preserve"> path loss estimation.</w:t>
            </w:r>
            <w:r w:rsidR="001542AE" w:rsidRPr="00FA0D37">
              <w:t xml:space="preserve"> This field refers to an element</w:t>
            </w:r>
            <w:r w:rsidR="001542AE" w:rsidRPr="00FA0D37">
              <w:rPr>
                <w:rFonts w:cs="Arial"/>
              </w:rPr>
              <w:t xml:space="preserve"> in the list configured using </w:t>
            </w:r>
            <w:r w:rsidR="001542AE" w:rsidRPr="00FA0D37">
              <w:rPr>
                <w:rFonts w:cs="Arial"/>
                <w:i/>
                <w:iCs/>
              </w:rPr>
              <w:t>pathlossReferenceRSToAddModList</w:t>
            </w:r>
            <w:r w:rsidR="001542AE" w:rsidRPr="00FA0D37">
              <w:t xml:space="preserve"> in the serving cell and UL BWP where the TCI State is applied by the UE.</w:t>
            </w:r>
          </w:p>
        </w:tc>
      </w:tr>
      <w:tr w:rsidR="005C7FF4" w:rsidRPr="00FA0D37"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7B122D" w:rsidRPr="00FA0D37" w:rsidRDefault="007B122D" w:rsidP="0071565C">
            <w:pPr>
              <w:pStyle w:val="TAL"/>
              <w:rPr>
                <w:b/>
                <w:i/>
                <w:szCs w:val="22"/>
                <w:lang w:eastAsia="sv-SE"/>
              </w:rPr>
            </w:pPr>
            <w:r w:rsidRPr="00FA0D37">
              <w:rPr>
                <w:b/>
                <w:i/>
                <w:szCs w:val="22"/>
                <w:lang w:eastAsia="sv-SE"/>
              </w:rPr>
              <w:t>qcl-Type1, qcl-Type2</w:t>
            </w:r>
          </w:p>
          <w:p w14:paraId="789539DE" w14:textId="22DD791B" w:rsidR="007B122D" w:rsidRPr="00FA0D37" w:rsidRDefault="007B122D" w:rsidP="0071565C">
            <w:pPr>
              <w:pStyle w:val="TAL"/>
              <w:rPr>
                <w:b/>
                <w:i/>
                <w:szCs w:val="22"/>
                <w:lang w:eastAsia="sv-SE"/>
              </w:rPr>
            </w:pPr>
            <w:r w:rsidRPr="00FA0D37">
              <w:rPr>
                <w:szCs w:val="22"/>
                <w:lang w:eastAsia="sv-SE"/>
              </w:rPr>
              <w:t>QCL information for the TCI state as specified in TS 38.214 [19] clause 5.1.5.</w:t>
            </w:r>
          </w:p>
        </w:tc>
      </w:tr>
      <w:tr w:rsidR="005C7FF4" w:rsidRPr="00FA0D37"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7B122D" w:rsidRPr="00FA0D37" w:rsidRDefault="007B122D" w:rsidP="0071565C">
            <w:pPr>
              <w:pStyle w:val="TAL"/>
              <w:rPr>
                <w:b/>
                <w:i/>
                <w:szCs w:val="22"/>
                <w:lang w:eastAsia="sv-SE"/>
              </w:rPr>
            </w:pPr>
            <w:r w:rsidRPr="00FA0D37">
              <w:rPr>
                <w:b/>
                <w:i/>
                <w:szCs w:val="22"/>
                <w:lang w:eastAsia="sv-SE"/>
              </w:rPr>
              <w:t>tci-StateId</w:t>
            </w:r>
          </w:p>
          <w:p w14:paraId="676BA881" w14:textId="294BB285" w:rsidR="007B122D" w:rsidRPr="00FA0D37" w:rsidRDefault="007B122D" w:rsidP="0071565C">
            <w:pPr>
              <w:pStyle w:val="TAL"/>
              <w:rPr>
                <w:szCs w:val="22"/>
                <w:lang w:eastAsia="sv-SE"/>
              </w:rPr>
            </w:pPr>
            <w:r w:rsidRPr="00FA0D37">
              <w:rPr>
                <w:szCs w:val="22"/>
                <w:lang w:eastAsia="sv-SE"/>
              </w:rPr>
              <w:t>ID number of the TCI state.</w:t>
            </w:r>
          </w:p>
        </w:tc>
      </w:tr>
      <w:tr w:rsidR="00F747EB" w:rsidRPr="00FA0D37"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7B122D" w:rsidRPr="00FA0D37" w:rsidRDefault="007B122D" w:rsidP="0071565C">
            <w:pPr>
              <w:pStyle w:val="TAL"/>
              <w:rPr>
                <w:i/>
                <w:szCs w:val="22"/>
                <w:lang w:eastAsia="sv-SE"/>
              </w:rPr>
            </w:pPr>
            <w:r w:rsidRPr="00FA0D37">
              <w:rPr>
                <w:b/>
                <w:i/>
                <w:szCs w:val="22"/>
                <w:lang w:eastAsia="sv-SE"/>
              </w:rPr>
              <w:t>ul-PowerControl</w:t>
            </w:r>
          </w:p>
          <w:p w14:paraId="786353DD" w14:textId="58358540" w:rsidR="007B122D" w:rsidRPr="00FA0D37" w:rsidRDefault="007B122D" w:rsidP="0071565C">
            <w:pPr>
              <w:pStyle w:val="TAL"/>
              <w:rPr>
                <w:szCs w:val="22"/>
                <w:lang w:eastAsia="sv-SE"/>
              </w:rPr>
            </w:pPr>
            <w:r w:rsidRPr="00FA0D37">
              <w:rPr>
                <w:bCs/>
                <w:iCs/>
                <w:szCs w:val="22"/>
                <w:lang w:eastAsia="sv-SE"/>
              </w:rPr>
              <w:t xml:space="preserve">Configures power control parameters for PUCCH, PUSCH and SRS for this TCI state. </w:t>
            </w:r>
            <w:bookmarkStart w:id="1453" w:name="_Hlk104458519"/>
            <w:r w:rsidRPr="00FA0D37">
              <w:t>The</w:t>
            </w:r>
            <w:r w:rsidRPr="00FA0D37" w:rsidDel="00A87DC7">
              <w:rPr>
                <w:bCs/>
                <w:iCs/>
                <w:szCs w:val="22"/>
                <w:lang w:eastAsia="sv-SE"/>
              </w:rPr>
              <w:t xml:space="preserve"> </w:t>
            </w:r>
            <w:r w:rsidRPr="00FA0D37">
              <w:rPr>
                <w:bCs/>
                <w:iCs/>
                <w:szCs w:val="22"/>
                <w:lang w:eastAsia="sv-SE"/>
              </w:rPr>
              <w:t xml:space="preserve">field is present here only if </w:t>
            </w:r>
            <w:r w:rsidRPr="00FA0D37">
              <w:rPr>
                <w:rFonts w:eastAsia="宋体"/>
                <w:i/>
                <w:iCs/>
                <w:lang w:eastAsia="zh-CN"/>
              </w:rPr>
              <w:t>ul-powerControl</w:t>
            </w:r>
            <w:r w:rsidRPr="00FA0D37">
              <w:rPr>
                <w:rFonts w:eastAsia="宋体"/>
                <w:lang w:eastAsia="zh-CN"/>
              </w:rPr>
              <w:t xml:space="preserve"> </w:t>
            </w:r>
            <w:r w:rsidRPr="00FA0D37">
              <w:rPr>
                <w:bCs/>
                <w:iCs/>
                <w:szCs w:val="22"/>
                <w:lang w:eastAsia="sv-SE"/>
              </w:rPr>
              <w:t xml:space="preserve">is not configured in any </w:t>
            </w:r>
            <w:r w:rsidRPr="00FA0D37">
              <w:rPr>
                <w:i/>
                <w:iCs/>
              </w:rPr>
              <w:t xml:space="preserve">BWP-Uplink-Dedicated </w:t>
            </w:r>
            <w:r w:rsidRPr="00FA0D37">
              <w:t>of this serving cell</w:t>
            </w:r>
            <w:r w:rsidRPr="00FA0D37">
              <w:rPr>
                <w:bCs/>
                <w:iCs/>
                <w:szCs w:val="22"/>
                <w:lang w:eastAsia="sv-SE"/>
              </w:rPr>
              <w:t>.</w:t>
            </w:r>
            <w:bookmarkEnd w:id="1453"/>
            <w:r w:rsidR="001542AE" w:rsidRPr="00FA0D37">
              <w:t xml:space="preserve"> This field refers to </w:t>
            </w:r>
            <w:r w:rsidR="001542AE" w:rsidRPr="00FA0D37">
              <w:rPr>
                <w:rFonts w:cs="Arial"/>
              </w:rPr>
              <w:t xml:space="preserve">an element in the list configured using </w:t>
            </w:r>
            <w:r w:rsidR="001542AE" w:rsidRPr="00FA0D37">
              <w:rPr>
                <w:rFonts w:cs="Arial"/>
                <w:i/>
              </w:rPr>
              <w:t xml:space="preserve">uplink-PowerControlToAddModList </w:t>
            </w:r>
            <w:r w:rsidR="001542AE" w:rsidRPr="00FA0D37">
              <w:t xml:space="preserve">in the serving cell where the </w:t>
            </w:r>
            <w:r w:rsidR="001542AE" w:rsidRPr="00FA0D37">
              <w:rPr>
                <w:i/>
                <w:iCs/>
              </w:rPr>
              <w:t>dl-OrJointTCI-StateToAddModList</w:t>
            </w:r>
            <w:r w:rsidR="001542AE" w:rsidRPr="00FA0D37">
              <w:rPr>
                <w:i/>
              </w:rPr>
              <w:t xml:space="preserve"> </w:t>
            </w:r>
            <w:r w:rsidR="001542AE" w:rsidRPr="00FA0D37">
              <w:t>is configured.</w:t>
            </w:r>
          </w:p>
        </w:tc>
      </w:tr>
    </w:tbl>
    <w:p w14:paraId="23457BAB" w14:textId="77777777" w:rsidR="007B122D" w:rsidRPr="00FA0D37"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FA0D37" w:rsidRDefault="00394471" w:rsidP="00964CC4">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FA0D37" w:rsidRDefault="00394471" w:rsidP="00964CC4">
            <w:pPr>
              <w:pStyle w:val="TAH"/>
              <w:rPr>
                <w:lang w:eastAsia="sv-SE"/>
              </w:rPr>
            </w:pPr>
            <w:r w:rsidRPr="00FA0D37">
              <w:rPr>
                <w:lang w:eastAsia="sv-SE"/>
              </w:rPr>
              <w:t>Explanation</w:t>
            </w:r>
          </w:p>
        </w:tc>
      </w:tr>
      <w:tr w:rsidR="005C7FF4" w:rsidRPr="00FA0D37"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FA0D37" w:rsidRDefault="00394471" w:rsidP="00964CC4">
            <w:pPr>
              <w:pStyle w:val="TAL"/>
              <w:rPr>
                <w:i/>
                <w:lang w:eastAsia="sv-SE"/>
              </w:rPr>
            </w:pPr>
            <w:r w:rsidRPr="00FA0D37">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FA0D37" w:rsidRDefault="00394471" w:rsidP="00964CC4">
            <w:pPr>
              <w:pStyle w:val="TAL"/>
              <w:rPr>
                <w:lang w:eastAsia="sv-SE"/>
              </w:rPr>
            </w:pPr>
            <w:r w:rsidRPr="00FA0D37">
              <w:rPr>
                <w:lang w:eastAsia="sv-SE"/>
              </w:rPr>
              <w:t xml:space="preserve">This field is mandatory present </w:t>
            </w:r>
            <w:r w:rsidRPr="00FA0D37">
              <w:rPr>
                <w:szCs w:val="22"/>
                <w:lang w:eastAsia="sv-SE"/>
              </w:rPr>
              <w:t xml:space="preserve">if </w:t>
            </w:r>
            <w:r w:rsidRPr="00FA0D37">
              <w:rPr>
                <w:i/>
                <w:szCs w:val="22"/>
                <w:lang w:eastAsia="sv-SE"/>
              </w:rPr>
              <w:t>csi-rs</w:t>
            </w:r>
            <w:r w:rsidRPr="00FA0D37">
              <w:rPr>
                <w:szCs w:val="22"/>
                <w:lang w:eastAsia="sv-SE"/>
              </w:rPr>
              <w:t xml:space="preserve"> is included</w:t>
            </w:r>
            <w:r w:rsidR="004616D4" w:rsidRPr="00FA0D37">
              <w:rPr>
                <w:szCs w:val="22"/>
                <w:lang w:eastAsia="sv-SE"/>
              </w:rPr>
              <w:t xml:space="preserve"> and </w:t>
            </w:r>
            <w:r w:rsidR="004616D4" w:rsidRPr="00FA0D37">
              <w:rPr>
                <w:i/>
                <w:szCs w:val="22"/>
                <w:lang w:eastAsia="sv-SE"/>
              </w:rPr>
              <w:t>unifiedTCI-StateType</w:t>
            </w:r>
            <w:r w:rsidR="004616D4" w:rsidRPr="00FA0D37">
              <w:rPr>
                <w:szCs w:val="22"/>
                <w:lang w:eastAsia="sv-SE"/>
              </w:rPr>
              <w:t xml:space="preserve"> is not configured. This field is optionally present, Need R, if </w:t>
            </w:r>
            <w:r w:rsidR="004616D4" w:rsidRPr="00FA0D37">
              <w:rPr>
                <w:i/>
                <w:szCs w:val="22"/>
                <w:lang w:eastAsia="sv-SE"/>
              </w:rPr>
              <w:t>csi-rs</w:t>
            </w:r>
            <w:r w:rsidR="004616D4" w:rsidRPr="00FA0D37">
              <w:rPr>
                <w:szCs w:val="22"/>
                <w:lang w:eastAsia="sv-SE"/>
              </w:rPr>
              <w:t xml:space="preserve"> is included and </w:t>
            </w:r>
            <w:r w:rsidR="004616D4" w:rsidRPr="00FA0D37">
              <w:rPr>
                <w:i/>
                <w:szCs w:val="22"/>
                <w:lang w:eastAsia="sv-SE"/>
              </w:rPr>
              <w:t>unifiedTCI-StateType</w:t>
            </w:r>
            <w:r w:rsidR="004616D4" w:rsidRPr="00FA0D37">
              <w:rPr>
                <w:szCs w:val="22"/>
                <w:lang w:eastAsia="sv-SE"/>
              </w:rPr>
              <w:t xml:space="preserve"> is configured. Otherwise, it is</w:t>
            </w:r>
            <w:r w:rsidRPr="00FA0D37">
              <w:rPr>
                <w:szCs w:val="22"/>
                <w:lang w:eastAsia="sv-SE"/>
              </w:rPr>
              <w:t xml:space="preserve"> absent</w:t>
            </w:r>
            <w:r w:rsidR="004616D4" w:rsidRPr="00FA0D37">
              <w:rPr>
                <w:szCs w:val="22"/>
                <w:lang w:eastAsia="sv-SE"/>
              </w:rPr>
              <w:t>, Need R.</w:t>
            </w:r>
          </w:p>
        </w:tc>
      </w:tr>
      <w:tr w:rsidR="005C7FF4" w:rsidRPr="00FA0D37"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FA0D37" w:rsidRDefault="007B122D" w:rsidP="0071565C">
            <w:pPr>
              <w:pStyle w:val="TAL"/>
              <w:rPr>
                <w:i/>
                <w:lang w:eastAsia="sv-SE"/>
              </w:rPr>
            </w:pPr>
            <w:r w:rsidRPr="00FA0D37">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FA0D37" w:rsidRDefault="007B122D" w:rsidP="0071565C">
            <w:pPr>
              <w:pStyle w:val="TAL"/>
              <w:rPr>
                <w:lang w:eastAsia="sv-SE"/>
              </w:rPr>
            </w:pPr>
            <w:bookmarkStart w:id="1454" w:name="_Hlk104458270"/>
            <w:r w:rsidRPr="00FA0D37">
              <w:rPr>
                <w:lang w:eastAsia="sv-SE"/>
              </w:rPr>
              <w:t>This field is optionally present, Need R,</w:t>
            </w:r>
            <w:r w:rsidR="006658B2" w:rsidRPr="00FA0D37">
              <w:rPr>
                <w:lang w:eastAsia="sv-SE"/>
              </w:rPr>
              <w:t xml:space="preserve"> </w:t>
            </w:r>
            <w:r w:rsidRPr="00FA0D37">
              <w:rPr>
                <w:lang w:eastAsia="sv-SE"/>
              </w:rPr>
              <w:t xml:space="preserve">if this serving cell is configured with </w:t>
            </w:r>
            <w:r w:rsidRPr="00FA0D37">
              <w:rPr>
                <w:i/>
                <w:iCs/>
                <w:lang w:eastAsia="sv-SE"/>
              </w:rPr>
              <w:t>unifiedTCI-StateType</w:t>
            </w:r>
            <w:r w:rsidRPr="00FA0D37">
              <w:rPr>
                <w:lang w:eastAsia="sv-SE"/>
              </w:rPr>
              <w:t xml:space="preserve"> set to </w:t>
            </w:r>
            <w:r w:rsidR="00743BF8" w:rsidRPr="00FA0D37">
              <w:rPr>
                <w:lang w:eastAsia="sv-SE"/>
              </w:rPr>
              <w:t>'</w:t>
            </w:r>
            <w:r w:rsidRPr="00FA0D37">
              <w:rPr>
                <w:i/>
                <w:iCs/>
                <w:lang w:eastAsia="sv-SE"/>
              </w:rPr>
              <w:t>joint</w:t>
            </w:r>
            <w:r w:rsidR="00743BF8" w:rsidRPr="00FA0D37">
              <w:rPr>
                <w:lang w:eastAsia="sv-SE"/>
              </w:rPr>
              <w:t>'</w:t>
            </w:r>
            <w:r w:rsidRPr="00FA0D37">
              <w:rPr>
                <w:lang w:eastAsia="sv-SE"/>
              </w:rPr>
              <w:t>. It is absent, Need R, otherwise.</w:t>
            </w:r>
            <w:bookmarkEnd w:id="1454"/>
          </w:p>
        </w:tc>
      </w:tr>
      <w:tr w:rsidR="005D46C6" w:rsidRPr="00FA0D37"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FA0D37" w:rsidRDefault="005D46C6" w:rsidP="0071565C">
            <w:pPr>
              <w:pStyle w:val="TAL"/>
              <w:rPr>
                <w:i/>
                <w:lang w:eastAsia="sv-SE"/>
              </w:rPr>
            </w:pPr>
            <w:r w:rsidRPr="00FA0D37">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FA0D37" w:rsidRDefault="005D46C6" w:rsidP="0071565C">
            <w:pPr>
              <w:pStyle w:val="TAL"/>
              <w:rPr>
                <w:lang w:eastAsia="sv-SE"/>
              </w:rPr>
            </w:pPr>
            <w:r w:rsidRPr="00FA0D37">
              <w:rPr>
                <w:lang w:eastAsia="sv-SE"/>
              </w:rPr>
              <w:t>This field is mandatory present, if this serving cell is configured with unifiedTCI-StateType set to 'joint'. It is absent, Need R, otherwise.</w:t>
            </w:r>
          </w:p>
        </w:tc>
      </w:tr>
    </w:tbl>
    <w:p w14:paraId="4ECE4345" w14:textId="77777777" w:rsidR="00394471" w:rsidRPr="00FA0D37" w:rsidRDefault="00394471" w:rsidP="00394471"/>
    <w:p w14:paraId="59F784C2" w14:textId="77777777" w:rsidR="00394471" w:rsidRPr="00FA0D37" w:rsidRDefault="00394471" w:rsidP="00394471">
      <w:pPr>
        <w:pStyle w:val="4"/>
      </w:pPr>
      <w:bookmarkStart w:id="1455" w:name="_Toc60777409"/>
      <w:bookmarkStart w:id="1456" w:name="_Toc146781497"/>
      <w:r w:rsidRPr="00FA0D37">
        <w:t>–</w:t>
      </w:r>
      <w:r w:rsidRPr="00FA0D37">
        <w:tab/>
      </w:r>
      <w:r w:rsidRPr="00FA0D37">
        <w:rPr>
          <w:i/>
        </w:rPr>
        <w:t>TCI-StateId</w:t>
      </w:r>
      <w:bookmarkEnd w:id="1455"/>
      <w:bookmarkEnd w:id="1456"/>
    </w:p>
    <w:p w14:paraId="07ACE663" w14:textId="77777777" w:rsidR="00394471" w:rsidRPr="00FA0D37" w:rsidRDefault="00394471" w:rsidP="00394471">
      <w:r w:rsidRPr="00FA0D37">
        <w:t xml:space="preserve">The IE </w:t>
      </w:r>
      <w:r w:rsidRPr="00FA0D37">
        <w:rPr>
          <w:i/>
        </w:rPr>
        <w:t>TCI-StateId</w:t>
      </w:r>
      <w:r w:rsidRPr="00FA0D37">
        <w:t xml:space="preserve"> is used to identify one </w:t>
      </w:r>
      <w:r w:rsidRPr="00FA0D37">
        <w:rPr>
          <w:i/>
        </w:rPr>
        <w:t>TCI-State</w:t>
      </w:r>
      <w:r w:rsidRPr="00FA0D37">
        <w:t xml:space="preserve"> configuration.</w:t>
      </w:r>
    </w:p>
    <w:p w14:paraId="0F0F2AA0" w14:textId="77777777" w:rsidR="00394471" w:rsidRPr="00FA0D37" w:rsidRDefault="00394471" w:rsidP="00394471">
      <w:pPr>
        <w:pStyle w:val="TH"/>
      </w:pPr>
      <w:r w:rsidRPr="00FA0D37">
        <w:rPr>
          <w:i/>
        </w:rPr>
        <w:t>TCI-StateId</w:t>
      </w:r>
      <w:r w:rsidRPr="00FA0D37">
        <w:t xml:space="preserve"> information element</w:t>
      </w:r>
    </w:p>
    <w:p w14:paraId="53E2FA9D" w14:textId="77777777" w:rsidR="00394471" w:rsidRPr="00FA0D37" w:rsidRDefault="00394471" w:rsidP="00FA0D37">
      <w:pPr>
        <w:pStyle w:val="PL"/>
        <w:rPr>
          <w:color w:val="808080"/>
        </w:rPr>
      </w:pPr>
      <w:r w:rsidRPr="00FA0D37">
        <w:rPr>
          <w:color w:val="808080"/>
        </w:rPr>
        <w:t>-- ASN1START</w:t>
      </w:r>
    </w:p>
    <w:p w14:paraId="45B5459B" w14:textId="77777777" w:rsidR="00394471" w:rsidRPr="00FA0D37" w:rsidRDefault="00394471" w:rsidP="00FA0D37">
      <w:pPr>
        <w:pStyle w:val="PL"/>
        <w:rPr>
          <w:color w:val="808080"/>
        </w:rPr>
      </w:pPr>
      <w:r w:rsidRPr="00FA0D37">
        <w:rPr>
          <w:color w:val="808080"/>
        </w:rPr>
        <w:t>-- TAG-TCI-STATEID-START</w:t>
      </w:r>
    </w:p>
    <w:p w14:paraId="563C2CB7" w14:textId="77777777" w:rsidR="00394471" w:rsidRPr="00FA0D37" w:rsidRDefault="00394471" w:rsidP="00FA0D37">
      <w:pPr>
        <w:pStyle w:val="PL"/>
      </w:pPr>
    </w:p>
    <w:p w14:paraId="5D8C476A" w14:textId="77777777" w:rsidR="00394471" w:rsidRPr="00FA0D37" w:rsidRDefault="00394471" w:rsidP="00FA0D37">
      <w:pPr>
        <w:pStyle w:val="PL"/>
      </w:pPr>
      <w:r w:rsidRPr="00FA0D37">
        <w:t xml:space="preserve">TCI-StateId ::=                     </w:t>
      </w:r>
      <w:r w:rsidRPr="00FA0D37">
        <w:rPr>
          <w:color w:val="993366"/>
        </w:rPr>
        <w:t>INTEGER</w:t>
      </w:r>
      <w:r w:rsidRPr="00FA0D37">
        <w:t xml:space="preserve"> (0..maxNrofTCI-States-1)</w:t>
      </w:r>
    </w:p>
    <w:p w14:paraId="5DCA2146" w14:textId="77777777" w:rsidR="00064591" w:rsidRPr="00FA0D37" w:rsidRDefault="00064591" w:rsidP="00FA0D37">
      <w:pPr>
        <w:pStyle w:val="PL"/>
      </w:pPr>
    </w:p>
    <w:p w14:paraId="35CD49D3" w14:textId="77777777" w:rsidR="00394471" w:rsidRPr="00FA0D37" w:rsidRDefault="00394471" w:rsidP="00FA0D37">
      <w:pPr>
        <w:pStyle w:val="PL"/>
        <w:rPr>
          <w:color w:val="808080"/>
        </w:rPr>
      </w:pPr>
      <w:r w:rsidRPr="00FA0D37">
        <w:rPr>
          <w:color w:val="808080"/>
        </w:rPr>
        <w:t>-- TAG-TCI-STATEID-STOP</w:t>
      </w:r>
    </w:p>
    <w:p w14:paraId="1F95E4FE" w14:textId="77777777" w:rsidR="00394471" w:rsidRPr="00FA0D37" w:rsidRDefault="00394471" w:rsidP="00FA0D37">
      <w:pPr>
        <w:pStyle w:val="PL"/>
        <w:rPr>
          <w:color w:val="808080"/>
        </w:rPr>
      </w:pPr>
      <w:r w:rsidRPr="00FA0D37">
        <w:rPr>
          <w:color w:val="808080"/>
        </w:rPr>
        <w:t>-- ASN1STOP</w:t>
      </w:r>
    </w:p>
    <w:p w14:paraId="547EA6BC" w14:textId="4493FC87" w:rsidR="00394471" w:rsidRPr="00FA0D37" w:rsidRDefault="00394471" w:rsidP="00394471"/>
    <w:p w14:paraId="6D79B082" w14:textId="77777777" w:rsidR="007B122D" w:rsidRPr="00FA0D37" w:rsidRDefault="007B122D" w:rsidP="007B122D">
      <w:pPr>
        <w:pStyle w:val="4"/>
      </w:pPr>
      <w:bookmarkStart w:id="1457" w:name="_Toc146781498"/>
      <w:r w:rsidRPr="00FA0D37">
        <w:lastRenderedPageBreak/>
        <w:t>–</w:t>
      </w:r>
      <w:r w:rsidRPr="00FA0D37">
        <w:tab/>
      </w:r>
      <w:r w:rsidRPr="00FA0D37">
        <w:rPr>
          <w:i/>
        </w:rPr>
        <w:t>TCI-UL-State</w:t>
      </w:r>
      <w:bookmarkEnd w:id="1457"/>
    </w:p>
    <w:p w14:paraId="70755B64" w14:textId="50693000" w:rsidR="007B122D" w:rsidRPr="00FA0D37" w:rsidRDefault="007B122D" w:rsidP="007B122D">
      <w:r w:rsidRPr="00FA0D37">
        <w:t xml:space="preserve">The IE </w:t>
      </w:r>
      <w:r w:rsidRPr="00FA0D37">
        <w:rPr>
          <w:i/>
        </w:rPr>
        <w:t>TCI-UL-State</w:t>
      </w:r>
      <w:r w:rsidRPr="00FA0D37">
        <w:t xml:space="preserve"> </w:t>
      </w:r>
      <w:r w:rsidR="00454D3A" w:rsidRPr="00FA0D37">
        <w:t>indicates the TCI state information for UL transmission.</w:t>
      </w:r>
    </w:p>
    <w:p w14:paraId="61400862" w14:textId="77777777" w:rsidR="007B122D" w:rsidRPr="00FA0D37" w:rsidRDefault="007B122D" w:rsidP="007B122D">
      <w:pPr>
        <w:pStyle w:val="TH"/>
      </w:pPr>
      <w:r w:rsidRPr="00FA0D37">
        <w:rPr>
          <w:i/>
        </w:rPr>
        <w:t>TCI-UL-State</w:t>
      </w:r>
      <w:r w:rsidRPr="00FA0D37">
        <w:t xml:space="preserve"> information element</w:t>
      </w:r>
    </w:p>
    <w:p w14:paraId="708E7795" w14:textId="77777777" w:rsidR="007B122D" w:rsidRPr="00FA0D37" w:rsidRDefault="007B122D" w:rsidP="00FA0D37">
      <w:pPr>
        <w:pStyle w:val="PL"/>
        <w:rPr>
          <w:color w:val="808080"/>
        </w:rPr>
      </w:pPr>
      <w:r w:rsidRPr="00FA0D37">
        <w:rPr>
          <w:color w:val="808080"/>
        </w:rPr>
        <w:t>-- ASN1START</w:t>
      </w:r>
    </w:p>
    <w:p w14:paraId="248E831F" w14:textId="77777777" w:rsidR="007B122D" w:rsidRPr="00FA0D37" w:rsidRDefault="007B122D" w:rsidP="00FA0D37">
      <w:pPr>
        <w:pStyle w:val="PL"/>
        <w:rPr>
          <w:color w:val="808080"/>
        </w:rPr>
      </w:pPr>
      <w:r w:rsidRPr="00FA0D37">
        <w:rPr>
          <w:color w:val="808080"/>
        </w:rPr>
        <w:t>-- TAG-TCI-UL-STATE-START</w:t>
      </w:r>
    </w:p>
    <w:p w14:paraId="2C2A6B70" w14:textId="77777777" w:rsidR="007B122D" w:rsidRPr="00FA0D37" w:rsidRDefault="007B122D" w:rsidP="00FA0D37">
      <w:pPr>
        <w:pStyle w:val="PL"/>
      </w:pPr>
    </w:p>
    <w:p w14:paraId="72685F35" w14:textId="55986FB0" w:rsidR="007B122D" w:rsidRPr="00FA0D37" w:rsidRDefault="007B122D" w:rsidP="00FA0D37">
      <w:pPr>
        <w:pStyle w:val="PL"/>
      </w:pPr>
      <w:r w:rsidRPr="00FA0D37">
        <w:t xml:space="preserve">TCI-UL-State-r17 ::=             </w:t>
      </w:r>
      <w:r w:rsidRPr="00FA0D37">
        <w:rPr>
          <w:color w:val="993366"/>
        </w:rPr>
        <w:t>SEQUENCE</w:t>
      </w:r>
      <w:r w:rsidRPr="00FA0D37">
        <w:t xml:space="preserve"> {</w:t>
      </w:r>
    </w:p>
    <w:p w14:paraId="291964F3" w14:textId="0E0631F4" w:rsidR="007B122D" w:rsidRPr="00FA0D37" w:rsidRDefault="007B122D" w:rsidP="00FA0D37">
      <w:pPr>
        <w:pStyle w:val="PL"/>
      </w:pPr>
      <w:r w:rsidRPr="00FA0D37">
        <w:t xml:space="preserve">    tci-UL-StateId-r17              TCI-UL-StateId-r17,</w:t>
      </w:r>
    </w:p>
    <w:p w14:paraId="4E4278F2" w14:textId="74DFCEAA" w:rsidR="007B122D" w:rsidRPr="00FA0D37" w:rsidRDefault="007B122D" w:rsidP="00FA0D37">
      <w:pPr>
        <w:pStyle w:val="PL"/>
        <w:rPr>
          <w:color w:val="808080"/>
        </w:rPr>
      </w:pPr>
      <w:r w:rsidRPr="00FA0D37">
        <w:t xml:space="preserve">    servingCellId-r17                ServCellIndex                                         </w:t>
      </w:r>
      <w:r w:rsidRPr="00FA0D37">
        <w:rPr>
          <w:color w:val="993366"/>
        </w:rPr>
        <w:t>OPTIONAL</w:t>
      </w:r>
      <w:r w:rsidRPr="00FA0D37">
        <w:t xml:space="preserve">,   </w:t>
      </w:r>
      <w:r w:rsidRPr="00FA0D37">
        <w:rPr>
          <w:color w:val="808080"/>
        </w:rPr>
        <w:t>-- Need R</w:t>
      </w:r>
    </w:p>
    <w:p w14:paraId="6726BE5E" w14:textId="5C51EC90" w:rsidR="007B122D" w:rsidRPr="00FA0D37" w:rsidRDefault="007B122D" w:rsidP="00FA0D37">
      <w:pPr>
        <w:pStyle w:val="PL"/>
        <w:rPr>
          <w:color w:val="808080"/>
        </w:rPr>
      </w:pPr>
      <w:r w:rsidRPr="00FA0D37">
        <w:t xml:space="preserve">    bwp-Id-r17                       BWP-Id                                                </w:t>
      </w:r>
      <w:r w:rsidRPr="00FA0D37">
        <w:rPr>
          <w:color w:val="993366"/>
        </w:rPr>
        <w:t>OPTIONAL</w:t>
      </w:r>
      <w:r w:rsidRPr="00FA0D37">
        <w:t xml:space="preserve">,   </w:t>
      </w:r>
      <w:r w:rsidRPr="00FA0D37">
        <w:rPr>
          <w:color w:val="808080"/>
        </w:rPr>
        <w:t>-- Cond CSI-RSorSRS-Indicated</w:t>
      </w:r>
    </w:p>
    <w:p w14:paraId="54620FE9" w14:textId="30013483" w:rsidR="007B122D" w:rsidRPr="00FA0D37" w:rsidRDefault="007B122D" w:rsidP="00FA0D37">
      <w:pPr>
        <w:pStyle w:val="PL"/>
      </w:pPr>
      <w:r w:rsidRPr="00FA0D37">
        <w:t xml:space="preserve">    referenceSignal-r17              </w:t>
      </w:r>
      <w:r w:rsidRPr="00FA0D37">
        <w:rPr>
          <w:color w:val="993366"/>
        </w:rPr>
        <w:t>CHOICE</w:t>
      </w:r>
      <w:r w:rsidRPr="00FA0D37">
        <w:t xml:space="preserve"> {</w:t>
      </w:r>
    </w:p>
    <w:p w14:paraId="51094FD6" w14:textId="081FF6EF" w:rsidR="007B122D" w:rsidRPr="00FA0D37" w:rsidRDefault="007B122D" w:rsidP="00FA0D37">
      <w:pPr>
        <w:pStyle w:val="PL"/>
      </w:pPr>
      <w:r w:rsidRPr="00FA0D37">
        <w:t xml:space="preserve">        ssb-Index-r17                    SSB-Index,</w:t>
      </w:r>
    </w:p>
    <w:p w14:paraId="6D4897AF" w14:textId="68E4922F" w:rsidR="007B122D" w:rsidRPr="00FA0D37" w:rsidRDefault="007B122D" w:rsidP="00FA0D37">
      <w:pPr>
        <w:pStyle w:val="PL"/>
      </w:pPr>
      <w:r w:rsidRPr="00FA0D37">
        <w:t xml:space="preserve">        csi-RS-Index-r17                 NZP-CSI-RS-ResourceId,</w:t>
      </w:r>
    </w:p>
    <w:p w14:paraId="14F017B4" w14:textId="4B39418F" w:rsidR="007B122D" w:rsidRPr="00FA0D37" w:rsidRDefault="007B122D" w:rsidP="00FA0D37">
      <w:pPr>
        <w:pStyle w:val="PL"/>
      </w:pPr>
      <w:r w:rsidRPr="00FA0D37">
        <w:t xml:space="preserve">        srs-r17                          SRS-ResourceId</w:t>
      </w:r>
    </w:p>
    <w:p w14:paraId="59CA0312" w14:textId="77777777" w:rsidR="007B122D" w:rsidRPr="00FA0D37" w:rsidRDefault="007B122D" w:rsidP="00FA0D37">
      <w:pPr>
        <w:pStyle w:val="PL"/>
      </w:pPr>
      <w:r w:rsidRPr="00FA0D37">
        <w:t xml:space="preserve">    },</w:t>
      </w:r>
    </w:p>
    <w:p w14:paraId="35E4A999" w14:textId="3E9BD1A6" w:rsidR="007B122D" w:rsidRPr="00FA0D37" w:rsidRDefault="007B122D" w:rsidP="00FA0D37">
      <w:pPr>
        <w:pStyle w:val="PL"/>
        <w:rPr>
          <w:color w:val="808080"/>
        </w:rPr>
      </w:pPr>
      <w:r w:rsidRPr="00FA0D37">
        <w:t xml:space="preserve">    additionalPCI-r17                AdditionalPCIIndex-r17                                </w:t>
      </w:r>
      <w:r w:rsidRPr="00FA0D37">
        <w:rPr>
          <w:color w:val="993366"/>
        </w:rPr>
        <w:t>OPTIONAL</w:t>
      </w:r>
      <w:r w:rsidRPr="00FA0D37">
        <w:t xml:space="preserve">,   </w:t>
      </w:r>
      <w:r w:rsidRPr="00FA0D37">
        <w:rPr>
          <w:color w:val="808080"/>
        </w:rPr>
        <w:t>-- Need R</w:t>
      </w:r>
    </w:p>
    <w:p w14:paraId="204B272E" w14:textId="3BC1E6B7" w:rsidR="007B122D" w:rsidRPr="00FA0D37" w:rsidRDefault="007B122D" w:rsidP="00FA0D37">
      <w:pPr>
        <w:pStyle w:val="PL"/>
        <w:rPr>
          <w:color w:val="808080"/>
        </w:rPr>
      </w:pPr>
      <w:r w:rsidRPr="00FA0D37">
        <w:t xml:space="preserve">    ul-powerControl-r17              Uplink-powerControlId-r17                             </w:t>
      </w:r>
      <w:r w:rsidRPr="00FA0D37">
        <w:rPr>
          <w:color w:val="993366"/>
        </w:rPr>
        <w:t>OPTIONAL</w:t>
      </w:r>
      <w:r w:rsidRPr="00FA0D37">
        <w:t xml:space="preserve">,   </w:t>
      </w:r>
      <w:r w:rsidRPr="00FA0D37">
        <w:rPr>
          <w:color w:val="808080"/>
        </w:rPr>
        <w:t>-- Need R</w:t>
      </w:r>
    </w:p>
    <w:p w14:paraId="7E2AC5F5" w14:textId="1D08A68F" w:rsidR="007B122D" w:rsidRPr="00FA0D37" w:rsidRDefault="007B122D" w:rsidP="00FA0D37">
      <w:pPr>
        <w:pStyle w:val="PL"/>
        <w:rPr>
          <w:color w:val="808080"/>
        </w:rPr>
      </w:pPr>
      <w:r w:rsidRPr="00FA0D37">
        <w:t xml:space="preserve">    pathlossReferenceRS-Id-r17       PathlossReferenceRS-Id-r17                      </w:t>
      </w:r>
      <w:r w:rsidR="005D46C6" w:rsidRPr="00FA0D37">
        <w:t xml:space="preserve">      </w:t>
      </w:r>
      <w:r w:rsidRPr="00FA0D37">
        <w:rPr>
          <w:color w:val="993366"/>
        </w:rPr>
        <w:t>OPTIONAL</w:t>
      </w:r>
      <w:r w:rsidRPr="00FA0D37">
        <w:t xml:space="preserve">,   </w:t>
      </w:r>
      <w:r w:rsidRPr="00FA0D37">
        <w:rPr>
          <w:color w:val="808080"/>
        </w:rPr>
        <w:t xml:space="preserve">-- </w:t>
      </w:r>
      <w:r w:rsidR="005D46C6" w:rsidRPr="00FA0D37">
        <w:rPr>
          <w:color w:val="808080"/>
        </w:rPr>
        <w:t>Cond Mandatory</w:t>
      </w:r>
    </w:p>
    <w:p w14:paraId="47BC6589" w14:textId="639F2C91" w:rsidR="00C148E4" w:rsidRPr="00FA0D37" w:rsidRDefault="007B122D" w:rsidP="00FA0D37">
      <w:pPr>
        <w:pStyle w:val="PL"/>
      </w:pPr>
      <w:r w:rsidRPr="00FA0D37">
        <w:t xml:space="preserve">    ...</w:t>
      </w:r>
    </w:p>
    <w:p w14:paraId="501B02E9" w14:textId="21900C51" w:rsidR="007B122D" w:rsidRPr="00FA0D37" w:rsidRDefault="007B122D" w:rsidP="00FA0D37">
      <w:pPr>
        <w:pStyle w:val="PL"/>
      </w:pPr>
      <w:r w:rsidRPr="00FA0D37">
        <w:t>}</w:t>
      </w:r>
    </w:p>
    <w:p w14:paraId="374B8394" w14:textId="77777777" w:rsidR="007B122D" w:rsidRPr="00FA0D37" w:rsidRDefault="007B122D" w:rsidP="00FA0D37">
      <w:pPr>
        <w:pStyle w:val="PL"/>
      </w:pPr>
    </w:p>
    <w:p w14:paraId="6703A3EC" w14:textId="77777777" w:rsidR="007B122D" w:rsidRPr="00FA0D37" w:rsidRDefault="007B122D" w:rsidP="00FA0D37">
      <w:pPr>
        <w:pStyle w:val="PL"/>
        <w:rPr>
          <w:color w:val="808080"/>
        </w:rPr>
      </w:pPr>
      <w:r w:rsidRPr="00FA0D37">
        <w:rPr>
          <w:color w:val="808080"/>
        </w:rPr>
        <w:t>-- TAG-TCI-UL-STATE-STOP</w:t>
      </w:r>
    </w:p>
    <w:p w14:paraId="11B488CD" w14:textId="77777777" w:rsidR="007B122D" w:rsidRPr="00FA0D37" w:rsidRDefault="007B122D" w:rsidP="00FA0D37">
      <w:pPr>
        <w:pStyle w:val="PL"/>
        <w:rPr>
          <w:color w:val="808080"/>
        </w:rPr>
      </w:pPr>
      <w:r w:rsidRPr="00FA0D37">
        <w:rPr>
          <w:color w:val="808080"/>
        </w:rPr>
        <w:t>-- ASN1STOP</w:t>
      </w:r>
    </w:p>
    <w:p w14:paraId="55F0E1CF" w14:textId="77777777" w:rsidR="007B122D" w:rsidRPr="00FA0D3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FA0D37" w:rsidRDefault="007B122D" w:rsidP="0071565C">
            <w:pPr>
              <w:pStyle w:val="TAH"/>
              <w:rPr>
                <w:szCs w:val="22"/>
                <w:lang w:eastAsia="sv-SE"/>
              </w:rPr>
            </w:pPr>
            <w:r w:rsidRPr="00FA0D37">
              <w:rPr>
                <w:i/>
              </w:rPr>
              <w:t>TCI-UL-State</w:t>
            </w:r>
            <w:r w:rsidRPr="00FA0D37">
              <w:t xml:space="preserve"> </w:t>
            </w:r>
            <w:r w:rsidRPr="00FA0D37">
              <w:rPr>
                <w:szCs w:val="22"/>
                <w:lang w:eastAsia="sv-SE"/>
              </w:rPr>
              <w:t>field descriptions</w:t>
            </w:r>
          </w:p>
        </w:tc>
      </w:tr>
      <w:tr w:rsidR="005C7FF4" w:rsidRPr="00FA0D37"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FA0D37" w:rsidRDefault="007B122D" w:rsidP="0071565C">
            <w:pPr>
              <w:pStyle w:val="TAL"/>
              <w:rPr>
                <w:b/>
                <w:bCs/>
                <w:i/>
                <w:iCs/>
                <w:szCs w:val="22"/>
                <w:lang w:eastAsia="sv-SE"/>
              </w:rPr>
            </w:pPr>
            <w:r w:rsidRPr="00FA0D37">
              <w:rPr>
                <w:b/>
                <w:bCs/>
                <w:i/>
                <w:iCs/>
              </w:rPr>
              <w:t>additionalPCI</w:t>
            </w:r>
          </w:p>
          <w:p w14:paraId="3953C059" w14:textId="649AC693" w:rsidR="007B122D" w:rsidRPr="00FA0D37" w:rsidRDefault="007B122D" w:rsidP="0071565C">
            <w:pPr>
              <w:pStyle w:val="TAL"/>
              <w:rPr>
                <w:szCs w:val="22"/>
                <w:lang w:eastAsia="sv-SE"/>
              </w:rPr>
            </w:pPr>
            <w:r w:rsidRPr="00FA0D37">
              <w:t>Indicates the physical cell IDs (PCI) of the SSBs</w:t>
            </w:r>
            <w:r w:rsidR="00626163" w:rsidRPr="00FA0D37">
              <w:t xml:space="preserve"> when </w:t>
            </w:r>
            <w:r w:rsidR="00626163" w:rsidRPr="00FA0D37">
              <w:rPr>
                <w:i/>
                <w:iCs/>
              </w:rPr>
              <w:t>referenceSignal</w:t>
            </w:r>
            <w:r w:rsidR="00626163" w:rsidRPr="00FA0D37">
              <w:t xml:space="preserve"> is configured as SSB. In case the </w:t>
            </w:r>
            <w:r w:rsidR="00626163" w:rsidRPr="00FA0D37">
              <w:rPr>
                <w:i/>
                <w:iCs/>
              </w:rPr>
              <w:t>servingCellId</w:t>
            </w:r>
            <w:r w:rsidR="00626163" w:rsidRPr="00FA0D37">
              <w:t xml:space="preserve"> is present, the </w:t>
            </w:r>
            <w:r w:rsidR="00626163" w:rsidRPr="00FA0D37">
              <w:rPr>
                <w:i/>
                <w:iCs/>
              </w:rPr>
              <w:t xml:space="preserve">additionalPCI </w:t>
            </w:r>
            <w:r w:rsidR="00626163" w:rsidRPr="00FA0D37">
              <w:t xml:space="preserve">refers </w:t>
            </w:r>
            <w:r w:rsidR="00626163" w:rsidRPr="00FA0D37">
              <w:rPr>
                <w:rFonts w:cs="Arial"/>
              </w:rPr>
              <w:t xml:space="preserve">to a PCI value configured in the list configured using </w:t>
            </w:r>
            <w:r w:rsidR="00626163" w:rsidRPr="00FA0D37">
              <w:rPr>
                <w:rFonts w:cs="Arial"/>
                <w:i/>
                <w:iCs/>
              </w:rPr>
              <w:t>additionalPCI-ToAddModList</w:t>
            </w:r>
            <w:r w:rsidR="00626163" w:rsidRPr="00FA0D37">
              <w:t xml:space="preserve"> in the serving cell indicated by the field </w:t>
            </w:r>
            <w:r w:rsidR="00626163" w:rsidRPr="00FA0D37">
              <w:rPr>
                <w:i/>
                <w:iCs/>
              </w:rPr>
              <w:t>servingCellId</w:t>
            </w:r>
            <w:r w:rsidR="00626163" w:rsidRPr="00FA0D37">
              <w:t xml:space="preserve">. Otherwise, it refers to </w:t>
            </w:r>
            <w:r w:rsidR="00626163" w:rsidRPr="00FA0D37">
              <w:rPr>
                <w:rFonts w:cs="Arial"/>
              </w:rPr>
              <w:t xml:space="preserve">a PCI value configured in the list configured using </w:t>
            </w:r>
            <w:r w:rsidR="00626163" w:rsidRPr="00FA0D37">
              <w:rPr>
                <w:rFonts w:cs="Arial"/>
                <w:i/>
                <w:iCs/>
              </w:rPr>
              <w:t>additionalPCI-ToAddModList</w:t>
            </w:r>
            <w:r w:rsidR="00626163" w:rsidRPr="00FA0D37">
              <w:t xml:space="preserve"> in the serving cell where the </w:t>
            </w:r>
            <w:r w:rsidR="00626163" w:rsidRPr="00FA0D37">
              <w:rPr>
                <w:i/>
                <w:iCs/>
              </w:rPr>
              <w:t xml:space="preserve">ul-TCI-StateList </w:t>
            </w:r>
            <w:r w:rsidR="00626163" w:rsidRPr="00FA0D37">
              <w:t>is applied</w:t>
            </w:r>
            <w:r w:rsidR="005D46C6" w:rsidRPr="00FA0D37">
              <w:t xml:space="preserve"> by the UE</w:t>
            </w:r>
            <w:r w:rsidRPr="00FA0D37">
              <w:t>.</w:t>
            </w:r>
          </w:p>
        </w:tc>
      </w:tr>
      <w:tr w:rsidR="005C7FF4" w:rsidRPr="00FA0D37"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FA0D37" w:rsidRDefault="007B122D" w:rsidP="0071565C">
            <w:pPr>
              <w:pStyle w:val="TAL"/>
              <w:rPr>
                <w:szCs w:val="22"/>
                <w:lang w:eastAsia="sv-SE"/>
              </w:rPr>
            </w:pPr>
            <w:r w:rsidRPr="00FA0D37">
              <w:rPr>
                <w:b/>
                <w:i/>
                <w:szCs w:val="22"/>
                <w:lang w:eastAsia="sv-SE"/>
              </w:rPr>
              <w:t>bwp-Id</w:t>
            </w:r>
          </w:p>
          <w:p w14:paraId="5AED841D" w14:textId="77777777" w:rsidR="007B122D" w:rsidRPr="00FA0D37" w:rsidRDefault="007B122D" w:rsidP="0071565C">
            <w:pPr>
              <w:pStyle w:val="TAL"/>
              <w:rPr>
                <w:szCs w:val="22"/>
                <w:lang w:eastAsia="sv-SE"/>
              </w:rPr>
            </w:pPr>
            <w:r w:rsidRPr="00FA0D37">
              <w:rPr>
                <w:szCs w:val="22"/>
                <w:lang w:eastAsia="sv-SE"/>
              </w:rPr>
              <w:t>The DL BWP which the CSI-RS is located in or UL BWP where the SRS is located in.</w:t>
            </w:r>
          </w:p>
        </w:tc>
      </w:tr>
      <w:tr w:rsidR="005C7FF4" w:rsidRPr="00FA0D37"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FA0D37" w:rsidRDefault="007B122D" w:rsidP="0071565C">
            <w:pPr>
              <w:pStyle w:val="TAL"/>
              <w:rPr>
                <w:szCs w:val="22"/>
                <w:lang w:eastAsia="sv-SE"/>
              </w:rPr>
            </w:pPr>
            <w:r w:rsidRPr="00FA0D37">
              <w:rPr>
                <w:b/>
                <w:i/>
                <w:szCs w:val="22"/>
                <w:lang w:eastAsia="sv-SE"/>
              </w:rPr>
              <w:t>servingCellId</w:t>
            </w:r>
          </w:p>
          <w:p w14:paraId="05439E89" w14:textId="34DB25EE" w:rsidR="007B122D" w:rsidRPr="00FA0D37" w:rsidRDefault="007B122D" w:rsidP="0071565C">
            <w:pPr>
              <w:pStyle w:val="TAL"/>
              <w:rPr>
                <w:szCs w:val="22"/>
                <w:lang w:eastAsia="sv-SE"/>
              </w:rPr>
            </w:pPr>
            <w:r w:rsidRPr="00FA0D37">
              <w:rPr>
                <w:szCs w:val="22"/>
                <w:lang w:eastAsia="sv-SE"/>
              </w:rPr>
              <w:t xml:space="preserve">The UE's serving cell in which the </w:t>
            </w:r>
            <w:r w:rsidRPr="00FA0D37">
              <w:rPr>
                <w:i/>
                <w:szCs w:val="22"/>
                <w:lang w:eastAsia="sv-SE"/>
              </w:rPr>
              <w:t>referenceSignal</w:t>
            </w:r>
            <w:r w:rsidRPr="00FA0D37">
              <w:rPr>
                <w:szCs w:val="22"/>
                <w:lang w:eastAsia="sv-SE"/>
              </w:rPr>
              <w:t xml:space="preserve"> is configured. If the field is absent, </w:t>
            </w:r>
            <w:r w:rsidR="00D1788C" w:rsidRPr="00FA0D37">
              <w:rPr>
                <w:szCs w:val="22"/>
                <w:lang w:eastAsia="sv-SE"/>
              </w:rPr>
              <w:t xml:space="preserve">the </w:t>
            </w:r>
            <w:r w:rsidR="00D1788C" w:rsidRPr="00FA0D37">
              <w:rPr>
                <w:i/>
                <w:szCs w:val="22"/>
                <w:lang w:eastAsia="sv-SE"/>
              </w:rPr>
              <w:t>referenceSignal</w:t>
            </w:r>
            <w:r w:rsidR="00D1788C" w:rsidRPr="00FA0D37">
              <w:rPr>
                <w:szCs w:val="22"/>
                <w:lang w:eastAsia="sv-SE"/>
              </w:rPr>
              <w:t xml:space="preserve"> is configured in</w:t>
            </w:r>
            <w:r w:rsidRPr="00FA0D37">
              <w:rPr>
                <w:szCs w:val="22"/>
                <w:lang w:eastAsia="sv-SE"/>
              </w:rPr>
              <w:t xml:space="preserve"> the serving cell in which the </w:t>
            </w:r>
            <w:r w:rsidRPr="00FA0D37">
              <w:rPr>
                <w:i/>
                <w:szCs w:val="22"/>
                <w:lang w:eastAsia="sv-SE"/>
              </w:rPr>
              <w:t>TCI-</w:t>
            </w:r>
            <w:r w:rsidR="001D1854" w:rsidRPr="00FA0D37">
              <w:rPr>
                <w:i/>
                <w:szCs w:val="22"/>
                <w:lang w:eastAsia="sv-SE"/>
              </w:rPr>
              <w:t>UL</w:t>
            </w:r>
            <w:r w:rsidR="00973FD9" w:rsidRPr="00FA0D37">
              <w:rPr>
                <w:i/>
                <w:szCs w:val="22"/>
                <w:lang w:eastAsia="sv-SE"/>
              </w:rPr>
              <w:t>-</w:t>
            </w:r>
            <w:r w:rsidRPr="00FA0D37">
              <w:rPr>
                <w:i/>
                <w:szCs w:val="22"/>
                <w:lang w:eastAsia="sv-SE"/>
              </w:rPr>
              <w:t xml:space="preserve">State </w:t>
            </w:r>
            <w:r w:rsidRPr="00FA0D37">
              <w:rPr>
                <w:szCs w:val="22"/>
                <w:lang w:eastAsia="sv-SE"/>
              </w:rPr>
              <w:t xml:space="preserve">is </w:t>
            </w:r>
            <w:r w:rsidR="001D1854" w:rsidRPr="00FA0D37">
              <w:rPr>
                <w:szCs w:val="22"/>
                <w:lang w:eastAsia="sv-SE"/>
              </w:rPr>
              <w:t>applied</w:t>
            </w:r>
            <w:r w:rsidR="005D46C6" w:rsidRPr="00FA0D37">
              <w:rPr>
                <w:szCs w:val="22"/>
                <w:lang w:eastAsia="sv-SE"/>
              </w:rPr>
              <w:t xml:space="preserve"> by the UE</w:t>
            </w:r>
            <w:r w:rsidRPr="00FA0D37">
              <w:rPr>
                <w:szCs w:val="22"/>
                <w:lang w:eastAsia="sv-SE"/>
              </w:rPr>
              <w:t>.</w:t>
            </w:r>
          </w:p>
        </w:tc>
      </w:tr>
      <w:tr w:rsidR="005C7FF4" w:rsidRPr="00FA0D37" w14:paraId="0F484CE0" w14:textId="77777777" w:rsidTr="0071565C">
        <w:tc>
          <w:tcPr>
            <w:tcW w:w="14173" w:type="dxa"/>
            <w:tcBorders>
              <w:top w:val="single" w:sz="4" w:space="0" w:color="auto"/>
              <w:left w:val="single" w:sz="4" w:space="0" w:color="auto"/>
              <w:bottom w:val="single" w:sz="4" w:space="0" w:color="auto"/>
              <w:right w:val="single" w:sz="4" w:space="0" w:color="auto"/>
            </w:tcBorders>
          </w:tcPr>
          <w:p w14:paraId="54D2DD9E" w14:textId="77777777" w:rsidR="007B122D" w:rsidRPr="00FA0D37" w:rsidRDefault="007B122D" w:rsidP="0071565C">
            <w:pPr>
              <w:pStyle w:val="TAL"/>
              <w:rPr>
                <w:b/>
                <w:i/>
                <w:szCs w:val="22"/>
                <w:lang w:eastAsia="sv-SE"/>
              </w:rPr>
            </w:pPr>
            <w:r w:rsidRPr="00FA0D37">
              <w:rPr>
                <w:b/>
                <w:i/>
                <w:szCs w:val="22"/>
                <w:lang w:eastAsia="sv-SE"/>
              </w:rPr>
              <w:t>pathlossReferenceRS-Id</w:t>
            </w:r>
          </w:p>
          <w:p w14:paraId="388CDEB3" w14:textId="0082DA70" w:rsidR="007B122D" w:rsidRPr="00FA0D37" w:rsidRDefault="007B122D" w:rsidP="0071565C">
            <w:pPr>
              <w:pStyle w:val="TAL"/>
              <w:rPr>
                <w:bCs/>
                <w:iCs/>
                <w:szCs w:val="22"/>
                <w:lang w:eastAsia="sv-SE"/>
              </w:rPr>
            </w:pPr>
            <w:r w:rsidRPr="00FA0D37">
              <w:rPr>
                <w:bCs/>
                <w:iCs/>
                <w:szCs w:val="22"/>
                <w:lang w:eastAsia="sv-SE"/>
              </w:rPr>
              <w:t>The ID of the reference Signal (e.g. a CSI-RS or a SS block) used for PUSCH</w:t>
            </w:r>
            <w:r w:rsidR="005D46C6" w:rsidRPr="00FA0D37">
              <w:rPr>
                <w:bCs/>
                <w:iCs/>
                <w:szCs w:val="22"/>
                <w:lang w:eastAsia="sv-SE"/>
              </w:rPr>
              <w:t>, PUCCH and SRS</w:t>
            </w:r>
            <w:r w:rsidRPr="00FA0D37">
              <w:rPr>
                <w:bCs/>
                <w:iCs/>
                <w:szCs w:val="22"/>
                <w:lang w:eastAsia="sv-SE"/>
              </w:rPr>
              <w:t xml:space="preserve"> path loss estimation.</w:t>
            </w:r>
            <w:r w:rsidR="001542AE" w:rsidRPr="00FA0D37">
              <w:t xml:space="preserve"> This field refers to an element</w:t>
            </w:r>
            <w:r w:rsidR="001542AE" w:rsidRPr="00FA0D37">
              <w:rPr>
                <w:rFonts w:cs="Arial"/>
              </w:rPr>
              <w:t xml:space="preserve"> in the list configured using </w:t>
            </w:r>
            <w:r w:rsidR="001542AE" w:rsidRPr="00FA0D37">
              <w:rPr>
                <w:rFonts w:cs="Arial"/>
                <w:i/>
              </w:rPr>
              <w:t>pathlossReferenceRSToAddModList</w:t>
            </w:r>
            <w:r w:rsidR="001542AE" w:rsidRPr="00FA0D37">
              <w:t xml:space="preserve"> in the serving cell and UL BWP where the UL </w:t>
            </w:r>
            <w:r w:rsidR="001542AE" w:rsidRPr="00FA0D37">
              <w:rPr>
                <w:iCs/>
              </w:rPr>
              <w:t>TCI State</w:t>
            </w:r>
            <w:r w:rsidR="001542AE" w:rsidRPr="00FA0D37">
              <w:rPr>
                <w:i/>
              </w:rPr>
              <w:t xml:space="preserve"> </w:t>
            </w:r>
            <w:r w:rsidR="001542AE" w:rsidRPr="00FA0D37">
              <w:t>is applied by the UE.</w:t>
            </w:r>
          </w:p>
        </w:tc>
      </w:tr>
      <w:tr w:rsidR="007B122D" w:rsidRPr="00FA0D37"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B122D" w:rsidRPr="00FA0D37" w:rsidRDefault="007B122D" w:rsidP="0071565C">
            <w:pPr>
              <w:pStyle w:val="TAL"/>
              <w:rPr>
                <w:b/>
                <w:i/>
                <w:szCs w:val="22"/>
                <w:lang w:eastAsia="sv-SE"/>
              </w:rPr>
            </w:pPr>
            <w:r w:rsidRPr="00FA0D37">
              <w:rPr>
                <w:b/>
                <w:i/>
                <w:szCs w:val="22"/>
                <w:lang w:eastAsia="sv-SE"/>
              </w:rPr>
              <w:t>ul-powerControl</w:t>
            </w:r>
          </w:p>
          <w:p w14:paraId="6E6C6BEC" w14:textId="0A897DFD" w:rsidR="007B122D" w:rsidRPr="00FA0D37" w:rsidRDefault="007B122D" w:rsidP="0071565C">
            <w:pPr>
              <w:pStyle w:val="TAL"/>
              <w:rPr>
                <w:b/>
                <w:i/>
                <w:szCs w:val="22"/>
                <w:lang w:eastAsia="sv-SE"/>
              </w:rPr>
            </w:pPr>
            <w:r w:rsidRPr="00FA0D37">
              <w:rPr>
                <w:bCs/>
                <w:iCs/>
                <w:szCs w:val="22"/>
                <w:lang w:eastAsia="sv-SE"/>
              </w:rPr>
              <w:t xml:space="preserve">Configures power control parameters for PUCCH, PUSCH and SRS for this TCI state. </w:t>
            </w:r>
            <w:bookmarkStart w:id="1458" w:name="_Hlk104458996"/>
            <w:r w:rsidRPr="00FA0D37">
              <w:t>The</w:t>
            </w:r>
            <w:r w:rsidRPr="00FA0D37" w:rsidDel="00A87DC7">
              <w:rPr>
                <w:bCs/>
                <w:iCs/>
                <w:szCs w:val="22"/>
                <w:lang w:eastAsia="sv-SE"/>
              </w:rPr>
              <w:t xml:space="preserve"> </w:t>
            </w:r>
            <w:r w:rsidRPr="00FA0D37">
              <w:rPr>
                <w:bCs/>
                <w:iCs/>
                <w:szCs w:val="22"/>
                <w:lang w:eastAsia="sv-SE"/>
              </w:rPr>
              <w:t xml:space="preserve">field is present here only if </w:t>
            </w:r>
            <w:r w:rsidRPr="00FA0D37">
              <w:rPr>
                <w:rFonts w:eastAsia="宋体"/>
                <w:i/>
                <w:iCs/>
                <w:lang w:eastAsia="zh-CN"/>
              </w:rPr>
              <w:t>ul-powerControl</w:t>
            </w:r>
            <w:r w:rsidRPr="00FA0D37">
              <w:rPr>
                <w:rFonts w:eastAsia="宋体"/>
                <w:lang w:eastAsia="zh-CN"/>
              </w:rPr>
              <w:t xml:space="preserve"> </w:t>
            </w:r>
            <w:r w:rsidRPr="00FA0D37">
              <w:rPr>
                <w:bCs/>
                <w:iCs/>
                <w:szCs w:val="22"/>
                <w:lang w:eastAsia="sv-SE"/>
              </w:rPr>
              <w:t>is not configured in any</w:t>
            </w:r>
            <w:r w:rsidRPr="00FA0D37">
              <w:rPr>
                <w:i/>
                <w:iCs/>
              </w:rPr>
              <w:t xml:space="preserve"> BWP-Uplink-Dedicated </w:t>
            </w:r>
            <w:r w:rsidRPr="00FA0D37">
              <w:t>of this serving cell</w:t>
            </w:r>
            <w:r w:rsidRPr="00FA0D37">
              <w:rPr>
                <w:bCs/>
                <w:iCs/>
                <w:szCs w:val="22"/>
                <w:lang w:eastAsia="sv-SE"/>
              </w:rPr>
              <w:t>.</w:t>
            </w:r>
            <w:bookmarkEnd w:id="1458"/>
            <w:r w:rsidR="001542AE" w:rsidRPr="00FA0D37">
              <w:t xml:space="preserve"> This field refers to </w:t>
            </w:r>
            <w:r w:rsidR="001542AE" w:rsidRPr="00FA0D37">
              <w:rPr>
                <w:rFonts w:cs="Arial"/>
              </w:rPr>
              <w:t xml:space="preserve">an element in the list configured using </w:t>
            </w:r>
            <w:r w:rsidR="001542AE" w:rsidRPr="00FA0D37">
              <w:rPr>
                <w:rFonts w:cs="Arial"/>
                <w:i/>
              </w:rPr>
              <w:t xml:space="preserve">uplink-PowerControlToAddModList </w:t>
            </w:r>
            <w:r w:rsidR="001542AE" w:rsidRPr="00FA0D37">
              <w:t xml:space="preserve">in the serving cell where the </w:t>
            </w:r>
            <w:r w:rsidR="001542AE" w:rsidRPr="00FA0D37">
              <w:rPr>
                <w:i/>
                <w:iCs/>
              </w:rPr>
              <w:t>ul-TCI-ToAddModList</w:t>
            </w:r>
            <w:r w:rsidR="001542AE" w:rsidRPr="00FA0D37">
              <w:t xml:space="preserve"> is configured.</w:t>
            </w:r>
          </w:p>
        </w:tc>
      </w:tr>
    </w:tbl>
    <w:p w14:paraId="311ACC04" w14:textId="77777777" w:rsidR="007B122D" w:rsidRPr="00FA0D3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FA0D37" w:rsidRDefault="007B122D" w:rsidP="0071565C">
            <w:pPr>
              <w:pStyle w:val="TAH"/>
              <w:rPr>
                <w:lang w:eastAsia="sv-SE"/>
              </w:rPr>
            </w:pPr>
            <w:r w:rsidRPr="00FA0D37">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FA0D37" w:rsidRDefault="007B122D" w:rsidP="0071565C">
            <w:pPr>
              <w:pStyle w:val="TAH"/>
              <w:rPr>
                <w:lang w:eastAsia="sv-SE"/>
              </w:rPr>
            </w:pPr>
            <w:r w:rsidRPr="00FA0D37">
              <w:rPr>
                <w:lang w:eastAsia="sv-SE"/>
              </w:rPr>
              <w:t>Explanation</w:t>
            </w:r>
          </w:p>
        </w:tc>
      </w:tr>
      <w:tr w:rsidR="005C7FF4" w:rsidRPr="00FA0D37"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FA0D37" w:rsidRDefault="007B122D" w:rsidP="0071565C">
            <w:pPr>
              <w:pStyle w:val="TAL"/>
              <w:rPr>
                <w:i/>
                <w:lang w:eastAsia="sv-SE"/>
              </w:rPr>
            </w:pPr>
            <w:r w:rsidRPr="00FA0D37">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FA0D37" w:rsidRDefault="007B122D" w:rsidP="0071565C">
            <w:pPr>
              <w:pStyle w:val="TAL"/>
              <w:rPr>
                <w:lang w:eastAsia="sv-SE"/>
              </w:rPr>
            </w:pPr>
            <w:r w:rsidRPr="00FA0D37">
              <w:rPr>
                <w:lang w:eastAsia="sv-SE"/>
              </w:rPr>
              <w:t xml:space="preserve">This field is mandatory present </w:t>
            </w:r>
            <w:r w:rsidRPr="00FA0D37">
              <w:rPr>
                <w:szCs w:val="22"/>
                <w:lang w:eastAsia="sv-SE"/>
              </w:rPr>
              <w:t xml:space="preserve">if </w:t>
            </w:r>
            <w:r w:rsidR="001D1854" w:rsidRPr="00FA0D37">
              <w:rPr>
                <w:i/>
                <w:iCs/>
              </w:rPr>
              <w:t>referenceSignal</w:t>
            </w:r>
            <w:r w:rsidR="001D1854" w:rsidRPr="00FA0D37">
              <w:t xml:space="preserve"> is set to </w:t>
            </w:r>
            <w:r w:rsidR="001D1854" w:rsidRPr="00FA0D37">
              <w:rPr>
                <w:i/>
                <w:iCs/>
              </w:rPr>
              <w:t>csi-RS-index</w:t>
            </w:r>
            <w:r w:rsidRPr="00FA0D37">
              <w:rPr>
                <w:szCs w:val="22"/>
                <w:lang w:eastAsia="sv-SE"/>
              </w:rPr>
              <w:t xml:space="preserve"> or </w:t>
            </w:r>
            <w:r w:rsidR="001D1854" w:rsidRPr="00FA0D37">
              <w:rPr>
                <w:szCs w:val="22"/>
                <w:lang w:eastAsia="sv-SE"/>
              </w:rPr>
              <w:t xml:space="preserve">to </w:t>
            </w:r>
            <w:r w:rsidRPr="00FA0D37">
              <w:rPr>
                <w:i/>
                <w:iCs/>
                <w:szCs w:val="22"/>
                <w:lang w:eastAsia="sv-SE"/>
              </w:rPr>
              <w:t>srs</w:t>
            </w:r>
            <w:r w:rsidRPr="00FA0D37">
              <w:rPr>
                <w:szCs w:val="22"/>
                <w:lang w:eastAsia="sv-SE"/>
              </w:rPr>
              <w:t>, absent otherwise</w:t>
            </w:r>
          </w:p>
        </w:tc>
      </w:tr>
      <w:tr w:rsidR="005D46C6" w:rsidRPr="00FA0D37"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FA0D37" w:rsidRDefault="005D46C6" w:rsidP="0071565C">
            <w:pPr>
              <w:pStyle w:val="TAL"/>
              <w:rPr>
                <w:i/>
                <w:lang w:eastAsia="sv-SE"/>
              </w:rPr>
            </w:pPr>
            <w:r w:rsidRPr="00FA0D37">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FA0D37" w:rsidRDefault="005D46C6" w:rsidP="0071565C">
            <w:pPr>
              <w:pStyle w:val="TAL"/>
              <w:rPr>
                <w:lang w:eastAsia="sv-SE"/>
              </w:rPr>
            </w:pPr>
            <w:r w:rsidRPr="00FA0D37">
              <w:rPr>
                <w:lang w:eastAsia="sv-SE"/>
              </w:rPr>
              <w:t>The field is mandatory present.</w:t>
            </w:r>
          </w:p>
        </w:tc>
      </w:tr>
    </w:tbl>
    <w:p w14:paraId="35D82856" w14:textId="77777777" w:rsidR="007B122D" w:rsidRPr="00FA0D37" w:rsidRDefault="007B122D" w:rsidP="007B122D"/>
    <w:p w14:paraId="409045AE" w14:textId="77777777" w:rsidR="007B122D" w:rsidRPr="00FA0D37" w:rsidRDefault="007B122D" w:rsidP="007B122D">
      <w:pPr>
        <w:pStyle w:val="4"/>
      </w:pPr>
      <w:bookmarkStart w:id="1459" w:name="_Toc146781499"/>
      <w:r w:rsidRPr="00FA0D37">
        <w:t>–</w:t>
      </w:r>
      <w:r w:rsidRPr="00FA0D37">
        <w:tab/>
      </w:r>
      <w:r w:rsidRPr="00FA0D37">
        <w:rPr>
          <w:i/>
        </w:rPr>
        <w:t>TCI-UL-StateId</w:t>
      </w:r>
      <w:bookmarkEnd w:id="1459"/>
    </w:p>
    <w:p w14:paraId="79CE0743" w14:textId="77777777" w:rsidR="007B122D" w:rsidRPr="00FA0D37" w:rsidRDefault="007B122D" w:rsidP="007B122D">
      <w:r w:rsidRPr="00FA0D37">
        <w:t xml:space="preserve">The IE </w:t>
      </w:r>
      <w:r w:rsidRPr="00FA0D37">
        <w:rPr>
          <w:i/>
        </w:rPr>
        <w:t>TCI-UL-StateId</w:t>
      </w:r>
      <w:r w:rsidRPr="00FA0D37">
        <w:t xml:space="preserve"> is used to identify one </w:t>
      </w:r>
      <w:r w:rsidRPr="00FA0D37">
        <w:rPr>
          <w:i/>
        </w:rPr>
        <w:t>TCI-UL-State</w:t>
      </w:r>
      <w:r w:rsidRPr="00FA0D37">
        <w:t xml:space="preserve"> configuration.</w:t>
      </w:r>
    </w:p>
    <w:p w14:paraId="6FF99A7C" w14:textId="77777777" w:rsidR="007B122D" w:rsidRPr="00FA0D37" w:rsidRDefault="007B122D" w:rsidP="007B122D">
      <w:pPr>
        <w:pStyle w:val="TH"/>
      </w:pPr>
      <w:r w:rsidRPr="00FA0D37">
        <w:rPr>
          <w:i/>
        </w:rPr>
        <w:t>TCI-UL-StateId</w:t>
      </w:r>
      <w:r w:rsidRPr="00FA0D37">
        <w:t xml:space="preserve"> information element</w:t>
      </w:r>
    </w:p>
    <w:p w14:paraId="55A87EB5" w14:textId="77777777" w:rsidR="007B122D" w:rsidRPr="00FA0D37" w:rsidRDefault="007B122D" w:rsidP="00FA0D37">
      <w:pPr>
        <w:pStyle w:val="PL"/>
        <w:rPr>
          <w:color w:val="808080"/>
        </w:rPr>
      </w:pPr>
      <w:r w:rsidRPr="00FA0D37">
        <w:rPr>
          <w:color w:val="808080"/>
        </w:rPr>
        <w:t>-- ASN1START</w:t>
      </w:r>
    </w:p>
    <w:p w14:paraId="3C11C2BE" w14:textId="77777777" w:rsidR="007B122D" w:rsidRPr="00FA0D37" w:rsidRDefault="007B122D" w:rsidP="00FA0D37">
      <w:pPr>
        <w:pStyle w:val="PL"/>
        <w:rPr>
          <w:color w:val="808080"/>
        </w:rPr>
      </w:pPr>
      <w:r w:rsidRPr="00FA0D37">
        <w:rPr>
          <w:color w:val="808080"/>
        </w:rPr>
        <w:t>-- TAG-TCI-UL-STATEID-START</w:t>
      </w:r>
    </w:p>
    <w:p w14:paraId="1C2C92A1" w14:textId="77777777" w:rsidR="007B122D" w:rsidRPr="00FA0D37" w:rsidRDefault="007B122D" w:rsidP="00FA0D37">
      <w:pPr>
        <w:pStyle w:val="PL"/>
      </w:pPr>
    </w:p>
    <w:p w14:paraId="7501E215" w14:textId="1EB70E0C" w:rsidR="007B122D" w:rsidRPr="00FA0D37" w:rsidRDefault="007B122D" w:rsidP="00FA0D37">
      <w:pPr>
        <w:pStyle w:val="PL"/>
      </w:pPr>
      <w:r w:rsidRPr="00FA0D37">
        <w:t xml:space="preserve">TCI-UL-StateId-r17 ::=              </w:t>
      </w:r>
      <w:r w:rsidRPr="00FA0D37">
        <w:rPr>
          <w:color w:val="993366"/>
        </w:rPr>
        <w:t>INTEGER</w:t>
      </w:r>
      <w:r w:rsidRPr="00FA0D37">
        <w:t xml:space="preserve"> (0..maxUL-TCI-1-r17)</w:t>
      </w:r>
    </w:p>
    <w:p w14:paraId="644B374A" w14:textId="77777777" w:rsidR="007B122D" w:rsidRPr="00FA0D37" w:rsidRDefault="007B122D" w:rsidP="00FA0D37">
      <w:pPr>
        <w:pStyle w:val="PL"/>
      </w:pPr>
    </w:p>
    <w:p w14:paraId="3494EEDF" w14:textId="77777777" w:rsidR="007B122D" w:rsidRPr="00FA0D37" w:rsidRDefault="007B122D" w:rsidP="00FA0D37">
      <w:pPr>
        <w:pStyle w:val="PL"/>
        <w:rPr>
          <w:color w:val="808080"/>
        </w:rPr>
      </w:pPr>
      <w:r w:rsidRPr="00FA0D37">
        <w:rPr>
          <w:color w:val="808080"/>
        </w:rPr>
        <w:t>-- TAG-TCI-UL-STATEID-STOP</w:t>
      </w:r>
    </w:p>
    <w:p w14:paraId="509CA472" w14:textId="77777777" w:rsidR="007B122D" w:rsidRPr="00FA0D37" w:rsidRDefault="007B122D" w:rsidP="00FA0D37">
      <w:pPr>
        <w:pStyle w:val="PL"/>
        <w:rPr>
          <w:color w:val="808080"/>
        </w:rPr>
      </w:pPr>
      <w:r w:rsidRPr="00FA0D37">
        <w:rPr>
          <w:color w:val="808080"/>
        </w:rPr>
        <w:t>-- ASN1STOP</w:t>
      </w:r>
    </w:p>
    <w:p w14:paraId="3E0CD03B" w14:textId="77777777" w:rsidR="007B122D" w:rsidRPr="00FA0D37" w:rsidRDefault="007B122D" w:rsidP="00394471"/>
    <w:p w14:paraId="19CF588F" w14:textId="77777777" w:rsidR="00394471" w:rsidRPr="00FA0D37" w:rsidRDefault="00394471" w:rsidP="00394471">
      <w:pPr>
        <w:pStyle w:val="4"/>
        <w:rPr>
          <w:i/>
          <w:noProof/>
        </w:rPr>
      </w:pPr>
      <w:bookmarkStart w:id="1460" w:name="_Toc60777410"/>
      <w:bookmarkStart w:id="1461" w:name="_Toc146781500"/>
      <w:r w:rsidRPr="00FA0D37">
        <w:t>–</w:t>
      </w:r>
      <w:r w:rsidRPr="00FA0D37">
        <w:tab/>
      </w:r>
      <w:r w:rsidRPr="00FA0D37">
        <w:rPr>
          <w:i/>
        </w:rPr>
        <w:t>TDD-UL-DL-ConfigCommon</w:t>
      </w:r>
      <w:bookmarkEnd w:id="1460"/>
      <w:bookmarkEnd w:id="1461"/>
    </w:p>
    <w:p w14:paraId="42852CC2" w14:textId="77777777" w:rsidR="00394471" w:rsidRPr="00FA0D37" w:rsidRDefault="00394471" w:rsidP="00394471">
      <w:r w:rsidRPr="00FA0D37">
        <w:t xml:space="preserve">The IE </w:t>
      </w:r>
      <w:r w:rsidRPr="00FA0D37">
        <w:rPr>
          <w:i/>
        </w:rPr>
        <w:t xml:space="preserve">TDD-UL-DL-ConfigCommon </w:t>
      </w:r>
      <w:r w:rsidRPr="00FA0D37">
        <w:t>determines the cell specific Uplink/Downlink TDD configuration.</w:t>
      </w:r>
    </w:p>
    <w:p w14:paraId="0A12DAE8" w14:textId="77777777" w:rsidR="00394471" w:rsidRPr="00FA0D37" w:rsidRDefault="00394471" w:rsidP="00394471">
      <w:pPr>
        <w:pStyle w:val="TH"/>
      </w:pPr>
      <w:r w:rsidRPr="00FA0D37">
        <w:rPr>
          <w:i/>
        </w:rPr>
        <w:t xml:space="preserve">TDD-UL-DL-ConfigCommon </w:t>
      </w:r>
      <w:r w:rsidRPr="00FA0D37">
        <w:t>information element</w:t>
      </w:r>
    </w:p>
    <w:p w14:paraId="1064B440" w14:textId="77777777" w:rsidR="00394471" w:rsidRPr="00FA0D37" w:rsidRDefault="00394471" w:rsidP="00FA0D37">
      <w:pPr>
        <w:pStyle w:val="PL"/>
        <w:rPr>
          <w:color w:val="808080"/>
        </w:rPr>
      </w:pPr>
      <w:r w:rsidRPr="00FA0D37">
        <w:rPr>
          <w:color w:val="808080"/>
        </w:rPr>
        <w:t>-- ASN1START</w:t>
      </w:r>
    </w:p>
    <w:p w14:paraId="0263B70C" w14:textId="77777777" w:rsidR="00394471" w:rsidRPr="00FA0D37" w:rsidRDefault="00394471" w:rsidP="00FA0D37">
      <w:pPr>
        <w:pStyle w:val="PL"/>
        <w:rPr>
          <w:color w:val="808080"/>
        </w:rPr>
      </w:pPr>
      <w:r w:rsidRPr="00FA0D37">
        <w:rPr>
          <w:color w:val="808080"/>
        </w:rPr>
        <w:t>-- TAG-TDD-UL-DL-CONFIGCOMMON-START</w:t>
      </w:r>
    </w:p>
    <w:p w14:paraId="4671F8E3" w14:textId="77777777" w:rsidR="00394471" w:rsidRPr="00FA0D37" w:rsidRDefault="00394471" w:rsidP="00FA0D37">
      <w:pPr>
        <w:pStyle w:val="PL"/>
      </w:pPr>
    </w:p>
    <w:p w14:paraId="1D65F8C8" w14:textId="77777777" w:rsidR="00394471" w:rsidRPr="00FA0D37" w:rsidRDefault="00394471" w:rsidP="00FA0D37">
      <w:pPr>
        <w:pStyle w:val="PL"/>
      </w:pPr>
      <w:r w:rsidRPr="00FA0D37">
        <w:t xml:space="preserve">TDD-UL-DL-ConfigCommon ::=          </w:t>
      </w:r>
      <w:r w:rsidRPr="00FA0D37">
        <w:rPr>
          <w:color w:val="993366"/>
        </w:rPr>
        <w:t>SEQUENCE</w:t>
      </w:r>
      <w:r w:rsidRPr="00FA0D37">
        <w:t xml:space="preserve"> {</w:t>
      </w:r>
    </w:p>
    <w:p w14:paraId="6C05D2BE" w14:textId="77777777" w:rsidR="00394471" w:rsidRPr="00FA0D37" w:rsidRDefault="00394471" w:rsidP="00FA0D37">
      <w:pPr>
        <w:pStyle w:val="PL"/>
      </w:pPr>
      <w:r w:rsidRPr="00FA0D37">
        <w:t xml:space="preserve">    referenceSubcarrierSpacing          SubcarrierSpacing,</w:t>
      </w:r>
    </w:p>
    <w:p w14:paraId="3672A4CE" w14:textId="77777777" w:rsidR="00394471" w:rsidRPr="00FA0D37" w:rsidRDefault="00394471" w:rsidP="00FA0D37">
      <w:pPr>
        <w:pStyle w:val="PL"/>
      </w:pPr>
      <w:r w:rsidRPr="00FA0D37">
        <w:t xml:space="preserve">    pattern1                            TDD-UL-DL-Pattern,</w:t>
      </w:r>
    </w:p>
    <w:p w14:paraId="67294E52" w14:textId="77777777" w:rsidR="00394471" w:rsidRPr="00FA0D37" w:rsidRDefault="00394471" w:rsidP="00FA0D37">
      <w:pPr>
        <w:pStyle w:val="PL"/>
        <w:rPr>
          <w:color w:val="808080"/>
        </w:rPr>
      </w:pPr>
      <w:r w:rsidRPr="00FA0D37">
        <w:t xml:space="preserve">    pattern2                            TDD-UL-DL-Pattern                                                       </w:t>
      </w:r>
      <w:r w:rsidRPr="00FA0D37">
        <w:rPr>
          <w:color w:val="993366"/>
        </w:rPr>
        <w:t>OPTIONAL</w:t>
      </w:r>
      <w:r w:rsidRPr="00FA0D37">
        <w:t xml:space="preserve">, </w:t>
      </w:r>
      <w:r w:rsidRPr="00FA0D37">
        <w:rPr>
          <w:color w:val="808080"/>
        </w:rPr>
        <w:t>-- Need R</w:t>
      </w:r>
    </w:p>
    <w:p w14:paraId="36AE97AD" w14:textId="77777777" w:rsidR="00394471" w:rsidRPr="00FA0D37" w:rsidRDefault="00394471" w:rsidP="00FA0D37">
      <w:pPr>
        <w:pStyle w:val="PL"/>
      </w:pPr>
      <w:r w:rsidRPr="00FA0D37">
        <w:t xml:space="preserve">    ...</w:t>
      </w:r>
    </w:p>
    <w:p w14:paraId="62FD934C" w14:textId="77777777" w:rsidR="00394471" w:rsidRPr="00FA0D37" w:rsidRDefault="00394471" w:rsidP="00FA0D37">
      <w:pPr>
        <w:pStyle w:val="PL"/>
      </w:pPr>
      <w:r w:rsidRPr="00FA0D37">
        <w:t>}</w:t>
      </w:r>
    </w:p>
    <w:p w14:paraId="3508C771" w14:textId="77777777" w:rsidR="00394471" w:rsidRPr="00FA0D37" w:rsidRDefault="00394471" w:rsidP="00FA0D37">
      <w:pPr>
        <w:pStyle w:val="PL"/>
      </w:pPr>
    </w:p>
    <w:p w14:paraId="2CD8050E" w14:textId="77777777" w:rsidR="00394471" w:rsidRPr="00FA0D37" w:rsidRDefault="00394471" w:rsidP="00FA0D37">
      <w:pPr>
        <w:pStyle w:val="PL"/>
      </w:pPr>
      <w:r w:rsidRPr="00FA0D37">
        <w:t xml:space="preserve">TDD-UL-DL-Pattern ::=               </w:t>
      </w:r>
      <w:r w:rsidRPr="00FA0D37">
        <w:rPr>
          <w:color w:val="993366"/>
        </w:rPr>
        <w:t>SEQUENCE</w:t>
      </w:r>
      <w:r w:rsidRPr="00FA0D37">
        <w:t xml:space="preserve"> {</w:t>
      </w:r>
    </w:p>
    <w:p w14:paraId="7646BD1A" w14:textId="77777777" w:rsidR="00394471" w:rsidRPr="00FA0D37" w:rsidRDefault="00394471" w:rsidP="00FA0D37">
      <w:pPr>
        <w:pStyle w:val="PL"/>
      </w:pPr>
      <w:r w:rsidRPr="00FA0D37">
        <w:t xml:space="preserve">    dl-UL-TransmissionPeriodicity       </w:t>
      </w:r>
      <w:r w:rsidRPr="00FA0D37">
        <w:rPr>
          <w:color w:val="993366"/>
        </w:rPr>
        <w:t>ENUMERATED</w:t>
      </w:r>
      <w:r w:rsidRPr="00FA0D37">
        <w:t xml:space="preserve"> {ms0p5, ms0p625, ms1, ms1p25, ms2, ms2p5, ms5, ms10},</w:t>
      </w:r>
    </w:p>
    <w:p w14:paraId="12D1988B" w14:textId="77777777" w:rsidR="00394471" w:rsidRPr="00FA0D37" w:rsidRDefault="00394471" w:rsidP="00FA0D37">
      <w:pPr>
        <w:pStyle w:val="PL"/>
      </w:pPr>
      <w:r w:rsidRPr="00FA0D37">
        <w:t xml:space="preserve">    nrofDownlinkSlots                   </w:t>
      </w:r>
      <w:r w:rsidRPr="00FA0D37">
        <w:rPr>
          <w:color w:val="993366"/>
        </w:rPr>
        <w:t>INTEGER</w:t>
      </w:r>
      <w:r w:rsidRPr="00FA0D37">
        <w:t xml:space="preserve"> (0..maxNrofSlots),</w:t>
      </w:r>
    </w:p>
    <w:p w14:paraId="0DD5B6FC" w14:textId="77777777" w:rsidR="00394471" w:rsidRPr="00FA0D37" w:rsidRDefault="00394471" w:rsidP="00FA0D37">
      <w:pPr>
        <w:pStyle w:val="PL"/>
      </w:pPr>
      <w:r w:rsidRPr="00FA0D37">
        <w:t xml:space="preserve">    nrofDownlinkSymbols                 </w:t>
      </w:r>
      <w:r w:rsidRPr="00FA0D37">
        <w:rPr>
          <w:color w:val="993366"/>
        </w:rPr>
        <w:t>INTEGER</w:t>
      </w:r>
      <w:r w:rsidRPr="00FA0D37">
        <w:t xml:space="preserve"> (0..maxNrofSymbols-1),</w:t>
      </w:r>
    </w:p>
    <w:p w14:paraId="5AD994A6" w14:textId="77777777" w:rsidR="00394471" w:rsidRPr="00FA0D37" w:rsidRDefault="00394471" w:rsidP="00FA0D37">
      <w:pPr>
        <w:pStyle w:val="PL"/>
      </w:pPr>
      <w:r w:rsidRPr="00FA0D37">
        <w:t xml:space="preserve">    nrofUplinkSlots                     </w:t>
      </w:r>
      <w:r w:rsidRPr="00FA0D37">
        <w:rPr>
          <w:color w:val="993366"/>
        </w:rPr>
        <w:t>INTEGER</w:t>
      </w:r>
      <w:r w:rsidRPr="00FA0D37">
        <w:t xml:space="preserve"> (0..maxNrofSlots),</w:t>
      </w:r>
    </w:p>
    <w:p w14:paraId="6828797F" w14:textId="77777777" w:rsidR="00394471" w:rsidRPr="00FA0D37" w:rsidRDefault="00394471" w:rsidP="00FA0D37">
      <w:pPr>
        <w:pStyle w:val="PL"/>
      </w:pPr>
      <w:r w:rsidRPr="00FA0D37">
        <w:t xml:space="preserve">    nrofUplinkSymbols                   </w:t>
      </w:r>
      <w:r w:rsidRPr="00FA0D37">
        <w:rPr>
          <w:color w:val="993366"/>
        </w:rPr>
        <w:t>INTEGER</w:t>
      </w:r>
      <w:r w:rsidRPr="00FA0D37">
        <w:t xml:space="preserve"> (0..maxNrofSymbols-1),</w:t>
      </w:r>
    </w:p>
    <w:p w14:paraId="73C9EB21" w14:textId="77777777" w:rsidR="00394471" w:rsidRPr="00FA0D37" w:rsidRDefault="00394471" w:rsidP="00FA0D37">
      <w:pPr>
        <w:pStyle w:val="PL"/>
      </w:pPr>
      <w:r w:rsidRPr="00FA0D37">
        <w:t xml:space="preserve">    ...,</w:t>
      </w:r>
    </w:p>
    <w:p w14:paraId="244E43B5" w14:textId="77777777" w:rsidR="00394471" w:rsidRPr="00FA0D37" w:rsidRDefault="00394471" w:rsidP="00FA0D37">
      <w:pPr>
        <w:pStyle w:val="PL"/>
      </w:pPr>
      <w:r w:rsidRPr="00FA0D37">
        <w:t xml:space="preserve">    [[</w:t>
      </w:r>
    </w:p>
    <w:p w14:paraId="69882DD3" w14:textId="77777777" w:rsidR="00394471" w:rsidRPr="00FA0D37" w:rsidRDefault="00394471" w:rsidP="00FA0D37">
      <w:pPr>
        <w:pStyle w:val="PL"/>
        <w:rPr>
          <w:color w:val="808080"/>
        </w:rPr>
      </w:pPr>
      <w:r w:rsidRPr="00FA0D37">
        <w:t xml:space="preserve">    dl-UL-TransmissionPeriodicity-v1530     </w:t>
      </w:r>
      <w:r w:rsidRPr="00FA0D37">
        <w:rPr>
          <w:color w:val="993366"/>
        </w:rPr>
        <w:t>ENUMERATED</w:t>
      </w:r>
      <w:r w:rsidRPr="00FA0D37">
        <w:t xml:space="preserve"> {ms3, ms4}                                               </w:t>
      </w:r>
      <w:r w:rsidRPr="00FA0D37">
        <w:rPr>
          <w:color w:val="993366"/>
        </w:rPr>
        <w:t>OPTIONAL</w:t>
      </w:r>
      <w:r w:rsidRPr="00FA0D37">
        <w:t xml:space="preserve"> </w:t>
      </w:r>
      <w:r w:rsidRPr="00FA0D37">
        <w:rPr>
          <w:color w:val="808080"/>
        </w:rPr>
        <w:t>-- Need R</w:t>
      </w:r>
    </w:p>
    <w:p w14:paraId="2852E4E6" w14:textId="77777777" w:rsidR="00394471" w:rsidRPr="00FA0D37" w:rsidRDefault="00394471" w:rsidP="00FA0D37">
      <w:pPr>
        <w:pStyle w:val="PL"/>
      </w:pPr>
      <w:r w:rsidRPr="00FA0D37">
        <w:t xml:space="preserve">    ]]</w:t>
      </w:r>
    </w:p>
    <w:p w14:paraId="0F241EF4" w14:textId="77777777" w:rsidR="00394471" w:rsidRPr="00FA0D37" w:rsidRDefault="00394471" w:rsidP="00FA0D37">
      <w:pPr>
        <w:pStyle w:val="PL"/>
      </w:pPr>
      <w:r w:rsidRPr="00FA0D37">
        <w:t>}</w:t>
      </w:r>
    </w:p>
    <w:p w14:paraId="77C4307B" w14:textId="77777777" w:rsidR="00394471" w:rsidRPr="00FA0D37" w:rsidRDefault="00394471" w:rsidP="00FA0D37">
      <w:pPr>
        <w:pStyle w:val="PL"/>
      </w:pPr>
    </w:p>
    <w:p w14:paraId="3C84E794" w14:textId="77777777" w:rsidR="00394471" w:rsidRPr="00FA0D37" w:rsidRDefault="00394471" w:rsidP="00FA0D37">
      <w:pPr>
        <w:pStyle w:val="PL"/>
        <w:rPr>
          <w:color w:val="808080"/>
        </w:rPr>
      </w:pPr>
      <w:r w:rsidRPr="00FA0D37">
        <w:rPr>
          <w:color w:val="808080"/>
        </w:rPr>
        <w:lastRenderedPageBreak/>
        <w:t>-- TAG-TDD-UL-DL-CONFIGCOMMON-STOP</w:t>
      </w:r>
    </w:p>
    <w:p w14:paraId="51B4ED36" w14:textId="77777777" w:rsidR="00394471" w:rsidRPr="00FA0D37" w:rsidRDefault="00394471" w:rsidP="00FA0D37">
      <w:pPr>
        <w:pStyle w:val="PL"/>
        <w:rPr>
          <w:color w:val="808080"/>
        </w:rPr>
      </w:pPr>
      <w:r w:rsidRPr="00FA0D37">
        <w:rPr>
          <w:color w:val="808080"/>
        </w:rPr>
        <w:t>-- ASN1STOP</w:t>
      </w:r>
    </w:p>
    <w:p w14:paraId="24FCFF4B"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FA0D37" w:rsidRDefault="00394471" w:rsidP="00964CC4">
            <w:pPr>
              <w:pStyle w:val="TAH"/>
              <w:rPr>
                <w:rFonts w:eastAsia="MS Mincho"/>
                <w:szCs w:val="22"/>
                <w:lang w:eastAsia="sv-SE"/>
              </w:rPr>
            </w:pPr>
            <w:r w:rsidRPr="00FA0D37">
              <w:rPr>
                <w:rFonts w:eastAsia="MS Mincho"/>
                <w:i/>
                <w:szCs w:val="22"/>
                <w:lang w:eastAsia="sv-SE"/>
              </w:rPr>
              <w:t xml:space="preserve">TDD-UL-DL-ConfigCommon </w:t>
            </w:r>
            <w:r w:rsidRPr="00FA0D37">
              <w:rPr>
                <w:rFonts w:eastAsia="MS Mincho"/>
                <w:szCs w:val="22"/>
                <w:lang w:eastAsia="sv-SE"/>
              </w:rPr>
              <w:t>field descriptions</w:t>
            </w:r>
          </w:p>
        </w:tc>
      </w:tr>
      <w:tr w:rsidR="00394471" w:rsidRPr="00FA0D37"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referenceSubcarrierSpacing</w:t>
            </w:r>
          </w:p>
          <w:p w14:paraId="1780AB92" w14:textId="77777777" w:rsidR="00F747EB" w:rsidRPr="00FA0D37" w:rsidRDefault="00394471" w:rsidP="00964CC4">
            <w:pPr>
              <w:pStyle w:val="TAL"/>
              <w:rPr>
                <w:rFonts w:eastAsia="MS Mincho"/>
                <w:szCs w:val="22"/>
                <w:lang w:eastAsia="sv-SE"/>
              </w:rPr>
            </w:pPr>
            <w:r w:rsidRPr="00FA0D37">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FA0D37" w:rsidRDefault="00727F8C" w:rsidP="00727F8C">
            <w:pPr>
              <w:pStyle w:val="TAL"/>
              <w:rPr>
                <w:rFonts w:eastAsia="MS Mincho"/>
                <w:szCs w:val="22"/>
                <w:lang w:eastAsia="sv-SE"/>
              </w:rPr>
            </w:pPr>
            <w:r w:rsidRPr="00FA0D37">
              <w:rPr>
                <w:rFonts w:eastAsia="MS Mincho"/>
                <w:szCs w:val="22"/>
                <w:lang w:eastAsia="sv-SE"/>
              </w:rPr>
              <w:t>Only the following values are applicable depending on the used frequency:</w:t>
            </w:r>
          </w:p>
          <w:p w14:paraId="7D5A97EB" w14:textId="77777777" w:rsidR="00727F8C" w:rsidRPr="00FA0D37" w:rsidRDefault="00727F8C" w:rsidP="00727F8C">
            <w:pPr>
              <w:pStyle w:val="TAL"/>
              <w:rPr>
                <w:rFonts w:eastAsia="MS Mincho"/>
                <w:szCs w:val="22"/>
                <w:lang w:eastAsia="sv-SE"/>
              </w:rPr>
            </w:pPr>
            <w:r w:rsidRPr="00FA0D37">
              <w:rPr>
                <w:rFonts w:eastAsia="MS Mincho"/>
                <w:szCs w:val="22"/>
                <w:lang w:eastAsia="sv-SE"/>
              </w:rPr>
              <w:t>FR1:    15, 30, or 60 kHz</w:t>
            </w:r>
          </w:p>
          <w:p w14:paraId="178305D7" w14:textId="24122390" w:rsidR="00727F8C" w:rsidRPr="00FA0D37" w:rsidRDefault="00727F8C" w:rsidP="00727F8C">
            <w:pPr>
              <w:pStyle w:val="TAL"/>
              <w:rPr>
                <w:rFonts w:eastAsia="MS Mincho"/>
                <w:szCs w:val="22"/>
                <w:lang w:eastAsia="sv-SE"/>
              </w:rPr>
            </w:pPr>
            <w:r w:rsidRPr="00FA0D37">
              <w:rPr>
                <w:rFonts w:eastAsia="MS Mincho"/>
                <w:szCs w:val="22"/>
                <w:lang w:eastAsia="sv-SE"/>
              </w:rPr>
              <w:t>FR2-1:  60 or 120 kHz</w:t>
            </w:r>
          </w:p>
          <w:p w14:paraId="1883B923" w14:textId="1F8C6237" w:rsidR="00727F8C" w:rsidRPr="00FA0D37" w:rsidRDefault="00727F8C" w:rsidP="00727F8C">
            <w:pPr>
              <w:pStyle w:val="TAL"/>
              <w:rPr>
                <w:rFonts w:eastAsia="MS Mincho"/>
                <w:szCs w:val="22"/>
                <w:lang w:eastAsia="sv-SE"/>
              </w:rPr>
            </w:pPr>
            <w:r w:rsidRPr="00FA0D37">
              <w:rPr>
                <w:rFonts w:eastAsia="MS Mincho"/>
                <w:szCs w:val="22"/>
                <w:lang w:eastAsia="sv-SE"/>
              </w:rPr>
              <w:t>FR2-2:  120, 480, or 960 kHz</w:t>
            </w:r>
          </w:p>
          <w:p w14:paraId="19A859F4" w14:textId="77777777" w:rsidR="00727F8C" w:rsidRPr="00FA0D37" w:rsidRDefault="00727F8C" w:rsidP="00964CC4">
            <w:pPr>
              <w:pStyle w:val="TAL"/>
              <w:rPr>
                <w:rFonts w:eastAsia="MS Mincho"/>
                <w:szCs w:val="22"/>
                <w:lang w:eastAsia="sv-SE"/>
              </w:rPr>
            </w:pPr>
          </w:p>
          <w:p w14:paraId="47A1913D" w14:textId="02372C3A" w:rsidR="00394471" w:rsidRPr="00FA0D37" w:rsidRDefault="00394471" w:rsidP="00964CC4">
            <w:pPr>
              <w:pStyle w:val="TAL"/>
              <w:rPr>
                <w:rFonts w:eastAsia="MS Mincho"/>
                <w:szCs w:val="22"/>
                <w:lang w:eastAsia="sv-SE"/>
              </w:rPr>
            </w:pPr>
            <w:r w:rsidRPr="00FA0D37">
              <w:rPr>
                <w:rFonts w:eastAsia="MS Mincho"/>
                <w:szCs w:val="22"/>
                <w:lang w:eastAsia="sv-SE"/>
              </w:rPr>
              <w:t xml:space="preserve">The network configures a not larger than any SCS of configured BWPs for the serving cell. </w:t>
            </w:r>
            <w:r w:rsidRPr="00FA0D37">
              <w:rPr>
                <w:rFonts w:eastAsia="宋体"/>
                <w:lang w:eastAsia="zh-CN"/>
              </w:rPr>
              <w:t xml:space="preserve">The network or </w:t>
            </w:r>
            <w:r w:rsidRPr="00FA0D37">
              <w:rPr>
                <w:rFonts w:eastAsia="MS Mincho" w:cs="Arial"/>
                <w:i/>
                <w:szCs w:val="22"/>
              </w:rPr>
              <w:t>SL-PreconfigGeneral</w:t>
            </w:r>
            <w:r w:rsidRPr="00FA0D37">
              <w:rPr>
                <w:rFonts w:eastAsia="宋体" w:cs="Arial"/>
                <w:szCs w:val="22"/>
                <w:lang w:eastAsia="zh-CN"/>
              </w:rPr>
              <w:t xml:space="preserve"> </w:t>
            </w:r>
            <w:r w:rsidRPr="00FA0D37">
              <w:rPr>
                <w:rFonts w:eastAsia="宋体"/>
                <w:lang w:eastAsia="zh-CN"/>
              </w:rPr>
              <w:t>configures a not larger than the SCS of (pre-)configured SL BWP.</w:t>
            </w:r>
            <w:r w:rsidRPr="00FA0D37">
              <w:rPr>
                <w:rFonts w:eastAsia="MS Mincho"/>
                <w:szCs w:val="22"/>
                <w:lang w:eastAsia="sv-SE"/>
              </w:rPr>
              <w:t>See TS 38.213 [13], clause 11.1.</w:t>
            </w:r>
          </w:p>
        </w:tc>
      </w:tr>
    </w:tbl>
    <w:p w14:paraId="68C30665"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FA0D37" w:rsidRDefault="00394471" w:rsidP="00964CC4">
            <w:pPr>
              <w:pStyle w:val="TAH"/>
              <w:rPr>
                <w:rFonts w:eastAsia="MS Mincho"/>
                <w:szCs w:val="22"/>
                <w:lang w:eastAsia="sv-SE"/>
              </w:rPr>
            </w:pPr>
            <w:r w:rsidRPr="00FA0D37">
              <w:rPr>
                <w:rFonts w:eastAsia="MS Mincho"/>
                <w:i/>
                <w:szCs w:val="22"/>
                <w:lang w:eastAsia="sv-SE"/>
              </w:rPr>
              <w:t xml:space="preserve">TDD-UL-DL-Pattern </w:t>
            </w:r>
            <w:r w:rsidRPr="00FA0D37">
              <w:rPr>
                <w:rFonts w:eastAsia="MS Mincho"/>
                <w:szCs w:val="22"/>
                <w:lang w:eastAsia="sv-SE"/>
              </w:rPr>
              <w:t>field descriptions</w:t>
            </w:r>
          </w:p>
        </w:tc>
      </w:tr>
      <w:tr w:rsidR="005C7FF4" w:rsidRPr="00FA0D37"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dl-UL-TransmissionPeriodicity</w:t>
            </w:r>
          </w:p>
          <w:p w14:paraId="51BB5BB9" w14:textId="77777777" w:rsidR="00394471" w:rsidRPr="00FA0D37" w:rsidRDefault="00394471" w:rsidP="00964CC4">
            <w:pPr>
              <w:pStyle w:val="TAL"/>
              <w:rPr>
                <w:rFonts w:eastAsia="MS Mincho"/>
                <w:szCs w:val="22"/>
                <w:lang w:eastAsia="sv-SE"/>
              </w:rPr>
            </w:pPr>
            <w:r w:rsidRPr="00FA0D37">
              <w:rPr>
                <w:rFonts w:eastAsia="MS Mincho"/>
                <w:szCs w:val="22"/>
                <w:lang w:eastAsia="sv-SE"/>
              </w:rPr>
              <w:t>Periodicity of the DL-UL pattern, see TS 38.213 [13], clause 11.1.</w:t>
            </w:r>
            <w:r w:rsidRPr="00FA0D37">
              <w:rPr>
                <w:lang w:eastAsia="sv-SE"/>
              </w:rPr>
              <w:t xml:space="preserve"> </w:t>
            </w:r>
            <w:r w:rsidRPr="00FA0D37">
              <w:rPr>
                <w:rFonts w:eastAsia="MS Mincho"/>
                <w:szCs w:val="22"/>
                <w:lang w:eastAsia="sv-SE"/>
              </w:rPr>
              <w:t xml:space="preserve">If the </w:t>
            </w:r>
            <w:r w:rsidRPr="00FA0D37">
              <w:rPr>
                <w:rFonts w:eastAsia="MS Mincho"/>
                <w:i/>
                <w:szCs w:val="22"/>
                <w:lang w:eastAsia="sv-SE"/>
              </w:rPr>
              <w:t>dl-UL-TransmissionPeriodicity-v1530</w:t>
            </w:r>
            <w:r w:rsidRPr="00FA0D37">
              <w:rPr>
                <w:rFonts w:eastAsia="MS Mincho"/>
                <w:szCs w:val="22"/>
                <w:lang w:eastAsia="sv-SE"/>
              </w:rPr>
              <w:t xml:space="preserve"> is signalled, UE shall ignore the </w:t>
            </w:r>
            <w:r w:rsidRPr="00FA0D37">
              <w:rPr>
                <w:rFonts w:eastAsia="MS Mincho"/>
                <w:i/>
                <w:szCs w:val="22"/>
                <w:lang w:eastAsia="sv-SE"/>
              </w:rPr>
              <w:t>dl-UL-TransmissionPeriodicity</w:t>
            </w:r>
            <w:r w:rsidRPr="00FA0D37">
              <w:rPr>
                <w:rFonts w:eastAsia="MS Mincho"/>
                <w:szCs w:val="22"/>
                <w:lang w:eastAsia="sv-SE"/>
              </w:rPr>
              <w:t xml:space="preserve"> (without suffix).</w:t>
            </w:r>
          </w:p>
        </w:tc>
      </w:tr>
      <w:tr w:rsidR="005C7FF4" w:rsidRPr="00FA0D37"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nrofDownlinkSlots</w:t>
            </w:r>
          </w:p>
          <w:p w14:paraId="3CA6F9B0" w14:textId="6FA2A2DF" w:rsidR="00394471" w:rsidRPr="00FA0D37" w:rsidRDefault="00394471" w:rsidP="00964CC4">
            <w:pPr>
              <w:pStyle w:val="TAL"/>
              <w:rPr>
                <w:rFonts w:eastAsia="MS Mincho"/>
                <w:szCs w:val="22"/>
                <w:lang w:eastAsia="sv-SE"/>
              </w:rPr>
            </w:pPr>
            <w:r w:rsidRPr="00FA0D37">
              <w:rPr>
                <w:rFonts w:eastAsia="MS Mincho"/>
                <w:szCs w:val="22"/>
                <w:lang w:eastAsia="sv-SE"/>
              </w:rPr>
              <w:t xml:space="preserve">Number of consecutive full DL slots at the beginning of each DL-UL pattern, see TS 38.213 [13], clause 11.1. In this release, the maximum value for this field is </w:t>
            </w:r>
            <w:r w:rsidR="00863CE8" w:rsidRPr="00FA0D37">
              <w:rPr>
                <w:rFonts w:eastAsia="MS Mincho"/>
                <w:szCs w:val="22"/>
                <w:lang w:eastAsia="sv-SE"/>
              </w:rPr>
              <w:t>320</w:t>
            </w:r>
            <w:r w:rsidRPr="00FA0D37">
              <w:rPr>
                <w:rFonts w:eastAsia="MS Mincho"/>
                <w:szCs w:val="22"/>
                <w:lang w:eastAsia="sv-SE"/>
              </w:rPr>
              <w:t>.</w:t>
            </w:r>
          </w:p>
        </w:tc>
      </w:tr>
      <w:tr w:rsidR="005C7FF4" w:rsidRPr="00FA0D37"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nrofDownlinkSymbols</w:t>
            </w:r>
          </w:p>
          <w:p w14:paraId="67307354"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Number of consecutive DL symbols in the beginning of the slot following the last full DL slot (as derived from </w:t>
            </w:r>
            <w:r w:rsidRPr="00FA0D37">
              <w:rPr>
                <w:rFonts w:eastAsia="MS Mincho"/>
                <w:i/>
                <w:szCs w:val="22"/>
                <w:lang w:eastAsia="sv-SE"/>
              </w:rPr>
              <w:t>nrofDownlinkSlots</w:t>
            </w:r>
            <w:r w:rsidRPr="00FA0D37">
              <w:rPr>
                <w:rFonts w:eastAsia="MS Mincho"/>
                <w:szCs w:val="22"/>
                <w:lang w:eastAsia="sv-SE"/>
              </w:rPr>
              <w:t>). The value 0 indicates that there is no partial-downlink slot. (see TS 38.213 [13], clause 11.1).</w:t>
            </w:r>
          </w:p>
        </w:tc>
      </w:tr>
      <w:tr w:rsidR="005C7FF4" w:rsidRPr="00FA0D37"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nrofUplinkSlots</w:t>
            </w:r>
          </w:p>
          <w:p w14:paraId="1FC29D47" w14:textId="4D4F2DE9" w:rsidR="00394471" w:rsidRPr="00FA0D37" w:rsidRDefault="00394471" w:rsidP="00964CC4">
            <w:pPr>
              <w:pStyle w:val="TAL"/>
              <w:rPr>
                <w:rFonts w:eastAsia="MS Mincho"/>
                <w:szCs w:val="22"/>
                <w:lang w:eastAsia="sv-SE"/>
              </w:rPr>
            </w:pPr>
            <w:r w:rsidRPr="00FA0D37">
              <w:rPr>
                <w:rFonts w:eastAsia="MS Mincho"/>
                <w:szCs w:val="22"/>
                <w:lang w:eastAsia="sv-SE"/>
              </w:rPr>
              <w:t xml:space="preserve">Number of consecutive full UL slots at the end of each DL-UL pattern, see TS 38.213 [13], clause 11.1. </w:t>
            </w:r>
            <w:r w:rsidRPr="00FA0D37">
              <w:rPr>
                <w:szCs w:val="22"/>
                <w:lang w:eastAsia="zh-CN"/>
              </w:rPr>
              <w:t xml:space="preserve">In this release, the maximum value for this field is </w:t>
            </w:r>
            <w:r w:rsidR="00863CE8" w:rsidRPr="00FA0D37">
              <w:rPr>
                <w:szCs w:val="22"/>
                <w:lang w:eastAsia="zh-CN"/>
              </w:rPr>
              <w:t>320</w:t>
            </w:r>
            <w:r w:rsidRPr="00FA0D37">
              <w:rPr>
                <w:szCs w:val="22"/>
                <w:lang w:eastAsia="zh-CN"/>
              </w:rPr>
              <w:t>.</w:t>
            </w:r>
          </w:p>
        </w:tc>
      </w:tr>
      <w:tr w:rsidR="00394471" w:rsidRPr="00FA0D37"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nrofUplinkSymbols</w:t>
            </w:r>
          </w:p>
          <w:p w14:paraId="5004B5B4"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Number of consecutive UL symbols in the end of the slot preceding the first full UL slot (as derived from </w:t>
            </w:r>
            <w:r w:rsidRPr="00FA0D37">
              <w:rPr>
                <w:rFonts w:eastAsia="MS Mincho"/>
                <w:i/>
                <w:szCs w:val="22"/>
                <w:lang w:eastAsia="sv-SE"/>
              </w:rPr>
              <w:t>nrofUplinkSlots</w:t>
            </w:r>
            <w:r w:rsidRPr="00FA0D37">
              <w:rPr>
                <w:rFonts w:eastAsia="MS Mincho"/>
                <w:szCs w:val="22"/>
                <w:lang w:eastAsia="sv-SE"/>
              </w:rPr>
              <w:t>). The value 0 indicates that there is no partial-uplink slot. (see TS 38.213 [13], clause 11.1).</w:t>
            </w:r>
          </w:p>
        </w:tc>
      </w:tr>
    </w:tbl>
    <w:p w14:paraId="3BED1931" w14:textId="77777777" w:rsidR="00394471" w:rsidRPr="00FA0D37" w:rsidRDefault="00394471" w:rsidP="00394471">
      <w:pPr>
        <w:rPr>
          <w:rFonts w:eastAsia="MS Mincho"/>
        </w:rPr>
      </w:pPr>
    </w:p>
    <w:p w14:paraId="11EC315D" w14:textId="77777777" w:rsidR="00394471" w:rsidRPr="00FA0D37" w:rsidRDefault="00394471" w:rsidP="00394471">
      <w:pPr>
        <w:pStyle w:val="4"/>
        <w:rPr>
          <w:i/>
          <w:noProof/>
        </w:rPr>
      </w:pPr>
      <w:bookmarkStart w:id="1462" w:name="_Toc60777411"/>
      <w:bookmarkStart w:id="1463" w:name="_Toc146781501"/>
      <w:r w:rsidRPr="00FA0D37">
        <w:t>–</w:t>
      </w:r>
      <w:r w:rsidRPr="00FA0D37">
        <w:tab/>
      </w:r>
      <w:r w:rsidRPr="00FA0D37">
        <w:rPr>
          <w:i/>
        </w:rPr>
        <w:t>TDD-UL-DL-ConfigDedicated</w:t>
      </w:r>
      <w:bookmarkEnd w:id="1462"/>
      <w:bookmarkEnd w:id="1463"/>
    </w:p>
    <w:p w14:paraId="2D2E77FB" w14:textId="77777777" w:rsidR="00394471" w:rsidRPr="00FA0D37" w:rsidRDefault="00394471" w:rsidP="00394471">
      <w:r w:rsidRPr="00FA0D37">
        <w:t xml:space="preserve">The IE </w:t>
      </w:r>
      <w:r w:rsidRPr="00FA0D37">
        <w:rPr>
          <w:i/>
        </w:rPr>
        <w:t xml:space="preserve">TDD-UL-DL-ConfigDedicated </w:t>
      </w:r>
      <w:r w:rsidRPr="00FA0D37">
        <w:t>determines the UE-specific Uplink/Downlink TDD configuration.</w:t>
      </w:r>
    </w:p>
    <w:p w14:paraId="6ABD9EB0" w14:textId="77777777" w:rsidR="00394471" w:rsidRPr="00FA0D37" w:rsidRDefault="00394471" w:rsidP="00394471">
      <w:pPr>
        <w:pStyle w:val="TH"/>
      </w:pPr>
      <w:r w:rsidRPr="00FA0D37">
        <w:rPr>
          <w:i/>
        </w:rPr>
        <w:t xml:space="preserve">TDD-UL-DL-ConfigDedicated </w:t>
      </w:r>
      <w:r w:rsidRPr="00FA0D37">
        <w:t>information element</w:t>
      </w:r>
    </w:p>
    <w:p w14:paraId="077DC339" w14:textId="77777777" w:rsidR="00394471" w:rsidRPr="00FA0D37" w:rsidRDefault="00394471" w:rsidP="00FA0D37">
      <w:pPr>
        <w:pStyle w:val="PL"/>
        <w:rPr>
          <w:color w:val="808080"/>
        </w:rPr>
      </w:pPr>
      <w:r w:rsidRPr="00FA0D37">
        <w:rPr>
          <w:color w:val="808080"/>
        </w:rPr>
        <w:t>-- ASN1START</w:t>
      </w:r>
    </w:p>
    <w:p w14:paraId="7EB709CA" w14:textId="77777777" w:rsidR="00394471" w:rsidRPr="00FA0D37" w:rsidRDefault="00394471" w:rsidP="00FA0D37">
      <w:pPr>
        <w:pStyle w:val="PL"/>
        <w:rPr>
          <w:color w:val="808080"/>
        </w:rPr>
      </w:pPr>
      <w:r w:rsidRPr="00FA0D37">
        <w:rPr>
          <w:color w:val="808080"/>
        </w:rPr>
        <w:t>-- TAG-TDD-UL-DL-CONFIGDEDICATED-START</w:t>
      </w:r>
    </w:p>
    <w:p w14:paraId="4EFF9167" w14:textId="77777777" w:rsidR="00394471" w:rsidRPr="00FA0D37" w:rsidRDefault="00394471" w:rsidP="00FA0D37">
      <w:pPr>
        <w:pStyle w:val="PL"/>
      </w:pPr>
    </w:p>
    <w:p w14:paraId="3D7A028C" w14:textId="77777777" w:rsidR="00394471" w:rsidRPr="00FA0D37" w:rsidRDefault="00394471" w:rsidP="00FA0D37">
      <w:pPr>
        <w:pStyle w:val="PL"/>
      </w:pPr>
      <w:r w:rsidRPr="00FA0D37">
        <w:t xml:space="preserve">TDD-UL-DL-ConfigDedicated ::=       </w:t>
      </w:r>
      <w:r w:rsidRPr="00FA0D37">
        <w:rPr>
          <w:color w:val="993366"/>
        </w:rPr>
        <w:t>SEQUENCE</w:t>
      </w:r>
      <w:r w:rsidRPr="00FA0D37">
        <w:t xml:space="preserve"> {</w:t>
      </w:r>
    </w:p>
    <w:p w14:paraId="0CC07E71" w14:textId="77777777" w:rsidR="00394471" w:rsidRPr="00FA0D37" w:rsidRDefault="00394471" w:rsidP="00FA0D37">
      <w:pPr>
        <w:pStyle w:val="PL"/>
        <w:rPr>
          <w:color w:val="808080"/>
        </w:rPr>
      </w:pPr>
      <w:r w:rsidRPr="00FA0D37">
        <w:t xml:space="preserve">    slotSpecificConfigurationsToAddModList      </w:t>
      </w:r>
      <w:r w:rsidRPr="00FA0D37">
        <w:rPr>
          <w:color w:val="993366"/>
        </w:rPr>
        <w:t>SEQUENCE</w:t>
      </w:r>
      <w:r w:rsidRPr="00FA0D37">
        <w:t xml:space="preserve"> (</w:t>
      </w:r>
      <w:r w:rsidRPr="00FA0D37">
        <w:rPr>
          <w:color w:val="993366"/>
        </w:rPr>
        <w:t>SIZE</w:t>
      </w:r>
      <w:r w:rsidRPr="00FA0D37">
        <w:t xml:space="preserve"> (1..maxNrofSlots))</w:t>
      </w:r>
      <w:r w:rsidRPr="00FA0D37">
        <w:rPr>
          <w:color w:val="993366"/>
        </w:rPr>
        <w:t xml:space="preserve"> OF</w:t>
      </w:r>
      <w:r w:rsidRPr="00FA0D37">
        <w:t xml:space="preserve"> TDD-UL-DL-SlotConfig       </w:t>
      </w:r>
      <w:r w:rsidRPr="00FA0D37">
        <w:rPr>
          <w:color w:val="993366"/>
        </w:rPr>
        <w:t>OPTIONAL</w:t>
      </w:r>
      <w:r w:rsidRPr="00FA0D37">
        <w:t xml:space="preserve">, </w:t>
      </w:r>
      <w:r w:rsidRPr="00FA0D37">
        <w:rPr>
          <w:color w:val="808080"/>
        </w:rPr>
        <w:t>-- Need N</w:t>
      </w:r>
    </w:p>
    <w:p w14:paraId="4FBF76C3" w14:textId="77777777" w:rsidR="00394471" w:rsidRPr="00FA0D37" w:rsidRDefault="00394471" w:rsidP="00FA0D37">
      <w:pPr>
        <w:pStyle w:val="PL"/>
        <w:rPr>
          <w:color w:val="808080"/>
        </w:rPr>
      </w:pPr>
      <w:r w:rsidRPr="00FA0D37">
        <w:t xml:space="preserve">    slotSpecificConfigurationsToReleaseList     </w:t>
      </w:r>
      <w:r w:rsidRPr="00FA0D37">
        <w:rPr>
          <w:color w:val="993366"/>
        </w:rPr>
        <w:t>SEQUENCE</w:t>
      </w:r>
      <w:r w:rsidRPr="00FA0D37">
        <w:t xml:space="preserve"> (</w:t>
      </w:r>
      <w:r w:rsidRPr="00FA0D37">
        <w:rPr>
          <w:color w:val="993366"/>
        </w:rPr>
        <w:t>SIZE</w:t>
      </w:r>
      <w:r w:rsidRPr="00FA0D37">
        <w:t xml:space="preserve"> (1..maxNrofSlots))</w:t>
      </w:r>
      <w:r w:rsidRPr="00FA0D37">
        <w:rPr>
          <w:color w:val="993366"/>
        </w:rPr>
        <w:t xml:space="preserve"> OF</w:t>
      </w:r>
      <w:r w:rsidRPr="00FA0D37">
        <w:t xml:space="preserve"> TDD-UL-DL-SlotIndex        </w:t>
      </w:r>
      <w:r w:rsidRPr="00FA0D37">
        <w:rPr>
          <w:color w:val="993366"/>
        </w:rPr>
        <w:t>OPTIONAL</w:t>
      </w:r>
      <w:r w:rsidRPr="00FA0D37">
        <w:t xml:space="preserve">, </w:t>
      </w:r>
      <w:r w:rsidRPr="00FA0D37">
        <w:rPr>
          <w:color w:val="808080"/>
        </w:rPr>
        <w:t>-- Need N</w:t>
      </w:r>
    </w:p>
    <w:p w14:paraId="7F3BFC24" w14:textId="77777777" w:rsidR="00394471" w:rsidRPr="00FA0D37" w:rsidRDefault="00394471" w:rsidP="00FA0D37">
      <w:pPr>
        <w:pStyle w:val="PL"/>
      </w:pPr>
      <w:r w:rsidRPr="00FA0D37">
        <w:lastRenderedPageBreak/>
        <w:t xml:space="preserve">    ...</w:t>
      </w:r>
    </w:p>
    <w:p w14:paraId="3B44E119" w14:textId="77777777" w:rsidR="00394471" w:rsidRPr="00FA0D37" w:rsidRDefault="00394471" w:rsidP="00FA0D37">
      <w:pPr>
        <w:pStyle w:val="PL"/>
      </w:pPr>
      <w:r w:rsidRPr="00FA0D37">
        <w:t>}</w:t>
      </w:r>
    </w:p>
    <w:p w14:paraId="5C7C44D6" w14:textId="77777777" w:rsidR="00394471" w:rsidRPr="00FA0D37" w:rsidRDefault="00394471" w:rsidP="00FA0D37">
      <w:pPr>
        <w:pStyle w:val="PL"/>
      </w:pPr>
    </w:p>
    <w:p w14:paraId="2669ADE5" w14:textId="77777777" w:rsidR="00394471" w:rsidRPr="00FA0D37" w:rsidRDefault="00394471" w:rsidP="00FA0D37">
      <w:pPr>
        <w:pStyle w:val="PL"/>
      </w:pPr>
      <w:r w:rsidRPr="00FA0D37">
        <w:t xml:space="preserve">TDD-UL-DL-ConfigDedicated-IAB-MT-r16::=         </w:t>
      </w:r>
      <w:r w:rsidRPr="00FA0D37">
        <w:rPr>
          <w:color w:val="993366"/>
        </w:rPr>
        <w:t>SEQUENCE</w:t>
      </w:r>
      <w:r w:rsidRPr="00FA0D37">
        <w:t xml:space="preserve"> {</w:t>
      </w:r>
    </w:p>
    <w:p w14:paraId="3F40F01A" w14:textId="77777777" w:rsidR="00394471" w:rsidRPr="00FA0D37" w:rsidRDefault="00394471" w:rsidP="00FA0D37">
      <w:pPr>
        <w:pStyle w:val="PL"/>
        <w:rPr>
          <w:color w:val="808080"/>
        </w:rPr>
      </w:pPr>
      <w:r w:rsidRPr="00FA0D37">
        <w:t xml:space="preserve">    slotSpecificConfigurationsToAddModList-IAB-MT-r16  </w:t>
      </w:r>
      <w:r w:rsidRPr="00FA0D37">
        <w:rPr>
          <w:color w:val="993366"/>
        </w:rPr>
        <w:t>SEQUENCE</w:t>
      </w:r>
      <w:r w:rsidRPr="00FA0D37">
        <w:t xml:space="preserve"> (</w:t>
      </w:r>
      <w:r w:rsidRPr="00FA0D37">
        <w:rPr>
          <w:color w:val="993366"/>
        </w:rPr>
        <w:t>SIZE</w:t>
      </w:r>
      <w:r w:rsidRPr="00FA0D37">
        <w:t xml:space="preserve"> (1..maxNrofSlots))</w:t>
      </w:r>
      <w:r w:rsidRPr="00FA0D37">
        <w:rPr>
          <w:color w:val="993366"/>
        </w:rPr>
        <w:t xml:space="preserve"> OF</w:t>
      </w:r>
      <w:r w:rsidRPr="00FA0D37">
        <w:t xml:space="preserve"> TDD-UL-DL-SlotConfig-IAB-MT-r16      </w:t>
      </w:r>
      <w:r w:rsidRPr="00FA0D37">
        <w:rPr>
          <w:color w:val="993366"/>
        </w:rPr>
        <w:t>OPTIONAL</w:t>
      </w:r>
      <w:r w:rsidRPr="00FA0D37">
        <w:t xml:space="preserve">, </w:t>
      </w:r>
      <w:r w:rsidRPr="00FA0D37">
        <w:rPr>
          <w:color w:val="808080"/>
        </w:rPr>
        <w:t>-- Need N</w:t>
      </w:r>
    </w:p>
    <w:p w14:paraId="3947DAFB" w14:textId="77777777" w:rsidR="00394471" w:rsidRPr="00FA0D37" w:rsidRDefault="00394471" w:rsidP="00FA0D37">
      <w:pPr>
        <w:pStyle w:val="PL"/>
        <w:rPr>
          <w:color w:val="808080"/>
        </w:rPr>
      </w:pPr>
      <w:r w:rsidRPr="00FA0D37">
        <w:t xml:space="preserve">    slotSpecificConfigurationsToReleaseList-IAB-MT-r16 </w:t>
      </w:r>
      <w:r w:rsidRPr="00FA0D37">
        <w:rPr>
          <w:color w:val="993366"/>
        </w:rPr>
        <w:t>SEQUENCE</w:t>
      </w:r>
      <w:r w:rsidRPr="00FA0D37">
        <w:t xml:space="preserve"> (</w:t>
      </w:r>
      <w:r w:rsidRPr="00FA0D37">
        <w:rPr>
          <w:color w:val="993366"/>
        </w:rPr>
        <w:t>SIZE</w:t>
      </w:r>
      <w:r w:rsidRPr="00FA0D37">
        <w:t xml:space="preserve"> (1..maxNrofSlots))</w:t>
      </w:r>
      <w:r w:rsidRPr="00FA0D37">
        <w:rPr>
          <w:color w:val="993366"/>
        </w:rPr>
        <w:t xml:space="preserve"> OF</w:t>
      </w:r>
      <w:r w:rsidRPr="00FA0D37">
        <w:t xml:space="preserve"> TDD-UL-DL-SlotIndex                  </w:t>
      </w:r>
      <w:r w:rsidRPr="00FA0D37">
        <w:rPr>
          <w:color w:val="993366"/>
        </w:rPr>
        <w:t>OPTIONAL</w:t>
      </w:r>
      <w:r w:rsidRPr="00FA0D37">
        <w:t xml:space="preserve">, </w:t>
      </w:r>
      <w:r w:rsidRPr="00FA0D37">
        <w:rPr>
          <w:color w:val="808080"/>
        </w:rPr>
        <w:t>-- Need N</w:t>
      </w:r>
    </w:p>
    <w:p w14:paraId="14A8983E" w14:textId="77777777" w:rsidR="00394471" w:rsidRPr="00FA0D37" w:rsidRDefault="00394471" w:rsidP="00FA0D37">
      <w:pPr>
        <w:pStyle w:val="PL"/>
      </w:pPr>
      <w:r w:rsidRPr="00FA0D37">
        <w:t xml:space="preserve">    ...</w:t>
      </w:r>
    </w:p>
    <w:p w14:paraId="22E539D3" w14:textId="77777777" w:rsidR="00394471" w:rsidRPr="00FA0D37" w:rsidRDefault="00394471" w:rsidP="00FA0D37">
      <w:pPr>
        <w:pStyle w:val="PL"/>
      </w:pPr>
      <w:r w:rsidRPr="00FA0D37">
        <w:t>}</w:t>
      </w:r>
    </w:p>
    <w:p w14:paraId="4EE80913" w14:textId="77777777" w:rsidR="00394471" w:rsidRPr="00FA0D37" w:rsidRDefault="00394471" w:rsidP="00FA0D37">
      <w:pPr>
        <w:pStyle w:val="PL"/>
      </w:pPr>
    </w:p>
    <w:p w14:paraId="36B10B4C" w14:textId="77777777" w:rsidR="00394471" w:rsidRPr="00FA0D37" w:rsidRDefault="00394471" w:rsidP="00FA0D37">
      <w:pPr>
        <w:pStyle w:val="PL"/>
      </w:pPr>
      <w:r w:rsidRPr="00FA0D37">
        <w:t xml:space="preserve">TDD-UL-DL-SlotConfig ::=            </w:t>
      </w:r>
      <w:r w:rsidRPr="00FA0D37">
        <w:rPr>
          <w:color w:val="993366"/>
        </w:rPr>
        <w:t>SEQUENCE</w:t>
      </w:r>
      <w:r w:rsidRPr="00FA0D37">
        <w:t xml:space="preserve"> {</w:t>
      </w:r>
    </w:p>
    <w:p w14:paraId="410B43F1" w14:textId="77777777" w:rsidR="00394471" w:rsidRPr="00FA0D37" w:rsidRDefault="00394471" w:rsidP="00FA0D37">
      <w:pPr>
        <w:pStyle w:val="PL"/>
      </w:pPr>
      <w:r w:rsidRPr="00FA0D37">
        <w:t xml:space="preserve">    slotIndex                           TDD-UL-DL-SlotIndex,</w:t>
      </w:r>
    </w:p>
    <w:p w14:paraId="683A4C84" w14:textId="77777777" w:rsidR="00394471" w:rsidRPr="00FA0D37" w:rsidRDefault="00394471" w:rsidP="00FA0D37">
      <w:pPr>
        <w:pStyle w:val="PL"/>
      </w:pPr>
      <w:r w:rsidRPr="00FA0D37">
        <w:t xml:space="preserve">    symbols                             </w:t>
      </w:r>
      <w:r w:rsidRPr="00FA0D37">
        <w:rPr>
          <w:color w:val="993366"/>
        </w:rPr>
        <w:t>CHOICE</w:t>
      </w:r>
      <w:r w:rsidRPr="00FA0D37">
        <w:t xml:space="preserve"> {</w:t>
      </w:r>
    </w:p>
    <w:p w14:paraId="1F96473C" w14:textId="77777777" w:rsidR="00394471" w:rsidRPr="00FA0D37" w:rsidRDefault="00394471" w:rsidP="00FA0D37">
      <w:pPr>
        <w:pStyle w:val="PL"/>
      </w:pPr>
      <w:r w:rsidRPr="00FA0D37">
        <w:t xml:space="preserve">        allDownlink                         </w:t>
      </w:r>
      <w:r w:rsidRPr="00FA0D37">
        <w:rPr>
          <w:color w:val="993366"/>
        </w:rPr>
        <w:t>NULL</w:t>
      </w:r>
      <w:r w:rsidRPr="00FA0D37">
        <w:t>,</w:t>
      </w:r>
    </w:p>
    <w:p w14:paraId="6337961F" w14:textId="77777777" w:rsidR="00394471" w:rsidRPr="00FA0D37" w:rsidRDefault="00394471" w:rsidP="00FA0D37">
      <w:pPr>
        <w:pStyle w:val="PL"/>
      </w:pPr>
      <w:r w:rsidRPr="00FA0D37">
        <w:t xml:space="preserve">        allUplink                           </w:t>
      </w:r>
      <w:r w:rsidRPr="00FA0D37">
        <w:rPr>
          <w:color w:val="993366"/>
        </w:rPr>
        <w:t>NULL</w:t>
      </w:r>
      <w:r w:rsidRPr="00FA0D37">
        <w:t>,</w:t>
      </w:r>
    </w:p>
    <w:p w14:paraId="66870E7B" w14:textId="77777777" w:rsidR="00394471" w:rsidRPr="00FA0D37" w:rsidRDefault="00394471" w:rsidP="00FA0D37">
      <w:pPr>
        <w:pStyle w:val="PL"/>
      </w:pPr>
      <w:r w:rsidRPr="00FA0D37">
        <w:t xml:space="preserve">        explicit                            </w:t>
      </w:r>
      <w:r w:rsidRPr="00FA0D37">
        <w:rPr>
          <w:color w:val="993366"/>
        </w:rPr>
        <w:t>SEQUENCE</w:t>
      </w:r>
      <w:r w:rsidRPr="00FA0D37">
        <w:t xml:space="preserve"> {</w:t>
      </w:r>
    </w:p>
    <w:p w14:paraId="6643821D" w14:textId="77777777" w:rsidR="00394471" w:rsidRPr="00FA0D37" w:rsidRDefault="00394471" w:rsidP="00FA0D37">
      <w:pPr>
        <w:pStyle w:val="PL"/>
        <w:rPr>
          <w:color w:val="808080"/>
        </w:rPr>
      </w:pPr>
      <w:r w:rsidRPr="00FA0D37">
        <w:t xml:space="preserve">            nrofDownlinkSymbols                 </w:t>
      </w:r>
      <w:r w:rsidRPr="00FA0D37">
        <w:rPr>
          <w:color w:val="993366"/>
        </w:rPr>
        <w:t>INTEGER</w:t>
      </w:r>
      <w:r w:rsidRPr="00FA0D37">
        <w:t xml:space="preserve"> (1..maxNrofSymbols-1)                                   </w:t>
      </w:r>
      <w:r w:rsidRPr="00FA0D37">
        <w:rPr>
          <w:color w:val="993366"/>
        </w:rPr>
        <w:t>OPTIONAL</w:t>
      </w:r>
      <w:r w:rsidRPr="00FA0D37">
        <w:t xml:space="preserve">, </w:t>
      </w:r>
      <w:r w:rsidRPr="00FA0D37">
        <w:rPr>
          <w:color w:val="808080"/>
        </w:rPr>
        <w:t>-- Need S</w:t>
      </w:r>
    </w:p>
    <w:p w14:paraId="46E36EEC" w14:textId="77777777" w:rsidR="00394471" w:rsidRPr="00FA0D37" w:rsidRDefault="00394471" w:rsidP="00FA0D37">
      <w:pPr>
        <w:pStyle w:val="PL"/>
        <w:rPr>
          <w:color w:val="808080"/>
        </w:rPr>
      </w:pPr>
      <w:r w:rsidRPr="00FA0D37">
        <w:t xml:space="preserve">            nrofUplinkSymbols                   </w:t>
      </w:r>
      <w:r w:rsidRPr="00FA0D37">
        <w:rPr>
          <w:color w:val="993366"/>
        </w:rPr>
        <w:t>INTEGER</w:t>
      </w:r>
      <w:r w:rsidRPr="00FA0D37">
        <w:t xml:space="preserve"> (1..maxNrofSymbols-1)                                   </w:t>
      </w:r>
      <w:r w:rsidRPr="00FA0D37">
        <w:rPr>
          <w:color w:val="993366"/>
        </w:rPr>
        <w:t>OPTIONAL</w:t>
      </w:r>
      <w:r w:rsidRPr="00FA0D37">
        <w:t xml:space="preserve">  </w:t>
      </w:r>
      <w:r w:rsidRPr="00FA0D37">
        <w:rPr>
          <w:color w:val="808080"/>
        </w:rPr>
        <w:t>-- Need S</w:t>
      </w:r>
    </w:p>
    <w:p w14:paraId="1E232C27" w14:textId="77777777" w:rsidR="00394471" w:rsidRPr="00FA0D37" w:rsidRDefault="00394471" w:rsidP="00FA0D37">
      <w:pPr>
        <w:pStyle w:val="PL"/>
      </w:pPr>
      <w:r w:rsidRPr="00FA0D37">
        <w:t xml:space="preserve">        }</w:t>
      </w:r>
    </w:p>
    <w:p w14:paraId="46619488" w14:textId="77777777" w:rsidR="00394471" w:rsidRPr="00FA0D37" w:rsidRDefault="00394471" w:rsidP="00FA0D37">
      <w:pPr>
        <w:pStyle w:val="PL"/>
      </w:pPr>
      <w:r w:rsidRPr="00FA0D37">
        <w:t xml:space="preserve">    }</w:t>
      </w:r>
    </w:p>
    <w:p w14:paraId="288C005F" w14:textId="77777777" w:rsidR="00394471" w:rsidRPr="00FA0D37" w:rsidRDefault="00394471" w:rsidP="00FA0D37">
      <w:pPr>
        <w:pStyle w:val="PL"/>
      </w:pPr>
      <w:r w:rsidRPr="00FA0D37">
        <w:t>}</w:t>
      </w:r>
    </w:p>
    <w:p w14:paraId="1DF7039F" w14:textId="77777777" w:rsidR="00394471" w:rsidRPr="00FA0D37" w:rsidRDefault="00394471" w:rsidP="00FA0D37">
      <w:pPr>
        <w:pStyle w:val="PL"/>
      </w:pPr>
    </w:p>
    <w:p w14:paraId="2852ACB3" w14:textId="77777777" w:rsidR="00394471" w:rsidRPr="00FA0D37" w:rsidRDefault="00394471" w:rsidP="00FA0D37">
      <w:pPr>
        <w:pStyle w:val="PL"/>
      </w:pPr>
      <w:r w:rsidRPr="00FA0D37">
        <w:t xml:space="preserve">TDD-UL-DL-SlotConfig-IAB-MT-r16::=    </w:t>
      </w:r>
      <w:r w:rsidRPr="00FA0D37">
        <w:rPr>
          <w:color w:val="993366"/>
        </w:rPr>
        <w:t>SEQUENCE</w:t>
      </w:r>
      <w:r w:rsidRPr="00FA0D37">
        <w:t xml:space="preserve"> {</w:t>
      </w:r>
    </w:p>
    <w:p w14:paraId="06B822E0" w14:textId="77777777" w:rsidR="00394471" w:rsidRPr="00FA0D37" w:rsidRDefault="00394471" w:rsidP="00FA0D37">
      <w:pPr>
        <w:pStyle w:val="PL"/>
      </w:pPr>
      <w:r w:rsidRPr="00FA0D37">
        <w:t xml:space="preserve">    slotIndex-r16                           TDD-UL-DL-SlotIndex,</w:t>
      </w:r>
    </w:p>
    <w:p w14:paraId="611EA8AA" w14:textId="77777777" w:rsidR="00394471" w:rsidRPr="00FA0D37" w:rsidRDefault="00394471" w:rsidP="00FA0D37">
      <w:pPr>
        <w:pStyle w:val="PL"/>
      </w:pPr>
      <w:r w:rsidRPr="00FA0D37">
        <w:t xml:space="preserve">    symbols-IAB-MT-r16                      </w:t>
      </w:r>
      <w:r w:rsidRPr="00FA0D37">
        <w:rPr>
          <w:color w:val="993366"/>
        </w:rPr>
        <w:t>CHOICE</w:t>
      </w:r>
      <w:r w:rsidRPr="00FA0D37">
        <w:t xml:space="preserve"> {</w:t>
      </w:r>
    </w:p>
    <w:p w14:paraId="703971EC" w14:textId="77777777" w:rsidR="00394471" w:rsidRPr="00FA0D37" w:rsidRDefault="00394471" w:rsidP="00FA0D37">
      <w:pPr>
        <w:pStyle w:val="PL"/>
      </w:pPr>
      <w:r w:rsidRPr="00FA0D37">
        <w:t xml:space="preserve">        allDownlink-r16                         </w:t>
      </w:r>
      <w:r w:rsidRPr="00FA0D37">
        <w:rPr>
          <w:color w:val="993366"/>
        </w:rPr>
        <w:t>NULL</w:t>
      </w:r>
      <w:r w:rsidRPr="00FA0D37">
        <w:t>,</w:t>
      </w:r>
    </w:p>
    <w:p w14:paraId="66D467B6" w14:textId="77777777" w:rsidR="00394471" w:rsidRPr="00FA0D37" w:rsidRDefault="00394471" w:rsidP="00FA0D37">
      <w:pPr>
        <w:pStyle w:val="PL"/>
      </w:pPr>
      <w:r w:rsidRPr="00FA0D37">
        <w:t xml:space="preserve">        allUplink-r16                           </w:t>
      </w:r>
      <w:r w:rsidRPr="00FA0D37">
        <w:rPr>
          <w:color w:val="993366"/>
        </w:rPr>
        <w:t>NULL</w:t>
      </w:r>
      <w:r w:rsidRPr="00FA0D37">
        <w:t>,</w:t>
      </w:r>
    </w:p>
    <w:p w14:paraId="7D9BB06B" w14:textId="77777777" w:rsidR="00394471" w:rsidRPr="00FA0D37" w:rsidRDefault="00394471" w:rsidP="00FA0D37">
      <w:pPr>
        <w:pStyle w:val="PL"/>
      </w:pPr>
      <w:r w:rsidRPr="00FA0D37">
        <w:t xml:space="preserve">        explicit-r16                            </w:t>
      </w:r>
      <w:r w:rsidRPr="00FA0D37">
        <w:rPr>
          <w:color w:val="993366"/>
        </w:rPr>
        <w:t>SEQUENCE</w:t>
      </w:r>
      <w:r w:rsidRPr="00FA0D37">
        <w:t xml:space="preserve"> {</w:t>
      </w:r>
    </w:p>
    <w:p w14:paraId="58CBEA03" w14:textId="77777777" w:rsidR="00394471" w:rsidRPr="00FA0D37" w:rsidRDefault="00394471" w:rsidP="00FA0D37">
      <w:pPr>
        <w:pStyle w:val="PL"/>
        <w:rPr>
          <w:color w:val="808080"/>
        </w:rPr>
      </w:pPr>
      <w:r w:rsidRPr="00FA0D37">
        <w:t xml:space="preserve">            nrofDownlinkSymbols-r16                 </w:t>
      </w:r>
      <w:r w:rsidRPr="00FA0D37">
        <w:rPr>
          <w:color w:val="993366"/>
        </w:rPr>
        <w:t>INTEGER</w:t>
      </w:r>
      <w:r w:rsidRPr="00FA0D37">
        <w:t xml:space="preserve"> (1..maxNrofSymbols-1)                               </w:t>
      </w:r>
      <w:r w:rsidRPr="00FA0D37">
        <w:rPr>
          <w:color w:val="993366"/>
        </w:rPr>
        <w:t>OPTIONAL</w:t>
      </w:r>
      <w:r w:rsidRPr="00FA0D37">
        <w:t xml:space="preserve">, </w:t>
      </w:r>
      <w:r w:rsidRPr="00FA0D37">
        <w:rPr>
          <w:color w:val="808080"/>
        </w:rPr>
        <w:t>-- Need S</w:t>
      </w:r>
    </w:p>
    <w:p w14:paraId="21DD59B9" w14:textId="77777777" w:rsidR="00394471" w:rsidRPr="00FA0D37" w:rsidRDefault="00394471" w:rsidP="00FA0D37">
      <w:pPr>
        <w:pStyle w:val="PL"/>
        <w:rPr>
          <w:color w:val="808080"/>
        </w:rPr>
      </w:pPr>
      <w:r w:rsidRPr="00FA0D37">
        <w:t xml:space="preserve">            nrofUplinkSymbols-r16                   </w:t>
      </w:r>
      <w:r w:rsidRPr="00FA0D37">
        <w:rPr>
          <w:color w:val="993366"/>
        </w:rPr>
        <w:t>INTEGER</w:t>
      </w:r>
      <w:r w:rsidRPr="00FA0D37">
        <w:t xml:space="preserve"> (1..maxNrofSymbols-1)                               </w:t>
      </w:r>
      <w:r w:rsidRPr="00FA0D37">
        <w:rPr>
          <w:color w:val="993366"/>
        </w:rPr>
        <w:t>OPTIONAL</w:t>
      </w:r>
      <w:r w:rsidRPr="00FA0D37">
        <w:t xml:space="preserve">  </w:t>
      </w:r>
      <w:r w:rsidRPr="00FA0D37">
        <w:rPr>
          <w:color w:val="808080"/>
        </w:rPr>
        <w:t>-- Need S</w:t>
      </w:r>
    </w:p>
    <w:p w14:paraId="43C7BF83" w14:textId="77777777" w:rsidR="00394471" w:rsidRPr="00FA0D37" w:rsidRDefault="00394471" w:rsidP="00FA0D37">
      <w:pPr>
        <w:pStyle w:val="PL"/>
      </w:pPr>
      <w:r w:rsidRPr="00FA0D37">
        <w:t xml:space="preserve">        },</w:t>
      </w:r>
    </w:p>
    <w:p w14:paraId="610ACBFF" w14:textId="77777777" w:rsidR="00394471" w:rsidRPr="00FA0D37" w:rsidRDefault="00394471" w:rsidP="00FA0D37">
      <w:pPr>
        <w:pStyle w:val="PL"/>
      </w:pPr>
      <w:r w:rsidRPr="00FA0D37">
        <w:t xml:space="preserve">        explicit-IAB-MT-r16                     </w:t>
      </w:r>
      <w:r w:rsidRPr="00FA0D37">
        <w:rPr>
          <w:color w:val="993366"/>
        </w:rPr>
        <w:t>SEQUENCE</w:t>
      </w:r>
      <w:r w:rsidRPr="00FA0D37">
        <w:t xml:space="preserve"> {</w:t>
      </w:r>
    </w:p>
    <w:p w14:paraId="7640D372" w14:textId="77777777" w:rsidR="00394471" w:rsidRPr="00FA0D37" w:rsidRDefault="00394471" w:rsidP="00FA0D37">
      <w:pPr>
        <w:pStyle w:val="PL"/>
        <w:rPr>
          <w:color w:val="808080"/>
        </w:rPr>
      </w:pPr>
      <w:r w:rsidRPr="00FA0D37">
        <w:t xml:space="preserve">            nrofDownlinkSymbols-r16                 </w:t>
      </w:r>
      <w:r w:rsidRPr="00FA0D37">
        <w:rPr>
          <w:color w:val="993366"/>
        </w:rPr>
        <w:t>INTEGER</w:t>
      </w:r>
      <w:r w:rsidRPr="00FA0D37">
        <w:t xml:space="preserve"> (1..maxNrofSymbols-1)                               </w:t>
      </w:r>
      <w:r w:rsidRPr="00FA0D37">
        <w:rPr>
          <w:color w:val="993366"/>
        </w:rPr>
        <w:t>OPTIONAL</w:t>
      </w:r>
      <w:r w:rsidRPr="00FA0D37">
        <w:t xml:space="preserve">, </w:t>
      </w:r>
      <w:r w:rsidRPr="00FA0D37">
        <w:rPr>
          <w:color w:val="808080"/>
        </w:rPr>
        <w:t>-- Need S</w:t>
      </w:r>
    </w:p>
    <w:p w14:paraId="2FFCA624" w14:textId="77777777" w:rsidR="00394471" w:rsidRPr="00FA0D37" w:rsidRDefault="00394471" w:rsidP="00FA0D37">
      <w:pPr>
        <w:pStyle w:val="PL"/>
        <w:rPr>
          <w:color w:val="808080"/>
        </w:rPr>
      </w:pPr>
      <w:r w:rsidRPr="00FA0D37">
        <w:t xml:space="preserve">            nrofUplinkSymbols-r16                   </w:t>
      </w:r>
      <w:r w:rsidRPr="00FA0D37">
        <w:rPr>
          <w:color w:val="993366"/>
        </w:rPr>
        <w:t>INTEGER</w:t>
      </w:r>
      <w:r w:rsidRPr="00FA0D37">
        <w:t xml:space="preserve"> (1..maxNrofSymbols-1)                               </w:t>
      </w:r>
      <w:r w:rsidRPr="00FA0D37">
        <w:rPr>
          <w:color w:val="993366"/>
        </w:rPr>
        <w:t>OPTIONAL</w:t>
      </w:r>
      <w:r w:rsidRPr="00FA0D37">
        <w:t xml:space="preserve">  </w:t>
      </w:r>
      <w:r w:rsidRPr="00FA0D37">
        <w:rPr>
          <w:color w:val="808080"/>
        </w:rPr>
        <w:t>-- Need S</w:t>
      </w:r>
    </w:p>
    <w:p w14:paraId="0A7E71F2" w14:textId="77777777" w:rsidR="00394471" w:rsidRPr="00FA0D37" w:rsidRDefault="00394471" w:rsidP="00FA0D37">
      <w:pPr>
        <w:pStyle w:val="PL"/>
      </w:pPr>
      <w:r w:rsidRPr="00FA0D37">
        <w:t xml:space="preserve">        }</w:t>
      </w:r>
    </w:p>
    <w:p w14:paraId="2FE6139A" w14:textId="77777777" w:rsidR="00394471" w:rsidRPr="00FA0D37" w:rsidRDefault="00394471" w:rsidP="00FA0D37">
      <w:pPr>
        <w:pStyle w:val="PL"/>
      </w:pPr>
      <w:r w:rsidRPr="00FA0D37">
        <w:t xml:space="preserve">    }</w:t>
      </w:r>
    </w:p>
    <w:p w14:paraId="288AC7C0" w14:textId="77777777" w:rsidR="00394471" w:rsidRPr="00FA0D37" w:rsidRDefault="00394471" w:rsidP="00FA0D37">
      <w:pPr>
        <w:pStyle w:val="PL"/>
      </w:pPr>
      <w:r w:rsidRPr="00FA0D37">
        <w:t>}</w:t>
      </w:r>
    </w:p>
    <w:p w14:paraId="6F1DCB31" w14:textId="77777777" w:rsidR="00394471" w:rsidRPr="00FA0D37" w:rsidRDefault="00394471" w:rsidP="00FA0D37">
      <w:pPr>
        <w:pStyle w:val="PL"/>
      </w:pPr>
    </w:p>
    <w:p w14:paraId="65090AB7" w14:textId="77777777" w:rsidR="00394471" w:rsidRPr="00FA0D37" w:rsidRDefault="00394471" w:rsidP="00FA0D37">
      <w:pPr>
        <w:pStyle w:val="PL"/>
      </w:pPr>
      <w:r w:rsidRPr="00FA0D37">
        <w:t xml:space="preserve">TDD-UL-DL-SlotIndex ::=             </w:t>
      </w:r>
      <w:r w:rsidRPr="00FA0D37">
        <w:rPr>
          <w:color w:val="993366"/>
        </w:rPr>
        <w:t>INTEGER</w:t>
      </w:r>
      <w:r w:rsidRPr="00FA0D37">
        <w:t xml:space="preserve"> (0..maxNrofSlots-1)</w:t>
      </w:r>
    </w:p>
    <w:p w14:paraId="26ECE852" w14:textId="77777777" w:rsidR="00394471" w:rsidRPr="00FA0D37" w:rsidRDefault="00394471" w:rsidP="00FA0D37">
      <w:pPr>
        <w:pStyle w:val="PL"/>
      </w:pPr>
    </w:p>
    <w:p w14:paraId="69996375" w14:textId="77777777" w:rsidR="00394471" w:rsidRPr="00FA0D37" w:rsidRDefault="00394471" w:rsidP="00FA0D37">
      <w:pPr>
        <w:pStyle w:val="PL"/>
        <w:rPr>
          <w:color w:val="808080"/>
        </w:rPr>
      </w:pPr>
      <w:r w:rsidRPr="00FA0D37">
        <w:rPr>
          <w:color w:val="808080"/>
        </w:rPr>
        <w:t>-- TAG-TDD-UL-DL-CONFIGDEDICATED-STOP</w:t>
      </w:r>
    </w:p>
    <w:p w14:paraId="3C897F42" w14:textId="77777777" w:rsidR="00394471" w:rsidRPr="00FA0D37" w:rsidRDefault="00394471" w:rsidP="00FA0D37">
      <w:pPr>
        <w:pStyle w:val="PL"/>
        <w:rPr>
          <w:color w:val="808080"/>
        </w:rPr>
      </w:pPr>
      <w:r w:rsidRPr="00FA0D37">
        <w:rPr>
          <w:color w:val="808080"/>
        </w:rPr>
        <w:t>-- ASN1STOP</w:t>
      </w:r>
    </w:p>
    <w:p w14:paraId="01E3D535"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FA0D37" w:rsidRDefault="00394471" w:rsidP="00964CC4">
            <w:pPr>
              <w:pStyle w:val="TAH"/>
              <w:rPr>
                <w:rFonts w:eastAsia="MS Mincho"/>
                <w:szCs w:val="22"/>
                <w:lang w:eastAsia="sv-SE"/>
              </w:rPr>
            </w:pPr>
            <w:r w:rsidRPr="00FA0D37">
              <w:rPr>
                <w:rFonts w:eastAsia="MS Mincho"/>
                <w:i/>
                <w:szCs w:val="22"/>
                <w:lang w:eastAsia="sv-SE"/>
              </w:rPr>
              <w:t xml:space="preserve">TDD-UL-DL-ConfigDedicated </w:t>
            </w:r>
            <w:r w:rsidRPr="00FA0D37">
              <w:rPr>
                <w:rFonts w:eastAsia="MS Mincho"/>
                <w:szCs w:val="22"/>
                <w:lang w:eastAsia="sv-SE"/>
              </w:rPr>
              <w:t>field descriptions</w:t>
            </w:r>
          </w:p>
        </w:tc>
      </w:tr>
      <w:tr w:rsidR="00394471" w:rsidRPr="00FA0D37"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slotSpecificConfigurationsToAddModList</w:t>
            </w:r>
          </w:p>
          <w:p w14:paraId="7583026D"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The </w:t>
            </w:r>
            <w:r w:rsidRPr="00FA0D37">
              <w:rPr>
                <w:rFonts w:eastAsia="MS Mincho"/>
                <w:i/>
                <w:szCs w:val="22"/>
                <w:lang w:eastAsia="sv-SE"/>
              </w:rPr>
              <w:t>slotSpecificConfigurationToAddModList</w:t>
            </w:r>
            <w:r w:rsidRPr="00FA0D37">
              <w:rPr>
                <w:rFonts w:eastAsia="MS Mincho"/>
                <w:szCs w:val="22"/>
                <w:lang w:eastAsia="sv-SE"/>
              </w:rPr>
              <w:t xml:space="preserve"> allows overriding UL/DL allocations provided in tdd-UL-DL-configurationCommon, see TS 38.213 [13], clause 11.1. </w:t>
            </w:r>
          </w:p>
        </w:tc>
      </w:tr>
    </w:tbl>
    <w:p w14:paraId="4946B15A" w14:textId="77777777" w:rsidR="00394471" w:rsidRPr="00FA0D3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FA0D37" w:rsidRDefault="00394471" w:rsidP="00964CC4">
            <w:pPr>
              <w:pStyle w:val="TAH"/>
              <w:rPr>
                <w:rFonts w:eastAsia="MS Mincho"/>
                <w:i/>
                <w:iCs/>
                <w:lang w:eastAsia="sv-SE"/>
              </w:rPr>
            </w:pPr>
            <w:r w:rsidRPr="00FA0D37">
              <w:rPr>
                <w:rFonts w:eastAsia="MS Mincho"/>
                <w:i/>
                <w:iCs/>
                <w:lang w:eastAsia="sv-SE"/>
              </w:rPr>
              <w:lastRenderedPageBreak/>
              <w:t>TDD-UL-DL-ConfigDedicated-IAB-MT field descriptions</w:t>
            </w:r>
          </w:p>
        </w:tc>
      </w:tr>
      <w:tr w:rsidR="005C7FF4" w:rsidRPr="00FA0D37"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slotSpecificConfigurationsToAddModList-IAB-MT</w:t>
            </w:r>
          </w:p>
          <w:p w14:paraId="14EFE5DA"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The </w:t>
            </w:r>
            <w:r w:rsidRPr="00FA0D37">
              <w:rPr>
                <w:rFonts w:eastAsia="MS Mincho"/>
                <w:i/>
                <w:szCs w:val="22"/>
                <w:lang w:eastAsia="sv-SE"/>
              </w:rPr>
              <w:t>slotSpecificConfigurationToAddModList-IAB-MT</w:t>
            </w:r>
            <w:r w:rsidRPr="00FA0D37">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FA0D37"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slotSpecificConfigurationsToReleaseList-IAB-MT</w:t>
            </w:r>
          </w:p>
          <w:p w14:paraId="26BCF8AF" w14:textId="77777777" w:rsidR="00394471" w:rsidRPr="00FA0D37" w:rsidRDefault="00394471" w:rsidP="00964CC4">
            <w:pPr>
              <w:pStyle w:val="TAL"/>
              <w:rPr>
                <w:rFonts w:eastAsia="MS Mincho"/>
                <w:b/>
                <w:i/>
                <w:szCs w:val="22"/>
                <w:lang w:eastAsia="sv-SE"/>
              </w:rPr>
            </w:pPr>
            <w:r w:rsidRPr="00FA0D37">
              <w:rPr>
                <w:rFonts w:eastAsia="MS Mincho"/>
                <w:szCs w:val="22"/>
                <w:lang w:eastAsia="sv-SE"/>
              </w:rPr>
              <w:t xml:space="preserve">The </w:t>
            </w:r>
            <w:r w:rsidRPr="00FA0D37">
              <w:rPr>
                <w:rFonts w:eastAsia="MS Mincho"/>
                <w:i/>
                <w:szCs w:val="22"/>
                <w:lang w:eastAsia="sv-SE"/>
              </w:rPr>
              <w:t>slotSpecificConfigurationsToReleaseList-IAB-MT</w:t>
            </w:r>
            <w:r w:rsidRPr="00FA0D37">
              <w:rPr>
                <w:rFonts w:eastAsia="MS Mincho"/>
                <w:szCs w:val="22"/>
                <w:lang w:eastAsia="sv-SE"/>
              </w:rPr>
              <w:t xml:space="preserve"> allows release of a set of slot configuration previously add with </w:t>
            </w:r>
            <w:r w:rsidRPr="00FA0D37">
              <w:rPr>
                <w:rFonts w:eastAsia="MS Mincho"/>
                <w:i/>
                <w:szCs w:val="22"/>
                <w:lang w:eastAsia="sv-SE"/>
              </w:rPr>
              <w:t>slotSpecificConfigurationToAddModList-IAB-MT</w:t>
            </w:r>
            <w:r w:rsidRPr="00FA0D37">
              <w:rPr>
                <w:rFonts w:eastAsia="MS Mincho"/>
                <w:szCs w:val="22"/>
                <w:lang w:eastAsia="sv-SE"/>
              </w:rPr>
              <w:t>.</w:t>
            </w:r>
          </w:p>
        </w:tc>
      </w:tr>
    </w:tbl>
    <w:p w14:paraId="3A9D12EC"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FA0D37" w:rsidRDefault="00394471" w:rsidP="00964CC4">
            <w:pPr>
              <w:pStyle w:val="TAH"/>
              <w:rPr>
                <w:rFonts w:eastAsia="MS Mincho"/>
                <w:szCs w:val="22"/>
                <w:lang w:eastAsia="sv-SE"/>
              </w:rPr>
            </w:pPr>
            <w:r w:rsidRPr="00FA0D37">
              <w:rPr>
                <w:rFonts w:eastAsia="MS Mincho"/>
                <w:i/>
                <w:szCs w:val="22"/>
                <w:lang w:eastAsia="sv-SE"/>
              </w:rPr>
              <w:t xml:space="preserve">TDD-UL-DL-SlotConfig </w:t>
            </w:r>
            <w:r w:rsidRPr="00FA0D37">
              <w:rPr>
                <w:rFonts w:eastAsia="MS Mincho"/>
                <w:szCs w:val="22"/>
                <w:lang w:eastAsia="sv-SE"/>
              </w:rPr>
              <w:t>field descriptions</w:t>
            </w:r>
          </w:p>
        </w:tc>
      </w:tr>
      <w:tr w:rsidR="005C7FF4" w:rsidRPr="00FA0D37"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nrofDownlinkSymbols</w:t>
            </w:r>
          </w:p>
          <w:p w14:paraId="099783F4"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Number of consecutive DL symbols in the beginning of the slot identified by </w:t>
            </w:r>
            <w:r w:rsidRPr="00FA0D37">
              <w:rPr>
                <w:rFonts w:eastAsia="MS Mincho"/>
                <w:i/>
                <w:szCs w:val="22"/>
                <w:lang w:eastAsia="sv-SE"/>
              </w:rPr>
              <w:t>slotIndex</w:t>
            </w:r>
            <w:r w:rsidRPr="00FA0D37">
              <w:rPr>
                <w:rFonts w:eastAsia="MS Mincho"/>
                <w:szCs w:val="22"/>
                <w:lang w:eastAsia="sv-SE"/>
              </w:rPr>
              <w:t>. If the field is absent the UE assumes that there are no leading DL symbols. (see TS 38.213 [13], clause 11.1).</w:t>
            </w:r>
          </w:p>
        </w:tc>
      </w:tr>
      <w:tr w:rsidR="005C7FF4" w:rsidRPr="00FA0D37"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nrofUplinkSymbols</w:t>
            </w:r>
          </w:p>
          <w:p w14:paraId="06184DB0"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Number of consecutive UL symbols in the end of the slot identified by </w:t>
            </w:r>
            <w:r w:rsidRPr="00FA0D37">
              <w:rPr>
                <w:rFonts w:eastAsia="MS Mincho"/>
                <w:i/>
                <w:szCs w:val="22"/>
                <w:lang w:eastAsia="sv-SE"/>
              </w:rPr>
              <w:t>slotIndex</w:t>
            </w:r>
            <w:r w:rsidRPr="00FA0D37">
              <w:rPr>
                <w:rFonts w:eastAsia="MS Mincho"/>
                <w:szCs w:val="22"/>
                <w:lang w:eastAsia="sv-SE"/>
              </w:rPr>
              <w:t>. If the field is absent the UE assumes that there are no trailing UL symbols. (see TS 38.213 [13], clause 11.1).</w:t>
            </w:r>
          </w:p>
        </w:tc>
      </w:tr>
      <w:tr w:rsidR="005C7FF4" w:rsidRPr="00FA0D37"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slotIndex</w:t>
            </w:r>
          </w:p>
          <w:p w14:paraId="6369E432"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Identifies a slot within a </w:t>
            </w:r>
            <w:r w:rsidRPr="00FA0D37">
              <w:rPr>
                <w:szCs w:val="22"/>
                <w:lang w:eastAsia="zh-CN"/>
              </w:rPr>
              <w:t>slot configuration period</w:t>
            </w:r>
            <w:r w:rsidRPr="00FA0D37">
              <w:rPr>
                <w:rFonts w:eastAsia="MS Mincho"/>
                <w:i/>
                <w:szCs w:val="22"/>
                <w:lang w:eastAsia="sv-SE"/>
              </w:rPr>
              <w:t xml:space="preserve"> </w:t>
            </w:r>
            <w:r w:rsidRPr="00FA0D37">
              <w:rPr>
                <w:rFonts w:eastAsia="MS Mincho"/>
                <w:szCs w:val="22"/>
                <w:lang w:eastAsia="sv-SE"/>
              </w:rPr>
              <w:t xml:space="preserve">given in </w:t>
            </w:r>
            <w:r w:rsidRPr="00FA0D37">
              <w:rPr>
                <w:rFonts w:eastAsia="MS Mincho"/>
                <w:i/>
                <w:szCs w:val="22"/>
                <w:lang w:eastAsia="sv-SE"/>
              </w:rPr>
              <w:t>tdd-UL-DL-configurationCommon</w:t>
            </w:r>
            <w:r w:rsidRPr="00FA0D37">
              <w:rPr>
                <w:szCs w:val="22"/>
                <w:lang w:eastAsia="zh-CN"/>
              </w:rPr>
              <w:t>, see TS 38.213 [13], clause 11.1</w:t>
            </w:r>
            <w:r w:rsidRPr="00FA0D37">
              <w:rPr>
                <w:rFonts w:eastAsia="MS Mincho"/>
                <w:szCs w:val="22"/>
                <w:lang w:eastAsia="sv-SE"/>
              </w:rPr>
              <w:t>.</w:t>
            </w:r>
          </w:p>
        </w:tc>
      </w:tr>
      <w:tr w:rsidR="00394471" w:rsidRPr="00FA0D37"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symbols</w:t>
            </w:r>
          </w:p>
          <w:p w14:paraId="5A9ED220"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The direction (downlink or uplink) for the symbols in this slot. Value </w:t>
            </w:r>
            <w:r w:rsidRPr="00FA0D37">
              <w:rPr>
                <w:rFonts w:eastAsia="MS Mincho"/>
                <w:i/>
                <w:szCs w:val="22"/>
                <w:lang w:eastAsia="sv-SE"/>
              </w:rPr>
              <w:t>allDownlink</w:t>
            </w:r>
            <w:r w:rsidRPr="00FA0D37">
              <w:rPr>
                <w:rFonts w:eastAsia="MS Mincho"/>
                <w:szCs w:val="22"/>
                <w:lang w:eastAsia="sv-SE"/>
              </w:rPr>
              <w:t xml:space="preserve"> indicates that all symbols in this slot are used for downlink; value </w:t>
            </w:r>
            <w:r w:rsidRPr="00FA0D37">
              <w:rPr>
                <w:rFonts w:eastAsia="MS Mincho"/>
                <w:i/>
                <w:szCs w:val="22"/>
                <w:lang w:eastAsia="sv-SE"/>
              </w:rPr>
              <w:t>allUplink</w:t>
            </w:r>
            <w:r w:rsidRPr="00FA0D37">
              <w:rPr>
                <w:rFonts w:eastAsia="MS Mincho"/>
                <w:szCs w:val="22"/>
                <w:lang w:eastAsia="sv-SE"/>
              </w:rPr>
              <w:t xml:space="preserve"> indicates that all symbols in this slot are used for uplink; value </w:t>
            </w:r>
            <w:r w:rsidRPr="00FA0D37">
              <w:rPr>
                <w:rFonts w:eastAsia="MS Mincho"/>
                <w:i/>
                <w:szCs w:val="22"/>
                <w:lang w:eastAsia="sv-SE"/>
              </w:rPr>
              <w:t>explicit</w:t>
            </w:r>
            <w:r w:rsidRPr="00FA0D37">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FA0D37" w:rsidRDefault="00394471" w:rsidP="00964CC4">
            <w:pPr>
              <w:pStyle w:val="TAH"/>
              <w:rPr>
                <w:rFonts w:eastAsia="MS Mincho"/>
                <w:szCs w:val="22"/>
                <w:lang w:eastAsia="sv-SE"/>
              </w:rPr>
            </w:pPr>
            <w:r w:rsidRPr="00FA0D37">
              <w:rPr>
                <w:rFonts w:eastAsia="MS Mincho"/>
                <w:i/>
                <w:szCs w:val="22"/>
                <w:lang w:eastAsia="sv-SE"/>
              </w:rPr>
              <w:t xml:space="preserve">TDD-UL-DL-SlotConfig-IAB-MT </w:t>
            </w:r>
            <w:r w:rsidRPr="00FA0D37">
              <w:rPr>
                <w:rFonts w:eastAsia="MS Mincho"/>
                <w:szCs w:val="22"/>
                <w:lang w:eastAsia="sv-SE"/>
              </w:rPr>
              <w:t>field descriptions</w:t>
            </w:r>
          </w:p>
        </w:tc>
      </w:tr>
      <w:tr w:rsidR="00394471" w:rsidRPr="00FA0D37"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symbols-IAB-MT</w:t>
            </w:r>
          </w:p>
          <w:p w14:paraId="0DC8C9C9"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The </w:t>
            </w:r>
            <w:r w:rsidRPr="00FA0D37">
              <w:rPr>
                <w:rFonts w:eastAsia="MS Mincho"/>
                <w:i/>
                <w:szCs w:val="22"/>
                <w:lang w:eastAsia="sv-SE"/>
              </w:rPr>
              <w:t>symbols-IAB-MT</w:t>
            </w:r>
            <w:r w:rsidRPr="00FA0D37">
              <w:rPr>
                <w:rFonts w:eastAsia="MS Mincho"/>
                <w:b/>
                <w:i/>
                <w:szCs w:val="22"/>
                <w:lang w:eastAsia="sv-SE"/>
              </w:rPr>
              <w:t xml:space="preserve"> </w:t>
            </w:r>
            <w:r w:rsidRPr="00FA0D37">
              <w:rPr>
                <w:rFonts w:eastAsia="MS Mincho"/>
                <w:szCs w:val="22"/>
                <w:lang w:eastAsia="sv-SE"/>
              </w:rPr>
              <w:t xml:space="preserve">is used to configure an IAB-MT with the SlotConfig applicable for one serving cell. Value </w:t>
            </w:r>
            <w:r w:rsidRPr="00FA0D37">
              <w:rPr>
                <w:rFonts w:eastAsia="MS Mincho"/>
                <w:i/>
                <w:szCs w:val="22"/>
                <w:lang w:eastAsia="sv-SE"/>
              </w:rPr>
              <w:t>allDownlink</w:t>
            </w:r>
            <w:r w:rsidRPr="00FA0D37">
              <w:rPr>
                <w:rFonts w:eastAsia="MS Mincho"/>
                <w:szCs w:val="22"/>
                <w:lang w:eastAsia="sv-SE"/>
              </w:rPr>
              <w:t xml:space="preserve"> indicates that all symbols in this slot are used for downlink; value </w:t>
            </w:r>
            <w:r w:rsidRPr="00FA0D37">
              <w:rPr>
                <w:rFonts w:eastAsia="MS Mincho"/>
                <w:i/>
                <w:szCs w:val="22"/>
                <w:lang w:eastAsia="sv-SE"/>
              </w:rPr>
              <w:t>allUplink</w:t>
            </w:r>
            <w:r w:rsidRPr="00FA0D37">
              <w:rPr>
                <w:rFonts w:eastAsia="MS Mincho"/>
                <w:szCs w:val="22"/>
                <w:lang w:eastAsia="sv-SE"/>
              </w:rPr>
              <w:t xml:space="preserve"> indicates that all symbols in this slot are used for uplink; value </w:t>
            </w:r>
            <w:r w:rsidRPr="00FA0D37">
              <w:rPr>
                <w:rFonts w:eastAsia="MS Mincho"/>
                <w:i/>
                <w:szCs w:val="22"/>
                <w:lang w:eastAsia="sv-SE"/>
              </w:rPr>
              <w:t>explicit</w:t>
            </w:r>
            <w:r w:rsidRPr="00FA0D37">
              <w:rPr>
                <w:rFonts w:eastAsia="MS Mincho"/>
                <w:szCs w:val="22"/>
                <w:lang w:eastAsia="sv-SE"/>
              </w:rPr>
              <w:t xml:space="preserve"> indicates explicitly how many symbols in the beginning and end of this slot are allocated to downlink and uplink, respectively; value </w:t>
            </w:r>
            <w:r w:rsidRPr="00FA0D37">
              <w:rPr>
                <w:rFonts w:eastAsia="宋体"/>
                <w:i/>
                <w:iCs/>
                <w:szCs w:val="22"/>
                <w:lang w:eastAsia="zh-CN"/>
              </w:rPr>
              <w:t>explicit-IAB-MT</w:t>
            </w:r>
            <w:r w:rsidRPr="00FA0D37">
              <w:rPr>
                <w:rFonts w:eastAsia="MS Mincho"/>
                <w:i/>
                <w:szCs w:val="22"/>
                <w:lang w:eastAsia="sv-SE"/>
              </w:rPr>
              <w:t xml:space="preserve"> </w:t>
            </w:r>
            <w:r w:rsidRPr="00FA0D37">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FA0D37" w:rsidRDefault="00394471" w:rsidP="00394471"/>
    <w:p w14:paraId="4BE97B9E" w14:textId="77777777" w:rsidR="00394471" w:rsidRPr="00FA0D37" w:rsidRDefault="00394471" w:rsidP="00394471">
      <w:pPr>
        <w:pStyle w:val="4"/>
      </w:pPr>
      <w:bookmarkStart w:id="1464" w:name="_Toc60777412"/>
      <w:bookmarkStart w:id="1465" w:name="_Toc146781502"/>
      <w:r w:rsidRPr="00FA0D37">
        <w:t>–</w:t>
      </w:r>
      <w:r w:rsidRPr="00FA0D37">
        <w:tab/>
      </w:r>
      <w:r w:rsidRPr="00FA0D37">
        <w:rPr>
          <w:i/>
          <w:noProof/>
        </w:rPr>
        <w:t>TrackingAreaCode</w:t>
      </w:r>
      <w:bookmarkEnd w:id="1464"/>
      <w:bookmarkEnd w:id="1465"/>
    </w:p>
    <w:p w14:paraId="57383FC1" w14:textId="4F8C3F00" w:rsidR="00394471" w:rsidRPr="00FA0D37" w:rsidRDefault="00394471" w:rsidP="00394471">
      <w:r w:rsidRPr="00FA0D37">
        <w:t xml:space="preserve">The IE </w:t>
      </w:r>
      <w:r w:rsidRPr="00FA0D37">
        <w:rPr>
          <w:i/>
          <w:noProof/>
        </w:rPr>
        <w:t>TrackingAreaCode</w:t>
      </w:r>
      <w:r w:rsidRPr="00FA0D37">
        <w:t xml:space="preserve"> is used to identify a tracking area within the scope of a PLMN</w:t>
      </w:r>
      <w:r w:rsidR="00985AB7" w:rsidRPr="00FA0D37">
        <w:t>/SNPN</w:t>
      </w:r>
      <w:r w:rsidRPr="00FA0D37">
        <w:t>, see TS 24.501 [23].</w:t>
      </w:r>
    </w:p>
    <w:p w14:paraId="23F2A369" w14:textId="77777777" w:rsidR="00394471" w:rsidRPr="00FA0D37" w:rsidRDefault="00394471" w:rsidP="00394471">
      <w:pPr>
        <w:pStyle w:val="TH"/>
      </w:pPr>
      <w:r w:rsidRPr="00FA0D37">
        <w:rPr>
          <w:bCs/>
          <w:i/>
          <w:iCs/>
        </w:rPr>
        <w:t xml:space="preserve">TrackingAreaCode </w:t>
      </w:r>
      <w:r w:rsidRPr="00FA0D37">
        <w:t>information element</w:t>
      </w:r>
    </w:p>
    <w:p w14:paraId="2E73B3E2" w14:textId="77777777" w:rsidR="00394471" w:rsidRPr="00FA0D37" w:rsidRDefault="00394471" w:rsidP="00FA0D37">
      <w:pPr>
        <w:pStyle w:val="PL"/>
        <w:rPr>
          <w:color w:val="808080"/>
        </w:rPr>
      </w:pPr>
      <w:r w:rsidRPr="00FA0D37">
        <w:rPr>
          <w:color w:val="808080"/>
        </w:rPr>
        <w:t>-- ASN1START</w:t>
      </w:r>
    </w:p>
    <w:p w14:paraId="27C8BC8B" w14:textId="77777777" w:rsidR="00394471" w:rsidRPr="00FA0D37" w:rsidRDefault="00394471" w:rsidP="00FA0D37">
      <w:pPr>
        <w:pStyle w:val="PL"/>
        <w:rPr>
          <w:color w:val="808080"/>
        </w:rPr>
      </w:pPr>
      <w:r w:rsidRPr="00FA0D37">
        <w:rPr>
          <w:color w:val="808080"/>
        </w:rPr>
        <w:t>-- TAG-TRACKINGAREACODE-START</w:t>
      </w:r>
    </w:p>
    <w:p w14:paraId="5AF5F95C" w14:textId="77777777" w:rsidR="00394471" w:rsidRPr="00FA0D37" w:rsidRDefault="00394471" w:rsidP="00FA0D37">
      <w:pPr>
        <w:pStyle w:val="PL"/>
      </w:pPr>
    </w:p>
    <w:p w14:paraId="296C2899" w14:textId="77777777" w:rsidR="00394471" w:rsidRPr="00FA0D37" w:rsidRDefault="00394471" w:rsidP="00FA0D37">
      <w:pPr>
        <w:pStyle w:val="PL"/>
      </w:pPr>
      <w:r w:rsidRPr="00FA0D37">
        <w:t xml:space="preserve">TrackingAreaCode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(24))</w:t>
      </w:r>
    </w:p>
    <w:p w14:paraId="355E37D2" w14:textId="77777777" w:rsidR="00394471" w:rsidRPr="00FA0D37" w:rsidRDefault="00394471" w:rsidP="00FA0D37">
      <w:pPr>
        <w:pStyle w:val="PL"/>
      </w:pPr>
    </w:p>
    <w:p w14:paraId="7A903CA4" w14:textId="77777777" w:rsidR="00394471" w:rsidRPr="00FA0D37" w:rsidRDefault="00394471" w:rsidP="00FA0D37">
      <w:pPr>
        <w:pStyle w:val="PL"/>
        <w:rPr>
          <w:color w:val="808080"/>
        </w:rPr>
      </w:pPr>
      <w:r w:rsidRPr="00FA0D37">
        <w:rPr>
          <w:color w:val="808080"/>
        </w:rPr>
        <w:t>-- TAG-TRACKINGAREACODE-STOP</w:t>
      </w:r>
    </w:p>
    <w:p w14:paraId="0A73591E" w14:textId="77777777" w:rsidR="00394471" w:rsidRPr="00FA0D37" w:rsidRDefault="00394471" w:rsidP="00FA0D37">
      <w:pPr>
        <w:pStyle w:val="PL"/>
        <w:rPr>
          <w:color w:val="808080"/>
        </w:rPr>
      </w:pPr>
      <w:r w:rsidRPr="00FA0D37">
        <w:rPr>
          <w:color w:val="808080"/>
        </w:rPr>
        <w:t>-- ASN1STOP</w:t>
      </w:r>
    </w:p>
    <w:p w14:paraId="062E78FE" w14:textId="77777777" w:rsidR="00394471" w:rsidRPr="00FA0D37" w:rsidRDefault="00394471" w:rsidP="00394471">
      <w:pPr>
        <w:rPr>
          <w:rFonts w:eastAsia="MS Mincho"/>
        </w:rPr>
      </w:pPr>
    </w:p>
    <w:p w14:paraId="3FE45861" w14:textId="77777777" w:rsidR="00394471" w:rsidRPr="00FA0D37" w:rsidRDefault="00394471" w:rsidP="00394471">
      <w:pPr>
        <w:pStyle w:val="4"/>
        <w:rPr>
          <w:rFonts w:eastAsia="MS Mincho"/>
        </w:rPr>
      </w:pPr>
      <w:bookmarkStart w:id="1466" w:name="_Toc60777413"/>
      <w:bookmarkStart w:id="1467" w:name="_Toc146781503"/>
      <w:r w:rsidRPr="00FA0D37">
        <w:rPr>
          <w:rFonts w:eastAsia="MS Mincho"/>
        </w:rPr>
        <w:t>–</w:t>
      </w:r>
      <w:r w:rsidRPr="00FA0D37">
        <w:rPr>
          <w:rFonts w:eastAsia="MS Mincho"/>
        </w:rPr>
        <w:tab/>
      </w:r>
      <w:r w:rsidRPr="00FA0D37">
        <w:rPr>
          <w:rFonts w:eastAsia="MS Mincho"/>
          <w:i/>
        </w:rPr>
        <w:t>T-Reselection</w:t>
      </w:r>
      <w:bookmarkEnd w:id="1466"/>
      <w:bookmarkEnd w:id="1467"/>
    </w:p>
    <w:p w14:paraId="361F4C3E" w14:textId="609F85A3" w:rsidR="00394471" w:rsidRPr="00FA0D37" w:rsidRDefault="00394471" w:rsidP="00394471">
      <w:r w:rsidRPr="00FA0D37">
        <w:t xml:space="preserve">The IE </w:t>
      </w:r>
      <w:r w:rsidRPr="00FA0D37">
        <w:rPr>
          <w:i/>
        </w:rPr>
        <w:t>T-</w:t>
      </w:r>
      <w:r w:rsidRPr="00FA0D37">
        <w:rPr>
          <w:i/>
          <w:noProof/>
        </w:rPr>
        <w:t>Reselection</w:t>
      </w:r>
      <w:r w:rsidRPr="00FA0D37">
        <w:t xml:space="preserve"> concerns the cell reselection timer Treselection</w:t>
      </w:r>
      <w:r w:rsidRPr="00FA0D37">
        <w:rPr>
          <w:vertAlign w:val="subscript"/>
        </w:rPr>
        <w:t>RAT</w:t>
      </w:r>
      <w:r w:rsidRPr="00FA0D37">
        <w:t xml:space="preserve"> for NR and E-UTRA</w:t>
      </w:r>
      <w:r w:rsidR="00EA6373" w:rsidRPr="00FA0D37">
        <w:t>.</w:t>
      </w:r>
      <w:r w:rsidRPr="00FA0D37">
        <w:t xml:space="preserve"> Value in seconds. For value 0, behaviour as specified in 7.1.2 applies.</w:t>
      </w:r>
    </w:p>
    <w:p w14:paraId="69BCB98B" w14:textId="2FC6DF58" w:rsidR="00394471" w:rsidRPr="00FA0D37" w:rsidRDefault="00394471" w:rsidP="00394471">
      <w:pPr>
        <w:pStyle w:val="TH"/>
      </w:pPr>
      <w:r w:rsidRPr="00FA0D37">
        <w:rPr>
          <w:rFonts w:eastAsia="MS Mincho"/>
          <w:i/>
        </w:rPr>
        <w:t>T-Reselection</w:t>
      </w:r>
      <w:r w:rsidR="00EA6373" w:rsidRPr="00FA0D37">
        <w:rPr>
          <w:rFonts w:eastAsia="MS Mincho"/>
          <w:iCs/>
        </w:rPr>
        <w:t xml:space="preserve"> </w:t>
      </w:r>
      <w:r w:rsidRPr="00FA0D37">
        <w:t>information element</w:t>
      </w:r>
    </w:p>
    <w:p w14:paraId="0826ED3B" w14:textId="77777777" w:rsidR="00394471" w:rsidRPr="00FA0D37" w:rsidRDefault="00394471" w:rsidP="00FA0D37">
      <w:pPr>
        <w:pStyle w:val="PL"/>
        <w:rPr>
          <w:color w:val="808080"/>
        </w:rPr>
      </w:pPr>
      <w:r w:rsidRPr="00FA0D37">
        <w:rPr>
          <w:color w:val="808080"/>
        </w:rPr>
        <w:t>-- ASN1START</w:t>
      </w:r>
    </w:p>
    <w:p w14:paraId="58679AD8" w14:textId="77777777" w:rsidR="00394471" w:rsidRPr="00FA0D37" w:rsidRDefault="00394471" w:rsidP="00FA0D37">
      <w:pPr>
        <w:pStyle w:val="PL"/>
        <w:rPr>
          <w:color w:val="808080"/>
        </w:rPr>
      </w:pPr>
      <w:r w:rsidRPr="00FA0D37">
        <w:rPr>
          <w:color w:val="808080"/>
        </w:rPr>
        <w:t>-- TAG-TRESELECTION-START</w:t>
      </w:r>
    </w:p>
    <w:p w14:paraId="19AC22F8" w14:textId="77777777" w:rsidR="00394471" w:rsidRPr="00FA0D37" w:rsidRDefault="00394471" w:rsidP="00FA0D37">
      <w:pPr>
        <w:pStyle w:val="PL"/>
      </w:pPr>
    </w:p>
    <w:p w14:paraId="7BC6370B" w14:textId="77777777" w:rsidR="00394471" w:rsidRPr="00FA0D37" w:rsidRDefault="00394471" w:rsidP="00FA0D37">
      <w:pPr>
        <w:pStyle w:val="PL"/>
      </w:pPr>
      <w:r w:rsidRPr="00FA0D37">
        <w:t xml:space="preserve">T-Reselection ::=                   </w:t>
      </w:r>
      <w:r w:rsidRPr="00FA0D37">
        <w:rPr>
          <w:color w:val="993366"/>
        </w:rPr>
        <w:t>INTEGER</w:t>
      </w:r>
      <w:r w:rsidRPr="00FA0D37">
        <w:t xml:space="preserve"> (0..7)</w:t>
      </w:r>
    </w:p>
    <w:p w14:paraId="7E3A8E9D" w14:textId="77777777" w:rsidR="00394471" w:rsidRPr="00FA0D37" w:rsidRDefault="00394471" w:rsidP="00FA0D37">
      <w:pPr>
        <w:pStyle w:val="PL"/>
      </w:pPr>
    </w:p>
    <w:p w14:paraId="277E1359" w14:textId="77777777" w:rsidR="00394471" w:rsidRPr="00FA0D37" w:rsidRDefault="00394471" w:rsidP="00FA0D37">
      <w:pPr>
        <w:pStyle w:val="PL"/>
        <w:rPr>
          <w:color w:val="808080"/>
        </w:rPr>
      </w:pPr>
      <w:r w:rsidRPr="00FA0D37">
        <w:rPr>
          <w:color w:val="808080"/>
        </w:rPr>
        <w:t>-- TAG-TRESELECTION-STOP</w:t>
      </w:r>
    </w:p>
    <w:p w14:paraId="2AB90FFB" w14:textId="77777777" w:rsidR="00394471" w:rsidRPr="00FA0D37" w:rsidRDefault="00394471" w:rsidP="00FA0D37">
      <w:pPr>
        <w:pStyle w:val="PL"/>
        <w:rPr>
          <w:color w:val="808080"/>
        </w:rPr>
      </w:pPr>
      <w:r w:rsidRPr="00FA0D37">
        <w:rPr>
          <w:color w:val="808080"/>
        </w:rPr>
        <w:t>-- ASN1STOP</w:t>
      </w:r>
    </w:p>
    <w:p w14:paraId="18A6D113" w14:textId="2A70FB72" w:rsidR="00394471" w:rsidRPr="00FA0D37" w:rsidRDefault="00394471" w:rsidP="00394471">
      <w:pPr>
        <w:rPr>
          <w:rFonts w:eastAsia="MS Mincho"/>
        </w:rPr>
      </w:pPr>
    </w:p>
    <w:p w14:paraId="623611AE" w14:textId="77777777" w:rsidR="005B0782" w:rsidRPr="00FA0D37" w:rsidRDefault="005B0782" w:rsidP="005B0782">
      <w:pPr>
        <w:pStyle w:val="4"/>
      </w:pPr>
      <w:bookmarkStart w:id="1468" w:name="_Toc146781504"/>
      <w:r w:rsidRPr="00FA0D37">
        <w:t>–</w:t>
      </w:r>
      <w:r w:rsidRPr="00FA0D37">
        <w:tab/>
      </w:r>
      <w:r w:rsidRPr="00FA0D37">
        <w:rPr>
          <w:i/>
        </w:rPr>
        <w:t>TimeAlignmentTimer</w:t>
      </w:r>
      <w:bookmarkEnd w:id="1468"/>
    </w:p>
    <w:p w14:paraId="4F511FF8" w14:textId="77777777" w:rsidR="005B0782" w:rsidRPr="00FA0D37" w:rsidRDefault="005B0782" w:rsidP="005B0782">
      <w:r w:rsidRPr="00FA0D37">
        <w:t xml:space="preserve">The IE </w:t>
      </w:r>
      <w:r w:rsidRPr="00FA0D37">
        <w:rPr>
          <w:i/>
        </w:rPr>
        <w:t>TimeAlignmentTimer</w:t>
      </w:r>
      <w:r w:rsidRPr="00FA0D37">
        <w:t xml:space="preserve"> is used to configure the time alignment timer as specified in TS 38.321 [3]. The values are in ms.</w:t>
      </w:r>
    </w:p>
    <w:p w14:paraId="76444C2D" w14:textId="77777777" w:rsidR="005B0782" w:rsidRPr="00FA0D37" w:rsidRDefault="005B0782" w:rsidP="005B0782">
      <w:pPr>
        <w:pStyle w:val="TH"/>
      </w:pPr>
      <w:r w:rsidRPr="00FA0D37">
        <w:rPr>
          <w:i/>
        </w:rPr>
        <w:t>TimeAlignmentTimer</w:t>
      </w:r>
      <w:r w:rsidRPr="00FA0D37">
        <w:t xml:space="preserve"> information element</w:t>
      </w:r>
    </w:p>
    <w:p w14:paraId="352B4772" w14:textId="77777777" w:rsidR="005B0782" w:rsidRPr="00FA0D37" w:rsidRDefault="005B0782" w:rsidP="00FA0D37">
      <w:pPr>
        <w:pStyle w:val="PL"/>
        <w:rPr>
          <w:color w:val="808080"/>
        </w:rPr>
      </w:pPr>
      <w:r w:rsidRPr="00FA0D37">
        <w:rPr>
          <w:color w:val="808080"/>
        </w:rPr>
        <w:t>-- ASN1START</w:t>
      </w:r>
    </w:p>
    <w:p w14:paraId="5860A5DF" w14:textId="77777777" w:rsidR="005B0782" w:rsidRPr="00FA0D37" w:rsidRDefault="005B0782" w:rsidP="00FA0D37">
      <w:pPr>
        <w:pStyle w:val="PL"/>
        <w:rPr>
          <w:color w:val="808080"/>
        </w:rPr>
      </w:pPr>
      <w:r w:rsidRPr="00FA0D37">
        <w:rPr>
          <w:color w:val="808080"/>
        </w:rPr>
        <w:t>-- TAG-TIMEALIGNMENTTIMER-START</w:t>
      </w:r>
    </w:p>
    <w:p w14:paraId="0EC84477" w14:textId="77777777" w:rsidR="005B0782" w:rsidRPr="00FA0D37" w:rsidRDefault="005B0782" w:rsidP="00FA0D37">
      <w:pPr>
        <w:pStyle w:val="PL"/>
      </w:pPr>
    </w:p>
    <w:p w14:paraId="33F744A6" w14:textId="77777777" w:rsidR="005B0782" w:rsidRPr="00FA0D37" w:rsidRDefault="005B0782" w:rsidP="00FA0D37">
      <w:pPr>
        <w:pStyle w:val="PL"/>
      </w:pPr>
      <w:r w:rsidRPr="00FA0D37">
        <w:t xml:space="preserve">TimeAlignmentTimer ::=              </w:t>
      </w:r>
      <w:r w:rsidRPr="00FA0D37">
        <w:rPr>
          <w:color w:val="993366"/>
        </w:rPr>
        <w:t>ENUMERATED</w:t>
      </w:r>
      <w:r w:rsidRPr="00FA0D37">
        <w:t xml:space="preserve"> {ms500, ms750, ms1280, ms1920, ms2560, ms5120, ms10240, infinity}</w:t>
      </w:r>
    </w:p>
    <w:p w14:paraId="30116FB8" w14:textId="77777777" w:rsidR="005B0782" w:rsidRPr="00FA0D37" w:rsidRDefault="005B0782" w:rsidP="00FA0D37">
      <w:pPr>
        <w:pStyle w:val="PL"/>
      </w:pPr>
    </w:p>
    <w:p w14:paraId="27F7B066" w14:textId="7EC124B0" w:rsidR="005B0782" w:rsidRPr="00FA0D37" w:rsidRDefault="005B0782" w:rsidP="00FA0D37">
      <w:pPr>
        <w:pStyle w:val="PL"/>
        <w:rPr>
          <w:color w:val="808080"/>
        </w:rPr>
      </w:pPr>
      <w:r w:rsidRPr="00FA0D37">
        <w:rPr>
          <w:color w:val="808080"/>
        </w:rPr>
        <w:t>-- TAG-TIMEALIGNMENTTIMER-STOP</w:t>
      </w:r>
    </w:p>
    <w:p w14:paraId="643708A0" w14:textId="77777777" w:rsidR="005B0782" w:rsidRPr="00FA0D37" w:rsidRDefault="005B0782" w:rsidP="00FA0D37">
      <w:pPr>
        <w:pStyle w:val="PL"/>
        <w:rPr>
          <w:color w:val="808080"/>
        </w:rPr>
      </w:pPr>
      <w:r w:rsidRPr="00FA0D37">
        <w:rPr>
          <w:color w:val="808080"/>
        </w:rPr>
        <w:t>-- ASN1STOP</w:t>
      </w:r>
    </w:p>
    <w:p w14:paraId="4B6AFB43" w14:textId="77777777" w:rsidR="005B0782" w:rsidRPr="00FA0D37" w:rsidRDefault="005B0782" w:rsidP="00394471">
      <w:pPr>
        <w:rPr>
          <w:rFonts w:eastAsia="MS Mincho"/>
        </w:rPr>
      </w:pPr>
    </w:p>
    <w:p w14:paraId="52AF84EB" w14:textId="77777777" w:rsidR="00394471" w:rsidRPr="00FA0D37" w:rsidRDefault="00394471" w:rsidP="00394471">
      <w:pPr>
        <w:pStyle w:val="4"/>
        <w:rPr>
          <w:rFonts w:eastAsia="MS Mincho"/>
        </w:rPr>
      </w:pPr>
      <w:bookmarkStart w:id="1469" w:name="_Toc60777414"/>
      <w:bookmarkStart w:id="1470" w:name="_Toc146781505"/>
      <w:r w:rsidRPr="00FA0D37">
        <w:rPr>
          <w:rFonts w:eastAsia="MS Mincho"/>
        </w:rPr>
        <w:t>–</w:t>
      </w:r>
      <w:r w:rsidRPr="00FA0D37">
        <w:rPr>
          <w:rFonts w:eastAsia="MS Mincho"/>
        </w:rPr>
        <w:tab/>
      </w:r>
      <w:r w:rsidRPr="00FA0D37">
        <w:rPr>
          <w:rFonts w:eastAsia="MS Mincho"/>
          <w:i/>
        </w:rPr>
        <w:t>TimeToTrigger</w:t>
      </w:r>
      <w:bookmarkEnd w:id="1469"/>
      <w:bookmarkEnd w:id="1470"/>
    </w:p>
    <w:p w14:paraId="328AFBFF" w14:textId="77777777" w:rsidR="00394471" w:rsidRPr="00FA0D37" w:rsidRDefault="00394471" w:rsidP="00394471">
      <w:pPr>
        <w:rPr>
          <w:rFonts w:eastAsia="MS Mincho"/>
        </w:rPr>
      </w:pPr>
      <w:r w:rsidRPr="00FA0D37">
        <w:t xml:space="preserve">The IE </w:t>
      </w:r>
      <w:r w:rsidRPr="00FA0D37">
        <w:rPr>
          <w:i/>
        </w:rPr>
        <w:t>TimeToTrigger</w:t>
      </w:r>
      <w:r w:rsidRPr="00FA0D37">
        <w:t xml:space="preserve"> specifies the value range used for time to trigger parameter, which concerns the time during which specific criteria for the event needs to be met in order to trigger a measurement report. Value </w:t>
      </w:r>
      <w:r w:rsidRPr="00FA0D37">
        <w:rPr>
          <w:i/>
        </w:rPr>
        <w:t>ms0</w:t>
      </w:r>
      <w:r w:rsidRPr="00FA0D37">
        <w:t xml:space="preserve"> corresponds to 0 ms and behaviour as specified in 7.1.2 applies, value </w:t>
      </w:r>
      <w:r w:rsidRPr="00FA0D37">
        <w:rPr>
          <w:i/>
        </w:rPr>
        <w:t>ms40</w:t>
      </w:r>
      <w:r w:rsidRPr="00FA0D37">
        <w:t xml:space="preserve"> corresponds to 40 ms, and so on.</w:t>
      </w:r>
    </w:p>
    <w:p w14:paraId="18F22A33" w14:textId="77777777" w:rsidR="00394471" w:rsidRPr="00FA0D37" w:rsidRDefault="00394471" w:rsidP="00394471">
      <w:pPr>
        <w:pStyle w:val="TH"/>
      </w:pPr>
      <w:r w:rsidRPr="00FA0D37">
        <w:rPr>
          <w:bCs/>
          <w:i/>
          <w:iCs/>
        </w:rPr>
        <w:t xml:space="preserve">TimeToTrigger </w:t>
      </w:r>
      <w:r w:rsidRPr="00FA0D37">
        <w:t>information element</w:t>
      </w:r>
    </w:p>
    <w:p w14:paraId="1D49A1B9" w14:textId="77777777" w:rsidR="00394471" w:rsidRPr="00FA0D37" w:rsidRDefault="00394471" w:rsidP="00FA0D37">
      <w:pPr>
        <w:pStyle w:val="PL"/>
        <w:rPr>
          <w:color w:val="808080"/>
        </w:rPr>
      </w:pPr>
      <w:r w:rsidRPr="00FA0D37">
        <w:rPr>
          <w:color w:val="808080"/>
        </w:rPr>
        <w:t>-- ASN1START</w:t>
      </w:r>
    </w:p>
    <w:p w14:paraId="2CCDFCB7" w14:textId="77777777" w:rsidR="00394471" w:rsidRPr="00FA0D37" w:rsidRDefault="00394471" w:rsidP="00FA0D37">
      <w:pPr>
        <w:pStyle w:val="PL"/>
        <w:rPr>
          <w:color w:val="808080"/>
        </w:rPr>
      </w:pPr>
      <w:r w:rsidRPr="00FA0D37">
        <w:rPr>
          <w:color w:val="808080"/>
        </w:rPr>
        <w:t>-- TAG-TIMETOTRIGGER-START</w:t>
      </w:r>
    </w:p>
    <w:p w14:paraId="7564CF65" w14:textId="77777777" w:rsidR="00394471" w:rsidRPr="00FA0D37" w:rsidRDefault="00394471" w:rsidP="00FA0D37">
      <w:pPr>
        <w:pStyle w:val="PL"/>
      </w:pPr>
    </w:p>
    <w:p w14:paraId="37754A81" w14:textId="77777777" w:rsidR="00394471" w:rsidRPr="00FA0D37" w:rsidRDefault="00394471" w:rsidP="00FA0D37">
      <w:pPr>
        <w:pStyle w:val="PL"/>
      </w:pPr>
      <w:r w:rsidRPr="00FA0D37">
        <w:t xml:space="preserve">TimeToTrigger ::=                   </w:t>
      </w:r>
      <w:r w:rsidRPr="00FA0D37">
        <w:rPr>
          <w:color w:val="993366"/>
        </w:rPr>
        <w:t>ENUMERATED</w:t>
      </w:r>
      <w:r w:rsidRPr="00FA0D37">
        <w:t xml:space="preserve"> {</w:t>
      </w:r>
    </w:p>
    <w:p w14:paraId="29B81799" w14:textId="77777777" w:rsidR="00394471" w:rsidRPr="00FA0D37" w:rsidRDefault="00394471" w:rsidP="00FA0D37">
      <w:pPr>
        <w:pStyle w:val="PL"/>
      </w:pPr>
      <w:r w:rsidRPr="00FA0D37">
        <w:t xml:space="preserve">                                        ms0, ms40, ms64, ms80, ms100, ms128, ms160, ms256,</w:t>
      </w:r>
    </w:p>
    <w:p w14:paraId="166E0F2B" w14:textId="77777777" w:rsidR="00394471" w:rsidRPr="00FA0D37" w:rsidRDefault="00394471" w:rsidP="00FA0D37">
      <w:pPr>
        <w:pStyle w:val="PL"/>
      </w:pPr>
      <w:r w:rsidRPr="00FA0D37">
        <w:t xml:space="preserve">                                        ms320, ms480, ms512, ms640, ms1024, ms1280, ms2560,</w:t>
      </w:r>
    </w:p>
    <w:p w14:paraId="17489C25" w14:textId="77777777" w:rsidR="00394471" w:rsidRPr="00FA0D37" w:rsidRDefault="00394471" w:rsidP="00FA0D37">
      <w:pPr>
        <w:pStyle w:val="PL"/>
      </w:pPr>
      <w:r w:rsidRPr="00FA0D37">
        <w:t xml:space="preserve">                                        ms5120}</w:t>
      </w:r>
    </w:p>
    <w:p w14:paraId="579B01C5" w14:textId="77777777" w:rsidR="00394471" w:rsidRPr="00FA0D37" w:rsidRDefault="00394471" w:rsidP="00FA0D37">
      <w:pPr>
        <w:pStyle w:val="PL"/>
      </w:pPr>
    </w:p>
    <w:p w14:paraId="709FC399" w14:textId="77777777" w:rsidR="00394471" w:rsidRPr="00FA0D37" w:rsidRDefault="00394471" w:rsidP="00FA0D37">
      <w:pPr>
        <w:pStyle w:val="PL"/>
        <w:rPr>
          <w:color w:val="808080"/>
        </w:rPr>
      </w:pPr>
      <w:r w:rsidRPr="00FA0D37">
        <w:rPr>
          <w:color w:val="808080"/>
        </w:rPr>
        <w:lastRenderedPageBreak/>
        <w:t>-- TAG-TIMETOTRIGGER-STOP</w:t>
      </w:r>
    </w:p>
    <w:p w14:paraId="3C1FA70A" w14:textId="77777777" w:rsidR="00394471" w:rsidRPr="00FA0D37" w:rsidRDefault="00394471" w:rsidP="00FA0D37">
      <w:pPr>
        <w:pStyle w:val="PL"/>
        <w:rPr>
          <w:color w:val="808080"/>
        </w:rPr>
      </w:pPr>
      <w:r w:rsidRPr="00FA0D37">
        <w:rPr>
          <w:color w:val="808080"/>
        </w:rPr>
        <w:t>-- ASN1STOP</w:t>
      </w:r>
    </w:p>
    <w:p w14:paraId="2557F830" w14:textId="77777777" w:rsidR="00394471" w:rsidRPr="00FA0D37" w:rsidRDefault="00394471" w:rsidP="00394471">
      <w:pPr>
        <w:pStyle w:val="4"/>
        <w:rPr>
          <w:i/>
          <w:iCs/>
        </w:rPr>
      </w:pPr>
      <w:bookmarkStart w:id="1471" w:name="_Toc60777415"/>
      <w:bookmarkStart w:id="1472" w:name="_Toc146781506"/>
      <w:r w:rsidRPr="00FA0D37">
        <w:rPr>
          <w:i/>
        </w:rPr>
        <w:t>–</w:t>
      </w:r>
      <w:r w:rsidRPr="00FA0D37">
        <w:rPr>
          <w:i/>
        </w:rPr>
        <w:tab/>
        <w:t>UAC-BarringInfoSetIndex</w:t>
      </w:r>
      <w:bookmarkEnd w:id="1471"/>
      <w:bookmarkEnd w:id="1472"/>
    </w:p>
    <w:p w14:paraId="3AD8FCD7" w14:textId="77777777" w:rsidR="00394471" w:rsidRPr="00FA0D37" w:rsidRDefault="00394471" w:rsidP="00394471">
      <w:r w:rsidRPr="00FA0D37">
        <w:t xml:space="preserve">The IE </w:t>
      </w:r>
      <w:r w:rsidRPr="00FA0D37">
        <w:rPr>
          <w:i/>
        </w:rPr>
        <w:t>UAC-BarringInfoSetIndex</w:t>
      </w:r>
      <w:r w:rsidRPr="00FA0D37">
        <w:t xml:space="preserve"> provides the index of the entry in </w:t>
      </w:r>
      <w:r w:rsidRPr="00FA0D37">
        <w:rPr>
          <w:rFonts w:eastAsia="Calibri"/>
          <w:i/>
          <w:szCs w:val="22"/>
        </w:rPr>
        <w:t>uac-BarringInfoSetList</w:t>
      </w:r>
      <w:r w:rsidRPr="00FA0D37">
        <w:t xml:space="preserve">. </w:t>
      </w:r>
      <w:r w:rsidRPr="00FA0D37">
        <w:rPr>
          <w:lang w:eastAsia="zh-CN"/>
        </w:rPr>
        <w:t>Value 1 corresponds to the first entry in</w:t>
      </w:r>
      <w:r w:rsidRPr="00FA0D37">
        <w:rPr>
          <w:rFonts w:eastAsia="Calibri"/>
          <w:i/>
          <w:szCs w:val="22"/>
        </w:rPr>
        <w:t xml:space="preserve"> uac-BarringInfoSetList, </w:t>
      </w:r>
      <w:r w:rsidRPr="00FA0D37">
        <w:rPr>
          <w:lang w:eastAsia="zh-CN"/>
        </w:rPr>
        <w:t>value 2 corresponds to the second entry in this list</w:t>
      </w:r>
      <w:r w:rsidRPr="00FA0D37">
        <w:rPr>
          <w:rFonts w:eastAsia="Calibri"/>
          <w:szCs w:val="22"/>
        </w:rPr>
        <w:t xml:space="preserve"> and so on. An index value referring to an entry not included in </w:t>
      </w:r>
      <w:r w:rsidRPr="00FA0D37">
        <w:rPr>
          <w:rFonts w:eastAsia="Calibri"/>
          <w:i/>
          <w:szCs w:val="22"/>
        </w:rPr>
        <w:t xml:space="preserve">uac-BarringInfoSetList </w:t>
      </w:r>
      <w:r w:rsidRPr="00FA0D37">
        <w:rPr>
          <w:rFonts w:eastAsia="Calibri"/>
          <w:szCs w:val="22"/>
        </w:rPr>
        <w:t>indicates no barring.</w:t>
      </w:r>
    </w:p>
    <w:p w14:paraId="31688ECF" w14:textId="77777777" w:rsidR="00394471" w:rsidRPr="00FA0D37" w:rsidRDefault="00394471" w:rsidP="00394471">
      <w:pPr>
        <w:pStyle w:val="TH"/>
      </w:pPr>
      <w:r w:rsidRPr="00FA0D37">
        <w:rPr>
          <w:bCs/>
          <w:i/>
          <w:iCs/>
        </w:rPr>
        <w:t>UAC-BarringInfoSetIndex</w:t>
      </w:r>
      <w:r w:rsidRPr="00FA0D37">
        <w:rPr>
          <w:bCs/>
          <w:iCs/>
        </w:rPr>
        <w:t xml:space="preserve"> </w:t>
      </w:r>
      <w:r w:rsidRPr="00FA0D37">
        <w:t>information element</w:t>
      </w:r>
    </w:p>
    <w:p w14:paraId="133B78B6" w14:textId="77777777" w:rsidR="00394471" w:rsidRPr="00FA0D37" w:rsidRDefault="00394471" w:rsidP="00FA0D37">
      <w:pPr>
        <w:pStyle w:val="PL"/>
        <w:rPr>
          <w:color w:val="808080"/>
        </w:rPr>
      </w:pPr>
      <w:r w:rsidRPr="00FA0D37">
        <w:rPr>
          <w:color w:val="808080"/>
        </w:rPr>
        <w:t>-- ASN1START</w:t>
      </w:r>
    </w:p>
    <w:p w14:paraId="6B92ABF7" w14:textId="77777777" w:rsidR="00394471" w:rsidRPr="00FA0D37" w:rsidRDefault="00394471" w:rsidP="00FA0D37">
      <w:pPr>
        <w:pStyle w:val="PL"/>
        <w:rPr>
          <w:color w:val="808080"/>
        </w:rPr>
      </w:pPr>
      <w:r w:rsidRPr="00FA0D37">
        <w:rPr>
          <w:color w:val="808080"/>
        </w:rPr>
        <w:t>-- TAG-UAC-BARRINGINFOSETINDEX-START</w:t>
      </w:r>
    </w:p>
    <w:p w14:paraId="74DC185D" w14:textId="77777777" w:rsidR="00394471" w:rsidRPr="00FA0D37" w:rsidRDefault="00394471" w:rsidP="00FA0D37">
      <w:pPr>
        <w:pStyle w:val="PL"/>
      </w:pPr>
    </w:p>
    <w:p w14:paraId="3A9FAEE2" w14:textId="77777777" w:rsidR="00394471" w:rsidRPr="00FA0D37" w:rsidRDefault="00394471" w:rsidP="00FA0D37">
      <w:pPr>
        <w:pStyle w:val="PL"/>
      </w:pPr>
      <w:r w:rsidRPr="00FA0D37">
        <w:t xml:space="preserve">UAC-BarringInfoSetIndex ::=                </w:t>
      </w:r>
      <w:r w:rsidRPr="00FA0D37">
        <w:rPr>
          <w:color w:val="993366"/>
        </w:rPr>
        <w:t>INTEGER</w:t>
      </w:r>
      <w:r w:rsidRPr="00FA0D37">
        <w:t xml:space="preserve"> (1..maxBarringInfoSet)</w:t>
      </w:r>
    </w:p>
    <w:p w14:paraId="1B04DAC3" w14:textId="77777777" w:rsidR="00394471" w:rsidRPr="00FA0D37" w:rsidRDefault="00394471" w:rsidP="00FA0D37">
      <w:pPr>
        <w:pStyle w:val="PL"/>
      </w:pPr>
    </w:p>
    <w:p w14:paraId="24492955" w14:textId="77777777" w:rsidR="00394471" w:rsidRPr="00FA0D37" w:rsidRDefault="00394471" w:rsidP="00FA0D37">
      <w:pPr>
        <w:pStyle w:val="PL"/>
        <w:rPr>
          <w:color w:val="808080"/>
        </w:rPr>
      </w:pPr>
      <w:r w:rsidRPr="00FA0D37">
        <w:rPr>
          <w:color w:val="808080"/>
        </w:rPr>
        <w:t>-- TAG-UAC-BARRINGINFOSETINDEX-STOP</w:t>
      </w:r>
    </w:p>
    <w:p w14:paraId="25C36817" w14:textId="77777777" w:rsidR="00394471" w:rsidRPr="00FA0D37" w:rsidRDefault="00394471" w:rsidP="00FA0D37">
      <w:pPr>
        <w:pStyle w:val="PL"/>
        <w:rPr>
          <w:color w:val="808080"/>
        </w:rPr>
      </w:pPr>
      <w:r w:rsidRPr="00FA0D37">
        <w:rPr>
          <w:color w:val="808080"/>
        </w:rPr>
        <w:t>-- ASN1STOP</w:t>
      </w:r>
    </w:p>
    <w:p w14:paraId="547CF566" w14:textId="77777777" w:rsidR="00394471" w:rsidRPr="00FA0D37" w:rsidRDefault="00394471" w:rsidP="00394471"/>
    <w:p w14:paraId="58DF28FD" w14:textId="77777777" w:rsidR="00394471" w:rsidRPr="00FA0D37" w:rsidRDefault="00394471" w:rsidP="00394471">
      <w:pPr>
        <w:pStyle w:val="4"/>
        <w:rPr>
          <w:i/>
          <w:iCs/>
        </w:rPr>
      </w:pPr>
      <w:bookmarkStart w:id="1473" w:name="_Toc60777416"/>
      <w:bookmarkStart w:id="1474" w:name="_Toc146781507"/>
      <w:r w:rsidRPr="00FA0D37">
        <w:rPr>
          <w:i/>
        </w:rPr>
        <w:t>–</w:t>
      </w:r>
      <w:r w:rsidRPr="00FA0D37">
        <w:rPr>
          <w:i/>
        </w:rPr>
        <w:tab/>
        <w:t>UAC-BarringInfoSetList</w:t>
      </w:r>
      <w:bookmarkEnd w:id="1473"/>
      <w:bookmarkEnd w:id="1474"/>
    </w:p>
    <w:p w14:paraId="04345113" w14:textId="77777777" w:rsidR="00394471" w:rsidRPr="00FA0D37" w:rsidRDefault="00394471" w:rsidP="00394471">
      <w:r w:rsidRPr="00FA0D37">
        <w:t xml:space="preserve">The IE </w:t>
      </w:r>
      <w:r w:rsidRPr="00FA0D37">
        <w:rPr>
          <w:i/>
        </w:rPr>
        <w:t>UAC-BarringInfoSetList</w:t>
      </w:r>
      <w:r w:rsidRPr="00FA0D37">
        <w:t xml:space="preserve"> provides a list of access control parameter sets. An access category can be configured with access parameters according to one of the sets.</w:t>
      </w:r>
    </w:p>
    <w:p w14:paraId="6616ED3D" w14:textId="77777777" w:rsidR="00394471" w:rsidRPr="00FA0D37" w:rsidRDefault="00394471" w:rsidP="00394471">
      <w:pPr>
        <w:pStyle w:val="TH"/>
      </w:pPr>
      <w:r w:rsidRPr="00FA0D37">
        <w:rPr>
          <w:bCs/>
          <w:i/>
          <w:iCs/>
        </w:rPr>
        <w:t>UAC-BarringInfoSetList</w:t>
      </w:r>
      <w:r w:rsidRPr="00FA0D37">
        <w:rPr>
          <w:bCs/>
          <w:iCs/>
        </w:rPr>
        <w:t xml:space="preserve"> </w:t>
      </w:r>
      <w:r w:rsidRPr="00FA0D37">
        <w:t>information element</w:t>
      </w:r>
    </w:p>
    <w:p w14:paraId="189824DD" w14:textId="77777777" w:rsidR="00394471" w:rsidRPr="00FA0D37" w:rsidRDefault="00394471" w:rsidP="00FA0D37">
      <w:pPr>
        <w:pStyle w:val="PL"/>
        <w:rPr>
          <w:color w:val="808080"/>
        </w:rPr>
      </w:pPr>
      <w:r w:rsidRPr="00FA0D37">
        <w:rPr>
          <w:color w:val="808080"/>
        </w:rPr>
        <w:t>-- ASN1START</w:t>
      </w:r>
    </w:p>
    <w:p w14:paraId="1FCAF4C0" w14:textId="77777777" w:rsidR="00394471" w:rsidRPr="00FA0D37" w:rsidRDefault="00394471" w:rsidP="00FA0D37">
      <w:pPr>
        <w:pStyle w:val="PL"/>
        <w:rPr>
          <w:color w:val="808080"/>
        </w:rPr>
      </w:pPr>
      <w:r w:rsidRPr="00FA0D37">
        <w:rPr>
          <w:color w:val="808080"/>
        </w:rPr>
        <w:t>-- TAG-UAC-BARRINGINFOSETLIST-START</w:t>
      </w:r>
    </w:p>
    <w:p w14:paraId="481C21A5" w14:textId="77777777" w:rsidR="00394471" w:rsidRPr="00FA0D37" w:rsidRDefault="00394471" w:rsidP="00FA0D37">
      <w:pPr>
        <w:pStyle w:val="PL"/>
      </w:pPr>
    </w:p>
    <w:p w14:paraId="7A43A41C" w14:textId="77777777" w:rsidR="00394471" w:rsidRPr="00FA0D37" w:rsidRDefault="00394471" w:rsidP="00FA0D37">
      <w:pPr>
        <w:pStyle w:val="PL"/>
      </w:pPr>
      <w:r w:rsidRPr="00FA0D37">
        <w:t xml:space="preserve">UAC-BarringInfoSetList ::=          </w:t>
      </w:r>
      <w:r w:rsidRPr="00FA0D37">
        <w:rPr>
          <w:color w:val="993366"/>
        </w:rPr>
        <w:t>SEQUENCE</w:t>
      </w:r>
      <w:r w:rsidRPr="00FA0D37">
        <w:t xml:space="preserve"> (</w:t>
      </w:r>
      <w:r w:rsidRPr="00FA0D37">
        <w:rPr>
          <w:color w:val="993366"/>
        </w:rPr>
        <w:t>SIZE</w:t>
      </w:r>
      <w:r w:rsidRPr="00FA0D37">
        <w:t>(1..maxBarringInfoSet))</w:t>
      </w:r>
      <w:r w:rsidRPr="00FA0D37">
        <w:rPr>
          <w:color w:val="993366"/>
        </w:rPr>
        <w:t xml:space="preserve"> OF</w:t>
      </w:r>
      <w:r w:rsidRPr="00FA0D37">
        <w:t xml:space="preserve"> UAC-BarringInfoSet</w:t>
      </w:r>
    </w:p>
    <w:p w14:paraId="0FFBB8F7" w14:textId="77777777" w:rsidR="00394471" w:rsidRPr="00FA0D37" w:rsidRDefault="00394471" w:rsidP="00FA0D37">
      <w:pPr>
        <w:pStyle w:val="PL"/>
      </w:pPr>
    </w:p>
    <w:p w14:paraId="7DA8A1FC" w14:textId="145F7C8B" w:rsidR="00753375" w:rsidRPr="00FA0D37" w:rsidRDefault="00753375" w:rsidP="00FA0D37">
      <w:pPr>
        <w:pStyle w:val="PL"/>
      </w:pPr>
      <w:r w:rsidRPr="00FA0D37">
        <w:t xml:space="preserve">UAC-BarringInfoSetList-v1700 ::= </w:t>
      </w:r>
      <w:r w:rsidRPr="00FA0D37">
        <w:rPr>
          <w:color w:val="993366"/>
        </w:rPr>
        <w:t>SEQUENCE</w:t>
      </w:r>
      <w:r w:rsidRPr="00FA0D37">
        <w:t xml:space="preserve"> (</w:t>
      </w:r>
      <w:r w:rsidRPr="00FA0D37">
        <w:rPr>
          <w:color w:val="993366"/>
        </w:rPr>
        <w:t>SIZE</w:t>
      </w:r>
      <w:r w:rsidRPr="00FA0D37">
        <w:t>(1..maxBarringInfoSet))</w:t>
      </w:r>
      <w:r w:rsidRPr="00FA0D37">
        <w:rPr>
          <w:color w:val="993366"/>
        </w:rPr>
        <w:t xml:space="preserve"> OF</w:t>
      </w:r>
      <w:r w:rsidRPr="00FA0D37">
        <w:t xml:space="preserve"> UAC-BarringInfoSet-v1700</w:t>
      </w:r>
    </w:p>
    <w:p w14:paraId="7CB99A97" w14:textId="77777777" w:rsidR="00753375" w:rsidRPr="00FA0D37" w:rsidRDefault="00753375" w:rsidP="00FA0D37">
      <w:pPr>
        <w:pStyle w:val="PL"/>
      </w:pPr>
    </w:p>
    <w:p w14:paraId="46F399B2" w14:textId="74EE8036" w:rsidR="00394471" w:rsidRPr="00FA0D37" w:rsidRDefault="00394471" w:rsidP="00FA0D37">
      <w:pPr>
        <w:pStyle w:val="PL"/>
      </w:pPr>
      <w:r w:rsidRPr="00FA0D37">
        <w:t xml:space="preserve">UAC-BarringInfoSet ::=              </w:t>
      </w:r>
      <w:r w:rsidRPr="00FA0D37">
        <w:rPr>
          <w:color w:val="993366"/>
        </w:rPr>
        <w:t>SEQUENCE</w:t>
      </w:r>
      <w:r w:rsidRPr="00FA0D37">
        <w:t xml:space="preserve"> {</w:t>
      </w:r>
    </w:p>
    <w:p w14:paraId="0A5C23D3" w14:textId="77777777" w:rsidR="00394471" w:rsidRPr="00FA0D37" w:rsidRDefault="00394471" w:rsidP="00FA0D37">
      <w:pPr>
        <w:pStyle w:val="PL"/>
      </w:pPr>
      <w:r w:rsidRPr="00FA0D37">
        <w:t xml:space="preserve">    uac-BarringFactor                   </w:t>
      </w:r>
      <w:r w:rsidRPr="00FA0D37">
        <w:rPr>
          <w:color w:val="993366"/>
        </w:rPr>
        <w:t>ENUMERATED</w:t>
      </w:r>
      <w:r w:rsidRPr="00FA0D37">
        <w:t xml:space="preserve"> {p00, p05, p10, p15, p20, p25, p30, p40,</w:t>
      </w:r>
    </w:p>
    <w:p w14:paraId="0BD7072F" w14:textId="77777777" w:rsidR="00394471" w:rsidRPr="00FA0D37" w:rsidRDefault="00394471" w:rsidP="00FA0D37">
      <w:pPr>
        <w:pStyle w:val="PL"/>
      </w:pPr>
      <w:r w:rsidRPr="00FA0D37">
        <w:t xml:space="preserve">                                                    p50, p60, p70, p75, p80, p85, p90, p95},</w:t>
      </w:r>
    </w:p>
    <w:p w14:paraId="533B4C06" w14:textId="77777777" w:rsidR="00394471" w:rsidRPr="00FA0D37" w:rsidRDefault="00394471" w:rsidP="00FA0D37">
      <w:pPr>
        <w:pStyle w:val="PL"/>
      </w:pPr>
      <w:r w:rsidRPr="00FA0D37">
        <w:t xml:space="preserve">    uac-BarringTime                     </w:t>
      </w:r>
      <w:r w:rsidRPr="00FA0D37">
        <w:rPr>
          <w:color w:val="993366"/>
        </w:rPr>
        <w:t>ENUMERATED</w:t>
      </w:r>
      <w:r w:rsidRPr="00FA0D37">
        <w:t xml:space="preserve"> {s4, s8, s16, s32, s64, s128, s256, s512},</w:t>
      </w:r>
    </w:p>
    <w:p w14:paraId="24E053A1" w14:textId="77777777" w:rsidR="00394471" w:rsidRPr="00FA0D37" w:rsidRDefault="00394471" w:rsidP="00FA0D37">
      <w:pPr>
        <w:pStyle w:val="PL"/>
      </w:pPr>
      <w:r w:rsidRPr="00FA0D37">
        <w:t xml:space="preserve">    uac-BarringForAccessIdentity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(7))</w:t>
      </w:r>
    </w:p>
    <w:p w14:paraId="4CF50BF9" w14:textId="77777777" w:rsidR="00394471" w:rsidRPr="00FA0D37" w:rsidRDefault="00394471" w:rsidP="00FA0D37">
      <w:pPr>
        <w:pStyle w:val="PL"/>
      </w:pPr>
      <w:r w:rsidRPr="00FA0D37">
        <w:t>}</w:t>
      </w:r>
    </w:p>
    <w:p w14:paraId="470E0299" w14:textId="77777777" w:rsidR="00753375" w:rsidRPr="00FA0D37" w:rsidRDefault="00753375" w:rsidP="00FA0D37">
      <w:pPr>
        <w:pStyle w:val="PL"/>
      </w:pPr>
    </w:p>
    <w:p w14:paraId="7F86944D" w14:textId="425673EF" w:rsidR="00753375" w:rsidRPr="00FA0D37" w:rsidRDefault="00753375" w:rsidP="00FA0D37">
      <w:pPr>
        <w:pStyle w:val="PL"/>
      </w:pPr>
      <w:r w:rsidRPr="00FA0D37">
        <w:t>UAC-BarringInfoSet-v17</w:t>
      </w:r>
      <w:r w:rsidR="003006DC" w:rsidRPr="00FA0D37">
        <w:t>00</w:t>
      </w:r>
      <w:r w:rsidRPr="00FA0D37">
        <w:t xml:space="preserve"> ::= </w:t>
      </w:r>
      <w:r w:rsidRPr="00FA0D37">
        <w:rPr>
          <w:color w:val="993366"/>
        </w:rPr>
        <w:t>SEQUENCE</w:t>
      </w:r>
      <w:r w:rsidRPr="00FA0D37">
        <w:t xml:space="preserve"> {</w:t>
      </w:r>
    </w:p>
    <w:p w14:paraId="4894EB06" w14:textId="77777777" w:rsidR="00753375" w:rsidRPr="00FA0D37" w:rsidRDefault="00753375" w:rsidP="00FA0D37">
      <w:pPr>
        <w:pStyle w:val="PL"/>
      </w:pPr>
      <w:r w:rsidRPr="00FA0D37">
        <w:t xml:space="preserve">    uac-BarringFactorForAI3-r17  </w:t>
      </w:r>
      <w:r w:rsidRPr="00FA0D37">
        <w:rPr>
          <w:color w:val="993366"/>
        </w:rPr>
        <w:t>ENUMERATED</w:t>
      </w:r>
      <w:r w:rsidRPr="00FA0D37">
        <w:t xml:space="preserve"> {p00, p05, p10, p15, p20, p25, p30, p40, p50, p60, p70, p75, p80, p85, p90, p95}</w:t>
      </w:r>
    </w:p>
    <w:p w14:paraId="7CE12344" w14:textId="290162DE" w:rsidR="00753375" w:rsidRPr="00FA0D37" w:rsidRDefault="00753375"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S</w:t>
      </w:r>
    </w:p>
    <w:p w14:paraId="6412D58C" w14:textId="77777777" w:rsidR="00753375" w:rsidRPr="00FA0D37" w:rsidRDefault="00753375" w:rsidP="00FA0D37">
      <w:pPr>
        <w:pStyle w:val="PL"/>
      </w:pPr>
      <w:r w:rsidRPr="00FA0D37">
        <w:t>}</w:t>
      </w:r>
    </w:p>
    <w:p w14:paraId="6FD92A0B" w14:textId="77777777" w:rsidR="00394471" w:rsidRPr="00FA0D37" w:rsidRDefault="00394471" w:rsidP="00FA0D37">
      <w:pPr>
        <w:pStyle w:val="PL"/>
      </w:pPr>
    </w:p>
    <w:p w14:paraId="792ED8FC" w14:textId="77777777" w:rsidR="00394471" w:rsidRPr="00FA0D37" w:rsidRDefault="00394471" w:rsidP="00FA0D37">
      <w:pPr>
        <w:pStyle w:val="PL"/>
        <w:rPr>
          <w:color w:val="808080"/>
        </w:rPr>
      </w:pPr>
      <w:r w:rsidRPr="00FA0D37">
        <w:rPr>
          <w:color w:val="808080"/>
        </w:rPr>
        <w:t>-- TAG-UAC-BARRINGINFOSETLIST-STOP</w:t>
      </w:r>
    </w:p>
    <w:p w14:paraId="15473875" w14:textId="77777777" w:rsidR="00394471" w:rsidRPr="00FA0D37" w:rsidRDefault="00394471" w:rsidP="00FA0D37">
      <w:pPr>
        <w:pStyle w:val="PL"/>
        <w:rPr>
          <w:color w:val="808080"/>
        </w:rPr>
      </w:pPr>
      <w:r w:rsidRPr="00FA0D37">
        <w:rPr>
          <w:color w:val="808080"/>
        </w:rPr>
        <w:t>-- ASN1STOP</w:t>
      </w:r>
    </w:p>
    <w:p w14:paraId="684D8C2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FA0D37" w:rsidRDefault="00394471" w:rsidP="00964CC4">
            <w:pPr>
              <w:pStyle w:val="TAH"/>
              <w:rPr>
                <w:lang w:eastAsia="sv-SE"/>
              </w:rPr>
            </w:pPr>
            <w:r w:rsidRPr="00FA0D37">
              <w:rPr>
                <w:bCs/>
                <w:i/>
                <w:iCs/>
                <w:lang w:eastAsia="sv-SE"/>
              </w:rPr>
              <w:lastRenderedPageBreak/>
              <w:t>UAC-BarringInfoSetList</w:t>
            </w:r>
            <w:r w:rsidRPr="00FA0D37">
              <w:rPr>
                <w:lang w:eastAsia="sv-SE"/>
              </w:rPr>
              <w:t xml:space="preserve"> field descriptions</w:t>
            </w:r>
          </w:p>
        </w:tc>
      </w:tr>
      <w:tr w:rsidR="005C7FF4" w:rsidRPr="00FA0D37"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FA0D37" w:rsidRDefault="00394471" w:rsidP="00964CC4">
            <w:pPr>
              <w:pStyle w:val="TAL"/>
              <w:rPr>
                <w:rFonts w:eastAsia="Calibri"/>
                <w:szCs w:val="22"/>
                <w:lang w:eastAsia="sv-SE"/>
              </w:rPr>
            </w:pPr>
            <w:r w:rsidRPr="00FA0D37">
              <w:rPr>
                <w:rFonts w:eastAsia="Calibri"/>
                <w:b/>
                <w:i/>
                <w:szCs w:val="22"/>
                <w:lang w:eastAsia="sv-SE"/>
              </w:rPr>
              <w:t>uac-BarringInfoSetList</w:t>
            </w:r>
          </w:p>
          <w:p w14:paraId="51BCB43C" w14:textId="77777777" w:rsidR="00394471" w:rsidRPr="00FA0D37" w:rsidRDefault="00394471" w:rsidP="00964CC4">
            <w:pPr>
              <w:pStyle w:val="TAL"/>
              <w:rPr>
                <w:lang w:eastAsia="sv-SE"/>
              </w:rPr>
            </w:pPr>
            <w:r w:rsidRPr="00FA0D37">
              <w:rPr>
                <w:rFonts w:eastAsia="Calibri"/>
                <w:szCs w:val="22"/>
                <w:lang w:eastAsia="sv-SE"/>
              </w:rPr>
              <w:t xml:space="preserve">List of access control parameter sets. Each access category can be configured with access parameters corresponding to a particular set by </w:t>
            </w:r>
            <w:r w:rsidRPr="00FA0D37">
              <w:rPr>
                <w:rFonts w:eastAsia="Calibri"/>
                <w:i/>
                <w:szCs w:val="22"/>
                <w:lang w:eastAsia="sv-SE"/>
              </w:rPr>
              <w:t>uac-barringInfoSetIndex</w:t>
            </w:r>
            <w:r w:rsidRPr="00FA0D37">
              <w:rPr>
                <w:rFonts w:eastAsia="Calibri"/>
                <w:szCs w:val="22"/>
                <w:lang w:eastAsia="sv-SE"/>
              </w:rPr>
              <w:t xml:space="preserve">. Association of an access category with an index that has no corresponding entry in the </w:t>
            </w:r>
            <w:r w:rsidRPr="00FA0D37">
              <w:rPr>
                <w:rFonts w:eastAsia="Calibri"/>
                <w:i/>
                <w:szCs w:val="22"/>
                <w:lang w:eastAsia="sv-SE"/>
              </w:rPr>
              <w:t>uac-BarringInfoSetList</w:t>
            </w:r>
            <w:r w:rsidRPr="00FA0D37">
              <w:rPr>
                <w:rFonts w:eastAsia="Calibri"/>
                <w:szCs w:val="22"/>
                <w:lang w:eastAsia="sv-SE"/>
              </w:rPr>
              <w:t xml:space="preserve"> is valid configuration and indicates no barring.</w:t>
            </w:r>
          </w:p>
        </w:tc>
      </w:tr>
      <w:tr w:rsidR="005C7FF4" w:rsidRPr="00FA0D37"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FA0D37" w:rsidRDefault="00394471" w:rsidP="00964CC4">
            <w:pPr>
              <w:pStyle w:val="TAL"/>
              <w:rPr>
                <w:rFonts w:eastAsia="Calibri"/>
                <w:b/>
                <w:i/>
                <w:szCs w:val="22"/>
                <w:lang w:eastAsia="sv-SE"/>
              </w:rPr>
            </w:pPr>
            <w:r w:rsidRPr="00FA0D37">
              <w:rPr>
                <w:rFonts w:eastAsia="Calibri"/>
                <w:b/>
                <w:i/>
                <w:szCs w:val="22"/>
                <w:lang w:eastAsia="sv-SE"/>
              </w:rPr>
              <w:t>uac-BarringForAccessIdentity</w:t>
            </w:r>
          </w:p>
          <w:p w14:paraId="05D9C283" w14:textId="77777777" w:rsidR="00394471" w:rsidRPr="00FA0D37" w:rsidRDefault="00394471" w:rsidP="00964CC4">
            <w:pPr>
              <w:pStyle w:val="TAL"/>
              <w:rPr>
                <w:rFonts w:eastAsia="Calibri"/>
                <w:b/>
                <w:i/>
                <w:szCs w:val="22"/>
                <w:lang w:eastAsia="sv-SE"/>
              </w:rPr>
            </w:pPr>
            <w:r w:rsidRPr="00FA0D37">
              <w:rPr>
                <w:szCs w:val="22"/>
                <w:lang w:eastAsia="ko-KR"/>
              </w:rPr>
              <w:t xml:space="preserve">Indicates whether </w:t>
            </w:r>
            <w:r w:rsidRPr="00FA0D37">
              <w:rPr>
                <w:rFonts w:eastAsia="Calibri"/>
                <w:szCs w:val="22"/>
                <w:lang w:eastAsia="sv-SE"/>
              </w:rPr>
              <w:t xml:space="preserve">access attempt is allowed for each Access Identity. </w:t>
            </w:r>
            <w:r w:rsidRPr="00FA0D37">
              <w:rPr>
                <w:lang w:eastAsia="sv-SE"/>
              </w:rPr>
              <w:t xml:space="preserve">The leftmost bit, </w:t>
            </w:r>
            <w:r w:rsidRPr="00FA0D37">
              <w:rPr>
                <w:rFonts w:eastAsia="Calibri"/>
                <w:szCs w:val="22"/>
                <w:lang w:eastAsia="sv-SE"/>
              </w:rPr>
              <w:t xml:space="preserve">bit 0 in the bit string corresponds to Access Identity 1, </w:t>
            </w:r>
            <w:r w:rsidRPr="00FA0D37">
              <w:rPr>
                <w:lang w:eastAsia="sv-SE"/>
              </w:rPr>
              <w:t xml:space="preserve">bit 1 in the bit string corresponds to </w:t>
            </w:r>
            <w:r w:rsidRPr="00FA0D37">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5C7FF4" w:rsidRPr="00FA0D37"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FA0D37" w:rsidRDefault="00394471" w:rsidP="00964CC4">
            <w:pPr>
              <w:pStyle w:val="TAL"/>
              <w:rPr>
                <w:b/>
                <w:i/>
                <w:szCs w:val="22"/>
                <w:lang w:eastAsia="en-GB"/>
              </w:rPr>
            </w:pPr>
            <w:r w:rsidRPr="00FA0D37">
              <w:rPr>
                <w:b/>
                <w:i/>
                <w:szCs w:val="22"/>
                <w:lang w:eastAsia="en-GB"/>
              </w:rPr>
              <w:t>uac-BarringFactor</w:t>
            </w:r>
          </w:p>
          <w:p w14:paraId="62B7FD58" w14:textId="77777777" w:rsidR="00394471" w:rsidRPr="00FA0D37" w:rsidRDefault="00394471" w:rsidP="00964CC4">
            <w:pPr>
              <w:pStyle w:val="TAL"/>
              <w:rPr>
                <w:rFonts w:eastAsia="Calibri"/>
                <w:b/>
                <w:i/>
                <w:szCs w:val="22"/>
                <w:lang w:eastAsia="sv-SE"/>
              </w:rPr>
            </w:pPr>
            <w:r w:rsidRPr="00FA0D37">
              <w:rPr>
                <w:szCs w:val="22"/>
                <w:lang w:eastAsia="en-GB"/>
              </w:rPr>
              <w:t>Represents the probability that access attempt would be allowed during access barring check.</w:t>
            </w:r>
          </w:p>
        </w:tc>
      </w:tr>
      <w:tr w:rsidR="005C7FF4" w:rsidRPr="00FA0D37"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FA0D37" w:rsidRDefault="00753375" w:rsidP="00771058">
            <w:pPr>
              <w:pStyle w:val="TAL"/>
              <w:rPr>
                <w:b/>
                <w:i/>
                <w:szCs w:val="22"/>
                <w:lang w:eastAsia="en-GB"/>
              </w:rPr>
            </w:pPr>
            <w:r w:rsidRPr="00FA0D37">
              <w:rPr>
                <w:b/>
                <w:i/>
                <w:szCs w:val="22"/>
                <w:lang w:eastAsia="en-GB"/>
              </w:rPr>
              <w:t>uac-BarringFactorForAI3</w:t>
            </w:r>
          </w:p>
          <w:p w14:paraId="08CC5074" w14:textId="77777777" w:rsidR="00753375" w:rsidRPr="00FA0D37" w:rsidRDefault="00753375" w:rsidP="00771058">
            <w:pPr>
              <w:pStyle w:val="TAL"/>
              <w:rPr>
                <w:b/>
                <w:i/>
                <w:szCs w:val="22"/>
                <w:lang w:eastAsia="en-GB"/>
              </w:rPr>
            </w:pPr>
            <w:r w:rsidRPr="00FA0D37">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FA0D37"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FA0D37" w:rsidRDefault="00394471" w:rsidP="00964CC4">
            <w:pPr>
              <w:pStyle w:val="TAL"/>
              <w:rPr>
                <w:b/>
                <w:i/>
                <w:szCs w:val="22"/>
                <w:lang w:eastAsia="en-GB"/>
              </w:rPr>
            </w:pPr>
            <w:r w:rsidRPr="00FA0D37">
              <w:rPr>
                <w:b/>
                <w:i/>
                <w:szCs w:val="22"/>
                <w:lang w:eastAsia="en-GB"/>
              </w:rPr>
              <w:t>uac-BarringTime</w:t>
            </w:r>
          </w:p>
          <w:p w14:paraId="68673AFE" w14:textId="0079FB49" w:rsidR="00394471" w:rsidRPr="00FA0D37" w:rsidRDefault="00394471" w:rsidP="00964CC4">
            <w:pPr>
              <w:pStyle w:val="TAL"/>
              <w:rPr>
                <w:rFonts w:eastAsia="Calibri"/>
                <w:b/>
                <w:i/>
                <w:szCs w:val="22"/>
                <w:lang w:eastAsia="sv-SE"/>
              </w:rPr>
            </w:pPr>
            <w:r w:rsidRPr="00FA0D37">
              <w:rPr>
                <w:szCs w:val="22"/>
                <w:lang w:eastAsia="en-GB"/>
              </w:rPr>
              <w:t xml:space="preserve">The </w:t>
            </w:r>
            <w:r w:rsidR="00297A1D" w:rsidRPr="00FA0D37">
              <w:rPr>
                <w:szCs w:val="22"/>
                <w:lang w:eastAsia="en-GB"/>
              </w:rPr>
              <w:t xml:space="preserve">average </w:t>
            </w:r>
            <w:r w:rsidRPr="00FA0D37">
              <w:rPr>
                <w:szCs w:val="22"/>
                <w:lang w:eastAsia="en-GB"/>
              </w:rPr>
              <w:t>time in seconds before a new access attempt is to be performed after an access attempt was barred at access barring check for the same access category</w:t>
            </w:r>
            <w:r w:rsidR="00297A1D" w:rsidRPr="00FA0D37">
              <w:rPr>
                <w:szCs w:val="22"/>
                <w:lang w:eastAsia="en-GB"/>
              </w:rPr>
              <w:t>, see 5.3.14.5</w:t>
            </w:r>
            <w:r w:rsidRPr="00FA0D37">
              <w:rPr>
                <w:szCs w:val="22"/>
                <w:lang w:eastAsia="en-GB"/>
              </w:rPr>
              <w:t>.</w:t>
            </w:r>
          </w:p>
        </w:tc>
      </w:tr>
    </w:tbl>
    <w:p w14:paraId="037D8FEE" w14:textId="77777777" w:rsidR="00394471" w:rsidRPr="00FA0D37" w:rsidRDefault="00394471" w:rsidP="00394471"/>
    <w:p w14:paraId="03075849" w14:textId="77777777" w:rsidR="00394471" w:rsidRPr="00FA0D37" w:rsidRDefault="00394471" w:rsidP="00394471">
      <w:pPr>
        <w:pStyle w:val="4"/>
        <w:rPr>
          <w:i/>
          <w:iCs/>
        </w:rPr>
      </w:pPr>
      <w:bookmarkStart w:id="1475" w:name="_Toc60777417"/>
      <w:bookmarkStart w:id="1476" w:name="_Toc146781508"/>
      <w:r w:rsidRPr="00FA0D37">
        <w:rPr>
          <w:i/>
        </w:rPr>
        <w:t>–</w:t>
      </w:r>
      <w:r w:rsidRPr="00FA0D37">
        <w:rPr>
          <w:i/>
        </w:rPr>
        <w:tab/>
        <w:t>UAC-BarringPerCatList</w:t>
      </w:r>
      <w:bookmarkEnd w:id="1475"/>
      <w:bookmarkEnd w:id="1476"/>
    </w:p>
    <w:p w14:paraId="4BD28C2F" w14:textId="77777777" w:rsidR="00394471" w:rsidRPr="00FA0D37" w:rsidRDefault="00394471" w:rsidP="00394471">
      <w:r w:rsidRPr="00FA0D37">
        <w:t xml:space="preserve">The IE </w:t>
      </w:r>
      <w:r w:rsidRPr="00FA0D37">
        <w:rPr>
          <w:i/>
        </w:rPr>
        <w:t>UAC-BarringPerCatList</w:t>
      </w:r>
      <w:r w:rsidRPr="00FA0D37">
        <w:t xml:space="preserve"> provides access control parameters for a list of access categories.</w:t>
      </w:r>
    </w:p>
    <w:p w14:paraId="6758D299" w14:textId="77777777" w:rsidR="00394471" w:rsidRPr="00FA0D37" w:rsidRDefault="00394471" w:rsidP="00394471">
      <w:pPr>
        <w:pStyle w:val="TH"/>
      </w:pPr>
      <w:r w:rsidRPr="00FA0D37">
        <w:rPr>
          <w:bCs/>
          <w:i/>
          <w:iCs/>
        </w:rPr>
        <w:t>UAC-BarringPerCatList</w:t>
      </w:r>
      <w:r w:rsidRPr="00FA0D37">
        <w:rPr>
          <w:bCs/>
          <w:iCs/>
        </w:rPr>
        <w:t xml:space="preserve"> </w:t>
      </w:r>
      <w:r w:rsidRPr="00FA0D37">
        <w:t>information element</w:t>
      </w:r>
    </w:p>
    <w:p w14:paraId="55941B29" w14:textId="77777777" w:rsidR="00394471" w:rsidRPr="00FA0D37" w:rsidRDefault="00394471" w:rsidP="00FA0D37">
      <w:pPr>
        <w:pStyle w:val="PL"/>
        <w:rPr>
          <w:color w:val="808080"/>
        </w:rPr>
      </w:pPr>
      <w:r w:rsidRPr="00FA0D37">
        <w:rPr>
          <w:color w:val="808080"/>
        </w:rPr>
        <w:t>-- ASN1START</w:t>
      </w:r>
    </w:p>
    <w:p w14:paraId="2DE2DD18" w14:textId="77777777" w:rsidR="00394471" w:rsidRPr="00FA0D37" w:rsidRDefault="00394471" w:rsidP="00FA0D37">
      <w:pPr>
        <w:pStyle w:val="PL"/>
        <w:rPr>
          <w:color w:val="808080"/>
        </w:rPr>
      </w:pPr>
      <w:r w:rsidRPr="00FA0D37">
        <w:rPr>
          <w:color w:val="808080"/>
        </w:rPr>
        <w:t>-- TAG-UAC-BARRINGPERCATLIST-START</w:t>
      </w:r>
    </w:p>
    <w:p w14:paraId="7348BC74" w14:textId="77777777" w:rsidR="00394471" w:rsidRPr="00FA0D37" w:rsidRDefault="00394471" w:rsidP="00FA0D37">
      <w:pPr>
        <w:pStyle w:val="PL"/>
      </w:pPr>
    </w:p>
    <w:p w14:paraId="4872AD12" w14:textId="77777777" w:rsidR="00394471" w:rsidRPr="00FA0D37" w:rsidRDefault="00394471" w:rsidP="00FA0D37">
      <w:pPr>
        <w:pStyle w:val="PL"/>
      </w:pPr>
      <w:r w:rsidRPr="00FA0D37">
        <w:t xml:space="preserve">UAC-BarringPerCatList ::=           </w:t>
      </w:r>
      <w:r w:rsidRPr="00FA0D37">
        <w:rPr>
          <w:color w:val="993366"/>
        </w:rPr>
        <w:t>SEQUENCE</w:t>
      </w:r>
      <w:r w:rsidRPr="00FA0D37">
        <w:t xml:space="preserve"> (</w:t>
      </w:r>
      <w:r w:rsidRPr="00FA0D37">
        <w:rPr>
          <w:color w:val="993366"/>
        </w:rPr>
        <w:t>SIZE</w:t>
      </w:r>
      <w:r w:rsidRPr="00FA0D37">
        <w:t xml:space="preserve"> (1..maxAccessCat-1))</w:t>
      </w:r>
      <w:r w:rsidRPr="00FA0D37">
        <w:rPr>
          <w:color w:val="993366"/>
        </w:rPr>
        <w:t xml:space="preserve"> OF</w:t>
      </w:r>
      <w:r w:rsidRPr="00FA0D37">
        <w:t xml:space="preserve"> UAC-BarringPerCat</w:t>
      </w:r>
    </w:p>
    <w:p w14:paraId="726659FC" w14:textId="77777777" w:rsidR="00394471" w:rsidRPr="00FA0D37" w:rsidRDefault="00394471" w:rsidP="00FA0D37">
      <w:pPr>
        <w:pStyle w:val="PL"/>
      </w:pPr>
    </w:p>
    <w:p w14:paraId="5B971F91" w14:textId="77777777" w:rsidR="00394471" w:rsidRPr="00FA0D37" w:rsidRDefault="00394471" w:rsidP="00FA0D37">
      <w:pPr>
        <w:pStyle w:val="PL"/>
      </w:pPr>
      <w:r w:rsidRPr="00FA0D37">
        <w:t xml:space="preserve">UAC-BarringPerCat ::=               </w:t>
      </w:r>
      <w:r w:rsidRPr="00FA0D37">
        <w:rPr>
          <w:color w:val="993366"/>
        </w:rPr>
        <w:t>SEQUENCE</w:t>
      </w:r>
      <w:r w:rsidRPr="00FA0D37">
        <w:t xml:space="preserve"> {</w:t>
      </w:r>
    </w:p>
    <w:p w14:paraId="4FA2E3CD" w14:textId="77777777" w:rsidR="00394471" w:rsidRPr="00FA0D37" w:rsidRDefault="00394471" w:rsidP="00FA0D37">
      <w:pPr>
        <w:pStyle w:val="PL"/>
      </w:pPr>
      <w:r w:rsidRPr="00FA0D37">
        <w:t xml:space="preserve">   accessCategory                       </w:t>
      </w:r>
      <w:r w:rsidRPr="00FA0D37">
        <w:rPr>
          <w:color w:val="993366"/>
        </w:rPr>
        <w:t>INTEGER</w:t>
      </w:r>
      <w:r w:rsidRPr="00FA0D37">
        <w:t xml:space="preserve"> (1..maxAccessCat-1),</w:t>
      </w:r>
    </w:p>
    <w:p w14:paraId="370A1F6B" w14:textId="77777777" w:rsidR="00394471" w:rsidRPr="00FA0D37" w:rsidRDefault="00394471" w:rsidP="00FA0D37">
      <w:pPr>
        <w:pStyle w:val="PL"/>
      </w:pPr>
      <w:r w:rsidRPr="00FA0D37">
        <w:t xml:space="preserve">   uac-barringInfoSetIndex              UAC-BarringInfoSetIndex</w:t>
      </w:r>
    </w:p>
    <w:p w14:paraId="1A640D96" w14:textId="77777777" w:rsidR="00394471" w:rsidRPr="00FA0D37" w:rsidRDefault="00394471" w:rsidP="00FA0D37">
      <w:pPr>
        <w:pStyle w:val="PL"/>
      </w:pPr>
      <w:r w:rsidRPr="00FA0D37">
        <w:t>}</w:t>
      </w:r>
    </w:p>
    <w:p w14:paraId="0B69F26F" w14:textId="77777777" w:rsidR="00394471" w:rsidRPr="00FA0D37" w:rsidRDefault="00394471" w:rsidP="00FA0D37">
      <w:pPr>
        <w:pStyle w:val="PL"/>
      </w:pPr>
    </w:p>
    <w:p w14:paraId="7A8655FA" w14:textId="77777777" w:rsidR="00394471" w:rsidRPr="00FA0D37" w:rsidRDefault="00394471" w:rsidP="00FA0D37">
      <w:pPr>
        <w:pStyle w:val="PL"/>
        <w:rPr>
          <w:color w:val="808080"/>
        </w:rPr>
      </w:pPr>
      <w:r w:rsidRPr="00FA0D37">
        <w:rPr>
          <w:color w:val="808080"/>
        </w:rPr>
        <w:t>-- TAG-UAC-BARRINGPERCATLIST-STOP</w:t>
      </w:r>
    </w:p>
    <w:p w14:paraId="0E9D46DE" w14:textId="77777777" w:rsidR="00394471" w:rsidRPr="00FA0D37" w:rsidRDefault="00394471" w:rsidP="00FA0D37">
      <w:pPr>
        <w:pStyle w:val="PL"/>
        <w:rPr>
          <w:color w:val="808080"/>
        </w:rPr>
      </w:pPr>
      <w:r w:rsidRPr="00FA0D37">
        <w:rPr>
          <w:color w:val="808080"/>
        </w:rPr>
        <w:t>-- ASN1STOP</w:t>
      </w:r>
    </w:p>
    <w:p w14:paraId="42B46D9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FA0D37" w:rsidRDefault="00394471" w:rsidP="00964CC4">
            <w:pPr>
              <w:pStyle w:val="TAH"/>
              <w:rPr>
                <w:lang w:eastAsia="sv-SE"/>
              </w:rPr>
            </w:pPr>
            <w:r w:rsidRPr="00FA0D37">
              <w:rPr>
                <w:bCs/>
                <w:i/>
                <w:iCs/>
                <w:lang w:eastAsia="sv-SE"/>
              </w:rPr>
              <w:t>UAC-BarringPerCatList</w:t>
            </w:r>
            <w:r w:rsidRPr="00FA0D37">
              <w:rPr>
                <w:lang w:eastAsia="sv-SE"/>
              </w:rPr>
              <w:t xml:space="preserve"> field descriptions</w:t>
            </w:r>
          </w:p>
        </w:tc>
      </w:tr>
      <w:tr w:rsidR="00394471" w:rsidRPr="00FA0D37"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FA0D37" w:rsidRDefault="00394471" w:rsidP="00964CC4">
            <w:pPr>
              <w:pStyle w:val="TAL"/>
              <w:rPr>
                <w:b/>
                <w:i/>
                <w:szCs w:val="22"/>
                <w:lang w:eastAsia="en-GB"/>
              </w:rPr>
            </w:pPr>
            <w:r w:rsidRPr="00FA0D37">
              <w:rPr>
                <w:b/>
                <w:i/>
                <w:szCs w:val="22"/>
                <w:lang w:eastAsia="en-GB"/>
              </w:rPr>
              <w:t>accessCategory</w:t>
            </w:r>
          </w:p>
          <w:p w14:paraId="1586AFBA" w14:textId="77777777" w:rsidR="00394471" w:rsidRPr="00FA0D37" w:rsidRDefault="00394471" w:rsidP="00964CC4">
            <w:pPr>
              <w:pStyle w:val="TAL"/>
              <w:rPr>
                <w:lang w:eastAsia="sv-SE"/>
              </w:rPr>
            </w:pPr>
            <w:r w:rsidRPr="00FA0D37">
              <w:rPr>
                <w:szCs w:val="22"/>
                <w:lang w:eastAsia="en-GB"/>
              </w:rPr>
              <w:t>The Access Category according to TS 22.261 [25].</w:t>
            </w:r>
          </w:p>
        </w:tc>
      </w:tr>
    </w:tbl>
    <w:p w14:paraId="652610D0" w14:textId="77777777" w:rsidR="00394471" w:rsidRPr="00FA0D37" w:rsidRDefault="00394471" w:rsidP="00394471"/>
    <w:p w14:paraId="005FFA6C" w14:textId="77777777" w:rsidR="00394471" w:rsidRPr="00FA0D37" w:rsidRDefault="00394471" w:rsidP="00394471">
      <w:pPr>
        <w:pStyle w:val="4"/>
        <w:rPr>
          <w:i/>
          <w:iCs/>
        </w:rPr>
      </w:pPr>
      <w:bookmarkStart w:id="1477" w:name="_Toc60777418"/>
      <w:bookmarkStart w:id="1478" w:name="_Toc146781509"/>
      <w:r w:rsidRPr="00FA0D37">
        <w:rPr>
          <w:i/>
        </w:rPr>
        <w:lastRenderedPageBreak/>
        <w:t>–</w:t>
      </w:r>
      <w:r w:rsidRPr="00FA0D37">
        <w:rPr>
          <w:i/>
        </w:rPr>
        <w:tab/>
        <w:t>UAC-BarringPerPLMN-List</w:t>
      </w:r>
      <w:bookmarkEnd w:id="1477"/>
      <w:bookmarkEnd w:id="1478"/>
    </w:p>
    <w:p w14:paraId="7D16A233" w14:textId="4006227F" w:rsidR="00394471" w:rsidRPr="00FA0D37" w:rsidRDefault="00394471" w:rsidP="00394471">
      <w:r w:rsidRPr="00FA0D37">
        <w:t xml:space="preserve">The IE </w:t>
      </w:r>
      <w:r w:rsidRPr="00FA0D37">
        <w:rPr>
          <w:i/>
        </w:rPr>
        <w:t>UAC-BarringPerPLMN-List</w:t>
      </w:r>
      <w:r w:rsidRPr="00FA0D37">
        <w:t xml:space="preserve"> provides access category specific access control parameters, which are configured per PLMN</w:t>
      </w:r>
      <w:r w:rsidR="00985AB7" w:rsidRPr="00FA0D37">
        <w:t>/SNPN</w:t>
      </w:r>
      <w:r w:rsidRPr="00FA0D37">
        <w:t>.</w:t>
      </w:r>
    </w:p>
    <w:p w14:paraId="68597BBB" w14:textId="77777777" w:rsidR="00394471" w:rsidRPr="00FA0D37" w:rsidRDefault="00394471" w:rsidP="00394471">
      <w:pPr>
        <w:pStyle w:val="TH"/>
      </w:pPr>
      <w:r w:rsidRPr="00FA0D37">
        <w:rPr>
          <w:bCs/>
          <w:i/>
          <w:iCs/>
        </w:rPr>
        <w:t>UAC-BarringPerPLMN-List</w:t>
      </w:r>
      <w:r w:rsidRPr="00FA0D37">
        <w:rPr>
          <w:bCs/>
          <w:iCs/>
        </w:rPr>
        <w:t xml:space="preserve"> </w:t>
      </w:r>
      <w:r w:rsidRPr="00FA0D37">
        <w:t>information element</w:t>
      </w:r>
    </w:p>
    <w:p w14:paraId="4BECB13D" w14:textId="77777777" w:rsidR="00394471" w:rsidRPr="00FA0D37" w:rsidRDefault="00394471" w:rsidP="00FA0D37">
      <w:pPr>
        <w:pStyle w:val="PL"/>
        <w:rPr>
          <w:color w:val="808080"/>
        </w:rPr>
      </w:pPr>
      <w:r w:rsidRPr="00FA0D37">
        <w:rPr>
          <w:color w:val="808080"/>
        </w:rPr>
        <w:t>-- ASN1START</w:t>
      </w:r>
    </w:p>
    <w:p w14:paraId="5258581C" w14:textId="77777777" w:rsidR="00394471" w:rsidRPr="00FA0D37" w:rsidRDefault="00394471" w:rsidP="00FA0D37">
      <w:pPr>
        <w:pStyle w:val="PL"/>
        <w:rPr>
          <w:color w:val="808080"/>
        </w:rPr>
      </w:pPr>
      <w:r w:rsidRPr="00FA0D37">
        <w:rPr>
          <w:color w:val="808080"/>
        </w:rPr>
        <w:t>-- TAG-UAC-BARRINGPERPLMN-LIST-START</w:t>
      </w:r>
    </w:p>
    <w:p w14:paraId="22391A0B" w14:textId="77777777" w:rsidR="00394471" w:rsidRPr="00FA0D37" w:rsidRDefault="00394471" w:rsidP="00FA0D37">
      <w:pPr>
        <w:pStyle w:val="PL"/>
      </w:pPr>
    </w:p>
    <w:p w14:paraId="03A8D2BE" w14:textId="77777777" w:rsidR="00394471" w:rsidRPr="00FA0D37" w:rsidRDefault="00394471" w:rsidP="00FA0D37">
      <w:pPr>
        <w:pStyle w:val="PL"/>
      </w:pPr>
      <w:r w:rsidRPr="00FA0D37">
        <w:t xml:space="preserve">UAC-BarringPerPLMN-List ::=         </w:t>
      </w:r>
      <w:r w:rsidRPr="00FA0D37">
        <w:rPr>
          <w:color w:val="993366"/>
        </w:rPr>
        <w:t>SEQUENCE</w:t>
      </w:r>
      <w:r w:rsidRPr="00FA0D37">
        <w:t xml:space="preserve"> (</w:t>
      </w:r>
      <w:r w:rsidRPr="00FA0D37">
        <w:rPr>
          <w:color w:val="993366"/>
        </w:rPr>
        <w:t>SIZE</w:t>
      </w:r>
      <w:r w:rsidRPr="00FA0D37">
        <w:t xml:space="preserve"> (1.. maxPLMN))</w:t>
      </w:r>
      <w:r w:rsidRPr="00FA0D37">
        <w:rPr>
          <w:color w:val="993366"/>
        </w:rPr>
        <w:t xml:space="preserve"> OF</w:t>
      </w:r>
      <w:r w:rsidRPr="00FA0D37">
        <w:t xml:space="preserve"> UAC-BarringPerPLMN</w:t>
      </w:r>
    </w:p>
    <w:p w14:paraId="7EA98615" w14:textId="77777777" w:rsidR="00394471" w:rsidRPr="00FA0D37" w:rsidRDefault="00394471" w:rsidP="00FA0D37">
      <w:pPr>
        <w:pStyle w:val="PL"/>
      </w:pPr>
    </w:p>
    <w:p w14:paraId="4889C346" w14:textId="77777777" w:rsidR="00394471" w:rsidRPr="00FA0D37" w:rsidRDefault="00394471" w:rsidP="00FA0D37">
      <w:pPr>
        <w:pStyle w:val="PL"/>
      </w:pPr>
      <w:r w:rsidRPr="00FA0D37">
        <w:t xml:space="preserve">UAC-BarringPerPLMN ::=              </w:t>
      </w:r>
      <w:r w:rsidRPr="00FA0D37">
        <w:rPr>
          <w:color w:val="993366"/>
        </w:rPr>
        <w:t>SEQUENCE</w:t>
      </w:r>
      <w:r w:rsidRPr="00FA0D37">
        <w:t xml:space="preserve"> {</w:t>
      </w:r>
    </w:p>
    <w:p w14:paraId="681520C8" w14:textId="77777777" w:rsidR="00394471" w:rsidRPr="00FA0D37" w:rsidRDefault="00394471" w:rsidP="00FA0D37">
      <w:pPr>
        <w:pStyle w:val="PL"/>
      </w:pPr>
      <w:r w:rsidRPr="00FA0D37">
        <w:t xml:space="preserve">    plmn-IdentityIndex                  </w:t>
      </w:r>
      <w:r w:rsidRPr="00FA0D37">
        <w:rPr>
          <w:color w:val="993366"/>
        </w:rPr>
        <w:t>INTEGER</w:t>
      </w:r>
      <w:r w:rsidRPr="00FA0D37">
        <w:t xml:space="preserve"> (1..maxPLMN),</w:t>
      </w:r>
    </w:p>
    <w:p w14:paraId="0D977605" w14:textId="77777777" w:rsidR="00394471" w:rsidRPr="00FA0D37" w:rsidRDefault="00394471" w:rsidP="00FA0D37">
      <w:pPr>
        <w:pStyle w:val="PL"/>
      </w:pPr>
      <w:r w:rsidRPr="00FA0D37">
        <w:t xml:space="preserve">    uac-ACBarringListType               </w:t>
      </w:r>
      <w:r w:rsidRPr="00FA0D37">
        <w:rPr>
          <w:color w:val="993366"/>
        </w:rPr>
        <w:t>CHOICE</w:t>
      </w:r>
      <w:r w:rsidRPr="00FA0D37">
        <w:t>{</w:t>
      </w:r>
    </w:p>
    <w:p w14:paraId="06975DBC" w14:textId="77777777" w:rsidR="00394471" w:rsidRPr="00FA0D37" w:rsidRDefault="00394471" w:rsidP="00FA0D37">
      <w:pPr>
        <w:pStyle w:val="PL"/>
      </w:pPr>
      <w:r w:rsidRPr="00FA0D37">
        <w:t xml:space="preserve">        uac-ImplicitACBarringList           </w:t>
      </w:r>
      <w:r w:rsidRPr="00FA0D37">
        <w:rPr>
          <w:color w:val="993366"/>
        </w:rPr>
        <w:t>SEQUENCE</w:t>
      </w:r>
      <w:r w:rsidRPr="00FA0D37">
        <w:t xml:space="preserve"> (</w:t>
      </w:r>
      <w:r w:rsidRPr="00FA0D37">
        <w:rPr>
          <w:color w:val="993366"/>
        </w:rPr>
        <w:t>SIZE</w:t>
      </w:r>
      <w:r w:rsidRPr="00FA0D37">
        <w:t>(maxAccessCat-1))</w:t>
      </w:r>
      <w:r w:rsidRPr="00FA0D37">
        <w:rPr>
          <w:color w:val="993366"/>
        </w:rPr>
        <w:t xml:space="preserve"> OF</w:t>
      </w:r>
      <w:r w:rsidRPr="00FA0D37">
        <w:t xml:space="preserve"> UAC-BarringInfoSetIndex,</w:t>
      </w:r>
    </w:p>
    <w:p w14:paraId="77F3A672" w14:textId="77777777" w:rsidR="00394471" w:rsidRPr="00FA0D37" w:rsidRDefault="00394471" w:rsidP="00FA0D37">
      <w:pPr>
        <w:pStyle w:val="PL"/>
      </w:pPr>
      <w:r w:rsidRPr="00FA0D37">
        <w:t xml:space="preserve">        uac-ExplicitACBarringList           UAC-BarringPerCatList</w:t>
      </w:r>
    </w:p>
    <w:p w14:paraId="5945699C"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S</w:t>
      </w:r>
    </w:p>
    <w:p w14:paraId="56F16BCC" w14:textId="77777777" w:rsidR="00394471" w:rsidRPr="00FA0D37" w:rsidRDefault="00394471" w:rsidP="00FA0D37">
      <w:pPr>
        <w:pStyle w:val="PL"/>
      </w:pPr>
      <w:r w:rsidRPr="00FA0D37">
        <w:t>}</w:t>
      </w:r>
    </w:p>
    <w:p w14:paraId="06C1610E" w14:textId="77777777" w:rsidR="00394471" w:rsidRPr="00FA0D37" w:rsidRDefault="00394471" w:rsidP="00FA0D37">
      <w:pPr>
        <w:pStyle w:val="PL"/>
      </w:pPr>
    </w:p>
    <w:p w14:paraId="43B517CC" w14:textId="77777777" w:rsidR="00394471" w:rsidRPr="00FA0D37" w:rsidRDefault="00394471" w:rsidP="00FA0D37">
      <w:pPr>
        <w:pStyle w:val="PL"/>
        <w:rPr>
          <w:color w:val="808080"/>
        </w:rPr>
      </w:pPr>
      <w:r w:rsidRPr="00FA0D37">
        <w:rPr>
          <w:color w:val="808080"/>
        </w:rPr>
        <w:t>-- TAG-UAC-BARRINGPERPLMN-LIST-STOP</w:t>
      </w:r>
    </w:p>
    <w:p w14:paraId="155ED26A" w14:textId="77777777" w:rsidR="00394471" w:rsidRPr="00FA0D37" w:rsidRDefault="00394471" w:rsidP="00FA0D37">
      <w:pPr>
        <w:pStyle w:val="PL"/>
        <w:rPr>
          <w:color w:val="808080"/>
        </w:rPr>
      </w:pPr>
      <w:r w:rsidRPr="00FA0D37">
        <w:rPr>
          <w:color w:val="808080"/>
        </w:rPr>
        <w:t>-- ASN1STOP</w:t>
      </w:r>
    </w:p>
    <w:p w14:paraId="71BAF62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FA0D37" w:rsidRDefault="00394471" w:rsidP="00964CC4">
            <w:pPr>
              <w:pStyle w:val="TAH"/>
              <w:rPr>
                <w:lang w:eastAsia="sv-SE"/>
              </w:rPr>
            </w:pPr>
            <w:r w:rsidRPr="00FA0D37">
              <w:rPr>
                <w:bCs/>
                <w:i/>
                <w:iCs/>
                <w:lang w:eastAsia="sv-SE"/>
              </w:rPr>
              <w:t>UAC-BarringPerPLMN-List</w:t>
            </w:r>
            <w:r w:rsidRPr="00FA0D37">
              <w:rPr>
                <w:lang w:eastAsia="sv-SE"/>
              </w:rPr>
              <w:t xml:space="preserve"> field descriptions</w:t>
            </w:r>
          </w:p>
        </w:tc>
      </w:tr>
      <w:tr w:rsidR="005C7FF4" w:rsidRPr="00FA0D37"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FA0D37" w:rsidRDefault="00394471" w:rsidP="00964CC4">
            <w:pPr>
              <w:pStyle w:val="TAL"/>
              <w:rPr>
                <w:rFonts w:eastAsia="Calibri"/>
                <w:szCs w:val="22"/>
                <w:lang w:eastAsia="sv-SE"/>
              </w:rPr>
            </w:pPr>
            <w:r w:rsidRPr="00FA0D37">
              <w:rPr>
                <w:rFonts w:eastAsia="Calibri"/>
                <w:b/>
                <w:i/>
                <w:szCs w:val="22"/>
                <w:lang w:eastAsia="sv-SE"/>
              </w:rPr>
              <w:t>uac-ACBarringListType</w:t>
            </w:r>
          </w:p>
          <w:p w14:paraId="4E096870" w14:textId="77777777" w:rsidR="00394471" w:rsidRPr="00FA0D37" w:rsidRDefault="00394471" w:rsidP="00964CC4">
            <w:pPr>
              <w:pStyle w:val="TAL"/>
              <w:rPr>
                <w:lang w:eastAsia="sv-SE"/>
              </w:rPr>
            </w:pPr>
            <w:r w:rsidRPr="00FA0D37">
              <w:rPr>
                <w:rFonts w:eastAsia="Calibri"/>
                <w:szCs w:val="22"/>
                <w:lang w:eastAsia="sv-SE"/>
              </w:rPr>
              <w:t>Access control parameters for each access category valid only for a specific PLMN</w:t>
            </w:r>
            <w:r w:rsidRPr="00FA0D37">
              <w:rPr>
                <w:rFonts w:eastAsia="Calibri"/>
                <w:szCs w:val="22"/>
              </w:rPr>
              <w:t xml:space="preserve"> or SNPN</w:t>
            </w:r>
            <w:r w:rsidRPr="00FA0D37">
              <w:rPr>
                <w:rFonts w:eastAsia="Calibri"/>
                <w:szCs w:val="22"/>
                <w:lang w:eastAsia="sv-SE"/>
              </w:rPr>
              <w:t>. UE behaviour upon absence of this field is specified in clause 5.3.14.2.</w:t>
            </w:r>
          </w:p>
        </w:tc>
      </w:tr>
      <w:tr w:rsidR="00394471" w:rsidRPr="00FA0D37"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FA0D37" w:rsidRDefault="00394471" w:rsidP="00964CC4">
            <w:pPr>
              <w:pStyle w:val="TAL"/>
              <w:rPr>
                <w:rFonts w:eastAsia="Calibri"/>
                <w:b/>
                <w:i/>
                <w:szCs w:val="22"/>
                <w:lang w:eastAsia="sv-SE"/>
              </w:rPr>
            </w:pPr>
            <w:r w:rsidRPr="00FA0D37">
              <w:rPr>
                <w:rFonts w:eastAsia="Calibri"/>
                <w:b/>
                <w:i/>
                <w:szCs w:val="22"/>
                <w:lang w:eastAsia="sv-SE"/>
              </w:rPr>
              <w:t>plmn-IdentityIndex</w:t>
            </w:r>
          </w:p>
          <w:p w14:paraId="0E4FC822" w14:textId="23BF3131" w:rsidR="00394471" w:rsidRPr="00FA0D37" w:rsidRDefault="00394471" w:rsidP="00964CC4">
            <w:pPr>
              <w:pStyle w:val="TAL"/>
              <w:rPr>
                <w:rFonts w:eastAsia="Calibri"/>
                <w:szCs w:val="22"/>
                <w:lang w:eastAsia="sv-SE"/>
              </w:rPr>
            </w:pPr>
            <w:r w:rsidRPr="00FA0D37">
              <w:rPr>
                <w:rFonts w:eastAsia="Calibri"/>
                <w:szCs w:val="22"/>
                <w:lang w:eastAsia="sv-SE"/>
              </w:rPr>
              <w:t xml:space="preserve">Index of the PLMN or SNPN across the </w:t>
            </w:r>
            <w:r w:rsidRPr="00FA0D37">
              <w:rPr>
                <w:rFonts w:eastAsia="Calibri"/>
                <w:i/>
                <w:szCs w:val="22"/>
                <w:lang w:eastAsia="sv-SE"/>
              </w:rPr>
              <w:t>plmn-Identity</w:t>
            </w:r>
            <w:r w:rsidR="00A371DB" w:rsidRPr="00FA0D37">
              <w:rPr>
                <w:rFonts w:eastAsia="Calibri"/>
                <w:i/>
                <w:szCs w:val="22"/>
                <w:lang w:eastAsia="sv-SE"/>
              </w:rPr>
              <w:t>Info</w:t>
            </w:r>
            <w:r w:rsidRPr="00FA0D37">
              <w:rPr>
                <w:rFonts w:eastAsia="Calibri"/>
                <w:i/>
                <w:szCs w:val="22"/>
                <w:lang w:eastAsia="sv-SE"/>
              </w:rPr>
              <w:t>List</w:t>
            </w:r>
            <w:r w:rsidRPr="00FA0D37">
              <w:rPr>
                <w:rFonts w:eastAsia="Calibri"/>
                <w:szCs w:val="22"/>
                <w:lang w:eastAsia="sv-SE"/>
              </w:rPr>
              <w:t xml:space="preserve"> and </w:t>
            </w:r>
            <w:r w:rsidRPr="00FA0D37">
              <w:rPr>
                <w:rFonts w:eastAsia="Calibri"/>
                <w:i/>
                <w:iCs/>
                <w:szCs w:val="22"/>
                <w:lang w:eastAsia="sv-SE"/>
              </w:rPr>
              <w:t xml:space="preserve">npn-IdentityInfoList </w:t>
            </w:r>
            <w:r w:rsidRPr="00FA0D37">
              <w:rPr>
                <w:rFonts w:eastAsia="Calibri"/>
                <w:szCs w:val="22"/>
                <w:lang w:eastAsia="sv-SE"/>
              </w:rPr>
              <w:t>fields included in SIB1.</w:t>
            </w:r>
          </w:p>
        </w:tc>
      </w:tr>
    </w:tbl>
    <w:p w14:paraId="7073194A" w14:textId="77777777" w:rsidR="00394471" w:rsidRPr="00FA0D37" w:rsidRDefault="00394471" w:rsidP="00394471"/>
    <w:p w14:paraId="0A9E129D" w14:textId="77777777" w:rsidR="00394471" w:rsidRPr="00FA0D37" w:rsidRDefault="00394471" w:rsidP="00394471">
      <w:pPr>
        <w:pStyle w:val="4"/>
        <w:rPr>
          <w:rFonts w:eastAsia="宋体"/>
        </w:rPr>
      </w:pPr>
      <w:bookmarkStart w:id="1479" w:name="_Toc60777419"/>
      <w:bookmarkStart w:id="1480" w:name="_Toc146781510"/>
      <w:r w:rsidRPr="00FA0D37">
        <w:rPr>
          <w:rFonts w:eastAsia="宋体"/>
        </w:rPr>
        <w:t>–</w:t>
      </w:r>
      <w:r w:rsidRPr="00FA0D37">
        <w:rPr>
          <w:rFonts w:eastAsia="宋体"/>
        </w:rPr>
        <w:tab/>
      </w:r>
      <w:r w:rsidRPr="00FA0D37">
        <w:rPr>
          <w:rFonts w:eastAsia="宋体"/>
          <w:i/>
        </w:rPr>
        <w:t>UE-TimersAndConstants</w:t>
      </w:r>
      <w:bookmarkEnd w:id="1479"/>
      <w:bookmarkEnd w:id="1480"/>
    </w:p>
    <w:p w14:paraId="6D3CC5B5" w14:textId="77777777" w:rsidR="00394471" w:rsidRPr="00FA0D37" w:rsidRDefault="00394471" w:rsidP="00394471">
      <w:r w:rsidRPr="00FA0D37">
        <w:t>The IE UE-TimersAndConstants contains timers and constants used by the UE in RRC_CONNECTED, RRC_INACTIVE and RRC_IDLE.</w:t>
      </w:r>
    </w:p>
    <w:p w14:paraId="4F79A531" w14:textId="77777777" w:rsidR="00394471" w:rsidRPr="00FA0D37" w:rsidRDefault="00394471" w:rsidP="00394471">
      <w:pPr>
        <w:pStyle w:val="TH"/>
      </w:pPr>
      <w:r w:rsidRPr="00FA0D37">
        <w:rPr>
          <w:bCs/>
          <w:i/>
          <w:iCs/>
        </w:rPr>
        <w:t>UE-TimersAndConstants</w:t>
      </w:r>
      <w:r w:rsidRPr="00FA0D37">
        <w:t xml:space="preserve"> information element</w:t>
      </w:r>
    </w:p>
    <w:p w14:paraId="08C32D22" w14:textId="77777777" w:rsidR="00394471" w:rsidRPr="00FA0D37" w:rsidRDefault="00394471" w:rsidP="00FA0D37">
      <w:pPr>
        <w:pStyle w:val="PL"/>
        <w:rPr>
          <w:color w:val="808080"/>
        </w:rPr>
      </w:pPr>
      <w:r w:rsidRPr="00FA0D37">
        <w:rPr>
          <w:color w:val="808080"/>
        </w:rPr>
        <w:t>-- ASN1START</w:t>
      </w:r>
    </w:p>
    <w:p w14:paraId="42A72D25" w14:textId="77777777" w:rsidR="00394471" w:rsidRPr="00FA0D37" w:rsidRDefault="00394471" w:rsidP="00FA0D37">
      <w:pPr>
        <w:pStyle w:val="PL"/>
        <w:rPr>
          <w:color w:val="808080"/>
        </w:rPr>
      </w:pPr>
      <w:r w:rsidRPr="00FA0D37">
        <w:rPr>
          <w:color w:val="808080"/>
        </w:rPr>
        <w:t>-- TAG-UE-TIMERSANDCONSTANTS-START</w:t>
      </w:r>
    </w:p>
    <w:p w14:paraId="227BBC56" w14:textId="77777777" w:rsidR="00394471" w:rsidRPr="00FA0D37" w:rsidRDefault="00394471" w:rsidP="00FA0D37">
      <w:pPr>
        <w:pStyle w:val="PL"/>
      </w:pPr>
    </w:p>
    <w:p w14:paraId="7FF4E530" w14:textId="77777777" w:rsidR="00394471" w:rsidRPr="00FA0D37" w:rsidRDefault="00394471" w:rsidP="00FA0D37">
      <w:pPr>
        <w:pStyle w:val="PL"/>
      </w:pPr>
      <w:r w:rsidRPr="00FA0D37">
        <w:t xml:space="preserve">UE-TimersAndConstants ::=           </w:t>
      </w:r>
      <w:r w:rsidRPr="00FA0D37">
        <w:rPr>
          <w:color w:val="993366"/>
        </w:rPr>
        <w:t>SEQUENCE</w:t>
      </w:r>
      <w:r w:rsidRPr="00FA0D37">
        <w:t xml:space="preserve"> {</w:t>
      </w:r>
    </w:p>
    <w:p w14:paraId="71095A3F" w14:textId="77777777" w:rsidR="00394471" w:rsidRPr="00FA0D37" w:rsidRDefault="00394471" w:rsidP="00FA0D37">
      <w:pPr>
        <w:pStyle w:val="PL"/>
      </w:pPr>
      <w:r w:rsidRPr="00FA0D37">
        <w:t xml:space="preserve">    t300                                </w:t>
      </w:r>
      <w:r w:rsidRPr="00FA0D37">
        <w:rPr>
          <w:color w:val="993366"/>
        </w:rPr>
        <w:t>ENUMERATED</w:t>
      </w:r>
      <w:r w:rsidRPr="00FA0D37">
        <w:t xml:space="preserve"> {ms100, ms200, ms300, ms400, ms600, ms1000, ms1500, ms2000},</w:t>
      </w:r>
    </w:p>
    <w:p w14:paraId="0ED80DD0" w14:textId="77777777" w:rsidR="00394471" w:rsidRPr="00FA0D37" w:rsidRDefault="00394471" w:rsidP="00FA0D37">
      <w:pPr>
        <w:pStyle w:val="PL"/>
      </w:pPr>
      <w:r w:rsidRPr="00FA0D37">
        <w:t xml:space="preserve">    t301                                </w:t>
      </w:r>
      <w:r w:rsidRPr="00FA0D37">
        <w:rPr>
          <w:color w:val="993366"/>
        </w:rPr>
        <w:t>ENUMERATED</w:t>
      </w:r>
      <w:r w:rsidRPr="00FA0D37">
        <w:t xml:space="preserve"> {ms100, ms200, ms300, ms400, ms600, ms1000, ms1500, ms2000},</w:t>
      </w:r>
    </w:p>
    <w:p w14:paraId="11969FD5" w14:textId="77777777" w:rsidR="00394471" w:rsidRPr="00FA0D37" w:rsidRDefault="00394471" w:rsidP="00FA0D37">
      <w:pPr>
        <w:pStyle w:val="PL"/>
      </w:pPr>
      <w:r w:rsidRPr="00FA0D37">
        <w:t xml:space="preserve">    t310                                </w:t>
      </w:r>
      <w:r w:rsidRPr="00FA0D37">
        <w:rPr>
          <w:color w:val="993366"/>
        </w:rPr>
        <w:t>ENUMERATED</w:t>
      </w:r>
      <w:r w:rsidRPr="00FA0D37">
        <w:t xml:space="preserve"> {ms0, ms50, ms100, ms200, ms500, ms1000, ms2000},</w:t>
      </w:r>
    </w:p>
    <w:p w14:paraId="5A7E7BDA" w14:textId="77777777" w:rsidR="00394471" w:rsidRPr="00FA0D37" w:rsidRDefault="00394471" w:rsidP="00FA0D37">
      <w:pPr>
        <w:pStyle w:val="PL"/>
      </w:pPr>
      <w:r w:rsidRPr="00FA0D37">
        <w:t xml:space="preserve">    n310                                </w:t>
      </w:r>
      <w:r w:rsidRPr="00FA0D37">
        <w:rPr>
          <w:color w:val="993366"/>
        </w:rPr>
        <w:t>ENUMERATED</w:t>
      </w:r>
      <w:r w:rsidRPr="00FA0D37">
        <w:t xml:space="preserve"> {n1, n2, n3, n4, n6, n8, n10, n20},</w:t>
      </w:r>
    </w:p>
    <w:p w14:paraId="4162535B" w14:textId="77777777" w:rsidR="00394471" w:rsidRPr="00FA0D37" w:rsidRDefault="00394471" w:rsidP="00FA0D37">
      <w:pPr>
        <w:pStyle w:val="PL"/>
      </w:pPr>
      <w:r w:rsidRPr="00FA0D37">
        <w:t xml:space="preserve">    t311                                </w:t>
      </w:r>
      <w:r w:rsidRPr="00FA0D37">
        <w:rPr>
          <w:color w:val="993366"/>
        </w:rPr>
        <w:t>ENUMERATED</w:t>
      </w:r>
      <w:r w:rsidRPr="00FA0D37">
        <w:t xml:space="preserve"> {ms1000, ms3000, ms5000, ms10000, ms15000, ms20000, ms30000},</w:t>
      </w:r>
    </w:p>
    <w:p w14:paraId="742498E1" w14:textId="77777777" w:rsidR="00394471" w:rsidRPr="00FA0D37" w:rsidRDefault="00394471" w:rsidP="00FA0D37">
      <w:pPr>
        <w:pStyle w:val="PL"/>
      </w:pPr>
      <w:r w:rsidRPr="00FA0D37">
        <w:t xml:space="preserve">    n311                                </w:t>
      </w:r>
      <w:r w:rsidRPr="00FA0D37">
        <w:rPr>
          <w:color w:val="993366"/>
        </w:rPr>
        <w:t>ENUMERATED</w:t>
      </w:r>
      <w:r w:rsidRPr="00FA0D37">
        <w:t xml:space="preserve"> {n1, n2, n3, n4, n5, n6, n8, n10},</w:t>
      </w:r>
    </w:p>
    <w:p w14:paraId="3B09F33D" w14:textId="77777777" w:rsidR="00394471" w:rsidRPr="00FA0D37" w:rsidRDefault="00394471" w:rsidP="00FA0D37">
      <w:pPr>
        <w:pStyle w:val="PL"/>
      </w:pPr>
      <w:r w:rsidRPr="00FA0D37">
        <w:t xml:space="preserve">    t319                                </w:t>
      </w:r>
      <w:r w:rsidRPr="00FA0D37">
        <w:rPr>
          <w:color w:val="993366"/>
        </w:rPr>
        <w:t>ENUMERATED</w:t>
      </w:r>
      <w:r w:rsidRPr="00FA0D37">
        <w:t xml:space="preserve"> {ms100, ms200, ms300, ms400, ms600, ms1000, ms1500, ms2000},</w:t>
      </w:r>
    </w:p>
    <w:p w14:paraId="07C53C9C" w14:textId="77777777" w:rsidR="00394471" w:rsidRPr="00FA0D37" w:rsidRDefault="00394471" w:rsidP="00FA0D37">
      <w:pPr>
        <w:pStyle w:val="PL"/>
      </w:pPr>
      <w:r w:rsidRPr="00FA0D37">
        <w:lastRenderedPageBreak/>
        <w:t xml:space="preserve">    ...</w:t>
      </w:r>
    </w:p>
    <w:p w14:paraId="34B2F128" w14:textId="77777777" w:rsidR="00394471" w:rsidRPr="00FA0D37" w:rsidRDefault="00394471" w:rsidP="00FA0D37">
      <w:pPr>
        <w:pStyle w:val="PL"/>
      </w:pPr>
      <w:r w:rsidRPr="00FA0D37">
        <w:t>}</w:t>
      </w:r>
    </w:p>
    <w:p w14:paraId="4FDA661E" w14:textId="77777777" w:rsidR="00394471" w:rsidRPr="00FA0D37" w:rsidRDefault="00394471" w:rsidP="00FA0D37">
      <w:pPr>
        <w:pStyle w:val="PL"/>
      </w:pPr>
    </w:p>
    <w:p w14:paraId="088C7DE5" w14:textId="77777777" w:rsidR="00394471" w:rsidRPr="00FA0D37" w:rsidRDefault="00394471" w:rsidP="00FA0D37">
      <w:pPr>
        <w:pStyle w:val="PL"/>
        <w:rPr>
          <w:color w:val="808080"/>
        </w:rPr>
      </w:pPr>
      <w:r w:rsidRPr="00FA0D37">
        <w:rPr>
          <w:color w:val="808080"/>
        </w:rPr>
        <w:t>-- TAG-UE-TIMERSANDCONSTANTS-STOP</w:t>
      </w:r>
    </w:p>
    <w:p w14:paraId="10C66A60" w14:textId="77777777" w:rsidR="00394471" w:rsidRPr="00FA0D37" w:rsidRDefault="00394471" w:rsidP="00FA0D37">
      <w:pPr>
        <w:pStyle w:val="PL"/>
        <w:rPr>
          <w:rFonts w:eastAsia="宋体"/>
          <w:color w:val="808080"/>
        </w:rPr>
      </w:pPr>
      <w:r w:rsidRPr="00FA0D37">
        <w:rPr>
          <w:color w:val="808080"/>
        </w:rPr>
        <w:t>-- ASN1STOP</w:t>
      </w:r>
    </w:p>
    <w:p w14:paraId="26EB907C" w14:textId="428E29E1" w:rsidR="00394471" w:rsidRPr="00FA0D37" w:rsidRDefault="00394471" w:rsidP="00394471">
      <w:pPr>
        <w:rPr>
          <w:rFonts w:eastAsiaTheme="minorEastAsia"/>
        </w:rPr>
      </w:pPr>
    </w:p>
    <w:p w14:paraId="2B8E7CCA" w14:textId="4FAAEE57" w:rsidR="00BD2D2B" w:rsidRPr="00FA0D37" w:rsidRDefault="00BD2D2B" w:rsidP="00BD2D2B">
      <w:pPr>
        <w:pStyle w:val="4"/>
        <w:rPr>
          <w:rFonts w:eastAsia="宋体"/>
        </w:rPr>
      </w:pPr>
      <w:bookmarkStart w:id="1481" w:name="_Toc146781511"/>
      <w:r w:rsidRPr="00FA0D37">
        <w:rPr>
          <w:rFonts w:eastAsia="宋体"/>
        </w:rPr>
        <w:t>–</w:t>
      </w:r>
      <w:r w:rsidRPr="00FA0D37">
        <w:rPr>
          <w:rFonts w:eastAsia="宋体"/>
        </w:rPr>
        <w:tab/>
      </w:r>
      <w:r w:rsidRPr="00FA0D37">
        <w:rPr>
          <w:rFonts w:eastAsia="宋体"/>
          <w:i/>
        </w:rPr>
        <w:t>UE-TimersAndConstantsRemoteUE</w:t>
      </w:r>
      <w:bookmarkEnd w:id="1481"/>
    </w:p>
    <w:p w14:paraId="14561678" w14:textId="6B865D90" w:rsidR="00BD2D2B" w:rsidRPr="00FA0D37" w:rsidRDefault="00BD2D2B" w:rsidP="00BD2D2B">
      <w:r w:rsidRPr="00FA0D37">
        <w:t xml:space="preserve">The IE </w:t>
      </w:r>
      <w:r w:rsidRPr="00FA0D37">
        <w:rPr>
          <w:i/>
          <w:iCs/>
        </w:rPr>
        <w:t>UE-TimersAndConstantsRemoteUE</w:t>
      </w:r>
      <w:r w:rsidRPr="00FA0D37">
        <w:t xml:space="preserve"> contains timers and constants used by the L2 U2N Remote UE in RRC_CONNECTED, RRC_INACTIVE and RRC_IDLE.</w:t>
      </w:r>
    </w:p>
    <w:p w14:paraId="45A8BF34" w14:textId="1CC054FA" w:rsidR="00BD2D2B" w:rsidRPr="00FA0D37" w:rsidRDefault="00BD2D2B" w:rsidP="00BD2D2B">
      <w:pPr>
        <w:pStyle w:val="TH"/>
      </w:pPr>
      <w:r w:rsidRPr="00FA0D37">
        <w:rPr>
          <w:bCs/>
          <w:i/>
          <w:iCs/>
        </w:rPr>
        <w:t>UE-TimersAndConstantsRemoteUE</w:t>
      </w:r>
      <w:r w:rsidRPr="00FA0D37">
        <w:t xml:space="preserve"> information element</w:t>
      </w:r>
    </w:p>
    <w:p w14:paraId="75BBFDE9" w14:textId="77777777" w:rsidR="00BD2D2B" w:rsidRPr="00FA0D37" w:rsidRDefault="00BD2D2B" w:rsidP="00FA0D37">
      <w:pPr>
        <w:pStyle w:val="PL"/>
        <w:rPr>
          <w:color w:val="808080"/>
        </w:rPr>
      </w:pPr>
      <w:r w:rsidRPr="00FA0D37">
        <w:rPr>
          <w:color w:val="808080"/>
        </w:rPr>
        <w:t>-- ASN1START</w:t>
      </w:r>
    </w:p>
    <w:p w14:paraId="4808D38C" w14:textId="1988B172" w:rsidR="00BD2D2B" w:rsidRPr="00FA0D37" w:rsidRDefault="00BD2D2B" w:rsidP="00FA0D37">
      <w:pPr>
        <w:pStyle w:val="PL"/>
        <w:rPr>
          <w:color w:val="808080"/>
        </w:rPr>
      </w:pPr>
      <w:r w:rsidRPr="00FA0D37">
        <w:rPr>
          <w:color w:val="808080"/>
        </w:rPr>
        <w:t>-- TAG-UE-TIMERSANDCONSTANTSREMOTEUE-START</w:t>
      </w:r>
    </w:p>
    <w:p w14:paraId="15A87E19" w14:textId="77777777" w:rsidR="00BD2D2B" w:rsidRPr="00FA0D37" w:rsidRDefault="00BD2D2B" w:rsidP="00FA0D37">
      <w:pPr>
        <w:pStyle w:val="PL"/>
      </w:pPr>
    </w:p>
    <w:p w14:paraId="7BFA4F8F" w14:textId="2C0C25DA" w:rsidR="00BD2D2B" w:rsidRPr="00FA0D37" w:rsidRDefault="00BD2D2B" w:rsidP="00FA0D37">
      <w:pPr>
        <w:pStyle w:val="PL"/>
      </w:pPr>
      <w:r w:rsidRPr="00FA0D37">
        <w:t xml:space="preserve">UE-TimersAndConstantsRemoteUE-r17 ::= </w:t>
      </w:r>
      <w:r w:rsidRPr="00FA0D37">
        <w:rPr>
          <w:color w:val="993366"/>
        </w:rPr>
        <w:t>SEQUENCE</w:t>
      </w:r>
      <w:r w:rsidRPr="00FA0D37">
        <w:t xml:space="preserve"> {</w:t>
      </w:r>
    </w:p>
    <w:p w14:paraId="366CFBAF" w14:textId="6914E1F4" w:rsidR="00BD2D2B" w:rsidRPr="00FA0D37" w:rsidRDefault="00BD2D2B" w:rsidP="00FA0D37">
      <w:pPr>
        <w:pStyle w:val="PL"/>
        <w:rPr>
          <w:color w:val="808080"/>
        </w:rPr>
      </w:pPr>
      <w:r w:rsidRPr="00FA0D37">
        <w:t xml:space="preserve">    t300-RemoteUE-r17                     </w:t>
      </w:r>
      <w:r w:rsidRPr="00FA0D37">
        <w:rPr>
          <w:color w:val="993366"/>
        </w:rPr>
        <w:t>ENUMERATED</w:t>
      </w:r>
      <w:r w:rsidRPr="00FA0D37">
        <w:t xml:space="preserve"> {ms100, ms200, ms300, ms400, ms600, ms1000, ms1500, ms2000} </w:t>
      </w:r>
      <w:r w:rsidRPr="00FA0D37">
        <w:rPr>
          <w:color w:val="993366"/>
        </w:rPr>
        <w:t>OPTIONAL</w:t>
      </w:r>
      <w:r w:rsidRPr="00FA0D37">
        <w:t xml:space="preserve">, </w:t>
      </w:r>
      <w:r w:rsidRPr="00FA0D37">
        <w:rPr>
          <w:color w:val="808080"/>
        </w:rPr>
        <w:t>-- Need S</w:t>
      </w:r>
    </w:p>
    <w:p w14:paraId="0E003873" w14:textId="612D2B99" w:rsidR="00BD2D2B" w:rsidRPr="00FA0D37" w:rsidRDefault="00BD2D2B" w:rsidP="00FA0D37">
      <w:pPr>
        <w:pStyle w:val="PL"/>
        <w:rPr>
          <w:color w:val="808080"/>
        </w:rPr>
      </w:pPr>
      <w:r w:rsidRPr="00FA0D37">
        <w:t xml:space="preserve">    t301-RemoteUE-r17                     </w:t>
      </w:r>
      <w:r w:rsidRPr="00FA0D37">
        <w:rPr>
          <w:color w:val="993366"/>
        </w:rPr>
        <w:t>ENUMERATED</w:t>
      </w:r>
      <w:r w:rsidRPr="00FA0D37">
        <w:t xml:space="preserve"> {ms100, ms200, ms300, ms400, ms600, ms1000, ms1500, ms2000} </w:t>
      </w:r>
      <w:r w:rsidRPr="00FA0D37">
        <w:rPr>
          <w:color w:val="993366"/>
        </w:rPr>
        <w:t>OPTIONAL</w:t>
      </w:r>
      <w:r w:rsidRPr="00FA0D37">
        <w:t xml:space="preserve">, </w:t>
      </w:r>
      <w:r w:rsidRPr="00FA0D37">
        <w:rPr>
          <w:color w:val="808080"/>
        </w:rPr>
        <w:t>-- Need S</w:t>
      </w:r>
    </w:p>
    <w:p w14:paraId="39825F61" w14:textId="1CEE843F" w:rsidR="00BD2D2B" w:rsidRPr="00FA0D37" w:rsidRDefault="00BD2D2B" w:rsidP="00FA0D37">
      <w:pPr>
        <w:pStyle w:val="PL"/>
        <w:rPr>
          <w:color w:val="808080"/>
        </w:rPr>
      </w:pPr>
      <w:r w:rsidRPr="00FA0D37">
        <w:t xml:space="preserve">    t319-RemoteUE-r17                     </w:t>
      </w:r>
      <w:r w:rsidRPr="00FA0D37">
        <w:rPr>
          <w:color w:val="993366"/>
        </w:rPr>
        <w:t>ENUMERATED</w:t>
      </w:r>
      <w:r w:rsidRPr="00FA0D37">
        <w:t xml:space="preserve"> {ms100, ms200, ms300, ms400, ms600, ms1000, ms1500, ms2000} </w:t>
      </w:r>
      <w:r w:rsidRPr="00FA0D37">
        <w:rPr>
          <w:color w:val="993366"/>
        </w:rPr>
        <w:t>OPTIONAL</w:t>
      </w:r>
      <w:r w:rsidR="006B0BE5" w:rsidRPr="00FA0D37">
        <w:t>,</w:t>
      </w:r>
      <w:r w:rsidRPr="00FA0D37">
        <w:t xml:space="preserve"> </w:t>
      </w:r>
      <w:r w:rsidRPr="00FA0D37">
        <w:rPr>
          <w:color w:val="808080"/>
        </w:rPr>
        <w:t>-- Need S</w:t>
      </w:r>
    </w:p>
    <w:p w14:paraId="2D3A15E5" w14:textId="77777777" w:rsidR="006B0BE5" w:rsidRPr="00FA0D37" w:rsidRDefault="00BD2D2B" w:rsidP="00FA0D37">
      <w:pPr>
        <w:pStyle w:val="PL"/>
      </w:pPr>
      <w:r w:rsidRPr="00FA0D37">
        <w:t xml:space="preserve">    ...</w:t>
      </w:r>
    </w:p>
    <w:p w14:paraId="7BABE1DE" w14:textId="2C7C078A" w:rsidR="00BD2D2B" w:rsidRPr="00FA0D37" w:rsidRDefault="00BD2D2B" w:rsidP="00FA0D37">
      <w:pPr>
        <w:pStyle w:val="PL"/>
      </w:pPr>
      <w:r w:rsidRPr="00FA0D37">
        <w:t>}</w:t>
      </w:r>
    </w:p>
    <w:p w14:paraId="0C050500" w14:textId="77777777" w:rsidR="00BD2D2B" w:rsidRPr="00FA0D37" w:rsidRDefault="00BD2D2B" w:rsidP="00FA0D37">
      <w:pPr>
        <w:pStyle w:val="PL"/>
      </w:pPr>
    </w:p>
    <w:p w14:paraId="379D9483" w14:textId="05541B70" w:rsidR="00BD2D2B" w:rsidRPr="00FA0D37" w:rsidRDefault="00BD2D2B" w:rsidP="00FA0D37">
      <w:pPr>
        <w:pStyle w:val="PL"/>
        <w:rPr>
          <w:color w:val="808080"/>
        </w:rPr>
      </w:pPr>
      <w:r w:rsidRPr="00FA0D37">
        <w:rPr>
          <w:color w:val="808080"/>
        </w:rPr>
        <w:t>-- TAG-UE-TIMERSANDCONSTANTSREMOTEUE-STOP</w:t>
      </w:r>
    </w:p>
    <w:p w14:paraId="33573251" w14:textId="77777777" w:rsidR="00BD2D2B" w:rsidRPr="00FA0D37" w:rsidRDefault="00BD2D2B" w:rsidP="00FA0D37">
      <w:pPr>
        <w:pStyle w:val="PL"/>
        <w:rPr>
          <w:rFonts w:eastAsia="宋体"/>
          <w:color w:val="808080"/>
        </w:rPr>
      </w:pPr>
      <w:r w:rsidRPr="00FA0D37">
        <w:rPr>
          <w:color w:val="808080"/>
        </w:rPr>
        <w:t>-- ASN1STOP</w:t>
      </w:r>
    </w:p>
    <w:p w14:paraId="33322744" w14:textId="77777777" w:rsidR="00BD2D2B" w:rsidRPr="00FA0D37"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FA0D37" w:rsidRDefault="00BD2D2B" w:rsidP="000830BB">
            <w:pPr>
              <w:pStyle w:val="TAH"/>
              <w:rPr>
                <w:lang w:eastAsia="sv-SE"/>
              </w:rPr>
            </w:pPr>
            <w:r w:rsidRPr="00FA0D37">
              <w:rPr>
                <w:i/>
                <w:iCs/>
              </w:rPr>
              <w:t>UE-TimersAndConstants</w:t>
            </w:r>
            <w:r w:rsidR="009620A4" w:rsidRPr="00FA0D37">
              <w:rPr>
                <w:i/>
                <w:iCs/>
              </w:rPr>
              <w:t>RemoteUE</w:t>
            </w:r>
            <w:r w:rsidRPr="00FA0D37">
              <w:rPr>
                <w:lang w:eastAsia="sv-SE"/>
              </w:rPr>
              <w:t xml:space="preserve"> field descriptions</w:t>
            </w:r>
          </w:p>
        </w:tc>
      </w:tr>
      <w:tr w:rsidR="005C7FF4" w:rsidRPr="00FA0D37"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FA0D37" w:rsidRDefault="00BD2D2B" w:rsidP="000830BB">
            <w:pPr>
              <w:pStyle w:val="TAL"/>
              <w:rPr>
                <w:rFonts w:eastAsia="Calibri"/>
                <w:b/>
                <w:bCs/>
                <w:i/>
                <w:iCs/>
                <w:lang w:eastAsia="sv-SE"/>
              </w:rPr>
            </w:pPr>
            <w:r w:rsidRPr="00FA0D37">
              <w:rPr>
                <w:rFonts w:eastAsia="Calibri"/>
                <w:b/>
                <w:bCs/>
                <w:i/>
                <w:iCs/>
                <w:lang w:eastAsia="sv-SE"/>
              </w:rPr>
              <w:t>t300-RemoteUE</w:t>
            </w:r>
          </w:p>
          <w:p w14:paraId="0492B938" w14:textId="77777777" w:rsidR="00BD2D2B" w:rsidRPr="00FA0D37" w:rsidRDefault="00BD2D2B" w:rsidP="000830BB">
            <w:pPr>
              <w:pStyle w:val="TAL"/>
              <w:rPr>
                <w:lang w:eastAsia="sv-SE"/>
              </w:rPr>
            </w:pPr>
            <w:r w:rsidRPr="00FA0D37">
              <w:rPr>
                <w:rFonts w:eastAsia="Calibri"/>
                <w:lang w:eastAsia="sv-SE"/>
              </w:rPr>
              <w:t>Indicates the timer value of T300 used by L2 U2N Remote UE. If the field is absent, the timer value indicated in t300 applies to L2 U2N Remote UE.</w:t>
            </w:r>
          </w:p>
        </w:tc>
      </w:tr>
      <w:tr w:rsidR="005C7FF4" w:rsidRPr="00FA0D37"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FA0D37" w:rsidRDefault="00BD2D2B" w:rsidP="000830BB">
            <w:pPr>
              <w:pStyle w:val="TAL"/>
              <w:rPr>
                <w:rFonts w:eastAsia="Calibri"/>
                <w:b/>
                <w:bCs/>
                <w:i/>
                <w:iCs/>
                <w:lang w:eastAsia="sv-SE"/>
              </w:rPr>
            </w:pPr>
            <w:r w:rsidRPr="00FA0D37">
              <w:rPr>
                <w:rFonts w:eastAsia="Calibri"/>
                <w:b/>
                <w:bCs/>
                <w:i/>
                <w:iCs/>
                <w:lang w:eastAsia="sv-SE"/>
              </w:rPr>
              <w:t>t301-RemoteUE</w:t>
            </w:r>
          </w:p>
          <w:p w14:paraId="0D2B61FD" w14:textId="77777777" w:rsidR="00BD2D2B" w:rsidRPr="00FA0D37" w:rsidRDefault="00BD2D2B" w:rsidP="000830BB">
            <w:pPr>
              <w:pStyle w:val="TAL"/>
              <w:rPr>
                <w:rFonts w:eastAsia="Calibri"/>
                <w:lang w:eastAsia="sv-SE"/>
              </w:rPr>
            </w:pPr>
            <w:r w:rsidRPr="00FA0D37">
              <w:rPr>
                <w:rFonts w:eastAsia="Calibri"/>
                <w:lang w:eastAsia="sv-SE"/>
              </w:rPr>
              <w:t>Indicates the timer value of T301 used by L2 U2N Remote UE. If the field is absent, the timer value indicated in t301 applies to L2 U2N Remote UE.</w:t>
            </w:r>
          </w:p>
        </w:tc>
      </w:tr>
      <w:tr w:rsidR="000830BB" w:rsidRPr="00FA0D37"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FA0D37" w:rsidRDefault="00BD2D2B" w:rsidP="000830BB">
            <w:pPr>
              <w:pStyle w:val="TAL"/>
              <w:rPr>
                <w:rFonts w:eastAsia="Calibri"/>
                <w:b/>
                <w:bCs/>
                <w:i/>
                <w:iCs/>
                <w:lang w:eastAsia="sv-SE"/>
              </w:rPr>
            </w:pPr>
            <w:r w:rsidRPr="00FA0D37">
              <w:rPr>
                <w:rFonts w:eastAsia="Calibri"/>
                <w:b/>
                <w:bCs/>
                <w:i/>
                <w:iCs/>
                <w:lang w:eastAsia="sv-SE"/>
              </w:rPr>
              <w:t>t319-RemoteUE</w:t>
            </w:r>
          </w:p>
          <w:p w14:paraId="674D0E03" w14:textId="77777777" w:rsidR="00BD2D2B" w:rsidRPr="00FA0D37" w:rsidRDefault="00BD2D2B" w:rsidP="000830BB">
            <w:pPr>
              <w:pStyle w:val="TAL"/>
              <w:rPr>
                <w:rFonts w:eastAsia="Calibri"/>
                <w:lang w:eastAsia="sv-SE"/>
              </w:rPr>
            </w:pPr>
            <w:r w:rsidRPr="00FA0D37">
              <w:rPr>
                <w:rFonts w:eastAsia="Calibri"/>
                <w:lang w:eastAsia="sv-SE"/>
              </w:rPr>
              <w:t>Indicates the timer value of T319 used by L2 U2N Remote UE. If the field is absent, the timer value indicated in t319 applies to L2 U2N Remote UE.</w:t>
            </w:r>
          </w:p>
        </w:tc>
      </w:tr>
    </w:tbl>
    <w:p w14:paraId="62E98377" w14:textId="77777777" w:rsidR="00BD2D2B" w:rsidRPr="00FA0D37" w:rsidRDefault="00BD2D2B" w:rsidP="00394471">
      <w:pPr>
        <w:rPr>
          <w:rFonts w:eastAsiaTheme="minorEastAsia"/>
        </w:rPr>
      </w:pPr>
    </w:p>
    <w:p w14:paraId="3612B3F3" w14:textId="77777777" w:rsidR="00394471" w:rsidRPr="00FA0D37" w:rsidRDefault="00394471" w:rsidP="00394471">
      <w:pPr>
        <w:pStyle w:val="4"/>
      </w:pPr>
      <w:bookmarkStart w:id="1482" w:name="_Toc60777420"/>
      <w:bookmarkStart w:id="1483" w:name="_Toc146781512"/>
      <w:r w:rsidRPr="00FA0D37">
        <w:t>–</w:t>
      </w:r>
      <w:r w:rsidRPr="00FA0D37">
        <w:tab/>
      </w:r>
      <w:r w:rsidRPr="00FA0D37">
        <w:rPr>
          <w:i/>
        </w:rPr>
        <w:t>UL-DelayValueConfig</w:t>
      </w:r>
      <w:bookmarkEnd w:id="1482"/>
      <w:bookmarkEnd w:id="1483"/>
    </w:p>
    <w:p w14:paraId="068E2F06" w14:textId="06AD5429" w:rsidR="00394471" w:rsidRPr="00FA0D37" w:rsidRDefault="00394471" w:rsidP="00394471">
      <w:r w:rsidRPr="00FA0D37">
        <w:t xml:space="preserve">The IE </w:t>
      </w:r>
      <w:r w:rsidRPr="00FA0D37">
        <w:rPr>
          <w:i/>
        </w:rPr>
        <w:t>UL-DelayValueConfig</w:t>
      </w:r>
      <w:r w:rsidRPr="00FA0D37">
        <w:t xml:space="preserve"> specifies the configuration of the UL PDCP Packet Delay value per DRB measurement specified in TS 38.314 [53].</w:t>
      </w:r>
    </w:p>
    <w:p w14:paraId="17AEA012" w14:textId="77777777" w:rsidR="00394471" w:rsidRPr="00FA0D37" w:rsidRDefault="00394471" w:rsidP="00394471">
      <w:pPr>
        <w:pStyle w:val="TH"/>
      </w:pPr>
      <w:r w:rsidRPr="00FA0D37">
        <w:rPr>
          <w:bCs/>
          <w:i/>
          <w:iCs/>
        </w:rPr>
        <w:t>UL-DelayValueConfig</w:t>
      </w:r>
      <w:r w:rsidRPr="00FA0D37">
        <w:t xml:space="preserve"> information element</w:t>
      </w:r>
    </w:p>
    <w:p w14:paraId="213F906F" w14:textId="77777777" w:rsidR="00394471" w:rsidRPr="00FA0D37" w:rsidRDefault="00394471" w:rsidP="00FA0D37">
      <w:pPr>
        <w:pStyle w:val="PL"/>
        <w:rPr>
          <w:color w:val="808080"/>
        </w:rPr>
      </w:pPr>
      <w:r w:rsidRPr="00FA0D37">
        <w:rPr>
          <w:color w:val="808080"/>
        </w:rPr>
        <w:t>-- ASN1START</w:t>
      </w:r>
    </w:p>
    <w:p w14:paraId="1E94A727" w14:textId="77777777" w:rsidR="00394471" w:rsidRPr="00FA0D37" w:rsidRDefault="00394471" w:rsidP="00FA0D37">
      <w:pPr>
        <w:pStyle w:val="PL"/>
        <w:rPr>
          <w:color w:val="808080"/>
        </w:rPr>
      </w:pPr>
      <w:r w:rsidRPr="00FA0D37">
        <w:rPr>
          <w:color w:val="808080"/>
        </w:rPr>
        <w:t>-- TAG-ULDELAYVALUECONFIG-START</w:t>
      </w:r>
    </w:p>
    <w:p w14:paraId="47DD38D1" w14:textId="77777777" w:rsidR="00394471" w:rsidRPr="00FA0D37" w:rsidRDefault="00394471" w:rsidP="00FA0D37">
      <w:pPr>
        <w:pStyle w:val="PL"/>
      </w:pPr>
    </w:p>
    <w:p w14:paraId="0CD985DE" w14:textId="77777777" w:rsidR="00394471" w:rsidRPr="00FA0D37" w:rsidRDefault="00394471" w:rsidP="00FA0D37">
      <w:pPr>
        <w:pStyle w:val="PL"/>
      </w:pPr>
      <w:r w:rsidRPr="00FA0D37">
        <w:t xml:space="preserve">UL-DelayValueConfig-r16 ::=  </w:t>
      </w:r>
      <w:r w:rsidRPr="00FA0D37">
        <w:rPr>
          <w:color w:val="993366"/>
        </w:rPr>
        <w:t>SEQUENCE</w:t>
      </w:r>
      <w:r w:rsidRPr="00FA0D37">
        <w:t xml:space="preserve"> {</w:t>
      </w:r>
    </w:p>
    <w:p w14:paraId="0FF14442" w14:textId="42824C69" w:rsidR="00394471" w:rsidRPr="00FA0D37" w:rsidRDefault="00394471" w:rsidP="00FA0D37">
      <w:pPr>
        <w:pStyle w:val="PL"/>
      </w:pPr>
      <w:r w:rsidRPr="00FA0D37">
        <w:t xml:space="preserve">    delay-DRBlist</w:t>
      </w:r>
      <w:r w:rsidR="00C83EF5" w:rsidRPr="00FA0D37">
        <w:t>-r16</w:t>
      </w:r>
      <w:r w:rsidRPr="00FA0D37">
        <w:t xml:space="preserve">            </w:t>
      </w:r>
      <w:r w:rsidRPr="00FA0D37">
        <w:rPr>
          <w:color w:val="993366"/>
        </w:rPr>
        <w:t>SEQUENCE</w:t>
      </w:r>
      <w:r w:rsidRPr="00FA0D37">
        <w:t xml:space="preserve"> (</w:t>
      </w:r>
      <w:r w:rsidRPr="00FA0D37">
        <w:rPr>
          <w:color w:val="993366"/>
        </w:rPr>
        <w:t>SIZE</w:t>
      </w:r>
      <w:r w:rsidRPr="00FA0D37">
        <w:t>(1..maxDRB))</w:t>
      </w:r>
      <w:r w:rsidRPr="00FA0D37">
        <w:rPr>
          <w:color w:val="993366"/>
        </w:rPr>
        <w:t xml:space="preserve"> OF</w:t>
      </w:r>
      <w:r w:rsidRPr="00FA0D37">
        <w:t xml:space="preserve"> DRB-Identity</w:t>
      </w:r>
    </w:p>
    <w:p w14:paraId="35D44AB4" w14:textId="77777777" w:rsidR="00394471" w:rsidRPr="00FA0D37" w:rsidRDefault="00394471" w:rsidP="00FA0D37">
      <w:pPr>
        <w:pStyle w:val="PL"/>
      </w:pPr>
      <w:r w:rsidRPr="00FA0D37">
        <w:lastRenderedPageBreak/>
        <w:t>}</w:t>
      </w:r>
    </w:p>
    <w:p w14:paraId="2C42B41B" w14:textId="77777777" w:rsidR="00394471" w:rsidRPr="00FA0D37" w:rsidRDefault="00394471" w:rsidP="00FA0D37">
      <w:pPr>
        <w:pStyle w:val="PL"/>
      </w:pPr>
    </w:p>
    <w:p w14:paraId="16044C0C" w14:textId="77777777" w:rsidR="00394471" w:rsidRPr="00FA0D37" w:rsidRDefault="00394471" w:rsidP="00FA0D37">
      <w:pPr>
        <w:pStyle w:val="PL"/>
        <w:rPr>
          <w:color w:val="808080"/>
        </w:rPr>
      </w:pPr>
      <w:r w:rsidRPr="00FA0D37">
        <w:rPr>
          <w:color w:val="808080"/>
        </w:rPr>
        <w:t>-- TAG-ULDELAYVALUECONFIG-STOP</w:t>
      </w:r>
    </w:p>
    <w:p w14:paraId="3DE632D7" w14:textId="77777777" w:rsidR="00394471" w:rsidRPr="00FA0D37" w:rsidRDefault="00394471" w:rsidP="00FA0D37">
      <w:pPr>
        <w:pStyle w:val="PL"/>
        <w:rPr>
          <w:color w:val="808080"/>
        </w:rPr>
      </w:pPr>
      <w:r w:rsidRPr="00FA0D37">
        <w:rPr>
          <w:color w:val="808080"/>
        </w:rPr>
        <w:t>-- ASN1STOP</w:t>
      </w:r>
    </w:p>
    <w:p w14:paraId="43392AB6" w14:textId="77777777" w:rsidR="00394471" w:rsidRPr="00FA0D3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FA0D37" w:rsidRDefault="00394471" w:rsidP="00964CC4">
            <w:pPr>
              <w:pStyle w:val="TAH"/>
              <w:rPr>
                <w:lang w:eastAsia="en-GB"/>
              </w:rPr>
            </w:pPr>
            <w:r w:rsidRPr="00FA0D37">
              <w:rPr>
                <w:i/>
                <w:lang w:eastAsia="en-GB"/>
              </w:rPr>
              <w:t>UL-DelayValueConfig</w:t>
            </w:r>
            <w:r w:rsidRPr="00FA0D37">
              <w:rPr>
                <w:lang w:eastAsia="en-GB"/>
              </w:rPr>
              <w:t xml:space="preserve"> field descriptions</w:t>
            </w:r>
          </w:p>
        </w:tc>
      </w:tr>
      <w:tr w:rsidR="000830BB" w:rsidRPr="00FA0D37"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FA0D37" w:rsidRDefault="00C83EF5" w:rsidP="00964CC4">
            <w:pPr>
              <w:pStyle w:val="TAL"/>
              <w:rPr>
                <w:b/>
                <w:i/>
                <w:lang w:eastAsia="en-GB"/>
              </w:rPr>
            </w:pPr>
            <w:r w:rsidRPr="00FA0D37">
              <w:rPr>
                <w:b/>
                <w:i/>
                <w:lang w:eastAsia="en-GB"/>
              </w:rPr>
              <w:t>d</w:t>
            </w:r>
            <w:r w:rsidR="00394471" w:rsidRPr="00FA0D37">
              <w:rPr>
                <w:b/>
                <w:i/>
                <w:lang w:eastAsia="en-GB"/>
              </w:rPr>
              <w:t>elay-DRBlist</w:t>
            </w:r>
          </w:p>
          <w:p w14:paraId="3BEB3567" w14:textId="77777777" w:rsidR="00394471" w:rsidRPr="00FA0D37" w:rsidRDefault="00394471" w:rsidP="00964CC4">
            <w:pPr>
              <w:pStyle w:val="TAL"/>
              <w:rPr>
                <w:lang w:eastAsia="en-GB"/>
              </w:rPr>
            </w:pPr>
            <w:r w:rsidRPr="00FA0D37">
              <w:rPr>
                <w:rFonts w:eastAsia="等线"/>
                <w:lang w:eastAsia="sv-SE"/>
              </w:rPr>
              <w:t>Indicates the DRB IDs used</w:t>
            </w:r>
            <w:r w:rsidRPr="00FA0D37">
              <w:rPr>
                <w:lang w:eastAsia="en-GB"/>
              </w:rPr>
              <w:t xml:space="preserve"> by UE to provide results of UL PDCP Packet Delay value per DRB measurement as specified in TS </w:t>
            </w:r>
            <w:r w:rsidRPr="00FA0D37">
              <w:rPr>
                <w:lang w:eastAsia="sv-SE"/>
              </w:rPr>
              <w:t>38.314 [53]</w:t>
            </w:r>
            <w:r w:rsidRPr="00FA0D37">
              <w:rPr>
                <w:lang w:eastAsia="en-GB"/>
              </w:rPr>
              <w:t>.</w:t>
            </w:r>
          </w:p>
        </w:tc>
      </w:tr>
    </w:tbl>
    <w:p w14:paraId="63A4DBC9" w14:textId="00CAC011" w:rsidR="00394471" w:rsidRPr="00FA0D37" w:rsidRDefault="00394471" w:rsidP="00394471"/>
    <w:p w14:paraId="4E520693" w14:textId="77777777" w:rsidR="00E84B6D" w:rsidRPr="00FA0D37" w:rsidRDefault="00E84B6D" w:rsidP="00E84B6D">
      <w:pPr>
        <w:pStyle w:val="4"/>
      </w:pPr>
      <w:bookmarkStart w:id="1484" w:name="_Toc146781513"/>
      <w:r w:rsidRPr="00FA0D37">
        <w:t>–</w:t>
      </w:r>
      <w:r w:rsidRPr="00FA0D37">
        <w:tab/>
      </w:r>
      <w:r w:rsidRPr="00FA0D37">
        <w:rPr>
          <w:i/>
        </w:rPr>
        <w:t>UL-ExcessDelayConfig</w:t>
      </w:r>
      <w:bookmarkEnd w:id="1484"/>
    </w:p>
    <w:p w14:paraId="3BD31071" w14:textId="77777777" w:rsidR="00E84B6D" w:rsidRPr="00FA0D37" w:rsidRDefault="00E84B6D" w:rsidP="00E84B6D">
      <w:r w:rsidRPr="00FA0D37">
        <w:t xml:space="preserve">The IE </w:t>
      </w:r>
      <w:r w:rsidRPr="00FA0D37">
        <w:rPr>
          <w:i/>
        </w:rPr>
        <w:t>UL-ExcessDelayConfig</w:t>
      </w:r>
      <w:r w:rsidRPr="00FA0D37">
        <w:t xml:space="preserve"> IE specifies the configuration of the UL PDCP Excess Packet Delay per DRB measurement specified in TS 38.314 [53].</w:t>
      </w:r>
    </w:p>
    <w:p w14:paraId="2B2A8D21" w14:textId="77777777" w:rsidR="00E84B6D" w:rsidRPr="00FA0D37" w:rsidRDefault="00E84B6D" w:rsidP="00E84B6D">
      <w:pPr>
        <w:pStyle w:val="TH"/>
      </w:pPr>
      <w:r w:rsidRPr="00FA0D37">
        <w:rPr>
          <w:bCs/>
          <w:i/>
          <w:iCs/>
        </w:rPr>
        <w:t>UL-ExcessDelayConfig</w:t>
      </w:r>
      <w:r w:rsidRPr="00FA0D37">
        <w:t xml:space="preserve"> information element</w:t>
      </w:r>
    </w:p>
    <w:p w14:paraId="1A74E8CF" w14:textId="77777777" w:rsidR="00E84B6D" w:rsidRPr="00FA0D37" w:rsidRDefault="00E84B6D" w:rsidP="00FA0D37">
      <w:pPr>
        <w:pStyle w:val="PL"/>
        <w:rPr>
          <w:color w:val="808080"/>
        </w:rPr>
      </w:pPr>
      <w:r w:rsidRPr="00FA0D37">
        <w:rPr>
          <w:color w:val="808080"/>
        </w:rPr>
        <w:t>-- ASN1START</w:t>
      </w:r>
    </w:p>
    <w:p w14:paraId="1213FB0F" w14:textId="77777777" w:rsidR="00E84B6D" w:rsidRPr="00FA0D37" w:rsidRDefault="00E84B6D" w:rsidP="00FA0D37">
      <w:pPr>
        <w:pStyle w:val="PL"/>
        <w:rPr>
          <w:color w:val="808080"/>
        </w:rPr>
      </w:pPr>
      <w:r w:rsidRPr="00FA0D37">
        <w:rPr>
          <w:color w:val="808080"/>
        </w:rPr>
        <w:t>-- TAG-ULEXCESSDELAYCONFIG-START</w:t>
      </w:r>
    </w:p>
    <w:p w14:paraId="23932839" w14:textId="77777777" w:rsidR="00E84B6D" w:rsidRPr="00FA0D37" w:rsidRDefault="00E84B6D" w:rsidP="00FA0D37">
      <w:pPr>
        <w:pStyle w:val="PL"/>
      </w:pPr>
    </w:p>
    <w:p w14:paraId="5F7AC7E8" w14:textId="77777777" w:rsidR="00E84B6D" w:rsidRPr="00FA0D37" w:rsidRDefault="00E84B6D" w:rsidP="00FA0D37">
      <w:pPr>
        <w:pStyle w:val="PL"/>
      </w:pPr>
      <w:r w:rsidRPr="00FA0D37">
        <w:t xml:space="preserve">UL-ExcessDelayConfig-r17 ::=  </w:t>
      </w:r>
      <w:r w:rsidRPr="00FA0D37">
        <w:rPr>
          <w:color w:val="993366"/>
        </w:rPr>
        <w:t>SEQUENCE</w:t>
      </w:r>
      <w:r w:rsidRPr="00FA0D37">
        <w:t xml:space="preserve"> {</w:t>
      </w:r>
    </w:p>
    <w:p w14:paraId="0453E7C7" w14:textId="68C58EED" w:rsidR="00E84B6D" w:rsidRPr="00FA0D37" w:rsidRDefault="00E84B6D" w:rsidP="00FA0D37">
      <w:pPr>
        <w:pStyle w:val="PL"/>
      </w:pPr>
      <w:r w:rsidRPr="00FA0D37">
        <w:t xml:space="preserve">    excessDelay-DRBlist-r17       </w:t>
      </w:r>
      <w:r w:rsidRPr="00FA0D37">
        <w:rPr>
          <w:color w:val="993366"/>
        </w:rPr>
        <w:t>SEQUENCE</w:t>
      </w:r>
      <w:r w:rsidRPr="00FA0D37">
        <w:t xml:space="preserve"> (</w:t>
      </w:r>
      <w:r w:rsidRPr="00FA0D37">
        <w:rPr>
          <w:color w:val="993366"/>
        </w:rPr>
        <w:t>SIZE</w:t>
      </w:r>
      <w:r w:rsidRPr="00FA0D37">
        <w:t>(1..maxDRB))</w:t>
      </w:r>
      <w:r w:rsidRPr="00FA0D37">
        <w:rPr>
          <w:color w:val="993366"/>
        </w:rPr>
        <w:t xml:space="preserve"> OF</w:t>
      </w:r>
      <w:r w:rsidRPr="00FA0D37">
        <w:t xml:space="preserve"> </w:t>
      </w:r>
      <w:r w:rsidR="006B0BE5" w:rsidRPr="00FA0D37">
        <w:t>E</w:t>
      </w:r>
      <w:r w:rsidRPr="00FA0D37">
        <w:t>xcessDelay-DRB-IdentityInfo-r17</w:t>
      </w:r>
    </w:p>
    <w:p w14:paraId="21EF5E43" w14:textId="77777777" w:rsidR="00E84B6D" w:rsidRPr="00FA0D37" w:rsidRDefault="00E84B6D" w:rsidP="00FA0D37">
      <w:pPr>
        <w:pStyle w:val="PL"/>
      </w:pPr>
      <w:r w:rsidRPr="00FA0D37">
        <w:t>}</w:t>
      </w:r>
    </w:p>
    <w:p w14:paraId="7700072E" w14:textId="77777777" w:rsidR="00E84B6D" w:rsidRPr="00FA0D37" w:rsidRDefault="00E84B6D" w:rsidP="00FA0D37">
      <w:pPr>
        <w:pStyle w:val="PL"/>
      </w:pPr>
    </w:p>
    <w:p w14:paraId="57205D8E" w14:textId="7E08FFB2" w:rsidR="00E84B6D" w:rsidRPr="00FA0D37" w:rsidRDefault="006B0BE5" w:rsidP="00FA0D37">
      <w:pPr>
        <w:pStyle w:val="PL"/>
      </w:pPr>
      <w:r w:rsidRPr="00FA0D37">
        <w:t>E</w:t>
      </w:r>
      <w:r w:rsidR="00E84B6D" w:rsidRPr="00FA0D37">
        <w:t xml:space="preserve">xcessDelay-DRB-IdentityInfo-r17 ::=  </w:t>
      </w:r>
      <w:r w:rsidR="00E84B6D" w:rsidRPr="00FA0D37">
        <w:rPr>
          <w:color w:val="993366"/>
        </w:rPr>
        <w:t>SEQUENCE</w:t>
      </w:r>
      <w:r w:rsidR="00E84B6D" w:rsidRPr="00FA0D37">
        <w:t xml:space="preserve"> {</w:t>
      </w:r>
    </w:p>
    <w:p w14:paraId="0FB1F585" w14:textId="3A465B8E" w:rsidR="00E84B6D" w:rsidRPr="00FA0D37" w:rsidRDefault="00E84B6D" w:rsidP="00FA0D37">
      <w:pPr>
        <w:pStyle w:val="PL"/>
      </w:pPr>
      <w:r w:rsidRPr="00FA0D37">
        <w:t xml:space="preserve">    drb-IdentityList                      </w:t>
      </w:r>
      <w:r w:rsidRPr="00FA0D37">
        <w:rPr>
          <w:color w:val="993366"/>
        </w:rPr>
        <w:t>SEQUENCE</w:t>
      </w:r>
      <w:r w:rsidRPr="00FA0D37">
        <w:t xml:space="preserve"> (</w:t>
      </w:r>
      <w:r w:rsidRPr="00FA0D37">
        <w:rPr>
          <w:color w:val="993366"/>
        </w:rPr>
        <w:t>SIZE</w:t>
      </w:r>
      <w:r w:rsidRPr="00FA0D37">
        <w:t xml:space="preserve"> (1..maxDRB))</w:t>
      </w:r>
      <w:r w:rsidRPr="00FA0D37">
        <w:rPr>
          <w:color w:val="993366"/>
        </w:rPr>
        <w:t xml:space="preserve"> OF</w:t>
      </w:r>
      <w:r w:rsidRPr="00FA0D37">
        <w:t xml:space="preserve"> DRB-Identity,</w:t>
      </w:r>
    </w:p>
    <w:p w14:paraId="2EBE773D" w14:textId="791BAA5A" w:rsidR="00E84B6D" w:rsidRPr="00FA0D37" w:rsidRDefault="00E84B6D" w:rsidP="00FA0D37">
      <w:pPr>
        <w:pStyle w:val="PL"/>
        <w:rPr>
          <w:rFonts w:eastAsia="等线"/>
        </w:rPr>
      </w:pPr>
      <w:r w:rsidRPr="00FA0D37">
        <w:t xml:space="preserve">    </w:t>
      </w:r>
      <w:r w:rsidRPr="00FA0D37">
        <w:rPr>
          <w:rFonts w:eastAsia="等线"/>
        </w:rPr>
        <w:t>delayThreshold</w:t>
      </w:r>
      <w:r w:rsidRPr="00FA0D37">
        <w:t xml:space="preserve">                        </w:t>
      </w:r>
      <w:r w:rsidRPr="00FA0D37">
        <w:rPr>
          <w:rFonts w:eastAsia="等线"/>
          <w:color w:val="993366"/>
        </w:rPr>
        <w:t>ENUMERATED</w:t>
      </w:r>
      <w:r w:rsidRPr="00FA0D37">
        <w:t xml:space="preserve"> </w:t>
      </w:r>
      <w:r w:rsidRPr="00FA0D37">
        <w:rPr>
          <w:rFonts w:eastAsia="等线"/>
        </w:rPr>
        <w:t>{ms0dot25, ms0dot5, ms1, ms2, ms4, ms5, ms10, ms20, ms30, ms40, ms50, ms60, ms70,</w:t>
      </w:r>
    </w:p>
    <w:p w14:paraId="39249621" w14:textId="4BC5CC19" w:rsidR="00E84B6D" w:rsidRPr="00FA0D37" w:rsidRDefault="00E84B6D" w:rsidP="00FA0D37">
      <w:pPr>
        <w:pStyle w:val="PL"/>
        <w:rPr>
          <w:rFonts w:eastAsia="等线"/>
        </w:rPr>
      </w:pPr>
      <w:r w:rsidRPr="00FA0D37">
        <w:t xml:space="preserve">                                                      </w:t>
      </w:r>
      <w:r w:rsidRPr="00FA0D37">
        <w:rPr>
          <w:rFonts w:eastAsia="等线"/>
        </w:rPr>
        <w:t>ms80, ms90, ms100, ms150, ms300, ms500}</w:t>
      </w:r>
    </w:p>
    <w:p w14:paraId="4BA04D46" w14:textId="77777777" w:rsidR="00E84B6D" w:rsidRPr="00FA0D37" w:rsidRDefault="00E84B6D" w:rsidP="00FA0D37">
      <w:pPr>
        <w:pStyle w:val="PL"/>
      </w:pPr>
      <w:r w:rsidRPr="00FA0D37">
        <w:t>}</w:t>
      </w:r>
    </w:p>
    <w:p w14:paraId="5FC155BD" w14:textId="77777777" w:rsidR="00E84B6D" w:rsidRPr="00FA0D37" w:rsidRDefault="00E84B6D" w:rsidP="00FA0D37">
      <w:pPr>
        <w:pStyle w:val="PL"/>
      </w:pPr>
    </w:p>
    <w:p w14:paraId="17030F4D" w14:textId="77777777" w:rsidR="00E84B6D" w:rsidRPr="00FA0D37" w:rsidRDefault="00E84B6D" w:rsidP="00FA0D37">
      <w:pPr>
        <w:pStyle w:val="PL"/>
        <w:rPr>
          <w:color w:val="808080"/>
        </w:rPr>
      </w:pPr>
      <w:r w:rsidRPr="00FA0D37">
        <w:rPr>
          <w:color w:val="808080"/>
        </w:rPr>
        <w:t>-- TAG-ULEXCESSDELAYCONFIG-STOP</w:t>
      </w:r>
    </w:p>
    <w:p w14:paraId="6B6EB611" w14:textId="77777777" w:rsidR="00E84B6D" w:rsidRPr="00FA0D37" w:rsidRDefault="00E84B6D" w:rsidP="00FA0D37">
      <w:pPr>
        <w:pStyle w:val="PL"/>
        <w:rPr>
          <w:color w:val="808080"/>
        </w:rPr>
      </w:pPr>
      <w:r w:rsidRPr="00FA0D37">
        <w:rPr>
          <w:color w:val="808080"/>
        </w:rPr>
        <w:t>-- ASN1STOP</w:t>
      </w:r>
    </w:p>
    <w:p w14:paraId="114B93C1" w14:textId="77777777" w:rsidR="00E84B6D" w:rsidRPr="00FA0D37"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FA0D37" w:rsidRDefault="00E84B6D" w:rsidP="00771058">
            <w:pPr>
              <w:pStyle w:val="TAH"/>
              <w:rPr>
                <w:lang w:eastAsia="en-GB"/>
              </w:rPr>
            </w:pPr>
            <w:r w:rsidRPr="00FA0D37">
              <w:rPr>
                <w:i/>
                <w:lang w:eastAsia="en-GB"/>
              </w:rPr>
              <w:t>UL-ExcessDelayConfig</w:t>
            </w:r>
            <w:r w:rsidRPr="00FA0D37">
              <w:rPr>
                <w:lang w:eastAsia="en-GB"/>
              </w:rPr>
              <w:t xml:space="preserve"> field descriptions</w:t>
            </w:r>
          </w:p>
        </w:tc>
      </w:tr>
      <w:tr w:rsidR="005C7FF4" w:rsidRPr="00FA0D37"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FA0D37" w:rsidRDefault="00E84B6D" w:rsidP="00771058">
            <w:pPr>
              <w:pStyle w:val="TAL"/>
              <w:rPr>
                <w:b/>
                <w:i/>
                <w:lang w:eastAsia="en-GB"/>
              </w:rPr>
            </w:pPr>
            <w:r w:rsidRPr="00FA0D37">
              <w:rPr>
                <w:b/>
                <w:i/>
                <w:lang w:eastAsia="en-GB"/>
              </w:rPr>
              <w:t>drb-IdentityList</w:t>
            </w:r>
          </w:p>
          <w:p w14:paraId="76D5ADA7" w14:textId="77777777" w:rsidR="00E84B6D" w:rsidRPr="00FA0D37" w:rsidRDefault="00E84B6D" w:rsidP="00771058">
            <w:pPr>
              <w:pStyle w:val="TAL"/>
              <w:rPr>
                <w:lang w:eastAsia="en-GB"/>
              </w:rPr>
            </w:pPr>
            <w:r w:rsidRPr="00FA0D37">
              <w:rPr>
                <w:rFonts w:eastAsia="等线"/>
                <w:lang w:eastAsia="sv-SE"/>
              </w:rPr>
              <w:t>Indicates the DRB IDs used</w:t>
            </w:r>
            <w:r w:rsidRPr="00FA0D37">
              <w:rPr>
                <w:lang w:eastAsia="en-GB"/>
              </w:rPr>
              <w:t xml:space="preserve"> by UE to provide results of </w:t>
            </w:r>
            <w:r w:rsidRPr="00FA0D37">
              <w:t>UL PDCP Excess Packet Delay per DRB measurement</w:t>
            </w:r>
            <w:r w:rsidRPr="00FA0D37">
              <w:rPr>
                <w:lang w:eastAsia="en-GB"/>
              </w:rPr>
              <w:t xml:space="preserve"> as specified in TS </w:t>
            </w:r>
            <w:r w:rsidRPr="00FA0D37">
              <w:rPr>
                <w:lang w:eastAsia="sv-SE"/>
              </w:rPr>
              <w:t>38.314 [53]</w:t>
            </w:r>
            <w:r w:rsidRPr="00FA0D37">
              <w:rPr>
                <w:lang w:eastAsia="en-GB"/>
              </w:rPr>
              <w:t>.</w:t>
            </w:r>
          </w:p>
        </w:tc>
      </w:tr>
      <w:tr w:rsidR="00E84B6D" w:rsidRPr="00FA0D37"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FA0D37" w:rsidRDefault="00E84B6D" w:rsidP="00771058">
            <w:pPr>
              <w:pStyle w:val="TAL"/>
              <w:rPr>
                <w:b/>
                <w:i/>
                <w:lang w:eastAsia="en-GB"/>
              </w:rPr>
            </w:pPr>
            <w:r w:rsidRPr="00FA0D37">
              <w:rPr>
                <w:b/>
                <w:i/>
                <w:lang w:eastAsia="en-GB"/>
              </w:rPr>
              <w:t>delayThreshold</w:t>
            </w:r>
          </w:p>
          <w:p w14:paraId="46D2B7B0" w14:textId="77777777" w:rsidR="00E84B6D" w:rsidRPr="00FA0D37" w:rsidRDefault="00E84B6D" w:rsidP="00771058">
            <w:pPr>
              <w:pStyle w:val="TAL"/>
              <w:rPr>
                <w:b/>
                <w:i/>
                <w:lang w:eastAsia="en-GB"/>
              </w:rPr>
            </w:pPr>
            <w:r w:rsidRPr="00FA0D37">
              <w:rPr>
                <w:rFonts w:eastAsia="等线"/>
                <w:lang w:eastAsia="sv-SE"/>
              </w:rPr>
              <w:t>Indicates the delay threshold for the DRB IDs indicated in DRB-IdentityList</w:t>
            </w:r>
            <w:r w:rsidRPr="00FA0D37">
              <w:rPr>
                <w:lang w:eastAsia="en-GB"/>
              </w:rPr>
              <w:t>. Value ms0dot25 corresponds to 0.25ms, ms0dot5 corresponds to 0.5ms, ms1 corresponds to 1ms and so on.</w:t>
            </w:r>
          </w:p>
        </w:tc>
      </w:tr>
    </w:tbl>
    <w:p w14:paraId="7D3709B1" w14:textId="77777777" w:rsidR="00E84B6D" w:rsidRPr="00FA0D37" w:rsidRDefault="00E84B6D" w:rsidP="00394471"/>
    <w:p w14:paraId="55EE2E6B" w14:textId="77777777" w:rsidR="00243878" w:rsidRPr="00FA0D37" w:rsidRDefault="00243878" w:rsidP="000830BB">
      <w:pPr>
        <w:pStyle w:val="4"/>
        <w:rPr>
          <w:rFonts w:eastAsia="MS Mincho"/>
        </w:rPr>
      </w:pPr>
      <w:bookmarkStart w:id="1485" w:name="_Toc146781514"/>
      <w:r w:rsidRPr="00FA0D37">
        <w:t>–</w:t>
      </w:r>
      <w:r w:rsidRPr="00FA0D37">
        <w:tab/>
      </w:r>
      <w:r w:rsidRPr="00FA0D37">
        <w:rPr>
          <w:i/>
          <w:iCs/>
        </w:rPr>
        <w:t>UL-GapFR2-Config</w:t>
      </w:r>
      <w:bookmarkEnd w:id="1485"/>
    </w:p>
    <w:p w14:paraId="2D77B483" w14:textId="77777777" w:rsidR="00243878" w:rsidRPr="00FA0D37" w:rsidRDefault="00243878" w:rsidP="00243878">
      <w:r w:rsidRPr="00FA0D37">
        <w:t xml:space="preserve">The IE </w:t>
      </w:r>
      <w:r w:rsidRPr="00FA0D37">
        <w:rPr>
          <w:bCs/>
          <w:i/>
          <w:iCs/>
        </w:rPr>
        <w:t>UL-GapFR2-Config</w:t>
      </w:r>
      <w:r w:rsidRPr="00FA0D37">
        <w:t xml:space="preserve"> specifies the FR2 uplink gap configuration.</w:t>
      </w:r>
    </w:p>
    <w:p w14:paraId="6454BFCF" w14:textId="77777777" w:rsidR="00243878" w:rsidRPr="00FA0D37" w:rsidRDefault="00243878" w:rsidP="000830BB">
      <w:pPr>
        <w:pStyle w:val="TH"/>
      </w:pPr>
      <w:r w:rsidRPr="00FA0D37">
        <w:rPr>
          <w:i/>
          <w:iCs/>
        </w:rPr>
        <w:lastRenderedPageBreak/>
        <w:t>UL-GapFR2-Config</w:t>
      </w:r>
      <w:r w:rsidRPr="00FA0D37">
        <w:t xml:space="preserve"> information element</w:t>
      </w:r>
    </w:p>
    <w:p w14:paraId="224F4736" w14:textId="77777777" w:rsidR="00243878" w:rsidRPr="00FA0D37" w:rsidRDefault="00243878" w:rsidP="00FA0D37">
      <w:pPr>
        <w:pStyle w:val="PL"/>
        <w:rPr>
          <w:color w:val="808080"/>
        </w:rPr>
      </w:pPr>
      <w:r w:rsidRPr="00FA0D37">
        <w:rPr>
          <w:color w:val="808080"/>
        </w:rPr>
        <w:t>-- ASN1START</w:t>
      </w:r>
    </w:p>
    <w:p w14:paraId="566BA261" w14:textId="77777777" w:rsidR="00243878" w:rsidRPr="00FA0D37" w:rsidRDefault="00243878" w:rsidP="00FA0D37">
      <w:pPr>
        <w:pStyle w:val="PL"/>
        <w:rPr>
          <w:color w:val="808080"/>
        </w:rPr>
      </w:pPr>
      <w:r w:rsidRPr="00FA0D37">
        <w:rPr>
          <w:color w:val="808080"/>
        </w:rPr>
        <w:t>-- TAG-UL-GAPFR2-CONFIG-START</w:t>
      </w:r>
    </w:p>
    <w:p w14:paraId="7A41532E" w14:textId="77777777" w:rsidR="00243878" w:rsidRPr="00FA0D37" w:rsidRDefault="00243878" w:rsidP="00FA0D37">
      <w:pPr>
        <w:pStyle w:val="PL"/>
      </w:pPr>
    </w:p>
    <w:p w14:paraId="3720F3CA" w14:textId="45EF7258" w:rsidR="00243878" w:rsidRPr="00FA0D37" w:rsidRDefault="00243878" w:rsidP="00FA0D37">
      <w:pPr>
        <w:pStyle w:val="PL"/>
      </w:pPr>
      <w:r w:rsidRPr="00FA0D37">
        <w:t xml:space="preserve">UL-GapFR2-Config-r17 ::=      </w:t>
      </w:r>
      <w:r w:rsidRPr="00FA0D37">
        <w:rPr>
          <w:color w:val="993366"/>
        </w:rPr>
        <w:t>SEQUENCE</w:t>
      </w:r>
      <w:r w:rsidRPr="00FA0D37">
        <w:t xml:space="preserve"> {</w:t>
      </w:r>
    </w:p>
    <w:p w14:paraId="06354B67" w14:textId="06F1D3F6" w:rsidR="00243878" w:rsidRPr="00FA0D37" w:rsidRDefault="00243878" w:rsidP="00FA0D37">
      <w:pPr>
        <w:pStyle w:val="PL"/>
      </w:pPr>
      <w:r w:rsidRPr="00FA0D37">
        <w:t xml:space="preserve">    gapOffset-r17                 </w:t>
      </w:r>
      <w:r w:rsidRPr="00FA0D37">
        <w:rPr>
          <w:color w:val="993366"/>
        </w:rPr>
        <w:t>INTEGER</w:t>
      </w:r>
      <w:r w:rsidRPr="00FA0D37">
        <w:t xml:space="preserve"> (0..159),</w:t>
      </w:r>
    </w:p>
    <w:p w14:paraId="459A58AD" w14:textId="5BF2FE2D" w:rsidR="00243878" w:rsidRPr="00FA0D37" w:rsidRDefault="00243878" w:rsidP="00FA0D37">
      <w:pPr>
        <w:pStyle w:val="PL"/>
      </w:pPr>
      <w:r w:rsidRPr="00FA0D37">
        <w:t xml:space="preserve">    ugl-r17                       </w:t>
      </w:r>
      <w:r w:rsidRPr="00FA0D37">
        <w:rPr>
          <w:color w:val="993366"/>
        </w:rPr>
        <w:t>ENUMERATED</w:t>
      </w:r>
      <w:r w:rsidRPr="00FA0D37">
        <w:t xml:space="preserve"> {ms0dot125, ms0dot25, ms0dot5, ms1},</w:t>
      </w:r>
    </w:p>
    <w:p w14:paraId="4D48CFC5" w14:textId="6138A6A1" w:rsidR="00243878" w:rsidRPr="00FA0D37" w:rsidRDefault="00243878" w:rsidP="00FA0D37">
      <w:pPr>
        <w:pStyle w:val="PL"/>
      </w:pPr>
      <w:r w:rsidRPr="00FA0D37">
        <w:t xml:space="preserve">    ugrp-r17                      </w:t>
      </w:r>
      <w:r w:rsidRPr="00FA0D37">
        <w:rPr>
          <w:color w:val="993366"/>
        </w:rPr>
        <w:t>ENUMERATED</w:t>
      </w:r>
      <w:r w:rsidRPr="00FA0D37">
        <w:t xml:space="preserve"> {ms5, ms20, ms40, ms160},</w:t>
      </w:r>
    </w:p>
    <w:p w14:paraId="7D579A1F" w14:textId="51AC1BC0" w:rsidR="00243878" w:rsidRPr="00FA0D37" w:rsidRDefault="00243878" w:rsidP="00FA0D37">
      <w:pPr>
        <w:pStyle w:val="PL"/>
        <w:rPr>
          <w:color w:val="808080"/>
        </w:rPr>
      </w:pPr>
      <w:r w:rsidRPr="00FA0D37">
        <w:t xml:space="preserve">    refFR2</w:t>
      </w:r>
      <w:r w:rsidR="001212B2" w:rsidRPr="00FA0D37">
        <w:t>-</w:t>
      </w:r>
      <w:r w:rsidRPr="00FA0D37">
        <w:t xml:space="preserve">ServCellAsyncCA-r17    ServCellIndex                                                      </w:t>
      </w:r>
      <w:r w:rsidRPr="00FA0D37">
        <w:rPr>
          <w:color w:val="993366"/>
        </w:rPr>
        <w:t>OPTIONAL</w:t>
      </w:r>
      <w:r w:rsidRPr="00FA0D37">
        <w:t xml:space="preserve"> </w:t>
      </w:r>
      <w:r w:rsidR="00E96016" w:rsidRPr="00FA0D37">
        <w:rPr>
          <w:color w:val="808080"/>
        </w:rPr>
        <w:t>--</w:t>
      </w:r>
      <w:r w:rsidRPr="00FA0D37">
        <w:rPr>
          <w:color w:val="808080"/>
        </w:rPr>
        <w:t xml:space="preserve"> Cond AsyncCA</w:t>
      </w:r>
    </w:p>
    <w:p w14:paraId="24C08422" w14:textId="4E388B92" w:rsidR="00243878" w:rsidRPr="00FA0D37" w:rsidRDefault="00243878" w:rsidP="00FA0D37">
      <w:pPr>
        <w:pStyle w:val="PL"/>
      </w:pPr>
      <w:r w:rsidRPr="00FA0D37">
        <w:t>}</w:t>
      </w:r>
    </w:p>
    <w:p w14:paraId="0899E359" w14:textId="77777777" w:rsidR="00243878" w:rsidRPr="00FA0D37" w:rsidRDefault="00243878" w:rsidP="00FA0D37">
      <w:pPr>
        <w:pStyle w:val="PL"/>
      </w:pPr>
    </w:p>
    <w:p w14:paraId="12B37C64" w14:textId="77777777" w:rsidR="00243878" w:rsidRPr="00FA0D37" w:rsidRDefault="00243878" w:rsidP="00FA0D37">
      <w:pPr>
        <w:pStyle w:val="PL"/>
        <w:rPr>
          <w:color w:val="808080"/>
        </w:rPr>
      </w:pPr>
      <w:r w:rsidRPr="00FA0D37">
        <w:rPr>
          <w:color w:val="808080"/>
        </w:rPr>
        <w:t>-- TAG-UL-GAPFR2-CONFIG-STOP</w:t>
      </w:r>
    </w:p>
    <w:p w14:paraId="0AB7BE81" w14:textId="77777777" w:rsidR="00243878" w:rsidRPr="00FA0D37" w:rsidRDefault="00243878" w:rsidP="00FA0D37">
      <w:pPr>
        <w:pStyle w:val="PL"/>
        <w:rPr>
          <w:color w:val="808080"/>
        </w:rPr>
      </w:pPr>
      <w:r w:rsidRPr="00FA0D37">
        <w:rPr>
          <w:color w:val="808080"/>
        </w:rPr>
        <w:t>-- ASN1STOP</w:t>
      </w:r>
    </w:p>
    <w:p w14:paraId="46141ADA" w14:textId="77777777" w:rsidR="00243878" w:rsidRPr="00FA0D37"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5C7FF4" w:rsidRPr="00FA0D37"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FA0D37" w:rsidRDefault="00243878" w:rsidP="000830BB">
            <w:pPr>
              <w:pStyle w:val="TAH"/>
              <w:rPr>
                <w:szCs w:val="24"/>
                <w:lang w:eastAsia="en-GB"/>
              </w:rPr>
            </w:pPr>
            <w:r w:rsidRPr="00FA0D37">
              <w:rPr>
                <w:i/>
              </w:rPr>
              <w:t>UL-GapFR2-Config</w:t>
            </w:r>
            <w:r w:rsidRPr="00FA0D37">
              <w:t xml:space="preserve"> </w:t>
            </w:r>
            <w:r w:rsidRPr="00FA0D37">
              <w:rPr>
                <w:lang w:eastAsia="en-GB"/>
              </w:rPr>
              <w:t>field</w:t>
            </w:r>
            <w:r w:rsidRPr="00FA0D37">
              <w:rPr>
                <w:szCs w:val="24"/>
                <w:lang w:eastAsia="en-GB"/>
              </w:rPr>
              <w:t xml:space="preserve"> descriptions</w:t>
            </w:r>
          </w:p>
        </w:tc>
      </w:tr>
      <w:tr w:rsidR="005C7FF4" w:rsidRPr="00FA0D37"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FA0D37" w:rsidRDefault="00243878" w:rsidP="00243878">
            <w:pPr>
              <w:pStyle w:val="TAL"/>
              <w:rPr>
                <w:b/>
                <w:bCs/>
                <w:i/>
                <w:iCs/>
                <w:lang w:eastAsia="en-GB"/>
              </w:rPr>
            </w:pPr>
            <w:r w:rsidRPr="00FA0D37">
              <w:rPr>
                <w:b/>
                <w:bCs/>
                <w:i/>
                <w:iCs/>
                <w:lang w:eastAsia="en-GB"/>
              </w:rPr>
              <w:t>gapOffset</w:t>
            </w:r>
          </w:p>
          <w:p w14:paraId="59C58359" w14:textId="77777777" w:rsidR="00243878" w:rsidRPr="00FA0D37" w:rsidRDefault="00243878" w:rsidP="000830BB">
            <w:pPr>
              <w:pStyle w:val="TAL"/>
              <w:rPr>
                <w:iCs/>
              </w:rPr>
            </w:pPr>
            <w:r w:rsidRPr="00FA0D37">
              <w:rPr>
                <w:lang w:eastAsia="en-GB"/>
              </w:rPr>
              <w:t xml:space="preserve">Value </w:t>
            </w:r>
            <w:r w:rsidRPr="00FA0D37">
              <w:rPr>
                <w:i/>
                <w:iCs/>
                <w:lang w:eastAsia="en-GB"/>
              </w:rPr>
              <w:t>gapOffset</w:t>
            </w:r>
            <w:r w:rsidRPr="00FA0D37">
              <w:rPr>
                <w:lang w:eastAsia="en-GB"/>
              </w:rPr>
              <w:t xml:space="preserve"> is the gap offset of the FR2 UL gap pattern with UGRP indicate</w:t>
            </w:r>
            <w:r w:rsidRPr="00FA0D37">
              <w:rPr>
                <w:lang w:eastAsia="sv-SE"/>
              </w:rPr>
              <w:t>d</w:t>
            </w:r>
            <w:r w:rsidRPr="00FA0D37">
              <w:rPr>
                <w:lang w:eastAsia="en-GB"/>
              </w:rPr>
              <w:t xml:space="preserve"> in the field </w:t>
            </w:r>
            <w:r w:rsidRPr="00FA0D37">
              <w:rPr>
                <w:i/>
                <w:iCs/>
                <w:lang w:eastAsia="en-GB"/>
              </w:rPr>
              <w:t>ugrp</w:t>
            </w:r>
            <w:r w:rsidRPr="00FA0D37">
              <w:rPr>
                <w:lang w:eastAsia="en-GB"/>
              </w:rPr>
              <w:t xml:space="preserve">. The value range is from 0 to </w:t>
            </w:r>
            <w:r w:rsidRPr="00FA0D37">
              <w:rPr>
                <w:i/>
                <w:iCs/>
                <w:lang w:eastAsia="en-GB"/>
              </w:rPr>
              <w:t>ugrp</w:t>
            </w:r>
            <w:r w:rsidRPr="00FA0D37">
              <w:rPr>
                <w:lang w:eastAsia="en-GB"/>
              </w:rPr>
              <w:t>-1</w:t>
            </w:r>
            <w:r w:rsidRPr="00FA0D37">
              <w:rPr>
                <w:lang w:eastAsia="sv-SE"/>
              </w:rPr>
              <w:t>.</w:t>
            </w:r>
          </w:p>
        </w:tc>
      </w:tr>
      <w:tr w:rsidR="005C7FF4" w:rsidRPr="00FA0D37"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FA0D37" w:rsidRDefault="00243878" w:rsidP="000830BB">
            <w:pPr>
              <w:pStyle w:val="TAL"/>
              <w:rPr>
                <w:b/>
                <w:bCs/>
                <w:i/>
                <w:szCs w:val="24"/>
              </w:rPr>
            </w:pPr>
            <w:r w:rsidRPr="00FA0D37">
              <w:rPr>
                <w:b/>
                <w:bCs/>
                <w:i/>
                <w:szCs w:val="24"/>
              </w:rPr>
              <w:t>refFR2</w:t>
            </w:r>
            <w:r w:rsidR="001212B2" w:rsidRPr="00FA0D37">
              <w:rPr>
                <w:b/>
                <w:bCs/>
                <w:i/>
                <w:szCs w:val="24"/>
              </w:rPr>
              <w:t>-</w:t>
            </w:r>
            <w:r w:rsidRPr="00FA0D37">
              <w:rPr>
                <w:b/>
                <w:bCs/>
                <w:i/>
                <w:szCs w:val="24"/>
              </w:rPr>
              <w:t>ServCellAsyncCA</w:t>
            </w:r>
          </w:p>
          <w:p w14:paraId="7AE4F15C" w14:textId="77777777" w:rsidR="00243878" w:rsidRPr="00FA0D37" w:rsidRDefault="00243878" w:rsidP="000830BB">
            <w:pPr>
              <w:pStyle w:val="TAL"/>
              <w:rPr>
                <w:szCs w:val="24"/>
                <w:lang w:eastAsia="sv-SE"/>
              </w:rPr>
            </w:pPr>
            <w:r w:rsidRPr="00FA0D37">
              <w:rPr>
                <w:szCs w:val="24"/>
                <w:lang w:eastAsia="sv-SE"/>
              </w:rPr>
              <w:t xml:space="preserve">Indicates the FR2 serving cell identifier whose SFN and subframe is used for FR2 UL gap calculation for this gap pattern </w:t>
            </w:r>
            <w:r w:rsidRPr="00FA0D37">
              <w:rPr>
                <w:szCs w:val="22"/>
                <w:lang w:eastAsia="sv-SE"/>
              </w:rPr>
              <w:t>with asynchronous CA involving FR2 carrier(s).</w:t>
            </w:r>
          </w:p>
        </w:tc>
      </w:tr>
      <w:tr w:rsidR="005C7FF4" w:rsidRPr="00FA0D37"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FA0D37" w:rsidRDefault="00243878" w:rsidP="000830BB">
            <w:pPr>
              <w:pStyle w:val="TAL"/>
              <w:rPr>
                <w:b/>
                <w:bCs/>
                <w:i/>
                <w:iCs/>
                <w:szCs w:val="24"/>
                <w:lang w:eastAsia="en-GB"/>
              </w:rPr>
            </w:pPr>
            <w:r w:rsidRPr="00FA0D37">
              <w:rPr>
                <w:b/>
                <w:bCs/>
                <w:i/>
                <w:iCs/>
                <w:szCs w:val="24"/>
                <w:lang w:eastAsia="en-GB"/>
              </w:rPr>
              <w:t>ugl</w:t>
            </w:r>
          </w:p>
          <w:p w14:paraId="05ED6E26" w14:textId="012B4E56" w:rsidR="00243878" w:rsidRPr="00FA0D37" w:rsidRDefault="00243878" w:rsidP="000830BB">
            <w:pPr>
              <w:pStyle w:val="TAL"/>
              <w:rPr>
                <w:szCs w:val="24"/>
                <w:lang w:eastAsia="en-GB"/>
              </w:rPr>
            </w:pPr>
            <w:r w:rsidRPr="00FA0D37">
              <w:rPr>
                <w:iCs/>
                <w:szCs w:val="24"/>
                <w:lang w:eastAsia="en-GB"/>
              </w:rPr>
              <w:t xml:space="preserve">Value </w:t>
            </w:r>
            <w:r w:rsidRPr="00FA0D37">
              <w:rPr>
                <w:i/>
                <w:iCs/>
                <w:szCs w:val="24"/>
                <w:lang w:eastAsia="en-GB"/>
              </w:rPr>
              <w:t>ugl</w:t>
            </w:r>
            <w:r w:rsidRPr="00FA0D37">
              <w:rPr>
                <w:iCs/>
                <w:szCs w:val="24"/>
                <w:lang w:eastAsia="en-GB"/>
              </w:rPr>
              <w:t xml:space="preserve"> is the gap length in ms of the FR2 UL gap. The FR2 UL gap length is according to Table 9.</w:t>
            </w:r>
            <w:r w:rsidRPr="00FA0D37">
              <w:rPr>
                <w:iCs/>
                <w:szCs w:val="24"/>
                <w:lang w:eastAsia="zh-CN"/>
              </w:rPr>
              <w:t>1.</w:t>
            </w:r>
            <w:r w:rsidR="00262741" w:rsidRPr="00FA0D37">
              <w:rPr>
                <w:iCs/>
                <w:szCs w:val="24"/>
                <w:lang w:eastAsia="zh-CN"/>
              </w:rPr>
              <w:t>11-1</w:t>
            </w:r>
            <w:r w:rsidRPr="00FA0D37">
              <w:rPr>
                <w:iCs/>
                <w:szCs w:val="24"/>
                <w:lang w:eastAsia="zh-CN"/>
              </w:rPr>
              <w:t xml:space="preserve"> in TS 38.133 [14]. Value </w:t>
            </w:r>
            <w:r w:rsidRPr="00FA0D37">
              <w:rPr>
                <w:i/>
                <w:iCs/>
                <w:szCs w:val="24"/>
                <w:lang w:eastAsia="zh-CN"/>
              </w:rPr>
              <w:t>ms0dot125</w:t>
            </w:r>
            <w:r w:rsidRPr="00FA0D37">
              <w:rPr>
                <w:iCs/>
                <w:szCs w:val="24"/>
                <w:lang w:eastAsia="zh-CN"/>
              </w:rPr>
              <w:t xml:space="preserve"> corresponds to 0.125 ms, </w:t>
            </w:r>
            <w:r w:rsidRPr="00FA0D37">
              <w:rPr>
                <w:i/>
                <w:iCs/>
                <w:szCs w:val="24"/>
                <w:lang w:eastAsia="zh-CN"/>
              </w:rPr>
              <w:t>ms0dot25</w:t>
            </w:r>
            <w:r w:rsidRPr="00FA0D37">
              <w:rPr>
                <w:szCs w:val="24"/>
                <w:lang w:eastAsia="zh-CN"/>
              </w:rPr>
              <w:t xml:space="preserve"> </w:t>
            </w:r>
            <w:r w:rsidRPr="00FA0D37">
              <w:rPr>
                <w:iCs/>
                <w:szCs w:val="24"/>
                <w:lang w:eastAsia="zh-CN"/>
              </w:rPr>
              <w:t xml:space="preserve">corresponds to 0.25 ms and so on. </w:t>
            </w:r>
          </w:p>
        </w:tc>
      </w:tr>
      <w:tr w:rsidR="000830BB" w:rsidRPr="00FA0D37"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FA0D37" w:rsidRDefault="00243878" w:rsidP="000830BB">
            <w:pPr>
              <w:pStyle w:val="TAL"/>
              <w:rPr>
                <w:b/>
                <w:bCs/>
                <w:i/>
                <w:iCs/>
                <w:szCs w:val="24"/>
                <w:lang w:eastAsia="en-GB"/>
              </w:rPr>
            </w:pPr>
            <w:r w:rsidRPr="00FA0D37">
              <w:rPr>
                <w:b/>
                <w:bCs/>
                <w:i/>
                <w:iCs/>
                <w:szCs w:val="24"/>
                <w:lang w:eastAsia="en-GB"/>
              </w:rPr>
              <w:t>ugrp</w:t>
            </w:r>
          </w:p>
          <w:p w14:paraId="7A492F8E" w14:textId="7568F5B5" w:rsidR="00243878" w:rsidRPr="00FA0D37" w:rsidRDefault="00243878" w:rsidP="000830BB">
            <w:pPr>
              <w:pStyle w:val="TAL"/>
              <w:rPr>
                <w:szCs w:val="24"/>
                <w:lang w:eastAsia="en-GB"/>
              </w:rPr>
            </w:pPr>
            <w:r w:rsidRPr="00FA0D37">
              <w:rPr>
                <w:iCs/>
                <w:szCs w:val="24"/>
                <w:lang w:eastAsia="en-GB"/>
              </w:rPr>
              <w:t xml:space="preserve">Value </w:t>
            </w:r>
            <w:r w:rsidRPr="00FA0D37">
              <w:rPr>
                <w:i/>
                <w:iCs/>
                <w:szCs w:val="24"/>
                <w:lang w:eastAsia="en-GB"/>
              </w:rPr>
              <w:t>ugrp</w:t>
            </w:r>
            <w:r w:rsidRPr="00FA0D37">
              <w:rPr>
                <w:iCs/>
                <w:szCs w:val="24"/>
                <w:lang w:eastAsia="en-GB"/>
              </w:rPr>
              <w:t xml:space="preserve"> is the gap repetition period in (ms) of the FR2 UL gap. The FR2 UL gap repetition period is according to Table 9.1.</w:t>
            </w:r>
            <w:r w:rsidR="00262741" w:rsidRPr="00FA0D37">
              <w:rPr>
                <w:iCs/>
                <w:szCs w:val="24"/>
                <w:lang w:eastAsia="en-GB"/>
              </w:rPr>
              <w:t>11-1</w:t>
            </w:r>
            <w:r w:rsidRPr="00FA0D37">
              <w:rPr>
                <w:iCs/>
                <w:szCs w:val="24"/>
                <w:lang w:eastAsia="en-GB"/>
              </w:rPr>
              <w:t xml:space="preserve"> in TS 38.133 [14].</w:t>
            </w:r>
          </w:p>
        </w:tc>
      </w:tr>
    </w:tbl>
    <w:p w14:paraId="532BF25D" w14:textId="77777777" w:rsidR="00243878" w:rsidRPr="00FA0D37"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FA0D37" w:rsidRDefault="00243878" w:rsidP="000830BB">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FA0D37" w:rsidRDefault="00243878" w:rsidP="000830BB">
            <w:pPr>
              <w:pStyle w:val="TAH"/>
              <w:rPr>
                <w:lang w:eastAsia="sv-SE"/>
              </w:rPr>
            </w:pPr>
            <w:r w:rsidRPr="00FA0D37">
              <w:rPr>
                <w:lang w:eastAsia="sv-SE"/>
              </w:rPr>
              <w:t>Explanation</w:t>
            </w:r>
          </w:p>
        </w:tc>
      </w:tr>
      <w:tr w:rsidR="000830BB" w:rsidRPr="00FA0D37"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FA0D37" w:rsidRDefault="00243878" w:rsidP="000830BB">
            <w:pPr>
              <w:pStyle w:val="TAL"/>
              <w:rPr>
                <w:i/>
                <w:iCs/>
                <w:lang w:eastAsia="sv-SE"/>
              </w:rPr>
            </w:pPr>
            <w:r w:rsidRPr="00FA0D37">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FA0D37" w:rsidRDefault="00243878" w:rsidP="000830BB">
            <w:pPr>
              <w:pStyle w:val="TAL"/>
              <w:rPr>
                <w:lang w:eastAsia="sv-SE"/>
              </w:rPr>
            </w:pPr>
            <w:r w:rsidRPr="00FA0D37">
              <w:rPr>
                <w:lang w:eastAsia="sv-SE"/>
              </w:rPr>
              <w:t>This field is mandatory present when configuring FR2 UL gap pattern to UE in:</w:t>
            </w:r>
          </w:p>
          <w:p w14:paraId="59AFB3A3" w14:textId="77777777" w:rsidR="00243878" w:rsidRPr="00FA0D37" w:rsidRDefault="00243878" w:rsidP="000830BB">
            <w:pPr>
              <w:pStyle w:val="TAL"/>
              <w:rPr>
                <w:rFonts w:cs="Arial"/>
                <w:szCs w:val="18"/>
                <w:lang w:eastAsia="sv-SE"/>
              </w:rPr>
            </w:pPr>
            <w:r w:rsidRPr="00FA0D37">
              <w:rPr>
                <w:rFonts w:cs="Arial"/>
                <w:szCs w:val="18"/>
                <w:lang w:eastAsia="sv-SE"/>
              </w:rPr>
              <w:t>- (NG)EN-DC, NR SA, NE-DC or NR-DC without FR2-FR2 band combination, with asynchronous CA involving FR2 carriers.</w:t>
            </w:r>
          </w:p>
          <w:p w14:paraId="0BF47CB9" w14:textId="4D64837B" w:rsidR="00262741" w:rsidRPr="00FA0D37" w:rsidRDefault="00262741" w:rsidP="00262741">
            <w:pPr>
              <w:pStyle w:val="TAL"/>
              <w:rPr>
                <w:lang w:eastAsia="sv-SE"/>
              </w:rPr>
            </w:pPr>
            <w:r w:rsidRPr="00FA0D37">
              <w:rPr>
                <w:lang w:eastAsia="sv-SE"/>
              </w:rPr>
              <w:t>Otherwise, it is absent.</w:t>
            </w:r>
          </w:p>
        </w:tc>
      </w:tr>
    </w:tbl>
    <w:p w14:paraId="499FB8A9" w14:textId="77777777" w:rsidR="00243878" w:rsidRPr="00FA0D37" w:rsidRDefault="00243878" w:rsidP="00394471"/>
    <w:p w14:paraId="46909831" w14:textId="77777777" w:rsidR="00394471" w:rsidRPr="00FA0D37" w:rsidRDefault="00394471" w:rsidP="00394471">
      <w:pPr>
        <w:pStyle w:val="4"/>
        <w:rPr>
          <w:i/>
          <w:iCs/>
          <w:lang w:eastAsia="x-none"/>
        </w:rPr>
      </w:pPr>
      <w:bookmarkStart w:id="1486" w:name="_Toc60777421"/>
      <w:bookmarkStart w:id="1487" w:name="_Toc146781515"/>
      <w:r w:rsidRPr="00FA0D37">
        <w:t>–</w:t>
      </w:r>
      <w:r w:rsidRPr="00FA0D37">
        <w:tab/>
      </w:r>
      <w:r w:rsidRPr="00FA0D37">
        <w:rPr>
          <w:i/>
          <w:iCs/>
          <w:lang w:eastAsia="x-none"/>
        </w:rPr>
        <w:t>UplinkCancellation</w:t>
      </w:r>
      <w:bookmarkEnd w:id="1486"/>
      <w:bookmarkEnd w:id="1487"/>
    </w:p>
    <w:p w14:paraId="342B7867" w14:textId="77777777" w:rsidR="00394471" w:rsidRPr="00FA0D37" w:rsidRDefault="00394471" w:rsidP="00394471">
      <w:r w:rsidRPr="00FA0D37">
        <w:t xml:space="preserve">The IE </w:t>
      </w:r>
      <w:r w:rsidRPr="00FA0D37">
        <w:rPr>
          <w:i/>
        </w:rPr>
        <w:t>UplinkCancellation</w:t>
      </w:r>
      <w:r w:rsidRPr="00FA0D37">
        <w:t xml:space="preserve"> is used to configure the UE to monitor PDCCH for the CI-RNTI.</w:t>
      </w:r>
    </w:p>
    <w:p w14:paraId="02B6D0C7" w14:textId="77777777" w:rsidR="00394471" w:rsidRPr="00FA0D37" w:rsidRDefault="00394471" w:rsidP="00394471">
      <w:pPr>
        <w:pStyle w:val="TH"/>
      </w:pPr>
      <w:r w:rsidRPr="00FA0D37">
        <w:rPr>
          <w:i/>
        </w:rPr>
        <w:t>UplinkCancellation</w:t>
      </w:r>
      <w:r w:rsidRPr="00FA0D37">
        <w:t xml:space="preserve"> information element</w:t>
      </w:r>
    </w:p>
    <w:p w14:paraId="3A740F1A" w14:textId="77777777" w:rsidR="00394471" w:rsidRPr="00FA0D37" w:rsidRDefault="00394471" w:rsidP="00FA0D37">
      <w:pPr>
        <w:pStyle w:val="PL"/>
        <w:rPr>
          <w:color w:val="808080"/>
        </w:rPr>
      </w:pPr>
      <w:r w:rsidRPr="00FA0D37">
        <w:rPr>
          <w:color w:val="808080"/>
        </w:rPr>
        <w:t>-- ASN1START</w:t>
      </w:r>
    </w:p>
    <w:p w14:paraId="117423C1" w14:textId="77777777" w:rsidR="00394471" w:rsidRPr="00FA0D37" w:rsidRDefault="00394471" w:rsidP="00FA0D37">
      <w:pPr>
        <w:pStyle w:val="PL"/>
        <w:rPr>
          <w:color w:val="808080"/>
        </w:rPr>
      </w:pPr>
      <w:r w:rsidRPr="00FA0D37">
        <w:rPr>
          <w:color w:val="808080"/>
        </w:rPr>
        <w:t>-- TAG-UPLINKCANCELLATION-START</w:t>
      </w:r>
    </w:p>
    <w:p w14:paraId="2F8C5C49" w14:textId="77777777" w:rsidR="00394471" w:rsidRPr="00FA0D37" w:rsidRDefault="00394471" w:rsidP="00FA0D37">
      <w:pPr>
        <w:pStyle w:val="PL"/>
      </w:pPr>
    </w:p>
    <w:p w14:paraId="36BD26B3" w14:textId="77777777" w:rsidR="00394471" w:rsidRPr="00FA0D37" w:rsidRDefault="00394471" w:rsidP="00FA0D37">
      <w:pPr>
        <w:pStyle w:val="PL"/>
      </w:pPr>
      <w:r w:rsidRPr="00FA0D37">
        <w:t xml:space="preserve">UplinkCancellation-r16 ::=           </w:t>
      </w:r>
      <w:r w:rsidRPr="00FA0D37">
        <w:rPr>
          <w:color w:val="993366"/>
        </w:rPr>
        <w:t>SEQUENCE</w:t>
      </w:r>
      <w:r w:rsidRPr="00FA0D37">
        <w:t xml:space="preserve"> {</w:t>
      </w:r>
    </w:p>
    <w:p w14:paraId="11827420" w14:textId="77777777" w:rsidR="00394471" w:rsidRPr="00FA0D37" w:rsidRDefault="00394471" w:rsidP="00FA0D37">
      <w:pPr>
        <w:pStyle w:val="PL"/>
      </w:pPr>
      <w:r w:rsidRPr="00FA0D37">
        <w:t xml:space="preserve">    ci-RNTI-r16                          RNTI-Value,</w:t>
      </w:r>
    </w:p>
    <w:p w14:paraId="54ADB3F5" w14:textId="77777777" w:rsidR="00394471" w:rsidRPr="00FA0D37" w:rsidRDefault="00394471" w:rsidP="00FA0D37">
      <w:pPr>
        <w:pStyle w:val="PL"/>
      </w:pPr>
      <w:r w:rsidRPr="00FA0D37">
        <w:t xml:space="preserve">    dci-PayloadSizeForCI-r16             </w:t>
      </w:r>
      <w:r w:rsidRPr="00FA0D37">
        <w:rPr>
          <w:color w:val="993366"/>
        </w:rPr>
        <w:t>INTEGER</w:t>
      </w:r>
      <w:r w:rsidRPr="00FA0D37">
        <w:t xml:space="preserve"> (0..maxCI-DCI-PayloadSize-r16),</w:t>
      </w:r>
    </w:p>
    <w:p w14:paraId="26DDB105" w14:textId="77777777" w:rsidR="00394471" w:rsidRPr="00FA0D37" w:rsidRDefault="00394471" w:rsidP="00FA0D37">
      <w:pPr>
        <w:pStyle w:val="PL"/>
      </w:pPr>
      <w:r w:rsidRPr="00FA0D37">
        <w:lastRenderedPageBreak/>
        <w:t xml:space="preserve">    ci-ConfigurationPerServingCell-r16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CI-ConfigurationPerServingCell-r16,</w:t>
      </w:r>
    </w:p>
    <w:p w14:paraId="21DCDFB0" w14:textId="77777777" w:rsidR="00394471" w:rsidRPr="00FA0D37" w:rsidRDefault="00394471" w:rsidP="00FA0D37">
      <w:pPr>
        <w:pStyle w:val="PL"/>
      </w:pPr>
      <w:r w:rsidRPr="00FA0D37">
        <w:t xml:space="preserve">    ...</w:t>
      </w:r>
    </w:p>
    <w:p w14:paraId="317E38BB" w14:textId="77777777" w:rsidR="00394471" w:rsidRPr="00FA0D37" w:rsidRDefault="00394471" w:rsidP="00FA0D37">
      <w:pPr>
        <w:pStyle w:val="PL"/>
      </w:pPr>
      <w:r w:rsidRPr="00FA0D37">
        <w:t>}</w:t>
      </w:r>
    </w:p>
    <w:p w14:paraId="525336F3" w14:textId="77777777" w:rsidR="00394471" w:rsidRPr="00FA0D37" w:rsidRDefault="00394471" w:rsidP="00FA0D37">
      <w:pPr>
        <w:pStyle w:val="PL"/>
      </w:pPr>
    </w:p>
    <w:p w14:paraId="5D6FDA06" w14:textId="77777777" w:rsidR="00394471" w:rsidRPr="00FA0D37" w:rsidRDefault="00394471" w:rsidP="00FA0D37">
      <w:pPr>
        <w:pStyle w:val="PL"/>
      </w:pPr>
      <w:r w:rsidRPr="00FA0D37">
        <w:t xml:space="preserve">CI-ConfigurationPerServingCell-r16 ::=   </w:t>
      </w:r>
      <w:r w:rsidRPr="00FA0D37">
        <w:rPr>
          <w:color w:val="993366"/>
        </w:rPr>
        <w:t>SEQUENCE</w:t>
      </w:r>
      <w:r w:rsidRPr="00FA0D37">
        <w:t xml:space="preserve"> {</w:t>
      </w:r>
    </w:p>
    <w:p w14:paraId="270BF88A" w14:textId="77777777" w:rsidR="00394471" w:rsidRPr="00FA0D37" w:rsidRDefault="00394471" w:rsidP="00FA0D37">
      <w:pPr>
        <w:pStyle w:val="PL"/>
      </w:pPr>
      <w:r w:rsidRPr="00FA0D37">
        <w:t xml:space="preserve">    servingCellId                            ServCellIndex,</w:t>
      </w:r>
    </w:p>
    <w:p w14:paraId="114A903D" w14:textId="47B62BCB" w:rsidR="00394471" w:rsidRPr="00FA0D37" w:rsidRDefault="00394471" w:rsidP="00FA0D37">
      <w:pPr>
        <w:pStyle w:val="PL"/>
      </w:pPr>
      <w:r w:rsidRPr="00FA0D37">
        <w:t xml:space="preserve">    positionInDCI-r16                        </w:t>
      </w:r>
      <w:r w:rsidRPr="00FA0D37">
        <w:rPr>
          <w:color w:val="993366"/>
        </w:rPr>
        <w:t>INTEGER</w:t>
      </w:r>
      <w:r w:rsidRPr="00FA0D37">
        <w:t xml:space="preserve"> (0..maxCI-DCI-PayloadSize-</w:t>
      </w:r>
      <w:r w:rsidR="00A371DB" w:rsidRPr="00FA0D37">
        <w:t>1-r16</w:t>
      </w:r>
      <w:r w:rsidRPr="00FA0D37">
        <w:t>),</w:t>
      </w:r>
    </w:p>
    <w:p w14:paraId="748C4049" w14:textId="32BAEEC7" w:rsidR="00394471" w:rsidRPr="00FA0D37" w:rsidRDefault="00394471" w:rsidP="00FA0D37">
      <w:pPr>
        <w:pStyle w:val="PL"/>
        <w:rPr>
          <w:color w:val="808080"/>
        </w:rPr>
      </w:pPr>
      <w:r w:rsidRPr="00FA0D37">
        <w:t xml:space="preserve">    positionInDCI-ForSUL-r16                 </w:t>
      </w:r>
      <w:r w:rsidRPr="00FA0D37">
        <w:rPr>
          <w:color w:val="993366"/>
        </w:rPr>
        <w:t>INTEGER</w:t>
      </w:r>
      <w:r w:rsidRPr="00FA0D37">
        <w:t xml:space="preserve"> (0..maxCI-DCI-PayloadSize-</w:t>
      </w:r>
      <w:r w:rsidR="00A371DB" w:rsidRPr="00FA0D37">
        <w:t>1-r16</w:t>
      </w:r>
      <w:r w:rsidRPr="00FA0D37">
        <w:t xml:space="preserve">)                             </w:t>
      </w:r>
      <w:r w:rsidRPr="00FA0D37">
        <w:rPr>
          <w:color w:val="993366"/>
        </w:rPr>
        <w:t>OPTIONAL</w:t>
      </w:r>
      <w:r w:rsidRPr="00FA0D37">
        <w:t xml:space="preserve">,   </w:t>
      </w:r>
      <w:r w:rsidRPr="00FA0D37">
        <w:rPr>
          <w:color w:val="808080"/>
        </w:rPr>
        <w:t>-- Cond SUL-Only</w:t>
      </w:r>
    </w:p>
    <w:p w14:paraId="438B1F57" w14:textId="77777777" w:rsidR="00394471" w:rsidRPr="00FA0D37" w:rsidRDefault="00394471" w:rsidP="00FA0D37">
      <w:pPr>
        <w:pStyle w:val="PL"/>
      </w:pPr>
      <w:r w:rsidRPr="00FA0D37">
        <w:t xml:space="preserve">    ci-PayloadSize-r16                       </w:t>
      </w:r>
      <w:r w:rsidRPr="00FA0D37">
        <w:rPr>
          <w:color w:val="993366"/>
        </w:rPr>
        <w:t>ENUMERATED</w:t>
      </w:r>
      <w:r w:rsidRPr="00FA0D37">
        <w:t xml:space="preserve"> {n1, n2, n4, n5, n7, n8, n10, n14, n16, n20, n28, n32, n35, n42, n56, n112},</w:t>
      </w:r>
    </w:p>
    <w:p w14:paraId="4B3E18F5" w14:textId="77777777" w:rsidR="00394471" w:rsidRPr="00FA0D37" w:rsidRDefault="00394471" w:rsidP="00FA0D37">
      <w:pPr>
        <w:pStyle w:val="PL"/>
      </w:pPr>
      <w:r w:rsidRPr="00FA0D37">
        <w:t xml:space="preserve">    timeFrequencyRegion-r16                  </w:t>
      </w:r>
      <w:r w:rsidRPr="00FA0D37">
        <w:rPr>
          <w:color w:val="993366"/>
        </w:rPr>
        <w:t>SEQUENCE</w:t>
      </w:r>
      <w:r w:rsidRPr="00FA0D37">
        <w:t xml:space="preserve"> {</w:t>
      </w:r>
    </w:p>
    <w:p w14:paraId="28504C5E" w14:textId="77777777" w:rsidR="00394471" w:rsidRPr="00FA0D37" w:rsidRDefault="00394471" w:rsidP="00FA0D37">
      <w:pPr>
        <w:pStyle w:val="PL"/>
        <w:rPr>
          <w:color w:val="808080"/>
        </w:rPr>
      </w:pPr>
      <w:r w:rsidRPr="00FA0D37">
        <w:t xml:space="preserve">        timeDurationForCI-r16                    </w:t>
      </w:r>
      <w:r w:rsidRPr="00FA0D37">
        <w:rPr>
          <w:color w:val="993366"/>
        </w:rPr>
        <w:t>ENUMERATED</w:t>
      </w:r>
      <w:r w:rsidRPr="00FA0D37">
        <w:t xml:space="preserve"> {n2, n4, n7, n14}                                      </w:t>
      </w:r>
      <w:r w:rsidRPr="00FA0D37">
        <w:rPr>
          <w:color w:val="993366"/>
        </w:rPr>
        <w:t>OPTIONAL</w:t>
      </w:r>
      <w:r w:rsidRPr="00FA0D37">
        <w:t xml:space="preserve">,   </w:t>
      </w:r>
      <w:r w:rsidRPr="00FA0D37">
        <w:rPr>
          <w:color w:val="808080"/>
        </w:rPr>
        <w:t>-- Cond SymbolPeriodicity</w:t>
      </w:r>
    </w:p>
    <w:p w14:paraId="2B8E7210" w14:textId="77777777" w:rsidR="00394471" w:rsidRPr="00FA0D37" w:rsidRDefault="00394471" w:rsidP="00FA0D37">
      <w:pPr>
        <w:pStyle w:val="PL"/>
      </w:pPr>
      <w:r w:rsidRPr="00FA0D37">
        <w:t xml:space="preserve">        timeGranularityForCI-r16                 </w:t>
      </w:r>
      <w:r w:rsidRPr="00FA0D37">
        <w:rPr>
          <w:color w:val="993366"/>
        </w:rPr>
        <w:t>ENUMERATED</w:t>
      </w:r>
      <w:r w:rsidRPr="00FA0D37">
        <w:t xml:space="preserve"> {n1, n2, n4, n7, n14, n28},</w:t>
      </w:r>
    </w:p>
    <w:p w14:paraId="12BAA755" w14:textId="77777777" w:rsidR="00394471" w:rsidRPr="00FA0D37" w:rsidRDefault="00394471" w:rsidP="00FA0D37">
      <w:pPr>
        <w:pStyle w:val="PL"/>
      </w:pPr>
      <w:r w:rsidRPr="00FA0D37">
        <w:t xml:space="preserve">        frequencyRegionForCI-r16                 </w:t>
      </w:r>
      <w:r w:rsidRPr="00FA0D37">
        <w:rPr>
          <w:color w:val="993366"/>
        </w:rPr>
        <w:t>INTEGER</w:t>
      </w:r>
      <w:r w:rsidRPr="00FA0D37">
        <w:t xml:space="preserve"> (0..37949),</w:t>
      </w:r>
    </w:p>
    <w:p w14:paraId="1DB2215A" w14:textId="77777777" w:rsidR="00394471" w:rsidRPr="00FA0D37" w:rsidRDefault="00394471" w:rsidP="00FA0D37">
      <w:pPr>
        <w:pStyle w:val="PL"/>
      </w:pPr>
      <w:r w:rsidRPr="00FA0D37">
        <w:t xml:space="preserve">        deltaOffset-r16                          </w:t>
      </w:r>
      <w:r w:rsidRPr="00FA0D37">
        <w:rPr>
          <w:color w:val="993366"/>
        </w:rPr>
        <w:t>INTEGER</w:t>
      </w:r>
      <w:r w:rsidRPr="00FA0D37">
        <w:t xml:space="preserve"> (0..2),</w:t>
      </w:r>
    </w:p>
    <w:p w14:paraId="55B63962" w14:textId="77777777" w:rsidR="00394471" w:rsidRPr="00FA0D37" w:rsidRDefault="00394471" w:rsidP="00FA0D37">
      <w:pPr>
        <w:pStyle w:val="PL"/>
      </w:pPr>
      <w:r w:rsidRPr="00FA0D37">
        <w:t xml:space="preserve">        ...</w:t>
      </w:r>
    </w:p>
    <w:p w14:paraId="4AC44D93" w14:textId="77777777" w:rsidR="00394471" w:rsidRPr="00FA0D37" w:rsidRDefault="00394471" w:rsidP="00FA0D37">
      <w:pPr>
        <w:pStyle w:val="PL"/>
      </w:pPr>
      <w:r w:rsidRPr="00FA0D37">
        <w:t xml:space="preserve">    },</w:t>
      </w:r>
    </w:p>
    <w:p w14:paraId="67E0EC99" w14:textId="77777777" w:rsidR="00394471" w:rsidRPr="00FA0D37" w:rsidRDefault="00394471" w:rsidP="00FA0D37">
      <w:pPr>
        <w:pStyle w:val="PL"/>
        <w:rPr>
          <w:color w:val="808080"/>
        </w:rPr>
      </w:pPr>
      <w:r w:rsidRPr="00FA0D37">
        <w:t xml:space="preserve">    uplinkCancellationPriority-v1610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S</w:t>
      </w:r>
    </w:p>
    <w:p w14:paraId="3AE18E83" w14:textId="77777777" w:rsidR="00394471" w:rsidRPr="00FA0D37" w:rsidRDefault="00394471" w:rsidP="00FA0D37">
      <w:pPr>
        <w:pStyle w:val="PL"/>
      </w:pPr>
      <w:r w:rsidRPr="00FA0D37">
        <w:t>}</w:t>
      </w:r>
    </w:p>
    <w:p w14:paraId="7A2504C3" w14:textId="77777777" w:rsidR="00394471" w:rsidRPr="00FA0D37" w:rsidRDefault="00394471" w:rsidP="00FA0D37">
      <w:pPr>
        <w:pStyle w:val="PL"/>
      </w:pPr>
    </w:p>
    <w:p w14:paraId="7934B07C" w14:textId="77777777" w:rsidR="00394471" w:rsidRPr="00FA0D37" w:rsidRDefault="00394471" w:rsidP="00FA0D37">
      <w:pPr>
        <w:pStyle w:val="PL"/>
        <w:rPr>
          <w:color w:val="808080"/>
        </w:rPr>
      </w:pPr>
      <w:r w:rsidRPr="00FA0D37">
        <w:rPr>
          <w:color w:val="808080"/>
        </w:rPr>
        <w:t>-- TAG-UPLINKCANCELLATION-STOP</w:t>
      </w:r>
    </w:p>
    <w:p w14:paraId="75638ACA" w14:textId="77777777" w:rsidR="00394471" w:rsidRPr="00FA0D37" w:rsidRDefault="00394471" w:rsidP="00FA0D37">
      <w:pPr>
        <w:pStyle w:val="PL"/>
        <w:rPr>
          <w:color w:val="808080"/>
        </w:rPr>
      </w:pPr>
      <w:r w:rsidRPr="00FA0D37">
        <w:rPr>
          <w:color w:val="808080"/>
        </w:rPr>
        <w:t>-- ASN1STOP</w:t>
      </w:r>
    </w:p>
    <w:p w14:paraId="06D0706E"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FA0D37" w:rsidRDefault="00394471" w:rsidP="00964CC4">
            <w:pPr>
              <w:pStyle w:val="TAH"/>
              <w:rPr>
                <w:b w:val="0"/>
                <w:lang w:eastAsia="sv-SE"/>
              </w:rPr>
            </w:pPr>
            <w:r w:rsidRPr="00FA0D37">
              <w:rPr>
                <w:i/>
                <w:iCs/>
                <w:lang w:eastAsia="x-none"/>
              </w:rPr>
              <w:t>UplinkCancellation</w:t>
            </w:r>
            <w:r w:rsidRPr="00FA0D37">
              <w:rPr>
                <w:lang w:eastAsia="sv-SE"/>
              </w:rPr>
              <w:t xml:space="preserve"> field descriptions</w:t>
            </w:r>
          </w:p>
        </w:tc>
      </w:tr>
      <w:tr w:rsidR="005C7FF4" w:rsidRPr="00FA0D37"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FA0D37" w:rsidRDefault="00394471" w:rsidP="00964CC4">
            <w:pPr>
              <w:pStyle w:val="TAL"/>
              <w:rPr>
                <w:b/>
                <w:bCs/>
                <w:i/>
                <w:iCs/>
                <w:lang w:eastAsia="x-none"/>
              </w:rPr>
            </w:pPr>
            <w:r w:rsidRPr="00FA0D37">
              <w:rPr>
                <w:b/>
                <w:bCs/>
                <w:i/>
                <w:iCs/>
                <w:lang w:eastAsia="x-none"/>
              </w:rPr>
              <w:t>ci-ConfigurationPerServingCell</w:t>
            </w:r>
          </w:p>
          <w:p w14:paraId="6955CFE7" w14:textId="77777777" w:rsidR="00394471" w:rsidRPr="00FA0D37" w:rsidRDefault="00394471" w:rsidP="00964CC4">
            <w:pPr>
              <w:pStyle w:val="TAL"/>
              <w:rPr>
                <w:lang w:eastAsia="sv-SE"/>
              </w:rPr>
            </w:pPr>
            <w:r w:rsidRPr="00FA0D37">
              <w:rPr>
                <w:lang w:eastAsia="sv-SE"/>
              </w:rPr>
              <w:t xml:space="preserve">Indicates (per serving cell) the position of the </w:t>
            </w:r>
            <w:r w:rsidRPr="00FA0D37">
              <w:rPr>
                <w:i/>
                <w:iCs/>
                <w:lang w:eastAsia="x-none"/>
              </w:rPr>
              <w:t>ci-PaylaodSize</w:t>
            </w:r>
            <w:r w:rsidRPr="00FA0D37">
              <w:rPr>
                <w:lang w:eastAsia="sv-SE"/>
              </w:rPr>
              <w:t xml:space="preserve"> bit CI values inside the DCI payload (see TS 38.213 [13], clause 11.2A).</w:t>
            </w:r>
          </w:p>
        </w:tc>
      </w:tr>
      <w:tr w:rsidR="005C7FF4" w:rsidRPr="00FA0D37"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FA0D37" w:rsidRDefault="00394471" w:rsidP="00964CC4">
            <w:pPr>
              <w:pStyle w:val="TAL"/>
              <w:rPr>
                <w:b/>
                <w:bCs/>
                <w:i/>
                <w:iCs/>
                <w:lang w:eastAsia="x-none"/>
              </w:rPr>
            </w:pPr>
            <w:r w:rsidRPr="00FA0D37">
              <w:rPr>
                <w:b/>
                <w:bCs/>
                <w:i/>
                <w:iCs/>
                <w:lang w:eastAsia="x-none"/>
              </w:rPr>
              <w:t>ci-RNTI</w:t>
            </w:r>
          </w:p>
          <w:p w14:paraId="1E4E6BCB" w14:textId="77777777" w:rsidR="00394471" w:rsidRPr="00FA0D37" w:rsidRDefault="00394471" w:rsidP="00964CC4">
            <w:pPr>
              <w:pStyle w:val="TAL"/>
              <w:rPr>
                <w:lang w:eastAsia="sv-SE"/>
              </w:rPr>
            </w:pPr>
            <w:r w:rsidRPr="00FA0D37">
              <w:rPr>
                <w:lang w:eastAsia="sv-SE"/>
              </w:rPr>
              <w:t>RNTI used for indication cancellation in UL (see TS 38.212 [17] clause 7.3.1 and TS 38.213 [13], clause 11.2A).</w:t>
            </w:r>
          </w:p>
        </w:tc>
      </w:tr>
      <w:tr w:rsidR="00394471" w:rsidRPr="00FA0D37"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FA0D37" w:rsidRDefault="00394471" w:rsidP="00964CC4">
            <w:pPr>
              <w:pStyle w:val="TAL"/>
              <w:rPr>
                <w:b/>
                <w:bCs/>
                <w:i/>
                <w:iCs/>
                <w:lang w:eastAsia="x-none"/>
              </w:rPr>
            </w:pPr>
            <w:r w:rsidRPr="00FA0D37">
              <w:rPr>
                <w:b/>
                <w:bCs/>
                <w:i/>
                <w:iCs/>
                <w:lang w:eastAsia="x-none"/>
              </w:rPr>
              <w:t>dci-PayloadSizeForCI</w:t>
            </w:r>
          </w:p>
          <w:p w14:paraId="6B07FC8F" w14:textId="77777777" w:rsidR="00394471" w:rsidRPr="00FA0D37" w:rsidRDefault="00394471" w:rsidP="00964CC4">
            <w:pPr>
              <w:pStyle w:val="TAL"/>
              <w:rPr>
                <w:lang w:eastAsia="sv-SE"/>
              </w:rPr>
            </w:pPr>
            <w:r w:rsidRPr="00FA0D37">
              <w:rPr>
                <w:lang w:eastAsia="sv-SE"/>
              </w:rPr>
              <w:t>Total length of the DCI payload scrambled with CI-RNTI (see TS 38.213 [13], clause 11.2A).</w:t>
            </w:r>
          </w:p>
        </w:tc>
      </w:tr>
    </w:tbl>
    <w:p w14:paraId="01AD24C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FA0D37" w:rsidRDefault="00394471" w:rsidP="00964CC4">
            <w:pPr>
              <w:pStyle w:val="TAH"/>
              <w:rPr>
                <w:b w:val="0"/>
                <w:lang w:eastAsia="sv-SE"/>
              </w:rPr>
            </w:pPr>
            <w:r w:rsidRPr="00FA0D37">
              <w:rPr>
                <w:i/>
                <w:iCs/>
                <w:lang w:eastAsia="x-none"/>
              </w:rPr>
              <w:lastRenderedPageBreak/>
              <w:t>CI-ConfigurationPerServingCell</w:t>
            </w:r>
            <w:r w:rsidRPr="00FA0D37">
              <w:rPr>
                <w:lang w:eastAsia="sv-SE"/>
              </w:rPr>
              <w:t xml:space="preserve"> field descriptions</w:t>
            </w:r>
          </w:p>
        </w:tc>
      </w:tr>
      <w:tr w:rsidR="005C7FF4" w:rsidRPr="00FA0D37"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FA0D37" w:rsidRDefault="00394471" w:rsidP="00964CC4">
            <w:pPr>
              <w:pStyle w:val="TAL"/>
              <w:rPr>
                <w:b/>
                <w:bCs/>
                <w:i/>
                <w:iCs/>
                <w:lang w:eastAsia="x-none"/>
              </w:rPr>
            </w:pPr>
            <w:r w:rsidRPr="00FA0D37">
              <w:rPr>
                <w:b/>
                <w:bCs/>
                <w:i/>
                <w:iCs/>
                <w:lang w:eastAsia="x-none"/>
              </w:rPr>
              <w:t>ci-PayloadSize</w:t>
            </w:r>
          </w:p>
          <w:p w14:paraId="1302E858" w14:textId="77777777" w:rsidR="00394471" w:rsidRPr="00FA0D37" w:rsidRDefault="00394471" w:rsidP="00964CC4">
            <w:pPr>
              <w:pStyle w:val="TAL"/>
              <w:rPr>
                <w:rFonts w:eastAsia="MS Mincho"/>
                <w:lang w:eastAsia="sv-SE"/>
              </w:rPr>
            </w:pPr>
            <w:r w:rsidRPr="00FA0D37">
              <w:rPr>
                <w:lang w:eastAsia="sv-SE"/>
              </w:rPr>
              <w:t>Configures the field size for each UL cancelation indicator of this serving cell (servingCellId) (see TS 38.213 [13], clause 11.2A).</w:t>
            </w:r>
          </w:p>
        </w:tc>
      </w:tr>
      <w:tr w:rsidR="005C7FF4" w:rsidRPr="00FA0D37"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FA0D37" w:rsidRDefault="00394471" w:rsidP="00964CC4">
            <w:pPr>
              <w:pStyle w:val="TAL"/>
              <w:rPr>
                <w:b/>
                <w:bCs/>
                <w:i/>
                <w:iCs/>
              </w:rPr>
            </w:pPr>
            <w:r w:rsidRPr="00FA0D37">
              <w:rPr>
                <w:b/>
                <w:bCs/>
                <w:i/>
                <w:iCs/>
              </w:rPr>
              <w:t>deltaOffset</w:t>
            </w:r>
          </w:p>
          <w:p w14:paraId="0FFE4A0C" w14:textId="77777777" w:rsidR="00394471" w:rsidRPr="00FA0D37" w:rsidRDefault="00394471" w:rsidP="00964CC4">
            <w:pPr>
              <w:pStyle w:val="TAL"/>
              <w:rPr>
                <w:b/>
                <w:bCs/>
                <w:i/>
                <w:iCs/>
                <w:lang w:eastAsia="x-none"/>
              </w:rPr>
            </w:pPr>
            <w:r w:rsidRPr="00FA0D37">
              <w:rPr>
                <w:szCs w:val="22"/>
              </w:rPr>
              <w:t>Configures the additional offset from the end of a PDCCH reception where the UE detects the DCI format 2_4 and the first symbol of the T_"CI" symbols, in the unit of OFDM symbols (see TS 38.213 [13], clause 11.2A).</w:t>
            </w:r>
          </w:p>
        </w:tc>
      </w:tr>
      <w:tr w:rsidR="005C7FF4" w:rsidRPr="00FA0D37"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FA0D37" w:rsidRDefault="00394471" w:rsidP="00964CC4">
            <w:pPr>
              <w:pStyle w:val="TAL"/>
              <w:rPr>
                <w:b/>
                <w:bCs/>
                <w:i/>
                <w:iCs/>
                <w:lang w:eastAsia="x-none"/>
              </w:rPr>
            </w:pPr>
            <w:r w:rsidRPr="00FA0D37">
              <w:rPr>
                <w:b/>
                <w:bCs/>
                <w:i/>
                <w:iCs/>
                <w:lang w:eastAsia="x-none"/>
              </w:rPr>
              <w:t>frequencyRegionForCI</w:t>
            </w:r>
          </w:p>
          <w:p w14:paraId="2FA23205" w14:textId="77777777" w:rsidR="00394471" w:rsidRPr="00FA0D37" w:rsidRDefault="00394471" w:rsidP="00964CC4">
            <w:pPr>
              <w:pStyle w:val="TAL"/>
              <w:rPr>
                <w:lang w:eastAsia="sv-SE"/>
              </w:rPr>
            </w:pPr>
            <w:r w:rsidRPr="00FA0D37">
              <w:rPr>
                <w:lang w:eastAsia="sv-SE"/>
              </w:rPr>
              <w:t xml:space="preserve">Configures the reference frequency region where a detected UL CI is applicable (see TS 38.213 [13], clause 11.2A). It is defined in the same way as </w:t>
            </w:r>
            <w:r w:rsidRPr="00FA0D37">
              <w:rPr>
                <w:i/>
                <w:iCs/>
                <w:lang w:eastAsia="x-none"/>
              </w:rPr>
              <w:t>locationAndBandwidth</w:t>
            </w:r>
            <w:r w:rsidRPr="00FA0D37">
              <w:rPr>
                <w:lang w:eastAsia="sv-SE"/>
              </w:rPr>
              <w:t>.</w:t>
            </w:r>
          </w:p>
        </w:tc>
      </w:tr>
      <w:tr w:rsidR="005C7FF4" w:rsidRPr="00FA0D37"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FA0D37" w:rsidRDefault="00394471" w:rsidP="00964CC4">
            <w:pPr>
              <w:pStyle w:val="TAL"/>
              <w:rPr>
                <w:b/>
                <w:bCs/>
                <w:i/>
                <w:iCs/>
                <w:lang w:eastAsia="x-none"/>
              </w:rPr>
            </w:pPr>
            <w:r w:rsidRPr="00FA0D37">
              <w:rPr>
                <w:b/>
                <w:bCs/>
                <w:i/>
                <w:iCs/>
                <w:lang w:eastAsia="x-none"/>
              </w:rPr>
              <w:t>positionInDCI</w:t>
            </w:r>
          </w:p>
          <w:p w14:paraId="10B40D70" w14:textId="77777777" w:rsidR="00394471" w:rsidRPr="00FA0D37" w:rsidRDefault="00394471" w:rsidP="00964CC4">
            <w:pPr>
              <w:pStyle w:val="TAL"/>
              <w:rPr>
                <w:rFonts w:eastAsia="MS Mincho"/>
                <w:lang w:eastAsia="sv-SE"/>
              </w:rPr>
            </w:pPr>
            <w:r w:rsidRPr="00FA0D37">
              <w:rPr>
                <w:lang w:eastAsia="sv-SE"/>
              </w:rPr>
              <w:t xml:space="preserve">Starting position (in number of bit) of the </w:t>
            </w:r>
            <w:r w:rsidRPr="00FA0D37">
              <w:rPr>
                <w:i/>
                <w:iCs/>
                <w:lang w:eastAsia="x-none"/>
              </w:rPr>
              <w:t>ci-Paylo</w:t>
            </w:r>
            <w:r w:rsidRPr="00FA0D37">
              <w:rPr>
                <w:i/>
                <w:iCs/>
                <w:lang w:eastAsia="sv-SE"/>
              </w:rPr>
              <w:t>a</w:t>
            </w:r>
            <w:r w:rsidRPr="00FA0D37">
              <w:rPr>
                <w:i/>
                <w:iCs/>
                <w:lang w:eastAsia="x-none"/>
              </w:rPr>
              <w:t>dSize</w:t>
            </w:r>
            <w:r w:rsidRPr="00FA0D37">
              <w:rPr>
                <w:lang w:eastAsia="sv-SE"/>
              </w:rPr>
              <w:t xml:space="preserve"> bit CI value applicable for this serving cell (servingCellId) within the DCI payload (see TS 38.213 [13], clause 11.2A).</w:t>
            </w:r>
          </w:p>
        </w:tc>
      </w:tr>
      <w:tr w:rsidR="005C7FF4" w:rsidRPr="00FA0D37"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FA0D37" w:rsidRDefault="00394471" w:rsidP="00964CC4">
            <w:pPr>
              <w:pStyle w:val="TAL"/>
              <w:rPr>
                <w:b/>
                <w:bCs/>
                <w:i/>
                <w:iCs/>
                <w:lang w:eastAsia="x-none"/>
              </w:rPr>
            </w:pPr>
            <w:r w:rsidRPr="00FA0D37">
              <w:rPr>
                <w:b/>
                <w:bCs/>
                <w:i/>
                <w:iCs/>
                <w:lang w:eastAsia="x-none"/>
              </w:rPr>
              <w:t>positionInDCI-ForSUL</w:t>
            </w:r>
          </w:p>
          <w:p w14:paraId="317FE789" w14:textId="77777777" w:rsidR="00394471" w:rsidRPr="00FA0D37" w:rsidRDefault="00394471" w:rsidP="00964CC4">
            <w:pPr>
              <w:pStyle w:val="TAL"/>
              <w:rPr>
                <w:lang w:eastAsia="sv-SE"/>
              </w:rPr>
            </w:pPr>
            <w:r w:rsidRPr="00FA0D37">
              <w:rPr>
                <w:lang w:eastAsia="sv-SE"/>
              </w:rPr>
              <w:t xml:space="preserve">Starting position (in number of bit) of the </w:t>
            </w:r>
            <w:r w:rsidRPr="00FA0D37">
              <w:rPr>
                <w:i/>
                <w:iCs/>
                <w:lang w:eastAsia="x-none"/>
              </w:rPr>
              <w:t>ci-Paylo</w:t>
            </w:r>
            <w:r w:rsidRPr="00FA0D37">
              <w:rPr>
                <w:i/>
                <w:iCs/>
                <w:lang w:eastAsia="sv-SE"/>
              </w:rPr>
              <w:t>a</w:t>
            </w:r>
            <w:r w:rsidRPr="00FA0D37">
              <w:rPr>
                <w:i/>
                <w:iCs/>
                <w:lang w:eastAsia="x-none"/>
              </w:rPr>
              <w:t>dSize</w:t>
            </w:r>
            <w:r w:rsidRPr="00FA0D37">
              <w:rPr>
                <w:lang w:eastAsia="sv-SE"/>
              </w:rPr>
              <w:t xml:space="preserve"> bit CI value applicable for </w:t>
            </w:r>
            <w:r w:rsidRPr="00FA0D37">
              <w:t xml:space="preserve">SUL of </w:t>
            </w:r>
            <w:r w:rsidRPr="00FA0D37">
              <w:rPr>
                <w:lang w:eastAsia="sv-SE"/>
              </w:rPr>
              <w:t>this serving cell (servingCellId) within the DCI payload (see TS 38.213 [13], clause 11.2A).</w:t>
            </w:r>
          </w:p>
        </w:tc>
      </w:tr>
      <w:tr w:rsidR="005C7FF4" w:rsidRPr="00FA0D37"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FA0D37" w:rsidRDefault="00394471" w:rsidP="00964CC4">
            <w:pPr>
              <w:pStyle w:val="TAL"/>
              <w:rPr>
                <w:b/>
                <w:bCs/>
                <w:i/>
                <w:iCs/>
                <w:lang w:eastAsia="x-none"/>
              </w:rPr>
            </w:pPr>
            <w:r w:rsidRPr="00FA0D37">
              <w:rPr>
                <w:b/>
                <w:bCs/>
                <w:i/>
                <w:iCs/>
                <w:lang w:eastAsia="x-none"/>
              </w:rPr>
              <w:t>timeDurationForCI</w:t>
            </w:r>
          </w:p>
          <w:p w14:paraId="338E6FAB" w14:textId="77777777" w:rsidR="00394471" w:rsidRPr="00FA0D37" w:rsidRDefault="00394471" w:rsidP="00964CC4">
            <w:pPr>
              <w:pStyle w:val="TAL"/>
              <w:rPr>
                <w:rFonts w:eastAsia="MS Mincho"/>
                <w:lang w:eastAsia="sv-SE"/>
              </w:rPr>
            </w:pPr>
            <w:r w:rsidRPr="00FA0D37">
              <w:rPr>
                <w:lang w:eastAsia="sv-SE"/>
              </w:rPr>
              <w:t xml:space="preserve">Configures the duration of the reference time region in symbols where a detected UL CI is applicable of this serving cell (servingCellId) (see TS 38.213 [13], clause 11.2A). If the </w:t>
            </w:r>
            <w:r w:rsidRPr="00FA0D37">
              <w:t xml:space="preserve">field is absent, i.e., the </w:t>
            </w:r>
            <w:r w:rsidRPr="00FA0D37">
              <w:rPr>
                <w:lang w:eastAsia="sv-SE"/>
              </w:rPr>
              <w:t xml:space="preserve">configured UL CI monitoring periodicity </w:t>
            </w:r>
            <w:r w:rsidRPr="00FA0D37">
              <w:t xml:space="preserve">indicated by </w:t>
            </w:r>
            <w:r w:rsidRPr="00FA0D37">
              <w:rPr>
                <w:i/>
              </w:rPr>
              <w:t>monitoringSlotPeriodicityAndOffset</w:t>
            </w:r>
            <w:r w:rsidRPr="00FA0D37">
              <w:t xml:space="preserve"> for DCI format 2_4 </w:t>
            </w:r>
            <w:r w:rsidRPr="00FA0D37">
              <w:rPr>
                <w:lang w:eastAsia="sv-SE"/>
              </w:rPr>
              <w:t xml:space="preserve">is larger than 1 slot or 1 slot with only one monitoring occasion, the UE applies the </w:t>
            </w:r>
            <w:r w:rsidRPr="00FA0D37">
              <w:t>value of</w:t>
            </w:r>
            <w:r w:rsidRPr="00FA0D37">
              <w:rPr>
                <w:lang w:eastAsia="sv-SE"/>
              </w:rPr>
              <w:t xml:space="preserve"> the configured UL CI monitoring periodicity,</w:t>
            </w:r>
          </w:p>
        </w:tc>
      </w:tr>
      <w:tr w:rsidR="005C7FF4" w:rsidRPr="00FA0D37"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FA0D37" w:rsidRDefault="00394471" w:rsidP="00964CC4">
            <w:pPr>
              <w:pStyle w:val="TAL"/>
              <w:rPr>
                <w:b/>
                <w:bCs/>
                <w:i/>
                <w:iCs/>
                <w:lang w:eastAsia="x-none"/>
              </w:rPr>
            </w:pPr>
            <w:r w:rsidRPr="00FA0D37">
              <w:rPr>
                <w:b/>
                <w:bCs/>
                <w:i/>
                <w:iCs/>
                <w:lang w:eastAsia="x-none"/>
              </w:rPr>
              <w:t>timeFrequencyRegion</w:t>
            </w:r>
          </w:p>
          <w:p w14:paraId="38CB949D" w14:textId="77777777" w:rsidR="00394471" w:rsidRPr="00FA0D37" w:rsidRDefault="00394471" w:rsidP="00964CC4">
            <w:pPr>
              <w:pStyle w:val="TAL"/>
              <w:rPr>
                <w:lang w:eastAsia="sv-SE"/>
              </w:rPr>
            </w:pPr>
            <w:r w:rsidRPr="00FA0D37">
              <w:rPr>
                <w:lang w:eastAsia="sv-SE"/>
              </w:rPr>
              <w:t>Configures the reference time and frequency region where a detected UL CI is applicable of this serving cell (servingCellId) (see TS 38.213 [13], clause 11.2A).</w:t>
            </w:r>
          </w:p>
        </w:tc>
      </w:tr>
      <w:tr w:rsidR="005C7FF4" w:rsidRPr="00FA0D37"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FA0D37" w:rsidRDefault="00394471" w:rsidP="00964CC4">
            <w:pPr>
              <w:pStyle w:val="TAL"/>
              <w:rPr>
                <w:rFonts w:cs="Arial"/>
                <w:b/>
                <w:bCs/>
                <w:noProof/>
                <w:szCs w:val="18"/>
                <w:lang w:eastAsia="en-GB"/>
              </w:rPr>
            </w:pPr>
            <w:r w:rsidRPr="00FA0D37">
              <w:rPr>
                <w:b/>
                <w:bCs/>
                <w:i/>
                <w:iCs/>
                <w:lang w:eastAsia="x-none"/>
              </w:rPr>
              <w:t>timeGranularityForCI</w:t>
            </w:r>
          </w:p>
          <w:p w14:paraId="0CF4AA2E" w14:textId="77777777" w:rsidR="00394471" w:rsidRPr="00FA0D37" w:rsidRDefault="00394471" w:rsidP="00964CC4">
            <w:pPr>
              <w:pStyle w:val="TAL"/>
              <w:rPr>
                <w:lang w:eastAsia="sv-SE"/>
              </w:rPr>
            </w:pPr>
            <w:r w:rsidRPr="00FA0D37">
              <w:rPr>
                <w:lang w:eastAsia="sv-SE"/>
              </w:rPr>
              <w:t>Configures the number of partitions within the time region of this serving cell (servingCellId) (see TS 38.213 [13], clause 11.2A).</w:t>
            </w:r>
          </w:p>
        </w:tc>
      </w:tr>
      <w:tr w:rsidR="00394471" w:rsidRPr="00FA0D37"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FA0D37" w:rsidRDefault="00394471" w:rsidP="00964CC4">
            <w:pPr>
              <w:pStyle w:val="TAL"/>
              <w:rPr>
                <w:b/>
                <w:bCs/>
                <w:i/>
                <w:iCs/>
              </w:rPr>
            </w:pPr>
            <w:r w:rsidRPr="00FA0D37">
              <w:rPr>
                <w:b/>
                <w:bCs/>
                <w:i/>
                <w:iCs/>
              </w:rPr>
              <w:t>uplinkCancellationPriority</w:t>
            </w:r>
          </w:p>
          <w:p w14:paraId="3A27A625" w14:textId="77777777" w:rsidR="00394471" w:rsidRPr="00FA0D37" w:rsidRDefault="00394471" w:rsidP="00964CC4">
            <w:pPr>
              <w:pStyle w:val="TAL"/>
              <w:rPr>
                <w:lang w:eastAsia="x-none"/>
              </w:rPr>
            </w:pPr>
            <w:r w:rsidRPr="00FA0D37">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FA0D37" w:rsidRDefault="00394471" w:rsidP="00964CC4">
            <w:pPr>
              <w:pStyle w:val="TAH"/>
              <w:rPr>
                <w:b w:val="0"/>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FA0D37" w:rsidRDefault="00394471" w:rsidP="00964CC4">
            <w:pPr>
              <w:pStyle w:val="TAH"/>
              <w:rPr>
                <w:lang w:eastAsia="sv-SE"/>
              </w:rPr>
            </w:pPr>
            <w:r w:rsidRPr="00FA0D37">
              <w:rPr>
                <w:lang w:eastAsia="sv-SE"/>
              </w:rPr>
              <w:t>Explanation</w:t>
            </w:r>
          </w:p>
        </w:tc>
      </w:tr>
      <w:tr w:rsidR="005C7FF4" w:rsidRPr="00FA0D37"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FA0D37" w:rsidRDefault="00394471" w:rsidP="00964CC4">
            <w:pPr>
              <w:pStyle w:val="TAL"/>
              <w:rPr>
                <w:i/>
                <w:iCs/>
                <w:lang w:eastAsia="sv-SE"/>
              </w:rPr>
            </w:pPr>
            <w:r w:rsidRPr="00FA0D37">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FA0D37" w:rsidRDefault="00394471" w:rsidP="00964CC4">
            <w:pPr>
              <w:pStyle w:val="TAL"/>
              <w:rPr>
                <w:lang w:eastAsia="sv-SE"/>
              </w:rPr>
            </w:pPr>
            <w:r w:rsidRPr="00FA0D37">
              <w:rPr>
                <w:lang w:eastAsia="sv-SE"/>
              </w:rPr>
              <w:t xml:space="preserve">The field is optionally present, Need R, if </w:t>
            </w:r>
            <w:r w:rsidRPr="00FA0D37">
              <w:rPr>
                <w:i/>
                <w:iCs/>
                <w:lang w:eastAsia="sv-SE"/>
              </w:rPr>
              <w:t>supplementaryUplink</w:t>
            </w:r>
            <w:r w:rsidRPr="00FA0D37">
              <w:rPr>
                <w:lang w:eastAsia="sv-SE"/>
              </w:rPr>
              <w:t xml:space="preserve"> is configured in </w:t>
            </w:r>
            <w:r w:rsidRPr="00FA0D37">
              <w:rPr>
                <w:i/>
                <w:iCs/>
                <w:lang w:eastAsia="sv-SE"/>
              </w:rPr>
              <w:t>ServingCellConfig</w:t>
            </w:r>
            <w:r w:rsidRPr="00FA0D37">
              <w:rPr>
                <w:lang w:eastAsia="sv-SE"/>
              </w:rPr>
              <w:t>. It is absent otherwise.</w:t>
            </w:r>
          </w:p>
        </w:tc>
      </w:tr>
      <w:tr w:rsidR="00394471" w:rsidRPr="00FA0D37"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FA0D37" w:rsidRDefault="00394471" w:rsidP="00964CC4">
            <w:pPr>
              <w:pStyle w:val="TAL"/>
              <w:rPr>
                <w:i/>
                <w:iCs/>
                <w:lang w:eastAsia="x-none"/>
              </w:rPr>
            </w:pPr>
            <w:r w:rsidRPr="00FA0D37">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FA0D37" w:rsidRDefault="00394471" w:rsidP="00964CC4">
            <w:pPr>
              <w:pStyle w:val="TAL"/>
              <w:rPr>
                <w:lang w:eastAsia="sv-SE"/>
              </w:rPr>
            </w:pPr>
            <w:r w:rsidRPr="00FA0D37">
              <w:rPr>
                <w:lang w:eastAsia="sv-SE"/>
              </w:rPr>
              <w:t xml:space="preserve">This field is mandatory present if the configured UL CI monitoring periodicity </w:t>
            </w:r>
            <w:r w:rsidRPr="00FA0D37">
              <w:t xml:space="preserve">indicated by </w:t>
            </w:r>
            <w:r w:rsidRPr="00FA0D37">
              <w:rPr>
                <w:i/>
              </w:rPr>
              <w:t xml:space="preserve">monitoringSlotPeriodicityAndOffset </w:t>
            </w:r>
            <w:r w:rsidRPr="00FA0D37">
              <w:t>for DCI format 2_4 is</w:t>
            </w:r>
            <w:r w:rsidRPr="00FA0D37">
              <w:rPr>
                <w:lang w:eastAsia="sv-SE"/>
              </w:rPr>
              <w:t xml:space="preserve"> 1 slot with </w:t>
            </w:r>
            <w:r w:rsidRPr="00FA0D37">
              <w:t>more than</w:t>
            </w:r>
            <w:r w:rsidRPr="00FA0D37">
              <w:rPr>
                <w:lang w:eastAsia="sv-SE"/>
              </w:rPr>
              <w:t xml:space="preserve"> one monitoring occasion, otherwise absent.</w:t>
            </w:r>
          </w:p>
        </w:tc>
      </w:tr>
    </w:tbl>
    <w:p w14:paraId="62A60E03" w14:textId="77777777" w:rsidR="00394471" w:rsidRPr="00FA0D37" w:rsidRDefault="00394471" w:rsidP="00394471"/>
    <w:p w14:paraId="177462DB" w14:textId="77777777" w:rsidR="00394471" w:rsidRPr="00FA0D37" w:rsidRDefault="00394471" w:rsidP="00394471">
      <w:pPr>
        <w:pStyle w:val="4"/>
        <w:rPr>
          <w:i/>
          <w:iCs/>
        </w:rPr>
      </w:pPr>
      <w:bookmarkStart w:id="1488" w:name="_Toc60777422"/>
      <w:bookmarkStart w:id="1489" w:name="_Toc146781516"/>
      <w:r w:rsidRPr="00FA0D37">
        <w:rPr>
          <w:i/>
        </w:rPr>
        <w:t>–</w:t>
      </w:r>
      <w:r w:rsidRPr="00FA0D37">
        <w:rPr>
          <w:i/>
        </w:rPr>
        <w:tab/>
        <w:t>UplinkConfigCommon</w:t>
      </w:r>
      <w:bookmarkEnd w:id="1488"/>
      <w:bookmarkEnd w:id="1489"/>
    </w:p>
    <w:p w14:paraId="67013643" w14:textId="77777777" w:rsidR="00394471" w:rsidRPr="00FA0D37" w:rsidRDefault="00394471" w:rsidP="00394471">
      <w:r w:rsidRPr="00FA0D37">
        <w:t xml:space="preserve">The IE </w:t>
      </w:r>
      <w:r w:rsidRPr="00FA0D37">
        <w:rPr>
          <w:i/>
        </w:rPr>
        <w:t>UplinkConfigCommon</w:t>
      </w:r>
      <w:r w:rsidRPr="00FA0D37">
        <w:t xml:space="preserve"> provides common uplink parameters of a cell.</w:t>
      </w:r>
    </w:p>
    <w:p w14:paraId="348B85DA" w14:textId="77777777" w:rsidR="00394471" w:rsidRPr="00FA0D37" w:rsidRDefault="00394471" w:rsidP="00394471">
      <w:pPr>
        <w:pStyle w:val="TH"/>
      </w:pPr>
      <w:r w:rsidRPr="00FA0D37">
        <w:rPr>
          <w:bCs/>
          <w:i/>
          <w:iCs/>
        </w:rPr>
        <w:t xml:space="preserve">UplinkConfigCommon </w:t>
      </w:r>
      <w:r w:rsidRPr="00FA0D37">
        <w:t>information element</w:t>
      </w:r>
    </w:p>
    <w:p w14:paraId="679ACA0B" w14:textId="77777777" w:rsidR="00394471" w:rsidRPr="00FA0D37" w:rsidRDefault="00394471" w:rsidP="00FA0D37">
      <w:pPr>
        <w:pStyle w:val="PL"/>
        <w:rPr>
          <w:color w:val="808080"/>
        </w:rPr>
      </w:pPr>
      <w:r w:rsidRPr="00FA0D37">
        <w:rPr>
          <w:color w:val="808080"/>
        </w:rPr>
        <w:t>-- ASN1START</w:t>
      </w:r>
    </w:p>
    <w:p w14:paraId="3845FDA2" w14:textId="77777777" w:rsidR="00394471" w:rsidRPr="00FA0D37" w:rsidRDefault="00394471" w:rsidP="00FA0D37">
      <w:pPr>
        <w:pStyle w:val="PL"/>
        <w:rPr>
          <w:color w:val="808080"/>
        </w:rPr>
      </w:pPr>
      <w:r w:rsidRPr="00FA0D37">
        <w:rPr>
          <w:color w:val="808080"/>
        </w:rPr>
        <w:t>-- TAG-UPLINKCONFIGCOMMON-START</w:t>
      </w:r>
    </w:p>
    <w:p w14:paraId="7020106E" w14:textId="77777777" w:rsidR="00394471" w:rsidRPr="00FA0D37" w:rsidRDefault="00394471" w:rsidP="00FA0D37">
      <w:pPr>
        <w:pStyle w:val="PL"/>
      </w:pPr>
    </w:p>
    <w:p w14:paraId="19235156" w14:textId="77777777" w:rsidR="00394471" w:rsidRPr="00FA0D37" w:rsidRDefault="00394471" w:rsidP="00FA0D37">
      <w:pPr>
        <w:pStyle w:val="PL"/>
      </w:pPr>
      <w:r w:rsidRPr="00FA0D37">
        <w:t xml:space="preserve">UplinkConfigCommon ::=              </w:t>
      </w:r>
      <w:r w:rsidRPr="00FA0D37">
        <w:rPr>
          <w:color w:val="993366"/>
        </w:rPr>
        <w:t>SEQUENCE</w:t>
      </w:r>
      <w:r w:rsidRPr="00FA0D37">
        <w:t xml:space="preserve"> {</w:t>
      </w:r>
    </w:p>
    <w:p w14:paraId="7AF41001" w14:textId="77777777" w:rsidR="00394471" w:rsidRPr="00FA0D37" w:rsidRDefault="00394471" w:rsidP="00FA0D37">
      <w:pPr>
        <w:pStyle w:val="PL"/>
        <w:rPr>
          <w:color w:val="808080"/>
        </w:rPr>
      </w:pPr>
      <w:r w:rsidRPr="00FA0D37">
        <w:t xml:space="preserve">    frequencyInfoUL                     FrequencyInfoUL                                 </w:t>
      </w:r>
      <w:r w:rsidRPr="00FA0D37">
        <w:rPr>
          <w:color w:val="993366"/>
        </w:rPr>
        <w:t>OPTIONAL</w:t>
      </w:r>
      <w:r w:rsidRPr="00FA0D37">
        <w:t xml:space="preserve">,   </w:t>
      </w:r>
      <w:r w:rsidRPr="00FA0D37">
        <w:rPr>
          <w:color w:val="808080"/>
        </w:rPr>
        <w:t>-- Cond InterFreqHOAndServCellAdd</w:t>
      </w:r>
    </w:p>
    <w:p w14:paraId="0016E64F" w14:textId="77777777" w:rsidR="00394471" w:rsidRPr="00FA0D37" w:rsidRDefault="00394471" w:rsidP="00FA0D37">
      <w:pPr>
        <w:pStyle w:val="PL"/>
        <w:rPr>
          <w:color w:val="808080"/>
        </w:rPr>
      </w:pPr>
      <w:r w:rsidRPr="00FA0D37">
        <w:lastRenderedPageBreak/>
        <w:t xml:space="preserve">    initialUplinkBWP                    BWP-UplinkCommon                                </w:t>
      </w:r>
      <w:r w:rsidRPr="00FA0D37">
        <w:rPr>
          <w:color w:val="993366"/>
        </w:rPr>
        <w:t>OPTIONAL</w:t>
      </w:r>
      <w:r w:rsidRPr="00FA0D37">
        <w:t xml:space="preserve">,   </w:t>
      </w:r>
      <w:r w:rsidRPr="00FA0D37">
        <w:rPr>
          <w:color w:val="808080"/>
        </w:rPr>
        <w:t>-- Cond ServCellAdd</w:t>
      </w:r>
    </w:p>
    <w:p w14:paraId="098E2691" w14:textId="77777777" w:rsidR="00394471" w:rsidRPr="00FA0D37" w:rsidRDefault="00394471" w:rsidP="00FA0D37">
      <w:pPr>
        <w:pStyle w:val="PL"/>
      </w:pPr>
      <w:r w:rsidRPr="00FA0D37">
        <w:t xml:space="preserve">    dummy                               TimeAlignmentTimer</w:t>
      </w:r>
    </w:p>
    <w:p w14:paraId="2D6A2F31" w14:textId="77777777" w:rsidR="00394471" w:rsidRPr="00FA0D37" w:rsidRDefault="00394471" w:rsidP="00FA0D37">
      <w:pPr>
        <w:pStyle w:val="PL"/>
      </w:pPr>
      <w:r w:rsidRPr="00FA0D37">
        <w:t>}</w:t>
      </w:r>
    </w:p>
    <w:p w14:paraId="375243AF" w14:textId="77777777" w:rsidR="00C85859" w:rsidRPr="00FA0D37" w:rsidRDefault="00C85859" w:rsidP="00FA0D37">
      <w:pPr>
        <w:pStyle w:val="PL"/>
      </w:pPr>
    </w:p>
    <w:p w14:paraId="69FB6B9C" w14:textId="0ED44DE4" w:rsidR="00C85859" w:rsidRPr="00FA0D37" w:rsidRDefault="00C85859" w:rsidP="00FA0D37">
      <w:pPr>
        <w:pStyle w:val="PL"/>
      </w:pPr>
      <w:r w:rsidRPr="00FA0D37">
        <w:t xml:space="preserve">UplinkConfigCommon-v1700 ::=        </w:t>
      </w:r>
      <w:r w:rsidRPr="00FA0D37">
        <w:rPr>
          <w:color w:val="993366"/>
        </w:rPr>
        <w:t>SEQUENCE</w:t>
      </w:r>
      <w:r w:rsidRPr="00FA0D37">
        <w:t xml:space="preserve"> {</w:t>
      </w:r>
    </w:p>
    <w:p w14:paraId="6D5C341C" w14:textId="07F61B41" w:rsidR="00C85859" w:rsidRPr="00FA0D37" w:rsidRDefault="00C85859" w:rsidP="00FA0D37">
      <w:pPr>
        <w:pStyle w:val="PL"/>
        <w:rPr>
          <w:color w:val="808080"/>
        </w:rPr>
      </w:pPr>
      <w:r w:rsidRPr="00FA0D37">
        <w:t xml:space="preserve">    initialUplinkBWP-RedCap-r17         BWP-UplinkCommon                                </w:t>
      </w:r>
      <w:r w:rsidRPr="00FA0D37">
        <w:rPr>
          <w:color w:val="993366"/>
        </w:rPr>
        <w:t>OPTIONAL</w:t>
      </w:r>
      <w:r w:rsidRPr="00FA0D37">
        <w:t xml:space="preserve">    </w:t>
      </w:r>
      <w:r w:rsidRPr="00FA0D37">
        <w:rPr>
          <w:color w:val="808080"/>
        </w:rPr>
        <w:t>-- Need R</w:t>
      </w:r>
    </w:p>
    <w:p w14:paraId="0547FA5B" w14:textId="77777777" w:rsidR="00C85859" w:rsidRPr="00FA0D37" w:rsidRDefault="00C85859" w:rsidP="00FA0D37">
      <w:pPr>
        <w:pStyle w:val="PL"/>
      </w:pPr>
      <w:r w:rsidRPr="00FA0D37">
        <w:t>}</w:t>
      </w:r>
    </w:p>
    <w:p w14:paraId="5DA139DE" w14:textId="77777777" w:rsidR="00394471" w:rsidRPr="00FA0D37" w:rsidRDefault="00394471" w:rsidP="00FA0D37">
      <w:pPr>
        <w:pStyle w:val="PL"/>
      </w:pPr>
    </w:p>
    <w:p w14:paraId="0D35E3D3" w14:textId="77777777" w:rsidR="00394471" w:rsidRPr="00FA0D37" w:rsidRDefault="00394471" w:rsidP="00FA0D37">
      <w:pPr>
        <w:pStyle w:val="PL"/>
        <w:rPr>
          <w:color w:val="808080"/>
        </w:rPr>
      </w:pPr>
      <w:r w:rsidRPr="00FA0D37">
        <w:rPr>
          <w:color w:val="808080"/>
        </w:rPr>
        <w:t>-- TAG-UPLINKCONFIGCOMMON-STOP</w:t>
      </w:r>
    </w:p>
    <w:p w14:paraId="6771D7E3" w14:textId="77777777" w:rsidR="00394471" w:rsidRPr="00FA0D37" w:rsidRDefault="00394471" w:rsidP="00FA0D37">
      <w:pPr>
        <w:pStyle w:val="PL"/>
        <w:rPr>
          <w:color w:val="808080"/>
        </w:rPr>
      </w:pPr>
      <w:r w:rsidRPr="00FA0D37">
        <w:rPr>
          <w:color w:val="808080"/>
        </w:rPr>
        <w:t>-- ASN1STOP</w:t>
      </w:r>
    </w:p>
    <w:p w14:paraId="15740F3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FA0D37" w:rsidRDefault="00394471" w:rsidP="00964CC4">
            <w:pPr>
              <w:pStyle w:val="TAH"/>
              <w:rPr>
                <w:lang w:eastAsia="sv-SE"/>
              </w:rPr>
            </w:pPr>
            <w:r w:rsidRPr="00FA0D37">
              <w:rPr>
                <w:i/>
                <w:lang w:eastAsia="sv-SE"/>
              </w:rPr>
              <w:t>UplinkConfigCommon</w:t>
            </w:r>
            <w:r w:rsidRPr="00FA0D37">
              <w:rPr>
                <w:lang w:eastAsia="sv-SE"/>
              </w:rPr>
              <w:t xml:space="preserve"> field descriptions</w:t>
            </w:r>
          </w:p>
        </w:tc>
      </w:tr>
      <w:tr w:rsidR="005C7FF4" w:rsidRPr="00FA0D37"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FA0D37" w:rsidRDefault="00394471" w:rsidP="00964CC4">
            <w:pPr>
              <w:pStyle w:val="TAL"/>
              <w:rPr>
                <w:b/>
                <w:bCs/>
                <w:i/>
                <w:iCs/>
                <w:lang w:eastAsia="sv-SE"/>
              </w:rPr>
            </w:pPr>
            <w:r w:rsidRPr="00FA0D37">
              <w:rPr>
                <w:b/>
                <w:bCs/>
                <w:i/>
                <w:iCs/>
                <w:lang w:eastAsia="sv-SE"/>
              </w:rPr>
              <w:t>frequencyInfoUL</w:t>
            </w:r>
          </w:p>
          <w:p w14:paraId="7D86E11F" w14:textId="77777777" w:rsidR="00394471" w:rsidRPr="00FA0D37" w:rsidRDefault="00394471" w:rsidP="00964CC4">
            <w:pPr>
              <w:pStyle w:val="TAL"/>
              <w:rPr>
                <w:lang w:eastAsia="sv-SE"/>
              </w:rPr>
            </w:pPr>
            <w:r w:rsidRPr="00FA0D37">
              <w:rPr>
                <w:lang w:eastAsia="sv-SE"/>
              </w:rPr>
              <w:t>Absolute uplink frequency configuration and subcarrier specific virtual carriers.</w:t>
            </w:r>
          </w:p>
        </w:tc>
      </w:tr>
      <w:tr w:rsidR="005C7FF4" w:rsidRPr="00FA0D37"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FA0D37" w:rsidRDefault="00394471" w:rsidP="00964CC4">
            <w:pPr>
              <w:pStyle w:val="TAL"/>
              <w:rPr>
                <w:b/>
                <w:bCs/>
                <w:i/>
                <w:iCs/>
                <w:lang w:eastAsia="sv-SE"/>
              </w:rPr>
            </w:pPr>
            <w:r w:rsidRPr="00FA0D37">
              <w:rPr>
                <w:b/>
                <w:bCs/>
                <w:i/>
                <w:iCs/>
                <w:lang w:eastAsia="sv-SE"/>
              </w:rPr>
              <w:t>initialUplinkBWP</w:t>
            </w:r>
          </w:p>
          <w:p w14:paraId="2949B018" w14:textId="77777777" w:rsidR="00394471" w:rsidRPr="00FA0D37" w:rsidRDefault="00394471" w:rsidP="00964CC4">
            <w:pPr>
              <w:pStyle w:val="TAL"/>
              <w:rPr>
                <w:lang w:eastAsia="sv-SE"/>
              </w:rPr>
            </w:pPr>
            <w:r w:rsidRPr="00FA0D37">
              <w:rPr>
                <w:lang w:eastAsia="sv-SE"/>
              </w:rPr>
              <w:t xml:space="preserve">The initial uplink BWP configuration for a </w:t>
            </w:r>
            <w:r w:rsidRPr="00FA0D37">
              <w:t>serving cell</w:t>
            </w:r>
            <w:r w:rsidRPr="00FA0D37">
              <w:rPr>
                <w:lang w:eastAsia="sv-SE"/>
              </w:rPr>
              <w:t xml:space="preserve"> (see TS 38.213 [13], clause 12).</w:t>
            </w:r>
          </w:p>
        </w:tc>
      </w:tr>
      <w:tr w:rsidR="000830BB" w:rsidRPr="00FA0D37"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FA0D37" w:rsidRDefault="00C85859" w:rsidP="00C85859">
            <w:pPr>
              <w:pStyle w:val="TAL"/>
              <w:rPr>
                <w:b/>
                <w:bCs/>
                <w:i/>
                <w:iCs/>
                <w:lang w:eastAsia="sv-SE"/>
              </w:rPr>
            </w:pPr>
            <w:r w:rsidRPr="00FA0D37">
              <w:rPr>
                <w:b/>
                <w:bCs/>
                <w:i/>
                <w:iCs/>
                <w:lang w:eastAsia="sv-SE"/>
              </w:rPr>
              <w:t>initialUplinkBWP-RedCap</w:t>
            </w:r>
          </w:p>
          <w:p w14:paraId="202BD744" w14:textId="7D3965F3" w:rsidR="00C85859" w:rsidRPr="00FA0D37" w:rsidRDefault="00C85859" w:rsidP="00C85859">
            <w:pPr>
              <w:pStyle w:val="TAL"/>
              <w:rPr>
                <w:lang w:eastAsia="sv-SE"/>
              </w:rPr>
            </w:pPr>
            <w:r w:rsidRPr="00FA0D37">
              <w:rPr>
                <w:lang w:eastAsia="sv-SE"/>
              </w:rPr>
              <w:t xml:space="preserve">If present, RedCap UEs use this UL BWP instead of </w:t>
            </w:r>
            <w:r w:rsidRPr="00FA0D37">
              <w:rPr>
                <w:bCs/>
                <w:i/>
                <w:lang w:eastAsia="sv-SE"/>
              </w:rPr>
              <w:t>initialUplinkBWP</w:t>
            </w:r>
            <w:r w:rsidRPr="00FA0D37">
              <w:rPr>
                <w:lang w:eastAsia="sv-SE"/>
              </w:rPr>
              <w:t>.</w:t>
            </w:r>
          </w:p>
          <w:p w14:paraId="5F1D1057" w14:textId="04EECEC5" w:rsidR="00C85859" w:rsidRPr="00FA0D37" w:rsidRDefault="00C85859" w:rsidP="00C85859">
            <w:pPr>
              <w:pStyle w:val="TAL"/>
              <w:rPr>
                <w:b/>
                <w:bCs/>
                <w:i/>
                <w:iCs/>
                <w:lang w:eastAsia="sv-SE"/>
              </w:rPr>
            </w:pPr>
            <w:r w:rsidRPr="00FA0D37">
              <w:rPr>
                <w:lang w:eastAsia="sv-SE"/>
              </w:rPr>
              <w:t xml:space="preserve">If absent, RedCap UEs use </w:t>
            </w:r>
            <w:r w:rsidRPr="00FA0D37">
              <w:rPr>
                <w:bCs/>
                <w:i/>
                <w:lang w:eastAsia="sv-SE"/>
              </w:rPr>
              <w:t>initialUplinkBWP</w:t>
            </w:r>
            <w:r w:rsidRPr="00FA0D37">
              <w:rPr>
                <w:lang w:eastAsia="sv-SE"/>
              </w:rPr>
              <w:t xml:space="preserve"> provided that it does not exceed the RedCap UE maximum bandwidth (see also </w:t>
            </w:r>
            <w:r w:rsidR="00947949" w:rsidRPr="00FA0D37">
              <w:rPr>
                <w:lang w:eastAsia="sv-SE"/>
              </w:rPr>
              <w:t>clause</w:t>
            </w:r>
            <w:r w:rsidRPr="00FA0D37">
              <w:rPr>
                <w:lang w:eastAsia="sv-SE"/>
              </w:rPr>
              <w:t xml:space="preserve"> 5.2.2.4.2).</w:t>
            </w:r>
          </w:p>
        </w:tc>
      </w:tr>
    </w:tbl>
    <w:p w14:paraId="7FED3AFC" w14:textId="77777777" w:rsidR="00394471" w:rsidRPr="00FA0D3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5C7FF4" w:rsidRPr="00FA0D37"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FA0D37" w:rsidRDefault="00394471" w:rsidP="00964CC4">
            <w:pPr>
              <w:pStyle w:val="TAH"/>
              <w:rPr>
                <w:lang w:eastAsia="sv-SE"/>
              </w:rPr>
            </w:pPr>
            <w:r w:rsidRPr="00FA0D37">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FA0D37" w:rsidRDefault="00394471" w:rsidP="00964CC4">
            <w:pPr>
              <w:pStyle w:val="TAH"/>
              <w:rPr>
                <w:lang w:eastAsia="sv-SE"/>
              </w:rPr>
            </w:pPr>
            <w:r w:rsidRPr="00FA0D37">
              <w:rPr>
                <w:lang w:eastAsia="sv-SE"/>
              </w:rPr>
              <w:t>Explanation</w:t>
            </w:r>
          </w:p>
        </w:tc>
      </w:tr>
      <w:tr w:rsidR="005C7FF4" w:rsidRPr="00FA0D37"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FA0D37" w:rsidRDefault="00394471" w:rsidP="00964CC4">
            <w:pPr>
              <w:pStyle w:val="TAL"/>
              <w:rPr>
                <w:i/>
                <w:iCs/>
                <w:lang w:eastAsia="sv-SE"/>
              </w:rPr>
            </w:pPr>
            <w:r w:rsidRPr="00FA0D37">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FA0D37" w:rsidRDefault="00394471" w:rsidP="00964CC4">
            <w:pPr>
              <w:pStyle w:val="TAL"/>
              <w:rPr>
                <w:lang w:eastAsia="sv-SE"/>
              </w:rPr>
            </w:pPr>
            <w:r w:rsidRPr="00FA0D37">
              <w:rPr>
                <w:lang w:eastAsia="sv-SE"/>
              </w:rPr>
              <w:t>This field is mandatory present for inter-frequency handover and upon serving cell (PSCell/SCell) addition. Otherwise, the field is optionally present, Need M.</w:t>
            </w:r>
          </w:p>
        </w:tc>
      </w:tr>
      <w:tr w:rsidR="00394471" w:rsidRPr="00FA0D37"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FA0D37" w:rsidRDefault="00394471" w:rsidP="00964CC4">
            <w:pPr>
              <w:pStyle w:val="TAL"/>
              <w:rPr>
                <w:i/>
                <w:iCs/>
                <w:lang w:eastAsia="sv-SE"/>
              </w:rPr>
            </w:pPr>
            <w:r w:rsidRPr="00FA0D37">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FA0D37" w:rsidRDefault="00394471" w:rsidP="00964CC4">
            <w:pPr>
              <w:pStyle w:val="TAL"/>
              <w:rPr>
                <w:lang w:eastAsia="sv-SE"/>
              </w:rPr>
            </w:pPr>
            <w:r w:rsidRPr="00FA0D37">
              <w:rPr>
                <w:lang w:eastAsia="sv-SE"/>
              </w:rPr>
              <w:t>This field is mandatory present upon serving cell addition (for PSCell and SCell) and upon handover from E-UTRA to NR. It is optionally present, Need M otherwise.</w:t>
            </w:r>
          </w:p>
        </w:tc>
      </w:tr>
    </w:tbl>
    <w:p w14:paraId="779830F5" w14:textId="77777777" w:rsidR="00394471" w:rsidRPr="00FA0D37" w:rsidRDefault="00394471" w:rsidP="00394471"/>
    <w:p w14:paraId="249B2A21" w14:textId="77777777" w:rsidR="00394471" w:rsidRPr="00FA0D37" w:rsidRDefault="00394471" w:rsidP="00394471">
      <w:pPr>
        <w:pStyle w:val="4"/>
        <w:rPr>
          <w:i/>
          <w:iCs/>
        </w:rPr>
      </w:pPr>
      <w:bookmarkStart w:id="1490" w:name="_Toc60777423"/>
      <w:bookmarkStart w:id="1491" w:name="_Toc146781517"/>
      <w:r w:rsidRPr="00FA0D37">
        <w:t>–</w:t>
      </w:r>
      <w:r w:rsidRPr="00FA0D37">
        <w:tab/>
      </w:r>
      <w:r w:rsidRPr="00FA0D37">
        <w:rPr>
          <w:i/>
        </w:rPr>
        <w:t>UplinkConfigCommonSIB</w:t>
      </w:r>
      <w:bookmarkEnd w:id="1490"/>
      <w:bookmarkEnd w:id="1491"/>
    </w:p>
    <w:p w14:paraId="6FAC0908" w14:textId="77777777" w:rsidR="00394471" w:rsidRPr="00FA0D37" w:rsidRDefault="00394471" w:rsidP="00394471">
      <w:r w:rsidRPr="00FA0D37">
        <w:t xml:space="preserve">The IE </w:t>
      </w:r>
      <w:r w:rsidRPr="00FA0D37">
        <w:rPr>
          <w:i/>
        </w:rPr>
        <w:t xml:space="preserve">UplinkConfigCommonSIB </w:t>
      </w:r>
      <w:r w:rsidRPr="00FA0D37">
        <w:t>provides common uplink parameters of a cell.</w:t>
      </w:r>
    </w:p>
    <w:p w14:paraId="35E357F7" w14:textId="77777777" w:rsidR="00394471" w:rsidRPr="00FA0D37" w:rsidRDefault="00394471" w:rsidP="00394471">
      <w:pPr>
        <w:pStyle w:val="TH"/>
      </w:pPr>
      <w:r w:rsidRPr="00FA0D37">
        <w:rPr>
          <w:bCs/>
          <w:i/>
          <w:iCs/>
        </w:rPr>
        <w:t xml:space="preserve">UplinkConfigCommonSIB </w:t>
      </w:r>
      <w:r w:rsidRPr="00FA0D37">
        <w:t>information element</w:t>
      </w:r>
    </w:p>
    <w:p w14:paraId="6DB27379" w14:textId="77777777" w:rsidR="00394471" w:rsidRPr="00FA0D37" w:rsidRDefault="00394471" w:rsidP="00FA0D37">
      <w:pPr>
        <w:pStyle w:val="PL"/>
        <w:rPr>
          <w:color w:val="808080"/>
        </w:rPr>
      </w:pPr>
      <w:r w:rsidRPr="00FA0D37">
        <w:rPr>
          <w:color w:val="808080"/>
        </w:rPr>
        <w:t>-- ASN1START</w:t>
      </w:r>
    </w:p>
    <w:p w14:paraId="7204D381" w14:textId="77777777" w:rsidR="00394471" w:rsidRPr="00FA0D37" w:rsidRDefault="00394471" w:rsidP="00FA0D37">
      <w:pPr>
        <w:pStyle w:val="PL"/>
        <w:rPr>
          <w:color w:val="808080"/>
        </w:rPr>
      </w:pPr>
      <w:r w:rsidRPr="00FA0D37">
        <w:rPr>
          <w:color w:val="808080"/>
        </w:rPr>
        <w:t>-- TAG-UPLINKCONFIGCOMMONSIB-START</w:t>
      </w:r>
    </w:p>
    <w:p w14:paraId="3E32E118" w14:textId="77777777" w:rsidR="00394471" w:rsidRPr="00FA0D37" w:rsidRDefault="00394471" w:rsidP="00FA0D37">
      <w:pPr>
        <w:pStyle w:val="PL"/>
      </w:pPr>
    </w:p>
    <w:p w14:paraId="40F2187B" w14:textId="77777777" w:rsidR="00394471" w:rsidRPr="00FA0D37" w:rsidRDefault="00394471" w:rsidP="00FA0D37">
      <w:pPr>
        <w:pStyle w:val="PL"/>
      </w:pPr>
      <w:r w:rsidRPr="00FA0D37">
        <w:t xml:space="preserve">UplinkConfigCommonSIB ::=               </w:t>
      </w:r>
      <w:r w:rsidRPr="00FA0D37">
        <w:rPr>
          <w:color w:val="993366"/>
        </w:rPr>
        <w:t>SEQUENCE</w:t>
      </w:r>
      <w:r w:rsidRPr="00FA0D37">
        <w:t xml:space="preserve"> {</w:t>
      </w:r>
    </w:p>
    <w:p w14:paraId="22A1FA75" w14:textId="77777777" w:rsidR="00394471" w:rsidRPr="00FA0D37" w:rsidRDefault="00394471" w:rsidP="00FA0D37">
      <w:pPr>
        <w:pStyle w:val="PL"/>
      </w:pPr>
      <w:r w:rsidRPr="00FA0D37">
        <w:t xml:space="preserve">    frequencyInfoUL                         FrequencyInfoUL-SIB,</w:t>
      </w:r>
    </w:p>
    <w:p w14:paraId="3B1210D4" w14:textId="77777777" w:rsidR="00394471" w:rsidRPr="00FA0D37" w:rsidRDefault="00394471" w:rsidP="00FA0D37">
      <w:pPr>
        <w:pStyle w:val="PL"/>
      </w:pPr>
      <w:r w:rsidRPr="00FA0D37">
        <w:t xml:space="preserve">    initialUplinkBWP                        BWP-UplinkCommon,</w:t>
      </w:r>
    </w:p>
    <w:p w14:paraId="3F1C62F1" w14:textId="77777777" w:rsidR="00394471" w:rsidRPr="00FA0D37" w:rsidRDefault="00394471" w:rsidP="00FA0D37">
      <w:pPr>
        <w:pStyle w:val="PL"/>
      </w:pPr>
      <w:r w:rsidRPr="00FA0D37">
        <w:t xml:space="preserve">    timeAlignmentTimerCommon                TimeAlignmentTimer</w:t>
      </w:r>
    </w:p>
    <w:p w14:paraId="3F0C8DCB" w14:textId="77777777" w:rsidR="00394471" w:rsidRPr="00FA0D37" w:rsidRDefault="00394471" w:rsidP="00FA0D37">
      <w:pPr>
        <w:pStyle w:val="PL"/>
      </w:pPr>
      <w:r w:rsidRPr="00FA0D37">
        <w:t>}</w:t>
      </w:r>
    </w:p>
    <w:p w14:paraId="6D47A991" w14:textId="77777777" w:rsidR="00C85859" w:rsidRPr="00FA0D37" w:rsidRDefault="00C85859" w:rsidP="00FA0D37">
      <w:pPr>
        <w:pStyle w:val="PL"/>
      </w:pPr>
    </w:p>
    <w:p w14:paraId="714112C3" w14:textId="1F708DD5" w:rsidR="00C85859" w:rsidRPr="00FA0D37" w:rsidRDefault="00C85859" w:rsidP="00FA0D37">
      <w:pPr>
        <w:pStyle w:val="PL"/>
      </w:pPr>
      <w:r w:rsidRPr="00FA0D37">
        <w:t xml:space="preserve">UplinkConfigCommonSIB-v1700 ::=         </w:t>
      </w:r>
      <w:r w:rsidRPr="00FA0D37">
        <w:rPr>
          <w:color w:val="993366"/>
        </w:rPr>
        <w:t>SEQUENCE</w:t>
      </w:r>
      <w:r w:rsidRPr="00FA0D37">
        <w:t xml:space="preserve"> {</w:t>
      </w:r>
    </w:p>
    <w:p w14:paraId="6879C30A" w14:textId="0BD056EE" w:rsidR="00C85859" w:rsidRPr="00FA0D37" w:rsidRDefault="00C85859" w:rsidP="00FA0D37">
      <w:pPr>
        <w:pStyle w:val="PL"/>
        <w:rPr>
          <w:color w:val="808080"/>
        </w:rPr>
      </w:pPr>
      <w:r w:rsidRPr="00FA0D37">
        <w:t xml:space="preserve">    initialUplinkBWP-RedCap-r17             BWP-UplinkCommon                                </w:t>
      </w:r>
      <w:r w:rsidRPr="00FA0D37">
        <w:rPr>
          <w:color w:val="993366"/>
        </w:rPr>
        <w:t>OPTIONAL</w:t>
      </w:r>
      <w:r w:rsidRPr="00FA0D37">
        <w:t xml:space="preserve">   </w:t>
      </w:r>
      <w:r w:rsidRPr="00FA0D37">
        <w:rPr>
          <w:color w:val="808080"/>
        </w:rPr>
        <w:t>-- Need R</w:t>
      </w:r>
    </w:p>
    <w:p w14:paraId="223C4EBF" w14:textId="77777777" w:rsidR="00C85859" w:rsidRPr="00FA0D37" w:rsidRDefault="00C85859" w:rsidP="00FA0D37">
      <w:pPr>
        <w:pStyle w:val="PL"/>
      </w:pPr>
      <w:r w:rsidRPr="00FA0D37">
        <w:t>}</w:t>
      </w:r>
    </w:p>
    <w:p w14:paraId="61AF276A" w14:textId="77777777" w:rsidR="00C85859" w:rsidRPr="00FA0D37" w:rsidRDefault="00C85859" w:rsidP="00FA0D37">
      <w:pPr>
        <w:pStyle w:val="PL"/>
      </w:pPr>
    </w:p>
    <w:p w14:paraId="403CE22E" w14:textId="25F257FE" w:rsidR="00BD4216" w:rsidRPr="00FA0D37" w:rsidRDefault="00BD4216" w:rsidP="00FA0D37">
      <w:pPr>
        <w:pStyle w:val="PL"/>
      </w:pPr>
      <w:r w:rsidRPr="00FA0D37">
        <w:t xml:space="preserve">UplinkConfigCommonSIB-v1760 ::=         </w:t>
      </w:r>
      <w:r w:rsidRPr="00FA0D37">
        <w:rPr>
          <w:color w:val="993366"/>
        </w:rPr>
        <w:t>SEQUENCE</w:t>
      </w:r>
      <w:r w:rsidRPr="00FA0D37">
        <w:t xml:space="preserve"> {</w:t>
      </w:r>
    </w:p>
    <w:p w14:paraId="7ABDCBF5" w14:textId="345662E0" w:rsidR="00BD4216" w:rsidRPr="00FA0D37" w:rsidRDefault="00BD4216" w:rsidP="00FA0D37">
      <w:pPr>
        <w:pStyle w:val="PL"/>
      </w:pPr>
      <w:r w:rsidRPr="00FA0D37">
        <w:t xml:space="preserve">    frequencyInfoUL-v1760                   FrequencyInfoUL-SIB-v1760</w:t>
      </w:r>
    </w:p>
    <w:p w14:paraId="032F7C60" w14:textId="5E46809F" w:rsidR="00BD4216" w:rsidRPr="00FA0D37" w:rsidRDefault="00BD4216" w:rsidP="00FA0D37">
      <w:pPr>
        <w:pStyle w:val="PL"/>
      </w:pPr>
      <w:r w:rsidRPr="00FA0D37">
        <w:t>}</w:t>
      </w:r>
    </w:p>
    <w:p w14:paraId="199FE899" w14:textId="77777777" w:rsidR="00BD4216" w:rsidRPr="00FA0D37" w:rsidRDefault="00BD4216" w:rsidP="00FA0D37">
      <w:pPr>
        <w:pStyle w:val="PL"/>
      </w:pPr>
    </w:p>
    <w:p w14:paraId="5E71ADA3" w14:textId="77777777" w:rsidR="00394471" w:rsidRPr="00FA0D37" w:rsidRDefault="00394471" w:rsidP="00FA0D37">
      <w:pPr>
        <w:pStyle w:val="PL"/>
        <w:rPr>
          <w:color w:val="808080"/>
        </w:rPr>
      </w:pPr>
      <w:r w:rsidRPr="00FA0D37">
        <w:rPr>
          <w:color w:val="808080"/>
        </w:rPr>
        <w:t>-- TAG-UPLINKCONFIGCOMMONSIB-STOP</w:t>
      </w:r>
    </w:p>
    <w:p w14:paraId="4A1F28D2" w14:textId="77777777" w:rsidR="00394471" w:rsidRPr="00FA0D37" w:rsidRDefault="00394471" w:rsidP="00FA0D37">
      <w:pPr>
        <w:pStyle w:val="PL"/>
        <w:rPr>
          <w:color w:val="808080"/>
        </w:rPr>
      </w:pPr>
      <w:r w:rsidRPr="00FA0D37">
        <w:rPr>
          <w:color w:val="808080"/>
        </w:rPr>
        <w:t>-- ASN1STOP</w:t>
      </w:r>
    </w:p>
    <w:p w14:paraId="286DDBA1"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FA0D37" w:rsidRDefault="00394471" w:rsidP="00964CC4">
            <w:pPr>
              <w:pStyle w:val="TAH"/>
              <w:rPr>
                <w:lang w:eastAsia="sv-SE"/>
              </w:rPr>
            </w:pPr>
            <w:r w:rsidRPr="00FA0D37">
              <w:rPr>
                <w:i/>
                <w:lang w:eastAsia="sv-SE"/>
              </w:rPr>
              <w:t>UplinkConfigCommonSIB</w:t>
            </w:r>
            <w:r w:rsidRPr="00FA0D37">
              <w:rPr>
                <w:lang w:eastAsia="sv-SE"/>
              </w:rPr>
              <w:t xml:space="preserve"> field descriptions</w:t>
            </w:r>
          </w:p>
        </w:tc>
      </w:tr>
      <w:tr w:rsidR="005C7FF4" w:rsidRPr="00FA0D37"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FA0D37" w:rsidRDefault="00394471" w:rsidP="00964CC4">
            <w:pPr>
              <w:pStyle w:val="TAL"/>
              <w:rPr>
                <w:b/>
                <w:i/>
                <w:lang w:eastAsia="sv-SE"/>
              </w:rPr>
            </w:pPr>
            <w:r w:rsidRPr="00FA0D37">
              <w:rPr>
                <w:b/>
                <w:i/>
                <w:lang w:eastAsia="sv-SE"/>
              </w:rPr>
              <w:t>frequencyInfoUL</w:t>
            </w:r>
          </w:p>
          <w:p w14:paraId="45F77E05" w14:textId="77777777" w:rsidR="00394471" w:rsidRPr="00FA0D37" w:rsidRDefault="00394471" w:rsidP="00964CC4">
            <w:pPr>
              <w:pStyle w:val="TAL"/>
              <w:rPr>
                <w:lang w:eastAsia="sv-SE"/>
              </w:rPr>
            </w:pPr>
            <w:r w:rsidRPr="00FA0D37">
              <w:rPr>
                <w:lang w:eastAsia="sv-SE"/>
              </w:rPr>
              <w:t>Absolute uplink frequency configuration and subcarrier specific virtual carriers.</w:t>
            </w:r>
          </w:p>
        </w:tc>
      </w:tr>
      <w:tr w:rsidR="005C7FF4" w:rsidRPr="00FA0D37"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FA0D37" w:rsidRDefault="00394471" w:rsidP="00964CC4">
            <w:pPr>
              <w:pStyle w:val="TAL"/>
              <w:rPr>
                <w:b/>
                <w:i/>
                <w:lang w:eastAsia="sv-SE"/>
              </w:rPr>
            </w:pPr>
            <w:r w:rsidRPr="00FA0D37">
              <w:rPr>
                <w:b/>
                <w:i/>
                <w:lang w:eastAsia="sv-SE"/>
              </w:rPr>
              <w:t>InitialUplinkBWP</w:t>
            </w:r>
          </w:p>
          <w:p w14:paraId="47FCC393" w14:textId="77777777" w:rsidR="00394471" w:rsidRPr="00FA0D37" w:rsidRDefault="00394471" w:rsidP="00964CC4">
            <w:pPr>
              <w:pStyle w:val="TAL"/>
              <w:rPr>
                <w:lang w:eastAsia="sv-SE"/>
              </w:rPr>
            </w:pPr>
            <w:r w:rsidRPr="00FA0D37">
              <w:rPr>
                <w:lang w:eastAsia="sv-SE"/>
              </w:rPr>
              <w:t>The initial uplink BWP configuration for a PCell (see TS 38.213 [13], clause 12).</w:t>
            </w:r>
          </w:p>
        </w:tc>
      </w:tr>
      <w:tr w:rsidR="00C85859" w:rsidRPr="00FA0D37"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FA0D37" w:rsidRDefault="00C85859" w:rsidP="00771058">
            <w:pPr>
              <w:pStyle w:val="TAL"/>
              <w:rPr>
                <w:b/>
                <w:i/>
                <w:lang w:eastAsia="sv-SE"/>
              </w:rPr>
            </w:pPr>
            <w:r w:rsidRPr="00FA0D37">
              <w:rPr>
                <w:b/>
                <w:i/>
                <w:lang w:eastAsia="sv-SE"/>
              </w:rPr>
              <w:t>initialUplinkBWP-RedCap</w:t>
            </w:r>
          </w:p>
          <w:p w14:paraId="3870A16C" w14:textId="73C8BEB5" w:rsidR="00C85859" w:rsidRPr="00FA0D37" w:rsidRDefault="00C85859" w:rsidP="00771058">
            <w:pPr>
              <w:pStyle w:val="TAL"/>
              <w:rPr>
                <w:bCs/>
                <w:iCs/>
                <w:lang w:eastAsia="sv-SE"/>
              </w:rPr>
            </w:pPr>
            <w:r w:rsidRPr="00FA0D37">
              <w:rPr>
                <w:bCs/>
                <w:iCs/>
                <w:lang w:eastAsia="sv-SE"/>
              </w:rPr>
              <w:t xml:space="preserve">If present, RedCap UEs use this UL BWP instead of </w:t>
            </w:r>
            <w:r w:rsidRPr="00FA0D37">
              <w:rPr>
                <w:bCs/>
                <w:i/>
                <w:lang w:eastAsia="sv-SE"/>
              </w:rPr>
              <w:t>initialUplinkBWP</w:t>
            </w:r>
            <w:r w:rsidRPr="00FA0D37">
              <w:rPr>
                <w:bCs/>
                <w:iCs/>
                <w:lang w:eastAsia="sv-SE"/>
              </w:rPr>
              <w:t>.</w:t>
            </w:r>
          </w:p>
          <w:p w14:paraId="53ED8493" w14:textId="13EED4E7" w:rsidR="00C85859" w:rsidRPr="00FA0D37" w:rsidRDefault="00C85859" w:rsidP="00771058">
            <w:pPr>
              <w:pStyle w:val="TAL"/>
              <w:rPr>
                <w:b/>
                <w:i/>
                <w:lang w:eastAsia="sv-SE"/>
              </w:rPr>
            </w:pPr>
            <w:r w:rsidRPr="00FA0D37">
              <w:rPr>
                <w:bCs/>
                <w:iCs/>
                <w:lang w:eastAsia="sv-SE"/>
              </w:rPr>
              <w:t xml:space="preserve">If absent, RedCap UEs use </w:t>
            </w:r>
            <w:r w:rsidRPr="00FA0D37">
              <w:rPr>
                <w:bCs/>
                <w:i/>
                <w:lang w:eastAsia="sv-SE"/>
              </w:rPr>
              <w:t>initialUplinkBWP</w:t>
            </w:r>
            <w:r w:rsidRPr="00FA0D37">
              <w:rPr>
                <w:bCs/>
                <w:iCs/>
                <w:lang w:eastAsia="sv-SE"/>
              </w:rPr>
              <w:t xml:space="preserve"> provided that it does not exceed the RedCap UE maximum bandwidth (see also </w:t>
            </w:r>
            <w:r w:rsidR="00947949" w:rsidRPr="00FA0D37">
              <w:rPr>
                <w:bCs/>
                <w:iCs/>
                <w:lang w:eastAsia="sv-SE"/>
              </w:rPr>
              <w:t>clause</w:t>
            </w:r>
            <w:r w:rsidRPr="00FA0D37">
              <w:rPr>
                <w:bCs/>
                <w:iCs/>
                <w:lang w:eastAsia="sv-SE"/>
              </w:rPr>
              <w:t xml:space="preserve"> 5.2.2.4.2).</w:t>
            </w:r>
          </w:p>
        </w:tc>
      </w:tr>
    </w:tbl>
    <w:p w14:paraId="1115D685" w14:textId="77777777" w:rsidR="00064591" w:rsidRPr="00FA0D37" w:rsidRDefault="00064591" w:rsidP="00064591"/>
    <w:p w14:paraId="0DD3633E" w14:textId="77777777" w:rsidR="00064591" w:rsidRPr="00FA0D37" w:rsidRDefault="00064591" w:rsidP="00064591">
      <w:pPr>
        <w:pStyle w:val="4"/>
      </w:pPr>
      <w:bookmarkStart w:id="1492" w:name="_Toc146781518"/>
      <w:r w:rsidRPr="00FA0D37">
        <w:t>–</w:t>
      </w:r>
      <w:r w:rsidRPr="00FA0D37">
        <w:tab/>
      </w:r>
      <w:r w:rsidRPr="00FA0D37">
        <w:rPr>
          <w:i/>
        </w:rPr>
        <w:t>Uplink-PowerControl</w:t>
      </w:r>
      <w:bookmarkEnd w:id="1492"/>
    </w:p>
    <w:p w14:paraId="0192FA79" w14:textId="77777777" w:rsidR="00064591" w:rsidRPr="00FA0D37" w:rsidRDefault="00064591" w:rsidP="00064591">
      <w:r w:rsidRPr="00FA0D37">
        <w:t xml:space="preserve">The IE </w:t>
      </w:r>
      <w:r w:rsidRPr="00FA0D37">
        <w:rPr>
          <w:i/>
        </w:rPr>
        <w:t>Uplink-PowerControl</w:t>
      </w:r>
      <w:r w:rsidRPr="00FA0D37">
        <w:t xml:space="preserve"> is used to configure UE specific power control parameter for PUSCH, PUCCH and SRS.</w:t>
      </w:r>
    </w:p>
    <w:p w14:paraId="7E9FA93A" w14:textId="77777777" w:rsidR="00064591" w:rsidRPr="00FA0D37" w:rsidRDefault="00064591" w:rsidP="00064591">
      <w:pPr>
        <w:pStyle w:val="TH"/>
      </w:pPr>
      <w:r w:rsidRPr="00FA0D37">
        <w:rPr>
          <w:i/>
        </w:rPr>
        <w:t>Uplink-PowerControl</w:t>
      </w:r>
      <w:r w:rsidRPr="00FA0D37">
        <w:t xml:space="preserve"> information element</w:t>
      </w:r>
    </w:p>
    <w:p w14:paraId="4E2C1BE5" w14:textId="77777777" w:rsidR="00064591" w:rsidRPr="00FA0D37" w:rsidRDefault="00064591" w:rsidP="00FA0D37">
      <w:pPr>
        <w:pStyle w:val="PL"/>
        <w:rPr>
          <w:color w:val="808080"/>
        </w:rPr>
      </w:pPr>
      <w:r w:rsidRPr="00FA0D37">
        <w:rPr>
          <w:color w:val="808080"/>
        </w:rPr>
        <w:t>-- ASN1START</w:t>
      </w:r>
    </w:p>
    <w:p w14:paraId="0D36EEF2" w14:textId="77777777" w:rsidR="00064591" w:rsidRPr="00FA0D37" w:rsidRDefault="00064591" w:rsidP="00FA0D37">
      <w:pPr>
        <w:pStyle w:val="PL"/>
        <w:rPr>
          <w:color w:val="808080"/>
        </w:rPr>
      </w:pPr>
      <w:r w:rsidRPr="00FA0D37">
        <w:rPr>
          <w:color w:val="808080"/>
        </w:rPr>
        <w:t>-- TAG-UPLINK-POWERCONTROL-START</w:t>
      </w:r>
    </w:p>
    <w:p w14:paraId="3FD98D56" w14:textId="77777777" w:rsidR="00064591" w:rsidRPr="00FA0D37" w:rsidRDefault="00064591" w:rsidP="00FA0D37">
      <w:pPr>
        <w:pStyle w:val="PL"/>
      </w:pPr>
    </w:p>
    <w:p w14:paraId="180FFFC0" w14:textId="2AF2E4F3" w:rsidR="00064591" w:rsidRPr="00FA0D37" w:rsidRDefault="00064591" w:rsidP="00FA0D37">
      <w:pPr>
        <w:pStyle w:val="PL"/>
      </w:pPr>
      <w:r w:rsidRPr="00FA0D37">
        <w:t xml:space="preserve">Uplink-powerControl-r17  ::= </w:t>
      </w:r>
      <w:r w:rsidRPr="00FA0D37">
        <w:rPr>
          <w:color w:val="993366"/>
        </w:rPr>
        <w:t>SEQUENCE</w:t>
      </w:r>
      <w:r w:rsidRPr="00FA0D37">
        <w:t xml:space="preserve"> {</w:t>
      </w:r>
    </w:p>
    <w:p w14:paraId="38D3249E" w14:textId="5EB25CB2" w:rsidR="00064591" w:rsidRPr="00FA0D37" w:rsidRDefault="00064591" w:rsidP="00FA0D37">
      <w:pPr>
        <w:pStyle w:val="PL"/>
      </w:pPr>
      <w:r w:rsidRPr="00FA0D37">
        <w:t xml:space="preserve">    ul-powercontrolId-r17        Uplink-powerControlId</w:t>
      </w:r>
      <w:r w:rsidR="004F1B8A" w:rsidRPr="00FA0D37">
        <w:t>-r17</w:t>
      </w:r>
      <w:r w:rsidRPr="00FA0D37">
        <w:t>,</w:t>
      </w:r>
    </w:p>
    <w:p w14:paraId="1730A043" w14:textId="672F85D6" w:rsidR="00064591" w:rsidRPr="00FA0D37" w:rsidRDefault="00064591" w:rsidP="00FA0D37">
      <w:pPr>
        <w:pStyle w:val="PL"/>
        <w:rPr>
          <w:color w:val="808080"/>
        </w:rPr>
      </w:pPr>
      <w:r w:rsidRPr="00FA0D37">
        <w:t xml:space="preserve">    p0AlphaSetforPUSCH-r17       P0AlphaSet-r17                                                               </w:t>
      </w:r>
      <w:r w:rsidRPr="00FA0D37">
        <w:rPr>
          <w:color w:val="993366"/>
        </w:rPr>
        <w:t>OPTIONAL</w:t>
      </w:r>
      <w:r w:rsidRPr="00FA0D37">
        <w:t xml:space="preserve">, </w:t>
      </w:r>
      <w:r w:rsidRPr="00FA0D37">
        <w:rPr>
          <w:color w:val="808080"/>
        </w:rPr>
        <w:t>-- Need R</w:t>
      </w:r>
    </w:p>
    <w:p w14:paraId="3F80DC2B" w14:textId="24A07BBF" w:rsidR="00064591" w:rsidRPr="00FA0D37" w:rsidRDefault="00064591" w:rsidP="00FA0D37">
      <w:pPr>
        <w:pStyle w:val="PL"/>
        <w:rPr>
          <w:color w:val="808080"/>
        </w:rPr>
      </w:pPr>
      <w:r w:rsidRPr="00FA0D37">
        <w:t xml:space="preserve">    p0AlphaSetforPUCCH-r17       P0AlphaSet-r17                                                               </w:t>
      </w:r>
      <w:r w:rsidRPr="00FA0D37">
        <w:rPr>
          <w:color w:val="993366"/>
        </w:rPr>
        <w:t>OPTIONAL</w:t>
      </w:r>
      <w:r w:rsidRPr="00FA0D37">
        <w:t xml:space="preserve">, </w:t>
      </w:r>
      <w:r w:rsidRPr="00FA0D37">
        <w:rPr>
          <w:color w:val="808080"/>
        </w:rPr>
        <w:t>-- Need R</w:t>
      </w:r>
    </w:p>
    <w:p w14:paraId="4D8B2F71" w14:textId="17234C82" w:rsidR="00064591" w:rsidRPr="00FA0D37" w:rsidRDefault="00064591" w:rsidP="00FA0D37">
      <w:pPr>
        <w:pStyle w:val="PL"/>
        <w:rPr>
          <w:color w:val="808080"/>
        </w:rPr>
      </w:pPr>
      <w:r w:rsidRPr="00FA0D37">
        <w:t xml:space="preserve">    p0AlphaSetforSRS-r17         P0AlphaSet-r17                                                               </w:t>
      </w:r>
      <w:r w:rsidRPr="00FA0D37">
        <w:rPr>
          <w:color w:val="993366"/>
        </w:rPr>
        <w:t>OPTIONAL</w:t>
      </w:r>
      <w:r w:rsidRPr="00FA0D37">
        <w:t xml:space="preserve">  </w:t>
      </w:r>
      <w:r w:rsidRPr="00FA0D37">
        <w:rPr>
          <w:color w:val="808080"/>
        </w:rPr>
        <w:t>-- Need R</w:t>
      </w:r>
    </w:p>
    <w:p w14:paraId="6FA7E960" w14:textId="0F3BCF15" w:rsidR="00064591" w:rsidRPr="00FA0D37" w:rsidRDefault="00064591" w:rsidP="00FA0D37">
      <w:pPr>
        <w:pStyle w:val="PL"/>
      </w:pPr>
      <w:r w:rsidRPr="00FA0D37">
        <w:t>}</w:t>
      </w:r>
    </w:p>
    <w:p w14:paraId="17B0F439" w14:textId="77777777" w:rsidR="00064591" w:rsidRPr="00FA0D37" w:rsidRDefault="00064591" w:rsidP="00FA0D37">
      <w:pPr>
        <w:pStyle w:val="PL"/>
      </w:pPr>
    </w:p>
    <w:p w14:paraId="7A95FB5B" w14:textId="32B59BE5" w:rsidR="00064591" w:rsidRPr="00FA0D37" w:rsidRDefault="00064591" w:rsidP="00FA0D37">
      <w:pPr>
        <w:pStyle w:val="PL"/>
      </w:pPr>
      <w:r w:rsidRPr="00FA0D37">
        <w:t xml:space="preserve">P0AlphaSet-r17 ::=           </w:t>
      </w:r>
      <w:r w:rsidRPr="00FA0D37">
        <w:rPr>
          <w:color w:val="993366"/>
        </w:rPr>
        <w:t>SEQUENCE</w:t>
      </w:r>
      <w:r w:rsidRPr="00FA0D37">
        <w:t xml:space="preserve"> {</w:t>
      </w:r>
    </w:p>
    <w:p w14:paraId="66D8CB4A" w14:textId="2C4149DC" w:rsidR="00064591" w:rsidRPr="00FA0D37" w:rsidRDefault="00064591" w:rsidP="00FA0D37">
      <w:pPr>
        <w:pStyle w:val="PL"/>
        <w:rPr>
          <w:color w:val="808080"/>
        </w:rPr>
      </w:pPr>
      <w:r w:rsidRPr="00FA0D37">
        <w:t xml:space="preserve">    p0-r17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R</w:t>
      </w:r>
    </w:p>
    <w:p w14:paraId="25FBD231" w14:textId="52A96F6B" w:rsidR="00064591" w:rsidRPr="00FA0D37" w:rsidRDefault="00064591" w:rsidP="00FA0D37">
      <w:pPr>
        <w:pStyle w:val="PL"/>
        <w:rPr>
          <w:color w:val="808080"/>
        </w:rPr>
      </w:pPr>
      <w:r w:rsidRPr="00FA0D37">
        <w:t xml:space="preserve">    alpha-r17                    Alpha                                                                        </w:t>
      </w:r>
      <w:r w:rsidRPr="00FA0D37">
        <w:rPr>
          <w:color w:val="993366"/>
        </w:rPr>
        <w:t>OPTIONAL</w:t>
      </w:r>
      <w:r w:rsidRPr="00FA0D37">
        <w:t xml:space="preserve">, </w:t>
      </w:r>
      <w:r w:rsidRPr="00FA0D37">
        <w:rPr>
          <w:color w:val="808080"/>
        </w:rPr>
        <w:t xml:space="preserve">-- Need </w:t>
      </w:r>
      <w:r w:rsidR="001D1854" w:rsidRPr="00FA0D37">
        <w:rPr>
          <w:color w:val="808080"/>
        </w:rPr>
        <w:t>S</w:t>
      </w:r>
    </w:p>
    <w:p w14:paraId="48BB6264" w14:textId="26D8AE03" w:rsidR="00064591" w:rsidRPr="00FA0D37" w:rsidRDefault="00064591" w:rsidP="00FA0D37">
      <w:pPr>
        <w:pStyle w:val="PL"/>
      </w:pPr>
      <w:r w:rsidRPr="00FA0D37">
        <w:t xml:space="preserve">    closedLoopIndex-r17          </w:t>
      </w:r>
      <w:r w:rsidRPr="00FA0D37">
        <w:rPr>
          <w:color w:val="993366"/>
        </w:rPr>
        <w:t>ENUMERATED</w:t>
      </w:r>
      <w:r w:rsidRPr="00FA0D37">
        <w:t xml:space="preserve"> { i0, i1 }</w:t>
      </w:r>
    </w:p>
    <w:p w14:paraId="57BA5FD5" w14:textId="77777777" w:rsidR="00064591" w:rsidRPr="00FA0D37" w:rsidRDefault="00064591" w:rsidP="00FA0D37">
      <w:pPr>
        <w:pStyle w:val="PL"/>
      </w:pPr>
      <w:r w:rsidRPr="00FA0D37">
        <w:t>}</w:t>
      </w:r>
    </w:p>
    <w:p w14:paraId="7B253178" w14:textId="77777777" w:rsidR="00064591" w:rsidRPr="00FA0D37" w:rsidRDefault="00064591" w:rsidP="00FA0D37">
      <w:pPr>
        <w:pStyle w:val="PL"/>
      </w:pPr>
    </w:p>
    <w:p w14:paraId="5CE7B83C" w14:textId="7B9B1172" w:rsidR="00064591" w:rsidRPr="00FA0D37" w:rsidRDefault="00064591" w:rsidP="00FA0D37">
      <w:pPr>
        <w:pStyle w:val="PL"/>
      </w:pPr>
      <w:r w:rsidRPr="00FA0D37">
        <w:t xml:space="preserve">Uplink-powerControlId-r17 ::= </w:t>
      </w:r>
      <w:r w:rsidRPr="00FA0D37">
        <w:rPr>
          <w:color w:val="993366"/>
        </w:rPr>
        <w:t>INTEGER</w:t>
      </w:r>
      <w:r w:rsidRPr="00FA0D37">
        <w:t xml:space="preserve">(1.. </w:t>
      </w:r>
      <w:r w:rsidR="007B122D" w:rsidRPr="00FA0D37">
        <w:t>maxUL-TC</w:t>
      </w:r>
      <w:r w:rsidRPr="00FA0D37">
        <w:t>I-r17)</w:t>
      </w:r>
    </w:p>
    <w:p w14:paraId="4093C883" w14:textId="77777777" w:rsidR="00064591" w:rsidRPr="00FA0D37" w:rsidRDefault="00064591" w:rsidP="00FA0D37">
      <w:pPr>
        <w:pStyle w:val="PL"/>
      </w:pPr>
    </w:p>
    <w:p w14:paraId="2898051B" w14:textId="77777777" w:rsidR="00064591" w:rsidRPr="00FA0D37" w:rsidRDefault="00064591" w:rsidP="00FA0D37">
      <w:pPr>
        <w:pStyle w:val="PL"/>
        <w:rPr>
          <w:color w:val="808080"/>
        </w:rPr>
      </w:pPr>
      <w:r w:rsidRPr="00FA0D37">
        <w:rPr>
          <w:color w:val="808080"/>
        </w:rPr>
        <w:t>-- TAG-UPLINK-POWERCONTROL-STOP</w:t>
      </w:r>
    </w:p>
    <w:p w14:paraId="6B08A1BE" w14:textId="77777777" w:rsidR="00064591" w:rsidRPr="00FA0D37" w:rsidRDefault="00064591" w:rsidP="00FA0D37">
      <w:pPr>
        <w:pStyle w:val="PL"/>
        <w:rPr>
          <w:color w:val="808080"/>
        </w:rPr>
      </w:pPr>
      <w:r w:rsidRPr="00FA0D37">
        <w:rPr>
          <w:color w:val="808080"/>
        </w:rPr>
        <w:t>-- ASN1STOP</w:t>
      </w:r>
    </w:p>
    <w:p w14:paraId="4531D40F" w14:textId="77777777" w:rsidR="00064591" w:rsidRPr="00FA0D37"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77777777" w:rsidR="00064591" w:rsidRPr="00FA0D37" w:rsidRDefault="00064591" w:rsidP="00771058">
            <w:pPr>
              <w:pStyle w:val="TAH"/>
              <w:rPr>
                <w:szCs w:val="22"/>
                <w:lang w:eastAsia="sv-SE"/>
              </w:rPr>
            </w:pPr>
            <w:r w:rsidRPr="00FA0D37">
              <w:rPr>
                <w:i/>
              </w:rPr>
              <w:lastRenderedPageBreak/>
              <w:t>Uplink-PowerControl</w:t>
            </w:r>
            <w:r w:rsidRPr="00FA0D37">
              <w:t xml:space="preserve"> </w:t>
            </w:r>
            <w:r w:rsidRPr="00FA0D37">
              <w:rPr>
                <w:szCs w:val="22"/>
                <w:lang w:eastAsia="sv-SE"/>
              </w:rPr>
              <w:t>field descriptions</w:t>
            </w:r>
          </w:p>
        </w:tc>
      </w:tr>
      <w:tr w:rsidR="00064591" w:rsidRPr="00FA0D37"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FA0D37" w:rsidRDefault="007B122D" w:rsidP="00771058">
            <w:pPr>
              <w:pStyle w:val="TAL"/>
              <w:rPr>
                <w:b/>
                <w:bCs/>
                <w:i/>
                <w:iCs/>
                <w:szCs w:val="22"/>
                <w:lang w:eastAsia="sv-SE"/>
              </w:rPr>
            </w:pPr>
            <w:r w:rsidRPr="00FA0D37">
              <w:rPr>
                <w:b/>
                <w:bCs/>
                <w:i/>
                <w:iCs/>
              </w:rPr>
              <w:t>p0AlphaSetforPUSCH, p0AlphaSetforPUCCH, p0AlphaSetforSRS</w:t>
            </w:r>
          </w:p>
          <w:p w14:paraId="413C5A11" w14:textId="7B8F9CD8" w:rsidR="00064591" w:rsidRPr="00FA0D37" w:rsidRDefault="00064591" w:rsidP="00771058">
            <w:pPr>
              <w:pStyle w:val="TAL"/>
              <w:rPr>
                <w:szCs w:val="22"/>
                <w:lang w:eastAsia="sv-SE"/>
              </w:rPr>
            </w:pPr>
            <w:r w:rsidRPr="00FA0D37">
              <w:rPr>
                <w:szCs w:val="22"/>
                <w:lang w:eastAsia="sv-SE"/>
              </w:rPr>
              <w:t>Configures power control parameters for PUSCH, PUCCH and SRS</w:t>
            </w:r>
            <w:r w:rsidR="007B122D" w:rsidRPr="00FA0D37">
              <w:rPr>
                <w:szCs w:val="22"/>
                <w:lang w:eastAsia="sv-SE"/>
              </w:rPr>
              <w:t xml:space="preserve"> (see TS 38.213 [13], clause 7.2)</w:t>
            </w:r>
            <w:r w:rsidRPr="00FA0D37">
              <w:rPr>
                <w:szCs w:val="22"/>
                <w:lang w:eastAsia="sv-SE"/>
              </w:rPr>
              <w:t>.</w:t>
            </w:r>
            <w:r w:rsidR="001D1854" w:rsidRPr="00FA0D37">
              <w:rPr>
                <w:szCs w:val="22"/>
                <w:lang w:eastAsia="sv-SE"/>
              </w:rPr>
              <w:t xml:space="preserve"> When the field </w:t>
            </w:r>
            <w:r w:rsidR="001D1854" w:rsidRPr="00FA0D37">
              <w:rPr>
                <w:i/>
                <w:szCs w:val="22"/>
                <w:lang w:eastAsia="sv-SE"/>
              </w:rPr>
              <w:t xml:space="preserve">alpha </w:t>
            </w:r>
            <w:r w:rsidR="001D1854" w:rsidRPr="00FA0D37">
              <w:rPr>
                <w:szCs w:val="22"/>
                <w:lang w:eastAsia="sv-SE"/>
              </w:rPr>
              <w:t xml:space="preserve">is absent in </w:t>
            </w:r>
            <w:r w:rsidR="001D1854" w:rsidRPr="00FA0D37">
              <w:rPr>
                <w:bCs/>
                <w:i/>
                <w:iCs/>
              </w:rPr>
              <w:t>p0AlphaSetforPUSCH</w:t>
            </w:r>
            <w:r w:rsidR="001D1854" w:rsidRPr="00FA0D37">
              <w:rPr>
                <w:bCs/>
                <w:iCs/>
              </w:rPr>
              <w:t xml:space="preserve">, the UE applies the value 1 for PUSCH power control. </w:t>
            </w:r>
            <w:r w:rsidR="001D1854" w:rsidRPr="00FA0D37">
              <w:rPr>
                <w:szCs w:val="22"/>
                <w:lang w:eastAsia="sv-SE"/>
              </w:rPr>
              <w:t xml:space="preserve">When the field </w:t>
            </w:r>
            <w:r w:rsidR="001D1854" w:rsidRPr="00FA0D37">
              <w:rPr>
                <w:i/>
                <w:szCs w:val="22"/>
                <w:lang w:eastAsia="sv-SE"/>
              </w:rPr>
              <w:t xml:space="preserve">alpha </w:t>
            </w:r>
            <w:r w:rsidR="001D1854" w:rsidRPr="00FA0D37">
              <w:rPr>
                <w:szCs w:val="22"/>
                <w:lang w:eastAsia="sv-SE"/>
              </w:rPr>
              <w:t xml:space="preserve">is absent in </w:t>
            </w:r>
            <w:r w:rsidR="001D1854" w:rsidRPr="00FA0D37">
              <w:rPr>
                <w:bCs/>
                <w:i/>
                <w:iCs/>
              </w:rPr>
              <w:t>p0AlphaSetforSRS</w:t>
            </w:r>
            <w:r w:rsidR="001D1854" w:rsidRPr="00FA0D37">
              <w:rPr>
                <w:bCs/>
                <w:iCs/>
              </w:rPr>
              <w:t xml:space="preserve">, the UE applies the value 1 for SRS power control. In </w:t>
            </w:r>
            <w:r w:rsidR="001D1854" w:rsidRPr="00FA0D37">
              <w:rPr>
                <w:bCs/>
                <w:i/>
              </w:rPr>
              <w:t>p0AlphaSetForPUCCH</w:t>
            </w:r>
            <w:r w:rsidR="001D1854" w:rsidRPr="00FA0D37">
              <w:rPr>
                <w:bCs/>
                <w:iCs/>
              </w:rPr>
              <w:t>, the field alpha is absent (not used).</w:t>
            </w:r>
          </w:p>
        </w:tc>
      </w:tr>
    </w:tbl>
    <w:p w14:paraId="28989ADD" w14:textId="77777777" w:rsidR="00064591" w:rsidRPr="00FA0D37" w:rsidRDefault="00064591" w:rsidP="00BD2D2B">
      <w:pPr>
        <w:rPr>
          <w:rFonts w:eastAsiaTheme="minorEastAsia"/>
        </w:rPr>
      </w:pPr>
    </w:p>
    <w:p w14:paraId="5C49E165" w14:textId="225E0614" w:rsidR="00BD2D2B" w:rsidRPr="00FA0D37" w:rsidRDefault="00BD2D2B" w:rsidP="000830BB">
      <w:pPr>
        <w:pStyle w:val="4"/>
        <w:rPr>
          <w:rFonts w:eastAsia="宋体"/>
        </w:rPr>
      </w:pPr>
      <w:bookmarkStart w:id="1493" w:name="_Toc146781519"/>
      <w:r w:rsidRPr="00FA0D37">
        <w:rPr>
          <w:rFonts w:eastAsia="宋体"/>
        </w:rPr>
        <w:t>–</w:t>
      </w:r>
      <w:r w:rsidRPr="00FA0D37">
        <w:rPr>
          <w:rFonts w:eastAsia="宋体"/>
        </w:rPr>
        <w:tab/>
      </w:r>
      <w:r w:rsidRPr="00FA0D37">
        <w:rPr>
          <w:rFonts w:eastAsia="宋体"/>
          <w:i/>
          <w:iCs/>
        </w:rPr>
        <w:t>Uu-RelayRLC-ChannelConfig</w:t>
      </w:r>
      <w:bookmarkEnd w:id="1493"/>
    </w:p>
    <w:p w14:paraId="1958B676" w14:textId="0C1C03BD" w:rsidR="00BD2D2B" w:rsidRPr="00FA0D37" w:rsidRDefault="00BD2D2B" w:rsidP="00BD2D2B">
      <w:pPr>
        <w:rPr>
          <w:rFonts w:eastAsia="宋体"/>
        </w:rPr>
      </w:pPr>
      <w:r w:rsidRPr="00FA0D37">
        <w:rPr>
          <w:rFonts w:eastAsia="宋体"/>
        </w:rPr>
        <w:t xml:space="preserve">The IE </w:t>
      </w:r>
      <w:r w:rsidRPr="00FA0D37">
        <w:rPr>
          <w:rFonts w:eastAsia="宋体"/>
          <w:i/>
        </w:rPr>
        <w:t>Uu-RelayRLC-ChannelConfig</w:t>
      </w:r>
      <w:r w:rsidRPr="00FA0D37">
        <w:rPr>
          <w:rFonts w:eastAsia="宋体"/>
        </w:rPr>
        <w:t xml:space="preserve"> is used to configure an RLC entity, a corresponding logical channel in MAC for Uu Relay RLC channel between L2 U2N Relay UE and network.</w:t>
      </w:r>
    </w:p>
    <w:p w14:paraId="7B5C8D61" w14:textId="29C80E4D" w:rsidR="00BD2D2B" w:rsidRPr="00FA0D37" w:rsidRDefault="00BD2D2B" w:rsidP="000830BB">
      <w:pPr>
        <w:pStyle w:val="TH"/>
        <w:rPr>
          <w:rFonts w:eastAsia="宋体"/>
        </w:rPr>
      </w:pPr>
      <w:r w:rsidRPr="00FA0D37">
        <w:rPr>
          <w:rFonts w:eastAsia="宋体"/>
          <w:i/>
          <w:iCs/>
        </w:rPr>
        <w:t>Uu-RelayRLC-ChannelConfig</w:t>
      </w:r>
      <w:r w:rsidRPr="00FA0D37">
        <w:rPr>
          <w:rFonts w:eastAsia="宋体"/>
        </w:rPr>
        <w:t xml:space="preserve"> information element</w:t>
      </w:r>
    </w:p>
    <w:p w14:paraId="50D43605" w14:textId="77777777" w:rsidR="00BD2D2B" w:rsidRPr="00FA0D37" w:rsidRDefault="00BD2D2B" w:rsidP="00FA0D37">
      <w:pPr>
        <w:pStyle w:val="PL"/>
        <w:rPr>
          <w:color w:val="808080"/>
        </w:rPr>
      </w:pPr>
      <w:r w:rsidRPr="00FA0D37">
        <w:rPr>
          <w:color w:val="808080"/>
        </w:rPr>
        <w:t>-- ASN1START</w:t>
      </w:r>
    </w:p>
    <w:p w14:paraId="6B58ACCC" w14:textId="77777777" w:rsidR="00BD2D2B" w:rsidRPr="00FA0D37" w:rsidRDefault="00BD2D2B" w:rsidP="00FA0D37">
      <w:pPr>
        <w:pStyle w:val="PL"/>
        <w:rPr>
          <w:color w:val="808080"/>
        </w:rPr>
      </w:pPr>
      <w:r w:rsidRPr="00FA0D37">
        <w:rPr>
          <w:color w:val="808080"/>
        </w:rPr>
        <w:t>-- TAG-UURELAYRLCCHANNELCONFIG-START</w:t>
      </w:r>
    </w:p>
    <w:p w14:paraId="43E9EED8" w14:textId="77777777" w:rsidR="00BD2D2B" w:rsidRPr="00FA0D37" w:rsidRDefault="00BD2D2B" w:rsidP="00FA0D37">
      <w:pPr>
        <w:pStyle w:val="PL"/>
      </w:pPr>
    </w:p>
    <w:p w14:paraId="007C9B21" w14:textId="7AD972FD" w:rsidR="00BD2D2B" w:rsidRPr="00FA0D37" w:rsidRDefault="00BD2D2B" w:rsidP="00FA0D37">
      <w:pPr>
        <w:pStyle w:val="PL"/>
      </w:pPr>
      <w:r w:rsidRPr="00FA0D37">
        <w:t xml:space="preserve">Uu-RelayRLC-ChannelConfig-r17::= </w:t>
      </w:r>
      <w:r w:rsidRPr="00FA0D37">
        <w:rPr>
          <w:color w:val="993366"/>
        </w:rPr>
        <w:t>SEQUENCE</w:t>
      </w:r>
      <w:r w:rsidRPr="00FA0D37">
        <w:t xml:space="preserve"> {</w:t>
      </w:r>
    </w:p>
    <w:p w14:paraId="4757FF7A" w14:textId="031D5E02" w:rsidR="00BD2D2B" w:rsidRPr="00FA0D37" w:rsidRDefault="00BD2D2B" w:rsidP="00FA0D37">
      <w:pPr>
        <w:pStyle w:val="PL"/>
        <w:rPr>
          <w:color w:val="808080"/>
        </w:rPr>
      </w:pPr>
      <w:r w:rsidRPr="00FA0D37">
        <w:t xml:space="preserve">    uu-LogicalChannelIdentity-r17    LogicalChannelIdentity                </w:t>
      </w:r>
      <w:r w:rsidR="001C77B5" w:rsidRPr="00FA0D37">
        <w:t xml:space="preserve">    </w:t>
      </w:r>
      <w:r w:rsidRPr="00FA0D37">
        <w:rPr>
          <w:color w:val="993366"/>
        </w:rPr>
        <w:t>OPTIONAL</w:t>
      </w:r>
      <w:r w:rsidRPr="00FA0D37">
        <w:t xml:space="preserve">,   </w:t>
      </w:r>
      <w:r w:rsidRPr="00FA0D37">
        <w:rPr>
          <w:color w:val="808080"/>
        </w:rPr>
        <w:t xml:space="preserve">-- Cond </w:t>
      </w:r>
      <w:r w:rsidR="009620A4" w:rsidRPr="00FA0D37">
        <w:rPr>
          <w:color w:val="808080"/>
        </w:rPr>
        <w:t>Relay</w:t>
      </w:r>
      <w:r w:rsidRPr="00FA0D37">
        <w:rPr>
          <w:color w:val="808080"/>
        </w:rPr>
        <w:t>LCH-SetupOnly</w:t>
      </w:r>
    </w:p>
    <w:p w14:paraId="15F0D7E5" w14:textId="1DE97A16" w:rsidR="00BD2D2B" w:rsidRPr="00FA0D37" w:rsidRDefault="00BD2D2B" w:rsidP="00FA0D37">
      <w:pPr>
        <w:pStyle w:val="PL"/>
      </w:pPr>
      <w:r w:rsidRPr="00FA0D37">
        <w:t xml:space="preserve">    uu-RelayRLC-ChannelID-r17        Uu-RelayRLC-ChannelID-r17,</w:t>
      </w:r>
    </w:p>
    <w:p w14:paraId="539732B3" w14:textId="20FD63D4" w:rsidR="00BD2D2B" w:rsidRPr="00FA0D37" w:rsidRDefault="00BD2D2B" w:rsidP="00FA0D37">
      <w:pPr>
        <w:pStyle w:val="PL"/>
        <w:rPr>
          <w:color w:val="808080"/>
        </w:rPr>
      </w:pPr>
      <w:r w:rsidRPr="00FA0D37">
        <w:t xml:space="preserve">    reestablishRLC-r17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6A80D3F1" w14:textId="33EB7A95" w:rsidR="00BD2D2B" w:rsidRPr="00FA0D37" w:rsidRDefault="00BD2D2B" w:rsidP="00FA0D37">
      <w:pPr>
        <w:pStyle w:val="PL"/>
        <w:rPr>
          <w:color w:val="808080"/>
        </w:rPr>
      </w:pPr>
      <w:r w:rsidRPr="00FA0D37">
        <w:t xml:space="preserve">    rlc-Config-r17                   RLC-Config                                </w:t>
      </w:r>
      <w:r w:rsidRPr="00FA0D37">
        <w:rPr>
          <w:color w:val="993366"/>
        </w:rPr>
        <w:t>OPTIONAL</w:t>
      </w:r>
      <w:r w:rsidRPr="00FA0D37">
        <w:t xml:space="preserve">,   </w:t>
      </w:r>
      <w:r w:rsidRPr="00FA0D37">
        <w:rPr>
          <w:color w:val="808080"/>
        </w:rPr>
        <w:t xml:space="preserve">-- Cond </w:t>
      </w:r>
      <w:r w:rsidR="009620A4" w:rsidRPr="00FA0D37">
        <w:rPr>
          <w:color w:val="808080"/>
        </w:rPr>
        <w:t>Relay</w:t>
      </w:r>
      <w:r w:rsidRPr="00FA0D37">
        <w:rPr>
          <w:color w:val="808080"/>
        </w:rPr>
        <w:t>LCH-Setup</w:t>
      </w:r>
    </w:p>
    <w:p w14:paraId="6B4FB95D" w14:textId="6BCA734D" w:rsidR="00BD2D2B" w:rsidRPr="00FA0D37" w:rsidRDefault="00BD2D2B" w:rsidP="00FA0D37">
      <w:pPr>
        <w:pStyle w:val="PL"/>
        <w:rPr>
          <w:color w:val="808080"/>
        </w:rPr>
      </w:pPr>
      <w:r w:rsidRPr="00FA0D37">
        <w:t xml:space="preserve">    mac-LogicalChannelConfig-r17     LogicalChannelConfig                      </w:t>
      </w:r>
      <w:r w:rsidRPr="00FA0D37">
        <w:rPr>
          <w:color w:val="993366"/>
        </w:rPr>
        <w:t>OPTIONAL</w:t>
      </w:r>
      <w:r w:rsidRPr="00FA0D37">
        <w:t xml:space="preserve">,   </w:t>
      </w:r>
      <w:r w:rsidRPr="00FA0D37">
        <w:rPr>
          <w:color w:val="808080"/>
        </w:rPr>
        <w:t xml:space="preserve">-- Cond </w:t>
      </w:r>
      <w:r w:rsidR="009620A4" w:rsidRPr="00FA0D37">
        <w:rPr>
          <w:color w:val="808080"/>
        </w:rPr>
        <w:t>Relay</w:t>
      </w:r>
      <w:r w:rsidRPr="00FA0D37">
        <w:rPr>
          <w:color w:val="808080"/>
        </w:rPr>
        <w:t>LCH-Setup</w:t>
      </w:r>
    </w:p>
    <w:p w14:paraId="6C870571" w14:textId="77777777" w:rsidR="00BD2D2B" w:rsidRPr="00FA0D37" w:rsidRDefault="00BD2D2B" w:rsidP="00FA0D37">
      <w:pPr>
        <w:pStyle w:val="PL"/>
      </w:pPr>
      <w:r w:rsidRPr="00FA0D37">
        <w:t xml:space="preserve">    ...</w:t>
      </w:r>
    </w:p>
    <w:p w14:paraId="12E8A62E" w14:textId="77777777" w:rsidR="00BD2D2B" w:rsidRPr="00FA0D37" w:rsidRDefault="00BD2D2B" w:rsidP="00FA0D37">
      <w:pPr>
        <w:pStyle w:val="PL"/>
      </w:pPr>
      <w:r w:rsidRPr="00FA0D37">
        <w:t>}</w:t>
      </w:r>
    </w:p>
    <w:p w14:paraId="023BFC5F" w14:textId="77777777" w:rsidR="00BD2D2B" w:rsidRPr="00FA0D37" w:rsidRDefault="00BD2D2B" w:rsidP="00FA0D37">
      <w:pPr>
        <w:pStyle w:val="PL"/>
      </w:pPr>
    </w:p>
    <w:p w14:paraId="37813F3F" w14:textId="77777777" w:rsidR="00BD2D2B" w:rsidRPr="00FA0D37" w:rsidRDefault="00BD2D2B" w:rsidP="00FA0D37">
      <w:pPr>
        <w:pStyle w:val="PL"/>
        <w:rPr>
          <w:color w:val="808080"/>
        </w:rPr>
      </w:pPr>
      <w:r w:rsidRPr="00FA0D37">
        <w:rPr>
          <w:color w:val="808080"/>
        </w:rPr>
        <w:t>-- TAG-UURELAYRLCCHANNELCONFIG-STOP</w:t>
      </w:r>
    </w:p>
    <w:p w14:paraId="591F9E49" w14:textId="5F5769C3" w:rsidR="00BD2D2B" w:rsidRPr="00FA0D37" w:rsidRDefault="00BD2D2B" w:rsidP="00FA0D37">
      <w:pPr>
        <w:pStyle w:val="PL"/>
        <w:rPr>
          <w:color w:val="808080"/>
        </w:rPr>
      </w:pPr>
      <w:r w:rsidRPr="00FA0D37">
        <w:rPr>
          <w:color w:val="808080"/>
        </w:rPr>
        <w:t>-- ASN1STOP</w:t>
      </w:r>
    </w:p>
    <w:p w14:paraId="3555C733" w14:textId="77777777" w:rsidR="00BD2D2B" w:rsidRPr="00FA0D37"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FA0D37" w:rsidRDefault="00BD2D2B" w:rsidP="000830BB">
            <w:pPr>
              <w:pStyle w:val="TAH"/>
              <w:rPr>
                <w:szCs w:val="22"/>
                <w:lang w:eastAsia="sv-SE"/>
              </w:rPr>
            </w:pPr>
            <w:r w:rsidRPr="00FA0D37">
              <w:rPr>
                <w:rFonts w:eastAsia="宋体"/>
                <w:i/>
                <w:iCs/>
                <w:lang w:eastAsia="sv-SE"/>
              </w:rPr>
              <w:t>Uu-RelayRLC-ChannelConfig</w:t>
            </w:r>
            <w:r w:rsidRPr="00FA0D37">
              <w:rPr>
                <w:rFonts w:eastAsia="宋体"/>
                <w:lang w:eastAsia="sv-SE"/>
              </w:rPr>
              <w:t xml:space="preserve"> </w:t>
            </w:r>
            <w:r w:rsidRPr="00FA0D37">
              <w:rPr>
                <w:szCs w:val="22"/>
                <w:lang w:eastAsia="sv-SE"/>
              </w:rPr>
              <w:t>field descriptions</w:t>
            </w:r>
          </w:p>
        </w:tc>
      </w:tr>
      <w:tr w:rsidR="005C7FF4" w:rsidRPr="00FA0D37"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FA0D37" w:rsidRDefault="00BD2D2B" w:rsidP="000830BB">
            <w:pPr>
              <w:pStyle w:val="TAL"/>
              <w:rPr>
                <w:b/>
                <w:bCs/>
                <w:i/>
                <w:iCs/>
                <w:lang w:eastAsia="sv-SE"/>
              </w:rPr>
            </w:pPr>
            <w:r w:rsidRPr="00FA0D37">
              <w:rPr>
                <w:b/>
                <w:bCs/>
                <w:i/>
                <w:iCs/>
                <w:lang w:eastAsia="sv-SE"/>
              </w:rPr>
              <w:t>uu-LogicalChannelIdentity</w:t>
            </w:r>
          </w:p>
          <w:p w14:paraId="37E2B925" w14:textId="77777777" w:rsidR="00BD2D2B" w:rsidRPr="00FA0D37" w:rsidRDefault="00BD2D2B" w:rsidP="000830BB">
            <w:pPr>
              <w:pStyle w:val="TAL"/>
              <w:rPr>
                <w:lang w:eastAsia="sv-SE"/>
              </w:rPr>
            </w:pPr>
            <w:r w:rsidRPr="00FA0D37">
              <w:rPr>
                <w:lang w:eastAsia="sv-SE"/>
              </w:rPr>
              <w:t xml:space="preserve">Indicates the </w:t>
            </w:r>
            <w:r w:rsidRPr="00FA0D37">
              <w:t>logical channel id for Uu Relay RLC channel of</w:t>
            </w:r>
            <w:r w:rsidRPr="00FA0D37">
              <w:rPr>
                <w:lang w:eastAsia="sv-SE"/>
              </w:rPr>
              <w:t xml:space="preserve"> the L2 U2N Relay UE.</w:t>
            </w:r>
          </w:p>
        </w:tc>
      </w:tr>
      <w:tr w:rsidR="005C7FF4" w:rsidRPr="00FA0D37"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FA0D37" w:rsidRDefault="00BD2D2B" w:rsidP="000830BB">
            <w:pPr>
              <w:pStyle w:val="TAL"/>
              <w:rPr>
                <w:b/>
                <w:bCs/>
                <w:i/>
                <w:iCs/>
                <w:lang w:eastAsia="sv-SE"/>
              </w:rPr>
            </w:pPr>
            <w:r w:rsidRPr="00FA0D37">
              <w:rPr>
                <w:b/>
                <w:bCs/>
                <w:i/>
                <w:iCs/>
                <w:lang w:eastAsia="sv-SE"/>
              </w:rPr>
              <w:t>uu-RelayRLC-ChannelID</w:t>
            </w:r>
          </w:p>
          <w:p w14:paraId="0EAE60B2" w14:textId="77777777" w:rsidR="00BD2D2B" w:rsidRPr="00FA0D37" w:rsidRDefault="00BD2D2B" w:rsidP="000830BB">
            <w:pPr>
              <w:pStyle w:val="TAL"/>
              <w:rPr>
                <w:lang w:eastAsia="sv-SE"/>
              </w:rPr>
            </w:pPr>
            <w:r w:rsidRPr="00FA0D37">
              <w:rPr>
                <w:lang w:eastAsia="sv-SE"/>
              </w:rPr>
              <w:t xml:space="preserve">Indicates the </w:t>
            </w:r>
            <w:r w:rsidRPr="00FA0D37">
              <w:rPr>
                <w:rFonts w:eastAsia="宋体"/>
                <w:lang w:eastAsia="zh-CN"/>
              </w:rPr>
              <w:t>Uu Relay RLC channel</w:t>
            </w:r>
            <w:r w:rsidRPr="00FA0D37">
              <w:rPr>
                <w:lang w:eastAsia="sv-SE"/>
              </w:rPr>
              <w:t xml:space="preserve"> in the link between L2 U2N Relay UE</w:t>
            </w:r>
            <w:r w:rsidRPr="00FA0D37">
              <w:rPr>
                <w:rFonts w:eastAsia="宋体"/>
                <w:lang w:eastAsia="sv-SE"/>
              </w:rPr>
              <w:t xml:space="preserve"> </w:t>
            </w:r>
            <w:r w:rsidRPr="00FA0D37">
              <w:rPr>
                <w:lang w:eastAsia="sv-SE"/>
              </w:rPr>
              <w:t>and network.</w:t>
            </w:r>
          </w:p>
        </w:tc>
      </w:tr>
      <w:tr w:rsidR="005C7FF4" w:rsidRPr="00FA0D37"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FA0D37" w:rsidRDefault="00BD2D2B" w:rsidP="000830BB">
            <w:pPr>
              <w:pStyle w:val="TAL"/>
              <w:rPr>
                <w:b/>
                <w:bCs/>
                <w:i/>
                <w:iCs/>
                <w:lang w:eastAsia="sv-SE"/>
              </w:rPr>
            </w:pPr>
            <w:r w:rsidRPr="00FA0D37">
              <w:rPr>
                <w:b/>
                <w:bCs/>
                <w:i/>
                <w:iCs/>
                <w:lang w:eastAsia="sv-SE"/>
              </w:rPr>
              <w:t>reestablishRLC</w:t>
            </w:r>
          </w:p>
          <w:p w14:paraId="7C94B061" w14:textId="77777777" w:rsidR="00BD2D2B" w:rsidRPr="00FA0D37" w:rsidRDefault="00BD2D2B" w:rsidP="000830BB">
            <w:pPr>
              <w:pStyle w:val="TAL"/>
              <w:rPr>
                <w:lang w:eastAsia="sv-SE"/>
              </w:rPr>
            </w:pPr>
            <w:r w:rsidRPr="00FA0D37">
              <w:rPr>
                <w:lang w:eastAsia="sv-SE"/>
              </w:rPr>
              <w:t>Indicates that RLC should be re-established.</w:t>
            </w:r>
          </w:p>
        </w:tc>
      </w:tr>
      <w:tr w:rsidR="00BD2D2B" w:rsidRPr="00FA0D37"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FA0D37" w:rsidRDefault="00BD2D2B" w:rsidP="000830BB">
            <w:pPr>
              <w:pStyle w:val="TAL"/>
              <w:rPr>
                <w:b/>
                <w:bCs/>
                <w:i/>
                <w:iCs/>
                <w:lang w:eastAsia="sv-SE"/>
              </w:rPr>
            </w:pPr>
            <w:r w:rsidRPr="00FA0D37">
              <w:rPr>
                <w:b/>
                <w:bCs/>
                <w:i/>
                <w:iCs/>
                <w:lang w:eastAsia="sv-SE"/>
              </w:rPr>
              <w:t>rlc-Config</w:t>
            </w:r>
          </w:p>
          <w:p w14:paraId="1E9BC6E0" w14:textId="77777777" w:rsidR="00BD2D2B" w:rsidRPr="00FA0D37" w:rsidRDefault="00BD2D2B" w:rsidP="000830BB">
            <w:pPr>
              <w:pStyle w:val="TAL"/>
              <w:rPr>
                <w:lang w:eastAsia="sv-SE"/>
              </w:rPr>
            </w:pPr>
            <w:r w:rsidRPr="00FA0D37">
              <w:rPr>
                <w:lang w:eastAsia="sv-SE"/>
              </w:rPr>
              <w:t>Determines the RLC mode (UM, AM) and provides corresponding parameters.</w:t>
            </w:r>
          </w:p>
        </w:tc>
      </w:tr>
    </w:tbl>
    <w:p w14:paraId="2102F3A8" w14:textId="77777777" w:rsidR="00BD2D2B" w:rsidRPr="00FA0D37" w:rsidRDefault="00BD2D2B" w:rsidP="00BD2D2B">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5C7FF4" w:rsidRPr="00FA0D37"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FA0D37" w:rsidRDefault="00BD2D2B" w:rsidP="000830BB">
            <w:pPr>
              <w:pStyle w:val="TAH"/>
              <w:rPr>
                <w:rFonts w:eastAsia="宋体"/>
                <w:lang w:eastAsia="sv-SE"/>
              </w:rPr>
            </w:pPr>
            <w:r w:rsidRPr="00FA0D37">
              <w:rPr>
                <w:rFonts w:eastAsia="宋体"/>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FA0D37" w:rsidRDefault="00BD2D2B" w:rsidP="000830BB">
            <w:pPr>
              <w:pStyle w:val="TAH"/>
              <w:rPr>
                <w:rFonts w:eastAsia="宋体"/>
                <w:lang w:eastAsia="sv-SE"/>
              </w:rPr>
            </w:pPr>
            <w:r w:rsidRPr="00FA0D37">
              <w:rPr>
                <w:rFonts w:eastAsia="宋体"/>
                <w:lang w:eastAsia="sv-SE"/>
              </w:rPr>
              <w:t>Explanation</w:t>
            </w:r>
          </w:p>
        </w:tc>
      </w:tr>
      <w:tr w:rsidR="005C7FF4" w:rsidRPr="00FA0D37"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FA0D37" w:rsidRDefault="009620A4" w:rsidP="000830BB">
            <w:pPr>
              <w:pStyle w:val="TAL"/>
              <w:rPr>
                <w:rFonts w:eastAsia="宋体"/>
                <w:i/>
                <w:iCs/>
                <w:lang w:eastAsia="sv-SE"/>
              </w:rPr>
            </w:pPr>
            <w:r w:rsidRPr="00FA0D37">
              <w:rPr>
                <w:rFonts w:eastAsia="宋体"/>
                <w:i/>
                <w:iCs/>
                <w:lang w:eastAsia="sv-SE"/>
              </w:rPr>
              <w:t>Relay</w:t>
            </w:r>
            <w:r w:rsidR="00BD2D2B" w:rsidRPr="00FA0D37">
              <w:rPr>
                <w:rFonts w:eastAsia="宋体"/>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FA0D37" w:rsidRDefault="00BD2D2B" w:rsidP="000830BB">
            <w:pPr>
              <w:pStyle w:val="TAL"/>
              <w:rPr>
                <w:rFonts w:eastAsia="宋体"/>
                <w:lang w:eastAsia="sv-SE"/>
              </w:rPr>
            </w:pPr>
            <w:r w:rsidRPr="00FA0D37">
              <w:rPr>
                <w:rFonts w:eastAsia="宋体"/>
                <w:lang w:eastAsia="sv-SE"/>
              </w:rPr>
              <w:t>This field is mandatory present upon creation of a new logical channel for a Uu Relay RLC channel. It is optionally present, Need M, otherwise.</w:t>
            </w:r>
          </w:p>
        </w:tc>
      </w:tr>
      <w:tr w:rsidR="00BD2D2B" w:rsidRPr="00FA0D37"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FA0D37" w:rsidRDefault="009620A4" w:rsidP="000830BB">
            <w:pPr>
              <w:pStyle w:val="TAL"/>
              <w:rPr>
                <w:rFonts w:eastAsia="宋体"/>
                <w:i/>
                <w:iCs/>
                <w:lang w:eastAsia="sv-SE"/>
              </w:rPr>
            </w:pPr>
            <w:r w:rsidRPr="00FA0D37">
              <w:rPr>
                <w:rFonts w:eastAsia="宋体"/>
                <w:i/>
                <w:iCs/>
                <w:lang w:eastAsia="sv-SE"/>
              </w:rPr>
              <w:t>Relay</w:t>
            </w:r>
            <w:r w:rsidR="00BD2D2B" w:rsidRPr="00FA0D3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FA0D37" w:rsidRDefault="00BD2D2B" w:rsidP="000830BB">
            <w:pPr>
              <w:pStyle w:val="TAL"/>
              <w:rPr>
                <w:rFonts w:eastAsia="宋体"/>
                <w:lang w:eastAsia="sv-SE"/>
              </w:rPr>
            </w:pPr>
            <w:r w:rsidRPr="00FA0D37">
              <w:rPr>
                <w:lang w:eastAsia="zh-CN"/>
              </w:rPr>
              <w:t xml:space="preserve">This field is mandatory present upon creation of a </w:t>
            </w:r>
            <w:r w:rsidRPr="00FA0D37">
              <w:rPr>
                <w:rFonts w:eastAsia="宋体"/>
                <w:lang w:eastAsia="sv-SE"/>
              </w:rPr>
              <w:t>new logical channel for a</w:t>
            </w:r>
            <w:r w:rsidRPr="00FA0D37">
              <w:rPr>
                <w:lang w:eastAsia="zh-CN"/>
              </w:rPr>
              <w:t xml:space="preserve"> Uu Relay RLC channel. It is absent otherwise.</w:t>
            </w:r>
          </w:p>
        </w:tc>
      </w:tr>
    </w:tbl>
    <w:p w14:paraId="7FD3878E" w14:textId="77777777" w:rsidR="00BD2D2B" w:rsidRPr="00FA0D37" w:rsidRDefault="00BD2D2B" w:rsidP="00BD2D2B">
      <w:pPr>
        <w:rPr>
          <w:rFonts w:eastAsia="宋体"/>
        </w:rPr>
      </w:pPr>
    </w:p>
    <w:p w14:paraId="710449A5" w14:textId="633BCCB2" w:rsidR="00BD2D2B" w:rsidRPr="00FA0D37" w:rsidRDefault="00BD2D2B" w:rsidP="000830BB">
      <w:pPr>
        <w:pStyle w:val="4"/>
        <w:rPr>
          <w:rFonts w:eastAsia="宋体"/>
        </w:rPr>
      </w:pPr>
      <w:bookmarkStart w:id="1494" w:name="_Toc146781520"/>
      <w:r w:rsidRPr="00FA0D37">
        <w:rPr>
          <w:rFonts w:eastAsia="宋体"/>
        </w:rPr>
        <w:t>–</w:t>
      </w:r>
      <w:r w:rsidRPr="00FA0D37">
        <w:rPr>
          <w:rFonts w:eastAsia="宋体"/>
        </w:rPr>
        <w:tab/>
      </w:r>
      <w:r w:rsidRPr="00FA0D37">
        <w:rPr>
          <w:rFonts w:eastAsia="宋体"/>
          <w:i/>
          <w:iCs/>
        </w:rPr>
        <w:t>Uu-RelayRLC-ChannelID</w:t>
      </w:r>
      <w:bookmarkEnd w:id="1494"/>
    </w:p>
    <w:p w14:paraId="4C8A30E8" w14:textId="0828B29E" w:rsidR="00BD2D2B" w:rsidRPr="00FA0D37" w:rsidRDefault="00BD2D2B" w:rsidP="00BD2D2B">
      <w:pPr>
        <w:rPr>
          <w:rFonts w:eastAsia="宋体"/>
        </w:rPr>
      </w:pPr>
      <w:r w:rsidRPr="00FA0D37">
        <w:rPr>
          <w:rFonts w:eastAsia="宋体"/>
        </w:rPr>
        <w:t xml:space="preserve">The IE </w:t>
      </w:r>
      <w:r w:rsidRPr="00FA0D37">
        <w:rPr>
          <w:rFonts w:eastAsia="宋体"/>
          <w:i/>
        </w:rPr>
        <w:t xml:space="preserve">Uu-RelayRLC-ChannelID </w:t>
      </w:r>
      <w:r w:rsidRPr="00FA0D37">
        <w:rPr>
          <w:rFonts w:eastAsia="宋体"/>
        </w:rPr>
        <w:t xml:space="preserve">is used to identify </w:t>
      </w:r>
      <w:r w:rsidRPr="00FA0D37">
        <w:t>a Uu Relay RLC channel in the link between L2 U2N Relay UE</w:t>
      </w:r>
      <w:r w:rsidRPr="00FA0D37">
        <w:rPr>
          <w:rFonts w:eastAsia="宋体"/>
        </w:rPr>
        <w:t xml:space="preserve"> </w:t>
      </w:r>
      <w:r w:rsidRPr="00FA0D37">
        <w:t>and network.</w:t>
      </w:r>
    </w:p>
    <w:p w14:paraId="6C8318C2" w14:textId="1C5904BC" w:rsidR="00BD2D2B" w:rsidRPr="00FA0D37" w:rsidRDefault="00BD2D2B" w:rsidP="000830BB">
      <w:pPr>
        <w:pStyle w:val="TH"/>
        <w:rPr>
          <w:rFonts w:eastAsia="宋体"/>
        </w:rPr>
      </w:pPr>
      <w:r w:rsidRPr="00FA0D37">
        <w:rPr>
          <w:i/>
          <w:iCs/>
        </w:rPr>
        <w:t>Uu-RelayRLC-ChannelID</w:t>
      </w:r>
      <w:r w:rsidRPr="00FA0D37">
        <w:rPr>
          <w:rFonts w:eastAsia="宋体"/>
        </w:rPr>
        <w:t xml:space="preserve"> information element</w:t>
      </w:r>
    </w:p>
    <w:p w14:paraId="36C5777C" w14:textId="77777777" w:rsidR="00BD2D2B" w:rsidRPr="00FA0D37" w:rsidRDefault="00BD2D2B" w:rsidP="00FA0D37">
      <w:pPr>
        <w:pStyle w:val="PL"/>
        <w:rPr>
          <w:color w:val="808080"/>
        </w:rPr>
      </w:pPr>
      <w:r w:rsidRPr="00FA0D37">
        <w:rPr>
          <w:color w:val="808080"/>
        </w:rPr>
        <w:t>-- ASN1START</w:t>
      </w:r>
    </w:p>
    <w:p w14:paraId="1E2A60F4" w14:textId="77777777" w:rsidR="00BD2D2B" w:rsidRPr="00FA0D37" w:rsidRDefault="00BD2D2B" w:rsidP="00FA0D37">
      <w:pPr>
        <w:pStyle w:val="PL"/>
        <w:rPr>
          <w:color w:val="808080"/>
        </w:rPr>
      </w:pPr>
      <w:r w:rsidRPr="00FA0D37">
        <w:rPr>
          <w:color w:val="808080"/>
        </w:rPr>
        <w:t>-- TAG-UURELAYRLCCHANNELID-START</w:t>
      </w:r>
    </w:p>
    <w:p w14:paraId="5AD6259D" w14:textId="77777777" w:rsidR="00BD2D2B" w:rsidRPr="00FA0D37" w:rsidRDefault="00BD2D2B" w:rsidP="00FA0D37">
      <w:pPr>
        <w:pStyle w:val="PL"/>
      </w:pPr>
    </w:p>
    <w:p w14:paraId="646DE1FB" w14:textId="0A97AE9E" w:rsidR="00BD2D2B" w:rsidRPr="00FA0D37" w:rsidRDefault="00BD2D2B" w:rsidP="00FA0D37">
      <w:pPr>
        <w:pStyle w:val="PL"/>
      </w:pPr>
      <w:r w:rsidRPr="00FA0D37">
        <w:t xml:space="preserve">Uu-RelayRLC-ChannelID-r17 ::= </w:t>
      </w:r>
      <w:r w:rsidR="009620A4" w:rsidRPr="00FA0D37">
        <w:rPr>
          <w:color w:val="993366"/>
        </w:rPr>
        <w:t>INTEGER</w:t>
      </w:r>
      <w:r w:rsidR="009620A4" w:rsidRPr="00FA0D37">
        <w:t xml:space="preserve"> (1..maxLC-ID)</w:t>
      </w:r>
    </w:p>
    <w:p w14:paraId="6683543D" w14:textId="77777777" w:rsidR="00BD2D2B" w:rsidRPr="00FA0D37" w:rsidRDefault="00BD2D2B" w:rsidP="00FA0D37">
      <w:pPr>
        <w:pStyle w:val="PL"/>
      </w:pPr>
    </w:p>
    <w:p w14:paraId="53791BEC" w14:textId="77777777" w:rsidR="00BD2D2B" w:rsidRPr="00FA0D37" w:rsidRDefault="00BD2D2B" w:rsidP="00FA0D37">
      <w:pPr>
        <w:pStyle w:val="PL"/>
        <w:rPr>
          <w:color w:val="808080"/>
        </w:rPr>
      </w:pPr>
      <w:r w:rsidRPr="00FA0D37">
        <w:rPr>
          <w:color w:val="808080"/>
        </w:rPr>
        <w:t>-- TAG-UURELAYRLCCHANNELID-STOP</w:t>
      </w:r>
    </w:p>
    <w:p w14:paraId="360C67E1" w14:textId="19EA7AE3" w:rsidR="00BD2D2B" w:rsidRPr="00FA0D37" w:rsidRDefault="00BD2D2B" w:rsidP="00FA0D37">
      <w:pPr>
        <w:pStyle w:val="PL"/>
        <w:rPr>
          <w:color w:val="808080"/>
        </w:rPr>
      </w:pPr>
      <w:r w:rsidRPr="00FA0D37">
        <w:rPr>
          <w:color w:val="808080"/>
        </w:rPr>
        <w:t>-- ASN1STOP</w:t>
      </w:r>
    </w:p>
    <w:p w14:paraId="066C35CA" w14:textId="77777777" w:rsidR="00BD2D2B" w:rsidRPr="00FA0D37" w:rsidRDefault="00BD2D2B" w:rsidP="00394471"/>
    <w:p w14:paraId="625A097E" w14:textId="77777777" w:rsidR="00394471" w:rsidRPr="00FA0D37" w:rsidRDefault="00394471" w:rsidP="00394471">
      <w:pPr>
        <w:pStyle w:val="4"/>
        <w:rPr>
          <w:rFonts w:eastAsia="宋体"/>
        </w:rPr>
      </w:pPr>
      <w:bookmarkStart w:id="1495" w:name="_Toc60777424"/>
      <w:bookmarkStart w:id="1496" w:name="_Toc146781521"/>
      <w:r w:rsidRPr="00FA0D37">
        <w:rPr>
          <w:rFonts w:eastAsia="宋体"/>
        </w:rPr>
        <w:t>–</w:t>
      </w:r>
      <w:r w:rsidRPr="00FA0D37">
        <w:rPr>
          <w:rFonts w:eastAsia="宋体"/>
        </w:rPr>
        <w:tab/>
      </w:r>
      <w:r w:rsidRPr="00FA0D37">
        <w:rPr>
          <w:rFonts w:eastAsia="宋体"/>
          <w:i/>
        </w:rPr>
        <w:t>UplinkTxDirectCurrentList</w:t>
      </w:r>
      <w:bookmarkEnd w:id="1495"/>
      <w:bookmarkEnd w:id="1496"/>
    </w:p>
    <w:p w14:paraId="332B1777" w14:textId="77777777" w:rsidR="00394471" w:rsidRPr="00FA0D37" w:rsidRDefault="00394471" w:rsidP="00394471">
      <w:pPr>
        <w:rPr>
          <w:rFonts w:eastAsia="宋体"/>
        </w:rPr>
      </w:pPr>
      <w:r w:rsidRPr="00FA0D37">
        <w:rPr>
          <w:rFonts w:eastAsia="宋体"/>
        </w:rPr>
        <w:t xml:space="preserve">The IE </w:t>
      </w:r>
      <w:r w:rsidRPr="00FA0D37">
        <w:rPr>
          <w:rFonts w:eastAsia="宋体"/>
          <w:i/>
        </w:rPr>
        <w:t>UplinkTxDirectCurrentList</w:t>
      </w:r>
      <w:r w:rsidRPr="00FA0D37">
        <w:rPr>
          <w:rFonts w:eastAsia="宋体"/>
        </w:rPr>
        <w:t xml:space="preserve"> indicates the Tx Direct Current locations per serving cell for each configured UL BWP in the serving cell, based on the BWP numerology and the associated carrier bandwidth.</w:t>
      </w:r>
    </w:p>
    <w:p w14:paraId="17301144" w14:textId="77777777" w:rsidR="00394471" w:rsidRPr="00FA0D37" w:rsidRDefault="00394471" w:rsidP="00394471">
      <w:pPr>
        <w:pStyle w:val="TH"/>
        <w:rPr>
          <w:rFonts w:eastAsia="宋体"/>
        </w:rPr>
      </w:pPr>
      <w:r w:rsidRPr="00FA0D37">
        <w:rPr>
          <w:rFonts w:eastAsia="宋体"/>
          <w:i/>
        </w:rPr>
        <w:t>UplinkTxDirectCurrentList</w:t>
      </w:r>
      <w:r w:rsidRPr="00FA0D37">
        <w:rPr>
          <w:rFonts w:eastAsia="宋体"/>
        </w:rPr>
        <w:t xml:space="preserve"> information element</w:t>
      </w:r>
    </w:p>
    <w:p w14:paraId="2A1319CC" w14:textId="77777777" w:rsidR="00394471" w:rsidRPr="00FA0D37" w:rsidRDefault="00394471" w:rsidP="00FA0D37">
      <w:pPr>
        <w:pStyle w:val="PL"/>
        <w:rPr>
          <w:color w:val="808080"/>
        </w:rPr>
      </w:pPr>
      <w:r w:rsidRPr="00FA0D37">
        <w:rPr>
          <w:color w:val="808080"/>
        </w:rPr>
        <w:t>-- ASN1START</w:t>
      </w:r>
    </w:p>
    <w:p w14:paraId="39D17483" w14:textId="77777777" w:rsidR="00394471" w:rsidRPr="00FA0D37" w:rsidRDefault="00394471" w:rsidP="00FA0D37">
      <w:pPr>
        <w:pStyle w:val="PL"/>
        <w:rPr>
          <w:color w:val="808080"/>
        </w:rPr>
      </w:pPr>
      <w:r w:rsidRPr="00FA0D37">
        <w:rPr>
          <w:color w:val="808080"/>
        </w:rPr>
        <w:t>-- TAG-UPLINKTXDIRECTCURRENTLIST-START</w:t>
      </w:r>
    </w:p>
    <w:p w14:paraId="336F916B" w14:textId="77777777" w:rsidR="00394471" w:rsidRPr="00FA0D37" w:rsidRDefault="00394471" w:rsidP="00FA0D37">
      <w:pPr>
        <w:pStyle w:val="PL"/>
      </w:pPr>
    </w:p>
    <w:p w14:paraId="5A2A88D1" w14:textId="77777777" w:rsidR="00394471" w:rsidRPr="00FA0D37" w:rsidRDefault="00394471" w:rsidP="00FA0D37">
      <w:pPr>
        <w:pStyle w:val="PL"/>
      </w:pPr>
      <w:r w:rsidRPr="00FA0D37">
        <w:t xml:space="preserve">UplinkTxDirectCurrentList ::=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UplinkTxDirectCurrentCell</w:t>
      </w:r>
    </w:p>
    <w:p w14:paraId="2CCF96B0" w14:textId="77777777" w:rsidR="00394471" w:rsidRPr="00FA0D37" w:rsidRDefault="00394471" w:rsidP="00FA0D37">
      <w:pPr>
        <w:pStyle w:val="PL"/>
      </w:pPr>
    </w:p>
    <w:p w14:paraId="32D4B2D5" w14:textId="77777777" w:rsidR="00394471" w:rsidRPr="00FA0D37" w:rsidRDefault="00394471" w:rsidP="00FA0D37">
      <w:pPr>
        <w:pStyle w:val="PL"/>
      </w:pPr>
      <w:r w:rsidRPr="00FA0D37">
        <w:t xml:space="preserve">UplinkTxDirectCurrentCell ::=           </w:t>
      </w:r>
      <w:r w:rsidRPr="00FA0D37">
        <w:rPr>
          <w:color w:val="993366"/>
        </w:rPr>
        <w:t>SEQUENCE</w:t>
      </w:r>
      <w:r w:rsidRPr="00FA0D37">
        <w:t xml:space="preserve"> {</w:t>
      </w:r>
    </w:p>
    <w:p w14:paraId="24DD6781" w14:textId="77777777" w:rsidR="00394471" w:rsidRPr="00FA0D37" w:rsidRDefault="00394471" w:rsidP="00FA0D37">
      <w:pPr>
        <w:pStyle w:val="PL"/>
      </w:pPr>
      <w:r w:rsidRPr="00FA0D37">
        <w:t xml:space="preserve">    servCellIndex                           ServCellIndex,</w:t>
      </w:r>
    </w:p>
    <w:p w14:paraId="5CD87656" w14:textId="77777777" w:rsidR="00394471" w:rsidRPr="00FA0D37" w:rsidRDefault="00394471" w:rsidP="00FA0D37">
      <w:pPr>
        <w:pStyle w:val="PL"/>
      </w:pPr>
      <w:r w:rsidRPr="00FA0D37">
        <w:t xml:space="preserve">    uplinkDirectCurrentBWP                  </w:t>
      </w:r>
      <w:r w:rsidRPr="00FA0D37">
        <w:rPr>
          <w:color w:val="993366"/>
        </w:rPr>
        <w:t>SEQUENCE</w:t>
      </w:r>
      <w:r w:rsidRPr="00FA0D37">
        <w:t xml:space="preserve"> (</w:t>
      </w:r>
      <w:r w:rsidRPr="00FA0D37">
        <w:rPr>
          <w:color w:val="993366"/>
        </w:rPr>
        <w:t>SIZE</w:t>
      </w:r>
      <w:r w:rsidRPr="00FA0D37">
        <w:t xml:space="preserve"> (1..maxNrofBWPs))</w:t>
      </w:r>
      <w:r w:rsidRPr="00FA0D37">
        <w:rPr>
          <w:color w:val="993366"/>
        </w:rPr>
        <w:t xml:space="preserve"> OF</w:t>
      </w:r>
      <w:r w:rsidRPr="00FA0D37">
        <w:t xml:space="preserve"> UplinkTxDirectCurrentBWP,</w:t>
      </w:r>
    </w:p>
    <w:p w14:paraId="77409D1A" w14:textId="77777777" w:rsidR="00394471" w:rsidRPr="00FA0D37" w:rsidRDefault="00394471" w:rsidP="00FA0D37">
      <w:pPr>
        <w:pStyle w:val="PL"/>
      </w:pPr>
      <w:r w:rsidRPr="00FA0D37">
        <w:t xml:space="preserve">    ...,</w:t>
      </w:r>
    </w:p>
    <w:p w14:paraId="04D7E2D0" w14:textId="77777777" w:rsidR="00394471" w:rsidRPr="00FA0D37" w:rsidRDefault="00394471" w:rsidP="00FA0D37">
      <w:pPr>
        <w:pStyle w:val="PL"/>
      </w:pPr>
      <w:r w:rsidRPr="00FA0D37">
        <w:t xml:space="preserve">    [[</w:t>
      </w:r>
    </w:p>
    <w:p w14:paraId="6924FC7C" w14:textId="77777777" w:rsidR="00394471" w:rsidRPr="00FA0D37" w:rsidRDefault="00394471" w:rsidP="00FA0D37">
      <w:pPr>
        <w:pStyle w:val="PL"/>
      </w:pPr>
      <w:r w:rsidRPr="00FA0D37">
        <w:t xml:space="preserve">    uplinkDirectCurrentBWP-SUL              </w:t>
      </w:r>
      <w:r w:rsidRPr="00FA0D37">
        <w:rPr>
          <w:color w:val="993366"/>
        </w:rPr>
        <w:t>SEQUENCE</w:t>
      </w:r>
      <w:r w:rsidRPr="00FA0D37">
        <w:t xml:space="preserve"> (</w:t>
      </w:r>
      <w:r w:rsidRPr="00FA0D37">
        <w:rPr>
          <w:color w:val="993366"/>
        </w:rPr>
        <w:t>SIZE</w:t>
      </w:r>
      <w:r w:rsidRPr="00FA0D37">
        <w:t xml:space="preserve"> (1..maxNrofBWPs))</w:t>
      </w:r>
      <w:r w:rsidRPr="00FA0D37">
        <w:rPr>
          <w:color w:val="993366"/>
        </w:rPr>
        <w:t xml:space="preserve"> OF</w:t>
      </w:r>
      <w:r w:rsidRPr="00FA0D37">
        <w:t xml:space="preserve"> UplinkTxDirectCurrentBWP               </w:t>
      </w:r>
      <w:r w:rsidRPr="00FA0D37">
        <w:rPr>
          <w:color w:val="993366"/>
        </w:rPr>
        <w:t>OPTIONAL</w:t>
      </w:r>
    </w:p>
    <w:p w14:paraId="4AF7005B" w14:textId="77777777" w:rsidR="00394471" w:rsidRPr="00FA0D37" w:rsidRDefault="00394471" w:rsidP="00FA0D37">
      <w:pPr>
        <w:pStyle w:val="PL"/>
      </w:pPr>
      <w:r w:rsidRPr="00FA0D37">
        <w:t xml:space="preserve">    ]]</w:t>
      </w:r>
    </w:p>
    <w:p w14:paraId="00D57EB3" w14:textId="77777777" w:rsidR="00394471" w:rsidRPr="00FA0D37" w:rsidRDefault="00394471" w:rsidP="00FA0D37">
      <w:pPr>
        <w:pStyle w:val="PL"/>
      </w:pPr>
      <w:r w:rsidRPr="00FA0D37">
        <w:t>}</w:t>
      </w:r>
    </w:p>
    <w:p w14:paraId="196A5220" w14:textId="77777777" w:rsidR="00394471" w:rsidRPr="00FA0D37" w:rsidRDefault="00394471" w:rsidP="00FA0D37">
      <w:pPr>
        <w:pStyle w:val="PL"/>
      </w:pPr>
    </w:p>
    <w:p w14:paraId="1EDD58D7" w14:textId="77777777" w:rsidR="00394471" w:rsidRPr="00FA0D37" w:rsidRDefault="00394471" w:rsidP="00FA0D37">
      <w:pPr>
        <w:pStyle w:val="PL"/>
      </w:pPr>
      <w:r w:rsidRPr="00FA0D37">
        <w:t xml:space="preserve">UplinkTxDirectCurrentBWP ::=            </w:t>
      </w:r>
      <w:r w:rsidRPr="00FA0D37">
        <w:rPr>
          <w:color w:val="993366"/>
        </w:rPr>
        <w:t>SEQUENCE</w:t>
      </w:r>
      <w:r w:rsidRPr="00FA0D37">
        <w:t xml:space="preserve"> {</w:t>
      </w:r>
    </w:p>
    <w:p w14:paraId="2CA5EC76" w14:textId="77777777" w:rsidR="00394471" w:rsidRPr="00FA0D37" w:rsidRDefault="00394471" w:rsidP="00FA0D37">
      <w:pPr>
        <w:pStyle w:val="PL"/>
      </w:pPr>
      <w:r w:rsidRPr="00FA0D37">
        <w:t xml:space="preserve">    bwp-Id                                  BWP-Id,</w:t>
      </w:r>
    </w:p>
    <w:p w14:paraId="746D3D79" w14:textId="77777777" w:rsidR="00394471" w:rsidRPr="00FA0D37" w:rsidRDefault="00394471" w:rsidP="00FA0D37">
      <w:pPr>
        <w:pStyle w:val="PL"/>
      </w:pPr>
      <w:r w:rsidRPr="00FA0D37">
        <w:t xml:space="preserve">    shift7dot5kHz                           </w:t>
      </w:r>
      <w:r w:rsidRPr="00FA0D37">
        <w:rPr>
          <w:color w:val="993366"/>
        </w:rPr>
        <w:t>BOOLEAN</w:t>
      </w:r>
      <w:r w:rsidRPr="00FA0D37">
        <w:t>,</w:t>
      </w:r>
    </w:p>
    <w:p w14:paraId="1DDC41E8" w14:textId="77777777" w:rsidR="00394471" w:rsidRPr="00FA0D37" w:rsidRDefault="00394471" w:rsidP="00FA0D37">
      <w:pPr>
        <w:pStyle w:val="PL"/>
      </w:pPr>
      <w:r w:rsidRPr="00FA0D37">
        <w:t xml:space="preserve">    txDirectCurrentLocation                 </w:t>
      </w:r>
      <w:r w:rsidRPr="00FA0D37">
        <w:rPr>
          <w:color w:val="993366"/>
        </w:rPr>
        <w:t>INTEGER</w:t>
      </w:r>
      <w:r w:rsidRPr="00FA0D37">
        <w:t xml:space="preserve"> (0..3301)</w:t>
      </w:r>
    </w:p>
    <w:p w14:paraId="25D93594" w14:textId="77777777" w:rsidR="00394471" w:rsidRPr="00FA0D37" w:rsidRDefault="00394471" w:rsidP="00FA0D37">
      <w:pPr>
        <w:pStyle w:val="PL"/>
      </w:pPr>
      <w:r w:rsidRPr="00FA0D37">
        <w:t>}</w:t>
      </w:r>
    </w:p>
    <w:p w14:paraId="18E92F82" w14:textId="77777777" w:rsidR="00394471" w:rsidRPr="00FA0D37" w:rsidRDefault="00394471" w:rsidP="00FA0D37">
      <w:pPr>
        <w:pStyle w:val="PL"/>
      </w:pPr>
    </w:p>
    <w:p w14:paraId="44D03F4E" w14:textId="77777777" w:rsidR="00394471" w:rsidRPr="00FA0D37" w:rsidRDefault="00394471" w:rsidP="00FA0D37">
      <w:pPr>
        <w:pStyle w:val="PL"/>
        <w:rPr>
          <w:color w:val="808080"/>
        </w:rPr>
      </w:pPr>
      <w:r w:rsidRPr="00FA0D37">
        <w:rPr>
          <w:color w:val="808080"/>
        </w:rPr>
        <w:t>-- TAG-UPLINKTXDIRECTCURRENTLIST-STOP</w:t>
      </w:r>
    </w:p>
    <w:p w14:paraId="04196C34" w14:textId="77777777" w:rsidR="00394471" w:rsidRPr="00FA0D37" w:rsidRDefault="00394471" w:rsidP="00FA0D37">
      <w:pPr>
        <w:pStyle w:val="PL"/>
        <w:rPr>
          <w:color w:val="808080"/>
        </w:rPr>
      </w:pPr>
      <w:r w:rsidRPr="00FA0D37">
        <w:rPr>
          <w:color w:val="808080"/>
        </w:rPr>
        <w:t>-- ASN1STOP</w:t>
      </w:r>
    </w:p>
    <w:p w14:paraId="5E58CAB3"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FA0D37" w:rsidRDefault="00394471" w:rsidP="00964CC4">
            <w:pPr>
              <w:pStyle w:val="TAH"/>
              <w:rPr>
                <w:rFonts w:eastAsia="宋体"/>
                <w:szCs w:val="22"/>
                <w:lang w:eastAsia="sv-SE"/>
              </w:rPr>
            </w:pPr>
            <w:r w:rsidRPr="00FA0D37">
              <w:rPr>
                <w:rFonts w:eastAsia="宋体"/>
                <w:i/>
                <w:szCs w:val="22"/>
                <w:lang w:eastAsia="sv-SE"/>
              </w:rPr>
              <w:t xml:space="preserve">UplinkTxDirectCurrentBWP </w:t>
            </w:r>
            <w:r w:rsidRPr="00FA0D37">
              <w:rPr>
                <w:rFonts w:eastAsia="宋体"/>
                <w:szCs w:val="22"/>
                <w:lang w:eastAsia="sv-SE"/>
              </w:rPr>
              <w:t>field descriptions</w:t>
            </w:r>
          </w:p>
        </w:tc>
      </w:tr>
      <w:tr w:rsidR="005C7FF4" w:rsidRPr="00FA0D37"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FA0D37" w:rsidRDefault="00394471" w:rsidP="00964CC4">
            <w:pPr>
              <w:pStyle w:val="TAL"/>
              <w:rPr>
                <w:rFonts w:eastAsia="宋体"/>
                <w:szCs w:val="22"/>
                <w:lang w:eastAsia="sv-SE"/>
              </w:rPr>
            </w:pPr>
            <w:r w:rsidRPr="00FA0D37">
              <w:rPr>
                <w:rFonts w:eastAsia="宋体"/>
                <w:b/>
                <w:i/>
                <w:szCs w:val="22"/>
                <w:lang w:eastAsia="sv-SE"/>
              </w:rPr>
              <w:t>bwp-Id</w:t>
            </w:r>
          </w:p>
          <w:p w14:paraId="4977ADE1" w14:textId="77777777" w:rsidR="00394471" w:rsidRPr="00FA0D37" w:rsidRDefault="00394471" w:rsidP="00964CC4">
            <w:pPr>
              <w:pStyle w:val="TAL"/>
              <w:rPr>
                <w:rFonts w:eastAsia="宋体"/>
                <w:szCs w:val="22"/>
                <w:lang w:eastAsia="sv-SE"/>
              </w:rPr>
            </w:pPr>
            <w:r w:rsidRPr="00FA0D37">
              <w:rPr>
                <w:rFonts w:eastAsia="宋体"/>
                <w:szCs w:val="22"/>
                <w:lang w:eastAsia="sv-SE"/>
              </w:rPr>
              <w:t>The BWP-Id of the corresponding uplink BWP.</w:t>
            </w:r>
          </w:p>
        </w:tc>
      </w:tr>
      <w:tr w:rsidR="005C7FF4" w:rsidRPr="00FA0D37"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FA0D37" w:rsidRDefault="00394471" w:rsidP="00964CC4">
            <w:pPr>
              <w:pStyle w:val="TAL"/>
              <w:rPr>
                <w:rFonts w:eastAsia="宋体"/>
                <w:szCs w:val="22"/>
                <w:lang w:eastAsia="sv-SE"/>
              </w:rPr>
            </w:pPr>
            <w:r w:rsidRPr="00FA0D37">
              <w:rPr>
                <w:rFonts w:eastAsia="宋体"/>
                <w:b/>
                <w:i/>
                <w:szCs w:val="22"/>
                <w:lang w:eastAsia="sv-SE"/>
              </w:rPr>
              <w:t>shift7dot5kHz</w:t>
            </w:r>
          </w:p>
          <w:p w14:paraId="2113BA5B" w14:textId="77777777" w:rsidR="00394471" w:rsidRPr="00FA0D37" w:rsidRDefault="00394471" w:rsidP="00964CC4">
            <w:pPr>
              <w:pStyle w:val="TAL"/>
              <w:rPr>
                <w:rFonts w:eastAsia="宋体"/>
                <w:szCs w:val="22"/>
                <w:lang w:eastAsia="sv-SE"/>
              </w:rPr>
            </w:pPr>
            <w:r w:rsidRPr="00FA0D37">
              <w:rPr>
                <w:rFonts w:eastAsia="宋体"/>
                <w:szCs w:val="22"/>
                <w:lang w:eastAsia="sv-SE"/>
              </w:rPr>
              <w:t xml:space="preserve">Indicates whether there is 7.5 kHz shift or not. 7.5 kHz shift is applied if the field is set to </w:t>
            </w:r>
            <w:r w:rsidRPr="00FA0D37">
              <w:rPr>
                <w:i/>
                <w:iCs/>
                <w:lang w:eastAsia="en-GB"/>
              </w:rPr>
              <w:t>true</w:t>
            </w:r>
            <w:r w:rsidRPr="00FA0D37">
              <w:rPr>
                <w:rFonts w:eastAsia="宋体"/>
                <w:szCs w:val="22"/>
                <w:lang w:eastAsia="sv-SE"/>
              </w:rPr>
              <w:t>. Otherwise 7.5 kHz shift is not applied.</w:t>
            </w:r>
          </w:p>
        </w:tc>
      </w:tr>
      <w:tr w:rsidR="00394471" w:rsidRPr="00FA0D37"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FA0D37" w:rsidRDefault="00394471" w:rsidP="00964CC4">
            <w:pPr>
              <w:pStyle w:val="TAL"/>
              <w:rPr>
                <w:rFonts w:eastAsia="宋体"/>
                <w:szCs w:val="22"/>
                <w:lang w:eastAsia="sv-SE"/>
              </w:rPr>
            </w:pPr>
            <w:r w:rsidRPr="00FA0D37">
              <w:rPr>
                <w:rFonts w:eastAsia="宋体"/>
                <w:b/>
                <w:i/>
                <w:szCs w:val="22"/>
                <w:lang w:eastAsia="sv-SE"/>
              </w:rPr>
              <w:t>txDirectCurrentLocation</w:t>
            </w:r>
          </w:p>
          <w:p w14:paraId="0378C0BC" w14:textId="77777777" w:rsidR="00394471" w:rsidRPr="00FA0D37" w:rsidRDefault="00394471" w:rsidP="00964CC4">
            <w:pPr>
              <w:pStyle w:val="TAL"/>
              <w:rPr>
                <w:rFonts w:eastAsia="宋体"/>
                <w:szCs w:val="22"/>
                <w:lang w:eastAsia="sv-SE"/>
              </w:rPr>
            </w:pPr>
            <w:r w:rsidRPr="00FA0D37">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FA0D37" w:rsidRDefault="00394471" w:rsidP="00394471">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FA0D37" w:rsidRDefault="00394471" w:rsidP="00964CC4">
            <w:pPr>
              <w:pStyle w:val="TAH"/>
              <w:rPr>
                <w:rFonts w:eastAsia="宋体"/>
                <w:szCs w:val="22"/>
                <w:lang w:eastAsia="sv-SE"/>
              </w:rPr>
            </w:pPr>
            <w:r w:rsidRPr="00FA0D37">
              <w:rPr>
                <w:rFonts w:eastAsia="宋体"/>
                <w:i/>
                <w:szCs w:val="22"/>
                <w:lang w:eastAsia="sv-SE"/>
              </w:rPr>
              <w:t xml:space="preserve">UplinkTxDirectCurrentCell </w:t>
            </w:r>
            <w:r w:rsidRPr="00FA0D37">
              <w:rPr>
                <w:rFonts w:eastAsia="宋体"/>
                <w:szCs w:val="22"/>
                <w:lang w:eastAsia="sv-SE"/>
              </w:rPr>
              <w:t>field descriptions</w:t>
            </w:r>
          </w:p>
        </w:tc>
      </w:tr>
      <w:tr w:rsidR="005C7FF4" w:rsidRPr="00FA0D37"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FA0D37" w:rsidRDefault="00394471" w:rsidP="00964CC4">
            <w:pPr>
              <w:pStyle w:val="TAL"/>
              <w:rPr>
                <w:rFonts w:eastAsia="宋体"/>
                <w:szCs w:val="22"/>
                <w:lang w:eastAsia="sv-SE"/>
              </w:rPr>
            </w:pPr>
            <w:r w:rsidRPr="00FA0D37">
              <w:rPr>
                <w:rFonts w:eastAsia="宋体"/>
                <w:b/>
                <w:i/>
                <w:szCs w:val="22"/>
                <w:lang w:eastAsia="sv-SE"/>
              </w:rPr>
              <w:t>servCellIndex</w:t>
            </w:r>
          </w:p>
          <w:p w14:paraId="3C5478E5" w14:textId="77777777" w:rsidR="00394471" w:rsidRPr="00FA0D37" w:rsidRDefault="00394471" w:rsidP="00964CC4">
            <w:pPr>
              <w:pStyle w:val="TAL"/>
              <w:rPr>
                <w:rFonts w:eastAsia="宋体"/>
                <w:szCs w:val="22"/>
                <w:lang w:eastAsia="sv-SE"/>
              </w:rPr>
            </w:pPr>
            <w:r w:rsidRPr="00FA0D37">
              <w:rPr>
                <w:rFonts w:eastAsia="宋体"/>
                <w:szCs w:val="22"/>
                <w:lang w:eastAsia="sv-SE"/>
              </w:rPr>
              <w:t xml:space="preserve">The serving cell ID of the serving cell corresponding to the </w:t>
            </w:r>
            <w:r w:rsidRPr="00FA0D37">
              <w:rPr>
                <w:rFonts w:eastAsia="宋体"/>
                <w:i/>
                <w:lang w:eastAsia="sv-SE"/>
              </w:rPr>
              <w:t>uplinkDirectCurrentBWP</w:t>
            </w:r>
            <w:r w:rsidRPr="00FA0D37">
              <w:rPr>
                <w:rFonts w:eastAsia="宋体"/>
                <w:szCs w:val="22"/>
                <w:lang w:eastAsia="sv-SE"/>
              </w:rPr>
              <w:t>.</w:t>
            </w:r>
          </w:p>
        </w:tc>
      </w:tr>
      <w:tr w:rsidR="005C7FF4" w:rsidRPr="00FA0D37"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FA0D37" w:rsidRDefault="00394471" w:rsidP="00964CC4">
            <w:pPr>
              <w:pStyle w:val="TAL"/>
              <w:rPr>
                <w:rFonts w:eastAsia="宋体"/>
                <w:szCs w:val="22"/>
                <w:lang w:eastAsia="sv-SE"/>
              </w:rPr>
            </w:pPr>
            <w:r w:rsidRPr="00FA0D37">
              <w:rPr>
                <w:rFonts w:eastAsia="宋体"/>
                <w:b/>
                <w:i/>
                <w:szCs w:val="22"/>
                <w:lang w:eastAsia="sv-SE"/>
              </w:rPr>
              <w:t>uplinkDirectCurrentBWP</w:t>
            </w:r>
          </w:p>
          <w:p w14:paraId="3F9253DB" w14:textId="77777777" w:rsidR="00394471" w:rsidRPr="00FA0D37" w:rsidRDefault="00394471" w:rsidP="00964CC4">
            <w:pPr>
              <w:pStyle w:val="TAL"/>
              <w:rPr>
                <w:rFonts w:eastAsia="宋体"/>
                <w:szCs w:val="22"/>
                <w:lang w:eastAsia="sv-SE"/>
              </w:rPr>
            </w:pPr>
            <w:r w:rsidRPr="00FA0D37">
              <w:rPr>
                <w:rFonts w:eastAsia="宋体"/>
                <w:szCs w:val="22"/>
                <w:lang w:eastAsia="sv-SE"/>
              </w:rPr>
              <w:t>The Tx Direct Current locations for all the uplink BWPs configured at the corresponding serving cell.</w:t>
            </w:r>
          </w:p>
        </w:tc>
      </w:tr>
      <w:tr w:rsidR="000F3B47" w:rsidRPr="00FA0D37"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FA0D37" w:rsidRDefault="00394471" w:rsidP="00964CC4">
            <w:pPr>
              <w:pStyle w:val="TAL"/>
              <w:rPr>
                <w:rFonts w:eastAsia="宋体"/>
                <w:szCs w:val="22"/>
                <w:lang w:eastAsia="sv-SE"/>
              </w:rPr>
            </w:pPr>
            <w:r w:rsidRPr="00FA0D37">
              <w:rPr>
                <w:rFonts w:eastAsia="宋体"/>
                <w:b/>
                <w:i/>
                <w:szCs w:val="22"/>
                <w:lang w:eastAsia="sv-SE"/>
              </w:rPr>
              <w:t>uplinkDirectCurrentBWP-SUL</w:t>
            </w:r>
          </w:p>
          <w:p w14:paraId="0E126C6D" w14:textId="77777777" w:rsidR="00394471" w:rsidRPr="00FA0D37" w:rsidRDefault="00394471" w:rsidP="00964CC4">
            <w:pPr>
              <w:pStyle w:val="TAL"/>
              <w:rPr>
                <w:rFonts w:eastAsia="宋体"/>
                <w:b/>
                <w:i/>
                <w:szCs w:val="22"/>
                <w:lang w:eastAsia="sv-SE"/>
              </w:rPr>
            </w:pPr>
            <w:r w:rsidRPr="00FA0D37">
              <w:rPr>
                <w:rFonts w:eastAsia="宋体"/>
                <w:szCs w:val="22"/>
                <w:lang w:eastAsia="sv-SE"/>
              </w:rPr>
              <w:t>The Tx Direct Current locations for all the supplementary uplink BWPs configured at the corresponding serving cell.</w:t>
            </w:r>
          </w:p>
        </w:tc>
      </w:tr>
    </w:tbl>
    <w:p w14:paraId="22E010D4" w14:textId="25CB5E6B" w:rsidR="00E46198" w:rsidRPr="00FA0D37" w:rsidRDefault="00E46198" w:rsidP="00E46198">
      <w:pPr>
        <w:rPr>
          <w:i/>
          <w:iCs/>
        </w:rPr>
      </w:pPr>
    </w:p>
    <w:p w14:paraId="03AB5294" w14:textId="77777777" w:rsidR="000103E4" w:rsidRPr="00FA0D37" w:rsidRDefault="000103E4" w:rsidP="00DD246F">
      <w:pPr>
        <w:pStyle w:val="4"/>
        <w:rPr>
          <w:rFonts w:eastAsia="宋体"/>
          <w:i/>
          <w:iCs/>
        </w:rPr>
      </w:pPr>
      <w:bookmarkStart w:id="1497" w:name="_Toc146781522"/>
      <w:r w:rsidRPr="00FA0D37">
        <w:rPr>
          <w:rFonts w:eastAsia="宋体"/>
          <w:i/>
          <w:iCs/>
        </w:rPr>
        <w:t>–</w:t>
      </w:r>
      <w:r w:rsidRPr="00FA0D37">
        <w:rPr>
          <w:rFonts w:eastAsia="宋体"/>
          <w:i/>
          <w:iCs/>
        </w:rPr>
        <w:tab/>
        <w:t>UplinkTxDirectCurrentMoreCarrierList</w:t>
      </w:r>
      <w:bookmarkEnd w:id="1497"/>
    </w:p>
    <w:p w14:paraId="5E8B9F7A" w14:textId="77777777" w:rsidR="000103E4" w:rsidRPr="00FA0D37" w:rsidRDefault="000103E4" w:rsidP="000103E4">
      <w:pPr>
        <w:rPr>
          <w:rFonts w:eastAsia="宋体"/>
        </w:rPr>
      </w:pPr>
      <w:r w:rsidRPr="00FA0D37">
        <w:rPr>
          <w:rFonts w:eastAsia="宋体"/>
        </w:rPr>
        <w:t xml:space="preserve">The IE </w:t>
      </w:r>
      <w:r w:rsidRPr="00FA0D37">
        <w:rPr>
          <w:rFonts w:eastAsia="宋体"/>
          <w:i/>
        </w:rPr>
        <w:t>UplinkTxDirectCurrentMoreCarrierList</w:t>
      </w:r>
      <w:r w:rsidRPr="00FA0D37">
        <w:rPr>
          <w:rFonts w:eastAsia="宋体"/>
        </w:rPr>
        <w:t xml:space="preserve"> indicates the Tx Direct Current locations for </w:t>
      </w:r>
      <w:r w:rsidRPr="00FA0D37">
        <w:rPr>
          <w:szCs w:val="22"/>
          <w:lang w:eastAsia="sv-SE"/>
        </w:rPr>
        <w:t>intra-band CA including one, two or more uplink carriers.</w:t>
      </w:r>
      <w:r w:rsidRPr="00FA0D37">
        <w:rPr>
          <w:rFonts w:eastAsia="宋体"/>
        </w:rPr>
        <w:t xml:space="preserve"> </w:t>
      </w:r>
      <w:r w:rsidRPr="00FA0D37">
        <w:rPr>
          <w:rFonts w:eastAsia="Calibri"/>
          <w:szCs w:val="22"/>
          <w:lang w:eastAsia="sv-SE"/>
        </w:rPr>
        <w:t>The UE does not report the uplink Direct Current location information for SUL carrier(s).</w:t>
      </w:r>
    </w:p>
    <w:p w14:paraId="2D71EF80" w14:textId="77777777" w:rsidR="000103E4" w:rsidRPr="00FA0D37" w:rsidRDefault="000103E4" w:rsidP="00DD246F">
      <w:pPr>
        <w:pStyle w:val="TH"/>
        <w:rPr>
          <w:rFonts w:eastAsia="宋体"/>
        </w:rPr>
      </w:pPr>
      <w:r w:rsidRPr="00FA0D37">
        <w:rPr>
          <w:rFonts w:eastAsia="宋体"/>
          <w:i/>
          <w:iCs/>
        </w:rPr>
        <w:t>UplinkTxDirectCurrentMoreCarrierList</w:t>
      </w:r>
      <w:r w:rsidRPr="00FA0D37">
        <w:rPr>
          <w:rFonts w:eastAsia="宋体"/>
        </w:rPr>
        <w:t xml:space="preserve"> information element</w:t>
      </w:r>
    </w:p>
    <w:p w14:paraId="1AA057E2" w14:textId="0C0EFC77" w:rsidR="000103E4" w:rsidRPr="00FA0D37" w:rsidRDefault="000103E4" w:rsidP="00FA0D37">
      <w:pPr>
        <w:pStyle w:val="PL"/>
        <w:rPr>
          <w:color w:val="808080"/>
        </w:rPr>
      </w:pPr>
      <w:r w:rsidRPr="00FA0D37">
        <w:rPr>
          <w:color w:val="808080"/>
        </w:rPr>
        <w:t>-- ASN1START</w:t>
      </w:r>
    </w:p>
    <w:p w14:paraId="06ED209D" w14:textId="77777777" w:rsidR="000103E4" w:rsidRPr="00FA0D37" w:rsidRDefault="000103E4" w:rsidP="00FA0D37">
      <w:pPr>
        <w:pStyle w:val="PL"/>
        <w:rPr>
          <w:color w:val="808080"/>
        </w:rPr>
      </w:pPr>
      <w:r w:rsidRPr="00FA0D37">
        <w:rPr>
          <w:color w:val="808080"/>
        </w:rPr>
        <w:t>-- TAG-UPLINKTXDIRECTCURRENTMORECARRIERLIST-START</w:t>
      </w:r>
    </w:p>
    <w:p w14:paraId="5208E8AC" w14:textId="77777777" w:rsidR="000103E4" w:rsidRPr="00FA0D37" w:rsidRDefault="000103E4" w:rsidP="00FA0D37">
      <w:pPr>
        <w:pStyle w:val="PL"/>
      </w:pPr>
    </w:p>
    <w:p w14:paraId="3AD2ECD2" w14:textId="77777777" w:rsidR="000103E4" w:rsidRPr="00FA0D37" w:rsidRDefault="000103E4" w:rsidP="00FA0D37">
      <w:pPr>
        <w:pStyle w:val="PL"/>
      </w:pPr>
      <w:r w:rsidRPr="00FA0D37">
        <w:t xml:space="preserve">UplinkTxDirectCurrentMoreCarrierList-r17 ::=   </w:t>
      </w:r>
      <w:r w:rsidRPr="00FA0D37">
        <w:rPr>
          <w:color w:val="993366"/>
        </w:rPr>
        <w:t>SEQUENCE</w:t>
      </w:r>
      <w:r w:rsidRPr="00FA0D37">
        <w:t xml:space="preserve"> (</w:t>
      </w:r>
      <w:r w:rsidRPr="00FA0D37">
        <w:rPr>
          <w:color w:val="993366"/>
        </w:rPr>
        <w:t>SIZE</w:t>
      </w:r>
      <w:r w:rsidRPr="00FA0D37">
        <w:t xml:space="preserve"> (1..maxNrofCC-Group-r17))</w:t>
      </w:r>
      <w:r w:rsidRPr="00FA0D37">
        <w:rPr>
          <w:color w:val="993366"/>
        </w:rPr>
        <w:t xml:space="preserve"> OF</w:t>
      </w:r>
      <w:r w:rsidRPr="00FA0D37">
        <w:t xml:space="preserve"> CC-Group-r17</w:t>
      </w:r>
    </w:p>
    <w:p w14:paraId="48D40210" w14:textId="77777777" w:rsidR="000103E4" w:rsidRPr="00FA0D37" w:rsidRDefault="000103E4" w:rsidP="00FA0D37">
      <w:pPr>
        <w:pStyle w:val="PL"/>
      </w:pPr>
    </w:p>
    <w:p w14:paraId="08600E7C" w14:textId="04F845A2" w:rsidR="000103E4" w:rsidRPr="00FA0D37" w:rsidRDefault="000103E4" w:rsidP="00FA0D37">
      <w:pPr>
        <w:pStyle w:val="PL"/>
      </w:pPr>
      <w:r w:rsidRPr="00FA0D37">
        <w:t xml:space="preserve">CC-Group-r17 ::=           </w:t>
      </w:r>
      <w:r w:rsidRPr="00FA0D37">
        <w:rPr>
          <w:color w:val="993366"/>
        </w:rPr>
        <w:t>SEQUENCE</w:t>
      </w:r>
      <w:r w:rsidRPr="00FA0D37">
        <w:t xml:space="preserve"> {</w:t>
      </w:r>
    </w:p>
    <w:p w14:paraId="68186963" w14:textId="7516805A" w:rsidR="000103E4" w:rsidRPr="00FA0D37" w:rsidRDefault="000103E4" w:rsidP="00FA0D37">
      <w:pPr>
        <w:pStyle w:val="PL"/>
      </w:pPr>
      <w:r w:rsidRPr="00FA0D37">
        <w:t xml:space="preserve">    servCellIndexLower-r17     ServCellIndex,</w:t>
      </w:r>
    </w:p>
    <w:p w14:paraId="0B8FD99A" w14:textId="3FEB9B13" w:rsidR="000103E4" w:rsidRPr="00FA0D37" w:rsidRDefault="000103E4" w:rsidP="00FA0D37">
      <w:pPr>
        <w:pStyle w:val="PL"/>
      </w:pPr>
      <w:r w:rsidRPr="00FA0D37">
        <w:t xml:space="preserve">    servCellIndexHigher-r17    ServCellIndex              </w:t>
      </w:r>
      <w:r w:rsidRPr="00FA0D37">
        <w:rPr>
          <w:color w:val="993366"/>
        </w:rPr>
        <w:t>OPTIONAL</w:t>
      </w:r>
      <w:r w:rsidRPr="00FA0D37">
        <w:t>,</w:t>
      </w:r>
    </w:p>
    <w:p w14:paraId="289BAC3C" w14:textId="54E23BD8" w:rsidR="000103E4" w:rsidRPr="00FA0D37" w:rsidRDefault="000103E4" w:rsidP="00FA0D37">
      <w:pPr>
        <w:pStyle w:val="PL"/>
      </w:pPr>
      <w:r w:rsidRPr="00FA0D37">
        <w:t xml:space="preserve">    defaultDC-Location-r17     DefaultDC-Location-r17,</w:t>
      </w:r>
    </w:p>
    <w:p w14:paraId="772B319E" w14:textId="17AA7360" w:rsidR="000103E4" w:rsidRPr="00FA0D37" w:rsidRDefault="000103E4" w:rsidP="00FA0D37">
      <w:pPr>
        <w:pStyle w:val="PL"/>
      </w:pPr>
      <w:r w:rsidRPr="00FA0D37">
        <w:t xml:space="preserve">    offsetToDefault-r17        </w:t>
      </w:r>
      <w:r w:rsidRPr="00FA0D37">
        <w:rPr>
          <w:color w:val="993366"/>
        </w:rPr>
        <w:t>CHOICE</w:t>
      </w:r>
      <w:r w:rsidRPr="00FA0D37">
        <w:t>{</w:t>
      </w:r>
    </w:p>
    <w:p w14:paraId="4F1B609A" w14:textId="6BE59087" w:rsidR="000103E4" w:rsidRPr="00FA0D37" w:rsidRDefault="000103E4" w:rsidP="00FA0D37">
      <w:pPr>
        <w:pStyle w:val="PL"/>
      </w:pPr>
      <w:r w:rsidRPr="00FA0D37">
        <w:t xml:space="preserve">        offsetValue                OffsetValue-r17,</w:t>
      </w:r>
    </w:p>
    <w:p w14:paraId="6855C47E" w14:textId="4D026198" w:rsidR="000103E4" w:rsidRPr="00FA0D37" w:rsidRDefault="000103E4" w:rsidP="00FA0D37">
      <w:pPr>
        <w:pStyle w:val="PL"/>
      </w:pPr>
      <w:r w:rsidRPr="00FA0D37">
        <w:t xml:space="preserve">        offsetlist                 </w:t>
      </w:r>
      <w:r w:rsidRPr="00FA0D37">
        <w:rPr>
          <w:color w:val="993366"/>
        </w:rPr>
        <w:t>SEQUENCE</w:t>
      </w:r>
      <w:r w:rsidRPr="00FA0D37">
        <w:t xml:space="preserve"> (</w:t>
      </w:r>
      <w:r w:rsidRPr="00FA0D37">
        <w:rPr>
          <w:color w:val="993366"/>
        </w:rPr>
        <w:t>SIZE</w:t>
      </w:r>
      <w:r w:rsidRPr="00FA0D37">
        <w:t>(1..maxNrofReqComDC-Location-r17))</w:t>
      </w:r>
      <w:r w:rsidRPr="00FA0D37">
        <w:rPr>
          <w:color w:val="993366"/>
        </w:rPr>
        <w:t xml:space="preserve"> OF</w:t>
      </w:r>
      <w:r w:rsidRPr="00FA0D37">
        <w:t xml:space="preserve"> OffsetValue-r17</w:t>
      </w:r>
    </w:p>
    <w:p w14:paraId="3D5FF9BA" w14:textId="64FEC18B" w:rsidR="000103E4" w:rsidRPr="00FA0D37" w:rsidRDefault="000103E4" w:rsidP="00FA0D37">
      <w:pPr>
        <w:pStyle w:val="PL"/>
      </w:pPr>
      <w:r w:rsidRPr="00FA0D37">
        <w:t xml:space="preserve">    }                                                     </w:t>
      </w:r>
      <w:r w:rsidRPr="00FA0D37">
        <w:rPr>
          <w:color w:val="993366"/>
        </w:rPr>
        <w:t>OPTIONAL</w:t>
      </w:r>
    </w:p>
    <w:p w14:paraId="25FC3A40" w14:textId="77777777" w:rsidR="000103E4" w:rsidRPr="00FA0D37" w:rsidRDefault="000103E4" w:rsidP="00FA0D37">
      <w:pPr>
        <w:pStyle w:val="PL"/>
      </w:pPr>
      <w:r w:rsidRPr="00FA0D37">
        <w:t>}</w:t>
      </w:r>
    </w:p>
    <w:p w14:paraId="58536F62" w14:textId="77777777" w:rsidR="000103E4" w:rsidRPr="00FA0D37" w:rsidRDefault="000103E4" w:rsidP="00FA0D37">
      <w:pPr>
        <w:pStyle w:val="PL"/>
      </w:pPr>
    </w:p>
    <w:p w14:paraId="13E4DD0B" w14:textId="77777777" w:rsidR="000103E4" w:rsidRPr="00FA0D37" w:rsidRDefault="000103E4" w:rsidP="00FA0D37">
      <w:pPr>
        <w:pStyle w:val="PL"/>
      </w:pPr>
    </w:p>
    <w:p w14:paraId="4E00ABB0" w14:textId="64767D64" w:rsidR="000103E4" w:rsidRPr="00FA0D37" w:rsidRDefault="000103E4" w:rsidP="00FA0D37">
      <w:pPr>
        <w:pStyle w:val="PL"/>
      </w:pPr>
      <w:r w:rsidRPr="00FA0D37">
        <w:t xml:space="preserve">OffsetValue-r17::=         </w:t>
      </w:r>
      <w:r w:rsidRPr="00FA0D37">
        <w:rPr>
          <w:color w:val="993366"/>
        </w:rPr>
        <w:t>SEQUENCE</w:t>
      </w:r>
      <w:r w:rsidRPr="00FA0D37">
        <w:t xml:space="preserve"> {</w:t>
      </w:r>
    </w:p>
    <w:p w14:paraId="0AC75DBA" w14:textId="28BA6E32" w:rsidR="000103E4" w:rsidRPr="00FA0D37" w:rsidRDefault="000103E4" w:rsidP="00FA0D37">
      <w:pPr>
        <w:pStyle w:val="PL"/>
      </w:pPr>
      <w:r w:rsidRPr="00FA0D37">
        <w:t xml:space="preserve">    offsetValue-r17            </w:t>
      </w:r>
      <w:r w:rsidRPr="00FA0D37">
        <w:rPr>
          <w:color w:val="993366"/>
        </w:rPr>
        <w:t>INTEGER</w:t>
      </w:r>
      <w:r w:rsidRPr="00FA0D37">
        <w:t xml:space="preserve"> (-20000.. 20000),</w:t>
      </w:r>
    </w:p>
    <w:p w14:paraId="1D63536F" w14:textId="4585D2C8" w:rsidR="000103E4" w:rsidRPr="00FA0D37" w:rsidRDefault="000103E4" w:rsidP="00FA0D37">
      <w:pPr>
        <w:pStyle w:val="PL"/>
      </w:pPr>
      <w:r w:rsidRPr="00FA0D37">
        <w:t xml:space="preserve">    shift7dot5kHz-r17          </w:t>
      </w:r>
      <w:r w:rsidRPr="00FA0D37">
        <w:rPr>
          <w:color w:val="993366"/>
        </w:rPr>
        <w:t>BOOLEAN</w:t>
      </w:r>
    </w:p>
    <w:p w14:paraId="068478E8" w14:textId="77777777" w:rsidR="000103E4" w:rsidRPr="00FA0D37" w:rsidRDefault="000103E4" w:rsidP="00FA0D37">
      <w:pPr>
        <w:pStyle w:val="PL"/>
      </w:pPr>
      <w:r w:rsidRPr="00FA0D37">
        <w:t>}</w:t>
      </w:r>
    </w:p>
    <w:p w14:paraId="231F1CDF" w14:textId="77777777" w:rsidR="000103E4" w:rsidRPr="00FA0D37" w:rsidRDefault="000103E4" w:rsidP="00FA0D37">
      <w:pPr>
        <w:pStyle w:val="PL"/>
      </w:pPr>
    </w:p>
    <w:p w14:paraId="7BA36083" w14:textId="6AE32DAB" w:rsidR="000103E4" w:rsidRPr="00FA0D37" w:rsidRDefault="000103E4" w:rsidP="00FA0D37">
      <w:pPr>
        <w:pStyle w:val="PL"/>
      </w:pPr>
      <w:r w:rsidRPr="00FA0D37">
        <w:t xml:space="preserve">DefaultDC-Location-r17 ::= </w:t>
      </w:r>
      <w:r w:rsidRPr="00FA0D37">
        <w:rPr>
          <w:color w:val="993366"/>
        </w:rPr>
        <w:t>CHOICE</w:t>
      </w:r>
      <w:r w:rsidRPr="00FA0D37">
        <w:t xml:space="preserve"> {</w:t>
      </w:r>
    </w:p>
    <w:p w14:paraId="45BA890F" w14:textId="7181E61A" w:rsidR="000103E4" w:rsidRPr="00FA0D37" w:rsidRDefault="000103E4" w:rsidP="00FA0D37">
      <w:pPr>
        <w:pStyle w:val="PL"/>
      </w:pPr>
      <w:r w:rsidRPr="00FA0D37">
        <w:t xml:space="preserve">    ul                         FrequencyComponent-r17,</w:t>
      </w:r>
    </w:p>
    <w:p w14:paraId="2028EDE0" w14:textId="266E2592" w:rsidR="000103E4" w:rsidRPr="00FA0D37" w:rsidRDefault="000103E4" w:rsidP="00FA0D37">
      <w:pPr>
        <w:pStyle w:val="PL"/>
      </w:pPr>
      <w:r w:rsidRPr="00FA0D37">
        <w:t xml:space="preserve">    dl                         FrequencyComponent-r17,</w:t>
      </w:r>
    </w:p>
    <w:p w14:paraId="5D3A73A7" w14:textId="6E029775" w:rsidR="000103E4" w:rsidRPr="00FA0D37" w:rsidRDefault="000103E4" w:rsidP="00FA0D37">
      <w:pPr>
        <w:pStyle w:val="PL"/>
      </w:pPr>
      <w:r w:rsidRPr="00FA0D37">
        <w:t xml:space="preserve">    ulAndDL                    FrequencyComponent-r17</w:t>
      </w:r>
    </w:p>
    <w:p w14:paraId="2673C03C" w14:textId="77777777" w:rsidR="000103E4" w:rsidRPr="00FA0D37" w:rsidRDefault="000103E4" w:rsidP="00FA0D37">
      <w:pPr>
        <w:pStyle w:val="PL"/>
      </w:pPr>
      <w:r w:rsidRPr="00FA0D37">
        <w:t>}</w:t>
      </w:r>
    </w:p>
    <w:p w14:paraId="41A28D39" w14:textId="77777777" w:rsidR="000103E4" w:rsidRPr="00FA0D37" w:rsidRDefault="000103E4" w:rsidP="00FA0D37">
      <w:pPr>
        <w:pStyle w:val="PL"/>
      </w:pPr>
    </w:p>
    <w:p w14:paraId="14108BDE" w14:textId="77777777" w:rsidR="000103E4" w:rsidRPr="00FA0D37" w:rsidRDefault="000103E4" w:rsidP="00FA0D37">
      <w:pPr>
        <w:pStyle w:val="PL"/>
      </w:pPr>
      <w:r w:rsidRPr="00FA0D37">
        <w:t xml:space="preserve">FrequencyComponent-r17 ::=  </w:t>
      </w:r>
      <w:r w:rsidRPr="00FA0D37">
        <w:rPr>
          <w:color w:val="993366"/>
        </w:rPr>
        <w:t>ENUMERATED</w:t>
      </w:r>
      <w:r w:rsidRPr="00FA0D37">
        <w:t xml:space="preserve"> {activeCarrier,configuredCarrier,activeBWP,configuredBWP}</w:t>
      </w:r>
    </w:p>
    <w:p w14:paraId="79BAFD99" w14:textId="77777777" w:rsidR="000103E4" w:rsidRPr="00FA0D37" w:rsidRDefault="000103E4" w:rsidP="00FA0D37">
      <w:pPr>
        <w:pStyle w:val="PL"/>
      </w:pPr>
    </w:p>
    <w:p w14:paraId="35F80EA3" w14:textId="159FBF7C" w:rsidR="000103E4" w:rsidRPr="00FA0D37" w:rsidRDefault="000103E4" w:rsidP="00FA0D37">
      <w:pPr>
        <w:pStyle w:val="PL"/>
        <w:rPr>
          <w:color w:val="808080"/>
        </w:rPr>
      </w:pPr>
      <w:r w:rsidRPr="00FA0D37">
        <w:rPr>
          <w:color w:val="808080"/>
        </w:rPr>
        <w:t>-- TAG-UPLINKTXDIRECTCURRENTMORECARRIERLIST-STOP</w:t>
      </w:r>
    </w:p>
    <w:p w14:paraId="0D62D02B" w14:textId="77777777" w:rsidR="000103E4" w:rsidRPr="00FA0D37" w:rsidRDefault="000103E4" w:rsidP="00FA0D37">
      <w:pPr>
        <w:pStyle w:val="PL"/>
        <w:rPr>
          <w:color w:val="808080"/>
        </w:rPr>
      </w:pPr>
      <w:r w:rsidRPr="00FA0D37">
        <w:rPr>
          <w:color w:val="808080"/>
        </w:rPr>
        <w:t>-- ASN1STOP</w:t>
      </w:r>
    </w:p>
    <w:p w14:paraId="3EFD6A61" w14:textId="77777777" w:rsidR="000103E4" w:rsidRPr="00FA0D37" w:rsidRDefault="000103E4" w:rsidP="000103E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FA0D37" w:rsidRDefault="000103E4" w:rsidP="00DD246F">
            <w:pPr>
              <w:pStyle w:val="TAH"/>
              <w:rPr>
                <w:rFonts w:eastAsia="宋体"/>
                <w:lang w:eastAsia="sv-SE"/>
              </w:rPr>
            </w:pPr>
            <w:r w:rsidRPr="00FA0D37">
              <w:rPr>
                <w:rFonts w:eastAsia="宋体"/>
                <w:i/>
                <w:iCs/>
                <w:lang w:eastAsia="sv-SE"/>
              </w:rPr>
              <w:t>UplinkTxDirectCurrentMoreCarrierList</w:t>
            </w:r>
            <w:r w:rsidRPr="00FA0D37">
              <w:rPr>
                <w:rFonts w:eastAsia="宋体"/>
                <w:lang w:eastAsia="sv-SE"/>
              </w:rPr>
              <w:t xml:space="preserve"> and </w:t>
            </w:r>
            <w:r w:rsidRPr="00FA0D37">
              <w:rPr>
                <w:rFonts w:eastAsia="宋体"/>
                <w:i/>
                <w:iCs/>
                <w:lang w:eastAsia="sv-SE"/>
              </w:rPr>
              <w:t>CC-Group</w:t>
            </w:r>
            <w:r w:rsidRPr="00FA0D37">
              <w:rPr>
                <w:rFonts w:eastAsia="宋体"/>
                <w:lang w:eastAsia="sv-SE"/>
              </w:rPr>
              <w:t xml:space="preserve"> field descriptions</w:t>
            </w:r>
          </w:p>
        </w:tc>
      </w:tr>
      <w:tr w:rsidR="005C7FF4" w:rsidRPr="00FA0D37"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FA0D37" w:rsidRDefault="000103E4" w:rsidP="00DD246F">
            <w:pPr>
              <w:pStyle w:val="TAL"/>
              <w:rPr>
                <w:rFonts w:eastAsia="宋体"/>
                <w:b/>
                <w:bCs/>
                <w:i/>
                <w:iCs/>
                <w:lang w:eastAsia="sv-SE"/>
              </w:rPr>
            </w:pPr>
            <w:r w:rsidRPr="00FA0D37">
              <w:rPr>
                <w:rFonts w:eastAsia="宋体"/>
                <w:b/>
                <w:bCs/>
                <w:i/>
                <w:iCs/>
                <w:lang w:eastAsia="sv-SE"/>
              </w:rPr>
              <w:t>CC-Group</w:t>
            </w:r>
          </w:p>
          <w:p w14:paraId="21F15FFD" w14:textId="6243EFC2" w:rsidR="000103E4" w:rsidRPr="00FA0D37" w:rsidRDefault="000103E4" w:rsidP="00DD246F">
            <w:pPr>
              <w:pStyle w:val="TAL"/>
              <w:rPr>
                <w:rFonts w:eastAsia="宋体"/>
                <w:lang w:eastAsia="sv-SE"/>
              </w:rPr>
            </w:pPr>
            <w:r w:rsidRPr="00FA0D37">
              <w:rPr>
                <w:rFonts w:eastAsia="宋体"/>
                <w:lang w:eastAsia="sv-SE"/>
              </w:rPr>
              <w:t>The contiguous carriers sharing the same PA in an intra-band UL CA configuration.</w:t>
            </w:r>
            <w:r w:rsidRPr="00FA0D37">
              <w:t xml:space="preserve"> </w:t>
            </w:r>
            <w:r w:rsidRPr="00FA0D37">
              <w:rPr>
                <w:rFonts w:eastAsia="宋体"/>
                <w:lang w:eastAsia="sv-SE"/>
              </w:rPr>
              <w:t xml:space="preserve">The UE shall report only one </w:t>
            </w:r>
            <w:r w:rsidRPr="00FA0D37">
              <w:rPr>
                <w:rFonts w:eastAsia="宋体"/>
                <w:lang w:eastAsia="zh-CN"/>
              </w:rPr>
              <w:t>DC</w:t>
            </w:r>
            <w:r w:rsidRPr="00FA0D37">
              <w:rPr>
                <w:rFonts w:eastAsia="宋体"/>
                <w:lang w:eastAsia="sv-SE"/>
              </w:rPr>
              <w:t xml:space="preserve"> location for an intra-band CC combination with one active uplink carrier in case </w:t>
            </w:r>
            <w:r w:rsidR="007376D6" w:rsidRPr="00FA0D37">
              <w:rPr>
                <w:rFonts w:eastAsia="宋体"/>
                <w:i/>
                <w:iCs/>
                <w:lang w:eastAsia="sv-SE"/>
              </w:rPr>
              <w:t xml:space="preserve">DefaultDC-Location </w:t>
            </w:r>
            <w:r w:rsidRPr="00FA0D37">
              <w:rPr>
                <w:rFonts w:eastAsia="宋体"/>
                <w:lang w:eastAsia="sv-SE"/>
              </w:rPr>
              <w:t xml:space="preserve">is set to </w:t>
            </w:r>
            <w:r w:rsidRPr="00FA0D37">
              <w:rPr>
                <w:rFonts w:eastAsia="宋体"/>
                <w:i/>
                <w:iCs/>
                <w:lang w:eastAsia="sv-SE"/>
              </w:rPr>
              <w:t>activeCarrier</w:t>
            </w:r>
            <w:r w:rsidRPr="00FA0D37">
              <w:rPr>
                <w:rFonts w:eastAsia="宋体"/>
                <w:lang w:eastAsia="sv-SE"/>
              </w:rPr>
              <w:t xml:space="preserve"> or </w:t>
            </w:r>
            <w:r w:rsidRPr="00FA0D37">
              <w:rPr>
                <w:rFonts w:eastAsia="宋体"/>
                <w:i/>
                <w:iCs/>
                <w:lang w:eastAsia="sv-SE"/>
              </w:rPr>
              <w:t>activeBWP</w:t>
            </w:r>
            <w:r w:rsidRPr="00FA0D37">
              <w:rPr>
                <w:rFonts w:eastAsia="宋体"/>
                <w:lang w:eastAsia="sv-SE"/>
              </w:rPr>
              <w:t>.</w:t>
            </w:r>
          </w:p>
        </w:tc>
      </w:tr>
      <w:tr w:rsidR="005C7FF4" w:rsidRPr="00FA0D37"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FA0D37" w:rsidRDefault="007376D6" w:rsidP="0071565C">
            <w:pPr>
              <w:pStyle w:val="TAL"/>
              <w:rPr>
                <w:rFonts w:eastAsia="宋体"/>
                <w:b/>
                <w:bCs/>
                <w:i/>
                <w:iCs/>
                <w:lang w:eastAsia="sv-SE"/>
              </w:rPr>
            </w:pPr>
            <w:r w:rsidRPr="00FA0D37">
              <w:rPr>
                <w:rFonts w:eastAsia="宋体"/>
                <w:b/>
                <w:bCs/>
                <w:i/>
                <w:iCs/>
                <w:lang w:eastAsia="sv-SE"/>
              </w:rPr>
              <w:t>defaultDC-Location</w:t>
            </w:r>
          </w:p>
          <w:p w14:paraId="3AB45C06" w14:textId="36F05713" w:rsidR="000103E4" w:rsidRPr="00FA0D37" w:rsidRDefault="000103E4" w:rsidP="0071565C">
            <w:pPr>
              <w:pStyle w:val="TAL"/>
              <w:rPr>
                <w:rFonts w:eastAsia="宋体"/>
                <w:lang w:eastAsia="sv-SE"/>
              </w:rPr>
            </w:pPr>
            <w:r w:rsidRPr="00FA0D37">
              <w:rPr>
                <w:rFonts w:eastAsia="宋体"/>
                <w:lang w:eastAsia="sv-SE"/>
              </w:rPr>
              <w:t>Indicates the defaul</w:t>
            </w:r>
            <w:r w:rsidR="007376D6" w:rsidRPr="00FA0D37">
              <w:rPr>
                <w:rFonts w:eastAsia="宋体"/>
                <w:lang w:eastAsia="sv-SE"/>
              </w:rPr>
              <w:t>t</w:t>
            </w:r>
            <w:r w:rsidRPr="00FA0D37">
              <w:rPr>
                <w:rFonts w:eastAsia="宋体"/>
                <w:lang w:eastAsia="sv-SE"/>
              </w:rPr>
              <w:t xml:space="preserve"> DC location derivation option.</w:t>
            </w:r>
            <w:r w:rsidRPr="00FA0D37">
              <w:rPr>
                <w:rFonts w:eastAsia="MS Mincho"/>
              </w:rPr>
              <w:t xml:space="preserve"> </w:t>
            </w:r>
            <w:r w:rsidRPr="00FA0D37">
              <w:rPr>
                <w:rFonts w:cs="Arial"/>
                <w:bCs/>
                <w:iCs/>
                <w:szCs w:val="18"/>
              </w:rPr>
              <w:t>The default Tx Direct Current is located at the mathematical center of the UE bandwidth, i.e. between the</w:t>
            </w:r>
            <w:r w:rsidRPr="00FA0D37">
              <w:rPr>
                <w:rFonts w:cs="Arial"/>
                <w:szCs w:val="18"/>
              </w:rPr>
              <w:t xml:space="preserve"> lower edge </w:t>
            </w:r>
            <w:r w:rsidR="007376D6" w:rsidRPr="00FA0D37">
              <w:rPr>
                <w:rFonts w:cs="Arial"/>
                <w:szCs w:val="18"/>
              </w:rPr>
              <w:t xml:space="preserve">of the lowest subcarrier </w:t>
            </w:r>
            <w:r w:rsidRPr="00FA0D37">
              <w:rPr>
                <w:rFonts w:cs="Arial"/>
                <w:szCs w:val="18"/>
              </w:rPr>
              <w:t xml:space="preserve">of </w:t>
            </w:r>
            <w:r w:rsidR="007376D6" w:rsidRPr="00FA0D37">
              <w:rPr>
                <w:rFonts w:cs="Arial"/>
                <w:szCs w:val="18"/>
              </w:rPr>
              <w:t xml:space="preserve">the </w:t>
            </w:r>
            <w:r w:rsidRPr="00FA0D37">
              <w:rPr>
                <w:rFonts w:cs="Arial"/>
                <w:szCs w:val="18"/>
              </w:rPr>
              <w:t xml:space="preserve">lowest frequency component and the upper edge of </w:t>
            </w:r>
            <w:r w:rsidR="007376D6" w:rsidRPr="00FA0D37">
              <w:rPr>
                <w:rFonts w:cs="Arial"/>
                <w:szCs w:val="18"/>
              </w:rPr>
              <w:t xml:space="preserve">the highest subcarrier of the </w:t>
            </w:r>
            <w:r w:rsidRPr="00FA0D37">
              <w:rPr>
                <w:rFonts w:cs="Arial"/>
                <w:szCs w:val="18"/>
              </w:rPr>
              <w:t>highest frequency component</w:t>
            </w:r>
            <w:r w:rsidR="007376D6" w:rsidRPr="00FA0D37">
              <w:rPr>
                <w:rFonts w:cs="Arial"/>
                <w:szCs w:val="18"/>
              </w:rPr>
              <w:t xml:space="preserve">, </w:t>
            </w:r>
            <w:r w:rsidR="007376D6" w:rsidRPr="00FA0D37">
              <w:rPr>
                <w:bCs/>
                <w:iCs/>
              </w:rPr>
              <w:t>rounded to the subcarrier grid of the lowest SCS defined for the component carrier on which the default Direct Current is located.</w:t>
            </w:r>
            <w:r w:rsidRPr="00FA0D37">
              <w:rPr>
                <w:rFonts w:cs="Arial"/>
                <w:szCs w:val="18"/>
              </w:rPr>
              <w:t xml:space="preserve"> </w:t>
            </w:r>
            <w:r w:rsidR="007376D6" w:rsidRPr="00FA0D37">
              <w:rPr>
                <w:rFonts w:cs="Arial"/>
                <w:szCs w:val="18"/>
              </w:rPr>
              <w:t xml:space="preserve">The lowest and highest frequency components used for derivation of mathematical center are </w:t>
            </w:r>
            <w:r w:rsidRPr="00FA0D37">
              <w:rPr>
                <w:rFonts w:cs="Arial"/>
                <w:szCs w:val="18"/>
              </w:rPr>
              <w:t xml:space="preserve">indicated by </w:t>
            </w:r>
            <w:r w:rsidRPr="00FA0D37">
              <w:rPr>
                <w:rFonts w:cs="Arial"/>
                <w:i/>
                <w:szCs w:val="18"/>
              </w:rPr>
              <w:t>FrequencyComponent</w:t>
            </w:r>
            <w:r w:rsidRPr="00FA0D37">
              <w:rPr>
                <w:rFonts w:cs="Arial"/>
                <w:iCs/>
                <w:szCs w:val="18"/>
              </w:rPr>
              <w:t xml:space="preserve"> in the associated </w:t>
            </w:r>
            <w:r w:rsidRPr="00FA0D37">
              <w:rPr>
                <w:rFonts w:eastAsia="宋体"/>
                <w:i/>
                <w:iCs/>
                <w:lang w:eastAsia="sv-SE"/>
              </w:rPr>
              <w:t>CC-Group</w:t>
            </w:r>
            <w:r w:rsidRPr="00FA0D37">
              <w:rPr>
                <w:rFonts w:cs="Arial"/>
                <w:szCs w:val="18"/>
              </w:rPr>
              <w:t>,</w:t>
            </w:r>
            <w:r w:rsidRPr="00FA0D37">
              <w:t xml:space="preserve"> </w:t>
            </w:r>
            <w:r w:rsidRPr="00FA0D37">
              <w:rPr>
                <w:rFonts w:cs="Arial"/>
                <w:szCs w:val="18"/>
              </w:rPr>
              <w:t>where the lowest frequency component and the highest frequency component may be the same</w:t>
            </w:r>
            <w:r w:rsidRPr="00FA0D37">
              <w:rPr>
                <w:bCs/>
                <w:iCs/>
              </w:rPr>
              <w:t xml:space="preserve">. If the mathematical center of the UE bandwidth lands on frequencies where there is no subcarrier grid defined, the subcarrier grid </w:t>
            </w:r>
            <w:r w:rsidR="007376D6" w:rsidRPr="00FA0D37">
              <w:rPr>
                <w:bCs/>
                <w:iCs/>
              </w:rPr>
              <w:t xml:space="preserve">of the lowest SCS </w:t>
            </w:r>
            <w:r w:rsidRPr="00FA0D37">
              <w:rPr>
                <w:bCs/>
                <w:iCs/>
              </w:rPr>
              <w:t>of the nearest lower frequency component carrier shall be extended to cover the frequency of the mathematical default Direct Current location.</w:t>
            </w:r>
          </w:p>
        </w:tc>
      </w:tr>
      <w:tr w:rsidR="005C7FF4" w:rsidRPr="00FA0D37"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FA0D37" w:rsidRDefault="007376D6" w:rsidP="0071565C">
            <w:pPr>
              <w:pStyle w:val="TAL"/>
              <w:rPr>
                <w:rFonts w:eastAsia="宋体"/>
                <w:b/>
                <w:bCs/>
                <w:i/>
                <w:iCs/>
                <w:lang w:eastAsia="sv-SE"/>
              </w:rPr>
            </w:pPr>
            <w:r w:rsidRPr="00FA0D37">
              <w:rPr>
                <w:rFonts w:eastAsia="宋体"/>
                <w:b/>
                <w:bCs/>
                <w:i/>
                <w:iCs/>
                <w:lang w:eastAsia="sv-SE"/>
              </w:rPr>
              <w:t>o</w:t>
            </w:r>
            <w:r w:rsidR="000103E4" w:rsidRPr="00FA0D37">
              <w:rPr>
                <w:rFonts w:eastAsia="宋体"/>
                <w:b/>
                <w:bCs/>
                <w:i/>
                <w:iCs/>
                <w:lang w:eastAsia="sv-SE"/>
              </w:rPr>
              <w:t>ffsetToDefault</w:t>
            </w:r>
          </w:p>
          <w:p w14:paraId="0B131286" w14:textId="141EE084" w:rsidR="000103E4" w:rsidRPr="00FA0D37" w:rsidRDefault="000103E4" w:rsidP="0071565C">
            <w:pPr>
              <w:pStyle w:val="TAL"/>
              <w:rPr>
                <w:rFonts w:eastAsia="宋体"/>
                <w:lang w:eastAsia="sv-SE"/>
              </w:rPr>
            </w:pPr>
            <w:r w:rsidRPr="00FA0D37">
              <w:rPr>
                <w:rFonts w:eastAsia="宋体"/>
                <w:lang w:eastAsia="sv-SE"/>
              </w:rPr>
              <w:t>Indicates the DC location offset to the defaul</w:t>
            </w:r>
            <w:r w:rsidR="007376D6" w:rsidRPr="00FA0D37">
              <w:rPr>
                <w:rFonts w:eastAsia="宋体"/>
                <w:lang w:eastAsia="sv-SE"/>
              </w:rPr>
              <w:t>t</w:t>
            </w:r>
            <w:r w:rsidRPr="00FA0D37">
              <w:rPr>
                <w:rFonts w:eastAsia="宋体"/>
                <w:lang w:eastAsia="sv-SE"/>
              </w:rPr>
              <w:t xml:space="preserve"> DC location derived from </w:t>
            </w:r>
            <w:r w:rsidR="007376D6" w:rsidRPr="00FA0D37">
              <w:rPr>
                <w:rFonts w:eastAsia="宋体"/>
                <w:i/>
                <w:iCs/>
                <w:lang w:eastAsia="sv-SE"/>
              </w:rPr>
              <w:t>defaultDC-Location</w:t>
            </w:r>
            <w:r w:rsidRPr="00FA0D37">
              <w:rPr>
                <w:rFonts w:eastAsia="宋体"/>
                <w:lang w:eastAsia="zh-CN"/>
              </w:rPr>
              <w:t xml:space="preserve">. </w:t>
            </w:r>
            <w:r w:rsidRPr="00FA0D37">
              <w:rPr>
                <w:rFonts w:eastAsia="宋体"/>
                <w:lang w:eastAsia="sv-SE"/>
              </w:rPr>
              <w:t>The lowest SCS in the CC group is used as the offset granularity. Value 0 respresents no offset.</w:t>
            </w:r>
          </w:p>
          <w:p w14:paraId="75BA675B" w14:textId="74A3D46A" w:rsidR="000103E4" w:rsidRPr="00FA0D37" w:rsidRDefault="000103E4" w:rsidP="0071565C">
            <w:pPr>
              <w:pStyle w:val="TAL"/>
              <w:rPr>
                <w:rFonts w:eastAsia="宋体"/>
                <w:lang w:eastAsia="sv-SE"/>
              </w:rPr>
            </w:pPr>
            <w:r w:rsidRPr="00FA0D37">
              <w:rPr>
                <w:rFonts w:eastAsia="宋体"/>
                <w:lang w:eastAsia="sv-SE"/>
              </w:rPr>
              <w:t xml:space="preserve">offsetValue is used in case </w:t>
            </w:r>
            <w:r w:rsidR="007376D6" w:rsidRPr="00FA0D37">
              <w:rPr>
                <w:rFonts w:eastAsia="宋体"/>
                <w:i/>
                <w:iCs/>
                <w:lang w:eastAsia="sv-SE"/>
              </w:rPr>
              <w:t>DefaultDC-Location</w:t>
            </w:r>
            <w:r w:rsidRPr="00FA0D37">
              <w:rPr>
                <w:rFonts w:eastAsia="宋体"/>
                <w:lang w:eastAsia="sv-SE"/>
              </w:rPr>
              <w:t xml:space="preserve"> is set to </w:t>
            </w:r>
            <w:r w:rsidRPr="00FA0D37">
              <w:rPr>
                <w:rFonts w:eastAsia="宋体"/>
                <w:i/>
                <w:lang w:eastAsia="sv-SE"/>
              </w:rPr>
              <w:t>configuredCarrier</w:t>
            </w:r>
            <w:r w:rsidRPr="00FA0D37">
              <w:rPr>
                <w:rFonts w:eastAsia="宋体"/>
                <w:lang w:eastAsia="sv-SE"/>
              </w:rPr>
              <w:t xml:space="preserve"> or </w:t>
            </w:r>
            <w:r w:rsidRPr="00FA0D37">
              <w:rPr>
                <w:rFonts w:eastAsia="宋体"/>
                <w:i/>
                <w:lang w:eastAsia="sv-SE"/>
              </w:rPr>
              <w:t>configuredBWP</w:t>
            </w:r>
            <w:r w:rsidRPr="00FA0D37">
              <w:rPr>
                <w:rFonts w:eastAsia="宋体"/>
                <w:iCs/>
                <w:lang w:eastAsia="sv-SE"/>
              </w:rPr>
              <w:t xml:space="preserve">. </w:t>
            </w:r>
            <w:r w:rsidRPr="00FA0D37">
              <w:rPr>
                <w:rFonts w:eastAsia="宋体"/>
                <w:i/>
                <w:iCs/>
                <w:lang w:eastAsia="sv-SE"/>
              </w:rPr>
              <w:t>offsetlist</w:t>
            </w:r>
            <w:r w:rsidRPr="00FA0D37">
              <w:rPr>
                <w:rFonts w:eastAsia="宋体"/>
                <w:lang w:eastAsia="sv-SE"/>
              </w:rPr>
              <w:t xml:space="preserve"> is used in case </w:t>
            </w:r>
            <w:r w:rsidR="007376D6" w:rsidRPr="00FA0D37">
              <w:rPr>
                <w:rFonts w:eastAsia="宋体"/>
                <w:i/>
                <w:iCs/>
                <w:lang w:eastAsia="sv-SE"/>
              </w:rPr>
              <w:t>DefaultDC-Location</w:t>
            </w:r>
            <w:r w:rsidRPr="00FA0D37">
              <w:rPr>
                <w:rFonts w:eastAsia="宋体"/>
                <w:lang w:eastAsia="sv-SE"/>
              </w:rPr>
              <w:t xml:space="preserve"> is set to </w:t>
            </w:r>
            <w:r w:rsidRPr="00FA0D37">
              <w:rPr>
                <w:rFonts w:eastAsia="宋体"/>
                <w:i/>
                <w:iCs/>
                <w:lang w:eastAsia="sv-SE"/>
              </w:rPr>
              <w:t>activeCarrier</w:t>
            </w:r>
            <w:r w:rsidRPr="00FA0D37">
              <w:rPr>
                <w:rFonts w:eastAsia="宋体"/>
                <w:lang w:eastAsia="sv-SE"/>
              </w:rPr>
              <w:t xml:space="preserve"> or </w:t>
            </w:r>
            <w:r w:rsidRPr="00FA0D37">
              <w:rPr>
                <w:rFonts w:eastAsia="宋体"/>
                <w:i/>
                <w:iCs/>
                <w:lang w:eastAsia="sv-SE"/>
              </w:rPr>
              <w:t>activeBWP</w:t>
            </w:r>
            <w:r w:rsidRPr="00FA0D37">
              <w:rPr>
                <w:rFonts w:eastAsia="宋体"/>
                <w:lang w:eastAsia="sv-SE"/>
              </w:rPr>
              <w:t xml:space="preserve">. Each entity in this list corresponds to the entry in carriers combination in </w:t>
            </w:r>
            <w:r w:rsidRPr="00FA0D37">
              <w:rPr>
                <w:rFonts w:eastAsia="宋体"/>
                <w:i/>
                <w:iCs/>
                <w:lang w:eastAsia="sv-SE"/>
              </w:rPr>
              <w:t>IntraBandCC-CombinationReqList</w:t>
            </w:r>
            <w:r w:rsidRPr="00FA0D37">
              <w:rPr>
                <w:rFonts w:eastAsia="宋体"/>
                <w:lang w:eastAsia="sv-SE"/>
              </w:rPr>
              <w:t xml:space="preserve"> of the intra-band CA component. For each CC group, the UE shall include the same number of entries, and listed in the same order as in CC-CombinationList. If </w:t>
            </w:r>
            <w:r w:rsidR="007376D6" w:rsidRPr="00FA0D37">
              <w:rPr>
                <w:rFonts w:eastAsia="宋体"/>
                <w:i/>
                <w:iCs/>
                <w:lang w:eastAsia="sv-SE"/>
              </w:rPr>
              <w:t>DefaultDC-Location</w:t>
            </w:r>
            <w:r w:rsidRPr="00FA0D37">
              <w:rPr>
                <w:rFonts w:eastAsia="宋体"/>
                <w:lang w:eastAsia="sv-SE"/>
              </w:rPr>
              <w:t xml:space="preserve"> is set the </w:t>
            </w:r>
            <w:r w:rsidRPr="00FA0D37">
              <w:rPr>
                <w:rFonts w:eastAsia="宋体"/>
                <w:i/>
                <w:iCs/>
                <w:lang w:eastAsia="sv-SE"/>
              </w:rPr>
              <w:t>activeCarrier</w:t>
            </w:r>
            <w:r w:rsidRPr="00FA0D37">
              <w:rPr>
                <w:rFonts w:eastAsia="宋体"/>
                <w:lang w:eastAsia="sv-SE"/>
              </w:rPr>
              <w:t xml:space="preserve">, same offsetValue is signalled for all requested carriers combinations with same active carriers states(regardless of the active </w:t>
            </w:r>
            <w:r w:rsidR="007376D6" w:rsidRPr="00FA0D37">
              <w:rPr>
                <w:rFonts w:eastAsia="宋体"/>
                <w:lang w:eastAsia="sv-SE"/>
              </w:rPr>
              <w:t xml:space="preserve">BWP </w:t>
            </w:r>
            <w:r w:rsidRPr="00FA0D37">
              <w:rPr>
                <w:rFonts w:eastAsia="宋体"/>
                <w:lang w:eastAsia="sv-SE"/>
              </w:rPr>
              <w:t>index).</w:t>
            </w:r>
          </w:p>
        </w:tc>
      </w:tr>
      <w:tr w:rsidR="005C7FF4" w:rsidRPr="00FA0D37"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FA0D37" w:rsidRDefault="000103E4" w:rsidP="0071565C">
            <w:pPr>
              <w:pStyle w:val="TAL"/>
              <w:rPr>
                <w:rFonts w:eastAsia="宋体"/>
                <w:b/>
                <w:bCs/>
                <w:i/>
                <w:iCs/>
                <w:lang w:eastAsia="sv-SE"/>
              </w:rPr>
            </w:pPr>
            <w:r w:rsidRPr="00FA0D37">
              <w:rPr>
                <w:rFonts w:eastAsia="宋体"/>
                <w:b/>
                <w:bCs/>
                <w:i/>
                <w:iCs/>
                <w:lang w:eastAsia="sv-SE"/>
              </w:rPr>
              <w:t>servCellIndexHigher</w:t>
            </w:r>
          </w:p>
          <w:p w14:paraId="418C3713" w14:textId="77777777" w:rsidR="000103E4" w:rsidRPr="00FA0D37" w:rsidRDefault="000103E4" w:rsidP="0071565C">
            <w:pPr>
              <w:pStyle w:val="TAL"/>
              <w:rPr>
                <w:rFonts w:eastAsia="宋体"/>
                <w:lang w:eastAsia="sv-SE"/>
              </w:rPr>
            </w:pPr>
            <w:r w:rsidRPr="00FA0D37">
              <w:rPr>
                <w:rFonts w:eastAsia="宋体"/>
                <w:lang w:eastAsia="sv-SE"/>
              </w:rPr>
              <w:t xml:space="preserve">Indicates the serving cell index of the highest edge of the </w:t>
            </w:r>
            <w:r w:rsidRPr="00FA0D37">
              <w:rPr>
                <w:rFonts w:eastAsia="宋体"/>
                <w:i/>
                <w:iCs/>
                <w:lang w:eastAsia="sv-SE"/>
              </w:rPr>
              <w:t>CC-Group</w:t>
            </w:r>
            <w:r w:rsidRPr="00FA0D37">
              <w:rPr>
                <w:rFonts w:eastAsia="宋体"/>
                <w:lang w:eastAsia="sv-SE"/>
              </w:rPr>
              <w:t xml:space="preserve">. If asbsent, there is only one carrier in this group indicated by </w:t>
            </w:r>
            <w:r w:rsidRPr="00FA0D37">
              <w:rPr>
                <w:rFonts w:eastAsia="宋体"/>
                <w:i/>
                <w:iCs/>
                <w:lang w:eastAsia="sv-SE"/>
              </w:rPr>
              <w:t>servCellIndexLower</w:t>
            </w:r>
            <w:r w:rsidRPr="00FA0D37">
              <w:rPr>
                <w:rFonts w:eastAsia="宋体"/>
                <w:lang w:eastAsia="sv-SE"/>
              </w:rPr>
              <w:t>.</w:t>
            </w:r>
          </w:p>
        </w:tc>
      </w:tr>
      <w:tr w:rsidR="005C7FF4" w:rsidRPr="00FA0D37"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FA0D37" w:rsidRDefault="000103E4" w:rsidP="00DD246F">
            <w:pPr>
              <w:pStyle w:val="TAL"/>
              <w:rPr>
                <w:rFonts w:eastAsia="宋体"/>
                <w:b/>
                <w:bCs/>
                <w:i/>
                <w:iCs/>
                <w:lang w:eastAsia="sv-SE"/>
              </w:rPr>
            </w:pPr>
            <w:r w:rsidRPr="00FA0D37">
              <w:rPr>
                <w:rFonts w:eastAsia="宋体"/>
                <w:b/>
                <w:bCs/>
                <w:i/>
                <w:iCs/>
                <w:lang w:eastAsia="sv-SE"/>
              </w:rPr>
              <w:t>servCellIndexLower</w:t>
            </w:r>
          </w:p>
          <w:p w14:paraId="538D5631" w14:textId="67D4DAAC" w:rsidR="000103E4" w:rsidRPr="00FA0D37" w:rsidRDefault="000103E4" w:rsidP="00DD246F">
            <w:pPr>
              <w:pStyle w:val="TAL"/>
              <w:rPr>
                <w:rFonts w:eastAsia="宋体"/>
                <w:lang w:eastAsia="sv-SE"/>
              </w:rPr>
            </w:pPr>
            <w:r w:rsidRPr="00FA0D37">
              <w:rPr>
                <w:rFonts w:eastAsia="宋体"/>
                <w:lang w:eastAsia="sv-SE"/>
              </w:rPr>
              <w:t xml:space="preserve">Indicates the serving cell index of the lowest edge of the </w:t>
            </w:r>
            <w:r w:rsidRPr="00FA0D37">
              <w:rPr>
                <w:rFonts w:eastAsia="宋体"/>
                <w:i/>
                <w:iCs/>
                <w:lang w:eastAsia="sv-SE"/>
              </w:rPr>
              <w:t>CC-Group</w:t>
            </w:r>
            <w:r w:rsidRPr="00FA0D37">
              <w:rPr>
                <w:rFonts w:eastAsia="宋体"/>
                <w:lang w:eastAsia="sv-SE"/>
              </w:rPr>
              <w:t>.</w:t>
            </w:r>
          </w:p>
        </w:tc>
      </w:tr>
      <w:tr w:rsidR="000103E4" w:rsidRPr="00FA0D37"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FA0D37" w:rsidRDefault="000103E4" w:rsidP="000103E4">
            <w:pPr>
              <w:pStyle w:val="TAL"/>
              <w:rPr>
                <w:rFonts w:eastAsia="宋体"/>
                <w:b/>
                <w:bCs/>
                <w:i/>
                <w:iCs/>
                <w:lang w:eastAsia="sv-SE"/>
              </w:rPr>
            </w:pPr>
            <w:r w:rsidRPr="00FA0D37">
              <w:rPr>
                <w:rFonts w:eastAsia="宋体"/>
                <w:b/>
                <w:bCs/>
                <w:i/>
                <w:iCs/>
                <w:lang w:eastAsia="sv-SE"/>
              </w:rPr>
              <w:t>shift7dot5kHz</w:t>
            </w:r>
          </w:p>
          <w:p w14:paraId="49625728" w14:textId="77777777" w:rsidR="000103E4" w:rsidRPr="00FA0D37" w:rsidRDefault="000103E4" w:rsidP="00DD246F">
            <w:pPr>
              <w:pStyle w:val="TAL"/>
              <w:rPr>
                <w:rFonts w:eastAsia="宋体"/>
                <w:lang w:eastAsia="sv-SE"/>
              </w:rPr>
            </w:pPr>
            <w:r w:rsidRPr="00FA0D37">
              <w:rPr>
                <w:rFonts w:eastAsia="宋体"/>
                <w:lang w:eastAsia="sv-SE"/>
              </w:rPr>
              <w:t xml:space="preserve">Indicates whether there is 7.5 kHz shift or not. 7.5 kHz shift is applied if the field is set to </w:t>
            </w:r>
            <w:r w:rsidRPr="00FA0D37">
              <w:rPr>
                <w:iCs/>
                <w:lang w:eastAsia="en-GB"/>
              </w:rPr>
              <w:t>true</w:t>
            </w:r>
            <w:r w:rsidRPr="00FA0D37">
              <w:rPr>
                <w:rFonts w:eastAsia="宋体"/>
                <w:lang w:eastAsia="sv-SE"/>
              </w:rPr>
              <w:t>, otherwise 7.5 kHz shift is not applied.</w:t>
            </w:r>
          </w:p>
        </w:tc>
      </w:tr>
    </w:tbl>
    <w:p w14:paraId="4DB625DB" w14:textId="77777777" w:rsidR="000103E4" w:rsidRPr="00FA0D37"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FA0D37" w:rsidRDefault="007376D6" w:rsidP="00DD246F">
            <w:pPr>
              <w:pStyle w:val="TAH"/>
              <w:rPr>
                <w:rFonts w:eastAsia="宋体"/>
                <w:lang w:eastAsia="sv-SE"/>
              </w:rPr>
            </w:pPr>
            <w:r w:rsidRPr="00FA0D37">
              <w:rPr>
                <w:rFonts w:eastAsia="宋体"/>
                <w:i/>
                <w:iCs/>
                <w:lang w:eastAsia="sv-SE"/>
              </w:rPr>
              <w:lastRenderedPageBreak/>
              <w:t>DefaultDC-Location</w:t>
            </w:r>
            <w:r w:rsidR="000103E4" w:rsidRPr="00FA0D37">
              <w:rPr>
                <w:rFonts w:eastAsia="宋体"/>
                <w:lang w:eastAsia="sv-SE"/>
              </w:rPr>
              <w:t xml:space="preserve"> field descriptions</w:t>
            </w:r>
          </w:p>
        </w:tc>
      </w:tr>
      <w:tr w:rsidR="005C7FF4" w:rsidRPr="00FA0D37"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FA0D37" w:rsidRDefault="000103E4" w:rsidP="0071565C">
            <w:pPr>
              <w:pStyle w:val="TAL"/>
              <w:rPr>
                <w:rFonts w:eastAsia="宋体"/>
                <w:b/>
                <w:bCs/>
                <w:i/>
                <w:iCs/>
                <w:lang w:eastAsia="sv-SE"/>
              </w:rPr>
            </w:pPr>
            <w:r w:rsidRPr="00FA0D37">
              <w:rPr>
                <w:rFonts w:eastAsia="宋体"/>
                <w:b/>
                <w:bCs/>
                <w:i/>
                <w:iCs/>
                <w:lang w:eastAsia="sv-SE"/>
              </w:rPr>
              <w:t>dl</w:t>
            </w:r>
          </w:p>
          <w:p w14:paraId="1C2BE8E8" w14:textId="77777777" w:rsidR="000103E4" w:rsidRPr="00FA0D37" w:rsidRDefault="000103E4" w:rsidP="0071565C">
            <w:pPr>
              <w:pStyle w:val="TAL"/>
              <w:rPr>
                <w:rFonts w:eastAsia="宋体"/>
                <w:lang w:eastAsia="sv-SE"/>
              </w:rPr>
            </w:pPr>
            <w:r w:rsidRPr="00FA0D37">
              <w:rPr>
                <w:rFonts w:eastAsia="宋体"/>
                <w:lang w:eastAsia="sv-SE"/>
              </w:rPr>
              <w:t>Indicates that the default DC location is derived based on the DL frequencies of the frequency component.</w:t>
            </w:r>
          </w:p>
        </w:tc>
      </w:tr>
      <w:tr w:rsidR="005C7FF4" w:rsidRPr="00FA0D37"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FA0D37" w:rsidRDefault="000103E4" w:rsidP="00DD246F">
            <w:pPr>
              <w:pStyle w:val="TAL"/>
              <w:rPr>
                <w:rFonts w:eastAsia="宋体"/>
                <w:b/>
                <w:bCs/>
                <w:i/>
                <w:iCs/>
                <w:lang w:eastAsia="sv-SE"/>
              </w:rPr>
            </w:pPr>
            <w:r w:rsidRPr="00FA0D37">
              <w:rPr>
                <w:rFonts w:eastAsia="宋体"/>
                <w:b/>
                <w:bCs/>
                <w:i/>
                <w:iCs/>
                <w:lang w:eastAsia="sv-SE"/>
              </w:rPr>
              <w:t>ul</w:t>
            </w:r>
          </w:p>
          <w:p w14:paraId="0C9952BD" w14:textId="77777777" w:rsidR="000103E4" w:rsidRPr="00FA0D37" w:rsidRDefault="000103E4" w:rsidP="00DD246F">
            <w:pPr>
              <w:pStyle w:val="TAL"/>
              <w:rPr>
                <w:rFonts w:eastAsia="宋体"/>
                <w:lang w:eastAsia="sv-SE"/>
              </w:rPr>
            </w:pPr>
            <w:r w:rsidRPr="00FA0D37">
              <w:rPr>
                <w:rFonts w:eastAsia="宋体"/>
                <w:lang w:eastAsia="sv-SE"/>
              </w:rPr>
              <w:t>Indicates that the default DC location is derived based on the UL frequencies of the frequency component.</w:t>
            </w:r>
          </w:p>
        </w:tc>
      </w:tr>
      <w:tr w:rsidR="000103E4" w:rsidRPr="00FA0D37"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FA0D37" w:rsidRDefault="000103E4" w:rsidP="00DD246F">
            <w:pPr>
              <w:pStyle w:val="TAL"/>
              <w:rPr>
                <w:rFonts w:eastAsia="宋体"/>
                <w:b/>
                <w:bCs/>
                <w:i/>
                <w:iCs/>
                <w:lang w:eastAsia="sv-SE"/>
              </w:rPr>
            </w:pPr>
            <w:r w:rsidRPr="00FA0D37">
              <w:rPr>
                <w:rFonts w:eastAsia="宋体"/>
                <w:b/>
                <w:bCs/>
                <w:i/>
                <w:iCs/>
                <w:lang w:eastAsia="sv-SE"/>
              </w:rPr>
              <w:t>ulAndDL</w:t>
            </w:r>
          </w:p>
          <w:p w14:paraId="52FB2DA7" w14:textId="5FBB8E99" w:rsidR="000103E4" w:rsidRPr="00FA0D37" w:rsidRDefault="000103E4" w:rsidP="00DD246F">
            <w:pPr>
              <w:pStyle w:val="TAL"/>
              <w:rPr>
                <w:rFonts w:eastAsia="宋体"/>
                <w:lang w:eastAsia="sv-SE"/>
              </w:rPr>
            </w:pPr>
            <w:r w:rsidRPr="00FA0D37">
              <w:rPr>
                <w:rFonts w:eastAsia="宋体"/>
                <w:lang w:eastAsia="sv-SE"/>
              </w:rPr>
              <w:t>Indicates that the default DC location is derived based on the edge most frequencies among any DL and UL frequency components.</w:t>
            </w:r>
          </w:p>
        </w:tc>
      </w:tr>
    </w:tbl>
    <w:p w14:paraId="7CC89575" w14:textId="77777777" w:rsidR="000103E4" w:rsidRPr="00FA0D37" w:rsidRDefault="000103E4" w:rsidP="00E46198"/>
    <w:p w14:paraId="08F2698A" w14:textId="77777777" w:rsidR="00E46198" w:rsidRPr="00FA0D37" w:rsidRDefault="00E46198" w:rsidP="00E46198">
      <w:pPr>
        <w:pStyle w:val="4"/>
        <w:rPr>
          <w:rFonts w:eastAsia="宋体"/>
        </w:rPr>
      </w:pPr>
      <w:bookmarkStart w:id="1498" w:name="_Toc146781523"/>
      <w:r w:rsidRPr="00FA0D37">
        <w:rPr>
          <w:rFonts w:eastAsia="宋体"/>
        </w:rPr>
        <w:t>–</w:t>
      </w:r>
      <w:r w:rsidRPr="00FA0D37">
        <w:rPr>
          <w:rFonts w:eastAsia="宋体"/>
        </w:rPr>
        <w:tab/>
      </w:r>
      <w:r w:rsidRPr="00FA0D37">
        <w:rPr>
          <w:rFonts w:eastAsia="宋体"/>
          <w:i/>
        </w:rPr>
        <w:t>UplinkTxDirectCurrentTwoCarrierList</w:t>
      </w:r>
      <w:bookmarkEnd w:id="1498"/>
    </w:p>
    <w:p w14:paraId="56C78269" w14:textId="77777777" w:rsidR="00E46198" w:rsidRPr="00FA0D37" w:rsidRDefault="00E46198" w:rsidP="00E46198">
      <w:pPr>
        <w:rPr>
          <w:rFonts w:eastAsia="宋体"/>
        </w:rPr>
      </w:pPr>
      <w:r w:rsidRPr="00FA0D37">
        <w:rPr>
          <w:rFonts w:eastAsia="宋体"/>
        </w:rPr>
        <w:t xml:space="preserve">The IE </w:t>
      </w:r>
      <w:r w:rsidRPr="00FA0D37">
        <w:rPr>
          <w:rFonts w:eastAsia="宋体"/>
          <w:i/>
        </w:rPr>
        <w:t>UplinkTxDirectCurrentTwoCarrierList</w:t>
      </w:r>
      <w:r w:rsidRPr="00FA0D37">
        <w:rPr>
          <w:rFonts w:eastAsia="宋体"/>
        </w:rPr>
        <w:t xml:space="preserve"> indicates the Tx Direct Current locations when </w:t>
      </w:r>
      <w:r w:rsidRPr="00FA0D37">
        <w:rPr>
          <w:szCs w:val="22"/>
          <w:lang w:eastAsia="sv-SE"/>
        </w:rPr>
        <w:t>uplink intra-band CA with two carriers is configured</w:t>
      </w:r>
      <w:r w:rsidRPr="00FA0D37">
        <w:rPr>
          <w:rFonts w:eastAsia="宋体"/>
        </w:rPr>
        <w:t xml:space="preserve">, based on the configured carriers and BWP numerology and the associated carrier bandwidth of the carriers. </w:t>
      </w:r>
      <w:r w:rsidRPr="00FA0D37">
        <w:rPr>
          <w:rFonts w:eastAsia="Calibri"/>
          <w:szCs w:val="22"/>
          <w:lang w:eastAsia="sv-SE"/>
        </w:rPr>
        <w:t>The UE does not report the uplink Direct Current location information for SUL carrier(s).</w:t>
      </w:r>
    </w:p>
    <w:p w14:paraId="3EE2E796" w14:textId="77777777" w:rsidR="00E46198" w:rsidRPr="00FA0D37" w:rsidRDefault="00E46198" w:rsidP="00E46198">
      <w:pPr>
        <w:pStyle w:val="TH"/>
        <w:rPr>
          <w:rFonts w:eastAsia="宋体"/>
        </w:rPr>
      </w:pPr>
      <w:r w:rsidRPr="00FA0D37">
        <w:rPr>
          <w:rFonts w:eastAsia="宋体"/>
          <w:i/>
        </w:rPr>
        <w:t>UplinkTxDirectCurrentTwoCarrierList</w:t>
      </w:r>
      <w:r w:rsidRPr="00FA0D37">
        <w:rPr>
          <w:rFonts w:eastAsia="宋体"/>
        </w:rPr>
        <w:t xml:space="preserve"> information element</w:t>
      </w:r>
    </w:p>
    <w:p w14:paraId="21DB3F7C" w14:textId="77777777" w:rsidR="00E46198" w:rsidRPr="00FA0D37" w:rsidRDefault="00E46198" w:rsidP="00FA0D37">
      <w:pPr>
        <w:pStyle w:val="PL"/>
        <w:rPr>
          <w:color w:val="808080"/>
        </w:rPr>
      </w:pPr>
      <w:r w:rsidRPr="00FA0D37">
        <w:rPr>
          <w:color w:val="808080"/>
        </w:rPr>
        <w:t>-- ASN1START</w:t>
      </w:r>
    </w:p>
    <w:p w14:paraId="731F314A" w14:textId="77777777" w:rsidR="00E46198" w:rsidRPr="00FA0D37" w:rsidRDefault="00E46198" w:rsidP="00FA0D37">
      <w:pPr>
        <w:pStyle w:val="PL"/>
        <w:rPr>
          <w:color w:val="808080"/>
        </w:rPr>
      </w:pPr>
      <w:r w:rsidRPr="00FA0D37">
        <w:rPr>
          <w:color w:val="808080"/>
        </w:rPr>
        <w:t>-- TAG-UPLINKTXDIRECTCURRENTTWOCARRIERLIST-START</w:t>
      </w:r>
    </w:p>
    <w:p w14:paraId="0EB2DB66" w14:textId="77777777" w:rsidR="00E46198" w:rsidRPr="00FA0D37" w:rsidRDefault="00E46198" w:rsidP="00FA0D37">
      <w:pPr>
        <w:pStyle w:val="PL"/>
      </w:pPr>
    </w:p>
    <w:p w14:paraId="7E9780BD" w14:textId="4AAF7C6B" w:rsidR="00E46198" w:rsidRPr="00FA0D37" w:rsidRDefault="00E46198" w:rsidP="00FA0D37">
      <w:pPr>
        <w:pStyle w:val="PL"/>
      </w:pPr>
      <w:r w:rsidRPr="00FA0D37">
        <w:t xml:space="preserve">UplinkTxDirectCurrentTwoCarrierList-r16 ::=   </w:t>
      </w:r>
      <w:r w:rsidRPr="00FA0D37">
        <w:rPr>
          <w:color w:val="993366"/>
        </w:rPr>
        <w:t>SEQUENCE</w:t>
      </w:r>
      <w:r w:rsidRPr="00FA0D37">
        <w:t xml:space="preserve"> (</w:t>
      </w:r>
      <w:r w:rsidRPr="00FA0D37">
        <w:rPr>
          <w:color w:val="993366"/>
        </w:rPr>
        <w:t>SIZE</w:t>
      </w:r>
      <w:r w:rsidRPr="00FA0D37">
        <w:t xml:space="preserve"> (1..maxNrofTxDC-TwoCarrier-r16))</w:t>
      </w:r>
      <w:r w:rsidRPr="00FA0D37">
        <w:rPr>
          <w:color w:val="993366"/>
        </w:rPr>
        <w:t xml:space="preserve"> OF</w:t>
      </w:r>
      <w:r w:rsidRPr="00FA0D37">
        <w:t xml:space="preserve"> UplinkTxDirectCurrentTwoCarrier-r16</w:t>
      </w:r>
    </w:p>
    <w:p w14:paraId="1532C4B4" w14:textId="77777777" w:rsidR="00E46198" w:rsidRPr="00FA0D37" w:rsidRDefault="00E46198" w:rsidP="00FA0D37">
      <w:pPr>
        <w:pStyle w:val="PL"/>
      </w:pPr>
    </w:p>
    <w:p w14:paraId="57B0F28C" w14:textId="2B01027B" w:rsidR="00E46198" w:rsidRPr="00FA0D37" w:rsidRDefault="00E46198" w:rsidP="00FA0D37">
      <w:pPr>
        <w:pStyle w:val="PL"/>
      </w:pPr>
      <w:r w:rsidRPr="00FA0D37">
        <w:t xml:space="preserve">UplinkTxDirectCurrentTwoCarrier-r16 ::=       </w:t>
      </w:r>
      <w:r w:rsidRPr="00FA0D37">
        <w:rPr>
          <w:color w:val="993366"/>
        </w:rPr>
        <w:t>SEQUENCE</w:t>
      </w:r>
      <w:r w:rsidRPr="00FA0D37">
        <w:t xml:space="preserve"> {</w:t>
      </w:r>
    </w:p>
    <w:p w14:paraId="3A55D7CD" w14:textId="603ECF52" w:rsidR="00E46198" w:rsidRPr="00FA0D37" w:rsidRDefault="00E46198" w:rsidP="00FA0D37">
      <w:pPr>
        <w:pStyle w:val="PL"/>
      </w:pPr>
      <w:r w:rsidRPr="00FA0D37">
        <w:t xml:space="preserve">    carrierOneInfo-r16                            UplinkTxDirectCurrentCarrierInfo-r16,</w:t>
      </w:r>
    </w:p>
    <w:p w14:paraId="0A449F61" w14:textId="7186D18C" w:rsidR="00E46198" w:rsidRPr="00FA0D37" w:rsidRDefault="00E46198" w:rsidP="00FA0D37">
      <w:pPr>
        <w:pStyle w:val="PL"/>
      </w:pPr>
      <w:r w:rsidRPr="00FA0D37">
        <w:t xml:space="preserve">    carrierTwoInfo-r16                            UplinkTxDirectCurrentCarrierInfo-r16,</w:t>
      </w:r>
    </w:p>
    <w:p w14:paraId="05A2FFCB" w14:textId="169515EA" w:rsidR="00E46198" w:rsidRPr="00FA0D37" w:rsidRDefault="00E46198" w:rsidP="00FA0D37">
      <w:pPr>
        <w:pStyle w:val="PL"/>
      </w:pPr>
      <w:r w:rsidRPr="00FA0D37">
        <w:t xml:space="preserve">    singlePA-TxDirectCurrent-r16                  UplinkTxDirectCurrentTwoCarrierInfo-r16,</w:t>
      </w:r>
    </w:p>
    <w:p w14:paraId="593BC106" w14:textId="0B650938" w:rsidR="00E46198" w:rsidRPr="00FA0D37" w:rsidRDefault="00E46198" w:rsidP="00FA0D37">
      <w:pPr>
        <w:pStyle w:val="PL"/>
      </w:pPr>
      <w:r w:rsidRPr="00FA0D37">
        <w:t xml:space="preserve">    secondPA-TxDirectCurrent-r16                  UplinkTxDirectCurrentTwoCarrierInfo-r16            </w:t>
      </w:r>
      <w:r w:rsidRPr="00FA0D37">
        <w:rPr>
          <w:color w:val="993366"/>
        </w:rPr>
        <w:t>OPTIONAL</w:t>
      </w:r>
    </w:p>
    <w:p w14:paraId="6468D872" w14:textId="77777777" w:rsidR="00E46198" w:rsidRPr="00FA0D37" w:rsidRDefault="00E46198" w:rsidP="00FA0D37">
      <w:pPr>
        <w:pStyle w:val="PL"/>
      </w:pPr>
      <w:r w:rsidRPr="00FA0D37">
        <w:t>}</w:t>
      </w:r>
    </w:p>
    <w:p w14:paraId="25448261" w14:textId="77777777" w:rsidR="00E46198" w:rsidRPr="00FA0D37" w:rsidRDefault="00E46198" w:rsidP="00FA0D37">
      <w:pPr>
        <w:pStyle w:val="PL"/>
      </w:pPr>
    </w:p>
    <w:p w14:paraId="504A8B78" w14:textId="3B5A1643" w:rsidR="00E46198" w:rsidRPr="00FA0D37" w:rsidRDefault="00E46198" w:rsidP="00FA0D37">
      <w:pPr>
        <w:pStyle w:val="PL"/>
      </w:pPr>
      <w:r w:rsidRPr="00FA0D37">
        <w:t xml:space="preserve">UplinkTxDirectCurrentCarrierInfo-r16 ::=      </w:t>
      </w:r>
      <w:r w:rsidRPr="00FA0D37">
        <w:rPr>
          <w:color w:val="993366"/>
        </w:rPr>
        <w:t>SEQUENCE</w:t>
      </w:r>
      <w:r w:rsidRPr="00FA0D37">
        <w:t xml:space="preserve"> {</w:t>
      </w:r>
    </w:p>
    <w:p w14:paraId="56D55854" w14:textId="48624600" w:rsidR="00E46198" w:rsidRPr="00FA0D37" w:rsidRDefault="00E46198" w:rsidP="00FA0D37">
      <w:pPr>
        <w:pStyle w:val="PL"/>
      </w:pPr>
      <w:r w:rsidRPr="00FA0D37">
        <w:t xml:space="preserve">    servCellIndex-r16                             ServCellIndex,</w:t>
      </w:r>
    </w:p>
    <w:p w14:paraId="51AA7145" w14:textId="086E03C6" w:rsidR="00E46198" w:rsidRPr="00FA0D37" w:rsidRDefault="00E46198" w:rsidP="00FA0D37">
      <w:pPr>
        <w:pStyle w:val="PL"/>
      </w:pPr>
      <w:r w:rsidRPr="00FA0D37">
        <w:t xml:space="preserve">    servCellInfo-r16                              </w:t>
      </w:r>
      <w:r w:rsidRPr="00FA0D37">
        <w:rPr>
          <w:color w:val="993366"/>
        </w:rPr>
        <w:t>CHOICE</w:t>
      </w:r>
      <w:r w:rsidRPr="00FA0D37">
        <w:t xml:space="preserve"> {</w:t>
      </w:r>
    </w:p>
    <w:p w14:paraId="12C84D58" w14:textId="4A9F7736" w:rsidR="00E46198" w:rsidRPr="00FA0D37" w:rsidRDefault="00E46198" w:rsidP="00FA0D37">
      <w:pPr>
        <w:pStyle w:val="PL"/>
      </w:pPr>
      <w:r w:rsidRPr="00FA0D37">
        <w:t xml:space="preserve">        bwp-Id-r16                                    BWP-Id,</w:t>
      </w:r>
    </w:p>
    <w:p w14:paraId="294BE450" w14:textId="3DDE57FA" w:rsidR="00E46198" w:rsidRPr="00FA0D37" w:rsidRDefault="00E46198" w:rsidP="00FA0D37">
      <w:pPr>
        <w:pStyle w:val="PL"/>
      </w:pPr>
      <w:r w:rsidRPr="00FA0D37">
        <w:t xml:space="preserve">        deactivatedCarrier-r16                        </w:t>
      </w:r>
      <w:r w:rsidRPr="00FA0D37">
        <w:rPr>
          <w:color w:val="993366"/>
        </w:rPr>
        <w:t>ENUMERATED</w:t>
      </w:r>
      <w:r w:rsidRPr="00FA0D37">
        <w:t xml:space="preserve"> {deactivated}</w:t>
      </w:r>
    </w:p>
    <w:p w14:paraId="5F82A581" w14:textId="09C7860E" w:rsidR="00E46198" w:rsidRPr="00FA0D37" w:rsidRDefault="00E46198" w:rsidP="00FA0D37">
      <w:pPr>
        <w:pStyle w:val="PL"/>
      </w:pPr>
      <w:r w:rsidRPr="00FA0D37">
        <w:t xml:space="preserve">    }</w:t>
      </w:r>
    </w:p>
    <w:p w14:paraId="32143AE7" w14:textId="77777777" w:rsidR="00E46198" w:rsidRPr="00FA0D37" w:rsidRDefault="00E46198" w:rsidP="00FA0D37">
      <w:pPr>
        <w:pStyle w:val="PL"/>
      </w:pPr>
      <w:r w:rsidRPr="00FA0D37">
        <w:t>}</w:t>
      </w:r>
    </w:p>
    <w:p w14:paraId="4D247F1E" w14:textId="77777777" w:rsidR="00E46198" w:rsidRPr="00FA0D37" w:rsidRDefault="00E46198" w:rsidP="00FA0D37">
      <w:pPr>
        <w:pStyle w:val="PL"/>
      </w:pPr>
    </w:p>
    <w:p w14:paraId="0C2D7B84" w14:textId="2ABDBAAE" w:rsidR="00E46198" w:rsidRPr="00FA0D37" w:rsidRDefault="00E46198" w:rsidP="00FA0D37">
      <w:pPr>
        <w:pStyle w:val="PL"/>
      </w:pPr>
      <w:r w:rsidRPr="00FA0D37">
        <w:t xml:space="preserve">UplinkTxDirectCurrentTwoCarrierInfo-r16 ::=   </w:t>
      </w:r>
      <w:r w:rsidRPr="00FA0D37">
        <w:rPr>
          <w:color w:val="993366"/>
        </w:rPr>
        <w:t>SEQUENCE</w:t>
      </w:r>
      <w:r w:rsidRPr="00FA0D37">
        <w:t xml:space="preserve"> {</w:t>
      </w:r>
    </w:p>
    <w:p w14:paraId="47E833B8" w14:textId="0DD0DC11" w:rsidR="00E46198" w:rsidRPr="00FA0D37" w:rsidRDefault="00E46198" w:rsidP="00FA0D37">
      <w:pPr>
        <w:pStyle w:val="PL"/>
      </w:pPr>
      <w:r w:rsidRPr="00FA0D37">
        <w:t xml:space="preserve">    referenceCarrierIndex-r16                     ServCellIndex,</w:t>
      </w:r>
    </w:p>
    <w:p w14:paraId="3214FF99" w14:textId="6D0930C7" w:rsidR="00E46198" w:rsidRPr="00FA0D37" w:rsidRDefault="00E46198" w:rsidP="00FA0D37">
      <w:pPr>
        <w:pStyle w:val="PL"/>
      </w:pPr>
      <w:r w:rsidRPr="00FA0D37">
        <w:t xml:space="preserve">    shift7dot5kHz-r16                             </w:t>
      </w:r>
      <w:r w:rsidRPr="00FA0D37">
        <w:rPr>
          <w:color w:val="993366"/>
        </w:rPr>
        <w:t>BOOLEAN</w:t>
      </w:r>
      <w:r w:rsidRPr="00FA0D37">
        <w:t>,</w:t>
      </w:r>
    </w:p>
    <w:p w14:paraId="6A9E5DAE" w14:textId="074D6D3C" w:rsidR="00E46198" w:rsidRPr="00FA0D37" w:rsidRDefault="00E46198" w:rsidP="00FA0D37">
      <w:pPr>
        <w:pStyle w:val="PL"/>
      </w:pPr>
      <w:r w:rsidRPr="00FA0D37">
        <w:t xml:space="preserve">    txDirectCurrentLocation-r16                   </w:t>
      </w:r>
      <w:r w:rsidRPr="00FA0D37">
        <w:rPr>
          <w:color w:val="993366"/>
        </w:rPr>
        <w:t>INTEGER</w:t>
      </w:r>
      <w:r w:rsidRPr="00FA0D37">
        <w:t xml:space="preserve"> (0..3301)</w:t>
      </w:r>
    </w:p>
    <w:p w14:paraId="587CD8E4" w14:textId="77777777" w:rsidR="00E46198" w:rsidRPr="00FA0D37" w:rsidRDefault="00E46198" w:rsidP="00FA0D37">
      <w:pPr>
        <w:pStyle w:val="PL"/>
      </w:pPr>
      <w:r w:rsidRPr="00FA0D37">
        <w:t>}</w:t>
      </w:r>
    </w:p>
    <w:p w14:paraId="48998642" w14:textId="77777777" w:rsidR="00E46198" w:rsidRPr="00FA0D37" w:rsidRDefault="00E46198" w:rsidP="00FA0D37">
      <w:pPr>
        <w:pStyle w:val="PL"/>
      </w:pPr>
    </w:p>
    <w:p w14:paraId="44C06D3D" w14:textId="77777777" w:rsidR="00E46198" w:rsidRPr="00FA0D37" w:rsidRDefault="00E46198" w:rsidP="00FA0D37">
      <w:pPr>
        <w:pStyle w:val="PL"/>
        <w:rPr>
          <w:color w:val="808080"/>
        </w:rPr>
      </w:pPr>
      <w:r w:rsidRPr="00FA0D37">
        <w:rPr>
          <w:color w:val="808080"/>
        </w:rPr>
        <w:t>-- TAG-UPLINKTXDIRECTCURRENTTWOCARRIERLIST-STOP</w:t>
      </w:r>
    </w:p>
    <w:p w14:paraId="252BA024" w14:textId="77777777" w:rsidR="00E46198" w:rsidRPr="00FA0D37" w:rsidRDefault="00E46198" w:rsidP="00FA0D37">
      <w:pPr>
        <w:pStyle w:val="PL"/>
        <w:rPr>
          <w:color w:val="808080"/>
        </w:rPr>
      </w:pPr>
      <w:r w:rsidRPr="00FA0D37">
        <w:rPr>
          <w:color w:val="808080"/>
        </w:rPr>
        <w:t>-- ASN1STOP</w:t>
      </w:r>
    </w:p>
    <w:p w14:paraId="15AB5CE6" w14:textId="77777777" w:rsidR="00E46198" w:rsidRPr="00FA0D37" w:rsidRDefault="00E46198" w:rsidP="00E4619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FA0D37" w:rsidRDefault="00E46198" w:rsidP="00DB6EED">
            <w:pPr>
              <w:pStyle w:val="TAH"/>
              <w:rPr>
                <w:rFonts w:eastAsia="宋体"/>
                <w:szCs w:val="22"/>
                <w:lang w:eastAsia="sv-SE"/>
              </w:rPr>
            </w:pPr>
            <w:r w:rsidRPr="00FA0D37">
              <w:rPr>
                <w:rFonts w:eastAsia="宋体"/>
                <w:i/>
                <w:szCs w:val="22"/>
                <w:lang w:eastAsia="sv-SE"/>
              </w:rPr>
              <w:lastRenderedPageBreak/>
              <w:t xml:space="preserve">UplinkTxDirectCurrentTwoCarrierInfo </w:t>
            </w:r>
            <w:r w:rsidRPr="00FA0D37">
              <w:rPr>
                <w:rFonts w:eastAsia="宋体"/>
                <w:szCs w:val="22"/>
                <w:lang w:eastAsia="sv-SE"/>
              </w:rPr>
              <w:t>field descriptions</w:t>
            </w:r>
          </w:p>
        </w:tc>
      </w:tr>
      <w:tr w:rsidR="005C7FF4" w:rsidRPr="00FA0D37"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FA0D37" w:rsidRDefault="00E46198" w:rsidP="00DB6EED">
            <w:pPr>
              <w:pStyle w:val="TAL"/>
              <w:rPr>
                <w:rFonts w:eastAsia="宋体"/>
                <w:szCs w:val="22"/>
                <w:lang w:eastAsia="sv-SE"/>
              </w:rPr>
            </w:pPr>
            <w:r w:rsidRPr="00FA0D37">
              <w:rPr>
                <w:rFonts w:eastAsia="宋体"/>
                <w:b/>
                <w:i/>
                <w:szCs w:val="22"/>
                <w:lang w:eastAsia="sv-SE"/>
              </w:rPr>
              <w:t>referenceCarrierIndex</w:t>
            </w:r>
          </w:p>
          <w:p w14:paraId="6C56A297" w14:textId="77777777" w:rsidR="00E46198" w:rsidRPr="00FA0D37" w:rsidRDefault="00E46198" w:rsidP="00DB6EED">
            <w:pPr>
              <w:pStyle w:val="TAL"/>
              <w:rPr>
                <w:rFonts w:eastAsia="宋体"/>
                <w:szCs w:val="22"/>
                <w:lang w:eastAsia="sv-SE"/>
              </w:rPr>
            </w:pPr>
            <w:r w:rsidRPr="00FA0D37">
              <w:rPr>
                <w:rFonts w:eastAsia="宋体"/>
                <w:szCs w:val="22"/>
                <w:lang w:eastAsia="sv-SE"/>
              </w:rPr>
              <w:t xml:space="preserve">The serving cell ID of the carrier which is to be used as the reference for interpreting the Tx Direction Current location as reported using </w:t>
            </w:r>
            <w:r w:rsidRPr="00FA0D37">
              <w:rPr>
                <w:rFonts w:eastAsia="宋体"/>
                <w:i/>
                <w:iCs/>
                <w:szCs w:val="22"/>
                <w:lang w:eastAsia="sv-SE"/>
              </w:rPr>
              <w:t>txDirectCurrentLocation-r16</w:t>
            </w:r>
            <w:r w:rsidRPr="00FA0D37">
              <w:rPr>
                <w:rFonts w:eastAsia="宋体"/>
                <w:szCs w:val="22"/>
                <w:lang w:eastAsia="sv-SE"/>
              </w:rPr>
              <w:t xml:space="preserve">. The numerology of the uplink BWP ID reported with </w:t>
            </w:r>
            <w:r w:rsidRPr="00FA0D37">
              <w:rPr>
                <w:rFonts w:eastAsia="宋体"/>
                <w:i/>
                <w:iCs/>
                <w:szCs w:val="22"/>
                <w:lang w:eastAsia="sv-SE"/>
              </w:rPr>
              <w:t xml:space="preserve">bwp-Id-r16 </w:t>
            </w:r>
            <w:r w:rsidRPr="00FA0D37">
              <w:rPr>
                <w:rFonts w:eastAsia="宋体"/>
                <w:szCs w:val="22"/>
                <w:lang w:eastAsia="sv-SE"/>
              </w:rPr>
              <w:t xml:space="preserve">for this serving cell is the numerology used for interpreting the reported subcarrier location. </w:t>
            </w:r>
          </w:p>
        </w:tc>
      </w:tr>
      <w:tr w:rsidR="005C7FF4" w:rsidRPr="00FA0D37"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FA0D37" w:rsidRDefault="00E46198" w:rsidP="00DB6EED">
            <w:pPr>
              <w:pStyle w:val="TAL"/>
              <w:rPr>
                <w:rFonts w:eastAsia="宋体"/>
                <w:szCs w:val="22"/>
                <w:lang w:eastAsia="sv-SE"/>
              </w:rPr>
            </w:pPr>
            <w:r w:rsidRPr="00FA0D37">
              <w:rPr>
                <w:rFonts w:eastAsia="宋体"/>
                <w:b/>
                <w:i/>
                <w:szCs w:val="22"/>
                <w:lang w:eastAsia="sv-SE"/>
              </w:rPr>
              <w:t>shift7dot5kHz</w:t>
            </w:r>
          </w:p>
          <w:p w14:paraId="31251EA2" w14:textId="77777777" w:rsidR="00E46198" w:rsidRPr="00FA0D37" w:rsidRDefault="00E46198" w:rsidP="00DB6EED">
            <w:pPr>
              <w:pStyle w:val="TAL"/>
              <w:rPr>
                <w:rFonts w:eastAsia="宋体"/>
                <w:szCs w:val="22"/>
                <w:lang w:eastAsia="sv-SE"/>
              </w:rPr>
            </w:pPr>
            <w:r w:rsidRPr="00FA0D37">
              <w:rPr>
                <w:rFonts w:eastAsia="宋体"/>
                <w:szCs w:val="22"/>
                <w:lang w:eastAsia="sv-SE"/>
              </w:rPr>
              <w:t xml:space="preserve">Indicates whether there is 7.5 kHz shift or not. 7.5 kHz shift is applied if the field is set to </w:t>
            </w:r>
            <w:r w:rsidRPr="00FA0D37">
              <w:rPr>
                <w:i/>
                <w:iCs/>
                <w:lang w:eastAsia="en-GB"/>
              </w:rPr>
              <w:t>true</w:t>
            </w:r>
            <w:r w:rsidRPr="00FA0D37">
              <w:rPr>
                <w:rFonts w:eastAsia="宋体"/>
                <w:szCs w:val="22"/>
                <w:lang w:eastAsia="sv-SE"/>
              </w:rPr>
              <w:t>. Otherwise 7.5 kHz shift is not applied.</w:t>
            </w:r>
          </w:p>
        </w:tc>
      </w:tr>
      <w:tr w:rsidR="00E46198" w:rsidRPr="00FA0D37"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FA0D37" w:rsidRDefault="00E46198" w:rsidP="00DB6EED">
            <w:pPr>
              <w:pStyle w:val="TAL"/>
              <w:rPr>
                <w:rFonts w:eastAsia="宋体"/>
                <w:szCs w:val="22"/>
                <w:lang w:eastAsia="sv-SE"/>
              </w:rPr>
            </w:pPr>
            <w:r w:rsidRPr="00FA0D37">
              <w:rPr>
                <w:rFonts w:eastAsia="宋体"/>
                <w:b/>
                <w:i/>
                <w:szCs w:val="22"/>
                <w:lang w:eastAsia="sv-SE"/>
              </w:rPr>
              <w:t>txDirectCurrentLocation</w:t>
            </w:r>
          </w:p>
          <w:p w14:paraId="27C4BE6E" w14:textId="77777777" w:rsidR="00E46198" w:rsidRPr="00FA0D37" w:rsidRDefault="00E46198" w:rsidP="00DB6EED">
            <w:pPr>
              <w:pStyle w:val="TAL"/>
              <w:rPr>
                <w:rFonts w:eastAsia="宋体"/>
                <w:szCs w:val="22"/>
                <w:lang w:eastAsia="sv-SE"/>
              </w:rPr>
            </w:pPr>
            <w:r w:rsidRPr="00FA0D37">
              <w:rPr>
                <w:rFonts w:eastAsia="宋体"/>
                <w:szCs w:val="22"/>
                <w:lang w:eastAsia="sv-SE"/>
              </w:rPr>
              <w:t xml:space="preserve">The uplink Tx Direct Current location for the two carrier uplink CA with the serving cells reported using </w:t>
            </w:r>
            <w:r w:rsidRPr="00FA0D37">
              <w:rPr>
                <w:rFonts w:eastAsia="宋体"/>
                <w:i/>
                <w:iCs/>
                <w:szCs w:val="22"/>
                <w:lang w:eastAsia="sv-SE"/>
              </w:rPr>
              <w:t xml:space="preserve">carrierOneInfo-r16 </w:t>
            </w:r>
            <w:r w:rsidRPr="00FA0D37">
              <w:rPr>
                <w:rFonts w:eastAsia="宋体"/>
                <w:szCs w:val="22"/>
                <w:lang w:eastAsia="sv-SE"/>
              </w:rPr>
              <w:t xml:space="preserve">and </w:t>
            </w:r>
            <w:r w:rsidRPr="00FA0D37">
              <w:rPr>
                <w:rFonts w:eastAsia="宋体"/>
                <w:i/>
                <w:iCs/>
                <w:szCs w:val="22"/>
                <w:lang w:eastAsia="sv-SE"/>
              </w:rPr>
              <w:t>carrierTwoInfo-r16</w:t>
            </w:r>
            <w:r w:rsidRPr="00FA0D37">
              <w:rPr>
                <w:rFonts w:eastAsia="宋体"/>
                <w:szCs w:val="22"/>
                <w:lang w:eastAsia="sv-SE"/>
              </w:rPr>
              <w:t xml:space="preserve">. Values in the range of this field between 0 and 3299 indicate the subcarrier index of the uplink Tx Direct Current location with the subcarrier taken from the serving cell with ID </w:t>
            </w:r>
            <w:r w:rsidRPr="00FA0D37">
              <w:rPr>
                <w:rFonts w:eastAsia="宋体"/>
                <w:i/>
                <w:iCs/>
                <w:szCs w:val="22"/>
                <w:lang w:eastAsia="sv-SE"/>
              </w:rPr>
              <w:t>referenceCarrierIndex</w:t>
            </w:r>
            <w:r w:rsidRPr="00FA0D37">
              <w:rPr>
                <w:rFonts w:eastAsia="宋体"/>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FA0D37" w:rsidRDefault="00E46198" w:rsidP="00E4619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FA0D37" w:rsidRDefault="00E46198" w:rsidP="00DB6EED">
            <w:pPr>
              <w:pStyle w:val="TAH"/>
              <w:rPr>
                <w:rFonts w:eastAsia="宋体"/>
                <w:szCs w:val="22"/>
                <w:lang w:eastAsia="sv-SE"/>
              </w:rPr>
            </w:pPr>
            <w:r w:rsidRPr="00FA0D37">
              <w:rPr>
                <w:rFonts w:eastAsia="宋体"/>
                <w:i/>
                <w:szCs w:val="22"/>
                <w:lang w:eastAsia="sv-SE"/>
              </w:rPr>
              <w:t xml:space="preserve">UplinkTxDirectCurrentCarrierInfo </w:t>
            </w:r>
            <w:r w:rsidRPr="00FA0D37">
              <w:rPr>
                <w:rFonts w:eastAsia="宋体"/>
                <w:szCs w:val="22"/>
                <w:lang w:eastAsia="sv-SE"/>
              </w:rPr>
              <w:t>field descriptions</w:t>
            </w:r>
          </w:p>
        </w:tc>
      </w:tr>
      <w:tr w:rsidR="005C7FF4" w:rsidRPr="00FA0D37"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FA0D37" w:rsidRDefault="00E46198" w:rsidP="00DB6EED">
            <w:pPr>
              <w:pStyle w:val="TAL"/>
              <w:rPr>
                <w:rFonts w:eastAsia="宋体"/>
                <w:szCs w:val="22"/>
                <w:lang w:eastAsia="sv-SE"/>
              </w:rPr>
            </w:pPr>
            <w:r w:rsidRPr="00FA0D37">
              <w:rPr>
                <w:rFonts w:eastAsia="宋体"/>
                <w:b/>
                <w:i/>
                <w:szCs w:val="22"/>
                <w:lang w:eastAsia="sv-SE"/>
              </w:rPr>
              <w:t>bwp-Id</w:t>
            </w:r>
          </w:p>
          <w:p w14:paraId="00155F15" w14:textId="77777777" w:rsidR="00E46198" w:rsidRPr="00FA0D37" w:rsidRDefault="00E46198" w:rsidP="00DB6EED">
            <w:pPr>
              <w:pStyle w:val="TAL"/>
              <w:rPr>
                <w:rFonts w:eastAsia="宋体"/>
                <w:szCs w:val="22"/>
                <w:lang w:eastAsia="sv-SE"/>
              </w:rPr>
            </w:pPr>
            <w:r w:rsidRPr="00FA0D37">
              <w:rPr>
                <w:rFonts w:eastAsia="宋体"/>
                <w:szCs w:val="22"/>
                <w:lang w:eastAsia="sv-SE"/>
              </w:rPr>
              <w:t xml:space="preserve">The BWP ID of the serving cell which is part of the two carrier uplink carrier aggregation. The UE shall not report this field if the serving cell is reported as deactivated using </w:t>
            </w:r>
            <w:r w:rsidRPr="00FA0D37">
              <w:rPr>
                <w:rFonts w:eastAsia="宋体"/>
                <w:i/>
                <w:iCs/>
                <w:szCs w:val="22"/>
                <w:lang w:eastAsia="sv-SE"/>
              </w:rPr>
              <w:t>deactivatedCarrier-r16.</w:t>
            </w:r>
          </w:p>
        </w:tc>
      </w:tr>
      <w:tr w:rsidR="005C7FF4" w:rsidRPr="00FA0D37"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FA0D37" w:rsidRDefault="00E46198" w:rsidP="00DB6EED">
            <w:pPr>
              <w:pStyle w:val="TAL"/>
              <w:rPr>
                <w:rFonts w:eastAsia="宋体"/>
                <w:b/>
                <w:i/>
                <w:szCs w:val="22"/>
                <w:lang w:eastAsia="sv-SE"/>
              </w:rPr>
            </w:pPr>
            <w:r w:rsidRPr="00FA0D37">
              <w:rPr>
                <w:rFonts w:eastAsia="宋体"/>
                <w:b/>
                <w:i/>
                <w:szCs w:val="22"/>
                <w:lang w:eastAsia="sv-SE"/>
              </w:rPr>
              <w:t>deactivatedCarrier</w:t>
            </w:r>
          </w:p>
          <w:p w14:paraId="7BF40F1F" w14:textId="59587F72" w:rsidR="00E46198" w:rsidRPr="00FA0D37" w:rsidRDefault="00E46198" w:rsidP="00DB6EED">
            <w:pPr>
              <w:pStyle w:val="TAL"/>
              <w:rPr>
                <w:rFonts w:eastAsia="宋体"/>
                <w:bCs/>
                <w:iCs/>
                <w:szCs w:val="22"/>
                <w:lang w:eastAsia="sv-SE"/>
              </w:rPr>
            </w:pPr>
            <w:r w:rsidRPr="00FA0D37">
              <w:rPr>
                <w:rFonts w:eastAsia="宋体"/>
                <w:bCs/>
                <w:iCs/>
                <w:szCs w:val="22"/>
                <w:lang w:eastAsia="sv-SE"/>
              </w:rPr>
              <w:t xml:space="preserve">For the reported </w:t>
            </w:r>
            <w:r w:rsidRPr="00FA0D37">
              <w:rPr>
                <w:rFonts w:eastAsia="宋体"/>
                <w:szCs w:val="22"/>
                <w:lang w:eastAsia="sv-SE"/>
              </w:rPr>
              <w:t xml:space="preserve">uplink Tx Direct Current location(s) corresponding to </w:t>
            </w:r>
            <w:r w:rsidRPr="00FA0D37">
              <w:rPr>
                <w:rFonts w:eastAsia="宋体"/>
                <w:i/>
                <w:iCs/>
                <w:szCs w:val="22"/>
                <w:lang w:eastAsia="sv-SE"/>
              </w:rPr>
              <w:t>singlePA-TxDirectCurrent-r16</w:t>
            </w:r>
            <w:r w:rsidRPr="00FA0D37">
              <w:rPr>
                <w:rFonts w:eastAsia="宋体"/>
                <w:szCs w:val="22"/>
                <w:lang w:eastAsia="sv-SE"/>
              </w:rPr>
              <w:t>, i</w:t>
            </w:r>
            <w:r w:rsidRPr="00FA0D37">
              <w:rPr>
                <w:rFonts w:eastAsia="宋体"/>
                <w:bCs/>
                <w:iCs/>
                <w:szCs w:val="22"/>
                <w:lang w:eastAsia="sv-SE"/>
              </w:rPr>
              <w:t xml:space="preserve">ndicates whether the carrier is deactivated or not for this serving cell. If the carrier refers to the PCell, the UE shall not set this field to </w:t>
            </w:r>
            <w:r w:rsidRPr="00FA0D37">
              <w:rPr>
                <w:rFonts w:eastAsia="宋体"/>
                <w:bCs/>
                <w:i/>
                <w:iCs/>
                <w:szCs w:val="22"/>
                <w:lang w:eastAsia="sv-SE"/>
              </w:rPr>
              <w:t>deactivated</w:t>
            </w:r>
            <w:r w:rsidRPr="00FA0D37">
              <w:rPr>
                <w:rFonts w:eastAsia="宋体"/>
                <w:bCs/>
                <w:iCs/>
                <w:szCs w:val="22"/>
                <w:lang w:eastAsia="sv-SE"/>
              </w:rPr>
              <w:t>.</w:t>
            </w:r>
          </w:p>
        </w:tc>
      </w:tr>
      <w:tr w:rsidR="00E46198" w:rsidRPr="00FA0D37"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FA0D37" w:rsidRDefault="00E46198" w:rsidP="00DB6EED">
            <w:pPr>
              <w:pStyle w:val="TAL"/>
              <w:rPr>
                <w:rFonts w:eastAsia="宋体"/>
                <w:szCs w:val="22"/>
                <w:lang w:eastAsia="sv-SE"/>
              </w:rPr>
            </w:pPr>
            <w:r w:rsidRPr="00FA0D37">
              <w:rPr>
                <w:rFonts w:eastAsia="宋体"/>
                <w:b/>
                <w:i/>
                <w:szCs w:val="22"/>
                <w:lang w:eastAsia="sv-SE"/>
              </w:rPr>
              <w:t>servCellIndex</w:t>
            </w:r>
          </w:p>
          <w:p w14:paraId="14330B0B" w14:textId="77777777" w:rsidR="00E46198" w:rsidRPr="00FA0D37" w:rsidRDefault="00E46198" w:rsidP="00DB6EED">
            <w:pPr>
              <w:pStyle w:val="TAL"/>
              <w:rPr>
                <w:rFonts w:eastAsia="宋体"/>
                <w:szCs w:val="22"/>
                <w:lang w:eastAsia="sv-SE"/>
              </w:rPr>
            </w:pPr>
            <w:r w:rsidRPr="00FA0D37">
              <w:rPr>
                <w:rFonts w:eastAsia="宋体"/>
                <w:szCs w:val="22"/>
                <w:lang w:eastAsia="sv-SE"/>
              </w:rPr>
              <w:t>The serving cell ID of the serving cell which is part of the two carrier uplink carrier aggregation.</w:t>
            </w:r>
          </w:p>
        </w:tc>
      </w:tr>
    </w:tbl>
    <w:p w14:paraId="4FAFB7C9" w14:textId="77777777" w:rsidR="00E46198" w:rsidRPr="00FA0D37"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FA0D37" w:rsidRDefault="00E46198" w:rsidP="00DB6EED">
            <w:pPr>
              <w:pStyle w:val="TAH"/>
              <w:rPr>
                <w:rFonts w:eastAsia="宋体"/>
                <w:szCs w:val="22"/>
                <w:lang w:eastAsia="sv-SE"/>
              </w:rPr>
            </w:pPr>
            <w:r w:rsidRPr="00FA0D37">
              <w:rPr>
                <w:rFonts w:eastAsia="宋体"/>
                <w:i/>
                <w:szCs w:val="22"/>
                <w:lang w:eastAsia="sv-SE"/>
              </w:rPr>
              <w:t xml:space="preserve">UplinkTxDirectCurrentTwoCarrier </w:t>
            </w:r>
            <w:r w:rsidRPr="00FA0D37">
              <w:rPr>
                <w:rFonts w:eastAsia="宋体"/>
                <w:szCs w:val="22"/>
                <w:lang w:eastAsia="sv-SE"/>
              </w:rPr>
              <w:t>field descriptions</w:t>
            </w:r>
          </w:p>
        </w:tc>
      </w:tr>
      <w:tr w:rsidR="005C7FF4" w:rsidRPr="00FA0D37"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FA0D37" w:rsidRDefault="00E46198" w:rsidP="00DB6EED">
            <w:pPr>
              <w:pStyle w:val="TAL"/>
              <w:rPr>
                <w:rFonts w:eastAsia="宋体"/>
                <w:szCs w:val="22"/>
                <w:lang w:eastAsia="sv-SE"/>
              </w:rPr>
            </w:pPr>
            <w:r w:rsidRPr="00FA0D37">
              <w:rPr>
                <w:rFonts w:eastAsia="宋体"/>
                <w:b/>
                <w:i/>
                <w:szCs w:val="22"/>
                <w:lang w:eastAsia="sv-SE"/>
              </w:rPr>
              <w:t>carrierOneInfo</w:t>
            </w:r>
          </w:p>
          <w:p w14:paraId="0FF727D2" w14:textId="77777777" w:rsidR="00E46198" w:rsidRPr="00FA0D37" w:rsidRDefault="00E46198" w:rsidP="00DB6EED">
            <w:pPr>
              <w:pStyle w:val="TAL"/>
              <w:rPr>
                <w:rFonts w:eastAsia="宋体"/>
                <w:szCs w:val="22"/>
                <w:lang w:eastAsia="sv-SE"/>
              </w:rPr>
            </w:pPr>
            <w:r w:rsidRPr="00FA0D37">
              <w:rPr>
                <w:rFonts w:eastAsia="宋体"/>
                <w:szCs w:val="22"/>
                <w:lang w:eastAsia="sv-SE"/>
              </w:rPr>
              <w:t xml:space="preserve">The serving cell ID and BWP ID of the first carrier of the uplink carrier aggregation for which the uplink Tx Direct Current location(s) are being reported. </w:t>
            </w:r>
          </w:p>
        </w:tc>
      </w:tr>
      <w:tr w:rsidR="005C7FF4" w:rsidRPr="00FA0D37"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FA0D37" w:rsidRDefault="00E46198" w:rsidP="00DB6EED">
            <w:pPr>
              <w:pStyle w:val="TAL"/>
              <w:rPr>
                <w:rFonts w:eastAsia="宋体"/>
                <w:szCs w:val="22"/>
                <w:lang w:eastAsia="sv-SE"/>
              </w:rPr>
            </w:pPr>
            <w:r w:rsidRPr="00FA0D37">
              <w:rPr>
                <w:rFonts w:eastAsia="宋体"/>
                <w:b/>
                <w:i/>
                <w:szCs w:val="22"/>
                <w:lang w:eastAsia="sv-SE"/>
              </w:rPr>
              <w:t>carrierTwoInfo</w:t>
            </w:r>
          </w:p>
          <w:p w14:paraId="41F81F87" w14:textId="77777777" w:rsidR="00E46198" w:rsidRPr="00FA0D37" w:rsidRDefault="00E46198" w:rsidP="00DB6EED">
            <w:pPr>
              <w:pStyle w:val="TAL"/>
              <w:rPr>
                <w:rFonts w:eastAsia="宋体"/>
                <w:szCs w:val="22"/>
                <w:lang w:eastAsia="sv-SE"/>
              </w:rPr>
            </w:pPr>
            <w:r w:rsidRPr="00FA0D37">
              <w:rPr>
                <w:rFonts w:eastAsia="宋体"/>
                <w:szCs w:val="22"/>
                <w:lang w:eastAsia="sv-SE"/>
              </w:rPr>
              <w:t>The serving cell ID and BWP ID of the second carrier of the uplink carrier aggregation for which the uplink Tx Direct Current location(s) are being reported.</w:t>
            </w:r>
          </w:p>
        </w:tc>
      </w:tr>
      <w:tr w:rsidR="005C7FF4" w:rsidRPr="00FA0D37"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FA0D37" w:rsidRDefault="00E46198" w:rsidP="00DB6EED">
            <w:pPr>
              <w:pStyle w:val="TAL"/>
              <w:rPr>
                <w:rFonts w:eastAsia="宋体"/>
                <w:szCs w:val="22"/>
                <w:lang w:eastAsia="sv-SE"/>
              </w:rPr>
            </w:pPr>
            <w:r w:rsidRPr="00FA0D37">
              <w:rPr>
                <w:rFonts w:eastAsia="宋体"/>
                <w:b/>
                <w:i/>
                <w:szCs w:val="22"/>
                <w:lang w:eastAsia="sv-SE"/>
              </w:rPr>
              <w:t>singlePA-TxDirectCurrent</w:t>
            </w:r>
          </w:p>
          <w:p w14:paraId="13DEAC05" w14:textId="331E27C2" w:rsidR="00E46198" w:rsidRPr="00FA0D37" w:rsidRDefault="00E46198" w:rsidP="00DB6EED">
            <w:pPr>
              <w:pStyle w:val="TAL"/>
              <w:rPr>
                <w:rFonts w:eastAsia="宋体"/>
                <w:szCs w:val="22"/>
                <w:lang w:eastAsia="sv-SE"/>
              </w:rPr>
            </w:pPr>
            <w:r w:rsidRPr="00FA0D37">
              <w:rPr>
                <w:rFonts w:eastAsia="宋体"/>
                <w:szCs w:val="22"/>
                <w:lang w:eastAsia="sv-SE"/>
              </w:rPr>
              <w:t>The uplink Tx Direct Current location for the UE which support single PA for this uplink carrier aggregation. For the UEs which support dual PA for this uplink carrier aggregation, this fie</w:t>
            </w:r>
            <w:r w:rsidR="00026599" w:rsidRPr="00FA0D37">
              <w:rPr>
                <w:rFonts w:eastAsia="宋体"/>
                <w:szCs w:val="22"/>
                <w:lang w:eastAsia="sv-SE"/>
              </w:rPr>
              <w:t>l</w:t>
            </w:r>
            <w:r w:rsidRPr="00FA0D37">
              <w:rPr>
                <w:rFonts w:eastAsia="宋体"/>
                <w:szCs w:val="22"/>
                <w:lang w:eastAsia="sv-SE"/>
              </w:rPr>
              <w:t xml:space="preserve">d is for reporting the uplink Tx Direct Current location of the first PA.  </w:t>
            </w:r>
          </w:p>
        </w:tc>
      </w:tr>
      <w:tr w:rsidR="000F3B47" w:rsidRPr="00FA0D37"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FA0D37" w:rsidRDefault="00E46198" w:rsidP="00DB6EED">
            <w:pPr>
              <w:pStyle w:val="TAL"/>
              <w:rPr>
                <w:rFonts w:eastAsia="宋体"/>
                <w:szCs w:val="22"/>
                <w:lang w:eastAsia="sv-SE"/>
              </w:rPr>
            </w:pPr>
            <w:r w:rsidRPr="00FA0D37">
              <w:rPr>
                <w:rFonts w:eastAsia="宋体"/>
                <w:b/>
                <w:i/>
                <w:szCs w:val="22"/>
                <w:lang w:eastAsia="sv-SE"/>
              </w:rPr>
              <w:t>secondPA-TxDirectCurrent</w:t>
            </w:r>
          </w:p>
          <w:p w14:paraId="7F976C02" w14:textId="4E9AA9F1" w:rsidR="00E46198" w:rsidRPr="00FA0D37" w:rsidRDefault="00E46198" w:rsidP="00DB6EED">
            <w:pPr>
              <w:pStyle w:val="TAL"/>
              <w:rPr>
                <w:rFonts w:eastAsia="宋体"/>
                <w:szCs w:val="22"/>
                <w:lang w:eastAsia="sv-SE"/>
              </w:rPr>
            </w:pPr>
            <w:r w:rsidRPr="00FA0D37">
              <w:rPr>
                <w:rFonts w:eastAsia="宋体"/>
                <w:szCs w:val="22"/>
                <w:lang w:eastAsia="sv-SE"/>
              </w:rPr>
              <w:t xml:space="preserve">The uplink Tx Direct Current location used by the UE with the second PA for the UEs which support dual PA for this uplink carrier aggregation. </w:t>
            </w:r>
            <w:r w:rsidR="00026599" w:rsidRPr="00FA0D37">
              <w:rPr>
                <w:szCs w:val="22"/>
                <w:lang w:eastAsia="sv-SE"/>
              </w:rPr>
              <w:t xml:space="preserve">This field shall be absent for the </w:t>
            </w:r>
            <w:r w:rsidR="00026599" w:rsidRPr="00FA0D37">
              <w:rPr>
                <w:i/>
                <w:szCs w:val="22"/>
                <w:lang w:eastAsia="sv-SE"/>
              </w:rPr>
              <w:t>UplinkTxDirectCurrentTwoCarrier</w:t>
            </w:r>
            <w:r w:rsidR="00026599" w:rsidRPr="00FA0D37">
              <w:rPr>
                <w:szCs w:val="22"/>
                <w:lang w:eastAsia="sv-SE"/>
              </w:rPr>
              <w:t xml:space="preserve"> entity where </w:t>
            </w:r>
            <w:r w:rsidR="00026599" w:rsidRPr="00FA0D37">
              <w:rPr>
                <w:i/>
                <w:szCs w:val="22"/>
                <w:lang w:eastAsia="sv-SE"/>
              </w:rPr>
              <w:t>deactivatedCarrier</w:t>
            </w:r>
            <w:r w:rsidR="00026599" w:rsidRPr="00FA0D37">
              <w:rPr>
                <w:szCs w:val="22"/>
                <w:lang w:eastAsia="sv-SE"/>
              </w:rPr>
              <w:t xml:space="preserve"> of </w:t>
            </w:r>
            <w:r w:rsidR="00026599" w:rsidRPr="00FA0D37">
              <w:rPr>
                <w:i/>
                <w:szCs w:val="22"/>
                <w:lang w:eastAsia="sv-SE"/>
              </w:rPr>
              <w:t>carrierOneInfo</w:t>
            </w:r>
            <w:r w:rsidR="00026599" w:rsidRPr="00FA0D37">
              <w:rPr>
                <w:szCs w:val="22"/>
                <w:lang w:eastAsia="sv-SE"/>
              </w:rPr>
              <w:t xml:space="preserve"> or </w:t>
            </w:r>
            <w:r w:rsidR="00026599" w:rsidRPr="00FA0D37">
              <w:rPr>
                <w:i/>
                <w:szCs w:val="22"/>
                <w:lang w:eastAsia="sv-SE"/>
              </w:rPr>
              <w:t>carrierTwoInfo</w:t>
            </w:r>
            <w:r w:rsidR="00026599" w:rsidRPr="00FA0D37">
              <w:rPr>
                <w:szCs w:val="22"/>
                <w:lang w:eastAsia="sv-SE"/>
              </w:rPr>
              <w:t xml:space="preserve"> is set to </w:t>
            </w:r>
            <w:r w:rsidR="00026599" w:rsidRPr="00FA0D37">
              <w:rPr>
                <w:i/>
                <w:szCs w:val="22"/>
                <w:lang w:eastAsia="sv-SE"/>
              </w:rPr>
              <w:t>deactivated</w:t>
            </w:r>
            <w:r w:rsidR="00026599" w:rsidRPr="00FA0D37">
              <w:rPr>
                <w:szCs w:val="22"/>
                <w:lang w:eastAsia="sv-SE"/>
              </w:rPr>
              <w:t>.</w:t>
            </w:r>
          </w:p>
        </w:tc>
      </w:tr>
    </w:tbl>
    <w:p w14:paraId="2246AA07" w14:textId="77777777" w:rsidR="00E46198" w:rsidRPr="00FA0D37" w:rsidRDefault="00E46198" w:rsidP="00394471"/>
    <w:p w14:paraId="56762029" w14:textId="77777777" w:rsidR="00394471" w:rsidRPr="00FA0D37" w:rsidRDefault="00394471" w:rsidP="00394471">
      <w:pPr>
        <w:pStyle w:val="4"/>
      </w:pPr>
      <w:bookmarkStart w:id="1499" w:name="_Toc60777425"/>
      <w:bookmarkStart w:id="1500" w:name="_Toc146781524"/>
      <w:r w:rsidRPr="00FA0D37">
        <w:t>–</w:t>
      </w:r>
      <w:r w:rsidRPr="00FA0D37">
        <w:tab/>
      </w:r>
      <w:r w:rsidRPr="00FA0D37">
        <w:rPr>
          <w:i/>
        </w:rPr>
        <w:t>ZP-CSI-RS-Resource</w:t>
      </w:r>
      <w:bookmarkEnd w:id="1499"/>
      <w:bookmarkEnd w:id="1500"/>
    </w:p>
    <w:p w14:paraId="0CBCB8AA" w14:textId="77777777" w:rsidR="00394471" w:rsidRPr="00FA0D37" w:rsidRDefault="00394471" w:rsidP="00394471">
      <w:r w:rsidRPr="00FA0D37">
        <w:t xml:space="preserve">The IE </w:t>
      </w:r>
      <w:r w:rsidRPr="00FA0D37">
        <w:rPr>
          <w:i/>
        </w:rPr>
        <w:t>ZP-CSI-RS-Resource</w:t>
      </w:r>
      <w:r w:rsidRPr="00FA0D37">
        <w:t xml:space="preserve"> is used to configure a Zero-Power (ZP) CSI-RS resource (see TS 38.214 [19], clause 5.1.4.2). </w:t>
      </w:r>
      <w:r w:rsidRPr="00FA0D37">
        <w:rPr>
          <w:szCs w:val="22"/>
        </w:rPr>
        <w:t xml:space="preserve">Reconfiguration of a </w:t>
      </w:r>
      <w:r w:rsidRPr="00FA0D37">
        <w:rPr>
          <w:i/>
          <w:szCs w:val="22"/>
        </w:rPr>
        <w:t xml:space="preserve">ZP-CSI-RS-Resource </w:t>
      </w:r>
      <w:r w:rsidRPr="00FA0D37">
        <w:rPr>
          <w:szCs w:val="22"/>
        </w:rPr>
        <w:t xml:space="preserve">between </w:t>
      </w:r>
      <w:r w:rsidRPr="00FA0D37">
        <w:rPr>
          <w:rFonts w:ascii="Arial" w:hAnsi="Arial"/>
          <w:noProof/>
          <w:sz w:val="18"/>
          <w:szCs w:val="22"/>
        </w:rPr>
        <w:t xml:space="preserve">periodic </w:t>
      </w:r>
      <w:r w:rsidRPr="00FA0D37">
        <w:rPr>
          <w:noProof/>
          <w:szCs w:val="22"/>
        </w:rPr>
        <w:t xml:space="preserve">or </w:t>
      </w:r>
      <w:r w:rsidRPr="00FA0D37">
        <w:rPr>
          <w:rFonts w:ascii="Arial" w:hAnsi="Arial"/>
          <w:noProof/>
          <w:sz w:val="18"/>
          <w:szCs w:val="22"/>
        </w:rPr>
        <w:t>semi-persistent</w:t>
      </w:r>
      <w:r w:rsidRPr="00FA0D37">
        <w:rPr>
          <w:noProof/>
          <w:szCs w:val="22"/>
        </w:rPr>
        <w:t xml:space="preserve"> and aperiodic </w:t>
      </w:r>
      <w:r w:rsidRPr="00FA0D37">
        <w:rPr>
          <w:szCs w:val="22"/>
        </w:rPr>
        <w:t>is not supported.</w:t>
      </w:r>
    </w:p>
    <w:p w14:paraId="3F04F739" w14:textId="77777777" w:rsidR="00394471" w:rsidRPr="00FA0D37" w:rsidRDefault="00394471" w:rsidP="00394471">
      <w:pPr>
        <w:pStyle w:val="TH"/>
      </w:pPr>
      <w:r w:rsidRPr="00FA0D37">
        <w:rPr>
          <w:i/>
        </w:rPr>
        <w:lastRenderedPageBreak/>
        <w:t>ZP-CSI-RS-Resource</w:t>
      </w:r>
      <w:r w:rsidRPr="00FA0D37">
        <w:t xml:space="preserve"> information element</w:t>
      </w:r>
    </w:p>
    <w:p w14:paraId="3C8D18A7" w14:textId="77777777" w:rsidR="00394471" w:rsidRPr="00FA0D37" w:rsidRDefault="00394471" w:rsidP="00FA0D37">
      <w:pPr>
        <w:pStyle w:val="PL"/>
        <w:rPr>
          <w:color w:val="808080"/>
        </w:rPr>
      </w:pPr>
      <w:r w:rsidRPr="00FA0D37">
        <w:rPr>
          <w:color w:val="808080"/>
        </w:rPr>
        <w:t>-- ASN1START</w:t>
      </w:r>
    </w:p>
    <w:p w14:paraId="0BF79B6F" w14:textId="77777777" w:rsidR="00394471" w:rsidRPr="00FA0D37" w:rsidRDefault="00394471" w:rsidP="00FA0D37">
      <w:pPr>
        <w:pStyle w:val="PL"/>
        <w:rPr>
          <w:color w:val="808080"/>
        </w:rPr>
      </w:pPr>
      <w:r w:rsidRPr="00FA0D37">
        <w:rPr>
          <w:color w:val="808080"/>
        </w:rPr>
        <w:t>-- TAG-ZP-CSI-RS-RESOURCE-START</w:t>
      </w:r>
    </w:p>
    <w:p w14:paraId="35129FDB" w14:textId="77777777" w:rsidR="00394471" w:rsidRPr="00FA0D37" w:rsidRDefault="00394471" w:rsidP="00FA0D37">
      <w:pPr>
        <w:pStyle w:val="PL"/>
      </w:pPr>
    </w:p>
    <w:p w14:paraId="268B66AF" w14:textId="77777777" w:rsidR="00394471" w:rsidRPr="00FA0D37" w:rsidRDefault="00394471" w:rsidP="00FA0D37">
      <w:pPr>
        <w:pStyle w:val="PL"/>
      </w:pPr>
      <w:r w:rsidRPr="00FA0D37">
        <w:t xml:space="preserve">ZP-CSI-RS-Resource ::=              </w:t>
      </w:r>
      <w:r w:rsidRPr="00FA0D37">
        <w:rPr>
          <w:color w:val="993366"/>
        </w:rPr>
        <w:t>SEQUENCE</w:t>
      </w:r>
      <w:r w:rsidRPr="00FA0D37">
        <w:t xml:space="preserve"> {</w:t>
      </w:r>
    </w:p>
    <w:p w14:paraId="4CEEFE0C" w14:textId="77777777" w:rsidR="00394471" w:rsidRPr="00FA0D37" w:rsidRDefault="00394471" w:rsidP="00FA0D37">
      <w:pPr>
        <w:pStyle w:val="PL"/>
      </w:pPr>
      <w:r w:rsidRPr="00FA0D37">
        <w:t xml:space="preserve">    zp-CSI-RS-ResourceId                ZP-CSI-RS-ResourceId,</w:t>
      </w:r>
    </w:p>
    <w:p w14:paraId="0794EE3A" w14:textId="77777777" w:rsidR="00394471" w:rsidRPr="00FA0D37" w:rsidRDefault="00394471" w:rsidP="00FA0D37">
      <w:pPr>
        <w:pStyle w:val="PL"/>
      </w:pPr>
      <w:r w:rsidRPr="00FA0D37">
        <w:t xml:space="preserve">    resourceMapping                     CSI-RS-ResourceMapping,</w:t>
      </w:r>
    </w:p>
    <w:p w14:paraId="7783CEB4" w14:textId="77777777" w:rsidR="00394471" w:rsidRPr="00FA0D37" w:rsidRDefault="00394471" w:rsidP="00FA0D37">
      <w:pPr>
        <w:pStyle w:val="PL"/>
        <w:rPr>
          <w:color w:val="808080"/>
        </w:rPr>
      </w:pPr>
      <w:r w:rsidRPr="00FA0D37">
        <w:t xml:space="preserve">    periodicityAndOffset                CSI-ResourcePeriodicityAndOffset                </w:t>
      </w:r>
      <w:r w:rsidRPr="00FA0D37">
        <w:rPr>
          <w:color w:val="993366"/>
        </w:rPr>
        <w:t>OPTIONAL</w:t>
      </w:r>
      <w:r w:rsidRPr="00FA0D37">
        <w:t xml:space="preserve">, </w:t>
      </w:r>
      <w:r w:rsidRPr="00FA0D37">
        <w:rPr>
          <w:color w:val="808080"/>
        </w:rPr>
        <w:t>--Cond PeriodicOrSemiPersistent</w:t>
      </w:r>
    </w:p>
    <w:p w14:paraId="169DD2F8" w14:textId="77777777" w:rsidR="00394471" w:rsidRPr="00FA0D37" w:rsidRDefault="00394471" w:rsidP="00FA0D37">
      <w:pPr>
        <w:pStyle w:val="PL"/>
      </w:pPr>
      <w:r w:rsidRPr="00FA0D37">
        <w:t xml:space="preserve">    ...</w:t>
      </w:r>
    </w:p>
    <w:p w14:paraId="3FB32612" w14:textId="77777777" w:rsidR="00394471" w:rsidRPr="00FA0D37" w:rsidRDefault="00394471" w:rsidP="00FA0D37">
      <w:pPr>
        <w:pStyle w:val="PL"/>
      </w:pPr>
      <w:r w:rsidRPr="00FA0D37">
        <w:t>}</w:t>
      </w:r>
    </w:p>
    <w:p w14:paraId="56C8604C" w14:textId="77777777" w:rsidR="00394471" w:rsidRPr="00FA0D37" w:rsidRDefault="00394471" w:rsidP="00FA0D37">
      <w:pPr>
        <w:pStyle w:val="PL"/>
      </w:pPr>
    </w:p>
    <w:p w14:paraId="602322B1" w14:textId="77777777" w:rsidR="00394471" w:rsidRPr="00FA0D37" w:rsidRDefault="00394471" w:rsidP="00FA0D37">
      <w:pPr>
        <w:pStyle w:val="PL"/>
      </w:pPr>
      <w:r w:rsidRPr="00FA0D37">
        <w:t xml:space="preserve">ZP-CSI-RS-ResourceId ::=            </w:t>
      </w:r>
      <w:r w:rsidRPr="00FA0D37">
        <w:rPr>
          <w:color w:val="993366"/>
        </w:rPr>
        <w:t>INTEGER</w:t>
      </w:r>
      <w:r w:rsidRPr="00FA0D37">
        <w:t xml:space="preserve"> (0..maxNrofZP-CSI-RS-Resources-1)</w:t>
      </w:r>
    </w:p>
    <w:p w14:paraId="3EF6CD66" w14:textId="77777777" w:rsidR="00394471" w:rsidRPr="00FA0D37" w:rsidRDefault="00394471" w:rsidP="00FA0D37">
      <w:pPr>
        <w:pStyle w:val="PL"/>
      </w:pPr>
    </w:p>
    <w:p w14:paraId="1D328784" w14:textId="77777777" w:rsidR="00394471" w:rsidRPr="00FA0D37" w:rsidRDefault="00394471" w:rsidP="00FA0D37">
      <w:pPr>
        <w:pStyle w:val="PL"/>
        <w:rPr>
          <w:color w:val="808080"/>
        </w:rPr>
      </w:pPr>
      <w:r w:rsidRPr="00FA0D37">
        <w:rPr>
          <w:color w:val="808080"/>
        </w:rPr>
        <w:t>-- TAG-ZP-CSI-RS-RESOURCE-STOP</w:t>
      </w:r>
    </w:p>
    <w:p w14:paraId="3685950A" w14:textId="77777777" w:rsidR="00394471" w:rsidRPr="00FA0D37" w:rsidRDefault="00394471" w:rsidP="00FA0D37">
      <w:pPr>
        <w:pStyle w:val="PL"/>
        <w:rPr>
          <w:color w:val="808080"/>
        </w:rPr>
      </w:pPr>
      <w:r w:rsidRPr="00FA0D37">
        <w:rPr>
          <w:color w:val="808080"/>
        </w:rPr>
        <w:t>-- ASN1STOP</w:t>
      </w:r>
    </w:p>
    <w:p w14:paraId="3DB3826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FA0D37" w:rsidRDefault="00394471" w:rsidP="00964CC4">
            <w:pPr>
              <w:pStyle w:val="TAH"/>
              <w:rPr>
                <w:szCs w:val="22"/>
                <w:lang w:eastAsia="sv-SE"/>
              </w:rPr>
            </w:pPr>
            <w:r w:rsidRPr="00FA0D37">
              <w:rPr>
                <w:i/>
                <w:szCs w:val="22"/>
                <w:lang w:eastAsia="sv-SE"/>
              </w:rPr>
              <w:t xml:space="preserve">ZP-CSI-RS-Resource </w:t>
            </w:r>
            <w:r w:rsidRPr="00FA0D37">
              <w:rPr>
                <w:szCs w:val="22"/>
                <w:lang w:eastAsia="sv-SE"/>
              </w:rPr>
              <w:t>field descriptions</w:t>
            </w:r>
          </w:p>
        </w:tc>
      </w:tr>
      <w:tr w:rsidR="005C7FF4" w:rsidRPr="00FA0D37"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FA0D37" w:rsidRDefault="00394471" w:rsidP="00964CC4">
            <w:pPr>
              <w:pStyle w:val="TAL"/>
              <w:rPr>
                <w:szCs w:val="22"/>
                <w:lang w:eastAsia="sv-SE"/>
              </w:rPr>
            </w:pPr>
            <w:r w:rsidRPr="00FA0D37">
              <w:rPr>
                <w:b/>
                <w:i/>
                <w:szCs w:val="22"/>
                <w:lang w:eastAsia="sv-SE"/>
              </w:rPr>
              <w:t>periodicityAndOffset</w:t>
            </w:r>
          </w:p>
          <w:p w14:paraId="585B2798" w14:textId="77777777" w:rsidR="00394471" w:rsidRPr="00FA0D37" w:rsidRDefault="00394471" w:rsidP="00964CC4">
            <w:pPr>
              <w:pStyle w:val="TAL"/>
              <w:rPr>
                <w:szCs w:val="22"/>
                <w:lang w:eastAsia="sv-SE"/>
              </w:rPr>
            </w:pPr>
            <w:r w:rsidRPr="00FA0D37">
              <w:rPr>
                <w:szCs w:val="22"/>
                <w:lang w:eastAsia="sv-SE"/>
              </w:rPr>
              <w:t>Periodicity and slot offset for periodic/semi-persistent ZP-CSI-RS (see TS 38.214 [19], clause 5.1.4.2).</w:t>
            </w:r>
            <w:r w:rsidRPr="00FA0D37">
              <w:rPr>
                <w:noProof/>
                <w:lang w:eastAsia="zh-CN"/>
              </w:rPr>
              <w:t xml:space="preserve"> N</w:t>
            </w:r>
            <w:r w:rsidRPr="00FA0D37">
              <w:rPr>
                <w:szCs w:val="22"/>
                <w:lang w:eastAsia="sv-SE"/>
              </w:rPr>
              <w:t xml:space="preserve">etwork always configures </w:t>
            </w:r>
            <w:r w:rsidRPr="00FA0D37">
              <w:rPr>
                <w:lang w:eastAsia="sv-SE"/>
              </w:rPr>
              <w:t xml:space="preserve">the UE with a value for </w:t>
            </w:r>
            <w:r w:rsidRPr="00FA0D37">
              <w:rPr>
                <w:szCs w:val="22"/>
                <w:lang w:eastAsia="sv-SE"/>
              </w:rPr>
              <w:t>this field for periodic and semi-persistent ZP-CSI-RS resource (as indicated in PDSCH-Config).</w:t>
            </w:r>
          </w:p>
        </w:tc>
      </w:tr>
      <w:tr w:rsidR="005C7FF4" w:rsidRPr="00FA0D37"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FA0D37" w:rsidRDefault="00394471" w:rsidP="00964CC4">
            <w:pPr>
              <w:pStyle w:val="TAL"/>
              <w:rPr>
                <w:szCs w:val="22"/>
                <w:lang w:eastAsia="sv-SE"/>
              </w:rPr>
            </w:pPr>
            <w:r w:rsidRPr="00FA0D37">
              <w:rPr>
                <w:b/>
                <w:i/>
                <w:szCs w:val="22"/>
                <w:lang w:eastAsia="sv-SE"/>
              </w:rPr>
              <w:t>resourceMapping</w:t>
            </w:r>
          </w:p>
          <w:p w14:paraId="7E722A2D" w14:textId="77777777" w:rsidR="00394471" w:rsidRPr="00FA0D37" w:rsidRDefault="00394471" w:rsidP="00964CC4">
            <w:pPr>
              <w:pStyle w:val="TAL"/>
              <w:rPr>
                <w:szCs w:val="22"/>
                <w:lang w:eastAsia="sv-SE"/>
              </w:rPr>
            </w:pPr>
            <w:r w:rsidRPr="00FA0D37">
              <w:rPr>
                <w:szCs w:val="22"/>
                <w:lang w:eastAsia="sv-SE"/>
              </w:rPr>
              <w:t>OFDM symbol and subcarrier occupancy of the ZP-CSI-RS resource within a slot.</w:t>
            </w:r>
          </w:p>
        </w:tc>
      </w:tr>
      <w:tr w:rsidR="00394471" w:rsidRPr="00FA0D37"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FA0D37" w:rsidRDefault="00394471" w:rsidP="00964CC4">
            <w:pPr>
              <w:pStyle w:val="TAL"/>
              <w:rPr>
                <w:szCs w:val="22"/>
                <w:lang w:eastAsia="sv-SE"/>
              </w:rPr>
            </w:pPr>
            <w:r w:rsidRPr="00FA0D37">
              <w:rPr>
                <w:b/>
                <w:i/>
                <w:szCs w:val="22"/>
                <w:lang w:eastAsia="sv-SE"/>
              </w:rPr>
              <w:t>zp-CSI-RS-ResourceId</w:t>
            </w:r>
          </w:p>
          <w:p w14:paraId="7A9F1C0F" w14:textId="77777777" w:rsidR="00394471" w:rsidRPr="00FA0D37" w:rsidRDefault="00394471" w:rsidP="00964CC4">
            <w:pPr>
              <w:pStyle w:val="TAL"/>
              <w:rPr>
                <w:szCs w:val="22"/>
                <w:lang w:eastAsia="sv-SE"/>
              </w:rPr>
            </w:pPr>
            <w:r w:rsidRPr="00FA0D37">
              <w:rPr>
                <w:szCs w:val="22"/>
                <w:lang w:eastAsia="sv-SE"/>
              </w:rPr>
              <w:t>ZP CSI-RS resource configuration ID (see TS 38.214 [19], clause 5.1.4.2).</w:t>
            </w:r>
          </w:p>
        </w:tc>
      </w:tr>
    </w:tbl>
    <w:p w14:paraId="54F91EF8"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FA0D37" w:rsidRDefault="00394471" w:rsidP="00964CC4">
            <w:pPr>
              <w:pStyle w:val="TAH"/>
              <w:rPr>
                <w:noProof/>
                <w:lang w:eastAsia="sv-SE"/>
              </w:rPr>
            </w:pPr>
            <w:r w:rsidRPr="00FA0D37">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FA0D37" w:rsidRDefault="00394471" w:rsidP="00964CC4">
            <w:pPr>
              <w:pStyle w:val="TAH"/>
              <w:rPr>
                <w:noProof/>
                <w:lang w:eastAsia="sv-SE"/>
              </w:rPr>
            </w:pPr>
            <w:r w:rsidRPr="00FA0D37">
              <w:rPr>
                <w:noProof/>
                <w:lang w:eastAsia="sv-SE"/>
              </w:rPr>
              <w:t>Explanation</w:t>
            </w:r>
          </w:p>
        </w:tc>
      </w:tr>
      <w:tr w:rsidR="00394471" w:rsidRPr="00FA0D37"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FA0D37" w:rsidRDefault="00394471" w:rsidP="00964CC4">
            <w:pPr>
              <w:pStyle w:val="TAL"/>
              <w:rPr>
                <w:i/>
                <w:noProof/>
                <w:lang w:eastAsia="sv-SE"/>
              </w:rPr>
            </w:pPr>
            <w:r w:rsidRPr="00FA0D37">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FA0D37" w:rsidRDefault="00394471" w:rsidP="00964CC4">
            <w:pPr>
              <w:pStyle w:val="TAL"/>
              <w:rPr>
                <w:noProof/>
                <w:lang w:eastAsia="sv-SE"/>
              </w:rPr>
            </w:pPr>
            <w:r w:rsidRPr="00FA0D37">
              <w:rPr>
                <w:noProof/>
                <w:lang w:eastAsia="sv-SE"/>
              </w:rPr>
              <w:t xml:space="preserve">The field is optionally present, Need M, for periodic and semi-persistent ZP-CSI-RS-Resources (as indicated in </w:t>
            </w:r>
            <w:r w:rsidRPr="00FA0D37">
              <w:rPr>
                <w:lang w:eastAsia="sv-SE"/>
              </w:rPr>
              <w:t>PDSCH-Config</w:t>
            </w:r>
            <w:r w:rsidRPr="00FA0D37">
              <w:rPr>
                <w:noProof/>
                <w:lang w:eastAsia="sv-SE"/>
              </w:rPr>
              <w:t>). The field is absent otherwise.</w:t>
            </w:r>
          </w:p>
        </w:tc>
      </w:tr>
    </w:tbl>
    <w:p w14:paraId="233A91F4" w14:textId="77777777" w:rsidR="00394471" w:rsidRPr="00FA0D37" w:rsidRDefault="00394471" w:rsidP="00394471"/>
    <w:p w14:paraId="18FE0773" w14:textId="77777777" w:rsidR="00394471" w:rsidRPr="00FA0D37" w:rsidRDefault="00394471" w:rsidP="00394471">
      <w:pPr>
        <w:pStyle w:val="4"/>
      </w:pPr>
      <w:bookmarkStart w:id="1501" w:name="_Toc60777426"/>
      <w:bookmarkStart w:id="1502" w:name="_Toc146781525"/>
      <w:r w:rsidRPr="00FA0D37">
        <w:t>–</w:t>
      </w:r>
      <w:r w:rsidRPr="00FA0D37">
        <w:tab/>
      </w:r>
      <w:r w:rsidRPr="00FA0D37">
        <w:rPr>
          <w:i/>
        </w:rPr>
        <w:t>ZP-CSI-RS-ResourceSet</w:t>
      </w:r>
      <w:bookmarkEnd w:id="1501"/>
      <w:bookmarkEnd w:id="1502"/>
    </w:p>
    <w:p w14:paraId="64707707" w14:textId="77777777" w:rsidR="00394471" w:rsidRPr="00FA0D37" w:rsidRDefault="00394471" w:rsidP="00394471">
      <w:r w:rsidRPr="00FA0D37">
        <w:t xml:space="preserve">The IE </w:t>
      </w:r>
      <w:r w:rsidRPr="00FA0D37">
        <w:rPr>
          <w:i/>
        </w:rPr>
        <w:t>ZP-CSI-RS-ResourceSet</w:t>
      </w:r>
      <w:r w:rsidRPr="00FA0D37">
        <w:t xml:space="preserve"> refers to a set of </w:t>
      </w:r>
      <w:r w:rsidRPr="00FA0D37">
        <w:rPr>
          <w:i/>
        </w:rPr>
        <w:t>ZP-CSI-RS-Resources</w:t>
      </w:r>
      <w:r w:rsidRPr="00FA0D37">
        <w:t xml:space="preserve"> using their </w:t>
      </w:r>
      <w:r w:rsidRPr="00FA0D37">
        <w:rPr>
          <w:i/>
        </w:rPr>
        <w:t>ZP-CSI-RS-ResourceId</w:t>
      </w:r>
      <w:r w:rsidRPr="00FA0D37">
        <w:t>s.</w:t>
      </w:r>
    </w:p>
    <w:p w14:paraId="499346D9" w14:textId="77777777" w:rsidR="00394471" w:rsidRPr="00FA0D37" w:rsidRDefault="00394471" w:rsidP="00394471">
      <w:pPr>
        <w:pStyle w:val="TH"/>
      </w:pPr>
      <w:r w:rsidRPr="00FA0D37">
        <w:rPr>
          <w:i/>
        </w:rPr>
        <w:t>ZP-CSI-RS-ResourceSet</w:t>
      </w:r>
      <w:r w:rsidRPr="00FA0D37">
        <w:t xml:space="preserve"> information element</w:t>
      </w:r>
    </w:p>
    <w:p w14:paraId="3211BD9D" w14:textId="77777777" w:rsidR="00394471" w:rsidRPr="00FA0D37" w:rsidRDefault="00394471" w:rsidP="00FA0D37">
      <w:pPr>
        <w:pStyle w:val="PL"/>
        <w:rPr>
          <w:color w:val="808080"/>
        </w:rPr>
      </w:pPr>
      <w:r w:rsidRPr="00FA0D37">
        <w:rPr>
          <w:color w:val="808080"/>
        </w:rPr>
        <w:t>-- ASN1START</w:t>
      </w:r>
    </w:p>
    <w:p w14:paraId="6DA3EE26" w14:textId="77777777" w:rsidR="00394471" w:rsidRPr="00FA0D37" w:rsidRDefault="00394471" w:rsidP="00FA0D37">
      <w:pPr>
        <w:pStyle w:val="PL"/>
        <w:rPr>
          <w:color w:val="808080"/>
        </w:rPr>
      </w:pPr>
      <w:r w:rsidRPr="00FA0D37">
        <w:rPr>
          <w:color w:val="808080"/>
        </w:rPr>
        <w:t>-- TAG-ZP-CSI-RS-RESOURCESET-START</w:t>
      </w:r>
    </w:p>
    <w:p w14:paraId="44F417E6" w14:textId="77777777" w:rsidR="00394471" w:rsidRPr="00FA0D37" w:rsidRDefault="00394471" w:rsidP="00FA0D37">
      <w:pPr>
        <w:pStyle w:val="PL"/>
      </w:pPr>
    </w:p>
    <w:p w14:paraId="6345A234" w14:textId="77777777" w:rsidR="00394471" w:rsidRPr="00FA0D37" w:rsidRDefault="00394471" w:rsidP="00FA0D37">
      <w:pPr>
        <w:pStyle w:val="PL"/>
      </w:pPr>
      <w:r w:rsidRPr="00FA0D37">
        <w:t xml:space="preserve">ZP-CSI-RS-ResourceSet ::=           </w:t>
      </w:r>
      <w:r w:rsidRPr="00FA0D37">
        <w:rPr>
          <w:color w:val="993366"/>
        </w:rPr>
        <w:t>SEQUENCE</w:t>
      </w:r>
      <w:r w:rsidRPr="00FA0D37">
        <w:t xml:space="preserve"> {</w:t>
      </w:r>
    </w:p>
    <w:p w14:paraId="016C81F5" w14:textId="77777777" w:rsidR="00394471" w:rsidRPr="00FA0D37" w:rsidRDefault="00394471" w:rsidP="00FA0D37">
      <w:pPr>
        <w:pStyle w:val="PL"/>
      </w:pPr>
      <w:r w:rsidRPr="00FA0D37">
        <w:t xml:space="preserve">    zp-CSI-RS-ResourceSetId             ZP-CSI-RS-ResourceSetId,</w:t>
      </w:r>
    </w:p>
    <w:p w14:paraId="3AC2380C" w14:textId="77777777" w:rsidR="00394471" w:rsidRPr="00FA0D37" w:rsidRDefault="00394471" w:rsidP="00FA0D37">
      <w:pPr>
        <w:pStyle w:val="PL"/>
      </w:pPr>
      <w:r w:rsidRPr="00FA0D37">
        <w:t xml:space="preserve">    zp-CSI-RS-ResourceIdList            </w:t>
      </w:r>
      <w:r w:rsidRPr="00FA0D37">
        <w:rPr>
          <w:color w:val="993366"/>
        </w:rPr>
        <w:t>SEQUENCE</w:t>
      </w:r>
      <w:r w:rsidRPr="00FA0D37">
        <w:t xml:space="preserve"> (</w:t>
      </w:r>
      <w:r w:rsidRPr="00FA0D37">
        <w:rPr>
          <w:color w:val="993366"/>
        </w:rPr>
        <w:t>SIZE</w:t>
      </w:r>
      <w:r w:rsidRPr="00FA0D37">
        <w:t>(1..maxNrofZP-CSI-RS-ResourcesPerSet))</w:t>
      </w:r>
      <w:r w:rsidRPr="00FA0D37">
        <w:rPr>
          <w:color w:val="993366"/>
        </w:rPr>
        <w:t xml:space="preserve"> OF</w:t>
      </w:r>
      <w:r w:rsidRPr="00FA0D37">
        <w:t xml:space="preserve"> ZP-CSI-RS-ResourceId,</w:t>
      </w:r>
    </w:p>
    <w:p w14:paraId="47ECE5FF" w14:textId="77777777" w:rsidR="00394471" w:rsidRPr="00FA0D37" w:rsidRDefault="00394471" w:rsidP="00FA0D37">
      <w:pPr>
        <w:pStyle w:val="PL"/>
      </w:pPr>
      <w:r w:rsidRPr="00FA0D37">
        <w:t xml:space="preserve">    ...</w:t>
      </w:r>
    </w:p>
    <w:p w14:paraId="6640516F" w14:textId="77777777" w:rsidR="00394471" w:rsidRPr="00FA0D37" w:rsidRDefault="00394471" w:rsidP="00FA0D37">
      <w:pPr>
        <w:pStyle w:val="PL"/>
      </w:pPr>
      <w:r w:rsidRPr="00FA0D37">
        <w:t>}</w:t>
      </w:r>
    </w:p>
    <w:p w14:paraId="4C80FB72" w14:textId="77777777" w:rsidR="00394471" w:rsidRPr="00FA0D37" w:rsidRDefault="00394471" w:rsidP="00FA0D37">
      <w:pPr>
        <w:pStyle w:val="PL"/>
      </w:pPr>
    </w:p>
    <w:p w14:paraId="0B3B2261" w14:textId="77777777" w:rsidR="00394471" w:rsidRPr="00FA0D37" w:rsidRDefault="00394471" w:rsidP="00FA0D37">
      <w:pPr>
        <w:pStyle w:val="PL"/>
        <w:rPr>
          <w:color w:val="808080"/>
        </w:rPr>
      </w:pPr>
      <w:r w:rsidRPr="00FA0D37">
        <w:rPr>
          <w:color w:val="808080"/>
        </w:rPr>
        <w:t>-- TAG-ZP-CSI-RS-RESOURCESET-STOP</w:t>
      </w:r>
    </w:p>
    <w:p w14:paraId="76A28E2B" w14:textId="77777777" w:rsidR="00394471" w:rsidRPr="00FA0D37" w:rsidRDefault="00394471" w:rsidP="00FA0D37">
      <w:pPr>
        <w:pStyle w:val="PL"/>
        <w:rPr>
          <w:color w:val="808080"/>
        </w:rPr>
      </w:pPr>
      <w:r w:rsidRPr="00FA0D37">
        <w:rPr>
          <w:color w:val="808080"/>
        </w:rPr>
        <w:t>-- ASN1STOP</w:t>
      </w:r>
    </w:p>
    <w:p w14:paraId="55350AE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FA0D37" w:rsidRDefault="00394471" w:rsidP="00964CC4">
            <w:pPr>
              <w:pStyle w:val="TAH"/>
              <w:rPr>
                <w:szCs w:val="22"/>
                <w:lang w:eastAsia="sv-SE"/>
              </w:rPr>
            </w:pPr>
            <w:r w:rsidRPr="00FA0D37">
              <w:rPr>
                <w:i/>
                <w:szCs w:val="22"/>
                <w:lang w:eastAsia="sv-SE"/>
              </w:rPr>
              <w:t xml:space="preserve">ZP-CSI-RS-ResourceSet </w:t>
            </w:r>
            <w:r w:rsidRPr="00FA0D37">
              <w:rPr>
                <w:szCs w:val="22"/>
                <w:lang w:eastAsia="sv-SE"/>
              </w:rPr>
              <w:t>field descriptions</w:t>
            </w:r>
          </w:p>
        </w:tc>
      </w:tr>
      <w:tr w:rsidR="00394471" w:rsidRPr="00FA0D37"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FA0D37" w:rsidRDefault="00394471" w:rsidP="00964CC4">
            <w:pPr>
              <w:pStyle w:val="TAL"/>
              <w:rPr>
                <w:szCs w:val="22"/>
                <w:lang w:eastAsia="sv-SE"/>
              </w:rPr>
            </w:pPr>
            <w:r w:rsidRPr="00FA0D37">
              <w:rPr>
                <w:b/>
                <w:i/>
                <w:szCs w:val="22"/>
                <w:lang w:eastAsia="sv-SE"/>
              </w:rPr>
              <w:t>zp-CSI-RS-ResourceIdList</w:t>
            </w:r>
          </w:p>
          <w:p w14:paraId="426DD4D5" w14:textId="77777777" w:rsidR="00394471" w:rsidRPr="00FA0D37" w:rsidRDefault="00394471" w:rsidP="00964CC4">
            <w:pPr>
              <w:pStyle w:val="TAL"/>
              <w:rPr>
                <w:szCs w:val="22"/>
                <w:lang w:eastAsia="sv-SE"/>
              </w:rPr>
            </w:pPr>
            <w:r w:rsidRPr="00FA0D37">
              <w:rPr>
                <w:szCs w:val="22"/>
                <w:lang w:eastAsia="sv-SE"/>
              </w:rPr>
              <w:t xml:space="preserve">The list of </w:t>
            </w:r>
            <w:r w:rsidRPr="00FA0D37">
              <w:rPr>
                <w:i/>
                <w:szCs w:val="22"/>
                <w:lang w:eastAsia="sv-SE"/>
              </w:rPr>
              <w:t>ZP-CSI-RS-ResourceId</w:t>
            </w:r>
            <w:r w:rsidRPr="00FA0D37">
              <w:rPr>
                <w:szCs w:val="22"/>
                <w:lang w:eastAsia="sv-SE"/>
              </w:rPr>
              <w:t xml:space="preserve"> identifying the </w:t>
            </w:r>
            <w:r w:rsidRPr="00FA0D37">
              <w:rPr>
                <w:i/>
                <w:szCs w:val="22"/>
                <w:lang w:eastAsia="sv-SE"/>
              </w:rPr>
              <w:t>ZP-CSI-RS-Resource</w:t>
            </w:r>
            <w:r w:rsidRPr="00FA0D37">
              <w:rPr>
                <w:szCs w:val="22"/>
                <w:lang w:eastAsia="sv-SE"/>
              </w:rPr>
              <w:t xml:space="preserve"> elements belonging to this set.</w:t>
            </w:r>
          </w:p>
        </w:tc>
      </w:tr>
    </w:tbl>
    <w:p w14:paraId="09591AE4" w14:textId="77777777" w:rsidR="00394471" w:rsidRPr="00FA0D37" w:rsidRDefault="00394471" w:rsidP="00394471"/>
    <w:p w14:paraId="3A694BBC" w14:textId="77777777" w:rsidR="00394471" w:rsidRPr="00FA0D37" w:rsidRDefault="00394471" w:rsidP="00394471">
      <w:pPr>
        <w:pStyle w:val="4"/>
      </w:pPr>
      <w:bookmarkStart w:id="1503" w:name="_Toc60777427"/>
      <w:bookmarkStart w:id="1504" w:name="_Toc146781526"/>
      <w:r w:rsidRPr="00FA0D37">
        <w:t>–</w:t>
      </w:r>
      <w:r w:rsidRPr="00FA0D37">
        <w:tab/>
      </w:r>
      <w:r w:rsidRPr="00FA0D37">
        <w:rPr>
          <w:i/>
        </w:rPr>
        <w:t>ZP-CSI-RS-ResourceSetId</w:t>
      </w:r>
      <w:bookmarkEnd w:id="1503"/>
      <w:bookmarkEnd w:id="1504"/>
    </w:p>
    <w:p w14:paraId="748B39E5" w14:textId="77777777" w:rsidR="00394471" w:rsidRPr="00FA0D37" w:rsidRDefault="00394471" w:rsidP="00394471">
      <w:r w:rsidRPr="00FA0D37">
        <w:t xml:space="preserve">The IE </w:t>
      </w:r>
      <w:r w:rsidRPr="00FA0D37">
        <w:rPr>
          <w:i/>
        </w:rPr>
        <w:t>ZP-CSI-RS-ResourceSetId</w:t>
      </w:r>
      <w:r w:rsidRPr="00FA0D37">
        <w:t xml:space="preserve"> identifies a </w:t>
      </w:r>
      <w:r w:rsidRPr="00FA0D37">
        <w:rPr>
          <w:i/>
        </w:rPr>
        <w:t>ZP-CSI-RS-ResourceSet</w:t>
      </w:r>
      <w:r w:rsidRPr="00FA0D37">
        <w:t>.</w:t>
      </w:r>
    </w:p>
    <w:p w14:paraId="1C38F4CA" w14:textId="77777777" w:rsidR="00394471" w:rsidRPr="00FA0D37" w:rsidRDefault="00394471" w:rsidP="00394471">
      <w:pPr>
        <w:pStyle w:val="TH"/>
      </w:pPr>
      <w:r w:rsidRPr="00FA0D37">
        <w:rPr>
          <w:i/>
        </w:rPr>
        <w:t>ZP-CSI-RS-ResourceSetId</w:t>
      </w:r>
      <w:r w:rsidRPr="00FA0D37">
        <w:t xml:space="preserve"> information element</w:t>
      </w:r>
    </w:p>
    <w:p w14:paraId="5013A0C1" w14:textId="77777777" w:rsidR="00394471" w:rsidRPr="00FA0D37" w:rsidRDefault="00394471" w:rsidP="00FA0D37">
      <w:pPr>
        <w:pStyle w:val="PL"/>
        <w:rPr>
          <w:color w:val="808080"/>
        </w:rPr>
      </w:pPr>
      <w:r w:rsidRPr="00FA0D37">
        <w:rPr>
          <w:color w:val="808080"/>
        </w:rPr>
        <w:t>-- ASN1START</w:t>
      </w:r>
    </w:p>
    <w:p w14:paraId="1C0AEEDF" w14:textId="77777777" w:rsidR="00394471" w:rsidRPr="00FA0D37" w:rsidRDefault="00394471" w:rsidP="00FA0D37">
      <w:pPr>
        <w:pStyle w:val="PL"/>
        <w:rPr>
          <w:color w:val="808080"/>
        </w:rPr>
      </w:pPr>
      <w:r w:rsidRPr="00FA0D37">
        <w:rPr>
          <w:color w:val="808080"/>
        </w:rPr>
        <w:t>-- TAG-ZP-CSI-RS-RESOURCESETID-START</w:t>
      </w:r>
    </w:p>
    <w:p w14:paraId="6A7AA3EC" w14:textId="77777777" w:rsidR="00394471" w:rsidRPr="00FA0D37" w:rsidRDefault="00394471" w:rsidP="00FA0D37">
      <w:pPr>
        <w:pStyle w:val="PL"/>
      </w:pPr>
    </w:p>
    <w:p w14:paraId="7DEF7670" w14:textId="77777777" w:rsidR="00394471" w:rsidRPr="00FA0D37" w:rsidRDefault="00394471" w:rsidP="00FA0D37">
      <w:pPr>
        <w:pStyle w:val="PL"/>
      </w:pPr>
      <w:r w:rsidRPr="00FA0D37">
        <w:t xml:space="preserve">ZP-CSI-RS-ResourceSetId ::=                     </w:t>
      </w:r>
      <w:r w:rsidRPr="00FA0D37">
        <w:rPr>
          <w:color w:val="993366"/>
        </w:rPr>
        <w:t>INTEGER</w:t>
      </w:r>
      <w:r w:rsidRPr="00FA0D37">
        <w:t xml:space="preserve"> (0..maxNrofZP-CSI-RS-ResourceSets-1)</w:t>
      </w:r>
    </w:p>
    <w:p w14:paraId="669FA17E" w14:textId="77777777" w:rsidR="00394471" w:rsidRPr="00FA0D37" w:rsidRDefault="00394471" w:rsidP="00FA0D37">
      <w:pPr>
        <w:pStyle w:val="PL"/>
      </w:pPr>
    </w:p>
    <w:p w14:paraId="150353E4" w14:textId="77777777" w:rsidR="00394471" w:rsidRPr="00FA0D37" w:rsidRDefault="00394471" w:rsidP="00FA0D37">
      <w:pPr>
        <w:pStyle w:val="PL"/>
        <w:rPr>
          <w:color w:val="808080"/>
        </w:rPr>
      </w:pPr>
      <w:r w:rsidRPr="00FA0D37">
        <w:rPr>
          <w:color w:val="808080"/>
        </w:rPr>
        <w:t>-- TAG-ZP-CSI-RS-RESOURCESETID-STOP</w:t>
      </w:r>
    </w:p>
    <w:p w14:paraId="3BB601A2" w14:textId="77777777" w:rsidR="00394471" w:rsidRPr="00FA0D37" w:rsidRDefault="00394471" w:rsidP="00FA0D37">
      <w:pPr>
        <w:pStyle w:val="PL"/>
        <w:rPr>
          <w:color w:val="808080"/>
        </w:rPr>
      </w:pPr>
      <w:r w:rsidRPr="00FA0D37">
        <w:rPr>
          <w:color w:val="808080"/>
        </w:rPr>
        <w:t>-- ASN1STOP</w:t>
      </w:r>
    </w:p>
    <w:p w14:paraId="50697958" w14:textId="77777777" w:rsidR="00394471" w:rsidRPr="00FA0D37" w:rsidRDefault="00394471" w:rsidP="00394471"/>
    <w:p w14:paraId="79610878" w14:textId="77777777" w:rsidR="00394471" w:rsidRPr="00FA0D37" w:rsidRDefault="00394471" w:rsidP="00394471">
      <w:pPr>
        <w:pStyle w:val="3"/>
      </w:pPr>
      <w:bookmarkStart w:id="1505" w:name="_Toc60777428"/>
      <w:bookmarkStart w:id="1506" w:name="_Toc146781527"/>
      <w:r w:rsidRPr="00FA0D37">
        <w:t>6.3.3</w:t>
      </w:r>
      <w:r w:rsidRPr="00FA0D37">
        <w:tab/>
        <w:t>UE capability information elements</w:t>
      </w:r>
      <w:bookmarkEnd w:id="1505"/>
      <w:bookmarkEnd w:id="1506"/>
    </w:p>
    <w:p w14:paraId="1A8EEC31" w14:textId="77777777" w:rsidR="00394471" w:rsidRPr="00FA0D37" w:rsidRDefault="00394471" w:rsidP="00394471">
      <w:pPr>
        <w:pStyle w:val="4"/>
      </w:pPr>
      <w:bookmarkStart w:id="1507" w:name="_Toc60777429"/>
      <w:bookmarkStart w:id="1508" w:name="_Toc146781528"/>
      <w:r w:rsidRPr="00FA0D37">
        <w:t>–</w:t>
      </w:r>
      <w:r w:rsidRPr="00FA0D37">
        <w:tab/>
      </w:r>
      <w:r w:rsidRPr="00FA0D37">
        <w:rPr>
          <w:i/>
        </w:rPr>
        <w:t>AccessStratumRelease</w:t>
      </w:r>
      <w:bookmarkEnd w:id="1507"/>
      <w:bookmarkEnd w:id="1508"/>
    </w:p>
    <w:p w14:paraId="7807CC5E" w14:textId="77777777" w:rsidR="00394471" w:rsidRPr="00FA0D37" w:rsidRDefault="00394471" w:rsidP="00394471">
      <w:r w:rsidRPr="00FA0D37">
        <w:t xml:space="preserve">The IE </w:t>
      </w:r>
      <w:r w:rsidRPr="00FA0D37">
        <w:rPr>
          <w:i/>
        </w:rPr>
        <w:t>AccessStratumRelease</w:t>
      </w:r>
      <w:r w:rsidRPr="00FA0D37">
        <w:t xml:space="preserve"> indicates the release supported by the UE.</w:t>
      </w:r>
    </w:p>
    <w:p w14:paraId="5E3837AB" w14:textId="77777777" w:rsidR="00394471" w:rsidRPr="00FA0D37" w:rsidRDefault="00394471" w:rsidP="00394471">
      <w:pPr>
        <w:pStyle w:val="TH"/>
      </w:pPr>
      <w:r w:rsidRPr="00FA0D37">
        <w:rPr>
          <w:i/>
        </w:rPr>
        <w:t>AccessStratumRelease</w:t>
      </w:r>
      <w:r w:rsidRPr="00FA0D37">
        <w:t xml:space="preserve"> information element</w:t>
      </w:r>
    </w:p>
    <w:p w14:paraId="2DBC8F56" w14:textId="77777777" w:rsidR="00394471" w:rsidRPr="00FA0D37" w:rsidRDefault="00394471" w:rsidP="00FA0D37">
      <w:pPr>
        <w:pStyle w:val="PL"/>
        <w:rPr>
          <w:color w:val="808080"/>
        </w:rPr>
      </w:pPr>
      <w:r w:rsidRPr="00FA0D37">
        <w:rPr>
          <w:color w:val="808080"/>
        </w:rPr>
        <w:t>-- ASN1START</w:t>
      </w:r>
    </w:p>
    <w:p w14:paraId="35D3A584" w14:textId="77777777" w:rsidR="00394471" w:rsidRPr="00FA0D37" w:rsidRDefault="00394471" w:rsidP="00FA0D37">
      <w:pPr>
        <w:pStyle w:val="PL"/>
        <w:rPr>
          <w:color w:val="808080"/>
        </w:rPr>
      </w:pPr>
      <w:r w:rsidRPr="00FA0D37">
        <w:rPr>
          <w:color w:val="808080"/>
        </w:rPr>
        <w:t>-- TAG-ACCESSSTRATUMRELEASE-START</w:t>
      </w:r>
    </w:p>
    <w:p w14:paraId="1381998A" w14:textId="77777777" w:rsidR="00394471" w:rsidRPr="00FA0D37" w:rsidRDefault="00394471" w:rsidP="00FA0D37">
      <w:pPr>
        <w:pStyle w:val="PL"/>
      </w:pPr>
    </w:p>
    <w:p w14:paraId="6DEBFBC7" w14:textId="77777777" w:rsidR="00394471" w:rsidRPr="00FA0D37" w:rsidRDefault="00394471" w:rsidP="00FA0D37">
      <w:pPr>
        <w:pStyle w:val="PL"/>
      </w:pPr>
      <w:r w:rsidRPr="00FA0D37">
        <w:t xml:space="preserve">AccessStratumRelease ::= </w:t>
      </w:r>
      <w:r w:rsidRPr="00FA0D37">
        <w:rPr>
          <w:color w:val="993366"/>
        </w:rPr>
        <w:t>ENUMERATED</w:t>
      </w:r>
      <w:r w:rsidRPr="00FA0D37">
        <w:t xml:space="preserve"> {</w:t>
      </w:r>
    </w:p>
    <w:p w14:paraId="1126E76C" w14:textId="09A06E6A" w:rsidR="00394471" w:rsidRPr="00FA0D37" w:rsidRDefault="00394471" w:rsidP="00FA0D37">
      <w:pPr>
        <w:pStyle w:val="PL"/>
      </w:pPr>
      <w:r w:rsidRPr="00FA0D37">
        <w:t xml:space="preserve">                            rel15, rel16, </w:t>
      </w:r>
      <w:r w:rsidR="00D867BE" w:rsidRPr="00FA0D37">
        <w:t>rel17</w:t>
      </w:r>
      <w:r w:rsidRPr="00FA0D37">
        <w:t>, spare5, spare4, spare3, spare2, spare1, ... }</w:t>
      </w:r>
    </w:p>
    <w:p w14:paraId="1C88E3E4" w14:textId="77777777" w:rsidR="00394471" w:rsidRPr="00FA0D37" w:rsidRDefault="00394471" w:rsidP="00FA0D37">
      <w:pPr>
        <w:pStyle w:val="PL"/>
      </w:pPr>
    </w:p>
    <w:p w14:paraId="4A9B6A82" w14:textId="77777777" w:rsidR="00394471" w:rsidRPr="00FA0D37" w:rsidRDefault="00394471" w:rsidP="00FA0D37">
      <w:pPr>
        <w:pStyle w:val="PL"/>
        <w:rPr>
          <w:color w:val="808080"/>
        </w:rPr>
      </w:pPr>
      <w:r w:rsidRPr="00FA0D37">
        <w:rPr>
          <w:color w:val="808080"/>
        </w:rPr>
        <w:t>-- TAG-ACCESSSTRATUMRELEASE-STOP</w:t>
      </w:r>
    </w:p>
    <w:p w14:paraId="4751DE69" w14:textId="77777777" w:rsidR="00394471" w:rsidRPr="00FA0D37" w:rsidRDefault="00394471" w:rsidP="00FA0D37">
      <w:pPr>
        <w:pStyle w:val="PL"/>
        <w:rPr>
          <w:color w:val="808080"/>
        </w:rPr>
      </w:pPr>
      <w:r w:rsidRPr="00FA0D37">
        <w:rPr>
          <w:color w:val="808080"/>
        </w:rPr>
        <w:t>-- ASN1STOP</w:t>
      </w:r>
    </w:p>
    <w:p w14:paraId="2ACE2C2D" w14:textId="77777777" w:rsidR="00394471" w:rsidRPr="00FA0D37" w:rsidRDefault="00394471" w:rsidP="00394471"/>
    <w:p w14:paraId="68800FA8" w14:textId="77777777" w:rsidR="00C24B82" w:rsidRPr="00FA0D37" w:rsidRDefault="00C24B82" w:rsidP="00C24B82">
      <w:pPr>
        <w:pStyle w:val="4"/>
      </w:pPr>
      <w:bookmarkStart w:id="1509" w:name="_Toc146781529"/>
      <w:bookmarkStart w:id="1510" w:name="_Toc60777430"/>
      <w:r w:rsidRPr="00FA0D37">
        <w:t>–</w:t>
      </w:r>
      <w:r w:rsidRPr="00FA0D37">
        <w:tab/>
      </w:r>
      <w:r w:rsidRPr="00FA0D37">
        <w:rPr>
          <w:i/>
          <w:iCs/>
        </w:rPr>
        <w:t>AppLayerMeasParameters</w:t>
      </w:r>
      <w:bookmarkEnd w:id="1509"/>
    </w:p>
    <w:p w14:paraId="13E58437" w14:textId="77777777" w:rsidR="00C24B82" w:rsidRPr="00FA0D37" w:rsidRDefault="00C24B82" w:rsidP="00C24B82">
      <w:r w:rsidRPr="00FA0D37">
        <w:t xml:space="preserve">The IE </w:t>
      </w:r>
      <w:r w:rsidRPr="00FA0D37">
        <w:rPr>
          <w:i/>
        </w:rPr>
        <w:t>AppLayerMeasParameters</w:t>
      </w:r>
      <w:r w:rsidRPr="00FA0D37">
        <w:t xml:space="preserve"> is used to convey the capabilities supported by the UE for application layer measurements.</w:t>
      </w:r>
    </w:p>
    <w:p w14:paraId="670DDFD6" w14:textId="18D4733B" w:rsidR="00C24B82" w:rsidRPr="00FA0D37" w:rsidRDefault="00C24B82" w:rsidP="00C24B82">
      <w:pPr>
        <w:pStyle w:val="TH"/>
        <w:rPr>
          <w:i/>
        </w:rPr>
      </w:pPr>
      <w:r w:rsidRPr="00FA0D37">
        <w:rPr>
          <w:i/>
        </w:rPr>
        <w:lastRenderedPageBreak/>
        <w:t xml:space="preserve">AppLayerMeasParameters </w:t>
      </w:r>
      <w:r w:rsidRPr="00FA0D37">
        <w:t>information element</w:t>
      </w:r>
    </w:p>
    <w:p w14:paraId="1A50F4E1" w14:textId="77777777" w:rsidR="00C24B82" w:rsidRPr="00FA0D37" w:rsidRDefault="00C24B82" w:rsidP="00FA0D37">
      <w:pPr>
        <w:pStyle w:val="PL"/>
        <w:rPr>
          <w:color w:val="808080"/>
        </w:rPr>
      </w:pPr>
      <w:r w:rsidRPr="00FA0D37">
        <w:rPr>
          <w:color w:val="808080"/>
        </w:rPr>
        <w:t>-- ASN1START</w:t>
      </w:r>
    </w:p>
    <w:p w14:paraId="2ECF10F0" w14:textId="77777777" w:rsidR="00C24B82" w:rsidRPr="00FA0D37" w:rsidRDefault="00C24B82" w:rsidP="00FA0D37">
      <w:pPr>
        <w:pStyle w:val="PL"/>
        <w:rPr>
          <w:color w:val="808080"/>
        </w:rPr>
      </w:pPr>
      <w:r w:rsidRPr="00FA0D37">
        <w:rPr>
          <w:color w:val="808080"/>
        </w:rPr>
        <w:t>-- TAG-APPLAYERMEASPARAMETERS-START</w:t>
      </w:r>
    </w:p>
    <w:p w14:paraId="58C99FAD" w14:textId="77777777" w:rsidR="00C24B82" w:rsidRPr="00FA0D37" w:rsidRDefault="00C24B82" w:rsidP="00FA0D37">
      <w:pPr>
        <w:pStyle w:val="PL"/>
      </w:pPr>
    </w:p>
    <w:p w14:paraId="49FF9D8B" w14:textId="77777777" w:rsidR="00C24B82" w:rsidRPr="00FA0D37" w:rsidRDefault="00C24B82" w:rsidP="00FA0D37">
      <w:pPr>
        <w:pStyle w:val="PL"/>
      </w:pPr>
      <w:r w:rsidRPr="00FA0D37">
        <w:t xml:space="preserve">AppLayerMeasParameters-r17 ::=            </w:t>
      </w:r>
      <w:r w:rsidRPr="00FA0D37">
        <w:rPr>
          <w:color w:val="993366"/>
        </w:rPr>
        <w:t>SEQUENCE</w:t>
      </w:r>
      <w:r w:rsidRPr="00FA0D37">
        <w:t xml:space="preserve"> {</w:t>
      </w:r>
    </w:p>
    <w:p w14:paraId="6E4BB456" w14:textId="77777777" w:rsidR="00C24B82" w:rsidRPr="00FA0D37" w:rsidRDefault="00C24B82" w:rsidP="00FA0D37">
      <w:pPr>
        <w:pStyle w:val="PL"/>
      </w:pPr>
      <w:r w:rsidRPr="00FA0D37">
        <w:t xml:space="preserve">    qoe-Streaming-MeasReport-r17              </w:t>
      </w:r>
      <w:r w:rsidRPr="00FA0D37">
        <w:rPr>
          <w:color w:val="993366"/>
        </w:rPr>
        <w:t>ENUMERATED</w:t>
      </w:r>
      <w:r w:rsidRPr="00FA0D37">
        <w:t xml:space="preserve"> {supported}                                             </w:t>
      </w:r>
      <w:r w:rsidRPr="00FA0D37">
        <w:rPr>
          <w:color w:val="993366"/>
        </w:rPr>
        <w:t>OPTIONAL</w:t>
      </w:r>
      <w:r w:rsidRPr="00FA0D37">
        <w:t>,</w:t>
      </w:r>
    </w:p>
    <w:p w14:paraId="69523516" w14:textId="77777777" w:rsidR="00C24B82" w:rsidRPr="00FA0D37" w:rsidRDefault="00C24B82" w:rsidP="00FA0D37">
      <w:pPr>
        <w:pStyle w:val="PL"/>
      </w:pPr>
      <w:r w:rsidRPr="00FA0D37">
        <w:t xml:space="preserve">    qoe-MTSI-MeasReport-r17                   </w:t>
      </w:r>
      <w:r w:rsidRPr="00FA0D37">
        <w:rPr>
          <w:color w:val="993366"/>
        </w:rPr>
        <w:t>ENUMERATED</w:t>
      </w:r>
      <w:r w:rsidRPr="00FA0D37">
        <w:t xml:space="preserve"> {supported}                                             </w:t>
      </w:r>
      <w:r w:rsidRPr="00FA0D37">
        <w:rPr>
          <w:color w:val="993366"/>
        </w:rPr>
        <w:t>OPTIONAL</w:t>
      </w:r>
      <w:r w:rsidRPr="00FA0D37">
        <w:t>,</w:t>
      </w:r>
    </w:p>
    <w:p w14:paraId="11CB71EC" w14:textId="77777777" w:rsidR="00C24B82" w:rsidRPr="00FA0D37" w:rsidRDefault="00C24B82" w:rsidP="00FA0D37">
      <w:pPr>
        <w:pStyle w:val="PL"/>
      </w:pPr>
      <w:r w:rsidRPr="00FA0D37">
        <w:t xml:space="preserve">    qoe-VR-MeasReport-r17                     </w:t>
      </w:r>
      <w:r w:rsidRPr="00FA0D37">
        <w:rPr>
          <w:color w:val="993366"/>
        </w:rPr>
        <w:t>ENUMERATED</w:t>
      </w:r>
      <w:r w:rsidRPr="00FA0D37">
        <w:t xml:space="preserve"> {supported}                                             </w:t>
      </w:r>
      <w:r w:rsidRPr="00FA0D37">
        <w:rPr>
          <w:color w:val="993366"/>
        </w:rPr>
        <w:t>OPTIONAL</w:t>
      </w:r>
      <w:r w:rsidRPr="00FA0D37">
        <w:t>,</w:t>
      </w:r>
    </w:p>
    <w:p w14:paraId="44DE37E9" w14:textId="77777777" w:rsidR="00C24B82" w:rsidRPr="00FA0D37" w:rsidRDefault="00C24B82" w:rsidP="00FA0D37">
      <w:pPr>
        <w:pStyle w:val="PL"/>
      </w:pPr>
      <w:r w:rsidRPr="00FA0D37">
        <w:t xml:space="preserve">    ran-VisibleQoE-Streaming-MeasReport-r17   </w:t>
      </w:r>
      <w:r w:rsidRPr="00FA0D37">
        <w:rPr>
          <w:color w:val="993366"/>
        </w:rPr>
        <w:t>ENUMERATED</w:t>
      </w:r>
      <w:r w:rsidRPr="00FA0D37">
        <w:t xml:space="preserve"> {supported}                                             </w:t>
      </w:r>
      <w:r w:rsidRPr="00FA0D37">
        <w:rPr>
          <w:color w:val="993366"/>
        </w:rPr>
        <w:t>OPTIONAL</w:t>
      </w:r>
      <w:r w:rsidRPr="00FA0D37">
        <w:t>,</w:t>
      </w:r>
    </w:p>
    <w:p w14:paraId="1C13C2EF" w14:textId="77777777" w:rsidR="00C24B82" w:rsidRPr="00FA0D37" w:rsidRDefault="00C24B82" w:rsidP="00FA0D37">
      <w:pPr>
        <w:pStyle w:val="PL"/>
      </w:pPr>
      <w:r w:rsidRPr="00FA0D37">
        <w:t xml:space="preserve">    ran-VisibleQoE-VR-MeasReport-r17          </w:t>
      </w:r>
      <w:r w:rsidRPr="00FA0D37">
        <w:rPr>
          <w:color w:val="993366"/>
        </w:rPr>
        <w:t>ENUMERATED</w:t>
      </w:r>
      <w:r w:rsidRPr="00FA0D37">
        <w:t xml:space="preserve"> {supported}                                             </w:t>
      </w:r>
      <w:r w:rsidRPr="00FA0D37">
        <w:rPr>
          <w:color w:val="993366"/>
        </w:rPr>
        <w:t>OPTIONAL</w:t>
      </w:r>
      <w:r w:rsidRPr="00FA0D37">
        <w:t>,</w:t>
      </w:r>
    </w:p>
    <w:p w14:paraId="3D2A03C5" w14:textId="77777777" w:rsidR="00C24B82" w:rsidRPr="00FA0D37" w:rsidRDefault="00C24B82" w:rsidP="00FA0D37">
      <w:pPr>
        <w:pStyle w:val="PL"/>
        <w:rPr>
          <w:rFonts w:eastAsiaTheme="minorEastAsia"/>
        </w:rPr>
      </w:pPr>
      <w:r w:rsidRPr="00FA0D37">
        <w:t xml:space="preserve">    </w:t>
      </w:r>
      <w:r w:rsidRPr="00FA0D37">
        <w:rPr>
          <w:rFonts w:eastAsiaTheme="minorEastAsia"/>
        </w:rPr>
        <w:t>ul-MeasurementReportAppLayer-Seg-r17</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0FDF7835" w14:textId="77777777" w:rsidR="00C24B82" w:rsidRPr="00FA0D37" w:rsidRDefault="00C24B82" w:rsidP="00FA0D37">
      <w:pPr>
        <w:pStyle w:val="PL"/>
      </w:pPr>
      <w:r w:rsidRPr="00FA0D37">
        <w:t xml:space="preserve">    ...</w:t>
      </w:r>
    </w:p>
    <w:p w14:paraId="0B13425A" w14:textId="77777777" w:rsidR="00C24B82" w:rsidRPr="00FA0D37" w:rsidRDefault="00C24B82" w:rsidP="00FA0D37">
      <w:pPr>
        <w:pStyle w:val="PL"/>
      </w:pPr>
      <w:r w:rsidRPr="00FA0D37">
        <w:t>}</w:t>
      </w:r>
    </w:p>
    <w:p w14:paraId="7CE539E7" w14:textId="77777777" w:rsidR="00C24B82" w:rsidRPr="00FA0D37" w:rsidRDefault="00C24B82" w:rsidP="00FA0D37">
      <w:pPr>
        <w:pStyle w:val="PL"/>
      </w:pPr>
    </w:p>
    <w:p w14:paraId="00EB5081" w14:textId="77777777" w:rsidR="00C24B82" w:rsidRPr="00FA0D37" w:rsidRDefault="00C24B82" w:rsidP="00FA0D37">
      <w:pPr>
        <w:pStyle w:val="PL"/>
        <w:rPr>
          <w:color w:val="808080"/>
        </w:rPr>
      </w:pPr>
      <w:r w:rsidRPr="00FA0D37">
        <w:rPr>
          <w:color w:val="808080"/>
        </w:rPr>
        <w:t>-- TAG-APPLAYERMEASPARAMETERS-STOP</w:t>
      </w:r>
    </w:p>
    <w:p w14:paraId="5E7C0275" w14:textId="77777777" w:rsidR="00C24B82" w:rsidRPr="00FA0D37" w:rsidRDefault="00C24B82" w:rsidP="00FA0D37">
      <w:pPr>
        <w:pStyle w:val="PL"/>
        <w:rPr>
          <w:color w:val="808080"/>
        </w:rPr>
      </w:pPr>
      <w:r w:rsidRPr="00FA0D37">
        <w:rPr>
          <w:color w:val="808080"/>
        </w:rPr>
        <w:t>-- ASN1STOP</w:t>
      </w:r>
    </w:p>
    <w:p w14:paraId="5677390A" w14:textId="77777777" w:rsidR="00C24B82" w:rsidRPr="00FA0D37" w:rsidRDefault="00C24B82" w:rsidP="00C24B82"/>
    <w:p w14:paraId="42817F82" w14:textId="77777777" w:rsidR="00394471" w:rsidRPr="00FA0D37" w:rsidRDefault="00394471" w:rsidP="00394471">
      <w:pPr>
        <w:pStyle w:val="4"/>
      </w:pPr>
      <w:bookmarkStart w:id="1511" w:name="_Toc146781530"/>
      <w:r w:rsidRPr="00FA0D37">
        <w:t>–</w:t>
      </w:r>
      <w:r w:rsidRPr="00FA0D37">
        <w:tab/>
      </w:r>
      <w:r w:rsidRPr="00FA0D37">
        <w:rPr>
          <w:i/>
          <w:noProof/>
        </w:rPr>
        <w:t>BandCombinationList</w:t>
      </w:r>
      <w:bookmarkEnd w:id="1510"/>
      <w:bookmarkEnd w:id="1511"/>
    </w:p>
    <w:p w14:paraId="7D056ACD" w14:textId="77777777" w:rsidR="00394471" w:rsidRPr="00FA0D37" w:rsidRDefault="00394471" w:rsidP="00394471">
      <w:r w:rsidRPr="00FA0D37">
        <w:t xml:space="preserve">The IE </w:t>
      </w:r>
      <w:r w:rsidRPr="00FA0D37">
        <w:rPr>
          <w:i/>
        </w:rPr>
        <w:t>BandCombinationList</w:t>
      </w:r>
      <w:r w:rsidRPr="00FA0D37">
        <w:t xml:space="preserve"> contains a list of NR CA</w:t>
      </w:r>
      <w:r w:rsidRPr="00FA0D37">
        <w:rPr>
          <w:lang w:eastAsia="zh-CN"/>
        </w:rPr>
        <w:t>, NR non-CA</w:t>
      </w:r>
      <w:r w:rsidRPr="00FA0D37">
        <w:t xml:space="preserve"> and/or MR-DC band combinations (also including DL only or UL only band).</w:t>
      </w:r>
    </w:p>
    <w:p w14:paraId="53DF2CBD" w14:textId="77777777" w:rsidR="00394471" w:rsidRPr="00FA0D37" w:rsidRDefault="00394471" w:rsidP="00394471">
      <w:pPr>
        <w:pStyle w:val="TH"/>
      </w:pPr>
      <w:r w:rsidRPr="00FA0D37">
        <w:rPr>
          <w:i/>
        </w:rPr>
        <w:t>BandCombinationList</w:t>
      </w:r>
      <w:r w:rsidRPr="00FA0D37">
        <w:t xml:space="preserve"> information element</w:t>
      </w:r>
    </w:p>
    <w:p w14:paraId="33C428A6" w14:textId="77777777" w:rsidR="00394471" w:rsidRPr="00FA0D37" w:rsidRDefault="00394471" w:rsidP="00FA0D37">
      <w:pPr>
        <w:pStyle w:val="PL"/>
        <w:rPr>
          <w:color w:val="808080"/>
        </w:rPr>
      </w:pPr>
      <w:r w:rsidRPr="00FA0D37">
        <w:rPr>
          <w:color w:val="808080"/>
        </w:rPr>
        <w:t>-- ASN1START</w:t>
      </w:r>
    </w:p>
    <w:p w14:paraId="075847EB" w14:textId="77777777" w:rsidR="00394471" w:rsidRPr="00FA0D37" w:rsidRDefault="00394471" w:rsidP="00FA0D37">
      <w:pPr>
        <w:pStyle w:val="PL"/>
        <w:rPr>
          <w:color w:val="808080"/>
        </w:rPr>
      </w:pPr>
      <w:r w:rsidRPr="00FA0D37">
        <w:rPr>
          <w:color w:val="808080"/>
        </w:rPr>
        <w:t>-- TAG-BANDCOMBINATIONLIST-START</w:t>
      </w:r>
    </w:p>
    <w:p w14:paraId="60CBAD27" w14:textId="77777777" w:rsidR="00394471" w:rsidRPr="00FA0D37" w:rsidRDefault="00394471" w:rsidP="00FA0D37">
      <w:pPr>
        <w:pStyle w:val="PL"/>
      </w:pPr>
    </w:p>
    <w:p w14:paraId="00BEA683" w14:textId="77777777" w:rsidR="00394471" w:rsidRPr="00FA0D37" w:rsidRDefault="00394471" w:rsidP="00FA0D37">
      <w:pPr>
        <w:pStyle w:val="PL"/>
      </w:pPr>
      <w:r w:rsidRPr="00FA0D37">
        <w:t xml:space="preserve">BandCombinationList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w:t>
      </w:r>
    </w:p>
    <w:p w14:paraId="2D068DF0" w14:textId="77777777" w:rsidR="00394471" w:rsidRPr="00FA0D37" w:rsidRDefault="00394471" w:rsidP="00FA0D37">
      <w:pPr>
        <w:pStyle w:val="PL"/>
      </w:pPr>
    </w:p>
    <w:p w14:paraId="6F7FF951" w14:textId="77777777" w:rsidR="00394471" w:rsidRPr="00FA0D37" w:rsidRDefault="00394471" w:rsidP="00FA0D37">
      <w:pPr>
        <w:pStyle w:val="PL"/>
      </w:pPr>
      <w:r w:rsidRPr="00FA0D37">
        <w:t xml:space="preserve">BandCombinationList-v1540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BandCombination-v1540</w:t>
      </w:r>
    </w:p>
    <w:p w14:paraId="1B8C888F" w14:textId="77777777" w:rsidR="00394471" w:rsidRPr="00FA0D37" w:rsidRDefault="00394471" w:rsidP="00FA0D37">
      <w:pPr>
        <w:pStyle w:val="PL"/>
      </w:pPr>
    </w:p>
    <w:p w14:paraId="795F9602" w14:textId="77777777" w:rsidR="00394471" w:rsidRPr="00FA0D37" w:rsidRDefault="00394471" w:rsidP="00FA0D37">
      <w:pPr>
        <w:pStyle w:val="PL"/>
      </w:pPr>
      <w:r w:rsidRPr="00FA0D37">
        <w:t xml:space="preserve">BandCombinationList-v1550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BandCombination-v1550</w:t>
      </w:r>
    </w:p>
    <w:p w14:paraId="630AD68A" w14:textId="77777777" w:rsidR="00394471" w:rsidRPr="00FA0D37" w:rsidRDefault="00394471" w:rsidP="00FA0D37">
      <w:pPr>
        <w:pStyle w:val="PL"/>
      </w:pPr>
    </w:p>
    <w:p w14:paraId="31D56A3D" w14:textId="77777777" w:rsidR="00394471" w:rsidRPr="00FA0D37" w:rsidRDefault="00394471" w:rsidP="00FA0D37">
      <w:pPr>
        <w:pStyle w:val="PL"/>
      </w:pPr>
      <w:r w:rsidRPr="00FA0D37">
        <w:t xml:space="preserve">BandCombinationList-v1560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BandCombination-v1560</w:t>
      </w:r>
    </w:p>
    <w:p w14:paraId="63597489" w14:textId="77777777" w:rsidR="00394471" w:rsidRPr="00FA0D37" w:rsidRDefault="00394471" w:rsidP="00FA0D37">
      <w:pPr>
        <w:pStyle w:val="PL"/>
      </w:pPr>
    </w:p>
    <w:p w14:paraId="79D88575" w14:textId="77777777" w:rsidR="00394471" w:rsidRPr="00FA0D37" w:rsidRDefault="00394471" w:rsidP="00FA0D37">
      <w:pPr>
        <w:pStyle w:val="PL"/>
      </w:pPr>
      <w:r w:rsidRPr="00FA0D37">
        <w:t xml:space="preserve">BandCombinationList-v1570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BandCombination-v1570</w:t>
      </w:r>
    </w:p>
    <w:p w14:paraId="0284C39B" w14:textId="77777777" w:rsidR="00394471" w:rsidRPr="00FA0D37" w:rsidRDefault="00394471" w:rsidP="00FA0D37">
      <w:pPr>
        <w:pStyle w:val="PL"/>
      </w:pPr>
    </w:p>
    <w:p w14:paraId="3A50CC94" w14:textId="77777777" w:rsidR="00394471" w:rsidRPr="00FA0D37" w:rsidRDefault="00394471" w:rsidP="00FA0D37">
      <w:pPr>
        <w:pStyle w:val="PL"/>
      </w:pPr>
      <w:r w:rsidRPr="00FA0D37">
        <w:t xml:space="preserve">BandCombinationList-v1580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BandCombination-v1580</w:t>
      </w:r>
    </w:p>
    <w:p w14:paraId="48C5173E" w14:textId="77777777" w:rsidR="00394471" w:rsidRPr="00FA0D37" w:rsidRDefault="00394471" w:rsidP="00FA0D37">
      <w:pPr>
        <w:pStyle w:val="PL"/>
      </w:pPr>
    </w:p>
    <w:p w14:paraId="4C198F52" w14:textId="77777777" w:rsidR="00394471" w:rsidRPr="00FA0D37" w:rsidRDefault="00394471" w:rsidP="00FA0D37">
      <w:pPr>
        <w:pStyle w:val="PL"/>
      </w:pPr>
      <w:r w:rsidRPr="00FA0D37">
        <w:t xml:space="preserve">BandCombinationList-v1590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BandCombination-v1590</w:t>
      </w:r>
    </w:p>
    <w:p w14:paraId="4D439A88" w14:textId="77777777" w:rsidR="004A773C" w:rsidRPr="00FA0D37" w:rsidRDefault="004A773C" w:rsidP="00FA0D37">
      <w:pPr>
        <w:pStyle w:val="PL"/>
      </w:pPr>
    </w:p>
    <w:p w14:paraId="0B9C28EA" w14:textId="2F95E3A8" w:rsidR="00394471" w:rsidRPr="00FA0D37" w:rsidRDefault="004A773C" w:rsidP="00FA0D37">
      <w:pPr>
        <w:pStyle w:val="PL"/>
      </w:pPr>
      <w:r w:rsidRPr="00FA0D37">
        <w:t>BandCombinationList-v15</w:t>
      </w:r>
      <w:r w:rsidR="00EE4C48" w:rsidRPr="00FA0D37">
        <w:t>g0</w:t>
      </w:r>
      <w:r w:rsidRPr="00FA0D37">
        <w:t xml:space="preserve">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BandCombination-v15</w:t>
      </w:r>
      <w:r w:rsidR="00EE4C48" w:rsidRPr="00FA0D37">
        <w:t>g0</w:t>
      </w:r>
    </w:p>
    <w:p w14:paraId="263EF11F" w14:textId="77777777" w:rsidR="004A773C" w:rsidRPr="00FA0D37" w:rsidRDefault="004A773C" w:rsidP="00FA0D37">
      <w:pPr>
        <w:pStyle w:val="PL"/>
      </w:pPr>
    </w:p>
    <w:p w14:paraId="7851B6C2" w14:textId="4CB8B6F9" w:rsidR="00302EDB" w:rsidRPr="00FA0D37" w:rsidRDefault="00302EDB" w:rsidP="00FA0D37">
      <w:pPr>
        <w:pStyle w:val="PL"/>
      </w:pPr>
      <w:r w:rsidRPr="00FA0D37">
        <w:t xml:space="preserve">BandCombinationList-v15n0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BandCombination-v15n0</w:t>
      </w:r>
    </w:p>
    <w:p w14:paraId="4B906CC1" w14:textId="77777777" w:rsidR="00302EDB" w:rsidRPr="00FA0D37" w:rsidRDefault="00302EDB" w:rsidP="00FA0D37">
      <w:pPr>
        <w:pStyle w:val="PL"/>
      </w:pPr>
    </w:p>
    <w:p w14:paraId="00DA509C" w14:textId="71DD22E4" w:rsidR="00394471" w:rsidRPr="00FA0D37" w:rsidRDefault="00394471" w:rsidP="00FA0D37">
      <w:pPr>
        <w:pStyle w:val="PL"/>
      </w:pPr>
      <w:r w:rsidRPr="00FA0D37">
        <w:t xml:space="preserve">BandCombinationList-v1610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BandCombination-v1610</w:t>
      </w:r>
    </w:p>
    <w:p w14:paraId="37279093" w14:textId="77777777" w:rsidR="00D027C1" w:rsidRPr="00FA0D37" w:rsidRDefault="00D027C1" w:rsidP="00FA0D37">
      <w:pPr>
        <w:pStyle w:val="PL"/>
      </w:pPr>
    </w:p>
    <w:p w14:paraId="03E222B6" w14:textId="7A87A518" w:rsidR="00D027C1" w:rsidRPr="00FA0D37" w:rsidRDefault="00D027C1" w:rsidP="00FA0D37">
      <w:pPr>
        <w:pStyle w:val="PL"/>
      </w:pPr>
      <w:r w:rsidRPr="00FA0D37">
        <w:t>BandCombinationList</w:t>
      </w:r>
      <w:r w:rsidR="003B657B" w:rsidRPr="00FA0D37">
        <w:t>-v1630</w:t>
      </w:r>
      <w:r w:rsidRPr="00FA0D37">
        <w:t xml:space="preserve">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w:t>
      </w:r>
      <w:r w:rsidR="003B657B" w:rsidRPr="00FA0D37">
        <w:t>-v1630</w:t>
      </w:r>
    </w:p>
    <w:p w14:paraId="3DC9D5AB" w14:textId="77777777" w:rsidR="00E46198" w:rsidRPr="00FA0D37" w:rsidRDefault="00E46198" w:rsidP="00FA0D37">
      <w:pPr>
        <w:pStyle w:val="PL"/>
      </w:pPr>
    </w:p>
    <w:p w14:paraId="0316D844" w14:textId="297A9083" w:rsidR="00E46198" w:rsidRPr="00FA0D37" w:rsidRDefault="00E46198" w:rsidP="00FA0D37">
      <w:pPr>
        <w:pStyle w:val="PL"/>
      </w:pPr>
      <w:r w:rsidRPr="00FA0D37">
        <w:t>BandCombinationList-v</w:t>
      </w:r>
      <w:r w:rsidR="000C2783" w:rsidRPr="00FA0D37">
        <w:t>1640</w:t>
      </w:r>
      <w:r w:rsidRPr="00FA0D37">
        <w:t xml:space="preserve">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w:t>
      </w:r>
      <w:r w:rsidR="000C2783" w:rsidRPr="00FA0D37">
        <w:t>1640</w:t>
      </w:r>
    </w:p>
    <w:p w14:paraId="52531B9B" w14:textId="77777777" w:rsidR="00394471" w:rsidRPr="00FA0D37" w:rsidRDefault="00394471" w:rsidP="00FA0D37">
      <w:pPr>
        <w:pStyle w:val="PL"/>
      </w:pPr>
    </w:p>
    <w:p w14:paraId="364D6194" w14:textId="6DE91668" w:rsidR="007830B1" w:rsidRPr="00FA0D37" w:rsidRDefault="007830B1" w:rsidP="00FA0D37">
      <w:pPr>
        <w:pStyle w:val="PL"/>
      </w:pPr>
      <w:r w:rsidRPr="00FA0D37">
        <w:t>BandCombinationList-v16</w:t>
      </w:r>
      <w:r w:rsidR="001F631E" w:rsidRPr="00FA0D37">
        <w:t>50</w:t>
      </w:r>
      <w:r w:rsidRPr="00FA0D37">
        <w:t xml:space="preserve">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BandCombination-v16</w:t>
      </w:r>
      <w:r w:rsidR="001F631E" w:rsidRPr="00FA0D37">
        <w:t>50</w:t>
      </w:r>
    </w:p>
    <w:p w14:paraId="25A75979" w14:textId="77777777" w:rsidR="00C07032" w:rsidRPr="00FA0D37" w:rsidRDefault="00C07032" w:rsidP="00FA0D37">
      <w:pPr>
        <w:pStyle w:val="PL"/>
      </w:pPr>
    </w:p>
    <w:p w14:paraId="38573530" w14:textId="66022258" w:rsidR="007830B1" w:rsidRPr="00FA0D37" w:rsidRDefault="00C07032" w:rsidP="00FA0D37">
      <w:pPr>
        <w:pStyle w:val="PL"/>
      </w:pPr>
      <w:r w:rsidRPr="00FA0D37">
        <w:t xml:space="preserve">BandCombinationList-v1680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BandCombination-v1680</w:t>
      </w:r>
    </w:p>
    <w:p w14:paraId="09877BAE" w14:textId="77777777" w:rsidR="005337F6" w:rsidRPr="00FA0D37" w:rsidRDefault="005337F6" w:rsidP="00FA0D37">
      <w:pPr>
        <w:pStyle w:val="PL"/>
      </w:pPr>
    </w:p>
    <w:p w14:paraId="4EFEE3F2" w14:textId="5BD2089F" w:rsidR="00C07032" w:rsidRPr="00FA0D37" w:rsidRDefault="005337F6" w:rsidP="00FA0D37">
      <w:pPr>
        <w:pStyle w:val="PL"/>
      </w:pPr>
      <w:r w:rsidRPr="00FA0D37">
        <w:t xml:space="preserve">BandCombinationList-v1690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BandCombination-v1690</w:t>
      </w:r>
    </w:p>
    <w:p w14:paraId="3B64796B" w14:textId="77777777" w:rsidR="005337F6" w:rsidRPr="00FA0D37" w:rsidRDefault="005337F6" w:rsidP="00FA0D37">
      <w:pPr>
        <w:pStyle w:val="PL"/>
      </w:pPr>
    </w:p>
    <w:p w14:paraId="40A78516" w14:textId="1C9D6823" w:rsidR="00B04F4B" w:rsidRPr="00FA0D37" w:rsidRDefault="00B04F4B" w:rsidP="00FA0D37">
      <w:pPr>
        <w:pStyle w:val="PL"/>
      </w:pPr>
      <w:r w:rsidRPr="00FA0D37">
        <w:t xml:space="preserve">BandCombinationList-v16a0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BandCombination-v16a0</w:t>
      </w:r>
    </w:p>
    <w:p w14:paraId="1C93B27B" w14:textId="77777777" w:rsidR="00B04F4B" w:rsidRPr="00FA0D37" w:rsidRDefault="00B04F4B" w:rsidP="00FA0D37">
      <w:pPr>
        <w:pStyle w:val="PL"/>
      </w:pPr>
    </w:p>
    <w:p w14:paraId="5B3E701B" w14:textId="3B5B826E" w:rsidR="00D867BE" w:rsidRPr="00FA0D37" w:rsidRDefault="00D867BE" w:rsidP="00FA0D37">
      <w:pPr>
        <w:pStyle w:val="PL"/>
      </w:pPr>
      <w:r w:rsidRPr="00FA0D37">
        <w:t xml:space="preserve">BandCombinationList-v1700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BandCombination-v1700</w:t>
      </w:r>
    </w:p>
    <w:p w14:paraId="3FDA2905" w14:textId="5BFC35FA" w:rsidR="00D867BE" w:rsidRPr="00FA0D37" w:rsidRDefault="00D867BE" w:rsidP="00FA0D37">
      <w:pPr>
        <w:pStyle w:val="PL"/>
      </w:pPr>
    </w:p>
    <w:p w14:paraId="75AF9E9E" w14:textId="5FC26C19" w:rsidR="00F03826" w:rsidRPr="00FA0D37" w:rsidRDefault="00F03826" w:rsidP="00FA0D37">
      <w:pPr>
        <w:pStyle w:val="PL"/>
      </w:pPr>
      <w:r w:rsidRPr="00FA0D37">
        <w:t xml:space="preserve">BandCombinationList-v1720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BandCombination-v1720</w:t>
      </w:r>
    </w:p>
    <w:p w14:paraId="6D8FED11" w14:textId="77777777" w:rsidR="00691952" w:rsidRPr="00FA0D37" w:rsidRDefault="00691952" w:rsidP="00FA0D37">
      <w:pPr>
        <w:pStyle w:val="PL"/>
      </w:pPr>
    </w:p>
    <w:p w14:paraId="769E2ECE" w14:textId="7BC8A16C" w:rsidR="00F03826" w:rsidRPr="00FA0D37" w:rsidRDefault="00691952" w:rsidP="00FA0D37">
      <w:pPr>
        <w:pStyle w:val="PL"/>
      </w:pPr>
      <w:r w:rsidRPr="00FA0D37">
        <w:t xml:space="preserve">BandCombinationList-v1730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BandCombination-v1730</w:t>
      </w:r>
    </w:p>
    <w:p w14:paraId="2FE28C59" w14:textId="77777777" w:rsidR="00691952" w:rsidRPr="00FA0D37" w:rsidRDefault="00691952" w:rsidP="00FA0D37">
      <w:pPr>
        <w:pStyle w:val="PL"/>
      </w:pPr>
    </w:p>
    <w:p w14:paraId="0E937FCA" w14:textId="77777777" w:rsidR="009536C4" w:rsidRPr="00FA0D37" w:rsidRDefault="003350BF" w:rsidP="00FA0D37">
      <w:pPr>
        <w:pStyle w:val="PL"/>
      </w:pPr>
      <w:r w:rsidRPr="00FA0D37">
        <w:t xml:space="preserve">BandCombinationList-v1740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BandCombination-v1740</w:t>
      </w:r>
    </w:p>
    <w:p w14:paraId="4B9A1903" w14:textId="77777777" w:rsidR="009536C4" w:rsidRPr="00FA0D37" w:rsidRDefault="009536C4" w:rsidP="00FA0D37">
      <w:pPr>
        <w:pStyle w:val="PL"/>
      </w:pPr>
    </w:p>
    <w:p w14:paraId="3B5F8AA3" w14:textId="6F95CF56" w:rsidR="003350BF" w:rsidRPr="00FA0D37" w:rsidRDefault="009536C4" w:rsidP="00FA0D37">
      <w:pPr>
        <w:pStyle w:val="PL"/>
      </w:pPr>
      <w:r w:rsidRPr="00FA0D37">
        <w:t xml:space="preserve">BandCombinationList-v1760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BandCombination-v1760</w:t>
      </w:r>
    </w:p>
    <w:p w14:paraId="49F5A0EA" w14:textId="77777777" w:rsidR="003350BF" w:rsidRPr="00FA0D37" w:rsidRDefault="003350BF" w:rsidP="00FA0D37">
      <w:pPr>
        <w:pStyle w:val="PL"/>
      </w:pPr>
    </w:p>
    <w:p w14:paraId="5956E638" w14:textId="20ECE6D0" w:rsidR="00394471" w:rsidRPr="00FA0D37" w:rsidRDefault="00394471" w:rsidP="00FA0D37">
      <w:pPr>
        <w:pStyle w:val="PL"/>
      </w:pPr>
      <w:r w:rsidRPr="00FA0D37">
        <w:t xml:space="preserve">BandCombinationList-UplinkTxSwitch-r16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BandCombination-UplinkTxSwitch-r16</w:t>
      </w:r>
    </w:p>
    <w:p w14:paraId="0C689957" w14:textId="77777777" w:rsidR="00D027C1" w:rsidRPr="00FA0D37" w:rsidRDefault="00D027C1" w:rsidP="00FA0D37">
      <w:pPr>
        <w:pStyle w:val="PL"/>
      </w:pPr>
    </w:p>
    <w:p w14:paraId="23CF4E69" w14:textId="40B4F169" w:rsidR="00D027C1" w:rsidRPr="00FA0D37" w:rsidRDefault="00D027C1" w:rsidP="00FA0D37">
      <w:pPr>
        <w:pStyle w:val="PL"/>
      </w:pPr>
      <w:r w:rsidRPr="00FA0D37">
        <w:t>BandCombinationList-UplinkTxSwitch</w:t>
      </w:r>
      <w:r w:rsidR="003B657B" w:rsidRPr="00FA0D37">
        <w:t>-v1630</w:t>
      </w:r>
      <w:r w:rsidRPr="00FA0D37">
        <w:t xml:space="preserve">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w:t>
      </w:r>
      <w:r w:rsidR="003B657B" w:rsidRPr="00FA0D37">
        <w:t>-v1630</w:t>
      </w:r>
    </w:p>
    <w:p w14:paraId="2C2B81E2" w14:textId="77777777" w:rsidR="00E46198" w:rsidRPr="00FA0D37" w:rsidRDefault="00E46198" w:rsidP="00FA0D37">
      <w:pPr>
        <w:pStyle w:val="PL"/>
      </w:pPr>
    </w:p>
    <w:p w14:paraId="1C22838F" w14:textId="626086DD" w:rsidR="00E46198" w:rsidRPr="00FA0D37" w:rsidRDefault="00E46198" w:rsidP="00FA0D37">
      <w:pPr>
        <w:pStyle w:val="PL"/>
      </w:pPr>
      <w:r w:rsidRPr="00FA0D37">
        <w:t>BandCombinationList-UplinkTxSwitch-v</w:t>
      </w:r>
      <w:r w:rsidR="000C2783" w:rsidRPr="00FA0D37">
        <w:t>1640</w:t>
      </w:r>
      <w:r w:rsidRPr="00FA0D37">
        <w:t xml:space="preserve">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w:t>
      </w:r>
      <w:r w:rsidR="000C2783" w:rsidRPr="00FA0D37">
        <w:t>1640</w:t>
      </w:r>
    </w:p>
    <w:p w14:paraId="75CAE0A3" w14:textId="77777777" w:rsidR="00394471" w:rsidRPr="00FA0D37" w:rsidRDefault="00394471" w:rsidP="00FA0D37">
      <w:pPr>
        <w:pStyle w:val="PL"/>
      </w:pPr>
    </w:p>
    <w:p w14:paraId="7A7C4DC7" w14:textId="081DD83F" w:rsidR="007830B1" w:rsidRPr="00FA0D37" w:rsidRDefault="007830B1" w:rsidP="00FA0D37">
      <w:pPr>
        <w:pStyle w:val="PL"/>
      </w:pPr>
      <w:r w:rsidRPr="00FA0D37">
        <w:t>BandCombinationList-UplinkTxSwitch-v16</w:t>
      </w:r>
      <w:r w:rsidR="001F631E" w:rsidRPr="00FA0D37">
        <w:t>50</w:t>
      </w:r>
      <w:r w:rsidRPr="00FA0D37">
        <w:t xml:space="preserve">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BandCombination-UplinkTxSwitch-v16</w:t>
      </w:r>
      <w:r w:rsidR="001F631E" w:rsidRPr="00FA0D37">
        <w:t>50</w:t>
      </w:r>
    </w:p>
    <w:p w14:paraId="0E26B0E9" w14:textId="77777777" w:rsidR="007830B1" w:rsidRPr="00FA0D37" w:rsidRDefault="007830B1" w:rsidP="00FA0D37">
      <w:pPr>
        <w:pStyle w:val="PL"/>
      </w:pPr>
    </w:p>
    <w:p w14:paraId="21369E47" w14:textId="654C28E5" w:rsidR="004A773C" w:rsidRPr="00FA0D37" w:rsidRDefault="004A773C" w:rsidP="00FA0D37">
      <w:pPr>
        <w:pStyle w:val="PL"/>
      </w:pPr>
      <w:r w:rsidRPr="00FA0D37">
        <w:t>BandCombinationList-UplinkTxSwitch-v16</w:t>
      </w:r>
      <w:r w:rsidR="00EE4C48" w:rsidRPr="00FA0D37">
        <w:t>70</w:t>
      </w:r>
      <w:r w:rsidRPr="00FA0D37">
        <w:t xml:space="preserve">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BandCombination-UplinkTxSwitch-v16</w:t>
      </w:r>
      <w:r w:rsidR="00EE4C48" w:rsidRPr="00FA0D37">
        <w:t>70</w:t>
      </w:r>
    </w:p>
    <w:p w14:paraId="200C26C5" w14:textId="77777777" w:rsidR="004A773C" w:rsidRPr="00FA0D37" w:rsidRDefault="004A773C" w:rsidP="00FA0D37">
      <w:pPr>
        <w:pStyle w:val="PL"/>
      </w:pPr>
    </w:p>
    <w:p w14:paraId="556D2EBA" w14:textId="117833E7" w:rsidR="005337F6" w:rsidRPr="00FA0D37" w:rsidRDefault="005337F6" w:rsidP="00FA0D37">
      <w:pPr>
        <w:pStyle w:val="PL"/>
      </w:pPr>
      <w:r w:rsidRPr="00FA0D37">
        <w:t xml:space="preserve">BandCombinationList-UplinkTxSwitch-v1690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BandCombination-UplinkTxSwitch-v1690</w:t>
      </w:r>
    </w:p>
    <w:p w14:paraId="17DB4CA3" w14:textId="77777777" w:rsidR="00B04F4B" w:rsidRPr="00FA0D37" w:rsidRDefault="00B04F4B" w:rsidP="00FA0D37">
      <w:pPr>
        <w:pStyle w:val="PL"/>
      </w:pPr>
    </w:p>
    <w:p w14:paraId="36BF235D" w14:textId="5E819B1E" w:rsidR="005337F6" w:rsidRPr="00FA0D37" w:rsidRDefault="00B04F4B" w:rsidP="00FA0D37">
      <w:pPr>
        <w:pStyle w:val="PL"/>
      </w:pPr>
      <w:r w:rsidRPr="00FA0D37">
        <w:t xml:space="preserve">BandCombinationList-UplinkTxSwitch-v16a0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BandCombination-UplinkTxSwitch-v16a0</w:t>
      </w:r>
    </w:p>
    <w:p w14:paraId="356D26F4" w14:textId="77777777" w:rsidR="00B04F4B" w:rsidRPr="00FA0D37" w:rsidRDefault="00B04F4B" w:rsidP="00FA0D37">
      <w:pPr>
        <w:pStyle w:val="PL"/>
      </w:pPr>
    </w:p>
    <w:p w14:paraId="143E6CDE" w14:textId="78700555" w:rsidR="001B58CB" w:rsidRPr="00FA0D37" w:rsidRDefault="001B58CB" w:rsidP="00FA0D37">
      <w:pPr>
        <w:pStyle w:val="PL"/>
      </w:pPr>
      <w:r w:rsidRPr="00FA0D37">
        <w:t xml:space="preserve">BandCombinationList-UplinkTxSwitch-v16e0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BandCombination-UplinkTxSwitch-v16e0</w:t>
      </w:r>
    </w:p>
    <w:p w14:paraId="0B63E197" w14:textId="77777777" w:rsidR="001B58CB" w:rsidRPr="00FA0D37" w:rsidRDefault="001B58CB" w:rsidP="00FA0D37">
      <w:pPr>
        <w:pStyle w:val="PL"/>
      </w:pPr>
    </w:p>
    <w:p w14:paraId="6B17F283" w14:textId="0842F2A9" w:rsidR="00D867BE" w:rsidRPr="00FA0D37" w:rsidRDefault="00D867BE" w:rsidP="00FA0D37">
      <w:pPr>
        <w:pStyle w:val="PL"/>
      </w:pPr>
      <w:r w:rsidRPr="00FA0D37">
        <w:t xml:space="preserve">BandCombinationList-UplinkTxSwitch-v1700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BandCombination-UplinkTxSwitch-v1700</w:t>
      </w:r>
    </w:p>
    <w:p w14:paraId="1282774F" w14:textId="7206A97C" w:rsidR="00F03826" w:rsidRPr="00FA0D37" w:rsidRDefault="00F03826" w:rsidP="00FA0D37">
      <w:pPr>
        <w:pStyle w:val="PL"/>
      </w:pPr>
    </w:p>
    <w:p w14:paraId="04A0E306" w14:textId="68180466" w:rsidR="00F03826" w:rsidRPr="00FA0D37" w:rsidRDefault="00F03826" w:rsidP="00FA0D37">
      <w:pPr>
        <w:pStyle w:val="PL"/>
      </w:pPr>
      <w:r w:rsidRPr="00FA0D37">
        <w:t xml:space="preserve">BandCombinationList-UplinkTxSwitch-v1720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BandCombination-UplinkTxSwitch-v1720</w:t>
      </w:r>
    </w:p>
    <w:p w14:paraId="2F883272" w14:textId="77777777" w:rsidR="00691952" w:rsidRPr="00FA0D37" w:rsidRDefault="00691952" w:rsidP="00FA0D37">
      <w:pPr>
        <w:pStyle w:val="PL"/>
      </w:pPr>
    </w:p>
    <w:p w14:paraId="1EB9240D" w14:textId="778EB739" w:rsidR="00D867BE" w:rsidRPr="00FA0D37" w:rsidRDefault="00691952" w:rsidP="00FA0D37">
      <w:pPr>
        <w:pStyle w:val="PL"/>
      </w:pPr>
      <w:r w:rsidRPr="00FA0D37">
        <w:t xml:space="preserve">BandCombinationList-UplinkTxSwitch-v1730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BandCombination-UplinkTxSwitch-v1730</w:t>
      </w:r>
    </w:p>
    <w:p w14:paraId="0DFAF400" w14:textId="77777777" w:rsidR="003350BF" w:rsidRPr="00FA0D37" w:rsidRDefault="003350BF" w:rsidP="00FA0D37">
      <w:pPr>
        <w:pStyle w:val="PL"/>
      </w:pPr>
    </w:p>
    <w:p w14:paraId="25D0A850" w14:textId="340023AE" w:rsidR="00691952" w:rsidRPr="00FA0D37" w:rsidRDefault="003350BF" w:rsidP="00FA0D37">
      <w:pPr>
        <w:pStyle w:val="PL"/>
      </w:pPr>
      <w:r w:rsidRPr="00FA0D37">
        <w:t xml:space="preserve">BandCombinationList-UplinkTxSwitch-v1740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BandCombination-UplinkTxSwitch-v1740</w:t>
      </w:r>
    </w:p>
    <w:p w14:paraId="28FCB369" w14:textId="77777777" w:rsidR="003350BF" w:rsidRPr="00FA0D37" w:rsidRDefault="003350BF" w:rsidP="00FA0D37">
      <w:pPr>
        <w:pStyle w:val="PL"/>
      </w:pPr>
    </w:p>
    <w:p w14:paraId="497B3DF5" w14:textId="15DC204F" w:rsidR="009536C4" w:rsidRPr="00FA0D37" w:rsidRDefault="009536C4" w:rsidP="00FA0D37">
      <w:pPr>
        <w:pStyle w:val="PL"/>
      </w:pPr>
      <w:r w:rsidRPr="00FA0D37">
        <w:t xml:space="preserve">BandCombinationList-UplinkTxSwitch-v1760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BandCombination-UplinkTxSwitch-v1760</w:t>
      </w:r>
    </w:p>
    <w:p w14:paraId="1658BB1C" w14:textId="77777777" w:rsidR="009536C4" w:rsidRPr="00FA0D37" w:rsidRDefault="009536C4" w:rsidP="00FA0D37">
      <w:pPr>
        <w:pStyle w:val="PL"/>
      </w:pPr>
    </w:p>
    <w:p w14:paraId="0318B572" w14:textId="5582CF54" w:rsidR="00394471" w:rsidRPr="00FA0D37" w:rsidRDefault="00394471" w:rsidP="00FA0D37">
      <w:pPr>
        <w:pStyle w:val="PL"/>
      </w:pPr>
      <w:r w:rsidRPr="00FA0D37">
        <w:t xml:space="preserve">BandCombination ::=                 </w:t>
      </w:r>
      <w:r w:rsidRPr="00FA0D37">
        <w:rPr>
          <w:color w:val="993366"/>
        </w:rPr>
        <w:t>SEQUENCE</w:t>
      </w:r>
      <w:r w:rsidRPr="00FA0D37">
        <w:t xml:space="preserve"> {</w:t>
      </w:r>
    </w:p>
    <w:p w14:paraId="65F57D00" w14:textId="77777777" w:rsidR="00394471" w:rsidRPr="00FA0D37" w:rsidRDefault="00394471" w:rsidP="00FA0D37">
      <w:pPr>
        <w:pStyle w:val="PL"/>
      </w:pPr>
      <w:r w:rsidRPr="00FA0D37">
        <w:t xml:space="preserve">    bandList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w:t>
      </w:r>
    </w:p>
    <w:p w14:paraId="15C957C0" w14:textId="77777777" w:rsidR="00394471" w:rsidRPr="00FA0D37" w:rsidRDefault="00394471" w:rsidP="00FA0D37">
      <w:pPr>
        <w:pStyle w:val="PL"/>
      </w:pPr>
      <w:r w:rsidRPr="00FA0D37">
        <w:t xml:space="preserve">    featureSetCombination               FeatureSetCombinationId,</w:t>
      </w:r>
    </w:p>
    <w:p w14:paraId="683816B2" w14:textId="77777777" w:rsidR="00394471" w:rsidRPr="00FA0D37" w:rsidRDefault="00394471" w:rsidP="00FA0D37">
      <w:pPr>
        <w:pStyle w:val="PL"/>
      </w:pPr>
      <w:r w:rsidRPr="00FA0D37">
        <w:t xml:space="preserve">    ca-ParametersEUTRA                  CA-ParametersEUTRA                          </w:t>
      </w:r>
      <w:r w:rsidRPr="00FA0D37">
        <w:rPr>
          <w:color w:val="993366"/>
        </w:rPr>
        <w:t>OPTIONAL</w:t>
      </w:r>
      <w:r w:rsidRPr="00FA0D37">
        <w:t>,</w:t>
      </w:r>
    </w:p>
    <w:p w14:paraId="4ACBA279" w14:textId="77777777" w:rsidR="00394471" w:rsidRPr="00FA0D37" w:rsidRDefault="00394471" w:rsidP="00FA0D37">
      <w:pPr>
        <w:pStyle w:val="PL"/>
      </w:pPr>
      <w:r w:rsidRPr="00FA0D37">
        <w:lastRenderedPageBreak/>
        <w:t xml:space="preserve">    ca-ParametersNR                     CA-ParametersNR                             </w:t>
      </w:r>
      <w:r w:rsidRPr="00FA0D37">
        <w:rPr>
          <w:color w:val="993366"/>
        </w:rPr>
        <w:t>OPTIONAL</w:t>
      </w:r>
      <w:r w:rsidRPr="00FA0D37">
        <w:t>,</w:t>
      </w:r>
    </w:p>
    <w:p w14:paraId="0124E6CF" w14:textId="77777777" w:rsidR="00394471" w:rsidRPr="00FA0D37" w:rsidRDefault="00394471" w:rsidP="00FA0D37">
      <w:pPr>
        <w:pStyle w:val="PL"/>
      </w:pPr>
      <w:r w:rsidRPr="00FA0D37">
        <w:t xml:space="preserve">    mrdc-Parameters                     MRDC-Parameters                             </w:t>
      </w:r>
      <w:r w:rsidRPr="00FA0D37">
        <w:rPr>
          <w:color w:val="993366"/>
        </w:rPr>
        <w:t>OPTIONAL</w:t>
      </w:r>
      <w:r w:rsidRPr="00FA0D37">
        <w:t>,</w:t>
      </w:r>
    </w:p>
    <w:p w14:paraId="7FB7476C" w14:textId="77777777" w:rsidR="00394471" w:rsidRPr="00FA0D37" w:rsidRDefault="00394471" w:rsidP="00FA0D37">
      <w:pPr>
        <w:pStyle w:val="PL"/>
      </w:pPr>
      <w:r w:rsidRPr="00FA0D37">
        <w:t xml:space="preserve">    supportedBandwidthCombinationSet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(1..32))                   </w:t>
      </w:r>
      <w:r w:rsidRPr="00FA0D37">
        <w:rPr>
          <w:color w:val="993366"/>
        </w:rPr>
        <w:t>OPTIONAL</w:t>
      </w:r>
      <w:r w:rsidRPr="00FA0D37">
        <w:t>,</w:t>
      </w:r>
    </w:p>
    <w:p w14:paraId="353BEB3A" w14:textId="77777777" w:rsidR="00394471" w:rsidRPr="00FA0D37" w:rsidRDefault="00394471" w:rsidP="00FA0D37">
      <w:pPr>
        <w:pStyle w:val="PL"/>
      </w:pPr>
      <w:r w:rsidRPr="00FA0D37">
        <w:t xml:space="preserve">    powerClass-v1530                    </w:t>
      </w:r>
      <w:r w:rsidRPr="00FA0D37">
        <w:rPr>
          <w:color w:val="993366"/>
        </w:rPr>
        <w:t>ENUMERATED</w:t>
      </w:r>
      <w:r w:rsidRPr="00FA0D37">
        <w:t xml:space="preserve"> {pc2}                            </w:t>
      </w:r>
      <w:r w:rsidRPr="00FA0D37">
        <w:rPr>
          <w:color w:val="993366"/>
        </w:rPr>
        <w:t>OPTIONAL</w:t>
      </w:r>
    </w:p>
    <w:p w14:paraId="56BBF226" w14:textId="77777777" w:rsidR="00394471" w:rsidRPr="00FA0D37" w:rsidRDefault="00394471" w:rsidP="00FA0D37">
      <w:pPr>
        <w:pStyle w:val="PL"/>
      </w:pPr>
      <w:r w:rsidRPr="00FA0D37">
        <w:t>}</w:t>
      </w:r>
    </w:p>
    <w:p w14:paraId="03459318" w14:textId="77777777" w:rsidR="00394471" w:rsidRPr="00FA0D37" w:rsidRDefault="00394471" w:rsidP="00FA0D37">
      <w:pPr>
        <w:pStyle w:val="PL"/>
      </w:pPr>
    </w:p>
    <w:p w14:paraId="1F28B9CA" w14:textId="77777777" w:rsidR="00394471" w:rsidRPr="00FA0D37" w:rsidRDefault="00394471" w:rsidP="00FA0D37">
      <w:pPr>
        <w:pStyle w:val="PL"/>
      </w:pPr>
      <w:r w:rsidRPr="00FA0D37">
        <w:t xml:space="preserve">BandCombination-v1540::=            </w:t>
      </w:r>
      <w:r w:rsidRPr="00FA0D37">
        <w:rPr>
          <w:color w:val="993366"/>
        </w:rPr>
        <w:t>SEQUENCE</w:t>
      </w:r>
      <w:r w:rsidRPr="00FA0D37">
        <w:t xml:space="preserve"> {</w:t>
      </w:r>
    </w:p>
    <w:p w14:paraId="786C4B74" w14:textId="77777777" w:rsidR="00394471" w:rsidRPr="00FA0D37" w:rsidRDefault="00394471" w:rsidP="00FA0D37">
      <w:pPr>
        <w:pStyle w:val="PL"/>
      </w:pPr>
      <w:r w:rsidRPr="00FA0D37">
        <w:t xml:space="preserve">    bandList-v1540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BandParameters-v1540,</w:t>
      </w:r>
    </w:p>
    <w:p w14:paraId="6D97A683" w14:textId="77777777" w:rsidR="00394471" w:rsidRPr="00FA0D37" w:rsidRDefault="00394471" w:rsidP="00FA0D37">
      <w:pPr>
        <w:pStyle w:val="PL"/>
      </w:pPr>
      <w:r w:rsidRPr="00FA0D37">
        <w:t xml:space="preserve">    ca-ParametersNR-v1540               CA-ParametersNR-v1540                       </w:t>
      </w:r>
      <w:r w:rsidRPr="00FA0D37">
        <w:rPr>
          <w:color w:val="993366"/>
        </w:rPr>
        <w:t>OPTIONAL</w:t>
      </w:r>
    </w:p>
    <w:p w14:paraId="6DDBD5B7" w14:textId="77777777" w:rsidR="00394471" w:rsidRPr="00FA0D37" w:rsidRDefault="00394471" w:rsidP="00FA0D37">
      <w:pPr>
        <w:pStyle w:val="PL"/>
      </w:pPr>
      <w:r w:rsidRPr="00FA0D37">
        <w:t>}</w:t>
      </w:r>
    </w:p>
    <w:p w14:paraId="25A2BD80" w14:textId="77777777" w:rsidR="00394471" w:rsidRPr="00FA0D37" w:rsidRDefault="00394471" w:rsidP="00FA0D37">
      <w:pPr>
        <w:pStyle w:val="PL"/>
      </w:pPr>
    </w:p>
    <w:p w14:paraId="6F4CA041" w14:textId="77777777" w:rsidR="00394471" w:rsidRPr="00FA0D37" w:rsidRDefault="00394471" w:rsidP="00FA0D37">
      <w:pPr>
        <w:pStyle w:val="PL"/>
      </w:pPr>
      <w:r w:rsidRPr="00FA0D37">
        <w:t xml:space="preserve">BandCombination-v1550 ::=           </w:t>
      </w:r>
      <w:r w:rsidRPr="00FA0D37">
        <w:rPr>
          <w:color w:val="993366"/>
        </w:rPr>
        <w:t>SEQUENCE</w:t>
      </w:r>
      <w:r w:rsidRPr="00FA0D37">
        <w:t xml:space="preserve"> {</w:t>
      </w:r>
    </w:p>
    <w:p w14:paraId="69ACC5C3" w14:textId="77777777" w:rsidR="00394471" w:rsidRPr="00FA0D37" w:rsidRDefault="00394471" w:rsidP="00FA0D37">
      <w:pPr>
        <w:pStyle w:val="PL"/>
      </w:pPr>
      <w:r w:rsidRPr="00FA0D37">
        <w:t xml:space="preserve">    ca-ParametersNR-v1550               CA-ParametersNR-v1550</w:t>
      </w:r>
    </w:p>
    <w:p w14:paraId="242BB643" w14:textId="77777777" w:rsidR="00394471" w:rsidRPr="00FA0D37" w:rsidRDefault="00394471" w:rsidP="00FA0D37">
      <w:pPr>
        <w:pStyle w:val="PL"/>
      </w:pPr>
      <w:r w:rsidRPr="00FA0D37">
        <w:t>}</w:t>
      </w:r>
    </w:p>
    <w:p w14:paraId="69C470AD" w14:textId="77777777" w:rsidR="00394471" w:rsidRPr="00FA0D37" w:rsidRDefault="00394471" w:rsidP="00FA0D37">
      <w:pPr>
        <w:pStyle w:val="PL"/>
      </w:pPr>
      <w:r w:rsidRPr="00FA0D37">
        <w:t xml:space="preserve">BandCombination-v1560::=            </w:t>
      </w:r>
      <w:r w:rsidRPr="00FA0D37">
        <w:rPr>
          <w:color w:val="993366"/>
        </w:rPr>
        <w:t>SEQUENCE</w:t>
      </w:r>
      <w:r w:rsidRPr="00FA0D37">
        <w:t xml:space="preserve"> {</w:t>
      </w:r>
    </w:p>
    <w:p w14:paraId="30239735" w14:textId="77777777" w:rsidR="00394471" w:rsidRPr="00FA0D37" w:rsidRDefault="00394471" w:rsidP="00FA0D37">
      <w:pPr>
        <w:pStyle w:val="PL"/>
      </w:pPr>
      <w:r w:rsidRPr="00FA0D37">
        <w:t xml:space="preserve">    ne-DC-BC                                </w:t>
      </w:r>
      <w:r w:rsidRPr="00FA0D37">
        <w:rPr>
          <w:color w:val="993366"/>
        </w:rPr>
        <w:t>ENUMERATED</w:t>
      </w:r>
      <w:r w:rsidRPr="00FA0D37">
        <w:t xml:space="preserve"> {supported}                 </w:t>
      </w:r>
      <w:r w:rsidRPr="00FA0D37">
        <w:rPr>
          <w:color w:val="993366"/>
        </w:rPr>
        <w:t>OPTIONAL</w:t>
      </w:r>
      <w:r w:rsidRPr="00FA0D37">
        <w:t>,</w:t>
      </w:r>
    </w:p>
    <w:p w14:paraId="606C977B" w14:textId="77777777" w:rsidR="00394471" w:rsidRPr="00FA0D37" w:rsidRDefault="00394471" w:rsidP="00FA0D37">
      <w:pPr>
        <w:pStyle w:val="PL"/>
      </w:pPr>
      <w:r w:rsidRPr="00FA0D37">
        <w:t xml:space="preserve">    ca-ParametersNRDC                       CA-ParametersNRDC                      </w:t>
      </w:r>
      <w:r w:rsidRPr="00FA0D37">
        <w:rPr>
          <w:color w:val="993366"/>
        </w:rPr>
        <w:t>OPTIONAL</w:t>
      </w:r>
      <w:r w:rsidRPr="00FA0D37">
        <w:t>,</w:t>
      </w:r>
    </w:p>
    <w:p w14:paraId="40FC319C" w14:textId="77777777" w:rsidR="00394471" w:rsidRPr="00FA0D37" w:rsidRDefault="00394471" w:rsidP="00FA0D37">
      <w:pPr>
        <w:pStyle w:val="PL"/>
      </w:pPr>
      <w:r w:rsidRPr="00FA0D37">
        <w:t xml:space="preserve">    ca-ParametersEUTRA-v1560                CA-ParametersEUTRA-v1560               </w:t>
      </w:r>
      <w:r w:rsidRPr="00FA0D37">
        <w:rPr>
          <w:color w:val="993366"/>
        </w:rPr>
        <w:t>OPTIONAL</w:t>
      </w:r>
      <w:r w:rsidRPr="00FA0D37">
        <w:t>,</w:t>
      </w:r>
    </w:p>
    <w:p w14:paraId="2608050A" w14:textId="77777777" w:rsidR="00394471" w:rsidRPr="00FA0D37" w:rsidRDefault="00394471" w:rsidP="00FA0D37">
      <w:pPr>
        <w:pStyle w:val="PL"/>
      </w:pPr>
      <w:r w:rsidRPr="00FA0D37">
        <w:t xml:space="preserve">    ca-ParametersNR-v1560                   CA-ParametersNR-v1560                  </w:t>
      </w:r>
      <w:r w:rsidRPr="00FA0D37">
        <w:rPr>
          <w:color w:val="993366"/>
        </w:rPr>
        <w:t>OPTIONAL</w:t>
      </w:r>
    </w:p>
    <w:p w14:paraId="1CB62288" w14:textId="77777777" w:rsidR="00394471" w:rsidRPr="00FA0D37" w:rsidRDefault="00394471" w:rsidP="00FA0D37">
      <w:pPr>
        <w:pStyle w:val="PL"/>
      </w:pPr>
      <w:r w:rsidRPr="00FA0D37">
        <w:t>}</w:t>
      </w:r>
    </w:p>
    <w:p w14:paraId="12578357" w14:textId="77777777" w:rsidR="00394471" w:rsidRPr="00FA0D37" w:rsidRDefault="00394471" w:rsidP="00FA0D37">
      <w:pPr>
        <w:pStyle w:val="PL"/>
      </w:pPr>
    </w:p>
    <w:p w14:paraId="42566278" w14:textId="77777777" w:rsidR="00394471" w:rsidRPr="00FA0D37" w:rsidRDefault="00394471" w:rsidP="00FA0D37">
      <w:pPr>
        <w:pStyle w:val="PL"/>
      </w:pPr>
      <w:r w:rsidRPr="00FA0D37">
        <w:t xml:space="preserve">BandCombination-v1570 ::=           </w:t>
      </w:r>
      <w:r w:rsidRPr="00FA0D37">
        <w:rPr>
          <w:color w:val="993366"/>
        </w:rPr>
        <w:t>SEQUENCE</w:t>
      </w:r>
      <w:r w:rsidRPr="00FA0D37">
        <w:t xml:space="preserve"> {</w:t>
      </w:r>
    </w:p>
    <w:p w14:paraId="070C6279" w14:textId="77777777" w:rsidR="00394471" w:rsidRPr="00FA0D37" w:rsidRDefault="00394471" w:rsidP="00FA0D37">
      <w:pPr>
        <w:pStyle w:val="PL"/>
      </w:pPr>
      <w:r w:rsidRPr="00FA0D37">
        <w:t xml:space="preserve">    ca-ParametersEUTRA-v1570            CA-ParametersEUTRA-v1570</w:t>
      </w:r>
    </w:p>
    <w:p w14:paraId="012A7D60" w14:textId="77777777" w:rsidR="00394471" w:rsidRPr="00FA0D37" w:rsidRDefault="00394471" w:rsidP="00FA0D37">
      <w:pPr>
        <w:pStyle w:val="PL"/>
      </w:pPr>
      <w:r w:rsidRPr="00FA0D37">
        <w:t>}</w:t>
      </w:r>
    </w:p>
    <w:p w14:paraId="56186EF1" w14:textId="77777777" w:rsidR="00394471" w:rsidRPr="00FA0D37" w:rsidRDefault="00394471" w:rsidP="00FA0D37">
      <w:pPr>
        <w:pStyle w:val="PL"/>
      </w:pPr>
    </w:p>
    <w:p w14:paraId="0264EDB2" w14:textId="77777777" w:rsidR="00394471" w:rsidRPr="00FA0D37" w:rsidRDefault="00394471" w:rsidP="00FA0D37">
      <w:pPr>
        <w:pStyle w:val="PL"/>
      </w:pPr>
      <w:r w:rsidRPr="00FA0D37">
        <w:t xml:space="preserve">BandCombination-v1580 ::=           </w:t>
      </w:r>
      <w:r w:rsidRPr="00FA0D37">
        <w:rPr>
          <w:color w:val="993366"/>
        </w:rPr>
        <w:t>SEQUENCE</w:t>
      </w:r>
      <w:r w:rsidRPr="00FA0D37">
        <w:t xml:space="preserve"> {</w:t>
      </w:r>
    </w:p>
    <w:p w14:paraId="74FF71F2" w14:textId="77777777" w:rsidR="00394471" w:rsidRPr="00FA0D37" w:rsidRDefault="00394471" w:rsidP="00FA0D37">
      <w:pPr>
        <w:pStyle w:val="PL"/>
      </w:pPr>
      <w:r w:rsidRPr="00FA0D37">
        <w:t xml:space="preserve">    mrdc-Parameters-v1580               MRDC-Parameters-v1580</w:t>
      </w:r>
    </w:p>
    <w:p w14:paraId="06C3382C" w14:textId="77777777" w:rsidR="00394471" w:rsidRPr="00FA0D37" w:rsidRDefault="00394471" w:rsidP="00FA0D37">
      <w:pPr>
        <w:pStyle w:val="PL"/>
      </w:pPr>
      <w:r w:rsidRPr="00FA0D37">
        <w:t>}</w:t>
      </w:r>
    </w:p>
    <w:p w14:paraId="0A4E9FB8" w14:textId="77777777" w:rsidR="00394471" w:rsidRPr="00FA0D37" w:rsidRDefault="00394471" w:rsidP="00FA0D37">
      <w:pPr>
        <w:pStyle w:val="PL"/>
      </w:pPr>
    </w:p>
    <w:p w14:paraId="0551FE02" w14:textId="77777777" w:rsidR="00394471" w:rsidRPr="00FA0D37" w:rsidRDefault="00394471" w:rsidP="00FA0D37">
      <w:pPr>
        <w:pStyle w:val="PL"/>
      </w:pPr>
      <w:r w:rsidRPr="00FA0D37">
        <w:t xml:space="preserve">BandCombination-v1590::=            </w:t>
      </w:r>
      <w:r w:rsidRPr="00FA0D37">
        <w:rPr>
          <w:color w:val="993366"/>
        </w:rPr>
        <w:t>SEQUENCE</w:t>
      </w:r>
      <w:r w:rsidRPr="00FA0D37">
        <w:t xml:space="preserve"> {</w:t>
      </w:r>
    </w:p>
    <w:p w14:paraId="358A53FD" w14:textId="77777777" w:rsidR="00394471" w:rsidRPr="00FA0D37" w:rsidRDefault="00394471" w:rsidP="00FA0D37">
      <w:pPr>
        <w:pStyle w:val="PL"/>
      </w:pPr>
      <w:r w:rsidRPr="00FA0D37">
        <w:t xml:space="preserve">    supportedBandwidthCombinationSetIntraENDC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(1..32))           </w:t>
      </w:r>
      <w:r w:rsidRPr="00FA0D37">
        <w:rPr>
          <w:color w:val="993366"/>
        </w:rPr>
        <w:t>OPTIONAL</w:t>
      </w:r>
      <w:r w:rsidRPr="00FA0D37">
        <w:t>,</w:t>
      </w:r>
    </w:p>
    <w:p w14:paraId="16C4F2C5" w14:textId="77777777" w:rsidR="00394471" w:rsidRPr="00FA0D37" w:rsidRDefault="00394471" w:rsidP="00FA0D37">
      <w:pPr>
        <w:pStyle w:val="PL"/>
      </w:pPr>
      <w:r w:rsidRPr="00FA0D37">
        <w:t xml:space="preserve">    mrdc-Parameters-v1590                      MRDC-Parameters-v1590</w:t>
      </w:r>
    </w:p>
    <w:p w14:paraId="1CA22B96" w14:textId="77777777" w:rsidR="00394471" w:rsidRPr="00FA0D37" w:rsidRDefault="00394471" w:rsidP="00FA0D37">
      <w:pPr>
        <w:pStyle w:val="PL"/>
      </w:pPr>
      <w:r w:rsidRPr="00FA0D37">
        <w:t>}</w:t>
      </w:r>
    </w:p>
    <w:p w14:paraId="1B919FE5" w14:textId="77777777" w:rsidR="004A773C" w:rsidRPr="00FA0D37" w:rsidRDefault="004A773C" w:rsidP="00FA0D37">
      <w:pPr>
        <w:pStyle w:val="PL"/>
      </w:pPr>
    </w:p>
    <w:p w14:paraId="3CAFD4B5" w14:textId="57442B6D" w:rsidR="004A773C" w:rsidRPr="00FA0D37" w:rsidRDefault="004A773C" w:rsidP="00FA0D37">
      <w:pPr>
        <w:pStyle w:val="PL"/>
      </w:pPr>
      <w:r w:rsidRPr="00FA0D37">
        <w:t>BandCombination-v15</w:t>
      </w:r>
      <w:r w:rsidR="00EE4C48" w:rsidRPr="00FA0D37">
        <w:t>g0</w:t>
      </w:r>
      <w:r w:rsidRPr="00FA0D37">
        <w:t xml:space="preserve">::=            </w:t>
      </w:r>
      <w:r w:rsidRPr="00FA0D37">
        <w:rPr>
          <w:color w:val="993366"/>
        </w:rPr>
        <w:t>SEQUENCE</w:t>
      </w:r>
      <w:r w:rsidRPr="00FA0D37">
        <w:t xml:space="preserve"> {</w:t>
      </w:r>
    </w:p>
    <w:p w14:paraId="407FE64A" w14:textId="0C8900EE" w:rsidR="004A773C" w:rsidRPr="00FA0D37" w:rsidRDefault="004A773C" w:rsidP="00FA0D37">
      <w:pPr>
        <w:pStyle w:val="PL"/>
      </w:pPr>
      <w:r w:rsidRPr="00FA0D37">
        <w:t xml:space="preserve">    ca-ParametersNR-v15</w:t>
      </w:r>
      <w:r w:rsidR="00EE4C48" w:rsidRPr="00FA0D37">
        <w:t>g0</w:t>
      </w:r>
      <w:r w:rsidRPr="00FA0D37">
        <w:t xml:space="preserve">               CA-ParametersNR-v15</w:t>
      </w:r>
      <w:r w:rsidR="00EE4C48" w:rsidRPr="00FA0D37">
        <w:t>g0</w:t>
      </w:r>
      <w:r w:rsidRPr="00FA0D37">
        <w:t xml:space="preserve">                      </w:t>
      </w:r>
      <w:r w:rsidRPr="00FA0D37">
        <w:rPr>
          <w:color w:val="993366"/>
        </w:rPr>
        <w:t>OPTIONAL</w:t>
      </w:r>
      <w:r w:rsidRPr="00FA0D37">
        <w:t>,</w:t>
      </w:r>
    </w:p>
    <w:p w14:paraId="05B28A1D" w14:textId="76F1E50C" w:rsidR="004A773C" w:rsidRPr="00FA0D37" w:rsidRDefault="004A773C" w:rsidP="00FA0D37">
      <w:pPr>
        <w:pStyle w:val="PL"/>
      </w:pPr>
      <w:r w:rsidRPr="00FA0D37">
        <w:t xml:space="preserve">    ca-ParametersNRDC-v15</w:t>
      </w:r>
      <w:r w:rsidR="00EE4C48" w:rsidRPr="00FA0D37">
        <w:t>g0</w:t>
      </w:r>
      <w:r w:rsidRPr="00FA0D37">
        <w:t xml:space="preserve">             CA-ParametersNRDC-v15</w:t>
      </w:r>
      <w:r w:rsidR="00EE4C48" w:rsidRPr="00FA0D37">
        <w:t>g0</w:t>
      </w:r>
      <w:r w:rsidRPr="00FA0D37">
        <w:t xml:space="preserve">                    </w:t>
      </w:r>
      <w:r w:rsidRPr="00FA0D37">
        <w:rPr>
          <w:color w:val="993366"/>
        </w:rPr>
        <w:t>OPTIONAL</w:t>
      </w:r>
      <w:r w:rsidRPr="00FA0D37">
        <w:t>,</w:t>
      </w:r>
    </w:p>
    <w:p w14:paraId="2D693D39" w14:textId="765FADFB" w:rsidR="004A773C" w:rsidRPr="00FA0D37" w:rsidRDefault="004A773C" w:rsidP="00FA0D37">
      <w:pPr>
        <w:pStyle w:val="PL"/>
      </w:pPr>
      <w:r w:rsidRPr="00FA0D37">
        <w:t xml:space="preserve">    mrdc-Parameters-v15</w:t>
      </w:r>
      <w:r w:rsidR="00EE4C48" w:rsidRPr="00FA0D37">
        <w:t>g0</w:t>
      </w:r>
      <w:r w:rsidRPr="00FA0D37">
        <w:t xml:space="preserve">               MRDC-Parameters-v15</w:t>
      </w:r>
      <w:r w:rsidR="00EE4C48" w:rsidRPr="00FA0D37">
        <w:t>g0</w:t>
      </w:r>
      <w:r w:rsidRPr="00FA0D37">
        <w:t xml:space="preserve">                      </w:t>
      </w:r>
      <w:r w:rsidRPr="00FA0D37">
        <w:rPr>
          <w:color w:val="993366"/>
        </w:rPr>
        <w:t>OPTIONAL</w:t>
      </w:r>
    </w:p>
    <w:p w14:paraId="56D31E9B" w14:textId="3D1C7168" w:rsidR="00FE5FE8" w:rsidRPr="00FA0D37" w:rsidRDefault="004A773C" w:rsidP="00FA0D37">
      <w:pPr>
        <w:pStyle w:val="PL"/>
      </w:pPr>
      <w:r w:rsidRPr="00FA0D37">
        <w:t>}</w:t>
      </w:r>
    </w:p>
    <w:p w14:paraId="07378803" w14:textId="77777777" w:rsidR="004A773C" w:rsidRPr="00FA0D37" w:rsidRDefault="004A773C" w:rsidP="00FA0D37">
      <w:pPr>
        <w:pStyle w:val="PL"/>
      </w:pPr>
    </w:p>
    <w:p w14:paraId="6BD348E4" w14:textId="76567B0B" w:rsidR="001B58CB" w:rsidRPr="00FA0D37" w:rsidRDefault="001B58CB" w:rsidP="00FA0D37">
      <w:pPr>
        <w:pStyle w:val="PL"/>
      </w:pPr>
      <w:r w:rsidRPr="00FA0D37">
        <w:t xml:space="preserve">BandCombination-v15n0::=            </w:t>
      </w:r>
      <w:r w:rsidRPr="00FA0D37">
        <w:rPr>
          <w:color w:val="993366"/>
        </w:rPr>
        <w:t>SEQUENCE</w:t>
      </w:r>
      <w:r w:rsidRPr="00FA0D37">
        <w:t xml:space="preserve"> {</w:t>
      </w:r>
    </w:p>
    <w:p w14:paraId="23A054D5" w14:textId="5E45D33F" w:rsidR="001B58CB" w:rsidRPr="00FA0D37" w:rsidRDefault="001B58CB" w:rsidP="00FA0D37">
      <w:pPr>
        <w:pStyle w:val="PL"/>
      </w:pPr>
      <w:r w:rsidRPr="00FA0D37">
        <w:t xml:space="preserve">    mrdc-Parameters-v15n0               MRDC-Parameters-v15n0</w:t>
      </w:r>
    </w:p>
    <w:p w14:paraId="297D8E65" w14:textId="58E3288C" w:rsidR="001B58CB" w:rsidRPr="00FA0D37" w:rsidRDefault="001B58CB" w:rsidP="00FA0D37">
      <w:pPr>
        <w:pStyle w:val="PL"/>
      </w:pPr>
      <w:r w:rsidRPr="00FA0D37">
        <w:t>}</w:t>
      </w:r>
    </w:p>
    <w:p w14:paraId="47416093" w14:textId="77777777" w:rsidR="001B58CB" w:rsidRPr="00FA0D37" w:rsidRDefault="001B58CB" w:rsidP="00FA0D37">
      <w:pPr>
        <w:pStyle w:val="PL"/>
      </w:pPr>
    </w:p>
    <w:p w14:paraId="7C4A1245" w14:textId="01B79857" w:rsidR="00FE5FE8" w:rsidRPr="00FA0D37" w:rsidRDefault="00FE5FE8" w:rsidP="00FA0D37">
      <w:pPr>
        <w:pStyle w:val="PL"/>
      </w:pPr>
      <w:r w:rsidRPr="00FA0D37">
        <w:t xml:space="preserve">BandCombination-v1610 ::=          </w:t>
      </w:r>
      <w:r w:rsidR="001B58CB" w:rsidRPr="00FA0D37">
        <w:t xml:space="preserve"> </w:t>
      </w:r>
      <w:r w:rsidRPr="00FA0D37">
        <w:rPr>
          <w:color w:val="993366"/>
        </w:rPr>
        <w:t>SEQUENCE</w:t>
      </w:r>
      <w:r w:rsidRPr="00FA0D37">
        <w:t xml:space="preserve"> {</w:t>
      </w:r>
    </w:p>
    <w:p w14:paraId="40ABEBD5" w14:textId="77777777" w:rsidR="00FE5FE8" w:rsidRPr="00FA0D37" w:rsidRDefault="00FE5FE8" w:rsidP="00FA0D37">
      <w:pPr>
        <w:pStyle w:val="PL"/>
      </w:pPr>
      <w:r w:rsidRPr="00FA0D37">
        <w:t xml:space="preserve">    bandList-v1610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BandParameters-v1610  </w:t>
      </w:r>
      <w:r w:rsidRPr="00FA0D37">
        <w:rPr>
          <w:color w:val="993366"/>
        </w:rPr>
        <w:t>OPTIONAL</w:t>
      </w:r>
      <w:r w:rsidRPr="00FA0D37">
        <w:t>,</w:t>
      </w:r>
    </w:p>
    <w:p w14:paraId="1E833381" w14:textId="29555608" w:rsidR="00FE5FE8" w:rsidRPr="00FA0D37" w:rsidRDefault="00FE5FE8" w:rsidP="00FA0D37">
      <w:pPr>
        <w:pStyle w:val="PL"/>
      </w:pPr>
      <w:r w:rsidRPr="00FA0D37">
        <w:t xml:space="preserve">    ca-ParametersNR-v1610               CA-ParametersNR-v1610                  </w:t>
      </w:r>
      <w:r w:rsidRPr="00FA0D37">
        <w:rPr>
          <w:color w:val="993366"/>
        </w:rPr>
        <w:t>OPTIONAL</w:t>
      </w:r>
      <w:r w:rsidRPr="00FA0D37">
        <w:t>,</w:t>
      </w:r>
    </w:p>
    <w:p w14:paraId="2A5BAFA2" w14:textId="49D24234" w:rsidR="00FE5FE8" w:rsidRPr="00FA0D37" w:rsidRDefault="00FE5FE8" w:rsidP="00FA0D37">
      <w:pPr>
        <w:pStyle w:val="PL"/>
      </w:pPr>
      <w:r w:rsidRPr="00FA0D37">
        <w:t xml:space="preserve">    ca-ParametersNRDC-v1610             CA-ParametersNRDC-v1610                </w:t>
      </w:r>
      <w:r w:rsidRPr="00FA0D37">
        <w:rPr>
          <w:color w:val="993366"/>
        </w:rPr>
        <w:t>OPTIONAL</w:t>
      </w:r>
      <w:r w:rsidRPr="00FA0D37">
        <w:t>,</w:t>
      </w:r>
    </w:p>
    <w:p w14:paraId="1A6DB68A" w14:textId="2242A1CE" w:rsidR="00FE5FE8" w:rsidRPr="00FA0D37" w:rsidRDefault="00FE5FE8" w:rsidP="00FA0D37">
      <w:pPr>
        <w:pStyle w:val="PL"/>
      </w:pPr>
      <w:r w:rsidRPr="00FA0D37">
        <w:t xml:space="preserve">    powerClass-v1610                    </w:t>
      </w:r>
      <w:r w:rsidRPr="00FA0D37">
        <w:rPr>
          <w:color w:val="993366"/>
        </w:rPr>
        <w:t>ENUMERATED</w:t>
      </w:r>
      <w:r w:rsidRPr="00FA0D37">
        <w:t xml:space="preserve"> {pc1dot5}                   </w:t>
      </w:r>
      <w:r w:rsidRPr="00FA0D37">
        <w:rPr>
          <w:color w:val="993366"/>
        </w:rPr>
        <w:t>OPTIONAL</w:t>
      </w:r>
      <w:r w:rsidRPr="00FA0D37">
        <w:t>,</w:t>
      </w:r>
    </w:p>
    <w:p w14:paraId="7E009A0E" w14:textId="7146184D" w:rsidR="00FE5FE8" w:rsidRPr="00FA0D37" w:rsidRDefault="00FE5FE8" w:rsidP="00FA0D37">
      <w:pPr>
        <w:pStyle w:val="PL"/>
      </w:pPr>
      <w:r w:rsidRPr="00FA0D37">
        <w:t xml:space="preserve">    powerClassNRPart-r16                </w:t>
      </w:r>
      <w:r w:rsidRPr="00FA0D37">
        <w:rPr>
          <w:color w:val="993366"/>
        </w:rPr>
        <w:t>ENUMERATED</w:t>
      </w:r>
      <w:r w:rsidRPr="00FA0D37">
        <w:t xml:space="preserve"> {pc1, pc2, pc3, pc5}        </w:t>
      </w:r>
      <w:r w:rsidRPr="00FA0D37">
        <w:rPr>
          <w:color w:val="993366"/>
        </w:rPr>
        <w:t>OPTIONAL</w:t>
      </w:r>
      <w:r w:rsidRPr="00FA0D37">
        <w:t>,</w:t>
      </w:r>
    </w:p>
    <w:p w14:paraId="782307B0" w14:textId="291F3238" w:rsidR="00FE5FE8" w:rsidRPr="00FA0D37" w:rsidRDefault="00FE5FE8" w:rsidP="00FA0D37">
      <w:pPr>
        <w:pStyle w:val="PL"/>
      </w:pPr>
      <w:r w:rsidRPr="00FA0D37">
        <w:t xml:space="preserve">    featureSetCombinationDAPS-r16       FeatureSetCombinationId                </w:t>
      </w:r>
      <w:r w:rsidRPr="00FA0D37">
        <w:rPr>
          <w:color w:val="993366"/>
        </w:rPr>
        <w:t>OPTIONAL</w:t>
      </w:r>
      <w:r w:rsidRPr="00FA0D37">
        <w:t>,</w:t>
      </w:r>
    </w:p>
    <w:p w14:paraId="72EAEDD6" w14:textId="2CD645B8" w:rsidR="00FE5FE8" w:rsidRPr="00FA0D37" w:rsidRDefault="00FE5FE8" w:rsidP="00FA0D37">
      <w:pPr>
        <w:pStyle w:val="PL"/>
      </w:pPr>
      <w:r w:rsidRPr="00FA0D37">
        <w:lastRenderedPageBreak/>
        <w:t xml:space="preserve">    mrdc-Parameters-v1620               MRDC-Parameters-v1620                  </w:t>
      </w:r>
      <w:r w:rsidRPr="00FA0D37">
        <w:rPr>
          <w:color w:val="993366"/>
        </w:rPr>
        <w:t>OPTIONAL</w:t>
      </w:r>
    </w:p>
    <w:p w14:paraId="39B3112B" w14:textId="77777777" w:rsidR="00FE5FE8" w:rsidRPr="00FA0D37" w:rsidRDefault="00FE5FE8" w:rsidP="00FA0D37">
      <w:pPr>
        <w:pStyle w:val="PL"/>
      </w:pPr>
      <w:r w:rsidRPr="00FA0D37">
        <w:t>}</w:t>
      </w:r>
    </w:p>
    <w:p w14:paraId="25A68427" w14:textId="77777777" w:rsidR="00FE5FE8" w:rsidRPr="00FA0D37" w:rsidRDefault="00FE5FE8" w:rsidP="00FA0D37">
      <w:pPr>
        <w:pStyle w:val="PL"/>
      </w:pPr>
    </w:p>
    <w:p w14:paraId="0028845E" w14:textId="77777777" w:rsidR="00FE5FE8" w:rsidRPr="00FA0D37" w:rsidRDefault="00FE5FE8" w:rsidP="00FA0D37">
      <w:pPr>
        <w:pStyle w:val="PL"/>
      </w:pPr>
      <w:r w:rsidRPr="00FA0D37">
        <w:t xml:space="preserve">BandCombination-v1630 ::=                   </w:t>
      </w:r>
      <w:r w:rsidRPr="00FA0D37">
        <w:rPr>
          <w:color w:val="993366"/>
        </w:rPr>
        <w:t>SEQUENCE</w:t>
      </w:r>
      <w:r w:rsidRPr="00FA0D37">
        <w:t xml:space="preserve"> {</w:t>
      </w:r>
    </w:p>
    <w:p w14:paraId="2D6AC678" w14:textId="77777777" w:rsidR="00FE5FE8" w:rsidRPr="00FA0D37" w:rsidRDefault="00FE5FE8" w:rsidP="00FA0D37">
      <w:pPr>
        <w:pStyle w:val="PL"/>
      </w:pPr>
      <w:r w:rsidRPr="00FA0D37">
        <w:t xml:space="preserve">    ca-ParametersNR-v1630                       CA-ParametersNR-v1630                                             </w:t>
      </w:r>
      <w:r w:rsidRPr="00FA0D37">
        <w:rPr>
          <w:color w:val="993366"/>
        </w:rPr>
        <w:t>OPTIONAL</w:t>
      </w:r>
      <w:r w:rsidRPr="00FA0D37">
        <w:t>,</w:t>
      </w:r>
    </w:p>
    <w:p w14:paraId="744CA589" w14:textId="77777777" w:rsidR="00FE5FE8" w:rsidRPr="00FA0D37" w:rsidRDefault="00FE5FE8" w:rsidP="00FA0D37">
      <w:pPr>
        <w:pStyle w:val="PL"/>
      </w:pPr>
      <w:r w:rsidRPr="00FA0D37">
        <w:t xml:space="preserve">    ca-ParametersNRDC-v1630                     CA-ParametersNRDC-v1630                                           </w:t>
      </w:r>
      <w:r w:rsidRPr="00FA0D37">
        <w:rPr>
          <w:color w:val="993366"/>
        </w:rPr>
        <w:t>OPTIONAL</w:t>
      </w:r>
      <w:r w:rsidRPr="00FA0D37">
        <w:t>,</w:t>
      </w:r>
    </w:p>
    <w:p w14:paraId="3B776CFC" w14:textId="77777777" w:rsidR="00FE5FE8" w:rsidRPr="00FA0D37" w:rsidRDefault="00FE5FE8" w:rsidP="00FA0D37">
      <w:pPr>
        <w:pStyle w:val="PL"/>
      </w:pPr>
      <w:r w:rsidRPr="00FA0D37">
        <w:t xml:space="preserve">    mrdc-Parameters-v1630                       MRDC-Parameters-v1630                                             </w:t>
      </w:r>
      <w:r w:rsidRPr="00FA0D37">
        <w:rPr>
          <w:color w:val="993366"/>
        </w:rPr>
        <w:t>OPTIONAL</w:t>
      </w:r>
      <w:r w:rsidRPr="00FA0D37">
        <w:t>,</w:t>
      </w:r>
    </w:p>
    <w:p w14:paraId="6F9CCEE5" w14:textId="77777777" w:rsidR="00FE5FE8" w:rsidRPr="00FA0D37" w:rsidRDefault="00FE5FE8" w:rsidP="00FA0D37">
      <w:pPr>
        <w:pStyle w:val="PL"/>
      </w:pPr>
      <w:r w:rsidRPr="00FA0D37">
        <w:t xml:space="preserve">    supportedTxBandCombListPerBC-Sidelink-r16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(1..maxBandComb))                                </w:t>
      </w:r>
      <w:r w:rsidRPr="00FA0D37">
        <w:rPr>
          <w:color w:val="993366"/>
        </w:rPr>
        <w:t>OPTIONAL</w:t>
      </w:r>
      <w:r w:rsidRPr="00FA0D37">
        <w:t>,</w:t>
      </w:r>
    </w:p>
    <w:p w14:paraId="6DBA0EBD" w14:textId="77777777" w:rsidR="00FE5FE8" w:rsidRPr="00FA0D37" w:rsidRDefault="00FE5FE8" w:rsidP="00FA0D37">
      <w:pPr>
        <w:pStyle w:val="PL"/>
      </w:pPr>
      <w:r w:rsidRPr="00FA0D37">
        <w:t xml:space="preserve">    supportedRxBandCombListPerBC-Sidelink-r16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(1..maxBandComb))                                </w:t>
      </w:r>
      <w:r w:rsidRPr="00FA0D37">
        <w:rPr>
          <w:color w:val="993366"/>
        </w:rPr>
        <w:t>OPTIONAL</w:t>
      </w:r>
      <w:r w:rsidRPr="00FA0D37">
        <w:t>,</w:t>
      </w:r>
    </w:p>
    <w:p w14:paraId="15D46A10" w14:textId="77777777" w:rsidR="00FE5FE8" w:rsidRPr="00FA0D37" w:rsidRDefault="00FE5FE8" w:rsidP="00FA0D37">
      <w:pPr>
        <w:pStyle w:val="PL"/>
      </w:pPr>
      <w:r w:rsidRPr="00FA0D37">
        <w:t xml:space="preserve">    scalingFactorTxSidelink-r16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ScalingFactorSidelink-r16     </w:t>
      </w:r>
      <w:r w:rsidRPr="00FA0D37">
        <w:rPr>
          <w:color w:val="993366"/>
        </w:rPr>
        <w:t>OPTIONAL</w:t>
      </w:r>
      <w:r w:rsidRPr="00FA0D37">
        <w:t>,</w:t>
      </w:r>
    </w:p>
    <w:p w14:paraId="10F5B5F7" w14:textId="77777777" w:rsidR="00FE5FE8" w:rsidRPr="00FA0D37" w:rsidRDefault="00FE5FE8" w:rsidP="00FA0D37">
      <w:pPr>
        <w:pStyle w:val="PL"/>
      </w:pPr>
      <w:r w:rsidRPr="00FA0D37">
        <w:t xml:space="preserve">    scalingFactorRxSidelink-r16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ScalingFactorSidelink-r16     </w:t>
      </w:r>
      <w:r w:rsidRPr="00FA0D37">
        <w:rPr>
          <w:color w:val="993366"/>
        </w:rPr>
        <w:t>OPTIONAL</w:t>
      </w:r>
    </w:p>
    <w:p w14:paraId="3D528984" w14:textId="77777777" w:rsidR="00FE5FE8" w:rsidRPr="00FA0D37" w:rsidRDefault="00FE5FE8" w:rsidP="00FA0D37">
      <w:pPr>
        <w:pStyle w:val="PL"/>
      </w:pPr>
      <w:r w:rsidRPr="00FA0D37">
        <w:t>}</w:t>
      </w:r>
    </w:p>
    <w:p w14:paraId="7D5F413E" w14:textId="77777777" w:rsidR="00E46198" w:rsidRPr="00FA0D37" w:rsidRDefault="00E46198" w:rsidP="00FA0D37">
      <w:pPr>
        <w:pStyle w:val="PL"/>
      </w:pPr>
    </w:p>
    <w:p w14:paraId="4A56DC7C" w14:textId="36E80960" w:rsidR="00E46198" w:rsidRPr="00FA0D37" w:rsidRDefault="00E46198" w:rsidP="00FA0D37">
      <w:pPr>
        <w:pStyle w:val="PL"/>
      </w:pPr>
      <w:r w:rsidRPr="00FA0D37">
        <w:t>BandCombination-v</w:t>
      </w:r>
      <w:r w:rsidR="000C2783" w:rsidRPr="00FA0D37">
        <w:t>1640</w:t>
      </w:r>
      <w:r w:rsidRPr="00FA0D37">
        <w:t xml:space="preserve"> ::=                   </w:t>
      </w:r>
      <w:r w:rsidRPr="00FA0D37">
        <w:rPr>
          <w:color w:val="993366"/>
        </w:rPr>
        <w:t>SEQUENCE</w:t>
      </w:r>
      <w:r w:rsidRPr="00FA0D37">
        <w:t xml:space="preserve"> {</w:t>
      </w:r>
    </w:p>
    <w:p w14:paraId="01556FB8" w14:textId="535E3968" w:rsidR="00E46198" w:rsidRPr="00FA0D37" w:rsidRDefault="00E46198" w:rsidP="00FA0D37">
      <w:pPr>
        <w:pStyle w:val="PL"/>
      </w:pPr>
      <w:r w:rsidRPr="00FA0D37">
        <w:t xml:space="preserve">    ca-ParametersNR-v</w:t>
      </w:r>
      <w:r w:rsidR="000C2783" w:rsidRPr="00FA0D37">
        <w:t>1640</w:t>
      </w:r>
      <w:r w:rsidRPr="00FA0D37">
        <w:t xml:space="preserve">                       CA-ParametersNR-v</w:t>
      </w:r>
      <w:r w:rsidR="000C2783" w:rsidRPr="00FA0D37">
        <w:t>1640</w:t>
      </w:r>
      <w:r w:rsidRPr="00FA0D37">
        <w:t xml:space="preserve">                                             </w:t>
      </w:r>
      <w:r w:rsidRPr="00FA0D37">
        <w:rPr>
          <w:color w:val="993366"/>
        </w:rPr>
        <w:t>OPTIONAL</w:t>
      </w:r>
      <w:r w:rsidRPr="00FA0D37">
        <w:t>,</w:t>
      </w:r>
    </w:p>
    <w:p w14:paraId="666E0815" w14:textId="4CD9FBB6" w:rsidR="00DB6EED" w:rsidRPr="00FA0D37" w:rsidRDefault="00DB6EED" w:rsidP="00FA0D37">
      <w:pPr>
        <w:pStyle w:val="PL"/>
      </w:pPr>
      <w:r w:rsidRPr="00FA0D37">
        <w:t xml:space="preserve">    ca-ParametersNRDC-v</w:t>
      </w:r>
      <w:r w:rsidR="000C2783" w:rsidRPr="00FA0D37">
        <w:t>1640</w:t>
      </w:r>
      <w:r w:rsidRPr="00FA0D37">
        <w:t xml:space="preserve">                     CA-ParametersNRDC-v</w:t>
      </w:r>
      <w:r w:rsidR="000C2783" w:rsidRPr="00FA0D37">
        <w:t>1640</w:t>
      </w:r>
      <w:r w:rsidRPr="00FA0D37">
        <w:t xml:space="preserve">                                           </w:t>
      </w:r>
      <w:r w:rsidRPr="00FA0D37">
        <w:rPr>
          <w:color w:val="993366"/>
        </w:rPr>
        <w:t>OPTIONAL</w:t>
      </w:r>
    </w:p>
    <w:p w14:paraId="45ABA42F" w14:textId="0FFFE12C" w:rsidR="00E46198" w:rsidRPr="00FA0D37" w:rsidRDefault="00E46198" w:rsidP="00FA0D37">
      <w:pPr>
        <w:pStyle w:val="PL"/>
      </w:pPr>
      <w:r w:rsidRPr="00FA0D37">
        <w:t>}</w:t>
      </w:r>
    </w:p>
    <w:p w14:paraId="592BB3A9" w14:textId="77777777" w:rsidR="007830B1" w:rsidRPr="00FA0D37" w:rsidRDefault="007830B1" w:rsidP="00FA0D37">
      <w:pPr>
        <w:pStyle w:val="PL"/>
      </w:pPr>
    </w:p>
    <w:p w14:paraId="7C9848E9" w14:textId="570F1328" w:rsidR="007830B1" w:rsidRPr="00FA0D37" w:rsidRDefault="007830B1" w:rsidP="00FA0D37">
      <w:pPr>
        <w:pStyle w:val="PL"/>
      </w:pPr>
      <w:r w:rsidRPr="00FA0D37">
        <w:t>BandCombination-v16</w:t>
      </w:r>
      <w:r w:rsidR="001F631E" w:rsidRPr="00FA0D37">
        <w:t>50</w:t>
      </w:r>
      <w:r w:rsidRPr="00FA0D37">
        <w:t xml:space="preserve"> ::=          </w:t>
      </w:r>
      <w:r w:rsidRPr="00FA0D37">
        <w:rPr>
          <w:color w:val="993366"/>
        </w:rPr>
        <w:t>SEQUENCE</w:t>
      </w:r>
      <w:r w:rsidRPr="00FA0D37">
        <w:t xml:space="preserve"> {</w:t>
      </w:r>
    </w:p>
    <w:p w14:paraId="79320FC6" w14:textId="785F306F" w:rsidR="007830B1" w:rsidRPr="00FA0D37" w:rsidRDefault="007830B1" w:rsidP="00FA0D37">
      <w:pPr>
        <w:pStyle w:val="PL"/>
      </w:pPr>
      <w:r w:rsidRPr="00FA0D37">
        <w:t xml:space="preserve">    ca-ParametersNRDC-v16</w:t>
      </w:r>
      <w:r w:rsidR="001F631E" w:rsidRPr="00FA0D37">
        <w:t>50</w:t>
      </w:r>
      <w:r w:rsidRPr="00FA0D37">
        <w:t xml:space="preserve">             CA-ParametersNRDC-v16</w:t>
      </w:r>
      <w:r w:rsidR="001F631E" w:rsidRPr="00FA0D37">
        <w:t>50</w:t>
      </w:r>
      <w:r w:rsidRPr="00FA0D37">
        <w:t xml:space="preserve">                 </w:t>
      </w:r>
      <w:r w:rsidRPr="00FA0D37">
        <w:rPr>
          <w:color w:val="993366"/>
        </w:rPr>
        <w:t>OPTIONAL</w:t>
      </w:r>
    </w:p>
    <w:p w14:paraId="109405F6" w14:textId="77777777" w:rsidR="007830B1" w:rsidRPr="00FA0D37" w:rsidRDefault="007830B1" w:rsidP="00FA0D37">
      <w:pPr>
        <w:pStyle w:val="PL"/>
      </w:pPr>
      <w:r w:rsidRPr="00FA0D37">
        <w:t>}</w:t>
      </w:r>
    </w:p>
    <w:p w14:paraId="05623D54" w14:textId="77777777" w:rsidR="00C07032" w:rsidRPr="00FA0D37" w:rsidRDefault="00C07032" w:rsidP="00FA0D37">
      <w:pPr>
        <w:pStyle w:val="PL"/>
      </w:pPr>
    </w:p>
    <w:p w14:paraId="24D77730" w14:textId="31572736" w:rsidR="00C07032" w:rsidRPr="00FA0D37" w:rsidRDefault="00C07032" w:rsidP="00FA0D37">
      <w:pPr>
        <w:pStyle w:val="PL"/>
      </w:pPr>
      <w:r w:rsidRPr="00FA0D37">
        <w:t>BandCombination-v16</w:t>
      </w:r>
      <w:r w:rsidR="00457781" w:rsidRPr="00FA0D37">
        <w:t>80</w:t>
      </w:r>
      <w:r w:rsidRPr="00FA0D37">
        <w:t xml:space="preserve"> ::=          </w:t>
      </w:r>
      <w:r w:rsidRPr="00FA0D37">
        <w:rPr>
          <w:color w:val="993366"/>
        </w:rPr>
        <w:t>SEQUENCE</w:t>
      </w:r>
      <w:r w:rsidRPr="00FA0D37">
        <w:t xml:space="preserve"> {</w:t>
      </w:r>
    </w:p>
    <w:p w14:paraId="790444B3" w14:textId="36F8B16D" w:rsidR="00C07032" w:rsidRPr="00FA0D37" w:rsidRDefault="00C07032" w:rsidP="00FA0D37">
      <w:pPr>
        <w:pStyle w:val="PL"/>
      </w:pPr>
      <w:r w:rsidRPr="00FA0D37">
        <w:t xml:space="preserve">    intrabandConcurrentOperationPowerClass-r16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IntraBandPowerClass-r16     </w:t>
      </w:r>
      <w:r w:rsidRPr="00FA0D37">
        <w:rPr>
          <w:color w:val="993366"/>
        </w:rPr>
        <w:t>OPTIONAL</w:t>
      </w:r>
    </w:p>
    <w:p w14:paraId="33CC862F" w14:textId="77777777" w:rsidR="00C07032" w:rsidRPr="00FA0D37" w:rsidRDefault="00C07032" w:rsidP="00FA0D37">
      <w:pPr>
        <w:pStyle w:val="PL"/>
      </w:pPr>
      <w:r w:rsidRPr="00FA0D37">
        <w:t>}</w:t>
      </w:r>
    </w:p>
    <w:p w14:paraId="5662BC9A" w14:textId="77777777" w:rsidR="005337F6" w:rsidRPr="00FA0D37" w:rsidRDefault="005337F6" w:rsidP="00FA0D37">
      <w:pPr>
        <w:pStyle w:val="PL"/>
      </w:pPr>
    </w:p>
    <w:p w14:paraId="24EA3C55" w14:textId="3706EECA" w:rsidR="005337F6" w:rsidRPr="00FA0D37" w:rsidRDefault="005337F6" w:rsidP="00FA0D37">
      <w:pPr>
        <w:pStyle w:val="PL"/>
      </w:pPr>
      <w:r w:rsidRPr="00FA0D37">
        <w:t xml:space="preserve">BandCombination-v1690 ::=          </w:t>
      </w:r>
      <w:r w:rsidRPr="00FA0D37">
        <w:rPr>
          <w:color w:val="993366"/>
        </w:rPr>
        <w:t>SEQUENCE</w:t>
      </w:r>
      <w:r w:rsidRPr="00FA0D37">
        <w:t xml:space="preserve"> {</w:t>
      </w:r>
    </w:p>
    <w:p w14:paraId="4919614B" w14:textId="6DBDF352" w:rsidR="005337F6" w:rsidRPr="00FA0D37" w:rsidRDefault="005337F6" w:rsidP="00FA0D37">
      <w:pPr>
        <w:pStyle w:val="PL"/>
      </w:pPr>
      <w:r w:rsidRPr="00FA0D37">
        <w:t xml:space="preserve">    ca-ParametersNR-v1690              CA-ParametersNR-v1690                 </w:t>
      </w:r>
      <w:r w:rsidRPr="00FA0D37">
        <w:rPr>
          <w:color w:val="993366"/>
        </w:rPr>
        <w:t>OPTIONAL</w:t>
      </w:r>
    </w:p>
    <w:p w14:paraId="6E008CEF" w14:textId="2436537C" w:rsidR="00D867BE" w:rsidRPr="00FA0D37" w:rsidRDefault="005337F6" w:rsidP="00FA0D37">
      <w:pPr>
        <w:pStyle w:val="PL"/>
      </w:pPr>
      <w:r w:rsidRPr="00FA0D37">
        <w:t>}</w:t>
      </w:r>
    </w:p>
    <w:p w14:paraId="532D7A29" w14:textId="15643389" w:rsidR="005337F6" w:rsidRPr="00FA0D37" w:rsidRDefault="005337F6" w:rsidP="00FA0D37">
      <w:pPr>
        <w:pStyle w:val="PL"/>
      </w:pPr>
    </w:p>
    <w:p w14:paraId="270AE9E1" w14:textId="6FAE96EB" w:rsidR="00B04F4B" w:rsidRPr="00FA0D37" w:rsidRDefault="00B04F4B" w:rsidP="00FA0D37">
      <w:pPr>
        <w:pStyle w:val="PL"/>
      </w:pPr>
      <w:r w:rsidRPr="00FA0D37">
        <w:t xml:space="preserve">BandCombination-v16a0 ::=          </w:t>
      </w:r>
      <w:r w:rsidRPr="00FA0D37">
        <w:rPr>
          <w:color w:val="993366"/>
        </w:rPr>
        <w:t>SEQUENCE</w:t>
      </w:r>
      <w:r w:rsidRPr="00FA0D37">
        <w:t xml:space="preserve"> {</w:t>
      </w:r>
    </w:p>
    <w:p w14:paraId="68BB372D" w14:textId="055A276B" w:rsidR="00B04F4B" w:rsidRPr="00FA0D37" w:rsidRDefault="00B04F4B" w:rsidP="00FA0D37">
      <w:pPr>
        <w:pStyle w:val="PL"/>
      </w:pPr>
      <w:r w:rsidRPr="00FA0D37">
        <w:t xml:space="preserve">    ca-ParametersNR-v16a0              CA-ParametersNR-v16a0                    </w:t>
      </w:r>
      <w:r w:rsidRPr="00FA0D37">
        <w:rPr>
          <w:color w:val="993366"/>
        </w:rPr>
        <w:t>OPTIONAL</w:t>
      </w:r>
      <w:r w:rsidRPr="00FA0D37">
        <w:t>,</w:t>
      </w:r>
    </w:p>
    <w:p w14:paraId="71409C66" w14:textId="6D3BB345" w:rsidR="00B04F4B" w:rsidRPr="00FA0D37" w:rsidRDefault="00B04F4B" w:rsidP="00FA0D37">
      <w:pPr>
        <w:pStyle w:val="PL"/>
      </w:pPr>
      <w:r w:rsidRPr="00FA0D37">
        <w:t xml:space="preserve">    ca-ParametersNRDC-v16a0            CA-ParametersNRDC-v16a0                  </w:t>
      </w:r>
      <w:r w:rsidRPr="00FA0D37">
        <w:rPr>
          <w:color w:val="993366"/>
        </w:rPr>
        <w:t>OPTIONAL</w:t>
      </w:r>
    </w:p>
    <w:p w14:paraId="4019CED5" w14:textId="273C2ED7" w:rsidR="00B04F4B" w:rsidRPr="00FA0D37" w:rsidRDefault="00B04F4B" w:rsidP="00FA0D37">
      <w:pPr>
        <w:pStyle w:val="PL"/>
      </w:pPr>
      <w:r w:rsidRPr="00FA0D37">
        <w:t>}</w:t>
      </w:r>
    </w:p>
    <w:p w14:paraId="262B8CBC" w14:textId="5AF267EE" w:rsidR="00D867BE" w:rsidRPr="00FA0D37" w:rsidRDefault="00D867BE" w:rsidP="00FA0D37">
      <w:pPr>
        <w:pStyle w:val="PL"/>
      </w:pPr>
      <w:r w:rsidRPr="00FA0D37">
        <w:t xml:space="preserve">BandCombination-v1700 ::=          </w:t>
      </w:r>
      <w:r w:rsidRPr="00FA0D37">
        <w:rPr>
          <w:color w:val="993366"/>
        </w:rPr>
        <w:t>SEQUENCE</w:t>
      </w:r>
      <w:r w:rsidRPr="00FA0D37">
        <w:t xml:space="preserve"> {</w:t>
      </w:r>
    </w:p>
    <w:p w14:paraId="6FC2CEF4" w14:textId="5BC98998" w:rsidR="00D867BE" w:rsidRPr="00FA0D37" w:rsidRDefault="00D867BE" w:rsidP="00FA0D37">
      <w:pPr>
        <w:pStyle w:val="PL"/>
      </w:pPr>
      <w:r w:rsidRPr="00FA0D37">
        <w:t xml:space="preserve">    ca-ParametersNR-v1700              CA-ParametersNR-v1700                    </w:t>
      </w:r>
      <w:r w:rsidRPr="00FA0D37">
        <w:rPr>
          <w:color w:val="993366"/>
        </w:rPr>
        <w:t>OPTIONAL</w:t>
      </w:r>
      <w:r w:rsidRPr="00FA0D37">
        <w:t>,</w:t>
      </w:r>
    </w:p>
    <w:p w14:paraId="1F8A4B7F" w14:textId="69BB65BE" w:rsidR="00D867BE" w:rsidRPr="00FA0D37" w:rsidRDefault="00D867BE" w:rsidP="00FA0D37">
      <w:pPr>
        <w:pStyle w:val="PL"/>
      </w:pPr>
      <w:r w:rsidRPr="00FA0D37">
        <w:t xml:space="preserve">    ca-ParametersNRDC-v1700            CA-ParametersNRDC-v1700                  </w:t>
      </w:r>
      <w:r w:rsidRPr="00FA0D37">
        <w:rPr>
          <w:color w:val="993366"/>
        </w:rPr>
        <w:t>OPTIONAL</w:t>
      </w:r>
      <w:r w:rsidRPr="00FA0D37">
        <w:t>,</w:t>
      </w:r>
    </w:p>
    <w:p w14:paraId="1718DFBC" w14:textId="77777777" w:rsidR="00473DA7" w:rsidRPr="00FA0D37" w:rsidRDefault="00D867BE" w:rsidP="00FA0D37">
      <w:pPr>
        <w:pStyle w:val="PL"/>
      </w:pPr>
      <w:r w:rsidRPr="00FA0D37">
        <w:t xml:space="preserve">    mrdc-Parameters-v1700              MRDC-Parameters-v1700                    </w:t>
      </w:r>
      <w:r w:rsidRPr="00FA0D37">
        <w:rPr>
          <w:color w:val="993366"/>
        </w:rPr>
        <w:t>OPTIONAL</w:t>
      </w:r>
      <w:r w:rsidR="00473DA7" w:rsidRPr="00FA0D37">
        <w:t>,</w:t>
      </w:r>
    </w:p>
    <w:p w14:paraId="304BE5C5" w14:textId="18604630" w:rsidR="00473DA7" w:rsidRPr="00FA0D37" w:rsidRDefault="00473DA7" w:rsidP="00FA0D37">
      <w:pPr>
        <w:pStyle w:val="PL"/>
      </w:pPr>
      <w:r w:rsidRPr="00FA0D37">
        <w:t xml:space="preserve">    bandList-v1710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BandParameters-v1710  </w:t>
      </w:r>
      <w:r w:rsidRPr="00FA0D37">
        <w:rPr>
          <w:color w:val="993366"/>
        </w:rPr>
        <w:t>OPTIONAL</w:t>
      </w:r>
      <w:r w:rsidRPr="00FA0D37">
        <w:t>,</w:t>
      </w:r>
    </w:p>
    <w:p w14:paraId="6ABA926D" w14:textId="72D17385" w:rsidR="00473DA7" w:rsidRPr="00FA0D37" w:rsidRDefault="00473DA7" w:rsidP="00FA0D37">
      <w:pPr>
        <w:pStyle w:val="PL"/>
      </w:pPr>
      <w:r w:rsidRPr="00FA0D37">
        <w:t xml:space="preserve">    supportedBandCombListPerBC-SL-RelayDiscovery-r17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(1..maxBandComb))               </w:t>
      </w:r>
      <w:r w:rsidRPr="00FA0D37">
        <w:rPr>
          <w:color w:val="993366"/>
        </w:rPr>
        <w:t>OPTIONAL</w:t>
      </w:r>
      <w:r w:rsidRPr="00FA0D37">
        <w:t>,</w:t>
      </w:r>
    </w:p>
    <w:p w14:paraId="177F0D7F" w14:textId="0F679177" w:rsidR="00D867BE" w:rsidRPr="00FA0D37" w:rsidRDefault="00473DA7" w:rsidP="00FA0D37">
      <w:pPr>
        <w:pStyle w:val="PL"/>
      </w:pPr>
      <w:r w:rsidRPr="00FA0D37">
        <w:t xml:space="preserve">    supportedBandCombListPerBC-SL-NonRelayDiscovery-r17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(1..maxBandComb))               </w:t>
      </w:r>
      <w:r w:rsidRPr="00FA0D37">
        <w:rPr>
          <w:color w:val="993366"/>
        </w:rPr>
        <w:t>OPTIONAL</w:t>
      </w:r>
    </w:p>
    <w:p w14:paraId="146EDFEE" w14:textId="72C07639" w:rsidR="00394471" w:rsidRPr="00FA0D37" w:rsidRDefault="00D867BE" w:rsidP="00FA0D37">
      <w:pPr>
        <w:pStyle w:val="PL"/>
      </w:pPr>
      <w:r w:rsidRPr="00FA0D37">
        <w:t>}</w:t>
      </w:r>
    </w:p>
    <w:p w14:paraId="5C845294" w14:textId="3CBDBCE7" w:rsidR="00D867BE" w:rsidRPr="00FA0D37" w:rsidRDefault="00D867BE" w:rsidP="00FA0D37">
      <w:pPr>
        <w:pStyle w:val="PL"/>
      </w:pPr>
    </w:p>
    <w:p w14:paraId="677E5A09" w14:textId="3A35CFF4" w:rsidR="00F03826" w:rsidRPr="00FA0D37" w:rsidRDefault="00F03826" w:rsidP="00FA0D37">
      <w:pPr>
        <w:pStyle w:val="PL"/>
      </w:pPr>
      <w:r w:rsidRPr="00FA0D37">
        <w:t xml:space="preserve">BandCombination-v1720 ::=          </w:t>
      </w:r>
      <w:r w:rsidRPr="00FA0D37">
        <w:rPr>
          <w:color w:val="993366"/>
        </w:rPr>
        <w:t>SEQUENCE</w:t>
      </w:r>
      <w:r w:rsidRPr="00FA0D37">
        <w:t xml:space="preserve"> {</w:t>
      </w:r>
    </w:p>
    <w:p w14:paraId="7550FE48" w14:textId="1BEF38EE" w:rsidR="00F03826" w:rsidRPr="00FA0D37" w:rsidRDefault="00F03826" w:rsidP="00FA0D37">
      <w:pPr>
        <w:pStyle w:val="PL"/>
      </w:pPr>
      <w:r w:rsidRPr="00FA0D37">
        <w:t xml:space="preserve">    ca-ParametersNR-v1720              CA-ParametersNR-v1720                    </w:t>
      </w:r>
      <w:r w:rsidRPr="00FA0D37">
        <w:rPr>
          <w:color w:val="993366"/>
        </w:rPr>
        <w:t>OPTIONAL</w:t>
      </w:r>
      <w:r w:rsidRPr="00FA0D37">
        <w:t>,</w:t>
      </w:r>
    </w:p>
    <w:p w14:paraId="3F380964" w14:textId="04C3B3BF" w:rsidR="00F03826" w:rsidRPr="00FA0D37" w:rsidRDefault="00F03826" w:rsidP="00FA0D37">
      <w:pPr>
        <w:pStyle w:val="PL"/>
      </w:pPr>
      <w:r w:rsidRPr="00FA0D37">
        <w:t xml:space="preserve">    ca-ParametersNRDC-v1720            CA-ParametersNRDC-v1720                  </w:t>
      </w:r>
      <w:r w:rsidRPr="00FA0D37">
        <w:rPr>
          <w:color w:val="993366"/>
        </w:rPr>
        <w:t>OPTIONAL</w:t>
      </w:r>
    </w:p>
    <w:p w14:paraId="5604BED0" w14:textId="65705E93" w:rsidR="00F03826" w:rsidRPr="00FA0D37" w:rsidRDefault="00F03826" w:rsidP="00FA0D37">
      <w:pPr>
        <w:pStyle w:val="PL"/>
      </w:pPr>
      <w:r w:rsidRPr="00FA0D37">
        <w:t>}</w:t>
      </w:r>
    </w:p>
    <w:p w14:paraId="2CDBE260" w14:textId="77777777" w:rsidR="00691952" w:rsidRPr="00FA0D37" w:rsidRDefault="00691952" w:rsidP="00FA0D37">
      <w:pPr>
        <w:pStyle w:val="PL"/>
      </w:pPr>
    </w:p>
    <w:p w14:paraId="0A88518C" w14:textId="03FF9D6D" w:rsidR="00691952" w:rsidRPr="00FA0D37" w:rsidRDefault="00691952" w:rsidP="00FA0D37">
      <w:pPr>
        <w:pStyle w:val="PL"/>
      </w:pPr>
      <w:r w:rsidRPr="00FA0D37">
        <w:t xml:space="preserve">BandCombination-v1730 ::=          </w:t>
      </w:r>
      <w:r w:rsidRPr="00FA0D37">
        <w:rPr>
          <w:color w:val="993366"/>
        </w:rPr>
        <w:t>SEQUENCE</w:t>
      </w:r>
      <w:r w:rsidRPr="00FA0D37">
        <w:t xml:space="preserve"> {</w:t>
      </w:r>
    </w:p>
    <w:p w14:paraId="2AAD2514" w14:textId="5BA6004E" w:rsidR="00691952" w:rsidRPr="00FA0D37" w:rsidRDefault="00691952" w:rsidP="00FA0D37">
      <w:pPr>
        <w:pStyle w:val="PL"/>
      </w:pPr>
      <w:r w:rsidRPr="00FA0D37">
        <w:t xml:space="preserve">    ca-ParametersNR-v1730              CA-ParametersNR-v1730                    </w:t>
      </w:r>
      <w:r w:rsidRPr="00FA0D37">
        <w:rPr>
          <w:color w:val="993366"/>
        </w:rPr>
        <w:t>OPTIONAL</w:t>
      </w:r>
      <w:r w:rsidRPr="00FA0D37">
        <w:t>,</w:t>
      </w:r>
    </w:p>
    <w:p w14:paraId="4F74331A" w14:textId="334FDF32" w:rsidR="00691952" w:rsidRPr="00FA0D37" w:rsidRDefault="00691952" w:rsidP="00FA0D37">
      <w:pPr>
        <w:pStyle w:val="PL"/>
      </w:pPr>
      <w:r w:rsidRPr="00FA0D37">
        <w:t xml:space="preserve">    ca-ParametersNRDC-v1730            CA-ParametersNRDC-v1730                  </w:t>
      </w:r>
      <w:r w:rsidRPr="00FA0D37">
        <w:rPr>
          <w:color w:val="993366"/>
        </w:rPr>
        <w:t>OPTIONAL</w:t>
      </w:r>
      <w:r w:rsidRPr="00FA0D37">
        <w:t>,</w:t>
      </w:r>
    </w:p>
    <w:p w14:paraId="37D9472F" w14:textId="12710FB6" w:rsidR="00691952" w:rsidRPr="00FA0D37" w:rsidRDefault="00691952" w:rsidP="00FA0D37">
      <w:pPr>
        <w:pStyle w:val="PL"/>
      </w:pPr>
      <w:r w:rsidRPr="00FA0D37">
        <w:lastRenderedPageBreak/>
        <w:t xml:space="preserve">    bandList-v1730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BandParameters-v1730  </w:t>
      </w:r>
      <w:r w:rsidRPr="00FA0D37">
        <w:rPr>
          <w:color w:val="993366"/>
        </w:rPr>
        <w:t>OPTIONAL</w:t>
      </w:r>
    </w:p>
    <w:p w14:paraId="37B5B5E7" w14:textId="77777777" w:rsidR="003350BF" w:rsidRPr="00FA0D37" w:rsidRDefault="00691952" w:rsidP="00FA0D37">
      <w:pPr>
        <w:pStyle w:val="PL"/>
      </w:pPr>
      <w:r w:rsidRPr="00FA0D37">
        <w:t>}</w:t>
      </w:r>
    </w:p>
    <w:p w14:paraId="51103143" w14:textId="77777777" w:rsidR="003350BF" w:rsidRPr="00FA0D37" w:rsidRDefault="003350BF" w:rsidP="00FA0D37">
      <w:pPr>
        <w:pStyle w:val="PL"/>
      </w:pPr>
    </w:p>
    <w:p w14:paraId="753EC914" w14:textId="52766BD8" w:rsidR="003350BF" w:rsidRPr="00FA0D37" w:rsidRDefault="003350BF" w:rsidP="00FA0D37">
      <w:pPr>
        <w:pStyle w:val="PL"/>
      </w:pPr>
      <w:r w:rsidRPr="00FA0D37">
        <w:t xml:space="preserve">BandCombination-v1740 ::=          </w:t>
      </w:r>
      <w:r w:rsidRPr="00FA0D37">
        <w:rPr>
          <w:color w:val="993366"/>
        </w:rPr>
        <w:t>SEQUENCE</w:t>
      </w:r>
      <w:r w:rsidRPr="00FA0D37">
        <w:t xml:space="preserve"> {</w:t>
      </w:r>
    </w:p>
    <w:p w14:paraId="04B4FA22" w14:textId="3C9989F5" w:rsidR="003350BF" w:rsidRPr="00FA0D37" w:rsidRDefault="003350BF" w:rsidP="00FA0D37">
      <w:pPr>
        <w:pStyle w:val="PL"/>
      </w:pPr>
      <w:r w:rsidRPr="00FA0D37">
        <w:t xml:space="preserve">    ca-ParametersNR-v1740              CA-ParametersNR-v1740                    </w:t>
      </w:r>
      <w:r w:rsidRPr="00FA0D37">
        <w:rPr>
          <w:color w:val="993366"/>
        </w:rPr>
        <w:t>OPTIONAL</w:t>
      </w:r>
    </w:p>
    <w:p w14:paraId="22E909F1" w14:textId="2DEC9330" w:rsidR="00F03826" w:rsidRPr="00FA0D37" w:rsidRDefault="003350BF" w:rsidP="00FA0D37">
      <w:pPr>
        <w:pStyle w:val="PL"/>
      </w:pPr>
      <w:r w:rsidRPr="00FA0D37">
        <w:t>}</w:t>
      </w:r>
    </w:p>
    <w:p w14:paraId="4D3C7D99" w14:textId="77777777" w:rsidR="009536C4" w:rsidRPr="00FA0D37" w:rsidRDefault="009536C4" w:rsidP="00FA0D37">
      <w:pPr>
        <w:pStyle w:val="PL"/>
      </w:pPr>
    </w:p>
    <w:p w14:paraId="24AB3F8F" w14:textId="77F66248" w:rsidR="009536C4" w:rsidRPr="00FA0D37" w:rsidRDefault="009536C4" w:rsidP="00FA0D37">
      <w:pPr>
        <w:pStyle w:val="PL"/>
      </w:pPr>
      <w:r w:rsidRPr="00FA0D37">
        <w:t xml:space="preserve">BandCombination-v1760 ::=          </w:t>
      </w:r>
      <w:r w:rsidRPr="00FA0D37">
        <w:rPr>
          <w:color w:val="993366"/>
        </w:rPr>
        <w:t>SEQUENCE</w:t>
      </w:r>
      <w:r w:rsidRPr="00FA0D37">
        <w:t xml:space="preserve"> {</w:t>
      </w:r>
    </w:p>
    <w:p w14:paraId="58B216C8" w14:textId="41E82672" w:rsidR="009536C4" w:rsidRPr="00FA0D37" w:rsidRDefault="009536C4" w:rsidP="00FA0D37">
      <w:pPr>
        <w:pStyle w:val="PL"/>
      </w:pPr>
      <w:r w:rsidRPr="00FA0D37">
        <w:t xml:space="preserve">    ca-ParametersNR-v1760              CA-ParametersNR-v1760,</w:t>
      </w:r>
    </w:p>
    <w:p w14:paraId="4320DB96" w14:textId="650BE98A" w:rsidR="009536C4" w:rsidRPr="00FA0D37" w:rsidRDefault="009536C4" w:rsidP="00FA0D37">
      <w:pPr>
        <w:pStyle w:val="PL"/>
      </w:pPr>
      <w:r w:rsidRPr="00FA0D37">
        <w:t xml:space="preserve">    ca-ParametersNRDC-v1760            CA-ParametersNRDC-v1760</w:t>
      </w:r>
    </w:p>
    <w:p w14:paraId="5E94D6AB" w14:textId="77777777" w:rsidR="009536C4" w:rsidRPr="00FA0D37" w:rsidRDefault="009536C4" w:rsidP="00FA0D37">
      <w:pPr>
        <w:pStyle w:val="PL"/>
      </w:pPr>
      <w:r w:rsidRPr="00FA0D37">
        <w:t>}</w:t>
      </w:r>
    </w:p>
    <w:p w14:paraId="75CC678B" w14:textId="77777777" w:rsidR="00691952" w:rsidRPr="00FA0D37" w:rsidRDefault="00691952" w:rsidP="00FA0D37">
      <w:pPr>
        <w:pStyle w:val="PL"/>
      </w:pPr>
    </w:p>
    <w:p w14:paraId="7C91570B" w14:textId="77777777" w:rsidR="00394471" w:rsidRPr="00FA0D37" w:rsidRDefault="00394471" w:rsidP="00FA0D37">
      <w:pPr>
        <w:pStyle w:val="PL"/>
      </w:pPr>
      <w:r w:rsidRPr="00FA0D37">
        <w:t xml:space="preserve">BandCombination-UplinkTxSwitch-r16 ::= </w:t>
      </w:r>
      <w:r w:rsidRPr="00FA0D37">
        <w:rPr>
          <w:color w:val="993366"/>
        </w:rPr>
        <w:t>SEQUENCE</w:t>
      </w:r>
      <w:r w:rsidRPr="00FA0D37">
        <w:t xml:space="preserve"> {</w:t>
      </w:r>
    </w:p>
    <w:p w14:paraId="6EC539EE" w14:textId="77777777" w:rsidR="00394471" w:rsidRPr="00FA0D37" w:rsidRDefault="00394471" w:rsidP="00FA0D37">
      <w:pPr>
        <w:pStyle w:val="PL"/>
      </w:pPr>
      <w:r w:rsidRPr="00FA0D37">
        <w:t xml:space="preserve">    bandCombination-r16                 BandCombination,</w:t>
      </w:r>
    </w:p>
    <w:p w14:paraId="1F4C3FE5" w14:textId="77777777" w:rsidR="00394471" w:rsidRPr="00FA0D37" w:rsidRDefault="00394471" w:rsidP="00FA0D37">
      <w:pPr>
        <w:pStyle w:val="PL"/>
      </w:pPr>
      <w:r w:rsidRPr="00FA0D37">
        <w:t xml:space="preserve">    bandCombination-v1540               BandCombination-v1540                      </w:t>
      </w:r>
      <w:r w:rsidRPr="00FA0D37">
        <w:rPr>
          <w:color w:val="993366"/>
        </w:rPr>
        <w:t>OPTIONAL</w:t>
      </w:r>
      <w:r w:rsidRPr="00FA0D37">
        <w:t>,</w:t>
      </w:r>
    </w:p>
    <w:p w14:paraId="4B3C0557" w14:textId="77777777" w:rsidR="00394471" w:rsidRPr="00FA0D37" w:rsidRDefault="00394471" w:rsidP="00FA0D37">
      <w:pPr>
        <w:pStyle w:val="PL"/>
      </w:pPr>
      <w:r w:rsidRPr="00FA0D37">
        <w:t xml:space="preserve">    bandCombination-v1560               BandCombination-v1560                      </w:t>
      </w:r>
      <w:r w:rsidRPr="00FA0D37">
        <w:rPr>
          <w:color w:val="993366"/>
        </w:rPr>
        <w:t>OPTIONAL</w:t>
      </w:r>
      <w:r w:rsidRPr="00FA0D37">
        <w:t>,</w:t>
      </w:r>
    </w:p>
    <w:p w14:paraId="58A5A994" w14:textId="77777777" w:rsidR="00394471" w:rsidRPr="00FA0D37" w:rsidRDefault="00394471" w:rsidP="00FA0D37">
      <w:pPr>
        <w:pStyle w:val="PL"/>
      </w:pPr>
      <w:r w:rsidRPr="00FA0D37">
        <w:t xml:space="preserve">    bandCombination-v1570               BandCombination-v1570                      </w:t>
      </w:r>
      <w:r w:rsidRPr="00FA0D37">
        <w:rPr>
          <w:color w:val="993366"/>
        </w:rPr>
        <w:t>OPTIONAL</w:t>
      </w:r>
      <w:r w:rsidRPr="00FA0D37">
        <w:t>,</w:t>
      </w:r>
    </w:p>
    <w:p w14:paraId="66677DD6" w14:textId="77777777" w:rsidR="00394471" w:rsidRPr="00FA0D37" w:rsidRDefault="00394471" w:rsidP="00FA0D37">
      <w:pPr>
        <w:pStyle w:val="PL"/>
      </w:pPr>
      <w:r w:rsidRPr="00FA0D37">
        <w:t xml:space="preserve">    bandCombination-v1580               BandCombination-v1580                      </w:t>
      </w:r>
      <w:r w:rsidRPr="00FA0D37">
        <w:rPr>
          <w:color w:val="993366"/>
        </w:rPr>
        <w:t>OPTIONAL</w:t>
      </w:r>
      <w:r w:rsidRPr="00FA0D37">
        <w:t>,</w:t>
      </w:r>
    </w:p>
    <w:p w14:paraId="2B536A3D" w14:textId="77777777" w:rsidR="00394471" w:rsidRPr="00FA0D37" w:rsidRDefault="00394471" w:rsidP="00FA0D37">
      <w:pPr>
        <w:pStyle w:val="PL"/>
      </w:pPr>
      <w:r w:rsidRPr="00FA0D37">
        <w:t xml:space="preserve">    bandCombination-v1590               BandCombination-v1590                      </w:t>
      </w:r>
      <w:r w:rsidRPr="00FA0D37">
        <w:rPr>
          <w:color w:val="993366"/>
        </w:rPr>
        <w:t>OPTIONAL</w:t>
      </w:r>
      <w:r w:rsidRPr="00FA0D37">
        <w:t>,</w:t>
      </w:r>
    </w:p>
    <w:p w14:paraId="3A1F646D" w14:textId="77777777" w:rsidR="00394471" w:rsidRPr="00FA0D37" w:rsidRDefault="00394471" w:rsidP="00FA0D37">
      <w:pPr>
        <w:pStyle w:val="PL"/>
      </w:pPr>
      <w:r w:rsidRPr="00FA0D37">
        <w:t xml:space="preserve">    bandCombination-v1610               BandCombination-v1610                      </w:t>
      </w:r>
      <w:r w:rsidRPr="00FA0D37">
        <w:rPr>
          <w:color w:val="993366"/>
        </w:rPr>
        <w:t>OPTIONAL</w:t>
      </w:r>
      <w:r w:rsidRPr="00FA0D37">
        <w:t>,</w:t>
      </w:r>
    </w:p>
    <w:p w14:paraId="615C8143" w14:textId="77777777" w:rsidR="00394471" w:rsidRPr="00FA0D37" w:rsidRDefault="00394471" w:rsidP="00FA0D37">
      <w:pPr>
        <w:pStyle w:val="PL"/>
      </w:pPr>
      <w:r w:rsidRPr="00FA0D37">
        <w:t xml:space="preserve">    supportedBandPairListNR-r16         </w:t>
      </w:r>
      <w:r w:rsidRPr="00FA0D37">
        <w:rPr>
          <w:color w:val="993366"/>
        </w:rPr>
        <w:t>SEQUENCE</w:t>
      </w:r>
      <w:r w:rsidRPr="00FA0D37">
        <w:t xml:space="preserve"> (</w:t>
      </w:r>
      <w:r w:rsidRPr="00FA0D37">
        <w:rPr>
          <w:color w:val="993366"/>
        </w:rPr>
        <w:t>SIZE</w:t>
      </w:r>
      <w:r w:rsidRPr="00FA0D37">
        <w:t xml:space="preserve"> (1..maxULTxSwitchingBandPairs))</w:t>
      </w:r>
      <w:r w:rsidRPr="00FA0D37">
        <w:rPr>
          <w:color w:val="993366"/>
        </w:rPr>
        <w:t xml:space="preserve"> OF</w:t>
      </w:r>
      <w:r w:rsidRPr="00FA0D37">
        <w:t xml:space="preserve"> ULTxSwitchingBandPair-r16,</w:t>
      </w:r>
    </w:p>
    <w:p w14:paraId="34D7D51C" w14:textId="77777777" w:rsidR="00394471" w:rsidRPr="00FA0D37" w:rsidRDefault="00394471" w:rsidP="00FA0D37">
      <w:pPr>
        <w:pStyle w:val="PL"/>
      </w:pPr>
      <w:r w:rsidRPr="00FA0D37">
        <w:t xml:space="preserve">    uplinkTxSwitching-OptionSupport-r16 </w:t>
      </w:r>
      <w:r w:rsidRPr="00FA0D37">
        <w:rPr>
          <w:color w:val="993366"/>
        </w:rPr>
        <w:t>ENUMERATED</w:t>
      </w:r>
      <w:r w:rsidRPr="00FA0D37">
        <w:t xml:space="preserve"> {switchedUL, dualUL, both}      </w:t>
      </w:r>
      <w:r w:rsidRPr="00FA0D37">
        <w:rPr>
          <w:color w:val="993366"/>
        </w:rPr>
        <w:t>OPTIONAL</w:t>
      </w:r>
      <w:r w:rsidRPr="00FA0D37">
        <w:t>,</w:t>
      </w:r>
    </w:p>
    <w:p w14:paraId="571770FB" w14:textId="77777777" w:rsidR="00394471" w:rsidRPr="00FA0D37" w:rsidRDefault="00394471" w:rsidP="00FA0D37">
      <w:pPr>
        <w:pStyle w:val="PL"/>
      </w:pPr>
      <w:r w:rsidRPr="00FA0D37">
        <w:t xml:space="preserve">    uplinkTxSwitching-PowerBoosting-r16 </w:t>
      </w:r>
      <w:r w:rsidRPr="00FA0D37">
        <w:rPr>
          <w:color w:val="993366"/>
        </w:rPr>
        <w:t>ENUMERATED</w:t>
      </w:r>
      <w:r w:rsidRPr="00FA0D37">
        <w:t xml:space="preserve"> {supported}                     </w:t>
      </w:r>
      <w:r w:rsidRPr="00FA0D37">
        <w:rPr>
          <w:color w:val="993366"/>
        </w:rPr>
        <w:t>OPTIONAL</w:t>
      </w:r>
      <w:r w:rsidRPr="00FA0D37">
        <w:t>,</w:t>
      </w:r>
    </w:p>
    <w:p w14:paraId="503F9217" w14:textId="3639762C" w:rsidR="00B10383" w:rsidRPr="00FA0D37" w:rsidRDefault="00394471" w:rsidP="00FA0D37">
      <w:pPr>
        <w:pStyle w:val="PL"/>
      </w:pPr>
      <w:r w:rsidRPr="00FA0D37">
        <w:t xml:space="preserve">    ...</w:t>
      </w:r>
      <w:r w:rsidR="00B10383" w:rsidRPr="00FA0D37">
        <w:t>,</w:t>
      </w:r>
    </w:p>
    <w:p w14:paraId="31D4530C" w14:textId="77777777" w:rsidR="00B10383" w:rsidRPr="00FA0D37" w:rsidRDefault="00B10383" w:rsidP="00FA0D37">
      <w:pPr>
        <w:pStyle w:val="PL"/>
      </w:pPr>
      <w:r w:rsidRPr="00FA0D37">
        <w:t xml:space="preserve">    [[</w:t>
      </w:r>
    </w:p>
    <w:p w14:paraId="16552B92" w14:textId="6FCE7BEE" w:rsidR="00D867BE" w:rsidRPr="00FA0D37" w:rsidRDefault="00D867BE" w:rsidP="00FA0D37">
      <w:pPr>
        <w:pStyle w:val="PL"/>
        <w:rPr>
          <w:color w:val="808080"/>
        </w:rPr>
      </w:pPr>
      <w:r w:rsidRPr="00FA0D37">
        <w:t xml:space="preserve">    </w:t>
      </w:r>
      <w:r w:rsidR="00382CC1" w:rsidRPr="00FA0D37">
        <w:rPr>
          <w:color w:val="808080"/>
        </w:rPr>
        <w:t xml:space="preserve">-- </w:t>
      </w:r>
      <w:r w:rsidRPr="00FA0D37">
        <w:rPr>
          <w:color w:val="808080"/>
        </w:rPr>
        <w:t>R4 16-5 UL-MIMO coherence capability for dynamic Tx switching between 3CC 1Tx-2Tx switching</w:t>
      </w:r>
    </w:p>
    <w:p w14:paraId="5C753131" w14:textId="163F8996" w:rsidR="00D867BE" w:rsidRPr="00FA0D37" w:rsidRDefault="00D867BE" w:rsidP="00FA0D37">
      <w:pPr>
        <w:pStyle w:val="PL"/>
      </w:pPr>
      <w:r w:rsidRPr="00FA0D37">
        <w:t xml:space="preserve">    uplinkTxSwitching-PUSCH-TransCoherence-r16     </w:t>
      </w:r>
      <w:r w:rsidRPr="00FA0D37">
        <w:rPr>
          <w:color w:val="993366"/>
        </w:rPr>
        <w:t>ENUMERATED</w:t>
      </w:r>
      <w:r w:rsidRPr="00FA0D37">
        <w:t xml:space="preserve"> {nonCoherent, fullCoherent}   </w:t>
      </w:r>
      <w:r w:rsidRPr="00FA0D37">
        <w:rPr>
          <w:color w:val="993366"/>
        </w:rPr>
        <w:t>OPTIONAL</w:t>
      </w:r>
    </w:p>
    <w:p w14:paraId="395636E8" w14:textId="16ED04A3" w:rsidR="00394471" w:rsidRPr="00FA0D37" w:rsidRDefault="00D867BE" w:rsidP="00FA0D37">
      <w:pPr>
        <w:pStyle w:val="PL"/>
      </w:pPr>
      <w:r w:rsidRPr="00FA0D37">
        <w:t xml:space="preserve">    ]]</w:t>
      </w:r>
    </w:p>
    <w:p w14:paraId="3B85476F" w14:textId="77777777" w:rsidR="00394471" w:rsidRPr="00FA0D37" w:rsidRDefault="00394471" w:rsidP="00FA0D37">
      <w:pPr>
        <w:pStyle w:val="PL"/>
      </w:pPr>
      <w:r w:rsidRPr="00FA0D37">
        <w:t>}</w:t>
      </w:r>
    </w:p>
    <w:p w14:paraId="17220C0B" w14:textId="77777777" w:rsidR="00382CC1" w:rsidRPr="00FA0D37" w:rsidRDefault="00382CC1" w:rsidP="00FA0D37">
      <w:pPr>
        <w:pStyle w:val="PL"/>
      </w:pPr>
    </w:p>
    <w:p w14:paraId="653FB3D3" w14:textId="620C00FD" w:rsidR="00D027C1" w:rsidRPr="00FA0D37" w:rsidRDefault="00D027C1" w:rsidP="00FA0D37">
      <w:pPr>
        <w:pStyle w:val="PL"/>
      </w:pPr>
      <w:r w:rsidRPr="00FA0D37">
        <w:t>BandCombination-UplinkTxSwitch</w:t>
      </w:r>
      <w:r w:rsidR="003B657B" w:rsidRPr="00FA0D37">
        <w:t>-v1630</w:t>
      </w:r>
      <w:r w:rsidRPr="00FA0D37">
        <w:t xml:space="preserve"> ::=    </w:t>
      </w:r>
      <w:r w:rsidRPr="00FA0D37">
        <w:rPr>
          <w:color w:val="993366"/>
        </w:rPr>
        <w:t>SEQUENCE</w:t>
      </w:r>
      <w:r w:rsidRPr="00FA0D37">
        <w:t xml:space="preserve"> {</w:t>
      </w:r>
    </w:p>
    <w:p w14:paraId="57E284A9" w14:textId="143EE9AA" w:rsidR="00D027C1" w:rsidRPr="00FA0D37" w:rsidRDefault="00D027C1" w:rsidP="00FA0D37">
      <w:pPr>
        <w:pStyle w:val="PL"/>
      </w:pPr>
      <w:r w:rsidRPr="00FA0D37">
        <w:t xml:space="preserve">    bandCombination</w:t>
      </w:r>
      <w:r w:rsidR="003B657B" w:rsidRPr="00FA0D37">
        <w:t>-v1630</w:t>
      </w:r>
      <w:r w:rsidRPr="00FA0D37">
        <w:t xml:space="preserve">                       BandCombination</w:t>
      </w:r>
      <w:r w:rsidR="003B657B" w:rsidRPr="00FA0D37">
        <w:t>-v1630</w:t>
      </w:r>
      <w:r w:rsidRPr="00FA0D37">
        <w:t xml:space="preserve">              </w:t>
      </w:r>
      <w:r w:rsidRPr="00FA0D37">
        <w:rPr>
          <w:color w:val="993366"/>
        </w:rPr>
        <w:t>OPTIONAL</w:t>
      </w:r>
    </w:p>
    <w:p w14:paraId="28082D86" w14:textId="77777777" w:rsidR="00D027C1" w:rsidRPr="00FA0D37" w:rsidRDefault="00D027C1" w:rsidP="00FA0D37">
      <w:pPr>
        <w:pStyle w:val="PL"/>
      </w:pPr>
      <w:r w:rsidRPr="00FA0D37">
        <w:t>}</w:t>
      </w:r>
    </w:p>
    <w:p w14:paraId="531D3BA7" w14:textId="77777777" w:rsidR="00E46198" w:rsidRPr="00FA0D37" w:rsidRDefault="00E46198" w:rsidP="00FA0D37">
      <w:pPr>
        <w:pStyle w:val="PL"/>
      </w:pPr>
    </w:p>
    <w:p w14:paraId="23864971" w14:textId="43C434C0" w:rsidR="00E46198" w:rsidRPr="00FA0D37" w:rsidRDefault="00E46198" w:rsidP="00FA0D37">
      <w:pPr>
        <w:pStyle w:val="PL"/>
      </w:pPr>
      <w:r w:rsidRPr="00FA0D37">
        <w:t>BandCombination-UplinkTxSwitch-v</w:t>
      </w:r>
      <w:r w:rsidR="000C2783" w:rsidRPr="00FA0D37">
        <w:t>1640</w:t>
      </w:r>
      <w:r w:rsidRPr="00FA0D37">
        <w:t xml:space="preserve"> ::=    </w:t>
      </w:r>
      <w:r w:rsidRPr="00FA0D37">
        <w:rPr>
          <w:color w:val="993366"/>
        </w:rPr>
        <w:t>SEQUENCE</w:t>
      </w:r>
      <w:r w:rsidRPr="00FA0D37">
        <w:t xml:space="preserve"> {</w:t>
      </w:r>
    </w:p>
    <w:p w14:paraId="71BC2A5F" w14:textId="209BF775" w:rsidR="00E46198" w:rsidRPr="00FA0D37" w:rsidRDefault="00E46198" w:rsidP="00FA0D37">
      <w:pPr>
        <w:pStyle w:val="PL"/>
      </w:pPr>
      <w:r w:rsidRPr="00FA0D37">
        <w:t xml:space="preserve">    bandCombination-v</w:t>
      </w:r>
      <w:r w:rsidR="000C2783" w:rsidRPr="00FA0D37">
        <w:t>1640</w:t>
      </w:r>
      <w:r w:rsidRPr="00FA0D37">
        <w:t xml:space="preserve">                       BandCombination-v</w:t>
      </w:r>
      <w:r w:rsidR="000C2783" w:rsidRPr="00FA0D37">
        <w:t>1640</w:t>
      </w:r>
      <w:r w:rsidRPr="00FA0D37">
        <w:t xml:space="preserve">              </w:t>
      </w:r>
      <w:r w:rsidRPr="00FA0D37">
        <w:rPr>
          <w:color w:val="993366"/>
        </w:rPr>
        <w:t>OPTIONAL</w:t>
      </w:r>
    </w:p>
    <w:p w14:paraId="5AB272CD" w14:textId="77777777" w:rsidR="00E46198" w:rsidRPr="00FA0D37" w:rsidRDefault="00E46198" w:rsidP="00FA0D37">
      <w:pPr>
        <w:pStyle w:val="PL"/>
      </w:pPr>
      <w:r w:rsidRPr="00FA0D37">
        <w:t>}</w:t>
      </w:r>
    </w:p>
    <w:p w14:paraId="6DBA58E1" w14:textId="77777777" w:rsidR="007830B1" w:rsidRPr="00FA0D37" w:rsidRDefault="007830B1" w:rsidP="00FA0D37">
      <w:pPr>
        <w:pStyle w:val="PL"/>
      </w:pPr>
    </w:p>
    <w:p w14:paraId="20F0AFB8" w14:textId="21DBA4AA" w:rsidR="007830B1" w:rsidRPr="00FA0D37" w:rsidRDefault="007830B1" w:rsidP="00FA0D37">
      <w:pPr>
        <w:pStyle w:val="PL"/>
      </w:pPr>
      <w:r w:rsidRPr="00FA0D37">
        <w:t>BandCombination-UplinkTxSwitch-v16</w:t>
      </w:r>
      <w:r w:rsidR="001F631E" w:rsidRPr="00FA0D37">
        <w:t>50</w:t>
      </w:r>
      <w:r w:rsidRPr="00FA0D37">
        <w:t xml:space="preserve"> ::= </w:t>
      </w:r>
      <w:r w:rsidRPr="00FA0D37">
        <w:rPr>
          <w:color w:val="993366"/>
        </w:rPr>
        <w:t>SEQUENCE</w:t>
      </w:r>
      <w:r w:rsidRPr="00FA0D37">
        <w:t xml:space="preserve"> {</w:t>
      </w:r>
    </w:p>
    <w:p w14:paraId="4C91E29C" w14:textId="1F5E220C" w:rsidR="007830B1" w:rsidRPr="00FA0D37" w:rsidRDefault="007830B1" w:rsidP="00FA0D37">
      <w:pPr>
        <w:pStyle w:val="PL"/>
      </w:pPr>
      <w:r w:rsidRPr="00FA0D37">
        <w:t xml:space="preserve">    bandCombination-v16</w:t>
      </w:r>
      <w:r w:rsidR="001F631E" w:rsidRPr="00FA0D37">
        <w:t>50</w:t>
      </w:r>
      <w:r w:rsidRPr="00FA0D37">
        <w:t xml:space="preserve">               BandCombination-v16</w:t>
      </w:r>
      <w:r w:rsidR="001F631E" w:rsidRPr="00FA0D37">
        <w:t>50</w:t>
      </w:r>
      <w:r w:rsidRPr="00FA0D37">
        <w:t xml:space="preserve">                      </w:t>
      </w:r>
      <w:r w:rsidRPr="00FA0D37">
        <w:rPr>
          <w:color w:val="993366"/>
        </w:rPr>
        <w:t>OPTIONAL</w:t>
      </w:r>
    </w:p>
    <w:p w14:paraId="13AF606D" w14:textId="77777777" w:rsidR="007830B1" w:rsidRPr="00FA0D37" w:rsidRDefault="007830B1" w:rsidP="00FA0D37">
      <w:pPr>
        <w:pStyle w:val="PL"/>
      </w:pPr>
      <w:r w:rsidRPr="00FA0D37">
        <w:t>}</w:t>
      </w:r>
    </w:p>
    <w:p w14:paraId="7D221663" w14:textId="77777777" w:rsidR="004A773C" w:rsidRPr="00FA0D37" w:rsidRDefault="004A773C" w:rsidP="00FA0D37">
      <w:pPr>
        <w:pStyle w:val="PL"/>
      </w:pPr>
    </w:p>
    <w:p w14:paraId="03042E79" w14:textId="3355EDD9" w:rsidR="004A773C" w:rsidRPr="00FA0D37" w:rsidRDefault="004A773C" w:rsidP="00FA0D37">
      <w:pPr>
        <w:pStyle w:val="PL"/>
      </w:pPr>
      <w:r w:rsidRPr="00FA0D37">
        <w:t>BandCombination-UplinkTxSwitch-v16</w:t>
      </w:r>
      <w:r w:rsidR="00EE4C48" w:rsidRPr="00FA0D37">
        <w:t>70</w:t>
      </w:r>
      <w:r w:rsidRPr="00FA0D37">
        <w:t xml:space="preserve"> ::= </w:t>
      </w:r>
      <w:r w:rsidRPr="00FA0D37">
        <w:rPr>
          <w:color w:val="993366"/>
        </w:rPr>
        <w:t>SEQUENCE</w:t>
      </w:r>
      <w:r w:rsidRPr="00FA0D37">
        <w:t xml:space="preserve"> {</w:t>
      </w:r>
    </w:p>
    <w:p w14:paraId="52778A15" w14:textId="48E8D7C3" w:rsidR="004A773C" w:rsidRPr="00FA0D37" w:rsidRDefault="004A773C" w:rsidP="00FA0D37">
      <w:pPr>
        <w:pStyle w:val="PL"/>
      </w:pPr>
      <w:r w:rsidRPr="00FA0D37">
        <w:t xml:space="preserve">    bandCombination-v15</w:t>
      </w:r>
      <w:r w:rsidR="00EE4C48" w:rsidRPr="00FA0D37">
        <w:t>g0</w:t>
      </w:r>
      <w:r w:rsidRPr="00FA0D37">
        <w:t xml:space="preserve">                    BandCombination-v15</w:t>
      </w:r>
      <w:r w:rsidR="00EE4C48" w:rsidRPr="00FA0D37">
        <w:t>g0</w:t>
      </w:r>
      <w:r w:rsidRPr="00FA0D37">
        <w:t xml:space="preserve">                 </w:t>
      </w:r>
      <w:r w:rsidRPr="00FA0D37">
        <w:rPr>
          <w:color w:val="993366"/>
        </w:rPr>
        <w:t>OPTIONAL</w:t>
      </w:r>
    </w:p>
    <w:p w14:paraId="4EF93553" w14:textId="77777777" w:rsidR="004A773C" w:rsidRPr="00FA0D37" w:rsidRDefault="004A773C" w:rsidP="00FA0D37">
      <w:pPr>
        <w:pStyle w:val="PL"/>
      </w:pPr>
      <w:r w:rsidRPr="00FA0D37">
        <w:t>}</w:t>
      </w:r>
    </w:p>
    <w:p w14:paraId="6DF25B6F" w14:textId="77777777" w:rsidR="005337F6" w:rsidRPr="00FA0D37" w:rsidRDefault="005337F6" w:rsidP="00FA0D37">
      <w:pPr>
        <w:pStyle w:val="PL"/>
      </w:pPr>
    </w:p>
    <w:p w14:paraId="05AAAE15" w14:textId="02DCF041" w:rsidR="005337F6" w:rsidRPr="00FA0D37" w:rsidRDefault="005337F6" w:rsidP="00FA0D37">
      <w:pPr>
        <w:pStyle w:val="PL"/>
      </w:pPr>
      <w:r w:rsidRPr="00FA0D37">
        <w:t xml:space="preserve">BandCombination-UplinkTxSwitch-v1690 ::=  </w:t>
      </w:r>
      <w:r w:rsidRPr="00FA0D37">
        <w:rPr>
          <w:color w:val="993366"/>
        </w:rPr>
        <w:t>SEQUENCE</w:t>
      </w:r>
      <w:r w:rsidRPr="00FA0D37">
        <w:t xml:space="preserve"> {</w:t>
      </w:r>
    </w:p>
    <w:p w14:paraId="7FE51FBC" w14:textId="7F353E62" w:rsidR="005337F6" w:rsidRPr="00FA0D37" w:rsidRDefault="005337F6" w:rsidP="00FA0D37">
      <w:pPr>
        <w:pStyle w:val="PL"/>
      </w:pPr>
      <w:r w:rsidRPr="00FA0D37">
        <w:t xml:space="preserve">    </w:t>
      </w:r>
      <w:r w:rsidR="004B6142" w:rsidRPr="00FA0D37">
        <w:t>bandCombination-v1690</w:t>
      </w:r>
      <w:r w:rsidRPr="00FA0D37">
        <w:t xml:space="preserve">                     </w:t>
      </w:r>
      <w:r w:rsidR="004B6142" w:rsidRPr="00FA0D37">
        <w:t>BandCombination-v1690</w:t>
      </w:r>
      <w:r w:rsidRPr="00FA0D37">
        <w:t xml:space="preserve">                </w:t>
      </w:r>
      <w:r w:rsidRPr="00FA0D37">
        <w:rPr>
          <w:color w:val="993366"/>
        </w:rPr>
        <w:t>OPTIONAL</w:t>
      </w:r>
    </w:p>
    <w:p w14:paraId="7213389B" w14:textId="7837F700" w:rsidR="00382CC1" w:rsidRPr="00FA0D37" w:rsidRDefault="005337F6" w:rsidP="00FA0D37">
      <w:pPr>
        <w:pStyle w:val="PL"/>
      </w:pPr>
      <w:r w:rsidRPr="00FA0D37">
        <w:t>}</w:t>
      </w:r>
    </w:p>
    <w:p w14:paraId="160BC50F" w14:textId="04D41D04" w:rsidR="005337F6" w:rsidRPr="00FA0D37" w:rsidRDefault="005337F6" w:rsidP="00FA0D37">
      <w:pPr>
        <w:pStyle w:val="PL"/>
      </w:pPr>
    </w:p>
    <w:p w14:paraId="3F909267" w14:textId="5E99EDC4" w:rsidR="00B04F4B" w:rsidRPr="00FA0D37" w:rsidRDefault="00B04F4B" w:rsidP="00FA0D37">
      <w:pPr>
        <w:pStyle w:val="PL"/>
      </w:pPr>
      <w:r w:rsidRPr="00FA0D37">
        <w:t xml:space="preserve">BandCombination-UplinkTxSwitch-v16a0 ::= </w:t>
      </w:r>
      <w:r w:rsidRPr="00FA0D37">
        <w:rPr>
          <w:color w:val="993366"/>
        </w:rPr>
        <w:t>SEQUENCE</w:t>
      </w:r>
      <w:r w:rsidRPr="00FA0D37">
        <w:t xml:space="preserve"> {</w:t>
      </w:r>
    </w:p>
    <w:p w14:paraId="284D5A87" w14:textId="42F8EBDA" w:rsidR="00B04F4B" w:rsidRPr="00FA0D37" w:rsidRDefault="00B04F4B" w:rsidP="00FA0D37">
      <w:pPr>
        <w:pStyle w:val="PL"/>
      </w:pPr>
      <w:r w:rsidRPr="00FA0D37">
        <w:lastRenderedPageBreak/>
        <w:t xml:space="preserve">    bandCombination-v16a0                    BandCombination-v16a0                 </w:t>
      </w:r>
      <w:r w:rsidRPr="00FA0D37">
        <w:rPr>
          <w:color w:val="993366"/>
        </w:rPr>
        <w:t>OPTIONAL</w:t>
      </w:r>
    </w:p>
    <w:p w14:paraId="5869DD1F" w14:textId="12F12A95" w:rsidR="00B04F4B" w:rsidRPr="00FA0D37" w:rsidRDefault="00B04F4B" w:rsidP="00FA0D37">
      <w:pPr>
        <w:pStyle w:val="PL"/>
      </w:pPr>
      <w:r w:rsidRPr="00FA0D37">
        <w:t>}</w:t>
      </w:r>
    </w:p>
    <w:p w14:paraId="48FB45B5" w14:textId="77777777" w:rsidR="00B04F4B" w:rsidRPr="00FA0D37" w:rsidRDefault="00B04F4B" w:rsidP="00FA0D37">
      <w:pPr>
        <w:pStyle w:val="PL"/>
      </w:pPr>
    </w:p>
    <w:p w14:paraId="2568FF6D" w14:textId="14D1C138" w:rsidR="001B58CB" w:rsidRPr="00FA0D37" w:rsidRDefault="001B58CB" w:rsidP="00FA0D37">
      <w:pPr>
        <w:pStyle w:val="PL"/>
      </w:pPr>
      <w:r w:rsidRPr="00FA0D37">
        <w:t xml:space="preserve">BandCombination-UplinkTxSwitch-v16e0 ::= </w:t>
      </w:r>
      <w:r w:rsidRPr="00FA0D37">
        <w:rPr>
          <w:color w:val="993366"/>
        </w:rPr>
        <w:t>SEQUENCE</w:t>
      </w:r>
      <w:r w:rsidRPr="00FA0D37">
        <w:t xml:space="preserve"> {</w:t>
      </w:r>
    </w:p>
    <w:p w14:paraId="481BC135" w14:textId="27D824A6" w:rsidR="001B58CB" w:rsidRPr="00FA0D37" w:rsidRDefault="001B58CB" w:rsidP="00FA0D37">
      <w:pPr>
        <w:pStyle w:val="PL"/>
      </w:pPr>
      <w:r w:rsidRPr="00FA0D37">
        <w:t xml:space="preserve">    bandCombination-v15n0                    BandCombination-v15n0                 </w:t>
      </w:r>
      <w:r w:rsidRPr="00FA0D37">
        <w:rPr>
          <w:color w:val="993366"/>
        </w:rPr>
        <w:t>OPTIONAL</w:t>
      </w:r>
    </w:p>
    <w:p w14:paraId="3B7A4BE2" w14:textId="6BCFD91B" w:rsidR="001B58CB" w:rsidRPr="00FA0D37" w:rsidRDefault="001B58CB" w:rsidP="00FA0D37">
      <w:pPr>
        <w:pStyle w:val="PL"/>
      </w:pPr>
      <w:r w:rsidRPr="00FA0D37">
        <w:t>}</w:t>
      </w:r>
    </w:p>
    <w:p w14:paraId="6139861D" w14:textId="77777777" w:rsidR="001B58CB" w:rsidRPr="00FA0D37" w:rsidRDefault="001B58CB" w:rsidP="00FA0D37">
      <w:pPr>
        <w:pStyle w:val="PL"/>
      </w:pPr>
    </w:p>
    <w:p w14:paraId="666F99DA" w14:textId="5414A778" w:rsidR="00382CC1" w:rsidRPr="00FA0D37" w:rsidRDefault="00382CC1" w:rsidP="00FA0D37">
      <w:pPr>
        <w:pStyle w:val="PL"/>
      </w:pPr>
      <w:r w:rsidRPr="00FA0D37">
        <w:t xml:space="preserve">BandCombination-UplinkTxSwitch-v1700 ::= </w:t>
      </w:r>
      <w:r w:rsidRPr="00FA0D37">
        <w:rPr>
          <w:color w:val="993366"/>
        </w:rPr>
        <w:t>SEQUENCE</w:t>
      </w:r>
      <w:r w:rsidRPr="00FA0D37">
        <w:t xml:space="preserve"> {</w:t>
      </w:r>
    </w:p>
    <w:p w14:paraId="626E30A9" w14:textId="79B75A9A" w:rsidR="00382CC1" w:rsidRPr="00FA0D37" w:rsidRDefault="00382CC1" w:rsidP="00FA0D37">
      <w:pPr>
        <w:pStyle w:val="PL"/>
      </w:pPr>
      <w:r w:rsidRPr="00FA0D37">
        <w:t xml:space="preserve">    bandCombination-v1700                    BandCombination-v1700                      </w:t>
      </w:r>
      <w:r w:rsidRPr="00FA0D37">
        <w:rPr>
          <w:color w:val="993366"/>
        </w:rPr>
        <w:t>OPTIONAL</w:t>
      </w:r>
      <w:r w:rsidRPr="00FA0D37">
        <w:t>,</w:t>
      </w:r>
    </w:p>
    <w:p w14:paraId="384DB5E3" w14:textId="759B5A2C" w:rsidR="00382CC1" w:rsidRPr="00FA0D37" w:rsidRDefault="00382CC1" w:rsidP="00FA0D37">
      <w:pPr>
        <w:pStyle w:val="PL"/>
        <w:rPr>
          <w:color w:val="808080"/>
        </w:rPr>
      </w:pPr>
      <w:r w:rsidRPr="00FA0D37">
        <w:t xml:space="preserve">    </w:t>
      </w:r>
      <w:r w:rsidRPr="00FA0D37">
        <w:rPr>
          <w:color w:val="808080"/>
        </w:rPr>
        <w:t>-- R4 16-1/16-2/16-3 Dynamic Tx switching between 2CC/3CC 2Tx-2Tx/1Tx-2Tx switching</w:t>
      </w:r>
    </w:p>
    <w:p w14:paraId="18478DEC" w14:textId="039789AA" w:rsidR="00382CC1" w:rsidRPr="00FA0D37" w:rsidRDefault="00382CC1" w:rsidP="00FA0D37">
      <w:pPr>
        <w:pStyle w:val="PL"/>
      </w:pPr>
      <w:r w:rsidRPr="00FA0D37">
        <w:t xml:space="preserve">    supportedBandPairListNR-v1700            </w:t>
      </w:r>
      <w:r w:rsidRPr="00FA0D37">
        <w:rPr>
          <w:color w:val="993366"/>
        </w:rPr>
        <w:t>SEQUENCE</w:t>
      </w:r>
      <w:r w:rsidRPr="00FA0D37">
        <w:t xml:space="preserve"> (</w:t>
      </w:r>
      <w:r w:rsidRPr="00FA0D37">
        <w:rPr>
          <w:color w:val="993366"/>
        </w:rPr>
        <w:t>SIZE</w:t>
      </w:r>
      <w:r w:rsidRPr="00FA0D37">
        <w:t xml:space="preserve"> (1..maxULTxSwitchingBandPairs))</w:t>
      </w:r>
      <w:r w:rsidRPr="00FA0D37">
        <w:rPr>
          <w:color w:val="993366"/>
        </w:rPr>
        <w:t xml:space="preserve"> OF</w:t>
      </w:r>
      <w:r w:rsidRPr="00FA0D37">
        <w:t xml:space="preserve"> ULTxSwitchingBandPair-v1700  </w:t>
      </w:r>
      <w:r w:rsidRPr="00FA0D37">
        <w:rPr>
          <w:color w:val="993366"/>
        </w:rPr>
        <w:t>OPTIONAL</w:t>
      </w:r>
      <w:r w:rsidRPr="00FA0D37">
        <w:t>,</w:t>
      </w:r>
    </w:p>
    <w:p w14:paraId="0C1C6304" w14:textId="648FB120" w:rsidR="00382CC1" w:rsidRPr="00FA0D37" w:rsidRDefault="00382CC1" w:rsidP="00FA0D37">
      <w:pPr>
        <w:pStyle w:val="PL"/>
        <w:rPr>
          <w:color w:val="808080"/>
        </w:rPr>
      </w:pPr>
      <w:r w:rsidRPr="00FA0D37">
        <w:t xml:space="preserve">    </w:t>
      </w:r>
      <w:r w:rsidRPr="00FA0D37">
        <w:rPr>
          <w:color w:val="808080"/>
        </w:rPr>
        <w:t>-- R4 16-6: UL-MIMO coherence capability for dynamic Tx switching between 2Tx-2Tx switching</w:t>
      </w:r>
    </w:p>
    <w:p w14:paraId="380F407C" w14:textId="7D090785" w:rsidR="00382CC1" w:rsidRPr="00FA0D37" w:rsidRDefault="00382CC1" w:rsidP="00FA0D37">
      <w:pPr>
        <w:pStyle w:val="PL"/>
      </w:pPr>
      <w:r w:rsidRPr="00FA0D37">
        <w:t xml:space="preserve">    uplinkTxSwitchingBandParametersList-v1700 </w:t>
      </w:r>
      <w:r w:rsidRPr="00FA0D37">
        <w:rPr>
          <w:color w:val="993366"/>
        </w:rPr>
        <w:t>SEQUENCE</w:t>
      </w:r>
      <w:r w:rsidRPr="00FA0D37">
        <w:t xml:space="preserve"> (</w:t>
      </w:r>
      <w:r w:rsidRPr="00FA0D37">
        <w:rPr>
          <w:color w:val="993366"/>
        </w:rPr>
        <w:t>SIZE</w:t>
      </w:r>
      <w:r w:rsidRPr="00FA0D37">
        <w:t xml:space="preserve"> (1.. maxSimultaneousBands))</w:t>
      </w:r>
      <w:r w:rsidRPr="00FA0D37">
        <w:rPr>
          <w:color w:val="993366"/>
        </w:rPr>
        <w:t xml:space="preserve"> OF</w:t>
      </w:r>
      <w:r w:rsidRPr="00FA0D37">
        <w:t xml:space="preserve"> UplinkTxSwitchingBandParameters-v1700  </w:t>
      </w:r>
      <w:r w:rsidRPr="00FA0D37">
        <w:rPr>
          <w:color w:val="993366"/>
        </w:rPr>
        <w:t>OPTIONAL</w:t>
      </w:r>
    </w:p>
    <w:p w14:paraId="03124F69" w14:textId="0A2D26C0" w:rsidR="00394471" w:rsidRPr="00FA0D37" w:rsidRDefault="00382CC1" w:rsidP="00FA0D37">
      <w:pPr>
        <w:pStyle w:val="PL"/>
      </w:pPr>
      <w:r w:rsidRPr="00FA0D37">
        <w:t>}</w:t>
      </w:r>
    </w:p>
    <w:p w14:paraId="3F9229C2" w14:textId="77777777" w:rsidR="00F03826" w:rsidRPr="00FA0D37" w:rsidRDefault="00F03826" w:rsidP="00FA0D37">
      <w:pPr>
        <w:pStyle w:val="PL"/>
      </w:pPr>
    </w:p>
    <w:p w14:paraId="6558C5B3" w14:textId="7613FA5D" w:rsidR="00F03826" w:rsidRPr="00FA0D37" w:rsidRDefault="00F03826" w:rsidP="00FA0D37">
      <w:pPr>
        <w:pStyle w:val="PL"/>
      </w:pPr>
      <w:r w:rsidRPr="00FA0D37">
        <w:t xml:space="preserve">BandCombination-UplinkTxSwitch-v1720 ::= </w:t>
      </w:r>
      <w:r w:rsidRPr="00FA0D37">
        <w:rPr>
          <w:color w:val="993366"/>
        </w:rPr>
        <w:t>SEQUENCE</w:t>
      </w:r>
      <w:r w:rsidRPr="00FA0D37">
        <w:t xml:space="preserve"> {</w:t>
      </w:r>
    </w:p>
    <w:p w14:paraId="19A55625" w14:textId="76123FB5" w:rsidR="00F03826" w:rsidRPr="00FA0D37" w:rsidRDefault="00F03826" w:rsidP="00FA0D37">
      <w:pPr>
        <w:pStyle w:val="PL"/>
      </w:pPr>
      <w:r w:rsidRPr="00FA0D37">
        <w:t xml:space="preserve">    bandCombination-v1720                    BandCombination-v1720                 </w:t>
      </w:r>
      <w:r w:rsidRPr="00FA0D37">
        <w:rPr>
          <w:color w:val="993366"/>
        </w:rPr>
        <w:t>OPTIONAL</w:t>
      </w:r>
      <w:r w:rsidRPr="00FA0D37">
        <w:t>,</w:t>
      </w:r>
    </w:p>
    <w:p w14:paraId="76E6956A" w14:textId="5FE50CAD" w:rsidR="00F03826" w:rsidRPr="00FA0D37" w:rsidRDefault="00F03826" w:rsidP="00FA0D37">
      <w:pPr>
        <w:pStyle w:val="PL"/>
      </w:pPr>
      <w:r w:rsidRPr="00FA0D37">
        <w:t xml:space="preserve">    uplinkTxSwitching-OptionSupport2T2T-r17  </w:t>
      </w:r>
      <w:r w:rsidRPr="00FA0D37">
        <w:rPr>
          <w:color w:val="993366"/>
        </w:rPr>
        <w:t>ENUMERATED</w:t>
      </w:r>
      <w:r w:rsidRPr="00FA0D37">
        <w:t xml:space="preserve"> {switchedUL, dualUL, both} </w:t>
      </w:r>
      <w:r w:rsidRPr="00FA0D37">
        <w:rPr>
          <w:color w:val="993366"/>
        </w:rPr>
        <w:t>OPTIONAL</w:t>
      </w:r>
    </w:p>
    <w:p w14:paraId="462B57B9" w14:textId="02CA8727" w:rsidR="00F03826" w:rsidRPr="00FA0D37" w:rsidRDefault="00F03826" w:rsidP="00FA0D37">
      <w:pPr>
        <w:pStyle w:val="PL"/>
      </w:pPr>
      <w:r w:rsidRPr="00FA0D37">
        <w:t>}</w:t>
      </w:r>
    </w:p>
    <w:p w14:paraId="061AFA5E" w14:textId="77777777" w:rsidR="00691952" w:rsidRPr="00FA0D37" w:rsidRDefault="00691952" w:rsidP="00FA0D37">
      <w:pPr>
        <w:pStyle w:val="PL"/>
      </w:pPr>
    </w:p>
    <w:p w14:paraId="54038931" w14:textId="5625E07F" w:rsidR="00691952" w:rsidRPr="00FA0D37" w:rsidRDefault="00691952" w:rsidP="00FA0D37">
      <w:pPr>
        <w:pStyle w:val="PL"/>
      </w:pPr>
      <w:r w:rsidRPr="00FA0D37">
        <w:t xml:space="preserve">BandCombination-UplinkTxSwitch-v1730 ::= </w:t>
      </w:r>
      <w:r w:rsidRPr="00FA0D37">
        <w:rPr>
          <w:color w:val="993366"/>
        </w:rPr>
        <w:t>SEQUENCE</w:t>
      </w:r>
      <w:r w:rsidRPr="00FA0D37">
        <w:t xml:space="preserve"> {</w:t>
      </w:r>
    </w:p>
    <w:p w14:paraId="26B2FA9D" w14:textId="3D790B42" w:rsidR="00691952" w:rsidRPr="00FA0D37" w:rsidRDefault="00691952" w:rsidP="00FA0D37">
      <w:pPr>
        <w:pStyle w:val="PL"/>
      </w:pPr>
      <w:r w:rsidRPr="00FA0D37">
        <w:t xml:space="preserve">    bandCombination-v1730                    BandCombination-v1730                 </w:t>
      </w:r>
      <w:r w:rsidRPr="00FA0D37">
        <w:rPr>
          <w:color w:val="993366"/>
        </w:rPr>
        <w:t>OPTIONAL</w:t>
      </w:r>
    </w:p>
    <w:p w14:paraId="4195C785" w14:textId="77777777" w:rsidR="003350BF" w:rsidRPr="00FA0D37" w:rsidRDefault="00691952" w:rsidP="00FA0D37">
      <w:pPr>
        <w:pStyle w:val="PL"/>
      </w:pPr>
      <w:r w:rsidRPr="00FA0D37">
        <w:t>}</w:t>
      </w:r>
    </w:p>
    <w:p w14:paraId="2A1419FA" w14:textId="77777777" w:rsidR="003350BF" w:rsidRPr="00FA0D37" w:rsidRDefault="003350BF" w:rsidP="00FA0D37">
      <w:pPr>
        <w:pStyle w:val="PL"/>
      </w:pPr>
    </w:p>
    <w:p w14:paraId="60354B6F" w14:textId="32D4415E" w:rsidR="003350BF" w:rsidRPr="00FA0D37" w:rsidRDefault="003350BF" w:rsidP="00FA0D37">
      <w:pPr>
        <w:pStyle w:val="PL"/>
      </w:pPr>
      <w:r w:rsidRPr="00FA0D37">
        <w:t xml:space="preserve">BandCombination-UplinkTxSwitch-v1740 ::= </w:t>
      </w:r>
      <w:r w:rsidRPr="00FA0D37">
        <w:rPr>
          <w:color w:val="993366"/>
        </w:rPr>
        <w:t>SEQUENCE</w:t>
      </w:r>
      <w:r w:rsidRPr="00FA0D37">
        <w:t xml:space="preserve"> {</w:t>
      </w:r>
    </w:p>
    <w:p w14:paraId="779BC354" w14:textId="5A68A078" w:rsidR="003350BF" w:rsidRPr="00FA0D37" w:rsidRDefault="003350BF" w:rsidP="00FA0D37">
      <w:pPr>
        <w:pStyle w:val="PL"/>
      </w:pPr>
      <w:r w:rsidRPr="00FA0D37">
        <w:t xml:space="preserve">    bandCombination-v1740                    BandCombination-v1740                 </w:t>
      </w:r>
      <w:r w:rsidRPr="00FA0D37">
        <w:rPr>
          <w:color w:val="993366"/>
        </w:rPr>
        <w:t>OPTIONAL</w:t>
      </w:r>
    </w:p>
    <w:p w14:paraId="2EAFA029" w14:textId="2DA15DD6" w:rsidR="00F03826" w:rsidRPr="00FA0D37" w:rsidRDefault="003350BF" w:rsidP="00FA0D37">
      <w:pPr>
        <w:pStyle w:val="PL"/>
      </w:pPr>
      <w:r w:rsidRPr="00FA0D37">
        <w:t>}</w:t>
      </w:r>
    </w:p>
    <w:p w14:paraId="2256B1D0" w14:textId="77777777" w:rsidR="009536C4" w:rsidRPr="00FA0D37" w:rsidRDefault="009536C4" w:rsidP="00FA0D37">
      <w:pPr>
        <w:pStyle w:val="PL"/>
      </w:pPr>
    </w:p>
    <w:p w14:paraId="72F02AC3" w14:textId="26DAFF05" w:rsidR="009536C4" w:rsidRPr="00FA0D37" w:rsidRDefault="009536C4" w:rsidP="00FA0D37">
      <w:pPr>
        <w:pStyle w:val="PL"/>
      </w:pPr>
      <w:r w:rsidRPr="00FA0D37">
        <w:t xml:space="preserve">BandCombination-UplinkTxSwitch-v1760 ::= </w:t>
      </w:r>
      <w:r w:rsidRPr="00FA0D37">
        <w:rPr>
          <w:color w:val="993366"/>
        </w:rPr>
        <w:t>SEQUENCE</w:t>
      </w:r>
      <w:r w:rsidRPr="00FA0D37">
        <w:t xml:space="preserve"> {</w:t>
      </w:r>
    </w:p>
    <w:p w14:paraId="02A56F82" w14:textId="1EAE1162" w:rsidR="009536C4" w:rsidRPr="00FA0D37" w:rsidRDefault="009536C4" w:rsidP="00FA0D37">
      <w:pPr>
        <w:pStyle w:val="PL"/>
      </w:pPr>
      <w:r w:rsidRPr="00FA0D37">
        <w:t xml:space="preserve">    bandCombination-v1760                    BandCombination-v1760                 </w:t>
      </w:r>
      <w:r w:rsidRPr="00FA0D37">
        <w:rPr>
          <w:color w:val="993366"/>
        </w:rPr>
        <w:t>OPTIONAL</w:t>
      </w:r>
    </w:p>
    <w:p w14:paraId="1FB37AA9" w14:textId="77777777" w:rsidR="009536C4" w:rsidRPr="00FA0D37" w:rsidRDefault="009536C4" w:rsidP="00FA0D37">
      <w:pPr>
        <w:pStyle w:val="PL"/>
      </w:pPr>
      <w:r w:rsidRPr="00FA0D37">
        <w:t>}</w:t>
      </w:r>
    </w:p>
    <w:p w14:paraId="6AEF7015" w14:textId="77777777" w:rsidR="00691952" w:rsidRPr="00FA0D37" w:rsidRDefault="00691952" w:rsidP="00FA0D37">
      <w:pPr>
        <w:pStyle w:val="PL"/>
      </w:pPr>
    </w:p>
    <w:p w14:paraId="707D19B4" w14:textId="77777777" w:rsidR="00394471" w:rsidRPr="00FA0D37" w:rsidRDefault="00394471" w:rsidP="00FA0D37">
      <w:pPr>
        <w:pStyle w:val="PL"/>
      </w:pPr>
      <w:r w:rsidRPr="00FA0D37">
        <w:t xml:space="preserve">ULTxSwitchingBandPair-r16 ::=       </w:t>
      </w:r>
      <w:r w:rsidRPr="00FA0D37">
        <w:rPr>
          <w:color w:val="993366"/>
        </w:rPr>
        <w:t>SEQUENCE</w:t>
      </w:r>
      <w:r w:rsidRPr="00FA0D37">
        <w:t xml:space="preserve"> {</w:t>
      </w:r>
    </w:p>
    <w:p w14:paraId="0A4FEED4" w14:textId="77777777" w:rsidR="00394471" w:rsidRPr="00FA0D37" w:rsidRDefault="00394471" w:rsidP="00FA0D37">
      <w:pPr>
        <w:pStyle w:val="PL"/>
      </w:pPr>
      <w:r w:rsidRPr="00FA0D37">
        <w:t xml:space="preserve">    bandIndexUL1-r16                    </w:t>
      </w:r>
      <w:r w:rsidRPr="00FA0D37">
        <w:rPr>
          <w:color w:val="993366"/>
        </w:rPr>
        <w:t>INTEGER</w:t>
      </w:r>
      <w:r w:rsidRPr="00FA0D37">
        <w:t>(1..maxSimultaneousBands),</w:t>
      </w:r>
    </w:p>
    <w:p w14:paraId="3789FCBB" w14:textId="77777777" w:rsidR="00394471" w:rsidRPr="00FA0D37" w:rsidRDefault="00394471" w:rsidP="00FA0D37">
      <w:pPr>
        <w:pStyle w:val="PL"/>
      </w:pPr>
      <w:r w:rsidRPr="00FA0D37">
        <w:t xml:space="preserve">    bandIndexUL2-r16                    </w:t>
      </w:r>
      <w:r w:rsidRPr="00FA0D37">
        <w:rPr>
          <w:color w:val="993366"/>
        </w:rPr>
        <w:t>INTEGER</w:t>
      </w:r>
      <w:r w:rsidRPr="00FA0D37">
        <w:t>(1..maxSimultaneousBands),</w:t>
      </w:r>
    </w:p>
    <w:p w14:paraId="43B150E0" w14:textId="77777777" w:rsidR="00394471" w:rsidRPr="00FA0D37" w:rsidRDefault="00394471" w:rsidP="00FA0D37">
      <w:pPr>
        <w:pStyle w:val="PL"/>
      </w:pPr>
      <w:r w:rsidRPr="00FA0D37">
        <w:t xml:space="preserve">    uplinkTxSwitchingPeriod-r16         </w:t>
      </w:r>
      <w:r w:rsidRPr="00FA0D37">
        <w:rPr>
          <w:color w:val="993366"/>
        </w:rPr>
        <w:t>ENUMERATED</w:t>
      </w:r>
      <w:r w:rsidRPr="00FA0D37">
        <w:t xml:space="preserve"> {n35us, n140us, n210us},</w:t>
      </w:r>
    </w:p>
    <w:p w14:paraId="04786B09" w14:textId="77777777" w:rsidR="00394471" w:rsidRPr="00FA0D37" w:rsidRDefault="00394471" w:rsidP="00FA0D37">
      <w:pPr>
        <w:pStyle w:val="PL"/>
      </w:pPr>
      <w:r w:rsidRPr="00FA0D37">
        <w:t xml:space="preserve">    uplinkTxSwitching-DL-Interruption-r16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(1..maxSimultaneousBands)) </w:t>
      </w:r>
      <w:r w:rsidRPr="00FA0D37">
        <w:rPr>
          <w:color w:val="993366"/>
        </w:rPr>
        <w:t>OPTIONAL</w:t>
      </w:r>
    </w:p>
    <w:p w14:paraId="1AAEDA97" w14:textId="77777777" w:rsidR="00394471" w:rsidRPr="00FA0D37" w:rsidRDefault="00394471" w:rsidP="00FA0D37">
      <w:pPr>
        <w:pStyle w:val="PL"/>
      </w:pPr>
      <w:r w:rsidRPr="00FA0D37">
        <w:t>}</w:t>
      </w:r>
    </w:p>
    <w:p w14:paraId="2383F041" w14:textId="77777777" w:rsidR="00382CC1" w:rsidRPr="00FA0D37" w:rsidRDefault="00382CC1" w:rsidP="00FA0D37">
      <w:pPr>
        <w:pStyle w:val="PL"/>
      </w:pPr>
    </w:p>
    <w:p w14:paraId="17A4B4B9" w14:textId="5A420772" w:rsidR="00382CC1" w:rsidRPr="00FA0D37" w:rsidRDefault="00382CC1" w:rsidP="00FA0D37">
      <w:pPr>
        <w:pStyle w:val="PL"/>
      </w:pPr>
      <w:r w:rsidRPr="00FA0D37">
        <w:t>ULTxSwitchingBandPair-v17</w:t>
      </w:r>
      <w:r w:rsidR="007A3EA5" w:rsidRPr="00FA0D37">
        <w:t>00</w:t>
      </w:r>
      <w:r w:rsidRPr="00FA0D37">
        <w:t xml:space="preserve"> ::=     </w:t>
      </w:r>
      <w:r w:rsidRPr="00FA0D37">
        <w:rPr>
          <w:color w:val="993366"/>
        </w:rPr>
        <w:t>SEQUENCE</w:t>
      </w:r>
      <w:r w:rsidRPr="00FA0D37">
        <w:t xml:space="preserve"> {</w:t>
      </w:r>
    </w:p>
    <w:p w14:paraId="24B5DF25" w14:textId="412E81A8" w:rsidR="00382CC1" w:rsidRPr="00FA0D37" w:rsidRDefault="00382CC1" w:rsidP="00FA0D37">
      <w:pPr>
        <w:pStyle w:val="PL"/>
      </w:pPr>
      <w:r w:rsidRPr="00FA0D37">
        <w:t xml:space="preserve">    uplinkTxSwitchingPeriod2T2T-r17     </w:t>
      </w:r>
      <w:r w:rsidRPr="00FA0D37">
        <w:rPr>
          <w:color w:val="993366"/>
        </w:rPr>
        <w:t>ENUMERATED</w:t>
      </w:r>
      <w:r w:rsidRPr="00FA0D37">
        <w:t xml:space="preserve"> {n35us, n140us, n210us}     </w:t>
      </w:r>
      <w:r w:rsidRPr="00FA0D37">
        <w:rPr>
          <w:color w:val="993366"/>
        </w:rPr>
        <w:t>OPTIONAL</w:t>
      </w:r>
    </w:p>
    <w:p w14:paraId="703E6249" w14:textId="77777777" w:rsidR="00382CC1" w:rsidRPr="00FA0D37" w:rsidRDefault="00382CC1" w:rsidP="00FA0D37">
      <w:pPr>
        <w:pStyle w:val="PL"/>
      </w:pPr>
      <w:r w:rsidRPr="00FA0D37">
        <w:t>}</w:t>
      </w:r>
    </w:p>
    <w:p w14:paraId="244D6E2D" w14:textId="77777777" w:rsidR="00382CC1" w:rsidRPr="00FA0D37" w:rsidRDefault="00382CC1" w:rsidP="00FA0D37">
      <w:pPr>
        <w:pStyle w:val="PL"/>
      </w:pPr>
    </w:p>
    <w:p w14:paraId="49887E4D" w14:textId="58EDCC6E" w:rsidR="00382CC1" w:rsidRPr="00FA0D37" w:rsidRDefault="00382CC1" w:rsidP="00FA0D37">
      <w:pPr>
        <w:pStyle w:val="PL"/>
      </w:pPr>
      <w:r w:rsidRPr="00FA0D37">
        <w:t>UplinkTxSwitchingBandParameters-v17</w:t>
      </w:r>
      <w:r w:rsidR="007A3EA5" w:rsidRPr="00FA0D37">
        <w:t>00</w:t>
      </w:r>
      <w:r w:rsidRPr="00FA0D37">
        <w:t xml:space="preserve"> ::=       </w:t>
      </w:r>
      <w:r w:rsidRPr="00FA0D37">
        <w:rPr>
          <w:color w:val="993366"/>
        </w:rPr>
        <w:t>SEQUENCE</w:t>
      </w:r>
      <w:r w:rsidRPr="00FA0D37">
        <w:t xml:space="preserve"> {</w:t>
      </w:r>
    </w:p>
    <w:p w14:paraId="14623488" w14:textId="0600731A" w:rsidR="00382CC1" w:rsidRPr="00FA0D37" w:rsidRDefault="00382CC1" w:rsidP="00FA0D37">
      <w:pPr>
        <w:pStyle w:val="PL"/>
      </w:pPr>
      <w:r w:rsidRPr="00FA0D37">
        <w:t xml:space="preserve">    bandIndex-r17                                   </w:t>
      </w:r>
      <w:r w:rsidRPr="00FA0D37">
        <w:rPr>
          <w:color w:val="993366"/>
        </w:rPr>
        <w:t>INTEGER</w:t>
      </w:r>
      <w:r w:rsidRPr="00FA0D37">
        <w:t>(1..maxSimultaneousBands),</w:t>
      </w:r>
    </w:p>
    <w:p w14:paraId="1685EFBE" w14:textId="64A86095" w:rsidR="00382CC1" w:rsidRPr="00FA0D37" w:rsidRDefault="00382CC1" w:rsidP="00FA0D37">
      <w:pPr>
        <w:pStyle w:val="PL"/>
      </w:pPr>
      <w:r w:rsidRPr="00FA0D37">
        <w:t xml:space="preserve">    uplinkTxSwitching2T2T-PUSCH-TransCoherence-r17  </w:t>
      </w:r>
      <w:r w:rsidRPr="00FA0D37">
        <w:rPr>
          <w:color w:val="993366"/>
        </w:rPr>
        <w:t>ENUMERATED</w:t>
      </w:r>
      <w:r w:rsidRPr="00FA0D37">
        <w:t xml:space="preserve"> {nonCoherent, fullCoherent}            </w:t>
      </w:r>
      <w:r w:rsidRPr="00FA0D37">
        <w:rPr>
          <w:color w:val="993366"/>
        </w:rPr>
        <w:t>OPTIONAL</w:t>
      </w:r>
    </w:p>
    <w:p w14:paraId="2B4B178E" w14:textId="77777777" w:rsidR="00382CC1" w:rsidRPr="00FA0D37" w:rsidRDefault="00382CC1" w:rsidP="00FA0D37">
      <w:pPr>
        <w:pStyle w:val="PL"/>
      </w:pPr>
      <w:r w:rsidRPr="00FA0D37">
        <w:t>}</w:t>
      </w:r>
    </w:p>
    <w:p w14:paraId="41048DAD" w14:textId="77777777" w:rsidR="00394471" w:rsidRPr="00FA0D37" w:rsidRDefault="00394471" w:rsidP="00FA0D37">
      <w:pPr>
        <w:pStyle w:val="PL"/>
      </w:pPr>
    </w:p>
    <w:p w14:paraId="66BBEFE0" w14:textId="77777777" w:rsidR="00394471" w:rsidRPr="00FA0D37" w:rsidRDefault="00394471" w:rsidP="00FA0D37">
      <w:pPr>
        <w:pStyle w:val="PL"/>
      </w:pPr>
      <w:r w:rsidRPr="00FA0D37">
        <w:t xml:space="preserve">BandParameters ::=                      </w:t>
      </w:r>
      <w:r w:rsidRPr="00FA0D37">
        <w:rPr>
          <w:color w:val="993366"/>
        </w:rPr>
        <w:t>CHOICE</w:t>
      </w:r>
      <w:r w:rsidRPr="00FA0D37">
        <w:t xml:space="preserve"> {</w:t>
      </w:r>
    </w:p>
    <w:p w14:paraId="52EE4FE5" w14:textId="77777777" w:rsidR="00394471" w:rsidRPr="00FA0D37" w:rsidRDefault="00394471" w:rsidP="00FA0D37">
      <w:pPr>
        <w:pStyle w:val="PL"/>
      </w:pPr>
      <w:r w:rsidRPr="00FA0D37">
        <w:t xml:space="preserve">    eutra                               </w:t>
      </w:r>
      <w:r w:rsidRPr="00FA0D37">
        <w:rPr>
          <w:color w:val="993366"/>
        </w:rPr>
        <w:t>SEQUENCE</w:t>
      </w:r>
      <w:r w:rsidRPr="00FA0D37">
        <w:t xml:space="preserve"> {</w:t>
      </w:r>
    </w:p>
    <w:p w14:paraId="1B7BF722" w14:textId="77777777" w:rsidR="00394471" w:rsidRPr="00FA0D37" w:rsidRDefault="00394471" w:rsidP="00FA0D37">
      <w:pPr>
        <w:pStyle w:val="PL"/>
      </w:pPr>
      <w:r w:rsidRPr="00FA0D37">
        <w:t xml:space="preserve">        bandEUTRA                           FreqBandIndicatorEUTRA,</w:t>
      </w:r>
    </w:p>
    <w:p w14:paraId="7DC49F40" w14:textId="77777777" w:rsidR="00394471" w:rsidRPr="00FA0D37" w:rsidRDefault="00394471" w:rsidP="00FA0D37">
      <w:pPr>
        <w:pStyle w:val="PL"/>
      </w:pPr>
      <w:r w:rsidRPr="00FA0D37">
        <w:lastRenderedPageBreak/>
        <w:t xml:space="preserve">        ca-BandwidthClassDL-EUTRA           CA-BandwidthClassEUTRA                 </w:t>
      </w:r>
      <w:r w:rsidRPr="00FA0D37">
        <w:rPr>
          <w:color w:val="993366"/>
        </w:rPr>
        <w:t>OPTIONAL</w:t>
      </w:r>
      <w:r w:rsidRPr="00FA0D37">
        <w:t>,</w:t>
      </w:r>
    </w:p>
    <w:p w14:paraId="7B1E5A86" w14:textId="77777777" w:rsidR="00394471" w:rsidRPr="00FA0D37" w:rsidRDefault="00394471" w:rsidP="00FA0D37">
      <w:pPr>
        <w:pStyle w:val="PL"/>
      </w:pPr>
      <w:r w:rsidRPr="00FA0D37">
        <w:t xml:space="preserve">        ca-BandwidthClassUL-EUTRA           CA-BandwidthClassEUTRA                 </w:t>
      </w:r>
      <w:r w:rsidRPr="00FA0D37">
        <w:rPr>
          <w:color w:val="993366"/>
        </w:rPr>
        <w:t>OPTIONAL</w:t>
      </w:r>
    </w:p>
    <w:p w14:paraId="5683C5AF" w14:textId="77777777" w:rsidR="00394471" w:rsidRPr="00FA0D37" w:rsidRDefault="00394471" w:rsidP="00FA0D37">
      <w:pPr>
        <w:pStyle w:val="PL"/>
      </w:pPr>
      <w:r w:rsidRPr="00FA0D37">
        <w:t xml:space="preserve">    },</w:t>
      </w:r>
    </w:p>
    <w:p w14:paraId="18439FEC" w14:textId="77777777" w:rsidR="00394471" w:rsidRPr="00FA0D37" w:rsidRDefault="00394471" w:rsidP="00FA0D37">
      <w:pPr>
        <w:pStyle w:val="PL"/>
      </w:pPr>
      <w:r w:rsidRPr="00FA0D37">
        <w:t xml:space="preserve">    nr                                  </w:t>
      </w:r>
      <w:r w:rsidRPr="00FA0D37">
        <w:rPr>
          <w:color w:val="993366"/>
        </w:rPr>
        <w:t>SEQUENCE</w:t>
      </w:r>
      <w:r w:rsidRPr="00FA0D37">
        <w:t xml:space="preserve"> {</w:t>
      </w:r>
    </w:p>
    <w:p w14:paraId="755ACFF0" w14:textId="77777777" w:rsidR="00394471" w:rsidRPr="00FA0D37" w:rsidRDefault="00394471" w:rsidP="00FA0D37">
      <w:pPr>
        <w:pStyle w:val="PL"/>
      </w:pPr>
      <w:r w:rsidRPr="00FA0D37">
        <w:t xml:space="preserve">        bandNR                              FreqBandIndicatorNR,</w:t>
      </w:r>
    </w:p>
    <w:p w14:paraId="37E814A9" w14:textId="77777777" w:rsidR="00394471" w:rsidRPr="00FA0D37" w:rsidRDefault="00394471" w:rsidP="00FA0D37">
      <w:pPr>
        <w:pStyle w:val="PL"/>
      </w:pPr>
      <w:r w:rsidRPr="00FA0D37">
        <w:t xml:space="preserve">        ca-BandwidthClassDL-NR              CA-BandwidthClassNR                    </w:t>
      </w:r>
      <w:r w:rsidRPr="00FA0D37">
        <w:rPr>
          <w:color w:val="993366"/>
        </w:rPr>
        <w:t>OPTIONAL</w:t>
      </w:r>
      <w:r w:rsidRPr="00FA0D37">
        <w:t>,</w:t>
      </w:r>
    </w:p>
    <w:p w14:paraId="5D6D7594" w14:textId="77777777" w:rsidR="00394471" w:rsidRPr="00FA0D37" w:rsidRDefault="00394471" w:rsidP="00FA0D37">
      <w:pPr>
        <w:pStyle w:val="PL"/>
      </w:pPr>
      <w:r w:rsidRPr="00FA0D37">
        <w:t xml:space="preserve">        ca-BandwidthClassUL-NR              CA-BandwidthClassNR                    </w:t>
      </w:r>
      <w:r w:rsidRPr="00FA0D37">
        <w:rPr>
          <w:color w:val="993366"/>
        </w:rPr>
        <w:t>OPTIONAL</w:t>
      </w:r>
    </w:p>
    <w:p w14:paraId="4B4494F8" w14:textId="77777777" w:rsidR="00394471" w:rsidRPr="00FA0D37" w:rsidRDefault="00394471" w:rsidP="00FA0D37">
      <w:pPr>
        <w:pStyle w:val="PL"/>
      </w:pPr>
      <w:r w:rsidRPr="00FA0D37">
        <w:t xml:space="preserve">    }</w:t>
      </w:r>
    </w:p>
    <w:p w14:paraId="2113BEA5" w14:textId="77777777" w:rsidR="00394471" w:rsidRPr="00FA0D37" w:rsidRDefault="00394471" w:rsidP="00FA0D37">
      <w:pPr>
        <w:pStyle w:val="PL"/>
      </w:pPr>
      <w:r w:rsidRPr="00FA0D37">
        <w:t>}</w:t>
      </w:r>
    </w:p>
    <w:p w14:paraId="0D857D89" w14:textId="77777777" w:rsidR="00394471" w:rsidRPr="00FA0D37" w:rsidRDefault="00394471" w:rsidP="00FA0D37">
      <w:pPr>
        <w:pStyle w:val="PL"/>
      </w:pPr>
    </w:p>
    <w:p w14:paraId="552DB015" w14:textId="77777777" w:rsidR="00394471" w:rsidRPr="00FA0D37" w:rsidRDefault="00394471" w:rsidP="00FA0D37">
      <w:pPr>
        <w:pStyle w:val="PL"/>
      </w:pPr>
      <w:r w:rsidRPr="00FA0D37">
        <w:t xml:space="preserve">BandParameters-v1540 ::=            </w:t>
      </w:r>
      <w:r w:rsidRPr="00FA0D37">
        <w:rPr>
          <w:color w:val="993366"/>
        </w:rPr>
        <w:t>SEQUENCE</w:t>
      </w:r>
      <w:r w:rsidRPr="00FA0D37">
        <w:t xml:space="preserve"> {</w:t>
      </w:r>
    </w:p>
    <w:p w14:paraId="54C90220" w14:textId="77777777" w:rsidR="00394471" w:rsidRPr="00FA0D37" w:rsidRDefault="00394471" w:rsidP="00FA0D37">
      <w:pPr>
        <w:pStyle w:val="PL"/>
      </w:pPr>
      <w:r w:rsidRPr="00FA0D37">
        <w:t xml:space="preserve">    srs-CarrierSwitch                   </w:t>
      </w:r>
      <w:r w:rsidRPr="00FA0D37">
        <w:rPr>
          <w:color w:val="993366"/>
        </w:rPr>
        <w:t>CHOICE</w:t>
      </w:r>
      <w:r w:rsidRPr="00FA0D37">
        <w:t xml:space="preserve"> {</w:t>
      </w:r>
    </w:p>
    <w:p w14:paraId="3E636010" w14:textId="77777777" w:rsidR="00394471" w:rsidRPr="00FA0D37" w:rsidRDefault="00394471" w:rsidP="00FA0D37">
      <w:pPr>
        <w:pStyle w:val="PL"/>
      </w:pPr>
      <w:r w:rsidRPr="00FA0D37">
        <w:t xml:space="preserve">        nr                                  </w:t>
      </w:r>
      <w:r w:rsidRPr="00FA0D37">
        <w:rPr>
          <w:color w:val="993366"/>
        </w:rPr>
        <w:t>SEQUENCE</w:t>
      </w:r>
      <w:r w:rsidRPr="00FA0D37">
        <w:t xml:space="preserve"> {</w:t>
      </w:r>
    </w:p>
    <w:p w14:paraId="056928DF" w14:textId="77777777" w:rsidR="00394471" w:rsidRPr="00FA0D37" w:rsidRDefault="00394471" w:rsidP="00FA0D37">
      <w:pPr>
        <w:pStyle w:val="PL"/>
      </w:pPr>
      <w:r w:rsidRPr="00FA0D37">
        <w:t xml:space="preserve">            srs-SwitchingTimesListNR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SRS-SwitchingTimeNR</w:t>
      </w:r>
    </w:p>
    <w:p w14:paraId="2E51AB6F" w14:textId="77777777" w:rsidR="00394471" w:rsidRPr="00FA0D37" w:rsidRDefault="00394471" w:rsidP="00FA0D37">
      <w:pPr>
        <w:pStyle w:val="PL"/>
      </w:pPr>
      <w:r w:rsidRPr="00FA0D37">
        <w:t xml:space="preserve">        },</w:t>
      </w:r>
    </w:p>
    <w:p w14:paraId="0E2A928D" w14:textId="77777777" w:rsidR="00394471" w:rsidRPr="00FA0D37" w:rsidRDefault="00394471" w:rsidP="00FA0D37">
      <w:pPr>
        <w:pStyle w:val="PL"/>
      </w:pPr>
      <w:r w:rsidRPr="00FA0D37">
        <w:t xml:space="preserve">        eutra                               </w:t>
      </w:r>
      <w:r w:rsidRPr="00FA0D37">
        <w:rPr>
          <w:color w:val="993366"/>
        </w:rPr>
        <w:t>SEQUENCE</w:t>
      </w:r>
      <w:r w:rsidRPr="00FA0D37">
        <w:t xml:space="preserve"> {</w:t>
      </w:r>
    </w:p>
    <w:p w14:paraId="1244DACE" w14:textId="77777777" w:rsidR="00394471" w:rsidRPr="00FA0D37" w:rsidRDefault="00394471" w:rsidP="00FA0D37">
      <w:pPr>
        <w:pStyle w:val="PL"/>
      </w:pPr>
      <w:r w:rsidRPr="00FA0D37">
        <w:t xml:space="preserve">            srs-SwitchingTimesListEUTRA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SRS-SwitchingTimeEUTRA</w:t>
      </w:r>
    </w:p>
    <w:p w14:paraId="768AD16C" w14:textId="77777777" w:rsidR="00394471" w:rsidRPr="00FA0D37" w:rsidRDefault="00394471" w:rsidP="00FA0D37">
      <w:pPr>
        <w:pStyle w:val="PL"/>
      </w:pPr>
      <w:r w:rsidRPr="00FA0D37">
        <w:t xml:space="preserve">        }</w:t>
      </w:r>
    </w:p>
    <w:p w14:paraId="46910C1A" w14:textId="77777777" w:rsidR="00394471" w:rsidRPr="00FA0D37" w:rsidRDefault="00394471" w:rsidP="00FA0D37">
      <w:pPr>
        <w:pStyle w:val="PL"/>
      </w:pPr>
      <w:r w:rsidRPr="00FA0D37">
        <w:t xml:space="preserve">    }                                                                              </w:t>
      </w:r>
      <w:r w:rsidRPr="00FA0D37">
        <w:rPr>
          <w:color w:val="993366"/>
        </w:rPr>
        <w:t>OPTIONAL</w:t>
      </w:r>
      <w:r w:rsidRPr="00FA0D37">
        <w:t>,</w:t>
      </w:r>
    </w:p>
    <w:p w14:paraId="458A22A1" w14:textId="77777777" w:rsidR="00394471" w:rsidRPr="00FA0D37" w:rsidRDefault="00394471" w:rsidP="00FA0D37">
      <w:pPr>
        <w:pStyle w:val="PL"/>
      </w:pPr>
      <w:r w:rsidRPr="00FA0D37">
        <w:t xml:space="preserve">    srs-TxSwitch                    </w:t>
      </w:r>
      <w:r w:rsidRPr="00FA0D37">
        <w:rPr>
          <w:color w:val="993366"/>
        </w:rPr>
        <w:t>SEQUENCE</w:t>
      </w:r>
      <w:r w:rsidRPr="00FA0D37">
        <w:t xml:space="preserve"> {</w:t>
      </w:r>
    </w:p>
    <w:p w14:paraId="5F5F4484" w14:textId="77777777" w:rsidR="00394471" w:rsidRPr="00FA0D37" w:rsidRDefault="00394471" w:rsidP="00FA0D37">
      <w:pPr>
        <w:pStyle w:val="PL"/>
      </w:pPr>
      <w:r w:rsidRPr="00FA0D37">
        <w:t xml:space="preserve">        supportedSRS-TxPortSwitch       </w:t>
      </w:r>
      <w:r w:rsidRPr="00FA0D37">
        <w:rPr>
          <w:color w:val="993366"/>
        </w:rPr>
        <w:t>ENUMERATED</w:t>
      </w:r>
      <w:r w:rsidRPr="00FA0D37">
        <w:t xml:space="preserve"> {t1r2, t1r4, t2r4, t1r4-t2r4, t1r1, t2r2, t4r4, notSupported},</w:t>
      </w:r>
    </w:p>
    <w:p w14:paraId="64D46779" w14:textId="77777777" w:rsidR="00394471" w:rsidRPr="00FA0D37" w:rsidRDefault="00394471" w:rsidP="00FA0D37">
      <w:pPr>
        <w:pStyle w:val="PL"/>
      </w:pPr>
      <w:r w:rsidRPr="00FA0D37">
        <w:t xml:space="preserve">        txSwitchImpactToRx              </w:t>
      </w:r>
      <w:r w:rsidRPr="00FA0D37">
        <w:rPr>
          <w:color w:val="993366"/>
        </w:rPr>
        <w:t>INTEGER</w:t>
      </w:r>
      <w:r w:rsidRPr="00FA0D37">
        <w:t xml:space="preserve"> (1..32)                            </w:t>
      </w:r>
      <w:r w:rsidRPr="00FA0D37">
        <w:rPr>
          <w:color w:val="993366"/>
        </w:rPr>
        <w:t>OPTIONAL</w:t>
      </w:r>
      <w:r w:rsidRPr="00FA0D37">
        <w:t>,</w:t>
      </w:r>
    </w:p>
    <w:p w14:paraId="43927FE6" w14:textId="77777777" w:rsidR="00394471" w:rsidRPr="00FA0D37" w:rsidRDefault="00394471" w:rsidP="00FA0D37">
      <w:pPr>
        <w:pStyle w:val="PL"/>
      </w:pPr>
      <w:r w:rsidRPr="00FA0D37">
        <w:t xml:space="preserve">        txSwitchWithAnotherBand         </w:t>
      </w:r>
      <w:r w:rsidRPr="00FA0D37">
        <w:rPr>
          <w:color w:val="993366"/>
        </w:rPr>
        <w:t>INTEGER</w:t>
      </w:r>
      <w:r w:rsidRPr="00FA0D37">
        <w:t xml:space="preserve"> (1..32)                            </w:t>
      </w:r>
      <w:r w:rsidRPr="00FA0D37">
        <w:rPr>
          <w:color w:val="993366"/>
        </w:rPr>
        <w:t>OPTIONAL</w:t>
      </w:r>
    </w:p>
    <w:p w14:paraId="66416674" w14:textId="77777777" w:rsidR="00394471" w:rsidRPr="00FA0D37" w:rsidRDefault="00394471" w:rsidP="00FA0D37">
      <w:pPr>
        <w:pStyle w:val="PL"/>
      </w:pPr>
      <w:r w:rsidRPr="00FA0D37">
        <w:t xml:space="preserve">    }                                                                              </w:t>
      </w:r>
      <w:r w:rsidRPr="00FA0D37">
        <w:rPr>
          <w:color w:val="993366"/>
        </w:rPr>
        <w:t>OPTIONAL</w:t>
      </w:r>
    </w:p>
    <w:p w14:paraId="7604706A" w14:textId="77777777" w:rsidR="00394471" w:rsidRPr="00FA0D37" w:rsidRDefault="00394471" w:rsidP="00FA0D37">
      <w:pPr>
        <w:pStyle w:val="PL"/>
      </w:pPr>
      <w:r w:rsidRPr="00FA0D37">
        <w:t>}</w:t>
      </w:r>
    </w:p>
    <w:p w14:paraId="23599183" w14:textId="77777777" w:rsidR="00394471" w:rsidRPr="00FA0D37" w:rsidRDefault="00394471" w:rsidP="00FA0D37">
      <w:pPr>
        <w:pStyle w:val="PL"/>
      </w:pPr>
    </w:p>
    <w:p w14:paraId="3E3023EF" w14:textId="77777777" w:rsidR="00394471" w:rsidRPr="00FA0D37" w:rsidRDefault="00394471" w:rsidP="00FA0D37">
      <w:pPr>
        <w:pStyle w:val="PL"/>
      </w:pPr>
      <w:r w:rsidRPr="00FA0D37">
        <w:t xml:space="preserve">BandParameters-v1610 ::=         </w:t>
      </w:r>
      <w:r w:rsidRPr="00FA0D37">
        <w:rPr>
          <w:color w:val="993366"/>
        </w:rPr>
        <w:t>SEQUENCE</w:t>
      </w:r>
      <w:r w:rsidRPr="00FA0D37">
        <w:t xml:space="preserve"> {</w:t>
      </w:r>
    </w:p>
    <w:p w14:paraId="57DF5D64" w14:textId="77777777" w:rsidR="00394471" w:rsidRPr="00FA0D37" w:rsidRDefault="00394471" w:rsidP="00FA0D37">
      <w:pPr>
        <w:pStyle w:val="PL"/>
      </w:pPr>
      <w:r w:rsidRPr="00FA0D37">
        <w:t xml:space="preserve">    srs-TxSwitch-v1610               </w:t>
      </w:r>
      <w:r w:rsidRPr="00FA0D37">
        <w:rPr>
          <w:color w:val="993366"/>
        </w:rPr>
        <w:t>SEQUENCE</w:t>
      </w:r>
      <w:r w:rsidRPr="00FA0D37">
        <w:t xml:space="preserve"> {</w:t>
      </w:r>
    </w:p>
    <w:p w14:paraId="2F0EAFCD" w14:textId="77777777" w:rsidR="00394471" w:rsidRPr="00FA0D37" w:rsidRDefault="00394471" w:rsidP="00FA0D37">
      <w:pPr>
        <w:pStyle w:val="PL"/>
      </w:pPr>
      <w:r w:rsidRPr="00FA0D37">
        <w:t xml:space="preserve">        supportedSRS-TxPortSwitch-v1610  </w:t>
      </w:r>
      <w:r w:rsidRPr="00FA0D37">
        <w:rPr>
          <w:color w:val="993366"/>
        </w:rPr>
        <w:t>ENUMERATED</w:t>
      </w:r>
      <w:r w:rsidRPr="00FA0D37">
        <w:t xml:space="preserve"> {t1r1-t1r2, t1r1-t1r2-t1r4, t1r1-t1r2-t2r2-t2r4, t1r1-t1r2-t2r2-t1r4-t2r4,</w:t>
      </w:r>
    </w:p>
    <w:p w14:paraId="617B2995" w14:textId="77777777" w:rsidR="00394471" w:rsidRPr="00FA0D37" w:rsidRDefault="00394471" w:rsidP="00FA0D37">
      <w:pPr>
        <w:pStyle w:val="PL"/>
      </w:pPr>
      <w:r w:rsidRPr="00FA0D37">
        <w:t xml:space="preserve">                                                         t1r1-t2r2, t1r1-t2r2-t4r4}</w:t>
      </w:r>
    </w:p>
    <w:p w14:paraId="4CF7185D" w14:textId="77777777" w:rsidR="00394471" w:rsidRPr="00FA0D37" w:rsidRDefault="00394471" w:rsidP="00FA0D37">
      <w:pPr>
        <w:pStyle w:val="PL"/>
      </w:pPr>
      <w:r w:rsidRPr="00FA0D37">
        <w:t xml:space="preserve">    }                                                                              </w:t>
      </w:r>
      <w:r w:rsidRPr="00FA0D37">
        <w:rPr>
          <w:color w:val="993366"/>
        </w:rPr>
        <w:t>OPTIONAL</w:t>
      </w:r>
    </w:p>
    <w:p w14:paraId="3E6E7C74" w14:textId="0B8633CE" w:rsidR="00394471" w:rsidRPr="00FA0D37" w:rsidRDefault="00394471" w:rsidP="00FA0D37">
      <w:pPr>
        <w:pStyle w:val="PL"/>
      </w:pPr>
      <w:r w:rsidRPr="00FA0D37">
        <w:t>}</w:t>
      </w:r>
    </w:p>
    <w:p w14:paraId="5C3F4B30" w14:textId="77777777" w:rsidR="00473DA7" w:rsidRPr="00FA0D37" w:rsidRDefault="00473DA7" w:rsidP="00FA0D37">
      <w:pPr>
        <w:pStyle w:val="PL"/>
      </w:pPr>
    </w:p>
    <w:p w14:paraId="03344722" w14:textId="53F6D136" w:rsidR="00473DA7" w:rsidRPr="00FA0D37" w:rsidRDefault="00473DA7" w:rsidP="00FA0D37">
      <w:pPr>
        <w:pStyle w:val="PL"/>
      </w:pPr>
      <w:r w:rsidRPr="00FA0D37">
        <w:t>BandParameters-v17</w:t>
      </w:r>
      <w:r w:rsidR="00F84A8C" w:rsidRPr="00FA0D37">
        <w:t>10</w:t>
      </w:r>
      <w:r w:rsidRPr="00FA0D37">
        <w:t xml:space="preserve"> ::=         </w:t>
      </w:r>
      <w:r w:rsidRPr="00FA0D37">
        <w:rPr>
          <w:color w:val="993366"/>
        </w:rPr>
        <w:t>SEQUENCE</w:t>
      </w:r>
      <w:r w:rsidRPr="00FA0D37">
        <w:t xml:space="preserve"> {</w:t>
      </w:r>
    </w:p>
    <w:p w14:paraId="07999CE6" w14:textId="77777777" w:rsidR="00473DA7" w:rsidRPr="00FA0D37" w:rsidRDefault="00473DA7" w:rsidP="00FA0D37">
      <w:pPr>
        <w:pStyle w:val="PL"/>
        <w:rPr>
          <w:color w:val="808080"/>
        </w:rPr>
      </w:pPr>
      <w:r w:rsidRPr="00FA0D37">
        <w:t xml:space="preserve">    </w:t>
      </w:r>
      <w:r w:rsidRPr="00FA0D37">
        <w:rPr>
          <w:color w:val="808080"/>
        </w:rPr>
        <w:t>-- R1 23-8-3</w:t>
      </w:r>
      <w:r w:rsidRPr="00FA0D37">
        <w:rPr>
          <w:color w:val="808080"/>
        </w:rPr>
        <w:tab/>
        <w:t>SRS Antenna switching for &gt;4Rx</w:t>
      </w:r>
    </w:p>
    <w:p w14:paraId="2B24EA37" w14:textId="0C730117" w:rsidR="00473DA7" w:rsidRPr="00FA0D37" w:rsidRDefault="00473DA7" w:rsidP="00FA0D37">
      <w:pPr>
        <w:pStyle w:val="PL"/>
      </w:pPr>
      <w:r w:rsidRPr="00FA0D37">
        <w:t xml:space="preserve">    srs-AntennaSwitchingBeyond4RX-r17                     </w:t>
      </w:r>
      <w:r w:rsidRPr="00FA0D37">
        <w:rPr>
          <w:color w:val="993366"/>
        </w:rPr>
        <w:t>SEQUENCE</w:t>
      </w:r>
      <w:r w:rsidRPr="00FA0D37">
        <w:t xml:space="preserve"> {</w:t>
      </w:r>
    </w:p>
    <w:p w14:paraId="423A1577" w14:textId="77777777" w:rsidR="00473DA7" w:rsidRPr="00FA0D37" w:rsidRDefault="00473DA7" w:rsidP="00FA0D37">
      <w:pPr>
        <w:pStyle w:val="PL"/>
        <w:rPr>
          <w:color w:val="808080"/>
        </w:rPr>
      </w:pPr>
      <w:r w:rsidRPr="00FA0D37">
        <w:t xml:space="preserve">        </w:t>
      </w:r>
      <w:r w:rsidRPr="00FA0D37">
        <w:rPr>
          <w:color w:val="808080"/>
        </w:rPr>
        <w:t>-- 1. Support of SRS antenna switching xTyR with y&gt;4</w:t>
      </w:r>
    </w:p>
    <w:p w14:paraId="49564A7D" w14:textId="4E19729A" w:rsidR="00473DA7" w:rsidRPr="00FA0D37" w:rsidRDefault="00473DA7" w:rsidP="00FA0D37">
      <w:pPr>
        <w:pStyle w:val="PL"/>
      </w:pPr>
      <w:r w:rsidRPr="00FA0D37">
        <w:t xml:space="preserve">        supportedSRS-TxPortSwitchBeyond4Rx-r17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(11)),</w:t>
      </w:r>
    </w:p>
    <w:p w14:paraId="0E746DE3" w14:textId="77777777" w:rsidR="00473DA7" w:rsidRPr="00FA0D37" w:rsidRDefault="00473DA7" w:rsidP="00FA0D37">
      <w:pPr>
        <w:pStyle w:val="PL"/>
        <w:rPr>
          <w:color w:val="808080"/>
        </w:rPr>
      </w:pPr>
      <w:r w:rsidRPr="00FA0D37">
        <w:t xml:space="preserve">        </w:t>
      </w:r>
      <w:r w:rsidRPr="00FA0D37">
        <w:rPr>
          <w:color w:val="808080"/>
        </w:rPr>
        <w:t>-- 2. Report the entry number of the first-listed band with UL in the band combination that affects this DL</w:t>
      </w:r>
    </w:p>
    <w:p w14:paraId="23A85417" w14:textId="4E33C28A" w:rsidR="00473DA7" w:rsidRPr="00FA0D37" w:rsidRDefault="00473DA7" w:rsidP="00FA0D37">
      <w:pPr>
        <w:pStyle w:val="PL"/>
      </w:pPr>
      <w:r w:rsidRPr="00FA0D37">
        <w:t xml:space="preserve">        entryNumberAffectBeyond4Rx-r17                        </w:t>
      </w:r>
      <w:r w:rsidRPr="00FA0D37">
        <w:rPr>
          <w:color w:val="993366"/>
        </w:rPr>
        <w:t>INTEGER</w:t>
      </w:r>
      <w:r w:rsidRPr="00FA0D37">
        <w:t xml:space="preserve"> (1..32)      </w:t>
      </w:r>
      <w:r w:rsidRPr="00FA0D37">
        <w:rPr>
          <w:color w:val="993366"/>
        </w:rPr>
        <w:t>OPTIONAL</w:t>
      </w:r>
      <w:r w:rsidRPr="00FA0D37">
        <w:t>,</w:t>
      </w:r>
    </w:p>
    <w:p w14:paraId="0BAEB9CB" w14:textId="77777777" w:rsidR="00473DA7" w:rsidRPr="00FA0D37" w:rsidRDefault="00473DA7" w:rsidP="00FA0D37">
      <w:pPr>
        <w:pStyle w:val="PL"/>
        <w:rPr>
          <w:color w:val="808080"/>
        </w:rPr>
      </w:pPr>
      <w:r w:rsidRPr="00FA0D37">
        <w:t xml:space="preserve">        </w:t>
      </w:r>
      <w:r w:rsidRPr="00FA0D37">
        <w:rPr>
          <w:color w:val="808080"/>
        </w:rPr>
        <w:t>-- 3. Report the entry number of the first-listed band with UL in the band combination that switches together with this UL</w:t>
      </w:r>
    </w:p>
    <w:p w14:paraId="491A6681" w14:textId="1F73457F" w:rsidR="00473DA7" w:rsidRPr="00FA0D37" w:rsidRDefault="00473DA7" w:rsidP="00FA0D37">
      <w:pPr>
        <w:pStyle w:val="PL"/>
      </w:pPr>
      <w:r w:rsidRPr="00FA0D37">
        <w:t xml:space="preserve">        entryNumberSwitchBeyond4Rx-r17                        </w:t>
      </w:r>
      <w:r w:rsidRPr="00FA0D37">
        <w:rPr>
          <w:color w:val="993366"/>
        </w:rPr>
        <w:t>INTEGER</w:t>
      </w:r>
      <w:r w:rsidRPr="00FA0D37">
        <w:t xml:space="preserve"> (1..32)      </w:t>
      </w:r>
      <w:r w:rsidRPr="00FA0D37">
        <w:rPr>
          <w:color w:val="993366"/>
        </w:rPr>
        <w:t>OPTIONAL</w:t>
      </w:r>
    </w:p>
    <w:p w14:paraId="14DB40D4" w14:textId="751749F8" w:rsidR="00473DA7" w:rsidRPr="00FA0D37" w:rsidRDefault="00473DA7" w:rsidP="00FA0D37">
      <w:pPr>
        <w:pStyle w:val="PL"/>
      </w:pPr>
      <w:r w:rsidRPr="00FA0D37">
        <w:t xml:space="preserve">    }                                                                              </w:t>
      </w:r>
      <w:r w:rsidRPr="00FA0D37">
        <w:rPr>
          <w:color w:val="993366"/>
        </w:rPr>
        <w:t>OPTIONAL</w:t>
      </w:r>
    </w:p>
    <w:p w14:paraId="114DF64E" w14:textId="77777777" w:rsidR="00691952" w:rsidRPr="00FA0D37" w:rsidRDefault="00473DA7" w:rsidP="00FA0D37">
      <w:pPr>
        <w:pStyle w:val="PL"/>
      </w:pPr>
      <w:r w:rsidRPr="00FA0D37">
        <w:t>}</w:t>
      </w:r>
    </w:p>
    <w:p w14:paraId="76EED1EB" w14:textId="77777777" w:rsidR="00691952" w:rsidRPr="00FA0D37" w:rsidRDefault="00691952" w:rsidP="00FA0D37">
      <w:pPr>
        <w:pStyle w:val="PL"/>
      </w:pPr>
    </w:p>
    <w:p w14:paraId="42F81E6E" w14:textId="227D50DC" w:rsidR="00691952" w:rsidRPr="00FA0D37" w:rsidRDefault="00691952" w:rsidP="00FA0D37">
      <w:pPr>
        <w:pStyle w:val="PL"/>
      </w:pPr>
      <w:r w:rsidRPr="00FA0D37">
        <w:t xml:space="preserve">BandParameters-v1730 ::= </w:t>
      </w:r>
      <w:r w:rsidRPr="00FA0D37">
        <w:rPr>
          <w:color w:val="993366"/>
        </w:rPr>
        <w:t>SEQUENCE</w:t>
      </w:r>
      <w:r w:rsidRPr="00FA0D37">
        <w:t xml:space="preserve"> {</w:t>
      </w:r>
    </w:p>
    <w:p w14:paraId="43B437C1" w14:textId="77777777" w:rsidR="00691952" w:rsidRPr="00FA0D37" w:rsidRDefault="00691952" w:rsidP="00FA0D37">
      <w:pPr>
        <w:pStyle w:val="PL"/>
        <w:rPr>
          <w:color w:val="808080"/>
        </w:rPr>
      </w:pPr>
      <w:r w:rsidRPr="00FA0D37">
        <w:t xml:space="preserve">    </w:t>
      </w:r>
      <w:r w:rsidRPr="00FA0D37">
        <w:rPr>
          <w:color w:val="808080"/>
        </w:rPr>
        <w:t>-- R1 39-3-2</w:t>
      </w:r>
      <w:r w:rsidRPr="00FA0D37">
        <w:rPr>
          <w:color w:val="808080"/>
        </w:rPr>
        <w:tab/>
        <w:t>Affected bands for inter-band CA during SRS carrier switching</w:t>
      </w:r>
    </w:p>
    <w:p w14:paraId="73CBC020" w14:textId="20B65CB7" w:rsidR="00691952" w:rsidRPr="00FA0D37" w:rsidRDefault="00691952" w:rsidP="00FA0D37">
      <w:pPr>
        <w:pStyle w:val="PL"/>
      </w:pPr>
      <w:r w:rsidRPr="00FA0D37">
        <w:t xml:space="preserve">    srs-SwitchingAffectedBandsListNR-r17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SRS-SwitchingAffectedBandsNR-r17</w:t>
      </w:r>
    </w:p>
    <w:p w14:paraId="73F28C92" w14:textId="6A9683BC" w:rsidR="00473DA7" w:rsidRPr="00FA0D37" w:rsidRDefault="00691952" w:rsidP="00FA0D37">
      <w:pPr>
        <w:pStyle w:val="PL"/>
      </w:pPr>
      <w:r w:rsidRPr="00FA0D37">
        <w:t>}</w:t>
      </w:r>
    </w:p>
    <w:p w14:paraId="5B8CC6E7" w14:textId="77777777" w:rsidR="00473DA7" w:rsidRPr="00FA0D37" w:rsidRDefault="00473DA7" w:rsidP="00FA0D37">
      <w:pPr>
        <w:pStyle w:val="PL"/>
      </w:pPr>
    </w:p>
    <w:p w14:paraId="2FA951B9" w14:textId="5AB55041" w:rsidR="00394471" w:rsidRPr="00FA0D37" w:rsidRDefault="003E5179" w:rsidP="00FA0D37">
      <w:pPr>
        <w:pStyle w:val="PL"/>
      </w:pPr>
      <w:r w:rsidRPr="00FA0D37">
        <w:t xml:space="preserve">ScalingFactorSidelink-r16 ::=       </w:t>
      </w:r>
      <w:r w:rsidRPr="00FA0D37">
        <w:rPr>
          <w:color w:val="993366"/>
        </w:rPr>
        <w:t>ENUMERATED</w:t>
      </w:r>
      <w:r w:rsidRPr="00FA0D37">
        <w:t xml:space="preserve"> {f0p4, f0p75, f0p8, f1}</w:t>
      </w:r>
    </w:p>
    <w:p w14:paraId="3FB0B480" w14:textId="77777777" w:rsidR="00C07032" w:rsidRPr="00FA0D37" w:rsidRDefault="00C07032" w:rsidP="00FA0D37">
      <w:pPr>
        <w:pStyle w:val="PL"/>
      </w:pPr>
    </w:p>
    <w:p w14:paraId="79097301" w14:textId="7E165057" w:rsidR="00C07032" w:rsidRPr="00FA0D37" w:rsidRDefault="00C07032" w:rsidP="00FA0D37">
      <w:pPr>
        <w:pStyle w:val="PL"/>
      </w:pPr>
      <w:r w:rsidRPr="00FA0D37">
        <w:t xml:space="preserve">IntraBandPowerClass-r16 ::=         </w:t>
      </w:r>
      <w:r w:rsidRPr="00FA0D37">
        <w:rPr>
          <w:color w:val="993366"/>
        </w:rPr>
        <w:t>ENUMERATED</w:t>
      </w:r>
      <w:r w:rsidRPr="00FA0D37">
        <w:t xml:space="preserve"> {pc2, pc3, spare6, spare5, spare4, spare3, spare2, spare1}</w:t>
      </w:r>
    </w:p>
    <w:p w14:paraId="6F69115C" w14:textId="77777777" w:rsidR="00691952" w:rsidRPr="00FA0D37" w:rsidRDefault="00691952" w:rsidP="00FA0D37">
      <w:pPr>
        <w:pStyle w:val="PL"/>
      </w:pPr>
    </w:p>
    <w:p w14:paraId="2CCBE880" w14:textId="77777777" w:rsidR="00691952" w:rsidRPr="00FA0D37" w:rsidRDefault="00691952" w:rsidP="00FA0D37">
      <w:pPr>
        <w:pStyle w:val="PL"/>
      </w:pPr>
      <w:r w:rsidRPr="00FA0D37">
        <w:t xml:space="preserve">SRS-SwitchingAffectedBandsNR-r17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(1..maxSimultaneousBands))</w:t>
      </w:r>
    </w:p>
    <w:p w14:paraId="78D4BED4" w14:textId="77777777" w:rsidR="003E5179" w:rsidRPr="00FA0D37" w:rsidRDefault="003E5179" w:rsidP="00FA0D37">
      <w:pPr>
        <w:pStyle w:val="PL"/>
      </w:pPr>
    </w:p>
    <w:p w14:paraId="0DB0E90C" w14:textId="77777777" w:rsidR="00394471" w:rsidRPr="00FA0D37" w:rsidRDefault="00394471" w:rsidP="00FA0D37">
      <w:pPr>
        <w:pStyle w:val="PL"/>
        <w:rPr>
          <w:color w:val="808080"/>
        </w:rPr>
      </w:pPr>
      <w:r w:rsidRPr="00FA0D37">
        <w:rPr>
          <w:color w:val="808080"/>
        </w:rPr>
        <w:t>-- TAG-BANDCOMBINATIONLIST-STOP</w:t>
      </w:r>
    </w:p>
    <w:p w14:paraId="56E925BC" w14:textId="77777777" w:rsidR="00394471" w:rsidRPr="00FA0D37" w:rsidRDefault="00394471" w:rsidP="00FA0D37">
      <w:pPr>
        <w:pStyle w:val="PL"/>
        <w:rPr>
          <w:color w:val="808080"/>
        </w:rPr>
      </w:pPr>
      <w:r w:rsidRPr="00FA0D37">
        <w:rPr>
          <w:color w:val="808080"/>
        </w:rPr>
        <w:t>-- ASN1STOP</w:t>
      </w:r>
    </w:p>
    <w:p w14:paraId="08311FE7" w14:textId="77777777" w:rsidR="00C07032" w:rsidRPr="00FA0D37" w:rsidRDefault="00C07032" w:rsidP="000830BB"/>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5C7FF4" w:rsidRPr="00FA0D37" w14:paraId="3977E637" w14:textId="77777777" w:rsidTr="00382CC1">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0B6D97" w14:textId="77777777" w:rsidR="00394471" w:rsidRPr="00FA0D37" w:rsidRDefault="00394471" w:rsidP="00964CC4">
            <w:pPr>
              <w:pStyle w:val="TAH"/>
              <w:rPr>
                <w:szCs w:val="22"/>
                <w:lang w:eastAsia="sv-SE"/>
              </w:rPr>
            </w:pPr>
            <w:r w:rsidRPr="00FA0D37">
              <w:rPr>
                <w:i/>
                <w:szCs w:val="22"/>
                <w:lang w:eastAsia="sv-SE"/>
              </w:rPr>
              <w:lastRenderedPageBreak/>
              <w:t xml:space="preserve">BandCombination </w:t>
            </w:r>
            <w:r w:rsidRPr="00FA0D37">
              <w:rPr>
                <w:szCs w:val="22"/>
                <w:lang w:eastAsia="sv-SE"/>
              </w:rPr>
              <w:t>field descriptions</w:t>
            </w:r>
          </w:p>
        </w:tc>
      </w:tr>
      <w:tr w:rsidR="005C7FF4" w:rsidRPr="00FA0D37" w14:paraId="232A580A" w14:textId="77777777" w:rsidTr="00382CC1">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7C793D6" w14:textId="56D9F7A9" w:rsidR="00394471" w:rsidRPr="00FA0D37" w:rsidRDefault="00394471" w:rsidP="00964CC4">
            <w:pPr>
              <w:pStyle w:val="TAL"/>
              <w:rPr>
                <w:b/>
                <w:i/>
                <w:lang w:eastAsia="sv-SE"/>
              </w:rPr>
            </w:pPr>
            <w:r w:rsidRPr="00FA0D37">
              <w:rPr>
                <w:b/>
                <w:i/>
                <w:lang w:eastAsia="sv-SE"/>
              </w:rPr>
              <w:t>BandCombinationList-v1540, BandCombinationList-v1550, BandCombinationList-v1560</w:t>
            </w:r>
            <w:r w:rsidRPr="00FA0D37">
              <w:rPr>
                <w:rFonts w:cs="Arial"/>
                <w:b/>
                <w:i/>
                <w:lang w:eastAsia="sv-SE"/>
              </w:rPr>
              <w:t>, BandCombinationList-v1570, BandCombinationList-v1580</w:t>
            </w:r>
            <w:r w:rsidRPr="00FA0D37">
              <w:rPr>
                <w:b/>
                <w:i/>
                <w:lang w:eastAsia="sv-SE"/>
              </w:rPr>
              <w:t>, BandCombinationList-v1590</w:t>
            </w:r>
            <w:r w:rsidRPr="00FA0D37">
              <w:rPr>
                <w:rFonts w:cs="Arial"/>
                <w:b/>
                <w:i/>
                <w:lang w:eastAsia="sv-SE"/>
              </w:rPr>
              <w:t xml:space="preserve">, </w:t>
            </w:r>
            <w:r w:rsidR="004A773C" w:rsidRPr="00FA0D37">
              <w:rPr>
                <w:b/>
                <w:i/>
                <w:lang w:eastAsia="x-none"/>
              </w:rPr>
              <w:t>BandCombinationList-v15</w:t>
            </w:r>
            <w:r w:rsidR="00EE4C48" w:rsidRPr="00FA0D37">
              <w:rPr>
                <w:b/>
                <w:i/>
                <w:lang w:eastAsia="x-none"/>
              </w:rPr>
              <w:t>g0</w:t>
            </w:r>
            <w:r w:rsidR="004A773C" w:rsidRPr="00FA0D37">
              <w:rPr>
                <w:b/>
                <w:i/>
                <w:lang w:eastAsia="x-none"/>
              </w:rPr>
              <w:t>,</w:t>
            </w:r>
            <w:r w:rsidR="004A773C" w:rsidRPr="00FA0D37">
              <w:rPr>
                <w:rFonts w:cs="Arial"/>
                <w:b/>
                <w:i/>
                <w:lang w:eastAsia="sv-SE"/>
              </w:rPr>
              <w:t xml:space="preserve"> </w:t>
            </w:r>
            <w:r w:rsidR="001B58CB" w:rsidRPr="00FA0D37">
              <w:rPr>
                <w:rFonts w:cs="Arial"/>
                <w:b/>
                <w:i/>
                <w:lang w:eastAsia="sv-SE"/>
              </w:rPr>
              <w:t>BandCombinationList-v15n0</w:t>
            </w:r>
            <w:r w:rsidR="001B58CB" w:rsidRPr="00FA0D37">
              <w:rPr>
                <w:rFonts w:eastAsia="等线" w:cs="Arial" w:hint="eastAsia"/>
                <w:b/>
                <w:i/>
                <w:lang w:eastAsia="zh-CN"/>
              </w:rPr>
              <w:t>,</w:t>
            </w:r>
            <w:r w:rsidR="001B58CB" w:rsidRPr="00FA0D37">
              <w:rPr>
                <w:rFonts w:eastAsia="等线" w:cs="Arial"/>
                <w:b/>
                <w:i/>
                <w:lang w:eastAsia="zh-CN"/>
              </w:rPr>
              <w:t xml:space="preserve"> </w:t>
            </w:r>
            <w:r w:rsidR="00CE32A5" w:rsidRPr="00FA0D37">
              <w:rPr>
                <w:b/>
                <w:bCs/>
                <w:i/>
                <w:iCs/>
                <w:lang w:eastAsia="en-US"/>
              </w:rPr>
              <w:t>BandCombinationList-v1610</w:t>
            </w:r>
            <w:r w:rsidR="00CE32A5" w:rsidRPr="00FA0D37">
              <w:rPr>
                <w:b/>
                <w:bCs/>
                <w:lang w:eastAsia="en-US"/>
              </w:rPr>
              <w:t xml:space="preserve">, </w:t>
            </w:r>
            <w:r w:rsidR="00CE32A5" w:rsidRPr="00FA0D37">
              <w:rPr>
                <w:b/>
                <w:bCs/>
                <w:i/>
                <w:iCs/>
                <w:lang w:eastAsia="en-US"/>
              </w:rPr>
              <w:t>BandCombinationList-v1630</w:t>
            </w:r>
            <w:r w:rsidR="00CE32A5" w:rsidRPr="00FA0D37">
              <w:rPr>
                <w:b/>
                <w:bCs/>
                <w:lang w:eastAsia="en-US"/>
              </w:rPr>
              <w:t xml:space="preserve">, </w:t>
            </w:r>
            <w:r w:rsidR="00CE32A5" w:rsidRPr="00FA0D37">
              <w:rPr>
                <w:b/>
                <w:bCs/>
                <w:i/>
                <w:iCs/>
                <w:lang w:eastAsia="en-US"/>
              </w:rPr>
              <w:t>BandCombinationList-v1640</w:t>
            </w:r>
            <w:r w:rsidR="00CE32A5" w:rsidRPr="00FA0D37">
              <w:rPr>
                <w:b/>
                <w:bCs/>
                <w:lang w:eastAsia="en-US"/>
              </w:rPr>
              <w:t xml:space="preserve">, </w:t>
            </w:r>
            <w:r w:rsidR="00CE32A5" w:rsidRPr="00FA0D37">
              <w:rPr>
                <w:b/>
                <w:bCs/>
                <w:i/>
                <w:iCs/>
                <w:lang w:eastAsia="en-US"/>
              </w:rPr>
              <w:t>BandCombinationList-v1650</w:t>
            </w:r>
            <w:r w:rsidR="00C07032" w:rsidRPr="00FA0D37">
              <w:rPr>
                <w:rFonts w:cs="Arial"/>
                <w:b/>
                <w:i/>
                <w:lang w:eastAsia="sv-SE"/>
              </w:rPr>
              <w:t>, BandCombinationList-v1680</w:t>
            </w:r>
            <w:r w:rsidR="00382CC1" w:rsidRPr="00FA0D37">
              <w:rPr>
                <w:rFonts w:cs="Arial"/>
                <w:b/>
                <w:i/>
                <w:lang w:eastAsia="sv-SE"/>
              </w:rPr>
              <w:t xml:space="preserve">, </w:t>
            </w:r>
            <w:r w:rsidR="005337F6" w:rsidRPr="00FA0D37">
              <w:rPr>
                <w:rFonts w:cs="Arial"/>
                <w:b/>
                <w:i/>
                <w:lang w:eastAsia="sv-SE"/>
              </w:rPr>
              <w:t>BandCombinationList-v1690</w:t>
            </w:r>
            <w:r w:rsidR="00B04F4B" w:rsidRPr="00FA0D37">
              <w:rPr>
                <w:rFonts w:cs="Arial"/>
                <w:b/>
                <w:i/>
                <w:lang w:eastAsia="sv-SE"/>
              </w:rPr>
              <w:t>, BandCombinationList-v16a0</w:t>
            </w:r>
            <w:r w:rsidR="005337F6" w:rsidRPr="00FA0D37">
              <w:rPr>
                <w:rFonts w:cs="Arial"/>
                <w:b/>
                <w:i/>
                <w:lang w:eastAsia="sv-SE"/>
              </w:rPr>
              <w:t xml:space="preserve">, </w:t>
            </w:r>
            <w:r w:rsidR="00382CC1" w:rsidRPr="00FA0D37">
              <w:rPr>
                <w:rFonts w:cs="Arial"/>
                <w:b/>
                <w:i/>
                <w:lang w:eastAsia="sv-SE"/>
              </w:rPr>
              <w:t>BandCombinationList-v1700</w:t>
            </w:r>
            <w:r w:rsidR="00F03826" w:rsidRPr="00FA0D37">
              <w:rPr>
                <w:rFonts w:cs="Arial"/>
                <w:b/>
                <w:i/>
                <w:lang w:eastAsia="sv-SE"/>
              </w:rPr>
              <w:t>, BandCombinationList-v1720</w:t>
            </w:r>
            <w:r w:rsidR="00691952" w:rsidRPr="00FA0D37">
              <w:rPr>
                <w:rFonts w:cs="Arial"/>
                <w:b/>
                <w:i/>
                <w:lang w:eastAsia="sv-SE"/>
              </w:rPr>
              <w:t>, BandCombinationList-v1730</w:t>
            </w:r>
            <w:r w:rsidR="009536C4" w:rsidRPr="00FA0D37">
              <w:rPr>
                <w:rFonts w:cs="Arial"/>
                <w:b/>
                <w:i/>
                <w:lang w:eastAsia="sv-SE"/>
              </w:rPr>
              <w:t>, BandCombinationList-v1760</w:t>
            </w:r>
          </w:p>
          <w:p w14:paraId="4E7F5A00" w14:textId="77777777" w:rsidR="00394471" w:rsidRPr="00FA0D37" w:rsidRDefault="00394471" w:rsidP="00964CC4">
            <w:pPr>
              <w:pStyle w:val="TAL"/>
              <w:rPr>
                <w:lang w:eastAsia="x-none"/>
              </w:rPr>
            </w:pPr>
            <w:r w:rsidRPr="00FA0D37">
              <w:rPr>
                <w:lang w:eastAsia="sv-SE"/>
              </w:rPr>
              <w:t xml:space="preserve">The UE shall include the same number of entries, and listed in the same order, as in </w:t>
            </w:r>
            <w:r w:rsidRPr="00FA0D37">
              <w:rPr>
                <w:i/>
                <w:lang w:eastAsia="sv-SE"/>
              </w:rPr>
              <w:t>BandCombinationList</w:t>
            </w:r>
            <w:r w:rsidRPr="00FA0D37">
              <w:rPr>
                <w:lang w:eastAsia="sv-SE"/>
              </w:rPr>
              <w:t xml:space="preserve"> (without suffix).</w:t>
            </w:r>
            <w:r w:rsidRPr="00FA0D37">
              <w:t xml:space="preserve"> </w:t>
            </w:r>
            <w:r w:rsidRPr="00FA0D37">
              <w:rPr>
                <w:lang w:eastAsia="x-none"/>
              </w:rPr>
              <w:t xml:space="preserve">If the field is included in </w:t>
            </w:r>
            <w:r w:rsidRPr="00FA0D37">
              <w:rPr>
                <w:i/>
                <w:iCs/>
                <w:lang w:eastAsia="x-none"/>
              </w:rPr>
              <w:t>supportedBandCombinationListNEDC-Only-v1610</w:t>
            </w:r>
            <w:r w:rsidRPr="00FA0D37">
              <w:rPr>
                <w:lang w:eastAsia="x-none"/>
              </w:rPr>
              <w:t xml:space="preserve">, the UE shall include the same number of entries, and listed in the same order, as in </w:t>
            </w:r>
            <w:r w:rsidRPr="00FA0D37">
              <w:rPr>
                <w:i/>
                <w:iCs/>
                <w:lang w:eastAsia="x-none"/>
              </w:rPr>
              <w:t>BandCombinationList</w:t>
            </w:r>
            <w:r w:rsidRPr="00FA0D37">
              <w:rPr>
                <w:lang w:eastAsia="x-none"/>
              </w:rPr>
              <w:t xml:space="preserve"> of </w:t>
            </w:r>
            <w:r w:rsidRPr="00FA0D37">
              <w:rPr>
                <w:i/>
                <w:iCs/>
                <w:lang w:eastAsia="x-none"/>
              </w:rPr>
              <w:t xml:space="preserve">supportedBandCombinationListNEDC-Only </w:t>
            </w:r>
            <w:r w:rsidRPr="00FA0D37">
              <w:rPr>
                <w:lang w:eastAsia="x-none"/>
              </w:rPr>
              <w:t>(without suffix) field.</w:t>
            </w:r>
          </w:p>
          <w:p w14:paraId="06AC8300" w14:textId="77777777" w:rsidR="00394471" w:rsidRPr="00FA0D37" w:rsidRDefault="00394471" w:rsidP="00964CC4">
            <w:pPr>
              <w:pStyle w:val="TAL"/>
              <w:rPr>
                <w:lang w:eastAsia="sv-SE"/>
              </w:rPr>
            </w:pPr>
            <w:r w:rsidRPr="00FA0D37">
              <w:rPr>
                <w:lang w:eastAsia="x-none"/>
              </w:rPr>
              <w:t xml:space="preserve">If the field is included in </w:t>
            </w:r>
            <w:r w:rsidRPr="00FA0D37">
              <w:rPr>
                <w:i/>
                <w:lang w:eastAsia="x-none"/>
              </w:rPr>
              <w:t>supportedBandCombinationListNEDC-Only-v15a0</w:t>
            </w:r>
            <w:r w:rsidRPr="00FA0D37">
              <w:rPr>
                <w:lang w:eastAsia="x-none"/>
              </w:rPr>
              <w:t xml:space="preserve">, the UE shall include the same number of entries, and listed in the same order, as in </w:t>
            </w:r>
            <w:r w:rsidRPr="00FA0D37">
              <w:rPr>
                <w:i/>
                <w:lang w:eastAsia="x-none"/>
              </w:rPr>
              <w:t>BandCombinationList</w:t>
            </w:r>
            <w:r w:rsidRPr="00FA0D37">
              <w:rPr>
                <w:lang w:eastAsia="x-none"/>
              </w:rPr>
              <w:t xml:space="preserve"> </w:t>
            </w:r>
            <w:r w:rsidRPr="00FA0D37">
              <w:rPr>
                <w:rFonts w:eastAsia="等线"/>
              </w:rPr>
              <w:t xml:space="preserve">(without suffix) </w:t>
            </w:r>
            <w:r w:rsidRPr="00FA0D37">
              <w:rPr>
                <w:lang w:eastAsia="x-none"/>
              </w:rPr>
              <w:t xml:space="preserve">of </w:t>
            </w:r>
            <w:r w:rsidRPr="00FA0D37">
              <w:rPr>
                <w:i/>
                <w:lang w:eastAsia="x-none"/>
              </w:rPr>
              <w:t>supportedBandCombinationListNEDC-Only</w:t>
            </w:r>
            <w:r w:rsidRPr="00FA0D37">
              <w:rPr>
                <w:lang w:eastAsia="x-none"/>
              </w:rPr>
              <w:t xml:space="preserve"> </w:t>
            </w:r>
            <w:r w:rsidRPr="00FA0D37">
              <w:rPr>
                <w:rFonts w:eastAsia="等线"/>
              </w:rPr>
              <w:t xml:space="preserve">(without suffix) </w:t>
            </w:r>
            <w:r w:rsidRPr="00FA0D37">
              <w:rPr>
                <w:lang w:eastAsia="x-none"/>
              </w:rPr>
              <w:t>field.</w:t>
            </w:r>
          </w:p>
        </w:tc>
      </w:tr>
      <w:tr w:rsidR="005C7FF4" w:rsidRPr="00FA0D37" w14:paraId="6C6DD085" w14:textId="77777777" w:rsidTr="00382CC1">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95F8094" w14:textId="71A101B4" w:rsidR="00382CC1" w:rsidRPr="00FA0D37" w:rsidRDefault="00382CC1" w:rsidP="000830BB">
            <w:pPr>
              <w:pStyle w:val="TAL"/>
              <w:rPr>
                <w:b/>
                <w:bCs/>
                <w:i/>
                <w:iCs/>
                <w:lang w:eastAsia="sv-SE"/>
              </w:rPr>
            </w:pPr>
            <w:r w:rsidRPr="00FA0D37">
              <w:rPr>
                <w:b/>
                <w:bCs/>
                <w:i/>
                <w:iCs/>
                <w:lang w:eastAsia="sv-SE"/>
              </w:rPr>
              <w:t xml:space="preserve">BandCombinationList-UplinkTxSwitch-r16, BandCombinationList-UplinkTxSwitch-v1630, BandCombinationList-UplinkTxSwitch-v1640, BandCombinationList-UplinkTxSwitch-v1650, </w:t>
            </w:r>
            <w:r w:rsidR="005337F6" w:rsidRPr="00FA0D37">
              <w:rPr>
                <w:b/>
                <w:bCs/>
                <w:i/>
                <w:iCs/>
                <w:lang w:eastAsia="sv-SE"/>
              </w:rPr>
              <w:t xml:space="preserve">BandCombinationList-UplinkTxSwitch-v1690, </w:t>
            </w:r>
            <w:r w:rsidR="00973FD9" w:rsidRPr="00FA0D37">
              <w:rPr>
                <w:b/>
                <w:bCs/>
                <w:i/>
                <w:iCs/>
                <w:lang w:eastAsia="sv-SE"/>
              </w:rPr>
              <w:t xml:space="preserve">BandCombinationList-UplinkTxSwitch-v16a0, </w:t>
            </w:r>
            <w:r w:rsidR="001B58CB" w:rsidRPr="00FA0D37">
              <w:rPr>
                <w:b/>
                <w:bCs/>
                <w:i/>
                <w:iCs/>
                <w:lang w:eastAsia="sv-SE"/>
              </w:rPr>
              <w:t xml:space="preserve">BandCombinationList-UplinkTxSwitch-v16e0, </w:t>
            </w:r>
            <w:r w:rsidRPr="00FA0D37">
              <w:rPr>
                <w:b/>
                <w:bCs/>
                <w:i/>
                <w:iCs/>
                <w:lang w:eastAsia="sv-SE"/>
              </w:rPr>
              <w:t>BandCombinationList-UplinkTxSwitch-v1700</w:t>
            </w:r>
            <w:r w:rsidR="00F03826" w:rsidRPr="00FA0D37">
              <w:rPr>
                <w:b/>
                <w:bCs/>
                <w:i/>
                <w:iCs/>
                <w:lang w:eastAsia="sv-SE"/>
              </w:rPr>
              <w:t>, BandCombinationList-UplinkTxSwitch-v1720</w:t>
            </w:r>
            <w:r w:rsidR="00691952" w:rsidRPr="00FA0D37">
              <w:rPr>
                <w:b/>
                <w:bCs/>
                <w:i/>
                <w:iCs/>
                <w:lang w:eastAsia="sv-SE"/>
              </w:rPr>
              <w:t>, BandCombinationList-UplinkTxSwitch-v1730</w:t>
            </w:r>
            <w:r w:rsidR="009536C4" w:rsidRPr="00FA0D37">
              <w:rPr>
                <w:b/>
                <w:bCs/>
                <w:i/>
                <w:iCs/>
                <w:lang w:eastAsia="sv-SE"/>
              </w:rPr>
              <w:t>, BandCombinationList-UplinkTxSwitch-v1760</w:t>
            </w:r>
          </w:p>
          <w:p w14:paraId="4FD480C9" w14:textId="7AA4F87A" w:rsidR="00382CC1" w:rsidRPr="00FA0D37" w:rsidRDefault="00382CC1" w:rsidP="000830BB">
            <w:pPr>
              <w:pStyle w:val="TAL"/>
            </w:pPr>
            <w:r w:rsidRPr="00FA0D37">
              <w:rPr>
                <w:lang w:eastAsia="sv-SE"/>
              </w:rPr>
              <w:t xml:space="preserve">The UE shall include the same number of entries, and listed in the same order, as in </w:t>
            </w:r>
            <w:r w:rsidRPr="00FA0D37">
              <w:rPr>
                <w:i/>
                <w:iCs/>
                <w:lang w:eastAsia="sv-SE"/>
              </w:rPr>
              <w:t>BandCombinationList-UplinkTxSwitch-r16</w:t>
            </w:r>
            <w:r w:rsidRPr="00FA0D37">
              <w:rPr>
                <w:lang w:eastAsia="sv-SE"/>
              </w:rPr>
              <w:t>.</w:t>
            </w:r>
          </w:p>
          <w:p w14:paraId="265D82C0" w14:textId="19908D91" w:rsidR="00382CC1" w:rsidRPr="00FA0D37" w:rsidRDefault="00382CC1" w:rsidP="000830BB">
            <w:pPr>
              <w:pStyle w:val="TAL"/>
              <w:rPr>
                <w:lang w:eastAsia="sv-SE"/>
              </w:rPr>
            </w:pPr>
            <w:r w:rsidRPr="00FA0D37">
              <w:rPr>
                <w:bCs/>
                <w:iCs/>
                <w:szCs w:val="22"/>
                <w:lang w:eastAsia="sv-SE"/>
              </w:rPr>
              <w:t>For the field of</w:t>
            </w:r>
            <w:r w:rsidRPr="00FA0D37">
              <w:rPr>
                <w:bCs/>
                <w:i/>
                <w:szCs w:val="22"/>
                <w:lang w:eastAsia="sv-SE"/>
              </w:rPr>
              <w:t xml:space="preserve"> supportedBandCombinationList-UplinkTxSwitch-v1700</w:t>
            </w:r>
            <w:r w:rsidRPr="00FA0D37">
              <w:rPr>
                <w:bCs/>
                <w:iCs/>
                <w:szCs w:val="22"/>
                <w:lang w:eastAsia="sv-SE"/>
              </w:rPr>
              <w:t xml:space="preserve">, </w:t>
            </w:r>
            <w:r w:rsidRPr="00FA0D37">
              <w:rPr>
                <w:lang w:eastAsia="sv-SE"/>
              </w:rPr>
              <w:t xml:space="preserve">if the UE does not support 2Tx-2Tx switching for a given band combination, the field of </w:t>
            </w:r>
            <w:r w:rsidRPr="00FA0D37">
              <w:rPr>
                <w:bCs/>
                <w:i/>
                <w:szCs w:val="22"/>
                <w:lang w:eastAsia="sv-SE"/>
              </w:rPr>
              <w:t>supportedBandPairListNR-v1700</w:t>
            </w:r>
            <w:r w:rsidRPr="00FA0D37">
              <w:rPr>
                <w:lang w:eastAsia="sv-SE"/>
              </w:rPr>
              <w:t xml:space="preserve"> in the corresponding entry is absent.</w:t>
            </w:r>
          </w:p>
        </w:tc>
      </w:tr>
      <w:tr w:rsidR="005C7FF4" w:rsidRPr="00FA0D37" w14:paraId="7FB2B4AE" w14:textId="77777777" w:rsidTr="00382CC1">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A804496" w14:textId="77777777" w:rsidR="00394471" w:rsidRPr="00FA0D37" w:rsidRDefault="00394471" w:rsidP="00964CC4">
            <w:pPr>
              <w:pStyle w:val="TAL"/>
              <w:rPr>
                <w:b/>
                <w:i/>
                <w:lang w:eastAsia="sv-SE"/>
              </w:rPr>
            </w:pPr>
            <w:r w:rsidRPr="00FA0D37">
              <w:rPr>
                <w:b/>
                <w:i/>
                <w:lang w:eastAsia="sv-SE"/>
              </w:rPr>
              <w:t>ca-ParametersNRDC</w:t>
            </w:r>
          </w:p>
          <w:p w14:paraId="15D3F6E0" w14:textId="77777777" w:rsidR="00394471" w:rsidRPr="00FA0D37" w:rsidRDefault="00394471" w:rsidP="00964CC4">
            <w:pPr>
              <w:pStyle w:val="TAL"/>
              <w:rPr>
                <w:lang w:eastAsia="sv-SE"/>
              </w:rPr>
            </w:pPr>
            <w:r w:rsidRPr="00FA0D37">
              <w:rPr>
                <w:lang w:eastAsia="sv-SE"/>
              </w:rPr>
              <w:t>If the field is included for a band combination in the NR capability container, the field indicates support of NR-DC. Otherwise, the field is absent.</w:t>
            </w:r>
          </w:p>
        </w:tc>
      </w:tr>
      <w:tr w:rsidR="005C7FF4" w:rsidRPr="00FA0D37" w14:paraId="66854A1D" w14:textId="77777777" w:rsidTr="00382CC1">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05CA7817" w14:textId="77777777" w:rsidR="00394471" w:rsidRPr="00FA0D37" w:rsidRDefault="00394471" w:rsidP="00964CC4">
            <w:pPr>
              <w:pStyle w:val="TAL"/>
              <w:rPr>
                <w:b/>
                <w:bCs/>
                <w:i/>
                <w:iCs/>
                <w:lang w:eastAsia="sv-SE"/>
              </w:rPr>
            </w:pPr>
            <w:r w:rsidRPr="00FA0D37">
              <w:rPr>
                <w:b/>
                <w:bCs/>
                <w:i/>
                <w:iCs/>
                <w:lang w:eastAsia="sv-SE"/>
              </w:rPr>
              <w:t>featureSetCombinationDAPS</w:t>
            </w:r>
          </w:p>
          <w:p w14:paraId="436DCE04" w14:textId="77777777" w:rsidR="00394471" w:rsidRPr="00FA0D37" w:rsidRDefault="00394471" w:rsidP="00964CC4">
            <w:pPr>
              <w:pStyle w:val="TAL"/>
              <w:rPr>
                <w:b/>
                <w:i/>
                <w:lang w:eastAsia="sv-SE"/>
              </w:rPr>
            </w:pPr>
            <w:r w:rsidRPr="00FA0D37">
              <w:rPr>
                <w:rFonts w:cs="Arial"/>
                <w:lang w:eastAsia="sv-SE"/>
              </w:rPr>
              <w:t>If this field is present for a band combination, it reports the feature set combination supported for the band combination when any DAPS bearer is configured.</w:t>
            </w:r>
          </w:p>
        </w:tc>
      </w:tr>
      <w:tr w:rsidR="005C7FF4" w:rsidRPr="00FA0D37" w14:paraId="0922B44D" w14:textId="77777777" w:rsidTr="00382CC1">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279327F" w14:textId="77777777" w:rsidR="00394471" w:rsidRPr="00FA0D37" w:rsidRDefault="00394471" w:rsidP="00964CC4">
            <w:pPr>
              <w:pStyle w:val="TAL"/>
              <w:rPr>
                <w:b/>
                <w:i/>
                <w:lang w:eastAsia="sv-SE"/>
              </w:rPr>
            </w:pPr>
            <w:r w:rsidRPr="00FA0D37">
              <w:rPr>
                <w:b/>
                <w:i/>
                <w:lang w:eastAsia="sv-SE"/>
              </w:rPr>
              <w:t>ne-DC-BC</w:t>
            </w:r>
          </w:p>
          <w:p w14:paraId="1E93048F" w14:textId="77777777" w:rsidR="00394471" w:rsidRPr="00FA0D37" w:rsidRDefault="00394471" w:rsidP="00964CC4">
            <w:pPr>
              <w:pStyle w:val="TAL"/>
              <w:rPr>
                <w:lang w:eastAsia="sv-SE"/>
              </w:rPr>
            </w:pPr>
            <w:r w:rsidRPr="00FA0D37">
              <w:rPr>
                <w:lang w:eastAsia="sv-SE"/>
              </w:rPr>
              <w:t>If the field is included for a band combination in the MR-DC capability container, the field indicates support of NE-DC. Otherwise, the field is absent.</w:t>
            </w:r>
          </w:p>
        </w:tc>
      </w:tr>
      <w:tr w:rsidR="005C7FF4" w:rsidRPr="00FA0D37" w14:paraId="0F176C5B" w14:textId="77777777" w:rsidTr="00382CC1">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590EDF65" w14:textId="2A7F848F" w:rsidR="00382CC1" w:rsidRPr="00FA0D37" w:rsidRDefault="00382CC1" w:rsidP="000830BB">
            <w:pPr>
              <w:pStyle w:val="TAL"/>
              <w:rPr>
                <w:b/>
                <w:bCs/>
                <w:i/>
                <w:iCs/>
                <w:lang w:eastAsia="sv-SE"/>
              </w:rPr>
            </w:pPr>
            <w:r w:rsidRPr="00FA0D37">
              <w:rPr>
                <w:b/>
                <w:bCs/>
                <w:i/>
                <w:iCs/>
                <w:lang w:eastAsia="sv-SE"/>
              </w:rPr>
              <w:t>supportedBandPairListNR-r16, supportedBandPairListNR-v1700</w:t>
            </w:r>
          </w:p>
          <w:p w14:paraId="3B202C97" w14:textId="77777777" w:rsidR="00F747EB" w:rsidRPr="00FA0D37" w:rsidRDefault="00382CC1" w:rsidP="000830BB">
            <w:pPr>
              <w:pStyle w:val="TAL"/>
              <w:rPr>
                <w:lang w:eastAsia="sv-SE"/>
              </w:rPr>
            </w:pPr>
            <w:r w:rsidRPr="00FA0D37">
              <w:rPr>
                <w:lang w:eastAsia="sv-SE"/>
              </w:rPr>
              <w:t>Indicates a list of band pair supporting UL Tx switching as defined in TS 38.101-1 [15] for a given band combination.</w:t>
            </w:r>
          </w:p>
          <w:p w14:paraId="66D8357C" w14:textId="5C5B7100" w:rsidR="00382CC1" w:rsidRPr="00FA0D37" w:rsidRDefault="00382CC1" w:rsidP="000830BB">
            <w:pPr>
              <w:pStyle w:val="TAL"/>
              <w:rPr>
                <w:lang w:eastAsia="sv-SE"/>
              </w:rPr>
            </w:pPr>
            <w:r w:rsidRPr="00FA0D37">
              <w:rPr>
                <w:lang w:eastAsia="sv-SE"/>
              </w:rPr>
              <w:t xml:space="preserve">A UE supporting 2Tx-2Tx switching should include both of </w:t>
            </w:r>
            <w:r w:rsidRPr="00FA0D37">
              <w:rPr>
                <w:i/>
                <w:iCs/>
                <w:lang w:eastAsia="sv-SE"/>
              </w:rPr>
              <w:t>supportedBandPairListNR-r16</w:t>
            </w:r>
            <w:r w:rsidRPr="00FA0D37">
              <w:rPr>
                <w:lang w:eastAsia="sv-SE"/>
              </w:rPr>
              <w:t xml:space="preserve"> and </w:t>
            </w:r>
            <w:r w:rsidRPr="00FA0D37">
              <w:rPr>
                <w:i/>
                <w:iCs/>
                <w:lang w:eastAsia="sv-SE"/>
              </w:rPr>
              <w:t>supportedBandPairListNR-v1700</w:t>
            </w:r>
            <w:r w:rsidRPr="00FA0D37">
              <w:rPr>
                <w:lang w:eastAsia="sv-SE"/>
              </w:rPr>
              <w:t xml:space="preserve">. And the UE shall include the same number of entries listed in the same order as in </w:t>
            </w:r>
            <w:r w:rsidRPr="00FA0D37">
              <w:rPr>
                <w:i/>
                <w:iCs/>
                <w:lang w:eastAsia="sv-SE"/>
              </w:rPr>
              <w:t>supportedBandPairListNR-r16</w:t>
            </w:r>
            <w:r w:rsidRPr="00FA0D37">
              <w:rPr>
                <w:lang w:eastAsia="sv-SE"/>
              </w:rPr>
              <w:t>.</w:t>
            </w:r>
          </w:p>
          <w:p w14:paraId="0F88D31B" w14:textId="77777777" w:rsidR="00382CC1" w:rsidRPr="00FA0D37" w:rsidRDefault="00382CC1" w:rsidP="000830BB">
            <w:pPr>
              <w:pStyle w:val="TAL"/>
              <w:rPr>
                <w:lang w:eastAsia="sv-SE"/>
              </w:rPr>
            </w:pPr>
            <w:r w:rsidRPr="00FA0D37">
              <w:rPr>
                <w:lang w:eastAsia="sv-SE"/>
              </w:rPr>
              <w:t xml:space="preserve">If the UE does not support 2Tx-2Tx switching for a given band pair, the field of </w:t>
            </w:r>
            <w:r w:rsidRPr="00FA0D37">
              <w:rPr>
                <w:i/>
                <w:iCs/>
                <w:lang w:eastAsia="sv-SE"/>
              </w:rPr>
              <w:t>uplinkTxSwitchingPeriod2T2T</w:t>
            </w:r>
            <w:r w:rsidRPr="00FA0D37">
              <w:rPr>
                <w:lang w:eastAsia="sv-SE"/>
              </w:rPr>
              <w:t xml:space="preserve"> in the corresponding entry is absent.</w:t>
            </w:r>
          </w:p>
        </w:tc>
      </w:tr>
      <w:tr w:rsidR="005C7FF4" w:rsidRPr="00FA0D37" w14:paraId="3CA26F87" w14:textId="77777777" w:rsidTr="00382CC1">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36B92FE" w14:textId="77777777" w:rsidR="00394471" w:rsidRPr="00FA0D37" w:rsidRDefault="00394471" w:rsidP="00964CC4">
            <w:pPr>
              <w:pStyle w:val="TAL"/>
              <w:rPr>
                <w:b/>
                <w:i/>
                <w:lang w:eastAsia="sv-SE"/>
              </w:rPr>
            </w:pPr>
            <w:r w:rsidRPr="00FA0D37">
              <w:rPr>
                <w:b/>
                <w:i/>
                <w:lang w:eastAsia="sv-SE"/>
              </w:rPr>
              <w:t>srs-SwitchingTimesListNR</w:t>
            </w:r>
          </w:p>
          <w:p w14:paraId="20F2C369" w14:textId="77777777" w:rsidR="00394471" w:rsidRPr="00FA0D37" w:rsidRDefault="00394471" w:rsidP="00964CC4">
            <w:pPr>
              <w:pStyle w:val="TAL"/>
              <w:rPr>
                <w:lang w:eastAsia="sv-SE"/>
              </w:rPr>
            </w:pPr>
            <w:r w:rsidRPr="00FA0D37">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1C3F6245" w14:textId="77777777" w:rsidR="00394471" w:rsidRPr="00FA0D37" w:rsidRDefault="00394471" w:rsidP="00964CC4">
            <w:pPr>
              <w:pStyle w:val="TAL"/>
              <w:ind w:left="284"/>
              <w:rPr>
                <w:rFonts w:cs="Arial"/>
                <w:szCs w:val="18"/>
                <w:lang w:eastAsia="sv-SE"/>
              </w:rPr>
            </w:pPr>
            <w:r w:rsidRPr="00FA0D37">
              <w:rPr>
                <w:rFonts w:cs="Arial"/>
                <w:szCs w:val="18"/>
                <w:lang w:eastAsia="sv-SE"/>
              </w:rPr>
              <w:t>-</w:t>
            </w:r>
            <w:r w:rsidRPr="00FA0D37">
              <w:rPr>
                <w:rFonts w:cs="Arial"/>
                <w:szCs w:val="18"/>
                <w:lang w:eastAsia="sv-SE"/>
              </w:rPr>
              <w:tab/>
              <w:t xml:space="preserve">For the first NR band, the UE shall include the same number of entries for NR bands as in </w:t>
            </w:r>
            <w:r w:rsidRPr="00FA0D37">
              <w:rPr>
                <w:i/>
                <w:lang w:eastAsia="sv-SE"/>
              </w:rPr>
              <w:t>bandList</w:t>
            </w:r>
            <w:r w:rsidRPr="00FA0D37">
              <w:rPr>
                <w:rFonts w:cs="Arial"/>
                <w:szCs w:val="18"/>
                <w:lang w:eastAsia="sv-SE"/>
              </w:rPr>
              <w:t xml:space="preserve">, i.e. first entry corresponds to first NR band in </w:t>
            </w:r>
            <w:r w:rsidRPr="00FA0D37">
              <w:rPr>
                <w:rFonts w:cs="Arial"/>
                <w:i/>
                <w:szCs w:val="18"/>
                <w:lang w:eastAsia="sv-SE"/>
              </w:rPr>
              <w:t>bandList</w:t>
            </w:r>
            <w:r w:rsidRPr="00FA0D37">
              <w:rPr>
                <w:rFonts w:cs="Arial"/>
                <w:szCs w:val="18"/>
                <w:lang w:eastAsia="sv-SE"/>
              </w:rPr>
              <w:t xml:space="preserve"> and so on,</w:t>
            </w:r>
          </w:p>
          <w:p w14:paraId="46A9C3B6" w14:textId="77777777" w:rsidR="00394471" w:rsidRPr="00FA0D37" w:rsidRDefault="00394471" w:rsidP="00964CC4">
            <w:pPr>
              <w:pStyle w:val="TAL"/>
              <w:ind w:left="284"/>
              <w:rPr>
                <w:rFonts w:cs="Arial"/>
                <w:szCs w:val="18"/>
                <w:lang w:eastAsia="sv-SE"/>
              </w:rPr>
            </w:pPr>
            <w:r w:rsidRPr="00FA0D37">
              <w:rPr>
                <w:rFonts w:cs="Arial"/>
                <w:szCs w:val="18"/>
                <w:lang w:eastAsia="sv-SE"/>
              </w:rPr>
              <w:t>-</w:t>
            </w:r>
            <w:r w:rsidRPr="00FA0D37">
              <w:rPr>
                <w:rFonts w:cs="Arial"/>
                <w:szCs w:val="18"/>
                <w:lang w:eastAsia="sv-SE"/>
              </w:rPr>
              <w:tab/>
              <w:t xml:space="preserve">For the second NR band, the UE shall include one entry less, i.e. first entry corresponds to the second NR band in </w:t>
            </w:r>
            <w:r w:rsidRPr="00FA0D37">
              <w:rPr>
                <w:i/>
                <w:lang w:eastAsia="sv-SE"/>
              </w:rPr>
              <w:t>bandList</w:t>
            </w:r>
            <w:r w:rsidRPr="00FA0D37">
              <w:rPr>
                <w:rFonts w:cs="Arial"/>
                <w:szCs w:val="18"/>
                <w:lang w:eastAsia="sv-SE"/>
              </w:rPr>
              <w:t xml:space="preserve"> and so on</w:t>
            </w:r>
          </w:p>
          <w:p w14:paraId="79C6045D" w14:textId="77777777" w:rsidR="00394471" w:rsidRPr="00FA0D37" w:rsidRDefault="00394471" w:rsidP="00964CC4">
            <w:pPr>
              <w:pStyle w:val="TAL"/>
              <w:ind w:left="284"/>
              <w:rPr>
                <w:lang w:eastAsia="sv-SE"/>
              </w:rPr>
            </w:pPr>
            <w:r w:rsidRPr="00FA0D37">
              <w:rPr>
                <w:rFonts w:cs="Arial"/>
                <w:szCs w:val="18"/>
                <w:lang w:eastAsia="sv-SE"/>
              </w:rPr>
              <w:t>-</w:t>
            </w:r>
            <w:r w:rsidRPr="00FA0D37">
              <w:rPr>
                <w:rFonts w:cs="Arial"/>
                <w:szCs w:val="18"/>
                <w:lang w:eastAsia="sv-SE"/>
              </w:rPr>
              <w:tab/>
              <w:t>And so on</w:t>
            </w:r>
          </w:p>
        </w:tc>
      </w:tr>
      <w:tr w:rsidR="005C7FF4" w:rsidRPr="00FA0D37" w14:paraId="6A3F36A5" w14:textId="77777777" w:rsidTr="00382CC1">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E9D5EBE" w14:textId="77777777" w:rsidR="00394471" w:rsidRPr="00FA0D37" w:rsidRDefault="00394471" w:rsidP="00964CC4">
            <w:pPr>
              <w:pStyle w:val="TAL"/>
              <w:rPr>
                <w:b/>
                <w:i/>
                <w:lang w:eastAsia="sv-SE"/>
              </w:rPr>
            </w:pPr>
            <w:r w:rsidRPr="00FA0D37">
              <w:rPr>
                <w:b/>
                <w:i/>
                <w:lang w:eastAsia="sv-SE"/>
              </w:rPr>
              <w:t>srs-SwitchingTimesListEUTRA</w:t>
            </w:r>
          </w:p>
          <w:p w14:paraId="36486A8D" w14:textId="77777777" w:rsidR="00394471" w:rsidRPr="00FA0D37" w:rsidRDefault="00394471" w:rsidP="00964CC4">
            <w:pPr>
              <w:pStyle w:val="TAL"/>
              <w:rPr>
                <w:lang w:eastAsia="sv-SE"/>
              </w:rPr>
            </w:pPr>
            <w:r w:rsidRPr="00FA0D37">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32C80A9" w14:textId="77777777" w:rsidR="00394471" w:rsidRPr="00FA0D37" w:rsidRDefault="00394471" w:rsidP="00964CC4">
            <w:pPr>
              <w:pStyle w:val="TAL"/>
              <w:ind w:left="284"/>
              <w:rPr>
                <w:rFonts w:cs="Arial"/>
                <w:szCs w:val="18"/>
                <w:lang w:eastAsia="sv-SE"/>
              </w:rPr>
            </w:pPr>
            <w:r w:rsidRPr="00FA0D37">
              <w:rPr>
                <w:rFonts w:cs="Arial"/>
                <w:szCs w:val="18"/>
                <w:lang w:eastAsia="sv-SE"/>
              </w:rPr>
              <w:t>-</w:t>
            </w:r>
            <w:r w:rsidRPr="00FA0D37">
              <w:rPr>
                <w:rFonts w:cs="Arial"/>
                <w:szCs w:val="18"/>
                <w:lang w:eastAsia="sv-SE"/>
              </w:rPr>
              <w:tab/>
              <w:t xml:space="preserve">For the first E-UTRA band, the UE shall include the same number of entries for E-UTRA bands as in </w:t>
            </w:r>
            <w:r w:rsidRPr="00FA0D37">
              <w:rPr>
                <w:rFonts w:cs="Arial"/>
                <w:i/>
                <w:szCs w:val="18"/>
                <w:lang w:eastAsia="sv-SE"/>
              </w:rPr>
              <w:t>bandList,</w:t>
            </w:r>
            <w:r w:rsidRPr="00FA0D37">
              <w:rPr>
                <w:rFonts w:cs="Arial"/>
                <w:szCs w:val="18"/>
                <w:lang w:eastAsia="sv-SE"/>
              </w:rPr>
              <w:t xml:space="preserve"> i.e. first entry corresponds to first E-UTRA band in </w:t>
            </w:r>
            <w:r w:rsidRPr="00FA0D37">
              <w:rPr>
                <w:rFonts w:cs="Arial"/>
                <w:i/>
                <w:szCs w:val="18"/>
                <w:lang w:eastAsia="sv-SE"/>
              </w:rPr>
              <w:t>bandList</w:t>
            </w:r>
            <w:r w:rsidRPr="00FA0D37">
              <w:rPr>
                <w:rFonts w:cs="Arial"/>
                <w:szCs w:val="18"/>
                <w:lang w:eastAsia="sv-SE"/>
              </w:rPr>
              <w:t xml:space="preserve"> and so on,</w:t>
            </w:r>
          </w:p>
          <w:p w14:paraId="2D509A47" w14:textId="77777777" w:rsidR="00394471" w:rsidRPr="00FA0D37" w:rsidRDefault="00394471" w:rsidP="00964CC4">
            <w:pPr>
              <w:pStyle w:val="TAL"/>
              <w:ind w:left="284"/>
              <w:rPr>
                <w:rFonts w:cs="Arial"/>
                <w:szCs w:val="18"/>
                <w:lang w:eastAsia="sv-SE"/>
              </w:rPr>
            </w:pPr>
            <w:r w:rsidRPr="00FA0D37">
              <w:rPr>
                <w:rFonts w:cs="Arial"/>
                <w:szCs w:val="18"/>
                <w:lang w:eastAsia="sv-SE"/>
              </w:rPr>
              <w:t>-</w:t>
            </w:r>
            <w:r w:rsidRPr="00FA0D37">
              <w:rPr>
                <w:rFonts w:cs="Arial"/>
                <w:szCs w:val="18"/>
                <w:lang w:eastAsia="sv-SE"/>
              </w:rPr>
              <w:tab/>
              <w:t xml:space="preserve">For the second E-UTRA band, the UE shall include one entry less, i.e. first entry corresponds to the second E-UTRA band in </w:t>
            </w:r>
            <w:r w:rsidRPr="00FA0D37">
              <w:rPr>
                <w:rFonts w:cs="Arial"/>
                <w:i/>
                <w:szCs w:val="18"/>
                <w:lang w:eastAsia="sv-SE"/>
              </w:rPr>
              <w:t>bandList</w:t>
            </w:r>
            <w:r w:rsidRPr="00FA0D37">
              <w:rPr>
                <w:rFonts w:cs="Arial"/>
                <w:szCs w:val="18"/>
                <w:lang w:eastAsia="sv-SE"/>
              </w:rPr>
              <w:t xml:space="preserve"> and so on</w:t>
            </w:r>
          </w:p>
          <w:p w14:paraId="083B6931" w14:textId="77777777" w:rsidR="00394471" w:rsidRPr="00FA0D37" w:rsidRDefault="00394471" w:rsidP="00964CC4">
            <w:pPr>
              <w:pStyle w:val="TAL"/>
              <w:ind w:left="284"/>
              <w:rPr>
                <w:lang w:eastAsia="sv-SE"/>
              </w:rPr>
            </w:pPr>
            <w:r w:rsidRPr="00FA0D37">
              <w:rPr>
                <w:lang w:eastAsia="sv-SE"/>
              </w:rPr>
              <w:t xml:space="preserve"> -</w:t>
            </w:r>
            <w:r w:rsidRPr="00FA0D37">
              <w:rPr>
                <w:lang w:eastAsia="sv-SE"/>
              </w:rPr>
              <w:tab/>
              <w:t>And so on</w:t>
            </w:r>
          </w:p>
        </w:tc>
      </w:tr>
      <w:tr w:rsidR="005C7FF4" w:rsidRPr="00FA0D37" w14:paraId="7DFC4638" w14:textId="77777777" w:rsidTr="00382CC1">
        <w:tc>
          <w:tcPr>
            <w:tcW w:w="14278" w:type="dxa"/>
            <w:gridSpan w:val="2"/>
            <w:tcBorders>
              <w:top w:val="single" w:sz="4" w:space="0" w:color="auto"/>
              <w:left w:val="single" w:sz="4" w:space="0" w:color="auto"/>
              <w:bottom w:val="single" w:sz="4" w:space="0" w:color="auto"/>
              <w:right w:val="single" w:sz="4" w:space="0" w:color="auto"/>
            </w:tcBorders>
            <w:hideMark/>
          </w:tcPr>
          <w:p w14:paraId="16203A7A" w14:textId="77777777" w:rsidR="00394471" w:rsidRPr="00FA0D37" w:rsidRDefault="00394471" w:rsidP="00964CC4">
            <w:pPr>
              <w:pStyle w:val="TAL"/>
              <w:rPr>
                <w:b/>
                <w:bCs/>
                <w:i/>
                <w:iCs/>
              </w:rPr>
            </w:pPr>
            <w:r w:rsidRPr="00FA0D37">
              <w:rPr>
                <w:b/>
                <w:bCs/>
                <w:i/>
                <w:iCs/>
              </w:rPr>
              <w:t>srs-TxSwitch</w:t>
            </w:r>
          </w:p>
          <w:p w14:paraId="6D700853" w14:textId="77777777" w:rsidR="00394471" w:rsidRPr="00FA0D37" w:rsidRDefault="00394471" w:rsidP="00964CC4">
            <w:pPr>
              <w:pStyle w:val="TAL"/>
            </w:pPr>
            <w:r w:rsidRPr="00FA0D37">
              <w:rPr>
                <w:szCs w:val="22"/>
              </w:rPr>
              <w:t xml:space="preserve">Indicates supported SRS antenna switch capability for the associated band. If the UE indicates support of </w:t>
            </w:r>
            <w:r w:rsidRPr="00FA0D37">
              <w:rPr>
                <w:i/>
                <w:szCs w:val="22"/>
              </w:rPr>
              <w:t>SRS-SwitchingTimeNR</w:t>
            </w:r>
            <w:r w:rsidRPr="00FA0D37">
              <w:rPr>
                <w:szCs w:val="22"/>
              </w:rPr>
              <w:t xml:space="preserve">, the UE is allowed to set this field for a band with associated </w:t>
            </w:r>
            <w:r w:rsidRPr="00FA0D37">
              <w:rPr>
                <w:i/>
                <w:iCs/>
                <w:szCs w:val="22"/>
              </w:rPr>
              <w:t>FeatureSetUplinkId</w:t>
            </w:r>
            <w:r w:rsidRPr="00FA0D37">
              <w:rPr>
                <w:szCs w:val="22"/>
              </w:rPr>
              <w:t xml:space="preserve"> set to 0 for SRS carrier switching.</w:t>
            </w:r>
          </w:p>
        </w:tc>
      </w:tr>
      <w:tr w:rsidR="000830BB" w:rsidRPr="00FA0D37" w14:paraId="1ADA4A7E" w14:textId="77777777" w:rsidTr="00382CC1">
        <w:tc>
          <w:tcPr>
            <w:tcW w:w="14278" w:type="dxa"/>
            <w:gridSpan w:val="2"/>
            <w:tcBorders>
              <w:top w:val="single" w:sz="4" w:space="0" w:color="auto"/>
              <w:left w:val="single" w:sz="4" w:space="0" w:color="auto"/>
              <w:bottom w:val="single" w:sz="4" w:space="0" w:color="auto"/>
              <w:right w:val="single" w:sz="4" w:space="0" w:color="auto"/>
            </w:tcBorders>
            <w:hideMark/>
          </w:tcPr>
          <w:p w14:paraId="7EE57D13" w14:textId="30E493FD" w:rsidR="00382CC1" w:rsidRPr="00FA0D37" w:rsidRDefault="00382CC1" w:rsidP="00382CC1">
            <w:pPr>
              <w:pStyle w:val="TAL"/>
              <w:rPr>
                <w:b/>
                <w:bCs/>
                <w:i/>
                <w:iCs/>
              </w:rPr>
            </w:pPr>
            <w:r w:rsidRPr="00FA0D37">
              <w:rPr>
                <w:b/>
                <w:bCs/>
                <w:i/>
                <w:iCs/>
              </w:rPr>
              <w:lastRenderedPageBreak/>
              <w:t>uplinkTxSwitchingBandParametersList-v1700</w:t>
            </w:r>
          </w:p>
          <w:p w14:paraId="44FC3717" w14:textId="77777777" w:rsidR="00382CC1" w:rsidRPr="00FA0D37" w:rsidRDefault="00382CC1" w:rsidP="00382CC1">
            <w:pPr>
              <w:pStyle w:val="TAL"/>
            </w:pPr>
            <w:r w:rsidRPr="00FA0D37">
              <w:t>Indicates a list of per band per band combination capabilities for UL Tx switching.</w:t>
            </w:r>
          </w:p>
        </w:tc>
      </w:tr>
    </w:tbl>
    <w:p w14:paraId="521ECC1A" w14:textId="77777777" w:rsidR="00394471" w:rsidRPr="00FA0D37" w:rsidRDefault="00394471" w:rsidP="00394471"/>
    <w:p w14:paraId="0288E1BB" w14:textId="18F1A66D" w:rsidR="00394471" w:rsidRPr="00FA0D37" w:rsidRDefault="00394471" w:rsidP="00394471">
      <w:pPr>
        <w:pStyle w:val="4"/>
      </w:pPr>
      <w:bookmarkStart w:id="1512" w:name="_Toc60777431"/>
      <w:bookmarkStart w:id="1513" w:name="_Toc146781531"/>
      <w:r w:rsidRPr="00FA0D37">
        <w:t>–</w:t>
      </w:r>
      <w:r w:rsidRPr="00FA0D37">
        <w:tab/>
      </w:r>
      <w:r w:rsidRPr="00FA0D37">
        <w:rPr>
          <w:i/>
          <w:iCs/>
        </w:rPr>
        <w:t>BandCombinationListSidelink</w:t>
      </w:r>
      <w:r w:rsidR="00D027C1" w:rsidRPr="00FA0D37">
        <w:rPr>
          <w:i/>
          <w:iCs/>
        </w:rPr>
        <w:t>EUTRA-NR</w:t>
      </w:r>
      <w:bookmarkEnd w:id="1512"/>
      <w:bookmarkEnd w:id="1513"/>
    </w:p>
    <w:p w14:paraId="58488611" w14:textId="71031A69" w:rsidR="00394471" w:rsidRPr="00FA0D37" w:rsidRDefault="00394471" w:rsidP="00394471">
      <w:r w:rsidRPr="00FA0D37">
        <w:t xml:space="preserve">The IE </w:t>
      </w:r>
      <w:r w:rsidRPr="00FA0D37">
        <w:rPr>
          <w:i/>
        </w:rPr>
        <w:t>BandCombinationListSidelink</w:t>
      </w:r>
      <w:r w:rsidR="00D027C1" w:rsidRPr="00FA0D37">
        <w:rPr>
          <w:i/>
        </w:rPr>
        <w:t>EUTRA-NR</w:t>
      </w:r>
      <w:r w:rsidRPr="00FA0D37">
        <w:t xml:space="preserve"> contains a list of V2X sidelink and NR sidelink band combinations.</w:t>
      </w:r>
    </w:p>
    <w:p w14:paraId="714C30C9" w14:textId="72920EF9" w:rsidR="00394471" w:rsidRPr="00FA0D37" w:rsidRDefault="00394471" w:rsidP="00394471">
      <w:pPr>
        <w:pStyle w:val="TH"/>
      </w:pPr>
      <w:r w:rsidRPr="00FA0D37">
        <w:t>BandCombinationListSidelink</w:t>
      </w:r>
      <w:r w:rsidR="00D027C1" w:rsidRPr="00FA0D37">
        <w:t>EUTRA-NR</w:t>
      </w:r>
      <w:r w:rsidRPr="00FA0D37">
        <w:t xml:space="preserve"> information element</w:t>
      </w:r>
    </w:p>
    <w:p w14:paraId="12F89478" w14:textId="77777777" w:rsidR="00394471" w:rsidRPr="00FA0D37" w:rsidRDefault="00394471" w:rsidP="00FA0D37">
      <w:pPr>
        <w:pStyle w:val="PL"/>
        <w:rPr>
          <w:color w:val="808080"/>
        </w:rPr>
      </w:pPr>
      <w:r w:rsidRPr="00FA0D37">
        <w:rPr>
          <w:color w:val="808080"/>
        </w:rPr>
        <w:t>-- ASN1START</w:t>
      </w:r>
    </w:p>
    <w:p w14:paraId="65648666" w14:textId="4C96CA71" w:rsidR="00394471" w:rsidRPr="00FA0D37" w:rsidRDefault="00394471" w:rsidP="00FA0D37">
      <w:pPr>
        <w:pStyle w:val="PL"/>
        <w:rPr>
          <w:color w:val="808080"/>
        </w:rPr>
      </w:pPr>
      <w:r w:rsidRPr="00FA0D37">
        <w:rPr>
          <w:color w:val="808080"/>
        </w:rPr>
        <w:t>-- TAG-BANDCOMBINATIONLISTSIDELINK</w:t>
      </w:r>
      <w:r w:rsidR="00D027C1" w:rsidRPr="00FA0D37">
        <w:rPr>
          <w:color w:val="808080"/>
        </w:rPr>
        <w:t>EUTRANR</w:t>
      </w:r>
      <w:r w:rsidRPr="00FA0D37">
        <w:rPr>
          <w:color w:val="808080"/>
        </w:rPr>
        <w:t>-START</w:t>
      </w:r>
    </w:p>
    <w:p w14:paraId="5C84E9D8" w14:textId="77777777" w:rsidR="00394471" w:rsidRPr="00FA0D37" w:rsidRDefault="00394471" w:rsidP="00FA0D37">
      <w:pPr>
        <w:pStyle w:val="PL"/>
      </w:pPr>
    </w:p>
    <w:p w14:paraId="37F160A3" w14:textId="77777777" w:rsidR="00394471" w:rsidRPr="00FA0D37" w:rsidRDefault="00394471" w:rsidP="00FA0D37">
      <w:pPr>
        <w:pStyle w:val="PL"/>
      </w:pPr>
      <w:r w:rsidRPr="00FA0D37">
        <w:t xml:space="preserve">BandCombinationListSidelinkEUTRA-NR-r16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BandCombinationParametersSidelinkEUTRA-NR-r16</w:t>
      </w:r>
    </w:p>
    <w:p w14:paraId="42151273" w14:textId="5C78259E" w:rsidR="00394471" w:rsidRPr="00FA0D37" w:rsidRDefault="00394471" w:rsidP="00FA0D37">
      <w:pPr>
        <w:pStyle w:val="PL"/>
      </w:pPr>
    </w:p>
    <w:p w14:paraId="08480966" w14:textId="4F66412F" w:rsidR="00D027C1" w:rsidRPr="00FA0D37" w:rsidRDefault="00D027C1" w:rsidP="00FA0D37">
      <w:pPr>
        <w:pStyle w:val="PL"/>
      </w:pPr>
      <w:r w:rsidRPr="00FA0D37">
        <w:t>BandCombinationListSidelinkEUTRA-NR</w:t>
      </w:r>
      <w:r w:rsidR="003B657B" w:rsidRPr="00FA0D37">
        <w:t>-v1630</w:t>
      </w:r>
      <w:r w:rsidRPr="00FA0D37">
        <w:t xml:space="preserve">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BandCombinationParametersSidelinkEUTRA-NR</w:t>
      </w:r>
      <w:r w:rsidR="003B657B" w:rsidRPr="00FA0D37">
        <w:t>-v1630</w:t>
      </w:r>
    </w:p>
    <w:p w14:paraId="76E142E0" w14:textId="77777777" w:rsidR="00853362" w:rsidRPr="00FA0D37" w:rsidRDefault="00853362" w:rsidP="00FA0D37">
      <w:pPr>
        <w:pStyle w:val="PL"/>
      </w:pPr>
    </w:p>
    <w:p w14:paraId="712A6104" w14:textId="19949817" w:rsidR="00D027C1" w:rsidRPr="00FA0D37" w:rsidRDefault="00853362" w:rsidP="00FA0D37">
      <w:pPr>
        <w:pStyle w:val="PL"/>
      </w:pPr>
      <w:r w:rsidRPr="00FA0D37">
        <w:t xml:space="preserve">BandCombinationListSidelinkEUTRA-NR-v1710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BandCombinationParametersSidelinkEUTRA-NR-v1710</w:t>
      </w:r>
    </w:p>
    <w:p w14:paraId="533C220C" w14:textId="77777777" w:rsidR="00853362" w:rsidRPr="00FA0D37" w:rsidRDefault="00853362" w:rsidP="00FA0D37">
      <w:pPr>
        <w:pStyle w:val="PL"/>
      </w:pPr>
    </w:p>
    <w:p w14:paraId="3D719953" w14:textId="77777777" w:rsidR="00394471" w:rsidRPr="00FA0D37" w:rsidRDefault="00394471" w:rsidP="00FA0D37">
      <w:pPr>
        <w:pStyle w:val="PL"/>
      </w:pPr>
      <w:r w:rsidRPr="00FA0D37">
        <w:t xml:space="preserve">BandCombinationParametersSidelinkEUTRA-NR-r16 ::=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BandParametersSidelinkEUTRA-NR-r16</w:t>
      </w:r>
    </w:p>
    <w:p w14:paraId="2119F51A" w14:textId="77777777" w:rsidR="00D027C1" w:rsidRPr="00FA0D37" w:rsidRDefault="00D027C1" w:rsidP="00FA0D37">
      <w:pPr>
        <w:pStyle w:val="PL"/>
      </w:pPr>
    </w:p>
    <w:p w14:paraId="4A13CCEF" w14:textId="3AD250CF" w:rsidR="00394471" w:rsidRPr="00FA0D37" w:rsidRDefault="00D027C1" w:rsidP="00FA0D37">
      <w:pPr>
        <w:pStyle w:val="PL"/>
      </w:pPr>
      <w:r w:rsidRPr="00FA0D37">
        <w:t>BandCombinationParametersSidelinkEUTRA-NR</w:t>
      </w:r>
      <w:r w:rsidR="003B657B" w:rsidRPr="00FA0D37">
        <w:t>-v1630</w:t>
      </w:r>
      <w:r w:rsidRPr="00FA0D37">
        <w:t xml:space="preserve"> ::=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BandParametersSidelinkEUTRA-NR</w:t>
      </w:r>
      <w:r w:rsidR="003B657B" w:rsidRPr="00FA0D37">
        <w:t>-v1630</w:t>
      </w:r>
    </w:p>
    <w:p w14:paraId="1E7315D1" w14:textId="77777777" w:rsidR="00853362" w:rsidRPr="00FA0D37" w:rsidRDefault="00853362" w:rsidP="00FA0D37">
      <w:pPr>
        <w:pStyle w:val="PL"/>
      </w:pPr>
    </w:p>
    <w:p w14:paraId="608F82B3" w14:textId="02BAAB0E" w:rsidR="00D027C1" w:rsidRPr="00FA0D37" w:rsidRDefault="00853362" w:rsidP="00FA0D37">
      <w:pPr>
        <w:pStyle w:val="PL"/>
      </w:pPr>
      <w:r w:rsidRPr="00FA0D37">
        <w:t xml:space="preserve">BandCombinationParametersSidelinkEUTRA-NR-v1710 ::=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BandParametersSidelinkEUTRA-NR-v1710</w:t>
      </w:r>
    </w:p>
    <w:p w14:paraId="59A16EA2" w14:textId="77777777" w:rsidR="00853362" w:rsidRPr="00FA0D37" w:rsidRDefault="00853362" w:rsidP="00FA0D37">
      <w:pPr>
        <w:pStyle w:val="PL"/>
      </w:pPr>
    </w:p>
    <w:p w14:paraId="74A9C71C" w14:textId="77777777" w:rsidR="00394471" w:rsidRPr="00FA0D37" w:rsidRDefault="00394471" w:rsidP="00FA0D37">
      <w:pPr>
        <w:pStyle w:val="PL"/>
      </w:pPr>
      <w:r w:rsidRPr="00FA0D37">
        <w:t xml:space="preserve">BandParametersSidelinkEUTRA-NR-r16 ::= </w:t>
      </w:r>
      <w:r w:rsidRPr="00FA0D37">
        <w:rPr>
          <w:color w:val="993366"/>
        </w:rPr>
        <w:t>CHOICE</w:t>
      </w:r>
      <w:r w:rsidRPr="00FA0D37">
        <w:t xml:space="preserve"> {</w:t>
      </w:r>
    </w:p>
    <w:p w14:paraId="304878A8" w14:textId="77777777" w:rsidR="00394471" w:rsidRPr="00FA0D37" w:rsidRDefault="00394471" w:rsidP="00FA0D37">
      <w:pPr>
        <w:pStyle w:val="PL"/>
      </w:pPr>
      <w:r w:rsidRPr="00FA0D37">
        <w:t xml:space="preserve">    eutra                                  </w:t>
      </w:r>
      <w:r w:rsidRPr="00FA0D37">
        <w:rPr>
          <w:color w:val="993366"/>
        </w:rPr>
        <w:t>SEQUENCE</w:t>
      </w:r>
      <w:r w:rsidRPr="00FA0D37">
        <w:t xml:space="preserve"> {</w:t>
      </w:r>
    </w:p>
    <w:p w14:paraId="674985B1" w14:textId="77777777" w:rsidR="00394471" w:rsidRPr="00FA0D37" w:rsidRDefault="00394471" w:rsidP="00FA0D37">
      <w:pPr>
        <w:pStyle w:val="PL"/>
      </w:pPr>
      <w:r w:rsidRPr="00FA0D37">
        <w:t xml:space="preserve">        bandParametersSidelinkEUTRA1-r16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0A9ACE24" w14:textId="77777777" w:rsidR="00394471" w:rsidRPr="00FA0D37" w:rsidRDefault="00394471" w:rsidP="00FA0D37">
      <w:pPr>
        <w:pStyle w:val="PL"/>
      </w:pPr>
      <w:r w:rsidRPr="00FA0D37">
        <w:t xml:space="preserve">        bandParametersSidelinkEUTRA2-r16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p>
    <w:p w14:paraId="6FE2F1B3" w14:textId="77777777" w:rsidR="00394471" w:rsidRPr="00FA0D37" w:rsidRDefault="00394471" w:rsidP="00FA0D37">
      <w:pPr>
        <w:pStyle w:val="PL"/>
      </w:pPr>
      <w:r w:rsidRPr="00FA0D37">
        <w:t xml:space="preserve">    },</w:t>
      </w:r>
    </w:p>
    <w:p w14:paraId="705F49D3" w14:textId="77777777" w:rsidR="00394471" w:rsidRPr="00FA0D37" w:rsidRDefault="00394471" w:rsidP="00FA0D37">
      <w:pPr>
        <w:pStyle w:val="PL"/>
      </w:pPr>
      <w:r w:rsidRPr="00FA0D37">
        <w:t xml:space="preserve">    nr                                     </w:t>
      </w:r>
      <w:r w:rsidRPr="00FA0D37">
        <w:rPr>
          <w:color w:val="993366"/>
        </w:rPr>
        <w:t>SEQUENCE</w:t>
      </w:r>
      <w:r w:rsidRPr="00FA0D37">
        <w:t xml:space="preserve"> {</w:t>
      </w:r>
    </w:p>
    <w:p w14:paraId="12A00FC7" w14:textId="77777777" w:rsidR="00394471" w:rsidRPr="00FA0D37" w:rsidRDefault="00394471" w:rsidP="00FA0D37">
      <w:pPr>
        <w:pStyle w:val="PL"/>
      </w:pPr>
      <w:r w:rsidRPr="00FA0D37">
        <w:t xml:space="preserve">        bandParametersSidelinkNR-r16           BandParametersSidelink-r16</w:t>
      </w:r>
    </w:p>
    <w:p w14:paraId="2189FCF8" w14:textId="77777777" w:rsidR="00394471" w:rsidRPr="00FA0D37" w:rsidRDefault="00394471" w:rsidP="00FA0D37">
      <w:pPr>
        <w:pStyle w:val="PL"/>
      </w:pPr>
      <w:r w:rsidRPr="00FA0D37">
        <w:t xml:space="preserve">    }</w:t>
      </w:r>
    </w:p>
    <w:p w14:paraId="3189AB46" w14:textId="77777777" w:rsidR="00D027C1" w:rsidRPr="00FA0D37" w:rsidRDefault="00394471" w:rsidP="00FA0D37">
      <w:pPr>
        <w:pStyle w:val="PL"/>
      </w:pPr>
      <w:r w:rsidRPr="00FA0D37">
        <w:t>}</w:t>
      </w:r>
    </w:p>
    <w:p w14:paraId="433F747E" w14:textId="77777777" w:rsidR="00D027C1" w:rsidRPr="00FA0D37" w:rsidRDefault="00D027C1" w:rsidP="00FA0D37">
      <w:pPr>
        <w:pStyle w:val="PL"/>
      </w:pPr>
    </w:p>
    <w:p w14:paraId="7464ECA6" w14:textId="3C1929DD" w:rsidR="00D027C1" w:rsidRPr="00FA0D37" w:rsidRDefault="00D027C1" w:rsidP="00FA0D37">
      <w:pPr>
        <w:pStyle w:val="PL"/>
      </w:pPr>
      <w:r w:rsidRPr="00FA0D37">
        <w:t>BandParametersSidelinkEUTRA-NR</w:t>
      </w:r>
      <w:r w:rsidR="003B657B" w:rsidRPr="00FA0D37">
        <w:t>-v1630</w:t>
      </w:r>
      <w:r w:rsidRPr="00FA0D37">
        <w:t xml:space="preserve"> ::= </w:t>
      </w:r>
      <w:r w:rsidRPr="00FA0D37">
        <w:rPr>
          <w:color w:val="993366"/>
        </w:rPr>
        <w:t>CHOICE</w:t>
      </w:r>
      <w:r w:rsidRPr="00FA0D37">
        <w:t xml:space="preserve"> {</w:t>
      </w:r>
    </w:p>
    <w:p w14:paraId="5ED78534" w14:textId="0A065C89" w:rsidR="00D027C1" w:rsidRPr="00FA0D37" w:rsidRDefault="00D027C1" w:rsidP="00FA0D37">
      <w:pPr>
        <w:pStyle w:val="PL"/>
      </w:pPr>
      <w:r w:rsidRPr="00FA0D37">
        <w:t xml:space="preserve">    eutra                                    </w:t>
      </w:r>
      <w:r w:rsidRPr="00FA0D37">
        <w:rPr>
          <w:color w:val="993366"/>
        </w:rPr>
        <w:t>NULL</w:t>
      </w:r>
      <w:r w:rsidRPr="00FA0D37">
        <w:t>,</w:t>
      </w:r>
    </w:p>
    <w:p w14:paraId="0D1E011F" w14:textId="6D8AE9B7" w:rsidR="00D027C1" w:rsidRPr="00FA0D37" w:rsidRDefault="00D027C1" w:rsidP="00FA0D37">
      <w:pPr>
        <w:pStyle w:val="PL"/>
      </w:pPr>
      <w:r w:rsidRPr="00FA0D37">
        <w:t xml:space="preserve">    nr                                       </w:t>
      </w:r>
      <w:r w:rsidRPr="00FA0D37">
        <w:rPr>
          <w:color w:val="993366"/>
        </w:rPr>
        <w:t>SEQUENCE</w:t>
      </w:r>
      <w:r w:rsidRPr="00FA0D37">
        <w:t xml:space="preserve"> {</w:t>
      </w:r>
    </w:p>
    <w:p w14:paraId="531DC4F2" w14:textId="0067FC3D" w:rsidR="00D027C1" w:rsidRPr="00FA0D37" w:rsidRDefault="00D027C1" w:rsidP="00FA0D37">
      <w:pPr>
        <w:pStyle w:val="PL"/>
      </w:pPr>
      <w:r w:rsidRPr="00FA0D37">
        <w:t xml:space="preserve">        tx-Sidelink-r16                          </w:t>
      </w:r>
      <w:r w:rsidRPr="00FA0D37">
        <w:rPr>
          <w:color w:val="993366"/>
        </w:rPr>
        <w:t>ENUMERATED</w:t>
      </w:r>
      <w:r w:rsidRPr="00FA0D37">
        <w:t xml:space="preserve"> {supported}                          </w:t>
      </w:r>
      <w:r w:rsidRPr="00FA0D37">
        <w:rPr>
          <w:color w:val="993366"/>
        </w:rPr>
        <w:t>OPTIONAL</w:t>
      </w:r>
      <w:r w:rsidRPr="00FA0D37">
        <w:t>,</w:t>
      </w:r>
    </w:p>
    <w:p w14:paraId="38196B14" w14:textId="2B874B80" w:rsidR="00D027C1" w:rsidRPr="00FA0D37" w:rsidRDefault="00D027C1" w:rsidP="00FA0D37">
      <w:pPr>
        <w:pStyle w:val="PL"/>
      </w:pPr>
      <w:r w:rsidRPr="00FA0D37">
        <w:t xml:space="preserve">        rx-Sidelink-r16                          </w:t>
      </w:r>
      <w:r w:rsidRPr="00FA0D37">
        <w:rPr>
          <w:color w:val="993366"/>
        </w:rPr>
        <w:t>ENUMERATED</w:t>
      </w:r>
      <w:r w:rsidRPr="00FA0D37">
        <w:t xml:space="preserve"> {supported}                          </w:t>
      </w:r>
      <w:r w:rsidRPr="00FA0D37">
        <w:rPr>
          <w:color w:val="993366"/>
        </w:rPr>
        <w:t>OPTIONAL</w:t>
      </w:r>
      <w:r w:rsidRPr="00FA0D37">
        <w:t>,</w:t>
      </w:r>
    </w:p>
    <w:p w14:paraId="422DBF13" w14:textId="0ECC60D7" w:rsidR="00D027C1" w:rsidRPr="00FA0D37" w:rsidRDefault="00D027C1" w:rsidP="00FA0D37">
      <w:pPr>
        <w:pStyle w:val="PL"/>
      </w:pPr>
      <w:r w:rsidRPr="00FA0D37">
        <w:t xml:space="preserve">        sl-CrossCarrierScheduling-r16            </w:t>
      </w:r>
      <w:r w:rsidRPr="00FA0D37">
        <w:rPr>
          <w:color w:val="993366"/>
        </w:rPr>
        <w:t>ENUMERATED</w:t>
      </w:r>
      <w:r w:rsidRPr="00FA0D37">
        <w:t xml:space="preserve"> {supported}                          </w:t>
      </w:r>
      <w:r w:rsidRPr="00FA0D37">
        <w:rPr>
          <w:color w:val="993366"/>
        </w:rPr>
        <w:t>OPTIONAL</w:t>
      </w:r>
    </w:p>
    <w:p w14:paraId="70080973" w14:textId="2C9C384D" w:rsidR="00D027C1" w:rsidRPr="00FA0D37" w:rsidRDefault="00D027C1" w:rsidP="00FA0D37">
      <w:pPr>
        <w:pStyle w:val="PL"/>
      </w:pPr>
      <w:r w:rsidRPr="00FA0D37">
        <w:t xml:space="preserve">    }</w:t>
      </w:r>
    </w:p>
    <w:p w14:paraId="45BA67FF" w14:textId="7F5F80E7" w:rsidR="00394471" w:rsidRPr="00FA0D37" w:rsidRDefault="00D027C1" w:rsidP="00FA0D37">
      <w:pPr>
        <w:pStyle w:val="PL"/>
      </w:pPr>
      <w:r w:rsidRPr="00FA0D37">
        <w:t>}</w:t>
      </w:r>
    </w:p>
    <w:p w14:paraId="2FB4AB9D" w14:textId="77777777" w:rsidR="003E5179" w:rsidRPr="00FA0D37" w:rsidRDefault="003E5179" w:rsidP="00FA0D37">
      <w:pPr>
        <w:pStyle w:val="PL"/>
      </w:pPr>
    </w:p>
    <w:p w14:paraId="750F77F1" w14:textId="5DB17E2C" w:rsidR="00853362" w:rsidRPr="00FA0D37" w:rsidRDefault="00853362" w:rsidP="00FA0D37">
      <w:pPr>
        <w:pStyle w:val="PL"/>
      </w:pPr>
      <w:r w:rsidRPr="00FA0D37">
        <w:t xml:space="preserve">BandParametersSidelinkEUTRA-NR-v1710 ::= </w:t>
      </w:r>
      <w:r w:rsidRPr="00FA0D37">
        <w:rPr>
          <w:color w:val="993366"/>
        </w:rPr>
        <w:t>CHOICE</w:t>
      </w:r>
      <w:r w:rsidRPr="00FA0D37">
        <w:t xml:space="preserve"> {</w:t>
      </w:r>
    </w:p>
    <w:p w14:paraId="6D794126" w14:textId="77777777" w:rsidR="00853362" w:rsidRPr="00FA0D37" w:rsidRDefault="00853362" w:rsidP="00FA0D37">
      <w:pPr>
        <w:pStyle w:val="PL"/>
      </w:pPr>
      <w:r w:rsidRPr="00FA0D37">
        <w:t xml:space="preserve">    eutra                                    </w:t>
      </w:r>
      <w:r w:rsidRPr="00FA0D37">
        <w:rPr>
          <w:color w:val="993366"/>
        </w:rPr>
        <w:t>NULL</w:t>
      </w:r>
      <w:r w:rsidRPr="00FA0D37">
        <w:t>,</w:t>
      </w:r>
    </w:p>
    <w:p w14:paraId="5FC53E85" w14:textId="77777777" w:rsidR="00853362" w:rsidRPr="00FA0D37" w:rsidRDefault="00853362" w:rsidP="00FA0D37">
      <w:pPr>
        <w:pStyle w:val="PL"/>
      </w:pPr>
      <w:r w:rsidRPr="00FA0D37">
        <w:t xml:space="preserve">    nr                                       </w:t>
      </w:r>
      <w:r w:rsidRPr="00FA0D37">
        <w:rPr>
          <w:color w:val="993366"/>
        </w:rPr>
        <w:t>SEQUENCE</w:t>
      </w:r>
      <w:r w:rsidRPr="00FA0D37">
        <w:t xml:space="preserve"> {</w:t>
      </w:r>
    </w:p>
    <w:p w14:paraId="2CFC6DED" w14:textId="1FB99E69" w:rsidR="00853362" w:rsidRPr="00FA0D37" w:rsidRDefault="00977C82" w:rsidP="00FA0D37">
      <w:pPr>
        <w:pStyle w:val="PL"/>
        <w:rPr>
          <w:color w:val="808080"/>
        </w:rPr>
      </w:pPr>
      <w:r w:rsidRPr="00FA0D37">
        <w:t xml:space="preserve">    </w:t>
      </w:r>
      <w:r w:rsidR="00853362" w:rsidRPr="00FA0D37">
        <w:t xml:space="preserve">    </w:t>
      </w:r>
      <w:r w:rsidR="00853362" w:rsidRPr="00FA0D37">
        <w:rPr>
          <w:color w:val="808080"/>
        </w:rPr>
        <w:t>--32-4</w:t>
      </w:r>
    </w:p>
    <w:p w14:paraId="6B11EF5E" w14:textId="511FD445" w:rsidR="00853362" w:rsidRPr="00FA0D37" w:rsidRDefault="00853362" w:rsidP="00FA0D37">
      <w:pPr>
        <w:pStyle w:val="PL"/>
      </w:pPr>
      <w:r w:rsidRPr="00FA0D37">
        <w:t xml:space="preserve">    </w:t>
      </w:r>
      <w:r w:rsidR="00977C82" w:rsidRPr="00FA0D37">
        <w:t xml:space="preserve">    </w:t>
      </w:r>
      <w:r w:rsidRPr="00FA0D37">
        <w:t xml:space="preserve">sl-TransmissionMode2-PartialSensing-r17  </w:t>
      </w:r>
      <w:r w:rsidRPr="00FA0D37">
        <w:rPr>
          <w:color w:val="993366"/>
        </w:rPr>
        <w:t>SEQUENCE</w:t>
      </w:r>
      <w:r w:rsidRPr="00FA0D37">
        <w:t xml:space="preserve"> {</w:t>
      </w:r>
    </w:p>
    <w:p w14:paraId="2A18D3EC" w14:textId="3A1A7966" w:rsidR="00853362" w:rsidRPr="00FA0D37" w:rsidRDefault="00977C82" w:rsidP="00FA0D37">
      <w:pPr>
        <w:pStyle w:val="PL"/>
      </w:pPr>
      <w:r w:rsidRPr="00FA0D37">
        <w:lastRenderedPageBreak/>
        <w:t xml:space="preserve">    </w:t>
      </w:r>
      <w:r w:rsidR="00853362" w:rsidRPr="00FA0D37">
        <w:t xml:space="preserve">        harq-TxProcessModeTwoSidelink-r17        </w:t>
      </w:r>
      <w:r w:rsidR="00853362" w:rsidRPr="00FA0D37">
        <w:rPr>
          <w:color w:val="993366"/>
        </w:rPr>
        <w:t>ENUMERATED</w:t>
      </w:r>
      <w:r w:rsidR="00853362" w:rsidRPr="00FA0D37">
        <w:t xml:space="preserve"> {n8, n16},</w:t>
      </w:r>
    </w:p>
    <w:p w14:paraId="1586D86F" w14:textId="18D89B13" w:rsidR="00853362" w:rsidRPr="00FA0D37" w:rsidRDefault="00853362" w:rsidP="00FA0D37">
      <w:pPr>
        <w:pStyle w:val="PL"/>
      </w:pPr>
      <w:r w:rsidRPr="00FA0D37">
        <w:t xml:space="preserve">        </w:t>
      </w:r>
      <w:r w:rsidR="00977C82" w:rsidRPr="00FA0D37">
        <w:t xml:space="preserve">    </w:t>
      </w:r>
      <w:r w:rsidRPr="00FA0D37">
        <w:t xml:space="preserve">scs-CP-PatternTxSidelinkModeTwo-r17      </w:t>
      </w:r>
      <w:r w:rsidRPr="00FA0D37">
        <w:rPr>
          <w:color w:val="993366"/>
        </w:rPr>
        <w:t>CHOICE</w:t>
      </w:r>
      <w:r w:rsidRPr="00FA0D37">
        <w:t xml:space="preserve"> {</w:t>
      </w:r>
    </w:p>
    <w:p w14:paraId="7129C9AD" w14:textId="17BA8D42" w:rsidR="00853362" w:rsidRPr="00FA0D37" w:rsidRDefault="00853362" w:rsidP="00FA0D37">
      <w:pPr>
        <w:pStyle w:val="PL"/>
      </w:pPr>
      <w:r w:rsidRPr="00FA0D37">
        <w:t xml:space="preserve">    </w:t>
      </w:r>
      <w:r w:rsidR="00977C82" w:rsidRPr="00FA0D37">
        <w:t xml:space="preserve">    </w:t>
      </w:r>
      <w:r w:rsidRPr="00FA0D37">
        <w:t xml:space="preserve">        fr1-r17                                  </w:t>
      </w:r>
      <w:r w:rsidRPr="00FA0D37">
        <w:rPr>
          <w:color w:val="993366"/>
        </w:rPr>
        <w:t>SEQUENCE</w:t>
      </w:r>
      <w:r w:rsidRPr="00FA0D37">
        <w:t xml:space="preserve"> {</w:t>
      </w:r>
    </w:p>
    <w:p w14:paraId="6B2AEA41" w14:textId="6A6142A1" w:rsidR="00853362" w:rsidRPr="00FA0D37" w:rsidRDefault="00977C82" w:rsidP="00FA0D37">
      <w:pPr>
        <w:pStyle w:val="PL"/>
      </w:pPr>
      <w:r w:rsidRPr="00FA0D37">
        <w:t xml:space="preserve">    </w:t>
      </w:r>
      <w:r w:rsidR="00853362" w:rsidRPr="00FA0D37">
        <w:t xml:space="preserve">                scs-15kHz-r17                            </w:t>
      </w:r>
      <w:r w:rsidR="00853362" w:rsidRPr="00FA0D37">
        <w:rPr>
          <w:color w:val="993366"/>
        </w:rPr>
        <w:t>BIT</w:t>
      </w:r>
      <w:r w:rsidR="00853362" w:rsidRPr="00FA0D37">
        <w:t xml:space="preserve"> </w:t>
      </w:r>
      <w:r w:rsidR="00853362" w:rsidRPr="00FA0D37">
        <w:rPr>
          <w:color w:val="993366"/>
        </w:rPr>
        <w:t>STRING</w:t>
      </w:r>
      <w:r w:rsidR="00853362" w:rsidRPr="00FA0D37">
        <w:t xml:space="preserve"> (</w:t>
      </w:r>
      <w:r w:rsidR="00853362" w:rsidRPr="00FA0D37">
        <w:rPr>
          <w:color w:val="993366"/>
        </w:rPr>
        <w:t>SIZE</w:t>
      </w:r>
      <w:r w:rsidR="00853362" w:rsidRPr="00FA0D37">
        <w:t xml:space="preserve"> (16))                </w:t>
      </w:r>
      <w:r w:rsidR="00853362" w:rsidRPr="00FA0D37">
        <w:rPr>
          <w:color w:val="993366"/>
        </w:rPr>
        <w:t>OPTIONAL</w:t>
      </w:r>
      <w:r w:rsidR="00853362" w:rsidRPr="00FA0D37">
        <w:t>,</w:t>
      </w:r>
    </w:p>
    <w:p w14:paraId="6869BBEB" w14:textId="6C6C93A3" w:rsidR="00853362" w:rsidRPr="00FA0D37" w:rsidRDefault="00853362" w:rsidP="00FA0D37">
      <w:pPr>
        <w:pStyle w:val="PL"/>
      </w:pPr>
      <w:r w:rsidRPr="00FA0D37">
        <w:t xml:space="preserve">               </w:t>
      </w:r>
      <w:r w:rsidR="00977C82" w:rsidRPr="00FA0D37">
        <w:t xml:space="preserve">    </w:t>
      </w:r>
      <w:r w:rsidRPr="00FA0D37">
        <w:t xml:space="preserve"> scs-30kHz-r17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3B5B0D66" w14:textId="64BEE152" w:rsidR="00853362" w:rsidRPr="00FA0D37" w:rsidRDefault="00853362" w:rsidP="00FA0D37">
      <w:pPr>
        <w:pStyle w:val="PL"/>
      </w:pPr>
      <w:r w:rsidRPr="00FA0D37">
        <w:t xml:space="preserve">           </w:t>
      </w:r>
      <w:r w:rsidR="00977C82" w:rsidRPr="00FA0D37">
        <w:t xml:space="preserve">    </w:t>
      </w:r>
      <w:r w:rsidRPr="00FA0D37">
        <w:t xml:space="preserve">     scs-60kHz-r17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2F1DD287" w14:textId="5CB52C0A" w:rsidR="00853362" w:rsidRPr="00FA0D37" w:rsidRDefault="00853362" w:rsidP="00FA0D37">
      <w:pPr>
        <w:pStyle w:val="PL"/>
      </w:pPr>
      <w:r w:rsidRPr="00FA0D37">
        <w:t xml:space="preserve">       </w:t>
      </w:r>
      <w:r w:rsidR="00977C82" w:rsidRPr="00FA0D37">
        <w:t xml:space="preserve">    </w:t>
      </w:r>
      <w:r w:rsidRPr="00FA0D37">
        <w:t xml:space="preserve">     },</w:t>
      </w:r>
    </w:p>
    <w:p w14:paraId="26226208" w14:textId="62FED74F" w:rsidR="00853362" w:rsidRPr="00FA0D37" w:rsidRDefault="00853362" w:rsidP="00FA0D37">
      <w:pPr>
        <w:pStyle w:val="PL"/>
      </w:pPr>
      <w:r w:rsidRPr="00FA0D37">
        <w:t xml:space="preserve">   </w:t>
      </w:r>
      <w:r w:rsidR="00977C82" w:rsidRPr="00FA0D37">
        <w:t xml:space="preserve">    </w:t>
      </w:r>
      <w:r w:rsidRPr="00FA0D37">
        <w:t xml:space="preserve">         fr2-r17                                  </w:t>
      </w:r>
      <w:r w:rsidRPr="00FA0D37">
        <w:rPr>
          <w:color w:val="993366"/>
        </w:rPr>
        <w:t>SEQUENCE</w:t>
      </w:r>
      <w:r w:rsidRPr="00FA0D37">
        <w:t xml:space="preserve"> {</w:t>
      </w:r>
    </w:p>
    <w:p w14:paraId="10179058" w14:textId="28A0341C" w:rsidR="00853362" w:rsidRPr="00FA0D37" w:rsidRDefault="00977C82" w:rsidP="00FA0D37">
      <w:pPr>
        <w:pStyle w:val="PL"/>
      </w:pPr>
      <w:r w:rsidRPr="00FA0D37">
        <w:t xml:space="preserve">    </w:t>
      </w:r>
      <w:r w:rsidR="00853362" w:rsidRPr="00FA0D37">
        <w:t xml:space="preserve">                scs-60kHz-r17                            </w:t>
      </w:r>
      <w:r w:rsidR="00853362" w:rsidRPr="00FA0D37">
        <w:rPr>
          <w:color w:val="993366"/>
        </w:rPr>
        <w:t>BIT</w:t>
      </w:r>
      <w:r w:rsidR="00853362" w:rsidRPr="00FA0D37">
        <w:t xml:space="preserve"> </w:t>
      </w:r>
      <w:r w:rsidR="00853362" w:rsidRPr="00FA0D37">
        <w:rPr>
          <w:color w:val="993366"/>
        </w:rPr>
        <w:t>STRING</w:t>
      </w:r>
      <w:r w:rsidR="00853362" w:rsidRPr="00FA0D37">
        <w:t xml:space="preserve"> (</w:t>
      </w:r>
      <w:r w:rsidR="00853362" w:rsidRPr="00FA0D37">
        <w:rPr>
          <w:color w:val="993366"/>
        </w:rPr>
        <w:t>SIZE</w:t>
      </w:r>
      <w:r w:rsidR="00853362" w:rsidRPr="00FA0D37">
        <w:t xml:space="preserve"> (16))                </w:t>
      </w:r>
      <w:r w:rsidR="00853362" w:rsidRPr="00FA0D37">
        <w:rPr>
          <w:color w:val="993366"/>
        </w:rPr>
        <w:t>OPTIONAL</w:t>
      </w:r>
      <w:r w:rsidR="00853362" w:rsidRPr="00FA0D37">
        <w:t>,</w:t>
      </w:r>
    </w:p>
    <w:p w14:paraId="730945B9" w14:textId="012CB001" w:rsidR="00853362" w:rsidRPr="00FA0D37" w:rsidRDefault="00853362" w:rsidP="00FA0D37">
      <w:pPr>
        <w:pStyle w:val="PL"/>
      </w:pPr>
      <w:r w:rsidRPr="00FA0D37">
        <w:t xml:space="preserve">            </w:t>
      </w:r>
      <w:r w:rsidR="00977C82" w:rsidRPr="00FA0D37">
        <w:t xml:space="preserve">    </w:t>
      </w:r>
      <w:r w:rsidRPr="00FA0D37">
        <w:t xml:space="preserve">    scs-120kHz-r17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45C4CE88" w14:textId="7AB5017E" w:rsidR="00853362" w:rsidRPr="00FA0D37" w:rsidRDefault="00853362" w:rsidP="00FA0D37">
      <w:pPr>
        <w:pStyle w:val="PL"/>
      </w:pPr>
      <w:r w:rsidRPr="00FA0D37">
        <w:t xml:space="preserve">        </w:t>
      </w:r>
      <w:r w:rsidR="00977C82" w:rsidRPr="00FA0D37">
        <w:t xml:space="preserve">    </w:t>
      </w:r>
      <w:r w:rsidRPr="00FA0D37">
        <w:t xml:space="preserve">    }</w:t>
      </w:r>
    </w:p>
    <w:p w14:paraId="2A3408DB" w14:textId="1FC52048" w:rsidR="00853362" w:rsidRPr="00FA0D37" w:rsidRDefault="00853362" w:rsidP="00FA0D37">
      <w:pPr>
        <w:pStyle w:val="PL"/>
      </w:pPr>
      <w:r w:rsidRPr="00FA0D37">
        <w:t xml:space="preserve">    </w:t>
      </w:r>
      <w:r w:rsidR="00977C82" w:rsidRPr="00FA0D37">
        <w:t xml:space="preserve">    </w:t>
      </w:r>
      <w:r w:rsidRPr="00FA0D37">
        <w:t xml:space="preserve">    }                                                                                      </w:t>
      </w:r>
      <w:r w:rsidRPr="00FA0D37">
        <w:rPr>
          <w:color w:val="993366"/>
        </w:rPr>
        <w:t>OPTIONAL</w:t>
      </w:r>
      <w:r w:rsidRPr="00FA0D37">
        <w:t>,</w:t>
      </w:r>
    </w:p>
    <w:p w14:paraId="29447E0B" w14:textId="601E574D" w:rsidR="00853362" w:rsidRPr="00FA0D37" w:rsidRDefault="00977C82" w:rsidP="00FA0D37">
      <w:pPr>
        <w:pStyle w:val="PL"/>
      </w:pPr>
      <w:r w:rsidRPr="00FA0D37">
        <w:t xml:space="preserve">    </w:t>
      </w:r>
      <w:r w:rsidR="00853362" w:rsidRPr="00FA0D37">
        <w:t xml:space="preserve">        extendedCP-Mode2PartialSensing-r17           </w:t>
      </w:r>
      <w:r w:rsidR="00853362" w:rsidRPr="00FA0D37">
        <w:rPr>
          <w:color w:val="993366"/>
        </w:rPr>
        <w:t>ENUMERATED</w:t>
      </w:r>
      <w:r w:rsidR="00853362" w:rsidRPr="00FA0D37">
        <w:t xml:space="preserve"> {supported}                    </w:t>
      </w:r>
      <w:r w:rsidR="00853362" w:rsidRPr="00FA0D37">
        <w:rPr>
          <w:color w:val="993366"/>
        </w:rPr>
        <w:t>OPTIONAL</w:t>
      </w:r>
      <w:r w:rsidR="00853362" w:rsidRPr="00FA0D37">
        <w:t>,</w:t>
      </w:r>
    </w:p>
    <w:p w14:paraId="43A44696" w14:textId="18D9417C" w:rsidR="00853362" w:rsidRPr="00FA0D37" w:rsidRDefault="00853362" w:rsidP="00FA0D37">
      <w:pPr>
        <w:pStyle w:val="PL"/>
      </w:pPr>
      <w:r w:rsidRPr="00FA0D37">
        <w:t xml:space="preserve">        </w:t>
      </w:r>
      <w:r w:rsidR="00977C82" w:rsidRPr="00FA0D37">
        <w:t xml:space="preserve">    </w:t>
      </w:r>
      <w:r w:rsidRPr="00FA0D37">
        <w:t xml:space="preserve">dl-openLoopPC-Sidelink-r17                   </w:t>
      </w:r>
      <w:r w:rsidRPr="00FA0D37">
        <w:rPr>
          <w:color w:val="993366"/>
        </w:rPr>
        <w:t>ENUMERATED</w:t>
      </w:r>
      <w:r w:rsidRPr="00FA0D37">
        <w:t xml:space="preserve"> {supported}                    </w:t>
      </w:r>
      <w:r w:rsidRPr="00FA0D37">
        <w:rPr>
          <w:color w:val="993366"/>
        </w:rPr>
        <w:t>OPTIONAL</w:t>
      </w:r>
    </w:p>
    <w:p w14:paraId="1034B320" w14:textId="29A1076A" w:rsidR="00853362" w:rsidRPr="00FA0D37" w:rsidRDefault="00853362" w:rsidP="00FA0D37">
      <w:pPr>
        <w:pStyle w:val="PL"/>
      </w:pPr>
      <w:r w:rsidRPr="00FA0D37">
        <w:t xml:space="preserve">    </w:t>
      </w:r>
      <w:r w:rsidR="00977C82" w:rsidRPr="00FA0D37">
        <w:t xml:space="preserve">    </w:t>
      </w:r>
      <w:r w:rsidRPr="00FA0D37">
        <w:t xml:space="preserve">}                                                                                          </w:t>
      </w:r>
      <w:r w:rsidRPr="00FA0D37">
        <w:rPr>
          <w:color w:val="993366"/>
        </w:rPr>
        <w:t>OPTIONAL</w:t>
      </w:r>
      <w:r w:rsidRPr="00FA0D37">
        <w:t>,</w:t>
      </w:r>
    </w:p>
    <w:p w14:paraId="50C882CE" w14:textId="7A8BACDB" w:rsidR="00853362" w:rsidRPr="00FA0D37" w:rsidRDefault="00977C82" w:rsidP="00FA0D37">
      <w:pPr>
        <w:pStyle w:val="PL"/>
        <w:rPr>
          <w:color w:val="808080"/>
        </w:rPr>
      </w:pPr>
      <w:r w:rsidRPr="00FA0D37">
        <w:t xml:space="preserve">    </w:t>
      </w:r>
      <w:r w:rsidR="00853362" w:rsidRPr="00FA0D37">
        <w:t xml:space="preserve">    </w:t>
      </w:r>
      <w:r w:rsidR="00853362" w:rsidRPr="00FA0D37">
        <w:rPr>
          <w:color w:val="808080"/>
        </w:rPr>
        <w:t>--32-2a:  Receiving NR sidelink of PSFCH</w:t>
      </w:r>
    </w:p>
    <w:p w14:paraId="374EEACF" w14:textId="6B98FC47" w:rsidR="00853362" w:rsidRPr="00FA0D37" w:rsidRDefault="00853362" w:rsidP="00FA0D37">
      <w:pPr>
        <w:pStyle w:val="PL"/>
      </w:pPr>
      <w:r w:rsidRPr="00FA0D37">
        <w:t xml:space="preserve">    </w:t>
      </w:r>
      <w:r w:rsidR="00977C82" w:rsidRPr="00FA0D37">
        <w:t xml:space="preserve">    </w:t>
      </w:r>
      <w:r w:rsidRPr="00FA0D37">
        <w:t xml:space="preserve">rx-sidelinkPSFCH-r17                     </w:t>
      </w:r>
      <w:r w:rsidRPr="00FA0D37">
        <w:rPr>
          <w:color w:val="993366"/>
        </w:rPr>
        <w:t>ENUMERATED</w:t>
      </w:r>
      <w:r w:rsidRPr="00FA0D37">
        <w:t xml:space="preserve"> {n5, n15, n25, n32, n35, n45, n50, n64} </w:t>
      </w:r>
      <w:r w:rsidRPr="00FA0D37">
        <w:rPr>
          <w:color w:val="993366"/>
        </w:rPr>
        <w:t>OPTIONAL</w:t>
      </w:r>
      <w:r w:rsidRPr="00FA0D37">
        <w:t>,</w:t>
      </w:r>
    </w:p>
    <w:p w14:paraId="6992D619" w14:textId="61C2E106" w:rsidR="00853362" w:rsidRPr="00FA0D37" w:rsidRDefault="00977C82" w:rsidP="00FA0D37">
      <w:pPr>
        <w:pStyle w:val="PL"/>
        <w:rPr>
          <w:color w:val="808080"/>
        </w:rPr>
      </w:pPr>
      <w:r w:rsidRPr="00FA0D37">
        <w:t xml:space="preserve">    </w:t>
      </w:r>
      <w:r w:rsidR="00853362" w:rsidRPr="00FA0D37">
        <w:t xml:space="preserve">    </w:t>
      </w:r>
      <w:r w:rsidR="00853362" w:rsidRPr="00FA0D37">
        <w:rPr>
          <w:color w:val="808080"/>
        </w:rPr>
        <w:t>--32-5a-1</w:t>
      </w:r>
    </w:p>
    <w:p w14:paraId="412C6130" w14:textId="0E3E002D" w:rsidR="00853362" w:rsidRPr="00FA0D37" w:rsidRDefault="00853362" w:rsidP="00FA0D37">
      <w:pPr>
        <w:pStyle w:val="PL"/>
      </w:pPr>
      <w:r w:rsidRPr="00FA0D37">
        <w:t xml:space="preserve">    </w:t>
      </w:r>
      <w:r w:rsidR="00977C82" w:rsidRPr="00FA0D37">
        <w:t xml:space="preserve">    </w:t>
      </w:r>
      <w:r w:rsidRPr="00FA0D37">
        <w:t xml:space="preserve">tx-IUC-Scheme1-Mode2Sidelink-r17         </w:t>
      </w:r>
      <w:r w:rsidRPr="00FA0D37">
        <w:rPr>
          <w:color w:val="993366"/>
        </w:rPr>
        <w:t>ENUMERATED</w:t>
      </w:r>
      <w:r w:rsidRPr="00FA0D37">
        <w:t xml:space="preserve"> {supported}                            </w:t>
      </w:r>
      <w:r w:rsidRPr="00FA0D37">
        <w:rPr>
          <w:color w:val="993366"/>
        </w:rPr>
        <w:t>OPTIONAL</w:t>
      </w:r>
      <w:r w:rsidRPr="00FA0D37">
        <w:t>,</w:t>
      </w:r>
    </w:p>
    <w:p w14:paraId="5E993BB0" w14:textId="06238597" w:rsidR="00853362" w:rsidRPr="00FA0D37" w:rsidRDefault="00977C82" w:rsidP="00FA0D37">
      <w:pPr>
        <w:pStyle w:val="PL"/>
        <w:rPr>
          <w:color w:val="808080"/>
        </w:rPr>
      </w:pPr>
      <w:r w:rsidRPr="00FA0D37">
        <w:t xml:space="preserve">    </w:t>
      </w:r>
      <w:r w:rsidR="00853362" w:rsidRPr="00FA0D37">
        <w:t xml:space="preserve">    </w:t>
      </w:r>
      <w:r w:rsidR="00853362" w:rsidRPr="00FA0D37">
        <w:rPr>
          <w:color w:val="808080"/>
        </w:rPr>
        <w:t>--32-5b-1</w:t>
      </w:r>
    </w:p>
    <w:p w14:paraId="3793B331" w14:textId="6F70C5BC" w:rsidR="00853362" w:rsidRPr="00FA0D37" w:rsidRDefault="00853362" w:rsidP="00FA0D37">
      <w:pPr>
        <w:pStyle w:val="PL"/>
      </w:pPr>
      <w:r w:rsidRPr="00FA0D37">
        <w:t xml:space="preserve">    </w:t>
      </w:r>
      <w:r w:rsidR="00977C82" w:rsidRPr="00FA0D37">
        <w:t xml:space="preserve">    </w:t>
      </w:r>
      <w:r w:rsidRPr="00FA0D37">
        <w:t xml:space="preserve">tx-IUC-Scheme2-Mode2Sidelink-r17         </w:t>
      </w:r>
      <w:r w:rsidRPr="00FA0D37">
        <w:rPr>
          <w:color w:val="993366"/>
        </w:rPr>
        <w:t>ENUMERATED</w:t>
      </w:r>
      <w:r w:rsidRPr="00FA0D37">
        <w:t xml:space="preserve"> {n4, n8, n16}                          </w:t>
      </w:r>
      <w:r w:rsidRPr="00FA0D37">
        <w:rPr>
          <w:color w:val="993366"/>
        </w:rPr>
        <w:t>OPTIONAL</w:t>
      </w:r>
    </w:p>
    <w:p w14:paraId="3E1B880B" w14:textId="77777777" w:rsidR="00977C82" w:rsidRPr="00FA0D37" w:rsidRDefault="00977C82" w:rsidP="00FA0D37">
      <w:pPr>
        <w:pStyle w:val="PL"/>
      </w:pPr>
      <w:r w:rsidRPr="00FA0D37">
        <w:t xml:space="preserve">    }</w:t>
      </w:r>
    </w:p>
    <w:p w14:paraId="384E39FD" w14:textId="0B2C5091" w:rsidR="00853362" w:rsidRPr="00FA0D37" w:rsidRDefault="00853362" w:rsidP="00FA0D37">
      <w:pPr>
        <w:pStyle w:val="PL"/>
      </w:pPr>
      <w:r w:rsidRPr="00FA0D37">
        <w:t>}</w:t>
      </w:r>
    </w:p>
    <w:p w14:paraId="6E9ABDD2" w14:textId="77777777" w:rsidR="00853362" w:rsidRPr="00FA0D37" w:rsidRDefault="00853362" w:rsidP="00FA0D37">
      <w:pPr>
        <w:pStyle w:val="PL"/>
      </w:pPr>
    </w:p>
    <w:p w14:paraId="41287695" w14:textId="375FBB21" w:rsidR="003E5179" w:rsidRPr="00FA0D37" w:rsidRDefault="003E5179" w:rsidP="00FA0D37">
      <w:pPr>
        <w:pStyle w:val="PL"/>
      </w:pPr>
      <w:r w:rsidRPr="00FA0D37">
        <w:t xml:space="preserve">BandParametersSidelink-r16 ::= </w:t>
      </w:r>
      <w:r w:rsidRPr="00FA0D37">
        <w:rPr>
          <w:color w:val="993366"/>
        </w:rPr>
        <w:t>SEQUENCE</w:t>
      </w:r>
      <w:r w:rsidRPr="00FA0D37">
        <w:t xml:space="preserve"> {</w:t>
      </w:r>
    </w:p>
    <w:p w14:paraId="485A1615" w14:textId="77777777" w:rsidR="003E5179" w:rsidRPr="00FA0D37" w:rsidRDefault="003E5179" w:rsidP="00FA0D37">
      <w:pPr>
        <w:pStyle w:val="PL"/>
      </w:pPr>
      <w:r w:rsidRPr="00FA0D37">
        <w:t xml:space="preserve">    freqBandSidelink-r16           FreqBandIndicatorNR</w:t>
      </w:r>
    </w:p>
    <w:p w14:paraId="430E094F" w14:textId="77777777" w:rsidR="003E5179" w:rsidRPr="00FA0D37" w:rsidRDefault="003E5179" w:rsidP="00FA0D37">
      <w:pPr>
        <w:pStyle w:val="PL"/>
      </w:pPr>
      <w:r w:rsidRPr="00FA0D37">
        <w:t>}</w:t>
      </w:r>
    </w:p>
    <w:p w14:paraId="1B347A6E" w14:textId="77777777" w:rsidR="00394471" w:rsidRPr="00FA0D37" w:rsidRDefault="00394471" w:rsidP="00FA0D37">
      <w:pPr>
        <w:pStyle w:val="PL"/>
      </w:pPr>
    </w:p>
    <w:p w14:paraId="47498ACD" w14:textId="61A1EAE6" w:rsidR="00394471" w:rsidRPr="00FA0D37" w:rsidRDefault="00394471" w:rsidP="00FA0D37">
      <w:pPr>
        <w:pStyle w:val="PL"/>
        <w:rPr>
          <w:color w:val="808080"/>
        </w:rPr>
      </w:pPr>
      <w:r w:rsidRPr="00FA0D37">
        <w:rPr>
          <w:color w:val="808080"/>
        </w:rPr>
        <w:t>-- TAG-BANDCOMBINATIONLISTSIDELINK</w:t>
      </w:r>
      <w:r w:rsidR="00D027C1" w:rsidRPr="00FA0D37">
        <w:rPr>
          <w:color w:val="808080"/>
        </w:rPr>
        <w:t>EUTRANR</w:t>
      </w:r>
      <w:r w:rsidRPr="00FA0D37">
        <w:rPr>
          <w:color w:val="808080"/>
        </w:rPr>
        <w:t>-STOP</w:t>
      </w:r>
    </w:p>
    <w:p w14:paraId="6B5EC731" w14:textId="77777777" w:rsidR="00394471" w:rsidRPr="00FA0D37" w:rsidRDefault="00394471" w:rsidP="00FA0D37">
      <w:pPr>
        <w:pStyle w:val="PL"/>
        <w:rPr>
          <w:color w:val="808080"/>
        </w:rPr>
      </w:pPr>
      <w:r w:rsidRPr="00FA0D37">
        <w:rPr>
          <w:color w:val="808080"/>
        </w:rPr>
        <w:t>-- ASN1STOP</w:t>
      </w:r>
    </w:p>
    <w:p w14:paraId="2E0C9225"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08F9F40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34F6C49" w14:textId="1BBD59B1" w:rsidR="00394471" w:rsidRPr="00FA0D37" w:rsidRDefault="00394471" w:rsidP="00964CC4">
            <w:pPr>
              <w:pStyle w:val="TAH"/>
              <w:rPr>
                <w:lang w:eastAsia="sv-SE"/>
              </w:rPr>
            </w:pPr>
            <w:r w:rsidRPr="00FA0D37">
              <w:rPr>
                <w:i/>
                <w:iCs/>
                <w:lang w:eastAsia="sv-SE"/>
              </w:rPr>
              <w:t>Band</w:t>
            </w:r>
            <w:r w:rsidR="00B1249E" w:rsidRPr="00FA0D37">
              <w:rPr>
                <w:i/>
                <w:iCs/>
                <w:lang w:eastAsia="sv-SE"/>
              </w:rPr>
              <w:t>Parameters</w:t>
            </w:r>
            <w:r w:rsidRPr="00FA0D37">
              <w:rPr>
                <w:i/>
                <w:iCs/>
                <w:lang w:eastAsia="sv-SE"/>
              </w:rPr>
              <w:t>Sidelink</w:t>
            </w:r>
            <w:r w:rsidR="00D027C1" w:rsidRPr="00FA0D37">
              <w:rPr>
                <w:i/>
              </w:rPr>
              <w:t>EUTRA-NR</w:t>
            </w:r>
            <w:r w:rsidRPr="00FA0D37">
              <w:rPr>
                <w:lang w:eastAsia="sv-SE"/>
              </w:rPr>
              <w:t xml:space="preserve"> field descriptions</w:t>
            </w:r>
          </w:p>
        </w:tc>
      </w:tr>
      <w:tr w:rsidR="000830BB" w:rsidRPr="00FA0D37" w14:paraId="3DD279B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81288C7" w14:textId="77777777" w:rsidR="00394471" w:rsidRPr="00FA0D37" w:rsidRDefault="00394471" w:rsidP="00964CC4">
            <w:pPr>
              <w:pStyle w:val="TAL"/>
              <w:rPr>
                <w:b/>
                <w:i/>
                <w:lang w:eastAsia="sv-SE"/>
              </w:rPr>
            </w:pPr>
            <w:r w:rsidRPr="00FA0D37">
              <w:rPr>
                <w:b/>
                <w:i/>
                <w:lang w:eastAsia="sv-SE"/>
              </w:rPr>
              <w:t>bandParametersSidelinkEUTRA1,</w:t>
            </w:r>
            <w:r w:rsidRPr="00FA0D37">
              <w:rPr>
                <w:lang w:eastAsia="sv-SE"/>
              </w:rPr>
              <w:t xml:space="preserve"> </w:t>
            </w:r>
            <w:r w:rsidRPr="00FA0D37">
              <w:rPr>
                <w:b/>
                <w:i/>
                <w:lang w:eastAsia="sv-SE"/>
              </w:rPr>
              <w:t>bandParametersSidelinkEUTRA2</w:t>
            </w:r>
          </w:p>
          <w:p w14:paraId="7A161FE4" w14:textId="77777777" w:rsidR="00394471" w:rsidRPr="00FA0D37" w:rsidRDefault="00394471" w:rsidP="00964CC4">
            <w:pPr>
              <w:pStyle w:val="TAL"/>
              <w:rPr>
                <w:lang w:eastAsia="sv-SE"/>
              </w:rPr>
            </w:pPr>
            <w:r w:rsidRPr="00FA0D37">
              <w:rPr>
                <w:lang w:eastAsia="sv-SE"/>
              </w:rPr>
              <w:t xml:space="preserve">This field includes the </w:t>
            </w:r>
            <w:r w:rsidRPr="00FA0D37">
              <w:rPr>
                <w:i/>
                <w:lang w:eastAsia="sv-SE"/>
              </w:rPr>
              <w:t>V2X-BandParameters-r14</w:t>
            </w:r>
            <w:r w:rsidRPr="00FA0D37">
              <w:rPr>
                <w:lang w:eastAsia="sv-SE"/>
              </w:rPr>
              <w:t xml:space="preserve"> and </w:t>
            </w:r>
            <w:r w:rsidRPr="00FA0D37">
              <w:rPr>
                <w:i/>
                <w:lang w:eastAsia="sv-SE"/>
              </w:rPr>
              <w:t>V2X-BandParameters-v1530</w:t>
            </w:r>
            <w:r w:rsidRPr="00FA0D37">
              <w:rPr>
                <w:lang w:eastAsia="sv-SE"/>
              </w:rPr>
              <w:t xml:space="preserve"> IE as specified in 36.331 [10]. It is used for reporting the per-band capability for V2X sidelink communication.</w:t>
            </w:r>
          </w:p>
        </w:tc>
      </w:tr>
    </w:tbl>
    <w:p w14:paraId="74A4E1BF" w14:textId="77777777" w:rsidR="00691952" w:rsidRPr="00FA0D37" w:rsidRDefault="00691952" w:rsidP="00691952">
      <w:pPr>
        <w:rPr>
          <w:rFonts w:eastAsia="MS Mincho"/>
        </w:rPr>
      </w:pPr>
    </w:p>
    <w:p w14:paraId="74754A9A" w14:textId="77777777" w:rsidR="00691952" w:rsidRPr="00FA0D37" w:rsidRDefault="00691952" w:rsidP="00A12BD9">
      <w:pPr>
        <w:pStyle w:val="4"/>
      </w:pPr>
      <w:bookmarkStart w:id="1514" w:name="_Toc146781532"/>
      <w:r w:rsidRPr="00FA0D37">
        <w:t>–</w:t>
      </w:r>
      <w:r w:rsidRPr="00FA0D37">
        <w:tab/>
      </w:r>
      <w:r w:rsidRPr="00FA0D37">
        <w:rPr>
          <w:i/>
          <w:iCs/>
        </w:rPr>
        <w:t>BandCombinationListSL-Discovery</w:t>
      </w:r>
      <w:bookmarkEnd w:id="1514"/>
    </w:p>
    <w:p w14:paraId="52BBFDA4" w14:textId="77777777" w:rsidR="00691952" w:rsidRPr="00FA0D37" w:rsidRDefault="00691952" w:rsidP="00691952">
      <w:r w:rsidRPr="00FA0D37">
        <w:t xml:space="preserve">The IE </w:t>
      </w:r>
      <w:r w:rsidRPr="00FA0D37">
        <w:rPr>
          <w:i/>
        </w:rPr>
        <w:t>BandCombinationListSL-Discovery</w:t>
      </w:r>
      <w:r w:rsidRPr="00FA0D37">
        <w:t xml:space="preserve"> contains a list of NR Sidelink discovery band combinations.</w:t>
      </w:r>
    </w:p>
    <w:p w14:paraId="10FE549F" w14:textId="77777777" w:rsidR="00691952" w:rsidRPr="00FA0D37" w:rsidRDefault="00691952" w:rsidP="00A12BD9">
      <w:pPr>
        <w:pStyle w:val="TH"/>
      </w:pPr>
      <w:r w:rsidRPr="00FA0D37">
        <w:rPr>
          <w:i/>
          <w:iCs/>
        </w:rPr>
        <w:t>BandCombinationListSidelinkSL-Discovery</w:t>
      </w:r>
      <w:r w:rsidRPr="00FA0D37">
        <w:t xml:space="preserve"> information element</w:t>
      </w:r>
    </w:p>
    <w:p w14:paraId="3816A901" w14:textId="77777777" w:rsidR="00691952" w:rsidRPr="00FA0D37" w:rsidRDefault="00691952" w:rsidP="00FA0D37">
      <w:pPr>
        <w:pStyle w:val="PL"/>
        <w:rPr>
          <w:color w:val="808080"/>
        </w:rPr>
      </w:pPr>
      <w:r w:rsidRPr="00FA0D37">
        <w:rPr>
          <w:color w:val="808080"/>
        </w:rPr>
        <w:t>-- ASN1START</w:t>
      </w:r>
    </w:p>
    <w:p w14:paraId="5B1B3B3F" w14:textId="77777777" w:rsidR="00691952" w:rsidRPr="00FA0D37" w:rsidRDefault="00691952" w:rsidP="00FA0D37">
      <w:pPr>
        <w:pStyle w:val="PL"/>
        <w:rPr>
          <w:color w:val="808080"/>
        </w:rPr>
      </w:pPr>
      <w:r w:rsidRPr="00FA0D37">
        <w:rPr>
          <w:color w:val="808080"/>
        </w:rPr>
        <w:t>-- TAG-BANDCOMBINATIONLISTSLDISCOVERY-START</w:t>
      </w:r>
    </w:p>
    <w:p w14:paraId="3EBCBBC0" w14:textId="77777777" w:rsidR="00691952" w:rsidRPr="00FA0D37" w:rsidRDefault="00691952" w:rsidP="00FA0D37">
      <w:pPr>
        <w:pStyle w:val="PL"/>
      </w:pPr>
    </w:p>
    <w:p w14:paraId="697B82C0" w14:textId="77777777" w:rsidR="00691952" w:rsidRPr="00FA0D37" w:rsidRDefault="00691952" w:rsidP="00FA0D37">
      <w:pPr>
        <w:pStyle w:val="PL"/>
      </w:pPr>
      <w:r w:rsidRPr="00FA0D37">
        <w:t xml:space="preserve">BandCombinationListSL-Discovery-r17 ::=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BandParametersSidelinkDiscovery-r17</w:t>
      </w:r>
    </w:p>
    <w:p w14:paraId="4253DCF6" w14:textId="77777777" w:rsidR="00691952" w:rsidRPr="00FA0D37" w:rsidRDefault="00691952" w:rsidP="00FA0D37">
      <w:pPr>
        <w:pStyle w:val="PL"/>
      </w:pPr>
    </w:p>
    <w:p w14:paraId="2650A1B6" w14:textId="77777777" w:rsidR="00691952" w:rsidRPr="00FA0D37" w:rsidRDefault="00691952" w:rsidP="00FA0D37">
      <w:pPr>
        <w:pStyle w:val="PL"/>
      </w:pPr>
      <w:r w:rsidRPr="00FA0D37">
        <w:lastRenderedPageBreak/>
        <w:t xml:space="preserve">BandParametersSidelinkDiscovery-r17 ::= </w:t>
      </w:r>
      <w:r w:rsidRPr="00FA0D37">
        <w:rPr>
          <w:color w:val="993366"/>
        </w:rPr>
        <w:t>SEQUENCE</w:t>
      </w:r>
      <w:r w:rsidRPr="00FA0D37">
        <w:t xml:space="preserve"> {</w:t>
      </w:r>
    </w:p>
    <w:p w14:paraId="7E587C82" w14:textId="62620A29" w:rsidR="00691952" w:rsidRPr="00FA0D37" w:rsidRDefault="00691952" w:rsidP="00FA0D37">
      <w:pPr>
        <w:pStyle w:val="PL"/>
      </w:pPr>
      <w:r w:rsidRPr="00FA0D37">
        <w:t xml:space="preserve">    sl-CrossCarrierScheduling-r17            </w:t>
      </w:r>
      <w:r w:rsidRPr="00FA0D37">
        <w:rPr>
          <w:color w:val="993366"/>
        </w:rPr>
        <w:t>ENUMERATED</w:t>
      </w:r>
      <w:r w:rsidRPr="00FA0D37">
        <w:t xml:space="preserve"> {supported}                            </w:t>
      </w:r>
      <w:r w:rsidRPr="00FA0D37">
        <w:rPr>
          <w:color w:val="993366"/>
        </w:rPr>
        <w:t>OPTIONAL</w:t>
      </w:r>
      <w:r w:rsidRPr="00FA0D37">
        <w:t>,</w:t>
      </w:r>
    </w:p>
    <w:p w14:paraId="23AD8CAD" w14:textId="77777777" w:rsidR="00691952" w:rsidRPr="00FA0D37" w:rsidRDefault="00691952" w:rsidP="00FA0D37">
      <w:pPr>
        <w:pStyle w:val="PL"/>
        <w:rPr>
          <w:color w:val="808080"/>
        </w:rPr>
      </w:pPr>
      <w:r w:rsidRPr="00FA0D37">
        <w:t xml:space="preserve">    </w:t>
      </w:r>
      <w:r w:rsidRPr="00FA0D37">
        <w:rPr>
          <w:color w:val="808080"/>
        </w:rPr>
        <w:t>--R1 32-4: Transmitting NR sidelink mode 2 with partial sensing</w:t>
      </w:r>
    </w:p>
    <w:p w14:paraId="53FA8FA7" w14:textId="77777777" w:rsidR="00691952" w:rsidRPr="00FA0D37" w:rsidRDefault="00691952" w:rsidP="00FA0D37">
      <w:pPr>
        <w:pStyle w:val="PL"/>
      </w:pPr>
      <w:r w:rsidRPr="00FA0D37">
        <w:t xml:space="preserve">    sl-TransmissionMode2-PartialSensing-r17  </w:t>
      </w:r>
      <w:r w:rsidRPr="00FA0D37">
        <w:rPr>
          <w:color w:val="993366"/>
        </w:rPr>
        <w:t>SEQUENCE</w:t>
      </w:r>
      <w:r w:rsidRPr="00FA0D37">
        <w:t xml:space="preserve"> {</w:t>
      </w:r>
    </w:p>
    <w:p w14:paraId="4E65EC75" w14:textId="77777777" w:rsidR="00691952" w:rsidRPr="00FA0D37" w:rsidRDefault="00691952" w:rsidP="00FA0D37">
      <w:pPr>
        <w:pStyle w:val="PL"/>
      </w:pPr>
      <w:r w:rsidRPr="00FA0D37">
        <w:t xml:space="preserve">        harq-TxProcessModeTwoSidelink-r17        </w:t>
      </w:r>
      <w:r w:rsidRPr="00FA0D37">
        <w:rPr>
          <w:color w:val="993366"/>
        </w:rPr>
        <w:t>ENUMERATED</w:t>
      </w:r>
      <w:r w:rsidRPr="00FA0D37">
        <w:t xml:space="preserve"> {n8, n16},</w:t>
      </w:r>
    </w:p>
    <w:p w14:paraId="372D28D5" w14:textId="77777777" w:rsidR="00691952" w:rsidRPr="00FA0D37" w:rsidRDefault="00691952" w:rsidP="00FA0D37">
      <w:pPr>
        <w:pStyle w:val="PL"/>
      </w:pPr>
      <w:r w:rsidRPr="00FA0D37">
        <w:t xml:space="preserve">        scs-CP-PatternTxSidelinkModeTwo-r17      </w:t>
      </w:r>
      <w:r w:rsidRPr="00FA0D37">
        <w:rPr>
          <w:color w:val="993366"/>
        </w:rPr>
        <w:t>CHOICE</w:t>
      </w:r>
      <w:r w:rsidRPr="00FA0D37">
        <w:t xml:space="preserve"> {</w:t>
      </w:r>
    </w:p>
    <w:p w14:paraId="5A845589" w14:textId="77777777" w:rsidR="00691952" w:rsidRPr="00FA0D37" w:rsidRDefault="00691952" w:rsidP="00FA0D37">
      <w:pPr>
        <w:pStyle w:val="PL"/>
      </w:pPr>
      <w:r w:rsidRPr="00FA0D37">
        <w:t xml:space="preserve">            fr1-r17                                  </w:t>
      </w:r>
      <w:r w:rsidRPr="00FA0D37">
        <w:rPr>
          <w:color w:val="993366"/>
        </w:rPr>
        <w:t>SEQUENCE</w:t>
      </w:r>
      <w:r w:rsidRPr="00FA0D37">
        <w:t xml:space="preserve"> {</w:t>
      </w:r>
    </w:p>
    <w:p w14:paraId="21D240AA" w14:textId="22068AA3" w:rsidR="00691952" w:rsidRPr="00FA0D37" w:rsidRDefault="00691952" w:rsidP="00FA0D37">
      <w:pPr>
        <w:pStyle w:val="PL"/>
      </w:pPr>
      <w:r w:rsidRPr="00FA0D37">
        <w:t xml:space="preserve">                scs-15kHz-r17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1A076FB5" w14:textId="3447F723" w:rsidR="00691952" w:rsidRPr="00FA0D37" w:rsidRDefault="00691952" w:rsidP="00FA0D37">
      <w:pPr>
        <w:pStyle w:val="PL"/>
      </w:pPr>
      <w:r w:rsidRPr="00FA0D37">
        <w:t xml:space="preserve">                scs-30kHz-r17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2A554434" w14:textId="283CF57E" w:rsidR="00691952" w:rsidRPr="00FA0D37" w:rsidRDefault="00691952" w:rsidP="00FA0D37">
      <w:pPr>
        <w:pStyle w:val="PL"/>
      </w:pPr>
      <w:r w:rsidRPr="00FA0D37">
        <w:t xml:space="preserve">                scs-60kHz-r17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24264361" w14:textId="77777777" w:rsidR="00691952" w:rsidRPr="00FA0D37" w:rsidRDefault="00691952" w:rsidP="00FA0D37">
      <w:pPr>
        <w:pStyle w:val="PL"/>
      </w:pPr>
      <w:r w:rsidRPr="00FA0D37">
        <w:t xml:space="preserve">            },</w:t>
      </w:r>
    </w:p>
    <w:p w14:paraId="6AF39476" w14:textId="77777777" w:rsidR="00691952" w:rsidRPr="00FA0D37" w:rsidRDefault="00691952" w:rsidP="00FA0D37">
      <w:pPr>
        <w:pStyle w:val="PL"/>
      </w:pPr>
      <w:r w:rsidRPr="00FA0D37">
        <w:t xml:space="preserve">            fr2-r17                                  </w:t>
      </w:r>
      <w:r w:rsidRPr="00FA0D37">
        <w:rPr>
          <w:color w:val="993366"/>
        </w:rPr>
        <w:t>SEQUENCE</w:t>
      </w:r>
      <w:r w:rsidRPr="00FA0D37">
        <w:t xml:space="preserve"> {</w:t>
      </w:r>
    </w:p>
    <w:p w14:paraId="1D9363DD" w14:textId="052C4A69" w:rsidR="00691952" w:rsidRPr="00FA0D37" w:rsidRDefault="00691952" w:rsidP="00FA0D37">
      <w:pPr>
        <w:pStyle w:val="PL"/>
      </w:pPr>
      <w:r w:rsidRPr="00FA0D37">
        <w:t xml:space="preserve">                scs-60kHz-r17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3A6AC577" w14:textId="732015D2" w:rsidR="00691952" w:rsidRPr="00FA0D37" w:rsidRDefault="00691952" w:rsidP="00FA0D37">
      <w:pPr>
        <w:pStyle w:val="PL"/>
      </w:pPr>
      <w:r w:rsidRPr="00FA0D37">
        <w:t xml:space="preserve">                scs-120kHz-r17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2D263834" w14:textId="77777777" w:rsidR="00691952" w:rsidRPr="00FA0D37" w:rsidRDefault="00691952" w:rsidP="00FA0D37">
      <w:pPr>
        <w:pStyle w:val="PL"/>
      </w:pPr>
      <w:r w:rsidRPr="00FA0D37">
        <w:t xml:space="preserve">            }</w:t>
      </w:r>
    </w:p>
    <w:p w14:paraId="2E46F1CB" w14:textId="19071897" w:rsidR="00691952" w:rsidRPr="00FA0D37" w:rsidRDefault="00691952" w:rsidP="00FA0D37">
      <w:pPr>
        <w:pStyle w:val="PL"/>
      </w:pPr>
      <w:r w:rsidRPr="00FA0D37">
        <w:t xml:space="preserve">        }                                                                                      </w:t>
      </w:r>
      <w:r w:rsidRPr="00FA0D37">
        <w:rPr>
          <w:color w:val="993366"/>
        </w:rPr>
        <w:t>OPTIONAL</w:t>
      </w:r>
      <w:r w:rsidRPr="00FA0D37">
        <w:t>,</w:t>
      </w:r>
    </w:p>
    <w:p w14:paraId="72B6B67C" w14:textId="4D95D882" w:rsidR="00691952" w:rsidRPr="00FA0D37" w:rsidRDefault="00691952" w:rsidP="00FA0D37">
      <w:pPr>
        <w:pStyle w:val="PL"/>
      </w:pPr>
      <w:r w:rsidRPr="00FA0D37">
        <w:t xml:space="preserve">        extendedCP-Mode2PartialSensing-r17           </w:t>
      </w:r>
      <w:r w:rsidRPr="00FA0D37">
        <w:rPr>
          <w:color w:val="993366"/>
        </w:rPr>
        <w:t>ENUMERATED</w:t>
      </w:r>
      <w:r w:rsidRPr="00FA0D37">
        <w:t xml:space="preserve"> {supported}                    </w:t>
      </w:r>
      <w:r w:rsidRPr="00FA0D37">
        <w:rPr>
          <w:color w:val="993366"/>
        </w:rPr>
        <w:t>OPTIONAL</w:t>
      </w:r>
      <w:r w:rsidRPr="00FA0D37">
        <w:t>,</w:t>
      </w:r>
    </w:p>
    <w:p w14:paraId="6683A6A9" w14:textId="155745A8" w:rsidR="00691952" w:rsidRPr="00FA0D37" w:rsidRDefault="00691952" w:rsidP="00FA0D37">
      <w:pPr>
        <w:pStyle w:val="PL"/>
      </w:pPr>
      <w:r w:rsidRPr="00FA0D37">
        <w:t xml:space="preserve">        dl-openLoopPC-Sidelink-r17                   </w:t>
      </w:r>
      <w:r w:rsidRPr="00FA0D37">
        <w:rPr>
          <w:color w:val="993366"/>
        </w:rPr>
        <w:t>ENUMERATED</w:t>
      </w:r>
      <w:r w:rsidRPr="00FA0D37">
        <w:t xml:space="preserve"> {supported}                    </w:t>
      </w:r>
      <w:r w:rsidRPr="00FA0D37">
        <w:rPr>
          <w:color w:val="993366"/>
        </w:rPr>
        <w:t>OPTIONAL</w:t>
      </w:r>
    </w:p>
    <w:p w14:paraId="639D85B9" w14:textId="531BDF6A" w:rsidR="00691952" w:rsidRPr="00FA0D37" w:rsidRDefault="00691952" w:rsidP="00FA0D37">
      <w:pPr>
        <w:pStyle w:val="PL"/>
      </w:pPr>
      <w:r w:rsidRPr="00FA0D37">
        <w:t xml:space="preserve">    }                                                                                          </w:t>
      </w:r>
      <w:r w:rsidRPr="00FA0D37">
        <w:rPr>
          <w:color w:val="993366"/>
        </w:rPr>
        <w:t>OPTIONAL</w:t>
      </w:r>
      <w:r w:rsidRPr="00FA0D37">
        <w:t>,</w:t>
      </w:r>
    </w:p>
    <w:p w14:paraId="2D1FEC5D" w14:textId="77777777" w:rsidR="00691952" w:rsidRPr="00FA0D37" w:rsidRDefault="00691952" w:rsidP="00FA0D37">
      <w:pPr>
        <w:pStyle w:val="PL"/>
        <w:rPr>
          <w:color w:val="808080"/>
        </w:rPr>
      </w:pPr>
      <w:r w:rsidRPr="00FA0D37">
        <w:t xml:space="preserve">    </w:t>
      </w:r>
      <w:r w:rsidRPr="00FA0D37">
        <w:rPr>
          <w:color w:val="808080"/>
        </w:rPr>
        <w:t>--R1 32-5a-1: Transmitting Inter-UE coordination scheme 1 in NR sidelink mode 2</w:t>
      </w:r>
    </w:p>
    <w:p w14:paraId="3CBB83AD" w14:textId="51E21B02" w:rsidR="00691952" w:rsidRPr="00FA0D37" w:rsidRDefault="00691952" w:rsidP="00FA0D37">
      <w:pPr>
        <w:pStyle w:val="PL"/>
      </w:pPr>
      <w:r w:rsidRPr="00FA0D37">
        <w:t xml:space="preserve">    tx-IUC-Scheme1-Mode2Sidelink-r17         </w:t>
      </w:r>
      <w:r w:rsidRPr="00FA0D37">
        <w:rPr>
          <w:color w:val="993366"/>
        </w:rPr>
        <w:t>ENUMERATED</w:t>
      </w:r>
      <w:r w:rsidRPr="00FA0D37">
        <w:t xml:space="preserve"> {supported}                            </w:t>
      </w:r>
      <w:r w:rsidRPr="00FA0D37">
        <w:rPr>
          <w:color w:val="993366"/>
        </w:rPr>
        <w:t>OPTIONAL</w:t>
      </w:r>
    </w:p>
    <w:p w14:paraId="00B7602A" w14:textId="77777777" w:rsidR="00691952" w:rsidRPr="00FA0D37" w:rsidRDefault="00691952" w:rsidP="00FA0D37">
      <w:pPr>
        <w:pStyle w:val="PL"/>
      </w:pPr>
      <w:r w:rsidRPr="00FA0D37">
        <w:t>}</w:t>
      </w:r>
    </w:p>
    <w:p w14:paraId="535BB274" w14:textId="77777777" w:rsidR="00691952" w:rsidRPr="00FA0D37" w:rsidRDefault="00691952" w:rsidP="00FA0D37">
      <w:pPr>
        <w:pStyle w:val="PL"/>
      </w:pPr>
    </w:p>
    <w:p w14:paraId="209F207A" w14:textId="77777777" w:rsidR="00262741" w:rsidRPr="00FA0D37" w:rsidRDefault="00691952" w:rsidP="00FA0D37">
      <w:pPr>
        <w:pStyle w:val="PL"/>
        <w:rPr>
          <w:color w:val="808080"/>
        </w:rPr>
      </w:pPr>
      <w:r w:rsidRPr="00FA0D37">
        <w:rPr>
          <w:color w:val="808080"/>
        </w:rPr>
        <w:t>-- TAG-BANDCOMBINATIONLISTSLDISCOVERY-STOP</w:t>
      </w:r>
    </w:p>
    <w:p w14:paraId="1078E437" w14:textId="3D091609" w:rsidR="00691952" w:rsidRPr="00FA0D37" w:rsidRDefault="00691952" w:rsidP="00FA0D37">
      <w:pPr>
        <w:pStyle w:val="PL"/>
        <w:rPr>
          <w:color w:val="808080"/>
        </w:rPr>
      </w:pPr>
      <w:r w:rsidRPr="00FA0D37">
        <w:rPr>
          <w:color w:val="808080"/>
        </w:rPr>
        <w:t>-- ASN1STOP</w:t>
      </w:r>
    </w:p>
    <w:p w14:paraId="0CFE1988" w14:textId="77777777" w:rsidR="00691952" w:rsidRPr="00FA0D37" w:rsidRDefault="00691952" w:rsidP="00691952"/>
    <w:p w14:paraId="06C00C50" w14:textId="642DDD92" w:rsidR="00651560" w:rsidRPr="00FA0D37" w:rsidRDefault="00651560" w:rsidP="00651560"/>
    <w:p w14:paraId="2E2C3FF8" w14:textId="77777777" w:rsidR="00394471" w:rsidRPr="00FA0D37" w:rsidRDefault="00394471" w:rsidP="00394471">
      <w:pPr>
        <w:pStyle w:val="4"/>
        <w:rPr>
          <w:i/>
          <w:noProof/>
        </w:rPr>
      </w:pPr>
      <w:bookmarkStart w:id="1515" w:name="_Toc60777432"/>
      <w:bookmarkStart w:id="1516" w:name="_Toc146781533"/>
      <w:r w:rsidRPr="00FA0D37">
        <w:t>–</w:t>
      </w:r>
      <w:r w:rsidRPr="00FA0D37">
        <w:tab/>
      </w:r>
      <w:r w:rsidRPr="00FA0D37">
        <w:rPr>
          <w:i/>
          <w:noProof/>
        </w:rPr>
        <w:t>CA-BandwidthClassEUTRA</w:t>
      </w:r>
      <w:bookmarkEnd w:id="1515"/>
      <w:bookmarkEnd w:id="1516"/>
    </w:p>
    <w:p w14:paraId="729EEB47" w14:textId="77777777" w:rsidR="00394471" w:rsidRPr="00FA0D37" w:rsidRDefault="00394471" w:rsidP="00394471">
      <w:pPr>
        <w:rPr>
          <w:lang w:eastAsia="x-none"/>
        </w:rPr>
      </w:pPr>
      <w:r w:rsidRPr="00FA0D37">
        <w:t xml:space="preserve">The IE </w:t>
      </w:r>
      <w:r w:rsidRPr="00FA0D37">
        <w:rPr>
          <w:i/>
          <w:noProof/>
        </w:rPr>
        <w:t>CA-BandwidthClassEUTRA</w:t>
      </w:r>
      <w:r w:rsidRPr="00FA0D37">
        <w:t xml:space="preserve"> indicates the E-UTRA CA bandwidth class as defined in TS 36.101 [22], table 5.6A-1.</w:t>
      </w:r>
    </w:p>
    <w:p w14:paraId="55B4E8FF" w14:textId="77777777" w:rsidR="00394471" w:rsidRPr="00FA0D37" w:rsidRDefault="00394471" w:rsidP="00394471">
      <w:pPr>
        <w:pStyle w:val="TH"/>
      </w:pPr>
      <w:r w:rsidRPr="00FA0D37">
        <w:rPr>
          <w:i/>
        </w:rPr>
        <w:t>CA-BandwidthClassEUTRA</w:t>
      </w:r>
      <w:r w:rsidRPr="00FA0D37">
        <w:t xml:space="preserve"> information element</w:t>
      </w:r>
    </w:p>
    <w:p w14:paraId="185B4F30" w14:textId="77777777" w:rsidR="00394471" w:rsidRPr="00FA0D37" w:rsidRDefault="00394471" w:rsidP="00FA0D37">
      <w:pPr>
        <w:pStyle w:val="PL"/>
        <w:rPr>
          <w:color w:val="808080"/>
        </w:rPr>
      </w:pPr>
      <w:r w:rsidRPr="00FA0D37">
        <w:rPr>
          <w:color w:val="808080"/>
        </w:rPr>
        <w:t>-- ASN1START</w:t>
      </w:r>
    </w:p>
    <w:p w14:paraId="01F9A208" w14:textId="77777777" w:rsidR="00394471" w:rsidRPr="00FA0D37" w:rsidRDefault="00394471" w:rsidP="00FA0D37">
      <w:pPr>
        <w:pStyle w:val="PL"/>
        <w:rPr>
          <w:color w:val="808080"/>
        </w:rPr>
      </w:pPr>
      <w:r w:rsidRPr="00FA0D37">
        <w:rPr>
          <w:color w:val="808080"/>
        </w:rPr>
        <w:t>-- TAG-CA-BANDWIDTHCLASSEUTRA-START</w:t>
      </w:r>
    </w:p>
    <w:p w14:paraId="60C9CC38" w14:textId="77777777" w:rsidR="00394471" w:rsidRPr="00FA0D37" w:rsidRDefault="00394471" w:rsidP="00FA0D37">
      <w:pPr>
        <w:pStyle w:val="PL"/>
      </w:pPr>
    </w:p>
    <w:p w14:paraId="38AC6CD8" w14:textId="77777777" w:rsidR="00394471" w:rsidRPr="00FA0D37" w:rsidRDefault="00394471" w:rsidP="00FA0D37">
      <w:pPr>
        <w:pStyle w:val="PL"/>
      </w:pPr>
      <w:r w:rsidRPr="00FA0D37">
        <w:t xml:space="preserve">CA-BandwidthClassEUTRA ::=          </w:t>
      </w:r>
      <w:r w:rsidRPr="00FA0D37">
        <w:rPr>
          <w:color w:val="993366"/>
        </w:rPr>
        <w:t>ENUMERATED</w:t>
      </w:r>
      <w:r w:rsidRPr="00FA0D37">
        <w:t xml:space="preserve"> {a, b, c, d, e, f, ...}</w:t>
      </w:r>
    </w:p>
    <w:p w14:paraId="49D8658C" w14:textId="77777777" w:rsidR="00394471" w:rsidRPr="00FA0D37" w:rsidRDefault="00394471" w:rsidP="00FA0D37">
      <w:pPr>
        <w:pStyle w:val="PL"/>
      </w:pPr>
    </w:p>
    <w:p w14:paraId="0DBC85DA" w14:textId="77777777" w:rsidR="00394471" w:rsidRPr="00FA0D37" w:rsidRDefault="00394471" w:rsidP="00FA0D37">
      <w:pPr>
        <w:pStyle w:val="PL"/>
        <w:rPr>
          <w:color w:val="808080"/>
        </w:rPr>
      </w:pPr>
      <w:r w:rsidRPr="00FA0D37">
        <w:rPr>
          <w:color w:val="808080"/>
        </w:rPr>
        <w:t>-- TAG-CA-BANDWIDTHCLASSEUTRA-STOP</w:t>
      </w:r>
    </w:p>
    <w:p w14:paraId="1467B572" w14:textId="77777777" w:rsidR="00394471" w:rsidRPr="00FA0D37" w:rsidRDefault="00394471" w:rsidP="00FA0D37">
      <w:pPr>
        <w:pStyle w:val="PL"/>
        <w:rPr>
          <w:color w:val="808080"/>
        </w:rPr>
      </w:pPr>
      <w:r w:rsidRPr="00FA0D37">
        <w:rPr>
          <w:color w:val="808080"/>
        </w:rPr>
        <w:t>-- ASN1STOP</w:t>
      </w:r>
    </w:p>
    <w:p w14:paraId="69A88132" w14:textId="77777777" w:rsidR="00394471" w:rsidRPr="00FA0D37" w:rsidRDefault="00394471" w:rsidP="00394471"/>
    <w:p w14:paraId="00715082" w14:textId="77777777" w:rsidR="00394471" w:rsidRPr="00FA0D37" w:rsidRDefault="00394471" w:rsidP="00394471">
      <w:pPr>
        <w:pStyle w:val="4"/>
        <w:rPr>
          <w:i/>
          <w:noProof/>
        </w:rPr>
      </w:pPr>
      <w:bookmarkStart w:id="1517" w:name="_Toc60777433"/>
      <w:bookmarkStart w:id="1518" w:name="_Toc146781534"/>
      <w:r w:rsidRPr="00FA0D37">
        <w:t>–</w:t>
      </w:r>
      <w:r w:rsidRPr="00FA0D37">
        <w:tab/>
      </w:r>
      <w:r w:rsidRPr="00FA0D37">
        <w:rPr>
          <w:i/>
          <w:noProof/>
        </w:rPr>
        <w:t>CA-BandwidthClassNR</w:t>
      </w:r>
      <w:bookmarkEnd w:id="1517"/>
      <w:bookmarkEnd w:id="1518"/>
    </w:p>
    <w:p w14:paraId="162A2993" w14:textId="77777777" w:rsidR="00394471" w:rsidRPr="00FA0D37" w:rsidRDefault="00394471" w:rsidP="00394471">
      <w:pPr>
        <w:rPr>
          <w:lang w:eastAsia="x-none"/>
        </w:rPr>
      </w:pPr>
      <w:r w:rsidRPr="00FA0D37">
        <w:t xml:space="preserve">The IE </w:t>
      </w:r>
      <w:r w:rsidRPr="00FA0D37">
        <w:rPr>
          <w:i/>
          <w:noProof/>
        </w:rPr>
        <w:t>CA-BandwidthClassNR</w:t>
      </w:r>
      <w:r w:rsidRPr="00FA0D37">
        <w:t xml:space="preserve"> indicates the NR CA bandwidth class as defined in TS 38.101-1 [15], table 5.3A.5-1 and TS 38.101-2 [39], table 5.3A.4-1.</w:t>
      </w:r>
    </w:p>
    <w:p w14:paraId="6A89B588" w14:textId="77777777" w:rsidR="00394471" w:rsidRPr="00FA0D37" w:rsidRDefault="00394471" w:rsidP="00394471">
      <w:pPr>
        <w:pStyle w:val="TH"/>
      </w:pPr>
      <w:r w:rsidRPr="00FA0D37">
        <w:rPr>
          <w:i/>
        </w:rPr>
        <w:lastRenderedPageBreak/>
        <w:t>CA-BandwidthClassNR</w:t>
      </w:r>
      <w:r w:rsidRPr="00FA0D37">
        <w:t xml:space="preserve"> information element</w:t>
      </w:r>
    </w:p>
    <w:p w14:paraId="40061289" w14:textId="77777777" w:rsidR="00394471" w:rsidRPr="00FA0D37" w:rsidRDefault="00394471" w:rsidP="00FA0D37">
      <w:pPr>
        <w:pStyle w:val="PL"/>
        <w:rPr>
          <w:color w:val="808080"/>
        </w:rPr>
      </w:pPr>
      <w:r w:rsidRPr="00FA0D37">
        <w:rPr>
          <w:color w:val="808080"/>
        </w:rPr>
        <w:t>-- ASN1START</w:t>
      </w:r>
    </w:p>
    <w:p w14:paraId="4401F81F" w14:textId="77777777" w:rsidR="00394471" w:rsidRPr="00FA0D37" w:rsidRDefault="00394471" w:rsidP="00FA0D37">
      <w:pPr>
        <w:pStyle w:val="PL"/>
        <w:rPr>
          <w:color w:val="808080"/>
        </w:rPr>
      </w:pPr>
      <w:r w:rsidRPr="00FA0D37">
        <w:rPr>
          <w:color w:val="808080"/>
        </w:rPr>
        <w:t>-- TAG-CA-BANDWIDTHCLASSNR-START</w:t>
      </w:r>
    </w:p>
    <w:p w14:paraId="0C12E1FF" w14:textId="77777777" w:rsidR="00691952" w:rsidRPr="00FA0D37" w:rsidRDefault="00691952" w:rsidP="00FA0D37">
      <w:pPr>
        <w:pStyle w:val="PL"/>
      </w:pPr>
    </w:p>
    <w:p w14:paraId="1A989BC0" w14:textId="4B749E6C" w:rsidR="00394471" w:rsidRPr="00FA0D37" w:rsidRDefault="00691952" w:rsidP="00FA0D37">
      <w:pPr>
        <w:pStyle w:val="PL"/>
        <w:rPr>
          <w:color w:val="808080"/>
        </w:rPr>
      </w:pPr>
      <w:r w:rsidRPr="00FA0D37">
        <w:rPr>
          <w:color w:val="808080"/>
        </w:rPr>
        <w:t>-- R4 17-6: new CA BW Classes R2~R12</w:t>
      </w:r>
    </w:p>
    <w:p w14:paraId="6B9BCA19" w14:textId="61A37C67" w:rsidR="00394471" w:rsidRPr="00FA0D37" w:rsidRDefault="00394471" w:rsidP="00FA0D37">
      <w:pPr>
        <w:pStyle w:val="PL"/>
      </w:pPr>
      <w:r w:rsidRPr="00FA0D37">
        <w:t xml:space="preserve">CA-BandwidthClassNR ::=             </w:t>
      </w:r>
      <w:r w:rsidRPr="00FA0D37">
        <w:rPr>
          <w:color w:val="993366"/>
        </w:rPr>
        <w:t>ENUMERATED</w:t>
      </w:r>
      <w:r w:rsidRPr="00FA0D37">
        <w:t xml:space="preserve"> {a, b, c, d, e, f, g, h, i, j, k, l, m, n, o, p, q, ...</w:t>
      </w:r>
      <w:r w:rsidR="00691952" w:rsidRPr="00FA0D37">
        <w:t xml:space="preserve">,r2-v1730, r3-v1730, r4-v1730, r5-v1730, r6-v1730, r7-v1730, r8-v1730, r9-v1730, r10-v1730, r11-v1730, r12-v1730 </w:t>
      </w:r>
      <w:r w:rsidRPr="00FA0D37">
        <w:t>}</w:t>
      </w:r>
    </w:p>
    <w:p w14:paraId="52A50782" w14:textId="77777777" w:rsidR="00394471" w:rsidRPr="00FA0D37" w:rsidRDefault="00394471" w:rsidP="00FA0D37">
      <w:pPr>
        <w:pStyle w:val="PL"/>
      </w:pPr>
    </w:p>
    <w:p w14:paraId="201DEBC2" w14:textId="77777777" w:rsidR="00394471" w:rsidRPr="00FA0D37" w:rsidRDefault="00394471" w:rsidP="00FA0D37">
      <w:pPr>
        <w:pStyle w:val="PL"/>
        <w:rPr>
          <w:color w:val="808080"/>
        </w:rPr>
      </w:pPr>
      <w:r w:rsidRPr="00FA0D37">
        <w:rPr>
          <w:color w:val="808080"/>
        </w:rPr>
        <w:t>-- TAG-CA-BANDWIDTHCLASSNR-STOP</w:t>
      </w:r>
    </w:p>
    <w:p w14:paraId="36EA29AC" w14:textId="77777777" w:rsidR="00394471" w:rsidRPr="00FA0D37" w:rsidRDefault="00394471" w:rsidP="00FA0D37">
      <w:pPr>
        <w:pStyle w:val="PL"/>
        <w:rPr>
          <w:color w:val="808080"/>
        </w:rPr>
      </w:pPr>
      <w:r w:rsidRPr="00FA0D37">
        <w:rPr>
          <w:color w:val="808080"/>
        </w:rPr>
        <w:t>-- ASN1STOP</w:t>
      </w:r>
    </w:p>
    <w:p w14:paraId="504D8E2A" w14:textId="77777777" w:rsidR="00394471" w:rsidRPr="00FA0D37" w:rsidRDefault="00394471" w:rsidP="00394471"/>
    <w:p w14:paraId="4A53C390" w14:textId="77777777" w:rsidR="00394471" w:rsidRPr="00FA0D37" w:rsidRDefault="00394471" w:rsidP="00394471">
      <w:pPr>
        <w:pStyle w:val="4"/>
        <w:rPr>
          <w:i/>
          <w:noProof/>
        </w:rPr>
      </w:pPr>
      <w:bookmarkStart w:id="1519" w:name="_Toc60777434"/>
      <w:bookmarkStart w:id="1520" w:name="_Toc146781535"/>
      <w:r w:rsidRPr="00FA0D37">
        <w:t>–</w:t>
      </w:r>
      <w:r w:rsidRPr="00FA0D37">
        <w:tab/>
      </w:r>
      <w:r w:rsidRPr="00FA0D37">
        <w:rPr>
          <w:i/>
          <w:noProof/>
        </w:rPr>
        <w:t>CA-ParametersEUTRA</w:t>
      </w:r>
      <w:bookmarkEnd w:id="1519"/>
      <w:bookmarkEnd w:id="1520"/>
    </w:p>
    <w:p w14:paraId="0A825125" w14:textId="77777777" w:rsidR="00394471" w:rsidRPr="00FA0D37" w:rsidRDefault="00394471" w:rsidP="00394471">
      <w:pPr>
        <w:rPr>
          <w:rFonts w:eastAsia="Yu Mincho"/>
        </w:rPr>
      </w:pPr>
      <w:r w:rsidRPr="00FA0D37">
        <w:rPr>
          <w:rFonts w:eastAsia="Yu Mincho"/>
        </w:rPr>
        <w:t xml:space="preserve">The IE </w:t>
      </w:r>
      <w:r w:rsidRPr="00FA0D37">
        <w:rPr>
          <w:rFonts w:eastAsia="Yu Mincho"/>
          <w:i/>
        </w:rPr>
        <w:t>CA-ParametersEUTRA</w:t>
      </w:r>
      <w:r w:rsidRPr="00FA0D37">
        <w:rPr>
          <w:rFonts w:eastAsia="Yu Mincho"/>
        </w:rPr>
        <w:t xml:space="preserve"> contains the E-UTRA part of band combination parameters for a given MR-DC band combination.</w:t>
      </w:r>
    </w:p>
    <w:p w14:paraId="446FA626" w14:textId="77777777" w:rsidR="00394471" w:rsidRPr="00FA0D37" w:rsidRDefault="00394471" w:rsidP="00394471">
      <w:pPr>
        <w:pStyle w:val="NO"/>
        <w:rPr>
          <w:rFonts w:eastAsia="Yu Mincho"/>
        </w:rPr>
      </w:pPr>
      <w:r w:rsidRPr="00FA0D37">
        <w:rPr>
          <w:rFonts w:eastAsia="Yu Mincho"/>
        </w:rPr>
        <w:t>NOTE:</w:t>
      </w:r>
      <w:r w:rsidRPr="00FA0D37">
        <w:rPr>
          <w:rFonts w:eastAsia="Yu Mincho"/>
        </w:rPr>
        <w:tab/>
        <w:t>If additional E-UTRA band combination parameters are defined in TS 36.331 [10], which are supported for MR-DC, they will be defined here as well.</w:t>
      </w:r>
    </w:p>
    <w:p w14:paraId="0A45D201" w14:textId="77777777" w:rsidR="00394471" w:rsidRPr="00FA0D37" w:rsidRDefault="00394471" w:rsidP="00394471">
      <w:pPr>
        <w:pStyle w:val="TH"/>
        <w:rPr>
          <w:rFonts w:eastAsia="Yu Mincho"/>
        </w:rPr>
      </w:pPr>
      <w:r w:rsidRPr="00FA0D37">
        <w:rPr>
          <w:i/>
        </w:rPr>
        <w:t>CA-ParametersEUTRA</w:t>
      </w:r>
      <w:r w:rsidRPr="00FA0D37">
        <w:t xml:space="preserve"> information element</w:t>
      </w:r>
    </w:p>
    <w:p w14:paraId="33962DCE" w14:textId="77777777" w:rsidR="00394471" w:rsidRPr="00FA0D37" w:rsidRDefault="00394471" w:rsidP="00FA0D37">
      <w:pPr>
        <w:pStyle w:val="PL"/>
        <w:rPr>
          <w:color w:val="808080"/>
        </w:rPr>
      </w:pPr>
      <w:r w:rsidRPr="00FA0D37">
        <w:rPr>
          <w:color w:val="808080"/>
        </w:rPr>
        <w:t>-- ASN1START</w:t>
      </w:r>
    </w:p>
    <w:p w14:paraId="23680F94" w14:textId="77777777" w:rsidR="00394471" w:rsidRPr="00FA0D37" w:rsidRDefault="00394471" w:rsidP="00FA0D37">
      <w:pPr>
        <w:pStyle w:val="PL"/>
        <w:rPr>
          <w:color w:val="808080"/>
        </w:rPr>
      </w:pPr>
      <w:r w:rsidRPr="00FA0D37">
        <w:rPr>
          <w:color w:val="808080"/>
        </w:rPr>
        <w:t>-- TAG-CA-PARAMETERSEUTRA-START</w:t>
      </w:r>
    </w:p>
    <w:p w14:paraId="6A2A6F23" w14:textId="77777777" w:rsidR="00394471" w:rsidRPr="00FA0D37" w:rsidRDefault="00394471" w:rsidP="00FA0D37">
      <w:pPr>
        <w:pStyle w:val="PL"/>
      </w:pPr>
    </w:p>
    <w:p w14:paraId="78F691C4" w14:textId="77777777" w:rsidR="00394471" w:rsidRPr="00FA0D37" w:rsidRDefault="00394471" w:rsidP="00FA0D37">
      <w:pPr>
        <w:pStyle w:val="PL"/>
      </w:pPr>
      <w:r w:rsidRPr="00FA0D37">
        <w:t xml:space="preserve">CA-ParametersEUTRA ::=                          </w:t>
      </w:r>
      <w:r w:rsidRPr="00FA0D37">
        <w:rPr>
          <w:color w:val="993366"/>
        </w:rPr>
        <w:t>SEQUENCE</w:t>
      </w:r>
      <w:r w:rsidRPr="00FA0D37">
        <w:t xml:space="preserve"> {</w:t>
      </w:r>
    </w:p>
    <w:p w14:paraId="2642F64E" w14:textId="77777777" w:rsidR="00394471" w:rsidRPr="00FA0D37" w:rsidRDefault="00394471" w:rsidP="00FA0D37">
      <w:pPr>
        <w:pStyle w:val="PL"/>
      </w:pPr>
      <w:r w:rsidRPr="00FA0D37">
        <w:t xml:space="preserve">    multipleTimingAdvance                           </w:t>
      </w:r>
      <w:r w:rsidRPr="00FA0D37">
        <w:rPr>
          <w:color w:val="993366"/>
        </w:rPr>
        <w:t>ENUMERATED</w:t>
      </w:r>
      <w:r w:rsidRPr="00FA0D37">
        <w:t xml:space="preserve"> {supported}                          </w:t>
      </w:r>
      <w:r w:rsidRPr="00FA0D37">
        <w:rPr>
          <w:color w:val="993366"/>
        </w:rPr>
        <w:t>OPTIONAL</w:t>
      </w:r>
      <w:r w:rsidRPr="00FA0D37">
        <w:t>,</w:t>
      </w:r>
    </w:p>
    <w:p w14:paraId="71EFC99A" w14:textId="77777777" w:rsidR="00394471" w:rsidRPr="00FA0D37" w:rsidRDefault="00394471" w:rsidP="00FA0D37">
      <w:pPr>
        <w:pStyle w:val="PL"/>
      </w:pPr>
      <w:r w:rsidRPr="00FA0D37">
        <w:t xml:space="preserve">    simultaneousRx-Tx                               </w:t>
      </w:r>
      <w:r w:rsidRPr="00FA0D37">
        <w:rPr>
          <w:color w:val="993366"/>
        </w:rPr>
        <w:t>ENUMERATED</w:t>
      </w:r>
      <w:r w:rsidRPr="00FA0D37">
        <w:t xml:space="preserve"> {supported}                          </w:t>
      </w:r>
      <w:r w:rsidRPr="00FA0D37">
        <w:rPr>
          <w:color w:val="993366"/>
        </w:rPr>
        <w:t>OPTIONAL</w:t>
      </w:r>
      <w:r w:rsidRPr="00FA0D37">
        <w:t>,</w:t>
      </w:r>
    </w:p>
    <w:p w14:paraId="17160CCA" w14:textId="77777777" w:rsidR="00394471" w:rsidRPr="00FA0D37" w:rsidRDefault="00394471" w:rsidP="00FA0D37">
      <w:pPr>
        <w:pStyle w:val="PL"/>
      </w:pPr>
      <w:r w:rsidRPr="00FA0D37">
        <w:t xml:space="preserve">    supportedNAICS-2CRS-AP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(1..8))                        </w:t>
      </w:r>
      <w:r w:rsidRPr="00FA0D37">
        <w:rPr>
          <w:color w:val="993366"/>
        </w:rPr>
        <w:t>OPTIONAL</w:t>
      </w:r>
      <w:r w:rsidRPr="00FA0D37">
        <w:t>,</w:t>
      </w:r>
    </w:p>
    <w:p w14:paraId="43F54DF7" w14:textId="77777777" w:rsidR="00394471" w:rsidRPr="00FA0D37" w:rsidRDefault="00394471" w:rsidP="00FA0D37">
      <w:pPr>
        <w:pStyle w:val="PL"/>
      </w:pPr>
      <w:r w:rsidRPr="00FA0D37">
        <w:t xml:space="preserve">    additionalRx-Tx-PerformanceReq                  </w:t>
      </w:r>
      <w:r w:rsidRPr="00FA0D37">
        <w:rPr>
          <w:color w:val="993366"/>
        </w:rPr>
        <w:t>ENUMERATED</w:t>
      </w:r>
      <w:r w:rsidRPr="00FA0D37">
        <w:t xml:space="preserve"> {supported}                          </w:t>
      </w:r>
      <w:r w:rsidRPr="00FA0D37">
        <w:rPr>
          <w:color w:val="993366"/>
        </w:rPr>
        <w:t>OPTIONAL</w:t>
      </w:r>
      <w:r w:rsidRPr="00FA0D37">
        <w:t>,</w:t>
      </w:r>
    </w:p>
    <w:p w14:paraId="34BCD97E" w14:textId="77777777" w:rsidR="00394471" w:rsidRPr="00FA0D37" w:rsidRDefault="00394471" w:rsidP="00FA0D37">
      <w:pPr>
        <w:pStyle w:val="PL"/>
      </w:pPr>
      <w:r w:rsidRPr="00FA0D37">
        <w:t xml:space="preserve">    ue-CA-PowerClass-N                              </w:t>
      </w:r>
      <w:r w:rsidRPr="00FA0D37">
        <w:rPr>
          <w:color w:val="993366"/>
        </w:rPr>
        <w:t>ENUMERATED</w:t>
      </w:r>
      <w:r w:rsidRPr="00FA0D37">
        <w:t xml:space="preserve"> {class2}                             </w:t>
      </w:r>
      <w:r w:rsidRPr="00FA0D37">
        <w:rPr>
          <w:color w:val="993366"/>
        </w:rPr>
        <w:t>OPTIONAL</w:t>
      </w:r>
      <w:r w:rsidRPr="00FA0D37">
        <w:t>,</w:t>
      </w:r>
    </w:p>
    <w:p w14:paraId="4BF08BAB" w14:textId="77777777" w:rsidR="00394471" w:rsidRPr="00FA0D37" w:rsidRDefault="00394471" w:rsidP="00FA0D37">
      <w:pPr>
        <w:pStyle w:val="PL"/>
      </w:pPr>
      <w:r w:rsidRPr="00FA0D37">
        <w:t xml:space="preserve">    supportedBandwidthCombinationSetEUTRA-v1530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(1..32))                       </w:t>
      </w:r>
      <w:r w:rsidRPr="00FA0D37">
        <w:rPr>
          <w:color w:val="993366"/>
        </w:rPr>
        <w:t>OPTIONAL</w:t>
      </w:r>
      <w:r w:rsidRPr="00FA0D37">
        <w:t>,</w:t>
      </w:r>
    </w:p>
    <w:p w14:paraId="662AF13E" w14:textId="77777777" w:rsidR="00394471" w:rsidRPr="00FA0D37" w:rsidRDefault="00394471" w:rsidP="00FA0D37">
      <w:pPr>
        <w:pStyle w:val="PL"/>
      </w:pPr>
      <w:r w:rsidRPr="00FA0D37">
        <w:t xml:space="preserve">    ...</w:t>
      </w:r>
    </w:p>
    <w:p w14:paraId="1875B45D" w14:textId="77777777" w:rsidR="00394471" w:rsidRPr="00FA0D37" w:rsidRDefault="00394471" w:rsidP="00FA0D37">
      <w:pPr>
        <w:pStyle w:val="PL"/>
      </w:pPr>
      <w:r w:rsidRPr="00FA0D37">
        <w:t>}</w:t>
      </w:r>
    </w:p>
    <w:p w14:paraId="76950948" w14:textId="77777777" w:rsidR="00394471" w:rsidRPr="00FA0D37" w:rsidRDefault="00394471" w:rsidP="00FA0D37">
      <w:pPr>
        <w:pStyle w:val="PL"/>
      </w:pPr>
    </w:p>
    <w:p w14:paraId="4E920385" w14:textId="77777777" w:rsidR="00394471" w:rsidRPr="00FA0D37" w:rsidRDefault="00394471" w:rsidP="00FA0D37">
      <w:pPr>
        <w:pStyle w:val="PL"/>
      </w:pPr>
      <w:r w:rsidRPr="00FA0D37">
        <w:t xml:space="preserve">CA-ParametersEUTRA-v1560 ::=                    </w:t>
      </w:r>
      <w:r w:rsidRPr="00FA0D37">
        <w:rPr>
          <w:color w:val="993366"/>
        </w:rPr>
        <w:t>SEQUENCE</w:t>
      </w:r>
      <w:r w:rsidRPr="00FA0D37">
        <w:t xml:space="preserve"> {</w:t>
      </w:r>
    </w:p>
    <w:p w14:paraId="529DE29A" w14:textId="77777777" w:rsidR="00394471" w:rsidRPr="00FA0D37" w:rsidRDefault="00394471" w:rsidP="00FA0D37">
      <w:pPr>
        <w:pStyle w:val="PL"/>
      </w:pPr>
      <w:r w:rsidRPr="00FA0D37">
        <w:t xml:space="preserve">    fd-MIMO-TotalWeightedLayers                     </w:t>
      </w:r>
      <w:r w:rsidRPr="00FA0D37">
        <w:rPr>
          <w:color w:val="993366"/>
        </w:rPr>
        <w:t>INTEGER</w:t>
      </w:r>
      <w:r w:rsidRPr="00FA0D37">
        <w:t xml:space="preserve"> (2..128)                                </w:t>
      </w:r>
      <w:r w:rsidRPr="00FA0D37">
        <w:rPr>
          <w:color w:val="993366"/>
        </w:rPr>
        <w:t>OPTIONAL</w:t>
      </w:r>
    </w:p>
    <w:p w14:paraId="0E0B0D42" w14:textId="77777777" w:rsidR="00394471" w:rsidRPr="00FA0D37" w:rsidRDefault="00394471" w:rsidP="00FA0D37">
      <w:pPr>
        <w:pStyle w:val="PL"/>
      </w:pPr>
      <w:r w:rsidRPr="00FA0D37">
        <w:t>}</w:t>
      </w:r>
    </w:p>
    <w:p w14:paraId="59085240" w14:textId="77777777" w:rsidR="00394471" w:rsidRPr="00FA0D37" w:rsidRDefault="00394471" w:rsidP="00FA0D37">
      <w:pPr>
        <w:pStyle w:val="PL"/>
      </w:pPr>
    </w:p>
    <w:p w14:paraId="2F4840B6" w14:textId="77777777" w:rsidR="00394471" w:rsidRPr="00FA0D37" w:rsidRDefault="00394471" w:rsidP="00FA0D37">
      <w:pPr>
        <w:pStyle w:val="PL"/>
      </w:pPr>
      <w:r w:rsidRPr="00FA0D37">
        <w:t xml:space="preserve">CA-ParametersEUTRA-v1570 ::=                    </w:t>
      </w:r>
      <w:r w:rsidRPr="00FA0D37">
        <w:rPr>
          <w:color w:val="993366"/>
        </w:rPr>
        <w:t>SEQUENCE</w:t>
      </w:r>
      <w:r w:rsidRPr="00FA0D37">
        <w:t xml:space="preserve"> {</w:t>
      </w:r>
    </w:p>
    <w:p w14:paraId="01E74955" w14:textId="77777777" w:rsidR="00394471" w:rsidRPr="00FA0D37" w:rsidRDefault="00394471" w:rsidP="00FA0D37">
      <w:pPr>
        <w:pStyle w:val="PL"/>
      </w:pPr>
      <w:r w:rsidRPr="00FA0D37">
        <w:t xml:space="preserve">    dl-1024QAM-TotalWeightedLayers                  </w:t>
      </w:r>
      <w:r w:rsidRPr="00FA0D37">
        <w:rPr>
          <w:color w:val="993366"/>
        </w:rPr>
        <w:t>INTEGER</w:t>
      </w:r>
      <w:r w:rsidRPr="00FA0D37">
        <w:t xml:space="preserve"> (0..10)                                 </w:t>
      </w:r>
      <w:r w:rsidRPr="00FA0D37">
        <w:rPr>
          <w:color w:val="993366"/>
        </w:rPr>
        <w:t>OPTIONAL</w:t>
      </w:r>
    </w:p>
    <w:p w14:paraId="20F4F2BC" w14:textId="77777777" w:rsidR="00394471" w:rsidRPr="00FA0D37" w:rsidRDefault="00394471" w:rsidP="00FA0D37">
      <w:pPr>
        <w:pStyle w:val="PL"/>
      </w:pPr>
      <w:r w:rsidRPr="00FA0D37">
        <w:t>}</w:t>
      </w:r>
    </w:p>
    <w:p w14:paraId="7010DA42" w14:textId="77777777" w:rsidR="00394471" w:rsidRPr="00FA0D37" w:rsidRDefault="00394471" w:rsidP="00FA0D37">
      <w:pPr>
        <w:pStyle w:val="PL"/>
      </w:pPr>
    </w:p>
    <w:p w14:paraId="5191FD27" w14:textId="77777777" w:rsidR="00394471" w:rsidRPr="00FA0D37" w:rsidRDefault="00394471" w:rsidP="00FA0D37">
      <w:pPr>
        <w:pStyle w:val="PL"/>
        <w:rPr>
          <w:color w:val="808080"/>
        </w:rPr>
      </w:pPr>
      <w:r w:rsidRPr="00FA0D37">
        <w:rPr>
          <w:color w:val="808080"/>
        </w:rPr>
        <w:t>-- TAG-CA-PARAMETERSEUTRA-STOP</w:t>
      </w:r>
    </w:p>
    <w:p w14:paraId="68A99FA6" w14:textId="77777777" w:rsidR="00394471" w:rsidRPr="00FA0D37" w:rsidRDefault="00394471" w:rsidP="00FA0D37">
      <w:pPr>
        <w:pStyle w:val="PL"/>
        <w:rPr>
          <w:color w:val="808080"/>
        </w:rPr>
      </w:pPr>
      <w:r w:rsidRPr="00FA0D37">
        <w:rPr>
          <w:color w:val="808080"/>
        </w:rPr>
        <w:t>-- ASN1STOP</w:t>
      </w:r>
    </w:p>
    <w:p w14:paraId="4E5EA561" w14:textId="77777777" w:rsidR="00394471" w:rsidRPr="00FA0D37" w:rsidRDefault="00394471" w:rsidP="00394471"/>
    <w:p w14:paraId="1FFB60AB" w14:textId="77777777" w:rsidR="00394471" w:rsidRPr="00FA0D37" w:rsidRDefault="00394471" w:rsidP="00394471">
      <w:pPr>
        <w:pStyle w:val="4"/>
      </w:pPr>
      <w:bookmarkStart w:id="1521" w:name="_Toc60777435"/>
      <w:bookmarkStart w:id="1522" w:name="_Toc146781536"/>
      <w:r w:rsidRPr="00FA0D37">
        <w:lastRenderedPageBreak/>
        <w:t>–</w:t>
      </w:r>
      <w:r w:rsidRPr="00FA0D37">
        <w:tab/>
      </w:r>
      <w:r w:rsidRPr="00FA0D37">
        <w:rPr>
          <w:i/>
        </w:rPr>
        <w:t>CA-ParametersNR</w:t>
      </w:r>
      <w:bookmarkEnd w:id="1521"/>
      <w:bookmarkEnd w:id="1522"/>
    </w:p>
    <w:p w14:paraId="09B83F37" w14:textId="2FAA0BF8" w:rsidR="00394471" w:rsidRPr="00FA0D37" w:rsidRDefault="00394471" w:rsidP="00394471">
      <w:r w:rsidRPr="00FA0D37">
        <w:t xml:space="preserve">The IE </w:t>
      </w:r>
      <w:r w:rsidRPr="00FA0D37">
        <w:rPr>
          <w:i/>
        </w:rPr>
        <w:t>CA-ParametersNR</w:t>
      </w:r>
      <w:r w:rsidRPr="00FA0D37">
        <w:t xml:space="preserve"> contains carrier aggregation </w:t>
      </w:r>
      <w:r w:rsidR="00D027C1" w:rsidRPr="00FA0D37">
        <w:t xml:space="preserve">and inter-frequency DAPS handover </w:t>
      </w:r>
      <w:r w:rsidRPr="00FA0D37">
        <w:t>related capabilities that are defined per band combination.</w:t>
      </w:r>
    </w:p>
    <w:p w14:paraId="7C5DD234" w14:textId="77777777" w:rsidR="00394471" w:rsidRPr="00FA0D37" w:rsidRDefault="00394471" w:rsidP="00394471">
      <w:pPr>
        <w:pStyle w:val="TH"/>
      </w:pPr>
      <w:r w:rsidRPr="00FA0D37">
        <w:rPr>
          <w:i/>
        </w:rPr>
        <w:t>CA-ParametersNR</w:t>
      </w:r>
      <w:r w:rsidRPr="00FA0D37">
        <w:t xml:space="preserve"> information element</w:t>
      </w:r>
    </w:p>
    <w:p w14:paraId="3656220E" w14:textId="77777777" w:rsidR="00394471" w:rsidRPr="00FA0D37" w:rsidRDefault="00394471" w:rsidP="00FA0D37">
      <w:pPr>
        <w:pStyle w:val="PL"/>
        <w:rPr>
          <w:color w:val="808080"/>
        </w:rPr>
      </w:pPr>
      <w:r w:rsidRPr="00FA0D37">
        <w:rPr>
          <w:color w:val="808080"/>
        </w:rPr>
        <w:t>-- ASN1START</w:t>
      </w:r>
    </w:p>
    <w:p w14:paraId="21655505" w14:textId="77777777" w:rsidR="00394471" w:rsidRPr="00FA0D37" w:rsidRDefault="00394471" w:rsidP="00FA0D37">
      <w:pPr>
        <w:pStyle w:val="PL"/>
        <w:rPr>
          <w:color w:val="808080"/>
        </w:rPr>
      </w:pPr>
      <w:r w:rsidRPr="00FA0D37">
        <w:rPr>
          <w:color w:val="808080"/>
        </w:rPr>
        <w:t>-- TAG-CA-PARAMETERSNR-START</w:t>
      </w:r>
    </w:p>
    <w:p w14:paraId="477B63CD" w14:textId="77777777" w:rsidR="00394471" w:rsidRPr="00FA0D37" w:rsidRDefault="00394471" w:rsidP="00FA0D37">
      <w:pPr>
        <w:pStyle w:val="PL"/>
      </w:pPr>
    </w:p>
    <w:p w14:paraId="63B09825" w14:textId="77777777" w:rsidR="00394471" w:rsidRPr="00FA0D37" w:rsidRDefault="00394471" w:rsidP="00FA0D37">
      <w:pPr>
        <w:pStyle w:val="PL"/>
      </w:pPr>
      <w:r w:rsidRPr="00FA0D37">
        <w:t xml:space="preserve">CA-ParametersNR ::=                 </w:t>
      </w:r>
      <w:r w:rsidRPr="00FA0D37">
        <w:rPr>
          <w:color w:val="993366"/>
        </w:rPr>
        <w:t>SEQUENCE</w:t>
      </w:r>
      <w:r w:rsidRPr="00FA0D37">
        <w:t xml:space="preserve"> {</w:t>
      </w:r>
    </w:p>
    <w:p w14:paraId="08C9BA22" w14:textId="77777777" w:rsidR="00394471" w:rsidRPr="00FA0D37" w:rsidRDefault="00394471" w:rsidP="00FA0D37">
      <w:pPr>
        <w:pStyle w:val="PL"/>
      </w:pPr>
      <w:r w:rsidRPr="00FA0D37">
        <w:t xml:space="preserve">    dummy                                         </w:t>
      </w:r>
      <w:r w:rsidRPr="00FA0D37">
        <w:rPr>
          <w:color w:val="993366"/>
        </w:rPr>
        <w:t>ENUMERATED</w:t>
      </w:r>
      <w:r w:rsidRPr="00FA0D37">
        <w:t xml:space="preserve"> {supported}      </w:t>
      </w:r>
      <w:r w:rsidRPr="00FA0D37">
        <w:rPr>
          <w:color w:val="993366"/>
        </w:rPr>
        <w:t>OPTIONAL</w:t>
      </w:r>
      <w:r w:rsidRPr="00FA0D37">
        <w:t>,</w:t>
      </w:r>
    </w:p>
    <w:p w14:paraId="3DF6530A" w14:textId="77777777" w:rsidR="00394471" w:rsidRPr="00FA0D37" w:rsidRDefault="00394471" w:rsidP="00FA0D37">
      <w:pPr>
        <w:pStyle w:val="PL"/>
      </w:pPr>
      <w:r w:rsidRPr="00FA0D37">
        <w:t xml:space="preserve">    parallelTxSRS-PUCCH-PUSCH                     </w:t>
      </w:r>
      <w:r w:rsidRPr="00FA0D37">
        <w:rPr>
          <w:color w:val="993366"/>
        </w:rPr>
        <w:t>ENUMERATED</w:t>
      </w:r>
      <w:r w:rsidRPr="00FA0D37">
        <w:t xml:space="preserve"> {supported}      </w:t>
      </w:r>
      <w:r w:rsidRPr="00FA0D37">
        <w:rPr>
          <w:color w:val="993366"/>
        </w:rPr>
        <w:t>OPTIONAL</w:t>
      </w:r>
      <w:r w:rsidRPr="00FA0D37">
        <w:t>,</w:t>
      </w:r>
    </w:p>
    <w:p w14:paraId="2DDC7250" w14:textId="77777777" w:rsidR="00394471" w:rsidRPr="00FA0D37" w:rsidRDefault="00394471" w:rsidP="00FA0D37">
      <w:pPr>
        <w:pStyle w:val="PL"/>
      </w:pPr>
      <w:r w:rsidRPr="00FA0D37">
        <w:t xml:space="preserve">    parallelTxPRACH-SRS-PUCCH-PUSCH               </w:t>
      </w:r>
      <w:r w:rsidRPr="00FA0D37">
        <w:rPr>
          <w:color w:val="993366"/>
        </w:rPr>
        <w:t>ENUMERATED</w:t>
      </w:r>
      <w:r w:rsidRPr="00FA0D37">
        <w:t xml:space="preserve"> {supported}      </w:t>
      </w:r>
      <w:r w:rsidRPr="00FA0D37">
        <w:rPr>
          <w:color w:val="993366"/>
        </w:rPr>
        <w:t>OPTIONAL</w:t>
      </w:r>
      <w:r w:rsidRPr="00FA0D37">
        <w:t>,</w:t>
      </w:r>
    </w:p>
    <w:p w14:paraId="7D1A2C11" w14:textId="77777777" w:rsidR="00394471" w:rsidRPr="00FA0D37" w:rsidRDefault="00394471" w:rsidP="00FA0D37">
      <w:pPr>
        <w:pStyle w:val="PL"/>
      </w:pPr>
      <w:r w:rsidRPr="00FA0D37">
        <w:t xml:space="preserve">    simultaneousRxTxInterBandCA                   </w:t>
      </w:r>
      <w:r w:rsidRPr="00FA0D37">
        <w:rPr>
          <w:color w:val="993366"/>
        </w:rPr>
        <w:t>ENUMERATED</w:t>
      </w:r>
      <w:r w:rsidRPr="00FA0D37">
        <w:t xml:space="preserve"> {supported}      </w:t>
      </w:r>
      <w:r w:rsidRPr="00FA0D37">
        <w:rPr>
          <w:color w:val="993366"/>
        </w:rPr>
        <w:t>OPTIONAL</w:t>
      </w:r>
      <w:r w:rsidRPr="00FA0D37">
        <w:t>,</w:t>
      </w:r>
    </w:p>
    <w:p w14:paraId="7019938A" w14:textId="77777777" w:rsidR="00394471" w:rsidRPr="00FA0D37" w:rsidRDefault="00394471" w:rsidP="00FA0D37">
      <w:pPr>
        <w:pStyle w:val="PL"/>
      </w:pPr>
      <w:r w:rsidRPr="00FA0D37">
        <w:t xml:space="preserve">    simultaneousRxTxSUL                           </w:t>
      </w:r>
      <w:r w:rsidRPr="00FA0D37">
        <w:rPr>
          <w:color w:val="993366"/>
        </w:rPr>
        <w:t>ENUMERATED</w:t>
      </w:r>
      <w:r w:rsidRPr="00FA0D37">
        <w:t xml:space="preserve"> {supported}      </w:t>
      </w:r>
      <w:r w:rsidRPr="00FA0D37">
        <w:rPr>
          <w:color w:val="993366"/>
        </w:rPr>
        <w:t>OPTIONAL</w:t>
      </w:r>
      <w:r w:rsidRPr="00FA0D37">
        <w:t>,</w:t>
      </w:r>
    </w:p>
    <w:p w14:paraId="203E0FA5" w14:textId="77777777" w:rsidR="00394471" w:rsidRPr="00FA0D37" w:rsidRDefault="00394471" w:rsidP="00FA0D37">
      <w:pPr>
        <w:pStyle w:val="PL"/>
      </w:pPr>
      <w:r w:rsidRPr="00FA0D37">
        <w:t xml:space="preserve">    diffNumerologyAcrossPUCCH-Group               </w:t>
      </w:r>
      <w:r w:rsidRPr="00FA0D37">
        <w:rPr>
          <w:color w:val="993366"/>
        </w:rPr>
        <w:t>ENUMERATED</w:t>
      </w:r>
      <w:r w:rsidRPr="00FA0D37">
        <w:t xml:space="preserve"> {supported}      </w:t>
      </w:r>
      <w:r w:rsidRPr="00FA0D37">
        <w:rPr>
          <w:color w:val="993366"/>
        </w:rPr>
        <w:t>OPTIONAL</w:t>
      </w:r>
      <w:r w:rsidRPr="00FA0D37">
        <w:t>,</w:t>
      </w:r>
    </w:p>
    <w:p w14:paraId="07EADFD2" w14:textId="77777777" w:rsidR="00394471" w:rsidRPr="00FA0D37" w:rsidRDefault="00394471" w:rsidP="00FA0D37">
      <w:pPr>
        <w:pStyle w:val="PL"/>
      </w:pPr>
      <w:r w:rsidRPr="00FA0D37">
        <w:t xml:space="preserve">    diffNumerologyWithinPUCCH-GroupSmallerSCS     </w:t>
      </w:r>
      <w:r w:rsidRPr="00FA0D37">
        <w:rPr>
          <w:color w:val="993366"/>
        </w:rPr>
        <w:t>ENUMERATED</w:t>
      </w:r>
      <w:r w:rsidRPr="00FA0D37">
        <w:t xml:space="preserve"> {supported}      </w:t>
      </w:r>
      <w:r w:rsidRPr="00FA0D37">
        <w:rPr>
          <w:color w:val="993366"/>
        </w:rPr>
        <w:t>OPTIONAL</w:t>
      </w:r>
      <w:r w:rsidRPr="00FA0D37">
        <w:t>,</w:t>
      </w:r>
    </w:p>
    <w:p w14:paraId="58993B94" w14:textId="77777777" w:rsidR="00394471" w:rsidRPr="00FA0D37" w:rsidRDefault="00394471" w:rsidP="00FA0D37">
      <w:pPr>
        <w:pStyle w:val="PL"/>
      </w:pPr>
      <w:r w:rsidRPr="00FA0D37">
        <w:t xml:space="preserve">    supportedNumberTAG                            </w:t>
      </w:r>
      <w:r w:rsidRPr="00FA0D37">
        <w:rPr>
          <w:color w:val="993366"/>
        </w:rPr>
        <w:t>ENUMERATED</w:t>
      </w:r>
      <w:r w:rsidRPr="00FA0D37">
        <w:t xml:space="preserve"> {n2, n3, n4}     </w:t>
      </w:r>
      <w:r w:rsidRPr="00FA0D37">
        <w:rPr>
          <w:color w:val="993366"/>
        </w:rPr>
        <w:t>OPTIONAL</w:t>
      </w:r>
      <w:r w:rsidRPr="00FA0D37">
        <w:t>,</w:t>
      </w:r>
    </w:p>
    <w:p w14:paraId="098F70C4" w14:textId="77777777" w:rsidR="00394471" w:rsidRPr="00FA0D37" w:rsidRDefault="00394471" w:rsidP="00FA0D37">
      <w:pPr>
        <w:pStyle w:val="PL"/>
      </w:pPr>
      <w:r w:rsidRPr="00FA0D37">
        <w:t xml:space="preserve">    ...</w:t>
      </w:r>
    </w:p>
    <w:p w14:paraId="5EE5B411" w14:textId="77777777" w:rsidR="00394471" w:rsidRPr="00FA0D37" w:rsidRDefault="00394471" w:rsidP="00FA0D37">
      <w:pPr>
        <w:pStyle w:val="PL"/>
      </w:pPr>
      <w:r w:rsidRPr="00FA0D37">
        <w:t>}</w:t>
      </w:r>
    </w:p>
    <w:p w14:paraId="2D39D81A" w14:textId="77777777" w:rsidR="00394471" w:rsidRPr="00FA0D37" w:rsidRDefault="00394471" w:rsidP="00FA0D37">
      <w:pPr>
        <w:pStyle w:val="PL"/>
      </w:pPr>
    </w:p>
    <w:p w14:paraId="1F2434D0" w14:textId="77777777" w:rsidR="00394471" w:rsidRPr="00FA0D37" w:rsidRDefault="00394471" w:rsidP="00FA0D37">
      <w:pPr>
        <w:pStyle w:val="PL"/>
      </w:pPr>
      <w:r w:rsidRPr="00FA0D37">
        <w:t xml:space="preserve">CA-ParametersNR-v1540 ::=           </w:t>
      </w:r>
      <w:r w:rsidRPr="00FA0D37">
        <w:rPr>
          <w:color w:val="993366"/>
        </w:rPr>
        <w:t>SEQUENCE</w:t>
      </w:r>
      <w:r w:rsidRPr="00FA0D37">
        <w:t xml:space="preserve"> {</w:t>
      </w:r>
    </w:p>
    <w:p w14:paraId="4B0AE175" w14:textId="77777777" w:rsidR="00394471" w:rsidRPr="00FA0D37" w:rsidRDefault="00394471" w:rsidP="00FA0D37">
      <w:pPr>
        <w:pStyle w:val="PL"/>
      </w:pPr>
      <w:r w:rsidRPr="00FA0D37">
        <w:t xml:space="preserve">    simultaneousSRS-AssocCSI-RS-AllCC                       </w:t>
      </w:r>
      <w:r w:rsidRPr="00FA0D37">
        <w:rPr>
          <w:color w:val="993366"/>
        </w:rPr>
        <w:t>INTEGER</w:t>
      </w:r>
      <w:r w:rsidRPr="00FA0D37">
        <w:t xml:space="preserve"> (5..32)         </w:t>
      </w:r>
      <w:r w:rsidRPr="00FA0D37">
        <w:rPr>
          <w:color w:val="993366"/>
        </w:rPr>
        <w:t>OPTIONAL</w:t>
      </w:r>
      <w:r w:rsidRPr="00FA0D37">
        <w:t>,</w:t>
      </w:r>
    </w:p>
    <w:p w14:paraId="7B7833CC" w14:textId="77777777" w:rsidR="00394471" w:rsidRPr="00FA0D37" w:rsidRDefault="00394471" w:rsidP="00FA0D37">
      <w:pPr>
        <w:pStyle w:val="PL"/>
      </w:pPr>
      <w:r w:rsidRPr="00FA0D37">
        <w:t xml:space="preserve">    csi-RS-IM-ReceptionForFeedbackPerBandComb               </w:t>
      </w:r>
      <w:r w:rsidRPr="00FA0D37">
        <w:rPr>
          <w:color w:val="993366"/>
        </w:rPr>
        <w:t>SEQUENCE</w:t>
      </w:r>
      <w:r w:rsidRPr="00FA0D37">
        <w:t xml:space="preserve"> {</w:t>
      </w:r>
    </w:p>
    <w:p w14:paraId="4D680156" w14:textId="77777777" w:rsidR="00394471" w:rsidRPr="00FA0D37" w:rsidRDefault="00394471" w:rsidP="00FA0D37">
      <w:pPr>
        <w:pStyle w:val="PL"/>
      </w:pPr>
      <w:r w:rsidRPr="00FA0D37">
        <w:t xml:space="preserve">        maxNumberSimultaneousNZP-CSI-RS-ActBWP-AllCC            </w:t>
      </w:r>
      <w:r w:rsidRPr="00FA0D37">
        <w:rPr>
          <w:color w:val="993366"/>
        </w:rPr>
        <w:t>INTEGER</w:t>
      </w:r>
      <w:r w:rsidRPr="00FA0D37">
        <w:t xml:space="preserve"> (1..64)     </w:t>
      </w:r>
      <w:r w:rsidRPr="00FA0D37">
        <w:rPr>
          <w:color w:val="993366"/>
        </w:rPr>
        <w:t>OPTIONAL</w:t>
      </w:r>
      <w:r w:rsidRPr="00FA0D37">
        <w:t>,</w:t>
      </w:r>
    </w:p>
    <w:p w14:paraId="2A080D32" w14:textId="77777777" w:rsidR="00394471" w:rsidRPr="00FA0D37" w:rsidRDefault="00394471" w:rsidP="00FA0D37">
      <w:pPr>
        <w:pStyle w:val="PL"/>
      </w:pPr>
      <w:r w:rsidRPr="00FA0D37">
        <w:t xml:space="preserve">        totalNumberPortsSimultaneousNZP-CSI-RS-ActBWP-AllCC     </w:t>
      </w:r>
      <w:r w:rsidRPr="00FA0D37">
        <w:rPr>
          <w:color w:val="993366"/>
        </w:rPr>
        <w:t>INTEGER</w:t>
      </w:r>
      <w:r w:rsidRPr="00FA0D37">
        <w:t xml:space="preserve"> (2..256)    </w:t>
      </w:r>
      <w:r w:rsidRPr="00FA0D37">
        <w:rPr>
          <w:color w:val="993366"/>
        </w:rPr>
        <w:t>OPTIONAL</w:t>
      </w:r>
    </w:p>
    <w:p w14:paraId="11EEFF8C" w14:textId="77777777" w:rsidR="00394471" w:rsidRPr="00FA0D37" w:rsidRDefault="00394471" w:rsidP="00FA0D37">
      <w:pPr>
        <w:pStyle w:val="PL"/>
      </w:pPr>
      <w:r w:rsidRPr="00FA0D37">
        <w:t xml:space="preserve">    }                                                                               </w:t>
      </w:r>
      <w:r w:rsidRPr="00FA0D37">
        <w:rPr>
          <w:color w:val="993366"/>
        </w:rPr>
        <w:t>OPTIONAL</w:t>
      </w:r>
      <w:r w:rsidRPr="00FA0D37">
        <w:t>,</w:t>
      </w:r>
    </w:p>
    <w:p w14:paraId="18CE632C" w14:textId="77777777" w:rsidR="00394471" w:rsidRPr="00FA0D37" w:rsidRDefault="00394471" w:rsidP="00FA0D37">
      <w:pPr>
        <w:pStyle w:val="PL"/>
      </w:pPr>
      <w:r w:rsidRPr="00FA0D37">
        <w:t xml:space="preserve">    simultaneousCSI-ReportsAllCC                            </w:t>
      </w:r>
      <w:r w:rsidRPr="00FA0D37">
        <w:rPr>
          <w:color w:val="993366"/>
        </w:rPr>
        <w:t>INTEGER</w:t>
      </w:r>
      <w:r w:rsidRPr="00FA0D37">
        <w:t xml:space="preserve"> (5..32)         </w:t>
      </w:r>
      <w:r w:rsidRPr="00FA0D37">
        <w:rPr>
          <w:color w:val="993366"/>
        </w:rPr>
        <w:t>OPTIONAL</w:t>
      </w:r>
      <w:r w:rsidRPr="00FA0D37">
        <w:t>,</w:t>
      </w:r>
    </w:p>
    <w:p w14:paraId="40BF4322" w14:textId="77777777" w:rsidR="00394471" w:rsidRPr="00FA0D37" w:rsidRDefault="00394471" w:rsidP="00FA0D37">
      <w:pPr>
        <w:pStyle w:val="PL"/>
      </w:pPr>
      <w:r w:rsidRPr="00FA0D37">
        <w:t xml:space="preserve">    dualPA-Architecture                                     </w:t>
      </w:r>
      <w:r w:rsidRPr="00FA0D37">
        <w:rPr>
          <w:color w:val="993366"/>
        </w:rPr>
        <w:t>ENUMERATED</w:t>
      </w:r>
      <w:r w:rsidRPr="00FA0D37">
        <w:t xml:space="preserve"> {supported}  </w:t>
      </w:r>
      <w:r w:rsidRPr="00FA0D37">
        <w:rPr>
          <w:color w:val="993366"/>
        </w:rPr>
        <w:t>OPTIONAL</w:t>
      </w:r>
    </w:p>
    <w:p w14:paraId="047F5961" w14:textId="77777777" w:rsidR="00394471" w:rsidRPr="00FA0D37" w:rsidRDefault="00394471" w:rsidP="00FA0D37">
      <w:pPr>
        <w:pStyle w:val="PL"/>
      </w:pPr>
      <w:r w:rsidRPr="00FA0D37">
        <w:t>}</w:t>
      </w:r>
    </w:p>
    <w:p w14:paraId="2494928A" w14:textId="77777777" w:rsidR="00394471" w:rsidRPr="00FA0D37" w:rsidRDefault="00394471" w:rsidP="00FA0D37">
      <w:pPr>
        <w:pStyle w:val="PL"/>
      </w:pPr>
    </w:p>
    <w:p w14:paraId="72C689BA" w14:textId="77777777" w:rsidR="00394471" w:rsidRPr="00FA0D37" w:rsidRDefault="00394471" w:rsidP="00FA0D37">
      <w:pPr>
        <w:pStyle w:val="PL"/>
      </w:pPr>
      <w:r w:rsidRPr="00FA0D37">
        <w:t xml:space="preserve">CA-ParametersNR-v1550 ::=           </w:t>
      </w:r>
      <w:r w:rsidRPr="00FA0D37">
        <w:rPr>
          <w:color w:val="993366"/>
        </w:rPr>
        <w:t>SEQUENCE</w:t>
      </w:r>
      <w:r w:rsidRPr="00FA0D37">
        <w:t xml:space="preserve"> {</w:t>
      </w:r>
    </w:p>
    <w:p w14:paraId="459E9D5B" w14:textId="77777777" w:rsidR="00394471" w:rsidRPr="00FA0D37" w:rsidRDefault="00394471" w:rsidP="00FA0D37">
      <w:pPr>
        <w:pStyle w:val="PL"/>
      </w:pPr>
      <w:r w:rsidRPr="00FA0D37">
        <w:t xml:space="preserve">    dummy                               </w:t>
      </w:r>
      <w:r w:rsidRPr="00FA0D37">
        <w:rPr>
          <w:color w:val="993366"/>
        </w:rPr>
        <w:t>ENUMERATED</w:t>
      </w:r>
      <w:r w:rsidRPr="00FA0D37">
        <w:t xml:space="preserve"> {supported}                      </w:t>
      </w:r>
      <w:r w:rsidRPr="00FA0D37">
        <w:rPr>
          <w:color w:val="993366"/>
        </w:rPr>
        <w:t>OPTIONAL</w:t>
      </w:r>
    </w:p>
    <w:p w14:paraId="71077E67" w14:textId="77777777" w:rsidR="00394471" w:rsidRPr="00FA0D37" w:rsidRDefault="00394471" w:rsidP="00FA0D37">
      <w:pPr>
        <w:pStyle w:val="PL"/>
      </w:pPr>
      <w:r w:rsidRPr="00FA0D37">
        <w:t>}</w:t>
      </w:r>
    </w:p>
    <w:p w14:paraId="47892729" w14:textId="77777777" w:rsidR="00394471" w:rsidRPr="00FA0D37" w:rsidRDefault="00394471" w:rsidP="00FA0D37">
      <w:pPr>
        <w:pStyle w:val="PL"/>
      </w:pPr>
    </w:p>
    <w:p w14:paraId="73B01F8A" w14:textId="77777777" w:rsidR="00394471" w:rsidRPr="00FA0D37" w:rsidRDefault="00394471" w:rsidP="00FA0D37">
      <w:pPr>
        <w:pStyle w:val="PL"/>
        <w:rPr>
          <w:rFonts w:eastAsiaTheme="minorEastAsia"/>
        </w:rPr>
      </w:pPr>
      <w:r w:rsidRPr="00FA0D37">
        <w:rPr>
          <w:rFonts w:eastAsiaTheme="minorEastAsia"/>
        </w:rPr>
        <w:t>CA-ParametersNR-v1560 ::=</w:t>
      </w:r>
      <w:r w:rsidRPr="00FA0D37">
        <w:t xml:space="preserve">           </w:t>
      </w:r>
      <w:r w:rsidRPr="00FA0D37">
        <w:rPr>
          <w:rFonts w:eastAsiaTheme="minorEastAsia"/>
          <w:color w:val="993366"/>
        </w:rPr>
        <w:t>SEQUENCE</w:t>
      </w:r>
      <w:r w:rsidRPr="00FA0D37">
        <w:rPr>
          <w:rFonts w:eastAsiaTheme="minorEastAsia"/>
        </w:rPr>
        <w:t xml:space="preserve"> {</w:t>
      </w:r>
    </w:p>
    <w:p w14:paraId="46B6F48F" w14:textId="77777777" w:rsidR="00394471" w:rsidRPr="00FA0D37" w:rsidRDefault="00394471" w:rsidP="00FA0D37">
      <w:pPr>
        <w:pStyle w:val="PL"/>
        <w:rPr>
          <w:rFonts w:eastAsiaTheme="minorEastAsia"/>
        </w:rPr>
      </w:pPr>
      <w:r w:rsidRPr="00FA0D37">
        <w:t xml:space="preserve">    </w:t>
      </w:r>
      <w:r w:rsidRPr="00FA0D37">
        <w:rPr>
          <w:rFonts w:eastAsiaTheme="minorEastAsia"/>
        </w:rPr>
        <w:t>diffNumerologyWithinPUCCH-GroupLargerSCS</w:t>
      </w:r>
      <w:r w:rsidRPr="00FA0D37">
        <w:t xml:space="preserve">      </w:t>
      </w:r>
      <w:r w:rsidRPr="00FA0D37">
        <w:rPr>
          <w:color w:val="993366"/>
        </w:rPr>
        <w:t>ENUMERATED</w:t>
      </w:r>
      <w:r w:rsidRPr="00FA0D37">
        <w:t xml:space="preserve"> {supported}            </w:t>
      </w:r>
      <w:r w:rsidRPr="00FA0D37">
        <w:rPr>
          <w:color w:val="993366"/>
        </w:rPr>
        <w:t>OPTIONAL</w:t>
      </w:r>
    </w:p>
    <w:p w14:paraId="73D0DC80" w14:textId="77777777" w:rsidR="00394471" w:rsidRPr="00FA0D37" w:rsidRDefault="00394471" w:rsidP="00FA0D37">
      <w:pPr>
        <w:pStyle w:val="PL"/>
      </w:pPr>
      <w:r w:rsidRPr="00FA0D37">
        <w:rPr>
          <w:rFonts w:eastAsiaTheme="minorEastAsia"/>
        </w:rPr>
        <w:t>}</w:t>
      </w:r>
    </w:p>
    <w:p w14:paraId="4C12B28E" w14:textId="77777777" w:rsidR="004A773C" w:rsidRPr="00FA0D37" w:rsidRDefault="004A773C" w:rsidP="00FA0D37">
      <w:pPr>
        <w:pStyle w:val="PL"/>
      </w:pPr>
    </w:p>
    <w:p w14:paraId="0E46E3D7" w14:textId="3B0849C8" w:rsidR="004A773C" w:rsidRPr="00FA0D37" w:rsidRDefault="004A773C" w:rsidP="00FA0D37">
      <w:pPr>
        <w:pStyle w:val="PL"/>
      </w:pPr>
      <w:r w:rsidRPr="00FA0D37">
        <w:t>CA-ParametersNR-v15</w:t>
      </w:r>
      <w:r w:rsidR="00EE4C48" w:rsidRPr="00FA0D37">
        <w:t>g0</w:t>
      </w:r>
      <w:r w:rsidRPr="00FA0D37">
        <w:t xml:space="preserve"> ::=           </w:t>
      </w:r>
      <w:r w:rsidRPr="00FA0D37">
        <w:rPr>
          <w:color w:val="993366"/>
        </w:rPr>
        <w:t>SEQUENCE</w:t>
      </w:r>
      <w:r w:rsidRPr="00FA0D37">
        <w:t xml:space="preserve"> {</w:t>
      </w:r>
    </w:p>
    <w:p w14:paraId="509F7A8F" w14:textId="77777777" w:rsidR="004A773C" w:rsidRPr="00FA0D37" w:rsidRDefault="004A773C" w:rsidP="00FA0D37">
      <w:pPr>
        <w:pStyle w:val="PL"/>
      </w:pPr>
      <w:r w:rsidRPr="00FA0D37">
        <w:t xml:space="preserve">    simultaneousRxTxInterBandCAPerBandPair        SimultaneousRxTxPerBandPair       </w:t>
      </w:r>
      <w:r w:rsidRPr="00FA0D37">
        <w:rPr>
          <w:color w:val="993366"/>
        </w:rPr>
        <w:t>OPTIONAL</w:t>
      </w:r>
      <w:r w:rsidRPr="00FA0D37">
        <w:t>,</w:t>
      </w:r>
    </w:p>
    <w:p w14:paraId="112D966B" w14:textId="77777777" w:rsidR="004A773C" w:rsidRPr="00FA0D37" w:rsidRDefault="004A773C" w:rsidP="00FA0D37">
      <w:pPr>
        <w:pStyle w:val="PL"/>
      </w:pPr>
      <w:r w:rsidRPr="00FA0D37">
        <w:t xml:space="preserve">    simultaneousRxTxSULPerBandPair                SimultaneousRxTxPerBandPair       </w:t>
      </w:r>
      <w:r w:rsidRPr="00FA0D37">
        <w:rPr>
          <w:color w:val="993366"/>
        </w:rPr>
        <w:t>OPTIONAL</w:t>
      </w:r>
    </w:p>
    <w:p w14:paraId="2EA81070" w14:textId="75D8EFB7" w:rsidR="00394471" w:rsidRPr="00FA0D37" w:rsidRDefault="004A773C" w:rsidP="00FA0D37">
      <w:pPr>
        <w:pStyle w:val="PL"/>
      </w:pPr>
      <w:r w:rsidRPr="00FA0D37">
        <w:t>}</w:t>
      </w:r>
    </w:p>
    <w:p w14:paraId="1E7143BB" w14:textId="77777777" w:rsidR="004A773C" w:rsidRPr="00FA0D37" w:rsidRDefault="004A773C" w:rsidP="00FA0D37">
      <w:pPr>
        <w:pStyle w:val="PL"/>
      </w:pPr>
    </w:p>
    <w:p w14:paraId="008B6EEF" w14:textId="77777777" w:rsidR="00394471" w:rsidRPr="00FA0D37" w:rsidRDefault="00394471" w:rsidP="00FA0D37">
      <w:pPr>
        <w:pStyle w:val="PL"/>
        <w:rPr>
          <w:rFonts w:eastAsiaTheme="minorEastAsia"/>
        </w:rPr>
      </w:pPr>
      <w:r w:rsidRPr="00FA0D37">
        <w:rPr>
          <w:rFonts w:eastAsiaTheme="minorEastAsia"/>
        </w:rPr>
        <w:t>CA-ParametersNR-v1610 ::=</w:t>
      </w:r>
      <w:r w:rsidRPr="00FA0D37">
        <w:t xml:space="preserve">           </w:t>
      </w:r>
      <w:r w:rsidRPr="00FA0D37">
        <w:rPr>
          <w:rFonts w:eastAsiaTheme="minorEastAsia"/>
          <w:color w:val="993366"/>
        </w:rPr>
        <w:t>SEQUENCE</w:t>
      </w:r>
      <w:r w:rsidRPr="00FA0D37">
        <w:rPr>
          <w:rFonts w:eastAsiaTheme="minorEastAsia"/>
        </w:rPr>
        <w:t xml:space="preserve"> {</w:t>
      </w:r>
    </w:p>
    <w:p w14:paraId="002B7CED" w14:textId="77777777" w:rsidR="00394471" w:rsidRPr="00FA0D37" w:rsidRDefault="00394471" w:rsidP="00FA0D37">
      <w:pPr>
        <w:pStyle w:val="PL"/>
        <w:rPr>
          <w:color w:val="808080"/>
        </w:rPr>
      </w:pPr>
      <w:r w:rsidRPr="00FA0D37">
        <w:rPr>
          <w:rFonts w:eastAsiaTheme="minorEastAsia"/>
        </w:rPr>
        <w:t xml:space="preserve">     </w:t>
      </w:r>
      <w:r w:rsidRPr="00FA0D37">
        <w:rPr>
          <w:rFonts w:eastAsiaTheme="minorEastAsia"/>
          <w:color w:val="808080"/>
        </w:rPr>
        <w:t>-- R1 9-3: Parallel MsgA and SRS/PUCCH/PUSCH transmissions across CCs in inter-band CA</w:t>
      </w:r>
    </w:p>
    <w:p w14:paraId="1F64491F" w14:textId="77777777" w:rsidR="00394471" w:rsidRPr="00FA0D37" w:rsidRDefault="00394471" w:rsidP="00FA0D37">
      <w:pPr>
        <w:pStyle w:val="PL"/>
      </w:pPr>
      <w:r w:rsidRPr="00FA0D37">
        <w:t xml:space="preserve">    parallelTxMsgA-SRS-PUCCH-PUSCH-r16                </w:t>
      </w:r>
      <w:r w:rsidRPr="00FA0D37">
        <w:rPr>
          <w:color w:val="993366"/>
        </w:rPr>
        <w:t>ENUMERATED</w:t>
      </w:r>
      <w:r w:rsidRPr="00FA0D37">
        <w:t xml:space="preserve"> {supported}        </w:t>
      </w:r>
      <w:r w:rsidRPr="00FA0D37">
        <w:rPr>
          <w:color w:val="993366"/>
        </w:rPr>
        <w:t>OPTIONAL</w:t>
      </w:r>
      <w:r w:rsidRPr="00FA0D37">
        <w:t>,</w:t>
      </w:r>
    </w:p>
    <w:p w14:paraId="6555F200" w14:textId="77777777" w:rsidR="00394471" w:rsidRPr="00FA0D37" w:rsidRDefault="00394471" w:rsidP="00FA0D37">
      <w:pPr>
        <w:pStyle w:val="PL"/>
        <w:rPr>
          <w:rFonts w:eastAsiaTheme="minorEastAsia"/>
          <w:color w:val="808080"/>
        </w:rPr>
      </w:pPr>
      <w:r w:rsidRPr="00FA0D37">
        <w:rPr>
          <w:rFonts w:eastAsiaTheme="minorEastAsia"/>
        </w:rPr>
        <w:t xml:space="preserve">     </w:t>
      </w:r>
      <w:r w:rsidRPr="00FA0D37">
        <w:rPr>
          <w:rFonts w:eastAsiaTheme="minorEastAsia"/>
          <w:color w:val="808080"/>
        </w:rPr>
        <w:t>-- R1 9-4: MsgA operation in a band combination including SUL</w:t>
      </w:r>
    </w:p>
    <w:p w14:paraId="2D31E63C" w14:textId="77777777" w:rsidR="00394471" w:rsidRPr="00FA0D37" w:rsidRDefault="00394471" w:rsidP="00FA0D37">
      <w:pPr>
        <w:pStyle w:val="PL"/>
      </w:pPr>
      <w:r w:rsidRPr="00FA0D37">
        <w:t xml:space="preserve">    msgA-SUL-r16                                      </w:t>
      </w:r>
      <w:r w:rsidRPr="00FA0D37">
        <w:rPr>
          <w:color w:val="993366"/>
        </w:rPr>
        <w:t>ENUMERATED</w:t>
      </w:r>
      <w:r w:rsidRPr="00FA0D37">
        <w:t xml:space="preserve"> {supported}        </w:t>
      </w:r>
      <w:r w:rsidRPr="00FA0D37">
        <w:rPr>
          <w:color w:val="993366"/>
        </w:rPr>
        <w:t>OPTIONAL</w:t>
      </w:r>
      <w:r w:rsidRPr="00FA0D37">
        <w:t>,</w:t>
      </w:r>
    </w:p>
    <w:p w14:paraId="6E5A456A"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10-9c: Joint search space group switching across multiple cells</w:t>
      </w:r>
    </w:p>
    <w:p w14:paraId="1825E780" w14:textId="524FB89B" w:rsidR="00394471" w:rsidRPr="00FA0D37" w:rsidRDefault="00394471" w:rsidP="00FA0D37">
      <w:pPr>
        <w:pStyle w:val="PL"/>
        <w:rPr>
          <w:rFonts w:eastAsiaTheme="minorEastAsia"/>
        </w:rPr>
      </w:pPr>
      <w:r w:rsidRPr="00FA0D37">
        <w:lastRenderedPageBreak/>
        <w:t xml:space="preserve">    </w:t>
      </w:r>
      <w:r w:rsidRPr="00FA0D37">
        <w:rPr>
          <w:rFonts w:eastAsiaTheme="minorEastAsia"/>
        </w:rPr>
        <w:t>jointSearchSpaceSwitchAcrossCells-r16</w:t>
      </w:r>
      <w:r w:rsidRPr="00FA0D37">
        <w:t xml:space="preserve">     </w:t>
      </w:r>
      <w:r w:rsidR="00BB1623"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012ED3E0"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14-5: Half-duplex UE behaviour in TDD CA for same SCS</w:t>
      </w:r>
    </w:p>
    <w:p w14:paraId="7C82D897" w14:textId="77777777" w:rsidR="00394471" w:rsidRPr="00FA0D37" w:rsidRDefault="00394471" w:rsidP="00FA0D37">
      <w:pPr>
        <w:pStyle w:val="PL"/>
        <w:rPr>
          <w:rFonts w:eastAsiaTheme="minorEastAsia"/>
        </w:rPr>
      </w:pPr>
      <w:r w:rsidRPr="00FA0D37">
        <w:t xml:space="preserve">    </w:t>
      </w:r>
      <w:r w:rsidRPr="00FA0D37">
        <w:rPr>
          <w:rFonts w:eastAsiaTheme="minorEastAsia"/>
        </w:rPr>
        <w:t>half-DuplexTDD-CA-SameSCS-r16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42BC1D1B" w14:textId="77777777" w:rsidR="00394471" w:rsidRPr="00FA0D37" w:rsidRDefault="00394471" w:rsidP="00FA0D37">
      <w:pPr>
        <w:pStyle w:val="PL"/>
        <w:rPr>
          <w:color w:val="808080"/>
        </w:rPr>
      </w:pPr>
      <w:r w:rsidRPr="00FA0D37">
        <w:t xml:space="preserve">    </w:t>
      </w:r>
      <w:r w:rsidRPr="00FA0D37">
        <w:rPr>
          <w:rFonts w:eastAsiaTheme="minorEastAsia"/>
          <w:color w:val="808080"/>
        </w:rPr>
        <w:t xml:space="preserve">-- R1 </w:t>
      </w:r>
      <w:r w:rsidRPr="00FA0D37">
        <w:rPr>
          <w:color w:val="808080"/>
        </w:rPr>
        <w:t>18-4: SCell dormancy within active time</w:t>
      </w:r>
    </w:p>
    <w:p w14:paraId="45B56AC0" w14:textId="77777777" w:rsidR="00394471" w:rsidRPr="00FA0D37" w:rsidRDefault="00394471" w:rsidP="00FA0D37">
      <w:pPr>
        <w:pStyle w:val="PL"/>
      </w:pPr>
      <w:r w:rsidRPr="00FA0D37">
        <w:t xml:space="preserve">    scellDormancyWithinActiveTime-r16                 </w:t>
      </w:r>
      <w:r w:rsidRPr="00FA0D37">
        <w:rPr>
          <w:color w:val="993366"/>
        </w:rPr>
        <w:t>ENUMERATED</w:t>
      </w:r>
      <w:r w:rsidRPr="00FA0D37">
        <w:t xml:space="preserve"> {supported}        </w:t>
      </w:r>
      <w:r w:rsidRPr="00FA0D37">
        <w:rPr>
          <w:color w:val="993366"/>
        </w:rPr>
        <w:t>OPTIONAL</w:t>
      </w:r>
      <w:r w:rsidRPr="00FA0D37">
        <w:t>,</w:t>
      </w:r>
    </w:p>
    <w:p w14:paraId="5BCD2EB3" w14:textId="77777777" w:rsidR="00394471" w:rsidRPr="00FA0D37" w:rsidRDefault="00394471" w:rsidP="00FA0D37">
      <w:pPr>
        <w:pStyle w:val="PL"/>
        <w:rPr>
          <w:color w:val="808080"/>
        </w:rPr>
      </w:pPr>
      <w:r w:rsidRPr="00FA0D37">
        <w:t xml:space="preserve">    </w:t>
      </w:r>
      <w:r w:rsidRPr="00FA0D37">
        <w:rPr>
          <w:rFonts w:eastAsiaTheme="minorEastAsia"/>
          <w:color w:val="808080"/>
        </w:rPr>
        <w:t xml:space="preserve">-- R1 </w:t>
      </w:r>
      <w:r w:rsidRPr="00FA0D37">
        <w:rPr>
          <w:color w:val="808080"/>
        </w:rPr>
        <w:t>18-4a: SCell dormancy outside active time</w:t>
      </w:r>
    </w:p>
    <w:p w14:paraId="698578E5" w14:textId="77777777" w:rsidR="00394471" w:rsidRPr="00FA0D37" w:rsidRDefault="00394471" w:rsidP="00FA0D37">
      <w:pPr>
        <w:pStyle w:val="PL"/>
      </w:pPr>
      <w:r w:rsidRPr="00FA0D37">
        <w:t xml:space="preserve">    scellDormancyOutsideActiveTime-r16                </w:t>
      </w:r>
      <w:r w:rsidRPr="00FA0D37">
        <w:rPr>
          <w:color w:val="993366"/>
        </w:rPr>
        <w:t>ENUMERATED</w:t>
      </w:r>
      <w:r w:rsidRPr="00FA0D37">
        <w:t xml:space="preserve"> {supported}        </w:t>
      </w:r>
      <w:r w:rsidRPr="00FA0D37">
        <w:rPr>
          <w:color w:val="993366"/>
        </w:rPr>
        <w:t>OPTIONAL</w:t>
      </w:r>
      <w:r w:rsidRPr="00FA0D37">
        <w:t>,</w:t>
      </w:r>
    </w:p>
    <w:p w14:paraId="407BCA4C" w14:textId="77777777" w:rsidR="00394471" w:rsidRPr="00FA0D37" w:rsidRDefault="00394471" w:rsidP="00FA0D37">
      <w:pPr>
        <w:pStyle w:val="PL"/>
        <w:rPr>
          <w:color w:val="808080"/>
        </w:rPr>
      </w:pPr>
      <w:r w:rsidRPr="00FA0D37">
        <w:t xml:space="preserve">    </w:t>
      </w:r>
      <w:r w:rsidRPr="00FA0D37">
        <w:rPr>
          <w:color w:val="808080"/>
        </w:rPr>
        <w:t>-- R1 18-6: Cross-carrier A-CSI RS triggering with different SCS</w:t>
      </w:r>
    </w:p>
    <w:p w14:paraId="680CAF08" w14:textId="77777777" w:rsidR="00394471" w:rsidRPr="00FA0D37" w:rsidRDefault="00394471" w:rsidP="00FA0D37">
      <w:pPr>
        <w:pStyle w:val="PL"/>
      </w:pPr>
      <w:r w:rsidRPr="00FA0D37">
        <w:t xml:space="preserve">    crossCarrierA-CSI-trigDiffSCS-r16                 </w:t>
      </w:r>
      <w:r w:rsidRPr="00FA0D37">
        <w:rPr>
          <w:color w:val="993366"/>
        </w:rPr>
        <w:t>ENUMERATED</w:t>
      </w:r>
      <w:r w:rsidRPr="00FA0D37">
        <w:t xml:space="preserve"> {higherA-CSI-SCS,lowerA-CSI-SCS,both}   </w:t>
      </w:r>
      <w:r w:rsidRPr="00FA0D37">
        <w:rPr>
          <w:color w:val="993366"/>
        </w:rPr>
        <w:t>OPTIONAL</w:t>
      </w:r>
      <w:r w:rsidRPr="00FA0D37">
        <w:t>,</w:t>
      </w:r>
    </w:p>
    <w:p w14:paraId="49A3B58D" w14:textId="77777777" w:rsidR="00394471" w:rsidRPr="00FA0D37" w:rsidRDefault="00394471" w:rsidP="00FA0D37">
      <w:pPr>
        <w:pStyle w:val="PL"/>
        <w:rPr>
          <w:color w:val="808080"/>
        </w:rPr>
      </w:pPr>
      <w:r w:rsidRPr="00FA0D37">
        <w:t xml:space="preserve">    </w:t>
      </w:r>
      <w:r w:rsidRPr="00FA0D37">
        <w:rPr>
          <w:rFonts w:eastAsiaTheme="minorEastAsia"/>
          <w:color w:val="808080"/>
        </w:rPr>
        <w:t xml:space="preserve">-- R1 </w:t>
      </w:r>
      <w:r w:rsidRPr="00FA0D37">
        <w:rPr>
          <w:color w:val="808080"/>
        </w:rPr>
        <w:t>18-6a: Default QCL assumption for cross-carrier A-CSI-RS triggering</w:t>
      </w:r>
    </w:p>
    <w:p w14:paraId="2878AE6D" w14:textId="77777777" w:rsidR="00394471" w:rsidRPr="00FA0D37" w:rsidRDefault="00394471" w:rsidP="00FA0D37">
      <w:pPr>
        <w:pStyle w:val="PL"/>
      </w:pPr>
      <w:r w:rsidRPr="00FA0D37">
        <w:t xml:space="preserve">    </w:t>
      </w:r>
      <w:r w:rsidRPr="00FA0D37">
        <w:rPr>
          <w:rFonts w:eastAsiaTheme="minorEastAsia"/>
        </w:rPr>
        <w:t>defaultQCL-CrossCarrierA-CSI-Trig</w:t>
      </w:r>
      <w:r w:rsidRPr="00FA0D37">
        <w:t xml:space="preserve">-r16             </w:t>
      </w:r>
      <w:r w:rsidRPr="00FA0D37">
        <w:rPr>
          <w:color w:val="993366"/>
        </w:rPr>
        <w:t>ENUMERATED</w:t>
      </w:r>
      <w:r w:rsidRPr="00FA0D37">
        <w:t xml:space="preserve"> {diffOnly, both}   </w:t>
      </w:r>
      <w:r w:rsidRPr="00FA0D37">
        <w:rPr>
          <w:color w:val="993366"/>
        </w:rPr>
        <w:t>OPTIONAL</w:t>
      </w:r>
      <w:r w:rsidRPr="00FA0D37">
        <w:t>,</w:t>
      </w:r>
    </w:p>
    <w:p w14:paraId="38C85B06" w14:textId="77777777" w:rsidR="00394471" w:rsidRPr="00FA0D37" w:rsidRDefault="00394471" w:rsidP="00FA0D37">
      <w:pPr>
        <w:pStyle w:val="PL"/>
        <w:rPr>
          <w:color w:val="808080"/>
        </w:rPr>
      </w:pPr>
      <w:r w:rsidRPr="00FA0D37">
        <w:t xml:space="preserve">    </w:t>
      </w:r>
      <w:r w:rsidRPr="00FA0D37">
        <w:rPr>
          <w:color w:val="808080"/>
        </w:rPr>
        <w:t>-- R1 18-7: CA with non-aligned frame boundaries for inter-band CA</w:t>
      </w:r>
    </w:p>
    <w:p w14:paraId="7958BD55" w14:textId="77777777" w:rsidR="00394471" w:rsidRPr="00FA0D37" w:rsidRDefault="00394471" w:rsidP="00FA0D37">
      <w:pPr>
        <w:pStyle w:val="PL"/>
      </w:pPr>
      <w:r w:rsidRPr="00FA0D37">
        <w:t xml:space="preserve">    interCA-NonAlignedFrame-r16                       </w:t>
      </w:r>
      <w:r w:rsidRPr="00FA0D37">
        <w:rPr>
          <w:color w:val="993366"/>
        </w:rPr>
        <w:t>ENUMERATED</w:t>
      </w:r>
      <w:r w:rsidRPr="00FA0D37">
        <w:t xml:space="preserve"> {supported}        </w:t>
      </w:r>
      <w:r w:rsidRPr="00FA0D37">
        <w:rPr>
          <w:color w:val="993366"/>
        </w:rPr>
        <w:t>OPTIONAL</w:t>
      </w:r>
      <w:r w:rsidRPr="00FA0D37">
        <w:t>,</w:t>
      </w:r>
    </w:p>
    <w:p w14:paraId="5C646302" w14:textId="77777777" w:rsidR="00394471" w:rsidRPr="00FA0D37" w:rsidRDefault="00394471" w:rsidP="00FA0D37">
      <w:pPr>
        <w:pStyle w:val="PL"/>
      </w:pPr>
      <w:r w:rsidRPr="00FA0D37">
        <w:t xml:space="preserve">    simul-SRS-Trans-BC-r16                            </w:t>
      </w:r>
      <w:r w:rsidRPr="00FA0D37">
        <w:rPr>
          <w:color w:val="993366"/>
        </w:rPr>
        <w:t>ENUMERATED</w:t>
      </w:r>
      <w:r w:rsidRPr="00FA0D37">
        <w:t xml:space="preserve"> {n2}               </w:t>
      </w:r>
      <w:r w:rsidRPr="00FA0D37">
        <w:rPr>
          <w:color w:val="993366"/>
        </w:rPr>
        <w:t>OPTIONAL</w:t>
      </w:r>
      <w:r w:rsidRPr="00FA0D37">
        <w:t>,</w:t>
      </w:r>
    </w:p>
    <w:p w14:paraId="12372AC2" w14:textId="77777777" w:rsidR="00394471" w:rsidRPr="00FA0D37" w:rsidRDefault="00394471" w:rsidP="00FA0D37">
      <w:pPr>
        <w:pStyle w:val="PL"/>
      </w:pPr>
      <w:r w:rsidRPr="00FA0D37">
        <w:t xml:space="preserve">    interFreqDAPS-r16                                 </w:t>
      </w:r>
      <w:r w:rsidRPr="00FA0D37">
        <w:rPr>
          <w:color w:val="993366"/>
        </w:rPr>
        <w:t>SEQUENCE</w:t>
      </w:r>
      <w:r w:rsidRPr="00FA0D37">
        <w:t xml:space="preserve"> {</w:t>
      </w:r>
    </w:p>
    <w:p w14:paraId="696FFE96" w14:textId="77777777" w:rsidR="00394471" w:rsidRPr="00FA0D37" w:rsidRDefault="00394471" w:rsidP="00FA0D37">
      <w:pPr>
        <w:pStyle w:val="PL"/>
      </w:pPr>
      <w:r w:rsidRPr="00FA0D37">
        <w:t xml:space="preserve">        interFreqAsyncDAPS-r16                            </w:t>
      </w:r>
      <w:r w:rsidRPr="00FA0D37">
        <w:rPr>
          <w:color w:val="993366"/>
        </w:rPr>
        <w:t>ENUMERATED</w:t>
      </w:r>
      <w:r w:rsidRPr="00FA0D37">
        <w:t xml:space="preserve"> {supported}    </w:t>
      </w:r>
      <w:r w:rsidRPr="00FA0D37">
        <w:rPr>
          <w:color w:val="993366"/>
        </w:rPr>
        <w:t>OPTIONAL</w:t>
      </w:r>
      <w:r w:rsidRPr="00FA0D37">
        <w:t>,</w:t>
      </w:r>
    </w:p>
    <w:p w14:paraId="08869D7B" w14:textId="77777777" w:rsidR="00394471" w:rsidRPr="00FA0D37" w:rsidRDefault="00394471" w:rsidP="00FA0D37">
      <w:pPr>
        <w:pStyle w:val="PL"/>
      </w:pPr>
      <w:r w:rsidRPr="00FA0D37">
        <w:t xml:space="preserve">        interFreqDiffSCS-DAPS-r16                         </w:t>
      </w:r>
      <w:r w:rsidRPr="00FA0D37">
        <w:rPr>
          <w:color w:val="993366"/>
        </w:rPr>
        <w:t>ENUMERATED</w:t>
      </w:r>
      <w:r w:rsidRPr="00FA0D37">
        <w:t xml:space="preserve"> {supported}    </w:t>
      </w:r>
      <w:r w:rsidRPr="00FA0D37">
        <w:rPr>
          <w:color w:val="993366"/>
        </w:rPr>
        <w:t>OPTIONAL</w:t>
      </w:r>
      <w:r w:rsidRPr="00FA0D37">
        <w:t>,</w:t>
      </w:r>
    </w:p>
    <w:p w14:paraId="2F543B1F" w14:textId="77777777" w:rsidR="00394471" w:rsidRPr="00FA0D37" w:rsidRDefault="00394471" w:rsidP="00FA0D37">
      <w:pPr>
        <w:pStyle w:val="PL"/>
      </w:pPr>
      <w:r w:rsidRPr="00FA0D37">
        <w:t xml:space="preserve">        interFreqMultiUL-TransmissionDAPS-r16             </w:t>
      </w:r>
      <w:r w:rsidRPr="00FA0D37">
        <w:rPr>
          <w:color w:val="993366"/>
        </w:rPr>
        <w:t>ENUMERATED</w:t>
      </w:r>
      <w:r w:rsidRPr="00FA0D37">
        <w:t xml:space="preserve"> {supported}    </w:t>
      </w:r>
      <w:r w:rsidRPr="00FA0D37">
        <w:rPr>
          <w:color w:val="993366"/>
        </w:rPr>
        <w:t>OPTIONAL</w:t>
      </w:r>
      <w:r w:rsidRPr="00FA0D37">
        <w:t>,</w:t>
      </w:r>
    </w:p>
    <w:p w14:paraId="4D6CDA05" w14:textId="77777777" w:rsidR="00394471" w:rsidRPr="00FA0D37" w:rsidRDefault="00394471" w:rsidP="00FA0D37">
      <w:pPr>
        <w:pStyle w:val="PL"/>
      </w:pPr>
      <w:r w:rsidRPr="00FA0D37">
        <w:t xml:space="preserve">        interFreqSemiStaticPowerSharingDAPS-Mode1-r16     </w:t>
      </w:r>
      <w:r w:rsidRPr="00FA0D37">
        <w:rPr>
          <w:color w:val="993366"/>
        </w:rPr>
        <w:t>ENUMERATED</w:t>
      </w:r>
      <w:r w:rsidRPr="00FA0D37">
        <w:t xml:space="preserve"> {supported}    </w:t>
      </w:r>
      <w:r w:rsidRPr="00FA0D37">
        <w:rPr>
          <w:color w:val="993366"/>
        </w:rPr>
        <w:t>OPTIONAL</w:t>
      </w:r>
      <w:r w:rsidRPr="00FA0D37">
        <w:t>,</w:t>
      </w:r>
    </w:p>
    <w:p w14:paraId="63F4CFC6" w14:textId="77777777" w:rsidR="00394471" w:rsidRPr="00FA0D37" w:rsidRDefault="00394471" w:rsidP="00FA0D37">
      <w:pPr>
        <w:pStyle w:val="PL"/>
      </w:pPr>
      <w:r w:rsidRPr="00FA0D37">
        <w:t xml:space="preserve">        interFreqSemiStaticPowerSharingDAPS-Mode2-r16     </w:t>
      </w:r>
      <w:r w:rsidRPr="00FA0D37">
        <w:rPr>
          <w:color w:val="993366"/>
        </w:rPr>
        <w:t>ENUMERATED</w:t>
      </w:r>
      <w:r w:rsidRPr="00FA0D37">
        <w:t xml:space="preserve"> {supported}    </w:t>
      </w:r>
      <w:r w:rsidRPr="00FA0D37">
        <w:rPr>
          <w:color w:val="993366"/>
        </w:rPr>
        <w:t>OPTIONAL</w:t>
      </w:r>
      <w:r w:rsidRPr="00FA0D37">
        <w:t>,</w:t>
      </w:r>
    </w:p>
    <w:p w14:paraId="41D3D697" w14:textId="77777777" w:rsidR="00394471" w:rsidRPr="00FA0D37" w:rsidRDefault="00394471" w:rsidP="00FA0D37">
      <w:pPr>
        <w:pStyle w:val="PL"/>
      </w:pPr>
      <w:r w:rsidRPr="00FA0D37">
        <w:t xml:space="preserve">        interFreqDynamicPowerSharingDAPS-r16              </w:t>
      </w:r>
      <w:r w:rsidRPr="00FA0D37">
        <w:rPr>
          <w:color w:val="993366"/>
        </w:rPr>
        <w:t>ENUMERATED</w:t>
      </w:r>
      <w:r w:rsidRPr="00FA0D37">
        <w:t xml:space="preserve"> {short, long}  </w:t>
      </w:r>
      <w:r w:rsidRPr="00FA0D37">
        <w:rPr>
          <w:color w:val="993366"/>
        </w:rPr>
        <w:t>OPTIONAL</w:t>
      </w:r>
      <w:r w:rsidRPr="00FA0D37">
        <w:t>,</w:t>
      </w:r>
    </w:p>
    <w:p w14:paraId="76DC3BC3" w14:textId="77777777" w:rsidR="00394471" w:rsidRPr="00FA0D37" w:rsidRDefault="00394471" w:rsidP="00FA0D37">
      <w:pPr>
        <w:pStyle w:val="PL"/>
      </w:pPr>
      <w:r w:rsidRPr="00FA0D37">
        <w:t xml:space="preserve">        interFreqUL-TransCancellationDAPS-r16             </w:t>
      </w:r>
      <w:r w:rsidRPr="00FA0D37">
        <w:rPr>
          <w:color w:val="993366"/>
        </w:rPr>
        <w:t>ENUMERATED</w:t>
      </w:r>
      <w:r w:rsidRPr="00FA0D37">
        <w:t xml:space="preserve"> {supported}    </w:t>
      </w:r>
      <w:r w:rsidRPr="00FA0D37">
        <w:rPr>
          <w:color w:val="993366"/>
        </w:rPr>
        <w:t>OPTIONAL</w:t>
      </w:r>
    </w:p>
    <w:p w14:paraId="79EDB108" w14:textId="77777777" w:rsidR="00394471" w:rsidRPr="00FA0D37" w:rsidRDefault="00394471" w:rsidP="00FA0D37">
      <w:pPr>
        <w:pStyle w:val="PL"/>
        <w:rPr>
          <w:rFonts w:eastAsiaTheme="minorEastAsia"/>
        </w:rPr>
      </w:pPr>
      <w:r w:rsidRPr="00FA0D37">
        <w:t xml:space="preserve">    }                                                                               </w:t>
      </w:r>
      <w:r w:rsidRPr="00FA0D37">
        <w:rPr>
          <w:color w:val="993366"/>
        </w:rPr>
        <w:t>OPTIONAL</w:t>
      </w:r>
      <w:r w:rsidRPr="00FA0D37">
        <w:t>,</w:t>
      </w:r>
    </w:p>
    <w:p w14:paraId="2EAD703A" w14:textId="77777777" w:rsidR="00394471" w:rsidRPr="00FA0D37" w:rsidRDefault="00394471" w:rsidP="00FA0D37">
      <w:pPr>
        <w:pStyle w:val="PL"/>
        <w:rPr>
          <w:rFonts w:eastAsiaTheme="minorEastAsia"/>
        </w:rPr>
      </w:pPr>
      <w:r w:rsidRPr="00FA0D37">
        <w:t xml:space="preserve">    codebookParametersPerBC-r16                       CodebookParameters-v1610      </w:t>
      </w:r>
      <w:r w:rsidRPr="00FA0D37">
        <w:rPr>
          <w:color w:val="993366"/>
        </w:rPr>
        <w:t>OPTIONAL</w:t>
      </w:r>
      <w:r w:rsidRPr="00FA0D37">
        <w:t>,</w:t>
      </w:r>
    </w:p>
    <w:p w14:paraId="4EB71F56"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16-2a-10 Value of R for BD/CCE</w:t>
      </w:r>
    </w:p>
    <w:p w14:paraId="6239FDE8" w14:textId="77777777" w:rsidR="00394471" w:rsidRPr="00FA0D37" w:rsidRDefault="00394471" w:rsidP="00FA0D37">
      <w:pPr>
        <w:pStyle w:val="PL"/>
        <w:rPr>
          <w:rFonts w:eastAsiaTheme="minorEastAsia"/>
        </w:rPr>
      </w:pPr>
      <w:r w:rsidRPr="00FA0D37">
        <w:t xml:space="preserve">    </w:t>
      </w:r>
      <w:r w:rsidRPr="00FA0D37">
        <w:rPr>
          <w:rFonts w:eastAsiaTheme="minorEastAsia"/>
        </w:rPr>
        <w:t>blindDetectFactor-r16</w:t>
      </w:r>
      <w:r w:rsidRPr="00FA0D37">
        <w:t xml:space="preserve">                             </w:t>
      </w:r>
      <w:r w:rsidRPr="00FA0D37">
        <w:rPr>
          <w:rFonts w:eastAsiaTheme="minorEastAsia"/>
          <w:color w:val="993366"/>
        </w:rPr>
        <w:t>INTEGER</w:t>
      </w:r>
      <w:r w:rsidRPr="00FA0D37">
        <w:rPr>
          <w:rFonts w:eastAsiaTheme="minorEastAsia"/>
        </w:rPr>
        <w:t xml:space="preserve"> (1..2)</w:t>
      </w:r>
      <w:r w:rsidRPr="00FA0D37">
        <w:t xml:space="preserve">                </w:t>
      </w:r>
      <w:r w:rsidRPr="00FA0D37">
        <w:rPr>
          <w:rFonts w:eastAsiaTheme="minorEastAsia"/>
          <w:color w:val="993366"/>
        </w:rPr>
        <w:t>OPTIONAL</w:t>
      </w:r>
      <w:r w:rsidRPr="00FA0D37">
        <w:rPr>
          <w:rFonts w:eastAsiaTheme="minorEastAsia"/>
        </w:rPr>
        <w:t>,</w:t>
      </w:r>
    </w:p>
    <w:p w14:paraId="65CE9B0D"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11-2a: Capability on the number of CCs for monitoring a maximum number of BDs and non-overlapped CCEs per span when configured</w:t>
      </w:r>
    </w:p>
    <w:p w14:paraId="421F1F88" w14:textId="77777777" w:rsidR="00394471" w:rsidRPr="00FA0D37" w:rsidRDefault="00394471" w:rsidP="00FA0D37">
      <w:pPr>
        <w:pStyle w:val="PL"/>
        <w:rPr>
          <w:rFonts w:eastAsiaTheme="minorEastAsia"/>
          <w:color w:val="808080"/>
        </w:rPr>
      </w:pPr>
      <w:r w:rsidRPr="00FA0D37">
        <w:t xml:space="preserve">    </w:t>
      </w:r>
      <w:r w:rsidRPr="00FA0D37">
        <w:rPr>
          <w:color w:val="808080"/>
        </w:rPr>
        <w:t>--</w:t>
      </w:r>
      <w:r w:rsidRPr="00FA0D37">
        <w:rPr>
          <w:rFonts w:eastAsiaTheme="minorEastAsia"/>
          <w:color w:val="808080"/>
        </w:rPr>
        <w:t xml:space="preserve"> with DL CA with Rel-16 PDCCH monitoring capability on all the serving cells</w:t>
      </w:r>
    </w:p>
    <w:p w14:paraId="3F098E21" w14:textId="77777777" w:rsidR="00394471" w:rsidRPr="00FA0D37" w:rsidRDefault="00394471" w:rsidP="00FA0D37">
      <w:pPr>
        <w:pStyle w:val="PL"/>
        <w:rPr>
          <w:rFonts w:eastAsiaTheme="minorEastAsia"/>
        </w:rPr>
      </w:pPr>
      <w:r w:rsidRPr="00FA0D37">
        <w:t xml:space="preserve">    </w:t>
      </w:r>
      <w:r w:rsidRPr="00FA0D37">
        <w:rPr>
          <w:rFonts w:eastAsiaTheme="minorEastAsia"/>
        </w:rPr>
        <w:t>pdcch-MonitoringCA-r16</w:t>
      </w:r>
      <w:r w:rsidRPr="00FA0D37">
        <w:t xml:space="preserve">                            </w:t>
      </w:r>
      <w:r w:rsidRPr="00FA0D37">
        <w:rPr>
          <w:rFonts w:eastAsiaTheme="minorEastAsia"/>
          <w:color w:val="993366"/>
        </w:rPr>
        <w:t>SEQUENCE</w:t>
      </w:r>
      <w:r w:rsidRPr="00FA0D37">
        <w:rPr>
          <w:rFonts w:eastAsiaTheme="minorEastAsia"/>
        </w:rPr>
        <w:t xml:space="preserve"> {</w:t>
      </w:r>
    </w:p>
    <w:p w14:paraId="6C9E6D24" w14:textId="77777777" w:rsidR="00394471" w:rsidRPr="00FA0D37" w:rsidRDefault="00394471" w:rsidP="00FA0D37">
      <w:pPr>
        <w:pStyle w:val="PL"/>
        <w:rPr>
          <w:rFonts w:eastAsiaTheme="minorEastAsia"/>
        </w:rPr>
      </w:pPr>
      <w:r w:rsidRPr="00FA0D37">
        <w:t xml:space="preserve">        </w:t>
      </w:r>
      <w:r w:rsidRPr="00FA0D37">
        <w:rPr>
          <w:rFonts w:eastAsiaTheme="minorEastAsia"/>
        </w:rPr>
        <w:t>maxNumberOfMonitoringCC-r16</w:t>
      </w:r>
      <w:r w:rsidRPr="00FA0D37">
        <w:t xml:space="preserve">                       </w:t>
      </w:r>
      <w:r w:rsidRPr="00FA0D37">
        <w:rPr>
          <w:rFonts w:eastAsiaTheme="minorEastAsia"/>
          <w:color w:val="993366"/>
        </w:rPr>
        <w:t>INTEGER</w:t>
      </w:r>
      <w:r w:rsidRPr="00FA0D37">
        <w:rPr>
          <w:rFonts w:eastAsiaTheme="minorEastAsia"/>
        </w:rPr>
        <w:t xml:space="preserve"> (2..16),</w:t>
      </w:r>
    </w:p>
    <w:p w14:paraId="14CDE02A" w14:textId="77777777" w:rsidR="00394471" w:rsidRPr="00FA0D37" w:rsidRDefault="00394471" w:rsidP="00FA0D37">
      <w:pPr>
        <w:pStyle w:val="PL"/>
        <w:rPr>
          <w:rFonts w:eastAsiaTheme="minorEastAsia"/>
        </w:rPr>
      </w:pPr>
      <w:r w:rsidRPr="00FA0D37">
        <w:t xml:space="preserve">        </w:t>
      </w:r>
      <w:r w:rsidRPr="00FA0D37">
        <w:rPr>
          <w:rFonts w:eastAsiaTheme="minorEastAsia"/>
        </w:rPr>
        <w:t>supportedSpanArrangement-r16</w:t>
      </w:r>
      <w:r w:rsidRPr="00FA0D37">
        <w:t xml:space="preserve">                      </w:t>
      </w:r>
      <w:r w:rsidRPr="00FA0D37">
        <w:rPr>
          <w:rFonts w:eastAsiaTheme="minorEastAsia"/>
          <w:color w:val="993366"/>
        </w:rPr>
        <w:t>ENUMERATED</w:t>
      </w:r>
      <w:r w:rsidRPr="00FA0D37">
        <w:rPr>
          <w:rFonts w:eastAsiaTheme="minorEastAsia"/>
        </w:rPr>
        <w:t xml:space="preserve"> {alignedOnly, alignedAndNonAligned}</w:t>
      </w:r>
    </w:p>
    <w:p w14:paraId="391D55E5" w14:textId="77777777" w:rsidR="00394471" w:rsidRPr="00FA0D37" w:rsidRDefault="00394471" w:rsidP="00FA0D37">
      <w:pPr>
        <w:pStyle w:val="PL"/>
        <w:rPr>
          <w:rFonts w:eastAsiaTheme="minorEastAsia"/>
        </w:rPr>
      </w:pPr>
      <w:r w:rsidRPr="00FA0D37">
        <w:t xml:space="preserve">    </w:t>
      </w:r>
      <w:r w:rsidRPr="00FA0D37">
        <w:rPr>
          <w:rFonts w:eastAsiaTheme="minorEastAsia"/>
        </w:rPr>
        <w:t>}</w:t>
      </w:r>
      <w:r w:rsidRPr="00FA0D37">
        <w:t xml:space="preserve">                                                                               </w:t>
      </w:r>
      <w:r w:rsidRPr="00FA0D37">
        <w:rPr>
          <w:rFonts w:eastAsiaTheme="minorEastAsia"/>
          <w:color w:val="993366"/>
        </w:rPr>
        <w:t>OPTIONAL</w:t>
      </w:r>
      <w:r w:rsidRPr="00FA0D37">
        <w:rPr>
          <w:rFonts w:eastAsiaTheme="minorEastAsia"/>
        </w:rPr>
        <w:t>,</w:t>
      </w:r>
    </w:p>
    <w:p w14:paraId="3574F33B"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11-2c: Number of carriers for CCE/BD scaling with DL CA with mix of Rel. 16 and Rel. 15 PDCCH monitoring capabilities on</w:t>
      </w:r>
    </w:p>
    <w:p w14:paraId="62A3EB62" w14:textId="77777777" w:rsidR="00394471" w:rsidRPr="00FA0D37" w:rsidRDefault="00394471" w:rsidP="00FA0D37">
      <w:pPr>
        <w:pStyle w:val="PL"/>
        <w:rPr>
          <w:rFonts w:eastAsiaTheme="minorEastAsia"/>
          <w:color w:val="808080"/>
        </w:rPr>
      </w:pPr>
      <w:r w:rsidRPr="00FA0D37">
        <w:t xml:space="preserve">    </w:t>
      </w:r>
      <w:r w:rsidRPr="00FA0D37">
        <w:rPr>
          <w:color w:val="808080"/>
        </w:rPr>
        <w:t>--</w:t>
      </w:r>
      <w:r w:rsidRPr="00FA0D37">
        <w:rPr>
          <w:rFonts w:eastAsiaTheme="minorEastAsia"/>
          <w:color w:val="808080"/>
        </w:rPr>
        <w:t xml:space="preserve"> different carriers</w:t>
      </w:r>
    </w:p>
    <w:p w14:paraId="4589FD58"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pdcch-BlindDetectionCA-Mixed-r16</w:t>
      </w:r>
      <w:r w:rsidRPr="00FA0D37">
        <w:t xml:space="preserve">                  </w:t>
      </w:r>
      <w:r w:rsidRPr="00FA0D37">
        <w:rPr>
          <w:rFonts w:eastAsiaTheme="minorEastAsia"/>
          <w:color w:val="993366"/>
        </w:rPr>
        <w:t>SEQUENCE</w:t>
      </w:r>
      <w:r w:rsidRPr="00FA0D37">
        <w:rPr>
          <w:rFonts w:eastAsiaTheme="minorEastAsia"/>
        </w:rPr>
        <w:t xml:space="preserve"> {</w:t>
      </w:r>
    </w:p>
    <w:p w14:paraId="59C904A4"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pdcch-BlindDetectionCA1-r16</w:t>
      </w:r>
      <w:r w:rsidRPr="00FA0D37">
        <w:t xml:space="preserve">                       </w:t>
      </w:r>
      <w:r w:rsidRPr="00FA0D37">
        <w:rPr>
          <w:rFonts w:eastAsiaTheme="minorEastAsia"/>
          <w:color w:val="993366"/>
        </w:rPr>
        <w:t>INTEGER</w:t>
      </w:r>
      <w:r w:rsidRPr="00FA0D37">
        <w:rPr>
          <w:rFonts w:eastAsiaTheme="minorEastAsia"/>
        </w:rPr>
        <w:t xml:space="preserve"> (1..15),</w:t>
      </w:r>
    </w:p>
    <w:p w14:paraId="0FC3E218"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pdcch-BlindDetectionCA2-r16</w:t>
      </w:r>
      <w:r w:rsidRPr="00FA0D37">
        <w:t xml:space="preserve">                       </w:t>
      </w:r>
      <w:r w:rsidRPr="00FA0D37">
        <w:rPr>
          <w:rFonts w:eastAsiaTheme="minorEastAsia"/>
          <w:color w:val="993366"/>
        </w:rPr>
        <w:t>INTEGER</w:t>
      </w:r>
      <w:r w:rsidRPr="00FA0D37">
        <w:rPr>
          <w:rFonts w:eastAsiaTheme="minorEastAsia"/>
        </w:rPr>
        <w:t xml:space="preserve"> (1..15),</w:t>
      </w:r>
    </w:p>
    <w:p w14:paraId="68C57660" w14:textId="77777777" w:rsidR="00394471" w:rsidRPr="00FA0D37" w:rsidRDefault="00394471" w:rsidP="00FA0D37">
      <w:pPr>
        <w:pStyle w:val="PL"/>
        <w:rPr>
          <w:rFonts w:eastAsiaTheme="minorEastAsia"/>
        </w:rPr>
      </w:pPr>
      <w:r w:rsidRPr="00FA0D37">
        <w:t xml:space="preserve">        </w:t>
      </w:r>
      <w:r w:rsidRPr="00FA0D37">
        <w:rPr>
          <w:rFonts w:eastAsiaTheme="minorEastAsia"/>
        </w:rPr>
        <w:t>supportedSpanArrangement-r16</w:t>
      </w:r>
      <w:r w:rsidRPr="00FA0D37">
        <w:t xml:space="preserve">                      </w:t>
      </w:r>
      <w:r w:rsidRPr="00FA0D37">
        <w:rPr>
          <w:rFonts w:eastAsiaTheme="minorEastAsia"/>
          <w:color w:val="993366"/>
        </w:rPr>
        <w:t>ENUMERATED</w:t>
      </w:r>
      <w:r w:rsidRPr="00FA0D37">
        <w:rPr>
          <w:rFonts w:eastAsiaTheme="minorEastAsia"/>
        </w:rPr>
        <w:t xml:space="preserve"> {alignedOnly, alignedAndNonAligned}</w:t>
      </w:r>
    </w:p>
    <w:p w14:paraId="7A5B41E6" w14:textId="77777777" w:rsidR="00394471" w:rsidRPr="00FA0D37" w:rsidRDefault="00394471" w:rsidP="00FA0D37">
      <w:pPr>
        <w:pStyle w:val="PL"/>
        <w:rPr>
          <w:rFonts w:eastAsiaTheme="minorEastAsia"/>
        </w:rPr>
      </w:pPr>
      <w:r w:rsidRPr="00FA0D37">
        <w:t xml:space="preserve">    </w:t>
      </w:r>
      <w:r w:rsidRPr="00FA0D37">
        <w:rPr>
          <w:rFonts w:eastAsiaTheme="minorEastAsia"/>
        </w:rPr>
        <w:t>}</w:t>
      </w:r>
      <w:r w:rsidRPr="00FA0D37">
        <w:t xml:space="preserve">                                                                               </w:t>
      </w:r>
      <w:r w:rsidRPr="00FA0D37">
        <w:rPr>
          <w:rFonts w:eastAsiaTheme="minorEastAsia"/>
          <w:color w:val="993366"/>
        </w:rPr>
        <w:t>OPTIONAL</w:t>
      </w:r>
      <w:r w:rsidRPr="00FA0D37">
        <w:rPr>
          <w:rFonts w:eastAsiaTheme="minorEastAsia"/>
        </w:rPr>
        <w:t>,</w:t>
      </w:r>
    </w:p>
    <w:p w14:paraId="19FC0C84"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11-2d: Capability on the number of CCs for monitoring a maximum number of BDs and non-overlapped CCEs per span for MCG and for</w:t>
      </w:r>
    </w:p>
    <w:p w14:paraId="7578F672" w14:textId="77777777" w:rsidR="00394471" w:rsidRPr="00FA0D37" w:rsidRDefault="00394471" w:rsidP="00FA0D37">
      <w:pPr>
        <w:pStyle w:val="PL"/>
        <w:rPr>
          <w:rFonts w:eastAsiaTheme="minorEastAsia"/>
          <w:color w:val="808080"/>
        </w:rPr>
      </w:pPr>
      <w:r w:rsidRPr="00FA0D37">
        <w:t xml:space="preserve">    </w:t>
      </w:r>
      <w:r w:rsidRPr="00FA0D37">
        <w:rPr>
          <w:color w:val="808080"/>
        </w:rPr>
        <w:t>--</w:t>
      </w:r>
      <w:r w:rsidRPr="00FA0D37">
        <w:rPr>
          <w:rFonts w:eastAsiaTheme="minorEastAsia"/>
          <w:color w:val="808080"/>
        </w:rPr>
        <w:t xml:space="preserve"> SCG when configured for NR-DC operation with Rel-16 PDCCH monitoring capability on all the serving cells</w:t>
      </w:r>
    </w:p>
    <w:p w14:paraId="3C937318"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pdcch-BlindDetectionMCG-UE-r16</w:t>
      </w:r>
      <w:r w:rsidRPr="00FA0D37">
        <w:t xml:space="preserve">                    </w:t>
      </w:r>
      <w:r w:rsidRPr="00FA0D37">
        <w:rPr>
          <w:rFonts w:eastAsiaTheme="minorEastAsia"/>
          <w:color w:val="993366"/>
        </w:rPr>
        <w:t>INTEGER</w:t>
      </w:r>
      <w:r w:rsidRPr="00FA0D37">
        <w:rPr>
          <w:rFonts w:eastAsiaTheme="minorEastAsia"/>
        </w:rPr>
        <w:t xml:space="preserve"> (1..14)</w:t>
      </w:r>
      <w:r w:rsidRPr="00FA0D37">
        <w:t xml:space="preserve">               </w:t>
      </w:r>
      <w:r w:rsidRPr="00FA0D37">
        <w:rPr>
          <w:color w:val="993366"/>
        </w:rPr>
        <w:t>O</w:t>
      </w:r>
      <w:r w:rsidRPr="00FA0D37">
        <w:rPr>
          <w:rFonts w:eastAsiaTheme="minorEastAsia"/>
          <w:color w:val="993366"/>
        </w:rPr>
        <w:t>PTIONAL</w:t>
      </w:r>
      <w:r w:rsidRPr="00FA0D37">
        <w:rPr>
          <w:rFonts w:eastAsiaTheme="minorEastAsia"/>
        </w:rPr>
        <w:t>,</w:t>
      </w:r>
    </w:p>
    <w:p w14:paraId="7FB326F9"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pdcch-BlindDetectionSCG-UE-r16</w:t>
      </w:r>
      <w:r w:rsidRPr="00FA0D37">
        <w:t xml:space="preserve">                    </w:t>
      </w:r>
      <w:r w:rsidRPr="00FA0D37">
        <w:rPr>
          <w:rFonts w:eastAsiaTheme="minorEastAsia"/>
          <w:color w:val="993366"/>
        </w:rPr>
        <w:t>INTEGER</w:t>
      </w:r>
      <w:r w:rsidRPr="00FA0D37">
        <w:rPr>
          <w:rFonts w:eastAsiaTheme="minorEastAsia"/>
        </w:rPr>
        <w:t xml:space="preserve"> (1..14)</w:t>
      </w:r>
      <w:r w:rsidRPr="00FA0D37">
        <w:t xml:space="preserve">               </w:t>
      </w:r>
      <w:r w:rsidRPr="00FA0D37">
        <w:rPr>
          <w:rFonts w:eastAsiaTheme="minorEastAsia"/>
          <w:color w:val="993366"/>
        </w:rPr>
        <w:t>OPTIONAL</w:t>
      </w:r>
      <w:r w:rsidRPr="00FA0D37">
        <w:rPr>
          <w:rFonts w:eastAsiaTheme="minorEastAsia"/>
        </w:rPr>
        <w:t>,</w:t>
      </w:r>
    </w:p>
    <w:p w14:paraId="16EB14B2"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11-2e: Number of carriers for CCE/BD scaling for MCG and for SCG when configured for NR-DC operation with mix of Rel. 16 and</w:t>
      </w:r>
    </w:p>
    <w:p w14:paraId="5385BC6A" w14:textId="77777777" w:rsidR="00394471" w:rsidRPr="00FA0D37" w:rsidRDefault="00394471" w:rsidP="00FA0D37">
      <w:pPr>
        <w:pStyle w:val="PL"/>
        <w:rPr>
          <w:rFonts w:eastAsiaTheme="minorEastAsia"/>
          <w:color w:val="808080"/>
        </w:rPr>
      </w:pPr>
      <w:r w:rsidRPr="00FA0D37">
        <w:t xml:space="preserve">    </w:t>
      </w:r>
      <w:r w:rsidRPr="00FA0D37">
        <w:rPr>
          <w:color w:val="808080"/>
        </w:rPr>
        <w:t>--</w:t>
      </w:r>
      <w:r w:rsidRPr="00FA0D37">
        <w:rPr>
          <w:rFonts w:eastAsiaTheme="minorEastAsia"/>
          <w:color w:val="808080"/>
        </w:rPr>
        <w:t xml:space="preserve"> Rel. 15 PDCCH monitoring capabilities on different carriers</w:t>
      </w:r>
    </w:p>
    <w:p w14:paraId="4C9A20D9"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pdcch-BlindDetectionMCG-UE-Mixed-r16</w:t>
      </w:r>
      <w:r w:rsidRPr="00FA0D37">
        <w:t xml:space="preserve">              </w:t>
      </w:r>
      <w:r w:rsidRPr="00FA0D37">
        <w:rPr>
          <w:rFonts w:eastAsiaTheme="minorEastAsia"/>
          <w:color w:val="993366"/>
        </w:rPr>
        <w:t>SEQUENCE</w:t>
      </w:r>
      <w:r w:rsidRPr="00FA0D37">
        <w:rPr>
          <w:rFonts w:eastAsiaTheme="minorEastAsia"/>
        </w:rPr>
        <w:t xml:space="preserve"> {</w:t>
      </w:r>
    </w:p>
    <w:p w14:paraId="4FEB05B7"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pdcch-BlindDetectionMCG-UE1-r16</w:t>
      </w:r>
      <w:r w:rsidRPr="00FA0D37">
        <w:t xml:space="preserve">                   </w:t>
      </w:r>
      <w:r w:rsidRPr="00FA0D37">
        <w:rPr>
          <w:rFonts w:eastAsiaTheme="minorEastAsia"/>
          <w:color w:val="993366"/>
        </w:rPr>
        <w:t>INTEGER</w:t>
      </w:r>
      <w:r w:rsidRPr="00FA0D37">
        <w:rPr>
          <w:rFonts w:eastAsiaTheme="minorEastAsia"/>
        </w:rPr>
        <w:t xml:space="preserve"> (0..15),</w:t>
      </w:r>
    </w:p>
    <w:p w14:paraId="06471201"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pdcch-BlindDetectionMCG-UE2-r16</w:t>
      </w:r>
      <w:r w:rsidRPr="00FA0D37">
        <w:t xml:space="preserve">                   </w:t>
      </w:r>
      <w:r w:rsidRPr="00FA0D37">
        <w:rPr>
          <w:rFonts w:eastAsiaTheme="minorEastAsia"/>
          <w:color w:val="993366"/>
        </w:rPr>
        <w:t>INTEGER</w:t>
      </w:r>
      <w:r w:rsidRPr="00FA0D37">
        <w:rPr>
          <w:rFonts w:eastAsiaTheme="minorEastAsia"/>
        </w:rPr>
        <w:t xml:space="preserve"> (0..15)</w:t>
      </w:r>
    </w:p>
    <w:p w14:paraId="6F8A5FA4" w14:textId="77777777" w:rsidR="00394471" w:rsidRPr="00FA0D37" w:rsidRDefault="00394471" w:rsidP="00FA0D37">
      <w:pPr>
        <w:pStyle w:val="PL"/>
        <w:rPr>
          <w:rFonts w:eastAsiaTheme="minorEastAsia"/>
        </w:rPr>
      </w:pPr>
      <w:r w:rsidRPr="00FA0D37">
        <w:t xml:space="preserve">    </w:t>
      </w:r>
      <w:r w:rsidRPr="00FA0D37">
        <w:rPr>
          <w:rFonts w:eastAsiaTheme="minorEastAsia"/>
        </w:rPr>
        <w:t>}</w:t>
      </w:r>
      <w:r w:rsidRPr="00FA0D37">
        <w:t xml:space="preserve">                                                                               </w:t>
      </w:r>
      <w:r w:rsidRPr="00FA0D37">
        <w:rPr>
          <w:rFonts w:eastAsiaTheme="minorEastAsia"/>
          <w:color w:val="993366"/>
        </w:rPr>
        <w:t>OPTIONAL</w:t>
      </w:r>
      <w:r w:rsidRPr="00FA0D37">
        <w:rPr>
          <w:rFonts w:eastAsiaTheme="minorEastAsia"/>
        </w:rPr>
        <w:t>,</w:t>
      </w:r>
    </w:p>
    <w:p w14:paraId="2A840805"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pdcch-BlindDetectionSCG-UE-Mixed-r16</w:t>
      </w:r>
      <w:r w:rsidRPr="00FA0D37">
        <w:t xml:space="preserve">              </w:t>
      </w:r>
      <w:r w:rsidRPr="00FA0D37">
        <w:rPr>
          <w:rFonts w:eastAsiaTheme="minorEastAsia"/>
          <w:color w:val="993366"/>
        </w:rPr>
        <w:t>SEQUENCE</w:t>
      </w:r>
      <w:r w:rsidRPr="00FA0D37">
        <w:rPr>
          <w:rFonts w:eastAsiaTheme="minorEastAsia"/>
        </w:rPr>
        <w:t xml:space="preserve"> {</w:t>
      </w:r>
    </w:p>
    <w:p w14:paraId="263481F5" w14:textId="77777777" w:rsidR="00394471" w:rsidRPr="00FA0D37" w:rsidRDefault="00394471" w:rsidP="00FA0D37">
      <w:pPr>
        <w:pStyle w:val="PL"/>
        <w:rPr>
          <w:rFonts w:eastAsiaTheme="minorEastAsia"/>
        </w:rPr>
      </w:pPr>
      <w:r w:rsidRPr="00FA0D37">
        <w:t xml:space="preserve">        </w:t>
      </w:r>
      <w:r w:rsidRPr="00FA0D37">
        <w:rPr>
          <w:rFonts w:eastAsiaTheme="minorEastAsia"/>
        </w:rPr>
        <w:t>pdcch-BlindDetectionSCG-UE1-r16</w:t>
      </w:r>
      <w:r w:rsidRPr="00FA0D37">
        <w:t xml:space="preserve">                   </w:t>
      </w:r>
      <w:r w:rsidRPr="00FA0D37">
        <w:rPr>
          <w:rFonts w:eastAsiaTheme="minorEastAsia"/>
          <w:color w:val="993366"/>
        </w:rPr>
        <w:t>INTEGER</w:t>
      </w:r>
      <w:r w:rsidRPr="00FA0D37">
        <w:rPr>
          <w:rFonts w:eastAsiaTheme="minorEastAsia"/>
        </w:rPr>
        <w:t xml:space="preserve"> (0..15),</w:t>
      </w:r>
    </w:p>
    <w:p w14:paraId="476A5B30" w14:textId="77777777" w:rsidR="00394471" w:rsidRPr="00FA0D37" w:rsidRDefault="00394471" w:rsidP="00FA0D37">
      <w:pPr>
        <w:pStyle w:val="PL"/>
        <w:rPr>
          <w:rFonts w:eastAsiaTheme="minorEastAsia"/>
        </w:rPr>
      </w:pPr>
      <w:r w:rsidRPr="00FA0D37">
        <w:lastRenderedPageBreak/>
        <w:t xml:space="preserve">        </w:t>
      </w:r>
      <w:r w:rsidRPr="00FA0D37">
        <w:rPr>
          <w:rFonts w:eastAsiaTheme="minorEastAsia"/>
        </w:rPr>
        <w:t>pdcch-BlindDetectionSCG-UE2-r16</w:t>
      </w:r>
      <w:r w:rsidRPr="00FA0D37">
        <w:t xml:space="preserve">                   </w:t>
      </w:r>
      <w:r w:rsidRPr="00FA0D37">
        <w:rPr>
          <w:rFonts w:eastAsiaTheme="minorEastAsia"/>
          <w:color w:val="993366"/>
        </w:rPr>
        <w:t>INTEGER</w:t>
      </w:r>
      <w:r w:rsidRPr="00FA0D37">
        <w:rPr>
          <w:rFonts w:eastAsiaTheme="minorEastAsia"/>
        </w:rPr>
        <w:t xml:space="preserve"> (0..15)</w:t>
      </w:r>
    </w:p>
    <w:p w14:paraId="56390957" w14:textId="77777777" w:rsidR="00394471" w:rsidRPr="00FA0D37" w:rsidRDefault="00394471" w:rsidP="00FA0D37">
      <w:pPr>
        <w:pStyle w:val="PL"/>
        <w:rPr>
          <w:rFonts w:eastAsiaTheme="minorEastAsia"/>
        </w:rPr>
      </w:pPr>
      <w:r w:rsidRPr="00FA0D37">
        <w:t xml:space="preserve">    </w:t>
      </w:r>
      <w:r w:rsidRPr="00FA0D37">
        <w:rPr>
          <w:rFonts w:eastAsiaTheme="minorEastAsia"/>
        </w:rPr>
        <w:t>}</w:t>
      </w:r>
      <w:r w:rsidRPr="00FA0D37">
        <w:t xml:space="preserve">                                                                               </w:t>
      </w:r>
      <w:r w:rsidRPr="00FA0D37">
        <w:rPr>
          <w:rFonts w:eastAsiaTheme="minorEastAsia"/>
          <w:color w:val="993366"/>
        </w:rPr>
        <w:t>OPTIONAL</w:t>
      </w:r>
      <w:r w:rsidRPr="00FA0D37">
        <w:rPr>
          <w:rFonts w:eastAsiaTheme="minorEastAsia"/>
        </w:rPr>
        <w:t>,</w:t>
      </w:r>
    </w:p>
    <w:p w14:paraId="652844B1"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rPr>
        <w:t xml:space="preserve"> </w:t>
      </w:r>
      <w:r w:rsidRPr="00FA0D37">
        <w:rPr>
          <w:rFonts w:eastAsiaTheme="minorEastAsia"/>
          <w:color w:val="808080"/>
        </w:rPr>
        <w:t>-- R1 18-5 cross-carrier scheduling with different SCS in DL CA</w:t>
      </w:r>
    </w:p>
    <w:p w14:paraId="54E01E54" w14:textId="77777777" w:rsidR="00394471" w:rsidRPr="00FA0D37" w:rsidRDefault="00394471" w:rsidP="00FA0D37">
      <w:pPr>
        <w:pStyle w:val="PL"/>
        <w:rPr>
          <w:rFonts w:eastAsiaTheme="minorEastAsia"/>
        </w:rPr>
      </w:pPr>
      <w:r w:rsidRPr="00FA0D37">
        <w:t xml:space="preserve">    </w:t>
      </w:r>
      <w:r w:rsidRPr="00FA0D37">
        <w:rPr>
          <w:rFonts w:eastAsiaTheme="minorEastAsia"/>
        </w:rPr>
        <w:t>crossCarrierSchedulingDL-DiffSCS-r16</w:t>
      </w:r>
      <w:r w:rsidRPr="00FA0D37">
        <w:t xml:space="preserve">              </w:t>
      </w:r>
      <w:r w:rsidRPr="00FA0D37">
        <w:rPr>
          <w:rFonts w:eastAsiaTheme="minorEastAsia"/>
          <w:color w:val="993366"/>
        </w:rPr>
        <w:t>ENUMERATED</w:t>
      </w:r>
      <w:r w:rsidRPr="00FA0D37">
        <w:rPr>
          <w:rFonts w:eastAsiaTheme="minorEastAsia"/>
        </w:rPr>
        <w:t xml:space="preserve"> {low-to-high, high-to-low, both} </w:t>
      </w:r>
      <w:r w:rsidRPr="00FA0D37">
        <w:rPr>
          <w:rFonts w:eastAsiaTheme="minorEastAsia"/>
          <w:color w:val="993366"/>
        </w:rPr>
        <w:t>OPTIONAL</w:t>
      </w:r>
      <w:r w:rsidRPr="00FA0D37">
        <w:rPr>
          <w:rFonts w:eastAsiaTheme="minorEastAsia"/>
        </w:rPr>
        <w:t>,</w:t>
      </w:r>
    </w:p>
    <w:p w14:paraId="34F8692A"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18-5a Default QCL assumption for cross-carrier scheduling</w:t>
      </w:r>
    </w:p>
    <w:p w14:paraId="38E73245" w14:textId="77777777" w:rsidR="00394471" w:rsidRPr="00FA0D37" w:rsidRDefault="00394471" w:rsidP="00FA0D37">
      <w:pPr>
        <w:pStyle w:val="PL"/>
        <w:rPr>
          <w:rFonts w:eastAsiaTheme="minorEastAsia"/>
        </w:rPr>
      </w:pPr>
      <w:r w:rsidRPr="00FA0D37">
        <w:t xml:space="preserve">    </w:t>
      </w:r>
      <w:r w:rsidRPr="00FA0D37">
        <w:rPr>
          <w:rFonts w:eastAsiaTheme="minorEastAsia"/>
        </w:rPr>
        <w:t>crossCarrierSchedulingDefaultQCL-r16</w:t>
      </w:r>
      <w:r w:rsidRPr="00FA0D37">
        <w:t xml:space="preserve">              </w:t>
      </w:r>
      <w:r w:rsidRPr="00FA0D37">
        <w:rPr>
          <w:rFonts w:eastAsiaTheme="minorEastAsia"/>
          <w:color w:val="993366"/>
        </w:rPr>
        <w:t>ENUMERATED</w:t>
      </w:r>
      <w:r w:rsidRPr="00FA0D37">
        <w:rPr>
          <w:rFonts w:eastAsiaTheme="minorEastAsia"/>
        </w:rPr>
        <w:t xml:space="preserve"> {diff-only, both}</w:t>
      </w:r>
      <w:r w:rsidRPr="00FA0D37">
        <w:t xml:space="preserve">  </w:t>
      </w:r>
      <w:r w:rsidRPr="00FA0D37">
        <w:rPr>
          <w:rFonts w:eastAsiaTheme="minorEastAsia"/>
          <w:color w:val="993366"/>
        </w:rPr>
        <w:t>OPTIONAL</w:t>
      </w:r>
      <w:r w:rsidRPr="00FA0D37">
        <w:rPr>
          <w:rFonts w:eastAsiaTheme="minorEastAsia"/>
        </w:rPr>
        <w:t>,</w:t>
      </w:r>
    </w:p>
    <w:p w14:paraId="18805BE2"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18-5b cross-carrier scheduling with different SCS in UL CA</w:t>
      </w:r>
    </w:p>
    <w:p w14:paraId="0F51A646" w14:textId="77777777" w:rsidR="00394471" w:rsidRPr="00FA0D37" w:rsidRDefault="00394471" w:rsidP="00FA0D37">
      <w:pPr>
        <w:pStyle w:val="PL"/>
        <w:rPr>
          <w:rFonts w:eastAsiaTheme="minorEastAsia"/>
        </w:rPr>
      </w:pPr>
      <w:r w:rsidRPr="00FA0D37">
        <w:t xml:space="preserve">    </w:t>
      </w:r>
      <w:r w:rsidRPr="00FA0D37">
        <w:rPr>
          <w:rFonts w:eastAsiaTheme="minorEastAsia"/>
        </w:rPr>
        <w:t>crossCarrierSchedulingUL-DiffSCS-r16</w:t>
      </w:r>
      <w:r w:rsidRPr="00FA0D37">
        <w:t xml:space="preserve">              </w:t>
      </w:r>
      <w:r w:rsidRPr="00FA0D37">
        <w:rPr>
          <w:rFonts w:eastAsiaTheme="minorEastAsia"/>
          <w:color w:val="993366"/>
        </w:rPr>
        <w:t>ENUMERATED</w:t>
      </w:r>
      <w:r w:rsidRPr="00FA0D37">
        <w:rPr>
          <w:rFonts w:eastAsiaTheme="minorEastAsia"/>
        </w:rPr>
        <w:t xml:space="preserve"> {low-to-high, high-to-low, both}</w:t>
      </w:r>
      <w:r w:rsidRPr="00FA0D37">
        <w:t xml:space="preserve"> </w:t>
      </w:r>
      <w:r w:rsidRPr="00FA0D37">
        <w:rPr>
          <w:rFonts w:eastAsiaTheme="minorEastAsia"/>
          <w:color w:val="993366"/>
        </w:rPr>
        <w:t>OPTIONAL</w:t>
      </w:r>
      <w:r w:rsidRPr="00FA0D37">
        <w:rPr>
          <w:rFonts w:eastAsiaTheme="minorEastAsia"/>
        </w:rPr>
        <w:t>,</w:t>
      </w:r>
    </w:p>
    <w:p w14:paraId="4A64959C"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13.19a Simultaneous positioning SRS and MIMO SRS transmission for a given BC</w:t>
      </w:r>
    </w:p>
    <w:p w14:paraId="0FCC54C5" w14:textId="77777777" w:rsidR="00394471" w:rsidRPr="00FA0D37" w:rsidRDefault="00394471" w:rsidP="00FA0D37">
      <w:pPr>
        <w:pStyle w:val="PL"/>
      </w:pPr>
      <w:r w:rsidRPr="00FA0D37">
        <w:t xml:space="preserve">    simul-SRS-MIMO-Trans-BC-r16                       </w:t>
      </w:r>
      <w:r w:rsidRPr="00FA0D37">
        <w:rPr>
          <w:color w:val="993366"/>
        </w:rPr>
        <w:t>ENUMERATED</w:t>
      </w:r>
      <w:r w:rsidRPr="00FA0D37">
        <w:t xml:space="preserve"> {n2}               </w:t>
      </w:r>
      <w:r w:rsidRPr="00FA0D37">
        <w:rPr>
          <w:color w:val="993366"/>
        </w:rPr>
        <w:t>OPTIONAL</w:t>
      </w:r>
      <w:r w:rsidRPr="00FA0D37">
        <w:t>,</w:t>
      </w:r>
    </w:p>
    <w:p w14:paraId="2CDCCDE7" w14:textId="77777777" w:rsidR="00394471" w:rsidRPr="00FA0D37" w:rsidRDefault="00394471" w:rsidP="00FA0D37">
      <w:pPr>
        <w:pStyle w:val="PL"/>
        <w:rPr>
          <w:color w:val="808080"/>
        </w:rPr>
      </w:pPr>
      <w:r w:rsidRPr="00FA0D37">
        <w:t xml:space="preserve">    </w:t>
      </w:r>
      <w:r w:rsidRPr="00FA0D37">
        <w:rPr>
          <w:color w:val="808080"/>
        </w:rPr>
        <w:t>-- R1 16-3a, 16-3a-1, 16-3b, 16-3b-1: New Individual Codebook</w:t>
      </w:r>
    </w:p>
    <w:p w14:paraId="2DD3E392" w14:textId="77777777" w:rsidR="00394471" w:rsidRPr="00FA0D37" w:rsidRDefault="00394471" w:rsidP="00FA0D37">
      <w:pPr>
        <w:pStyle w:val="PL"/>
      </w:pPr>
      <w:r w:rsidRPr="00FA0D37">
        <w:t xml:space="preserve">    codebookParametersAdditionPerBC-r16               </w:t>
      </w:r>
      <w:r w:rsidRPr="00FA0D37">
        <w:rPr>
          <w:rFonts w:eastAsia="MS Mincho"/>
        </w:rPr>
        <w:t>CodebookParametersAdditionPerBC-r16</w:t>
      </w:r>
      <w:r w:rsidRPr="00FA0D37">
        <w:t xml:space="preserve">         </w:t>
      </w:r>
      <w:r w:rsidRPr="00FA0D37">
        <w:rPr>
          <w:color w:val="993366"/>
        </w:rPr>
        <w:t>OPTIONAL</w:t>
      </w:r>
      <w:r w:rsidRPr="00FA0D37">
        <w:t>,</w:t>
      </w:r>
    </w:p>
    <w:p w14:paraId="34CE2AE9" w14:textId="77777777" w:rsidR="00394471" w:rsidRPr="00FA0D37" w:rsidRDefault="00394471" w:rsidP="00FA0D37">
      <w:pPr>
        <w:pStyle w:val="PL"/>
        <w:rPr>
          <w:color w:val="808080"/>
        </w:rPr>
      </w:pPr>
      <w:r w:rsidRPr="00FA0D37">
        <w:t xml:space="preserve">    </w:t>
      </w:r>
      <w:r w:rsidRPr="00FA0D37">
        <w:rPr>
          <w:color w:val="808080"/>
        </w:rPr>
        <w:t>-- R1 16-8: Mixed codebook</w:t>
      </w:r>
    </w:p>
    <w:p w14:paraId="6451026F" w14:textId="77777777" w:rsidR="00394471" w:rsidRPr="00FA0D37" w:rsidRDefault="00394471" w:rsidP="00FA0D37">
      <w:pPr>
        <w:pStyle w:val="PL"/>
      </w:pPr>
      <w:r w:rsidRPr="00FA0D37">
        <w:t xml:space="preserve">    codebookComboParametersAdditionPerBC-r16          </w:t>
      </w:r>
      <w:r w:rsidRPr="00FA0D37">
        <w:rPr>
          <w:rFonts w:eastAsia="MS Mincho"/>
        </w:rPr>
        <w:t>CodebookComboParametersAdditionPerBC-r16</w:t>
      </w:r>
      <w:r w:rsidRPr="00FA0D37">
        <w:t xml:space="preserve">    </w:t>
      </w:r>
      <w:r w:rsidRPr="00FA0D37">
        <w:rPr>
          <w:color w:val="993366"/>
        </w:rPr>
        <w:t>OPTIONAL</w:t>
      </w:r>
    </w:p>
    <w:p w14:paraId="12D75BB5" w14:textId="77777777" w:rsidR="00394471" w:rsidRPr="00FA0D37" w:rsidRDefault="00394471" w:rsidP="00FA0D37">
      <w:pPr>
        <w:pStyle w:val="PL"/>
      </w:pPr>
      <w:r w:rsidRPr="00FA0D37">
        <w:rPr>
          <w:rFonts w:eastAsiaTheme="minorEastAsia"/>
        </w:rPr>
        <w:t>}</w:t>
      </w:r>
    </w:p>
    <w:p w14:paraId="3A68E8B3" w14:textId="77777777" w:rsidR="00D027C1" w:rsidRPr="00FA0D37" w:rsidRDefault="00D027C1" w:rsidP="00FA0D37">
      <w:pPr>
        <w:pStyle w:val="PL"/>
      </w:pPr>
    </w:p>
    <w:p w14:paraId="65B3DB77" w14:textId="4A269080" w:rsidR="00D027C1" w:rsidRPr="00FA0D37" w:rsidRDefault="00D027C1" w:rsidP="00FA0D37">
      <w:pPr>
        <w:pStyle w:val="PL"/>
      </w:pPr>
      <w:r w:rsidRPr="00FA0D37">
        <w:t>CA-ParametersNR</w:t>
      </w:r>
      <w:r w:rsidR="003B657B" w:rsidRPr="00FA0D37">
        <w:t>-v1630</w:t>
      </w:r>
      <w:r w:rsidRPr="00FA0D37">
        <w:t xml:space="preserve"> ::= </w:t>
      </w:r>
      <w:r w:rsidRPr="00FA0D37">
        <w:rPr>
          <w:color w:val="993366"/>
        </w:rPr>
        <w:t>SEQUENCE</w:t>
      </w:r>
      <w:r w:rsidRPr="00FA0D37">
        <w:t xml:space="preserve"> {</w:t>
      </w:r>
    </w:p>
    <w:p w14:paraId="3FF74629" w14:textId="2A49A421" w:rsidR="00D027C1" w:rsidRPr="00FA0D37" w:rsidRDefault="00D027C1" w:rsidP="00FA0D37">
      <w:pPr>
        <w:pStyle w:val="PL"/>
        <w:rPr>
          <w:color w:val="808080"/>
        </w:rPr>
      </w:pPr>
      <w:r w:rsidRPr="00FA0D37">
        <w:t xml:space="preserve">    </w:t>
      </w:r>
      <w:r w:rsidRPr="00FA0D37">
        <w:rPr>
          <w:color w:val="808080"/>
        </w:rPr>
        <w:t>-- R1 22-5b: Simultaneous transmission of SRS for antenna switching and SRS for CB/NCB /BM for inter-band UL CA</w:t>
      </w:r>
    </w:p>
    <w:p w14:paraId="0C4B7C3F" w14:textId="72B0EC29" w:rsidR="00D027C1" w:rsidRPr="00FA0D37" w:rsidRDefault="00D027C1" w:rsidP="00FA0D37">
      <w:pPr>
        <w:pStyle w:val="PL"/>
        <w:rPr>
          <w:color w:val="808080"/>
        </w:rPr>
      </w:pPr>
      <w:r w:rsidRPr="00FA0D37">
        <w:t xml:space="preserve">    </w:t>
      </w:r>
      <w:r w:rsidRPr="00FA0D37">
        <w:rPr>
          <w:color w:val="808080"/>
        </w:rPr>
        <w:t>-- R1 22-5d: Simultaneous transmission of SRS for antenna switching for inter-band UL CA</w:t>
      </w:r>
      <w:r w:rsidRPr="00FA0D37">
        <w:rPr>
          <w:color w:val="808080"/>
        </w:rPr>
        <w:tab/>
      </w:r>
    </w:p>
    <w:p w14:paraId="46EA3F33" w14:textId="724596AC" w:rsidR="00D027C1" w:rsidRPr="00FA0D37" w:rsidRDefault="00D027C1" w:rsidP="00FA0D37">
      <w:pPr>
        <w:pStyle w:val="PL"/>
      </w:pPr>
      <w:r w:rsidRPr="00FA0D37">
        <w:t xml:space="preserve">    simulTX-SRS-AntSwitchingInterBandUL-CA-r16        SimulSRS-ForAntennaSwitching-r16            </w:t>
      </w:r>
      <w:r w:rsidRPr="00FA0D37">
        <w:rPr>
          <w:color w:val="993366"/>
        </w:rPr>
        <w:t>OPTIONAL</w:t>
      </w:r>
      <w:r w:rsidRPr="00FA0D37">
        <w:t>,</w:t>
      </w:r>
    </w:p>
    <w:p w14:paraId="238757DA" w14:textId="651241C2" w:rsidR="00D027C1" w:rsidRPr="00FA0D37" w:rsidRDefault="00D027C1" w:rsidP="00FA0D37">
      <w:pPr>
        <w:pStyle w:val="PL"/>
        <w:rPr>
          <w:color w:val="808080"/>
        </w:rPr>
      </w:pPr>
      <w:r w:rsidRPr="00FA0D37">
        <w:t xml:space="preserve">    </w:t>
      </w:r>
      <w:r w:rsidRPr="00FA0D37">
        <w:rPr>
          <w:color w:val="808080"/>
        </w:rPr>
        <w:t>-- R4 8-5: supported beam management type for inter-band CA</w:t>
      </w:r>
      <w:r w:rsidRPr="00FA0D37">
        <w:rPr>
          <w:color w:val="808080"/>
        </w:rPr>
        <w:tab/>
      </w:r>
    </w:p>
    <w:p w14:paraId="1A42153F" w14:textId="327E4066" w:rsidR="00D027C1" w:rsidRPr="00FA0D37" w:rsidRDefault="00D027C1" w:rsidP="00FA0D37">
      <w:pPr>
        <w:pStyle w:val="PL"/>
      </w:pPr>
      <w:r w:rsidRPr="00FA0D37">
        <w:t xml:space="preserve">    beamManagementType-r16                            </w:t>
      </w:r>
      <w:r w:rsidRPr="00FA0D37">
        <w:rPr>
          <w:color w:val="993366"/>
        </w:rPr>
        <w:t>ENUMERATED</w:t>
      </w:r>
      <w:r w:rsidRPr="00FA0D37">
        <w:t xml:space="preserve"> {ibm, </w:t>
      </w:r>
      <w:r w:rsidR="00B852EB" w:rsidRPr="00FA0D37">
        <w:t>dummy</w:t>
      </w:r>
      <w:r w:rsidRPr="00FA0D37">
        <w:t xml:space="preserve">}                       </w:t>
      </w:r>
      <w:r w:rsidRPr="00FA0D37">
        <w:rPr>
          <w:color w:val="993366"/>
        </w:rPr>
        <w:t>OPTIONAL</w:t>
      </w:r>
      <w:r w:rsidRPr="00FA0D37">
        <w:t>,</w:t>
      </w:r>
    </w:p>
    <w:p w14:paraId="7435DD90" w14:textId="3B8E8F71" w:rsidR="00D027C1" w:rsidRPr="00FA0D37" w:rsidRDefault="00D027C1" w:rsidP="00FA0D37">
      <w:pPr>
        <w:pStyle w:val="PL"/>
        <w:rPr>
          <w:color w:val="808080"/>
        </w:rPr>
      </w:pPr>
      <w:r w:rsidRPr="00FA0D37">
        <w:t xml:space="preserve">    </w:t>
      </w:r>
      <w:r w:rsidRPr="00FA0D37">
        <w:rPr>
          <w:color w:val="808080"/>
        </w:rPr>
        <w:t>-- R4 7-3a: UL frequency separation class with aggregate BW and Gap BW</w:t>
      </w:r>
    </w:p>
    <w:p w14:paraId="5181C8AF" w14:textId="2875BCB8" w:rsidR="00D027C1" w:rsidRPr="00FA0D37" w:rsidRDefault="00D027C1" w:rsidP="00FA0D37">
      <w:pPr>
        <w:pStyle w:val="PL"/>
      </w:pPr>
      <w:r w:rsidRPr="00FA0D37">
        <w:t xml:space="preserve">    intraBandFreqSeparationUL-AggBW-GapBW-r16         </w:t>
      </w:r>
      <w:r w:rsidRPr="00FA0D37">
        <w:rPr>
          <w:color w:val="993366"/>
        </w:rPr>
        <w:t>ENUMERATED</w:t>
      </w:r>
      <w:r w:rsidRPr="00FA0D37">
        <w:t xml:space="preserve"> {classI, classII, classIII}      </w:t>
      </w:r>
      <w:r w:rsidRPr="00FA0D37">
        <w:rPr>
          <w:color w:val="993366"/>
        </w:rPr>
        <w:t>OPTIONAL</w:t>
      </w:r>
      <w:r w:rsidRPr="00FA0D37">
        <w:t>,</w:t>
      </w:r>
    </w:p>
    <w:p w14:paraId="7AFCC6A6" w14:textId="202482B6" w:rsidR="00D027C1" w:rsidRPr="00FA0D37" w:rsidRDefault="00D027C1" w:rsidP="00FA0D37">
      <w:pPr>
        <w:pStyle w:val="PL"/>
        <w:rPr>
          <w:color w:val="808080"/>
        </w:rPr>
      </w:pPr>
      <w:r w:rsidRPr="00FA0D37">
        <w:t xml:space="preserve">    </w:t>
      </w:r>
      <w:r w:rsidRPr="00FA0D37">
        <w:rPr>
          <w:color w:val="808080"/>
        </w:rPr>
        <w:t>-- RAN 89: Case B in case of Inter-band CA with non-aligned frame boundaries</w:t>
      </w:r>
    </w:p>
    <w:p w14:paraId="4E5DCFC8" w14:textId="3294647C" w:rsidR="00D027C1" w:rsidRPr="00FA0D37" w:rsidRDefault="00D027C1" w:rsidP="00FA0D37">
      <w:pPr>
        <w:pStyle w:val="PL"/>
      </w:pPr>
      <w:r w:rsidRPr="00FA0D37">
        <w:t xml:space="preserve">    interCA-NonAlignedFrame-B-r16                     </w:t>
      </w:r>
      <w:r w:rsidRPr="00FA0D37">
        <w:rPr>
          <w:color w:val="993366"/>
        </w:rPr>
        <w:t>ENUMERATED</w:t>
      </w:r>
      <w:r w:rsidRPr="00FA0D37">
        <w:t xml:space="preserve"> {supported}                      </w:t>
      </w:r>
      <w:r w:rsidRPr="00FA0D37">
        <w:rPr>
          <w:color w:val="993366"/>
        </w:rPr>
        <w:t>OPTIONAL</w:t>
      </w:r>
    </w:p>
    <w:p w14:paraId="7FF900B2" w14:textId="77777777" w:rsidR="00D027C1" w:rsidRPr="00FA0D37" w:rsidRDefault="00D027C1" w:rsidP="00FA0D37">
      <w:pPr>
        <w:pStyle w:val="PL"/>
      </w:pPr>
      <w:r w:rsidRPr="00FA0D37">
        <w:t>}</w:t>
      </w:r>
    </w:p>
    <w:p w14:paraId="5DE27CA7" w14:textId="77777777" w:rsidR="00E46198" w:rsidRPr="00FA0D37" w:rsidRDefault="00E46198" w:rsidP="00FA0D37">
      <w:pPr>
        <w:pStyle w:val="PL"/>
      </w:pPr>
    </w:p>
    <w:p w14:paraId="54D4F559" w14:textId="25DD1FED" w:rsidR="00E46198" w:rsidRPr="00FA0D37" w:rsidRDefault="00E46198" w:rsidP="00FA0D37">
      <w:pPr>
        <w:pStyle w:val="PL"/>
      </w:pPr>
      <w:r w:rsidRPr="00FA0D37">
        <w:t>CA-ParametersNR-v</w:t>
      </w:r>
      <w:r w:rsidR="000C2783" w:rsidRPr="00FA0D37">
        <w:t>1640</w:t>
      </w:r>
      <w:r w:rsidRPr="00FA0D37">
        <w:t xml:space="preserve"> ::= </w:t>
      </w:r>
      <w:r w:rsidRPr="00FA0D37">
        <w:rPr>
          <w:color w:val="993366"/>
        </w:rPr>
        <w:t>SEQUENCE</w:t>
      </w:r>
      <w:r w:rsidRPr="00FA0D37">
        <w:t xml:space="preserve"> {</w:t>
      </w:r>
    </w:p>
    <w:p w14:paraId="08D539A4" w14:textId="77777777" w:rsidR="00E46198" w:rsidRPr="00FA0D37" w:rsidRDefault="00E46198" w:rsidP="00FA0D37">
      <w:pPr>
        <w:pStyle w:val="PL"/>
        <w:rPr>
          <w:color w:val="808080"/>
        </w:rPr>
      </w:pPr>
      <w:r w:rsidRPr="00FA0D37">
        <w:t xml:space="preserve">    </w:t>
      </w:r>
      <w:r w:rsidRPr="00FA0D37">
        <w:rPr>
          <w:color w:val="808080"/>
        </w:rPr>
        <w:t>-- R4 7-5: Support of reporting UL Tx DC locations for uplink intra-band CA.</w:t>
      </w:r>
    </w:p>
    <w:p w14:paraId="7711080A" w14:textId="1A3658EF" w:rsidR="00E46198" w:rsidRPr="00FA0D37" w:rsidRDefault="00E46198" w:rsidP="00FA0D37">
      <w:pPr>
        <w:pStyle w:val="PL"/>
      </w:pPr>
      <w:r w:rsidRPr="00FA0D37">
        <w:t xml:space="preserve">    uplinkTxDC-TwoCarrierReport-r16                   </w:t>
      </w:r>
      <w:r w:rsidR="00DB6EED" w:rsidRPr="00FA0D37">
        <w:t xml:space="preserve">            </w:t>
      </w:r>
      <w:r w:rsidRPr="00FA0D37">
        <w:rPr>
          <w:color w:val="993366"/>
        </w:rPr>
        <w:t>ENUMERATED</w:t>
      </w:r>
      <w:r w:rsidRPr="00FA0D37">
        <w:t xml:space="preserve"> {supported}          </w:t>
      </w:r>
      <w:r w:rsidRPr="00FA0D37">
        <w:rPr>
          <w:color w:val="993366"/>
        </w:rPr>
        <w:t>OPTIONAL</w:t>
      </w:r>
      <w:r w:rsidR="00DB6EED" w:rsidRPr="00FA0D37">
        <w:t>,</w:t>
      </w:r>
    </w:p>
    <w:p w14:paraId="7F85D903" w14:textId="77777777" w:rsidR="00AA7B65" w:rsidRPr="00FA0D37" w:rsidRDefault="00DB6EED" w:rsidP="00FA0D37">
      <w:pPr>
        <w:pStyle w:val="PL"/>
        <w:rPr>
          <w:color w:val="808080"/>
        </w:rPr>
      </w:pPr>
      <w:r w:rsidRPr="00FA0D37">
        <w:t xml:space="preserve">    </w:t>
      </w:r>
      <w:r w:rsidRPr="00FA0D37">
        <w:rPr>
          <w:color w:val="808080"/>
        </w:rPr>
        <w:t>-- RAN 22-6: Support of up to 3 different numerologies in the same NR PUCCH group for NR part of EN-DC, NGEN-DC, NE-DC and NR-CA</w:t>
      </w:r>
    </w:p>
    <w:p w14:paraId="78EE318C" w14:textId="4CE3575A" w:rsidR="00DB6EED" w:rsidRPr="00FA0D37" w:rsidRDefault="00DB6EED" w:rsidP="00FA0D37">
      <w:pPr>
        <w:pStyle w:val="PL"/>
        <w:rPr>
          <w:color w:val="808080"/>
        </w:rPr>
      </w:pPr>
      <w:r w:rsidRPr="00FA0D37">
        <w:t xml:space="preserve">    </w:t>
      </w:r>
      <w:r w:rsidRPr="00FA0D37">
        <w:rPr>
          <w:color w:val="808080"/>
        </w:rPr>
        <w:t>-- where UE is not configured with two NR PUCCH groups</w:t>
      </w:r>
    </w:p>
    <w:p w14:paraId="64EFC5A9" w14:textId="6350008B" w:rsidR="00DB6EED" w:rsidRPr="00FA0D37" w:rsidRDefault="00DB6EED" w:rsidP="00FA0D37">
      <w:pPr>
        <w:pStyle w:val="PL"/>
      </w:pPr>
      <w:r w:rsidRPr="00FA0D37">
        <w:t xml:space="preserve">    maxUpTo3Diff-NumerologiesConfigSinglePUCCH-grp-r16            PUCCH-Grp-CarrierTypes-r16      </w:t>
      </w:r>
      <w:r w:rsidRPr="00FA0D37">
        <w:rPr>
          <w:color w:val="993366"/>
        </w:rPr>
        <w:t>OPTIONAL</w:t>
      </w:r>
      <w:r w:rsidRPr="00FA0D37">
        <w:t>,</w:t>
      </w:r>
    </w:p>
    <w:p w14:paraId="17D435D3" w14:textId="77777777" w:rsidR="00AA7B65" w:rsidRPr="00FA0D37" w:rsidRDefault="00DB6EED" w:rsidP="00FA0D37">
      <w:pPr>
        <w:pStyle w:val="PL"/>
        <w:rPr>
          <w:color w:val="808080"/>
        </w:rPr>
      </w:pPr>
      <w:r w:rsidRPr="00FA0D37">
        <w:t xml:space="preserve">    </w:t>
      </w:r>
      <w:r w:rsidRPr="00FA0D37">
        <w:rPr>
          <w:color w:val="808080"/>
        </w:rPr>
        <w:t>-- RAN 22-6a: Support of up to 4 different numerologies in the same NR PUCCH group for NR part of EN-DC, NGEN-DC, NE-DC and NR-CA</w:t>
      </w:r>
    </w:p>
    <w:p w14:paraId="67F214CE" w14:textId="43219A2C" w:rsidR="00DB6EED" w:rsidRPr="00FA0D37" w:rsidRDefault="00DB6EED" w:rsidP="00FA0D37">
      <w:pPr>
        <w:pStyle w:val="PL"/>
        <w:rPr>
          <w:color w:val="808080"/>
        </w:rPr>
      </w:pPr>
      <w:r w:rsidRPr="00FA0D37">
        <w:t xml:space="preserve">    </w:t>
      </w:r>
      <w:r w:rsidRPr="00FA0D37">
        <w:rPr>
          <w:color w:val="808080"/>
        </w:rPr>
        <w:t>-- where UE is not configured with two NR PUCCH groups</w:t>
      </w:r>
    </w:p>
    <w:p w14:paraId="4D150750" w14:textId="20FF7D68" w:rsidR="00DB6EED" w:rsidRPr="00FA0D37" w:rsidRDefault="00DB6EED" w:rsidP="00FA0D37">
      <w:pPr>
        <w:pStyle w:val="PL"/>
      </w:pPr>
      <w:r w:rsidRPr="00FA0D37">
        <w:t xml:space="preserve">    maxUpTo4Diff-NumerologiesConfigSinglePUCCH-grp-r16            PUCCH-Grp-CarrierTypes-r16      </w:t>
      </w:r>
      <w:r w:rsidRPr="00FA0D37">
        <w:rPr>
          <w:color w:val="993366"/>
        </w:rPr>
        <w:t>OPTIONAL</w:t>
      </w:r>
      <w:r w:rsidRPr="00FA0D37">
        <w:t>,</w:t>
      </w:r>
    </w:p>
    <w:p w14:paraId="66FF5661" w14:textId="77777777" w:rsidR="00AA7B65" w:rsidRPr="00FA0D37" w:rsidRDefault="00DB6EED" w:rsidP="00FA0D37">
      <w:pPr>
        <w:pStyle w:val="PL"/>
        <w:rPr>
          <w:color w:val="808080"/>
        </w:rPr>
      </w:pPr>
      <w:r w:rsidRPr="00FA0D37">
        <w:t xml:space="preserve">    </w:t>
      </w:r>
      <w:r w:rsidRPr="00FA0D37">
        <w:rPr>
          <w:color w:val="808080"/>
        </w:rPr>
        <w:t>-- RAN 22-7: Support two PUCCH groups for NR-CA with 3 or more bands with at least two carrier types</w:t>
      </w:r>
    </w:p>
    <w:p w14:paraId="6AFC662D" w14:textId="6CA1A831" w:rsidR="00DB6EED" w:rsidRPr="00FA0D37" w:rsidRDefault="00DB6EED" w:rsidP="00FA0D37">
      <w:pPr>
        <w:pStyle w:val="PL"/>
      </w:pPr>
      <w:r w:rsidRPr="00FA0D37">
        <w:t xml:space="preserve">    twoPUCCH-Grp-ConfigurationsList-r16 </w:t>
      </w:r>
      <w:r w:rsidRPr="00FA0D37">
        <w:rPr>
          <w:color w:val="993366"/>
        </w:rPr>
        <w:t>SEQUENCE</w:t>
      </w:r>
      <w:r w:rsidRPr="00FA0D37">
        <w:t xml:space="preserve"> (</w:t>
      </w:r>
      <w:r w:rsidRPr="00FA0D37">
        <w:rPr>
          <w:color w:val="993366"/>
        </w:rPr>
        <w:t>SIZE</w:t>
      </w:r>
      <w:r w:rsidRPr="00FA0D37">
        <w:t xml:space="preserve"> (1..maxTwoPUCCH-Grp-ConfigList-r16))</w:t>
      </w:r>
      <w:r w:rsidRPr="00FA0D37">
        <w:rPr>
          <w:color w:val="993366"/>
        </w:rPr>
        <w:t xml:space="preserve"> OF</w:t>
      </w:r>
      <w:r w:rsidRPr="00FA0D37">
        <w:t xml:space="preserve"> TwoPUCCH-Grp-Configurations-r16 </w:t>
      </w:r>
      <w:r w:rsidRPr="00FA0D37">
        <w:rPr>
          <w:color w:val="993366"/>
        </w:rPr>
        <w:t>OPTIONAL</w:t>
      </w:r>
      <w:r w:rsidRPr="00FA0D37">
        <w:t>,</w:t>
      </w:r>
    </w:p>
    <w:p w14:paraId="6FE8CFC5" w14:textId="77777777" w:rsidR="00DB6EED" w:rsidRPr="00FA0D37" w:rsidRDefault="00DB6EED" w:rsidP="00FA0D37">
      <w:pPr>
        <w:pStyle w:val="PL"/>
        <w:rPr>
          <w:color w:val="808080"/>
        </w:rPr>
      </w:pPr>
      <w:r w:rsidRPr="00FA0D37">
        <w:t xml:space="preserve">    </w:t>
      </w:r>
      <w:r w:rsidRPr="00FA0D37">
        <w:rPr>
          <w:color w:val="808080"/>
        </w:rPr>
        <w:t>-- R1 22-7a: Different numerology across NR PUCCH groups</w:t>
      </w:r>
    </w:p>
    <w:p w14:paraId="5177A97C" w14:textId="66A2AC6A" w:rsidR="00DB6EED" w:rsidRPr="00FA0D37" w:rsidRDefault="00DB6EED" w:rsidP="00FA0D37">
      <w:pPr>
        <w:pStyle w:val="PL"/>
      </w:pPr>
      <w:r w:rsidRPr="00FA0D37">
        <w:t xml:space="preserve">    diffNumerologyAcrossPUCCH-Group-CarrierTypes-r16              </w:t>
      </w:r>
      <w:r w:rsidRPr="00FA0D37">
        <w:rPr>
          <w:color w:val="993366"/>
        </w:rPr>
        <w:t>ENUMERATED</w:t>
      </w:r>
      <w:r w:rsidRPr="00FA0D37">
        <w:t xml:space="preserve"> {supported}          </w:t>
      </w:r>
      <w:r w:rsidRPr="00FA0D37">
        <w:rPr>
          <w:color w:val="993366"/>
        </w:rPr>
        <w:t>OPTIONAL</w:t>
      </w:r>
      <w:r w:rsidRPr="00FA0D37">
        <w:t>,</w:t>
      </w:r>
    </w:p>
    <w:p w14:paraId="76ADC9B1" w14:textId="519F912B" w:rsidR="00DB6EED" w:rsidRPr="00FA0D37" w:rsidRDefault="00DB6EED" w:rsidP="00FA0D37">
      <w:pPr>
        <w:pStyle w:val="PL"/>
        <w:rPr>
          <w:color w:val="808080"/>
        </w:rPr>
      </w:pPr>
      <w:r w:rsidRPr="00FA0D37">
        <w:t xml:space="preserve">    </w:t>
      </w:r>
      <w:r w:rsidRPr="00FA0D37">
        <w:rPr>
          <w:color w:val="808080"/>
        </w:rPr>
        <w:t>-- R1 22-7b: Different numerologies across NR carriers within the same NR PUCCH group, with PUCCH on a carrier of smaller SCS</w:t>
      </w:r>
    </w:p>
    <w:p w14:paraId="041F8EBB" w14:textId="18F04EDA" w:rsidR="00DB6EED" w:rsidRPr="00FA0D37" w:rsidRDefault="00DB6EED" w:rsidP="00FA0D37">
      <w:pPr>
        <w:pStyle w:val="PL"/>
      </w:pPr>
      <w:r w:rsidRPr="00FA0D37">
        <w:t xml:space="preserve">    diffNumerologyWithinPUCCH-GroupSmallerSCS-CarrierTypes-r16    </w:t>
      </w:r>
      <w:r w:rsidRPr="00FA0D37">
        <w:rPr>
          <w:color w:val="993366"/>
        </w:rPr>
        <w:t>ENUMERATED</w:t>
      </w:r>
      <w:r w:rsidRPr="00FA0D37">
        <w:t xml:space="preserve"> {supported}          </w:t>
      </w:r>
      <w:r w:rsidRPr="00FA0D37">
        <w:rPr>
          <w:color w:val="993366"/>
        </w:rPr>
        <w:t>OPTIONAL</w:t>
      </w:r>
      <w:r w:rsidRPr="00FA0D37">
        <w:t>,</w:t>
      </w:r>
    </w:p>
    <w:p w14:paraId="49B34020" w14:textId="31D5C0F3" w:rsidR="00DB6EED" w:rsidRPr="00FA0D37" w:rsidRDefault="00DB6EED" w:rsidP="00FA0D37">
      <w:pPr>
        <w:pStyle w:val="PL"/>
        <w:rPr>
          <w:color w:val="808080"/>
        </w:rPr>
      </w:pPr>
      <w:r w:rsidRPr="00FA0D37">
        <w:t xml:space="preserve">    </w:t>
      </w:r>
      <w:r w:rsidRPr="00FA0D37">
        <w:rPr>
          <w:color w:val="808080"/>
        </w:rPr>
        <w:t>-- R1 22-7c: Different numerologies across NR carriers within the same NR PUCCH group, with PUCCH on a carrier of larger SCS</w:t>
      </w:r>
    </w:p>
    <w:p w14:paraId="7CAFDB32" w14:textId="0567E33C" w:rsidR="00DB6EED" w:rsidRPr="00FA0D37" w:rsidRDefault="00DB6EED" w:rsidP="00FA0D37">
      <w:pPr>
        <w:pStyle w:val="PL"/>
      </w:pPr>
      <w:r w:rsidRPr="00FA0D37">
        <w:t xml:space="preserve">    diffNumerologyWithinPUCCH-GroupLargerSCS-CarrierTypes-r16     </w:t>
      </w:r>
      <w:r w:rsidRPr="00FA0D37">
        <w:rPr>
          <w:color w:val="993366"/>
        </w:rPr>
        <w:t>ENUMERATED</w:t>
      </w:r>
      <w:r w:rsidRPr="00FA0D37">
        <w:t xml:space="preserve"> {supported}          </w:t>
      </w:r>
      <w:r w:rsidRPr="00FA0D37">
        <w:rPr>
          <w:color w:val="993366"/>
        </w:rPr>
        <w:t>OPTIONAL</w:t>
      </w:r>
      <w:r w:rsidRPr="00FA0D37">
        <w:t>,</w:t>
      </w:r>
    </w:p>
    <w:p w14:paraId="1B72E75D" w14:textId="77777777" w:rsidR="00DB6EED" w:rsidRPr="00FA0D37" w:rsidRDefault="00DB6EED" w:rsidP="00FA0D37">
      <w:pPr>
        <w:pStyle w:val="PL"/>
        <w:rPr>
          <w:color w:val="808080"/>
        </w:rPr>
      </w:pPr>
      <w:r w:rsidRPr="00FA0D37">
        <w:t xml:space="preserve">    </w:t>
      </w:r>
      <w:r w:rsidRPr="00FA0D37">
        <w:rPr>
          <w:color w:val="808080"/>
        </w:rPr>
        <w:t>-- R1 11-2f: add the replicated FGs of 11-2a/c with restriction for non-aligned span case</w:t>
      </w:r>
    </w:p>
    <w:p w14:paraId="2222A305" w14:textId="77777777" w:rsidR="00DB6EED" w:rsidRPr="00FA0D37" w:rsidRDefault="00DB6EED" w:rsidP="00FA0D37">
      <w:pPr>
        <w:pStyle w:val="PL"/>
        <w:rPr>
          <w:color w:val="808080"/>
        </w:rPr>
      </w:pPr>
      <w:r w:rsidRPr="00FA0D37">
        <w:t xml:space="preserve">    </w:t>
      </w:r>
      <w:r w:rsidRPr="00FA0D37">
        <w:rPr>
          <w:color w:val="808080"/>
        </w:rPr>
        <w:t>-- with DL CA with Rel-16 PDCCH monitoring capability on all the serving cells</w:t>
      </w:r>
    </w:p>
    <w:p w14:paraId="25D4B9B1" w14:textId="7F3B77CF" w:rsidR="00DB6EED" w:rsidRPr="00FA0D37" w:rsidRDefault="00DB6EED" w:rsidP="00FA0D37">
      <w:pPr>
        <w:pStyle w:val="PL"/>
      </w:pPr>
      <w:r w:rsidRPr="00FA0D37">
        <w:t xml:space="preserve">    pdcch-MonitoringCA-NonAlignedSpan-r16                         </w:t>
      </w:r>
      <w:r w:rsidRPr="00FA0D37">
        <w:rPr>
          <w:color w:val="993366"/>
        </w:rPr>
        <w:t>INTEGER</w:t>
      </w:r>
      <w:r w:rsidRPr="00FA0D37">
        <w:t xml:space="preserve"> (2..16)                 </w:t>
      </w:r>
      <w:r w:rsidRPr="00FA0D37">
        <w:rPr>
          <w:color w:val="993366"/>
        </w:rPr>
        <w:t>OPTIONAL</w:t>
      </w:r>
      <w:r w:rsidRPr="00FA0D37">
        <w:t>,</w:t>
      </w:r>
    </w:p>
    <w:p w14:paraId="6CE48657" w14:textId="52DBB275" w:rsidR="00DB6EED" w:rsidRPr="00FA0D37" w:rsidRDefault="00DB6EED" w:rsidP="00FA0D37">
      <w:pPr>
        <w:pStyle w:val="PL"/>
        <w:rPr>
          <w:color w:val="808080"/>
        </w:rPr>
      </w:pPr>
      <w:r w:rsidRPr="00FA0D37">
        <w:t xml:space="preserve">    </w:t>
      </w:r>
      <w:r w:rsidRPr="00FA0D37">
        <w:rPr>
          <w:color w:val="808080"/>
        </w:rPr>
        <w:t>-- R1 11-2g: add the replicated FGs of 11-2a/c with restriction for non-aligned span case</w:t>
      </w:r>
    </w:p>
    <w:p w14:paraId="1602A14B" w14:textId="70A05186" w:rsidR="00DB6EED" w:rsidRPr="00FA0D37" w:rsidRDefault="00DB6EED" w:rsidP="00FA0D37">
      <w:pPr>
        <w:pStyle w:val="PL"/>
      </w:pPr>
      <w:r w:rsidRPr="00FA0D37">
        <w:t xml:space="preserve">    pdcch-BlindDetectionCA-Mixed-NonAlignedSpan-r16               </w:t>
      </w:r>
      <w:r w:rsidRPr="00FA0D37">
        <w:rPr>
          <w:color w:val="993366"/>
        </w:rPr>
        <w:t>SEQUENCE</w:t>
      </w:r>
      <w:r w:rsidRPr="00FA0D37">
        <w:t xml:space="preserve"> {</w:t>
      </w:r>
    </w:p>
    <w:p w14:paraId="7DF288D8" w14:textId="34342942" w:rsidR="00DB6EED" w:rsidRPr="00FA0D37" w:rsidRDefault="00DB6EED" w:rsidP="00FA0D37">
      <w:pPr>
        <w:pStyle w:val="PL"/>
      </w:pPr>
      <w:r w:rsidRPr="00FA0D37">
        <w:t xml:space="preserve">        pdcch-BlindDetectionCA1-r16                                   </w:t>
      </w:r>
      <w:r w:rsidRPr="00FA0D37">
        <w:rPr>
          <w:color w:val="993366"/>
        </w:rPr>
        <w:t>INTEGER</w:t>
      </w:r>
      <w:r w:rsidRPr="00FA0D37">
        <w:t xml:space="preserve"> (1..15),</w:t>
      </w:r>
    </w:p>
    <w:p w14:paraId="5C78B510" w14:textId="4CB07321" w:rsidR="00DB6EED" w:rsidRPr="00FA0D37" w:rsidRDefault="00DB6EED" w:rsidP="00FA0D37">
      <w:pPr>
        <w:pStyle w:val="PL"/>
      </w:pPr>
      <w:r w:rsidRPr="00FA0D37">
        <w:lastRenderedPageBreak/>
        <w:t xml:space="preserve">        pdcch-BlindDetectionCA2-r16                                   </w:t>
      </w:r>
      <w:r w:rsidRPr="00FA0D37">
        <w:rPr>
          <w:color w:val="993366"/>
        </w:rPr>
        <w:t>INTEGER</w:t>
      </w:r>
      <w:r w:rsidRPr="00FA0D37">
        <w:t xml:space="preserve"> (1..15)</w:t>
      </w:r>
    </w:p>
    <w:p w14:paraId="52DA291F" w14:textId="77777777" w:rsidR="00DB6EED" w:rsidRPr="00FA0D37" w:rsidRDefault="00DB6EED" w:rsidP="00FA0D37">
      <w:pPr>
        <w:pStyle w:val="PL"/>
      </w:pPr>
      <w:r w:rsidRPr="00FA0D37">
        <w:t xml:space="preserve">    }                                                                                             </w:t>
      </w:r>
      <w:r w:rsidRPr="00FA0D37">
        <w:rPr>
          <w:color w:val="993366"/>
        </w:rPr>
        <w:t>OPTIONAL</w:t>
      </w:r>
    </w:p>
    <w:p w14:paraId="636E6210" w14:textId="5C340615" w:rsidR="00E46198" w:rsidRPr="00FA0D37" w:rsidRDefault="00E46198" w:rsidP="00FA0D37">
      <w:pPr>
        <w:pStyle w:val="PL"/>
      </w:pPr>
      <w:r w:rsidRPr="00FA0D37">
        <w:t>}</w:t>
      </w:r>
    </w:p>
    <w:p w14:paraId="36E38A00" w14:textId="77777777" w:rsidR="005337F6" w:rsidRPr="00FA0D37" w:rsidRDefault="005337F6" w:rsidP="00FA0D37">
      <w:pPr>
        <w:pStyle w:val="PL"/>
      </w:pPr>
    </w:p>
    <w:p w14:paraId="5231F8D7" w14:textId="62BDA8A3" w:rsidR="005337F6" w:rsidRPr="00FA0D37" w:rsidRDefault="005337F6" w:rsidP="00FA0D37">
      <w:pPr>
        <w:pStyle w:val="PL"/>
      </w:pPr>
      <w:r w:rsidRPr="00FA0D37">
        <w:t>CA-ParametersNR-v16</w:t>
      </w:r>
      <w:r w:rsidR="00E74ADF" w:rsidRPr="00FA0D37">
        <w:t>90</w:t>
      </w:r>
      <w:r w:rsidRPr="00FA0D37">
        <w:t xml:space="preserve"> ::= </w:t>
      </w:r>
      <w:r w:rsidRPr="00FA0D37">
        <w:rPr>
          <w:color w:val="993366"/>
        </w:rPr>
        <w:t>SEQUENCE</w:t>
      </w:r>
      <w:r w:rsidRPr="00FA0D37">
        <w:t xml:space="preserve"> {</w:t>
      </w:r>
    </w:p>
    <w:p w14:paraId="62243DF3" w14:textId="30795DA6" w:rsidR="005337F6" w:rsidRPr="00FA0D37" w:rsidRDefault="005337F6" w:rsidP="00FA0D37">
      <w:pPr>
        <w:pStyle w:val="PL"/>
      </w:pPr>
      <w:r w:rsidRPr="00FA0D37">
        <w:t xml:space="preserve">    csi-ReportingCrossPUCCH</w:t>
      </w:r>
      <w:r w:rsidR="004B6142" w:rsidRPr="00FA0D37">
        <w:t>-</w:t>
      </w:r>
      <w:r w:rsidRPr="00FA0D37">
        <w:t xml:space="preserve">Grp-r16          </w:t>
      </w:r>
      <w:r w:rsidRPr="00FA0D37">
        <w:rPr>
          <w:color w:val="993366"/>
        </w:rPr>
        <w:t>SEQUENCE</w:t>
      </w:r>
      <w:r w:rsidRPr="00FA0D37">
        <w:t xml:space="preserve"> {</w:t>
      </w:r>
    </w:p>
    <w:p w14:paraId="2369780F" w14:textId="633BDA7B" w:rsidR="005337F6" w:rsidRPr="00FA0D37" w:rsidRDefault="005337F6" w:rsidP="00FA0D37">
      <w:pPr>
        <w:pStyle w:val="PL"/>
      </w:pPr>
      <w:r w:rsidRPr="00FA0D37">
        <w:t xml:space="preserve">        computationTimeForA-CSI-r16              </w:t>
      </w:r>
      <w:r w:rsidRPr="00FA0D37">
        <w:rPr>
          <w:color w:val="993366"/>
        </w:rPr>
        <w:t>ENUMERATED</w:t>
      </w:r>
      <w:r w:rsidRPr="00FA0D37">
        <w:t xml:space="preserve"> {sameAsNoCross, relaxed},</w:t>
      </w:r>
    </w:p>
    <w:p w14:paraId="202F96B1" w14:textId="24A19245" w:rsidR="005337F6" w:rsidRPr="00FA0D37" w:rsidRDefault="005337F6" w:rsidP="00FA0D37">
      <w:pPr>
        <w:pStyle w:val="PL"/>
      </w:pPr>
      <w:r w:rsidRPr="00FA0D37">
        <w:t xml:space="preserve">        additionalSymbols-r16                    </w:t>
      </w:r>
      <w:r w:rsidRPr="00FA0D37">
        <w:rPr>
          <w:color w:val="993366"/>
        </w:rPr>
        <w:t>SEQUENCE</w:t>
      </w:r>
      <w:r w:rsidRPr="00FA0D37">
        <w:t xml:space="preserve"> {</w:t>
      </w:r>
    </w:p>
    <w:p w14:paraId="5CB4C377" w14:textId="7B8EB38D" w:rsidR="005337F6" w:rsidRPr="00FA0D37" w:rsidRDefault="005337F6" w:rsidP="00FA0D37">
      <w:pPr>
        <w:pStyle w:val="PL"/>
      </w:pPr>
      <w:r w:rsidRPr="00FA0D37">
        <w:t xml:space="preserve">            scs-15kHz-additionalSymbols-r16          </w:t>
      </w:r>
      <w:r w:rsidRPr="00FA0D37">
        <w:rPr>
          <w:color w:val="993366"/>
        </w:rPr>
        <w:t>ENUMERATED</w:t>
      </w:r>
      <w:r w:rsidRPr="00FA0D37">
        <w:t xml:space="preserve"> {</w:t>
      </w:r>
      <w:r w:rsidR="00EA6373" w:rsidRPr="00FA0D37">
        <w:t>s14</w:t>
      </w:r>
      <w:r w:rsidRPr="00FA0D37">
        <w:t xml:space="preserve">, s28}            </w:t>
      </w:r>
      <w:r w:rsidRPr="00FA0D37">
        <w:rPr>
          <w:color w:val="993366"/>
        </w:rPr>
        <w:t>OPTIONAL</w:t>
      </w:r>
      <w:r w:rsidRPr="00FA0D37">
        <w:t>,</w:t>
      </w:r>
    </w:p>
    <w:p w14:paraId="1DBB8ACB" w14:textId="2C8B1DC9" w:rsidR="005337F6" w:rsidRPr="00FA0D37" w:rsidRDefault="005337F6" w:rsidP="00FA0D37">
      <w:pPr>
        <w:pStyle w:val="PL"/>
      </w:pPr>
      <w:r w:rsidRPr="00FA0D37">
        <w:t xml:space="preserve">            scs-30kHz-additionalSymbols-r16          </w:t>
      </w:r>
      <w:r w:rsidRPr="00FA0D37">
        <w:rPr>
          <w:color w:val="993366"/>
        </w:rPr>
        <w:t>ENUMERATED</w:t>
      </w:r>
      <w:r w:rsidRPr="00FA0D37">
        <w:t xml:space="preserve"> {</w:t>
      </w:r>
      <w:r w:rsidR="00EA6373" w:rsidRPr="00FA0D37">
        <w:t>s14</w:t>
      </w:r>
      <w:r w:rsidRPr="00FA0D37">
        <w:t xml:space="preserve">, s28}            </w:t>
      </w:r>
      <w:r w:rsidRPr="00FA0D37">
        <w:rPr>
          <w:color w:val="993366"/>
        </w:rPr>
        <w:t>OPTIONAL</w:t>
      </w:r>
      <w:r w:rsidRPr="00FA0D37">
        <w:t>,</w:t>
      </w:r>
    </w:p>
    <w:p w14:paraId="3EC84A10" w14:textId="700281B5" w:rsidR="005337F6" w:rsidRPr="00FA0D37" w:rsidRDefault="005337F6" w:rsidP="00FA0D37">
      <w:pPr>
        <w:pStyle w:val="PL"/>
      </w:pPr>
      <w:r w:rsidRPr="00FA0D37">
        <w:t xml:space="preserve">            scs-60kHz-additionalSymbols-r16          </w:t>
      </w:r>
      <w:r w:rsidRPr="00FA0D37">
        <w:rPr>
          <w:color w:val="993366"/>
        </w:rPr>
        <w:t>ENUMERATED</w:t>
      </w:r>
      <w:r w:rsidRPr="00FA0D37">
        <w:t xml:space="preserve"> {</w:t>
      </w:r>
      <w:r w:rsidR="00EA6373" w:rsidRPr="00FA0D37">
        <w:t>s14</w:t>
      </w:r>
      <w:r w:rsidRPr="00FA0D37">
        <w:t xml:space="preserve">, s28, s56}       </w:t>
      </w:r>
      <w:r w:rsidRPr="00FA0D37">
        <w:rPr>
          <w:color w:val="993366"/>
        </w:rPr>
        <w:t>OPTIONAL</w:t>
      </w:r>
      <w:r w:rsidRPr="00FA0D37">
        <w:t>,</w:t>
      </w:r>
    </w:p>
    <w:p w14:paraId="24CE2A1F" w14:textId="74431AD3" w:rsidR="005337F6" w:rsidRPr="00FA0D37" w:rsidRDefault="005337F6" w:rsidP="00FA0D37">
      <w:pPr>
        <w:pStyle w:val="PL"/>
      </w:pPr>
      <w:r w:rsidRPr="00FA0D37">
        <w:t xml:space="preserve">            scs-120kHz-additionalSymbols-r16         </w:t>
      </w:r>
      <w:r w:rsidRPr="00FA0D37">
        <w:rPr>
          <w:color w:val="993366"/>
        </w:rPr>
        <w:t>ENUMERATED</w:t>
      </w:r>
      <w:r w:rsidRPr="00FA0D37">
        <w:t xml:space="preserve"> {</w:t>
      </w:r>
      <w:r w:rsidR="00EA6373" w:rsidRPr="00FA0D37">
        <w:t>s14</w:t>
      </w:r>
      <w:r w:rsidRPr="00FA0D37">
        <w:t xml:space="preserve">, s28, s56}       </w:t>
      </w:r>
      <w:r w:rsidRPr="00FA0D37">
        <w:rPr>
          <w:color w:val="993366"/>
        </w:rPr>
        <w:t>OPTIONAL</w:t>
      </w:r>
    </w:p>
    <w:p w14:paraId="1432A6BB" w14:textId="297E9AB5" w:rsidR="005337F6" w:rsidRPr="00FA0D37" w:rsidRDefault="005337F6" w:rsidP="00FA0D37">
      <w:pPr>
        <w:pStyle w:val="PL"/>
      </w:pPr>
      <w:r w:rsidRPr="00FA0D37">
        <w:t xml:space="preserve">        }                                                                             </w:t>
      </w:r>
      <w:r w:rsidRPr="00FA0D37">
        <w:rPr>
          <w:color w:val="993366"/>
        </w:rPr>
        <w:t>OPTIONAL</w:t>
      </w:r>
      <w:r w:rsidRPr="00FA0D37">
        <w:t>,</w:t>
      </w:r>
    </w:p>
    <w:p w14:paraId="763301A3" w14:textId="72D38D37" w:rsidR="005337F6" w:rsidRPr="00FA0D37" w:rsidRDefault="005337F6" w:rsidP="00FA0D37">
      <w:pPr>
        <w:pStyle w:val="PL"/>
      </w:pPr>
      <w:r w:rsidRPr="00FA0D37">
        <w:t xml:space="preserve">        sp-CSI-ReportingOnPUCCH-r16              </w:t>
      </w:r>
      <w:r w:rsidRPr="00FA0D37">
        <w:rPr>
          <w:color w:val="993366"/>
        </w:rPr>
        <w:t>ENUMERATED</w:t>
      </w:r>
      <w:r w:rsidRPr="00FA0D37">
        <w:t xml:space="preserve"> {supported}               </w:t>
      </w:r>
      <w:r w:rsidRPr="00FA0D37">
        <w:rPr>
          <w:color w:val="993366"/>
        </w:rPr>
        <w:t>OPTIONAL</w:t>
      </w:r>
      <w:r w:rsidRPr="00FA0D37">
        <w:t>,</w:t>
      </w:r>
    </w:p>
    <w:p w14:paraId="1DD2C2C7" w14:textId="0A805B07" w:rsidR="005337F6" w:rsidRPr="00FA0D37" w:rsidRDefault="005337F6" w:rsidP="00FA0D37">
      <w:pPr>
        <w:pStyle w:val="PL"/>
      </w:pPr>
      <w:r w:rsidRPr="00FA0D37">
        <w:t xml:space="preserve">        sp-CSI-ReportingOnPUSCH-r16              </w:t>
      </w:r>
      <w:r w:rsidRPr="00FA0D37">
        <w:rPr>
          <w:color w:val="993366"/>
        </w:rPr>
        <w:t>ENUMERATED</w:t>
      </w:r>
      <w:r w:rsidRPr="00FA0D37">
        <w:t xml:space="preserve"> {supported}               </w:t>
      </w:r>
      <w:r w:rsidRPr="00FA0D37">
        <w:rPr>
          <w:color w:val="993366"/>
        </w:rPr>
        <w:t>OPTIONAL</w:t>
      </w:r>
      <w:r w:rsidRPr="00FA0D37">
        <w:t>,</w:t>
      </w:r>
    </w:p>
    <w:p w14:paraId="398709CF" w14:textId="2975E77C" w:rsidR="005337F6" w:rsidRPr="00FA0D37" w:rsidRDefault="005337F6" w:rsidP="00FA0D37">
      <w:pPr>
        <w:pStyle w:val="PL"/>
      </w:pPr>
      <w:r w:rsidRPr="00FA0D37">
        <w:t xml:space="preserve">        carrierTypePairList-r16                  </w:t>
      </w:r>
      <w:r w:rsidRPr="00FA0D37">
        <w:rPr>
          <w:color w:val="993366"/>
        </w:rPr>
        <w:t>SEQUENCE</w:t>
      </w:r>
      <w:r w:rsidRPr="00FA0D37">
        <w:t xml:space="preserve"> (</w:t>
      </w:r>
      <w:r w:rsidRPr="00FA0D37">
        <w:rPr>
          <w:color w:val="993366"/>
        </w:rPr>
        <w:t>SIZE</w:t>
      </w:r>
      <w:r w:rsidRPr="00FA0D37">
        <w:t xml:space="preserve"> (1..maxCarrierTypePairList-r16))</w:t>
      </w:r>
      <w:r w:rsidRPr="00FA0D37">
        <w:rPr>
          <w:color w:val="993366"/>
        </w:rPr>
        <w:t xml:space="preserve"> OF</w:t>
      </w:r>
      <w:r w:rsidRPr="00FA0D37">
        <w:t xml:space="preserve"> CarrierTypePair-r16</w:t>
      </w:r>
    </w:p>
    <w:p w14:paraId="0C9028E9" w14:textId="0B112AF3" w:rsidR="005337F6" w:rsidRPr="00FA0D37" w:rsidRDefault="005337F6" w:rsidP="00FA0D37">
      <w:pPr>
        <w:pStyle w:val="PL"/>
      </w:pPr>
      <w:r w:rsidRPr="00FA0D37">
        <w:t xml:space="preserve">    }                                                                                 </w:t>
      </w:r>
      <w:r w:rsidRPr="00FA0D37">
        <w:rPr>
          <w:color w:val="993366"/>
        </w:rPr>
        <w:t>OPTIONAL</w:t>
      </w:r>
    </w:p>
    <w:p w14:paraId="117E3CE7" w14:textId="77777777" w:rsidR="005337F6" w:rsidRPr="00FA0D37" w:rsidRDefault="005337F6" w:rsidP="00FA0D37">
      <w:pPr>
        <w:pStyle w:val="PL"/>
      </w:pPr>
      <w:r w:rsidRPr="00FA0D37">
        <w:t>}</w:t>
      </w:r>
    </w:p>
    <w:p w14:paraId="1B164AB3" w14:textId="067E5948" w:rsidR="005337F6" w:rsidRPr="00FA0D37" w:rsidRDefault="005337F6" w:rsidP="00FA0D37">
      <w:pPr>
        <w:pStyle w:val="PL"/>
      </w:pPr>
    </w:p>
    <w:p w14:paraId="495D37EE" w14:textId="45F0BD88" w:rsidR="00B04F4B" w:rsidRPr="00FA0D37" w:rsidRDefault="00B04F4B" w:rsidP="00FA0D37">
      <w:pPr>
        <w:pStyle w:val="PL"/>
      </w:pPr>
      <w:r w:rsidRPr="00FA0D37">
        <w:t xml:space="preserve">CA-ParametersNR-v16a0 ::= </w:t>
      </w:r>
      <w:r w:rsidRPr="00FA0D37">
        <w:rPr>
          <w:color w:val="993366"/>
        </w:rPr>
        <w:t>SEQUENCE</w:t>
      </w:r>
      <w:r w:rsidRPr="00FA0D37">
        <w:t xml:space="preserve"> {</w:t>
      </w:r>
    </w:p>
    <w:p w14:paraId="183782F9" w14:textId="7AEA64D9" w:rsidR="00B04F4B" w:rsidRPr="00FA0D37" w:rsidRDefault="00B04F4B" w:rsidP="00FA0D37">
      <w:pPr>
        <w:pStyle w:val="PL"/>
      </w:pPr>
      <w:r w:rsidRPr="00FA0D37">
        <w:t xml:space="preserve">    pdcch-BlindDetectionMixedList-r16    </w:t>
      </w:r>
      <w:r w:rsidRPr="00FA0D37">
        <w:rPr>
          <w:color w:val="993366"/>
        </w:rPr>
        <w:t>SEQUENCE</w:t>
      </w:r>
      <w:r w:rsidRPr="00FA0D37">
        <w:t>(</w:t>
      </w:r>
      <w:r w:rsidRPr="00FA0D37">
        <w:rPr>
          <w:color w:val="993366"/>
        </w:rPr>
        <w:t>SIZE</w:t>
      </w:r>
      <w:r w:rsidRPr="00FA0D37">
        <w:t>(1..maxNrofPdcch-BlindDetectionMixed-1-r16))</w:t>
      </w:r>
      <w:r w:rsidRPr="00FA0D37">
        <w:rPr>
          <w:color w:val="993366"/>
        </w:rPr>
        <w:t xml:space="preserve"> OF</w:t>
      </w:r>
      <w:r w:rsidRPr="00FA0D37">
        <w:t xml:space="preserve"> PDCCH-BlindDetectionMixedList-r16</w:t>
      </w:r>
    </w:p>
    <w:p w14:paraId="24A8584F" w14:textId="7A335AF8" w:rsidR="00B04F4B" w:rsidRPr="00FA0D37" w:rsidRDefault="00B04F4B" w:rsidP="00FA0D37">
      <w:pPr>
        <w:pStyle w:val="PL"/>
      </w:pPr>
      <w:r w:rsidRPr="00FA0D37">
        <w:t>}</w:t>
      </w:r>
    </w:p>
    <w:p w14:paraId="3833CBAA" w14:textId="77777777" w:rsidR="00B04F4B" w:rsidRPr="00FA0D37" w:rsidRDefault="00B04F4B" w:rsidP="00FA0D37">
      <w:pPr>
        <w:pStyle w:val="PL"/>
      </w:pPr>
    </w:p>
    <w:p w14:paraId="4D29F443" w14:textId="6F6B289B" w:rsidR="00651560" w:rsidRPr="00FA0D37" w:rsidRDefault="00651560" w:rsidP="00FA0D37">
      <w:pPr>
        <w:pStyle w:val="PL"/>
      </w:pPr>
      <w:r w:rsidRPr="00FA0D37">
        <w:t>CA-ParametersNR-v17</w:t>
      </w:r>
      <w:r w:rsidR="007A3EA5" w:rsidRPr="00FA0D37">
        <w:t>00</w:t>
      </w:r>
      <w:r w:rsidRPr="00FA0D37">
        <w:t xml:space="preserve"> ::= </w:t>
      </w:r>
      <w:r w:rsidRPr="00FA0D37">
        <w:rPr>
          <w:color w:val="993366"/>
        </w:rPr>
        <w:t>SEQUENCE</w:t>
      </w:r>
      <w:r w:rsidRPr="00FA0D37">
        <w:t xml:space="preserve"> {</w:t>
      </w:r>
    </w:p>
    <w:p w14:paraId="71E40ECE" w14:textId="63F2BBC4" w:rsidR="00651560" w:rsidRPr="00FA0D37" w:rsidRDefault="00651560" w:rsidP="00FA0D37">
      <w:pPr>
        <w:pStyle w:val="PL"/>
        <w:rPr>
          <w:color w:val="808080"/>
        </w:rPr>
      </w:pPr>
      <w:r w:rsidRPr="00FA0D37">
        <w:t xml:space="preserve">    </w:t>
      </w:r>
      <w:r w:rsidRPr="00FA0D37">
        <w:rPr>
          <w:color w:val="808080"/>
        </w:rPr>
        <w:t>-- R1 23-9-1</w:t>
      </w:r>
      <w:r w:rsidR="007A3EA5" w:rsidRPr="00FA0D37">
        <w:rPr>
          <w:color w:val="808080"/>
        </w:rPr>
        <w:t xml:space="preserve">: </w:t>
      </w:r>
      <w:r w:rsidRPr="00FA0D37">
        <w:rPr>
          <w:color w:val="808080"/>
        </w:rPr>
        <w:t>Basic Features of Further Enhanced Port-Selection Type II Codebook (FeType-II) per band combination information</w:t>
      </w:r>
    </w:p>
    <w:p w14:paraId="5518E6E0" w14:textId="184C6E43" w:rsidR="00651560" w:rsidRPr="00FA0D37" w:rsidRDefault="00651560" w:rsidP="00FA0D37">
      <w:pPr>
        <w:pStyle w:val="PL"/>
      </w:pPr>
      <w:r w:rsidRPr="00FA0D37">
        <w:t xml:space="preserve">    codebookParametersfetype2PerBC-r17               CodebookParametersfetype2PerBC-r17           </w:t>
      </w:r>
      <w:r w:rsidRPr="00FA0D37">
        <w:rPr>
          <w:color w:val="993366"/>
        </w:rPr>
        <w:t>OPTIONAL</w:t>
      </w:r>
      <w:r w:rsidRPr="00FA0D37">
        <w:t>,</w:t>
      </w:r>
    </w:p>
    <w:p w14:paraId="375E0AE6" w14:textId="77777777" w:rsidR="00651560" w:rsidRPr="00FA0D37" w:rsidRDefault="00651560" w:rsidP="00FA0D37">
      <w:pPr>
        <w:pStyle w:val="PL"/>
        <w:rPr>
          <w:color w:val="808080"/>
        </w:rPr>
      </w:pPr>
      <w:r w:rsidRPr="00FA0D37">
        <w:t xml:space="preserve">    </w:t>
      </w:r>
      <w:r w:rsidRPr="00FA0D37">
        <w:rPr>
          <w:color w:val="808080"/>
        </w:rPr>
        <w:t>-- R4 18-4: Support of enhanced Demodulation requirements for CA in HST SFN FR1</w:t>
      </w:r>
    </w:p>
    <w:p w14:paraId="2DD4E622" w14:textId="1C9B52DD" w:rsidR="00651560" w:rsidRPr="00FA0D37" w:rsidRDefault="00651560" w:rsidP="00FA0D37">
      <w:pPr>
        <w:pStyle w:val="PL"/>
      </w:pPr>
      <w:r w:rsidRPr="00FA0D37">
        <w:t xml:space="preserve">    demodulationEnhancementCA-r17                    </w:t>
      </w:r>
      <w:r w:rsidRPr="00FA0D37">
        <w:rPr>
          <w:color w:val="993366"/>
        </w:rPr>
        <w:t>ENUMERATED</w:t>
      </w:r>
      <w:r w:rsidRPr="00FA0D37">
        <w:t xml:space="preserve"> {supported}                       </w:t>
      </w:r>
      <w:r w:rsidRPr="00FA0D37">
        <w:rPr>
          <w:color w:val="993366"/>
        </w:rPr>
        <w:t>OPTIONAL</w:t>
      </w:r>
      <w:r w:rsidRPr="00FA0D37">
        <w:t>,</w:t>
      </w:r>
    </w:p>
    <w:p w14:paraId="5B8D7241" w14:textId="1177B4B7" w:rsidR="00651560" w:rsidRPr="00FA0D37" w:rsidRDefault="00651560" w:rsidP="00FA0D37">
      <w:pPr>
        <w:pStyle w:val="PL"/>
        <w:rPr>
          <w:color w:val="808080"/>
        </w:rPr>
      </w:pPr>
      <w:r w:rsidRPr="00FA0D37">
        <w:t xml:space="preserve">    </w:t>
      </w:r>
      <w:r w:rsidRPr="00FA0D37">
        <w:rPr>
          <w:color w:val="808080"/>
        </w:rPr>
        <w:t>-- R4 20-1: Maximum uplink duty cycle for NR inter-band CA power class 2</w:t>
      </w:r>
    </w:p>
    <w:p w14:paraId="5C650187" w14:textId="4E703D06" w:rsidR="00651560" w:rsidRPr="00FA0D37" w:rsidRDefault="00651560" w:rsidP="00FA0D37">
      <w:pPr>
        <w:pStyle w:val="PL"/>
      </w:pPr>
      <w:r w:rsidRPr="00FA0D37">
        <w:t xml:space="preserve">    maxUplinkDutyCycle-interBandCA-PC2-r17           </w:t>
      </w:r>
      <w:r w:rsidRPr="00FA0D37">
        <w:rPr>
          <w:color w:val="993366"/>
        </w:rPr>
        <w:t>ENUMERATED</w:t>
      </w:r>
      <w:r w:rsidRPr="00FA0D37">
        <w:t xml:space="preserve"> {n50, n60, n70, n80, n90, n100}   </w:t>
      </w:r>
      <w:r w:rsidRPr="00FA0D37">
        <w:rPr>
          <w:color w:val="993366"/>
        </w:rPr>
        <w:t>OPTIONAL</w:t>
      </w:r>
      <w:r w:rsidRPr="00FA0D37">
        <w:t>,</w:t>
      </w:r>
    </w:p>
    <w:p w14:paraId="29F870AF" w14:textId="30FD8368" w:rsidR="00651560" w:rsidRPr="00FA0D37" w:rsidRDefault="00651560" w:rsidP="00FA0D37">
      <w:pPr>
        <w:pStyle w:val="PL"/>
        <w:rPr>
          <w:color w:val="808080"/>
        </w:rPr>
      </w:pPr>
      <w:r w:rsidRPr="00FA0D37">
        <w:t xml:space="preserve">    </w:t>
      </w:r>
      <w:r w:rsidRPr="00FA0D37">
        <w:rPr>
          <w:color w:val="808080"/>
        </w:rPr>
        <w:t>-- R4 20-2: Maximum uplink duty cycle for NR SUL combination power class 2</w:t>
      </w:r>
    </w:p>
    <w:p w14:paraId="3230C1E2" w14:textId="77777777" w:rsidR="00B852EB" w:rsidRPr="00FA0D37" w:rsidRDefault="00651560" w:rsidP="00FA0D37">
      <w:pPr>
        <w:pStyle w:val="PL"/>
      </w:pPr>
      <w:r w:rsidRPr="00FA0D37">
        <w:t xml:space="preserve">    maxUplinkDutyCycle-SULcombination-PC2-r17        </w:t>
      </w:r>
      <w:r w:rsidRPr="00FA0D37">
        <w:rPr>
          <w:color w:val="993366"/>
        </w:rPr>
        <w:t>ENUMERATED</w:t>
      </w:r>
      <w:r w:rsidRPr="00FA0D37">
        <w:t xml:space="preserve"> {n50, n60, n70, n80, n90, n100}   </w:t>
      </w:r>
      <w:r w:rsidRPr="00FA0D37">
        <w:rPr>
          <w:color w:val="993366"/>
        </w:rPr>
        <w:t>OPTIONAL</w:t>
      </w:r>
      <w:r w:rsidR="00B852EB" w:rsidRPr="00FA0D37">
        <w:t>,</w:t>
      </w:r>
    </w:p>
    <w:p w14:paraId="3B07BED8" w14:textId="103321B0" w:rsidR="00651560" w:rsidRPr="00FA0D37" w:rsidRDefault="00B852EB" w:rsidP="00FA0D37">
      <w:pPr>
        <w:pStyle w:val="PL"/>
      </w:pPr>
      <w:r w:rsidRPr="00FA0D37">
        <w:t xml:space="preserve">    beamManagementType-CBM-r17                       </w:t>
      </w:r>
      <w:r w:rsidRPr="00FA0D37">
        <w:rPr>
          <w:color w:val="993366"/>
        </w:rPr>
        <w:t>ENUMERATED</w:t>
      </w:r>
      <w:r w:rsidRPr="00FA0D37">
        <w:t xml:space="preserve"> {supported}                       </w:t>
      </w:r>
      <w:r w:rsidRPr="00FA0D37">
        <w:rPr>
          <w:color w:val="993366"/>
        </w:rPr>
        <w:t>OPTIONAL</w:t>
      </w:r>
      <w:r w:rsidR="00853362" w:rsidRPr="00FA0D37">
        <w:t>,</w:t>
      </w:r>
    </w:p>
    <w:p w14:paraId="1EA75396" w14:textId="77777777" w:rsidR="00853362" w:rsidRPr="00FA0D37" w:rsidRDefault="00853362" w:rsidP="00FA0D37">
      <w:pPr>
        <w:pStyle w:val="PL"/>
        <w:rPr>
          <w:color w:val="808080"/>
        </w:rPr>
      </w:pPr>
      <w:r w:rsidRPr="00FA0D37">
        <w:t xml:space="preserve">    </w:t>
      </w:r>
      <w:r w:rsidRPr="00FA0D37">
        <w:rPr>
          <w:color w:val="808080"/>
        </w:rPr>
        <w:t>-- R1 25-18: Parallel PUCCH and PUSCH transmission across CCs in inter-band CA</w:t>
      </w:r>
    </w:p>
    <w:p w14:paraId="143E75F0" w14:textId="37A756A7" w:rsidR="00853362" w:rsidRPr="00FA0D37" w:rsidRDefault="00853362" w:rsidP="00FA0D37">
      <w:pPr>
        <w:pStyle w:val="PL"/>
      </w:pPr>
      <w:r w:rsidRPr="00FA0D37">
        <w:t xml:space="preserve">    parallelTxPUCCH-PUSCH-r17                        </w:t>
      </w:r>
      <w:r w:rsidRPr="00FA0D37">
        <w:rPr>
          <w:color w:val="993366"/>
        </w:rPr>
        <w:t>ENUMERATED</w:t>
      </w:r>
      <w:r w:rsidRPr="00FA0D37">
        <w:t xml:space="preserve"> {supported}      </w:t>
      </w:r>
      <w:r w:rsidRPr="00FA0D37">
        <w:rPr>
          <w:color w:val="993366"/>
        </w:rPr>
        <w:t>OPTIONAL</w:t>
      </w:r>
      <w:r w:rsidRPr="00FA0D37">
        <w:t>,</w:t>
      </w:r>
    </w:p>
    <w:p w14:paraId="3B3F46DD" w14:textId="77777777" w:rsidR="00853362" w:rsidRPr="00FA0D37" w:rsidRDefault="00853362" w:rsidP="00FA0D37">
      <w:pPr>
        <w:pStyle w:val="PL"/>
        <w:rPr>
          <w:color w:val="808080"/>
        </w:rPr>
      </w:pPr>
      <w:r w:rsidRPr="00FA0D37">
        <w:t xml:space="preserve">    </w:t>
      </w:r>
      <w:r w:rsidRPr="00FA0D37">
        <w:rPr>
          <w:color w:val="808080"/>
        </w:rPr>
        <w:t>-- R1 23-9-5</w:t>
      </w:r>
      <w:r w:rsidRPr="00FA0D37">
        <w:rPr>
          <w:color w:val="808080"/>
        </w:rPr>
        <w:tab/>
        <w:t>Active CSI-RS resources and ports for mixed codebook types in any slot per band combination</w:t>
      </w:r>
    </w:p>
    <w:p w14:paraId="058E5B7D" w14:textId="1A51ED6E" w:rsidR="00853362" w:rsidRPr="00FA0D37" w:rsidRDefault="00853362" w:rsidP="00FA0D37">
      <w:pPr>
        <w:pStyle w:val="PL"/>
      </w:pPr>
      <w:r w:rsidRPr="00FA0D37">
        <w:t xml:space="preserve">    codebookComboParameterMixedTypePerBC-r17         CodebookComboParameterMixedTypePerBC-r17     </w:t>
      </w:r>
      <w:r w:rsidRPr="00FA0D37">
        <w:rPr>
          <w:color w:val="993366"/>
        </w:rPr>
        <w:t>OPTIONAL</w:t>
      </w:r>
      <w:r w:rsidRPr="00FA0D37">
        <w:t>,</w:t>
      </w:r>
    </w:p>
    <w:p w14:paraId="41587DA9" w14:textId="540E5A7E" w:rsidR="00853362" w:rsidRPr="00FA0D37" w:rsidRDefault="00853362" w:rsidP="00FA0D37">
      <w:pPr>
        <w:pStyle w:val="PL"/>
        <w:rPr>
          <w:color w:val="808080"/>
        </w:rPr>
      </w:pPr>
      <w:r w:rsidRPr="00FA0D37">
        <w:t xml:space="preserve">   </w:t>
      </w:r>
      <w:r w:rsidRPr="00FA0D37">
        <w:rPr>
          <w:color w:val="808080"/>
        </w:rPr>
        <w:t>-- R1 23-7-1</w:t>
      </w:r>
      <w:r w:rsidRPr="00FA0D37">
        <w:rPr>
          <w:color w:val="808080"/>
        </w:rPr>
        <w:tab/>
        <w:t>Basic Features of CSI Enhancement for Multi-TRP</w:t>
      </w:r>
    </w:p>
    <w:p w14:paraId="7AD99F85" w14:textId="0E952E45" w:rsidR="00853362" w:rsidRPr="00FA0D37" w:rsidRDefault="00853362" w:rsidP="00FA0D37">
      <w:pPr>
        <w:pStyle w:val="PL"/>
      </w:pPr>
      <w:r w:rsidRPr="00FA0D37">
        <w:t xml:space="preserve">    mTRP-CSI-EnhancementPerBC-r17                    </w:t>
      </w:r>
      <w:r w:rsidRPr="00FA0D37">
        <w:rPr>
          <w:color w:val="993366"/>
        </w:rPr>
        <w:t>SEQUENCE</w:t>
      </w:r>
      <w:r w:rsidRPr="00FA0D37">
        <w:t xml:space="preserve"> {</w:t>
      </w:r>
    </w:p>
    <w:p w14:paraId="09C9BD70" w14:textId="61B5250D" w:rsidR="00853362" w:rsidRPr="00FA0D37" w:rsidRDefault="00853362" w:rsidP="00FA0D37">
      <w:pPr>
        <w:pStyle w:val="PL"/>
      </w:pPr>
      <w:r w:rsidRPr="00FA0D37">
        <w:t xml:space="preserve">        maxNumNZP-CSI-RS-r17                             </w:t>
      </w:r>
      <w:r w:rsidRPr="00FA0D37">
        <w:rPr>
          <w:color w:val="993366"/>
        </w:rPr>
        <w:t>INTEGER</w:t>
      </w:r>
      <w:r w:rsidRPr="00FA0D37">
        <w:t xml:space="preserve"> (2..8),</w:t>
      </w:r>
    </w:p>
    <w:p w14:paraId="1B751894" w14:textId="2402DA23" w:rsidR="00853362" w:rsidRPr="00FA0D37" w:rsidRDefault="00853362" w:rsidP="00FA0D37">
      <w:pPr>
        <w:pStyle w:val="PL"/>
      </w:pPr>
      <w:r w:rsidRPr="00FA0D37">
        <w:t xml:space="preserve">        cSI-Report-mode-r17                              </w:t>
      </w:r>
      <w:r w:rsidRPr="00FA0D37">
        <w:rPr>
          <w:color w:val="993366"/>
        </w:rPr>
        <w:t>ENUMERATED</w:t>
      </w:r>
      <w:r w:rsidRPr="00FA0D37">
        <w:t xml:space="preserve"> {mode1, mode2, both},</w:t>
      </w:r>
    </w:p>
    <w:p w14:paraId="763CA3A7" w14:textId="7804E41E" w:rsidR="00853362" w:rsidRPr="00FA0D37" w:rsidRDefault="00853362" w:rsidP="00FA0D37">
      <w:pPr>
        <w:pStyle w:val="PL"/>
      </w:pPr>
      <w:r w:rsidRPr="00FA0D37">
        <w:t xml:space="preserve">        supportedComboAcrossCCs-r17                      </w:t>
      </w:r>
      <w:r w:rsidRPr="00FA0D37">
        <w:rPr>
          <w:color w:val="993366"/>
        </w:rPr>
        <w:t>SEQUENCE</w:t>
      </w:r>
      <w:r w:rsidRPr="00FA0D37">
        <w:t xml:space="preserve"> (</w:t>
      </w:r>
      <w:r w:rsidRPr="00FA0D37">
        <w:rPr>
          <w:color w:val="993366"/>
        </w:rPr>
        <w:t>SIZE</w:t>
      </w:r>
      <w:r w:rsidRPr="00FA0D37">
        <w:t xml:space="preserve"> (1..16))</w:t>
      </w:r>
      <w:r w:rsidRPr="00FA0D37">
        <w:rPr>
          <w:color w:val="993366"/>
        </w:rPr>
        <w:t xml:space="preserve"> OF</w:t>
      </w:r>
      <w:r w:rsidRPr="00FA0D37">
        <w:t xml:space="preserve"> CSI-MultiTRP-SupportedCombinations-r17,</w:t>
      </w:r>
    </w:p>
    <w:p w14:paraId="0F5F3F39" w14:textId="4FC0EDF4" w:rsidR="00853362" w:rsidRPr="00FA0D37" w:rsidRDefault="00853362" w:rsidP="00FA0D37">
      <w:pPr>
        <w:pStyle w:val="PL"/>
      </w:pPr>
      <w:r w:rsidRPr="00FA0D37">
        <w:t xml:space="preserve">        codebookMode-NCJT-r17</w:t>
      </w:r>
      <w:r w:rsidRPr="00FA0D37">
        <w:tab/>
      </w:r>
      <w:r w:rsidRPr="00FA0D37">
        <w:rPr>
          <w:color w:val="993366"/>
        </w:rPr>
        <w:t>ENUMERATED</w:t>
      </w:r>
      <w:r w:rsidRPr="00FA0D37">
        <w:t>{mode1,mode1And2}</w:t>
      </w:r>
    </w:p>
    <w:p w14:paraId="5409236E" w14:textId="4552400C" w:rsidR="00853362" w:rsidRPr="00FA0D37" w:rsidRDefault="00853362" w:rsidP="00FA0D37">
      <w:pPr>
        <w:pStyle w:val="PL"/>
      </w:pPr>
      <w:r w:rsidRPr="00FA0D37">
        <w:t xml:space="preserve">    }                                                                                             </w:t>
      </w:r>
      <w:r w:rsidRPr="00FA0D37">
        <w:rPr>
          <w:color w:val="993366"/>
        </w:rPr>
        <w:t>OPTIONAL</w:t>
      </w:r>
      <w:r w:rsidRPr="00FA0D37">
        <w:t>,</w:t>
      </w:r>
    </w:p>
    <w:p w14:paraId="7DA115DD" w14:textId="77777777" w:rsidR="00853362" w:rsidRPr="00FA0D37" w:rsidRDefault="00853362" w:rsidP="00FA0D37">
      <w:pPr>
        <w:pStyle w:val="PL"/>
        <w:rPr>
          <w:color w:val="808080"/>
        </w:rPr>
      </w:pPr>
      <w:r w:rsidRPr="00FA0D37">
        <w:t xml:space="preserve">     </w:t>
      </w:r>
      <w:r w:rsidRPr="00FA0D37">
        <w:rPr>
          <w:color w:val="808080"/>
        </w:rPr>
        <w:t>-- R1 23-7-1b</w:t>
      </w:r>
      <w:r w:rsidRPr="00FA0D37">
        <w:rPr>
          <w:color w:val="808080"/>
        </w:rPr>
        <w:tab/>
        <w:t>Active CSI-RS resources and ports in the presence of multi-TRP CSI</w:t>
      </w:r>
    </w:p>
    <w:p w14:paraId="27D0B67F" w14:textId="2D807ADA" w:rsidR="00853362" w:rsidRPr="00FA0D37" w:rsidRDefault="00853362" w:rsidP="00FA0D37">
      <w:pPr>
        <w:pStyle w:val="PL"/>
      </w:pPr>
      <w:r w:rsidRPr="00FA0D37">
        <w:t xml:space="preserve">    codebookComboParameterMultiTRP-PerBC-r17         CodebookComboParameterMultiTRP-PerBC-r17     </w:t>
      </w:r>
      <w:r w:rsidRPr="00FA0D37">
        <w:rPr>
          <w:color w:val="993366"/>
        </w:rPr>
        <w:t>OPTIONAL</w:t>
      </w:r>
      <w:r w:rsidRPr="00FA0D37">
        <w:t>,</w:t>
      </w:r>
    </w:p>
    <w:p w14:paraId="0CF5FFAE" w14:textId="77777777" w:rsidR="00853362" w:rsidRPr="00FA0D37" w:rsidRDefault="00853362" w:rsidP="00FA0D37">
      <w:pPr>
        <w:pStyle w:val="PL"/>
        <w:rPr>
          <w:color w:val="808080"/>
        </w:rPr>
      </w:pPr>
      <w:r w:rsidRPr="00FA0D37">
        <w:t xml:space="preserve">    </w:t>
      </w:r>
      <w:r w:rsidRPr="00FA0D37">
        <w:rPr>
          <w:color w:val="808080"/>
        </w:rPr>
        <w:t>-- R1 24-8b: 32 DL HARQ processes for FR 2-2 - maximum number of component carriers</w:t>
      </w:r>
    </w:p>
    <w:p w14:paraId="545E6C02" w14:textId="27E207CB" w:rsidR="00853362" w:rsidRPr="00FA0D37" w:rsidRDefault="00853362" w:rsidP="00FA0D37">
      <w:pPr>
        <w:pStyle w:val="PL"/>
      </w:pPr>
      <w:r w:rsidRPr="00FA0D37">
        <w:t xml:space="preserve">    maxCC-32-DL-HARQ-ProcessFR2-2-r17                </w:t>
      </w:r>
      <w:r w:rsidRPr="00FA0D37">
        <w:rPr>
          <w:color w:val="993366"/>
        </w:rPr>
        <w:t>ENUMERATED</w:t>
      </w:r>
      <w:r w:rsidRPr="00FA0D37">
        <w:t xml:space="preserve"> {n1, n2, n3, n4, n6, n8, n16, n32} </w:t>
      </w:r>
      <w:r w:rsidRPr="00FA0D37">
        <w:rPr>
          <w:color w:val="993366"/>
        </w:rPr>
        <w:t>OPTIONAL</w:t>
      </w:r>
      <w:r w:rsidRPr="00FA0D37">
        <w:t>,</w:t>
      </w:r>
    </w:p>
    <w:p w14:paraId="4562729A" w14:textId="77777777" w:rsidR="00853362" w:rsidRPr="00FA0D37" w:rsidRDefault="00853362" w:rsidP="00FA0D37">
      <w:pPr>
        <w:pStyle w:val="PL"/>
        <w:rPr>
          <w:color w:val="808080"/>
        </w:rPr>
      </w:pPr>
      <w:r w:rsidRPr="00FA0D37">
        <w:t xml:space="preserve">    </w:t>
      </w:r>
      <w:r w:rsidRPr="00FA0D37">
        <w:rPr>
          <w:color w:val="808080"/>
        </w:rPr>
        <w:t>-- R1 24-9b: 32 UL HARQ processes for FR 2-2 - maximum number of component carriers</w:t>
      </w:r>
    </w:p>
    <w:p w14:paraId="6CD34AAB" w14:textId="4F95A7D3" w:rsidR="00853362" w:rsidRPr="00FA0D37" w:rsidRDefault="00853362" w:rsidP="00FA0D37">
      <w:pPr>
        <w:pStyle w:val="PL"/>
      </w:pPr>
      <w:r w:rsidRPr="00FA0D37">
        <w:t xml:space="preserve">    maxCC-32-UL-HARQ-ProcessFR2-2-r17                </w:t>
      </w:r>
      <w:r w:rsidRPr="00FA0D37">
        <w:rPr>
          <w:color w:val="993366"/>
        </w:rPr>
        <w:t>ENUMERATED</w:t>
      </w:r>
      <w:r w:rsidRPr="00FA0D37">
        <w:t xml:space="preserve"> {n1, n2, n3, n4, n5, n8, n16, n32}  </w:t>
      </w:r>
      <w:r w:rsidRPr="00FA0D37">
        <w:rPr>
          <w:color w:val="993366"/>
        </w:rPr>
        <w:t>OPTIONAL</w:t>
      </w:r>
      <w:r w:rsidRPr="00FA0D37">
        <w:t>,</w:t>
      </w:r>
    </w:p>
    <w:p w14:paraId="00E48254" w14:textId="77777777" w:rsidR="00853362" w:rsidRPr="00FA0D37" w:rsidRDefault="00853362" w:rsidP="00FA0D37">
      <w:pPr>
        <w:pStyle w:val="PL"/>
        <w:rPr>
          <w:color w:val="808080"/>
        </w:rPr>
      </w:pPr>
      <w:r w:rsidRPr="00FA0D37">
        <w:t xml:space="preserve">    </w:t>
      </w:r>
      <w:r w:rsidRPr="00FA0D37">
        <w:rPr>
          <w:color w:val="808080"/>
        </w:rPr>
        <w:t>-- R1 34-2: Cross-carrier scheduling from SCell to PCell/PSCell (Type B)</w:t>
      </w:r>
    </w:p>
    <w:p w14:paraId="59687BE6" w14:textId="5609B58C" w:rsidR="00853362" w:rsidRPr="00FA0D37" w:rsidRDefault="00853362" w:rsidP="00FA0D37">
      <w:pPr>
        <w:pStyle w:val="PL"/>
      </w:pPr>
      <w:r w:rsidRPr="00FA0D37">
        <w:lastRenderedPageBreak/>
        <w:t xml:space="preserve">    crossCarrierSchedulingSCell-SpCellTypeB-r17      CrossCarrierSchedulingSCell-SpCell-r17       </w:t>
      </w:r>
      <w:r w:rsidRPr="00FA0D37">
        <w:rPr>
          <w:color w:val="993366"/>
        </w:rPr>
        <w:t>OPTIONAL</w:t>
      </w:r>
      <w:r w:rsidRPr="00FA0D37">
        <w:t>,</w:t>
      </w:r>
    </w:p>
    <w:p w14:paraId="186606EB" w14:textId="77777777" w:rsidR="00853362" w:rsidRPr="00FA0D37" w:rsidRDefault="00853362" w:rsidP="00FA0D37">
      <w:pPr>
        <w:pStyle w:val="PL"/>
        <w:rPr>
          <w:color w:val="808080"/>
        </w:rPr>
      </w:pPr>
      <w:r w:rsidRPr="00FA0D37">
        <w:rPr>
          <w:color w:val="808080"/>
        </w:rPr>
        <w:t>-- R1 34-1: Cross-carrier scheduling from SCell to PCell/PSCell with search space restrictions (Type A)</w:t>
      </w:r>
    </w:p>
    <w:p w14:paraId="1D241494" w14:textId="283074D2" w:rsidR="00853362" w:rsidRPr="00FA0D37" w:rsidRDefault="00853362" w:rsidP="00FA0D37">
      <w:pPr>
        <w:pStyle w:val="PL"/>
      </w:pPr>
      <w:r w:rsidRPr="00FA0D37">
        <w:t xml:space="preserve">    crossCarrierSchedulingSCell-SpCellTypeA-r17      CrossCarrierSchedulingSCell-SpCell-r17       </w:t>
      </w:r>
      <w:r w:rsidRPr="00FA0D37">
        <w:rPr>
          <w:color w:val="993366"/>
        </w:rPr>
        <w:t>OPTIONAL</w:t>
      </w:r>
      <w:r w:rsidRPr="00FA0D37">
        <w:t>,</w:t>
      </w:r>
    </w:p>
    <w:p w14:paraId="0C3635E1" w14:textId="65675B41" w:rsidR="00853362" w:rsidRPr="00FA0D37" w:rsidRDefault="00853362" w:rsidP="00FA0D37">
      <w:pPr>
        <w:pStyle w:val="PL"/>
        <w:rPr>
          <w:color w:val="808080"/>
        </w:rPr>
      </w:pPr>
      <w:r w:rsidRPr="00FA0D37">
        <w:t xml:space="preserve">    </w:t>
      </w:r>
      <w:r w:rsidRPr="00FA0D37">
        <w:rPr>
          <w:color w:val="808080"/>
        </w:rPr>
        <w:t>-- R1 34-1a: DCI formats on PCell/PSCell USS set(s) support</w:t>
      </w:r>
    </w:p>
    <w:p w14:paraId="16BDB07D" w14:textId="6B51D120" w:rsidR="00853362" w:rsidRPr="00FA0D37" w:rsidRDefault="00853362" w:rsidP="00FA0D37">
      <w:pPr>
        <w:pStyle w:val="PL"/>
      </w:pPr>
      <w:r w:rsidRPr="00FA0D37">
        <w:t xml:space="preserve">    dci-FormatsPCellPSCellUSS-Sets-r17               </w:t>
      </w:r>
      <w:r w:rsidRPr="00FA0D37">
        <w:rPr>
          <w:color w:val="993366"/>
        </w:rPr>
        <w:t>ENUMERATED</w:t>
      </w:r>
      <w:r w:rsidRPr="00FA0D37">
        <w:t xml:space="preserve"> {supported}                       </w:t>
      </w:r>
      <w:r w:rsidRPr="00FA0D37">
        <w:rPr>
          <w:color w:val="993366"/>
        </w:rPr>
        <w:t>OPTIONAL</w:t>
      </w:r>
      <w:r w:rsidRPr="00FA0D37">
        <w:t>,</w:t>
      </w:r>
    </w:p>
    <w:p w14:paraId="06286449" w14:textId="4D69047E" w:rsidR="00853362" w:rsidRPr="00FA0D37" w:rsidRDefault="00853362" w:rsidP="00FA0D37">
      <w:pPr>
        <w:pStyle w:val="PL"/>
        <w:rPr>
          <w:color w:val="808080"/>
        </w:rPr>
      </w:pPr>
      <w:r w:rsidRPr="00FA0D37">
        <w:t xml:space="preserve">    </w:t>
      </w:r>
      <w:r w:rsidRPr="00FA0D37">
        <w:rPr>
          <w:color w:val="808080"/>
        </w:rPr>
        <w:t xml:space="preserve">-- R1 34-3: Disabling scaling factor </w:t>
      </w:r>
      <w:r w:rsidR="00EA6373" w:rsidRPr="00FA0D37">
        <w:rPr>
          <w:color w:val="808080"/>
        </w:rPr>
        <w:t>alpha</w:t>
      </w:r>
      <w:r w:rsidRPr="00FA0D37">
        <w:rPr>
          <w:color w:val="808080"/>
        </w:rPr>
        <w:t xml:space="preserve"> when sSCell is deactivated</w:t>
      </w:r>
    </w:p>
    <w:p w14:paraId="569BF2D3" w14:textId="1D172836" w:rsidR="00853362" w:rsidRPr="00FA0D37" w:rsidRDefault="00853362" w:rsidP="00FA0D37">
      <w:pPr>
        <w:pStyle w:val="PL"/>
      </w:pPr>
      <w:r w:rsidRPr="00FA0D37">
        <w:t xml:space="preserve">    disablingScalingFactorDeactSCell-r17             </w:t>
      </w:r>
      <w:r w:rsidRPr="00FA0D37">
        <w:rPr>
          <w:color w:val="993366"/>
        </w:rPr>
        <w:t>ENUMERATED</w:t>
      </w:r>
      <w:r w:rsidRPr="00FA0D37">
        <w:t xml:space="preserve"> {supported}                       </w:t>
      </w:r>
      <w:r w:rsidRPr="00FA0D37">
        <w:rPr>
          <w:color w:val="993366"/>
        </w:rPr>
        <w:t>OPTIONAL</w:t>
      </w:r>
      <w:r w:rsidRPr="00FA0D37">
        <w:t>,</w:t>
      </w:r>
    </w:p>
    <w:p w14:paraId="37BF6C3C" w14:textId="50DE28B8" w:rsidR="00853362" w:rsidRPr="00FA0D37" w:rsidRDefault="00853362" w:rsidP="00FA0D37">
      <w:pPr>
        <w:pStyle w:val="PL"/>
        <w:rPr>
          <w:color w:val="808080"/>
        </w:rPr>
      </w:pPr>
      <w:r w:rsidRPr="00FA0D37">
        <w:t xml:space="preserve">    </w:t>
      </w:r>
      <w:r w:rsidRPr="00FA0D37">
        <w:rPr>
          <w:color w:val="808080"/>
        </w:rPr>
        <w:t xml:space="preserve">-- R1 34-4: Disabling scaling factor </w:t>
      </w:r>
      <w:r w:rsidR="00EA6373" w:rsidRPr="00FA0D37">
        <w:rPr>
          <w:color w:val="808080"/>
        </w:rPr>
        <w:t>alpha</w:t>
      </w:r>
      <w:r w:rsidRPr="00FA0D37">
        <w:rPr>
          <w:color w:val="808080"/>
        </w:rPr>
        <w:t xml:space="preserve"> when sSCell is deactivated</w:t>
      </w:r>
    </w:p>
    <w:p w14:paraId="45A7FCA2" w14:textId="0A20099C" w:rsidR="00853362" w:rsidRPr="00FA0D37" w:rsidRDefault="00853362" w:rsidP="00FA0D37">
      <w:pPr>
        <w:pStyle w:val="PL"/>
      </w:pPr>
      <w:r w:rsidRPr="00FA0D37">
        <w:t xml:space="preserve">    disablingScalingFactorDormantSCell-r17           </w:t>
      </w:r>
      <w:r w:rsidRPr="00FA0D37">
        <w:rPr>
          <w:color w:val="993366"/>
        </w:rPr>
        <w:t>ENUMERATED</w:t>
      </w:r>
      <w:r w:rsidRPr="00FA0D37">
        <w:t xml:space="preserve"> {supported}                       </w:t>
      </w:r>
      <w:r w:rsidRPr="00FA0D37">
        <w:rPr>
          <w:color w:val="993366"/>
        </w:rPr>
        <w:t>OPTIONAL</w:t>
      </w:r>
      <w:r w:rsidRPr="00FA0D37">
        <w:t>,</w:t>
      </w:r>
    </w:p>
    <w:p w14:paraId="5893AD97" w14:textId="3C072E00" w:rsidR="00853362" w:rsidRPr="00FA0D37" w:rsidRDefault="00853362" w:rsidP="00FA0D37">
      <w:pPr>
        <w:pStyle w:val="PL"/>
        <w:rPr>
          <w:color w:val="808080"/>
        </w:rPr>
      </w:pPr>
      <w:r w:rsidRPr="00FA0D37">
        <w:t xml:space="preserve">    </w:t>
      </w:r>
      <w:r w:rsidRPr="00FA0D37">
        <w:rPr>
          <w:color w:val="808080"/>
        </w:rPr>
        <w:t>-- R1 34-5: Non-aligned frame boundaries between PCell/PSCell and sSCell</w:t>
      </w:r>
    </w:p>
    <w:p w14:paraId="3477526C" w14:textId="14936037" w:rsidR="00853362" w:rsidRPr="00FA0D37" w:rsidRDefault="00853362" w:rsidP="00FA0D37">
      <w:pPr>
        <w:pStyle w:val="PL"/>
      </w:pPr>
      <w:r w:rsidRPr="00FA0D37">
        <w:t xml:space="preserve">    non-AlignedFrameBoundaries-r17 </w:t>
      </w:r>
      <w:r w:rsidRPr="00FA0D37">
        <w:rPr>
          <w:color w:val="993366"/>
        </w:rPr>
        <w:t>SEQUENCE</w:t>
      </w:r>
      <w:r w:rsidRPr="00FA0D37">
        <w:t xml:space="preserve"> {</w:t>
      </w:r>
    </w:p>
    <w:p w14:paraId="60A1C788" w14:textId="0103CAE3" w:rsidR="00853362" w:rsidRPr="00FA0D37" w:rsidRDefault="00853362" w:rsidP="00FA0D37">
      <w:pPr>
        <w:pStyle w:val="PL"/>
      </w:pPr>
      <w:r w:rsidRPr="00FA0D37">
        <w:t xml:space="preserve">        scs15kHz-15kHz-r17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(1..496))                   </w:t>
      </w:r>
      <w:r w:rsidRPr="00FA0D37">
        <w:rPr>
          <w:color w:val="993366"/>
        </w:rPr>
        <w:t>OPTIONAL</w:t>
      </w:r>
      <w:r w:rsidRPr="00FA0D37">
        <w:t>,</w:t>
      </w:r>
    </w:p>
    <w:p w14:paraId="3970A57E" w14:textId="717388ED" w:rsidR="00853362" w:rsidRPr="00FA0D37" w:rsidRDefault="00853362" w:rsidP="00FA0D37">
      <w:pPr>
        <w:pStyle w:val="PL"/>
      </w:pPr>
      <w:r w:rsidRPr="00FA0D37">
        <w:t xml:space="preserve">        scs15kHz-30kHz-r17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(1..496))                   </w:t>
      </w:r>
      <w:r w:rsidRPr="00FA0D37">
        <w:rPr>
          <w:color w:val="993366"/>
        </w:rPr>
        <w:t>OPTIONAL</w:t>
      </w:r>
      <w:r w:rsidRPr="00FA0D37">
        <w:t>,</w:t>
      </w:r>
    </w:p>
    <w:p w14:paraId="31899AA2" w14:textId="4011EA10" w:rsidR="00853362" w:rsidRPr="00FA0D37" w:rsidRDefault="00853362" w:rsidP="00FA0D37">
      <w:pPr>
        <w:pStyle w:val="PL"/>
      </w:pPr>
      <w:r w:rsidRPr="00FA0D37">
        <w:t xml:space="preserve">        scs15kHz-60kHz-r17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(1..496))                   </w:t>
      </w:r>
      <w:r w:rsidRPr="00FA0D37">
        <w:rPr>
          <w:color w:val="993366"/>
        </w:rPr>
        <w:t>OPTIONAL</w:t>
      </w:r>
      <w:r w:rsidRPr="00FA0D37">
        <w:t>,</w:t>
      </w:r>
    </w:p>
    <w:p w14:paraId="06FDF3C0" w14:textId="6E0A66C4" w:rsidR="00853362" w:rsidRPr="00FA0D37" w:rsidRDefault="00853362" w:rsidP="00FA0D37">
      <w:pPr>
        <w:pStyle w:val="PL"/>
      </w:pPr>
      <w:r w:rsidRPr="00FA0D37">
        <w:t xml:space="preserve">        scs30kHz-30kHz-r17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(1..496))                   </w:t>
      </w:r>
      <w:r w:rsidRPr="00FA0D37">
        <w:rPr>
          <w:color w:val="993366"/>
        </w:rPr>
        <w:t>OPTIONAL</w:t>
      </w:r>
      <w:r w:rsidRPr="00FA0D37">
        <w:t>,</w:t>
      </w:r>
    </w:p>
    <w:p w14:paraId="577CB762" w14:textId="4E8311FA" w:rsidR="00853362" w:rsidRPr="00FA0D37" w:rsidRDefault="00853362" w:rsidP="00FA0D37">
      <w:pPr>
        <w:pStyle w:val="PL"/>
      </w:pPr>
      <w:r w:rsidRPr="00FA0D37">
        <w:t xml:space="preserve">        scs30kHz-60kHz-r17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(1..496))                   </w:t>
      </w:r>
      <w:r w:rsidRPr="00FA0D37">
        <w:rPr>
          <w:color w:val="993366"/>
        </w:rPr>
        <w:t>OPTIONAL</w:t>
      </w:r>
      <w:r w:rsidRPr="00FA0D37">
        <w:t>,</w:t>
      </w:r>
    </w:p>
    <w:p w14:paraId="66941200" w14:textId="1569B8BF" w:rsidR="00853362" w:rsidRPr="00FA0D37" w:rsidRDefault="00853362" w:rsidP="00FA0D37">
      <w:pPr>
        <w:pStyle w:val="PL"/>
      </w:pPr>
      <w:r w:rsidRPr="00FA0D37">
        <w:t xml:space="preserve">        scs60kHz-60kHz-r17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(1..496))                   </w:t>
      </w:r>
      <w:r w:rsidRPr="00FA0D37">
        <w:rPr>
          <w:color w:val="993366"/>
        </w:rPr>
        <w:t>OPTIONAL</w:t>
      </w:r>
    </w:p>
    <w:p w14:paraId="5BBA7CA9" w14:textId="77777777" w:rsidR="00DC7999" w:rsidRPr="00FA0D37" w:rsidRDefault="00853362" w:rsidP="00FA0D37">
      <w:pPr>
        <w:pStyle w:val="PL"/>
      </w:pPr>
      <w:r w:rsidRPr="00FA0D37">
        <w:t xml:space="preserve">    }                                                                                             </w:t>
      </w:r>
      <w:r w:rsidRPr="00FA0D37">
        <w:rPr>
          <w:color w:val="993366"/>
        </w:rPr>
        <w:t>OPTIONAL</w:t>
      </w:r>
    </w:p>
    <w:p w14:paraId="1E12BE9E" w14:textId="266DC20F" w:rsidR="00651560" w:rsidRPr="00FA0D37" w:rsidRDefault="00651560" w:rsidP="00FA0D37">
      <w:pPr>
        <w:pStyle w:val="PL"/>
      </w:pPr>
      <w:r w:rsidRPr="00FA0D37">
        <w:t>}</w:t>
      </w:r>
    </w:p>
    <w:p w14:paraId="3787E474" w14:textId="77777777" w:rsidR="00F03826" w:rsidRPr="00FA0D37" w:rsidRDefault="00F03826" w:rsidP="00FA0D37">
      <w:pPr>
        <w:pStyle w:val="PL"/>
      </w:pPr>
    </w:p>
    <w:p w14:paraId="7353F77A" w14:textId="4EBF7F25" w:rsidR="00F03826" w:rsidRPr="00FA0D37" w:rsidRDefault="00F03826" w:rsidP="00FA0D37">
      <w:pPr>
        <w:pStyle w:val="PL"/>
      </w:pPr>
      <w:r w:rsidRPr="00FA0D37">
        <w:t xml:space="preserve">CA-ParametersNR-v1720 ::= </w:t>
      </w:r>
      <w:r w:rsidRPr="00FA0D37">
        <w:rPr>
          <w:color w:val="993366"/>
        </w:rPr>
        <w:t>SEQUENCE</w:t>
      </w:r>
      <w:r w:rsidRPr="00FA0D37">
        <w:t xml:space="preserve"> {</w:t>
      </w:r>
    </w:p>
    <w:p w14:paraId="7749EC24" w14:textId="620FBD95" w:rsidR="00F03826" w:rsidRPr="00FA0D37" w:rsidRDefault="00F03826" w:rsidP="00FA0D37">
      <w:pPr>
        <w:pStyle w:val="PL"/>
        <w:rPr>
          <w:color w:val="808080"/>
        </w:rPr>
      </w:pPr>
      <w:r w:rsidRPr="00FA0D37">
        <w:t xml:space="preserve">    </w:t>
      </w:r>
      <w:r w:rsidRPr="00FA0D37">
        <w:rPr>
          <w:color w:val="808080"/>
        </w:rPr>
        <w:t>-- R1 39-1: Parallel SRS and PUCCH/PUSCH transmission across CCs in intra-band non-contiguous CA</w:t>
      </w:r>
    </w:p>
    <w:p w14:paraId="69F525C6" w14:textId="628CB283" w:rsidR="00F03826" w:rsidRPr="00FA0D37" w:rsidRDefault="00F03826" w:rsidP="00FA0D37">
      <w:pPr>
        <w:pStyle w:val="PL"/>
      </w:pPr>
      <w:r w:rsidRPr="00FA0D37">
        <w:t xml:space="preserve">    parallelTxSRS-PUCCH-PUSCH-intraBand-r17          </w:t>
      </w:r>
      <w:r w:rsidRPr="00FA0D37">
        <w:rPr>
          <w:color w:val="993366"/>
        </w:rPr>
        <w:t>ENUMERATED</w:t>
      </w:r>
      <w:r w:rsidRPr="00FA0D37">
        <w:t xml:space="preserve"> {supported}                       </w:t>
      </w:r>
      <w:r w:rsidRPr="00FA0D37">
        <w:rPr>
          <w:color w:val="993366"/>
        </w:rPr>
        <w:t>OPTIONAL</w:t>
      </w:r>
      <w:r w:rsidRPr="00FA0D37">
        <w:t>,</w:t>
      </w:r>
    </w:p>
    <w:p w14:paraId="7CB71124" w14:textId="0EDFB475" w:rsidR="00F03826" w:rsidRPr="00FA0D37" w:rsidRDefault="00F03826" w:rsidP="00FA0D37">
      <w:pPr>
        <w:pStyle w:val="PL"/>
        <w:rPr>
          <w:color w:val="808080"/>
        </w:rPr>
      </w:pPr>
      <w:r w:rsidRPr="00FA0D37">
        <w:t xml:space="preserve">    </w:t>
      </w:r>
      <w:r w:rsidRPr="00FA0D37">
        <w:rPr>
          <w:color w:val="808080"/>
        </w:rPr>
        <w:t>-- R1 39-2: Parallel PRACH and SRS/PUCCH/PUSCH transmissions across CCs in intra-band non-contiguous CA</w:t>
      </w:r>
    </w:p>
    <w:p w14:paraId="161987B8" w14:textId="69AC0594" w:rsidR="00F03826" w:rsidRPr="00FA0D37" w:rsidRDefault="00F03826" w:rsidP="00FA0D37">
      <w:pPr>
        <w:pStyle w:val="PL"/>
      </w:pPr>
      <w:r w:rsidRPr="00FA0D37">
        <w:t xml:space="preserve">    parallelTxPRACH-SRS-PUCCH-PUSCH-intraBand-r17    </w:t>
      </w:r>
      <w:r w:rsidRPr="00FA0D37">
        <w:rPr>
          <w:color w:val="993366"/>
        </w:rPr>
        <w:t>ENUMERATED</w:t>
      </w:r>
      <w:r w:rsidRPr="00FA0D37">
        <w:t xml:space="preserve"> {supported}                       </w:t>
      </w:r>
      <w:r w:rsidRPr="00FA0D37">
        <w:rPr>
          <w:color w:val="993366"/>
        </w:rPr>
        <w:t>OPTIONAL</w:t>
      </w:r>
      <w:r w:rsidRPr="00FA0D37">
        <w:t>,</w:t>
      </w:r>
    </w:p>
    <w:p w14:paraId="6C785836" w14:textId="77777777" w:rsidR="00F03826" w:rsidRPr="00FA0D37" w:rsidRDefault="00F03826" w:rsidP="00FA0D37">
      <w:pPr>
        <w:pStyle w:val="PL"/>
        <w:rPr>
          <w:color w:val="808080"/>
        </w:rPr>
      </w:pPr>
      <w:r w:rsidRPr="00FA0D37">
        <w:t xml:space="preserve">    </w:t>
      </w:r>
      <w:r w:rsidRPr="00FA0D37">
        <w:rPr>
          <w:color w:val="808080"/>
        </w:rPr>
        <w:t>-- R1 25-9: Semi-static PUCCH cell switching for a single PUCCH group only</w:t>
      </w:r>
    </w:p>
    <w:p w14:paraId="5FDCFC90" w14:textId="7C2C63A6" w:rsidR="00F03826" w:rsidRPr="00FA0D37" w:rsidRDefault="00F03826" w:rsidP="00FA0D37">
      <w:pPr>
        <w:pStyle w:val="PL"/>
      </w:pPr>
      <w:r w:rsidRPr="00FA0D37">
        <w:t xml:space="preserve">    semiStaticPUCCH-CellSwitchSingleGroup-r17        </w:t>
      </w:r>
      <w:r w:rsidRPr="00FA0D37">
        <w:rPr>
          <w:color w:val="993366"/>
        </w:rPr>
        <w:t>SEQUENCE</w:t>
      </w:r>
      <w:r w:rsidRPr="00FA0D37">
        <w:t xml:space="preserve"> {</w:t>
      </w:r>
    </w:p>
    <w:p w14:paraId="3BD1FE59" w14:textId="0C6F8A53" w:rsidR="00F03826" w:rsidRPr="00FA0D37" w:rsidRDefault="00F03826" w:rsidP="00FA0D37">
      <w:pPr>
        <w:pStyle w:val="PL"/>
      </w:pPr>
      <w:r w:rsidRPr="00FA0D37">
        <w:t xml:space="preserve">        pucch-Group-r17                                </w:t>
      </w:r>
      <w:r w:rsidRPr="00FA0D37">
        <w:rPr>
          <w:color w:val="993366"/>
        </w:rPr>
        <w:t>ENUMERATED</w:t>
      </w:r>
      <w:r w:rsidRPr="00FA0D37">
        <w:t xml:space="preserve"> {primaryGroupOnly, secondaryGroupOnly, eitherPrimaryOrSecondaryGroup},</w:t>
      </w:r>
    </w:p>
    <w:p w14:paraId="0217749A" w14:textId="1E7B9D0E" w:rsidR="00F03826" w:rsidRPr="00FA0D37" w:rsidRDefault="00F03826" w:rsidP="00FA0D37">
      <w:pPr>
        <w:pStyle w:val="PL"/>
      </w:pPr>
      <w:r w:rsidRPr="00FA0D37">
        <w:t xml:space="preserve">        pucch-Group-Config-r17                           PUCCH-Group-Config-r17</w:t>
      </w:r>
    </w:p>
    <w:p w14:paraId="58E0EA5F" w14:textId="6E4057D1" w:rsidR="00F03826" w:rsidRPr="00FA0D37" w:rsidRDefault="00F03826" w:rsidP="00FA0D37">
      <w:pPr>
        <w:pStyle w:val="PL"/>
      </w:pPr>
      <w:r w:rsidRPr="00FA0D37">
        <w:t xml:space="preserve">    }                                                                                             </w:t>
      </w:r>
      <w:r w:rsidRPr="00FA0D37">
        <w:rPr>
          <w:color w:val="993366"/>
        </w:rPr>
        <w:t>OPTIONAL</w:t>
      </w:r>
      <w:r w:rsidRPr="00FA0D37">
        <w:t>,</w:t>
      </w:r>
    </w:p>
    <w:p w14:paraId="478C21B8" w14:textId="77777777" w:rsidR="00F03826" w:rsidRPr="00FA0D37" w:rsidRDefault="00F03826" w:rsidP="00FA0D37">
      <w:pPr>
        <w:pStyle w:val="PL"/>
        <w:rPr>
          <w:color w:val="808080"/>
        </w:rPr>
      </w:pPr>
      <w:r w:rsidRPr="00FA0D37">
        <w:t xml:space="preserve">    </w:t>
      </w:r>
      <w:r w:rsidRPr="00FA0D37">
        <w:rPr>
          <w:color w:val="808080"/>
        </w:rPr>
        <w:t>-- R1 25-9a: Semi-static PUCCH cell switching for two PUCCH groups</w:t>
      </w:r>
    </w:p>
    <w:p w14:paraId="1E11279E" w14:textId="77777777" w:rsidR="00C148E4" w:rsidRPr="00FA0D37" w:rsidRDefault="00F03826" w:rsidP="00FA0D37">
      <w:pPr>
        <w:pStyle w:val="PL"/>
      </w:pPr>
      <w:r w:rsidRPr="00FA0D37">
        <w:t xml:space="preserve">    semiStaticPUCCH-CellSwitchTwoGroups-r17    </w:t>
      </w:r>
      <w:r w:rsidRPr="00FA0D37">
        <w:rPr>
          <w:color w:val="993366"/>
        </w:rPr>
        <w:t>SEQUENCE</w:t>
      </w:r>
      <w:r w:rsidRPr="00FA0D37">
        <w:t xml:space="preserve"> (</w:t>
      </w:r>
      <w:r w:rsidRPr="00FA0D37">
        <w:rPr>
          <w:color w:val="993366"/>
        </w:rPr>
        <w:t>SIZE</w:t>
      </w:r>
      <w:r w:rsidRPr="00FA0D37">
        <w:t xml:space="preserve"> (1..maxTwoPUCCH-Grp-ConfigList-r17))</w:t>
      </w:r>
      <w:r w:rsidRPr="00FA0D37">
        <w:rPr>
          <w:color w:val="993366"/>
        </w:rPr>
        <w:t xml:space="preserve"> OF</w:t>
      </w:r>
      <w:r w:rsidRPr="00FA0D37">
        <w:t xml:space="preserve"> TwoPUCCH-Grp-Configurations-r17 </w:t>
      </w:r>
      <w:r w:rsidRPr="00FA0D37">
        <w:rPr>
          <w:color w:val="993366"/>
        </w:rPr>
        <w:t>OPTIONAL</w:t>
      </w:r>
      <w:r w:rsidRPr="00FA0D37">
        <w:t>,</w:t>
      </w:r>
    </w:p>
    <w:p w14:paraId="10375DAF" w14:textId="13299911" w:rsidR="00F03826" w:rsidRPr="00FA0D37" w:rsidRDefault="00F03826" w:rsidP="00FA0D37">
      <w:pPr>
        <w:pStyle w:val="PL"/>
        <w:rPr>
          <w:color w:val="808080"/>
        </w:rPr>
      </w:pPr>
      <w:r w:rsidRPr="00FA0D37">
        <w:t xml:space="preserve">    </w:t>
      </w:r>
      <w:r w:rsidRPr="00FA0D37">
        <w:rPr>
          <w:color w:val="808080"/>
        </w:rPr>
        <w:t>-- R1 25-10: PUCCH cell switching based on dynamic indication for same length of overlapping PUCCH slots/sub-slots for a single</w:t>
      </w:r>
    </w:p>
    <w:p w14:paraId="39C84A2B" w14:textId="10D729A7" w:rsidR="00F03826" w:rsidRPr="00FA0D37" w:rsidRDefault="00F03826" w:rsidP="00FA0D37">
      <w:pPr>
        <w:pStyle w:val="PL"/>
        <w:rPr>
          <w:color w:val="808080"/>
        </w:rPr>
      </w:pPr>
      <w:r w:rsidRPr="00FA0D37">
        <w:t xml:space="preserve">    </w:t>
      </w:r>
      <w:r w:rsidRPr="00FA0D37">
        <w:rPr>
          <w:color w:val="808080"/>
        </w:rPr>
        <w:t>-- PUCCH group only</w:t>
      </w:r>
    </w:p>
    <w:p w14:paraId="53D22B23" w14:textId="5B362868" w:rsidR="00F03826" w:rsidRPr="00FA0D37" w:rsidRDefault="00F03826" w:rsidP="00FA0D37">
      <w:pPr>
        <w:pStyle w:val="PL"/>
      </w:pPr>
      <w:r w:rsidRPr="00FA0D37">
        <w:t xml:space="preserve">    dynamicPUCCH-CellSwitchSameLengthSingleGroup-r17 </w:t>
      </w:r>
      <w:r w:rsidRPr="00FA0D37">
        <w:rPr>
          <w:color w:val="993366"/>
        </w:rPr>
        <w:t>SEQUENCE</w:t>
      </w:r>
      <w:r w:rsidRPr="00FA0D37">
        <w:t xml:space="preserve"> {</w:t>
      </w:r>
    </w:p>
    <w:p w14:paraId="40CDBD8C" w14:textId="58718347" w:rsidR="00F03826" w:rsidRPr="00FA0D37" w:rsidRDefault="00F03826" w:rsidP="00FA0D37">
      <w:pPr>
        <w:pStyle w:val="PL"/>
      </w:pPr>
      <w:r w:rsidRPr="00FA0D37">
        <w:t xml:space="preserve">        pucch-Group-r17                                  </w:t>
      </w:r>
      <w:r w:rsidRPr="00FA0D37">
        <w:rPr>
          <w:color w:val="993366"/>
        </w:rPr>
        <w:t>ENUMERATED</w:t>
      </w:r>
      <w:r w:rsidRPr="00FA0D37">
        <w:t xml:space="preserve"> {primaryGroupOnly, secondaryGroupOnly, eitherPrimaryOrSecondaryGroup},</w:t>
      </w:r>
    </w:p>
    <w:p w14:paraId="2FED89EA" w14:textId="0731E457" w:rsidR="00F03826" w:rsidRPr="00FA0D37" w:rsidRDefault="00F03826" w:rsidP="00FA0D37">
      <w:pPr>
        <w:pStyle w:val="PL"/>
      </w:pPr>
      <w:r w:rsidRPr="00FA0D37">
        <w:t xml:space="preserve">        pucch-Group-Config-r17                       PUCCH-Group-Config-r17</w:t>
      </w:r>
    </w:p>
    <w:p w14:paraId="46D0989E" w14:textId="32827301" w:rsidR="00F03826" w:rsidRPr="00FA0D37" w:rsidRDefault="00F03826" w:rsidP="00FA0D37">
      <w:pPr>
        <w:pStyle w:val="PL"/>
      </w:pPr>
      <w:r w:rsidRPr="00FA0D37">
        <w:t xml:space="preserve">    }                                                                                             </w:t>
      </w:r>
      <w:r w:rsidRPr="00FA0D37">
        <w:rPr>
          <w:color w:val="993366"/>
        </w:rPr>
        <w:t>OPTIONAL</w:t>
      </w:r>
      <w:r w:rsidRPr="00FA0D37">
        <w:t>,</w:t>
      </w:r>
    </w:p>
    <w:p w14:paraId="395B1AAA" w14:textId="77777777" w:rsidR="00C148E4" w:rsidRPr="00FA0D37" w:rsidRDefault="00F03826" w:rsidP="00FA0D37">
      <w:pPr>
        <w:pStyle w:val="PL"/>
        <w:rPr>
          <w:color w:val="808080"/>
        </w:rPr>
      </w:pPr>
      <w:r w:rsidRPr="00FA0D37">
        <w:t xml:space="preserve">    </w:t>
      </w:r>
      <w:r w:rsidRPr="00FA0D37">
        <w:rPr>
          <w:color w:val="808080"/>
        </w:rPr>
        <w:t>-- R1 25-10a: PUCCH cell switching based on dynamic indication for different length of overlapping PUCCH slots/sub-slots</w:t>
      </w:r>
    </w:p>
    <w:p w14:paraId="68249925" w14:textId="771AB183" w:rsidR="00F03826" w:rsidRPr="00FA0D37" w:rsidRDefault="00F03826" w:rsidP="00FA0D37">
      <w:pPr>
        <w:pStyle w:val="PL"/>
        <w:rPr>
          <w:color w:val="808080"/>
        </w:rPr>
      </w:pPr>
      <w:r w:rsidRPr="00FA0D37">
        <w:t xml:space="preserve">    </w:t>
      </w:r>
      <w:r w:rsidRPr="00FA0D37">
        <w:rPr>
          <w:color w:val="808080"/>
        </w:rPr>
        <w:t>-- for a single PUCCH group only</w:t>
      </w:r>
    </w:p>
    <w:p w14:paraId="5F1413FB" w14:textId="5A8FC3D2" w:rsidR="00F03826" w:rsidRPr="00FA0D37" w:rsidRDefault="00F03826" w:rsidP="00FA0D37">
      <w:pPr>
        <w:pStyle w:val="PL"/>
      </w:pPr>
      <w:r w:rsidRPr="00FA0D37">
        <w:t xml:space="preserve">    dynamicPUCCH-CellSwitchDiffLengthSingleGroup-r17 </w:t>
      </w:r>
      <w:r w:rsidRPr="00FA0D37">
        <w:rPr>
          <w:color w:val="993366"/>
        </w:rPr>
        <w:t>SEQUENCE</w:t>
      </w:r>
      <w:r w:rsidRPr="00FA0D37">
        <w:t xml:space="preserve"> {</w:t>
      </w:r>
    </w:p>
    <w:p w14:paraId="204F6179" w14:textId="3C6CE8E4" w:rsidR="00F03826" w:rsidRPr="00FA0D37" w:rsidRDefault="00F03826" w:rsidP="00FA0D37">
      <w:pPr>
        <w:pStyle w:val="PL"/>
      </w:pPr>
      <w:r w:rsidRPr="00FA0D37">
        <w:t xml:space="preserve">        pucch-Group-r17                                  </w:t>
      </w:r>
      <w:r w:rsidRPr="00FA0D37">
        <w:rPr>
          <w:color w:val="993366"/>
        </w:rPr>
        <w:t>ENUMERATED</w:t>
      </w:r>
      <w:r w:rsidRPr="00FA0D37">
        <w:t xml:space="preserve"> {primaryGroupOnly, secondaryGroupOnly, eitherPrimaryOrSecondaryGroup},</w:t>
      </w:r>
    </w:p>
    <w:p w14:paraId="205B17E8" w14:textId="5CEA74FB" w:rsidR="00F03826" w:rsidRPr="00FA0D37" w:rsidRDefault="00F03826" w:rsidP="00FA0D37">
      <w:pPr>
        <w:pStyle w:val="PL"/>
      </w:pPr>
      <w:r w:rsidRPr="00FA0D37">
        <w:t xml:space="preserve">        pucch-Group-Config-r17                           PUCCH-Group-Config-r17</w:t>
      </w:r>
    </w:p>
    <w:p w14:paraId="61B0D48E" w14:textId="2BBEB1DE" w:rsidR="00F03826" w:rsidRPr="00FA0D37" w:rsidRDefault="00F03826" w:rsidP="00FA0D37">
      <w:pPr>
        <w:pStyle w:val="PL"/>
      </w:pPr>
      <w:r w:rsidRPr="00FA0D37">
        <w:t xml:space="preserve">    }                                                                                             </w:t>
      </w:r>
      <w:r w:rsidRPr="00FA0D37">
        <w:rPr>
          <w:color w:val="993366"/>
        </w:rPr>
        <w:t>OPTIONAL</w:t>
      </w:r>
      <w:r w:rsidRPr="00FA0D37">
        <w:t>,</w:t>
      </w:r>
    </w:p>
    <w:p w14:paraId="026FAB54" w14:textId="77777777" w:rsidR="00F03826" w:rsidRPr="00FA0D37" w:rsidRDefault="00F03826" w:rsidP="00FA0D37">
      <w:pPr>
        <w:pStyle w:val="PL"/>
        <w:rPr>
          <w:color w:val="808080"/>
        </w:rPr>
      </w:pPr>
      <w:r w:rsidRPr="00FA0D37">
        <w:t xml:space="preserve">    </w:t>
      </w:r>
      <w:r w:rsidRPr="00FA0D37">
        <w:rPr>
          <w:color w:val="808080"/>
        </w:rPr>
        <w:t>-- R1 25-10b: PUCCH cell switching based on dynamic indication for same length of overlapping PUCCH slots/sub-slots for two PUCCH</w:t>
      </w:r>
    </w:p>
    <w:p w14:paraId="57D72B0B" w14:textId="2EB7B62C" w:rsidR="00F03826" w:rsidRPr="00FA0D37" w:rsidRDefault="00F03826" w:rsidP="00FA0D37">
      <w:pPr>
        <w:pStyle w:val="PL"/>
        <w:rPr>
          <w:color w:val="808080"/>
        </w:rPr>
      </w:pPr>
      <w:r w:rsidRPr="00FA0D37">
        <w:t xml:space="preserve">    </w:t>
      </w:r>
      <w:r w:rsidRPr="00FA0D37">
        <w:rPr>
          <w:color w:val="808080"/>
        </w:rPr>
        <w:t>-- groups</w:t>
      </w:r>
    </w:p>
    <w:p w14:paraId="111FA722" w14:textId="0FE4AC7E" w:rsidR="00F03826" w:rsidRPr="00FA0D37" w:rsidRDefault="00F03826" w:rsidP="00FA0D37">
      <w:pPr>
        <w:pStyle w:val="PL"/>
      </w:pPr>
      <w:r w:rsidRPr="00FA0D37">
        <w:t xml:space="preserve">    dynamicPUCCH-CellSwitchSameLengthTwoGroups-r17   </w:t>
      </w:r>
      <w:r w:rsidRPr="00FA0D37">
        <w:rPr>
          <w:color w:val="993366"/>
        </w:rPr>
        <w:t>SEQUENCE</w:t>
      </w:r>
      <w:r w:rsidRPr="00FA0D37">
        <w:t xml:space="preserve"> (</w:t>
      </w:r>
      <w:r w:rsidRPr="00FA0D37">
        <w:rPr>
          <w:color w:val="993366"/>
        </w:rPr>
        <w:t>SIZE</w:t>
      </w:r>
      <w:r w:rsidRPr="00FA0D37">
        <w:t xml:space="preserve"> (1..maxTwoPUCCH-Grp-ConfigList-r17))</w:t>
      </w:r>
      <w:r w:rsidRPr="00FA0D37">
        <w:rPr>
          <w:color w:val="993366"/>
        </w:rPr>
        <w:t xml:space="preserve"> OF</w:t>
      </w:r>
      <w:r w:rsidRPr="00FA0D37">
        <w:t xml:space="preserve"> TwoPUCCH-Grp-Configurations-r17</w:t>
      </w:r>
    </w:p>
    <w:p w14:paraId="749B2E91" w14:textId="3D505851" w:rsidR="00F03826" w:rsidRPr="00FA0D37" w:rsidRDefault="00F03826" w:rsidP="00FA0D37">
      <w:pPr>
        <w:pStyle w:val="PL"/>
      </w:pPr>
      <w:r w:rsidRPr="00FA0D37">
        <w:t xml:space="preserve">                                                                                                  </w:t>
      </w:r>
      <w:r w:rsidRPr="00FA0D37">
        <w:rPr>
          <w:color w:val="993366"/>
        </w:rPr>
        <w:t>OPTIONAL</w:t>
      </w:r>
      <w:r w:rsidRPr="00FA0D37">
        <w:t>,</w:t>
      </w:r>
    </w:p>
    <w:p w14:paraId="0446FD11" w14:textId="77777777" w:rsidR="00F03826" w:rsidRPr="00FA0D37" w:rsidRDefault="00F03826" w:rsidP="00FA0D37">
      <w:pPr>
        <w:pStyle w:val="PL"/>
        <w:rPr>
          <w:color w:val="808080"/>
        </w:rPr>
      </w:pPr>
      <w:r w:rsidRPr="00FA0D37">
        <w:t xml:space="preserve">    </w:t>
      </w:r>
      <w:r w:rsidRPr="00FA0D37">
        <w:rPr>
          <w:color w:val="808080"/>
        </w:rPr>
        <w:t>-- R1 25-10c: PUCCH cell switching based on dynamic indication for different length of overlapping PUCCH slots/sub-slots for two</w:t>
      </w:r>
    </w:p>
    <w:p w14:paraId="00566E43" w14:textId="19D2CA88" w:rsidR="00F03826" w:rsidRPr="00FA0D37" w:rsidRDefault="00F03826" w:rsidP="00FA0D37">
      <w:pPr>
        <w:pStyle w:val="PL"/>
        <w:rPr>
          <w:color w:val="808080"/>
        </w:rPr>
      </w:pPr>
      <w:r w:rsidRPr="00FA0D37">
        <w:t xml:space="preserve">    </w:t>
      </w:r>
      <w:r w:rsidRPr="00FA0D37">
        <w:rPr>
          <w:color w:val="808080"/>
        </w:rPr>
        <w:t>-- PUCCH groups</w:t>
      </w:r>
    </w:p>
    <w:p w14:paraId="2C8AC6BA" w14:textId="77777777" w:rsidR="00F03826" w:rsidRPr="00FA0D37" w:rsidRDefault="00F03826" w:rsidP="00FA0D37">
      <w:pPr>
        <w:pStyle w:val="PL"/>
      </w:pPr>
      <w:r w:rsidRPr="00FA0D37">
        <w:t xml:space="preserve">    dynamicPUCCH-CellSwitchDiffLengthTwoGroups-r17   </w:t>
      </w:r>
      <w:r w:rsidRPr="00FA0D37">
        <w:rPr>
          <w:color w:val="993366"/>
        </w:rPr>
        <w:t>SEQUENCE</w:t>
      </w:r>
      <w:r w:rsidRPr="00FA0D37">
        <w:t xml:space="preserve"> (</w:t>
      </w:r>
      <w:r w:rsidRPr="00FA0D37">
        <w:rPr>
          <w:color w:val="993366"/>
        </w:rPr>
        <w:t>SIZE</w:t>
      </w:r>
      <w:r w:rsidRPr="00FA0D37">
        <w:t xml:space="preserve"> (1..maxTwoPUCCH-Grp-ConfigList-r17))</w:t>
      </w:r>
      <w:r w:rsidRPr="00FA0D37">
        <w:rPr>
          <w:color w:val="993366"/>
        </w:rPr>
        <w:t xml:space="preserve"> OF</w:t>
      </w:r>
      <w:r w:rsidRPr="00FA0D37">
        <w:t xml:space="preserve"> TwoPUCCH-Grp-Configurations-r17</w:t>
      </w:r>
    </w:p>
    <w:p w14:paraId="0ED09DF1" w14:textId="14B02F4D" w:rsidR="00F03826" w:rsidRPr="00FA0D37" w:rsidRDefault="00F03826" w:rsidP="00FA0D37">
      <w:pPr>
        <w:pStyle w:val="PL"/>
      </w:pPr>
      <w:r w:rsidRPr="00FA0D37">
        <w:lastRenderedPageBreak/>
        <w:t xml:space="preserve">                                                                                                  </w:t>
      </w:r>
      <w:r w:rsidRPr="00FA0D37">
        <w:rPr>
          <w:color w:val="993366"/>
        </w:rPr>
        <w:t>OPTIONAL</w:t>
      </w:r>
      <w:r w:rsidRPr="00FA0D37">
        <w:t>,</w:t>
      </w:r>
    </w:p>
    <w:p w14:paraId="7447D05C" w14:textId="402DA625" w:rsidR="00F03826" w:rsidRPr="00FA0D37" w:rsidRDefault="00F03826" w:rsidP="00FA0D37">
      <w:pPr>
        <w:pStyle w:val="PL"/>
        <w:rPr>
          <w:color w:val="808080"/>
        </w:rPr>
      </w:pPr>
      <w:r w:rsidRPr="00FA0D37">
        <w:t xml:space="preserve">    </w:t>
      </w:r>
      <w:r w:rsidRPr="00FA0D37">
        <w:rPr>
          <w:color w:val="808080"/>
        </w:rPr>
        <w:t>-- R1 33-2a: ACK/NACK based HARQ-ACK feedback and RRC-based enabling/disabling ACK/NACK-based</w:t>
      </w:r>
    </w:p>
    <w:p w14:paraId="02114F45" w14:textId="77777777" w:rsidR="00F03826" w:rsidRPr="00FA0D37" w:rsidRDefault="00F03826" w:rsidP="00FA0D37">
      <w:pPr>
        <w:pStyle w:val="PL"/>
        <w:rPr>
          <w:color w:val="808080"/>
        </w:rPr>
      </w:pPr>
      <w:r w:rsidRPr="00FA0D37">
        <w:t xml:space="preserve">    </w:t>
      </w:r>
      <w:r w:rsidRPr="00FA0D37">
        <w:rPr>
          <w:color w:val="808080"/>
        </w:rPr>
        <w:t>-- feedback for dynamic scheduling for multicast</w:t>
      </w:r>
    </w:p>
    <w:p w14:paraId="6D1ABAB1" w14:textId="2008B986" w:rsidR="00F03826" w:rsidRPr="00FA0D37" w:rsidRDefault="00F03826" w:rsidP="00FA0D37">
      <w:pPr>
        <w:pStyle w:val="PL"/>
      </w:pPr>
      <w:r w:rsidRPr="00FA0D37">
        <w:t xml:space="preserve">    ack-NACK-FeedbackForMulticast-r17                </w:t>
      </w:r>
      <w:r w:rsidRPr="00FA0D37">
        <w:rPr>
          <w:color w:val="993366"/>
        </w:rPr>
        <w:t>ENUMERATED</w:t>
      </w:r>
      <w:r w:rsidRPr="00FA0D37">
        <w:t xml:space="preserve"> {supported}                       </w:t>
      </w:r>
      <w:r w:rsidRPr="00FA0D37">
        <w:rPr>
          <w:color w:val="993366"/>
        </w:rPr>
        <w:t>OPTIONAL</w:t>
      </w:r>
      <w:r w:rsidRPr="00FA0D37">
        <w:t>,</w:t>
      </w:r>
    </w:p>
    <w:p w14:paraId="294F68FD" w14:textId="77777777" w:rsidR="00C148E4" w:rsidRPr="00FA0D37" w:rsidRDefault="00F03826" w:rsidP="00FA0D37">
      <w:pPr>
        <w:pStyle w:val="PL"/>
        <w:rPr>
          <w:color w:val="808080"/>
        </w:rPr>
      </w:pPr>
      <w:r w:rsidRPr="00FA0D37">
        <w:t xml:space="preserve">    </w:t>
      </w:r>
      <w:r w:rsidRPr="00FA0D37">
        <w:rPr>
          <w:color w:val="808080"/>
        </w:rPr>
        <w:t>-- R1 33-2d: PTP retransmission for multicast dynamic scheduling</w:t>
      </w:r>
    </w:p>
    <w:p w14:paraId="01045D3F" w14:textId="667B8C7F" w:rsidR="00F03826" w:rsidRPr="00FA0D37" w:rsidRDefault="00F03826" w:rsidP="00FA0D37">
      <w:pPr>
        <w:pStyle w:val="PL"/>
      </w:pPr>
      <w:r w:rsidRPr="00FA0D37">
        <w:t xml:space="preserve">    ptp-Retx-Multicast-r17                           </w:t>
      </w:r>
      <w:r w:rsidRPr="00FA0D37">
        <w:rPr>
          <w:color w:val="993366"/>
        </w:rPr>
        <w:t>ENUMERATED</w:t>
      </w:r>
      <w:r w:rsidRPr="00FA0D37">
        <w:t xml:space="preserve"> {supported}                       </w:t>
      </w:r>
      <w:r w:rsidRPr="00FA0D37">
        <w:rPr>
          <w:color w:val="993366"/>
        </w:rPr>
        <w:t>OPTIONAL</w:t>
      </w:r>
      <w:r w:rsidRPr="00FA0D37">
        <w:t>,</w:t>
      </w:r>
    </w:p>
    <w:p w14:paraId="1F79F7C8" w14:textId="300A3475" w:rsidR="00F03826" w:rsidRPr="00FA0D37" w:rsidRDefault="00F03826" w:rsidP="00FA0D37">
      <w:pPr>
        <w:pStyle w:val="PL"/>
        <w:rPr>
          <w:color w:val="808080"/>
        </w:rPr>
      </w:pPr>
      <w:r w:rsidRPr="00FA0D37">
        <w:t xml:space="preserve">    </w:t>
      </w:r>
      <w:r w:rsidRPr="00FA0D37">
        <w:rPr>
          <w:color w:val="808080"/>
        </w:rPr>
        <w:t xml:space="preserve">-- R1 33-4: NACK-only based HARQ-ACK feedback for </w:t>
      </w:r>
      <w:r w:rsidR="003350BF" w:rsidRPr="00FA0D37">
        <w:rPr>
          <w:color w:val="808080"/>
        </w:rPr>
        <w:t xml:space="preserve">RRC-based enabling/disabling </w:t>
      </w:r>
      <w:r w:rsidRPr="00FA0D37">
        <w:rPr>
          <w:color w:val="808080"/>
        </w:rPr>
        <w:t>multicast with ACK/NACK transforming</w:t>
      </w:r>
    </w:p>
    <w:p w14:paraId="2523687C" w14:textId="58751CF1" w:rsidR="00F03826" w:rsidRPr="00FA0D37" w:rsidRDefault="00F03826" w:rsidP="00FA0D37">
      <w:pPr>
        <w:pStyle w:val="PL"/>
      </w:pPr>
      <w:r w:rsidRPr="00FA0D37">
        <w:t xml:space="preserve">    nack-OnlyFeedbackForMulticast-r17                </w:t>
      </w:r>
      <w:r w:rsidRPr="00FA0D37">
        <w:rPr>
          <w:color w:val="993366"/>
        </w:rPr>
        <w:t>ENUMERATED</w:t>
      </w:r>
      <w:r w:rsidRPr="00FA0D37">
        <w:t xml:space="preserve"> {supported}                       </w:t>
      </w:r>
      <w:r w:rsidRPr="00FA0D37">
        <w:rPr>
          <w:color w:val="993366"/>
        </w:rPr>
        <w:t>OPTIONAL</w:t>
      </w:r>
      <w:r w:rsidRPr="00FA0D37">
        <w:t>,</w:t>
      </w:r>
    </w:p>
    <w:p w14:paraId="5A6C1E32" w14:textId="1A38C81B" w:rsidR="00F03826" w:rsidRPr="00FA0D37" w:rsidRDefault="00F03826" w:rsidP="00FA0D37">
      <w:pPr>
        <w:pStyle w:val="PL"/>
        <w:rPr>
          <w:color w:val="808080"/>
        </w:rPr>
      </w:pPr>
      <w:r w:rsidRPr="00FA0D37">
        <w:t xml:space="preserve">    </w:t>
      </w:r>
      <w:r w:rsidRPr="00FA0D37">
        <w:rPr>
          <w:color w:val="808080"/>
        </w:rPr>
        <w:t>-- R1 33-4a: NACK-only based HARQ-ACK feedback for multicast corresponding to a specific sequence or a PUCCH transmission</w:t>
      </w:r>
    </w:p>
    <w:p w14:paraId="00CF4EC1" w14:textId="5BB39B00" w:rsidR="00F03826" w:rsidRPr="00FA0D37" w:rsidRDefault="00F03826" w:rsidP="00FA0D37">
      <w:pPr>
        <w:pStyle w:val="PL"/>
      </w:pPr>
      <w:r w:rsidRPr="00FA0D37">
        <w:t xml:space="preserve">    nack-OnlyFeedbackSpecificResourceForMulticast-r17 </w:t>
      </w:r>
      <w:r w:rsidRPr="00FA0D37">
        <w:rPr>
          <w:color w:val="993366"/>
        </w:rPr>
        <w:t>ENUMERATED</w:t>
      </w:r>
      <w:r w:rsidRPr="00FA0D37">
        <w:t xml:space="preserve"> {supported}                      </w:t>
      </w:r>
      <w:r w:rsidRPr="00FA0D37">
        <w:rPr>
          <w:color w:val="993366"/>
        </w:rPr>
        <w:t>OPTIONAL</w:t>
      </w:r>
      <w:r w:rsidRPr="00FA0D37">
        <w:t>,</w:t>
      </w:r>
    </w:p>
    <w:p w14:paraId="2C0CF12B" w14:textId="111D6834" w:rsidR="00F03826" w:rsidRPr="00FA0D37" w:rsidRDefault="00F03826" w:rsidP="00FA0D37">
      <w:pPr>
        <w:pStyle w:val="PL"/>
        <w:rPr>
          <w:color w:val="808080"/>
        </w:rPr>
      </w:pPr>
      <w:r w:rsidRPr="00FA0D37">
        <w:t xml:space="preserve">    </w:t>
      </w:r>
      <w:r w:rsidRPr="00FA0D37">
        <w:rPr>
          <w:color w:val="808080"/>
        </w:rPr>
        <w:t>-- R1 33-5-1a: ACK/NACK based HARQ-ACK feedback and RRC-based enabling/disabling ACK/NACK-based feedback</w:t>
      </w:r>
    </w:p>
    <w:p w14:paraId="078CDB2A" w14:textId="2EA94333" w:rsidR="00F03826" w:rsidRPr="00FA0D37" w:rsidRDefault="00F03826" w:rsidP="00FA0D37">
      <w:pPr>
        <w:pStyle w:val="PL"/>
        <w:rPr>
          <w:color w:val="808080"/>
        </w:rPr>
      </w:pPr>
      <w:r w:rsidRPr="00FA0D37">
        <w:t xml:space="preserve">    </w:t>
      </w:r>
      <w:r w:rsidRPr="00FA0D37">
        <w:rPr>
          <w:color w:val="808080"/>
        </w:rPr>
        <w:t>-- for SPS group-common PDSCH for multicast</w:t>
      </w:r>
    </w:p>
    <w:p w14:paraId="41C07F63" w14:textId="665C75FE" w:rsidR="00F03826" w:rsidRPr="00FA0D37" w:rsidRDefault="00F03826" w:rsidP="00FA0D37">
      <w:pPr>
        <w:pStyle w:val="PL"/>
      </w:pPr>
      <w:r w:rsidRPr="00FA0D37">
        <w:t xml:space="preserve">    ack-NACK-FeedbackForSPS-Multicast-r17            </w:t>
      </w:r>
      <w:r w:rsidRPr="00FA0D37">
        <w:rPr>
          <w:color w:val="993366"/>
        </w:rPr>
        <w:t>ENUMERATED</w:t>
      </w:r>
      <w:r w:rsidRPr="00FA0D37">
        <w:t xml:space="preserve"> {supported}                       </w:t>
      </w:r>
      <w:r w:rsidRPr="00FA0D37">
        <w:rPr>
          <w:color w:val="993366"/>
        </w:rPr>
        <w:t>OPTIONAL</w:t>
      </w:r>
      <w:r w:rsidRPr="00FA0D37">
        <w:t>,</w:t>
      </w:r>
    </w:p>
    <w:p w14:paraId="10E3BFBD" w14:textId="509E755A" w:rsidR="00F03826" w:rsidRPr="00FA0D37" w:rsidRDefault="00F03826" w:rsidP="00FA0D37">
      <w:pPr>
        <w:pStyle w:val="PL"/>
        <w:rPr>
          <w:color w:val="808080"/>
        </w:rPr>
      </w:pPr>
      <w:r w:rsidRPr="00FA0D37">
        <w:t xml:space="preserve">    </w:t>
      </w:r>
      <w:r w:rsidRPr="00FA0D37">
        <w:rPr>
          <w:color w:val="808080"/>
        </w:rPr>
        <w:t>-- R1 33-5-1d: PTP retransmission for SPS group-common PDSCH for multicast</w:t>
      </w:r>
    </w:p>
    <w:p w14:paraId="0C3F6B76" w14:textId="65987A34" w:rsidR="00F03826" w:rsidRPr="00FA0D37" w:rsidRDefault="00F03826" w:rsidP="00FA0D37">
      <w:pPr>
        <w:pStyle w:val="PL"/>
      </w:pPr>
      <w:r w:rsidRPr="00FA0D37">
        <w:t xml:space="preserve">    ptp-Retx-SPS-Multicast-r17                       </w:t>
      </w:r>
      <w:r w:rsidRPr="00FA0D37">
        <w:rPr>
          <w:color w:val="993366"/>
        </w:rPr>
        <w:t>ENUMERATED</w:t>
      </w:r>
      <w:r w:rsidRPr="00FA0D37">
        <w:t xml:space="preserve"> {supported}                       </w:t>
      </w:r>
      <w:r w:rsidRPr="00FA0D37">
        <w:rPr>
          <w:color w:val="993366"/>
        </w:rPr>
        <w:t>OPTIONAL</w:t>
      </w:r>
      <w:r w:rsidRPr="00FA0D37">
        <w:t>,</w:t>
      </w:r>
    </w:p>
    <w:p w14:paraId="780A5160" w14:textId="58A72EA4" w:rsidR="00F03826" w:rsidRPr="00FA0D37" w:rsidRDefault="00F03826" w:rsidP="00FA0D37">
      <w:pPr>
        <w:pStyle w:val="PL"/>
        <w:rPr>
          <w:color w:val="808080"/>
        </w:rPr>
      </w:pPr>
      <w:r w:rsidRPr="00FA0D37">
        <w:t xml:space="preserve">    </w:t>
      </w:r>
      <w:r w:rsidRPr="00FA0D37">
        <w:rPr>
          <w:color w:val="808080"/>
        </w:rPr>
        <w:t>-- R4 26-1: Higher Power Limit CA DC</w:t>
      </w:r>
    </w:p>
    <w:p w14:paraId="3EE0C2F7" w14:textId="76181DED" w:rsidR="00F03826" w:rsidRPr="00FA0D37" w:rsidRDefault="00F03826" w:rsidP="00FA0D37">
      <w:pPr>
        <w:pStyle w:val="PL"/>
      </w:pPr>
      <w:r w:rsidRPr="00FA0D37">
        <w:t xml:space="preserve">    higherPowerLimit-r17                             </w:t>
      </w:r>
      <w:r w:rsidRPr="00FA0D37">
        <w:rPr>
          <w:color w:val="993366"/>
        </w:rPr>
        <w:t>ENUMERATED</w:t>
      </w:r>
      <w:r w:rsidRPr="00FA0D37">
        <w:t xml:space="preserve"> {supported}                       </w:t>
      </w:r>
      <w:r w:rsidRPr="00FA0D37">
        <w:rPr>
          <w:color w:val="993366"/>
        </w:rPr>
        <w:t>OPTIONAL</w:t>
      </w:r>
      <w:r w:rsidRPr="00FA0D37">
        <w:t>,</w:t>
      </w:r>
    </w:p>
    <w:p w14:paraId="4FA45792" w14:textId="3FA3ED6D" w:rsidR="00F03826" w:rsidRPr="00FA0D37" w:rsidRDefault="00F03826" w:rsidP="00FA0D37">
      <w:pPr>
        <w:pStyle w:val="PL"/>
        <w:rPr>
          <w:color w:val="808080"/>
        </w:rPr>
      </w:pPr>
      <w:r w:rsidRPr="00FA0D37">
        <w:t xml:space="preserve">    </w:t>
      </w:r>
      <w:r w:rsidRPr="00FA0D37">
        <w:rPr>
          <w:color w:val="808080"/>
        </w:rPr>
        <w:t>-- R1 39-4: Parallel MsgA and SRS/PUCCH/PUSCH transmissions across CCs in intra-band non-contiguous CA</w:t>
      </w:r>
    </w:p>
    <w:p w14:paraId="6EC04DB5" w14:textId="138B00A6" w:rsidR="00F03826" w:rsidRPr="00FA0D37" w:rsidRDefault="00F03826" w:rsidP="00FA0D37">
      <w:pPr>
        <w:pStyle w:val="PL"/>
      </w:pPr>
      <w:r w:rsidRPr="00FA0D37">
        <w:t xml:space="preserve">    parallelTxMsgA-SRS-PUCCH-PUSCH-intraBand-r17     </w:t>
      </w:r>
      <w:r w:rsidRPr="00FA0D37">
        <w:rPr>
          <w:color w:val="993366"/>
        </w:rPr>
        <w:t>ENUMERATED</w:t>
      </w:r>
      <w:r w:rsidRPr="00FA0D37">
        <w:t xml:space="preserve"> {supported}                       </w:t>
      </w:r>
      <w:r w:rsidRPr="00FA0D37">
        <w:rPr>
          <w:color w:val="993366"/>
        </w:rPr>
        <w:t>OPTIONAL</w:t>
      </w:r>
      <w:r w:rsidRPr="00FA0D37">
        <w:t>,</w:t>
      </w:r>
    </w:p>
    <w:p w14:paraId="7086EAE1" w14:textId="77777777" w:rsidR="00F03826" w:rsidRPr="00FA0D37" w:rsidRDefault="00F03826" w:rsidP="00FA0D37">
      <w:pPr>
        <w:pStyle w:val="PL"/>
        <w:rPr>
          <w:color w:val="808080"/>
        </w:rPr>
      </w:pPr>
      <w:r w:rsidRPr="00FA0D37">
        <w:t xml:space="preserve">    </w:t>
      </w:r>
      <w:r w:rsidRPr="00FA0D37">
        <w:rPr>
          <w:color w:val="808080"/>
        </w:rPr>
        <w:t>-- R1 24-11a: Capability on the number of CCs for monitoring a maximum number of BDs and non-overlapped CCEs per span when</w:t>
      </w:r>
    </w:p>
    <w:p w14:paraId="4E230187" w14:textId="46BA1F7F" w:rsidR="00F03826" w:rsidRPr="00FA0D37" w:rsidRDefault="00F03826" w:rsidP="00FA0D37">
      <w:pPr>
        <w:pStyle w:val="PL"/>
        <w:rPr>
          <w:color w:val="808080"/>
        </w:rPr>
      </w:pPr>
      <w:r w:rsidRPr="00FA0D37">
        <w:t xml:space="preserve">    </w:t>
      </w:r>
      <w:r w:rsidRPr="00FA0D37">
        <w:rPr>
          <w:color w:val="808080"/>
        </w:rPr>
        <w:t>-- configured with DL CA with Rel-17 PDCCH monitoring capability on all the serving cells</w:t>
      </w:r>
    </w:p>
    <w:p w14:paraId="2FFE6AC4" w14:textId="75CCF79A" w:rsidR="00F03826" w:rsidRPr="00FA0D37" w:rsidRDefault="00F03826" w:rsidP="00FA0D37">
      <w:pPr>
        <w:pStyle w:val="PL"/>
      </w:pPr>
      <w:r w:rsidRPr="00FA0D37">
        <w:t xml:space="preserve">    pdcch-MonitoringCA-r17                           </w:t>
      </w:r>
      <w:r w:rsidRPr="00FA0D37">
        <w:rPr>
          <w:color w:val="993366"/>
        </w:rPr>
        <w:t>INTEGER</w:t>
      </w:r>
      <w:r w:rsidRPr="00FA0D37">
        <w:t xml:space="preserve"> (4..16)                             </w:t>
      </w:r>
      <w:r w:rsidR="00973FD9" w:rsidRPr="00FA0D37">
        <w:t xml:space="preserve"> </w:t>
      </w:r>
      <w:r w:rsidRPr="00FA0D37">
        <w:rPr>
          <w:color w:val="993366"/>
        </w:rPr>
        <w:t>OPTIONAL</w:t>
      </w:r>
      <w:r w:rsidRPr="00FA0D37">
        <w:t>,</w:t>
      </w:r>
    </w:p>
    <w:p w14:paraId="29E3EA4A" w14:textId="77777777" w:rsidR="00F03826" w:rsidRPr="00FA0D37" w:rsidRDefault="00F03826" w:rsidP="00FA0D37">
      <w:pPr>
        <w:pStyle w:val="PL"/>
        <w:rPr>
          <w:color w:val="808080"/>
        </w:rPr>
      </w:pPr>
      <w:r w:rsidRPr="00FA0D37">
        <w:t xml:space="preserve">    </w:t>
      </w:r>
      <w:r w:rsidRPr="00FA0D37">
        <w:rPr>
          <w:color w:val="808080"/>
        </w:rPr>
        <w:t>-- R1 24-11f: Capability on the number of CCs for monitoring a maximum number of BDs and non-overlapped CCEs for MCG and for SCG</w:t>
      </w:r>
    </w:p>
    <w:p w14:paraId="542C85B5" w14:textId="4B652367" w:rsidR="00F03826" w:rsidRPr="00FA0D37" w:rsidRDefault="00F03826" w:rsidP="00FA0D37">
      <w:pPr>
        <w:pStyle w:val="PL"/>
        <w:rPr>
          <w:color w:val="808080"/>
        </w:rPr>
      </w:pPr>
      <w:r w:rsidRPr="00FA0D37">
        <w:t xml:space="preserve">    </w:t>
      </w:r>
      <w:r w:rsidRPr="00FA0D37">
        <w:rPr>
          <w:color w:val="808080"/>
        </w:rPr>
        <w:t>-- when configured for NR-DC operation with Rel-17 PDCCH monitoring capability on all the serving cells</w:t>
      </w:r>
    </w:p>
    <w:p w14:paraId="29EA97BC" w14:textId="77777777" w:rsidR="00F03826" w:rsidRPr="00FA0D37" w:rsidRDefault="00F03826" w:rsidP="00FA0D37">
      <w:pPr>
        <w:pStyle w:val="PL"/>
      </w:pPr>
      <w:r w:rsidRPr="00FA0D37">
        <w:t xml:space="preserve">    pdcch-BlindDetectionMCG-SCG-List-r17             </w:t>
      </w:r>
      <w:r w:rsidRPr="00FA0D37">
        <w:rPr>
          <w:color w:val="993366"/>
        </w:rPr>
        <w:t>SEQUENCE</w:t>
      </w:r>
      <w:r w:rsidRPr="00FA0D37">
        <w:t>(</w:t>
      </w:r>
      <w:r w:rsidRPr="00FA0D37">
        <w:rPr>
          <w:color w:val="993366"/>
        </w:rPr>
        <w:t>SIZE</w:t>
      </w:r>
      <w:r w:rsidRPr="00FA0D37">
        <w:t>(1..maxNrofPdcch-BlindDetection-r17))</w:t>
      </w:r>
      <w:r w:rsidRPr="00FA0D37">
        <w:rPr>
          <w:color w:val="993366"/>
        </w:rPr>
        <w:t xml:space="preserve"> OF</w:t>
      </w:r>
      <w:r w:rsidRPr="00FA0D37">
        <w:t xml:space="preserve"> PDCCH-BlindDetectionMCG-SCG-r17</w:t>
      </w:r>
    </w:p>
    <w:p w14:paraId="4B1241C0" w14:textId="33BACD3A" w:rsidR="00F03826" w:rsidRPr="00FA0D37" w:rsidRDefault="00F03826" w:rsidP="00FA0D37">
      <w:pPr>
        <w:pStyle w:val="PL"/>
      </w:pPr>
      <w:r w:rsidRPr="00FA0D37">
        <w:t xml:space="preserve">                                                                                                  </w:t>
      </w:r>
      <w:r w:rsidRPr="00FA0D37">
        <w:rPr>
          <w:color w:val="993366"/>
        </w:rPr>
        <w:t>OPTIONAL</w:t>
      </w:r>
      <w:r w:rsidRPr="00FA0D37">
        <w:t>,</w:t>
      </w:r>
    </w:p>
    <w:p w14:paraId="5AFB1C0A" w14:textId="77777777" w:rsidR="00F03826" w:rsidRPr="00FA0D37" w:rsidRDefault="00F03826" w:rsidP="00FA0D37">
      <w:pPr>
        <w:pStyle w:val="PL"/>
        <w:rPr>
          <w:color w:val="808080"/>
        </w:rPr>
      </w:pPr>
      <w:r w:rsidRPr="00FA0D37">
        <w:t xml:space="preserve">    </w:t>
      </w:r>
      <w:r w:rsidRPr="00FA0D37">
        <w:rPr>
          <w:color w:val="808080"/>
        </w:rPr>
        <w:t>-- R1 24-11c: Number of carriers for CCE/BD scaling with DL CA with mix of Rel. 17 and Rel. 15 PDCCH monitoring capabilities on</w:t>
      </w:r>
    </w:p>
    <w:p w14:paraId="1336871F" w14:textId="4E105D46" w:rsidR="00F03826" w:rsidRPr="00FA0D37" w:rsidRDefault="00F03826" w:rsidP="00FA0D37">
      <w:pPr>
        <w:pStyle w:val="PL"/>
        <w:rPr>
          <w:color w:val="808080"/>
        </w:rPr>
      </w:pPr>
      <w:r w:rsidRPr="00FA0D37">
        <w:t xml:space="preserve">    </w:t>
      </w:r>
      <w:r w:rsidRPr="00FA0D37">
        <w:rPr>
          <w:color w:val="808080"/>
        </w:rPr>
        <w:t>-- different Carriers</w:t>
      </w:r>
    </w:p>
    <w:p w14:paraId="491F5AFF" w14:textId="77777777" w:rsidR="00F03826" w:rsidRPr="00FA0D37" w:rsidRDefault="00F03826" w:rsidP="00FA0D37">
      <w:pPr>
        <w:pStyle w:val="PL"/>
        <w:rPr>
          <w:color w:val="808080"/>
        </w:rPr>
      </w:pPr>
      <w:r w:rsidRPr="00FA0D37">
        <w:t xml:space="preserve">    </w:t>
      </w:r>
      <w:r w:rsidRPr="00FA0D37">
        <w:rPr>
          <w:color w:val="808080"/>
        </w:rPr>
        <w:t>-- R1 24-11g: Number of carriers for CCE/BD scaling for MCG and for SCG when configured for NR-DC operation with mix of Rel. 17 and</w:t>
      </w:r>
    </w:p>
    <w:p w14:paraId="17231741" w14:textId="26C9ADB9" w:rsidR="00F03826" w:rsidRPr="00FA0D37" w:rsidRDefault="00F03826" w:rsidP="00FA0D37">
      <w:pPr>
        <w:pStyle w:val="PL"/>
        <w:rPr>
          <w:color w:val="808080"/>
        </w:rPr>
      </w:pPr>
      <w:r w:rsidRPr="00FA0D37">
        <w:t xml:space="preserve">    </w:t>
      </w:r>
      <w:r w:rsidRPr="00FA0D37">
        <w:rPr>
          <w:color w:val="808080"/>
        </w:rPr>
        <w:t>-- Rel. 15 PDCCH monitoring capabilities on different carriers</w:t>
      </w:r>
    </w:p>
    <w:p w14:paraId="647E42F5" w14:textId="77777777" w:rsidR="00F03826" w:rsidRPr="00FA0D37" w:rsidRDefault="00F03826" w:rsidP="00FA0D37">
      <w:pPr>
        <w:pStyle w:val="PL"/>
      </w:pPr>
      <w:r w:rsidRPr="00FA0D37">
        <w:t xml:space="preserve">    pdcch-BlindDetectionMixedList1-r17               </w:t>
      </w:r>
      <w:r w:rsidRPr="00FA0D37">
        <w:rPr>
          <w:color w:val="993366"/>
        </w:rPr>
        <w:t>SEQUENCE</w:t>
      </w:r>
      <w:r w:rsidRPr="00FA0D37">
        <w:t>(</w:t>
      </w:r>
      <w:r w:rsidRPr="00FA0D37">
        <w:rPr>
          <w:color w:val="993366"/>
        </w:rPr>
        <w:t>SIZE</w:t>
      </w:r>
      <w:r w:rsidRPr="00FA0D37">
        <w:t>(1..maxNrofPdcch-BlindDetection-r17))</w:t>
      </w:r>
      <w:r w:rsidRPr="00FA0D37">
        <w:rPr>
          <w:color w:val="993366"/>
        </w:rPr>
        <w:t xml:space="preserve"> OF</w:t>
      </w:r>
      <w:r w:rsidRPr="00FA0D37">
        <w:t xml:space="preserve"> PDCCH-BlindDetectionMixed-r17</w:t>
      </w:r>
    </w:p>
    <w:p w14:paraId="383FCCC4" w14:textId="599DBE0C" w:rsidR="00F03826" w:rsidRPr="00FA0D37" w:rsidRDefault="00F03826" w:rsidP="00FA0D37">
      <w:pPr>
        <w:pStyle w:val="PL"/>
      </w:pPr>
      <w:r w:rsidRPr="00FA0D37">
        <w:t xml:space="preserve">                                                                                                  </w:t>
      </w:r>
      <w:r w:rsidRPr="00FA0D37">
        <w:rPr>
          <w:color w:val="993366"/>
        </w:rPr>
        <w:t>OPTIONAL</w:t>
      </w:r>
      <w:r w:rsidRPr="00FA0D37">
        <w:t>,</w:t>
      </w:r>
    </w:p>
    <w:p w14:paraId="5A8FD207" w14:textId="77777777" w:rsidR="00F03826" w:rsidRPr="00FA0D37" w:rsidRDefault="00F03826" w:rsidP="00FA0D37">
      <w:pPr>
        <w:pStyle w:val="PL"/>
        <w:rPr>
          <w:color w:val="808080"/>
        </w:rPr>
      </w:pPr>
      <w:r w:rsidRPr="00FA0D37">
        <w:t xml:space="preserve">    </w:t>
      </w:r>
      <w:r w:rsidRPr="00FA0D37">
        <w:rPr>
          <w:color w:val="808080"/>
        </w:rPr>
        <w:t>-- R1 24-11d: Number of carriers for CCE/BD scaling with DL CA with mix of Rel. 17 and Rel. 16 PDCCH monitoring capabilities on</w:t>
      </w:r>
    </w:p>
    <w:p w14:paraId="323B7EF3" w14:textId="0E82A3D9" w:rsidR="00F03826" w:rsidRPr="00FA0D37" w:rsidRDefault="00F03826" w:rsidP="00FA0D37">
      <w:pPr>
        <w:pStyle w:val="PL"/>
        <w:rPr>
          <w:color w:val="808080"/>
        </w:rPr>
      </w:pPr>
      <w:r w:rsidRPr="00FA0D37">
        <w:t xml:space="preserve">    </w:t>
      </w:r>
      <w:r w:rsidRPr="00FA0D37">
        <w:rPr>
          <w:color w:val="808080"/>
        </w:rPr>
        <w:t>-- different Carriers</w:t>
      </w:r>
    </w:p>
    <w:p w14:paraId="47150B14" w14:textId="77777777" w:rsidR="00F03826" w:rsidRPr="00FA0D37" w:rsidRDefault="00F03826" w:rsidP="00FA0D37">
      <w:pPr>
        <w:pStyle w:val="PL"/>
        <w:rPr>
          <w:color w:val="808080"/>
        </w:rPr>
      </w:pPr>
      <w:r w:rsidRPr="00FA0D37">
        <w:t xml:space="preserve">    </w:t>
      </w:r>
      <w:r w:rsidRPr="00FA0D37">
        <w:rPr>
          <w:color w:val="808080"/>
        </w:rPr>
        <w:t>-- R1 24-11h: Number of carriers for CCE/BD scaling for MCG and for SCG when configured for NR-DC operation with mix of Rel. 17 and</w:t>
      </w:r>
    </w:p>
    <w:p w14:paraId="298ED7CD" w14:textId="623517C8" w:rsidR="00F03826" w:rsidRPr="00FA0D37" w:rsidRDefault="00F03826" w:rsidP="00FA0D37">
      <w:pPr>
        <w:pStyle w:val="PL"/>
        <w:rPr>
          <w:color w:val="808080"/>
        </w:rPr>
      </w:pPr>
      <w:r w:rsidRPr="00FA0D37">
        <w:t xml:space="preserve">    </w:t>
      </w:r>
      <w:r w:rsidRPr="00FA0D37">
        <w:rPr>
          <w:color w:val="808080"/>
        </w:rPr>
        <w:t>-- Rel. 16 PDCCH monitoring capabilities on different carriers</w:t>
      </w:r>
    </w:p>
    <w:p w14:paraId="0F76B6EE" w14:textId="77777777" w:rsidR="00F03826" w:rsidRPr="00FA0D37" w:rsidRDefault="00F03826" w:rsidP="00FA0D37">
      <w:pPr>
        <w:pStyle w:val="PL"/>
      </w:pPr>
      <w:r w:rsidRPr="00FA0D37">
        <w:t xml:space="preserve">    pdcch-BlindDetectionMixedList2-r17               </w:t>
      </w:r>
      <w:r w:rsidRPr="00FA0D37">
        <w:rPr>
          <w:color w:val="993366"/>
        </w:rPr>
        <w:t>SEQUENCE</w:t>
      </w:r>
      <w:r w:rsidRPr="00FA0D37">
        <w:t>(</w:t>
      </w:r>
      <w:r w:rsidRPr="00FA0D37">
        <w:rPr>
          <w:color w:val="993366"/>
        </w:rPr>
        <w:t>SIZE</w:t>
      </w:r>
      <w:r w:rsidRPr="00FA0D37">
        <w:t>(1..maxNrofPdcch-BlindDetection-r17))</w:t>
      </w:r>
      <w:r w:rsidRPr="00FA0D37">
        <w:rPr>
          <w:color w:val="993366"/>
        </w:rPr>
        <w:t xml:space="preserve"> OF</w:t>
      </w:r>
      <w:r w:rsidRPr="00FA0D37">
        <w:t xml:space="preserve"> PDCCH-BlindDetectionMixed-r17</w:t>
      </w:r>
    </w:p>
    <w:p w14:paraId="67F99CC0" w14:textId="4FA933C7" w:rsidR="00F03826" w:rsidRPr="00FA0D37" w:rsidRDefault="00F03826" w:rsidP="00FA0D37">
      <w:pPr>
        <w:pStyle w:val="PL"/>
      </w:pPr>
      <w:r w:rsidRPr="00FA0D37">
        <w:t xml:space="preserve">                                                                                                  </w:t>
      </w:r>
      <w:r w:rsidRPr="00FA0D37">
        <w:rPr>
          <w:color w:val="993366"/>
        </w:rPr>
        <w:t>OPTIONAL</w:t>
      </w:r>
      <w:r w:rsidRPr="00FA0D37">
        <w:t>,</w:t>
      </w:r>
    </w:p>
    <w:p w14:paraId="4FECB233" w14:textId="77777777" w:rsidR="00F03826" w:rsidRPr="00FA0D37" w:rsidRDefault="00F03826" w:rsidP="00FA0D37">
      <w:pPr>
        <w:pStyle w:val="PL"/>
        <w:rPr>
          <w:color w:val="808080"/>
        </w:rPr>
      </w:pPr>
      <w:r w:rsidRPr="00FA0D37">
        <w:t xml:space="preserve">    </w:t>
      </w:r>
      <w:r w:rsidRPr="00FA0D37">
        <w:rPr>
          <w:color w:val="808080"/>
        </w:rPr>
        <w:t>-- R1 24-11e: Number of carriers for CCE/BD scaling with DL CA with mix of Rel. 17, Rel. 16 and Rel. 15 PDCCH monitoring</w:t>
      </w:r>
    </w:p>
    <w:p w14:paraId="79B846D9" w14:textId="5BC6345C" w:rsidR="00F03826" w:rsidRPr="00FA0D37" w:rsidRDefault="00F03826" w:rsidP="00FA0D37">
      <w:pPr>
        <w:pStyle w:val="PL"/>
        <w:rPr>
          <w:color w:val="808080"/>
        </w:rPr>
      </w:pPr>
      <w:r w:rsidRPr="00FA0D37">
        <w:t xml:space="preserve">    </w:t>
      </w:r>
      <w:r w:rsidRPr="00FA0D37">
        <w:rPr>
          <w:color w:val="808080"/>
        </w:rPr>
        <w:t>-- capabilities on different carriers</w:t>
      </w:r>
    </w:p>
    <w:p w14:paraId="013534E3" w14:textId="77777777" w:rsidR="00F03826" w:rsidRPr="00FA0D37" w:rsidRDefault="00F03826" w:rsidP="00FA0D37">
      <w:pPr>
        <w:pStyle w:val="PL"/>
        <w:rPr>
          <w:color w:val="808080"/>
        </w:rPr>
      </w:pPr>
      <w:r w:rsidRPr="00FA0D37">
        <w:t xml:space="preserve">    </w:t>
      </w:r>
      <w:r w:rsidRPr="00FA0D37">
        <w:rPr>
          <w:color w:val="808080"/>
        </w:rPr>
        <w:t>-- R1 24-11i: Number of carriers for CCE/BD scaling for MCG and for SCG when configured for NR-DC operation with mix of Rel. 17,</w:t>
      </w:r>
    </w:p>
    <w:p w14:paraId="110C108A" w14:textId="2D65FBD7" w:rsidR="00F03826" w:rsidRPr="00FA0D37" w:rsidRDefault="00F03826" w:rsidP="00FA0D37">
      <w:pPr>
        <w:pStyle w:val="PL"/>
        <w:rPr>
          <w:color w:val="808080"/>
        </w:rPr>
      </w:pPr>
      <w:r w:rsidRPr="00FA0D37">
        <w:t xml:space="preserve">    </w:t>
      </w:r>
      <w:r w:rsidRPr="00FA0D37">
        <w:rPr>
          <w:color w:val="808080"/>
        </w:rPr>
        <w:t>-- Rel. 16 and Rel. 15 PDCCH monitoring capabilities on different carriers</w:t>
      </w:r>
    </w:p>
    <w:p w14:paraId="5DF30344" w14:textId="77777777" w:rsidR="00F03826" w:rsidRPr="00FA0D37" w:rsidRDefault="00F03826" w:rsidP="00FA0D37">
      <w:pPr>
        <w:pStyle w:val="PL"/>
      </w:pPr>
      <w:r w:rsidRPr="00FA0D37">
        <w:t xml:space="preserve">    pdcch-BlindDetectionMixedList3-r17               </w:t>
      </w:r>
      <w:r w:rsidRPr="00FA0D37">
        <w:rPr>
          <w:color w:val="993366"/>
        </w:rPr>
        <w:t>SEQUENCE</w:t>
      </w:r>
      <w:r w:rsidRPr="00FA0D37">
        <w:t>(</w:t>
      </w:r>
      <w:r w:rsidRPr="00FA0D37">
        <w:rPr>
          <w:color w:val="993366"/>
        </w:rPr>
        <w:t>SIZE</w:t>
      </w:r>
      <w:r w:rsidRPr="00FA0D37">
        <w:t>(1..maxNrofPdcch-BlindDetection-r17))</w:t>
      </w:r>
      <w:r w:rsidRPr="00FA0D37">
        <w:rPr>
          <w:color w:val="993366"/>
        </w:rPr>
        <w:t xml:space="preserve"> OF</w:t>
      </w:r>
      <w:r w:rsidRPr="00FA0D37">
        <w:t xml:space="preserve"> PDCCH-BlindDetectionMixed1-r17</w:t>
      </w:r>
    </w:p>
    <w:p w14:paraId="16E3459E" w14:textId="7B4240CE" w:rsidR="00F03826" w:rsidRPr="00FA0D37" w:rsidRDefault="00F03826" w:rsidP="00FA0D37">
      <w:pPr>
        <w:pStyle w:val="PL"/>
      </w:pPr>
      <w:r w:rsidRPr="00FA0D37">
        <w:t xml:space="preserve">                                                                                                  </w:t>
      </w:r>
      <w:r w:rsidRPr="00FA0D37">
        <w:rPr>
          <w:color w:val="993366"/>
        </w:rPr>
        <w:t>OPTIONAL</w:t>
      </w:r>
    </w:p>
    <w:p w14:paraId="27F27CD1" w14:textId="77777777" w:rsidR="00F03826" w:rsidRPr="00FA0D37" w:rsidRDefault="00F03826" w:rsidP="00FA0D37">
      <w:pPr>
        <w:pStyle w:val="PL"/>
      </w:pPr>
      <w:r w:rsidRPr="00FA0D37">
        <w:t>}</w:t>
      </w:r>
    </w:p>
    <w:p w14:paraId="47DB83B7" w14:textId="77777777" w:rsidR="00691952" w:rsidRPr="00FA0D37" w:rsidRDefault="00691952" w:rsidP="00FA0D37">
      <w:pPr>
        <w:pStyle w:val="PL"/>
      </w:pPr>
    </w:p>
    <w:p w14:paraId="4B58E75C" w14:textId="3FDAC5CE" w:rsidR="00691952" w:rsidRPr="00FA0D37" w:rsidRDefault="00691952" w:rsidP="00FA0D37">
      <w:pPr>
        <w:pStyle w:val="PL"/>
      </w:pPr>
      <w:r w:rsidRPr="00FA0D37">
        <w:t xml:space="preserve">CA-ParametersNR-v1730 ::= </w:t>
      </w:r>
      <w:r w:rsidRPr="00FA0D37">
        <w:rPr>
          <w:color w:val="993366"/>
        </w:rPr>
        <w:t>SEQUENCE</w:t>
      </w:r>
      <w:r w:rsidRPr="00FA0D37">
        <w:t xml:space="preserve"> {</w:t>
      </w:r>
    </w:p>
    <w:p w14:paraId="2CB09322" w14:textId="2DBB7886" w:rsidR="00691952" w:rsidRPr="00FA0D37" w:rsidRDefault="00691952" w:rsidP="00FA0D37">
      <w:pPr>
        <w:pStyle w:val="PL"/>
        <w:rPr>
          <w:color w:val="808080"/>
        </w:rPr>
      </w:pPr>
      <w:r w:rsidRPr="00FA0D37">
        <w:t xml:space="preserve">    </w:t>
      </w:r>
      <w:r w:rsidRPr="00FA0D37">
        <w:rPr>
          <w:color w:val="808080"/>
        </w:rPr>
        <w:t>-- R1 30-4a: DM-RS bundling for PUSCH repetition type A (per BC)</w:t>
      </w:r>
    </w:p>
    <w:p w14:paraId="0D09499C" w14:textId="1EC0740A" w:rsidR="00691952" w:rsidRPr="00FA0D37" w:rsidRDefault="00691952" w:rsidP="00FA0D37">
      <w:pPr>
        <w:pStyle w:val="PL"/>
      </w:pPr>
      <w:r w:rsidRPr="00FA0D37">
        <w:t xml:space="preserve">    dmrs-BundlingPUSCH-RepTypeAPerBC-r17                   </w:t>
      </w:r>
      <w:r w:rsidRPr="00FA0D37">
        <w:rPr>
          <w:color w:val="993366"/>
        </w:rPr>
        <w:t>ENUMERATED</w:t>
      </w:r>
      <w:r w:rsidRPr="00FA0D37">
        <w:t xml:space="preserve"> {supported}                         </w:t>
      </w:r>
      <w:r w:rsidRPr="00FA0D37">
        <w:rPr>
          <w:color w:val="993366"/>
        </w:rPr>
        <w:t>OPTIONAL</w:t>
      </w:r>
      <w:r w:rsidRPr="00FA0D37">
        <w:t>,</w:t>
      </w:r>
    </w:p>
    <w:p w14:paraId="38599960" w14:textId="0EF78BD8" w:rsidR="00691952" w:rsidRPr="00FA0D37" w:rsidRDefault="00691952" w:rsidP="00FA0D37">
      <w:pPr>
        <w:pStyle w:val="PL"/>
        <w:rPr>
          <w:color w:val="808080"/>
        </w:rPr>
      </w:pPr>
      <w:r w:rsidRPr="00FA0D37">
        <w:t xml:space="preserve">    </w:t>
      </w:r>
      <w:r w:rsidRPr="00FA0D37">
        <w:rPr>
          <w:color w:val="808080"/>
        </w:rPr>
        <w:t>-- R1 30-4b: DM-RS bundling for PUSCH repetition type B(per BC)</w:t>
      </w:r>
    </w:p>
    <w:p w14:paraId="605DB816" w14:textId="426D3661" w:rsidR="00691952" w:rsidRPr="00FA0D37" w:rsidRDefault="00691952" w:rsidP="00FA0D37">
      <w:pPr>
        <w:pStyle w:val="PL"/>
      </w:pPr>
      <w:r w:rsidRPr="00FA0D37">
        <w:t xml:space="preserve">    dmrs-BundlingPUSCH-RepTypeBPerBC-r17                   </w:t>
      </w:r>
      <w:r w:rsidRPr="00FA0D37">
        <w:rPr>
          <w:color w:val="993366"/>
        </w:rPr>
        <w:t>ENUMERATED</w:t>
      </w:r>
      <w:r w:rsidRPr="00FA0D37">
        <w:t xml:space="preserve"> {supported}                         </w:t>
      </w:r>
      <w:r w:rsidRPr="00FA0D37">
        <w:rPr>
          <w:color w:val="993366"/>
        </w:rPr>
        <w:t>OPTIONAL</w:t>
      </w:r>
      <w:r w:rsidRPr="00FA0D37">
        <w:t>,</w:t>
      </w:r>
    </w:p>
    <w:p w14:paraId="066C1763" w14:textId="106399C9" w:rsidR="00691952" w:rsidRPr="00FA0D37" w:rsidRDefault="00691952" w:rsidP="00FA0D37">
      <w:pPr>
        <w:pStyle w:val="PL"/>
        <w:rPr>
          <w:color w:val="808080"/>
        </w:rPr>
      </w:pPr>
      <w:r w:rsidRPr="00FA0D37">
        <w:lastRenderedPageBreak/>
        <w:t xml:space="preserve">    </w:t>
      </w:r>
      <w:r w:rsidRPr="00FA0D37">
        <w:rPr>
          <w:color w:val="808080"/>
        </w:rPr>
        <w:t>-- R1 30-4c: DM-RS bundling for TB processing over multi-slot PUSCH(per BC)</w:t>
      </w:r>
    </w:p>
    <w:p w14:paraId="7BC9D9F3" w14:textId="36E316E2" w:rsidR="00691952" w:rsidRPr="00FA0D37" w:rsidRDefault="00691952" w:rsidP="00FA0D37">
      <w:pPr>
        <w:pStyle w:val="PL"/>
      </w:pPr>
      <w:r w:rsidRPr="00FA0D37">
        <w:t xml:space="preserve">    dmrs-BundlingPUSCH-multiSlotPerBC-r17                  </w:t>
      </w:r>
      <w:r w:rsidRPr="00FA0D37">
        <w:rPr>
          <w:color w:val="993366"/>
        </w:rPr>
        <w:t>ENUMERATED</w:t>
      </w:r>
      <w:r w:rsidRPr="00FA0D37">
        <w:t xml:space="preserve"> {supported}                         </w:t>
      </w:r>
      <w:r w:rsidRPr="00FA0D37">
        <w:rPr>
          <w:color w:val="993366"/>
        </w:rPr>
        <w:t>OPTIONAL</w:t>
      </w:r>
      <w:r w:rsidRPr="00FA0D37">
        <w:t>,</w:t>
      </w:r>
    </w:p>
    <w:p w14:paraId="09BB26D5" w14:textId="5D8D9782" w:rsidR="00691952" w:rsidRPr="00FA0D37" w:rsidRDefault="00691952" w:rsidP="00FA0D37">
      <w:pPr>
        <w:pStyle w:val="PL"/>
        <w:rPr>
          <w:color w:val="808080"/>
        </w:rPr>
      </w:pPr>
      <w:r w:rsidRPr="00FA0D37">
        <w:t xml:space="preserve">    </w:t>
      </w:r>
      <w:r w:rsidRPr="00FA0D37">
        <w:rPr>
          <w:color w:val="808080"/>
        </w:rPr>
        <w:t>-- R1 30-4d: DMRS bundling for PUCCH repetitions(per BC)</w:t>
      </w:r>
    </w:p>
    <w:p w14:paraId="6BCD6E0D" w14:textId="6D082FE7" w:rsidR="00691952" w:rsidRPr="00FA0D37" w:rsidRDefault="00691952" w:rsidP="00FA0D37">
      <w:pPr>
        <w:pStyle w:val="PL"/>
      </w:pPr>
      <w:r w:rsidRPr="00FA0D37">
        <w:t xml:space="preserve">    dmrs-BundlingPUCCH-RepPerBC-r17                        </w:t>
      </w:r>
      <w:r w:rsidRPr="00FA0D37">
        <w:rPr>
          <w:color w:val="993366"/>
        </w:rPr>
        <w:t>ENUMERATED</w:t>
      </w:r>
      <w:r w:rsidRPr="00FA0D37">
        <w:t xml:space="preserve"> {supported}                         </w:t>
      </w:r>
      <w:r w:rsidRPr="00FA0D37">
        <w:rPr>
          <w:color w:val="993366"/>
        </w:rPr>
        <w:t>OPTIONAL</w:t>
      </w:r>
      <w:r w:rsidRPr="00FA0D37">
        <w:t>,</w:t>
      </w:r>
    </w:p>
    <w:p w14:paraId="4303DD29" w14:textId="4FB13371" w:rsidR="00691952" w:rsidRPr="00FA0D37" w:rsidRDefault="00691952" w:rsidP="00FA0D37">
      <w:pPr>
        <w:pStyle w:val="PL"/>
        <w:rPr>
          <w:color w:val="808080"/>
        </w:rPr>
      </w:pPr>
      <w:r w:rsidRPr="00FA0D37">
        <w:t xml:space="preserve">    </w:t>
      </w:r>
      <w:r w:rsidRPr="00FA0D37">
        <w:rPr>
          <w:color w:val="808080"/>
        </w:rPr>
        <w:t>-- R1 30-4g: Restart DM-RS bundling (per BC)</w:t>
      </w:r>
    </w:p>
    <w:p w14:paraId="0648523A" w14:textId="3ECB4877" w:rsidR="00691952" w:rsidRPr="00FA0D37" w:rsidRDefault="00691952" w:rsidP="00FA0D37">
      <w:pPr>
        <w:pStyle w:val="PL"/>
      </w:pPr>
      <w:r w:rsidRPr="00FA0D37">
        <w:t xml:space="preserve">    dmrs-BundlingRestartPerBC-r17                          </w:t>
      </w:r>
      <w:r w:rsidRPr="00FA0D37">
        <w:rPr>
          <w:color w:val="993366"/>
        </w:rPr>
        <w:t>ENUMERATED</w:t>
      </w:r>
      <w:r w:rsidRPr="00FA0D37">
        <w:t xml:space="preserve"> {supported}                         </w:t>
      </w:r>
      <w:r w:rsidRPr="00FA0D37">
        <w:rPr>
          <w:color w:val="993366"/>
        </w:rPr>
        <w:t>OPTIONAL</w:t>
      </w:r>
      <w:r w:rsidRPr="00FA0D37">
        <w:t>,</w:t>
      </w:r>
    </w:p>
    <w:p w14:paraId="1F8736DE" w14:textId="0A40027E" w:rsidR="00691952" w:rsidRPr="00FA0D37" w:rsidRDefault="00691952" w:rsidP="00FA0D37">
      <w:pPr>
        <w:pStyle w:val="PL"/>
        <w:rPr>
          <w:color w:val="808080"/>
        </w:rPr>
      </w:pPr>
      <w:r w:rsidRPr="00FA0D37">
        <w:t xml:space="preserve">    </w:t>
      </w:r>
      <w:r w:rsidRPr="00FA0D37">
        <w:rPr>
          <w:color w:val="808080"/>
        </w:rPr>
        <w:t>-- R1 30-4h: DM-RS bundling for non-back-to-back transmission (per BC)</w:t>
      </w:r>
    </w:p>
    <w:p w14:paraId="2150942E" w14:textId="6D30DEE6" w:rsidR="00691952" w:rsidRPr="00FA0D37" w:rsidRDefault="00691952" w:rsidP="00FA0D37">
      <w:pPr>
        <w:pStyle w:val="PL"/>
      </w:pPr>
      <w:r w:rsidRPr="00FA0D37">
        <w:t xml:space="preserve">    dmrs-BundlingNonBackToBackTX-PerBC-r17                 </w:t>
      </w:r>
      <w:r w:rsidRPr="00FA0D37">
        <w:rPr>
          <w:color w:val="993366"/>
        </w:rPr>
        <w:t>ENUMERATED</w:t>
      </w:r>
      <w:r w:rsidRPr="00FA0D37">
        <w:t xml:space="preserve"> {supported}                         </w:t>
      </w:r>
      <w:r w:rsidRPr="00FA0D37">
        <w:rPr>
          <w:color w:val="993366"/>
        </w:rPr>
        <w:t>OPTIONAL</w:t>
      </w:r>
      <w:r w:rsidRPr="00FA0D37">
        <w:t>,</w:t>
      </w:r>
    </w:p>
    <w:p w14:paraId="2B515EA9" w14:textId="14682D40" w:rsidR="00691952" w:rsidRPr="00FA0D37" w:rsidRDefault="00691952" w:rsidP="00FA0D37">
      <w:pPr>
        <w:pStyle w:val="PL"/>
        <w:rPr>
          <w:color w:val="808080"/>
        </w:rPr>
      </w:pPr>
      <w:r w:rsidRPr="00FA0D37">
        <w:t xml:space="preserve">    </w:t>
      </w:r>
      <w:r w:rsidRPr="00FA0D37">
        <w:rPr>
          <w:color w:val="808080"/>
        </w:rPr>
        <w:t>-- R1 39-3-1: Stay on the target CC for SRS carrier switching</w:t>
      </w:r>
    </w:p>
    <w:p w14:paraId="6BA94AD7" w14:textId="4B091AE3" w:rsidR="00691952" w:rsidRPr="00FA0D37" w:rsidRDefault="00691952" w:rsidP="00FA0D37">
      <w:pPr>
        <w:pStyle w:val="PL"/>
      </w:pPr>
      <w:r w:rsidRPr="00FA0D37">
        <w:t xml:space="preserve">    stayOnTargetCC-SRS-CarrierSwitch-r17                   </w:t>
      </w:r>
      <w:r w:rsidRPr="00FA0D37">
        <w:rPr>
          <w:color w:val="993366"/>
        </w:rPr>
        <w:t>ENUMERATED</w:t>
      </w:r>
      <w:r w:rsidRPr="00FA0D37">
        <w:t xml:space="preserve"> {supported}                         </w:t>
      </w:r>
      <w:r w:rsidRPr="00FA0D37">
        <w:rPr>
          <w:color w:val="993366"/>
        </w:rPr>
        <w:t>OPTIONAL</w:t>
      </w:r>
      <w:r w:rsidRPr="00FA0D37">
        <w:t>,</w:t>
      </w:r>
    </w:p>
    <w:p w14:paraId="58A904F4" w14:textId="3EAC6BF4" w:rsidR="00691952" w:rsidRPr="00FA0D37" w:rsidRDefault="00691952" w:rsidP="00FA0D37">
      <w:pPr>
        <w:pStyle w:val="PL"/>
        <w:rPr>
          <w:color w:val="808080"/>
        </w:rPr>
      </w:pPr>
      <w:r w:rsidRPr="00FA0D37">
        <w:t xml:space="preserve">    </w:t>
      </w:r>
      <w:r w:rsidRPr="00FA0D37">
        <w:rPr>
          <w:color w:val="808080"/>
        </w:rPr>
        <w:t>-- R1 33-3-3a: FDM-ed Type-1 and Type-2 HARQ-ACK codebooks for multiplexing HARQ-ACK for unicast and HARQ-ACK for multicast</w:t>
      </w:r>
    </w:p>
    <w:p w14:paraId="672FDF60" w14:textId="11D76DE0" w:rsidR="00691952" w:rsidRPr="00FA0D37" w:rsidRDefault="00691952" w:rsidP="00FA0D37">
      <w:pPr>
        <w:pStyle w:val="PL"/>
      </w:pPr>
      <w:r w:rsidRPr="00FA0D37">
        <w:t xml:space="preserve">    fdm-CodebookForMux-UnicastMulticastHARQ-ACK-r17        </w:t>
      </w:r>
      <w:r w:rsidRPr="00FA0D37">
        <w:rPr>
          <w:color w:val="993366"/>
        </w:rPr>
        <w:t>ENUMERATED</w:t>
      </w:r>
      <w:r w:rsidRPr="00FA0D37">
        <w:t xml:space="preserve"> {supported}                         </w:t>
      </w:r>
      <w:r w:rsidRPr="00FA0D37">
        <w:rPr>
          <w:color w:val="993366"/>
        </w:rPr>
        <w:t>OPTIONAL</w:t>
      </w:r>
      <w:r w:rsidRPr="00FA0D37">
        <w:t>,</w:t>
      </w:r>
    </w:p>
    <w:p w14:paraId="329964CE" w14:textId="159AF903" w:rsidR="00691952" w:rsidRPr="00FA0D37" w:rsidRDefault="00691952" w:rsidP="00FA0D37">
      <w:pPr>
        <w:pStyle w:val="PL"/>
        <w:rPr>
          <w:color w:val="808080"/>
        </w:rPr>
      </w:pPr>
      <w:r w:rsidRPr="00FA0D37">
        <w:t xml:space="preserve">    </w:t>
      </w:r>
      <w:r w:rsidRPr="00FA0D37">
        <w:rPr>
          <w:color w:val="808080"/>
        </w:rPr>
        <w:t>-- R1 33-3-3b: Mode 2 TDM-ed Type-1 and Type-2 HARQ-ACK codebook for multiplexing HARQ-ACK for unicast and HARQ-ACK for multicast</w:t>
      </w:r>
    </w:p>
    <w:p w14:paraId="41BD0123" w14:textId="772667FD" w:rsidR="00691952" w:rsidRPr="00FA0D37" w:rsidRDefault="00691952" w:rsidP="00FA0D37">
      <w:pPr>
        <w:pStyle w:val="PL"/>
      </w:pPr>
      <w:r w:rsidRPr="00FA0D37">
        <w:t xml:space="preserve">    mode2-TDM-CodebookForMux-UnicastMulticastHARQ-ACK-r17  </w:t>
      </w:r>
      <w:r w:rsidRPr="00FA0D37">
        <w:rPr>
          <w:color w:val="993366"/>
        </w:rPr>
        <w:t>ENUMERATED</w:t>
      </w:r>
      <w:r w:rsidRPr="00FA0D37">
        <w:t xml:space="preserve"> {supported}                         </w:t>
      </w:r>
      <w:r w:rsidRPr="00FA0D37">
        <w:rPr>
          <w:color w:val="993366"/>
        </w:rPr>
        <w:t>OPTIONAL</w:t>
      </w:r>
      <w:r w:rsidRPr="00FA0D37">
        <w:t>,</w:t>
      </w:r>
    </w:p>
    <w:p w14:paraId="0AE16E70" w14:textId="727BEE15" w:rsidR="00691952" w:rsidRPr="00FA0D37" w:rsidRDefault="00691952" w:rsidP="00FA0D37">
      <w:pPr>
        <w:pStyle w:val="PL"/>
        <w:rPr>
          <w:color w:val="808080"/>
        </w:rPr>
      </w:pPr>
      <w:r w:rsidRPr="00FA0D37">
        <w:t xml:space="preserve">    </w:t>
      </w:r>
      <w:r w:rsidRPr="00FA0D37">
        <w:rPr>
          <w:color w:val="808080"/>
        </w:rPr>
        <w:t>-- R1 33-3-4: Mode 1 for type1 codebook generation</w:t>
      </w:r>
    </w:p>
    <w:p w14:paraId="0556868C" w14:textId="4B728227" w:rsidR="00691952" w:rsidRPr="00FA0D37" w:rsidRDefault="00691952" w:rsidP="00FA0D37">
      <w:pPr>
        <w:pStyle w:val="PL"/>
      </w:pPr>
      <w:r w:rsidRPr="00FA0D37">
        <w:t xml:space="preserve">    mode1-ForType1-CodebookGeneration-r17                  </w:t>
      </w:r>
      <w:r w:rsidRPr="00FA0D37">
        <w:rPr>
          <w:color w:val="993366"/>
        </w:rPr>
        <w:t>ENUMERATED</w:t>
      </w:r>
      <w:r w:rsidRPr="00FA0D37">
        <w:t xml:space="preserve"> {supported}                         </w:t>
      </w:r>
      <w:r w:rsidRPr="00FA0D37">
        <w:rPr>
          <w:color w:val="993366"/>
        </w:rPr>
        <w:t>OPTIONAL</w:t>
      </w:r>
      <w:r w:rsidRPr="00FA0D37">
        <w:t>,</w:t>
      </w:r>
    </w:p>
    <w:p w14:paraId="637463C0" w14:textId="6924A192" w:rsidR="00691952" w:rsidRPr="00FA0D37" w:rsidRDefault="00691952" w:rsidP="00FA0D37">
      <w:pPr>
        <w:pStyle w:val="PL"/>
        <w:rPr>
          <w:color w:val="808080"/>
        </w:rPr>
      </w:pPr>
      <w:r w:rsidRPr="00FA0D37">
        <w:t xml:space="preserve">    </w:t>
      </w:r>
      <w:r w:rsidRPr="00FA0D37">
        <w:rPr>
          <w:color w:val="808080"/>
        </w:rPr>
        <w:t>-- R1 33-5-1j: NACK-only based HARQ-ACK feedback for multicast corresponding to a specific sequence or a PUCCH transmission</w:t>
      </w:r>
    </w:p>
    <w:p w14:paraId="0323B41D" w14:textId="482DA3C9" w:rsidR="00691952" w:rsidRPr="00FA0D37" w:rsidRDefault="00691952" w:rsidP="00FA0D37">
      <w:pPr>
        <w:pStyle w:val="PL"/>
        <w:rPr>
          <w:color w:val="808080"/>
        </w:rPr>
      </w:pPr>
      <w:r w:rsidRPr="00FA0D37">
        <w:t xml:space="preserve">    </w:t>
      </w:r>
      <w:r w:rsidRPr="00FA0D37">
        <w:rPr>
          <w:color w:val="808080"/>
        </w:rPr>
        <w:t>-- for SPS group-commmon PDSCH for multicast</w:t>
      </w:r>
    </w:p>
    <w:p w14:paraId="0BC17D94" w14:textId="7919F300" w:rsidR="00691952" w:rsidRPr="00FA0D37" w:rsidRDefault="00691952" w:rsidP="00FA0D37">
      <w:pPr>
        <w:pStyle w:val="PL"/>
      </w:pPr>
      <w:r w:rsidRPr="00FA0D37">
        <w:t xml:space="preserve">    nack-OnlyFeedbackSpecificResourceForSPS-Multicast-r17  </w:t>
      </w:r>
      <w:r w:rsidRPr="00FA0D37">
        <w:rPr>
          <w:color w:val="993366"/>
        </w:rPr>
        <w:t>ENUMERATED</w:t>
      </w:r>
      <w:r w:rsidRPr="00FA0D37">
        <w:t xml:space="preserve"> {supported}                         </w:t>
      </w:r>
      <w:r w:rsidRPr="00FA0D37">
        <w:rPr>
          <w:color w:val="993366"/>
        </w:rPr>
        <w:t>OPTIONAL</w:t>
      </w:r>
      <w:r w:rsidRPr="00FA0D37">
        <w:t>,</w:t>
      </w:r>
    </w:p>
    <w:p w14:paraId="18FB3D5C" w14:textId="7480D804" w:rsidR="00691952" w:rsidRPr="00FA0D37" w:rsidRDefault="00691952" w:rsidP="00FA0D37">
      <w:pPr>
        <w:pStyle w:val="PL"/>
        <w:rPr>
          <w:color w:val="808080"/>
        </w:rPr>
      </w:pPr>
      <w:r w:rsidRPr="00FA0D37">
        <w:t xml:space="preserve">    </w:t>
      </w:r>
      <w:r w:rsidRPr="00FA0D37">
        <w:rPr>
          <w:color w:val="808080"/>
        </w:rPr>
        <w:t>-- R1 33-8-2: Up to 2 PUCCH resources configuration for multicast feedback for dynamically scheduled multicast</w:t>
      </w:r>
    </w:p>
    <w:p w14:paraId="796DAB6E" w14:textId="30C2E4BD" w:rsidR="00691952" w:rsidRPr="00FA0D37" w:rsidRDefault="00691952" w:rsidP="00FA0D37">
      <w:pPr>
        <w:pStyle w:val="PL"/>
      </w:pPr>
      <w:r w:rsidRPr="00FA0D37">
        <w:t xml:space="preserve">    multiPUCCH-ConfigForMulticast-r17                      </w:t>
      </w:r>
      <w:r w:rsidRPr="00FA0D37">
        <w:rPr>
          <w:color w:val="993366"/>
        </w:rPr>
        <w:t>ENUMERATED</w:t>
      </w:r>
      <w:r w:rsidRPr="00FA0D37">
        <w:t xml:space="preserve"> {supported}                         </w:t>
      </w:r>
      <w:r w:rsidRPr="00FA0D37">
        <w:rPr>
          <w:color w:val="993366"/>
        </w:rPr>
        <w:t>OPTIONAL</w:t>
      </w:r>
      <w:r w:rsidRPr="00FA0D37">
        <w:t>,</w:t>
      </w:r>
    </w:p>
    <w:p w14:paraId="7F5694AE" w14:textId="21868A6C" w:rsidR="00691952" w:rsidRPr="00FA0D37" w:rsidRDefault="00691952" w:rsidP="00FA0D37">
      <w:pPr>
        <w:pStyle w:val="PL"/>
        <w:rPr>
          <w:color w:val="808080"/>
        </w:rPr>
      </w:pPr>
      <w:r w:rsidRPr="00FA0D37">
        <w:t xml:space="preserve">    </w:t>
      </w:r>
      <w:r w:rsidRPr="00FA0D37">
        <w:rPr>
          <w:color w:val="808080"/>
        </w:rPr>
        <w:t>-- R1 33-8-3: PUCCH resource configuration for multicast feedback for SPS GC-PDSCH</w:t>
      </w:r>
    </w:p>
    <w:p w14:paraId="3792C73B" w14:textId="2CB28396" w:rsidR="00691952" w:rsidRPr="00FA0D37" w:rsidRDefault="00691952" w:rsidP="00FA0D37">
      <w:pPr>
        <w:pStyle w:val="PL"/>
      </w:pPr>
      <w:r w:rsidRPr="00FA0D37">
        <w:t xml:space="preserve">    pucch-ConfigForSPS-Multicast-r17                       </w:t>
      </w:r>
      <w:r w:rsidRPr="00FA0D37">
        <w:rPr>
          <w:color w:val="993366"/>
        </w:rPr>
        <w:t>ENUMERATED</w:t>
      </w:r>
      <w:r w:rsidRPr="00FA0D37">
        <w:t xml:space="preserve"> {supported}                         </w:t>
      </w:r>
      <w:r w:rsidRPr="00FA0D37">
        <w:rPr>
          <w:color w:val="993366"/>
        </w:rPr>
        <w:t>OPTIONAL</w:t>
      </w:r>
      <w:r w:rsidRPr="00FA0D37">
        <w:t>,</w:t>
      </w:r>
    </w:p>
    <w:p w14:paraId="14F1EB31" w14:textId="2E8210DF" w:rsidR="00691952" w:rsidRPr="00FA0D37" w:rsidRDefault="00691952" w:rsidP="00FA0D37">
      <w:pPr>
        <w:pStyle w:val="PL"/>
        <w:rPr>
          <w:color w:val="808080"/>
        </w:rPr>
      </w:pPr>
      <w:r w:rsidRPr="00FA0D37">
        <w:t xml:space="preserve">    </w:t>
      </w:r>
      <w:r w:rsidRPr="00FA0D37">
        <w:rPr>
          <w:color w:val="808080"/>
        </w:rPr>
        <w:t>-- The following parameter is associated with R1 33-2a, R1 33-3-3a, and R1 33-3-3b, and is not a RAN1 FG.</w:t>
      </w:r>
    </w:p>
    <w:p w14:paraId="1FD87897" w14:textId="251CD11D" w:rsidR="00691952" w:rsidRPr="00FA0D37" w:rsidRDefault="00691952" w:rsidP="00FA0D37">
      <w:pPr>
        <w:pStyle w:val="PL"/>
      </w:pPr>
      <w:r w:rsidRPr="00FA0D37">
        <w:t xml:space="preserve">    maxNumberG-RNTI-HARQ-ACK-Codebook-r17                  </w:t>
      </w:r>
      <w:r w:rsidRPr="00FA0D37">
        <w:rPr>
          <w:color w:val="993366"/>
        </w:rPr>
        <w:t>INTEGER</w:t>
      </w:r>
      <w:r w:rsidRPr="00FA0D37">
        <w:t xml:space="preserve"> (1..4)                                 </w:t>
      </w:r>
      <w:r w:rsidRPr="00FA0D37">
        <w:rPr>
          <w:color w:val="993366"/>
        </w:rPr>
        <w:t>OPTIONAL</w:t>
      </w:r>
      <w:r w:rsidRPr="00FA0D37">
        <w:t>,</w:t>
      </w:r>
    </w:p>
    <w:p w14:paraId="1DEA4621" w14:textId="77777777" w:rsidR="00691952" w:rsidRPr="00FA0D37" w:rsidRDefault="00691952" w:rsidP="00FA0D37">
      <w:pPr>
        <w:pStyle w:val="PL"/>
        <w:rPr>
          <w:color w:val="808080"/>
        </w:rPr>
      </w:pPr>
      <w:r w:rsidRPr="00FA0D37">
        <w:t xml:space="preserve">    </w:t>
      </w:r>
      <w:r w:rsidRPr="00FA0D37">
        <w:rPr>
          <w:color w:val="808080"/>
        </w:rPr>
        <w:t>-- R1 33-3-5: Feedback multiplexing for unicast PDSCH and group-common PDSCH for multicast with same priority and different codebook</w:t>
      </w:r>
    </w:p>
    <w:p w14:paraId="4E96FEC3" w14:textId="0D447872" w:rsidR="00691952" w:rsidRPr="00FA0D37" w:rsidRDefault="00691952" w:rsidP="00FA0D37">
      <w:pPr>
        <w:pStyle w:val="PL"/>
        <w:rPr>
          <w:color w:val="808080"/>
        </w:rPr>
      </w:pPr>
      <w:r w:rsidRPr="00FA0D37">
        <w:t xml:space="preserve">    </w:t>
      </w:r>
      <w:r w:rsidRPr="00FA0D37">
        <w:rPr>
          <w:color w:val="808080"/>
        </w:rPr>
        <w:t>-- type</w:t>
      </w:r>
    </w:p>
    <w:p w14:paraId="11B86ABD" w14:textId="5816CF64" w:rsidR="00691952" w:rsidRPr="00FA0D37" w:rsidRDefault="00691952" w:rsidP="00FA0D37">
      <w:pPr>
        <w:pStyle w:val="PL"/>
      </w:pPr>
      <w:r w:rsidRPr="00FA0D37">
        <w:t xml:space="preserve">    mux-HARQ-ACK-UnicastMulticast-r17                      </w:t>
      </w:r>
      <w:r w:rsidRPr="00FA0D37">
        <w:rPr>
          <w:color w:val="993366"/>
        </w:rPr>
        <w:t>ENUMERATED</w:t>
      </w:r>
      <w:r w:rsidRPr="00FA0D37">
        <w:t xml:space="preserve"> {supported}                         </w:t>
      </w:r>
      <w:r w:rsidRPr="00FA0D37">
        <w:rPr>
          <w:color w:val="993366"/>
        </w:rPr>
        <w:t>OPTIONAL</w:t>
      </w:r>
    </w:p>
    <w:p w14:paraId="1785FEC4" w14:textId="77777777" w:rsidR="003350BF" w:rsidRPr="00FA0D37" w:rsidRDefault="00691952" w:rsidP="00FA0D37">
      <w:pPr>
        <w:pStyle w:val="PL"/>
      </w:pPr>
      <w:r w:rsidRPr="00FA0D37">
        <w:t>}</w:t>
      </w:r>
    </w:p>
    <w:p w14:paraId="0A8B55AF" w14:textId="77777777" w:rsidR="003350BF" w:rsidRPr="00FA0D37" w:rsidRDefault="003350BF" w:rsidP="00FA0D37">
      <w:pPr>
        <w:pStyle w:val="PL"/>
      </w:pPr>
    </w:p>
    <w:p w14:paraId="1E62E20F" w14:textId="50824C81" w:rsidR="003350BF" w:rsidRPr="00FA0D37" w:rsidRDefault="003350BF" w:rsidP="00FA0D37">
      <w:pPr>
        <w:pStyle w:val="PL"/>
      </w:pPr>
      <w:r w:rsidRPr="00FA0D37">
        <w:t xml:space="preserve">CA-ParametersNR-v1740 ::= </w:t>
      </w:r>
      <w:r w:rsidRPr="00FA0D37">
        <w:rPr>
          <w:color w:val="993366"/>
        </w:rPr>
        <w:t>SEQUENCE</w:t>
      </w:r>
      <w:r w:rsidRPr="00FA0D37">
        <w:t xml:space="preserve"> {</w:t>
      </w:r>
    </w:p>
    <w:p w14:paraId="528717DD" w14:textId="4C3E4542" w:rsidR="003350BF" w:rsidRPr="00FA0D37" w:rsidRDefault="003350BF" w:rsidP="00FA0D37">
      <w:pPr>
        <w:pStyle w:val="PL"/>
        <w:rPr>
          <w:color w:val="808080"/>
        </w:rPr>
      </w:pPr>
      <w:r w:rsidRPr="00FA0D37">
        <w:t xml:space="preserve">    </w:t>
      </w:r>
      <w:r w:rsidRPr="00FA0D37">
        <w:rPr>
          <w:color w:val="808080"/>
        </w:rPr>
        <w:t>-- R1 33-5-1f: NACK-only based HARQ-ACK feedback for multicast RRC-based enabling/disabling NACK-only based feedback</w:t>
      </w:r>
    </w:p>
    <w:p w14:paraId="23AB5EE4" w14:textId="79EA4DD7" w:rsidR="003350BF" w:rsidRPr="00FA0D37" w:rsidRDefault="003350BF" w:rsidP="00FA0D37">
      <w:pPr>
        <w:pStyle w:val="PL"/>
        <w:rPr>
          <w:color w:val="808080"/>
        </w:rPr>
      </w:pPr>
      <w:r w:rsidRPr="00FA0D37">
        <w:t xml:space="preserve">    </w:t>
      </w:r>
      <w:r w:rsidRPr="00FA0D37">
        <w:rPr>
          <w:color w:val="808080"/>
        </w:rPr>
        <w:t>-- for SPS group-common PDSCH for multicast</w:t>
      </w:r>
    </w:p>
    <w:p w14:paraId="00640FFF" w14:textId="78B1DCC7" w:rsidR="003350BF" w:rsidRPr="00FA0D37" w:rsidRDefault="003350BF" w:rsidP="00FA0D37">
      <w:pPr>
        <w:pStyle w:val="PL"/>
      </w:pPr>
      <w:r w:rsidRPr="00FA0D37">
        <w:t xml:space="preserve">    nack-OnlyFeedbackForSPS-Multicast-r17                  </w:t>
      </w:r>
      <w:r w:rsidRPr="00FA0D37">
        <w:rPr>
          <w:color w:val="993366"/>
        </w:rPr>
        <w:t>ENUMERATED</w:t>
      </w:r>
      <w:r w:rsidRPr="00FA0D37">
        <w:t xml:space="preserve"> {supported}                         </w:t>
      </w:r>
      <w:r w:rsidRPr="00FA0D37">
        <w:rPr>
          <w:color w:val="993366"/>
        </w:rPr>
        <w:t>OPTIONAL</w:t>
      </w:r>
      <w:r w:rsidRPr="00FA0D37">
        <w:t>,</w:t>
      </w:r>
    </w:p>
    <w:p w14:paraId="19C661D6" w14:textId="77777777" w:rsidR="003350BF" w:rsidRPr="00FA0D37" w:rsidRDefault="003350BF" w:rsidP="00FA0D37">
      <w:pPr>
        <w:pStyle w:val="PL"/>
        <w:rPr>
          <w:color w:val="808080"/>
        </w:rPr>
      </w:pPr>
      <w:r w:rsidRPr="00FA0D37">
        <w:t xml:space="preserve">    </w:t>
      </w:r>
      <w:r w:rsidRPr="00FA0D37">
        <w:rPr>
          <w:color w:val="808080"/>
        </w:rPr>
        <w:t>-- R1 33-8-1: PUCCH resource configuration for multicast feedback for dynamically scheduled multicast</w:t>
      </w:r>
    </w:p>
    <w:p w14:paraId="6AA40B0F" w14:textId="34E9044D" w:rsidR="003350BF" w:rsidRPr="00FA0D37" w:rsidRDefault="003350BF" w:rsidP="00FA0D37">
      <w:pPr>
        <w:pStyle w:val="PL"/>
      </w:pPr>
      <w:r w:rsidRPr="00FA0D37">
        <w:t xml:space="preserve">    singlePUCCH-ConfigForMulticast-r17                     </w:t>
      </w:r>
      <w:r w:rsidRPr="00FA0D37">
        <w:rPr>
          <w:color w:val="993366"/>
        </w:rPr>
        <w:t>ENUMERATED</w:t>
      </w:r>
      <w:r w:rsidRPr="00FA0D37">
        <w:t xml:space="preserve"> {supported}                         </w:t>
      </w:r>
      <w:r w:rsidRPr="00FA0D37">
        <w:rPr>
          <w:color w:val="993366"/>
        </w:rPr>
        <w:t>OPTIONAL</w:t>
      </w:r>
    </w:p>
    <w:p w14:paraId="6AE39DB7" w14:textId="32492F20" w:rsidR="00691952" w:rsidRPr="00FA0D37" w:rsidRDefault="003350BF" w:rsidP="00FA0D37">
      <w:pPr>
        <w:pStyle w:val="PL"/>
      </w:pPr>
      <w:r w:rsidRPr="00FA0D37">
        <w:t>}</w:t>
      </w:r>
    </w:p>
    <w:p w14:paraId="3937ADDA" w14:textId="77777777" w:rsidR="009536C4" w:rsidRPr="00FA0D37" w:rsidRDefault="009536C4" w:rsidP="00FA0D37">
      <w:pPr>
        <w:pStyle w:val="PL"/>
      </w:pPr>
    </w:p>
    <w:p w14:paraId="28154BFA" w14:textId="32E6B7FB" w:rsidR="009536C4" w:rsidRPr="00FA0D37" w:rsidRDefault="009536C4" w:rsidP="00FA0D37">
      <w:pPr>
        <w:pStyle w:val="PL"/>
      </w:pPr>
      <w:r w:rsidRPr="00FA0D37">
        <w:t xml:space="preserve">CA-ParametersNR-v1760 ::= </w:t>
      </w:r>
      <w:r w:rsidRPr="00FA0D37">
        <w:rPr>
          <w:color w:val="993366"/>
        </w:rPr>
        <w:t>SEQUENCE</w:t>
      </w:r>
      <w:r w:rsidRPr="00FA0D37">
        <w:t xml:space="preserve"> {</w:t>
      </w:r>
    </w:p>
    <w:p w14:paraId="5410901C" w14:textId="0C2BE7E5" w:rsidR="009536C4" w:rsidRPr="00FA0D37" w:rsidRDefault="009536C4" w:rsidP="00FA0D37">
      <w:pPr>
        <w:pStyle w:val="PL"/>
      </w:pPr>
      <w:r w:rsidRPr="00FA0D37">
        <w:t xml:space="preserve">    prioSCellPRACH-OverSP-PeriodicSRS-Support-r17          </w:t>
      </w:r>
      <w:r w:rsidRPr="00FA0D37">
        <w:rPr>
          <w:color w:val="993366"/>
        </w:rPr>
        <w:t>ENUMERATED</w:t>
      </w:r>
      <w:r w:rsidRPr="00FA0D37">
        <w:t xml:space="preserve"> {supported}                         </w:t>
      </w:r>
      <w:r w:rsidRPr="00FA0D37">
        <w:rPr>
          <w:color w:val="993366"/>
        </w:rPr>
        <w:t>OPTIONAL</w:t>
      </w:r>
    </w:p>
    <w:p w14:paraId="1A75574B" w14:textId="77777777" w:rsidR="009536C4" w:rsidRPr="00FA0D37" w:rsidRDefault="009536C4" w:rsidP="00FA0D37">
      <w:pPr>
        <w:pStyle w:val="PL"/>
      </w:pPr>
      <w:r w:rsidRPr="00FA0D37">
        <w:t>}</w:t>
      </w:r>
    </w:p>
    <w:p w14:paraId="1C3788C8" w14:textId="77777777" w:rsidR="00F03826" w:rsidRPr="00FA0D37" w:rsidRDefault="00F03826" w:rsidP="00FA0D37">
      <w:pPr>
        <w:pStyle w:val="PL"/>
      </w:pPr>
    </w:p>
    <w:p w14:paraId="12715095" w14:textId="77777777" w:rsidR="00DC7999" w:rsidRPr="00FA0D37" w:rsidRDefault="00DC7999" w:rsidP="00FA0D37">
      <w:pPr>
        <w:pStyle w:val="PL"/>
      </w:pPr>
      <w:r w:rsidRPr="00FA0D37">
        <w:t xml:space="preserve">CrossCarrierSchedulingSCell-SpCell-r17 ::= </w:t>
      </w:r>
      <w:r w:rsidRPr="00FA0D37">
        <w:rPr>
          <w:color w:val="993366"/>
        </w:rPr>
        <w:t>SEQUENCE</w:t>
      </w:r>
      <w:r w:rsidRPr="00FA0D37">
        <w:t xml:space="preserve"> {</w:t>
      </w:r>
    </w:p>
    <w:p w14:paraId="202D107D" w14:textId="36B04FE2" w:rsidR="00DC7999" w:rsidRPr="00FA0D37" w:rsidRDefault="00DC7999" w:rsidP="00FA0D37">
      <w:pPr>
        <w:pStyle w:val="PL"/>
      </w:pPr>
      <w:r w:rsidRPr="00FA0D37">
        <w:t xml:space="preserve">    supportedSCS-Combinations-r17              </w:t>
      </w:r>
      <w:r w:rsidRPr="00FA0D37">
        <w:rPr>
          <w:color w:val="993366"/>
        </w:rPr>
        <w:t>SEQUENCE</w:t>
      </w:r>
      <w:r w:rsidRPr="00FA0D37">
        <w:t xml:space="preserve"> {</w:t>
      </w:r>
    </w:p>
    <w:p w14:paraId="7BDE5343" w14:textId="6215A9E8" w:rsidR="00DC7999" w:rsidRPr="00FA0D37" w:rsidRDefault="00DC7999" w:rsidP="00FA0D37">
      <w:pPr>
        <w:pStyle w:val="PL"/>
      </w:pPr>
      <w:r w:rsidRPr="00FA0D37">
        <w:t xml:space="preserve">        scs15kHz-15kHz-r17                         </w:t>
      </w:r>
      <w:r w:rsidRPr="00FA0D37">
        <w:rPr>
          <w:color w:val="993366"/>
        </w:rPr>
        <w:t>ENUMERATED</w:t>
      </w:r>
      <w:r w:rsidRPr="00FA0D37">
        <w:t xml:space="preserve"> {supported}                         </w:t>
      </w:r>
      <w:r w:rsidRPr="00FA0D37">
        <w:rPr>
          <w:color w:val="993366"/>
        </w:rPr>
        <w:t>OPTIONAL</w:t>
      </w:r>
      <w:r w:rsidRPr="00FA0D37">
        <w:t>,</w:t>
      </w:r>
    </w:p>
    <w:p w14:paraId="1B2D38F6" w14:textId="00F3C8D0" w:rsidR="00DC7999" w:rsidRPr="00FA0D37" w:rsidRDefault="00DC7999" w:rsidP="00FA0D37">
      <w:pPr>
        <w:pStyle w:val="PL"/>
      </w:pPr>
      <w:r w:rsidRPr="00FA0D37">
        <w:t xml:space="preserve">        scs15kHz-30kHz-r17                         </w:t>
      </w:r>
      <w:r w:rsidRPr="00FA0D37">
        <w:rPr>
          <w:color w:val="993366"/>
        </w:rPr>
        <w:t>ENUMERATED</w:t>
      </w:r>
      <w:r w:rsidRPr="00FA0D37">
        <w:t xml:space="preserve"> {supported}                         </w:t>
      </w:r>
      <w:r w:rsidRPr="00FA0D37">
        <w:rPr>
          <w:color w:val="993366"/>
        </w:rPr>
        <w:t>OPTIONAL</w:t>
      </w:r>
      <w:r w:rsidRPr="00FA0D37">
        <w:t>,</w:t>
      </w:r>
    </w:p>
    <w:p w14:paraId="30EF0684" w14:textId="7138E757" w:rsidR="00DC7999" w:rsidRPr="00FA0D37" w:rsidRDefault="00DC7999" w:rsidP="00FA0D37">
      <w:pPr>
        <w:pStyle w:val="PL"/>
      </w:pPr>
      <w:r w:rsidRPr="00FA0D37">
        <w:t xml:space="preserve">        scs15kHz-60kHz-r17                         </w:t>
      </w:r>
      <w:r w:rsidRPr="00FA0D37">
        <w:rPr>
          <w:color w:val="993366"/>
        </w:rPr>
        <w:t>ENUMERATED</w:t>
      </w:r>
      <w:r w:rsidRPr="00FA0D37">
        <w:t xml:space="preserve"> {supported}                         </w:t>
      </w:r>
      <w:r w:rsidRPr="00FA0D37">
        <w:rPr>
          <w:color w:val="993366"/>
        </w:rPr>
        <w:t>OPTIONAL</w:t>
      </w:r>
      <w:r w:rsidRPr="00FA0D37">
        <w:t>,</w:t>
      </w:r>
    </w:p>
    <w:p w14:paraId="5CD9C4ED" w14:textId="7F620ACF" w:rsidR="00DC7999" w:rsidRPr="00FA0D37" w:rsidRDefault="00DC7999" w:rsidP="00FA0D37">
      <w:pPr>
        <w:pStyle w:val="PL"/>
      </w:pPr>
      <w:r w:rsidRPr="00FA0D37">
        <w:t xml:space="preserve">        scs30kHz-30kHz-r17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(1..496))                     </w:t>
      </w:r>
      <w:r w:rsidRPr="00FA0D37">
        <w:rPr>
          <w:color w:val="993366"/>
        </w:rPr>
        <w:t>OPTIONAL</w:t>
      </w:r>
      <w:r w:rsidRPr="00FA0D37">
        <w:t>,</w:t>
      </w:r>
    </w:p>
    <w:p w14:paraId="2964A32C" w14:textId="23750230" w:rsidR="00DC7999" w:rsidRPr="00FA0D37" w:rsidRDefault="00DC7999" w:rsidP="00FA0D37">
      <w:pPr>
        <w:pStyle w:val="PL"/>
      </w:pPr>
      <w:r w:rsidRPr="00FA0D37">
        <w:t xml:space="preserve">        scs30kHz-60kHz-r17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(1..496))                     </w:t>
      </w:r>
      <w:r w:rsidRPr="00FA0D37">
        <w:rPr>
          <w:color w:val="993366"/>
        </w:rPr>
        <w:t>OPTIONAL</w:t>
      </w:r>
      <w:r w:rsidRPr="00FA0D37">
        <w:t>,</w:t>
      </w:r>
    </w:p>
    <w:p w14:paraId="14D4981E" w14:textId="255A0B38" w:rsidR="00DC7999" w:rsidRPr="00FA0D37" w:rsidRDefault="00DC7999" w:rsidP="00FA0D37">
      <w:pPr>
        <w:pStyle w:val="PL"/>
      </w:pPr>
      <w:r w:rsidRPr="00FA0D37">
        <w:t xml:space="preserve">        scs60kHz-60kHz-r17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(1..496))                     </w:t>
      </w:r>
      <w:r w:rsidRPr="00FA0D37">
        <w:rPr>
          <w:color w:val="993366"/>
        </w:rPr>
        <w:t>OPTIONAL</w:t>
      </w:r>
    </w:p>
    <w:p w14:paraId="3ADC752A" w14:textId="057F3CFB" w:rsidR="00DC7999" w:rsidRPr="00FA0D37" w:rsidRDefault="00DC7999" w:rsidP="00FA0D37">
      <w:pPr>
        <w:pStyle w:val="PL"/>
      </w:pPr>
      <w:r w:rsidRPr="00FA0D37">
        <w:t xml:space="preserve">    },</w:t>
      </w:r>
    </w:p>
    <w:p w14:paraId="3687A3ED" w14:textId="7F586433" w:rsidR="00DC7999" w:rsidRPr="00FA0D37" w:rsidRDefault="00DC7999" w:rsidP="00FA0D37">
      <w:pPr>
        <w:pStyle w:val="PL"/>
      </w:pPr>
      <w:r w:rsidRPr="00FA0D37">
        <w:lastRenderedPageBreak/>
        <w:t xml:space="preserve">    pdcch-MonitoringOccasion-r17               </w:t>
      </w:r>
      <w:r w:rsidRPr="00FA0D37">
        <w:rPr>
          <w:color w:val="993366"/>
        </w:rPr>
        <w:t>ENUMERATED</w:t>
      </w:r>
      <w:r w:rsidRPr="00FA0D37">
        <w:t xml:space="preserve"> {val1, val2}</w:t>
      </w:r>
    </w:p>
    <w:p w14:paraId="5934E8FE" w14:textId="37A36CAD" w:rsidR="00DC7999" w:rsidRPr="00FA0D37" w:rsidRDefault="00DC7999" w:rsidP="00FA0D37">
      <w:pPr>
        <w:pStyle w:val="PL"/>
      </w:pPr>
      <w:r w:rsidRPr="00FA0D37">
        <w:t>}</w:t>
      </w:r>
    </w:p>
    <w:p w14:paraId="1366F7CB" w14:textId="59475C4D" w:rsidR="00F03826" w:rsidRPr="00FA0D37" w:rsidRDefault="00F03826" w:rsidP="00FA0D37">
      <w:pPr>
        <w:pStyle w:val="PL"/>
      </w:pPr>
    </w:p>
    <w:p w14:paraId="418BD1D8" w14:textId="5B0F1A9D" w:rsidR="00B04F4B" w:rsidRPr="00FA0D37" w:rsidRDefault="00B04F4B" w:rsidP="00FA0D37">
      <w:pPr>
        <w:pStyle w:val="PL"/>
      </w:pPr>
      <w:r w:rsidRPr="00FA0D37">
        <w:t xml:space="preserve">PDCCH-BlindDetectionMixedList-r16::=       </w:t>
      </w:r>
      <w:r w:rsidRPr="00FA0D37">
        <w:rPr>
          <w:color w:val="993366"/>
        </w:rPr>
        <w:t>SEQUENCE</w:t>
      </w:r>
      <w:r w:rsidRPr="00FA0D37">
        <w:t xml:space="preserve"> {</w:t>
      </w:r>
    </w:p>
    <w:p w14:paraId="2BFE0FF4" w14:textId="42B99322" w:rsidR="00B04F4B" w:rsidRPr="00FA0D37" w:rsidRDefault="00B04F4B" w:rsidP="00FA0D37">
      <w:pPr>
        <w:pStyle w:val="PL"/>
      </w:pPr>
      <w:r w:rsidRPr="00FA0D37">
        <w:t xml:space="preserve">    pdcch-BlindDetectionCA-MixedExt-r16        </w:t>
      </w:r>
      <w:r w:rsidRPr="00FA0D37">
        <w:rPr>
          <w:color w:val="993366"/>
        </w:rPr>
        <w:t>CHOICE</w:t>
      </w:r>
      <w:r w:rsidRPr="00FA0D37">
        <w:t xml:space="preserve"> {</w:t>
      </w:r>
    </w:p>
    <w:p w14:paraId="4CB6DE3A" w14:textId="6C5FBFA8" w:rsidR="00B04F4B" w:rsidRPr="00FA0D37" w:rsidRDefault="00B04F4B" w:rsidP="00FA0D37">
      <w:pPr>
        <w:pStyle w:val="PL"/>
      </w:pPr>
      <w:r w:rsidRPr="00FA0D37">
        <w:t xml:space="preserve">        pdcch-BlindDetectionCA-Mixed-v16a0                PDCCH-BlindDetectionCA-MixedExt-r16,</w:t>
      </w:r>
    </w:p>
    <w:p w14:paraId="1E784811" w14:textId="6F6C28C6" w:rsidR="00B04F4B" w:rsidRPr="00FA0D37" w:rsidRDefault="00B04F4B" w:rsidP="00FA0D37">
      <w:pPr>
        <w:pStyle w:val="PL"/>
      </w:pPr>
      <w:r w:rsidRPr="00FA0D37">
        <w:t xml:space="preserve">        pdcch-BlindDetectionCA-Mixed-NonAlignedSpan-v16a0 PDCCH-BlindDetectionCA-MixedExt-r16</w:t>
      </w:r>
    </w:p>
    <w:p w14:paraId="0771645C" w14:textId="7499A535" w:rsidR="00B04F4B" w:rsidRPr="00FA0D37" w:rsidRDefault="00B04F4B" w:rsidP="00FA0D37">
      <w:pPr>
        <w:pStyle w:val="PL"/>
      </w:pPr>
      <w:r w:rsidRPr="00FA0D37">
        <w:t xml:space="preserve">    }                                                                                             </w:t>
      </w:r>
      <w:r w:rsidRPr="00FA0D37">
        <w:rPr>
          <w:color w:val="993366"/>
        </w:rPr>
        <w:t>OPTIONAL</w:t>
      </w:r>
      <w:r w:rsidRPr="00FA0D37">
        <w:t>,</w:t>
      </w:r>
    </w:p>
    <w:p w14:paraId="2423C908" w14:textId="4EBB66DE" w:rsidR="00B04F4B" w:rsidRPr="00FA0D37" w:rsidRDefault="00B04F4B" w:rsidP="00FA0D37">
      <w:pPr>
        <w:pStyle w:val="PL"/>
      </w:pPr>
      <w:r w:rsidRPr="00FA0D37">
        <w:t xml:space="preserve">    pdcch-BlindDetectionCG-UE-MixedExt-r16     </w:t>
      </w:r>
      <w:r w:rsidRPr="00FA0D37">
        <w:rPr>
          <w:color w:val="993366"/>
        </w:rPr>
        <w:t>SEQUENCE</w:t>
      </w:r>
      <w:r w:rsidRPr="00FA0D37">
        <w:t>{</w:t>
      </w:r>
    </w:p>
    <w:p w14:paraId="0BE406CF" w14:textId="0D879EB9" w:rsidR="00B04F4B" w:rsidRPr="00FA0D37" w:rsidRDefault="00B04F4B" w:rsidP="00FA0D37">
      <w:pPr>
        <w:pStyle w:val="PL"/>
      </w:pPr>
      <w:r w:rsidRPr="00FA0D37">
        <w:t xml:space="preserve">    pdcch-BlindDetectionMCG-UE-Mixed-v16a0                PDCCH-BlindDetectionCG-UE-MixedExt-r16</w:t>
      </w:r>
      <w:r w:rsidR="003431E3" w:rsidRPr="00FA0D37">
        <w:t>,</w:t>
      </w:r>
    </w:p>
    <w:p w14:paraId="45E5F0F1" w14:textId="045CD5C7" w:rsidR="00B04F4B" w:rsidRPr="00FA0D37" w:rsidRDefault="00B04F4B" w:rsidP="00FA0D37">
      <w:pPr>
        <w:pStyle w:val="PL"/>
      </w:pPr>
      <w:r w:rsidRPr="00FA0D37">
        <w:t xml:space="preserve">        pdcch-BlindDetectionSCG-UE-Mixed-v16a0            PDCCH-BlindDetectionCG-UE-MixedExt-r16</w:t>
      </w:r>
    </w:p>
    <w:p w14:paraId="21591ACE" w14:textId="213E39AE" w:rsidR="00B04F4B" w:rsidRPr="00FA0D37" w:rsidRDefault="00B04F4B" w:rsidP="00FA0D37">
      <w:pPr>
        <w:pStyle w:val="PL"/>
      </w:pPr>
      <w:r w:rsidRPr="00FA0D37">
        <w:t xml:space="preserve">    }                                                                                             </w:t>
      </w:r>
      <w:r w:rsidRPr="00FA0D37">
        <w:rPr>
          <w:color w:val="993366"/>
        </w:rPr>
        <w:t>OPTIONAL</w:t>
      </w:r>
    </w:p>
    <w:p w14:paraId="72660EB9" w14:textId="77777777" w:rsidR="00B04F4B" w:rsidRPr="00FA0D37" w:rsidRDefault="00B04F4B" w:rsidP="00FA0D37">
      <w:pPr>
        <w:pStyle w:val="PL"/>
      </w:pPr>
      <w:r w:rsidRPr="00FA0D37">
        <w:t>}</w:t>
      </w:r>
    </w:p>
    <w:p w14:paraId="504FD0C2" w14:textId="77777777" w:rsidR="00B04F4B" w:rsidRPr="00FA0D37" w:rsidRDefault="00B04F4B" w:rsidP="00FA0D37">
      <w:pPr>
        <w:pStyle w:val="PL"/>
      </w:pPr>
    </w:p>
    <w:p w14:paraId="21087E91" w14:textId="77777777" w:rsidR="00B04F4B" w:rsidRPr="00FA0D37" w:rsidRDefault="00B04F4B" w:rsidP="00FA0D37">
      <w:pPr>
        <w:pStyle w:val="PL"/>
      </w:pPr>
      <w:r w:rsidRPr="00FA0D37">
        <w:t xml:space="preserve">PDCCH-BlindDetectionCA-MixedExt-r16 ::=    </w:t>
      </w:r>
      <w:r w:rsidRPr="00FA0D37">
        <w:rPr>
          <w:color w:val="993366"/>
        </w:rPr>
        <w:t>SEQUENCE</w:t>
      </w:r>
      <w:r w:rsidRPr="00FA0D37">
        <w:t xml:space="preserve"> {</w:t>
      </w:r>
    </w:p>
    <w:p w14:paraId="5DEC3D37" w14:textId="321B9430" w:rsidR="00B04F4B" w:rsidRPr="00FA0D37" w:rsidRDefault="00B04F4B" w:rsidP="00FA0D37">
      <w:pPr>
        <w:pStyle w:val="PL"/>
      </w:pPr>
      <w:r w:rsidRPr="00FA0D37">
        <w:t xml:space="preserve">    pdcch-BlindDetectionCA1-r16                </w:t>
      </w:r>
      <w:r w:rsidRPr="00FA0D37">
        <w:rPr>
          <w:color w:val="993366"/>
        </w:rPr>
        <w:t>INTEGER</w:t>
      </w:r>
      <w:r w:rsidRPr="00FA0D37">
        <w:t xml:space="preserve"> (1..15),</w:t>
      </w:r>
    </w:p>
    <w:p w14:paraId="4AF55E31" w14:textId="2B63B281" w:rsidR="00B04F4B" w:rsidRPr="00FA0D37" w:rsidRDefault="00B04F4B" w:rsidP="00FA0D37">
      <w:pPr>
        <w:pStyle w:val="PL"/>
      </w:pPr>
      <w:r w:rsidRPr="00FA0D37">
        <w:t xml:space="preserve">    pdcch-BlindDetectionCA2-r16                </w:t>
      </w:r>
      <w:r w:rsidRPr="00FA0D37">
        <w:rPr>
          <w:color w:val="993366"/>
        </w:rPr>
        <w:t>INTEGER</w:t>
      </w:r>
      <w:r w:rsidRPr="00FA0D37">
        <w:t xml:space="preserve"> (1..15)</w:t>
      </w:r>
    </w:p>
    <w:p w14:paraId="422B5744" w14:textId="77777777" w:rsidR="00B04F4B" w:rsidRPr="00FA0D37" w:rsidRDefault="00B04F4B" w:rsidP="00FA0D37">
      <w:pPr>
        <w:pStyle w:val="PL"/>
      </w:pPr>
      <w:r w:rsidRPr="00FA0D37">
        <w:t>}</w:t>
      </w:r>
    </w:p>
    <w:p w14:paraId="13BFA0E6" w14:textId="77777777" w:rsidR="00B04F4B" w:rsidRPr="00FA0D37" w:rsidRDefault="00B04F4B" w:rsidP="00FA0D37">
      <w:pPr>
        <w:pStyle w:val="PL"/>
      </w:pPr>
    </w:p>
    <w:p w14:paraId="398C5F30" w14:textId="03E40B3A" w:rsidR="00B04F4B" w:rsidRPr="00FA0D37" w:rsidRDefault="00B04F4B" w:rsidP="00FA0D37">
      <w:pPr>
        <w:pStyle w:val="PL"/>
      </w:pPr>
      <w:r w:rsidRPr="00FA0D37">
        <w:t xml:space="preserve">PDCCH-BlindDetectionCG-UE-MixedExt-r16 ::= </w:t>
      </w:r>
      <w:r w:rsidRPr="00FA0D37">
        <w:rPr>
          <w:color w:val="993366"/>
        </w:rPr>
        <w:t>SEQUENCE</w:t>
      </w:r>
      <w:r w:rsidRPr="00FA0D37">
        <w:t xml:space="preserve"> {</w:t>
      </w:r>
    </w:p>
    <w:p w14:paraId="592C80CA" w14:textId="48EFD73C" w:rsidR="00B04F4B" w:rsidRPr="00FA0D37" w:rsidRDefault="00B04F4B" w:rsidP="00FA0D37">
      <w:pPr>
        <w:pStyle w:val="PL"/>
      </w:pPr>
      <w:r w:rsidRPr="00FA0D37">
        <w:t xml:space="preserve">    pdcch-BlindDetectionCG-UE1-r16             </w:t>
      </w:r>
      <w:r w:rsidRPr="00FA0D37">
        <w:rPr>
          <w:color w:val="993366"/>
        </w:rPr>
        <w:t>INTEGER</w:t>
      </w:r>
      <w:r w:rsidRPr="00FA0D37">
        <w:t xml:space="preserve"> (0..15),</w:t>
      </w:r>
    </w:p>
    <w:p w14:paraId="1B55A2BF" w14:textId="11F89E47" w:rsidR="00B04F4B" w:rsidRPr="00FA0D37" w:rsidRDefault="00B04F4B" w:rsidP="00FA0D37">
      <w:pPr>
        <w:pStyle w:val="PL"/>
      </w:pPr>
      <w:r w:rsidRPr="00FA0D37">
        <w:t xml:space="preserve">    pdcch-BlindDetectionCG-UE2-r16             </w:t>
      </w:r>
      <w:r w:rsidRPr="00FA0D37">
        <w:rPr>
          <w:color w:val="993366"/>
        </w:rPr>
        <w:t>INTEGER</w:t>
      </w:r>
      <w:r w:rsidRPr="00FA0D37">
        <w:t xml:space="preserve"> (0..15)</w:t>
      </w:r>
    </w:p>
    <w:p w14:paraId="21ACC9F8" w14:textId="3F51394D" w:rsidR="00B04F4B" w:rsidRPr="00FA0D37" w:rsidRDefault="00B04F4B" w:rsidP="00FA0D37">
      <w:pPr>
        <w:pStyle w:val="PL"/>
      </w:pPr>
      <w:r w:rsidRPr="00FA0D37">
        <w:t>}</w:t>
      </w:r>
    </w:p>
    <w:p w14:paraId="7D45C440" w14:textId="77777777" w:rsidR="00B04F4B" w:rsidRPr="00FA0D37" w:rsidRDefault="00B04F4B" w:rsidP="00FA0D37">
      <w:pPr>
        <w:pStyle w:val="PL"/>
      </w:pPr>
    </w:p>
    <w:p w14:paraId="703CD559" w14:textId="156A6869" w:rsidR="00F03826" w:rsidRPr="00FA0D37" w:rsidRDefault="00F03826" w:rsidP="00FA0D37">
      <w:pPr>
        <w:pStyle w:val="PL"/>
      </w:pPr>
      <w:r w:rsidRPr="00FA0D37">
        <w:t xml:space="preserve">PDCCH-BlindDetectionMCG-SCG-r17 ::=        </w:t>
      </w:r>
      <w:r w:rsidRPr="00FA0D37">
        <w:rPr>
          <w:color w:val="993366"/>
        </w:rPr>
        <w:t>SEQUENCE</w:t>
      </w:r>
      <w:r w:rsidRPr="00FA0D37">
        <w:t xml:space="preserve"> {</w:t>
      </w:r>
    </w:p>
    <w:p w14:paraId="68D1B6C8" w14:textId="08F3266C" w:rsidR="00F03826" w:rsidRPr="00FA0D37" w:rsidRDefault="00F03826" w:rsidP="00FA0D37">
      <w:pPr>
        <w:pStyle w:val="PL"/>
      </w:pPr>
      <w:r w:rsidRPr="00FA0D37">
        <w:t xml:space="preserve">    pdcch-BlindDetectionMCG-UE-r17             </w:t>
      </w:r>
      <w:r w:rsidRPr="00FA0D37">
        <w:rPr>
          <w:color w:val="993366"/>
        </w:rPr>
        <w:t>INTEGER</w:t>
      </w:r>
      <w:r w:rsidRPr="00FA0D37">
        <w:t xml:space="preserve"> (1..15),</w:t>
      </w:r>
    </w:p>
    <w:p w14:paraId="505E15CF" w14:textId="105C004F" w:rsidR="00F03826" w:rsidRPr="00FA0D37" w:rsidRDefault="00F03826" w:rsidP="00FA0D37">
      <w:pPr>
        <w:pStyle w:val="PL"/>
      </w:pPr>
      <w:r w:rsidRPr="00FA0D37">
        <w:t xml:space="preserve">    pdcch-BlindDetectionSCG-UE-r17             </w:t>
      </w:r>
      <w:r w:rsidRPr="00FA0D37">
        <w:rPr>
          <w:color w:val="993366"/>
        </w:rPr>
        <w:t>INTEGER</w:t>
      </w:r>
      <w:r w:rsidRPr="00FA0D37">
        <w:t xml:space="preserve"> (1..15)</w:t>
      </w:r>
    </w:p>
    <w:p w14:paraId="44778968" w14:textId="77777777" w:rsidR="00F03826" w:rsidRPr="00FA0D37" w:rsidRDefault="00F03826" w:rsidP="00FA0D37">
      <w:pPr>
        <w:pStyle w:val="PL"/>
      </w:pPr>
      <w:r w:rsidRPr="00FA0D37">
        <w:t>}</w:t>
      </w:r>
    </w:p>
    <w:p w14:paraId="38DF2124" w14:textId="77777777" w:rsidR="00F03826" w:rsidRPr="00FA0D37" w:rsidRDefault="00F03826" w:rsidP="00FA0D37">
      <w:pPr>
        <w:pStyle w:val="PL"/>
      </w:pPr>
    </w:p>
    <w:p w14:paraId="63072B0E" w14:textId="0E6D3440" w:rsidR="00F03826" w:rsidRPr="00FA0D37" w:rsidRDefault="00F03826" w:rsidP="00FA0D37">
      <w:pPr>
        <w:pStyle w:val="PL"/>
      </w:pPr>
      <w:r w:rsidRPr="00FA0D37">
        <w:t xml:space="preserve">PDCCH-BlindDetectionMixed-r17::=           </w:t>
      </w:r>
      <w:r w:rsidRPr="00FA0D37">
        <w:rPr>
          <w:color w:val="993366"/>
        </w:rPr>
        <w:t>SEQUENCE</w:t>
      </w:r>
      <w:r w:rsidRPr="00FA0D37">
        <w:t xml:space="preserve"> {</w:t>
      </w:r>
    </w:p>
    <w:p w14:paraId="250BB525" w14:textId="41D35667" w:rsidR="00F03826" w:rsidRPr="00FA0D37" w:rsidRDefault="00F03826" w:rsidP="00FA0D37">
      <w:pPr>
        <w:pStyle w:val="PL"/>
      </w:pPr>
      <w:r w:rsidRPr="00FA0D37">
        <w:t xml:space="preserve">    pdcch-BlindDetectionCA-Mixed-r17           PDCCH-BlindDetectionCA-Mixed-r17                   </w:t>
      </w:r>
      <w:r w:rsidRPr="00FA0D37">
        <w:rPr>
          <w:color w:val="993366"/>
        </w:rPr>
        <w:t>OPTIONAL</w:t>
      </w:r>
      <w:r w:rsidRPr="00FA0D37">
        <w:t>,</w:t>
      </w:r>
    </w:p>
    <w:p w14:paraId="4D3105FC" w14:textId="2E0431B9" w:rsidR="00F03826" w:rsidRPr="00FA0D37" w:rsidRDefault="00F03826" w:rsidP="00FA0D37">
      <w:pPr>
        <w:pStyle w:val="PL"/>
      </w:pPr>
      <w:r w:rsidRPr="00FA0D37">
        <w:t xml:space="preserve">    pdcch-BlindDetectionCG-UE-Mixed-r17        </w:t>
      </w:r>
      <w:r w:rsidRPr="00FA0D37">
        <w:rPr>
          <w:color w:val="993366"/>
        </w:rPr>
        <w:t>SEQUENCE</w:t>
      </w:r>
      <w:r w:rsidRPr="00FA0D37">
        <w:t>{</w:t>
      </w:r>
    </w:p>
    <w:p w14:paraId="6CBF8191" w14:textId="7A99F369" w:rsidR="00F03826" w:rsidRPr="00FA0D37" w:rsidRDefault="00F03826" w:rsidP="00FA0D37">
      <w:pPr>
        <w:pStyle w:val="PL"/>
      </w:pPr>
      <w:r w:rsidRPr="00FA0D37">
        <w:t xml:space="preserve">        pdcch-BlindDetectionMCG-UE-Mixed-v17       PDCCH-BlindDetectionCG-UE-Mixed-r17,</w:t>
      </w:r>
    </w:p>
    <w:p w14:paraId="09DA7C88" w14:textId="194BA8E0" w:rsidR="00F03826" w:rsidRPr="00FA0D37" w:rsidRDefault="00F03826" w:rsidP="00FA0D37">
      <w:pPr>
        <w:pStyle w:val="PL"/>
      </w:pPr>
      <w:r w:rsidRPr="00FA0D37">
        <w:t xml:space="preserve">        pdcch-BlindDetectionSCG-UE-Mixed-v17       PDCCH-BlindDetectionCG-UE-Mixed-r17</w:t>
      </w:r>
    </w:p>
    <w:p w14:paraId="1DE833C4" w14:textId="76470806" w:rsidR="00F03826" w:rsidRPr="00FA0D37" w:rsidRDefault="00F03826" w:rsidP="00FA0D37">
      <w:pPr>
        <w:pStyle w:val="PL"/>
      </w:pPr>
      <w:r w:rsidRPr="00FA0D37">
        <w:t xml:space="preserve">    }                                                                                             </w:t>
      </w:r>
      <w:r w:rsidRPr="00FA0D37">
        <w:rPr>
          <w:color w:val="993366"/>
        </w:rPr>
        <w:t>OPTIONAL</w:t>
      </w:r>
    </w:p>
    <w:p w14:paraId="7016AF2E" w14:textId="77777777" w:rsidR="00F03826" w:rsidRPr="00FA0D37" w:rsidRDefault="00F03826" w:rsidP="00FA0D37">
      <w:pPr>
        <w:pStyle w:val="PL"/>
      </w:pPr>
      <w:r w:rsidRPr="00FA0D37">
        <w:t>}</w:t>
      </w:r>
    </w:p>
    <w:p w14:paraId="314B74C4" w14:textId="77777777" w:rsidR="00F03826" w:rsidRPr="00FA0D37" w:rsidRDefault="00F03826" w:rsidP="00FA0D37">
      <w:pPr>
        <w:pStyle w:val="PL"/>
      </w:pPr>
    </w:p>
    <w:p w14:paraId="36CB6330" w14:textId="77777777" w:rsidR="00F03826" w:rsidRPr="00FA0D37" w:rsidRDefault="00F03826" w:rsidP="00FA0D37">
      <w:pPr>
        <w:pStyle w:val="PL"/>
      </w:pPr>
      <w:r w:rsidRPr="00FA0D37">
        <w:t xml:space="preserve">PDCCH-BlindDetectionCG-UE-Mixed-r17 ::=    </w:t>
      </w:r>
      <w:r w:rsidRPr="00FA0D37">
        <w:rPr>
          <w:color w:val="993366"/>
        </w:rPr>
        <w:t>SEQUENCE</w:t>
      </w:r>
      <w:r w:rsidRPr="00FA0D37">
        <w:t xml:space="preserve"> {</w:t>
      </w:r>
    </w:p>
    <w:p w14:paraId="33A8F610" w14:textId="654F3120" w:rsidR="00F03826" w:rsidRPr="00FA0D37" w:rsidRDefault="00F03826" w:rsidP="00FA0D37">
      <w:pPr>
        <w:pStyle w:val="PL"/>
      </w:pPr>
      <w:r w:rsidRPr="00FA0D37">
        <w:t xml:space="preserve">    pdcch-BlindDetectionCG-UE1-r17             </w:t>
      </w:r>
      <w:r w:rsidRPr="00FA0D37">
        <w:rPr>
          <w:color w:val="993366"/>
        </w:rPr>
        <w:t>INTEGER</w:t>
      </w:r>
      <w:r w:rsidRPr="00FA0D37">
        <w:t xml:space="preserve"> (0..15),</w:t>
      </w:r>
    </w:p>
    <w:p w14:paraId="73F4A48B" w14:textId="5343CA34" w:rsidR="00F03826" w:rsidRPr="00FA0D37" w:rsidRDefault="00F03826" w:rsidP="00FA0D37">
      <w:pPr>
        <w:pStyle w:val="PL"/>
      </w:pPr>
      <w:r w:rsidRPr="00FA0D37">
        <w:t xml:space="preserve">    pdcch-BlindDetectionCG-UE2-r17             </w:t>
      </w:r>
      <w:r w:rsidRPr="00FA0D37">
        <w:rPr>
          <w:color w:val="993366"/>
        </w:rPr>
        <w:t>INTEGER</w:t>
      </w:r>
      <w:r w:rsidRPr="00FA0D37">
        <w:t xml:space="preserve"> (0..15)</w:t>
      </w:r>
    </w:p>
    <w:p w14:paraId="0B595572" w14:textId="77777777" w:rsidR="00F03826" w:rsidRPr="00FA0D37" w:rsidRDefault="00F03826" w:rsidP="00FA0D37">
      <w:pPr>
        <w:pStyle w:val="PL"/>
      </w:pPr>
      <w:r w:rsidRPr="00FA0D37">
        <w:t>}</w:t>
      </w:r>
    </w:p>
    <w:p w14:paraId="7D2FAE15" w14:textId="77777777" w:rsidR="00F03826" w:rsidRPr="00FA0D37" w:rsidRDefault="00F03826" w:rsidP="00FA0D37">
      <w:pPr>
        <w:pStyle w:val="PL"/>
      </w:pPr>
    </w:p>
    <w:p w14:paraId="29365A42" w14:textId="08A12243" w:rsidR="00F03826" w:rsidRPr="00FA0D37" w:rsidRDefault="00F03826" w:rsidP="00FA0D37">
      <w:pPr>
        <w:pStyle w:val="PL"/>
      </w:pPr>
      <w:r w:rsidRPr="00FA0D37">
        <w:t xml:space="preserve">PDCCH-BlindDetectionCA-Mixed-r17 ::=       </w:t>
      </w:r>
      <w:r w:rsidRPr="00FA0D37">
        <w:rPr>
          <w:color w:val="993366"/>
        </w:rPr>
        <w:t>SEQUENCE</w:t>
      </w:r>
      <w:r w:rsidRPr="00FA0D37">
        <w:t xml:space="preserve"> {</w:t>
      </w:r>
    </w:p>
    <w:p w14:paraId="25316EEB" w14:textId="321FDC0B" w:rsidR="00F03826" w:rsidRPr="00FA0D37" w:rsidRDefault="00F03826" w:rsidP="00FA0D37">
      <w:pPr>
        <w:pStyle w:val="PL"/>
      </w:pPr>
      <w:r w:rsidRPr="00FA0D37">
        <w:t xml:space="preserve">    pdcch-BlindDetectionCA1-r17                </w:t>
      </w:r>
      <w:r w:rsidRPr="00FA0D37">
        <w:rPr>
          <w:color w:val="993366"/>
        </w:rPr>
        <w:t>INTEGER</w:t>
      </w:r>
      <w:r w:rsidRPr="00FA0D37">
        <w:t xml:space="preserve"> (1..15)                                    </w:t>
      </w:r>
      <w:r w:rsidRPr="00FA0D37">
        <w:rPr>
          <w:color w:val="993366"/>
        </w:rPr>
        <w:t>OPTIONAL</w:t>
      </w:r>
      <w:r w:rsidRPr="00FA0D37">
        <w:t>,</w:t>
      </w:r>
    </w:p>
    <w:p w14:paraId="7478F826" w14:textId="5612FCDC" w:rsidR="00F03826" w:rsidRPr="00FA0D37" w:rsidRDefault="00F03826" w:rsidP="00FA0D37">
      <w:pPr>
        <w:pStyle w:val="PL"/>
      </w:pPr>
      <w:r w:rsidRPr="00FA0D37">
        <w:t xml:space="preserve">    pdcch-BlindDetectionCA2-r17                </w:t>
      </w:r>
      <w:r w:rsidRPr="00FA0D37">
        <w:rPr>
          <w:color w:val="993366"/>
        </w:rPr>
        <w:t>INTEGER</w:t>
      </w:r>
      <w:r w:rsidRPr="00FA0D37">
        <w:t xml:space="preserve"> (1..15)                                    </w:t>
      </w:r>
      <w:r w:rsidRPr="00FA0D37">
        <w:rPr>
          <w:color w:val="993366"/>
        </w:rPr>
        <w:t>OPTIONAL</w:t>
      </w:r>
    </w:p>
    <w:p w14:paraId="5FD4AE48" w14:textId="77777777" w:rsidR="00F03826" w:rsidRPr="00FA0D37" w:rsidRDefault="00F03826" w:rsidP="00FA0D37">
      <w:pPr>
        <w:pStyle w:val="PL"/>
      </w:pPr>
      <w:r w:rsidRPr="00FA0D37">
        <w:t>}</w:t>
      </w:r>
    </w:p>
    <w:p w14:paraId="7D2EF052" w14:textId="6380FE2F" w:rsidR="00F03826" w:rsidRPr="00FA0D37" w:rsidRDefault="00F03826" w:rsidP="00FA0D37">
      <w:pPr>
        <w:pStyle w:val="PL"/>
      </w:pPr>
      <w:r w:rsidRPr="00FA0D37">
        <w:t xml:space="preserve">PDCCH-BlindDetectionMixed1-r17::=          </w:t>
      </w:r>
      <w:r w:rsidRPr="00FA0D37">
        <w:rPr>
          <w:color w:val="993366"/>
        </w:rPr>
        <w:t>SEQUENCE</w:t>
      </w:r>
      <w:r w:rsidRPr="00FA0D37">
        <w:t xml:space="preserve"> {</w:t>
      </w:r>
    </w:p>
    <w:p w14:paraId="0CC676C6" w14:textId="6AB0FF16" w:rsidR="00F03826" w:rsidRPr="00FA0D37" w:rsidRDefault="00F03826" w:rsidP="00FA0D37">
      <w:pPr>
        <w:pStyle w:val="PL"/>
      </w:pPr>
      <w:r w:rsidRPr="00FA0D37">
        <w:t xml:space="preserve">    pdcch-BlindDetectionCA-Mixed1-r17          </w:t>
      </w:r>
      <w:r w:rsidR="007028CE" w:rsidRPr="00FA0D37">
        <w:t>P</w:t>
      </w:r>
      <w:r w:rsidRPr="00FA0D37">
        <w:t xml:space="preserve">DCCH-BlindDetectionCA-Mixed1-r17                  </w:t>
      </w:r>
      <w:r w:rsidRPr="00FA0D37">
        <w:rPr>
          <w:color w:val="993366"/>
        </w:rPr>
        <w:t>OPTIONAL</w:t>
      </w:r>
      <w:r w:rsidRPr="00FA0D37">
        <w:t>,</w:t>
      </w:r>
    </w:p>
    <w:p w14:paraId="34C73C82" w14:textId="046A89CB" w:rsidR="00F03826" w:rsidRPr="00FA0D37" w:rsidRDefault="00F03826" w:rsidP="00FA0D37">
      <w:pPr>
        <w:pStyle w:val="PL"/>
      </w:pPr>
      <w:r w:rsidRPr="00FA0D37">
        <w:t xml:space="preserve">    pdcch-BlindDetectionCG-UE-Mixed1-r17       </w:t>
      </w:r>
      <w:r w:rsidRPr="00FA0D37">
        <w:rPr>
          <w:color w:val="993366"/>
        </w:rPr>
        <w:t>SEQUENCE</w:t>
      </w:r>
      <w:r w:rsidRPr="00FA0D37">
        <w:t>{</w:t>
      </w:r>
    </w:p>
    <w:p w14:paraId="5A691201" w14:textId="2AB4D216" w:rsidR="00F03826" w:rsidRPr="00FA0D37" w:rsidRDefault="00F03826" w:rsidP="00FA0D37">
      <w:pPr>
        <w:pStyle w:val="PL"/>
      </w:pPr>
      <w:r w:rsidRPr="00FA0D37">
        <w:t xml:space="preserve">        pdcch-BlindDetectionMCG-UE-Mixed1-v17      PDCCH-BlindDetectionCG-UE-Mixed1-r17,</w:t>
      </w:r>
    </w:p>
    <w:p w14:paraId="0BE494D8" w14:textId="265446EB" w:rsidR="00F03826" w:rsidRPr="00FA0D37" w:rsidRDefault="00F03826" w:rsidP="00FA0D37">
      <w:pPr>
        <w:pStyle w:val="PL"/>
      </w:pPr>
      <w:r w:rsidRPr="00FA0D37">
        <w:t xml:space="preserve">        pdcch-BlindDetectionSCG-UE-Mixed1-v17      PDCCH-BlindDetectionCG-UE-Mixed1-r17</w:t>
      </w:r>
    </w:p>
    <w:p w14:paraId="5B2EEC32" w14:textId="5F3E89AE" w:rsidR="00F03826" w:rsidRPr="00FA0D37" w:rsidRDefault="00F03826" w:rsidP="00FA0D37">
      <w:pPr>
        <w:pStyle w:val="PL"/>
      </w:pPr>
      <w:r w:rsidRPr="00FA0D37">
        <w:lastRenderedPageBreak/>
        <w:t xml:space="preserve">    }                                                                                             </w:t>
      </w:r>
      <w:r w:rsidRPr="00FA0D37">
        <w:rPr>
          <w:color w:val="993366"/>
        </w:rPr>
        <w:t>OPTIONAL</w:t>
      </w:r>
    </w:p>
    <w:p w14:paraId="3228302D" w14:textId="77777777" w:rsidR="00F03826" w:rsidRPr="00FA0D37" w:rsidRDefault="00F03826" w:rsidP="00FA0D37">
      <w:pPr>
        <w:pStyle w:val="PL"/>
      </w:pPr>
      <w:r w:rsidRPr="00FA0D37">
        <w:t>}</w:t>
      </w:r>
    </w:p>
    <w:p w14:paraId="4ACD0B69" w14:textId="77777777" w:rsidR="00F03826" w:rsidRPr="00FA0D37" w:rsidRDefault="00F03826" w:rsidP="00FA0D37">
      <w:pPr>
        <w:pStyle w:val="PL"/>
      </w:pPr>
    </w:p>
    <w:p w14:paraId="373B858D" w14:textId="579EAA59" w:rsidR="00F03826" w:rsidRPr="00FA0D37" w:rsidRDefault="00F03826" w:rsidP="00FA0D37">
      <w:pPr>
        <w:pStyle w:val="PL"/>
      </w:pPr>
      <w:r w:rsidRPr="00FA0D37">
        <w:t xml:space="preserve">PDCCH-BlindDetectionCG-UE-Mixed1-r17 ::=   </w:t>
      </w:r>
      <w:r w:rsidRPr="00FA0D37">
        <w:rPr>
          <w:color w:val="993366"/>
        </w:rPr>
        <w:t>SEQUENCE</w:t>
      </w:r>
      <w:r w:rsidRPr="00FA0D37">
        <w:t xml:space="preserve"> {</w:t>
      </w:r>
    </w:p>
    <w:p w14:paraId="017F33DD" w14:textId="501C236A" w:rsidR="00F03826" w:rsidRPr="00FA0D37" w:rsidRDefault="00F03826" w:rsidP="00FA0D37">
      <w:pPr>
        <w:pStyle w:val="PL"/>
      </w:pPr>
      <w:r w:rsidRPr="00FA0D37">
        <w:t xml:space="preserve">    pdcch-BlindDetectionCG-UE1-r17             </w:t>
      </w:r>
      <w:r w:rsidRPr="00FA0D37">
        <w:rPr>
          <w:color w:val="993366"/>
        </w:rPr>
        <w:t>INTEGER</w:t>
      </w:r>
      <w:r w:rsidRPr="00FA0D37">
        <w:t xml:space="preserve"> (0..15),</w:t>
      </w:r>
    </w:p>
    <w:p w14:paraId="07F55D43" w14:textId="1DFD3228" w:rsidR="00F03826" w:rsidRPr="00FA0D37" w:rsidRDefault="00F03826" w:rsidP="00FA0D37">
      <w:pPr>
        <w:pStyle w:val="PL"/>
      </w:pPr>
      <w:r w:rsidRPr="00FA0D37">
        <w:t xml:space="preserve">    pdcch-BlindDetectionCG-UE2-r17             </w:t>
      </w:r>
      <w:r w:rsidRPr="00FA0D37">
        <w:rPr>
          <w:color w:val="993366"/>
        </w:rPr>
        <w:t>INTEGER</w:t>
      </w:r>
      <w:r w:rsidRPr="00FA0D37">
        <w:t xml:space="preserve"> (0..15)</w:t>
      </w:r>
      <w:r w:rsidR="00847ACB" w:rsidRPr="00FA0D37">
        <w:t>,</w:t>
      </w:r>
    </w:p>
    <w:p w14:paraId="6B077AC0" w14:textId="3550A3C1" w:rsidR="00F03826" w:rsidRPr="00FA0D37" w:rsidRDefault="00F03826" w:rsidP="00FA0D37">
      <w:pPr>
        <w:pStyle w:val="PL"/>
      </w:pPr>
      <w:r w:rsidRPr="00FA0D37">
        <w:t xml:space="preserve">    pdcch-BlindDetectionCG-UE3-r17             </w:t>
      </w:r>
      <w:r w:rsidRPr="00FA0D37">
        <w:rPr>
          <w:color w:val="993366"/>
        </w:rPr>
        <w:t>INTEGER</w:t>
      </w:r>
      <w:r w:rsidRPr="00FA0D37">
        <w:t xml:space="preserve"> (0..15)</w:t>
      </w:r>
    </w:p>
    <w:p w14:paraId="18FD11EC" w14:textId="77777777" w:rsidR="00F03826" w:rsidRPr="00FA0D37" w:rsidRDefault="00F03826" w:rsidP="00FA0D37">
      <w:pPr>
        <w:pStyle w:val="PL"/>
      </w:pPr>
      <w:r w:rsidRPr="00FA0D37">
        <w:t>}</w:t>
      </w:r>
    </w:p>
    <w:p w14:paraId="3FA557D6" w14:textId="77777777" w:rsidR="00F03826" w:rsidRPr="00FA0D37" w:rsidRDefault="00F03826" w:rsidP="00FA0D37">
      <w:pPr>
        <w:pStyle w:val="PL"/>
      </w:pPr>
    </w:p>
    <w:p w14:paraId="4527830F" w14:textId="2C8392F1" w:rsidR="00F03826" w:rsidRPr="00FA0D37" w:rsidRDefault="00F03826" w:rsidP="00FA0D37">
      <w:pPr>
        <w:pStyle w:val="PL"/>
      </w:pPr>
      <w:r w:rsidRPr="00FA0D37">
        <w:t xml:space="preserve">PDCCH-BlindDetectionCA-Mixed1-r17 ::=      </w:t>
      </w:r>
      <w:r w:rsidRPr="00FA0D37">
        <w:rPr>
          <w:color w:val="993366"/>
        </w:rPr>
        <w:t>SEQUENCE</w:t>
      </w:r>
      <w:r w:rsidRPr="00FA0D37">
        <w:t xml:space="preserve"> {</w:t>
      </w:r>
    </w:p>
    <w:p w14:paraId="17DBB9E2" w14:textId="5EDF1305" w:rsidR="00F03826" w:rsidRPr="00FA0D37" w:rsidRDefault="00F03826" w:rsidP="00FA0D37">
      <w:pPr>
        <w:pStyle w:val="PL"/>
      </w:pPr>
      <w:r w:rsidRPr="00FA0D37">
        <w:t xml:space="preserve">    pdcch-BlindDetectionCA1-r17                </w:t>
      </w:r>
      <w:r w:rsidRPr="00FA0D37">
        <w:rPr>
          <w:color w:val="993366"/>
        </w:rPr>
        <w:t>INTEGER</w:t>
      </w:r>
      <w:r w:rsidRPr="00FA0D37">
        <w:t xml:space="preserve"> (1..15)                                    </w:t>
      </w:r>
      <w:r w:rsidRPr="00FA0D37">
        <w:rPr>
          <w:color w:val="993366"/>
        </w:rPr>
        <w:t>OPTIONAL</w:t>
      </w:r>
      <w:r w:rsidRPr="00FA0D37">
        <w:t>,</w:t>
      </w:r>
    </w:p>
    <w:p w14:paraId="6376C800" w14:textId="2336D2CC" w:rsidR="00F03826" w:rsidRPr="00FA0D37" w:rsidRDefault="00F03826" w:rsidP="00FA0D37">
      <w:pPr>
        <w:pStyle w:val="PL"/>
      </w:pPr>
      <w:r w:rsidRPr="00FA0D37">
        <w:t xml:space="preserve">    pdcch-BlindDetectionCA2-r17                </w:t>
      </w:r>
      <w:r w:rsidRPr="00FA0D37">
        <w:rPr>
          <w:color w:val="993366"/>
        </w:rPr>
        <w:t>INTEGER</w:t>
      </w:r>
      <w:r w:rsidRPr="00FA0D37">
        <w:t xml:space="preserve"> (1..15)                                </w:t>
      </w:r>
      <w:r w:rsidR="003431E3" w:rsidRPr="00FA0D37">
        <w:t xml:space="preserve">    </w:t>
      </w:r>
      <w:r w:rsidRPr="00FA0D37">
        <w:rPr>
          <w:color w:val="993366"/>
        </w:rPr>
        <w:t>OPTIONAL</w:t>
      </w:r>
      <w:r w:rsidRPr="00FA0D37">
        <w:t>,</w:t>
      </w:r>
    </w:p>
    <w:p w14:paraId="5EE38AFB" w14:textId="294CCC09" w:rsidR="00F03826" w:rsidRPr="00FA0D37" w:rsidRDefault="00F03826" w:rsidP="00FA0D37">
      <w:pPr>
        <w:pStyle w:val="PL"/>
      </w:pPr>
      <w:r w:rsidRPr="00FA0D37">
        <w:t xml:space="preserve">    pdcch-BlindDetectionCA3-r17                </w:t>
      </w:r>
      <w:r w:rsidRPr="00FA0D37">
        <w:rPr>
          <w:color w:val="993366"/>
        </w:rPr>
        <w:t>INTEGER</w:t>
      </w:r>
      <w:r w:rsidRPr="00FA0D37">
        <w:t xml:space="preserve"> (1..15)                                    </w:t>
      </w:r>
      <w:r w:rsidRPr="00FA0D37">
        <w:rPr>
          <w:color w:val="993366"/>
        </w:rPr>
        <w:t>OPTIONAL</w:t>
      </w:r>
    </w:p>
    <w:p w14:paraId="5A579700" w14:textId="77777777" w:rsidR="00F03826" w:rsidRPr="00FA0D37" w:rsidRDefault="00F03826" w:rsidP="00FA0D37">
      <w:pPr>
        <w:pStyle w:val="PL"/>
      </w:pPr>
      <w:r w:rsidRPr="00FA0D37">
        <w:t>}</w:t>
      </w:r>
    </w:p>
    <w:p w14:paraId="638B7749" w14:textId="77777777" w:rsidR="00F03826" w:rsidRPr="00FA0D37" w:rsidRDefault="00F03826" w:rsidP="00FA0D37">
      <w:pPr>
        <w:pStyle w:val="PL"/>
      </w:pPr>
    </w:p>
    <w:p w14:paraId="2C8F27BD" w14:textId="76B8333B" w:rsidR="00D027C1" w:rsidRPr="00FA0D37" w:rsidRDefault="00D027C1" w:rsidP="00FA0D37">
      <w:pPr>
        <w:pStyle w:val="PL"/>
      </w:pPr>
      <w:r w:rsidRPr="00FA0D37">
        <w:t xml:space="preserve">SimulSRS-ForAntennaSwitching-r16 ::= </w:t>
      </w:r>
      <w:r w:rsidRPr="00FA0D37">
        <w:rPr>
          <w:color w:val="993366"/>
        </w:rPr>
        <w:t>SEQUENCE</w:t>
      </w:r>
      <w:r w:rsidRPr="00FA0D37">
        <w:t xml:space="preserve"> {</w:t>
      </w:r>
    </w:p>
    <w:p w14:paraId="0AF441D9" w14:textId="1D5CD906" w:rsidR="00D027C1" w:rsidRPr="00FA0D37" w:rsidRDefault="00D027C1" w:rsidP="00FA0D37">
      <w:pPr>
        <w:pStyle w:val="PL"/>
      </w:pPr>
      <w:r w:rsidRPr="00FA0D37">
        <w:t xml:space="preserve">    supportSRS-xTyR-xLessThanY-r16       </w:t>
      </w:r>
      <w:r w:rsidRPr="00FA0D37">
        <w:rPr>
          <w:color w:val="993366"/>
        </w:rPr>
        <w:t>ENUMERATED</w:t>
      </w:r>
      <w:r w:rsidRPr="00FA0D37">
        <w:t xml:space="preserve"> {supported}                     </w:t>
      </w:r>
      <w:r w:rsidRPr="00FA0D37">
        <w:rPr>
          <w:color w:val="993366"/>
        </w:rPr>
        <w:t>OPTIONAL</w:t>
      </w:r>
      <w:r w:rsidRPr="00FA0D37">
        <w:t>,</w:t>
      </w:r>
    </w:p>
    <w:p w14:paraId="578EE08C" w14:textId="6EFF8AD2" w:rsidR="00D027C1" w:rsidRPr="00FA0D37" w:rsidRDefault="00D027C1" w:rsidP="00FA0D37">
      <w:pPr>
        <w:pStyle w:val="PL"/>
      </w:pPr>
      <w:r w:rsidRPr="00FA0D37">
        <w:t xml:space="preserve">    supportSRS-xTyR-xEqualToY-r16        </w:t>
      </w:r>
      <w:r w:rsidRPr="00FA0D37">
        <w:rPr>
          <w:color w:val="993366"/>
        </w:rPr>
        <w:t>ENUMERATED</w:t>
      </w:r>
      <w:r w:rsidRPr="00FA0D37">
        <w:t xml:space="preserve"> {supported}                     </w:t>
      </w:r>
      <w:r w:rsidRPr="00FA0D37">
        <w:rPr>
          <w:color w:val="993366"/>
        </w:rPr>
        <w:t>OPTIONAL</w:t>
      </w:r>
      <w:r w:rsidRPr="00FA0D37">
        <w:t>,</w:t>
      </w:r>
    </w:p>
    <w:p w14:paraId="1F4935F9" w14:textId="463BCA10" w:rsidR="00D027C1" w:rsidRPr="00FA0D37" w:rsidRDefault="00D027C1" w:rsidP="00FA0D37">
      <w:pPr>
        <w:pStyle w:val="PL"/>
      </w:pPr>
      <w:r w:rsidRPr="00FA0D37">
        <w:t xml:space="preserve">    supportSRS-AntennaSwitching-r16      </w:t>
      </w:r>
      <w:r w:rsidRPr="00FA0D37">
        <w:rPr>
          <w:color w:val="993366"/>
        </w:rPr>
        <w:t>ENUMERATED</w:t>
      </w:r>
      <w:r w:rsidRPr="00FA0D37">
        <w:t xml:space="preserve"> {supported}                     </w:t>
      </w:r>
      <w:r w:rsidRPr="00FA0D37">
        <w:rPr>
          <w:color w:val="993366"/>
        </w:rPr>
        <w:t>OPTIONAL</w:t>
      </w:r>
    </w:p>
    <w:p w14:paraId="56A86680" w14:textId="77777777" w:rsidR="00D027C1" w:rsidRPr="00FA0D37" w:rsidRDefault="00D027C1" w:rsidP="00FA0D37">
      <w:pPr>
        <w:pStyle w:val="PL"/>
      </w:pPr>
      <w:r w:rsidRPr="00FA0D37">
        <w:t>}</w:t>
      </w:r>
    </w:p>
    <w:p w14:paraId="5E591241" w14:textId="77777777" w:rsidR="00D12CC0" w:rsidRPr="00FA0D37" w:rsidRDefault="00D12CC0" w:rsidP="00FA0D37">
      <w:pPr>
        <w:pStyle w:val="PL"/>
      </w:pPr>
    </w:p>
    <w:p w14:paraId="1A1E3A7B" w14:textId="58B1FA53" w:rsidR="00D12CC0" w:rsidRPr="00FA0D37" w:rsidRDefault="00D12CC0" w:rsidP="00FA0D37">
      <w:pPr>
        <w:pStyle w:val="PL"/>
      </w:pPr>
      <w:r w:rsidRPr="00FA0D37">
        <w:t xml:space="preserve">TwoPUCCH-Grp-Configurations-r16 ::=  </w:t>
      </w:r>
      <w:r w:rsidRPr="00FA0D37">
        <w:rPr>
          <w:color w:val="993366"/>
        </w:rPr>
        <w:t>SEQUENCE</w:t>
      </w:r>
      <w:r w:rsidRPr="00FA0D37">
        <w:t xml:space="preserve"> {</w:t>
      </w:r>
    </w:p>
    <w:p w14:paraId="14B65116" w14:textId="55D7D268" w:rsidR="00D12CC0" w:rsidRPr="00FA0D37" w:rsidRDefault="00D12CC0" w:rsidP="00FA0D37">
      <w:pPr>
        <w:pStyle w:val="PL"/>
      </w:pPr>
      <w:r w:rsidRPr="00FA0D37">
        <w:t xml:space="preserve">    pucch-PrimaryGroupMapping-r16        TwoPUCCH-Grp-ConfigParams-r16,</w:t>
      </w:r>
    </w:p>
    <w:p w14:paraId="315168A6" w14:textId="23FC6855" w:rsidR="00D12CC0" w:rsidRPr="00FA0D37" w:rsidRDefault="00D12CC0" w:rsidP="00FA0D37">
      <w:pPr>
        <w:pStyle w:val="PL"/>
      </w:pPr>
      <w:r w:rsidRPr="00FA0D37">
        <w:t xml:space="preserve">    pucch-SecondaryGroupMapping-r16      TwoPUCCH-Grp-ConfigParams-r16</w:t>
      </w:r>
    </w:p>
    <w:p w14:paraId="1B286FDD" w14:textId="77777777" w:rsidR="00D12CC0" w:rsidRPr="00FA0D37" w:rsidRDefault="00D12CC0" w:rsidP="00FA0D37">
      <w:pPr>
        <w:pStyle w:val="PL"/>
      </w:pPr>
      <w:r w:rsidRPr="00FA0D37">
        <w:t>}</w:t>
      </w:r>
    </w:p>
    <w:p w14:paraId="585D1FAF" w14:textId="77777777" w:rsidR="00FD0B5C" w:rsidRPr="00FA0D37" w:rsidRDefault="00FD0B5C" w:rsidP="00FA0D37">
      <w:pPr>
        <w:pStyle w:val="PL"/>
      </w:pPr>
    </w:p>
    <w:p w14:paraId="079552F8" w14:textId="77777777" w:rsidR="00FD0B5C" w:rsidRPr="00FA0D37" w:rsidRDefault="00FD0B5C" w:rsidP="00FA0D37">
      <w:pPr>
        <w:pStyle w:val="PL"/>
      </w:pPr>
      <w:r w:rsidRPr="00FA0D37">
        <w:t xml:space="preserve">TwoPUCCH-Grp-Configurations-r17 ::=  </w:t>
      </w:r>
      <w:r w:rsidRPr="00FA0D37">
        <w:rPr>
          <w:color w:val="993366"/>
        </w:rPr>
        <w:t>SEQUENCE</w:t>
      </w:r>
      <w:r w:rsidRPr="00FA0D37">
        <w:t xml:space="preserve"> {</w:t>
      </w:r>
    </w:p>
    <w:p w14:paraId="069CB822" w14:textId="0C470ED8" w:rsidR="00FD0B5C" w:rsidRPr="00FA0D37" w:rsidRDefault="00FD0B5C" w:rsidP="00FA0D37">
      <w:pPr>
        <w:pStyle w:val="PL"/>
      </w:pPr>
      <w:r w:rsidRPr="00FA0D37">
        <w:t xml:space="preserve">    primaryPUCCH-GroupConfig-r17         PUCCH-Group-Config-r17,</w:t>
      </w:r>
    </w:p>
    <w:p w14:paraId="4550A121" w14:textId="4DEF8D50" w:rsidR="00FD0B5C" w:rsidRPr="00FA0D37" w:rsidRDefault="00FD0B5C" w:rsidP="00FA0D37">
      <w:pPr>
        <w:pStyle w:val="PL"/>
      </w:pPr>
      <w:r w:rsidRPr="00FA0D37">
        <w:t xml:space="preserve">    secondaryPUCCH-GroupConfig-r17       PUCCH-Group-Config-r17</w:t>
      </w:r>
    </w:p>
    <w:p w14:paraId="41425258" w14:textId="77777777" w:rsidR="00FD0B5C" w:rsidRPr="00FA0D37" w:rsidRDefault="00FD0B5C" w:rsidP="00FA0D37">
      <w:pPr>
        <w:pStyle w:val="PL"/>
      </w:pPr>
      <w:r w:rsidRPr="00FA0D37">
        <w:t>}</w:t>
      </w:r>
    </w:p>
    <w:p w14:paraId="6362DF39" w14:textId="77777777" w:rsidR="00FD0B5C" w:rsidRPr="00FA0D37" w:rsidRDefault="00FD0B5C" w:rsidP="00FA0D37">
      <w:pPr>
        <w:pStyle w:val="PL"/>
      </w:pPr>
    </w:p>
    <w:p w14:paraId="48361F9A" w14:textId="03D6268A" w:rsidR="00D12CC0" w:rsidRPr="00FA0D37" w:rsidRDefault="00D12CC0" w:rsidP="00FA0D37">
      <w:pPr>
        <w:pStyle w:val="PL"/>
      </w:pPr>
      <w:r w:rsidRPr="00FA0D37">
        <w:t xml:space="preserve">TwoPUCCH-Grp-ConfigParams-r16 ::=    </w:t>
      </w:r>
      <w:r w:rsidRPr="00FA0D37">
        <w:rPr>
          <w:color w:val="993366"/>
        </w:rPr>
        <w:t>SEQUENCE</w:t>
      </w:r>
      <w:r w:rsidRPr="00FA0D37">
        <w:t xml:space="preserve"> {</w:t>
      </w:r>
    </w:p>
    <w:p w14:paraId="5F673CEC" w14:textId="2219B967" w:rsidR="00D12CC0" w:rsidRPr="00FA0D37" w:rsidRDefault="00D12CC0" w:rsidP="00FA0D37">
      <w:pPr>
        <w:pStyle w:val="PL"/>
      </w:pPr>
      <w:r w:rsidRPr="00FA0D37">
        <w:t xml:space="preserve">    pucch-GroupMapping-r16               PUCCH-Grp-CarrierTypes-r16,</w:t>
      </w:r>
    </w:p>
    <w:p w14:paraId="16990BBE" w14:textId="66301339" w:rsidR="00D12CC0" w:rsidRPr="00FA0D37" w:rsidRDefault="00D12CC0" w:rsidP="00FA0D37">
      <w:pPr>
        <w:pStyle w:val="PL"/>
      </w:pPr>
      <w:r w:rsidRPr="00FA0D37">
        <w:t xml:space="preserve">    pucch-TX-r16                         PUCCH-Grp-CarrierTypes-r16</w:t>
      </w:r>
    </w:p>
    <w:p w14:paraId="086441FB" w14:textId="77777777" w:rsidR="00D12CC0" w:rsidRPr="00FA0D37" w:rsidRDefault="00D12CC0" w:rsidP="00FA0D37">
      <w:pPr>
        <w:pStyle w:val="PL"/>
      </w:pPr>
      <w:r w:rsidRPr="00FA0D37">
        <w:t>}</w:t>
      </w:r>
    </w:p>
    <w:p w14:paraId="0943F861" w14:textId="59F76E27" w:rsidR="00D12CC0" w:rsidRPr="00FA0D37" w:rsidRDefault="00D12CC0" w:rsidP="00FA0D37">
      <w:pPr>
        <w:pStyle w:val="PL"/>
      </w:pPr>
    </w:p>
    <w:p w14:paraId="43E20FB4" w14:textId="77777777" w:rsidR="005337F6" w:rsidRPr="00FA0D37" w:rsidRDefault="005337F6" w:rsidP="00FA0D37">
      <w:pPr>
        <w:pStyle w:val="PL"/>
      </w:pPr>
    </w:p>
    <w:p w14:paraId="528139B7" w14:textId="13C80198" w:rsidR="005337F6" w:rsidRPr="00FA0D37" w:rsidRDefault="005337F6" w:rsidP="00FA0D37">
      <w:pPr>
        <w:pStyle w:val="PL"/>
      </w:pPr>
      <w:r w:rsidRPr="00FA0D37">
        <w:t xml:space="preserve">CarrierTypePair-r16 ::=             </w:t>
      </w:r>
      <w:r w:rsidRPr="00FA0D37">
        <w:rPr>
          <w:color w:val="993366"/>
        </w:rPr>
        <w:t>SEQUENCE</w:t>
      </w:r>
      <w:r w:rsidRPr="00FA0D37">
        <w:t xml:space="preserve"> {</w:t>
      </w:r>
    </w:p>
    <w:p w14:paraId="42900CB4" w14:textId="01E3632C" w:rsidR="005337F6" w:rsidRPr="00FA0D37" w:rsidRDefault="005337F6" w:rsidP="00FA0D37">
      <w:pPr>
        <w:pStyle w:val="PL"/>
      </w:pPr>
      <w:r w:rsidRPr="00FA0D37">
        <w:t xml:space="preserve">    carrierForCSI-Measurement-r16       PUCCH-Grp-CarrierTypes-r16,</w:t>
      </w:r>
    </w:p>
    <w:p w14:paraId="2B442C75" w14:textId="61DB339D" w:rsidR="005337F6" w:rsidRPr="00FA0D37" w:rsidRDefault="005337F6" w:rsidP="00FA0D37">
      <w:pPr>
        <w:pStyle w:val="PL"/>
      </w:pPr>
      <w:r w:rsidRPr="00FA0D37">
        <w:t xml:space="preserve">    carrierForCSI-Reporting-r16         PUCCH-Grp-CarrierTypes-r16</w:t>
      </w:r>
    </w:p>
    <w:p w14:paraId="0449C289" w14:textId="4375766B" w:rsidR="005337F6" w:rsidRPr="00FA0D37" w:rsidRDefault="005337F6" w:rsidP="00FA0D37">
      <w:pPr>
        <w:pStyle w:val="PL"/>
      </w:pPr>
      <w:r w:rsidRPr="00FA0D37">
        <w:t>}</w:t>
      </w:r>
    </w:p>
    <w:p w14:paraId="0C4CBCD1" w14:textId="77777777" w:rsidR="005337F6" w:rsidRPr="00FA0D37" w:rsidRDefault="005337F6" w:rsidP="00FA0D37">
      <w:pPr>
        <w:pStyle w:val="PL"/>
      </w:pPr>
    </w:p>
    <w:p w14:paraId="0F9C4B93" w14:textId="4A3E8EBD" w:rsidR="00D12CC0" w:rsidRPr="00FA0D37" w:rsidRDefault="00D12CC0" w:rsidP="00FA0D37">
      <w:pPr>
        <w:pStyle w:val="PL"/>
      </w:pPr>
      <w:r w:rsidRPr="00FA0D37">
        <w:t xml:space="preserve">PUCCH-Grp-CarrierTypes-r16 ::=       </w:t>
      </w:r>
      <w:r w:rsidRPr="00FA0D37">
        <w:rPr>
          <w:color w:val="993366"/>
        </w:rPr>
        <w:t>SEQUENCE</w:t>
      </w:r>
      <w:r w:rsidRPr="00FA0D37">
        <w:t xml:space="preserve"> {</w:t>
      </w:r>
    </w:p>
    <w:p w14:paraId="7A0C11ED" w14:textId="75E14453" w:rsidR="00D12CC0" w:rsidRPr="00FA0D37" w:rsidRDefault="00D12CC0" w:rsidP="00FA0D37">
      <w:pPr>
        <w:pStyle w:val="PL"/>
      </w:pPr>
      <w:r w:rsidRPr="00FA0D37">
        <w:t xml:space="preserve">    fr1-NonSharedTDD-r16                 </w:t>
      </w:r>
      <w:r w:rsidRPr="00FA0D37">
        <w:rPr>
          <w:color w:val="993366"/>
        </w:rPr>
        <w:t>ENUMERATED</w:t>
      </w:r>
      <w:r w:rsidRPr="00FA0D37">
        <w:t xml:space="preserve"> {supported}                     </w:t>
      </w:r>
      <w:r w:rsidRPr="00FA0D37">
        <w:rPr>
          <w:color w:val="993366"/>
        </w:rPr>
        <w:t>OPTIONAL</w:t>
      </w:r>
      <w:r w:rsidRPr="00FA0D37">
        <w:t>,</w:t>
      </w:r>
    </w:p>
    <w:p w14:paraId="3C18B4E6" w14:textId="34E478E2" w:rsidR="00D12CC0" w:rsidRPr="00FA0D37" w:rsidRDefault="00D12CC0" w:rsidP="00FA0D37">
      <w:pPr>
        <w:pStyle w:val="PL"/>
      </w:pPr>
      <w:r w:rsidRPr="00FA0D37">
        <w:t xml:space="preserve">    fr1-SharedTDD-r16                    </w:t>
      </w:r>
      <w:r w:rsidRPr="00FA0D37">
        <w:rPr>
          <w:color w:val="993366"/>
        </w:rPr>
        <w:t>ENUMERATED</w:t>
      </w:r>
      <w:r w:rsidRPr="00FA0D37">
        <w:t xml:space="preserve"> {supported}                     </w:t>
      </w:r>
      <w:r w:rsidRPr="00FA0D37">
        <w:rPr>
          <w:color w:val="993366"/>
        </w:rPr>
        <w:t>OPTIONAL</w:t>
      </w:r>
      <w:r w:rsidRPr="00FA0D37">
        <w:t>,</w:t>
      </w:r>
    </w:p>
    <w:p w14:paraId="1AE0A284" w14:textId="6537BB9C" w:rsidR="00D12CC0" w:rsidRPr="00FA0D37" w:rsidRDefault="00D12CC0" w:rsidP="00FA0D37">
      <w:pPr>
        <w:pStyle w:val="PL"/>
      </w:pPr>
      <w:r w:rsidRPr="00FA0D37">
        <w:t xml:space="preserve">    fr1-NonSharedFDD-r16                 </w:t>
      </w:r>
      <w:r w:rsidRPr="00FA0D37">
        <w:rPr>
          <w:color w:val="993366"/>
        </w:rPr>
        <w:t>ENUMERATED</w:t>
      </w:r>
      <w:r w:rsidRPr="00FA0D37">
        <w:t xml:space="preserve"> {supported}                     </w:t>
      </w:r>
      <w:r w:rsidRPr="00FA0D37">
        <w:rPr>
          <w:color w:val="993366"/>
        </w:rPr>
        <w:t>OPTIONAL</w:t>
      </w:r>
      <w:r w:rsidRPr="00FA0D37">
        <w:t>,</w:t>
      </w:r>
    </w:p>
    <w:p w14:paraId="36C755F4" w14:textId="24D1366F" w:rsidR="00D12CC0" w:rsidRPr="00FA0D37" w:rsidRDefault="00D12CC0" w:rsidP="00FA0D37">
      <w:pPr>
        <w:pStyle w:val="PL"/>
      </w:pPr>
      <w:r w:rsidRPr="00FA0D37">
        <w:t xml:space="preserve">    fr2-r16                              </w:t>
      </w:r>
      <w:r w:rsidRPr="00FA0D37">
        <w:rPr>
          <w:color w:val="993366"/>
        </w:rPr>
        <w:t>ENUMERATED</w:t>
      </w:r>
      <w:r w:rsidRPr="00FA0D37">
        <w:t xml:space="preserve"> {supported}                     </w:t>
      </w:r>
      <w:r w:rsidRPr="00FA0D37">
        <w:rPr>
          <w:color w:val="993366"/>
        </w:rPr>
        <w:t>OPTIONAL</w:t>
      </w:r>
    </w:p>
    <w:p w14:paraId="18394DBB" w14:textId="77777777" w:rsidR="00D12CC0" w:rsidRPr="00FA0D37" w:rsidRDefault="00D12CC0" w:rsidP="00FA0D37">
      <w:pPr>
        <w:pStyle w:val="PL"/>
      </w:pPr>
      <w:r w:rsidRPr="00FA0D37">
        <w:t>}</w:t>
      </w:r>
    </w:p>
    <w:p w14:paraId="2E07EBEC" w14:textId="77777777" w:rsidR="00FD0B5C" w:rsidRPr="00FA0D37" w:rsidRDefault="00FD0B5C" w:rsidP="00FA0D37">
      <w:pPr>
        <w:pStyle w:val="PL"/>
      </w:pPr>
    </w:p>
    <w:p w14:paraId="00F2881E" w14:textId="5794A7A7" w:rsidR="00FD0B5C" w:rsidRPr="00FA0D37" w:rsidRDefault="00FD0B5C" w:rsidP="00FA0D37">
      <w:pPr>
        <w:pStyle w:val="PL"/>
      </w:pPr>
      <w:r w:rsidRPr="00FA0D37">
        <w:t xml:space="preserve">PUCCH-Group-Config-r17 ::=           </w:t>
      </w:r>
      <w:r w:rsidRPr="00FA0D37">
        <w:rPr>
          <w:color w:val="993366"/>
        </w:rPr>
        <w:t>SEQUENCE</w:t>
      </w:r>
      <w:r w:rsidRPr="00FA0D37">
        <w:t xml:space="preserve"> {</w:t>
      </w:r>
    </w:p>
    <w:p w14:paraId="735C9008" w14:textId="43EC2F66" w:rsidR="00FD0B5C" w:rsidRPr="00FA0D37" w:rsidRDefault="00FD0B5C" w:rsidP="00FA0D37">
      <w:pPr>
        <w:pStyle w:val="PL"/>
      </w:pPr>
      <w:r w:rsidRPr="00FA0D37">
        <w:t xml:space="preserve">    fr1-FR1-NonSharedTDD-r17             </w:t>
      </w:r>
      <w:r w:rsidRPr="00FA0D37">
        <w:rPr>
          <w:color w:val="993366"/>
        </w:rPr>
        <w:t>ENUMERATED</w:t>
      </w:r>
      <w:r w:rsidRPr="00FA0D37">
        <w:t xml:space="preserve"> {supported}                     </w:t>
      </w:r>
      <w:r w:rsidRPr="00FA0D37">
        <w:rPr>
          <w:color w:val="993366"/>
        </w:rPr>
        <w:t>OPTIONAL</w:t>
      </w:r>
      <w:r w:rsidRPr="00FA0D37">
        <w:t>,</w:t>
      </w:r>
    </w:p>
    <w:p w14:paraId="410E7865" w14:textId="01D55991" w:rsidR="00FD0B5C" w:rsidRPr="00FA0D37" w:rsidRDefault="00FD0B5C" w:rsidP="00FA0D37">
      <w:pPr>
        <w:pStyle w:val="PL"/>
      </w:pPr>
      <w:r w:rsidRPr="00FA0D37">
        <w:lastRenderedPageBreak/>
        <w:t xml:space="preserve">    fr2-FR2-NonSharedTDD-r17             </w:t>
      </w:r>
      <w:r w:rsidRPr="00FA0D37">
        <w:rPr>
          <w:color w:val="993366"/>
        </w:rPr>
        <w:t>ENUMERATED</w:t>
      </w:r>
      <w:r w:rsidRPr="00FA0D37">
        <w:t xml:space="preserve"> {supported}                     </w:t>
      </w:r>
      <w:r w:rsidRPr="00FA0D37">
        <w:rPr>
          <w:color w:val="993366"/>
        </w:rPr>
        <w:t>OPTIONAL</w:t>
      </w:r>
      <w:r w:rsidRPr="00FA0D37">
        <w:t>,</w:t>
      </w:r>
    </w:p>
    <w:p w14:paraId="632D98E0" w14:textId="5035C5E9" w:rsidR="00FD0B5C" w:rsidRPr="00FA0D37" w:rsidRDefault="00FD0B5C" w:rsidP="00FA0D37">
      <w:pPr>
        <w:pStyle w:val="PL"/>
      </w:pPr>
      <w:r w:rsidRPr="00FA0D37">
        <w:t xml:space="preserve">    fr1-FR2-NonSharedTDD-r17             </w:t>
      </w:r>
      <w:r w:rsidRPr="00FA0D37">
        <w:rPr>
          <w:color w:val="993366"/>
        </w:rPr>
        <w:t>ENUMERATED</w:t>
      </w:r>
      <w:r w:rsidRPr="00FA0D37">
        <w:t xml:space="preserve"> {supported}                     </w:t>
      </w:r>
      <w:r w:rsidRPr="00FA0D37">
        <w:rPr>
          <w:color w:val="993366"/>
        </w:rPr>
        <w:t>OPTIONAL</w:t>
      </w:r>
    </w:p>
    <w:p w14:paraId="12F92F74" w14:textId="2A139403" w:rsidR="00FD0B5C" w:rsidRPr="00FA0D37" w:rsidRDefault="00FD0B5C" w:rsidP="00FA0D37">
      <w:pPr>
        <w:pStyle w:val="PL"/>
      </w:pPr>
      <w:r w:rsidRPr="00FA0D37">
        <w:t>}</w:t>
      </w:r>
    </w:p>
    <w:p w14:paraId="4C21FAAD" w14:textId="77777777" w:rsidR="00FD0B5C" w:rsidRPr="00FA0D37" w:rsidRDefault="00FD0B5C" w:rsidP="00FA0D37">
      <w:pPr>
        <w:pStyle w:val="PL"/>
      </w:pPr>
    </w:p>
    <w:p w14:paraId="0EEE5113" w14:textId="77777777" w:rsidR="00394471" w:rsidRPr="00FA0D37" w:rsidRDefault="00394471" w:rsidP="00FA0D37">
      <w:pPr>
        <w:pStyle w:val="PL"/>
        <w:rPr>
          <w:color w:val="808080"/>
        </w:rPr>
      </w:pPr>
      <w:r w:rsidRPr="00FA0D37">
        <w:rPr>
          <w:color w:val="808080"/>
        </w:rPr>
        <w:t>-- TAG-CA-PARAMETERSNR-STOP</w:t>
      </w:r>
    </w:p>
    <w:p w14:paraId="67A91027" w14:textId="77777777" w:rsidR="00394471" w:rsidRPr="00FA0D37" w:rsidRDefault="00394471" w:rsidP="00FA0D37">
      <w:pPr>
        <w:pStyle w:val="PL"/>
        <w:rPr>
          <w:color w:val="808080"/>
        </w:rPr>
      </w:pPr>
      <w:r w:rsidRPr="00FA0D37">
        <w:rPr>
          <w:color w:val="808080"/>
        </w:rPr>
        <w:t>-- ASN1STOP</w:t>
      </w:r>
    </w:p>
    <w:p w14:paraId="5BDDA898" w14:textId="77777777" w:rsidR="00394471" w:rsidRPr="00FA0D3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5C7FF4" w:rsidRPr="00FA0D37" w14:paraId="60E02022" w14:textId="77777777" w:rsidTr="00964CC4">
        <w:tc>
          <w:tcPr>
            <w:tcW w:w="14281" w:type="dxa"/>
          </w:tcPr>
          <w:p w14:paraId="6199B5CB" w14:textId="77777777" w:rsidR="00394471" w:rsidRPr="00FA0D37" w:rsidRDefault="00394471" w:rsidP="00964CC4">
            <w:pPr>
              <w:pStyle w:val="TAH"/>
            </w:pPr>
            <w:r w:rsidRPr="00FA0D37">
              <w:rPr>
                <w:i/>
              </w:rPr>
              <w:t>CA-ParametersNR</w:t>
            </w:r>
            <w:r w:rsidRPr="00FA0D37">
              <w:t xml:space="preserve"> field description</w:t>
            </w:r>
          </w:p>
        </w:tc>
      </w:tr>
      <w:tr w:rsidR="00394471" w:rsidRPr="00FA0D37" w14:paraId="19FB61AD" w14:textId="77777777" w:rsidTr="00964CC4">
        <w:tc>
          <w:tcPr>
            <w:tcW w:w="14281" w:type="dxa"/>
          </w:tcPr>
          <w:p w14:paraId="113DAE11" w14:textId="77777777" w:rsidR="00394471" w:rsidRPr="00FA0D37" w:rsidRDefault="00394471" w:rsidP="00964CC4">
            <w:pPr>
              <w:pStyle w:val="TAL"/>
              <w:rPr>
                <w:b/>
                <w:i/>
              </w:rPr>
            </w:pPr>
            <w:r w:rsidRPr="00FA0D37">
              <w:rPr>
                <w:b/>
                <w:i/>
              </w:rPr>
              <w:t>codebookParametersPerBC</w:t>
            </w:r>
          </w:p>
          <w:p w14:paraId="064B835E" w14:textId="77777777" w:rsidR="00394471" w:rsidRPr="00FA0D37" w:rsidRDefault="00394471" w:rsidP="00964CC4">
            <w:pPr>
              <w:pStyle w:val="TAL"/>
            </w:pPr>
            <w:r w:rsidRPr="00FA0D37">
              <w:rPr>
                <w:rFonts w:eastAsiaTheme="minorEastAsia"/>
              </w:rPr>
              <w:t xml:space="preserve">For a given supported band combination, this field indicates </w:t>
            </w:r>
            <w:r w:rsidRPr="00FA0D37">
              <w:rPr>
                <w:rFonts w:eastAsiaTheme="minorEastAsia"/>
                <w:lang w:eastAsia="sv-SE"/>
              </w:rPr>
              <w:t xml:space="preserve">the alternative list of </w:t>
            </w:r>
            <w:r w:rsidRPr="00FA0D37">
              <w:rPr>
                <w:rFonts w:eastAsiaTheme="minorEastAsia"/>
                <w:i/>
                <w:lang w:eastAsia="sv-SE"/>
              </w:rPr>
              <w:t>SupportedCSI-RS-Resource</w:t>
            </w:r>
            <w:r w:rsidRPr="00FA0D37">
              <w:rPr>
                <w:rFonts w:eastAsiaTheme="minorEastAsia"/>
                <w:lang w:eastAsia="sv-SE"/>
              </w:rPr>
              <w:t xml:space="preserve"> supported for each codebook type, amongst the supported CSI-RS resources included in </w:t>
            </w:r>
            <w:r w:rsidRPr="00FA0D37">
              <w:rPr>
                <w:rFonts w:eastAsiaTheme="minorEastAsia"/>
                <w:i/>
                <w:lang w:eastAsia="sv-SE"/>
              </w:rPr>
              <w:t>codebookParametersPerBand</w:t>
            </w:r>
            <w:r w:rsidRPr="00FA0D37">
              <w:rPr>
                <w:rFonts w:eastAsiaTheme="minorEastAsia"/>
                <w:lang w:eastAsia="sv-SE"/>
              </w:rPr>
              <w:t xml:space="preserve"> in </w:t>
            </w:r>
            <w:r w:rsidRPr="00FA0D37">
              <w:rPr>
                <w:rFonts w:eastAsiaTheme="minorEastAsia"/>
                <w:i/>
                <w:lang w:eastAsia="sv-SE"/>
              </w:rPr>
              <w:t>MIMO-ParametersPerBand</w:t>
            </w:r>
            <w:r w:rsidRPr="00FA0D37">
              <w:rPr>
                <w:rFonts w:eastAsiaTheme="minorEastAsia"/>
                <w:lang w:eastAsia="sv-SE"/>
              </w:rPr>
              <w:t>.</w:t>
            </w:r>
          </w:p>
        </w:tc>
      </w:tr>
    </w:tbl>
    <w:p w14:paraId="5BDEE9FC" w14:textId="77777777" w:rsidR="00394471" w:rsidRPr="00FA0D37" w:rsidRDefault="00394471" w:rsidP="00394471"/>
    <w:p w14:paraId="11C354F9" w14:textId="130EA164" w:rsidR="00394471" w:rsidRPr="00FA0D37" w:rsidRDefault="00394471" w:rsidP="00394471">
      <w:pPr>
        <w:pStyle w:val="4"/>
        <w:rPr>
          <w:rFonts w:eastAsiaTheme="minorEastAsia"/>
          <w:i/>
          <w:iCs/>
        </w:rPr>
      </w:pPr>
      <w:bookmarkStart w:id="1523" w:name="_Toc60777436"/>
      <w:bookmarkStart w:id="1524" w:name="_Toc146781537"/>
      <w:r w:rsidRPr="00FA0D37">
        <w:t>–</w:t>
      </w:r>
      <w:r w:rsidRPr="00FA0D37">
        <w:tab/>
      </w:r>
      <w:r w:rsidRPr="00FA0D37">
        <w:rPr>
          <w:i/>
          <w:iCs/>
        </w:rPr>
        <w:t>CA-ParametersNRDC</w:t>
      </w:r>
      <w:bookmarkEnd w:id="1523"/>
      <w:bookmarkEnd w:id="1524"/>
    </w:p>
    <w:p w14:paraId="0D9F8191" w14:textId="77777777" w:rsidR="00394471" w:rsidRPr="00FA0D37" w:rsidRDefault="00394471" w:rsidP="00394471">
      <w:pPr>
        <w:rPr>
          <w:rFonts w:eastAsiaTheme="minorEastAsia"/>
        </w:rPr>
      </w:pPr>
      <w:r w:rsidRPr="00FA0D37">
        <w:rPr>
          <w:rFonts w:eastAsiaTheme="minorEastAsia"/>
        </w:rPr>
        <w:t xml:space="preserve">The IE </w:t>
      </w:r>
      <w:r w:rsidRPr="00FA0D37">
        <w:rPr>
          <w:rFonts w:eastAsiaTheme="minorEastAsia"/>
          <w:i/>
        </w:rPr>
        <w:t>CA-ParametersNRDC</w:t>
      </w:r>
      <w:r w:rsidRPr="00FA0D37">
        <w:rPr>
          <w:rFonts w:eastAsiaTheme="minorEastAsia"/>
        </w:rPr>
        <w:t xml:space="preserve"> contains dual connectivity related capabilities that are defined per band combination.</w:t>
      </w:r>
    </w:p>
    <w:p w14:paraId="3B3A587D" w14:textId="77777777" w:rsidR="00394471" w:rsidRPr="00FA0D37" w:rsidRDefault="00394471" w:rsidP="00394471">
      <w:pPr>
        <w:pStyle w:val="TH"/>
        <w:rPr>
          <w:rFonts w:eastAsiaTheme="minorEastAsia"/>
        </w:rPr>
      </w:pPr>
      <w:r w:rsidRPr="00FA0D37">
        <w:rPr>
          <w:rFonts w:eastAsiaTheme="minorEastAsia"/>
          <w:i/>
        </w:rPr>
        <w:t xml:space="preserve">CA-ParametersNRDC </w:t>
      </w:r>
      <w:r w:rsidRPr="00FA0D37">
        <w:rPr>
          <w:rFonts w:eastAsiaTheme="minorEastAsia"/>
        </w:rPr>
        <w:t>information element</w:t>
      </w:r>
    </w:p>
    <w:p w14:paraId="486191D2" w14:textId="77777777" w:rsidR="00394471" w:rsidRPr="00FA0D37" w:rsidRDefault="00394471" w:rsidP="00FA0D37">
      <w:pPr>
        <w:pStyle w:val="PL"/>
        <w:rPr>
          <w:color w:val="808080"/>
        </w:rPr>
      </w:pPr>
      <w:r w:rsidRPr="00FA0D37">
        <w:rPr>
          <w:color w:val="808080"/>
        </w:rPr>
        <w:t>-- ASN1START</w:t>
      </w:r>
    </w:p>
    <w:p w14:paraId="6223FA08" w14:textId="77777777" w:rsidR="00394471" w:rsidRPr="00FA0D37" w:rsidRDefault="00394471" w:rsidP="00FA0D37">
      <w:pPr>
        <w:pStyle w:val="PL"/>
        <w:rPr>
          <w:rFonts w:eastAsiaTheme="minorEastAsia"/>
          <w:color w:val="808080"/>
        </w:rPr>
      </w:pPr>
      <w:r w:rsidRPr="00FA0D37">
        <w:rPr>
          <w:color w:val="808080"/>
        </w:rPr>
        <w:t>-- TAG-CA-PARAMETERS-NRDC-START</w:t>
      </w:r>
    </w:p>
    <w:p w14:paraId="193BEF75" w14:textId="77777777" w:rsidR="00394471" w:rsidRPr="00FA0D37" w:rsidRDefault="00394471" w:rsidP="00FA0D37">
      <w:pPr>
        <w:pStyle w:val="PL"/>
        <w:rPr>
          <w:rFonts w:eastAsiaTheme="minorEastAsia"/>
        </w:rPr>
      </w:pPr>
    </w:p>
    <w:p w14:paraId="2B5E1A38" w14:textId="77777777" w:rsidR="00394471" w:rsidRPr="00FA0D37" w:rsidRDefault="00394471" w:rsidP="00FA0D37">
      <w:pPr>
        <w:pStyle w:val="PL"/>
        <w:rPr>
          <w:rFonts w:eastAsiaTheme="minorEastAsia"/>
        </w:rPr>
      </w:pPr>
      <w:r w:rsidRPr="00FA0D37">
        <w:rPr>
          <w:rFonts w:eastAsiaTheme="minorEastAsia"/>
        </w:rPr>
        <w:t>CA-ParametersNRDC ::=</w:t>
      </w:r>
      <w:r w:rsidRPr="00FA0D37">
        <w:t xml:space="preserve">    </w:t>
      </w:r>
      <w:r w:rsidRPr="00FA0D37">
        <w:rPr>
          <w:rFonts w:eastAsiaTheme="minorEastAsia"/>
        </w:rPr>
        <w:t xml:space="preserve"> </w:t>
      </w:r>
      <w:r w:rsidRPr="00FA0D37">
        <w:t xml:space="preserve">    </w:t>
      </w:r>
      <w:r w:rsidRPr="00FA0D37">
        <w:rPr>
          <w:rFonts w:eastAsiaTheme="minorEastAsia"/>
        </w:rPr>
        <w:t xml:space="preserve"> </w:t>
      </w:r>
      <w:r w:rsidRPr="00FA0D37">
        <w:t xml:space="preserve">    </w:t>
      </w:r>
      <w:r w:rsidRPr="00FA0D37">
        <w:rPr>
          <w:rFonts w:eastAsiaTheme="minorEastAsia"/>
        </w:rPr>
        <w:t xml:space="preserve"> </w:t>
      </w:r>
      <w:r w:rsidRPr="00FA0D37">
        <w:t xml:space="preserve">    </w:t>
      </w:r>
      <w:r w:rsidRPr="00FA0D37">
        <w:rPr>
          <w:rFonts w:eastAsiaTheme="minorEastAsia"/>
        </w:rPr>
        <w:t xml:space="preserve"> </w:t>
      </w:r>
      <w:r w:rsidRPr="00FA0D37">
        <w:t xml:space="preserve">    </w:t>
      </w:r>
      <w:r w:rsidRPr="00FA0D37">
        <w:rPr>
          <w:rFonts w:eastAsiaTheme="minorEastAsia"/>
        </w:rPr>
        <w:t xml:space="preserve"> </w:t>
      </w:r>
      <w:r w:rsidRPr="00FA0D37">
        <w:rPr>
          <w:rFonts w:eastAsiaTheme="minorEastAsia"/>
          <w:color w:val="993366"/>
        </w:rPr>
        <w:t>SEQUENCE</w:t>
      </w:r>
      <w:r w:rsidRPr="00FA0D37">
        <w:rPr>
          <w:rFonts w:eastAsiaTheme="minorEastAsia"/>
        </w:rPr>
        <w:t xml:space="preserve"> {</w:t>
      </w:r>
    </w:p>
    <w:p w14:paraId="5420B175" w14:textId="77777777" w:rsidR="00394471" w:rsidRPr="00FA0D37" w:rsidRDefault="00394471" w:rsidP="00FA0D37">
      <w:pPr>
        <w:pStyle w:val="PL"/>
        <w:rPr>
          <w:rFonts w:eastAsiaTheme="minorEastAsia"/>
        </w:rPr>
      </w:pPr>
      <w:r w:rsidRPr="00FA0D37">
        <w:t xml:space="preserve">    </w:t>
      </w:r>
      <w:r w:rsidRPr="00FA0D37">
        <w:rPr>
          <w:rFonts w:eastAsiaTheme="minorEastAsia"/>
        </w:rPr>
        <w:t xml:space="preserve"> ca-ParametersNR-ForDC</w:t>
      </w:r>
      <w:r w:rsidRPr="00FA0D37">
        <w:t xml:space="preserve">                       </w:t>
      </w:r>
      <w:r w:rsidRPr="00FA0D37">
        <w:rPr>
          <w:rFonts w:eastAsiaTheme="minorEastAsia"/>
        </w:rPr>
        <w:t>CA-ParametersNR</w:t>
      </w:r>
      <w:r w:rsidRPr="00FA0D37">
        <w:t xml:space="preserve">                              </w:t>
      </w:r>
      <w:r w:rsidRPr="00FA0D37">
        <w:rPr>
          <w:rFonts w:eastAsiaTheme="minorEastAsia"/>
          <w:color w:val="993366"/>
        </w:rPr>
        <w:t>OPTIONAL</w:t>
      </w:r>
      <w:r w:rsidRPr="00FA0D37">
        <w:rPr>
          <w:rFonts w:eastAsiaTheme="minorEastAsia"/>
        </w:rPr>
        <w:t>,</w:t>
      </w:r>
    </w:p>
    <w:p w14:paraId="0544AA8D" w14:textId="77777777" w:rsidR="00394471" w:rsidRPr="00FA0D37" w:rsidRDefault="00394471" w:rsidP="00FA0D37">
      <w:pPr>
        <w:pStyle w:val="PL"/>
        <w:rPr>
          <w:rFonts w:eastAsiaTheme="minorEastAsia"/>
        </w:rPr>
      </w:pPr>
      <w:r w:rsidRPr="00FA0D37">
        <w:t xml:space="preserve">    </w:t>
      </w:r>
      <w:r w:rsidRPr="00FA0D37">
        <w:rPr>
          <w:rFonts w:eastAsiaTheme="minorEastAsia"/>
        </w:rPr>
        <w:t xml:space="preserve"> ca-ParametersNR-ForDC-v1540</w:t>
      </w:r>
      <w:r w:rsidRPr="00FA0D37">
        <w:t xml:space="preserve">                 </w:t>
      </w:r>
      <w:r w:rsidRPr="00FA0D37">
        <w:rPr>
          <w:rFonts w:eastAsiaTheme="minorEastAsia"/>
        </w:rPr>
        <w:t>CA-ParametersNR-v1540</w:t>
      </w:r>
      <w:r w:rsidRPr="00FA0D37">
        <w:t xml:space="preserve">                        </w:t>
      </w:r>
      <w:r w:rsidRPr="00FA0D37">
        <w:rPr>
          <w:rFonts w:eastAsiaTheme="minorEastAsia"/>
          <w:color w:val="993366"/>
        </w:rPr>
        <w:t>OPTIONAL</w:t>
      </w:r>
      <w:r w:rsidRPr="00FA0D37">
        <w:rPr>
          <w:rFonts w:eastAsiaTheme="minorEastAsia"/>
        </w:rPr>
        <w:t>,</w:t>
      </w:r>
    </w:p>
    <w:p w14:paraId="364F9CEB" w14:textId="77777777" w:rsidR="00394471" w:rsidRPr="00FA0D37" w:rsidRDefault="00394471" w:rsidP="00FA0D37">
      <w:pPr>
        <w:pStyle w:val="PL"/>
        <w:rPr>
          <w:rFonts w:eastAsiaTheme="minorEastAsia"/>
        </w:rPr>
      </w:pPr>
      <w:r w:rsidRPr="00FA0D37">
        <w:t xml:space="preserve">    </w:t>
      </w:r>
      <w:r w:rsidRPr="00FA0D37">
        <w:rPr>
          <w:rFonts w:eastAsiaTheme="minorEastAsia"/>
        </w:rPr>
        <w:t xml:space="preserve"> ca-ParametersNR-ForDC-v1550</w:t>
      </w:r>
      <w:r w:rsidRPr="00FA0D37">
        <w:t xml:space="preserve">                 </w:t>
      </w:r>
      <w:r w:rsidRPr="00FA0D37">
        <w:rPr>
          <w:rFonts w:eastAsiaTheme="minorEastAsia"/>
        </w:rPr>
        <w:t>CA-ParametersNR-v1550</w:t>
      </w:r>
      <w:r w:rsidRPr="00FA0D37">
        <w:t xml:space="preserve">                        </w:t>
      </w:r>
      <w:r w:rsidRPr="00FA0D37">
        <w:rPr>
          <w:rFonts w:eastAsiaTheme="minorEastAsia"/>
          <w:color w:val="993366"/>
        </w:rPr>
        <w:t>OPTIONAL</w:t>
      </w:r>
      <w:r w:rsidRPr="00FA0D37">
        <w:rPr>
          <w:rFonts w:eastAsiaTheme="minorEastAsia"/>
        </w:rPr>
        <w:t>,</w:t>
      </w:r>
    </w:p>
    <w:p w14:paraId="2743B7F8" w14:textId="77777777" w:rsidR="00394471" w:rsidRPr="00FA0D37" w:rsidRDefault="00394471" w:rsidP="00FA0D37">
      <w:pPr>
        <w:pStyle w:val="PL"/>
        <w:rPr>
          <w:rFonts w:eastAsiaTheme="minorEastAsia"/>
        </w:rPr>
      </w:pPr>
      <w:r w:rsidRPr="00FA0D37">
        <w:t xml:space="preserve">    </w:t>
      </w:r>
      <w:r w:rsidRPr="00FA0D37">
        <w:rPr>
          <w:rFonts w:eastAsiaTheme="minorEastAsia"/>
        </w:rPr>
        <w:t xml:space="preserve"> ca-ParametersNR-ForDC-v1560</w:t>
      </w:r>
      <w:r w:rsidRPr="00FA0D37">
        <w:t xml:space="preserve">                 </w:t>
      </w:r>
      <w:r w:rsidRPr="00FA0D37">
        <w:rPr>
          <w:rFonts w:eastAsiaTheme="minorEastAsia"/>
        </w:rPr>
        <w:t>CA-ParametersNR-v1560</w:t>
      </w:r>
      <w:r w:rsidRPr="00FA0D37">
        <w:t xml:space="preserve">                        </w:t>
      </w:r>
      <w:r w:rsidRPr="00FA0D37">
        <w:rPr>
          <w:rFonts w:eastAsiaTheme="minorEastAsia"/>
          <w:color w:val="993366"/>
        </w:rPr>
        <w:t>OPTIONAL</w:t>
      </w:r>
      <w:r w:rsidRPr="00FA0D37">
        <w:rPr>
          <w:rFonts w:eastAsiaTheme="minorEastAsia"/>
        </w:rPr>
        <w:t>,</w:t>
      </w:r>
    </w:p>
    <w:p w14:paraId="6BF55B57" w14:textId="77777777" w:rsidR="00394471" w:rsidRPr="00FA0D37" w:rsidRDefault="00394471" w:rsidP="00FA0D37">
      <w:pPr>
        <w:pStyle w:val="PL"/>
        <w:rPr>
          <w:rFonts w:eastAsiaTheme="minorEastAsia"/>
        </w:rPr>
      </w:pPr>
      <w:r w:rsidRPr="00FA0D37">
        <w:t xml:space="preserve">    </w:t>
      </w:r>
      <w:r w:rsidRPr="00FA0D37">
        <w:rPr>
          <w:rFonts w:eastAsiaTheme="minorEastAsia"/>
        </w:rPr>
        <w:t xml:space="preserve"> featureSetCombinationDC</w:t>
      </w:r>
      <w:r w:rsidRPr="00FA0D37">
        <w:t xml:space="preserve">                     </w:t>
      </w:r>
      <w:r w:rsidRPr="00FA0D37">
        <w:rPr>
          <w:rFonts w:eastAsiaTheme="minorEastAsia"/>
        </w:rPr>
        <w:t>FeatureSetCombinationId</w:t>
      </w:r>
      <w:r w:rsidRPr="00FA0D37">
        <w:t xml:space="preserve">                      </w:t>
      </w:r>
      <w:r w:rsidRPr="00FA0D37">
        <w:rPr>
          <w:rFonts w:eastAsiaTheme="minorEastAsia"/>
          <w:color w:val="993366"/>
        </w:rPr>
        <w:t>OPTIONAL</w:t>
      </w:r>
    </w:p>
    <w:p w14:paraId="3EBE05ED" w14:textId="77777777" w:rsidR="00394471" w:rsidRPr="00FA0D37" w:rsidRDefault="00394471" w:rsidP="00FA0D37">
      <w:pPr>
        <w:pStyle w:val="PL"/>
        <w:rPr>
          <w:rFonts w:eastAsiaTheme="minorEastAsia"/>
        </w:rPr>
      </w:pPr>
      <w:r w:rsidRPr="00FA0D37">
        <w:rPr>
          <w:rFonts w:eastAsiaTheme="minorEastAsia"/>
        </w:rPr>
        <w:t>}</w:t>
      </w:r>
    </w:p>
    <w:p w14:paraId="6081DE9C" w14:textId="77777777" w:rsidR="004A773C" w:rsidRPr="00FA0D37" w:rsidRDefault="004A773C" w:rsidP="00FA0D37">
      <w:pPr>
        <w:pStyle w:val="PL"/>
        <w:rPr>
          <w:rFonts w:eastAsiaTheme="minorEastAsia"/>
        </w:rPr>
      </w:pPr>
    </w:p>
    <w:p w14:paraId="77C853EA" w14:textId="7BE2E2D8" w:rsidR="004A773C" w:rsidRPr="00FA0D37" w:rsidRDefault="004A773C" w:rsidP="00FA0D37">
      <w:pPr>
        <w:pStyle w:val="PL"/>
        <w:rPr>
          <w:rFonts w:eastAsiaTheme="minorEastAsia"/>
        </w:rPr>
      </w:pPr>
      <w:r w:rsidRPr="00FA0D37">
        <w:rPr>
          <w:rFonts w:eastAsiaTheme="minorEastAsia"/>
        </w:rPr>
        <w:t>CA-ParametersNRDC-v15</w:t>
      </w:r>
      <w:r w:rsidR="00EE4C48" w:rsidRPr="00FA0D37">
        <w:rPr>
          <w:rFonts w:eastAsiaTheme="minorEastAsia"/>
        </w:rPr>
        <w:t>g0</w:t>
      </w:r>
      <w:r w:rsidR="00425A53" w:rsidRPr="00FA0D37">
        <w:rPr>
          <w:rFonts w:eastAsiaTheme="minorEastAsia"/>
        </w:rPr>
        <w:t xml:space="preserve"> </w:t>
      </w:r>
      <w:r w:rsidRPr="00FA0D37">
        <w:rPr>
          <w:rFonts w:eastAsiaTheme="minorEastAsia"/>
        </w:rPr>
        <w:t>::=</w:t>
      </w:r>
      <w:r w:rsidRPr="00FA0D37">
        <w:t xml:space="preserve">                  </w:t>
      </w:r>
      <w:r w:rsidRPr="00FA0D37">
        <w:rPr>
          <w:rFonts w:eastAsiaTheme="minorEastAsia"/>
          <w:color w:val="993366"/>
        </w:rPr>
        <w:t>SEQUENCE</w:t>
      </w:r>
      <w:r w:rsidRPr="00FA0D37">
        <w:rPr>
          <w:rFonts w:eastAsiaTheme="minorEastAsia"/>
        </w:rPr>
        <w:t xml:space="preserve"> {</w:t>
      </w:r>
    </w:p>
    <w:p w14:paraId="5B483091" w14:textId="62D84D38" w:rsidR="004A773C" w:rsidRPr="00FA0D37" w:rsidRDefault="004A773C" w:rsidP="00FA0D37">
      <w:pPr>
        <w:pStyle w:val="PL"/>
        <w:rPr>
          <w:rFonts w:eastAsiaTheme="minorEastAsia"/>
        </w:rPr>
      </w:pPr>
      <w:r w:rsidRPr="00FA0D37">
        <w:t xml:space="preserve">    </w:t>
      </w:r>
      <w:r w:rsidRPr="00FA0D37">
        <w:rPr>
          <w:rFonts w:eastAsiaTheme="minorEastAsia"/>
        </w:rPr>
        <w:t>ca-ParametersNR-ForDC-v15</w:t>
      </w:r>
      <w:r w:rsidR="00EE4C48" w:rsidRPr="00FA0D37">
        <w:rPr>
          <w:rFonts w:eastAsiaTheme="minorEastAsia"/>
        </w:rPr>
        <w:t>g0</w:t>
      </w:r>
      <w:r w:rsidRPr="00FA0D37">
        <w:t xml:space="preserve">               </w:t>
      </w:r>
      <w:r w:rsidRPr="00FA0D37">
        <w:rPr>
          <w:rFonts w:eastAsiaTheme="minorEastAsia"/>
        </w:rPr>
        <w:t xml:space="preserve"> </w:t>
      </w:r>
      <w:r w:rsidR="00C574E9" w:rsidRPr="00FA0D37">
        <w:rPr>
          <w:rFonts w:eastAsiaTheme="minorEastAsia"/>
        </w:rPr>
        <w:t xml:space="preserve">  </w:t>
      </w:r>
      <w:r w:rsidRPr="00FA0D37">
        <w:rPr>
          <w:rFonts w:eastAsiaTheme="minorEastAsia"/>
        </w:rPr>
        <w:t xml:space="preserve"> CA-ParametersNR-v15</w:t>
      </w:r>
      <w:r w:rsidR="00EE4C48" w:rsidRPr="00FA0D37">
        <w:rPr>
          <w:rFonts w:eastAsiaTheme="minorEastAsia"/>
        </w:rPr>
        <w:t>g0</w:t>
      </w:r>
      <w:r w:rsidRPr="00FA0D37">
        <w:t xml:space="preserve">       </w:t>
      </w:r>
      <w:r w:rsidR="00C574E9" w:rsidRPr="00FA0D37">
        <w:t xml:space="preserve">           </w:t>
      </w:r>
      <w:r w:rsidRPr="00FA0D37">
        <w:t xml:space="preserve">      </w:t>
      </w:r>
      <w:r w:rsidRPr="00FA0D37">
        <w:rPr>
          <w:rFonts w:eastAsiaTheme="minorEastAsia"/>
          <w:color w:val="993366"/>
        </w:rPr>
        <w:t>OPTIONAL</w:t>
      </w:r>
    </w:p>
    <w:p w14:paraId="1AF62F8A" w14:textId="46866879" w:rsidR="00394471" w:rsidRPr="00FA0D37" w:rsidRDefault="004A773C" w:rsidP="00FA0D37">
      <w:pPr>
        <w:pStyle w:val="PL"/>
        <w:rPr>
          <w:rFonts w:eastAsiaTheme="minorEastAsia"/>
        </w:rPr>
      </w:pPr>
      <w:r w:rsidRPr="00FA0D37">
        <w:rPr>
          <w:rFonts w:eastAsiaTheme="minorEastAsia"/>
        </w:rPr>
        <w:t>}</w:t>
      </w:r>
    </w:p>
    <w:p w14:paraId="2D62C512" w14:textId="77777777" w:rsidR="004A773C" w:rsidRPr="00FA0D37" w:rsidRDefault="004A773C" w:rsidP="00FA0D37">
      <w:pPr>
        <w:pStyle w:val="PL"/>
        <w:rPr>
          <w:rFonts w:eastAsiaTheme="minorEastAsia"/>
        </w:rPr>
      </w:pPr>
    </w:p>
    <w:p w14:paraId="718A7DD2" w14:textId="77777777" w:rsidR="00394471" w:rsidRPr="00FA0D37" w:rsidRDefault="00394471" w:rsidP="00FA0D37">
      <w:pPr>
        <w:pStyle w:val="PL"/>
        <w:rPr>
          <w:rFonts w:eastAsiaTheme="minorEastAsia"/>
        </w:rPr>
      </w:pPr>
      <w:r w:rsidRPr="00FA0D37">
        <w:rPr>
          <w:rFonts w:eastAsiaTheme="minorEastAsia"/>
        </w:rPr>
        <w:t xml:space="preserve">CA-ParametersNRDC-v1610 ::= </w:t>
      </w:r>
      <w:r w:rsidRPr="00FA0D37">
        <w:rPr>
          <w:rFonts w:eastAsiaTheme="minorEastAsia"/>
          <w:color w:val="993366"/>
        </w:rPr>
        <w:t>SEQUENCE</w:t>
      </w:r>
      <w:r w:rsidRPr="00FA0D37">
        <w:rPr>
          <w:rFonts w:eastAsiaTheme="minorEastAsia"/>
        </w:rPr>
        <w:t xml:space="preserve"> {</w:t>
      </w:r>
    </w:p>
    <w:p w14:paraId="6909E66F"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xml:space="preserve">-- R1 18-1: </w:t>
      </w:r>
      <w:r w:rsidRPr="00FA0D37">
        <w:rPr>
          <w:color w:val="808080"/>
        </w:rPr>
        <w:t>Semi-static power sharing mode1 between MCG and SCG cells of same FR for NR dual connectivity</w:t>
      </w:r>
    </w:p>
    <w:p w14:paraId="3BDA27FC" w14:textId="77777777" w:rsidR="00394471" w:rsidRPr="00FA0D37" w:rsidRDefault="00394471" w:rsidP="00FA0D37">
      <w:pPr>
        <w:pStyle w:val="PL"/>
      </w:pPr>
      <w:r w:rsidRPr="00FA0D37">
        <w:t xml:space="preserve">    intraFR-NR-DC-PwrSharingMode1-r16        </w:t>
      </w:r>
      <w:r w:rsidRPr="00FA0D37">
        <w:rPr>
          <w:color w:val="993366"/>
        </w:rPr>
        <w:t>ENUMERATED</w:t>
      </w:r>
      <w:r w:rsidRPr="00FA0D37">
        <w:t xml:space="preserve"> {supported}         </w:t>
      </w:r>
      <w:r w:rsidRPr="00FA0D37">
        <w:rPr>
          <w:color w:val="993366"/>
        </w:rPr>
        <w:t>OPTIONAL</w:t>
      </w:r>
      <w:r w:rsidRPr="00FA0D37">
        <w:t>,</w:t>
      </w:r>
    </w:p>
    <w:p w14:paraId="3B3CCB75" w14:textId="77777777" w:rsidR="00394471" w:rsidRPr="00FA0D37" w:rsidRDefault="00394471" w:rsidP="00FA0D37">
      <w:pPr>
        <w:pStyle w:val="PL"/>
        <w:rPr>
          <w:color w:val="808080"/>
        </w:rPr>
      </w:pPr>
      <w:r w:rsidRPr="00FA0D37">
        <w:t xml:space="preserve">    </w:t>
      </w:r>
      <w:r w:rsidRPr="00FA0D37">
        <w:rPr>
          <w:color w:val="808080"/>
        </w:rPr>
        <w:t>-- R1 18-1a: Semi-static power sharing mode 2 between MCG and SCG cells of same FR for NR dual connectivity</w:t>
      </w:r>
    </w:p>
    <w:p w14:paraId="26562A56" w14:textId="77777777" w:rsidR="00394471" w:rsidRPr="00FA0D37" w:rsidRDefault="00394471" w:rsidP="00FA0D37">
      <w:pPr>
        <w:pStyle w:val="PL"/>
      </w:pPr>
      <w:r w:rsidRPr="00FA0D37">
        <w:t xml:space="preserve">    intraFR-NR-DC-PwrSharingMode2-r16        </w:t>
      </w:r>
      <w:r w:rsidRPr="00FA0D37">
        <w:rPr>
          <w:color w:val="993366"/>
        </w:rPr>
        <w:t>ENUMERATED</w:t>
      </w:r>
      <w:r w:rsidRPr="00FA0D37">
        <w:t xml:space="preserve"> {supported}         </w:t>
      </w:r>
      <w:r w:rsidRPr="00FA0D37">
        <w:rPr>
          <w:color w:val="993366"/>
        </w:rPr>
        <w:t>OPTIONAL</w:t>
      </w:r>
      <w:r w:rsidRPr="00FA0D37">
        <w:t>,</w:t>
      </w:r>
    </w:p>
    <w:p w14:paraId="52A2EF1F" w14:textId="77777777" w:rsidR="00394471" w:rsidRPr="00FA0D37" w:rsidRDefault="00394471" w:rsidP="00FA0D37">
      <w:pPr>
        <w:pStyle w:val="PL"/>
        <w:rPr>
          <w:color w:val="808080"/>
        </w:rPr>
      </w:pPr>
      <w:r w:rsidRPr="00FA0D37">
        <w:t xml:space="preserve">    </w:t>
      </w:r>
      <w:r w:rsidRPr="00FA0D37">
        <w:rPr>
          <w:color w:val="808080"/>
        </w:rPr>
        <w:t>-- R1 18-1b: Dynamic power sharing between MCG and SCG cells of same FR for NR dual connectivity</w:t>
      </w:r>
    </w:p>
    <w:p w14:paraId="4FBC55D9" w14:textId="77777777" w:rsidR="00394471" w:rsidRPr="00FA0D37" w:rsidRDefault="00394471" w:rsidP="00FA0D37">
      <w:pPr>
        <w:pStyle w:val="PL"/>
      </w:pPr>
      <w:r w:rsidRPr="00FA0D37">
        <w:t xml:space="preserve">    intraFR-NR-DC-DynamicPwrSharing-r16      </w:t>
      </w:r>
      <w:r w:rsidRPr="00FA0D37">
        <w:rPr>
          <w:color w:val="993366"/>
        </w:rPr>
        <w:t>ENUMERATED</w:t>
      </w:r>
      <w:r w:rsidRPr="00FA0D37">
        <w:t xml:space="preserve"> {short, long}       </w:t>
      </w:r>
      <w:r w:rsidRPr="00FA0D37">
        <w:rPr>
          <w:color w:val="993366"/>
        </w:rPr>
        <w:t>OPTIONAL</w:t>
      </w:r>
      <w:r w:rsidRPr="00FA0D37">
        <w:t>,</w:t>
      </w:r>
    </w:p>
    <w:p w14:paraId="07363AA8" w14:textId="77777777" w:rsidR="00394471" w:rsidRPr="00FA0D37" w:rsidRDefault="00394471" w:rsidP="00FA0D37">
      <w:pPr>
        <w:pStyle w:val="PL"/>
        <w:rPr>
          <w:rFonts w:eastAsiaTheme="minorEastAsia"/>
        </w:rPr>
      </w:pPr>
      <w:r w:rsidRPr="00FA0D37">
        <w:t xml:space="preserve">    </w:t>
      </w:r>
      <w:r w:rsidRPr="00FA0D37">
        <w:rPr>
          <w:rFonts w:eastAsiaTheme="minorEastAsia"/>
        </w:rPr>
        <w:t>asyncNRDC-r16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p>
    <w:p w14:paraId="7F27338C" w14:textId="77777777" w:rsidR="00D027C1" w:rsidRPr="00FA0D37" w:rsidRDefault="00394471" w:rsidP="00FA0D37">
      <w:pPr>
        <w:pStyle w:val="PL"/>
        <w:rPr>
          <w:rFonts w:eastAsiaTheme="minorEastAsia"/>
        </w:rPr>
      </w:pPr>
      <w:r w:rsidRPr="00FA0D37">
        <w:rPr>
          <w:rFonts w:eastAsiaTheme="minorEastAsia"/>
        </w:rPr>
        <w:t>}</w:t>
      </w:r>
    </w:p>
    <w:p w14:paraId="1DF17746" w14:textId="77777777" w:rsidR="00D027C1" w:rsidRPr="00FA0D37" w:rsidRDefault="00D027C1" w:rsidP="00FA0D37">
      <w:pPr>
        <w:pStyle w:val="PL"/>
        <w:rPr>
          <w:rFonts w:eastAsiaTheme="minorEastAsia"/>
        </w:rPr>
      </w:pPr>
    </w:p>
    <w:p w14:paraId="5379842E" w14:textId="448256FE" w:rsidR="00D027C1" w:rsidRPr="00FA0D37" w:rsidRDefault="00D027C1" w:rsidP="00FA0D37">
      <w:pPr>
        <w:pStyle w:val="PL"/>
        <w:rPr>
          <w:rFonts w:eastAsiaTheme="minorEastAsia"/>
        </w:rPr>
      </w:pPr>
      <w:r w:rsidRPr="00FA0D37">
        <w:rPr>
          <w:rFonts w:eastAsiaTheme="minorEastAsia"/>
        </w:rPr>
        <w:t>CA-ParametersNRDC</w:t>
      </w:r>
      <w:r w:rsidR="003B657B" w:rsidRPr="00FA0D37">
        <w:rPr>
          <w:rFonts w:eastAsiaTheme="minorEastAsia"/>
        </w:rPr>
        <w:t>-v1630</w:t>
      </w:r>
      <w:r w:rsidRPr="00FA0D37">
        <w:rPr>
          <w:rFonts w:eastAsiaTheme="minorEastAsia"/>
        </w:rPr>
        <w:t xml:space="preserve"> ::=                         </w:t>
      </w:r>
      <w:r w:rsidRPr="00FA0D37">
        <w:rPr>
          <w:rFonts w:eastAsiaTheme="minorEastAsia"/>
          <w:color w:val="993366"/>
        </w:rPr>
        <w:t>SEQUENCE</w:t>
      </w:r>
      <w:r w:rsidRPr="00FA0D37">
        <w:rPr>
          <w:rFonts w:eastAsiaTheme="minorEastAsia"/>
        </w:rPr>
        <w:t xml:space="preserve"> {</w:t>
      </w:r>
    </w:p>
    <w:p w14:paraId="77D0CB0C" w14:textId="77777777" w:rsidR="00D027C1" w:rsidRPr="00FA0D37" w:rsidRDefault="00D027C1" w:rsidP="00FA0D37">
      <w:pPr>
        <w:pStyle w:val="PL"/>
        <w:rPr>
          <w:rFonts w:eastAsiaTheme="minorEastAsia"/>
        </w:rPr>
      </w:pPr>
      <w:r w:rsidRPr="00FA0D37">
        <w:t xml:space="preserve">    </w:t>
      </w:r>
      <w:r w:rsidRPr="00FA0D37">
        <w:rPr>
          <w:rFonts w:eastAsiaTheme="minorEastAsia"/>
        </w:rPr>
        <w:t xml:space="preserve"> ca-ParametersNR-ForDC-v1610</w:t>
      </w:r>
      <w:r w:rsidRPr="00FA0D37">
        <w:t xml:space="preserve">                 </w:t>
      </w:r>
      <w:r w:rsidRPr="00FA0D37">
        <w:rPr>
          <w:rFonts w:eastAsiaTheme="minorEastAsia"/>
        </w:rPr>
        <w:t>CA-ParametersNR-v1610</w:t>
      </w:r>
      <w:r w:rsidRPr="00FA0D37">
        <w:t xml:space="preserve">                        </w:t>
      </w:r>
      <w:r w:rsidRPr="00FA0D37">
        <w:rPr>
          <w:rFonts w:eastAsiaTheme="minorEastAsia"/>
          <w:color w:val="993366"/>
        </w:rPr>
        <w:t>OPTIONAL</w:t>
      </w:r>
      <w:r w:rsidRPr="00FA0D37">
        <w:rPr>
          <w:rFonts w:eastAsiaTheme="minorEastAsia"/>
        </w:rPr>
        <w:t>,</w:t>
      </w:r>
    </w:p>
    <w:p w14:paraId="200A929B" w14:textId="3659B227" w:rsidR="00D027C1" w:rsidRPr="00FA0D37" w:rsidRDefault="00D027C1" w:rsidP="00FA0D37">
      <w:pPr>
        <w:pStyle w:val="PL"/>
        <w:rPr>
          <w:rFonts w:eastAsiaTheme="minorEastAsia"/>
        </w:rPr>
      </w:pPr>
      <w:r w:rsidRPr="00FA0D37">
        <w:t xml:space="preserve">    </w:t>
      </w:r>
      <w:r w:rsidRPr="00FA0D37">
        <w:rPr>
          <w:rFonts w:eastAsiaTheme="minorEastAsia"/>
        </w:rPr>
        <w:t xml:space="preserve"> ca-ParametersNR-ForDC</w:t>
      </w:r>
      <w:r w:rsidR="003B657B" w:rsidRPr="00FA0D37">
        <w:rPr>
          <w:rFonts w:eastAsiaTheme="minorEastAsia"/>
        </w:rPr>
        <w:t>-v1630</w:t>
      </w:r>
      <w:r w:rsidRPr="00FA0D37">
        <w:t xml:space="preserve">                 </w:t>
      </w:r>
      <w:r w:rsidRPr="00FA0D37">
        <w:rPr>
          <w:rFonts w:eastAsiaTheme="minorEastAsia"/>
        </w:rPr>
        <w:t>CA-ParametersNR</w:t>
      </w:r>
      <w:r w:rsidR="003B657B" w:rsidRPr="00FA0D37">
        <w:rPr>
          <w:rFonts w:eastAsiaTheme="minorEastAsia"/>
        </w:rPr>
        <w:t>-v1630</w:t>
      </w:r>
      <w:r w:rsidRPr="00FA0D37">
        <w:t xml:space="preserve">                        </w:t>
      </w:r>
      <w:r w:rsidRPr="00FA0D37">
        <w:rPr>
          <w:rFonts w:eastAsiaTheme="minorEastAsia"/>
          <w:color w:val="993366"/>
        </w:rPr>
        <w:t>OPTIONAL</w:t>
      </w:r>
    </w:p>
    <w:p w14:paraId="4674E3D2" w14:textId="50A718E7" w:rsidR="00394471" w:rsidRPr="00FA0D37" w:rsidRDefault="00D027C1" w:rsidP="00FA0D37">
      <w:pPr>
        <w:pStyle w:val="PL"/>
        <w:rPr>
          <w:rFonts w:eastAsiaTheme="minorEastAsia"/>
        </w:rPr>
      </w:pPr>
      <w:r w:rsidRPr="00FA0D37">
        <w:rPr>
          <w:rFonts w:eastAsiaTheme="minorEastAsia"/>
        </w:rPr>
        <w:t>}</w:t>
      </w:r>
    </w:p>
    <w:p w14:paraId="4311DB35" w14:textId="77777777" w:rsidR="00D12CC0" w:rsidRPr="00FA0D37" w:rsidRDefault="00D12CC0" w:rsidP="00FA0D37">
      <w:pPr>
        <w:pStyle w:val="PL"/>
        <w:rPr>
          <w:rFonts w:eastAsiaTheme="minorEastAsia"/>
        </w:rPr>
      </w:pPr>
    </w:p>
    <w:p w14:paraId="41B99BD1" w14:textId="62B89083" w:rsidR="00D12CC0" w:rsidRPr="00FA0D37" w:rsidRDefault="00D12CC0" w:rsidP="00FA0D37">
      <w:pPr>
        <w:pStyle w:val="PL"/>
        <w:rPr>
          <w:rFonts w:eastAsiaTheme="minorEastAsia"/>
        </w:rPr>
      </w:pPr>
      <w:r w:rsidRPr="00FA0D37">
        <w:rPr>
          <w:rFonts w:eastAsiaTheme="minorEastAsia"/>
        </w:rPr>
        <w:t>CA-ParametersNRDC-v</w:t>
      </w:r>
      <w:r w:rsidR="000C2783" w:rsidRPr="00FA0D37">
        <w:rPr>
          <w:rFonts w:eastAsiaTheme="minorEastAsia"/>
        </w:rPr>
        <w:t>1640</w:t>
      </w:r>
      <w:r w:rsidRPr="00FA0D37">
        <w:rPr>
          <w:rFonts w:eastAsiaTheme="minorEastAsia"/>
        </w:rPr>
        <w:t xml:space="preserve"> ::=</w:t>
      </w:r>
      <w:r w:rsidRPr="00FA0D37">
        <w:t xml:space="preserve">                 </w:t>
      </w:r>
      <w:r w:rsidRPr="00FA0D37">
        <w:rPr>
          <w:rFonts w:eastAsiaTheme="minorEastAsia"/>
        </w:rPr>
        <w:t xml:space="preserve"> </w:t>
      </w:r>
      <w:r w:rsidRPr="00FA0D37">
        <w:rPr>
          <w:rFonts w:eastAsiaTheme="minorEastAsia"/>
          <w:color w:val="993366"/>
        </w:rPr>
        <w:t>SEQUENCE</w:t>
      </w:r>
      <w:r w:rsidRPr="00FA0D37">
        <w:rPr>
          <w:rFonts w:eastAsiaTheme="minorEastAsia"/>
        </w:rPr>
        <w:t xml:space="preserve"> {</w:t>
      </w:r>
    </w:p>
    <w:p w14:paraId="089B7E4A" w14:textId="32F92441" w:rsidR="00D12CC0" w:rsidRPr="00FA0D37" w:rsidRDefault="00D12CC0" w:rsidP="00FA0D37">
      <w:pPr>
        <w:pStyle w:val="PL"/>
        <w:rPr>
          <w:rFonts w:eastAsiaTheme="minorEastAsia"/>
        </w:rPr>
      </w:pPr>
      <w:r w:rsidRPr="00FA0D37">
        <w:t xml:space="preserve">    </w:t>
      </w:r>
      <w:r w:rsidRPr="00FA0D37">
        <w:rPr>
          <w:rFonts w:eastAsiaTheme="minorEastAsia"/>
        </w:rPr>
        <w:t>ca-ParametersNR-ForDC-v</w:t>
      </w:r>
      <w:r w:rsidR="000C2783" w:rsidRPr="00FA0D37">
        <w:rPr>
          <w:rFonts w:eastAsiaTheme="minorEastAsia"/>
        </w:rPr>
        <w:t>1640</w:t>
      </w:r>
      <w:r w:rsidRPr="00FA0D37">
        <w:t xml:space="preserve">                  </w:t>
      </w:r>
      <w:r w:rsidRPr="00FA0D37">
        <w:rPr>
          <w:rFonts w:eastAsiaTheme="minorEastAsia"/>
        </w:rPr>
        <w:t>CA-ParametersNR-v</w:t>
      </w:r>
      <w:r w:rsidR="000C2783" w:rsidRPr="00FA0D37">
        <w:rPr>
          <w:rFonts w:eastAsiaTheme="minorEastAsia"/>
        </w:rPr>
        <w:t>1640</w:t>
      </w:r>
      <w:r w:rsidRPr="00FA0D37">
        <w:t xml:space="preserve">                        </w:t>
      </w:r>
      <w:r w:rsidRPr="00FA0D37">
        <w:rPr>
          <w:rFonts w:eastAsiaTheme="minorEastAsia"/>
          <w:color w:val="993366"/>
        </w:rPr>
        <w:t>OPTIONAL</w:t>
      </w:r>
    </w:p>
    <w:p w14:paraId="0D54D040" w14:textId="0CB415A1" w:rsidR="00394471" w:rsidRPr="00FA0D37" w:rsidRDefault="00D12CC0" w:rsidP="00FA0D37">
      <w:pPr>
        <w:pStyle w:val="PL"/>
        <w:rPr>
          <w:rFonts w:eastAsiaTheme="minorEastAsia"/>
        </w:rPr>
      </w:pPr>
      <w:r w:rsidRPr="00FA0D37">
        <w:rPr>
          <w:rFonts w:eastAsiaTheme="minorEastAsia"/>
        </w:rPr>
        <w:t>}</w:t>
      </w:r>
    </w:p>
    <w:p w14:paraId="53859895" w14:textId="77777777" w:rsidR="007830B1" w:rsidRPr="00FA0D37" w:rsidRDefault="007830B1" w:rsidP="00FA0D37">
      <w:pPr>
        <w:pStyle w:val="PL"/>
        <w:rPr>
          <w:rFonts w:eastAsiaTheme="minorEastAsia"/>
        </w:rPr>
      </w:pPr>
    </w:p>
    <w:p w14:paraId="473B7807" w14:textId="5769F73C" w:rsidR="007830B1" w:rsidRPr="00FA0D37" w:rsidRDefault="007830B1" w:rsidP="00FA0D37">
      <w:pPr>
        <w:pStyle w:val="PL"/>
        <w:rPr>
          <w:rFonts w:eastAsiaTheme="minorEastAsia"/>
        </w:rPr>
      </w:pPr>
      <w:r w:rsidRPr="00FA0D37">
        <w:rPr>
          <w:rFonts w:eastAsiaTheme="minorEastAsia"/>
        </w:rPr>
        <w:t>CA-ParametersNRDC-v16</w:t>
      </w:r>
      <w:r w:rsidR="001F631E" w:rsidRPr="00FA0D37">
        <w:rPr>
          <w:rFonts w:eastAsiaTheme="minorEastAsia"/>
        </w:rPr>
        <w:t>50</w:t>
      </w:r>
      <w:r w:rsidRPr="00FA0D37">
        <w:rPr>
          <w:rFonts w:eastAsiaTheme="minorEastAsia"/>
        </w:rPr>
        <w:t xml:space="preserve"> ::=</w:t>
      </w:r>
      <w:r w:rsidRPr="00FA0D37">
        <w:t xml:space="preserve">                  </w:t>
      </w:r>
      <w:r w:rsidRPr="00FA0D37">
        <w:rPr>
          <w:rFonts w:eastAsiaTheme="minorEastAsia"/>
          <w:color w:val="993366"/>
        </w:rPr>
        <w:t>SEQUENCE</w:t>
      </w:r>
      <w:r w:rsidRPr="00FA0D37">
        <w:rPr>
          <w:rFonts w:eastAsiaTheme="minorEastAsia"/>
        </w:rPr>
        <w:t xml:space="preserve"> {</w:t>
      </w:r>
    </w:p>
    <w:p w14:paraId="4F786D99" w14:textId="72D8FF85" w:rsidR="007830B1" w:rsidRPr="00FA0D37" w:rsidRDefault="007830B1" w:rsidP="00FA0D37">
      <w:pPr>
        <w:pStyle w:val="PL"/>
        <w:rPr>
          <w:rFonts w:eastAsiaTheme="minorEastAsia"/>
        </w:rPr>
      </w:pPr>
      <w:r w:rsidRPr="00FA0D37">
        <w:t xml:space="preserve">    </w:t>
      </w:r>
      <w:r w:rsidRPr="00FA0D37">
        <w:rPr>
          <w:rFonts w:eastAsiaTheme="minorEastAsia"/>
        </w:rPr>
        <w:t>supportedCellGrouping-r16</w:t>
      </w:r>
      <w:r w:rsidRPr="00FA0D37">
        <w:t xml:space="preserve">                    </w:t>
      </w:r>
      <w:r w:rsidRPr="00FA0D37">
        <w:rPr>
          <w:rFonts w:eastAsiaTheme="minorEastAsia"/>
          <w:color w:val="993366"/>
        </w:rPr>
        <w:t>BIT</w:t>
      </w:r>
      <w:r w:rsidRPr="00FA0D37">
        <w:rPr>
          <w:rFonts w:eastAsiaTheme="minorEastAsia"/>
        </w:rPr>
        <w:t xml:space="preserve"> </w:t>
      </w:r>
      <w:r w:rsidRPr="00FA0D37">
        <w:rPr>
          <w:rFonts w:eastAsiaTheme="minorEastAsia"/>
          <w:color w:val="993366"/>
        </w:rPr>
        <w:t>STRING</w:t>
      </w:r>
      <w:r w:rsidRPr="00FA0D37">
        <w:rPr>
          <w:rFonts w:eastAsiaTheme="minorEastAsia"/>
        </w:rPr>
        <w:t xml:space="preserve"> (</w:t>
      </w:r>
      <w:r w:rsidRPr="00FA0D37">
        <w:rPr>
          <w:rFonts w:eastAsiaTheme="minorEastAsia"/>
          <w:color w:val="993366"/>
        </w:rPr>
        <w:t>SIZE</w:t>
      </w:r>
      <w:r w:rsidRPr="00FA0D37">
        <w:rPr>
          <w:rFonts w:eastAsiaTheme="minorEastAsia"/>
        </w:rPr>
        <w:t xml:space="preserve"> (1..maxCellGroupings-r16))</w:t>
      </w:r>
      <w:r w:rsidRPr="00FA0D37">
        <w:t xml:space="preserve">  </w:t>
      </w:r>
      <w:r w:rsidRPr="00FA0D37">
        <w:rPr>
          <w:rFonts w:eastAsiaTheme="minorEastAsia"/>
          <w:color w:val="993366"/>
        </w:rPr>
        <w:t>OPTIONAL</w:t>
      </w:r>
    </w:p>
    <w:p w14:paraId="5A11643E" w14:textId="77777777" w:rsidR="007830B1" w:rsidRPr="00FA0D37" w:rsidRDefault="007830B1" w:rsidP="00FA0D37">
      <w:pPr>
        <w:pStyle w:val="PL"/>
      </w:pPr>
      <w:r w:rsidRPr="00FA0D37">
        <w:t>}</w:t>
      </w:r>
    </w:p>
    <w:p w14:paraId="38C0CD88" w14:textId="03F0E3F2" w:rsidR="00651560" w:rsidRPr="00FA0D37" w:rsidRDefault="00651560" w:rsidP="00FA0D37">
      <w:pPr>
        <w:pStyle w:val="PL"/>
        <w:rPr>
          <w:rFonts w:eastAsiaTheme="minorEastAsia"/>
        </w:rPr>
      </w:pPr>
    </w:p>
    <w:p w14:paraId="569A9DF2" w14:textId="5D49A8D7" w:rsidR="00B04F4B" w:rsidRPr="00FA0D37" w:rsidRDefault="00B04F4B" w:rsidP="00FA0D37">
      <w:pPr>
        <w:pStyle w:val="PL"/>
        <w:rPr>
          <w:rFonts w:eastAsiaTheme="minorEastAsia"/>
        </w:rPr>
      </w:pPr>
      <w:r w:rsidRPr="00FA0D37">
        <w:rPr>
          <w:rFonts w:eastAsiaTheme="minorEastAsia"/>
        </w:rPr>
        <w:t>CA-ParametersNRDC-v16a0 ::=</w:t>
      </w:r>
      <w:r w:rsidRPr="00FA0D37">
        <w:t xml:space="preserve">                  </w:t>
      </w:r>
      <w:r w:rsidRPr="00FA0D37">
        <w:rPr>
          <w:color w:val="993366"/>
        </w:rPr>
        <w:t>S</w:t>
      </w:r>
      <w:r w:rsidRPr="00FA0D37">
        <w:rPr>
          <w:rFonts w:eastAsiaTheme="minorEastAsia"/>
          <w:color w:val="993366"/>
        </w:rPr>
        <w:t>EQUENCE</w:t>
      </w:r>
      <w:r w:rsidRPr="00FA0D37">
        <w:rPr>
          <w:rFonts w:eastAsiaTheme="minorEastAsia"/>
        </w:rPr>
        <w:t xml:space="preserve"> {</w:t>
      </w:r>
    </w:p>
    <w:p w14:paraId="04AA42A1" w14:textId="67931D4B" w:rsidR="00B04F4B" w:rsidRPr="00FA0D37" w:rsidRDefault="00B04F4B" w:rsidP="00FA0D37">
      <w:pPr>
        <w:pStyle w:val="PL"/>
        <w:rPr>
          <w:rFonts w:eastAsiaTheme="minorEastAsia"/>
        </w:rPr>
      </w:pPr>
      <w:r w:rsidRPr="00FA0D37">
        <w:t xml:space="preserve">    </w:t>
      </w:r>
      <w:r w:rsidRPr="00FA0D37">
        <w:rPr>
          <w:rFonts w:eastAsiaTheme="minorEastAsia"/>
        </w:rPr>
        <w:t>ca-ParametersNR-ForDC-v16a0</w:t>
      </w:r>
      <w:r w:rsidRPr="00FA0D37">
        <w:t xml:space="preserve">                  </w:t>
      </w:r>
      <w:r w:rsidRPr="00FA0D37">
        <w:rPr>
          <w:rFonts w:eastAsiaTheme="minorEastAsia"/>
        </w:rPr>
        <w:t>CA-ParametersNR-v16a0</w:t>
      </w:r>
      <w:r w:rsidRPr="00FA0D37">
        <w:t xml:space="preserve">                        </w:t>
      </w:r>
      <w:r w:rsidRPr="00FA0D37">
        <w:rPr>
          <w:rFonts w:eastAsiaTheme="minorEastAsia"/>
          <w:color w:val="993366"/>
        </w:rPr>
        <w:t>OPTIONAL</w:t>
      </w:r>
    </w:p>
    <w:p w14:paraId="4B65670C" w14:textId="78BDDE4C" w:rsidR="00B04F4B" w:rsidRPr="00FA0D37" w:rsidRDefault="00B04F4B" w:rsidP="00FA0D37">
      <w:pPr>
        <w:pStyle w:val="PL"/>
        <w:rPr>
          <w:rFonts w:eastAsiaTheme="minorEastAsia"/>
        </w:rPr>
      </w:pPr>
      <w:r w:rsidRPr="00FA0D37">
        <w:rPr>
          <w:rFonts w:eastAsiaTheme="minorEastAsia"/>
        </w:rPr>
        <w:t>}</w:t>
      </w:r>
    </w:p>
    <w:p w14:paraId="27060325" w14:textId="77777777" w:rsidR="00B04F4B" w:rsidRPr="00FA0D37" w:rsidRDefault="00B04F4B" w:rsidP="00FA0D37">
      <w:pPr>
        <w:pStyle w:val="PL"/>
        <w:rPr>
          <w:rFonts w:eastAsiaTheme="minorEastAsia"/>
        </w:rPr>
      </w:pPr>
    </w:p>
    <w:p w14:paraId="5799B12C" w14:textId="5ED6F2ED" w:rsidR="00651560" w:rsidRPr="00FA0D37" w:rsidRDefault="00651560" w:rsidP="00FA0D37">
      <w:pPr>
        <w:pStyle w:val="PL"/>
        <w:rPr>
          <w:rFonts w:eastAsiaTheme="minorEastAsia"/>
        </w:rPr>
      </w:pPr>
      <w:r w:rsidRPr="00FA0D37">
        <w:rPr>
          <w:rFonts w:eastAsiaTheme="minorEastAsia"/>
        </w:rPr>
        <w:t>CA-ParametersNRDC-v1700 ::=</w:t>
      </w:r>
      <w:r w:rsidRPr="00FA0D37">
        <w:t xml:space="preserve">                </w:t>
      </w:r>
      <w:r w:rsidRPr="00FA0D37">
        <w:rPr>
          <w:rFonts w:eastAsiaTheme="minorEastAsia"/>
        </w:rPr>
        <w:t xml:space="preserve">   </w:t>
      </w:r>
      <w:r w:rsidRPr="00FA0D37">
        <w:rPr>
          <w:rFonts w:eastAsiaTheme="minorEastAsia"/>
          <w:color w:val="993366"/>
        </w:rPr>
        <w:t>SEQUENCE</w:t>
      </w:r>
      <w:r w:rsidRPr="00FA0D37">
        <w:rPr>
          <w:rFonts w:eastAsiaTheme="minorEastAsia"/>
        </w:rPr>
        <w:t xml:space="preserve"> {</w:t>
      </w:r>
    </w:p>
    <w:p w14:paraId="3E2ECBDD" w14:textId="0AE0C666" w:rsidR="00651560" w:rsidRPr="00FA0D37" w:rsidRDefault="00651560" w:rsidP="00FA0D37">
      <w:pPr>
        <w:pStyle w:val="PL"/>
        <w:rPr>
          <w:rFonts w:eastAsiaTheme="minorEastAsia"/>
          <w:color w:val="808080"/>
        </w:rPr>
      </w:pPr>
      <w:r w:rsidRPr="00FA0D37">
        <w:t xml:space="preserve">    </w:t>
      </w:r>
      <w:r w:rsidRPr="00FA0D37">
        <w:rPr>
          <w:rFonts w:eastAsiaTheme="minorEastAsia"/>
          <w:color w:val="808080"/>
        </w:rPr>
        <w:t>-- R1 31-9: Indicates the support of simultaneous transmission and reception of an IAB-node from multiple parent nodes</w:t>
      </w:r>
    </w:p>
    <w:p w14:paraId="244F9FD3" w14:textId="48DA79EB" w:rsidR="00651560" w:rsidRPr="00FA0D37" w:rsidRDefault="00651560" w:rsidP="00FA0D37">
      <w:pPr>
        <w:pStyle w:val="PL"/>
        <w:rPr>
          <w:rFonts w:eastAsiaTheme="minorEastAsia"/>
        </w:rPr>
      </w:pPr>
      <w:r w:rsidRPr="00FA0D37">
        <w:t xml:space="preserve">    </w:t>
      </w:r>
      <w:r w:rsidRPr="00FA0D37">
        <w:rPr>
          <w:rFonts w:eastAsiaTheme="minorEastAsia"/>
        </w:rPr>
        <w:t>simultaneousRxTx-IAB-MultipleParents-r17</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1DB32085" w14:textId="71FE8693" w:rsidR="00651560" w:rsidRPr="00FA0D37" w:rsidRDefault="00651560" w:rsidP="00FA0D37">
      <w:pPr>
        <w:pStyle w:val="PL"/>
        <w:rPr>
          <w:rFonts w:eastAsiaTheme="minorEastAsia"/>
        </w:rPr>
      </w:pPr>
      <w:r w:rsidRPr="00FA0D37">
        <w:t xml:space="preserve">    </w:t>
      </w:r>
      <w:r w:rsidRPr="00FA0D37">
        <w:rPr>
          <w:rFonts w:eastAsiaTheme="minorEastAsia"/>
        </w:rPr>
        <w:t>condPSCellAdditionNRDC-r17</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7BF35100" w14:textId="4C5B9C45" w:rsidR="00651560" w:rsidRPr="00FA0D37" w:rsidRDefault="00651560" w:rsidP="00FA0D37">
      <w:pPr>
        <w:pStyle w:val="PL"/>
        <w:rPr>
          <w:rFonts w:eastAsiaTheme="minorEastAsia"/>
        </w:rPr>
      </w:pPr>
      <w:r w:rsidRPr="00FA0D37">
        <w:t xml:space="preserve">    </w:t>
      </w:r>
      <w:r w:rsidRPr="00FA0D37">
        <w:rPr>
          <w:rFonts w:eastAsiaTheme="minorEastAsia"/>
        </w:rPr>
        <w:t>scg-ActivationDeactivationNRDC-r17</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3C87CD9E" w14:textId="77777777" w:rsidR="00B852EB" w:rsidRPr="00FA0D37" w:rsidRDefault="00651560" w:rsidP="00FA0D37">
      <w:pPr>
        <w:pStyle w:val="PL"/>
        <w:rPr>
          <w:rFonts w:eastAsiaTheme="minorEastAsia"/>
        </w:rPr>
      </w:pPr>
      <w:r w:rsidRPr="00FA0D37">
        <w:t xml:space="preserve">    </w:t>
      </w:r>
      <w:r w:rsidRPr="00FA0D37">
        <w:rPr>
          <w:rFonts w:eastAsiaTheme="minorEastAsia"/>
        </w:rPr>
        <w:t>scg-ActivationDeactivationResumeNRDC-r17</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00B852EB" w:rsidRPr="00FA0D37">
        <w:rPr>
          <w:rFonts w:eastAsiaTheme="minorEastAsia"/>
        </w:rPr>
        <w:t>,</w:t>
      </w:r>
    </w:p>
    <w:p w14:paraId="4077602A" w14:textId="5056FBA7" w:rsidR="00651560" w:rsidRPr="00FA0D37" w:rsidRDefault="00B852EB" w:rsidP="00FA0D37">
      <w:pPr>
        <w:pStyle w:val="PL"/>
        <w:rPr>
          <w:rFonts w:eastAsiaTheme="minorEastAsia"/>
        </w:rPr>
      </w:pPr>
      <w:r w:rsidRPr="00FA0D37">
        <w:t xml:space="preserve">    </w:t>
      </w:r>
      <w:r w:rsidRPr="00FA0D37">
        <w:rPr>
          <w:rFonts w:eastAsiaTheme="minorEastAsia"/>
        </w:rPr>
        <w:t>beamManagementType-CBM-r17</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p>
    <w:p w14:paraId="38A82795" w14:textId="77777777" w:rsidR="00FD0B5C" w:rsidRPr="00FA0D37" w:rsidRDefault="00651560" w:rsidP="00FA0D37">
      <w:pPr>
        <w:pStyle w:val="PL"/>
        <w:rPr>
          <w:rFonts w:eastAsiaTheme="minorEastAsia"/>
        </w:rPr>
      </w:pPr>
      <w:r w:rsidRPr="00FA0D37">
        <w:rPr>
          <w:rFonts w:eastAsiaTheme="minorEastAsia"/>
        </w:rPr>
        <w:t>}</w:t>
      </w:r>
    </w:p>
    <w:p w14:paraId="26035AC5" w14:textId="77777777" w:rsidR="00FD0B5C" w:rsidRPr="00FA0D37" w:rsidRDefault="00FD0B5C" w:rsidP="00FA0D37">
      <w:pPr>
        <w:pStyle w:val="PL"/>
        <w:rPr>
          <w:rFonts w:eastAsiaTheme="minorEastAsia"/>
        </w:rPr>
      </w:pPr>
    </w:p>
    <w:p w14:paraId="69BDF0A9" w14:textId="2DD88354" w:rsidR="00FD0B5C" w:rsidRPr="00FA0D37" w:rsidRDefault="00FD0B5C" w:rsidP="00FA0D37">
      <w:pPr>
        <w:pStyle w:val="PL"/>
        <w:rPr>
          <w:rFonts w:eastAsiaTheme="minorEastAsia"/>
        </w:rPr>
      </w:pPr>
      <w:r w:rsidRPr="00FA0D37">
        <w:rPr>
          <w:rFonts w:eastAsiaTheme="minorEastAsia"/>
        </w:rPr>
        <w:t>CA-ParametersNRDC-v1720</w:t>
      </w:r>
      <w:r w:rsidRPr="00FA0D37">
        <w:t xml:space="preserve"> </w:t>
      </w:r>
      <w:r w:rsidRPr="00FA0D37">
        <w:rPr>
          <w:rFonts w:eastAsiaTheme="minorEastAsia"/>
        </w:rPr>
        <w:t>::=</w:t>
      </w:r>
      <w:r w:rsidRPr="00FA0D37">
        <w:t xml:space="preserve">                  </w:t>
      </w:r>
      <w:r w:rsidRPr="00FA0D37">
        <w:rPr>
          <w:color w:val="993366"/>
        </w:rPr>
        <w:t>S</w:t>
      </w:r>
      <w:r w:rsidRPr="00FA0D37">
        <w:rPr>
          <w:rFonts w:eastAsiaTheme="minorEastAsia"/>
          <w:color w:val="993366"/>
        </w:rPr>
        <w:t>EQUENCE</w:t>
      </w:r>
      <w:r w:rsidRPr="00FA0D37">
        <w:rPr>
          <w:rFonts w:eastAsiaTheme="minorEastAsia"/>
        </w:rPr>
        <w:t xml:space="preserve"> {</w:t>
      </w:r>
    </w:p>
    <w:p w14:paraId="36C66CF8" w14:textId="6C66DE71" w:rsidR="00FD0B5C" w:rsidRPr="00FA0D37" w:rsidRDefault="00FD0B5C" w:rsidP="00FA0D37">
      <w:pPr>
        <w:pStyle w:val="PL"/>
        <w:rPr>
          <w:rFonts w:eastAsiaTheme="minorEastAsia"/>
        </w:rPr>
      </w:pPr>
      <w:r w:rsidRPr="00FA0D37">
        <w:t xml:space="preserve">    </w:t>
      </w:r>
      <w:r w:rsidRPr="00FA0D37">
        <w:rPr>
          <w:rFonts w:eastAsiaTheme="minorEastAsia"/>
        </w:rPr>
        <w:t>ca-ParametersNR-ForDC-v1700</w:t>
      </w:r>
      <w:r w:rsidRPr="00FA0D37">
        <w:t xml:space="preserve">                  </w:t>
      </w:r>
      <w:r w:rsidRPr="00FA0D37">
        <w:rPr>
          <w:rFonts w:eastAsiaTheme="minorEastAsia"/>
        </w:rPr>
        <w:t>CA-ParametersNR-v1700</w:t>
      </w:r>
      <w:r w:rsidRPr="00FA0D37">
        <w:t xml:space="preserve">                        </w:t>
      </w:r>
      <w:r w:rsidRPr="00FA0D37">
        <w:rPr>
          <w:rFonts w:eastAsiaTheme="minorEastAsia"/>
          <w:color w:val="993366"/>
        </w:rPr>
        <w:t>OPTIONAL</w:t>
      </w:r>
      <w:r w:rsidRPr="00FA0D37">
        <w:rPr>
          <w:rFonts w:eastAsiaTheme="minorEastAsia"/>
        </w:rPr>
        <w:t>,</w:t>
      </w:r>
    </w:p>
    <w:p w14:paraId="754F3D4F" w14:textId="745D61EF" w:rsidR="00FD0B5C" w:rsidRPr="00FA0D37" w:rsidRDefault="00FD0B5C" w:rsidP="00FA0D37">
      <w:pPr>
        <w:pStyle w:val="PL"/>
        <w:rPr>
          <w:rFonts w:eastAsiaTheme="minorEastAsia"/>
        </w:rPr>
      </w:pPr>
      <w:r w:rsidRPr="00FA0D37">
        <w:t xml:space="preserve">    </w:t>
      </w:r>
      <w:r w:rsidRPr="00FA0D37">
        <w:rPr>
          <w:rFonts w:eastAsiaTheme="minorEastAsia"/>
        </w:rPr>
        <w:t>ca-ParametersNR-ForDC-v1720</w:t>
      </w:r>
      <w:r w:rsidRPr="00FA0D37">
        <w:t xml:space="preserve">                  </w:t>
      </w:r>
      <w:r w:rsidRPr="00FA0D37">
        <w:rPr>
          <w:rFonts w:eastAsiaTheme="minorEastAsia"/>
        </w:rPr>
        <w:t>CA-ParametersNR-v1720</w:t>
      </w:r>
      <w:r w:rsidRPr="00FA0D37">
        <w:t xml:space="preserve">                        </w:t>
      </w:r>
      <w:r w:rsidRPr="00FA0D37">
        <w:rPr>
          <w:rFonts w:eastAsiaTheme="minorEastAsia"/>
          <w:color w:val="993366"/>
        </w:rPr>
        <w:t>OPTIONAL</w:t>
      </w:r>
    </w:p>
    <w:p w14:paraId="3EB10C24" w14:textId="7BEFEA05" w:rsidR="00651560" w:rsidRPr="00FA0D37" w:rsidRDefault="00FD0B5C" w:rsidP="00FA0D37">
      <w:pPr>
        <w:pStyle w:val="PL"/>
        <w:rPr>
          <w:rFonts w:eastAsiaTheme="minorEastAsia"/>
        </w:rPr>
      </w:pPr>
      <w:r w:rsidRPr="00FA0D37">
        <w:rPr>
          <w:rFonts w:eastAsiaTheme="minorEastAsia"/>
        </w:rPr>
        <w:t>}</w:t>
      </w:r>
    </w:p>
    <w:p w14:paraId="7D96484F" w14:textId="77777777" w:rsidR="00691952" w:rsidRPr="00FA0D37" w:rsidRDefault="00691952" w:rsidP="00FA0D37">
      <w:pPr>
        <w:pStyle w:val="PL"/>
        <w:rPr>
          <w:rFonts w:eastAsiaTheme="minorEastAsia"/>
        </w:rPr>
      </w:pPr>
    </w:p>
    <w:p w14:paraId="0961020D" w14:textId="6C9112D8" w:rsidR="00691952" w:rsidRPr="00FA0D37" w:rsidRDefault="00691952" w:rsidP="00FA0D37">
      <w:pPr>
        <w:pStyle w:val="PL"/>
        <w:rPr>
          <w:rFonts w:eastAsiaTheme="minorEastAsia"/>
        </w:rPr>
      </w:pPr>
      <w:r w:rsidRPr="00FA0D37">
        <w:rPr>
          <w:rFonts w:eastAsiaTheme="minorEastAsia"/>
        </w:rPr>
        <w:t>CA-ParametersNRDC-v1730 ::=</w:t>
      </w:r>
      <w:r w:rsidRPr="00FA0D37">
        <w:t xml:space="preserve">                  </w:t>
      </w:r>
      <w:r w:rsidRPr="00FA0D37">
        <w:rPr>
          <w:rFonts w:eastAsiaTheme="minorEastAsia"/>
          <w:color w:val="993366"/>
        </w:rPr>
        <w:t>SEQUENCE</w:t>
      </w:r>
      <w:r w:rsidRPr="00FA0D37">
        <w:rPr>
          <w:rFonts w:eastAsiaTheme="minorEastAsia"/>
        </w:rPr>
        <w:t xml:space="preserve"> {</w:t>
      </w:r>
    </w:p>
    <w:p w14:paraId="6998703B" w14:textId="32FFC075" w:rsidR="00691952" w:rsidRPr="00FA0D37" w:rsidRDefault="00691952" w:rsidP="00FA0D37">
      <w:pPr>
        <w:pStyle w:val="PL"/>
        <w:rPr>
          <w:rFonts w:eastAsiaTheme="minorEastAsia"/>
        </w:rPr>
      </w:pPr>
      <w:r w:rsidRPr="00FA0D37">
        <w:rPr>
          <w:rFonts w:eastAsiaTheme="minorEastAsia"/>
        </w:rPr>
        <w:t xml:space="preserve">    ca-ParametersNR-ForDC-v1730</w:t>
      </w:r>
      <w:r w:rsidRPr="00FA0D37">
        <w:t xml:space="preserve">                   </w:t>
      </w:r>
      <w:r w:rsidRPr="00FA0D37">
        <w:rPr>
          <w:rFonts w:eastAsiaTheme="minorEastAsia"/>
        </w:rPr>
        <w:t>CA-ParametersNR-v1730</w:t>
      </w:r>
      <w:r w:rsidRPr="00FA0D37">
        <w:t xml:space="preserve">                        </w:t>
      </w:r>
      <w:r w:rsidRPr="00FA0D37">
        <w:rPr>
          <w:rFonts w:eastAsiaTheme="minorEastAsia"/>
          <w:color w:val="993366"/>
        </w:rPr>
        <w:t>OPTIONAL</w:t>
      </w:r>
    </w:p>
    <w:p w14:paraId="73AE7AF5" w14:textId="470BD104" w:rsidR="00D12CC0" w:rsidRPr="00FA0D37" w:rsidRDefault="00691952" w:rsidP="00FA0D37">
      <w:pPr>
        <w:pStyle w:val="PL"/>
        <w:rPr>
          <w:rFonts w:eastAsiaTheme="minorEastAsia"/>
        </w:rPr>
      </w:pPr>
      <w:r w:rsidRPr="00FA0D37">
        <w:rPr>
          <w:rFonts w:eastAsiaTheme="minorEastAsia"/>
        </w:rPr>
        <w:t>}</w:t>
      </w:r>
    </w:p>
    <w:p w14:paraId="60D9E682" w14:textId="77777777" w:rsidR="009536C4" w:rsidRPr="00FA0D37" w:rsidRDefault="009536C4" w:rsidP="00FA0D37">
      <w:pPr>
        <w:pStyle w:val="PL"/>
        <w:rPr>
          <w:rFonts w:eastAsiaTheme="minorEastAsia"/>
        </w:rPr>
      </w:pPr>
    </w:p>
    <w:p w14:paraId="226CF8CC" w14:textId="20BADB50" w:rsidR="009536C4" w:rsidRPr="00FA0D37" w:rsidRDefault="009536C4" w:rsidP="00FA0D37">
      <w:pPr>
        <w:pStyle w:val="PL"/>
        <w:rPr>
          <w:rFonts w:eastAsiaTheme="minorEastAsia"/>
        </w:rPr>
      </w:pPr>
      <w:r w:rsidRPr="00FA0D37">
        <w:rPr>
          <w:rFonts w:eastAsiaTheme="minorEastAsia"/>
        </w:rPr>
        <w:t>CA-ParametersNRDC-v1760 ::=</w:t>
      </w:r>
      <w:r w:rsidRPr="00FA0D37">
        <w:t xml:space="preserve">                  </w:t>
      </w:r>
      <w:r w:rsidRPr="00FA0D37">
        <w:rPr>
          <w:color w:val="993366"/>
        </w:rPr>
        <w:t>S</w:t>
      </w:r>
      <w:r w:rsidRPr="00FA0D37">
        <w:rPr>
          <w:rFonts w:eastAsiaTheme="minorEastAsia"/>
          <w:color w:val="993366"/>
        </w:rPr>
        <w:t>EQUENCE</w:t>
      </w:r>
      <w:r w:rsidRPr="00FA0D37">
        <w:rPr>
          <w:rFonts w:eastAsiaTheme="minorEastAsia"/>
        </w:rPr>
        <w:t xml:space="preserve"> {</w:t>
      </w:r>
    </w:p>
    <w:p w14:paraId="49916F58" w14:textId="6D0D83FC" w:rsidR="009536C4" w:rsidRPr="00FA0D37" w:rsidRDefault="009536C4" w:rsidP="00FA0D37">
      <w:pPr>
        <w:pStyle w:val="PL"/>
        <w:rPr>
          <w:rFonts w:eastAsiaTheme="minorEastAsia"/>
        </w:rPr>
      </w:pPr>
      <w:r w:rsidRPr="00FA0D37">
        <w:t xml:space="preserve">    </w:t>
      </w:r>
      <w:r w:rsidRPr="00FA0D37">
        <w:rPr>
          <w:rFonts w:eastAsiaTheme="minorEastAsia"/>
        </w:rPr>
        <w:t>ca-ParametersNR-ForDC-v1760</w:t>
      </w:r>
      <w:r w:rsidRPr="00FA0D37">
        <w:t xml:space="preserve">                  </w:t>
      </w:r>
      <w:r w:rsidRPr="00FA0D37">
        <w:rPr>
          <w:rFonts w:eastAsiaTheme="minorEastAsia"/>
        </w:rPr>
        <w:t>CA-ParametersNR-v1760</w:t>
      </w:r>
    </w:p>
    <w:p w14:paraId="6B695683" w14:textId="77777777" w:rsidR="009536C4" w:rsidRPr="00FA0D37" w:rsidRDefault="009536C4" w:rsidP="00FA0D37">
      <w:pPr>
        <w:pStyle w:val="PL"/>
        <w:rPr>
          <w:rFonts w:eastAsiaTheme="minorEastAsia"/>
        </w:rPr>
      </w:pPr>
      <w:r w:rsidRPr="00FA0D37">
        <w:rPr>
          <w:rFonts w:eastAsiaTheme="minorEastAsia"/>
        </w:rPr>
        <w:t>}</w:t>
      </w:r>
    </w:p>
    <w:p w14:paraId="2B5E69A9" w14:textId="77777777" w:rsidR="00691952" w:rsidRPr="00FA0D37" w:rsidRDefault="00691952" w:rsidP="00FA0D37">
      <w:pPr>
        <w:pStyle w:val="PL"/>
        <w:rPr>
          <w:rFonts w:eastAsiaTheme="minorEastAsia"/>
        </w:rPr>
      </w:pPr>
    </w:p>
    <w:p w14:paraId="09C5DC61" w14:textId="77777777" w:rsidR="00394471" w:rsidRPr="00FA0D37" w:rsidRDefault="00394471" w:rsidP="00FA0D37">
      <w:pPr>
        <w:pStyle w:val="PL"/>
        <w:rPr>
          <w:color w:val="808080"/>
        </w:rPr>
      </w:pPr>
      <w:r w:rsidRPr="00FA0D37">
        <w:rPr>
          <w:color w:val="808080"/>
        </w:rPr>
        <w:t>-- TAG-CA-PARAMETERS-NRDC-STOP</w:t>
      </w:r>
    </w:p>
    <w:p w14:paraId="06A42067" w14:textId="77777777" w:rsidR="00394471" w:rsidRPr="00FA0D37" w:rsidRDefault="00394471" w:rsidP="00FA0D37">
      <w:pPr>
        <w:pStyle w:val="PL"/>
        <w:rPr>
          <w:color w:val="808080"/>
        </w:rPr>
      </w:pPr>
      <w:r w:rsidRPr="00FA0D37">
        <w:rPr>
          <w:color w:val="808080"/>
        </w:rPr>
        <w:t>-- ASN1STOP</w:t>
      </w:r>
    </w:p>
    <w:p w14:paraId="617BB481" w14:textId="77777777" w:rsidR="00394471" w:rsidRPr="00FA0D37"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5C7FF4" w:rsidRPr="00FA0D37" w14:paraId="6BEF38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C8B5B1" w14:textId="77777777" w:rsidR="00394471" w:rsidRPr="00FA0D37" w:rsidRDefault="00394471" w:rsidP="00964CC4">
            <w:pPr>
              <w:pStyle w:val="TAH"/>
              <w:rPr>
                <w:rFonts w:eastAsiaTheme="minorEastAsia"/>
                <w:lang w:eastAsia="sv-SE"/>
              </w:rPr>
            </w:pPr>
            <w:r w:rsidRPr="00FA0D37">
              <w:rPr>
                <w:rFonts w:eastAsiaTheme="minorEastAsia"/>
                <w:i/>
                <w:lang w:eastAsia="sv-SE"/>
              </w:rPr>
              <w:t xml:space="preserve">CA-ParametersNRDC </w:t>
            </w:r>
            <w:r w:rsidRPr="00FA0D37">
              <w:rPr>
                <w:rFonts w:eastAsiaTheme="minorEastAsia"/>
                <w:lang w:eastAsia="sv-SE"/>
              </w:rPr>
              <w:t>field descriptions</w:t>
            </w:r>
          </w:p>
        </w:tc>
      </w:tr>
      <w:tr w:rsidR="005C7FF4" w:rsidRPr="00FA0D37" w14:paraId="500360F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5DCB24" w14:textId="77777777" w:rsidR="00394471" w:rsidRPr="00FA0D37" w:rsidRDefault="00394471" w:rsidP="00964CC4">
            <w:pPr>
              <w:pStyle w:val="TAL"/>
              <w:rPr>
                <w:rFonts w:eastAsiaTheme="minorEastAsia"/>
                <w:b/>
                <w:i/>
                <w:lang w:eastAsia="sv-SE"/>
              </w:rPr>
            </w:pPr>
            <w:r w:rsidRPr="00FA0D37">
              <w:rPr>
                <w:rFonts w:eastAsiaTheme="minorEastAsia"/>
                <w:b/>
                <w:i/>
                <w:lang w:eastAsia="sv-SE"/>
              </w:rPr>
              <w:t>ca-ParametersNR-forDC (with and without suffix)</w:t>
            </w:r>
          </w:p>
          <w:p w14:paraId="504707CF" w14:textId="22092E8B" w:rsidR="00394471" w:rsidRPr="00FA0D37" w:rsidRDefault="00394471" w:rsidP="00964CC4">
            <w:pPr>
              <w:pStyle w:val="TAL"/>
              <w:rPr>
                <w:rFonts w:eastAsiaTheme="minorEastAsia"/>
                <w:lang w:eastAsia="sv-SE"/>
              </w:rPr>
            </w:pPr>
            <w:r w:rsidRPr="00FA0D37">
              <w:rPr>
                <w:rFonts w:eastAsiaTheme="minorEastAsia"/>
                <w:lang w:eastAsia="sv-SE"/>
              </w:rPr>
              <w:t xml:space="preserve">If this field is present for a band combination, it reports the UE capabilities when NR-DC is configured with the band combination. If </w:t>
            </w:r>
            <w:r w:rsidR="003C321E" w:rsidRPr="00FA0D37">
              <w:rPr>
                <w:rFonts w:eastAsiaTheme="minorEastAsia"/>
                <w:lang w:eastAsia="sv-SE"/>
              </w:rPr>
              <w:t>a</w:t>
            </w:r>
            <w:r w:rsidRPr="00FA0D37">
              <w:rPr>
                <w:rFonts w:eastAsiaTheme="minorEastAsia"/>
                <w:lang w:eastAsia="sv-SE"/>
              </w:rPr>
              <w:t xml:space="preserve"> version of this field (i.e., with </w:t>
            </w:r>
            <w:r w:rsidR="003C321E" w:rsidRPr="00FA0D37">
              <w:rPr>
                <w:rFonts w:eastAsiaTheme="minorEastAsia"/>
                <w:lang w:eastAsia="sv-SE"/>
              </w:rPr>
              <w:t xml:space="preserve">or </w:t>
            </w:r>
            <w:r w:rsidRPr="00FA0D37">
              <w:rPr>
                <w:rFonts w:eastAsiaTheme="minorEastAsia"/>
                <w:lang w:eastAsia="sv-SE"/>
              </w:rPr>
              <w:t xml:space="preserve">without suffix) is </w:t>
            </w:r>
            <w:r w:rsidR="003C321E" w:rsidRPr="00FA0D37">
              <w:rPr>
                <w:rFonts w:eastAsiaTheme="minorEastAsia"/>
                <w:lang w:eastAsia="sv-SE"/>
              </w:rPr>
              <w:t xml:space="preserve">absent </w:t>
            </w:r>
            <w:r w:rsidRPr="00FA0D37">
              <w:rPr>
                <w:rFonts w:eastAsiaTheme="minorEastAsia"/>
                <w:lang w:eastAsia="sv-SE"/>
              </w:rPr>
              <w:t xml:space="preserve">for a band combination, the </w:t>
            </w:r>
            <w:r w:rsidR="003C321E" w:rsidRPr="00FA0D37">
              <w:rPr>
                <w:rFonts w:eastAsiaTheme="minorEastAsia"/>
                <w:lang w:eastAsia="sv-SE"/>
              </w:rPr>
              <w:t xml:space="preserve">corresponding </w:t>
            </w:r>
            <w:r w:rsidRPr="00FA0D37">
              <w:rPr>
                <w:rFonts w:eastAsiaTheme="minorEastAsia"/>
                <w:i/>
                <w:lang w:eastAsia="sv-SE"/>
              </w:rPr>
              <w:t>ca-ParametersNR</w:t>
            </w:r>
            <w:r w:rsidRPr="00FA0D37">
              <w:rPr>
                <w:rFonts w:eastAsiaTheme="minorEastAsia"/>
                <w:lang w:eastAsia="sv-SE"/>
              </w:rPr>
              <w:t xml:space="preserve"> field version in </w:t>
            </w:r>
            <w:r w:rsidRPr="00FA0D37">
              <w:rPr>
                <w:rFonts w:eastAsiaTheme="minorEastAsia"/>
                <w:i/>
                <w:lang w:eastAsia="sv-SE"/>
              </w:rPr>
              <w:t>BandCombination</w:t>
            </w:r>
            <w:r w:rsidRPr="00FA0D37">
              <w:rPr>
                <w:rFonts w:eastAsiaTheme="minorEastAsia"/>
                <w:lang w:eastAsia="sv-SE"/>
              </w:rPr>
              <w:t xml:space="preserve"> </w:t>
            </w:r>
            <w:r w:rsidR="003C321E" w:rsidRPr="00FA0D37">
              <w:rPr>
                <w:rFonts w:eastAsiaTheme="minorEastAsia"/>
                <w:lang w:eastAsia="sv-SE"/>
              </w:rPr>
              <w:t xml:space="preserve">is </w:t>
            </w:r>
            <w:r w:rsidRPr="00FA0D37">
              <w:rPr>
                <w:rFonts w:eastAsiaTheme="minorEastAsia"/>
                <w:lang w:eastAsia="sv-SE"/>
              </w:rPr>
              <w:t>applicable to the UE configured with NR-DC for the band combination.</w:t>
            </w:r>
            <w:r w:rsidR="003C321E" w:rsidRPr="00FA0D37">
              <w:rPr>
                <w:rFonts w:eastAsiaTheme="minorEastAsia"/>
                <w:lang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394471" w:rsidRPr="00FA0D37" w14:paraId="6042354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AC02F4" w14:textId="77777777" w:rsidR="00394471" w:rsidRPr="00FA0D37" w:rsidRDefault="00394471" w:rsidP="00964CC4">
            <w:pPr>
              <w:pStyle w:val="TAL"/>
              <w:rPr>
                <w:rFonts w:eastAsiaTheme="minorEastAsia"/>
                <w:b/>
                <w:i/>
                <w:lang w:eastAsia="sv-SE"/>
              </w:rPr>
            </w:pPr>
            <w:r w:rsidRPr="00FA0D37">
              <w:rPr>
                <w:rFonts w:eastAsiaTheme="minorEastAsia"/>
                <w:b/>
                <w:i/>
                <w:lang w:eastAsia="sv-SE"/>
              </w:rPr>
              <w:t>featureSetCombinationDC</w:t>
            </w:r>
          </w:p>
          <w:p w14:paraId="5DFA23F4" w14:textId="77777777" w:rsidR="00394471" w:rsidRPr="00FA0D37" w:rsidRDefault="00394471" w:rsidP="00964CC4">
            <w:pPr>
              <w:pStyle w:val="TAL"/>
              <w:rPr>
                <w:rFonts w:eastAsiaTheme="minorEastAsia"/>
                <w:lang w:eastAsia="sv-SE"/>
              </w:rPr>
            </w:pPr>
            <w:r w:rsidRPr="00FA0D37">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sidRPr="00FA0D37">
              <w:rPr>
                <w:rFonts w:eastAsiaTheme="minorEastAsia"/>
                <w:i/>
                <w:lang w:eastAsia="sv-SE"/>
              </w:rPr>
              <w:t>featureSetCombination</w:t>
            </w:r>
            <w:r w:rsidRPr="00FA0D37">
              <w:rPr>
                <w:rFonts w:eastAsiaTheme="minorEastAsia"/>
                <w:lang w:eastAsia="sv-SE"/>
              </w:rPr>
              <w:t xml:space="preserve"> in </w:t>
            </w:r>
            <w:r w:rsidRPr="00FA0D37">
              <w:rPr>
                <w:rFonts w:eastAsiaTheme="minorEastAsia"/>
                <w:i/>
                <w:lang w:eastAsia="sv-SE"/>
              </w:rPr>
              <w:t>BandCombination</w:t>
            </w:r>
            <w:r w:rsidRPr="00FA0D37">
              <w:rPr>
                <w:rFonts w:eastAsiaTheme="minorEastAsia"/>
                <w:lang w:eastAsia="sv-SE"/>
              </w:rPr>
              <w:t xml:space="preserve"> (without suffix) is applicable to the UE configured with NR-DC for the band combination.</w:t>
            </w:r>
          </w:p>
        </w:tc>
      </w:tr>
    </w:tbl>
    <w:p w14:paraId="67021B36" w14:textId="7BE8BB22" w:rsidR="00394471" w:rsidRPr="00FA0D37" w:rsidRDefault="00394471" w:rsidP="00394471"/>
    <w:p w14:paraId="56DAD895" w14:textId="77777777" w:rsidR="00394471" w:rsidRPr="00FA0D37" w:rsidRDefault="00394471" w:rsidP="00394471">
      <w:pPr>
        <w:pStyle w:val="4"/>
        <w:rPr>
          <w:lang w:eastAsia="x-none"/>
        </w:rPr>
      </w:pPr>
      <w:bookmarkStart w:id="1525" w:name="_Toc60777437"/>
      <w:bookmarkStart w:id="1526" w:name="_Toc146781538"/>
      <w:r w:rsidRPr="00FA0D37">
        <w:rPr>
          <w:rFonts w:eastAsia="宋体"/>
        </w:rPr>
        <w:lastRenderedPageBreak/>
        <w:t>–</w:t>
      </w:r>
      <w:r w:rsidRPr="00FA0D37">
        <w:rPr>
          <w:rFonts w:eastAsia="宋体"/>
        </w:rPr>
        <w:tab/>
      </w:r>
      <w:r w:rsidRPr="00FA0D37">
        <w:rPr>
          <w:rFonts w:eastAsia="宋体"/>
          <w:i/>
          <w:lang w:eastAsia="en-GB"/>
        </w:rPr>
        <w:t>CarrierAggregationVariant</w:t>
      </w:r>
      <w:bookmarkEnd w:id="1525"/>
      <w:bookmarkEnd w:id="1526"/>
    </w:p>
    <w:p w14:paraId="24B3B089" w14:textId="77777777" w:rsidR="00394471" w:rsidRPr="00FA0D37" w:rsidRDefault="00394471" w:rsidP="00394471">
      <w:pPr>
        <w:rPr>
          <w:lang w:eastAsia="en-GB"/>
        </w:rPr>
      </w:pPr>
      <w:r w:rsidRPr="00FA0D37">
        <w:rPr>
          <w:lang w:eastAsia="en-GB"/>
        </w:rPr>
        <w:t xml:space="preserve">The IE </w:t>
      </w:r>
      <w:r w:rsidRPr="00FA0D37">
        <w:rPr>
          <w:i/>
          <w:lang w:eastAsia="en-GB"/>
        </w:rPr>
        <w:t>CarrierAggregationVariant</w:t>
      </w:r>
      <w:r w:rsidRPr="00FA0D37">
        <w:rPr>
          <w:lang w:eastAsia="en-GB"/>
        </w:rPr>
        <w:t xml:space="preserve"> informs the network about supported "placement" of the SpCell in an NR cell group.</w:t>
      </w:r>
    </w:p>
    <w:p w14:paraId="1C883A88" w14:textId="77777777" w:rsidR="00394471" w:rsidRPr="00FA0D37" w:rsidRDefault="00394471" w:rsidP="00394471">
      <w:pPr>
        <w:pStyle w:val="TH"/>
        <w:rPr>
          <w:rFonts w:eastAsia="宋体"/>
          <w:lang w:eastAsia="en-GB"/>
        </w:rPr>
      </w:pPr>
      <w:r w:rsidRPr="00FA0D37">
        <w:rPr>
          <w:i/>
          <w:lang w:eastAsia="en-GB"/>
        </w:rPr>
        <w:t>CarrierAggregationVariant</w:t>
      </w:r>
      <w:r w:rsidRPr="00FA0D37">
        <w:rPr>
          <w:lang w:eastAsia="en-GB"/>
        </w:rPr>
        <w:t xml:space="preserve"> information element</w:t>
      </w:r>
    </w:p>
    <w:p w14:paraId="313A472D" w14:textId="77777777" w:rsidR="00394471" w:rsidRPr="00FA0D37" w:rsidRDefault="00394471" w:rsidP="00FA0D37">
      <w:pPr>
        <w:pStyle w:val="PL"/>
        <w:rPr>
          <w:color w:val="808080"/>
        </w:rPr>
      </w:pPr>
      <w:r w:rsidRPr="00FA0D37">
        <w:rPr>
          <w:color w:val="808080"/>
        </w:rPr>
        <w:t>-- ASN1START</w:t>
      </w:r>
    </w:p>
    <w:p w14:paraId="23C96609" w14:textId="77777777" w:rsidR="00394471" w:rsidRPr="00FA0D37" w:rsidRDefault="00394471" w:rsidP="00FA0D37">
      <w:pPr>
        <w:pStyle w:val="PL"/>
        <w:rPr>
          <w:color w:val="808080"/>
        </w:rPr>
      </w:pPr>
      <w:r w:rsidRPr="00FA0D37">
        <w:rPr>
          <w:color w:val="808080"/>
        </w:rPr>
        <w:t>-- TAG-CARRIERAGGREGATIONVARIANT-START</w:t>
      </w:r>
    </w:p>
    <w:p w14:paraId="005C3533" w14:textId="77777777" w:rsidR="00394471" w:rsidRPr="00FA0D37" w:rsidRDefault="00394471" w:rsidP="00FA0D37">
      <w:pPr>
        <w:pStyle w:val="PL"/>
      </w:pPr>
    </w:p>
    <w:p w14:paraId="6C719567" w14:textId="77777777" w:rsidR="00394471" w:rsidRPr="00FA0D37" w:rsidRDefault="00394471" w:rsidP="00FA0D37">
      <w:pPr>
        <w:pStyle w:val="PL"/>
      </w:pPr>
      <w:r w:rsidRPr="00FA0D37">
        <w:t xml:space="preserve">CarrierAggregationVariant ::=          </w:t>
      </w:r>
      <w:r w:rsidRPr="00FA0D37">
        <w:rPr>
          <w:color w:val="993366"/>
        </w:rPr>
        <w:t>SEQUENCE</w:t>
      </w:r>
      <w:r w:rsidRPr="00FA0D37">
        <w:t xml:space="preserve"> {</w:t>
      </w:r>
    </w:p>
    <w:p w14:paraId="5C7D933E" w14:textId="77777777" w:rsidR="00394471" w:rsidRPr="00FA0D37" w:rsidRDefault="00394471" w:rsidP="00FA0D37">
      <w:pPr>
        <w:pStyle w:val="PL"/>
      </w:pPr>
      <w:r w:rsidRPr="00FA0D37">
        <w:t xml:space="preserve">    fr1fdd-FR1TDD-CA-SpCellOnFR1FDD         </w:t>
      </w:r>
      <w:r w:rsidRPr="00FA0D37">
        <w:rPr>
          <w:color w:val="993366"/>
        </w:rPr>
        <w:t>ENUMERATED</w:t>
      </w:r>
      <w:r w:rsidRPr="00FA0D37">
        <w:t xml:space="preserve"> {supported}                      </w:t>
      </w:r>
      <w:r w:rsidRPr="00FA0D37">
        <w:rPr>
          <w:color w:val="993366"/>
        </w:rPr>
        <w:t>OPTIONAL</w:t>
      </w:r>
      <w:r w:rsidRPr="00FA0D37">
        <w:t>,</w:t>
      </w:r>
    </w:p>
    <w:p w14:paraId="58869F4B" w14:textId="77777777" w:rsidR="00394471" w:rsidRPr="00FA0D37" w:rsidRDefault="00394471" w:rsidP="00FA0D37">
      <w:pPr>
        <w:pStyle w:val="PL"/>
      </w:pPr>
      <w:r w:rsidRPr="00FA0D37">
        <w:t xml:space="preserve">    fr1fdd-FR1TDD-CA-SpCellOnFR1TDD         </w:t>
      </w:r>
      <w:r w:rsidRPr="00FA0D37">
        <w:rPr>
          <w:color w:val="993366"/>
        </w:rPr>
        <w:t>ENUMERATED</w:t>
      </w:r>
      <w:r w:rsidRPr="00FA0D37">
        <w:t xml:space="preserve"> {supported}                      </w:t>
      </w:r>
      <w:r w:rsidRPr="00FA0D37">
        <w:rPr>
          <w:color w:val="993366"/>
        </w:rPr>
        <w:t>OPTIONAL</w:t>
      </w:r>
      <w:r w:rsidRPr="00FA0D37">
        <w:t>,</w:t>
      </w:r>
    </w:p>
    <w:p w14:paraId="3F99DE0F" w14:textId="77777777" w:rsidR="00394471" w:rsidRPr="00FA0D37" w:rsidRDefault="00394471" w:rsidP="00FA0D37">
      <w:pPr>
        <w:pStyle w:val="PL"/>
      </w:pPr>
      <w:r w:rsidRPr="00FA0D37">
        <w:t xml:space="preserve">    fr1fdd-FR2TDD-CA-SpCellOnFR1FDD         </w:t>
      </w:r>
      <w:r w:rsidRPr="00FA0D37">
        <w:rPr>
          <w:color w:val="993366"/>
        </w:rPr>
        <w:t>ENUMERATED</w:t>
      </w:r>
      <w:r w:rsidRPr="00FA0D37">
        <w:t xml:space="preserve"> {supported}                      </w:t>
      </w:r>
      <w:r w:rsidRPr="00FA0D37">
        <w:rPr>
          <w:color w:val="993366"/>
        </w:rPr>
        <w:t>OPTIONAL</w:t>
      </w:r>
      <w:r w:rsidRPr="00FA0D37">
        <w:t>,</w:t>
      </w:r>
    </w:p>
    <w:p w14:paraId="0CE8A8D0" w14:textId="77777777" w:rsidR="00394471" w:rsidRPr="00FA0D37" w:rsidRDefault="00394471" w:rsidP="00FA0D37">
      <w:pPr>
        <w:pStyle w:val="PL"/>
      </w:pPr>
      <w:r w:rsidRPr="00FA0D37">
        <w:t xml:space="preserve">    fr1fdd-FR2TDD-CA-SpCellOnFR2TDD         </w:t>
      </w:r>
      <w:r w:rsidRPr="00FA0D37">
        <w:rPr>
          <w:color w:val="993366"/>
        </w:rPr>
        <w:t>ENUMERATED</w:t>
      </w:r>
      <w:r w:rsidRPr="00FA0D37">
        <w:t xml:space="preserve"> {supported}                      </w:t>
      </w:r>
      <w:r w:rsidRPr="00FA0D37">
        <w:rPr>
          <w:color w:val="993366"/>
        </w:rPr>
        <w:t>OPTIONAL</w:t>
      </w:r>
      <w:r w:rsidRPr="00FA0D37">
        <w:t>,</w:t>
      </w:r>
    </w:p>
    <w:p w14:paraId="54A0F25A" w14:textId="77777777" w:rsidR="00394471" w:rsidRPr="00FA0D37" w:rsidRDefault="00394471" w:rsidP="00FA0D37">
      <w:pPr>
        <w:pStyle w:val="PL"/>
      </w:pPr>
      <w:r w:rsidRPr="00FA0D37">
        <w:t xml:space="preserve">    fr1tdd-FR2TDD-CA-SpCellOnFR1TDD         </w:t>
      </w:r>
      <w:r w:rsidRPr="00FA0D37">
        <w:rPr>
          <w:color w:val="993366"/>
        </w:rPr>
        <w:t>ENUMERATED</w:t>
      </w:r>
      <w:r w:rsidRPr="00FA0D37">
        <w:t xml:space="preserve"> {supported}                      </w:t>
      </w:r>
      <w:r w:rsidRPr="00FA0D37">
        <w:rPr>
          <w:color w:val="993366"/>
        </w:rPr>
        <w:t>OPTIONAL</w:t>
      </w:r>
      <w:r w:rsidRPr="00FA0D37">
        <w:t>,</w:t>
      </w:r>
    </w:p>
    <w:p w14:paraId="3D7E48C7" w14:textId="77777777" w:rsidR="00394471" w:rsidRPr="00FA0D37" w:rsidRDefault="00394471" w:rsidP="00FA0D37">
      <w:pPr>
        <w:pStyle w:val="PL"/>
      </w:pPr>
      <w:r w:rsidRPr="00FA0D37">
        <w:t xml:space="preserve">    fr1tdd-FR2TDD-CA-SpCellOnFR2TDD         </w:t>
      </w:r>
      <w:r w:rsidRPr="00FA0D37">
        <w:rPr>
          <w:color w:val="993366"/>
        </w:rPr>
        <w:t>ENUMERATED</w:t>
      </w:r>
      <w:r w:rsidRPr="00FA0D37">
        <w:t xml:space="preserve"> {supported}                      </w:t>
      </w:r>
      <w:r w:rsidRPr="00FA0D37">
        <w:rPr>
          <w:color w:val="993366"/>
        </w:rPr>
        <w:t>OPTIONAL</w:t>
      </w:r>
      <w:r w:rsidRPr="00FA0D37">
        <w:t>,</w:t>
      </w:r>
    </w:p>
    <w:p w14:paraId="30BACB37" w14:textId="77777777" w:rsidR="00394471" w:rsidRPr="00FA0D37" w:rsidRDefault="00394471" w:rsidP="00FA0D37">
      <w:pPr>
        <w:pStyle w:val="PL"/>
      </w:pPr>
      <w:r w:rsidRPr="00FA0D37">
        <w:t xml:space="preserve">    fr1fdd-FR1TDD-FR2TDD-CA-SpCellOnFR1FDD  </w:t>
      </w:r>
      <w:r w:rsidRPr="00FA0D37">
        <w:rPr>
          <w:color w:val="993366"/>
        </w:rPr>
        <w:t>ENUMERATED</w:t>
      </w:r>
      <w:r w:rsidRPr="00FA0D37">
        <w:t xml:space="preserve"> {supported}                      </w:t>
      </w:r>
      <w:r w:rsidRPr="00FA0D37">
        <w:rPr>
          <w:color w:val="993366"/>
        </w:rPr>
        <w:t>OPTIONAL</w:t>
      </w:r>
      <w:r w:rsidRPr="00FA0D37">
        <w:t>,</w:t>
      </w:r>
    </w:p>
    <w:p w14:paraId="0912DD6B" w14:textId="77777777" w:rsidR="00394471" w:rsidRPr="00FA0D37" w:rsidRDefault="00394471" w:rsidP="00FA0D37">
      <w:pPr>
        <w:pStyle w:val="PL"/>
      </w:pPr>
      <w:r w:rsidRPr="00FA0D37">
        <w:t xml:space="preserve">    fr1fdd-FR1TDD-FR2TDD-CA-SpCellOnFR1TDD  </w:t>
      </w:r>
      <w:r w:rsidRPr="00FA0D37">
        <w:rPr>
          <w:color w:val="993366"/>
        </w:rPr>
        <w:t>ENUMERATED</w:t>
      </w:r>
      <w:r w:rsidRPr="00FA0D37">
        <w:t xml:space="preserve"> {supported}                      </w:t>
      </w:r>
      <w:r w:rsidRPr="00FA0D37">
        <w:rPr>
          <w:color w:val="993366"/>
        </w:rPr>
        <w:t>OPTIONAL</w:t>
      </w:r>
      <w:r w:rsidRPr="00FA0D37">
        <w:t>,</w:t>
      </w:r>
    </w:p>
    <w:p w14:paraId="33C4FC95" w14:textId="77777777" w:rsidR="00394471" w:rsidRPr="00FA0D37" w:rsidRDefault="00394471" w:rsidP="00FA0D37">
      <w:pPr>
        <w:pStyle w:val="PL"/>
      </w:pPr>
      <w:r w:rsidRPr="00FA0D37">
        <w:t xml:space="preserve">    fr1fdd-FR1TDD-FR2TDD-CA-SpCellOnFR2TDD  </w:t>
      </w:r>
      <w:r w:rsidRPr="00FA0D37">
        <w:rPr>
          <w:color w:val="993366"/>
        </w:rPr>
        <w:t>ENUMERATED</w:t>
      </w:r>
      <w:r w:rsidRPr="00FA0D37">
        <w:t xml:space="preserve"> {supported}                      </w:t>
      </w:r>
      <w:r w:rsidRPr="00FA0D37">
        <w:rPr>
          <w:color w:val="993366"/>
        </w:rPr>
        <w:t>OPTIONAL</w:t>
      </w:r>
    </w:p>
    <w:p w14:paraId="271AA823" w14:textId="77777777" w:rsidR="00394471" w:rsidRPr="00FA0D37" w:rsidRDefault="00394471" w:rsidP="00FA0D37">
      <w:pPr>
        <w:pStyle w:val="PL"/>
      </w:pPr>
      <w:r w:rsidRPr="00FA0D37">
        <w:t>}</w:t>
      </w:r>
    </w:p>
    <w:p w14:paraId="44B10F8C" w14:textId="77777777" w:rsidR="00394471" w:rsidRPr="00FA0D37" w:rsidRDefault="00394471" w:rsidP="00FA0D37">
      <w:pPr>
        <w:pStyle w:val="PL"/>
      </w:pPr>
    </w:p>
    <w:p w14:paraId="57AE369D" w14:textId="77777777" w:rsidR="00394471" w:rsidRPr="00FA0D37" w:rsidRDefault="00394471" w:rsidP="00FA0D37">
      <w:pPr>
        <w:pStyle w:val="PL"/>
        <w:rPr>
          <w:color w:val="808080"/>
        </w:rPr>
      </w:pPr>
      <w:r w:rsidRPr="00FA0D37">
        <w:rPr>
          <w:color w:val="808080"/>
        </w:rPr>
        <w:t>-- TAG-CARRIERAGGREGATIONVARIANT-STOP</w:t>
      </w:r>
    </w:p>
    <w:p w14:paraId="51720D2F" w14:textId="77777777" w:rsidR="00394471" w:rsidRPr="00FA0D37" w:rsidRDefault="00394471" w:rsidP="00FA0D37">
      <w:pPr>
        <w:pStyle w:val="PL"/>
        <w:rPr>
          <w:color w:val="808080"/>
        </w:rPr>
      </w:pPr>
      <w:r w:rsidRPr="00FA0D37">
        <w:rPr>
          <w:color w:val="808080"/>
        </w:rPr>
        <w:t>-- ASN1STOP</w:t>
      </w:r>
    </w:p>
    <w:p w14:paraId="1F70B059" w14:textId="77777777" w:rsidR="00394471" w:rsidRPr="00FA0D37" w:rsidRDefault="00394471" w:rsidP="00394471"/>
    <w:p w14:paraId="412A0BDE" w14:textId="77777777" w:rsidR="00394471" w:rsidRPr="00FA0D37" w:rsidRDefault="00394471" w:rsidP="00394471">
      <w:pPr>
        <w:pStyle w:val="4"/>
        <w:rPr>
          <w:rFonts w:eastAsia="MS Mincho"/>
        </w:rPr>
      </w:pPr>
      <w:bookmarkStart w:id="1527" w:name="_Toc60777438"/>
      <w:bookmarkStart w:id="1528" w:name="_Toc146781539"/>
      <w:r w:rsidRPr="00FA0D37">
        <w:t>–</w:t>
      </w:r>
      <w:r w:rsidRPr="00FA0D37">
        <w:tab/>
      </w:r>
      <w:r w:rsidRPr="00FA0D37">
        <w:rPr>
          <w:i/>
        </w:rPr>
        <w:t>CodebookParameters</w:t>
      </w:r>
      <w:bookmarkEnd w:id="1527"/>
      <w:bookmarkEnd w:id="1528"/>
    </w:p>
    <w:p w14:paraId="05160CB5" w14:textId="77777777" w:rsidR="00394471" w:rsidRPr="00FA0D37" w:rsidRDefault="00394471" w:rsidP="00394471">
      <w:pPr>
        <w:rPr>
          <w:rFonts w:eastAsia="MS Mincho"/>
        </w:rPr>
      </w:pPr>
      <w:r w:rsidRPr="00FA0D37">
        <w:rPr>
          <w:rFonts w:eastAsia="MS Mincho"/>
        </w:rPr>
        <w:t xml:space="preserve">The IE </w:t>
      </w:r>
      <w:r w:rsidRPr="00FA0D37">
        <w:rPr>
          <w:rFonts w:eastAsia="MS Mincho"/>
          <w:i/>
        </w:rPr>
        <w:t>CodebookParameters</w:t>
      </w:r>
      <w:r w:rsidRPr="00FA0D37">
        <w:rPr>
          <w:rFonts w:eastAsia="MS Mincho"/>
        </w:rPr>
        <w:t xml:space="preserve"> is used to convey codebook related parameters.</w:t>
      </w:r>
    </w:p>
    <w:p w14:paraId="39F2330D" w14:textId="77777777" w:rsidR="00394471" w:rsidRPr="00FA0D37" w:rsidRDefault="00394471" w:rsidP="00394471">
      <w:pPr>
        <w:pStyle w:val="TH"/>
        <w:rPr>
          <w:rFonts w:eastAsia="MS Mincho"/>
        </w:rPr>
      </w:pPr>
      <w:r w:rsidRPr="00FA0D37">
        <w:rPr>
          <w:rFonts w:eastAsia="MS Mincho"/>
          <w:i/>
        </w:rPr>
        <w:t>CodebookParameters</w:t>
      </w:r>
      <w:r w:rsidRPr="00FA0D37">
        <w:rPr>
          <w:rFonts w:eastAsia="MS Mincho"/>
        </w:rPr>
        <w:t xml:space="preserve"> information element</w:t>
      </w:r>
    </w:p>
    <w:p w14:paraId="1B9D5583" w14:textId="77777777" w:rsidR="00394471" w:rsidRPr="00FA0D37" w:rsidRDefault="00394471" w:rsidP="00FA0D37">
      <w:pPr>
        <w:pStyle w:val="PL"/>
        <w:rPr>
          <w:color w:val="808080"/>
        </w:rPr>
      </w:pPr>
      <w:r w:rsidRPr="00FA0D37">
        <w:rPr>
          <w:rFonts w:eastAsia="MS Mincho"/>
          <w:color w:val="808080"/>
        </w:rPr>
        <w:t>-- ASN1START</w:t>
      </w:r>
    </w:p>
    <w:p w14:paraId="7DE6499E" w14:textId="77777777" w:rsidR="00394471" w:rsidRPr="00FA0D37" w:rsidRDefault="00394471" w:rsidP="00FA0D37">
      <w:pPr>
        <w:pStyle w:val="PL"/>
        <w:rPr>
          <w:color w:val="808080"/>
        </w:rPr>
      </w:pPr>
      <w:r w:rsidRPr="00FA0D37">
        <w:rPr>
          <w:rFonts w:eastAsia="MS Mincho"/>
          <w:color w:val="808080"/>
        </w:rPr>
        <w:t>-- TAG-CODEBOOKPARAMETERS-START</w:t>
      </w:r>
    </w:p>
    <w:p w14:paraId="06A33A19" w14:textId="77777777" w:rsidR="00394471" w:rsidRPr="00FA0D37" w:rsidRDefault="00394471" w:rsidP="00FA0D37">
      <w:pPr>
        <w:pStyle w:val="PL"/>
        <w:rPr>
          <w:rFonts w:eastAsia="MS Mincho"/>
        </w:rPr>
      </w:pPr>
    </w:p>
    <w:p w14:paraId="3EF882C3" w14:textId="77777777" w:rsidR="00394471" w:rsidRPr="00FA0D37" w:rsidRDefault="00394471" w:rsidP="00FA0D37">
      <w:pPr>
        <w:pStyle w:val="PL"/>
        <w:rPr>
          <w:rFonts w:eastAsia="MS Mincho"/>
        </w:rPr>
      </w:pPr>
      <w:r w:rsidRPr="00FA0D37">
        <w:rPr>
          <w:rFonts w:eastAsia="MS Mincho"/>
        </w:rPr>
        <w:t xml:space="preserve">CodebookParameters ::=             </w:t>
      </w:r>
      <w:r w:rsidRPr="00FA0D37">
        <w:rPr>
          <w:rFonts w:eastAsia="MS Mincho"/>
          <w:color w:val="993366"/>
        </w:rPr>
        <w:t>SEQUENCE</w:t>
      </w:r>
      <w:r w:rsidRPr="00FA0D37">
        <w:rPr>
          <w:rFonts w:eastAsia="MS Mincho"/>
        </w:rPr>
        <w:t xml:space="preserve"> {</w:t>
      </w:r>
    </w:p>
    <w:p w14:paraId="5EBD36B9" w14:textId="77777777" w:rsidR="00394471" w:rsidRPr="00FA0D37" w:rsidRDefault="00394471" w:rsidP="00FA0D37">
      <w:pPr>
        <w:pStyle w:val="PL"/>
        <w:rPr>
          <w:rFonts w:eastAsia="MS Mincho"/>
        </w:rPr>
      </w:pPr>
      <w:r w:rsidRPr="00FA0D37">
        <w:rPr>
          <w:rFonts w:eastAsia="MS Mincho"/>
        </w:rPr>
        <w:t xml:space="preserve">    type1                                  </w:t>
      </w:r>
      <w:r w:rsidRPr="00FA0D37">
        <w:rPr>
          <w:rFonts w:eastAsia="MS Mincho"/>
          <w:color w:val="993366"/>
        </w:rPr>
        <w:t>SEQUENCE</w:t>
      </w:r>
      <w:r w:rsidRPr="00FA0D37">
        <w:rPr>
          <w:rFonts w:eastAsia="MS Mincho"/>
        </w:rPr>
        <w:t xml:space="preserve"> {</w:t>
      </w:r>
    </w:p>
    <w:p w14:paraId="1BE946C7" w14:textId="77777777" w:rsidR="00394471" w:rsidRPr="00FA0D37" w:rsidRDefault="00394471" w:rsidP="00FA0D37">
      <w:pPr>
        <w:pStyle w:val="PL"/>
        <w:rPr>
          <w:rFonts w:eastAsia="MS Mincho"/>
        </w:rPr>
      </w:pPr>
      <w:r w:rsidRPr="00FA0D37">
        <w:rPr>
          <w:rFonts w:eastAsia="MS Mincho"/>
        </w:rPr>
        <w:t xml:space="preserve">        singlePanel                           </w:t>
      </w:r>
      <w:r w:rsidRPr="00FA0D37">
        <w:rPr>
          <w:rFonts w:eastAsia="MS Mincho"/>
          <w:color w:val="993366"/>
        </w:rPr>
        <w:t>SEQUENCE</w:t>
      </w:r>
      <w:r w:rsidRPr="00FA0D37">
        <w:rPr>
          <w:rFonts w:eastAsia="MS Mincho"/>
        </w:rPr>
        <w:t xml:space="preserve"> {</w:t>
      </w:r>
    </w:p>
    <w:p w14:paraId="5F4D0586" w14:textId="77777777" w:rsidR="00394471" w:rsidRPr="00FA0D37" w:rsidRDefault="00394471" w:rsidP="00FA0D37">
      <w:pPr>
        <w:pStyle w:val="PL"/>
        <w:rPr>
          <w:rFonts w:eastAsia="MS Mincho"/>
        </w:rPr>
      </w:pPr>
      <w:r w:rsidRPr="00FA0D37">
        <w:rPr>
          <w:rFonts w:eastAsia="MS Mincho"/>
        </w:rPr>
        <w:t xml:space="preserve">            supportedCSI-RS-ResourceList      </w:t>
      </w:r>
      <w:r w:rsidRPr="00FA0D37">
        <w:rPr>
          <w:rFonts w:eastAsia="MS Mincho"/>
          <w:color w:val="993366"/>
        </w:rPr>
        <w:t>SEQUENCE</w:t>
      </w:r>
      <w:r w:rsidRPr="00FA0D37">
        <w:rPr>
          <w:rFonts w:eastAsia="MS Mincho"/>
        </w:rPr>
        <w:t xml:space="preserve"> (</w:t>
      </w:r>
      <w:r w:rsidRPr="00FA0D37">
        <w:rPr>
          <w:rFonts w:eastAsia="MS Mincho"/>
          <w:color w:val="993366"/>
        </w:rPr>
        <w:t>SIZE</w:t>
      </w:r>
      <w:r w:rsidRPr="00FA0D37">
        <w:rPr>
          <w:rFonts w:eastAsia="MS Mincho"/>
        </w:rPr>
        <w:t xml:space="preserve"> (1.. maxNrofCSI-RS-Resources))</w:t>
      </w:r>
      <w:r w:rsidRPr="00FA0D37">
        <w:rPr>
          <w:rFonts w:eastAsia="MS Mincho"/>
          <w:color w:val="993366"/>
        </w:rPr>
        <w:t xml:space="preserve"> OF</w:t>
      </w:r>
      <w:r w:rsidRPr="00FA0D37">
        <w:rPr>
          <w:rFonts w:eastAsia="MS Mincho"/>
        </w:rPr>
        <w:t xml:space="preserve"> SupportedCSI-RS-Resource,</w:t>
      </w:r>
    </w:p>
    <w:p w14:paraId="28D9DF97" w14:textId="77777777" w:rsidR="00394471" w:rsidRPr="00FA0D37" w:rsidRDefault="00394471" w:rsidP="00FA0D37">
      <w:pPr>
        <w:pStyle w:val="PL"/>
        <w:rPr>
          <w:rFonts w:eastAsia="MS Mincho"/>
        </w:rPr>
      </w:pPr>
      <w:r w:rsidRPr="00FA0D37">
        <w:rPr>
          <w:rFonts w:eastAsia="MS Mincho"/>
        </w:rPr>
        <w:t xml:space="preserve">            modes                                  </w:t>
      </w:r>
      <w:r w:rsidRPr="00FA0D37">
        <w:rPr>
          <w:rFonts w:eastAsia="MS Mincho"/>
          <w:color w:val="993366"/>
        </w:rPr>
        <w:t>ENUMERATED</w:t>
      </w:r>
      <w:r w:rsidRPr="00FA0D37">
        <w:rPr>
          <w:rFonts w:eastAsia="MS Mincho"/>
        </w:rPr>
        <w:t xml:space="preserve"> {mode1, mode1andMode2},</w:t>
      </w:r>
    </w:p>
    <w:p w14:paraId="49636BA3" w14:textId="77777777" w:rsidR="00394471" w:rsidRPr="00FA0D37" w:rsidRDefault="00394471" w:rsidP="00FA0D37">
      <w:pPr>
        <w:pStyle w:val="PL"/>
        <w:rPr>
          <w:rFonts w:eastAsia="MS Mincho"/>
        </w:rPr>
      </w:pPr>
      <w:r w:rsidRPr="00FA0D37">
        <w:rPr>
          <w:rFonts w:eastAsia="MS Mincho"/>
        </w:rPr>
        <w:t xml:space="preserve">            maxNumberCSI-RS-PerResourceSet    </w:t>
      </w:r>
      <w:r w:rsidRPr="00FA0D37">
        <w:rPr>
          <w:color w:val="993366"/>
        </w:rPr>
        <w:t>INTEGER</w:t>
      </w:r>
      <w:r w:rsidRPr="00FA0D37">
        <w:t xml:space="preserve"> (1..8)</w:t>
      </w:r>
    </w:p>
    <w:p w14:paraId="06252682" w14:textId="77777777" w:rsidR="00394471" w:rsidRPr="00FA0D37" w:rsidRDefault="00394471" w:rsidP="00FA0D37">
      <w:pPr>
        <w:pStyle w:val="PL"/>
        <w:rPr>
          <w:rFonts w:eastAsia="MS Mincho"/>
        </w:rPr>
      </w:pPr>
      <w:r w:rsidRPr="00FA0D37">
        <w:rPr>
          <w:rFonts w:eastAsia="MS Mincho"/>
        </w:rPr>
        <w:t xml:space="preserve">        },</w:t>
      </w:r>
    </w:p>
    <w:p w14:paraId="5A42F7FB" w14:textId="77777777" w:rsidR="00394471" w:rsidRPr="00FA0D37" w:rsidRDefault="00394471" w:rsidP="00FA0D37">
      <w:pPr>
        <w:pStyle w:val="PL"/>
        <w:rPr>
          <w:rFonts w:eastAsia="MS Mincho"/>
        </w:rPr>
      </w:pPr>
      <w:r w:rsidRPr="00FA0D37">
        <w:rPr>
          <w:rFonts w:eastAsia="MS Mincho"/>
        </w:rPr>
        <w:t xml:space="preserve">        multiPanel                            </w:t>
      </w:r>
      <w:r w:rsidRPr="00FA0D37">
        <w:rPr>
          <w:rFonts w:eastAsia="MS Mincho"/>
          <w:color w:val="993366"/>
        </w:rPr>
        <w:t>SEQUENCE</w:t>
      </w:r>
      <w:r w:rsidRPr="00FA0D37">
        <w:rPr>
          <w:rFonts w:eastAsia="MS Mincho"/>
        </w:rPr>
        <w:t xml:space="preserve"> {</w:t>
      </w:r>
    </w:p>
    <w:p w14:paraId="56303F35" w14:textId="77777777" w:rsidR="00394471" w:rsidRPr="00FA0D37" w:rsidRDefault="00394471" w:rsidP="00FA0D37">
      <w:pPr>
        <w:pStyle w:val="PL"/>
        <w:rPr>
          <w:rFonts w:eastAsia="MS Mincho"/>
        </w:rPr>
      </w:pPr>
      <w:r w:rsidRPr="00FA0D37">
        <w:rPr>
          <w:rFonts w:eastAsia="MS Mincho"/>
        </w:rPr>
        <w:t xml:space="preserve">            supportedCSI-RS-ResourceList      </w:t>
      </w:r>
      <w:r w:rsidRPr="00FA0D37">
        <w:rPr>
          <w:rFonts w:eastAsia="MS Mincho"/>
          <w:color w:val="993366"/>
        </w:rPr>
        <w:t>SEQUENCE</w:t>
      </w:r>
      <w:r w:rsidRPr="00FA0D37">
        <w:rPr>
          <w:rFonts w:eastAsia="MS Mincho"/>
        </w:rPr>
        <w:t xml:space="preserve"> (</w:t>
      </w:r>
      <w:r w:rsidRPr="00FA0D37">
        <w:rPr>
          <w:rFonts w:eastAsia="MS Mincho"/>
          <w:color w:val="993366"/>
        </w:rPr>
        <w:t>SIZE</w:t>
      </w:r>
      <w:r w:rsidRPr="00FA0D37">
        <w:rPr>
          <w:rFonts w:eastAsia="MS Mincho"/>
        </w:rPr>
        <w:t xml:space="preserve"> (1.. maxNrofCSI-RS-Resources))</w:t>
      </w:r>
      <w:r w:rsidRPr="00FA0D37">
        <w:rPr>
          <w:rFonts w:eastAsia="MS Mincho"/>
          <w:color w:val="993366"/>
        </w:rPr>
        <w:t xml:space="preserve"> OF</w:t>
      </w:r>
      <w:r w:rsidRPr="00FA0D37">
        <w:rPr>
          <w:rFonts w:eastAsia="MS Mincho"/>
        </w:rPr>
        <w:t xml:space="preserve"> SupportedCSI-RS-Resource,</w:t>
      </w:r>
    </w:p>
    <w:p w14:paraId="13F5CB18" w14:textId="77777777" w:rsidR="00394471" w:rsidRPr="00FA0D37" w:rsidRDefault="00394471" w:rsidP="00FA0D37">
      <w:pPr>
        <w:pStyle w:val="PL"/>
        <w:rPr>
          <w:rFonts w:eastAsia="MS Mincho"/>
        </w:rPr>
      </w:pPr>
      <w:r w:rsidRPr="00FA0D37">
        <w:rPr>
          <w:rFonts w:eastAsia="MS Mincho"/>
        </w:rPr>
        <w:t xml:space="preserve">            modes                                  </w:t>
      </w:r>
      <w:r w:rsidRPr="00FA0D37">
        <w:rPr>
          <w:rFonts w:eastAsia="MS Mincho"/>
          <w:color w:val="993366"/>
        </w:rPr>
        <w:t>ENUMERATED</w:t>
      </w:r>
      <w:r w:rsidRPr="00FA0D37">
        <w:rPr>
          <w:rFonts w:eastAsia="MS Mincho"/>
        </w:rPr>
        <w:t xml:space="preserve"> {mode1, mode2, both},</w:t>
      </w:r>
    </w:p>
    <w:p w14:paraId="577D0E57" w14:textId="77777777" w:rsidR="00394471" w:rsidRPr="00FA0D37" w:rsidRDefault="00394471" w:rsidP="00FA0D37">
      <w:pPr>
        <w:pStyle w:val="PL"/>
        <w:rPr>
          <w:rFonts w:eastAsia="MS Mincho"/>
        </w:rPr>
      </w:pPr>
      <w:r w:rsidRPr="00FA0D37">
        <w:rPr>
          <w:rFonts w:eastAsia="MS Mincho"/>
        </w:rPr>
        <w:t xml:space="preserve">            nrofPanels                            </w:t>
      </w:r>
      <w:r w:rsidRPr="00FA0D37">
        <w:rPr>
          <w:rFonts w:eastAsia="MS Mincho"/>
          <w:color w:val="993366"/>
        </w:rPr>
        <w:t>ENUMERATED</w:t>
      </w:r>
      <w:r w:rsidRPr="00FA0D37">
        <w:rPr>
          <w:rFonts w:eastAsia="MS Mincho"/>
        </w:rPr>
        <w:t xml:space="preserve"> {n2, n4},</w:t>
      </w:r>
    </w:p>
    <w:p w14:paraId="739C0967" w14:textId="77777777" w:rsidR="00394471" w:rsidRPr="00FA0D37" w:rsidRDefault="00394471" w:rsidP="00FA0D37">
      <w:pPr>
        <w:pStyle w:val="PL"/>
        <w:rPr>
          <w:rFonts w:eastAsia="MS Mincho"/>
        </w:rPr>
      </w:pPr>
      <w:r w:rsidRPr="00FA0D37">
        <w:rPr>
          <w:rFonts w:eastAsia="MS Mincho"/>
        </w:rPr>
        <w:t xml:space="preserve">            maxNumberCSI-RS-PerResourceSet    </w:t>
      </w:r>
      <w:r w:rsidRPr="00FA0D37">
        <w:rPr>
          <w:color w:val="993366"/>
        </w:rPr>
        <w:t>INTEGER</w:t>
      </w:r>
      <w:r w:rsidRPr="00FA0D37">
        <w:t xml:space="preserve"> (1..8)</w:t>
      </w:r>
    </w:p>
    <w:p w14:paraId="4421A08A" w14:textId="77777777" w:rsidR="00394471" w:rsidRPr="00FA0D37" w:rsidRDefault="00394471" w:rsidP="00FA0D37">
      <w:pPr>
        <w:pStyle w:val="PL"/>
        <w:rPr>
          <w:rFonts w:eastAsia="MS Mincho"/>
        </w:rPr>
      </w:pPr>
      <w:r w:rsidRPr="00FA0D37">
        <w:rPr>
          <w:rFonts w:eastAsia="MS Mincho"/>
        </w:rPr>
        <w:t xml:space="preserve">        }                                                                                                               </w:t>
      </w:r>
      <w:r w:rsidRPr="00FA0D37">
        <w:rPr>
          <w:rFonts w:eastAsia="MS Mincho"/>
          <w:color w:val="993366"/>
        </w:rPr>
        <w:t>OPTIONAL</w:t>
      </w:r>
    </w:p>
    <w:p w14:paraId="5918AC2B" w14:textId="77777777" w:rsidR="00394471" w:rsidRPr="00FA0D37" w:rsidRDefault="00394471" w:rsidP="00FA0D37">
      <w:pPr>
        <w:pStyle w:val="PL"/>
        <w:rPr>
          <w:rFonts w:eastAsia="MS Mincho"/>
        </w:rPr>
      </w:pPr>
      <w:r w:rsidRPr="00FA0D37">
        <w:rPr>
          <w:rFonts w:eastAsia="MS Mincho"/>
        </w:rPr>
        <w:t xml:space="preserve">    },</w:t>
      </w:r>
    </w:p>
    <w:p w14:paraId="2291C5E4" w14:textId="77777777" w:rsidR="00394471" w:rsidRPr="00FA0D37" w:rsidRDefault="00394471" w:rsidP="00FA0D37">
      <w:pPr>
        <w:pStyle w:val="PL"/>
        <w:rPr>
          <w:rFonts w:eastAsia="MS Mincho"/>
        </w:rPr>
      </w:pPr>
      <w:r w:rsidRPr="00FA0D37">
        <w:rPr>
          <w:rFonts w:eastAsia="MS Mincho"/>
        </w:rPr>
        <w:t xml:space="preserve">    type2                                  </w:t>
      </w:r>
      <w:r w:rsidRPr="00FA0D37">
        <w:rPr>
          <w:rFonts w:eastAsia="MS Mincho"/>
          <w:color w:val="993366"/>
        </w:rPr>
        <w:t>SEQUENCE</w:t>
      </w:r>
      <w:r w:rsidRPr="00FA0D37">
        <w:rPr>
          <w:rFonts w:eastAsia="MS Mincho"/>
        </w:rPr>
        <w:t xml:space="preserve"> {</w:t>
      </w:r>
    </w:p>
    <w:p w14:paraId="4D616E41" w14:textId="77777777" w:rsidR="00394471" w:rsidRPr="00FA0D37" w:rsidRDefault="00394471" w:rsidP="00FA0D37">
      <w:pPr>
        <w:pStyle w:val="PL"/>
        <w:rPr>
          <w:rFonts w:eastAsia="MS Mincho"/>
        </w:rPr>
      </w:pPr>
      <w:r w:rsidRPr="00FA0D37">
        <w:rPr>
          <w:rFonts w:eastAsia="MS Mincho"/>
        </w:rPr>
        <w:lastRenderedPageBreak/>
        <w:t xml:space="preserve">        supportedCSI-RS-ResourceList        </w:t>
      </w:r>
      <w:r w:rsidRPr="00FA0D37">
        <w:rPr>
          <w:rFonts w:eastAsia="MS Mincho"/>
          <w:color w:val="993366"/>
        </w:rPr>
        <w:t>SEQUENCE</w:t>
      </w:r>
      <w:r w:rsidRPr="00FA0D37">
        <w:rPr>
          <w:rFonts w:eastAsia="MS Mincho"/>
        </w:rPr>
        <w:t xml:space="preserve"> (</w:t>
      </w:r>
      <w:r w:rsidRPr="00FA0D37">
        <w:rPr>
          <w:rFonts w:eastAsia="MS Mincho"/>
          <w:color w:val="993366"/>
        </w:rPr>
        <w:t>SIZE</w:t>
      </w:r>
      <w:r w:rsidRPr="00FA0D37">
        <w:rPr>
          <w:rFonts w:eastAsia="MS Mincho"/>
        </w:rPr>
        <w:t xml:space="preserve"> (1.. maxNrofCSI-RS-Resources))</w:t>
      </w:r>
      <w:r w:rsidRPr="00FA0D37">
        <w:rPr>
          <w:rFonts w:eastAsia="MS Mincho"/>
          <w:color w:val="993366"/>
        </w:rPr>
        <w:t xml:space="preserve"> OF</w:t>
      </w:r>
      <w:r w:rsidRPr="00FA0D37">
        <w:rPr>
          <w:rFonts w:eastAsia="MS Mincho"/>
        </w:rPr>
        <w:t xml:space="preserve"> SupportedCSI-RS-Resource,</w:t>
      </w:r>
    </w:p>
    <w:p w14:paraId="2DCF96D2" w14:textId="77777777" w:rsidR="00394471" w:rsidRPr="00FA0D37" w:rsidRDefault="00394471" w:rsidP="00FA0D37">
      <w:pPr>
        <w:pStyle w:val="PL"/>
        <w:rPr>
          <w:rFonts w:eastAsia="MS Mincho"/>
        </w:rPr>
      </w:pPr>
      <w:r w:rsidRPr="00FA0D37">
        <w:rPr>
          <w:rFonts w:eastAsia="MS Mincho"/>
        </w:rPr>
        <w:t xml:space="preserve">        parameterLx                           </w:t>
      </w:r>
      <w:r w:rsidRPr="00FA0D37">
        <w:rPr>
          <w:rFonts w:eastAsia="MS Mincho"/>
          <w:color w:val="993366"/>
        </w:rPr>
        <w:t>INTEGER</w:t>
      </w:r>
      <w:r w:rsidRPr="00FA0D37">
        <w:rPr>
          <w:rFonts w:eastAsia="MS Mincho"/>
        </w:rPr>
        <w:t xml:space="preserve"> (2..4),</w:t>
      </w:r>
    </w:p>
    <w:p w14:paraId="0FD9BCA6" w14:textId="77777777" w:rsidR="00394471" w:rsidRPr="00FA0D37" w:rsidRDefault="00394471" w:rsidP="00FA0D37">
      <w:pPr>
        <w:pStyle w:val="PL"/>
        <w:rPr>
          <w:rFonts w:eastAsia="MS Mincho"/>
        </w:rPr>
      </w:pPr>
      <w:r w:rsidRPr="00FA0D37">
        <w:rPr>
          <w:rFonts w:eastAsia="MS Mincho"/>
        </w:rPr>
        <w:t xml:space="preserve">        amplitudeScalingType                 </w:t>
      </w:r>
      <w:r w:rsidRPr="00FA0D37">
        <w:rPr>
          <w:rFonts w:eastAsia="MS Mincho"/>
          <w:color w:val="993366"/>
        </w:rPr>
        <w:t>ENUMERATED</w:t>
      </w:r>
      <w:r w:rsidRPr="00FA0D37">
        <w:rPr>
          <w:rFonts w:eastAsia="MS Mincho"/>
        </w:rPr>
        <w:t xml:space="preserve"> {wideband, widebandAndSubband},</w:t>
      </w:r>
    </w:p>
    <w:p w14:paraId="2F26F549" w14:textId="77777777" w:rsidR="00394471" w:rsidRPr="00FA0D37" w:rsidRDefault="00394471" w:rsidP="00FA0D37">
      <w:pPr>
        <w:pStyle w:val="PL"/>
        <w:rPr>
          <w:rFonts w:eastAsia="MS Mincho"/>
        </w:rPr>
      </w:pPr>
      <w:r w:rsidRPr="00FA0D37">
        <w:rPr>
          <w:rFonts w:eastAsia="MS Mincho"/>
        </w:rPr>
        <w:t xml:space="preserve">        amplitudeSubsetRestriction          </w:t>
      </w:r>
      <w:r w:rsidRPr="00FA0D37">
        <w:rPr>
          <w:rFonts w:eastAsia="MS Mincho"/>
          <w:color w:val="993366"/>
        </w:rPr>
        <w:t>ENUMERATED</w:t>
      </w:r>
      <w:r w:rsidRPr="00FA0D37">
        <w:rPr>
          <w:rFonts w:eastAsia="MS Mincho"/>
        </w:rPr>
        <w:t xml:space="preserve"> {supported}              </w:t>
      </w:r>
      <w:r w:rsidRPr="00FA0D37">
        <w:rPr>
          <w:rFonts w:eastAsia="MS Mincho"/>
          <w:color w:val="993366"/>
        </w:rPr>
        <w:t>OPTIONAL</w:t>
      </w:r>
    </w:p>
    <w:p w14:paraId="049CC837" w14:textId="77777777" w:rsidR="00394471" w:rsidRPr="00FA0D37" w:rsidRDefault="00394471" w:rsidP="00FA0D37">
      <w:pPr>
        <w:pStyle w:val="PL"/>
        <w:rPr>
          <w:rFonts w:eastAsia="MS Mincho"/>
        </w:rPr>
      </w:pPr>
      <w:r w:rsidRPr="00FA0D37">
        <w:rPr>
          <w:rFonts w:eastAsia="MS Mincho"/>
        </w:rPr>
        <w:t xml:space="preserve">    }                                                                                                                   </w:t>
      </w:r>
      <w:r w:rsidRPr="00FA0D37">
        <w:rPr>
          <w:rFonts w:eastAsia="MS Mincho"/>
          <w:color w:val="993366"/>
        </w:rPr>
        <w:t>OPTIONAL</w:t>
      </w:r>
      <w:r w:rsidRPr="00FA0D37">
        <w:rPr>
          <w:rFonts w:eastAsia="MS Mincho"/>
        </w:rPr>
        <w:t>,</w:t>
      </w:r>
    </w:p>
    <w:p w14:paraId="0DB99F87" w14:textId="77777777" w:rsidR="00394471" w:rsidRPr="00FA0D37" w:rsidRDefault="00394471" w:rsidP="00FA0D37">
      <w:pPr>
        <w:pStyle w:val="PL"/>
        <w:rPr>
          <w:rFonts w:eastAsia="MS Mincho"/>
        </w:rPr>
      </w:pPr>
      <w:r w:rsidRPr="00FA0D37">
        <w:rPr>
          <w:rFonts w:eastAsia="MS Mincho"/>
        </w:rPr>
        <w:t xml:space="preserve">    type2-PortSelection                  </w:t>
      </w:r>
      <w:r w:rsidRPr="00FA0D37">
        <w:rPr>
          <w:rFonts w:eastAsia="MS Mincho"/>
          <w:color w:val="993366"/>
        </w:rPr>
        <w:t>SEQUENCE</w:t>
      </w:r>
      <w:r w:rsidRPr="00FA0D37">
        <w:rPr>
          <w:rFonts w:eastAsia="MS Mincho"/>
        </w:rPr>
        <w:t xml:space="preserve"> {</w:t>
      </w:r>
    </w:p>
    <w:p w14:paraId="2529C4B4" w14:textId="77777777" w:rsidR="00394471" w:rsidRPr="00FA0D37" w:rsidRDefault="00394471" w:rsidP="00FA0D37">
      <w:pPr>
        <w:pStyle w:val="PL"/>
        <w:rPr>
          <w:rFonts w:eastAsia="MS Mincho"/>
        </w:rPr>
      </w:pPr>
      <w:r w:rsidRPr="00FA0D37">
        <w:rPr>
          <w:rFonts w:eastAsia="MS Mincho"/>
        </w:rPr>
        <w:t xml:space="preserve">        supportedCSI-RS-ResourceList        </w:t>
      </w:r>
      <w:r w:rsidRPr="00FA0D37">
        <w:rPr>
          <w:rFonts w:eastAsia="MS Mincho"/>
          <w:color w:val="993366"/>
        </w:rPr>
        <w:t>SEQUENCE</w:t>
      </w:r>
      <w:r w:rsidRPr="00FA0D37">
        <w:rPr>
          <w:rFonts w:eastAsia="MS Mincho"/>
        </w:rPr>
        <w:t xml:space="preserve"> (</w:t>
      </w:r>
      <w:r w:rsidRPr="00FA0D37">
        <w:rPr>
          <w:rFonts w:eastAsia="MS Mincho"/>
          <w:color w:val="993366"/>
        </w:rPr>
        <w:t>SIZE</w:t>
      </w:r>
      <w:r w:rsidRPr="00FA0D37">
        <w:rPr>
          <w:rFonts w:eastAsia="MS Mincho"/>
        </w:rPr>
        <w:t xml:space="preserve"> (1.. maxNrofCSI-RS-Resources))</w:t>
      </w:r>
      <w:r w:rsidRPr="00FA0D37">
        <w:rPr>
          <w:rFonts w:eastAsia="MS Mincho"/>
          <w:color w:val="993366"/>
        </w:rPr>
        <w:t xml:space="preserve"> OF</w:t>
      </w:r>
      <w:r w:rsidRPr="00FA0D37">
        <w:rPr>
          <w:rFonts w:eastAsia="MS Mincho"/>
        </w:rPr>
        <w:t xml:space="preserve"> SupportedCSI-RS-Resource,</w:t>
      </w:r>
    </w:p>
    <w:p w14:paraId="4E6BEBE1" w14:textId="77777777" w:rsidR="00394471" w:rsidRPr="00FA0D37" w:rsidRDefault="00394471" w:rsidP="00FA0D37">
      <w:pPr>
        <w:pStyle w:val="PL"/>
        <w:rPr>
          <w:rFonts w:eastAsia="MS Mincho"/>
        </w:rPr>
      </w:pPr>
      <w:r w:rsidRPr="00FA0D37">
        <w:rPr>
          <w:rFonts w:eastAsia="MS Mincho"/>
        </w:rPr>
        <w:t xml:space="preserve">        parameterLx                           </w:t>
      </w:r>
      <w:r w:rsidRPr="00FA0D37">
        <w:rPr>
          <w:rFonts w:eastAsia="MS Mincho"/>
          <w:color w:val="993366"/>
        </w:rPr>
        <w:t>INTEGER</w:t>
      </w:r>
      <w:r w:rsidRPr="00FA0D37">
        <w:rPr>
          <w:rFonts w:eastAsia="MS Mincho"/>
        </w:rPr>
        <w:t xml:space="preserve"> (2..4),</w:t>
      </w:r>
    </w:p>
    <w:p w14:paraId="1D450350" w14:textId="77777777" w:rsidR="00394471" w:rsidRPr="00FA0D37" w:rsidRDefault="00394471" w:rsidP="00FA0D37">
      <w:pPr>
        <w:pStyle w:val="PL"/>
        <w:rPr>
          <w:rFonts w:eastAsia="MS Mincho"/>
        </w:rPr>
      </w:pPr>
      <w:r w:rsidRPr="00FA0D37">
        <w:rPr>
          <w:rFonts w:eastAsia="MS Mincho"/>
        </w:rPr>
        <w:t xml:space="preserve">        amplitudeScalingType                 </w:t>
      </w:r>
      <w:r w:rsidRPr="00FA0D37">
        <w:rPr>
          <w:rFonts w:eastAsia="MS Mincho"/>
          <w:color w:val="993366"/>
        </w:rPr>
        <w:t>ENUMERATED</w:t>
      </w:r>
      <w:r w:rsidRPr="00FA0D37">
        <w:rPr>
          <w:rFonts w:eastAsia="MS Mincho"/>
        </w:rPr>
        <w:t xml:space="preserve"> {wideband, widebandAndSubband}</w:t>
      </w:r>
    </w:p>
    <w:p w14:paraId="7B9CCF1A" w14:textId="77777777" w:rsidR="00394471" w:rsidRPr="00FA0D37" w:rsidRDefault="00394471" w:rsidP="00FA0D37">
      <w:pPr>
        <w:pStyle w:val="PL"/>
        <w:rPr>
          <w:rFonts w:eastAsia="MS Mincho"/>
        </w:rPr>
      </w:pPr>
      <w:r w:rsidRPr="00FA0D37">
        <w:rPr>
          <w:rFonts w:eastAsia="MS Mincho"/>
        </w:rPr>
        <w:t xml:space="preserve">    }                                                                                                                   </w:t>
      </w:r>
      <w:r w:rsidRPr="00FA0D37">
        <w:rPr>
          <w:rFonts w:eastAsia="MS Mincho"/>
          <w:color w:val="993366"/>
        </w:rPr>
        <w:t>OPTIONAL</w:t>
      </w:r>
    </w:p>
    <w:p w14:paraId="49C21DBE" w14:textId="77777777" w:rsidR="00394471" w:rsidRPr="00FA0D37" w:rsidRDefault="00394471" w:rsidP="00FA0D37">
      <w:pPr>
        <w:pStyle w:val="PL"/>
      </w:pPr>
      <w:r w:rsidRPr="00FA0D37">
        <w:rPr>
          <w:rFonts w:eastAsia="MS Mincho"/>
        </w:rPr>
        <w:t>}</w:t>
      </w:r>
    </w:p>
    <w:p w14:paraId="36FBE142" w14:textId="77777777" w:rsidR="00394471" w:rsidRPr="00FA0D37" w:rsidRDefault="00394471" w:rsidP="00FA0D37">
      <w:pPr>
        <w:pStyle w:val="PL"/>
      </w:pPr>
    </w:p>
    <w:p w14:paraId="77FD75A4" w14:textId="77777777" w:rsidR="00394471" w:rsidRPr="00FA0D37" w:rsidRDefault="00394471" w:rsidP="00FA0D37">
      <w:pPr>
        <w:pStyle w:val="PL"/>
      </w:pPr>
      <w:r w:rsidRPr="00FA0D37">
        <w:t xml:space="preserve">CodebookParameters-v1610 ::=        </w:t>
      </w:r>
      <w:r w:rsidRPr="00FA0D37">
        <w:rPr>
          <w:color w:val="993366"/>
        </w:rPr>
        <w:t>SEQUENCE</w:t>
      </w:r>
      <w:r w:rsidRPr="00FA0D37">
        <w:t xml:space="preserve"> {</w:t>
      </w:r>
    </w:p>
    <w:p w14:paraId="51971E85" w14:textId="77777777" w:rsidR="00394471" w:rsidRPr="00FA0D37" w:rsidRDefault="00394471" w:rsidP="00FA0D37">
      <w:pPr>
        <w:pStyle w:val="PL"/>
      </w:pPr>
      <w:r w:rsidRPr="00FA0D37">
        <w:t xml:space="preserve">    supportedCSI-RS-ResourceListAlt-r16  </w:t>
      </w:r>
      <w:r w:rsidRPr="00FA0D37">
        <w:rPr>
          <w:color w:val="993366"/>
        </w:rPr>
        <w:t>SEQUENCE</w:t>
      </w:r>
      <w:r w:rsidRPr="00FA0D37">
        <w:t xml:space="preserve"> {</w:t>
      </w:r>
    </w:p>
    <w:p w14:paraId="2D7ABD98" w14:textId="77777777" w:rsidR="00394471" w:rsidRPr="00FA0D37" w:rsidRDefault="00394471" w:rsidP="00FA0D37">
      <w:pPr>
        <w:pStyle w:val="PL"/>
      </w:pPr>
      <w:r w:rsidRPr="00FA0D37">
        <w:t xml:space="preserve">        type1-SinglePanel-r16                </w:t>
      </w:r>
      <w:r w:rsidRPr="00FA0D37">
        <w:rPr>
          <w:color w:val="993366"/>
        </w:rPr>
        <w:t>SEQUENCE</w:t>
      </w:r>
      <w:r w:rsidRPr="00FA0D37">
        <w:t xml:space="preserve"> (</w:t>
      </w:r>
      <w:r w:rsidRPr="00FA0D37">
        <w:rPr>
          <w:color w:val="993366"/>
        </w:rPr>
        <w:t>SIZE</w:t>
      </w:r>
      <w:r w:rsidRPr="00FA0D37">
        <w:t xml:space="preserve"> (1..maxNrofCSI-RS-Resources))</w:t>
      </w:r>
      <w:r w:rsidRPr="00FA0D37">
        <w:rPr>
          <w:color w:val="993366"/>
        </w:rPr>
        <w:t xml:space="preserve"> OF</w:t>
      </w:r>
      <w:r w:rsidRPr="00FA0D37">
        <w:t xml:space="preserve"> </w:t>
      </w:r>
      <w:r w:rsidRPr="00FA0D37">
        <w:rPr>
          <w:color w:val="993366"/>
        </w:rPr>
        <w:t>INTEGER</w:t>
      </w:r>
      <w:r w:rsidRPr="00FA0D37">
        <w:t xml:space="preserve"> (0..maxNrofCSI-RS-ResourcesAlt-1-r16)  </w:t>
      </w:r>
      <w:r w:rsidRPr="00FA0D37">
        <w:rPr>
          <w:color w:val="993366"/>
        </w:rPr>
        <w:t>OPTIONAL</w:t>
      </w:r>
      <w:r w:rsidRPr="00FA0D37">
        <w:t>,</w:t>
      </w:r>
    </w:p>
    <w:p w14:paraId="58C82B90" w14:textId="77777777" w:rsidR="00394471" w:rsidRPr="00FA0D37" w:rsidRDefault="00394471" w:rsidP="00FA0D37">
      <w:pPr>
        <w:pStyle w:val="PL"/>
      </w:pPr>
      <w:r w:rsidRPr="00FA0D37">
        <w:t xml:space="preserve">        type1-MultiPanel-r16                 </w:t>
      </w:r>
      <w:r w:rsidRPr="00FA0D37">
        <w:rPr>
          <w:color w:val="993366"/>
        </w:rPr>
        <w:t>SEQUENCE</w:t>
      </w:r>
      <w:r w:rsidRPr="00FA0D37">
        <w:t xml:space="preserve"> (</w:t>
      </w:r>
      <w:r w:rsidRPr="00FA0D37">
        <w:rPr>
          <w:color w:val="993366"/>
        </w:rPr>
        <w:t>SIZE</w:t>
      </w:r>
      <w:r w:rsidRPr="00FA0D37">
        <w:t xml:space="preserve"> (1..maxNrofCSI-RS-Resources))</w:t>
      </w:r>
      <w:r w:rsidRPr="00FA0D37">
        <w:rPr>
          <w:color w:val="993366"/>
        </w:rPr>
        <w:t xml:space="preserve"> OF</w:t>
      </w:r>
      <w:r w:rsidRPr="00FA0D37">
        <w:t xml:space="preserve"> </w:t>
      </w:r>
      <w:r w:rsidRPr="00FA0D37">
        <w:rPr>
          <w:color w:val="993366"/>
        </w:rPr>
        <w:t>INTEGER</w:t>
      </w:r>
      <w:r w:rsidRPr="00FA0D37">
        <w:t xml:space="preserve"> (0..maxNrofCSI-RS-ResourcesAlt-1-r16)  </w:t>
      </w:r>
      <w:r w:rsidRPr="00FA0D37">
        <w:rPr>
          <w:color w:val="993366"/>
        </w:rPr>
        <w:t>OPTIONAL</w:t>
      </w:r>
      <w:r w:rsidRPr="00FA0D37">
        <w:t>,</w:t>
      </w:r>
    </w:p>
    <w:p w14:paraId="123C07C3" w14:textId="77777777" w:rsidR="00394471" w:rsidRPr="00FA0D37" w:rsidRDefault="00394471" w:rsidP="00FA0D37">
      <w:pPr>
        <w:pStyle w:val="PL"/>
      </w:pPr>
      <w:r w:rsidRPr="00FA0D37">
        <w:t xml:space="preserve">        type2-r16                            </w:t>
      </w:r>
      <w:r w:rsidRPr="00FA0D37">
        <w:rPr>
          <w:color w:val="993366"/>
        </w:rPr>
        <w:t>SEQUENCE</w:t>
      </w:r>
      <w:r w:rsidRPr="00FA0D37">
        <w:t xml:space="preserve"> (</w:t>
      </w:r>
      <w:r w:rsidRPr="00FA0D37">
        <w:rPr>
          <w:color w:val="993366"/>
        </w:rPr>
        <w:t>SIZE</w:t>
      </w:r>
      <w:r w:rsidRPr="00FA0D37">
        <w:t xml:space="preserve"> (1..maxNrofCSI-RS-Resources))</w:t>
      </w:r>
      <w:r w:rsidRPr="00FA0D37">
        <w:rPr>
          <w:color w:val="993366"/>
        </w:rPr>
        <w:t xml:space="preserve"> OF</w:t>
      </w:r>
      <w:r w:rsidRPr="00FA0D37">
        <w:t xml:space="preserve"> </w:t>
      </w:r>
      <w:r w:rsidRPr="00FA0D37">
        <w:rPr>
          <w:color w:val="993366"/>
        </w:rPr>
        <w:t>INTEGER</w:t>
      </w:r>
      <w:r w:rsidRPr="00FA0D37">
        <w:t xml:space="preserve"> (0..maxNrofCSI-RS-ResourcesAlt-1-r16)  </w:t>
      </w:r>
      <w:r w:rsidRPr="00FA0D37">
        <w:rPr>
          <w:color w:val="993366"/>
        </w:rPr>
        <w:t>OPTIONAL</w:t>
      </w:r>
      <w:r w:rsidRPr="00FA0D37">
        <w:t>,</w:t>
      </w:r>
    </w:p>
    <w:p w14:paraId="24026C27" w14:textId="77777777" w:rsidR="00394471" w:rsidRPr="00FA0D37" w:rsidRDefault="00394471" w:rsidP="00FA0D37">
      <w:pPr>
        <w:pStyle w:val="PL"/>
      </w:pPr>
      <w:r w:rsidRPr="00FA0D37">
        <w:t xml:space="preserve">        type2-PortSelection-r16              </w:t>
      </w:r>
      <w:r w:rsidRPr="00FA0D37">
        <w:rPr>
          <w:color w:val="993366"/>
        </w:rPr>
        <w:t>SEQUENCE</w:t>
      </w:r>
      <w:r w:rsidRPr="00FA0D37">
        <w:t xml:space="preserve"> (</w:t>
      </w:r>
      <w:r w:rsidRPr="00FA0D37">
        <w:rPr>
          <w:color w:val="993366"/>
        </w:rPr>
        <w:t>SIZE</w:t>
      </w:r>
      <w:r w:rsidRPr="00FA0D37">
        <w:t xml:space="preserve"> (1..maxNrofCSI-RS-Resources))</w:t>
      </w:r>
      <w:r w:rsidRPr="00FA0D37">
        <w:rPr>
          <w:color w:val="993366"/>
        </w:rPr>
        <w:t xml:space="preserve"> OF</w:t>
      </w:r>
      <w:r w:rsidRPr="00FA0D37">
        <w:t xml:space="preserve"> </w:t>
      </w:r>
      <w:r w:rsidRPr="00FA0D37">
        <w:rPr>
          <w:color w:val="993366"/>
        </w:rPr>
        <w:t>INTEGER</w:t>
      </w:r>
      <w:r w:rsidRPr="00FA0D37">
        <w:t xml:space="preserve"> (0..maxNrofCSI-RS-ResourcesAlt-1-r16)  </w:t>
      </w:r>
      <w:r w:rsidRPr="00FA0D37">
        <w:rPr>
          <w:color w:val="993366"/>
        </w:rPr>
        <w:t>OPTIONAL</w:t>
      </w:r>
    </w:p>
    <w:p w14:paraId="0BFBE35F" w14:textId="77777777" w:rsidR="00394471" w:rsidRPr="00FA0D37" w:rsidRDefault="00394471" w:rsidP="00FA0D37">
      <w:pPr>
        <w:pStyle w:val="PL"/>
      </w:pPr>
      <w:r w:rsidRPr="00FA0D37">
        <w:t xml:space="preserve">    }                                                                                                                                       </w:t>
      </w:r>
      <w:r w:rsidRPr="00FA0D37">
        <w:rPr>
          <w:color w:val="993366"/>
        </w:rPr>
        <w:t>OPTIONAL</w:t>
      </w:r>
    </w:p>
    <w:p w14:paraId="594E66C3" w14:textId="77777777" w:rsidR="00394471" w:rsidRPr="00FA0D37" w:rsidRDefault="00394471" w:rsidP="00FA0D37">
      <w:pPr>
        <w:pStyle w:val="PL"/>
      </w:pPr>
      <w:r w:rsidRPr="00FA0D37">
        <w:t>}</w:t>
      </w:r>
    </w:p>
    <w:p w14:paraId="2FC929F9" w14:textId="77777777" w:rsidR="00394471" w:rsidRPr="00FA0D37" w:rsidRDefault="00394471" w:rsidP="00FA0D37">
      <w:pPr>
        <w:pStyle w:val="PL"/>
      </w:pPr>
    </w:p>
    <w:p w14:paraId="535BF4D8" w14:textId="77777777" w:rsidR="00394471" w:rsidRPr="00FA0D37" w:rsidRDefault="00394471" w:rsidP="00FA0D37">
      <w:pPr>
        <w:pStyle w:val="PL"/>
        <w:rPr>
          <w:rFonts w:eastAsia="MS Mincho"/>
        </w:rPr>
      </w:pPr>
      <w:r w:rsidRPr="00FA0D37">
        <w:rPr>
          <w:rFonts w:eastAsia="MS Mincho"/>
        </w:rPr>
        <w:t xml:space="preserve">CodebookParametersAddition-r16 ::=      </w:t>
      </w:r>
      <w:r w:rsidRPr="00FA0D37">
        <w:rPr>
          <w:rFonts w:eastAsia="MS Mincho"/>
          <w:color w:val="993366"/>
        </w:rPr>
        <w:t>SEQUENCE</w:t>
      </w:r>
      <w:r w:rsidRPr="00FA0D37">
        <w:rPr>
          <w:rFonts w:eastAsia="MS Mincho"/>
        </w:rPr>
        <w:t xml:space="preserve"> {</w:t>
      </w:r>
    </w:p>
    <w:p w14:paraId="09CCF5F0" w14:textId="77777777" w:rsidR="00394471" w:rsidRPr="00FA0D37" w:rsidRDefault="00394471" w:rsidP="00FA0D37">
      <w:pPr>
        <w:pStyle w:val="PL"/>
      </w:pPr>
      <w:r w:rsidRPr="00FA0D37">
        <w:t xml:space="preserve">    etype2-r16                             </w:t>
      </w:r>
      <w:r w:rsidRPr="00FA0D37">
        <w:rPr>
          <w:rFonts w:eastAsia="MS Mincho"/>
          <w:color w:val="993366"/>
        </w:rPr>
        <w:t>SEQUENCE</w:t>
      </w:r>
      <w:r w:rsidRPr="00FA0D37">
        <w:t xml:space="preserve"> {</w:t>
      </w:r>
    </w:p>
    <w:p w14:paraId="1703A825" w14:textId="77777777" w:rsidR="00394471" w:rsidRPr="00FA0D37" w:rsidRDefault="00394471" w:rsidP="00FA0D37">
      <w:pPr>
        <w:pStyle w:val="PL"/>
        <w:rPr>
          <w:color w:val="808080"/>
        </w:rPr>
      </w:pPr>
      <w:r w:rsidRPr="00FA0D37">
        <w:t xml:space="preserve">        </w:t>
      </w:r>
      <w:r w:rsidRPr="00FA0D37">
        <w:rPr>
          <w:color w:val="808080"/>
        </w:rPr>
        <w:t>-- R1 16-3a Regular eType 2 R=1</w:t>
      </w:r>
    </w:p>
    <w:p w14:paraId="02565083" w14:textId="77777777" w:rsidR="00394471" w:rsidRPr="00FA0D37" w:rsidRDefault="00394471" w:rsidP="00FA0D37">
      <w:pPr>
        <w:pStyle w:val="PL"/>
        <w:rPr>
          <w:rFonts w:eastAsia="MS Mincho"/>
        </w:rPr>
      </w:pPr>
      <w:r w:rsidRPr="00FA0D37">
        <w:t xml:space="preserve">        etype2R1-r16                           </w:t>
      </w:r>
      <w:r w:rsidRPr="00FA0D37">
        <w:rPr>
          <w:rFonts w:eastAsia="MS Mincho"/>
          <w:color w:val="993366"/>
        </w:rPr>
        <w:t>SEQUENCE</w:t>
      </w:r>
      <w:r w:rsidRPr="00FA0D37">
        <w:rPr>
          <w:rFonts w:eastAsia="MS Mincho"/>
        </w:rPr>
        <w:t xml:space="preserve"> {</w:t>
      </w:r>
    </w:p>
    <w:p w14:paraId="445B667D"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p>
    <w:p w14:paraId="0177AC66" w14:textId="77777777" w:rsidR="00394471" w:rsidRPr="00FA0D37" w:rsidRDefault="00394471" w:rsidP="00FA0D37">
      <w:pPr>
        <w:pStyle w:val="PL"/>
      </w:pPr>
      <w:r w:rsidRPr="00FA0D37">
        <w:t xml:space="preserve">                                                                                              </w:t>
      </w:r>
      <w:r w:rsidRPr="00FA0D37">
        <w:rPr>
          <w:color w:val="993366"/>
        </w:rPr>
        <w:t>INTEGER</w:t>
      </w:r>
      <w:r w:rsidRPr="00FA0D37">
        <w:t xml:space="preserve"> (0..maxNrofCSI-RS-ResourcesAlt-1-r16)</w:t>
      </w:r>
    </w:p>
    <w:p w14:paraId="671D6725" w14:textId="77777777" w:rsidR="00394471" w:rsidRPr="00FA0D37" w:rsidRDefault="00394471" w:rsidP="00FA0D37">
      <w:pPr>
        <w:pStyle w:val="PL"/>
      </w:pPr>
      <w:r w:rsidRPr="00FA0D37">
        <w:t xml:space="preserve">        },</w:t>
      </w:r>
    </w:p>
    <w:p w14:paraId="6E0AE915" w14:textId="77777777" w:rsidR="00394471" w:rsidRPr="00FA0D37" w:rsidRDefault="00394471" w:rsidP="00FA0D37">
      <w:pPr>
        <w:pStyle w:val="PL"/>
        <w:rPr>
          <w:color w:val="808080"/>
        </w:rPr>
      </w:pPr>
      <w:r w:rsidRPr="00FA0D37">
        <w:t xml:space="preserve">        </w:t>
      </w:r>
      <w:r w:rsidRPr="00FA0D37">
        <w:rPr>
          <w:color w:val="808080"/>
        </w:rPr>
        <w:t>-- R1 16-3a-1 Regular eType 2 R=2</w:t>
      </w:r>
    </w:p>
    <w:p w14:paraId="339CAC7D" w14:textId="77777777" w:rsidR="00394471" w:rsidRPr="00FA0D37" w:rsidRDefault="00394471" w:rsidP="00FA0D37">
      <w:pPr>
        <w:pStyle w:val="PL"/>
        <w:rPr>
          <w:rFonts w:eastAsia="MS Mincho"/>
        </w:rPr>
      </w:pPr>
      <w:r w:rsidRPr="00FA0D37">
        <w:t xml:space="preserve">        etype2R2-r16                           </w:t>
      </w:r>
      <w:r w:rsidRPr="00FA0D37">
        <w:rPr>
          <w:rFonts w:eastAsia="MS Mincho"/>
          <w:color w:val="993366"/>
        </w:rPr>
        <w:t>SEQUENCE</w:t>
      </w:r>
      <w:r w:rsidRPr="00FA0D37">
        <w:rPr>
          <w:rFonts w:eastAsia="MS Mincho"/>
        </w:rPr>
        <w:t xml:space="preserve"> {</w:t>
      </w:r>
    </w:p>
    <w:p w14:paraId="1C91F394"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p>
    <w:p w14:paraId="263A4923" w14:textId="77777777" w:rsidR="00394471" w:rsidRPr="00FA0D37" w:rsidRDefault="00394471" w:rsidP="00FA0D37">
      <w:pPr>
        <w:pStyle w:val="PL"/>
      </w:pPr>
      <w:r w:rsidRPr="00FA0D37">
        <w:t xml:space="preserve">                                                                                              </w:t>
      </w:r>
      <w:r w:rsidRPr="00FA0D37">
        <w:rPr>
          <w:color w:val="993366"/>
        </w:rPr>
        <w:t>INTEGER</w:t>
      </w:r>
      <w:r w:rsidRPr="00FA0D37">
        <w:t xml:space="preserve"> (0..maxNrofCSI-RS-ResourcesAlt-1-r16)</w:t>
      </w:r>
    </w:p>
    <w:p w14:paraId="25148B6C" w14:textId="77777777" w:rsidR="00394471" w:rsidRPr="00FA0D37" w:rsidRDefault="00394471" w:rsidP="00FA0D37">
      <w:pPr>
        <w:pStyle w:val="PL"/>
      </w:pPr>
      <w:r w:rsidRPr="00FA0D37">
        <w:t xml:space="preserve">        }                                                                  </w:t>
      </w:r>
      <w:r w:rsidRPr="00FA0D37">
        <w:rPr>
          <w:color w:val="993366"/>
        </w:rPr>
        <w:t>OPTIONAL</w:t>
      </w:r>
      <w:r w:rsidRPr="00FA0D37">
        <w:t>,</w:t>
      </w:r>
    </w:p>
    <w:p w14:paraId="2035818F" w14:textId="77777777" w:rsidR="00394471" w:rsidRPr="00FA0D37" w:rsidRDefault="00394471" w:rsidP="00FA0D37">
      <w:pPr>
        <w:pStyle w:val="PL"/>
        <w:rPr>
          <w:color w:val="808080"/>
        </w:rPr>
      </w:pPr>
      <w:r w:rsidRPr="00FA0D37">
        <w:t xml:space="preserve">        </w:t>
      </w:r>
      <w:r w:rsidRPr="00FA0D37">
        <w:rPr>
          <w:color w:val="808080"/>
        </w:rPr>
        <w:t>-- R1 16-3a-2: Support of parameter combinations 7-8</w:t>
      </w:r>
    </w:p>
    <w:p w14:paraId="3FB7FDD3" w14:textId="77777777" w:rsidR="00394471" w:rsidRPr="00FA0D37" w:rsidRDefault="00394471" w:rsidP="00FA0D37">
      <w:pPr>
        <w:pStyle w:val="PL"/>
      </w:pPr>
      <w:r w:rsidRPr="00FA0D37">
        <w:t xml:space="preserve">        paramComb7-8-r16                       </w:t>
      </w:r>
      <w:r w:rsidRPr="00FA0D37">
        <w:rPr>
          <w:color w:val="993366"/>
        </w:rPr>
        <w:t>ENUMERATED</w:t>
      </w:r>
      <w:r w:rsidRPr="00FA0D37">
        <w:t xml:space="preserve"> {supported}      </w:t>
      </w:r>
      <w:r w:rsidRPr="00FA0D37">
        <w:rPr>
          <w:color w:val="993366"/>
        </w:rPr>
        <w:t>OPTIONAL</w:t>
      </w:r>
      <w:r w:rsidRPr="00FA0D37">
        <w:t>,</w:t>
      </w:r>
    </w:p>
    <w:p w14:paraId="10916E4F" w14:textId="77777777" w:rsidR="00394471" w:rsidRPr="00FA0D37" w:rsidRDefault="00394471" w:rsidP="00FA0D37">
      <w:pPr>
        <w:pStyle w:val="PL"/>
        <w:rPr>
          <w:color w:val="808080"/>
        </w:rPr>
      </w:pPr>
      <w:r w:rsidRPr="00FA0D37">
        <w:t xml:space="preserve">        </w:t>
      </w:r>
      <w:r w:rsidRPr="00FA0D37">
        <w:rPr>
          <w:color w:val="808080"/>
        </w:rPr>
        <w:t>-- R1 16-3a-3: Support of rank 3,4</w:t>
      </w:r>
    </w:p>
    <w:p w14:paraId="36417A55" w14:textId="77777777" w:rsidR="00394471" w:rsidRPr="00FA0D37" w:rsidRDefault="00394471" w:rsidP="00FA0D37">
      <w:pPr>
        <w:pStyle w:val="PL"/>
      </w:pPr>
      <w:r w:rsidRPr="00FA0D37">
        <w:t xml:space="preserve">        rank3-4-r16                            </w:t>
      </w:r>
      <w:r w:rsidRPr="00FA0D37">
        <w:rPr>
          <w:color w:val="993366"/>
        </w:rPr>
        <w:t>ENUMERATED</w:t>
      </w:r>
      <w:r w:rsidRPr="00FA0D37">
        <w:t xml:space="preserve"> {supported}      </w:t>
      </w:r>
      <w:r w:rsidRPr="00FA0D37">
        <w:rPr>
          <w:color w:val="993366"/>
        </w:rPr>
        <w:t>OPTIONAL</w:t>
      </w:r>
      <w:r w:rsidRPr="00FA0D37">
        <w:t>,</w:t>
      </w:r>
    </w:p>
    <w:p w14:paraId="08FEDA1C" w14:textId="77777777" w:rsidR="00394471" w:rsidRPr="00FA0D37" w:rsidRDefault="00394471" w:rsidP="00FA0D37">
      <w:pPr>
        <w:pStyle w:val="PL"/>
        <w:rPr>
          <w:color w:val="808080"/>
        </w:rPr>
      </w:pPr>
      <w:r w:rsidRPr="00FA0D37">
        <w:t xml:space="preserve">        </w:t>
      </w:r>
      <w:r w:rsidRPr="00FA0D37">
        <w:rPr>
          <w:color w:val="808080"/>
        </w:rPr>
        <w:t>-- R1 16-3a-4: CBSR with soft amplitude restriction</w:t>
      </w:r>
    </w:p>
    <w:p w14:paraId="340225BC" w14:textId="675A4A15" w:rsidR="00394471" w:rsidRPr="00FA0D37" w:rsidRDefault="00394471" w:rsidP="00FA0D37">
      <w:pPr>
        <w:pStyle w:val="PL"/>
      </w:pPr>
      <w:r w:rsidRPr="00FA0D37">
        <w:t xml:space="preserve">        </w:t>
      </w:r>
      <w:r w:rsidR="00D027C1" w:rsidRPr="00FA0D37">
        <w:t>a</w:t>
      </w:r>
      <w:r w:rsidRPr="00FA0D37">
        <w:t>mp</w:t>
      </w:r>
      <w:r w:rsidR="00D027C1" w:rsidRPr="00FA0D37">
        <w:t>litudeSubset</w:t>
      </w:r>
      <w:r w:rsidRPr="00FA0D37">
        <w:t xml:space="preserve">Restriction-r16         </w:t>
      </w:r>
      <w:r w:rsidRPr="00FA0D37">
        <w:rPr>
          <w:color w:val="993366"/>
        </w:rPr>
        <w:t>ENUMERATED</w:t>
      </w:r>
      <w:r w:rsidRPr="00FA0D37">
        <w:t xml:space="preserve"> {supported}      </w:t>
      </w:r>
      <w:r w:rsidRPr="00FA0D37">
        <w:rPr>
          <w:color w:val="993366"/>
        </w:rPr>
        <w:t>OPTIONAL</w:t>
      </w:r>
    </w:p>
    <w:p w14:paraId="516E74AA" w14:textId="77777777" w:rsidR="00394471" w:rsidRPr="00FA0D37" w:rsidDel="00017245" w:rsidRDefault="00394471" w:rsidP="00FA0D37">
      <w:pPr>
        <w:pStyle w:val="PL"/>
      </w:pPr>
      <w:r w:rsidRPr="00FA0D37">
        <w:t xml:space="preserve">    </w:t>
      </w:r>
      <w:r w:rsidRPr="00FA0D37" w:rsidDel="00017245">
        <w:t>}</w:t>
      </w:r>
      <w:r w:rsidRPr="00FA0D37">
        <w:t xml:space="preserve">                                                                      </w:t>
      </w:r>
      <w:r w:rsidRPr="00FA0D37" w:rsidDel="00017245">
        <w:rPr>
          <w:color w:val="993366"/>
        </w:rPr>
        <w:t>OPTIONAL</w:t>
      </w:r>
      <w:r w:rsidRPr="00FA0D37" w:rsidDel="00017245">
        <w:t>,</w:t>
      </w:r>
    </w:p>
    <w:p w14:paraId="157E6FA8" w14:textId="77777777" w:rsidR="00394471" w:rsidRPr="00FA0D37" w:rsidRDefault="00394471" w:rsidP="00FA0D37">
      <w:pPr>
        <w:pStyle w:val="PL"/>
      </w:pPr>
      <w:r w:rsidRPr="00FA0D37">
        <w:t xml:space="preserve">    etype2-PS-r16                          </w:t>
      </w:r>
      <w:r w:rsidRPr="00FA0D37">
        <w:rPr>
          <w:rFonts w:eastAsia="MS Mincho"/>
          <w:color w:val="993366"/>
        </w:rPr>
        <w:t>SEQUENCE</w:t>
      </w:r>
      <w:r w:rsidRPr="00FA0D37">
        <w:t xml:space="preserve"> {</w:t>
      </w:r>
    </w:p>
    <w:p w14:paraId="2E8E47F7" w14:textId="77777777" w:rsidR="00394471" w:rsidRPr="00FA0D37" w:rsidRDefault="00394471" w:rsidP="00FA0D37">
      <w:pPr>
        <w:pStyle w:val="PL"/>
        <w:rPr>
          <w:color w:val="808080"/>
        </w:rPr>
      </w:pPr>
      <w:r w:rsidRPr="00FA0D37">
        <w:t xml:space="preserve">        </w:t>
      </w:r>
      <w:r w:rsidRPr="00FA0D37">
        <w:rPr>
          <w:color w:val="808080"/>
        </w:rPr>
        <w:t>-- R1 16-3b Regular eType 2 R=1 PortSelection</w:t>
      </w:r>
    </w:p>
    <w:p w14:paraId="236B9098" w14:textId="77777777" w:rsidR="00394471" w:rsidRPr="00FA0D37" w:rsidRDefault="00394471" w:rsidP="00FA0D37">
      <w:pPr>
        <w:pStyle w:val="PL"/>
        <w:rPr>
          <w:rFonts w:eastAsia="MS Mincho"/>
        </w:rPr>
      </w:pPr>
      <w:r w:rsidRPr="00FA0D37">
        <w:t xml:space="preserve">        etype2R1-PortSelection-r16             </w:t>
      </w:r>
      <w:r w:rsidRPr="00FA0D37">
        <w:rPr>
          <w:rFonts w:eastAsia="MS Mincho"/>
          <w:color w:val="993366"/>
        </w:rPr>
        <w:t>SEQUENCE</w:t>
      </w:r>
      <w:r w:rsidRPr="00FA0D37">
        <w:rPr>
          <w:rFonts w:eastAsia="MS Mincho"/>
        </w:rPr>
        <w:t xml:space="preserve"> {</w:t>
      </w:r>
    </w:p>
    <w:p w14:paraId="7096E418"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p>
    <w:p w14:paraId="67B9547E" w14:textId="77777777" w:rsidR="00394471" w:rsidRPr="00FA0D37" w:rsidRDefault="00394471" w:rsidP="00FA0D37">
      <w:pPr>
        <w:pStyle w:val="PL"/>
      </w:pPr>
      <w:r w:rsidRPr="00FA0D37">
        <w:t xml:space="preserve">                                                                                              </w:t>
      </w:r>
      <w:r w:rsidRPr="00FA0D37">
        <w:rPr>
          <w:color w:val="993366"/>
        </w:rPr>
        <w:t>INTEGER</w:t>
      </w:r>
      <w:r w:rsidRPr="00FA0D37">
        <w:t xml:space="preserve"> (0..maxNrofCSI-RS-ResourcesAlt-1-r16)</w:t>
      </w:r>
    </w:p>
    <w:p w14:paraId="4BEB55A4" w14:textId="77777777" w:rsidR="00394471" w:rsidRPr="00FA0D37" w:rsidRDefault="00394471" w:rsidP="00FA0D37">
      <w:pPr>
        <w:pStyle w:val="PL"/>
      </w:pPr>
      <w:r w:rsidRPr="00FA0D37">
        <w:t xml:space="preserve">        },</w:t>
      </w:r>
    </w:p>
    <w:p w14:paraId="1E4155B0" w14:textId="77777777" w:rsidR="00394471" w:rsidRPr="00FA0D37" w:rsidRDefault="00394471" w:rsidP="00FA0D37">
      <w:pPr>
        <w:pStyle w:val="PL"/>
        <w:rPr>
          <w:color w:val="808080"/>
        </w:rPr>
      </w:pPr>
      <w:r w:rsidRPr="00FA0D37">
        <w:t xml:space="preserve">        </w:t>
      </w:r>
      <w:r w:rsidRPr="00FA0D37">
        <w:rPr>
          <w:color w:val="808080"/>
        </w:rPr>
        <w:t>-- R1 16-3b-1 Regular eType 2 R=2 PortSelection</w:t>
      </w:r>
    </w:p>
    <w:p w14:paraId="4B8103FF" w14:textId="77777777" w:rsidR="00394471" w:rsidRPr="00FA0D37" w:rsidRDefault="00394471" w:rsidP="00FA0D37">
      <w:pPr>
        <w:pStyle w:val="PL"/>
      </w:pPr>
      <w:r w:rsidRPr="00FA0D37">
        <w:t xml:space="preserve">        etype2R2-PortSelection-r16             </w:t>
      </w:r>
      <w:r w:rsidRPr="00FA0D37">
        <w:rPr>
          <w:color w:val="993366"/>
        </w:rPr>
        <w:t>SEQUENCE</w:t>
      </w:r>
      <w:r w:rsidRPr="00FA0D37">
        <w:t xml:space="preserve"> {</w:t>
      </w:r>
    </w:p>
    <w:p w14:paraId="2F833D48" w14:textId="77777777" w:rsidR="00394471" w:rsidRPr="00FA0D37" w:rsidRDefault="00394471" w:rsidP="00FA0D37">
      <w:pPr>
        <w:pStyle w:val="PL"/>
      </w:pPr>
      <w:r w:rsidRPr="00FA0D37">
        <w:lastRenderedPageBreak/>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p>
    <w:p w14:paraId="58D2BF5B" w14:textId="77777777" w:rsidR="00394471" w:rsidRPr="00FA0D37" w:rsidRDefault="00394471" w:rsidP="00FA0D37">
      <w:pPr>
        <w:pStyle w:val="PL"/>
      </w:pPr>
      <w:r w:rsidRPr="00FA0D37">
        <w:t xml:space="preserve">                                                                                              </w:t>
      </w:r>
      <w:r w:rsidRPr="00FA0D37">
        <w:rPr>
          <w:color w:val="993366"/>
        </w:rPr>
        <w:t>INTEGER</w:t>
      </w:r>
      <w:r w:rsidRPr="00FA0D37">
        <w:t xml:space="preserve"> (0..maxNrofCSI-RS-ResourcesAlt-1-r16)</w:t>
      </w:r>
    </w:p>
    <w:p w14:paraId="2803FBD9" w14:textId="77777777" w:rsidR="00394471" w:rsidRPr="00FA0D37" w:rsidRDefault="00394471" w:rsidP="00FA0D37">
      <w:pPr>
        <w:pStyle w:val="PL"/>
      </w:pPr>
      <w:r w:rsidRPr="00FA0D37">
        <w:t xml:space="preserve">        }                                                                  </w:t>
      </w:r>
      <w:r w:rsidRPr="00FA0D37">
        <w:rPr>
          <w:color w:val="993366"/>
        </w:rPr>
        <w:t>OPTIONAL</w:t>
      </w:r>
      <w:r w:rsidRPr="00FA0D37">
        <w:t>,</w:t>
      </w:r>
    </w:p>
    <w:p w14:paraId="3BE17BFD" w14:textId="77777777" w:rsidR="00394471" w:rsidRPr="00FA0D37" w:rsidRDefault="00394471" w:rsidP="00FA0D37">
      <w:pPr>
        <w:pStyle w:val="PL"/>
        <w:rPr>
          <w:color w:val="808080"/>
        </w:rPr>
      </w:pPr>
      <w:r w:rsidRPr="00FA0D37">
        <w:t xml:space="preserve">        </w:t>
      </w:r>
      <w:r w:rsidRPr="00FA0D37">
        <w:rPr>
          <w:color w:val="808080"/>
        </w:rPr>
        <w:t>-- R1 16-3b-2: Support of rank 3,4</w:t>
      </w:r>
    </w:p>
    <w:p w14:paraId="545E6FAD" w14:textId="77777777" w:rsidR="00394471" w:rsidRPr="00FA0D37" w:rsidRDefault="00394471" w:rsidP="00FA0D37">
      <w:pPr>
        <w:pStyle w:val="PL"/>
      </w:pPr>
      <w:r w:rsidRPr="00FA0D37">
        <w:t xml:space="preserve">        rank3-4-r16                            </w:t>
      </w:r>
      <w:r w:rsidRPr="00FA0D37">
        <w:rPr>
          <w:color w:val="993366"/>
        </w:rPr>
        <w:t>ENUMERATED</w:t>
      </w:r>
      <w:r w:rsidRPr="00FA0D37">
        <w:t xml:space="preserve"> {supported}      </w:t>
      </w:r>
      <w:r w:rsidRPr="00FA0D37">
        <w:rPr>
          <w:color w:val="993366"/>
        </w:rPr>
        <w:t>OPTIONAL</w:t>
      </w:r>
    </w:p>
    <w:p w14:paraId="45EF26B9" w14:textId="77777777" w:rsidR="00394471" w:rsidRPr="00FA0D37" w:rsidRDefault="00394471" w:rsidP="00FA0D37">
      <w:pPr>
        <w:pStyle w:val="PL"/>
      </w:pPr>
      <w:r w:rsidRPr="00FA0D37">
        <w:t xml:space="preserve">    }                                                                      </w:t>
      </w:r>
      <w:r w:rsidRPr="00FA0D37">
        <w:rPr>
          <w:color w:val="993366"/>
        </w:rPr>
        <w:t>OPTIONAL</w:t>
      </w:r>
    </w:p>
    <w:p w14:paraId="02AD701C" w14:textId="77777777" w:rsidR="00394471" w:rsidRPr="00FA0D37" w:rsidRDefault="00394471" w:rsidP="00FA0D37">
      <w:pPr>
        <w:pStyle w:val="PL"/>
      </w:pPr>
      <w:r w:rsidRPr="00FA0D37">
        <w:t>}</w:t>
      </w:r>
    </w:p>
    <w:p w14:paraId="52B2A109" w14:textId="77777777" w:rsidR="00394471" w:rsidRPr="00FA0D37" w:rsidRDefault="00394471" w:rsidP="00FA0D37">
      <w:pPr>
        <w:pStyle w:val="PL"/>
      </w:pPr>
    </w:p>
    <w:p w14:paraId="29D8BF53" w14:textId="77777777" w:rsidR="00394471" w:rsidRPr="00FA0D37" w:rsidRDefault="00394471" w:rsidP="00FA0D37">
      <w:pPr>
        <w:pStyle w:val="PL"/>
        <w:rPr>
          <w:rFonts w:eastAsia="MS Mincho"/>
        </w:rPr>
      </w:pPr>
      <w:r w:rsidRPr="00FA0D37">
        <w:rPr>
          <w:rFonts w:eastAsia="MS Mincho"/>
        </w:rPr>
        <w:t xml:space="preserve">CodebookComboParametersAddition-r16 ::= </w:t>
      </w:r>
      <w:r w:rsidRPr="00FA0D37">
        <w:rPr>
          <w:rFonts w:eastAsia="MS Mincho"/>
          <w:color w:val="993366"/>
        </w:rPr>
        <w:t>SEQUENCE</w:t>
      </w:r>
      <w:r w:rsidRPr="00FA0D37">
        <w:rPr>
          <w:rFonts w:eastAsia="MS Mincho"/>
        </w:rPr>
        <w:t xml:space="preserve"> {</w:t>
      </w:r>
    </w:p>
    <w:p w14:paraId="7B309097" w14:textId="77777777" w:rsidR="00394471" w:rsidRPr="00FA0D37" w:rsidRDefault="00394471" w:rsidP="00FA0D37">
      <w:pPr>
        <w:pStyle w:val="PL"/>
        <w:rPr>
          <w:color w:val="808080"/>
        </w:rPr>
      </w:pPr>
      <w:r w:rsidRPr="00FA0D37">
        <w:t xml:space="preserve">    </w:t>
      </w:r>
      <w:r w:rsidRPr="00FA0D37">
        <w:rPr>
          <w:color w:val="808080"/>
        </w:rPr>
        <w:t>-- R1 16-8 Mixed codebook types</w:t>
      </w:r>
    </w:p>
    <w:p w14:paraId="1127EEF7" w14:textId="77777777" w:rsidR="00394471" w:rsidRPr="00FA0D37" w:rsidRDefault="00394471" w:rsidP="00FA0D37">
      <w:pPr>
        <w:pStyle w:val="PL"/>
        <w:rPr>
          <w:rFonts w:eastAsia="MS Mincho"/>
        </w:rPr>
      </w:pPr>
      <w:r w:rsidRPr="00FA0D37">
        <w:t xml:space="preserve">    type1SP-Type2-null-r16                 </w:t>
      </w:r>
      <w:r w:rsidRPr="00FA0D37">
        <w:rPr>
          <w:rFonts w:eastAsia="MS Mincho"/>
          <w:color w:val="993366"/>
        </w:rPr>
        <w:t>SEQUENCE</w:t>
      </w:r>
      <w:r w:rsidRPr="00FA0D37">
        <w:rPr>
          <w:rFonts w:eastAsia="MS Mincho"/>
        </w:rPr>
        <w:t xml:space="preserve"> {</w:t>
      </w:r>
    </w:p>
    <w:p w14:paraId="440721D1"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0A92F95" w14:textId="77777777" w:rsidR="00394471" w:rsidRPr="00FA0D37" w:rsidRDefault="00394471" w:rsidP="00FA0D37">
      <w:pPr>
        <w:pStyle w:val="PL"/>
      </w:pPr>
      <w:r w:rsidRPr="00FA0D37">
        <w:t xml:space="preserve">    }                                                          </w:t>
      </w:r>
      <w:r w:rsidRPr="00FA0D37">
        <w:rPr>
          <w:color w:val="993366"/>
        </w:rPr>
        <w:t>OPTIONAL</w:t>
      </w:r>
      <w:r w:rsidRPr="00FA0D37">
        <w:t>,</w:t>
      </w:r>
    </w:p>
    <w:p w14:paraId="55934D1B" w14:textId="77777777" w:rsidR="00394471" w:rsidRPr="00FA0D37" w:rsidRDefault="00394471" w:rsidP="00FA0D37">
      <w:pPr>
        <w:pStyle w:val="PL"/>
        <w:rPr>
          <w:rFonts w:eastAsia="MS Mincho"/>
        </w:rPr>
      </w:pPr>
      <w:r w:rsidRPr="00FA0D37">
        <w:t xml:space="preserve">    type1SP-Type2PS-null-r16               </w:t>
      </w:r>
      <w:r w:rsidRPr="00FA0D37">
        <w:rPr>
          <w:rFonts w:eastAsia="MS Mincho"/>
          <w:color w:val="993366"/>
        </w:rPr>
        <w:t>SEQUENCE</w:t>
      </w:r>
      <w:r w:rsidRPr="00FA0D37">
        <w:rPr>
          <w:rFonts w:eastAsia="MS Mincho"/>
        </w:rPr>
        <w:t xml:space="preserve"> {</w:t>
      </w:r>
    </w:p>
    <w:p w14:paraId="0F01E6D1"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700A9E1" w14:textId="77777777" w:rsidR="00394471" w:rsidRPr="00FA0D37" w:rsidRDefault="00394471" w:rsidP="00FA0D37">
      <w:pPr>
        <w:pStyle w:val="PL"/>
      </w:pPr>
      <w:r w:rsidRPr="00FA0D37">
        <w:t xml:space="preserve">    }                                                          </w:t>
      </w:r>
      <w:r w:rsidRPr="00FA0D37">
        <w:rPr>
          <w:color w:val="993366"/>
        </w:rPr>
        <w:t>OPTIONAL</w:t>
      </w:r>
      <w:r w:rsidRPr="00FA0D37">
        <w:t>,</w:t>
      </w:r>
    </w:p>
    <w:p w14:paraId="4F82014B" w14:textId="77777777" w:rsidR="00394471" w:rsidRPr="00FA0D37" w:rsidRDefault="00394471" w:rsidP="00FA0D37">
      <w:pPr>
        <w:pStyle w:val="PL"/>
        <w:rPr>
          <w:rFonts w:eastAsia="MS Mincho"/>
        </w:rPr>
      </w:pPr>
      <w:r w:rsidRPr="00FA0D37">
        <w:t xml:space="preserve">    type1SP-eType2R1-null-r16              </w:t>
      </w:r>
      <w:r w:rsidRPr="00FA0D37">
        <w:rPr>
          <w:rFonts w:eastAsia="MS Mincho"/>
          <w:color w:val="993366"/>
        </w:rPr>
        <w:t>SEQUENCE</w:t>
      </w:r>
      <w:r w:rsidRPr="00FA0D37">
        <w:rPr>
          <w:rFonts w:eastAsia="MS Mincho"/>
        </w:rPr>
        <w:t xml:space="preserve"> {</w:t>
      </w:r>
    </w:p>
    <w:p w14:paraId="49786AF2"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BAB9171" w14:textId="77777777" w:rsidR="00394471" w:rsidRPr="00FA0D37" w:rsidRDefault="00394471" w:rsidP="00FA0D37">
      <w:pPr>
        <w:pStyle w:val="PL"/>
      </w:pPr>
      <w:r w:rsidRPr="00FA0D37">
        <w:t xml:space="preserve">    }                                                          </w:t>
      </w:r>
      <w:r w:rsidRPr="00FA0D37">
        <w:rPr>
          <w:color w:val="993366"/>
        </w:rPr>
        <w:t>OPTIONAL</w:t>
      </w:r>
      <w:r w:rsidRPr="00FA0D37">
        <w:t>,</w:t>
      </w:r>
    </w:p>
    <w:p w14:paraId="6FF7797C" w14:textId="77777777" w:rsidR="00394471" w:rsidRPr="00FA0D37" w:rsidRDefault="00394471" w:rsidP="00FA0D37">
      <w:pPr>
        <w:pStyle w:val="PL"/>
        <w:rPr>
          <w:rFonts w:eastAsia="MS Mincho"/>
        </w:rPr>
      </w:pPr>
      <w:r w:rsidRPr="00FA0D37">
        <w:t xml:space="preserve">    type1SP-eType2R2-null-r16              </w:t>
      </w:r>
      <w:r w:rsidRPr="00FA0D37">
        <w:rPr>
          <w:rFonts w:eastAsia="MS Mincho"/>
          <w:color w:val="993366"/>
        </w:rPr>
        <w:t>SEQUENCE</w:t>
      </w:r>
      <w:r w:rsidRPr="00FA0D37">
        <w:rPr>
          <w:rFonts w:eastAsia="MS Mincho"/>
        </w:rPr>
        <w:t xml:space="preserve"> {</w:t>
      </w:r>
    </w:p>
    <w:p w14:paraId="03FC774C"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7794BCB" w14:textId="77777777" w:rsidR="00394471" w:rsidRPr="00FA0D37" w:rsidRDefault="00394471" w:rsidP="00FA0D37">
      <w:pPr>
        <w:pStyle w:val="PL"/>
      </w:pPr>
      <w:r w:rsidRPr="00FA0D37">
        <w:t xml:space="preserve">    }                                                          </w:t>
      </w:r>
      <w:r w:rsidRPr="00FA0D37">
        <w:rPr>
          <w:color w:val="993366"/>
        </w:rPr>
        <w:t>OPTIONAL</w:t>
      </w:r>
      <w:r w:rsidRPr="00FA0D37">
        <w:t>,</w:t>
      </w:r>
    </w:p>
    <w:p w14:paraId="535D7287" w14:textId="77777777" w:rsidR="00394471" w:rsidRPr="00FA0D37" w:rsidRDefault="00394471" w:rsidP="00FA0D37">
      <w:pPr>
        <w:pStyle w:val="PL"/>
        <w:rPr>
          <w:rFonts w:eastAsia="MS Mincho"/>
        </w:rPr>
      </w:pPr>
      <w:r w:rsidRPr="00FA0D37">
        <w:t xml:space="preserve">    type1SP-eType2R1PS-null-r16            </w:t>
      </w:r>
      <w:r w:rsidRPr="00FA0D37">
        <w:rPr>
          <w:rFonts w:eastAsia="MS Mincho"/>
          <w:color w:val="993366"/>
        </w:rPr>
        <w:t>SEQUENCE</w:t>
      </w:r>
      <w:r w:rsidRPr="00FA0D37">
        <w:rPr>
          <w:rFonts w:eastAsia="MS Mincho"/>
        </w:rPr>
        <w:t xml:space="preserve"> {</w:t>
      </w:r>
    </w:p>
    <w:p w14:paraId="42FF7F55"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EC4B4FF" w14:textId="77777777" w:rsidR="00394471" w:rsidRPr="00FA0D37" w:rsidRDefault="00394471" w:rsidP="00FA0D37">
      <w:pPr>
        <w:pStyle w:val="PL"/>
      </w:pPr>
      <w:r w:rsidRPr="00FA0D37">
        <w:t xml:space="preserve">    }                                                          </w:t>
      </w:r>
      <w:r w:rsidRPr="00FA0D37">
        <w:rPr>
          <w:color w:val="993366"/>
        </w:rPr>
        <w:t>OPTIONAL</w:t>
      </w:r>
      <w:r w:rsidRPr="00FA0D37">
        <w:t>,</w:t>
      </w:r>
    </w:p>
    <w:p w14:paraId="3B6081AA" w14:textId="77777777" w:rsidR="00394471" w:rsidRPr="00FA0D37" w:rsidRDefault="00394471" w:rsidP="00FA0D37">
      <w:pPr>
        <w:pStyle w:val="PL"/>
        <w:rPr>
          <w:rFonts w:eastAsia="MS Mincho"/>
        </w:rPr>
      </w:pPr>
      <w:r w:rsidRPr="00FA0D37">
        <w:t xml:space="preserve">    type1SP-eType2R2PS-null-r16            </w:t>
      </w:r>
      <w:r w:rsidRPr="00FA0D37">
        <w:rPr>
          <w:rFonts w:eastAsia="MS Mincho"/>
          <w:color w:val="993366"/>
        </w:rPr>
        <w:t>SEQUENCE</w:t>
      </w:r>
      <w:r w:rsidRPr="00FA0D37">
        <w:rPr>
          <w:rFonts w:eastAsia="MS Mincho"/>
        </w:rPr>
        <w:t xml:space="preserve"> {</w:t>
      </w:r>
    </w:p>
    <w:p w14:paraId="005B273C"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3FCDF6B" w14:textId="77777777" w:rsidR="00394471" w:rsidRPr="00FA0D37" w:rsidRDefault="00394471" w:rsidP="00FA0D37">
      <w:pPr>
        <w:pStyle w:val="PL"/>
      </w:pPr>
      <w:r w:rsidRPr="00FA0D37">
        <w:t xml:space="preserve">    }                                                          </w:t>
      </w:r>
      <w:r w:rsidRPr="00FA0D37">
        <w:rPr>
          <w:color w:val="993366"/>
        </w:rPr>
        <w:t>OPTIONAL</w:t>
      </w:r>
      <w:r w:rsidRPr="00FA0D37">
        <w:t>,</w:t>
      </w:r>
    </w:p>
    <w:p w14:paraId="5713F5AC" w14:textId="77777777" w:rsidR="00394471" w:rsidRPr="00FA0D37" w:rsidRDefault="00394471" w:rsidP="00FA0D37">
      <w:pPr>
        <w:pStyle w:val="PL"/>
        <w:rPr>
          <w:rFonts w:eastAsia="MS Mincho"/>
        </w:rPr>
      </w:pPr>
      <w:r w:rsidRPr="00FA0D37">
        <w:t xml:space="preserve">    type1SP-Type2-Type2PS-r16              </w:t>
      </w:r>
      <w:r w:rsidRPr="00FA0D37">
        <w:rPr>
          <w:rFonts w:eastAsia="MS Mincho"/>
          <w:color w:val="993366"/>
        </w:rPr>
        <w:t>SEQUENCE</w:t>
      </w:r>
      <w:r w:rsidRPr="00FA0D37">
        <w:rPr>
          <w:rFonts w:eastAsia="MS Mincho"/>
        </w:rPr>
        <w:t xml:space="preserve"> {</w:t>
      </w:r>
    </w:p>
    <w:p w14:paraId="33C49BA1"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89348A8" w14:textId="77777777" w:rsidR="00394471" w:rsidRPr="00FA0D37" w:rsidRDefault="00394471" w:rsidP="00FA0D37">
      <w:pPr>
        <w:pStyle w:val="PL"/>
      </w:pPr>
      <w:r w:rsidRPr="00FA0D37">
        <w:t xml:space="preserve">    }                                                          </w:t>
      </w:r>
      <w:r w:rsidRPr="00FA0D37">
        <w:rPr>
          <w:color w:val="993366"/>
        </w:rPr>
        <w:t>OPTIONAL</w:t>
      </w:r>
      <w:r w:rsidRPr="00FA0D37">
        <w:t>,</w:t>
      </w:r>
    </w:p>
    <w:p w14:paraId="65570E59" w14:textId="77777777" w:rsidR="00394471" w:rsidRPr="00FA0D37" w:rsidRDefault="00394471" w:rsidP="00FA0D37">
      <w:pPr>
        <w:pStyle w:val="PL"/>
        <w:rPr>
          <w:rFonts w:eastAsia="MS Mincho"/>
        </w:rPr>
      </w:pPr>
      <w:r w:rsidRPr="00FA0D37">
        <w:t xml:space="preserve">    type1MP-Type2-null-r16                 </w:t>
      </w:r>
      <w:r w:rsidRPr="00FA0D37">
        <w:rPr>
          <w:rFonts w:eastAsia="MS Mincho"/>
          <w:color w:val="993366"/>
        </w:rPr>
        <w:t>SEQUENCE</w:t>
      </w:r>
      <w:r w:rsidRPr="00FA0D37">
        <w:rPr>
          <w:rFonts w:eastAsia="MS Mincho"/>
        </w:rPr>
        <w:t xml:space="preserve"> {</w:t>
      </w:r>
    </w:p>
    <w:p w14:paraId="57CE6ACF"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4E4786B" w14:textId="77777777" w:rsidR="00394471" w:rsidRPr="00FA0D37" w:rsidRDefault="00394471" w:rsidP="00FA0D37">
      <w:pPr>
        <w:pStyle w:val="PL"/>
      </w:pPr>
      <w:r w:rsidRPr="00FA0D37">
        <w:t xml:space="preserve">    }                                                          </w:t>
      </w:r>
      <w:r w:rsidRPr="00FA0D37">
        <w:rPr>
          <w:color w:val="993366"/>
        </w:rPr>
        <w:t>OPTIONAL</w:t>
      </w:r>
      <w:r w:rsidRPr="00FA0D37">
        <w:t>,</w:t>
      </w:r>
    </w:p>
    <w:p w14:paraId="6BEC65F4" w14:textId="77777777" w:rsidR="00394471" w:rsidRPr="00FA0D37" w:rsidRDefault="00394471" w:rsidP="00FA0D37">
      <w:pPr>
        <w:pStyle w:val="PL"/>
        <w:rPr>
          <w:rFonts w:eastAsia="MS Mincho"/>
        </w:rPr>
      </w:pPr>
      <w:r w:rsidRPr="00FA0D37">
        <w:t xml:space="preserve">    type1MP-Type2PS-null-r16               </w:t>
      </w:r>
      <w:r w:rsidRPr="00FA0D37">
        <w:rPr>
          <w:rFonts w:eastAsia="MS Mincho"/>
          <w:color w:val="993366"/>
        </w:rPr>
        <w:t>SEQUENCE</w:t>
      </w:r>
      <w:r w:rsidRPr="00FA0D37">
        <w:rPr>
          <w:rFonts w:eastAsia="MS Mincho"/>
        </w:rPr>
        <w:t xml:space="preserve"> {</w:t>
      </w:r>
    </w:p>
    <w:p w14:paraId="67102D9C"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2B2B021" w14:textId="77777777" w:rsidR="00394471" w:rsidRPr="00FA0D37" w:rsidRDefault="00394471" w:rsidP="00FA0D37">
      <w:pPr>
        <w:pStyle w:val="PL"/>
      </w:pPr>
      <w:r w:rsidRPr="00FA0D37">
        <w:t xml:space="preserve">    }                                                          </w:t>
      </w:r>
      <w:r w:rsidRPr="00FA0D37">
        <w:rPr>
          <w:color w:val="993366"/>
        </w:rPr>
        <w:t>OPTIONAL</w:t>
      </w:r>
      <w:r w:rsidRPr="00FA0D37">
        <w:t>,</w:t>
      </w:r>
    </w:p>
    <w:p w14:paraId="4C1BE8DC" w14:textId="77777777" w:rsidR="00394471" w:rsidRPr="00FA0D37" w:rsidRDefault="00394471" w:rsidP="00FA0D37">
      <w:pPr>
        <w:pStyle w:val="PL"/>
        <w:rPr>
          <w:rFonts w:eastAsia="MS Mincho"/>
        </w:rPr>
      </w:pPr>
      <w:r w:rsidRPr="00FA0D37">
        <w:t xml:space="preserve">    type1MP-eType2R1-null-r16              </w:t>
      </w:r>
      <w:r w:rsidRPr="00FA0D37">
        <w:rPr>
          <w:rFonts w:eastAsia="MS Mincho"/>
          <w:color w:val="993366"/>
        </w:rPr>
        <w:t>SEQUENCE</w:t>
      </w:r>
      <w:r w:rsidRPr="00FA0D37">
        <w:rPr>
          <w:rFonts w:eastAsia="MS Mincho"/>
        </w:rPr>
        <w:t xml:space="preserve"> {</w:t>
      </w:r>
    </w:p>
    <w:p w14:paraId="65C117F6"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BC1229E" w14:textId="77777777" w:rsidR="00394471" w:rsidRPr="00FA0D37" w:rsidRDefault="00394471" w:rsidP="00FA0D37">
      <w:pPr>
        <w:pStyle w:val="PL"/>
      </w:pPr>
      <w:r w:rsidRPr="00FA0D37">
        <w:t xml:space="preserve">    }                                                          </w:t>
      </w:r>
      <w:r w:rsidRPr="00FA0D37">
        <w:rPr>
          <w:color w:val="993366"/>
        </w:rPr>
        <w:t>OPTIONAL</w:t>
      </w:r>
      <w:r w:rsidRPr="00FA0D37">
        <w:t>,</w:t>
      </w:r>
    </w:p>
    <w:p w14:paraId="7B59D09A" w14:textId="77777777" w:rsidR="00394471" w:rsidRPr="00FA0D37" w:rsidRDefault="00394471" w:rsidP="00FA0D37">
      <w:pPr>
        <w:pStyle w:val="PL"/>
        <w:rPr>
          <w:rFonts w:eastAsia="MS Mincho"/>
        </w:rPr>
      </w:pPr>
      <w:r w:rsidRPr="00FA0D37">
        <w:t xml:space="preserve">    type1MP-eType2R2-null-r16              </w:t>
      </w:r>
      <w:r w:rsidRPr="00FA0D37">
        <w:rPr>
          <w:rFonts w:eastAsia="MS Mincho"/>
          <w:color w:val="993366"/>
        </w:rPr>
        <w:t>SEQUENCE</w:t>
      </w:r>
      <w:r w:rsidRPr="00FA0D37">
        <w:rPr>
          <w:rFonts w:eastAsia="MS Mincho"/>
        </w:rPr>
        <w:t xml:space="preserve"> {</w:t>
      </w:r>
    </w:p>
    <w:p w14:paraId="3FA48F8B"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7239B0B" w14:textId="77777777" w:rsidR="00394471" w:rsidRPr="00FA0D37" w:rsidRDefault="00394471" w:rsidP="00FA0D37">
      <w:pPr>
        <w:pStyle w:val="PL"/>
      </w:pPr>
      <w:r w:rsidRPr="00FA0D37">
        <w:t xml:space="preserve">    }                                                          </w:t>
      </w:r>
      <w:r w:rsidRPr="00FA0D37">
        <w:rPr>
          <w:color w:val="993366"/>
        </w:rPr>
        <w:t>OPTIONAL</w:t>
      </w:r>
      <w:r w:rsidRPr="00FA0D37">
        <w:t>,</w:t>
      </w:r>
    </w:p>
    <w:p w14:paraId="1BFFBCC8" w14:textId="77777777" w:rsidR="00394471" w:rsidRPr="00FA0D37" w:rsidRDefault="00394471" w:rsidP="00FA0D37">
      <w:pPr>
        <w:pStyle w:val="PL"/>
        <w:rPr>
          <w:rFonts w:eastAsia="MS Mincho"/>
        </w:rPr>
      </w:pPr>
      <w:r w:rsidRPr="00FA0D37">
        <w:t xml:space="preserve">    type1MP-eType2R1PS-null-r16            </w:t>
      </w:r>
      <w:r w:rsidRPr="00FA0D37">
        <w:rPr>
          <w:rFonts w:eastAsia="MS Mincho"/>
          <w:color w:val="993366"/>
        </w:rPr>
        <w:t>SEQUENCE</w:t>
      </w:r>
      <w:r w:rsidRPr="00FA0D37">
        <w:rPr>
          <w:rFonts w:eastAsia="MS Mincho"/>
        </w:rPr>
        <w:t xml:space="preserve"> {</w:t>
      </w:r>
    </w:p>
    <w:p w14:paraId="3CF9F895"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CC2413F" w14:textId="77777777" w:rsidR="00394471" w:rsidRPr="00FA0D37" w:rsidRDefault="00394471" w:rsidP="00FA0D37">
      <w:pPr>
        <w:pStyle w:val="PL"/>
      </w:pPr>
      <w:r w:rsidRPr="00FA0D37">
        <w:t xml:space="preserve">    }                                                          </w:t>
      </w:r>
      <w:r w:rsidRPr="00FA0D37">
        <w:rPr>
          <w:color w:val="993366"/>
        </w:rPr>
        <w:t>OPTIONAL</w:t>
      </w:r>
      <w:r w:rsidRPr="00FA0D37">
        <w:t>,</w:t>
      </w:r>
    </w:p>
    <w:p w14:paraId="234DF4EA" w14:textId="77777777" w:rsidR="00394471" w:rsidRPr="00FA0D37" w:rsidRDefault="00394471" w:rsidP="00FA0D37">
      <w:pPr>
        <w:pStyle w:val="PL"/>
        <w:rPr>
          <w:rFonts w:eastAsia="MS Mincho"/>
        </w:rPr>
      </w:pPr>
      <w:r w:rsidRPr="00FA0D37">
        <w:t xml:space="preserve">    type1MP-eType2R2PS-null-r16            </w:t>
      </w:r>
      <w:r w:rsidRPr="00FA0D37">
        <w:rPr>
          <w:rFonts w:eastAsia="MS Mincho"/>
          <w:color w:val="993366"/>
        </w:rPr>
        <w:t>SEQUENCE</w:t>
      </w:r>
      <w:r w:rsidRPr="00FA0D37">
        <w:rPr>
          <w:rFonts w:eastAsia="MS Mincho"/>
        </w:rPr>
        <w:t xml:space="preserve"> {</w:t>
      </w:r>
    </w:p>
    <w:p w14:paraId="00B9857C"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8429CAB" w14:textId="77777777" w:rsidR="00394471" w:rsidRPr="00FA0D37" w:rsidRDefault="00394471" w:rsidP="00FA0D37">
      <w:pPr>
        <w:pStyle w:val="PL"/>
      </w:pPr>
      <w:r w:rsidRPr="00FA0D37">
        <w:t xml:space="preserve">    }                                                          </w:t>
      </w:r>
      <w:r w:rsidRPr="00FA0D37">
        <w:rPr>
          <w:color w:val="993366"/>
        </w:rPr>
        <w:t>OPTIONAL</w:t>
      </w:r>
      <w:r w:rsidRPr="00FA0D37">
        <w:t>,</w:t>
      </w:r>
    </w:p>
    <w:p w14:paraId="5E8135EB" w14:textId="77777777" w:rsidR="00394471" w:rsidRPr="00FA0D37" w:rsidRDefault="00394471" w:rsidP="00FA0D37">
      <w:pPr>
        <w:pStyle w:val="PL"/>
        <w:rPr>
          <w:rFonts w:eastAsia="MS Mincho"/>
        </w:rPr>
      </w:pPr>
      <w:r w:rsidRPr="00FA0D37">
        <w:t xml:space="preserve">    type1MP-Type2-Type2PS-r16              </w:t>
      </w:r>
      <w:r w:rsidRPr="00FA0D37">
        <w:rPr>
          <w:rFonts w:eastAsia="MS Mincho"/>
          <w:color w:val="993366"/>
        </w:rPr>
        <w:t>SEQUENCE</w:t>
      </w:r>
      <w:r w:rsidRPr="00FA0D37">
        <w:rPr>
          <w:rFonts w:eastAsia="MS Mincho"/>
        </w:rPr>
        <w:t xml:space="preserve"> {</w:t>
      </w:r>
    </w:p>
    <w:p w14:paraId="1DFE6FF6" w14:textId="77777777" w:rsidR="00394471" w:rsidRPr="00FA0D37" w:rsidRDefault="00394471" w:rsidP="00FA0D37">
      <w:pPr>
        <w:pStyle w:val="PL"/>
      </w:pPr>
      <w:r w:rsidRPr="00FA0D37">
        <w:t xml:space="preserve">        </w:t>
      </w:r>
      <w:r w:rsidRPr="00FA0D37">
        <w:rPr>
          <w:rFonts w:eastAsia="MS Mincho"/>
        </w:rPr>
        <w:t>supportedCSI-RS-ResourceListAdd-r16</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519DFF2" w14:textId="77777777" w:rsidR="00394471" w:rsidRPr="00FA0D37" w:rsidRDefault="00394471" w:rsidP="00FA0D37">
      <w:pPr>
        <w:pStyle w:val="PL"/>
      </w:pPr>
      <w:r w:rsidRPr="00FA0D37">
        <w:lastRenderedPageBreak/>
        <w:t xml:space="preserve">    }                                                          </w:t>
      </w:r>
      <w:r w:rsidRPr="00FA0D37">
        <w:rPr>
          <w:color w:val="993366"/>
        </w:rPr>
        <w:t>OPTIONAL</w:t>
      </w:r>
    </w:p>
    <w:p w14:paraId="0CB12DDE" w14:textId="77777777" w:rsidR="00394471" w:rsidRPr="00FA0D37" w:rsidRDefault="00394471" w:rsidP="00FA0D37">
      <w:pPr>
        <w:pStyle w:val="PL"/>
      </w:pPr>
      <w:r w:rsidRPr="00FA0D37">
        <w:t>}</w:t>
      </w:r>
    </w:p>
    <w:p w14:paraId="41FF427D" w14:textId="77777777" w:rsidR="002E309C" w:rsidRPr="00FA0D37" w:rsidRDefault="002E309C" w:rsidP="00FA0D37">
      <w:pPr>
        <w:pStyle w:val="PL"/>
      </w:pPr>
    </w:p>
    <w:p w14:paraId="78A698FD" w14:textId="558DC57D" w:rsidR="002E309C" w:rsidRPr="00FA0D37" w:rsidRDefault="002E309C" w:rsidP="00FA0D37">
      <w:pPr>
        <w:pStyle w:val="PL"/>
      </w:pPr>
      <w:r w:rsidRPr="00FA0D37">
        <w:t xml:space="preserve">CodebookParametersfetype2-r17 ::= </w:t>
      </w:r>
      <w:r w:rsidRPr="00FA0D37">
        <w:rPr>
          <w:color w:val="993366"/>
        </w:rPr>
        <w:t>SEQUENCE</w:t>
      </w:r>
      <w:r w:rsidRPr="00FA0D37">
        <w:t xml:space="preserve"> {</w:t>
      </w:r>
    </w:p>
    <w:p w14:paraId="2A480B1C" w14:textId="6801926F" w:rsidR="002E309C" w:rsidRPr="00FA0D37" w:rsidRDefault="002E309C" w:rsidP="00FA0D37">
      <w:pPr>
        <w:pStyle w:val="PL"/>
        <w:rPr>
          <w:color w:val="808080"/>
        </w:rPr>
      </w:pPr>
      <w:r w:rsidRPr="00FA0D37">
        <w:t xml:space="preserve">    </w:t>
      </w:r>
      <w:r w:rsidRPr="00FA0D37">
        <w:rPr>
          <w:color w:val="808080"/>
        </w:rPr>
        <w:t>-- R1 23-9-1  Basic Features of Further Enhanced Port-Selection Type II Codebook (FeType-II)</w:t>
      </w:r>
    </w:p>
    <w:p w14:paraId="4B670868" w14:textId="29174D14" w:rsidR="00153BC9" w:rsidRPr="00FA0D37" w:rsidRDefault="002E309C" w:rsidP="00FA0D37">
      <w:pPr>
        <w:pStyle w:val="PL"/>
      </w:pPr>
      <w:r w:rsidRPr="00FA0D37">
        <w:t xml:space="preserve">    fetype2basic-r17        </w:t>
      </w:r>
      <w:r w:rsidRPr="00FA0D37">
        <w:rPr>
          <w:color w:val="993366"/>
        </w:rPr>
        <w:t>SEQUENCE</w:t>
      </w:r>
      <w:r w:rsidRPr="00FA0D37">
        <w:t xml:space="preserve"> (</w:t>
      </w:r>
      <w:r w:rsidRPr="00FA0D37">
        <w:rPr>
          <w:color w:val="993366"/>
        </w:rPr>
        <w:t>SIZE</w:t>
      </w:r>
      <w:r w:rsidRPr="00FA0D37">
        <w:t xml:space="preserve"> (1.. 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r w:rsidR="00153BC9" w:rsidRPr="00FA0D37">
        <w:t>,</w:t>
      </w:r>
    </w:p>
    <w:p w14:paraId="099F5FEC" w14:textId="041C43F0" w:rsidR="002E309C" w:rsidRPr="00FA0D37" w:rsidRDefault="002E309C" w:rsidP="00FA0D37">
      <w:pPr>
        <w:pStyle w:val="PL"/>
        <w:rPr>
          <w:color w:val="808080"/>
        </w:rPr>
      </w:pPr>
      <w:r w:rsidRPr="00FA0D37">
        <w:t xml:space="preserve">    </w:t>
      </w:r>
      <w:r w:rsidRPr="00FA0D37">
        <w:rPr>
          <w:color w:val="808080"/>
        </w:rPr>
        <w:t>-- R1 23-9-2  Support of M=2 and R=1 for FeType-II</w:t>
      </w:r>
    </w:p>
    <w:p w14:paraId="422F8D18" w14:textId="7254C611" w:rsidR="002E309C" w:rsidRPr="00FA0D37" w:rsidRDefault="002E309C" w:rsidP="00FA0D37">
      <w:pPr>
        <w:pStyle w:val="PL"/>
      </w:pPr>
      <w:r w:rsidRPr="00FA0D37">
        <w:t xml:space="preserve">    fetype2R1-</w:t>
      </w:r>
      <w:r w:rsidR="00153BC9" w:rsidRPr="00FA0D37">
        <w:t>r</w:t>
      </w:r>
      <w:r w:rsidRPr="00FA0D37">
        <w:t xml:space="preserve">17        </w:t>
      </w:r>
      <w:r w:rsidR="00691952"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(1..maxNrofCSI-RS-ResourcesExt-r17))</w:t>
      </w:r>
      <w:r w:rsidRPr="00FA0D37">
        <w:rPr>
          <w:color w:val="993366"/>
        </w:rPr>
        <w:t xml:space="preserve"> OF</w:t>
      </w:r>
      <w:r w:rsidRPr="00FA0D37">
        <w:t xml:space="preserve"> </w:t>
      </w:r>
      <w:r w:rsidRPr="00FA0D37">
        <w:rPr>
          <w:color w:val="993366"/>
        </w:rPr>
        <w:t>INTEGER</w:t>
      </w:r>
      <w:r w:rsidRPr="00FA0D37">
        <w:t xml:space="preserve"> (0.. maxNrofCSI-RS-ResourcesAlt-1-r16)</w:t>
      </w:r>
    </w:p>
    <w:p w14:paraId="35449993" w14:textId="4132A17A" w:rsidR="002E309C" w:rsidRPr="00FA0D37" w:rsidRDefault="002E309C" w:rsidP="00FA0D37">
      <w:pPr>
        <w:pStyle w:val="PL"/>
      </w:pPr>
      <w:r w:rsidRPr="00FA0D37">
        <w:t xml:space="preserve">                                                       </w:t>
      </w:r>
      <w:r w:rsidRPr="00FA0D37">
        <w:rPr>
          <w:color w:val="993366"/>
        </w:rPr>
        <w:t>OPTIONAL</w:t>
      </w:r>
      <w:r w:rsidRPr="00FA0D37">
        <w:t>,</w:t>
      </w:r>
    </w:p>
    <w:p w14:paraId="4ABFCDAB" w14:textId="77777777" w:rsidR="00F747EB" w:rsidRPr="00FA0D37" w:rsidRDefault="002E309C" w:rsidP="00FA0D37">
      <w:pPr>
        <w:pStyle w:val="PL"/>
        <w:rPr>
          <w:color w:val="808080"/>
        </w:rPr>
      </w:pPr>
      <w:r w:rsidRPr="00FA0D37">
        <w:t xml:space="preserve">    </w:t>
      </w:r>
      <w:r w:rsidRPr="00FA0D37">
        <w:rPr>
          <w:color w:val="808080"/>
        </w:rPr>
        <w:t>-- R1 23-9-4  Support of R = 2 for FeType-II</w:t>
      </w:r>
    </w:p>
    <w:p w14:paraId="44158D64" w14:textId="393F65A0" w:rsidR="002E309C" w:rsidRPr="00FA0D37" w:rsidRDefault="002E309C" w:rsidP="00FA0D37">
      <w:pPr>
        <w:pStyle w:val="PL"/>
      </w:pPr>
      <w:r w:rsidRPr="00FA0D37">
        <w:t xml:space="preserve">    fetype2R2-r17        </w:t>
      </w:r>
      <w:r w:rsidR="00691952"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(1..maxNrofCSI-RS-ResourcesExt-r17))</w:t>
      </w:r>
      <w:r w:rsidRPr="00FA0D37">
        <w:rPr>
          <w:color w:val="993366"/>
        </w:rPr>
        <w:t xml:space="preserve"> OF</w:t>
      </w:r>
      <w:r w:rsidRPr="00FA0D37">
        <w:t xml:space="preserve"> </w:t>
      </w:r>
      <w:r w:rsidRPr="00FA0D37">
        <w:rPr>
          <w:color w:val="993366"/>
        </w:rPr>
        <w:t>INTEGER</w:t>
      </w:r>
      <w:r w:rsidRPr="00FA0D37">
        <w:t xml:space="preserve"> (0.. maxNrofCSI-RS-ResourcesAlt-1-r16)</w:t>
      </w:r>
    </w:p>
    <w:p w14:paraId="667F64E6" w14:textId="5025D606" w:rsidR="002E309C" w:rsidRPr="00FA0D37" w:rsidRDefault="002E309C" w:rsidP="00FA0D37">
      <w:pPr>
        <w:pStyle w:val="PL"/>
      </w:pPr>
      <w:r w:rsidRPr="00FA0D37">
        <w:t xml:space="preserve">                                                       </w:t>
      </w:r>
      <w:r w:rsidRPr="00FA0D37">
        <w:rPr>
          <w:color w:val="993366"/>
        </w:rPr>
        <w:t>OPTIONAL</w:t>
      </w:r>
      <w:r w:rsidRPr="00FA0D37">
        <w:t>,</w:t>
      </w:r>
    </w:p>
    <w:p w14:paraId="2900FEE3" w14:textId="0192D4A9" w:rsidR="002E309C" w:rsidRPr="00FA0D37" w:rsidRDefault="002E309C" w:rsidP="00FA0D37">
      <w:pPr>
        <w:pStyle w:val="PL"/>
        <w:rPr>
          <w:color w:val="808080"/>
        </w:rPr>
      </w:pPr>
      <w:r w:rsidRPr="00FA0D37">
        <w:t xml:space="preserve">    </w:t>
      </w:r>
      <w:r w:rsidRPr="00FA0D37">
        <w:rPr>
          <w:color w:val="808080"/>
        </w:rPr>
        <w:t>-- R1 23-9-3  Support of rank 3, 4 for FeType-II</w:t>
      </w:r>
    </w:p>
    <w:p w14:paraId="263F12D9" w14:textId="169B4768" w:rsidR="002E309C" w:rsidRPr="00FA0D37" w:rsidRDefault="002E309C" w:rsidP="00FA0D37">
      <w:pPr>
        <w:pStyle w:val="PL"/>
      </w:pPr>
      <w:r w:rsidRPr="00FA0D37">
        <w:t xml:space="preserve">    fetype2Rank3Rank4-r17   </w:t>
      </w:r>
      <w:r w:rsidRPr="00FA0D37">
        <w:rPr>
          <w:color w:val="993366"/>
        </w:rPr>
        <w:t>ENUMERATED</w:t>
      </w:r>
      <w:r w:rsidRPr="00FA0D37">
        <w:t xml:space="preserve"> {supported}     </w:t>
      </w:r>
      <w:r w:rsidRPr="00FA0D37">
        <w:rPr>
          <w:color w:val="993366"/>
        </w:rPr>
        <w:t>OPTIONAL</w:t>
      </w:r>
    </w:p>
    <w:p w14:paraId="5CC2D424" w14:textId="77777777" w:rsidR="002E309C" w:rsidRPr="00FA0D37" w:rsidRDefault="002E309C" w:rsidP="00FA0D37">
      <w:pPr>
        <w:pStyle w:val="PL"/>
      </w:pPr>
      <w:r w:rsidRPr="00FA0D37">
        <w:t>}</w:t>
      </w:r>
    </w:p>
    <w:p w14:paraId="04396728" w14:textId="3BBAA720" w:rsidR="00394471" w:rsidRPr="00FA0D37" w:rsidRDefault="00394471" w:rsidP="00FA0D37">
      <w:pPr>
        <w:pStyle w:val="PL"/>
      </w:pPr>
    </w:p>
    <w:p w14:paraId="30B136D5" w14:textId="399F7A80" w:rsidR="00DC7999" w:rsidRPr="00FA0D37" w:rsidRDefault="00DC7999" w:rsidP="00FA0D37">
      <w:pPr>
        <w:pStyle w:val="PL"/>
      </w:pPr>
      <w:r w:rsidRPr="00FA0D37">
        <w:t xml:space="preserve">CodebookComboParameterMixedType-r17 ::= </w:t>
      </w:r>
      <w:r w:rsidRPr="00FA0D37">
        <w:rPr>
          <w:color w:val="993366"/>
        </w:rPr>
        <w:t>SEQUENCE</w:t>
      </w:r>
      <w:r w:rsidRPr="00FA0D37">
        <w:t xml:space="preserve"> {</w:t>
      </w:r>
    </w:p>
    <w:p w14:paraId="199166D1" w14:textId="77777777" w:rsidR="00DC7999" w:rsidRPr="00FA0D37" w:rsidRDefault="00DC7999" w:rsidP="00FA0D37">
      <w:pPr>
        <w:pStyle w:val="PL"/>
        <w:rPr>
          <w:color w:val="808080"/>
        </w:rPr>
      </w:pPr>
      <w:r w:rsidRPr="00FA0D37">
        <w:t xml:space="preserve">    </w:t>
      </w:r>
      <w:r w:rsidRPr="00FA0D37">
        <w:rPr>
          <w:color w:val="808080"/>
        </w:rPr>
        <w:t>-- R1 23-9-5 Active CSI-RS resources and ports for mixed codebook types in any slot</w:t>
      </w:r>
    </w:p>
    <w:p w14:paraId="7A2226CE" w14:textId="520A6FF7" w:rsidR="00DC7999" w:rsidRPr="00FA0D37" w:rsidRDefault="00DC7999" w:rsidP="00FA0D37">
      <w:pPr>
        <w:pStyle w:val="PL"/>
      </w:pPr>
      <w:r w:rsidRPr="00FA0D37">
        <w:t xml:space="preserve">    type1SP-feType2PS-null-r17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B37A699" w14:textId="77777777" w:rsidR="00DC7999" w:rsidRPr="00FA0D37" w:rsidRDefault="00DC7999" w:rsidP="00FA0D37">
      <w:pPr>
        <w:pStyle w:val="PL"/>
      </w:pPr>
      <w:r w:rsidRPr="00FA0D37">
        <w:t xml:space="preserve">                                                               </w:t>
      </w:r>
      <w:r w:rsidRPr="00FA0D37">
        <w:rPr>
          <w:color w:val="993366"/>
        </w:rPr>
        <w:t>OPTIONAL</w:t>
      </w:r>
      <w:r w:rsidRPr="00FA0D37">
        <w:t>,</w:t>
      </w:r>
    </w:p>
    <w:p w14:paraId="70FEF580" w14:textId="77777777" w:rsidR="00DC7999" w:rsidRPr="00FA0D37" w:rsidRDefault="00DC7999" w:rsidP="00FA0D37">
      <w:pPr>
        <w:pStyle w:val="PL"/>
      </w:pPr>
      <w:r w:rsidRPr="00FA0D37">
        <w:t xml:space="preserve">    type1SP-feType2PS-M2R1-null-r17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01D1901" w14:textId="77777777" w:rsidR="00DC7999" w:rsidRPr="00FA0D37" w:rsidRDefault="00DC7999" w:rsidP="00FA0D37">
      <w:pPr>
        <w:pStyle w:val="PL"/>
      </w:pPr>
      <w:r w:rsidRPr="00FA0D37">
        <w:t xml:space="preserve">                                                               </w:t>
      </w:r>
      <w:r w:rsidRPr="00FA0D37">
        <w:rPr>
          <w:color w:val="993366"/>
        </w:rPr>
        <w:t>OPTIONAL</w:t>
      </w:r>
      <w:r w:rsidRPr="00FA0D37">
        <w:t>,</w:t>
      </w:r>
    </w:p>
    <w:p w14:paraId="7754E53F" w14:textId="7EC80C04" w:rsidR="00DC7999" w:rsidRPr="00FA0D37" w:rsidRDefault="00DC7999" w:rsidP="00FA0D37">
      <w:pPr>
        <w:pStyle w:val="PL"/>
      </w:pPr>
      <w:r w:rsidRPr="00FA0D37">
        <w:t xml:space="preserve">    type1SP-feType2PS-M2R2-null-r1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EEB9056" w14:textId="771ED288" w:rsidR="00DC7999" w:rsidRPr="00FA0D37" w:rsidRDefault="00DC7999" w:rsidP="00FA0D37">
      <w:pPr>
        <w:pStyle w:val="PL"/>
      </w:pPr>
      <w:r w:rsidRPr="00FA0D37">
        <w:t xml:space="preserve">                                                              </w:t>
      </w:r>
      <w:r w:rsidR="00977C82" w:rsidRPr="00FA0D37">
        <w:t xml:space="preserve"> </w:t>
      </w:r>
      <w:r w:rsidRPr="00FA0D37">
        <w:rPr>
          <w:color w:val="993366"/>
        </w:rPr>
        <w:t>OPTIONAL</w:t>
      </w:r>
      <w:r w:rsidRPr="00FA0D37">
        <w:t>,</w:t>
      </w:r>
    </w:p>
    <w:p w14:paraId="7E0CEB0F" w14:textId="0DDE4523" w:rsidR="00DC7999" w:rsidRPr="00FA0D37" w:rsidRDefault="00DC7999" w:rsidP="00FA0D37">
      <w:pPr>
        <w:pStyle w:val="PL"/>
      </w:pPr>
      <w:r w:rsidRPr="00FA0D37">
        <w:t xml:space="preserve">    type1SP-Type2-feType2-PS-M1-r17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0A2AB04" w14:textId="77777777" w:rsidR="00DC7999" w:rsidRPr="00FA0D37" w:rsidRDefault="00DC7999" w:rsidP="00FA0D37">
      <w:pPr>
        <w:pStyle w:val="PL"/>
      </w:pPr>
      <w:r w:rsidRPr="00FA0D37">
        <w:t xml:space="preserve">                                                               </w:t>
      </w:r>
      <w:r w:rsidRPr="00FA0D37">
        <w:rPr>
          <w:color w:val="993366"/>
        </w:rPr>
        <w:t>OPTIONAL</w:t>
      </w:r>
      <w:r w:rsidRPr="00FA0D37">
        <w:t>,</w:t>
      </w:r>
    </w:p>
    <w:p w14:paraId="0B878901" w14:textId="3019966D" w:rsidR="00DC7999" w:rsidRPr="00FA0D37" w:rsidRDefault="00DC7999" w:rsidP="00FA0D37">
      <w:pPr>
        <w:pStyle w:val="PL"/>
      </w:pPr>
      <w:r w:rsidRPr="00FA0D37">
        <w:t xml:space="preserve">    type1SP-Type2-feType2-PS-M2R1-r17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99FA8F4" w14:textId="77777777" w:rsidR="00DC7999" w:rsidRPr="00FA0D37" w:rsidRDefault="00DC7999" w:rsidP="00FA0D37">
      <w:pPr>
        <w:pStyle w:val="PL"/>
      </w:pPr>
      <w:r w:rsidRPr="00FA0D37">
        <w:t xml:space="preserve">                                                               </w:t>
      </w:r>
      <w:r w:rsidRPr="00FA0D37">
        <w:rPr>
          <w:color w:val="993366"/>
        </w:rPr>
        <w:t>OPTIONAL</w:t>
      </w:r>
      <w:r w:rsidRPr="00FA0D37">
        <w:t>,</w:t>
      </w:r>
    </w:p>
    <w:p w14:paraId="2D217E52" w14:textId="77777777" w:rsidR="00DC7999" w:rsidRPr="00FA0D37" w:rsidRDefault="00DC7999" w:rsidP="00FA0D37">
      <w:pPr>
        <w:pStyle w:val="PL"/>
      </w:pPr>
      <w:r w:rsidRPr="00FA0D37">
        <w:t xml:space="preserve">    type1SP-eType2R1-feType2-PS-M1-r17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8F7D5EB" w14:textId="77777777" w:rsidR="00DC7999" w:rsidRPr="00FA0D37" w:rsidRDefault="00DC7999" w:rsidP="00FA0D37">
      <w:pPr>
        <w:pStyle w:val="PL"/>
      </w:pPr>
      <w:r w:rsidRPr="00FA0D37">
        <w:t xml:space="preserve">                                                               </w:t>
      </w:r>
      <w:r w:rsidRPr="00FA0D37">
        <w:rPr>
          <w:color w:val="993366"/>
        </w:rPr>
        <w:t>OPTIONAL</w:t>
      </w:r>
      <w:r w:rsidRPr="00FA0D37">
        <w:t>,</w:t>
      </w:r>
    </w:p>
    <w:p w14:paraId="56D6992C" w14:textId="2F51ED68" w:rsidR="00DC7999" w:rsidRPr="00FA0D37" w:rsidRDefault="00DC7999" w:rsidP="00FA0D37">
      <w:pPr>
        <w:pStyle w:val="PL"/>
      </w:pPr>
      <w:r w:rsidRPr="00FA0D37">
        <w:t xml:space="preserve">    type1SP-eType2R1-feType2-PS-M2R1-r17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1BF101E" w14:textId="77777777" w:rsidR="00DC7999" w:rsidRPr="00FA0D37" w:rsidRDefault="00DC7999" w:rsidP="00FA0D37">
      <w:pPr>
        <w:pStyle w:val="PL"/>
      </w:pPr>
      <w:r w:rsidRPr="00FA0D37">
        <w:t xml:space="preserve">                                                               </w:t>
      </w:r>
      <w:r w:rsidRPr="00FA0D37">
        <w:rPr>
          <w:color w:val="993366"/>
        </w:rPr>
        <w:t>OPTIONAL</w:t>
      </w:r>
      <w:r w:rsidRPr="00FA0D37">
        <w:t>,</w:t>
      </w:r>
    </w:p>
    <w:p w14:paraId="19DA0E4A" w14:textId="0D220B5F" w:rsidR="00DC7999" w:rsidRPr="00FA0D37" w:rsidRDefault="00DC7999" w:rsidP="00FA0D37">
      <w:pPr>
        <w:pStyle w:val="PL"/>
      </w:pPr>
      <w:r w:rsidRPr="00FA0D37">
        <w:t xml:space="preserve">    type1MP-feType2PS-null-r17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D62F9FC" w14:textId="77777777" w:rsidR="00DC7999" w:rsidRPr="00FA0D37" w:rsidRDefault="00DC7999" w:rsidP="00FA0D37">
      <w:pPr>
        <w:pStyle w:val="PL"/>
      </w:pPr>
      <w:r w:rsidRPr="00FA0D37">
        <w:t xml:space="preserve">                                                               </w:t>
      </w:r>
      <w:r w:rsidRPr="00FA0D37">
        <w:rPr>
          <w:color w:val="993366"/>
        </w:rPr>
        <w:t>OPTIONAL</w:t>
      </w:r>
      <w:r w:rsidRPr="00FA0D37">
        <w:t>,</w:t>
      </w:r>
    </w:p>
    <w:p w14:paraId="391D25DE" w14:textId="33640ABB" w:rsidR="00DC7999" w:rsidRPr="00FA0D37" w:rsidRDefault="00DC7999" w:rsidP="00FA0D37">
      <w:pPr>
        <w:pStyle w:val="PL"/>
      </w:pPr>
      <w:r w:rsidRPr="00FA0D37">
        <w:t xml:space="preserve">    type1MP-feType2PS-M2R1-null-r17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E429003" w14:textId="77777777" w:rsidR="00DC7999" w:rsidRPr="00FA0D37" w:rsidRDefault="00DC7999" w:rsidP="00FA0D37">
      <w:pPr>
        <w:pStyle w:val="PL"/>
      </w:pPr>
      <w:r w:rsidRPr="00FA0D37">
        <w:t xml:space="preserve">                                                               </w:t>
      </w:r>
      <w:r w:rsidRPr="00FA0D37">
        <w:rPr>
          <w:color w:val="993366"/>
        </w:rPr>
        <w:t>OPTIONAL</w:t>
      </w:r>
      <w:r w:rsidRPr="00FA0D37">
        <w:t>,</w:t>
      </w:r>
    </w:p>
    <w:p w14:paraId="4A9B9F2D" w14:textId="357895B0" w:rsidR="00DC7999" w:rsidRPr="00FA0D37" w:rsidRDefault="00DC7999" w:rsidP="00FA0D37">
      <w:pPr>
        <w:pStyle w:val="PL"/>
      </w:pPr>
      <w:r w:rsidRPr="00FA0D37">
        <w:t xml:space="preserve">    type1MP-feType2PS-M2R2-null-r17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F366441" w14:textId="208FF68D" w:rsidR="00DC7999" w:rsidRPr="00FA0D37" w:rsidRDefault="00DC7999" w:rsidP="00FA0D37">
      <w:pPr>
        <w:pStyle w:val="PL"/>
      </w:pPr>
      <w:r w:rsidRPr="00FA0D37">
        <w:t xml:space="preserve">                                                              </w:t>
      </w:r>
      <w:r w:rsidR="00977C82" w:rsidRPr="00FA0D37">
        <w:t xml:space="preserve"> </w:t>
      </w:r>
      <w:r w:rsidRPr="00FA0D37">
        <w:rPr>
          <w:color w:val="993366"/>
        </w:rPr>
        <w:t>OPTIONAL</w:t>
      </w:r>
      <w:r w:rsidRPr="00FA0D37">
        <w:t>,</w:t>
      </w:r>
    </w:p>
    <w:p w14:paraId="74B0E275" w14:textId="4DCBF719" w:rsidR="00DC7999" w:rsidRPr="00FA0D37" w:rsidRDefault="00DC7999" w:rsidP="00FA0D37">
      <w:pPr>
        <w:pStyle w:val="PL"/>
      </w:pPr>
      <w:r w:rsidRPr="00FA0D37">
        <w:t xml:space="preserve">    type1MP-Type2-feType2-PS-M1-r17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0ECA255" w14:textId="77777777" w:rsidR="00DC7999" w:rsidRPr="00FA0D37" w:rsidRDefault="00DC7999" w:rsidP="00FA0D37">
      <w:pPr>
        <w:pStyle w:val="PL"/>
      </w:pPr>
      <w:r w:rsidRPr="00FA0D37">
        <w:t xml:space="preserve">                                                               </w:t>
      </w:r>
      <w:r w:rsidRPr="00FA0D37">
        <w:rPr>
          <w:color w:val="993366"/>
        </w:rPr>
        <w:t>OPTIONAL</w:t>
      </w:r>
      <w:r w:rsidRPr="00FA0D37">
        <w:t>,</w:t>
      </w:r>
    </w:p>
    <w:p w14:paraId="511C6C39" w14:textId="4C4E338E" w:rsidR="00DC7999" w:rsidRPr="00FA0D37" w:rsidRDefault="00DC7999" w:rsidP="00FA0D37">
      <w:pPr>
        <w:pStyle w:val="PL"/>
      </w:pPr>
      <w:r w:rsidRPr="00FA0D37">
        <w:t xml:space="preserve">    type1MP-Type2-feType2-PS-M2R1-r17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A709C46" w14:textId="77777777" w:rsidR="00DC7999" w:rsidRPr="00FA0D37" w:rsidRDefault="00DC7999" w:rsidP="00FA0D37">
      <w:pPr>
        <w:pStyle w:val="PL"/>
      </w:pPr>
      <w:r w:rsidRPr="00FA0D37">
        <w:t xml:space="preserve">                                                               </w:t>
      </w:r>
      <w:r w:rsidRPr="00FA0D37">
        <w:rPr>
          <w:color w:val="993366"/>
        </w:rPr>
        <w:t>OPTIONAL</w:t>
      </w:r>
      <w:r w:rsidRPr="00FA0D37">
        <w:t>,</w:t>
      </w:r>
    </w:p>
    <w:p w14:paraId="5D2813E7" w14:textId="77777777" w:rsidR="00DC7999" w:rsidRPr="00FA0D37" w:rsidRDefault="00DC7999" w:rsidP="00FA0D37">
      <w:pPr>
        <w:pStyle w:val="PL"/>
      </w:pPr>
      <w:r w:rsidRPr="00FA0D37">
        <w:t xml:space="preserve">    type1MP-eType2R1-feType2-PS-M1-r17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5906307" w14:textId="77777777" w:rsidR="00DC7999" w:rsidRPr="00FA0D37" w:rsidRDefault="00DC7999" w:rsidP="00FA0D37">
      <w:pPr>
        <w:pStyle w:val="PL"/>
      </w:pPr>
      <w:r w:rsidRPr="00FA0D37">
        <w:t xml:space="preserve">                                                               </w:t>
      </w:r>
      <w:r w:rsidRPr="00FA0D37">
        <w:rPr>
          <w:color w:val="993366"/>
        </w:rPr>
        <w:t>OPTIONAL</w:t>
      </w:r>
      <w:r w:rsidRPr="00FA0D37">
        <w:t>,</w:t>
      </w:r>
    </w:p>
    <w:p w14:paraId="6F33E2C6" w14:textId="42E7B34C" w:rsidR="00DC7999" w:rsidRPr="00FA0D37" w:rsidRDefault="00DC7999" w:rsidP="00FA0D37">
      <w:pPr>
        <w:pStyle w:val="PL"/>
      </w:pPr>
      <w:r w:rsidRPr="00FA0D37">
        <w:t xml:space="preserve">    type1MP-eType2R1-feType2-PS-M2R1-r17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48FC0F7" w14:textId="77777777" w:rsidR="00DC7999" w:rsidRPr="00FA0D37" w:rsidRDefault="00DC7999" w:rsidP="00FA0D37">
      <w:pPr>
        <w:pStyle w:val="PL"/>
      </w:pPr>
      <w:r w:rsidRPr="00FA0D37">
        <w:t xml:space="preserve">                                                               </w:t>
      </w:r>
      <w:r w:rsidRPr="00FA0D37">
        <w:rPr>
          <w:color w:val="993366"/>
        </w:rPr>
        <w:t>OPTIONAL</w:t>
      </w:r>
    </w:p>
    <w:p w14:paraId="09EA811A" w14:textId="4DD63CE1" w:rsidR="00DC7999" w:rsidRPr="00FA0D37" w:rsidRDefault="00DC7999" w:rsidP="00FA0D37">
      <w:pPr>
        <w:pStyle w:val="PL"/>
      </w:pPr>
      <w:r w:rsidRPr="00FA0D37">
        <w:t>}</w:t>
      </w:r>
    </w:p>
    <w:p w14:paraId="2EEA6E83" w14:textId="77777777" w:rsidR="00DC7999" w:rsidRPr="00FA0D37" w:rsidRDefault="00DC7999" w:rsidP="00FA0D37">
      <w:pPr>
        <w:pStyle w:val="PL"/>
      </w:pPr>
    </w:p>
    <w:p w14:paraId="04676CDC" w14:textId="782A044C" w:rsidR="00DC7999" w:rsidRPr="00FA0D37" w:rsidRDefault="00DC7999" w:rsidP="00FA0D37">
      <w:pPr>
        <w:pStyle w:val="PL"/>
      </w:pPr>
      <w:r w:rsidRPr="00FA0D37">
        <w:t xml:space="preserve">CodebookComboParameterMultiTRP-r17::= </w:t>
      </w:r>
      <w:r w:rsidRPr="00FA0D37">
        <w:rPr>
          <w:color w:val="993366"/>
        </w:rPr>
        <w:t>SEQUENCE</w:t>
      </w:r>
      <w:r w:rsidRPr="00FA0D37">
        <w:t xml:space="preserve"> {</w:t>
      </w:r>
    </w:p>
    <w:p w14:paraId="0EC7E00F" w14:textId="77777777" w:rsidR="00DC7999" w:rsidRPr="00FA0D37" w:rsidRDefault="00DC7999" w:rsidP="00FA0D37">
      <w:pPr>
        <w:pStyle w:val="PL"/>
        <w:rPr>
          <w:color w:val="808080"/>
        </w:rPr>
      </w:pPr>
      <w:r w:rsidRPr="00FA0D37">
        <w:t xml:space="preserve">    </w:t>
      </w:r>
      <w:r w:rsidRPr="00FA0D37">
        <w:rPr>
          <w:color w:val="808080"/>
        </w:rPr>
        <w:t>-- R1 23-7-1b</w:t>
      </w:r>
      <w:r w:rsidRPr="00FA0D37">
        <w:rPr>
          <w:color w:val="808080"/>
        </w:rPr>
        <w:tab/>
        <w:t>Active CSI-RS resources and ports in the presence of multi-TRP CSI</w:t>
      </w:r>
    </w:p>
    <w:p w14:paraId="24EB5267" w14:textId="2D179BA5" w:rsidR="00DC7999" w:rsidRPr="00FA0D37" w:rsidRDefault="00DC7999" w:rsidP="00FA0D37">
      <w:pPr>
        <w:pStyle w:val="PL"/>
        <w:rPr>
          <w:color w:val="808080"/>
        </w:rPr>
      </w:pPr>
      <w:r w:rsidRPr="00FA0D37">
        <w:t xml:space="preserve">    </w:t>
      </w:r>
      <w:r w:rsidRPr="00FA0D37">
        <w:rPr>
          <w:color w:val="808080"/>
        </w:rPr>
        <w:t>--  {Codebook 2, Codebook 3} =(NULL, NULL}</w:t>
      </w:r>
    </w:p>
    <w:p w14:paraId="72C500AC" w14:textId="16437554" w:rsidR="00DC7999" w:rsidRPr="00FA0D37" w:rsidRDefault="00DC7999" w:rsidP="00FA0D37">
      <w:pPr>
        <w:pStyle w:val="PL"/>
      </w:pPr>
      <w:r w:rsidRPr="00FA0D37">
        <w:lastRenderedPageBreak/>
        <w:t xml:space="preserve">    nCJT-null-null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AB7BCBA" w14:textId="77777777" w:rsidR="00DC7999" w:rsidRPr="00FA0D37" w:rsidRDefault="00DC7999" w:rsidP="00FA0D37">
      <w:pPr>
        <w:pStyle w:val="PL"/>
      </w:pPr>
      <w:r w:rsidRPr="00FA0D37">
        <w:t xml:space="preserve">                                                               </w:t>
      </w:r>
      <w:r w:rsidRPr="00FA0D37">
        <w:rPr>
          <w:color w:val="993366"/>
        </w:rPr>
        <w:t>OPTIONAL</w:t>
      </w:r>
      <w:r w:rsidRPr="00FA0D37">
        <w:t>,</w:t>
      </w:r>
    </w:p>
    <w:p w14:paraId="45CFD0F6" w14:textId="228F6659" w:rsidR="00DC7999" w:rsidRPr="00FA0D37" w:rsidRDefault="00DC7999" w:rsidP="00FA0D37">
      <w:pPr>
        <w:pStyle w:val="PL"/>
      </w:pPr>
      <w:r w:rsidRPr="00FA0D37">
        <w:t xml:space="preserve">    nCJT1SP-null-null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0903958" w14:textId="77777777" w:rsidR="00DC7999" w:rsidRPr="00FA0D37" w:rsidRDefault="00DC7999" w:rsidP="00FA0D37">
      <w:pPr>
        <w:pStyle w:val="PL"/>
      </w:pPr>
      <w:r w:rsidRPr="00FA0D37">
        <w:t xml:space="preserve">                                                               </w:t>
      </w:r>
      <w:r w:rsidRPr="00FA0D37">
        <w:rPr>
          <w:color w:val="993366"/>
        </w:rPr>
        <w:t>OPTIONAL</w:t>
      </w:r>
      <w:r w:rsidRPr="00FA0D37">
        <w:t>,</w:t>
      </w:r>
    </w:p>
    <w:p w14:paraId="47F4C5DA" w14:textId="52C9C994" w:rsidR="00DC7999" w:rsidRPr="00FA0D37" w:rsidRDefault="00DC7999" w:rsidP="00FA0D37">
      <w:pPr>
        <w:pStyle w:val="PL"/>
        <w:rPr>
          <w:color w:val="808080"/>
        </w:rPr>
      </w:pPr>
      <w:r w:rsidRPr="00FA0D37">
        <w:t xml:space="preserve">    </w:t>
      </w:r>
      <w:r w:rsidRPr="00FA0D37">
        <w:rPr>
          <w:color w:val="808080"/>
        </w:rPr>
        <w:t>--    {Codebook 2, Codebook 3} = {( {</w:t>
      </w:r>
      <w:r w:rsidR="00743BF8" w:rsidRPr="00FA0D37">
        <w:rPr>
          <w:color w:val="808080"/>
        </w:rPr>
        <w:t>"</w:t>
      </w:r>
      <w:r w:rsidRPr="00FA0D37">
        <w:rPr>
          <w:color w:val="808080"/>
        </w:rPr>
        <w:t>Rel 16 combinations in FG 16-8</w:t>
      </w:r>
      <w:r w:rsidR="00743BF8" w:rsidRPr="00FA0D37">
        <w:rPr>
          <w:color w:val="808080"/>
        </w:rPr>
        <w:t>"</w:t>
      </w:r>
      <w:r w:rsidRPr="00FA0D37">
        <w:rPr>
          <w:color w:val="808080"/>
        </w:rPr>
        <w:t>}</w:t>
      </w:r>
    </w:p>
    <w:p w14:paraId="145710B8" w14:textId="0BC326F2" w:rsidR="00DC7999" w:rsidRPr="00FA0D37" w:rsidRDefault="00DC7999" w:rsidP="00FA0D37">
      <w:pPr>
        <w:pStyle w:val="PL"/>
      </w:pPr>
      <w:r w:rsidRPr="00FA0D37">
        <w:t xml:space="preserve">    nCJT-Type2-null-r16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B29121F" w14:textId="77777777" w:rsidR="00DC7999" w:rsidRPr="00FA0D37" w:rsidRDefault="00DC7999" w:rsidP="00FA0D37">
      <w:pPr>
        <w:pStyle w:val="PL"/>
      </w:pPr>
      <w:r w:rsidRPr="00FA0D37">
        <w:t xml:space="preserve">                                                               </w:t>
      </w:r>
      <w:r w:rsidRPr="00FA0D37">
        <w:rPr>
          <w:color w:val="993366"/>
        </w:rPr>
        <w:t>OPTIONAL</w:t>
      </w:r>
      <w:r w:rsidRPr="00FA0D37">
        <w:t>,</w:t>
      </w:r>
    </w:p>
    <w:p w14:paraId="21A920B5" w14:textId="7C4A5D6C" w:rsidR="00DC7999" w:rsidRPr="00FA0D37" w:rsidRDefault="00DC7999" w:rsidP="00FA0D37">
      <w:pPr>
        <w:pStyle w:val="PL"/>
      </w:pPr>
      <w:r w:rsidRPr="00FA0D37">
        <w:t xml:space="preserve">    nCJT-Type2PS-null-r16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0587387" w14:textId="77777777" w:rsidR="00DC7999" w:rsidRPr="00FA0D37" w:rsidRDefault="00DC7999" w:rsidP="00FA0D37">
      <w:pPr>
        <w:pStyle w:val="PL"/>
      </w:pPr>
      <w:r w:rsidRPr="00FA0D37">
        <w:t xml:space="preserve">                                                               </w:t>
      </w:r>
      <w:r w:rsidRPr="00FA0D37">
        <w:rPr>
          <w:color w:val="993366"/>
        </w:rPr>
        <w:t>OPTIONAL</w:t>
      </w:r>
      <w:r w:rsidRPr="00FA0D37">
        <w:t>,</w:t>
      </w:r>
    </w:p>
    <w:p w14:paraId="0C54EF97" w14:textId="0C77C8D8" w:rsidR="00DC7999" w:rsidRPr="00FA0D37" w:rsidRDefault="00DC7999" w:rsidP="00FA0D37">
      <w:pPr>
        <w:pStyle w:val="PL"/>
      </w:pPr>
      <w:r w:rsidRPr="00FA0D37">
        <w:t xml:space="preserve">    nCJT-eType2R1-null-r16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1783CE9" w14:textId="77777777" w:rsidR="00DC7999" w:rsidRPr="00FA0D37" w:rsidRDefault="00DC7999" w:rsidP="00FA0D37">
      <w:pPr>
        <w:pStyle w:val="PL"/>
      </w:pPr>
      <w:r w:rsidRPr="00FA0D37">
        <w:t xml:space="preserve">                                                               </w:t>
      </w:r>
      <w:r w:rsidRPr="00FA0D37">
        <w:rPr>
          <w:color w:val="993366"/>
        </w:rPr>
        <w:t>OPTIONAL</w:t>
      </w:r>
      <w:r w:rsidRPr="00FA0D37">
        <w:t>,</w:t>
      </w:r>
    </w:p>
    <w:p w14:paraId="6CC5944D" w14:textId="4D074526" w:rsidR="00DC7999" w:rsidRPr="00FA0D37" w:rsidRDefault="00DC7999" w:rsidP="00FA0D37">
      <w:pPr>
        <w:pStyle w:val="PL"/>
      </w:pPr>
      <w:r w:rsidRPr="00FA0D37">
        <w:t xml:space="preserve">    nCJT-eType2R2-null-r16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2D7501F" w14:textId="77777777" w:rsidR="00DC7999" w:rsidRPr="00FA0D37" w:rsidRDefault="00DC7999" w:rsidP="00FA0D37">
      <w:pPr>
        <w:pStyle w:val="PL"/>
      </w:pPr>
      <w:r w:rsidRPr="00FA0D37">
        <w:t xml:space="preserve">                                                               </w:t>
      </w:r>
      <w:r w:rsidRPr="00FA0D37">
        <w:rPr>
          <w:color w:val="993366"/>
        </w:rPr>
        <w:t>OPTIONAL</w:t>
      </w:r>
      <w:r w:rsidRPr="00FA0D37">
        <w:t>,</w:t>
      </w:r>
    </w:p>
    <w:p w14:paraId="4929A2BB" w14:textId="20EA927C" w:rsidR="00DC7999" w:rsidRPr="00FA0D37" w:rsidRDefault="00DC7999" w:rsidP="00FA0D37">
      <w:pPr>
        <w:pStyle w:val="PL"/>
      </w:pPr>
      <w:r w:rsidRPr="00FA0D37">
        <w:t xml:space="preserve">    nCJT-eType2R1PS-null-r16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D54C84F" w14:textId="77777777" w:rsidR="00DC7999" w:rsidRPr="00FA0D37" w:rsidRDefault="00DC7999" w:rsidP="00FA0D37">
      <w:pPr>
        <w:pStyle w:val="PL"/>
      </w:pPr>
      <w:r w:rsidRPr="00FA0D37">
        <w:t xml:space="preserve">                                                               </w:t>
      </w:r>
      <w:r w:rsidRPr="00FA0D37">
        <w:rPr>
          <w:color w:val="993366"/>
        </w:rPr>
        <w:t>OPTIONAL</w:t>
      </w:r>
      <w:r w:rsidRPr="00FA0D37">
        <w:t>,</w:t>
      </w:r>
    </w:p>
    <w:p w14:paraId="18955984" w14:textId="416F75AF" w:rsidR="00DC7999" w:rsidRPr="00FA0D37" w:rsidRDefault="00DC7999" w:rsidP="00FA0D37">
      <w:pPr>
        <w:pStyle w:val="PL"/>
      </w:pPr>
      <w:r w:rsidRPr="00FA0D37">
        <w:t xml:space="preserve">    nCJT-eType2R2PS-null-r16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497D620" w14:textId="77777777" w:rsidR="00DC7999" w:rsidRPr="00FA0D37" w:rsidRDefault="00DC7999" w:rsidP="00FA0D37">
      <w:pPr>
        <w:pStyle w:val="PL"/>
      </w:pPr>
      <w:r w:rsidRPr="00FA0D37">
        <w:t xml:space="preserve">                                                               </w:t>
      </w:r>
      <w:r w:rsidRPr="00FA0D37">
        <w:rPr>
          <w:color w:val="993366"/>
        </w:rPr>
        <w:t>OPTIONAL</w:t>
      </w:r>
      <w:r w:rsidRPr="00FA0D37">
        <w:t>,</w:t>
      </w:r>
    </w:p>
    <w:p w14:paraId="3FFE53CE" w14:textId="43FE3F06" w:rsidR="00DC7999" w:rsidRPr="00FA0D37" w:rsidRDefault="00DC7999" w:rsidP="00FA0D37">
      <w:pPr>
        <w:pStyle w:val="PL"/>
      </w:pPr>
      <w:r w:rsidRPr="00FA0D37">
        <w:t xml:space="preserve">    nCJT-Type2-Type2PS-r16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AE1D8EF" w14:textId="585F6F5D" w:rsidR="00DC7999" w:rsidRPr="00FA0D37" w:rsidRDefault="00DC7999" w:rsidP="00FA0D37">
      <w:pPr>
        <w:pStyle w:val="PL"/>
      </w:pPr>
      <w:r w:rsidRPr="00FA0D37">
        <w:t xml:space="preserve">                                                               </w:t>
      </w:r>
      <w:r w:rsidRPr="00FA0D37">
        <w:rPr>
          <w:color w:val="993366"/>
        </w:rPr>
        <w:t>OPTIONAL</w:t>
      </w:r>
      <w:r w:rsidR="00977C82" w:rsidRPr="00FA0D37">
        <w:t>,</w:t>
      </w:r>
    </w:p>
    <w:p w14:paraId="654C0D28" w14:textId="4E2DEDF0" w:rsidR="00DC7999" w:rsidRPr="00FA0D37" w:rsidRDefault="00DC7999" w:rsidP="00FA0D37">
      <w:pPr>
        <w:pStyle w:val="PL"/>
      </w:pPr>
      <w:r w:rsidRPr="00FA0D37">
        <w:t xml:space="preserve">    nCJT1SP-Type2-null-r16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1A1AA8C" w14:textId="77777777" w:rsidR="00DC7999" w:rsidRPr="00FA0D37" w:rsidRDefault="00DC7999" w:rsidP="00FA0D37">
      <w:pPr>
        <w:pStyle w:val="PL"/>
      </w:pPr>
      <w:r w:rsidRPr="00FA0D37">
        <w:t xml:space="preserve">                                                               </w:t>
      </w:r>
      <w:r w:rsidRPr="00FA0D37">
        <w:rPr>
          <w:color w:val="993366"/>
        </w:rPr>
        <w:t>OPTIONAL</w:t>
      </w:r>
      <w:r w:rsidRPr="00FA0D37">
        <w:t>,</w:t>
      </w:r>
    </w:p>
    <w:p w14:paraId="22188FBB" w14:textId="17D248B9" w:rsidR="00DC7999" w:rsidRPr="00FA0D37" w:rsidRDefault="00DC7999" w:rsidP="00FA0D37">
      <w:pPr>
        <w:pStyle w:val="PL"/>
      </w:pPr>
      <w:r w:rsidRPr="00FA0D37">
        <w:t xml:space="preserve">    nCJT1SP-Type2PS-null-r16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34ECEBB" w14:textId="77777777" w:rsidR="00DC7999" w:rsidRPr="00FA0D37" w:rsidRDefault="00DC7999" w:rsidP="00FA0D37">
      <w:pPr>
        <w:pStyle w:val="PL"/>
      </w:pPr>
      <w:r w:rsidRPr="00FA0D37">
        <w:t xml:space="preserve">                                                               </w:t>
      </w:r>
      <w:r w:rsidRPr="00FA0D37">
        <w:rPr>
          <w:color w:val="993366"/>
        </w:rPr>
        <w:t>OPTIONAL</w:t>
      </w:r>
      <w:r w:rsidRPr="00FA0D37">
        <w:t>,</w:t>
      </w:r>
    </w:p>
    <w:p w14:paraId="215D8E96" w14:textId="6FCA8CA4" w:rsidR="00DC7999" w:rsidRPr="00FA0D37" w:rsidRDefault="00DC7999" w:rsidP="00FA0D37">
      <w:pPr>
        <w:pStyle w:val="PL"/>
      </w:pPr>
      <w:r w:rsidRPr="00FA0D37">
        <w:t xml:space="preserve">    nCJT1SP-eType2R1-null-r16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D33E23E" w14:textId="2B2F2B3C" w:rsidR="00DC7999" w:rsidRPr="00FA0D37" w:rsidRDefault="00DC7999" w:rsidP="00FA0D37">
      <w:pPr>
        <w:pStyle w:val="PL"/>
      </w:pPr>
      <w:r w:rsidRPr="00FA0D37">
        <w:t xml:space="preserve">                                                              </w:t>
      </w:r>
      <w:r w:rsidR="00977C82" w:rsidRPr="00FA0D37">
        <w:t xml:space="preserve"> </w:t>
      </w:r>
      <w:r w:rsidRPr="00FA0D37">
        <w:rPr>
          <w:color w:val="993366"/>
        </w:rPr>
        <w:t>OPTIONAL</w:t>
      </w:r>
      <w:r w:rsidRPr="00FA0D37">
        <w:t>,</w:t>
      </w:r>
    </w:p>
    <w:p w14:paraId="6A7B1E84" w14:textId="60BF9CC9" w:rsidR="00DC7999" w:rsidRPr="00FA0D37" w:rsidRDefault="00DC7999" w:rsidP="00FA0D37">
      <w:pPr>
        <w:pStyle w:val="PL"/>
      </w:pPr>
      <w:r w:rsidRPr="00FA0D37">
        <w:t xml:space="preserve">    nCJT1SP-eType2R2-null-r16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04E9E6C" w14:textId="77777777" w:rsidR="00DC7999" w:rsidRPr="00FA0D37" w:rsidRDefault="00DC7999" w:rsidP="00FA0D37">
      <w:pPr>
        <w:pStyle w:val="PL"/>
      </w:pPr>
      <w:r w:rsidRPr="00FA0D37">
        <w:t xml:space="preserve">                                                               </w:t>
      </w:r>
      <w:r w:rsidRPr="00FA0D37">
        <w:rPr>
          <w:color w:val="993366"/>
        </w:rPr>
        <w:t>OPTIONAL</w:t>
      </w:r>
      <w:r w:rsidRPr="00FA0D37">
        <w:t>,</w:t>
      </w:r>
    </w:p>
    <w:p w14:paraId="3320615D" w14:textId="5CECA3DC" w:rsidR="00DC7999" w:rsidRPr="00FA0D37" w:rsidRDefault="00DC7999" w:rsidP="00FA0D37">
      <w:pPr>
        <w:pStyle w:val="PL"/>
      </w:pPr>
      <w:r w:rsidRPr="00FA0D37">
        <w:t xml:space="preserve">    nCJT1SP-eType2R1PS-null-r16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C43F53D" w14:textId="77777777" w:rsidR="00DC7999" w:rsidRPr="00FA0D37" w:rsidRDefault="00DC7999" w:rsidP="00FA0D37">
      <w:pPr>
        <w:pStyle w:val="PL"/>
      </w:pPr>
      <w:r w:rsidRPr="00FA0D37">
        <w:t xml:space="preserve">                                                               </w:t>
      </w:r>
      <w:r w:rsidRPr="00FA0D37">
        <w:rPr>
          <w:color w:val="993366"/>
        </w:rPr>
        <w:t>OPTIONAL</w:t>
      </w:r>
      <w:r w:rsidRPr="00FA0D37">
        <w:t>,</w:t>
      </w:r>
    </w:p>
    <w:p w14:paraId="562417CD" w14:textId="0677D09D" w:rsidR="00DC7999" w:rsidRPr="00FA0D37" w:rsidRDefault="00DC7999" w:rsidP="00FA0D37">
      <w:pPr>
        <w:pStyle w:val="PL"/>
      </w:pPr>
      <w:r w:rsidRPr="00FA0D37">
        <w:t xml:space="preserve">    nCJT1SP-eType2R2PS-null-r16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1B1EA04" w14:textId="77777777" w:rsidR="00DC7999" w:rsidRPr="00FA0D37" w:rsidRDefault="00DC7999" w:rsidP="00FA0D37">
      <w:pPr>
        <w:pStyle w:val="PL"/>
      </w:pPr>
      <w:r w:rsidRPr="00FA0D37">
        <w:t xml:space="preserve">                                                               </w:t>
      </w:r>
      <w:r w:rsidRPr="00FA0D37">
        <w:rPr>
          <w:color w:val="993366"/>
        </w:rPr>
        <w:t>OPTIONAL</w:t>
      </w:r>
      <w:r w:rsidRPr="00FA0D37">
        <w:t>,</w:t>
      </w:r>
    </w:p>
    <w:p w14:paraId="616B6D6C" w14:textId="1D04DD59" w:rsidR="00DC7999" w:rsidRPr="00FA0D37" w:rsidRDefault="00DC7999" w:rsidP="00FA0D37">
      <w:pPr>
        <w:pStyle w:val="PL"/>
      </w:pPr>
      <w:r w:rsidRPr="00FA0D37">
        <w:t xml:space="preserve">    nCJT1SP-Type2-Type2PS-r16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7DF953D" w14:textId="742A70D5" w:rsidR="00DC7999" w:rsidRPr="00FA0D37" w:rsidRDefault="00DC7999" w:rsidP="00FA0D37">
      <w:pPr>
        <w:pStyle w:val="PL"/>
      </w:pPr>
      <w:r w:rsidRPr="00FA0D37">
        <w:t xml:space="preserve">                                                               </w:t>
      </w:r>
      <w:r w:rsidRPr="00FA0D37">
        <w:rPr>
          <w:color w:val="993366"/>
        </w:rPr>
        <w:t>OPTIONAL</w:t>
      </w:r>
      <w:r w:rsidRPr="00FA0D37">
        <w:t>,</w:t>
      </w:r>
    </w:p>
    <w:p w14:paraId="076D38C7" w14:textId="1D3C6B25" w:rsidR="00DC7999" w:rsidRPr="00FA0D37" w:rsidRDefault="00DC7999" w:rsidP="00FA0D37">
      <w:pPr>
        <w:pStyle w:val="PL"/>
        <w:rPr>
          <w:color w:val="808080"/>
        </w:rPr>
      </w:pPr>
      <w:r w:rsidRPr="00FA0D37">
        <w:t xml:space="preserve">    </w:t>
      </w:r>
      <w:r w:rsidRPr="00FA0D37">
        <w:rPr>
          <w:color w:val="808080"/>
        </w:rPr>
        <w:t>-- {Codebook 2, Codebook 3} = {</w:t>
      </w:r>
      <w:r w:rsidR="00743BF8" w:rsidRPr="00FA0D37">
        <w:rPr>
          <w:color w:val="808080"/>
        </w:rPr>
        <w:t>"</w:t>
      </w:r>
      <w:r w:rsidRPr="00FA0D37">
        <w:rPr>
          <w:color w:val="808080"/>
        </w:rPr>
        <w:t>New Rel17 combinations in FG 23-9-5</w:t>
      </w:r>
      <w:r w:rsidR="00743BF8" w:rsidRPr="00FA0D37">
        <w:rPr>
          <w:color w:val="808080"/>
        </w:rPr>
        <w:t>"</w:t>
      </w:r>
      <w:r w:rsidRPr="00FA0D37">
        <w:rPr>
          <w:color w:val="808080"/>
        </w:rPr>
        <w:t>}</w:t>
      </w:r>
    </w:p>
    <w:p w14:paraId="0427E830" w14:textId="3C209CA2" w:rsidR="00DC7999" w:rsidRPr="00FA0D37" w:rsidRDefault="00DC7999" w:rsidP="00FA0D37">
      <w:pPr>
        <w:pStyle w:val="PL"/>
      </w:pPr>
      <w:r w:rsidRPr="00FA0D37">
        <w:t xml:space="preserve">    nCJT-feType2PS-null-r17         </w:t>
      </w:r>
      <w:r w:rsidR="003B68FE"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A032E44" w14:textId="77777777" w:rsidR="00DC7999" w:rsidRPr="00FA0D37" w:rsidRDefault="00DC7999" w:rsidP="00FA0D37">
      <w:pPr>
        <w:pStyle w:val="PL"/>
      </w:pPr>
      <w:r w:rsidRPr="00FA0D37">
        <w:t xml:space="preserve">                                                               </w:t>
      </w:r>
      <w:r w:rsidRPr="00FA0D37">
        <w:rPr>
          <w:color w:val="993366"/>
        </w:rPr>
        <w:t>OPTIONAL</w:t>
      </w:r>
      <w:r w:rsidRPr="00FA0D37">
        <w:t>,</w:t>
      </w:r>
    </w:p>
    <w:p w14:paraId="37129C5A" w14:textId="0364C588" w:rsidR="00DC7999" w:rsidRPr="00FA0D37" w:rsidRDefault="00DC7999" w:rsidP="00FA0D37">
      <w:pPr>
        <w:pStyle w:val="PL"/>
      </w:pPr>
      <w:r w:rsidRPr="00FA0D37">
        <w:t xml:space="preserve">    nCJT-feType2PS-M2R1-null-r17   </w:t>
      </w:r>
      <w:r w:rsidR="003B68FE" w:rsidRPr="00FA0D37">
        <w:t xml:space="preserve">    </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00504A1" w14:textId="77777777" w:rsidR="00DC7999" w:rsidRPr="00FA0D37" w:rsidRDefault="00DC7999" w:rsidP="00FA0D37">
      <w:pPr>
        <w:pStyle w:val="PL"/>
      </w:pPr>
      <w:r w:rsidRPr="00FA0D37">
        <w:t xml:space="preserve">                                                               </w:t>
      </w:r>
      <w:r w:rsidRPr="00FA0D37">
        <w:rPr>
          <w:color w:val="993366"/>
        </w:rPr>
        <w:t>OPTIONAL</w:t>
      </w:r>
      <w:r w:rsidRPr="00FA0D37">
        <w:t>,</w:t>
      </w:r>
    </w:p>
    <w:p w14:paraId="3B8F8FD2" w14:textId="3F906FCA" w:rsidR="00DC7999" w:rsidRPr="00FA0D37" w:rsidRDefault="00DC7999" w:rsidP="00FA0D37">
      <w:pPr>
        <w:pStyle w:val="PL"/>
      </w:pPr>
      <w:r w:rsidRPr="00FA0D37">
        <w:t xml:space="preserve">    nCJT-feType2PS-M2R2-null-r17  </w:t>
      </w:r>
      <w:r w:rsidR="003B68FE" w:rsidRPr="00FA0D37">
        <w:t xml:space="preserve">   </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D8D4462" w14:textId="2CA366D0" w:rsidR="00DC7999" w:rsidRPr="00FA0D37" w:rsidRDefault="00DC7999" w:rsidP="00FA0D37">
      <w:pPr>
        <w:pStyle w:val="PL"/>
      </w:pPr>
      <w:r w:rsidRPr="00FA0D37">
        <w:t xml:space="preserve">                                                              </w:t>
      </w:r>
      <w:r w:rsidR="00977C82" w:rsidRPr="00FA0D37">
        <w:t xml:space="preserve"> </w:t>
      </w:r>
      <w:r w:rsidRPr="00FA0D37">
        <w:rPr>
          <w:color w:val="993366"/>
        </w:rPr>
        <w:t>OPTIONAL</w:t>
      </w:r>
      <w:r w:rsidRPr="00FA0D37">
        <w:t>,</w:t>
      </w:r>
    </w:p>
    <w:p w14:paraId="7F8515F3" w14:textId="22E5B89F" w:rsidR="00DC7999" w:rsidRPr="00FA0D37" w:rsidRDefault="00DC7999" w:rsidP="00FA0D37">
      <w:pPr>
        <w:pStyle w:val="PL"/>
      </w:pPr>
      <w:r w:rsidRPr="00FA0D37">
        <w:t xml:space="preserve">    nCJT-Type2-feType2-PS-M1-r17</w:t>
      </w:r>
      <w:r w:rsidR="003B68FE" w:rsidRPr="00FA0D37">
        <w:t xml:space="preserve">        </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FA80DE1" w14:textId="77777777" w:rsidR="00DC7999" w:rsidRPr="00FA0D37" w:rsidRDefault="00DC7999" w:rsidP="00FA0D37">
      <w:pPr>
        <w:pStyle w:val="PL"/>
      </w:pPr>
      <w:r w:rsidRPr="00FA0D37">
        <w:t xml:space="preserve">                                                               </w:t>
      </w:r>
      <w:r w:rsidRPr="00FA0D37">
        <w:rPr>
          <w:color w:val="993366"/>
        </w:rPr>
        <w:t>OPTIONAL</w:t>
      </w:r>
      <w:r w:rsidRPr="00FA0D37">
        <w:t>,</w:t>
      </w:r>
    </w:p>
    <w:p w14:paraId="5D293B4A" w14:textId="2170E09F" w:rsidR="00DC7999" w:rsidRPr="00FA0D37" w:rsidRDefault="00DC7999" w:rsidP="00FA0D37">
      <w:pPr>
        <w:pStyle w:val="PL"/>
      </w:pPr>
      <w:r w:rsidRPr="00FA0D37">
        <w:t xml:space="preserve">    nCJT-Type2-feType2-PS-M2R1-r17  </w:t>
      </w:r>
      <w:r w:rsidR="003B68FE"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1D47BD3" w14:textId="77777777" w:rsidR="00DC7999" w:rsidRPr="00FA0D37" w:rsidRDefault="00DC7999" w:rsidP="00FA0D37">
      <w:pPr>
        <w:pStyle w:val="PL"/>
      </w:pPr>
      <w:r w:rsidRPr="00FA0D37">
        <w:t xml:space="preserve">                                                               </w:t>
      </w:r>
      <w:r w:rsidRPr="00FA0D37">
        <w:rPr>
          <w:color w:val="993366"/>
        </w:rPr>
        <w:t>OPTIONAL</w:t>
      </w:r>
      <w:r w:rsidRPr="00FA0D37">
        <w:t>,</w:t>
      </w:r>
    </w:p>
    <w:p w14:paraId="1F9EFD62" w14:textId="0265F255" w:rsidR="00DC7999" w:rsidRPr="00FA0D37" w:rsidRDefault="00DC7999" w:rsidP="00FA0D37">
      <w:pPr>
        <w:pStyle w:val="PL"/>
      </w:pPr>
      <w:r w:rsidRPr="00FA0D37">
        <w:t xml:space="preserve">    nCJT-eType2R1-feType2-PS-M1-r17    </w:t>
      </w:r>
      <w:r w:rsidR="003B68FE" w:rsidRPr="00FA0D37">
        <w:t xml:space="preserve"> </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16B6721" w14:textId="77777777" w:rsidR="00DC7999" w:rsidRPr="00FA0D37" w:rsidRDefault="00DC7999" w:rsidP="00FA0D37">
      <w:pPr>
        <w:pStyle w:val="PL"/>
      </w:pPr>
      <w:r w:rsidRPr="00FA0D37">
        <w:t xml:space="preserve">                                                               </w:t>
      </w:r>
      <w:r w:rsidRPr="00FA0D37">
        <w:rPr>
          <w:color w:val="993366"/>
        </w:rPr>
        <w:t>OPTIONAL</w:t>
      </w:r>
      <w:r w:rsidRPr="00FA0D37">
        <w:t>,</w:t>
      </w:r>
    </w:p>
    <w:p w14:paraId="00601E41" w14:textId="5A37DCCD" w:rsidR="00DC7999" w:rsidRPr="00FA0D37" w:rsidRDefault="00DC7999" w:rsidP="00FA0D37">
      <w:pPr>
        <w:pStyle w:val="PL"/>
      </w:pPr>
      <w:r w:rsidRPr="00FA0D37">
        <w:t xml:space="preserve">    nCJT-eType2R1-feType2-PS-M2R1-r17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2755F1C" w14:textId="70C270A5" w:rsidR="00DC7999" w:rsidRPr="00FA0D37" w:rsidRDefault="00DC7999" w:rsidP="00FA0D37">
      <w:pPr>
        <w:pStyle w:val="PL"/>
      </w:pPr>
      <w:r w:rsidRPr="00FA0D37">
        <w:t xml:space="preserve">                                                               </w:t>
      </w:r>
      <w:r w:rsidRPr="00FA0D37">
        <w:rPr>
          <w:color w:val="993366"/>
        </w:rPr>
        <w:t>OPTIONAL</w:t>
      </w:r>
      <w:r w:rsidR="00977C82" w:rsidRPr="00FA0D37">
        <w:t>,</w:t>
      </w:r>
    </w:p>
    <w:p w14:paraId="6BCE7130" w14:textId="7D22DC33" w:rsidR="00DC7999" w:rsidRPr="00FA0D37" w:rsidRDefault="00DC7999" w:rsidP="00FA0D37">
      <w:pPr>
        <w:pStyle w:val="PL"/>
      </w:pPr>
      <w:r w:rsidRPr="00FA0D37">
        <w:t xml:space="preserve">    nCJT1SP-feType2PS-null-r17       </w:t>
      </w:r>
      <w:r w:rsidR="003B68FE" w:rsidRPr="00FA0D37">
        <w:t xml:space="preserve">   </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9D9399B" w14:textId="77777777" w:rsidR="00DC7999" w:rsidRPr="00FA0D37" w:rsidRDefault="00DC7999" w:rsidP="00FA0D37">
      <w:pPr>
        <w:pStyle w:val="PL"/>
      </w:pPr>
      <w:r w:rsidRPr="00FA0D37">
        <w:t xml:space="preserve">                                                               </w:t>
      </w:r>
      <w:r w:rsidRPr="00FA0D37">
        <w:rPr>
          <w:color w:val="993366"/>
        </w:rPr>
        <w:t>OPTIONAL</w:t>
      </w:r>
      <w:r w:rsidRPr="00FA0D37">
        <w:t>,</w:t>
      </w:r>
    </w:p>
    <w:p w14:paraId="4D83E0F9" w14:textId="21699784" w:rsidR="00DC7999" w:rsidRPr="00FA0D37" w:rsidRDefault="00DC7999" w:rsidP="00FA0D37">
      <w:pPr>
        <w:pStyle w:val="PL"/>
      </w:pPr>
      <w:r w:rsidRPr="00FA0D37">
        <w:t xml:space="preserve">    nCJT1SP-feType2PS-M2R1-null-r17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75A9F5A" w14:textId="77777777" w:rsidR="00DC7999" w:rsidRPr="00FA0D37" w:rsidRDefault="00DC7999" w:rsidP="00FA0D37">
      <w:pPr>
        <w:pStyle w:val="PL"/>
      </w:pPr>
      <w:r w:rsidRPr="00FA0D37">
        <w:lastRenderedPageBreak/>
        <w:t xml:space="preserve">                                                               </w:t>
      </w:r>
      <w:r w:rsidRPr="00FA0D37">
        <w:rPr>
          <w:color w:val="993366"/>
        </w:rPr>
        <w:t>OPTIONAL</w:t>
      </w:r>
      <w:r w:rsidRPr="00FA0D37">
        <w:t>,</w:t>
      </w:r>
    </w:p>
    <w:p w14:paraId="4AA012F1" w14:textId="6AE65E25" w:rsidR="00DC7999" w:rsidRPr="00FA0D37" w:rsidRDefault="00DC7999" w:rsidP="00FA0D37">
      <w:pPr>
        <w:pStyle w:val="PL"/>
      </w:pPr>
      <w:r w:rsidRPr="00FA0D37">
        <w:t xml:space="preserve">    nCJT1SP-feType2PS-M2R2-null-r1    </w:t>
      </w:r>
      <w:r w:rsidR="003B68FE" w:rsidRPr="00FA0D37">
        <w:t xml:space="preserve"> </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A0379D2" w14:textId="3C60518F" w:rsidR="00DC7999" w:rsidRPr="00FA0D37" w:rsidRDefault="00DC7999" w:rsidP="00FA0D37">
      <w:pPr>
        <w:pStyle w:val="PL"/>
      </w:pPr>
      <w:r w:rsidRPr="00FA0D37">
        <w:t xml:space="preserve">                                                              </w:t>
      </w:r>
      <w:r w:rsidR="00977C82" w:rsidRPr="00FA0D37">
        <w:t xml:space="preserve"> </w:t>
      </w:r>
      <w:r w:rsidRPr="00FA0D37">
        <w:rPr>
          <w:color w:val="993366"/>
        </w:rPr>
        <w:t>OPTIONAL</w:t>
      </w:r>
      <w:r w:rsidRPr="00FA0D37">
        <w:t>,</w:t>
      </w:r>
    </w:p>
    <w:p w14:paraId="7265580F" w14:textId="4D47FC68" w:rsidR="00DC7999" w:rsidRPr="00FA0D37" w:rsidRDefault="00DC7999" w:rsidP="00FA0D37">
      <w:pPr>
        <w:pStyle w:val="PL"/>
      </w:pPr>
      <w:r w:rsidRPr="00FA0D37">
        <w:t xml:space="preserve">    nCJT1SP-Type2-feType2-PS-M1-r17 </w:t>
      </w:r>
      <w:r w:rsidR="003B68FE" w:rsidRPr="00FA0D37">
        <w:t xml:space="preserve">     </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4F03182" w14:textId="77777777" w:rsidR="00DC7999" w:rsidRPr="00FA0D37" w:rsidRDefault="00DC7999" w:rsidP="00FA0D37">
      <w:pPr>
        <w:pStyle w:val="PL"/>
      </w:pPr>
      <w:r w:rsidRPr="00FA0D37">
        <w:t xml:space="preserve">                                                               </w:t>
      </w:r>
      <w:r w:rsidRPr="00FA0D37">
        <w:rPr>
          <w:color w:val="993366"/>
        </w:rPr>
        <w:t>OPTIONAL</w:t>
      </w:r>
      <w:r w:rsidRPr="00FA0D37">
        <w:t>,</w:t>
      </w:r>
    </w:p>
    <w:p w14:paraId="7DA81E04" w14:textId="2A3EF126" w:rsidR="00DC7999" w:rsidRPr="00FA0D37" w:rsidRDefault="00DC7999" w:rsidP="00FA0D37">
      <w:pPr>
        <w:pStyle w:val="PL"/>
      </w:pPr>
      <w:r w:rsidRPr="00FA0D37">
        <w:t xml:space="preserve">    nCJT1SP-Type2-feType2-PS-M2R1-r17</w:t>
      </w:r>
      <w:r w:rsidR="003B68FE" w:rsidRPr="00FA0D37">
        <w:t xml:space="preserve">   </w:t>
      </w:r>
      <w:r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5947ED5" w14:textId="77777777" w:rsidR="00DC7999" w:rsidRPr="00FA0D37" w:rsidRDefault="00DC7999" w:rsidP="00FA0D37">
      <w:pPr>
        <w:pStyle w:val="PL"/>
      </w:pPr>
      <w:r w:rsidRPr="00FA0D37">
        <w:t xml:space="preserve">                                                               </w:t>
      </w:r>
      <w:r w:rsidRPr="00FA0D37">
        <w:rPr>
          <w:color w:val="993366"/>
        </w:rPr>
        <w:t>OPTIONAL</w:t>
      </w:r>
      <w:r w:rsidRPr="00FA0D37">
        <w:t>,</w:t>
      </w:r>
    </w:p>
    <w:p w14:paraId="1CD28321" w14:textId="2318CC69" w:rsidR="00DC7999" w:rsidRPr="00FA0D37" w:rsidRDefault="00DC7999" w:rsidP="00FA0D37">
      <w:pPr>
        <w:pStyle w:val="PL"/>
      </w:pPr>
      <w:r w:rsidRPr="00FA0D37">
        <w:t xml:space="preserve">    nCJT1SP-eType2R1-feType2-PS-M1-r17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2FD42FB" w14:textId="77777777" w:rsidR="00DC7999" w:rsidRPr="00FA0D37" w:rsidRDefault="00DC7999" w:rsidP="00FA0D37">
      <w:pPr>
        <w:pStyle w:val="PL"/>
      </w:pPr>
      <w:r w:rsidRPr="00FA0D37">
        <w:t xml:space="preserve">                                                               </w:t>
      </w:r>
      <w:r w:rsidRPr="00FA0D37">
        <w:rPr>
          <w:color w:val="993366"/>
        </w:rPr>
        <w:t>OPTIONAL</w:t>
      </w:r>
      <w:r w:rsidRPr="00FA0D37">
        <w:t>,</w:t>
      </w:r>
    </w:p>
    <w:p w14:paraId="58FF87A6" w14:textId="10D12F2C" w:rsidR="00DC7999" w:rsidRPr="00FA0D37" w:rsidRDefault="00DC7999" w:rsidP="00FA0D37">
      <w:pPr>
        <w:pStyle w:val="PL"/>
      </w:pPr>
      <w:r w:rsidRPr="00FA0D37">
        <w:t xml:space="preserve">    nCJT1SP-eType2R1-feType2-PS-M2R1-r17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E03DDCB" w14:textId="77777777" w:rsidR="00DC7999" w:rsidRPr="00FA0D37" w:rsidRDefault="00DC7999" w:rsidP="00FA0D37">
      <w:pPr>
        <w:pStyle w:val="PL"/>
      </w:pPr>
      <w:r w:rsidRPr="00FA0D37">
        <w:t xml:space="preserve">                                                               </w:t>
      </w:r>
      <w:r w:rsidRPr="00FA0D37">
        <w:rPr>
          <w:color w:val="993366"/>
        </w:rPr>
        <w:t>OPTIONAL</w:t>
      </w:r>
    </w:p>
    <w:p w14:paraId="02AA3964" w14:textId="568D8AAF" w:rsidR="00DC7999" w:rsidRPr="00FA0D37" w:rsidRDefault="00DC7999" w:rsidP="00FA0D37">
      <w:pPr>
        <w:pStyle w:val="PL"/>
      </w:pPr>
      <w:r w:rsidRPr="00FA0D37">
        <w:t>}</w:t>
      </w:r>
    </w:p>
    <w:p w14:paraId="0F0E3052" w14:textId="77777777" w:rsidR="00DC7999" w:rsidRPr="00FA0D37" w:rsidRDefault="00DC7999" w:rsidP="00FA0D37">
      <w:pPr>
        <w:pStyle w:val="PL"/>
      </w:pPr>
    </w:p>
    <w:p w14:paraId="29372447" w14:textId="77777777" w:rsidR="00394471" w:rsidRPr="00FA0D37" w:rsidRDefault="00394471" w:rsidP="00FA0D37">
      <w:pPr>
        <w:pStyle w:val="PL"/>
        <w:rPr>
          <w:rFonts w:eastAsia="MS Mincho"/>
        </w:rPr>
      </w:pPr>
      <w:r w:rsidRPr="00FA0D37">
        <w:rPr>
          <w:rFonts w:eastAsia="MS Mincho"/>
        </w:rPr>
        <w:t xml:space="preserve">CodebookParametersAdditionPerBC-r16::=  </w:t>
      </w:r>
      <w:r w:rsidRPr="00FA0D37">
        <w:rPr>
          <w:rFonts w:eastAsia="MS Mincho"/>
          <w:color w:val="993366"/>
        </w:rPr>
        <w:t>SEQUENCE</w:t>
      </w:r>
      <w:r w:rsidRPr="00FA0D37">
        <w:rPr>
          <w:rFonts w:eastAsia="MS Mincho"/>
        </w:rPr>
        <w:t xml:space="preserve"> {</w:t>
      </w:r>
    </w:p>
    <w:p w14:paraId="43777ADB" w14:textId="77777777" w:rsidR="00394471" w:rsidRPr="00FA0D37" w:rsidRDefault="00394471" w:rsidP="00FA0D37">
      <w:pPr>
        <w:pStyle w:val="PL"/>
        <w:rPr>
          <w:color w:val="808080"/>
        </w:rPr>
      </w:pPr>
      <w:r w:rsidRPr="00FA0D37">
        <w:t xml:space="preserve">    </w:t>
      </w:r>
      <w:r w:rsidRPr="00FA0D37">
        <w:rPr>
          <w:color w:val="808080"/>
        </w:rPr>
        <w:t>-- R1 16-3a Regular eType 2 R=1</w:t>
      </w:r>
    </w:p>
    <w:p w14:paraId="59B0ECD6" w14:textId="77777777" w:rsidR="00394471" w:rsidRPr="00FA0D37" w:rsidRDefault="00394471" w:rsidP="00FA0D37">
      <w:pPr>
        <w:pStyle w:val="PL"/>
      </w:pPr>
      <w:r w:rsidRPr="00FA0D37">
        <w:t xml:space="preserve">    etype2R1-r16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37AC04E" w14:textId="77777777" w:rsidR="00394471" w:rsidRPr="00FA0D37" w:rsidRDefault="00394471" w:rsidP="00FA0D37">
      <w:pPr>
        <w:pStyle w:val="PL"/>
      </w:pPr>
      <w:r w:rsidRPr="00FA0D37">
        <w:t xml:space="preserve">                                                               </w:t>
      </w:r>
      <w:r w:rsidRPr="00FA0D37">
        <w:rPr>
          <w:color w:val="993366"/>
        </w:rPr>
        <w:t>OPTIONAL</w:t>
      </w:r>
      <w:r w:rsidRPr="00FA0D37">
        <w:t>,</w:t>
      </w:r>
    </w:p>
    <w:p w14:paraId="47306620" w14:textId="77777777" w:rsidR="00394471" w:rsidRPr="00FA0D37" w:rsidRDefault="00394471" w:rsidP="00FA0D37">
      <w:pPr>
        <w:pStyle w:val="PL"/>
        <w:rPr>
          <w:color w:val="808080"/>
        </w:rPr>
      </w:pPr>
      <w:r w:rsidRPr="00FA0D37">
        <w:t xml:space="preserve">    </w:t>
      </w:r>
      <w:r w:rsidRPr="00FA0D37">
        <w:rPr>
          <w:color w:val="808080"/>
        </w:rPr>
        <w:t>-- R1 16-3a-1 Regular eType 2 R=2</w:t>
      </w:r>
    </w:p>
    <w:p w14:paraId="26CAA1C8" w14:textId="77777777" w:rsidR="00394471" w:rsidRPr="00FA0D37" w:rsidRDefault="00394471" w:rsidP="00FA0D37">
      <w:pPr>
        <w:pStyle w:val="PL"/>
      </w:pPr>
      <w:r w:rsidRPr="00FA0D37">
        <w:t xml:space="preserve">    etype2R2-r16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6AD4C6C" w14:textId="77777777" w:rsidR="00394471" w:rsidRPr="00FA0D37" w:rsidRDefault="00394471" w:rsidP="00FA0D37">
      <w:pPr>
        <w:pStyle w:val="PL"/>
      </w:pPr>
      <w:r w:rsidRPr="00FA0D37">
        <w:t xml:space="preserve">                   </w:t>
      </w:r>
      <w:r w:rsidRPr="00FA0D37">
        <w:rPr>
          <w:rFonts w:eastAsia="MS Mincho"/>
        </w:rPr>
        <w:t xml:space="preserve">                                                   </w:t>
      </w:r>
      <w:r w:rsidRPr="00FA0D37">
        <w:rPr>
          <w:color w:val="993366"/>
        </w:rPr>
        <w:t>OPTIONAL</w:t>
      </w:r>
      <w:r w:rsidRPr="00FA0D37">
        <w:t>,</w:t>
      </w:r>
    </w:p>
    <w:p w14:paraId="0159B21D" w14:textId="77777777" w:rsidR="00394471" w:rsidRPr="00FA0D37" w:rsidRDefault="00394471" w:rsidP="00FA0D37">
      <w:pPr>
        <w:pStyle w:val="PL"/>
        <w:rPr>
          <w:color w:val="808080"/>
        </w:rPr>
      </w:pPr>
      <w:r w:rsidRPr="00FA0D37">
        <w:t xml:space="preserve">    </w:t>
      </w:r>
      <w:r w:rsidRPr="00FA0D37">
        <w:rPr>
          <w:color w:val="808080"/>
        </w:rPr>
        <w:t>-- R1 16-3b Regular eType 2 R=1 PortSelection</w:t>
      </w:r>
    </w:p>
    <w:p w14:paraId="6912C512" w14:textId="77777777" w:rsidR="00394471" w:rsidRPr="00FA0D37" w:rsidRDefault="00394471" w:rsidP="00FA0D37">
      <w:pPr>
        <w:pStyle w:val="PL"/>
      </w:pPr>
      <w:r w:rsidRPr="00FA0D37">
        <w:t xml:space="preserve">    etype2R1-PortSelection-r16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01F28C6" w14:textId="77777777" w:rsidR="00394471" w:rsidRPr="00FA0D37" w:rsidRDefault="00394471" w:rsidP="00FA0D37">
      <w:pPr>
        <w:pStyle w:val="PL"/>
      </w:pPr>
      <w:r w:rsidRPr="00FA0D37">
        <w:t xml:space="preserve">                                                               </w:t>
      </w:r>
      <w:r w:rsidRPr="00FA0D37">
        <w:rPr>
          <w:color w:val="993366"/>
        </w:rPr>
        <w:t>OPTIONAL</w:t>
      </w:r>
      <w:r w:rsidRPr="00FA0D37">
        <w:t>,</w:t>
      </w:r>
    </w:p>
    <w:p w14:paraId="166BDBB8" w14:textId="77777777" w:rsidR="00394471" w:rsidRPr="00FA0D37" w:rsidRDefault="00394471" w:rsidP="00FA0D37">
      <w:pPr>
        <w:pStyle w:val="PL"/>
        <w:rPr>
          <w:color w:val="808080"/>
        </w:rPr>
      </w:pPr>
      <w:r w:rsidRPr="00FA0D37">
        <w:t xml:space="preserve">    </w:t>
      </w:r>
      <w:r w:rsidRPr="00FA0D37">
        <w:rPr>
          <w:color w:val="808080"/>
        </w:rPr>
        <w:t>-- R1 16-3b-1 Regular eType 2 R=2 PortSelection</w:t>
      </w:r>
    </w:p>
    <w:p w14:paraId="42D8E6A1" w14:textId="77777777" w:rsidR="00394471" w:rsidRPr="00FA0D37" w:rsidRDefault="00394471" w:rsidP="00FA0D37">
      <w:pPr>
        <w:pStyle w:val="PL"/>
      </w:pPr>
      <w:r w:rsidRPr="00FA0D37">
        <w:t xml:space="preserve">    etype2R2-PortSelection-r16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6147E97" w14:textId="77777777" w:rsidR="00394471" w:rsidRPr="00FA0D37" w:rsidRDefault="00394471" w:rsidP="00FA0D37">
      <w:pPr>
        <w:pStyle w:val="PL"/>
      </w:pPr>
      <w:r w:rsidRPr="00FA0D37">
        <w:t xml:space="preserve">                                                               </w:t>
      </w:r>
      <w:r w:rsidRPr="00FA0D37">
        <w:rPr>
          <w:color w:val="993366"/>
        </w:rPr>
        <w:t>OPTIONAL</w:t>
      </w:r>
    </w:p>
    <w:p w14:paraId="2B492100" w14:textId="77777777" w:rsidR="00394471" w:rsidRPr="00FA0D37" w:rsidRDefault="00394471" w:rsidP="00FA0D37">
      <w:pPr>
        <w:pStyle w:val="PL"/>
      </w:pPr>
      <w:r w:rsidRPr="00FA0D37">
        <w:t>}</w:t>
      </w:r>
    </w:p>
    <w:p w14:paraId="2F83D50B" w14:textId="77777777" w:rsidR="00394471" w:rsidRPr="00FA0D37" w:rsidRDefault="00394471" w:rsidP="00FA0D37">
      <w:pPr>
        <w:pStyle w:val="PL"/>
      </w:pPr>
    </w:p>
    <w:p w14:paraId="6F90CAE1" w14:textId="77777777" w:rsidR="00394471" w:rsidRPr="00FA0D37" w:rsidRDefault="00394471" w:rsidP="00FA0D37">
      <w:pPr>
        <w:pStyle w:val="PL"/>
        <w:rPr>
          <w:rFonts w:eastAsia="MS Mincho"/>
        </w:rPr>
      </w:pPr>
      <w:r w:rsidRPr="00FA0D37">
        <w:rPr>
          <w:rFonts w:eastAsia="MS Mincho"/>
        </w:rPr>
        <w:t xml:space="preserve">CodebookComboParametersAdditionPerBC-r16::= </w:t>
      </w:r>
      <w:r w:rsidRPr="00FA0D37">
        <w:rPr>
          <w:rFonts w:eastAsia="MS Mincho"/>
          <w:color w:val="993366"/>
        </w:rPr>
        <w:t>SEQUENCE</w:t>
      </w:r>
      <w:r w:rsidRPr="00FA0D37">
        <w:rPr>
          <w:rFonts w:eastAsia="MS Mincho"/>
        </w:rPr>
        <w:t xml:space="preserve"> {</w:t>
      </w:r>
    </w:p>
    <w:p w14:paraId="20C4094F" w14:textId="77777777" w:rsidR="00394471" w:rsidRPr="00FA0D37" w:rsidRDefault="00394471" w:rsidP="00FA0D37">
      <w:pPr>
        <w:pStyle w:val="PL"/>
        <w:rPr>
          <w:color w:val="808080"/>
        </w:rPr>
      </w:pPr>
      <w:r w:rsidRPr="00FA0D37">
        <w:t xml:space="preserve">    </w:t>
      </w:r>
      <w:r w:rsidRPr="00FA0D37">
        <w:rPr>
          <w:color w:val="808080"/>
        </w:rPr>
        <w:t>-- R1 16-8 Mixed codebook types</w:t>
      </w:r>
    </w:p>
    <w:p w14:paraId="1BA5E103" w14:textId="77777777" w:rsidR="00394471" w:rsidRPr="00FA0D37" w:rsidRDefault="00394471" w:rsidP="00FA0D37">
      <w:pPr>
        <w:pStyle w:val="PL"/>
      </w:pPr>
      <w:r w:rsidRPr="00FA0D37">
        <w:t xml:space="preserve">    type1SP-Type2-null-r16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5B5E43D" w14:textId="77777777" w:rsidR="00394471" w:rsidRPr="00FA0D37" w:rsidRDefault="00394471" w:rsidP="00FA0D37">
      <w:pPr>
        <w:pStyle w:val="PL"/>
      </w:pPr>
      <w:r w:rsidRPr="00FA0D37">
        <w:t xml:space="preserve">                                                               </w:t>
      </w:r>
      <w:r w:rsidRPr="00FA0D37">
        <w:rPr>
          <w:color w:val="993366"/>
        </w:rPr>
        <w:t>OPTIONAL</w:t>
      </w:r>
      <w:r w:rsidRPr="00FA0D37">
        <w:t>,</w:t>
      </w:r>
    </w:p>
    <w:p w14:paraId="6E01E22E" w14:textId="77777777" w:rsidR="00394471" w:rsidRPr="00FA0D37" w:rsidRDefault="00394471" w:rsidP="00FA0D37">
      <w:pPr>
        <w:pStyle w:val="PL"/>
      </w:pPr>
      <w:r w:rsidRPr="00FA0D37">
        <w:t xml:space="preserve">    type1SP-Type2PS-null-r16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94EFFBC" w14:textId="77777777" w:rsidR="00394471" w:rsidRPr="00FA0D37" w:rsidRDefault="00394471" w:rsidP="00FA0D37">
      <w:pPr>
        <w:pStyle w:val="PL"/>
      </w:pPr>
      <w:r w:rsidRPr="00FA0D37">
        <w:t xml:space="preserve">                                                               </w:t>
      </w:r>
      <w:r w:rsidRPr="00FA0D37">
        <w:rPr>
          <w:color w:val="993366"/>
        </w:rPr>
        <w:t>OPTIONAL</w:t>
      </w:r>
      <w:r w:rsidRPr="00FA0D37">
        <w:t>,</w:t>
      </w:r>
    </w:p>
    <w:p w14:paraId="46B5C768" w14:textId="77777777" w:rsidR="00394471" w:rsidRPr="00FA0D37" w:rsidRDefault="00394471" w:rsidP="00FA0D37">
      <w:pPr>
        <w:pStyle w:val="PL"/>
      </w:pPr>
      <w:r w:rsidRPr="00FA0D37">
        <w:t xml:space="preserve">    type1SP-eType2R1-null-r16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6AFC124" w14:textId="504228A0" w:rsidR="00394471" w:rsidRPr="00FA0D37" w:rsidRDefault="00394471" w:rsidP="00FA0D37">
      <w:pPr>
        <w:pStyle w:val="PL"/>
      </w:pPr>
      <w:r w:rsidRPr="00FA0D37">
        <w:t xml:space="preserve">                                                              </w:t>
      </w:r>
      <w:r w:rsidR="00977C82" w:rsidRPr="00FA0D37">
        <w:t xml:space="preserve"> </w:t>
      </w:r>
      <w:r w:rsidRPr="00FA0D37">
        <w:rPr>
          <w:color w:val="993366"/>
        </w:rPr>
        <w:t>OPTIONAL</w:t>
      </w:r>
      <w:r w:rsidRPr="00FA0D37">
        <w:t>,</w:t>
      </w:r>
    </w:p>
    <w:p w14:paraId="5F914C2E" w14:textId="77777777" w:rsidR="00394471" w:rsidRPr="00FA0D37" w:rsidRDefault="00394471" w:rsidP="00FA0D37">
      <w:pPr>
        <w:pStyle w:val="PL"/>
      </w:pPr>
      <w:r w:rsidRPr="00FA0D37">
        <w:t xml:space="preserve">    type1SP-eType2R2-null-r16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4247333" w14:textId="77777777" w:rsidR="00394471" w:rsidRPr="00FA0D37" w:rsidRDefault="00394471" w:rsidP="00FA0D37">
      <w:pPr>
        <w:pStyle w:val="PL"/>
      </w:pPr>
      <w:r w:rsidRPr="00FA0D37">
        <w:t xml:space="preserve">                                                               </w:t>
      </w:r>
      <w:r w:rsidRPr="00FA0D37">
        <w:rPr>
          <w:color w:val="993366"/>
        </w:rPr>
        <w:t>OPTIONAL</w:t>
      </w:r>
      <w:r w:rsidRPr="00FA0D37">
        <w:t>,</w:t>
      </w:r>
    </w:p>
    <w:p w14:paraId="65645A58" w14:textId="77777777" w:rsidR="00394471" w:rsidRPr="00FA0D37" w:rsidRDefault="00394471" w:rsidP="00FA0D37">
      <w:pPr>
        <w:pStyle w:val="PL"/>
      </w:pPr>
      <w:r w:rsidRPr="00FA0D37">
        <w:t xml:space="preserve">    type1SP-eType2R1PS-null-r16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5EAD49C" w14:textId="77777777" w:rsidR="00394471" w:rsidRPr="00FA0D37" w:rsidRDefault="00394471" w:rsidP="00FA0D37">
      <w:pPr>
        <w:pStyle w:val="PL"/>
      </w:pPr>
      <w:r w:rsidRPr="00FA0D37">
        <w:t xml:space="preserve">                                                               </w:t>
      </w:r>
      <w:r w:rsidRPr="00FA0D37">
        <w:rPr>
          <w:color w:val="993366"/>
        </w:rPr>
        <w:t>OPTIONAL</w:t>
      </w:r>
      <w:r w:rsidRPr="00FA0D37">
        <w:t>,</w:t>
      </w:r>
    </w:p>
    <w:p w14:paraId="2CEB3B11" w14:textId="77777777" w:rsidR="00394471" w:rsidRPr="00FA0D37" w:rsidRDefault="00394471" w:rsidP="00FA0D37">
      <w:pPr>
        <w:pStyle w:val="PL"/>
      </w:pPr>
      <w:r w:rsidRPr="00FA0D37">
        <w:t xml:space="preserve">    type1SP-eType2R2PS-null-r16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745BF36" w14:textId="77777777" w:rsidR="00394471" w:rsidRPr="00FA0D37" w:rsidRDefault="00394471" w:rsidP="00FA0D37">
      <w:pPr>
        <w:pStyle w:val="PL"/>
      </w:pPr>
      <w:r w:rsidRPr="00FA0D37">
        <w:t xml:space="preserve">                                                               </w:t>
      </w:r>
      <w:r w:rsidRPr="00FA0D37">
        <w:rPr>
          <w:color w:val="993366"/>
        </w:rPr>
        <w:t>OPTIONAL</w:t>
      </w:r>
      <w:r w:rsidRPr="00FA0D37">
        <w:t>,</w:t>
      </w:r>
    </w:p>
    <w:p w14:paraId="29C551C3" w14:textId="77777777" w:rsidR="00394471" w:rsidRPr="00FA0D37" w:rsidRDefault="00394471" w:rsidP="00FA0D37">
      <w:pPr>
        <w:pStyle w:val="PL"/>
      </w:pPr>
      <w:r w:rsidRPr="00FA0D37">
        <w:t xml:space="preserve">    type1SP-Type2-Type2PS-r16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1DE62D6" w14:textId="77777777" w:rsidR="00394471" w:rsidRPr="00FA0D37" w:rsidRDefault="00394471" w:rsidP="00FA0D37">
      <w:pPr>
        <w:pStyle w:val="PL"/>
      </w:pPr>
      <w:r w:rsidRPr="00FA0D37">
        <w:t xml:space="preserve">                                                               </w:t>
      </w:r>
      <w:r w:rsidRPr="00FA0D37">
        <w:rPr>
          <w:color w:val="993366"/>
        </w:rPr>
        <w:t>OPTIONAL</w:t>
      </w:r>
      <w:r w:rsidRPr="00FA0D37">
        <w:t>,</w:t>
      </w:r>
    </w:p>
    <w:p w14:paraId="1B8259AD" w14:textId="77777777" w:rsidR="00394471" w:rsidRPr="00FA0D37" w:rsidRDefault="00394471" w:rsidP="00FA0D37">
      <w:pPr>
        <w:pStyle w:val="PL"/>
      </w:pPr>
      <w:r w:rsidRPr="00FA0D37">
        <w:t xml:space="preserve">    type1MP-Type2-null-r16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2B70295" w14:textId="77777777" w:rsidR="00394471" w:rsidRPr="00FA0D37" w:rsidRDefault="00394471" w:rsidP="00FA0D37">
      <w:pPr>
        <w:pStyle w:val="PL"/>
      </w:pPr>
      <w:r w:rsidRPr="00FA0D37">
        <w:t xml:space="preserve">                                                               </w:t>
      </w:r>
      <w:r w:rsidRPr="00FA0D37">
        <w:rPr>
          <w:color w:val="993366"/>
        </w:rPr>
        <w:t>OPTIONAL</w:t>
      </w:r>
      <w:r w:rsidRPr="00FA0D37">
        <w:t>,</w:t>
      </w:r>
    </w:p>
    <w:p w14:paraId="71EB0BEE" w14:textId="77777777" w:rsidR="00394471" w:rsidRPr="00FA0D37" w:rsidRDefault="00394471" w:rsidP="00FA0D37">
      <w:pPr>
        <w:pStyle w:val="PL"/>
      </w:pPr>
      <w:r w:rsidRPr="00FA0D37">
        <w:t xml:space="preserve">    type1MP-Type2PS-null-r16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135A8C3" w14:textId="77777777" w:rsidR="00394471" w:rsidRPr="00FA0D37" w:rsidRDefault="00394471" w:rsidP="00FA0D37">
      <w:pPr>
        <w:pStyle w:val="PL"/>
      </w:pPr>
      <w:r w:rsidRPr="00FA0D37">
        <w:t xml:space="preserve">                                                               </w:t>
      </w:r>
      <w:r w:rsidRPr="00FA0D37">
        <w:rPr>
          <w:color w:val="993366"/>
        </w:rPr>
        <w:t>OPTIONAL</w:t>
      </w:r>
      <w:r w:rsidRPr="00FA0D37">
        <w:t>,</w:t>
      </w:r>
    </w:p>
    <w:p w14:paraId="6298320E" w14:textId="77777777" w:rsidR="00394471" w:rsidRPr="00FA0D37" w:rsidRDefault="00394471" w:rsidP="00FA0D37">
      <w:pPr>
        <w:pStyle w:val="PL"/>
      </w:pPr>
      <w:r w:rsidRPr="00FA0D37">
        <w:t xml:space="preserve">    type1MP-eType2R1-null-r16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3C52E89" w14:textId="77777777" w:rsidR="00394471" w:rsidRPr="00FA0D37" w:rsidRDefault="00394471" w:rsidP="00FA0D37">
      <w:pPr>
        <w:pStyle w:val="PL"/>
      </w:pPr>
      <w:r w:rsidRPr="00FA0D37">
        <w:t xml:space="preserve">                                                               </w:t>
      </w:r>
      <w:r w:rsidRPr="00FA0D37">
        <w:rPr>
          <w:color w:val="993366"/>
        </w:rPr>
        <w:t>OPTIONAL</w:t>
      </w:r>
      <w:r w:rsidRPr="00FA0D37">
        <w:t>,</w:t>
      </w:r>
    </w:p>
    <w:p w14:paraId="3E970361" w14:textId="77777777" w:rsidR="00394471" w:rsidRPr="00FA0D37" w:rsidRDefault="00394471" w:rsidP="00FA0D37">
      <w:pPr>
        <w:pStyle w:val="PL"/>
      </w:pPr>
      <w:r w:rsidRPr="00FA0D37">
        <w:t xml:space="preserve">    type1MP-eType2R2-null-r16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2697043" w14:textId="77777777" w:rsidR="00394471" w:rsidRPr="00FA0D37" w:rsidRDefault="00394471" w:rsidP="00FA0D37">
      <w:pPr>
        <w:pStyle w:val="PL"/>
      </w:pPr>
      <w:r w:rsidRPr="00FA0D37">
        <w:lastRenderedPageBreak/>
        <w:t xml:space="preserve">                                                               </w:t>
      </w:r>
      <w:r w:rsidRPr="00FA0D37">
        <w:rPr>
          <w:color w:val="993366"/>
        </w:rPr>
        <w:t>OPTIONAL</w:t>
      </w:r>
      <w:r w:rsidRPr="00FA0D37">
        <w:t>,</w:t>
      </w:r>
    </w:p>
    <w:p w14:paraId="620493E1" w14:textId="77777777" w:rsidR="00394471" w:rsidRPr="00FA0D37" w:rsidRDefault="00394471" w:rsidP="00FA0D37">
      <w:pPr>
        <w:pStyle w:val="PL"/>
      </w:pPr>
      <w:r w:rsidRPr="00FA0D37">
        <w:t xml:space="preserve">    type1MP-eType2R1PS-null-r16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4A9FAE6" w14:textId="77777777" w:rsidR="00394471" w:rsidRPr="00FA0D37" w:rsidRDefault="00394471" w:rsidP="00FA0D37">
      <w:pPr>
        <w:pStyle w:val="PL"/>
      </w:pPr>
      <w:r w:rsidRPr="00FA0D37">
        <w:t xml:space="preserve">                                                               </w:t>
      </w:r>
      <w:r w:rsidRPr="00FA0D37">
        <w:rPr>
          <w:color w:val="993366"/>
        </w:rPr>
        <w:t>OPTIONAL</w:t>
      </w:r>
      <w:r w:rsidRPr="00FA0D37">
        <w:t>,</w:t>
      </w:r>
    </w:p>
    <w:p w14:paraId="680B336D" w14:textId="77777777" w:rsidR="00394471" w:rsidRPr="00FA0D37" w:rsidRDefault="00394471" w:rsidP="00FA0D37">
      <w:pPr>
        <w:pStyle w:val="PL"/>
      </w:pPr>
      <w:r w:rsidRPr="00FA0D37">
        <w:t xml:space="preserve">    type1MP-eType2R2PS-null-r16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0C0CFB1" w14:textId="77777777" w:rsidR="00394471" w:rsidRPr="00FA0D37" w:rsidRDefault="00394471" w:rsidP="00FA0D37">
      <w:pPr>
        <w:pStyle w:val="PL"/>
      </w:pPr>
      <w:r w:rsidRPr="00FA0D37">
        <w:t xml:space="preserve">                                                               </w:t>
      </w:r>
      <w:r w:rsidRPr="00FA0D37">
        <w:rPr>
          <w:color w:val="993366"/>
        </w:rPr>
        <w:t>OPTIONAL</w:t>
      </w:r>
      <w:r w:rsidRPr="00FA0D37">
        <w:t>,</w:t>
      </w:r>
    </w:p>
    <w:p w14:paraId="4FEC6CC7" w14:textId="77777777" w:rsidR="00394471" w:rsidRPr="00FA0D37" w:rsidRDefault="00394471" w:rsidP="00FA0D37">
      <w:pPr>
        <w:pStyle w:val="PL"/>
      </w:pPr>
      <w:r w:rsidRPr="00FA0D37">
        <w:t xml:space="preserve">    type1MP-Type2-Type2PS-r16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C15DFF7" w14:textId="77777777" w:rsidR="00394471" w:rsidRPr="00FA0D37" w:rsidRDefault="00394471" w:rsidP="00FA0D37">
      <w:pPr>
        <w:pStyle w:val="PL"/>
      </w:pPr>
      <w:r w:rsidRPr="00FA0D37">
        <w:t xml:space="preserve">                                                               </w:t>
      </w:r>
      <w:r w:rsidRPr="00FA0D37">
        <w:rPr>
          <w:color w:val="993366"/>
        </w:rPr>
        <w:t>OPTIONAL</w:t>
      </w:r>
    </w:p>
    <w:p w14:paraId="2E3DE01F" w14:textId="77777777" w:rsidR="00394471" w:rsidRPr="00FA0D37" w:rsidRDefault="00394471" w:rsidP="00FA0D37">
      <w:pPr>
        <w:pStyle w:val="PL"/>
      </w:pPr>
      <w:r w:rsidRPr="00FA0D37">
        <w:t>}</w:t>
      </w:r>
    </w:p>
    <w:p w14:paraId="68DA0F7F" w14:textId="77777777" w:rsidR="002E309C" w:rsidRPr="00FA0D37" w:rsidRDefault="002E309C" w:rsidP="00FA0D37">
      <w:pPr>
        <w:pStyle w:val="PL"/>
      </w:pPr>
    </w:p>
    <w:p w14:paraId="109176B2" w14:textId="5442A88D" w:rsidR="002E309C" w:rsidRPr="00FA0D37" w:rsidRDefault="002E309C" w:rsidP="00FA0D37">
      <w:pPr>
        <w:pStyle w:val="PL"/>
      </w:pPr>
      <w:r w:rsidRPr="00FA0D37">
        <w:t xml:space="preserve">CodebookParametersfetype2PerBC-r17 ::= </w:t>
      </w:r>
      <w:r w:rsidRPr="00FA0D37">
        <w:rPr>
          <w:color w:val="993366"/>
        </w:rPr>
        <w:t>SEQUENCE</w:t>
      </w:r>
      <w:r w:rsidRPr="00FA0D37">
        <w:t xml:space="preserve"> {</w:t>
      </w:r>
    </w:p>
    <w:p w14:paraId="3783524C" w14:textId="6E4A5DD0" w:rsidR="002E309C" w:rsidRPr="00FA0D37" w:rsidRDefault="002E309C" w:rsidP="00FA0D37">
      <w:pPr>
        <w:pStyle w:val="PL"/>
        <w:rPr>
          <w:color w:val="808080"/>
        </w:rPr>
      </w:pPr>
      <w:r w:rsidRPr="00FA0D37">
        <w:t xml:space="preserve">    </w:t>
      </w:r>
      <w:r w:rsidRPr="00FA0D37">
        <w:rPr>
          <w:color w:val="808080"/>
        </w:rPr>
        <w:t>-- R1 23-9-1</w:t>
      </w:r>
      <w:r w:rsidRPr="00FA0D37">
        <w:rPr>
          <w:color w:val="808080"/>
        </w:rPr>
        <w:tab/>
        <w:t>Basic Features of Further Enhanced Port-Selection Type II Codebook (FeType-II)</w:t>
      </w:r>
    </w:p>
    <w:p w14:paraId="26F83EE3" w14:textId="1A66D507" w:rsidR="00153BC9" w:rsidRPr="00FA0D37" w:rsidRDefault="002E309C" w:rsidP="00FA0D37">
      <w:pPr>
        <w:pStyle w:val="PL"/>
      </w:pPr>
      <w:r w:rsidRPr="00FA0D37">
        <w:t xml:space="preserve">    fetype2basic-r17    </w:t>
      </w:r>
      <w:r w:rsidRPr="00FA0D37">
        <w:rPr>
          <w:color w:val="993366"/>
        </w:rPr>
        <w:t>SEQUENCE</w:t>
      </w:r>
      <w:r w:rsidRPr="00FA0D37">
        <w:t xml:space="preserve"> (</w:t>
      </w:r>
      <w:r w:rsidRPr="00FA0D37">
        <w:rPr>
          <w:color w:val="993366"/>
        </w:rPr>
        <w:t>SIZE</w:t>
      </w:r>
      <w:r w:rsidRPr="00FA0D37">
        <w:t xml:space="preserve"> (1.. 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r w:rsidR="00153BC9" w:rsidRPr="00FA0D37">
        <w:t>,</w:t>
      </w:r>
    </w:p>
    <w:p w14:paraId="419A2FBA" w14:textId="080116E9" w:rsidR="002E309C" w:rsidRPr="00FA0D37" w:rsidRDefault="002E309C" w:rsidP="00FA0D37">
      <w:pPr>
        <w:pStyle w:val="PL"/>
        <w:rPr>
          <w:color w:val="808080"/>
        </w:rPr>
      </w:pPr>
      <w:r w:rsidRPr="00FA0D37">
        <w:t xml:space="preserve">    </w:t>
      </w:r>
      <w:r w:rsidRPr="00FA0D37">
        <w:rPr>
          <w:color w:val="808080"/>
        </w:rPr>
        <w:t>-- R1 23-9-2</w:t>
      </w:r>
      <w:r w:rsidRPr="00FA0D37">
        <w:rPr>
          <w:color w:val="808080"/>
        </w:rPr>
        <w:tab/>
        <w:t>Support of M=2 and R=1 for FeType-II</w:t>
      </w:r>
    </w:p>
    <w:p w14:paraId="5325D8D9" w14:textId="502A70E2" w:rsidR="002E309C" w:rsidRPr="00FA0D37" w:rsidRDefault="002E309C" w:rsidP="00FA0D37">
      <w:pPr>
        <w:pStyle w:val="PL"/>
      </w:pPr>
      <w:r w:rsidRPr="00FA0D37">
        <w:t xml:space="preserve">    fetype2R1-r17    </w:t>
      </w:r>
      <w:r w:rsidR="00691952"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(1..maxNrofCSI-RS-ResourcesExt-r17))</w:t>
      </w:r>
      <w:r w:rsidRPr="00FA0D37">
        <w:rPr>
          <w:color w:val="993366"/>
        </w:rPr>
        <w:t xml:space="preserve"> OF</w:t>
      </w:r>
      <w:r w:rsidRPr="00FA0D37">
        <w:t xml:space="preserve"> </w:t>
      </w:r>
      <w:r w:rsidRPr="00FA0D37">
        <w:rPr>
          <w:color w:val="993366"/>
        </w:rPr>
        <w:t>INTEGER</w:t>
      </w:r>
      <w:r w:rsidRPr="00FA0D37">
        <w:t xml:space="preserve"> (0.. maxNrofCSI-RS-ResourcesAlt-1-r16)</w:t>
      </w:r>
    </w:p>
    <w:p w14:paraId="6DFCD459" w14:textId="5B09D4D4" w:rsidR="002E309C" w:rsidRPr="00FA0D37" w:rsidRDefault="002E309C" w:rsidP="00FA0D37">
      <w:pPr>
        <w:pStyle w:val="PL"/>
      </w:pPr>
      <w:r w:rsidRPr="00FA0D37">
        <w:t xml:space="preserve">                                  </w:t>
      </w:r>
      <w:r w:rsidRPr="00FA0D37">
        <w:rPr>
          <w:color w:val="993366"/>
        </w:rPr>
        <w:t>OPTIONAL</w:t>
      </w:r>
      <w:r w:rsidRPr="00FA0D37">
        <w:t>,</w:t>
      </w:r>
    </w:p>
    <w:p w14:paraId="176B3A2B" w14:textId="7F46F022" w:rsidR="002E309C" w:rsidRPr="00FA0D37" w:rsidRDefault="002E309C" w:rsidP="00FA0D37">
      <w:pPr>
        <w:pStyle w:val="PL"/>
        <w:rPr>
          <w:color w:val="808080"/>
        </w:rPr>
      </w:pPr>
      <w:r w:rsidRPr="00FA0D37">
        <w:t xml:space="preserve">    </w:t>
      </w:r>
      <w:r w:rsidRPr="00FA0D37">
        <w:rPr>
          <w:color w:val="808080"/>
        </w:rPr>
        <w:t>-- R1 23-9-4</w:t>
      </w:r>
      <w:r w:rsidRPr="00FA0D37">
        <w:rPr>
          <w:color w:val="808080"/>
        </w:rPr>
        <w:tab/>
        <w:t>Support of R = 2 for FeType-II</w:t>
      </w:r>
    </w:p>
    <w:p w14:paraId="07A34364" w14:textId="07396C11" w:rsidR="002E309C" w:rsidRPr="00FA0D37" w:rsidRDefault="002E309C" w:rsidP="00FA0D37">
      <w:pPr>
        <w:pStyle w:val="PL"/>
      </w:pPr>
      <w:r w:rsidRPr="00FA0D37">
        <w:t xml:space="preserve">    fetype2R2-r17    </w:t>
      </w:r>
      <w:r w:rsidR="00691952" w:rsidRPr="00FA0D37">
        <w:t xml:space="preserve">   </w:t>
      </w:r>
      <w:r w:rsidRPr="00FA0D37">
        <w:rPr>
          <w:color w:val="993366"/>
        </w:rPr>
        <w:t>SEQUENCE</w:t>
      </w:r>
      <w:r w:rsidRPr="00FA0D37">
        <w:t xml:space="preserve"> (</w:t>
      </w:r>
      <w:r w:rsidRPr="00FA0D37">
        <w:rPr>
          <w:color w:val="993366"/>
        </w:rPr>
        <w:t>SIZE</w:t>
      </w:r>
      <w:r w:rsidRPr="00FA0D37">
        <w:t xml:space="preserve"> (1..maxNrofCSI-RS-ResourcesExt-r17))</w:t>
      </w:r>
      <w:r w:rsidRPr="00FA0D37">
        <w:rPr>
          <w:color w:val="993366"/>
        </w:rPr>
        <w:t xml:space="preserve"> OF</w:t>
      </w:r>
      <w:r w:rsidRPr="00FA0D37">
        <w:t xml:space="preserve"> </w:t>
      </w:r>
      <w:r w:rsidRPr="00FA0D37">
        <w:rPr>
          <w:color w:val="993366"/>
        </w:rPr>
        <w:t>INTEGER</w:t>
      </w:r>
      <w:r w:rsidRPr="00FA0D37">
        <w:t xml:space="preserve"> (0.. maxNrofCSI-RS-ResourcesAlt-1-r16)</w:t>
      </w:r>
    </w:p>
    <w:p w14:paraId="1D5CF68C" w14:textId="49670EE0" w:rsidR="002E309C" w:rsidRPr="00FA0D37" w:rsidRDefault="002E309C" w:rsidP="00FA0D37">
      <w:pPr>
        <w:pStyle w:val="PL"/>
      </w:pPr>
      <w:r w:rsidRPr="00FA0D37">
        <w:t xml:space="preserve">                                  </w:t>
      </w:r>
      <w:r w:rsidRPr="00FA0D37">
        <w:rPr>
          <w:color w:val="993366"/>
        </w:rPr>
        <w:t>OPTIONAL</w:t>
      </w:r>
    </w:p>
    <w:p w14:paraId="126B1A93" w14:textId="77777777" w:rsidR="002E309C" w:rsidRPr="00FA0D37" w:rsidRDefault="002E309C" w:rsidP="00FA0D37">
      <w:pPr>
        <w:pStyle w:val="PL"/>
      </w:pPr>
      <w:r w:rsidRPr="00FA0D37">
        <w:t>}</w:t>
      </w:r>
    </w:p>
    <w:p w14:paraId="16CBD37D" w14:textId="197D4E59" w:rsidR="00394471" w:rsidRPr="00FA0D37" w:rsidRDefault="00394471" w:rsidP="00FA0D37">
      <w:pPr>
        <w:pStyle w:val="PL"/>
      </w:pPr>
    </w:p>
    <w:p w14:paraId="10D71AA8" w14:textId="0CC92955" w:rsidR="003B68FE" w:rsidRPr="00FA0D37" w:rsidRDefault="003B68FE" w:rsidP="00FA0D37">
      <w:pPr>
        <w:pStyle w:val="PL"/>
      </w:pPr>
      <w:r w:rsidRPr="00FA0D37">
        <w:t xml:space="preserve">CodebookComboParameterMixedTypePerBC-r17 ::= </w:t>
      </w:r>
      <w:r w:rsidRPr="00FA0D37">
        <w:rPr>
          <w:color w:val="993366"/>
        </w:rPr>
        <w:t>SEQUENCE</w:t>
      </w:r>
      <w:r w:rsidRPr="00FA0D37">
        <w:t xml:space="preserve"> {</w:t>
      </w:r>
    </w:p>
    <w:p w14:paraId="272648B1" w14:textId="77777777" w:rsidR="003B68FE" w:rsidRPr="00FA0D37" w:rsidRDefault="003B68FE" w:rsidP="00FA0D37">
      <w:pPr>
        <w:pStyle w:val="PL"/>
        <w:rPr>
          <w:color w:val="808080"/>
        </w:rPr>
      </w:pPr>
      <w:r w:rsidRPr="00FA0D37">
        <w:t xml:space="preserve">    </w:t>
      </w:r>
      <w:r w:rsidRPr="00FA0D37">
        <w:rPr>
          <w:color w:val="808080"/>
        </w:rPr>
        <w:t>-- R1 23-9-5 Active CSI-RS resources and ports for mixed codebook types in any slot</w:t>
      </w:r>
    </w:p>
    <w:p w14:paraId="02BF87D8" w14:textId="44986030" w:rsidR="003B68FE" w:rsidRPr="00FA0D37" w:rsidRDefault="003B68FE" w:rsidP="00FA0D37">
      <w:pPr>
        <w:pStyle w:val="PL"/>
      </w:pPr>
      <w:r w:rsidRPr="00FA0D37">
        <w:t xml:space="preserve">    type1SP-feType2PS-null-r17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8CB1F45" w14:textId="77777777" w:rsidR="003B68FE" w:rsidRPr="00FA0D37" w:rsidRDefault="003B68FE" w:rsidP="00FA0D37">
      <w:pPr>
        <w:pStyle w:val="PL"/>
      </w:pPr>
      <w:r w:rsidRPr="00FA0D37">
        <w:t xml:space="preserve">                                                               </w:t>
      </w:r>
      <w:r w:rsidRPr="00FA0D37">
        <w:rPr>
          <w:color w:val="993366"/>
        </w:rPr>
        <w:t>OPTIONAL</w:t>
      </w:r>
      <w:r w:rsidRPr="00FA0D37">
        <w:t>,</w:t>
      </w:r>
    </w:p>
    <w:p w14:paraId="737B5D94" w14:textId="067A81AD" w:rsidR="003B68FE" w:rsidRPr="00FA0D37" w:rsidRDefault="003B68FE" w:rsidP="00FA0D37">
      <w:pPr>
        <w:pStyle w:val="PL"/>
      </w:pPr>
      <w:r w:rsidRPr="00FA0D37">
        <w:t xml:space="preserve">    type1SP-feType2PS-M2R1-null-r17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EC1DA7C" w14:textId="77777777" w:rsidR="003B68FE" w:rsidRPr="00FA0D37" w:rsidRDefault="003B68FE" w:rsidP="00FA0D37">
      <w:pPr>
        <w:pStyle w:val="PL"/>
      </w:pPr>
      <w:r w:rsidRPr="00FA0D37">
        <w:t xml:space="preserve">                                                               </w:t>
      </w:r>
      <w:r w:rsidRPr="00FA0D37">
        <w:rPr>
          <w:color w:val="993366"/>
        </w:rPr>
        <w:t>OPTIONAL</w:t>
      </w:r>
      <w:r w:rsidRPr="00FA0D37">
        <w:t>,</w:t>
      </w:r>
    </w:p>
    <w:p w14:paraId="4DE7AEF9" w14:textId="014CCF33" w:rsidR="003B68FE" w:rsidRPr="00FA0D37" w:rsidRDefault="003B68FE" w:rsidP="00FA0D37">
      <w:pPr>
        <w:pStyle w:val="PL"/>
      </w:pPr>
      <w:r w:rsidRPr="00FA0D37">
        <w:t xml:space="preserve">    type1SP-feType2PS-M2R2-null-r17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C305DD3" w14:textId="77777777" w:rsidR="003B68FE" w:rsidRPr="00FA0D37" w:rsidRDefault="003B68FE" w:rsidP="00FA0D37">
      <w:pPr>
        <w:pStyle w:val="PL"/>
      </w:pPr>
      <w:r w:rsidRPr="00FA0D37">
        <w:t xml:space="preserve">                                                              </w:t>
      </w:r>
      <w:r w:rsidRPr="00FA0D37">
        <w:rPr>
          <w:color w:val="993366"/>
        </w:rPr>
        <w:t>OPTIONAL</w:t>
      </w:r>
      <w:r w:rsidRPr="00FA0D37">
        <w:t>,</w:t>
      </w:r>
    </w:p>
    <w:p w14:paraId="768C398C" w14:textId="78DCE0A7" w:rsidR="003B68FE" w:rsidRPr="00FA0D37" w:rsidRDefault="003B68FE" w:rsidP="00FA0D37">
      <w:pPr>
        <w:pStyle w:val="PL"/>
      </w:pPr>
      <w:r w:rsidRPr="00FA0D37">
        <w:t xml:space="preserve">    type1SP-Type2-feType2-PS-M1-r17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C889E27" w14:textId="77777777" w:rsidR="003B68FE" w:rsidRPr="00FA0D37" w:rsidRDefault="003B68FE" w:rsidP="00FA0D37">
      <w:pPr>
        <w:pStyle w:val="PL"/>
      </w:pPr>
      <w:r w:rsidRPr="00FA0D37">
        <w:t xml:space="preserve">                                                               </w:t>
      </w:r>
      <w:r w:rsidRPr="00FA0D37">
        <w:rPr>
          <w:color w:val="993366"/>
        </w:rPr>
        <w:t>OPTIONAL</w:t>
      </w:r>
      <w:r w:rsidRPr="00FA0D37">
        <w:t>,</w:t>
      </w:r>
    </w:p>
    <w:p w14:paraId="20282665" w14:textId="44E01F2E" w:rsidR="003B68FE" w:rsidRPr="00FA0D37" w:rsidRDefault="003B68FE" w:rsidP="00FA0D37">
      <w:pPr>
        <w:pStyle w:val="PL"/>
      </w:pPr>
      <w:r w:rsidRPr="00FA0D37">
        <w:t xml:space="preserve">    type1SP-Type2-feType2-PS-M2R1-r17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F55BDA5" w14:textId="77777777" w:rsidR="003B68FE" w:rsidRPr="00FA0D37" w:rsidRDefault="003B68FE" w:rsidP="00FA0D37">
      <w:pPr>
        <w:pStyle w:val="PL"/>
      </w:pPr>
      <w:r w:rsidRPr="00FA0D37">
        <w:t xml:space="preserve">                                                               </w:t>
      </w:r>
      <w:r w:rsidRPr="00FA0D37">
        <w:rPr>
          <w:color w:val="993366"/>
        </w:rPr>
        <w:t>OPTIONAL</w:t>
      </w:r>
      <w:r w:rsidRPr="00FA0D37">
        <w:t>,</w:t>
      </w:r>
    </w:p>
    <w:p w14:paraId="57592B52" w14:textId="4085EC8A" w:rsidR="003B68FE" w:rsidRPr="00FA0D37" w:rsidRDefault="003B68FE" w:rsidP="00FA0D37">
      <w:pPr>
        <w:pStyle w:val="PL"/>
      </w:pPr>
      <w:r w:rsidRPr="00FA0D37">
        <w:t xml:space="preserve">    type1SP-eType2R1-feType2-PS-M1-r17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2DFD477" w14:textId="77777777" w:rsidR="003B68FE" w:rsidRPr="00FA0D37" w:rsidRDefault="003B68FE" w:rsidP="00FA0D37">
      <w:pPr>
        <w:pStyle w:val="PL"/>
      </w:pPr>
      <w:r w:rsidRPr="00FA0D37">
        <w:t xml:space="preserve">                                                               </w:t>
      </w:r>
      <w:r w:rsidRPr="00FA0D37">
        <w:rPr>
          <w:color w:val="993366"/>
        </w:rPr>
        <w:t>OPTIONAL</w:t>
      </w:r>
      <w:r w:rsidRPr="00FA0D37">
        <w:t>,</w:t>
      </w:r>
    </w:p>
    <w:p w14:paraId="2FE68D62" w14:textId="1D3E6A58" w:rsidR="003B68FE" w:rsidRPr="00FA0D37" w:rsidRDefault="003B68FE" w:rsidP="00FA0D37">
      <w:pPr>
        <w:pStyle w:val="PL"/>
      </w:pPr>
      <w:r w:rsidRPr="00FA0D37">
        <w:t xml:space="preserve">    type1SP-eType2R1-feType2-PS-M2R1-r17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ACAAC43" w14:textId="77777777" w:rsidR="003B68FE" w:rsidRPr="00FA0D37" w:rsidRDefault="003B68FE" w:rsidP="00FA0D37">
      <w:pPr>
        <w:pStyle w:val="PL"/>
      </w:pPr>
      <w:r w:rsidRPr="00FA0D37">
        <w:t xml:space="preserve">                                                               </w:t>
      </w:r>
      <w:r w:rsidRPr="00FA0D37">
        <w:rPr>
          <w:color w:val="993366"/>
        </w:rPr>
        <w:t>OPTIONAL</w:t>
      </w:r>
      <w:r w:rsidRPr="00FA0D37">
        <w:t>,</w:t>
      </w:r>
    </w:p>
    <w:p w14:paraId="0C3F6102" w14:textId="59F729D7" w:rsidR="003B68FE" w:rsidRPr="00FA0D37" w:rsidRDefault="003B68FE" w:rsidP="00FA0D37">
      <w:pPr>
        <w:pStyle w:val="PL"/>
      </w:pPr>
      <w:r w:rsidRPr="00FA0D37">
        <w:t xml:space="preserve">    type1MP-feType2PS-null-r17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67934F5" w14:textId="77777777" w:rsidR="003B68FE" w:rsidRPr="00FA0D37" w:rsidRDefault="003B68FE" w:rsidP="00FA0D37">
      <w:pPr>
        <w:pStyle w:val="PL"/>
      </w:pPr>
      <w:r w:rsidRPr="00FA0D37">
        <w:t xml:space="preserve">                                                               </w:t>
      </w:r>
      <w:r w:rsidRPr="00FA0D37">
        <w:rPr>
          <w:color w:val="993366"/>
        </w:rPr>
        <w:t>OPTIONAL</w:t>
      </w:r>
      <w:r w:rsidRPr="00FA0D37">
        <w:t>,</w:t>
      </w:r>
    </w:p>
    <w:p w14:paraId="22F193CA" w14:textId="1A4CA4E7" w:rsidR="003B68FE" w:rsidRPr="00FA0D37" w:rsidRDefault="003B68FE" w:rsidP="00FA0D37">
      <w:pPr>
        <w:pStyle w:val="PL"/>
      </w:pPr>
      <w:r w:rsidRPr="00FA0D37">
        <w:t xml:space="preserve">    type1MP-feType2PS-M2R1-null-r17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8BF7EBB" w14:textId="77777777" w:rsidR="003B68FE" w:rsidRPr="00FA0D37" w:rsidRDefault="003B68FE" w:rsidP="00FA0D37">
      <w:pPr>
        <w:pStyle w:val="PL"/>
      </w:pPr>
      <w:r w:rsidRPr="00FA0D37">
        <w:t xml:space="preserve">                                                               </w:t>
      </w:r>
      <w:r w:rsidRPr="00FA0D37">
        <w:rPr>
          <w:color w:val="993366"/>
        </w:rPr>
        <w:t>OPTIONAL</w:t>
      </w:r>
      <w:r w:rsidRPr="00FA0D37">
        <w:t>,</w:t>
      </w:r>
    </w:p>
    <w:p w14:paraId="556D974F" w14:textId="339A1AE9" w:rsidR="003B68FE" w:rsidRPr="00FA0D37" w:rsidRDefault="003B68FE" w:rsidP="00FA0D37">
      <w:pPr>
        <w:pStyle w:val="PL"/>
      </w:pPr>
      <w:r w:rsidRPr="00FA0D37">
        <w:t xml:space="preserve">    type1MP-feType2PS-M2R2-null-r17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852A78F" w14:textId="0C797AF8" w:rsidR="003B68FE" w:rsidRPr="00FA0D37" w:rsidRDefault="003B68FE" w:rsidP="00FA0D37">
      <w:pPr>
        <w:pStyle w:val="PL"/>
      </w:pPr>
      <w:r w:rsidRPr="00FA0D37">
        <w:t xml:space="preserve">                                                              </w:t>
      </w:r>
      <w:r w:rsidR="00977C82" w:rsidRPr="00FA0D37">
        <w:t xml:space="preserve"> </w:t>
      </w:r>
      <w:r w:rsidRPr="00FA0D37">
        <w:rPr>
          <w:color w:val="993366"/>
        </w:rPr>
        <w:t>OPTIONAL</w:t>
      </w:r>
      <w:r w:rsidRPr="00FA0D37">
        <w:t>,</w:t>
      </w:r>
    </w:p>
    <w:p w14:paraId="45F30E70" w14:textId="3450D3EC" w:rsidR="003B68FE" w:rsidRPr="00FA0D37" w:rsidRDefault="003B68FE" w:rsidP="00FA0D37">
      <w:pPr>
        <w:pStyle w:val="PL"/>
      </w:pPr>
      <w:r w:rsidRPr="00FA0D37">
        <w:t xml:space="preserve">    type1MP-Type2-feType2-PS-M1-r17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87DB156" w14:textId="77777777" w:rsidR="003B68FE" w:rsidRPr="00FA0D37" w:rsidRDefault="003B68FE" w:rsidP="00FA0D37">
      <w:pPr>
        <w:pStyle w:val="PL"/>
      </w:pPr>
      <w:r w:rsidRPr="00FA0D37">
        <w:t xml:space="preserve">                                                               </w:t>
      </w:r>
      <w:r w:rsidRPr="00FA0D37">
        <w:rPr>
          <w:color w:val="993366"/>
        </w:rPr>
        <w:t>OPTIONAL</w:t>
      </w:r>
      <w:r w:rsidRPr="00FA0D37">
        <w:t>,</w:t>
      </w:r>
    </w:p>
    <w:p w14:paraId="2908F122" w14:textId="747DB6C4" w:rsidR="003B68FE" w:rsidRPr="00FA0D37" w:rsidRDefault="003B68FE" w:rsidP="00FA0D37">
      <w:pPr>
        <w:pStyle w:val="PL"/>
      </w:pPr>
      <w:r w:rsidRPr="00FA0D37">
        <w:t xml:space="preserve">    type1MP-Type2-feType2-PS-M2R1-r17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717645D" w14:textId="77777777" w:rsidR="003B68FE" w:rsidRPr="00FA0D37" w:rsidRDefault="003B68FE" w:rsidP="00FA0D37">
      <w:pPr>
        <w:pStyle w:val="PL"/>
      </w:pPr>
      <w:r w:rsidRPr="00FA0D37">
        <w:t xml:space="preserve">                                                               </w:t>
      </w:r>
      <w:r w:rsidRPr="00FA0D37">
        <w:rPr>
          <w:color w:val="993366"/>
        </w:rPr>
        <w:t>OPTIONAL</w:t>
      </w:r>
      <w:r w:rsidRPr="00FA0D37">
        <w:t>,</w:t>
      </w:r>
    </w:p>
    <w:p w14:paraId="37723AC6" w14:textId="5AA311FB" w:rsidR="003B68FE" w:rsidRPr="00FA0D37" w:rsidRDefault="003B68FE" w:rsidP="00FA0D37">
      <w:pPr>
        <w:pStyle w:val="PL"/>
      </w:pPr>
      <w:r w:rsidRPr="00FA0D37">
        <w:t xml:space="preserve">    type1MP-eType2R1-feType2-PS-M1-r17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3445827D" w14:textId="77777777" w:rsidR="003B68FE" w:rsidRPr="00FA0D37" w:rsidRDefault="003B68FE" w:rsidP="00FA0D37">
      <w:pPr>
        <w:pStyle w:val="PL"/>
      </w:pPr>
      <w:r w:rsidRPr="00FA0D37">
        <w:t xml:space="preserve">                                                               </w:t>
      </w:r>
      <w:r w:rsidRPr="00FA0D37">
        <w:rPr>
          <w:color w:val="993366"/>
        </w:rPr>
        <w:t>OPTIONAL</w:t>
      </w:r>
      <w:r w:rsidRPr="00FA0D37">
        <w:t>,</w:t>
      </w:r>
    </w:p>
    <w:p w14:paraId="69ABD6F7" w14:textId="0E761F68" w:rsidR="003B68FE" w:rsidRPr="00FA0D37" w:rsidRDefault="003B68FE" w:rsidP="00FA0D37">
      <w:pPr>
        <w:pStyle w:val="PL"/>
      </w:pPr>
      <w:r w:rsidRPr="00FA0D37">
        <w:t xml:space="preserve">    type1MP-eType2R1-feType2-PS-M2R1-r17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062AE9B" w14:textId="77777777" w:rsidR="003B68FE" w:rsidRPr="00FA0D37" w:rsidRDefault="003B68FE" w:rsidP="00FA0D37">
      <w:pPr>
        <w:pStyle w:val="PL"/>
      </w:pPr>
      <w:r w:rsidRPr="00FA0D37">
        <w:t xml:space="preserve">                                                               </w:t>
      </w:r>
      <w:r w:rsidRPr="00FA0D37">
        <w:rPr>
          <w:color w:val="993366"/>
        </w:rPr>
        <w:t>OPTIONAL</w:t>
      </w:r>
    </w:p>
    <w:p w14:paraId="64D120DC" w14:textId="77777777" w:rsidR="003B68FE" w:rsidRPr="00FA0D37" w:rsidRDefault="003B68FE" w:rsidP="00FA0D37">
      <w:pPr>
        <w:pStyle w:val="PL"/>
      </w:pPr>
      <w:r w:rsidRPr="00FA0D37">
        <w:t>}</w:t>
      </w:r>
    </w:p>
    <w:p w14:paraId="45E68CBD" w14:textId="77777777" w:rsidR="003B68FE" w:rsidRPr="00FA0D37" w:rsidRDefault="003B68FE" w:rsidP="00FA0D37">
      <w:pPr>
        <w:pStyle w:val="PL"/>
      </w:pPr>
    </w:p>
    <w:p w14:paraId="38B1F757" w14:textId="5823AADD" w:rsidR="003B68FE" w:rsidRPr="00FA0D37" w:rsidRDefault="003B68FE" w:rsidP="00FA0D37">
      <w:pPr>
        <w:pStyle w:val="PL"/>
      </w:pPr>
      <w:r w:rsidRPr="00FA0D37">
        <w:t xml:space="preserve">CodebookComboParameterMultiTRP-PerBC-r17::= </w:t>
      </w:r>
      <w:r w:rsidRPr="00FA0D37">
        <w:rPr>
          <w:color w:val="993366"/>
        </w:rPr>
        <w:t>SEQUENCE</w:t>
      </w:r>
      <w:r w:rsidRPr="00FA0D37">
        <w:t xml:space="preserve"> {</w:t>
      </w:r>
    </w:p>
    <w:p w14:paraId="1E6AA5CA" w14:textId="77777777" w:rsidR="003B68FE" w:rsidRPr="00FA0D37" w:rsidRDefault="003B68FE" w:rsidP="00FA0D37">
      <w:pPr>
        <w:pStyle w:val="PL"/>
        <w:rPr>
          <w:color w:val="808080"/>
        </w:rPr>
      </w:pPr>
      <w:r w:rsidRPr="00FA0D37">
        <w:t xml:space="preserve">    </w:t>
      </w:r>
      <w:r w:rsidRPr="00FA0D37">
        <w:rPr>
          <w:color w:val="808080"/>
        </w:rPr>
        <w:t>-- R1 23-7-1b</w:t>
      </w:r>
      <w:r w:rsidRPr="00FA0D37">
        <w:rPr>
          <w:color w:val="808080"/>
        </w:rPr>
        <w:tab/>
        <w:t>Active CSI-RS resources and ports in the presence of multi-TRP CSI</w:t>
      </w:r>
    </w:p>
    <w:p w14:paraId="7C670069" w14:textId="2FC65CD8" w:rsidR="003B68FE" w:rsidRPr="00FA0D37" w:rsidRDefault="003B68FE" w:rsidP="00FA0D37">
      <w:pPr>
        <w:pStyle w:val="PL"/>
        <w:rPr>
          <w:color w:val="808080"/>
        </w:rPr>
      </w:pPr>
      <w:r w:rsidRPr="00FA0D37">
        <w:t xml:space="preserve">    </w:t>
      </w:r>
      <w:r w:rsidRPr="00FA0D37">
        <w:rPr>
          <w:color w:val="808080"/>
        </w:rPr>
        <w:t>--  {Codebook 2, Codebook 3} =(NULL, NULL}</w:t>
      </w:r>
    </w:p>
    <w:p w14:paraId="1687A7AB" w14:textId="6D57B0FF" w:rsidR="003B68FE" w:rsidRPr="00FA0D37" w:rsidRDefault="003B68FE" w:rsidP="00FA0D37">
      <w:pPr>
        <w:pStyle w:val="PL"/>
      </w:pPr>
      <w:r w:rsidRPr="00FA0D37">
        <w:t xml:space="preserve">    nCJT-null-null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D3817C5" w14:textId="77777777" w:rsidR="003B68FE" w:rsidRPr="00FA0D37" w:rsidRDefault="003B68FE" w:rsidP="00FA0D37">
      <w:pPr>
        <w:pStyle w:val="PL"/>
      </w:pPr>
      <w:r w:rsidRPr="00FA0D37">
        <w:t xml:space="preserve">                                                               </w:t>
      </w:r>
      <w:r w:rsidRPr="00FA0D37">
        <w:rPr>
          <w:color w:val="993366"/>
        </w:rPr>
        <w:t>OPTIONAL</w:t>
      </w:r>
      <w:r w:rsidRPr="00FA0D37">
        <w:t>,</w:t>
      </w:r>
    </w:p>
    <w:p w14:paraId="1BF4D9CE" w14:textId="7AB7D8C1" w:rsidR="003B68FE" w:rsidRPr="00FA0D37" w:rsidRDefault="003B68FE" w:rsidP="00FA0D37">
      <w:pPr>
        <w:pStyle w:val="PL"/>
      </w:pPr>
      <w:r w:rsidRPr="00FA0D37">
        <w:t xml:space="preserve">    nCJT1SP-null-null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B54636B" w14:textId="77777777" w:rsidR="003B68FE" w:rsidRPr="00FA0D37" w:rsidRDefault="003B68FE" w:rsidP="00FA0D37">
      <w:pPr>
        <w:pStyle w:val="PL"/>
      </w:pPr>
      <w:r w:rsidRPr="00FA0D37">
        <w:t xml:space="preserve">                                                               </w:t>
      </w:r>
      <w:r w:rsidRPr="00FA0D37">
        <w:rPr>
          <w:color w:val="993366"/>
        </w:rPr>
        <w:t>OPTIONAL</w:t>
      </w:r>
      <w:r w:rsidRPr="00FA0D37">
        <w:t>,</w:t>
      </w:r>
    </w:p>
    <w:p w14:paraId="0F76C076" w14:textId="0AA46FD9" w:rsidR="003B68FE" w:rsidRPr="00FA0D37" w:rsidRDefault="003B68FE" w:rsidP="00FA0D37">
      <w:pPr>
        <w:pStyle w:val="PL"/>
        <w:rPr>
          <w:color w:val="808080"/>
        </w:rPr>
      </w:pPr>
      <w:r w:rsidRPr="00FA0D37">
        <w:t xml:space="preserve">    </w:t>
      </w:r>
      <w:r w:rsidRPr="00FA0D37">
        <w:rPr>
          <w:color w:val="808080"/>
        </w:rPr>
        <w:t>--    {Codebook 2, Codebook 3} = {( {</w:t>
      </w:r>
      <w:r w:rsidR="00743BF8" w:rsidRPr="00FA0D37">
        <w:rPr>
          <w:rFonts w:eastAsiaTheme="minorEastAsia"/>
          <w:color w:val="808080"/>
        </w:rPr>
        <w:t>"</w:t>
      </w:r>
      <w:r w:rsidRPr="00FA0D37">
        <w:rPr>
          <w:color w:val="808080"/>
        </w:rPr>
        <w:t>Rel 16 combinations in FG 16-8</w:t>
      </w:r>
      <w:r w:rsidR="00743BF8" w:rsidRPr="00FA0D37">
        <w:rPr>
          <w:color w:val="808080"/>
        </w:rPr>
        <w:t>"</w:t>
      </w:r>
      <w:r w:rsidRPr="00FA0D37">
        <w:rPr>
          <w:color w:val="808080"/>
        </w:rPr>
        <w:t>}</w:t>
      </w:r>
    </w:p>
    <w:p w14:paraId="59C2385F" w14:textId="070790F7" w:rsidR="003B68FE" w:rsidRPr="00FA0D37" w:rsidRDefault="003B68FE" w:rsidP="00FA0D37">
      <w:pPr>
        <w:pStyle w:val="PL"/>
      </w:pPr>
      <w:r w:rsidRPr="00FA0D37">
        <w:t xml:space="preserve">    nCJT-Type2-null-r16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AF9759F" w14:textId="77777777" w:rsidR="003B68FE" w:rsidRPr="00FA0D37" w:rsidRDefault="003B68FE" w:rsidP="00FA0D37">
      <w:pPr>
        <w:pStyle w:val="PL"/>
      </w:pPr>
      <w:r w:rsidRPr="00FA0D37">
        <w:t xml:space="preserve">                                                               </w:t>
      </w:r>
      <w:r w:rsidRPr="00FA0D37">
        <w:rPr>
          <w:color w:val="993366"/>
        </w:rPr>
        <w:t>OPTIONAL</w:t>
      </w:r>
      <w:r w:rsidRPr="00FA0D37">
        <w:t>,</w:t>
      </w:r>
    </w:p>
    <w:p w14:paraId="1F2217D3" w14:textId="77777777" w:rsidR="003B68FE" w:rsidRPr="00FA0D37" w:rsidRDefault="003B68FE" w:rsidP="00FA0D37">
      <w:pPr>
        <w:pStyle w:val="PL"/>
      </w:pPr>
      <w:r w:rsidRPr="00FA0D37">
        <w:t xml:space="preserve">    nCJT-Type2PS-null-r16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9F8C2EE" w14:textId="77777777" w:rsidR="003B68FE" w:rsidRPr="00FA0D37" w:rsidRDefault="003B68FE" w:rsidP="00FA0D37">
      <w:pPr>
        <w:pStyle w:val="PL"/>
      </w:pPr>
      <w:r w:rsidRPr="00FA0D37">
        <w:t xml:space="preserve">                                                               </w:t>
      </w:r>
      <w:r w:rsidRPr="00FA0D37">
        <w:rPr>
          <w:color w:val="993366"/>
        </w:rPr>
        <w:t>OPTIONAL</w:t>
      </w:r>
      <w:r w:rsidRPr="00FA0D37">
        <w:t>,</w:t>
      </w:r>
    </w:p>
    <w:p w14:paraId="575B1706" w14:textId="77777777" w:rsidR="003B68FE" w:rsidRPr="00FA0D37" w:rsidRDefault="003B68FE" w:rsidP="00FA0D37">
      <w:pPr>
        <w:pStyle w:val="PL"/>
      </w:pPr>
      <w:r w:rsidRPr="00FA0D37">
        <w:t xml:space="preserve">    nCJT-eType2R1-null-r16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C8F370A" w14:textId="77777777" w:rsidR="003B68FE" w:rsidRPr="00FA0D37" w:rsidRDefault="003B68FE" w:rsidP="00FA0D37">
      <w:pPr>
        <w:pStyle w:val="PL"/>
      </w:pPr>
      <w:r w:rsidRPr="00FA0D37">
        <w:t xml:space="preserve">                                                               </w:t>
      </w:r>
      <w:r w:rsidRPr="00FA0D37">
        <w:rPr>
          <w:color w:val="993366"/>
        </w:rPr>
        <w:t>OPTIONAL</w:t>
      </w:r>
      <w:r w:rsidRPr="00FA0D37">
        <w:t>,</w:t>
      </w:r>
    </w:p>
    <w:p w14:paraId="7D3F701E" w14:textId="77777777" w:rsidR="003B68FE" w:rsidRPr="00FA0D37" w:rsidRDefault="003B68FE" w:rsidP="00FA0D37">
      <w:pPr>
        <w:pStyle w:val="PL"/>
      </w:pPr>
      <w:r w:rsidRPr="00FA0D37">
        <w:t xml:space="preserve">    nCJT-eType2R2-null-r16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5BD27E9" w14:textId="77777777" w:rsidR="003B68FE" w:rsidRPr="00FA0D37" w:rsidRDefault="003B68FE" w:rsidP="00FA0D37">
      <w:pPr>
        <w:pStyle w:val="PL"/>
      </w:pPr>
      <w:r w:rsidRPr="00FA0D37">
        <w:t xml:space="preserve">                                                               </w:t>
      </w:r>
      <w:r w:rsidRPr="00FA0D37">
        <w:rPr>
          <w:color w:val="993366"/>
        </w:rPr>
        <w:t>OPTIONAL</w:t>
      </w:r>
      <w:r w:rsidRPr="00FA0D37">
        <w:t>,</w:t>
      </w:r>
    </w:p>
    <w:p w14:paraId="44B0D69B" w14:textId="77777777" w:rsidR="003B68FE" w:rsidRPr="00FA0D37" w:rsidRDefault="003B68FE" w:rsidP="00FA0D37">
      <w:pPr>
        <w:pStyle w:val="PL"/>
      </w:pPr>
      <w:r w:rsidRPr="00FA0D37">
        <w:t xml:space="preserve">    nCJT-eType2R1PS-null-r16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F25E4A8" w14:textId="77777777" w:rsidR="003B68FE" w:rsidRPr="00FA0D37" w:rsidRDefault="003B68FE" w:rsidP="00FA0D37">
      <w:pPr>
        <w:pStyle w:val="PL"/>
      </w:pPr>
      <w:r w:rsidRPr="00FA0D37">
        <w:t xml:space="preserve">                                                               </w:t>
      </w:r>
      <w:r w:rsidRPr="00FA0D37">
        <w:rPr>
          <w:color w:val="993366"/>
        </w:rPr>
        <w:t>OPTIONAL</w:t>
      </w:r>
      <w:r w:rsidRPr="00FA0D37">
        <w:t>,</w:t>
      </w:r>
    </w:p>
    <w:p w14:paraId="7BC1CD88" w14:textId="77777777" w:rsidR="003B68FE" w:rsidRPr="00FA0D37" w:rsidRDefault="003B68FE" w:rsidP="00FA0D37">
      <w:pPr>
        <w:pStyle w:val="PL"/>
      </w:pPr>
      <w:r w:rsidRPr="00FA0D37">
        <w:t xml:space="preserve">    nCJT-eType2R2PS-null-r16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4F6C5B4" w14:textId="77777777" w:rsidR="003B68FE" w:rsidRPr="00FA0D37" w:rsidRDefault="003B68FE" w:rsidP="00FA0D37">
      <w:pPr>
        <w:pStyle w:val="PL"/>
      </w:pPr>
      <w:r w:rsidRPr="00FA0D37">
        <w:t xml:space="preserve">                                                               </w:t>
      </w:r>
      <w:r w:rsidRPr="00FA0D37">
        <w:rPr>
          <w:color w:val="993366"/>
        </w:rPr>
        <w:t>OPTIONAL</w:t>
      </w:r>
      <w:r w:rsidRPr="00FA0D37">
        <w:t>,</w:t>
      </w:r>
    </w:p>
    <w:p w14:paraId="1A0B686E" w14:textId="77777777" w:rsidR="003B68FE" w:rsidRPr="00FA0D37" w:rsidRDefault="003B68FE" w:rsidP="00FA0D37">
      <w:pPr>
        <w:pStyle w:val="PL"/>
      </w:pPr>
      <w:r w:rsidRPr="00FA0D37">
        <w:t xml:space="preserve">    nCJT-Type2-Type2PS-r16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2B1F5DD" w14:textId="6A923447" w:rsidR="003B68FE" w:rsidRPr="00FA0D37" w:rsidRDefault="003B68FE" w:rsidP="00FA0D37">
      <w:pPr>
        <w:pStyle w:val="PL"/>
      </w:pPr>
      <w:r w:rsidRPr="00FA0D37">
        <w:t xml:space="preserve">                                                               </w:t>
      </w:r>
      <w:r w:rsidRPr="00FA0D37">
        <w:rPr>
          <w:color w:val="993366"/>
        </w:rPr>
        <w:t>OPTIONAL</w:t>
      </w:r>
      <w:r w:rsidR="00977C82" w:rsidRPr="00FA0D37">
        <w:t>,</w:t>
      </w:r>
    </w:p>
    <w:p w14:paraId="4031F813" w14:textId="703C242A" w:rsidR="003B68FE" w:rsidRPr="00FA0D37" w:rsidRDefault="003B68FE" w:rsidP="00FA0D37">
      <w:pPr>
        <w:pStyle w:val="PL"/>
      </w:pPr>
      <w:r w:rsidRPr="00FA0D37">
        <w:t xml:space="preserve">    nCJT1SP-Type2-null-r16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806D41B" w14:textId="77777777" w:rsidR="003B68FE" w:rsidRPr="00FA0D37" w:rsidRDefault="003B68FE" w:rsidP="00FA0D37">
      <w:pPr>
        <w:pStyle w:val="PL"/>
      </w:pPr>
      <w:r w:rsidRPr="00FA0D37">
        <w:t xml:space="preserve">                                                               </w:t>
      </w:r>
      <w:r w:rsidRPr="00FA0D37">
        <w:rPr>
          <w:color w:val="993366"/>
        </w:rPr>
        <w:t>OPTIONAL</w:t>
      </w:r>
      <w:r w:rsidRPr="00FA0D37">
        <w:t>,</w:t>
      </w:r>
    </w:p>
    <w:p w14:paraId="1903FC88" w14:textId="0A170C5D" w:rsidR="003B68FE" w:rsidRPr="00FA0D37" w:rsidRDefault="003B68FE" w:rsidP="00FA0D37">
      <w:pPr>
        <w:pStyle w:val="PL"/>
      </w:pPr>
      <w:r w:rsidRPr="00FA0D37">
        <w:t xml:space="preserve">    nCJT1SP-Type2PS-null-r16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8FBB663" w14:textId="77777777" w:rsidR="003B68FE" w:rsidRPr="00FA0D37" w:rsidRDefault="003B68FE" w:rsidP="00FA0D37">
      <w:pPr>
        <w:pStyle w:val="PL"/>
      </w:pPr>
      <w:r w:rsidRPr="00FA0D37">
        <w:t xml:space="preserve">                                                               </w:t>
      </w:r>
      <w:r w:rsidRPr="00FA0D37">
        <w:rPr>
          <w:color w:val="993366"/>
        </w:rPr>
        <w:t>OPTIONAL</w:t>
      </w:r>
      <w:r w:rsidRPr="00FA0D37">
        <w:t>,</w:t>
      </w:r>
    </w:p>
    <w:p w14:paraId="7B90CAA7" w14:textId="5067204D" w:rsidR="003B68FE" w:rsidRPr="00FA0D37" w:rsidRDefault="003B68FE" w:rsidP="00FA0D37">
      <w:pPr>
        <w:pStyle w:val="PL"/>
      </w:pPr>
      <w:r w:rsidRPr="00FA0D37">
        <w:t xml:space="preserve">    nCJT1SP-eType2R1-null-r16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7CBB6EF0" w14:textId="7F801B91" w:rsidR="003B68FE" w:rsidRPr="00FA0D37" w:rsidRDefault="003B68FE" w:rsidP="00FA0D37">
      <w:pPr>
        <w:pStyle w:val="PL"/>
      </w:pPr>
      <w:r w:rsidRPr="00FA0D37">
        <w:t xml:space="preserve">                                                              </w:t>
      </w:r>
      <w:r w:rsidR="00977C82" w:rsidRPr="00FA0D37">
        <w:t xml:space="preserve"> </w:t>
      </w:r>
      <w:r w:rsidRPr="00FA0D37">
        <w:rPr>
          <w:color w:val="993366"/>
        </w:rPr>
        <w:t>OPTIONAL</w:t>
      </w:r>
      <w:r w:rsidRPr="00FA0D37">
        <w:t>,</w:t>
      </w:r>
    </w:p>
    <w:p w14:paraId="3D9BDA35" w14:textId="6623E232" w:rsidR="003B68FE" w:rsidRPr="00FA0D37" w:rsidRDefault="003B68FE" w:rsidP="00FA0D37">
      <w:pPr>
        <w:pStyle w:val="PL"/>
      </w:pPr>
      <w:r w:rsidRPr="00FA0D37">
        <w:t xml:space="preserve">    nCJT1SP-eType2R2-null-r16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F0F082F" w14:textId="77777777" w:rsidR="003B68FE" w:rsidRPr="00FA0D37" w:rsidRDefault="003B68FE" w:rsidP="00FA0D37">
      <w:pPr>
        <w:pStyle w:val="PL"/>
      </w:pPr>
      <w:r w:rsidRPr="00FA0D37">
        <w:t xml:space="preserve">                                                               </w:t>
      </w:r>
      <w:r w:rsidRPr="00FA0D37">
        <w:rPr>
          <w:color w:val="993366"/>
        </w:rPr>
        <w:t>OPTIONAL</w:t>
      </w:r>
      <w:r w:rsidRPr="00FA0D37">
        <w:t>,</w:t>
      </w:r>
    </w:p>
    <w:p w14:paraId="1EB9C041" w14:textId="202622B4" w:rsidR="003B68FE" w:rsidRPr="00FA0D37" w:rsidRDefault="003B68FE" w:rsidP="00FA0D37">
      <w:pPr>
        <w:pStyle w:val="PL"/>
      </w:pPr>
      <w:r w:rsidRPr="00FA0D37">
        <w:t xml:space="preserve">    nCJT1SP-eType2R1PS-null-r16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7113489" w14:textId="77777777" w:rsidR="003B68FE" w:rsidRPr="00FA0D37" w:rsidRDefault="003B68FE" w:rsidP="00FA0D37">
      <w:pPr>
        <w:pStyle w:val="PL"/>
      </w:pPr>
      <w:r w:rsidRPr="00FA0D37">
        <w:t xml:space="preserve">                                                               </w:t>
      </w:r>
      <w:r w:rsidRPr="00FA0D37">
        <w:rPr>
          <w:color w:val="993366"/>
        </w:rPr>
        <w:t>OPTIONAL</w:t>
      </w:r>
      <w:r w:rsidRPr="00FA0D37">
        <w:t>,</w:t>
      </w:r>
    </w:p>
    <w:p w14:paraId="4A194B14" w14:textId="7A14D85E" w:rsidR="003B68FE" w:rsidRPr="00FA0D37" w:rsidRDefault="003B68FE" w:rsidP="00FA0D37">
      <w:pPr>
        <w:pStyle w:val="PL"/>
      </w:pPr>
      <w:r w:rsidRPr="00FA0D37">
        <w:t xml:space="preserve">    nCJT1SP-eType2R2PS-null-r16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476219E7" w14:textId="77777777" w:rsidR="003B68FE" w:rsidRPr="00FA0D37" w:rsidRDefault="003B68FE" w:rsidP="00FA0D37">
      <w:pPr>
        <w:pStyle w:val="PL"/>
      </w:pPr>
      <w:r w:rsidRPr="00FA0D37">
        <w:t xml:space="preserve">                                                               </w:t>
      </w:r>
      <w:r w:rsidRPr="00FA0D37">
        <w:rPr>
          <w:color w:val="993366"/>
        </w:rPr>
        <w:t>OPTIONAL</w:t>
      </w:r>
      <w:r w:rsidRPr="00FA0D37">
        <w:t>,</w:t>
      </w:r>
    </w:p>
    <w:p w14:paraId="19889261" w14:textId="51DF93DC" w:rsidR="003B68FE" w:rsidRPr="00FA0D37" w:rsidRDefault="003B68FE" w:rsidP="00FA0D37">
      <w:pPr>
        <w:pStyle w:val="PL"/>
      </w:pPr>
      <w:r w:rsidRPr="00FA0D37">
        <w:t xml:space="preserve">    nCJT1SP-Type2-Type2PS-r16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7645673" w14:textId="77777777" w:rsidR="003B68FE" w:rsidRPr="00FA0D37" w:rsidRDefault="003B68FE" w:rsidP="00FA0D37">
      <w:pPr>
        <w:pStyle w:val="PL"/>
      </w:pPr>
      <w:r w:rsidRPr="00FA0D37">
        <w:t xml:space="preserve">                                                               </w:t>
      </w:r>
      <w:r w:rsidRPr="00FA0D37">
        <w:rPr>
          <w:color w:val="993366"/>
        </w:rPr>
        <w:t>OPTIONAL</w:t>
      </w:r>
      <w:r w:rsidRPr="00FA0D37">
        <w:t>,</w:t>
      </w:r>
    </w:p>
    <w:p w14:paraId="17110A99" w14:textId="43D2BCA3" w:rsidR="003B68FE" w:rsidRPr="00FA0D37" w:rsidRDefault="003B68FE" w:rsidP="00FA0D37">
      <w:pPr>
        <w:pStyle w:val="PL"/>
        <w:rPr>
          <w:color w:val="808080"/>
        </w:rPr>
      </w:pPr>
      <w:r w:rsidRPr="00FA0D37">
        <w:t xml:space="preserve">    </w:t>
      </w:r>
      <w:r w:rsidRPr="00FA0D37">
        <w:rPr>
          <w:color w:val="808080"/>
        </w:rPr>
        <w:t>-- {Codebook 2, Codebook 3} = {</w:t>
      </w:r>
      <w:r w:rsidR="00743BF8" w:rsidRPr="00FA0D37">
        <w:rPr>
          <w:color w:val="808080"/>
        </w:rPr>
        <w:t>"</w:t>
      </w:r>
      <w:r w:rsidRPr="00FA0D37">
        <w:rPr>
          <w:color w:val="808080"/>
        </w:rPr>
        <w:t>New Rel17 combinations in FG 23-9-5</w:t>
      </w:r>
      <w:r w:rsidR="00743BF8" w:rsidRPr="00FA0D37">
        <w:rPr>
          <w:color w:val="808080"/>
        </w:rPr>
        <w:t>"</w:t>
      </w:r>
      <w:r w:rsidRPr="00FA0D37">
        <w:rPr>
          <w:color w:val="808080"/>
        </w:rPr>
        <w:t>}</w:t>
      </w:r>
    </w:p>
    <w:p w14:paraId="03D05FC2" w14:textId="67636EC9" w:rsidR="003B68FE" w:rsidRPr="00FA0D37" w:rsidRDefault="003B68FE" w:rsidP="00FA0D37">
      <w:pPr>
        <w:pStyle w:val="PL"/>
      </w:pPr>
      <w:r w:rsidRPr="00FA0D37">
        <w:t xml:space="preserve">    nCJT-feType2PS-null-r17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BF65696" w14:textId="77777777" w:rsidR="003B68FE" w:rsidRPr="00FA0D37" w:rsidRDefault="003B68FE" w:rsidP="00FA0D37">
      <w:pPr>
        <w:pStyle w:val="PL"/>
      </w:pPr>
      <w:r w:rsidRPr="00FA0D37">
        <w:t xml:space="preserve">                                                               </w:t>
      </w:r>
      <w:r w:rsidRPr="00FA0D37">
        <w:rPr>
          <w:color w:val="993366"/>
        </w:rPr>
        <w:t>OPTIONAL</w:t>
      </w:r>
      <w:r w:rsidRPr="00FA0D37">
        <w:t>,</w:t>
      </w:r>
    </w:p>
    <w:p w14:paraId="6464B2C6" w14:textId="38E20808" w:rsidR="003B68FE" w:rsidRPr="00FA0D37" w:rsidRDefault="003B68FE" w:rsidP="00FA0D37">
      <w:pPr>
        <w:pStyle w:val="PL"/>
      </w:pPr>
      <w:r w:rsidRPr="00FA0D37">
        <w:t xml:space="preserve">    nCJT-feType2PS-M2R1-null-r17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62B408E" w14:textId="77777777" w:rsidR="003B68FE" w:rsidRPr="00FA0D37" w:rsidRDefault="003B68FE" w:rsidP="00FA0D37">
      <w:pPr>
        <w:pStyle w:val="PL"/>
      </w:pPr>
      <w:r w:rsidRPr="00FA0D37">
        <w:t xml:space="preserve">                                                               </w:t>
      </w:r>
      <w:r w:rsidRPr="00FA0D37">
        <w:rPr>
          <w:color w:val="993366"/>
        </w:rPr>
        <w:t>OPTIONAL</w:t>
      </w:r>
      <w:r w:rsidRPr="00FA0D37">
        <w:t>,</w:t>
      </w:r>
    </w:p>
    <w:p w14:paraId="44584D45" w14:textId="0369A16B" w:rsidR="003B68FE" w:rsidRPr="00FA0D37" w:rsidRDefault="003B68FE" w:rsidP="00FA0D37">
      <w:pPr>
        <w:pStyle w:val="PL"/>
      </w:pPr>
      <w:r w:rsidRPr="00FA0D37">
        <w:t xml:space="preserve">    nCJT-feType2PS-M2R2-null-r17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A992710" w14:textId="49615B75" w:rsidR="003B68FE" w:rsidRPr="00FA0D37" w:rsidRDefault="003B68FE" w:rsidP="00FA0D37">
      <w:pPr>
        <w:pStyle w:val="PL"/>
      </w:pPr>
      <w:r w:rsidRPr="00FA0D37">
        <w:t xml:space="preserve">                                                              </w:t>
      </w:r>
      <w:r w:rsidR="00977C82" w:rsidRPr="00FA0D37">
        <w:t xml:space="preserve"> </w:t>
      </w:r>
      <w:r w:rsidRPr="00FA0D37">
        <w:rPr>
          <w:color w:val="993366"/>
        </w:rPr>
        <w:t>OPTIONAL</w:t>
      </w:r>
      <w:r w:rsidRPr="00FA0D37">
        <w:t>,</w:t>
      </w:r>
    </w:p>
    <w:p w14:paraId="307C3FDE" w14:textId="02640FD1" w:rsidR="003B68FE" w:rsidRPr="00FA0D37" w:rsidRDefault="003B68FE" w:rsidP="00FA0D37">
      <w:pPr>
        <w:pStyle w:val="PL"/>
      </w:pPr>
      <w:r w:rsidRPr="00FA0D37">
        <w:t xml:space="preserve">    nCJT-Type2-feType2-PS-M1-r17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9AB0430" w14:textId="77777777" w:rsidR="003B68FE" w:rsidRPr="00FA0D37" w:rsidRDefault="003B68FE" w:rsidP="00FA0D37">
      <w:pPr>
        <w:pStyle w:val="PL"/>
      </w:pPr>
      <w:r w:rsidRPr="00FA0D37">
        <w:t xml:space="preserve">                                                               </w:t>
      </w:r>
      <w:r w:rsidRPr="00FA0D37">
        <w:rPr>
          <w:color w:val="993366"/>
        </w:rPr>
        <w:t>OPTIONAL</w:t>
      </w:r>
      <w:r w:rsidRPr="00FA0D37">
        <w:t>,</w:t>
      </w:r>
    </w:p>
    <w:p w14:paraId="20CC656E" w14:textId="77777777" w:rsidR="003B68FE" w:rsidRPr="00FA0D37" w:rsidRDefault="003B68FE" w:rsidP="00FA0D37">
      <w:pPr>
        <w:pStyle w:val="PL"/>
      </w:pPr>
      <w:r w:rsidRPr="00FA0D37">
        <w:t xml:space="preserve">    nCJT-Type2-feType2-PS-M2R1-r17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C5BE515" w14:textId="77777777" w:rsidR="003B68FE" w:rsidRPr="00FA0D37" w:rsidRDefault="003B68FE" w:rsidP="00FA0D37">
      <w:pPr>
        <w:pStyle w:val="PL"/>
      </w:pPr>
      <w:r w:rsidRPr="00FA0D37">
        <w:t xml:space="preserve">                                                               </w:t>
      </w:r>
      <w:r w:rsidRPr="00FA0D37">
        <w:rPr>
          <w:color w:val="993366"/>
        </w:rPr>
        <w:t>OPTIONAL</w:t>
      </w:r>
      <w:r w:rsidRPr="00FA0D37">
        <w:t>,</w:t>
      </w:r>
    </w:p>
    <w:p w14:paraId="4C703257" w14:textId="19F57E21" w:rsidR="003B68FE" w:rsidRPr="00FA0D37" w:rsidRDefault="003B68FE" w:rsidP="00FA0D37">
      <w:pPr>
        <w:pStyle w:val="PL"/>
      </w:pPr>
      <w:r w:rsidRPr="00FA0D37">
        <w:t xml:space="preserve">    nCJT-eType2R1-feType2-PS-M1-r17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7481A09" w14:textId="77777777" w:rsidR="003B68FE" w:rsidRPr="00FA0D37" w:rsidRDefault="003B68FE" w:rsidP="00FA0D37">
      <w:pPr>
        <w:pStyle w:val="PL"/>
      </w:pPr>
      <w:r w:rsidRPr="00FA0D37">
        <w:t xml:space="preserve">                                                               </w:t>
      </w:r>
      <w:r w:rsidRPr="00FA0D37">
        <w:rPr>
          <w:color w:val="993366"/>
        </w:rPr>
        <w:t>OPTIONAL</w:t>
      </w:r>
      <w:r w:rsidRPr="00FA0D37">
        <w:t>,</w:t>
      </w:r>
    </w:p>
    <w:p w14:paraId="741B8A5B" w14:textId="21F6F9C8" w:rsidR="003B68FE" w:rsidRPr="00FA0D37" w:rsidRDefault="003B68FE" w:rsidP="00FA0D37">
      <w:pPr>
        <w:pStyle w:val="PL"/>
      </w:pPr>
      <w:r w:rsidRPr="00FA0D37">
        <w:t xml:space="preserve">    nCJT-eType2R1-feType2-PS-M2R1-r17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5F97C303" w14:textId="17439890" w:rsidR="003B68FE" w:rsidRPr="00FA0D37" w:rsidRDefault="003B68FE" w:rsidP="00FA0D37">
      <w:pPr>
        <w:pStyle w:val="PL"/>
      </w:pPr>
      <w:r w:rsidRPr="00FA0D37">
        <w:lastRenderedPageBreak/>
        <w:t xml:space="preserve">                                                               </w:t>
      </w:r>
      <w:r w:rsidRPr="00FA0D37">
        <w:rPr>
          <w:color w:val="993366"/>
        </w:rPr>
        <w:t>OPTIONAL</w:t>
      </w:r>
      <w:r w:rsidR="00977C82" w:rsidRPr="00FA0D37">
        <w:t>,</w:t>
      </w:r>
    </w:p>
    <w:p w14:paraId="5C2130F7" w14:textId="5C626F21" w:rsidR="003B68FE" w:rsidRPr="00FA0D37" w:rsidRDefault="003B68FE" w:rsidP="00FA0D37">
      <w:pPr>
        <w:pStyle w:val="PL"/>
      </w:pPr>
      <w:r w:rsidRPr="00FA0D37">
        <w:t xml:space="preserve">    nCJT1SP-feType2PS-null-r17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0605CA2" w14:textId="77777777" w:rsidR="003B68FE" w:rsidRPr="00FA0D37" w:rsidRDefault="003B68FE" w:rsidP="00FA0D37">
      <w:pPr>
        <w:pStyle w:val="PL"/>
      </w:pPr>
      <w:r w:rsidRPr="00FA0D37">
        <w:t xml:space="preserve">                                                               </w:t>
      </w:r>
      <w:r w:rsidRPr="00FA0D37">
        <w:rPr>
          <w:color w:val="993366"/>
        </w:rPr>
        <w:t>OPTIONAL</w:t>
      </w:r>
      <w:r w:rsidRPr="00FA0D37">
        <w:t>,</w:t>
      </w:r>
    </w:p>
    <w:p w14:paraId="0BCE71B8" w14:textId="3BCAE98B" w:rsidR="003B68FE" w:rsidRPr="00FA0D37" w:rsidRDefault="003B68FE" w:rsidP="00FA0D37">
      <w:pPr>
        <w:pStyle w:val="PL"/>
      </w:pPr>
      <w:r w:rsidRPr="00FA0D37">
        <w:t xml:space="preserve">    nCJT1SP-feType2PS-M2R1-null-r17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9ED6289" w14:textId="77777777" w:rsidR="003B68FE" w:rsidRPr="00FA0D37" w:rsidRDefault="003B68FE" w:rsidP="00FA0D37">
      <w:pPr>
        <w:pStyle w:val="PL"/>
      </w:pPr>
      <w:r w:rsidRPr="00FA0D37">
        <w:t xml:space="preserve">                                                               </w:t>
      </w:r>
      <w:r w:rsidRPr="00FA0D37">
        <w:rPr>
          <w:color w:val="993366"/>
        </w:rPr>
        <w:t>OPTIONAL</w:t>
      </w:r>
      <w:r w:rsidRPr="00FA0D37">
        <w:t>,</w:t>
      </w:r>
    </w:p>
    <w:p w14:paraId="72E9D695" w14:textId="01E457D0" w:rsidR="003B68FE" w:rsidRPr="00FA0D37" w:rsidRDefault="003B68FE" w:rsidP="00FA0D37">
      <w:pPr>
        <w:pStyle w:val="PL"/>
      </w:pPr>
      <w:r w:rsidRPr="00FA0D37">
        <w:t xml:space="preserve">    nCJT1SP-feType2PS-M2R2-null-r1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0FDA0540" w14:textId="5DE52D79" w:rsidR="003B68FE" w:rsidRPr="00FA0D37" w:rsidRDefault="003B68FE" w:rsidP="00FA0D37">
      <w:pPr>
        <w:pStyle w:val="PL"/>
      </w:pPr>
      <w:r w:rsidRPr="00FA0D37">
        <w:t xml:space="preserve">                                                              </w:t>
      </w:r>
      <w:r w:rsidR="00977C82" w:rsidRPr="00FA0D37">
        <w:t xml:space="preserve"> </w:t>
      </w:r>
      <w:r w:rsidRPr="00FA0D37">
        <w:rPr>
          <w:color w:val="993366"/>
        </w:rPr>
        <w:t>OPTIONAL</w:t>
      </w:r>
      <w:r w:rsidRPr="00FA0D37">
        <w:t>,</w:t>
      </w:r>
    </w:p>
    <w:p w14:paraId="3A082338" w14:textId="30098B0C" w:rsidR="003B68FE" w:rsidRPr="00FA0D37" w:rsidRDefault="003B68FE" w:rsidP="00FA0D37">
      <w:pPr>
        <w:pStyle w:val="PL"/>
      </w:pPr>
      <w:r w:rsidRPr="00FA0D37">
        <w:t xml:space="preserve">    nCJT1SP-Type2-feType2-PS-M1-r17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53BF34F" w14:textId="77777777" w:rsidR="003B68FE" w:rsidRPr="00FA0D37" w:rsidRDefault="003B68FE" w:rsidP="00FA0D37">
      <w:pPr>
        <w:pStyle w:val="PL"/>
      </w:pPr>
      <w:r w:rsidRPr="00FA0D37">
        <w:t xml:space="preserve">                                                               </w:t>
      </w:r>
      <w:r w:rsidRPr="00FA0D37">
        <w:rPr>
          <w:color w:val="993366"/>
        </w:rPr>
        <w:t>OPTIONAL</w:t>
      </w:r>
      <w:r w:rsidRPr="00FA0D37">
        <w:t>,</w:t>
      </w:r>
    </w:p>
    <w:p w14:paraId="47F200FB" w14:textId="3C7CA61D" w:rsidR="003B68FE" w:rsidRPr="00FA0D37" w:rsidRDefault="003B68FE" w:rsidP="00FA0D37">
      <w:pPr>
        <w:pStyle w:val="PL"/>
      </w:pPr>
      <w:r w:rsidRPr="00FA0D37">
        <w:t xml:space="preserve">    nCJT1SP-Type2-feType2-PS-M2R1-r17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2A1C6A83" w14:textId="77777777" w:rsidR="003B68FE" w:rsidRPr="00FA0D37" w:rsidRDefault="003B68FE" w:rsidP="00FA0D37">
      <w:pPr>
        <w:pStyle w:val="PL"/>
      </w:pPr>
      <w:r w:rsidRPr="00FA0D37">
        <w:t xml:space="preserve">                                                               </w:t>
      </w:r>
      <w:r w:rsidRPr="00FA0D37">
        <w:rPr>
          <w:color w:val="993366"/>
        </w:rPr>
        <w:t>OPTIONAL</w:t>
      </w:r>
      <w:r w:rsidRPr="00FA0D37">
        <w:t>,</w:t>
      </w:r>
    </w:p>
    <w:p w14:paraId="1F2EE874" w14:textId="18502588" w:rsidR="003B68FE" w:rsidRPr="00FA0D37" w:rsidRDefault="003B68FE" w:rsidP="00FA0D37">
      <w:pPr>
        <w:pStyle w:val="PL"/>
      </w:pPr>
      <w:r w:rsidRPr="00FA0D37">
        <w:t xml:space="preserve">    nCJT1SP-eType2R1-feType2-PS-M1-r17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65985AD8" w14:textId="77777777" w:rsidR="003B68FE" w:rsidRPr="00FA0D37" w:rsidRDefault="003B68FE" w:rsidP="00FA0D37">
      <w:pPr>
        <w:pStyle w:val="PL"/>
      </w:pPr>
      <w:r w:rsidRPr="00FA0D37">
        <w:t xml:space="preserve">                                                               </w:t>
      </w:r>
      <w:r w:rsidRPr="00FA0D37">
        <w:rPr>
          <w:color w:val="993366"/>
        </w:rPr>
        <w:t>OPTIONAL</w:t>
      </w:r>
      <w:r w:rsidRPr="00FA0D37">
        <w:t>,</w:t>
      </w:r>
    </w:p>
    <w:p w14:paraId="20E1ECDC" w14:textId="3BF2333E" w:rsidR="003B68FE" w:rsidRPr="00FA0D37" w:rsidRDefault="003B68FE" w:rsidP="00FA0D37">
      <w:pPr>
        <w:pStyle w:val="PL"/>
      </w:pPr>
      <w:r w:rsidRPr="00FA0D37">
        <w:t xml:space="preserve">    nCJT1SP-eType2R1-feType2-PS-M2R1-r17 </w:t>
      </w:r>
      <w:r w:rsidRPr="00FA0D37">
        <w:rPr>
          <w:color w:val="993366"/>
        </w:rPr>
        <w:t>SEQUENCE</w:t>
      </w:r>
      <w:r w:rsidRPr="00FA0D37">
        <w:t xml:space="preserve"> (</w:t>
      </w:r>
      <w:r w:rsidRPr="00FA0D37">
        <w:rPr>
          <w:color w:val="993366"/>
        </w:rPr>
        <w:t>SIZE</w:t>
      </w:r>
      <w:r w:rsidRPr="00FA0D37">
        <w:t xml:space="preserve"> (1..maxNrofCSI-RS-ResourcesExt-r16))</w:t>
      </w:r>
      <w:r w:rsidRPr="00FA0D37">
        <w:rPr>
          <w:color w:val="993366"/>
        </w:rPr>
        <w:t xml:space="preserve"> OF</w:t>
      </w:r>
      <w:r w:rsidRPr="00FA0D37">
        <w:t xml:space="preserve"> </w:t>
      </w:r>
      <w:r w:rsidRPr="00FA0D37">
        <w:rPr>
          <w:color w:val="993366"/>
        </w:rPr>
        <w:t>INTEGER</w:t>
      </w:r>
      <w:r w:rsidRPr="00FA0D37">
        <w:t xml:space="preserve"> (0..maxNrofCSI-RS-ResourcesAlt-1-r16)</w:t>
      </w:r>
    </w:p>
    <w:p w14:paraId="164865FA" w14:textId="77777777" w:rsidR="003B68FE" w:rsidRPr="00FA0D37" w:rsidRDefault="003B68FE" w:rsidP="00FA0D37">
      <w:pPr>
        <w:pStyle w:val="PL"/>
      </w:pPr>
      <w:r w:rsidRPr="00FA0D37">
        <w:t xml:space="preserve">                                                               </w:t>
      </w:r>
      <w:r w:rsidRPr="00FA0D37">
        <w:rPr>
          <w:color w:val="993366"/>
        </w:rPr>
        <w:t>OPTIONAL</w:t>
      </w:r>
    </w:p>
    <w:p w14:paraId="773370AA" w14:textId="3CE42E0A" w:rsidR="003B68FE" w:rsidRPr="00FA0D37" w:rsidRDefault="003B68FE" w:rsidP="00FA0D37">
      <w:pPr>
        <w:pStyle w:val="PL"/>
      </w:pPr>
      <w:r w:rsidRPr="00FA0D37">
        <w:t>}</w:t>
      </w:r>
    </w:p>
    <w:p w14:paraId="18C6FCE4" w14:textId="77777777" w:rsidR="003B68FE" w:rsidRPr="00FA0D37" w:rsidRDefault="003B68FE" w:rsidP="00FA0D37">
      <w:pPr>
        <w:pStyle w:val="PL"/>
      </w:pPr>
    </w:p>
    <w:p w14:paraId="247D2E2A" w14:textId="77777777" w:rsidR="00394471" w:rsidRPr="00FA0D37" w:rsidRDefault="00394471" w:rsidP="00FA0D37">
      <w:pPr>
        <w:pStyle w:val="PL"/>
      </w:pPr>
      <w:r w:rsidRPr="00FA0D37">
        <w:t xml:space="preserve">CodebookVariantsList-r16 ::= </w:t>
      </w:r>
      <w:r w:rsidRPr="00FA0D37">
        <w:rPr>
          <w:color w:val="993366"/>
        </w:rPr>
        <w:t>SEQUENCE</w:t>
      </w:r>
      <w:r w:rsidRPr="00FA0D37">
        <w:t xml:space="preserve"> (</w:t>
      </w:r>
      <w:r w:rsidRPr="00FA0D37">
        <w:rPr>
          <w:color w:val="993366"/>
        </w:rPr>
        <w:t>SIZE</w:t>
      </w:r>
      <w:r w:rsidRPr="00FA0D37">
        <w:t xml:space="preserve"> (1..maxNrofCSI-RS-ResourcesAlt-r16))</w:t>
      </w:r>
      <w:r w:rsidRPr="00FA0D37">
        <w:rPr>
          <w:color w:val="993366"/>
        </w:rPr>
        <w:t xml:space="preserve"> OF</w:t>
      </w:r>
      <w:r w:rsidRPr="00FA0D37">
        <w:t xml:space="preserve"> SupportedCSI-RS-Resource</w:t>
      </w:r>
    </w:p>
    <w:p w14:paraId="7160CD3B" w14:textId="77777777" w:rsidR="00394471" w:rsidRPr="00FA0D37" w:rsidRDefault="00394471" w:rsidP="00FA0D37">
      <w:pPr>
        <w:pStyle w:val="PL"/>
      </w:pPr>
    </w:p>
    <w:p w14:paraId="29AE57AE" w14:textId="77777777" w:rsidR="00394471" w:rsidRPr="00FA0D37" w:rsidRDefault="00394471" w:rsidP="00FA0D37">
      <w:pPr>
        <w:pStyle w:val="PL"/>
        <w:rPr>
          <w:rFonts w:eastAsia="MS Mincho"/>
        </w:rPr>
      </w:pPr>
      <w:r w:rsidRPr="00FA0D37">
        <w:rPr>
          <w:rFonts w:eastAsia="MS Mincho"/>
        </w:rPr>
        <w:t xml:space="preserve">SupportedCSI-RS-Resource ::=     </w:t>
      </w:r>
      <w:r w:rsidRPr="00FA0D37">
        <w:rPr>
          <w:rFonts w:eastAsia="MS Mincho"/>
          <w:color w:val="993366"/>
        </w:rPr>
        <w:t>SEQUENCE</w:t>
      </w:r>
      <w:r w:rsidRPr="00FA0D37">
        <w:rPr>
          <w:rFonts w:eastAsia="MS Mincho"/>
        </w:rPr>
        <w:t xml:space="preserve"> {</w:t>
      </w:r>
    </w:p>
    <w:p w14:paraId="206682CF" w14:textId="77777777" w:rsidR="00394471" w:rsidRPr="00FA0D37" w:rsidRDefault="00394471" w:rsidP="00FA0D37">
      <w:pPr>
        <w:pStyle w:val="PL"/>
      </w:pPr>
      <w:r w:rsidRPr="00FA0D37">
        <w:rPr>
          <w:rFonts w:eastAsia="MS Mincho"/>
        </w:rPr>
        <w:t xml:space="preserve">    </w:t>
      </w:r>
      <w:r w:rsidRPr="00FA0D37">
        <w:t xml:space="preserve">maxNumberTxPortsPerResource      </w:t>
      </w:r>
      <w:r w:rsidRPr="00FA0D37">
        <w:rPr>
          <w:color w:val="993366"/>
        </w:rPr>
        <w:t>ENUMERATED</w:t>
      </w:r>
      <w:r w:rsidRPr="00FA0D37">
        <w:t xml:space="preserve"> {p2, p4, p8, p12, p16, p24, p32},</w:t>
      </w:r>
    </w:p>
    <w:p w14:paraId="17B4F573" w14:textId="77777777" w:rsidR="00394471" w:rsidRPr="00FA0D37" w:rsidRDefault="00394471" w:rsidP="00FA0D37">
      <w:pPr>
        <w:pStyle w:val="PL"/>
      </w:pPr>
      <w:r w:rsidRPr="00FA0D37">
        <w:t xml:space="preserve">    maxNumberResourcesPerBand        </w:t>
      </w:r>
      <w:r w:rsidRPr="00FA0D37">
        <w:rPr>
          <w:color w:val="993366"/>
        </w:rPr>
        <w:t>INTEGER</w:t>
      </w:r>
      <w:r w:rsidRPr="00FA0D37">
        <w:t xml:space="preserve"> (1..64)</w:t>
      </w:r>
      <w:r w:rsidRPr="00FA0D37">
        <w:rPr>
          <w:rFonts w:eastAsia="MS Mincho"/>
        </w:rPr>
        <w:t>,</w:t>
      </w:r>
    </w:p>
    <w:p w14:paraId="143903BD" w14:textId="77777777" w:rsidR="00394471" w:rsidRPr="00FA0D37" w:rsidRDefault="00394471" w:rsidP="00FA0D37">
      <w:pPr>
        <w:pStyle w:val="PL"/>
      </w:pPr>
      <w:r w:rsidRPr="00FA0D37">
        <w:rPr>
          <w:rFonts w:eastAsia="MS Mincho"/>
        </w:rPr>
        <w:t xml:space="preserve">    </w:t>
      </w:r>
      <w:r w:rsidRPr="00FA0D37">
        <w:t xml:space="preserve">totalNumberTxPortsPerBand        </w:t>
      </w:r>
      <w:r w:rsidRPr="00FA0D37">
        <w:rPr>
          <w:color w:val="993366"/>
        </w:rPr>
        <w:t>INTEGER</w:t>
      </w:r>
      <w:r w:rsidRPr="00FA0D37">
        <w:t xml:space="preserve"> (2..256)</w:t>
      </w:r>
    </w:p>
    <w:p w14:paraId="6A511DA8" w14:textId="77777777" w:rsidR="00394471" w:rsidRPr="00FA0D37" w:rsidRDefault="00394471" w:rsidP="00FA0D37">
      <w:pPr>
        <w:pStyle w:val="PL"/>
      </w:pPr>
      <w:r w:rsidRPr="00FA0D37">
        <w:t>}</w:t>
      </w:r>
    </w:p>
    <w:p w14:paraId="44EBB87B" w14:textId="77777777" w:rsidR="00394471" w:rsidRPr="00FA0D37" w:rsidRDefault="00394471" w:rsidP="00FA0D37">
      <w:pPr>
        <w:pStyle w:val="PL"/>
      </w:pPr>
    </w:p>
    <w:p w14:paraId="22112997" w14:textId="77777777" w:rsidR="00394471" w:rsidRPr="00FA0D37" w:rsidRDefault="00394471" w:rsidP="00FA0D37">
      <w:pPr>
        <w:pStyle w:val="PL"/>
        <w:rPr>
          <w:color w:val="808080"/>
        </w:rPr>
      </w:pPr>
      <w:r w:rsidRPr="00FA0D37">
        <w:rPr>
          <w:rFonts w:eastAsia="MS Mincho"/>
          <w:color w:val="808080"/>
        </w:rPr>
        <w:t>-- TAG-CODEBOOKPARAMETERS-STOP</w:t>
      </w:r>
    </w:p>
    <w:p w14:paraId="077556B5" w14:textId="77777777" w:rsidR="00394471" w:rsidRPr="00FA0D37" w:rsidRDefault="00394471" w:rsidP="00FA0D37">
      <w:pPr>
        <w:pStyle w:val="PL"/>
        <w:rPr>
          <w:rFonts w:eastAsia="MS Mincho"/>
          <w:color w:val="808080"/>
        </w:rPr>
      </w:pPr>
      <w:r w:rsidRPr="00FA0D37">
        <w:rPr>
          <w:rFonts w:eastAsia="MS Mincho"/>
          <w:color w:val="808080"/>
        </w:rPr>
        <w:t>-- ASN1STOP</w:t>
      </w:r>
    </w:p>
    <w:p w14:paraId="3B8C10DB" w14:textId="77777777" w:rsidR="00394471" w:rsidRPr="00FA0D37" w:rsidRDefault="00394471" w:rsidP="00394471">
      <w:pPr>
        <w:rPr>
          <w:rFonts w:eastAsiaTheme="minorEastAsia"/>
        </w:rPr>
      </w:pPr>
    </w:p>
    <w:tbl>
      <w:tblPr>
        <w:tblW w:w="0" w:type="auto"/>
        <w:tblLook w:val="04A0" w:firstRow="1" w:lastRow="0" w:firstColumn="1" w:lastColumn="0" w:noHBand="0" w:noVBand="1"/>
      </w:tblPr>
      <w:tblGrid>
        <w:gridCol w:w="14281"/>
      </w:tblGrid>
      <w:tr w:rsidR="005C7FF4" w:rsidRPr="00FA0D37" w14:paraId="5A2B91B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6F76C1" w14:textId="77777777" w:rsidR="00394471" w:rsidRPr="00FA0D37" w:rsidRDefault="00394471" w:rsidP="00964CC4">
            <w:pPr>
              <w:pStyle w:val="TAH"/>
              <w:rPr>
                <w:rFonts w:eastAsiaTheme="minorEastAsia"/>
                <w:lang w:eastAsia="sv-SE"/>
              </w:rPr>
            </w:pPr>
            <w:r w:rsidRPr="00FA0D37">
              <w:rPr>
                <w:rFonts w:eastAsiaTheme="minorEastAsia"/>
                <w:i/>
                <w:lang w:eastAsia="sv-SE"/>
              </w:rPr>
              <w:t>CodebookParameters</w:t>
            </w:r>
            <w:r w:rsidRPr="00FA0D37">
              <w:rPr>
                <w:rFonts w:eastAsiaTheme="minorEastAsia"/>
                <w:lang w:eastAsia="sv-SE"/>
              </w:rPr>
              <w:t xml:space="preserve"> field descriptions</w:t>
            </w:r>
          </w:p>
        </w:tc>
      </w:tr>
      <w:tr w:rsidR="00394471" w:rsidRPr="00FA0D37" w14:paraId="21C9EE1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8318BD" w14:textId="77777777" w:rsidR="00394471" w:rsidRPr="00FA0D37" w:rsidRDefault="00394471" w:rsidP="00964CC4">
            <w:pPr>
              <w:pStyle w:val="TAL"/>
              <w:rPr>
                <w:rFonts w:eastAsiaTheme="minorEastAsia"/>
                <w:b/>
                <w:i/>
                <w:lang w:eastAsia="sv-SE"/>
              </w:rPr>
            </w:pPr>
            <w:r w:rsidRPr="00FA0D37">
              <w:rPr>
                <w:rFonts w:eastAsiaTheme="minorEastAsia"/>
                <w:b/>
                <w:i/>
                <w:lang w:eastAsia="sv-SE"/>
              </w:rPr>
              <w:t>supportedCSI-RS-ResourceListAlt</w:t>
            </w:r>
          </w:p>
          <w:p w14:paraId="4458E805" w14:textId="59B2849A" w:rsidR="00394471" w:rsidRPr="00FA0D37" w:rsidRDefault="00394471" w:rsidP="00964CC4">
            <w:pPr>
              <w:pStyle w:val="TAL"/>
              <w:rPr>
                <w:rFonts w:eastAsiaTheme="minorEastAsia"/>
                <w:lang w:eastAsia="sv-SE"/>
              </w:rPr>
            </w:pPr>
            <w:r w:rsidRPr="00FA0D37">
              <w:rPr>
                <w:rFonts w:eastAsiaTheme="minorEastAsia"/>
                <w:lang w:eastAsia="sv-SE"/>
              </w:rPr>
              <w:t xml:space="preserve">This field indicates the alternative list of </w:t>
            </w:r>
            <w:r w:rsidRPr="00FA0D37">
              <w:rPr>
                <w:rFonts w:eastAsiaTheme="minorEastAsia"/>
                <w:i/>
                <w:lang w:eastAsia="sv-SE"/>
              </w:rPr>
              <w:t>SupportedCSI-RS-Resource</w:t>
            </w:r>
            <w:r w:rsidRPr="00FA0D37">
              <w:rPr>
                <w:rFonts w:eastAsiaTheme="minorEastAsia"/>
                <w:lang w:eastAsia="sv-SE"/>
              </w:rPr>
              <w:t xml:space="preserve"> supported for each codebook type. The supported CSI-RS resource is indicated by an integer value which pinpoints </w:t>
            </w:r>
            <w:r w:rsidRPr="00FA0D37">
              <w:rPr>
                <w:rFonts w:eastAsiaTheme="minorEastAsia"/>
                <w:i/>
                <w:lang w:eastAsia="sv-SE"/>
              </w:rPr>
              <w:t>SupportedCSI-RS-Resource</w:t>
            </w:r>
            <w:r w:rsidRPr="00FA0D37">
              <w:rPr>
                <w:rFonts w:eastAsiaTheme="minorEastAsia"/>
                <w:lang w:eastAsia="sv-SE"/>
              </w:rPr>
              <w:t xml:space="preserve"> defined in </w:t>
            </w:r>
            <w:r w:rsidRPr="00FA0D37">
              <w:rPr>
                <w:rFonts w:eastAsiaTheme="minorEastAsia"/>
                <w:i/>
                <w:lang w:eastAsia="sv-SE"/>
              </w:rPr>
              <w:t>CodebookVariantsList</w:t>
            </w:r>
            <w:r w:rsidRPr="00FA0D37">
              <w:rPr>
                <w:rFonts w:eastAsiaTheme="minorEastAsia"/>
                <w:lang w:eastAsia="sv-SE"/>
              </w:rPr>
              <w:t xml:space="preserve">. The value 0 corresponds to the first entry of </w:t>
            </w:r>
            <w:r w:rsidRPr="00FA0D37">
              <w:rPr>
                <w:rFonts w:eastAsiaTheme="minorEastAsia"/>
                <w:i/>
                <w:lang w:eastAsia="sv-SE"/>
              </w:rPr>
              <w:t>CodebookVariantsList</w:t>
            </w:r>
            <w:r w:rsidRPr="00FA0D37">
              <w:rPr>
                <w:rFonts w:eastAsiaTheme="minorEastAsia"/>
                <w:lang w:eastAsia="sv-SE"/>
              </w:rPr>
              <w:t xml:space="preserve">. The value 1 corresponds to the second entry of </w:t>
            </w:r>
            <w:r w:rsidRPr="00FA0D37">
              <w:rPr>
                <w:rFonts w:eastAsiaTheme="minorEastAsia"/>
                <w:i/>
                <w:lang w:eastAsia="sv-SE"/>
              </w:rPr>
              <w:t>CodebookVariantsList</w:t>
            </w:r>
            <w:r w:rsidRPr="00FA0D37">
              <w:rPr>
                <w:rFonts w:eastAsiaTheme="minorEastAsia"/>
                <w:lang w:eastAsia="sv-SE"/>
              </w:rPr>
              <w:t xml:space="preserve">, and so on. For each codebook type, the field shall be included in both </w:t>
            </w:r>
            <w:r w:rsidRPr="00FA0D37">
              <w:rPr>
                <w:rFonts w:eastAsiaTheme="minorEastAsia"/>
                <w:i/>
                <w:lang w:eastAsia="sv-SE"/>
              </w:rPr>
              <w:t>codebookParametersPerBC</w:t>
            </w:r>
            <w:r w:rsidRPr="00FA0D37">
              <w:rPr>
                <w:rFonts w:eastAsiaTheme="minorEastAsia"/>
                <w:lang w:eastAsia="sv-SE"/>
              </w:rPr>
              <w:t xml:space="preserve"> </w:t>
            </w:r>
            <w:r w:rsidR="0082637A" w:rsidRPr="00FA0D37">
              <w:rPr>
                <w:rFonts w:eastAsiaTheme="minorEastAsia"/>
                <w:lang w:eastAsia="sv-SE"/>
              </w:rPr>
              <w:t xml:space="preserve">(but optional for single CC) </w:t>
            </w:r>
            <w:r w:rsidRPr="00FA0D37">
              <w:rPr>
                <w:rFonts w:eastAsiaTheme="minorEastAsia"/>
                <w:lang w:eastAsia="sv-SE"/>
              </w:rPr>
              <w:t xml:space="preserve">and </w:t>
            </w:r>
            <w:r w:rsidRPr="00FA0D37">
              <w:rPr>
                <w:rFonts w:eastAsiaTheme="minorEastAsia"/>
                <w:i/>
                <w:lang w:eastAsia="sv-SE"/>
              </w:rPr>
              <w:t>codebookParametersPerBand</w:t>
            </w:r>
            <w:r w:rsidRPr="00FA0D37">
              <w:rPr>
                <w:rFonts w:eastAsiaTheme="minorEastAsia"/>
                <w:lang w:eastAsia="sv-SE"/>
              </w:rPr>
              <w:t>.</w:t>
            </w:r>
          </w:p>
        </w:tc>
      </w:tr>
    </w:tbl>
    <w:p w14:paraId="5ABFE63C" w14:textId="77777777" w:rsidR="00394471" w:rsidRPr="00FA0D37" w:rsidRDefault="00394471" w:rsidP="00394471"/>
    <w:p w14:paraId="0EF06BA2" w14:textId="77777777" w:rsidR="00394471" w:rsidRPr="00FA0D37" w:rsidRDefault="00394471" w:rsidP="00394471">
      <w:pPr>
        <w:pStyle w:val="4"/>
      </w:pPr>
      <w:bookmarkStart w:id="1529" w:name="_Toc60777439"/>
      <w:bookmarkStart w:id="1530" w:name="_Toc146781540"/>
      <w:r w:rsidRPr="00FA0D37">
        <w:t>–</w:t>
      </w:r>
      <w:r w:rsidRPr="00FA0D37">
        <w:tab/>
      </w:r>
      <w:r w:rsidRPr="00FA0D37">
        <w:rPr>
          <w:i/>
        </w:rPr>
        <w:t>FeatureSetCombination</w:t>
      </w:r>
      <w:bookmarkEnd w:id="1529"/>
      <w:bookmarkEnd w:id="1530"/>
    </w:p>
    <w:p w14:paraId="385DE58B" w14:textId="77777777" w:rsidR="00394471" w:rsidRPr="00FA0D37" w:rsidRDefault="00394471" w:rsidP="00394471">
      <w:r w:rsidRPr="00FA0D37">
        <w:t xml:space="preserve">The IE </w:t>
      </w:r>
      <w:r w:rsidRPr="00FA0D37">
        <w:rPr>
          <w:i/>
        </w:rPr>
        <w:t>FeatureSetCombination</w:t>
      </w:r>
      <w:r w:rsidRPr="00FA0D37">
        <w:t xml:space="preserve"> is a two-dimensional matrix of </w:t>
      </w:r>
      <w:r w:rsidRPr="00FA0D37">
        <w:rPr>
          <w:i/>
        </w:rPr>
        <w:t>FeatureSet</w:t>
      </w:r>
      <w:r w:rsidRPr="00FA0D37">
        <w:t xml:space="preserve"> entries.</w:t>
      </w:r>
    </w:p>
    <w:p w14:paraId="053BC81C" w14:textId="77777777" w:rsidR="00394471" w:rsidRPr="00FA0D37" w:rsidRDefault="00394471" w:rsidP="00394471">
      <w:r w:rsidRPr="00FA0D37">
        <w:t xml:space="preserve">Each </w:t>
      </w:r>
      <w:r w:rsidRPr="00FA0D37">
        <w:rPr>
          <w:i/>
        </w:rPr>
        <w:t>FeatureSetsPerBand</w:t>
      </w:r>
      <w:r w:rsidRPr="00FA0D37">
        <w:t xml:space="preserve"> contains a list of feature sets applicable to the carrier(s) of one band entry of the associated band combination. Across the associated bands, the UE shall support the combination of </w:t>
      </w:r>
      <w:r w:rsidRPr="00FA0D37">
        <w:rPr>
          <w:i/>
        </w:rPr>
        <w:t>FeatureSets</w:t>
      </w:r>
      <w:r w:rsidRPr="00FA0D37">
        <w:t xml:space="preserve"> at the same position in the </w:t>
      </w:r>
      <w:r w:rsidRPr="00FA0D37">
        <w:rPr>
          <w:i/>
        </w:rPr>
        <w:t>FeatureSetsPerBand</w:t>
      </w:r>
      <w:r w:rsidRPr="00FA0D37">
        <w:t xml:space="preserve">. All </w:t>
      </w:r>
      <w:r w:rsidRPr="00FA0D37">
        <w:rPr>
          <w:i/>
        </w:rPr>
        <w:t>FeatureSetsPerBand</w:t>
      </w:r>
      <w:r w:rsidRPr="00FA0D37">
        <w:t xml:space="preserve"> in one </w:t>
      </w:r>
      <w:r w:rsidRPr="00FA0D37">
        <w:rPr>
          <w:i/>
        </w:rPr>
        <w:t>FeatureSetCombination</w:t>
      </w:r>
      <w:r w:rsidRPr="00FA0D37">
        <w:t xml:space="preserve"> must have the same number of entries.</w:t>
      </w:r>
    </w:p>
    <w:p w14:paraId="6178A001" w14:textId="77777777" w:rsidR="00394471" w:rsidRPr="00FA0D37" w:rsidRDefault="00394471" w:rsidP="00394471">
      <w:r w:rsidRPr="00FA0D37">
        <w:t xml:space="preserve">The number of </w:t>
      </w:r>
      <w:r w:rsidRPr="00FA0D37">
        <w:rPr>
          <w:i/>
        </w:rPr>
        <w:t>FeatureSetsPerBand</w:t>
      </w:r>
      <w:r w:rsidRPr="00FA0D37">
        <w:t xml:space="preserve"> in the </w:t>
      </w:r>
      <w:r w:rsidRPr="00FA0D37">
        <w:rPr>
          <w:i/>
        </w:rPr>
        <w:t>FeatureSetCombination</w:t>
      </w:r>
      <w:r w:rsidRPr="00FA0D37">
        <w:t xml:space="preserve"> must be equal to the number of band entries in an associated band combination. The first </w:t>
      </w:r>
      <w:r w:rsidRPr="00FA0D37">
        <w:rPr>
          <w:i/>
        </w:rPr>
        <w:t>FeatureSetPerBand</w:t>
      </w:r>
      <w:r w:rsidRPr="00FA0D37">
        <w:t xml:space="preserve"> applies to the first band entry of the band combination, and so on.</w:t>
      </w:r>
    </w:p>
    <w:p w14:paraId="6B9F2B4A" w14:textId="77777777" w:rsidR="00394471" w:rsidRPr="00FA0D37" w:rsidRDefault="00394471" w:rsidP="00394471">
      <w:r w:rsidRPr="00FA0D37">
        <w:lastRenderedPageBreak/>
        <w:t xml:space="preserve">Each </w:t>
      </w:r>
      <w:r w:rsidRPr="00FA0D37">
        <w:rPr>
          <w:i/>
        </w:rPr>
        <w:t>FeatureSet</w:t>
      </w:r>
      <w:r w:rsidRPr="00FA0D37">
        <w:t xml:space="preserve"> contains either a pair of NR or E-UTRA feature set IDs for UL and DL.</w:t>
      </w:r>
    </w:p>
    <w:p w14:paraId="544CA96C" w14:textId="77777777" w:rsidR="00394471" w:rsidRPr="00FA0D37" w:rsidRDefault="00394471" w:rsidP="00394471">
      <w:r w:rsidRPr="00FA0D37">
        <w:t xml:space="preserve">In case of NR, the actual feature sets for UL and DL are defined in the </w:t>
      </w:r>
      <w:r w:rsidRPr="00FA0D37">
        <w:rPr>
          <w:i/>
        </w:rPr>
        <w:t>FeatureSets</w:t>
      </w:r>
      <w:r w:rsidRPr="00FA0D37">
        <w:t xml:space="preserve"> IE and referred to from here by their ID, i.e., their position in the </w:t>
      </w:r>
      <w:r w:rsidRPr="00FA0D37">
        <w:rPr>
          <w:i/>
        </w:rPr>
        <w:t>featureSetsUplink</w:t>
      </w:r>
      <w:r w:rsidRPr="00FA0D37">
        <w:t xml:space="preserve"> / </w:t>
      </w:r>
      <w:r w:rsidRPr="00FA0D37">
        <w:rPr>
          <w:i/>
        </w:rPr>
        <w:t>featureSetsDownlink</w:t>
      </w:r>
      <w:r w:rsidRPr="00FA0D37">
        <w:t xml:space="preserve"> list in the FeatureSet IE.</w:t>
      </w:r>
    </w:p>
    <w:p w14:paraId="1C0C71AC" w14:textId="77777777" w:rsidR="00394471" w:rsidRPr="00FA0D37" w:rsidRDefault="00394471" w:rsidP="00394471">
      <w:r w:rsidRPr="00FA0D37">
        <w:t xml:space="preserve">In case of E-UTRA, the feature sets referred to from this list are defined in TS 36.331 [10] and conveyed as part of the </w:t>
      </w:r>
      <w:r w:rsidRPr="00FA0D37">
        <w:rPr>
          <w:i/>
        </w:rPr>
        <w:t>UE-EUTRA-Capability</w:t>
      </w:r>
      <w:r w:rsidRPr="00FA0D37">
        <w:t xml:space="preserve"> container.</w:t>
      </w:r>
    </w:p>
    <w:p w14:paraId="24719A5E" w14:textId="09C45CE1" w:rsidR="00394471" w:rsidRPr="00FA0D37" w:rsidRDefault="00394471" w:rsidP="00394471">
      <w:r w:rsidRPr="00FA0D37">
        <w:t xml:space="preserve">The </w:t>
      </w:r>
      <w:r w:rsidRPr="00FA0D37">
        <w:rPr>
          <w:i/>
        </w:rPr>
        <w:t>FeatureSetUplink</w:t>
      </w:r>
      <w:r w:rsidRPr="00FA0D37">
        <w:t xml:space="preserve"> and </w:t>
      </w:r>
      <w:r w:rsidRPr="00FA0D37">
        <w:rPr>
          <w:i/>
        </w:rPr>
        <w:t>FeatureSetDownlink</w:t>
      </w:r>
      <w:r w:rsidRPr="00FA0D37">
        <w:t xml:space="preserve"> referred to from the </w:t>
      </w:r>
      <w:r w:rsidRPr="00FA0D37">
        <w:rPr>
          <w:i/>
        </w:rPr>
        <w:t>FeatureSet</w:t>
      </w:r>
      <w:r w:rsidRPr="00FA0D37">
        <w:t xml:space="preserve"> comprise, among other information, a set of </w:t>
      </w:r>
      <w:r w:rsidRPr="00FA0D37">
        <w:rPr>
          <w:i/>
        </w:rPr>
        <w:t>FeatureSetUplinkPerCC-Ids</w:t>
      </w:r>
      <w:r w:rsidRPr="00FA0D37">
        <w:t xml:space="preserve"> and </w:t>
      </w:r>
      <w:r w:rsidRPr="00FA0D37">
        <w:rPr>
          <w:i/>
        </w:rPr>
        <w:t>FeatureSetDownlinkPerCC-Ids</w:t>
      </w:r>
      <w:r w:rsidRPr="00FA0D37">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FA0D37">
        <w:rPr>
          <w:i/>
        </w:rPr>
        <w:t>BandCombination</w:t>
      </w:r>
      <w:r w:rsidRPr="00FA0D37">
        <w:t>, if present.</w:t>
      </w:r>
    </w:p>
    <w:p w14:paraId="353BDB8B" w14:textId="28DC521D" w:rsidR="00394471" w:rsidRPr="00FA0D37" w:rsidRDefault="00394471" w:rsidP="00394471">
      <w:r w:rsidRPr="00FA0D37">
        <w:t xml:space="preserve">In feature set combinations the UE shall exclude entries with same </w:t>
      </w:r>
      <w:r w:rsidR="00B068D8" w:rsidRPr="00FA0D37">
        <w:t xml:space="preserve">or lower </w:t>
      </w:r>
      <w:r w:rsidRPr="00FA0D37">
        <w:t>capabilities, since the network may anyway assume that the UE supports those.</w:t>
      </w:r>
    </w:p>
    <w:p w14:paraId="546243B4" w14:textId="77777777" w:rsidR="00394471" w:rsidRPr="00FA0D37" w:rsidRDefault="00394471" w:rsidP="00394471">
      <w:pPr>
        <w:pStyle w:val="NO"/>
      </w:pPr>
      <w:r w:rsidRPr="00FA0D37">
        <w:t>NOTE 1:</w:t>
      </w:r>
      <w:r w:rsidRPr="00FA0D37">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A0D37">
        <w:rPr>
          <w:i/>
        </w:rPr>
        <w:t>BandCombination</w:t>
      </w:r>
      <w:r w:rsidRPr="00FA0D37">
        <w:t xml:space="preserve"> entries with associated </w:t>
      </w:r>
      <w:r w:rsidRPr="00FA0D37">
        <w:rPr>
          <w:i/>
        </w:rPr>
        <w:t>FeatureSetCombinations</w:t>
      </w:r>
      <w:r w:rsidRPr="00FA0D37">
        <w:t>.</w:t>
      </w:r>
    </w:p>
    <w:p w14:paraId="58CC32EC" w14:textId="77777777" w:rsidR="00394471" w:rsidRPr="00FA0D37" w:rsidRDefault="00394471" w:rsidP="00394471">
      <w:pPr>
        <w:pStyle w:val="NO"/>
      </w:pPr>
      <w:r w:rsidRPr="00FA0D37">
        <w:t>NOTE 2:</w:t>
      </w:r>
      <w:r w:rsidRPr="00FA0D37">
        <w:tab/>
        <w:t xml:space="preserve">The UE may advertise a </w:t>
      </w:r>
      <w:r w:rsidRPr="00FA0D37">
        <w:rPr>
          <w:i/>
        </w:rPr>
        <w:t>FeatureSetCombination</w:t>
      </w:r>
      <w:r w:rsidRPr="00FA0D37">
        <w:t xml:space="preserve"> containing only fallback band combinations. That means, in a </w:t>
      </w:r>
      <w:r w:rsidRPr="00FA0D37">
        <w:rPr>
          <w:i/>
        </w:rPr>
        <w:t>FeatureSetCombination,</w:t>
      </w:r>
      <w:r w:rsidRPr="00FA0D37">
        <w:t xml:space="preserve"> each group of </w:t>
      </w:r>
      <w:r w:rsidRPr="00FA0D37">
        <w:rPr>
          <w:i/>
        </w:rPr>
        <w:t>FeatureSets</w:t>
      </w:r>
      <w:r w:rsidRPr="00FA0D37">
        <w:t xml:space="preserve"> across the bands may contain at least one pair of </w:t>
      </w:r>
      <w:r w:rsidRPr="00FA0D37">
        <w:rPr>
          <w:i/>
        </w:rPr>
        <w:t>FeatureSetUplinkId</w:t>
      </w:r>
      <w:r w:rsidRPr="00FA0D37">
        <w:t xml:space="preserve"> and </w:t>
      </w:r>
      <w:r w:rsidRPr="00FA0D37">
        <w:rPr>
          <w:i/>
        </w:rPr>
        <w:t>FeatureSetDownlinkId</w:t>
      </w:r>
      <w:r w:rsidRPr="00FA0D37">
        <w:t xml:space="preserve"> which is set to 0/0.</w:t>
      </w:r>
    </w:p>
    <w:p w14:paraId="2CCA5C1B" w14:textId="77777777" w:rsidR="00394471" w:rsidRPr="00FA0D37" w:rsidRDefault="00394471" w:rsidP="00394471">
      <w:pPr>
        <w:pStyle w:val="NO"/>
      </w:pPr>
      <w:r w:rsidRPr="00FA0D37">
        <w:t>NOTE 3:</w:t>
      </w:r>
      <w:r w:rsidRPr="00FA0D37">
        <w:tab/>
        <w:t>The Network configures serving cell(s) and BWP(s) configuration to comply with capabilities derived from the combination of FeatureSets at the same position in the FeatureSetsPerBand, regardless of activated/deactivated serving cell(s) and BWP(s).</w:t>
      </w:r>
    </w:p>
    <w:p w14:paraId="6A3C3F83" w14:textId="77777777" w:rsidR="00394471" w:rsidRPr="00FA0D37" w:rsidRDefault="00394471" w:rsidP="00394471">
      <w:pPr>
        <w:pStyle w:val="TH"/>
      </w:pPr>
      <w:r w:rsidRPr="00FA0D37">
        <w:rPr>
          <w:i/>
        </w:rPr>
        <w:t>FeatureSetCombination</w:t>
      </w:r>
      <w:r w:rsidRPr="00FA0D37">
        <w:t xml:space="preserve"> information element</w:t>
      </w:r>
    </w:p>
    <w:p w14:paraId="245D7E47" w14:textId="77777777" w:rsidR="00394471" w:rsidRPr="00FA0D37" w:rsidRDefault="00394471" w:rsidP="00FA0D37">
      <w:pPr>
        <w:pStyle w:val="PL"/>
        <w:rPr>
          <w:color w:val="808080"/>
        </w:rPr>
      </w:pPr>
      <w:r w:rsidRPr="00FA0D37">
        <w:rPr>
          <w:color w:val="808080"/>
        </w:rPr>
        <w:t>-- ASN1START</w:t>
      </w:r>
    </w:p>
    <w:p w14:paraId="31C21CAC" w14:textId="77777777" w:rsidR="00394471" w:rsidRPr="00FA0D37" w:rsidRDefault="00394471" w:rsidP="00FA0D37">
      <w:pPr>
        <w:pStyle w:val="PL"/>
        <w:rPr>
          <w:color w:val="808080"/>
        </w:rPr>
      </w:pPr>
      <w:r w:rsidRPr="00FA0D37">
        <w:rPr>
          <w:color w:val="808080"/>
        </w:rPr>
        <w:t>-- TAG-FEATURESETCOMBINATION-START</w:t>
      </w:r>
    </w:p>
    <w:p w14:paraId="7ED2B2C5" w14:textId="77777777" w:rsidR="00394471" w:rsidRPr="00FA0D37" w:rsidRDefault="00394471" w:rsidP="00FA0D37">
      <w:pPr>
        <w:pStyle w:val="PL"/>
      </w:pPr>
    </w:p>
    <w:p w14:paraId="742129EC" w14:textId="77777777" w:rsidR="00394471" w:rsidRPr="00FA0D37" w:rsidRDefault="00394471" w:rsidP="00FA0D37">
      <w:pPr>
        <w:pStyle w:val="PL"/>
      </w:pPr>
      <w:r w:rsidRPr="00FA0D37">
        <w:t xml:space="preserve">FeatureSetCombination ::=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FeatureSetsPerBand</w:t>
      </w:r>
    </w:p>
    <w:p w14:paraId="37523467" w14:textId="77777777" w:rsidR="00394471" w:rsidRPr="00FA0D37" w:rsidRDefault="00394471" w:rsidP="00FA0D37">
      <w:pPr>
        <w:pStyle w:val="PL"/>
      </w:pPr>
    </w:p>
    <w:p w14:paraId="67B11C05" w14:textId="77777777" w:rsidR="00394471" w:rsidRPr="00FA0D37" w:rsidRDefault="00394471" w:rsidP="00FA0D37">
      <w:pPr>
        <w:pStyle w:val="PL"/>
      </w:pPr>
      <w:r w:rsidRPr="00FA0D37">
        <w:t xml:space="preserve">FeatureSetsPerBand ::=          </w:t>
      </w:r>
      <w:r w:rsidRPr="00FA0D37">
        <w:rPr>
          <w:color w:val="993366"/>
        </w:rPr>
        <w:t>SEQUENCE</w:t>
      </w:r>
      <w:r w:rsidRPr="00FA0D37">
        <w:t xml:space="preserve"> (</w:t>
      </w:r>
      <w:r w:rsidRPr="00FA0D37">
        <w:rPr>
          <w:color w:val="993366"/>
        </w:rPr>
        <w:t>SIZE</w:t>
      </w:r>
      <w:r w:rsidRPr="00FA0D37">
        <w:t xml:space="preserve"> (1..maxFeatureSetsPerBand))</w:t>
      </w:r>
      <w:r w:rsidRPr="00FA0D37">
        <w:rPr>
          <w:color w:val="993366"/>
        </w:rPr>
        <w:t xml:space="preserve"> OF</w:t>
      </w:r>
      <w:r w:rsidRPr="00FA0D37">
        <w:t xml:space="preserve"> FeatureSet</w:t>
      </w:r>
    </w:p>
    <w:p w14:paraId="108CEC66" w14:textId="77777777" w:rsidR="00394471" w:rsidRPr="00FA0D37" w:rsidRDefault="00394471" w:rsidP="00FA0D37">
      <w:pPr>
        <w:pStyle w:val="PL"/>
      </w:pPr>
    </w:p>
    <w:p w14:paraId="0955ACD8" w14:textId="77777777" w:rsidR="00394471" w:rsidRPr="00FA0D37" w:rsidRDefault="00394471" w:rsidP="00FA0D37">
      <w:pPr>
        <w:pStyle w:val="PL"/>
      </w:pPr>
      <w:r w:rsidRPr="00FA0D37">
        <w:t xml:space="preserve">FeatureSet ::=                  </w:t>
      </w:r>
      <w:r w:rsidRPr="00FA0D37">
        <w:rPr>
          <w:color w:val="993366"/>
        </w:rPr>
        <w:t>CHOICE</w:t>
      </w:r>
      <w:r w:rsidRPr="00FA0D37">
        <w:t xml:space="preserve"> {</w:t>
      </w:r>
    </w:p>
    <w:p w14:paraId="36D49F41" w14:textId="77777777" w:rsidR="00394471" w:rsidRPr="00FA0D37" w:rsidRDefault="00394471" w:rsidP="00FA0D37">
      <w:pPr>
        <w:pStyle w:val="PL"/>
      </w:pPr>
      <w:r w:rsidRPr="00FA0D37">
        <w:t xml:space="preserve">    eutra                           </w:t>
      </w:r>
      <w:r w:rsidRPr="00FA0D37">
        <w:rPr>
          <w:color w:val="993366"/>
        </w:rPr>
        <w:t>SEQUENCE</w:t>
      </w:r>
      <w:r w:rsidRPr="00FA0D37">
        <w:t xml:space="preserve"> {</w:t>
      </w:r>
    </w:p>
    <w:p w14:paraId="15EE50B7" w14:textId="77777777" w:rsidR="00394471" w:rsidRPr="00FA0D37" w:rsidRDefault="00394471" w:rsidP="00FA0D37">
      <w:pPr>
        <w:pStyle w:val="PL"/>
      </w:pPr>
      <w:r w:rsidRPr="00FA0D37">
        <w:t xml:space="preserve">        downlinkSetEUTRA                FeatureSetEUTRA-DownlinkId,</w:t>
      </w:r>
    </w:p>
    <w:p w14:paraId="729B369F" w14:textId="77777777" w:rsidR="00394471" w:rsidRPr="00FA0D37" w:rsidRDefault="00394471" w:rsidP="00FA0D37">
      <w:pPr>
        <w:pStyle w:val="PL"/>
      </w:pPr>
      <w:r w:rsidRPr="00FA0D37">
        <w:t xml:space="preserve">        uplinkSetEUTRA                  FeatureSetEUTRA-UplinkId</w:t>
      </w:r>
    </w:p>
    <w:p w14:paraId="478B702A" w14:textId="77777777" w:rsidR="00394471" w:rsidRPr="00FA0D37" w:rsidRDefault="00394471" w:rsidP="00FA0D37">
      <w:pPr>
        <w:pStyle w:val="PL"/>
      </w:pPr>
      <w:r w:rsidRPr="00FA0D37">
        <w:t xml:space="preserve">    },</w:t>
      </w:r>
    </w:p>
    <w:p w14:paraId="4B5AE595" w14:textId="77777777" w:rsidR="00394471" w:rsidRPr="00FA0D37" w:rsidRDefault="00394471" w:rsidP="00FA0D37">
      <w:pPr>
        <w:pStyle w:val="PL"/>
      </w:pPr>
      <w:r w:rsidRPr="00FA0D37">
        <w:t xml:space="preserve">    nr                              </w:t>
      </w:r>
      <w:r w:rsidRPr="00FA0D37">
        <w:rPr>
          <w:color w:val="993366"/>
        </w:rPr>
        <w:t>SEQUENCE</w:t>
      </w:r>
      <w:r w:rsidRPr="00FA0D37">
        <w:t xml:space="preserve"> {</w:t>
      </w:r>
    </w:p>
    <w:p w14:paraId="7926554D" w14:textId="77777777" w:rsidR="00394471" w:rsidRPr="00FA0D37" w:rsidRDefault="00394471" w:rsidP="00FA0D37">
      <w:pPr>
        <w:pStyle w:val="PL"/>
      </w:pPr>
      <w:r w:rsidRPr="00FA0D37">
        <w:t xml:space="preserve">        downlinkSetNR                   FeatureSetDownlinkId,</w:t>
      </w:r>
    </w:p>
    <w:p w14:paraId="4EA35273" w14:textId="77777777" w:rsidR="00394471" w:rsidRPr="00FA0D37" w:rsidRDefault="00394471" w:rsidP="00FA0D37">
      <w:pPr>
        <w:pStyle w:val="PL"/>
      </w:pPr>
      <w:r w:rsidRPr="00FA0D37">
        <w:t xml:space="preserve">        uplinkSetNR                     FeatureSetUplinkId</w:t>
      </w:r>
    </w:p>
    <w:p w14:paraId="6A9ED9C5" w14:textId="77777777" w:rsidR="00394471" w:rsidRPr="00FA0D37" w:rsidRDefault="00394471" w:rsidP="00FA0D37">
      <w:pPr>
        <w:pStyle w:val="PL"/>
      </w:pPr>
      <w:r w:rsidRPr="00FA0D37">
        <w:t xml:space="preserve">    }</w:t>
      </w:r>
    </w:p>
    <w:p w14:paraId="6B154C28" w14:textId="77777777" w:rsidR="00394471" w:rsidRPr="00FA0D37" w:rsidRDefault="00394471" w:rsidP="00FA0D37">
      <w:pPr>
        <w:pStyle w:val="PL"/>
      </w:pPr>
      <w:r w:rsidRPr="00FA0D37">
        <w:t>}</w:t>
      </w:r>
    </w:p>
    <w:p w14:paraId="2B178275" w14:textId="77777777" w:rsidR="00394471" w:rsidRPr="00FA0D37" w:rsidRDefault="00394471" w:rsidP="00FA0D37">
      <w:pPr>
        <w:pStyle w:val="PL"/>
      </w:pPr>
    </w:p>
    <w:p w14:paraId="3FF499F2" w14:textId="77777777" w:rsidR="00394471" w:rsidRPr="00FA0D37" w:rsidRDefault="00394471" w:rsidP="00FA0D37">
      <w:pPr>
        <w:pStyle w:val="PL"/>
        <w:rPr>
          <w:color w:val="808080"/>
        </w:rPr>
      </w:pPr>
      <w:r w:rsidRPr="00FA0D37">
        <w:rPr>
          <w:color w:val="808080"/>
        </w:rPr>
        <w:t>-- TAG-FEATURESETCOMBINATION-STOP</w:t>
      </w:r>
    </w:p>
    <w:p w14:paraId="25C2B1C8" w14:textId="77777777" w:rsidR="00394471" w:rsidRPr="00FA0D37" w:rsidRDefault="00394471" w:rsidP="00FA0D37">
      <w:pPr>
        <w:pStyle w:val="PL"/>
        <w:rPr>
          <w:color w:val="808080"/>
        </w:rPr>
      </w:pPr>
      <w:r w:rsidRPr="00FA0D37">
        <w:rPr>
          <w:color w:val="808080"/>
        </w:rPr>
        <w:t>-- ASN1STOP</w:t>
      </w:r>
    </w:p>
    <w:p w14:paraId="392B0978" w14:textId="77777777" w:rsidR="00394471" w:rsidRPr="00FA0D37" w:rsidRDefault="00394471" w:rsidP="00394471"/>
    <w:p w14:paraId="431702D5" w14:textId="77777777" w:rsidR="00394471" w:rsidRPr="00FA0D37" w:rsidRDefault="00394471" w:rsidP="00394471">
      <w:pPr>
        <w:pStyle w:val="4"/>
      </w:pPr>
      <w:bookmarkStart w:id="1531" w:name="_Toc60777440"/>
      <w:bookmarkStart w:id="1532" w:name="_Toc146781541"/>
      <w:r w:rsidRPr="00FA0D37">
        <w:lastRenderedPageBreak/>
        <w:t>–</w:t>
      </w:r>
      <w:r w:rsidRPr="00FA0D37">
        <w:tab/>
      </w:r>
      <w:r w:rsidRPr="00FA0D37">
        <w:rPr>
          <w:i/>
        </w:rPr>
        <w:t>FeatureSetCombinationId</w:t>
      </w:r>
      <w:bookmarkEnd w:id="1531"/>
      <w:bookmarkEnd w:id="1532"/>
    </w:p>
    <w:p w14:paraId="64D46EBB" w14:textId="77777777" w:rsidR="00394471" w:rsidRPr="00FA0D37" w:rsidRDefault="00394471" w:rsidP="00394471">
      <w:r w:rsidRPr="00FA0D37">
        <w:t xml:space="preserve">The IE </w:t>
      </w:r>
      <w:r w:rsidRPr="00FA0D37">
        <w:rPr>
          <w:i/>
        </w:rPr>
        <w:t xml:space="preserve">FeatureSetCombinationId </w:t>
      </w:r>
      <w:r w:rsidRPr="00FA0D37">
        <w:t xml:space="preserve">identifies a </w:t>
      </w:r>
      <w:r w:rsidRPr="00FA0D37">
        <w:rPr>
          <w:i/>
        </w:rPr>
        <w:t>FeatureSetCombination</w:t>
      </w:r>
      <w:r w:rsidRPr="00FA0D37">
        <w:t xml:space="preserve">. The </w:t>
      </w:r>
      <w:r w:rsidRPr="00FA0D37">
        <w:rPr>
          <w:i/>
        </w:rPr>
        <w:t>FeatureSetCombinationId</w:t>
      </w:r>
      <w:r w:rsidRPr="00FA0D37">
        <w:t xml:space="preserve"> of a </w:t>
      </w:r>
      <w:r w:rsidRPr="00FA0D37">
        <w:rPr>
          <w:i/>
        </w:rPr>
        <w:t>FeatureSetCombination</w:t>
      </w:r>
      <w:r w:rsidRPr="00FA0D37">
        <w:t xml:space="preserve"> is the position of the </w:t>
      </w:r>
      <w:r w:rsidRPr="00FA0D37">
        <w:rPr>
          <w:i/>
        </w:rPr>
        <w:t>FeatureSetCombination</w:t>
      </w:r>
      <w:r w:rsidRPr="00FA0D37">
        <w:t xml:space="preserve"> in the featureSetCombinations list (in </w:t>
      </w:r>
      <w:r w:rsidRPr="00FA0D37">
        <w:rPr>
          <w:i/>
        </w:rPr>
        <w:t>UE-NR-Capability</w:t>
      </w:r>
      <w:r w:rsidRPr="00FA0D37">
        <w:t xml:space="preserve"> or </w:t>
      </w:r>
      <w:r w:rsidRPr="00FA0D37">
        <w:rPr>
          <w:i/>
        </w:rPr>
        <w:t>UE-MRDC-Capability</w:t>
      </w:r>
      <w:r w:rsidRPr="00FA0D37">
        <w:t xml:space="preserve">). The </w:t>
      </w:r>
      <w:r w:rsidRPr="00FA0D37">
        <w:rPr>
          <w:i/>
        </w:rPr>
        <w:t>FeatureSetCombinationId</w:t>
      </w:r>
      <w:r w:rsidRPr="00FA0D37">
        <w:t xml:space="preserve"> = 0 refers to the first entry in the </w:t>
      </w:r>
      <w:r w:rsidRPr="00FA0D37">
        <w:rPr>
          <w:i/>
        </w:rPr>
        <w:t xml:space="preserve">featureSetCombinations </w:t>
      </w:r>
      <w:r w:rsidRPr="00FA0D37">
        <w:t xml:space="preserve">list (in </w:t>
      </w:r>
      <w:r w:rsidRPr="00FA0D37">
        <w:rPr>
          <w:i/>
        </w:rPr>
        <w:t>UE-NR-Capability</w:t>
      </w:r>
      <w:r w:rsidRPr="00FA0D37">
        <w:t xml:space="preserve"> or </w:t>
      </w:r>
      <w:r w:rsidRPr="00FA0D37">
        <w:rPr>
          <w:i/>
        </w:rPr>
        <w:t>UE-MRDC-Capability</w:t>
      </w:r>
      <w:r w:rsidRPr="00FA0D37">
        <w:t>).</w:t>
      </w:r>
    </w:p>
    <w:p w14:paraId="44A8F578" w14:textId="77777777" w:rsidR="00394471" w:rsidRPr="00FA0D37" w:rsidRDefault="00394471" w:rsidP="00394471">
      <w:pPr>
        <w:pStyle w:val="NO"/>
      </w:pPr>
      <w:r w:rsidRPr="00FA0D37">
        <w:t>NOTE:</w:t>
      </w:r>
      <w:r w:rsidRPr="00FA0D37">
        <w:tab/>
        <w:t xml:space="preserve">The </w:t>
      </w:r>
      <w:r w:rsidRPr="00FA0D37">
        <w:rPr>
          <w:i/>
        </w:rPr>
        <w:t>FeatureSetCombinationId</w:t>
      </w:r>
      <w:r w:rsidRPr="00FA0D37">
        <w:t xml:space="preserve"> = 1024 is not used due to the maximum entry number of </w:t>
      </w:r>
      <w:r w:rsidRPr="00FA0D37">
        <w:rPr>
          <w:i/>
        </w:rPr>
        <w:t>featureSetCombinations</w:t>
      </w:r>
      <w:r w:rsidRPr="00FA0D37">
        <w:t>.</w:t>
      </w:r>
    </w:p>
    <w:p w14:paraId="20DDC7E6" w14:textId="77777777" w:rsidR="00394471" w:rsidRPr="00FA0D37" w:rsidRDefault="00394471" w:rsidP="00394471">
      <w:pPr>
        <w:pStyle w:val="TH"/>
      </w:pPr>
      <w:r w:rsidRPr="00FA0D37">
        <w:rPr>
          <w:i/>
        </w:rPr>
        <w:t xml:space="preserve">FeatureSetCombinationId </w:t>
      </w:r>
      <w:r w:rsidRPr="00FA0D37">
        <w:t>information element</w:t>
      </w:r>
    </w:p>
    <w:p w14:paraId="774A8B15" w14:textId="77777777" w:rsidR="00394471" w:rsidRPr="00FA0D37" w:rsidRDefault="00394471" w:rsidP="00FA0D37">
      <w:pPr>
        <w:pStyle w:val="PL"/>
        <w:rPr>
          <w:color w:val="808080"/>
        </w:rPr>
      </w:pPr>
      <w:r w:rsidRPr="00FA0D37">
        <w:rPr>
          <w:color w:val="808080"/>
        </w:rPr>
        <w:t>-- ASN1START</w:t>
      </w:r>
    </w:p>
    <w:p w14:paraId="01C69E3E" w14:textId="77777777" w:rsidR="00394471" w:rsidRPr="00FA0D37" w:rsidRDefault="00394471" w:rsidP="00FA0D37">
      <w:pPr>
        <w:pStyle w:val="PL"/>
        <w:rPr>
          <w:color w:val="808080"/>
        </w:rPr>
      </w:pPr>
      <w:r w:rsidRPr="00FA0D37">
        <w:rPr>
          <w:color w:val="808080"/>
        </w:rPr>
        <w:t>-- TAG-FEATURESETCOMBINATIONID-START</w:t>
      </w:r>
    </w:p>
    <w:p w14:paraId="3BB15C82" w14:textId="77777777" w:rsidR="00394471" w:rsidRPr="00FA0D37" w:rsidRDefault="00394471" w:rsidP="00FA0D37">
      <w:pPr>
        <w:pStyle w:val="PL"/>
      </w:pPr>
    </w:p>
    <w:p w14:paraId="1E36B29C" w14:textId="77777777" w:rsidR="00394471" w:rsidRPr="00FA0D37" w:rsidRDefault="00394471" w:rsidP="00FA0D37">
      <w:pPr>
        <w:pStyle w:val="PL"/>
      </w:pPr>
      <w:r w:rsidRPr="00FA0D37">
        <w:t xml:space="preserve">FeatureSetCombinationId ::=         </w:t>
      </w:r>
      <w:r w:rsidRPr="00FA0D37">
        <w:rPr>
          <w:color w:val="993366"/>
        </w:rPr>
        <w:t>INTEGER</w:t>
      </w:r>
      <w:r w:rsidRPr="00FA0D37">
        <w:t xml:space="preserve"> (0.. maxFeatureSetCombinations)</w:t>
      </w:r>
    </w:p>
    <w:p w14:paraId="336ECAD0" w14:textId="77777777" w:rsidR="00394471" w:rsidRPr="00FA0D37" w:rsidRDefault="00394471" w:rsidP="00FA0D37">
      <w:pPr>
        <w:pStyle w:val="PL"/>
      </w:pPr>
    </w:p>
    <w:p w14:paraId="3C67539F" w14:textId="77777777" w:rsidR="00394471" w:rsidRPr="00FA0D37" w:rsidRDefault="00394471" w:rsidP="00FA0D37">
      <w:pPr>
        <w:pStyle w:val="PL"/>
        <w:rPr>
          <w:color w:val="808080"/>
        </w:rPr>
      </w:pPr>
      <w:r w:rsidRPr="00FA0D37">
        <w:rPr>
          <w:color w:val="808080"/>
        </w:rPr>
        <w:t>-- TAG-FEATURESETCOMBINATIONID-STOP</w:t>
      </w:r>
    </w:p>
    <w:p w14:paraId="62FFCE3B" w14:textId="77777777" w:rsidR="00394471" w:rsidRPr="00FA0D37" w:rsidRDefault="00394471" w:rsidP="00FA0D37">
      <w:pPr>
        <w:pStyle w:val="PL"/>
        <w:rPr>
          <w:color w:val="808080"/>
        </w:rPr>
      </w:pPr>
      <w:r w:rsidRPr="00FA0D37">
        <w:rPr>
          <w:color w:val="808080"/>
        </w:rPr>
        <w:t>-- ASN1STOP</w:t>
      </w:r>
    </w:p>
    <w:p w14:paraId="0A97949D" w14:textId="77777777" w:rsidR="00394471" w:rsidRPr="00FA0D37" w:rsidRDefault="00394471" w:rsidP="00394471"/>
    <w:p w14:paraId="742D0314" w14:textId="77777777" w:rsidR="00394471" w:rsidRPr="00FA0D37" w:rsidRDefault="00394471" w:rsidP="00394471">
      <w:pPr>
        <w:pStyle w:val="4"/>
      </w:pPr>
      <w:bookmarkStart w:id="1533" w:name="_Toc60777441"/>
      <w:bookmarkStart w:id="1534" w:name="_Toc146781542"/>
      <w:r w:rsidRPr="00FA0D37">
        <w:t>–</w:t>
      </w:r>
      <w:r w:rsidRPr="00FA0D37">
        <w:tab/>
      </w:r>
      <w:r w:rsidRPr="00FA0D37">
        <w:rPr>
          <w:i/>
        </w:rPr>
        <w:t>FeatureSetDownlink</w:t>
      </w:r>
      <w:bookmarkEnd w:id="1533"/>
      <w:bookmarkEnd w:id="1534"/>
    </w:p>
    <w:p w14:paraId="7DDC115F" w14:textId="77777777" w:rsidR="00394471" w:rsidRPr="00FA0D37" w:rsidRDefault="00394471" w:rsidP="00394471">
      <w:r w:rsidRPr="00FA0D37">
        <w:t xml:space="preserve">The IE </w:t>
      </w:r>
      <w:r w:rsidRPr="00FA0D37">
        <w:rPr>
          <w:i/>
        </w:rPr>
        <w:t>FeatureSetDownlink</w:t>
      </w:r>
      <w:r w:rsidRPr="00FA0D37">
        <w:t xml:space="preserve"> indicates a set of features that the UE supports on the carriers corresponding to one band entry in a band combination.</w:t>
      </w:r>
    </w:p>
    <w:p w14:paraId="7E935422" w14:textId="77777777" w:rsidR="00394471" w:rsidRPr="00FA0D37" w:rsidRDefault="00394471" w:rsidP="00394471">
      <w:pPr>
        <w:pStyle w:val="TH"/>
      </w:pPr>
      <w:r w:rsidRPr="00FA0D37">
        <w:rPr>
          <w:i/>
        </w:rPr>
        <w:t>FeatureSetDownlink</w:t>
      </w:r>
      <w:r w:rsidRPr="00FA0D37">
        <w:t xml:space="preserve"> information element</w:t>
      </w:r>
    </w:p>
    <w:p w14:paraId="750F8878" w14:textId="77777777" w:rsidR="00394471" w:rsidRPr="00FA0D37" w:rsidRDefault="00394471" w:rsidP="00FA0D37">
      <w:pPr>
        <w:pStyle w:val="PL"/>
        <w:rPr>
          <w:color w:val="808080"/>
        </w:rPr>
      </w:pPr>
      <w:r w:rsidRPr="00FA0D37">
        <w:rPr>
          <w:color w:val="808080"/>
        </w:rPr>
        <w:t>-- ASN1START</w:t>
      </w:r>
    </w:p>
    <w:p w14:paraId="6FF367FD" w14:textId="77777777" w:rsidR="00394471" w:rsidRPr="00FA0D37" w:rsidRDefault="00394471" w:rsidP="00FA0D37">
      <w:pPr>
        <w:pStyle w:val="PL"/>
        <w:rPr>
          <w:color w:val="808080"/>
        </w:rPr>
      </w:pPr>
      <w:r w:rsidRPr="00FA0D37">
        <w:rPr>
          <w:color w:val="808080"/>
        </w:rPr>
        <w:t>-- TAG-FEATURESETDOWNLINK-START</w:t>
      </w:r>
    </w:p>
    <w:p w14:paraId="67E9539D" w14:textId="77777777" w:rsidR="00394471" w:rsidRPr="00FA0D37" w:rsidRDefault="00394471" w:rsidP="00FA0D37">
      <w:pPr>
        <w:pStyle w:val="PL"/>
      </w:pPr>
    </w:p>
    <w:p w14:paraId="7D398DDD" w14:textId="77777777" w:rsidR="00394471" w:rsidRPr="00FA0D37" w:rsidRDefault="00394471" w:rsidP="00FA0D37">
      <w:pPr>
        <w:pStyle w:val="PL"/>
      </w:pPr>
      <w:r w:rsidRPr="00FA0D37">
        <w:t xml:space="preserve">FeatureSetDownlink ::=                  </w:t>
      </w:r>
      <w:r w:rsidRPr="00FA0D37">
        <w:rPr>
          <w:color w:val="993366"/>
        </w:rPr>
        <w:t>SEQUENCE</w:t>
      </w:r>
      <w:r w:rsidRPr="00FA0D37">
        <w:t xml:space="preserve"> {</w:t>
      </w:r>
    </w:p>
    <w:p w14:paraId="240463B4" w14:textId="77777777" w:rsidR="00394471" w:rsidRPr="00FA0D37" w:rsidRDefault="00394471" w:rsidP="00FA0D37">
      <w:pPr>
        <w:pStyle w:val="PL"/>
      </w:pPr>
      <w:r w:rsidRPr="00FA0D37">
        <w:t xml:space="preserve">    featureSetListPerDownlinkCC             </w:t>
      </w:r>
      <w:r w:rsidRPr="00FA0D37">
        <w:rPr>
          <w:color w:val="993366"/>
        </w:rPr>
        <w:t>SEQUENCE</w:t>
      </w:r>
      <w:r w:rsidRPr="00FA0D37">
        <w:t xml:space="preserve"> (</w:t>
      </w:r>
      <w:r w:rsidRPr="00FA0D37">
        <w:rPr>
          <w:color w:val="993366"/>
        </w:rPr>
        <w:t>SIZE</w:t>
      </w:r>
      <w:r w:rsidRPr="00FA0D37">
        <w:t xml:space="preserve"> (1..maxNrofServingCells))</w:t>
      </w:r>
      <w:r w:rsidRPr="00FA0D37">
        <w:rPr>
          <w:color w:val="993366"/>
        </w:rPr>
        <w:t xml:space="preserve"> OF</w:t>
      </w:r>
      <w:r w:rsidRPr="00FA0D37">
        <w:t xml:space="preserve"> FeatureSetDownlinkPerCC-Id,</w:t>
      </w:r>
    </w:p>
    <w:p w14:paraId="5771B327" w14:textId="77777777" w:rsidR="00394471" w:rsidRPr="00FA0D37" w:rsidRDefault="00394471" w:rsidP="00FA0D37">
      <w:pPr>
        <w:pStyle w:val="PL"/>
      </w:pPr>
    </w:p>
    <w:p w14:paraId="3FF2B2F0" w14:textId="77777777" w:rsidR="00394471" w:rsidRPr="00FA0D37" w:rsidRDefault="00394471" w:rsidP="00FA0D37">
      <w:pPr>
        <w:pStyle w:val="PL"/>
      </w:pPr>
      <w:r w:rsidRPr="00FA0D37">
        <w:t xml:space="preserve">    intraBandFreqSeparationDL               FreqSeparationClass                                                     </w:t>
      </w:r>
      <w:r w:rsidRPr="00FA0D37">
        <w:rPr>
          <w:color w:val="993366"/>
        </w:rPr>
        <w:t>OPTIONAL</w:t>
      </w:r>
      <w:r w:rsidRPr="00FA0D37">
        <w:t>,</w:t>
      </w:r>
    </w:p>
    <w:p w14:paraId="5CC77DDF" w14:textId="77777777" w:rsidR="00394471" w:rsidRPr="00FA0D37" w:rsidRDefault="00394471" w:rsidP="00FA0D37">
      <w:pPr>
        <w:pStyle w:val="PL"/>
      </w:pPr>
      <w:r w:rsidRPr="00FA0D37">
        <w:t xml:space="preserve">    scalingFactor                           </w:t>
      </w:r>
      <w:r w:rsidRPr="00FA0D37">
        <w:rPr>
          <w:color w:val="993366"/>
        </w:rPr>
        <w:t>ENUMERATED</w:t>
      </w:r>
      <w:r w:rsidRPr="00FA0D37">
        <w:t xml:space="preserve"> {f0p4, f0p75, f0p8}                                          </w:t>
      </w:r>
      <w:r w:rsidRPr="00FA0D37">
        <w:rPr>
          <w:color w:val="993366"/>
        </w:rPr>
        <w:t>OPTIONAL</w:t>
      </w:r>
      <w:r w:rsidRPr="00FA0D37">
        <w:t>,</w:t>
      </w:r>
    </w:p>
    <w:p w14:paraId="6C34C84C" w14:textId="0DD8ED3C" w:rsidR="00394471" w:rsidRPr="00FA0D37" w:rsidRDefault="00394471" w:rsidP="00FA0D37">
      <w:pPr>
        <w:pStyle w:val="PL"/>
      </w:pPr>
      <w:r w:rsidRPr="00FA0D37">
        <w:t xml:space="preserve">    </w:t>
      </w:r>
      <w:r w:rsidR="002E31BC" w:rsidRPr="00FA0D37">
        <w:t>dummy8</w:t>
      </w:r>
      <w:r w:rsidRPr="00FA0D37">
        <w:t xml:space="preserve">         </w:t>
      </w:r>
      <w:r w:rsidR="002E31BC" w:rsidRPr="00FA0D37">
        <w:t xml:space="preserve">                         </w:t>
      </w:r>
      <w:r w:rsidRPr="00FA0D37">
        <w:rPr>
          <w:color w:val="993366"/>
        </w:rPr>
        <w:t>ENUMERATED</w:t>
      </w:r>
      <w:r w:rsidRPr="00FA0D37">
        <w:t xml:space="preserve"> {supported}                                                  </w:t>
      </w:r>
      <w:r w:rsidRPr="00FA0D37">
        <w:rPr>
          <w:color w:val="993366"/>
        </w:rPr>
        <w:t>OPTIONAL</w:t>
      </w:r>
      <w:r w:rsidRPr="00FA0D37">
        <w:t>,</w:t>
      </w:r>
    </w:p>
    <w:p w14:paraId="3FF50837" w14:textId="77777777" w:rsidR="00394471" w:rsidRPr="00FA0D37" w:rsidRDefault="00394471" w:rsidP="00FA0D37">
      <w:pPr>
        <w:pStyle w:val="PL"/>
      </w:pPr>
      <w:r w:rsidRPr="00FA0D37">
        <w:t xml:space="preserve">    scellWithoutSSB                         </w:t>
      </w:r>
      <w:r w:rsidRPr="00FA0D37">
        <w:rPr>
          <w:color w:val="993366"/>
        </w:rPr>
        <w:t>ENUMERATED</w:t>
      </w:r>
      <w:r w:rsidRPr="00FA0D37">
        <w:t xml:space="preserve"> {supported}                                                  </w:t>
      </w:r>
      <w:r w:rsidRPr="00FA0D37">
        <w:rPr>
          <w:color w:val="993366"/>
        </w:rPr>
        <w:t>OPTIONAL</w:t>
      </w:r>
      <w:r w:rsidRPr="00FA0D37">
        <w:t>,</w:t>
      </w:r>
    </w:p>
    <w:p w14:paraId="36490285" w14:textId="77777777" w:rsidR="00394471" w:rsidRPr="00FA0D37" w:rsidRDefault="00394471" w:rsidP="00FA0D37">
      <w:pPr>
        <w:pStyle w:val="PL"/>
      </w:pPr>
      <w:r w:rsidRPr="00FA0D37">
        <w:t xml:space="preserve">    csi-RS-MeasSCellWithoutSSB              </w:t>
      </w:r>
      <w:r w:rsidRPr="00FA0D37">
        <w:rPr>
          <w:color w:val="993366"/>
        </w:rPr>
        <w:t>ENUMERATED</w:t>
      </w:r>
      <w:r w:rsidRPr="00FA0D37">
        <w:t xml:space="preserve"> {supported}                                                  </w:t>
      </w:r>
      <w:r w:rsidRPr="00FA0D37">
        <w:rPr>
          <w:color w:val="993366"/>
        </w:rPr>
        <w:t>OPTIONAL</w:t>
      </w:r>
      <w:r w:rsidRPr="00FA0D37">
        <w:t>,</w:t>
      </w:r>
    </w:p>
    <w:p w14:paraId="29F2684F" w14:textId="77777777" w:rsidR="00394471" w:rsidRPr="00FA0D37" w:rsidRDefault="00394471" w:rsidP="00FA0D37">
      <w:pPr>
        <w:pStyle w:val="PL"/>
      </w:pPr>
      <w:r w:rsidRPr="00FA0D37">
        <w:t xml:space="preserve">    dummy1                                  </w:t>
      </w:r>
      <w:r w:rsidRPr="00FA0D37">
        <w:rPr>
          <w:color w:val="993366"/>
        </w:rPr>
        <w:t>ENUMERATED</w:t>
      </w:r>
      <w:r w:rsidRPr="00FA0D37">
        <w:t xml:space="preserve"> {supported}                                                  </w:t>
      </w:r>
      <w:r w:rsidRPr="00FA0D37">
        <w:rPr>
          <w:color w:val="993366"/>
        </w:rPr>
        <w:t>OPTIONAL</w:t>
      </w:r>
      <w:r w:rsidRPr="00FA0D37">
        <w:t>,</w:t>
      </w:r>
    </w:p>
    <w:p w14:paraId="539856D2" w14:textId="77777777" w:rsidR="00394471" w:rsidRPr="00FA0D37" w:rsidRDefault="00394471" w:rsidP="00FA0D37">
      <w:pPr>
        <w:pStyle w:val="PL"/>
      </w:pPr>
      <w:r w:rsidRPr="00FA0D37">
        <w:t xml:space="preserve">    type1-3-CSS                             </w:t>
      </w:r>
      <w:r w:rsidRPr="00FA0D37">
        <w:rPr>
          <w:color w:val="993366"/>
        </w:rPr>
        <w:t>ENUMERATED</w:t>
      </w:r>
      <w:r w:rsidRPr="00FA0D37">
        <w:t xml:space="preserve"> {supported}                                                  </w:t>
      </w:r>
      <w:r w:rsidRPr="00FA0D37">
        <w:rPr>
          <w:color w:val="993366"/>
        </w:rPr>
        <w:t>OPTIONAL</w:t>
      </w:r>
      <w:r w:rsidRPr="00FA0D37">
        <w:t>,</w:t>
      </w:r>
    </w:p>
    <w:p w14:paraId="16479201" w14:textId="77777777" w:rsidR="00394471" w:rsidRPr="00FA0D37" w:rsidRDefault="00394471" w:rsidP="00FA0D37">
      <w:pPr>
        <w:pStyle w:val="PL"/>
      </w:pPr>
      <w:r w:rsidRPr="00FA0D37">
        <w:t xml:space="preserve">    pdcch-MonitoringAnyOccasions            </w:t>
      </w:r>
      <w:r w:rsidRPr="00FA0D37">
        <w:rPr>
          <w:color w:val="993366"/>
        </w:rPr>
        <w:t>ENUMERATED</w:t>
      </w:r>
      <w:r w:rsidRPr="00FA0D37">
        <w:t xml:space="preserve"> {withoutDCI-Gap, withDCI-Gap}                                </w:t>
      </w:r>
      <w:r w:rsidRPr="00FA0D37">
        <w:rPr>
          <w:color w:val="993366"/>
        </w:rPr>
        <w:t>OPTIONAL</w:t>
      </w:r>
      <w:r w:rsidRPr="00FA0D37">
        <w:t>,</w:t>
      </w:r>
    </w:p>
    <w:p w14:paraId="52B8F06D" w14:textId="77777777" w:rsidR="00394471" w:rsidRPr="00FA0D37" w:rsidRDefault="00394471" w:rsidP="00FA0D37">
      <w:pPr>
        <w:pStyle w:val="PL"/>
      </w:pPr>
      <w:r w:rsidRPr="00FA0D37">
        <w:t xml:space="preserve">    dummy2                                  </w:t>
      </w:r>
      <w:r w:rsidRPr="00FA0D37">
        <w:rPr>
          <w:color w:val="993366"/>
        </w:rPr>
        <w:t>ENUMERATED</w:t>
      </w:r>
      <w:r w:rsidRPr="00FA0D37">
        <w:t xml:space="preserve"> {supported}                                                  </w:t>
      </w:r>
      <w:r w:rsidRPr="00FA0D37">
        <w:rPr>
          <w:color w:val="993366"/>
        </w:rPr>
        <w:t>OPTIONAL</w:t>
      </w:r>
      <w:r w:rsidRPr="00FA0D37">
        <w:t>,</w:t>
      </w:r>
    </w:p>
    <w:p w14:paraId="1BEC6B0E" w14:textId="77777777" w:rsidR="00394471" w:rsidRPr="00FA0D37" w:rsidRDefault="00394471" w:rsidP="00FA0D37">
      <w:pPr>
        <w:pStyle w:val="PL"/>
      </w:pPr>
      <w:r w:rsidRPr="00FA0D37">
        <w:t xml:space="preserve">    ue-SpecificUL-DL-Assignment             </w:t>
      </w:r>
      <w:r w:rsidRPr="00FA0D37">
        <w:rPr>
          <w:color w:val="993366"/>
        </w:rPr>
        <w:t>ENUMERATED</w:t>
      </w:r>
      <w:r w:rsidRPr="00FA0D37">
        <w:t xml:space="preserve"> {supported}                                                  </w:t>
      </w:r>
      <w:r w:rsidRPr="00FA0D37">
        <w:rPr>
          <w:color w:val="993366"/>
        </w:rPr>
        <w:t>OPTIONAL</w:t>
      </w:r>
      <w:r w:rsidRPr="00FA0D37">
        <w:t>,</w:t>
      </w:r>
    </w:p>
    <w:p w14:paraId="57D3A950" w14:textId="77777777" w:rsidR="00394471" w:rsidRPr="00FA0D37" w:rsidRDefault="00394471" w:rsidP="00FA0D37">
      <w:pPr>
        <w:pStyle w:val="PL"/>
      </w:pPr>
      <w:r w:rsidRPr="00FA0D37">
        <w:t xml:space="preserve">    searchSpaceSharingCA-DL                 </w:t>
      </w:r>
      <w:r w:rsidRPr="00FA0D37">
        <w:rPr>
          <w:color w:val="993366"/>
        </w:rPr>
        <w:t>ENUMERATED</w:t>
      </w:r>
      <w:r w:rsidRPr="00FA0D37">
        <w:t xml:space="preserve"> {supported}                                                  </w:t>
      </w:r>
      <w:r w:rsidRPr="00FA0D37">
        <w:rPr>
          <w:color w:val="993366"/>
        </w:rPr>
        <w:t>OPTIONAL</w:t>
      </w:r>
      <w:r w:rsidRPr="00FA0D37">
        <w:t>,</w:t>
      </w:r>
    </w:p>
    <w:p w14:paraId="6E1348DD" w14:textId="77777777" w:rsidR="00394471" w:rsidRPr="00FA0D37" w:rsidRDefault="00394471" w:rsidP="00FA0D37">
      <w:pPr>
        <w:pStyle w:val="PL"/>
      </w:pPr>
      <w:r w:rsidRPr="00FA0D37">
        <w:t xml:space="preserve">    timeDurationForQCL                      </w:t>
      </w:r>
      <w:r w:rsidRPr="00FA0D37">
        <w:rPr>
          <w:color w:val="993366"/>
        </w:rPr>
        <w:t>SEQUENCE</w:t>
      </w:r>
      <w:r w:rsidRPr="00FA0D37">
        <w:t xml:space="preserve"> {</w:t>
      </w:r>
    </w:p>
    <w:p w14:paraId="74DF2837" w14:textId="77777777" w:rsidR="00394471" w:rsidRPr="00FA0D37" w:rsidRDefault="00394471" w:rsidP="00FA0D37">
      <w:pPr>
        <w:pStyle w:val="PL"/>
      </w:pPr>
      <w:r w:rsidRPr="00FA0D37">
        <w:t xml:space="preserve">        scs-60kHz                           </w:t>
      </w:r>
      <w:r w:rsidRPr="00FA0D37">
        <w:rPr>
          <w:color w:val="993366"/>
        </w:rPr>
        <w:t>ENUMERATED</w:t>
      </w:r>
      <w:r w:rsidRPr="00FA0D37">
        <w:t xml:space="preserve"> {s7, s14, s28}                                               </w:t>
      </w:r>
      <w:r w:rsidRPr="00FA0D37">
        <w:rPr>
          <w:color w:val="993366"/>
        </w:rPr>
        <w:t>OPTIONAL</w:t>
      </w:r>
      <w:r w:rsidRPr="00FA0D37">
        <w:t>,</w:t>
      </w:r>
    </w:p>
    <w:p w14:paraId="3016AF68" w14:textId="77777777" w:rsidR="00394471" w:rsidRPr="00FA0D37" w:rsidRDefault="00394471" w:rsidP="00FA0D37">
      <w:pPr>
        <w:pStyle w:val="PL"/>
      </w:pPr>
      <w:r w:rsidRPr="00FA0D37">
        <w:t xml:space="preserve">        scs-120kHz                          </w:t>
      </w:r>
      <w:r w:rsidRPr="00FA0D37">
        <w:rPr>
          <w:color w:val="993366"/>
        </w:rPr>
        <w:t>ENUMERATED</w:t>
      </w:r>
      <w:r w:rsidRPr="00FA0D37">
        <w:t xml:space="preserve"> {s14, s28}                                                   </w:t>
      </w:r>
      <w:r w:rsidRPr="00FA0D37">
        <w:rPr>
          <w:color w:val="993366"/>
        </w:rPr>
        <w:t>OPTIONAL</w:t>
      </w:r>
    </w:p>
    <w:p w14:paraId="7153F222" w14:textId="77777777" w:rsidR="00394471" w:rsidRPr="00FA0D37" w:rsidRDefault="00394471" w:rsidP="00FA0D37">
      <w:pPr>
        <w:pStyle w:val="PL"/>
      </w:pPr>
      <w:r w:rsidRPr="00FA0D37">
        <w:t xml:space="preserve">    }                                                                                                           </w:t>
      </w:r>
      <w:r w:rsidRPr="00FA0D37">
        <w:rPr>
          <w:color w:val="993366"/>
        </w:rPr>
        <w:t>OPTIONAL</w:t>
      </w:r>
      <w:r w:rsidRPr="00FA0D37">
        <w:t>,</w:t>
      </w:r>
    </w:p>
    <w:p w14:paraId="3C7CFBE3" w14:textId="77777777" w:rsidR="00394471" w:rsidRPr="00FA0D37" w:rsidRDefault="00394471" w:rsidP="00FA0D37">
      <w:pPr>
        <w:pStyle w:val="PL"/>
      </w:pPr>
      <w:r w:rsidRPr="00FA0D37">
        <w:t xml:space="preserve">    pdsch-ProcessingType1-DifferentTB-PerSlot </w:t>
      </w:r>
      <w:r w:rsidRPr="00FA0D37">
        <w:rPr>
          <w:color w:val="993366"/>
        </w:rPr>
        <w:t>SEQUENCE</w:t>
      </w:r>
      <w:r w:rsidRPr="00FA0D37">
        <w:t xml:space="preserve"> {</w:t>
      </w:r>
    </w:p>
    <w:p w14:paraId="21D7FEEB" w14:textId="77777777" w:rsidR="00394471" w:rsidRPr="00FA0D37" w:rsidRDefault="00394471" w:rsidP="00FA0D37">
      <w:pPr>
        <w:pStyle w:val="PL"/>
      </w:pPr>
      <w:r w:rsidRPr="00FA0D37">
        <w:t xml:space="preserve">        scs-15kHz                               </w:t>
      </w:r>
      <w:r w:rsidRPr="00FA0D37">
        <w:rPr>
          <w:color w:val="993366"/>
        </w:rPr>
        <w:t>ENUMERATED</w:t>
      </w:r>
      <w:r w:rsidRPr="00FA0D37">
        <w:t xml:space="preserve"> {upto2, upto4, upto7}                                    </w:t>
      </w:r>
      <w:r w:rsidRPr="00FA0D37">
        <w:rPr>
          <w:color w:val="993366"/>
        </w:rPr>
        <w:t>OPTIONAL</w:t>
      </w:r>
      <w:r w:rsidRPr="00FA0D37">
        <w:t>,</w:t>
      </w:r>
    </w:p>
    <w:p w14:paraId="765B53D6" w14:textId="77777777" w:rsidR="00394471" w:rsidRPr="00FA0D37" w:rsidRDefault="00394471" w:rsidP="00FA0D37">
      <w:pPr>
        <w:pStyle w:val="PL"/>
      </w:pPr>
      <w:r w:rsidRPr="00FA0D37">
        <w:lastRenderedPageBreak/>
        <w:t xml:space="preserve">        scs-30kHz                               </w:t>
      </w:r>
      <w:r w:rsidRPr="00FA0D37">
        <w:rPr>
          <w:color w:val="993366"/>
        </w:rPr>
        <w:t>ENUMERATED</w:t>
      </w:r>
      <w:r w:rsidRPr="00FA0D37">
        <w:t xml:space="preserve"> {upto2, upto4, upto7}                                    </w:t>
      </w:r>
      <w:r w:rsidRPr="00FA0D37">
        <w:rPr>
          <w:color w:val="993366"/>
        </w:rPr>
        <w:t>OPTIONAL</w:t>
      </w:r>
      <w:r w:rsidRPr="00FA0D37">
        <w:t>,</w:t>
      </w:r>
    </w:p>
    <w:p w14:paraId="28AC2A1C" w14:textId="77777777" w:rsidR="00394471" w:rsidRPr="00FA0D37" w:rsidRDefault="00394471" w:rsidP="00FA0D37">
      <w:pPr>
        <w:pStyle w:val="PL"/>
      </w:pPr>
      <w:r w:rsidRPr="00FA0D37">
        <w:t xml:space="preserve">        scs-60kHz                               </w:t>
      </w:r>
      <w:r w:rsidRPr="00FA0D37">
        <w:rPr>
          <w:color w:val="993366"/>
        </w:rPr>
        <w:t>ENUMERATED</w:t>
      </w:r>
      <w:r w:rsidRPr="00FA0D37">
        <w:t xml:space="preserve"> {upto2, upto4, upto7}                                    </w:t>
      </w:r>
      <w:r w:rsidRPr="00FA0D37">
        <w:rPr>
          <w:color w:val="993366"/>
        </w:rPr>
        <w:t>OPTIONAL</w:t>
      </w:r>
      <w:r w:rsidRPr="00FA0D37">
        <w:t>,</w:t>
      </w:r>
    </w:p>
    <w:p w14:paraId="6FD84744" w14:textId="77777777" w:rsidR="00394471" w:rsidRPr="00FA0D37" w:rsidRDefault="00394471" w:rsidP="00FA0D37">
      <w:pPr>
        <w:pStyle w:val="PL"/>
      </w:pPr>
      <w:r w:rsidRPr="00FA0D37">
        <w:t xml:space="preserve">        scs-120kHz                              </w:t>
      </w:r>
      <w:r w:rsidRPr="00FA0D37">
        <w:rPr>
          <w:color w:val="993366"/>
        </w:rPr>
        <w:t>ENUMERATED</w:t>
      </w:r>
      <w:r w:rsidRPr="00FA0D37">
        <w:t xml:space="preserve"> {upto2, upto4, upto7}                                    </w:t>
      </w:r>
      <w:r w:rsidRPr="00FA0D37">
        <w:rPr>
          <w:color w:val="993366"/>
        </w:rPr>
        <w:t>OPTIONAL</w:t>
      </w:r>
    </w:p>
    <w:p w14:paraId="5732E666" w14:textId="77777777" w:rsidR="00394471" w:rsidRPr="00FA0D37" w:rsidRDefault="00394471" w:rsidP="00FA0D37">
      <w:pPr>
        <w:pStyle w:val="PL"/>
      </w:pPr>
      <w:r w:rsidRPr="00FA0D37">
        <w:t xml:space="preserve">    }                                                                                                           </w:t>
      </w:r>
      <w:r w:rsidRPr="00FA0D37">
        <w:rPr>
          <w:color w:val="993366"/>
        </w:rPr>
        <w:t>OPTIONAL</w:t>
      </w:r>
      <w:r w:rsidRPr="00FA0D37">
        <w:t>,</w:t>
      </w:r>
    </w:p>
    <w:p w14:paraId="56BDCA12" w14:textId="77777777" w:rsidR="00394471" w:rsidRPr="00FA0D37" w:rsidRDefault="00394471" w:rsidP="00FA0D37">
      <w:pPr>
        <w:pStyle w:val="PL"/>
      </w:pPr>
      <w:r w:rsidRPr="00FA0D37">
        <w:t xml:space="preserve">    dummy3                                  DummyA                                                                  </w:t>
      </w:r>
      <w:r w:rsidRPr="00FA0D37">
        <w:rPr>
          <w:color w:val="993366"/>
        </w:rPr>
        <w:t>OPTIONAL</w:t>
      </w:r>
      <w:r w:rsidRPr="00FA0D37">
        <w:t>,</w:t>
      </w:r>
    </w:p>
    <w:p w14:paraId="49FDE769" w14:textId="77777777" w:rsidR="00394471" w:rsidRPr="00FA0D37" w:rsidRDefault="00394471" w:rsidP="00FA0D37">
      <w:pPr>
        <w:pStyle w:val="PL"/>
      </w:pPr>
      <w:r w:rsidRPr="00FA0D37">
        <w:t xml:space="preserve">    dummy4                                  </w:t>
      </w:r>
      <w:r w:rsidRPr="00FA0D37">
        <w:rPr>
          <w:color w:val="993366"/>
        </w:rPr>
        <w:t>SEQUENCE</w:t>
      </w:r>
      <w:r w:rsidRPr="00FA0D37">
        <w:t xml:space="preserve"> (</w:t>
      </w:r>
      <w:r w:rsidRPr="00FA0D37">
        <w:rPr>
          <w:color w:val="993366"/>
        </w:rPr>
        <w:t>SIZE</w:t>
      </w:r>
      <w:r w:rsidRPr="00FA0D37">
        <w:t xml:space="preserve"> (1.. maxNrofCodebooks))</w:t>
      </w:r>
      <w:r w:rsidRPr="00FA0D37">
        <w:rPr>
          <w:color w:val="993366"/>
        </w:rPr>
        <w:t xml:space="preserve"> OF</w:t>
      </w:r>
      <w:r w:rsidRPr="00FA0D37">
        <w:t xml:space="preserve"> DummyB                        </w:t>
      </w:r>
      <w:r w:rsidRPr="00FA0D37">
        <w:rPr>
          <w:color w:val="993366"/>
        </w:rPr>
        <w:t>OPTIONAL</w:t>
      </w:r>
      <w:r w:rsidRPr="00FA0D37">
        <w:t>,</w:t>
      </w:r>
    </w:p>
    <w:p w14:paraId="2CA37CF0" w14:textId="77777777" w:rsidR="00394471" w:rsidRPr="00FA0D37" w:rsidRDefault="00394471" w:rsidP="00FA0D37">
      <w:pPr>
        <w:pStyle w:val="PL"/>
      </w:pPr>
      <w:r w:rsidRPr="00FA0D37">
        <w:t xml:space="preserve">    dummy5                                  </w:t>
      </w:r>
      <w:r w:rsidRPr="00FA0D37">
        <w:rPr>
          <w:color w:val="993366"/>
        </w:rPr>
        <w:t>SEQUENCE</w:t>
      </w:r>
      <w:r w:rsidRPr="00FA0D37">
        <w:t xml:space="preserve"> (</w:t>
      </w:r>
      <w:r w:rsidRPr="00FA0D37">
        <w:rPr>
          <w:color w:val="993366"/>
        </w:rPr>
        <w:t>SIZE</w:t>
      </w:r>
      <w:r w:rsidRPr="00FA0D37">
        <w:t xml:space="preserve"> (1.. maxNrofCodebooks))</w:t>
      </w:r>
      <w:r w:rsidRPr="00FA0D37">
        <w:rPr>
          <w:color w:val="993366"/>
        </w:rPr>
        <w:t xml:space="preserve"> OF</w:t>
      </w:r>
      <w:r w:rsidRPr="00FA0D37">
        <w:t xml:space="preserve"> DummyC                        </w:t>
      </w:r>
      <w:r w:rsidRPr="00FA0D37">
        <w:rPr>
          <w:color w:val="993366"/>
        </w:rPr>
        <w:t>OPTIONAL</w:t>
      </w:r>
      <w:r w:rsidRPr="00FA0D37">
        <w:t>,</w:t>
      </w:r>
    </w:p>
    <w:p w14:paraId="16FCDC35" w14:textId="77777777" w:rsidR="00394471" w:rsidRPr="00FA0D37" w:rsidRDefault="00394471" w:rsidP="00FA0D37">
      <w:pPr>
        <w:pStyle w:val="PL"/>
      </w:pPr>
      <w:r w:rsidRPr="00FA0D37">
        <w:t xml:space="preserve">    dummy6                                  </w:t>
      </w:r>
      <w:r w:rsidRPr="00FA0D37">
        <w:rPr>
          <w:color w:val="993366"/>
        </w:rPr>
        <w:t>SEQUENCE</w:t>
      </w:r>
      <w:r w:rsidRPr="00FA0D37">
        <w:t xml:space="preserve"> (</w:t>
      </w:r>
      <w:r w:rsidRPr="00FA0D37">
        <w:rPr>
          <w:color w:val="993366"/>
        </w:rPr>
        <w:t>SIZE</w:t>
      </w:r>
      <w:r w:rsidRPr="00FA0D37">
        <w:t xml:space="preserve"> (1.. maxNrofCodebooks))</w:t>
      </w:r>
      <w:r w:rsidRPr="00FA0D37">
        <w:rPr>
          <w:color w:val="993366"/>
        </w:rPr>
        <w:t xml:space="preserve"> OF</w:t>
      </w:r>
      <w:r w:rsidRPr="00FA0D37">
        <w:t xml:space="preserve"> DummyD                        </w:t>
      </w:r>
      <w:r w:rsidRPr="00FA0D37">
        <w:rPr>
          <w:color w:val="993366"/>
        </w:rPr>
        <w:t>OPTIONAL</w:t>
      </w:r>
      <w:r w:rsidRPr="00FA0D37">
        <w:t>,</w:t>
      </w:r>
    </w:p>
    <w:p w14:paraId="7D9888A2" w14:textId="77777777" w:rsidR="00394471" w:rsidRPr="00FA0D37" w:rsidRDefault="00394471" w:rsidP="00FA0D37">
      <w:pPr>
        <w:pStyle w:val="PL"/>
      </w:pPr>
      <w:r w:rsidRPr="00FA0D37">
        <w:t xml:space="preserve">    dummy7                                  </w:t>
      </w:r>
      <w:r w:rsidRPr="00FA0D37">
        <w:rPr>
          <w:color w:val="993366"/>
        </w:rPr>
        <w:t>SEQUENCE</w:t>
      </w:r>
      <w:r w:rsidRPr="00FA0D37">
        <w:t xml:space="preserve"> (</w:t>
      </w:r>
      <w:r w:rsidRPr="00FA0D37">
        <w:rPr>
          <w:color w:val="993366"/>
        </w:rPr>
        <w:t>SIZE</w:t>
      </w:r>
      <w:r w:rsidRPr="00FA0D37">
        <w:t xml:space="preserve"> (1.. maxNrofCodebooks))</w:t>
      </w:r>
      <w:r w:rsidRPr="00FA0D37">
        <w:rPr>
          <w:color w:val="993366"/>
        </w:rPr>
        <w:t xml:space="preserve"> OF</w:t>
      </w:r>
      <w:r w:rsidRPr="00FA0D37">
        <w:t xml:space="preserve"> DummyE                        </w:t>
      </w:r>
      <w:r w:rsidRPr="00FA0D37">
        <w:rPr>
          <w:color w:val="993366"/>
        </w:rPr>
        <w:t>OPTIONAL</w:t>
      </w:r>
    </w:p>
    <w:p w14:paraId="5FBEB592" w14:textId="77777777" w:rsidR="00394471" w:rsidRPr="00FA0D37" w:rsidRDefault="00394471" w:rsidP="00FA0D37">
      <w:pPr>
        <w:pStyle w:val="PL"/>
      </w:pPr>
      <w:r w:rsidRPr="00FA0D37">
        <w:t>}</w:t>
      </w:r>
    </w:p>
    <w:p w14:paraId="324892A8" w14:textId="77777777" w:rsidR="00394471" w:rsidRPr="00FA0D37" w:rsidRDefault="00394471" w:rsidP="00FA0D37">
      <w:pPr>
        <w:pStyle w:val="PL"/>
      </w:pPr>
    </w:p>
    <w:p w14:paraId="252F1119" w14:textId="77777777" w:rsidR="00394471" w:rsidRPr="00FA0D37" w:rsidRDefault="00394471" w:rsidP="00FA0D37">
      <w:pPr>
        <w:pStyle w:val="PL"/>
      </w:pPr>
      <w:r w:rsidRPr="00FA0D37">
        <w:t xml:space="preserve">FeatureSetDownlink-v1540 ::= </w:t>
      </w:r>
      <w:r w:rsidRPr="00FA0D37">
        <w:rPr>
          <w:color w:val="993366"/>
        </w:rPr>
        <w:t>SEQUENCE</w:t>
      </w:r>
      <w:r w:rsidRPr="00FA0D37">
        <w:t xml:space="preserve"> {</w:t>
      </w:r>
    </w:p>
    <w:p w14:paraId="19AFAC4C" w14:textId="77777777" w:rsidR="00394471" w:rsidRPr="00FA0D37" w:rsidRDefault="00394471" w:rsidP="00FA0D37">
      <w:pPr>
        <w:pStyle w:val="PL"/>
      </w:pPr>
      <w:r w:rsidRPr="00FA0D37">
        <w:t xml:space="preserve">    oneFL-DMRS-TwoAdditionalDMRS-DL         </w:t>
      </w:r>
      <w:r w:rsidRPr="00FA0D37">
        <w:rPr>
          <w:color w:val="993366"/>
        </w:rPr>
        <w:t>ENUMERATED</w:t>
      </w:r>
      <w:r w:rsidRPr="00FA0D37">
        <w:t xml:space="preserve"> {supported}                       </w:t>
      </w:r>
      <w:r w:rsidRPr="00FA0D37">
        <w:rPr>
          <w:color w:val="993366"/>
        </w:rPr>
        <w:t>OPTIONAL</w:t>
      </w:r>
      <w:r w:rsidRPr="00FA0D37">
        <w:t>,</w:t>
      </w:r>
    </w:p>
    <w:p w14:paraId="0371ACA4" w14:textId="77777777" w:rsidR="00394471" w:rsidRPr="00FA0D37" w:rsidRDefault="00394471" w:rsidP="00FA0D37">
      <w:pPr>
        <w:pStyle w:val="PL"/>
      </w:pPr>
      <w:r w:rsidRPr="00FA0D37">
        <w:t xml:space="preserve">    additionalDMRS-DL-Alt                   </w:t>
      </w:r>
      <w:r w:rsidRPr="00FA0D37">
        <w:rPr>
          <w:color w:val="993366"/>
        </w:rPr>
        <w:t>ENUMERATED</w:t>
      </w:r>
      <w:r w:rsidRPr="00FA0D37">
        <w:t xml:space="preserve"> {supported}                       </w:t>
      </w:r>
      <w:r w:rsidRPr="00FA0D37">
        <w:rPr>
          <w:color w:val="993366"/>
        </w:rPr>
        <w:t>OPTIONAL</w:t>
      </w:r>
      <w:r w:rsidRPr="00FA0D37">
        <w:t>,</w:t>
      </w:r>
    </w:p>
    <w:p w14:paraId="3AF8B891" w14:textId="77777777" w:rsidR="00394471" w:rsidRPr="00FA0D37" w:rsidRDefault="00394471" w:rsidP="00FA0D37">
      <w:pPr>
        <w:pStyle w:val="PL"/>
      </w:pPr>
      <w:r w:rsidRPr="00FA0D37">
        <w:t xml:space="preserve">    twoFL-DMRS-TwoAdditionalDMRS-DL         </w:t>
      </w:r>
      <w:r w:rsidRPr="00FA0D37">
        <w:rPr>
          <w:color w:val="993366"/>
        </w:rPr>
        <w:t>ENUMERATED</w:t>
      </w:r>
      <w:r w:rsidRPr="00FA0D37">
        <w:t xml:space="preserve"> {supported}                       </w:t>
      </w:r>
      <w:r w:rsidRPr="00FA0D37">
        <w:rPr>
          <w:color w:val="993366"/>
        </w:rPr>
        <w:t>OPTIONAL</w:t>
      </w:r>
      <w:r w:rsidRPr="00FA0D37">
        <w:t>,</w:t>
      </w:r>
    </w:p>
    <w:p w14:paraId="72CD53DC" w14:textId="77777777" w:rsidR="00394471" w:rsidRPr="00FA0D37" w:rsidRDefault="00394471" w:rsidP="00FA0D37">
      <w:pPr>
        <w:pStyle w:val="PL"/>
      </w:pPr>
      <w:r w:rsidRPr="00FA0D37">
        <w:t xml:space="preserve">    oneFL-DMRS-ThreeAdditionalDMRS-DL       </w:t>
      </w:r>
      <w:r w:rsidRPr="00FA0D37">
        <w:rPr>
          <w:color w:val="993366"/>
        </w:rPr>
        <w:t>ENUMERATED</w:t>
      </w:r>
      <w:r w:rsidRPr="00FA0D37">
        <w:t xml:space="preserve"> {supported}                       </w:t>
      </w:r>
      <w:r w:rsidRPr="00FA0D37">
        <w:rPr>
          <w:color w:val="993366"/>
        </w:rPr>
        <w:t>OPTIONAL</w:t>
      </w:r>
      <w:r w:rsidRPr="00FA0D37">
        <w:t>,</w:t>
      </w:r>
    </w:p>
    <w:p w14:paraId="4A17202C" w14:textId="77777777" w:rsidR="00394471" w:rsidRPr="00FA0D37" w:rsidRDefault="00394471" w:rsidP="00FA0D37">
      <w:pPr>
        <w:pStyle w:val="PL"/>
      </w:pPr>
      <w:r w:rsidRPr="00FA0D37">
        <w:t xml:space="preserve">    pdcch-MonitoringAnyOccasionsWithSpanGap </w:t>
      </w:r>
      <w:r w:rsidRPr="00FA0D37">
        <w:rPr>
          <w:color w:val="993366"/>
        </w:rPr>
        <w:t>SEQUENCE</w:t>
      </w:r>
      <w:r w:rsidRPr="00FA0D37">
        <w:t xml:space="preserve"> {</w:t>
      </w:r>
    </w:p>
    <w:p w14:paraId="743A1E8F" w14:textId="77777777" w:rsidR="00394471" w:rsidRPr="00FA0D37" w:rsidRDefault="00394471" w:rsidP="00FA0D37">
      <w:pPr>
        <w:pStyle w:val="PL"/>
      </w:pPr>
      <w:r w:rsidRPr="00FA0D37">
        <w:t xml:space="preserve">        scs-15kHz                               </w:t>
      </w:r>
      <w:r w:rsidRPr="00FA0D37">
        <w:rPr>
          <w:color w:val="993366"/>
        </w:rPr>
        <w:t>ENUMERATED</w:t>
      </w:r>
      <w:r w:rsidRPr="00FA0D37">
        <w:t xml:space="preserve"> {set1, set2, set3}                </w:t>
      </w:r>
      <w:r w:rsidRPr="00FA0D37">
        <w:rPr>
          <w:color w:val="993366"/>
        </w:rPr>
        <w:t>OPTIONAL</w:t>
      </w:r>
      <w:r w:rsidRPr="00FA0D37">
        <w:t>,</w:t>
      </w:r>
    </w:p>
    <w:p w14:paraId="74B34756" w14:textId="77777777" w:rsidR="00394471" w:rsidRPr="00FA0D37" w:rsidRDefault="00394471" w:rsidP="00FA0D37">
      <w:pPr>
        <w:pStyle w:val="PL"/>
      </w:pPr>
      <w:r w:rsidRPr="00FA0D37">
        <w:t xml:space="preserve">        scs-30kHz                               </w:t>
      </w:r>
      <w:r w:rsidRPr="00FA0D37">
        <w:rPr>
          <w:color w:val="993366"/>
        </w:rPr>
        <w:t>ENUMERATED</w:t>
      </w:r>
      <w:r w:rsidRPr="00FA0D37">
        <w:t xml:space="preserve"> {set1, set2, set3}                </w:t>
      </w:r>
      <w:r w:rsidRPr="00FA0D37">
        <w:rPr>
          <w:color w:val="993366"/>
        </w:rPr>
        <w:t>OPTIONAL</w:t>
      </w:r>
      <w:r w:rsidRPr="00FA0D37">
        <w:t>,</w:t>
      </w:r>
    </w:p>
    <w:p w14:paraId="1CC4A3F5" w14:textId="77777777" w:rsidR="00394471" w:rsidRPr="00FA0D37" w:rsidRDefault="00394471" w:rsidP="00FA0D37">
      <w:pPr>
        <w:pStyle w:val="PL"/>
      </w:pPr>
      <w:r w:rsidRPr="00FA0D37">
        <w:t xml:space="preserve">        scs-60kHz                               </w:t>
      </w:r>
      <w:r w:rsidRPr="00FA0D37">
        <w:rPr>
          <w:color w:val="993366"/>
        </w:rPr>
        <w:t>ENUMERATED</w:t>
      </w:r>
      <w:r w:rsidRPr="00FA0D37">
        <w:t xml:space="preserve"> {set1, set2, set3}                </w:t>
      </w:r>
      <w:r w:rsidRPr="00FA0D37">
        <w:rPr>
          <w:color w:val="993366"/>
        </w:rPr>
        <w:t>OPTIONAL</w:t>
      </w:r>
      <w:r w:rsidRPr="00FA0D37">
        <w:t>,</w:t>
      </w:r>
    </w:p>
    <w:p w14:paraId="3ED2AF44" w14:textId="77777777" w:rsidR="00394471" w:rsidRPr="00FA0D37" w:rsidRDefault="00394471" w:rsidP="00FA0D37">
      <w:pPr>
        <w:pStyle w:val="PL"/>
      </w:pPr>
      <w:r w:rsidRPr="00FA0D37">
        <w:t xml:space="preserve">        scs-120kHz                              </w:t>
      </w:r>
      <w:r w:rsidRPr="00FA0D37">
        <w:rPr>
          <w:color w:val="993366"/>
        </w:rPr>
        <w:t>ENUMERATED</w:t>
      </w:r>
      <w:r w:rsidRPr="00FA0D37">
        <w:t xml:space="preserve"> {set1, set2, set3}                </w:t>
      </w:r>
      <w:r w:rsidRPr="00FA0D37">
        <w:rPr>
          <w:color w:val="993366"/>
        </w:rPr>
        <w:t>OPTIONAL</w:t>
      </w:r>
    </w:p>
    <w:p w14:paraId="339AA590" w14:textId="77777777" w:rsidR="00394471" w:rsidRPr="00FA0D37" w:rsidRDefault="00394471" w:rsidP="00FA0D37">
      <w:pPr>
        <w:pStyle w:val="PL"/>
      </w:pPr>
      <w:r w:rsidRPr="00FA0D37">
        <w:t xml:space="preserve">    }                                                                                    </w:t>
      </w:r>
      <w:r w:rsidRPr="00FA0D37">
        <w:rPr>
          <w:color w:val="993366"/>
        </w:rPr>
        <w:t>OPTIONAL</w:t>
      </w:r>
      <w:r w:rsidRPr="00FA0D37">
        <w:t>,</w:t>
      </w:r>
    </w:p>
    <w:p w14:paraId="4ECE4154" w14:textId="77777777" w:rsidR="00394471" w:rsidRPr="00FA0D37" w:rsidRDefault="00394471" w:rsidP="00FA0D37">
      <w:pPr>
        <w:pStyle w:val="PL"/>
      </w:pPr>
      <w:r w:rsidRPr="00FA0D37">
        <w:t xml:space="preserve">    pdsch-SeparationWithGap                 </w:t>
      </w:r>
      <w:r w:rsidRPr="00FA0D37">
        <w:rPr>
          <w:color w:val="993366"/>
        </w:rPr>
        <w:t>ENUMERATED</w:t>
      </w:r>
      <w:r w:rsidRPr="00FA0D37">
        <w:t xml:space="preserve"> {supported}                       </w:t>
      </w:r>
      <w:r w:rsidRPr="00FA0D37">
        <w:rPr>
          <w:color w:val="993366"/>
        </w:rPr>
        <w:t>OPTIONAL</w:t>
      </w:r>
      <w:r w:rsidRPr="00FA0D37">
        <w:t>,</w:t>
      </w:r>
    </w:p>
    <w:p w14:paraId="59AD204F" w14:textId="77777777" w:rsidR="00394471" w:rsidRPr="00FA0D37" w:rsidRDefault="00394471" w:rsidP="00FA0D37">
      <w:pPr>
        <w:pStyle w:val="PL"/>
      </w:pPr>
      <w:r w:rsidRPr="00FA0D37">
        <w:t xml:space="preserve">    pdsch-ProcessingType2                   </w:t>
      </w:r>
      <w:r w:rsidRPr="00FA0D37">
        <w:rPr>
          <w:color w:val="993366"/>
        </w:rPr>
        <w:t>SEQUENCE</w:t>
      </w:r>
      <w:r w:rsidRPr="00FA0D37">
        <w:t xml:space="preserve"> {</w:t>
      </w:r>
    </w:p>
    <w:p w14:paraId="61BD6D02" w14:textId="77777777" w:rsidR="00394471" w:rsidRPr="00FA0D37" w:rsidRDefault="00394471" w:rsidP="00FA0D37">
      <w:pPr>
        <w:pStyle w:val="PL"/>
      </w:pPr>
      <w:r w:rsidRPr="00FA0D37">
        <w:t xml:space="preserve">        scs-15kHz                               ProcessingParameters                         </w:t>
      </w:r>
      <w:r w:rsidRPr="00FA0D37">
        <w:rPr>
          <w:color w:val="993366"/>
        </w:rPr>
        <w:t>OPTIONAL</w:t>
      </w:r>
      <w:r w:rsidRPr="00FA0D37">
        <w:t>,</w:t>
      </w:r>
    </w:p>
    <w:p w14:paraId="3B0BDEA9" w14:textId="77777777" w:rsidR="00394471" w:rsidRPr="00FA0D37" w:rsidRDefault="00394471" w:rsidP="00FA0D37">
      <w:pPr>
        <w:pStyle w:val="PL"/>
      </w:pPr>
      <w:r w:rsidRPr="00FA0D37">
        <w:t xml:space="preserve">        scs-30kHz                               ProcessingParameters                         </w:t>
      </w:r>
      <w:r w:rsidRPr="00FA0D37">
        <w:rPr>
          <w:color w:val="993366"/>
        </w:rPr>
        <w:t>OPTIONAL</w:t>
      </w:r>
      <w:r w:rsidRPr="00FA0D37">
        <w:t>,</w:t>
      </w:r>
    </w:p>
    <w:p w14:paraId="5169D9AD" w14:textId="77777777" w:rsidR="00394471" w:rsidRPr="00FA0D37" w:rsidRDefault="00394471" w:rsidP="00FA0D37">
      <w:pPr>
        <w:pStyle w:val="PL"/>
      </w:pPr>
      <w:r w:rsidRPr="00FA0D37">
        <w:t xml:space="preserve">        scs-60kHz                               ProcessingParameters                         </w:t>
      </w:r>
      <w:r w:rsidRPr="00FA0D37">
        <w:rPr>
          <w:color w:val="993366"/>
        </w:rPr>
        <w:t>OPTIONAL</w:t>
      </w:r>
    </w:p>
    <w:p w14:paraId="64D0AB58" w14:textId="77777777" w:rsidR="00394471" w:rsidRPr="00FA0D37" w:rsidRDefault="00394471" w:rsidP="00FA0D37">
      <w:pPr>
        <w:pStyle w:val="PL"/>
      </w:pPr>
      <w:r w:rsidRPr="00FA0D37">
        <w:t xml:space="preserve">    } </w:t>
      </w:r>
      <w:r w:rsidRPr="00FA0D37">
        <w:rPr>
          <w:color w:val="993366"/>
        </w:rPr>
        <w:t>OPTIONAL</w:t>
      </w:r>
      <w:r w:rsidRPr="00FA0D37">
        <w:t>,</w:t>
      </w:r>
    </w:p>
    <w:p w14:paraId="344A4595" w14:textId="77777777" w:rsidR="00394471" w:rsidRPr="00FA0D37" w:rsidRDefault="00394471" w:rsidP="00FA0D37">
      <w:pPr>
        <w:pStyle w:val="PL"/>
      </w:pPr>
      <w:r w:rsidRPr="00FA0D37">
        <w:t xml:space="preserve">    pdsch-ProcessingType2-Limited           </w:t>
      </w:r>
      <w:r w:rsidRPr="00FA0D37">
        <w:rPr>
          <w:color w:val="993366"/>
        </w:rPr>
        <w:t>SEQUENCE</w:t>
      </w:r>
      <w:r w:rsidRPr="00FA0D37">
        <w:t xml:space="preserve"> {</w:t>
      </w:r>
    </w:p>
    <w:p w14:paraId="205C2D36" w14:textId="77777777" w:rsidR="00394471" w:rsidRPr="00FA0D37" w:rsidRDefault="00394471" w:rsidP="00FA0D37">
      <w:pPr>
        <w:pStyle w:val="PL"/>
      </w:pPr>
      <w:r w:rsidRPr="00FA0D37">
        <w:t xml:space="preserve">        differentTB-PerSlot-SCS-30kHz           </w:t>
      </w:r>
      <w:r w:rsidRPr="00FA0D37">
        <w:rPr>
          <w:color w:val="993366"/>
        </w:rPr>
        <w:t>ENUMERATED</w:t>
      </w:r>
      <w:r w:rsidRPr="00FA0D37">
        <w:t xml:space="preserve"> {upto1, upto2, upto4, upto7}</w:t>
      </w:r>
    </w:p>
    <w:p w14:paraId="0B3F406B" w14:textId="77777777" w:rsidR="00394471" w:rsidRPr="00FA0D37" w:rsidRDefault="00394471" w:rsidP="00FA0D37">
      <w:pPr>
        <w:pStyle w:val="PL"/>
      </w:pPr>
      <w:r w:rsidRPr="00FA0D37">
        <w:t xml:space="preserve">    } </w:t>
      </w:r>
      <w:r w:rsidRPr="00FA0D37">
        <w:rPr>
          <w:color w:val="993366"/>
        </w:rPr>
        <w:t>OPTIONAL</w:t>
      </w:r>
      <w:r w:rsidRPr="00FA0D37">
        <w:t>,</w:t>
      </w:r>
    </w:p>
    <w:p w14:paraId="14970D82" w14:textId="77777777" w:rsidR="00394471" w:rsidRPr="00FA0D37" w:rsidRDefault="00394471" w:rsidP="00FA0D37">
      <w:pPr>
        <w:pStyle w:val="PL"/>
      </w:pPr>
      <w:r w:rsidRPr="00FA0D37">
        <w:t xml:space="preserve">    dl-MCS-TableAlt-DynamicIndication       </w:t>
      </w:r>
      <w:r w:rsidRPr="00FA0D37">
        <w:rPr>
          <w:color w:val="993366"/>
        </w:rPr>
        <w:t>ENUMERATED</w:t>
      </w:r>
      <w:r w:rsidRPr="00FA0D37">
        <w:t xml:space="preserve"> {supported}                       </w:t>
      </w:r>
      <w:r w:rsidRPr="00FA0D37">
        <w:rPr>
          <w:color w:val="993366"/>
        </w:rPr>
        <w:t>OPTIONAL</w:t>
      </w:r>
    </w:p>
    <w:p w14:paraId="01EDF664" w14:textId="77777777" w:rsidR="00394471" w:rsidRPr="00FA0D37" w:rsidRDefault="00394471" w:rsidP="00FA0D37">
      <w:pPr>
        <w:pStyle w:val="PL"/>
      </w:pPr>
      <w:r w:rsidRPr="00FA0D37">
        <w:t>}</w:t>
      </w:r>
    </w:p>
    <w:p w14:paraId="21121CB8" w14:textId="77777777" w:rsidR="00394471" w:rsidRPr="00FA0D37" w:rsidRDefault="00394471" w:rsidP="00FA0D37">
      <w:pPr>
        <w:pStyle w:val="PL"/>
      </w:pPr>
    </w:p>
    <w:p w14:paraId="4EE46FC6" w14:textId="77777777" w:rsidR="00394471" w:rsidRPr="00FA0D37" w:rsidRDefault="00394471" w:rsidP="00FA0D37">
      <w:pPr>
        <w:pStyle w:val="PL"/>
      </w:pPr>
      <w:r w:rsidRPr="00FA0D37">
        <w:t xml:space="preserve">FeatureSetDownlink-v15a0 ::= </w:t>
      </w:r>
      <w:r w:rsidRPr="00FA0D37">
        <w:rPr>
          <w:color w:val="993366"/>
        </w:rPr>
        <w:t>SEQUENCE</w:t>
      </w:r>
      <w:r w:rsidRPr="00FA0D37">
        <w:t xml:space="preserve"> {</w:t>
      </w:r>
    </w:p>
    <w:p w14:paraId="2CA0E0DD" w14:textId="77777777" w:rsidR="00394471" w:rsidRPr="00FA0D37" w:rsidRDefault="00394471" w:rsidP="00FA0D37">
      <w:pPr>
        <w:pStyle w:val="PL"/>
      </w:pPr>
      <w:r w:rsidRPr="00FA0D37">
        <w:t xml:space="preserve">    supportedSRS-Resources              SRS-Resources                                    </w:t>
      </w:r>
      <w:r w:rsidRPr="00FA0D37">
        <w:rPr>
          <w:color w:val="993366"/>
        </w:rPr>
        <w:t>OPTIONAL</w:t>
      </w:r>
    </w:p>
    <w:p w14:paraId="32DF4146" w14:textId="77777777" w:rsidR="00394471" w:rsidRPr="00FA0D37" w:rsidRDefault="00394471" w:rsidP="00FA0D37">
      <w:pPr>
        <w:pStyle w:val="PL"/>
      </w:pPr>
      <w:r w:rsidRPr="00FA0D37">
        <w:t>}</w:t>
      </w:r>
    </w:p>
    <w:p w14:paraId="39D7DCBE" w14:textId="77777777" w:rsidR="00394471" w:rsidRPr="00FA0D37" w:rsidRDefault="00394471" w:rsidP="00FA0D37">
      <w:pPr>
        <w:pStyle w:val="PL"/>
      </w:pPr>
    </w:p>
    <w:p w14:paraId="293C3559" w14:textId="77777777" w:rsidR="00394471" w:rsidRPr="00FA0D37" w:rsidRDefault="00394471" w:rsidP="00FA0D37">
      <w:pPr>
        <w:pStyle w:val="PL"/>
      </w:pPr>
      <w:r w:rsidRPr="00FA0D37">
        <w:t xml:space="preserve">FeatureSetDownlink-v1610 ::=   </w:t>
      </w:r>
      <w:r w:rsidRPr="00FA0D37">
        <w:rPr>
          <w:color w:val="993366"/>
        </w:rPr>
        <w:t>SEQUENCE</w:t>
      </w:r>
      <w:r w:rsidRPr="00FA0D37">
        <w:t xml:space="preserve"> {</w:t>
      </w:r>
    </w:p>
    <w:p w14:paraId="05D76663" w14:textId="77777777" w:rsidR="00394471" w:rsidRPr="00FA0D37" w:rsidRDefault="00394471" w:rsidP="00FA0D37">
      <w:pPr>
        <w:pStyle w:val="PL"/>
        <w:rPr>
          <w:rFonts w:eastAsia="Malgun Gothic"/>
          <w:color w:val="808080"/>
        </w:rPr>
      </w:pPr>
      <w:r w:rsidRPr="00FA0D37">
        <w:t xml:space="preserve">    </w:t>
      </w:r>
      <w:r w:rsidRPr="00FA0D37">
        <w:rPr>
          <w:rFonts w:eastAsia="Malgun Gothic"/>
          <w:color w:val="808080"/>
        </w:rPr>
        <w:t>-- R1 22-4e/4f/4g/4h: CBG based reception for DL with unicast PDSCH(s) per slot per CC with UE processing time Capability 1</w:t>
      </w:r>
    </w:p>
    <w:p w14:paraId="337F8948" w14:textId="45FFC1DE" w:rsidR="00394471" w:rsidRPr="00FA0D37" w:rsidRDefault="00394471" w:rsidP="00FA0D37">
      <w:pPr>
        <w:pStyle w:val="PL"/>
        <w:rPr>
          <w:rFonts w:eastAsia="Malgun Gothic"/>
        </w:rPr>
      </w:pPr>
      <w:r w:rsidRPr="00FA0D37">
        <w:t xml:space="preserve">    </w:t>
      </w:r>
      <w:r w:rsidRPr="00FA0D37">
        <w:rPr>
          <w:rFonts w:eastAsia="Malgun Gothic"/>
        </w:rPr>
        <w:t>cbgPDSCH-ProcessingType1-</w:t>
      </w:r>
      <w:r w:rsidR="000514F7" w:rsidRPr="00FA0D37">
        <w:rPr>
          <w:rFonts w:eastAsia="Malgun Gothic"/>
        </w:rPr>
        <w:t>DifferentTB</w:t>
      </w:r>
      <w:r w:rsidRPr="00FA0D37">
        <w:rPr>
          <w:rFonts w:eastAsia="Malgun Gothic"/>
        </w:rPr>
        <w:t>-PerSlot</w:t>
      </w:r>
      <w:r w:rsidR="00D027C1" w:rsidRPr="00FA0D37">
        <w:rPr>
          <w:rFonts w:eastAsia="Malgun Gothic"/>
        </w:rPr>
        <w:t>-r16</w:t>
      </w:r>
      <w:r w:rsidRPr="00FA0D37">
        <w:t xml:space="preserve">   </w:t>
      </w:r>
      <w:r w:rsidRPr="00FA0D37">
        <w:rPr>
          <w:rFonts w:eastAsia="Malgun Gothic"/>
          <w:color w:val="993366"/>
        </w:rPr>
        <w:t>SEQUENCE</w:t>
      </w:r>
      <w:r w:rsidRPr="00FA0D37">
        <w:rPr>
          <w:rFonts w:eastAsia="Malgun Gothic"/>
        </w:rPr>
        <w:t xml:space="preserve"> {</w:t>
      </w:r>
    </w:p>
    <w:p w14:paraId="3EC2542A" w14:textId="460AF74B" w:rsidR="00394471" w:rsidRPr="00FA0D37" w:rsidRDefault="00394471" w:rsidP="00FA0D37">
      <w:pPr>
        <w:pStyle w:val="PL"/>
        <w:rPr>
          <w:rFonts w:eastAsia="Malgun Gothic"/>
        </w:rPr>
      </w:pPr>
      <w:r w:rsidRPr="00FA0D37">
        <w:t xml:space="preserve">        </w:t>
      </w:r>
      <w:r w:rsidRPr="00FA0D37">
        <w:rPr>
          <w:rFonts w:eastAsia="Malgun Gothic"/>
        </w:rPr>
        <w:t>scs-15kHz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 upto2, upto4, upto7} </w:t>
      </w:r>
      <w:r w:rsidRPr="00FA0D37">
        <w:rPr>
          <w:rFonts w:eastAsia="Malgun Gothic"/>
          <w:color w:val="993366"/>
        </w:rPr>
        <w:t>OPTIONAL</w:t>
      </w:r>
      <w:r w:rsidRPr="00FA0D37">
        <w:rPr>
          <w:rFonts w:eastAsia="Malgun Gothic"/>
        </w:rPr>
        <w:t>,</w:t>
      </w:r>
    </w:p>
    <w:p w14:paraId="4023B443" w14:textId="533D143E" w:rsidR="00394471" w:rsidRPr="00FA0D37" w:rsidRDefault="00394471" w:rsidP="00FA0D37">
      <w:pPr>
        <w:pStyle w:val="PL"/>
        <w:rPr>
          <w:rFonts w:eastAsia="Malgun Gothic"/>
        </w:rPr>
      </w:pPr>
      <w:r w:rsidRPr="00FA0D37">
        <w:t xml:space="preserve">        </w:t>
      </w:r>
      <w:r w:rsidRPr="00FA0D37">
        <w:rPr>
          <w:rFonts w:eastAsia="Malgun Gothic"/>
        </w:rPr>
        <w:t>scs-30kHz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 upto2, upto4, upto7} </w:t>
      </w:r>
      <w:r w:rsidRPr="00FA0D37">
        <w:rPr>
          <w:rFonts w:eastAsia="Malgun Gothic"/>
          <w:color w:val="993366"/>
        </w:rPr>
        <w:t>OPTIONAL</w:t>
      </w:r>
      <w:r w:rsidRPr="00FA0D37">
        <w:rPr>
          <w:rFonts w:eastAsia="Malgun Gothic"/>
        </w:rPr>
        <w:t>,</w:t>
      </w:r>
    </w:p>
    <w:p w14:paraId="34C7427C" w14:textId="42E5B852" w:rsidR="00394471" w:rsidRPr="00FA0D37" w:rsidRDefault="00394471" w:rsidP="00FA0D37">
      <w:pPr>
        <w:pStyle w:val="PL"/>
        <w:rPr>
          <w:rFonts w:eastAsia="Malgun Gothic"/>
        </w:rPr>
      </w:pPr>
      <w:r w:rsidRPr="00FA0D37">
        <w:t xml:space="preserve">        </w:t>
      </w:r>
      <w:r w:rsidRPr="00FA0D37">
        <w:rPr>
          <w:rFonts w:eastAsia="Malgun Gothic"/>
        </w:rPr>
        <w:t>scs-60kHz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 upto2, upto4, upto7} </w:t>
      </w:r>
      <w:r w:rsidRPr="00FA0D37">
        <w:rPr>
          <w:rFonts w:eastAsia="Malgun Gothic"/>
          <w:color w:val="993366"/>
        </w:rPr>
        <w:t>OPTIONAL</w:t>
      </w:r>
      <w:r w:rsidRPr="00FA0D37">
        <w:rPr>
          <w:rFonts w:eastAsia="Malgun Gothic"/>
        </w:rPr>
        <w:t>,</w:t>
      </w:r>
    </w:p>
    <w:p w14:paraId="5B4E6836" w14:textId="32ECED59" w:rsidR="00394471" w:rsidRPr="00FA0D37" w:rsidRDefault="00394471" w:rsidP="00FA0D37">
      <w:pPr>
        <w:pStyle w:val="PL"/>
        <w:rPr>
          <w:rFonts w:eastAsia="Malgun Gothic"/>
        </w:rPr>
      </w:pPr>
      <w:r w:rsidRPr="00FA0D37">
        <w:t xml:space="preserve">        </w:t>
      </w:r>
      <w:r w:rsidRPr="00FA0D37">
        <w:rPr>
          <w:rFonts w:eastAsia="Malgun Gothic"/>
        </w:rPr>
        <w:t>scs-120kHz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 upto2, upto4, upto7} </w:t>
      </w:r>
      <w:r w:rsidRPr="00FA0D37">
        <w:rPr>
          <w:rFonts w:eastAsia="Malgun Gothic"/>
          <w:color w:val="993366"/>
        </w:rPr>
        <w:t>OPTIONAL</w:t>
      </w:r>
    </w:p>
    <w:p w14:paraId="6A00BF4C" w14:textId="77777777" w:rsidR="00394471" w:rsidRPr="00FA0D37" w:rsidRDefault="00394471" w:rsidP="00FA0D37">
      <w:pPr>
        <w:pStyle w:val="PL"/>
      </w:pPr>
      <w:r w:rsidRPr="00FA0D37">
        <w:t xml:space="preserve">    </w:t>
      </w:r>
      <w:r w:rsidRPr="00FA0D37">
        <w:rPr>
          <w:rFonts w:eastAsia="Malgun Gothic"/>
        </w:rPr>
        <w:t xml:space="preserve">} </w:t>
      </w:r>
      <w:r w:rsidRPr="00FA0D37">
        <w:rPr>
          <w:rFonts w:eastAsia="Malgun Gothic"/>
          <w:color w:val="993366"/>
        </w:rPr>
        <w:t>OPTIONAL</w:t>
      </w:r>
      <w:r w:rsidRPr="00FA0D37">
        <w:rPr>
          <w:rFonts w:eastAsia="Malgun Gothic"/>
        </w:rPr>
        <w:t>,</w:t>
      </w:r>
    </w:p>
    <w:p w14:paraId="39B7C517" w14:textId="77777777" w:rsidR="00394471" w:rsidRPr="00FA0D37" w:rsidRDefault="00394471" w:rsidP="00FA0D37">
      <w:pPr>
        <w:pStyle w:val="PL"/>
      </w:pPr>
    </w:p>
    <w:p w14:paraId="5A10CE35" w14:textId="77777777" w:rsidR="00394471" w:rsidRPr="00FA0D37" w:rsidRDefault="00394471" w:rsidP="00FA0D37">
      <w:pPr>
        <w:pStyle w:val="PL"/>
        <w:rPr>
          <w:rFonts w:eastAsia="Malgun Gothic"/>
          <w:color w:val="808080"/>
        </w:rPr>
      </w:pPr>
      <w:r w:rsidRPr="00FA0D37">
        <w:t xml:space="preserve">    </w:t>
      </w:r>
      <w:r w:rsidRPr="00FA0D37">
        <w:rPr>
          <w:rFonts w:eastAsia="Malgun Gothic"/>
          <w:color w:val="808080"/>
        </w:rPr>
        <w:t>-- R1 22-3e/3f/3g/3h: CBG based reception for DL with unicast PDSCH(s) per slot per CC with UE processing time Capability 2</w:t>
      </w:r>
    </w:p>
    <w:p w14:paraId="51C3B2B3" w14:textId="1B8E65D7" w:rsidR="00394471" w:rsidRPr="00FA0D37" w:rsidRDefault="00394471" w:rsidP="00FA0D37">
      <w:pPr>
        <w:pStyle w:val="PL"/>
        <w:rPr>
          <w:rFonts w:eastAsia="Malgun Gothic"/>
        </w:rPr>
      </w:pPr>
      <w:r w:rsidRPr="00FA0D37">
        <w:t xml:space="preserve">    </w:t>
      </w:r>
      <w:r w:rsidRPr="00FA0D37">
        <w:rPr>
          <w:rFonts w:eastAsia="Malgun Gothic"/>
        </w:rPr>
        <w:t>cbgPDSCH-ProcessingType2-</w:t>
      </w:r>
      <w:r w:rsidR="000514F7" w:rsidRPr="00FA0D37">
        <w:rPr>
          <w:rFonts w:eastAsia="Malgun Gothic"/>
        </w:rPr>
        <w:t>DifferentTB</w:t>
      </w:r>
      <w:r w:rsidRPr="00FA0D37">
        <w:rPr>
          <w:rFonts w:eastAsia="Malgun Gothic"/>
        </w:rPr>
        <w:t>-PerSlot</w:t>
      </w:r>
      <w:r w:rsidR="00D027C1" w:rsidRPr="00FA0D37">
        <w:rPr>
          <w:rFonts w:eastAsia="Malgun Gothic"/>
        </w:rPr>
        <w:t>-r16</w:t>
      </w:r>
      <w:r w:rsidRPr="00FA0D37">
        <w:t xml:space="preserve">   </w:t>
      </w:r>
      <w:r w:rsidRPr="00FA0D37">
        <w:rPr>
          <w:rFonts w:eastAsia="Malgun Gothic"/>
          <w:color w:val="993366"/>
        </w:rPr>
        <w:t>SEQUENCE</w:t>
      </w:r>
      <w:r w:rsidRPr="00FA0D37">
        <w:rPr>
          <w:rFonts w:eastAsia="Malgun Gothic"/>
        </w:rPr>
        <w:t xml:space="preserve"> {</w:t>
      </w:r>
    </w:p>
    <w:p w14:paraId="5BAB68FF" w14:textId="198D9A90" w:rsidR="00394471" w:rsidRPr="00FA0D37" w:rsidRDefault="00394471" w:rsidP="00FA0D37">
      <w:pPr>
        <w:pStyle w:val="PL"/>
        <w:rPr>
          <w:rFonts w:eastAsia="Malgun Gothic"/>
        </w:rPr>
      </w:pPr>
      <w:r w:rsidRPr="00FA0D37">
        <w:t xml:space="preserve">        </w:t>
      </w:r>
      <w:r w:rsidRPr="00FA0D37">
        <w:rPr>
          <w:rFonts w:eastAsia="Malgun Gothic"/>
        </w:rPr>
        <w:t>scs-15kHz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 upto2, upto4, upto7} </w:t>
      </w:r>
      <w:r w:rsidRPr="00FA0D37">
        <w:rPr>
          <w:rFonts w:eastAsia="Malgun Gothic"/>
          <w:color w:val="993366"/>
        </w:rPr>
        <w:t>OPTIONAL</w:t>
      </w:r>
      <w:r w:rsidRPr="00FA0D37">
        <w:rPr>
          <w:rFonts w:eastAsia="Malgun Gothic"/>
        </w:rPr>
        <w:t>,</w:t>
      </w:r>
    </w:p>
    <w:p w14:paraId="59E7F506" w14:textId="439B9D9D" w:rsidR="00394471" w:rsidRPr="00FA0D37" w:rsidRDefault="00394471" w:rsidP="00FA0D37">
      <w:pPr>
        <w:pStyle w:val="PL"/>
        <w:rPr>
          <w:rFonts w:eastAsia="Malgun Gothic"/>
        </w:rPr>
      </w:pPr>
      <w:r w:rsidRPr="00FA0D37">
        <w:t xml:space="preserve">        </w:t>
      </w:r>
      <w:r w:rsidRPr="00FA0D37">
        <w:rPr>
          <w:rFonts w:eastAsia="Malgun Gothic"/>
        </w:rPr>
        <w:t>scs-30kHz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 upto2, upto4, upto7} </w:t>
      </w:r>
      <w:r w:rsidRPr="00FA0D37">
        <w:rPr>
          <w:rFonts w:eastAsia="Malgun Gothic"/>
          <w:color w:val="993366"/>
        </w:rPr>
        <w:t>OPTIONAL</w:t>
      </w:r>
      <w:r w:rsidRPr="00FA0D37">
        <w:rPr>
          <w:rFonts w:eastAsia="Malgun Gothic"/>
        </w:rPr>
        <w:t>,</w:t>
      </w:r>
    </w:p>
    <w:p w14:paraId="32AFC0B8" w14:textId="014A846A" w:rsidR="00394471" w:rsidRPr="00FA0D37" w:rsidRDefault="00394471" w:rsidP="00FA0D37">
      <w:pPr>
        <w:pStyle w:val="PL"/>
        <w:rPr>
          <w:rFonts w:eastAsia="Malgun Gothic"/>
        </w:rPr>
      </w:pPr>
      <w:r w:rsidRPr="00FA0D37">
        <w:lastRenderedPageBreak/>
        <w:t xml:space="preserve">        </w:t>
      </w:r>
      <w:r w:rsidRPr="00FA0D37">
        <w:rPr>
          <w:rFonts w:eastAsia="Malgun Gothic"/>
        </w:rPr>
        <w:t>scs-60kHz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 upto2, upto4, upto7} </w:t>
      </w:r>
      <w:r w:rsidRPr="00FA0D37">
        <w:rPr>
          <w:rFonts w:eastAsia="Malgun Gothic"/>
          <w:color w:val="993366"/>
        </w:rPr>
        <w:t>OPTIONAL</w:t>
      </w:r>
      <w:r w:rsidRPr="00FA0D37">
        <w:rPr>
          <w:rFonts w:eastAsia="Malgun Gothic"/>
        </w:rPr>
        <w:t>,</w:t>
      </w:r>
    </w:p>
    <w:p w14:paraId="1B812F02" w14:textId="7732D15B" w:rsidR="00394471" w:rsidRPr="00FA0D37" w:rsidRDefault="00394471" w:rsidP="00FA0D37">
      <w:pPr>
        <w:pStyle w:val="PL"/>
        <w:rPr>
          <w:rFonts w:eastAsia="Malgun Gothic"/>
        </w:rPr>
      </w:pPr>
      <w:r w:rsidRPr="00FA0D37">
        <w:t xml:space="preserve">        </w:t>
      </w:r>
      <w:r w:rsidRPr="00FA0D37">
        <w:rPr>
          <w:rFonts w:eastAsia="Malgun Gothic"/>
        </w:rPr>
        <w:t>scs-120kHz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 upto2, upto4, upto7} </w:t>
      </w:r>
      <w:r w:rsidRPr="00FA0D37">
        <w:rPr>
          <w:rFonts w:eastAsia="Malgun Gothic"/>
          <w:color w:val="993366"/>
        </w:rPr>
        <w:t>OPTIONAL</w:t>
      </w:r>
    </w:p>
    <w:p w14:paraId="45F5233D" w14:textId="77777777" w:rsidR="00394471" w:rsidRPr="00FA0D37" w:rsidRDefault="00394471" w:rsidP="00FA0D37">
      <w:pPr>
        <w:pStyle w:val="PL"/>
      </w:pPr>
      <w:r w:rsidRPr="00FA0D37">
        <w:t xml:space="preserve">    </w:t>
      </w:r>
      <w:r w:rsidRPr="00FA0D37">
        <w:rPr>
          <w:rFonts w:eastAsia="Malgun Gothic"/>
        </w:rPr>
        <w:t xml:space="preserve">} </w:t>
      </w:r>
      <w:r w:rsidRPr="00FA0D37">
        <w:rPr>
          <w:rFonts w:eastAsia="Malgun Gothic"/>
          <w:color w:val="993366"/>
        </w:rPr>
        <w:t>OPTIONAL</w:t>
      </w:r>
      <w:r w:rsidRPr="00FA0D37">
        <w:rPr>
          <w:rFonts w:eastAsia="Malgun Gothic"/>
        </w:rPr>
        <w:t>,</w:t>
      </w:r>
    </w:p>
    <w:p w14:paraId="6855A7E2" w14:textId="77777777" w:rsidR="00394471" w:rsidRPr="00FA0D37" w:rsidRDefault="00394471" w:rsidP="00FA0D37">
      <w:pPr>
        <w:pStyle w:val="PL"/>
      </w:pPr>
      <w:r w:rsidRPr="00FA0D37">
        <w:t xml:space="preserve">    intraFreqDAPS-r16                  </w:t>
      </w:r>
      <w:r w:rsidRPr="00FA0D37">
        <w:rPr>
          <w:color w:val="993366"/>
        </w:rPr>
        <w:t>SEQUENCE</w:t>
      </w:r>
      <w:r w:rsidRPr="00FA0D37">
        <w:t xml:space="preserve"> {</w:t>
      </w:r>
    </w:p>
    <w:p w14:paraId="3916894E" w14:textId="77777777" w:rsidR="00394471" w:rsidRPr="00FA0D37" w:rsidRDefault="00394471" w:rsidP="00FA0D37">
      <w:pPr>
        <w:pStyle w:val="PL"/>
      </w:pPr>
      <w:r w:rsidRPr="00FA0D37">
        <w:t xml:space="preserve">        intraFreqDiffSCS-DAPS-r16          </w:t>
      </w:r>
      <w:r w:rsidRPr="00FA0D37">
        <w:rPr>
          <w:color w:val="993366"/>
        </w:rPr>
        <w:t>ENUMERATED</w:t>
      </w:r>
      <w:r w:rsidRPr="00FA0D37">
        <w:t xml:space="preserve"> {supported}            </w:t>
      </w:r>
      <w:r w:rsidRPr="00FA0D37">
        <w:rPr>
          <w:color w:val="993366"/>
        </w:rPr>
        <w:t>OPTIONAL</w:t>
      </w:r>
      <w:r w:rsidRPr="00FA0D37">
        <w:t>,</w:t>
      </w:r>
    </w:p>
    <w:p w14:paraId="309E4702" w14:textId="77777777" w:rsidR="00394471" w:rsidRPr="00FA0D37" w:rsidRDefault="00394471" w:rsidP="00FA0D37">
      <w:pPr>
        <w:pStyle w:val="PL"/>
      </w:pPr>
      <w:r w:rsidRPr="00FA0D37">
        <w:t xml:space="preserve">        intraFreqAsyncDAPS-r16             </w:t>
      </w:r>
      <w:r w:rsidRPr="00FA0D37">
        <w:rPr>
          <w:color w:val="993366"/>
        </w:rPr>
        <w:t>ENUMERATED</w:t>
      </w:r>
      <w:r w:rsidRPr="00FA0D37">
        <w:t xml:space="preserve"> {supported}            </w:t>
      </w:r>
      <w:r w:rsidRPr="00FA0D37">
        <w:rPr>
          <w:color w:val="993366"/>
        </w:rPr>
        <w:t>OPTIONAL</w:t>
      </w:r>
    </w:p>
    <w:p w14:paraId="4316F11E" w14:textId="77777777" w:rsidR="00394471" w:rsidRPr="00FA0D37" w:rsidRDefault="00394471" w:rsidP="00FA0D37">
      <w:pPr>
        <w:pStyle w:val="PL"/>
      </w:pPr>
      <w:r w:rsidRPr="00FA0D37">
        <w:t xml:space="preserve">    }                                                                        </w:t>
      </w:r>
      <w:r w:rsidRPr="00FA0D37">
        <w:rPr>
          <w:color w:val="993366"/>
        </w:rPr>
        <w:t>OPTIONAL</w:t>
      </w:r>
      <w:r w:rsidRPr="00FA0D37">
        <w:t>,</w:t>
      </w:r>
    </w:p>
    <w:p w14:paraId="622CDA1F" w14:textId="77777777" w:rsidR="00394471" w:rsidRPr="00FA0D37" w:rsidRDefault="00394471" w:rsidP="00FA0D37">
      <w:pPr>
        <w:pStyle w:val="PL"/>
      </w:pPr>
      <w:r w:rsidRPr="00FA0D37">
        <w:t xml:space="preserve">    intraBandFreqSeparationDL-v1620    FreqSeparationClassDL-v1620           </w:t>
      </w:r>
      <w:r w:rsidRPr="00FA0D37">
        <w:rPr>
          <w:color w:val="993366"/>
        </w:rPr>
        <w:t>OPTIONAL</w:t>
      </w:r>
      <w:r w:rsidRPr="00FA0D37">
        <w:t>,</w:t>
      </w:r>
    </w:p>
    <w:p w14:paraId="6DB8C960" w14:textId="77777777" w:rsidR="00394471" w:rsidRPr="00FA0D37" w:rsidRDefault="00394471" w:rsidP="00FA0D37">
      <w:pPr>
        <w:pStyle w:val="PL"/>
      </w:pPr>
      <w:r w:rsidRPr="00FA0D37">
        <w:t xml:space="preserve">    intraBandFreqSeparationDL-Only-r16 FreqSeparationClassDL-Only-r16        </w:t>
      </w:r>
      <w:r w:rsidRPr="00FA0D37">
        <w:rPr>
          <w:color w:val="993366"/>
        </w:rPr>
        <w:t>OPTIONAL</w:t>
      </w:r>
      <w:r w:rsidRPr="00FA0D37">
        <w:t>,</w:t>
      </w:r>
    </w:p>
    <w:p w14:paraId="65125A37" w14:textId="77777777" w:rsidR="00394471" w:rsidRPr="00FA0D37" w:rsidRDefault="00394471" w:rsidP="00FA0D37">
      <w:pPr>
        <w:pStyle w:val="PL"/>
      </w:pPr>
    </w:p>
    <w:p w14:paraId="0C1BD104" w14:textId="77777777" w:rsidR="00394471" w:rsidRPr="00FA0D37" w:rsidRDefault="00394471" w:rsidP="00FA0D37">
      <w:pPr>
        <w:pStyle w:val="PL"/>
        <w:rPr>
          <w:color w:val="808080"/>
        </w:rPr>
      </w:pPr>
      <w:r w:rsidRPr="00FA0D37">
        <w:t xml:space="preserve">    </w:t>
      </w:r>
      <w:r w:rsidRPr="00FA0D37">
        <w:rPr>
          <w:color w:val="808080"/>
        </w:rPr>
        <w:t>-- R1 11-2: Rel-16 PDCCH monitoring capability</w:t>
      </w:r>
    </w:p>
    <w:p w14:paraId="222E428C" w14:textId="77777777" w:rsidR="00394471" w:rsidRPr="00FA0D37" w:rsidRDefault="00394471" w:rsidP="00FA0D37">
      <w:pPr>
        <w:pStyle w:val="PL"/>
      </w:pPr>
      <w:r w:rsidRPr="00FA0D37">
        <w:t xml:space="preserve">    pdcch-Monitoring-r16               </w:t>
      </w:r>
      <w:r w:rsidRPr="00FA0D37">
        <w:rPr>
          <w:color w:val="993366"/>
        </w:rPr>
        <w:t>SEQUENCE</w:t>
      </w:r>
      <w:r w:rsidRPr="00FA0D37">
        <w:t xml:space="preserve"> {</w:t>
      </w:r>
    </w:p>
    <w:p w14:paraId="63BBC242" w14:textId="77777777" w:rsidR="00394471" w:rsidRPr="00FA0D37" w:rsidRDefault="00394471" w:rsidP="00FA0D37">
      <w:pPr>
        <w:pStyle w:val="PL"/>
      </w:pPr>
      <w:r w:rsidRPr="00FA0D37">
        <w:t xml:space="preserve">        pdsch-ProcessingType1-r16          </w:t>
      </w:r>
      <w:r w:rsidRPr="00FA0D37">
        <w:rPr>
          <w:color w:val="993366"/>
        </w:rPr>
        <w:t>SEQUENCE</w:t>
      </w:r>
      <w:r w:rsidRPr="00FA0D37">
        <w:t xml:space="preserve"> {</w:t>
      </w:r>
    </w:p>
    <w:p w14:paraId="3518502B" w14:textId="77777777" w:rsidR="00394471" w:rsidRPr="00FA0D37" w:rsidRDefault="00394471" w:rsidP="00FA0D37">
      <w:pPr>
        <w:pStyle w:val="PL"/>
      </w:pPr>
      <w:r w:rsidRPr="00FA0D37">
        <w:t xml:space="preserve">            scs-15kHz-r16                      PDCCH-MonitoringOccasions-r16 </w:t>
      </w:r>
      <w:r w:rsidRPr="00FA0D37">
        <w:rPr>
          <w:color w:val="993366"/>
        </w:rPr>
        <w:t>OPTIONAL</w:t>
      </w:r>
      <w:r w:rsidRPr="00FA0D37">
        <w:t>,</w:t>
      </w:r>
    </w:p>
    <w:p w14:paraId="00C85492" w14:textId="77777777" w:rsidR="00394471" w:rsidRPr="00FA0D37" w:rsidRDefault="00394471" w:rsidP="00FA0D37">
      <w:pPr>
        <w:pStyle w:val="PL"/>
      </w:pPr>
      <w:r w:rsidRPr="00FA0D37">
        <w:t xml:space="preserve">            scs-30kHz-r16                      PDCCH-MonitoringOccasions-r16 </w:t>
      </w:r>
      <w:r w:rsidRPr="00FA0D37">
        <w:rPr>
          <w:color w:val="993366"/>
        </w:rPr>
        <w:t>OPTIONAL</w:t>
      </w:r>
    </w:p>
    <w:p w14:paraId="20611B70" w14:textId="77777777" w:rsidR="00394471" w:rsidRPr="00FA0D37" w:rsidRDefault="00394471" w:rsidP="00FA0D37">
      <w:pPr>
        <w:pStyle w:val="PL"/>
      </w:pPr>
      <w:r w:rsidRPr="00FA0D37">
        <w:t xml:space="preserve">        }                                                                    </w:t>
      </w:r>
      <w:r w:rsidRPr="00FA0D37">
        <w:rPr>
          <w:color w:val="993366"/>
        </w:rPr>
        <w:t>OPTIONAL</w:t>
      </w:r>
      <w:r w:rsidRPr="00FA0D37">
        <w:t>,</w:t>
      </w:r>
    </w:p>
    <w:p w14:paraId="48666C95" w14:textId="77777777" w:rsidR="00394471" w:rsidRPr="00FA0D37" w:rsidRDefault="00394471" w:rsidP="00FA0D37">
      <w:pPr>
        <w:pStyle w:val="PL"/>
      </w:pPr>
      <w:r w:rsidRPr="00FA0D37">
        <w:t xml:space="preserve">        pdsch-ProcessingType2-r16      </w:t>
      </w:r>
      <w:r w:rsidRPr="00FA0D37">
        <w:rPr>
          <w:color w:val="993366"/>
        </w:rPr>
        <w:t>SEQUENCE</w:t>
      </w:r>
      <w:r w:rsidRPr="00FA0D37">
        <w:t xml:space="preserve"> {</w:t>
      </w:r>
    </w:p>
    <w:p w14:paraId="1C606DC1" w14:textId="77777777" w:rsidR="00394471" w:rsidRPr="00FA0D37" w:rsidRDefault="00394471" w:rsidP="00FA0D37">
      <w:pPr>
        <w:pStyle w:val="PL"/>
      </w:pPr>
      <w:r w:rsidRPr="00FA0D37">
        <w:t xml:space="preserve">            scs-15kHz-r16                  PDCCH-MonitoringOccasions-r16     </w:t>
      </w:r>
      <w:r w:rsidRPr="00FA0D37">
        <w:rPr>
          <w:color w:val="993366"/>
        </w:rPr>
        <w:t>OPTIONAL</w:t>
      </w:r>
      <w:r w:rsidRPr="00FA0D37">
        <w:t>,</w:t>
      </w:r>
    </w:p>
    <w:p w14:paraId="3A5F4A33" w14:textId="77777777" w:rsidR="00394471" w:rsidRPr="00FA0D37" w:rsidRDefault="00394471" w:rsidP="00FA0D37">
      <w:pPr>
        <w:pStyle w:val="PL"/>
      </w:pPr>
      <w:r w:rsidRPr="00FA0D37">
        <w:t xml:space="preserve">            scs-30kHz-r16                  PDCCH-MonitoringOccasions-r16     </w:t>
      </w:r>
      <w:r w:rsidRPr="00FA0D37">
        <w:rPr>
          <w:color w:val="993366"/>
        </w:rPr>
        <w:t>OPTIONAL</w:t>
      </w:r>
    </w:p>
    <w:p w14:paraId="74AE4C22" w14:textId="77777777" w:rsidR="00394471" w:rsidRPr="00FA0D37" w:rsidRDefault="00394471" w:rsidP="00FA0D37">
      <w:pPr>
        <w:pStyle w:val="PL"/>
      </w:pPr>
      <w:r w:rsidRPr="00FA0D37">
        <w:t xml:space="preserve">        }                                                                    </w:t>
      </w:r>
      <w:r w:rsidRPr="00FA0D37">
        <w:rPr>
          <w:color w:val="993366"/>
        </w:rPr>
        <w:t>OPTIONAL</w:t>
      </w:r>
    </w:p>
    <w:p w14:paraId="5DABAABD" w14:textId="77777777" w:rsidR="00394471" w:rsidRPr="00FA0D37" w:rsidRDefault="00394471" w:rsidP="00FA0D37">
      <w:pPr>
        <w:pStyle w:val="PL"/>
      </w:pPr>
      <w:r w:rsidRPr="00FA0D37">
        <w:t xml:space="preserve">    }                                                                        </w:t>
      </w:r>
      <w:r w:rsidRPr="00FA0D37">
        <w:rPr>
          <w:color w:val="993366"/>
        </w:rPr>
        <w:t>OPTIONAL</w:t>
      </w:r>
      <w:r w:rsidRPr="00FA0D37">
        <w:t>,</w:t>
      </w:r>
    </w:p>
    <w:p w14:paraId="1DC1EE34" w14:textId="77777777" w:rsidR="00394471" w:rsidRPr="00FA0D37" w:rsidRDefault="00394471" w:rsidP="00FA0D37">
      <w:pPr>
        <w:pStyle w:val="PL"/>
      </w:pPr>
    </w:p>
    <w:p w14:paraId="33DBF6B1" w14:textId="77777777" w:rsidR="00394471" w:rsidRPr="00FA0D37" w:rsidRDefault="00394471" w:rsidP="00FA0D37">
      <w:pPr>
        <w:pStyle w:val="PL"/>
        <w:rPr>
          <w:color w:val="808080"/>
        </w:rPr>
      </w:pPr>
      <w:r w:rsidRPr="00FA0D37">
        <w:t xml:space="preserve">    </w:t>
      </w:r>
      <w:r w:rsidRPr="00FA0D37">
        <w:rPr>
          <w:color w:val="808080"/>
        </w:rPr>
        <w:t>-- R1 11-2b: Mix of Rel. 16 PDCCH monitoring capability and Rel. 15 PDCCH monitoring capability on different carriers</w:t>
      </w:r>
    </w:p>
    <w:p w14:paraId="1893A7D0" w14:textId="77777777" w:rsidR="00394471" w:rsidRPr="00FA0D37" w:rsidRDefault="00394471" w:rsidP="00FA0D37">
      <w:pPr>
        <w:pStyle w:val="PL"/>
      </w:pPr>
      <w:r w:rsidRPr="00FA0D37">
        <w:t xml:space="preserve">    pdcch-MonitoringMixed-r16          </w:t>
      </w:r>
      <w:r w:rsidRPr="00FA0D37">
        <w:rPr>
          <w:color w:val="993366"/>
        </w:rPr>
        <w:t>ENUMERATED</w:t>
      </w:r>
      <w:r w:rsidRPr="00FA0D37">
        <w:t xml:space="preserve"> {supported}                </w:t>
      </w:r>
      <w:r w:rsidRPr="00FA0D37">
        <w:rPr>
          <w:color w:val="993366"/>
        </w:rPr>
        <w:t>OPTIONAL</w:t>
      </w:r>
      <w:r w:rsidRPr="00FA0D37">
        <w:t>,</w:t>
      </w:r>
    </w:p>
    <w:p w14:paraId="7399A349" w14:textId="77777777" w:rsidR="00394471" w:rsidRPr="00FA0D37" w:rsidRDefault="00394471" w:rsidP="00FA0D37">
      <w:pPr>
        <w:pStyle w:val="PL"/>
      </w:pPr>
    </w:p>
    <w:p w14:paraId="681A27B8" w14:textId="77777777" w:rsidR="00394471" w:rsidRPr="00FA0D37" w:rsidRDefault="00394471" w:rsidP="00FA0D37">
      <w:pPr>
        <w:pStyle w:val="PL"/>
        <w:rPr>
          <w:color w:val="808080"/>
        </w:rPr>
      </w:pPr>
      <w:r w:rsidRPr="00FA0D37">
        <w:t xml:space="preserve">    </w:t>
      </w:r>
      <w:r w:rsidRPr="00FA0D37">
        <w:rPr>
          <w:color w:val="808080"/>
        </w:rPr>
        <w:t>-- R1 18-5c: Processing up to X unicast DCI scheduling for DL per scheduled CC</w:t>
      </w:r>
    </w:p>
    <w:p w14:paraId="4E72B5F4" w14:textId="77777777" w:rsidR="00394471" w:rsidRPr="00FA0D37" w:rsidRDefault="00394471" w:rsidP="00FA0D37">
      <w:pPr>
        <w:pStyle w:val="PL"/>
      </w:pPr>
      <w:r w:rsidRPr="00FA0D37">
        <w:t xml:space="preserve">    crossCarrierSchedulingProcessing-DiffSCS-r16  </w:t>
      </w:r>
      <w:r w:rsidRPr="00FA0D37">
        <w:rPr>
          <w:color w:val="993366"/>
        </w:rPr>
        <w:t>SEQUENCE</w:t>
      </w:r>
      <w:r w:rsidRPr="00FA0D37">
        <w:t xml:space="preserve"> {</w:t>
      </w:r>
    </w:p>
    <w:p w14:paraId="21BB3200" w14:textId="77777777" w:rsidR="00394471" w:rsidRPr="00FA0D37" w:rsidRDefault="00394471" w:rsidP="00FA0D37">
      <w:pPr>
        <w:pStyle w:val="PL"/>
      </w:pPr>
      <w:r w:rsidRPr="00FA0D37">
        <w:t xml:space="preserve">        scs-15kHz-120kHz-r16               </w:t>
      </w:r>
      <w:r w:rsidRPr="00FA0D37">
        <w:rPr>
          <w:color w:val="993366"/>
        </w:rPr>
        <w:t>ENUMERATED</w:t>
      </w:r>
      <w:r w:rsidRPr="00FA0D37">
        <w:t xml:space="preserve"> {n1,n2,n4}             </w:t>
      </w:r>
      <w:r w:rsidRPr="00FA0D37">
        <w:rPr>
          <w:color w:val="993366"/>
        </w:rPr>
        <w:t>OPTIONAL</w:t>
      </w:r>
      <w:r w:rsidRPr="00FA0D37">
        <w:t>,</w:t>
      </w:r>
    </w:p>
    <w:p w14:paraId="2579F41B" w14:textId="77777777" w:rsidR="00394471" w:rsidRPr="00FA0D37" w:rsidRDefault="00394471" w:rsidP="00FA0D37">
      <w:pPr>
        <w:pStyle w:val="PL"/>
      </w:pPr>
      <w:r w:rsidRPr="00FA0D37">
        <w:t xml:space="preserve">        scs-15kHz-60kHz-r16                </w:t>
      </w:r>
      <w:r w:rsidRPr="00FA0D37">
        <w:rPr>
          <w:color w:val="993366"/>
        </w:rPr>
        <w:t>ENUMERATED</w:t>
      </w:r>
      <w:r w:rsidRPr="00FA0D37">
        <w:t xml:space="preserve"> {n1,n2,n4}             </w:t>
      </w:r>
      <w:r w:rsidRPr="00FA0D37">
        <w:rPr>
          <w:color w:val="993366"/>
        </w:rPr>
        <w:t>OPTIONAL</w:t>
      </w:r>
      <w:r w:rsidRPr="00FA0D37">
        <w:t>,</w:t>
      </w:r>
    </w:p>
    <w:p w14:paraId="52967BEF" w14:textId="77777777" w:rsidR="00394471" w:rsidRPr="00FA0D37" w:rsidRDefault="00394471" w:rsidP="00FA0D37">
      <w:pPr>
        <w:pStyle w:val="PL"/>
      </w:pPr>
      <w:r w:rsidRPr="00FA0D37">
        <w:t xml:space="preserve">        scs-30kHz-120kHz-r16               </w:t>
      </w:r>
      <w:r w:rsidRPr="00FA0D37">
        <w:rPr>
          <w:color w:val="993366"/>
        </w:rPr>
        <w:t>ENUMERATED</w:t>
      </w:r>
      <w:r w:rsidRPr="00FA0D37">
        <w:t xml:space="preserve"> {n1,n2,n4}             </w:t>
      </w:r>
      <w:r w:rsidRPr="00FA0D37">
        <w:rPr>
          <w:color w:val="993366"/>
        </w:rPr>
        <w:t>OPTIONAL</w:t>
      </w:r>
      <w:r w:rsidRPr="00FA0D37">
        <w:t>,</w:t>
      </w:r>
    </w:p>
    <w:p w14:paraId="721D6EA4" w14:textId="77777777" w:rsidR="00394471" w:rsidRPr="00FA0D37" w:rsidRDefault="00394471" w:rsidP="00FA0D37">
      <w:pPr>
        <w:pStyle w:val="PL"/>
      </w:pPr>
      <w:r w:rsidRPr="00FA0D37">
        <w:t xml:space="preserve">        scs-15kHz-30kHz-r16                </w:t>
      </w:r>
      <w:r w:rsidRPr="00FA0D37">
        <w:rPr>
          <w:color w:val="993366"/>
        </w:rPr>
        <w:t>ENUMERATED</w:t>
      </w:r>
      <w:r w:rsidRPr="00FA0D37">
        <w:t xml:space="preserve"> {n2}                   </w:t>
      </w:r>
      <w:r w:rsidRPr="00FA0D37">
        <w:rPr>
          <w:color w:val="993366"/>
        </w:rPr>
        <w:t>OPTIONAL</w:t>
      </w:r>
      <w:r w:rsidRPr="00FA0D37">
        <w:t>,</w:t>
      </w:r>
    </w:p>
    <w:p w14:paraId="6E2A7C37" w14:textId="77777777" w:rsidR="00394471" w:rsidRPr="00FA0D37" w:rsidRDefault="00394471" w:rsidP="00FA0D37">
      <w:pPr>
        <w:pStyle w:val="PL"/>
      </w:pPr>
      <w:r w:rsidRPr="00FA0D37">
        <w:t xml:space="preserve">        scs-30kHz-60kHz-r16                </w:t>
      </w:r>
      <w:r w:rsidRPr="00FA0D37">
        <w:rPr>
          <w:color w:val="993366"/>
        </w:rPr>
        <w:t>ENUMERATED</w:t>
      </w:r>
      <w:r w:rsidRPr="00FA0D37">
        <w:t xml:space="preserve"> {n2}                   </w:t>
      </w:r>
      <w:r w:rsidRPr="00FA0D37">
        <w:rPr>
          <w:color w:val="993366"/>
        </w:rPr>
        <w:t>OPTIONAL</w:t>
      </w:r>
      <w:r w:rsidRPr="00FA0D37">
        <w:t>,</w:t>
      </w:r>
    </w:p>
    <w:p w14:paraId="6EEC46E2" w14:textId="77777777" w:rsidR="00394471" w:rsidRPr="00FA0D37" w:rsidRDefault="00394471" w:rsidP="00FA0D37">
      <w:pPr>
        <w:pStyle w:val="PL"/>
      </w:pPr>
      <w:r w:rsidRPr="00FA0D37">
        <w:t xml:space="preserve">        scs-60kHz-120kHz-r16               </w:t>
      </w:r>
      <w:r w:rsidRPr="00FA0D37">
        <w:rPr>
          <w:color w:val="993366"/>
        </w:rPr>
        <w:t>ENUMERATED</w:t>
      </w:r>
      <w:r w:rsidRPr="00FA0D37">
        <w:t xml:space="preserve"> {n2}                   </w:t>
      </w:r>
      <w:r w:rsidRPr="00FA0D37">
        <w:rPr>
          <w:color w:val="993366"/>
        </w:rPr>
        <w:t>OPTIONAL</w:t>
      </w:r>
    </w:p>
    <w:p w14:paraId="79684482" w14:textId="77777777" w:rsidR="00394471" w:rsidRPr="00FA0D37" w:rsidRDefault="00394471" w:rsidP="00FA0D37">
      <w:pPr>
        <w:pStyle w:val="PL"/>
      </w:pPr>
      <w:r w:rsidRPr="00FA0D37">
        <w:t xml:space="preserve">    }                                                                        </w:t>
      </w:r>
      <w:r w:rsidRPr="00FA0D37">
        <w:rPr>
          <w:color w:val="993366"/>
        </w:rPr>
        <w:t>OPTIONAL</w:t>
      </w:r>
      <w:r w:rsidRPr="00FA0D37">
        <w:t>,</w:t>
      </w:r>
    </w:p>
    <w:p w14:paraId="30192B89" w14:textId="77777777" w:rsidR="00394471" w:rsidRPr="00FA0D37" w:rsidRDefault="00394471" w:rsidP="00FA0D37">
      <w:pPr>
        <w:pStyle w:val="PL"/>
      </w:pPr>
    </w:p>
    <w:p w14:paraId="50A7E76F" w14:textId="77777777" w:rsidR="00394471" w:rsidRPr="00FA0D37" w:rsidRDefault="00394471" w:rsidP="00FA0D37">
      <w:pPr>
        <w:pStyle w:val="PL"/>
        <w:rPr>
          <w:color w:val="808080"/>
        </w:rPr>
      </w:pPr>
      <w:r w:rsidRPr="00FA0D37">
        <w:t xml:space="preserve">    </w:t>
      </w:r>
      <w:r w:rsidRPr="00FA0D37">
        <w:rPr>
          <w:color w:val="808080"/>
        </w:rPr>
        <w:t>-- R1 16-2b-1: Support of single-DCI based SDM scheme</w:t>
      </w:r>
    </w:p>
    <w:p w14:paraId="54665DCC" w14:textId="77777777" w:rsidR="00394471" w:rsidRPr="00FA0D37" w:rsidRDefault="00394471" w:rsidP="00FA0D37">
      <w:pPr>
        <w:pStyle w:val="PL"/>
      </w:pPr>
      <w:r w:rsidRPr="00FA0D37">
        <w:t xml:space="preserve">    singleDCI-SDM-scheme-r16           </w:t>
      </w:r>
      <w:r w:rsidRPr="00FA0D37">
        <w:rPr>
          <w:color w:val="993366"/>
        </w:rPr>
        <w:t>ENUMERATED</w:t>
      </w:r>
      <w:r w:rsidRPr="00FA0D37">
        <w:t xml:space="preserve"> {supported}                </w:t>
      </w:r>
      <w:r w:rsidRPr="00FA0D37">
        <w:rPr>
          <w:color w:val="993366"/>
        </w:rPr>
        <w:t>OPTIONAL</w:t>
      </w:r>
    </w:p>
    <w:p w14:paraId="76293818" w14:textId="77777777" w:rsidR="00394471" w:rsidRPr="00FA0D37" w:rsidRDefault="00394471" w:rsidP="00FA0D37">
      <w:pPr>
        <w:pStyle w:val="PL"/>
      </w:pPr>
      <w:r w:rsidRPr="00FA0D37">
        <w:t>}</w:t>
      </w:r>
    </w:p>
    <w:p w14:paraId="64C34D68" w14:textId="77777777" w:rsidR="002E309C" w:rsidRPr="00FA0D37" w:rsidRDefault="002E309C" w:rsidP="00FA0D37">
      <w:pPr>
        <w:pStyle w:val="PL"/>
      </w:pPr>
    </w:p>
    <w:p w14:paraId="337D72F6" w14:textId="709501DC" w:rsidR="002E309C" w:rsidRPr="00FA0D37" w:rsidRDefault="002E309C" w:rsidP="00FA0D37">
      <w:pPr>
        <w:pStyle w:val="PL"/>
      </w:pPr>
      <w:r w:rsidRPr="00FA0D37">
        <w:t>FeatureSetDownlink-v17</w:t>
      </w:r>
      <w:r w:rsidR="009C25AE" w:rsidRPr="00FA0D37">
        <w:t>00</w:t>
      </w:r>
      <w:r w:rsidRPr="00FA0D37">
        <w:t xml:space="preserve"> ::= </w:t>
      </w:r>
      <w:r w:rsidRPr="00FA0D37">
        <w:rPr>
          <w:color w:val="993366"/>
        </w:rPr>
        <w:t>SEQUENCE</w:t>
      </w:r>
      <w:r w:rsidRPr="00FA0D37">
        <w:t xml:space="preserve"> {</w:t>
      </w:r>
    </w:p>
    <w:p w14:paraId="6EB01B96" w14:textId="77777777" w:rsidR="002E309C" w:rsidRPr="00FA0D37" w:rsidRDefault="002E309C" w:rsidP="00FA0D37">
      <w:pPr>
        <w:pStyle w:val="PL"/>
        <w:rPr>
          <w:color w:val="808080"/>
        </w:rPr>
      </w:pPr>
      <w:r w:rsidRPr="00FA0D37">
        <w:t xml:space="preserve">    </w:t>
      </w:r>
      <w:r w:rsidRPr="00FA0D37">
        <w:rPr>
          <w:color w:val="808080"/>
        </w:rPr>
        <w:t>-- R1 36-2: Scaling factor to be applied to 1024QAM for FR1</w:t>
      </w:r>
    </w:p>
    <w:p w14:paraId="751F299F" w14:textId="3B0A85EB" w:rsidR="002E309C" w:rsidRPr="00FA0D37" w:rsidRDefault="002E309C" w:rsidP="00FA0D37">
      <w:pPr>
        <w:pStyle w:val="PL"/>
      </w:pPr>
      <w:r w:rsidRPr="00FA0D37">
        <w:t xml:space="preserve">    scalingFactor-1024QAM-FR1-r17 </w:t>
      </w:r>
      <w:r w:rsidRPr="00FA0D37">
        <w:rPr>
          <w:color w:val="993366"/>
        </w:rPr>
        <w:t>ENUMERATED</w:t>
      </w:r>
      <w:r w:rsidRPr="00FA0D37">
        <w:t xml:space="preserve"> {f0p4, f0p75, f0p8}        </w:t>
      </w:r>
      <w:r w:rsidR="003B68FE" w:rsidRPr="00FA0D37">
        <w:t xml:space="preserve">     </w:t>
      </w:r>
      <w:r w:rsidRPr="00FA0D37">
        <w:rPr>
          <w:color w:val="993366"/>
        </w:rPr>
        <w:t>OPTIONAL</w:t>
      </w:r>
      <w:r w:rsidR="003B68FE" w:rsidRPr="00FA0D37">
        <w:t>,</w:t>
      </w:r>
    </w:p>
    <w:p w14:paraId="6CA2ACCD" w14:textId="14717C2B" w:rsidR="003B68FE" w:rsidRPr="00FA0D37" w:rsidRDefault="003B68FE" w:rsidP="00FA0D37">
      <w:pPr>
        <w:pStyle w:val="PL"/>
        <w:rPr>
          <w:color w:val="808080"/>
        </w:rPr>
      </w:pPr>
      <w:r w:rsidRPr="00FA0D37">
        <w:t xml:space="preserve">    </w:t>
      </w:r>
      <w:r w:rsidRPr="00FA0D37">
        <w:rPr>
          <w:color w:val="808080"/>
        </w:rPr>
        <w:t>-- R1 24 feature for existing UE cap to include new SCS</w:t>
      </w:r>
    </w:p>
    <w:p w14:paraId="37CC2C95" w14:textId="5891C8E1" w:rsidR="003B68FE" w:rsidRPr="00FA0D37" w:rsidRDefault="003B68FE" w:rsidP="00FA0D37">
      <w:pPr>
        <w:pStyle w:val="PL"/>
      </w:pPr>
      <w:r w:rsidRPr="00FA0D37">
        <w:t xml:space="preserve">    timeDurationForQCL-v1710     </w:t>
      </w:r>
      <w:r w:rsidRPr="00FA0D37">
        <w:rPr>
          <w:color w:val="993366"/>
        </w:rPr>
        <w:t>SEQUENCE</w:t>
      </w:r>
      <w:r w:rsidRPr="00FA0D37">
        <w:t xml:space="preserve"> {</w:t>
      </w:r>
    </w:p>
    <w:p w14:paraId="2ED73090" w14:textId="1F1B4996" w:rsidR="003B68FE" w:rsidRPr="00FA0D37" w:rsidRDefault="003B68FE" w:rsidP="00FA0D37">
      <w:pPr>
        <w:pStyle w:val="PL"/>
      </w:pPr>
      <w:r w:rsidRPr="00FA0D37">
        <w:t xml:space="preserve">        scs-480kHz                   </w:t>
      </w:r>
      <w:r w:rsidRPr="00FA0D37">
        <w:rPr>
          <w:color w:val="993366"/>
        </w:rPr>
        <w:t>ENUMERATED</w:t>
      </w:r>
      <w:r w:rsidRPr="00FA0D37">
        <w:t xml:space="preserve"> {s56, s112}                  </w:t>
      </w:r>
      <w:r w:rsidRPr="00FA0D37">
        <w:rPr>
          <w:color w:val="993366"/>
        </w:rPr>
        <w:t>OPTIONAL</w:t>
      </w:r>
      <w:r w:rsidRPr="00FA0D37">
        <w:t>,</w:t>
      </w:r>
    </w:p>
    <w:p w14:paraId="106ED563" w14:textId="367B3C66" w:rsidR="003B68FE" w:rsidRPr="00FA0D37" w:rsidRDefault="003B68FE" w:rsidP="00FA0D37">
      <w:pPr>
        <w:pStyle w:val="PL"/>
      </w:pPr>
      <w:r w:rsidRPr="00FA0D37">
        <w:t xml:space="preserve">        scs-960kHz                   </w:t>
      </w:r>
      <w:r w:rsidRPr="00FA0D37">
        <w:rPr>
          <w:color w:val="993366"/>
        </w:rPr>
        <w:t>ENUMERATED</w:t>
      </w:r>
      <w:r w:rsidRPr="00FA0D37">
        <w:t xml:space="preserve"> {s112, s224}                 </w:t>
      </w:r>
      <w:r w:rsidRPr="00FA0D37">
        <w:rPr>
          <w:color w:val="993366"/>
        </w:rPr>
        <w:t>OPTIONAL</w:t>
      </w:r>
    </w:p>
    <w:p w14:paraId="396A81DA" w14:textId="77777777" w:rsidR="00F747EB" w:rsidRPr="00FA0D37" w:rsidRDefault="003B68FE" w:rsidP="00FA0D37">
      <w:pPr>
        <w:pStyle w:val="PL"/>
      </w:pPr>
      <w:r w:rsidRPr="00FA0D37">
        <w:t xml:space="preserve">    }                                                                        </w:t>
      </w:r>
      <w:r w:rsidRPr="00FA0D37">
        <w:rPr>
          <w:color w:val="993366"/>
        </w:rPr>
        <w:t>OPTIONAL</w:t>
      </w:r>
      <w:r w:rsidRPr="00FA0D37">
        <w:t>,</w:t>
      </w:r>
    </w:p>
    <w:p w14:paraId="32CE5F4A" w14:textId="460461BC" w:rsidR="003B68FE" w:rsidRPr="00FA0D37" w:rsidRDefault="003B68FE" w:rsidP="00FA0D37">
      <w:pPr>
        <w:pStyle w:val="PL"/>
        <w:rPr>
          <w:color w:val="808080"/>
        </w:rPr>
      </w:pPr>
      <w:r w:rsidRPr="00FA0D37">
        <w:t xml:space="preserve">    </w:t>
      </w:r>
      <w:r w:rsidRPr="00FA0D37">
        <w:rPr>
          <w:color w:val="808080"/>
        </w:rPr>
        <w:t>-- R1 23-6-1</w:t>
      </w:r>
      <w:r w:rsidRPr="00FA0D37">
        <w:rPr>
          <w:color w:val="808080"/>
        </w:rPr>
        <w:tab/>
        <w:t>SFN scheme A (scheme 1) for PDSCH and PDCCH</w:t>
      </w:r>
    </w:p>
    <w:p w14:paraId="322A62A4" w14:textId="7E3E3233" w:rsidR="003B68FE" w:rsidRPr="00FA0D37" w:rsidRDefault="003B68FE" w:rsidP="00FA0D37">
      <w:pPr>
        <w:pStyle w:val="PL"/>
      </w:pPr>
      <w:r w:rsidRPr="00FA0D37">
        <w:t xml:space="preserve">    sfn-SchemeA-r17                  </w:t>
      </w:r>
      <w:r w:rsidRPr="00FA0D37">
        <w:rPr>
          <w:color w:val="993366"/>
        </w:rPr>
        <w:t>ENUMERATED</w:t>
      </w:r>
      <w:r w:rsidRPr="00FA0D37">
        <w:t xml:space="preserve"> {supported}                  </w:t>
      </w:r>
      <w:r w:rsidRPr="00FA0D37">
        <w:rPr>
          <w:color w:val="993366"/>
        </w:rPr>
        <w:t>OPTIONAL</w:t>
      </w:r>
      <w:r w:rsidRPr="00FA0D37">
        <w:t>,</w:t>
      </w:r>
    </w:p>
    <w:p w14:paraId="1F16EF5E" w14:textId="7E5A41A9" w:rsidR="003B68FE" w:rsidRPr="00FA0D37" w:rsidRDefault="003B68FE" w:rsidP="00FA0D37">
      <w:pPr>
        <w:pStyle w:val="PL"/>
        <w:rPr>
          <w:color w:val="808080"/>
        </w:rPr>
      </w:pPr>
      <w:r w:rsidRPr="00FA0D37">
        <w:t xml:space="preserve">    </w:t>
      </w:r>
      <w:r w:rsidRPr="00FA0D37">
        <w:rPr>
          <w:color w:val="808080"/>
        </w:rPr>
        <w:t>-- R1 23-6-1-1</w:t>
      </w:r>
      <w:r w:rsidRPr="00FA0D37">
        <w:rPr>
          <w:color w:val="808080"/>
        </w:rPr>
        <w:tab/>
        <w:t>SFN scheme A (scheme 1) for PDCCH only</w:t>
      </w:r>
    </w:p>
    <w:p w14:paraId="4DE9AF0E" w14:textId="59721119" w:rsidR="003B68FE" w:rsidRPr="00FA0D37" w:rsidRDefault="003B68FE" w:rsidP="00FA0D37">
      <w:pPr>
        <w:pStyle w:val="PL"/>
      </w:pPr>
      <w:r w:rsidRPr="00FA0D37">
        <w:t xml:space="preserve">    sfn-SchemeA-PDCCH-only-r17       </w:t>
      </w:r>
      <w:r w:rsidRPr="00FA0D37">
        <w:rPr>
          <w:color w:val="993366"/>
        </w:rPr>
        <w:t>ENUMERATED</w:t>
      </w:r>
      <w:r w:rsidRPr="00FA0D37">
        <w:t xml:space="preserve"> {supported}                  </w:t>
      </w:r>
      <w:r w:rsidRPr="00FA0D37">
        <w:rPr>
          <w:color w:val="993366"/>
        </w:rPr>
        <w:t>OPTIONAL</w:t>
      </w:r>
      <w:r w:rsidRPr="00FA0D37">
        <w:t>,</w:t>
      </w:r>
    </w:p>
    <w:p w14:paraId="18ED97FC" w14:textId="77777777" w:rsidR="003B68FE" w:rsidRPr="00FA0D37" w:rsidRDefault="003B68FE" w:rsidP="00FA0D37">
      <w:pPr>
        <w:pStyle w:val="PL"/>
        <w:rPr>
          <w:color w:val="808080"/>
        </w:rPr>
      </w:pPr>
      <w:r w:rsidRPr="00FA0D37">
        <w:lastRenderedPageBreak/>
        <w:t xml:space="preserve">    </w:t>
      </w:r>
      <w:r w:rsidRPr="00FA0D37">
        <w:rPr>
          <w:color w:val="808080"/>
        </w:rPr>
        <w:t>-- R1 23-6-1a</w:t>
      </w:r>
      <w:r w:rsidRPr="00FA0D37">
        <w:rPr>
          <w:color w:val="808080"/>
        </w:rPr>
        <w:tab/>
        <w:t>Dynamic switching - scheme A</w:t>
      </w:r>
    </w:p>
    <w:p w14:paraId="6DEC6799" w14:textId="063FE7C8" w:rsidR="003B68FE" w:rsidRPr="00FA0D37" w:rsidRDefault="003B68FE" w:rsidP="00FA0D37">
      <w:pPr>
        <w:pStyle w:val="PL"/>
      </w:pPr>
      <w:r w:rsidRPr="00FA0D37">
        <w:t xml:space="preserve">    sfn-SchemeA-DynamicSwitching-r17 </w:t>
      </w:r>
      <w:r w:rsidRPr="00FA0D37">
        <w:rPr>
          <w:color w:val="993366"/>
        </w:rPr>
        <w:t>ENUMERATED</w:t>
      </w:r>
      <w:r w:rsidRPr="00FA0D37">
        <w:t xml:space="preserve"> {supported}                  </w:t>
      </w:r>
      <w:r w:rsidRPr="00FA0D37">
        <w:rPr>
          <w:color w:val="993366"/>
        </w:rPr>
        <w:t>OPTIONAL</w:t>
      </w:r>
      <w:r w:rsidRPr="00FA0D37">
        <w:t>,</w:t>
      </w:r>
    </w:p>
    <w:p w14:paraId="214F5C9C" w14:textId="77777777" w:rsidR="003B68FE" w:rsidRPr="00FA0D37" w:rsidRDefault="003B68FE" w:rsidP="00FA0D37">
      <w:pPr>
        <w:pStyle w:val="PL"/>
        <w:rPr>
          <w:color w:val="808080"/>
        </w:rPr>
      </w:pPr>
      <w:r w:rsidRPr="00FA0D37">
        <w:t xml:space="preserve">    </w:t>
      </w:r>
      <w:r w:rsidRPr="00FA0D37">
        <w:rPr>
          <w:color w:val="808080"/>
        </w:rPr>
        <w:t>-- R1 23-6-1b</w:t>
      </w:r>
      <w:r w:rsidRPr="00FA0D37">
        <w:rPr>
          <w:color w:val="808080"/>
        </w:rPr>
        <w:tab/>
        <w:t>SFN scheme A (scheme 1) for PDSCH only</w:t>
      </w:r>
    </w:p>
    <w:p w14:paraId="7CA0823E" w14:textId="3E759DA7" w:rsidR="003B68FE" w:rsidRPr="00FA0D37" w:rsidRDefault="003B68FE" w:rsidP="00FA0D37">
      <w:pPr>
        <w:pStyle w:val="PL"/>
      </w:pPr>
      <w:r w:rsidRPr="00FA0D37">
        <w:t xml:space="preserve">    sfn-SchemeA-PDSCH-only-r17       </w:t>
      </w:r>
      <w:r w:rsidRPr="00FA0D37">
        <w:rPr>
          <w:color w:val="993366"/>
        </w:rPr>
        <w:t>ENUMERATED</w:t>
      </w:r>
      <w:r w:rsidRPr="00FA0D37">
        <w:t xml:space="preserve"> {supported}                  </w:t>
      </w:r>
      <w:r w:rsidRPr="00FA0D37">
        <w:rPr>
          <w:color w:val="993366"/>
        </w:rPr>
        <w:t>OPTIONAL</w:t>
      </w:r>
      <w:r w:rsidRPr="00FA0D37">
        <w:t>,</w:t>
      </w:r>
    </w:p>
    <w:p w14:paraId="34B17FDB" w14:textId="77777777" w:rsidR="003B68FE" w:rsidRPr="00FA0D37" w:rsidRDefault="003B68FE" w:rsidP="00FA0D37">
      <w:pPr>
        <w:pStyle w:val="PL"/>
        <w:rPr>
          <w:color w:val="808080"/>
        </w:rPr>
      </w:pPr>
      <w:r w:rsidRPr="00FA0D37">
        <w:t xml:space="preserve">    </w:t>
      </w:r>
      <w:r w:rsidRPr="00FA0D37">
        <w:rPr>
          <w:color w:val="808080"/>
        </w:rPr>
        <w:t>-- R1 23-6-2</w:t>
      </w:r>
      <w:r w:rsidRPr="00FA0D37">
        <w:rPr>
          <w:color w:val="808080"/>
        </w:rPr>
        <w:tab/>
        <w:t>SFN scheme B (TRP based pre-compensation) for PDSCH and PDCCH</w:t>
      </w:r>
    </w:p>
    <w:p w14:paraId="1882CDCD" w14:textId="189D9AD3" w:rsidR="003B68FE" w:rsidRPr="00FA0D37" w:rsidRDefault="003B68FE" w:rsidP="00FA0D37">
      <w:pPr>
        <w:pStyle w:val="PL"/>
      </w:pPr>
      <w:r w:rsidRPr="00FA0D37">
        <w:t xml:space="preserve">    sfn-SchemeB-r17                  </w:t>
      </w:r>
      <w:r w:rsidRPr="00FA0D37">
        <w:rPr>
          <w:color w:val="993366"/>
        </w:rPr>
        <w:t>ENUMERATED</w:t>
      </w:r>
      <w:r w:rsidRPr="00FA0D37">
        <w:t xml:space="preserve"> {supported}                  </w:t>
      </w:r>
      <w:r w:rsidRPr="00FA0D37">
        <w:rPr>
          <w:color w:val="993366"/>
        </w:rPr>
        <w:t>OPTIONAL</w:t>
      </w:r>
      <w:r w:rsidRPr="00FA0D37">
        <w:t>,</w:t>
      </w:r>
    </w:p>
    <w:p w14:paraId="6D1DF1C2" w14:textId="77777777" w:rsidR="003B68FE" w:rsidRPr="00FA0D37" w:rsidRDefault="003B68FE" w:rsidP="00FA0D37">
      <w:pPr>
        <w:pStyle w:val="PL"/>
        <w:rPr>
          <w:color w:val="808080"/>
        </w:rPr>
      </w:pPr>
      <w:r w:rsidRPr="00FA0D37">
        <w:t xml:space="preserve">    </w:t>
      </w:r>
      <w:r w:rsidRPr="00FA0D37">
        <w:rPr>
          <w:color w:val="808080"/>
        </w:rPr>
        <w:t>-- R1 23-6-2a</w:t>
      </w:r>
      <w:r w:rsidRPr="00FA0D37">
        <w:rPr>
          <w:color w:val="808080"/>
        </w:rPr>
        <w:tab/>
        <w:t>Dynamic switching - scheme B</w:t>
      </w:r>
    </w:p>
    <w:p w14:paraId="30D099D6" w14:textId="2514BD26" w:rsidR="003B68FE" w:rsidRPr="00FA0D37" w:rsidRDefault="003B68FE" w:rsidP="00FA0D37">
      <w:pPr>
        <w:pStyle w:val="PL"/>
      </w:pPr>
      <w:r w:rsidRPr="00FA0D37">
        <w:t xml:space="preserve">    sfn-SchemeB-DynamicSwitching-r17 </w:t>
      </w:r>
      <w:r w:rsidRPr="00FA0D37">
        <w:rPr>
          <w:color w:val="993366"/>
        </w:rPr>
        <w:t>ENUMERATED</w:t>
      </w:r>
      <w:r w:rsidRPr="00FA0D37">
        <w:t xml:space="preserve"> {supported}                  </w:t>
      </w:r>
      <w:r w:rsidRPr="00FA0D37">
        <w:rPr>
          <w:color w:val="993366"/>
        </w:rPr>
        <w:t>OPTIONAL</w:t>
      </w:r>
      <w:r w:rsidRPr="00FA0D37">
        <w:t>,</w:t>
      </w:r>
    </w:p>
    <w:p w14:paraId="4DAA720B" w14:textId="77777777" w:rsidR="003B68FE" w:rsidRPr="00FA0D37" w:rsidRDefault="003B68FE" w:rsidP="00FA0D37">
      <w:pPr>
        <w:pStyle w:val="PL"/>
        <w:rPr>
          <w:color w:val="808080"/>
        </w:rPr>
      </w:pPr>
      <w:r w:rsidRPr="00FA0D37">
        <w:t xml:space="preserve">    </w:t>
      </w:r>
      <w:r w:rsidRPr="00FA0D37">
        <w:rPr>
          <w:color w:val="808080"/>
        </w:rPr>
        <w:t>-- R1 23-6-2b</w:t>
      </w:r>
      <w:r w:rsidRPr="00FA0D37">
        <w:rPr>
          <w:color w:val="808080"/>
        </w:rPr>
        <w:tab/>
        <w:t>SFN scheme B (TRP based pre-compensation) for PDSCH only</w:t>
      </w:r>
    </w:p>
    <w:p w14:paraId="1EE5FEE4" w14:textId="212771AF" w:rsidR="003B68FE" w:rsidRPr="00FA0D37" w:rsidRDefault="003B68FE" w:rsidP="00FA0D37">
      <w:pPr>
        <w:pStyle w:val="PL"/>
      </w:pPr>
      <w:r w:rsidRPr="00FA0D37">
        <w:t xml:space="preserve">    sfn-SchemeB-PDSCH-only-r17       </w:t>
      </w:r>
      <w:r w:rsidRPr="00FA0D37">
        <w:rPr>
          <w:color w:val="993366"/>
        </w:rPr>
        <w:t>ENUMERATED</w:t>
      </w:r>
      <w:r w:rsidRPr="00FA0D37">
        <w:t xml:space="preserve"> {supported}                  </w:t>
      </w:r>
      <w:r w:rsidRPr="00FA0D37">
        <w:rPr>
          <w:color w:val="993366"/>
        </w:rPr>
        <w:t>OPTIONAL</w:t>
      </w:r>
      <w:r w:rsidRPr="00FA0D37">
        <w:t>,</w:t>
      </w:r>
    </w:p>
    <w:p w14:paraId="78704412" w14:textId="04E22E8A" w:rsidR="003B68FE" w:rsidRPr="00FA0D37" w:rsidRDefault="003B68FE" w:rsidP="00FA0D37">
      <w:pPr>
        <w:pStyle w:val="PL"/>
        <w:rPr>
          <w:color w:val="808080"/>
        </w:rPr>
      </w:pPr>
      <w:r w:rsidRPr="00FA0D37">
        <w:t xml:space="preserve">    </w:t>
      </w:r>
      <w:r w:rsidRPr="00FA0D37">
        <w:rPr>
          <w:color w:val="808080"/>
        </w:rPr>
        <w:t>-- R1 23-2-1d</w:t>
      </w:r>
      <w:r w:rsidRPr="00FA0D37">
        <w:rPr>
          <w:color w:val="808080"/>
        </w:rPr>
        <w:tab/>
        <w:t>PDCCH repetition for Case 2 PDCCH monitoring with a span gap</w:t>
      </w:r>
    </w:p>
    <w:p w14:paraId="05F05F2D" w14:textId="0F383662" w:rsidR="003B68FE" w:rsidRPr="00FA0D37" w:rsidRDefault="003B68FE" w:rsidP="00FA0D37">
      <w:pPr>
        <w:pStyle w:val="PL"/>
      </w:pPr>
      <w:r w:rsidRPr="00FA0D37">
        <w:t xml:space="preserve">    mTRP-PDCCH-Case2-1SpanGap-r17    </w:t>
      </w:r>
      <w:r w:rsidRPr="00FA0D37">
        <w:rPr>
          <w:color w:val="993366"/>
        </w:rPr>
        <w:t>SEQUENCE</w:t>
      </w:r>
      <w:r w:rsidRPr="00FA0D37">
        <w:t xml:space="preserve"> {</w:t>
      </w:r>
    </w:p>
    <w:p w14:paraId="718005E8" w14:textId="0B6ACBF1" w:rsidR="003B68FE" w:rsidRPr="00FA0D37" w:rsidRDefault="003B68FE" w:rsidP="00FA0D37">
      <w:pPr>
        <w:pStyle w:val="PL"/>
      </w:pPr>
      <w:r w:rsidRPr="00FA0D37">
        <w:t xml:space="preserve">        scs-15kHz-r17                    PDCCH-RepetitionParameters-r17      </w:t>
      </w:r>
      <w:r w:rsidRPr="00FA0D37">
        <w:rPr>
          <w:color w:val="993366"/>
        </w:rPr>
        <w:t>OPTIONAL</w:t>
      </w:r>
      <w:r w:rsidRPr="00FA0D37">
        <w:t>,</w:t>
      </w:r>
    </w:p>
    <w:p w14:paraId="576F76D6" w14:textId="3B0A7BAA" w:rsidR="003B68FE" w:rsidRPr="00FA0D37" w:rsidRDefault="003B68FE" w:rsidP="00FA0D37">
      <w:pPr>
        <w:pStyle w:val="PL"/>
      </w:pPr>
      <w:r w:rsidRPr="00FA0D37">
        <w:t xml:space="preserve">        scs-30kHz-r17                    PDCCH-RepetitionParameters-r17      </w:t>
      </w:r>
      <w:r w:rsidRPr="00FA0D37">
        <w:rPr>
          <w:color w:val="993366"/>
        </w:rPr>
        <w:t>OPTIONAL</w:t>
      </w:r>
      <w:r w:rsidRPr="00FA0D37">
        <w:t>,</w:t>
      </w:r>
    </w:p>
    <w:p w14:paraId="6A2EDCC3" w14:textId="20318FC8" w:rsidR="003B68FE" w:rsidRPr="00FA0D37" w:rsidRDefault="003B68FE" w:rsidP="00FA0D37">
      <w:pPr>
        <w:pStyle w:val="PL"/>
      </w:pPr>
      <w:r w:rsidRPr="00FA0D37">
        <w:t xml:space="preserve">        scs-60kHz-r17                    PDCCH-RepetitionParameters-r17      </w:t>
      </w:r>
      <w:r w:rsidRPr="00FA0D37">
        <w:rPr>
          <w:color w:val="993366"/>
        </w:rPr>
        <w:t>OPTIONAL</w:t>
      </w:r>
      <w:r w:rsidRPr="00FA0D37">
        <w:t>,</w:t>
      </w:r>
    </w:p>
    <w:p w14:paraId="22D809B2" w14:textId="4581E744" w:rsidR="003B68FE" w:rsidRPr="00FA0D37" w:rsidRDefault="003B68FE" w:rsidP="00FA0D37">
      <w:pPr>
        <w:pStyle w:val="PL"/>
      </w:pPr>
      <w:r w:rsidRPr="00FA0D37">
        <w:t xml:space="preserve">        scs-120kHz-r17                   PDCCH-RepetitionParameters-r17      </w:t>
      </w:r>
      <w:r w:rsidRPr="00FA0D37">
        <w:rPr>
          <w:color w:val="993366"/>
        </w:rPr>
        <w:t>OPTIONAL</w:t>
      </w:r>
    </w:p>
    <w:p w14:paraId="54F8B7DF" w14:textId="0B3D40A0" w:rsidR="003B68FE" w:rsidRPr="00FA0D37" w:rsidRDefault="003B68FE" w:rsidP="00FA0D37">
      <w:pPr>
        <w:pStyle w:val="PL"/>
      </w:pPr>
      <w:r w:rsidRPr="00FA0D37">
        <w:t xml:space="preserve">    }                                                                        </w:t>
      </w:r>
      <w:r w:rsidRPr="00FA0D37">
        <w:rPr>
          <w:color w:val="993366"/>
        </w:rPr>
        <w:t>OPTIONAL</w:t>
      </w:r>
      <w:r w:rsidRPr="00FA0D37">
        <w:t>,</w:t>
      </w:r>
    </w:p>
    <w:p w14:paraId="64B2C76B" w14:textId="298CDC15" w:rsidR="003B68FE" w:rsidRPr="00FA0D37" w:rsidRDefault="003B68FE" w:rsidP="00FA0D37">
      <w:pPr>
        <w:pStyle w:val="PL"/>
        <w:rPr>
          <w:color w:val="808080"/>
        </w:rPr>
      </w:pPr>
      <w:r w:rsidRPr="00FA0D37">
        <w:t xml:space="preserve">    </w:t>
      </w:r>
      <w:r w:rsidRPr="00FA0D37">
        <w:rPr>
          <w:color w:val="808080"/>
        </w:rPr>
        <w:t>-- R1 23-2-1e</w:t>
      </w:r>
      <w:r w:rsidRPr="00FA0D37">
        <w:rPr>
          <w:color w:val="808080"/>
        </w:rPr>
        <w:tab/>
        <w:t>PDCCH repetition for Rel-16 PDCCH monitoring</w:t>
      </w:r>
    </w:p>
    <w:p w14:paraId="399932CE" w14:textId="7FB73D8F" w:rsidR="003B68FE" w:rsidRPr="00FA0D37" w:rsidRDefault="003B68FE" w:rsidP="00FA0D37">
      <w:pPr>
        <w:pStyle w:val="PL"/>
      </w:pPr>
      <w:r w:rsidRPr="00FA0D37">
        <w:t xml:space="preserve">    mTRP-PDCCH-legacyMonitoring-r17  </w:t>
      </w:r>
      <w:r w:rsidRPr="00FA0D37">
        <w:rPr>
          <w:color w:val="993366"/>
        </w:rPr>
        <w:t>SEQUENCE</w:t>
      </w:r>
      <w:r w:rsidRPr="00FA0D37">
        <w:t xml:space="preserve"> {</w:t>
      </w:r>
    </w:p>
    <w:p w14:paraId="453EE7FF" w14:textId="4444BB7A" w:rsidR="003B68FE" w:rsidRPr="00FA0D37" w:rsidRDefault="003B68FE" w:rsidP="00FA0D37">
      <w:pPr>
        <w:pStyle w:val="PL"/>
      </w:pPr>
      <w:r w:rsidRPr="00FA0D37">
        <w:t xml:space="preserve">        scs-15kHz-r17                    PDCCH-RepetitionParameters-r17      </w:t>
      </w:r>
      <w:r w:rsidRPr="00FA0D37">
        <w:rPr>
          <w:color w:val="993366"/>
        </w:rPr>
        <w:t>OPTIONAL</w:t>
      </w:r>
      <w:r w:rsidRPr="00FA0D37">
        <w:t>,</w:t>
      </w:r>
    </w:p>
    <w:p w14:paraId="1956EF57" w14:textId="4BEEFD9F" w:rsidR="003B68FE" w:rsidRPr="00FA0D37" w:rsidRDefault="003B68FE" w:rsidP="00FA0D37">
      <w:pPr>
        <w:pStyle w:val="PL"/>
      </w:pPr>
      <w:r w:rsidRPr="00FA0D37">
        <w:t xml:space="preserve">        scs-30kHz-r17                    PDCCH-RepetitionParameters-r17      </w:t>
      </w:r>
      <w:r w:rsidRPr="00FA0D37">
        <w:rPr>
          <w:color w:val="993366"/>
        </w:rPr>
        <w:t>OPTIONAL</w:t>
      </w:r>
    </w:p>
    <w:p w14:paraId="37289DF2" w14:textId="6178EE81" w:rsidR="003B68FE" w:rsidRPr="00FA0D37" w:rsidRDefault="003B68FE" w:rsidP="00FA0D37">
      <w:pPr>
        <w:pStyle w:val="PL"/>
      </w:pPr>
      <w:r w:rsidRPr="00FA0D37">
        <w:t xml:space="preserve">    }                                                                        </w:t>
      </w:r>
      <w:r w:rsidRPr="00FA0D37">
        <w:rPr>
          <w:color w:val="993366"/>
        </w:rPr>
        <w:t>OPTIONAL</w:t>
      </w:r>
      <w:r w:rsidRPr="00FA0D37">
        <w:t>,</w:t>
      </w:r>
    </w:p>
    <w:p w14:paraId="309AB423" w14:textId="3476F17C" w:rsidR="003B68FE" w:rsidRPr="00FA0D37" w:rsidRDefault="003B68FE" w:rsidP="00FA0D37">
      <w:pPr>
        <w:pStyle w:val="PL"/>
        <w:rPr>
          <w:color w:val="808080"/>
        </w:rPr>
      </w:pPr>
      <w:r w:rsidRPr="00FA0D37">
        <w:t xml:space="preserve">    </w:t>
      </w:r>
      <w:r w:rsidRPr="00FA0D37">
        <w:rPr>
          <w:color w:val="808080"/>
        </w:rPr>
        <w:t>-- R1  23-2-4</w:t>
      </w:r>
      <w:r w:rsidRPr="00FA0D37">
        <w:rPr>
          <w:color w:val="808080"/>
        </w:rPr>
        <w:tab/>
        <w:t>Simultaneous configuration of PDCCH repetition and multi-DCI based multi-TRP</w:t>
      </w:r>
    </w:p>
    <w:p w14:paraId="39FD6986" w14:textId="306CC8BA" w:rsidR="003B68FE" w:rsidRPr="00FA0D37" w:rsidRDefault="003B68FE" w:rsidP="00FA0D37">
      <w:pPr>
        <w:pStyle w:val="PL"/>
      </w:pPr>
      <w:r w:rsidRPr="00FA0D37">
        <w:t xml:space="preserve">    mTRP-PDCCH-multiDCI-multiTRP-r17 </w:t>
      </w:r>
      <w:r w:rsidRPr="00FA0D37">
        <w:rPr>
          <w:color w:val="993366"/>
        </w:rPr>
        <w:t>ENUMERATED</w:t>
      </w:r>
      <w:r w:rsidRPr="00FA0D37">
        <w:t xml:space="preserve"> {supported}                  </w:t>
      </w:r>
      <w:r w:rsidRPr="00FA0D37">
        <w:rPr>
          <w:color w:val="993366"/>
        </w:rPr>
        <w:t>OPTIONAL</w:t>
      </w:r>
      <w:r w:rsidRPr="00FA0D37">
        <w:t>,</w:t>
      </w:r>
    </w:p>
    <w:p w14:paraId="49C6061B" w14:textId="101A509D" w:rsidR="003B68FE" w:rsidRPr="00FA0D37" w:rsidRDefault="003B68FE" w:rsidP="00FA0D37">
      <w:pPr>
        <w:pStyle w:val="PL"/>
        <w:rPr>
          <w:color w:val="808080"/>
        </w:rPr>
      </w:pPr>
      <w:r w:rsidRPr="00FA0D37">
        <w:t xml:space="preserve">    </w:t>
      </w:r>
      <w:r w:rsidRPr="00FA0D37">
        <w:rPr>
          <w:color w:val="808080"/>
        </w:rPr>
        <w:t>-- R1 33-2:</w:t>
      </w:r>
      <w:r w:rsidRPr="00FA0D37">
        <w:rPr>
          <w:color w:val="808080"/>
        </w:rPr>
        <w:tab/>
        <w:t>Dynamic scheduling for multicast for PCell</w:t>
      </w:r>
    </w:p>
    <w:p w14:paraId="4CE51E23" w14:textId="44233573" w:rsidR="003B68FE" w:rsidRPr="00FA0D37" w:rsidRDefault="003B68FE" w:rsidP="00FA0D37">
      <w:pPr>
        <w:pStyle w:val="PL"/>
      </w:pPr>
      <w:r w:rsidRPr="00FA0D37">
        <w:t xml:space="preserve">    dynamicMulticastPCell-r17        </w:t>
      </w:r>
      <w:r w:rsidRPr="00FA0D37">
        <w:rPr>
          <w:color w:val="993366"/>
        </w:rPr>
        <w:t>ENUMERATED</w:t>
      </w:r>
      <w:r w:rsidRPr="00FA0D37">
        <w:t xml:space="preserve"> {supported}                  </w:t>
      </w:r>
      <w:r w:rsidRPr="00FA0D37">
        <w:rPr>
          <w:color w:val="993366"/>
        </w:rPr>
        <w:t>OPTIONAL</w:t>
      </w:r>
      <w:r w:rsidRPr="00FA0D37">
        <w:t>,</w:t>
      </w:r>
    </w:p>
    <w:p w14:paraId="0CC206E0" w14:textId="1EFB4808" w:rsidR="003B68FE" w:rsidRPr="00FA0D37" w:rsidRDefault="003B68FE" w:rsidP="00FA0D37">
      <w:pPr>
        <w:pStyle w:val="PL"/>
        <w:rPr>
          <w:color w:val="808080"/>
        </w:rPr>
      </w:pPr>
      <w:r w:rsidRPr="00FA0D37">
        <w:t xml:space="preserve">    </w:t>
      </w:r>
      <w:r w:rsidRPr="00FA0D37">
        <w:rPr>
          <w:color w:val="808080"/>
        </w:rPr>
        <w:t>-- R1 23-2-1</w:t>
      </w:r>
      <w:r w:rsidRPr="00FA0D37">
        <w:rPr>
          <w:color w:val="808080"/>
        </w:rPr>
        <w:tab/>
        <w:t>PDCCH repetition</w:t>
      </w:r>
    </w:p>
    <w:p w14:paraId="0A8E70E8" w14:textId="72D5D0E4" w:rsidR="003B68FE" w:rsidRPr="00FA0D37" w:rsidRDefault="003B68FE" w:rsidP="00FA0D37">
      <w:pPr>
        <w:pStyle w:val="PL"/>
      </w:pPr>
      <w:r w:rsidRPr="00FA0D37">
        <w:t xml:space="preserve">    mTRP-PDCCH-Repetition-r17        </w:t>
      </w:r>
      <w:r w:rsidRPr="00FA0D37">
        <w:rPr>
          <w:color w:val="993366"/>
        </w:rPr>
        <w:t>SEQUENCE</w:t>
      </w:r>
      <w:r w:rsidRPr="00FA0D37">
        <w:t xml:space="preserve"> {</w:t>
      </w:r>
    </w:p>
    <w:p w14:paraId="158E2A3C" w14:textId="6A037870" w:rsidR="003B68FE" w:rsidRPr="00FA0D37" w:rsidRDefault="003B68FE" w:rsidP="00FA0D37">
      <w:pPr>
        <w:pStyle w:val="PL"/>
      </w:pPr>
      <w:r w:rsidRPr="00FA0D37">
        <w:t xml:space="preserve">        numBD-twoPDCCH-r17               </w:t>
      </w:r>
      <w:r w:rsidRPr="00FA0D37">
        <w:rPr>
          <w:color w:val="993366"/>
        </w:rPr>
        <w:t>INTEGER</w:t>
      </w:r>
      <w:r w:rsidRPr="00FA0D37">
        <w:t xml:space="preserve"> (2..3),</w:t>
      </w:r>
    </w:p>
    <w:p w14:paraId="09F6EAE2" w14:textId="0322240B" w:rsidR="003B68FE" w:rsidRPr="00FA0D37" w:rsidRDefault="003B68FE" w:rsidP="00FA0D37">
      <w:pPr>
        <w:pStyle w:val="PL"/>
      </w:pPr>
      <w:r w:rsidRPr="00FA0D37">
        <w:t xml:space="preserve">        maxNumOverlaps-r17               </w:t>
      </w:r>
      <w:r w:rsidRPr="00FA0D37">
        <w:rPr>
          <w:color w:val="993366"/>
        </w:rPr>
        <w:t>ENUMERATED</w:t>
      </w:r>
      <w:r w:rsidRPr="00FA0D37">
        <w:t xml:space="preserve"> {n1,n2,n3,n5,n10,n20,n40}</w:t>
      </w:r>
    </w:p>
    <w:p w14:paraId="609DA496" w14:textId="585D4649" w:rsidR="003B68FE" w:rsidRPr="00FA0D37" w:rsidRDefault="003B68FE" w:rsidP="00FA0D37">
      <w:pPr>
        <w:pStyle w:val="PL"/>
      </w:pPr>
      <w:r w:rsidRPr="00FA0D37">
        <w:t xml:space="preserve">    }                                                                        </w:t>
      </w:r>
      <w:r w:rsidRPr="00FA0D37">
        <w:rPr>
          <w:color w:val="993366"/>
        </w:rPr>
        <w:t>OPTIONAL</w:t>
      </w:r>
    </w:p>
    <w:p w14:paraId="478CBAC3" w14:textId="1B40DDC8" w:rsidR="002E309C" w:rsidRPr="00FA0D37" w:rsidRDefault="002E309C" w:rsidP="00FA0D37">
      <w:pPr>
        <w:pStyle w:val="PL"/>
      </w:pPr>
      <w:r w:rsidRPr="00FA0D37">
        <w:t>}</w:t>
      </w:r>
    </w:p>
    <w:p w14:paraId="1C827AB5" w14:textId="77777777" w:rsidR="00FD0B5C" w:rsidRPr="00FA0D37" w:rsidRDefault="00FD0B5C" w:rsidP="00FA0D37">
      <w:pPr>
        <w:pStyle w:val="PL"/>
      </w:pPr>
    </w:p>
    <w:p w14:paraId="54AA352E" w14:textId="2A38B274" w:rsidR="00FD0B5C" w:rsidRPr="00FA0D37" w:rsidRDefault="00FD0B5C" w:rsidP="00FA0D37">
      <w:pPr>
        <w:pStyle w:val="PL"/>
      </w:pPr>
      <w:r w:rsidRPr="00FA0D37">
        <w:t>FeatureSetDownlink-v17</w:t>
      </w:r>
      <w:r w:rsidR="00B93257" w:rsidRPr="00FA0D37">
        <w:t>20</w:t>
      </w:r>
      <w:r w:rsidRPr="00FA0D37">
        <w:t xml:space="preserve"> ::=                </w:t>
      </w:r>
      <w:r w:rsidRPr="00FA0D37">
        <w:rPr>
          <w:color w:val="993366"/>
        </w:rPr>
        <w:t>SEQUENCE</w:t>
      </w:r>
      <w:r w:rsidRPr="00FA0D37">
        <w:t xml:space="preserve"> {</w:t>
      </w:r>
    </w:p>
    <w:p w14:paraId="20C70296" w14:textId="77777777" w:rsidR="00FD0B5C" w:rsidRPr="00FA0D37" w:rsidRDefault="00FD0B5C" w:rsidP="00FA0D37">
      <w:pPr>
        <w:pStyle w:val="PL"/>
        <w:rPr>
          <w:color w:val="808080"/>
        </w:rPr>
      </w:pPr>
      <w:r w:rsidRPr="00FA0D37">
        <w:t xml:space="preserve">    </w:t>
      </w:r>
      <w:r w:rsidRPr="00FA0D37">
        <w:rPr>
          <w:color w:val="808080"/>
        </w:rPr>
        <w:t>-- R1 25-19: RTT-based Propagation delay compensation based on CSI-RS for tracking and SRS</w:t>
      </w:r>
    </w:p>
    <w:p w14:paraId="0DBB009F" w14:textId="2D589A75" w:rsidR="00FD0B5C" w:rsidRPr="00FA0D37" w:rsidRDefault="00FD0B5C" w:rsidP="00FA0D37">
      <w:pPr>
        <w:pStyle w:val="PL"/>
      </w:pPr>
      <w:r w:rsidRPr="00FA0D37">
        <w:t xml:space="preserve">    rtt-BasedPDC-CSI-RS-ForTracking-r17         </w:t>
      </w:r>
      <w:r w:rsidRPr="00FA0D37">
        <w:rPr>
          <w:color w:val="993366"/>
        </w:rPr>
        <w:t>ENUMERATED</w:t>
      </w:r>
      <w:r w:rsidRPr="00FA0D37">
        <w:t xml:space="preserve"> {supported}                                                   </w:t>
      </w:r>
      <w:r w:rsidRPr="00FA0D37">
        <w:rPr>
          <w:color w:val="993366"/>
        </w:rPr>
        <w:t>OPTIONAL</w:t>
      </w:r>
      <w:r w:rsidRPr="00FA0D37">
        <w:t>,</w:t>
      </w:r>
    </w:p>
    <w:p w14:paraId="5A139C37" w14:textId="77777777" w:rsidR="00FD0B5C" w:rsidRPr="00FA0D37" w:rsidRDefault="00FD0B5C" w:rsidP="00FA0D37">
      <w:pPr>
        <w:pStyle w:val="PL"/>
        <w:rPr>
          <w:color w:val="808080"/>
        </w:rPr>
      </w:pPr>
      <w:r w:rsidRPr="00FA0D37">
        <w:t xml:space="preserve">    </w:t>
      </w:r>
      <w:r w:rsidRPr="00FA0D37">
        <w:rPr>
          <w:color w:val="808080"/>
        </w:rPr>
        <w:t>-- R1 25-19a: RTT-based Propagation delay compensation based on DL PRS for RTT-based PDC and SRS</w:t>
      </w:r>
    </w:p>
    <w:p w14:paraId="3D5CDC9F" w14:textId="4575BCED" w:rsidR="00FD0B5C" w:rsidRPr="00FA0D37" w:rsidRDefault="00FD0B5C" w:rsidP="00FA0D37">
      <w:pPr>
        <w:pStyle w:val="PL"/>
      </w:pPr>
      <w:r w:rsidRPr="00FA0D37">
        <w:t xml:space="preserve">    rtt-BasedPDC-PRS-r17                        </w:t>
      </w:r>
      <w:r w:rsidRPr="00FA0D37">
        <w:rPr>
          <w:color w:val="993366"/>
        </w:rPr>
        <w:t>SEQUENCE</w:t>
      </w:r>
      <w:r w:rsidRPr="00FA0D37">
        <w:t xml:space="preserve"> {</w:t>
      </w:r>
    </w:p>
    <w:p w14:paraId="2E889628" w14:textId="7007078B" w:rsidR="00FD0B5C" w:rsidRPr="00FA0D37" w:rsidRDefault="00FD0B5C" w:rsidP="00FA0D37">
      <w:pPr>
        <w:pStyle w:val="PL"/>
      </w:pPr>
      <w:r w:rsidRPr="00FA0D37">
        <w:t xml:space="preserve">        maxNumberPRS-Resource-r17                   </w:t>
      </w:r>
      <w:r w:rsidRPr="00FA0D37">
        <w:rPr>
          <w:color w:val="993366"/>
        </w:rPr>
        <w:t>ENUMERATED</w:t>
      </w:r>
      <w:r w:rsidRPr="00FA0D37">
        <w:t xml:space="preserve"> {n1, n2, n4, n8, n16, n32, n64},</w:t>
      </w:r>
    </w:p>
    <w:p w14:paraId="48F54091" w14:textId="70A6400D" w:rsidR="00FD0B5C" w:rsidRPr="00FA0D37" w:rsidRDefault="00FD0B5C" w:rsidP="00FA0D37">
      <w:pPr>
        <w:pStyle w:val="PL"/>
      </w:pPr>
      <w:r w:rsidRPr="00FA0D37">
        <w:t xml:space="preserve">        maxNumberPRS-ResourceProcessedPerSlot-r17   </w:t>
      </w:r>
      <w:r w:rsidRPr="00FA0D37">
        <w:rPr>
          <w:color w:val="993366"/>
        </w:rPr>
        <w:t>SEQUENCE</w:t>
      </w:r>
      <w:r w:rsidRPr="00FA0D37">
        <w:t xml:space="preserve"> {</w:t>
      </w:r>
    </w:p>
    <w:p w14:paraId="03BAD1D2" w14:textId="7F0E7F29" w:rsidR="00FD0B5C" w:rsidRPr="00FA0D37" w:rsidRDefault="00FD0B5C" w:rsidP="00FA0D37">
      <w:pPr>
        <w:pStyle w:val="PL"/>
      </w:pPr>
      <w:r w:rsidRPr="00FA0D37">
        <w:t xml:space="preserve">            scs-15kHz-r17                               </w:t>
      </w:r>
      <w:r w:rsidRPr="00FA0D37">
        <w:rPr>
          <w:color w:val="993366"/>
        </w:rPr>
        <w:t>ENUMERATED</w:t>
      </w:r>
      <w:r w:rsidRPr="00FA0D37">
        <w:t xml:space="preserve"> {n1, n2, n4, n6, n8, n12, n16, n24, n32, n48, n64}    </w:t>
      </w:r>
      <w:r w:rsidRPr="00FA0D37">
        <w:rPr>
          <w:color w:val="993366"/>
        </w:rPr>
        <w:t>OPTIONAL</w:t>
      </w:r>
      <w:r w:rsidRPr="00FA0D37">
        <w:t>,</w:t>
      </w:r>
    </w:p>
    <w:p w14:paraId="31102248" w14:textId="6746E736" w:rsidR="00FD0B5C" w:rsidRPr="00FA0D37" w:rsidRDefault="00FD0B5C" w:rsidP="00FA0D37">
      <w:pPr>
        <w:pStyle w:val="PL"/>
      </w:pPr>
      <w:r w:rsidRPr="00FA0D37">
        <w:t xml:space="preserve">            scs-30kHz-r17                               </w:t>
      </w:r>
      <w:r w:rsidRPr="00FA0D37">
        <w:rPr>
          <w:color w:val="993366"/>
        </w:rPr>
        <w:t>ENUMERATED</w:t>
      </w:r>
      <w:r w:rsidRPr="00FA0D37">
        <w:t xml:space="preserve"> {n1, n2, n4, n6, n8, n12, n16, n24, n32, n48, n64}    </w:t>
      </w:r>
      <w:r w:rsidRPr="00FA0D37">
        <w:rPr>
          <w:color w:val="993366"/>
        </w:rPr>
        <w:t>OPTIONAL</w:t>
      </w:r>
      <w:r w:rsidRPr="00FA0D37">
        <w:t>,</w:t>
      </w:r>
    </w:p>
    <w:p w14:paraId="52FFF873" w14:textId="31530C67" w:rsidR="00FD0B5C" w:rsidRPr="00FA0D37" w:rsidRDefault="00FD0B5C" w:rsidP="00FA0D37">
      <w:pPr>
        <w:pStyle w:val="PL"/>
      </w:pPr>
      <w:r w:rsidRPr="00FA0D37">
        <w:t xml:space="preserve">            scs-60kHz-r17                               </w:t>
      </w:r>
      <w:r w:rsidRPr="00FA0D37">
        <w:rPr>
          <w:color w:val="993366"/>
        </w:rPr>
        <w:t>ENUMERATED</w:t>
      </w:r>
      <w:r w:rsidRPr="00FA0D37">
        <w:t xml:space="preserve"> {n1, n2, n4, n6, n8, n12, n16, n24, n32, n48, n64}    </w:t>
      </w:r>
      <w:r w:rsidRPr="00FA0D37">
        <w:rPr>
          <w:color w:val="993366"/>
        </w:rPr>
        <w:t>OPTIONAL</w:t>
      </w:r>
      <w:r w:rsidRPr="00FA0D37">
        <w:t>,</w:t>
      </w:r>
    </w:p>
    <w:p w14:paraId="40EB3AE1" w14:textId="70300FE9" w:rsidR="00FD0B5C" w:rsidRPr="00FA0D37" w:rsidRDefault="00FD0B5C" w:rsidP="00FA0D37">
      <w:pPr>
        <w:pStyle w:val="PL"/>
      </w:pPr>
      <w:r w:rsidRPr="00FA0D37">
        <w:t xml:space="preserve">            scs-120kHz-r17                              </w:t>
      </w:r>
      <w:r w:rsidRPr="00FA0D37">
        <w:rPr>
          <w:color w:val="993366"/>
        </w:rPr>
        <w:t>ENUMERATED</w:t>
      </w:r>
      <w:r w:rsidRPr="00FA0D37">
        <w:t xml:space="preserve"> {n1, n2, n4, n6, n8, n12, n16, n24, n32, n48, n64}    </w:t>
      </w:r>
      <w:r w:rsidRPr="00FA0D37">
        <w:rPr>
          <w:color w:val="993366"/>
        </w:rPr>
        <w:t>OPTIONAL</w:t>
      </w:r>
    </w:p>
    <w:p w14:paraId="1B3EA12F" w14:textId="62D394AF" w:rsidR="00FD0B5C" w:rsidRPr="00FA0D37" w:rsidRDefault="00FD0B5C" w:rsidP="00FA0D37">
      <w:pPr>
        <w:pStyle w:val="PL"/>
      </w:pPr>
      <w:r w:rsidRPr="00FA0D37">
        <w:t xml:space="preserve">        }</w:t>
      </w:r>
    </w:p>
    <w:p w14:paraId="4CBA3A93" w14:textId="0458FB42" w:rsidR="00FD0B5C" w:rsidRPr="00FA0D37" w:rsidRDefault="00FD0B5C" w:rsidP="00FA0D37">
      <w:pPr>
        <w:pStyle w:val="PL"/>
      </w:pPr>
      <w:r w:rsidRPr="00FA0D37">
        <w:t xml:space="preserve">    }                                                                                                                    </w:t>
      </w:r>
      <w:r w:rsidRPr="00FA0D37">
        <w:rPr>
          <w:color w:val="993366"/>
        </w:rPr>
        <w:t>OPTIONAL</w:t>
      </w:r>
      <w:r w:rsidRPr="00FA0D37">
        <w:t>,</w:t>
      </w:r>
    </w:p>
    <w:p w14:paraId="1F660394" w14:textId="54FDFDF2" w:rsidR="00FD0B5C" w:rsidRPr="00FA0D37" w:rsidRDefault="00FD0B5C" w:rsidP="00FA0D37">
      <w:pPr>
        <w:pStyle w:val="PL"/>
        <w:rPr>
          <w:color w:val="808080"/>
        </w:rPr>
      </w:pPr>
      <w:r w:rsidRPr="00FA0D37">
        <w:t xml:space="preserve">    </w:t>
      </w:r>
      <w:r w:rsidRPr="00FA0D37">
        <w:rPr>
          <w:color w:val="808080"/>
        </w:rPr>
        <w:t>-- R1 33-5-1: SPS group-common PDSCH for multicast</w:t>
      </w:r>
      <w:r w:rsidR="00691952" w:rsidRPr="00FA0D37">
        <w:rPr>
          <w:color w:val="808080"/>
        </w:rPr>
        <w:t xml:space="preserve"> on PCell</w:t>
      </w:r>
    </w:p>
    <w:p w14:paraId="27A40701" w14:textId="32823A33" w:rsidR="00FD0B5C" w:rsidRPr="00FA0D37" w:rsidRDefault="00FD0B5C" w:rsidP="00FA0D37">
      <w:pPr>
        <w:pStyle w:val="PL"/>
      </w:pPr>
      <w:r w:rsidRPr="00FA0D37">
        <w:t xml:space="preserve">    sps-Multicast-r17                           </w:t>
      </w:r>
      <w:r w:rsidRPr="00FA0D37">
        <w:rPr>
          <w:color w:val="993366"/>
        </w:rPr>
        <w:t>ENUMERATED</w:t>
      </w:r>
      <w:r w:rsidRPr="00FA0D37">
        <w:t xml:space="preserve"> {supported}                                                   </w:t>
      </w:r>
      <w:r w:rsidRPr="00FA0D37">
        <w:rPr>
          <w:color w:val="993366"/>
        </w:rPr>
        <w:t>OPTIONAL</w:t>
      </w:r>
    </w:p>
    <w:p w14:paraId="0D2FE97C" w14:textId="77777777" w:rsidR="00691952" w:rsidRPr="00FA0D37" w:rsidRDefault="00FD0B5C" w:rsidP="00FA0D37">
      <w:pPr>
        <w:pStyle w:val="PL"/>
      </w:pPr>
      <w:r w:rsidRPr="00FA0D37">
        <w:t>}</w:t>
      </w:r>
    </w:p>
    <w:p w14:paraId="021CDEFE" w14:textId="77777777" w:rsidR="00691952" w:rsidRPr="00FA0D37" w:rsidRDefault="00691952" w:rsidP="00FA0D37">
      <w:pPr>
        <w:pStyle w:val="PL"/>
      </w:pPr>
    </w:p>
    <w:p w14:paraId="28A35871" w14:textId="4FFA39FE" w:rsidR="00691952" w:rsidRPr="00FA0D37" w:rsidRDefault="00691952" w:rsidP="00FA0D37">
      <w:pPr>
        <w:pStyle w:val="PL"/>
      </w:pPr>
      <w:r w:rsidRPr="00FA0D37">
        <w:t xml:space="preserve">FeatureSetDownlink-v1730 ::=                </w:t>
      </w:r>
      <w:r w:rsidRPr="00FA0D37">
        <w:rPr>
          <w:color w:val="993366"/>
        </w:rPr>
        <w:t>SEQUENCE</w:t>
      </w:r>
      <w:r w:rsidRPr="00FA0D37">
        <w:t xml:space="preserve"> {</w:t>
      </w:r>
    </w:p>
    <w:p w14:paraId="1D84BA4D" w14:textId="77777777" w:rsidR="00691952" w:rsidRPr="00FA0D37" w:rsidRDefault="00691952" w:rsidP="00FA0D37">
      <w:pPr>
        <w:pStyle w:val="PL"/>
        <w:rPr>
          <w:color w:val="808080"/>
        </w:rPr>
      </w:pPr>
      <w:r w:rsidRPr="00FA0D37">
        <w:lastRenderedPageBreak/>
        <w:t xml:space="preserve">    </w:t>
      </w:r>
      <w:r w:rsidRPr="00FA0D37">
        <w:rPr>
          <w:color w:val="808080"/>
        </w:rPr>
        <w:t>-- R1 25-19b: Support of PRS as spatial relation RS for SRS</w:t>
      </w:r>
    </w:p>
    <w:p w14:paraId="07EBDEE3" w14:textId="77777777" w:rsidR="00691952" w:rsidRPr="00FA0D37" w:rsidRDefault="00691952" w:rsidP="00FA0D37">
      <w:pPr>
        <w:pStyle w:val="PL"/>
      </w:pPr>
      <w:r w:rsidRPr="00FA0D37">
        <w:t xml:space="preserve">    prs-AsSpatialRelationRS-For-SRS-r17         </w:t>
      </w:r>
      <w:r w:rsidRPr="00FA0D37">
        <w:rPr>
          <w:color w:val="993366"/>
        </w:rPr>
        <w:t>ENUMERATED</w:t>
      </w:r>
      <w:r w:rsidRPr="00FA0D37">
        <w:t xml:space="preserve"> {supported}                                                   </w:t>
      </w:r>
      <w:r w:rsidRPr="00FA0D37">
        <w:rPr>
          <w:color w:val="993366"/>
        </w:rPr>
        <w:t>OPTIONAL</w:t>
      </w:r>
    </w:p>
    <w:p w14:paraId="58404A3E" w14:textId="7ED265CE" w:rsidR="00FD0B5C" w:rsidRPr="00FA0D37" w:rsidRDefault="00691952" w:rsidP="00FA0D37">
      <w:pPr>
        <w:pStyle w:val="PL"/>
      </w:pPr>
      <w:r w:rsidRPr="00FA0D37">
        <w:t>}</w:t>
      </w:r>
    </w:p>
    <w:p w14:paraId="6229BA29" w14:textId="77777777" w:rsidR="00FD0B5C" w:rsidRPr="00FA0D37" w:rsidRDefault="00FD0B5C" w:rsidP="00FA0D37">
      <w:pPr>
        <w:pStyle w:val="PL"/>
      </w:pPr>
    </w:p>
    <w:p w14:paraId="6020E613" w14:textId="77777777" w:rsidR="00394471" w:rsidRPr="00FA0D37" w:rsidRDefault="00394471" w:rsidP="00FA0D37">
      <w:pPr>
        <w:pStyle w:val="PL"/>
      </w:pPr>
      <w:r w:rsidRPr="00FA0D37">
        <w:t xml:space="preserve">PDCCH-MonitoringOccasions-r16 ::= </w:t>
      </w:r>
      <w:r w:rsidRPr="00FA0D37">
        <w:rPr>
          <w:color w:val="993366"/>
        </w:rPr>
        <w:t>SEQUENCE</w:t>
      </w:r>
      <w:r w:rsidRPr="00FA0D37">
        <w:t xml:space="preserve"> {</w:t>
      </w:r>
    </w:p>
    <w:p w14:paraId="692744DC" w14:textId="77777777" w:rsidR="00394471" w:rsidRPr="00FA0D37" w:rsidRDefault="00394471" w:rsidP="00FA0D37">
      <w:pPr>
        <w:pStyle w:val="PL"/>
      </w:pPr>
      <w:r w:rsidRPr="00FA0D37">
        <w:t xml:space="preserve">    period7span3-r16                  </w:t>
      </w:r>
      <w:r w:rsidRPr="00FA0D37">
        <w:rPr>
          <w:color w:val="993366"/>
        </w:rPr>
        <w:t>ENUMERATED</w:t>
      </w:r>
      <w:r w:rsidRPr="00FA0D37">
        <w:t xml:space="preserve"> {supported}                 </w:t>
      </w:r>
      <w:r w:rsidRPr="00FA0D37">
        <w:rPr>
          <w:color w:val="993366"/>
        </w:rPr>
        <w:t>OPTIONAL</w:t>
      </w:r>
      <w:r w:rsidRPr="00FA0D37">
        <w:t>,</w:t>
      </w:r>
    </w:p>
    <w:p w14:paraId="2289A396" w14:textId="77777777" w:rsidR="00394471" w:rsidRPr="00FA0D37" w:rsidRDefault="00394471" w:rsidP="00FA0D37">
      <w:pPr>
        <w:pStyle w:val="PL"/>
      </w:pPr>
      <w:r w:rsidRPr="00FA0D37">
        <w:t xml:space="preserve">    period4span3-r16                  </w:t>
      </w:r>
      <w:r w:rsidRPr="00FA0D37">
        <w:rPr>
          <w:color w:val="993366"/>
        </w:rPr>
        <w:t>ENUMERATED</w:t>
      </w:r>
      <w:r w:rsidRPr="00FA0D37">
        <w:t xml:space="preserve"> {supported}                 </w:t>
      </w:r>
      <w:r w:rsidRPr="00FA0D37">
        <w:rPr>
          <w:color w:val="993366"/>
        </w:rPr>
        <w:t>OPTIONAL</w:t>
      </w:r>
      <w:r w:rsidRPr="00FA0D37">
        <w:t>,</w:t>
      </w:r>
    </w:p>
    <w:p w14:paraId="1555680B" w14:textId="77777777" w:rsidR="00394471" w:rsidRPr="00FA0D37" w:rsidRDefault="00394471" w:rsidP="00FA0D37">
      <w:pPr>
        <w:pStyle w:val="PL"/>
      </w:pPr>
      <w:r w:rsidRPr="00FA0D37">
        <w:t xml:space="preserve">    period2span2-r16                  </w:t>
      </w:r>
      <w:r w:rsidRPr="00FA0D37">
        <w:rPr>
          <w:color w:val="993366"/>
        </w:rPr>
        <w:t>ENUMERATED</w:t>
      </w:r>
      <w:r w:rsidRPr="00FA0D37">
        <w:t xml:space="preserve"> {supported}                 </w:t>
      </w:r>
      <w:r w:rsidRPr="00FA0D37">
        <w:rPr>
          <w:color w:val="993366"/>
        </w:rPr>
        <w:t>OPTIONAL</w:t>
      </w:r>
    </w:p>
    <w:p w14:paraId="08852A78" w14:textId="77777777" w:rsidR="00394471" w:rsidRPr="00FA0D37" w:rsidRDefault="00394471" w:rsidP="00FA0D37">
      <w:pPr>
        <w:pStyle w:val="PL"/>
      </w:pPr>
      <w:r w:rsidRPr="00FA0D37">
        <w:t>}</w:t>
      </w:r>
    </w:p>
    <w:p w14:paraId="025C27D1" w14:textId="77777777" w:rsidR="00B166EA" w:rsidRPr="00FA0D37" w:rsidRDefault="00B166EA" w:rsidP="00FA0D37">
      <w:pPr>
        <w:pStyle w:val="PL"/>
      </w:pPr>
    </w:p>
    <w:p w14:paraId="24702CF5" w14:textId="4675DDDD" w:rsidR="00B166EA" w:rsidRPr="00FA0D37" w:rsidRDefault="00B166EA" w:rsidP="00FA0D37">
      <w:pPr>
        <w:pStyle w:val="PL"/>
      </w:pPr>
      <w:r w:rsidRPr="00FA0D37">
        <w:t xml:space="preserve">PDCCH-RepetitionParameters-r17 ::= </w:t>
      </w:r>
      <w:r w:rsidRPr="00FA0D37">
        <w:rPr>
          <w:color w:val="993366"/>
        </w:rPr>
        <w:t>SEQUENCE</w:t>
      </w:r>
      <w:r w:rsidRPr="00FA0D37">
        <w:t xml:space="preserve"> {</w:t>
      </w:r>
    </w:p>
    <w:p w14:paraId="7E79770A" w14:textId="458D347C" w:rsidR="00B166EA" w:rsidRPr="00FA0D37" w:rsidRDefault="00B166EA" w:rsidP="00FA0D37">
      <w:pPr>
        <w:pStyle w:val="PL"/>
      </w:pPr>
      <w:r w:rsidRPr="00FA0D37">
        <w:t xml:space="preserve">    supportedMode-r17                  </w:t>
      </w:r>
      <w:r w:rsidRPr="00FA0D37">
        <w:rPr>
          <w:color w:val="993366"/>
        </w:rPr>
        <w:t>ENUMERATED</w:t>
      </w:r>
      <w:r w:rsidRPr="00FA0D37">
        <w:t xml:space="preserve"> {intra-span, inter-span, both},</w:t>
      </w:r>
    </w:p>
    <w:p w14:paraId="14D8A8C8" w14:textId="3322756A" w:rsidR="00B166EA" w:rsidRPr="00FA0D37" w:rsidRDefault="00B166EA" w:rsidP="00FA0D37">
      <w:pPr>
        <w:pStyle w:val="PL"/>
      </w:pPr>
      <w:r w:rsidRPr="00FA0D37">
        <w:t xml:space="preserve">    limitX-PerCC-r17                   </w:t>
      </w:r>
      <w:r w:rsidRPr="00FA0D37">
        <w:rPr>
          <w:color w:val="993366"/>
        </w:rPr>
        <w:t>ENUMERATED</w:t>
      </w:r>
      <w:r w:rsidRPr="00FA0D37">
        <w:t xml:space="preserve"> {n4, n8, n16, n32, n44, n64, nolimit}                      </w:t>
      </w:r>
      <w:r w:rsidRPr="00FA0D37">
        <w:rPr>
          <w:color w:val="993366"/>
        </w:rPr>
        <w:t>OPTIONAL</w:t>
      </w:r>
      <w:r w:rsidRPr="00FA0D37">
        <w:t>,</w:t>
      </w:r>
    </w:p>
    <w:p w14:paraId="56CFB4BB" w14:textId="46C4FC5B" w:rsidR="00B166EA" w:rsidRPr="00FA0D37" w:rsidRDefault="00B166EA" w:rsidP="00FA0D37">
      <w:pPr>
        <w:pStyle w:val="PL"/>
      </w:pPr>
      <w:r w:rsidRPr="00FA0D37">
        <w:t xml:space="preserve">    limitX-AcrossCC-r17                </w:t>
      </w:r>
      <w:r w:rsidRPr="00FA0D37">
        <w:rPr>
          <w:color w:val="993366"/>
        </w:rPr>
        <w:t>ENUMERATED</w:t>
      </w:r>
      <w:r w:rsidRPr="00FA0D37">
        <w:t xml:space="preserve"> {n4, n8, n16, n32, n44, n64, n128, n256, n512, nolimit}    </w:t>
      </w:r>
      <w:r w:rsidRPr="00FA0D37">
        <w:rPr>
          <w:color w:val="993366"/>
        </w:rPr>
        <w:t>OPTIONAL</w:t>
      </w:r>
    </w:p>
    <w:p w14:paraId="79554CFC" w14:textId="77777777" w:rsidR="00B166EA" w:rsidRPr="00FA0D37" w:rsidRDefault="00B166EA" w:rsidP="00FA0D37">
      <w:pPr>
        <w:pStyle w:val="PL"/>
      </w:pPr>
      <w:r w:rsidRPr="00FA0D37">
        <w:t>}</w:t>
      </w:r>
    </w:p>
    <w:p w14:paraId="6254851E" w14:textId="77777777" w:rsidR="00B166EA" w:rsidRPr="00FA0D37" w:rsidRDefault="00B166EA" w:rsidP="00FA0D37">
      <w:pPr>
        <w:pStyle w:val="PL"/>
      </w:pPr>
    </w:p>
    <w:p w14:paraId="575ACCC2" w14:textId="77777777" w:rsidR="00394471" w:rsidRPr="00FA0D37" w:rsidRDefault="00394471" w:rsidP="00FA0D37">
      <w:pPr>
        <w:pStyle w:val="PL"/>
      </w:pPr>
      <w:r w:rsidRPr="00FA0D37">
        <w:t xml:space="preserve">DummyA ::=      </w:t>
      </w:r>
      <w:r w:rsidRPr="00FA0D37">
        <w:rPr>
          <w:color w:val="993366"/>
        </w:rPr>
        <w:t>SEQUENCE</w:t>
      </w:r>
      <w:r w:rsidRPr="00FA0D37">
        <w:t xml:space="preserve"> {</w:t>
      </w:r>
    </w:p>
    <w:p w14:paraId="516E035F" w14:textId="77777777" w:rsidR="00394471" w:rsidRPr="00FA0D37" w:rsidRDefault="00394471" w:rsidP="00FA0D37">
      <w:pPr>
        <w:pStyle w:val="PL"/>
      </w:pPr>
      <w:r w:rsidRPr="00FA0D37">
        <w:t xml:space="preserve">    maxNumberNZP-CSI-RS-PerCC                   </w:t>
      </w:r>
      <w:r w:rsidRPr="00FA0D37">
        <w:rPr>
          <w:color w:val="993366"/>
        </w:rPr>
        <w:t>INTEGER</w:t>
      </w:r>
      <w:r w:rsidRPr="00FA0D37">
        <w:t xml:space="preserve"> (1..32),</w:t>
      </w:r>
    </w:p>
    <w:p w14:paraId="048425A3" w14:textId="77777777" w:rsidR="00394471" w:rsidRPr="00FA0D37" w:rsidRDefault="00394471" w:rsidP="00FA0D37">
      <w:pPr>
        <w:pStyle w:val="PL"/>
      </w:pPr>
      <w:r w:rsidRPr="00FA0D37">
        <w:t xml:space="preserve">    maxNumberPortsAcrossNZP-CSI-RS-PerCC        </w:t>
      </w:r>
      <w:r w:rsidRPr="00FA0D37">
        <w:rPr>
          <w:color w:val="993366"/>
        </w:rPr>
        <w:t>ENUMERATED</w:t>
      </w:r>
      <w:r w:rsidRPr="00FA0D37">
        <w:t xml:space="preserve"> {p2, p4, p8, p12, p16, p24, p32, p40, p48, p56, p64, p72, p80,</w:t>
      </w:r>
    </w:p>
    <w:p w14:paraId="5CA494B0" w14:textId="77777777" w:rsidR="00394471" w:rsidRPr="00FA0D37" w:rsidRDefault="00394471" w:rsidP="00FA0D37">
      <w:pPr>
        <w:pStyle w:val="PL"/>
      </w:pPr>
      <w:r w:rsidRPr="00FA0D37">
        <w:t xml:space="preserve">                                                            p88, p96, p104, p112, p120, p128, p136, p144, p152, p160, p168,</w:t>
      </w:r>
    </w:p>
    <w:p w14:paraId="30E8FFCD" w14:textId="77777777" w:rsidR="00394471" w:rsidRPr="00FA0D37" w:rsidRDefault="00394471" w:rsidP="00FA0D37">
      <w:pPr>
        <w:pStyle w:val="PL"/>
      </w:pPr>
      <w:r w:rsidRPr="00FA0D37">
        <w:t xml:space="preserve">                                                            p176, p184, p192, p200, p208, p216, p224, p232, p240, p248, p256},</w:t>
      </w:r>
    </w:p>
    <w:p w14:paraId="75AA2978" w14:textId="77777777" w:rsidR="00394471" w:rsidRPr="00FA0D37" w:rsidRDefault="00394471" w:rsidP="00FA0D37">
      <w:pPr>
        <w:pStyle w:val="PL"/>
      </w:pPr>
      <w:r w:rsidRPr="00FA0D37">
        <w:t xml:space="preserve">    maxNumberCS-IM-PerCC                        </w:t>
      </w:r>
      <w:r w:rsidRPr="00FA0D37">
        <w:rPr>
          <w:color w:val="993366"/>
        </w:rPr>
        <w:t>ENUMERATED</w:t>
      </w:r>
      <w:r w:rsidRPr="00FA0D37">
        <w:t xml:space="preserve"> {n1, n2, n4, n8, n16, n32},</w:t>
      </w:r>
    </w:p>
    <w:p w14:paraId="1C05E42C" w14:textId="77777777" w:rsidR="00394471" w:rsidRPr="00FA0D37" w:rsidRDefault="00394471" w:rsidP="00FA0D37">
      <w:pPr>
        <w:pStyle w:val="PL"/>
      </w:pPr>
      <w:r w:rsidRPr="00FA0D37">
        <w:t xml:space="preserve">    maxNumberSimultaneousCSI-RS-ActBWP-AllCC    </w:t>
      </w:r>
      <w:r w:rsidRPr="00FA0D37">
        <w:rPr>
          <w:color w:val="993366"/>
        </w:rPr>
        <w:t>ENUMERATED</w:t>
      </w:r>
      <w:r w:rsidRPr="00FA0D37">
        <w:t xml:space="preserve"> {n5, n6, n7, n8, n9, n10, n12, n14, n16, n18, n20, n22, n24, n26,</w:t>
      </w:r>
    </w:p>
    <w:p w14:paraId="290F1DF7" w14:textId="77777777" w:rsidR="00394471" w:rsidRPr="00FA0D37" w:rsidRDefault="00394471" w:rsidP="00FA0D37">
      <w:pPr>
        <w:pStyle w:val="PL"/>
      </w:pPr>
      <w:r w:rsidRPr="00FA0D37">
        <w:t xml:space="preserve">                                                                n28, n30, n32, n34, n36, n38, n40, n42, n44, n46, n48, n50, n52,</w:t>
      </w:r>
    </w:p>
    <w:p w14:paraId="43FD4620" w14:textId="77777777" w:rsidR="00394471" w:rsidRPr="00FA0D37" w:rsidRDefault="00394471" w:rsidP="00FA0D37">
      <w:pPr>
        <w:pStyle w:val="PL"/>
      </w:pPr>
      <w:r w:rsidRPr="00FA0D37">
        <w:t xml:space="preserve">                                                                n54, n56, n58, n60, n62, n64},</w:t>
      </w:r>
    </w:p>
    <w:p w14:paraId="667818B5" w14:textId="77777777" w:rsidR="00394471" w:rsidRPr="00FA0D37" w:rsidRDefault="00394471" w:rsidP="00FA0D37">
      <w:pPr>
        <w:pStyle w:val="PL"/>
      </w:pPr>
      <w:r w:rsidRPr="00FA0D37">
        <w:t xml:space="preserve">    totalNumberPortsSimultaneousCSI-RS-ActBWP-AllCC </w:t>
      </w:r>
      <w:r w:rsidRPr="00FA0D37">
        <w:rPr>
          <w:color w:val="993366"/>
        </w:rPr>
        <w:t>ENUMERATED</w:t>
      </w:r>
      <w:r w:rsidRPr="00FA0D37">
        <w:t xml:space="preserve"> {p8, p12, p16, p24, p32, p40, p48, p56, p64, p72, p80,</w:t>
      </w:r>
    </w:p>
    <w:p w14:paraId="2858C4DA" w14:textId="77777777" w:rsidR="00394471" w:rsidRPr="00FA0D37" w:rsidRDefault="00394471" w:rsidP="00FA0D37">
      <w:pPr>
        <w:pStyle w:val="PL"/>
      </w:pPr>
      <w:r w:rsidRPr="00FA0D37">
        <w:t xml:space="preserve">                                                                p88, p96, p104, p112, p120, p128, p136, p144, p152, p160, p168,</w:t>
      </w:r>
    </w:p>
    <w:p w14:paraId="7084A4A7" w14:textId="77777777" w:rsidR="00394471" w:rsidRPr="00FA0D37" w:rsidRDefault="00394471" w:rsidP="00FA0D37">
      <w:pPr>
        <w:pStyle w:val="PL"/>
      </w:pPr>
      <w:r w:rsidRPr="00FA0D37">
        <w:t xml:space="preserve">                                                                p176, p184, p192, p200, p208, p216, p224, p232, p240, p248, p256}</w:t>
      </w:r>
    </w:p>
    <w:p w14:paraId="2BAD831F" w14:textId="77777777" w:rsidR="00394471" w:rsidRPr="00FA0D37" w:rsidRDefault="00394471" w:rsidP="00FA0D37">
      <w:pPr>
        <w:pStyle w:val="PL"/>
      </w:pPr>
      <w:r w:rsidRPr="00FA0D37">
        <w:t>}</w:t>
      </w:r>
    </w:p>
    <w:p w14:paraId="3A8BF7D5" w14:textId="77777777" w:rsidR="00394471" w:rsidRPr="00FA0D37" w:rsidRDefault="00394471" w:rsidP="00FA0D37">
      <w:pPr>
        <w:pStyle w:val="PL"/>
      </w:pPr>
    </w:p>
    <w:p w14:paraId="26AF695E" w14:textId="77777777" w:rsidR="00394471" w:rsidRPr="00FA0D37" w:rsidRDefault="00394471" w:rsidP="00FA0D37">
      <w:pPr>
        <w:pStyle w:val="PL"/>
      </w:pPr>
      <w:r w:rsidRPr="00FA0D37">
        <w:t xml:space="preserve">DummyB ::=       </w:t>
      </w:r>
      <w:r w:rsidRPr="00FA0D37">
        <w:rPr>
          <w:color w:val="993366"/>
        </w:rPr>
        <w:t>SEQUENCE</w:t>
      </w:r>
      <w:r w:rsidRPr="00FA0D37">
        <w:t xml:space="preserve"> {</w:t>
      </w:r>
    </w:p>
    <w:p w14:paraId="3269FD76" w14:textId="77777777" w:rsidR="00394471" w:rsidRPr="00FA0D37" w:rsidRDefault="00394471" w:rsidP="00FA0D37">
      <w:pPr>
        <w:pStyle w:val="PL"/>
      </w:pPr>
      <w:r w:rsidRPr="00FA0D37">
        <w:t xml:space="preserve">    maxNumberTxPortsPerResource         </w:t>
      </w:r>
      <w:r w:rsidRPr="00FA0D37">
        <w:rPr>
          <w:color w:val="993366"/>
        </w:rPr>
        <w:t>ENUMERATED</w:t>
      </w:r>
      <w:r w:rsidRPr="00FA0D37">
        <w:t xml:space="preserve"> {p2, p4, p8, p12, p16, p24, p32},</w:t>
      </w:r>
    </w:p>
    <w:p w14:paraId="272D6831" w14:textId="77777777" w:rsidR="00394471" w:rsidRPr="00FA0D37" w:rsidRDefault="00394471" w:rsidP="00FA0D37">
      <w:pPr>
        <w:pStyle w:val="PL"/>
      </w:pPr>
      <w:r w:rsidRPr="00FA0D37">
        <w:t xml:space="preserve">    maxNumberResources                  </w:t>
      </w:r>
      <w:r w:rsidRPr="00FA0D37">
        <w:rPr>
          <w:color w:val="993366"/>
        </w:rPr>
        <w:t>INTEGER</w:t>
      </w:r>
      <w:r w:rsidRPr="00FA0D37">
        <w:t xml:space="preserve"> (1..64),</w:t>
      </w:r>
    </w:p>
    <w:p w14:paraId="1402EEDA" w14:textId="77777777" w:rsidR="00394471" w:rsidRPr="00FA0D37" w:rsidRDefault="00394471" w:rsidP="00FA0D37">
      <w:pPr>
        <w:pStyle w:val="PL"/>
      </w:pPr>
      <w:r w:rsidRPr="00FA0D37">
        <w:t xml:space="preserve">    totalNumberTxPorts                  </w:t>
      </w:r>
      <w:r w:rsidRPr="00FA0D37">
        <w:rPr>
          <w:color w:val="993366"/>
        </w:rPr>
        <w:t>INTEGER</w:t>
      </w:r>
      <w:r w:rsidRPr="00FA0D37">
        <w:t xml:space="preserve"> (2..256),</w:t>
      </w:r>
    </w:p>
    <w:p w14:paraId="4F91ECDF" w14:textId="77777777" w:rsidR="00394471" w:rsidRPr="00FA0D37" w:rsidRDefault="00394471" w:rsidP="00FA0D37">
      <w:pPr>
        <w:pStyle w:val="PL"/>
      </w:pPr>
      <w:r w:rsidRPr="00FA0D37">
        <w:t xml:space="preserve">    supportedCodebookMode               </w:t>
      </w:r>
      <w:r w:rsidRPr="00FA0D37">
        <w:rPr>
          <w:color w:val="993366"/>
        </w:rPr>
        <w:t>ENUMERATED</w:t>
      </w:r>
      <w:r w:rsidRPr="00FA0D37">
        <w:t xml:space="preserve"> {mode1, mode1AndMode2},</w:t>
      </w:r>
    </w:p>
    <w:p w14:paraId="2C391263" w14:textId="77777777" w:rsidR="00394471" w:rsidRPr="00FA0D37" w:rsidRDefault="00394471" w:rsidP="00FA0D37">
      <w:pPr>
        <w:pStyle w:val="PL"/>
      </w:pPr>
      <w:r w:rsidRPr="00FA0D37">
        <w:t xml:space="preserve">    maxNumberCSI-RS-PerResourceSet      </w:t>
      </w:r>
      <w:r w:rsidRPr="00FA0D37">
        <w:rPr>
          <w:color w:val="993366"/>
        </w:rPr>
        <w:t>INTEGER</w:t>
      </w:r>
      <w:r w:rsidRPr="00FA0D37">
        <w:t xml:space="preserve"> (1..8)</w:t>
      </w:r>
    </w:p>
    <w:p w14:paraId="24831E9B" w14:textId="77777777" w:rsidR="00394471" w:rsidRPr="00FA0D37" w:rsidRDefault="00394471" w:rsidP="00FA0D37">
      <w:pPr>
        <w:pStyle w:val="PL"/>
      </w:pPr>
      <w:r w:rsidRPr="00FA0D37">
        <w:t>}</w:t>
      </w:r>
    </w:p>
    <w:p w14:paraId="5539F474" w14:textId="77777777" w:rsidR="00394471" w:rsidRPr="00FA0D37" w:rsidRDefault="00394471" w:rsidP="00FA0D37">
      <w:pPr>
        <w:pStyle w:val="PL"/>
      </w:pPr>
    </w:p>
    <w:p w14:paraId="2B63DF4F" w14:textId="77777777" w:rsidR="00394471" w:rsidRPr="00FA0D37" w:rsidRDefault="00394471" w:rsidP="00FA0D37">
      <w:pPr>
        <w:pStyle w:val="PL"/>
      </w:pPr>
      <w:r w:rsidRPr="00FA0D37">
        <w:t xml:space="preserve">DummyC ::=        </w:t>
      </w:r>
      <w:r w:rsidRPr="00FA0D37">
        <w:rPr>
          <w:color w:val="993366"/>
        </w:rPr>
        <w:t>SEQUENCE</w:t>
      </w:r>
      <w:r w:rsidRPr="00FA0D37">
        <w:t xml:space="preserve"> {</w:t>
      </w:r>
    </w:p>
    <w:p w14:paraId="317A9305" w14:textId="77777777" w:rsidR="00394471" w:rsidRPr="00FA0D37" w:rsidRDefault="00394471" w:rsidP="00FA0D37">
      <w:pPr>
        <w:pStyle w:val="PL"/>
      </w:pPr>
      <w:r w:rsidRPr="00FA0D37">
        <w:t xml:space="preserve">    maxNumberTxPortsPerResource         </w:t>
      </w:r>
      <w:r w:rsidRPr="00FA0D37">
        <w:rPr>
          <w:color w:val="993366"/>
        </w:rPr>
        <w:t>ENUMERATED</w:t>
      </w:r>
      <w:r w:rsidRPr="00FA0D37">
        <w:t xml:space="preserve"> {p8, p16, p32},</w:t>
      </w:r>
    </w:p>
    <w:p w14:paraId="4666FEEF" w14:textId="77777777" w:rsidR="00394471" w:rsidRPr="00FA0D37" w:rsidRDefault="00394471" w:rsidP="00FA0D37">
      <w:pPr>
        <w:pStyle w:val="PL"/>
      </w:pPr>
      <w:r w:rsidRPr="00FA0D37">
        <w:t xml:space="preserve">    maxNumberResources                  </w:t>
      </w:r>
      <w:r w:rsidRPr="00FA0D37">
        <w:rPr>
          <w:color w:val="993366"/>
        </w:rPr>
        <w:t>INTEGER</w:t>
      </w:r>
      <w:r w:rsidRPr="00FA0D37">
        <w:t xml:space="preserve"> (1..64),</w:t>
      </w:r>
    </w:p>
    <w:p w14:paraId="784EE1AD" w14:textId="77777777" w:rsidR="00394471" w:rsidRPr="00FA0D37" w:rsidRDefault="00394471" w:rsidP="00FA0D37">
      <w:pPr>
        <w:pStyle w:val="PL"/>
      </w:pPr>
      <w:r w:rsidRPr="00FA0D37">
        <w:t xml:space="preserve">    totalNumberTxPorts                  </w:t>
      </w:r>
      <w:r w:rsidRPr="00FA0D37">
        <w:rPr>
          <w:color w:val="993366"/>
        </w:rPr>
        <w:t>INTEGER</w:t>
      </w:r>
      <w:r w:rsidRPr="00FA0D37">
        <w:t xml:space="preserve"> (2..256),</w:t>
      </w:r>
    </w:p>
    <w:p w14:paraId="0534954C" w14:textId="77777777" w:rsidR="00394471" w:rsidRPr="00FA0D37" w:rsidRDefault="00394471" w:rsidP="00FA0D37">
      <w:pPr>
        <w:pStyle w:val="PL"/>
      </w:pPr>
      <w:r w:rsidRPr="00FA0D37">
        <w:t xml:space="preserve">    supportedCodebookMode               </w:t>
      </w:r>
      <w:r w:rsidRPr="00FA0D37">
        <w:rPr>
          <w:color w:val="993366"/>
        </w:rPr>
        <w:t>ENUMERATED</w:t>
      </w:r>
      <w:r w:rsidRPr="00FA0D37">
        <w:t xml:space="preserve"> {mode1, mode2, both},</w:t>
      </w:r>
    </w:p>
    <w:p w14:paraId="4D504A5E" w14:textId="77777777" w:rsidR="00394471" w:rsidRPr="00FA0D37" w:rsidRDefault="00394471" w:rsidP="00FA0D37">
      <w:pPr>
        <w:pStyle w:val="PL"/>
      </w:pPr>
      <w:r w:rsidRPr="00FA0D37">
        <w:t xml:space="preserve">    supportedNumberPanels               </w:t>
      </w:r>
      <w:r w:rsidRPr="00FA0D37">
        <w:rPr>
          <w:color w:val="993366"/>
        </w:rPr>
        <w:t>ENUMERATED</w:t>
      </w:r>
      <w:r w:rsidRPr="00FA0D37">
        <w:t xml:space="preserve"> {n2, n4},</w:t>
      </w:r>
    </w:p>
    <w:p w14:paraId="1C41D61C" w14:textId="77777777" w:rsidR="00394471" w:rsidRPr="00FA0D37" w:rsidRDefault="00394471" w:rsidP="00FA0D37">
      <w:pPr>
        <w:pStyle w:val="PL"/>
      </w:pPr>
      <w:r w:rsidRPr="00FA0D37">
        <w:t xml:space="preserve">    maxNumberCSI-RS-PerResourceSet      </w:t>
      </w:r>
      <w:r w:rsidRPr="00FA0D37">
        <w:rPr>
          <w:color w:val="993366"/>
        </w:rPr>
        <w:t>INTEGER</w:t>
      </w:r>
      <w:r w:rsidRPr="00FA0D37">
        <w:t xml:space="preserve"> (1..8)</w:t>
      </w:r>
    </w:p>
    <w:p w14:paraId="24BFC179" w14:textId="77777777" w:rsidR="00394471" w:rsidRPr="00FA0D37" w:rsidRDefault="00394471" w:rsidP="00FA0D37">
      <w:pPr>
        <w:pStyle w:val="PL"/>
      </w:pPr>
      <w:r w:rsidRPr="00FA0D37">
        <w:t>}</w:t>
      </w:r>
    </w:p>
    <w:p w14:paraId="6B6DF581" w14:textId="77777777" w:rsidR="00394471" w:rsidRPr="00FA0D37" w:rsidRDefault="00394471" w:rsidP="00FA0D37">
      <w:pPr>
        <w:pStyle w:val="PL"/>
      </w:pPr>
    </w:p>
    <w:p w14:paraId="747038B1" w14:textId="77777777" w:rsidR="00394471" w:rsidRPr="00FA0D37" w:rsidRDefault="00394471" w:rsidP="00FA0D37">
      <w:pPr>
        <w:pStyle w:val="PL"/>
      </w:pPr>
      <w:r w:rsidRPr="00FA0D37">
        <w:t xml:space="preserve">DummyD ::=                 </w:t>
      </w:r>
      <w:r w:rsidRPr="00FA0D37">
        <w:rPr>
          <w:color w:val="993366"/>
        </w:rPr>
        <w:t>SEQUENCE</w:t>
      </w:r>
      <w:r w:rsidRPr="00FA0D37">
        <w:t xml:space="preserve"> {</w:t>
      </w:r>
    </w:p>
    <w:p w14:paraId="103BCE9F" w14:textId="77777777" w:rsidR="00394471" w:rsidRPr="00FA0D37" w:rsidRDefault="00394471" w:rsidP="00FA0D37">
      <w:pPr>
        <w:pStyle w:val="PL"/>
      </w:pPr>
      <w:r w:rsidRPr="00FA0D37">
        <w:t xml:space="preserve">    maxNumberTxPortsPerResource         </w:t>
      </w:r>
      <w:r w:rsidRPr="00FA0D37">
        <w:rPr>
          <w:color w:val="993366"/>
        </w:rPr>
        <w:t>ENUMERATED</w:t>
      </w:r>
      <w:r w:rsidRPr="00FA0D37">
        <w:t xml:space="preserve"> {p4, p8, p12, p16, p24, p32},</w:t>
      </w:r>
    </w:p>
    <w:p w14:paraId="61726807" w14:textId="77777777" w:rsidR="00394471" w:rsidRPr="00FA0D37" w:rsidRDefault="00394471" w:rsidP="00FA0D37">
      <w:pPr>
        <w:pStyle w:val="PL"/>
      </w:pPr>
      <w:r w:rsidRPr="00FA0D37">
        <w:t xml:space="preserve">    maxNumberResources                  </w:t>
      </w:r>
      <w:r w:rsidRPr="00FA0D37">
        <w:rPr>
          <w:color w:val="993366"/>
        </w:rPr>
        <w:t>INTEGER</w:t>
      </w:r>
      <w:r w:rsidRPr="00FA0D37">
        <w:t xml:space="preserve"> (1..64),</w:t>
      </w:r>
    </w:p>
    <w:p w14:paraId="7D0DAC35" w14:textId="77777777" w:rsidR="00394471" w:rsidRPr="00FA0D37" w:rsidRDefault="00394471" w:rsidP="00FA0D37">
      <w:pPr>
        <w:pStyle w:val="PL"/>
      </w:pPr>
      <w:r w:rsidRPr="00FA0D37">
        <w:t xml:space="preserve">    totalNumberTxPorts                  </w:t>
      </w:r>
      <w:r w:rsidRPr="00FA0D37">
        <w:rPr>
          <w:color w:val="993366"/>
        </w:rPr>
        <w:t>INTEGER</w:t>
      </w:r>
      <w:r w:rsidRPr="00FA0D37">
        <w:t xml:space="preserve"> (2..256),</w:t>
      </w:r>
    </w:p>
    <w:p w14:paraId="10945B07" w14:textId="77777777" w:rsidR="00394471" w:rsidRPr="00FA0D37" w:rsidRDefault="00394471" w:rsidP="00FA0D37">
      <w:pPr>
        <w:pStyle w:val="PL"/>
      </w:pPr>
      <w:r w:rsidRPr="00FA0D37">
        <w:lastRenderedPageBreak/>
        <w:t xml:space="preserve">    parameterLx                         </w:t>
      </w:r>
      <w:r w:rsidRPr="00FA0D37">
        <w:rPr>
          <w:color w:val="993366"/>
        </w:rPr>
        <w:t>INTEGER</w:t>
      </w:r>
      <w:r w:rsidRPr="00FA0D37">
        <w:t xml:space="preserve"> (2..4),</w:t>
      </w:r>
    </w:p>
    <w:p w14:paraId="2674D311" w14:textId="77777777" w:rsidR="00394471" w:rsidRPr="00FA0D37" w:rsidRDefault="00394471" w:rsidP="00FA0D37">
      <w:pPr>
        <w:pStyle w:val="PL"/>
      </w:pPr>
      <w:r w:rsidRPr="00FA0D37">
        <w:t xml:space="preserve">    amplitudeScalingType                </w:t>
      </w:r>
      <w:r w:rsidRPr="00FA0D37">
        <w:rPr>
          <w:color w:val="993366"/>
        </w:rPr>
        <w:t>ENUMERATED</w:t>
      </w:r>
      <w:r w:rsidRPr="00FA0D37">
        <w:t xml:space="preserve"> {wideband, widebandAndSubband},</w:t>
      </w:r>
    </w:p>
    <w:p w14:paraId="6AD1FD81" w14:textId="77777777" w:rsidR="00394471" w:rsidRPr="00FA0D37" w:rsidRDefault="00394471" w:rsidP="00FA0D37">
      <w:pPr>
        <w:pStyle w:val="PL"/>
      </w:pPr>
      <w:r w:rsidRPr="00FA0D37">
        <w:t xml:space="preserve">    amplitudeSubsetRestriction          </w:t>
      </w:r>
      <w:r w:rsidRPr="00FA0D37">
        <w:rPr>
          <w:color w:val="993366"/>
        </w:rPr>
        <w:t>ENUMERATED</w:t>
      </w:r>
      <w:r w:rsidRPr="00FA0D37">
        <w:t xml:space="preserve"> {supported}                          </w:t>
      </w:r>
      <w:r w:rsidRPr="00FA0D37">
        <w:rPr>
          <w:color w:val="993366"/>
        </w:rPr>
        <w:t>OPTIONAL</w:t>
      </w:r>
      <w:r w:rsidRPr="00FA0D37">
        <w:t>,</w:t>
      </w:r>
    </w:p>
    <w:p w14:paraId="14F71EE6" w14:textId="77777777" w:rsidR="00394471" w:rsidRPr="00FA0D37" w:rsidRDefault="00394471" w:rsidP="00FA0D37">
      <w:pPr>
        <w:pStyle w:val="PL"/>
      </w:pPr>
      <w:r w:rsidRPr="00FA0D37">
        <w:t xml:space="preserve">    maxNumberCSI-RS-PerResourceSet      </w:t>
      </w:r>
      <w:r w:rsidRPr="00FA0D37">
        <w:rPr>
          <w:color w:val="993366"/>
        </w:rPr>
        <w:t>INTEGER</w:t>
      </w:r>
      <w:r w:rsidRPr="00FA0D37">
        <w:t xml:space="preserve"> (1..8)</w:t>
      </w:r>
    </w:p>
    <w:p w14:paraId="676919B8" w14:textId="77777777" w:rsidR="00394471" w:rsidRPr="00FA0D37" w:rsidRDefault="00394471" w:rsidP="00FA0D37">
      <w:pPr>
        <w:pStyle w:val="PL"/>
      </w:pPr>
      <w:r w:rsidRPr="00FA0D37">
        <w:t>}</w:t>
      </w:r>
    </w:p>
    <w:p w14:paraId="460CA294" w14:textId="77777777" w:rsidR="00394471" w:rsidRPr="00FA0D37" w:rsidRDefault="00394471" w:rsidP="00FA0D37">
      <w:pPr>
        <w:pStyle w:val="PL"/>
      </w:pPr>
    </w:p>
    <w:p w14:paraId="6DC5CF78" w14:textId="77777777" w:rsidR="00394471" w:rsidRPr="00FA0D37" w:rsidRDefault="00394471" w:rsidP="00FA0D37">
      <w:pPr>
        <w:pStyle w:val="PL"/>
      </w:pPr>
      <w:r w:rsidRPr="00FA0D37">
        <w:t xml:space="preserve">DummyE ::=    </w:t>
      </w:r>
      <w:r w:rsidRPr="00FA0D37">
        <w:rPr>
          <w:color w:val="993366"/>
        </w:rPr>
        <w:t>SEQUENCE</w:t>
      </w:r>
      <w:r w:rsidRPr="00FA0D37">
        <w:t xml:space="preserve"> {</w:t>
      </w:r>
    </w:p>
    <w:p w14:paraId="58B52847" w14:textId="77777777" w:rsidR="00394471" w:rsidRPr="00FA0D37" w:rsidRDefault="00394471" w:rsidP="00FA0D37">
      <w:pPr>
        <w:pStyle w:val="PL"/>
      </w:pPr>
      <w:r w:rsidRPr="00FA0D37">
        <w:t xml:space="preserve">    maxNumberTxPortsPerResource         </w:t>
      </w:r>
      <w:r w:rsidRPr="00FA0D37">
        <w:rPr>
          <w:color w:val="993366"/>
        </w:rPr>
        <w:t>ENUMERATED</w:t>
      </w:r>
      <w:r w:rsidRPr="00FA0D37">
        <w:t xml:space="preserve"> {p4, p8, p12, p16, p24, p32},</w:t>
      </w:r>
    </w:p>
    <w:p w14:paraId="38D70509" w14:textId="77777777" w:rsidR="00394471" w:rsidRPr="00FA0D37" w:rsidRDefault="00394471" w:rsidP="00FA0D37">
      <w:pPr>
        <w:pStyle w:val="PL"/>
      </w:pPr>
      <w:r w:rsidRPr="00FA0D37">
        <w:t xml:space="preserve">    maxNumberResources                  </w:t>
      </w:r>
      <w:r w:rsidRPr="00FA0D37">
        <w:rPr>
          <w:color w:val="993366"/>
        </w:rPr>
        <w:t>INTEGER</w:t>
      </w:r>
      <w:r w:rsidRPr="00FA0D37">
        <w:t xml:space="preserve"> (1..64),</w:t>
      </w:r>
    </w:p>
    <w:p w14:paraId="2BE8EA8F" w14:textId="77777777" w:rsidR="00394471" w:rsidRPr="00FA0D37" w:rsidRDefault="00394471" w:rsidP="00FA0D37">
      <w:pPr>
        <w:pStyle w:val="PL"/>
      </w:pPr>
      <w:r w:rsidRPr="00FA0D37">
        <w:t xml:space="preserve">    totalNumberTxPorts                  </w:t>
      </w:r>
      <w:r w:rsidRPr="00FA0D37">
        <w:rPr>
          <w:color w:val="993366"/>
        </w:rPr>
        <w:t>INTEGER</w:t>
      </w:r>
      <w:r w:rsidRPr="00FA0D37">
        <w:t xml:space="preserve"> (2..256),</w:t>
      </w:r>
    </w:p>
    <w:p w14:paraId="217B43F2" w14:textId="77777777" w:rsidR="00394471" w:rsidRPr="00FA0D37" w:rsidRDefault="00394471" w:rsidP="00FA0D37">
      <w:pPr>
        <w:pStyle w:val="PL"/>
      </w:pPr>
      <w:r w:rsidRPr="00FA0D37">
        <w:t xml:space="preserve">    parameterLx                         </w:t>
      </w:r>
      <w:r w:rsidRPr="00FA0D37">
        <w:rPr>
          <w:color w:val="993366"/>
        </w:rPr>
        <w:t>INTEGER</w:t>
      </w:r>
      <w:r w:rsidRPr="00FA0D37">
        <w:t xml:space="preserve"> (2..4),</w:t>
      </w:r>
    </w:p>
    <w:p w14:paraId="10EA6625" w14:textId="77777777" w:rsidR="00394471" w:rsidRPr="00FA0D37" w:rsidRDefault="00394471" w:rsidP="00FA0D37">
      <w:pPr>
        <w:pStyle w:val="PL"/>
      </w:pPr>
      <w:r w:rsidRPr="00FA0D37">
        <w:t xml:space="preserve">    amplitudeScalingType                </w:t>
      </w:r>
      <w:r w:rsidRPr="00FA0D37">
        <w:rPr>
          <w:color w:val="993366"/>
        </w:rPr>
        <w:t>ENUMERATED</w:t>
      </w:r>
      <w:r w:rsidRPr="00FA0D37">
        <w:t xml:space="preserve"> {wideband, widebandAndSubband},</w:t>
      </w:r>
    </w:p>
    <w:p w14:paraId="0B5D5B02" w14:textId="77777777" w:rsidR="00394471" w:rsidRPr="00FA0D37" w:rsidRDefault="00394471" w:rsidP="00FA0D37">
      <w:pPr>
        <w:pStyle w:val="PL"/>
      </w:pPr>
      <w:r w:rsidRPr="00FA0D37">
        <w:t xml:space="preserve">    maxNumberCSI-RS-PerResourceSet      </w:t>
      </w:r>
      <w:r w:rsidRPr="00FA0D37">
        <w:rPr>
          <w:color w:val="993366"/>
        </w:rPr>
        <w:t>INTEGER</w:t>
      </w:r>
      <w:r w:rsidRPr="00FA0D37">
        <w:t xml:space="preserve"> (1..8)</w:t>
      </w:r>
    </w:p>
    <w:p w14:paraId="17790CBC" w14:textId="77777777" w:rsidR="00394471" w:rsidRPr="00FA0D37" w:rsidRDefault="00394471" w:rsidP="00FA0D37">
      <w:pPr>
        <w:pStyle w:val="PL"/>
      </w:pPr>
      <w:r w:rsidRPr="00FA0D37">
        <w:t>}</w:t>
      </w:r>
    </w:p>
    <w:p w14:paraId="19EA33D5" w14:textId="77777777" w:rsidR="00394471" w:rsidRPr="00FA0D37" w:rsidRDefault="00394471" w:rsidP="00FA0D37">
      <w:pPr>
        <w:pStyle w:val="PL"/>
      </w:pPr>
    </w:p>
    <w:p w14:paraId="48D33A4F" w14:textId="77777777" w:rsidR="00394471" w:rsidRPr="00FA0D37" w:rsidRDefault="00394471" w:rsidP="00FA0D37">
      <w:pPr>
        <w:pStyle w:val="PL"/>
        <w:rPr>
          <w:color w:val="808080"/>
        </w:rPr>
      </w:pPr>
      <w:r w:rsidRPr="00FA0D37">
        <w:rPr>
          <w:color w:val="808080"/>
        </w:rPr>
        <w:t>-- TAG-FEATURESETDOWNLINK-STOP</w:t>
      </w:r>
    </w:p>
    <w:p w14:paraId="6A70D0EC" w14:textId="77777777" w:rsidR="00394471" w:rsidRPr="00FA0D37" w:rsidRDefault="00394471" w:rsidP="00FA0D37">
      <w:pPr>
        <w:pStyle w:val="PL"/>
        <w:rPr>
          <w:color w:val="808080"/>
        </w:rPr>
      </w:pPr>
      <w:r w:rsidRPr="00FA0D37">
        <w:rPr>
          <w:color w:val="808080"/>
        </w:rPr>
        <w:t>-- ASN1STOP</w:t>
      </w:r>
    </w:p>
    <w:p w14:paraId="050BE0F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B56F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C2983C" w14:textId="77777777" w:rsidR="00394471" w:rsidRPr="00FA0D37" w:rsidRDefault="00394471" w:rsidP="00964CC4">
            <w:pPr>
              <w:pStyle w:val="TAH"/>
              <w:rPr>
                <w:lang w:eastAsia="sv-SE"/>
              </w:rPr>
            </w:pPr>
            <w:r w:rsidRPr="00FA0D37">
              <w:rPr>
                <w:i/>
                <w:szCs w:val="22"/>
                <w:lang w:eastAsia="sv-SE"/>
              </w:rPr>
              <w:t>FeatureSetDownlink</w:t>
            </w:r>
            <w:r w:rsidRPr="00FA0D37">
              <w:rPr>
                <w:i/>
                <w:lang w:eastAsia="sv-SE"/>
              </w:rPr>
              <w:t xml:space="preserve"> </w:t>
            </w:r>
            <w:r w:rsidRPr="00FA0D37">
              <w:rPr>
                <w:lang w:eastAsia="sv-SE"/>
              </w:rPr>
              <w:t>field descriptions</w:t>
            </w:r>
          </w:p>
        </w:tc>
      </w:tr>
      <w:tr w:rsidR="005C7FF4" w:rsidRPr="00FA0D37" w14:paraId="7CF69D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A69F7" w14:textId="77777777" w:rsidR="00394471" w:rsidRPr="00FA0D37" w:rsidRDefault="00394471" w:rsidP="00964CC4">
            <w:pPr>
              <w:pStyle w:val="TAL"/>
              <w:rPr>
                <w:szCs w:val="22"/>
                <w:lang w:eastAsia="sv-SE"/>
              </w:rPr>
            </w:pPr>
            <w:r w:rsidRPr="00FA0D37">
              <w:rPr>
                <w:b/>
                <w:i/>
                <w:szCs w:val="22"/>
                <w:lang w:eastAsia="sv-SE"/>
              </w:rPr>
              <w:t>featureSetListPerDownlinkCC</w:t>
            </w:r>
          </w:p>
          <w:p w14:paraId="20BFE666" w14:textId="77777777" w:rsidR="00394471" w:rsidRPr="00FA0D37" w:rsidRDefault="00394471" w:rsidP="00964CC4">
            <w:pPr>
              <w:pStyle w:val="TAL"/>
              <w:rPr>
                <w:szCs w:val="22"/>
                <w:lang w:eastAsia="sv-SE"/>
              </w:rPr>
            </w:pPr>
            <w:r w:rsidRPr="00FA0D37">
              <w:rPr>
                <w:szCs w:val="22"/>
                <w:lang w:eastAsia="sv-SE"/>
              </w:rPr>
              <w:t xml:space="preserve">Indicates which features the UE supports on the individual DL carriers of the feature set (and hence of a band entry that refer to the feature set). The UE shall hence include at least as many </w:t>
            </w:r>
            <w:r w:rsidRPr="00FA0D37">
              <w:rPr>
                <w:i/>
                <w:lang w:eastAsia="sv-SE"/>
              </w:rPr>
              <w:t>FeatureSetDownlinkPerCC-Id</w:t>
            </w:r>
            <w:r w:rsidRPr="00FA0D37">
              <w:rPr>
                <w:szCs w:val="22"/>
                <w:lang w:eastAsia="sv-SE"/>
              </w:rPr>
              <w:t xml:space="preserve"> in this list as the number of carriers it supports according to the </w:t>
            </w:r>
            <w:r w:rsidRPr="00FA0D37">
              <w:rPr>
                <w:i/>
                <w:lang w:eastAsia="sv-SE"/>
              </w:rPr>
              <w:t>ca-</w:t>
            </w:r>
            <w:r w:rsidRPr="00FA0D37">
              <w:rPr>
                <w:i/>
                <w:szCs w:val="22"/>
                <w:lang w:eastAsia="sv-SE"/>
              </w:rPr>
              <w:t>B</w:t>
            </w:r>
            <w:r w:rsidRPr="00FA0D37">
              <w:rPr>
                <w:i/>
                <w:lang w:eastAsia="sv-SE"/>
              </w:rPr>
              <w:t>andwidthClassDL</w:t>
            </w:r>
            <w:r w:rsidRPr="00FA0D37">
              <w:rPr>
                <w:lang w:eastAsia="sv-SE"/>
              </w:rPr>
              <w:t xml:space="preserve">, except if indicating additional functionality by reducing the number of </w:t>
            </w:r>
            <w:r w:rsidRPr="00FA0D37">
              <w:rPr>
                <w:i/>
                <w:lang w:eastAsia="sv-SE"/>
              </w:rPr>
              <w:t>FeatureSetDownlinkPerCC-Id</w:t>
            </w:r>
            <w:r w:rsidRPr="00FA0D37">
              <w:rPr>
                <w:lang w:eastAsia="sv-SE"/>
              </w:rPr>
              <w:t xml:space="preserve"> in the feature set (see NOTE 1 in </w:t>
            </w:r>
            <w:r w:rsidRPr="00FA0D37">
              <w:rPr>
                <w:i/>
                <w:lang w:eastAsia="sv-SE"/>
              </w:rPr>
              <w:t>FeatureSetCombination</w:t>
            </w:r>
            <w:r w:rsidRPr="00FA0D37">
              <w:rPr>
                <w:lang w:eastAsia="sv-SE"/>
              </w:rPr>
              <w:t xml:space="preserve"> IE description)</w:t>
            </w:r>
            <w:r w:rsidRPr="00FA0D37">
              <w:rPr>
                <w:szCs w:val="22"/>
                <w:lang w:eastAsia="sv-SE"/>
              </w:rPr>
              <w:t xml:space="preserve">. The order of the elements in this list is not relevant, i.e., the network may configure any of the carriers in accordance with any of the </w:t>
            </w:r>
            <w:r w:rsidRPr="00FA0D37">
              <w:rPr>
                <w:i/>
                <w:lang w:eastAsia="sv-SE"/>
              </w:rPr>
              <w:t>FeatureSetDownlinkPerCC-Id</w:t>
            </w:r>
            <w:r w:rsidRPr="00FA0D37">
              <w:rPr>
                <w:szCs w:val="22"/>
                <w:lang w:eastAsia="sv-SE"/>
              </w:rPr>
              <w:t xml:space="preserve"> in this list.</w:t>
            </w:r>
          </w:p>
        </w:tc>
      </w:tr>
      <w:tr w:rsidR="00394471" w:rsidRPr="00FA0D37" w14:paraId="2D25B3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ED49F" w14:textId="77777777" w:rsidR="00394471" w:rsidRPr="00FA0D37" w:rsidRDefault="00394471" w:rsidP="00964CC4">
            <w:pPr>
              <w:pStyle w:val="TAL"/>
              <w:rPr>
                <w:b/>
                <w:bCs/>
                <w:i/>
                <w:iCs/>
              </w:rPr>
            </w:pPr>
            <w:r w:rsidRPr="00FA0D37">
              <w:rPr>
                <w:b/>
                <w:bCs/>
                <w:i/>
                <w:iCs/>
              </w:rPr>
              <w:t>supportedSRS-Resources</w:t>
            </w:r>
          </w:p>
          <w:p w14:paraId="1A2F8C4A" w14:textId="77777777" w:rsidR="00394471" w:rsidRPr="00FA0D37" w:rsidRDefault="00394471" w:rsidP="00964CC4">
            <w:pPr>
              <w:pStyle w:val="TAL"/>
            </w:pPr>
            <w:r w:rsidRPr="00FA0D37">
              <w:t xml:space="preserve">Indicates supported SRS resources for SRS carrier switching to the band associated with this </w:t>
            </w:r>
            <w:r w:rsidRPr="00FA0D37">
              <w:rPr>
                <w:i/>
                <w:iCs/>
              </w:rPr>
              <w:t>FeatureSetDownlink</w:t>
            </w:r>
            <w:r w:rsidRPr="00FA0D37">
              <w:t xml:space="preserve">. The UE is only allowed to set this field for a band with associated </w:t>
            </w:r>
            <w:r w:rsidRPr="00FA0D37">
              <w:rPr>
                <w:i/>
                <w:iCs/>
              </w:rPr>
              <w:t>FeatureSetUplinkId</w:t>
            </w:r>
            <w:r w:rsidRPr="00FA0D37">
              <w:t xml:space="preserve"> set to 0.</w:t>
            </w:r>
          </w:p>
        </w:tc>
      </w:tr>
    </w:tbl>
    <w:p w14:paraId="1A51B33E" w14:textId="77777777" w:rsidR="00394471" w:rsidRPr="00FA0D37" w:rsidRDefault="00394471" w:rsidP="00394471"/>
    <w:p w14:paraId="4B55FEA1" w14:textId="77777777" w:rsidR="00394471" w:rsidRPr="00FA0D37" w:rsidRDefault="00394471" w:rsidP="00394471">
      <w:pPr>
        <w:pStyle w:val="4"/>
      </w:pPr>
      <w:bookmarkStart w:id="1535" w:name="_Toc60777442"/>
      <w:bookmarkStart w:id="1536" w:name="_Toc146781543"/>
      <w:r w:rsidRPr="00FA0D37">
        <w:t>–</w:t>
      </w:r>
      <w:r w:rsidRPr="00FA0D37">
        <w:tab/>
      </w:r>
      <w:r w:rsidRPr="00FA0D37">
        <w:rPr>
          <w:i/>
        </w:rPr>
        <w:t>FeatureSetDownlinkId</w:t>
      </w:r>
      <w:bookmarkEnd w:id="1535"/>
      <w:bookmarkEnd w:id="1536"/>
    </w:p>
    <w:p w14:paraId="3D164DAA" w14:textId="77777777" w:rsidR="00394471" w:rsidRPr="00FA0D37" w:rsidRDefault="00394471" w:rsidP="00394471">
      <w:r w:rsidRPr="00FA0D37">
        <w:t xml:space="preserve">The IE </w:t>
      </w:r>
      <w:r w:rsidRPr="00FA0D37">
        <w:rPr>
          <w:i/>
        </w:rPr>
        <w:t>FeatureSetDownlinkId</w:t>
      </w:r>
      <w:r w:rsidRPr="00FA0D37">
        <w:t xml:space="preserve"> identifies a downlink feature set. The </w:t>
      </w:r>
      <w:r w:rsidRPr="00FA0D37">
        <w:rPr>
          <w:i/>
        </w:rPr>
        <w:t>FeatureSetDownlinkId</w:t>
      </w:r>
      <w:r w:rsidRPr="00FA0D37">
        <w:t xml:space="preserve"> of a </w:t>
      </w:r>
      <w:r w:rsidRPr="00FA0D37">
        <w:rPr>
          <w:i/>
        </w:rPr>
        <w:t>FeatureSetDownlink</w:t>
      </w:r>
      <w:r w:rsidRPr="00FA0D37">
        <w:t xml:space="preserve"> is the index position of the </w:t>
      </w:r>
      <w:r w:rsidRPr="00FA0D37">
        <w:rPr>
          <w:i/>
        </w:rPr>
        <w:t>FeatureSetDownlink</w:t>
      </w:r>
      <w:r w:rsidRPr="00FA0D37">
        <w:t xml:space="preserve"> in the </w:t>
      </w:r>
      <w:r w:rsidRPr="00FA0D37">
        <w:rPr>
          <w:i/>
        </w:rPr>
        <w:t xml:space="preserve">featureSetsDownlink </w:t>
      </w:r>
      <w:r w:rsidRPr="00FA0D37">
        <w:t xml:space="preserve">list in the </w:t>
      </w:r>
      <w:r w:rsidRPr="00FA0D37">
        <w:rPr>
          <w:i/>
        </w:rPr>
        <w:t>FeatureSets</w:t>
      </w:r>
      <w:r w:rsidRPr="00FA0D37">
        <w:t xml:space="preserve"> IE. The first element in that list is referred to by </w:t>
      </w:r>
      <w:r w:rsidRPr="00FA0D37">
        <w:rPr>
          <w:i/>
        </w:rPr>
        <w:t>FeatureSetDownlinkId</w:t>
      </w:r>
      <w:r w:rsidRPr="00FA0D37">
        <w:t xml:space="preserve"> = 1. The </w:t>
      </w:r>
      <w:r w:rsidRPr="00FA0D37">
        <w:rPr>
          <w:i/>
        </w:rPr>
        <w:t>FeatureSetDownlinkId=0</w:t>
      </w:r>
      <w:r w:rsidRPr="00FA0D37">
        <w:t xml:space="preserve"> is not used by an actual </w:t>
      </w:r>
      <w:r w:rsidRPr="00FA0D37">
        <w:rPr>
          <w:i/>
        </w:rPr>
        <w:t>FeatureSetDownlink</w:t>
      </w:r>
      <w:r w:rsidRPr="00FA0D37">
        <w:t xml:space="preserve"> but means that the UE does not support a carrier in this band of a band combination.</w:t>
      </w:r>
    </w:p>
    <w:p w14:paraId="1BAE512C" w14:textId="77777777" w:rsidR="00394471" w:rsidRPr="00FA0D37" w:rsidRDefault="00394471" w:rsidP="00394471">
      <w:pPr>
        <w:pStyle w:val="TH"/>
      </w:pPr>
      <w:r w:rsidRPr="00FA0D37">
        <w:rPr>
          <w:i/>
        </w:rPr>
        <w:t>FeatureSetDownlinkId</w:t>
      </w:r>
      <w:r w:rsidRPr="00FA0D37">
        <w:t xml:space="preserve"> information element</w:t>
      </w:r>
    </w:p>
    <w:p w14:paraId="096CB35E" w14:textId="77777777" w:rsidR="00394471" w:rsidRPr="00FA0D37" w:rsidRDefault="00394471" w:rsidP="00FA0D37">
      <w:pPr>
        <w:pStyle w:val="PL"/>
        <w:rPr>
          <w:color w:val="808080"/>
        </w:rPr>
      </w:pPr>
      <w:r w:rsidRPr="00FA0D37">
        <w:rPr>
          <w:color w:val="808080"/>
        </w:rPr>
        <w:t>-- ASN1START</w:t>
      </w:r>
    </w:p>
    <w:p w14:paraId="2A29E156" w14:textId="77777777" w:rsidR="00394471" w:rsidRPr="00FA0D37" w:rsidRDefault="00394471" w:rsidP="00FA0D37">
      <w:pPr>
        <w:pStyle w:val="PL"/>
        <w:rPr>
          <w:color w:val="808080"/>
        </w:rPr>
      </w:pPr>
      <w:r w:rsidRPr="00FA0D37">
        <w:rPr>
          <w:color w:val="808080"/>
        </w:rPr>
        <w:t>-- TAG-FEATURESETDOWNLINKID-START</w:t>
      </w:r>
    </w:p>
    <w:p w14:paraId="23B65EF6" w14:textId="77777777" w:rsidR="00394471" w:rsidRPr="00FA0D37" w:rsidRDefault="00394471" w:rsidP="00FA0D37">
      <w:pPr>
        <w:pStyle w:val="PL"/>
      </w:pPr>
    </w:p>
    <w:p w14:paraId="2665B81E" w14:textId="77777777" w:rsidR="00394471" w:rsidRPr="00FA0D37" w:rsidRDefault="00394471" w:rsidP="00FA0D37">
      <w:pPr>
        <w:pStyle w:val="PL"/>
      </w:pPr>
      <w:r w:rsidRPr="00FA0D37">
        <w:t xml:space="preserve">FeatureSetDownlinkId ::=            </w:t>
      </w:r>
      <w:r w:rsidRPr="00FA0D37">
        <w:rPr>
          <w:color w:val="993366"/>
        </w:rPr>
        <w:t>INTEGER</w:t>
      </w:r>
      <w:r w:rsidRPr="00FA0D37">
        <w:t xml:space="preserve"> (0..maxDownlinkFeatureSets)</w:t>
      </w:r>
    </w:p>
    <w:p w14:paraId="27552BF2" w14:textId="77777777" w:rsidR="00394471" w:rsidRPr="00FA0D37" w:rsidRDefault="00394471" w:rsidP="00FA0D37">
      <w:pPr>
        <w:pStyle w:val="PL"/>
      </w:pPr>
    </w:p>
    <w:p w14:paraId="09839C9D" w14:textId="77777777" w:rsidR="00394471" w:rsidRPr="00FA0D37" w:rsidRDefault="00394471" w:rsidP="00FA0D37">
      <w:pPr>
        <w:pStyle w:val="PL"/>
        <w:rPr>
          <w:color w:val="808080"/>
        </w:rPr>
      </w:pPr>
      <w:r w:rsidRPr="00FA0D37">
        <w:rPr>
          <w:color w:val="808080"/>
        </w:rPr>
        <w:t>-- TAG-FEATURESETDOWNLINKID-STOP</w:t>
      </w:r>
    </w:p>
    <w:p w14:paraId="191BE145" w14:textId="77777777" w:rsidR="00394471" w:rsidRPr="00FA0D37" w:rsidRDefault="00394471" w:rsidP="00FA0D37">
      <w:pPr>
        <w:pStyle w:val="PL"/>
        <w:rPr>
          <w:color w:val="808080"/>
        </w:rPr>
      </w:pPr>
      <w:r w:rsidRPr="00FA0D37">
        <w:rPr>
          <w:color w:val="808080"/>
        </w:rPr>
        <w:t>-- ASN1STOP</w:t>
      </w:r>
    </w:p>
    <w:p w14:paraId="5D9DCA50" w14:textId="77777777" w:rsidR="00394471" w:rsidRPr="00FA0D37" w:rsidRDefault="00394471" w:rsidP="00394471"/>
    <w:p w14:paraId="09674C63" w14:textId="77777777" w:rsidR="00394471" w:rsidRPr="00FA0D37" w:rsidRDefault="00394471" w:rsidP="00394471">
      <w:pPr>
        <w:pStyle w:val="4"/>
        <w:rPr>
          <w:i/>
          <w:noProof/>
        </w:rPr>
      </w:pPr>
      <w:bookmarkStart w:id="1537" w:name="_Toc60777443"/>
      <w:bookmarkStart w:id="1538" w:name="_Toc146781544"/>
      <w:r w:rsidRPr="00FA0D37">
        <w:lastRenderedPageBreak/>
        <w:t>–</w:t>
      </w:r>
      <w:r w:rsidRPr="00FA0D37">
        <w:tab/>
      </w:r>
      <w:r w:rsidRPr="00FA0D37">
        <w:rPr>
          <w:i/>
          <w:noProof/>
        </w:rPr>
        <w:t>FeatureSetDownlinkPerCC</w:t>
      </w:r>
      <w:bookmarkEnd w:id="1537"/>
      <w:bookmarkEnd w:id="1538"/>
    </w:p>
    <w:p w14:paraId="5AEA25F7" w14:textId="77777777" w:rsidR="00394471" w:rsidRPr="00FA0D37" w:rsidRDefault="00394471" w:rsidP="00394471">
      <w:pPr>
        <w:rPr>
          <w:noProof/>
        </w:rPr>
      </w:pPr>
      <w:r w:rsidRPr="00FA0D37">
        <w:t xml:space="preserve">The IE </w:t>
      </w:r>
      <w:r w:rsidRPr="00FA0D37">
        <w:rPr>
          <w:i/>
          <w:noProof/>
        </w:rPr>
        <w:t>FeatureSetDownlinkPerCC</w:t>
      </w:r>
      <w:r w:rsidRPr="00FA0D37">
        <w:rPr>
          <w:noProof/>
        </w:rPr>
        <w:t xml:space="preserve"> indicates a set of features that the UE supports on the corresponding carrier of one band entry of a band combination.</w:t>
      </w:r>
    </w:p>
    <w:p w14:paraId="63BF50D1" w14:textId="77777777" w:rsidR="00394471" w:rsidRPr="00FA0D37" w:rsidRDefault="00394471" w:rsidP="00394471">
      <w:pPr>
        <w:pStyle w:val="TH"/>
      </w:pPr>
      <w:r w:rsidRPr="00FA0D37">
        <w:rPr>
          <w:i/>
        </w:rPr>
        <w:t xml:space="preserve">FeatureSetDownlinkPerCC </w:t>
      </w:r>
      <w:r w:rsidRPr="00FA0D37">
        <w:t>information element</w:t>
      </w:r>
    </w:p>
    <w:p w14:paraId="3D8C44D5" w14:textId="77777777" w:rsidR="00394471" w:rsidRPr="00FA0D37" w:rsidRDefault="00394471" w:rsidP="00FA0D37">
      <w:pPr>
        <w:pStyle w:val="PL"/>
        <w:rPr>
          <w:color w:val="808080"/>
        </w:rPr>
      </w:pPr>
      <w:r w:rsidRPr="00FA0D37">
        <w:rPr>
          <w:color w:val="808080"/>
        </w:rPr>
        <w:t>-- ASN1START</w:t>
      </w:r>
    </w:p>
    <w:p w14:paraId="4939703A" w14:textId="77777777" w:rsidR="00394471" w:rsidRPr="00FA0D37" w:rsidRDefault="00394471" w:rsidP="00FA0D37">
      <w:pPr>
        <w:pStyle w:val="PL"/>
        <w:rPr>
          <w:color w:val="808080"/>
        </w:rPr>
      </w:pPr>
      <w:r w:rsidRPr="00FA0D37">
        <w:rPr>
          <w:color w:val="808080"/>
        </w:rPr>
        <w:t>-- TAG-FEATURESETDOWNLINKPERCC-START</w:t>
      </w:r>
    </w:p>
    <w:p w14:paraId="3B933A89" w14:textId="77777777" w:rsidR="00394471" w:rsidRPr="00FA0D37" w:rsidRDefault="00394471" w:rsidP="00FA0D37">
      <w:pPr>
        <w:pStyle w:val="PL"/>
      </w:pPr>
    </w:p>
    <w:p w14:paraId="1A396EF7" w14:textId="77777777" w:rsidR="00394471" w:rsidRPr="00FA0D37" w:rsidRDefault="00394471" w:rsidP="00FA0D37">
      <w:pPr>
        <w:pStyle w:val="PL"/>
      </w:pPr>
      <w:r w:rsidRPr="00FA0D37">
        <w:t xml:space="preserve">FeatureSetDownlinkPerCC ::=         </w:t>
      </w:r>
      <w:r w:rsidRPr="00FA0D37">
        <w:rPr>
          <w:color w:val="993366"/>
        </w:rPr>
        <w:t>SEQUENCE</w:t>
      </w:r>
      <w:r w:rsidRPr="00FA0D37">
        <w:t xml:space="preserve"> {</w:t>
      </w:r>
    </w:p>
    <w:p w14:paraId="2862C15D" w14:textId="77777777" w:rsidR="00394471" w:rsidRPr="00FA0D37" w:rsidRDefault="00394471" w:rsidP="00FA0D37">
      <w:pPr>
        <w:pStyle w:val="PL"/>
      </w:pPr>
      <w:r w:rsidRPr="00FA0D37">
        <w:t xml:space="preserve">    supportedSubcarrierSpacingDL        SubcarrierSpacing,</w:t>
      </w:r>
    </w:p>
    <w:p w14:paraId="6FA0D922" w14:textId="77777777" w:rsidR="00394471" w:rsidRPr="00FA0D37" w:rsidRDefault="00394471" w:rsidP="00FA0D37">
      <w:pPr>
        <w:pStyle w:val="PL"/>
      </w:pPr>
      <w:r w:rsidRPr="00FA0D37">
        <w:t xml:space="preserve">    supportedBandwidthDL                SupportedBandwidth,</w:t>
      </w:r>
    </w:p>
    <w:p w14:paraId="08B6F114" w14:textId="77777777" w:rsidR="00394471" w:rsidRPr="00FA0D37" w:rsidRDefault="00394471" w:rsidP="00FA0D37">
      <w:pPr>
        <w:pStyle w:val="PL"/>
      </w:pPr>
      <w:r w:rsidRPr="00FA0D37">
        <w:t xml:space="preserve">    channelBW-90mhz                     </w:t>
      </w:r>
      <w:r w:rsidRPr="00FA0D37">
        <w:rPr>
          <w:color w:val="993366"/>
        </w:rPr>
        <w:t>ENUMERATED</w:t>
      </w:r>
      <w:r w:rsidRPr="00FA0D37">
        <w:t xml:space="preserve"> {supported}                                                  </w:t>
      </w:r>
      <w:r w:rsidRPr="00FA0D37">
        <w:rPr>
          <w:color w:val="993366"/>
        </w:rPr>
        <w:t>OPTIONAL</w:t>
      </w:r>
      <w:r w:rsidRPr="00FA0D37">
        <w:t>,</w:t>
      </w:r>
    </w:p>
    <w:p w14:paraId="6D4B4C54" w14:textId="77777777" w:rsidR="00394471" w:rsidRPr="00FA0D37" w:rsidRDefault="00394471" w:rsidP="00FA0D37">
      <w:pPr>
        <w:pStyle w:val="PL"/>
      </w:pPr>
      <w:r w:rsidRPr="00FA0D37">
        <w:t xml:space="preserve">    maxNumberMIMO-LayersPDSCH           MIMO-LayersDL                                                           </w:t>
      </w:r>
      <w:r w:rsidRPr="00FA0D37">
        <w:rPr>
          <w:color w:val="993366"/>
        </w:rPr>
        <w:t>OPTIONAL</w:t>
      </w:r>
      <w:r w:rsidRPr="00FA0D37">
        <w:t>,</w:t>
      </w:r>
    </w:p>
    <w:p w14:paraId="7CBC17F7" w14:textId="77777777" w:rsidR="00394471" w:rsidRPr="00FA0D37" w:rsidRDefault="00394471" w:rsidP="00FA0D37">
      <w:pPr>
        <w:pStyle w:val="PL"/>
      </w:pPr>
      <w:r w:rsidRPr="00FA0D37">
        <w:t xml:space="preserve">    supportedModulationOrderDL          ModulationOrder                                                         </w:t>
      </w:r>
      <w:r w:rsidRPr="00FA0D37">
        <w:rPr>
          <w:color w:val="993366"/>
        </w:rPr>
        <w:t>OPTIONAL</w:t>
      </w:r>
    </w:p>
    <w:p w14:paraId="56F05CD5" w14:textId="77777777" w:rsidR="00394471" w:rsidRPr="00FA0D37" w:rsidRDefault="00394471" w:rsidP="00FA0D37">
      <w:pPr>
        <w:pStyle w:val="PL"/>
      </w:pPr>
      <w:r w:rsidRPr="00FA0D37">
        <w:t>}</w:t>
      </w:r>
    </w:p>
    <w:p w14:paraId="5E264C31" w14:textId="77777777" w:rsidR="00394471" w:rsidRPr="00FA0D37" w:rsidRDefault="00394471" w:rsidP="00FA0D37">
      <w:pPr>
        <w:pStyle w:val="PL"/>
      </w:pPr>
    </w:p>
    <w:p w14:paraId="7E45D474" w14:textId="77777777" w:rsidR="00394471" w:rsidRPr="00FA0D37" w:rsidRDefault="00394471" w:rsidP="00FA0D37">
      <w:pPr>
        <w:pStyle w:val="PL"/>
      </w:pPr>
      <w:r w:rsidRPr="00FA0D37">
        <w:t xml:space="preserve">FeatureSetDownlinkPerCC-v1620 ::=   </w:t>
      </w:r>
      <w:r w:rsidRPr="00FA0D37">
        <w:rPr>
          <w:color w:val="993366"/>
        </w:rPr>
        <w:t>SEQUENCE</w:t>
      </w:r>
      <w:r w:rsidRPr="00FA0D37">
        <w:t xml:space="preserve"> {</w:t>
      </w:r>
    </w:p>
    <w:p w14:paraId="57F4727B" w14:textId="77777777" w:rsidR="00394471" w:rsidRPr="00FA0D37" w:rsidRDefault="00394471" w:rsidP="00FA0D37">
      <w:pPr>
        <w:pStyle w:val="PL"/>
        <w:rPr>
          <w:rFonts w:eastAsia="Malgun Gothic"/>
          <w:color w:val="808080"/>
        </w:rPr>
      </w:pPr>
      <w:r w:rsidRPr="00FA0D37">
        <w:t xml:space="preserve">    </w:t>
      </w:r>
      <w:r w:rsidRPr="00FA0D37">
        <w:rPr>
          <w:color w:val="808080"/>
        </w:rPr>
        <w:t>-- R1 16-2a:</w:t>
      </w:r>
      <w:r w:rsidRPr="00FA0D37">
        <w:rPr>
          <w:rFonts w:eastAsia="Malgun Gothic"/>
          <w:color w:val="808080"/>
        </w:rPr>
        <w:t xml:space="preserve"> Mulit-DCI based multi-TRP</w:t>
      </w:r>
    </w:p>
    <w:p w14:paraId="57D8BAC3" w14:textId="77777777" w:rsidR="00394471" w:rsidRPr="00FA0D37" w:rsidRDefault="00394471" w:rsidP="00FA0D37">
      <w:pPr>
        <w:pStyle w:val="PL"/>
      </w:pPr>
      <w:r w:rsidRPr="00FA0D37">
        <w:t xml:space="preserve">    multiDCI-MultiTRP-r16               MultiDCI-MultiTRP-r16                                                   </w:t>
      </w:r>
      <w:r w:rsidRPr="00FA0D37">
        <w:rPr>
          <w:color w:val="993366"/>
        </w:rPr>
        <w:t>OPTIONAL</w:t>
      </w:r>
      <w:r w:rsidRPr="00FA0D37">
        <w:t>,</w:t>
      </w:r>
    </w:p>
    <w:p w14:paraId="3081C220" w14:textId="77777777" w:rsidR="00394471" w:rsidRPr="00FA0D37" w:rsidRDefault="00394471" w:rsidP="00FA0D37">
      <w:pPr>
        <w:pStyle w:val="PL"/>
        <w:rPr>
          <w:rFonts w:eastAsia="Malgun Gothic"/>
          <w:color w:val="808080"/>
        </w:rPr>
      </w:pPr>
      <w:r w:rsidRPr="00FA0D37">
        <w:t xml:space="preserve">    </w:t>
      </w:r>
      <w:r w:rsidRPr="00FA0D37">
        <w:rPr>
          <w:color w:val="808080"/>
        </w:rPr>
        <w:t>-- R1 16-2b-3:</w:t>
      </w:r>
      <w:r w:rsidRPr="00FA0D37">
        <w:rPr>
          <w:rFonts w:eastAsia="Malgun Gothic"/>
          <w:color w:val="808080"/>
        </w:rPr>
        <w:t xml:space="preserve"> Support of single-DCI based FDMSchemeB</w:t>
      </w:r>
    </w:p>
    <w:p w14:paraId="7D01260E" w14:textId="77777777" w:rsidR="00394471" w:rsidRPr="00FA0D37" w:rsidRDefault="00394471" w:rsidP="00FA0D37">
      <w:pPr>
        <w:pStyle w:val="PL"/>
      </w:pPr>
      <w:r w:rsidRPr="00FA0D37">
        <w:t xml:space="preserve">    supportFDM-SchemeB-r16              </w:t>
      </w:r>
      <w:r w:rsidRPr="00FA0D37">
        <w:rPr>
          <w:color w:val="993366"/>
        </w:rPr>
        <w:t>ENUMERATED</w:t>
      </w:r>
      <w:r w:rsidRPr="00FA0D37">
        <w:t xml:space="preserve"> {supported}                                                  </w:t>
      </w:r>
      <w:r w:rsidRPr="00FA0D37">
        <w:rPr>
          <w:color w:val="993366"/>
        </w:rPr>
        <w:t>OPTIONAL</w:t>
      </w:r>
    </w:p>
    <w:p w14:paraId="301DDE86" w14:textId="77777777" w:rsidR="00394471" w:rsidRPr="00FA0D37" w:rsidRDefault="00394471" w:rsidP="00FA0D37">
      <w:pPr>
        <w:pStyle w:val="PL"/>
      </w:pPr>
      <w:r w:rsidRPr="00FA0D37">
        <w:t>}</w:t>
      </w:r>
    </w:p>
    <w:p w14:paraId="0F9CA8A9" w14:textId="77777777" w:rsidR="002E309C" w:rsidRPr="00FA0D37" w:rsidRDefault="002E309C" w:rsidP="00FA0D37">
      <w:pPr>
        <w:pStyle w:val="PL"/>
      </w:pPr>
    </w:p>
    <w:p w14:paraId="07FF1744" w14:textId="1E4BC3CF" w:rsidR="002E309C" w:rsidRPr="00FA0D37" w:rsidRDefault="002E309C" w:rsidP="00FA0D37">
      <w:pPr>
        <w:pStyle w:val="PL"/>
      </w:pPr>
      <w:r w:rsidRPr="00FA0D37">
        <w:t xml:space="preserve">FeatureSetDownlinkPerCC-v1700 ::=   </w:t>
      </w:r>
      <w:r w:rsidRPr="00FA0D37">
        <w:rPr>
          <w:color w:val="993366"/>
        </w:rPr>
        <w:t>SEQUENCE</w:t>
      </w:r>
      <w:r w:rsidRPr="00FA0D37">
        <w:t xml:space="preserve"> {</w:t>
      </w:r>
    </w:p>
    <w:p w14:paraId="602C4433" w14:textId="4354C6BC" w:rsidR="002E309C" w:rsidRPr="00FA0D37" w:rsidRDefault="002E309C" w:rsidP="00FA0D37">
      <w:pPr>
        <w:pStyle w:val="PL"/>
      </w:pPr>
      <w:r w:rsidRPr="00FA0D37">
        <w:t xml:space="preserve">    supportedMinBandwidthDL-r17         </w:t>
      </w:r>
      <w:r w:rsidR="00B166EA" w:rsidRPr="00FA0D37">
        <w:t xml:space="preserve">    </w:t>
      </w:r>
      <w:r w:rsidRPr="00FA0D37">
        <w:t xml:space="preserve">SupportedBandwidth-v1700                                                </w:t>
      </w:r>
      <w:r w:rsidRPr="00FA0D37">
        <w:rPr>
          <w:color w:val="993366"/>
        </w:rPr>
        <w:t>OPTIONAL</w:t>
      </w:r>
      <w:r w:rsidRPr="00FA0D37">
        <w:t>,</w:t>
      </w:r>
    </w:p>
    <w:p w14:paraId="1D4130B8" w14:textId="1DC04F55" w:rsidR="002E309C" w:rsidRPr="00FA0D37" w:rsidRDefault="002E309C" w:rsidP="00FA0D37">
      <w:pPr>
        <w:pStyle w:val="PL"/>
      </w:pPr>
      <w:r w:rsidRPr="00FA0D37">
        <w:t xml:space="preserve">    broadcastSCell-r17                 </w:t>
      </w:r>
      <w:r w:rsidR="00B166EA" w:rsidRPr="00FA0D37">
        <w:t xml:space="preserve">    </w:t>
      </w:r>
      <w:r w:rsidRPr="00FA0D37">
        <w:rPr>
          <w:color w:val="993366"/>
        </w:rPr>
        <w:t>ENUMERATED</w:t>
      </w:r>
      <w:r w:rsidRPr="00FA0D37">
        <w:t xml:space="preserve"> {supported}                                                  </w:t>
      </w:r>
      <w:r w:rsidRPr="00FA0D37">
        <w:rPr>
          <w:color w:val="993366"/>
        </w:rPr>
        <w:t>OPTIONAL</w:t>
      </w:r>
      <w:r w:rsidR="00B166EA" w:rsidRPr="00FA0D37">
        <w:t>,</w:t>
      </w:r>
    </w:p>
    <w:p w14:paraId="06ED37DE" w14:textId="29246053" w:rsidR="00B166EA" w:rsidRPr="00FA0D37" w:rsidRDefault="00B166EA" w:rsidP="00FA0D37">
      <w:pPr>
        <w:pStyle w:val="PL"/>
        <w:rPr>
          <w:color w:val="808080"/>
        </w:rPr>
      </w:pPr>
      <w:r w:rsidRPr="00FA0D37">
        <w:t xml:space="preserve">    </w:t>
      </w:r>
      <w:r w:rsidRPr="00FA0D37">
        <w:rPr>
          <w:color w:val="808080"/>
        </w:rPr>
        <w:t>-- R1 33-2g:</w:t>
      </w:r>
      <w:r w:rsidR="005420CF" w:rsidRPr="00FA0D37">
        <w:rPr>
          <w:color w:val="808080"/>
        </w:rPr>
        <w:t xml:space="preserve"> </w:t>
      </w:r>
      <w:r w:rsidRPr="00FA0D37">
        <w:rPr>
          <w:color w:val="808080"/>
        </w:rPr>
        <w:t>MIMO layers for multicast PDSCH</w:t>
      </w:r>
    </w:p>
    <w:p w14:paraId="5584FA2B" w14:textId="17FB551B" w:rsidR="00B166EA" w:rsidRPr="00FA0D37" w:rsidRDefault="00B166EA" w:rsidP="00FA0D37">
      <w:pPr>
        <w:pStyle w:val="PL"/>
      </w:pPr>
      <w:r w:rsidRPr="00FA0D37">
        <w:t xml:space="preserve">    maxNumberMIMO-LayersMulticastPDSCH-r17  </w:t>
      </w:r>
      <w:r w:rsidRPr="00FA0D37">
        <w:rPr>
          <w:color w:val="993366"/>
        </w:rPr>
        <w:t>ENUMERATED</w:t>
      </w:r>
      <w:r w:rsidRPr="00FA0D37">
        <w:t xml:space="preserve"> {n2, n4, n8}                                                 </w:t>
      </w:r>
      <w:r w:rsidRPr="00FA0D37">
        <w:rPr>
          <w:color w:val="993366"/>
        </w:rPr>
        <w:t>OPTIONAL</w:t>
      </w:r>
      <w:r w:rsidRPr="00FA0D37">
        <w:t>,</w:t>
      </w:r>
    </w:p>
    <w:p w14:paraId="697E1823" w14:textId="4401A495" w:rsidR="00B166EA" w:rsidRPr="00FA0D37" w:rsidRDefault="00B166EA" w:rsidP="00FA0D37">
      <w:pPr>
        <w:pStyle w:val="PL"/>
        <w:rPr>
          <w:color w:val="808080"/>
        </w:rPr>
      </w:pPr>
      <w:r w:rsidRPr="00FA0D37">
        <w:t xml:space="preserve">    </w:t>
      </w:r>
      <w:r w:rsidRPr="00FA0D37">
        <w:rPr>
          <w:color w:val="808080"/>
        </w:rPr>
        <w:t>-- R1 33-2h:</w:t>
      </w:r>
      <w:r w:rsidR="005420CF" w:rsidRPr="00FA0D37">
        <w:rPr>
          <w:color w:val="808080"/>
        </w:rPr>
        <w:t xml:space="preserve"> </w:t>
      </w:r>
      <w:r w:rsidRPr="00FA0D37">
        <w:rPr>
          <w:color w:val="808080"/>
        </w:rPr>
        <w:t>Dynamic scheduling for multicast for SCell</w:t>
      </w:r>
    </w:p>
    <w:p w14:paraId="2570F2B9" w14:textId="781F0FBD" w:rsidR="00B166EA" w:rsidRPr="00FA0D37" w:rsidRDefault="00B166EA" w:rsidP="00FA0D37">
      <w:pPr>
        <w:pStyle w:val="PL"/>
      </w:pPr>
      <w:r w:rsidRPr="00FA0D37">
        <w:t xml:space="preserve">    dynamicMulticastSCell-r17               </w:t>
      </w:r>
      <w:r w:rsidRPr="00FA0D37">
        <w:rPr>
          <w:color w:val="993366"/>
        </w:rPr>
        <w:t>ENUMERATED</w:t>
      </w:r>
      <w:r w:rsidRPr="00FA0D37">
        <w:t xml:space="preserve"> {supported}                                                  </w:t>
      </w:r>
      <w:r w:rsidRPr="00FA0D37">
        <w:rPr>
          <w:color w:val="993366"/>
        </w:rPr>
        <w:t>OPTIONAL</w:t>
      </w:r>
      <w:r w:rsidRPr="00FA0D37">
        <w:t>,</w:t>
      </w:r>
    </w:p>
    <w:p w14:paraId="791C6E48" w14:textId="6A65897A" w:rsidR="00B166EA" w:rsidRPr="00FA0D37" w:rsidRDefault="00B166EA" w:rsidP="00FA0D37">
      <w:pPr>
        <w:pStyle w:val="PL"/>
      </w:pPr>
      <w:r w:rsidRPr="00FA0D37">
        <w:t xml:space="preserve">    supportedBandwidthDL-v17</w:t>
      </w:r>
      <w:r w:rsidR="00F84A8C" w:rsidRPr="00FA0D37">
        <w:t>10</w:t>
      </w:r>
      <w:r w:rsidRPr="00FA0D37">
        <w:t xml:space="preserve">              SupportedBandwidth-v1700                                                </w:t>
      </w:r>
      <w:r w:rsidRPr="00FA0D37">
        <w:rPr>
          <w:color w:val="993366"/>
        </w:rPr>
        <w:t>OPTIONAL</w:t>
      </w:r>
      <w:r w:rsidRPr="00FA0D37">
        <w:t>,</w:t>
      </w:r>
    </w:p>
    <w:p w14:paraId="52BFC082" w14:textId="3E747A42" w:rsidR="00B166EA" w:rsidRPr="00FA0D37" w:rsidRDefault="00B166EA" w:rsidP="00FA0D37">
      <w:pPr>
        <w:pStyle w:val="PL"/>
        <w:rPr>
          <w:color w:val="808080"/>
        </w:rPr>
      </w:pPr>
      <w:r w:rsidRPr="00FA0D37">
        <w:t xml:space="preserve">    </w:t>
      </w:r>
      <w:r w:rsidRPr="00FA0D37">
        <w:rPr>
          <w:color w:val="808080"/>
        </w:rPr>
        <w:t>-- R4 24-1/24-2/24-3/24-4/24-5</w:t>
      </w:r>
    </w:p>
    <w:p w14:paraId="12E6E7B2" w14:textId="3AE7866C" w:rsidR="00B166EA" w:rsidRPr="00FA0D37" w:rsidRDefault="00B166EA" w:rsidP="00FA0D37">
      <w:pPr>
        <w:pStyle w:val="PL"/>
      </w:pPr>
      <w:r w:rsidRPr="00FA0D37">
        <w:t xml:space="preserve">    supportedCRS-InterfMitigation-r17       CRS-InterfMitigation-r17                                                </w:t>
      </w:r>
      <w:r w:rsidRPr="00FA0D37">
        <w:rPr>
          <w:color w:val="993366"/>
        </w:rPr>
        <w:t>OPTIONAL</w:t>
      </w:r>
    </w:p>
    <w:p w14:paraId="68F6D4AA" w14:textId="0C9A34C3" w:rsidR="002E309C" w:rsidRPr="00FA0D37" w:rsidRDefault="002E309C" w:rsidP="00FA0D37">
      <w:pPr>
        <w:pStyle w:val="PL"/>
      </w:pPr>
      <w:r w:rsidRPr="00FA0D37">
        <w:t>}</w:t>
      </w:r>
    </w:p>
    <w:p w14:paraId="0C9FA880" w14:textId="77777777" w:rsidR="00FD0B5C" w:rsidRPr="00FA0D37" w:rsidRDefault="00FD0B5C" w:rsidP="00FA0D37">
      <w:pPr>
        <w:pStyle w:val="PL"/>
      </w:pPr>
    </w:p>
    <w:p w14:paraId="640FECBF" w14:textId="79FE710F" w:rsidR="00FD0B5C" w:rsidRPr="00FA0D37" w:rsidRDefault="00FD0B5C" w:rsidP="00FA0D37">
      <w:pPr>
        <w:pStyle w:val="PL"/>
      </w:pPr>
      <w:r w:rsidRPr="00FA0D37">
        <w:t xml:space="preserve">FeatureSetDownlinkPerCC-v1720 ::=   </w:t>
      </w:r>
      <w:r w:rsidRPr="00FA0D37">
        <w:rPr>
          <w:color w:val="993366"/>
        </w:rPr>
        <w:t>SEQUENCE</w:t>
      </w:r>
      <w:r w:rsidRPr="00FA0D37">
        <w:t xml:space="preserve"> {</w:t>
      </w:r>
    </w:p>
    <w:p w14:paraId="51FA48B5" w14:textId="007A938E" w:rsidR="00FD0B5C" w:rsidRPr="00FA0D37" w:rsidRDefault="00FD0B5C" w:rsidP="00FA0D37">
      <w:pPr>
        <w:pStyle w:val="PL"/>
        <w:rPr>
          <w:color w:val="808080"/>
        </w:rPr>
      </w:pPr>
      <w:r w:rsidRPr="00FA0D37">
        <w:t xml:space="preserve">    </w:t>
      </w:r>
      <w:r w:rsidRPr="00FA0D37">
        <w:rPr>
          <w:color w:val="808080"/>
        </w:rPr>
        <w:t>-- R1 33-2j: Supported maximum modulation order used for maximum data rate calculation for multicast PDSCH</w:t>
      </w:r>
    </w:p>
    <w:p w14:paraId="09C4221F" w14:textId="0E13B629" w:rsidR="00FD0B5C" w:rsidRPr="00FA0D37" w:rsidRDefault="00FD0B5C" w:rsidP="00FA0D37">
      <w:pPr>
        <w:pStyle w:val="PL"/>
      </w:pPr>
      <w:r w:rsidRPr="00FA0D37">
        <w:t xml:space="preserve">    maxModulationOrderForMulticastDataRateCalculation-r17  </w:t>
      </w:r>
      <w:r w:rsidRPr="00FA0D37">
        <w:rPr>
          <w:color w:val="993366"/>
        </w:rPr>
        <w:t>ENUMERATED</w:t>
      </w:r>
      <w:r w:rsidRPr="00FA0D37">
        <w:t xml:space="preserve"> {qam64, qam256, qam1024}                  </w:t>
      </w:r>
      <w:r w:rsidRPr="00FA0D37">
        <w:rPr>
          <w:color w:val="993366"/>
        </w:rPr>
        <w:t>OPTIONAL</w:t>
      </w:r>
      <w:r w:rsidR="005A7804" w:rsidRPr="00FA0D37">
        <w:t>,</w:t>
      </w:r>
    </w:p>
    <w:p w14:paraId="05E5A2C8" w14:textId="576B37EB" w:rsidR="005A7804" w:rsidRPr="00FA0D37" w:rsidRDefault="005A7804" w:rsidP="00FA0D37">
      <w:pPr>
        <w:pStyle w:val="PL"/>
        <w:rPr>
          <w:color w:val="808080"/>
        </w:rPr>
      </w:pPr>
      <w:r w:rsidRPr="00FA0D37">
        <w:t xml:space="preserve">    </w:t>
      </w:r>
      <w:r w:rsidRPr="00FA0D37">
        <w:rPr>
          <w:color w:val="808080"/>
        </w:rPr>
        <w:t>-- R1 33-1-2:</w:t>
      </w:r>
      <w:r w:rsidR="005420CF" w:rsidRPr="00FA0D37">
        <w:rPr>
          <w:color w:val="808080"/>
        </w:rPr>
        <w:t xml:space="preserve"> </w:t>
      </w:r>
      <w:r w:rsidRPr="00FA0D37">
        <w:rPr>
          <w:color w:val="808080"/>
        </w:rPr>
        <w:t>FDM-ed unicast PDSCH and group-common PDSCH for broadcast</w:t>
      </w:r>
    </w:p>
    <w:p w14:paraId="55A294E4" w14:textId="6D2AE313" w:rsidR="005A7804" w:rsidRPr="00FA0D37" w:rsidRDefault="005A7804" w:rsidP="00FA0D37">
      <w:pPr>
        <w:pStyle w:val="PL"/>
      </w:pPr>
      <w:r w:rsidRPr="00FA0D37">
        <w:t xml:space="preserve">    fdm-BroadcastUnicast-r17            </w:t>
      </w:r>
      <w:r w:rsidRPr="00FA0D37">
        <w:rPr>
          <w:color w:val="993366"/>
        </w:rPr>
        <w:t>ENUMERATED</w:t>
      </w:r>
      <w:r w:rsidRPr="00FA0D37">
        <w:t xml:space="preserve"> {supported}                                                  </w:t>
      </w:r>
      <w:r w:rsidRPr="00FA0D37">
        <w:rPr>
          <w:color w:val="993366"/>
        </w:rPr>
        <w:t>OPTIONAL</w:t>
      </w:r>
      <w:r w:rsidRPr="00FA0D37">
        <w:t>,</w:t>
      </w:r>
    </w:p>
    <w:p w14:paraId="5936DE8C" w14:textId="349DE1D4" w:rsidR="005A7804" w:rsidRPr="00FA0D37" w:rsidRDefault="005A7804" w:rsidP="00FA0D37">
      <w:pPr>
        <w:pStyle w:val="PL"/>
        <w:rPr>
          <w:color w:val="808080"/>
        </w:rPr>
      </w:pPr>
      <w:r w:rsidRPr="00FA0D37">
        <w:t xml:space="preserve">    </w:t>
      </w:r>
      <w:r w:rsidRPr="00FA0D37">
        <w:rPr>
          <w:color w:val="808080"/>
        </w:rPr>
        <w:t>-- R1 33-3-2:</w:t>
      </w:r>
      <w:r w:rsidR="005420CF" w:rsidRPr="00FA0D37">
        <w:rPr>
          <w:color w:val="808080"/>
        </w:rPr>
        <w:t xml:space="preserve"> </w:t>
      </w:r>
      <w:r w:rsidRPr="00FA0D37">
        <w:rPr>
          <w:color w:val="808080"/>
        </w:rPr>
        <w:t xml:space="preserve">FDM-ed unicast PDSCH and </w:t>
      </w:r>
      <w:r w:rsidR="00691952" w:rsidRPr="00FA0D37">
        <w:rPr>
          <w:color w:val="808080"/>
        </w:rPr>
        <w:t xml:space="preserve">one </w:t>
      </w:r>
      <w:r w:rsidRPr="00FA0D37">
        <w:rPr>
          <w:color w:val="808080"/>
        </w:rPr>
        <w:t>group-common PDSCH for multicast</w:t>
      </w:r>
    </w:p>
    <w:p w14:paraId="66C27305" w14:textId="0D7BE1B2" w:rsidR="005A7804" w:rsidRPr="00FA0D37" w:rsidRDefault="005A7804" w:rsidP="00FA0D37">
      <w:pPr>
        <w:pStyle w:val="PL"/>
      </w:pPr>
      <w:r w:rsidRPr="00FA0D37">
        <w:t xml:space="preserve">    fdm-MulticastUnicast-r17            </w:t>
      </w:r>
      <w:r w:rsidRPr="00FA0D37">
        <w:rPr>
          <w:color w:val="993366"/>
        </w:rPr>
        <w:t>ENUMERATED</w:t>
      </w:r>
      <w:r w:rsidRPr="00FA0D37">
        <w:t xml:space="preserve"> {supported}                                                  </w:t>
      </w:r>
      <w:r w:rsidRPr="00FA0D37">
        <w:rPr>
          <w:color w:val="993366"/>
        </w:rPr>
        <w:t>OPTIONAL</w:t>
      </w:r>
    </w:p>
    <w:p w14:paraId="04EE82D7" w14:textId="3DDD1D86" w:rsidR="00394471" w:rsidRPr="00FA0D37" w:rsidRDefault="00FD0B5C" w:rsidP="00FA0D37">
      <w:pPr>
        <w:pStyle w:val="PL"/>
      </w:pPr>
      <w:r w:rsidRPr="00FA0D37">
        <w:t>}</w:t>
      </w:r>
    </w:p>
    <w:p w14:paraId="6EF53162" w14:textId="77777777" w:rsidR="00691952" w:rsidRPr="00FA0D37" w:rsidRDefault="00691952" w:rsidP="00FA0D37">
      <w:pPr>
        <w:pStyle w:val="PL"/>
      </w:pPr>
    </w:p>
    <w:p w14:paraId="4F747F80" w14:textId="74E0A5CE" w:rsidR="00691952" w:rsidRPr="00FA0D37" w:rsidRDefault="00691952" w:rsidP="00FA0D37">
      <w:pPr>
        <w:pStyle w:val="PL"/>
      </w:pPr>
      <w:r w:rsidRPr="00FA0D37">
        <w:t xml:space="preserve">FeatureSetDownlinkPerCC-v1730 ::=           </w:t>
      </w:r>
      <w:r w:rsidRPr="00FA0D37">
        <w:rPr>
          <w:color w:val="993366"/>
        </w:rPr>
        <w:t>SEQUENCE</w:t>
      </w:r>
      <w:r w:rsidRPr="00FA0D37">
        <w:t xml:space="preserve"> {</w:t>
      </w:r>
    </w:p>
    <w:p w14:paraId="434C37ED" w14:textId="77777777" w:rsidR="00691952" w:rsidRPr="00FA0D37" w:rsidRDefault="00691952" w:rsidP="00FA0D37">
      <w:pPr>
        <w:pStyle w:val="PL"/>
        <w:rPr>
          <w:color w:val="808080"/>
        </w:rPr>
      </w:pPr>
      <w:r w:rsidRPr="00FA0D37">
        <w:t xml:space="preserve">    </w:t>
      </w:r>
      <w:r w:rsidRPr="00FA0D37">
        <w:rPr>
          <w:color w:val="808080"/>
        </w:rPr>
        <w:t>-- R1 33-3-3: Intra-slot TDM-ed unicast PDSCH and group-common PDSCH</w:t>
      </w:r>
    </w:p>
    <w:p w14:paraId="5E0A648D" w14:textId="4CF0D7FF" w:rsidR="00691952" w:rsidRPr="00FA0D37" w:rsidRDefault="00691952" w:rsidP="00FA0D37">
      <w:pPr>
        <w:pStyle w:val="PL"/>
      </w:pPr>
      <w:r w:rsidRPr="00FA0D37">
        <w:t xml:space="preserve">    intraSlotTDM-UnicastGroupCommonPDSCH-r17    </w:t>
      </w:r>
      <w:r w:rsidRPr="00FA0D37">
        <w:rPr>
          <w:color w:val="993366"/>
        </w:rPr>
        <w:t>ENUMERATED</w:t>
      </w:r>
      <w:r w:rsidRPr="00FA0D37">
        <w:t xml:space="preserve"> {yes, no}                    </w:t>
      </w:r>
      <w:r w:rsidRPr="00FA0D37">
        <w:rPr>
          <w:color w:val="993366"/>
        </w:rPr>
        <w:t>OPTIONAL</w:t>
      </w:r>
      <w:r w:rsidRPr="00FA0D37">
        <w:t>,</w:t>
      </w:r>
    </w:p>
    <w:p w14:paraId="4FC04CD0" w14:textId="77777777" w:rsidR="00691952" w:rsidRPr="00FA0D37" w:rsidRDefault="00691952" w:rsidP="00FA0D37">
      <w:pPr>
        <w:pStyle w:val="PL"/>
        <w:rPr>
          <w:color w:val="808080"/>
        </w:rPr>
      </w:pPr>
      <w:r w:rsidRPr="00FA0D37">
        <w:t xml:space="preserve">    </w:t>
      </w:r>
      <w:r w:rsidRPr="00FA0D37">
        <w:rPr>
          <w:color w:val="808080"/>
        </w:rPr>
        <w:t>-- R1 33-5-3: One SPS group-common PDSCH configuration for multicast for SCell</w:t>
      </w:r>
    </w:p>
    <w:p w14:paraId="1F4FAE5E" w14:textId="738B3C7C" w:rsidR="00691952" w:rsidRPr="00FA0D37" w:rsidRDefault="00691952" w:rsidP="00FA0D37">
      <w:pPr>
        <w:pStyle w:val="PL"/>
      </w:pPr>
      <w:r w:rsidRPr="00FA0D37">
        <w:t xml:space="preserve">    sps-MulticastSCell-r17                      </w:t>
      </w:r>
      <w:r w:rsidRPr="00FA0D37">
        <w:rPr>
          <w:color w:val="993366"/>
        </w:rPr>
        <w:t>ENUMERATED</w:t>
      </w:r>
      <w:r w:rsidRPr="00FA0D37">
        <w:t xml:space="preserve"> {supported}                  </w:t>
      </w:r>
      <w:r w:rsidRPr="00FA0D37">
        <w:rPr>
          <w:color w:val="993366"/>
        </w:rPr>
        <w:t>OPTIONAL</w:t>
      </w:r>
      <w:r w:rsidRPr="00FA0D37">
        <w:t>,</w:t>
      </w:r>
    </w:p>
    <w:p w14:paraId="4EE107B7" w14:textId="77777777" w:rsidR="00691952" w:rsidRPr="00FA0D37" w:rsidRDefault="00691952" w:rsidP="00FA0D37">
      <w:pPr>
        <w:pStyle w:val="PL"/>
        <w:rPr>
          <w:color w:val="808080"/>
        </w:rPr>
      </w:pPr>
      <w:r w:rsidRPr="00FA0D37">
        <w:lastRenderedPageBreak/>
        <w:t xml:space="preserve">    </w:t>
      </w:r>
      <w:r w:rsidRPr="00FA0D37">
        <w:rPr>
          <w:color w:val="808080"/>
        </w:rPr>
        <w:t>-- R1 33-5-4: Up to 8 SPS group-common PDSCH configurations per CFR for multicast for SCell</w:t>
      </w:r>
    </w:p>
    <w:p w14:paraId="29F1E0D5" w14:textId="56AA0FFC" w:rsidR="00691952" w:rsidRPr="00FA0D37" w:rsidRDefault="00691952" w:rsidP="00FA0D37">
      <w:pPr>
        <w:pStyle w:val="PL"/>
      </w:pPr>
      <w:r w:rsidRPr="00FA0D37">
        <w:t xml:space="preserve">    sps-MulticastSCellMultiConfig-r17           </w:t>
      </w:r>
      <w:r w:rsidRPr="00FA0D37">
        <w:rPr>
          <w:color w:val="993366"/>
        </w:rPr>
        <w:t>INTEGER</w:t>
      </w:r>
      <w:r w:rsidRPr="00FA0D37">
        <w:t xml:space="preserve"> (1..8)                          </w:t>
      </w:r>
      <w:r w:rsidRPr="00FA0D37">
        <w:rPr>
          <w:color w:val="993366"/>
        </w:rPr>
        <w:t>OPTIONAL</w:t>
      </w:r>
      <w:r w:rsidRPr="00FA0D37">
        <w:t>,</w:t>
      </w:r>
    </w:p>
    <w:p w14:paraId="3F4B0DB1" w14:textId="1C207F02" w:rsidR="00691952" w:rsidRPr="00FA0D37" w:rsidRDefault="00691952" w:rsidP="00FA0D37">
      <w:pPr>
        <w:pStyle w:val="PL"/>
        <w:rPr>
          <w:color w:val="808080"/>
        </w:rPr>
      </w:pPr>
      <w:r w:rsidRPr="00FA0D37">
        <w:t xml:space="preserve">    </w:t>
      </w:r>
      <w:r w:rsidRPr="00FA0D37">
        <w:rPr>
          <w:color w:val="808080"/>
        </w:rPr>
        <w:t>-- R1 33-1-1: Dynamic slot-level repetition for broadcast MTCH</w:t>
      </w:r>
    </w:p>
    <w:p w14:paraId="3D590FA0" w14:textId="7D1C97F9" w:rsidR="00691952" w:rsidRPr="00FA0D37" w:rsidRDefault="00691952" w:rsidP="00FA0D37">
      <w:pPr>
        <w:pStyle w:val="PL"/>
      </w:pPr>
      <w:r w:rsidRPr="00FA0D37">
        <w:t xml:space="preserve">    dci-BroadcastWith16Repetitions-r17          </w:t>
      </w:r>
      <w:r w:rsidRPr="00FA0D37">
        <w:rPr>
          <w:color w:val="993366"/>
        </w:rPr>
        <w:t>ENUMERATED</w:t>
      </w:r>
      <w:r w:rsidRPr="00FA0D37">
        <w:t xml:space="preserve"> {supported}                  </w:t>
      </w:r>
      <w:r w:rsidRPr="00FA0D37">
        <w:rPr>
          <w:color w:val="993366"/>
        </w:rPr>
        <w:t>OPTIONAL</w:t>
      </w:r>
    </w:p>
    <w:p w14:paraId="47ECCA76" w14:textId="759A7E0F" w:rsidR="00FD0B5C" w:rsidRPr="00FA0D37" w:rsidRDefault="00691952" w:rsidP="00FA0D37">
      <w:pPr>
        <w:pStyle w:val="PL"/>
      </w:pPr>
      <w:r w:rsidRPr="00FA0D37">
        <w:t>}</w:t>
      </w:r>
    </w:p>
    <w:p w14:paraId="42E2F791" w14:textId="77777777" w:rsidR="00691952" w:rsidRPr="00FA0D37" w:rsidRDefault="00691952" w:rsidP="00FA0D37">
      <w:pPr>
        <w:pStyle w:val="PL"/>
      </w:pPr>
    </w:p>
    <w:p w14:paraId="4D1E2282" w14:textId="77777777" w:rsidR="00394471" w:rsidRPr="00FA0D37" w:rsidRDefault="00394471" w:rsidP="00FA0D37">
      <w:pPr>
        <w:pStyle w:val="PL"/>
      </w:pPr>
      <w:r w:rsidRPr="00FA0D37">
        <w:t xml:space="preserve">MultiDCI-MultiTRP-r16 ::=           </w:t>
      </w:r>
      <w:r w:rsidRPr="00FA0D37">
        <w:rPr>
          <w:color w:val="993366"/>
        </w:rPr>
        <w:t>SEQUENCE</w:t>
      </w:r>
      <w:r w:rsidRPr="00FA0D37">
        <w:t xml:space="preserve"> {</w:t>
      </w:r>
    </w:p>
    <w:p w14:paraId="181EBC1B" w14:textId="77777777" w:rsidR="00394471" w:rsidRPr="00FA0D37" w:rsidRDefault="00394471" w:rsidP="00FA0D37">
      <w:pPr>
        <w:pStyle w:val="PL"/>
      </w:pPr>
      <w:r w:rsidRPr="00FA0D37">
        <w:t xml:space="preserve">    maxNumberCORESET-r16                </w:t>
      </w:r>
      <w:r w:rsidRPr="00FA0D37">
        <w:rPr>
          <w:color w:val="993366"/>
        </w:rPr>
        <w:t>ENUMERATED</w:t>
      </w:r>
      <w:r w:rsidRPr="00FA0D37">
        <w:t xml:space="preserve"> {n2, n3, n4, n5},</w:t>
      </w:r>
    </w:p>
    <w:p w14:paraId="6E231A58" w14:textId="77777777" w:rsidR="00394471" w:rsidRPr="00FA0D37" w:rsidRDefault="00394471" w:rsidP="00FA0D37">
      <w:pPr>
        <w:pStyle w:val="PL"/>
      </w:pPr>
      <w:r w:rsidRPr="00FA0D37">
        <w:t xml:space="preserve">    maxNumberCORESETPerPoolIndex-r16    </w:t>
      </w:r>
      <w:r w:rsidRPr="00FA0D37">
        <w:rPr>
          <w:color w:val="993366"/>
        </w:rPr>
        <w:t>INTEGER</w:t>
      </w:r>
      <w:r w:rsidRPr="00FA0D37">
        <w:t xml:space="preserve"> (1..3),</w:t>
      </w:r>
    </w:p>
    <w:p w14:paraId="53B68732" w14:textId="77777777" w:rsidR="00394471" w:rsidRPr="00FA0D37" w:rsidRDefault="00394471" w:rsidP="00FA0D37">
      <w:pPr>
        <w:pStyle w:val="PL"/>
      </w:pPr>
      <w:r w:rsidRPr="00FA0D37">
        <w:t xml:space="preserve">    maxNumberUnicastPDSCH-PerPool-r16   </w:t>
      </w:r>
      <w:r w:rsidRPr="00FA0D37">
        <w:rPr>
          <w:color w:val="993366"/>
        </w:rPr>
        <w:t>ENUMERATED</w:t>
      </w:r>
      <w:r w:rsidRPr="00FA0D37">
        <w:t xml:space="preserve"> {n1, n2, n3, n4, n7}</w:t>
      </w:r>
    </w:p>
    <w:p w14:paraId="1C6D724A" w14:textId="77777777" w:rsidR="00394471" w:rsidRPr="00FA0D37" w:rsidRDefault="00394471" w:rsidP="00FA0D37">
      <w:pPr>
        <w:pStyle w:val="PL"/>
      </w:pPr>
      <w:r w:rsidRPr="00FA0D37">
        <w:t>}</w:t>
      </w:r>
    </w:p>
    <w:p w14:paraId="2DC654A7" w14:textId="303FD800" w:rsidR="00394471" w:rsidRPr="00FA0D37" w:rsidRDefault="00394471" w:rsidP="00FA0D37">
      <w:pPr>
        <w:pStyle w:val="PL"/>
      </w:pPr>
    </w:p>
    <w:p w14:paraId="4841DA9F" w14:textId="77777777" w:rsidR="00B166EA" w:rsidRPr="00FA0D37" w:rsidRDefault="00B166EA" w:rsidP="00FA0D37">
      <w:pPr>
        <w:pStyle w:val="PL"/>
      </w:pPr>
      <w:r w:rsidRPr="00FA0D37">
        <w:t xml:space="preserve">CRS-InterfMitigation-r17 ::=        </w:t>
      </w:r>
      <w:r w:rsidRPr="00FA0D37">
        <w:rPr>
          <w:color w:val="993366"/>
        </w:rPr>
        <w:t>SEQUENCE</w:t>
      </w:r>
      <w:r w:rsidRPr="00FA0D37">
        <w:t xml:space="preserve"> {</w:t>
      </w:r>
    </w:p>
    <w:p w14:paraId="216CEAD8" w14:textId="05F14421" w:rsidR="00B166EA" w:rsidRPr="00FA0D37" w:rsidRDefault="00B166EA" w:rsidP="00FA0D37">
      <w:pPr>
        <w:pStyle w:val="PL"/>
        <w:rPr>
          <w:color w:val="808080"/>
        </w:rPr>
      </w:pPr>
      <w:r w:rsidRPr="00FA0D37">
        <w:t xml:space="preserve">    </w:t>
      </w:r>
      <w:r w:rsidRPr="00FA0D37">
        <w:rPr>
          <w:color w:val="808080"/>
        </w:rPr>
        <w:t>-- R4 24-1 CRS-IM (Interference Mitigation) in DSS scenario</w:t>
      </w:r>
    </w:p>
    <w:p w14:paraId="6A7A1537" w14:textId="7E4F0250" w:rsidR="00B166EA" w:rsidRPr="00FA0D37" w:rsidRDefault="00B166EA" w:rsidP="00FA0D37">
      <w:pPr>
        <w:pStyle w:val="PL"/>
      </w:pPr>
      <w:r w:rsidRPr="00FA0D37">
        <w:t xml:space="preserve">    crs-IM-DSS-15kHzSCS-r17             </w:t>
      </w:r>
      <w:r w:rsidRPr="00FA0D37">
        <w:rPr>
          <w:color w:val="993366"/>
        </w:rPr>
        <w:t>ENUMERATED</w:t>
      </w:r>
      <w:r w:rsidRPr="00FA0D37">
        <w:t xml:space="preserve"> {supported}                                                  </w:t>
      </w:r>
      <w:r w:rsidRPr="00FA0D37">
        <w:rPr>
          <w:color w:val="993366"/>
        </w:rPr>
        <w:t>OPTIONAL</w:t>
      </w:r>
      <w:r w:rsidRPr="00FA0D37">
        <w:t>,</w:t>
      </w:r>
    </w:p>
    <w:p w14:paraId="688CDA63" w14:textId="5FDF3666" w:rsidR="00B166EA" w:rsidRPr="00FA0D37" w:rsidRDefault="00B166EA" w:rsidP="00FA0D37">
      <w:pPr>
        <w:pStyle w:val="PL"/>
        <w:rPr>
          <w:color w:val="808080"/>
        </w:rPr>
      </w:pPr>
      <w:r w:rsidRPr="00FA0D37">
        <w:t xml:space="preserve">    </w:t>
      </w:r>
      <w:r w:rsidRPr="00FA0D37">
        <w:rPr>
          <w:color w:val="808080"/>
        </w:rPr>
        <w:t>-- R4 24-2 CRS-IM in non-DSS and 15 kHz NR SCS scenario, without the assistance of network signaling on LTE channel bandwidth</w:t>
      </w:r>
    </w:p>
    <w:p w14:paraId="7EA2E805" w14:textId="55F0C2E0" w:rsidR="00B166EA" w:rsidRPr="00FA0D37" w:rsidRDefault="00B166EA" w:rsidP="00FA0D37">
      <w:pPr>
        <w:pStyle w:val="PL"/>
      </w:pPr>
      <w:r w:rsidRPr="00FA0D37">
        <w:t xml:space="preserve">    crs-IM-nonDSS-15kHzSCS-r17          </w:t>
      </w:r>
      <w:r w:rsidRPr="00FA0D37">
        <w:rPr>
          <w:color w:val="993366"/>
        </w:rPr>
        <w:t>ENUMERATED</w:t>
      </w:r>
      <w:r w:rsidRPr="00FA0D37">
        <w:t xml:space="preserve"> {supported}                                                  </w:t>
      </w:r>
      <w:r w:rsidRPr="00FA0D37">
        <w:rPr>
          <w:color w:val="993366"/>
        </w:rPr>
        <w:t>OPTIONAL</w:t>
      </w:r>
      <w:r w:rsidRPr="00FA0D37">
        <w:t>,</w:t>
      </w:r>
    </w:p>
    <w:p w14:paraId="4AAC02C6" w14:textId="32CA42C3" w:rsidR="00B166EA" w:rsidRPr="00FA0D37" w:rsidRDefault="00B166EA" w:rsidP="00FA0D37">
      <w:pPr>
        <w:pStyle w:val="PL"/>
        <w:rPr>
          <w:color w:val="808080"/>
        </w:rPr>
      </w:pPr>
      <w:r w:rsidRPr="00FA0D37">
        <w:t xml:space="preserve">    </w:t>
      </w:r>
      <w:r w:rsidRPr="00FA0D37">
        <w:rPr>
          <w:color w:val="808080"/>
        </w:rPr>
        <w:t>-- R4 24-3 CRS-IM in non-DSS and 15 kHz NR SCS scenario, with the assistance of network signaling on LTE channel bandwidth</w:t>
      </w:r>
    </w:p>
    <w:p w14:paraId="43F3429E" w14:textId="1A6B3944" w:rsidR="00B166EA" w:rsidRPr="00FA0D37" w:rsidRDefault="00B166EA" w:rsidP="00FA0D37">
      <w:pPr>
        <w:pStyle w:val="PL"/>
      </w:pPr>
      <w:r w:rsidRPr="00FA0D37">
        <w:t xml:space="preserve">    crs-IM-nonDSS-NWA-15kHzSCS-r17      </w:t>
      </w:r>
      <w:r w:rsidRPr="00FA0D37">
        <w:rPr>
          <w:color w:val="993366"/>
        </w:rPr>
        <w:t>ENUMERATED</w:t>
      </w:r>
      <w:r w:rsidRPr="00FA0D37">
        <w:t xml:space="preserve"> {supported}                                                  </w:t>
      </w:r>
      <w:r w:rsidRPr="00FA0D37">
        <w:rPr>
          <w:color w:val="993366"/>
        </w:rPr>
        <w:t>OPTIONAL</w:t>
      </w:r>
      <w:r w:rsidRPr="00FA0D37">
        <w:t>,</w:t>
      </w:r>
    </w:p>
    <w:p w14:paraId="664F7552" w14:textId="25030C30" w:rsidR="00B166EA" w:rsidRPr="00FA0D37" w:rsidRDefault="00B166EA" w:rsidP="00FA0D37">
      <w:pPr>
        <w:pStyle w:val="PL"/>
        <w:rPr>
          <w:color w:val="808080"/>
        </w:rPr>
      </w:pPr>
      <w:r w:rsidRPr="00FA0D37">
        <w:t xml:space="preserve">    </w:t>
      </w:r>
      <w:r w:rsidRPr="00FA0D37">
        <w:rPr>
          <w:color w:val="808080"/>
        </w:rPr>
        <w:t>-- R4 24-4 CRS-IM in non-DSS and 30 kHz NR SCS scenario, without the assistance of network signaling on LTE channel bandwidth</w:t>
      </w:r>
    </w:p>
    <w:p w14:paraId="1154C766" w14:textId="59F8781D" w:rsidR="00B166EA" w:rsidRPr="00FA0D37" w:rsidRDefault="00B166EA" w:rsidP="00FA0D37">
      <w:pPr>
        <w:pStyle w:val="PL"/>
      </w:pPr>
      <w:r w:rsidRPr="00FA0D37">
        <w:t xml:space="preserve">    crs-IM-nonDSS-30kHzSCS-r17          </w:t>
      </w:r>
      <w:r w:rsidRPr="00FA0D37">
        <w:rPr>
          <w:color w:val="993366"/>
        </w:rPr>
        <w:t>ENUMERATED</w:t>
      </w:r>
      <w:r w:rsidRPr="00FA0D37">
        <w:t xml:space="preserve"> {supported}                                                  </w:t>
      </w:r>
      <w:r w:rsidRPr="00FA0D37">
        <w:rPr>
          <w:color w:val="993366"/>
        </w:rPr>
        <w:t>OPTIONAL</w:t>
      </w:r>
      <w:r w:rsidRPr="00FA0D37">
        <w:t>,</w:t>
      </w:r>
    </w:p>
    <w:p w14:paraId="7C724A26" w14:textId="76A44CCE" w:rsidR="00B166EA" w:rsidRPr="00FA0D37" w:rsidRDefault="00B166EA" w:rsidP="00FA0D37">
      <w:pPr>
        <w:pStyle w:val="PL"/>
        <w:rPr>
          <w:color w:val="808080"/>
        </w:rPr>
      </w:pPr>
      <w:r w:rsidRPr="00FA0D37">
        <w:t xml:space="preserve">    </w:t>
      </w:r>
      <w:r w:rsidRPr="00FA0D37">
        <w:rPr>
          <w:color w:val="808080"/>
        </w:rPr>
        <w:t>-- R4 24-5 CRS-IM in non-DSS and 30 kHz NR SCS scenario, with the assistance of network signaling on LTE channel bandwidth</w:t>
      </w:r>
    </w:p>
    <w:p w14:paraId="4793998D" w14:textId="6D73B972" w:rsidR="00B166EA" w:rsidRPr="00FA0D37" w:rsidRDefault="00B166EA" w:rsidP="00FA0D37">
      <w:pPr>
        <w:pStyle w:val="PL"/>
      </w:pPr>
      <w:r w:rsidRPr="00FA0D37">
        <w:t xml:space="preserve">    crs-IM-nonDSS-NWA-30kHzSCS-r17      </w:t>
      </w:r>
      <w:r w:rsidRPr="00FA0D37">
        <w:rPr>
          <w:color w:val="993366"/>
        </w:rPr>
        <w:t>ENUMERATED</w:t>
      </w:r>
      <w:r w:rsidRPr="00FA0D37">
        <w:t xml:space="preserve"> {supported}                                                  </w:t>
      </w:r>
      <w:r w:rsidRPr="00FA0D37">
        <w:rPr>
          <w:color w:val="993366"/>
        </w:rPr>
        <w:t>OPTIONAL</w:t>
      </w:r>
    </w:p>
    <w:p w14:paraId="1C4E4195" w14:textId="54D4B839" w:rsidR="00B166EA" w:rsidRPr="00FA0D37" w:rsidRDefault="00B166EA" w:rsidP="00FA0D37">
      <w:pPr>
        <w:pStyle w:val="PL"/>
      </w:pPr>
      <w:r w:rsidRPr="00FA0D37">
        <w:t>}</w:t>
      </w:r>
    </w:p>
    <w:p w14:paraId="7FAC4888" w14:textId="77777777" w:rsidR="00B166EA" w:rsidRPr="00FA0D37" w:rsidRDefault="00B166EA" w:rsidP="00FA0D37">
      <w:pPr>
        <w:pStyle w:val="PL"/>
      </w:pPr>
    </w:p>
    <w:p w14:paraId="2CAA675B" w14:textId="77777777" w:rsidR="00394471" w:rsidRPr="00FA0D37" w:rsidRDefault="00394471" w:rsidP="00FA0D37">
      <w:pPr>
        <w:pStyle w:val="PL"/>
        <w:rPr>
          <w:color w:val="808080"/>
        </w:rPr>
      </w:pPr>
      <w:r w:rsidRPr="00FA0D37">
        <w:rPr>
          <w:color w:val="808080"/>
        </w:rPr>
        <w:t>-- TAG-FEATURESETDOWNLINKPERCC-STOP</w:t>
      </w:r>
    </w:p>
    <w:p w14:paraId="204BDBFC" w14:textId="77777777" w:rsidR="00394471" w:rsidRPr="00FA0D37" w:rsidRDefault="00394471" w:rsidP="00FA0D37">
      <w:pPr>
        <w:pStyle w:val="PL"/>
        <w:rPr>
          <w:color w:val="808080"/>
        </w:rPr>
      </w:pPr>
      <w:r w:rsidRPr="00FA0D37">
        <w:rPr>
          <w:color w:val="808080"/>
        </w:rPr>
        <w:t>-- ASN1STOP</w:t>
      </w:r>
    </w:p>
    <w:p w14:paraId="194328CB" w14:textId="77777777" w:rsidR="00394471" w:rsidRPr="00FA0D37" w:rsidRDefault="00394471" w:rsidP="00394471"/>
    <w:p w14:paraId="4080A9D8" w14:textId="77777777" w:rsidR="00394471" w:rsidRPr="00FA0D37" w:rsidRDefault="00394471" w:rsidP="00394471">
      <w:pPr>
        <w:pStyle w:val="4"/>
      </w:pPr>
      <w:bookmarkStart w:id="1539" w:name="_Toc60777444"/>
      <w:bookmarkStart w:id="1540" w:name="_Toc146781545"/>
      <w:r w:rsidRPr="00FA0D37">
        <w:t>–</w:t>
      </w:r>
      <w:r w:rsidRPr="00FA0D37">
        <w:tab/>
      </w:r>
      <w:r w:rsidRPr="00FA0D37">
        <w:rPr>
          <w:i/>
        </w:rPr>
        <w:t>FeatureSetDownlinkPerCC-Id</w:t>
      </w:r>
      <w:bookmarkEnd w:id="1539"/>
      <w:bookmarkEnd w:id="1540"/>
    </w:p>
    <w:p w14:paraId="2300A2DB" w14:textId="77777777" w:rsidR="00394471" w:rsidRPr="00FA0D37" w:rsidRDefault="00394471" w:rsidP="00394471">
      <w:r w:rsidRPr="00FA0D37">
        <w:t xml:space="preserve">The IE </w:t>
      </w:r>
      <w:r w:rsidRPr="00FA0D37">
        <w:rPr>
          <w:i/>
        </w:rPr>
        <w:t>FeatureSetDownlinkPerCC-Id</w:t>
      </w:r>
      <w:r w:rsidRPr="00FA0D37">
        <w:t xml:space="preserve"> identifies a set of features applicable to one carrier of a feature set. The </w:t>
      </w:r>
      <w:r w:rsidRPr="00FA0D37">
        <w:rPr>
          <w:i/>
        </w:rPr>
        <w:t>FeatureSetDownlinkPerCC-Id</w:t>
      </w:r>
      <w:r w:rsidRPr="00FA0D37">
        <w:t xml:space="preserve"> of a </w:t>
      </w:r>
      <w:r w:rsidRPr="00FA0D37">
        <w:rPr>
          <w:i/>
        </w:rPr>
        <w:t>FeatureSetDownlinkPerCC</w:t>
      </w:r>
      <w:r w:rsidRPr="00FA0D37">
        <w:t xml:space="preserve"> is the index position of the </w:t>
      </w:r>
      <w:r w:rsidRPr="00FA0D37">
        <w:rPr>
          <w:i/>
        </w:rPr>
        <w:t xml:space="preserve">FeatureSetDownlinkPerCC </w:t>
      </w:r>
      <w:r w:rsidRPr="00FA0D37">
        <w:t xml:space="preserve">in the </w:t>
      </w:r>
      <w:r w:rsidRPr="00FA0D37">
        <w:rPr>
          <w:i/>
        </w:rPr>
        <w:t>featureSetsDownlinkPerCC</w:t>
      </w:r>
      <w:r w:rsidRPr="00FA0D37">
        <w:t xml:space="preserve">. The first element in the list is referred to by </w:t>
      </w:r>
      <w:r w:rsidRPr="00FA0D37">
        <w:rPr>
          <w:i/>
        </w:rPr>
        <w:t xml:space="preserve">FeatureSetDownlinkPerCC-Id </w:t>
      </w:r>
      <w:r w:rsidRPr="00FA0D37">
        <w:t>= 1, and so on.</w:t>
      </w:r>
    </w:p>
    <w:p w14:paraId="6A7467CC" w14:textId="77777777" w:rsidR="00394471" w:rsidRPr="00FA0D37" w:rsidRDefault="00394471" w:rsidP="00394471">
      <w:pPr>
        <w:pStyle w:val="TH"/>
      </w:pPr>
      <w:r w:rsidRPr="00FA0D37">
        <w:rPr>
          <w:i/>
        </w:rPr>
        <w:t>FeatureSetDownlinkPerCC-Id</w:t>
      </w:r>
      <w:r w:rsidRPr="00FA0D37">
        <w:t xml:space="preserve"> information element</w:t>
      </w:r>
    </w:p>
    <w:p w14:paraId="0EBEFED0" w14:textId="77777777" w:rsidR="00394471" w:rsidRPr="00FA0D37" w:rsidRDefault="00394471" w:rsidP="00FA0D37">
      <w:pPr>
        <w:pStyle w:val="PL"/>
        <w:rPr>
          <w:color w:val="808080"/>
        </w:rPr>
      </w:pPr>
      <w:r w:rsidRPr="00FA0D37">
        <w:rPr>
          <w:color w:val="808080"/>
        </w:rPr>
        <w:t>-- ASN1START</w:t>
      </w:r>
    </w:p>
    <w:p w14:paraId="50423526" w14:textId="77777777" w:rsidR="00394471" w:rsidRPr="00FA0D37" w:rsidRDefault="00394471" w:rsidP="00FA0D37">
      <w:pPr>
        <w:pStyle w:val="PL"/>
        <w:rPr>
          <w:color w:val="808080"/>
        </w:rPr>
      </w:pPr>
      <w:r w:rsidRPr="00FA0D37">
        <w:rPr>
          <w:color w:val="808080"/>
        </w:rPr>
        <w:t>-- TAG-FEATURESETDOWNLINKPERCC-ID-START</w:t>
      </w:r>
    </w:p>
    <w:p w14:paraId="16FDC681" w14:textId="77777777" w:rsidR="00394471" w:rsidRPr="00FA0D37" w:rsidRDefault="00394471" w:rsidP="00FA0D37">
      <w:pPr>
        <w:pStyle w:val="PL"/>
      </w:pPr>
    </w:p>
    <w:p w14:paraId="20B4F238" w14:textId="77777777" w:rsidR="00394471" w:rsidRPr="00FA0D37" w:rsidRDefault="00394471" w:rsidP="00FA0D37">
      <w:pPr>
        <w:pStyle w:val="PL"/>
      </w:pPr>
      <w:r w:rsidRPr="00FA0D37">
        <w:t xml:space="preserve">FeatureSetDownlinkPerCC-Id ::=      </w:t>
      </w:r>
      <w:r w:rsidRPr="00FA0D37">
        <w:rPr>
          <w:color w:val="993366"/>
        </w:rPr>
        <w:t>INTEGER</w:t>
      </w:r>
      <w:r w:rsidRPr="00FA0D37">
        <w:t xml:space="preserve"> (1..maxPerCC-FeatureSets)</w:t>
      </w:r>
    </w:p>
    <w:p w14:paraId="58BD2064" w14:textId="77777777" w:rsidR="00394471" w:rsidRPr="00FA0D37" w:rsidRDefault="00394471" w:rsidP="00FA0D37">
      <w:pPr>
        <w:pStyle w:val="PL"/>
      </w:pPr>
    </w:p>
    <w:p w14:paraId="6A907232" w14:textId="77777777" w:rsidR="00394471" w:rsidRPr="00FA0D37" w:rsidRDefault="00394471" w:rsidP="00FA0D37">
      <w:pPr>
        <w:pStyle w:val="PL"/>
        <w:rPr>
          <w:color w:val="808080"/>
        </w:rPr>
      </w:pPr>
      <w:r w:rsidRPr="00FA0D37">
        <w:rPr>
          <w:color w:val="808080"/>
        </w:rPr>
        <w:t>-- TAG-FEATURESETDOWNLINKPERCC-ID-STOP</w:t>
      </w:r>
    </w:p>
    <w:p w14:paraId="4279C826" w14:textId="77777777" w:rsidR="00394471" w:rsidRPr="00FA0D37" w:rsidRDefault="00394471" w:rsidP="00FA0D37">
      <w:pPr>
        <w:pStyle w:val="PL"/>
        <w:rPr>
          <w:color w:val="808080"/>
        </w:rPr>
      </w:pPr>
      <w:r w:rsidRPr="00FA0D37">
        <w:rPr>
          <w:color w:val="808080"/>
        </w:rPr>
        <w:t>-- ASN1STOP</w:t>
      </w:r>
    </w:p>
    <w:p w14:paraId="5500276E" w14:textId="77777777" w:rsidR="00394471" w:rsidRPr="00FA0D37" w:rsidRDefault="00394471" w:rsidP="00394471"/>
    <w:p w14:paraId="01F587B3" w14:textId="77777777" w:rsidR="00394471" w:rsidRPr="00FA0D37" w:rsidRDefault="00394471" w:rsidP="00394471">
      <w:pPr>
        <w:pStyle w:val="4"/>
      </w:pPr>
      <w:bookmarkStart w:id="1541" w:name="_Toc60777445"/>
      <w:bookmarkStart w:id="1542" w:name="_Toc146781546"/>
      <w:r w:rsidRPr="00FA0D37">
        <w:lastRenderedPageBreak/>
        <w:t>–</w:t>
      </w:r>
      <w:r w:rsidRPr="00FA0D37">
        <w:tab/>
      </w:r>
      <w:r w:rsidRPr="00FA0D37">
        <w:rPr>
          <w:i/>
        </w:rPr>
        <w:t>FeatureSetEUTRA-DownlinkId</w:t>
      </w:r>
      <w:bookmarkEnd w:id="1541"/>
      <w:bookmarkEnd w:id="1542"/>
    </w:p>
    <w:p w14:paraId="43637E3F" w14:textId="77777777" w:rsidR="00394471" w:rsidRPr="00FA0D37" w:rsidRDefault="00394471" w:rsidP="00394471">
      <w:r w:rsidRPr="00FA0D37">
        <w:t xml:space="preserve">The IE </w:t>
      </w:r>
      <w:r w:rsidRPr="00FA0D37">
        <w:rPr>
          <w:i/>
        </w:rPr>
        <w:t>FeatureSetEUTRA-DownlinkId</w:t>
      </w:r>
      <w:r w:rsidRPr="00FA0D37">
        <w:t xml:space="preserve"> identifies a downlink feature set in E-UTRA list (see TS 36.331 [10]. The first element in that list is referred to by </w:t>
      </w:r>
      <w:r w:rsidRPr="00FA0D37">
        <w:rPr>
          <w:i/>
        </w:rPr>
        <w:t>FeatureSetEUTRA-DownlinkId</w:t>
      </w:r>
      <w:r w:rsidRPr="00FA0D37">
        <w:t xml:space="preserve"> = 1. The </w:t>
      </w:r>
      <w:r w:rsidRPr="00FA0D37">
        <w:rPr>
          <w:i/>
        </w:rPr>
        <w:t>FeatureSetEUTRA-DownlinkId=0</w:t>
      </w:r>
      <w:r w:rsidRPr="00FA0D37">
        <w:t xml:space="preserve"> is used when the UE does not support a carrier in this band of a band combination.</w:t>
      </w:r>
    </w:p>
    <w:p w14:paraId="5AEF14C6" w14:textId="77777777" w:rsidR="00394471" w:rsidRPr="00FA0D37" w:rsidRDefault="00394471" w:rsidP="00394471">
      <w:pPr>
        <w:pStyle w:val="TH"/>
      </w:pPr>
      <w:r w:rsidRPr="00FA0D37">
        <w:rPr>
          <w:i/>
        </w:rPr>
        <w:t>FeatureSetEUTRA-DownlinkId</w:t>
      </w:r>
      <w:r w:rsidRPr="00FA0D37">
        <w:t xml:space="preserve"> information element</w:t>
      </w:r>
    </w:p>
    <w:p w14:paraId="20FCD144" w14:textId="77777777" w:rsidR="00394471" w:rsidRPr="00FA0D37" w:rsidRDefault="00394471" w:rsidP="00FA0D37">
      <w:pPr>
        <w:pStyle w:val="PL"/>
        <w:rPr>
          <w:color w:val="808080"/>
        </w:rPr>
      </w:pPr>
      <w:r w:rsidRPr="00FA0D37">
        <w:rPr>
          <w:color w:val="808080"/>
        </w:rPr>
        <w:t>-- ASN1START</w:t>
      </w:r>
    </w:p>
    <w:p w14:paraId="1DF4CF4F" w14:textId="77777777" w:rsidR="00394471" w:rsidRPr="00FA0D37" w:rsidRDefault="00394471" w:rsidP="00FA0D37">
      <w:pPr>
        <w:pStyle w:val="PL"/>
        <w:rPr>
          <w:color w:val="808080"/>
        </w:rPr>
      </w:pPr>
      <w:r w:rsidRPr="00FA0D37">
        <w:rPr>
          <w:color w:val="808080"/>
        </w:rPr>
        <w:t>-- TAG-FEATURESETEUTRADOWNLINKID-START</w:t>
      </w:r>
    </w:p>
    <w:p w14:paraId="53C1C69D" w14:textId="77777777" w:rsidR="00394471" w:rsidRPr="00FA0D37" w:rsidRDefault="00394471" w:rsidP="00FA0D37">
      <w:pPr>
        <w:pStyle w:val="PL"/>
      </w:pPr>
    </w:p>
    <w:p w14:paraId="4BED68B9" w14:textId="77777777" w:rsidR="00394471" w:rsidRPr="00FA0D37" w:rsidRDefault="00394471" w:rsidP="00FA0D37">
      <w:pPr>
        <w:pStyle w:val="PL"/>
      </w:pPr>
      <w:r w:rsidRPr="00FA0D37">
        <w:t xml:space="preserve">FeatureSetEUTRA-DownlinkId ::=      </w:t>
      </w:r>
      <w:r w:rsidRPr="00FA0D37">
        <w:rPr>
          <w:color w:val="993366"/>
        </w:rPr>
        <w:t>INTEGER</w:t>
      </w:r>
      <w:r w:rsidRPr="00FA0D37">
        <w:t xml:space="preserve"> (0..maxEUTRA-DL-FeatureSets)</w:t>
      </w:r>
    </w:p>
    <w:p w14:paraId="6DD76C6D" w14:textId="77777777" w:rsidR="00394471" w:rsidRPr="00FA0D37" w:rsidRDefault="00394471" w:rsidP="00FA0D37">
      <w:pPr>
        <w:pStyle w:val="PL"/>
      </w:pPr>
    </w:p>
    <w:p w14:paraId="7C678F06" w14:textId="77777777" w:rsidR="00394471" w:rsidRPr="00FA0D37" w:rsidRDefault="00394471" w:rsidP="00FA0D37">
      <w:pPr>
        <w:pStyle w:val="PL"/>
        <w:rPr>
          <w:color w:val="808080"/>
        </w:rPr>
      </w:pPr>
      <w:r w:rsidRPr="00FA0D37">
        <w:rPr>
          <w:color w:val="808080"/>
        </w:rPr>
        <w:t>-- TAG-FEATURESETEUTRADOWNLINKID-STOP</w:t>
      </w:r>
    </w:p>
    <w:p w14:paraId="2BE6DC15" w14:textId="77777777" w:rsidR="00394471" w:rsidRPr="00FA0D37" w:rsidRDefault="00394471" w:rsidP="00FA0D37">
      <w:pPr>
        <w:pStyle w:val="PL"/>
        <w:rPr>
          <w:color w:val="808080"/>
        </w:rPr>
      </w:pPr>
      <w:r w:rsidRPr="00FA0D37">
        <w:rPr>
          <w:color w:val="808080"/>
        </w:rPr>
        <w:t>-- ASN1STOP</w:t>
      </w:r>
    </w:p>
    <w:p w14:paraId="5295D1B1" w14:textId="77777777" w:rsidR="00394471" w:rsidRPr="00FA0D37" w:rsidRDefault="00394471" w:rsidP="00394471"/>
    <w:p w14:paraId="589A58C1" w14:textId="77777777" w:rsidR="00394471" w:rsidRPr="00FA0D37" w:rsidRDefault="00394471" w:rsidP="00394471">
      <w:pPr>
        <w:pStyle w:val="4"/>
        <w:rPr>
          <w:rFonts w:eastAsia="Malgun Gothic"/>
        </w:rPr>
      </w:pPr>
      <w:bookmarkStart w:id="1543" w:name="_Toc60777446"/>
      <w:bookmarkStart w:id="1544" w:name="_Toc146781547"/>
      <w:r w:rsidRPr="00FA0D37">
        <w:rPr>
          <w:rFonts w:eastAsia="Malgun Gothic"/>
        </w:rPr>
        <w:t>–</w:t>
      </w:r>
      <w:r w:rsidRPr="00FA0D37">
        <w:rPr>
          <w:rFonts w:eastAsia="Malgun Gothic"/>
        </w:rPr>
        <w:tab/>
      </w:r>
      <w:r w:rsidRPr="00FA0D37">
        <w:rPr>
          <w:rFonts w:eastAsia="Malgun Gothic"/>
          <w:i/>
        </w:rPr>
        <w:t>FeatureSetEUTRA-UplinkId</w:t>
      </w:r>
      <w:bookmarkEnd w:id="1543"/>
      <w:bookmarkEnd w:id="1544"/>
    </w:p>
    <w:p w14:paraId="344BBBB5" w14:textId="77777777" w:rsidR="00394471" w:rsidRPr="00FA0D37" w:rsidRDefault="00394471" w:rsidP="00394471">
      <w:pPr>
        <w:rPr>
          <w:rFonts w:eastAsia="Malgun Gothic"/>
        </w:rPr>
      </w:pPr>
      <w:r w:rsidRPr="00FA0D37">
        <w:rPr>
          <w:rFonts w:eastAsia="Malgun Gothic"/>
        </w:rPr>
        <w:t xml:space="preserve">The IE </w:t>
      </w:r>
      <w:r w:rsidRPr="00FA0D37">
        <w:rPr>
          <w:rFonts w:eastAsia="Malgun Gothic"/>
          <w:i/>
        </w:rPr>
        <w:t>FeatureSetEUTRA-UplinkId</w:t>
      </w:r>
      <w:r w:rsidRPr="00FA0D37">
        <w:rPr>
          <w:rFonts w:eastAsia="Malgun Gothic"/>
        </w:rPr>
        <w:t xml:space="preserve"> </w:t>
      </w:r>
      <w:r w:rsidRPr="00FA0D37">
        <w:t xml:space="preserve">identifies an uplink feature set in E-UTRA list (see TS 36.331 [10]. The first element in that list is referred to by </w:t>
      </w:r>
      <w:r w:rsidRPr="00FA0D37">
        <w:rPr>
          <w:i/>
        </w:rPr>
        <w:t>FeatureSetEUTRA-UplinkId</w:t>
      </w:r>
      <w:r w:rsidRPr="00FA0D37">
        <w:t xml:space="preserve"> = 1. The </w:t>
      </w:r>
      <w:r w:rsidRPr="00FA0D37">
        <w:rPr>
          <w:rFonts w:eastAsia="Malgun Gothic"/>
          <w:i/>
        </w:rPr>
        <w:t>FeatureSetEUTRA-UplinkId</w:t>
      </w:r>
      <w:r w:rsidRPr="00FA0D37">
        <w:rPr>
          <w:rFonts w:eastAsia="Malgun Gothic"/>
        </w:rPr>
        <w:t xml:space="preserve"> </w:t>
      </w:r>
      <w:r w:rsidRPr="00FA0D37">
        <w:rPr>
          <w:i/>
        </w:rPr>
        <w:t>=0</w:t>
      </w:r>
      <w:r w:rsidRPr="00FA0D37">
        <w:t xml:space="preserve"> is used when the UE does not support a carrier in this band of a band combination.</w:t>
      </w:r>
    </w:p>
    <w:p w14:paraId="586CCF31" w14:textId="77777777" w:rsidR="00394471" w:rsidRPr="00FA0D37" w:rsidRDefault="00394471" w:rsidP="00394471">
      <w:pPr>
        <w:pStyle w:val="TH"/>
        <w:rPr>
          <w:rFonts w:eastAsia="Malgun Gothic"/>
        </w:rPr>
      </w:pPr>
      <w:r w:rsidRPr="00FA0D37">
        <w:rPr>
          <w:rFonts w:eastAsia="Malgun Gothic"/>
          <w:i/>
        </w:rPr>
        <w:t>FeatureSetEUTRA-UplinkId</w:t>
      </w:r>
      <w:r w:rsidRPr="00FA0D37">
        <w:rPr>
          <w:rFonts w:eastAsia="Malgun Gothic"/>
        </w:rPr>
        <w:t xml:space="preserve"> information element</w:t>
      </w:r>
    </w:p>
    <w:p w14:paraId="61556CBB" w14:textId="77777777" w:rsidR="00394471" w:rsidRPr="00FA0D37" w:rsidRDefault="00394471" w:rsidP="00FA0D37">
      <w:pPr>
        <w:pStyle w:val="PL"/>
        <w:rPr>
          <w:color w:val="808080"/>
        </w:rPr>
      </w:pPr>
      <w:r w:rsidRPr="00FA0D37">
        <w:rPr>
          <w:color w:val="808080"/>
        </w:rPr>
        <w:t>-- ASN1START</w:t>
      </w:r>
    </w:p>
    <w:p w14:paraId="25392B49" w14:textId="77777777" w:rsidR="00394471" w:rsidRPr="00FA0D37" w:rsidRDefault="00394471" w:rsidP="00FA0D37">
      <w:pPr>
        <w:pStyle w:val="PL"/>
        <w:rPr>
          <w:color w:val="808080"/>
        </w:rPr>
      </w:pPr>
      <w:r w:rsidRPr="00FA0D37">
        <w:rPr>
          <w:color w:val="808080"/>
        </w:rPr>
        <w:t>-- TAG-FEATURESETEUTRAUPLINKID-START</w:t>
      </w:r>
    </w:p>
    <w:p w14:paraId="1D3E51D5" w14:textId="77777777" w:rsidR="00394471" w:rsidRPr="00FA0D37" w:rsidRDefault="00394471" w:rsidP="00FA0D37">
      <w:pPr>
        <w:pStyle w:val="PL"/>
      </w:pPr>
    </w:p>
    <w:p w14:paraId="7AD628B3" w14:textId="77777777" w:rsidR="00394471" w:rsidRPr="00FA0D37" w:rsidRDefault="00394471" w:rsidP="00FA0D37">
      <w:pPr>
        <w:pStyle w:val="PL"/>
      </w:pPr>
      <w:r w:rsidRPr="00FA0D37">
        <w:t xml:space="preserve">FeatureSetEUTRA-UplinkId ::=                    </w:t>
      </w:r>
      <w:r w:rsidRPr="00FA0D37">
        <w:rPr>
          <w:color w:val="993366"/>
        </w:rPr>
        <w:t>INTEGER</w:t>
      </w:r>
      <w:r w:rsidRPr="00FA0D37">
        <w:t xml:space="preserve"> (0..maxEUTRA-UL-FeatureSets)</w:t>
      </w:r>
    </w:p>
    <w:p w14:paraId="04E45072" w14:textId="77777777" w:rsidR="00394471" w:rsidRPr="00FA0D37" w:rsidRDefault="00394471" w:rsidP="00FA0D37">
      <w:pPr>
        <w:pStyle w:val="PL"/>
      </w:pPr>
    </w:p>
    <w:p w14:paraId="45EECACE" w14:textId="77777777" w:rsidR="00394471" w:rsidRPr="00FA0D37" w:rsidRDefault="00394471" w:rsidP="00FA0D37">
      <w:pPr>
        <w:pStyle w:val="PL"/>
        <w:rPr>
          <w:color w:val="808080"/>
        </w:rPr>
      </w:pPr>
      <w:r w:rsidRPr="00FA0D37">
        <w:rPr>
          <w:color w:val="808080"/>
        </w:rPr>
        <w:t>-- TAG-FEATURESETEUTRAUPLINKID-STOP</w:t>
      </w:r>
    </w:p>
    <w:p w14:paraId="74E70CCF" w14:textId="77777777" w:rsidR="00394471" w:rsidRPr="00FA0D37" w:rsidRDefault="00394471" w:rsidP="00FA0D37">
      <w:pPr>
        <w:pStyle w:val="PL"/>
        <w:rPr>
          <w:color w:val="808080"/>
        </w:rPr>
      </w:pPr>
      <w:r w:rsidRPr="00FA0D37">
        <w:rPr>
          <w:color w:val="808080"/>
        </w:rPr>
        <w:t>-- ASN1STOP</w:t>
      </w:r>
    </w:p>
    <w:p w14:paraId="5EE36871" w14:textId="77777777" w:rsidR="00394471" w:rsidRPr="00FA0D37" w:rsidRDefault="00394471" w:rsidP="00394471"/>
    <w:p w14:paraId="552AB202" w14:textId="77777777" w:rsidR="00394471" w:rsidRPr="00FA0D37" w:rsidRDefault="00394471" w:rsidP="00394471">
      <w:pPr>
        <w:pStyle w:val="4"/>
      </w:pPr>
      <w:bookmarkStart w:id="1545" w:name="_Toc60777447"/>
      <w:bookmarkStart w:id="1546" w:name="_Toc146781548"/>
      <w:r w:rsidRPr="00FA0D37">
        <w:t>–</w:t>
      </w:r>
      <w:r w:rsidRPr="00FA0D37">
        <w:tab/>
      </w:r>
      <w:r w:rsidRPr="00FA0D37">
        <w:rPr>
          <w:i/>
        </w:rPr>
        <w:t>FeatureSets</w:t>
      </w:r>
      <w:bookmarkEnd w:id="1545"/>
      <w:bookmarkEnd w:id="1546"/>
    </w:p>
    <w:p w14:paraId="61FBD356" w14:textId="77777777" w:rsidR="00394471" w:rsidRPr="00FA0D37" w:rsidRDefault="00394471" w:rsidP="00394471">
      <w:r w:rsidRPr="00FA0D37">
        <w:t xml:space="preserve">The IE </w:t>
      </w:r>
      <w:r w:rsidRPr="00FA0D37">
        <w:rPr>
          <w:i/>
        </w:rPr>
        <w:t>FeatureSets</w:t>
      </w:r>
      <w:r w:rsidRPr="00FA0D37">
        <w:t xml:space="preserve"> is used to provide pools of downlink and uplink features sets. A </w:t>
      </w:r>
      <w:r w:rsidRPr="00FA0D37">
        <w:rPr>
          <w:i/>
        </w:rPr>
        <w:t>FeatureSetCombination</w:t>
      </w:r>
      <w:r w:rsidRPr="00FA0D37">
        <w:t xml:space="preserve"> refers to the IDs of the feature set(s) that the UE supports in that </w:t>
      </w:r>
      <w:r w:rsidRPr="00FA0D37">
        <w:rPr>
          <w:i/>
        </w:rPr>
        <w:t>FeatureSetCombination</w:t>
      </w:r>
      <w:r w:rsidRPr="00FA0D37">
        <w:t xml:space="preserve">. The </w:t>
      </w:r>
      <w:r w:rsidRPr="00FA0D37">
        <w:rPr>
          <w:i/>
        </w:rPr>
        <w:t>BandCombination</w:t>
      </w:r>
      <w:r w:rsidRPr="00FA0D37">
        <w:t xml:space="preserve"> entries in the </w:t>
      </w:r>
      <w:r w:rsidRPr="00FA0D37">
        <w:rPr>
          <w:i/>
        </w:rPr>
        <w:t>BandCombinationList</w:t>
      </w:r>
      <w:r w:rsidRPr="00FA0D37">
        <w:t xml:space="preserve"> then indicate the ID of the </w:t>
      </w:r>
      <w:r w:rsidRPr="00FA0D37">
        <w:rPr>
          <w:i/>
        </w:rPr>
        <w:t>FeatureSetCombination</w:t>
      </w:r>
      <w:r w:rsidRPr="00FA0D37">
        <w:t xml:space="preserve"> that the UE supports for that band combination.</w:t>
      </w:r>
    </w:p>
    <w:p w14:paraId="14E77791" w14:textId="77777777" w:rsidR="00394471" w:rsidRPr="00FA0D37" w:rsidRDefault="00394471" w:rsidP="00394471">
      <w:r w:rsidRPr="00FA0D37">
        <w:t xml:space="preserve">The entries in the lists in this IE are identified by their index position. For example, the </w:t>
      </w:r>
      <w:r w:rsidRPr="00FA0D37">
        <w:rPr>
          <w:i/>
        </w:rPr>
        <w:t xml:space="preserve">FeatureSetUplinkPerCC-Id </w:t>
      </w:r>
      <w:r w:rsidRPr="00FA0D37">
        <w:t>= 4 identifies the 4</w:t>
      </w:r>
      <w:r w:rsidRPr="00FA0D37">
        <w:rPr>
          <w:vertAlign w:val="superscript"/>
        </w:rPr>
        <w:t>th</w:t>
      </w:r>
      <w:r w:rsidRPr="00FA0D37">
        <w:t xml:space="preserve"> element in the </w:t>
      </w:r>
      <w:r w:rsidRPr="00FA0D37">
        <w:rPr>
          <w:rFonts w:eastAsia="Yu Mincho"/>
          <w:i/>
        </w:rPr>
        <w:t>f</w:t>
      </w:r>
      <w:r w:rsidRPr="00FA0D37">
        <w:rPr>
          <w:i/>
        </w:rPr>
        <w:t>eatureSetsUplinkPerCC</w:t>
      </w:r>
      <w:r w:rsidRPr="00FA0D37">
        <w:t xml:space="preserve"> list.</w:t>
      </w:r>
    </w:p>
    <w:p w14:paraId="0EE2A9AE" w14:textId="77777777" w:rsidR="00394471" w:rsidRPr="00FA0D37" w:rsidRDefault="00394471" w:rsidP="00394471">
      <w:pPr>
        <w:pStyle w:val="NO"/>
      </w:pPr>
      <w:r w:rsidRPr="00FA0D37">
        <w:lastRenderedPageBreak/>
        <w:t>NOTE:</w:t>
      </w:r>
      <w:r w:rsidRPr="00FA0D37">
        <w:tab/>
        <w:t xml:space="preserve">When feature sets (per CC) IEs require extension in future versions of the specification, new versions of the </w:t>
      </w:r>
      <w:r w:rsidRPr="00FA0D37">
        <w:rPr>
          <w:i/>
        </w:rPr>
        <w:t>FeatureSetDownlink</w:t>
      </w:r>
      <w:r w:rsidRPr="00FA0D37">
        <w:t xml:space="preserve">, </w:t>
      </w:r>
      <w:r w:rsidRPr="00FA0D37">
        <w:rPr>
          <w:i/>
        </w:rPr>
        <w:t>FeatureSetUplink</w:t>
      </w:r>
      <w:r w:rsidRPr="00FA0D37">
        <w:t xml:space="preserve">, </w:t>
      </w:r>
      <w:r w:rsidRPr="00FA0D37">
        <w:rPr>
          <w:i/>
        </w:rPr>
        <w:t>FeatureSets</w:t>
      </w:r>
      <w:r w:rsidRPr="00FA0D37">
        <w:t xml:space="preserve">, </w:t>
      </w:r>
      <w:r w:rsidRPr="00FA0D37">
        <w:rPr>
          <w:i/>
        </w:rPr>
        <w:t>FeatureSetDownlinkPerCC</w:t>
      </w:r>
      <w:r w:rsidRPr="00FA0D37">
        <w:t xml:space="preserve"> and/or </w:t>
      </w:r>
      <w:r w:rsidRPr="00FA0D37">
        <w:rPr>
          <w:i/>
        </w:rPr>
        <w:t>FeatureSetUplinkPerCC</w:t>
      </w:r>
      <w:r w:rsidRPr="00FA0D37">
        <w:t xml:space="preserve"> will be created and instantiated in corresponding new lists in the </w:t>
      </w:r>
      <w:r w:rsidRPr="00FA0D37">
        <w:rPr>
          <w:i/>
        </w:rPr>
        <w:t>FeatureSets</w:t>
      </w:r>
      <w:r w:rsidRPr="00FA0D37">
        <w:t xml:space="preserve"> IE. For example, if new capability bits are to be added to the </w:t>
      </w:r>
      <w:r w:rsidRPr="00FA0D37">
        <w:rPr>
          <w:i/>
        </w:rPr>
        <w:t>FeatureSetDownlink</w:t>
      </w:r>
      <w:r w:rsidRPr="00FA0D37">
        <w:t xml:space="preserve">, they will instead be defined in a new </w:t>
      </w:r>
      <w:r w:rsidRPr="00FA0D37">
        <w:rPr>
          <w:i/>
        </w:rPr>
        <w:t>FeatureSetDownlink-rxy</w:t>
      </w:r>
      <w:r w:rsidRPr="00FA0D37">
        <w:t xml:space="preserve"> which will be instantiated in a new </w:t>
      </w:r>
      <w:r w:rsidRPr="00FA0D37">
        <w:rPr>
          <w:i/>
        </w:rPr>
        <w:t>featureSetDownlinkList-rxy</w:t>
      </w:r>
      <w:r w:rsidRPr="00FA0D37">
        <w:t xml:space="preserve"> list. If a UE indicates in a </w:t>
      </w:r>
      <w:r w:rsidRPr="00FA0D37">
        <w:rPr>
          <w:i/>
        </w:rPr>
        <w:t>FeatureSetCombination</w:t>
      </w:r>
      <w:r w:rsidRPr="00FA0D37">
        <w:t xml:space="preserve"> that it supports the </w:t>
      </w:r>
      <w:r w:rsidRPr="00FA0D37">
        <w:rPr>
          <w:i/>
        </w:rPr>
        <w:t>FeatureSetDownlink</w:t>
      </w:r>
      <w:r w:rsidRPr="00FA0D37">
        <w:t xml:space="preserve"> with ID #5, it implies that it supports both the features in </w:t>
      </w:r>
      <w:r w:rsidRPr="00FA0D37">
        <w:rPr>
          <w:i/>
        </w:rPr>
        <w:t>FeatureSetDownlink</w:t>
      </w:r>
      <w:r w:rsidRPr="00FA0D37">
        <w:t xml:space="preserve"> #5 and </w:t>
      </w:r>
      <w:r w:rsidRPr="00FA0D37">
        <w:rPr>
          <w:i/>
        </w:rPr>
        <w:t>FeatureSetDownlink-rxy</w:t>
      </w:r>
      <w:r w:rsidRPr="00FA0D37">
        <w:t xml:space="preserve"> #5 (if present). The number of entries in the new list(s) shall be the same as in the original list(s).</w:t>
      </w:r>
    </w:p>
    <w:p w14:paraId="28942DF0" w14:textId="77777777" w:rsidR="00394471" w:rsidRPr="00FA0D37" w:rsidRDefault="00394471" w:rsidP="00394471">
      <w:pPr>
        <w:pStyle w:val="TH"/>
      </w:pPr>
      <w:r w:rsidRPr="00FA0D37">
        <w:rPr>
          <w:i/>
        </w:rPr>
        <w:t>FeatureSets</w:t>
      </w:r>
      <w:r w:rsidRPr="00FA0D37">
        <w:t xml:space="preserve"> information element</w:t>
      </w:r>
    </w:p>
    <w:p w14:paraId="57B30CBA" w14:textId="77777777" w:rsidR="00394471" w:rsidRPr="00FA0D37" w:rsidRDefault="00394471" w:rsidP="00FA0D37">
      <w:pPr>
        <w:pStyle w:val="PL"/>
        <w:rPr>
          <w:color w:val="808080"/>
        </w:rPr>
      </w:pPr>
      <w:r w:rsidRPr="00FA0D37">
        <w:rPr>
          <w:color w:val="808080"/>
        </w:rPr>
        <w:t>-- ASN1START</w:t>
      </w:r>
    </w:p>
    <w:p w14:paraId="0AFC32C9" w14:textId="77777777" w:rsidR="00394471" w:rsidRPr="00FA0D37" w:rsidRDefault="00394471" w:rsidP="00FA0D37">
      <w:pPr>
        <w:pStyle w:val="PL"/>
        <w:rPr>
          <w:color w:val="808080"/>
        </w:rPr>
      </w:pPr>
      <w:r w:rsidRPr="00FA0D37">
        <w:rPr>
          <w:color w:val="808080"/>
        </w:rPr>
        <w:t>-- TAG-FEATURESETS-START</w:t>
      </w:r>
    </w:p>
    <w:p w14:paraId="0834FC20" w14:textId="77777777" w:rsidR="00394471" w:rsidRPr="00FA0D37" w:rsidRDefault="00394471" w:rsidP="00FA0D37">
      <w:pPr>
        <w:pStyle w:val="PL"/>
      </w:pPr>
    </w:p>
    <w:p w14:paraId="73B90674" w14:textId="77777777" w:rsidR="00394471" w:rsidRPr="00FA0D37" w:rsidRDefault="00394471" w:rsidP="00FA0D37">
      <w:pPr>
        <w:pStyle w:val="PL"/>
      </w:pPr>
      <w:r w:rsidRPr="00FA0D37">
        <w:t xml:space="preserve">FeatureSets ::=    </w:t>
      </w:r>
      <w:r w:rsidRPr="00FA0D37">
        <w:rPr>
          <w:color w:val="993366"/>
        </w:rPr>
        <w:t>SEQUENCE</w:t>
      </w:r>
      <w:r w:rsidRPr="00FA0D37">
        <w:t xml:space="preserve"> {</w:t>
      </w:r>
    </w:p>
    <w:p w14:paraId="1C397E23" w14:textId="77777777" w:rsidR="00394471" w:rsidRPr="00FA0D37" w:rsidRDefault="00394471" w:rsidP="00FA0D37">
      <w:pPr>
        <w:pStyle w:val="PL"/>
      </w:pPr>
      <w:r w:rsidRPr="00FA0D37">
        <w:t xml:space="preserve">    featureSetsDownlink                 </w:t>
      </w:r>
      <w:r w:rsidRPr="00FA0D37">
        <w:rPr>
          <w:color w:val="993366"/>
        </w:rPr>
        <w:t>SEQUENCE</w:t>
      </w:r>
      <w:r w:rsidRPr="00FA0D37">
        <w:t xml:space="preserve"> (</w:t>
      </w:r>
      <w:r w:rsidRPr="00FA0D37">
        <w:rPr>
          <w:color w:val="993366"/>
        </w:rPr>
        <w:t>SIZE</w:t>
      </w:r>
      <w:r w:rsidRPr="00FA0D37">
        <w:t xml:space="preserve"> (1..maxDownlinkFeatureSets))</w:t>
      </w:r>
      <w:r w:rsidRPr="00FA0D37">
        <w:rPr>
          <w:color w:val="993366"/>
        </w:rPr>
        <w:t xml:space="preserve"> OF</w:t>
      </w:r>
      <w:r w:rsidRPr="00FA0D37">
        <w:t xml:space="preserve"> FeatureSetDownlink               </w:t>
      </w:r>
      <w:r w:rsidRPr="00FA0D37">
        <w:rPr>
          <w:color w:val="993366"/>
        </w:rPr>
        <w:t>OPTIONAL</w:t>
      </w:r>
      <w:r w:rsidRPr="00FA0D37">
        <w:t>,</w:t>
      </w:r>
    </w:p>
    <w:p w14:paraId="64A8D111" w14:textId="77777777" w:rsidR="00394471" w:rsidRPr="00FA0D37" w:rsidRDefault="00394471" w:rsidP="00FA0D37">
      <w:pPr>
        <w:pStyle w:val="PL"/>
      </w:pPr>
      <w:r w:rsidRPr="00FA0D37">
        <w:t xml:space="preserve">    featureSetsDownlinkPerCC            </w:t>
      </w:r>
      <w:r w:rsidRPr="00FA0D37">
        <w:rPr>
          <w:color w:val="993366"/>
        </w:rPr>
        <w:t>SEQUENCE</w:t>
      </w:r>
      <w:r w:rsidRPr="00FA0D37">
        <w:t xml:space="preserve"> (</w:t>
      </w:r>
      <w:r w:rsidRPr="00FA0D37">
        <w:rPr>
          <w:color w:val="993366"/>
        </w:rPr>
        <w:t>SIZE</w:t>
      </w:r>
      <w:r w:rsidRPr="00FA0D37">
        <w:t xml:space="preserve"> (1..maxPerCC-FeatureSets))</w:t>
      </w:r>
      <w:r w:rsidRPr="00FA0D37">
        <w:rPr>
          <w:color w:val="993366"/>
        </w:rPr>
        <w:t xml:space="preserve"> OF</w:t>
      </w:r>
      <w:r w:rsidRPr="00FA0D37">
        <w:t xml:space="preserve"> FeatureSetDownlinkPerCC            </w:t>
      </w:r>
      <w:r w:rsidRPr="00FA0D37">
        <w:rPr>
          <w:color w:val="993366"/>
        </w:rPr>
        <w:t>OPTIONAL</w:t>
      </w:r>
      <w:r w:rsidRPr="00FA0D37">
        <w:t>,</w:t>
      </w:r>
    </w:p>
    <w:p w14:paraId="3B695689" w14:textId="77777777" w:rsidR="00394471" w:rsidRPr="00FA0D37" w:rsidRDefault="00394471" w:rsidP="00FA0D37">
      <w:pPr>
        <w:pStyle w:val="PL"/>
      </w:pPr>
      <w:r w:rsidRPr="00FA0D37">
        <w:t xml:space="preserve">    featureSetsUplink                   </w:t>
      </w:r>
      <w:r w:rsidRPr="00FA0D37">
        <w:rPr>
          <w:color w:val="993366"/>
        </w:rPr>
        <w:t>SEQUENCE</w:t>
      </w:r>
      <w:r w:rsidRPr="00FA0D37">
        <w:t xml:space="preserve"> (</w:t>
      </w:r>
      <w:r w:rsidRPr="00FA0D37">
        <w:rPr>
          <w:color w:val="993366"/>
        </w:rPr>
        <w:t>SIZE</w:t>
      </w:r>
      <w:r w:rsidRPr="00FA0D37">
        <w:t xml:space="preserve"> (1..maxUplinkFeatureSets))</w:t>
      </w:r>
      <w:r w:rsidRPr="00FA0D37">
        <w:rPr>
          <w:color w:val="993366"/>
        </w:rPr>
        <w:t xml:space="preserve"> OF</w:t>
      </w:r>
      <w:r w:rsidRPr="00FA0D37">
        <w:t xml:space="preserve"> FeatureSetUplink                   </w:t>
      </w:r>
      <w:r w:rsidRPr="00FA0D37">
        <w:rPr>
          <w:color w:val="993366"/>
        </w:rPr>
        <w:t>OPTIONAL</w:t>
      </w:r>
      <w:r w:rsidRPr="00FA0D37">
        <w:t>,</w:t>
      </w:r>
    </w:p>
    <w:p w14:paraId="5329AC0C" w14:textId="77777777" w:rsidR="00394471" w:rsidRPr="00FA0D37" w:rsidRDefault="00394471" w:rsidP="00FA0D37">
      <w:pPr>
        <w:pStyle w:val="PL"/>
      </w:pPr>
      <w:r w:rsidRPr="00FA0D37">
        <w:t xml:space="preserve">    featureSetsUplinkPerCC              </w:t>
      </w:r>
      <w:r w:rsidRPr="00FA0D37">
        <w:rPr>
          <w:color w:val="993366"/>
        </w:rPr>
        <w:t>SEQUENCE</w:t>
      </w:r>
      <w:r w:rsidRPr="00FA0D37">
        <w:t xml:space="preserve"> (</w:t>
      </w:r>
      <w:r w:rsidRPr="00FA0D37">
        <w:rPr>
          <w:color w:val="993366"/>
        </w:rPr>
        <w:t>SIZE</w:t>
      </w:r>
      <w:r w:rsidRPr="00FA0D37">
        <w:t xml:space="preserve"> (1..maxPerCC-FeatureSets))</w:t>
      </w:r>
      <w:r w:rsidRPr="00FA0D37">
        <w:rPr>
          <w:color w:val="993366"/>
        </w:rPr>
        <w:t xml:space="preserve"> OF</w:t>
      </w:r>
      <w:r w:rsidRPr="00FA0D37">
        <w:t xml:space="preserve"> FeatureSetUplinkPerCC              </w:t>
      </w:r>
      <w:r w:rsidRPr="00FA0D37">
        <w:rPr>
          <w:color w:val="993366"/>
        </w:rPr>
        <w:t>OPTIONAL</w:t>
      </w:r>
      <w:r w:rsidRPr="00FA0D37">
        <w:t>,</w:t>
      </w:r>
    </w:p>
    <w:p w14:paraId="00BA1FE1" w14:textId="77777777" w:rsidR="00394471" w:rsidRPr="00FA0D37" w:rsidRDefault="00394471" w:rsidP="00FA0D37">
      <w:pPr>
        <w:pStyle w:val="PL"/>
      </w:pPr>
      <w:r w:rsidRPr="00FA0D37">
        <w:t xml:space="preserve">    ...,</w:t>
      </w:r>
    </w:p>
    <w:p w14:paraId="7F65B434" w14:textId="77777777" w:rsidR="00394471" w:rsidRPr="00FA0D37" w:rsidRDefault="00394471" w:rsidP="00FA0D37">
      <w:pPr>
        <w:pStyle w:val="PL"/>
      </w:pPr>
      <w:r w:rsidRPr="00FA0D37">
        <w:t xml:space="preserve">    [[</w:t>
      </w:r>
    </w:p>
    <w:p w14:paraId="7BBF3B4E" w14:textId="77777777" w:rsidR="00394471" w:rsidRPr="00FA0D37" w:rsidRDefault="00394471" w:rsidP="00FA0D37">
      <w:pPr>
        <w:pStyle w:val="PL"/>
      </w:pPr>
      <w:r w:rsidRPr="00FA0D37">
        <w:t xml:space="preserve">    featureSetsDownlink-v1540           </w:t>
      </w:r>
      <w:r w:rsidRPr="00FA0D37">
        <w:rPr>
          <w:color w:val="993366"/>
        </w:rPr>
        <w:t>SEQUENCE</w:t>
      </w:r>
      <w:r w:rsidRPr="00FA0D37">
        <w:t xml:space="preserve"> (</w:t>
      </w:r>
      <w:r w:rsidRPr="00FA0D37">
        <w:rPr>
          <w:color w:val="993366"/>
        </w:rPr>
        <w:t>SIZE</w:t>
      </w:r>
      <w:r w:rsidRPr="00FA0D37">
        <w:t xml:space="preserve"> (1..maxDownlinkFeatureSets))</w:t>
      </w:r>
      <w:r w:rsidRPr="00FA0D37">
        <w:rPr>
          <w:color w:val="993366"/>
        </w:rPr>
        <w:t xml:space="preserve"> OF</w:t>
      </w:r>
      <w:r w:rsidRPr="00FA0D37">
        <w:t xml:space="preserve"> FeatureSetDownlink-v1540         </w:t>
      </w:r>
      <w:r w:rsidRPr="00FA0D37">
        <w:rPr>
          <w:color w:val="993366"/>
        </w:rPr>
        <w:t>OPTIONAL</w:t>
      </w:r>
      <w:r w:rsidRPr="00FA0D37">
        <w:t>,</w:t>
      </w:r>
    </w:p>
    <w:p w14:paraId="725313D9" w14:textId="77777777" w:rsidR="00394471" w:rsidRPr="00FA0D37" w:rsidRDefault="00394471" w:rsidP="00FA0D37">
      <w:pPr>
        <w:pStyle w:val="PL"/>
      </w:pPr>
      <w:r w:rsidRPr="00FA0D37">
        <w:t xml:space="preserve">    featureSetsUplink-v1540             </w:t>
      </w:r>
      <w:r w:rsidRPr="00FA0D37">
        <w:rPr>
          <w:color w:val="993366"/>
        </w:rPr>
        <w:t>SEQUENCE</w:t>
      </w:r>
      <w:r w:rsidRPr="00FA0D37">
        <w:t xml:space="preserve"> (</w:t>
      </w:r>
      <w:r w:rsidRPr="00FA0D37">
        <w:rPr>
          <w:color w:val="993366"/>
        </w:rPr>
        <w:t>SIZE</w:t>
      </w:r>
      <w:r w:rsidRPr="00FA0D37">
        <w:t xml:space="preserve"> (1..maxUplinkFeatureSets))</w:t>
      </w:r>
      <w:r w:rsidRPr="00FA0D37">
        <w:rPr>
          <w:color w:val="993366"/>
        </w:rPr>
        <w:t xml:space="preserve"> OF</w:t>
      </w:r>
      <w:r w:rsidRPr="00FA0D37">
        <w:t xml:space="preserve"> FeatureSetUplink-v1540             </w:t>
      </w:r>
      <w:r w:rsidRPr="00FA0D37">
        <w:rPr>
          <w:color w:val="993366"/>
        </w:rPr>
        <w:t>OPTIONAL</w:t>
      </w:r>
      <w:r w:rsidRPr="00FA0D37">
        <w:t>,</w:t>
      </w:r>
    </w:p>
    <w:p w14:paraId="782D570D" w14:textId="77777777" w:rsidR="00394471" w:rsidRPr="00FA0D37" w:rsidRDefault="00394471" w:rsidP="00FA0D37">
      <w:pPr>
        <w:pStyle w:val="PL"/>
      </w:pPr>
      <w:r w:rsidRPr="00FA0D37">
        <w:t xml:space="preserve">    featureSetsUplinkPerCC-v1540        </w:t>
      </w:r>
      <w:r w:rsidRPr="00FA0D37">
        <w:rPr>
          <w:color w:val="993366"/>
        </w:rPr>
        <w:t>SEQUENCE</w:t>
      </w:r>
      <w:r w:rsidRPr="00FA0D37">
        <w:t xml:space="preserve"> (</w:t>
      </w:r>
      <w:r w:rsidRPr="00FA0D37">
        <w:rPr>
          <w:color w:val="993366"/>
        </w:rPr>
        <w:t>SIZE</w:t>
      </w:r>
      <w:r w:rsidRPr="00FA0D37">
        <w:t xml:space="preserve"> (1..maxPerCC-FeatureSets))</w:t>
      </w:r>
      <w:r w:rsidRPr="00FA0D37">
        <w:rPr>
          <w:color w:val="993366"/>
        </w:rPr>
        <w:t xml:space="preserve"> OF</w:t>
      </w:r>
      <w:r w:rsidRPr="00FA0D37">
        <w:t xml:space="preserve"> FeatureSetUplinkPerCC-v1540        </w:t>
      </w:r>
      <w:r w:rsidRPr="00FA0D37">
        <w:rPr>
          <w:color w:val="993366"/>
        </w:rPr>
        <w:t>OPTIONAL</w:t>
      </w:r>
    </w:p>
    <w:p w14:paraId="7E718B39" w14:textId="77777777" w:rsidR="00394471" w:rsidRPr="00FA0D37" w:rsidRDefault="00394471" w:rsidP="00FA0D37">
      <w:pPr>
        <w:pStyle w:val="PL"/>
      </w:pPr>
      <w:r w:rsidRPr="00FA0D37">
        <w:t xml:space="preserve">    ]],</w:t>
      </w:r>
    </w:p>
    <w:p w14:paraId="64F71380" w14:textId="77777777" w:rsidR="00394471" w:rsidRPr="00FA0D37" w:rsidRDefault="00394471" w:rsidP="00FA0D37">
      <w:pPr>
        <w:pStyle w:val="PL"/>
      </w:pPr>
      <w:r w:rsidRPr="00FA0D37">
        <w:t xml:space="preserve">    [[</w:t>
      </w:r>
    </w:p>
    <w:p w14:paraId="75B3F0D6" w14:textId="77777777" w:rsidR="00394471" w:rsidRPr="00FA0D37" w:rsidRDefault="00394471" w:rsidP="00FA0D37">
      <w:pPr>
        <w:pStyle w:val="PL"/>
      </w:pPr>
      <w:r w:rsidRPr="00FA0D37">
        <w:t xml:space="preserve">    featureSetsDownlink-v15a0           </w:t>
      </w:r>
      <w:r w:rsidRPr="00FA0D37">
        <w:rPr>
          <w:color w:val="993366"/>
        </w:rPr>
        <w:t>SEQUENCE</w:t>
      </w:r>
      <w:r w:rsidRPr="00FA0D37">
        <w:t xml:space="preserve"> (</w:t>
      </w:r>
      <w:r w:rsidRPr="00FA0D37">
        <w:rPr>
          <w:color w:val="993366"/>
        </w:rPr>
        <w:t>SIZE</w:t>
      </w:r>
      <w:r w:rsidRPr="00FA0D37">
        <w:t xml:space="preserve"> (1..maxDownlinkFeatureSets))</w:t>
      </w:r>
      <w:r w:rsidRPr="00FA0D37">
        <w:rPr>
          <w:color w:val="993366"/>
        </w:rPr>
        <w:t xml:space="preserve"> OF</w:t>
      </w:r>
      <w:r w:rsidRPr="00FA0D37">
        <w:t xml:space="preserve"> FeatureSetDownlink-v15a0         </w:t>
      </w:r>
      <w:r w:rsidRPr="00FA0D37">
        <w:rPr>
          <w:color w:val="993366"/>
        </w:rPr>
        <w:t>OPTIONAL</w:t>
      </w:r>
    </w:p>
    <w:p w14:paraId="132B2BB2" w14:textId="77777777" w:rsidR="00394471" w:rsidRPr="00FA0D37" w:rsidRDefault="00394471" w:rsidP="00FA0D37">
      <w:pPr>
        <w:pStyle w:val="PL"/>
      </w:pPr>
      <w:r w:rsidRPr="00FA0D37">
        <w:t xml:space="preserve">    ]],</w:t>
      </w:r>
    </w:p>
    <w:p w14:paraId="7A37F924" w14:textId="77777777" w:rsidR="00394471" w:rsidRPr="00FA0D37" w:rsidRDefault="00394471" w:rsidP="00FA0D37">
      <w:pPr>
        <w:pStyle w:val="PL"/>
      </w:pPr>
      <w:r w:rsidRPr="00FA0D37">
        <w:t xml:space="preserve">    [[</w:t>
      </w:r>
    </w:p>
    <w:p w14:paraId="505DE418" w14:textId="77777777" w:rsidR="00394471" w:rsidRPr="00FA0D37" w:rsidRDefault="00394471" w:rsidP="00FA0D37">
      <w:pPr>
        <w:pStyle w:val="PL"/>
      </w:pPr>
      <w:r w:rsidRPr="00FA0D37">
        <w:t xml:space="preserve">    featureSetsDownlink-v1610           </w:t>
      </w:r>
      <w:r w:rsidRPr="00FA0D37">
        <w:rPr>
          <w:color w:val="993366"/>
        </w:rPr>
        <w:t>SEQUENCE</w:t>
      </w:r>
      <w:r w:rsidRPr="00FA0D37">
        <w:t xml:space="preserve"> (</w:t>
      </w:r>
      <w:r w:rsidRPr="00FA0D37">
        <w:rPr>
          <w:color w:val="993366"/>
        </w:rPr>
        <w:t>SIZE</w:t>
      </w:r>
      <w:r w:rsidRPr="00FA0D37">
        <w:t xml:space="preserve"> (1..maxDownlinkFeatureSets))</w:t>
      </w:r>
      <w:r w:rsidRPr="00FA0D37">
        <w:rPr>
          <w:color w:val="993366"/>
        </w:rPr>
        <w:t xml:space="preserve"> OF</w:t>
      </w:r>
      <w:r w:rsidRPr="00FA0D37">
        <w:t xml:space="preserve"> FeatureSetDownlink-v1610         </w:t>
      </w:r>
      <w:r w:rsidRPr="00FA0D37">
        <w:rPr>
          <w:color w:val="993366"/>
        </w:rPr>
        <w:t>OPTIONAL</w:t>
      </w:r>
      <w:r w:rsidRPr="00FA0D37">
        <w:t>,</w:t>
      </w:r>
    </w:p>
    <w:p w14:paraId="3D045D09" w14:textId="77777777" w:rsidR="00394471" w:rsidRPr="00FA0D37" w:rsidRDefault="00394471" w:rsidP="00FA0D37">
      <w:pPr>
        <w:pStyle w:val="PL"/>
      </w:pPr>
      <w:r w:rsidRPr="00FA0D37">
        <w:t xml:space="preserve">    featureSetsUplink-v1610             </w:t>
      </w:r>
      <w:r w:rsidRPr="00FA0D37">
        <w:rPr>
          <w:color w:val="993366"/>
        </w:rPr>
        <w:t>SEQUENCE</w:t>
      </w:r>
      <w:r w:rsidRPr="00FA0D37">
        <w:t xml:space="preserve"> (</w:t>
      </w:r>
      <w:r w:rsidRPr="00FA0D37">
        <w:rPr>
          <w:color w:val="993366"/>
        </w:rPr>
        <w:t>SIZE</w:t>
      </w:r>
      <w:r w:rsidRPr="00FA0D37">
        <w:t xml:space="preserve"> (1..maxUplinkFeatureSets))</w:t>
      </w:r>
      <w:r w:rsidRPr="00FA0D37">
        <w:rPr>
          <w:color w:val="993366"/>
        </w:rPr>
        <w:t xml:space="preserve"> OF</w:t>
      </w:r>
      <w:r w:rsidRPr="00FA0D37">
        <w:t xml:space="preserve"> FeatureSetUplink-v1610             </w:t>
      </w:r>
      <w:r w:rsidRPr="00FA0D37">
        <w:rPr>
          <w:color w:val="993366"/>
        </w:rPr>
        <w:t>OPTIONAL</w:t>
      </w:r>
      <w:r w:rsidRPr="00FA0D37">
        <w:t>,</w:t>
      </w:r>
    </w:p>
    <w:p w14:paraId="6B7206D2" w14:textId="77777777" w:rsidR="00394471" w:rsidRPr="00FA0D37" w:rsidRDefault="00394471" w:rsidP="00FA0D37">
      <w:pPr>
        <w:pStyle w:val="PL"/>
      </w:pPr>
      <w:r w:rsidRPr="00FA0D37">
        <w:t xml:space="preserve">    featureSetDownlinkPerCC-v1620       </w:t>
      </w:r>
      <w:r w:rsidRPr="00FA0D37">
        <w:rPr>
          <w:color w:val="993366"/>
        </w:rPr>
        <w:t>SEQUENCE</w:t>
      </w:r>
      <w:r w:rsidRPr="00FA0D37">
        <w:t xml:space="preserve"> (</w:t>
      </w:r>
      <w:r w:rsidRPr="00FA0D37">
        <w:rPr>
          <w:color w:val="993366"/>
        </w:rPr>
        <w:t>SIZE</w:t>
      </w:r>
      <w:r w:rsidRPr="00FA0D37">
        <w:t xml:space="preserve"> (1..maxPerCC-FeatureSets))</w:t>
      </w:r>
      <w:r w:rsidRPr="00FA0D37">
        <w:rPr>
          <w:color w:val="993366"/>
        </w:rPr>
        <w:t xml:space="preserve"> OF</w:t>
      </w:r>
      <w:r w:rsidRPr="00FA0D37">
        <w:t xml:space="preserve"> FeatureSetDownlinkPerCC-v1620      </w:t>
      </w:r>
      <w:r w:rsidRPr="00FA0D37">
        <w:rPr>
          <w:color w:val="993366"/>
        </w:rPr>
        <w:t>OPTIONAL</w:t>
      </w:r>
    </w:p>
    <w:p w14:paraId="4D90AFB7" w14:textId="7540C53D" w:rsidR="00D027C1" w:rsidRPr="00FA0D37" w:rsidRDefault="00394471" w:rsidP="00FA0D37">
      <w:pPr>
        <w:pStyle w:val="PL"/>
      </w:pPr>
      <w:r w:rsidRPr="00FA0D37">
        <w:t xml:space="preserve">    ]]</w:t>
      </w:r>
      <w:r w:rsidR="00D027C1" w:rsidRPr="00FA0D37">
        <w:t>,</w:t>
      </w:r>
    </w:p>
    <w:p w14:paraId="42B1EAC7" w14:textId="08B4C555" w:rsidR="00D027C1" w:rsidRPr="00FA0D37" w:rsidRDefault="00D027C1" w:rsidP="00FA0D37">
      <w:pPr>
        <w:pStyle w:val="PL"/>
      </w:pPr>
      <w:r w:rsidRPr="00FA0D37">
        <w:t xml:space="preserve">    [[</w:t>
      </w:r>
    </w:p>
    <w:p w14:paraId="3E88B254" w14:textId="074492C8" w:rsidR="00D027C1" w:rsidRPr="00FA0D37" w:rsidRDefault="00D027C1" w:rsidP="00FA0D37">
      <w:pPr>
        <w:pStyle w:val="PL"/>
      </w:pPr>
      <w:r w:rsidRPr="00FA0D37">
        <w:t xml:space="preserve">    featureSetsUplink</w:t>
      </w:r>
      <w:r w:rsidR="003B657B" w:rsidRPr="00FA0D37">
        <w:t>-v1630</w:t>
      </w:r>
      <w:r w:rsidRPr="00FA0D37">
        <w:t xml:space="preserve">             </w:t>
      </w:r>
      <w:r w:rsidRPr="00FA0D37">
        <w:rPr>
          <w:color w:val="993366"/>
        </w:rPr>
        <w:t>SEQUENCE</w:t>
      </w:r>
      <w:r w:rsidRPr="00FA0D37">
        <w:t xml:space="preserve"> (</w:t>
      </w:r>
      <w:r w:rsidRPr="00FA0D37">
        <w:rPr>
          <w:color w:val="993366"/>
        </w:rPr>
        <w:t>SIZE</w:t>
      </w:r>
      <w:r w:rsidRPr="00FA0D37">
        <w:t xml:space="preserve"> (1..maxUplinkFeatureSets))</w:t>
      </w:r>
      <w:r w:rsidRPr="00FA0D37">
        <w:rPr>
          <w:color w:val="993366"/>
        </w:rPr>
        <w:t xml:space="preserve"> OF</w:t>
      </w:r>
      <w:r w:rsidRPr="00FA0D37">
        <w:t xml:space="preserve"> FeatureSetUplink</w:t>
      </w:r>
      <w:r w:rsidR="003B657B" w:rsidRPr="00FA0D37">
        <w:t>-v1630</w:t>
      </w:r>
      <w:r w:rsidRPr="00FA0D37">
        <w:t xml:space="preserve">             </w:t>
      </w:r>
      <w:r w:rsidRPr="00FA0D37">
        <w:rPr>
          <w:color w:val="993366"/>
        </w:rPr>
        <w:t>OPTIONAL</w:t>
      </w:r>
    </w:p>
    <w:p w14:paraId="107C9D5A" w14:textId="4B389DEB" w:rsidR="00394471" w:rsidRPr="00FA0D37" w:rsidRDefault="00D027C1" w:rsidP="00FA0D37">
      <w:pPr>
        <w:pStyle w:val="PL"/>
      </w:pPr>
      <w:r w:rsidRPr="00FA0D37">
        <w:t xml:space="preserve">    ]]</w:t>
      </w:r>
      <w:r w:rsidR="00847614" w:rsidRPr="00FA0D37">
        <w:t>,</w:t>
      </w:r>
    </w:p>
    <w:p w14:paraId="574BE439" w14:textId="5A7F5CCC" w:rsidR="00847614" w:rsidRPr="00FA0D37" w:rsidRDefault="00847614" w:rsidP="00FA0D37">
      <w:pPr>
        <w:pStyle w:val="PL"/>
      </w:pPr>
      <w:r w:rsidRPr="00FA0D37">
        <w:t xml:space="preserve">    [[</w:t>
      </w:r>
    </w:p>
    <w:p w14:paraId="157F3327" w14:textId="2F7C9755" w:rsidR="00847614" w:rsidRPr="00FA0D37" w:rsidRDefault="00847614" w:rsidP="00FA0D37">
      <w:pPr>
        <w:pStyle w:val="PL"/>
      </w:pPr>
      <w:r w:rsidRPr="00FA0D37">
        <w:t xml:space="preserve">    featureSetsUplink-v</w:t>
      </w:r>
      <w:r w:rsidR="000C2783" w:rsidRPr="00FA0D37">
        <w:t>1640</w:t>
      </w:r>
      <w:r w:rsidRPr="00FA0D37">
        <w:t xml:space="preserve">             </w:t>
      </w:r>
      <w:r w:rsidRPr="00FA0D37">
        <w:rPr>
          <w:color w:val="993366"/>
        </w:rPr>
        <w:t>SEQUENCE</w:t>
      </w:r>
      <w:r w:rsidRPr="00FA0D37">
        <w:t xml:space="preserve"> (</w:t>
      </w:r>
      <w:r w:rsidRPr="00FA0D37">
        <w:rPr>
          <w:color w:val="993366"/>
        </w:rPr>
        <w:t>SIZE</w:t>
      </w:r>
      <w:r w:rsidRPr="00FA0D37">
        <w:t xml:space="preserve"> (1..maxUplinkFeatureSets))</w:t>
      </w:r>
      <w:r w:rsidRPr="00FA0D37">
        <w:rPr>
          <w:color w:val="993366"/>
        </w:rPr>
        <w:t xml:space="preserve"> OF</w:t>
      </w:r>
      <w:r w:rsidRPr="00FA0D37">
        <w:t xml:space="preserve"> FeatureSetUplink-v</w:t>
      </w:r>
      <w:r w:rsidR="000C2783" w:rsidRPr="00FA0D37">
        <w:t>1640</w:t>
      </w:r>
      <w:r w:rsidRPr="00FA0D37">
        <w:t xml:space="preserve">             </w:t>
      </w:r>
      <w:r w:rsidRPr="00FA0D37">
        <w:rPr>
          <w:color w:val="993366"/>
        </w:rPr>
        <w:t>OPTIONAL</w:t>
      </w:r>
    </w:p>
    <w:p w14:paraId="72BAD73F" w14:textId="10570B77" w:rsidR="002E309C" w:rsidRPr="00FA0D37" w:rsidRDefault="00847614" w:rsidP="00FA0D37">
      <w:pPr>
        <w:pStyle w:val="PL"/>
      </w:pPr>
      <w:r w:rsidRPr="00FA0D37">
        <w:t xml:space="preserve">    ]]</w:t>
      </w:r>
      <w:r w:rsidR="002E309C" w:rsidRPr="00FA0D37">
        <w:t>,</w:t>
      </w:r>
    </w:p>
    <w:p w14:paraId="04E07EFB" w14:textId="6C1B0127" w:rsidR="002E309C" w:rsidRPr="00FA0D37" w:rsidRDefault="002E309C" w:rsidP="00FA0D37">
      <w:pPr>
        <w:pStyle w:val="PL"/>
      </w:pPr>
      <w:r w:rsidRPr="00FA0D37">
        <w:t xml:space="preserve">    [[</w:t>
      </w:r>
    </w:p>
    <w:p w14:paraId="337416A9" w14:textId="4A73E560" w:rsidR="002E309C" w:rsidRPr="00FA0D37" w:rsidRDefault="002E309C" w:rsidP="00FA0D37">
      <w:pPr>
        <w:pStyle w:val="PL"/>
      </w:pPr>
      <w:r w:rsidRPr="00FA0D37">
        <w:t xml:space="preserve">    featureSetsDownlink-v17</w:t>
      </w:r>
      <w:r w:rsidR="009C25AE" w:rsidRPr="00FA0D37">
        <w:t>00</w:t>
      </w:r>
      <w:r w:rsidRPr="00FA0D37">
        <w:t xml:space="preserve">           </w:t>
      </w:r>
      <w:r w:rsidRPr="00FA0D37">
        <w:rPr>
          <w:color w:val="993366"/>
        </w:rPr>
        <w:t>SEQUENCE</w:t>
      </w:r>
      <w:r w:rsidRPr="00FA0D37">
        <w:t xml:space="preserve"> (</w:t>
      </w:r>
      <w:r w:rsidRPr="00FA0D37">
        <w:rPr>
          <w:color w:val="993366"/>
        </w:rPr>
        <w:t>SIZE</w:t>
      </w:r>
      <w:r w:rsidRPr="00FA0D37">
        <w:t xml:space="preserve"> (1..maxDownlinkFeatureSets))</w:t>
      </w:r>
      <w:r w:rsidRPr="00FA0D37">
        <w:rPr>
          <w:color w:val="993366"/>
        </w:rPr>
        <w:t xml:space="preserve"> OF</w:t>
      </w:r>
      <w:r w:rsidRPr="00FA0D37">
        <w:t xml:space="preserve"> FeatureSetDownlink-v1700         </w:t>
      </w:r>
      <w:r w:rsidRPr="00FA0D37">
        <w:rPr>
          <w:color w:val="993366"/>
        </w:rPr>
        <w:t>OPTIONAL</w:t>
      </w:r>
      <w:r w:rsidRPr="00FA0D37">
        <w:t>,</w:t>
      </w:r>
    </w:p>
    <w:p w14:paraId="07962312" w14:textId="5663A644" w:rsidR="002E309C" w:rsidRPr="00FA0D37" w:rsidRDefault="002E309C" w:rsidP="00FA0D37">
      <w:pPr>
        <w:pStyle w:val="PL"/>
      </w:pPr>
      <w:r w:rsidRPr="00FA0D37">
        <w:t xml:space="preserve">    featureSetsDownlinkPerCC-v17</w:t>
      </w:r>
      <w:r w:rsidR="009C25AE" w:rsidRPr="00FA0D37">
        <w:t>00</w:t>
      </w:r>
      <w:r w:rsidRPr="00FA0D37">
        <w:t xml:space="preserve">      </w:t>
      </w:r>
      <w:r w:rsidRPr="00FA0D37">
        <w:rPr>
          <w:color w:val="993366"/>
        </w:rPr>
        <w:t>SEQUENCE</w:t>
      </w:r>
      <w:r w:rsidRPr="00FA0D37">
        <w:t xml:space="preserve"> (</w:t>
      </w:r>
      <w:r w:rsidRPr="00FA0D37">
        <w:rPr>
          <w:color w:val="993366"/>
        </w:rPr>
        <w:t>SIZE</w:t>
      </w:r>
      <w:r w:rsidRPr="00FA0D37">
        <w:t xml:space="preserve"> (1..maxPerCC-FeatureSets))</w:t>
      </w:r>
      <w:r w:rsidRPr="00FA0D37">
        <w:rPr>
          <w:color w:val="993366"/>
        </w:rPr>
        <w:t xml:space="preserve"> OF</w:t>
      </w:r>
      <w:r w:rsidRPr="00FA0D37">
        <w:t xml:space="preserve"> FeatureSetDownlinkPerCC-v1700      </w:t>
      </w:r>
      <w:r w:rsidRPr="00FA0D37">
        <w:rPr>
          <w:color w:val="993366"/>
        </w:rPr>
        <w:t>OPTIONAL</w:t>
      </w:r>
      <w:r w:rsidRPr="00FA0D37">
        <w:t>,</w:t>
      </w:r>
    </w:p>
    <w:p w14:paraId="3F8A47CE" w14:textId="1A3986FA" w:rsidR="00977C82" w:rsidRPr="00FA0D37" w:rsidRDefault="00977C82" w:rsidP="00FA0D37">
      <w:pPr>
        <w:pStyle w:val="PL"/>
      </w:pPr>
      <w:r w:rsidRPr="00FA0D37">
        <w:t xml:space="preserve">    featureSetsUplink-v1710             </w:t>
      </w:r>
      <w:r w:rsidRPr="00FA0D37">
        <w:rPr>
          <w:color w:val="993366"/>
        </w:rPr>
        <w:t>SEQUENCE</w:t>
      </w:r>
      <w:r w:rsidRPr="00FA0D37">
        <w:t xml:space="preserve"> (</w:t>
      </w:r>
      <w:r w:rsidRPr="00FA0D37">
        <w:rPr>
          <w:color w:val="993366"/>
        </w:rPr>
        <w:t>SIZE</w:t>
      </w:r>
      <w:r w:rsidRPr="00FA0D37">
        <w:t xml:space="preserve"> (1..maxUplinkFeatureSets))</w:t>
      </w:r>
      <w:r w:rsidRPr="00FA0D37">
        <w:rPr>
          <w:color w:val="993366"/>
        </w:rPr>
        <w:t xml:space="preserve"> OF</w:t>
      </w:r>
      <w:r w:rsidRPr="00FA0D37">
        <w:t xml:space="preserve"> FeatureSetUplink-v1710             </w:t>
      </w:r>
      <w:r w:rsidRPr="00FA0D37">
        <w:rPr>
          <w:color w:val="993366"/>
        </w:rPr>
        <w:t>OPTIONAL</w:t>
      </w:r>
      <w:r w:rsidRPr="00FA0D37">
        <w:t>,</w:t>
      </w:r>
    </w:p>
    <w:p w14:paraId="72013F96" w14:textId="75B023E0" w:rsidR="00B166EA" w:rsidRPr="00FA0D37" w:rsidRDefault="002E309C" w:rsidP="00FA0D37">
      <w:pPr>
        <w:pStyle w:val="PL"/>
      </w:pPr>
      <w:r w:rsidRPr="00FA0D37">
        <w:t xml:space="preserve">    featureSetsUplinkPerCC-v17</w:t>
      </w:r>
      <w:r w:rsidR="009C25AE" w:rsidRPr="00FA0D37">
        <w:t>00</w:t>
      </w:r>
      <w:r w:rsidRPr="00FA0D37">
        <w:t xml:space="preserve">        </w:t>
      </w:r>
      <w:r w:rsidRPr="00FA0D37">
        <w:rPr>
          <w:color w:val="993366"/>
        </w:rPr>
        <w:t>SEQUENCE</w:t>
      </w:r>
      <w:r w:rsidRPr="00FA0D37">
        <w:t xml:space="preserve"> (</w:t>
      </w:r>
      <w:r w:rsidRPr="00FA0D37">
        <w:rPr>
          <w:color w:val="993366"/>
        </w:rPr>
        <w:t>SIZE</w:t>
      </w:r>
      <w:r w:rsidRPr="00FA0D37">
        <w:t xml:space="preserve"> (1..maxPerCC-FeatureSets))</w:t>
      </w:r>
      <w:r w:rsidRPr="00FA0D37">
        <w:rPr>
          <w:color w:val="993366"/>
        </w:rPr>
        <w:t xml:space="preserve"> OF</w:t>
      </w:r>
      <w:r w:rsidRPr="00FA0D37">
        <w:t xml:space="preserve"> FeatureSetUplinkPerCC-v1700        </w:t>
      </w:r>
      <w:r w:rsidRPr="00FA0D37">
        <w:rPr>
          <w:color w:val="993366"/>
        </w:rPr>
        <w:t>OPTIONAL</w:t>
      </w:r>
    </w:p>
    <w:p w14:paraId="216E8859" w14:textId="133AE90C" w:rsidR="00FD0B5C" w:rsidRPr="00FA0D37" w:rsidRDefault="002E309C" w:rsidP="00FA0D37">
      <w:pPr>
        <w:pStyle w:val="PL"/>
      </w:pPr>
      <w:r w:rsidRPr="00FA0D37">
        <w:t xml:space="preserve">    ]]</w:t>
      </w:r>
      <w:r w:rsidR="00FD0B5C" w:rsidRPr="00FA0D37">
        <w:t>,</w:t>
      </w:r>
    </w:p>
    <w:p w14:paraId="2871710F" w14:textId="6F23BC70" w:rsidR="00FD0B5C" w:rsidRPr="00FA0D37" w:rsidRDefault="00FD0B5C" w:rsidP="00FA0D37">
      <w:pPr>
        <w:pStyle w:val="PL"/>
      </w:pPr>
      <w:r w:rsidRPr="00FA0D37">
        <w:t xml:space="preserve">    [[</w:t>
      </w:r>
    </w:p>
    <w:p w14:paraId="230B252B" w14:textId="4E8C5F9E" w:rsidR="00FD0B5C" w:rsidRPr="00FA0D37" w:rsidRDefault="00FD0B5C" w:rsidP="00FA0D37">
      <w:pPr>
        <w:pStyle w:val="PL"/>
      </w:pPr>
      <w:r w:rsidRPr="00FA0D37">
        <w:t xml:space="preserve">    featureSetsDownlink-v1720           </w:t>
      </w:r>
      <w:r w:rsidRPr="00FA0D37">
        <w:rPr>
          <w:color w:val="993366"/>
        </w:rPr>
        <w:t>SEQUENCE</w:t>
      </w:r>
      <w:r w:rsidRPr="00FA0D37">
        <w:t xml:space="preserve"> (</w:t>
      </w:r>
      <w:r w:rsidRPr="00FA0D37">
        <w:rPr>
          <w:color w:val="993366"/>
        </w:rPr>
        <w:t>SIZE</w:t>
      </w:r>
      <w:r w:rsidRPr="00FA0D37">
        <w:t xml:space="preserve"> (1..maxDownlinkFeatureSets))</w:t>
      </w:r>
      <w:r w:rsidRPr="00FA0D37">
        <w:rPr>
          <w:color w:val="993366"/>
        </w:rPr>
        <w:t xml:space="preserve"> OF</w:t>
      </w:r>
      <w:r w:rsidRPr="00FA0D37">
        <w:t xml:space="preserve"> FeatureSetDownlink-v1720         </w:t>
      </w:r>
      <w:r w:rsidRPr="00FA0D37">
        <w:rPr>
          <w:color w:val="993366"/>
        </w:rPr>
        <w:t>OPTIONAL</w:t>
      </w:r>
      <w:r w:rsidRPr="00FA0D37">
        <w:t>,</w:t>
      </w:r>
    </w:p>
    <w:p w14:paraId="7D9D987E" w14:textId="1DF85FE3" w:rsidR="00FD0B5C" w:rsidRPr="00FA0D37" w:rsidRDefault="00FD0B5C" w:rsidP="00FA0D37">
      <w:pPr>
        <w:pStyle w:val="PL"/>
      </w:pPr>
      <w:r w:rsidRPr="00FA0D37">
        <w:t xml:space="preserve">    featureSetsDownlinkPerCC-v1720      </w:t>
      </w:r>
      <w:r w:rsidRPr="00FA0D37">
        <w:rPr>
          <w:color w:val="993366"/>
        </w:rPr>
        <w:t>SEQUENCE</w:t>
      </w:r>
      <w:r w:rsidRPr="00FA0D37">
        <w:t xml:space="preserve"> (</w:t>
      </w:r>
      <w:r w:rsidRPr="00FA0D37">
        <w:rPr>
          <w:color w:val="993366"/>
        </w:rPr>
        <w:t>SIZE</w:t>
      </w:r>
      <w:r w:rsidRPr="00FA0D37">
        <w:t xml:space="preserve"> (1..maxPerCC-FeatureSets))</w:t>
      </w:r>
      <w:r w:rsidRPr="00FA0D37">
        <w:rPr>
          <w:color w:val="993366"/>
        </w:rPr>
        <w:t xml:space="preserve"> OF</w:t>
      </w:r>
      <w:r w:rsidRPr="00FA0D37">
        <w:t xml:space="preserve"> FeatureSetDownlinkPerCC-v1720      </w:t>
      </w:r>
      <w:r w:rsidRPr="00FA0D37">
        <w:rPr>
          <w:color w:val="993366"/>
        </w:rPr>
        <w:t>OPTIONAL</w:t>
      </w:r>
      <w:r w:rsidRPr="00FA0D37">
        <w:t>,</w:t>
      </w:r>
    </w:p>
    <w:p w14:paraId="21F00A9E" w14:textId="6C4C1AAE" w:rsidR="00FD0B5C" w:rsidRPr="00FA0D37" w:rsidRDefault="00FD0B5C" w:rsidP="00FA0D37">
      <w:pPr>
        <w:pStyle w:val="PL"/>
      </w:pPr>
      <w:r w:rsidRPr="00FA0D37">
        <w:t xml:space="preserve">    featureSetsUplink-v1720             </w:t>
      </w:r>
      <w:r w:rsidRPr="00FA0D37">
        <w:rPr>
          <w:color w:val="993366"/>
        </w:rPr>
        <w:t>SEQUENCE</w:t>
      </w:r>
      <w:r w:rsidRPr="00FA0D37">
        <w:t xml:space="preserve"> (</w:t>
      </w:r>
      <w:r w:rsidRPr="00FA0D37">
        <w:rPr>
          <w:color w:val="993366"/>
        </w:rPr>
        <w:t>SIZE</w:t>
      </w:r>
      <w:r w:rsidRPr="00FA0D37">
        <w:t xml:space="preserve"> (1..maxUplinkFeatureSets))</w:t>
      </w:r>
      <w:r w:rsidRPr="00FA0D37">
        <w:rPr>
          <w:color w:val="993366"/>
        </w:rPr>
        <w:t xml:space="preserve"> OF</w:t>
      </w:r>
      <w:r w:rsidRPr="00FA0D37">
        <w:t xml:space="preserve"> FeatureSetUplink-v1720             </w:t>
      </w:r>
      <w:r w:rsidRPr="00FA0D37">
        <w:rPr>
          <w:color w:val="993366"/>
        </w:rPr>
        <w:t>OPTIONAL</w:t>
      </w:r>
    </w:p>
    <w:p w14:paraId="6721D5E0" w14:textId="0F602E4B" w:rsidR="00691952" w:rsidRPr="00FA0D37" w:rsidRDefault="00FD0B5C" w:rsidP="00FA0D37">
      <w:pPr>
        <w:pStyle w:val="PL"/>
      </w:pPr>
      <w:r w:rsidRPr="00FA0D37">
        <w:t xml:space="preserve">    ]]</w:t>
      </w:r>
      <w:r w:rsidR="00691952" w:rsidRPr="00FA0D37">
        <w:t>,</w:t>
      </w:r>
    </w:p>
    <w:p w14:paraId="1816DA01" w14:textId="77777777" w:rsidR="00691952" w:rsidRPr="00FA0D37" w:rsidRDefault="00691952" w:rsidP="00FA0D37">
      <w:pPr>
        <w:pStyle w:val="PL"/>
      </w:pPr>
      <w:r w:rsidRPr="00FA0D37">
        <w:t xml:space="preserve">    [[</w:t>
      </w:r>
    </w:p>
    <w:p w14:paraId="3FB613DB" w14:textId="035C4D60" w:rsidR="00691952" w:rsidRPr="00FA0D37" w:rsidRDefault="00691952" w:rsidP="00FA0D37">
      <w:pPr>
        <w:pStyle w:val="PL"/>
      </w:pPr>
      <w:r w:rsidRPr="00FA0D37">
        <w:lastRenderedPageBreak/>
        <w:t xml:space="preserve">    featureSetsDownlink-v1730           </w:t>
      </w:r>
      <w:r w:rsidRPr="00FA0D37">
        <w:rPr>
          <w:color w:val="993366"/>
        </w:rPr>
        <w:t>SEQUENCE</w:t>
      </w:r>
      <w:r w:rsidRPr="00FA0D37">
        <w:t xml:space="preserve"> (</w:t>
      </w:r>
      <w:r w:rsidRPr="00FA0D37">
        <w:rPr>
          <w:color w:val="993366"/>
        </w:rPr>
        <w:t>SIZE</w:t>
      </w:r>
      <w:r w:rsidRPr="00FA0D37">
        <w:t xml:space="preserve"> (1..maxDownlinkFeatureSets))</w:t>
      </w:r>
      <w:r w:rsidRPr="00FA0D37">
        <w:rPr>
          <w:color w:val="993366"/>
        </w:rPr>
        <w:t xml:space="preserve"> OF</w:t>
      </w:r>
      <w:r w:rsidRPr="00FA0D37">
        <w:t xml:space="preserve"> FeatureSetDownlink-v1730         </w:t>
      </w:r>
      <w:r w:rsidRPr="00FA0D37">
        <w:rPr>
          <w:color w:val="993366"/>
        </w:rPr>
        <w:t>OPTIONAL</w:t>
      </w:r>
      <w:r w:rsidRPr="00FA0D37">
        <w:t>,</w:t>
      </w:r>
    </w:p>
    <w:p w14:paraId="47249AF0" w14:textId="26B14AB8" w:rsidR="00691952" w:rsidRPr="00FA0D37" w:rsidRDefault="00691952" w:rsidP="00FA0D37">
      <w:pPr>
        <w:pStyle w:val="PL"/>
      </w:pPr>
      <w:r w:rsidRPr="00FA0D37">
        <w:t xml:space="preserve">    featureSetsDownlinkPerCC-v1730      </w:t>
      </w:r>
      <w:r w:rsidRPr="00FA0D37">
        <w:rPr>
          <w:color w:val="993366"/>
        </w:rPr>
        <w:t>SEQUENCE</w:t>
      </w:r>
      <w:r w:rsidRPr="00FA0D37">
        <w:t xml:space="preserve"> (</w:t>
      </w:r>
      <w:r w:rsidRPr="00FA0D37">
        <w:rPr>
          <w:color w:val="993366"/>
        </w:rPr>
        <w:t>SIZE</w:t>
      </w:r>
      <w:r w:rsidRPr="00FA0D37">
        <w:t xml:space="preserve"> (1..maxPerCC-FeatureSets))</w:t>
      </w:r>
      <w:r w:rsidRPr="00FA0D37">
        <w:rPr>
          <w:color w:val="993366"/>
        </w:rPr>
        <w:t xml:space="preserve"> OF</w:t>
      </w:r>
      <w:r w:rsidRPr="00FA0D37">
        <w:t xml:space="preserve"> FeatureSetDownlinkPerCC-v1730      </w:t>
      </w:r>
      <w:r w:rsidRPr="00FA0D37">
        <w:rPr>
          <w:color w:val="993366"/>
        </w:rPr>
        <w:t>OPTIONAL</w:t>
      </w:r>
    </w:p>
    <w:p w14:paraId="1A58FB41" w14:textId="6258D5FB" w:rsidR="004D34F2" w:rsidRPr="00FA0D37" w:rsidRDefault="00691952" w:rsidP="00FA0D37">
      <w:pPr>
        <w:pStyle w:val="PL"/>
      </w:pPr>
      <w:r w:rsidRPr="00FA0D37">
        <w:t xml:space="preserve">    ]]</w:t>
      </w:r>
    </w:p>
    <w:p w14:paraId="17AD514D" w14:textId="012F9AF9" w:rsidR="00394471" w:rsidRPr="00FA0D37" w:rsidRDefault="00394471" w:rsidP="00FA0D37">
      <w:pPr>
        <w:pStyle w:val="PL"/>
      </w:pPr>
      <w:r w:rsidRPr="00FA0D37">
        <w:t>}</w:t>
      </w:r>
    </w:p>
    <w:p w14:paraId="75BE3761" w14:textId="77777777" w:rsidR="00E722E7" w:rsidRPr="00FA0D37" w:rsidRDefault="00E722E7" w:rsidP="00FA0D37">
      <w:pPr>
        <w:pStyle w:val="PL"/>
      </w:pPr>
    </w:p>
    <w:p w14:paraId="04A81316" w14:textId="0B05B841" w:rsidR="00E722E7" w:rsidRPr="00FA0D37" w:rsidRDefault="00E722E7" w:rsidP="00FA0D37">
      <w:pPr>
        <w:pStyle w:val="PL"/>
      </w:pPr>
      <w:r w:rsidRPr="00FA0D37">
        <w:t>FeatureSets-v16</w:t>
      </w:r>
      <w:r w:rsidR="00D647FD" w:rsidRPr="00FA0D37">
        <w:t>d0</w:t>
      </w:r>
      <w:r w:rsidRPr="00FA0D37">
        <w:t xml:space="preserve"> ::=    </w:t>
      </w:r>
      <w:r w:rsidRPr="00FA0D37">
        <w:rPr>
          <w:color w:val="993366"/>
        </w:rPr>
        <w:t>SEQUENCE</w:t>
      </w:r>
      <w:r w:rsidRPr="00FA0D37">
        <w:t xml:space="preserve"> {</w:t>
      </w:r>
    </w:p>
    <w:p w14:paraId="3EF0F527" w14:textId="5368AA75" w:rsidR="00E722E7" w:rsidRPr="00FA0D37" w:rsidRDefault="00E722E7" w:rsidP="00FA0D37">
      <w:pPr>
        <w:pStyle w:val="PL"/>
      </w:pPr>
      <w:r w:rsidRPr="00FA0D37">
        <w:t xml:space="preserve">    featureSetsUplink-v16</w:t>
      </w:r>
      <w:r w:rsidR="00D647FD" w:rsidRPr="00FA0D37">
        <w:t>d0</w:t>
      </w:r>
      <w:r w:rsidRPr="00FA0D37">
        <w:t xml:space="preserve">             </w:t>
      </w:r>
      <w:r w:rsidRPr="00FA0D37">
        <w:rPr>
          <w:color w:val="993366"/>
        </w:rPr>
        <w:t>SEQUENCE</w:t>
      </w:r>
      <w:r w:rsidRPr="00FA0D37">
        <w:t xml:space="preserve"> (</w:t>
      </w:r>
      <w:r w:rsidRPr="00FA0D37">
        <w:rPr>
          <w:color w:val="993366"/>
        </w:rPr>
        <w:t>SIZE</w:t>
      </w:r>
      <w:r w:rsidRPr="00FA0D37">
        <w:t xml:space="preserve"> (1..maxUplinkFeatureSets))</w:t>
      </w:r>
      <w:r w:rsidRPr="00FA0D37">
        <w:rPr>
          <w:color w:val="993366"/>
        </w:rPr>
        <w:t xml:space="preserve"> OF</w:t>
      </w:r>
      <w:r w:rsidRPr="00FA0D37">
        <w:t xml:space="preserve"> FeatureSetUplink-v16</w:t>
      </w:r>
      <w:r w:rsidR="00D647FD" w:rsidRPr="00FA0D37">
        <w:t>d0</w:t>
      </w:r>
      <w:r w:rsidRPr="00FA0D37">
        <w:t xml:space="preserve">             </w:t>
      </w:r>
      <w:r w:rsidRPr="00FA0D37">
        <w:rPr>
          <w:color w:val="993366"/>
        </w:rPr>
        <w:t>OPTIONAL</w:t>
      </w:r>
    </w:p>
    <w:p w14:paraId="6F14B503" w14:textId="3CF9C1EB" w:rsidR="00394471" w:rsidRPr="00FA0D37" w:rsidRDefault="00E722E7" w:rsidP="00FA0D37">
      <w:pPr>
        <w:pStyle w:val="PL"/>
      </w:pPr>
      <w:r w:rsidRPr="00FA0D37">
        <w:t>}</w:t>
      </w:r>
    </w:p>
    <w:p w14:paraId="7575671E" w14:textId="77777777" w:rsidR="00E722E7" w:rsidRPr="00FA0D37" w:rsidRDefault="00E722E7" w:rsidP="00FA0D37">
      <w:pPr>
        <w:pStyle w:val="PL"/>
      </w:pPr>
    </w:p>
    <w:p w14:paraId="08711D38" w14:textId="77777777" w:rsidR="00394471" w:rsidRPr="00FA0D37" w:rsidRDefault="00394471" w:rsidP="00FA0D37">
      <w:pPr>
        <w:pStyle w:val="PL"/>
        <w:rPr>
          <w:color w:val="808080"/>
        </w:rPr>
      </w:pPr>
      <w:r w:rsidRPr="00FA0D37">
        <w:rPr>
          <w:color w:val="808080"/>
        </w:rPr>
        <w:t>-- TAG-FEATURESETS-STOP</w:t>
      </w:r>
    </w:p>
    <w:p w14:paraId="767A9AD2" w14:textId="77777777" w:rsidR="00394471" w:rsidRPr="00FA0D37" w:rsidRDefault="00394471" w:rsidP="00FA0D37">
      <w:pPr>
        <w:pStyle w:val="PL"/>
        <w:rPr>
          <w:color w:val="808080"/>
        </w:rPr>
      </w:pPr>
      <w:r w:rsidRPr="00FA0D37">
        <w:rPr>
          <w:color w:val="808080"/>
        </w:rPr>
        <w:t>-- ASN1STOP</w:t>
      </w:r>
    </w:p>
    <w:p w14:paraId="5892744E" w14:textId="77777777" w:rsidR="00394471" w:rsidRPr="00FA0D37" w:rsidRDefault="00394471" w:rsidP="00394471"/>
    <w:p w14:paraId="0584C4A8" w14:textId="77777777" w:rsidR="00394471" w:rsidRPr="00FA0D37" w:rsidRDefault="00394471" w:rsidP="00394471">
      <w:pPr>
        <w:pStyle w:val="4"/>
      </w:pPr>
      <w:bookmarkStart w:id="1547" w:name="_Toc60777448"/>
      <w:bookmarkStart w:id="1548" w:name="_Toc146781549"/>
      <w:r w:rsidRPr="00FA0D37">
        <w:t>–</w:t>
      </w:r>
      <w:r w:rsidRPr="00FA0D37">
        <w:tab/>
      </w:r>
      <w:r w:rsidRPr="00FA0D37">
        <w:rPr>
          <w:i/>
        </w:rPr>
        <w:t>FeatureSetUplink</w:t>
      </w:r>
      <w:bookmarkEnd w:id="1547"/>
      <w:bookmarkEnd w:id="1548"/>
    </w:p>
    <w:p w14:paraId="51791F39" w14:textId="77777777" w:rsidR="00394471" w:rsidRPr="00FA0D37" w:rsidRDefault="00394471" w:rsidP="00394471">
      <w:r w:rsidRPr="00FA0D37">
        <w:t xml:space="preserve">The IE </w:t>
      </w:r>
      <w:r w:rsidRPr="00FA0D37">
        <w:rPr>
          <w:i/>
        </w:rPr>
        <w:t>FeatureSetUplink</w:t>
      </w:r>
      <w:r w:rsidRPr="00FA0D37">
        <w:t xml:space="preserve"> is used to indicate the features that the UE supports on the carriers corresponding to one band entry in a band combination.</w:t>
      </w:r>
    </w:p>
    <w:p w14:paraId="2EAF9E68" w14:textId="77777777" w:rsidR="00394471" w:rsidRPr="00FA0D37" w:rsidRDefault="00394471" w:rsidP="00394471">
      <w:pPr>
        <w:pStyle w:val="TH"/>
      </w:pPr>
      <w:r w:rsidRPr="00FA0D37">
        <w:rPr>
          <w:i/>
        </w:rPr>
        <w:t>FeatureSetUplink</w:t>
      </w:r>
      <w:r w:rsidRPr="00FA0D37">
        <w:t xml:space="preserve"> information element</w:t>
      </w:r>
    </w:p>
    <w:p w14:paraId="225CC750" w14:textId="77777777" w:rsidR="00394471" w:rsidRPr="00FA0D37" w:rsidRDefault="00394471" w:rsidP="00FA0D37">
      <w:pPr>
        <w:pStyle w:val="PL"/>
        <w:rPr>
          <w:color w:val="808080"/>
        </w:rPr>
      </w:pPr>
      <w:r w:rsidRPr="00FA0D37">
        <w:rPr>
          <w:color w:val="808080"/>
        </w:rPr>
        <w:t>-- ASN1START</w:t>
      </w:r>
    </w:p>
    <w:p w14:paraId="5C56FF22" w14:textId="77777777" w:rsidR="00394471" w:rsidRPr="00FA0D37" w:rsidRDefault="00394471" w:rsidP="00FA0D37">
      <w:pPr>
        <w:pStyle w:val="PL"/>
        <w:rPr>
          <w:color w:val="808080"/>
        </w:rPr>
      </w:pPr>
      <w:r w:rsidRPr="00FA0D37">
        <w:rPr>
          <w:color w:val="808080"/>
        </w:rPr>
        <w:t>-- TAG-FEATURESETUPLINK-START</w:t>
      </w:r>
    </w:p>
    <w:p w14:paraId="1086A89A" w14:textId="77777777" w:rsidR="00394471" w:rsidRPr="00FA0D37" w:rsidRDefault="00394471" w:rsidP="00FA0D37">
      <w:pPr>
        <w:pStyle w:val="PL"/>
      </w:pPr>
    </w:p>
    <w:p w14:paraId="18FEC8FB" w14:textId="77777777" w:rsidR="00394471" w:rsidRPr="00FA0D37" w:rsidRDefault="00394471" w:rsidP="00FA0D37">
      <w:pPr>
        <w:pStyle w:val="PL"/>
      </w:pPr>
      <w:r w:rsidRPr="00FA0D37">
        <w:t xml:space="preserve">FeatureSetUplink ::=                </w:t>
      </w:r>
      <w:r w:rsidRPr="00FA0D37">
        <w:rPr>
          <w:color w:val="993366"/>
        </w:rPr>
        <w:t>SEQUENCE</w:t>
      </w:r>
      <w:r w:rsidRPr="00FA0D37">
        <w:t xml:space="preserve"> {</w:t>
      </w:r>
    </w:p>
    <w:p w14:paraId="0170FF08" w14:textId="77777777" w:rsidR="00394471" w:rsidRPr="00FA0D37" w:rsidRDefault="00394471" w:rsidP="00FA0D37">
      <w:pPr>
        <w:pStyle w:val="PL"/>
      </w:pPr>
      <w:r w:rsidRPr="00FA0D37">
        <w:t xml:space="preserve">    featureSetListPerUplinkCC           </w:t>
      </w:r>
      <w:r w:rsidRPr="00FA0D37">
        <w:rPr>
          <w:color w:val="993366"/>
        </w:rPr>
        <w:t>SEQUENCE</w:t>
      </w:r>
      <w:r w:rsidRPr="00FA0D37">
        <w:t xml:space="preserve"> (</w:t>
      </w:r>
      <w:r w:rsidRPr="00FA0D37">
        <w:rPr>
          <w:color w:val="993366"/>
        </w:rPr>
        <w:t>SIZE</w:t>
      </w:r>
      <w:r w:rsidRPr="00FA0D37">
        <w:t xml:space="preserve"> (1.. maxNrofServingCells))</w:t>
      </w:r>
      <w:r w:rsidRPr="00FA0D37">
        <w:rPr>
          <w:color w:val="993366"/>
        </w:rPr>
        <w:t xml:space="preserve"> OF</w:t>
      </w:r>
      <w:r w:rsidRPr="00FA0D37">
        <w:t xml:space="preserve"> FeatureSetUplinkPerCC-Id,</w:t>
      </w:r>
    </w:p>
    <w:p w14:paraId="66F49212" w14:textId="77777777" w:rsidR="00394471" w:rsidRPr="00FA0D37" w:rsidRDefault="00394471" w:rsidP="00FA0D37">
      <w:pPr>
        <w:pStyle w:val="PL"/>
      </w:pPr>
      <w:r w:rsidRPr="00FA0D37">
        <w:t xml:space="preserve">    scalingFactor                       </w:t>
      </w:r>
      <w:r w:rsidRPr="00FA0D37">
        <w:rPr>
          <w:color w:val="993366"/>
        </w:rPr>
        <w:t>ENUMERATED</w:t>
      </w:r>
      <w:r w:rsidRPr="00FA0D37">
        <w:t xml:space="preserve"> {f0p4, f0p75, f0p8}                                          </w:t>
      </w:r>
      <w:r w:rsidRPr="00FA0D37">
        <w:rPr>
          <w:color w:val="993366"/>
        </w:rPr>
        <w:t>OPTIONAL</w:t>
      </w:r>
      <w:r w:rsidRPr="00FA0D37">
        <w:t>,</w:t>
      </w:r>
    </w:p>
    <w:p w14:paraId="4F94B746" w14:textId="6CBFBE99" w:rsidR="00394471" w:rsidRPr="00FA0D37" w:rsidRDefault="00394471" w:rsidP="00FA0D37">
      <w:pPr>
        <w:pStyle w:val="PL"/>
      </w:pPr>
      <w:r w:rsidRPr="00FA0D37">
        <w:t xml:space="preserve">    </w:t>
      </w:r>
      <w:r w:rsidR="002E31BC" w:rsidRPr="00FA0D37">
        <w:t>dummy3</w:t>
      </w:r>
      <w:r w:rsidRPr="00FA0D37">
        <w:t xml:space="preserve">     </w:t>
      </w:r>
      <w:r w:rsidR="002E31BC" w:rsidRPr="00FA0D37">
        <w:t xml:space="preserve">                         </w:t>
      </w:r>
      <w:r w:rsidRPr="00FA0D37">
        <w:rPr>
          <w:color w:val="993366"/>
        </w:rPr>
        <w:t>ENUMERATED</w:t>
      </w:r>
      <w:r w:rsidRPr="00FA0D37">
        <w:t xml:space="preserve"> {supported}                                                  </w:t>
      </w:r>
      <w:r w:rsidRPr="00FA0D37">
        <w:rPr>
          <w:color w:val="993366"/>
        </w:rPr>
        <w:t>OPTIONAL</w:t>
      </w:r>
      <w:r w:rsidRPr="00FA0D37">
        <w:t>,</w:t>
      </w:r>
    </w:p>
    <w:p w14:paraId="1747CB9A" w14:textId="77777777" w:rsidR="00394471" w:rsidRPr="00FA0D37" w:rsidRDefault="00394471" w:rsidP="00FA0D37">
      <w:pPr>
        <w:pStyle w:val="PL"/>
      </w:pPr>
      <w:r w:rsidRPr="00FA0D37">
        <w:t xml:space="preserve">    intraBandFreqSeparationUL           FreqSeparationClass                                                     </w:t>
      </w:r>
      <w:r w:rsidRPr="00FA0D37">
        <w:rPr>
          <w:color w:val="993366"/>
        </w:rPr>
        <w:t>OPTIONAL</w:t>
      </w:r>
      <w:r w:rsidRPr="00FA0D37">
        <w:t>,</w:t>
      </w:r>
    </w:p>
    <w:p w14:paraId="385A9E40" w14:textId="77777777" w:rsidR="00394471" w:rsidRPr="00FA0D37" w:rsidRDefault="00394471" w:rsidP="00FA0D37">
      <w:pPr>
        <w:pStyle w:val="PL"/>
      </w:pPr>
      <w:r w:rsidRPr="00FA0D37">
        <w:t xml:space="preserve">    searchSpaceSharingCA-UL             </w:t>
      </w:r>
      <w:r w:rsidRPr="00FA0D37">
        <w:rPr>
          <w:color w:val="993366"/>
        </w:rPr>
        <w:t>ENUMERATED</w:t>
      </w:r>
      <w:r w:rsidRPr="00FA0D37">
        <w:t xml:space="preserve"> {supported}                                                  </w:t>
      </w:r>
      <w:r w:rsidRPr="00FA0D37">
        <w:rPr>
          <w:color w:val="993366"/>
        </w:rPr>
        <w:t>OPTIONAL</w:t>
      </w:r>
      <w:r w:rsidRPr="00FA0D37">
        <w:t>,</w:t>
      </w:r>
    </w:p>
    <w:p w14:paraId="0775C5C9" w14:textId="77777777" w:rsidR="00394471" w:rsidRPr="00FA0D37" w:rsidRDefault="00394471" w:rsidP="00FA0D37">
      <w:pPr>
        <w:pStyle w:val="PL"/>
      </w:pPr>
      <w:r w:rsidRPr="00FA0D37">
        <w:t xml:space="preserve">    dummy1                              DummyI                                                                  </w:t>
      </w:r>
      <w:r w:rsidRPr="00FA0D37">
        <w:rPr>
          <w:color w:val="993366"/>
        </w:rPr>
        <w:t>OPTIONAL</w:t>
      </w:r>
      <w:r w:rsidRPr="00FA0D37">
        <w:t>,</w:t>
      </w:r>
    </w:p>
    <w:p w14:paraId="4C315CE7" w14:textId="77777777" w:rsidR="00394471" w:rsidRPr="00FA0D37" w:rsidRDefault="00394471" w:rsidP="00FA0D37">
      <w:pPr>
        <w:pStyle w:val="PL"/>
      </w:pPr>
      <w:r w:rsidRPr="00FA0D37">
        <w:t xml:space="preserve">    supportedSRS-Resources              SRS-Resources                                                           </w:t>
      </w:r>
      <w:r w:rsidRPr="00FA0D37">
        <w:rPr>
          <w:color w:val="993366"/>
        </w:rPr>
        <w:t>OPTIONAL</w:t>
      </w:r>
      <w:r w:rsidRPr="00FA0D37">
        <w:t>,</w:t>
      </w:r>
    </w:p>
    <w:p w14:paraId="1CC5DC31" w14:textId="77777777" w:rsidR="00394471" w:rsidRPr="00FA0D37" w:rsidRDefault="00394471" w:rsidP="00FA0D37">
      <w:pPr>
        <w:pStyle w:val="PL"/>
      </w:pPr>
      <w:r w:rsidRPr="00FA0D37">
        <w:t xml:space="preserve">    twoPUCCH-Group                      </w:t>
      </w:r>
      <w:r w:rsidRPr="00FA0D37">
        <w:rPr>
          <w:color w:val="993366"/>
        </w:rPr>
        <w:t>ENUMERATED</w:t>
      </w:r>
      <w:r w:rsidRPr="00FA0D37">
        <w:t xml:space="preserve"> {supported}                                                  </w:t>
      </w:r>
      <w:r w:rsidRPr="00FA0D37">
        <w:rPr>
          <w:color w:val="993366"/>
        </w:rPr>
        <w:t>OPTIONAL</w:t>
      </w:r>
      <w:r w:rsidRPr="00FA0D37">
        <w:t>,</w:t>
      </w:r>
    </w:p>
    <w:p w14:paraId="6D9D0835" w14:textId="77777777" w:rsidR="00394471" w:rsidRPr="00FA0D37" w:rsidRDefault="00394471" w:rsidP="00FA0D37">
      <w:pPr>
        <w:pStyle w:val="PL"/>
      </w:pPr>
      <w:r w:rsidRPr="00FA0D37">
        <w:t xml:space="preserve">    dynamicSwitchSUL                    </w:t>
      </w:r>
      <w:r w:rsidRPr="00FA0D37">
        <w:rPr>
          <w:color w:val="993366"/>
        </w:rPr>
        <w:t>ENUMERATED</w:t>
      </w:r>
      <w:r w:rsidRPr="00FA0D37">
        <w:t xml:space="preserve"> {supported}                                                  </w:t>
      </w:r>
      <w:r w:rsidRPr="00FA0D37">
        <w:rPr>
          <w:color w:val="993366"/>
        </w:rPr>
        <w:t>OPTIONAL</w:t>
      </w:r>
      <w:r w:rsidRPr="00FA0D37">
        <w:t>,</w:t>
      </w:r>
    </w:p>
    <w:p w14:paraId="3C50D33D" w14:textId="77777777" w:rsidR="00394471" w:rsidRPr="00FA0D37" w:rsidRDefault="00394471" w:rsidP="00FA0D37">
      <w:pPr>
        <w:pStyle w:val="PL"/>
      </w:pPr>
      <w:r w:rsidRPr="00FA0D37">
        <w:t xml:space="preserve">    simultaneousTxSUL-NonSUL            </w:t>
      </w:r>
      <w:r w:rsidRPr="00FA0D37">
        <w:rPr>
          <w:color w:val="993366"/>
        </w:rPr>
        <w:t>ENUMERATED</w:t>
      </w:r>
      <w:r w:rsidRPr="00FA0D37">
        <w:t xml:space="preserve"> {supported}                                                  </w:t>
      </w:r>
      <w:r w:rsidRPr="00FA0D37">
        <w:rPr>
          <w:color w:val="993366"/>
        </w:rPr>
        <w:t>OPTIONAL</w:t>
      </w:r>
      <w:r w:rsidRPr="00FA0D37">
        <w:t>,</w:t>
      </w:r>
    </w:p>
    <w:p w14:paraId="03C499EA" w14:textId="77777777" w:rsidR="00394471" w:rsidRPr="00FA0D37" w:rsidRDefault="00394471" w:rsidP="00FA0D37">
      <w:pPr>
        <w:pStyle w:val="PL"/>
      </w:pPr>
      <w:r w:rsidRPr="00FA0D37">
        <w:t xml:space="preserve">    pusch-ProcessingType1-DifferentTB-PerSlot </w:t>
      </w:r>
      <w:r w:rsidRPr="00FA0D37">
        <w:rPr>
          <w:color w:val="993366"/>
        </w:rPr>
        <w:t>SEQUENCE</w:t>
      </w:r>
      <w:r w:rsidRPr="00FA0D37">
        <w:t xml:space="preserve"> {</w:t>
      </w:r>
    </w:p>
    <w:p w14:paraId="285155D0" w14:textId="77777777" w:rsidR="00394471" w:rsidRPr="00FA0D37" w:rsidRDefault="00394471" w:rsidP="00FA0D37">
      <w:pPr>
        <w:pStyle w:val="PL"/>
      </w:pPr>
      <w:r w:rsidRPr="00FA0D37">
        <w:t xml:space="preserve">        scs-15kHz                                 </w:t>
      </w:r>
      <w:r w:rsidRPr="00FA0D37">
        <w:rPr>
          <w:color w:val="993366"/>
        </w:rPr>
        <w:t>ENUMERATED</w:t>
      </w:r>
      <w:r w:rsidRPr="00FA0D37">
        <w:t xml:space="preserve"> {upto2, upto4, upto7}                                  </w:t>
      </w:r>
      <w:r w:rsidRPr="00FA0D37">
        <w:rPr>
          <w:color w:val="993366"/>
        </w:rPr>
        <w:t>OPTIONAL</w:t>
      </w:r>
      <w:r w:rsidRPr="00FA0D37">
        <w:t>,</w:t>
      </w:r>
    </w:p>
    <w:p w14:paraId="5355E20E" w14:textId="77777777" w:rsidR="00394471" w:rsidRPr="00FA0D37" w:rsidRDefault="00394471" w:rsidP="00FA0D37">
      <w:pPr>
        <w:pStyle w:val="PL"/>
      </w:pPr>
      <w:r w:rsidRPr="00FA0D37">
        <w:t xml:space="preserve">        scs-30kHz                                 </w:t>
      </w:r>
      <w:r w:rsidRPr="00FA0D37">
        <w:rPr>
          <w:color w:val="993366"/>
        </w:rPr>
        <w:t>ENUMERATED</w:t>
      </w:r>
      <w:r w:rsidRPr="00FA0D37">
        <w:t xml:space="preserve"> {upto2, upto4, upto7}                                  </w:t>
      </w:r>
      <w:r w:rsidRPr="00FA0D37">
        <w:rPr>
          <w:color w:val="993366"/>
        </w:rPr>
        <w:t>OPTIONAL</w:t>
      </w:r>
      <w:r w:rsidRPr="00FA0D37">
        <w:t>,</w:t>
      </w:r>
    </w:p>
    <w:p w14:paraId="20CE1698" w14:textId="77777777" w:rsidR="00394471" w:rsidRPr="00FA0D37" w:rsidRDefault="00394471" w:rsidP="00FA0D37">
      <w:pPr>
        <w:pStyle w:val="PL"/>
      </w:pPr>
      <w:r w:rsidRPr="00FA0D37">
        <w:t xml:space="preserve">        scs-60kHz                                 </w:t>
      </w:r>
      <w:r w:rsidRPr="00FA0D37">
        <w:rPr>
          <w:color w:val="993366"/>
        </w:rPr>
        <w:t>ENUMERATED</w:t>
      </w:r>
      <w:r w:rsidRPr="00FA0D37">
        <w:t xml:space="preserve"> {upto2, upto4, upto7}                                  </w:t>
      </w:r>
      <w:r w:rsidRPr="00FA0D37">
        <w:rPr>
          <w:color w:val="993366"/>
        </w:rPr>
        <w:t>OPTIONAL</w:t>
      </w:r>
      <w:r w:rsidRPr="00FA0D37">
        <w:t>,</w:t>
      </w:r>
    </w:p>
    <w:p w14:paraId="1D458117" w14:textId="77777777" w:rsidR="00394471" w:rsidRPr="00FA0D37" w:rsidRDefault="00394471" w:rsidP="00FA0D37">
      <w:pPr>
        <w:pStyle w:val="PL"/>
      </w:pPr>
      <w:r w:rsidRPr="00FA0D37">
        <w:t xml:space="preserve">        scs-120kHz                                </w:t>
      </w:r>
      <w:r w:rsidRPr="00FA0D37">
        <w:rPr>
          <w:color w:val="993366"/>
        </w:rPr>
        <w:t>ENUMERATED</w:t>
      </w:r>
      <w:r w:rsidRPr="00FA0D37">
        <w:t xml:space="preserve"> {upto2, upto4, upto7}                                  </w:t>
      </w:r>
      <w:r w:rsidRPr="00FA0D37">
        <w:rPr>
          <w:color w:val="993366"/>
        </w:rPr>
        <w:t>OPTIONAL</w:t>
      </w:r>
    </w:p>
    <w:p w14:paraId="0E7607DB" w14:textId="77777777" w:rsidR="00394471" w:rsidRPr="00FA0D37" w:rsidRDefault="00394471" w:rsidP="00FA0D37">
      <w:pPr>
        <w:pStyle w:val="PL"/>
      </w:pPr>
      <w:r w:rsidRPr="00FA0D37">
        <w:t xml:space="preserve">    }                                                                                                           </w:t>
      </w:r>
      <w:r w:rsidRPr="00FA0D37">
        <w:rPr>
          <w:color w:val="993366"/>
        </w:rPr>
        <w:t>OPTIONAL</w:t>
      </w:r>
      <w:r w:rsidRPr="00FA0D37">
        <w:t>,</w:t>
      </w:r>
    </w:p>
    <w:p w14:paraId="61180E62" w14:textId="77777777" w:rsidR="00394471" w:rsidRPr="00FA0D37" w:rsidRDefault="00394471" w:rsidP="00FA0D37">
      <w:pPr>
        <w:pStyle w:val="PL"/>
      </w:pPr>
      <w:r w:rsidRPr="00FA0D37">
        <w:t xml:space="preserve">    dummy2                               DummyF                                                                 </w:t>
      </w:r>
      <w:r w:rsidRPr="00FA0D37">
        <w:rPr>
          <w:color w:val="993366"/>
        </w:rPr>
        <w:t>OPTIONAL</w:t>
      </w:r>
    </w:p>
    <w:p w14:paraId="72ECBDC9" w14:textId="77777777" w:rsidR="00394471" w:rsidRPr="00FA0D37" w:rsidRDefault="00394471" w:rsidP="00FA0D37">
      <w:pPr>
        <w:pStyle w:val="PL"/>
      </w:pPr>
      <w:r w:rsidRPr="00FA0D37">
        <w:t>}</w:t>
      </w:r>
    </w:p>
    <w:p w14:paraId="7F39AF58" w14:textId="77777777" w:rsidR="00394471" w:rsidRPr="00FA0D37" w:rsidRDefault="00394471" w:rsidP="00FA0D37">
      <w:pPr>
        <w:pStyle w:val="PL"/>
      </w:pPr>
    </w:p>
    <w:p w14:paraId="6308AF63" w14:textId="77777777" w:rsidR="00394471" w:rsidRPr="00FA0D37" w:rsidRDefault="00394471" w:rsidP="00FA0D37">
      <w:pPr>
        <w:pStyle w:val="PL"/>
      </w:pPr>
      <w:r w:rsidRPr="00FA0D37">
        <w:t xml:space="preserve">FeatureSetUplink-v1540 ::=           </w:t>
      </w:r>
      <w:r w:rsidRPr="00FA0D37">
        <w:rPr>
          <w:color w:val="993366"/>
        </w:rPr>
        <w:t>SEQUENCE</w:t>
      </w:r>
      <w:r w:rsidRPr="00FA0D37">
        <w:t xml:space="preserve"> {</w:t>
      </w:r>
    </w:p>
    <w:p w14:paraId="5F3D62DF" w14:textId="77777777" w:rsidR="00394471" w:rsidRPr="00FA0D37" w:rsidRDefault="00394471" w:rsidP="00FA0D37">
      <w:pPr>
        <w:pStyle w:val="PL"/>
      </w:pPr>
      <w:r w:rsidRPr="00FA0D37">
        <w:t xml:space="preserve">    zeroSlotOffsetAperiodicSRS           </w:t>
      </w:r>
      <w:r w:rsidRPr="00FA0D37">
        <w:rPr>
          <w:color w:val="993366"/>
        </w:rPr>
        <w:t>ENUMERATED</w:t>
      </w:r>
      <w:r w:rsidRPr="00FA0D37">
        <w:t xml:space="preserve"> {supported}                     </w:t>
      </w:r>
      <w:r w:rsidRPr="00FA0D37">
        <w:rPr>
          <w:color w:val="993366"/>
        </w:rPr>
        <w:t>OPTIONAL</w:t>
      </w:r>
      <w:r w:rsidRPr="00FA0D37">
        <w:t>,</w:t>
      </w:r>
    </w:p>
    <w:p w14:paraId="5106F328" w14:textId="77777777" w:rsidR="00394471" w:rsidRPr="00FA0D37" w:rsidRDefault="00394471" w:rsidP="00FA0D37">
      <w:pPr>
        <w:pStyle w:val="PL"/>
      </w:pPr>
      <w:r w:rsidRPr="00FA0D37">
        <w:t xml:space="preserve">    pa-PhaseDiscontinuityImpacts         </w:t>
      </w:r>
      <w:r w:rsidRPr="00FA0D37">
        <w:rPr>
          <w:color w:val="993366"/>
        </w:rPr>
        <w:t>ENUMERATED</w:t>
      </w:r>
      <w:r w:rsidRPr="00FA0D37">
        <w:t xml:space="preserve"> {supported}                     </w:t>
      </w:r>
      <w:r w:rsidRPr="00FA0D37">
        <w:rPr>
          <w:color w:val="993366"/>
        </w:rPr>
        <w:t>OPTIONAL</w:t>
      </w:r>
      <w:r w:rsidRPr="00FA0D37">
        <w:t>,</w:t>
      </w:r>
    </w:p>
    <w:p w14:paraId="12AB1FD3" w14:textId="77777777" w:rsidR="00394471" w:rsidRPr="00FA0D37" w:rsidRDefault="00394471" w:rsidP="00FA0D37">
      <w:pPr>
        <w:pStyle w:val="PL"/>
      </w:pPr>
      <w:r w:rsidRPr="00FA0D37">
        <w:t xml:space="preserve">    pusch-SeparationWithGap              </w:t>
      </w:r>
      <w:r w:rsidRPr="00FA0D37">
        <w:rPr>
          <w:color w:val="993366"/>
        </w:rPr>
        <w:t>ENUMERATED</w:t>
      </w:r>
      <w:r w:rsidRPr="00FA0D37">
        <w:t xml:space="preserve"> {supported}                     </w:t>
      </w:r>
      <w:r w:rsidRPr="00FA0D37">
        <w:rPr>
          <w:color w:val="993366"/>
        </w:rPr>
        <w:t>OPTIONAL</w:t>
      </w:r>
      <w:r w:rsidRPr="00FA0D37">
        <w:t>,</w:t>
      </w:r>
    </w:p>
    <w:p w14:paraId="49F09068" w14:textId="77777777" w:rsidR="00394471" w:rsidRPr="00FA0D37" w:rsidRDefault="00394471" w:rsidP="00FA0D37">
      <w:pPr>
        <w:pStyle w:val="PL"/>
      </w:pPr>
      <w:r w:rsidRPr="00FA0D37">
        <w:t xml:space="preserve">    pusch-ProcessingType2                </w:t>
      </w:r>
      <w:r w:rsidRPr="00FA0D37">
        <w:rPr>
          <w:color w:val="993366"/>
        </w:rPr>
        <w:t>SEQUENCE</w:t>
      </w:r>
      <w:r w:rsidRPr="00FA0D37">
        <w:t xml:space="preserve"> {</w:t>
      </w:r>
    </w:p>
    <w:p w14:paraId="2CE0CCCF" w14:textId="77777777" w:rsidR="00394471" w:rsidRPr="00FA0D37" w:rsidRDefault="00394471" w:rsidP="00FA0D37">
      <w:pPr>
        <w:pStyle w:val="PL"/>
      </w:pPr>
      <w:r w:rsidRPr="00FA0D37">
        <w:t xml:space="preserve">        scs-15kHz                            ProcessingParameters                       </w:t>
      </w:r>
      <w:r w:rsidRPr="00FA0D37">
        <w:rPr>
          <w:color w:val="993366"/>
        </w:rPr>
        <w:t>OPTIONAL</w:t>
      </w:r>
      <w:r w:rsidRPr="00FA0D37">
        <w:t>,</w:t>
      </w:r>
    </w:p>
    <w:p w14:paraId="471DF1AC" w14:textId="77777777" w:rsidR="00394471" w:rsidRPr="00FA0D37" w:rsidRDefault="00394471" w:rsidP="00FA0D37">
      <w:pPr>
        <w:pStyle w:val="PL"/>
      </w:pPr>
      <w:r w:rsidRPr="00FA0D37">
        <w:t xml:space="preserve">        scs-30kHz                            ProcessingParameters                       </w:t>
      </w:r>
      <w:r w:rsidRPr="00FA0D37">
        <w:rPr>
          <w:color w:val="993366"/>
        </w:rPr>
        <w:t>OPTIONAL</w:t>
      </w:r>
      <w:r w:rsidRPr="00FA0D37">
        <w:t>,</w:t>
      </w:r>
    </w:p>
    <w:p w14:paraId="62CD3078" w14:textId="77777777" w:rsidR="00394471" w:rsidRPr="00FA0D37" w:rsidRDefault="00394471" w:rsidP="00FA0D37">
      <w:pPr>
        <w:pStyle w:val="PL"/>
      </w:pPr>
      <w:r w:rsidRPr="00FA0D37">
        <w:t xml:space="preserve">        scs-60kHz                            ProcessingParameters                       </w:t>
      </w:r>
      <w:r w:rsidRPr="00FA0D37">
        <w:rPr>
          <w:color w:val="993366"/>
        </w:rPr>
        <w:t>OPTIONAL</w:t>
      </w:r>
    </w:p>
    <w:p w14:paraId="74C95564" w14:textId="77777777" w:rsidR="00394471" w:rsidRPr="00FA0D37" w:rsidRDefault="00394471" w:rsidP="00FA0D37">
      <w:pPr>
        <w:pStyle w:val="PL"/>
      </w:pPr>
      <w:r w:rsidRPr="00FA0D37">
        <w:lastRenderedPageBreak/>
        <w:t xml:space="preserve">    }                                                                               </w:t>
      </w:r>
      <w:r w:rsidRPr="00FA0D37">
        <w:rPr>
          <w:color w:val="993366"/>
        </w:rPr>
        <w:t>OPTIONAL</w:t>
      </w:r>
      <w:r w:rsidRPr="00FA0D37">
        <w:t>,</w:t>
      </w:r>
    </w:p>
    <w:p w14:paraId="6ADDC973" w14:textId="77777777" w:rsidR="00394471" w:rsidRPr="00FA0D37" w:rsidRDefault="00394471" w:rsidP="00FA0D37">
      <w:pPr>
        <w:pStyle w:val="PL"/>
      </w:pPr>
      <w:r w:rsidRPr="00FA0D37">
        <w:t xml:space="preserve">    ul-MCS-TableAlt-DynamicIndication    </w:t>
      </w:r>
      <w:r w:rsidRPr="00FA0D37">
        <w:rPr>
          <w:color w:val="993366"/>
        </w:rPr>
        <w:t>ENUMERATED</w:t>
      </w:r>
      <w:r w:rsidRPr="00FA0D37">
        <w:t xml:space="preserve"> {supported}                     </w:t>
      </w:r>
      <w:r w:rsidRPr="00FA0D37">
        <w:rPr>
          <w:color w:val="993366"/>
        </w:rPr>
        <w:t>OPTIONAL</w:t>
      </w:r>
    </w:p>
    <w:p w14:paraId="59861ED0" w14:textId="77777777" w:rsidR="00394471" w:rsidRPr="00FA0D37" w:rsidRDefault="00394471" w:rsidP="00FA0D37">
      <w:pPr>
        <w:pStyle w:val="PL"/>
      </w:pPr>
      <w:r w:rsidRPr="00FA0D37">
        <w:t>}</w:t>
      </w:r>
    </w:p>
    <w:p w14:paraId="0958E9E8" w14:textId="77777777" w:rsidR="00394471" w:rsidRPr="00FA0D37" w:rsidRDefault="00394471" w:rsidP="00FA0D37">
      <w:pPr>
        <w:pStyle w:val="PL"/>
      </w:pPr>
    </w:p>
    <w:p w14:paraId="331222AD" w14:textId="77777777" w:rsidR="00394471" w:rsidRPr="00FA0D37" w:rsidRDefault="00394471" w:rsidP="00FA0D37">
      <w:pPr>
        <w:pStyle w:val="PL"/>
      </w:pPr>
      <w:r w:rsidRPr="00FA0D37">
        <w:t xml:space="preserve">FeatureSetUplink-v1610 ::=       </w:t>
      </w:r>
      <w:r w:rsidRPr="00FA0D37">
        <w:rPr>
          <w:color w:val="993366"/>
        </w:rPr>
        <w:t>SEQUENCE</w:t>
      </w:r>
      <w:r w:rsidRPr="00FA0D37">
        <w:t xml:space="preserve"> {</w:t>
      </w:r>
    </w:p>
    <w:p w14:paraId="59C925EE" w14:textId="77777777" w:rsidR="00394471" w:rsidRPr="00FA0D37" w:rsidRDefault="00394471" w:rsidP="00FA0D37">
      <w:pPr>
        <w:pStyle w:val="PL"/>
        <w:rPr>
          <w:color w:val="808080"/>
        </w:rPr>
      </w:pPr>
      <w:r w:rsidRPr="00FA0D37">
        <w:t xml:space="preserve">    </w:t>
      </w:r>
      <w:r w:rsidRPr="00FA0D37">
        <w:rPr>
          <w:color w:val="808080"/>
        </w:rPr>
        <w:t>-- R1 11-5: PUsCH repetition Type B</w:t>
      </w:r>
    </w:p>
    <w:p w14:paraId="14C1088F" w14:textId="77777777" w:rsidR="00394471" w:rsidRPr="00FA0D37" w:rsidRDefault="00394471" w:rsidP="00FA0D37">
      <w:pPr>
        <w:pStyle w:val="PL"/>
      </w:pPr>
      <w:r w:rsidRPr="00FA0D37">
        <w:t xml:space="preserve">    pusch-RepetitionTypeB-r16        </w:t>
      </w:r>
      <w:r w:rsidRPr="00FA0D37">
        <w:rPr>
          <w:color w:val="993366"/>
        </w:rPr>
        <w:t>SEQUENCE</w:t>
      </w:r>
      <w:r w:rsidRPr="00FA0D37">
        <w:t xml:space="preserve"> {</w:t>
      </w:r>
    </w:p>
    <w:p w14:paraId="4C721B68" w14:textId="77777777" w:rsidR="00394471" w:rsidRPr="00FA0D37" w:rsidRDefault="00394471" w:rsidP="00FA0D37">
      <w:pPr>
        <w:pStyle w:val="PL"/>
      </w:pPr>
      <w:r w:rsidRPr="00FA0D37">
        <w:t xml:space="preserve">        maxNumberPUSCH-Tx-r16            </w:t>
      </w:r>
      <w:r w:rsidRPr="00FA0D37">
        <w:rPr>
          <w:color w:val="993366"/>
        </w:rPr>
        <w:t>ENUMERATED</w:t>
      </w:r>
      <w:r w:rsidRPr="00FA0D37">
        <w:t xml:space="preserve"> {n2, n3, n4, n7, n8, n12},</w:t>
      </w:r>
    </w:p>
    <w:p w14:paraId="50924D3B" w14:textId="77777777" w:rsidR="00394471" w:rsidRPr="00FA0D37" w:rsidRDefault="00394471" w:rsidP="00FA0D37">
      <w:pPr>
        <w:pStyle w:val="PL"/>
      </w:pPr>
      <w:r w:rsidRPr="00FA0D37">
        <w:t xml:space="preserve">        hoppingScheme-r16                </w:t>
      </w:r>
      <w:r w:rsidRPr="00FA0D37">
        <w:rPr>
          <w:color w:val="993366"/>
        </w:rPr>
        <w:t>ENUMERATED</w:t>
      </w:r>
      <w:r w:rsidRPr="00FA0D37">
        <w:t xml:space="preserve"> {interSlotHopping, interRepetitionHopping, both}</w:t>
      </w:r>
    </w:p>
    <w:p w14:paraId="17A9B238" w14:textId="77777777" w:rsidR="00394471" w:rsidRPr="00FA0D37" w:rsidRDefault="00394471" w:rsidP="00FA0D37">
      <w:pPr>
        <w:pStyle w:val="PL"/>
      </w:pPr>
      <w:r w:rsidRPr="00FA0D37">
        <w:t xml:space="preserve">    }                                                                              </w:t>
      </w:r>
      <w:r w:rsidRPr="00FA0D37">
        <w:rPr>
          <w:color w:val="993366"/>
        </w:rPr>
        <w:t>OPTIONAL</w:t>
      </w:r>
      <w:r w:rsidRPr="00FA0D37">
        <w:t>,</w:t>
      </w:r>
    </w:p>
    <w:p w14:paraId="6426C364" w14:textId="77777777" w:rsidR="00394471" w:rsidRPr="00FA0D37" w:rsidRDefault="00394471" w:rsidP="00FA0D37">
      <w:pPr>
        <w:pStyle w:val="PL"/>
        <w:rPr>
          <w:color w:val="808080"/>
        </w:rPr>
      </w:pPr>
      <w:r w:rsidRPr="00FA0D37">
        <w:t xml:space="preserve">    </w:t>
      </w:r>
      <w:r w:rsidRPr="00FA0D37">
        <w:rPr>
          <w:color w:val="808080"/>
        </w:rPr>
        <w:t>-- R1 11-7: UL cancelation scheme for self-carrier</w:t>
      </w:r>
    </w:p>
    <w:p w14:paraId="3E22C43F" w14:textId="77777777" w:rsidR="00394471" w:rsidRPr="00FA0D37" w:rsidRDefault="00394471" w:rsidP="00FA0D37">
      <w:pPr>
        <w:pStyle w:val="PL"/>
      </w:pPr>
      <w:r w:rsidRPr="00FA0D37">
        <w:t xml:space="preserve">    ul-CancellationSelfCarrier-r16       </w:t>
      </w:r>
      <w:r w:rsidRPr="00FA0D37">
        <w:rPr>
          <w:color w:val="993366"/>
        </w:rPr>
        <w:t>ENUMERATED</w:t>
      </w:r>
      <w:r w:rsidRPr="00FA0D37">
        <w:t xml:space="preserve"> {supported}                    </w:t>
      </w:r>
      <w:r w:rsidRPr="00FA0D37">
        <w:rPr>
          <w:color w:val="993366"/>
        </w:rPr>
        <w:t>OPTIONAL</w:t>
      </w:r>
      <w:r w:rsidRPr="00FA0D37">
        <w:t>,</w:t>
      </w:r>
    </w:p>
    <w:p w14:paraId="56CF7476" w14:textId="77777777" w:rsidR="00394471" w:rsidRPr="00FA0D37" w:rsidRDefault="00394471" w:rsidP="00FA0D37">
      <w:pPr>
        <w:pStyle w:val="PL"/>
        <w:rPr>
          <w:color w:val="808080"/>
        </w:rPr>
      </w:pPr>
      <w:r w:rsidRPr="00FA0D37">
        <w:t xml:space="preserve">    </w:t>
      </w:r>
      <w:r w:rsidRPr="00FA0D37">
        <w:rPr>
          <w:color w:val="808080"/>
        </w:rPr>
        <w:t>-- R1 11-7a: UL cancelation scheme for cross-carrier</w:t>
      </w:r>
    </w:p>
    <w:p w14:paraId="6FB3A8F5" w14:textId="77777777" w:rsidR="00394471" w:rsidRPr="00FA0D37" w:rsidRDefault="00394471" w:rsidP="00FA0D37">
      <w:pPr>
        <w:pStyle w:val="PL"/>
      </w:pPr>
      <w:r w:rsidRPr="00FA0D37">
        <w:t xml:space="preserve">    ul-CancellationCrossCarrier-r16      </w:t>
      </w:r>
      <w:r w:rsidRPr="00FA0D37">
        <w:rPr>
          <w:color w:val="993366"/>
        </w:rPr>
        <w:t>ENUMERATED</w:t>
      </w:r>
      <w:r w:rsidRPr="00FA0D37">
        <w:t xml:space="preserve"> {supported}                    </w:t>
      </w:r>
      <w:r w:rsidRPr="00FA0D37">
        <w:rPr>
          <w:color w:val="993366"/>
        </w:rPr>
        <w:t>OPTIONAL</w:t>
      </w:r>
      <w:r w:rsidRPr="00FA0D37">
        <w:t>,</w:t>
      </w:r>
    </w:p>
    <w:p w14:paraId="5A65B3E4" w14:textId="77777777" w:rsidR="00394471" w:rsidRPr="00FA0D37" w:rsidRDefault="00394471" w:rsidP="00FA0D37">
      <w:pPr>
        <w:pStyle w:val="PL"/>
        <w:rPr>
          <w:color w:val="808080"/>
        </w:rPr>
      </w:pPr>
      <w:r w:rsidRPr="00FA0D37">
        <w:t xml:space="preserve">    </w:t>
      </w:r>
      <w:r w:rsidRPr="00FA0D37">
        <w:rPr>
          <w:rFonts w:eastAsiaTheme="minorEastAsia"/>
          <w:color w:val="808080"/>
        </w:rPr>
        <w:t xml:space="preserve">-- R1 16-5c: </w:t>
      </w:r>
      <w:r w:rsidRPr="00FA0D37">
        <w:rPr>
          <w:rFonts w:eastAsia="Malgun Gothic"/>
          <w:color w:val="808080"/>
        </w:rPr>
        <w:t>The maximum number of SRS resources in one SRS resource set with usage set to 'codebook' for Mode 2</w:t>
      </w:r>
    </w:p>
    <w:p w14:paraId="0AB31975" w14:textId="12FFD96A" w:rsidR="00394471" w:rsidRPr="00FA0D37" w:rsidRDefault="00394471" w:rsidP="00FA0D37">
      <w:pPr>
        <w:pStyle w:val="PL"/>
      </w:pPr>
      <w:r w:rsidRPr="00FA0D37">
        <w:t xml:space="preserve">    ul-FullPwrMode2-MaxSRS-ResInSet</w:t>
      </w:r>
      <w:r w:rsidR="00D027C1" w:rsidRPr="00FA0D37">
        <w:t>-r16</w:t>
      </w:r>
      <w:r w:rsidRPr="00FA0D37">
        <w:t xml:space="preserve">  </w:t>
      </w:r>
      <w:r w:rsidRPr="00FA0D37">
        <w:rPr>
          <w:color w:val="993366"/>
        </w:rPr>
        <w:t>ENUMERATED</w:t>
      </w:r>
      <w:r w:rsidRPr="00FA0D37">
        <w:t xml:space="preserve"> {n1, n2, n4}                   </w:t>
      </w:r>
      <w:r w:rsidRPr="00FA0D37">
        <w:rPr>
          <w:color w:val="993366"/>
        </w:rPr>
        <w:t>OPTIONAL</w:t>
      </w:r>
      <w:r w:rsidRPr="00FA0D37">
        <w:t>,</w:t>
      </w:r>
    </w:p>
    <w:p w14:paraId="13E45900" w14:textId="77777777" w:rsidR="00394471" w:rsidRPr="00FA0D37" w:rsidRDefault="00394471" w:rsidP="00FA0D37">
      <w:pPr>
        <w:pStyle w:val="PL"/>
      </w:pPr>
    </w:p>
    <w:p w14:paraId="3A371105" w14:textId="77777777" w:rsidR="00394471" w:rsidRPr="00FA0D37" w:rsidRDefault="00394471" w:rsidP="00FA0D37">
      <w:pPr>
        <w:pStyle w:val="PL"/>
        <w:rPr>
          <w:rFonts w:eastAsia="Malgun Gothic"/>
          <w:color w:val="808080"/>
        </w:rPr>
      </w:pPr>
      <w:r w:rsidRPr="00FA0D37">
        <w:t xml:space="preserve">    </w:t>
      </w:r>
      <w:r w:rsidRPr="00FA0D37">
        <w:rPr>
          <w:rFonts w:eastAsia="Malgun Gothic"/>
          <w:color w:val="808080"/>
        </w:rPr>
        <w:t>-- R1 22-4a/4b/4c/4d: CBG based transmission for UL with unicast PUSCH(s) per slot per CC with UE processing time Capability 1</w:t>
      </w:r>
    </w:p>
    <w:p w14:paraId="6D94B33F" w14:textId="063E9AFA" w:rsidR="00394471" w:rsidRPr="00FA0D37" w:rsidRDefault="00394471" w:rsidP="00FA0D37">
      <w:pPr>
        <w:pStyle w:val="PL"/>
        <w:rPr>
          <w:rFonts w:eastAsia="Malgun Gothic"/>
        </w:rPr>
      </w:pPr>
      <w:r w:rsidRPr="00FA0D37">
        <w:t xml:space="preserve">    </w:t>
      </w:r>
      <w:r w:rsidRPr="00FA0D37">
        <w:rPr>
          <w:rFonts w:eastAsia="Malgun Gothic"/>
        </w:rPr>
        <w:t>cbgPUSCH-ProcessingType1-DifferentTB-PerSlot</w:t>
      </w:r>
      <w:r w:rsidR="00D027C1" w:rsidRPr="00FA0D37">
        <w:rPr>
          <w:rFonts w:eastAsia="Malgun Gothic"/>
        </w:rPr>
        <w:t>-r16</w:t>
      </w:r>
      <w:r w:rsidRPr="00FA0D37">
        <w:t xml:space="preserve">    </w:t>
      </w:r>
      <w:r w:rsidRPr="00FA0D37">
        <w:rPr>
          <w:rFonts w:eastAsia="Malgun Gothic"/>
          <w:color w:val="993366"/>
        </w:rPr>
        <w:t>SEQUENCE</w:t>
      </w:r>
      <w:r w:rsidRPr="00FA0D37">
        <w:rPr>
          <w:rFonts w:eastAsia="Malgun Gothic"/>
        </w:rPr>
        <w:t xml:space="preserve"> {</w:t>
      </w:r>
    </w:p>
    <w:p w14:paraId="7CAD6E32" w14:textId="69790A2D" w:rsidR="00394471" w:rsidRPr="00FA0D37" w:rsidRDefault="00394471" w:rsidP="00FA0D37">
      <w:pPr>
        <w:pStyle w:val="PL"/>
        <w:rPr>
          <w:rFonts w:eastAsia="Malgun Gothic"/>
        </w:rPr>
      </w:pPr>
      <w:r w:rsidRPr="00FA0D37">
        <w:t xml:space="preserve">        </w:t>
      </w:r>
      <w:r w:rsidRPr="00FA0D37">
        <w:rPr>
          <w:rFonts w:eastAsia="Malgun Gothic"/>
        </w:rPr>
        <w:t>scs-15kHz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{one-pusch, upto2, upto4, upto7} </w:t>
      </w:r>
      <w:r w:rsidRPr="00FA0D37">
        <w:t xml:space="preserve">              </w:t>
      </w:r>
      <w:r w:rsidRPr="00FA0D37">
        <w:rPr>
          <w:rFonts w:eastAsia="Malgun Gothic"/>
          <w:color w:val="993366"/>
        </w:rPr>
        <w:t>OPTIONAL</w:t>
      </w:r>
      <w:r w:rsidRPr="00FA0D37">
        <w:rPr>
          <w:rFonts w:eastAsia="Malgun Gothic"/>
        </w:rPr>
        <w:t>,</w:t>
      </w:r>
    </w:p>
    <w:p w14:paraId="24696D2D" w14:textId="58408616" w:rsidR="00394471" w:rsidRPr="00FA0D37" w:rsidRDefault="00394471" w:rsidP="00FA0D37">
      <w:pPr>
        <w:pStyle w:val="PL"/>
        <w:rPr>
          <w:rFonts w:eastAsia="Malgun Gothic"/>
        </w:rPr>
      </w:pPr>
      <w:r w:rsidRPr="00FA0D37">
        <w:t xml:space="preserve">        </w:t>
      </w:r>
      <w:r w:rsidRPr="00FA0D37">
        <w:rPr>
          <w:rFonts w:eastAsia="Malgun Gothic"/>
        </w:rPr>
        <w:t>scs-30kHz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{one-pusch, upto2, upto4, upto7} </w:t>
      </w:r>
      <w:r w:rsidRPr="00FA0D37">
        <w:t xml:space="preserve">              </w:t>
      </w:r>
      <w:r w:rsidRPr="00FA0D37">
        <w:rPr>
          <w:rFonts w:eastAsia="Malgun Gothic"/>
          <w:color w:val="993366"/>
        </w:rPr>
        <w:t>OPTIONAL</w:t>
      </w:r>
      <w:r w:rsidRPr="00FA0D37">
        <w:rPr>
          <w:rFonts w:eastAsia="Malgun Gothic"/>
        </w:rPr>
        <w:t>,</w:t>
      </w:r>
    </w:p>
    <w:p w14:paraId="7B8E184F" w14:textId="25058670" w:rsidR="00394471" w:rsidRPr="00FA0D37" w:rsidRDefault="00394471" w:rsidP="00FA0D37">
      <w:pPr>
        <w:pStyle w:val="PL"/>
        <w:rPr>
          <w:rFonts w:eastAsia="Malgun Gothic"/>
        </w:rPr>
      </w:pPr>
      <w:r w:rsidRPr="00FA0D37">
        <w:t xml:space="preserve">        </w:t>
      </w:r>
      <w:r w:rsidRPr="00FA0D37">
        <w:rPr>
          <w:rFonts w:eastAsia="Malgun Gothic"/>
        </w:rPr>
        <w:t>scs-60kHz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{one-pusch, upto2, upto4, upto7} </w:t>
      </w:r>
      <w:r w:rsidRPr="00FA0D37">
        <w:t xml:space="preserve">              </w:t>
      </w:r>
      <w:r w:rsidRPr="00FA0D37">
        <w:rPr>
          <w:rFonts w:eastAsia="Malgun Gothic"/>
          <w:color w:val="993366"/>
        </w:rPr>
        <w:t>OPTIONAL</w:t>
      </w:r>
      <w:r w:rsidRPr="00FA0D37">
        <w:rPr>
          <w:rFonts w:eastAsia="Malgun Gothic"/>
        </w:rPr>
        <w:t>,</w:t>
      </w:r>
    </w:p>
    <w:p w14:paraId="15477B0C" w14:textId="5712FC61" w:rsidR="00394471" w:rsidRPr="00FA0D37" w:rsidRDefault="00394471" w:rsidP="00FA0D37">
      <w:pPr>
        <w:pStyle w:val="PL"/>
        <w:rPr>
          <w:rFonts w:eastAsia="Malgun Gothic"/>
        </w:rPr>
      </w:pPr>
      <w:r w:rsidRPr="00FA0D37">
        <w:t xml:space="preserve">        </w:t>
      </w:r>
      <w:r w:rsidRPr="00FA0D37">
        <w:rPr>
          <w:rFonts w:eastAsia="Malgun Gothic"/>
        </w:rPr>
        <w:t>scs-120kHz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{one-pusch, upto2, upto4, upto7} </w:t>
      </w:r>
      <w:r w:rsidRPr="00FA0D37">
        <w:t xml:space="preserve">              </w:t>
      </w:r>
      <w:r w:rsidRPr="00FA0D37">
        <w:rPr>
          <w:rFonts w:eastAsia="Malgun Gothic"/>
          <w:color w:val="993366"/>
        </w:rPr>
        <w:t>OPTIONAL</w:t>
      </w:r>
    </w:p>
    <w:p w14:paraId="72484802" w14:textId="77777777" w:rsidR="00394471" w:rsidRPr="00FA0D37" w:rsidRDefault="00394471" w:rsidP="00FA0D37">
      <w:pPr>
        <w:pStyle w:val="PL"/>
      </w:pPr>
      <w:r w:rsidRPr="00FA0D37">
        <w:rPr>
          <w:rFonts w:eastAsia="Malgun Gothic"/>
        </w:rPr>
        <w:t xml:space="preserve">     } </w:t>
      </w:r>
      <w:r w:rsidRPr="00FA0D37">
        <w:rPr>
          <w:rFonts w:eastAsia="Malgun Gothic"/>
          <w:color w:val="993366"/>
        </w:rPr>
        <w:t>OPTIONAL</w:t>
      </w:r>
      <w:r w:rsidRPr="00FA0D37">
        <w:rPr>
          <w:rFonts w:eastAsia="Malgun Gothic"/>
        </w:rPr>
        <w:t>,</w:t>
      </w:r>
    </w:p>
    <w:p w14:paraId="59FF6DF6" w14:textId="77777777" w:rsidR="00394471" w:rsidRPr="00FA0D37" w:rsidRDefault="00394471" w:rsidP="00FA0D37">
      <w:pPr>
        <w:pStyle w:val="PL"/>
      </w:pPr>
    </w:p>
    <w:p w14:paraId="372A4C50" w14:textId="77777777" w:rsidR="00394471" w:rsidRPr="00FA0D37" w:rsidRDefault="00394471" w:rsidP="00FA0D37">
      <w:pPr>
        <w:pStyle w:val="PL"/>
        <w:rPr>
          <w:rFonts w:eastAsia="Malgun Gothic"/>
          <w:color w:val="808080"/>
        </w:rPr>
      </w:pPr>
      <w:r w:rsidRPr="00FA0D37">
        <w:t xml:space="preserve">    </w:t>
      </w:r>
      <w:r w:rsidRPr="00FA0D37">
        <w:rPr>
          <w:rFonts w:eastAsia="Malgun Gothic"/>
          <w:color w:val="808080"/>
        </w:rPr>
        <w:t>-- R1 22-3a/3b/3c/3d: CBG based transmission for UL with unicast PUSCH(s) per slot per CC with UE processing time Capability 2</w:t>
      </w:r>
    </w:p>
    <w:p w14:paraId="6CBE59A6" w14:textId="595444A3" w:rsidR="00394471" w:rsidRPr="00FA0D37" w:rsidRDefault="00394471" w:rsidP="00FA0D37">
      <w:pPr>
        <w:pStyle w:val="PL"/>
        <w:rPr>
          <w:rFonts w:eastAsia="Malgun Gothic"/>
        </w:rPr>
      </w:pPr>
      <w:r w:rsidRPr="00FA0D37">
        <w:t xml:space="preserve">    </w:t>
      </w:r>
      <w:r w:rsidRPr="00FA0D37">
        <w:rPr>
          <w:rFonts w:eastAsia="Malgun Gothic"/>
        </w:rPr>
        <w:t>cbgPUSCH-ProcessingType2-DifferentTB-PerSlot</w:t>
      </w:r>
      <w:r w:rsidR="00D027C1" w:rsidRPr="00FA0D37">
        <w:rPr>
          <w:rFonts w:eastAsia="Malgun Gothic"/>
        </w:rPr>
        <w:t>-r16</w:t>
      </w:r>
      <w:r w:rsidRPr="00FA0D37">
        <w:t xml:space="preserve">    </w:t>
      </w:r>
      <w:r w:rsidRPr="00FA0D37">
        <w:rPr>
          <w:rFonts w:eastAsia="Malgun Gothic"/>
          <w:color w:val="993366"/>
        </w:rPr>
        <w:t>SEQUENCE</w:t>
      </w:r>
      <w:r w:rsidRPr="00FA0D37">
        <w:rPr>
          <w:rFonts w:eastAsia="Malgun Gothic"/>
        </w:rPr>
        <w:t xml:space="preserve"> {</w:t>
      </w:r>
    </w:p>
    <w:p w14:paraId="5D82252C" w14:textId="5A8E02E5" w:rsidR="00394471" w:rsidRPr="00FA0D37" w:rsidRDefault="00394471" w:rsidP="00FA0D37">
      <w:pPr>
        <w:pStyle w:val="PL"/>
        <w:rPr>
          <w:rFonts w:eastAsia="Malgun Gothic"/>
        </w:rPr>
      </w:pPr>
      <w:r w:rsidRPr="00FA0D37">
        <w:t xml:space="preserve">        </w:t>
      </w:r>
      <w:r w:rsidRPr="00FA0D37">
        <w:rPr>
          <w:rFonts w:eastAsia="Malgun Gothic"/>
        </w:rPr>
        <w:t>scs-15kHz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{one-pusch, upto2, upto4, upto7} </w:t>
      </w:r>
      <w:r w:rsidRPr="00FA0D37">
        <w:t xml:space="preserve">              </w:t>
      </w:r>
      <w:r w:rsidRPr="00FA0D37">
        <w:rPr>
          <w:rFonts w:eastAsia="Malgun Gothic"/>
          <w:color w:val="993366"/>
        </w:rPr>
        <w:t>OPTIONAL</w:t>
      </w:r>
      <w:r w:rsidRPr="00FA0D37">
        <w:rPr>
          <w:rFonts w:eastAsia="Malgun Gothic"/>
        </w:rPr>
        <w:t>,</w:t>
      </w:r>
    </w:p>
    <w:p w14:paraId="64D8EA2A" w14:textId="1448B590" w:rsidR="00394471" w:rsidRPr="00FA0D37" w:rsidRDefault="00394471" w:rsidP="00FA0D37">
      <w:pPr>
        <w:pStyle w:val="PL"/>
        <w:rPr>
          <w:rFonts w:eastAsia="Malgun Gothic"/>
        </w:rPr>
      </w:pPr>
      <w:r w:rsidRPr="00FA0D37">
        <w:t xml:space="preserve">        </w:t>
      </w:r>
      <w:r w:rsidRPr="00FA0D37">
        <w:rPr>
          <w:rFonts w:eastAsia="Malgun Gothic"/>
        </w:rPr>
        <w:t>scs-30kHz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{one-pusch, upto2, upto4, upto7} </w:t>
      </w:r>
      <w:r w:rsidRPr="00FA0D37">
        <w:t xml:space="preserve">              </w:t>
      </w:r>
      <w:r w:rsidRPr="00FA0D37">
        <w:rPr>
          <w:rFonts w:eastAsia="Malgun Gothic"/>
          <w:color w:val="993366"/>
        </w:rPr>
        <w:t>OPTIONAL</w:t>
      </w:r>
      <w:r w:rsidRPr="00FA0D37">
        <w:rPr>
          <w:rFonts w:eastAsia="Malgun Gothic"/>
        </w:rPr>
        <w:t>,</w:t>
      </w:r>
    </w:p>
    <w:p w14:paraId="709C3DA6" w14:textId="64346375" w:rsidR="00394471" w:rsidRPr="00FA0D37" w:rsidRDefault="00394471" w:rsidP="00FA0D37">
      <w:pPr>
        <w:pStyle w:val="PL"/>
        <w:rPr>
          <w:rFonts w:eastAsia="Malgun Gothic"/>
        </w:rPr>
      </w:pPr>
      <w:r w:rsidRPr="00FA0D37">
        <w:t xml:space="preserve">        </w:t>
      </w:r>
      <w:r w:rsidRPr="00FA0D37">
        <w:rPr>
          <w:rFonts w:eastAsia="Malgun Gothic"/>
        </w:rPr>
        <w:t>scs-60kHz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{one-pusch, upto2, upto4, upto7} </w:t>
      </w:r>
      <w:r w:rsidRPr="00FA0D37">
        <w:t xml:space="preserve">              </w:t>
      </w:r>
      <w:r w:rsidRPr="00FA0D37">
        <w:rPr>
          <w:rFonts w:eastAsia="Malgun Gothic"/>
          <w:color w:val="993366"/>
        </w:rPr>
        <w:t>OPTIONAL</w:t>
      </w:r>
      <w:r w:rsidRPr="00FA0D37">
        <w:rPr>
          <w:rFonts w:eastAsia="Malgun Gothic"/>
        </w:rPr>
        <w:t>,</w:t>
      </w:r>
    </w:p>
    <w:p w14:paraId="34F5F4D4" w14:textId="301D5BD8" w:rsidR="00394471" w:rsidRPr="00FA0D37" w:rsidRDefault="00394471" w:rsidP="00FA0D37">
      <w:pPr>
        <w:pStyle w:val="PL"/>
        <w:rPr>
          <w:rFonts w:eastAsia="Malgun Gothic"/>
        </w:rPr>
      </w:pPr>
      <w:r w:rsidRPr="00FA0D37">
        <w:t xml:space="preserve">        </w:t>
      </w:r>
      <w:r w:rsidRPr="00FA0D37">
        <w:rPr>
          <w:rFonts w:eastAsia="Malgun Gothic"/>
        </w:rPr>
        <w:t>scs-120kHz</w:t>
      </w:r>
      <w:r w:rsidR="00D027C1" w:rsidRPr="00FA0D37">
        <w:rPr>
          <w:rFonts w:eastAsia="Malgun Gothic"/>
        </w:rPr>
        <w:t>-r16</w:t>
      </w:r>
      <w:r w:rsidRPr="00FA0D37">
        <w:t xml:space="preserve">       </w:t>
      </w:r>
      <w:r w:rsidRPr="00FA0D37">
        <w:rPr>
          <w:rFonts w:eastAsia="Malgun Gothic"/>
          <w:color w:val="993366"/>
        </w:rPr>
        <w:t>ENUMERATED</w:t>
      </w:r>
      <w:r w:rsidRPr="00FA0D37">
        <w:rPr>
          <w:rFonts w:eastAsia="Malgun Gothic"/>
        </w:rPr>
        <w:t xml:space="preserve"> {one-pusch, upto2, upto4, upto7} </w:t>
      </w:r>
      <w:r w:rsidRPr="00FA0D37">
        <w:t xml:space="preserve">              </w:t>
      </w:r>
      <w:r w:rsidRPr="00FA0D37">
        <w:rPr>
          <w:rFonts w:eastAsia="Malgun Gothic"/>
          <w:color w:val="993366"/>
        </w:rPr>
        <w:t>OPTIONAL</w:t>
      </w:r>
    </w:p>
    <w:p w14:paraId="5ABE35AA" w14:textId="77777777" w:rsidR="00394471" w:rsidRPr="00FA0D37" w:rsidRDefault="00394471" w:rsidP="00FA0D37">
      <w:pPr>
        <w:pStyle w:val="PL"/>
        <w:rPr>
          <w:rFonts w:eastAsia="Malgun Gothic"/>
        </w:rPr>
      </w:pPr>
      <w:r w:rsidRPr="00FA0D37">
        <w:rPr>
          <w:rFonts w:eastAsia="Malgun Gothic"/>
        </w:rPr>
        <w:t xml:space="preserve">     } </w:t>
      </w:r>
      <w:r w:rsidRPr="00FA0D37">
        <w:rPr>
          <w:rFonts w:eastAsia="Malgun Gothic"/>
          <w:color w:val="993366"/>
        </w:rPr>
        <w:t>OPTIONAL</w:t>
      </w:r>
      <w:r w:rsidRPr="00FA0D37">
        <w:rPr>
          <w:rFonts w:eastAsia="Malgun Gothic"/>
        </w:rPr>
        <w:t>,</w:t>
      </w:r>
    </w:p>
    <w:p w14:paraId="4E1DB3FE" w14:textId="77777777" w:rsidR="00394471" w:rsidRPr="00FA0D37" w:rsidRDefault="00394471" w:rsidP="00FA0D37">
      <w:pPr>
        <w:pStyle w:val="PL"/>
      </w:pPr>
      <w:r w:rsidRPr="00FA0D37">
        <w:t xml:space="preserve">    supportedSRS-PosResources-r16              SRS-AllPosResources-r16             </w:t>
      </w:r>
      <w:r w:rsidRPr="00FA0D37">
        <w:rPr>
          <w:color w:val="993366"/>
        </w:rPr>
        <w:t>OPTIONAL</w:t>
      </w:r>
      <w:r w:rsidRPr="00FA0D37">
        <w:t>,</w:t>
      </w:r>
    </w:p>
    <w:p w14:paraId="648EED10" w14:textId="77777777" w:rsidR="00394471" w:rsidRPr="00FA0D37" w:rsidRDefault="00394471" w:rsidP="00FA0D37">
      <w:pPr>
        <w:pStyle w:val="PL"/>
      </w:pPr>
      <w:r w:rsidRPr="00FA0D37">
        <w:t xml:space="preserve">    intraFreqDAPS-UL-r16                             </w:t>
      </w:r>
      <w:r w:rsidRPr="00FA0D37">
        <w:rPr>
          <w:color w:val="993366"/>
        </w:rPr>
        <w:t>SEQUENCE</w:t>
      </w:r>
      <w:r w:rsidRPr="00FA0D37">
        <w:t xml:space="preserve"> {</w:t>
      </w:r>
    </w:p>
    <w:p w14:paraId="5A297E30" w14:textId="40E5B05D" w:rsidR="00394471" w:rsidRPr="00FA0D37" w:rsidRDefault="00394471" w:rsidP="00FA0D37">
      <w:pPr>
        <w:pStyle w:val="PL"/>
      </w:pPr>
      <w:r w:rsidRPr="00FA0D37">
        <w:t xml:space="preserve">        </w:t>
      </w:r>
      <w:r w:rsidR="00A35872" w:rsidRPr="00FA0D37">
        <w:t>dummy</w:t>
      </w:r>
      <w:r w:rsidRPr="00FA0D37">
        <w:t xml:space="preserve">            </w:t>
      </w:r>
      <w:r w:rsidR="00A35872" w:rsidRPr="00FA0D37">
        <w:t xml:space="preserve">                                </w:t>
      </w:r>
      <w:r w:rsidRPr="00FA0D37">
        <w:rPr>
          <w:color w:val="993366"/>
        </w:rPr>
        <w:t>ENUMERATED</w:t>
      </w:r>
      <w:r w:rsidRPr="00FA0D37">
        <w:t xml:space="preserve"> {supported}    </w:t>
      </w:r>
      <w:r w:rsidRPr="00FA0D37">
        <w:rPr>
          <w:color w:val="993366"/>
        </w:rPr>
        <w:t>OPTIONAL</w:t>
      </w:r>
      <w:r w:rsidRPr="00FA0D37">
        <w:t>,</w:t>
      </w:r>
    </w:p>
    <w:p w14:paraId="04DAEF8D" w14:textId="77777777" w:rsidR="00394471" w:rsidRPr="00FA0D37" w:rsidRDefault="00394471" w:rsidP="00FA0D37">
      <w:pPr>
        <w:pStyle w:val="PL"/>
      </w:pPr>
      <w:r w:rsidRPr="00FA0D37">
        <w:t xml:space="preserve">        intraFreqTwoTAGs-DAPS-r16                        </w:t>
      </w:r>
      <w:r w:rsidRPr="00FA0D37">
        <w:rPr>
          <w:color w:val="993366"/>
        </w:rPr>
        <w:t>ENUMERATED</w:t>
      </w:r>
      <w:r w:rsidRPr="00FA0D37">
        <w:t xml:space="preserve"> {supported}    </w:t>
      </w:r>
      <w:r w:rsidRPr="00FA0D37">
        <w:rPr>
          <w:color w:val="993366"/>
        </w:rPr>
        <w:t>OPTIONAL</w:t>
      </w:r>
      <w:r w:rsidRPr="00FA0D37">
        <w:t>,</w:t>
      </w:r>
    </w:p>
    <w:p w14:paraId="5E24AE37" w14:textId="46ABAFA9" w:rsidR="00394471" w:rsidRPr="00FA0D37" w:rsidRDefault="00394471" w:rsidP="00FA0D37">
      <w:pPr>
        <w:pStyle w:val="PL"/>
      </w:pPr>
      <w:r w:rsidRPr="00FA0D37">
        <w:t xml:space="preserve">        </w:t>
      </w:r>
      <w:r w:rsidR="00D12CC0" w:rsidRPr="00FA0D37">
        <w:t>dummy1</w:t>
      </w:r>
      <w:r w:rsidRPr="00FA0D37">
        <w:t xml:space="preserve">    </w:t>
      </w:r>
      <w:r w:rsidR="00D12CC0" w:rsidRPr="00FA0D37">
        <w:t xml:space="preserve">                                       </w:t>
      </w:r>
      <w:r w:rsidRPr="00FA0D37">
        <w:rPr>
          <w:color w:val="993366"/>
        </w:rPr>
        <w:t>ENUMERATED</w:t>
      </w:r>
      <w:r w:rsidRPr="00FA0D37">
        <w:t xml:space="preserve"> {supported}    </w:t>
      </w:r>
      <w:r w:rsidRPr="00FA0D37">
        <w:rPr>
          <w:color w:val="993366"/>
        </w:rPr>
        <w:t>OPTIONAL</w:t>
      </w:r>
      <w:r w:rsidRPr="00FA0D37">
        <w:t>,</w:t>
      </w:r>
    </w:p>
    <w:p w14:paraId="403C6473" w14:textId="6E7F680A" w:rsidR="00394471" w:rsidRPr="00FA0D37" w:rsidRDefault="00394471" w:rsidP="00FA0D37">
      <w:pPr>
        <w:pStyle w:val="PL"/>
      </w:pPr>
      <w:r w:rsidRPr="00FA0D37">
        <w:t xml:space="preserve">        </w:t>
      </w:r>
      <w:r w:rsidR="00D12CC0" w:rsidRPr="00FA0D37">
        <w:t>dummy2</w:t>
      </w:r>
      <w:r w:rsidRPr="00FA0D37">
        <w:t xml:space="preserve">    </w:t>
      </w:r>
      <w:r w:rsidR="00D12CC0" w:rsidRPr="00FA0D37">
        <w:t xml:space="preserve">                                       </w:t>
      </w:r>
      <w:r w:rsidRPr="00FA0D37">
        <w:rPr>
          <w:color w:val="993366"/>
        </w:rPr>
        <w:t>ENUMERATED</w:t>
      </w:r>
      <w:r w:rsidRPr="00FA0D37">
        <w:t xml:space="preserve"> {supported}    </w:t>
      </w:r>
      <w:r w:rsidRPr="00FA0D37">
        <w:rPr>
          <w:color w:val="993366"/>
        </w:rPr>
        <w:t>OPTIONAL</w:t>
      </w:r>
      <w:r w:rsidRPr="00FA0D37">
        <w:t>,</w:t>
      </w:r>
    </w:p>
    <w:p w14:paraId="67E65BE7" w14:textId="28C730C2" w:rsidR="00394471" w:rsidRPr="00FA0D37" w:rsidRDefault="00394471" w:rsidP="00FA0D37">
      <w:pPr>
        <w:pStyle w:val="PL"/>
      </w:pPr>
      <w:r w:rsidRPr="00FA0D37">
        <w:t xml:space="preserve">        </w:t>
      </w:r>
      <w:r w:rsidR="00D12CC0" w:rsidRPr="00FA0D37">
        <w:t>dummy3</w:t>
      </w:r>
      <w:r w:rsidRPr="00FA0D37">
        <w:t xml:space="preserve">             </w:t>
      </w:r>
      <w:r w:rsidR="00D12CC0" w:rsidRPr="00FA0D37">
        <w:t xml:space="preserve">                              </w:t>
      </w:r>
      <w:r w:rsidRPr="00FA0D37">
        <w:rPr>
          <w:color w:val="993366"/>
        </w:rPr>
        <w:t>ENUMERATED</w:t>
      </w:r>
      <w:r w:rsidRPr="00FA0D37">
        <w:t xml:space="preserve"> {short, long}  </w:t>
      </w:r>
      <w:r w:rsidRPr="00FA0D37">
        <w:rPr>
          <w:color w:val="993366"/>
        </w:rPr>
        <w:t>OPTIONAL</w:t>
      </w:r>
    </w:p>
    <w:p w14:paraId="0B609BBE" w14:textId="77777777" w:rsidR="00394471" w:rsidRPr="00FA0D37" w:rsidRDefault="00394471" w:rsidP="00FA0D37">
      <w:pPr>
        <w:pStyle w:val="PL"/>
      </w:pPr>
      <w:r w:rsidRPr="00FA0D37">
        <w:t xml:space="preserve">    }                                                                              </w:t>
      </w:r>
      <w:r w:rsidRPr="00FA0D37">
        <w:rPr>
          <w:color w:val="993366"/>
        </w:rPr>
        <w:t>OPTIONAL</w:t>
      </w:r>
      <w:r w:rsidRPr="00FA0D37">
        <w:t>,</w:t>
      </w:r>
    </w:p>
    <w:p w14:paraId="14436DF1" w14:textId="77777777" w:rsidR="00394471" w:rsidRPr="00FA0D37" w:rsidRDefault="00394471" w:rsidP="00FA0D37">
      <w:pPr>
        <w:pStyle w:val="PL"/>
      </w:pPr>
      <w:r w:rsidRPr="00FA0D37">
        <w:t xml:space="preserve">    intraBandFreqSeparationUL-v1620                  FreqSeparationClassUL-v1620   </w:t>
      </w:r>
      <w:r w:rsidRPr="00FA0D37">
        <w:rPr>
          <w:color w:val="993366"/>
        </w:rPr>
        <w:t>OPTIONAL</w:t>
      </w:r>
      <w:r w:rsidRPr="00FA0D37">
        <w:t>,</w:t>
      </w:r>
    </w:p>
    <w:p w14:paraId="79DD6694" w14:textId="77777777" w:rsidR="00394471" w:rsidRPr="00FA0D37" w:rsidRDefault="00394471" w:rsidP="00FA0D37">
      <w:pPr>
        <w:pStyle w:val="PL"/>
      </w:pPr>
    </w:p>
    <w:p w14:paraId="3DB5262A" w14:textId="77777777" w:rsidR="00394471" w:rsidRPr="00FA0D37" w:rsidRDefault="00394471" w:rsidP="00FA0D37">
      <w:pPr>
        <w:pStyle w:val="PL"/>
        <w:rPr>
          <w:color w:val="808080"/>
        </w:rPr>
      </w:pPr>
      <w:r w:rsidRPr="00FA0D37">
        <w:t xml:space="preserve">    </w:t>
      </w:r>
      <w:r w:rsidRPr="00FA0D37">
        <w:rPr>
          <w:color w:val="808080"/>
        </w:rPr>
        <w:t>-- R1 11-3: More than one PUCCH for HARQ-ACK transmission within a slot</w:t>
      </w:r>
    </w:p>
    <w:p w14:paraId="6985F066" w14:textId="77777777" w:rsidR="00394471" w:rsidRPr="00FA0D37" w:rsidRDefault="00394471" w:rsidP="00FA0D37">
      <w:pPr>
        <w:pStyle w:val="PL"/>
      </w:pPr>
      <w:r w:rsidRPr="00FA0D37">
        <w:t xml:space="preserve">    multiPUCCH-r16                        </w:t>
      </w:r>
      <w:r w:rsidRPr="00FA0D37">
        <w:rPr>
          <w:color w:val="993366"/>
        </w:rPr>
        <w:t>SEQUENCE</w:t>
      </w:r>
      <w:r w:rsidRPr="00FA0D37">
        <w:t xml:space="preserve"> {</w:t>
      </w:r>
    </w:p>
    <w:p w14:paraId="52645C69" w14:textId="77777777" w:rsidR="00394471" w:rsidRPr="00FA0D37" w:rsidRDefault="00394471" w:rsidP="00FA0D37">
      <w:pPr>
        <w:pStyle w:val="PL"/>
      </w:pPr>
      <w:r w:rsidRPr="00FA0D37">
        <w:t xml:space="preserve">        sub-SlotConfig-NCP-r16                </w:t>
      </w:r>
      <w:r w:rsidRPr="00FA0D37">
        <w:rPr>
          <w:color w:val="993366"/>
        </w:rPr>
        <w:t>ENUMERATED</w:t>
      </w:r>
      <w:r w:rsidRPr="00FA0D37">
        <w:t xml:space="preserve"> {set1, set2}              </w:t>
      </w:r>
      <w:r w:rsidRPr="00FA0D37">
        <w:rPr>
          <w:color w:val="993366"/>
        </w:rPr>
        <w:t>OPTIONAL</w:t>
      </w:r>
      <w:r w:rsidRPr="00FA0D37">
        <w:t>,</w:t>
      </w:r>
    </w:p>
    <w:p w14:paraId="6F39FC70" w14:textId="77777777" w:rsidR="00394471" w:rsidRPr="00FA0D37" w:rsidRDefault="00394471" w:rsidP="00FA0D37">
      <w:pPr>
        <w:pStyle w:val="PL"/>
      </w:pPr>
      <w:r w:rsidRPr="00FA0D37">
        <w:t xml:space="preserve">        sub-SlotConfig-ECP-r16                </w:t>
      </w:r>
      <w:r w:rsidRPr="00FA0D37">
        <w:rPr>
          <w:color w:val="993366"/>
        </w:rPr>
        <w:t>ENUMERATED</w:t>
      </w:r>
      <w:r w:rsidRPr="00FA0D37">
        <w:t xml:space="preserve"> {set1, set2}              </w:t>
      </w:r>
      <w:r w:rsidRPr="00FA0D37">
        <w:rPr>
          <w:color w:val="993366"/>
        </w:rPr>
        <w:t>OPTIONAL</w:t>
      </w:r>
    </w:p>
    <w:p w14:paraId="1E963BCB" w14:textId="77777777" w:rsidR="00394471" w:rsidRPr="00FA0D37" w:rsidRDefault="00394471" w:rsidP="00FA0D37">
      <w:pPr>
        <w:pStyle w:val="PL"/>
      </w:pPr>
      <w:r w:rsidRPr="00FA0D37">
        <w:t xml:space="preserve">    }                                                                              </w:t>
      </w:r>
      <w:r w:rsidRPr="00FA0D37">
        <w:rPr>
          <w:color w:val="993366"/>
        </w:rPr>
        <w:t>OPTIONAL</w:t>
      </w:r>
      <w:r w:rsidRPr="00FA0D37">
        <w:t>,</w:t>
      </w:r>
    </w:p>
    <w:p w14:paraId="04808BD4" w14:textId="77777777" w:rsidR="00394471" w:rsidRPr="00FA0D37" w:rsidRDefault="00394471" w:rsidP="00FA0D37">
      <w:pPr>
        <w:pStyle w:val="PL"/>
        <w:rPr>
          <w:color w:val="808080"/>
        </w:rPr>
      </w:pPr>
      <w:r w:rsidRPr="00FA0D37">
        <w:t xml:space="preserve">    </w:t>
      </w:r>
      <w:r w:rsidRPr="00FA0D37">
        <w:rPr>
          <w:color w:val="808080"/>
        </w:rPr>
        <w:t>-- R1 11-3c: 2 PUCCH of format 0 or 2 for a single 7*2-symbol subslot based HARQ-ACK codebook</w:t>
      </w:r>
    </w:p>
    <w:p w14:paraId="5280F684" w14:textId="77777777" w:rsidR="00394471" w:rsidRPr="00FA0D37" w:rsidRDefault="00394471" w:rsidP="00FA0D37">
      <w:pPr>
        <w:pStyle w:val="PL"/>
      </w:pPr>
      <w:r w:rsidRPr="00FA0D37">
        <w:t xml:space="preserve">    twoPUCCH-Type1-r16                    </w:t>
      </w:r>
      <w:r w:rsidRPr="00FA0D37">
        <w:rPr>
          <w:color w:val="993366"/>
        </w:rPr>
        <w:t>ENUMERATED</w:t>
      </w:r>
      <w:r w:rsidRPr="00FA0D37">
        <w:t xml:space="preserve"> {supported}                   </w:t>
      </w:r>
      <w:r w:rsidRPr="00FA0D37">
        <w:rPr>
          <w:color w:val="993366"/>
        </w:rPr>
        <w:t>OPTIONAL</w:t>
      </w:r>
      <w:r w:rsidRPr="00FA0D37">
        <w:t>,</w:t>
      </w:r>
    </w:p>
    <w:p w14:paraId="387E1021" w14:textId="77777777" w:rsidR="00394471" w:rsidRPr="00FA0D37" w:rsidRDefault="00394471" w:rsidP="00FA0D37">
      <w:pPr>
        <w:pStyle w:val="PL"/>
        <w:rPr>
          <w:color w:val="808080"/>
        </w:rPr>
      </w:pPr>
      <w:r w:rsidRPr="00FA0D37">
        <w:t xml:space="preserve">    </w:t>
      </w:r>
      <w:r w:rsidRPr="00FA0D37">
        <w:rPr>
          <w:color w:val="808080"/>
        </w:rPr>
        <w:t>-- R1 11-3d: 2 PUCCH of format 0 or 2 for a single 2*7-symbol subslot based HARQ-ACK codebook</w:t>
      </w:r>
    </w:p>
    <w:p w14:paraId="573D8439" w14:textId="77777777" w:rsidR="00394471" w:rsidRPr="00FA0D37" w:rsidRDefault="00394471" w:rsidP="00FA0D37">
      <w:pPr>
        <w:pStyle w:val="PL"/>
      </w:pPr>
      <w:r w:rsidRPr="00FA0D37">
        <w:t xml:space="preserve">    twoPUCCH-Type2-r16                    </w:t>
      </w:r>
      <w:r w:rsidRPr="00FA0D37">
        <w:rPr>
          <w:color w:val="993366"/>
        </w:rPr>
        <w:t>ENUMERATED</w:t>
      </w:r>
      <w:r w:rsidRPr="00FA0D37">
        <w:t xml:space="preserve"> {supported}                   </w:t>
      </w:r>
      <w:r w:rsidRPr="00FA0D37">
        <w:rPr>
          <w:color w:val="993366"/>
        </w:rPr>
        <w:t>OPTIONAL</w:t>
      </w:r>
      <w:r w:rsidRPr="00FA0D37">
        <w:t>,</w:t>
      </w:r>
    </w:p>
    <w:p w14:paraId="6E066E6C" w14:textId="77777777" w:rsidR="00394471" w:rsidRPr="00FA0D37" w:rsidRDefault="00394471" w:rsidP="00FA0D37">
      <w:pPr>
        <w:pStyle w:val="PL"/>
        <w:rPr>
          <w:color w:val="808080"/>
        </w:rPr>
      </w:pPr>
      <w:r w:rsidRPr="00FA0D37">
        <w:lastRenderedPageBreak/>
        <w:t xml:space="preserve">    </w:t>
      </w:r>
      <w:r w:rsidRPr="00FA0D37">
        <w:rPr>
          <w:color w:val="808080"/>
        </w:rPr>
        <w:t>-- R1 11-3e: 1 PUCCH format 0 or 2 and 1 PUCCH format 1, 3 or 4 in the same subslot for a single 2*7-symbol HARQ-ACK codebooks</w:t>
      </w:r>
    </w:p>
    <w:p w14:paraId="07C71EC6" w14:textId="77777777" w:rsidR="00394471" w:rsidRPr="00FA0D37" w:rsidRDefault="00394471" w:rsidP="00FA0D37">
      <w:pPr>
        <w:pStyle w:val="PL"/>
      </w:pPr>
      <w:r w:rsidRPr="00FA0D37">
        <w:t xml:space="preserve">    twoPUCCH-Type3-r16                    </w:t>
      </w:r>
      <w:r w:rsidRPr="00FA0D37">
        <w:rPr>
          <w:color w:val="993366"/>
        </w:rPr>
        <w:t>ENUMERATED</w:t>
      </w:r>
      <w:r w:rsidRPr="00FA0D37">
        <w:t xml:space="preserve"> {supported}                   </w:t>
      </w:r>
      <w:r w:rsidRPr="00FA0D37">
        <w:rPr>
          <w:color w:val="993366"/>
        </w:rPr>
        <w:t>OPTIONAL</w:t>
      </w:r>
      <w:r w:rsidRPr="00FA0D37">
        <w:t>,</w:t>
      </w:r>
    </w:p>
    <w:p w14:paraId="7CF43704" w14:textId="77777777" w:rsidR="00394471" w:rsidRPr="00FA0D37" w:rsidRDefault="00394471" w:rsidP="00FA0D37">
      <w:pPr>
        <w:pStyle w:val="PL"/>
        <w:rPr>
          <w:color w:val="808080"/>
        </w:rPr>
      </w:pPr>
      <w:r w:rsidRPr="00FA0D37">
        <w:t xml:space="preserve">    </w:t>
      </w:r>
      <w:r w:rsidRPr="00FA0D37">
        <w:rPr>
          <w:color w:val="808080"/>
        </w:rPr>
        <w:t>-- R1 11-3f: 2 PUCCH transmissions in the same subslot for a single 2*7-symbol HARQ-ACK codebooks which are not covered by 11-3d and</w:t>
      </w:r>
    </w:p>
    <w:p w14:paraId="3FEF9149" w14:textId="77777777" w:rsidR="00394471" w:rsidRPr="00FA0D37" w:rsidRDefault="00394471" w:rsidP="00FA0D37">
      <w:pPr>
        <w:pStyle w:val="PL"/>
        <w:rPr>
          <w:color w:val="808080"/>
        </w:rPr>
      </w:pPr>
      <w:r w:rsidRPr="00FA0D37">
        <w:t xml:space="preserve">    </w:t>
      </w:r>
      <w:r w:rsidRPr="00FA0D37">
        <w:rPr>
          <w:color w:val="808080"/>
        </w:rPr>
        <w:t>-- 11-3e</w:t>
      </w:r>
    </w:p>
    <w:p w14:paraId="64A568AC" w14:textId="77777777" w:rsidR="00394471" w:rsidRPr="00FA0D37" w:rsidRDefault="00394471" w:rsidP="00FA0D37">
      <w:pPr>
        <w:pStyle w:val="PL"/>
      </w:pPr>
      <w:r w:rsidRPr="00FA0D37">
        <w:t xml:space="preserve">    twoPUCCH-Type4-r16                    </w:t>
      </w:r>
      <w:r w:rsidRPr="00FA0D37">
        <w:rPr>
          <w:color w:val="993366"/>
        </w:rPr>
        <w:t>ENUMERATED</w:t>
      </w:r>
      <w:r w:rsidRPr="00FA0D37">
        <w:t xml:space="preserve"> {supported}                   </w:t>
      </w:r>
      <w:r w:rsidRPr="00FA0D37">
        <w:rPr>
          <w:color w:val="993366"/>
        </w:rPr>
        <w:t>OPTIONAL</w:t>
      </w:r>
      <w:r w:rsidRPr="00FA0D37">
        <w:t>,</w:t>
      </w:r>
    </w:p>
    <w:p w14:paraId="38AD6F71" w14:textId="7C446549" w:rsidR="00394471" w:rsidRPr="00FA0D37" w:rsidRDefault="00394471" w:rsidP="00FA0D37">
      <w:pPr>
        <w:pStyle w:val="PL"/>
        <w:rPr>
          <w:color w:val="808080"/>
        </w:rPr>
      </w:pPr>
      <w:r w:rsidRPr="00FA0D37">
        <w:t xml:space="preserve">    </w:t>
      </w:r>
      <w:r w:rsidRPr="00FA0D37">
        <w:rPr>
          <w:color w:val="808080"/>
        </w:rPr>
        <w:t>-- R1 11-3g: SR/HARQ-ACK multiplexing once per subslot using a PUCCH (or HARQ-ACK piggybacked on a PUSCH) when SR/HARQ-ACK</w:t>
      </w:r>
    </w:p>
    <w:p w14:paraId="70991D89" w14:textId="77777777" w:rsidR="00394471" w:rsidRPr="00FA0D37" w:rsidRDefault="00394471" w:rsidP="00FA0D37">
      <w:pPr>
        <w:pStyle w:val="PL"/>
        <w:rPr>
          <w:color w:val="808080"/>
        </w:rPr>
      </w:pPr>
      <w:r w:rsidRPr="00FA0D37">
        <w:t xml:space="preserve">    </w:t>
      </w:r>
      <w:r w:rsidRPr="00FA0D37">
        <w:rPr>
          <w:color w:val="808080"/>
        </w:rPr>
        <w:t>-- are supposed to be sent with different starting symbols in a subslot</w:t>
      </w:r>
    </w:p>
    <w:p w14:paraId="3D0F08A8" w14:textId="77777777" w:rsidR="00394471" w:rsidRPr="00FA0D37" w:rsidRDefault="00394471" w:rsidP="00FA0D37">
      <w:pPr>
        <w:pStyle w:val="PL"/>
      </w:pPr>
      <w:r w:rsidRPr="00FA0D37">
        <w:t xml:space="preserve">    mux-SR-HARQ-ACK-r16                   </w:t>
      </w:r>
      <w:r w:rsidRPr="00FA0D37">
        <w:rPr>
          <w:color w:val="993366"/>
        </w:rPr>
        <w:t>ENUMERATED</w:t>
      </w:r>
      <w:r w:rsidRPr="00FA0D37">
        <w:t xml:space="preserve"> {supported}                   </w:t>
      </w:r>
      <w:r w:rsidRPr="00FA0D37">
        <w:rPr>
          <w:color w:val="993366"/>
        </w:rPr>
        <w:t>OPTIONAL</w:t>
      </w:r>
      <w:r w:rsidRPr="00FA0D37">
        <w:t>,</w:t>
      </w:r>
    </w:p>
    <w:p w14:paraId="07DF51F6" w14:textId="1BEE7E8A" w:rsidR="00394471" w:rsidRPr="00FA0D37" w:rsidRDefault="00394471" w:rsidP="00FA0D37">
      <w:pPr>
        <w:pStyle w:val="PL"/>
      </w:pPr>
      <w:r w:rsidRPr="00FA0D37">
        <w:t xml:space="preserve">    </w:t>
      </w:r>
      <w:r w:rsidR="00847614" w:rsidRPr="00FA0D37">
        <w:t>dummy1</w:t>
      </w:r>
      <w:r w:rsidRPr="00FA0D37">
        <w:t xml:space="preserve">        </w:t>
      </w:r>
      <w:r w:rsidR="00847614" w:rsidRPr="00FA0D37">
        <w:t xml:space="preserve">                        </w:t>
      </w:r>
      <w:r w:rsidRPr="00FA0D37">
        <w:rPr>
          <w:color w:val="993366"/>
        </w:rPr>
        <w:t>ENUMERATED</w:t>
      </w:r>
      <w:r w:rsidRPr="00FA0D37">
        <w:t xml:space="preserve"> {supported}                   </w:t>
      </w:r>
      <w:r w:rsidRPr="00FA0D37">
        <w:rPr>
          <w:color w:val="993366"/>
        </w:rPr>
        <w:t>OPTIONAL</w:t>
      </w:r>
      <w:r w:rsidRPr="00FA0D37">
        <w:t>,</w:t>
      </w:r>
    </w:p>
    <w:p w14:paraId="3F73AF6B" w14:textId="291CC111" w:rsidR="00394471" w:rsidRPr="00FA0D37" w:rsidRDefault="00394471" w:rsidP="00FA0D37">
      <w:pPr>
        <w:pStyle w:val="PL"/>
      </w:pPr>
      <w:r w:rsidRPr="00FA0D37">
        <w:t xml:space="preserve">    </w:t>
      </w:r>
      <w:r w:rsidR="00F26779" w:rsidRPr="00FA0D37">
        <w:t>dummy</w:t>
      </w:r>
      <w:r w:rsidR="00F26779" w:rsidRPr="00FA0D37">
        <w:rPr>
          <w:rFonts w:eastAsia="宋体"/>
        </w:rPr>
        <w:t>2</w:t>
      </w:r>
      <w:r w:rsidRPr="00FA0D37">
        <w:t xml:space="preserve">        </w:t>
      </w:r>
      <w:r w:rsidR="00F26779" w:rsidRPr="00FA0D37">
        <w:t xml:space="preserve">                        </w:t>
      </w:r>
      <w:r w:rsidRPr="00FA0D37">
        <w:rPr>
          <w:color w:val="993366"/>
        </w:rPr>
        <w:t>ENUMERATED</w:t>
      </w:r>
      <w:r w:rsidRPr="00FA0D37">
        <w:t xml:space="preserve"> {supported}                   </w:t>
      </w:r>
      <w:r w:rsidRPr="00FA0D37">
        <w:rPr>
          <w:color w:val="993366"/>
        </w:rPr>
        <w:t>OPTIONAL</w:t>
      </w:r>
      <w:r w:rsidRPr="00FA0D37">
        <w:t>,</w:t>
      </w:r>
    </w:p>
    <w:p w14:paraId="541D6E5E" w14:textId="77777777" w:rsidR="00394471" w:rsidRPr="00FA0D37" w:rsidRDefault="00394471" w:rsidP="00FA0D37">
      <w:pPr>
        <w:pStyle w:val="PL"/>
        <w:rPr>
          <w:color w:val="808080"/>
        </w:rPr>
      </w:pPr>
      <w:r w:rsidRPr="00FA0D37">
        <w:t xml:space="preserve">    </w:t>
      </w:r>
      <w:r w:rsidRPr="00FA0D37">
        <w:rPr>
          <w:color w:val="808080"/>
        </w:rPr>
        <w:t>-- R1 11-4c: 2 PUCCH of format 0 or 2 for two HARQ-ACK codebooks with one 7*2-symbol sub-slot based HARQ-ACK codebook</w:t>
      </w:r>
    </w:p>
    <w:p w14:paraId="081FE577" w14:textId="77777777" w:rsidR="00394471" w:rsidRPr="00FA0D37" w:rsidRDefault="00394471" w:rsidP="00FA0D37">
      <w:pPr>
        <w:pStyle w:val="PL"/>
      </w:pPr>
      <w:r w:rsidRPr="00FA0D37">
        <w:t xml:space="preserve">    twoPUCCH-Type5-r16                    </w:t>
      </w:r>
      <w:r w:rsidRPr="00FA0D37">
        <w:rPr>
          <w:color w:val="993366"/>
        </w:rPr>
        <w:t>ENUMERATED</w:t>
      </w:r>
      <w:r w:rsidRPr="00FA0D37">
        <w:t xml:space="preserve"> {supported}                   </w:t>
      </w:r>
      <w:r w:rsidRPr="00FA0D37">
        <w:rPr>
          <w:color w:val="993366"/>
        </w:rPr>
        <w:t>OPTIONAL</w:t>
      </w:r>
      <w:r w:rsidRPr="00FA0D37">
        <w:t>,</w:t>
      </w:r>
    </w:p>
    <w:p w14:paraId="4AB2CD7D" w14:textId="77777777" w:rsidR="00394471" w:rsidRPr="00FA0D37" w:rsidRDefault="00394471" w:rsidP="00FA0D37">
      <w:pPr>
        <w:pStyle w:val="PL"/>
        <w:rPr>
          <w:color w:val="808080"/>
        </w:rPr>
      </w:pPr>
      <w:r w:rsidRPr="00FA0D37">
        <w:t xml:space="preserve">    </w:t>
      </w:r>
      <w:r w:rsidRPr="00FA0D37">
        <w:rPr>
          <w:color w:val="808080"/>
        </w:rPr>
        <w:t>-- R1 11-4d: 2 PUCCH of format 0 or 2 in consecutive symbols for two HARQ-ACK codebooks with one 2*7-symbol sub-slot based HARQ-ACK</w:t>
      </w:r>
    </w:p>
    <w:p w14:paraId="48820449" w14:textId="77777777" w:rsidR="00394471" w:rsidRPr="00FA0D37" w:rsidRDefault="00394471" w:rsidP="00FA0D37">
      <w:pPr>
        <w:pStyle w:val="PL"/>
        <w:rPr>
          <w:color w:val="808080"/>
        </w:rPr>
      </w:pPr>
      <w:r w:rsidRPr="00FA0D37">
        <w:t xml:space="preserve">    </w:t>
      </w:r>
      <w:r w:rsidRPr="00FA0D37">
        <w:rPr>
          <w:color w:val="808080"/>
        </w:rPr>
        <w:t>-- codebook</w:t>
      </w:r>
    </w:p>
    <w:p w14:paraId="3EEB301F" w14:textId="77777777" w:rsidR="00394471" w:rsidRPr="00FA0D37" w:rsidRDefault="00394471" w:rsidP="00FA0D37">
      <w:pPr>
        <w:pStyle w:val="PL"/>
      </w:pPr>
      <w:r w:rsidRPr="00FA0D37">
        <w:t xml:space="preserve">    twoPUCCH-Type6-r16                    </w:t>
      </w:r>
      <w:r w:rsidRPr="00FA0D37">
        <w:rPr>
          <w:color w:val="993366"/>
        </w:rPr>
        <w:t>ENUMERATED</w:t>
      </w:r>
      <w:r w:rsidRPr="00FA0D37">
        <w:t xml:space="preserve"> {supported}                   </w:t>
      </w:r>
      <w:r w:rsidRPr="00FA0D37">
        <w:rPr>
          <w:color w:val="993366"/>
        </w:rPr>
        <w:t>OPTIONAL</w:t>
      </w:r>
      <w:r w:rsidRPr="00FA0D37">
        <w:t>,</w:t>
      </w:r>
    </w:p>
    <w:p w14:paraId="5FA1F9AA" w14:textId="77777777" w:rsidR="00394471" w:rsidRPr="00FA0D37" w:rsidRDefault="00394471" w:rsidP="00FA0D37">
      <w:pPr>
        <w:pStyle w:val="PL"/>
        <w:rPr>
          <w:color w:val="808080"/>
        </w:rPr>
      </w:pPr>
      <w:r w:rsidRPr="00FA0D37">
        <w:t xml:space="preserve">    </w:t>
      </w:r>
      <w:r w:rsidRPr="00FA0D37">
        <w:rPr>
          <w:color w:val="808080"/>
        </w:rPr>
        <w:t>-- R1 11-4e: 2 PUCCH of format 0 or 2 for two subslot based HARQ-ACK codebooks</w:t>
      </w:r>
    </w:p>
    <w:p w14:paraId="63F3D7E1" w14:textId="77777777" w:rsidR="00394471" w:rsidRPr="00FA0D37" w:rsidRDefault="00394471" w:rsidP="00FA0D37">
      <w:pPr>
        <w:pStyle w:val="PL"/>
      </w:pPr>
      <w:r w:rsidRPr="00FA0D37">
        <w:t xml:space="preserve">    twoPUCCH-Type7-r16                    </w:t>
      </w:r>
      <w:r w:rsidRPr="00FA0D37">
        <w:rPr>
          <w:color w:val="993366"/>
        </w:rPr>
        <w:t>ENUMERATED</w:t>
      </w:r>
      <w:r w:rsidRPr="00FA0D37">
        <w:t xml:space="preserve"> {supported}                   </w:t>
      </w:r>
      <w:r w:rsidRPr="00FA0D37">
        <w:rPr>
          <w:color w:val="993366"/>
        </w:rPr>
        <w:t>OPTIONAL</w:t>
      </w:r>
      <w:r w:rsidRPr="00FA0D37">
        <w:t>,</w:t>
      </w:r>
    </w:p>
    <w:p w14:paraId="1CADCCE0" w14:textId="77777777" w:rsidR="00394471" w:rsidRPr="00FA0D37" w:rsidRDefault="00394471" w:rsidP="00FA0D37">
      <w:pPr>
        <w:pStyle w:val="PL"/>
        <w:rPr>
          <w:color w:val="808080"/>
        </w:rPr>
      </w:pPr>
      <w:r w:rsidRPr="00FA0D37">
        <w:t xml:space="preserve">    </w:t>
      </w:r>
      <w:r w:rsidRPr="00FA0D37">
        <w:rPr>
          <w:color w:val="808080"/>
        </w:rPr>
        <w:t>-- R1 11-4f: 1 PUCCH format 0 or 2 and 1 PUCCH format 1, 3 or 4 in the same subslot for HARQ-ACK codebooks with one 2*7-symbol</w:t>
      </w:r>
    </w:p>
    <w:p w14:paraId="529963B2" w14:textId="77777777" w:rsidR="00394471" w:rsidRPr="00FA0D37" w:rsidRDefault="00394471" w:rsidP="00FA0D37">
      <w:pPr>
        <w:pStyle w:val="PL"/>
        <w:rPr>
          <w:color w:val="808080"/>
        </w:rPr>
      </w:pPr>
      <w:r w:rsidRPr="00FA0D37">
        <w:t xml:space="preserve">    </w:t>
      </w:r>
      <w:r w:rsidRPr="00FA0D37">
        <w:rPr>
          <w:color w:val="808080"/>
        </w:rPr>
        <w:t>-- subslot based HARQ-ACK codebook</w:t>
      </w:r>
    </w:p>
    <w:p w14:paraId="619297F3" w14:textId="77777777" w:rsidR="00394471" w:rsidRPr="00FA0D37" w:rsidRDefault="00394471" w:rsidP="00FA0D37">
      <w:pPr>
        <w:pStyle w:val="PL"/>
      </w:pPr>
      <w:r w:rsidRPr="00FA0D37">
        <w:t xml:space="preserve">    twoPUCCH-Type8-r16                    </w:t>
      </w:r>
      <w:r w:rsidRPr="00FA0D37">
        <w:rPr>
          <w:color w:val="993366"/>
        </w:rPr>
        <w:t>ENUMERATED</w:t>
      </w:r>
      <w:r w:rsidRPr="00FA0D37">
        <w:t xml:space="preserve"> {supported}                   </w:t>
      </w:r>
      <w:r w:rsidRPr="00FA0D37">
        <w:rPr>
          <w:color w:val="993366"/>
        </w:rPr>
        <w:t>OPTIONAL</w:t>
      </w:r>
      <w:r w:rsidRPr="00FA0D37">
        <w:t>,</w:t>
      </w:r>
    </w:p>
    <w:p w14:paraId="4FDC41E2" w14:textId="77777777" w:rsidR="00394471" w:rsidRPr="00FA0D37" w:rsidRDefault="00394471" w:rsidP="00FA0D37">
      <w:pPr>
        <w:pStyle w:val="PL"/>
        <w:rPr>
          <w:color w:val="808080"/>
        </w:rPr>
      </w:pPr>
      <w:r w:rsidRPr="00FA0D37">
        <w:t xml:space="preserve">    </w:t>
      </w:r>
      <w:r w:rsidRPr="00FA0D37">
        <w:rPr>
          <w:color w:val="808080"/>
        </w:rPr>
        <w:t>-- R1 11-4g: 1 PUCCH format 0 or 2 and 1 PUCCH format 1, 3 or 4 in the same subslot for two subslot based HARQ-ACK codebooks</w:t>
      </w:r>
    </w:p>
    <w:p w14:paraId="4FD85790" w14:textId="77777777" w:rsidR="00394471" w:rsidRPr="00FA0D37" w:rsidRDefault="00394471" w:rsidP="00FA0D37">
      <w:pPr>
        <w:pStyle w:val="PL"/>
      </w:pPr>
      <w:r w:rsidRPr="00FA0D37">
        <w:t xml:space="preserve">    twoPUCCH-Type9-r16                    </w:t>
      </w:r>
      <w:r w:rsidRPr="00FA0D37">
        <w:rPr>
          <w:color w:val="993366"/>
        </w:rPr>
        <w:t>ENUMERATED</w:t>
      </w:r>
      <w:r w:rsidRPr="00FA0D37">
        <w:t xml:space="preserve"> {supported}                   </w:t>
      </w:r>
      <w:r w:rsidRPr="00FA0D37">
        <w:rPr>
          <w:color w:val="993366"/>
        </w:rPr>
        <w:t>OPTIONAL</w:t>
      </w:r>
      <w:r w:rsidRPr="00FA0D37">
        <w:t>,</w:t>
      </w:r>
    </w:p>
    <w:p w14:paraId="39A40EB2" w14:textId="77777777" w:rsidR="00394471" w:rsidRPr="00FA0D37" w:rsidRDefault="00394471" w:rsidP="00FA0D37">
      <w:pPr>
        <w:pStyle w:val="PL"/>
        <w:rPr>
          <w:color w:val="808080"/>
        </w:rPr>
      </w:pPr>
      <w:r w:rsidRPr="00FA0D37">
        <w:t xml:space="preserve">    </w:t>
      </w:r>
      <w:r w:rsidRPr="00FA0D37">
        <w:rPr>
          <w:color w:val="808080"/>
        </w:rPr>
        <w:t>-- R1 11-4h: 2 PUCCH transmissions in the same subslot for two HARQ-ACK codebooks with one 2*7-symbol subslot which are not covered</w:t>
      </w:r>
    </w:p>
    <w:p w14:paraId="65D4A545" w14:textId="77777777" w:rsidR="00394471" w:rsidRPr="00FA0D37" w:rsidRDefault="00394471" w:rsidP="00FA0D37">
      <w:pPr>
        <w:pStyle w:val="PL"/>
        <w:rPr>
          <w:color w:val="808080"/>
        </w:rPr>
      </w:pPr>
      <w:r w:rsidRPr="00FA0D37">
        <w:t xml:space="preserve">    </w:t>
      </w:r>
      <w:r w:rsidRPr="00FA0D37">
        <w:rPr>
          <w:color w:val="808080"/>
        </w:rPr>
        <w:t>-- by 11-4c and 11-4e</w:t>
      </w:r>
    </w:p>
    <w:p w14:paraId="29D52368" w14:textId="77777777" w:rsidR="00394471" w:rsidRPr="00FA0D37" w:rsidRDefault="00394471" w:rsidP="00FA0D37">
      <w:pPr>
        <w:pStyle w:val="PL"/>
      </w:pPr>
      <w:r w:rsidRPr="00FA0D37">
        <w:t xml:space="preserve">    twoPUCCH-Type10-r16                   </w:t>
      </w:r>
      <w:r w:rsidRPr="00FA0D37">
        <w:rPr>
          <w:color w:val="993366"/>
        </w:rPr>
        <w:t>ENUMERATED</w:t>
      </w:r>
      <w:r w:rsidRPr="00FA0D37">
        <w:t xml:space="preserve"> {supported}                   </w:t>
      </w:r>
      <w:r w:rsidRPr="00FA0D37">
        <w:rPr>
          <w:color w:val="993366"/>
        </w:rPr>
        <w:t>OPTIONAL</w:t>
      </w:r>
      <w:r w:rsidRPr="00FA0D37">
        <w:t>,</w:t>
      </w:r>
    </w:p>
    <w:p w14:paraId="70BC105D" w14:textId="77777777" w:rsidR="00394471" w:rsidRPr="00FA0D37" w:rsidRDefault="00394471" w:rsidP="00FA0D37">
      <w:pPr>
        <w:pStyle w:val="PL"/>
        <w:rPr>
          <w:color w:val="808080"/>
        </w:rPr>
      </w:pPr>
      <w:r w:rsidRPr="00FA0D37">
        <w:t xml:space="preserve">    </w:t>
      </w:r>
      <w:r w:rsidRPr="00FA0D37">
        <w:rPr>
          <w:color w:val="808080"/>
        </w:rPr>
        <w:t>-- R1 11-4i: 2 PUCCH transmissions in the same subslot for two subslot based HARQ-ACK codebooks which are not covered by 11-4d and</w:t>
      </w:r>
    </w:p>
    <w:p w14:paraId="79CCB9D7" w14:textId="77777777" w:rsidR="00394471" w:rsidRPr="00FA0D37" w:rsidRDefault="00394471" w:rsidP="00FA0D37">
      <w:pPr>
        <w:pStyle w:val="PL"/>
        <w:rPr>
          <w:color w:val="808080"/>
        </w:rPr>
      </w:pPr>
      <w:r w:rsidRPr="00FA0D37">
        <w:t xml:space="preserve">    </w:t>
      </w:r>
      <w:r w:rsidRPr="00FA0D37">
        <w:rPr>
          <w:color w:val="808080"/>
        </w:rPr>
        <w:t>-- 11-4f</w:t>
      </w:r>
    </w:p>
    <w:p w14:paraId="3E026943" w14:textId="77777777" w:rsidR="00394471" w:rsidRPr="00FA0D37" w:rsidRDefault="00394471" w:rsidP="00FA0D37">
      <w:pPr>
        <w:pStyle w:val="PL"/>
      </w:pPr>
      <w:r w:rsidRPr="00FA0D37">
        <w:t xml:space="preserve">    twoPUCCH-Type11-r16                   </w:t>
      </w:r>
      <w:r w:rsidRPr="00FA0D37">
        <w:rPr>
          <w:color w:val="993366"/>
        </w:rPr>
        <w:t>ENUMERATED</w:t>
      </w:r>
      <w:r w:rsidRPr="00FA0D37">
        <w:t xml:space="preserve"> {supported}                   </w:t>
      </w:r>
      <w:r w:rsidRPr="00FA0D37">
        <w:rPr>
          <w:color w:val="993366"/>
        </w:rPr>
        <w:t>OPTIONAL</w:t>
      </w:r>
      <w:r w:rsidRPr="00FA0D37">
        <w:t>,</w:t>
      </w:r>
    </w:p>
    <w:p w14:paraId="7D8D086D" w14:textId="77777777" w:rsidR="00394471" w:rsidRPr="00FA0D37" w:rsidRDefault="00394471" w:rsidP="00FA0D37">
      <w:pPr>
        <w:pStyle w:val="PL"/>
        <w:rPr>
          <w:color w:val="808080"/>
        </w:rPr>
      </w:pPr>
      <w:r w:rsidRPr="00FA0D37">
        <w:t xml:space="preserve">    </w:t>
      </w:r>
      <w:r w:rsidRPr="00FA0D37">
        <w:rPr>
          <w:color w:val="808080"/>
        </w:rPr>
        <w:t>-- R1 12-1: UL intra-UE multiplexing/prioritization of overlapping channel/signals with two priority levels in physical layer</w:t>
      </w:r>
    </w:p>
    <w:p w14:paraId="26893CAE" w14:textId="77777777" w:rsidR="00394471" w:rsidRPr="00FA0D37" w:rsidRDefault="00394471" w:rsidP="00FA0D37">
      <w:pPr>
        <w:pStyle w:val="PL"/>
      </w:pPr>
      <w:r w:rsidRPr="00FA0D37">
        <w:t xml:space="preserve">    ul-IntraUE-Mux-r16                    </w:t>
      </w:r>
      <w:r w:rsidRPr="00FA0D37">
        <w:rPr>
          <w:color w:val="993366"/>
        </w:rPr>
        <w:t>SEQUENCE</w:t>
      </w:r>
      <w:r w:rsidRPr="00FA0D37">
        <w:t xml:space="preserve"> {</w:t>
      </w:r>
    </w:p>
    <w:p w14:paraId="79E99515" w14:textId="77777777" w:rsidR="00394471" w:rsidRPr="00FA0D37" w:rsidRDefault="00394471" w:rsidP="00FA0D37">
      <w:pPr>
        <w:pStyle w:val="PL"/>
      </w:pPr>
      <w:r w:rsidRPr="00FA0D37">
        <w:t xml:space="preserve">        pusch-PreparationLowPriority-r16      </w:t>
      </w:r>
      <w:r w:rsidRPr="00FA0D37">
        <w:rPr>
          <w:color w:val="993366"/>
        </w:rPr>
        <w:t>ENUMERATED</w:t>
      </w:r>
      <w:r w:rsidRPr="00FA0D37">
        <w:t xml:space="preserve"> {sym0, sym1, sym2},</w:t>
      </w:r>
    </w:p>
    <w:p w14:paraId="11093779" w14:textId="77777777" w:rsidR="00394471" w:rsidRPr="00FA0D37" w:rsidRDefault="00394471" w:rsidP="00FA0D37">
      <w:pPr>
        <w:pStyle w:val="PL"/>
      </w:pPr>
      <w:r w:rsidRPr="00FA0D37">
        <w:t xml:space="preserve">        pusch-PreparationHighPriority-r16     </w:t>
      </w:r>
      <w:r w:rsidRPr="00FA0D37">
        <w:rPr>
          <w:color w:val="993366"/>
        </w:rPr>
        <w:t>ENUMERATED</w:t>
      </w:r>
      <w:r w:rsidRPr="00FA0D37">
        <w:t xml:space="preserve"> {sym0, sym1, sym2}</w:t>
      </w:r>
    </w:p>
    <w:p w14:paraId="29A1E5B7" w14:textId="77777777" w:rsidR="00394471" w:rsidRPr="00FA0D37" w:rsidRDefault="00394471" w:rsidP="00FA0D37">
      <w:pPr>
        <w:pStyle w:val="PL"/>
      </w:pPr>
      <w:r w:rsidRPr="00FA0D37">
        <w:t xml:space="preserve">    }                                                                              </w:t>
      </w:r>
      <w:r w:rsidRPr="00FA0D37">
        <w:rPr>
          <w:color w:val="993366"/>
        </w:rPr>
        <w:t>OPTIONAL</w:t>
      </w:r>
      <w:r w:rsidRPr="00FA0D37">
        <w:t>,</w:t>
      </w:r>
    </w:p>
    <w:p w14:paraId="42F65F45" w14:textId="77777777" w:rsidR="00394471" w:rsidRPr="00FA0D37" w:rsidRDefault="00394471" w:rsidP="00FA0D37">
      <w:pPr>
        <w:pStyle w:val="PL"/>
        <w:rPr>
          <w:rFonts w:eastAsia="Malgun Gothic"/>
          <w:color w:val="808080"/>
        </w:rPr>
      </w:pPr>
      <w:r w:rsidRPr="00FA0D37">
        <w:t xml:space="preserve">    </w:t>
      </w:r>
      <w:r w:rsidRPr="00FA0D37">
        <w:rPr>
          <w:color w:val="808080"/>
        </w:rPr>
        <w:t xml:space="preserve">-- R1 16-5a: </w:t>
      </w:r>
      <w:r w:rsidRPr="00FA0D37">
        <w:rPr>
          <w:rFonts w:eastAsia="Malgun Gothic"/>
          <w:color w:val="808080"/>
        </w:rPr>
        <w:t>Supported UL full power transmission mode of fullpower</w:t>
      </w:r>
    </w:p>
    <w:p w14:paraId="00B19FFB" w14:textId="77777777" w:rsidR="00394471" w:rsidRPr="00FA0D37" w:rsidRDefault="00394471" w:rsidP="00FA0D37">
      <w:pPr>
        <w:pStyle w:val="PL"/>
      </w:pPr>
      <w:r w:rsidRPr="00FA0D37">
        <w:t xml:space="preserve">    ul-FullPwrMode-r16                    </w:t>
      </w:r>
      <w:r w:rsidRPr="00FA0D37">
        <w:rPr>
          <w:color w:val="993366"/>
        </w:rPr>
        <w:t>ENUMERATED</w:t>
      </w:r>
      <w:r w:rsidRPr="00FA0D37">
        <w:t xml:space="preserve"> {supported}                   </w:t>
      </w:r>
      <w:r w:rsidRPr="00FA0D37">
        <w:rPr>
          <w:color w:val="993366"/>
        </w:rPr>
        <w:t>OPTIONAL</w:t>
      </w:r>
      <w:r w:rsidRPr="00FA0D37">
        <w:t>,</w:t>
      </w:r>
    </w:p>
    <w:p w14:paraId="3952FF5B" w14:textId="77777777" w:rsidR="00394471" w:rsidRPr="00FA0D37" w:rsidRDefault="00394471" w:rsidP="00FA0D37">
      <w:pPr>
        <w:pStyle w:val="PL"/>
        <w:rPr>
          <w:color w:val="808080"/>
        </w:rPr>
      </w:pPr>
      <w:r w:rsidRPr="00FA0D37">
        <w:t xml:space="preserve">    </w:t>
      </w:r>
      <w:r w:rsidRPr="00FA0D37">
        <w:rPr>
          <w:color w:val="808080"/>
        </w:rPr>
        <w:t>-- R1 18-5d: Processing up to X unicast DCI scheduling for UL per scheduled CC</w:t>
      </w:r>
    </w:p>
    <w:p w14:paraId="401B0F1D" w14:textId="77777777" w:rsidR="00394471" w:rsidRPr="00FA0D37" w:rsidRDefault="00394471" w:rsidP="00FA0D37">
      <w:pPr>
        <w:pStyle w:val="PL"/>
      </w:pPr>
      <w:r w:rsidRPr="00FA0D37">
        <w:t xml:space="preserve">    crossCarrierSchedulingProcessing-DiffSCS-r16    </w:t>
      </w:r>
      <w:r w:rsidRPr="00FA0D37">
        <w:rPr>
          <w:color w:val="993366"/>
        </w:rPr>
        <w:t>SEQUENCE</w:t>
      </w:r>
      <w:r w:rsidRPr="00FA0D37">
        <w:t xml:space="preserve"> {</w:t>
      </w:r>
    </w:p>
    <w:p w14:paraId="691FB4A8" w14:textId="77777777" w:rsidR="00394471" w:rsidRPr="00FA0D37" w:rsidRDefault="00394471" w:rsidP="00FA0D37">
      <w:pPr>
        <w:pStyle w:val="PL"/>
      </w:pPr>
      <w:r w:rsidRPr="00FA0D37">
        <w:t xml:space="preserve">        scs-15kHz-120kHz-r16                  </w:t>
      </w:r>
      <w:r w:rsidRPr="00FA0D37">
        <w:rPr>
          <w:color w:val="993366"/>
        </w:rPr>
        <w:t>ENUMERATED</w:t>
      </w:r>
      <w:r w:rsidRPr="00FA0D37">
        <w:t xml:space="preserve"> {n1,n2,n4}                </w:t>
      </w:r>
      <w:r w:rsidRPr="00FA0D37">
        <w:rPr>
          <w:color w:val="993366"/>
        </w:rPr>
        <w:t>OPTIONAL</w:t>
      </w:r>
      <w:r w:rsidRPr="00FA0D37">
        <w:t>,</w:t>
      </w:r>
    </w:p>
    <w:p w14:paraId="00628B2B" w14:textId="77777777" w:rsidR="00394471" w:rsidRPr="00FA0D37" w:rsidRDefault="00394471" w:rsidP="00FA0D37">
      <w:pPr>
        <w:pStyle w:val="PL"/>
      </w:pPr>
      <w:r w:rsidRPr="00FA0D37">
        <w:t xml:space="preserve">        scs-15kHz-60kHz-r16                   </w:t>
      </w:r>
      <w:r w:rsidRPr="00FA0D37">
        <w:rPr>
          <w:color w:val="993366"/>
        </w:rPr>
        <w:t>ENUMERATED</w:t>
      </w:r>
      <w:r w:rsidRPr="00FA0D37">
        <w:t xml:space="preserve"> {n1,n2,n4}                </w:t>
      </w:r>
      <w:r w:rsidRPr="00FA0D37">
        <w:rPr>
          <w:color w:val="993366"/>
        </w:rPr>
        <w:t>OPTIONAL</w:t>
      </w:r>
      <w:r w:rsidRPr="00FA0D37">
        <w:t>,</w:t>
      </w:r>
    </w:p>
    <w:p w14:paraId="5F81A6F1" w14:textId="77777777" w:rsidR="00394471" w:rsidRPr="00FA0D37" w:rsidRDefault="00394471" w:rsidP="00FA0D37">
      <w:pPr>
        <w:pStyle w:val="PL"/>
      </w:pPr>
      <w:r w:rsidRPr="00FA0D37">
        <w:t xml:space="preserve">        scs-30kHz-120kHz-r16                  </w:t>
      </w:r>
      <w:r w:rsidRPr="00FA0D37">
        <w:rPr>
          <w:color w:val="993366"/>
        </w:rPr>
        <w:t>ENUMERATED</w:t>
      </w:r>
      <w:r w:rsidRPr="00FA0D37">
        <w:t xml:space="preserve"> {n1,n2,n4}                </w:t>
      </w:r>
      <w:r w:rsidRPr="00FA0D37">
        <w:rPr>
          <w:color w:val="993366"/>
        </w:rPr>
        <w:t>OPTIONAL</w:t>
      </w:r>
      <w:r w:rsidRPr="00FA0D37">
        <w:t>,</w:t>
      </w:r>
    </w:p>
    <w:p w14:paraId="0BEE5FD8" w14:textId="77777777" w:rsidR="00394471" w:rsidRPr="00FA0D37" w:rsidRDefault="00394471" w:rsidP="00FA0D37">
      <w:pPr>
        <w:pStyle w:val="PL"/>
      </w:pPr>
      <w:r w:rsidRPr="00FA0D37">
        <w:t xml:space="preserve">        scs-15kHz-30kHz-r16                   </w:t>
      </w:r>
      <w:r w:rsidRPr="00FA0D37">
        <w:rPr>
          <w:color w:val="993366"/>
        </w:rPr>
        <w:t>ENUMERATED</w:t>
      </w:r>
      <w:r w:rsidRPr="00FA0D37">
        <w:t xml:space="preserve"> {n2}                      </w:t>
      </w:r>
      <w:r w:rsidRPr="00FA0D37">
        <w:rPr>
          <w:color w:val="993366"/>
        </w:rPr>
        <w:t>OPTIONAL</w:t>
      </w:r>
      <w:r w:rsidRPr="00FA0D37">
        <w:t>,</w:t>
      </w:r>
    </w:p>
    <w:p w14:paraId="52DF9FBC" w14:textId="77777777" w:rsidR="00394471" w:rsidRPr="00FA0D37" w:rsidRDefault="00394471" w:rsidP="00FA0D37">
      <w:pPr>
        <w:pStyle w:val="PL"/>
      </w:pPr>
      <w:r w:rsidRPr="00FA0D37">
        <w:t xml:space="preserve">        scs-30kHz-60kHz-r16                   </w:t>
      </w:r>
      <w:r w:rsidRPr="00FA0D37">
        <w:rPr>
          <w:color w:val="993366"/>
        </w:rPr>
        <w:t>ENUMERATED</w:t>
      </w:r>
      <w:r w:rsidRPr="00FA0D37">
        <w:t xml:space="preserve"> {n2}                      </w:t>
      </w:r>
      <w:r w:rsidRPr="00FA0D37">
        <w:rPr>
          <w:color w:val="993366"/>
        </w:rPr>
        <w:t>OPTIONAL</w:t>
      </w:r>
      <w:r w:rsidRPr="00FA0D37">
        <w:t>,</w:t>
      </w:r>
    </w:p>
    <w:p w14:paraId="67FFC6F6" w14:textId="77777777" w:rsidR="00394471" w:rsidRPr="00FA0D37" w:rsidRDefault="00394471" w:rsidP="00FA0D37">
      <w:pPr>
        <w:pStyle w:val="PL"/>
      </w:pPr>
      <w:r w:rsidRPr="00FA0D37">
        <w:t xml:space="preserve">        scs-60kHz-120kHz-r16                  </w:t>
      </w:r>
      <w:r w:rsidRPr="00FA0D37">
        <w:rPr>
          <w:color w:val="993366"/>
        </w:rPr>
        <w:t>ENUMERATED</w:t>
      </w:r>
      <w:r w:rsidRPr="00FA0D37">
        <w:t xml:space="preserve"> {n2}                      </w:t>
      </w:r>
      <w:r w:rsidRPr="00FA0D37">
        <w:rPr>
          <w:color w:val="993366"/>
        </w:rPr>
        <w:t>OPTIONAL</w:t>
      </w:r>
    </w:p>
    <w:p w14:paraId="5A80B923" w14:textId="77777777" w:rsidR="00394471" w:rsidRPr="00FA0D37" w:rsidRDefault="00394471" w:rsidP="00FA0D37">
      <w:pPr>
        <w:pStyle w:val="PL"/>
      </w:pPr>
      <w:r w:rsidRPr="00FA0D37">
        <w:t xml:space="preserve">    }                                                                              </w:t>
      </w:r>
      <w:r w:rsidRPr="00FA0D37">
        <w:rPr>
          <w:color w:val="993366"/>
        </w:rPr>
        <w:t>OPTIONAL</w:t>
      </w:r>
      <w:r w:rsidRPr="00FA0D37">
        <w:t>,</w:t>
      </w:r>
    </w:p>
    <w:p w14:paraId="174B5187" w14:textId="77777777" w:rsidR="00394471" w:rsidRPr="00FA0D37" w:rsidRDefault="00394471" w:rsidP="00FA0D37">
      <w:pPr>
        <w:pStyle w:val="PL"/>
        <w:rPr>
          <w:rFonts w:eastAsia="Malgun Gothic"/>
          <w:color w:val="808080"/>
        </w:rPr>
      </w:pPr>
      <w:r w:rsidRPr="00FA0D37">
        <w:t xml:space="preserve">    </w:t>
      </w:r>
      <w:r w:rsidRPr="00FA0D37">
        <w:rPr>
          <w:color w:val="808080"/>
        </w:rPr>
        <w:t xml:space="preserve">-- R1 16-5b: </w:t>
      </w:r>
      <w:r w:rsidRPr="00FA0D37">
        <w:rPr>
          <w:rFonts w:eastAsia="Malgun Gothic"/>
          <w:color w:val="808080"/>
        </w:rPr>
        <w:t>Supported UL full power transmission mode of fullpowerMode1</w:t>
      </w:r>
    </w:p>
    <w:p w14:paraId="3F836B67" w14:textId="77777777" w:rsidR="00394471" w:rsidRPr="00FA0D37" w:rsidRDefault="00394471" w:rsidP="00FA0D37">
      <w:pPr>
        <w:pStyle w:val="PL"/>
      </w:pPr>
      <w:r w:rsidRPr="00FA0D37">
        <w:t xml:space="preserve">    ul-FullPwrMode1-r16                   </w:t>
      </w:r>
      <w:r w:rsidRPr="00FA0D37">
        <w:rPr>
          <w:color w:val="993366"/>
        </w:rPr>
        <w:t>ENUMERATED</w:t>
      </w:r>
      <w:r w:rsidRPr="00FA0D37">
        <w:t xml:space="preserve"> {supported}                   </w:t>
      </w:r>
      <w:r w:rsidRPr="00FA0D37">
        <w:rPr>
          <w:color w:val="993366"/>
        </w:rPr>
        <w:t>OPTIONAL</w:t>
      </w:r>
      <w:r w:rsidRPr="00FA0D37">
        <w:t>,</w:t>
      </w:r>
    </w:p>
    <w:p w14:paraId="2FBC3393" w14:textId="77777777" w:rsidR="00394471" w:rsidRPr="00FA0D37" w:rsidRDefault="00394471" w:rsidP="00FA0D37">
      <w:pPr>
        <w:pStyle w:val="PL"/>
        <w:rPr>
          <w:color w:val="808080"/>
        </w:rPr>
      </w:pPr>
      <w:r w:rsidRPr="00FA0D37">
        <w:t xml:space="preserve">    </w:t>
      </w:r>
      <w:r w:rsidRPr="00FA0D37">
        <w:rPr>
          <w:color w:val="808080"/>
        </w:rPr>
        <w:t xml:space="preserve">-- R1 16-5c-2: </w:t>
      </w:r>
      <w:r w:rsidRPr="00FA0D37">
        <w:rPr>
          <w:rFonts w:eastAsia="Malgun Gothic"/>
          <w:color w:val="808080"/>
        </w:rPr>
        <w:t>Ports configuration for Mode 2</w:t>
      </w:r>
    </w:p>
    <w:p w14:paraId="62134A1E" w14:textId="77777777" w:rsidR="00394471" w:rsidRPr="00FA0D37" w:rsidRDefault="00394471" w:rsidP="00FA0D37">
      <w:pPr>
        <w:pStyle w:val="PL"/>
      </w:pPr>
      <w:r w:rsidRPr="00FA0D37">
        <w:t xml:space="preserve">    ul-FullPwrMode2-SRSConfig-diffNumSRSPorts-r16  </w:t>
      </w:r>
      <w:r w:rsidRPr="00FA0D37">
        <w:rPr>
          <w:color w:val="993366"/>
        </w:rPr>
        <w:t>ENUMERATED</w:t>
      </w:r>
      <w:r w:rsidRPr="00FA0D37">
        <w:t xml:space="preserve"> {p1-2, p1-4, p1-2-4} </w:t>
      </w:r>
      <w:r w:rsidRPr="00FA0D37">
        <w:rPr>
          <w:color w:val="993366"/>
        </w:rPr>
        <w:t>OPTIONAL</w:t>
      </w:r>
      <w:r w:rsidRPr="00FA0D37">
        <w:t>,</w:t>
      </w:r>
    </w:p>
    <w:p w14:paraId="190F5830" w14:textId="77777777" w:rsidR="00394471" w:rsidRPr="00FA0D37" w:rsidRDefault="00394471" w:rsidP="00FA0D37">
      <w:pPr>
        <w:pStyle w:val="PL"/>
        <w:rPr>
          <w:rFonts w:eastAsia="Malgun Gothic"/>
          <w:color w:val="808080"/>
        </w:rPr>
      </w:pPr>
      <w:r w:rsidRPr="00FA0D37">
        <w:t xml:space="preserve">    </w:t>
      </w:r>
      <w:r w:rsidRPr="00FA0D37">
        <w:rPr>
          <w:color w:val="808080"/>
        </w:rPr>
        <w:t xml:space="preserve">-- R1 16-5c-3: </w:t>
      </w:r>
      <w:r w:rsidRPr="00FA0D37">
        <w:rPr>
          <w:rFonts w:eastAsia="Malgun Gothic"/>
          <w:color w:val="808080"/>
        </w:rPr>
        <w:t>TPMI group for Mode 2</w:t>
      </w:r>
    </w:p>
    <w:p w14:paraId="7CB6E381" w14:textId="77777777" w:rsidR="00394471" w:rsidRPr="00FA0D37" w:rsidRDefault="00394471" w:rsidP="00FA0D37">
      <w:pPr>
        <w:pStyle w:val="PL"/>
      </w:pPr>
      <w:r w:rsidRPr="00FA0D37">
        <w:t xml:space="preserve">    ul-FullPwrMode2-TPMIGroup-r16         </w:t>
      </w:r>
      <w:r w:rsidRPr="00FA0D37">
        <w:rPr>
          <w:color w:val="993366"/>
        </w:rPr>
        <w:t>SEQUENCE</w:t>
      </w:r>
      <w:r w:rsidRPr="00FA0D37">
        <w:t xml:space="preserve"> {</w:t>
      </w:r>
    </w:p>
    <w:p w14:paraId="0F42C34D" w14:textId="77777777" w:rsidR="00394471" w:rsidRPr="00FA0D37" w:rsidRDefault="00394471" w:rsidP="00FA0D37">
      <w:pPr>
        <w:pStyle w:val="PL"/>
      </w:pPr>
      <w:r w:rsidRPr="00FA0D37">
        <w:t xml:space="preserve">        twoPorts-r16                          </w:t>
      </w:r>
      <w:r w:rsidRPr="00FA0D37">
        <w:rPr>
          <w:color w:val="993366"/>
        </w:rPr>
        <w:t>BIT</w:t>
      </w:r>
      <w:r w:rsidRPr="00FA0D37">
        <w:t xml:space="preserve"> </w:t>
      </w:r>
      <w:r w:rsidRPr="00FA0D37">
        <w:rPr>
          <w:color w:val="993366"/>
        </w:rPr>
        <w:t>STRING</w:t>
      </w:r>
      <w:r w:rsidRPr="00FA0D37">
        <w:t>(</w:t>
      </w:r>
      <w:r w:rsidRPr="00FA0D37">
        <w:rPr>
          <w:color w:val="993366"/>
        </w:rPr>
        <w:t>SIZE</w:t>
      </w:r>
      <w:r w:rsidRPr="00FA0D37">
        <w:t xml:space="preserve">(2))                      </w:t>
      </w:r>
      <w:r w:rsidRPr="00FA0D37">
        <w:rPr>
          <w:color w:val="993366"/>
        </w:rPr>
        <w:t>OPTIONAL</w:t>
      </w:r>
      <w:r w:rsidRPr="00FA0D37">
        <w:t>,</w:t>
      </w:r>
    </w:p>
    <w:p w14:paraId="0F4B2922" w14:textId="77777777" w:rsidR="00394471" w:rsidRPr="00FA0D37" w:rsidRDefault="00394471" w:rsidP="00FA0D37">
      <w:pPr>
        <w:pStyle w:val="PL"/>
      </w:pPr>
      <w:r w:rsidRPr="00FA0D37">
        <w:lastRenderedPageBreak/>
        <w:t xml:space="preserve">        fourPortsNonCoherent-r16              </w:t>
      </w:r>
      <w:r w:rsidRPr="00FA0D37">
        <w:rPr>
          <w:color w:val="993366"/>
        </w:rPr>
        <w:t>ENUMERATED</w:t>
      </w:r>
      <w:r w:rsidRPr="00FA0D37">
        <w:t xml:space="preserve">{g0, g1, g2, g3}               </w:t>
      </w:r>
      <w:r w:rsidRPr="00FA0D37">
        <w:rPr>
          <w:color w:val="993366"/>
        </w:rPr>
        <w:t>OPTIONAL</w:t>
      </w:r>
      <w:r w:rsidRPr="00FA0D37">
        <w:t>,</w:t>
      </w:r>
    </w:p>
    <w:p w14:paraId="5175ADC1" w14:textId="77777777" w:rsidR="00394471" w:rsidRPr="00FA0D37" w:rsidRDefault="00394471" w:rsidP="00FA0D37">
      <w:pPr>
        <w:pStyle w:val="PL"/>
      </w:pPr>
      <w:r w:rsidRPr="00FA0D37">
        <w:t xml:space="preserve">        fourPortsPartialCoherent-r16          </w:t>
      </w:r>
      <w:r w:rsidRPr="00FA0D37">
        <w:rPr>
          <w:color w:val="993366"/>
        </w:rPr>
        <w:t>ENUMERATED</w:t>
      </w:r>
      <w:r w:rsidRPr="00FA0D37">
        <w:t xml:space="preserve">{g0, g1, g2, g3, g4, g5, g6}   </w:t>
      </w:r>
      <w:r w:rsidRPr="00FA0D37">
        <w:rPr>
          <w:color w:val="993366"/>
        </w:rPr>
        <w:t>OPTIONAL</w:t>
      </w:r>
    </w:p>
    <w:p w14:paraId="2A97ABFE" w14:textId="77777777" w:rsidR="00394471" w:rsidRPr="00FA0D37" w:rsidRDefault="00394471" w:rsidP="00FA0D37">
      <w:pPr>
        <w:pStyle w:val="PL"/>
      </w:pPr>
      <w:r w:rsidRPr="00FA0D37">
        <w:t xml:space="preserve">    }                                                                                  </w:t>
      </w:r>
      <w:r w:rsidRPr="00FA0D37">
        <w:rPr>
          <w:color w:val="993366"/>
        </w:rPr>
        <w:t>OPTIONAL</w:t>
      </w:r>
    </w:p>
    <w:p w14:paraId="1EDFC34E" w14:textId="77777777" w:rsidR="00D027C1" w:rsidRPr="00FA0D37" w:rsidRDefault="00394471" w:rsidP="00FA0D37">
      <w:pPr>
        <w:pStyle w:val="PL"/>
      </w:pPr>
      <w:r w:rsidRPr="00FA0D37">
        <w:t>}</w:t>
      </w:r>
    </w:p>
    <w:p w14:paraId="09544934" w14:textId="77777777" w:rsidR="00D027C1" w:rsidRPr="00FA0D37" w:rsidRDefault="00D027C1" w:rsidP="00FA0D37">
      <w:pPr>
        <w:pStyle w:val="PL"/>
      </w:pPr>
    </w:p>
    <w:p w14:paraId="0188F668" w14:textId="66EEA10C" w:rsidR="00D027C1" w:rsidRPr="00FA0D37" w:rsidRDefault="00D027C1" w:rsidP="00FA0D37">
      <w:pPr>
        <w:pStyle w:val="PL"/>
      </w:pPr>
      <w:r w:rsidRPr="00FA0D37">
        <w:t>FeatureSetUplink</w:t>
      </w:r>
      <w:r w:rsidR="003B657B" w:rsidRPr="00FA0D37">
        <w:t>-v1630</w:t>
      </w:r>
      <w:r w:rsidRPr="00FA0D37">
        <w:t xml:space="preserve"> ::=       </w:t>
      </w:r>
      <w:r w:rsidRPr="00FA0D37">
        <w:rPr>
          <w:color w:val="993366"/>
        </w:rPr>
        <w:t>SEQUENCE</w:t>
      </w:r>
      <w:r w:rsidRPr="00FA0D37">
        <w:t xml:space="preserve"> {</w:t>
      </w:r>
    </w:p>
    <w:p w14:paraId="7E61B531" w14:textId="3CFBD34A" w:rsidR="00D027C1" w:rsidRPr="00FA0D37" w:rsidRDefault="00D027C1" w:rsidP="00FA0D37">
      <w:pPr>
        <w:pStyle w:val="PL"/>
        <w:rPr>
          <w:color w:val="808080"/>
        </w:rPr>
      </w:pPr>
      <w:r w:rsidRPr="00FA0D37">
        <w:t xml:space="preserve">    </w:t>
      </w:r>
      <w:r w:rsidRPr="00FA0D37">
        <w:rPr>
          <w:color w:val="808080"/>
        </w:rPr>
        <w:t>-- R1 22-8: For SRS for CB PUSCH and antenna switching on FR1 with symbol level offset for aperiodic SRS transmission</w:t>
      </w:r>
    </w:p>
    <w:p w14:paraId="05710899" w14:textId="0C23DA69" w:rsidR="00D027C1" w:rsidRPr="00FA0D37" w:rsidRDefault="00D027C1" w:rsidP="00FA0D37">
      <w:pPr>
        <w:pStyle w:val="PL"/>
      </w:pPr>
      <w:r w:rsidRPr="00FA0D37">
        <w:t xml:space="preserve">    offsetSRS-CB-PUSCH-Ant-Switch-fr1-r16                       </w:t>
      </w:r>
      <w:r w:rsidRPr="00FA0D37">
        <w:rPr>
          <w:color w:val="993366"/>
        </w:rPr>
        <w:t>ENUMERATED</w:t>
      </w:r>
      <w:r w:rsidRPr="00FA0D37">
        <w:t xml:space="preserve"> {supported}                   </w:t>
      </w:r>
      <w:r w:rsidRPr="00FA0D37">
        <w:rPr>
          <w:color w:val="993366"/>
        </w:rPr>
        <w:t>OPTIONAL</w:t>
      </w:r>
      <w:r w:rsidRPr="00FA0D37">
        <w:t>,</w:t>
      </w:r>
    </w:p>
    <w:p w14:paraId="79310B94" w14:textId="77777777" w:rsidR="00D027C1" w:rsidRPr="00FA0D37" w:rsidRDefault="00D027C1" w:rsidP="00FA0D37">
      <w:pPr>
        <w:pStyle w:val="PL"/>
        <w:rPr>
          <w:color w:val="808080"/>
        </w:rPr>
      </w:pPr>
      <w:r w:rsidRPr="00FA0D37">
        <w:t xml:space="preserve">    </w:t>
      </w:r>
      <w:r w:rsidRPr="00FA0D37">
        <w:rPr>
          <w:color w:val="808080"/>
        </w:rPr>
        <w:t>-- R1 22-8a: PDCCH monitoring on any span of up to 3 consecutive OFDM symbols of a slot and constrained timeline for SRS for CB</w:t>
      </w:r>
    </w:p>
    <w:p w14:paraId="735401AF" w14:textId="2DB9EA23" w:rsidR="00D027C1" w:rsidRPr="00FA0D37" w:rsidRDefault="00D027C1" w:rsidP="00FA0D37">
      <w:pPr>
        <w:pStyle w:val="PL"/>
        <w:rPr>
          <w:color w:val="808080"/>
        </w:rPr>
      </w:pPr>
      <w:r w:rsidRPr="00FA0D37">
        <w:t xml:space="preserve">    </w:t>
      </w:r>
      <w:r w:rsidRPr="00FA0D37">
        <w:rPr>
          <w:color w:val="808080"/>
        </w:rPr>
        <w:t>-- PUSCH and antenna switching on FR1</w:t>
      </w:r>
    </w:p>
    <w:p w14:paraId="78D1975F" w14:textId="37944231" w:rsidR="00D027C1" w:rsidRPr="00FA0D37" w:rsidRDefault="00D027C1" w:rsidP="00FA0D37">
      <w:pPr>
        <w:pStyle w:val="PL"/>
      </w:pPr>
      <w:r w:rsidRPr="00FA0D37">
        <w:t xml:space="preserve">    offsetSRS-CB-PUSCH-PDCCH-MonitorSingleOcc-fr1-r16           </w:t>
      </w:r>
      <w:r w:rsidRPr="00FA0D37">
        <w:rPr>
          <w:color w:val="993366"/>
        </w:rPr>
        <w:t>ENUMERATED</w:t>
      </w:r>
      <w:r w:rsidRPr="00FA0D37">
        <w:t xml:space="preserve"> {supported}                   </w:t>
      </w:r>
      <w:r w:rsidRPr="00FA0D37">
        <w:rPr>
          <w:color w:val="993366"/>
        </w:rPr>
        <w:t>OPTIONAL</w:t>
      </w:r>
      <w:r w:rsidRPr="00FA0D37">
        <w:t>,</w:t>
      </w:r>
    </w:p>
    <w:p w14:paraId="660DF13E" w14:textId="77777777" w:rsidR="00D027C1" w:rsidRPr="00FA0D37" w:rsidRDefault="00D027C1" w:rsidP="00FA0D37">
      <w:pPr>
        <w:pStyle w:val="PL"/>
        <w:rPr>
          <w:color w:val="808080"/>
        </w:rPr>
      </w:pPr>
      <w:r w:rsidRPr="00FA0D37">
        <w:t xml:space="preserve">    </w:t>
      </w:r>
      <w:r w:rsidRPr="00FA0D37">
        <w:rPr>
          <w:color w:val="808080"/>
        </w:rPr>
        <w:t>-- R1 22-8b: For type 1 CSS with dedicated RRC configuration, type 3 CSS, and UE-SS, monitoring occasion can be any OFDM symbol(s)</w:t>
      </w:r>
    </w:p>
    <w:p w14:paraId="42640931" w14:textId="23FDA617" w:rsidR="00D027C1" w:rsidRPr="00FA0D37" w:rsidRDefault="00D027C1" w:rsidP="00FA0D37">
      <w:pPr>
        <w:pStyle w:val="PL"/>
        <w:rPr>
          <w:color w:val="808080"/>
        </w:rPr>
      </w:pPr>
      <w:r w:rsidRPr="00FA0D37">
        <w:t xml:space="preserve">    </w:t>
      </w:r>
      <w:r w:rsidRPr="00FA0D37">
        <w:rPr>
          <w:color w:val="808080"/>
        </w:rPr>
        <w:t>-- of a slot for Case 2 and constrained timeline for SRS for CB PUSCH and antenna switching on FR1</w:t>
      </w:r>
    </w:p>
    <w:p w14:paraId="12C170E0" w14:textId="642A6003" w:rsidR="00D027C1" w:rsidRPr="00FA0D37" w:rsidRDefault="00D027C1" w:rsidP="00FA0D37">
      <w:pPr>
        <w:pStyle w:val="PL"/>
      </w:pPr>
      <w:r w:rsidRPr="00FA0D37">
        <w:t xml:space="preserve">    offsetSRS-CB-PUSCH-PDCCH-MonitorAnyOccWithoutGap-fr1-r16    </w:t>
      </w:r>
      <w:r w:rsidRPr="00FA0D37">
        <w:rPr>
          <w:color w:val="993366"/>
        </w:rPr>
        <w:t>ENUMERATED</w:t>
      </w:r>
      <w:r w:rsidRPr="00FA0D37">
        <w:t xml:space="preserve"> {supported}                   </w:t>
      </w:r>
      <w:r w:rsidRPr="00FA0D37">
        <w:rPr>
          <w:color w:val="993366"/>
        </w:rPr>
        <w:t>OPTIONAL</w:t>
      </w:r>
      <w:r w:rsidRPr="00FA0D37">
        <w:t>,</w:t>
      </w:r>
    </w:p>
    <w:p w14:paraId="469BC378" w14:textId="77777777" w:rsidR="00D027C1" w:rsidRPr="00FA0D37" w:rsidRDefault="00D027C1" w:rsidP="00FA0D37">
      <w:pPr>
        <w:pStyle w:val="PL"/>
        <w:rPr>
          <w:color w:val="808080"/>
        </w:rPr>
      </w:pPr>
      <w:r w:rsidRPr="00FA0D37">
        <w:t xml:space="preserve">    </w:t>
      </w:r>
      <w:r w:rsidRPr="00FA0D37">
        <w:rPr>
          <w:color w:val="808080"/>
        </w:rPr>
        <w:t>-- R1 22-8c: For type 1 CSS with dedicated RRC configuration, type 3 CSS, and UE-SS, monitoring occasion can be any OFDM symbol(s)</w:t>
      </w:r>
    </w:p>
    <w:p w14:paraId="717FEE0E" w14:textId="1666BBC8" w:rsidR="00D027C1" w:rsidRPr="00FA0D37" w:rsidRDefault="00D027C1" w:rsidP="00FA0D37">
      <w:pPr>
        <w:pStyle w:val="PL"/>
        <w:rPr>
          <w:color w:val="808080"/>
        </w:rPr>
      </w:pPr>
      <w:r w:rsidRPr="00FA0D37">
        <w:t xml:space="preserve">    </w:t>
      </w:r>
      <w:r w:rsidRPr="00FA0D37">
        <w:rPr>
          <w:color w:val="808080"/>
        </w:rPr>
        <w:t>-- of a slot for Case 2 with a DCI gap and constrained timeline for SRS for CB PUSCH and antenna switching on FR1</w:t>
      </w:r>
    </w:p>
    <w:p w14:paraId="53DC8D30" w14:textId="15643CF4" w:rsidR="00D027C1" w:rsidRPr="00FA0D37" w:rsidRDefault="00D027C1" w:rsidP="00FA0D37">
      <w:pPr>
        <w:pStyle w:val="PL"/>
      </w:pPr>
      <w:r w:rsidRPr="00FA0D37">
        <w:t xml:space="preserve">    offsetSRS-CB-PUSCH-PDCCH-MonitorAnyOccWithGap-fr1-r16       </w:t>
      </w:r>
      <w:r w:rsidRPr="00FA0D37">
        <w:rPr>
          <w:color w:val="993366"/>
        </w:rPr>
        <w:t>ENUMERATED</w:t>
      </w:r>
      <w:r w:rsidRPr="00FA0D37">
        <w:t xml:space="preserve"> {supported}                   </w:t>
      </w:r>
      <w:r w:rsidRPr="00FA0D37">
        <w:rPr>
          <w:color w:val="993366"/>
        </w:rPr>
        <w:t>OPTIONAL</w:t>
      </w:r>
      <w:r w:rsidRPr="00FA0D37">
        <w:t>,</w:t>
      </w:r>
    </w:p>
    <w:p w14:paraId="6D597C42" w14:textId="114C12CD" w:rsidR="00D027C1" w:rsidRPr="00FA0D37" w:rsidRDefault="00D027C1" w:rsidP="00FA0D37">
      <w:pPr>
        <w:pStyle w:val="PL"/>
      </w:pPr>
      <w:r w:rsidRPr="00FA0D37">
        <w:t xml:space="preserve">    </w:t>
      </w:r>
      <w:r w:rsidR="00D12CC0" w:rsidRPr="00FA0D37">
        <w:t>dummy</w:t>
      </w:r>
      <w:r w:rsidRPr="00FA0D37">
        <w:t xml:space="preserve">   </w:t>
      </w:r>
      <w:r w:rsidR="00D12CC0" w:rsidRPr="00FA0D37">
        <w:t xml:space="preserve">                                                    </w:t>
      </w:r>
      <w:r w:rsidRPr="00FA0D37">
        <w:rPr>
          <w:color w:val="993366"/>
        </w:rPr>
        <w:t>ENUMERATED</w:t>
      </w:r>
      <w:r w:rsidRPr="00FA0D37">
        <w:t xml:space="preserve"> {supported}                   </w:t>
      </w:r>
      <w:r w:rsidRPr="00FA0D37">
        <w:rPr>
          <w:color w:val="993366"/>
        </w:rPr>
        <w:t>OPTIONAL</w:t>
      </w:r>
      <w:r w:rsidRPr="00FA0D37">
        <w:t>,</w:t>
      </w:r>
    </w:p>
    <w:p w14:paraId="1D00D1FC" w14:textId="303E5419" w:rsidR="00D027C1" w:rsidRPr="00FA0D37" w:rsidRDefault="00D027C1" w:rsidP="00FA0D37">
      <w:pPr>
        <w:pStyle w:val="PL"/>
        <w:rPr>
          <w:color w:val="808080"/>
        </w:rPr>
      </w:pPr>
      <w:r w:rsidRPr="00FA0D37">
        <w:t xml:space="preserve">    </w:t>
      </w:r>
      <w:r w:rsidRPr="00FA0D37">
        <w:rPr>
          <w:color w:val="808080"/>
        </w:rPr>
        <w:t>-- R1 22-9: Cancellation of PUCCH, PUSCH or PRACH with a DCI scheduling a PDSCH or CSI-RS or a DCI format 2_0 for SFI</w:t>
      </w:r>
    </w:p>
    <w:p w14:paraId="43847A80" w14:textId="01B28322" w:rsidR="00D027C1" w:rsidRPr="00FA0D37" w:rsidRDefault="00D027C1" w:rsidP="00FA0D37">
      <w:pPr>
        <w:pStyle w:val="PL"/>
      </w:pPr>
      <w:r w:rsidRPr="00FA0D37">
        <w:t xml:space="preserve">    partialCancellationPUCCH-PUSCH-PRACH-TX-r16                 </w:t>
      </w:r>
      <w:r w:rsidRPr="00FA0D37">
        <w:rPr>
          <w:color w:val="993366"/>
        </w:rPr>
        <w:t>ENUMERATED</w:t>
      </w:r>
      <w:r w:rsidRPr="00FA0D37">
        <w:t xml:space="preserve"> {supported}                   </w:t>
      </w:r>
      <w:r w:rsidRPr="00FA0D37">
        <w:rPr>
          <w:color w:val="993366"/>
        </w:rPr>
        <w:t>OPTIONAL</w:t>
      </w:r>
    </w:p>
    <w:p w14:paraId="17ADF1D0" w14:textId="4C5C650E" w:rsidR="00394471" w:rsidRPr="00FA0D37" w:rsidRDefault="00D027C1" w:rsidP="00FA0D37">
      <w:pPr>
        <w:pStyle w:val="PL"/>
      </w:pPr>
      <w:r w:rsidRPr="00FA0D37">
        <w:t>}</w:t>
      </w:r>
    </w:p>
    <w:p w14:paraId="0722776E" w14:textId="3D8D7C61" w:rsidR="00394471" w:rsidRPr="00FA0D37" w:rsidRDefault="00394471" w:rsidP="00FA0D37">
      <w:pPr>
        <w:pStyle w:val="PL"/>
      </w:pPr>
    </w:p>
    <w:p w14:paraId="0C41F742" w14:textId="0E303489" w:rsidR="00F26779" w:rsidRPr="00FA0D37" w:rsidRDefault="00F26779" w:rsidP="00FA0D37">
      <w:pPr>
        <w:pStyle w:val="PL"/>
      </w:pPr>
      <w:r w:rsidRPr="00FA0D37">
        <w:t>FeatureSetUplink-v</w:t>
      </w:r>
      <w:r w:rsidR="000C2783" w:rsidRPr="00FA0D37">
        <w:t>1640</w:t>
      </w:r>
      <w:r w:rsidRPr="00FA0D37">
        <w:t xml:space="preserve"> ::=              </w:t>
      </w:r>
      <w:r w:rsidRPr="00FA0D37">
        <w:rPr>
          <w:color w:val="993366"/>
        </w:rPr>
        <w:t>SEQUENCE</w:t>
      </w:r>
      <w:r w:rsidRPr="00FA0D37">
        <w:t xml:space="preserve"> {</w:t>
      </w:r>
    </w:p>
    <w:p w14:paraId="59B75BF8" w14:textId="77777777" w:rsidR="00F26779" w:rsidRPr="00FA0D37" w:rsidRDefault="00F26779" w:rsidP="00FA0D37">
      <w:pPr>
        <w:pStyle w:val="PL"/>
        <w:rPr>
          <w:color w:val="808080"/>
        </w:rPr>
      </w:pPr>
      <w:r w:rsidRPr="00FA0D37">
        <w:t xml:space="preserve">   </w:t>
      </w:r>
      <w:r w:rsidRPr="00FA0D37">
        <w:rPr>
          <w:color w:val="808080"/>
        </w:rPr>
        <w:t>-- R1 11-4: Two HARQ-ACK codebooks with up to one sub-slot based HARQ-ACK codebook (i.e. slot-based + slot-based, or slot-based +</w:t>
      </w:r>
    </w:p>
    <w:p w14:paraId="6A500D63" w14:textId="77777777" w:rsidR="00F26779" w:rsidRPr="00FA0D37" w:rsidRDefault="00F26779" w:rsidP="00FA0D37">
      <w:pPr>
        <w:pStyle w:val="PL"/>
        <w:rPr>
          <w:color w:val="808080"/>
        </w:rPr>
      </w:pPr>
      <w:r w:rsidRPr="00FA0D37">
        <w:t xml:space="preserve">    </w:t>
      </w:r>
      <w:r w:rsidRPr="00FA0D37">
        <w:rPr>
          <w:color w:val="808080"/>
        </w:rPr>
        <w:t>-- sub-slot based) simultaneously constructed for supporting HARQ-ACK codebooks with different priorities at a UE</w:t>
      </w:r>
    </w:p>
    <w:p w14:paraId="1C1E7612" w14:textId="77777777" w:rsidR="00F26779" w:rsidRPr="00FA0D37" w:rsidRDefault="00F26779" w:rsidP="00FA0D37">
      <w:pPr>
        <w:pStyle w:val="PL"/>
      </w:pPr>
      <w:r w:rsidRPr="00FA0D37">
        <w:t xml:space="preserve">    twoHARQ-ACK-Codebook-type1-r16          SubSlot-Config-r16      </w:t>
      </w:r>
      <w:r w:rsidRPr="00FA0D37">
        <w:rPr>
          <w:color w:val="993366"/>
        </w:rPr>
        <w:t>OPTIONAL</w:t>
      </w:r>
      <w:r w:rsidRPr="00FA0D37">
        <w:t>,</w:t>
      </w:r>
    </w:p>
    <w:p w14:paraId="57A4419E" w14:textId="77777777" w:rsidR="00F26779" w:rsidRPr="00FA0D37" w:rsidRDefault="00F26779" w:rsidP="00FA0D37">
      <w:pPr>
        <w:pStyle w:val="PL"/>
        <w:rPr>
          <w:color w:val="808080"/>
        </w:rPr>
      </w:pPr>
      <w:r w:rsidRPr="00FA0D37">
        <w:t xml:space="preserve">    </w:t>
      </w:r>
      <w:r w:rsidRPr="00FA0D37">
        <w:rPr>
          <w:color w:val="808080"/>
        </w:rPr>
        <w:t>-- R1 11-4a: Two sub-slot based HARQ-ACK codebooks simultaneously constructed for supporting HARQ-ACK codebooks with different</w:t>
      </w:r>
    </w:p>
    <w:p w14:paraId="53762343" w14:textId="77777777" w:rsidR="00F26779" w:rsidRPr="00FA0D37" w:rsidRDefault="00F26779" w:rsidP="00FA0D37">
      <w:pPr>
        <w:pStyle w:val="PL"/>
        <w:rPr>
          <w:color w:val="808080"/>
        </w:rPr>
      </w:pPr>
      <w:r w:rsidRPr="00FA0D37">
        <w:t xml:space="preserve">    </w:t>
      </w:r>
      <w:r w:rsidRPr="00FA0D37">
        <w:rPr>
          <w:color w:val="808080"/>
        </w:rPr>
        <w:t>-- priorities at a UE</w:t>
      </w:r>
    </w:p>
    <w:p w14:paraId="7633AB83" w14:textId="736CBEF3" w:rsidR="00F26779" w:rsidRPr="00FA0D37" w:rsidRDefault="00F26779" w:rsidP="00FA0D37">
      <w:pPr>
        <w:pStyle w:val="PL"/>
      </w:pPr>
      <w:r w:rsidRPr="00FA0D37">
        <w:t xml:space="preserve">    twoHARQ-ACK-Codebook-type2-r16          SubSlot-Config-r16      </w:t>
      </w:r>
      <w:r w:rsidRPr="00FA0D37">
        <w:rPr>
          <w:color w:val="993366"/>
        </w:rPr>
        <w:t>OPTIONAL</w:t>
      </w:r>
      <w:r w:rsidR="00D12CC0" w:rsidRPr="00FA0D37">
        <w:t>,</w:t>
      </w:r>
    </w:p>
    <w:p w14:paraId="56751244" w14:textId="77777777" w:rsidR="00D12CC0" w:rsidRPr="00FA0D37" w:rsidRDefault="00D12CC0" w:rsidP="00FA0D37">
      <w:pPr>
        <w:pStyle w:val="PL"/>
        <w:rPr>
          <w:color w:val="808080"/>
        </w:rPr>
      </w:pPr>
      <w:r w:rsidRPr="00FA0D37">
        <w:t xml:space="preserve">    </w:t>
      </w:r>
      <w:r w:rsidRPr="00FA0D37">
        <w:rPr>
          <w:color w:val="808080"/>
        </w:rPr>
        <w:t>-- R1 22-8d: All PDCCH monitoring occasion can be any OFDM symbol(s) of a slot for Case 2 with a span gap and constrained timeline</w:t>
      </w:r>
    </w:p>
    <w:p w14:paraId="644AA3D3" w14:textId="77777777" w:rsidR="00D12CC0" w:rsidRPr="00FA0D37" w:rsidRDefault="00D12CC0" w:rsidP="00FA0D37">
      <w:pPr>
        <w:pStyle w:val="PL"/>
        <w:rPr>
          <w:color w:val="808080"/>
        </w:rPr>
      </w:pPr>
      <w:r w:rsidRPr="00FA0D37">
        <w:t xml:space="preserve">    </w:t>
      </w:r>
      <w:r w:rsidRPr="00FA0D37">
        <w:rPr>
          <w:color w:val="808080"/>
        </w:rPr>
        <w:t>-- for SRS for CB PUSCH and antenna switching on FR1</w:t>
      </w:r>
    </w:p>
    <w:p w14:paraId="1E7BCFCA" w14:textId="19F9664E" w:rsidR="00D12CC0" w:rsidRPr="00FA0D37" w:rsidRDefault="00D12CC0" w:rsidP="00FA0D37">
      <w:pPr>
        <w:pStyle w:val="PL"/>
      </w:pPr>
      <w:r w:rsidRPr="00FA0D37">
        <w:t xml:space="preserve">    offsetSRS-CB-PUSCH-PDCCH-MonitorAnyOccWithSpanGap-fr1-r16 </w:t>
      </w:r>
      <w:r w:rsidRPr="00FA0D37">
        <w:rPr>
          <w:color w:val="993366"/>
        </w:rPr>
        <w:t>SEQUENCE</w:t>
      </w:r>
      <w:r w:rsidRPr="00FA0D37">
        <w:t xml:space="preserve"> {</w:t>
      </w:r>
    </w:p>
    <w:p w14:paraId="0EDF2EB6" w14:textId="701BD817" w:rsidR="00D12CC0" w:rsidRPr="00FA0D37" w:rsidRDefault="00D12CC0" w:rsidP="00FA0D37">
      <w:pPr>
        <w:pStyle w:val="PL"/>
      </w:pPr>
      <w:r w:rsidRPr="00FA0D37">
        <w:t xml:space="preserve">        scs-15kHz-r16                                 </w:t>
      </w:r>
      <w:r w:rsidRPr="00FA0D37">
        <w:rPr>
          <w:color w:val="993366"/>
        </w:rPr>
        <w:t>ENUMERATED</w:t>
      </w:r>
      <w:r w:rsidRPr="00FA0D37">
        <w:t xml:space="preserve"> {set1, set2, set3}                             </w:t>
      </w:r>
      <w:r w:rsidRPr="00FA0D37">
        <w:rPr>
          <w:color w:val="993366"/>
        </w:rPr>
        <w:t>OPTIONAL</w:t>
      </w:r>
      <w:r w:rsidRPr="00FA0D37">
        <w:t>,</w:t>
      </w:r>
    </w:p>
    <w:p w14:paraId="230FA3AE" w14:textId="145B7241" w:rsidR="00D12CC0" w:rsidRPr="00FA0D37" w:rsidRDefault="00D12CC0" w:rsidP="00FA0D37">
      <w:pPr>
        <w:pStyle w:val="PL"/>
      </w:pPr>
      <w:r w:rsidRPr="00FA0D37">
        <w:t xml:space="preserve">        scs-30kHz-r16                                 </w:t>
      </w:r>
      <w:r w:rsidRPr="00FA0D37">
        <w:rPr>
          <w:color w:val="993366"/>
        </w:rPr>
        <w:t>ENUMERATED</w:t>
      </w:r>
      <w:r w:rsidRPr="00FA0D37">
        <w:t xml:space="preserve"> {set1, set2, set3}                             </w:t>
      </w:r>
      <w:r w:rsidRPr="00FA0D37">
        <w:rPr>
          <w:color w:val="993366"/>
        </w:rPr>
        <w:t>OPTIONAL</w:t>
      </w:r>
      <w:r w:rsidRPr="00FA0D37">
        <w:t>,</w:t>
      </w:r>
    </w:p>
    <w:p w14:paraId="2A072074" w14:textId="1DA6AE0B" w:rsidR="00D12CC0" w:rsidRPr="00FA0D37" w:rsidRDefault="00D12CC0" w:rsidP="00FA0D37">
      <w:pPr>
        <w:pStyle w:val="PL"/>
      </w:pPr>
      <w:r w:rsidRPr="00FA0D37">
        <w:t xml:space="preserve">        scs-60kHz-r16                                 </w:t>
      </w:r>
      <w:r w:rsidRPr="00FA0D37">
        <w:rPr>
          <w:color w:val="993366"/>
        </w:rPr>
        <w:t>ENUMERATED</w:t>
      </w:r>
      <w:r w:rsidRPr="00FA0D37">
        <w:t xml:space="preserve"> {set1, set2, set3}                             </w:t>
      </w:r>
      <w:r w:rsidRPr="00FA0D37">
        <w:rPr>
          <w:color w:val="993366"/>
        </w:rPr>
        <w:t>OPTIONAL</w:t>
      </w:r>
    </w:p>
    <w:p w14:paraId="55405C09" w14:textId="77777777" w:rsidR="00D12CC0" w:rsidRPr="00FA0D37" w:rsidRDefault="00D12CC0" w:rsidP="00FA0D37">
      <w:pPr>
        <w:pStyle w:val="PL"/>
      </w:pPr>
      <w:r w:rsidRPr="00FA0D37">
        <w:t xml:space="preserve">    }                                                                                                           </w:t>
      </w:r>
      <w:r w:rsidRPr="00FA0D37">
        <w:rPr>
          <w:color w:val="993366"/>
        </w:rPr>
        <w:t>OPTIONAL</w:t>
      </w:r>
    </w:p>
    <w:p w14:paraId="3747A931" w14:textId="742547CC" w:rsidR="00F26779" w:rsidRPr="00FA0D37" w:rsidRDefault="00F26779" w:rsidP="00FA0D37">
      <w:pPr>
        <w:pStyle w:val="PL"/>
      </w:pPr>
      <w:r w:rsidRPr="00FA0D37">
        <w:t>}</w:t>
      </w:r>
    </w:p>
    <w:p w14:paraId="704916E3" w14:textId="77777777" w:rsidR="00D647FD" w:rsidRPr="00FA0D37" w:rsidRDefault="00D647FD" w:rsidP="00FA0D37">
      <w:pPr>
        <w:pStyle w:val="PL"/>
      </w:pPr>
    </w:p>
    <w:p w14:paraId="1F19B88B" w14:textId="6E90A3C7" w:rsidR="00D647FD" w:rsidRPr="00FA0D37" w:rsidRDefault="00D647FD" w:rsidP="00FA0D37">
      <w:pPr>
        <w:pStyle w:val="PL"/>
      </w:pPr>
      <w:r w:rsidRPr="00FA0D37">
        <w:t xml:space="preserve">FeatureSetUplink-v16d0 ::=       </w:t>
      </w:r>
      <w:r w:rsidRPr="00FA0D37">
        <w:rPr>
          <w:color w:val="993366"/>
        </w:rPr>
        <w:t>SEQUENCE</w:t>
      </w:r>
      <w:r w:rsidRPr="00FA0D37">
        <w:t xml:space="preserve"> {</w:t>
      </w:r>
    </w:p>
    <w:p w14:paraId="38C96D3C" w14:textId="442CBBC7" w:rsidR="00D647FD" w:rsidRPr="00FA0D37" w:rsidRDefault="00D647FD" w:rsidP="00FA0D37">
      <w:pPr>
        <w:pStyle w:val="PL"/>
      </w:pPr>
      <w:r w:rsidRPr="00FA0D37">
        <w:t xml:space="preserve">    pusch-RepetitionTypeB-v16d0      </w:t>
      </w:r>
      <w:r w:rsidRPr="00FA0D37">
        <w:rPr>
          <w:color w:val="993366"/>
        </w:rPr>
        <w:t>SEQUENCE</w:t>
      </w:r>
      <w:r w:rsidRPr="00FA0D37">
        <w:t xml:space="preserve"> {</w:t>
      </w:r>
    </w:p>
    <w:p w14:paraId="22706E3E" w14:textId="65B86FF4" w:rsidR="00D647FD" w:rsidRPr="00FA0D37" w:rsidRDefault="00D647FD" w:rsidP="00FA0D37">
      <w:pPr>
        <w:pStyle w:val="PL"/>
      </w:pPr>
      <w:r w:rsidRPr="00FA0D37">
        <w:t xml:space="preserve">        maxNumberPUSCH-Tx-Cap1-r16       </w:t>
      </w:r>
      <w:r w:rsidRPr="00FA0D37">
        <w:rPr>
          <w:color w:val="993366"/>
        </w:rPr>
        <w:t>ENUMERATED</w:t>
      </w:r>
      <w:r w:rsidRPr="00FA0D37">
        <w:t xml:space="preserve"> {n2, n3, n4, n7, n8, n12},</w:t>
      </w:r>
    </w:p>
    <w:p w14:paraId="4E41F306" w14:textId="657E7D43" w:rsidR="00D647FD" w:rsidRPr="00FA0D37" w:rsidRDefault="00D647FD" w:rsidP="00FA0D37">
      <w:pPr>
        <w:pStyle w:val="PL"/>
      </w:pPr>
      <w:r w:rsidRPr="00FA0D37">
        <w:t xml:space="preserve">        maxNumberPUSCH-Tx-Cap2-r16       </w:t>
      </w:r>
      <w:r w:rsidRPr="00FA0D37">
        <w:rPr>
          <w:color w:val="993366"/>
        </w:rPr>
        <w:t>ENUMERATED</w:t>
      </w:r>
      <w:r w:rsidRPr="00FA0D37">
        <w:t xml:space="preserve"> {n2, n3, n4, n7, n8, n12}</w:t>
      </w:r>
    </w:p>
    <w:p w14:paraId="5315175A" w14:textId="347A154D" w:rsidR="00D647FD" w:rsidRPr="00FA0D37" w:rsidRDefault="00D647FD" w:rsidP="00FA0D37">
      <w:pPr>
        <w:pStyle w:val="PL"/>
      </w:pPr>
      <w:r w:rsidRPr="00FA0D37">
        <w:t xml:space="preserve">    }                                                                                         </w:t>
      </w:r>
      <w:r w:rsidRPr="00FA0D37">
        <w:rPr>
          <w:color w:val="993366"/>
        </w:rPr>
        <w:t>OPTIONAL</w:t>
      </w:r>
    </w:p>
    <w:p w14:paraId="0A1CBBA8" w14:textId="6B2DC04B" w:rsidR="00F26779" w:rsidRPr="00FA0D37" w:rsidRDefault="00D647FD" w:rsidP="00FA0D37">
      <w:pPr>
        <w:pStyle w:val="PL"/>
      </w:pPr>
      <w:r w:rsidRPr="00FA0D37">
        <w:t>}</w:t>
      </w:r>
    </w:p>
    <w:p w14:paraId="06831133" w14:textId="77777777" w:rsidR="00D647FD" w:rsidRPr="00FA0D37" w:rsidRDefault="00D647FD" w:rsidP="00FA0D37">
      <w:pPr>
        <w:pStyle w:val="PL"/>
      </w:pPr>
    </w:p>
    <w:p w14:paraId="625EA57C" w14:textId="1C426537" w:rsidR="00B166EA" w:rsidRPr="00FA0D37" w:rsidRDefault="00B166EA" w:rsidP="00FA0D37">
      <w:pPr>
        <w:pStyle w:val="PL"/>
      </w:pPr>
      <w:r w:rsidRPr="00FA0D37">
        <w:t>FeatureSetUplink-v17</w:t>
      </w:r>
      <w:r w:rsidR="00F84A8C" w:rsidRPr="00FA0D37">
        <w:t>10</w:t>
      </w:r>
      <w:r w:rsidRPr="00FA0D37">
        <w:t xml:space="preserve"> ::= </w:t>
      </w:r>
      <w:r w:rsidRPr="00FA0D37">
        <w:rPr>
          <w:color w:val="993366"/>
        </w:rPr>
        <w:t>SEQUENCE</w:t>
      </w:r>
      <w:r w:rsidRPr="00FA0D37">
        <w:t xml:space="preserve"> {</w:t>
      </w:r>
    </w:p>
    <w:p w14:paraId="4D13ECF7" w14:textId="77777777" w:rsidR="00F747EB" w:rsidRPr="00FA0D37" w:rsidRDefault="00B166EA" w:rsidP="00FA0D37">
      <w:pPr>
        <w:pStyle w:val="PL"/>
        <w:rPr>
          <w:color w:val="808080"/>
        </w:rPr>
      </w:pPr>
      <w:r w:rsidRPr="00FA0D37">
        <w:t xml:space="preserve">    </w:t>
      </w:r>
      <w:r w:rsidRPr="00FA0D37">
        <w:rPr>
          <w:color w:val="808080"/>
        </w:rPr>
        <w:t>-- R1 23-3-1</w:t>
      </w:r>
      <w:r w:rsidRPr="00FA0D37">
        <w:rPr>
          <w:color w:val="808080"/>
        </w:rPr>
        <w:tab/>
        <w:t>Multi-TRP PUSCH repetition (type A) -codebook based</w:t>
      </w:r>
    </w:p>
    <w:p w14:paraId="5A83B14E" w14:textId="10769993" w:rsidR="00B166EA" w:rsidRPr="00FA0D37" w:rsidRDefault="00B166EA" w:rsidP="00FA0D37">
      <w:pPr>
        <w:pStyle w:val="PL"/>
      </w:pPr>
      <w:r w:rsidRPr="00FA0D37">
        <w:t xml:space="preserve">    mTRP-PUSCH-TypeA-CB-r17                </w:t>
      </w:r>
      <w:r w:rsidRPr="00FA0D37">
        <w:rPr>
          <w:color w:val="993366"/>
        </w:rPr>
        <w:t>ENUMERATED</w:t>
      </w:r>
      <w:r w:rsidRPr="00FA0D37">
        <w:t xml:space="preserve"> {n1,n2,n4}                              </w:t>
      </w:r>
      <w:r w:rsidRPr="00FA0D37">
        <w:rPr>
          <w:color w:val="993366"/>
        </w:rPr>
        <w:t>OPTIONAL</w:t>
      </w:r>
      <w:r w:rsidRPr="00FA0D37">
        <w:t>,</w:t>
      </w:r>
    </w:p>
    <w:p w14:paraId="0935D36F" w14:textId="77777777" w:rsidR="00B166EA" w:rsidRPr="00FA0D37" w:rsidRDefault="00B166EA" w:rsidP="00FA0D37">
      <w:pPr>
        <w:pStyle w:val="PL"/>
        <w:rPr>
          <w:color w:val="808080"/>
        </w:rPr>
      </w:pPr>
      <w:r w:rsidRPr="00FA0D37">
        <w:t xml:space="preserve">    </w:t>
      </w:r>
      <w:r w:rsidRPr="00FA0D37">
        <w:rPr>
          <w:color w:val="808080"/>
        </w:rPr>
        <w:t>-- R1 23-3-1-2</w:t>
      </w:r>
      <w:r w:rsidRPr="00FA0D37">
        <w:rPr>
          <w:color w:val="808080"/>
        </w:rPr>
        <w:tab/>
        <w:t>Multi-TRP PUSCH repetition (type A) - non-codebook based</w:t>
      </w:r>
    </w:p>
    <w:p w14:paraId="70FCF17C" w14:textId="31CF5453" w:rsidR="00B166EA" w:rsidRPr="00FA0D37" w:rsidRDefault="00B166EA" w:rsidP="00FA0D37">
      <w:pPr>
        <w:pStyle w:val="PL"/>
      </w:pPr>
      <w:r w:rsidRPr="00FA0D37">
        <w:t xml:space="preserve">    mTRP-PUSCH-RepetitionTypeA-r17         </w:t>
      </w:r>
      <w:r w:rsidRPr="00FA0D37">
        <w:rPr>
          <w:color w:val="993366"/>
        </w:rPr>
        <w:t>ENUMERATED</w:t>
      </w:r>
      <w:r w:rsidRPr="00FA0D37">
        <w:t xml:space="preserve"> {n1,n2,n3,n4}                           </w:t>
      </w:r>
      <w:r w:rsidRPr="00FA0D37">
        <w:rPr>
          <w:color w:val="993366"/>
        </w:rPr>
        <w:t>OPTIONAL</w:t>
      </w:r>
      <w:r w:rsidRPr="00FA0D37">
        <w:t>,</w:t>
      </w:r>
    </w:p>
    <w:p w14:paraId="32C909AD" w14:textId="32214C26" w:rsidR="00B166EA" w:rsidRPr="00FA0D37" w:rsidRDefault="00B166EA" w:rsidP="00FA0D37">
      <w:pPr>
        <w:pStyle w:val="PL"/>
        <w:rPr>
          <w:color w:val="808080"/>
        </w:rPr>
      </w:pPr>
      <w:r w:rsidRPr="00FA0D37">
        <w:t xml:space="preserve">    </w:t>
      </w:r>
      <w:r w:rsidRPr="00FA0D37">
        <w:rPr>
          <w:color w:val="808080"/>
        </w:rPr>
        <w:t>-- R1 23-3-3</w:t>
      </w:r>
      <w:r w:rsidRPr="00FA0D37">
        <w:rPr>
          <w:color w:val="808080"/>
        </w:rPr>
        <w:tab/>
        <w:t>Multi-TRP PUCCH repetition-intra-slot</w:t>
      </w:r>
    </w:p>
    <w:p w14:paraId="6584ED6A" w14:textId="6C520D0C" w:rsidR="00B166EA" w:rsidRPr="00FA0D37" w:rsidRDefault="00B166EA" w:rsidP="00FA0D37">
      <w:pPr>
        <w:pStyle w:val="PL"/>
      </w:pPr>
      <w:r w:rsidRPr="00FA0D37">
        <w:lastRenderedPageBreak/>
        <w:t xml:space="preserve">    mTRP-PUCCH-IntraSlot-r17               </w:t>
      </w:r>
      <w:r w:rsidRPr="00FA0D37">
        <w:rPr>
          <w:color w:val="993366"/>
        </w:rPr>
        <w:t>ENUMERATED</w:t>
      </w:r>
      <w:r w:rsidRPr="00FA0D37">
        <w:t xml:space="preserve"> {pf0-2, pf1-3-4, pf0-4}                 </w:t>
      </w:r>
      <w:r w:rsidRPr="00FA0D37">
        <w:rPr>
          <w:color w:val="993366"/>
        </w:rPr>
        <w:t>OPTIONAL</w:t>
      </w:r>
      <w:r w:rsidRPr="00FA0D37">
        <w:t>,</w:t>
      </w:r>
    </w:p>
    <w:p w14:paraId="3794E4DC" w14:textId="42732A0B" w:rsidR="00B166EA" w:rsidRPr="00FA0D37" w:rsidRDefault="00B166EA" w:rsidP="00FA0D37">
      <w:pPr>
        <w:pStyle w:val="PL"/>
        <w:rPr>
          <w:color w:val="808080"/>
        </w:rPr>
      </w:pPr>
      <w:r w:rsidRPr="00FA0D37">
        <w:t xml:space="preserve">    </w:t>
      </w:r>
      <w:r w:rsidRPr="00FA0D37">
        <w:rPr>
          <w:color w:val="808080"/>
        </w:rPr>
        <w:t>-- R1 23-8-4</w:t>
      </w:r>
      <w:r w:rsidRPr="00FA0D37">
        <w:rPr>
          <w:color w:val="808080"/>
        </w:rPr>
        <w:tab/>
        <w:t>Maximum 2 SP and 1 periodic SRS sets for antenna switching</w:t>
      </w:r>
    </w:p>
    <w:p w14:paraId="661C8E3B" w14:textId="4A6F5F0C" w:rsidR="00B166EA" w:rsidRPr="00FA0D37" w:rsidRDefault="00B166EA" w:rsidP="00FA0D37">
      <w:pPr>
        <w:pStyle w:val="PL"/>
      </w:pPr>
      <w:r w:rsidRPr="00FA0D37">
        <w:t xml:space="preserve">    srs-AntennaSwitching2SP-1Periodic-r17  </w:t>
      </w:r>
      <w:r w:rsidRPr="00FA0D37">
        <w:rPr>
          <w:color w:val="993366"/>
        </w:rPr>
        <w:t>ENUMERATED</w:t>
      </w:r>
      <w:r w:rsidRPr="00FA0D37">
        <w:t xml:space="preserve"> {supported}                             </w:t>
      </w:r>
      <w:r w:rsidRPr="00FA0D37">
        <w:rPr>
          <w:color w:val="993366"/>
        </w:rPr>
        <w:t>OPTIONAL</w:t>
      </w:r>
      <w:r w:rsidRPr="00FA0D37">
        <w:t>,</w:t>
      </w:r>
    </w:p>
    <w:p w14:paraId="7089641E" w14:textId="5720B279" w:rsidR="00B166EA" w:rsidRPr="00FA0D37" w:rsidRDefault="00B166EA" w:rsidP="00FA0D37">
      <w:pPr>
        <w:pStyle w:val="PL"/>
        <w:rPr>
          <w:color w:val="808080"/>
        </w:rPr>
      </w:pPr>
      <w:r w:rsidRPr="00FA0D37">
        <w:t xml:space="preserve">    </w:t>
      </w:r>
      <w:r w:rsidRPr="00FA0D37">
        <w:rPr>
          <w:color w:val="808080"/>
        </w:rPr>
        <w:t>-- R1 23-8-9</w:t>
      </w:r>
      <w:r w:rsidRPr="00FA0D37">
        <w:rPr>
          <w:color w:val="808080"/>
        </w:rPr>
        <w:tab/>
        <w:t>Extension of aperiodic SRS configuration for 1T4R, 1T2R and 2T4R</w:t>
      </w:r>
    </w:p>
    <w:p w14:paraId="61D2C84F" w14:textId="1722D420" w:rsidR="00B166EA" w:rsidRPr="00FA0D37" w:rsidRDefault="00B166EA" w:rsidP="00FA0D37">
      <w:pPr>
        <w:pStyle w:val="PL"/>
      </w:pPr>
      <w:r w:rsidRPr="00FA0D37">
        <w:t xml:space="preserve">    srs-ExtensionAperiodicSRS-r17          </w:t>
      </w:r>
      <w:r w:rsidRPr="00FA0D37">
        <w:rPr>
          <w:color w:val="993366"/>
        </w:rPr>
        <w:t>ENUMERATED</w:t>
      </w:r>
      <w:r w:rsidRPr="00FA0D37">
        <w:t xml:space="preserve"> {supported}                             </w:t>
      </w:r>
      <w:r w:rsidRPr="00FA0D37">
        <w:rPr>
          <w:color w:val="993366"/>
        </w:rPr>
        <w:t>OPTIONAL</w:t>
      </w:r>
      <w:r w:rsidRPr="00FA0D37">
        <w:t>,</w:t>
      </w:r>
    </w:p>
    <w:p w14:paraId="6E5B70D0" w14:textId="1C6BBAEE" w:rsidR="00B166EA" w:rsidRPr="00FA0D37" w:rsidRDefault="00B166EA" w:rsidP="00FA0D37">
      <w:pPr>
        <w:pStyle w:val="PL"/>
        <w:rPr>
          <w:color w:val="808080"/>
        </w:rPr>
      </w:pPr>
      <w:r w:rsidRPr="00FA0D37">
        <w:t xml:space="preserve">    </w:t>
      </w:r>
      <w:r w:rsidRPr="00FA0D37">
        <w:rPr>
          <w:color w:val="808080"/>
        </w:rPr>
        <w:t>-- R1 23-8-10</w:t>
      </w:r>
      <w:r w:rsidRPr="00FA0D37">
        <w:rPr>
          <w:color w:val="808080"/>
        </w:rPr>
        <w:tab/>
        <w:t>1 aperiodic SRS resource set for 1T4R</w:t>
      </w:r>
    </w:p>
    <w:p w14:paraId="4503CDE7" w14:textId="6880DE8F" w:rsidR="00B166EA" w:rsidRPr="00FA0D37" w:rsidRDefault="00B166EA" w:rsidP="00FA0D37">
      <w:pPr>
        <w:pStyle w:val="PL"/>
      </w:pPr>
      <w:r w:rsidRPr="00FA0D37">
        <w:t xml:space="preserve">    srs-OneAP-SRS-r17                      </w:t>
      </w:r>
      <w:r w:rsidRPr="00FA0D37">
        <w:rPr>
          <w:color w:val="993366"/>
        </w:rPr>
        <w:t>ENUMERATED</w:t>
      </w:r>
      <w:r w:rsidRPr="00FA0D37">
        <w:t xml:space="preserve"> {supported}                             </w:t>
      </w:r>
      <w:r w:rsidRPr="00FA0D37">
        <w:rPr>
          <w:color w:val="993366"/>
        </w:rPr>
        <w:t>OPTIONAL</w:t>
      </w:r>
      <w:r w:rsidRPr="00FA0D37">
        <w:t>,</w:t>
      </w:r>
    </w:p>
    <w:p w14:paraId="3DFEF7F3" w14:textId="27A06B4D" w:rsidR="00B166EA" w:rsidRPr="00FA0D37" w:rsidRDefault="00B166EA" w:rsidP="00FA0D37">
      <w:pPr>
        <w:pStyle w:val="PL"/>
        <w:rPr>
          <w:color w:val="808080"/>
        </w:rPr>
      </w:pPr>
      <w:r w:rsidRPr="00FA0D37">
        <w:t xml:space="preserve">    </w:t>
      </w:r>
      <w:r w:rsidRPr="00FA0D37">
        <w:rPr>
          <w:color w:val="808080"/>
        </w:rPr>
        <w:t>-- R4 16-8 UE power class per band per band combination</w:t>
      </w:r>
    </w:p>
    <w:p w14:paraId="797B07BB" w14:textId="45A75762" w:rsidR="00B166EA" w:rsidRPr="00FA0D37" w:rsidRDefault="00B166EA" w:rsidP="00FA0D37">
      <w:pPr>
        <w:pStyle w:val="PL"/>
      </w:pPr>
      <w:r w:rsidRPr="00FA0D37">
        <w:t xml:space="preserve">    ue-PowerClassPerBandPerBC-r17          </w:t>
      </w:r>
      <w:r w:rsidRPr="00FA0D37">
        <w:rPr>
          <w:color w:val="993366"/>
        </w:rPr>
        <w:t>ENUMERATED</w:t>
      </w:r>
      <w:r w:rsidRPr="00FA0D37">
        <w:t xml:space="preserve"> {pc1dot5, pc2, pc3}                     </w:t>
      </w:r>
      <w:r w:rsidRPr="00FA0D37">
        <w:rPr>
          <w:color w:val="993366"/>
        </w:rPr>
        <w:t>OPTIONAL</w:t>
      </w:r>
      <w:r w:rsidRPr="00FA0D37">
        <w:t>,</w:t>
      </w:r>
    </w:p>
    <w:p w14:paraId="7FE484B2" w14:textId="77777777" w:rsidR="00B166EA" w:rsidRPr="00FA0D37" w:rsidRDefault="00B166EA" w:rsidP="00FA0D37">
      <w:pPr>
        <w:pStyle w:val="PL"/>
        <w:rPr>
          <w:color w:val="808080"/>
        </w:rPr>
      </w:pPr>
      <w:r w:rsidRPr="00FA0D37">
        <w:t xml:space="preserve">    </w:t>
      </w:r>
      <w:r w:rsidRPr="00FA0D37">
        <w:rPr>
          <w:color w:val="808080"/>
        </w:rPr>
        <w:t>-- R4 17-8 UL transmission in FR2 bands within an UL gap when the UL gap is activated</w:t>
      </w:r>
    </w:p>
    <w:p w14:paraId="7CC392ED" w14:textId="2FC84C3B" w:rsidR="00B166EA" w:rsidRPr="00FA0D37" w:rsidRDefault="00B166EA" w:rsidP="00FA0D37">
      <w:pPr>
        <w:pStyle w:val="PL"/>
      </w:pPr>
      <w:r w:rsidRPr="00FA0D37">
        <w:t xml:space="preserve">    tx-Support-UL-GapFR2-r17               </w:t>
      </w:r>
      <w:r w:rsidRPr="00FA0D37">
        <w:rPr>
          <w:color w:val="993366"/>
        </w:rPr>
        <w:t>ENUMERATED</w:t>
      </w:r>
      <w:r w:rsidRPr="00FA0D37">
        <w:t xml:space="preserve"> {supported}                             </w:t>
      </w:r>
      <w:r w:rsidRPr="00FA0D37">
        <w:rPr>
          <w:color w:val="993366"/>
        </w:rPr>
        <w:t>OPTIONAL</w:t>
      </w:r>
    </w:p>
    <w:p w14:paraId="73BA99AB" w14:textId="58BB8552" w:rsidR="00B166EA" w:rsidRPr="00FA0D37" w:rsidRDefault="00B166EA" w:rsidP="00FA0D37">
      <w:pPr>
        <w:pStyle w:val="PL"/>
      </w:pPr>
      <w:r w:rsidRPr="00FA0D37">
        <w:t>}</w:t>
      </w:r>
    </w:p>
    <w:p w14:paraId="482E70B2" w14:textId="77777777" w:rsidR="00FD0B5C" w:rsidRPr="00FA0D37" w:rsidRDefault="00FD0B5C" w:rsidP="00FA0D37">
      <w:pPr>
        <w:pStyle w:val="PL"/>
      </w:pPr>
    </w:p>
    <w:p w14:paraId="38A6403F" w14:textId="0F937B3F" w:rsidR="00FD0B5C" w:rsidRPr="00FA0D37" w:rsidRDefault="00FD0B5C" w:rsidP="00FA0D37">
      <w:pPr>
        <w:pStyle w:val="PL"/>
      </w:pPr>
      <w:r w:rsidRPr="00FA0D37">
        <w:t xml:space="preserve">FeatureSetUplink-v1720 ::= </w:t>
      </w:r>
      <w:r w:rsidRPr="00FA0D37">
        <w:rPr>
          <w:color w:val="993366"/>
        </w:rPr>
        <w:t>SEQUENCE</w:t>
      </w:r>
      <w:r w:rsidRPr="00FA0D37">
        <w:t xml:space="preserve"> {</w:t>
      </w:r>
    </w:p>
    <w:p w14:paraId="5CFB73B9" w14:textId="09A3B027" w:rsidR="00FD0B5C" w:rsidRPr="00FA0D37" w:rsidRDefault="00FD0B5C" w:rsidP="00FA0D37">
      <w:pPr>
        <w:pStyle w:val="PL"/>
        <w:rPr>
          <w:color w:val="808080"/>
        </w:rPr>
      </w:pPr>
      <w:r w:rsidRPr="00FA0D37">
        <w:t xml:space="preserve">    </w:t>
      </w:r>
      <w:r w:rsidRPr="00FA0D37">
        <w:rPr>
          <w:color w:val="808080"/>
        </w:rPr>
        <w:t>-- R1 25-3: Repetitions for PUCCH format 0, 1, 2, 3 and 4 over multiple PUCCH subslots with configured K = 2, 4, 8</w:t>
      </w:r>
    </w:p>
    <w:p w14:paraId="35935AF2" w14:textId="01355814" w:rsidR="00FD0B5C" w:rsidRPr="00FA0D37" w:rsidRDefault="00FD0B5C" w:rsidP="00FA0D37">
      <w:pPr>
        <w:pStyle w:val="PL"/>
      </w:pPr>
      <w:r w:rsidRPr="00FA0D37">
        <w:t xml:space="preserve">    pucch-Repetition-F0-1-2-3-4-RRC-Config-r17         </w:t>
      </w:r>
      <w:r w:rsidRPr="00FA0D37">
        <w:rPr>
          <w:color w:val="993366"/>
        </w:rPr>
        <w:t>ENUMERATED</w:t>
      </w:r>
      <w:r w:rsidRPr="00FA0D37">
        <w:t xml:space="preserve"> {supported}                 </w:t>
      </w:r>
      <w:r w:rsidRPr="00FA0D37">
        <w:rPr>
          <w:color w:val="993366"/>
        </w:rPr>
        <w:t>OPTIONAL</w:t>
      </w:r>
      <w:r w:rsidRPr="00FA0D37">
        <w:t>,</w:t>
      </w:r>
    </w:p>
    <w:p w14:paraId="7114CE7A" w14:textId="2F4513BA" w:rsidR="00FD0B5C" w:rsidRPr="00FA0D37" w:rsidRDefault="00FD0B5C" w:rsidP="00FA0D37">
      <w:pPr>
        <w:pStyle w:val="PL"/>
        <w:rPr>
          <w:color w:val="808080"/>
        </w:rPr>
      </w:pPr>
      <w:r w:rsidRPr="00FA0D37">
        <w:t xml:space="preserve">    </w:t>
      </w:r>
      <w:r w:rsidRPr="00FA0D37">
        <w:rPr>
          <w:color w:val="808080"/>
        </w:rPr>
        <w:t>-- R1 25-3a: Repetitions for PUCCH format 0, 1, 2, 3 and 4 over multiple PUCCH subslots using dynamic repetition indication</w:t>
      </w:r>
    </w:p>
    <w:p w14:paraId="464212FC" w14:textId="4F3779E5" w:rsidR="00FD0B5C" w:rsidRPr="00FA0D37" w:rsidRDefault="00FD0B5C" w:rsidP="00FA0D37">
      <w:pPr>
        <w:pStyle w:val="PL"/>
      </w:pPr>
      <w:r w:rsidRPr="00FA0D37">
        <w:t xml:space="preserve">    pucch-Repetition-F0-1-2-3-4-DynamicIndication-r17  </w:t>
      </w:r>
      <w:r w:rsidRPr="00FA0D37">
        <w:rPr>
          <w:color w:val="993366"/>
        </w:rPr>
        <w:t>ENUMERATED</w:t>
      </w:r>
      <w:r w:rsidRPr="00FA0D37">
        <w:t xml:space="preserve"> {supported}                 </w:t>
      </w:r>
      <w:r w:rsidRPr="00FA0D37">
        <w:rPr>
          <w:color w:val="993366"/>
        </w:rPr>
        <w:t>OPTIONAL</w:t>
      </w:r>
      <w:r w:rsidRPr="00FA0D37">
        <w:t>,</w:t>
      </w:r>
    </w:p>
    <w:p w14:paraId="6FDF2057" w14:textId="780467CF" w:rsidR="00FD0B5C" w:rsidRPr="00FA0D37" w:rsidRDefault="00FD0B5C" w:rsidP="00FA0D37">
      <w:pPr>
        <w:pStyle w:val="PL"/>
        <w:rPr>
          <w:color w:val="808080"/>
        </w:rPr>
      </w:pPr>
      <w:r w:rsidRPr="00FA0D37">
        <w:t xml:space="preserve">    </w:t>
      </w:r>
      <w:r w:rsidRPr="00FA0D37">
        <w:rPr>
          <w:color w:val="808080"/>
        </w:rPr>
        <w:t>-- R1 25-3b: Inter-subslot frequency hopping for PUCCH repetitions</w:t>
      </w:r>
    </w:p>
    <w:p w14:paraId="5DE89ECB" w14:textId="60ED0CE4" w:rsidR="00FD0B5C" w:rsidRPr="00FA0D37" w:rsidRDefault="00FD0B5C" w:rsidP="00FA0D37">
      <w:pPr>
        <w:pStyle w:val="PL"/>
      </w:pPr>
      <w:r w:rsidRPr="00FA0D37">
        <w:t xml:space="preserve">    interSubslotFreqHopping-PUCCH-r17                  </w:t>
      </w:r>
      <w:r w:rsidRPr="00FA0D37">
        <w:rPr>
          <w:color w:val="993366"/>
        </w:rPr>
        <w:t>ENUMERATED</w:t>
      </w:r>
      <w:r w:rsidRPr="00FA0D37">
        <w:t xml:space="preserve"> {supported}                 </w:t>
      </w:r>
      <w:r w:rsidRPr="00FA0D37">
        <w:rPr>
          <w:color w:val="993366"/>
        </w:rPr>
        <w:t>OPTIONAL</w:t>
      </w:r>
      <w:r w:rsidRPr="00FA0D37">
        <w:t>,</w:t>
      </w:r>
    </w:p>
    <w:p w14:paraId="4020AEE2" w14:textId="419DFC94" w:rsidR="00FD0B5C" w:rsidRPr="00FA0D37" w:rsidRDefault="00FD0B5C" w:rsidP="00FA0D37">
      <w:pPr>
        <w:pStyle w:val="PL"/>
        <w:rPr>
          <w:color w:val="808080"/>
        </w:rPr>
      </w:pPr>
      <w:r w:rsidRPr="00FA0D37">
        <w:t xml:space="preserve">    </w:t>
      </w:r>
      <w:r w:rsidRPr="00FA0D37">
        <w:rPr>
          <w:color w:val="808080"/>
        </w:rPr>
        <w:t>-- R1 25-8: Semi-static HARQ-ACK codebook for sub-slot PUCCH</w:t>
      </w:r>
    </w:p>
    <w:p w14:paraId="40E1E579" w14:textId="4F8CCC43" w:rsidR="00FD0B5C" w:rsidRPr="00FA0D37" w:rsidRDefault="00FD0B5C" w:rsidP="00FA0D37">
      <w:pPr>
        <w:pStyle w:val="PL"/>
      </w:pPr>
      <w:r w:rsidRPr="00FA0D37">
        <w:t xml:space="preserve">    semiStaticHARQ-ACK-CodebookSub-SlotPUCCH-r17       </w:t>
      </w:r>
      <w:r w:rsidRPr="00FA0D37">
        <w:rPr>
          <w:color w:val="993366"/>
        </w:rPr>
        <w:t>ENUMERATED</w:t>
      </w:r>
      <w:r w:rsidRPr="00FA0D37">
        <w:t xml:space="preserve"> {supported}                 </w:t>
      </w:r>
      <w:r w:rsidRPr="00FA0D37">
        <w:rPr>
          <w:color w:val="993366"/>
        </w:rPr>
        <w:t>OPTIONAL</w:t>
      </w:r>
      <w:r w:rsidRPr="00FA0D37">
        <w:t>,</w:t>
      </w:r>
    </w:p>
    <w:p w14:paraId="352D36D6" w14:textId="2C4F9BED" w:rsidR="00FD0B5C" w:rsidRPr="00FA0D37" w:rsidRDefault="00FD0B5C" w:rsidP="00FA0D37">
      <w:pPr>
        <w:pStyle w:val="PL"/>
        <w:rPr>
          <w:color w:val="808080"/>
        </w:rPr>
      </w:pPr>
      <w:r w:rsidRPr="00FA0D37">
        <w:t xml:space="preserve">    </w:t>
      </w:r>
      <w:r w:rsidRPr="00FA0D37">
        <w:rPr>
          <w:color w:val="808080"/>
        </w:rPr>
        <w:t>-- R1 25-14: PHY prioritization of overlapping low-priority DG-PUSCH and high-priority CG-PUSCH</w:t>
      </w:r>
    </w:p>
    <w:p w14:paraId="229D8E74" w14:textId="315D8315" w:rsidR="00FD0B5C" w:rsidRPr="00FA0D37" w:rsidRDefault="00FD0B5C" w:rsidP="00FA0D37">
      <w:pPr>
        <w:pStyle w:val="PL"/>
      </w:pPr>
      <w:r w:rsidRPr="00FA0D37">
        <w:t xml:space="preserve">    phy-PrioritizationLowPriorityDG-HighPriorityCG-r17 </w:t>
      </w:r>
      <w:r w:rsidRPr="00FA0D37">
        <w:rPr>
          <w:color w:val="993366"/>
        </w:rPr>
        <w:t>INTEGER</w:t>
      </w:r>
      <w:r w:rsidRPr="00FA0D37">
        <w:t xml:space="preserve">(1..16)                         </w:t>
      </w:r>
      <w:r w:rsidRPr="00FA0D37">
        <w:rPr>
          <w:color w:val="993366"/>
        </w:rPr>
        <w:t>OPTIONAL</w:t>
      </w:r>
      <w:r w:rsidRPr="00FA0D37">
        <w:t>,</w:t>
      </w:r>
    </w:p>
    <w:p w14:paraId="116EC266" w14:textId="316782A3" w:rsidR="00FD0B5C" w:rsidRPr="00FA0D37" w:rsidRDefault="00FD0B5C" w:rsidP="00FA0D37">
      <w:pPr>
        <w:pStyle w:val="PL"/>
        <w:rPr>
          <w:color w:val="808080"/>
        </w:rPr>
      </w:pPr>
      <w:r w:rsidRPr="00FA0D37">
        <w:t xml:space="preserve">    </w:t>
      </w:r>
      <w:r w:rsidRPr="00FA0D37">
        <w:rPr>
          <w:color w:val="808080"/>
        </w:rPr>
        <w:t>-- R1 25-15: PHY prioritization of overlapping high-priority DG-PUSCH and low-priority CG-PUSCH</w:t>
      </w:r>
    </w:p>
    <w:p w14:paraId="612476C1" w14:textId="370C36B5" w:rsidR="00FD0B5C" w:rsidRPr="00FA0D37" w:rsidRDefault="00FD0B5C" w:rsidP="00FA0D37">
      <w:pPr>
        <w:pStyle w:val="PL"/>
      </w:pPr>
      <w:r w:rsidRPr="00FA0D37">
        <w:t xml:space="preserve">    phy-PrioritizationHighPriorityDG-LowPriorityCG-r17 </w:t>
      </w:r>
      <w:r w:rsidRPr="00FA0D37">
        <w:rPr>
          <w:color w:val="993366"/>
        </w:rPr>
        <w:t>SEQUENCE</w:t>
      </w:r>
      <w:r w:rsidRPr="00FA0D37">
        <w:t xml:space="preserve"> {</w:t>
      </w:r>
    </w:p>
    <w:p w14:paraId="4EECB0B1" w14:textId="7584ECBF" w:rsidR="00FD0B5C" w:rsidRPr="00FA0D37" w:rsidRDefault="00FD0B5C" w:rsidP="00FA0D37">
      <w:pPr>
        <w:pStyle w:val="PL"/>
      </w:pPr>
      <w:r w:rsidRPr="00FA0D37">
        <w:t xml:space="preserve">        pusch-PreparationLowPriority-r17                   </w:t>
      </w:r>
      <w:r w:rsidRPr="00FA0D37">
        <w:rPr>
          <w:color w:val="993366"/>
        </w:rPr>
        <w:t>ENUMERATED</w:t>
      </w:r>
      <w:r w:rsidRPr="00FA0D37">
        <w:t>{sym0, sym1, sym2},</w:t>
      </w:r>
    </w:p>
    <w:p w14:paraId="69434353" w14:textId="27E9BD01" w:rsidR="00FD0B5C" w:rsidRPr="00FA0D37" w:rsidRDefault="00FD0B5C" w:rsidP="00FA0D37">
      <w:pPr>
        <w:pStyle w:val="PL"/>
      </w:pPr>
      <w:r w:rsidRPr="00FA0D37">
        <w:t xml:space="preserve">        additionalCancellationTime-r17                     </w:t>
      </w:r>
      <w:r w:rsidRPr="00FA0D37">
        <w:rPr>
          <w:color w:val="993366"/>
        </w:rPr>
        <w:t>SEQUENCE</w:t>
      </w:r>
      <w:r w:rsidRPr="00FA0D37">
        <w:t xml:space="preserve"> {</w:t>
      </w:r>
    </w:p>
    <w:p w14:paraId="547ABCDD" w14:textId="3CE97A38" w:rsidR="00FD0B5C" w:rsidRPr="00FA0D37" w:rsidRDefault="00FD0B5C" w:rsidP="00FA0D37">
      <w:pPr>
        <w:pStyle w:val="PL"/>
      </w:pPr>
      <w:r w:rsidRPr="00FA0D37">
        <w:t xml:space="preserve">            scs-15kHz-r17                                      </w:t>
      </w:r>
      <w:r w:rsidRPr="00FA0D37">
        <w:rPr>
          <w:color w:val="993366"/>
        </w:rPr>
        <w:t>ENUMERATED</w:t>
      </w:r>
      <w:r w:rsidRPr="00FA0D37">
        <w:t xml:space="preserve">{sym0, sym1, sym2}   </w:t>
      </w:r>
      <w:r w:rsidRPr="00FA0D37">
        <w:rPr>
          <w:color w:val="993366"/>
        </w:rPr>
        <w:t>OPTIONAL</w:t>
      </w:r>
      <w:r w:rsidRPr="00FA0D37">
        <w:t>,</w:t>
      </w:r>
    </w:p>
    <w:p w14:paraId="03AC51D7" w14:textId="0B3378A3" w:rsidR="00FD0B5C" w:rsidRPr="00FA0D37" w:rsidRDefault="00FD0B5C" w:rsidP="00FA0D37">
      <w:pPr>
        <w:pStyle w:val="PL"/>
      </w:pPr>
      <w:r w:rsidRPr="00FA0D37">
        <w:t xml:space="preserve">            scs-30kHz-r17                                      </w:t>
      </w:r>
      <w:r w:rsidRPr="00FA0D37">
        <w:rPr>
          <w:color w:val="993366"/>
        </w:rPr>
        <w:t>ENUMERATED</w:t>
      </w:r>
      <w:r w:rsidRPr="00FA0D37">
        <w:t xml:space="preserve">{sym0, sym1, sym2, sym3, sym4}    </w:t>
      </w:r>
      <w:r w:rsidRPr="00FA0D37">
        <w:rPr>
          <w:color w:val="993366"/>
        </w:rPr>
        <w:t>OPTIONAL</w:t>
      </w:r>
      <w:r w:rsidRPr="00FA0D37">
        <w:t>,</w:t>
      </w:r>
    </w:p>
    <w:p w14:paraId="04CC59A2" w14:textId="64233397" w:rsidR="00FD0B5C" w:rsidRPr="00FA0D37" w:rsidRDefault="00FD0B5C" w:rsidP="00FA0D37">
      <w:pPr>
        <w:pStyle w:val="PL"/>
      </w:pPr>
      <w:r w:rsidRPr="00FA0D37">
        <w:t xml:space="preserve">            scs-60kHz-r17                                      </w:t>
      </w:r>
      <w:r w:rsidRPr="00FA0D37">
        <w:rPr>
          <w:color w:val="993366"/>
        </w:rPr>
        <w:t>ENUMERATED</w:t>
      </w:r>
      <w:r w:rsidRPr="00FA0D37">
        <w:t xml:space="preserve">{sym0, sym1, sym2, sym3, sym4, sym5, sym6, sym7, sym8} </w:t>
      </w:r>
      <w:r w:rsidRPr="00FA0D37">
        <w:rPr>
          <w:color w:val="993366"/>
        </w:rPr>
        <w:t>OPTIONAL</w:t>
      </w:r>
      <w:r w:rsidRPr="00FA0D37">
        <w:t>,</w:t>
      </w:r>
    </w:p>
    <w:p w14:paraId="565BC905" w14:textId="0F965A76" w:rsidR="00FD0B5C" w:rsidRPr="00FA0D37" w:rsidRDefault="00FD0B5C" w:rsidP="00FA0D37">
      <w:pPr>
        <w:pStyle w:val="PL"/>
      </w:pPr>
      <w:r w:rsidRPr="00FA0D37">
        <w:t xml:space="preserve">            scs-120kHz-r17                                     </w:t>
      </w:r>
      <w:r w:rsidRPr="00FA0D37">
        <w:rPr>
          <w:color w:val="993366"/>
        </w:rPr>
        <w:t>ENUMERATED</w:t>
      </w:r>
      <w:r w:rsidRPr="00FA0D37">
        <w:t>{sym0, sym1, sym2, sym3, sym4, sym5, sym6, sym7, sym8, sym9,</w:t>
      </w:r>
    </w:p>
    <w:p w14:paraId="7FB0E554" w14:textId="02F1335A" w:rsidR="00FD0B5C" w:rsidRPr="00FA0D37" w:rsidRDefault="00FD0B5C" w:rsidP="00FA0D37">
      <w:pPr>
        <w:pStyle w:val="PL"/>
      </w:pPr>
      <w:r w:rsidRPr="00FA0D37">
        <w:t xml:space="preserve">                                                                          sym10, sym11, sym12, sym13, sym14, sym15, sym16}    </w:t>
      </w:r>
      <w:r w:rsidRPr="00FA0D37">
        <w:rPr>
          <w:color w:val="993366"/>
        </w:rPr>
        <w:t>OPTIONAL</w:t>
      </w:r>
    </w:p>
    <w:p w14:paraId="405AC159" w14:textId="2ABC7832" w:rsidR="00FD0B5C" w:rsidRPr="00FA0D37" w:rsidRDefault="00FD0B5C" w:rsidP="00FA0D37">
      <w:pPr>
        <w:pStyle w:val="PL"/>
      </w:pPr>
      <w:r w:rsidRPr="00FA0D37">
        <w:t xml:space="preserve">        },</w:t>
      </w:r>
    </w:p>
    <w:p w14:paraId="74B85AA8" w14:textId="69E1370C" w:rsidR="00FD0B5C" w:rsidRPr="00FA0D37" w:rsidRDefault="00FD0B5C" w:rsidP="00FA0D37">
      <w:pPr>
        <w:pStyle w:val="PL"/>
      </w:pPr>
      <w:r w:rsidRPr="00FA0D37">
        <w:t xml:space="preserve">        maxNumberCarriers-r17                              </w:t>
      </w:r>
      <w:r w:rsidRPr="00FA0D37">
        <w:rPr>
          <w:color w:val="993366"/>
        </w:rPr>
        <w:t>INTEGER</w:t>
      </w:r>
      <w:r w:rsidRPr="00FA0D37">
        <w:t>(1..16)</w:t>
      </w:r>
    </w:p>
    <w:p w14:paraId="5F7ACB60" w14:textId="7A46723A" w:rsidR="00FD0B5C" w:rsidRPr="00FA0D37" w:rsidRDefault="00FD0B5C" w:rsidP="00FA0D37">
      <w:pPr>
        <w:pStyle w:val="PL"/>
      </w:pPr>
      <w:r w:rsidRPr="00FA0D37">
        <w:t xml:space="preserve">    }                                                                                         </w:t>
      </w:r>
      <w:r w:rsidRPr="00FA0D37">
        <w:rPr>
          <w:color w:val="993366"/>
        </w:rPr>
        <w:t>OPTIONAL</w:t>
      </w:r>
      <w:r w:rsidRPr="00FA0D37">
        <w:t>,</w:t>
      </w:r>
    </w:p>
    <w:p w14:paraId="04D914E5" w14:textId="77777777" w:rsidR="00FD0B5C" w:rsidRPr="00FA0D37" w:rsidRDefault="00FD0B5C" w:rsidP="00FA0D37">
      <w:pPr>
        <w:pStyle w:val="PL"/>
        <w:rPr>
          <w:color w:val="808080"/>
        </w:rPr>
      </w:pPr>
      <w:r w:rsidRPr="00FA0D37">
        <w:t xml:space="preserve">    </w:t>
      </w:r>
      <w:r w:rsidRPr="00FA0D37">
        <w:rPr>
          <w:color w:val="808080"/>
        </w:rPr>
        <w:t>-- R4 17-5 Support of UL DC location(s) report</w:t>
      </w:r>
    </w:p>
    <w:p w14:paraId="170341B4" w14:textId="5BF53E54" w:rsidR="00FD0B5C" w:rsidRPr="00FA0D37" w:rsidRDefault="00FD0B5C" w:rsidP="00FA0D37">
      <w:pPr>
        <w:pStyle w:val="PL"/>
      </w:pPr>
      <w:r w:rsidRPr="00FA0D37">
        <w:t xml:space="preserve">    extendedDC-LocationReport-r17                      </w:t>
      </w:r>
      <w:r w:rsidRPr="00FA0D37">
        <w:rPr>
          <w:color w:val="993366"/>
        </w:rPr>
        <w:t>ENUMERATED</w:t>
      </w:r>
      <w:r w:rsidRPr="00FA0D37">
        <w:t xml:space="preserve"> {supported}                 </w:t>
      </w:r>
      <w:r w:rsidRPr="00FA0D37">
        <w:rPr>
          <w:color w:val="993366"/>
        </w:rPr>
        <w:t>OPTIONAL</w:t>
      </w:r>
    </w:p>
    <w:p w14:paraId="0352723C" w14:textId="025FB8A4" w:rsidR="00FD0B5C" w:rsidRPr="00FA0D37" w:rsidRDefault="00FD0B5C" w:rsidP="00FA0D37">
      <w:pPr>
        <w:pStyle w:val="PL"/>
      </w:pPr>
      <w:r w:rsidRPr="00FA0D37">
        <w:t>}</w:t>
      </w:r>
    </w:p>
    <w:p w14:paraId="24BE739C" w14:textId="77777777" w:rsidR="00FD0B5C" w:rsidRPr="00FA0D37" w:rsidRDefault="00FD0B5C" w:rsidP="00FA0D37">
      <w:pPr>
        <w:pStyle w:val="PL"/>
      </w:pPr>
    </w:p>
    <w:p w14:paraId="53328628" w14:textId="011C35C7" w:rsidR="00F26779" w:rsidRPr="00FA0D37" w:rsidRDefault="00F26779" w:rsidP="00FA0D37">
      <w:pPr>
        <w:pStyle w:val="PL"/>
      </w:pPr>
      <w:r w:rsidRPr="00FA0D37">
        <w:t xml:space="preserve">SubSlot-Config-r16 ::=                  </w:t>
      </w:r>
      <w:r w:rsidRPr="00FA0D37">
        <w:rPr>
          <w:color w:val="993366"/>
        </w:rPr>
        <w:t>SEQUENCE</w:t>
      </w:r>
      <w:r w:rsidRPr="00FA0D37">
        <w:t xml:space="preserve"> {</w:t>
      </w:r>
    </w:p>
    <w:p w14:paraId="54517FB3" w14:textId="77777777" w:rsidR="00F26779" w:rsidRPr="00FA0D37" w:rsidRDefault="00F26779" w:rsidP="00FA0D37">
      <w:pPr>
        <w:pStyle w:val="PL"/>
      </w:pPr>
      <w:r w:rsidRPr="00FA0D37">
        <w:t xml:space="preserve">    sub-SlotConfig-NCP-r16                  </w:t>
      </w:r>
      <w:r w:rsidRPr="00FA0D37">
        <w:rPr>
          <w:color w:val="993366"/>
        </w:rPr>
        <w:t>ENUMERATED</w:t>
      </w:r>
      <w:r w:rsidRPr="00FA0D37">
        <w:t xml:space="preserve"> {n4,n5,n6,n7}              </w:t>
      </w:r>
      <w:r w:rsidRPr="00FA0D37">
        <w:rPr>
          <w:color w:val="993366"/>
        </w:rPr>
        <w:t>OPTIONAL</w:t>
      </w:r>
      <w:r w:rsidRPr="00FA0D37">
        <w:t>,</w:t>
      </w:r>
    </w:p>
    <w:p w14:paraId="559CE7B1" w14:textId="77777777" w:rsidR="00F26779" w:rsidRPr="00FA0D37" w:rsidRDefault="00F26779" w:rsidP="00FA0D37">
      <w:pPr>
        <w:pStyle w:val="PL"/>
      </w:pPr>
      <w:r w:rsidRPr="00FA0D37">
        <w:t xml:space="preserve">    sub-SlotConfig-ECP-r16                  </w:t>
      </w:r>
      <w:r w:rsidRPr="00FA0D37">
        <w:rPr>
          <w:color w:val="993366"/>
        </w:rPr>
        <w:t>ENUMERATED</w:t>
      </w:r>
      <w:r w:rsidRPr="00FA0D37">
        <w:t xml:space="preserve"> {n4,n5,n6}                 </w:t>
      </w:r>
      <w:r w:rsidRPr="00FA0D37">
        <w:rPr>
          <w:color w:val="993366"/>
        </w:rPr>
        <w:t>OPTIONAL</w:t>
      </w:r>
    </w:p>
    <w:p w14:paraId="77E975E5" w14:textId="56D498FD" w:rsidR="00F26779" w:rsidRPr="00FA0D37" w:rsidRDefault="00F26779" w:rsidP="00FA0D37">
      <w:pPr>
        <w:pStyle w:val="PL"/>
      </w:pPr>
      <w:r w:rsidRPr="00FA0D37">
        <w:t>}</w:t>
      </w:r>
    </w:p>
    <w:p w14:paraId="34FE038B" w14:textId="77777777" w:rsidR="00F26779" w:rsidRPr="00FA0D37" w:rsidRDefault="00F26779" w:rsidP="00FA0D37">
      <w:pPr>
        <w:pStyle w:val="PL"/>
      </w:pPr>
    </w:p>
    <w:p w14:paraId="504C79A5" w14:textId="77777777" w:rsidR="00394471" w:rsidRPr="00FA0D37" w:rsidRDefault="00394471" w:rsidP="00FA0D37">
      <w:pPr>
        <w:pStyle w:val="PL"/>
      </w:pPr>
      <w:r w:rsidRPr="00FA0D37">
        <w:t xml:space="preserve">SRS-AllPosResources-r16 ::=               </w:t>
      </w:r>
      <w:r w:rsidRPr="00FA0D37">
        <w:rPr>
          <w:color w:val="993366"/>
        </w:rPr>
        <w:t>SEQUENCE</w:t>
      </w:r>
      <w:r w:rsidRPr="00FA0D37">
        <w:t xml:space="preserve"> {</w:t>
      </w:r>
    </w:p>
    <w:p w14:paraId="20E3A21C" w14:textId="77777777" w:rsidR="00394471" w:rsidRPr="00FA0D37" w:rsidRDefault="00394471" w:rsidP="00FA0D37">
      <w:pPr>
        <w:pStyle w:val="PL"/>
      </w:pPr>
      <w:r w:rsidRPr="00FA0D37">
        <w:t xml:space="preserve">    srs-PosResources-r16                      SRS-PosResources-r16,</w:t>
      </w:r>
    </w:p>
    <w:p w14:paraId="57CEC69D" w14:textId="77777777" w:rsidR="00394471" w:rsidRPr="00FA0D37" w:rsidRDefault="00394471" w:rsidP="00FA0D37">
      <w:pPr>
        <w:pStyle w:val="PL"/>
      </w:pPr>
      <w:r w:rsidRPr="00FA0D37">
        <w:t xml:space="preserve">    srs-PosResourceAP-r16                     SRS-PosResourceAP-r16                </w:t>
      </w:r>
      <w:r w:rsidRPr="00FA0D37">
        <w:rPr>
          <w:color w:val="993366"/>
        </w:rPr>
        <w:t>OPTIONAL</w:t>
      </w:r>
      <w:r w:rsidRPr="00FA0D37">
        <w:t>,</w:t>
      </w:r>
    </w:p>
    <w:p w14:paraId="32A668F3" w14:textId="77777777" w:rsidR="00394471" w:rsidRPr="00FA0D37" w:rsidRDefault="00394471" w:rsidP="00FA0D37">
      <w:pPr>
        <w:pStyle w:val="PL"/>
      </w:pPr>
      <w:r w:rsidRPr="00FA0D37">
        <w:t xml:space="preserve">    srs-PosResourceSP-r16                     SRS-PosResourceSP-r16                </w:t>
      </w:r>
      <w:r w:rsidRPr="00FA0D37">
        <w:rPr>
          <w:color w:val="993366"/>
        </w:rPr>
        <w:t>OPTIONAL</w:t>
      </w:r>
    </w:p>
    <w:p w14:paraId="35150C0B" w14:textId="77777777" w:rsidR="00394471" w:rsidRPr="00FA0D37" w:rsidRDefault="00394471" w:rsidP="00FA0D37">
      <w:pPr>
        <w:pStyle w:val="PL"/>
      </w:pPr>
      <w:r w:rsidRPr="00FA0D37">
        <w:t>}</w:t>
      </w:r>
    </w:p>
    <w:p w14:paraId="037BCCB4" w14:textId="77777777" w:rsidR="00394471" w:rsidRPr="00FA0D37" w:rsidRDefault="00394471" w:rsidP="00FA0D37">
      <w:pPr>
        <w:pStyle w:val="PL"/>
      </w:pPr>
    </w:p>
    <w:p w14:paraId="3F68CC8A" w14:textId="77777777" w:rsidR="00394471" w:rsidRPr="00FA0D37" w:rsidRDefault="00394471" w:rsidP="00FA0D37">
      <w:pPr>
        <w:pStyle w:val="PL"/>
      </w:pPr>
      <w:r w:rsidRPr="00FA0D37">
        <w:lastRenderedPageBreak/>
        <w:t xml:space="preserve">SRS-PosResources-r16 ::=                       </w:t>
      </w:r>
      <w:r w:rsidRPr="00FA0D37">
        <w:rPr>
          <w:color w:val="993366"/>
        </w:rPr>
        <w:t>SEQUENCE</w:t>
      </w:r>
      <w:r w:rsidRPr="00FA0D37">
        <w:t xml:space="preserve"> {</w:t>
      </w:r>
    </w:p>
    <w:p w14:paraId="327B97FC" w14:textId="77777777" w:rsidR="00394471" w:rsidRPr="00FA0D37" w:rsidRDefault="00394471" w:rsidP="00FA0D37">
      <w:pPr>
        <w:pStyle w:val="PL"/>
      </w:pPr>
      <w:r w:rsidRPr="00FA0D37">
        <w:t xml:space="preserve">    maxNumberSRS-PosResourceSetPerBWP-r16                </w:t>
      </w:r>
      <w:r w:rsidRPr="00FA0D37">
        <w:rPr>
          <w:color w:val="993366"/>
        </w:rPr>
        <w:t>ENUMERATED</w:t>
      </w:r>
      <w:r w:rsidRPr="00FA0D37">
        <w:t xml:space="preserve"> {n1, n2, n4, n8, n12, n16},</w:t>
      </w:r>
    </w:p>
    <w:p w14:paraId="4A826DD2" w14:textId="77777777" w:rsidR="00394471" w:rsidRPr="00FA0D37" w:rsidRDefault="00394471" w:rsidP="00FA0D37">
      <w:pPr>
        <w:pStyle w:val="PL"/>
      </w:pPr>
      <w:r w:rsidRPr="00FA0D37">
        <w:t xml:space="preserve">    maxNumberSRS-PosResourcesPerBWP-r16                  </w:t>
      </w:r>
      <w:r w:rsidRPr="00FA0D37">
        <w:rPr>
          <w:color w:val="993366"/>
        </w:rPr>
        <w:t>ENUMERATED</w:t>
      </w:r>
      <w:r w:rsidRPr="00FA0D37">
        <w:t xml:space="preserve"> {n1, n2, n4, n8, n16, n32, n64},</w:t>
      </w:r>
    </w:p>
    <w:p w14:paraId="08BBF1E0" w14:textId="77777777" w:rsidR="00394471" w:rsidRPr="00FA0D37" w:rsidRDefault="00394471" w:rsidP="00FA0D37">
      <w:pPr>
        <w:pStyle w:val="PL"/>
      </w:pPr>
      <w:r w:rsidRPr="00FA0D37">
        <w:t xml:space="preserve">    maxNumberSRS-ResourcesPerBWP-PerSlot-r16             </w:t>
      </w:r>
      <w:r w:rsidRPr="00FA0D37">
        <w:rPr>
          <w:color w:val="993366"/>
        </w:rPr>
        <w:t>ENUMERATED</w:t>
      </w:r>
      <w:r w:rsidRPr="00FA0D37">
        <w:t xml:space="preserve"> {n1, n2, n3, n4, n5, n6, n8, n10, n12, n14},</w:t>
      </w:r>
    </w:p>
    <w:p w14:paraId="2D3AD706" w14:textId="77777777" w:rsidR="00394471" w:rsidRPr="00FA0D37" w:rsidRDefault="00394471" w:rsidP="00FA0D37">
      <w:pPr>
        <w:pStyle w:val="PL"/>
      </w:pPr>
      <w:r w:rsidRPr="00FA0D37">
        <w:t xml:space="preserve">    maxNumberPeriodicSRS-PosResourcesPerBWP-r16          </w:t>
      </w:r>
      <w:r w:rsidRPr="00FA0D37">
        <w:rPr>
          <w:color w:val="993366"/>
        </w:rPr>
        <w:t>ENUMERATED</w:t>
      </w:r>
      <w:r w:rsidRPr="00FA0D37">
        <w:t xml:space="preserve"> {n1, n2, n4, n8, n16, n32, n64},</w:t>
      </w:r>
    </w:p>
    <w:p w14:paraId="4557C0F2" w14:textId="77777777" w:rsidR="00394471" w:rsidRPr="00FA0D37" w:rsidRDefault="00394471" w:rsidP="00FA0D37">
      <w:pPr>
        <w:pStyle w:val="PL"/>
      </w:pPr>
      <w:r w:rsidRPr="00FA0D37">
        <w:t xml:space="preserve">    maxNumberPeriodicSRS-PosResourcesPerBWP-PerSlot-r16  </w:t>
      </w:r>
      <w:r w:rsidRPr="00FA0D37">
        <w:rPr>
          <w:color w:val="993366"/>
        </w:rPr>
        <w:t>ENUMERATED</w:t>
      </w:r>
      <w:r w:rsidRPr="00FA0D37">
        <w:t xml:space="preserve"> {n1, n2, n3, n4, n5, n6, n8, n10, n12, n14}</w:t>
      </w:r>
    </w:p>
    <w:p w14:paraId="5291CD7E" w14:textId="77777777" w:rsidR="00394471" w:rsidRPr="00FA0D37" w:rsidRDefault="00394471" w:rsidP="00FA0D37">
      <w:pPr>
        <w:pStyle w:val="PL"/>
      </w:pPr>
      <w:r w:rsidRPr="00FA0D37">
        <w:t>}</w:t>
      </w:r>
    </w:p>
    <w:p w14:paraId="3E8542D9" w14:textId="77777777" w:rsidR="00394471" w:rsidRPr="00FA0D37" w:rsidRDefault="00394471" w:rsidP="00FA0D37">
      <w:pPr>
        <w:pStyle w:val="PL"/>
      </w:pPr>
    </w:p>
    <w:p w14:paraId="19626423" w14:textId="77777777" w:rsidR="00394471" w:rsidRPr="00FA0D37" w:rsidRDefault="00394471" w:rsidP="00FA0D37">
      <w:pPr>
        <w:pStyle w:val="PL"/>
      </w:pPr>
      <w:r w:rsidRPr="00FA0D37">
        <w:t xml:space="preserve">SRS-PosResourceAP-r16 ::=                </w:t>
      </w:r>
      <w:r w:rsidRPr="00FA0D37">
        <w:rPr>
          <w:color w:val="993366"/>
        </w:rPr>
        <w:t>SEQUENCE</w:t>
      </w:r>
      <w:r w:rsidRPr="00FA0D37">
        <w:t xml:space="preserve"> {</w:t>
      </w:r>
    </w:p>
    <w:p w14:paraId="6EA85C5E" w14:textId="77777777" w:rsidR="00394471" w:rsidRPr="00FA0D37" w:rsidRDefault="00394471" w:rsidP="00FA0D37">
      <w:pPr>
        <w:pStyle w:val="PL"/>
      </w:pPr>
      <w:r w:rsidRPr="00FA0D37">
        <w:t xml:space="preserve">    maxNumberAP-SRS-PosResourcesPerBWP-r16         </w:t>
      </w:r>
      <w:r w:rsidRPr="00FA0D37">
        <w:rPr>
          <w:color w:val="993366"/>
        </w:rPr>
        <w:t>ENUMERATED</w:t>
      </w:r>
      <w:r w:rsidRPr="00FA0D37">
        <w:t xml:space="preserve"> {n1, n2, n4, n8, n16, n32, n64},</w:t>
      </w:r>
    </w:p>
    <w:p w14:paraId="4BEC7131" w14:textId="77777777" w:rsidR="00394471" w:rsidRPr="00FA0D37" w:rsidRDefault="00394471" w:rsidP="00FA0D37">
      <w:pPr>
        <w:pStyle w:val="PL"/>
      </w:pPr>
      <w:r w:rsidRPr="00FA0D37">
        <w:t xml:space="preserve">    maxNumberAP-SRS-PosResourcesPerBWP-PerSlot-r16 </w:t>
      </w:r>
      <w:r w:rsidRPr="00FA0D37">
        <w:rPr>
          <w:color w:val="993366"/>
        </w:rPr>
        <w:t>ENUMERATED</w:t>
      </w:r>
      <w:r w:rsidRPr="00FA0D37">
        <w:t xml:space="preserve"> {n1, n2, n3, n4, n5, n6, n8, n10, n12, n14}</w:t>
      </w:r>
    </w:p>
    <w:p w14:paraId="48BF4622" w14:textId="77777777" w:rsidR="00394471" w:rsidRPr="00FA0D37" w:rsidRDefault="00394471" w:rsidP="00FA0D37">
      <w:pPr>
        <w:pStyle w:val="PL"/>
      </w:pPr>
      <w:r w:rsidRPr="00FA0D37">
        <w:t>}</w:t>
      </w:r>
    </w:p>
    <w:p w14:paraId="6CF25E51" w14:textId="77777777" w:rsidR="00394471" w:rsidRPr="00FA0D37" w:rsidRDefault="00394471" w:rsidP="00FA0D37">
      <w:pPr>
        <w:pStyle w:val="PL"/>
      </w:pPr>
    </w:p>
    <w:p w14:paraId="29192CB5" w14:textId="77777777" w:rsidR="00394471" w:rsidRPr="00FA0D37" w:rsidRDefault="00394471" w:rsidP="00FA0D37">
      <w:pPr>
        <w:pStyle w:val="PL"/>
      </w:pPr>
      <w:r w:rsidRPr="00FA0D37">
        <w:t xml:space="preserve">SRS-PosResourceSP-r16 ::=                       </w:t>
      </w:r>
      <w:r w:rsidRPr="00FA0D37">
        <w:rPr>
          <w:color w:val="993366"/>
        </w:rPr>
        <w:t>SEQUENCE</w:t>
      </w:r>
      <w:r w:rsidRPr="00FA0D37">
        <w:t xml:space="preserve"> {</w:t>
      </w:r>
    </w:p>
    <w:p w14:paraId="45D4E928" w14:textId="77777777" w:rsidR="00394471" w:rsidRPr="00FA0D37" w:rsidRDefault="00394471" w:rsidP="00FA0D37">
      <w:pPr>
        <w:pStyle w:val="PL"/>
      </w:pPr>
      <w:r w:rsidRPr="00FA0D37">
        <w:t xml:space="preserve">    maxNumberSP-SRS-PosResourcesPerBWP-r16               </w:t>
      </w:r>
      <w:r w:rsidRPr="00FA0D37">
        <w:rPr>
          <w:color w:val="993366"/>
        </w:rPr>
        <w:t>ENUMERATED</w:t>
      </w:r>
      <w:r w:rsidRPr="00FA0D37">
        <w:t xml:space="preserve"> {n1, n2, n4, n8, n16, n32, n64},</w:t>
      </w:r>
    </w:p>
    <w:p w14:paraId="14016F5D" w14:textId="77777777" w:rsidR="00394471" w:rsidRPr="00FA0D37" w:rsidRDefault="00394471" w:rsidP="00FA0D37">
      <w:pPr>
        <w:pStyle w:val="PL"/>
      </w:pPr>
      <w:r w:rsidRPr="00FA0D37">
        <w:t xml:space="preserve">    maxNumberSP-SRS-PosResourcesPerBWP-PerSlot-r16       </w:t>
      </w:r>
      <w:r w:rsidRPr="00FA0D37">
        <w:rPr>
          <w:color w:val="993366"/>
        </w:rPr>
        <w:t>ENUMERATED</w:t>
      </w:r>
      <w:r w:rsidRPr="00FA0D37">
        <w:t xml:space="preserve"> {n1, n2, n3, n4, n5, n6, n8, n10, n12, n14}</w:t>
      </w:r>
    </w:p>
    <w:p w14:paraId="1619EF5F" w14:textId="77777777" w:rsidR="00394471" w:rsidRPr="00FA0D37" w:rsidRDefault="00394471" w:rsidP="00FA0D37">
      <w:pPr>
        <w:pStyle w:val="PL"/>
      </w:pPr>
      <w:r w:rsidRPr="00FA0D37">
        <w:t>}</w:t>
      </w:r>
    </w:p>
    <w:p w14:paraId="7C00C5E8" w14:textId="77777777" w:rsidR="00394471" w:rsidRPr="00FA0D37" w:rsidRDefault="00394471" w:rsidP="00FA0D37">
      <w:pPr>
        <w:pStyle w:val="PL"/>
      </w:pPr>
    </w:p>
    <w:p w14:paraId="44B5508A" w14:textId="77777777" w:rsidR="00394471" w:rsidRPr="00FA0D37" w:rsidRDefault="00394471" w:rsidP="00FA0D37">
      <w:pPr>
        <w:pStyle w:val="PL"/>
      </w:pPr>
      <w:r w:rsidRPr="00FA0D37">
        <w:t xml:space="preserve">SRS-Resources ::=                           </w:t>
      </w:r>
      <w:r w:rsidRPr="00FA0D37">
        <w:rPr>
          <w:color w:val="993366"/>
        </w:rPr>
        <w:t>SEQUENCE</w:t>
      </w:r>
      <w:r w:rsidRPr="00FA0D37">
        <w:t xml:space="preserve"> {</w:t>
      </w:r>
    </w:p>
    <w:p w14:paraId="7ADF9053" w14:textId="77777777" w:rsidR="00394471" w:rsidRPr="00FA0D37" w:rsidRDefault="00394471" w:rsidP="00FA0D37">
      <w:pPr>
        <w:pStyle w:val="PL"/>
      </w:pPr>
      <w:r w:rsidRPr="00FA0D37">
        <w:t xml:space="preserve">    maxNumberAperiodicSRS-PerBWP                </w:t>
      </w:r>
      <w:r w:rsidRPr="00FA0D37">
        <w:rPr>
          <w:color w:val="993366"/>
        </w:rPr>
        <w:t>ENUMERATED</w:t>
      </w:r>
      <w:r w:rsidRPr="00FA0D37">
        <w:t xml:space="preserve"> {n1, n2, n4, n8, n16},</w:t>
      </w:r>
    </w:p>
    <w:p w14:paraId="6DB0CA51" w14:textId="77777777" w:rsidR="00394471" w:rsidRPr="00FA0D37" w:rsidRDefault="00394471" w:rsidP="00FA0D37">
      <w:pPr>
        <w:pStyle w:val="PL"/>
      </w:pPr>
      <w:r w:rsidRPr="00FA0D37">
        <w:t xml:space="preserve">    maxNumberAperiodicSRS-PerBWP-PerSlot        </w:t>
      </w:r>
      <w:r w:rsidRPr="00FA0D37">
        <w:rPr>
          <w:color w:val="993366"/>
        </w:rPr>
        <w:t>INTEGER</w:t>
      </w:r>
      <w:r w:rsidRPr="00FA0D37">
        <w:t xml:space="preserve"> (1..6),</w:t>
      </w:r>
    </w:p>
    <w:p w14:paraId="324E8388" w14:textId="77777777" w:rsidR="00394471" w:rsidRPr="00FA0D37" w:rsidRDefault="00394471" w:rsidP="00FA0D37">
      <w:pPr>
        <w:pStyle w:val="PL"/>
      </w:pPr>
      <w:r w:rsidRPr="00FA0D37">
        <w:t xml:space="preserve">    maxNumberPeriodicSRS-PerBWP                 </w:t>
      </w:r>
      <w:r w:rsidRPr="00FA0D37">
        <w:rPr>
          <w:color w:val="993366"/>
        </w:rPr>
        <w:t>ENUMERATED</w:t>
      </w:r>
      <w:r w:rsidRPr="00FA0D37">
        <w:t xml:space="preserve"> {n1, n2, n4, n8, n16},</w:t>
      </w:r>
    </w:p>
    <w:p w14:paraId="0918C6DC" w14:textId="77777777" w:rsidR="00394471" w:rsidRPr="00FA0D37" w:rsidRDefault="00394471" w:rsidP="00FA0D37">
      <w:pPr>
        <w:pStyle w:val="PL"/>
      </w:pPr>
      <w:r w:rsidRPr="00FA0D37">
        <w:t xml:space="preserve">    maxNumberPeriodicSRS-PerBWP-PerSlot         </w:t>
      </w:r>
      <w:r w:rsidRPr="00FA0D37">
        <w:rPr>
          <w:color w:val="993366"/>
        </w:rPr>
        <w:t>INTEGER</w:t>
      </w:r>
      <w:r w:rsidRPr="00FA0D37">
        <w:t xml:space="preserve"> (1..6),</w:t>
      </w:r>
    </w:p>
    <w:p w14:paraId="1691A038" w14:textId="77777777" w:rsidR="00394471" w:rsidRPr="00FA0D37" w:rsidRDefault="00394471" w:rsidP="00FA0D37">
      <w:pPr>
        <w:pStyle w:val="PL"/>
      </w:pPr>
      <w:r w:rsidRPr="00FA0D37">
        <w:t xml:space="preserve">    maxNumberSemiPersistentSRS-PerBWP           </w:t>
      </w:r>
      <w:r w:rsidRPr="00FA0D37">
        <w:rPr>
          <w:color w:val="993366"/>
        </w:rPr>
        <w:t>ENUMERATED</w:t>
      </w:r>
      <w:r w:rsidRPr="00FA0D37">
        <w:t xml:space="preserve"> {n1, n2, n4, n8, n16},</w:t>
      </w:r>
    </w:p>
    <w:p w14:paraId="6BBC43F5" w14:textId="77777777" w:rsidR="00394471" w:rsidRPr="00FA0D37" w:rsidRDefault="00394471" w:rsidP="00FA0D37">
      <w:pPr>
        <w:pStyle w:val="PL"/>
      </w:pPr>
      <w:r w:rsidRPr="00FA0D37">
        <w:t xml:space="preserve">    maxNumberSemiPersistentSRS-PerBWP-PerSlot   </w:t>
      </w:r>
      <w:r w:rsidRPr="00FA0D37">
        <w:rPr>
          <w:color w:val="993366"/>
        </w:rPr>
        <w:t>INTEGER</w:t>
      </w:r>
      <w:r w:rsidRPr="00FA0D37">
        <w:t xml:space="preserve"> (1..6),</w:t>
      </w:r>
    </w:p>
    <w:p w14:paraId="3087F003" w14:textId="77777777" w:rsidR="00394471" w:rsidRPr="00FA0D37" w:rsidRDefault="00394471" w:rsidP="00FA0D37">
      <w:pPr>
        <w:pStyle w:val="PL"/>
      </w:pPr>
      <w:r w:rsidRPr="00FA0D37">
        <w:t xml:space="preserve">    maxNumberSRS-Ports-PerResource              </w:t>
      </w:r>
      <w:r w:rsidRPr="00FA0D37">
        <w:rPr>
          <w:color w:val="993366"/>
        </w:rPr>
        <w:t>ENUMERATED</w:t>
      </w:r>
      <w:r w:rsidRPr="00FA0D37">
        <w:t xml:space="preserve"> {n1, n2, n4}</w:t>
      </w:r>
    </w:p>
    <w:p w14:paraId="6A0F6D0B" w14:textId="77777777" w:rsidR="00394471" w:rsidRPr="00FA0D37" w:rsidRDefault="00394471" w:rsidP="00FA0D37">
      <w:pPr>
        <w:pStyle w:val="PL"/>
      </w:pPr>
      <w:r w:rsidRPr="00FA0D37">
        <w:t>}</w:t>
      </w:r>
    </w:p>
    <w:p w14:paraId="6CD7238C" w14:textId="77777777" w:rsidR="00394471" w:rsidRPr="00FA0D37" w:rsidRDefault="00394471" w:rsidP="00FA0D37">
      <w:pPr>
        <w:pStyle w:val="PL"/>
      </w:pPr>
    </w:p>
    <w:p w14:paraId="147BA8EC" w14:textId="77777777" w:rsidR="00394471" w:rsidRPr="00FA0D37" w:rsidRDefault="00394471" w:rsidP="00FA0D37">
      <w:pPr>
        <w:pStyle w:val="PL"/>
      </w:pPr>
      <w:r w:rsidRPr="00FA0D37">
        <w:t xml:space="preserve">DummyF ::=                                  </w:t>
      </w:r>
      <w:r w:rsidRPr="00FA0D37">
        <w:rPr>
          <w:color w:val="993366"/>
        </w:rPr>
        <w:t>SEQUENCE</w:t>
      </w:r>
      <w:r w:rsidRPr="00FA0D37">
        <w:t xml:space="preserve"> {</w:t>
      </w:r>
    </w:p>
    <w:p w14:paraId="670C3156" w14:textId="77777777" w:rsidR="00394471" w:rsidRPr="00FA0D37" w:rsidRDefault="00394471" w:rsidP="00FA0D37">
      <w:pPr>
        <w:pStyle w:val="PL"/>
      </w:pPr>
      <w:r w:rsidRPr="00FA0D37">
        <w:t xml:space="preserve">    maxNumberPeriodicCSI-ReportPerBWP           </w:t>
      </w:r>
      <w:r w:rsidRPr="00FA0D37">
        <w:rPr>
          <w:color w:val="993366"/>
        </w:rPr>
        <w:t>INTEGER</w:t>
      </w:r>
      <w:r w:rsidRPr="00FA0D37">
        <w:t xml:space="preserve"> (1..4),</w:t>
      </w:r>
    </w:p>
    <w:p w14:paraId="59CD94A5" w14:textId="77777777" w:rsidR="00394471" w:rsidRPr="00FA0D37" w:rsidRDefault="00394471" w:rsidP="00FA0D37">
      <w:pPr>
        <w:pStyle w:val="PL"/>
      </w:pPr>
      <w:r w:rsidRPr="00FA0D37">
        <w:t xml:space="preserve">    maxNumberAperiodicCSI-ReportPerBWP          </w:t>
      </w:r>
      <w:r w:rsidRPr="00FA0D37">
        <w:rPr>
          <w:color w:val="993366"/>
        </w:rPr>
        <w:t>INTEGER</w:t>
      </w:r>
      <w:r w:rsidRPr="00FA0D37">
        <w:t xml:space="preserve"> (1..4),</w:t>
      </w:r>
    </w:p>
    <w:p w14:paraId="3ECC6711" w14:textId="77777777" w:rsidR="00394471" w:rsidRPr="00FA0D37" w:rsidRDefault="00394471" w:rsidP="00FA0D37">
      <w:pPr>
        <w:pStyle w:val="PL"/>
      </w:pPr>
      <w:r w:rsidRPr="00FA0D37">
        <w:t xml:space="preserve">    maxNumberSemiPersistentCSI-ReportPerBWP     </w:t>
      </w:r>
      <w:r w:rsidRPr="00FA0D37">
        <w:rPr>
          <w:color w:val="993366"/>
        </w:rPr>
        <w:t>INTEGER</w:t>
      </w:r>
      <w:r w:rsidRPr="00FA0D37">
        <w:t xml:space="preserve"> (0..4),</w:t>
      </w:r>
    </w:p>
    <w:p w14:paraId="429ACAF2" w14:textId="77777777" w:rsidR="00394471" w:rsidRPr="00FA0D37" w:rsidRDefault="00394471" w:rsidP="00FA0D37">
      <w:pPr>
        <w:pStyle w:val="PL"/>
      </w:pPr>
      <w:r w:rsidRPr="00FA0D37">
        <w:t xml:space="preserve">    simultaneousCSI-ReportsAllCC                </w:t>
      </w:r>
      <w:r w:rsidRPr="00FA0D37">
        <w:rPr>
          <w:color w:val="993366"/>
        </w:rPr>
        <w:t>INTEGER</w:t>
      </w:r>
      <w:r w:rsidRPr="00FA0D37">
        <w:t xml:space="preserve"> (5..32)</w:t>
      </w:r>
    </w:p>
    <w:p w14:paraId="4768829A" w14:textId="77777777" w:rsidR="00394471" w:rsidRPr="00FA0D37" w:rsidRDefault="00394471" w:rsidP="00FA0D37">
      <w:pPr>
        <w:pStyle w:val="PL"/>
      </w:pPr>
      <w:r w:rsidRPr="00FA0D37">
        <w:t>}</w:t>
      </w:r>
    </w:p>
    <w:p w14:paraId="0F671BE0" w14:textId="77777777" w:rsidR="00394471" w:rsidRPr="00FA0D37" w:rsidRDefault="00394471" w:rsidP="00FA0D37">
      <w:pPr>
        <w:pStyle w:val="PL"/>
      </w:pPr>
    </w:p>
    <w:p w14:paraId="01A51042" w14:textId="77777777" w:rsidR="00394471" w:rsidRPr="00FA0D37" w:rsidRDefault="00394471" w:rsidP="00FA0D37">
      <w:pPr>
        <w:pStyle w:val="PL"/>
        <w:rPr>
          <w:color w:val="808080"/>
        </w:rPr>
      </w:pPr>
      <w:r w:rsidRPr="00FA0D37">
        <w:rPr>
          <w:color w:val="808080"/>
        </w:rPr>
        <w:t>-- TAG-FEATURESETUPLINK-STOP</w:t>
      </w:r>
    </w:p>
    <w:p w14:paraId="346D6A13" w14:textId="77777777" w:rsidR="00394471" w:rsidRPr="00FA0D37" w:rsidRDefault="00394471" w:rsidP="00FA0D37">
      <w:pPr>
        <w:pStyle w:val="PL"/>
        <w:rPr>
          <w:color w:val="808080"/>
        </w:rPr>
      </w:pPr>
      <w:r w:rsidRPr="00FA0D37">
        <w:rPr>
          <w:color w:val="808080"/>
        </w:rPr>
        <w:t>-- ASN1STOP</w:t>
      </w:r>
    </w:p>
    <w:p w14:paraId="648B3A4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EE714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7F0A0" w14:textId="77777777" w:rsidR="00394471" w:rsidRPr="00FA0D37" w:rsidRDefault="00394471" w:rsidP="00964CC4">
            <w:pPr>
              <w:pStyle w:val="TAH"/>
              <w:rPr>
                <w:rFonts w:eastAsia="Malgun Gothic"/>
                <w:szCs w:val="22"/>
                <w:lang w:eastAsia="sv-SE"/>
              </w:rPr>
            </w:pPr>
            <w:r w:rsidRPr="00FA0D37">
              <w:rPr>
                <w:rFonts w:eastAsia="Malgun Gothic"/>
                <w:i/>
                <w:szCs w:val="22"/>
                <w:lang w:eastAsia="sv-SE"/>
              </w:rPr>
              <w:t xml:space="preserve">FeatureSetUplink </w:t>
            </w:r>
            <w:r w:rsidRPr="00FA0D37">
              <w:rPr>
                <w:rFonts w:eastAsia="Malgun Gothic"/>
                <w:szCs w:val="22"/>
                <w:lang w:eastAsia="sv-SE"/>
              </w:rPr>
              <w:t>field descriptions</w:t>
            </w:r>
          </w:p>
        </w:tc>
      </w:tr>
      <w:tr w:rsidR="00394471" w:rsidRPr="00FA0D37" w14:paraId="38B3BA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24DA7" w14:textId="77777777" w:rsidR="00394471" w:rsidRPr="00FA0D37" w:rsidRDefault="00394471" w:rsidP="00964CC4">
            <w:pPr>
              <w:pStyle w:val="TAL"/>
              <w:rPr>
                <w:rFonts w:eastAsia="Malgun Gothic"/>
                <w:szCs w:val="22"/>
                <w:lang w:eastAsia="sv-SE"/>
              </w:rPr>
            </w:pPr>
            <w:r w:rsidRPr="00FA0D37">
              <w:rPr>
                <w:rFonts w:eastAsia="Malgun Gothic"/>
                <w:b/>
                <w:i/>
                <w:szCs w:val="22"/>
                <w:lang w:eastAsia="sv-SE"/>
              </w:rPr>
              <w:t>featureSetListPerUplinkCC</w:t>
            </w:r>
          </w:p>
          <w:p w14:paraId="3DA9DDEE" w14:textId="77777777" w:rsidR="00394471" w:rsidRPr="00FA0D37" w:rsidRDefault="00394471" w:rsidP="00964CC4">
            <w:pPr>
              <w:pStyle w:val="TAL"/>
              <w:rPr>
                <w:rFonts w:eastAsia="Malgun Gothic"/>
                <w:szCs w:val="22"/>
                <w:lang w:eastAsia="sv-SE"/>
              </w:rPr>
            </w:pPr>
            <w:r w:rsidRPr="00FA0D37">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sidRPr="00FA0D37">
              <w:rPr>
                <w:rFonts w:eastAsia="Malgun Gothic"/>
                <w:i/>
                <w:lang w:eastAsia="sv-SE"/>
              </w:rPr>
              <w:t>FeatureSetUplinkPerCC-Id</w:t>
            </w:r>
            <w:r w:rsidRPr="00FA0D37">
              <w:rPr>
                <w:rFonts w:eastAsia="Malgun Gothic"/>
                <w:szCs w:val="22"/>
                <w:lang w:eastAsia="sv-SE"/>
              </w:rPr>
              <w:t xml:space="preserve"> in this list as the number of carriers it supports according to the </w:t>
            </w:r>
            <w:r w:rsidRPr="00FA0D37">
              <w:rPr>
                <w:rFonts w:eastAsia="Malgun Gothic"/>
                <w:i/>
                <w:lang w:eastAsia="sv-SE"/>
              </w:rPr>
              <w:t>ca-BandwidthClassUL</w:t>
            </w:r>
            <w:r w:rsidRPr="00FA0D37">
              <w:rPr>
                <w:lang w:eastAsia="sv-SE"/>
              </w:rPr>
              <w:t xml:space="preserve">, except if indicating additional functionality by reducing the number of </w:t>
            </w:r>
            <w:r w:rsidRPr="00FA0D37">
              <w:rPr>
                <w:i/>
                <w:lang w:eastAsia="sv-SE"/>
              </w:rPr>
              <w:t>FeatureSetUplinkPerCC-Id</w:t>
            </w:r>
            <w:r w:rsidRPr="00FA0D37">
              <w:rPr>
                <w:lang w:eastAsia="sv-SE"/>
              </w:rPr>
              <w:t xml:space="preserve"> in the feature set (see NOTE 1 in </w:t>
            </w:r>
            <w:r w:rsidRPr="00FA0D37">
              <w:rPr>
                <w:i/>
                <w:lang w:eastAsia="sv-SE"/>
              </w:rPr>
              <w:t>FeatureSetCombination</w:t>
            </w:r>
            <w:r w:rsidRPr="00FA0D37">
              <w:rPr>
                <w:lang w:eastAsia="sv-SE"/>
              </w:rPr>
              <w:t xml:space="preserve"> IE description)</w:t>
            </w:r>
            <w:r w:rsidRPr="00FA0D37">
              <w:rPr>
                <w:rFonts w:eastAsia="Malgun Gothic"/>
                <w:szCs w:val="22"/>
                <w:lang w:eastAsia="sv-SE"/>
              </w:rPr>
              <w:t xml:space="preserve">. The order of the elements in this list is not relevant, i.e., the network may configure any of the carriers in accordance with any of the </w:t>
            </w:r>
            <w:r w:rsidRPr="00FA0D37">
              <w:rPr>
                <w:rFonts w:eastAsia="Malgun Gothic"/>
                <w:i/>
                <w:lang w:eastAsia="sv-SE"/>
              </w:rPr>
              <w:t>FeatureSetUplinkPerCC-Id</w:t>
            </w:r>
            <w:r w:rsidRPr="00FA0D37">
              <w:rPr>
                <w:rFonts w:eastAsia="Malgun Gothic"/>
                <w:szCs w:val="22"/>
                <w:lang w:eastAsia="sv-SE"/>
              </w:rPr>
              <w:t xml:space="preserve"> in this list.</w:t>
            </w:r>
          </w:p>
        </w:tc>
      </w:tr>
    </w:tbl>
    <w:p w14:paraId="61FDB57E" w14:textId="77777777" w:rsidR="00394471" w:rsidRPr="00FA0D37" w:rsidRDefault="00394471" w:rsidP="00394471"/>
    <w:p w14:paraId="5D28871A" w14:textId="77777777" w:rsidR="00394471" w:rsidRPr="00FA0D37" w:rsidRDefault="00394471" w:rsidP="00394471">
      <w:pPr>
        <w:pStyle w:val="4"/>
        <w:rPr>
          <w:rFonts w:eastAsia="Malgun Gothic"/>
        </w:rPr>
      </w:pPr>
      <w:bookmarkStart w:id="1549" w:name="_Toc60777449"/>
      <w:bookmarkStart w:id="1550" w:name="_Toc146781550"/>
      <w:r w:rsidRPr="00FA0D37">
        <w:rPr>
          <w:rFonts w:eastAsia="Malgun Gothic"/>
        </w:rPr>
        <w:lastRenderedPageBreak/>
        <w:t>–</w:t>
      </w:r>
      <w:r w:rsidRPr="00FA0D37">
        <w:rPr>
          <w:rFonts w:eastAsia="Malgun Gothic"/>
        </w:rPr>
        <w:tab/>
      </w:r>
      <w:r w:rsidRPr="00FA0D37">
        <w:rPr>
          <w:rFonts w:eastAsia="Malgun Gothic"/>
          <w:i/>
        </w:rPr>
        <w:t>FeatureSetUplinkId</w:t>
      </w:r>
      <w:bookmarkEnd w:id="1549"/>
      <w:bookmarkEnd w:id="1550"/>
    </w:p>
    <w:p w14:paraId="76D3D299" w14:textId="77777777" w:rsidR="00394471" w:rsidRPr="00FA0D37" w:rsidRDefault="00394471" w:rsidP="00394471">
      <w:pPr>
        <w:rPr>
          <w:rFonts w:eastAsia="Malgun Gothic"/>
        </w:rPr>
      </w:pPr>
      <w:r w:rsidRPr="00FA0D37">
        <w:rPr>
          <w:rFonts w:eastAsia="Malgun Gothic"/>
        </w:rPr>
        <w:t xml:space="preserve">The IE </w:t>
      </w:r>
      <w:r w:rsidRPr="00FA0D37">
        <w:rPr>
          <w:rFonts w:eastAsia="Malgun Gothic"/>
          <w:i/>
        </w:rPr>
        <w:t>FeatureSetUplinkId</w:t>
      </w:r>
      <w:r w:rsidRPr="00FA0D37">
        <w:rPr>
          <w:rFonts w:eastAsia="Malgun Gothic"/>
        </w:rPr>
        <w:t xml:space="preserve"> </w:t>
      </w:r>
      <w:r w:rsidRPr="00FA0D37">
        <w:t xml:space="preserve">identifies an uplink feature set. The </w:t>
      </w:r>
      <w:r w:rsidRPr="00FA0D37">
        <w:rPr>
          <w:i/>
        </w:rPr>
        <w:t>FeatureSetUplinkId</w:t>
      </w:r>
      <w:r w:rsidRPr="00FA0D37">
        <w:t xml:space="preserve"> of a </w:t>
      </w:r>
      <w:r w:rsidRPr="00FA0D37">
        <w:rPr>
          <w:i/>
        </w:rPr>
        <w:t>FeatureSetUplink</w:t>
      </w:r>
      <w:r w:rsidRPr="00FA0D37">
        <w:t xml:space="preserve"> is the index position of the </w:t>
      </w:r>
      <w:r w:rsidRPr="00FA0D37">
        <w:rPr>
          <w:i/>
        </w:rPr>
        <w:t>FeatureSetUplink</w:t>
      </w:r>
      <w:r w:rsidRPr="00FA0D37">
        <w:t xml:space="preserve"> in the </w:t>
      </w:r>
      <w:r w:rsidRPr="00FA0D37">
        <w:rPr>
          <w:i/>
        </w:rPr>
        <w:t xml:space="preserve">featureSetsUplink </w:t>
      </w:r>
      <w:r w:rsidRPr="00FA0D37">
        <w:t xml:space="preserve">list in the </w:t>
      </w:r>
      <w:r w:rsidRPr="00FA0D37">
        <w:rPr>
          <w:i/>
        </w:rPr>
        <w:t>FeatureSets</w:t>
      </w:r>
      <w:r w:rsidRPr="00FA0D37">
        <w:t xml:space="preserve"> IE. The first element in the list is referred to by </w:t>
      </w:r>
      <w:r w:rsidRPr="00FA0D37">
        <w:rPr>
          <w:i/>
        </w:rPr>
        <w:t xml:space="preserve">FeatureSetUplinkId </w:t>
      </w:r>
      <w:r w:rsidRPr="00FA0D37">
        <w:t xml:space="preserve">= 1, and so on. The </w:t>
      </w:r>
      <w:r w:rsidRPr="00FA0D37">
        <w:rPr>
          <w:rFonts w:eastAsia="Malgun Gothic"/>
          <w:i/>
        </w:rPr>
        <w:t>FeatureSetUplinkId</w:t>
      </w:r>
      <w:r w:rsidRPr="00FA0D37">
        <w:rPr>
          <w:i/>
        </w:rPr>
        <w:t xml:space="preserve"> =0</w:t>
      </w:r>
      <w:r w:rsidRPr="00FA0D37">
        <w:t xml:space="preserve"> is not used by an actual </w:t>
      </w:r>
      <w:r w:rsidRPr="00FA0D37">
        <w:rPr>
          <w:i/>
        </w:rPr>
        <w:t>FeatureSetUplink</w:t>
      </w:r>
      <w:r w:rsidRPr="00FA0D37">
        <w:t xml:space="preserve"> but means that the UE does not support a carrier in this band of a band combination.</w:t>
      </w:r>
    </w:p>
    <w:p w14:paraId="374335D6" w14:textId="77777777" w:rsidR="00394471" w:rsidRPr="00FA0D37" w:rsidRDefault="00394471" w:rsidP="00394471">
      <w:pPr>
        <w:pStyle w:val="TH"/>
        <w:rPr>
          <w:rFonts w:eastAsia="Malgun Gothic"/>
        </w:rPr>
      </w:pPr>
      <w:r w:rsidRPr="00FA0D37">
        <w:rPr>
          <w:rFonts w:eastAsia="Malgun Gothic"/>
          <w:i/>
        </w:rPr>
        <w:t>FeatureSetUplinkId</w:t>
      </w:r>
      <w:r w:rsidRPr="00FA0D37">
        <w:rPr>
          <w:rFonts w:eastAsia="Malgun Gothic"/>
        </w:rPr>
        <w:t xml:space="preserve"> information element</w:t>
      </w:r>
    </w:p>
    <w:p w14:paraId="28752F21" w14:textId="77777777" w:rsidR="00394471" w:rsidRPr="00FA0D37" w:rsidRDefault="00394471" w:rsidP="00FA0D37">
      <w:pPr>
        <w:pStyle w:val="PL"/>
        <w:rPr>
          <w:color w:val="808080"/>
        </w:rPr>
      </w:pPr>
      <w:r w:rsidRPr="00FA0D37">
        <w:rPr>
          <w:color w:val="808080"/>
        </w:rPr>
        <w:t>-- ASN1START</w:t>
      </w:r>
    </w:p>
    <w:p w14:paraId="329DDD68" w14:textId="77777777" w:rsidR="00394471" w:rsidRPr="00FA0D37" w:rsidRDefault="00394471" w:rsidP="00FA0D37">
      <w:pPr>
        <w:pStyle w:val="PL"/>
        <w:rPr>
          <w:color w:val="808080"/>
        </w:rPr>
      </w:pPr>
      <w:r w:rsidRPr="00FA0D37">
        <w:rPr>
          <w:color w:val="808080"/>
        </w:rPr>
        <w:t>-- TAG-FEATURESETUPLINKID-START</w:t>
      </w:r>
    </w:p>
    <w:p w14:paraId="6D439F24" w14:textId="77777777" w:rsidR="00394471" w:rsidRPr="00FA0D37" w:rsidRDefault="00394471" w:rsidP="00FA0D37">
      <w:pPr>
        <w:pStyle w:val="PL"/>
      </w:pPr>
    </w:p>
    <w:p w14:paraId="563D2967" w14:textId="77777777" w:rsidR="00394471" w:rsidRPr="00FA0D37" w:rsidRDefault="00394471" w:rsidP="00FA0D37">
      <w:pPr>
        <w:pStyle w:val="PL"/>
      </w:pPr>
      <w:r w:rsidRPr="00FA0D37">
        <w:t xml:space="preserve">FeatureSetUplinkId ::=                  </w:t>
      </w:r>
      <w:r w:rsidRPr="00FA0D37">
        <w:rPr>
          <w:color w:val="993366"/>
        </w:rPr>
        <w:t>INTEGER</w:t>
      </w:r>
      <w:r w:rsidRPr="00FA0D37">
        <w:t xml:space="preserve"> (0..maxUplinkFeatureSets)</w:t>
      </w:r>
    </w:p>
    <w:p w14:paraId="036A420B" w14:textId="77777777" w:rsidR="00394471" w:rsidRPr="00FA0D37" w:rsidRDefault="00394471" w:rsidP="00FA0D37">
      <w:pPr>
        <w:pStyle w:val="PL"/>
      </w:pPr>
    </w:p>
    <w:p w14:paraId="1E744982" w14:textId="77777777" w:rsidR="00394471" w:rsidRPr="00FA0D37" w:rsidRDefault="00394471" w:rsidP="00FA0D37">
      <w:pPr>
        <w:pStyle w:val="PL"/>
        <w:rPr>
          <w:color w:val="808080"/>
        </w:rPr>
      </w:pPr>
      <w:r w:rsidRPr="00FA0D37">
        <w:rPr>
          <w:color w:val="808080"/>
        </w:rPr>
        <w:t>-- TAG-FEATURESETUPLINKID-STOP</w:t>
      </w:r>
    </w:p>
    <w:p w14:paraId="6E34CBD4" w14:textId="77777777" w:rsidR="00394471" w:rsidRPr="00FA0D37" w:rsidRDefault="00394471" w:rsidP="00FA0D37">
      <w:pPr>
        <w:pStyle w:val="PL"/>
        <w:rPr>
          <w:color w:val="808080"/>
        </w:rPr>
      </w:pPr>
      <w:r w:rsidRPr="00FA0D37">
        <w:rPr>
          <w:color w:val="808080"/>
        </w:rPr>
        <w:t>-- ASN1STOP</w:t>
      </w:r>
    </w:p>
    <w:p w14:paraId="7A7C686B" w14:textId="77777777" w:rsidR="00394471" w:rsidRPr="00FA0D37" w:rsidRDefault="00394471" w:rsidP="00394471"/>
    <w:p w14:paraId="11BEBA00" w14:textId="77777777" w:rsidR="00394471" w:rsidRPr="00FA0D37" w:rsidRDefault="00394471" w:rsidP="00394471">
      <w:pPr>
        <w:pStyle w:val="4"/>
        <w:rPr>
          <w:i/>
          <w:noProof/>
        </w:rPr>
      </w:pPr>
      <w:bookmarkStart w:id="1551" w:name="_Toc60777450"/>
      <w:bookmarkStart w:id="1552" w:name="_Toc146781551"/>
      <w:r w:rsidRPr="00FA0D37">
        <w:t>–</w:t>
      </w:r>
      <w:r w:rsidRPr="00FA0D37">
        <w:tab/>
      </w:r>
      <w:r w:rsidRPr="00FA0D37">
        <w:rPr>
          <w:i/>
          <w:noProof/>
        </w:rPr>
        <w:t>FeatureSetUplinkPerCC</w:t>
      </w:r>
      <w:bookmarkEnd w:id="1551"/>
      <w:bookmarkEnd w:id="1552"/>
    </w:p>
    <w:p w14:paraId="5CF23F7B" w14:textId="77777777" w:rsidR="00394471" w:rsidRPr="00FA0D37" w:rsidRDefault="00394471" w:rsidP="00394471">
      <w:pPr>
        <w:rPr>
          <w:noProof/>
        </w:rPr>
      </w:pPr>
      <w:r w:rsidRPr="00FA0D37">
        <w:t xml:space="preserve">The IE </w:t>
      </w:r>
      <w:r w:rsidRPr="00FA0D37">
        <w:rPr>
          <w:i/>
          <w:noProof/>
        </w:rPr>
        <w:t>FeatureSetUplinkPerCC</w:t>
      </w:r>
      <w:r w:rsidRPr="00FA0D37">
        <w:rPr>
          <w:noProof/>
        </w:rPr>
        <w:t xml:space="preserve"> indicates a set of features that the UE supports on the corresponding carrier of one band entry of a band combination.</w:t>
      </w:r>
    </w:p>
    <w:p w14:paraId="547A3556" w14:textId="77777777" w:rsidR="00394471" w:rsidRPr="00FA0D37" w:rsidRDefault="00394471" w:rsidP="00394471">
      <w:pPr>
        <w:pStyle w:val="TH"/>
      </w:pPr>
      <w:r w:rsidRPr="00FA0D37">
        <w:rPr>
          <w:i/>
        </w:rPr>
        <w:t xml:space="preserve">FeatureSetUplinkPerCC </w:t>
      </w:r>
      <w:r w:rsidRPr="00FA0D37">
        <w:t>information element</w:t>
      </w:r>
    </w:p>
    <w:p w14:paraId="6F5D1468" w14:textId="77777777" w:rsidR="00394471" w:rsidRPr="00FA0D37" w:rsidRDefault="00394471" w:rsidP="00FA0D37">
      <w:pPr>
        <w:pStyle w:val="PL"/>
        <w:rPr>
          <w:color w:val="808080"/>
        </w:rPr>
      </w:pPr>
      <w:r w:rsidRPr="00FA0D37">
        <w:rPr>
          <w:color w:val="808080"/>
        </w:rPr>
        <w:t>-- ASN1START</w:t>
      </w:r>
    </w:p>
    <w:p w14:paraId="60E4D6C3" w14:textId="77777777" w:rsidR="00394471" w:rsidRPr="00FA0D37" w:rsidRDefault="00394471" w:rsidP="00FA0D37">
      <w:pPr>
        <w:pStyle w:val="PL"/>
        <w:rPr>
          <w:color w:val="808080"/>
        </w:rPr>
      </w:pPr>
      <w:r w:rsidRPr="00FA0D37">
        <w:rPr>
          <w:color w:val="808080"/>
        </w:rPr>
        <w:t>-- TAG-FEATURESETUPLINKPERCC-START</w:t>
      </w:r>
    </w:p>
    <w:p w14:paraId="460FCFC8" w14:textId="77777777" w:rsidR="00394471" w:rsidRPr="00FA0D37" w:rsidRDefault="00394471" w:rsidP="00FA0D37">
      <w:pPr>
        <w:pStyle w:val="PL"/>
      </w:pPr>
    </w:p>
    <w:p w14:paraId="67A2F66F" w14:textId="77777777" w:rsidR="00394471" w:rsidRPr="00FA0D37" w:rsidRDefault="00394471" w:rsidP="00FA0D37">
      <w:pPr>
        <w:pStyle w:val="PL"/>
      </w:pPr>
      <w:r w:rsidRPr="00FA0D37">
        <w:t xml:space="preserve">FeatureSetUplinkPerCC ::=               </w:t>
      </w:r>
      <w:r w:rsidRPr="00FA0D37">
        <w:rPr>
          <w:color w:val="993366"/>
        </w:rPr>
        <w:t>SEQUENCE</w:t>
      </w:r>
      <w:r w:rsidRPr="00FA0D37">
        <w:t xml:space="preserve"> {</w:t>
      </w:r>
    </w:p>
    <w:p w14:paraId="71D4E4CD" w14:textId="77777777" w:rsidR="00394471" w:rsidRPr="00FA0D37" w:rsidRDefault="00394471" w:rsidP="00FA0D37">
      <w:pPr>
        <w:pStyle w:val="PL"/>
      </w:pPr>
      <w:r w:rsidRPr="00FA0D37">
        <w:t xml:space="preserve">    supportedSubcarrierSpacingUL            SubcarrierSpacing,</w:t>
      </w:r>
    </w:p>
    <w:p w14:paraId="0F5A7C92" w14:textId="77777777" w:rsidR="00394471" w:rsidRPr="00FA0D37" w:rsidRDefault="00394471" w:rsidP="00FA0D37">
      <w:pPr>
        <w:pStyle w:val="PL"/>
      </w:pPr>
      <w:r w:rsidRPr="00FA0D37">
        <w:t xml:space="preserve">    supportedBandwidthUL                    SupportedBandwidth,</w:t>
      </w:r>
    </w:p>
    <w:p w14:paraId="1D699654" w14:textId="77777777" w:rsidR="00394471" w:rsidRPr="00FA0D37" w:rsidRDefault="00394471" w:rsidP="00FA0D37">
      <w:pPr>
        <w:pStyle w:val="PL"/>
      </w:pPr>
      <w:r w:rsidRPr="00FA0D37">
        <w:t xml:space="preserve">    channelBW-90mhz                         </w:t>
      </w:r>
      <w:r w:rsidRPr="00FA0D37">
        <w:rPr>
          <w:color w:val="993366"/>
        </w:rPr>
        <w:t>ENUMERATED</w:t>
      </w:r>
      <w:r w:rsidRPr="00FA0D37">
        <w:t xml:space="preserve"> {supported}                      </w:t>
      </w:r>
      <w:r w:rsidRPr="00FA0D37">
        <w:rPr>
          <w:color w:val="993366"/>
        </w:rPr>
        <w:t>OPTIONAL</w:t>
      </w:r>
      <w:r w:rsidRPr="00FA0D37">
        <w:t>,</w:t>
      </w:r>
    </w:p>
    <w:p w14:paraId="76B8CB36" w14:textId="77777777" w:rsidR="00394471" w:rsidRPr="00FA0D37" w:rsidRDefault="00394471" w:rsidP="00FA0D37">
      <w:pPr>
        <w:pStyle w:val="PL"/>
      </w:pPr>
      <w:r w:rsidRPr="00FA0D37">
        <w:t xml:space="preserve">    mimo-CB-PUSCH                           </w:t>
      </w:r>
      <w:r w:rsidRPr="00FA0D37">
        <w:rPr>
          <w:color w:val="993366"/>
        </w:rPr>
        <w:t>SEQUENCE</w:t>
      </w:r>
      <w:r w:rsidRPr="00FA0D37">
        <w:t xml:space="preserve"> {</w:t>
      </w:r>
    </w:p>
    <w:p w14:paraId="2A58C763" w14:textId="77777777" w:rsidR="00394471" w:rsidRPr="00FA0D37" w:rsidRDefault="00394471" w:rsidP="00FA0D37">
      <w:pPr>
        <w:pStyle w:val="PL"/>
      </w:pPr>
      <w:r w:rsidRPr="00FA0D37">
        <w:t xml:space="preserve">        maxNumberMIMO-LayersCB-PUSCH            MIMO-LayersUL                               </w:t>
      </w:r>
      <w:r w:rsidRPr="00FA0D37">
        <w:rPr>
          <w:color w:val="993366"/>
        </w:rPr>
        <w:t>OPTIONAL</w:t>
      </w:r>
      <w:r w:rsidRPr="00FA0D37">
        <w:t>,</w:t>
      </w:r>
    </w:p>
    <w:p w14:paraId="2AE5E2AE" w14:textId="77777777" w:rsidR="00394471" w:rsidRPr="00FA0D37" w:rsidRDefault="00394471" w:rsidP="00FA0D37">
      <w:pPr>
        <w:pStyle w:val="PL"/>
      </w:pPr>
      <w:r w:rsidRPr="00FA0D37">
        <w:t xml:space="preserve">        maxNumberSRS-ResourcePerSet             </w:t>
      </w:r>
      <w:r w:rsidRPr="00FA0D37">
        <w:rPr>
          <w:color w:val="993366"/>
        </w:rPr>
        <w:t>INTEGER</w:t>
      </w:r>
      <w:r w:rsidRPr="00FA0D37">
        <w:t xml:space="preserve"> (1..2)</w:t>
      </w:r>
    </w:p>
    <w:p w14:paraId="5035EC26" w14:textId="77777777" w:rsidR="00394471" w:rsidRPr="00FA0D37" w:rsidRDefault="00394471" w:rsidP="00FA0D37">
      <w:pPr>
        <w:pStyle w:val="PL"/>
      </w:pPr>
      <w:r w:rsidRPr="00FA0D37">
        <w:t xml:space="preserve">    }                                                                                   </w:t>
      </w:r>
      <w:r w:rsidRPr="00FA0D37">
        <w:rPr>
          <w:color w:val="993366"/>
        </w:rPr>
        <w:t>OPTIONAL</w:t>
      </w:r>
      <w:r w:rsidRPr="00FA0D37">
        <w:t>,</w:t>
      </w:r>
    </w:p>
    <w:p w14:paraId="3FB15DD3" w14:textId="77777777" w:rsidR="00394471" w:rsidRPr="00FA0D37" w:rsidRDefault="00394471" w:rsidP="00FA0D37">
      <w:pPr>
        <w:pStyle w:val="PL"/>
      </w:pPr>
      <w:r w:rsidRPr="00FA0D37">
        <w:t xml:space="preserve">    maxNumberMIMO-LayersNonCB-PUSCH         MIMO-LayersUL                               </w:t>
      </w:r>
      <w:r w:rsidRPr="00FA0D37">
        <w:rPr>
          <w:color w:val="993366"/>
        </w:rPr>
        <w:t>OPTIONAL</w:t>
      </w:r>
      <w:r w:rsidRPr="00FA0D37">
        <w:t>,</w:t>
      </w:r>
    </w:p>
    <w:p w14:paraId="12693056" w14:textId="77777777" w:rsidR="00394471" w:rsidRPr="00FA0D37" w:rsidRDefault="00394471" w:rsidP="00FA0D37">
      <w:pPr>
        <w:pStyle w:val="PL"/>
      </w:pPr>
      <w:r w:rsidRPr="00FA0D37">
        <w:t xml:space="preserve">    supportedModulationOrderUL              ModulationOrder                             </w:t>
      </w:r>
      <w:r w:rsidRPr="00FA0D37">
        <w:rPr>
          <w:color w:val="993366"/>
        </w:rPr>
        <w:t>OPTIONAL</w:t>
      </w:r>
    </w:p>
    <w:p w14:paraId="68700E0F" w14:textId="77777777" w:rsidR="00394471" w:rsidRPr="00FA0D37" w:rsidRDefault="00394471" w:rsidP="00FA0D37">
      <w:pPr>
        <w:pStyle w:val="PL"/>
      </w:pPr>
      <w:r w:rsidRPr="00FA0D37">
        <w:t>}</w:t>
      </w:r>
    </w:p>
    <w:p w14:paraId="2DD845D8" w14:textId="77777777" w:rsidR="00394471" w:rsidRPr="00FA0D37" w:rsidRDefault="00394471" w:rsidP="00FA0D37">
      <w:pPr>
        <w:pStyle w:val="PL"/>
      </w:pPr>
      <w:r w:rsidRPr="00FA0D37">
        <w:t xml:space="preserve">FeatureSetUplinkPerCC-v1540 ::=       </w:t>
      </w:r>
      <w:r w:rsidRPr="00FA0D37">
        <w:rPr>
          <w:color w:val="993366"/>
        </w:rPr>
        <w:t>SEQUENCE</w:t>
      </w:r>
      <w:r w:rsidRPr="00FA0D37">
        <w:t xml:space="preserve"> {</w:t>
      </w:r>
    </w:p>
    <w:p w14:paraId="5CFC34A0" w14:textId="77777777" w:rsidR="00394471" w:rsidRPr="00FA0D37" w:rsidRDefault="00394471" w:rsidP="00FA0D37">
      <w:pPr>
        <w:pStyle w:val="PL"/>
      </w:pPr>
      <w:r w:rsidRPr="00FA0D37">
        <w:t xml:space="preserve">    mimo-NonCB-PUSCH                      </w:t>
      </w:r>
      <w:r w:rsidRPr="00FA0D37">
        <w:rPr>
          <w:color w:val="993366"/>
        </w:rPr>
        <w:t>SEQUENCE</w:t>
      </w:r>
      <w:r w:rsidRPr="00FA0D37">
        <w:t xml:space="preserve"> {</w:t>
      </w:r>
    </w:p>
    <w:p w14:paraId="527BD110" w14:textId="77777777" w:rsidR="00394471" w:rsidRPr="00FA0D37" w:rsidRDefault="00394471" w:rsidP="00FA0D37">
      <w:pPr>
        <w:pStyle w:val="PL"/>
      </w:pPr>
      <w:r w:rsidRPr="00FA0D37">
        <w:t xml:space="preserve">        maxNumberSRS-ResourcePerSet           </w:t>
      </w:r>
      <w:r w:rsidRPr="00FA0D37">
        <w:rPr>
          <w:color w:val="993366"/>
        </w:rPr>
        <w:t>INTEGER</w:t>
      </w:r>
      <w:r w:rsidRPr="00FA0D37">
        <w:t xml:space="preserve"> (1..4),</w:t>
      </w:r>
    </w:p>
    <w:p w14:paraId="73104513" w14:textId="77777777" w:rsidR="00394471" w:rsidRPr="00FA0D37" w:rsidRDefault="00394471" w:rsidP="00FA0D37">
      <w:pPr>
        <w:pStyle w:val="PL"/>
      </w:pPr>
      <w:r w:rsidRPr="00FA0D37">
        <w:t xml:space="preserve">        maxNumberSimultaneousSRS-ResourceTx   </w:t>
      </w:r>
      <w:r w:rsidRPr="00FA0D37">
        <w:rPr>
          <w:color w:val="993366"/>
        </w:rPr>
        <w:t>INTEGER</w:t>
      </w:r>
      <w:r w:rsidRPr="00FA0D37">
        <w:t xml:space="preserve"> (1..4)</w:t>
      </w:r>
    </w:p>
    <w:p w14:paraId="5236EA2E" w14:textId="77777777" w:rsidR="00394471" w:rsidRPr="00FA0D37" w:rsidRDefault="00394471" w:rsidP="00FA0D37">
      <w:pPr>
        <w:pStyle w:val="PL"/>
      </w:pPr>
      <w:r w:rsidRPr="00FA0D37">
        <w:t xml:space="preserve">    } </w:t>
      </w:r>
      <w:r w:rsidRPr="00FA0D37">
        <w:rPr>
          <w:color w:val="993366"/>
        </w:rPr>
        <w:t>OPTIONAL</w:t>
      </w:r>
    </w:p>
    <w:p w14:paraId="537B4FCC" w14:textId="77777777" w:rsidR="002E309C" w:rsidRPr="00FA0D37" w:rsidRDefault="00394471" w:rsidP="00FA0D37">
      <w:pPr>
        <w:pStyle w:val="PL"/>
      </w:pPr>
      <w:r w:rsidRPr="00FA0D37">
        <w:t>}</w:t>
      </w:r>
    </w:p>
    <w:p w14:paraId="3CB12B89" w14:textId="77777777" w:rsidR="002E309C" w:rsidRPr="00FA0D37" w:rsidRDefault="002E309C" w:rsidP="00FA0D37">
      <w:pPr>
        <w:pStyle w:val="PL"/>
      </w:pPr>
    </w:p>
    <w:p w14:paraId="73E00C38" w14:textId="015089C0" w:rsidR="002E309C" w:rsidRPr="00FA0D37" w:rsidRDefault="002E309C" w:rsidP="00FA0D37">
      <w:pPr>
        <w:pStyle w:val="PL"/>
      </w:pPr>
      <w:r w:rsidRPr="00FA0D37">
        <w:t xml:space="preserve">FeatureSetUplinkPerCC-v1700 ::=   </w:t>
      </w:r>
      <w:r w:rsidRPr="00FA0D37">
        <w:rPr>
          <w:color w:val="993366"/>
        </w:rPr>
        <w:t>SEQUENCE</w:t>
      </w:r>
      <w:r w:rsidRPr="00FA0D37">
        <w:t xml:space="preserve"> {</w:t>
      </w:r>
    </w:p>
    <w:p w14:paraId="2326044B" w14:textId="77777777" w:rsidR="00B166EA" w:rsidRPr="00FA0D37" w:rsidRDefault="002E309C" w:rsidP="00FA0D37">
      <w:pPr>
        <w:pStyle w:val="PL"/>
      </w:pPr>
      <w:r w:rsidRPr="00FA0D37">
        <w:t xml:space="preserve">    supportedMinBandwidthUL-r17       SupportedBandwidth-v1700                          </w:t>
      </w:r>
      <w:r w:rsidRPr="00FA0D37">
        <w:rPr>
          <w:color w:val="993366"/>
        </w:rPr>
        <w:t>OPTIONAL</w:t>
      </w:r>
      <w:r w:rsidR="00B166EA" w:rsidRPr="00FA0D37">
        <w:t>,</w:t>
      </w:r>
    </w:p>
    <w:p w14:paraId="047F6660" w14:textId="1FE1F78E" w:rsidR="00B166EA" w:rsidRPr="00FA0D37" w:rsidRDefault="00B166EA" w:rsidP="00FA0D37">
      <w:pPr>
        <w:pStyle w:val="PL"/>
        <w:rPr>
          <w:color w:val="808080"/>
        </w:rPr>
      </w:pPr>
      <w:r w:rsidRPr="00FA0D37">
        <w:t xml:space="preserve">    </w:t>
      </w:r>
      <w:r w:rsidRPr="00FA0D37">
        <w:rPr>
          <w:color w:val="808080"/>
        </w:rPr>
        <w:t>-- R1 23-3-1-3</w:t>
      </w:r>
      <w:r w:rsidRPr="00FA0D37">
        <w:rPr>
          <w:color w:val="808080"/>
        </w:rPr>
        <w:tab/>
        <w:t xml:space="preserve">FeMIMO: Multi-TRP PUSCH repetition (type B) </w:t>
      </w:r>
      <w:r w:rsidR="00EE46AC" w:rsidRPr="00FA0D37">
        <w:rPr>
          <w:color w:val="808080"/>
        </w:rPr>
        <w:t>-</w:t>
      </w:r>
      <w:r w:rsidRPr="00FA0D37">
        <w:rPr>
          <w:color w:val="808080"/>
        </w:rPr>
        <w:t xml:space="preserve"> non</w:t>
      </w:r>
      <w:r w:rsidR="00EA6373" w:rsidRPr="00FA0D37">
        <w:rPr>
          <w:color w:val="808080"/>
        </w:rPr>
        <w:t>-</w:t>
      </w:r>
      <w:r w:rsidRPr="00FA0D37">
        <w:rPr>
          <w:color w:val="808080"/>
        </w:rPr>
        <w:t>codebook based</w:t>
      </w:r>
    </w:p>
    <w:p w14:paraId="26871C09" w14:textId="0D3FB54E" w:rsidR="00B166EA" w:rsidRPr="00FA0D37" w:rsidRDefault="00B166EA" w:rsidP="00FA0D37">
      <w:pPr>
        <w:pStyle w:val="PL"/>
      </w:pPr>
      <w:r w:rsidRPr="00FA0D37">
        <w:t xml:space="preserve">    mTRP-PUSCH-RepetitionTypeB-r17    </w:t>
      </w:r>
      <w:r w:rsidRPr="00FA0D37">
        <w:rPr>
          <w:color w:val="993366"/>
        </w:rPr>
        <w:t>ENUMERATED</w:t>
      </w:r>
      <w:r w:rsidRPr="00FA0D37">
        <w:t xml:space="preserve"> {n1,n2,n3,n4}                          </w:t>
      </w:r>
      <w:r w:rsidRPr="00FA0D37">
        <w:rPr>
          <w:color w:val="993366"/>
        </w:rPr>
        <w:t>OPTIONAL</w:t>
      </w:r>
      <w:r w:rsidRPr="00FA0D37">
        <w:t>,</w:t>
      </w:r>
    </w:p>
    <w:p w14:paraId="284B50B9" w14:textId="70910D42" w:rsidR="00B166EA" w:rsidRPr="00FA0D37" w:rsidRDefault="00B166EA" w:rsidP="00FA0D37">
      <w:pPr>
        <w:pStyle w:val="PL"/>
        <w:rPr>
          <w:color w:val="808080"/>
        </w:rPr>
      </w:pPr>
      <w:r w:rsidRPr="00FA0D37">
        <w:lastRenderedPageBreak/>
        <w:t xml:space="preserve">    </w:t>
      </w:r>
      <w:r w:rsidRPr="00FA0D37">
        <w:rPr>
          <w:color w:val="808080"/>
        </w:rPr>
        <w:t>-- R1 23-3-1-1 -codebook based Multi-TRP PUSCH repetition (type B)</w:t>
      </w:r>
    </w:p>
    <w:p w14:paraId="6C649FAC" w14:textId="03225177" w:rsidR="00B166EA" w:rsidRPr="00FA0D37" w:rsidRDefault="00B166EA" w:rsidP="00FA0D37">
      <w:pPr>
        <w:pStyle w:val="PL"/>
      </w:pPr>
      <w:r w:rsidRPr="00FA0D37">
        <w:t xml:space="preserve">    mTRP-PUSCH-TypeB-CB-r17           </w:t>
      </w:r>
      <w:r w:rsidRPr="00FA0D37">
        <w:rPr>
          <w:color w:val="993366"/>
        </w:rPr>
        <w:t>ENUMERATED</w:t>
      </w:r>
      <w:r w:rsidRPr="00FA0D37">
        <w:t xml:space="preserve"> {n1,n2,n4}                             </w:t>
      </w:r>
      <w:r w:rsidRPr="00FA0D37">
        <w:rPr>
          <w:color w:val="993366"/>
        </w:rPr>
        <w:t>OPTIONAL</w:t>
      </w:r>
      <w:r w:rsidRPr="00FA0D37">
        <w:t>,</w:t>
      </w:r>
    </w:p>
    <w:p w14:paraId="7541BE4C" w14:textId="0E443CF5" w:rsidR="002E309C" w:rsidRPr="00FA0D37" w:rsidRDefault="00B166EA" w:rsidP="00FA0D37">
      <w:pPr>
        <w:pStyle w:val="PL"/>
      </w:pPr>
      <w:r w:rsidRPr="00FA0D37">
        <w:t xml:space="preserve">    supportedBandwidthUL-v1710        SupportedBandwidth-v1700                          </w:t>
      </w:r>
      <w:r w:rsidRPr="00FA0D37">
        <w:rPr>
          <w:color w:val="993366"/>
        </w:rPr>
        <w:t>OPTIONAL</w:t>
      </w:r>
    </w:p>
    <w:p w14:paraId="1FC2BF5A" w14:textId="762E507C" w:rsidR="00394471" w:rsidRPr="00FA0D37" w:rsidRDefault="002E309C" w:rsidP="00FA0D37">
      <w:pPr>
        <w:pStyle w:val="PL"/>
      </w:pPr>
      <w:r w:rsidRPr="00FA0D37">
        <w:t>}</w:t>
      </w:r>
    </w:p>
    <w:p w14:paraId="0D33B4F8" w14:textId="77777777" w:rsidR="00394471" w:rsidRPr="00FA0D37" w:rsidRDefault="00394471" w:rsidP="00FA0D37">
      <w:pPr>
        <w:pStyle w:val="PL"/>
      </w:pPr>
    </w:p>
    <w:p w14:paraId="13B23655" w14:textId="77777777" w:rsidR="00394471" w:rsidRPr="00FA0D37" w:rsidRDefault="00394471" w:rsidP="00FA0D37">
      <w:pPr>
        <w:pStyle w:val="PL"/>
        <w:rPr>
          <w:color w:val="808080"/>
        </w:rPr>
      </w:pPr>
      <w:r w:rsidRPr="00FA0D37">
        <w:rPr>
          <w:color w:val="808080"/>
        </w:rPr>
        <w:t>-- TAG-FEATURESETUPLINKPERCC-STOP</w:t>
      </w:r>
    </w:p>
    <w:p w14:paraId="36DB231C" w14:textId="77777777" w:rsidR="00394471" w:rsidRPr="00FA0D37" w:rsidRDefault="00394471" w:rsidP="00FA0D37">
      <w:pPr>
        <w:pStyle w:val="PL"/>
        <w:rPr>
          <w:color w:val="808080"/>
        </w:rPr>
      </w:pPr>
      <w:r w:rsidRPr="00FA0D37">
        <w:rPr>
          <w:color w:val="808080"/>
        </w:rPr>
        <w:t>-- ASN1STOP</w:t>
      </w:r>
    </w:p>
    <w:p w14:paraId="0FDEC6E9" w14:textId="77777777" w:rsidR="00394471" w:rsidRPr="00FA0D37" w:rsidRDefault="00394471" w:rsidP="00394471"/>
    <w:p w14:paraId="70819509" w14:textId="77777777" w:rsidR="00394471" w:rsidRPr="00FA0D37" w:rsidRDefault="00394471" w:rsidP="00394471">
      <w:pPr>
        <w:pStyle w:val="4"/>
      </w:pPr>
      <w:bookmarkStart w:id="1553" w:name="_Toc60777451"/>
      <w:bookmarkStart w:id="1554" w:name="_Toc146781552"/>
      <w:r w:rsidRPr="00FA0D37">
        <w:t>–</w:t>
      </w:r>
      <w:r w:rsidRPr="00FA0D37">
        <w:tab/>
      </w:r>
      <w:r w:rsidRPr="00FA0D37">
        <w:rPr>
          <w:i/>
        </w:rPr>
        <w:t>FeatureSetUplinkPerCC-Id</w:t>
      </w:r>
      <w:bookmarkEnd w:id="1553"/>
      <w:bookmarkEnd w:id="1554"/>
    </w:p>
    <w:p w14:paraId="363F638B" w14:textId="77777777" w:rsidR="00394471" w:rsidRPr="00FA0D37" w:rsidRDefault="00394471" w:rsidP="00394471">
      <w:r w:rsidRPr="00FA0D37">
        <w:t xml:space="preserve">The IE </w:t>
      </w:r>
      <w:r w:rsidRPr="00FA0D37">
        <w:rPr>
          <w:i/>
        </w:rPr>
        <w:t>FeatureSetUplinkPerCC-Id</w:t>
      </w:r>
      <w:r w:rsidRPr="00FA0D37">
        <w:t xml:space="preserve"> identifies a set of features applicable to one carrier of a feature set. The </w:t>
      </w:r>
      <w:r w:rsidRPr="00FA0D37">
        <w:rPr>
          <w:i/>
        </w:rPr>
        <w:t>FeatureSetUplinkPerCC-Id</w:t>
      </w:r>
      <w:r w:rsidRPr="00FA0D37">
        <w:t xml:space="preserve"> of a </w:t>
      </w:r>
      <w:r w:rsidRPr="00FA0D37">
        <w:rPr>
          <w:i/>
        </w:rPr>
        <w:t>FeatureSetUplinkPerCC</w:t>
      </w:r>
      <w:r w:rsidRPr="00FA0D37">
        <w:t xml:space="preserve"> is the index position of the </w:t>
      </w:r>
      <w:r w:rsidRPr="00FA0D37">
        <w:rPr>
          <w:i/>
        </w:rPr>
        <w:t xml:space="preserve">FeatureSetUplinkPerCC </w:t>
      </w:r>
      <w:r w:rsidRPr="00FA0D37">
        <w:t xml:space="preserve">in the </w:t>
      </w:r>
      <w:r w:rsidRPr="00FA0D37">
        <w:rPr>
          <w:i/>
        </w:rPr>
        <w:t>featureSetsUplinkPerCC</w:t>
      </w:r>
      <w:r w:rsidRPr="00FA0D37">
        <w:t xml:space="preserve">. The first element in the list is referred to by </w:t>
      </w:r>
      <w:r w:rsidRPr="00FA0D37">
        <w:rPr>
          <w:i/>
        </w:rPr>
        <w:t xml:space="preserve">FeatureSetUplinkPerCC-Id </w:t>
      </w:r>
      <w:r w:rsidRPr="00FA0D37">
        <w:t>= 1, and so on.</w:t>
      </w:r>
    </w:p>
    <w:p w14:paraId="38DAAD47" w14:textId="77777777" w:rsidR="00394471" w:rsidRPr="00FA0D37" w:rsidRDefault="00394471" w:rsidP="00394471">
      <w:pPr>
        <w:pStyle w:val="TH"/>
      </w:pPr>
      <w:r w:rsidRPr="00FA0D37">
        <w:rPr>
          <w:i/>
        </w:rPr>
        <w:t>FeatureSetUplinkPerCC-Id</w:t>
      </w:r>
      <w:r w:rsidRPr="00FA0D37">
        <w:t xml:space="preserve"> information element</w:t>
      </w:r>
    </w:p>
    <w:p w14:paraId="38365835" w14:textId="77777777" w:rsidR="00394471" w:rsidRPr="00FA0D37" w:rsidRDefault="00394471" w:rsidP="00FA0D37">
      <w:pPr>
        <w:pStyle w:val="PL"/>
        <w:rPr>
          <w:color w:val="808080"/>
        </w:rPr>
      </w:pPr>
      <w:r w:rsidRPr="00FA0D37">
        <w:rPr>
          <w:color w:val="808080"/>
        </w:rPr>
        <w:t>-- ASN1START</w:t>
      </w:r>
    </w:p>
    <w:p w14:paraId="17E2B3CF" w14:textId="77777777" w:rsidR="00394471" w:rsidRPr="00FA0D37" w:rsidRDefault="00394471" w:rsidP="00FA0D37">
      <w:pPr>
        <w:pStyle w:val="PL"/>
        <w:rPr>
          <w:color w:val="808080"/>
        </w:rPr>
      </w:pPr>
      <w:r w:rsidRPr="00FA0D37">
        <w:rPr>
          <w:color w:val="808080"/>
        </w:rPr>
        <w:t>-- TAG-FEATURESETUPLINKPERCC-ID-START</w:t>
      </w:r>
    </w:p>
    <w:p w14:paraId="6F18DBC5" w14:textId="77777777" w:rsidR="00394471" w:rsidRPr="00FA0D37" w:rsidRDefault="00394471" w:rsidP="00FA0D37">
      <w:pPr>
        <w:pStyle w:val="PL"/>
      </w:pPr>
    </w:p>
    <w:p w14:paraId="27B41106" w14:textId="77777777" w:rsidR="00394471" w:rsidRPr="00FA0D37" w:rsidRDefault="00394471" w:rsidP="00FA0D37">
      <w:pPr>
        <w:pStyle w:val="PL"/>
      </w:pPr>
      <w:r w:rsidRPr="00FA0D37">
        <w:t xml:space="preserve">FeatureSetUplinkPerCC-Id ::=            </w:t>
      </w:r>
      <w:r w:rsidRPr="00FA0D37">
        <w:rPr>
          <w:color w:val="993366"/>
        </w:rPr>
        <w:t>INTEGER</w:t>
      </w:r>
      <w:r w:rsidRPr="00FA0D37">
        <w:t xml:space="preserve"> (1..maxPerCC-FeatureSets)</w:t>
      </w:r>
    </w:p>
    <w:p w14:paraId="41FDE1C8" w14:textId="77777777" w:rsidR="00394471" w:rsidRPr="00FA0D37" w:rsidRDefault="00394471" w:rsidP="00FA0D37">
      <w:pPr>
        <w:pStyle w:val="PL"/>
      </w:pPr>
    </w:p>
    <w:p w14:paraId="43CB7DE3" w14:textId="77777777" w:rsidR="00394471" w:rsidRPr="00FA0D37" w:rsidRDefault="00394471" w:rsidP="00FA0D37">
      <w:pPr>
        <w:pStyle w:val="PL"/>
        <w:rPr>
          <w:color w:val="808080"/>
        </w:rPr>
      </w:pPr>
      <w:r w:rsidRPr="00FA0D37">
        <w:rPr>
          <w:color w:val="808080"/>
        </w:rPr>
        <w:t>-- TAG-FEATURESETUPLINKPERCC-ID-STOP</w:t>
      </w:r>
    </w:p>
    <w:p w14:paraId="70A94B33" w14:textId="77777777" w:rsidR="00394471" w:rsidRPr="00FA0D37" w:rsidRDefault="00394471" w:rsidP="00FA0D37">
      <w:pPr>
        <w:pStyle w:val="PL"/>
        <w:rPr>
          <w:color w:val="808080"/>
        </w:rPr>
      </w:pPr>
      <w:r w:rsidRPr="00FA0D37">
        <w:rPr>
          <w:color w:val="808080"/>
        </w:rPr>
        <w:t>-- ASN1STOP</w:t>
      </w:r>
    </w:p>
    <w:p w14:paraId="29B6C649" w14:textId="77777777" w:rsidR="00394471" w:rsidRPr="00FA0D37" w:rsidRDefault="00394471" w:rsidP="00394471"/>
    <w:p w14:paraId="63E1A194" w14:textId="77777777" w:rsidR="00394471" w:rsidRPr="00FA0D37" w:rsidRDefault="00394471" w:rsidP="00394471">
      <w:pPr>
        <w:pStyle w:val="4"/>
      </w:pPr>
      <w:bookmarkStart w:id="1555" w:name="_Toc60777452"/>
      <w:bookmarkStart w:id="1556" w:name="_Toc146781553"/>
      <w:r w:rsidRPr="00FA0D37">
        <w:t>–</w:t>
      </w:r>
      <w:r w:rsidRPr="00FA0D37">
        <w:tab/>
      </w:r>
      <w:r w:rsidRPr="00FA0D37">
        <w:rPr>
          <w:i/>
          <w:noProof/>
        </w:rPr>
        <w:t>FreqBandIndicatorEUTRA</w:t>
      </w:r>
      <w:bookmarkEnd w:id="1555"/>
      <w:bookmarkEnd w:id="1556"/>
    </w:p>
    <w:p w14:paraId="62009A68" w14:textId="77777777" w:rsidR="00394471" w:rsidRPr="00FA0D37" w:rsidRDefault="00394471" w:rsidP="00FA0D37">
      <w:pPr>
        <w:pStyle w:val="PL"/>
        <w:rPr>
          <w:color w:val="808080"/>
        </w:rPr>
      </w:pPr>
      <w:r w:rsidRPr="00FA0D37">
        <w:rPr>
          <w:color w:val="808080"/>
        </w:rPr>
        <w:t>-- ASN1START</w:t>
      </w:r>
    </w:p>
    <w:p w14:paraId="4C307A59" w14:textId="77777777" w:rsidR="00394471" w:rsidRPr="00FA0D37" w:rsidRDefault="00394471" w:rsidP="00FA0D37">
      <w:pPr>
        <w:pStyle w:val="PL"/>
        <w:rPr>
          <w:color w:val="808080"/>
        </w:rPr>
      </w:pPr>
      <w:r w:rsidRPr="00FA0D37">
        <w:rPr>
          <w:color w:val="808080"/>
        </w:rPr>
        <w:t>-- TAG-FREQBANDINDICATOREUTRA-START</w:t>
      </w:r>
    </w:p>
    <w:p w14:paraId="7AD277C1" w14:textId="77777777" w:rsidR="00394471" w:rsidRPr="00FA0D37" w:rsidRDefault="00394471" w:rsidP="00FA0D37">
      <w:pPr>
        <w:pStyle w:val="PL"/>
      </w:pPr>
    </w:p>
    <w:p w14:paraId="774915A1" w14:textId="77777777" w:rsidR="00394471" w:rsidRPr="00FA0D37" w:rsidRDefault="00394471" w:rsidP="00FA0D37">
      <w:pPr>
        <w:pStyle w:val="PL"/>
      </w:pPr>
      <w:r w:rsidRPr="00FA0D37">
        <w:t xml:space="preserve">FreqBandIndicatorEUTRA ::=  </w:t>
      </w:r>
      <w:r w:rsidRPr="00FA0D37">
        <w:rPr>
          <w:color w:val="993366"/>
        </w:rPr>
        <w:t>INTEGER</w:t>
      </w:r>
      <w:r w:rsidRPr="00FA0D37">
        <w:t xml:space="preserve"> (1..maxBandsEUTRA)</w:t>
      </w:r>
    </w:p>
    <w:p w14:paraId="49CFBEB1" w14:textId="77777777" w:rsidR="00394471" w:rsidRPr="00FA0D37" w:rsidRDefault="00394471" w:rsidP="00FA0D37">
      <w:pPr>
        <w:pStyle w:val="PL"/>
      </w:pPr>
    </w:p>
    <w:p w14:paraId="41D37A39" w14:textId="77777777" w:rsidR="00394471" w:rsidRPr="00FA0D37" w:rsidRDefault="00394471" w:rsidP="00FA0D37">
      <w:pPr>
        <w:pStyle w:val="PL"/>
        <w:rPr>
          <w:color w:val="808080"/>
        </w:rPr>
      </w:pPr>
      <w:r w:rsidRPr="00FA0D37">
        <w:rPr>
          <w:color w:val="808080"/>
        </w:rPr>
        <w:t>-- TAG-FREQBANDINDICATOREUTRA-STOP</w:t>
      </w:r>
    </w:p>
    <w:p w14:paraId="6904A217" w14:textId="77777777" w:rsidR="00394471" w:rsidRPr="00FA0D37" w:rsidRDefault="00394471" w:rsidP="00FA0D37">
      <w:pPr>
        <w:pStyle w:val="PL"/>
        <w:rPr>
          <w:color w:val="808080"/>
        </w:rPr>
      </w:pPr>
      <w:r w:rsidRPr="00FA0D37">
        <w:rPr>
          <w:color w:val="808080"/>
        </w:rPr>
        <w:t>-- ASN1STOP</w:t>
      </w:r>
    </w:p>
    <w:p w14:paraId="71CB2DD6" w14:textId="77777777" w:rsidR="00394471" w:rsidRPr="00FA0D37" w:rsidRDefault="00394471" w:rsidP="00394471"/>
    <w:p w14:paraId="1AAA50A6" w14:textId="77777777" w:rsidR="00394471" w:rsidRPr="00FA0D37" w:rsidRDefault="00394471" w:rsidP="00394471">
      <w:pPr>
        <w:pStyle w:val="4"/>
      </w:pPr>
      <w:bookmarkStart w:id="1557" w:name="_Toc60777453"/>
      <w:bookmarkStart w:id="1558" w:name="_Toc146781554"/>
      <w:r w:rsidRPr="00FA0D37">
        <w:t>–</w:t>
      </w:r>
      <w:r w:rsidRPr="00FA0D37">
        <w:tab/>
      </w:r>
      <w:r w:rsidRPr="00FA0D37">
        <w:rPr>
          <w:i/>
          <w:noProof/>
        </w:rPr>
        <w:t>FreqBandList</w:t>
      </w:r>
      <w:bookmarkEnd w:id="1557"/>
      <w:bookmarkEnd w:id="1558"/>
    </w:p>
    <w:p w14:paraId="12E4A4FB" w14:textId="483710F7" w:rsidR="00394471" w:rsidRPr="00FA0D37" w:rsidRDefault="00394471" w:rsidP="00394471">
      <w:r w:rsidRPr="00FA0D37">
        <w:t xml:space="preserve">The IE </w:t>
      </w:r>
      <w:r w:rsidRPr="00FA0D37">
        <w:rPr>
          <w:i/>
        </w:rPr>
        <w:t>FreqBandList</w:t>
      </w:r>
      <w:r w:rsidRPr="00FA0D37">
        <w:t xml:space="preserve"> is used by the network to request NR CA</w:t>
      </w:r>
      <w:r w:rsidRPr="00FA0D37">
        <w:rPr>
          <w:lang w:eastAsia="zh-CN"/>
        </w:rPr>
        <w:t>, NR non-CA</w:t>
      </w:r>
      <w:r w:rsidRPr="00FA0D37">
        <w:t xml:space="preserve"> and/or MR-DC band combinations for specific NR and/or E-UTRA frequency bands and/or up to a specific number of carriers and/or up to specific aggregated bandwidth. This is also used to request feature sets (for NR) and feature set combinations (for NR and MR-DC).</w:t>
      </w:r>
      <w:r w:rsidR="00D027C1" w:rsidRPr="00FA0D37">
        <w:t xml:space="preserve"> For NR sidelink communication, this is used by the initiating UE to request sidelink UE radio access capabilities from the peer UE.</w:t>
      </w:r>
    </w:p>
    <w:p w14:paraId="6899FF42" w14:textId="77777777" w:rsidR="00394471" w:rsidRPr="00FA0D37" w:rsidRDefault="00394471" w:rsidP="00394471">
      <w:pPr>
        <w:pStyle w:val="TH"/>
      </w:pPr>
      <w:r w:rsidRPr="00FA0D37">
        <w:rPr>
          <w:bCs/>
          <w:i/>
          <w:iCs/>
        </w:rPr>
        <w:t>FreqBandList</w:t>
      </w:r>
      <w:r w:rsidRPr="00FA0D37">
        <w:t xml:space="preserve"> information element</w:t>
      </w:r>
    </w:p>
    <w:p w14:paraId="76E26B27" w14:textId="77777777" w:rsidR="00394471" w:rsidRPr="00FA0D37" w:rsidRDefault="00394471" w:rsidP="00FA0D37">
      <w:pPr>
        <w:pStyle w:val="PL"/>
        <w:rPr>
          <w:color w:val="808080"/>
        </w:rPr>
      </w:pPr>
      <w:r w:rsidRPr="00FA0D37">
        <w:rPr>
          <w:color w:val="808080"/>
        </w:rPr>
        <w:t>-- ASN1START</w:t>
      </w:r>
    </w:p>
    <w:p w14:paraId="6735B1C0" w14:textId="77777777" w:rsidR="00394471" w:rsidRPr="00FA0D37" w:rsidRDefault="00394471" w:rsidP="00FA0D37">
      <w:pPr>
        <w:pStyle w:val="PL"/>
        <w:rPr>
          <w:color w:val="808080"/>
        </w:rPr>
      </w:pPr>
      <w:r w:rsidRPr="00FA0D37">
        <w:rPr>
          <w:color w:val="808080"/>
        </w:rPr>
        <w:t>-- TAG-FREQBANDLIST-START</w:t>
      </w:r>
    </w:p>
    <w:p w14:paraId="11F0F2E3" w14:textId="77777777" w:rsidR="00394471" w:rsidRPr="00FA0D37" w:rsidRDefault="00394471" w:rsidP="00FA0D37">
      <w:pPr>
        <w:pStyle w:val="PL"/>
      </w:pPr>
    </w:p>
    <w:p w14:paraId="63A2A3A9" w14:textId="77777777" w:rsidR="00394471" w:rsidRPr="00FA0D37" w:rsidRDefault="00394471" w:rsidP="00FA0D37">
      <w:pPr>
        <w:pStyle w:val="PL"/>
      </w:pPr>
      <w:r w:rsidRPr="00FA0D37">
        <w:lastRenderedPageBreak/>
        <w:t xml:space="preserve">FreqBandList ::=                </w:t>
      </w:r>
      <w:r w:rsidRPr="00FA0D37">
        <w:rPr>
          <w:color w:val="993366"/>
        </w:rPr>
        <w:t>SEQUENCE</w:t>
      </w:r>
      <w:r w:rsidRPr="00FA0D37">
        <w:t xml:space="preserve"> (</w:t>
      </w:r>
      <w:r w:rsidRPr="00FA0D37">
        <w:rPr>
          <w:color w:val="993366"/>
        </w:rPr>
        <w:t>SIZE</w:t>
      </w:r>
      <w:r w:rsidRPr="00FA0D37">
        <w:t xml:space="preserve"> (1..maxBandsMRDC))</w:t>
      </w:r>
      <w:r w:rsidRPr="00FA0D37">
        <w:rPr>
          <w:color w:val="993366"/>
        </w:rPr>
        <w:t xml:space="preserve"> OF</w:t>
      </w:r>
      <w:r w:rsidRPr="00FA0D37">
        <w:t xml:space="preserve"> FreqBandInformation</w:t>
      </w:r>
    </w:p>
    <w:p w14:paraId="716D893F" w14:textId="77777777" w:rsidR="00394471" w:rsidRPr="00FA0D37" w:rsidRDefault="00394471" w:rsidP="00FA0D37">
      <w:pPr>
        <w:pStyle w:val="PL"/>
      </w:pPr>
    </w:p>
    <w:p w14:paraId="12372396" w14:textId="77777777" w:rsidR="00394471" w:rsidRPr="00FA0D37" w:rsidRDefault="00394471" w:rsidP="00FA0D37">
      <w:pPr>
        <w:pStyle w:val="PL"/>
      </w:pPr>
      <w:r w:rsidRPr="00FA0D37">
        <w:t xml:space="preserve">FreqBandInformation ::=         </w:t>
      </w:r>
      <w:r w:rsidRPr="00FA0D37">
        <w:rPr>
          <w:color w:val="993366"/>
        </w:rPr>
        <w:t>CHOICE</w:t>
      </w:r>
      <w:r w:rsidRPr="00FA0D37">
        <w:t xml:space="preserve"> {</w:t>
      </w:r>
    </w:p>
    <w:p w14:paraId="685CE1F8" w14:textId="77777777" w:rsidR="00394471" w:rsidRPr="00FA0D37" w:rsidRDefault="00394471" w:rsidP="00FA0D37">
      <w:pPr>
        <w:pStyle w:val="PL"/>
      </w:pPr>
      <w:r w:rsidRPr="00FA0D37">
        <w:t xml:space="preserve">    bandInformationEUTRA            FreqBandInformationEUTRA,</w:t>
      </w:r>
    </w:p>
    <w:p w14:paraId="4E55D4F0" w14:textId="77777777" w:rsidR="00394471" w:rsidRPr="00FA0D37" w:rsidRDefault="00394471" w:rsidP="00FA0D37">
      <w:pPr>
        <w:pStyle w:val="PL"/>
      </w:pPr>
      <w:r w:rsidRPr="00FA0D37">
        <w:t xml:space="preserve">    bandInformationNR               FreqBandInformationNR</w:t>
      </w:r>
    </w:p>
    <w:p w14:paraId="4DD6DFF7" w14:textId="77777777" w:rsidR="00394471" w:rsidRPr="00FA0D37" w:rsidRDefault="00394471" w:rsidP="00FA0D37">
      <w:pPr>
        <w:pStyle w:val="PL"/>
      </w:pPr>
      <w:r w:rsidRPr="00FA0D37">
        <w:t>}</w:t>
      </w:r>
    </w:p>
    <w:p w14:paraId="475AEC55" w14:textId="77777777" w:rsidR="00394471" w:rsidRPr="00FA0D37" w:rsidRDefault="00394471" w:rsidP="00FA0D37">
      <w:pPr>
        <w:pStyle w:val="PL"/>
      </w:pPr>
    </w:p>
    <w:p w14:paraId="06295E69" w14:textId="77777777" w:rsidR="00394471" w:rsidRPr="00FA0D37" w:rsidRDefault="00394471" w:rsidP="00FA0D37">
      <w:pPr>
        <w:pStyle w:val="PL"/>
      </w:pPr>
      <w:r w:rsidRPr="00FA0D37">
        <w:t xml:space="preserve">FreqBandInformationEUTRA ::=    </w:t>
      </w:r>
      <w:r w:rsidRPr="00FA0D37">
        <w:rPr>
          <w:color w:val="993366"/>
        </w:rPr>
        <w:t>SEQUENCE</w:t>
      </w:r>
      <w:r w:rsidRPr="00FA0D37">
        <w:t xml:space="preserve"> {</w:t>
      </w:r>
    </w:p>
    <w:p w14:paraId="7C179A56" w14:textId="77777777" w:rsidR="00394471" w:rsidRPr="00FA0D37" w:rsidRDefault="00394471" w:rsidP="00FA0D37">
      <w:pPr>
        <w:pStyle w:val="PL"/>
      </w:pPr>
      <w:r w:rsidRPr="00FA0D37">
        <w:t xml:space="preserve">    bandEUTRA                       FreqBandIndicatorEUTRA,</w:t>
      </w:r>
    </w:p>
    <w:p w14:paraId="3088DE4A" w14:textId="77777777" w:rsidR="00394471" w:rsidRPr="00FA0D37" w:rsidRDefault="00394471" w:rsidP="00FA0D37">
      <w:pPr>
        <w:pStyle w:val="PL"/>
        <w:rPr>
          <w:color w:val="808080"/>
        </w:rPr>
      </w:pPr>
      <w:r w:rsidRPr="00FA0D37">
        <w:t xml:space="preserve">    ca-BandwidthClassDL-EUTRA       CA-BandwidthClassEUTRA                  </w:t>
      </w:r>
      <w:r w:rsidRPr="00FA0D37">
        <w:rPr>
          <w:color w:val="993366"/>
        </w:rPr>
        <w:t>OPTIONAL</w:t>
      </w:r>
      <w:r w:rsidRPr="00FA0D37">
        <w:t xml:space="preserve">,   </w:t>
      </w:r>
      <w:r w:rsidRPr="00FA0D37">
        <w:rPr>
          <w:color w:val="808080"/>
        </w:rPr>
        <w:t>-- Need N</w:t>
      </w:r>
    </w:p>
    <w:p w14:paraId="0DC478E7" w14:textId="77777777" w:rsidR="00394471" w:rsidRPr="00FA0D37" w:rsidRDefault="00394471" w:rsidP="00FA0D37">
      <w:pPr>
        <w:pStyle w:val="PL"/>
        <w:rPr>
          <w:color w:val="808080"/>
        </w:rPr>
      </w:pPr>
      <w:r w:rsidRPr="00FA0D37">
        <w:t xml:space="preserve">    ca-BandwidthClassUL-EUTRA       CA-BandwidthClassEUTRA                  </w:t>
      </w:r>
      <w:r w:rsidRPr="00FA0D37">
        <w:rPr>
          <w:color w:val="993366"/>
        </w:rPr>
        <w:t>OPTIONAL</w:t>
      </w:r>
      <w:r w:rsidRPr="00FA0D37">
        <w:t xml:space="preserve">    </w:t>
      </w:r>
      <w:r w:rsidRPr="00FA0D37">
        <w:rPr>
          <w:color w:val="808080"/>
        </w:rPr>
        <w:t>-- Need N</w:t>
      </w:r>
    </w:p>
    <w:p w14:paraId="455EFC5A" w14:textId="77777777" w:rsidR="00394471" w:rsidRPr="00FA0D37" w:rsidRDefault="00394471" w:rsidP="00FA0D37">
      <w:pPr>
        <w:pStyle w:val="PL"/>
      </w:pPr>
      <w:r w:rsidRPr="00FA0D37">
        <w:t>}</w:t>
      </w:r>
    </w:p>
    <w:p w14:paraId="6803D8A4" w14:textId="77777777" w:rsidR="00394471" w:rsidRPr="00FA0D37" w:rsidRDefault="00394471" w:rsidP="00FA0D37">
      <w:pPr>
        <w:pStyle w:val="PL"/>
      </w:pPr>
    </w:p>
    <w:p w14:paraId="769B0482" w14:textId="77777777" w:rsidR="00394471" w:rsidRPr="00FA0D37" w:rsidRDefault="00394471" w:rsidP="00FA0D37">
      <w:pPr>
        <w:pStyle w:val="PL"/>
      </w:pPr>
      <w:r w:rsidRPr="00FA0D37">
        <w:t xml:space="preserve">FreqBandInformationNR ::=       </w:t>
      </w:r>
      <w:r w:rsidRPr="00FA0D37">
        <w:rPr>
          <w:color w:val="993366"/>
        </w:rPr>
        <w:t>SEQUENCE</w:t>
      </w:r>
      <w:r w:rsidRPr="00FA0D37">
        <w:t xml:space="preserve"> {</w:t>
      </w:r>
    </w:p>
    <w:p w14:paraId="3408F5E0" w14:textId="77777777" w:rsidR="00394471" w:rsidRPr="00FA0D37" w:rsidRDefault="00394471" w:rsidP="00FA0D37">
      <w:pPr>
        <w:pStyle w:val="PL"/>
      </w:pPr>
      <w:r w:rsidRPr="00FA0D37">
        <w:t xml:space="preserve">    bandNR                          FreqBandIndicatorNR,</w:t>
      </w:r>
    </w:p>
    <w:p w14:paraId="56CD5596" w14:textId="77777777" w:rsidR="00394471" w:rsidRPr="00FA0D37" w:rsidRDefault="00394471" w:rsidP="00FA0D37">
      <w:pPr>
        <w:pStyle w:val="PL"/>
        <w:rPr>
          <w:color w:val="808080"/>
        </w:rPr>
      </w:pPr>
      <w:r w:rsidRPr="00FA0D37">
        <w:t xml:space="preserve">    maxBandwidthRequestedDL         AggregatedBandwidth                     </w:t>
      </w:r>
      <w:r w:rsidRPr="00FA0D37">
        <w:rPr>
          <w:color w:val="993366"/>
        </w:rPr>
        <w:t>OPTIONAL</w:t>
      </w:r>
      <w:r w:rsidRPr="00FA0D37">
        <w:t xml:space="preserve">,   </w:t>
      </w:r>
      <w:r w:rsidRPr="00FA0D37">
        <w:rPr>
          <w:color w:val="808080"/>
        </w:rPr>
        <w:t>-- Need N</w:t>
      </w:r>
    </w:p>
    <w:p w14:paraId="1E5932B6" w14:textId="77777777" w:rsidR="00394471" w:rsidRPr="00FA0D37" w:rsidRDefault="00394471" w:rsidP="00FA0D37">
      <w:pPr>
        <w:pStyle w:val="PL"/>
        <w:rPr>
          <w:color w:val="808080"/>
        </w:rPr>
      </w:pPr>
      <w:r w:rsidRPr="00FA0D37">
        <w:t xml:space="preserve">    maxBandwidthRequestedUL         AggregatedBandwidth                     </w:t>
      </w:r>
      <w:r w:rsidRPr="00FA0D37">
        <w:rPr>
          <w:color w:val="993366"/>
        </w:rPr>
        <w:t>OPTIONAL</w:t>
      </w:r>
      <w:r w:rsidRPr="00FA0D37">
        <w:t xml:space="preserve">,   </w:t>
      </w:r>
      <w:r w:rsidRPr="00FA0D37">
        <w:rPr>
          <w:color w:val="808080"/>
        </w:rPr>
        <w:t>-- Need N</w:t>
      </w:r>
    </w:p>
    <w:p w14:paraId="5EFB3413" w14:textId="77777777" w:rsidR="00394471" w:rsidRPr="00FA0D37" w:rsidRDefault="00394471" w:rsidP="00FA0D37">
      <w:pPr>
        <w:pStyle w:val="PL"/>
        <w:rPr>
          <w:color w:val="808080"/>
        </w:rPr>
      </w:pPr>
      <w:r w:rsidRPr="00FA0D37">
        <w:t xml:space="preserve">    maxCarriersRequestedDL          </w:t>
      </w:r>
      <w:r w:rsidRPr="00FA0D37">
        <w:rPr>
          <w:color w:val="993366"/>
        </w:rPr>
        <w:t>INTEGER</w:t>
      </w:r>
      <w:r w:rsidRPr="00FA0D37">
        <w:t xml:space="preserve"> (1..maxNrofServingCells)        </w:t>
      </w:r>
      <w:r w:rsidRPr="00FA0D37">
        <w:rPr>
          <w:color w:val="993366"/>
        </w:rPr>
        <w:t>OPTIONAL</w:t>
      </w:r>
      <w:r w:rsidRPr="00FA0D37">
        <w:t xml:space="preserve">,   </w:t>
      </w:r>
      <w:r w:rsidRPr="00FA0D37">
        <w:rPr>
          <w:color w:val="808080"/>
        </w:rPr>
        <w:t>-- Need N</w:t>
      </w:r>
    </w:p>
    <w:p w14:paraId="6609B370" w14:textId="77777777" w:rsidR="00394471" w:rsidRPr="00FA0D37" w:rsidRDefault="00394471" w:rsidP="00FA0D37">
      <w:pPr>
        <w:pStyle w:val="PL"/>
        <w:rPr>
          <w:color w:val="808080"/>
        </w:rPr>
      </w:pPr>
      <w:r w:rsidRPr="00FA0D37">
        <w:t xml:space="preserve">    maxCarriersRequestedUL          </w:t>
      </w:r>
      <w:r w:rsidRPr="00FA0D37">
        <w:rPr>
          <w:color w:val="993366"/>
        </w:rPr>
        <w:t>INTEGER</w:t>
      </w:r>
      <w:r w:rsidRPr="00FA0D37">
        <w:t xml:space="preserve"> (1..maxNrofServingCells)        </w:t>
      </w:r>
      <w:r w:rsidRPr="00FA0D37">
        <w:rPr>
          <w:color w:val="993366"/>
        </w:rPr>
        <w:t>OPTIONAL</w:t>
      </w:r>
      <w:r w:rsidRPr="00FA0D37">
        <w:t xml:space="preserve">    </w:t>
      </w:r>
      <w:r w:rsidRPr="00FA0D37">
        <w:rPr>
          <w:color w:val="808080"/>
        </w:rPr>
        <w:t>-- Need N</w:t>
      </w:r>
    </w:p>
    <w:p w14:paraId="1D35B72A" w14:textId="77777777" w:rsidR="00394471" w:rsidRPr="00FA0D37" w:rsidRDefault="00394471" w:rsidP="00FA0D37">
      <w:pPr>
        <w:pStyle w:val="PL"/>
      </w:pPr>
      <w:r w:rsidRPr="00FA0D37">
        <w:t>}</w:t>
      </w:r>
    </w:p>
    <w:p w14:paraId="30C09A2E" w14:textId="77777777" w:rsidR="00394471" w:rsidRPr="00FA0D37" w:rsidRDefault="00394471" w:rsidP="00FA0D37">
      <w:pPr>
        <w:pStyle w:val="PL"/>
      </w:pPr>
    </w:p>
    <w:p w14:paraId="67E79AF8" w14:textId="77777777" w:rsidR="00394471" w:rsidRPr="00FA0D37" w:rsidRDefault="00394471" w:rsidP="00FA0D37">
      <w:pPr>
        <w:pStyle w:val="PL"/>
      </w:pPr>
      <w:r w:rsidRPr="00FA0D37">
        <w:t xml:space="preserve">AggregatedBandwidth ::=         </w:t>
      </w:r>
      <w:r w:rsidRPr="00FA0D37">
        <w:rPr>
          <w:color w:val="993366"/>
        </w:rPr>
        <w:t>ENUMERATED</w:t>
      </w:r>
      <w:r w:rsidRPr="00FA0D37">
        <w:t xml:space="preserve"> {mhz50, mhz100, mhz150, mhz200, mhz250, mhz300, mhz350,</w:t>
      </w:r>
    </w:p>
    <w:p w14:paraId="3B310824" w14:textId="77777777" w:rsidR="00394471" w:rsidRPr="00FA0D37" w:rsidRDefault="00394471" w:rsidP="00FA0D37">
      <w:pPr>
        <w:pStyle w:val="PL"/>
      </w:pPr>
      <w:r w:rsidRPr="00FA0D37">
        <w:t xml:space="preserve">                                            mhz400, mhz450, mhz500, mhz550, mhz600, mhz650, mhz700, mhz750, mhz800}</w:t>
      </w:r>
    </w:p>
    <w:p w14:paraId="63122411" w14:textId="77777777" w:rsidR="00394471" w:rsidRPr="00FA0D37" w:rsidRDefault="00394471" w:rsidP="00FA0D37">
      <w:pPr>
        <w:pStyle w:val="PL"/>
      </w:pPr>
    </w:p>
    <w:p w14:paraId="49FE9BF5" w14:textId="77777777" w:rsidR="00394471" w:rsidRPr="00FA0D37" w:rsidRDefault="00394471" w:rsidP="00FA0D37">
      <w:pPr>
        <w:pStyle w:val="PL"/>
        <w:rPr>
          <w:color w:val="808080"/>
        </w:rPr>
      </w:pPr>
      <w:r w:rsidRPr="00FA0D37">
        <w:rPr>
          <w:color w:val="808080"/>
        </w:rPr>
        <w:t>-- TAG-FREQBANDLIST-STOP</w:t>
      </w:r>
    </w:p>
    <w:p w14:paraId="47B1E28A" w14:textId="77777777" w:rsidR="00394471" w:rsidRPr="00FA0D37" w:rsidRDefault="00394471" w:rsidP="00FA0D37">
      <w:pPr>
        <w:pStyle w:val="PL"/>
        <w:rPr>
          <w:color w:val="808080"/>
        </w:rPr>
      </w:pPr>
      <w:r w:rsidRPr="00FA0D37">
        <w:rPr>
          <w:color w:val="808080"/>
        </w:rPr>
        <w:t>-- ASN1STOP</w:t>
      </w:r>
    </w:p>
    <w:p w14:paraId="0E4CAE7D" w14:textId="77777777" w:rsidR="00394471" w:rsidRPr="00FA0D37" w:rsidRDefault="00394471" w:rsidP="00394471"/>
    <w:p w14:paraId="2ECEA988" w14:textId="77777777" w:rsidR="00394471" w:rsidRPr="00FA0D37" w:rsidRDefault="00394471" w:rsidP="00394471">
      <w:pPr>
        <w:pStyle w:val="4"/>
        <w:rPr>
          <w:noProof/>
        </w:rPr>
      </w:pPr>
      <w:bookmarkStart w:id="1559" w:name="_Toc60777454"/>
      <w:bookmarkStart w:id="1560" w:name="_Toc146781555"/>
      <w:r w:rsidRPr="00FA0D37">
        <w:t>–</w:t>
      </w:r>
      <w:r w:rsidRPr="00FA0D37">
        <w:tab/>
      </w:r>
      <w:r w:rsidRPr="00FA0D37">
        <w:rPr>
          <w:i/>
          <w:noProof/>
        </w:rPr>
        <w:t>FreqSeparationClass</w:t>
      </w:r>
      <w:bookmarkEnd w:id="1559"/>
      <w:bookmarkEnd w:id="1560"/>
    </w:p>
    <w:p w14:paraId="494AA21E" w14:textId="77777777" w:rsidR="00394471" w:rsidRPr="00FA0D37" w:rsidRDefault="00394471" w:rsidP="00394471">
      <w:r w:rsidRPr="00FA0D37">
        <w:t xml:space="preserve">The IE </w:t>
      </w:r>
      <w:r w:rsidRPr="00FA0D37">
        <w:rPr>
          <w:i/>
        </w:rPr>
        <w:t>FreqSeparationClas</w:t>
      </w:r>
      <w:r w:rsidRPr="00FA0D37">
        <w:t>s is used for an intra-band non-contiguous CA band combination to indicate frequency separation between lower edge of lowest CC and upper edge of highest CC in a frequency band.</w:t>
      </w:r>
    </w:p>
    <w:p w14:paraId="4F3A3F53" w14:textId="77777777" w:rsidR="00394471" w:rsidRPr="00FA0D37" w:rsidRDefault="00394471" w:rsidP="00394471">
      <w:pPr>
        <w:pStyle w:val="TH"/>
      </w:pPr>
      <w:r w:rsidRPr="00FA0D37">
        <w:rPr>
          <w:i/>
        </w:rPr>
        <w:t>FreqSeparationClass</w:t>
      </w:r>
      <w:r w:rsidRPr="00FA0D37">
        <w:t xml:space="preserve"> information element</w:t>
      </w:r>
    </w:p>
    <w:p w14:paraId="089C389C" w14:textId="77777777" w:rsidR="00394471" w:rsidRPr="00FA0D37" w:rsidRDefault="00394471" w:rsidP="00FA0D37">
      <w:pPr>
        <w:pStyle w:val="PL"/>
        <w:rPr>
          <w:color w:val="808080"/>
        </w:rPr>
      </w:pPr>
      <w:r w:rsidRPr="00FA0D37">
        <w:rPr>
          <w:color w:val="808080"/>
        </w:rPr>
        <w:t>-- ASN1START</w:t>
      </w:r>
    </w:p>
    <w:p w14:paraId="6C3469E6" w14:textId="77777777" w:rsidR="00394471" w:rsidRPr="00FA0D37" w:rsidRDefault="00394471" w:rsidP="00FA0D37">
      <w:pPr>
        <w:pStyle w:val="PL"/>
        <w:rPr>
          <w:color w:val="808080"/>
        </w:rPr>
      </w:pPr>
      <w:r w:rsidRPr="00FA0D37">
        <w:rPr>
          <w:color w:val="808080"/>
        </w:rPr>
        <w:t>-- TAG-FREQSEPARATIONCLASS-START</w:t>
      </w:r>
    </w:p>
    <w:p w14:paraId="31CF835C" w14:textId="77777777" w:rsidR="00394471" w:rsidRPr="00FA0D37" w:rsidRDefault="00394471" w:rsidP="00FA0D37">
      <w:pPr>
        <w:pStyle w:val="PL"/>
      </w:pPr>
    </w:p>
    <w:p w14:paraId="00EF1BFE" w14:textId="23308FBC" w:rsidR="00394471" w:rsidRPr="00FA0D37" w:rsidRDefault="00394471" w:rsidP="00FA0D37">
      <w:pPr>
        <w:pStyle w:val="PL"/>
      </w:pPr>
      <w:r w:rsidRPr="00FA0D37">
        <w:t xml:space="preserve">FreqSeparationClass ::= </w:t>
      </w:r>
      <w:r w:rsidRPr="00FA0D37">
        <w:rPr>
          <w:color w:val="993366"/>
        </w:rPr>
        <w:t>ENUMERATED</w:t>
      </w:r>
      <w:r w:rsidRPr="00FA0D37">
        <w:t xml:space="preserve"> { mhz800, mhz1200, mhz1400, ...</w:t>
      </w:r>
      <w:r w:rsidR="00AB3D17" w:rsidRPr="00FA0D37">
        <w:t>, mhz400-v16</w:t>
      </w:r>
      <w:r w:rsidR="001F631E" w:rsidRPr="00FA0D37">
        <w:t>50</w:t>
      </w:r>
      <w:r w:rsidR="00AB3D17" w:rsidRPr="00FA0D37">
        <w:t>, mhz600-v16</w:t>
      </w:r>
      <w:r w:rsidR="001F631E" w:rsidRPr="00FA0D37">
        <w:t>50</w:t>
      </w:r>
      <w:r w:rsidRPr="00FA0D37">
        <w:t>}</w:t>
      </w:r>
    </w:p>
    <w:p w14:paraId="7011A242" w14:textId="77777777" w:rsidR="00394471" w:rsidRPr="00FA0D37" w:rsidRDefault="00394471" w:rsidP="00FA0D37">
      <w:pPr>
        <w:pStyle w:val="PL"/>
      </w:pPr>
    </w:p>
    <w:p w14:paraId="6F8AA6A6" w14:textId="77777777" w:rsidR="00394471" w:rsidRPr="00FA0D37" w:rsidRDefault="00394471" w:rsidP="00FA0D37">
      <w:pPr>
        <w:pStyle w:val="PL"/>
      </w:pPr>
      <w:r w:rsidRPr="00FA0D37">
        <w:t xml:space="preserve">FreqSeparationClassDL-v1620 ::= </w:t>
      </w:r>
      <w:r w:rsidRPr="00FA0D37">
        <w:rPr>
          <w:color w:val="993366"/>
        </w:rPr>
        <w:t>ENUMERATED</w:t>
      </w:r>
      <w:r w:rsidRPr="00FA0D37">
        <w:t xml:space="preserve"> {mhz1000, mhz1600, mhz1800, mhz2000, mhz2200, mhz2400}</w:t>
      </w:r>
    </w:p>
    <w:p w14:paraId="3528309B" w14:textId="77777777" w:rsidR="00394471" w:rsidRPr="00FA0D37" w:rsidRDefault="00394471" w:rsidP="00FA0D37">
      <w:pPr>
        <w:pStyle w:val="PL"/>
      </w:pPr>
    </w:p>
    <w:p w14:paraId="61DD7F5A" w14:textId="77777777" w:rsidR="00394471" w:rsidRPr="00FA0D37" w:rsidRDefault="00394471" w:rsidP="00FA0D37">
      <w:pPr>
        <w:pStyle w:val="PL"/>
      </w:pPr>
      <w:r w:rsidRPr="00FA0D37">
        <w:t xml:space="preserve">FreqSeparationClassUL-v1620 ::= </w:t>
      </w:r>
      <w:r w:rsidRPr="00FA0D37">
        <w:rPr>
          <w:color w:val="993366"/>
        </w:rPr>
        <w:t>ENUMERATED</w:t>
      </w:r>
      <w:r w:rsidRPr="00FA0D37">
        <w:t xml:space="preserve"> {mhz1000}</w:t>
      </w:r>
    </w:p>
    <w:p w14:paraId="096B7FC2" w14:textId="77777777" w:rsidR="00394471" w:rsidRPr="00FA0D37" w:rsidRDefault="00394471" w:rsidP="00FA0D37">
      <w:pPr>
        <w:pStyle w:val="PL"/>
      </w:pPr>
    </w:p>
    <w:p w14:paraId="7C10E3B4" w14:textId="77777777" w:rsidR="00394471" w:rsidRPr="00FA0D37" w:rsidRDefault="00394471" w:rsidP="00FA0D37">
      <w:pPr>
        <w:pStyle w:val="PL"/>
        <w:rPr>
          <w:color w:val="808080"/>
        </w:rPr>
      </w:pPr>
      <w:r w:rsidRPr="00FA0D37">
        <w:rPr>
          <w:color w:val="808080"/>
        </w:rPr>
        <w:t>-- TAG-FREQSEPARATIONCLASS-STOP</w:t>
      </w:r>
    </w:p>
    <w:p w14:paraId="2EFC735E" w14:textId="77777777" w:rsidR="00394471" w:rsidRPr="00FA0D37" w:rsidRDefault="00394471" w:rsidP="00FA0D37">
      <w:pPr>
        <w:pStyle w:val="PL"/>
        <w:rPr>
          <w:color w:val="808080"/>
        </w:rPr>
      </w:pPr>
      <w:r w:rsidRPr="00FA0D37">
        <w:rPr>
          <w:color w:val="808080"/>
        </w:rPr>
        <w:t>-- ASN1STOP</w:t>
      </w:r>
    </w:p>
    <w:p w14:paraId="25E2A41C" w14:textId="77777777" w:rsidR="00394471" w:rsidRPr="00FA0D37" w:rsidRDefault="00394471" w:rsidP="00394471">
      <w:pPr>
        <w:rPr>
          <w:rFonts w:eastAsiaTheme="minorEastAsia"/>
        </w:rPr>
      </w:pPr>
    </w:p>
    <w:p w14:paraId="02BE7A2D" w14:textId="77777777" w:rsidR="00394471" w:rsidRPr="00FA0D37" w:rsidRDefault="00394471" w:rsidP="00394471">
      <w:pPr>
        <w:pStyle w:val="4"/>
        <w:rPr>
          <w:i/>
          <w:iCs/>
          <w:noProof/>
        </w:rPr>
      </w:pPr>
      <w:bookmarkStart w:id="1561" w:name="_Toc60777455"/>
      <w:bookmarkStart w:id="1562" w:name="_Toc146781556"/>
      <w:r w:rsidRPr="00FA0D37">
        <w:rPr>
          <w:i/>
          <w:iCs/>
        </w:rPr>
        <w:lastRenderedPageBreak/>
        <w:t>–</w:t>
      </w:r>
      <w:r w:rsidRPr="00FA0D37">
        <w:rPr>
          <w:i/>
          <w:iCs/>
        </w:rPr>
        <w:tab/>
      </w:r>
      <w:r w:rsidRPr="00FA0D37">
        <w:rPr>
          <w:i/>
          <w:iCs/>
          <w:noProof/>
        </w:rPr>
        <w:t>FreqSeparationClassDL-Only</w:t>
      </w:r>
      <w:bookmarkEnd w:id="1561"/>
      <w:bookmarkEnd w:id="1562"/>
    </w:p>
    <w:p w14:paraId="6061C612" w14:textId="77777777" w:rsidR="00394471" w:rsidRPr="00FA0D37" w:rsidRDefault="00394471" w:rsidP="00394471">
      <w:pPr>
        <w:rPr>
          <w:rFonts w:eastAsia="宋体"/>
          <w:i/>
          <w:iCs/>
          <w:lang w:eastAsia="zh-CN"/>
        </w:rPr>
      </w:pPr>
      <w:r w:rsidRPr="00FA0D37">
        <w:t xml:space="preserve">The IE </w:t>
      </w:r>
      <w:r w:rsidRPr="00FA0D37">
        <w:rPr>
          <w:i/>
        </w:rPr>
        <w:t xml:space="preserve">FreqSeparationClassDL-Only </w:t>
      </w:r>
      <w:r w:rsidRPr="00FA0D37">
        <w:t>is used to indicate the frequency separation between lower edge of lowest CC and upper edge of highest CC of DL only frequency spectrum in a frequency band.</w:t>
      </w:r>
    </w:p>
    <w:p w14:paraId="21F88373" w14:textId="77777777" w:rsidR="00394471" w:rsidRPr="00FA0D37" w:rsidRDefault="00394471" w:rsidP="00394471">
      <w:pPr>
        <w:pStyle w:val="TH"/>
      </w:pPr>
      <w:r w:rsidRPr="00FA0D37">
        <w:rPr>
          <w:i/>
          <w:iCs/>
        </w:rPr>
        <w:t>FreqSeparationClassDL-Only</w:t>
      </w:r>
      <w:r w:rsidRPr="00FA0D37">
        <w:t xml:space="preserve"> information element</w:t>
      </w:r>
    </w:p>
    <w:p w14:paraId="55D79443" w14:textId="77777777" w:rsidR="00394471" w:rsidRPr="00FA0D37" w:rsidRDefault="00394471" w:rsidP="00FA0D37">
      <w:pPr>
        <w:pStyle w:val="PL"/>
        <w:rPr>
          <w:color w:val="808080"/>
        </w:rPr>
      </w:pPr>
      <w:r w:rsidRPr="00FA0D37">
        <w:rPr>
          <w:color w:val="808080"/>
        </w:rPr>
        <w:t>-- ASN1START</w:t>
      </w:r>
    </w:p>
    <w:p w14:paraId="4A5FC51A" w14:textId="77777777" w:rsidR="00394471" w:rsidRPr="00FA0D37" w:rsidRDefault="00394471" w:rsidP="00FA0D37">
      <w:pPr>
        <w:pStyle w:val="PL"/>
        <w:rPr>
          <w:color w:val="808080"/>
        </w:rPr>
      </w:pPr>
      <w:r w:rsidRPr="00FA0D37">
        <w:rPr>
          <w:color w:val="808080"/>
        </w:rPr>
        <w:t>-- TAG-FREQSEPARATIONCLASSDL-Only-START</w:t>
      </w:r>
    </w:p>
    <w:p w14:paraId="57194C76" w14:textId="77777777" w:rsidR="00394471" w:rsidRPr="00FA0D37" w:rsidRDefault="00394471" w:rsidP="00FA0D37">
      <w:pPr>
        <w:pStyle w:val="PL"/>
      </w:pPr>
    </w:p>
    <w:p w14:paraId="009738CB" w14:textId="77777777" w:rsidR="00394471" w:rsidRPr="00FA0D37" w:rsidRDefault="00394471" w:rsidP="00FA0D37">
      <w:pPr>
        <w:pStyle w:val="PL"/>
      </w:pPr>
      <w:r w:rsidRPr="00FA0D37">
        <w:t xml:space="preserve">FreqSeparationClassDL-Only-r16 ::= </w:t>
      </w:r>
      <w:r w:rsidRPr="00FA0D37">
        <w:rPr>
          <w:color w:val="993366"/>
        </w:rPr>
        <w:t>ENUMERATED</w:t>
      </w:r>
      <w:r w:rsidRPr="00FA0D37">
        <w:t xml:space="preserve"> {mhz200, mhz400, mhz600, mhz800, mhz1000, mhz1200}</w:t>
      </w:r>
    </w:p>
    <w:p w14:paraId="446A62C4" w14:textId="77777777" w:rsidR="00394471" w:rsidRPr="00FA0D37" w:rsidRDefault="00394471" w:rsidP="00FA0D37">
      <w:pPr>
        <w:pStyle w:val="PL"/>
      </w:pPr>
    </w:p>
    <w:p w14:paraId="405BDAB0" w14:textId="77777777" w:rsidR="00394471" w:rsidRPr="00FA0D37" w:rsidRDefault="00394471" w:rsidP="00FA0D37">
      <w:pPr>
        <w:pStyle w:val="PL"/>
        <w:rPr>
          <w:color w:val="808080"/>
        </w:rPr>
      </w:pPr>
      <w:r w:rsidRPr="00FA0D37">
        <w:rPr>
          <w:color w:val="808080"/>
        </w:rPr>
        <w:t>-- TAG-FREQSEPARATIONCLASSDL-Only-STOP</w:t>
      </w:r>
    </w:p>
    <w:p w14:paraId="1EE15CF1" w14:textId="77777777" w:rsidR="00394471" w:rsidRPr="00FA0D37" w:rsidRDefault="00394471" w:rsidP="00FA0D37">
      <w:pPr>
        <w:pStyle w:val="PL"/>
        <w:rPr>
          <w:color w:val="808080"/>
        </w:rPr>
      </w:pPr>
      <w:r w:rsidRPr="00FA0D37">
        <w:rPr>
          <w:color w:val="808080"/>
        </w:rPr>
        <w:t>-- ASN1STOP</w:t>
      </w:r>
    </w:p>
    <w:p w14:paraId="46B75C92" w14:textId="47F8F467" w:rsidR="00394471" w:rsidRPr="00FA0D37" w:rsidRDefault="00394471" w:rsidP="00394471">
      <w:pPr>
        <w:rPr>
          <w:rFonts w:eastAsiaTheme="minorEastAsia"/>
        </w:rPr>
      </w:pPr>
    </w:p>
    <w:p w14:paraId="1CACD1D9" w14:textId="77777777" w:rsidR="002E309C" w:rsidRPr="00FA0D37" w:rsidRDefault="002E309C" w:rsidP="000830BB">
      <w:pPr>
        <w:pStyle w:val="4"/>
      </w:pPr>
      <w:bookmarkStart w:id="1563" w:name="_Toc146781557"/>
      <w:r w:rsidRPr="00FA0D37">
        <w:t>–</w:t>
      </w:r>
      <w:r w:rsidRPr="00FA0D37">
        <w:tab/>
      </w:r>
      <w:r w:rsidRPr="00FA0D37">
        <w:rPr>
          <w:i/>
        </w:rPr>
        <w:t>FR2-2-AccessParamsPerBand</w:t>
      </w:r>
      <w:bookmarkEnd w:id="1563"/>
    </w:p>
    <w:p w14:paraId="2CFB3B1D" w14:textId="77777777" w:rsidR="002E309C" w:rsidRPr="00FA0D37" w:rsidRDefault="002E309C" w:rsidP="002E309C">
      <w:r w:rsidRPr="00FA0D37">
        <w:t xml:space="preserve">The IE </w:t>
      </w:r>
      <w:r w:rsidRPr="00FA0D37">
        <w:rPr>
          <w:i/>
        </w:rPr>
        <w:t>FR2-2-AccessParamsPerBand</w:t>
      </w:r>
      <w:r w:rsidRPr="00FA0D37">
        <w:t xml:space="preserve"> is used to convey FR2-2 related parameters specific for a certain frequency band (not per feature set or band combination).</w:t>
      </w:r>
    </w:p>
    <w:p w14:paraId="3D1793BD" w14:textId="77777777" w:rsidR="002E309C" w:rsidRPr="00FA0D37" w:rsidRDefault="002E309C" w:rsidP="000830BB">
      <w:pPr>
        <w:pStyle w:val="TH"/>
      </w:pPr>
      <w:r w:rsidRPr="00FA0D37">
        <w:t>FR2-2-AccessParamsPerBand information element</w:t>
      </w:r>
    </w:p>
    <w:p w14:paraId="4C8B8915" w14:textId="77777777" w:rsidR="002E309C" w:rsidRPr="00FA0D37" w:rsidRDefault="002E309C" w:rsidP="00FA0D37">
      <w:pPr>
        <w:pStyle w:val="PL"/>
        <w:rPr>
          <w:color w:val="808080"/>
        </w:rPr>
      </w:pPr>
      <w:r w:rsidRPr="00FA0D37">
        <w:rPr>
          <w:color w:val="808080"/>
        </w:rPr>
        <w:t>-- ASN1START</w:t>
      </w:r>
    </w:p>
    <w:p w14:paraId="2016D927" w14:textId="77777777" w:rsidR="002E309C" w:rsidRPr="00FA0D37" w:rsidRDefault="002E309C" w:rsidP="00FA0D37">
      <w:pPr>
        <w:pStyle w:val="PL"/>
        <w:rPr>
          <w:color w:val="808080"/>
        </w:rPr>
      </w:pPr>
      <w:r w:rsidRPr="00FA0D37">
        <w:rPr>
          <w:color w:val="808080"/>
        </w:rPr>
        <w:t>-- TAG-FR2-2-ACCESSPARAMSPERBAND-START</w:t>
      </w:r>
    </w:p>
    <w:p w14:paraId="27955D93" w14:textId="77777777" w:rsidR="002E309C" w:rsidRPr="00FA0D37" w:rsidRDefault="002E309C" w:rsidP="00FA0D37">
      <w:pPr>
        <w:pStyle w:val="PL"/>
      </w:pPr>
    </w:p>
    <w:p w14:paraId="283390EB" w14:textId="27931673" w:rsidR="002E309C" w:rsidRPr="00FA0D37" w:rsidRDefault="002E309C" w:rsidP="00FA0D37">
      <w:pPr>
        <w:pStyle w:val="PL"/>
      </w:pPr>
      <w:r w:rsidRPr="00FA0D37">
        <w:t xml:space="preserve">FR2-2-AccessParamsPerBand-r17 ::=       </w:t>
      </w:r>
      <w:r w:rsidRPr="00FA0D37">
        <w:rPr>
          <w:color w:val="993366"/>
        </w:rPr>
        <w:t>SEQUENCE</w:t>
      </w:r>
      <w:r w:rsidRPr="00FA0D37">
        <w:t xml:space="preserve"> {</w:t>
      </w:r>
    </w:p>
    <w:p w14:paraId="2C5F2E83" w14:textId="77777777" w:rsidR="002E309C" w:rsidRPr="00FA0D37" w:rsidRDefault="002E309C" w:rsidP="00FA0D37">
      <w:pPr>
        <w:pStyle w:val="PL"/>
        <w:rPr>
          <w:color w:val="808080"/>
        </w:rPr>
      </w:pPr>
      <w:r w:rsidRPr="00FA0D37">
        <w:t xml:space="preserve">    </w:t>
      </w:r>
      <w:r w:rsidRPr="00FA0D37">
        <w:rPr>
          <w:color w:val="808080"/>
        </w:rPr>
        <w:t>-- R1 24-1: Basic FR2-2 DL support</w:t>
      </w:r>
    </w:p>
    <w:p w14:paraId="5A881A46" w14:textId="77777777" w:rsidR="002E309C" w:rsidRPr="00FA0D37" w:rsidRDefault="002E309C" w:rsidP="00FA0D37">
      <w:pPr>
        <w:pStyle w:val="PL"/>
      </w:pPr>
      <w:r w:rsidRPr="00FA0D37">
        <w:t xml:space="preserve">    dl-FR2-2-SCS-120kHz-r17                 </w:t>
      </w:r>
      <w:r w:rsidRPr="00FA0D37">
        <w:rPr>
          <w:color w:val="993366"/>
        </w:rPr>
        <w:t>ENUMERATED</w:t>
      </w:r>
      <w:r w:rsidRPr="00FA0D37">
        <w:t xml:space="preserve"> {supported}            </w:t>
      </w:r>
      <w:r w:rsidRPr="00FA0D37">
        <w:rPr>
          <w:color w:val="993366"/>
        </w:rPr>
        <w:t>OPTIONAL</w:t>
      </w:r>
      <w:r w:rsidRPr="00FA0D37">
        <w:t>,</w:t>
      </w:r>
    </w:p>
    <w:p w14:paraId="3264E298" w14:textId="6DA243EA" w:rsidR="002E309C" w:rsidRPr="00FA0D37" w:rsidRDefault="002E309C" w:rsidP="00FA0D37">
      <w:pPr>
        <w:pStyle w:val="PL"/>
        <w:rPr>
          <w:color w:val="808080"/>
        </w:rPr>
      </w:pPr>
      <w:r w:rsidRPr="00FA0D37">
        <w:t xml:space="preserve">    </w:t>
      </w:r>
      <w:r w:rsidRPr="00FA0D37">
        <w:rPr>
          <w:color w:val="808080"/>
        </w:rPr>
        <w:t>-- R1 24-1a: Basic FR2-2 UL support</w:t>
      </w:r>
    </w:p>
    <w:p w14:paraId="6355C206" w14:textId="7FAE1C49" w:rsidR="002E309C" w:rsidRPr="00FA0D37" w:rsidRDefault="002E309C" w:rsidP="00FA0D37">
      <w:pPr>
        <w:pStyle w:val="PL"/>
      </w:pPr>
      <w:r w:rsidRPr="00FA0D37">
        <w:t xml:space="preserve">    ul-FR2-2-SCS-120kHz-r17                 </w:t>
      </w:r>
      <w:r w:rsidRPr="00FA0D37">
        <w:rPr>
          <w:color w:val="993366"/>
        </w:rPr>
        <w:t>ENUMERATED</w:t>
      </w:r>
      <w:r w:rsidRPr="00FA0D37">
        <w:t xml:space="preserve"> {supported}            </w:t>
      </w:r>
      <w:r w:rsidRPr="00FA0D37">
        <w:rPr>
          <w:color w:val="993366"/>
        </w:rPr>
        <w:t>OPTIONAL</w:t>
      </w:r>
      <w:r w:rsidRPr="00FA0D37">
        <w:t>,</w:t>
      </w:r>
    </w:p>
    <w:p w14:paraId="6C015417" w14:textId="2D542382" w:rsidR="002E309C" w:rsidRPr="00FA0D37" w:rsidRDefault="002E309C" w:rsidP="00FA0D37">
      <w:pPr>
        <w:pStyle w:val="PL"/>
        <w:rPr>
          <w:color w:val="808080"/>
        </w:rPr>
      </w:pPr>
      <w:r w:rsidRPr="00FA0D37">
        <w:t xml:space="preserve">    </w:t>
      </w:r>
      <w:r w:rsidRPr="00FA0D37">
        <w:rPr>
          <w:color w:val="808080"/>
        </w:rPr>
        <w:t>-- R1 24-2: 120KHz SSB support for initial access in FR2-2</w:t>
      </w:r>
    </w:p>
    <w:p w14:paraId="0A03F67D" w14:textId="77E1BB33" w:rsidR="002E309C" w:rsidRPr="00FA0D37" w:rsidRDefault="002E309C" w:rsidP="00FA0D37">
      <w:pPr>
        <w:pStyle w:val="PL"/>
      </w:pPr>
      <w:r w:rsidRPr="00FA0D37">
        <w:t xml:space="preserve">    initialAccessSSB-120kHz-r17             </w:t>
      </w:r>
      <w:r w:rsidRPr="00FA0D37">
        <w:rPr>
          <w:color w:val="993366"/>
        </w:rPr>
        <w:t>ENUMERATED</w:t>
      </w:r>
      <w:r w:rsidRPr="00FA0D37">
        <w:t xml:space="preserve"> {supported}            </w:t>
      </w:r>
      <w:r w:rsidRPr="00FA0D37">
        <w:rPr>
          <w:color w:val="993366"/>
        </w:rPr>
        <w:t>OPTIONAL</w:t>
      </w:r>
      <w:r w:rsidRPr="00FA0D37">
        <w:t>,</w:t>
      </w:r>
    </w:p>
    <w:p w14:paraId="0FCA73B7" w14:textId="37203EB0" w:rsidR="00B166EA" w:rsidRPr="00FA0D37" w:rsidRDefault="00B166EA" w:rsidP="00FA0D37">
      <w:pPr>
        <w:pStyle w:val="PL"/>
        <w:rPr>
          <w:color w:val="808080"/>
        </w:rPr>
      </w:pPr>
      <w:r w:rsidRPr="00FA0D37">
        <w:t xml:space="preserve">    </w:t>
      </w:r>
      <w:r w:rsidRPr="00FA0D37">
        <w:rPr>
          <w:color w:val="808080"/>
        </w:rPr>
        <w:t>-- R1 24-1b: Wideband PRACH for 120 kHz in FR2-2</w:t>
      </w:r>
    </w:p>
    <w:p w14:paraId="64C5DF89" w14:textId="311DD665" w:rsidR="00B166EA" w:rsidRPr="00FA0D37" w:rsidRDefault="00B166EA" w:rsidP="00FA0D37">
      <w:pPr>
        <w:pStyle w:val="PL"/>
      </w:pPr>
      <w:r w:rsidRPr="00FA0D37">
        <w:t xml:space="preserve">    widebandPRACH-SCS-120kHz-r17            </w:t>
      </w:r>
      <w:r w:rsidRPr="00FA0D37">
        <w:rPr>
          <w:color w:val="993366"/>
        </w:rPr>
        <w:t>ENUMERATED</w:t>
      </w:r>
      <w:r w:rsidRPr="00FA0D37">
        <w:t xml:space="preserve"> {supported}            </w:t>
      </w:r>
      <w:r w:rsidRPr="00FA0D37">
        <w:rPr>
          <w:color w:val="993366"/>
        </w:rPr>
        <w:t>OPTIONAL</w:t>
      </w:r>
      <w:r w:rsidRPr="00FA0D37">
        <w:t>,</w:t>
      </w:r>
    </w:p>
    <w:p w14:paraId="161D837B" w14:textId="231C6549" w:rsidR="00B166EA" w:rsidRPr="00FA0D37" w:rsidRDefault="00B166EA" w:rsidP="00FA0D37">
      <w:pPr>
        <w:pStyle w:val="PL"/>
        <w:rPr>
          <w:color w:val="808080"/>
        </w:rPr>
      </w:pPr>
      <w:r w:rsidRPr="00FA0D37">
        <w:t xml:space="preserve">    </w:t>
      </w:r>
      <w:r w:rsidRPr="00FA0D37">
        <w:rPr>
          <w:color w:val="808080"/>
        </w:rPr>
        <w:t>-- R1 24-1c: Multi-RB support PUCCH format 0/1/4 for 120 kHz in FR2-2</w:t>
      </w:r>
    </w:p>
    <w:p w14:paraId="0549D111" w14:textId="13666BC7" w:rsidR="00B166EA" w:rsidRPr="00FA0D37" w:rsidRDefault="00B166EA" w:rsidP="00FA0D37">
      <w:pPr>
        <w:pStyle w:val="PL"/>
      </w:pPr>
      <w:r w:rsidRPr="00FA0D37">
        <w:t xml:space="preserve">    multiRB-PUCCH-SCS-120kHz-r17            </w:t>
      </w:r>
      <w:r w:rsidRPr="00FA0D37">
        <w:rPr>
          <w:color w:val="993366"/>
        </w:rPr>
        <w:t>ENUMERATED</w:t>
      </w:r>
      <w:r w:rsidRPr="00FA0D37">
        <w:t xml:space="preserve"> {supported}            </w:t>
      </w:r>
      <w:r w:rsidRPr="00FA0D37">
        <w:rPr>
          <w:color w:val="993366"/>
        </w:rPr>
        <w:t>OPTIONAL</w:t>
      </w:r>
      <w:r w:rsidRPr="00FA0D37">
        <w:t>,</w:t>
      </w:r>
    </w:p>
    <w:p w14:paraId="7BE6224F" w14:textId="5B4164FE" w:rsidR="00B166EA" w:rsidRPr="00FA0D37" w:rsidRDefault="00B166EA" w:rsidP="00FA0D37">
      <w:pPr>
        <w:pStyle w:val="PL"/>
        <w:rPr>
          <w:color w:val="808080"/>
        </w:rPr>
      </w:pPr>
      <w:r w:rsidRPr="00FA0D37">
        <w:t xml:space="preserve">    </w:t>
      </w:r>
      <w:r w:rsidRPr="00FA0D37">
        <w:rPr>
          <w:color w:val="808080"/>
        </w:rPr>
        <w:t>-- R1 24-1d: Multiple PDSCH scheduling by single DCI for 120kHz in FR2-2</w:t>
      </w:r>
    </w:p>
    <w:p w14:paraId="46BF2630" w14:textId="47444B07" w:rsidR="00B166EA" w:rsidRPr="00FA0D37" w:rsidRDefault="00B166EA" w:rsidP="00FA0D37">
      <w:pPr>
        <w:pStyle w:val="PL"/>
      </w:pPr>
      <w:r w:rsidRPr="00FA0D37">
        <w:t xml:space="preserve">    multiPDSCH-SingleDCI-FR2-2-SCS-120kHz-r17 </w:t>
      </w:r>
      <w:r w:rsidRPr="00FA0D37">
        <w:rPr>
          <w:color w:val="993366"/>
        </w:rPr>
        <w:t>ENUMERATED</w:t>
      </w:r>
      <w:r w:rsidRPr="00FA0D37">
        <w:t xml:space="preserve"> {supported}          </w:t>
      </w:r>
      <w:r w:rsidRPr="00FA0D37">
        <w:rPr>
          <w:color w:val="993366"/>
        </w:rPr>
        <w:t>OPTIONAL</w:t>
      </w:r>
      <w:r w:rsidRPr="00FA0D37">
        <w:t>,</w:t>
      </w:r>
    </w:p>
    <w:p w14:paraId="2E28D216" w14:textId="16605A39" w:rsidR="00B166EA" w:rsidRPr="00FA0D37" w:rsidRDefault="00B166EA" w:rsidP="00FA0D37">
      <w:pPr>
        <w:pStyle w:val="PL"/>
        <w:rPr>
          <w:color w:val="808080"/>
        </w:rPr>
      </w:pPr>
      <w:r w:rsidRPr="00FA0D37">
        <w:t xml:space="preserve">    </w:t>
      </w:r>
      <w:r w:rsidRPr="00FA0D37">
        <w:rPr>
          <w:color w:val="808080"/>
        </w:rPr>
        <w:t>-- R1 24-1e: Multiple PUSCH scheduling by single DCI for 120kHz in FR2-2</w:t>
      </w:r>
    </w:p>
    <w:p w14:paraId="6F1056E1" w14:textId="553B6769" w:rsidR="00B166EA" w:rsidRPr="00FA0D37" w:rsidRDefault="00B166EA" w:rsidP="00FA0D37">
      <w:pPr>
        <w:pStyle w:val="PL"/>
      </w:pPr>
      <w:r w:rsidRPr="00FA0D37">
        <w:t xml:space="preserve">    multiPUSCH-SingleDCI-FR2-2-SCS-120kHz-r17 </w:t>
      </w:r>
      <w:r w:rsidRPr="00FA0D37">
        <w:rPr>
          <w:color w:val="993366"/>
        </w:rPr>
        <w:t>ENUMERATED</w:t>
      </w:r>
      <w:r w:rsidRPr="00FA0D37">
        <w:t xml:space="preserve"> {supported}          </w:t>
      </w:r>
      <w:r w:rsidRPr="00FA0D37">
        <w:rPr>
          <w:color w:val="993366"/>
        </w:rPr>
        <w:t>OPTIONAL</w:t>
      </w:r>
      <w:r w:rsidRPr="00FA0D37">
        <w:t>,</w:t>
      </w:r>
    </w:p>
    <w:p w14:paraId="60E1DB1D" w14:textId="77777777" w:rsidR="00B166EA" w:rsidRPr="00FA0D37" w:rsidRDefault="00B166EA" w:rsidP="00FA0D37">
      <w:pPr>
        <w:pStyle w:val="PL"/>
        <w:rPr>
          <w:color w:val="808080"/>
        </w:rPr>
      </w:pPr>
      <w:r w:rsidRPr="00FA0D37">
        <w:t xml:space="preserve">    </w:t>
      </w:r>
      <w:r w:rsidRPr="00FA0D37">
        <w:rPr>
          <w:color w:val="808080"/>
        </w:rPr>
        <w:t>-- R1 24-4: 480KHz SCS support for DL</w:t>
      </w:r>
    </w:p>
    <w:p w14:paraId="539FDE98" w14:textId="77777777" w:rsidR="00B166EA" w:rsidRPr="00FA0D37" w:rsidRDefault="00B166EA" w:rsidP="00FA0D37">
      <w:pPr>
        <w:pStyle w:val="PL"/>
      </w:pPr>
      <w:r w:rsidRPr="00FA0D37">
        <w:t xml:space="preserve">    dl-FR2-2-SCS-480kHz-r17                 </w:t>
      </w:r>
      <w:r w:rsidRPr="00FA0D37">
        <w:rPr>
          <w:color w:val="993366"/>
        </w:rPr>
        <w:t>ENUMERATED</w:t>
      </w:r>
      <w:r w:rsidRPr="00FA0D37">
        <w:t xml:space="preserve"> {supported}            </w:t>
      </w:r>
      <w:r w:rsidRPr="00FA0D37">
        <w:rPr>
          <w:color w:val="993366"/>
        </w:rPr>
        <w:t>OPTIONAL</w:t>
      </w:r>
      <w:r w:rsidRPr="00FA0D37">
        <w:t>,</w:t>
      </w:r>
    </w:p>
    <w:p w14:paraId="372B5F1C" w14:textId="3B7882E3" w:rsidR="00B166EA" w:rsidRPr="00FA0D37" w:rsidRDefault="00B166EA" w:rsidP="00FA0D37">
      <w:pPr>
        <w:pStyle w:val="PL"/>
        <w:rPr>
          <w:color w:val="808080"/>
        </w:rPr>
      </w:pPr>
      <w:r w:rsidRPr="00FA0D37">
        <w:t xml:space="preserve">    </w:t>
      </w:r>
      <w:r w:rsidRPr="00FA0D37">
        <w:rPr>
          <w:color w:val="808080"/>
        </w:rPr>
        <w:t>-- R1 24-4a: 480KHz SCS support for UL</w:t>
      </w:r>
    </w:p>
    <w:p w14:paraId="15EC929C" w14:textId="19420F3D" w:rsidR="00B166EA" w:rsidRPr="00FA0D37" w:rsidRDefault="00B166EA" w:rsidP="00FA0D37">
      <w:pPr>
        <w:pStyle w:val="PL"/>
      </w:pPr>
      <w:r w:rsidRPr="00FA0D37">
        <w:t xml:space="preserve">    ul-FR2-2-SCS-480kHz-r17                 </w:t>
      </w:r>
      <w:r w:rsidRPr="00FA0D37">
        <w:rPr>
          <w:color w:val="993366"/>
        </w:rPr>
        <w:t>ENUMERATED</w:t>
      </w:r>
      <w:r w:rsidRPr="00FA0D37">
        <w:t xml:space="preserve"> {supported}            </w:t>
      </w:r>
      <w:r w:rsidRPr="00FA0D37">
        <w:rPr>
          <w:color w:val="993366"/>
        </w:rPr>
        <w:t>OPTIONAL</w:t>
      </w:r>
      <w:r w:rsidRPr="00FA0D37">
        <w:t>,</w:t>
      </w:r>
    </w:p>
    <w:p w14:paraId="2FC1318E" w14:textId="164F69A9" w:rsidR="00B166EA" w:rsidRPr="00FA0D37" w:rsidRDefault="00B166EA" w:rsidP="00FA0D37">
      <w:pPr>
        <w:pStyle w:val="PL"/>
        <w:rPr>
          <w:color w:val="808080"/>
        </w:rPr>
      </w:pPr>
      <w:r w:rsidRPr="00FA0D37">
        <w:t xml:space="preserve">    </w:t>
      </w:r>
      <w:r w:rsidRPr="00FA0D37">
        <w:rPr>
          <w:color w:val="808080"/>
        </w:rPr>
        <w:t>-- R1 24-3: 480KHz SSB support for initial access in FR2-2</w:t>
      </w:r>
    </w:p>
    <w:p w14:paraId="2196E7FC" w14:textId="22C4D112" w:rsidR="00B166EA" w:rsidRPr="00FA0D37" w:rsidRDefault="00B166EA" w:rsidP="00FA0D37">
      <w:pPr>
        <w:pStyle w:val="PL"/>
      </w:pPr>
      <w:r w:rsidRPr="00FA0D37">
        <w:t xml:space="preserve">    initialAccessSSB-480kHz-r17             </w:t>
      </w:r>
      <w:r w:rsidRPr="00FA0D37">
        <w:rPr>
          <w:color w:val="993366"/>
        </w:rPr>
        <w:t>ENUMERATED</w:t>
      </w:r>
      <w:r w:rsidRPr="00FA0D37">
        <w:t xml:space="preserve"> {supported}            </w:t>
      </w:r>
      <w:r w:rsidRPr="00FA0D37">
        <w:rPr>
          <w:color w:val="993366"/>
        </w:rPr>
        <w:t>OPTIONAL</w:t>
      </w:r>
      <w:r w:rsidRPr="00FA0D37">
        <w:t>,</w:t>
      </w:r>
    </w:p>
    <w:p w14:paraId="354E6864" w14:textId="18ACBC97" w:rsidR="00B166EA" w:rsidRPr="00FA0D37" w:rsidRDefault="00B166EA" w:rsidP="00FA0D37">
      <w:pPr>
        <w:pStyle w:val="PL"/>
        <w:rPr>
          <w:color w:val="808080"/>
        </w:rPr>
      </w:pPr>
      <w:r w:rsidRPr="00FA0D37">
        <w:t xml:space="preserve">    </w:t>
      </w:r>
      <w:r w:rsidRPr="00FA0D37">
        <w:rPr>
          <w:color w:val="808080"/>
        </w:rPr>
        <w:t>-- R1 24-4b: Wideband PRACH for 480 kHz in FR2-2</w:t>
      </w:r>
    </w:p>
    <w:p w14:paraId="1C07A6DD" w14:textId="422F7CDF" w:rsidR="00B166EA" w:rsidRPr="00FA0D37" w:rsidRDefault="00B166EA" w:rsidP="00FA0D37">
      <w:pPr>
        <w:pStyle w:val="PL"/>
      </w:pPr>
      <w:r w:rsidRPr="00FA0D37">
        <w:t xml:space="preserve">    widebandPRACH-SCS-480kHz-r17            </w:t>
      </w:r>
      <w:r w:rsidRPr="00FA0D37">
        <w:rPr>
          <w:color w:val="993366"/>
        </w:rPr>
        <w:t>ENUMERATED</w:t>
      </w:r>
      <w:r w:rsidRPr="00FA0D37">
        <w:t xml:space="preserve"> {supported}            </w:t>
      </w:r>
      <w:r w:rsidRPr="00FA0D37">
        <w:rPr>
          <w:color w:val="993366"/>
        </w:rPr>
        <w:t>OPTIONAL</w:t>
      </w:r>
      <w:r w:rsidRPr="00FA0D37">
        <w:t>,</w:t>
      </w:r>
    </w:p>
    <w:p w14:paraId="6C991A4A" w14:textId="208EE357" w:rsidR="00B166EA" w:rsidRPr="00FA0D37" w:rsidRDefault="00B166EA" w:rsidP="00FA0D37">
      <w:pPr>
        <w:pStyle w:val="PL"/>
        <w:rPr>
          <w:color w:val="808080"/>
        </w:rPr>
      </w:pPr>
      <w:r w:rsidRPr="00FA0D37">
        <w:lastRenderedPageBreak/>
        <w:t xml:space="preserve">    </w:t>
      </w:r>
      <w:r w:rsidRPr="00FA0D37">
        <w:rPr>
          <w:color w:val="808080"/>
        </w:rPr>
        <w:t>-- R1 24-4c: Multi-RB support PUCCH format 0/1/4 for 480 kHz in FR2-2</w:t>
      </w:r>
    </w:p>
    <w:p w14:paraId="489276F4" w14:textId="24B44013" w:rsidR="00B166EA" w:rsidRPr="00FA0D37" w:rsidRDefault="00B166EA" w:rsidP="00FA0D37">
      <w:pPr>
        <w:pStyle w:val="PL"/>
      </w:pPr>
      <w:r w:rsidRPr="00FA0D37">
        <w:t xml:space="preserve">    multiRB-PUCCH-SCS-480kHz-r17            </w:t>
      </w:r>
      <w:r w:rsidRPr="00FA0D37">
        <w:rPr>
          <w:color w:val="993366"/>
        </w:rPr>
        <w:t>ENUMERATED</w:t>
      </w:r>
      <w:r w:rsidRPr="00FA0D37">
        <w:t xml:space="preserve"> {supported}            </w:t>
      </w:r>
      <w:r w:rsidRPr="00FA0D37">
        <w:rPr>
          <w:color w:val="993366"/>
        </w:rPr>
        <w:t>OPTIONAL</w:t>
      </w:r>
      <w:r w:rsidRPr="00FA0D37">
        <w:t>,</w:t>
      </w:r>
    </w:p>
    <w:p w14:paraId="35EA4209" w14:textId="320AD4FF" w:rsidR="00B166EA" w:rsidRPr="00FA0D37" w:rsidRDefault="00B166EA" w:rsidP="00FA0D37">
      <w:pPr>
        <w:pStyle w:val="PL"/>
        <w:rPr>
          <w:color w:val="808080"/>
        </w:rPr>
      </w:pPr>
      <w:r w:rsidRPr="00FA0D37">
        <w:t xml:space="preserve">    </w:t>
      </w:r>
      <w:r w:rsidRPr="00FA0D37">
        <w:rPr>
          <w:color w:val="808080"/>
        </w:rPr>
        <w:t>-- R1 24-4f: Enhanced PDCCH monitoring for 480KHz in FR2-2</w:t>
      </w:r>
    </w:p>
    <w:p w14:paraId="76F43379" w14:textId="649A0809" w:rsidR="00B166EA" w:rsidRPr="00FA0D37" w:rsidRDefault="00B166EA" w:rsidP="00FA0D37">
      <w:pPr>
        <w:pStyle w:val="PL"/>
      </w:pPr>
      <w:r w:rsidRPr="00FA0D37">
        <w:t xml:space="preserve">    enhancedPDCCH-monitoringSCS-480kHz-r17  </w:t>
      </w:r>
      <w:r w:rsidRPr="00FA0D37">
        <w:rPr>
          <w:color w:val="993366"/>
        </w:rPr>
        <w:t>ENUMERATED</w:t>
      </w:r>
      <w:r w:rsidRPr="00FA0D37">
        <w:t xml:space="preserve"> {supported}            </w:t>
      </w:r>
      <w:r w:rsidRPr="00FA0D37">
        <w:rPr>
          <w:color w:val="993366"/>
        </w:rPr>
        <w:t>OPTIONAL</w:t>
      </w:r>
      <w:r w:rsidRPr="00FA0D37">
        <w:t>,</w:t>
      </w:r>
    </w:p>
    <w:p w14:paraId="1167B1DB" w14:textId="77777777" w:rsidR="00B166EA" w:rsidRPr="00FA0D37" w:rsidRDefault="00B166EA" w:rsidP="00FA0D37">
      <w:pPr>
        <w:pStyle w:val="PL"/>
        <w:rPr>
          <w:color w:val="808080"/>
        </w:rPr>
      </w:pPr>
      <w:r w:rsidRPr="00FA0D37">
        <w:t xml:space="preserve">    </w:t>
      </w:r>
      <w:r w:rsidRPr="00FA0D37">
        <w:rPr>
          <w:color w:val="808080"/>
        </w:rPr>
        <w:t>-- R1 24-5: 960KHz SCS support for DL</w:t>
      </w:r>
    </w:p>
    <w:p w14:paraId="521ECCA4" w14:textId="77777777" w:rsidR="00B166EA" w:rsidRPr="00FA0D37" w:rsidRDefault="00B166EA" w:rsidP="00FA0D37">
      <w:pPr>
        <w:pStyle w:val="PL"/>
      </w:pPr>
      <w:r w:rsidRPr="00FA0D37">
        <w:t xml:space="preserve">    dl-FR2-2-SCS-960kHz-r17                 </w:t>
      </w:r>
      <w:r w:rsidRPr="00FA0D37">
        <w:rPr>
          <w:color w:val="993366"/>
        </w:rPr>
        <w:t>ENUMERATED</w:t>
      </w:r>
      <w:r w:rsidRPr="00FA0D37">
        <w:t xml:space="preserve"> {supported}            </w:t>
      </w:r>
      <w:r w:rsidRPr="00FA0D37">
        <w:rPr>
          <w:color w:val="993366"/>
        </w:rPr>
        <w:t>OPTIONAL</w:t>
      </w:r>
      <w:r w:rsidRPr="00FA0D37">
        <w:t>,</w:t>
      </w:r>
    </w:p>
    <w:p w14:paraId="029D7E42" w14:textId="04333377" w:rsidR="00B166EA" w:rsidRPr="00FA0D37" w:rsidRDefault="00B166EA" w:rsidP="00FA0D37">
      <w:pPr>
        <w:pStyle w:val="PL"/>
        <w:rPr>
          <w:color w:val="808080"/>
        </w:rPr>
      </w:pPr>
      <w:r w:rsidRPr="00FA0D37">
        <w:t xml:space="preserve">    </w:t>
      </w:r>
      <w:r w:rsidRPr="00FA0D37">
        <w:rPr>
          <w:color w:val="808080"/>
        </w:rPr>
        <w:t>-- R1 24-5a: 960KHz SCS support for UL</w:t>
      </w:r>
    </w:p>
    <w:p w14:paraId="6F0152CF" w14:textId="3B4A08D0" w:rsidR="00B166EA" w:rsidRPr="00FA0D37" w:rsidRDefault="00B166EA" w:rsidP="00FA0D37">
      <w:pPr>
        <w:pStyle w:val="PL"/>
      </w:pPr>
      <w:r w:rsidRPr="00FA0D37">
        <w:t xml:space="preserve">    ul-FR2-2-SCS-960kHz-r17                 </w:t>
      </w:r>
      <w:r w:rsidRPr="00FA0D37">
        <w:rPr>
          <w:color w:val="993366"/>
        </w:rPr>
        <w:t>ENUMERATED</w:t>
      </w:r>
      <w:r w:rsidRPr="00FA0D37">
        <w:t xml:space="preserve"> {supported}            </w:t>
      </w:r>
      <w:r w:rsidRPr="00FA0D37">
        <w:rPr>
          <w:color w:val="993366"/>
        </w:rPr>
        <w:t>OPTIONAL</w:t>
      </w:r>
      <w:r w:rsidRPr="00FA0D37">
        <w:t>,</w:t>
      </w:r>
    </w:p>
    <w:p w14:paraId="20D2CF2E" w14:textId="3050750C" w:rsidR="00B166EA" w:rsidRPr="00FA0D37" w:rsidRDefault="00B166EA" w:rsidP="00FA0D37">
      <w:pPr>
        <w:pStyle w:val="PL"/>
        <w:rPr>
          <w:color w:val="808080"/>
        </w:rPr>
      </w:pPr>
      <w:r w:rsidRPr="00FA0D37">
        <w:t xml:space="preserve">    </w:t>
      </w:r>
      <w:r w:rsidRPr="00FA0D37">
        <w:rPr>
          <w:color w:val="808080"/>
        </w:rPr>
        <w:t>-- R1 24-5c: Multi-RB support PUCCH format 0/1/4 for 960 kHz in FR2-2</w:t>
      </w:r>
    </w:p>
    <w:p w14:paraId="5262EB8E" w14:textId="2240F053" w:rsidR="00B166EA" w:rsidRPr="00FA0D37" w:rsidRDefault="00B166EA" w:rsidP="00FA0D37">
      <w:pPr>
        <w:pStyle w:val="PL"/>
      </w:pPr>
      <w:r w:rsidRPr="00FA0D37">
        <w:t xml:space="preserve">    multiRB-PUCCH-SCS-960kHz-r17            </w:t>
      </w:r>
      <w:r w:rsidRPr="00FA0D37">
        <w:rPr>
          <w:color w:val="993366"/>
        </w:rPr>
        <w:t>ENUMERATED</w:t>
      </w:r>
      <w:r w:rsidRPr="00FA0D37">
        <w:t xml:space="preserve"> {supported}            </w:t>
      </w:r>
      <w:r w:rsidRPr="00FA0D37">
        <w:rPr>
          <w:color w:val="993366"/>
        </w:rPr>
        <w:t>OPTIONAL</w:t>
      </w:r>
      <w:r w:rsidRPr="00FA0D37">
        <w:t>,</w:t>
      </w:r>
    </w:p>
    <w:p w14:paraId="37F38A3E" w14:textId="19A71F7C" w:rsidR="00B166EA" w:rsidRPr="00FA0D37" w:rsidRDefault="00B166EA" w:rsidP="00FA0D37">
      <w:pPr>
        <w:pStyle w:val="PL"/>
        <w:rPr>
          <w:color w:val="808080"/>
        </w:rPr>
      </w:pPr>
      <w:r w:rsidRPr="00FA0D37">
        <w:t xml:space="preserve">    </w:t>
      </w:r>
      <w:r w:rsidRPr="00FA0D37">
        <w:rPr>
          <w:color w:val="808080"/>
        </w:rPr>
        <w:t>-- R1 24-5f: Enhanced PDCCH monitoring for 960KHz in FR2-2</w:t>
      </w:r>
    </w:p>
    <w:p w14:paraId="150B3655" w14:textId="3B6F8E85" w:rsidR="00B166EA" w:rsidRPr="00FA0D37" w:rsidRDefault="00B166EA" w:rsidP="00FA0D37">
      <w:pPr>
        <w:pStyle w:val="PL"/>
      </w:pPr>
      <w:r w:rsidRPr="00FA0D37">
        <w:t xml:space="preserve">    enhancedPDCCH-monitoringSCS-960kHz-r17  </w:t>
      </w:r>
      <w:r w:rsidRPr="00FA0D37">
        <w:rPr>
          <w:color w:val="993366"/>
        </w:rPr>
        <w:t>SEQUENCE</w:t>
      </w:r>
      <w:r w:rsidRPr="00FA0D37">
        <w:t xml:space="preserve"> {</w:t>
      </w:r>
    </w:p>
    <w:p w14:paraId="6A300B21" w14:textId="16EB2864" w:rsidR="00B166EA" w:rsidRPr="00FA0D37" w:rsidRDefault="00B166EA" w:rsidP="00FA0D37">
      <w:pPr>
        <w:pStyle w:val="PL"/>
      </w:pPr>
      <w:r w:rsidRPr="00FA0D37">
        <w:t xml:space="preserve">        pdcch-monitoring4-1-r17                 </w:t>
      </w:r>
      <w:r w:rsidRPr="00FA0D37">
        <w:rPr>
          <w:color w:val="993366"/>
        </w:rPr>
        <w:t>ENUMERATED</w:t>
      </w:r>
      <w:r w:rsidRPr="00FA0D37">
        <w:t xml:space="preserve"> {supported}        </w:t>
      </w:r>
      <w:r w:rsidRPr="00FA0D37">
        <w:rPr>
          <w:color w:val="993366"/>
        </w:rPr>
        <w:t>OPTIONAL</w:t>
      </w:r>
      <w:r w:rsidRPr="00FA0D37">
        <w:t>,</w:t>
      </w:r>
    </w:p>
    <w:p w14:paraId="5027F04A" w14:textId="67FBE246" w:rsidR="00B166EA" w:rsidRPr="00FA0D37" w:rsidRDefault="00B166EA" w:rsidP="00FA0D37">
      <w:pPr>
        <w:pStyle w:val="PL"/>
      </w:pPr>
      <w:r w:rsidRPr="00FA0D37">
        <w:t xml:space="preserve">        pdcch-monitoring4-2-r17                 </w:t>
      </w:r>
      <w:r w:rsidRPr="00FA0D37">
        <w:rPr>
          <w:color w:val="993366"/>
        </w:rPr>
        <w:t>ENUMERATED</w:t>
      </w:r>
      <w:r w:rsidRPr="00FA0D37">
        <w:t xml:space="preserve"> {supported}        </w:t>
      </w:r>
      <w:r w:rsidRPr="00FA0D37">
        <w:rPr>
          <w:color w:val="993366"/>
        </w:rPr>
        <w:t>OPTIONAL</w:t>
      </w:r>
      <w:r w:rsidRPr="00FA0D37">
        <w:t>,</w:t>
      </w:r>
    </w:p>
    <w:p w14:paraId="273A3807" w14:textId="267E103C" w:rsidR="00B166EA" w:rsidRPr="00FA0D37" w:rsidRDefault="00B166EA" w:rsidP="00FA0D37">
      <w:pPr>
        <w:pStyle w:val="PL"/>
      </w:pPr>
      <w:r w:rsidRPr="00FA0D37">
        <w:t xml:space="preserve">        pdcch-monitoring8-4-r17                 </w:t>
      </w:r>
      <w:r w:rsidRPr="00FA0D37">
        <w:rPr>
          <w:color w:val="993366"/>
        </w:rPr>
        <w:t>ENUMERATED</w:t>
      </w:r>
      <w:r w:rsidRPr="00FA0D37">
        <w:t xml:space="preserve"> {supported}        </w:t>
      </w:r>
      <w:r w:rsidRPr="00FA0D37">
        <w:rPr>
          <w:color w:val="993366"/>
        </w:rPr>
        <w:t>OPTIONAL</w:t>
      </w:r>
    </w:p>
    <w:p w14:paraId="7F8422A8" w14:textId="26C02475" w:rsidR="00B166EA" w:rsidRPr="00FA0D37" w:rsidRDefault="00B166EA" w:rsidP="00FA0D37">
      <w:pPr>
        <w:pStyle w:val="PL"/>
      </w:pPr>
      <w:r w:rsidRPr="00FA0D37">
        <w:t xml:space="preserve">    }                                                                         </w:t>
      </w:r>
      <w:r w:rsidRPr="00FA0D37">
        <w:rPr>
          <w:color w:val="993366"/>
        </w:rPr>
        <w:t>OPTIONAL</w:t>
      </w:r>
      <w:r w:rsidRPr="00FA0D37">
        <w:t>,</w:t>
      </w:r>
    </w:p>
    <w:p w14:paraId="0B327721" w14:textId="0D611817" w:rsidR="00B166EA" w:rsidRPr="00FA0D37" w:rsidRDefault="00B166EA" w:rsidP="00FA0D37">
      <w:pPr>
        <w:pStyle w:val="PL"/>
        <w:rPr>
          <w:color w:val="808080"/>
        </w:rPr>
      </w:pPr>
      <w:r w:rsidRPr="00FA0D37">
        <w:t xml:space="preserve">    </w:t>
      </w:r>
      <w:r w:rsidRPr="00FA0D37">
        <w:rPr>
          <w:color w:val="808080"/>
        </w:rPr>
        <w:t>-- R1 24-6: Type 1 channel access procedure in uplink for FR2-2 with shared spectrum channel access</w:t>
      </w:r>
    </w:p>
    <w:p w14:paraId="2A10D647" w14:textId="4FF8CDF1" w:rsidR="00B166EA" w:rsidRPr="00FA0D37" w:rsidRDefault="00B166EA" w:rsidP="00FA0D37">
      <w:pPr>
        <w:pStyle w:val="PL"/>
      </w:pPr>
      <w:r w:rsidRPr="00FA0D37">
        <w:t xml:space="preserve">    type1-ChannelAccess-FR2-2-r17           </w:t>
      </w:r>
      <w:r w:rsidRPr="00FA0D37">
        <w:rPr>
          <w:color w:val="993366"/>
        </w:rPr>
        <w:t>ENUMERATED</w:t>
      </w:r>
      <w:r w:rsidRPr="00FA0D37">
        <w:t xml:space="preserve"> {supported}            </w:t>
      </w:r>
      <w:r w:rsidRPr="00FA0D37">
        <w:rPr>
          <w:color w:val="993366"/>
        </w:rPr>
        <w:t>OPTIONAL</w:t>
      </w:r>
      <w:r w:rsidRPr="00FA0D37">
        <w:t>,</w:t>
      </w:r>
    </w:p>
    <w:p w14:paraId="62F9187D" w14:textId="6C4E33A1" w:rsidR="00B166EA" w:rsidRPr="00FA0D37" w:rsidRDefault="00B166EA" w:rsidP="00FA0D37">
      <w:pPr>
        <w:pStyle w:val="PL"/>
        <w:rPr>
          <w:color w:val="808080"/>
        </w:rPr>
      </w:pPr>
      <w:r w:rsidRPr="00FA0D37">
        <w:t xml:space="preserve">    </w:t>
      </w:r>
      <w:r w:rsidRPr="00FA0D37">
        <w:rPr>
          <w:color w:val="808080"/>
        </w:rPr>
        <w:t>-- R1 24-7: Type 2 channel access procedure in uplink for FR2-2 with shared spectrum channel access</w:t>
      </w:r>
    </w:p>
    <w:p w14:paraId="092D642E" w14:textId="6DBAA70F" w:rsidR="00B166EA" w:rsidRPr="00FA0D37" w:rsidRDefault="00B166EA" w:rsidP="00FA0D37">
      <w:pPr>
        <w:pStyle w:val="PL"/>
      </w:pPr>
      <w:r w:rsidRPr="00FA0D37">
        <w:t xml:space="preserve">    type2-ChannelAccess-FR2-2-r17           </w:t>
      </w:r>
      <w:r w:rsidRPr="00FA0D37">
        <w:rPr>
          <w:color w:val="993366"/>
        </w:rPr>
        <w:t>ENUMERATED</w:t>
      </w:r>
      <w:r w:rsidRPr="00FA0D37">
        <w:t xml:space="preserve"> {supported}            </w:t>
      </w:r>
      <w:r w:rsidRPr="00FA0D37">
        <w:rPr>
          <w:color w:val="993366"/>
        </w:rPr>
        <w:t>OPTIONAL</w:t>
      </w:r>
      <w:r w:rsidRPr="00FA0D37">
        <w:t>,</w:t>
      </w:r>
    </w:p>
    <w:p w14:paraId="2D68FA59" w14:textId="483B1378" w:rsidR="00B166EA" w:rsidRPr="00FA0D37" w:rsidRDefault="00B166EA" w:rsidP="00FA0D37">
      <w:pPr>
        <w:pStyle w:val="PL"/>
        <w:rPr>
          <w:color w:val="808080"/>
        </w:rPr>
      </w:pPr>
      <w:r w:rsidRPr="00FA0D37">
        <w:t xml:space="preserve">    </w:t>
      </w:r>
      <w:r w:rsidRPr="00FA0D37">
        <w:rPr>
          <w:color w:val="808080"/>
        </w:rPr>
        <w:t>-- R1 24-10: Reduced beam switching time delay</w:t>
      </w:r>
    </w:p>
    <w:p w14:paraId="2F5906AB" w14:textId="2CA7E123" w:rsidR="00B166EA" w:rsidRPr="00FA0D37" w:rsidRDefault="00B166EA" w:rsidP="00FA0D37">
      <w:pPr>
        <w:pStyle w:val="PL"/>
      </w:pPr>
      <w:r w:rsidRPr="00FA0D37">
        <w:t xml:space="preserve">    reduced-BeamSwitchTiming-FR2-2-r17      </w:t>
      </w:r>
      <w:r w:rsidRPr="00FA0D37">
        <w:rPr>
          <w:color w:val="993366"/>
        </w:rPr>
        <w:t>ENUMERATED</w:t>
      </w:r>
      <w:r w:rsidRPr="00FA0D37">
        <w:t xml:space="preserve"> {supported}            </w:t>
      </w:r>
      <w:r w:rsidRPr="00FA0D37">
        <w:rPr>
          <w:color w:val="993366"/>
        </w:rPr>
        <w:t>OPTIONAL</w:t>
      </w:r>
      <w:r w:rsidRPr="00FA0D37">
        <w:t>,</w:t>
      </w:r>
    </w:p>
    <w:p w14:paraId="05619BE7" w14:textId="0AE74E06" w:rsidR="00B166EA" w:rsidRPr="00FA0D37" w:rsidRDefault="00B166EA" w:rsidP="00FA0D37">
      <w:pPr>
        <w:pStyle w:val="PL"/>
        <w:rPr>
          <w:color w:val="808080"/>
        </w:rPr>
      </w:pPr>
      <w:r w:rsidRPr="00FA0D37">
        <w:t xml:space="preserve">    </w:t>
      </w:r>
      <w:r w:rsidRPr="00FA0D37">
        <w:rPr>
          <w:color w:val="808080"/>
        </w:rPr>
        <w:t>-- R1 24-8: 32 DL HARQ processes for FR 2-2</w:t>
      </w:r>
    </w:p>
    <w:p w14:paraId="0CA68EDD" w14:textId="1C6BE6F8" w:rsidR="00B166EA" w:rsidRPr="00FA0D37" w:rsidRDefault="00B166EA" w:rsidP="00FA0D37">
      <w:pPr>
        <w:pStyle w:val="PL"/>
      </w:pPr>
      <w:r w:rsidRPr="00FA0D37">
        <w:t xml:space="preserve">    support32-DL-HARQ-ProcessPerSCS-r17     </w:t>
      </w:r>
      <w:r w:rsidRPr="00FA0D37">
        <w:rPr>
          <w:color w:val="993366"/>
        </w:rPr>
        <w:t>SEQUENCE</w:t>
      </w:r>
      <w:r w:rsidRPr="00FA0D37">
        <w:t xml:space="preserve"> {</w:t>
      </w:r>
    </w:p>
    <w:p w14:paraId="6CC372A0" w14:textId="4980426E" w:rsidR="00B166EA" w:rsidRPr="00FA0D37" w:rsidRDefault="00B166EA" w:rsidP="00FA0D37">
      <w:pPr>
        <w:pStyle w:val="PL"/>
      </w:pPr>
      <w:r w:rsidRPr="00FA0D37">
        <w:t xml:space="preserve">        scs-120kHz-r17                          </w:t>
      </w:r>
      <w:r w:rsidRPr="00FA0D37">
        <w:rPr>
          <w:color w:val="993366"/>
        </w:rPr>
        <w:t>ENUMERATED</w:t>
      </w:r>
      <w:r w:rsidRPr="00FA0D37">
        <w:t xml:space="preserve"> {supported}        </w:t>
      </w:r>
      <w:r w:rsidRPr="00FA0D37">
        <w:rPr>
          <w:color w:val="993366"/>
        </w:rPr>
        <w:t>OPTIONAL</w:t>
      </w:r>
      <w:r w:rsidRPr="00FA0D37">
        <w:t>,</w:t>
      </w:r>
    </w:p>
    <w:p w14:paraId="211142C3" w14:textId="072EE00F" w:rsidR="00B166EA" w:rsidRPr="00FA0D37" w:rsidRDefault="00B166EA" w:rsidP="00FA0D37">
      <w:pPr>
        <w:pStyle w:val="PL"/>
      </w:pPr>
      <w:r w:rsidRPr="00FA0D37">
        <w:t xml:space="preserve">        scs-480kHz-r17                          </w:t>
      </w:r>
      <w:r w:rsidRPr="00FA0D37">
        <w:rPr>
          <w:color w:val="993366"/>
        </w:rPr>
        <w:t>ENUMERATED</w:t>
      </w:r>
      <w:r w:rsidRPr="00FA0D37">
        <w:t xml:space="preserve"> {supported}        </w:t>
      </w:r>
      <w:r w:rsidRPr="00FA0D37">
        <w:rPr>
          <w:color w:val="993366"/>
        </w:rPr>
        <w:t>OPTIONAL</w:t>
      </w:r>
      <w:r w:rsidRPr="00FA0D37">
        <w:t>,</w:t>
      </w:r>
    </w:p>
    <w:p w14:paraId="2E3AF634" w14:textId="4F411428" w:rsidR="00B166EA" w:rsidRPr="00FA0D37" w:rsidRDefault="00B166EA" w:rsidP="00FA0D37">
      <w:pPr>
        <w:pStyle w:val="PL"/>
      </w:pPr>
      <w:r w:rsidRPr="00FA0D37">
        <w:t xml:space="preserve">        scs-960kHz-r17                          </w:t>
      </w:r>
      <w:r w:rsidRPr="00FA0D37">
        <w:rPr>
          <w:color w:val="993366"/>
        </w:rPr>
        <w:t>ENUMERATED</w:t>
      </w:r>
      <w:r w:rsidRPr="00FA0D37">
        <w:t xml:space="preserve"> {supported}        </w:t>
      </w:r>
      <w:r w:rsidRPr="00FA0D37">
        <w:rPr>
          <w:color w:val="993366"/>
        </w:rPr>
        <w:t>OPTIONAL</w:t>
      </w:r>
    </w:p>
    <w:p w14:paraId="2703E7AF" w14:textId="625941F9" w:rsidR="00B166EA" w:rsidRPr="00FA0D37" w:rsidRDefault="00B166EA" w:rsidP="00FA0D37">
      <w:pPr>
        <w:pStyle w:val="PL"/>
      </w:pPr>
      <w:r w:rsidRPr="00FA0D37">
        <w:t xml:space="preserve">    }                                                                         </w:t>
      </w:r>
      <w:r w:rsidRPr="00FA0D37">
        <w:rPr>
          <w:color w:val="993366"/>
        </w:rPr>
        <w:t>OPTIONAL</w:t>
      </w:r>
      <w:r w:rsidRPr="00FA0D37">
        <w:t>,</w:t>
      </w:r>
    </w:p>
    <w:p w14:paraId="5BDBE04A" w14:textId="29E2C545" w:rsidR="00B166EA" w:rsidRPr="00FA0D37" w:rsidRDefault="00B166EA" w:rsidP="00FA0D37">
      <w:pPr>
        <w:pStyle w:val="PL"/>
        <w:rPr>
          <w:color w:val="808080"/>
        </w:rPr>
      </w:pPr>
      <w:r w:rsidRPr="00FA0D37">
        <w:t xml:space="preserve">    </w:t>
      </w:r>
      <w:r w:rsidRPr="00FA0D37">
        <w:rPr>
          <w:color w:val="808080"/>
        </w:rPr>
        <w:t>-- R1 24-9: 32 UL HARQ processes for FR 2-2</w:t>
      </w:r>
    </w:p>
    <w:p w14:paraId="1D386E2C" w14:textId="7BB6BFCE" w:rsidR="00B166EA" w:rsidRPr="00FA0D37" w:rsidRDefault="00B166EA" w:rsidP="00FA0D37">
      <w:pPr>
        <w:pStyle w:val="PL"/>
      </w:pPr>
      <w:r w:rsidRPr="00FA0D37">
        <w:t xml:space="preserve">    support32-UL-HARQ-ProcessPerSCS-r17</w:t>
      </w:r>
      <w:r w:rsidRPr="00FA0D37">
        <w:tab/>
      </w:r>
      <w:r w:rsidRPr="00FA0D37">
        <w:tab/>
      </w:r>
      <w:r w:rsidRPr="00FA0D37">
        <w:rPr>
          <w:color w:val="993366"/>
        </w:rPr>
        <w:t>SEQUENCE</w:t>
      </w:r>
      <w:r w:rsidRPr="00FA0D37">
        <w:t xml:space="preserve"> {</w:t>
      </w:r>
    </w:p>
    <w:p w14:paraId="18E7480E" w14:textId="49BE9655" w:rsidR="00B166EA" w:rsidRPr="00FA0D37" w:rsidRDefault="00B166EA" w:rsidP="00FA0D37">
      <w:pPr>
        <w:pStyle w:val="PL"/>
      </w:pPr>
      <w:r w:rsidRPr="00FA0D37">
        <w:t xml:space="preserve">        scs-120kHz-r17                          </w:t>
      </w:r>
      <w:r w:rsidRPr="00FA0D37">
        <w:rPr>
          <w:color w:val="993366"/>
        </w:rPr>
        <w:t>ENUMERATED</w:t>
      </w:r>
      <w:r w:rsidRPr="00FA0D37">
        <w:t xml:space="preserve"> {supported}        </w:t>
      </w:r>
      <w:r w:rsidRPr="00FA0D37">
        <w:rPr>
          <w:color w:val="993366"/>
        </w:rPr>
        <w:t>OPTIONAL</w:t>
      </w:r>
      <w:r w:rsidRPr="00FA0D37">
        <w:t>,</w:t>
      </w:r>
    </w:p>
    <w:p w14:paraId="7BC41228" w14:textId="43B5E8A8" w:rsidR="00B166EA" w:rsidRPr="00FA0D37" w:rsidRDefault="00B166EA" w:rsidP="00FA0D37">
      <w:pPr>
        <w:pStyle w:val="PL"/>
      </w:pPr>
      <w:r w:rsidRPr="00FA0D37">
        <w:t xml:space="preserve">        scs-480kHz-r17                          </w:t>
      </w:r>
      <w:r w:rsidRPr="00FA0D37">
        <w:rPr>
          <w:color w:val="993366"/>
        </w:rPr>
        <w:t>ENUMERATED</w:t>
      </w:r>
      <w:r w:rsidRPr="00FA0D37">
        <w:t xml:space="preserve"> {supported}        </w:t>
      </w:r>
      <w:r w:rsidRPr="00FA0D37">
        <w:rPr>
          <w:color w:val="993366"/>
        </w:rPr>
        <w:t>OPTIONAL</w:t>
      </w:r>
      <w:r w:rsidRPr="00FA0D37">
        <w:t>,</w:t>
      </w:r>
    </w:p>
    <w:p w14:paraId="2BF976E7" w14:textId="34E91A6B" w:rsidR="00B166EA" w:rsidRPr="00FA0D37" w:rsidRDefault="00B166EA" w:rsidP="00FA0D37">
      <w:pPr>
        <w:pStyle w:val="PL"/>
      </w:pPr>
      <w:r w:rsidRPr="00FA0D37">
        <w:t xml:space="preserve">        scs-960kHz-r17                          </w:t>
      </w:r>
      <w:r w:rsidRPr="00FA0D37">
        <w:rPr>
          <w:color w:val="993366"/>
        </w:rPr>
        <w:t>ENUMERATED</w:t>
      </w:r>
      <w:r w:rsidRPr="00FA0D37">
        <w:t xml:space="preserve"> {supported}        </w:t>
      </w:r>
      <w:r w:rsidRPr="00FA0D37">
        <w:rPr>
          <w:color w:val="993366"/>
        </w:rPr>
        <w:t>OPTIONAL</w:t>
      </w:r>
    </w:p>
    <w:p w14:paraId="0527A0E8" w14:textId="2AFB077E" w:rsidR="00B166EA" w:rsidRPr="00FA0D37" w:rsidRDefault="00B166EA" w:rsidP="00FA0D37">
      <w:pPr>
        <w:pStyle w:val="PL"/>
      </w:pPr>
      <w:r w:rsidRPr="00FA0D37">
        <w:t xml:space="preserve">    }                                                                         </w:t>
      </w:r>
      <w:r w:rsidRPr="00FA0D37">
        <w:rPr>
          <w:color w:val="993366"/>
        </w:rPr>
        <w:t>OPTIONAL</w:t>
      </w:r>
      <w:r w:rsidRPr="00FA0D37">
        <w:t>,</w:t>
      </w:r>
    </w:p>
    <w:p w14:paraId="6B71B5EB" w14:textId="121A6040" w:rsidR="00FD0B5C" w:rsidRPr="00FA0D37" w:rsidRDefault="002E309C" w:rsidP="00FA0D37">
      <w:pPr>
        <w:pStyle w:val="PL"/>
      </w:pPr>
      <w:r w:rsidRPr="00FA0D37">
        <w:t xml:space="preserve">    ...</w:t>
      </w:r>
      <w:r w:rsidR="00FD0B5C" w:rsidRPr="00FA0D37">
        <w:t>,</w:t>
      </w:r>
    </w:p>
    <w:p w14:paraId="045CF1C2" w14:textId="452D760E" w:rsidR="00FD0B5C" w:rsidRPr="00FA0D37" w:rsidRDefault="00FD0B5C" w:rsidP="00FA0D37">
      <w:pPr>
        <w:pStyle w:val="PL"/>
      </w:pPr>
      <w:r w:rsidRPr="00FA0D37">
        <w:t xml:space="preserve">    [[</w:t>
      </w:r>
    </w:p>
    <w:p w14:paraId="7CB35CD7" w14:textId="5B44AE47" w:rsidR="00FD0B5C" w:rsidRPr="00FA0D37" w:rsidRDefault="00FD0B5C" w:rsidP="00FA0D37">
      <w:pPr>
        <w:pStyle w:val="PL"/>
        <w:rPr>
          <w:color w:val="808080"/>
        </w:rPr>
      </w:pPr>
      <w:r w:rsidRPr="00FA0D37">
        <w:t xml:space="preserve">    </w:t>
      </w:r>
      <w:r w:rsidRPr="00FA0D37">
        <w:rPr>
          <w:color w:val="808080"/>
        </w:rPr>
        <w:t>-- R4 15-1: 64QAM for PUSCH for FR2-2</w:t>
      </w:r>
    </w:p>
    <w:p w14:paraId="07FD9B3F" w14:textId="0095D325" w:rsidR="00FD0B5C" w:rsidRPr="00FA0D37" w:rsidRDefault="00FD0B5C" w:rsidP="00FA0D37">
      <w:pPr>
        <w:pStyle w:val="PL"/>
      </w:pPr>
      <w:r w:rsidRPr="00FA0D37">
        <w:t xml:space="preserve">    modulation64-QAM-PUSCH-FR2-2-r17            </w:t>
      </w:r>
      <w:r w:rsidRPr="00FA0D37">
        <w:rPr>
          <w:color w:val="993366"/>
        </w:rPr>
        <w:t>ENUMERATED</w:t>
      </w:r>
      <w:r w:rsidRPr="00FA0D37">
        <w:t xml:space="preserve"> {supported}        </w:t>
      </w:r>
      <w:r w:rsidRPr="00FA0D37">
        <w:rPr>
          <w:color w:val="993366"/>
        </w:rPr>
        <w:t>OPTIONAL</w:t>
      </w:r>
    </w:p>
    <w:p w14:paraId="5513BDE6" w14:textId="7BCD5ED4" w:rsidR="002E309C" w:rsidRPr="00FA0D37" w:rsidRDefault="00FD0B5C" w:rsidP="00FA0D37">
      <w:pPr>
        <w:pStyle w:val="PL"/>
      </w:pPr>
      <w:r w:rsidRPr="00FA0D37">
        <w:t xml:space="preserve">    ]]</w:t>
      </w:r>
    </w:p>
    <w:p w14:paraId="71690C00" w14:textId="6D9E71F3" w:rsidR="002E309C" w:rsidRPr="00FA0D37" w:rsidRDefault="002E309C" w:rsidP="00FA0D37">
      <w:pPr>
        <w:pStyle w:val="PL"/>
      </w:pPr>
      <w:r w:rsidRPr="00FA0D37">
        <w:t>}</w:t>
      </w:r>
    </w:p>
    <w:p w14:paraId="728679BA" w14:textId="77777777" w:rsidR="002E309C" w:rsidRPr="00FA0D37" w:rsidRDefault="002E309C" w:rsidP="00FA0D37">
      <w:pPr>
        <w:pStyle w:val="PL"/>
      </w:pPr>
    </w:p>
    <w:p w14:paraId="65FE47F8" w14:textId="77777777" w:rsidR="002E309C" w:rsidRPr="00FA0D37" w:rsidRDefault="002E309C" w:rsidP="00FA0D37">
      <w:pPr>
        <w:pStyle w:val="PL"/>
        <w:rPr>
          <w:color w:val="808080"/>
        </w:rPr>
      </w:pPr>
      <w:r w:rsidRPr="00FA0D37">
        <w:rPr>
          <w:color w:val="808080"/>
        </w:rPr>
        <w:t>-- TAG-FR2-2-ACCESSPARAMSPERBAND-STOP</w:t>
      </w:r>
    </w:p>
    <w:p w14:paraId="671BEB8E" w14:textId="77777777" w:rsidR="002E309C" w:rsidRPr="00FA0D37" w:rsidRDefault="002E309C" w:rsidP="00FA0D37">
      <w:pPr>
        <w:pStyle w:val="PL"/>
        <w:rPr>
          <w:color w:val="808080"/>
        </w:rPr>
      </w:pPr>
      <w:r w:rsidRPr="00FA0D37">
        <w:rPr>
          <w:color w:val="808080"/>
        </w:rPr>
        <w:t>-- ASN1STOP</w:t>
      </w:r>
    </w:p>
    <w:p w14:paraId="34C4F307" w14:textId="77777777" w:rsidR="002E309C" w:rsidRPr="00FA0D37" w:rsidRDefault="002E309C" w:rsidP="00394471">
      <w:pPr>
        <w:rPr>
          <w:rFonts w:eastAsiaTheme="minorEastAsia"/>
        </w:rPr>
      </w:pPr>
    </w:p>
    <w:p w14:paraId="036730C6" w14:textId="77777777" w:rsidR="00394471" w:rsidRPr="00FA0D37" w:rsidRDefault="00394471" w:rsidP="00394471">
      <w:pPr>
        <w:pStyle w:val="4"/>
      </w:pPr>
      <w:bookmarkStart w:id="1564" w:name="_Toc60777456"/>
      <w:bookmarkStart w:id="1565" w:name="_Toc146781558"/>
      <w:r w:rsidRPr="00FA0D37">
        <w:t>–</w:t>
      </w:r>
      <w:r w:rsidRPr="00FA0D37">
        <w:tab/>
      </w:r>
      <w:r w:rsidRPr="00FA0D37">
        <w:rPr>
          <w:i/>
          <w:iCs/>
        </w:rPr>
        <w:t>HighSpeedParameters</w:t>
      </w:r>
      <w:bookmarkEnd w:id="1564"/>
      <w:bookmarkEnd w:id="1565"/>
    </w:p>
    <w:p w14:paraId="28C6C657" w14:textId="77777777" w:rsidR="00394471" w:rsidRPr="00FA0D37" w:rsidRDefault="00394471" w:rsidP="00394471">
      <w:r w:rsidRPr="00FA0D37">
        <w:t xml:space="preserve">The IE </w:t>
      </w:r>
      <w:r w:rsidRPr="00FA0D37">
        <w:rPr>
          <w:i/>
        </w:rPr>
        <w:t xml:space="preserve">HighSpeedParameters </w:t>
      </w:r>
      <w:r w:rsidRPr="00FA0D37">
        <w:t>is used to convey capabilities related to high speed scenarios.</w:t>
      </w:r>
    </w:p>
    <w:p w14:paraId="6CB3CA19" w14:textId="77777777" w:rsidR="00394471" w:rsidRPr="00FA0D37" w:rsidRDefault="00394471" w:rsidP="00394471">
      <w:pPr>
        <w:pStyle w:val="TH"/>
      </w:pPr>
      <w:r w:rsidRPr="00FA0D37">
        <w:rPr>
          <w:i/>
          <w:iCs/>
        </w:rPr>
        <w:lastRenderedPageBreak/>
        <w:t>HighSpeedParameters</w:t>
      </w:r>
      <w:r w:rsidRPr="00FA0D37">
        <w:t xml:space="preserve"> information element</w:t>
      </w:r>
    </w:p>
    <w:p w14:paraId="485D20C2" w14:textId="77777777" w:rsidR="00394471" w:rsidRPr="00FA0D37" w:rsidRDefault="00394471" w:rsidP="00FA0D37">
      <w:pPr>
        <w:pStyle w:val="PL"/>
        <w:rPr>
          <w:color w:val="808080"/>
        </w:rPr>
      </w:pPr>
      <w:r w:rsidRPr="00FA0D37">
        <w:rPr>
          <w:color w:val="808080"/>
        </w:rPr>
        <w:t>-- ASN1START</w:t>
      </w:r>
    </w:p>
    <w:p w14:paraId="37BEA019" w14:textId="77777777" w:rsidR="00394471" w:rsidRPr="00FA0D37" w:rsidRDefault="00394471" w:rsidP="00FA0D37">
      <w:pPr>
        <w:pStyle w:val="PL"/>
        <w:rPr>
          <w:color w:val="808080"/>
        </w:rPr>
      </w:pPr>
      <w:r w:rsidRPr="00FA0D37">
        <w:rPr>
          <w:color w:val="808080"/>
        </w:rPr>
        <w:t>-- TAG-HIGHSPEEDPARAMETERS-START</w:t>
      </w:r>
    </w:p>
    <w:p w14:paraId="2710AEF5" w14:textId="77777777" w:rsidR="00394471" w:rsidRPr="00FA0D37" w:rsidRDefault="00394471" w:rsidP="00FA0D37">
      <w:pPr>
        <w:pStyle w:val="PL"/>
      </w:pPr>
    </w:p>
    <w:p w14:paraId="4614B89B" w14:textId="77777777" w:rsidR="00394471" w:rsidRPr="00FA0D37" w:rsidRDefault="00394471" w:rsidP="00FA0D37">
      <w:pPr>
        <w:pStyle w:val="PL"/>
      </w:pPr>
      <w:r w:rsidRPr="00FA0D37">
        <w:t xml:space="preserve">HighSpeedParameters-r16 ::= </w:t>
      </w:r>
      <w:r w:rsidRPr="00FA0D37">
        <w:rPr>
          <w:color w:val="993366"/>
        </w:rPr>
        <w:t>SEQUENCE</w:t>
      </w:r>
      <w:r w:rsidRPr="00FA0D37">
        <w:t xml:space="preserve"> {</w:t>
      </w:r>
    </w:p>
    <w:p w14:paraId="23FAF6B7" w14:textId="77777777" w:rsidR="00394471" w:rsidRPr="00FA0D37" w:rsidRDefault="00394471" w:rsidP="00FA0D37">
      <w:pPr>
        <w:pStyle w:val="PL"/>
      </w:pPr>
      <w:r w:rsidRPr="00FA0D37">
        <w:t xml:space="preserve">    measurementEnhancement-r16       </w:t>
      </w:r>
      <w:r w:rsidRPr="00FA0D37">
        <w:rPr>
          <w:color w:val="993366"/>
        </w:rPr>
        <w:t>ENUMERATED</w:t>
      </w:r>
      <w:r w:rsidRPr="00FA0D37">
        <w:t xml:space="preserve"> {supported}   </w:t>
      </w:r>
      <w:r w:rsidRPr="00FA0D37">
        <w:rPr>
          <w:color w:val="993366"/>
        </w:rPr>
        <w:t>OPTIONAL</w:t>
      </w:r>
      <w:r w:rsidRPr="00FA0D37">
        <w:t>,</w:t>
      </w:r>
    </w:p>
    <w:p w14:paraId="6DD78D3D" w14:textId="77777777" w:rsidR="00394471" w:rsidRPr="00FA0D37" w:rsidRDefault="00394471" w:rsidP="00FA0D37">
      <w:pPr>
        <w:pStyle w:val="PL"/>
      </w:pPr>
      <w:r w:rsidRPr="00FA0D37">
        <w:t xml:space="preserve">    demodulationEnhancement-r16      </w:t>
      </w:r>
      <w:r w:rsidRPr="00FA0D37">
        <w:rPr>
          <w:color w:val="993366"/>
        </w:rPr>
        <w:t>ENUMERATED</w:t>
      </w:r>
      <w:r w:rsidRPr="00FA0D37">
        <w:t xml:space="preserve"> {supported}   </w:t>
      </w:r>
      <w:r w:rsidRPr="00FA0D37">
        <w:rPr>
          <w:color w:val="993366"/>
        </w:rPr>
        <w:t>OPTIONAL</w:t>
      </w:r>
    </w:p>
    <w:p w14:paraId="0152574C" w14:textId="77777777" w:rsidR="00394471" w:rsidRPr="00FA0D37" w:rsidRDefault="00394471" w:rsidP="00FA0D37">
      <w:pPr>
        <w:pStyle w:val="PL"/>
      </w:pPr>
      <w:r w:rsidRPr="00FA0D37">
        <w:t>}</w:t>
      </w:r>
    </w:p>
    <w:p w14:paraId="04359771" w14:textId="77777777" w:rsidR="004B3FEB" w:rsidRPr="00FA0D37" w:rsidRDefault="004B3FEB" w:rsidP="00FA0D37">
      <w:pPr>
        <w:pStyle w:val="PL"/>
      </w:pPr>
    </w:p>
    <w:p w14:paraId="16FF6A3C" w14:textId="2437CAD8" w:rsidR="004B3FEB" w:rsidRPr="00FA0D37" w:rsidRDefault="004B3FEB" w:rsidP="00FA0D37">
      <w:pPr>
        <w:pStyle w:val="PL"/>
      </w:pPr>
      <w:r w:rsidRPr="00FA0D37">
        <w:t>HighSpeedParameters-v16</w:t>
      </w:r>
      <w:r w:rsidR="001F631E" w:rsidRPr="00FA0D37">
        <w:t>50</w:t>
      </w:r>
      <w:r w:rsidRPr="00FA0D37">
        <w:t xml:space="preserve"> ::= </w:t>
      </w:r>
      <w:r w:rsidRPr="00FA0D37">
        <w:rPr>
          <w:color w:val="993366"/>
        </w:rPr>
        <w:t>CHOICE</w:t>
      </w:r>
      <w:r w:rsidRPr="00FA0D37">
        <w:t xml:space="preserve"> {</w:t>
      </w:r>
    </w:p>
    <w:p w14:paraId="5F9B4704" w14:textId="77777777" w:rsidR="004B3FEB" w:rsidRPr="00FA0D37" w:rsidRDefault="004B3FEB" w:rsidP="00FA0D37">
      <w:pPr>
        <w:pStyle w:val="PL"/>
      </w:pPr>
      <w:r w:rsidRPr="00FA0D37">
        <w:t xml:space="preserve">    intraNR-MeasurementEnhancement-r16       </w:t>
      </w:r>
      <w:r w:rsidRPr="00FA0D37">
        <w:rPr>
          <w:color w:val="993366"/>
        </w:rPr>
        <w:t>ENUMERATED</w:t>
      </w:r>
      <w:r w:rsidRPr="00FA0D37">
        <w:t xml:space="preserve"> {supported},</w:t>
      </w:r>
    </w:p>
    <w:p w14:paraId="63004406" w14:textId="77777777" w:rsidR="004B3FEB" w:rsidRPr="00FA0D37" w:rsidRDefault="004B3FEB" w:rsidP="00FA0D37">
      <w:pPr>
        <w:pStyle w:val="PL"/>
      </w:pPr>
      <w:r w:rsidRPr="00FA0D37">
        <w:t xml:space="preserve">    interRAT-MeasurementEnhancement-r16      </w:t>
      </w:r>
      <w:r w:rsidRPr="00FA0D37">
        <w:rPr>
          <w:color w:val="993366"/>
        </w:rPr>
        <w:t>ENUMERATED</w:t>
      </w:r>
      <w:r w:rsidRPr="00FA0D37">
        <w:t xml:space="preserve"> {supported}</w:t>
      </w:r>
    </w:p>
    <w:p w14:paraId="4EEBB515" w14:textId="31503B55" w:rsidR="00394471" w:rsidRPr="00FA0D37" w:rsidRDefault="004B3FEB" w:rsidP="00FA0D37">
      <w:pPr>
        <w:pStyle w:val="PL"/>
      </w:pPr>
      <w:r w:rsidRPr="00FA0D37">
        <w:t>}</w:t>
      </w:r>
    </w:p>
    <w:p w14:paraId="3F089599" w14:textId="77777777" w:rsidR="002E309C" w:rsidRPr="00FA0D37" w:rsidRDefault="002E309C" w:rsidP="00FA0D37">
      <w:pPr>
        <w:pStyle w:val="PL"/>
      </w:pPr>
    </w:p>
    <w:p w14:paraId="54F622A2" w14:textId="0A20958C" w:rsidR="002E309C" w:rsidRPr="00FA0D37" w:rsidRDefault="002E309C" w:rsidP="00FA0D37">
      <w:pPr>
        <w:pStyle w:val="PL"/>
      </w:pPr>
      <w:r w:rsidRPr="00FA0D37">
        <w:t xml:space="preserve">HighSpeedParameters-v1700 ::= </w:t>
      </w:r>
      <w:r w:rsidRPr="00FA0D37">
        <w:rPr>
          <w:color w:val="993366"/>
        </w:rPr>
        <w:t>SEQUENCE</w:t>
      </w:r>
      <w:r w:rsidRPr="00FA0D37">
        <w:t xml:space="preserve"> {</w:t>
      </w:r>
    </w:p>
    <w:p w14:paraId="019B96F1" w14:textId="77777777" w:rsidR="002E309C" w:rsidRPr="00FA0D37" w:rsidRDefault="002E309C" w:rsidP="00FA0D37">
      <w:pPr>
        <w:pStyle w:val="PL"/>
        <w:rPr>
          <w:color w:val="808080"/>
        </w:rPr>
      </w:pPr>
      <w:r w:rsidRPr="00FA0D37">
        <w:t xml:space="preserve">    </w:t>
      </w:r>
      <w:r w:rsidRPr="00FA0D37">
        <w:rPr>
          <w:color w:val="808080"/>
        </w:rPr>
        <w:t>-- R4 18-1: Enhanced RRM requirements specified for CA for FR1 HST</w:t>
      </w:r>
    </w:p>
    <w:p w14:paraId="48FA5937" w14:textId="32C23851" w:rsidR="002E309C" w:rsidRPr="00FA0D37" w:rsidRDefault="002E309C" w:rsidP="00FA0D37">
      <w:pPr>
        <w:pStyle w:val="PL"/>
      </w:pPr>
      <w:r w:rsidRPr="00FA0D37">
        <w:t xml:space="preserve">    measurementEnhancementCA-r17            </w:t>
      </w:r>
      <w:r w:rsidRPr="00FA0D37">
        <w:rPr>
          <w:color w:val="993366"/>
        </w:rPr>
        <w:t>ENUMERATED</w:t>
      </w:r>
      <w:r w:rsidRPr="00FA0D37">
        <w:t xml:space="preserve"> {supported}   </w:t>
      </w:r>
      <w:r w:rsidRPr="00FA0D37">
        <w:rPr>
          <w:color w:val="993366"/>
        </w:rPr>
        <w:t>OPTIONAL</w:t>
      </w:r>
      <w:r w:rsidRPr="00FA0D37">
        <w:t>,</w:t>
      </w:r>
    </w:p>
    <w:p w14:paraId="473D7FA1" w14:textId="77777777" w:rsidR="002E309C" w:rsidRPr="00FA0D37" w:rsidRDefault="002E309C" w:rsidP="00FA0D37">
      <w:pPr>
        <w:pStyle w:val="PL"/>
        <w:rPr>
          <w:color w:val="808080"/>
        </w:rPr>
      </w:pPr>
      <w:r w:rsidRPr="00FA0D37">
        <w:t xml:space="preserve">    </w:t>
      </w:r>
      <w:r w:rsidRPr="00FA0D37">
        <w:rPr>
          <w:color w:val="808080"/>
        </w:rPr>
        <w:t>-- R4 18-2: Enhanced RRM requirements specified for inter-frequency measurement in connected mode for FR1 HST</w:t>
      </w:r>
    </w:p>
    <w:p w14:paraId="1D5610F7" w14:textId="1432574E" w:rsidR="002E309C" w:rsidRPr="00FA0D37" w:rsidRDefault="002E309C" w:rsidP="00FA0D37">
      <w:pPr>
        <w:pStyle w:val="PL"/>
      </w:pPr>
      <w:r w:rsidRPr="00FA0D37">
        <w:t xml:space="preserve">    measurementEnhancementInterFreq-r17     </w:t>
      </w:r>
      <w:r w:rsidRPr="00FA0D37">
        <w:rPr>
          <w:color w:val="993366"/>
        </w:rPr>
        <w:t>ENUMERATED</w:t>
      </w:r>
      <w:r w:rsidRPr="00FA0D37">
        <w:t xml:space="preserve"> {supported}   </w:t>
      </w:r>
      <w:r w:rsidRPr="00FA0D37">
        <w:rPr>
          <w:color w:val="993366"/>
        </w:rPr>
        <w:t>OPTIONAL</w:t>
      </w:r>
    </w:p>
    <w:p w14:paraId="6E00F575" w14:textId="0E68229F" w:rsidR="004B3FEB" w:rsidRPr="00FA0D37" w:rsidRDefault="002E309C" w:rsidP="00FA0D37">
      <w:pPr>
        <w:pStyle w:val="PL"/>
      </w:pPr>
      <w:r w:rsidRPr="00FA0D37">
        <w:t>}</w:t>
      </w:r>
    </w:p>
    <w:p w14:paraId="4C04F1DF" w14:textId="77777777" w:rsidR="002E309C" w:rsidRPr="00FA0D37" w:rsidRDefault="002E309C" w:rsidP="00FA0D37">
      <w:pPr>
        <w:pStyle w:val="PL"/>
      </w:pPr>
    </w:p>
    <w:p w14:paraId="438EC27E" w14:textId="77777777" w:rsidR="00394471" w:rsidRPr="00FA0D37" w:rsidRDefault="00394471" w:rsidP="00FA0D37">
      <w:pPr>
        <w:pStyle w:val="PL"/>
        <w:rPr>
          <w:color w:val="808080"/>
        </w:rPr>
      </w:pPr>
      <w:r w:rsidRPr="00FA0D37">
        <w:rPr>
          <w:color w:val="808080"/>
        </w:rPr>
        <w:t>-- TAG-HIGHSPEEDPARAMETERS-STOP</w:t>
      </w:r>
    </w:p>
    <w:p w14:paraId="56C8353D" w14:textId="77777777" w:rsidR="00394471" w:rsidRPr="00FA0D37" w:rsidRDefault="00394471" w:rsidP="00FA0D37">
      <w:pPr>
        <w:pStyle w:val="PL"/>
        <w:rPr>
          <w:color w:val="808080"/>
        </w:rPr>
      </w:pPr>
      <w:r w:rsidRPr="00FA0D37">
        <w:rPr>
          <w:color w:val="808080"/>
        </w:rPr>
        <w:t>-- ASN1STOP</w:t>
      </w:r>
    </w:p>
    <w:p w14:paraId="59AF3A5A" w14:textId="77777777" w:rsidR="00394471" w:rsidRPr="00FA0D37" w:rsidRDefault="00394471" w:rsidP="00394471"/>
    <w:p w14:paraId="325E7CB1" w14:textId="77777777" w:rsidR="00394471" w:rsidRPr="00FA0D37" w:rsidRDefault="00394471" w:rsidP="00394471">
      <w:pPr>
        <w:pStyle w:val="4"/>
        <w:rPr>
          <w:noProof/>
        </w:rPr>
      </w:pPr>
      <w:bookmarkStart w:id="1566" w:name="_Toc60777457"/>
      <w:bookmarkStart w:id="1567" w:name="_Toc146781559"/>
      <w:r w:rsidRPr="00FA0D37">
        <w:t>–</w:t>
      </w:r>
      <w:r w:rsidRPr="00FA0D37">
        <w:tab/>
      </w:r>
      <w:r w:rsidRPr="00FA0D37">
        <w:rPr>
          <w:i/>
          <w:noProof/>
        </w:rPr>
        <w:t>IMS-Parameters</w:t>
      </w:r>
      <w:bookmarkEnd w:id="1566"/>
      <w:bookmarkEnd w:id="1567"/>
    </w:p>
    <w:p w14:paraId="6DE25EA6" w14:textId="4A25729A" w:rsidR="00394471" w:rsidRPr="00FA0D37" w:rsidRDefault="00394471" w:rsidP="00394471">
      <w:r w:rsidRPr="00FA0D37">
        <w:t xml:space="preserve">The IE </w:t>
      </w:r>
      <w:r w:rsidRPr="00FA0D37">
        <w:rPr>
          <w:i/>
        </w:rPr>
        <w:t>IMS-Parameters</w:t>
      </w:r>
      <w:r w:rsidRPr="00FA0D37">
        <w:t xml:space="preserve"> is used to convey capabilities related to IMS.</w:t>
      </w:r>
    </w:p>
    <w:p w14:paraId="20560A08" w14:textId="77777777" w:rsidR="00394471" w:rsidRPr="00FA0D37" w:rsidRDefault="00394471" w:rsidP="00394471">
      <w:pPr>
        <w:pStyle w:val="TH"/>
      </w:pPr>
      <w:r w:rsidRPr="00FA0D37">
        <w:rPr>
          <w:i/>
        </w:rPr>
        <w:t>IMS-Parameters</w:t>
      </w:r>
      <w:r w:rsidRPr="00FA0D37">
        <w:t xml:space="preserve"> information element</w:t>
      </w:r>
    </w:p>
    <w:p w14:paraId="1FCB94F9" w14:textId="77777777" w:rsidR="00394471" w:rsidRPr="00FA0D37" w:rsidRDefault="00394471" w:rsidP="00FA0D37">
      <w:pPr>
        <w:pStyle w:val="PL"/>
        <w:rPr>
          <w:color w:val="808080"/>
        </w:rPr>
      </w:pPr>
      <w:r w:rsidRPr="00FA0D37">
        <w:rPr>
          <w:color w:val="808080"/>
        </w:rPr>
        <w:t>-- ASN1START</w:t>
      </w:r>
    </w:p>
    <w:p w14:paraId="601ED38C" w14:textId="77777777" w:rsidR="00394471" w:rsidRPr="00FA0D37" w:rsidRDefault="00394471" w:rsidP="00FA0D37">
      <w:pPr>
        <w:pStyle w:val="PL"/>
        <w:rPr>
          <w:color w:val="808080"/>
        </w:rPr>
      </w:pPr>
      <w:r w:rsidRPr="00FA0D37">
        <w:rPr>
          <w:color w:val="808080"/>
        </w:rPr>
        <w:t>-- TAG-IMS-PARAMETERS-START</w:t>
      </w:r>
    </w:p>
    <w:p w14:paraId="19A67974" w14:textId="77777777" w:rsidR="00394471" w:rsidRPr="00FA0D37" w:rsidRDefault="00394471" w:rsidP="00FA0D37">
      <w:pPr>
        <w:pStyle w:val="PL"/>
      </w:pPr>
    </w:p>
    <w:p w14:paraId="228E1795" w14:textId="77777777" w:rsidR="00394471" w:rsidRPr="00FA0D37" w:rsidRDefault="00394471" w:rsidP="00FA0D37">
      <w:pPr>
        <w:pStyle w:val="PL"/>
      </w:pPr>
      <w:r w:rsidRPr="00FA0D37">
        <w:t xml:space="preserve">IMS-Parameters ::=         </w:t>
      </w:r>
      <w:r w:rsidRPr="00FA0D37">
        <w:rPr>
          <w:color w:val="993366"/>
        </w:rPr>
        <w:t>SEQUENCE</w:t>
      </w:r>
      <w:r w:rsidRPr="00FA0D37">
        <w:t xml:space="preserve"> {</w:t>
      </w:r>
    </w:p>
    <w:p w14:paraId="402B6AB2" w14:textId="77777777" w:rsidR="00394471" w:rsidRPr="00FA0D37" w:rsidRDefault="00394471" w:rsidP="00FA0D37">
      <w:pPr>
        <w:pStyle w:val="PL"/>
      </w:pPr>
      <w:r w:rsidRPr="00FA0D37">
        <w:t xml:space="preserve">    ims-ParametersCommon       IMS-ParametersCommon                  </w:t>
      </w:r>
      <w:r w:rsidRPr="00FA0D37">
        <w:rPr>
          <w:color w:val="993366"/>
        </w:rPr>
        <w:t>OPTIONAL</w:t>
      </w:r>
      <w:r w:rsidRPr="00FA0D37">
        <w:t>,</w:t>
      </w:r>
    </w:p>
    <w:p w14:paraId="5CA91803" w14:textId="77777777" w:rsidR="00394471" w:rsidRPr="00FA0D37" w:rsidRDefault="00394471" w:rsidP="00FA0D37">
      <w:pPr>
        <w:pStyle w:val="PL"/>
      </w:pPr>
      <w:r w:rsidRPr="00FA0D37">
        <w:t xml:space="preserve">    ims-ParametersFRX-Diff     IMS-ParametersFRX-Diff                </w:t>
      </w:r>
      <w:r w:rsidRPr="00FA0D37">
        <w:rPr>
          <w:color w:val="993366"/>
        </w:rPr>
        <w:t>OPTIONAL</w:t>
      </w:r>
      <w:r w:rsidRPr="00FA0D37">
        <w:t>,</w:t>
      </w:r>
    </w:p>
    <w:p w14:paraId="5E0B13C3" w14:textId="77777777" w:rsidR="00394471" w:rsidRPr="00FA0D37" w:rsidRDefault="00394471" w:rsidP="00FA0D37">
      <w:pPr>
        <w:pStyle w:val="PL"/>
      </w:pPr>
      <w:r w:rsidRPr="00FA0D37">
        <w:t xml:space="preserve">    ...</w:t>
      </w:r>
    </w:p>
    <w:p w14:paraId="6A021686" w14:textId="77777777" w:rsidR="00394471" w:rsidRPr="00FA0D37" w:rsidRDefault="00394471" w:rsidP="00FA0D37">
      <w:pPr>
        <w:pStyle w:val="PL"/>
      </w:pPr>
      <w:r w:rsidRPr="00FA0D37">
        <w:t>}</w:t>
      </w:r>
    </w:p>
    <w:p w14:paraId="0C2B1C77" w14:textId="77777777" w:rsidR="002E309C" w:rsidRPr="00FA0D37" w:rsidRDefault="002E309C" w:rsidP="00FA0D37">
      <w:pPr>
        <w:pStyle w:val="PL"/>
      </w:pPr>
    </w:p>
    <w:p w14:paraId="6CEFA80A" w14:textId="2556013C" w:rsidR="002E309C" w:rsidRPr="00FA0D37" w:rsidRDefault="002E309C" w:rsidP="00FA0D37">
      <w:pPr>
        <w:pStyle w:val="PL"/>
      </w:pPr>
      <w:r w:rsidRPr="00FA0D37">
        <w:t xml:space="preserve">IMS-Parameters-v1700 ::=   </w:t>
      </w:r>
      <w:r w:rsidRPr="00FA0D37">
        <w:rPr>
          <w:color w:val="993366"/>
        </w:rPr>
        <w:t>SEQUENCE</w:t>
      </w:r>
      <w:r w:rsidRPr="00FA0D37">
        <w:t xml:space="preserve"> {</w:t>
      </w:r>
    </w:p>
    <w:p w14:paraId="410E8B48" w14:textId="04463DD9" w:rsidR="002E309C" w:rsidRPr="00FA0D37" w:rsidRDefault="002E309C" w:rsidP="00FA0D37">
      <w:pPr>
        <w:pStyle w:val="PL"/>
      </w:pPr>
      <w:r w:rsidRPr="00FA0D37">
        <w:t xml:space="preserve">    ims-ParametersFR2-2-r17    IMS-ParametersFR2-2-r17               </w:t>
      </w:r>
      <w:r w:rsidRPr="00FA0D37">
        <w:rPr>
          <w:color w:val="993366"/>
        </w:rPr>
        <w:t>OPTIONAL</w:t>
      </w:r>
    </w:p>
    <w:p w14:paraId="6D270817" w14:textId="0EA9F86D" w:rsidR="00394471" w:rsidRPr="00FA0D37" w:rsidRDefault="002E309C" w:rsidP="00FA0D37">
      <w:pPr>
        <w:pStyle w:val="PL"/>
      </w:pPr>
      <w:r w:rsidRPr="00FA0D37">
        <w:t>}</w:t>
      </w:r>
    </w:p>
    <w:p w14:paraId="29AC1683" w14:textId="77777777" w:rsidR="002E309C" w:rsidRPr="00FA0D37" w:rsidRDefault="002E309C" w:rsidP="00FA0D37">
      <w:pPr>
        <w:pStyle w:val="PL"/>
      </w:pPr>
    </w:p>
    <w:p w14:paraId="0D6E4C66" w14:textId="77777777" w:rsidR="00394471" w:rsidRPr="00FA0D37" w:rsidRDefault="00394471" w:rsidP="00FA0D37">
      <w:pPr>
        <w:pStyle w:val="PL"/>
      </w:pPr>
      <w:r w:rsidRPr="00FA0D37">
        <w:rPr>
          <w:rFonts w:eastAsia="Yu Mincho"/>
        </w:rPr>
        <w:t xml:space="preserve">IMS-ParametersCommon ::=   </w:t>
      </w:r>
      <w:r w:rsidRPr="00FA0D37">
        <w:rPr>
          <w:color w:val="993366"/>
        </w:rPr>
        <w:t>SEQUENCE</w:t>
      </w:r>
      <w:r w:rsidRPr="00FA0D37">
        <w:t xml:space="preserve"> {</w:t>
      </w:r>
    </w:p>
    <w:p w14:paraId="5B75AA36" w14:textId="77777777" w:rsidR="00394471" w:rsidRPr="00FA0D37" w:rsidRDefault="00394471" w:rsidP="00FA0D37">
      <w:pPr>
        <w:pStyle w:val="PL"/>
      </w:pPr>
      <w:r w:rsidRPr="00FA0D37">
        <w:t xml:space="preserve">    voiceOverEUTRA-5GC                  </w:t>
      </w:r>
      <w:r w:rsidRPr="00FA0D37">
        <w:rPr>
          <w:color w:val="993366"/>
        </w:rPr>
        <w:t>ENUMERATED</w:t>
      </w:r>
      <w:r w:rsidRPr="00FA0D37">
        <w:t xml:space="preserve"> {supported}                </w:t>
      </w:r>
      <w:r w:rsidRPr="00FA0D37">
        <w:rPr>
          <w:color w:val="993366"/>
        </w:rPr>
        <w:t>OPTIONAL</w:t>
      </w:r>
      <w:r w:rsidRPr="00FA0D37">
        <w:t>,</w:t>
      </w:r>
    </w:p>
    <w:p w14:paraId="4C0FCC8F" w14:textId="77777777" w:rsidR="00394471" w:rsidRPr="00FA0D37" w:rsidRDefault="00394471" w:rsidP="00FA0D37">
      <w:pPr>
        <w:pStyle w:val="PL"/>
        <w:rPr>
          <w:rFonts w:eastAsia="Yu Mincho"/>
        </w:rPr>
      </w:pPr>
      <w:r w:rsidRPr="00FA0D37">
        <w:rPr>
          <w:rFonts w:eastAsia="Yu Mincho"/>
        </w:rPr>
        <w:t xml:space="preserve">    ...,</w:t>
      </w:r>
    </w:p>
    <w:p w14:paraId="152755DB" w14:textId="77777777" w:rsidR="00394471" w:rsidRPr="00FA0D37" w:rsidRDefault="00394471" w:rsidP="00FA0D37">
      <w:pPr>
        <w:pStyle w:val="PL"/>
        <w:rPr>
          <w:rFonts w:eastAsia="Yu Mincho"/>
        </w:rPr>
      </w:pPr>
      <w:r w:rsidRPr="00FA0D37">
        <w:rPr>
          <w:rFonts w:eastAsia="Yu Mincho"/>
        </w:rPr>
        <w:t xml:space="preserve">    [[</w:t>
      </w:r>
    </w:p>
    <w:p w14:paraId="2115661D" w14:textId="77777777" w:rsidR="00394471" w:rsidRPr="00FA0D37" w:rsidRDefault="00394471" w:rsidP="00FA0D37">
      <w:pPr>
        <w:pStyle w:val="PL"/>
      </w:pPr>
      <w:r w:rsidRPr="00FA0D37">
        <w:lastRenderedPageBreak/>
        <w:t xml:space="preserve">    voiceOverSCG-BearerEUTRA-5GC        </w:t>
      </w:r>
      <w:r w:rsidRPr="00FA0D37">
        <w:rPr>
          <w:color w:val="993366"/>
        </w:rPr>
        <w:t>ENUMERATED</w:t>
      </w:r>
      <w:r w:rsidRPr="00FA0D37">
        <w:t xml:space="preserve"> {supported}                </w:t>
      </w:r>
      <w:r w:rsidRPr="00FA0D37">
        <w:rPr>
          <w:color w:val="993366"/>
        </w:rPr>
        <w:t>OPTIONAL</w:t>
      </w:r>
    </w:p>
    <w:p w14:paraId="4CFB18D0" w14:textId="77777777" w:rsidR="00394471" w:rsidRPr="00FA0D37" w:rsidRDefault="00394471" w:rsidP="00FA0D37">
      <w:pPr>
        <w:pStyle w:val="PL"/>
        <w:rPr>
          <w:rFonts w:eastAsia="Yu Mincho"/>
        </w:rPr>
      </w:pPr>
      <w:r w:rsidRPr="00FA0D37">
        <w:rPr>
          <w:rFonts w:eastAsia="Yu Mincho"/>
        </w:rPr>
        <w:t xml:space="preserve">    ]],</w:t>
      </w:r>
    </w:p>
    <w:p w14:paraId="57F3B8D4" w14:textId="77777777" w:rsidR="00394471" w:rsidRPr="00FA0D37" w:rsidRDefault="00394471" w:rsidP="00FA0D37">
      <w:pPr>
        <w:pStyle w:val="PL"/>
        <w:rPr>
          <w:rFonts w:eastAsia="Yu Mincho"/>
        </w:rPr>
      </w:pPr>
      <w:r w:rsidRPr="00FA0D37">
        <w:rPr>
          <w:rFonts w:eastAsia="Yu Mincho"/>
        </w:rPr>
        <w:t xml:space="preserve">    [[</w:t>
      </w:r>
    </w:p>
    <w:p w14:paraId="3C0691FB" w14:textId="5FB46E03" w:rsidR="00394471" w:rsidRPr="00FA0D37" w:rsidRDefault="00394471" w:rsidP="00FA0D37">
      <w:pPr>
        <w:pStyle w:val="PL"/>
        <w:rPr>
          <w:rFonts w:eastAsia="Yu Mincho"/>
        </w:rPr>
      </w:pPr>
      <w:r w:rsidRPr="00FA0D37">
        <w:rPr>
          <w:rFonts w:eastAsia="Yu Mincho"/>
        </w:rPr>
        <w:t xml:space="preserve">    voiceFallbackIndicationEPS-r16       </w:t>
      </w:r>
      <w:r w:rsidRPr="00FA0D37">
        <w:rPr>
          <w:rFonts w:eastAsia="Yu Mincho"/>
          <w:color w:val="993366"/>
        </w:rPr>
        <w:t>ENUMERATED</w:t>
      </w:r>
      <w:r w:rsidRPr="00FA0D37">
        <w:rPr>
          <w:rFonts w:eastAsia="Yu Mincho"/>
        </w:rPr>
        <w:t xml:space="preserve"> {supported}                   </w:t>
      </w:r>
      <w:r w:rsidRPr="00FA0D37">
        <w:rPr>
          <w:rFonts w:eastAsia="Yu Mincho"/>
          <w:color w:val="993366"/>
        </w:rPr>
        <w:t>OPTIONAL</w:t>
      </w:r>
    </w:p>
    <w:p w14:paraId="631B126A" w14:textId="77777777" w:rsidR="00394471" w:rsidRPr="00FA0D37" w:rsidRDefault="00394471" w:rsidP="00FA0D37">
      <w:pPr>
        <w:pStyle w:val="PL"/>
        <w:rPr>
          <w:rFonts w:eastAsia="Yu Mincho"/>
        </w:rPr>
      </w:pPr>
      <w:r w:rsidRPr="00FA0D37">
        <w:rPr>
          <w:rFonts w:eastAsia="Yu Mincho"/>
        </w:rPr>
        <w:t xml:space="preserve">    ]]</w:t>
      </w:r>
    </w:p>
    <w:p w14:paraId="209E4A3F" w14:textId="77777777" w:rsidR="00394471" w:rsidRPr="00FA0D37" w:rsidRDefault="00394471" w:rsidP="00FA0D37">
      <w:pPr>
        <w:pStyle w:val="PL"/>
        <w:rPr>
          <w:rFonts w:eastAsia="Yu Mincho"/>
        </w:rPr>
      </w:pPr>
      <w:r w:rsidRPr="00FA0D37">
        <w:rPr>
          <w:rFonts w:eastAsia="Yu Mincho"/>
        </w:rPr>
        <w:t>}</w:t>
      </w:r>
    </w:p>
    <w:p w14:paraId="73930F47" w14:textId="77777777" w:rsidR="00394471" w:rsidRPr="00FA0D37" w:rsidRDefault="00394471" w:rsidP="00FA0D37">
      <w:pPr>
        <w:pStyle w:val="PL"/>
        <w:rPr>
          <w:rFonts w:eastAsia="Yu Mincho"/>
        </w:rPr>
      </w:pPr>
    </w:p>
    <w:p w14:paraId="6BBE0011" w14:textId="77777777" w:rsidR="00394471" w:rsidRPr="00FA0D37" w:rsidRDefault="00394471" w:rsidP="00FA0D37">
      <w:pPr>
        <w:pStyle w:val="PL"/>
      </w:pPr>
      <w:r w:rsidRPr="00FA0D37">
        <w:rPr>
          <w:rFonts w:eastAsia="Yu Mincho"/>
        </w:rPr>
        <w:t xml:space="preserve">IMS-ParametersFRX-Diff ::= </w:t>
      </w:r>
      <w:r w:rsidRPr="00FA0D37">
        <w:rPr>
          <w:color w:val="993366"/>
        </w:rPr>
        <w:t>SEQUENCE</w:t>
      </w:r>
      <w:r w:rsidRPr="00FA0D37">
        <w:t xml:space="preserve"> {</w:t>
      </w:r>
    </w:p>
    <w:p w14:paraId="73156DF4" w14:textId="77777777" w:rsidR="00394471" w:rsidRPr="00FA0D37" w:rsidRDefault="00394471" w:rsidP="00FA0D37">
      <w:pPr>
        <w:pStyle w:val="PL"/>
      </w:pPr>
      <w:r w:rsidRPr="00FA0D37">
        <w:t xml:space="preserve">    voiceOverNR                </w:t>
      </w:r>
      <w:r w:rsidRPr="00FA0D37">
        <w:rPr>
          <w:color w:val="993366"/>
        </w:rPr>
        <w:t>ENUMERATED</w:t>
      </w:r>
      <w:r w:rsidRPr="00FA0D37">
        <w:t xml:space="preserve"> {supported}                </w:t>
      </w:r>
      <w:r w:rsidRPr="00FA0D37">
        <w:rPr>
          <w:color w:val="993366"/>
        </w:rPr>
        <w:t>OPTIONAL</w:t>
      </w:r>
      <w:r w:rsidRPr="00FA0D37">
        <w:t>,</w:t>
      </w:r>
    </w:p>
    <w:p w14:paraId="18282B7E" w14:textId="77777777" w:rsidR="00394471" w:rsidRPr="00FA0D37" w:rsidRDefault="00394471" w:rsidP="00FA0D37">
      <w:pPr>
        <w:pStyle w:val="PL"/>
      </w:pPr>
      <w:r w:rsidRPr="00FA0D37">
        <w:t xml:space="preserve">    ...</w:t>
      </w:r>
    </w:p>
    <w:p w14:paraId="5819525F" w14:textId="77777777" w:rsidR="00394471" w:rsidRPr="00FA0D37" w:rsidRDefault="00394471" w:rsidP="00FA0D37">
      <w:pPr>
        <w:pStyle w:val="PL"/>
      </w:pPr>
      <w:r w:rsidRPr="00FA0D37">
        <w:t>}</w:t>
      </w:r>
    </w:p>
    <w:p w14:paraId="2DF78FF4" w14:textId="77777777" w:rsidR="002E309C" w:rsidRPr="00FA0D37" w:rsidRDefault="002E309C" w:rsidP="00FA0D37">
      <w:pPr>
        <w:pStyle w:val="PL"/>
      </w:pPr>
    </w:p>
    <w:p w14:paraId="5E1D30BA" w14:textId="77777777" w:rsidR="002E309C" w:rsidRPr="00FA0D37" w:rsidRDefault="002E309C" w:rsidP="00FA0D37">
      <w:pPr>
        <w:pStyle w:val="PL"/>
      </w:pPr>
      <w:r w:rsidRPr="00FA0D37">
        <w:t xml:space="preserve">IMS-ParametersFR2-2-r17 ::= </w:t>
      </w:r>
      <w:r w:rsidRPr="00FA0D37">
        <w:rPr>
          <w:color w:val="993366"/>
        </w:rPr>
        <w:t>SEQUENCE</w:t>
      </w:r>
      <w:r w:rsidRPr="00FA0D37">
        <w:t xml:space="preserve"> {</w:t>
      </w:r>
    </w:p>
    <w:p w14:paraId="20E32DAF" w14:textId="329DCA89" w:rsidR="002E309C" w:rsidRPr="00FA0D37" w:rsidRDefault="002E309C" w:rsidP="00FA0D37">
      <w:pPr>
        <w:pStyle w:val="PL"/>
      </w:pPr>
      <w:r w:rsidRPr="00FA0D37">
        <w:t xml:space="preserve">    voiceOverNR-r17             </w:t>
      </w:r>
      <w:r w:rsidRPr="00FA0D37">
        <w:rPr>
          <w:color w:val="993366"/>
        </w:rPr>
        <w:t>ENUMERATED</w:t>
      </w:r>
      <w:r w:rsidRPr="00FA0D37">
        <w:t xml:space="preserve"> {supported}               </w:t>
      </w:r>
      <w:r w:rsidRPr="00FA0D37">
        <w:rPr>
          <w:color w:val="993366"/>
        </w:rPr>
        <w:t>OPTIONAL</w:t>
      </w:r>
      <w:r w:rsidRPr="00FA0D37">
        <w:t>,</w:t>
      </w:r>
    </w:p>
    <w:p w14:paraId="465C4B72" w14:textId="5E39539C" w:rsidR="002E309C" w:rsidRPr="00FA0D37" w:rsidRDefault="002E309C" w:rsidP="00FA0D37">
      <w:pPr>
        <w:pStyle w:val="PL"/>
      </w:pPr>
      <w:r w:rsidRPr="00FA0D37">
        <w:t xml:space="preserve">    ...</w:t>
      </w:r>
    </w:p>
    <w:p w14:paraId="5E79D8EE" w14:textId="7C4B77F3" w:rsidR="00394471" w:rsidRPr="00FA0D37" w:rsidRDefault="002E309C" w:rsidP="00FA0D37">
      <w:pPr>
        <w:pStyle w:val="PL"/>
      </w:pPr>
      <w:r w:rsidRPr="00FA0D37">
        <w:t>}</w:t>
      </w:r>
    </w:p>
    <w:p w14:paraId="764594FE" w14:textId="77777777" w:rsidR="002E309C" w:rsidRPr="00FA0D37" w:rsidRDefault="002E309C" w:rsidP="00FA0D37">
      <w:pPr>
        <w:pStyle w:val="PL"/>
      </w:pPr>
    </w:p>
    <w:p w14:paraId="03841B2D" w14:textId="77777777" w:rsidR="00394471" w:rsidRPr="00FA0D37" w:rsidRDefault="00394471" w:rsidP="00FA0D37">
      <w:pPr>
        <w:pStyle w:val="PL"/>
        <w:rPr>
          <w:color w:val="808080"/>
        </w:rPr>
      </w:pPr>
      <w:r w:rsidRPr="00FA0D37">
        <w:rPr>
          <w:color w:val="808080"/>
        </w:rPr>
        <w:t>-- TAG-IMS-PARAMETERS-STOP</w:t>
      </w:r>
    </w:p>
    <w:p w14:paraId="7E13325C" w14:textId="77777777" w:rsidR="00394471" w:rsidRPr="00FA0D37" w:rsidRDefault="00394471" w:rsidP="00FA0D37">
      <w:pPr>
        <w:pStyle w:val="PL"/>
        <w:rPr>
          <w:color w:val="808080"/>
        </w:rPr>
      </w:pPr>
      <w:r w:rsidRPr="00FA0D37">
        <w:rPr>
          <w:color w:val="808080"/>
        </w:rPr>
        <w:t>-- ASN1STOP</w:t>
      </w:r>
    </w:p>
    <w:p w14:paraId="417FE949" w14:textId="77777777" w:rsidR="00394471" w:rsidRPr="00FA0D37" w:rsidRDefault="00394471" w:rsidP="00394471"/>
    <w:p w14:paraId="632564B8" w14:textId="77777777" w:rsidR="00394471" w:rsidRPr="00FA0D37" w:rsidRDefault="00394471" w:rsidP="00394471">
      <w:pPr>
        <w:pStyle w:val="4"/>
      </w:pPr>
      <w:bookmarkStart w:id="1568" w:name="_Toc60777458"/>
      <w:bookmarkStart w:id="1569" w:name="_Toc146781560"/>
      <w:r w:rsidRPr="00FA0D37">
        <w:t>–</w:t>
      </w:r>
      <w:r w:rsidRPr="00FA0D37">
        <w:tab/>
      </w:r>
      <w:r w:rsidRPr="00FA0D37">
        <w:rPr>
          <w:i/>
        </w:rPr>
        <w:t>InterRAT-Parameters</w:t>
      </w:r>
      <w:bookmarkEnd w:id="1568"/>
      <w:bookmarkEnd w:id="1569"/>
    </w:p>
    <w:p w14:paraId="2C95C076" w14:textId="77777777" w:rsidR="00394471" w:rsidRPr="00FA0D37" w:rsidRDefault="00394471" w:rsidP="00394471">
      <w:r w:rsidRPr="00FA0D37">
        <w:t xml:space="preserve">The IE </w:t>
      </w:r>
      <w:r w:rsidRPr="00FA0D37">
        <w:rPr>
          <w:i/>
        </w:rPr>
        <w:t>InterRAT-Parameters</w:t>
      </w:r>
      <w:r w:rsidRPr="00FA0D37">
        <w:t xml:space="preserve"> is used convey UE capabilities related to the other RATs.</w:t>
      </w:r>
    </w:p>
    <w:p w14:paraId="08052BA3" w14:textId="77777777" w:rsidR="00394471" w:rsidRPr="00FA0D37" w:rsidRDefault="00394471" w:rsidP="00394471">
      <w:pPr>
        <w:pStyle w:val="TH"/>
      </w:pPr>
      <w:r w:rsidRPr="00FA0D37">
        <w:rPr>
          <w:i/>
        </w:rPr>
        <w:t>InterRAT-Parameters</w:t>
      </w:r>
      <w:r w:rsidRPr="00FA0D37">
        <w:t xml:space="preserve"> information element</w:t>
      </w:r>
    </w:p>
    <w:p w14:paraId="4967CB9B" w14:textId="77777777" w:rsidR="00394471" w:rsidRPr="00FA0D37" w:rsidRDefault="00394471" w:rsidP="00FA0D37">
      <w:pPr>
        <w:pStyle w:val="PL"/>
        <w:rPr>
          <w:color w:val="808080"/>
        </w:rPr>
      </w:pPr>
      <w:r w:rsidRPr="00FA0D37">
        <w:rPr>
          <w:color w:val="808080"/>
        </w:rPr>
        <w:t>-- ASN1START</w:t>
      </w:r>
    </w:p>
    <w:p w14:paraId="2DFAC669" w14:textId="77777777" w:rsidR="00394471" w:rsidRPr="00FA0D37" w:rsidRDefault="00394471" w:rsidP="00FA0D37">
      <w:pPr>
        <w:pStyle w:val="PL"/>
        <w:rPr>
          <w:color w:val="808080"/>
        </w:rPr>
      </w:pPr>
      <w:r w:rsidRPr="00FA0D37">
        <w:rPr>
          <w:color w:val="808080"/>
        </w:rPr>
        <w:t>-- TAG-INTERRAT-PARAMETERS-START</w:t>
      </w:r>
    </w:p>
    <w:p w14:paraId="089A8077" w14:textId="77777777" w:rsidR="00394471" w:rsidRPr="00FA0D37" w:rsidRDefault="00394471" w:rsidP="00FA0D37">
      <w:pPr>
        <w:pStyle w:val="PL"/>
      </w:pPr>
    </w:p>
    <w:p w14:paraId="2A3F124C" w14:textId="77777777" w:rsidR="00394471" w:rsidRPr="00FA0D37" w:rsidRDefault="00394471" w:rsidP="00FA0D37">
      <w:pPr>
        <w:pStyle w:val="PL"/>
      </w:pPr>
      <w:r w:rsidRPr="00FA0D37">
        <w:t xml:space="preserve">InterRAT-Parameters ::=             </w:t>
      </w:r>
      <w:r w:rsidRPr="00FA0D37">
        <w:rPr>
          <w:color w:val="993366"/>
        </w:rPr>
        <w:t>SEQUENCE</w:t>
      </w:r>
      <w:r w:rsidRPr="00FA0D37">
        <w:t xml:space="preserve"> {</w:t>
      </w:r>
    </w:p>
    <w:p w14:paraId="50ADC8DF" w14:textId="77777777" w:rsidR="00394471" w:rsidRPr="00FA0D37" w:rsidRDefault="00394471" w:rsidP="00FA0D37">
      <w:pPr>
        <w:pStyle w:val="PL"/>
      </w:pPr>
      <w:r w:rsidRPr="00FA0D37">
        <w:t xml:space="preserve">    eutra                               EUTRA-Parameters                </w:t>
      </w:r>
      <w:r w:rsidRPr="00FA0D37">
        <w:rPr>
          <w:color w:val="993366"/>
        </w:rPr>
        <w:t>OPTIONAL</w:t>
      </w:r>
      <w:r w:rsidRPr="00FA0D37">
        <w:t>,</w:t>
      </w:r>
    </w:p>
    <w:p w14:paraId="35FFF5FE" w14:textId="77777777" w:rsidR="00394471" w:rsidRPr="00FA0D37" w:rsidRDefault="00394471" w:rsidP="00FA0D37">
      <w:pPr>
        <w:pStyle w:val="PL"/>
      </w:pPr>
      <w:r w:rsidRPr="00FA0D37">
        <w:t xml:space="preserve">    ...,</w:t>
      </w:r>
    </w:p>
    <w:p w14:paraId="378CE917" w14:textId="77777777" w:rsidR="00394471" w:rsidRPr="00FA0D37" w:rsidRDefault="00394471" w:rsidP="00FA0D37">
      <w:pPr>
        <w:pStyle w:val="PL"/>
      </w:pPr>
      <w:r w:rsidRPr="00FA0D37">
        <w:t xml:space="preserve">    [[</w:t>
      </w:r>
    </w:p>
    <w:p w14:paraId="33D6ECB3" w14:textId="77777777" w:rsidR="00394471" w:rsidRPr="00FA0D37" w:rsidRDefault="00394471" w:rsidP="00FA0D37">
      <w:pPr>
        <w:pStyle w:val="PL"/>
      </w:pPr>
      <w:r w:rsidRPr="00FA0D37">
        <w:t xml:space="preserve">    utra-FDD-r16                        UTRA-FDD-Parameters-r16         </w:t>
      </w:r>
      <w:r w:rsidRPr="00FA0D37">
        <w:rPr>
          <w:color w:val="993366"/>
        </w:rPr>
        <w:t>OPTIONAL</w:t>
      </w:r>
    </w:p>
    <w:p w14:paraId="57436498" w14:textId="77777777" w:rsidR="00394471" w:rsidRPr="00FA0D37" w:rsidRDefault="00394471" w:rsidP="00FA0D37">
      <w:pPr>
        <w:pStyle w:val="PL"/>
      </w:pPr>
      <w:r w:rsidRPr="00FA0D37">
        <w:t xml:space="preserve">    ]]</w:t>
      </w:r>
    </w:p>
    <w:p w14:paraId="4F7705B1" w14:textId="77777777" w:rsidR="00394471" w:rsidRPr="00FA0D37" w:rsidRDefault="00394471" w:rsidP="00FA0D37">
      <w:pPr>
        <w:pStyle w:val="PL"/>
      </w:pPr>
    </w:p>
    <w:p w14:paraId="2422356A" w14:textId="77777777" w:rsidR="00394471" w:rsidRPr="00FA0D37" w:rsidRDefault="00394471" w:rsidP="00FA0D37">
      <w:pPr>
        <w:pStyle w:val="PL"/>
      </w:pPr>
      <w:r w:rsidRPr="00FA0D37">
        <w:t>}</w:t>
      </w:r>
    </w:p>
    <w:p w14:paraId="4F67DC61" w14:textId="77777777" w:rsidR="00394471" w:rsidRPr="00FA0D37" w:rsidRDefault="00394471" w:rsidP="00FA0D37">
      <w:pPr>
        <w:pStyle w:val="PL"/>
      </w:pPr>
    </w:p>
    <w:p w14:paraId="5E7E49E8" w14:textId="77777777" w:rsidR="00394471" w:rsidRPr="00FA0D37" w:rsidRDefault="00394471" w:rsidP="00FA0D37">
      <w:pPr>
        <w:pStyle w:val="PL"/>
      </w:pPr>
      <w:r w:rsidRPr="00FA0D37">
        <w:t xml:space="preserve">EUTRA-Parameters ::=                </w:t>
      </w:r>
      <w:r w:rsidRPr="00FA0D37">
        <w:rPr>
          <w:color w:val="993366"/>
        </w:rPr>
        <w:t>SEQUENCE</w:t>
      </w:r>
      <w:r w:rsidRPr="00FA0D37">
        <w:t xml:space="preserve"> {</w:t>
      </w:r>
    </w:p>
    <w:p w14:paraId="2DE62CDD" w14:textId="77777777" w:rsidR="00394471" w:rsidRPr="00FA0D37" w:rsidRDefault="00394471" w:rsidP="00FA0D37">
      <w:pPr>
        <w:pStyle w:val="PL"/>
      </w:pPr>
      <w:r w:rsidRPr="00FA0D37">
        <w:t xml:space="preserve">    supportedBandListEUTRA          </w:t>
      </w:r>
      <w:r w:rsidRPr="00FA0D37">
        <w:rPr>
          <w:color w:val="993366"/>
        </w:rPr>
        <w:t>SEQUENCE</w:t>
      </w:r>
      <w:r w:rsidRPr="00FA0D37">
        <w:t xml:space="preserve"> (</w:t>
      </w:r>
      <w:r w:rsidRPr="00FA0D37">
        <w:rPr>
          <w:color w:val="993366"/>
        </w:rPr>
        <w:t>SIZE</w:t>
      </w:r>
      <w:r w:rsidRPr="00FA0D37">
        <w:t xml:space="preserve"> (1..maxBandsEUTRA))</w:t>
      </w:r>
      <w:r w:rsidRPr="00FA0D37">
        <w:rPr>
          <w:color w:val="993366"/>
        </w:rPr>
        <w:t xml:space="preserve"> OF</w:t>
      </w:r>
      <w:r w:rsidRPr="00FA0D37">
        <w:t xml:space="preserve"> FreqBandIndicatorEUTRA,</w:t>
      </w:r>
    </w:p>
    <w:p w14:paraId="7253DD1E" w14:textId="77777777" w:rsidR="00394471" w:rsidRPr="00FA0D37" w:rsidRDefault="00394471" w:rsidP="00FA0D37">
      <w:pPr>
        <w:pStyle w:val="PL"/>
      </w:pPr>
      <w:r w:rsidRPr="00FA0D37">
        <w:t xml:space="preserve">    eutra-ParametersCommon              EUTRA-ParametersCommon                                      </w:t>
      </w:r>
      <w:r w:rsidRPr="00FA0D37">
        <w:rPr>
          <w:color w:val="993366"/>
        </w:rPr>
        <w:t>OPTIONAL</w:t>
      </w:r>
      <w:r w:rsidRPr="00FA0D37">
        <w:t>,</w:t>
      </w:r>
    </w:p>
    <w:p w14:paraId="1656C901" w14:textId="77777777" w:rsidR="00394471" w:rsidRPr="00FA0D37" w:rsidRDefault="00394471" w:rsidP="00FA0D37">
      <w:pPr>
        <w:pStyle w:val="PL"/>
      </w:pPr>
      <w:r w:rsidRPr="00FA0D37">
        <w:t xml:space="preserve">    eutra-ParametersXDD-Diff            EUTRA-ParametersXDD-Diff                                    </w:t>
      </w:r>
      <w:r w:rsidRPr="00FA0D37">
        <w:rPr>
          <w:color w:val="993366"/>
        </w:rPr>
        <w:t>OPTIONAL</w:t>
      </w:r>
      <w:r w:rsidRPr="00FA0D37">
        <w:t>,</w:t>
      </w:r>
    </w:p>
    <w:p w14:paraId="1A69DDA5" w14:textId="77777777" w:rsidR="00394471" w:rsidRPr="00FA0D37" w:rsidRDefault="00394471" w:rsidP="00FA0D37">
      <w:pPr>
        <w:pStyle w:val="PL"/>
      </w:pPr>
      <w:r w:rsidRPr="00FA0D37">
        <w:t xml:space="preserve">    ...</w:t>
      </w:r>
    </w:p>
    <w:p w14:paraId="6A68B1D8" w14:textId="77777777" w:rsidR="00394471" w:rsidRPr="00FA0D37" w:rsidRDefault="00394471" w:rsidP="00FA0D37">
      <w:pPr>
        <w:pStyle w:val="PL"/>
      </w:pPr>
      <w:r w:rsidRPr="00FA0D37">
        <w:t>}</w:t>
      </w:r>
    </w:p>
    <w:p w14:paraId="4D7BA06E" w14:textId="77777777" w:rsidR="00394471" w:rsidRPr="00FA0D37" w:rsidRDefault="00394471" w:rsidP="00FA0D37">
      <w:pPr>
        <w:pStyle w:val="PL"/>
      </w:pPr>
    </w:p>
    <w:p w14:paraId="1AC68A8F" w14:textId="77777777" w:rsidR="00394471" w:rsidRPr="00FA0D37" w:rsidRDefault="00394471" w:rsidP="00FA0D37">
      <w:pPr>
        <w:pStyle w:val="PL"/>
      </w:pPr>
      <w:r w:rsidRPr="00FA0D37">
        <w:t xml:space="preserve">EUTRA-ParametersCommon ::=      </w:t>
      </w:r>
      <w:r w:rsidRPr="00FA0D37">
        <w:rPr>
          <w:color w:val="993366"/>
        </w:rPr>
        <w:t>SEQUENCE</w:t>
      </w:r>
      <w:r w:rsidRPr="00FA0D37">
        <w:t xml:space="preserve"> {</w:t>
      </w:r>
    </w:p>
    <w:p w14:paraId="4DBE4752" w14:textId="77777777" w:rsidR="00394471" w:rsidRPr="00FA0D37" w:rsidRDefault="00394471" w:rsidP="00FA0D37">
      <w:pPr>
        <w:pStyle w:val="PL"/>
      </w:pPr>
      <w:r w:rsidRPr="00FA0D37">
        <w:t xml:space="preserve">    mfbi-EUTRA                          </w:t>
      </w:r>
      <w:r w:rsidRPr="00FA0D37">
        <w:rPr>
          <w:color w:val="993366"/>
        </w:rPr>
        <w:t>ENUMERATED</w:t>
      </w:r>
      <w:r w:rsidRPr="00FA0D37">
        <w:t xml:space="preserve"> {supported}          </w:t>
      </w:r>
      <w:r w:rsidRPr="00FA0D37">
        <w:rPr>
          <w:color w:val="993366"/>
        </w:rPr>
        <w:t>OPTIONAL</w:t>
      </w:r>
      <w:r w:rsidRPr="00FA0D37">
        <w:t>,</w:t>
      </w:r>
    </w:p>
    <w:p w14:paraId="17C2F78C" w14:textId="77777777" w:rsidR="00394471" w:rsidRPr="00FA0D37" w:rsidRDefault="00394471" w:rsidP="00FA0D37">
      <w:pPr>
        <w:pStyle w:val="PL"/>
      </w:pPr>
      <w:r w:rsidRPr="00FA0D37">
        <w:t xml:space="preserve">    modifiedMPR-BehaviorEUTRA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(32))          </w:t>
      </w:r>
      <w:r w:rsidRPr="00FA0D37">
        <w:rPr>
          <w:color w:val="993366"/>
        </w:rPr>
        <w:t>OPTIONAL</w:t>
      </w:r>
      <w:r w:rsidRPr="00FA0D37">
        <w:t>,</w:t>
      </w:r>
    </w:p>
    <w:p w14:paraId="2D9F78C6" w14:textId="77777777" w:rsidR="00394471" w:rsidRPr="00FA0D37" w:rsidRDefault="00394471" w:rsidP="00FA0D37">
      <w:pPr>
        <w:pStyle w:val="PL"/>
      </w:pPr>
      <w:r w:rsidRPr="00FA0D37">
        <w:t xml:space="preserve">    multiNS-Pmax-EUTRA                  </w:t>
      </w:r>
      <w:r w:rsidRPr="00FA0D37">
        <w:rPr>
          <w:color w:val="993366"/>
        </w:rPr>
        <w:t>ENUMERATED</w:t>
      </w:r>
      <w:r w:rsidRPr="00FA0D37">
        <w:t xml:space="preserve"> {supported}          </w:t>
      </w:r>
      <w:r w:rsidRPr="00FA0D37">
        <w:rPr>
          <w:color w:val="993366"/>
        </w:rPr>
        <w:t>OPTIONAL</w:t>
      </w:r>
      <w:r w:rsidRPr="00FA0D37">
        <w:t>,</w:t>
      </w:r>
    </w:p>
    <w:p w14:paraId="59E8FF46" w14:textId="77777777" w:rsidR="00394471" w:rsidRPr="00FA0D37" w:rsidRDefault="00394471" w:rsidP="00FA0D37">
      <w:pPr>
        <w:pStyle w:val="PL"/>
      </w:pPr>
      <w:r w:rsidRPr="00FA0D37">
        <w:lastRenderedPageBreak/>
        <w:t xml:space="preserve">    rs-SINR-MeasEUTRA                   </w:t>
      </w:r>
      <w:r w:rsidRPr="00FA0D37">
        <w:rPr>
          <w:color w:val="993366"/>
        </w:rPr>
        <w:t>ENUMERATED</w:t>
      </w:r>
      <w:r w:rsidRPr="00FA0D37">
        <w:t xml:space="preserve"> {supported}          </w:t>
      </w:r>
      <w:r w:rsidRPr="00FA0D37">
        <w:rPr>
          <w:color w:val="993366"/>
        </w:rPr>
        <w:t>OPTIONAL</w:t>
      </w:r>
      <w:r w:rsidRPr="00FA0D37">
        <w:t>,</w:t>
      </w:r>
    </w:p>
    <w:p w14:paraId="5A95F4DF" w14:textId="77777777" w:rsidR="00394471" w:rsidRPr="00FA0D37" w:rsidRDefault="00394471" w:rsidP="00FA0D37">
      <w:pPr>
        <w:pStyle w:val="PL"/>
      </w:pPr>
      <w:r w:rsidRPr="00FA0D37">
        <w:t xml:space="preserve">    ...,</w:t>
      </w:r>
    </w:p>
    <w:p w14:paraId="45E0040D" w14:textId="77777777" w:rsidR="00394471" w:rsidRPr="00FA0D37" w:rsidRDefault="00394471" w:rsidP="00FA0D37">
      <w:pPr>
        <w:pStyle w:val="PL"/>
      </w:pPr>
      <w:r w:rsidRPr="00FA0D37">
        <w:t xml:space="preserve">    [[</w:t>
      </w:r>
    </w:p>
    <w:p w14:paraId="3E0835EC" w14:textId="77777777" w:rsidR="00394471" w:rsidRPr="00FA0D37" w:rsidRDefault="00394471" w:rsidP="00FA0D37">
      <w:pPr>
        <w:pStyle w:val="PL"/>
      </w:pPr>
      <w:r w:rsidRPr="00FA0D37">
        <w:t xml:space="preserve">    ne-DC                               </w:t>
      </w:r>
      <w:r w:rsidRPr="00FA0D37">
        <w:rPr>
          <w:color w:val="993366"/>
        </w:rPr>
        <w:t>ENUMERATED</w:t>
      </w:r>
      <w:r w:rsidRPr="00FA0D37">
        <w:t xml:space="preserve"> {supported}          </w:t>
      </w:r>
      <w:r w:rsidRPr="00FA0D37">
        <w:rPr>
          <w:color w:val="993366"/>
        </w:rPr>
        <w:t>OPTIONAL</w:t>
      </w:r>
    </w:p>
    <w:p w14:paraId="5C097859" w14:textId="77777777" w:rsidR="00394471" w:rsidRPr="00FA0D37" w:rsidRDefault="00394471" w:rsidP="00FA0D37">
      <w:pPr>
        <w:pStyle w:val="PL"/>
        <w:rPr>
          <w:rFonts w:eastAsia="宋体"/>
        </w:rPr>
      </w:pPr>
      <w:r w:rsidRPr="00FA0D37">
        <w:t xml:space="preserve">    ]]</w:t>
      </w:r>
      <w:r w:rsidRPr="00FA0D37">
        <w:rPr>
          <w:rFonts w:eastAsia="宋体"/>
        </w:rPr>
        <w:t>,</w:t>
      </w:r>
    </w:p>
    <w:p w14:paraId="725AD176" w14:textId="77777777" w:rsidR="00394471" w:rsidRPr="00FA0D37" w:rsidRDefault="00394471" w:rsidP="00FA0D37">
      <w:pPr>
        <w:pStyle w:val="PL"/>
        <w:rPr>
          <w:rFonts w:eastAsia="宋体"/>
        </w:rPr>
      </w:pPr>
      <w:r w:rsidRPr="00FA0D37">
        <w:t xml:space="preserve">    [[</w:t>
      </w:r>
    </w:p>
    <w:p w14:paraId="2122819F" w14:textId="77777777" w:rsidR="00394471" w:rsidRPr="00FA0D37" w:rsidRDefault="00394471" w:rsidP="00FA0D37">
      <w:pPr>
        <w:pStyle w:val="PL"/>
      </w:pPr>
      <w:r w:rsidRPr="00FA0D37">
        <w:t xml:space="preserve">    </w:t>
      </w:r>
      <w:r w:rsidRPr="00FA0D37">
        <w:rPr>
          <w:rFonts w:eastAsia="宋体"/>
        </w:rPr>
        <w:t>n</w:t>
      </w:r>
      <w:r w:rsidRPr="00FA0D37">
        <w:t xml:space="preserve">r-HO-ToEN-DC-r16                   </w:t>
      </w:r>
      <w:r w:rsidRPr="00FA0D37">
        <w:rPr>
          <w:color w:val="993366"/>
        </w:rPr>
        <w:t>ENUMERATED</w:t>
      </w:r>
      <w:r w:rsidRPr="00FA0D37">
        <w:t xml:space="preserve"> {supported}          </w:t>
      </w:r>
      <w:r w:rsidRPr="00FA0D37">
        <w:rPr>
          <w:color w:val="993366"/>
        </w:rPr>
        <w:t>OPTIONAL</w:t>
      </w:r>
    </w:p>
    <w:p w14:paraId="43D37E03" w14:textId="77777777" w:rsidR="00394471" w:rsidRPr="00FA0D37" w:rsidRDefault="00394471" w:rsidP="00FA0D37">
      <w:pPr>
        <w:pStyle w:val="PL"/>
      </w:pPr>
      <w:r w:rsidRPr="00FA0D37">
        <w:t xml:space="preserve">    ]]</w:t>
      </w:r>
    </w:p>
    <w:p w14:paraId="23961D59" w14:textId="77777777" w:rsidR="00394471" w:rsidRPr="00FA0D37" w:rsidRDefault="00394471" w:rsidP="00FA0D37">
      <w:pPr>
        <w:pStyle w:val="PL"/>
      </w:pPr>
      <w:r w:rsidRPr="00FA0D37">
        <w:t>}</w:t>
      </w:r>
    </w:p>
    <w:p w14:paraId="50F09428" w14:textId="77777777" w:rsidR="00394471" w:rsidRPr="00FA0D37" w:rsidRDefault="00394471" w:rsidP="00FA0D37">
      <w:pPr>
        <w:pStyle w:val="PL"/>
      </w:pPr>
    </w:p>
    <w:p w14:paraId="38709E8B" w14:textId="77777777" w:rsidR="00394471" w:rsidRPr="00FA0D37" w:rsidRDefault="00394471" w:rsidP="00FA0D37">
      <w:pPr>
        <w:pStyle w:val="PL"/>
      </w:pPr>
      <w:r w:rsidRPr="00FA0D37">
        <w:t xml:space="preserve">EUTRA-ParametersXDD-Diff ::=        </w:t>
      </w:r>
      <w:r w:rsidRPr="00FA0D37">
        <w:rPr>
          <w:color w:val="993366"/>
        </w:rPr>
        <w:t>SEQUENCE</w:t>
      </w:r>
      <w:r w:rsidRPr="00FA0D37">
        <w:t xml:space="preserve"> {</w:t>
      </w:r>
    </w:p>
    <w:p w14:paraId="537F166F" w14:textId="77777777" w:rsidR="00394471" w:rsidRPr="00FA0D37" w:rsidRDefault="00394471" w:rsidP="00FA0D37">
      <w:pPr>
        <w:pStyle w:val="PL"/>
      </w:pPr>
      <w:r w:rsidRPr="00FA0D37">
        <w:t xml:space="preserve">    rsrqMeasWidebandEUTRA               </w:t>
      </w:r>
      <w:r w:rsidRPr="00FA0D37">
        <w:rPr>
          <w:color w:val="993366"/>
        </w:rPr>
        <w:t>ENUMERATED</w:t>
      </w:r>
      <w:r w:rsidRPr="00FA0D37">
        <w:t xml:space="preserve"> {supported}          </w:t>
      </w:r>
      <w:r w:rsidRPr="00FA0D37">
        <w:rPr>
          <w:color w:val="993366"/>
        </w:rPr>
        <w:t>OPTIONAL</w:t>
      </w:r>
      <w:r w:rsidRPr="00FA0D37">
        <w:t>,</w:t>
      </w:r>
    </w:p>
    <w:p w14:paraId="4D8C754B" w14:textId="77777777" w:rsidR="00394471" w:rsidRPr="00FA0D37" w:rsidRDefault="00394471" w:rsidP="00FA0D37">
      <w:pPr>
        <w:pStyle w:val="PL"/>
      </w:pPr>
      <w:r w:rsidRPr="00FA0D37">
        <w:t xml:space="preserve">    ...</w:t>
      </w:r>
    </w:p>
    <w:p w14:paraId="207C9757" w14:textId="77777777" w:rsidR="00394471" w:rsidRPr="00FA0D37" w:rsidRDefault="00394471" w:rsidP="00FA0D37">
      <w:pPr>
        <w:pStyle w:val="PL"/>
      </w:pPr>
      <w:r w:rsidRPr="00FA0D37">
        <w:t>}</w:t>
      </w:r>
    </w:p>
    <w:p w14:paraId="66C696F5" w14:textId="77777777" w:rsidR="00394471" w:rsidRPr="00FA0D37" w:rsidRDefault="00394471" w:rsidP="00FA0D37">
      <w:pPr>
        <w:pStyle w:val="PL"/>
      </w:pPr>
    </w:p>
    <w:p w14:paraId="6B9A113D" w14:textId="77777777" w:rsidR="00394471" w:rsidRPr="00FA0D37" w:rsidRDefault="00394471" w:rsidP="00FA0D37">
      <w:pPr>
        <w:pStyle w:val="PL"/>
      </w:pPr>
      <w:r w:rsidRPr="00FA0D37">
        <w:t xml:space="preserve">UTRA-FDD-Parameters-r16 ::=                </w:t>
      </w:r>
      <w:r w:rsidRPr="00FA0D37">
        <w:rPr>
          <w:color w:val="993366"/>
        </w:rPr>
        <w:t>SEQUENCE</w:t>
      </w:r>
      <w:r w:rsidRPr="00FA0D37">
        <w:t xml:space="preserve"> {</w:t>
      </w:r>
    </w:p>
    <w:p w14:paraId="10944201" w14:textId="77777777" w:rsidR="00394471" w:rsidRPr="00FA0D37" w:rsidRDefault="00394471" w:rsidP="00FA0D37">
      <w:pPr>
        <w:pStyle w:val="PL"/>
      </w:pPr>
      <w:r w:rsidRPr="00FA0D37">
        <w:t xml:space="preserve">    supportedBandListUTRA-FDD-r16              </w:t>
      </w:r>
      <w:r w:rsidRPr="00FA0D37">
        <w:rPr>
          <w:color w:val="993366"/>
        </w:rPr>
        <w:t>SEQUENCE</w:t>
      </w:r>
      <w:r w:rsidRPr="00FA0D37">
        <w:t xml:space="preserve"> (</w:t>
      </w:r>
      <w:r w:rsidRPr="00FA0D37">
        <w:rPr>
          <w:color w:val="993366"/>
        </w:rPr>
        <w:t>SIZE</w:t>
      </w:r>
      <w:r w:rsidRPr="00FA0D37">
        <w:t xml:space="preserve"> (1..maxBandsUTRA-FDD-r16))</w:t>
      </w:r>
      <w:r w:rsidRPr="00FA0D37">
        <w:rPr>
          <w:color w:val="993366"/>
        </w:rPr>
        <w:t xml:space="preserve"> OF</w:t>
      </w:r>
      <w:r w:rsidRPr="00FA0D37">
        <w:t xml:space="preserve"> SupportedBandUTRA-FDD-r16,</w:t>
      </w:r>
    </w:p>
    <w:p w14:paraId="22B4E91F" w14:textId="77777777" w:rsidR="00394471" w:rsidRPr="00FA0D37" w:rsidRDefault="00394471" w:rsidP="00FA0D37">
      <w:pPr>
        <w:pStyle w:val="PL"/>
      </w:pPr>
      <w:r w:rsidRPr="00FA0D37">
        <w:t xml:space="preserve">    ...</w:t>
      </w:r>
    </w:p>
    <w:p w14:paraId="11600C0D" w14:textId="77777777" w:rsidR="00394471" w:rsidRPr="00FA0D37" w:rsidRDefault="00394471" w:rsidP="00FA0D37">
      <w:pPr>
        <w:pStyle w:val="PL"/>
      </w:pPr>
      <w:r w:rsidRPr="00FA0D37">
        <w:t>}</w:t>
      </w:r>
    </w:p>
    <w:p w14:paraId="2CBB14A2" w14:textId="77777777" w:rsidR="00394471" w:rsidRPr="00FA0D37" w:rsidRDefault="00394471" w:rsidP="00FA0D37">
      <w:pPr>
        <w:pStyle w:val="PL"/>
      </w:pPr>
    </w:p>
    <w:p w14:paraId="20135063" w14:textId="77777777" w:rsidR="00394471" w:rsidRPr="00FA0D37" w:rsidRDefault="00394471" w:rsidP="00FA0D37">
      <w:pPr>
        <w:pStyle w:val="PL"/>
      </w:pPr>
      <w:r w:rsidRPr="00FA0D37">
        <w:t xml:space="preserve">SupportedBandUTRA-FDD-r16 ::=           </w:t>
      </w:r>
      <w:r w:rsidRPr="00FA0D37">
        <w:rPr>
          <w:color w:val="993366"/>
        </w:rPr>
        <w:t>ENUMERATED</w:t>
      </w:r>
      <w:r w:rsidRPr="00FA0D37">
        <w:t xml:space="preserve"> {</w:t>
      </w:r>
    </w:p>
    <w:p w14:paraId="1FFFAF06" w14:textId="77777777" w:rsidR="00394471" w:rsidRPr="00FA0D37" w:rsidRDefault="00394471" w:rsidP="00FA0D37">
      <w:pPr>
        <w:pStyle w:val="PL"/>
      </w:pPr>
      <w:r w:rsidRPr="00FA0D37">
        <w:t xml:space="preserve">                                            bandI, bandII, bandIII, bandIV, bandV, bandVI,</w:t>
      </w:r>
    </w:p>
    <w:p w14:paraId="2EEA307A" w14:textId="77777777" w:rsidR="00394471" w:rsidRPr="00FA0D37" w:rsidRDefault="00394471" w:rsidP="00FA0D37">
      <w:pPr>
        <w:pStyle w:val="PL"/>
      </w:pPr>
      <w:r w:rsidRPr="00FA0D37">
        <w:t xml:space="preserve">                                            bandVII, bandVIII, bandIX, bandX, bandXI,</w:t>
      </w:r>
    </w:p>
    <w:p w14:paraId="6952941B" w14:textId="77777777" w:rsidR="00394471" w:rsidRPr="00FA0D37" w:rsidRDefault="00394471" w:rsidP="00FA0D37">
      <w:pPr>
        <w:pStyle w:val="PL"/>
      </w:pPr>
      <w:r w:rsidRPr="00FA0D37">
        <w:t xml:space="preserve">                                            bandXII, bandXIII, bandXIV, bandXV, bandXVI,</w:t>
      </w:r>
    </w:p>
    <w:p w14:paraId="2008BD35" w14:textId="77777777" w:rsidR="00394471" w:rsidRPr="00FA0D37" w:rsidRDefault="00394471" w:rsidP="00FA0D37">
      <w:pPr>
        <w:pStyle w:val="PL"/>
      </w:pPr>
      <w:r w:rsidRPr="00FA0D37">
        <w:t xml:space="preserve">                                            bandXVII, bandXVIII, bandXIX, bandXX,</w:t>
      </w:r>
    </w:p>
    <w:p w14:paraId="0A4F553A" w14:textId="77777777" w:rsidR="00394471" w:rsidRPr="00FA0D37" w:rsidRDefault="00394471" w:rsidP="00FA0D37">
      <w:pPr>
        <w:pStyle w:val="PL"/>
      </w:pPr>
      <w:r w:rsidRPr="00FA0D37">
        <w:t xml:space="preserve">                                            bandXXI, bandXXII, bandXXIII, bandXXIV,</w:t>
      </w:r>
    </w:p>
    <w:p w14:paraId="208543AD" w14:textId="77777777" w:rsidR="00394471" w:rsidRPr="00FA0D37" w:rsidRDefault="00394471" w:rsidP="00FA0D37">
      <w:pPr>
        <w:pStyle w:val="PL"/>
      </w:pPr>
      <w:r w:rsidRPr="00FA0D37">
        <w:t xml:space="preserve">                                            bandXXV, bandXXVI, bandXXVII, bandXXVIII,</w:t>
      </w:r>
    </w:p>
    <w:p w14:paraId="338200C4" w14:textId="77777777" w:rsidR="00394471" w:rsidRPr="00FA0D37" w:rsidRDefault="00394471" w:rsidP="00FA0D37">
      <w:pPr>
        <w:pStyle w:val="PL"/>
      </w:pPr>
      <w:r w:rsidRPr="00FA0D37">
        <w:t xml:space="preserve">                                            bandXXIX, bandXXX, bandXXXI, bandXXXII}</w:t>
      </w:r>
    </w:p>
    <w:p w14:paraId="1D642C88" w14:textId="77777777" w:rsidR="00394471" w:rsidRPr="00FA0D37" w:rsidRDefault="00394471" w:rsidP="00FA0D37">
      <w:pPr>
        <w:pStyle w:val="PL"/>
      </w:pPr>
    </w:p>
    <w:p w14:paraId="270D2244" w14:textId="77777777" w:rsidR="00394471" w:rsidRPr="00FA0D37" w:rsidRDefault="00394471" w:rsidP="00FA0D37">
      <w:pPr>
        <w:pStyle w:val="PL"/>
        <w:rPr>
          <w:color w:val="808080"/>
        </w:rPr>
      </w:pPr>
      <w:r w:rsidRPr="00FA0D37">
        <w:rPr>
          <w:color w:val="808080"/>
        </w:rPr>
        <w:t>-- TAG-INTERRAT-PARAMETERS-STOP</w:t>
      </w:r>
    </w:p>
    <w:p w14:paraId="3DE861C5" w14:textId="77777777" w:rsidR="00394471" w:rsidRPr="00FA0D37" w:rsidRDefault="00394471" w:rsidP="00FA0D37">
      <w:pPr>
        <w:pStyle w:val="PL"/>
        <w:rPr>
          <w:color w:val="808080"/>
        </w:rPr>
      </w:pPr>
      <w:r w:rsidRPr="00FA0D37">
        <w:rPr>
          <w:color w:val="808080"/>
        </w:rPr>
        <w:t>-- ASN1STOP</w:t>
      </w:r>
    </w:p>
    <w:p w14:paraId="16FB9EF5" w14:textId="77777777" w:rsidR="00394471" w:rsidRPr="00FA0D37" w:rsidRDefault="00394471" w:rsidP="00394471"/>
    <w:p w14:paraId="4E0DCF0E" w14:textId="77777777" w:rsidR="00394471" w:rsidRPr="00FA0D37" w:rsidRDefault="00394471" w:rsidP="00394471">
      <w:pPr>
        <w:pStyle w:val="4"/>
        <w:rPr>
          <w:rFonts w:eastAsia="Malgun Gothic"/>
        </w:rPr>
      </w:pPr>
      <w:bookmarkStart w:id="1570" w:name="_Toc60777459"/>
      <w:bookmarkStart w:id="1571" w:name="_Toc146781561"/>
      <w:r w:rsidRPr="00FA0D37">
        <w:rPr>
          <w:rFonts w:eastAsia="Malgun Gothic"/>
        </w:rPr>
        <w:t>–</w:t>
      </w:r>
      <w:r w:rsidRPr="00FA0D37">
        <w:rPr>
          <w:rFonts w:eastAsia="Malgun Gothic"/>
        </w:rPr>
        <w:tab/>
      </w:r>
      <w:r w:rsidRPr="00FA0D37">
        <w:rPr>
          <w:rFonts w:eastAsia="Malgun Gothic"/>
          <w:i/>
        </w:rPr>
        <w:t>MAC-Parameters</w:t>
      </w:r>
      <w:bookmarkEnd w:id="1570"/>
      <w:bookmarkEnd w:id="1571"/>
    </w:p>
    <w:p w14:paraId="02CD32D1" w14:textId="77777777" w:rsidR="00394471" w:rsidRPr="00FA0D37" w:rsidRDefault="00394471" w:rsidP="00394471">
      <w:pPr>
        <w:rPr>
          <w:rFonts w:eastAsia="Malgun Gothic"/>
        </w:rPr>
      </w:pPr>
      <w:r w:rsidRPr="00FA0D37">
        <w:rPr>
          <w:rFonts w:eastAsia="Malgun Gothic"/>
        </w:rPr>
        <w:t xml:space="preserve">The IE </w:t>
      </w:r>
      <w:r w:rsidRPr="00FA0D37">
        <w:rPr>
          <w:rFonts w:eastAsia="Malgun Gothic"/>
          <w:i/>
        </w:rPr>
        <w:t>MAC-Parameters</w:t>
      </w:r>
      <w:r w:rsidRPr="00FA0D37">
        <w:rPr>
          <w:rFonts w:eastAsia="Malgun Gothic"/>
        </w:rPr>
        <w:t xml:space="preserve"> is used to convey capabilities related to MAC.</w:t>
      </w:r>
    </w:p>
    <w:p w14:paraId="15233087" w14:textId="77777777" w:rsidR="00394471" w:rsidRPr="00FA0D37" w:rsidRDefault="00394471" w:rsidP="00394471">
      <w:pPr>
        <w:pStyle w:val="TH"/>
        <w:rPr>
          <w:rFonts w:eastAsia="Malgun Gothic"/>
        </w:rPr>
      </w:pPr>
      <w:r w:rsidRPr="00FA0D37">
        <w:rPr>
          <w:rFonts w:eastAsia="Malgun Gothic"/>
          <w:i/>
        </w:rPr>
        <w:t>MAC-Parameters</w:t>
      </w:r>
      <w:r w:rsidRPr="00FA0D37">
        <w:rPr>
          <w:rFonts w:eastAsia="Malgun Gothic"/>
        </w:rPr>
        <w:t xml:space="preserve"> information element</w:t>
      </w:r>
    </w:p>
    <w:p w14:paraId="02097228" w14:textId="77777777" w:rsidR="00394471" w:rsidRPr="00FA0D37" w:rsidRDefault="00394471" w:rsidP="00FA0D37">
      <w:pPr>
        <w:pStyle w:val="PL"/>
        <w:rPr>
          <w:color w:val="808080"/>
        </w:rPr>
      </w:pPr>
      <w:r w:rsidRPr="00FA0D37">
        <w:rPr>
          <w:color w:val="808080"/>
        </w:rPr>
        <w:t>-- ASN1START</w:t>
      </w:r>
    </w:p>
    <w:p w14:paraId="3F6D1B1C" w14:textId="77777777" w:rsidR="00394471" w:rsidRPr="00FA0D37" w:rsidRDefault="00394471" w:rsidP="00FA0D37">
      <w:pPr>
        <w:pStyle w:val="PL"/>
        <w:rPr>
          <w:color w:val="808080"/>
        </w:rPr>
      </w:pPr>
      <w:r w:rsidRPr="00FA0D37">
        <w:rPr>
          <w:color w:val="808080"/>
        </w:rPr>
        <w:t>-- TAG-MAC-PARAMETERS-START</w:t>
      </w:r>
    </w:p>
    <w:p w14:paraId="57B5CBF4" w14:textId="77777777" w:rsidR="00394471" w:rsidRPr="00FA0D37" w:rsidRDefault="00394471" w:rsidP="00FA0D37">
      <w:pPr>
        <w:pStyle w:val="PL"/>
      </w:pPr>
    </w:p>
    <w:p w14:paraId="745E24C2" w14:textId="77777777" w:rsidR="00394471" w:rsidRPr="00FA0D37" w:rsidRDefault="00394471" w:rsidP="00FA0D37">
      <w:pPr>
        <w:pStyle w:val="PL"/>
      </w:pPr>
      <w:r w:rsidRPr="00FA0D37">
        <w:t xml:space="preserve">MAC-Parameters ::= </w:t>
      </w:r>
      <w:r w:rsidRPr="00FA0D37">
        <w:rPr>
          <w:color w:val="993366"/>
        </w:rPr>
        <w:t>SEQUENCE</w:t>
      </w:r>
      <w:r w:rsidRPr="00FA0D37">
        <w:t xml:space="preserve"> {</w:t>
      </w:r>
    </w:p>
    <w:p w14:paraId="5AB50D80" w14:textId="77777777" w:rsidR="00394471" w:rsidRPr="00FA0D37" w:rsidRDefault="00394471" w:rsidP="00FA0D37">
      <w:pPr>
        <w:pStyle w:val="PL"/>
      </w:pPr>
      <w:r w:rsidRPr="00FA0D37">
        <w:t xml:space="preserve">    mac-ParametersCommon            MAC-ParametersCommon        </w:t>
      </w:r>
      <w:r w:rsidRPr="00FA0D37">
        <w:rPr>
          <w:color w:val="993366"/>
        </w:rPr>
        <w:t>OPTIONAL</w:t>
      </w:r>
      <w:r w:rsidRPr="00FA0D37">
        <w:t>,</w:t>
      </w:r>
    </w:p>
    <w:p w14:paraId="6ED3DE69" w14:textId="77777777" w:rsidR="00394471" w:rsidRPr="00FA0D37" w:rsidRDefault="00394471" w:rsidP="00FA0D37">
      <w:pPr>
        <w:pStyle w:val="PL"/>
      </w:pPr>
      <w:r w:rsidRPr="00FA0D37">
        <w:t xml:space="preserve">    mac-ParametersXDD-Diff          MAC-ParametersXDD-Diff      </w:t>
      </w:r>
      <w:r w:rsidRPr="00FA0D37">
        <w:rPr>
          <w:color w:val="993366"/>
        </w:rPr>
        <w:t>OPTIONAL</w:t>
      </w:r>
    </w:p>
    <w:p w14:paraId="51084619" w14:textId="77777777" w:rsidR="00394471" w:rsidRPr="00FA0D37" w:rsidRDefault="00394471" w:rsidP="00FA0D37">
      <w:pPr>
        <w:pStyle w:val="PL"/>
      </w:pPr>
      <w:r w:rsidRPr="00FA0D37">
        <w:t>}</w:t>
      </w:r>
    </w:p>
    <w:p w14:paraId="457612E9" w14:textId="77777777" w:rsidR="00394471" w:rsidRPr="00FA0D37" w:rsidRDefault="00394471" w:rsidP="00FA0D37">
      <w:pPr>
        <w:pStyle w:val="PL"/>
      </w:pPr>
    </w:p>
    <w:p w14:paraId="5DC048B6" w14:textId="77777777" w:rsidR="00394471" w:rsidRPr="00FA0D37" w:rsidRDefault="00394471" w:rsidP="00FA0D37">
      <w:pPr>
        <w:pStyle w:val="PL"/>
      </w:pPr>
      <w:r w:rsidRPr="00FA0D37">
        <w:t xml:space="preserve">MAC-Parameters-v1610 ::= </w:t>
      </w:r>
      <w:r w:rsidRPr="00FA0D37">
        <w:rPr>
          <w:color w:val="993366"/>
        </w:rPr>
        <w:t>SEQUENCE</w:t>
      </w:r>
      <w:r w:rsidRPr="00FA0D37">
        <w:t xml:space="preserve"> {</w:t>
      </w:r>
    </w:p>
    <w:p w14:paraId="34B266AE" w14:textId="77777777" w:rsidR="00394471" w:rsidRPr="00FA0D37" w:rsidRDefault="00394471" w:rsidP="00FA0D37">
      <w:pPr>
        <w:pStyle w:val="PL"/>
      </w:pPr>
      <w:r w:rsidRPr="00FA0D37">
        <w:t xml:space="preserve">    mac-ParametersFRX-Diff-r16      MAC-ParametersFRX-Diff-r16  </w:t>
      </w:r>
      <w:r w:rsidRPr="00FA0D37">
        <w:rPr>
          <w:color w:val="993366"/>
        </w:rPr>
        <w:t>OPTIONAL</w:t>
      </w:r>
    </w:p>
    <w:p w14:paraId="3B19DEA7" w14:textId="77777777" w:rsidR="00394471" w:rsidRPr="00FA0D37" w:rsidRDefault="00394471" w:rsidP="00FA0D37">
      <w:pPr>
        <w:pStyle w:val="PL"/>
      </w:pPr>
      <w:r w:rsidRPr="00FA0D37">
        <w:t>}</w:t>
      </w:r>
    </w:p>
    <w:p w14:paraId="33DC3023" w14:textId="77777777" w:rsidR="002E309C" w:rsidRPr="00FA0D37" w:rsidRDefault="002E309C" w:rsidP="00FA0D37">
      <w:pPr>
        <w:pStyle w:val="PL"/>
      </w:pPr>
    </w:p>
    <w:p w14:paraId="212F7646" w14:textId="3778A038" w:rsidR="002E309C" w:rsidRPr="00FA0D37" w:rsidRDefault="002E309C" w:rsidP="00FA0D37">
      <w:pPr>
        <w:pStyle w:val="PL"/>
      </w:pPr>
      <w:r w:rsidRPr="00FA0D37">
        <w:t xml:space="preserve">MAC-Parameters-v1700 ::= </w:t>
      </w:r>
      <w:r w:rsidRPr="00FA0D37">
        <w:rPr>
          <w:color w:val="993366"/>
        </w:rPr>
        <w:t>SEQUENCE</w:t>
      </w:r>
      <w:r w:rsidRPr="00FA0D37">
        <w:t xml:space="preserve"> {</w:t>
      </w:r>
    </w:p>
    <w:p w14:paraId="34D920D0" w14:textId="039D4303" w:rsidR="002E309C" w:rsidRPr="00FA0D37" w:rsidRDefault="002E309C" w:rsidP="00FA0D37">
      <w:pPr>
        <w:pStyle w:val="PL"/>
      </w:pPr>
      <w:r w:rsidRPr="00FA0D37">
        <w:t xml:space="preserve">    mac-ParametersFR2-2-r17         MAC-ParametersFR2-2-r17     </w:t>
      </w:r>
      <w:r w:rsidRPr="00FA0D37">
        <w:rPr>
          <w:color w:val="993366"/>
        </w:rPr>
        <w:t>OPTIONAL</w:t>
      </w:r>
    </w:p>
    <w:p w14:paraId="6A7F8468" w14:textId="7D0DE51E" w:rsidR="00394471" w:rsidRPr="00FA0D37" w:rsidRDefault="002E309C" w:rsidP="00FA0D37">
      <w:pPr>
        <w:pStyle w:val="PL"/>
      </w:pPr>
      <w:r w:rsidRPr="00FA0D37">
        <w:t>}</w:t>
      </w:r>
    </w:p>
    <w:p w14:paraId="191BA7A3" w14:textId="77777777" w:rsidR="002E309C" w:rsidRPr="00FA0D37" w:rsidRDefault="002E309C" w:rsidP="00FA0D37">
      <w:pPr>
        <w:pStyle w:val="PL"/>
      </w:pPr>
    </w:p>
    <w:p w14:paraId="39077E85" w14:textId="77777777" w:rsidR="00394471" w:rsidRPr="00FA0D37" w:rsidRDefault="00394471" w:rsidP="00FA0D37">
      <w:pPr>
        <w:pStyle w:val="PL"/>
      </w:pPr>
      <w:r w:rsidRPr="00FA0D37">
        <w:t xml:space="preserve">MAC-ParametersCommon ::=    </w:t>
      </w:r>
      <w:r w:rsidRPr="00FA0D37">
        <w:rPr>
          <w:color w:val="993366"/>
        </w:rPr>
        <w:t>SEQUENCE</w:t>
      </w:r>
      <w:r w:rsidRPr="00FA0D37">
        <w:t xml:space="preserve"> {</w:t>
      </w:r>
    </w:p>
    <w:p w14:paraId="6F8D8E01" w14:textId="77777777" w:rsidR="00394471" w:rsidRPr="00FA0D37" w:rsidRDefault="00394471" w:rsidP="00FA0D37">
      <w:pPr>
        <w:pStyle w:val="PL"/>
      </w:pPr>
      <w:r w:rsidRPr="00FA0D37">
        <w:t xml:space="preserve">    lcp-Restriction                         </w:t>
      </w:r>
      <w:r w:rsidRPr="00FA0D37">
        <w:rPr>
          <w:color w:val="993366"/>
        </w:rPr>
        <w:t>ENUMERATED</w:t>
      </w:r>
      <w:r w:rsidRPr="00FA0D37">
        <w:t xml:space="preserve"> {supported}      </w:t>
      </w:r>
      <w:r w:rsidRPr="00FA0D37">
        <w:rPr>
          <w:color w:val="993366"/>
        </w:rPr>
        <w:t>OPTIONAL</w:t>
      </w:r>
      <w:r w:rsidRPr="00FA0D37">
        <w:t>,</w:t>
      </w:r>
    </w:p>
    <w:p w14:paraId="248DA677" w14:textId="77777777" w:rsidR="00394471" w:rsidRPr="00FA0D37" w:rsidRDefault="00394471" w:rsidP="00FA0D37">
      <w:pPr>
        <w:pStyle w:val="PL"/>
      </w:pPr>
      <w:r w:rsidRPr="00FA0D37">
        <w:t xml:space="preserve">    dummy                                   </w:t>
      </w:r>
      <w:r w:rsidRPr="00FA0D37">
        <w:rPr>
          <w:color w:val="993366"/>
        </w:rPr>
        <w:t>ENUMERATED</w:t>
      </w:r>
      <w:r w:rsidRPr="00FA0D37">
        <w:t xml:space="preserve"> {supported}      </w:t>
      </w:r>
      <w:r w:rsidRPr="00FA0D37">
        <w:rPr>
          <w:color w:val="993366"/>
        </w:rPr>
        <w:t>OPTIONAL</w:t>
      </w:r>
      <w:r w:rsidRPr="00FA0D37">
        <w:t>,</w:t>
      </w:r>
    </w:p>
    <w:p w14:paraId="6937DE7F" w14:textId="77777777" w:rsidR="00394471" w:rsidRPr="00FA0D37" w:rsidRDefault="00394471" w:rsidP="00FA0D37">
      <w:pPr>
        <w:pStyle w:val="PL"/>
      </w:pPr>
      <w:r w:rsidRPr="00FA0D37">
        <w:t xml:space="preserve">    lch-ToSCellRestriction                  </w:t>
      </w:r>
      <w:r w:rsidRPr="00FA0D37">
        <w:rPr>
          <w:color w:val="993366"/>
        </w:rPr>
        <w:t>ENUMERATED</w:t>
      </w:r>
      <w:r w:rsidRPr="00FA0D37">
        <w:t xml:space="preserve"> {supported}      </w:t>
      </w:r>
      <w:r w:rsidRPr="00FA0D37">
        <w:rPr>
          <w:color w:val="993366"/>
        </w:rPr>
        <w:t>OPTIONAL</w:t>
      </w:r>
      <w:r w:rsidRPr="00FA0D37">
        <w:t>,</w:t>
      </w:r>
    </w:p>
    <w:p w14:paraId="1F5FA1FA" w14:textId="77777777" w:rsidR="00394471" w:rsidRPr="00FA0D37" w:rsidRDefault="00394471" w:rsidP="00FA0D37">
      <w:pPr>
        <w:pStyle w:val="PL"/>
      </w:pPr>
      <w:r w:rsidRPr="00FA0D37">
        <w:t xml:space="preserve">    ...,</w:t>
      </w:r>
    </w:p>
    <w:p w14:paraId="32D5C69E" w14:textId="77777777" w:rsidR="00394471" w:rsidRPr="00FA0D37" w:rsidRDefault="00394471" w:rsidP="00FA0D37">
      <w:pPr>
        <w:pStyle w:val="PL"/>
      </w:pPr>
      <w:r w:rsidRPr="00FA0D37">
        <w:t xml:space="preserve">    [[</w:t>
      </w:r>
    </w:p>
    <w:p w14:paraId="4E316A39" w14:textId="77777777" w:rsidR="00394471" w:rsidRPr="00FA0D37" w:rsidRDefault="00394471" w:rsidP="00FA0D37">
      <w:pPr>
        <w:pStyle w:val="PL"/>
      </w:pPr>
      <w:r w:rsidRPr="00FA0D37">
        <w:t xml:space="preserve">    recommendedBitRate                      </w:t>
      </w:r>
      <w:r w:rsidRPr="00FA0D37">
        <w:rPr>
          <w:color w:val="993366"/>
        </w:rPr>
        <w:t>ENUMERATED</w:t>
      </w:r>
      <w:r w:rsidRPr="00FA0D37">
        <w:t xml:space="preserve"> {supported}      </w:t>
      </w:r>
      <w:r w:rsidRPr="00FA0D37">
        <w:rPr>
          <w:color w:val="993366"/>
        </w:rPr>
        <w:t>OPTIONAL</w:t>
      </w:r>
      <w:r w:rsidRPr="00FA0D37">
        <w:t>,</w:t>
      </w:r>
    </w:p>
    <w:p w14:paraId="58C4E9D7" w14:textId="77777777" w:rsidR="00394471" w:rsidRPr="00FA0D37" w:rsidRDefault="00394471" w:rsidP="00FA0D37">
      <w:pPr>
        <w:pStyle w:val="PL"/>
      </w:pPr>
      <w:r w:rsidRPr="00FA0D37">
        <w:t xml:space="preserve">    recommendedBitRateQuery                 </w:t>
      </w:r>
      <w:r w:rsidRPr="00FA0D37">
        <w:rPr>
          <w:color w:val="993366"/>
        </w:rPr>
        <w:t>ENUMERATED</w:t>
      </w:r>
      <w:r w:rsidRPr="00FA0D37">
        <w:t xml:space="preserve"> {supported}      </w:t>
      </w:r>
      <w:r w:rsidRPr="00FA0D37">
        <w:rPr>
          <w:color w:val="993366"/>
        </w:rPr>
        <w:t>OPTIONAL</w:t>
      </w:r>
    </w:p>
    <w:p w14:paraId="154BD4D8" w14:textId="77777777" w:rsidR="00394471" w:rsidRPr="00FA0D37" w:rsidRDefault="00394471" w:rsidP="00FA0D37">
      <w:pPr>
        <w:pStyle w:val="PL"/>
      </w:pPr>
      <w:r w:rsidRPr="00FA0D37">
        <w:t xml:space="preserve">    ]],</w:t>
      </w:r>
    </w:p>
    <w:p w14:paraId="19311FFD" w14:textId="77777777" w:rsidR="00394471" w:rsidRPr="00FA0D37" w:rsidRDefault="00394471" w:rsidP="00FA0D37">
      <w:pPr>
        <w:pStyle w:val="PL"/>
      </w:pPr>
      <w:r w:rsidRPr="00FA0D37">
        <w:t xml:space="preserve">    [[</w:t>
      </w:r>
    </w:p>
    <w:p w14:paraId="0CA4E542" w14:textId="77777777" w:rsidR="00394471" w:rsidRPr="00FA0D37" w:rsidRDefault="00394471" w:rsidP="00FA0D37">
      <w:pPr>
        <w:pStyle w:val="PL"/>
      </w:pPr>
      <w:r w:rsidRPr="00FA0D37">
        <w:t xml:space="preserve">    recommendedBitRateMultiplier-r16         </w:t>
      </w:r>
      <w:r w:rsidRPr="00FA0D37">
        <w:rPr>
          <w:color w:val="993366"/>
        </w:rPr>
        <w:t>ENUMERATED</w:t>
      </w:r>
      <w:r w:rsidRPr="00FA0D37">
        <w:t xml:space="preserve"> {supported}     </w:t>
      </w:r>
      <w:r w:rsidRPr="00FA0D37">
        <w:rPr>
          <w:color w:val="993366"/>
        </w:rPr>
        <w:t>OPTIONAL</w:t>
      </w:r>
      <w:r w:rsidRPr="00FA0D37">
        <w:t>,</w:t>
      </w:r>
    </w:p>
    <w:p w14:paraId="2CFBDF3B" w14:textId="77777777" w:rsidR="00394471" w:rsidRPr="00FA0D37" w:rsidRDefault="00394471" w:rsidP="00FA0D37">
      <w:pPr>
        <w:pStyle w:val="PL"/>
      </w:pPr>
      <w:r w:rsidRPr="00FA0D37">
        <w:t xml:space="preserve">    preEmptiveBSR-r16                        </w:t>
      </w:r>
      <w:r w:rsidRPr="00FA0D37">
        <w:rPr>
          <w:color w:val="993366"/>
        </w:rPr>
        <w:t>ENUMERATED</w:t>
      </w:r>
      <w:r w:rsidRPr="00FA0D37">
        <w:t xml:space="preserve"> {supported}     </w:t>
      </w:r>
      <w:r w:rsidRPr="00FA0D37">
        <w:rPr>
          <w:color w:val="993366"/>
        </w:rPr>
        <w:t>OPTIONAL</w:t>
      </w:r>
      <w:r w:rsidRPr="00FA0D37">
        <w:t>,</w:t>
      </w:r>
    </w:p>
    <w:p w14:paraId="55AFB47F" w14:textId="77777777" w:rsidR="00394471" w:rsidRPr="00FA0D37" w:rsidRDefault="00394471" w:rsidP="00FA0D37">
      <w:pPr>
        <w:pStyle w:val="PL"/>
      </w:pPr>
      <w:r w:rsidRPr="00FA0D37">
        <w:t xml:space="preserve">    autonomousTransmission-r16               </w:t>
      </w:r>
      <w:r w:rsidRPr="00FA0D37">
        <w:rPr>
          <w:color w:val="993366"/>
        </w:rPr>
        <w:t>ENUMERATED</w:t>
      </w:r>
      <w:r w:rsidRPr="00FA0D37">
        <w:t xml:space="preserve"> {supported}     </w:t>
      </w:r>
      <w:r w:rsidRPr="00FA0D37">
        <w:rPr>
          <w:color w:val="993366"/>
        </w:rPr>
        <w:t>OPTIONAL</w:t>
      </w:r>
      <w:r w:rsidRPr="00FA0D37">
        <w:t>,</w:t>
      </w:r>
    </w:p>
    <w:p w14:paraId="50AC52B6" w14:textId="77777777" w:rsidR="00394471" w:rsidRPr="00FA0D37" w:rsidRDefault="00394471" w:rsidP="00FA0D37">
      <w:pPr>
        <w:pStyle w:val="PL"/>
      </w:pPr>
      <w:r w:rsidRPr="00FA0D37">
        <w:t xml:space="preserve">    lch-PriorityBasedPrioritization-r16      </w:t>
      </w:r>
      <w:r w:rsidRPr="00FA0D37">
        <w:rPr>
          <w:color w:val="993366"/>
        </w:rPr>
        <w:t>ENUMERATED</w:t>
      </w:r>
      <w:r w:rsidRPr="00FA0D37">
        <w:t xml:space="preserve"> {supported}     </w:t>
      </w:r>
      <w:r w:rsidRPr="00FA0D37">
        <w:rPr>
          <w:color w:val="993366"/>
        </w:rPr>
        <w:t>OPTIONAL</w:t>
      </w:r>
      <w:r w:rsidRPr="00FA0D37">
        <w:t>,</w:t>
      </w:r>
    </w:p>
    <w:p w14:paraId="7DEE0381" w14:textId="77777777" w:rsidR="00394471" w:rsidRPr="00FA0D37" w:rsidRDefault="00394471" w:rsidP="00FA0D37">
      <w:pPr>
        <w:pStyle w:val="PL"/>
      </w:pPr>
      <w:r w:rsidRPr="00FA0D37">
        <w:t xml:space="preserve">    lch-ToConfiguredGrantMapping-r16         </w:t>
      </w:r>
      <w:r w:rsidRPr="00FA0D37">
        <w:rPr>
          <w:color w:val="993366"/>
        </w:rPr>
        <w:t>ENUMERATED</w:t>
      </w:r>
      <w:r w:rsidRPr="00FA0D37">
        <w:t xml:space="preserve"> {supported}     </w:t>
      </w:r>
      <w:r w:rsidRPr="00FA0D37">
        <w:rPr>
          <w:color w:val="993366"/>
        </w:rPr>
        <w:t>OPTIONAL</w:t>
      </w:r>
      <w:r w:rsidRPr="00FA0D37">
        <w:t>,</w:t>
      </w:r>
    </w:p>
    <w:p w14:paraId="2F096194" w14:textId="77777777" w:rsidR="00394471" w:rsidRPr="00FA0D37" w:rsidRDefault="00394471" w:rsidP="00FA0D37">
      <w:pPr>
        <w:pStyle w:val="PL"/>
      </w:pPr>
      <w:r w:rsidRPr="00FA0D37">
        <w:t xml:space="preserve">    lch-ToGrantPriorityRestriction-r16       </w:t>
      </w:r>
      <w:r w:rsidRPr="00FA0D37">
        <w:rPr>
          <w:color w:val="993366"/>
        </w:rPr>
        <w:t>ENUMERATED</w:t>
      </w:r>
      <w:r w:rsidRPr="00FA0D37">
        <w:t xml:space="preserve"> {supported}     </w:t>
      </w:r>
      <w:r w:rsidRPr="00FA0D37">
        <w:rPr>
          <w:color w:val="993366"/>
        </w:rPr>
        <w:t>OPTIONAL</w:t>
      </w:r>
      <w:r w:rsidRPr="00FA0D37">
        <w:t>,</w:t>
      </w:r>
    </w:p>
    <w:p w14:paraId="15F12C08" w14:textId="77777777" w:rsidR="00394471" w:rsidRPr="00FA0D37" w:rsidRDefault="00394471" w:rsidP="00FA0D37">
      <w:pPr>
        <w:pStyle w:val="PL"/>
      </w:pPr>
      <w:r w:rsidRPr="00FA0D37">
        <w:t xml:space="preserve">    singlePHR-P-r16                          </w:t>
      </w:r>
      <w:r w:rsidRPr="00FA0D37">
        <w:rPr>
          <w:color w:val="993366"/>
        </w:rPr>
        <w:t>ENUMERATED</w:t>
      </w:r>
      <w:r w:rsidRPr="00FA0D37">
        <w:t xml:space="preserve"> {supported}     </w:t>
      </w:r>
      <w:r w:rsidRPr="00FA0D37">
        <w:rPr>
          <w:color w:val="993366"/>
        </w:rPr>
        <w:t>OPTIONAL</w:t>
      </w:r>
      <w:r w:rsidRPr="00FA0D37">
        <w:t>,</w:t>
      </w:r>
    </w:p>
    <w:p w14:paraId="6032EA66" w14:textId="77777777" w:rsidR="00394471" w:rsidRPr="00FA0D37" w:rsidRDefault="00394471" w:rsidP="00FA0D37">
      <w:pPr>
        <w:pStyle w:val="PL"/>
      </w:pPr>
      <w:r w:rsidRPr="00FA0D37">
        <w:t xml:space="preserve">    ul-LBT-FailureDetectionRecovery-r16      </w:t>
      </w:r>
      <w:r w:rsidRPr="00FA0D37">
        <w:rPr>
          <w:color w:val="993366"/>
        </w:rPr>
        <w:t>ENUMERATED</w:t>
      </w:r>
      <w:r w:rsidRPr="00FA0D37">
        <w:t xml:space="preserve"> {supported}     </w:t>
      </w:r>
      <w:r w:rsidRPr="00FA0D37">
        <w:rPr>
          <w:color w:val="993366"/>
        </w:rPr>
        <w:t>OPTIONAL</w:t>
      </w:r>
      <w:r w:rsidRPr="00FA0D37">
        <w:t>,</w:t>
      </w:r>
    </w:p>
    <w:p w14:paraId="1C572D70" w14:textId="77777777" w:rsidR="00394471" w:rsidRPr="00FA0D37" w:rsidRDefault="00394471" w:rsidP="00FA0D37">
      <w:pPr>
        <w:pStyle w:val="PL"/>
        <w:rPr>
          <w:color w:val="808080"/>
        </w:rPr>
      </w:pPr>
      <w:r w:rsidRPr="00FA0D37">
        <w:t xml:space="preserve">    </w:t>
      </w:r>
      <w:r w:rsidRPr="00FA0D37">
        <w:rPr>
          <w:color w:val="808080"/>
        </w:rPr>
        <w:t>-- R4 8-1: MPE</w:t>
      </w:r>
    </w:p>
    <w:p w14:paraId="5776E81E" w14:textId="77777777" w:rsidR="00394471" w:rsidRPr="00FA0D37" w:rsidRDefault="00394471" w:rsidP="00FA0D37">
      <w:pPr>
        <w:pStyle w:val="PL"/>
      </w:pPr>
      <w:r w:rsidRPr="00FA0D37">
        <w:t xml:space="preserve">    tdd-MPE-P-MPR-Reporting-r16              </w:t>
      </w:r>
      <w:r w:rsidRPr="00FA0D37">
        <w:rPr>
          <w:color w:val="993366"/>
        </w:rPr>
        <w:t>ENUMERATED</w:t>
      </w:r>
      <w:r w:rsidRPr="00FA0D37">
        <w:t xml:space="preserve"> {supported}     </w:t>
      </w:r>
      <w:r w:rsidRPr="00FA0D37">
        <w:rPr>
          <w:color w:val="993366"/>
        </w:rPr>
        <w:t>OPTIONAL</w:t>
      </w:r>
      <w:r w:rsidRPr="00FA0D37">
        <w:t>,</w:t>
      </w:r>
    </w:p>
    <w:p w14:paraId="07B3BD37" w14:textId="77777777" w:rsidR="00394471" w:rsidRPr="00FA0D37" w:rsidRDefault="00394471" w:rsidP="00FA0D37">
      <w:pPr>
        <w:pStyle w:val="PL"/>
      </w:pPr>
      <w:r w:rsidRPr="00FA0D37">
        <w:t xml:space="preserve">    lcid-ExtensionIAB-r16                    </w:t>
      </w:r>
      <w:r w:rsidRPr="00FA0D37">
        <w:rPr>
          <w:color w:val="993366"/>
        </w:rPr>
        <w:t>ENUMERATED</w:t>
      </w:r>
      <w:r w:rsidRPr="00FA0D37">
        <w:t xml:space="preserve"> {supported}     </w:t>
      </w:r>
      <w:r w:rsidRPr="00FA0D37">
        <w:rPr>
          <w:color w:val="993366"/>
        </w:rPr>
        <w:t>OPTIONAL</w:t>
      </w:r>
    </w:p>
    <w:p w14:paraId="473B5B99" w14:textId="4711D584" w:rsidR="00D24B02" w:rsidRPr="00FA0D37" w:rsidRDefault="00394471" w:rsidP="00FA0D37">
      <w:pPr>
        <w:pStyle w:val="PL"/>
      </w:pPr>
      <w:r w:rsidRPr="00FA0D37">
        <w:t xml:space="preserve">    ]]</w:t>
      </w:r>
      <w:r w:rsidR="00D24B02" w:rsidRPr="00FA0D37">
        <w:t>,</w:t>
      </w:r>
    </w:p>
    <w:p w14:paraId="4B35DA04" w14:textId="77777777" w:rsidR="00D24B02" w:rsidRPr="00FA0D37" w:rsidRDefault="00D24B02" w:rsidP="00FA0D37">
      <w:pPr>
        <w:pStyle w:val="PL"/>
      </w:pPr>
      <w:r w:rsidRPr="00FA0D37">
        <w:t xml:space="preserve">    [[</w:t>
      </w:r>
    </w:p>
    <w:p w14:paraId="6BF9B8B2" w14:textId="5D8EC204" w:rsidR="00D24B02" w:rsidRPr="00FA0D37" w:rsidRDefault="00D24B02" w:rsidP="00FA0D37">
      <w:pPr>
        <w:pStyle w:val="PL"/>
      </w:pPr>
      <w:r w:rsidRPr="00FA0D37">
        <w:t xml:space="preserve">    spCell-BFR-CBRA-r16                      </w:t>
      </w:r>
      <w:r w:rsidRPr="00FA0D37">
        <w:rPr>
          <w:color w:val="993366"/>
        </w:rPr>
        <w:t>ENUMERATED</w:t>
      </w:r>
      <w:r w:rsidRPr="00FA0D37">
        <w:t xml:space="preserve"> {supported}     </w:t>
      </w:r>
      <w:r w:rsidRPr="00FA0D37">
        <w:rPr>
          <w:color w:val="993366"/>
        </w:rPr>
        <w:t>OPTIONAL</w:t>
      </w:r>
    </w:p>
    <w:p w14:paraId="3AE3B6F2" w14:textId="71283556" w:rsidR="00EC4FE7" w:rsidRPr="00FA0D37" w:rsidRDefault="00EC4FE7" w:rsidP="00FA0D37">
      <w:pPr>
        <w:pStyle w:val="PL"/>
      </w:pPr>
      <w:r w:rsidRPr="00FA0D37">
        <w:t xml:space="preserve">    ]],</w:t>
      </w:r>
    </w:p>
    <w:p w14:paraId="432EA3D6" w14:textId="04390EEB" w:rsidR="00EC4FE7" w:rsidRPr="00FA0D37" w:rsidRDefault="00EC4FE7" w:rsidP="00FA0D37">
      <w:pPr>
        <w:pStyle w:val="PL"/>
      </w:pPr>
      <w:r w:rsidRPr="00FA0D37">
        <w:t xml:space="preserve">    [[</w:t>
      </w:r>
    </w:p>
    <w:p w14:paraId="6F09DD94" w14:textId="4D495474" w:rsidR="001B10B7" w:rsidRPr="00FA0D37" w:rsidRDefault="001B10B7" w:rsidP="00FA0D37">
      <w:pPr>
        <w:pStyle w:val="PL"/>
      </w:pPr>
      <w:r w:rsidRPr="00FA0D37">
        <w:t xml:space="preserve">    srs-ResourceId-Ext-r16                   </w:t>
      </w:r>
      <w:r w:rsidRPr="00FA0D37">
        <w:rPr>
          <w:color w:val="993366"/>
        </w:rPr>
        <w:t>ENUMERATED</w:t>
      </w:r>
      <w:r w:rsidRPr="00FA0D37">
        <w:t xml:space="preserve"> {supported}     </w:t>
      </w:r>
      <w:r w:rsidRPr="00FA0D37">
        <w:rPr>
          <w:color w:val="993366"/>
        </w:rPr>
        <w:t>OPTIONAL</w:t>
      </w:r>
    </w:p>
    <w:p w14:paraId="1A7530FD" w14:textId="2B9BA73F" w:rsidR="00022DF1" w:rsidRPr="00FA0D37" w:rsidRDefault="00D24B02" w:rsidP="00FA0D37">
      <w:pPr>
        <w:pStyle w:val="PL"/>
      </w:pPr>
      <w:r w:rsidRPr="00FA0D37">
        <w:t xml:space="preserve">    ]]</w:t>
      </w:r>
      <w:r w:rsidR="00022DF1" w:rsidRPr="00FA0D37">
        <w:t>,</w:t>
      </w:r>
    </w:p>
    <w:p w14:paraId="1CE50A2B" w14:textId="77777777" w:rsidR="00022DF1" w:rsidRPr="00FA0D37" w:rsidRDefault="00022DF1" w:rsidP="00FA0D37">
      <w:pPr>
        <w:pStyle w:val="PL"/>
      </w:pPr>
      <w:r w:rsidRPr="00FA0D37">
        <w:t xml:space="preserve">    [[</w:t>
      </w:r>
    </w:p>
    <w:p w14:paraId="19C3C633" w14:textId="43675CA9" w:rsidR="00022DF1" w:rsidRPr="00FA0D37" w:rsidRDefault="00022DF1" w:rsidP="00FA0D37">
      <w:pPr>
        <w:pStyle w:val="PL"/>
      </w:pPr>
      <w:r w:rsidRPr="00FA0D37">
        <w:t xml:space="preserve">    enhancedUuDRX-forSidelink-r17            </w:t>
      </w:r>
      <w:r w:rsidRPr="00FA0D37">
        <w:rPr>
          <w:color w:val="993366"/>
        </w:rPr>
        <w:t>ENUMERATED</w:t>
      </w:r>
      <w:r w:rsidRPr="00FA0D37">
        <w:t xml:space="preserve"> {supported}     </w:t>
      </w:r>
      <w:r w:rsidRPr="00FA0D37">
        <w:rPr>
          <w:color w:val="993366"/>
        </w:rPr>
        <w:t>OPTIONAL</w:t>
      </w:r>
      <w:r w:rsidRPr="00FA0D37">
        <w:t>,</w:t>
      </w:r>
    </w:p>
    <w:p w14:paraId="06975D4F" w14:textId="7B39A9D3" w:rsidR="00022DF1" w:rsidRPr="00FA0D37" w:rsidRDefault="00022DF1" w:rsidP="00FA0D37">
      <w:pPr>
        <w:pStyle w:val="PL"/>
        <w:rPr>
          <w:color w:val="808080"/>
        </w:rPr>
      </w:pPr>
      <w:r w:rsidRPr="00FA0D37">
        <w:t xml:space="preserve">    </w:t>
      </w:r>
      <w:r w:rsidRPr="00FA0D37">
        <w:rPr>
          <w:color w:val="808080"/>
        </w:rPr>
        <w:t>--27-10: Support of UL MAC CE based MG activation request for PRS measurements</w:t>
      </w:r>
    </w:p>
    <w:p w14:paraId="77E35DD0" w14:textId="6F5A87D9" w:rsidR="00022DF1" w:rsidRPr="00FA0D37" w:rsidRDefault="00022DF1" w:rsidP="00FA0D37">
      <w:pPr>
        <w:pStyle w:val="PL"/>
      </w:pPr>
      <w:r w:rsidRPr="00FA0D37">
        <w:t xml:space="preserve">    mg-ActivationRequestPRS-Meas-r17         </w:t>
      </w:r>
      <w:r w:rsidRPr="00FA0D37">
        <w:rPr>
          <w:color w:val="993366"/>
        </w:rPr>
        <w:t>ENUMERATED</w:t>
      </w:r>
      <w:r w:rsidRPr="00FA0D37">
        <w:t xml:space="preserve"> {supported}     </w:t>
      </w:r>
      <w:r w:rsidRPr="00FA0D37">
        <w:rPr>
          <w:color w:val="993366"/>
        </w:rPr>
        <w:t>OPTIONAL</w:t>
      </w:r>
      <w:r w:rsidRPr="00FA0D37">
        <w:t>,</w:t>
      </w:r>
    </w:p>
    <w:p w14:paraId="6892E4A7" w14:textId="32D04880" w:rsidR="00022DF1" w:rsidRPr="00FA0D37" w:rsidRDefault="00022DF1" w:rsidP="00FA0D37">
      <w:pPr>
        <w:pStyle w:val="PL"/>
        <w:rPr>
          <w:color w:val="808080"/>
        </w:rPr>
      </w:pPr>
      <w:r w:rsidRPr="00FA0D37">
        <w:t xml:space="preserve">    </w:t>
      </w:r>
      <w:r w:rsidRPr="00FA0D37">
        <w:rPr>
          <w:color w:val="808080"/>
        </w:rPr>
        <w:t>--27-11: Support of DL MAC CE based MG activation request for PRS measurements</w:t>
      </w:r>
    </w:p>
    <w:p w14:paraId="665AD0AE" w14:textId="7F1A8278" w:rsidR="00022DF1" w:rsidRPr="00FA0D37" w:rsidRDefault="00022DF1" w:rsidP="00FA0D37">
      <w:pPr>
        <w:pStyle w:val="PL"/>
      </w:pPr>
      <w:r w:rsidRPr="00FA0D37">
        <w:t xml:space="preserve">    mg-ActivationCommPRS-Meas-r17            </w:t>
      </w:r>
      <w:r w:rsidRPr="00FA0D37">
        <w:rPr>
          <w:color w:val="993366"/>
        </w:rPr>
        <w:t>ENUMERATED</w:t>
      </w:r>
      <w:r w:rsidRPr="00FA0D37">
        <w:t xml:space="preserve"> {supported}     </w:t>
      </w:r>
      <w:r w:rsidRPr="00FA0D37">
        <w:rPr>
          <w:color w:val="993366"/>
        </w:rPr>
        <w:t>OPTIONAL</w:t>
      </w:r>
      <w:r w:rsidRPr="00FA0D37">
        <w:t>,</w:t>
      </w:r>
    </w:p>
    <w:p w14:paraId="45048046" w14:textId="37387F7D" w:rsidR="00022DF1" w:rsidRPr="00FA0D37" w:rsidRDefault="00022DF1" w:rsidP="00FA0D37">
      <w:pPr>
        <w:pStyle w:val="PL"/>
      </w:pPr>
      <w:r w:rsidRPr="00FA0D37">
        <w:t xml:space="preserve">    intraCG-Prioritization-r17               </w:t>
      </w:r>
      <w:r w:rsidRPr="00FA0D37">
        <w:rPr>
          <w:color w:val="993366"/>
        </w:rPr>
        <w:t>ENUMERATED</w:t>
      </w:r>
      <w:r w:rsidRPr="00FA0D37">
        <w:t xml:space="preserve"> {supported}     </w:t>
      </w:r>
      <w:r w:rsidRPr="00FA0D37">
        <w:rPr>
          <w:color w:val="993366"/>
        </w:rPr>
        <w:t>OPTIONAL</w:t>
      </w:r>
      <w:r w:rsidRPr="00FA0D37">
        <w:t>,</w:t>
      </w:r>
    </w:p>
    <w:p w14:paraId="58B9C7D5" w14:textId="5109002F" w:rsidR="00022DF1" w:rsidRPr="00FA0D37" w:rsidRDefault="00022DF1" w:rsidP="00FA0D37">
      <w:pPr>
        <w:pStyle w:val="PL"/>
      </w:pPr>
      <w:r w:rsidRPr="00FA0D37">
        <w:t xml:space="preserve">    jointPrioritizationCG-Retx-Timer-r17     </w:t>
      </w:r>
      <w:r w:rsidRPr="00FA0D37">
        <w:rPr>
          <w:color w:val="993366"/>
        </w:rPr>
        <w:t>ENUMERATED</w:t>
      </w:r>
      <w:r w:rsidRPr="00FA0D37">
        <w:t xml:space="preserve"> {supported}     </w:t>
      </w:r>
      <w:r w:rsidRPr="00FA0D37">
        <w:rPr>
          <w:color w:val="993366"/>
        </w:rPr>
        <w:t>OPTIONAL</w:t>
      </w:r>
      <w:r w:rsidRPr="00FA0D37">
        <w:t>,</w:t>
      </w:r>
    </w:p>
    <w:p w14:paraId="6A341E61" w14:textId="771EC0E4" w:rsidR="00022DF1" w:rsidRPr="00FA0D37" w:rsidRDefault="00022DF1" w:rsidP="00FA0D37">
      <w:pPr>
        <w:pStyle w:val="PL"/>
      </w:pPr>
      <w:r w:rsidRPr="00FA0D37">
        <w:t xml:space="preserve">    survivalTime-r17                         </w:t>
      </w:r>
      <w:r w:rsidRPr="00FA0D37">
        <w:rPr>
          <w:color w:val="993366"/>
        </w:rPr>
        <w:t>ENUMERATED</w:t>
      </w:r>
      <w:r w:rsidRPr="00FA0D37">
        <w:t xml:space="preserve"> {supported}     </w:t>
      </w:r>
      <w:r w:rsidRPr="00FA0D37">
        <w:rPr>
          <w:color w:val="993366"/>
        </w:rPr>
        <w:t>OPTIONAL</w:t>
      </w:r>
      <w:r w:rsidRPr="00FA0D37">
        <w:t>,</w:t>
      </w:r>
    </w:p>
    <w:p w14:paraId="6C7E4D92" w14:textId="77777777" w:rsidR="00022DF1" w:rsidRPr="00FA0D37" w:rsidRDefault="00022DF1" w:rsidP="00FA0D37">
      <w:pPr>
        <w:pStyle w:val="PL"/>
      </w:pPr>
      <w:r w:rsidRPr="00FA0D37">
        <w:t xml:space="preserve">    lcg-ExtensionIAB-r17                     </w:t>
      </w:r>
      <w:r w:rsidRPr="00FA0D37">
        <w:rPr>
          <w:color w:val="993366"/>
        </w:rPr>
        <w:t>ENUMERATED</w:t>
      </w:r>
      <w:r w:rsidRPr="00FA0D37">
        <w:t xml:space="preserve"> {supported}     </w:t>
      </w:r>
      <w:r w:rsidRPr="00FA0D37">
        <w:rPr>
          <w:color w:val="993366"/>
        </w:rPr>
        <w:t>OPTIONAL</w:t>
      </w:r>
      <w:r w:rsidRPr="00FA0D37">
        <w:t>,</w:t>
      </w:r>
    </w:p>
    <w:p w14:paraId="035C832C" w14:textId="77777777" w:rsidR="00022DF1" w:rsidRPr="00FA0D37" w:rsidRDefault="00022DF1" w:rsidP="00FA0D37">
      <w:pPr>
        <w:pStyle w:val="PL"/>
      </w:pPr>
      <w:r w:rsidRPr="00FA0D37">
        <w:t xml:space="preserve">    harq-FeedbackDisabled-r17                </w:t>
      </w:r>
      <w:r w:rsidRPr="00FA0D37">
        <w:rPr>
          <w:color w:val="993366"/>
        </w:rPr>
        <w:t>ENUMERATED</w:t>
      </w:r>
      <w:r w:rsidRPr="00FA0D37">
        <w:t xml:space="preserve"> {supported}     </w:t>
      </w:r>
      <w:r w:rsidRPr="00FA0D37">
        <w:rPr>
          <w:color w:val="993366"/>
        </w:rPr>
        <w:t>OPTIONAL</w:t>
      </w:r>
      <w:r w:rsidRPr="00FA0D37">
        <w:t>,</w:t>
      </w:r>
    </w:p>
    <w:p w14:paraId="0F20D4E7" w14:textId="3CC88002" w:rsidR="00022DF1" w:rsidRPr="00FA0D37" w:rsidRDefault="00022DF1" w:rsidP="00FA0D37">
      <w:pPr>
        <w:pStyle w:val="PL"/>
      </w:pPr>
      <w:r w:rsidRPr="00FA0D37">
        <w:t xml:space="preserve">    uplink-Harq-ModeB-r17                    </w:t>
      </w:r>
      <w:r w:rsidRPr="00FA0D37">
        <w:rPr>
          <w:color w:val="993366"/>
        </w:rPr>
        <w:t>ENUMERATED</w:t>
      </w:r>
      <w:r w:rsidRPr="00FA0D37">
        <w:t xml:space="preserve"> {supported}     </w:t>
      </w:r>
      <w:r w:rsidRPr="00FA0D37">
        <w:rPr>
          <w:color w:val="993366"/>
        </w:rPr>
        <w:t>OPTIONAL</w:t>
      </w:r>
      <w:r w:rsidRPr="00FA0D37">
        <w:t>,</w:t>
      </w:r>
    </w:p>
    <w:p w14:paraId="0FEBF1FF" w14:textId="77777777" w:rsidR="00B166EA" w:rsidRPr="00FA0D37" w:rsidRDefault="00022DF1" w:rsidP="00FA0D37">
      <w:pPr>
        <w:pStyle w:val="PL"/>
      </w:pPr>
      <w:r w:rsidRPr="00FA0D37">
        <w:t xml:space="preserve">    sr-TriggeredBy-TA-Report-r17             </w:t>
      </w:r>
      <w:r w:rsidRPr="00FA0D37">
        <w:rPr>
          <w:color w:val="993366"/>
        </w:rPr>
        <w:t>ENUMERATED</w:t>
      </w:r>
      <w:r w:rsidRPr="00FA0D37">
        <w:t xml:space="preserve"> {supported}     </w:t>
      </w:r>
      <w:r w:rsidRPr="00FA0D37">
        <w:rPr>
          <w:color w:val="993366"/>
        </w:rPr>
        <w:t>OPTIONAL</w:t>
      </w:r>
      <w:r w:rsidR="00B166EA" w:rsidRPr="00FA0D37">
        <w:t>,</w:t>
      </w:r>
    </w:p>
    <w:p w14:paraId="799451F2" w14:textId="024E8307" w:rsidR="00022DF1" w:rsidRPr="00FA0D37" w:rsidRDefault="00B166EA" w:rsidP="00FA0D37">
      <w:pPr>
        <w:pStyle w:val="PL"/>
      </w:pPr>
      <w:r w:rsidRPr="00FA0D37">
        <w:t xml:space="preserve">    extendedDRX-CycleInactive-r17            </w:t>
      </w:r>
      <w:r w:rsidRPr="00FA0D37">
        <w:rPr>
          <w:color w:val="993366"/>
        </w:rPr>
        <w:t>ENUMERATED</w:t>
      </w:r>
      <w:r w:rsidRPr="00FA0D37">
        <w:t xml:space="preserve"> {supported}     </w:t>
      </w:r>
      <w:r w:rsidRPr="00FA0D37">
        <w:rPr>
          <w:color w:val="993366"/>
        </w:rPr>
        <w:t>OPTIONAL</w:t>
      </w:r>
      <w:r w:rsidR="00973FD9" w:rsidRPr="00FA0D37">
        <w:t>,</w:t>
      </w:r>
    </w:p>
    <w:p w14:paraId="26FC6346" w14:textId="40A24441" w:rsidR="00FD0B5C" w:rsidRPr="00FA0D37" w:rsidRDefault="00FD0B5C" w:rsidP="00FA0D37">
      <w:pPr>
        <w:pStyle w:val="PL"/>
      </w:pPr>
      <w:r w:rsidRPr="00FA0D37">
        <w:t xml:space="preserve">    simultaneousSR-PUSCH-DiffPUCCH-groups-r17 </w:t>
      </w:r>
      <w:r w:rsidRPr="00FA0D37">
        <w:rPr>
          <w:color w:val="993366"/>
        </w:rPr>
        <w:t>ENUMERATED</w:t>
      </w:r>
      <w:r w:rsidRPr="00FA0D37">
        <w:t xml:space="preserve"> {supported}    </w:t>
      </w:r>
      <w:r w:rsidRPr="00FA0D37">
        <w:rPr>
          <w:color w:val="993366"/>
        </w:rPr>
        <w:t>OPTIONAL</w:t>
      </w:r>
      <w:r w:rsidR="0039034E" w:rsidRPr="00FA0D37">
        <w:t>,</w:t>
      </w:r>
    </w:p>
    <w:p w14:paraId="27185BA5" w14:textId="77777777" w:rsidR="0039034E" w:rsidRPr="00FA0D37" w:rsidRDefault="0039034E" w:rsidP="00FA0D37">
      <w:pPr>
        <w:pStyle w:val="PL"/>
      </w:pPr>
      <w:r w:rsidRPr="00FA0D37">
        <w:t xml:space="preserve">    lastTransmissionUL-r17                   </w:t>
      </w:r>
      <w:r w:rsidRPr="00FA0D37">
        <w:rPr>
          <w:color w:val="993366"/>
        </w:rPr>
        <w:t>ENUMERATED</w:t>
      </w:r>
      <w:r w:rsidRPr="00FA0D37">
        <w:t xml:space="preserve"> {supported}     </w:t>
      </w:r>
      <w:r w:rsidRPr="00FA0D37">
        <w:rPr>
          <w:color w:val="993366"/>
        </w:rPr>
        <w:t>OPTIONAL</w:t>
      </w:r>
    </w:p>
    <w:p w14:paraId="156E9331" w14:textId="2BD1B4F8" w:rsidR="00394471" w:rsidRPr="00FA0D37" w:rsidRDefault="00FD0B5C" w:rsidP="00FA0D37">
      <w:pPr>
        <w:pStyle w:val="PL"/>
      </w:pPr>
      <w:r w:rsidRPr="00FA0D37">
        <w:t xml:space="preserve">    ]]</w:t>
      </w:r>
    </w:p>
    <w:p w14:paraId="4E1178B8" w14:textId="77777777" w:rsidR="00394471" w:rsidRPr="00FA0D37" w:rsidRDefault="00394471" w:rsidP="00FA0D37">
      <w:pPr>
        <w:pStyle w:val="PL"/>
      </w:pPr>
      <w:r w:rsidRPr="00FA0D37">
        <w:t>}</w:t>
      </w:r>
    </w:p>
    <w:p w14:paraId="0F511459" w14:textId="77777777" w:rsidR="00394471" w:rsidRPr="00FA0D37" w:rsidRDefault="00394471" w:rsidP="00FA0D37">
      <w:pPr>
        <w:pStyle w:val="PL"/>
      </w:pPr>
    </w:p>
    <w:p w14:paraId="34864438" w14:textId="77777777" w:rsidR="00394471" w:rsidRPr="00FA0D37" w:rsidRDefault="00394471" w:rsidP="00FA0D37">
      <w:pPr>
        <w:pStyle w:val="PL"/>
      </w:pPr>
      <w:r w:rsidRPr="00FA0D37">
        <w:t xml:space="preserve">MAC-ParametersFRX-Diff-r16 ::=  </w:t>
      </w:r>
      <w:r w:rsidRPr="00FA0D37">
        <w:rPr>
          <w:color w:val="993366"/>
        </w:rPr>
        <w:t>SEQUENCE</w:t>
      </w:r>
      <w:r w:rsidRPr="00FA0D37">
        <w:t xml:space="preserve"> {</w:t>
      </w:r>
    </w:p>
    <w:p w14:paraId="1DF3E06D" w14:textId="77777777" w:rsidR="00394471" w:rsidRPr="00FA0D37" w:rsidRDefault="00394471" w:rsidP="00FA0D37">
      <w:pPr>
        <w:pStyle w:val="PL"/>
      </w:pPr>
      <w:r w:rsidRPr="00FA0D37">
        <w:t xml:space="preserve">    directMCG-SCellActivation-r16           </w:t>
      </w:r>
      <w:r w:rsidRPr="00FA0D37">
        <w:rPr>
          <w:color w:val="993366"/>
        </w:rPr>
        <w:t>ENUMERATED</w:t>
      </w:r>
      <w:r w:rsidRPr="00FA0D37">
        <w:t xml:space="preserve"> {supported}      </w:t>
      </w:r>
      <w:r w:rsidRPr="00FA0D37">
        <w:rPr>
          <w:color w:val="993366"/>
        </w:rPr>
        <w:t>OPTIONAL</w:t>
      </w:r>
      <w:r w:rsidRPr="00FA0D37">
        <w:t>,</w:t>
      </w:r>
    </w:p>
    <w:p w14:paraId="2FF58566" w14:textId="77777777" w:rsidR="00394471" w:rsidRPr="00FA0D37" w:rsidRDefault="00394471" w:rsidP="00FA0D37">
      <w:pPr>
        <w:pStyle w:val="PL"/>
      </w:pPr>
      <w:r w:rsidRPr="00FA0D37">
        <w:t xml:space="preserve">    directMCG-SCellActivationResume-r16     </w:t>
      </w:r>
      <w:r w:rsidRPr="00FA0D37">
        <w:rPr>
          <w:color w:val="993366"/>
        </w:rPr>
        <w:t>ENUMERATED</w:t>
      </w:r>
      <w:r w:rsidRPr="00FA0D37">
        <w:t xml:space="preserve"> {supported}      </w:t>
      </w:r>
      <w:r w:rsidRPr="00FA0D37">
        <w:rPr>
          <w:color w:val="993366"/>
        </w:rPr>
        <w:t>OPTIONAL</w:t>
      </w:r>
      <w:r w:rsidRPr="00FA0D37">
        <w:t>,</w:t>
      </w:r>
    </w:p>
    <w:p w14:paraId="790B5EB0" w14:textId="77777777" w:rsidR="00394471" w:rsidRPr="00FA0D37" w:rsidRDefault="00394471" w:rsidP="00FA0D37">
      <w:pPr>
        <w:pStyle w:val="PL"/>
      </w:pPr>
      <w:r w:rsidRPr="00FA0D37">
        <w:t xml:space="preserve">    directSCG-SCellActivation-r16           </w:t>
      </w:r>
      <w:r w:rsidRPr="00FA0D37">
        <w:rPr>
          <w:color w:val="993366"/>
        </w:rPr>
        <w:t>ENUMERATED</w:t>
      </w:r>
      <w:r w:rsidRPr="00FA0D37">
        <w:t xml:space="preserve"> {supported}      </w:t>
      </w:r>
      <w:r w:rsidRPr="00FA0D37">
        <w:rPr>
          <w:color w:val="993366"/>
        </w:rPr>
        <w:t>OPTIONAL</w:t>
      </w:r>
      <w:r w:rsidRPr="00FA0D37">
        <w:t>,</w:t>
      </w:r>
    </w:p>
    <w:p w14:paraId="443C6E76" w14:textId="77777777" w:rsidR="00394471" w:rsidRPr="00FA0D37" w:rsidRDefault="00394471" w:rsidP="00FA0D37">
      <w:pPr>
        <w:pStyle w:val="PL"/>
      </w:pPr>
      <w:r w:rsidRPr="00FA0D37">
        <w:t xml:space="preserve">    directSCG-SCellActivationResume-r16     </w:t>
      </w:r>
      <w:r w:rsidRPr="00FA0D37">
        <w:rPr>
          <w:color w:val="993366"/>
        </w:rPr>
        <w:t>ENUMERATED</w:t>
      </w:r>
      <w:r w:rsidRPr="00FA0D37">
        <w:t xml:space="preserve"> {supported}      </w:t>
      </w:r>
      <w:r w:rsidRPr="00FA0D37">
        <w:rPr>
          <w:color w:val="993366"/>
        </w:rPr>
        <w:t>OPTIONAL</w:t>
      </w:r>
      <w:r w:rsidRPr="00FA0D37">
        <w:t>,</w:t>
      </w:r>
    </w:p>
    <w:p w14:paraId="5D668DB1" w14:textId="77777777" w:rsidR="00394471" w:rsidRPr="00FA0D37" w:rsidRDefault="00394471" w:rsidP="00FA0D37">
      <w:pPr>
        <w:pStyle w:val="PL"/>
        <w:rPr>
          <w:color w:val="808080"/>
        </w:rPr>
      </w:pPr>
      <w:r w:rsidRPr="00FA0D37">
        <w:t xml:space="preserve">    </w:t>
      </w:r>
      <w:r w:rsidRPr="00FA0D37">
        <w:rPr>
          <w:color w:val="808080"/>
        </w:rPr>
        <w:t>-- R1 19-1: DRX Adaptation</w:t>
      </w:r>
    </w:p>
    <w:p w14:paraId="42569D90" w14:textId="77777777" w:rsidR="00394471" w:rsidRPr="00FA0D37" w:rsidRDefault="00394471" w:rsidP="00FA0D37">
      <w:pPr>
        <w:pStyle w:val="PL"/>
      </w:pPr>
      <w:r w:rsidRPr="00FA0D37">
        <w:t xml:space="preserve">    drx-Adaptation-r16          </w:t>
      </w:r>
      <w:r w:rsidRPr="00FA0D37">
        <w:rPr>
          <w:color w:val="993366"/>
        </w:rPr>
        <w:t>SEQUENCE</w:t>
      </w:r>
      <w:r w:rsidRPr="00FA0D37">
        <w:t xml:space="preserve"> {</w:t>
      </w:r>
    </w:p>
    <w:p w14:paraId="0FE7641F" w14:textId="77777777" w:rsidR="00394471" w:rsidRPr="00FA0D37" w:rsidRDefault="00394471" w:rsidP="00FA0D37">
      <w:pPr>
        <w:pStyle w:val="PL"/>
      </w:pPr>
      <w:r w:rsidRPr="00FA0D37">
        <w:t xml:space="preserve">        non-SharedSpectrumChAccess-r16      MinTimeGap-r16              </w:t>
      </w:r>
      <w:r w:rsidRPr="00FA0D37">
        <w:rPr>
          <w:color w:val="993366"/>
        </w:rPr>
        <w:t>OPTIONAL</w:t>
      </w:r>
      <w:r w:rsidRPr="00FA0D37">
        <w:t>,</w:t>
      </w:r>
    </w:p>
    <w:p w14:paraId="3AF8C5B0" w14:textId="77777777" w:rsidR="00394471" w:rsidRPr="00FA0D37" w:rsidRDefault="00394471" w:rsidP="00FA0D37">
      <w:pPr>
        <w:pStyle w:val="PL"/>
      </w:pPr>
      <w:r w:rsidRPr="00FA0D37">
        <w:t xml:space="preserve">        sharedSpectrumChAccess-r16          MinTimeGap-r16              </w:t>
      </w:r>
      <w:r w:rsidRPr="00FA0D37">
        <w:rPr>
          <w:color w:val="993366"/>
        </w:rPr>
        <w:t>OPTIONAL</w:t>
      </w:r>
    </w:p>
    <w:p w14:paraId="74C4D543" w14:textId="77777777" w:rsidR="00394471" w:rsidRPr="00FA0D37" w:rsidRDefault="00394471" w:rsidP="00FA0D37">
      <w:pPr>
        <w:pStyle w:val="PL"/>
      </w:pPr>
      <w:r w:rsidRPr="00FA0D37">
        <w:t xml:space="preserve">    }                                                                   </w:t>
      </w:r>
      <w:r w:rsidRPr="00FA0D37">
        <w:rPr>
          <w:color w:val="993366"/>
        </w:rPr>
        <w:t>OPTIONAL</w:t>
      </w:r>
      <w:r w:rsidRPr="00FA0D37">
        <w:t>,</w:t>
      </w:r>
    </w:p>
    <w:p w14:paraId="3E3673DC" w14:textId="77777777" w:rsidR="00394471" w:rsidRPr="00FA0D37" w:rsidRDefault="00394471" w:rsidP="00FA0D37">
      <w:pPr>
        <w:pStyle w:val="PL"/>
      </w:pPr>
      <w:r w:rsidRPr="00FA0D37">
        <w:t xml:space="preserve">    ...</w:t>
      </w:r>
    </w:p>
    <w:p w14:paraId="4A0796F6" w14:textId="77777777" w:rsidR="00394471" w:rsidRPr="00FA0D37" w:rsidRDefault="00394471" w:rsidP="00FA0D37">
      <w:pPr>
        <w:pStyle w:val="PL"/>
      </w:pPr>
      <w:r w:rsidRPr="00FA0D37">
        <w:t>}</w:t>
      </w:r>
    </w:p>
    <w:p w14:paraId="39F2D843" w14:textId="77777777" w:rsidR="00022DF1" w:rsidRPr="00FA0D37" w:rsidRDefault="00022DF1" w:rsidP="00FA0D37">
      <w:pPr>
        <w:pStyle w:val="PL"/>
      </w:pPr>
    </w:p>
    <w:p w14:paraId="345F5849" w14:textId="77777777" w:rsidR="00022DF1" w:rsidRPr="00FA0D37" w:rsidRDefault="00022DF1" w:rsidP="00FA0D37">
      <w:pPr>
        <w:pStyle w:val="PL"/>
      </w:pPr>
      <w:r w:rsidRPr="00FA0D37">
        <w:t xml:space="preserve">MAC-ParametersFR2-2-r17 ::=  </w:t>
      </w:r>
      <w:r w:rsidRPr="00FA0D37">
        <w:rPr>
          <w:color w:val="993366"/>
        </w:rPr>
        <w:t>SEQUENCE</w:t>
      </w:r>
      <w:r w:rsidRPr="00FA0D37">
        <w:t xml:space="preserve"> {</w:t>
      </w:r>
    </w:p>
    <w:p w14:paraId="48CAA91C" w14:textId="77777777" w:rsidR="00022DF1" w:rsidRPr="00FA0D37" w:rsidRDefault="00022DF1" w:rsidP="00FA0D37">
      <w:pPr>
        <w:pStyle w:val="PL"/>
      </w:pPr>
      <w:r w:rsidRPr="00FA0D37">
        <w:t xml:space="preserve">    directMCG-SCellActivation-r17           </w:t>
      </w:r>
      <w:r w:rsidRPr="00FA0D37">
        <w:rPr>
          <w:color w:val="993366"/>
        </w:rPr>
        <w:t>ENUMERATED</w:t>
      </w:r>
      <w:r w:rsidRPr="00FA0D37">
        <w:t xml:space="preserve"> {supported}      </w:t>
      </w:r>
      <w:r w:rsidRPr="00FA0D37">
        <w:rPr>
          <w:color w:val="993366"/>
        </w:rPr>
        <w:t>OPTIONAL</w:t>
      </w:r>
      <w:r w:rsidRPr="00FA0D37">
        <w:t>,</w:t>
      </w:r>
    </w:p>
    <w:p w14:paraId="21C660AE" w14:textId="77777777" w:rsidR="00022DF1" w:rsidRPr="00FA0D37" w:rsidRDefault="00022DF1" w:rsidP="00FA0D37">
      <w:pPr>
        <w:pStyle w:val="PL"/>
      </w:pPr>
      <w:r w:rsidRPr="00FA0D37">
        <w:t xml:space="preserve">    directMCG-SCellActivationResume-r17     </w:t>
      </w:r>
      <w:r w:rsidRPr="00FA0D37">
        <w:rPr>
          <w:color w:val="993366"/>
        </w:rPr>
        <w:t>ENUMERATED</w:t>
      </w:r>
      <w:r w:rsidRPr="00FA0D37">
        <w:t xml:space="preserve"> {supported}      </w:t>
      </w:r>
      <w:r w:rsidRPr="00FA0D37">
        <w:rPr>
          <w:color w:val="993366"/>
        </w:rPr>
        <w:t>OPTIONAL</w:t>
      </w:r>
      <w:r w:rsidRPr="00FA0D37">
        <w:t>,</w:t>
      </w:r>
    </w:p>
    <w:p w14:paraId="5277ADF4" w14:textId="77777777" w:rsidR="00022DF1" w:rsidRPr="00FA0D37" w:rsidRDefault="00022DF1" w:rsidP="00FA0D37">
      <w:pPr>
        <w:pStyle w:val="PL"/>
      </w:pPr>
      <w:r w:rsidRPr="00FA0D37">
        <w:t xml:space="preserve">    directSCG-SCellActivation-r17           </w:t>
      </w:r>
      <w:r w:rsidRPr="00FA0D37">
        <w:rPr>
          <w:color w:val="993366"/>
        </w:rPr>
        <w:t>ENUMERATED</w:t>
      </w:r>
      <w:r w:rsidRPr="00FA0D37">
        <w:t xml:space="preserve"> {supported}      </w:t>
      </w:r>
      <w:r w:rsidRPr="00FA0D37">
        <w:rPr>
          <w:color w:val="993366"/>
        </w:rPr>
        <w:t>OPTIONAL</w:t>
      </w:r>
      <w:r w:rsidRPr="00FA0D37">
        <w:t>,</w:t>
      </w:r>
    </w:p>
    <w:p w14:paraId="54595310" w14:textId="77777777" w:rsidR="00022DF1" w:rsidRPr="00FA0D37" w:rsidRDefault="00022DF1" w:rsidP="00FA0D37">
      <w:pPr>
        <w:pStyle w:val="PL"/>
      </w:pPr>
      <w:r w:rsidRPr="00FA0D37">
        <w:t xml:space="preserve">    directSCG-SCellActivationResume-r17     </w:t>
      </w:r>
      <w:r w:rsidRPr="00FA0D37">
        <w:rPr>
          <w:color w:val="993366"/>
        </w:rPr>
        <w:t>ENUMERATED</w:t>
      </w:r>
      <w:r w:rsidRPr="00FA0D37">
        <w:t xml:space="preserve"> {supported}      </w:t>
      </w:r>
      <w:r w:rsidRPr="00FA0D37">
        <w:rPr>
          <w:color w:val="993366"/>
        </w:rPr>
        <w:t>OPTIONAL</w:t>
      </w:r>
      <w:r w:rsidRPr="00FA0D37">
        <w:t>,</w:t>
      </w:r>
    </w:p>
    <w:p w14:paraId="15EB22CD" w14:textId="63D56F05" w:rsidR="00B166EA" w:rsidRPr="00FA0D37" w:rsidRDefault="00B166EA" w:rsidP="00FA0D37">
      <w:pPr>
        <w:pStyle w:val="PL"/>
      </w:pPr>
      <w:r w:rsidRPr="00FA0D37">
        <w:t xml:space="preserve">    drx-Adaptation-r17       </w:t>
      </w:r>
      <w:r w:rsidRPr="00FA0D37">
        <w:rPr>
          <w:color w:val="993366"/>
        </w:rPr>
        <w:t>SEQUENCE</w:t>
      </w:r>
      <w:r w:rsidRPr="00FA0D37">
        <w:t xml:space="preserve"> {</w:t>
      </w:r>
    </w:p>
    <w:p w14:paraId="78A2C113" w14:textId="4F01CA29" w:rsidR="00B166EA" w:rsidRPr="00FA0D37" w:rsidRDefault="00B166EA" w:rsidP="00FA0D37">
      <w:pPr>
        <w:pStyle w:val="PL"/>
      </w:pPr>
      <w:r w:rsidRPr="00FA0D37">
        <w:t xml:space="preserve">        non-SharedSpectrumChAccess-r17      MinTimeGapFR2-2-r17         </w:t>
      </w:r>
      <w:r w:rsidRPr="00FA0D37">
        <w:rPr>
          <w:color w:val="993366"/>
        </w:rPr>
        <w:t>OPTIONAL</w:t>
      </w:r>
      <w:r w:rsidRPr="00FA0D37">
        <w:t>,</w:t>
      </w:r>
    </w:p>
    <w:p w14:paraId="16D5F55C" w14:textId="132EAEAC" w:rsidR="00B166EA" w:rsidRPr="00FA0D37" w:rsidRDefault="00B166EA" w:rsidP="00FA0D37">
      <w:pPr>
        <w:pStyle w:val="PL"/>
      </w:pPr>
      <w:r w:rsidRPr="00FA0D37">
        <w:t xml:space="preserve">        sharedSpectrumChAccess-r17          MinTimeGapFR2-2-r17         </w:t>
      </w:r>
      <w:r w:rsidRPr="00FA0D37">
        <w:rPr>
          <w:color w:val="993366"/>
        </w:rPr>
        <w:t>OPTIONAL</w:t>
      </w:r>
    </w:p>
    <w:p w14:paraId="5A2C69FD" w14:textId="77777777" w:rsidR="00B166EA" w:rsidRPr="00FA0D37" w:rsidRDefault="00B166EA" w:rsidP="00FA0D37">
      <w:pPr>
        <w:pStyle w:val="PL"/>
      </w:pPr>
      <w:r w:rsidRPr="00FA0D37">
        <w:t xml:space="preserve">    }                                                                   </w:t>
      </w:r>
      <w:r w:rsidRPr="00FA0D37">
        <w:rPr>
          <w:color w:val="993366"/>
        </w:rPr>
        <w:t>OPTIONAL</w:t>
      </w:r>
      <w:r w:rsidRPr="00FA0D37">
        <w:t>,</w:t>
      </w:r>
    </w:p>
    <w:p w14:paraId="01D47C76" w14:textId="10EC740A" w:rsidR="00022DF1" w:rsidRPr="00FA0D37" w:rsidRDefault="00022DF1" w:rsidP="00FA0D37">
      <w:pPr>
        <w:pStyle w:val="PL"/>
      </w:pPr>
      <w:r w:rsidRPr="00FA0D37">
        <w:t xml:space="preserve">    ...</w:t>
      </w:r>
    </w:p>
    <w:p w14:paraId="2037459E" w14:textId="4905CF2E" w:rsidR="00394471" w:rsidRPr="00FA0D37" w:rsidRDefault="00022DF1" w:rsidP="00FA0D37">
      <w:pPr>
        <w:pStyle w:val="PL"/>
      </w:pPr>
      <w:r w:rsidRPr="00FA0D37">
        <w:t>}</w:t>
      </w:r>
    </w:p>
    <w:p w14:paraId="7EE9F6DE" w14:textId="77777777" w:rsidR="00022DF1" w:rsidRPr="00FA0D37" w:rsidRDefault="00022DF1" w:rsidP="00FA0D37">
      <w:pPr>
        <w:pStyle w:val="PL"/>
      </w:pPr>
    </w:p>
    <w:p w14:paraId="0376879B" w14:textId="77777777" w:rsidR="00394471" w:rsidRPr="00FA0D37" w:rsidRDefault="00394471" w:rsidP="00FA0D37">
      <w:pPr>
        <w:pStyle w:val="PL"/>
      </w:pPr>
      <w:r w:rsidRPr="00FA0D37">
        <w:t xml:space="preserve">MAC-ParametersXDD-Diff ::=  </w:t>
      </w:r>
      <w:r w:rsidRPr="00FA0D37">
        <w:rPr>
          <w:color w:val="993366"/>
        </w:rPr>
        <w:t>SEQUENCE</w:t>
      </w:r>
      <w:r w:rsidRPr="00FA0D37">
        <w:t xml:space="preserve"> {</w:t>
      </w:r>
    </w:p>
    <w:p w14:paraId="753D0A8A" w14:textId="77777777" w:rsidR="00394471" w:rsidRPr="00FA0D37" w:rsidRDefault="00394471" w:rsidP="00FA0D37">
      <w:pPr>
        <w:pStyle w:val="PL"/>
      </w:pPr>
      <w:r w:rsidRPr="00FA0D37">
        <w:t xml:space="preserve">    skipUplinkTxDynamic                     </w:t>
      </w:r>
      <w:r w:rsidRPr="00FA0D37">
        <w:rPr>
          <w:color w:val="993366"/>
        </w:rPr>
        <w:t>ENUMERATED</w:t>
      </w:r>
      <w:r w:rsidRPr="00FA0D37">
        <w:t xml:space="preserve"> {supported}     </w:t>
      </w:r>
      <w:r w:rsidRPr="00FA0D37">
        <w:rPr>
          <w:color w:val="993366"/>
        </w:rPr>
        <w:t>OPTIONAL</w:t>
      </w:r>
      <w:r w:rsidRPr="00FA0D37">
        <w:t>,</w:t>
      </w:r>
    </w:p>
    <w:p w14:paraId="41CA4A0B" w14:textId="77777777" w:rsidR="00394471" w:rsidRPr="00FA0D37" w:rsidRDefault="00394471" w:rsidP="00FA0D37">
      <w:pPr>
        <w:pStyle w:val="PL"/>
      </w:pPr>
      <w:r w:rsidRPr="00FA0D37">
        <w:t xml:space="preserve">    logicalChannelSR-DelayTimer             </w:t>
      </w:r>
      <w:r w:rsidRPr="00FA0D37">
        <w:rPr>
          <w:color w:val="993366"/>
        </w:rPr>
        <w:t>ENUMERATED</w:t>
      </w:r>
      <w:r w:rsidRPr="00FA0D37">
        <w:t xml:space="preserve"> {supported}     </w:t>
      </w:r>
      <w:r w:rsidRPr="00FA0D37">
        <w:rPr>
          <w:color w:val="993366"/>
        </w:rPr>
        <w:t>OPTIONAL</w:t>
      </w:r>
      <w:r w:rsidRPr="00FA0D37">
        <w:t>,</w:t>
      </w:r>
    </w:p>
    <w:p w14:paraId="08874FDB" w14:textId="77777777" w:rsidR="00394471" w:rsidRPr="00FA0D37" w:rsidRDefault="00394471" w:rsidP="00FA0D37">
      <w:pPr>
        <w:pStyle w:val="PL"/>
      </w:pPr>
      <w:r w:rsidRPr="00FA0D37">
        <w:t xml:space="preserve">    longDRX-Cycle                           </w:t>
      </w:r>
      <w:r w:rsidRPr="00FA0D37">
        <w:rPr>
          <w:color w:val="993366"/>
        </w:rPr>
        <w:t>ENUMERATED</w:t>
      </w:r>
      <w:r w:rsidRPr="00FA0D37">
        <w:t xml:space="preserve"> {supported}     </w:t>
      </w:r>
      <w:r w:rsidRPr="00FA0D37">
        <w:rPr>
          <w:color w:val="993366"/>
        </w:rPr>
        <w:t>OPTIONAL</w:t>
      </w:r>
      <w:r w:rsidRPr="00FA0D37">
        <w:t>,</w:t>
      </w:r>
    </w:p>
    <w:p w14:paraId="4A0F3F74" w14:textId="77777777" w:rsidR="00394471" w:rsidRPr="00FA0D37" w:rsidRDefault="00394471" w:rsidP="00FA0D37">
      <w:pPr>
        <w:pStyle w:val="PL"/>
      </w:pPr>
      <w:r w:rsidRPr="00FA0D37">
        <w:t xml:space="preserve">    shortDRX-Cycle                          </w:t>
      </w:r>
      <w:r w:rsidRPr="00FA0D37">
        <w:rPr>
          <w:color w:val="993366"/>
        </w:rPr>
        <w:t>ENUMERATED</w:t>
      </w:r>
      <w:r w:rsidRPr="00FA0D37">
        <w:t xml:space="preserve"> {supported}     </w:t>
      </w:r>
      <w:r w:rsidRPr="00FA0D37">
        <w:rPr>
          <w:color w:val="993366"/>
        </w:rPr>
        <w:t>OPTIONAL</w:t>
      </w:r>
      <w:r w:rsidRPr="00FA0D37">
        <w:t>,</w:t>
      </w:r>
    </w:p>
    <w:p w14:paraId="46021623" w14:textId="77777777" w:rsidR="00394471" w:rsidRPr="00FA0D37" w:rsidRDefault="00394471" w:rsidP="00FA0D37">
      <w:pPr>
        <w:pStyle w:val="PL"/>
      </w:pPr>
      <w:r w:rsidRPr="00FA0D37">
        <w:t xml:space="preserve">    multipleSR-Configurations               </w:t>
      </w:r>
      <w:r w:rsidRPr="00FA0D37">
        <w:rPr>
          <w:color w:val="993366"/>
        </w:rPr>
        <w:t>ENUMERATED</w:t>
      </w:r>
      <w:r w:rsidRPr="00FA0D37">
        <w:t xml:space="preserve"> {supported}     </w:t>
      </w:r>
      <w:r w:rsidRPr="00FA0D37">
        <w:rPr>
          <w:color w:val="993366"/>
        </w:rPr>
        <w:t>OPTIONAL</w:t>
      </w:r>
      <w:r w:rsidRPr="00FA0D37">
        <w:t>,</w:t>
      </w:r>
    </w:p>
    <w:p w14:paraId="5918241D" w14:textId="77777777" w:rsidR="00394471" w:rsidRPr="00FA0D37" w:rsidRDefault="00394471" w:rsidP="00FA0D37">
      <w:pPr>
        <w:pStyle w:val="PL"/>
      </w:pPr>
      <w:r w:rsidRPr="00FA0D37">
        <w:t xml:space="preserve">    multipleConfiguredGrants                </w:t>
      </w:r>
      <w:r w:rsidRPr="00FA0D37">
        <w:rPr>
          <w:color w:val="993366"/>
        </w:rPr>
        <w:t>ENUMERATED</w:t>
      </w:r>
      <w:r w:rsidRPr="00FA0D37">
        <w:t xml:space="preserve"> {supported}     </w:t>
      </w:r>
      <w:r w:rsidRPr="00FA0D37">
        <w:rPr>
          <w:color w:val="993366"/>
        </w:rPr>
        <w:t>OPTIONAL</w:t>
      </w:r>
      <w:r w:rsidRPr="00FA0D37">
        <w:t>,</w:t>
      </w:r>
    </w:p>
    <w:p w14:paraId="0E2E5FDA" w14:textId="77777777" w:rsidR="00394471" w:rsidRPr="00FA0D37" w:rsidRDefault="00394471" w:rsidP="00FA0D37">
      <w:pPr>
        <w:pStyle w:val="PL"/>
      </w:pPr>
      <w:r w:rsidRPr="00FA0D37">
        <w:t xml:space="preserve">    ...,</w:t>
      </w:r>
    </w:p>
    <w:p w14:paraId="241FF694" w14:textId="77777777" w:rsidR="00394471" w:rsidRPr="00FA0D37" w:rsidRDefault="00394471" w:rsidP="00FA0D37">
      <w:pPr>
        <w:pStyle w:val="PL"/>
      </w:pPr>
      <w:r w:rsidRPr="00FA0D37">
        <w:t xml:space="preserve">    [[</w:t>
      </w:r>
    </w:p>
    <w:p w14:paraId="79435112" w14:textId="77777777" w:rsidR="00394471" w:rsidRPr="00FA0D37" w:rsidRDefault="00394471" w:rsidP="00FA0D37">
      <w:pPr>
        <w:pStyle w:val="PL"/>
      </w:pPr>
      <w:r w:rsidRPr="00FA0D37">
        <w:t xml:space="preserve">    secondaryDRX-Group-r16                  </w:t>
      </w:r>
      <w:r w:rsidRPr="00FA0D37">
        <w:rPr>
          <w:color w:val="993366"/>
        </w:rPr>
        <w:t>ENUMERATED</w:t>
      </w:r>
      <w:r w:rsidRPr="00FA0D37">
        <w:t xml:space="preserve"> {supported}     </w:t>
      </w:r>
      <w:r w:rsidRPr="00FA0D37">
        <w:rPr>
          <w:color w:val="993366"/>
        </w:rPr>
        <w:t>OPTIONAL</w:t>
      </w:r>
    </w:p>
    <w:p w14:paraId="52712FA4" w14:textId="47128B30" w:rsidR="005E7CB8" w:rsidRPr="00FA0D37" w:rsidRDefault="00394471" w:rsidP="00FA0D37">
      <w:pPr>
        <w:pStyle w:val="PL"/>
      </w:pPr>
      <w:r w:rsidRPr="00FA0D37">
        <w:t xml:space="preserve">    ]]</w:t>
      </w:r>
      <w:r w:rsidR="005E7CB8" w:rsidRPr="00FA0D37">
        <w:t>,</w:t>
      </w:r>
    </w:p>
    <w:p w14:paraId="4E5DBA85" w14:textId="77777777" w:rsidR="005E7CB8" w:rsidRPr="00FA0D37" w:rsidRDefault="005E7CB8" w:rsidP="00FA0D37">
      <w:pPr>
        <w:pStyle w:val="PL"/>
      </w:pPr>
      <w:r w:rsidRPr="00FA0D37">
        <w:t xml:space="preserve">    [[</w:t>
      </w:r>
    </w:p>
    <w:p w14:paraId="62EA09BB" w14:textId="5BB186D3" w:rsidR="005E7CB8" w:rsidRPr="00FA0D37" w:rsidRDefault="005E7CB8" w:rsidP="00FA0D37">
      <w:pPr>
        <w:pStyle w:val="PL"/>
      </w:pPr>
      <w:r w:rsidRPr="00FA0D37">
        <w:t xml:space="preserve">    enhancedSkipUplinkTxDynamic-r16         </w:t>
      </w:r>
      <w:r w:rsidRPr="00FA0D37">
        <w:rPr>
          <w:color w:val="993366"/>
        </w:rPr>
        <w:t>ENUMERATED</w:t>
      </w:r>
      <w:r w:rsidRPr="00FA0D37">
        <w:t xml:space="preserve"> {supported}     </w:t>
      </w:r>
      <w:r w:rsidRPr="00FA0D37">
        <w:rPr>
          <w:color w:val="993366"/>
        </w:rPr>
        <w:t>OPTIONAL</w:t>
      </w:r>
      <w:r w:rsidRPr="00FA0D37">
        <w:t>,</w:t>
      </w:r>
    </w:p>
    <w:p w14:paraId="478425AC" w14:textId="37D513FB" w:rsidR="005E7CB8" w:rsidRPr="00FA0D37" w:rsidRDefault="005E7CB8" w:rsidP="00FA0D37">
      <w:pPr>
        <w:pStyle w:val="PL"/>
      </w:pPr>
      <w:r w:rsidRPr="00FA0D37">
        <w:t xml:space="preserve">    enhancedSkipUplinkTxConfigured-r16      </w:t>
      </w:r>
      <w:r w:rsidRPr="00FA0D37">
        <w:rPr>
          <w:color w:val="993366"/>
        </w:rPr>
        <w:t>ENUMERATED</w:t>
      </w:r>
      <w:r w:rsidRPr="00FA0D37">
        <w:t xml:space="preserve"> {supported}     </w:t>
      </w:r>
      <w:r w:rsidRPr="00FA0D37">
        <w:rPr>
          <w:color w:val="993366"/>
        </w:rPr>
        <w:t>OPTIONAL</w:t>
      </w:r>
    </w:p>
    <w:p w14:paraId="268A206B" w14:textId="33A6100D" w:rsidR="00394471" w:rsidRPr="00FA0D37" w:rsidRDefault="005E7CB8" w:rsidP="00FA0D37">
      <w:pPr>
        <w:pStyle w:val="PL"/>
      </w:pPr>
      <w:r w:rsidRPr="00FA0D37">
        <w:t xml:space="preserve">    ]]</w:t>
      </w:r>
    </w:p>
    <w:p w14:paraId="1C0A6C89" w14:textId="77777777" w:rsidR="00394471" w:rsidRPr="00FA0D37" w:rsidRDefault="00394471" w:rsidP="00FA0D37">
      <w:pPr>
        <w:pStyle w:val="PL"/>
      </w:pPr>
      <w:r w:rsidRPr="00FA0D37">
        <w:t>}</w:t>
      </w:r>
    </w:p>
    <w:p w14:paraId="56F27812" w14:textId="77777777" w:rsidR="00394471" w:rsidRPr="00FA0D37" w:rsidRDefault="00394471" w:rsidP="00FA0D37">
      <w:pPr>
        <w:pStyle w:val="PL"/>
      </w:pPr>
    </w:p>
    <w:p w14:paraId="2EF51C23" w14:textId="77777777" w:rsidR="00394471" w:rsidRPr="00FA0D37" w:rsidRDefault="00394471" w:rsidP="00FA0D37">
      <w:pPr>
        <w:pStyle w:val="PL"/>
        <w:rPr>
          <w:rFonts w:eastAsiaTheme="minorEastAsia"/>
        </w:rPr>
      </w:pPr>
      <w:r w:rsidRPr="00FA0D37">
        <w:rPr>
          <w:rFonts w:eastAsiaTheme="minorEastAsia"/>
        </w:rPr>
        <w:t>MinTimeGap-r16 ::=</w:t>
      </w:r>
      <w:r w:rsidRPr="00FA0D37">
        <w:t xml:space="preserve">    </w:t>
      </w:r>
      <w:r w:rsidRPr="00FA0D37">
        <w:rPr>
          <w:rFonts w:eastAsiaTheme="minorEastAsia"/>
          <w:color w:val="993366"/>
        </w:rPr>
        <w:t>SEQUENCE</w:t>
      </w:r>
      <w:r w:rsidRPr="00FA0D37">
        <w:rPr>
          <w:rFonts w:eastAsiaTheme="minorEastAsia"/>
        </w:rPr>
        <w:t xml:space="preserve"> {</w:t>
      </w:r>
    </w:p>
    <w:p w14:paraId="0C453D24" w14:textId="77777777" w:rsidR="00394471" w:rsidRPr="00FA0D37" w:rsidRDefault="00394471" w:rsidP="00FA0D37">
      <w:pPr>
        <w:pStyle w:val="PL"/>
        <w:rPr>
          <w:rFonts w:eastAsiaTheme="minorEastAsia"/>
        </w:rPr>
      </w:pPr>
      <w:r w:rsidRPr="00FA0D37">
        <w:t xml:space="preserve">    </w:t>
      </w:r>
      <w:r w:rsidRPr="00FA0D37">
        <w:rPr>
          <w:rFonts w:eastAsiaTheme="minorEastAsia"/>
        </w:rPr>
        <w:t>scs-15kHz-r16</w:t>
      </w:r>
      <w:r w:rsidRPr="00FA0D37">
        <w:t xml:space="preserve">                         </w:t>
      </w:r>
      <w:r w:rsidRPr="00FA0D37">
        <w:rPr>
          <w:rFonts w:eastAsiaTheme="minorEastAsia"/>
          <w:color w:val="993366"/>
        </w:rPr>
        <w:t>ENUMERATED</w:t>
      </w:r>
      <w:r w:rsidRPr="00FA0D37">
        <w:rPr>
          <w:rFonts w:eastAsiaTheme="minorEastAsia"/>
        </w:rPr>
        <w:t xml:space="preserve"> {sl1, sl3}</w:t>
      </w:r>
      <w:r w:rsidRPr="00FA0D37">
        <w:t xml:space="preserve">        </w:t>
      </w:r>
      <w:r w:rsidRPr="00FA0D37">
        <w:rPr>
          <w:rFonts w:eastAsiaTheme="minorEastAsia"/>
          <w:color w:val="993366"/>
        </w:rPr>
        <w:t>OPTIONAL</w:t>
      </w:r>
      <w:r w:rsidRPr="00FA0D37">
        <w:rPr>
          <w:rFonts w:eastAsiaTheme="minorEastAsia"/>
        </w:rPr>
        <w:t>,</w:t>
      </w:r>
    </w:p>
    <w:p w14:paraId="57473A0F" w14:textId="77777777" w:rsidR="00394471" w:rsidRPr="00FA0D37" w:rsidRDefault="00394471" w:rsidP="00FA0D37">
      <w:pPr>
        <w:pStyle w:val="PL"/>
        <w:rPr>
          <w:rFonts w:eastAsiaTheme="minorEastAsia"/>
        </w:rPr>
      </w:pPr>
      <w:r w:rsidRPr="00FA0D37">
        <w:t xml:space="preserve">    </w:t>
      </w:r>
      <w:r w:rsidRPr="00FA0D37">
        <w:rPr>
          <w:rFonts w:eastAsiaTheme="minorEastAsia"/>
        </w:rPr>
        <w:t>scs-30kHz-r16</w:t>
      </w:r>
      <w:r w:rsidRPr="00FA0D37">
        <w:t xml:space="preserve">                         </w:t>
      </w:r>
      <w:r w:rsidRPr="00FA0D37">
        <w:rPr>
          <w:rFonts w:eastAsiaTheme="minorEastAsia"/>
          <w:color w:val="993366"/>
        </w:rPr>
        <w:t>ENUMERATED</w:t>
      </w:r>
      <w:r w:rsidRPr="00FA0D37">
        <w:rPr>
          <w:rFonts w:eastAsiaTheme="minorEastAsia"/>
        </w:rPr>
        <w:t xml:space="preserve"> {sl1, sl6}</w:t>
      </w:r>
      <w:r w:rsidRPr="00FA0D37">
        <w:t xml:space="preserve">        </w:t>
      </w:r>
      <w:r w:rsidRPr="00FA0D37">
        <w:rPr>
          <w:rFonts w:eastAsiaTheme="minorEastAsia"/>
          <w:color w:val="993366"/>
        </w:rPr>
        <w:t>OPTIONAL</w:t>
      </w:r>
      <w:r w:rsidRPr="00FA0D37">
        <w:rPr>
          <w:rFonts w:eastAsiaTheme="minorEastAsia"/>
        </w:rPr>
        <w:t>,</w:t>
      </w:r>
    </w:p>
    <w:p w14:paraId="628B4330" w14:textId="77777777" w:rsidR="00394471" w:rsidRPr="00FA0D37" w:rsidRDefault="00394471" w:rsidP="00FA0D37">
      <w:pPr>
        <w:pStyle w:val="PL"/>
        <w:rPr>
          <w:rFonts w:eastAsiaTheme="minorEastAsia"/>
        </w:rPr>
      </w:pPr>
      <w:r w:rsidRPr="00FA0D37">
        <w:t xml:space="preserve">    </w:t>
      </w:r>
      <w:r w:rsidRPr="00FA0D37">
        <w:rPr>
          <w:rFonts w:eastAsiaTheme="minorEastAsia"/>
        </w:rPr>
        <w:t>scs-60kHz-r16</w:t>
      </w:r>
      <w:r w:rsidRPr="00FA0D37">
        <w:t xml:space="preserve">                         </w:t>
      </w:r>
      <w:r w:rsidRPr="00FA0D37">
        <w:rPr>
          <w:rFonts w:eastAsiaTheme="minorEastAsia"/>
          <w:color w:val="993366"/>
        </w:rPr>
        <w:t>ENUMERATED</w:t>
      </w:r>
      <w:r w:rsidRPr="00FA0D37">
        <w:rPr>
          <w:rFonts w:eastAsiaTheme="minorEastAsia"/>
        </w:rPr>
        <w:t xml:space="preserve"> {sl1, sl12}</w:t>
      </w:r>
      <w:r w:rsidRPr="00FA0D37">
        <w:t xml:space="preserve">       </w:t>
      </w:r>
      <w:r w:rsidRPr="00FA0D37">
        <w:rPr>
          <w:rFonts w:eastAsiaTheme="minorEastAsia"/>
          <w:color w:val="993366"/>
        </w:rPr>
        <w:t>OPTIONAL</w:t>
      </w:r>
      <w:r w:rsidRPr="00FA0D37">
        <w:rPr>
          <w:rFonts w:eastAsiaTheme="minorEastAsia"/>
        </w:rPr>
        <w:t>,</w:t>
      </w:r>
    </w:p>
    <w:p w14:paraId="139D7E4E" w14:textId="77777777" w:rsidR="00394471" w:rsidRPr="00FA0D37" w:rsidRDefault="00394471" w:rsidP="00FA0D37">
      <w:pPr>
        <w:pStyle w:val="PL"/>
        <w:rPr>
          <w:rFonts w:eastAsiaTheme="minorEastAsia"/>
        </w:rPr>
      </w:pPr>
      <w:r w:rsidRPr="00FA0D37">
        <w:t xml:space="preserve">    </w:t>
      </w:r>
      <w:r w:rsidRPr="00FA0D37">
        <w:rPr>
          <w:rFonts w:eastAsiaTheme="minorEastAsia"/>
        </w:rPr>
        <w:t>scs-120kHz-r16</w:t>
      </w:r>
      <w:r w:rsidRPr="00FA0D37">
        <w:t xml:space="preserve">                        </w:t>
      </w:r>
      <w:r w:rsidRPr="00FA0D37">
        <w:rPr>
          <w:rFonts w:eastAsiaTheme="minorEastAsia"/>
          <w:color w:val="993366"/>
        </w:rPr>
        <w:t>ENUMERATED</w:t>
      </w:r>
      <w:r w:rsidRPr="00FA0D37">
        <w:rPr>
          <w:rFonts w:eastAsiaTheme="minorEastAsia"/>
        </w:rPr>
        <w:t xml:space="preserve"> {sl2, sl24}</w:t>
      </w:r>
      <w:r w:rsidRPr="00FA0D37">
        <w:t xml:space="preserve">       </w:t>
      </w:r>
      <w:r w:rsidRPr="00FA0D37">
        <w:rPr>
          <w:rFonts w:eastAsiaTheme="minorEastAsia"/>
          <w:color w:val="993366"/>
        </w:rPr>
        <w:t>OPTIONAL</w:t>
      </w:r>
    </w:p>
    <w:p w14:paraId="1C031F19" w14:textId="77777777" w:rsidR="00394471" w:rsidRPr="00FA0D37" w:rsidRDefault="00394471" w:rsidP="00FA0D37">
      <w:pPr>
        <w:pStyle w:val="PL"/>
      </w:pPr>
      <w:r w:rsidRPr="00FA0D37">
        <w:rPr>
          <w:rFonts w:eastAsiaTheme="minorEastAsia"/>
        </w:rPr>
        <w:t>}</w:t>
      </w:r>
    </w:p>
    <w:p w14:paraId="3ECCD4BA" w14:textId="38C646CC" w:rsidR="00394471" w:rsidRPr="00FA0D37" w:rsidRDefault="00394471" w:rsidP="00FA0D37">
      <w:pPr>
        <w:pStyle w:val="PL"/>
      </w:pPr>
    </w:p>
    <w:p w14:paraId="394DE3AA" w14:textId="5F725EBF" w:rsidR="00B166EA" w:rsidRPr="00FA0D37" w:rsidRDefault="00B166EA" w:rsidP="00FA0D37">
      <w:pPr>
        <w:pStyle w:val="PL"/>
      </w:pPr>
      <w:r w:rsidRPr="00FA0D37">
        <w:t xml:space="preserve">MinTimeGapFR2-2-r17 ::= </w:t>
      </w:r>
      <w:r w:rsidRPr="00FA0D37">
        <w:rPr>
          <w:color w:val="993366"/>
        </w:rPr>
        <w:t>SEQUENCE</w:t>
      </w:r>
      <w:r w:rsidRPr="00FA0D37">
        <w:t xml:space="preserve"> {</w:t>
      </w:r>
    </w:p>
    <w:p w14:paraId="7C23B7F0" w14:textId="53853F1F" w:rsidR="00B166EA" w:rsidRPr="00FA0D37" w:rsidRDefault="00B166EA" w:rsidP="00FA0D37">
      <w:pPr>
        <w:pStyle w:val="PL"/>
      </w:pPr>
      <w:r w:rsidRPr="00FA0D37">
        <w:lastRenderedPageBreak/>
        <w:t xml:space="preserve">    scs-120kHz-r17                        </w:t>
      </w:r>
      <w:r w:rsidRPr="00FA0D37">
        <w:rPr>
          <w:color w:val="993366"/>
        </w:rPr>
        <w:t>ENUMERATED</w:t>
      </w:r>
      <w:r w:rsidRPr="00FA0D37">
        <w:t xml:space="preserve"> {sl2, sl24}       </w:t>
      </w:r>
      <w:r w:rsidRPr="00FA0D37">
        <w:rPr>
          <w:color w:val="993366"/>
        </w:rPr>
        <w:t>OPTIONAL</w:t>
      </w:r>
      <w:r w:rsidRPr="00FA0D37">
        <w:t>,</w:t>
      </w:r>
    </w:p>
    <w:p w14:paraId="01546176" w14:textId="39D3594C" w:rsidR="00B166EA" w:rsidRPr="00FA0D37" w:rsidRDefault="00B166EA" w:rsidP="00FA0D37">
      <w:pPr>
        <w:pStyle w:val="PL"/>
      </w:pPr>
      <w:r w:rsidRPr="00FA0D37">
        <w:t xml:space="preserve">    scs-480kHz-r17                        </w:t>
      </w:r>
      <w:r w:rsidRPr="00FA0D37">
        <w:rPr>
          <w:color w:val="993366"/>
        </w:rPr>
        <w:t>ENUMERATED</w:t>
      </w:r>
      <w:r w:rsidRPr="00FA0D37">
        <w:t xml:space="preserve"> {sl8, sl96}       </w:t>
      </w:r>
      <w:r w:rsidRPr="00FA0D37">
        <w:rPr>
          <w:color w:val="993366"/>
        </w:rPr>
        <w:t>OPTIONAL</w:t>
      </w:r>
      <w:r w:rsidRPr="00FA0D37">
        <w:t>,</w:t>
      </w:r>
    </w:p>
    <w:p w14:paraId="1D2B954E" w14:textId="7C159046" w:rsidR="00B166EA" w:rsidRPr="00FA0D37" w:rsidRDefault="00B166EA" w:rsidP="00FA0D37">
      <w:pPr>
        <w:pStyle w:val="PL"/>
      </w:pPr>
      <w:r w:rsidRPr="00FA0D37">
        <w:t xml:space="preserve">    scs-960kHz-r17                        </w:t>
      </w:r>
      <w:r w:rsidRPr="00FA0D37">
        <w:rPr>
          <w:color w:val="993366"/>
        </w:rPr>
        <w:t>ENUMERATED</w:t>
      </w:r>
      <w:r w:rsidRPr="00FA0D37">
        <w:t xml:space="preserve"> {sl16, sl192}     </w:t>
      </w:r>
      <w:r w:rsidRPr="00FA0D37">
        <w:rPr>
          <w:color w:val="993366"/>
        </w:rPr>
        <w:t>OPTIONAL</w:t>
      </w:r>
    </w:p>
    <w:p w14:paraId="2C0B95F9" w14:textId="77777777" w:rsidR="00B166EA" w:rsidRPr="00FA0D37" w:rsidRDefault="00B166EA" w:rsidP="00FA0D37">
      <w:pPr>
        <w:pStyle w:val="PL"/>
      </w:pPr>
      <w:r w:rsidRPr="00FA0D37">
        <w:t>}</w:t>
      </w:r>
    </w:p>
    <w:p w14:paraId="2996DBF9" w14:textId="77777777" w:rsidR="00B166EA" w:rsidRPr="00FA0D37" w:rsidRDefault="00B166EA" w:rsidP="00FA0D37">
      <w:pPr>
        <w:pStyle w:val="PL"/>
      </w:pPr>
    </w:p>
    <w:p w14:paraId="5309CAD2" w14:textId="77777777" w:rsidR="00394471" w:rsidRPr="00FA0D37" w:rsidRDefault="00394471" w:rsidP="00FA0D37">
      <w:pPr>
        <w:pStyle w:val="PL"/>
        <w:rPr>
          <w:color w:val="808080"/>
        </w:rPr>
      </w:pPr>
      <w:r w:rsidRPr="00FA0D37">
        <w:rPr>
          <w:color w:val="808080"/>
        </w:rPr>
        <w:t>-- TAG-MAC-PARAMETERS-STOP</w:t>
      </w:r>
    </w:p>
    <w:p w14:paraId="39B6BFAB" w14:textId="77777777" w:rsidR="00394471" w:rsidRPr="00FA0D37" w:rsidRDefault="00394471" w:rsidP="00FA0D37">
      <w:pPr>
        <w:pStyle w:val="PL"/>
        <w:rPr>
          <w:color w:val="808080"/>
        </w:rPr>
      </w:pPr>
      <w:r w:rsidRPr="00FA0D37">
        <w:rPr>
          <w:color w:val="808080"/>
        </w:rPr>
        <w:t>-- ASN1STOP</w:t>
      </w:r>
    </w:p>
    <w:p w14:paraId="32E3D3BF" w14:textId="77777777" w:rsidR="00394471" w:rsidRPr="00FA0D37" w:rsidRDefault="00394471" w:rsidP="00394471"/>
    <w:p w14:paraId="693F0AF2" w14:textId="77777777" w:rsidR="00394471" w:rsidRPr="00FA0D37" w:rsidRDefault="00394471" w:rsidP="00394471">
      <w:pPr>
        <w:pStyle w:val="4"/>
        <w:rPr>
          <w:rFonts w:eastAsia="Malgun Gothic"/>
        </w:rPr>
      </w:pPr>
      <w:bookmarkStart w:id="1572" w:name="_Toc60777460"/>
      <w:bookmarkStart w:id="1573" w:name="_Toc146781562"/>
      <w:r w:rsidRPr="00FA0D37">
        <w:rPr>
          <w:rFonts w:eastAsia="Malgun Gothic"/>
        </w:rPr>
        <w:t>–</w:t>
      </w:r>
      <w:r w:rsidRPr="00FA0D37">
        <w:rPr>
          <w:rFonts w:eastAsia="Malgun Gothic"/>
        </w:rPr>
        <w:tab/>
      </w:r>
      <w:r w:rsidRPr="00FA0D37">
        <w:rPr>
          <w:rFonts w:eastAsia="Malgun Gothic"/>
          <w:i/>
        </w:rPr>
        <w:t>MeasAndMobParameters</w:t>
      </w:r>
      <w:bookmarkEnd w:id="1572"/>
      <w:bookmarkEnd w:id="1573"/>
    </w:p>
    <w:p w14:paraId="3293C779" w14:textId="77777777" w:rsidR="00394471" w:rsidRPr="00FA0D37" w:rsidRDefault="00394471" w:rsidP="00394471">
      <w:pPr>
        <w:rPr>
          <w:rFonts w:eastAsia="Malgun Gothic"/>
        </w:rPr>
      </w:pPr>
      <w:r w:rsidRPr="00FA0D37">
        <w:rPr>
          <w:rFonts w:eastAsia="Malgun Gothic"/>
        </w:rPr>
        <w:t xml:space="preserve">The IE </w:t>
      </w:r>
      <w:r w:rsidRPr="00FA0D37">
        <w:rPr>
          <w:rFonts w:eastAsia="Malgun Gothic"/>
          <w:i/>
        </w:rPr>
        <w:t>MeasAndMobParameters</w:t>
      </w:r>
      <w:r w:rsidRPr="00FA0D37">
        <w:rPr>
          <w:rFonts w:eastAsia="Malgun Gothic"/>
        </w:rPr>
        <w:t xml:space="preserve"> is used to convey UE capabilities related to measurements for radio resource management (RRM), radio link monitoring (RLM) and mobility (e.g. handover).</w:t>
      </w:r>
    </w:p>
    <w:p w14:paraId="6A583376" w14:textId="77777777" w:rsidR="00394471" w:rsidRPr="00FA0D37" w:rsidRDefault="00394471" w:rsidP="00394471">
      <w:pPr>
        <w:pStyle w:val="TH"/>
        <w:rPr>
          <w:rFonts w:eastAsia="Malgun Gothic"/>
        </w:rPr>
      </w:pPr>
      <w:r w:rsidRPr="00FA0D37">
        <w:rPr>
          <w:rFonts w:eastAsia="Malgun Gothic"/>
          <w:i/>
        </w:rPr>
        <w:t>MeasAndMobParameters</w:t>
      </w:r>
      <w:r w:rsidRPr="00FA0D37">
        <w:rPr>
          <w:rFonts w:eastAsia="Malgun Gothic"/>
        </w:rPr>
        <w:t xml:space="preserve"> information element</w:t>
      </w:r>
    </w:p>
    <w:p w14:paraId="54BB3325" w14:textId="77777777" w:rsidR="00394471" w:rsidRPr="00FA0D37" w:rsidRDefault="00394471" w:rsidP="00FA0D37">
      <w:pPr>
        <w:pStyle w:val="PL"/>
        <w:rPr>
          <w:color w:val="808080"/>
        </w:rPr>
      </w:pPr>
      <w:r w:rsidRPr="00FA0D37">
        <w:rPr>
          <w:color w:val="808080"/>
        </w:rPr>
        <w:t>-- ASN1START</w:t>
      </w:r>
    </w:p>
    <w:p w14:paraId="2CA60742" w14:textId="77777777" w:rsidR="00394471" w:rsidRPr="00FA0D37" w:rsidRDefault="00394471" w:rsidP="00FA0D37">
      <w:pPr>
        <w:pStyle w:val="PL"/>
        <w:rPr>
          <w:color w:val="808080"/>
        </w:rPr>
      </w:pPr>
      <w:r w:rsidRPr="00FA0D37">
        <w:rPr>
          <w:color w:val="808080"/>
        </w:rPr>
        <w:t>-- TAG-MEASANDMOBPARAMETERS-START</w:t>
      </w:r>
    </w:p>
    <w:p w14:paraId="78712945" w14:textId="77777777" w:rsidR="00394471" w:rsidRPr="00FA0D37" w:rsidRDefault="00394471" w:rsidP="00FA0D37">
      <w:pPr>
        <w:pStyle w:val="PL"/>
      </w:pPr>
    </w:p>
    <w:p w14:paraId="2849220C" w14:textId="77777777" w:rsidR="00394471" w:rsidRPr="00FA0D37" w:rsidRDefault="00394471" w:rsidP="00FA0D37">
      <w:pPr>
        <w:pStyle w:val="PL"/>
      </w:pPr>
      <w:r w:rsidRPr="00FA0D37">
        <w:t xml:space="preserve">MeasAndMobParameters ::=                    </w:t>
      </w:r>
      <w:r w:rsidRPr="00FA0D37">
        <w:rPr>
          <w:color w:val="993366"/>
        </w:rPr>
        <w:t>SEQUENCE</w:t>
      </w:r>
      <w:r w:rsidRPr="00FA0D37">
        <w:t xml:space="preserve"> {</w:t>
      </w:r>
    </w:p>
    <w:p w14:paraId="18ABE214" w14:textId="77777777" w:rsidR="00394471" w:rsidRPr="00FA0D37" w:rsidRDefault="00394471" w:rsidP="00FA0D37">
      <w:pPr>
        <w:pStyle w:val="PL"/>
      </w:pPr>
      <w:r w:rsidRPr="00FA0D37">
        <w:t xml:space="preserve">    measAndMobParametersCommon              MeasAndMobParametersCommon              </w:t>
      </w:r>
      <w:r w:rsidRPr="00FA0D37">
        <w:rPr>
          <w:color w:val="993366"/>
        </w:rPr>
        <w:t>OPTIONAL</w:t>
      </w:r>
      <w:r w:rsidRPr="00FA0D37">
        <w:t>,</w:t>
      </w:r>
    </w:p>
    <w:p w14:paraId="150CEA31" w14:textId="77777777" w:rsidR="00394471" w:rsidRPr="00FA0D37" w:rsidRDefault="00394471" w:rsidP="00FA0D37">
      <w:pPr>
        <w:pStyle w:val="PL"/>
      </w:pPr>
      <w:r w:rsidRPr="00FA0D37">
        <w:t xml:space="preserve">    measAndMobParametersXDD-Diff                MeasAndMobParametersXDD-Diff        </w:t>
      </w:r>
      <w:r w:rsidRPr="00FA0D37">
        <w:rPr>
          <w:color w:val="993366"/>
        </w:rPr>
        <w:t>OPTIONAL</w:t>
      </w:r>
      <w:r w:rsidRPr="00FA0D37">
        <w:t>,</w:t>
      </w:r>
    </w:p>
    <w:p w14:paraId="2B8113DF" w14:textId="77777777" w:rsidR="00394471" w:rsidRPr="00FA0D37" w:rsidRDefault="00394471" w:rsidP="00FA0D37">
      <w:pPr>
        <w:pStyle w:val="PL"/>
      </w:pPr>
      <w:r w:rsidRPr="00FA0D37">
        <w:t xml:space="preserve">    measAndMobParametersFRX-Diff                MeasAndMobParametersFRX-Diff        </w:t>
      </w:r>
      <w:r w:rsidRPr="00FA0D37">
        <w:rPr>
          <w:color w:val="993366"/>
        </w:rPr>
        <w:t>OPTIONAL</w:t>
      </w:r>
    </w:p>
    <w:p w14:paraId="11E42316" w14:textId="77777777" w:rsidR="00394471" w:rsidRPr="00FA0D37" w:rsidRDefault="00394471" w:rsidP="00FA0D37">
      <w:pPr>
        <w:pStyle w:val="PL"/>
      </w:pPr>
      <w:r w:rsidRPr="00FA0D37">
        <w:t>}</w:t>
      </w:r>
    </w:p>
    <w:p w14:paraId="132E94A2" w14:textId="77777777" w:rsidR="00022DF1" w:rsidRPr="00FA0D37" w:rsidRDefault="00022DF1" w:rsidP="00FA0D37">
      <w:pPr>
        <w:pStyle w:val="PL"/>
      </w:pPr>
    </w:p>
    <w:p w14:paraId="7D08C18C" w14:textId="7439476A" w:rsidR="00022DF1" w:rsidRPr="00FA0D37" w:rsidRDefault="00022DF1" w:rsidP="00FA0D37">
      <w:pPr>
        <w:pStyle w:val="PL"/>
      </w:pPr>
      <w:r w:rsidRPr="00FA0D37">
        <w:t xml:space="preserve">MeasAndMobParameters-v1700 ::=          </w:t>
      </w:r>
      <w:r w:rsidRPr="00FA0D37">
        <w:rPr>
          <w:color w:val="993366"/>
        </w:rPr>
        <w:t>SEQUENCE</w:t>
      </w:r>
      <w:r w:rsidRPr="00FA0D37">
        <w:t xml:space="preserve"> {</w:t>
      </w:r>
    </w:p>
    <w:p w14:paraId="53F608A0" w14:textId="703A72B7" w:rsidR="00022DF1" w:rsidRPr="00FA0D37" w:rsidRDefault="00022DF1" w:rsidP="00FA0D37">
      <w:pPr>
        <w:pStyle w:val="PL"/>
      </w:pPr>
      <w:r w:rsidRPr="00FA0D37">
        <w:t xml:space="preserve">    measAndMobParametersFR2-2-r17           MeasAndMobParametersFR2-2-r17           </w:t>
      </w:r>
      <w:r w:rsidRPr="00FA0D37">
        <w:rPr>
          <w:color w:val="993366"/>
        </w:rPr>
        <w:t>OPTIONAL</w:t>
      </w:r>
    </w:p>
    <w:p w14:paraId="7822CAFF" w14:textId="791AEBD4" w:rsidR="00394471" w:rsidRPr="00FA0D37" w:rsidRDefault="00022DF1" w:rsidP="00FA0D37">
      <w:pPr>
        <w:pStyle w:val="PL"/>
      </w:pPr>
      <w:r w:rsidRPr="00FA0D37">
        <w:t>}</w:t>
      </w:r>
    </w:p>
    <w:p w14:paraId="18D61409" w14:textId="77777777" w:rsidR="00022DF1" w:rsidRPr="00FA0D37" w:rsidRDefault="00022DF1" w:rsidP="00FA0D37">
      <w:pPr>
        <w:pStyle w:val="PL"/>
      </w:pPr>
    </w:p>
    <w:p w14:paraId="69D287D4" w14:textId="77777777" w:rsidR="00394471" w:rsidRPr="00FA0D37" w:rsidRDefault="00394471" w:rsidP="00FA0D37">
      <w:pPr>
        <w:pStyle w:val="PL"/>
      </w:pPr>
      <w:r w:rsidRPr="00FA0D37">
        <w:t xml:space="preserve">MeasAndMobParametersCommon ::=          </w:t>
      </w:r>
      <w:r w:rsidRPr="00FA0D37">
        <w:rPr>
          <w:color w:val="993366"/>
        </w:rPr>
        <w:t>SEQUENCE</w:t>
      </w:r>
      <w:r w:rsidRPr="00FA0D37">
        <w:t xml:space="preserve"> {</w:t>
      </w:r>
    </w:p>
    <w:p w14:paraId="4CB1BF22" w14:textId="77777777" w:rsidR="00394471" w:rsidRPr="00FA0D37" w:rsidRDefault="00394471" w:rsidP="00FA0D37">
      <w:pPr>
        <w:pStyle w:val="PL"/>
      </w:pPr>
      <w:r w:rsidRPr="00FA0D37">
        <w:t xml:space="preserve">    supportedGapPattern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(22))                  </w:t>
      </w:r>
      <w:r w:rsidRPr="00FA0D37">
        <w:rPr>
          <w:color w:val="993366"/>
        </w:rPr>
        <w:t>OPTIONAL</w:t>
      </w:r>
      <w:r w:rsidRPr="00FA0D37">
        <w:t>,</w:t>
      </w:r>
    </w:p>
    <w:p w14:paraId="59FE6380" w14:textId="77777777" w:rsidR="00394471" w:rsidRPr="00FA0D37" w:rsidRDefault="00394471" w:rsidP="00FA0D37">
      <w:pPr>
        <w:pStyle w:val="PL"/>
      </w:pPr>
      <w:r w:rsidRPr="00FA0D37">
        <w:t xml:space="preserve">    ssb-RLM                                 </w:t>
      </w:r>
      <w:r w:rsidRPr="00FA0D37">
        <w:rPr>
          <w:color w:val="993366"/>
        </w:rPr>
        <w:t>ENUMERATED</w:t>
      </w:r>
      <w:r w:rsidRPr="00FA0D37">
        <w:t xml:space="preserve"> {supported}                  </w:t>
      </w:r>
      <w:r w:rsidRPr="00FA0D37">
        <w:rPr>
          <w:color w:val="993366"/>
        </w:rPr>
        <w:t>OPTIONAL</w:t>
      </w:r>
      <w:r w:rsidRPr="00FA0D37">
        <w:t>,</w:t>
      </w:r>
    </w:p>
    <w:p w14:paraId="0F3C11C6" w14:textId="77777777" w:rsidR="00394471" w:rsidRPr="00FA0D37" w:rsidRDefault="00394471" w:rsidP="00FA0D37">
      <w:pPr>
        <w:pStyle w:val="PL"/>
      </w:pPr>
      <w:r w:rsidRPr="00FA0D37">
        <w:t xml:space="preserve">    ssb-AndCSI-RS-RLM                       </w:t>
      </w:r>
      <w:r w:rsidRPr="00FA0D37">
        <w:rPr>
          <w:color w:val="993366"/>
        </w:rPr>
        <w:t>ENUMERATED</w:t>
      </w:r>
      <w:r w:rsidRPr="00FA0D37">
        <w:t xml:space="preserve"> {supported}                  </w:t>
      </w:r>
      <w:r w:rsidRPr="00FA0D37">
        <w:rPr>
          <w:color w:val="993366"/>
        </w:rPr>
        <w:t>OPTIONAL</w:t>
      </w:r>
      <w:r w:rsidRPr="00FA0D37">
        <w:t>,</w:t>
      </w:r>
    </w:p>
    <w:p w14:paraId="0E829E77" w14:textId="77777777" w:rsidR="00394471" w:rsidRPr="00FA0D37" w:rsidRDefault="00394471" w:rsidP="00FA0D37">
      <w:pPr>
        <w:pStyle w:val="PL"/>
      </w:pPr>
      <w:r w:rsidRPr="00FA0D37">
        <w:t xml:space="preserve">    ...,</w:t>
      </w:r>
    </w:p>
    <w:p w14:paraId="44060449" w14:textId="77777777" w:rsidR="00394471" w:rsidRPr="00FA0D37" w:rsidRDefault="00394471" w:rsidP="00FA0D37">
      <w:pPr>
        <w:pStyle w:val="PL"/>
      </w:pPr>
      <w:r w:rsidRPr="00FA0D37">
        <w:t xml:space="preserve">    [[</w:t>
      </w:r>
    </w:p>
    <w:p w14:paraId="35DF422E" w14:textId="77777777" w:rsidR="00394471" w:rsidRPr="00FA0D37" w:rsidRDefault="00394471" w:rsidP="00FA0D37">
      <w:pPr>
        <w:pStyle w:val="PL"/>
      </w:pPr>
      <w:r w:rsidRPr="00FA0D37">
        <w:t xml:space="preserve">    eventB-MeasAndReport                    </w:t>
      </w:r>
      <w:r w:rsidRPr="00FA0D37">
        <w:rPr>
          <w:color w:val="993366"/>
        </w:rPr>
        <w:t>ENUMERATED</w:t>
      </w:r>
      <w:r w:rsidRPr="00FA0D37">
        <w:t xml:space="preserve"> {supported}                  </w:t>
      </w:r>
      <w:r w:rsidRPr="00FA0D37">
        <w:rPr>
          <w:color w:val="993366"/>
        </w:rPr>
        <w:t>OPTIONAL</w:t>
      </w:r>
      <w:r w:rsidRPr="00FA0D37">
        <w:t>,</w:t>
      </w:r>
    </w:p>
    <w:p w14:paraId="50FABA7F" w14:textId="77777777" w:rsidR="00394471" w:rsidRPr="00FA0D37" w:rsidRDefault="00394471" w:rsidP="00FA0D37">
      <w:pPr>
        <w:pStyle w:val="PL"/>
      </w:pPr>
      <w:r w:rsidRPr="00FA0D37">
        <w:t xml:space="preserve">    handoverFDD-TDD                         </w:t>
      </w:r>
      <w:r w:rsidRPr="00FA0D37">
        <w:rPr>
          <w:color w:val="993366"/>
        </w:rPr>
        <w:t>ENUMERATED</w:t>
      </w:r>
      <w:r w:rsidRPr="00FA0D37">
        <w:t xml:space="preserve"> {supported}                  </w:t>
      </w:r>
      <w:r w:rsidRPr="00FA0D37">
        <w:rPr>
          <w:color w:val="993366"/>
        </w:rPr>
        <w:t>OPTIONAL</w:t>
      </w:r>
      <w:r w:rsidRPr="00FA0D37">
        <w:t>,</w:t>
      </w:r>
    </w:p>
    <w:p w14:paraId="3DD18788" w14:textId="77777777" w:rsidR="00394471" w:rsidRPr="00FA0D37" w:rsidRDefault="00394471" w:rsidP="00FA0D37">
      <w:pPr>
        <w:pStyle w:val="PL"/>
      </w:pPr>
      <w:r w:rsidRPr="00FA0D37">
        <w:t xml:space="preserve">    eutra-CGI-Reporting                     </w:t>
      </w:r>
      <w:r w:rsidRPr="00FA0D37">
        <w:rPr>
          <w:color w:val="993366"/>
        </w:rPr>
        <w:t>ENUMERATED</w:t>
      </w:r>
      <w:r w:rsidRPr="00FA0D37">
        <w:t xml:space="preserve"> {supported}                  </w:t>
      </w:r>
      <w:r w:rsidRPr="00FA0D37">
        <w:rPr>
          <w:color w:val="993366"/>
        </w:rPr>
        <w:t>OPTIONAL</w:t>
      </w:r>
      <w:r w:rsidRPr="00FA0D37">
        <w:t>,</w:t>
      </w:r>
    </w:p>
    <w:p w14:paraId="2A494DBD" w14:textId="77777777" w:rsidR="00394471" w:rsidRPr="00FA0D37" w:rsidRDefault="00394471" w:rsidP="00FA0D37">
      <w:pPr>
        <w:pStyle w:val="PL"/>
      </w:pPr>
      <w:r w:rsidRPr="00FA0D37">
        <w:t xml:space="preserve">    nr-CGI-Reporting                        </w:t>
      </w:r>
      <w:r w:rsidRPr="00FA0D37">
        <w:rPr>
          <w:color w:val="993366"/>
        </w:rPr>
        <w:t>ENUMERATED</w:t>
      </w:r>
      <w:r w:rsidRPr="00FA0D37">
        <w:t xml:space="preserve"> {supported}                  </w:t>
      </w:r>
      <w:r w:rsidRPr="00FA0D37">
        <w:rPr>
          <w:color w:val="993366"/>
        </w:rPr>
        <w:t>OPTIONAL</w:t>
      </w:r>
    </w:p>
    <w:p w14:paraId="593823A0" w14:textId="77777777" w:rsidR="00394471" w:rsidRPr="00FA0D37" w:rsidRDefault="00394471" w:rsidP="00FA0D37">
      <w:pPr>
        <w:pStyle w:val="PL"/>
      </w:pPr>
      <w:r w:rsidRPr="00FA0D37">
        <w:t xml:space="preserve">    ]],</w:t>
      </w:r>
    </w:p>
    <w:p w14:paraId="59BB9467" w14:textId="77777777" w:rsidR="00394471" w:rsidRPr="00FA0D37" w:rsidRDefault="00394471" w:rsidP="00FA0D37">
      <w:pPr>
        <w:pStyle w:val="PL"/>
      </w:pPr>
      <w:r w:rsidRPr="00FA0D37">
        <w:t xml:space="preserve">    [[</w:t>
      </w:r>
    </w:p>
    <w:p w14:paraId="0C39271C" w14:textId="77777777" w:rsidR="00394471" w:rsidRPr="00FA0D37" w:rsidRDefault="00394471" w:rsidP="00FA0D37">
      <w:pPr>
        <w:pStyle w:val="PL"/>
      </w:pPr>
      <w:r w:rsidRPr="00FA0D37">
        <w:t xml:space="preserve">    independentGapConfig                    </w:t>
      </w:r>
      <w:r w:rsidRPr="00FA0D37">
        <w:rPr>
          <w:color w:val="993366"/>
        </w:rPr>
        <w:t>ENUMERATED</w:t>
      </w:r>
      <w:r w:rsidRPr="00FA0D37">
        <w:t xml:space="preserve"> {supported}                  </w:t>
      </w:r>
      <w:r w:rsidRPr="00FA0D37">
        <w:rPr>
          <w:color w:val="993366"/>
        </w:rPr>
        <w:t>OPTIONAL</w:t>
      </w:r>
      <w:r w:rsidRPr="00FA0D37">
        <w:t>,</w:t>
      </w:r>
    </w:p>
    <w:p w14:paraId="079E2209" w14:textId="77777777" w:rsidR="00394471" w:rsidRPr="00FA0D37" w:rsidRDefault="00394471" w:rsidP="00FA0D37">
      <w:pPr>
        <w:pStyle w:val="PL"/>
      </w:pPr>
      <w:r w:rsidRPr="00FA0D37">
        <w:t xml:space="preserve">    periodicEUTRA-MeasAndReport             </w:t>
      </w:r>
      <w:r w:rsidRPr="00FA0D37">
        <w:rPr>
          <w:color w:val="993366"/>
        </w:rPr>
        <w:t>ENUMERATED</w:t>
      </w:r>
      <w:r w:rsidRPr="00FA0D37">
        <w:t xml:space="preserve"> {supported}                  </w:t>
      </w:r>
      <w:r w:rsidRPr="00FA0D37">
        <w:rPr>
          <w:color w:val="993366"/>
        </w:rPr>
        <w:t>OPTIONAL</w:t>
      </w:r>
      <w:r w:rsidRPr="00FA0D37">
        <w:t>,</w:t>
      </w:r>
    </w:p>
    <w:p w14:paraId="588C63F9" w14:textId="77777777" w:rsidR="00394471" w:rsidRPr="00FA0D37" w:rsidRDefault="00394471" w:rsidP="00FA0D37">
      <w:pPr>
        <w:pStyle w:val="PL"/>
      </w:pPr>
      <w:r w:rsidRPr="00FA0D37">
        <w:t xml:space="preserve">    handoverFR1-FR2                         </w:t>
      </w:r>
      <w:r w:rsidRPr="00FA0D37">
        <w:rPr>
          <w:color w:val="993366"/>
        </w:rPr>
        <w:t>ENUMERATED</w:t>
      </w:r>
      <w:r w:rsidRPr="00FA0D37">
        <w:t xml:space="preserve"> {supported}                  </w:t>
      </w:r>
      <w:r w:rsidRPr="00FA0D37">
        <w:rPr>
          <w:color w:val="993366"/>
        </w:rPr>
        <w:t>OPTIONAL</w:t>
      </w:r>
      <w:r w:rsidRPr="00FA0D37">
        <w:t>,</w:t>
      </w:r>
    </w:p>
    <w:p w14:paraId="1CE423D9" w14:textId="77777777" w:rsidR="00394471" w:rsidRPr="00FA0D37" w:rsidRDefault="00394471" w:rsidP="00FA0D37">
      <w:pPr>
        <w:pStyle w:val="PL"/>
      </w:pPr>
      <w:r w:rsidRPr="00FA0D37">
        <w:t xml:space="preserve">    maxNumberCSI-RS-RRM-RS-SINR             </w:t>
      </w:r>
      <w:r w:rsidRPr="00FA0D37">
        <w:rPr>
          <w:color w:val="993366"/>
        </w:rPr>
        <w:t>ENUMERATED</w:t>
      </w:r>
      <w:r w:rsidRPr="00FA0D37">
        <w:t xml:space="preserve"> {n4, n8, n16, n32, n64, n96} </w:t>
      </w:r>
      <w:r w:rsidRPr="00FA0D37">
        <w:rPr>
          <w:color w:val="993366"/>
        </w:rPr>
        <w:t>OPTIONAL</w:t>
      </w:r>
    </w:p>
    <w:p w14:paraId="773FEDE2" w14:textId="77777777" w:rsidR="00394471" w:rsidRPr="00FA0D37" w:rsidRDefault="00394471" w:rsidP="00FA0D37">
      <w:pPr>
        <w:pStyle w:val="PL"/>
      </w:pPr>
      <w:r w:rsidRPr="00FA0D37">
        <w:t xml:space="preserve">    ]],</w:t>
      </w:r>
    </w:p>
    <w:p w14:paraId="6A95DDD3" w14:textId="77777777" w:rsidR="00394471" w:rsidRPr="00FA0D37" w:rsidRDefault="00394471" w:rsidP="00FA0D37">
      <w:pPr>
        <w:pStyle w:val="PL"/>
      </w:pPr>
      <w:r w:rsidRPr="00FA0D37">
        <w:t xml:space="preserve">    [[</w:t>
      </w:r>
    </w:p>
    <w:p w14:paraId="126BE90E" w14:textId="77777777" w:rsidR="00394471" w:rsidRPr="00FA0D37" w:rsidRDefault="00394471" w:rsidP="00FA0D37">
      <w:pPr>
        <w:pStyle w:val="PL"/>
      </w:pPr>
      <w:r w:rsidRPr="00FA0D37">
        <w:t xml:space="preserve">    nr-CGI-Reporting-ENDC                   </w:t>
      </w:r>
      <w:r w:rsidRPr="00FA0D37">
        <w:rPr>
          <w:color w:val="993366"/>
        </w:rPr>
        <w:t>ENUMERATED</w:t>
      </w:r>
      <w:r w:rsidRPr="00FA0D37">
        <w:t xml:space="preserve"> {supported}                  </w:t>
      </w:r>
      <w:r w:rsidRPr="00FA0D37">
        <w:rPr>
          <w:color w:val="993366"/>
        </w:rPr>
        <w:t>OPTIONAL</w:t>
      </w:r>
    </w:p>
    <w:p w14:paraId="50D88C29" w14:textId="77777777" w:rsidR="00394471" w:rsidRPr="00FA0D37" w:rsidRDefault="00394471" w:rsidP="00FA0D37">
      <w:pPr>
        <w:pStyle w:val="PL"/>
      </w:pPr>
      <w:r w:rsidRPr="00FA0D37">
        <w:t xml:space="preserve">    ]],</w:t>
      </w:r>
    </w:p>
    <w:p w14:paraId="1E85E513" w14:textId="77777777" w:rsidR="00394471" w:rsidRPr="00FA0D37" w:rsidRDefault="00394471" w:rsidP="00FA0D37">
      <w:pPr>
        <w:pStyle w:val="PL"/>
      </w:pPr>
      <w:r w:rsidRPr="00FA0D37">
        <w:lastRenderedPageBreak/>
        <w:t xml:space="preserve">    [[</w:t>
      </w:r>
    </w:p>
    <w:p w14:paraId="11B1DE20" w14:textId="77777777" w:rsidR="00394471" w:rsidRPr="00FA0D37" w:rsidRDefault="00394471" w:rsidP="00FA0D37">
      <w:pPr>
        <w:pStyle w:val="PL"/>
      </w:pPr>
      <w:r w:rsidRPr="00FA0D37">
        <w:t xml:space="preserve">    eutra-CGI-Reporting-NEDC                </w:t>
      </w:r>
      <w:r w:rsidRPr="00FA0D37">
        <w:rPr>
          <w:color w:val="993366"/>
        </w:rPr>
        <w:t>ENUMERATED</w:t>
      </w:r>
      <w:r w:rsidRPr="00FA0D37">
        <w:t xml:space="preserve"> {supported}                  </w:t>
      </w:r>
      <w:r w:rsidRPr="00FA0D37">
        <w:rPr>
          <w:color w:val="993366"/>
        </w:rPr>
        <w:t>OPTIONAL</w:t>
      </w:r>
      <w:r w:rsidRPr="00FA0D37">
        <w:t>,</w:t>
      </w:r>
    </w:p>
    <w:p w14:paraId="6FA32B64" w14:textId="77777777" w:rsidR="00394471" w:rsidRPr="00FA0D37" w:rsidRDefault="00394471" w:rsidP="00FA0D37">
      <w:pPr>
        <w:pStyle w:val="PL"/>
      </w:pPr>
      <w:r w:rsidRPr="00FA0D37">
        <w:t xml:space="preserve">    eutra-CGI-Reporting-NRDC                </w:t>
      </w:r>
      <w:r w:rsidRPr="00FA0D37">
        <w:rPr>
          <w:color w:val="993366"/>
        </w:rPr>
        <w:t>ENUMERATED</w:t>
      </w:r>
      <w:r w:rsidRPr="00FA0D37">
        <w:t xml:space="preserve"> {supported}                  </w:t>
      </w:r>
      <w:r w:rsidRPr="00FA0D37">
        <w:rPr>
          <w:color w:val="993366"/>
        </w:rPr>
        <w:t>OPTIONAL</w:t>
      </w:r>
      <w:r w:rsidRPr="00FA0D37">
        <w:t>,</w:t>
      </w:r>
    </w:p>
    <w:p w14:paraId="61C49D41" w14:textId="77777777" w:rsidR="00394471" w:rsidRPr="00FA0D37" w:rsidRDefault="00394471" w:rsidP="00FA0D37">
      <w:pPr>
        <w:pStyle w:val="PL"/>
      </w:pPr>
      <w:r w:rsidRPr="00FA0D37">
        <w:t xml:space="preserve">    nr-CGI-Reporting-NEDC                   </w:t>
      </w:r>
      <w:r w:rsidRPr="00FA0D37">
        <w:rPr>
          <w:color w:val="993366"/>
        </w:rPr>
        <w:t>ENUMERATED</w:t>
      </w:r>
      <w:r w:rsidRPr="00FA0D37">
        <w:t xml:space="preserve"> {supported}                  </w:t>
      </w:r>
      <w:r w:rsidRPr="00FA0D37">
        <w:rPr>
          <w:color w:val="993366"/>
        </w:rPr>
        <w:t>OPTIONAL</w:t>
      </w:r>
      <w:r w:rsidRPr="00FA0D37">
        <w:t>,</w:t>
      </w:r>
    </w:p>
    <w:p w14:paraId="4ED19F41" w14:textId="77777777" w:rsidR="00394471" w:rsidRPr="00FA0D37" w:rsidRDefault="00394471" w:rsidP="00FA0D37">
      <w:pPr>
        <w:pStyle w:val="PL"/>
      </w:pPr>
      <w:r w:rsidRPr="00FA0D37">
        <w:t xml:space="preserve">    nr-CGI-Reporting-NRDC                   </w:t>
      </w:r>
      <w:r w:rsidRPr="00FA0D37">
        <w:rPr>
          <w:color w:val="993366"/>
        </w:rPr>
        <w:t>ENUMERATED</w:t>
      </w:r>
      <w:r w:rsidRPr="00FA0D37">
        <w:t xml:space="preserve"> {supported}                  </w:t>
      </w:r>
      <w:r w:rsidRPr="00FA0D37">
        <w:rPr>
          <w:color w:val="993366"/>
        </w:rPr>
        <w:t>OPTIONAL</w:t>
      </w:r>
    </w:p>
    <w:p w14:paraId="5AD755E1" w14:textId="77777777" w:rsidR="00394471" w:rsidRPr="00FA0D37" w:rsidRDefault="00394471" w:rsidP="00FA0D37">
      <w:pPr>
        <w:pStyle w:val="PL"/>
      </w:pPr>
      <w:r w:rsidRPr="00FA0D37">
        <w:t xml:space="preserve">    ]],</w:t>
      </w:r>
    </w:p>
    <w:p w14:paraId="12068DB4" w14:textId="77777777" w:rsidR="00394471" w:rsidRPr="00FA0D37" w:rsidRDefault="00394471" w:rsidP="00FA0D37">
      <w:pPr>
        <w:pStyle w:val="PL"/>
      </w:pPr>
      <w:r w:rsidRPr="00FA0D37">
        <w:t xml:space="preserve">    [[</w:t>
      </w:r>
    </w:p>
    <w:p w14:paraId="2076FAA0" w14:textId="77777777" w:rsidR="00394471" w:rsidRPr="00FA0D37" w:rsidRDefault="00394471" w:rsidP="00FA0D37">
      <w:pPr>
        <w:pStyle w:val="PL"/>
      </w:pPr>
      <w:r w:rsidRPr="00FA0D37">
        <w:t xml:space="preserve">    reportAddNeighMeasForPeriodic-r16       </w:t>
      </w:r>
      <w:r w:rsidRPr="00FA0D37">
        <w:rPr>
          <w:color w:val="993366"/>
        </w:rPr>
        <w:t>ENUMERATED</w:t>
      </w:r>
      <w:r w:rsidRPr="00FA0D37">
        <w:t xml:space="preserve"> {supported}                  </w:t>
      </w:r>
      <w:r w:rsidRPr="00FA0D37">
        <w:rPr>
          <w:color w:val="993366"/>
        </w:rPr>
        <w:t>OPTIONAL</w:t>
      </w:r>
      <w:r w:rsidRPr="00FA0D37">
        <w:t>,</w:t>
      </w:r>
    </w:p>
    <w:p w14:paraId="0F798380" w14:textId="77777777" w:rsidR="00394471" w:rsidRPr="00FA0D37" w:rsidRDefault="00394471" w:rsidP="00FA0D37">
      <w:pPr>
        <w:pStyle w:val="PL"/>
      </w:pPr>
      <w:r w:rsidRPr="00FA0D37">
        <w:t xml:space="preserve">    condHandoverParametersCommon-r16        </w:t>
      </w:r>
      <w:r w:rsidRPr="00FA0D37">
        <w:rPr>
          <w:color w:val="993366"/>
        </w:rPr>
        <w:t>SEQUENCE</w:t>
      </w:r>
      <w:r w:rsidRPr="00FA0D37">
        <w:t xml:space="preserve"> {</w:t>
      </w:r>
    </w:p>
    <w:p w14:paraId="43B681E4" w14:textId="77777777" w:rsidR="00394471" w:rsidRPr="00FA0D37" w:rsidRDefault="00394471" w:rsidP="00FA0D37">
      <w:pPr>
        <w:pStyle w:val="PL"/>
      </w:pPr>
      <w:r w:rsidRPr="00FA0D37">
        <w:t xml:space="preserve">       condHandoverFDD-TDD-r16                  </w:t>
      </w:r>
      <w:r w:rsidRPr="00FA0D37">
        <w:rPr>
          <w:color w:val="993366"/>
        </w:rPr>
        <w:t>ENUMERATED</w:t>
      </w:r>
      <w:r w:rsidRPr="00FA0D37">
        <w:t xml:space="preserve"> {supported}              </w:t>
      </w:r>
      <w:r w:rsidRPr="00FA0D37">
        <w:rPr>
          <w:color w:val="993366"/>
        </w:rPr>
        <w:t>OPTIONAL</w:t>
      </w:r>
      <w:r w:rsidRPr="00FA0D37">
        <w:t>,</w:t>
      </w:r>
    </w:p>
    <w:p w14:paraId="4BA1F11A" w14:textId="77777777" w:rsidR="00394471" w:rsidRPr="00FA0D37" w:rsidRDefault="00394471" w:rsidP="00FA0D37">
      <w:pPr>
        <w:pStyle w:val="PL"/>
      </w:pPr>
      <w:r w:rsidRPr="00FA0D37">
        <w:t xml:space="preserve">       condHandoverFR1-FR2-r16                  </w:t>
      </w:r>
      <w:r w:rsidRPr="00FA0D37">
        <w:rPr>
          <w:color w:val="993366"/>
        </w:rPr>
        <w:t>ENUMERATED</w:t>
      </w:r>
      <w:r w:rsidRPr="00FA0D37">
        <w:t xml:space="preserve"> {supported}              </w:t>
      </w:r>
      <w:r w:rsidRPr="00FA0D37">
        <w:rPr>
          <w:color w:val="993366"/>
        </w:rPr>
        <w:t>OPTIONAL</w:t>
      </w:r>
    </w:p>
    <w:p w14:paraId="1EAB5427" w14:textId="77777777" w:rsidR="00394471" w:rsidRPr="00FA0D37" w:rsidRDefault="00394471" w:rsidP="00FA0D37">
      <w:pPr>
        <w:pStyle w:val="PL"/>
      </w:pPr>
      <w:r w:rsidRPr="00FA0D37">
        <w:t xml:space="preserve">    }                                                                               </w:t>
      </w:r>
      <w:r w:rsidRPr="00FA0D37">
        <w:rPr>
          <w:color w:val="993366"/>
        </w:rPr>
        <w:t>OPTIONAL</w:t>
      </w:r>
      <w:r w:rsidRPr="00FA0D37">
        <w:t>,</w:t>
      </w:r>
    </w:p>
    <w:p w14:paraId="2DC8309D" w14:textId="77777777" w:rsidR="00394471" w:rsidRPr="00FA0D37" w:rsidRDefault="00394471" w:rsidP="00FA0D37">
      <w:pPr>
        <w:pStyle w:val="PL"/>
      </w:pPr>
      <w:r w:rsidRPr="00FA0D37">
        <w:t xml:space="preserve">    nr-NeedForGap-Reporting-r16             </w:t>
      </w:r>
      <w:r w:rsidRPr="00FA0D37">
        <w:rPr>
          <w:color w:val="993366"/>
        </w:rPr>
        <w:t>ENUMERATED</w:t>
      </w:r>
      <w:r w:rsidRPr="00FA0D37">
        <w:t xml:space="preserve"> {supported}                  </w:t>
      </w:r>
      <w:r w:rsidRPr="00FA0D37">
        <w:rPr>
          <w:color w:val="993366"/>
        </w:rPr>
        <w:t>OPTIONAL</w:t>
      </w:r>
      <w:r w:rsidRPr="00FA0D37">
        <w:t>,</w:t>
      </w:r>
    </w:p>
    <w:p w14:paraId="73FDC5B5" w14:textId="77777777" w:rsidR="00394471" w:rsidRPr="00FA0D37" w:rsidRDefault="00394471" w:rsidP="00FA0D37">
      <w:pPr>
        <w:pStyle w:val="PL"/>
      </w:pPr>
      <w:r w:rsidRPr="00FA0D37">
        <w:t xml:space="preserve">    supportedGapPattern-NRonly-r16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                  </w:t>
      </w:r>
      <w:r w:rsidRPr="00FA0D37">
        <w:rPr>
          <w:color w:val="993366"/>
        </w:rPr>
        <w:t>OPTIONAL</w:t>
      </w:r>
      <w:r w:rsidRPr="00FA0D37">
        <w:t>,</w:t>
      </w:r>
    </w:p>
    <w:p w14:paraId="6996A650" w14:textId="77777777" w:rsidR="00394471" w:rsidRPr="00FA0D37" w:rsidRDefault="00394471" w:rsidP="00FA0D37">
      <w:pPr>
        <w:pStyle w:val="PL"/>
      </w:pPr>
      <w:r w:rsidRPr="00FA0D37">
        <w:t xml:space="preserve">    supportedGapPattern-NRonly-NEDC-r16     </w:t>
      </w:r>
      <w:r w:rsidRPr="00FA0D37">
        <w:rPr>
          <w:color w:val="993366"/>
        </w:rPr>
        <w:t>ENUMERATED</w:t>
      </w:r>
      <w:r w:rsidRPr="00FA0D37">
        <w:t xml:space="preserve"> {supported}                  </w:t>
      </w:r>
      <w:r w:rsidRPr="00FA0D37">
        <w:rPr>
          <w:color w:val="993366"/>
        </w:rPr>
        <w:t>OPTIONAL</w:t>
      </w:r>
      <w:r w:rsidRPr="00FA0D37">
        <w:t>,</w:t>
      </w:r>
    </w:p>
    <w:p w14:paraId="53774B1D" w14:textId="77777777" w:rsidR="00394471" w:rsidRPr="00FA0D37" w:rsidRDefault="00394471" w:rsidP="00FA0D37">
      <w:pPr>
        <w:pStyle w:val="PL"/>
      </w:pPr>
      <w:r w:rsidRPr="00FA0D37">
        <w:t xml:space="preserve">    maxNumberCLI-RSSI-r16                   </w:t>
      </w:r>
      <w:r w:rsidRPr="00FA0D37">
        <w:rPr>
          <w:color w:val="993366"/>
        </w:rPr>
        <w:t>ENUMERATED</w:t>
      </w:r>
      <w:r w:rsidRPr="00FA0D37">
        <w:t xml:space="preserve"> {n8, n16, n32, n64}          </w:t>
      </w:r>
      <w:r w:rsidRPr="00FA0D37">
        <w:rPr>
          <w:color w:val="993366"/>
        </w:rPr>
        <w:t>OPTIONAL</w:t>
      </w:r>
      <w:r w:rsidRPr="00FA0D37">
        <w:t>,</w:t>
      </w:r>
    </w:p>
    <w:p w14:paraId="228981A3" w14:textId="77777777" w:rsidR="00394471" w:rsidRPr="00FA0D37" w:rsidRDefault="00394471" w:rsidP="00FA0D37">
      <w:pPr>
        <w:pStyle w:val="PL"/>
      </w:pPr>
      <w:r w:rsidRPr="00FA0D37">
        <w:t xml:space="preserve">    maxNumberCLI-SRS-RSRP-r16               </w:t>
      </w:r>
      <w:r w:rsidRPr="00FA0D37">
        <w:rPr>
          <w:color w:val="993366"/>
        </w:rPr>
        <w:t>ENUMERATED</w:t>
      </w:r>
      <w:r w:rsidRPr="00FA0D37">
        <w:t xml:space="preserve"> {n4, n8, n16, n32}           </w:t>
      </w:r>
      <w:r w:rsidRPr="00FA0D37">
        <w:rPr>
          <w:color w:val="993366"/>
        </w:rPr>
        <w:t>OPTIONAL</w:t>
      </w:r>
      <w:r w:rsidRPr="00FA0D37">
        <w:t>,</w:t>
      </w:r>
    </w:p>
    <w:p w14:paraId="103F057D" w14:textId="77777777" w:rsidR="00394471" w:rsidRPr="00FA0D37" w:rsidRDefault="00394471" w:rsidP="00FA0D37">
      <w:pPr>
        <w:pStyle w:val="PL"/>
      </w:pPr>
      <w:r w:rsidRPr="00FA0D37">
        <w:t xml:space="preserve">    maxNumberPerSlotCLI-SRS-RSRP-r16        </w:t>
      </w:r>
      <w:r w:rsidRPr="00FA0D37">
        <w:rPr>
          <w:color w:val="993366"/>
        </w:rPr>
        <w:t>ENUMERATED</w:t>
      </w:r>
      <w:r w:rsidRPr="00FA0D37">
        <w:t xml:space="preserve"> {n2, n4, n8}                 </w:t>
      </w:r>
      <w:r w:rsidRPr="00FA0D37">
        <w:rPr>
          <w:color w:val="993366"/>
        </w:rPr>
        <w:t>OPTIONAL</w:t>
      </w:r>
      <w:r w:rsidRPr="00FA0D37">
        <w:t>,</w:t>
      </w:r>
    </w:p>
    <w:p w14:paraId="5CC23385" w14:textId="77777777" w:rsidR="00394471" w:rsidRPr="00FA0D37" w:rsidRDefault="00394471" w:rsidP="00FA0D37">
      <w:pPr>
        <w:pStyle w:val="PL"/>
      </w:pPr>
      <w:r w:rsidRPr="00FA0D37">
        <w:t xml:space="preserve">    mfbi-IAB-r16                            </w:t>
      </w:r>
      <w:r w:rsidRPr="00FA0D37">
        <w:rPr>
          <w:color w:val="993366"/>
        </w:rPr>
        <w:t>ENUMERATED</w:t>
      </w:r>
      <w:r w:rsidRPr="00FA0D37">
        <w:t xml:space="preserve"> {supported}                  </w:t>
      </w:r>
      <w:r w:rsidRPr="00FA0D37">
        <w:rPr>
          <w:color w:val="993366"/>
        </w:rPr>
        <w:t>OPTIONAL</w:t>
      </w:r>
      <w:r w:rsidRPr="00FA0D37">
        <w:t>,</w:t>
      </w:r>
    </w:p>
    <w:p w14:paraId="213F6E7A" w14:textId="6BA52931" w:rsidR="00394471" w:rsidRPr="00FA0D37" w:rsidRDefault="00394471" w:rsidP="00FA0D37">
      <w:pPr>
        <w:pStyle w:val="PL"/>
      </w:pPr>
      <w:r w:rsidRPr="00FA0D37">
        <w:t xml:space="preserve">    </w:t>
      </w:r>
      <w:r w:rsidR="00D027C1" w:rsidRPr="00FA0D37">
        <w:t>dummy</w:t>
      </w:r>
      <w:r w:rsidRPr="00FA0D37">
        <w:t xml:space="preserve">             </w:t>
      </w:r>
      <w:r w:rsidR="00D027C1" w:rsidRPr="00FA0D37">
        <w:t xml:space="preserve">                      </w:t>
      </w:r>
      <w:r w:rsidRPr="00FA0D37">
        <w:rPr>
          <w:color w:val="993366"/>
        </w:rPr>
        <w:t>ENUMERATED</w:t>
      </w:r>
      <w:r w:rsidRPr="00FA0D37">
        <w:t xml:space="preserve"> {supported}                  </w:t>
      </w:r>
      <w:r w:rsidRPr="00FA0D37">
        <w:rPr>
          <w:color w:val="993366"/>
        </w:rPr>
        <w:t>OPTIONAL</w:t>
      </w:r>
      <w:r w:rsidRPr="00FA0D37">
        <w:t>,</w:t>
      </w:r>
    </w:p>
    <w:p w14:paraId="197E0D26" w14:textId="77777777" w:rsidR="00394471" w:rsidRPr="00FA0D37" w:rsidRDefault="00394471" w:rsidP="00FA0D37">
      <w:pPr>
        <w:pStyle w:val="PL"/>
      </w:pPr>
      <w:r w:rsidRPr="00FA0D37">
        <w:t xml:space="preserve">    nr-CGI-Reporting-NPN-r16                </w:t>
      </w:r>
      <w:r w:rsidRPr="00FA0D37">
        <w:rPr>
          <w:color w:val="993366"/>
        </w:rPr>
        <w:t>ENUMERATED</w:t>
      </w:r>
      <w:r w:rsidRPr="00FA0D37">
        <w:t xml:space="preserve"> {supported}                  </w:t>
      </w:r>
      <w:r w:rsidRPr="00FA0D37">
        <w:rPr>
          <w:color w:val="993366"/>
        </w:rPr>
        <w:t>OPTIONAL</w:t>
      </w:r>
      <w:r w:rsidRPr="00FA0D37">
        <w:t>,</w:t>
      </w:r>
    </w:p>
    <w:p w14:paraId="13CB2195" w14:textId="77777777" w:rsidR="00394471" w:rsidRPr="00FA0D37" w:rsidRDefault="00394471" w:rsidP="00FA0D37">
      <w:pPr>
        <w:pStyle w:val="PL"/>
      </w:pPr>
      <w:r w:rsidRPr="00FA0D37">
        <w:t xml:space="preserve">    idleInactiveEUTRA-MeasReport-r16        </w:t>
      </w:r>
      <w:r w:rsidRPr="00FA0D37">
        <w:rPr>
          <w:color w:val="993366"/>
        </w:rPr>
        <w:t>ENUMERATED</w:t>
      </w:r>
      <w:r w:rsidRPr="00FA0D37">
        <w:t xml:space="preserve"> {supported}                  </w:t>
      </w:r>
      <w:r w:rsidRPr="00FA0D37">
        <w:rPr>
          <w:color w:val="993366"/>
        </w:rPr>
        <w:t>OPTIONAL</w:t>
      </w:r>
      <w:r w:rsidRPr="00FA0D37">
        <w:t>,</w:t>
      </w:r>
    </w:p>
    <w:p w14:paraId="72D3FC23" w14:textId="77777777" w:rsidR="00394471" w:rsidRPr="00FA0D37" w:rsidRDefault="00394471" w:rsidP="00FA0D37">
      <w:pPr>
        <w:pStyle w:val="PL"/>
      </w:pPr>
      <w:r w:rsidRPr="00FA0D37">
        <w:t xml:space="preserve">    idleInactive-ValidityArea-r16           </w:t>
      </w:r>
      <w:r w:rsidRPr="00FA0D37">
        <w:rPr>
          <w:color w:val="993366"/>
        </w:rPr>
        <w:t>ENUMERATED</w:t>
      </w:r>
      <w:r w:rsidRPr="00FA0D37">
        <w:t xml:space="preserve"> {supported}                  </w:t>
      </w:r>
      <w:r w:rsidRPr="00FA0D37">
        <w:rPr>
          <w:color w:val="993366"/>
        </w:rPr>
        <w:t>OPTIONAL</w:t>
      </w:r>
      <w:r w:rsidRPr="00FA0D37">
        <w:t>,</w:t>
      </w:r>
    </w:p>
    <w:p w14:paraId="497CAE98" w14:textId="77777777" w:rsidR="00394471" w:rsidRPr="00FA0D37" w:rsidRDefault="00394471" w:rsidP="00FA0D37">
      <w:pPr>
        <w:pStyle w:val="PL"/>
      </w:pPr>
      <w:r w:rsidRPr="00FA0D37">
        <w:t xml:space="preserve">    eutra-AutonomousGaps-r16                </w:t>
      </w:r>
      <w:r w:rsidRPr="00FA0D37">
        <w:rPr>
          <w:color w:val="993366"/>
        </w:rPr>
        <w:t>ENUMERATED</w:t>
      </w:r>
      <w:r w:rsidRPr="00FA0D37">
        <w:t xml:space="preserve"> {supported}                  </w:t>
      </w:r>
      <w:r w:rsidRPr="00FA0D37">
        <w:rPr>
          <w:color w:val="993366"/>
        </w:rPr>
        <w:t>OPTIONAL</w:t>
      </w:r>
      <w:r w:rsidRPr="00FA0D37">
        <w:t>,</w:t>
      </w:r>
    </w:p>
    <w:p w14:paraId="4F42DC01" w14:textId="77777777" w:rsidR="00394471" w:rsidRPr="00FA0D37" w:rsidRDefault="00394471" w:rsidP="00FA0D37">
      <w:pPr>
        <w:pStyle w:val="PL"/>
      </w:pPr>
      <w:r w:rsidRPr="00FA0D37">
        <w:t xml:space="preserve">    eutra-AutonomousGaps-NEDC-r16           </w:t>
      </w:r>
      <w:r w:rsidRPr="00FA0D37">
        <w:rPr>
          <w:color w:val="993366"/>
        </w:rPr>
        <w:t>ENUMERATED</w:t>
      </w:r>
      <w:r w:rsidRPr="00FA0D37">
        <w:t xml:space="preserve"> {supported}                  </w:t>
      </w:r>
      <w:r w:rsidRPr="00FA0D37">
        <w:rPr>
          <w:color w:val="993366"/>
        </w:rPr>
        <w:t>OPTIONAL</w:t>
      </w:r>
      <w:r w:rsidRPr="00FA0D37">
        <w:t>,</w:t>
      </w:r>
    </w:p>
    <w:p w14:paraId="52FEE396" w14:textId="77777777" w:rsidR="00394471" w:rsidRPr="00FA0D37" w:rsidRDefault="00394471" w:rsidP="00FA0D37">
      <w:pPr>
        <w:pStyle w:val="PL"/>
      </w:pPr>
      <w:r w:rsidRPr="00FA0D37">
        <w:t xml:space="preserve">    eutra-AutonomousGaps-NRDC-r16           </w:t>
      </w:r>
      <w:r w:rsidRPr="00FA0D37">
        <w:rPr>
          <w:color w:val="993366"/>
        </w:rPr>
        <w:t>ENUMERATED</w:t>
      </w:r>
      <w:r w:rsidRPr="00FA0D37">
        <w:t xml:space="preserve"> {supported}                  </w:t>
      </w:r>
      <w:r w:rsidRPr="00FA0D37">
        <w:rPr>
          <w:color w:val="993366"/>
        </w:rPr>
        <w:t>OPTIONAL</w:t>
      </w:r>
      <w:r w:rsidRPr="00FA0D37">
        <w:t>,</w:t>
      </w:r>
    </w:p>
    <w:p w14:paraId="176DC770" w14:textId="77777777" w:rsidR="00394471" w:rsidRPr="00FA0D37" w:rsidRDefault="00394471" w:rsidP="00FA0D37">
      <w:pPr>
        <w:pStyle w:val="PL"/>
      </w:pPr>
      <w:r w:rsidRPr="00FA0D37">
        <w:t xml:space="preserve">    pcellT312-r16                           </w:t>
      </w:r>
      <w:r w:rsidRPr="00FA0D37">
        <w:rPr>
          <w:color w:val="993366"/>
        </w:rPr>
        <w:t>ENUMERATED</w:t>
      </w:r>
      <w:r w:rsidRPr="00FA0D37">
        <w:t xml:space="preserve"> {supported}                  </w:t>
      </w:r>
      <w:r w:rsidRPr="00FA0D37">
        <w:rPr>
          <w:color w:val="993366"/>
        </w:rPr>
        <w:t>OPTIONAL</w:t>
      </w:r>
      <w:r w:rsidRPr="00FA0D37">
        <w:t>,</w:t>
      </w:r>
    </w:p>
    <w:p w14:paraId="6988D446" w14:textId="77777777" w:rsidR="00394471" w:rsidRPr="00FA0D37" w:rsidRDefault="00394471" w:rsidP="00FA0D37">
      <w:pPr>
        <w:pStyle w:val="PL"/>
      </w:pPr>
      <w:r w:rsidRPr="00FA0D37">
        <w:t xml:space="preserve">    supportedGapPattern-r16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                   </w:t>
      </w:r>
      <w:r w:rsidRPr="00FA0D37">
        <w:rPr>
          <w:color w:val="993366"/>
        </w:rPr>
        <w:t>OPTIONAL</w:t>
      </w:r>
    </w:p>
    <w:p w14:paraId="01013C57" w14:textId="7A255BBD" w:rsidR="00022DF1" w:rsidRPr="00FA0D37" w:rsidRDefault="00394471" w:rsidP="00FA0D37">
      <w:pPr>
        <w:pStyle w:val="PL"/>
      </w:pPr>
      <w:r w:rsidRPr="00FA0D37">
        <w:t xml:space="preserve">    ]]</w:t>
      </w:r>
      <w:r w:rsidR="00022DF1" w:rsidRPr="00FA0D37">
        <w:t>,</w:t>
      </w:r>
    </w:p>
    <w:p w14:paraId="27747C7F" w14:textId="70E8B97B" w:rsidR="00022DF1" w:rsidRPr="00FA0D37" w:rsidRDefault="00022DF1" w:rsidP="00FA0D37">
      <w:pPr>
        <w:pStyle w:val="PL"/>
      </w:pPr>
      <w:r w:rsidRPr="00FA0D37">
        <w:t xml:space="preserve">    [[</w:t>
      </w:r>
    </w:p>
    <w:p w14:paraId="3BCE4B74" w14:textId="77777777" w:rsidR="00F747EB" w:rsidRPr="00FA0D37" w:rsidRDefault="00022DF1" w:rsidP="00FA0D37">
      <w:pPr>
        <w:pStyle w:val="PL"/>
        <w:rPr>
          <w:color w:val="808080"/>
        </w:rPr>
      </w:pPr>
      <w:r w:rsidRPr="00FA0D37">
        <w:t xml:space="preserve">    </w:t>
      </w:r>
      <w:r w:rsidRPr="00FA0D37">
        <w:rPr>
          <w:color w:val="808080"/>
        </w:rPr>
        <w:t>-- R4 19-2 Concurrent measurement gaps</w:t>
      </w:r>
    </w:p>
    <w:p w14:paraId="56E269D7" w14:textId="74316CE4" w:rsidR="00B166EA" w:rsidRPr="00FA0D37" w:rsidRDefault="00022DF1" w:rsidP="00FA0D37">
      <w:pPr>
        <w:pStyle w:val="PL"/>
      </w:pPr>
      <w:r w:rsidRPr="00FA0D37">
        <w:t xml:space="preserve">    concurrentMeasGap-r17                   </w:t>
      </w:r>
      <w:r w:rsidR="00B166EA" w:rsidRPr="00FA0D37">
        <w:rPr>
          <w:color w:val="993366"/>
        </w:rPr>
        <w:t>CHOICE</w:t>
      </w:r>
      <w:r w:rsidR="00B166EA" w:rsidRPr="00FA0D37">
        <w:t xml:space="preserve"> {</w:t>
      </w:r>
    </w:p>
    <w:p w14:paraId="4703542B" w14:textId="3A4B98B9" w:rsidR="00B166EA" w:rsidRPr="00FA0D37" w:rsidRDefault="00B166EA" w:rsidP="00FA0D37">
      <w:pPr>
        <w:pStyle w:val="PL"/>
      </w:pPr>
      <w:r w:rsidRPr="00FA0D37">
        <w:t xml:space="preserve">        concurrentPerUE-OnlyMeasGap-r17         </w:t>
      </w:r>
      <w:r w:rsidRPr="00FA0D37">
        <w:rPr>
          <w:color w:val="993366"/>
        </w:rPr>
        <w:t>ENUMERATED</w:t>
      </w:r>
      <w:r w:rsidRPr="00FA0D37">
        <w:t xml:space="preserve"> {supported},</w:t>
      </w:r>
    </w:p>
    <w:p w14:paraId="7814941F" w14:textId="77777777" w:rsidR="00F747EB" w:rsidRPr="00FA0D37" w:rsidRDefault="00B166EA" w:rsidP="00FA0D37">
      <w:pPr>
        <w:pStyle w:val="PL"/>
      </w:pPr>
      <w:r w:rsidRPr="00FA0D37">
        <w:t xml:space="preserve">        concurrentPerUE-PerFRCombMeasGap-r17    </w:t>
      </w:r>
      <w:r w:rsidRPr="00FA0D37">
        <w:rPr>
          <w:color w:val="993366"/>
        </w:rPr>
        <w:t>ENUMERATED</w:t>
      </w:r>
      <w:r w:rsidRPr="00FA0D37">
        <w:t xml:space="preserve"> {supported}</w:t>
      </w:r>
    </w:p>
    <w:p w14:paraId="2AFE3D3C" w14:textId="48835D07" w:rsidR="00022DF1" w:rsidRPr="00FA0D37" w:rsidRDefault="00B166EA" w:rsidP="00FA0D37">
      <w:pPr>
        <w:pStyle w:val="PL"/>
      </w:pPr>
      <w:r w:rsidRPr="00FA0D37">
        <w:t xml:space="preserve">    }                                           </w:t>
      </w:r>
      <w:r w:rsidR="00022DF1" w:rsidRPr="00FA0D37">
        <w:t xml:space="preserve">                  </w:t>
      </w:r>
      <w:r w:rsidRPr="00FA0D37">
        <w:t xml:space="preserve">                  </w:t>
      </w:r>
      <w:r w:rsidR="00022DF1" w:rsidRPr="00FA0D37">
        <w:rPr>
          <w:color w:val="993366"/>
        </w:rPr>
        <w:t>OPTIONAL</w:t>
      </w:r>
      <w:r w:rsidR="00022DF1" w:rsidRPr="00FA0D37">
        <w:t>,</w:t>
      </w:r>
    </w:p>
    <w:p w14:paraId="767FEB21" w14:textId="300F50E8" w:rsidR="00022DF1" w:rsidRPr="00FA0D37" w:rsidRDefault="00022DF1" w:rsidP="00FA0D37">
      <w:pPr>
        <w:pStyle w:val="PL"/>
        <w:rPr>
          <w:color w:val="808080"/>
        </w:rPr>
      </w:pPr>
      <w:r w:rsidRPr="00FA0D37">
        <w:t xml:space="preserve">    </w:t>
      </w:r>
      <w:r w:rsidRPr="00FA0D37">
        <w:rPr>
          <w:color w:val="808080"/>
        </w:rPr>
        <w:t>-- R4 19-1 Network controlled small gap (NCSG)</w:t>
      </w:r>
    </w:p>
    <w:p w14:paraId="246C4401" w14:textId="10E3A287" w:rsidR="00022DF1" w:rsidRPr="00FA0D37" w:rsidRDefault="00022DF1" w:rsidP="00FA0D37">
      <w:pPr>
        <w:pStyle w:val="PL"/>
      </w:pPr>
      <w:r w:rsidRPr="00FA0D37">
        <w:t xml:space="preserve">    </w:t>
      </w:r>
      <w:r w:rsidR="007939B7" w:rsidRPr="00FA0D37">
        <w:t>nr-NeedForGapNCSG-</w:t>
      </w:r>
      <w:r w:rsidR="00372354" w:rsidRPr="00FA0D37">
        <w:t>R</w:t>
      </w:r>
      <w:r w:rsidR="007939B7" w:rsidRPr="00FA0D37">
        <w:t>eporting</w:t>
      </w:r>
      <w:r w:rsidR="00EA6373" w:rsidRPr="00FA0D37">
        <w:t>-r17</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6879AD4F" w14:textId="08EA860D" w:rsidR="00022DF1" w:rsidRPr="00FA0D37" w:rsidRDefault="00022DF1" w:rsidP="00FA0D37">
      <w:pPr>
        <w:pStyle w:val="PL"/>
      </w:pPr>
      <w:r w:rsidRPr="00FA0D37">
        <w:t xml:space="preserve">    </w:t>
      </w:r>
      <w:r w:rsidR="007939B7" w:rsidRPr="00FA0D37">
        <w:t>eutra-NeedForGapNCSG-</w:t>
      </w:r>
      <w:r w:rsidR="00372354" w:rsidRPr="00FA0D37">
        <w:t>R</w:t>
      </w:r>
      <w:r w:rsidR="007939B7" w:rsidRPr="00FA0D37">
        <w:t>eporting</w:t>
      </w:r>
      <w:r w:rsidR="00EA6373" w:rsidRPr="00FA0D37">
        <w:t>-r17</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26F4B6A7" w14:textId="77777777" w:rsidR="007939B7" w:rsidRPr="00FA0D37" w:rsidRDefault="007939B7" w:rsidP="00FA0D37">
      <w:pPr>
        <w:pStyle w:val="PL"/>
        <w:rPr>
          <w:color w:val="808080"/>
        </w:rPr>
      </w:pPr>
      <w:r w:rsidRPr="00FA0D37">
        <w:t xml:space="preserve">    </w:t>
      </w:r>
      <w:r w:rsidRPr="00FA0D37">
        <w:rPr>
          <w:color w:val="808080"/>
        </w:rPr>
        <w:t>-- R4 19-1-1 per FR Network controlled small gap (NCSG)</w:t>
      </w:r>
    </w:p>
    <w:p w14:paraId="150FFF09" w14:textId="153FF370" w:rsidR="007939B7" w:rsidRPr="00FA0D37" w:rsidRDefault="007939B7" w:rsidP="00FA0D37">
      <w:pPr>
        <w:pStyle w:val="PL"/>
      </w:pPr>
      <w:r w:rsidRPr="00FA0D37">
        <w:t xml:space="preserve">    ncsg-MeasGapPerFR-r17                   </w:t>
      </w:r>
      <w:r w:rsidRPr="00FA0D37">
        <w:rPr>
          <w:color w:val="993366"/>
        </w:rPr>
        <w:t>ENUMERATED</w:t>
      </w:r>
      <w:r w:rsidRPr="00FA0D37">
        <w:t xml:space="preserve"> {supported}                  </w:t>
      </w:r>
      <w:r w:rsidRPr="00FA0D37">
        <w:rPr>
          <w:color w:val="993366"/>
        </w:rPr>
        <w:t>OPTIONAL</w:t>
      </w:r>
      <w:r w:rsidRPr="00FA0D37">
        <w:t>,</w:t>
      </w:r>
    </w:p>
    <w:p w14:paraId="21B7C062" w14:textId="09344725" w:rsidR="007939B7" w:rsidRPr="00FA0D37" w:rsidRDefault="007939B7" w:rsidP="00FA0D37">
      <w:pPr>
        <w:pStyle w:val="PL"/>
        <w:rPr>
          <w:color w:val="808080"/>
        </w:rPr>
      </w:pPr>
      <w:r w:rsidRPr="00FA0D37">
        <w:t xml:space="preserve">    </w:t>
      </w:r>
      <w:r w:rsidRPr="00FA0D37">
        <w:rPr>
          <w:color w:val="808080"/>
        </w:rPr>
        <w:t>-- R4 19-1-2 Network controlled small gap (NCSG) supported patterns</w:t>
      </w:r>
    </w:p>
    <w:p w14:paraId="215C275A" w14:textId="520FE2B4" w:rsidR="007939B7" w:rsidRPr="00FA0D37" w:rsidRDefault="007939B7" w:rsidP="00FA0D37">
      <w:pPr>
        <w:pStyle w:val="PL"/>
      </w:pPr>
      <w:r w:rsidRPr="00FA0D37">
        <w:t xml:space="preserve">    ncsg-MeasGapPatterns-r17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(24))                   </w:t>
      </w:r>
      <w:r w:rsidRPr="00FA0D37">
        <w:rPr>
          <w:color w:val="993366"/>
        </w:rPr>
        <w:t>OPTIONAL</w:t>
      </w:r>
      <w:r w:rsidRPr="00FA0D37">
        <w:t>,</w:t>
      </w:r>
    </w:p>
    <w:p w14:paraId="675E6090" w14:textId="3988F4CD" w:rsidR="007939B7" w:rsidRPr="00FA0D37" w:rsidRDefault="007939B7" w:rsidP="00FA0D37">
      <w:pPr>
        <w:pStyle w:val="PL"/>
        <w:rPr>
          <w:color w:val="808080"/>
        </w:rPr>
      </w:pPr>
      <w:r w:rsidRPr="00FA0D37">
        <w:t xml:space="preserve">    </w:t>
      </w:r>
      <w:r w:rsidRPr="00FA0D37">
        <w:rPr>
          <w:color w:val="808080"/>
        </w:rPr>
        <w:t>-- R4 19-1-3 Network controlled small gap (NCSG) supported NR-only patterns</w:t>
      </w:r>
    </w:p>
    <w:p w14:paraId="310A7DBB" w14:textId="659A7A11" w:rsidR="007939B7" w:rsidRPr="00FA0D37" w:rsidRDefault="007939B7" w:rsidP="00FA0D37">
      <w:pPr>
        <w:pStyle w:val="PL"/>
      </w:pPr>
      <w:r w:rsidRPr="00FA0D37">
        <w:t xml:space="preserve">    ncsg-MeasGapNR-Patterns-r17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(24))                   </w:t>
      </w:r>
      <w:r w:rsidRPr="00FA0D37">
        <w:rPr>
          <w:color w:val="993366"/>
        </w:rPr>
        <w:t>OPTIONAL</w:t>
      </w:r>
      <w:r w:rsidRPr="00FA0D37">
        <w:t>,</w:t>
      </w:r>
    </w:p>
    <w:p w14:paraId="1EFA8C76" w14:textId="472D545E" w:rsidR="00022DF1" w:rsidRPr="00FA0D37" w:rsidRDefault="00022DF1" w:rsidP="00FA0D37">
      <w:pPr>
        <w:pStyle w:val="PL"/>
        <w:rPr>
          <w:color w:val="808080"/>
        </w:rPr>
      </w:pPr>
      <w:r w:rsidRPr="00FA0D37">
        <w:t xml:space="preserve">    </w:t>
      </w:r>
      <w:r w:rsidRPr="00FA0D37">
        <w:rPr>
          <w:color w:val="808080"/>
        </w:rPr>
        <w:t>-- R4 19-3-2 pre-configured measurement gap</w:t>
      </w:r>
    </w:p>
    <w:p w14:paraId="0CEB5FC4" w14:textId="16245938" w:rsidR="00022DF1" w:rsidRPr="00FA0D37" w:rsidRDefault="00022DF1" w:rsidP="00FA0D37">
      <w:pPr>
        <w:pStyle w:val="PL"/>
      </w:pPr>
      <w:r w:rsidRPr="00FA0D37">
        <w:t xml:space="preserve">    preconfiguredUE-AutonomousMeasGap-r17   </w:t>
      </w:r>
      <w:r w:rsidRPr="00FA0D37">
        <w:rPr>
          <w:color w:val="993366"/>
        </w:rPr>
        <w:t>ENUMERATED</w:t>
      </w:r>
      <w:r w:rsidRPr="00FA0D37">
        <w:t xml:space="preserve"> {supported}                  </w:t>
      </w:r>
      <w:r w:rsidRPr="00FA0D37">
        <w:rPr>
          <w:color w:val="993366"/>
        </w:rPr>
        <w:t>OPTIONAL</w:t>
      </w:r>
      <w:r w:rsidRPr="00FA0D37">
        <w:t>,</w:t>
      </w:r>
    </w:p>
    <w:p w14:paraId="3CC58DF6" w14:textId="5FA5A657" w:rsidR="00022DF1" w:rsidRPr="00FA0D37" w:rsidRDefault="00022DF1" w:rsidP="00FA0D37">
      <w:pPr>
        <w:pStyle w:val="PL"/>
        <w:rPr>
          <w:color w:val="808080"/>
        </w:rPr>
      </w:pPr>
      <w:r w:rsidRPr="00FA0D37">
        <w:t xml:space="preserve">    </w:t>
      </w:r>
      <w:r w:rsidRPr="00FA0D37">
        <w:rPr>
          <w:color w:val="808080"/>
        </w:rPr>
        <w:t>-- R4 19-3-1 pre-configured measurement gap</w:t>
      </w:r>
    </w:p>
    <w:p w14:paraId="01E3F335" w14:textId="005A9AFA" w:rsidR="00022DF1" w:rsidRPr="00FA0D37" w:rsidRDefault="00022DF1" w:rsidP="00FA0D37">
      <w:pPr>
        <w:pStyle w:val="PL"/>
      </w:pPr>
      <w:r w:rsidRPr="00FA0D37">
        <w:t xml:space="preserve">    preconfiguredNW-ControlledMeasGap-r17   </w:t>
      </w:r>
      <w:r w:rsidRPr="00FA0D37">
        <w:rPr>
          <w:color w:val="993366"/>
        </w:rPr>
        <w:t>ENUMERATED</w:t>
      </w:r>
      <w:r w:rsidRPr="00FA0D37">
        <w:t xml:space="preserve"> {supported}                  </w:t>
      </w:r>
      <w:r w:rsidRPr="00FA0D37">
        <w:rPr>
          <w:color w:val="993366"/>
        </w:rPr>
        <w:t>OPTIONAL</w:t>
      </w:r>
      <w:r w:rsidRPr="00FA0D37">
        <w:t>,</w:t>
      </w:r>
    </w:p>
    <w:p w14:paraId="20F5EDC1" w14:textId="6FB08386" w:rsidR="00022DF1" w:rsidRPr="00FA0D37" w:rsidRDefault="00022DF1" w:rsidP="00FA0D37">
      <w:pPr>
        <w:pStyle w:val="PL"/>
      </w:pPr>
      <w:r w:rsidRPr="00FA0D37">
        <w:t xml:space="preserve">    handoverFR1-FR2-2-r17                   </w:t>
      </w:r>
      <w:r w:rsidRPr="00FA0D37">
        <w:rPr>
          <w:color w:val="993366"/>
        </w:rPr>
        <w:t>ENUMERATED</w:t>
      </w:r>
      <w:r w:rsidRPr="00FA0D37">
        <w:t xml:space="preserve"> {supported}                  </w:t>
      </w:r>
      <w:r w:rsidRPr="00FA0D37">
        <w:rPr>
          <w:color w:val="993366"/>
        </w:rPr>
        <w:t>OPTIONAL</w:t>
      </w:r>
      <w:r w:rsidRPr="00FA0D37">
        <w:t>,</w:t>
      </w:r>
    </w:p>
    <w:p w14:paraId="15AED31E" w14:textId="37B2E816" w:rsidR="00022DF1" w:rsidRPr="00FA0D37" w:rsidRDefault="00022DF1" w:rsidP="00FA0D37">
      <w:pPr>
        <w:pStyle w:val="PL"/>
      </w:pPr>
      <w:r w:rsidRPr="00FA0D37">
        <w:t xml:space="preserve">    handoverFR2-1-FR2-2-r17                 </w:t>
      </w:r>
      <w:r w:rsidRPr="00FA0D37">
        <w:rPr>
          <w:color w:val="993366"/>
        </w:rPr>
        <w:t>ENUMERATED</w:t>
      </w:r>
      <w:r w:rsidRPr="00FA0D37">
        <w:t xml:space="preserve"> {supported}                  </w:t>
      </w:r>
      <w:r w:rsidRPr="00FA0D37">
        <w:rPr>
          <w:color w:val="993366"/>
        </w:rPr>
        <w:t>OPTIONAL</w:t>
      </w:r>
      <w:r w:rsidRPr="00FA0D37">
        <w:t>,</w:t>
      </w:r>
    </w:p>
    <w:p w14:paraId="6EE5F3BF" w14:textId="22A7498E" w:rsidR="00022DF1" w:rsidRPr="00FA0D37" w:rsidRDefault="00022DF1" w:rsidP="00FA0D37">
      <w:pPr>
        <w:pStyle w:val="PL"/>
        <w:rPr>
          <w:color w:val="808080"/>
        </w:rPr>
      </w:pPr>
      <w:r w:rsidRPr="00FA0D37">
        <w:t xml:space="preserve">    </w:t>
      </w:r>
      <w:r w:rsidRPr="00FA0D37">
        <w:rPr>
          <w:color w:val="808080"/>
        </w:rPr>
        <w:t>-- RAN4 14-1: per-FR MG for PRS measurement</w:t>
      </w:r>
    </w:p>
    <w:p w14:paraId="06C4DC07" w14:textId="4BAAE49F" w:rsidR="00022DF1" w:rsidRPr="00FA0D37" w:rsidRDefault="00022DF1" w:rsidP="00FA0D37">
      <w:pPr>
        <w:pStyle w:val="PL"/>
      </w:pPr>
      <w:r w:rsidRPr="00FA0D37">
        <w:lastRenderedPageBreak/>
        <w:t xml:space="preserve">    independentGapConfigPRS-r17             </w:t>
      </w:r>
      <w:r w:rsidRPr="00FA0D37">
        <w:rPr>
          <w:color w:val="993366"/>
        </w:rPr>
        <w:t>ENUMERATED</w:t>
      </w:r>
      <w:r w:rsidRPr="00FA0D37">
        <w:t xml:space="preserve"> {supported}                  </w:t>
      </w:r>
      <w:r w:rsidRPr="00FA0D37">
        <w:rPr>
          <w:color w:val="993366"/>
        </w:rPr>
        <w:t>OPTIONAL</w:t>
      </w:r>
      <w:r w:rsidR="007939B7" w:rsidRPr="00FA0D37">
        <w:t>,</w:t>
      </w:r>
    </w:p>
    <w:p w14:paraId="6F33FFA0" w14:textId="77777777" w:rsidR="007939B7" w:rsidRPr="00FA0D37" w:rsidRDefault="007939B7" w:rsidP="00FA0D37">
      <w:pPr>
        <w:pStyle w:val="PL"/>
      </w:pPr>
      <w:r w:rsidRPr="00FA0D37">
        <w:t xml:space="preserve">    rrm-RelaxationRRC-ConnectedRedCap-r17   </w:t>
      </w:r>
      <w:r w:rsidRPr="00FA0D37">
        <w:rPr>
          <w:color w:val="993366"/>
        </w:rPr>
        <w:t>ENUMERATED</w:t>
      </w:r>
      <w:r w:rsidRPr="00FA0D37">
        <w:t xml:space="preserve"> {supported}                  </w:t>
      </w:r>
      <w:r w:rsidRPr="00FA0D37">
        <w:rPr>
          <w:color w:val="993366"/>
        </w:rPr>
        <w:t>OPTIONAL</w:t>
      </w:r>
      <w:r w:rsidRPr="00FA0D37">
        <w:t>,</w:t>
      </w:r>
    </w:p>
    <w:p w14:paraId="38E27E15" w14:textId="77777777" w:rsidR="007939B7" w:rsidRPr="00FA0D37" w:rsidRDefault="007939B7" w:rsidP="00FA0D37">
      <w:pPr>
        <w:pStyle w:val="PL"/>
        <w:rPr>
          <w:color w:val="808080"/>
        </w:rPr>
      </w:pPr>
      <w:r w:rsidRPr="00FA0D37">
        <w:t xml:space="preserve">    </w:t>
      </w:r>
      <w:r w:rsidRPr="00FA0D37">
        <w:rPr>
          <w:color w:val="808080"/>
        </w:rPr>
        <w:t>-- R4 25-3: Parallel measurements with multiple measurement gaps</w:t>
      </w:r>
    </w:p>
    <w:p w14:paraId="640BC744" w14:textId="6F8B5938" w:rsidR="007939B7" w:rsidRPr="00FA0D37" w:rsidRDefault="007939B7" w:rsidP="00FA0D37">
      <w:pPr>
        <w:pStyle w:val="PL"/>
      </w:pPr>
      <w:r w:rsidRPr="00FA0D37">
        <w:t xml:space="preserve">    parallelMeasurementGap-r17              </w:t>
      </w:r>
      <w:r w:rsidRPr="00FA0D37">
        <w:rPr>
          <w:color w:val="993366"/>
        </w:rPr>
        <w:t>ENUMERATED</w:t>
      </w:r>
      <w:r w:rsidRPr="00FA0D37">
        <w:t xml:space="preserve"> {n2}                         </w:t>
      </w:r>
      <w:r w:rsidRPr="00FA0D37">
        <w:rPr>
          <w:color w:val="993366"/>
        </w:rPr>
        <w:t>OPTIONAL</w:t>
      </w:r>
      <w:r w:rsidR="00550975" w:rsidRPr="00FA0D37">
        <w:t>,</w:t>
      </w:r>
    </w:p>
    <w:p w14:paraId="7F1F8210" w14:textId="080A63BE" w:rsidR="00550975" w:rsidRPr="00FA0D37" w:rsidRDefault="00550975" w:rsidP="00FA0D37">
      <w:pPr>
        <w:pStyle w:val="PL"/>
      </w:pPr>
      <w:r w:rsidRPr="00FA0D37">
        <w:t xml:space="preserve">    condHandoverWithSCG-NRDC-r17            </w:t>
      </w:r>
      <w:r w:rsidRPr="00FA0D37">
        <w:rPr>
          <w:color w:val="993366"/>
        </w:rPr>
        <w:t>ENUMERATED</w:t>
      </w:r>
      <w:r w:rsidRPr="00FA0D37">
        <w:t xml:space="preserve"> {supported}                  </w:t>
      </w:r>
      <w:r w:rsidRPr="00FA0D37">
        <w:rPr>
          <w:color w:val="993366"/>
        </w:rPr>
        <w:t>OPTIONAL</w:t>
      </w:r>
      <w:r w:rsidR="00876283" w:rsidRPr="00FA0D37">
        <w:t>,</w:t>
      </w:r>
    </w:p>
    <w:p w14:paraId="1A4F6A83" w14:textId="282562A9" w:rsidR="00876283" w:rsidRPr="00FA0D37" w:rsidRDefault="00876283" w:rsidP="00FA0D37">
      <w:pPr>
        <w:pStyle w:val="PL"/>
      </w:pPr>
      <w:r w:rsidRPr="00FA0D37">
        <w:t xml:space="preserve">    gNB-ID-LengthReporting-r17             </w:t>
      </w:r>
      <w:r w:rsidR="00372354" w:rsidRPr="00FA0D37">
        <w:t xml:space="preserve"> </w:t>
      </w:r>
      <w:r w:rsidRPr="00FA0D37">
        <w:rPr>
          <w:color w:val="993366"/>
        </w:rPr>
        <w:t>ENUMERATED</w:t>
      </w:r>
      <w:r w:rsidRPr="00FA0D37">
        <w:t xml:space="preserve"> {supported}                  </w:t>
      </w:r>
      <w:r w:rsidRPr="00FA0D37">
        <w:rPr>
          <w:color w:val="993366"/>
        </w:rPr>
        <w:t>OPTIONAL</w:t>
      </w:r>
      <w:r w:rsidRPr="00FA0D37">
        <w:t>,</w:t>
      </w:r>
    </w:p>
    <w:p w14:paraId="73B5D4E4" w14:textId="3D46C13D" w:rsidR="00876283" w:rsidRPr="00FA0D37" w:rsidRDefault="00876283" w:rsidP="00FA0D37">
      <w:pPr>
        <w:pStyle w:val="PL"/>
      </w:pPr>
      <w:r w:rsidRPr="00FA0D37">
        <w:t xml:space="preserve">    gNB-ID-LengthReporting-ENDC-r17        </w:t>
      </w:r>
      <w:r w:rsidR="00372354" w:rsidRPr="00FA0D37">
        <w:t xml:space="preserve"> </w:t>
      </w:r>
      <w:r w:rsidRPr="00FA0D37">
        <w:rPr>
          <w:color w:val="993366"/>
        </w:rPr>
        <w:t>ENUMERATED</w:t>
      </w:r>
      <w:r w:rsidRPr="00FA0D37">
        <w:t xml:space="preserve"> {supported}                  </w:t>
      </w:r>
      <w:r w:rsidRPr="00FA0D37">
        <w:rPr>
          <w:color w:val="993366"/>
        </w:rPr>
        <w:t>OPTIONAL</w:t>
      </w:r>
      <w:r w:rsidRPr="00FA0D37">
        <w:t>,</w:t>
      </w:r>
    </w:p>
    <w:p w14:paraId="21B51C9A" w14:textId="5E7024D0" w:rsidR="00876283" w:rsidRPr="00FA0D37" w:rsidRDefault="00876283" w:rsidP="00FA0D37">
      <w:pPr>
        <w:pStyle w:val="PL"/>
      </w:pPr>
      <w:r w:rsidRPr="00FA0D37">
        <w:t xml:space="preserve">    gNB-ID-LengthReporting-NEDC-r17        </w:t>
      </w:r>
      <w:r w:rsidR="00372354" w:rsidRPr="00FA0D37">
        <w:t xml:space="preserve"> </w:t>
      </w:r>
      <w:r w:rsidRPr="00FA0D37">
        <w:rPr>
          <w:color w:val="993366"/>
        </w:rPr>
        <w:t>ENUMERATED</w:t>
      </w:r>
      <w:r w:rsidRPr="00FA0D37">
        <w:t xml:space="preserve"> {supported}                  </w:t>
      </w:r>
      <w:r w:rsidRPr="00FA0D37">
        <w:rPr>
          <w:color w:val="993366"/>
        </w:rPr>
        <w:t>OPTIONAL</w:t>
      </w:r>
      <w:r w:rsidRPr="00FA0D37">
        <w:t>,</w:t>
      </w:r>
    </w:p>
    <w:p w14:paraId="3C16F778" w14:textId="0F412FBC" w:rsidR="00876283" w:rsidRPr="00FA0D37" w:rsidRDefault="00876283" w:rsidP="00FA0D37">
      <w:pPr>
        <w:pStyle w:val="PL"/>
      </w:pPr>
      <w:r w:rsidRPr="00FA0D37">
        <w:t xml:space="preserve">    gNB-ID-LengthReporting-NRDC-r17        </w:t>
      </w:r>
      <w:r w:rsidR="00372354" w:rsidRPr="00FA0D37">
        <w:t xml:space="preserve"> </w:t>
      </w:r>
      <w:r w:rsidRPr="00FA0D37">
        <w:rPr>
          <w:color w:val="993366"/>
        </w:rPr>
        <w:t>ENUMERATED</w:t>
      </w:r>
      <w:r w:rsidRPr="00FA0D37">
        <w:t xml:space="preserve"> {supported}                  </w:t>
      </w:r>
      <w:r w:rsidRPr="00FA0D37">
        <w:rPr>
          <w:color w:val="993366"/>
        </w:rPr>
        <w:t>OPTIONAL</w:t>
      </w:r>
      <w:r w:rsidRPr="00FA0D37">
        <w:t>,</w:t>
      </w:r>
    </w:p>
    <w:p w14:paraId="7AF1A05B" w14:textId="52D0EF8D" w:rsidR="00876283" w:rsidRPr="00FA0D37" w:rsidRDefault="00876283" w:rsidP="00FA0D37">
      <w:pPr>
        <w:pStyle w:val="PL"/>
      </w:pPr>
      <w:r w:rsidRPr="00FA0D37">
        <w:t xml:space="preserve">    gNB-ID-LengthReporting-NPN-r17         </w:t>
      </w:r>
      <w:r w:rsidR="00372354" w:rsidRPr="00FA0D37">
        <w:t xml:space="preserve"> </w:t>
      </w:r>
      <w:r w:rsidRPr="00FA0D37">
        <w:rPr>
          <w:color w:val="993366"/>
        </w:rPr>
        <w:t>ENUMERATED</w:t>
      </w:r>
      <w:r w:rsidRPr="00FA0D37">
        <w:t xml:space="preserve"> {supported}                  </w:t>
      </w:r>
      <w:r w:rsidRPr="00FA0D37">
        <w:rPr>
          <w:color w:val="993366"/>
        </w:rPr>
        <w:t>OPTIONAL</w:t>
      </w:r>
    </w:p>
    <w:p w14:paraId="56C5455A" w14:textId="60E14796" w:rsidR="00056A99" w:rsidRPr="00FA0D37" w:rsidRDefault="00022DF1" w:rsidP="00FA0D37">
      <w:pPr>
        <w:pStyle w:val="PL"/>
      </w:pPr>
      <w:r w:rsidRPr="00FA0D37">
        <w:t xml:space="preserve">    ]]</w:t>
      </w:r>
      <w:r w:rsidR="00056A99" w:rsidRPr="00FA0D37">
        <w:t>,</w:t>
      </w:r>
    </w:p>
    <w:p w14:paraId="690274F2" w14:textId="02A8619C" w:rsidR="00056A99" w:rsidRPr="00FA0D37" w:rsidRDefault="00056A99" w:rsidP="00FA0D37">
      <w:pPr>
        <w:pStyle w:val="PL"/>
      </w:pPr>
      <w:r w:rsidRPr="00FA0D37">
        <w:t xml:space="preserve">    [[</w:t>
      </w:r>
    </w:p>
    <w:p w14:paraId="1E4D4D4B" w14:textId="5E1B6E78" w:rsidR="00056A99" w:rsidRPr="00FA0D37" w:rsidRDefault="00056A99" w:rsidP="00FA0D37">
      <w:pPr>
        <w:pStyle w:val="PL"/>
        <w:rPr>
          <w:color w:val="808080"/>
        </w:rPr>
      </w:pPr>
      <w:r w:rsidRPr="00FA0D37">
        <w:t xml:space="preserve">    </w:t>
      </w:r>
      <w:r w:rsidRPr="00FA0D37">
        <w:rPr>
          <w:color w:val="808080"/>
        </w:rPr>
        <w:t>-- R4 25-1: Parallel measurements on multiple SMTC-s for a single frequency carrier</w:t>
      </w:r>
    </w:p>
    <w:p w14:paraId="169B06DF" w14:textId="6BA5300F" w:rsidR="00056A99" w:rsidRPr="00FA0D37" w:rsidRDefault="00056A99" w:rsidP="00FA0D37">
      <w:pPr>
        <w:pStyle w:val="PL"/>
      </w:pPr>
      <w:r w:rsidRPr="00FA0D37">
        <w:t xml:space="preserve">    parallelSMTC-r17                        </w:t>
      </w:r>
      <w:r w:rsidRPr="00FA0D37">
        <w:rPr>
          <w:color w:val="993366"/>
        </w:rPr>
        <w:t>ENUMERATED</w:t>
      </w:r>
      <w:r w:rsidRPr="00FA0D37">
        <w:t xml:space="preserve"> {n4}                         </w:t>
      </w:r>
      <w:r w:rsidRPr="00FA0D37">
        <w:rPr>
          <w:color w:val="993366"/>
        </w:rPr>
        <w:t>OPTIONAL</w:t>
      </w:r>
      <w:r w:rsidRPr="00FA0D37">
        <w:t>,</w:t>
      </w:r>
    </w:p>
    <w:p w14:paraId="54635D92" w14:textId="6DC72292" w:rsidR="00056A99" w:rsidRPr="00FA0D37" w:rsidRDefault="00056A99" w:rsidP="00FA0D37">
      <w:pPr>
        <w:pStyle w:val="PL"/>
        <w:rPr>
          <w:color w:val="808080"/>
        </w:rPr>
      </w:pPr>
      <w:r w:rsidRPr="00FA0D37">
        <w:t xml:space="preserve">    </w:t>
      </w:r>
      <w:r w:rsidRPr="00FA0D37">
        <w:rPr>
          <w:color w:val="808080"/>
        </w:rPr>
        <w:t>-- R4 19-2-1 Concurrent measurement gaps for EUTRA</w:t>
      </w:r>
    </w:p>
    <w:p w14:paraId="03098B9A" w14:textId="343AFE81" w:rsidR="00056A99" w:rsidRPr="00FA0D37" w:rsidRDefault="00056A99" w:rsidP="00FA0D37">
      <w:pPr>
        <w:pStyle w:val="PL"/>
      </w:pPr>
      <w:r w:rsidRPr="00FA0D37">
        <w:t xml:space="preserve">    concurrentMeasGapEUTRA-r17              </w:t>
      </w:r>
      <w:r w:rsidRPr="00FA0D37">
        <w:rPr>
          <w:color w:val="993366"/>
        </w:rPr>
        <w:t>ENUMERATED</w:t>
      </w:r>
      <w:r w:rsidRPr="00FA0D37">
        <w:t xml:space="preserve"> {supported}                  </w:t>
      </w:r>
      <w:r w:rsidRPr="00FA0D37">
        <w:rPr>
          <w:color w:val="993366"/>
        </w:rPr>
        <w:t>OPTIONAL</w:t>
      </w:r>
      <w:r w:rsidRPr="00FA0D37">
        <w:t>,</w:t>
      </w:r>
    </w:p>
    <w:p w14:paraId="203D3318" w14:textId="14D1A68E" w:rsidR="00056A99" w:rsidRPr="00FA0D37" w:rsidRDefault="00056A99" w:rsidP="00FA0D37">
      <w:pPr>
        <w:pStyle w:val="PL"/>
      </w:pPr>
      <w:r w:rsidRPr="00FA0D37">
        <w:t xml:space="preserve">    serviceLinkPropDelayDiffReporting-r17   </w:t>
      </w:r>
      <w:r w:rsidRPr="00FA0D37">
        <w:rPr>
          <w:color w:val="993366"/>
        </w:rPr>
        <w:t>ENUMERATED</w:t>
      </w:r>
      <w:r w:rsidRPr="00FA0D37">
        <w:t xml:space="preserve"> {supported}                  </w:t>
      </w:r>
      <w:r w:rsidRPr="00FA0D37">
        <w:rPr>
          <w:color w:val="993366"/>
        </w:rPr>
        <w:t>OPTIONAL</w:t>
      </w:r>
      <w:r w:rsidRPr="00FA0D37">
        <w:t>,</w:t>
      </w:r>
    </w:p>
    <w:p w14:paraId="66DDD046" w14:textId="71A128DF" w:rsidR="00056A99" w:rsidRPr="00FA0D37" w:rsidRDefault="00056A99" w:rsidP="00FA0D37">
      <w:pPr>
        <w:pStyle w:val="PL"/>
        <w:rPr>
          <w:color w:val="808080"/>
        </w:rPr>
      </w:pPr>
      <w:r w:rsidRPr="00FA0D37">
        <w:t xml:space="preserve">    </w:t>
      </w:r>
      <w:r w:rsidRPr="00FA0D37">
        <w:rPr>
          <w:color w:val="808080"/>
        </w:rPr>
        <w:t>-- R4 19-1-4 Network controlled small gap (NCSG) performing measurement based on flag</w:t>
      </w:r>
      <w:r w:rsidR="00DF1A5D" w:rsidRPr="00FA0D37">
        <w:rPr>
          <w:color w:val="808080"/>
        </w:rPr>
        <w:t xml:space="preserve"> </w:t>
      </w:r>
      <w:r w:rsidRPr="00FA0D37">
        <w:rPr>
          <w:color w:val="808080"/>
        </w:rPr>
        <w:t>deriveSSB-IndexFromCell</w:t>
      </w:r>
      <w:r w:rsidR="00E36333" w:rsidRPr="00FA0D37">
        <w:rPr>
          <w:color w:val="808080"/>
        </w:rPr>
        <w:t>I</w:t>
      </w:r>
      <w:r w:rsidRPr="00FA0D37">
        <w:rPr>
          <w:color w:val="808080"/>
        </w:rPr>
        <w:t>nter</w:t>
      </w:r>
    </w:p>
    <w:p w14:paraId="4144714C" w14:textId="17486E32" w:rsidR="00394471" w:rsidRPr="00FA0D37" w:rsidRDefault="00056A99" w:rsidP="00FA0D37">
      <w:pPr>
        <w:pStyle w:val="PL"/>
      </w:pPr>
      <w:r w:rsidRPr="00FA0D37">
        <w:t xml:space="preserve">    ncsg-SymbolLevelScheduleRestrictionInter-r17  </w:t>
      </w:r>
      <w:r w:rsidRPr="00FA0D37">
        <w:rPr>
          <w:color w:val="993366"/>
        </w:rPr>
        <w:t>ENUMERATED</w:t>
      </w:r>
      <w:r w:rsidRPr="00FA0D37">
        <w:t xml:space="preserve"> {supported}            </w:t>
      </w:r>
      <w:r w:rsidRPr="00FA0D37">
        <w:rPr>
          <w:color w:val="993366"/>
        </w:rPr>
        <w:t>OPTIONAL</w:t>
      </w:r>
    </w:p>
    <w:p w14:paraId="576F089A" w14:textId="7202DF73" w:rsidR="00691952" w:rsidRPr="00FA0D37" w:rsidRDefault="00056A99" w:rsidP="00FA0D37">
      <w:pPr>
        <w:pStyle w:val="PL"/>
      </w:pPr>
      <w:r w:rsidRPr="00FA0D37">
        <w:t xml:space="preserve">    ]]</w:t>
      </w:r>
      <w:r w:rsidR="00691952" w:rsidRPr="00FA0D37">
        <w:t>,</w:t>
      </w:r>
    </w:p>
    <w:p w14:paraId="59A9DEED" w14:textId="77777777" w:rsidR="00691952" w:rsidRPr="00FA0D37" w:rsidRDefault="00691952" w:rsidP="00FA0D37">
      <w:pPr>
        <w:pStyle w:val="PL"/>
      </w:pPr>
      <w:r w:rsidRPr="00FA0D37">
        <w:t xml:space="preserve">    [[</w:t>
      </w:r>
    </w:p>
    <w:p w14:paraId="64DA01E9" w14:textId="51F75865" w:rsidR="00691952" w:rsidRPr="00FA0D37" w:rsidRDefault="00691952" w:rsidP="00FA0D37">
      <w:pPr>
        <w:pStyle w:val="PL"/>
      </w:pPr>
      <w:r w:rsidRPr="00FA0D37">
        <w:t xml:space="preserve">    eventD1-MeasReportTrigger-r17           </w:t>
      </w:r>
      <w:r w:rsidRPr="00FA0D37">
        <w:rPr>
          <w:color w:val="993366"/>
        </w:rPr>
        <w:t>ENUMERATED</w:t>
      </w:r>
      <w:r w:rsidRPr="00FA0D37">
        <w:t xml:space="preserve"> {supported}                  </w:t>
      </w:r>
      <w:r w:rsidRPr="00FA0D37">
        <w:rPr>
          <w:color w:val="993366"/>
        </w:rPr>
        <w:t>OPTIONAL</w:t>
      </w:r>
      <w:r w:rsidR="00335673" w:rsidRPr="00FA0D37">
        <w:t>,</w:t>
      </w:r>
    </w:p>
    <w:p w14:paraId="762580F4" w14:textId="5CFE647D" w:rsidR="00335673" w:rsidRPr="00FA0D37" w:rsidRDefault="00335673" w:rsidP="00FA0D37">
      <w:pPr>
        <w:pStyle w:val="PL"/>
      </w:pPr>
      <w:r w:rsidRPr="00FA0D37">
        <w:t xml:space="preserve">    independentGapConfig-maxCC-r17          </w:t>
      </w:r>
      <w:r w:rsidRPr="00FA0D37">
        <w:rPr>
          <w:color w:val="993366"/>
        </w:rPr>
        <w:t>SEQUENCE</w:t>
      </w:r>
      <w:r w:rsidRPr="00FA0D37">
        <w:t xml:space="preserve"> {</w:t>
      </w:r>
    </w:p>
    <w:p w14:paraId="17D1121F" w14:textId="40F3731C" w:rsidR="00335673" w:rsidRPr="00FA0D37" w:rsidRDefault="00335673" w:rsidP="00FA0D37">
      <w:pPr>
        <w:pStyle w:val="PL"/>
      </w:pPr>
      <w:r w:rsidRPr="00FA0D37">
        <w:t xml:space="preserve">        fr1-Only</w:t>
      </w:r>
      <w:r w:rsidR="00047740" w:rsidRPr="00FA0D37">
        <w:t>-r17</w:t>
      </w:r>
      <w:r w:rsidRPr="00FA0D37">
        <w:t xml:space="preserve">                            </w:t>
      </w:r>
      <w:r w:rsidRPr="00FA0D37">
        <w:rPr>
          <w:color w:val="993366"/>
        </w:rPr>
        <w:t>INTEGER</w:t>
      </w:r>
      <w:r w:rsidRPr="00FA0D37">
        <w:t xml:space="preserve"> (1..32)                     </w:t>
      </w:r>
      <w:r w:rsidRPr="00FA0D37">
        <w:rPr>
          <w:color w:val="993366"/>
        </w:rPr>
        <w:t>OPTIONAL</w:t>
      </w:r>
      <w:r w:rsidRPr="00FA0D37">
        <w:t>,</w:t>
      </w:r>
    </w:p>
    <w:p w14:paraId="4AB0DDF1" w14:textId="5693D615" w:rsidR="00335673" w:rsidRPr="00FA0D37" w:rsidRDefault="00335673" w:rsidP="00FA0D37">
      <w:pPr>
        <w:pStyle w:val="PL"/>
      </w:pPr>
      <w:r w:rsidRPr="00FA0D37">
        <w:t xml:space="preserve">        fr2-Only</w:t>
      </w:r>
      <w:r w:rsidR="00047740" w:rsidRPr="00FA0D37">
        <w:t>-r17</w:t>
      </w:r>
      <w:r w:rsidRPr="00FA0D37">
        <w:t xml:space="preserve">                            </w:t>
      </w:r>
      <w:r w:rsidRPr="00FA0D37">
        <w:rPr>
          <w:color w:val="993366"/>
        </w:rPr>
        <w:t>INTEGER</w:t>
      </w:r>
      <w:r w:rsidRPr="00FA0D37">
        <w:t xml:space="preserve"> (1..32)                     </w:t>
      </w:r>
      <w:r w:rsidRPr="00FA0D37">
        <w:rPr>
          <w:color w:val="993366"/>
        </w:rPr>
        <w:t>OPTIONAL</w:t>
      </w:r>
      <w:r w:rsidRPr="00FA0D37">
        <w:t>,</w:t>
      </w:r>
    </w:p>
    <w:p w14:paraId="7E3F469B" w14:textId="0088C677" w:rsidR="00335673" w:rsidRPr="00FA0D37" w:rsidRDefault="00335673" w:rsidP="00FA0D37">
      <w:pPr>
        <w:pStyle w:val="PL"/>
      </w:pPr>
      <w:r w:rsidRPr="00FA0D37">
        <w:t xml:space="preserve">        fr1</w:t>
      </w:r>
      <w:r w:rsidR="00047740" w:rsidRPr="00FA0D37">
        <w:t>-</w:t>
      </w:r>
      <w:r w:rsidRPr="00FA0D37">
        <w:t>And</w:t>
      </w:r>
      <w:r w:rsidR="00047740" w:rsidRPr="00FA0D37">
        <w:t>FR</w:t>
      </w:r>
      <w:r w:rsidRPr="00FA0D37">
        <w:t>2</w:t>
      </w:r>
      <w:r w:rsidR="00047740" w:rsidRPr="00FA0D37">
        <w:t>-r17</w:t>
      </w:r>
      <w:r w:rsidRPr="00FA0D37">
        <w:t xml:space="preserve">                          </w:t>
      </w:r>
      <w:r w:rsidRPr="00FA0D37">
        <w:rPr>
          <w:color w:val="993366"/>
        </w:rPr>
        <w:t>INTEGER</w:t>
      </w:r>
      <w:r w:rsidRPr="00FA0D37">
        <w:t xml:space="preserve"> (1..32)                     </w:t>
      </w:r>
      <w:r w:rsidRPr="00FA0D37">
        <w:rPr>
          <w:color w:val="993366"/>
        </w:rPr>
        <w:t>OPTIONAL</w:t>
      </w:r>
    </w:p>
    <w:p w14:paraId="117EA116" w14:textId="77777777" w:rsidR="00335673" w:rsidRPr="00FA0D37" w:rsidRDefault="00335673" w:rsidP="00FA0D37">
      <w:pPr>
        <w:pStyle w:val="PL"/>
      </w:pPr>
      <w:r w:rsidRPr="00FA0D37">
        <w:t xml:space="preserve">    }                                                                               </w:t>
      </w:r>
      <w:r w:rsidRPr="00FA0D37">
        <w:rPr>
          <w:color w:val="993366"/>
        </w:rPr>
        <w:t>OPTIONAL</w:t>
      </w:r>
    </w:p>
    <w:p w14:paraId="09088403" w14:textId="3BDFF394" w:rsidR="00BE243F" w:rsidRPr="00FA0D37" w:rsidRDefault="00691952" w:rsidP="00FA0D37">
      <w:pPr>
        <w:pStyle w:val="PL"/>
      </w:pPr>
      <w:r w:rsidRPr="00FA0D37">
        <w:t xml:space="preserve">    ]]</w:t>
      </w:r>
      <w:r w:rsidR="00BE243F" w:rsidRPr="00FA0D37">
        <w:t>,</w:t>
      </w:r>
    </w:p>
    <w:p w14:paraId="26BD15FF" w14:textId="48DE8242" w:rsidR="00BE243F" w:rsidRPr="00FA0D37" w:rsidRDefault="00BE243F" w:rsidP="00FA0D37">
      <w:pPr>
        <w:pStyle w:val="PL"/>
      </w:pPr>
      <w:r w:rsidRPr="00FA0D37">
        <w:t xml:space="preserve">    [[</w:t>
      </w:r>
    </w:p>
    <w:p w14:paraId="3F01A63D" w14:textId="205C845E" w:rsidR="00BE243F" w:rsidRPr="00FA0D37" w:rsidRDefault="00BE243F" w:rsidP="00FA0D37">
      <w:pPr>
        <w:pStyle w:val="PL"/>
      </w:pPr>
      <w:r w:rsidRPr="00FA0D37">
        <w:t xml:space="preserve">    interSatMeas-r17                    </w:t>
      </w:r>
      <w:r w:rsidR="00E8050B" w:rsidRPr="00FA0D37">
        <w:t xml:space="preserve">        </w:t>
      </w:r>
      <w:r w:rsidRPr="00FA0D37">
        <w:rPr>
          <w:color w:val="993366"/>
        </w:rPr>
        <w:t>ENUMERATED</w:t>
      </w:r>
      <w:r w:rsidRPr="00FA0D37">
        <w:t xml:space="preserve"> {supported}              </w:t>
      </w:r>
      <w:r w:rsidRPr="00FA0D37">
        <w:rPr>
          <w:color w:val="993366"/>
        </w:rPr>
        <w:t>OPTIONAL</w:t>
      </w:r>
      <w:r w:rsidR="00E8050B" w:rsidRPr="00FA0D37">
        <w:t>,</w:t>
      </w:r>
    </w:p>
    <w:p w14:paraId="3AEDD75A" w14:textId="5AB4C981" w:rsidR="00E8050B" w:rsidRPr="00FA0D37" w:rsidRDefault="00E8050B" w:rsidP="00FA0D37">
      <w:pPr>
        <w:pStyle w:val="PL"/>
      </w:pPr>
      <w:r w:rsidRPr="00FA0D37">
        <w:t xml:space="preserve">    deriveSSB-IndexFromCellInterNon-NCSG-r17    </w:t>
      </w:r>
      <w:r w:rsidRPr="00FA0D37">
        <w:rPr>
          <w:color w:val="993366"/>
        </w:rPr>
        <w:t>ENUMERATED</w:t>
      </w:r>
      <w:r w:rsidRPr="00FA0D37">
        <w:t xml:space="preserve"> {supported}              </w:t>
      </w:r>
      <w:r w:rsidRPr="00FA0D37">
        <w:rPr>
          <w:color w:val="993366"/>
        </w:rPr>
        <w:t>OPTIONAL</w:t>
      </w:r>
    </w:p>
    <w:p w14:paraId="2E14897F" w14:textId="20E2E166" w:rsidR="00691952" w:rsidRPr="00FA0D37" w:rsidRDefault="00BE243F" w:rsidP="00FA0D37">
      <w:pPr>
        <w:pStyle w:val="PL"/>
      </w:pPr>
      <w:r w:rsidRPr="00FA0D37">
        <w:t xml:space="preserve">    ]]</w:t>
      </w:r>
    </w:p>
    <w:p w14:paraId="79BB51B7" w14:textId="56B9B9AA" w:rsidR="00394471" w:rsidRPr="00FA0D37" w:rsidRDefault="00394471" w:rsidP="00FA0D37">
      <w:pPr>
        <w:pStyle w:val="PL"/>
      </w:pPr>
      <w:r w:rsidRPr="00FA0D37">
        <w:t>}</w:t>
      </w:r>
    </w:p>
    <w:p w14:paraId="223AC2E8" w14:textId="77777777" w:rsidR="00394471" w:rsidRPr="00FA0D37" w:rsidRDefault="00394471" w:rsidP="00FA0D37">
      <w:pPr>
        <w:pStyle w:val="PL"/>
      </w:pPr>
    </w:p>
    <w:p w14:paraId="435407A3" w14:textId="77777777" w:rsidR="00394471" w:rsidRPr="00FA0D37" w:rsidRDefault="00394471" w:rsidP="00FA0D37">
      <w:pPr>
        <w:pStyle w:val="PL"/>
      </w:pPr>
      <w:r w:rsidRPr="00FA0D37">
        <w:t xml:space="preserve">MeasAndMobParametersXDD-Diff ::=        </w:t>
      </w:r>
      <w:r w:rsidRPr="00FA0D37">
        <w:rPr>
          <w:color w:val="993366"/>
        </w:rPr>
        <w:t>SEQUENCE</w:t>
      </w:r>
      <w:r w:rsidRPr="00FA0D37">
        <w:t xml:space="preserve"> {</w:t>
      </w:r>
    </w:p>
    <w:p w14:paraId="09B5CB64" w14:textId="77777777" w:rsidR="00394471" w:rsidRPr="00FA0D37" w:rsidRDefault="00394471" w:rsidP="00FA0D37">
      <w:pPr>
        <w:pStyle w:val="PL"/>
      </w:pPr>
      <w:r w:rsidRPr="00FA0D37">
        <w:t xml:space="preserve">    intraAndInterF-MeasAndReport            </w:t>
      </w:r>
      <w:r w:rsidRPr="00FA0D37">
        <w:rPr>
          <w:color w:val="993366"/>
        </w:rPr>
        <w:t>ENUMERATED</w:t>
      </w:r>
      <w:r w:rsidRPr="00FA0D37">
        <w:t xml:space="preserve"> {supported}                  </w:t>
      </w:r>
      <w:r w:rsidRPr="00FA0D37">
        <w:rPr>
          <w:color w:val="993366"/>
        </w:rPr>
        <w:t>OPTIONAL</w:t>
      </w:r>
      <w:r w:rsidRPr="00FA0D37">
        <w:t>,</w:t>
      </w:r>
    </w:p>
    <w:p w14:paraId="1E486045" w14:textId="77777777" w:rsidR="00394471" w:rsidRPr="00FA0D37" w:rsidRDefault="00394471" w:rsidP="00FA0D37">
      <w:pPr>
        <w:pStyle w:val="PL"/>
      </w:pPr>
      <w:r w:rsidRPr="00FA0D37">
        <w:t xml:space="preserve">    eventA-MeasAndReport                    </w:t>
      </w:r>
      <w:r w:rsidRPr="00FA0D37">
        <w:rPr>
          <w:color w:val="993366"/>
        </w:rPr>
        <w:t>ENUMERATED</w:t>
      </w:r>
      <w:r w:rsidRPr="00FA0D37">
        <w:t xml:space="preserve"> {supported}                  </w:t>
      </w:r>
      <w:r w:rsidRPr="00FA0D37">
        <w:rPr>
          <w:color w:val="993366"/>
        </w:rPr>
        <w:t>OPTIONAL</w:t>
      </w:r>
      <w:r w:rsidRPr="00FA0D37">
        <w:t>,</w:t>
      </w:r>
    </w:p>
    <w:p w14:paraId="59A1FF99" w14:textId="77777777" w:rsidR="00394471" w:rsidRPr="00FA0D37" w:rsidRDefault="00394471" w:rsidP="00FA0D37">
      <w:pPr>
        <w:pStyle w:val="PL"/>
      </w:pPr>
      <w:r w:rsidRPr="00FA0D37">
        <w:t xml:space="preserve">    ...,</w:t>
      </w:r>
    </w:p>
    <w:p w14:paraId="36D763D4" w14:textId="77777777" w:rsidR="00394471" w:rsidRPr="00FA0D37" w:rsidRDefault="00394471" w:rsidP="00FA0D37">
      <w:pPr>
        <w:pStyle w:val="PL"/>
      </w:pPr>
      <w:r w:rsidRPr="00FA0D37">
        <w:t xml:space="preserve">    [[</w:t>
      </w:r>
    </w:p>
    <w:p w14:paraId="001D8E4B" w14:textId="77777777" w:rsidR="00394471" w:rsidRPr="00FA0D37" w:rsidRDefault="00394471" w:rsidP="00FA0D37">
      <w:pPr>
        <w:pStyle w:val="PL"/>
      </w:pPr>
      <w:r w:rsidRPr="00FA0D37">
        <w:t xml:space="preserve">    handoverInterF                          </w:t>
      </w:r>
      <w:r w:rsidRPr="00FA0D37">
        <w:rPr>
          <w:color w:val="993366"/>
        </w:rPr>
        <w:t>ENUMERATED</w:t>
      </w:r>
      <w:r w:rsidRPr="00FA0D37">
        <w:t xml:space="preserve"> {supported}                  </w:t>
      </w:r>
      <w:r w:rsidRPr="00FA0D37">
        <w:rPr>
          <w:color w:val="993366"/>
        </w:rPr>
        <w:t>OPTIONAL</w:t>
      </w:r>
      <w:r w:rsidRPr="00FA0D37">
        <w:t>,</w:t>
      </w:r>
    </w:p>
    <w:p w14:paraId="08E8714C" w14:textId="77777777" w:rsidR="00394471" w:rsidRPr="00FA0D37" w:rsidRDefault="00394471" w:rsidP="00FA0D37">
      <w:pPr>
        <w:pStyle w:val="PL"/>
      </w:pPr>
      <w:r w:rsidRPr="00FA0D37">
        <w:t xml:space="preserve">    handoverLTE-EPC                         </w:t>
      </w:r>
      <w:r w:rsidRPr="00FA0D37">
        <w:rPr>
          <w:color w:val="993366"/>
        </w:rPr>
        <w:t>ENUMERATED</w:t>
      </w:r>
      <w:r w:rsidRPr="00FA0D37">
        <w:t xml:space="preserve"> {supported}                  </w:t>
      </w:r>
      <w:r w:rsidRPr="00FA0D37">
        <w:rPr>
          <w:color w:val="993366"/>
        </w:rPr>
        <w:t>OPTIONAL</w:t>
      </w:r>
      <w:r w:rsidRPr="00FA0D37">
        <w:t>,</w:t>
      </w:r>
    </w:p>
    <w:p w14:paraId="584F1DDE" w14:textId="77777777" w:rsidR="00394471" w:rsidRPr="00FA0D37" w:rsidRDefault="00394471" w:rsidP="00FA0D37">
      <w:pPr>
        <w:pStyle w:val="PL"/>
      </w:pPr>
      <w:r w:rsidRPr="00FA0D37">
        <w:t xml:space="preserve">    handoverLTE-5GC                         </w:t>
      </w:r>
      <w:r w:rsidRPr="00FA0D37">
        <w:rPr>
          <w:color w:val="993366"/>
        </w:rPr>
        <w:t>ENUMERATED</w:t>
      </w:r>
      <w:r w:rsidRPr="00FA0D37">
        <w:t xml:space="preserve"> {supported}                  </w:t>
      </w:r>
      <w:r w:rsidRPr="00FA0D37">
        <w:rPr>
          <w:color w:val="993366"/>
        </w:rPr>
        <w:t>OPTIONAL</w:t>
      </w:r>
    </w:p>
    <w:p w14:paraId="6E39AAC6" w14:textId="77777777" w:rsidR="00394471" w:rsidRPr="00FA0D37" w:rsidRDefault="00394471" w:rsidP="00FA0D37">
      <w:pPr>
        <w:pStyle w:val="PL"/>
      </w:pPr>
      <w:r w:rsidRPr="00FA0D37">
        <w:t xml:space="preserve">    ]],</w:t>
      </w:r>
    </w:p>
    <w:p w14:paraId="35595661" w14:textId="77777777" w:rsidR="00394471" w:rsidRPr="00FA0D37" w:rsidRDefault="00394471" w:rsidP="00FA0D37">
      <w:pPr>
        <w:pStyle w:val="PL"/>
      </w:pPr>
      <w:r w:rsidRPr="00FA0D37">
        <w:t xml:space="preserve">    [[</w:t>
      </w:r>
    </w:p>
    <w:p w14:paraId="3F53A92C" w14:textId="77777777" w:rsidR="00394471" w:rsidRPr="00FA0D37" w:rsidRDefault="00394471" w:rsidP="00FA0D37">
      <w:pPr>
        <w:pStyle w:val="PL"/>
      </w:pPr>
      <w:r w:rsidRPr="00FA0D37">
        <w:t xml:space="preserve">    sftd-MeasNR-Neigh                       </w:t>
      </w:r>
      <w:r w:rsidRPr="00FA0D37">
        <w:rPr>
          <w:color w:val="993366"/>
        </w:rPr>
        <w:t>ENUMERATED</w:t>
      </w:r>
      <w:r w:rsidRPr="00FA0D37">
        <w:t xml:space="preserve"> {supported}                  </w:t>
      </w:r>
      <w:r w:rsidRPr="00FA0D37">
        <w:rPr>
          <w:color w:val="993366"/>
        </w:rPr>
        <w:t>OPTIONAL</w:t>
      </w:r>
      <w:r w:rsidRPr="00FA0D37">
        <w:t>,</w:t>
      </w:r>
    </w:p>
    <w:p w14:paraId="078DBFF9" w14:textId="77777777" w:rsidR="00394471" w:rsidRPr="00FA0D37" w:rsidRDefault="00394471" w:rsidP="00FA0D37">
      <w:pPr>
        <w:pStyle w:val="PL"/>
      </w:pPr>
      <w:r w:rsidRPr="00FA0D37">
        <w:t xml:space="preserve">    sftd-MeasNR-Neigh-DRX                   </w:t>
      </w:r>
      <w:r w:rsidRPr="00FA0D37">
        <w:rPr>
          <w:color w:val="993366"/>
        </w:rPr>
        <w:t>ENUMERATED</w:t>
      </w:r>
      <w:r w:rsidRPr="00FA0D37">
        <w:t xml:space="preserve"> {supported}                  </w:t>
      </w:r>
      <w:r w:rsidRPr="00FA0D37">
        <w:rPr>
          <w:color w:val="993366"/>
        </w:rPr>
        <w:t>OPTIONAL</w:t>
      </w:r>
    </w:p>
    <w:p w14:paraId="640A75C4" w14:textId="77777777" w:rsidR="00394471" w:rsidRPr="00FA0D37" w:rsidRDefault="00394471" w:rsidP="00FA0D37">
      <w:pPr>
        <w:pStyle w:val="PL"/>
      </w:pPr>
      <w:r w:rsidRPr="00FA0D37">
        <w:t xml:space="preserve">    ]],</w:t>
      </w:r>
    </w:p>
    <w:p w14:paraId="0054D6E5" w14:textId="77777777" w:rsidR="00394471" w:rsidRPr="00FA0D37" w:rsidRDefault="00394471" w:rsidP="00FA0D37">
      <w:pPr>
        <w:pStyle w:val="PL"/>
      </w:pPr>
      <w:r w:rsidRPr="00FA0D37">
        <w:t xml:space="preserve">    [[</w:t>
      </w:r>
    </w:p>
    <w:p w14:paraId="51C4B7E0" w14:textId="2E7A01DD" w:rsidR="00394471" w:rsidRPr="00FA0D37" w:rsidRDefault="00394471" w:rsidP="00FA0D37">
      <w:pPr>
        <w:pStyle w:val="PL"/>
      </w:pPr>
      <w:r w:rsidRPr="00FA0D37">
        <w:t xml:space="preserve">    </w:t>
      </w:r>
      <w:r w:rsidR="00941862" w:rsidRPr="00FA0D37">
        <w:t>dummy</w:t>
      </w:r>
      <w:r w:rsidRPr="00FA0D37">
        <w:t xml:space="preserve">                    </w:t>
      </w:r>
      <w:r w:rsidR="00941862" w:rsidRPr="00FA0D37">
        <w:t xml:space="preserve">               </w:t>
      </w:r>
      <w:r w:rsidRPr="00FA0D37">
        <w:rPr>
          <w:color w:val="993366"/>
        </w:rPr>
        <w:t>ENUMERATED</w:t>
      </w:r>
      <w:r w:rsidRPr="00FA0D37">
        <w:t xml:space="preserve"> {supported}                  </w:t>
      </w:r>
      <w:r w:rsidRPr="00FA0D37">
        <w:rPr>
          <w:color w:val="993366"/>
        </w:rPr>
        <w:t>OPTIONAL</w:t>
      </w:r>
    </w:p>
    <w:p w14:paraId="02CEFE6C" w14:textId="77777777" w:rsidR="00394471" w:rsidRPr="00FA0D37" w:rsidRDefault="00394471" w:rsidP="00FA0D37">
      <w:pPr>
        <w:pStyle w:val="PL"/>
      </w:pPr>
      <w:r w:rsidRPr="00FA0D37">
        <w:t xml:space="preserve">    ]]</w:t>
      </w:r>
    </w:p>
    <w:p w14:paraId="5A032244" w14:textId="77777777" w:rsidR="00394471" w:rsidRPr="00FA0D37" w:rsidRDefault="00394471" w:rsidP="00FA0D37">
      <w:pPr>
        <w:pStyle w:val="PL"/>
      </w:pPr>
      <w:r w:rsidRPr="00FA0D37">
        <w:t>}</w:t>
      </w:r>
    </w:p>
    <w:p w14:paraId="45466AEA" w14:textId="77777777" w:rsidR="00394471" w:rsidRPr="00FA0D37" w:rsidRDefault="00394471" w:rsidP="00FA0D37">
      <w:pPr>
        <w:pStyle w:val="PL"/>
      </w:pPr>
    </w:p>
    <w:p w14:paraId="3980662E" w14:textId="77777777" w:rsidR="00394471" w:rsidRPr="00FA0D37" w:rsidRDefault="00394471" w:rsidP="00FA0D37">
      <w:pPr>
        <w:pStyle w:val="PL"/>
      </w:pPr>
      <w:r w:rsidRPr="00FA0D37">
        <w:t xml:space="preserve">MeasAndMobParametersFRX-Diff ::=            </w:t>
      </w:r>
      <w:r w:rsidRPr="00FA0D37">
        <w:rPr>
          <w:color w:val="993366"/>
        </w:rPr>
        <w:t>SEQUENCE</w:t>
      </w:r>
      <w:r w:rsidRPr="00FA0D37">
        <w:t xml:space="preserve"> {</w:t>
      </w:r>
    </w:p>
    <w:p w14:paraId="0DDCBE04" w14:textId="77777777" w:rsidR="00394471" w:rsidRPr="00FA0D37" w:rsidRDefault="00394471" w:rsidP="00FA0D37">
      <w:pPr>
        <w:pStyle w:val="PL"/>
      </w:pPr>
      <w:r w:rsidRPr="00FA0D37">
        <w:t xml:space="preserve">    ss-SINR-Meas                                </w:t>
      </w:r>
      <w:r w:rsidRPr="00FA0D37">
        <w:rPr>
          <w:color w:val="993366"/>
        </w:rPr>
        <w:t>ENUMERATED</w:t>
      </w:r>
      <w:r w:rsidRPr="00FA0D37">
        <w:t xml:space="preserve"> {supported}              </w:t>
      </w:r>
      <w:r w:rsidRPr="00FA0D37">
        <w:rPr>
          <w:color w:val="993366"/>
        </w:rPr>
        <w:t>OPTIONAL</w:t>
      </w:r>
      <w:r w:rsidRPr="00FA0D37">
        <w:t>,</w:t>
      </w:r>
    </w:p>
    <w:p w14:paraId="687267FB" w14:textId="77777777" w:rsidR="00394471" w:rsidRPr="00FA0D37" w:rsidRDefault="00394471" w:rsidP="00FA0D37">
      <w:pPr>
        <w:pStyle w:val="PL"/>
      </w:pPr>
      <w:r w:rsidRPr="00FA0D37">
        <w:t xml:space="preserve">    csi-RSRP-AndRSRQ-MeasWithSSB                </w:t>
      </w:r>
      <w:r w:rsidRPr="00FA0D37">
        <w:rPr>
          <w:color w:val="993366"/>
        </w:rPr>
        <w:t>ENUMERATED</w:t>
      </w:r>
      <w:r w:rsidRPr="00FA0D37">
        <w:t xml:space="preserve"> {supported}              </w:t>
      </w:r>
      <w:r w:rsidRPr="00FA0D37">
        <w:rPr>
          <w:color w:val="993366"/>
        </w:rPr>
        <w:t>OPTIONAL</w:t>
      </w:r>
      <w:r w:rsidRPr="00FA0D37">
        <w:t>,</w:t>
      </w:r>
    </w:p>
    <w:p w14:paraId="080C01CC" w14:textId="77777777" w:rsidR="00394471" w:rsidRPr="00FA0D37" w:rsidRDefault="00394471" w:rsidP="00FA0D37">
      <w:pPr>
        <w:pStyle w:val="PL"/>
      </w:pPr>
      <w:r w:rsidRPr="00FA0D37">
        <w:t xml:space="preserve">    csi-RSRP-AndRSRQ-MeasWithoutSSB             </w:t>
      </w:r>
      <w:r w:rsidRPr="00FA0D37">
        <w:rPr>
          <w:color w:val="993366"/>
        </w:rPr>
        <w:t>ENUMERATED</w:t>
      </w:r>
      <w:r w:rsidRPr="00FA0D37">
        <w:t xml:space="preserve"> {supported}              </w:t>
      </w:r>
      <w:r w:rsidRPr="00FA0D37">
        <w:rPr>
          <w:color w:val="993366"/>
        </w:rPr>
        <w:t>OPTIONAL</w:t>
      </w:r>
      <w:r w:rsidRPr="00FA0D37">
        <w:t>,</w:t>
      </w:r>
    </w:p>
    <w:p w14:paraId="4FAD9B04" w14:textId="77777777" w:rsidR="00394471" w:rsidRPr="00FA0D37" w:rsidRDefault="00394471" w:rsidP="00FA0D37">
      <w:pPr>
        <w:pStyle w:val="PL"/>
      </w:pPr>
      <w:r w:rsidRPr="00FA0D37">
        <w:t xml:space="preserve">    csi-SINR-Meas                               </w:t>
      </w:r>
      <w:r w:rsidRPr="00FA0D37">
        <w:rPr>
          <w:color w:val="993366"/>
        </w:rPr>
        <w:t>ENUMERATED</w:t>
      </w:r>
      <w:r w:rsidRPr="00FA0D37">
        <w:t xml:space="preserve"> {supported}              </w:t>
      </w:r>
      <w:r w:rsidRPr="00FA0D37">
        <w:rPr>
          <w:color w:val="993366"/>
        </w:rPr>
        <w:t>OPTIONAL</w:t>
      </w:r>
      <w:r w:rsidRPr="00FA0D37">
        <w:t>,</w:t>
      </w:r>
    </w:p>
    <w:p w14:paraId="5220D33A" w14:textId="77777777" w:rsidR="00394471" w:rsidRPr="00FA0D37" w:rsidRDefault="00394471" w:rsidP="00FA0D37">
      <w:pPr>
        <w:pStyle w:val="PL"/>
      </w:pPr>
      <w:r w:rsidRPr="00FA0D37">
        <w:t xml:space="preserve">    csi-RS-RLM                                  </w:t>
      </w:r>
      <w:r w:rsidRPr="00FA0D37">
        <w:rPr>
          <w:color w:val="993366"/>
        </w:rPr>
        <w:t>ENUMERATED</w:t>
      </w:r>
      <w:r w:rsidRPr="00FA0D37">
        <w:t xml:space="preserve"> {supported}              </w:t>
      </w:r>
      <w:r w:rsidRPr="00FA0D37">
        <w:rPr>
          <w:color w:val="993366"/>
        </w:rPr>
        <w:t>OPTIONAL</w:t>
      </w:r>
      <w:r w:rsidRPr="00FA0D37">
        <w:t>,</w:t>
      </w:r>
    </w:p>
    <w:p w14:paraId="50542BB1" w14:textId="77777777" w:rsidR="00394471" w:rsidRPr="00FA0D37" w:rsidRDefault="00394471" w:rsidP="00FA0D37">
      <w:pPr>
        <w:pStyle w:val="PL"/>
      </w:pPr>
      <w:r w:rsidRPr="00FA0D37">
        <w:t xml:space="preserve">    ...,</w:t>
      </w:r>
    </w:p>
    <w:p w14:paraId="481CF40D" w14:textId="77777777" w:rsidR="00394471" w:rsidRPr="00FA0D37" w:rsidRDefault="00394471" w:rsidP="00FA0D37">
      <w:pPr>
        <w:pStyle w:val="PL"/>
      </w:pPr>
      <w:r w:rsidRPr="00FA0D37">
        <w:t xml:space="preserve">    [[</w:t>
      </w:r>
    </w:p>
    <w:p w14:paraId="19CB6CE5" w14:textId="77777777" w:rsidR="00394471" w:rsidRPr="00FA0D37" w:rsidRDefault="00394471" w:rsidP="00FA0D37">
      <w:pPr>
        <w:pStyle w:val="PL"/>
      </w:pPr>
      <w:r w:rsidRPr="00FA0D37">
        <w:t xml:space="preserve">    handoverInterF                              </w:t>
      </w:r>
      <w:r w:rsidRPr="00FA0D37">
        <w:rPr>
          <w:color w:val="993366"/>
        </w:rPr>
        <w:t>ENUMERATED</w:t>
      </w:r>
      <w:r w:rsidRPr="00FA0D37">
        <w:t xml:space="preserve"> {supported}              </w:t>
      </w:r>
      <w:r w:rsidRPr="00FA0D37">
        <w:rPr>
          <w:color w:val="993366"/>
        </w:rPr>
        <w:t>OPTIONAL</w:t>
      </w:r>
      <w:r w:rsidRPr="00FA0D37">
        <w:t>,</w:t>
      </w:r>
    </w:p>
    <w:p w14:paraId="2C1D3C53" w14:textId="77777777" w:rsidR="00394471" w:rsidRPr="00FA0D37" w:rsidRDefault="00394471" w:rsidP="00FA0D37">
      <w:pPr>
        <w:pStyle w:val="PL"/>
      </w:pPr>
      <w:r w:rsidRPr="00FA0D37">
        <w:t xml:space="preserve">    handoverLTE-EPC                             </w:t>
      </w:r>
      <w:r w:rsidRPr="00FA0D37">
        <w:rPr>
          <w:color w:val="993366"/>
        </w:rPr>
        <w:t>ENUMERATED</w:t>
      </w:r>
      <w:r w:rsidRPr="00FA0D37">
        <w:t xml:space="preserve"> {supported}              </w:t>
      </w:r>
      <w:r w:rsidRPr="00FA0D37">
        <w:rPr>
          <w:color w:val="993366"/>
        </w:rPr>
        <w:t>OPTIONAL</w:t>
      </w:r>
      <w:r w:rsidRPr="00FA0D37">
        <w:t>,</w:t>
      </w:r>
    </w:p>
    <w:p w14:paraId="789FF94A" w14:textId="77777777" w:rsidR="00394471" w:rsidRPr="00FA0D37" w:rsidRDefault="00394471" w:rsidP="00FA0D37">
      <w:pPr>
        <w:pStyle w:val="PL"/>
      </w:pPr>
      <w:r w:rsidRPr="00FA0D37">
        <w:t xml:space="preserve">    handoverLTE-5GC                             </w:t>
      </w:r>
      <w:r w:rsidRPr="00FA0D37">
        <w:rPr>
          <w:color w:val="993366"/>
        </w:rPr>
        <w:t>ENUMERATED</w:t>
      </w:r>
      <w:r w:rsidRPr="00FA0D37">
        <w:t xml:space="preserve"> {supported}              </w:t>
      </w:r>
      <w:r w:rsidRPr="00FA0D37">
        <w:rPr>
          <w:color w:val="993366"/>
        </w:rPr>
        <w:t>OPTIONAL</w:t>
      </w:r>
    </w:p>
    <w:p w14:paraId="2C2B947B" w14:textId="77777777" w:rsidR="00394471" w:rsidRPr="00FA0D37" w:rsidRDefault="00394471" w:rsidP="00FA0D37">
      <w:pPr>
        <w:pStyle w:val="PL"/>
      </w:pPr>
      <w:r w:rsidRPr="00FA0D37">
        <w:t xml:space="preserve">    ]],</w:t>
      </w:r>
    </w:p>
    <w:p w14:paraId="1EEBEB42" w14:textId="77777777" w:rsidR="00394471" w:rsidRPr="00FA0D37" w:rsidRDefault="00394471" w:rsidP="00FA0D37">
      <w:pPr>
        <w:pStyle w:val="PL"/>
      </w:pPr>
      <w:r w:rsidRPr="00FA0D37">
        <w:t xml:space="preserve">    [[</w:t>
      </w:r>
    </w:p>
    <w:p w14:paraId="5BACFBC5" w14:textId="77777777" w:rsidR="00394471" w:rsidRPr="00FA0D37" w:rsidRDefault="00394471" w:rsidP="00FA0D37">
      <w:pPr>
        <w:pStyle w:val="PL"/>
      </w:pPr>
      <w:r w:rsidRPr="00FA0D37">
        <w:t xml:space="preserve">    maxNumberResource-CSI-RS-RLM                </w:t>
      </w:r>
      <w:r w:rsidRPr="00FA0D37">
        <w:rPr>
          <w:color w:val="993366"/>
        </w:rPr>
        <w:t>ENUMERATED</w:t>
      </w:r>
      <w:r w:rsidRPr="00FA0D37">
        <w:t xml:space="preserve"> {n2, n4, n6, n8}         </w:t>
      </w:r>
      <w:r w:rsidRPr="00FA0D37">
        <w:rPr>
          <w:color w:val="993366"/>
        </w:rPr>
        <w:t>OPTIONAL</w:t>
      </w:r>
    </w:p>
    <w:p w14:paraId="1643A8A2" w14:textId="77777777" w:rsidR="00394471" w:rsidRPr="00FA0D37" w:rsidRDefault="00394471" w:rsidP="00FA0D37">
      <w:pPr>
        <w:pStyle w:val="PL"/>
      </w:pPr>
      <w:r w:rsidRPr="00FA0D37">
        <w:t xml:space="preserve">    ]],</w:t>
      </w:r>
    </w:p>
    <w:p w14:paraId="3CA91031" w14:textId="77777777" w:rsidR="00394471" w:rsidRPr="00FA0D37" w:rsidRDefault="00394471" w:rsidP="00FA0D37">
      <w:pPr>
        <w:pStyle w:val="PL"/>
      </w:pPr>
      <w:r w:rsidRPr="00FA0D37">
        <w:t xml:space="preserve">    [[</w:t>
      </w:r>
    </w:p>
    <w:p w14:paraId="3CDEEA43" w14:textId="77777777" w:rsidR="00394471" w:rsidRPr="00FA0D37" w:rsidRDefault="00394471" w:rsidP="00FA0D37">
      <w:pPr>
        <w:pStyle w:val="PL"/>
      </w:pPr>
      <w:r w:rsidRPr="00FA0D37">
        <w:t xml:space="preserve">    simultaneousRxDataSSB-DiffNumerology        </w:t>
      </w:r>
      <w:r w:rsidRPr="00FA0D37">
        <w:rPr>
          <w:color w:val="993366"/>
        </w:rPr>
        <w:t>ENUMERATED</w:t>
      </w:r>
      <w:r w:rsidRPr="00FA0D37">
        <w:t xml:space="preserve"> {supported}              </w:t>
      </w:r>
      <w:r w:rsidRPr="00FA0D37">
        <w:rPr>
          <w:color w:val="993366"/>
        </w:rPr>
        <w:t>OPTIONAL</w:t>
      </w:r>
    </w:p>
    <w:p w14:paraId="4ECDEA99" w14:textId="77777777" w:rsidR="00394471" w:rsidRPr="00FA0D37" w:rsidRDefault="00394471" w:rsidP="00FA0D37">
      <w:pPr>
        <w:pStyle w:val="PL"/>
      </w:pPr>
      <w:r w:rsidRPr="00FA0D37">
        <w:t xml:space="preserve">    ]],</w:t>
      </w:r>
    </w:p>
    <w:p w14:paraId="4CADDCC1" w14:textId="77777777" w:rsidR="00394471" w:rsidRPr="00FA0D37" w:rsidRDefault="00394471" w:rsidP="00FA0D37">
      <w:pPr>
        <w:pStyle w:val="PL"/>
      </w:pPr>
      <w:r w:rsidRPr="00FA0D37">
        <w:t xml:space="preserve">    [[</w:t>
      </w:r>
    </w:p>
    <w:p w14:paraId="44FAA48A" w14:textId="77777777" w:rsidR="00394471" w:rsidRPr="00FA0D37" w:rsidRDefault="00394471" w:rsidP="00FA0D37">
      <w:pPr>
        <w:pStyle w:val="PL"/>
      </w:pPr>
      <w:r w:rsidRPr="00FA0D37">
        <w:t xml:space="preserve">    nr-AutonomousGaps-r16                       </w:t>
      </w:r>
      <w:r w:rsidRPr="00FA0D37">
        <w:rPr>
          <w:color w:val="993366"/>
        </w:rPr>
        <w:t>ENUMERATED</w:t>
      </w:r>
      <w:r w:rsidRPr="00FA0D37">
        <w:t xml:space="preserve"> {supported}              </w:t>
      </w:r>
      <w:r w:rsidRPr="00FA0D37">
        <w:rPr>
          <w:color w:val="993366"/>
        </w:rPr>
        <w:t>OPTIONAL</w:t>
      </w:r>
      <w:r w:rsidRPr="00FA0D37">
        <w:t>,</w:t>
      </w:r>
    </w:p>
    <w:p w14:paraId="5E872676" w14:textId="77777777" w:rsidR="00394471" w:rsidRPr="00FA0D37" w:rsidRDefault="00394471" w:rsidP="00FA0D37">
      <w:pPr>
        <w:pStyle w:val="PL"/>
      </w:pPr>
      <w:r w:rsidRPr="00FA0D37">
        <w:t xml:space="preserve">    nr-AutonomousGaps-ENDC-r16                  </w:t>
      </w:r>
      <w:r w:rsidRPr="00FA0D37">
        <w:rPr>
          <w:color w:val="993366"/>
        </w:rPr>
        <w:t>ENUMERATED</w:t>
      </w:r>
      <w:r w:rsidRPr="00FA0D37">
        <w:t xml:space="preserve"> {supported}              </w:t>
      </w:r>
      <w:r w:rsidRPr="00FA0D37">
        <w:rPr>
          <w:color w:val="993366"/>
        </w:rPr>
        <w:t>OPTIONAL</w:t>
      </w:r>
      <w:r w:rsidRPr="00FA0D37">
        <w:t>,</w:t>
      </w:r>
    </w:p>
    <w:p w14:paraId="01DB5F07" w14:textId="77777777" w:rsidR="00394471" w:rsidRPr="00FA0D37" w:rsidRDefault="00394471" w:rsidP="00FA0D37">
      <w:pPr>
        <w:pStyle w:val="PL"/>
      </w:pPr>
      <w:r w:rsidRPr="00FA0D37">
        <w:t xml:space="preserve">    nr-AutonomousGaps-NEDC-r16                  </w:t>
      </w:r>
      <w:r w:rsidRPr="00FA0D37">
        <w:rPr>
          <w:color w:val="993366"/>
        </w:rPr>
        <w:t>ENUMERATED</w:t>
      </w:r>
      <w:r w:rsidRPr="00FA0D37">
        <w:t xml:space="preserve"> {supported}              </w:t>
      </w:r>
      <w:r w:rsidRPr="00FA0D37">
        <w:rPr>
          <w:color w:val="993366"/>
        </w:rPr>
        <w:t>OPTIONAL</w:t>
      </w:r>
      <w:r w:rsidRPr="00FA0D37">
        <w:t>,</w:t>
      </w:r>
    </w:p>
    <w:p w14:paraId="57D94112" w14:textId="77777777" w:rsidR="00394471" w:rsidRPr="00FA0D37" w:rsidRDefault="00394471" w:rsidP="00FA0D37">
      <w:pPr>
        <w:pStyle w:val="PL"/>
      </w:pPr>
      <w:r w:rsidRPr="00FA0D37">
        <w:t xml:space="preserve">    nr-AutonomousGaps-NRDC-r16                  </w:t>
      </w:r>
      <w:r w:rsidRPr="00FA0D37">
        <w:rPr>
          <w:color w:val="993366"/>
        </w:rPr>
        <w:t>ENUMERATED</w:t>
      </w:r>
      <w:r w:rsidRPr="00FA0D37">
        <w:t xml:space="preserve"> {supported}              </w:t>
      </w:r>
      <w:r w:rsidRPr="00FA0D37">
        <w:rPr>
          <w:color w:val="993366"/>
        </w:rPr>
        <w:t>OPTIONAL</w:t>
      </w:r>
      <w:r w:rsidRPr="00FA0D37">
        <w:t>,</w:t>
      </w:r>
    </w:p>
    <w:p w14:paraId="44A22BDA" w14:textId="19A64864" w:rsidR="00394471" w:rsidRPr="00FA0D37" w:rsidRDefault="00394471" w:rsidP="00FA0D37">
      <w:pPr>
        <w:pStyle w:val="PL"/>
      </w:pPr>
      <w:r w:rsidRPr="00FA0D37">
        <w:t xml:space="preserve">    </w:t>
      </w:r>
      <w:r w:rsidR="00941862" w:rsidRPr="00FA0D37">
        <w:t xml:space="preserve">dummy               </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1C7932A6" w14:textId="77777777" w:rsidR="00394471" w:rsidRPr="00FA0D37" w:rsidRDefault="00394471" w:rsidP="00FA0D37">
      <w:pPr>
        <w:pStyle w:val="PL"/>
      </w:pPr>
      <w:r w:rsidRPr="00FA0D37">
        <w:t xml:space="preserve">    cli-RSSI-Meas-r16                           </w:t>
      </w:r>
      <w:r w:rsidRPr="00FA0D37">
        <w:rPr>
          <w:color w:val="993366"/>
        </w:rPr>
        <w:t>ENUMERATED</w:t>
      </w:r>
      <w:r w:rsidRPr="00FA0D37">
        <w:t xml:space="preserve"> {supported}              </w:t>
      </w:r>
      <w:r w:rsidRPr="00FA0D37">
        <w:rPr>
          <w:color w:val="993366"/>
        </w:rPr>
        <w:t>OPTIONAL</w:t>
      </w:r>
      <w:r w:rsidRPr="00FA0D37">
        <w:t>,</w:t>
      </w:r>
    </w:p>
    <w:p w14:paraId="7098C5B8" w14:textId="77777777" w:rsidR="00394471" w:rsidRPr="00FA0D37" w:rsidRDefault="00394471" w:rsidP="00FA0D37">
      <w:pPr>
        <w:pStyle w:val="PL"/>
      </w:pPr>
      <w:r w:rsidRPr="00FA0D37">
        <w:t xml:space="preserve">    cli</w:t>
      </w:r>
      <w:r w:rsidRPr="00FA0D37">
        <w:rPr>
          <w:rFonts w:eastAsia="Malgun Gothic"/>
        </w:rPr>
        <w:t>-SRS-RSRP-Meas-r16</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2FE6259F" w14:textId="1B33D449" w:rsidR="00394471" w:rsidRPr="00FA0D37" w:rsidRDefault="00394471" w:rsidP="00FA0D37">
      <w:pPr>
        <w:pStyle w:val="PL"/>
      </w:pPr>
      <w:r w:rsidRPr="00FA0D37">
        <w:t xml:space="preserve">    interFrequencyMeas-No</w:t>
      </w:r>
      <w:r w:rsidR="00142A9B" w:rsidRPr="00FA0D37">
        <w:t>G</w:t>
      </w:r>
      <w:r w:rsidRPr="00FA0D37">
        <w:t xml:space="preserve">ap-r16                </w:t>
      </w:r>
      <w:r w:rsidRPr="00FA0D37">
        <w:rPr>
          <w:color w:val="993366"/>
        </w:rPr>
        <w:t>ENUMERATED</w:t>
      </w:r>
      <w:r w:rsidRPr="00FA0D37">
        <w:t xml:space="preserve"> {supported}              </w:t>
      </w:r>
      <w:r w:rsidRPr="00FA0D37">
        <w:rPr>
          <w:color w:val="993366"/>
        </w:rPr>
        <w:t>OPTIONAL</w:t>
      </w:r>
      <w:r w:rsidRPr="00FA0D37">
        <w:t>,</w:t>
      </w:r>
    </w:p>
    <w:p w14:paraId="2B3E0F51" w14:textId="77777777" w:rsidR="00394471" w:rsidRPr="00FA0D37" w:rsidRDefault="00394471" w:rsidP="00FA0D37">
      <w:pPr>
        <w:pStyle w:val="PL"/>
      </w:pPr>
      <w:r w:rsidRPr="00FA0D37">
        <w:t xml:space="preserve">    simultaneousRxDataSSB-DiffNumerology-Inter-r16  </w:t>
      </w:r>
      <w:r w:rsidRPr="00FA0D37">
        <w:rPr>
          <w:color w:val="993366"/>
        </w:rPr>
        <w:t>ENUMERATED</w:t>
      </w:r>
      <w:r w:rsidRPr="00FA0D37">
        <w:t xml:space="preserve"> {supported}          </w:t>
      </w:r>
      <w:r w:rsidRPr="00FA0D37">
        <w:rPr>
          <w:color w:val="993366"/>
        </w:rPr>
        <w:t>OPTIONAL</w:t>
      </w:r>
      <w:r w:rsidRPr="00FA0D37">
        <w:t>,</w:t>
      </w:r>
    </w:p>
    <w:p w14:paraId="06DE6601" w14:textId="77777777" w:rsidR="00394471" w:rsidRPr="00FA0D37" w:rsidRDefault="00394471" w:rsidP="00FA0D37">
      <w:pPr>
        <w:pStyle w:val="PL"/>
      </w:pPr>
      <w:r w:rsidRPr="00FA0D37">
        <w:t xml:space="preserve">    idleInactiveNR-MeasReport-r16               </w:t>
      </w:r>
      <w:r w:rsidRPr="00FA0D37">
        <w:rPr>
          <w:color w:val="993366"/>
        </w:rPr>
        <w:t>ENUMERATED</w:t>
      </w:r>
      <w:r w:rsidRPr="00FA0D37">
        <w:t xml:space="preserve"> {supported}              </w:t>
      </w:r>
      <w:r w:rsidRPr="00FA0D37">
        <w:rPr>
          <w:color w:val="993366"/>
        </w:rPr>
        <w:t>OPTIONAL</w:t>
      </w:r>
      <w:r w:rsidRPr="00FA0D37">
        <w:t>,</w:t>
      </w:r>
    </w:p>
    <w:p w14:paraId="1CFBE418" w14:textId="77777777" w:rsidR="00394471" w:rsidRPr="00FA0D37" w:rsidRDefault="00394471" w:rsidP="00FA0D37">
      <w:pPr>
        <w:pStyle w:val="PL"/>
        <w:rPr>
          <w:color w:val="808080"/>
        </w:rPr>
      </w:pPr>
      <w:r w:rsidRPr="00FA0D37">
        <w:t xml:space="preserve">    </w:t>
      </w:r>
      <w:r w:rsidRPr="00FA0D37">
        <w:rPr>
          <w:color w:val="808080"/>
        </w:rPr>
        <w:t xml:space="preserve">-- R4 6-2: </w:t>
      </w:r>
      <w:r w:rsidRPr="00FA0D37">
        <w:rPr>
          <w:rFonts w:eastAsia="宋体"/>
          <w:color w:val="808080"/>
        </w:rPr>
        <w:t>Support of beam level Early Measurement Reporting</w:t>
      </w:r>
    </w:p>
    <w:p w14:paraId="066A3B3F" w14:textId="77777777" w:rsidR="00394471" w:rsidRPr="00FA0D37" w:rsidRDefault="00394471" w:rsidP="00FA0D37">
      <w:pPr>
        <w:pStyle w:val="PL"/>
      </w:pPr>
      <w:r w:rsidRPr="00FA0D37">
        <w:t xml:space="preserve">    idleInactiveNR-MeasBeamReport-r16           </w:t>
      </w:r>
      <w:r w:rsidRPr="00FA0D37">
        <w:rPr>
          <w:color w:val="993366"/>
        </w:rPr>
        <w:t>ENUMERATED</w:t>
      </w:r>
      <w:r w:rsidRPr="00FA0D37">
        <w:t xml:space="preserve"> {supported}              </w:t>
      </w:r>
      <w:r w:rsidRPr="00FA0D37">
        <w:rPr>
          <w:color w:val="993366"/>
        </w:rPr>
        <w:t>OPTIONAL</w:t>
      </w:r>
    </w:p>
    <w:p w14:paraId="0B40BB05" w14:textId="219F823F" w:rsidR="00D027C1" w:rsidRPr="00FA0D37" w:rsidRDefault="00394471" w:rsidP="00FA0D37">
      <w:pPr>
        <w:pStyle w:val="PL"/>
      </w:pPr>
      <w:r w:rsidRPr="00FA0D37">
        <w:t xml:space="preserve">    ]]</w:t>
      </w:r>
      <w:r w:rsidR="00D027C1" w:rsidRPr="00FA0D37">
        <w:t>,</w:t>
      </w:r>
    </w:p>
    <w:p w14:paraId="4D536357" w14:textId="77777777" w:rsidR="00D027C1" w:rsidRPr="00FA0D37" w:rsidRDefault="00D027C1" w:rsidP="00FA0D37">
      <w:pPr>
        <w:pStyle w:val="PL"/>
      </w:pPr>
      <w:r w:rsidRPr="00FA0D37">
        <w:t xml:space="preserve">    [[</w:t>
      </w:r>
    </w:p>
    <w:p w14:paraId="1316E71C" w14:textId="0BC2F9A9" w:rsidR="00D027C1" w:rsidRPr="00FA0D37" w:rsidRDefault="00D027C1" w:rsidP="00FA0D37">
      <w:pPr>
        <w:pStyle w:val="PL"/>
      </w:pPr>
      <w:r w:rsidRPr="00FA0D37">
        <w:t xml:space="preserve">    increasedNumberofCSIRSPerMO-r16             </w:t>
      </w:r>
      <w:r w:rsidRPr="00FA0D37">
        <w:rPr>
          <w:color w:val="993366"/>
        </w:rPr>
        <w:t>ENUMERATED</w:t>
      </w:r>
      <w:r w:rsidRPr="00FA0D37">
        <w:t xml:space="preserve"> {supported}              </w:t>
      </w:r>
      <w:r w:rsidRPr="00FA0D37">
        <w:rPr>
          <w:color w:val="993366"/>
        </w:rPr>
        <w:t>OPTIONAL</w:t>
      </w:r>
    </w:p>
    <w:p w14:paraId="346FA126" w14:textId="70ACE33A" w:rsidR="00394471" w:rsidRPr="00FA0D37" w:rsidRDefault="00D027C1" w:rsidP="00FA0D37">
      <w:pPr>
        <w:pStyle w:val="PL"/>
      </w:pPr>
      <w:r w:rsidRPr="00FA0D37">
        <w:t xml:space="preserve">    ]]</w:t>
      </w:r>
    </w:p>
    <w:p w14:paraId="398610A9" w14:textId="77777777" w:rsidR="00394471" w:rsidRPr="00FA0D37" w:rsidRDefault="00394471" w:rsidP="00FA0D37">
      <w:pPr>
        <w:pStyle w:val="PL"/>
      </w:pPr>
      <w:r w:rsidRPr="00FA0D37">
        <w:t>}</w:t>
      </w:r>
    </w:p>
    <w:p w14:paraId="0AB33605" w14:textId="77777777" w:rsidR="00022DF1" w:rsidRPr="00FA0D37" w:rsidRDefault="00022DF1" w:rsidP="00FA0D37">
      <w:pPr>
        <w:pStyle w:val="PL"/>
      </w:pPr>
    </w:p>
    <w:p w14:paraId="182C12B8" w14:textId="084CE4DF" w:rsidR="00022DF1" w:rsidRPr="00FA0D37" w:rsidRDefault="00022DF1" w:rsidP="00FA0D37">
      <w:pPr>
        <w:pStyle w:val="PL"/>
      </w:pPr>
      <w:r w:rsidRPr="00FA0D37">
        <w:t xml:space="preserve">MeasAndMobParametersFR2-2-r17 ::=           </w:t>
      </w:r>
      <w:r w:rsidRPr="00FA0D37">
        <w:rPr>
          <w:color w:val="993366"/>
        </w:rPr>
        <w:t>SEQUENCE</w:t>
      </w:r>
      <w:r w:rsidRPr="00FA0D37">
        <w:t xml:space="preserve"> {</w:t>
      </w:r>
    </w:p>
    <w:p w14:paraId="6DD6D975" w14:textId="77777777" w:rsidR="00022DF1" w:rsidRPr="00FA0D37" w:rsidRDefault="00022DF1" w:rsidP="00FA0D37">
      <w:pPr>
        <w:pStyle w:val="PL"/>
      </w:pPr>
      <w:r w:rsidRPr="00FA0D37">
        <w:t xml:space="preserve">    handoverInterF-r17                          </w:t>
      </w:r>
      <w:r w:rsidRPr="00FA0D37">
        <w:rPr>
          <w:color w:val="993366"/>
        </w:rPr>
        <w:t>ENUMERATED</w:t>
      </w:r>
      <w:r w:rsidRPr="00FA0D37">
        <w:t xml:space="preserve"> {supported}              </w:t>
      </w:r>
      <w:r w:rsidRPr="00FA0D37">
        <w:rPr>
          <w:color w:val="993366"/>
        </w:rPr>
        <w:t>OPTIONAL</w:t>
      </w:r>
      <w:r w:rsidRPr="00FA0D37">
        <w:t>,</w:t>
      </w:r>
    </w:p>
    <w:p w14:paraId="66615BAE" w14:textId="77777777" w:rsidR="00022DF1" w:rsidRPr="00FA0D37" w:rsidRDefault="00022DF1" w:rsidP="00FA0D37">
      <w:pPr>
        <w:pStyle w:val="PL"/>
      </w:pPr>
      <w:r w:rsidRPr="00FA0D37">
        <w:t xml:space="preserve">    handoverLTE-EPC-r17                         </w:t>
      </w:r>
      <w:r w:rsidRPr="00FA0D37">
        <w:rPr>
          <w:color w:val="993366"/>
        </w:rPr>
        <w:t>ENUMERATED</w:t>
      </w:r>
      <w:r w:rsidRPr="00FA0D37">
        <w:t xml:space="preserve"> {supported}              </w:t>
      </w:r>
      <w:r w:rsidRPr="00FA0D37">
        <w:rPr>
          <w:color w:val="993366"/>
        </w:rPr>
        <w:t>OPTIONAL</w:t>
      </w:r>
      <w:r w:rsidRPr="00FA0D37">
        <w:t>,</w:t>
      </w:r>
    </w:p>
    <w:p w14:paraId="40071DEB" w14:textId="54EC4CD8" w:rsidR="00022DF1" w:rsidRPr="00FA0D37" w:rsidRDefault="00022DF1" w:rsidP="00FA0D37">
      <w:pPr>
        <w:pStyle w:val="PL"/>
      </w:pPr>
      <w:r w:rsidRPr="00FA0D37">
        <w:t xml:space="preserve">    handoverLTE-5GC-r17                         </w:t>
      </w:r>
      <w:r w:rsidRPr="00FA0D37">
        <w:rPr>
          <w:color w:val="993366"/>
        </w:rPr>
        <w:t>ENUMERATED</w:t>
      </w:r>
      <w:r w:rsidRPr="00FA0D37">
        <w:t xml:space="preserve"> {supported}              </w:t>
      </w:r>
      <w:r w:rsidRPr="00FA0D37">
        <w:rPr>
          <w:color w:val="993366"/>
        </w:rPr>
        <w:t>OPTIONAL</w:t>
      </w:r>
      <w:r w:rsidRPr="00FA0D37">
        <w:t>,</w:t>
      </w:r>
    </w:p>
    <w:p w14:paraId="6C1395F0" w14:textId="7F84746F" w:rsidR="00022DF1" w:rsidRPr="00FA0D37" w:rsidRDefault="00022DF1" w:rsidP="00FA0D37">
      <w:pPr>
        <w:pStyle w:val="PL"/>
      </w:pPr>
      <w:r w:rsidRPr="00FA0D37">
        <w:t xml:space="preserve">    idleInactiveNR-MeasReport-r17               </w:t>
      </w:r>
      <w:r w:rsidRPr="00FA0D37">
        <w:rPr>
          <w:color w:val="993366"/>
        </w:rPr>
        <w:t>ENUMERATED</w:t>
      </w:r>
      <w:r w:rsidRPr="00FA0D37">
        <w:t xml:space="preserve"> {supported}              </w:t>
      </w:r>
      <w:r w:rsidRPr="00FA0D37">
        <w:rPr>
          <w:color w:val="993366"/>
        </w:rPr>
        <w:t>OPTIONAL</w:t>
      </w:r>
      <w:r w:rsidRPr="00FA0D37">
        <w:t>,</w:t>
      </w:r>
    </w:p>
    <w:p w14:paraId="466C02A9" w14:textId="77777777" w:rsidR="00022DF1" w:rsidRPr="00FA0D37" w:rsidRDefault="00022DF1" w:rsidP="00FA0D37">
      <w:pPr>
        <w:pStyle w:val="PL"/>
      </w:pPr>
      <w:r w:rsidRPr="00FA0D37">
        <w:t>...</w:t>
      </w:r>
    </w:p>
    <w:p w14:paraId="673A05C6" w14:textId="299072F8" w:rsidR="00394471" w:rsidRPr="00FA0D37" w:rsidRDefault="00022DF1" w:rsidP="00FA0D37">
      <w:pPr>
        <w:pStyle w:val="PL"/>
      </w:pPr>
      <w:r w:rsidRPr="00FA0D37">
        <w:t>}</w:t>
      </w:r>
    </w:p>
    <w:p w14:paraId="259764A5" w14:textId="77777777" w:rsidR="00022DF1" w:rsidRPr="00FA0D37" w:rsidRDefault="00022DF1" w:rsidP="00FA0D37">
      <w:pPr>
        <w:pStyle w:val="PL"/>
      </w:pPr>
    </w:p>
    <w:p w14:paraId="37FC69BA" w14:textId="77777777" w:rsidR="00394471" w:rsidRPr="00FA0D37" w:rsidRDefault="00394471" w:rsidP="00FA0D37">
      <w:pPr>
        <w:pStyle w:val="PL"/>
        <w:rPr>
          <w:color w:val="808080"/>
        </w:rPr>
      </w:pPr>
      <w:r w:rsidRPr="00FA0D37">
        <w:rPr>
          <w:color w:val="808080"/>
        </w:rPr>
        <w:t>-- TAG-MEASANDMOBPARAMETERS-STOP</w:t>
      </w:r>
    </w:p>
    <w:p w14:paraId="6970D484" w14:textId="77777777" w:rsidR="00394471" w:rsidRPr="00FA0D37" w:rsidRDefault="00394471" w:rsidP="00FA0D37">
      <w:pPr>
        <w:pStyle w:val="PL"/>
        <w:rPr>
          <w:rFonts w:eastAsia="Malgun Gothic"/>
          <w:color w:val="808080"/>
        </w:rPr>
      </w:pPr>
      <w:r w:rsidRPr="00FA0D37">
        <w:rPr>
          <w:color w:val="808080"/>
        </w:rPr>
        <w:t>-- ASN1STOP</w:t>
      </w:r>
    </w:p>
    <w:p w14:paraId="2895C4E4" w14:textId="77777777" w:rsidR="00394471" w:rsidRPr="00FA0D37" w:rsidRDefault="00394471" w:rsidP="00394471"/>
    <w:p w14:paraId="14AF18C0" w14:textId="77777777" w:rsidR="00394471" w:rsidRPr="00FA0D37" w:rsidRDefault="00394471" w:rsidP="00394471">
      <w:pPr>
        <w:pStyle w:val="4"/>
      </w:pPr>
      <w:bookmarkStart w:id="1574" w:name="_Toc60777461"/>
      <w:bookmarkStart w:id="1575" w:name="_Toc146781563"/>
      <w:r w:rsidRPr="00FA0D37">
        <w:lastRenderedPageBreak/>
        <w:t>–</w:t>
      </w:r>
      <w:r w:rsidRPr="00FA0D37">
        <w:tab/>
      </w:r>
      <w:r w:rsidRPr="00FA0D37">
        <w:rPr>
          <w:i/>
        </w:rPr>
        <w:t>MeasAndMobParametersMRDC</w:t>
      </w:r>
      <w:bookmarkEnd w:id="1574"/>
      <w:bookmarkEnd w:id="1575"/>
    </w:p>
    <w:p w14:paraId="1C5540E3" w14:textId="77777777" w:rsidR="00394471" w:rsidRPr="00FA0D37" w:rsidRDefault="00394471" w:rsidP="00394471">
      <w:r w:rsidRPr="00FA0D37">
        <w:t xml:space="preserve">The IE </w:t>
      </w:r>
      <w:r w:rsidRPr="00FA0D37">
        <w:rPr>
          <w:i/>
        </w:rPr>
        <w:t>MeasAndMobParametersMRDC</w:t>
      </w:r>
      <w:r w:rsidRPr="00FA0D37">
        <w:t xml:space="preserve"> is used to convey capability parameters related to RRM measurements and RRC mobility.</w:t>
      </w:r>
    </w:p>
    <w:p w14:paraId="0DA714B7" w14:textId="77777777" w:rsidR="00394471" w:rsidRPr="00FA0D37" w:rsidRDefault="00394471" w:rsidP="00394471">
      <w:pPr>
        <w:pStyle w:val="TH"/>
      </w:pPr>
      <w:r w:rsidRPr="00FA0D37">
        <w:rPr>
          <w:i/>
        </w:rPr>
        <w:t>MeasAndMobParametersMRDC</w:t>
      </w:r>
      <w:r w:rsidRPr="00FA0D37">
        <w:t xml:space="preserve"> information element</w:t>
      </w:r>
    </w:p>
    <w:p w14:paraId="5DD2788F" w14:textId="77777777" w:rsidR="00394471" w:rsidRPr="00FA0D37" w:rsidRDefault="00394471" w:rsidP="00FA0D37">
      <w:pPr>
        <w:pStyle w:val="PL"/>
        <w:rPr>
          <w:color w:val="808080"/>
        </w:rPr>
      </w:pPr>
      <w:r w:rsidRPr="00FA0D37">
        <w:rPr>
          <w:color w:val="808080"/>
        </w:rPr>
        <w:t>-- ASN1START</w:t>
      </w:r>
    </w:p>
    <w:p w14:paraId="6E67FC1C" w14:textId="77777777" w:rsidR="00394471" w:rsidRPr="00FA0D37" w:rsidRDefault="00394471" w:rsidP="00FA0D37">
      <w:pPr>
        <w:pStyle w:val="PL"/>
        <w:rPr>
          <w:color w:val="808080"/>
        </w:rPr>
      </w:pPr>
      <w:r w:rsidRPr="00FA0D37">
        <w:rPr>
          <w:color w:val="808080"/>
        </w:rPr>
        <w:t>-- TAG-MEASANDMOBPARAMETERSMRDC-START</w:t>
      </w:r>
    </w:p>
    <w:p w14:paraId="263FA92C" w14:textId="77777777" w:rsidR="00394471" w:rsidRPr="00FA0D37" w:rsidRDefault="00394471" w:rsidP="00FA0D37">
      <w:pPr>
        <w:pStyle w:val="PL"/>
      </w:pPr>
    </w:p>
    <w:p w14:paraId="7349BF25" w14:textId="77777777" w:rsidR="00394471" w:rsidRPr="00FA0D37" w:rsidRDefault="00394471" w:rsidP="00FA0D37">
      <w:pPr>
        <w:pStyle w:val="PL"/>
      </w:pPr>
      <w:r w:rsidRPr="00FA0D37">
        <w:t xml:space="preserve">MeasAndMobParametersMRDC ::=            </w:t>
      </w:r>
      <w:r w:rsidRPr="00FA0D37">
        <w:rPr>
          <w:color w:val="993366"/>
        </w:rPr>
        <w:t>SEQUENCE</w:t>
      </w:r>
      <w:r w:rsidRPr="00FA0D37">
        <w:t xml:space="preserve"> {</w:t>
      </w:r>
    </w:p>
    <w:p w14:paraId="6F36D730" w14:textId="77777777" w:rsidR="00394471" w:rsidRPr="00FA0D37" w:rsidRDefault="00394471" w:rsidP="00FA0D37">
      <w:pPr>
        <w:pStyle w:val="PL"/>
      </w:pPr>
      <w:r w:rsidRPr="00FA0D37">
        <w:t xml:space="preserve">    measAndMobParametersMRDC-Common         MeasAndMobParametersMRDC-Common                 </w:t>
      </w:r>
      <w:r w:rsidRPr="00FA0D37">
        <w:rPr>
          <w:color w:val="993366"/>
        </w:rPr>
        <w:t>OPTIONAL</w:t>
      </w:r>
      <w:r w:rsidRPr="00FA0D37">
        <w:t>,</w:t>
      </w:r>
    </w:p>
    <w:p w14:paraId="25EA4A3E" w14:textId="77777777" w:rsidR="00394471" w:rsidRPr="00FA0D37" w:rsidRDefault="00394471" w:rsidP="00FA0D37">
      <w:pPr>
        <w:pStyle w:val="PL"/>
      </w:pPr>
      <w:r w:rsidRPr="00FA0D37">
        <w:t xml:space="preserve">    measAndMobParametersMRDC-XDD-Diff       MeasAndMobParametersMRDC-XDD-Diff               </w:t>
      </w:r>
      <w:r w:rsidRPr="00FA0D37">
        <w:rPr>
          <w:color w:val="993366"/>
        </w:rPr>
        <w:t>OPTIONAL</w:t>
      </w:r>
      <w:r w:rsidRPr="00FA0D37">
        <w:t>,</w:t>
      </w:r>
    </w:p>
    <w:p w14:paraId="282F0577" w14:textId="77777777" w:rsidR="00394471" w:rsidRPr="00FA0D37" w:rsidRDefault="00394471" w:rsidP="00FA0D37">
      <w:pPr>
        <w:pStyle w:val="PL"/>
      </w:pPr>
      <w:r w:rsidRPr="00FA0D37">
        <w:t xml:space="preserve">    measAndMobParametersMRDC-FRX-Diff       MeasAndMobParametersMRDC-FRX-Diff               </w:t>
      </w:r>
      <w:r w:rsidRPr="00FA0D37">
        <w:rPr>
          <w:color w:val="993366"/>
        </w:rPr>
        <w:t>OPTIONAL</w:t>
      </w:r>
    </w:p>
    <w:p w14:paraId="2EF17103" w14:textId="77777777" w:rsidR="00394471" w:rsidRPr="00FA0D37" w:rsidRDefault="00394471" w:rsidP="00FA0D37">
      <w:pPr>
        <w:pStyle w:val="PL"/>
      </w:pPr>
      <w:r w:rsidRPr="00FA0D37">
        <w:t>}</w:t>
      </w:r>
    </w:p>
    <w:p w14:paraId="7F893E34" w14:textId="77777777" w:rsidR="00394471" w:rsidRPr="00FA0D37" w:rsidRDefault="00394471" w:rsidP="00FA0D37">
      <w:pPr>
        <w:pStyle w:val="PL"/>
      </w:pPr>
    </w:p>
    <w:p w14:paraId="4F2440FC" w14:textId="77777777" w:rsidR="00394471" w:rsidRPr="00FA0D37" w:rsidRDefault="00394471" w:rsidP="00FA0D37">
      <w:pPr>
        <w:pStyle w:val="PL"/>
      </w:pPr>
      <w:r w:rsidRPr="00FA0D37">
        <w:t xml:space="preserve">MeasAndMobParametersMRDC-v1560 ::=      </w:t>
      </w:r>
      <w:r w:rsidRPr="00FA0D37">
        <w:rPr>
          <w:color w:val="993366"/>
        </w:rPr>
        <w:t>SEQUENCE</w:t>
      </w:r>
      <w:r w:rsidRPr="00FA0D37">
        <w:t xml:space="preserve"> {</w:t>
      </w:r>
    </w:p>
    <w:p w14:paraId="3CDDD332" w14:textId="77777777" w:rsidR="00394471" w:rsidRPr="00FA0D37" w:rsidRDefault="00394471" w:rsidP="00FA0D37">
      <w:pPr>
        <w:pStyle w:val="PL"/>
      </w:pPr>
      <w:r w:rsidRPr="00FA0D37">
        <w:t xml:space="preserve">    measAndMobParametersMRDC-XDD-Diff-v1560    MeasAndMobParametersMRDC-XDD-Diff-v1560      </w:t>
      </w:r>
      <w:r w:rsidRPr="00FA0D37">
        <w:rPr>
          <w:color w:val="993366"/>
        </w:rPr>
        <w:t>OPTIONAL</w:t>
      </w:r>
    </w:p>
    <w:p w14:paraId="24FC023A" w14:textId="77777777" w:rsidR="00394471" w:rsidRPr="00FA0D37" w:rsidRDefault="00394471" w:rsidP="00FA0D37">
      <w:pPr>
        <w:pStyle w:val="PL"/>
      </w:pPr>
      <w:r w:rsidRPr="00FA0D37">
        <w:t>}</w:t>
      </w:r>
    </w:p>
    <w:p w14:paraId="72EE3579" w14:textId="77777777" w:rsidR="00394471" w:rsidRPr="00FA0D37" w:rsidRDefault="00394471" w:rsidP="00FA0D37">
      <w:pPr>
        <w:pStyle w:val="PL"/>
      </w:pPr>
    </w:p>
    <w:p w14:paraId="37864AF5" w14:textId="77777777" w:rsidR="00394471" w:rsidRPr="00FA0D37" w:rsidRDefault="00394471" w:rsidP="00FA0D37">
      <w:pPr>
        <w:pStyle w:val="PL"/>
      </w:pPr>
      <w:r w:rsidRPr="00FA0D37">
        <w:t xml:space="preserve">MeasAndMobParametersMRDC-v1610 ::=      </w:t>
      </w:r>
      <w:r w:rsidRPr="00FA0D37">
        <w:rPr>
          <w:color w:val="993366"/>
        </w:rPr>
        <w:t>SEQUENCE</w:t>
      </w:r>
      <w:r w:rsidRPr="00FA0D37">
        <w:t xml:space="preserve"> {</w:t>
      </w:r>
    </w:p>
    <w:p w14:paraId="35F67757" w14:textId="77777777" w:rsidR="00394471" w:rsidRPr="00FA0D37" w:rsidRDefault="00394471" w:rsidP="00FA0D37">
      <w:pPr>
        <w:pStyle w:val="PL"/>
      </w:pPr>
      <w:r w:rsidRPr="00FA0D37">
        <w:t xml:space="preserve">    measAndMobParametersMRDC-Common-v1610      MeasAndMobParametersMRDC-Common-v1610        </w:t>
      </w:r>
      <w:r w:rsidRPr="00FA0D37">
        <w:rPr>
          <w:color w:val="993366"/>
        </w:rPr>
        <w:t>OPTIONAL</w:t>
      </w:r>
      <w:r w:rsidRPr="00FA0D37">
        <w:t>,</w:t>
      </w:r>
    </w:p>
    <w:p w14:paraId="4B4D1261" w14:textId="77777777" w:rsidR="00394471" w:rsidRPr="00FA0D37" w:rsidRDefault="00394471" w:rsidP="00FA0D37">
      <w:pPr>
        <w:pStyle w:val="PL"/>
      </w:pPr>
      <w:r w:rsidRPr="00FA0D37">
        <w:t xml:space="preserve">    interNR-MeasEUTRA-IAB-r16                  </w:t>
      </w:r>
      <w:r w:rsidRPr="00FA0D37">
        <w:rPr>
          <w:color w:val="993366"/>
        </w:rPr>
        <w:t>ENUMERATED</w:t>
      </w:r>
      <w:r w:rsidRPr="00FA0D37">
        <w:t xml:space="preserve"> {supported}                       </w:t>
      </w:r>
      <w:r w:rsidRPr="00FA0D37">
        <w:rPr>
          <w:color w:val="993366"/>
        </w:rPr>
        <w:t>OPTIONAL</w:t>
      </w:r>
    </w:p>
    <w:p w14:paraId="66C701E8" w14:textId="77777777" w:rsidR="00394471" w:rsidRPr="00FA0D37" w:rsidRDefault="00394471" w:rsidP="00FA0D37">
      <w:pPr>
        <w:pStyle w:val="PL"/>
      </w:pPr>
      <w:r w:rsidRPr="00FA0D37">
        <w:t>}</w:t>
      </w:r>
    </w:p>
    <w:p w14:paraId="00B7C07B" w14:textId="77777777" w:rsidR="00022DF1" w:rsidRPr="00FA0D37" w:rsidRDefault="00022DF1" w:rsidP="00FA0D37">
      <w:pPr>
        <w:pStyle w:val="PL"/>
      </w:pPr>
    </w:p>
    <w:p w14:paraId="245FDCFE" w14:textId="124422ED" w:rsidR="00022DF1" w:rsidRPr="00FA0D37" w:rsidRDefault="00022DF1" w:rsidP="00FA0D37">
      <w:pPr>
        <w:pStyle w:val="PL"/>
      </w:pPr>
      <w:r w:rsidRPr="00FA0D37">
        <w:t xml:space="preserve">MeasAndMobParametersMRDC-v1700 ::=      </w:t>
      </w:r>
      <w:r w:rsidRPr="00FA0D37">
        <w:rPr>
          <w:color w:val="993366"/>
        </w:rPr>
        <w:t>SEQUENCE</w:t>
      </w:r>
      <w:r w:rsidRPr="00FA0D37">
        <w:t xml:space="preserve"> {</w:t>
      </w:r>
    </w:p>
    <w:p w14:paraId="0CADB97F" w14:textId="2F41429B" w:rsidR="00022DF1" w:rsidRPr="00FA0D37" w:rsidRDefault="00022DF1" w:rsidP="00FA0D37">
      <w:pPr>
        <w:pStyle w:val="PL"/>
      </w:pPr>
      <w:r w:rsidRPr="00FA0D37">
        <w:t xml:space="preserve">    measAndMobParametersMRDC-Common-v1700      MeasAndMobParametersMRDC-Common-v1700        </w:t>
      </w:r>
      <w:r w:rsidRPr="00FA0D37">
        <w:rPr>
          <w:color w:val="993366"/>
        </w:rPr>
        <w:t>OPTIONAL</w:t>
      </w:r>
    </w:p>
    <w:p w14:paraId="7BA105FB" w14:textId="66AF4C8E" w:rsidR="00394471" w:rsidRPr="00FA0D37" w:rsidRDefault="00022DF1" w:rsidP="00FA0D37">
      <w:pPr>
        <w:pStyle w:val="PL"/>
      </w:pPr>
      <w:r w:rsidRPr="00FA0D37">
        <w:t>}</w:t>
      </w:r>
    </w:p>
    <w:p w14:paraId="48B834EE" w14:textId="77777777" w:rsidR="00335673" w:rsidRPr="00FA0D37" w:rsidRDefault="00335673" w:rsidP="00FA0D37">
      <w:pPr>
        <w:pStyle w:val="PL"/>
      </w:pPr>
    </w:p>
    <w:p w14:paraId="5DD37017" w14:textId="510A7295" w:rsidR="00335673" w:rsidRPr="00FA0D37" w:rsidRDefault="00335673" w:rsidP="00FA0D37">
      <w:pPr>
        <w:pStyle w:val="PL"/>
      </w:pPr>
      <w:r w:rsidRPr="00FA0D37">
        <w:t xml:space="preserve">MeasAndMobParametersMRDC-v1730 ::=      </w:t>
      </w:r>
      <w:r w:rsidRPr="00FA0D37">
        <w:rPr>
          <w:color w:val="993366"/>
        </w:rPr>
        <w:t>SEQUENCE</w:t>
      </w:r>
      <w:r w:rsidRPr="00FA0D37">
        <w:t xml:space="preserve"> {</w:t>
      </w:r>
    </w:p>
    <w:p w14:paraId="13801633" w14:textId="43D25DC5" w:rsidR="00335673" w:rsidRPr="00FA0D37" w:rsidRDefault="00335673" w:rsidP="00FA0D37">
      <w:pPr>
        <w:pStyle w:val="PL"/>
      </w:pPr>
      <w:r w:rsidRPr="00FA0D37">
        <w:t xml:space="preserve">    measAndMobParametersMRDC-Common-v1730   MeasAndMobParametersMRDC-Common-v1730           </w:t>
      </w:r>
      <w:r w:rsidRPr="00FA0D37">
        <w:rPr>
          <w:color w:val="993366"/>
        </w:rPr>
        <w:t>OPTIONAL</w:t>
      </w:r>
    </w:p>
    <w:p w14:paraId="33E04EF6" w14:textId="77777777" w:rsidR="00335673" w:rsidRPr="00FA0D37" w:rsidRDefault="00335673" w:rsidP="00FA0D37">
      <w:pPr>
        <w:pStyle w:val="PL"/>
      </w:pPr>
      <w:r w:rsidRPr="00FA0D37">
        <w:t>}</w:t>
      </w:r>
    </w:p>
    <w:p w14:paraId="53447FEF" w14:textId="77777777" w:rsidR="00335673" w:rsidRPr="00FA0D37" w:rsidRDefault="00335673" w:rsidP="00FA0D37">
      <w:pPr>
        <w:pStyle w:val="PL"/>
      </w:pPr>
    </w:p>
    <w:p w14:paraId="6B6F732E" w14:textId="77777777" w:rsidR="00394471" w:rsidRPr="00FA0D37" w:rsidRDefault="00394471" w:rsidP="00FA0D37">
      <w:pPr>
        <w:pStyle w:val="PL"/>
      </w:pPr>
      <w:r w:rsidRPr="00FA0D37">
        <w:t xml:space="preserve">MeasAndMobParametersMRDC-Common ::=     </w:t>
      </w:r>
      <w:r w:rsidRPr="00FA0D37">
        <w:rPr>
          <w:color w:val="993366"/>
        </w:rPr>
        <w:t>SEQUENCE</w:t>
      </w:r>
      <w:r w:rsidRPr="00FA0D37">
        <w:t xml:space="preserve"> {</w:t>
      </w:r>
    </w:p>
    <w:p w14:paraId="2DA29570" w14:textId="77777777" w:rsidR="00394471" w:rsidRPr="00FA0D37" w:rsidRDefault="00394471" w:rsidP="00FA0D37">
      <w:pPr>
        <w:pStyle w:val="PL"/>
      </w:pPr>
      <w:r w:rsidRPr="00FA0D37">
        <w:t xml:space="preserve">    independentGapConfig                    </w:t>
      </w:r>
      <w:r w:rsidRPr="00FA0D37">
        <w:rPr>
          <w:color w:val="993366"/>
        </w:rPr>
        <w:t>ENUMERATED</w:t>
      </w:r>
      <w:r w:rsidRPr="00FA0D37">
        <w:t xml:space="preserve"> {supported}                          </w:t>
      </w:r>
      <w:r w:rsidRPr="00FA0D37">
        <w:rPr>
          <w:color w:val="993366"/>
        </w:rPr>
        <w:t>OPTIONAL</w:t>
      </w:r>
    </w:p>
    <w:p w14:paraId="514BA88D" w14:textId="77777777" w:rsidR="00394471" w:rsidRPr="00FA0D37" w:rsidRDefault="00394471" w:rsidP="00FA0D37">
      <w:pPr>
        <w:pStyle w:val="PL"/>
      </w:pPr>
      <w:r w:rsidRPr="00FA0D37">
        <w:t>}</w:t>
      </w:r>
    </w:p>
    <w:p w14:paraId="5E8E1245" w14:textId="77777777" w:rsidR="00394471" w:rsidRPr="00FA0D37" w:rsidRDefault="00394471" w:rsidP="00FA0D37">
      <w:pPr>
        <w:pStyle w:val="PL"/>
      </w:pPr>
    </w:p>
    <w:p w14:paraId="0B5FD43C" w14:textId="77777777" w:rsidR="00394471" w:rsidRPr="00FA0D37" w:rsidRDefault="00394471" w:rsidP="00FA0D37">
      <w:pPr>
        <w:pStyle w:val="PL"/>
      </w:pPr>
      <w:r w:rsidRPr="00FA0D37">
        <w:t xml:space="preserve">MeasAndMobParametersMRDC-Common-v1610 ::=   </w:t>
      </w:r>
      <w:r w:rsidRPr="00FA0D37">
        <w:rPr>
          <w:color w:val="993366"/>
        </w:rPr>
        <w:t>SEQUENCE</w:t>
      </w:r>
      <w:r w:rsidRPr="00FA0D37">
        <w:t xml:space="preserve"> {</w:t>
      </w:r>
    </w:p>
    <w:p w14:paraId="765DBC3D" w14:textId="77777777" w:rsidR="00394471" w:rsidRPr="00FA0D37" w:rsidRDefault="00394471" w:rsidP="00FA0D37">
      <w:pPr>
        <w:pStyle w:val="PL"/>
      </w:pPr>
      <w:r w:rsidRPr="00FA0D37">
        <w:t xml:space="preserve">    condPSCellChangeParametersCommon-r16        </w:t>
      </w:r>
      <w:r w:rsidRPr="00FA0D37">
        <w:rPr>
          <w:color w:val="993366"/>
        </w:rPr>
        <w:t>SEQUENCE</w:t>
      </w:r>
      <w:r w:rsidRPr="00FA0D37">
        <w:t xml:space="preserve"> {</w:t>
      </w:r>
    </w:p>
    <w:p w14:paraId="050B6414" w14:textId="77777777" w:rsidR="00394471" w:rsidRPr="00FA0D37" w:rsidRDefault="00394471" w:rsidP="00FA0D37">
      <w:pPr>
        <w:pStyle w:val="PL"/>
      </w:pPr>
      <w:r w:rsidRPr="00FA0D37">
        <w:t xml:space="preserve">        condPSCellChangeFDD-TDD-r16                 </w:t>
      </w:r>
      <w:r w:rsidRPr="00FA0D37">
        <w:rPr>
          <w:color w:val="993366"/>
        </w:rPr>
        <w:t>ENUMERATED</w:t>
      </w:r>
      <w:r w:rsidRPr="00FA0D37">
        <w:t xml:space="preserve"> {supported}                  </w:t>
      </w:r>
      <w:r w:rsidRPr="00FA0D37">
        <w:rPr>
          <w:color w:val="993366"/>
        </w:rPr>
        <w:t>OPTIONAL</w:t>
      </w:r>
      <w:r w:rsidRPr="00FA0D37">
        <w:t>,</w:t>
      </w:r>
    </w:p>
    <w:p w14:paraId="210B06BE" w14:textId="77777777" w:rsidR="00394471" w:rsidRPr="00FA0D37" w:rsidRDefault="00394471" w:rsidP="00FA0D37">
      <w:pPr>
        <w:pStyle w:val="PL"/>
      </w:pPr>
      <w:r w:rsidRPr="00FA0D37">
        <w:t xml:space="preserve">        condPSCellChangeFR1-FR2-r16                 </w:t>
      </w:r>
      <w:r w:rsidRPr="00FA0D37">
        <w:rPr>
          <w:color w:val="993366"/>
        </w:rPr>
        <w:t>ENUMERATED</w:t>
      </w:r>
      <w:r w:rsidRPr="00FA0D37">
        <w:t xml:space="preserve"> {supported}                  </w:t>
      </w:r>
      <w:r w:rsidRPr="00FA0D37">
        <w:rPr>
          <w:color w:val="993366"/>
        </w:rPr>
        <w:t>OPTIONAL</w:t>
      </w:r>
    </w:p>
    <w:p w14:paraId="3F0E78B2" w14:textId="77777777" w:rsidR="00394471" w:rsidRPr="00FA0D37" w:rsidRDefault="00394471" w:rsidP="00FA0D37">
      <w:pPr>
        <w:pStyle w:val="PL"/>
      </w:pPr>
      <w:r w:rsidRPr="00FA0D37">
        <w:t xml:space="preserve">    }                                                                                       </w:t>
      </w:r>
      <w:r w:rsidRPr="00FA0D37">
        <w:rPr>
          <w:color w:val="993366"/>
        </w:rPr>
        <w:t>OPTIONAL</w:t>
      </w:r>
      <w:r w:rsidRPr="00FA0D37">
        <w:t>,</w:t>
      </w:r>
    </w:p>
    <w:p w14:paraId="29391E0E" w14:textId="77777777" w:rsidR="00394471" w:rsidRPr="00FA0D37" w:rsidRDefault="00394471" w:rsidP="00FA0D37">
      <w:pPr>
        <w:pStyle w:val="PL"/>
      </w:pPr>
      <w:r w:rsidRPr="00FA0D37">
        <w:t xml:space="preserve">    pscellT312-r16                              </w:t>
      </w:r>
      <w:r w:rsidRPr="00FA0D37">
        <w:rPr>
          <w:color w:val="993366"/>
        </w:rPr>
        <w:t>ENUMERATED</w:t>
      </w:r>
      <w:r w:rsidRPr="00FA0D37">
        <w:t xml:space="preserve"> {supported}                      </w:t>
      </w:r>
      <w:r w:rsidRPr="00FA0D37">
        <w:rPr>
          <w:color w:val="993366"/>
        </w:rPr>
        <w:t>OPTIONAL</w:t>
      </w:r>
    </w:p>
    <w:p w14:paraId="0F42CD50" w14:textId="77777777" w:rsidR="00394471" w:rsidRPr="00FA0D37" w:rsidRDefault="00394471" w:rsidP="00FA0D37">
      <w:pPr>
        <w:pStyle w:val="PL"/>
      </w:pPr>
      <w:r w:rsidRPr="00FA0D37">
        <w:t>}</w:t>
      </w:r>
    </w:p>
    <w:p w14:paraId="1D744488" w14:textId="77777777" w:rsidR="00022DF1" w:rsidRPr="00FA0D37" w:rsidRDefault="00022DF1" w:rsidP="00FA0D37">
      <w:pPr>
        <w:pStyle w:val="PL"/>
      </w:pPr>
    </w:p>
    <w:p w14:paraId="1075C60A" w14:textId="616C4237" w:rsidR="00022DF1" w:rsidRPr="00FA0D37" w:rsidRDefault="00022DF1" w:rsidP="00FA0D37">
      <w:pPr>
        <w:pStyle w:val="PL"/>
      </w:pPr>
      <w:r w:rsidRPr="00FA0D37">
        <w:t>MeasAndMobParametersMRDC-Common-v17</w:t>
      </w:r>
      <w:r w:rsidR="007A3EA5" w:rsidRPr="00FA0D37">
        <w:t>0</w:t>
      </w:r>
      <w:r w:rsidRPr="00FA0D37">
        <w:t xml:space="preserve">0 ::=   </w:t>
      </w:r>
      <w:r w:rsidRPr="00FA0D37">
        <w:rPr>
          <w:color w:val="993366"/>
        </w:rPr>
        <w:t>SEQUENCE</w:t>
      </w:r>
      <w:r w:rsidRPr="00FA0D37">
        <w:t xml:space="preserve"> {</w:t>
      </w:r>
    </w:p>
    <w:p w14:paraId="113B1CB1" w14:textId="3A1002BD" w:rsidR="00022DF1" w:rsidRPr="00FA0D37" w:rsidRDefault="00022DF1" w:rsidP="00FA0D37">
      <w:pPr>
        <w:pStyle w:val="PL"/>
      </w:pPr>
      <w:r w:rsidRPr="00FA0D37">
        <w:t xml:space="preserve">    condPSCellChangeParameters-r17              </w:t>
      </w:r>
      <w:r w:rsidRPr="00FA0D37">
        <w:rPr>
          <w:color w:val="993366"/>
        </w:rPr>
        <w:t>SEQUENCE</w:t>
      </w:r>
      <w:r w:rsidRPr="00FA0D37">
        <w:t xml:space="preserve"> {</w:t>
      </w:r>
    </w:p>
    <w:p w14:paraId="23C8687A" w14:textId="556ABB54" w:rsidR="00022DF1" w:rsidRPr="00FA0D37" w:rsidRDefault="00022DF1" w:rsidP="00FA0D37">
      <w:pPr>
        <w:pStyle w:val="PL"/>
      </w:pPr>
      <w:r w:rsidRPr="00FA0D37">
        <w:t xml:space="preserve">        inter-SN-condPSCellChangeFDD-TDD-NRDC-r17       </w:t>
      </w:r>
      <w:r w:rsidRPr="00FA0D37">
        <w:rPr>
          <w:color w:val="993366"/>
        </w:rPr>
        <w:t>ENUMERATED</w:t>
      </w:r>
      <w:r w:rsidRPr="00FA0D37">
        <w:t xml:space="preserve"> {supported}              </w:t>
      </w:r>
      <w:r w:rsidRPr="00FA0D37">
        <w:rPr>
          <w:color w:val="993366"/>
        </w:rPr>
        <w:t>OPTIONAL</w:t>
      </w:r>
      <w:r w:rsidRPr="00FA0D37">
        <w:t>,</w:t>
      </w:r>
    </w:p>
    <w:p w14:paraId="5A5CD04F" w14:textId="215DC81F" w:rsidR="00022DF1" w:rsidRPr="00FA0D37" w:rsidRDefault="00022DF1" w:rsidP="00FA0D37">
      <w:pPr>
        <w:pStyle w:val="PL"/>
      </w:pPr>
      <w:r w:rsidRPr="00FA0D37">
        <w:t xml:space="preserve">        inter-SN-condPSCellChangeFR1-FR2-NRDC-r17       </w:t>
      </w:r>
      <w:r w:rsidRPr="00FA0D37">
        <w:rPr>
          <w:color w:val="993366"/>
        </w:rPr>
        <w:t>ENUMERATED</w:t>
      </w:r>
      <w:r w:rsidRPr="00FA0D37">
        <w:t xml:space="preserve"> {supported}              </w:t>
      </w:r>
      <w:r w:rsidRPr="00FA0D37">
        <w:rPr>
          <w:color w:val="993366"/>
        </w:rPr>
        <w:t>OPTIONAL</w:t>
      </w:r>
      <w:r w:rsidRPr="00FA0D37">
        <w:t>,</w:t>
      </w:r>
    </w:p>
    <w:p w14:paraId="35B0452F" w14:textId="60CF9655" w:rsidR="00022DF1" w:rsidRPr="00FA0D37" w:rsidRDefault="00022DF1" w:rsidP="00FA0D37">
      <w:pPr>
        <w:pStyle w:val="PL"/>
      </w:pPr>
      <w:r w:rsidRPr="00FA0D37">
        <w:t xml:space="preserve">        inter-SN-condPSCellChangeFDD-TDD-ENDC-r17       </w:t>
      </w:r>
      <w:r w:rsidRPr="00FA0D37">
        <w:rPr>
          <w:color w:val="993366"/>
        </w:rPr>
        <w:t>ENUMERATED</w:t>
      </w:r>
      <w:r w:rsidRPr="00FA0D37">
        <w:t xml:space="preserve"> {supported}              </w:t>
      </w:r>
      <w:r w:rsidRPr="00FA0D37">
        <w:rPr>
          <w:color w:val="993366"/>
        </w:rPr>
        <w:t>OPTIONAL</w:t>
      </w:r>
      <w:r w:rsidRPr="00FA0D37">
        <w:t>,</w:t>
      </w:r>
    </w:p>
    <w:p w14:paraId="465AF7C9" w14:textId="3B2E4625" w:rsidR="00022DF1" w:rsidRPr="00FA0D37" w:rsidRDefault="00022DF1" w:rsidP="00FA0D37">
      <w:pPr>
        <w:pStyle w:val="PL"/>
      </w:pPr>
      <w:r w:rsidRPr="00FA0D37">
        <w:t xml:space="preserve">        inter-SN-condPSCellChangeFR1-FR2-ENDC-r17       </w:t>
      </w:r>
      <w:r w:rsidRPr="00FA0D37">
        <w:rPr>
          <w:color w:val="993366"/>
        </w:rPr>
        <w:t>ENUMERATED</w:t>
      </w:r>
      <w:r w:rsidRPr="00FA0D37">
        <w:t xml:space="preserve"> {supported}              </w:t>
      </w:r>
      <w:r w:rsidRPr="00FA0D37">
        <w:rPr>
          <w:color w:val="993366"/>
        </w:rPr>
        <w:t>OPTIONAL</w:t>
      </w:r>
      <w:r w:rsidRPr="00FA0D37">
        <w:t>,</w:t>
      </w:r>
    </w:p>
    <w:p w14:paraId="2AE0C073" w14:textId="70D58E83" w:rsidR="00022DF1" w:rsidRPr="00FA0D37" w:rsidRDefault="00022DF1" w:rsidP="00FA0D37">
      <w:pPr>
        <w:pStyle w:val="PL"/>
      </w:pPr>
      <w:r w:rsidRPr="00FA0D37">
        <w:lastRenderedPageBreak/>
        <w:t xml:space="preserve">        mn-InitiatedCondPSCellChange-FR1FDD-ENDC-r17    </w:t>
      </w:r>
      <w:r w:rsidRPr="00FA0D37">
        <w:rPr>
          <w:color w:val="993366"/>
        </w:rPr>
        <w:t>ENUMERATED</w:t>
      </w:r>
      <w:r w:rsidRPr="00FA0D37">
        <w:t xml:space="preserve"> {supported}              </w:t>
      </w:r>
      <w:r w:rsidRPr="00FA0D37">
        <w:rPr>
          <w:color w:val="993366"/>
        </w:rPr>
        <w:t>OPTIONAL</w:t>
      </w:r>
      <w:r w:rsidRPr="00FA0D37">
        <w:t>,</w:t>
      </w:r>
    </w:p>
    <w:p w14:paraId="0B43BADF" w14:textId="0B562F1D" w:rsidR="00022DF1" w:rsidRPr="00FA0D37" w:rsidRDefault="00022DF1" w:rsidP="00FA0D37">
      <w:pPr>
        <w:pStyle w:val="PL"/>
      </w:pPr>
      <w:r w:rsidRPr="00FA0D37">
        <w:t xml:space="preserve">        mn-InitiatedCondPSCellChange-FR1TDD-ENDC-r17    </w:t>
      </w:r>
      <w:r w:rsidRPr="00FA0D37">
        <w:rPr>
          <w:color w:val="993366"/>
        </w:rPr>
        <w:t>ENUMERATED</w:t>
      </w:r>
      <w:r w:rsidRPr="00FA0D37">
        <w:t xml:space="preserve"> {supported}              </w:t>
      </w:r>
      <w:r w:rsidRPr="00FA0D37">
        <w:rPr>
          <w:color w:val="993366"/>
        </w:rPr>
        <w:t>OPTIONAL</w:t>
      </w:r>
      <w:r w:rsidRPr="00FA0D37">
        <w:t>,</w:t>
      </w:r>
    </w:p>
    <w:p w14:paraId="4064AE3D" w14:textId="464D2283" w:rsidR="00022DF1" w:rsidRPr="00FA0D37" w:rsidRDefault="00022DF1" w:rsidP="00FA0D37">
      <w:pPr>
        <w:pStyle w:val="PL"/>
      </w:pPr>
      <w:r w:rsidRPr="00FA0D37">
        <w:t xml:space="preserve">        mn-InitiatedCondPSCellChange-FR2TDD-ENDC-r17    </w:t>
      </w:r>
      <w:r w:rsidRPr="00FA0D37">
        <w:rPr>
          <w:color w:val="993366"/>
        </w:rPr>
        <w:t>ENUMERATED</w:t>
      </w:r>
      <w:r w:rsidRPr="00FA0D37">
        <w:t xml:space="preserve"> {supported}              </w:t>
      </w:r>
      <w:r w:rsidRPr="00FA0D37">
        <w:rPr>
          <w:color w:val="993366"/>
        </w:rPr>
        <w:t>OPTIONAL</w:t>
      </w:r>
      <w:r w:rsidRPr="00FA0D37">
        <w:t>,</w:t>
      </w:r>
    </w:p>
    <w:p w14:paraId="717D40F6" w14:textId="13907B32" w:rsidR="00022DF1" w:rsidRPr="00FA0D37" w:rsidRDefault="00022DF1" w:rsidP="00FA0D37">
      <w:pPr>
        <w:pStyle w:val="PL"/>
      </w:pPr>
      <w:r w:rsidRPr="00FA0D37">
        <w:t xml:space="preserve">        sn-InitiatedCondPSCellChange-FR1FDD-ENDC-r17    </w:t>
      </w:r>
      <w:r w:rsidRPr="00FA0D37">
        <w:rPr>
          <w:color w:val="993366"/>
        </w:rPr>
        <w:t>ENUMERATED</w:t>
      </w:r>
      <w:r w:rsidRPr="00FA0D37">
        <w:t xml:space="preserve"> {supported}              </w:t>
      </w:r>
      <w:r w:rsidRPr="00FA0D37">
        <w:rPr>
          <w:color w:val="993366"/>
        </w:rPr>
        <w:t>OPTIONAL</w:t>
      </w:r>
      <w:r w:rsidRPr="00FA0D37">
        <w:t>,</w:t>
      </w:r>
    </w:p>
    <w:p w14:paraId="6D31FF4C" w14:textId="58B27104" w:rsidR="00022DF1" w:rsidRPr="00FA0D37" w:rsidRDefault="00022DF1" w:rsidP="00FA0D37">
      <w:pPr>
        <w:pStyle w:val="PL"/>
      </w:pPr>
      <w:r w:rsidRPr="00FA0D37">
        <w:t xml:space="preserve">        sn-InitiatedCondPSCellChange-FR1TDD-ENDC-r17    </w:t>
      </w:r>
      <w:r w:rsidRPr="00FA0D37">
        <w:rPr>
          <w:color w:val="993366"/>
        </w:rPr>
        <w:t>ENUMERATED</w:t>
      </w:r>
      <w:r w:rsidRPr="00FA0D37">
        <w:t xml:space="preserve"> {supported}              </w:t>
      </w:r>
      <w:r w:rsidRPr="00FA0D37">
        <w:rPr>
          <w:color w:val="993366"/>
        </w:rPr>
        <w:t>OPTIONAL</w:t>
      </w:r>
      <w:r w:rsidRPr="00FA0D37">
        <w:t>,</w:t>
      </w:r>
    </w:p>
    <w:p w14:paraId="321BF009" w14:textId="6C654816" w:rsidR="00022DF1" w:rsidRPr="00FA0D37" w:rsidRDefault="00022DF1" w:rsidP="00FA0D37">
      <w:pPr>
        <w:pStyle w:val="PL"/>
      </w:pPr>
      <w:r w:rsidRPr="00FA0D37">
        <w:t xml:space="preserve">        sn-InitiatedCondPSCellChange-FR2TDD-ENDC-r17    </w:t>
      </w:r>
      <w:r w:rsidRPr="00FA0D37">
        <w:rPr>
          <w:color w:val="993366"/>
        </w:rPr>
        <w:t>ENUMERATED</w:t>
      </w:r>
      <w:r w:rsidRPr="00FA0D37">
        <w:t xml:space="preserve"> {supported}              </w:t>
      </w:r>
      <w:r w:rsidRPr="00FA0D37">
        <w:rPr>
          <w:color w:val="993366"/>
        </w:rPr>
        <w:t>OPTIONAL</w:t>
      </w:r>
    </w:p>
    <w:p w14:paraId="74D4529F" w14:textId="248A95E2" w:rsidR="00022DF1" w:rsidRPr="00FA0D37" w:rsidRDefault="00022DF1" w:rsidP="00FA0D37">
      <w:pPr>
        <w:pStyle w:val="PL"/>
      </w:pPr>
      <w:r w:rsidRPr="00FA0D37">
        <w:t xml:space="preserve">    }                                                                                       </w:t>
      </w:r>
      <w:r w:rsidRPr="00FA0D37">
        <w:rPr>
          <w:color w:val="993366"/>
        </w:rPr>
        <w:t>OPTIONAL</w:t>
      </w:r>
      <w:r w:rsidR="00550975" w:rsidRPr="00FA0D37">
        <w:t>,</w:t>
      </w:r>
    </w:p>
    <w:p w14:paraId="10CAFCAE" w14:textId="10B145F3" w:rsidR="00550975" w:rsidRPr="00FA0D37" w:rsidRDefault="00550975" w:rsidP="00FA0D37">
      <w:pPr>
        <w:pStyle w:val="PL"/>
      </w:pPr>
      <w:r w:rsidRPr="00FA0D37">
        <w:t xml:space="preserve">    condHandoverWithSCG-ENDC-r17                        </w:t>
      </w:r>
      <w:r w:rsidRPr="00FA0D37">
        <w:rPr>
          <w:color w:val="993366"/>
        </w:rPr>
        <w:t>ENUMERATED</w:t>
      </w:r>
      <w:r w:rsidRPr="00FA0D37">
        <w:t xml:space="preserve"> {supported}              </w:t>
      </w:r>
      <w:r w:rsidRPr="00FA0D37">
        <w:rPr>
          <w:color w:val="993366"/>
        </w:rPr>
        <w:t>OPTIONAL</w:t>
      </w:r>
      <w:r w:rsidRPr="00FA0D37">
        <w:t>,</w:t>
      </w:r>
    </w:p>
    <w:p w14:paraId="1821DC91" w14:textId="66176AEF" w:rsidR="00550975" w:rsidRPr="00FA0D37" w:rsidRDefault="00550975" w:rsidP="00FA0D37">
      <w:pPr>
        <w:pStyle w:val="PL"/>
      </w:pPr>
      <w:r w:rsidRPr="00FA0D37">
        <w:t xml:space="preserve">    condHandoverWithSCG-NEDC-r17                        </w:t>
      </w:r>
      <w:r w:rsidRPr="00FA0D37">
        <w:rPr>
          <w:color w:val="993366"/>
        </w:rPr>
        <w:t>ENUMERATED</w:t>
      </w:r>
      <w:r w:rsidRPr="00FA0D37">
        <w:t xml:space="preserve"> {supported}              </w:t>
      </w:r>
      <w:r w:rsidRPr="00FA0D37">
        <w:rPr>
          <w:color w:val="993366"/>
        </w:rPr>
        <w:t>OPTIONAL</w:t>
      </w:r>
    </w:p>
    <w:p w14:paraId="10CB41D1" w14:textId="759CB6E8" w:rsidR="00394471" w:rsidRPr="00FA0D37" w:rsidRDefault="00022DF1" w:rsidP="00FA0D37">
      <w:pPr>
        <w:pStyle w:val="PL"/>
      </w:pPr>
      <w:r w:rsidRPr="00FA0D37">
        <w:t>}</w:t>
      </w:r>
    </w:p>
    <w:p w14:paraId="58711C55" w14:textId="77777777" w:rsidR="00CA01C8" w:rsidRPr="00FA0D37" w:rsidRDefault="00CA01C8" w:rsidP="00FA0D37">
      <w:pPr>
        <w:pStyle w:val="PL"/>
      </w:pPr>
    </w:p>
    <w:p w14:paraId="0658BB14" w14:textId="77777777" w:rsidR="00CA01C8" w:rsidRPr="00FA0D37" w:rsidRDefault="00CA01C8" w:rsidP="00FA0D37">
      <w:pPr>
        <w:pStyle w:val="PL"/>
      </w:pPr>
      <w:r w:rsidRPr="00FA0D37">
        <w:t xml:space="preserve">MeasAndMobParametersMRDC-Common-v1730 ::= </w:t>
      </w:r>
      <w:r w:rsidRPr="00FA0D37">
        <w:rPr>
          <w:color w:val="993366"/>
        </w:rPr>
        <w:t>SEQUENCE</w:t>
      </w:r>
      <w:r w:rsidRPr="00FA0D37">
        <w:t xml:space="preserve"> {</w:t>
      </w:r>
    </w:p>
    <w:p w14:paraId="150DABB6" w14:textId="77777777" w:rsidR="00CA01C8" w:rsidRPr="00FA0D37" w:rsidRDefault="00CA01C8" w:rsidP="00FA0D37">
      <w:pPr>
        <w:pStyle w:val="PL"/>
      </w:pPr>
      <w:r w:rsidRPr="00FA0D37">
        <w:t xml:space="preserve">    independentGapConfig-maxCC-r17          </w:t>
      </w:r>
      <w:r w:rsidRPr="00FA0D37">
        <w:rPr>
          <w:color w:val="993366"/>
        </w:rPr>
        <w:t>SEQUENCE</w:t>
      </w:r>
      <w:r w:rsidRPr="00FA0D37">
        <w:t xml:space="preserve"> {</w:t>
      </w:r>
    </w:p>
    <w:p w14:paraId="4881167F" w14:textId="1A3266C0" w:rsidR="00CA01C8" w:rsidRPr="00FA0D37" w:rsidRDefault="00CA01C8" w:rsidP="00FA0D37">
      <w:pPr>
        <w:pStyle w:val="PL"/>
      </w:pPr>
      <w:r w:rsidRPr="00FA0D37">
        <w:t xml:space="preserve">        fr1-Only</w:t>
      </w:r>
      <w:r w:rsidR="003354A6" w:rsidRPr="00FA0D37">
        <w:t>-r17</w:t>
      </w:r>
      <w:r w:rsidRPr="00FA0D37">
        <w:t xml:space="preserve">                            </w:t>
      </w:r>
      <w:r w:rsidRPr="00FA0D37">
        <w:rPr>
          <w:color w:val="993366"/>
        </w:rPr>
        <w:t>INTEGER</w:t>
      </w:r>
      <w:r w:rsidRPr="00FA0D37">
        <w:t xml:space="preserve"> (1..32)                             </w:t>
      </w:r>
      <w:r w:rsidRPr="00FA0D37">
        <w:rPr>
          <w:color w:val="993366"/>
        </w:rPr>
        <w:t>OPTIONAL</w:t>
      </w:r>
      <w:r w:rsidRPr="00FA0D37">
        <w:t>,</w:t>
      </w:r>
    </w:p>
    <w:p w14:paraId="1B48D484" w14:textId="1A9C8AFA" w:rsidR="00CA01C8" w:rsidRPr="00FA0D37" w:rsidRDefault="00CA01C8" w:rsidP="00FA0D37">
      <w:pPr>
        <w:pStyle w:val="PL"/>
      </w:pPr>
      <w:r w:rsidRPr="00FA0D37">
        <w:t xml:space="preserve">        fr2-Only</w:t>
      </w:r>
      <w:r w:rsidR="003354A6" w:rsidRPr="00FA0D37">
        <w:t>-r17</w:t>
      </w:r>
      <w:r w:rsidRPr="00FA0D37">
        <w:t xml:space="preserve">                            </w:t>
      </w:r>
      <w:r w:rsidRPr="00FA0D37">
        <w:rPr>
          <w:color w:val="993366"/>
        </w:rPr>
        <w:t>INTEGER</w:t>
      </w:r>
      <w:r w:rsidRPr="00FA0D37">
        <w:t xml:space="preserve"> (1..32)                             </w:t>
      </w:r>
      <w:r w:rsidRPr="00FA0D37">
        <w:rPr>
          <w:color w:val="993366"/>
        </w:rPr>
        <w:t>OPTIONAL</w:t>
      </w:r>
      <w:r w:rsidRPr="00FA0D37">
        <w:t>,</w:t>
      </w:r>
    </w:p>
    <w:p w14:paraId="540D7F47" w14:textId="5C507618" w:rsidR="00CA01C8" w:rsidRPr="00FA0D37" w:rsidRDefault="00CA01C8" w:rsidP="00FA0D37">
      <w:pPr>
        <w:pStyle w:val="PL"/>
      </w:pPr>
      <w:r w:rsidRPr="00FA0D37">
        <w:t xml:space="preserve">        fr1-AndFR2</w:t>
      </w:r>
      <w:r w:rsidR="003354A6" w:rsidRPr="00FA0D37">
        <w:t>-r17</w:t>
      </w:r>
      <w:r w:rsidRPr="00FA0D37">
        <w:t xml:space="preserve">                          </w:t>
      </w:r>
      <w:r w:rsidRPr="00FA0D37">
        <w:rPr>
          <w:color w:val="993366"/>
        </w:rPr>
        <w:t>INTEGER</w:t>
      </w:r>
      <w:r w:rsidRPr="00FA0D37">
        <w:t xml:space="preserve"> (1..32)                             </w:t>
      </w:r>
      <w:r w:rsidRPr="00FA0D37">
        <w:rPr>
          <w:color w:val="993366"/>
        </w:rPr>
        <w:t>OPTIONAL</w:t>
      </w:r>
    </w:p>
    <w:p w14:paraId="24D8B0E5" w14:textId="3DB7624B" w:rsidR="00CA01C8" w:rsidRPr="00FA0D37" w:rsidRDefault="00CA01C8" w:rsidP="00FA0D37">
      <w:pPr>
        <w:pStyle w:val="PL"/>
      </w:pPr>
      <w:r w:rsidRPr="00FA0D37">
        <w:t xml:space="preserve">    }</w:t>
      </w:r>
    </w:p>
    <w:p w14:paraId="2806FC76" w14:textId="77777777" w:rsidR="00CA01C8" w:rsidRPr="00FA0D37" w:rsidRDefault="00CA01C8" w:rsidP="00FA0D37">
      <w:pPr>
        <w:pStyle w:val="PL"/>
      </w:pPr>
      <w:r w:rsidRPr="00FA0D37">
        <w:t>}</w:t>
      </w:r>
    </w:p>
    <w:p w14:paraId="3645DE48" w14:textId="77777777" w:rsidR="00022DF1" w:rsidRPr="00FA0D37" w:rsidRDefault="00022DF1" w:rsidP="00FA0D37">
      <w:pPr>
        <w:pStyle w:val="PL"/>
      </w:pPr>
    </w:p>
    <w:p w14:paraId="60A8BAE7" w14:textId="77777777" w:rsidR="00394471" w:rsidRPr="00FA0D37" w:rsidRDefault="00394471" w:rsidP="00FA0D37">
      <w:pPr>
        <w:pStyle w:val="PL"/>
      </w:pPr>
      <w:r w:rsidRPr="00FA0D37">
        <w:t xml:space="preserve">MeasAndMobParametersMRDC-XDD-Diff ::=   </w:t>
      </w:r>
      <w:r w:rsidRPr="00FA0D37">
        <w:rPr>
          <w:color w:val="993366"/>
        </w:rPr>
        <w:t>SEQUENCE</w:t>
      </w:r>
      <w:r w:rsidRPr="00FA0D37">
        <w:t xml:space="preserve"> {</w:t>
      </w:r>
    </w:p>
    <w:p w14:paraId="441710CD" w14:textId="77777777" w:rsidR="00394471" w:rsidRPr="00FA0D37" w:rsidRDefault="00394471" w:rsidP="00FA0D37">
      <w:pPr>
        <w:pStyle w:val="PL"/>
      </w:pPr>
      <w:r w:rsidRPr="00FA0D37">
        <w:t xml:space="preserve">    sftd-MeasPSCell                         </w:t>
      </w:r>
      <w:r w:rsidRPr="00FA0D37">
        <w:rPr>
          <w:color w:val="993366"/>
        </w:rPr>
        <w:t>ENUMERATED</w:t>
      </w:r>
      <w:r w:rsidRPr="00FA0D37">
        <w:t xml:space="preserve"> {supported}                          </w:t>
      </w:r>
      <w:r w:rsidRPr="00FA0D37">
        <w:rPr>
          <w:color w:val="993366"/>
        </w:rPr>
        <w:t>OPTIONAL</w:t>
      </w:r>
      <w:r w:rsidRPr="00FA0D37">
        <w:t>,</w:t>
      </w:r>
    </w:p>
    <w:p w14:paraId="43EC5CFE" w14:textId="77777777" w:rsidR="00394471" w:rsidRPr="00FA0D37" w:rsidRDefault="00394471" w:rsidP="00FA0D37">
      <w:pPr>
        <w:pStyle w:val="PL"/>
      </w:pPr>
      <w:r w:rsidRPr="00FA0D37">
        <w:t xml:space="preserve">    sftd-MeasNR-Cell                        </w:t>
      </w:r>
      <w:r w:rsidRPr="00FA0D37">
        <w:rPr>
          <w:color w:val="993366"/>
        </w:rPr>
        <w:t>ENUMERATED</w:t>
      </w:r>
      <w:r w:rsidRPr="00FA0D37">
        <w:t xml:space="preserve"> {supported}                          </w:t>
      </w:r>
      <w:r w:rsidRPr="00FA0D37">
        <w:rPr>
          <w:color w:val="993366"/>
        </w:rPr>
        <w:t>OPTIONAL</w:t>
      </w:r>
    </w:p>
    <w:p w14:paraId="5DB851EA" w14:textId="77777777" w:rsidR="00394471" w:rsidRPr="00FA0D37" w:rsidRDefault="00394471" w:rsidP="00FA0D37">
      <w:pPr>
        <w:pStyle w:val="PL"/>
      </w:pPr>
      <w:r w:rsidRPr="00FA0D37">
        <w:t>}</w:t>
      </w:r>
    </w:p>
    <w:p w14:paraId="032B6F74" w14:textId="77777777" w:rsidR="00394471" w:rsidRPr="00FA0D37" w:rsidRDefault="00394471" w:rsidP="00FA0D37">
      <w:pPr>
        <w:pStyle w:val="PL"/>
      </w:pPr>
    </w:p>
    <w:p w14:paraId="345F68C4" w14:textId="77777777" w:rsidR="00394471" w:rsidRPr="00FA0D37" w:rsidRDefault="00394471" w:rsidP="00FA0D37">
      <w:pPr>
        <w:pStyle w:val="PL"/>
      </w:pPr>
      <w:r w:rsidRPr="00FA0D37">
        <w:t xml:space="preserve">MeasAndMobParametersMRDC-XDD-Diff-v1560 ::=    </w:t>
      </w:r>
      <w:r w:rsidRPr="00FA0D37">
        <w:rPr>
          <w:color w:val="993366"/>
        </w:rPr>
        <w:t>SEQUENCE</w:t>
      </w:r>
      <w:r w:rsidRPr="00FA0D37">
        <w:t xml:space="preserve"> {</w:t>
      </w:r>
    </w:p>
    <w:p w14:paraId="4B4306D0" w14:textId="77777777" w:rsidR="00394471" w:rsidRPr="00FA0D37" w:rsidRDefault="00394471" w:rsidP="00FA0D37">
      <w:pPr>
        <w:pStyle w:val="PL"/>
      </w:pPr>
      <w:r w:rsidRPr="00FA0D37">
        <w:t xml:space="preserve">    sftd-MeasPSCell-NEDC                           </w:t>
      </w:r>
      <w:r w:rsidRPr="00FA0D37">
        <w:rPr>
          <w:color w:val="993366"/>
        </w:rPr>
        <w:t>ENUMERATED</w:t>
      </w:r>
      <w:r w:rsidRPr="00FA0D37">
        <w:t xml:space="preserve"> {supported}                   </w:t>
      </w:r>
      <w:r w:rsidRPr="00FA0D37">
        <w:rPr>
          <w:color w:val="993366"/>
        </w:rPr>
        <w:t>OPTIONAL</w:t>
      </w:r>
    </w:p>
    <w:p w14:paraId="656941B6" w14:textId="77777777" w:rsidR="00394471" w:rsidRPr="00FA0D37" w:rsidRDefault="00394471" w:rsidP="00FA0D37">
      <w:pPr>
        <w:pStyle w:val="PL"/>
      </w:pPr>
      <w:r w:rsidRPr="00FA0D37">
        <w:t>}</w:t>
      </w:r>
    </w:p>
    <w:p w14:paraId="120ACF64" w14:textId="77777777" w:rsidR="00394471" w:rsidRPr="00FA0D37" w:rsidRDefault="00394471" w:rsidP="00FA0D37">
      <w:pPr>
        <w:pStyle w:val="PL"/>
      </w:pPr>
    </w:p>
    <w:p w14:paraId="43C2F4DD" w14:textId="77777777" w:rsidR="00394471" w:rsidRPr="00FA0D37" w:rsidRDefault="00394471" w:rsidP="00FA0D37">
      <w:pPr>
        <w:pStyle w:val="PL"/>
      </w:pPr>
      <w:r w:rsidRPr="00FA0D37">
        <w:t xml:space="preserve">MeasAndMobParametersMRDC-FRX-Diff ::=          </w:t>
      </w:r>
      <w:r w:rsidRPr="00FA0D37">
        <w:rPr>
          <w:color w:val="993366"/>
        </w:rPr>
        <w:t>SEQUENCE</w:t>
      </w:r>
      <w:r w:rsidRPr="00FA0D37">
        <w:t xml:space="preserve"> {</w:t>
      </w:r>
    </w:p>
    <w:p w14:paraId="29388B58" w14:textId="77777777" w:rsidR="00394471" w:rsidRPr="00FA0D37" w:rsidRDefault="00394471" w:rsidP="00FA0D37">
      <w:pPr>
        <w:pStyle w:val="PL"/>
      </w:pPr>
      <w:r w:rsidRPr="00FA0D37">
        <w:t xml:space="preserve">    simultaneousRxDataSSB-DiffNumerology           </w:t>
      </w:r>
      <w:r w:rsidRPr="00FA0D37">
        <w:rPr>
          <w:color w:val="993366"/>
        </w:rPr>
        <w:t>ENUMERATED</w:t>
      </w:r>
      <w:r w:rsidRPr="00FA0D37">
        <w:t xml:space="preserve"> {supported}                   </w:t>
      </w:r>
      <w:r w:rsidRPr="00FA0D37">
        <w:rPr>
          <w:color w:val="993366"/>
        </w:rPr>
        <w:t>OPTIONAL</w:t>
      </w:r>
    </w:p>
    <w:p w14:paraId="79466643" w14:textId="77777777" w:rsidR="00394471" w:rsidRPr="00FA0D37" w:rsidRDefault="00394471" w:rsidP="00FA0D37">
      <w:pPr>
        <w:pStyle w:val="PL"/>
      </w:pPr>
      <w:r w:rsidRPr="00FA0D37">
        <w:t>}</w:t>
      </w:r>
    </w:p>
    <w:p w14:paraId="1CCE1A7E" w14:textId="77777777" w:rsidR="00394471" w:rsidRPr="00FA0D37" w:rsidRDefault="00394471" w:rsidP="00FA0D37">
      <w:pPr>
        <w:pStyle w:val="PL"/>
      </w:pPr>
    </w:p>
    <w:p w14:paraId="29DB1AE2" w14:textId="77777777" w:rsidR="00394471" w:rsidRPr="00FA0D37" w:rsidRDefault="00394471" w:rsidP="00FA0D37">
      <w:pPr>
        <w:pStyle w:val="PL"/>
        <w:rPr>
          <w:color w:val="808080"/>
        </w:rPr>
      </w:pPr>
      <w:r w:rsidRPr="00FA0D37">
        <w:rPr>
          <w:color w:val="808080"/>
        </w:rPr>
        <w:t>-- TAG-MEASANDMOBPARAMETERSMRDC-STOP</w:t>
      </w:r>
    </w:p>
    <w:p w14:paraId="55A3120A" w14:textId="77777777" w:rsidR="00394471" w:rsidRPr="00FA0D37" w:rsidRDefault="00394471" w:rsidP="00FA0D37">
      <w:pPr>
        <w:pStyle w:val="PL"/>
        <w:rPr>
          <w:color w:val="808080"/>
        </w:rPr>
      </w:pPr>
      <w:r w:rsidRPr="00FA0D37">
        <w:rPr>
          <w:color w:val="808080"/>
        </w:rPr>
        <w:t>-- ASN1STOP</w:t>
      </w:r>
    </w:p>
    <w:p w14:paraId="6BF7DD7A" w14:textId="77777777" w:rsidR="00394471" w:rsidRPr="00FA0D37" w:rsidRDefault="00394471" w:rsidP="00394471"/>
    <w:p w14:paraId="1EF874FA" w14:textId="77777777" w:rsidR="00394471" w:rsidRPr="00FA0D37" w:rsidRDefault="00394471" w:rsidP="00394471">
      <w:pPr>
        <w:pStyle w:val="4"/>
        <w:rPr>
          <w:i/>
          <w:noProof/>
        </w:rPr>
      </w:pPr>
      <w:bookmarkStart w:id="1576" w:name="_Toc60777462"/>
      <w:bookmarkStart w:id="1577" w:name="_Toc146781564"/>
      <w:r w:rsidRPr="00FA0D37">
        <w:t>–</w:t>
      </w:r>
      <w:r w:rsidRPr="00FA0D37">
        <w:tab/>
      </w:r>
      <w:r w:rsidRPr="00FA0D37">
        <w:rPr>
          <w:i/>
          <w:noProof/>
        </w:rPr>
        <w:t>MIMO-Layers</w:t>
      </w:r>
      <w:bookmarkEnd w:id="1576"/>
      <w:bookmarkEnd w:id="1577"/>
    </w:p>
    <w:p w14:paraId="3CAC64C6" w14:textId="77777777" w:rsidR="00394471" w:rsidRPr="00FA0D37" w:rsidRDefault="00394471" w:rsidP="00394471">
      <w:r w:rsidRPr="00FA0D37">
        <w:t xml:space="preserve">The IE </w:t>
      </w:r>
      <w:r w:rsidRPr="00FA0D37">
        <w:rPr>
          <w:i/>
        </w:rPr>
        <w:t>MIMO-Layers</w:t>
      </w:r>
      <w:r w:rsidRPr="00FA0D37">
        <w:t xml:space="preserve"> is used to convey the number of supported MIMO layers.</w:t>
      </w:r>
    </w:p>
    <w:p w14:paraId="3CA2E47C" w14:textId="77777777" w:rsidR="00394471" w:rsidRPr="00FA0D37" w:rsidRDefault="00394471" w:rsidP="00394471">
      <w:pPr>
        <w:pStyle w:val="TH"/>
      </w:pPr>
      <w:r w:rsidRPr="00FA0D37">
        <w:rPr>
          <w:i/>
        </w:rPr>
        <w:t>MIMO-Layers</w:t>
      </w:r>
      <w:r w:rsidRPr="00FA0D37">
        <w:t xml:space="preserve"> information element</w:t>
      </w:r>
    </w:p>
    <w:p w14:paraId="502439BE" w14:textId="77777777" w:rsidR="00394471" w:rsidRPr="00FA0D37" w:rsidRDefault="00394471" w:rsidP="00FA0D37">
      <w:pPr>
        <w:pStyle w:val="PL"/>
        <w:rPr>
          <w:color w:val="808080"/>
        </w:rPr>
      </w:pPr>
      <w:r w:rsidRPr="00FA0D37">
        <w:rPr>
          <w:color w:val="808080"/>
        </w:rPr>
        <w:t>-- ASN1START</w:t>
      </w:r>
    </w:p>
    <w:p w14:paraId="18C81FEB" w14:textId="77777777" w:rsidR="00394471" w:rsidRPr="00FA0D37" w:rsidRDefault="00394471" w:rsidP="00FA0D37">
      <w:pPr>
        <w:pStyle w:val="PL"/>
        <w:rPr>
          <w:color w:val="808080"/>
        </w:rPr>
      </w:pPr>
      <w:r w:rsidRPr="00FA0D37">
        <w:rPr>
          <w:color w:val="808080"/>
        </w:rPr>
        <w:t>-- TAG-MIMO-LAYERS-START</w:t>
      </w:r>
    </w:p>
    <w:p w14:paraId="507D3171" w14:textId="77777777" w:rsidR="00394471" w:rsidRPr="00FA0D37" w:rsidRDefault="00394471" w:rsidP="00FA0D37">
      <w:pPr>
        <w:pStyle w:val="PL"/>
      </w:pPr>
    </w:p>
    <w:p w14:paraId="6DDEA94B" w14:textId="77777777" w:rsidR="00394471" w:rsidRPr="00FA0D37" w:rsidRDefault="00394471" w:rsidP="00FA0D37">
      <w:pPr>
        <w:pStyle w:val="PL"/>
      </w:pPr>
      <w:r w:rsidRPr="00FA0D37">
        <w:t xml:space="preserve">MIMO-LayersDL ::=   </w:t>
      </w:r>
      <w:r w:rsidRPr="00FA0D37">
        <w:rPr>
          <w:color w:val="993366"/>
        </w:rPr>
        <w:t>ENUMERATED</w:t>
      </w:r>
      <w:r w:rsidRPr="00FA0D37">
        <w:t xml:space="preserve"> {twoLayers, fourLayers, eightLayers}</w:t>
      </w:r>
    </w:p>
    <w:p w14:paraId="12119C02" w14:textId="77777777" w:rsidR="00394471" w:rsidRPr="00FA0D37" w:rsidRDefault="00394471" w:rsidP="00FA0D37">
      <w:pPr>
        <w:pStyle w:val="PL"/>
      </w:pPr>
    </w:p>
    <w:p w14:paraId="489AB2A5" w14:textId="77777777" w:rsidR="00394471" w:rsidRPr="00FA0D37" w:rsidRDefault="00394471" w:rsidP="00FA0D37">
      <w:pPr>
        <w:pStyle w:val="PL"/>
      </w:pPr>
      <w:r w:rsidRPr="00FA0D37">
        <w:t xml:space="preserve">MIMO-LayersUL ::=   </w:t>
      </w:r>
      <w:r w:rsidRPr="00FA0D37">
        <w:rPr>
          <w:color w:val="993366"/>
        </w:rPr>
        <w:t>ENUMERATED</w:t>
      </w:r>
      <w:r w:rsidRPr="00FA0D37">
        <w:t xml:space="preserve"> {oneLayer, twoLayers, fourLayers}</w:t>
      </w:r>
    </w:p>
    <w:p w14:paraId="71C44D70" w14:textId="77777777" w:rsidR="00394471" w:rsidRPr="00FA0D37" w:rsidRDefault="00394471" w:rsidP="00FA0D37">
      <w:pPr>
        <w:pStyle w:val="PL"/>
      </w:pPr>
    </w:p>
    <w:p w14:paraId="12DBB84D" w14:textId="77777777" w:rsidR="00394471" w:rsidRPr="00FA0D37" w:rsidRDefault="00394471" w:rsidP="00FA0D37">
      <w:pPr>
        <w:pStyle w:val="PL"/>
        <w:rPr>
          <w:color w:val="808080"/>
        </w:rPr>
      </w:pPr>
      <w:r w:rsidRPr="00FA0D37">
        <w:rPr>
          <w:color w:val="808080"/>
        </w:rPr>
        <w:t>-- TAG-MIMO-LAYERS-STOP</w:t>
      </w:r>
    </w:p>
    <w:p w14:paraId="123A2A22" w14:textId="77777777" w:rsidR="00394471" w:rsidRPr="00FA0D37" w:rsidRDefault="00394471" w:rsidP="00FA0D37">
      <w:pPr>
        <w:pStyle w:val="PL"/>
        <w:rPr>
          <w:color w:val="808080"/>
        </w:rPr>
      </w:pPr>
      <w:r w:rsidRPr="00FA0D37">
        <w:rPr>
          <w:color w:val="808080"/>
        </w:rPr>
        <w:lastRenderedPageBreak/>
        <w:t>-- ASN1STOP</w:t>
      </w:r>
    </w:p>
    <w:p w14:paraId="5C6F0AC1" w14:textId="77777777" w:rsidR="00394471" w:rsidRPr="00FA0D37" w:rsidRDefault="00394471" w:rsidP="00394471"/>
    <w:p w14:paraId="2AFC74FE" w14:textId="77777777" w:rsidR="00394471" w:rsidRPr="00FA0D37" w:rsidRDefault="00394471" w:rsidP="00394471">
      <w:pPr>
        <w:pStyle w:val="4"/>
      </w:pPr>
      <w:bookmarkStart w:id="1578" w:name="_Toc60777463"/>
      <w:bookmarkStart w:id="1579" w:name="_Toc146781565"/>
      <w:r w:rsidRPr="00FA0D37">
        <w:t>–</w:t>
      </w:r>
      <w:r w:rsidRPr="00FA0D37">
        <w:tab/>
      </w:r>
      <w:r w:rsidRPr="00FA0D37">
        <w:rPr>
          <w:i/>
        </w:rPr>
        <w:t>MIMO-ParametersPerBand</w:t>
      </w:r>
      <w:bookmarkEnd w:id="1578"/>
      <w:bookmarkEnd w:id="1579"/>
    </w:p>
    <w:p w14:paraId="3220F6D0" w14:textId="77777777" w:rsidR="00394471" w:rsidRPr="00FA0D37" w:rsidRDefault="00394471" w:rsidP="00394471">
      <w:r w:rsidRPr="00FA0D37">
        <w:t xml:space="preserve">The IE </w:t>
      </w:r>
      <w:r w:rsidRPr="00FA0D37">
        <w:rPr>
          <w:i/>
        </w:rPr>
        <w:t>MIMO-ParametersPerBand</w:t>
      </w:r>
      <w:r w:rsidRPr="00FA0D37">
        <w:t xml:space="preserve"> is used to convey MIMO related parameters specific for a certain band (not per feature set or band combination).</w:t>
      </w:r>
    </w:p>
    <w:p w14:paraId="35A9486E" w14:textId="77777777" w:rsidR="00394471" w:rsidRPr="00FA0D37" w:rsidRDefault="00394471" w:rsidP="00394471">
      <w:pPr>
        <w:pStyle w:val="TH"/>
      </w:pPr>
      <w:r w:rsidRPr="00FA0D37">
        <w:rPr>
          <w:i/>
        </w:rPr>
        <w:t>MIMO-ParametersPerBand</w:t>
      </w:r>
      <w:r w:rsidRPr="00FA0D37">
        <w:t xml:space="preserve"> information element</w:t>
      </w:r>
    </w:p>
    <w:p w14:paraId="3A4C66A6" w14:textId="77777777" w:rsidR="00394471" w:rsidRPr="00FA0D37" w:rsidRDefault="00394471" w:rsidP="00FA0D37">
      <w:pPr>
        <w:pStyle w:val="PL"/>
        <w:rPr>
          <w:color w:val="808080"/>
        </w:rPr>
      </w:pPr>
      <w:r w:rsidRPr="00FA0D37">
        <w:rPr>
          <w:color w:val="808080"/>
        </w:rPr>
        <w:t>-- ASN1START</w:t>
      </w:r>
    </w:p>
    <w:p w14:paraId="200ABB1C" w14:textId="77777777" w:rsidR="00394471" w:rsidRPr="00FA0D37" w:rsidRDefault="00394471" w:rsidP="00FA0D37">
      <w:pPr>
        <w:pStyle w:val="PL"/>
        <w:rPr>
          <w:color w:val="808080"/>
        </w:rPr>
      </w:pPr>
      <w:r w:rsidRPr="00FA0D37">
        <w:rPr>
          <w:color w:val="808080"/>
        </w:rPr>
        <w:t>-- TAG-MIMO-PARAMETERSPERBAND-START</w:t>
      </w:r>
    </w:p>
    <w:p w14:paraId="56B8DB9D" w14:textId="77777777" w:rsidR="00394471" w:rsidRPr="00FA0D37" w:rsidRDefault="00394471" w:rsidP="00FA0D37">
      <w:pPr>
        <w:pStyle w:val="PL"/>
      </w:pPr>
    </w:p>
    <w:p w14:paraId="0CCE09F4" w14:textId="77777777" w:rsidR="00394471" w:rsidRPr="00FA0D37" w:rsidRDefault="00394471" w:rsidP="00FA0D37">
      <w:pPr>
        <w:pStyle w:val="PL"/>
      </w:pPr>
      <w:r w:rsidRPr="00FA0D37">
        <w:t xml:space="preserve">MIMO-ParametersPerBand ::=          </w:t>
      </w:r>
      <w:r w:rsidRPr="00FA0D37">
        <w:rPr>
          <w:color w:val="993366"/>
        </w:rPr>
        <w:t>SEQUENCE</w:t>
      </w:r>
      <w:r w:rsidRPr="00FA0D37">
        <w:t xml:space="preserve"> {</w:t>
      </w:r>
    </w:p>
    <w:p w14:paraId="5760890A" w14:textId="77777777" w:rsidR="00394471" w:rsidRPr="00FA0D37" w:rsidRDefault="00394471" w:rsidP="00FA0D37">
      <w:pPr>
        <w:pStyle w:val="PL"/>
      </w:pPr>
      <w:r w:rsidRPr="00FA0D37">
        <w:t xml:space="preserve">    tci-StatePDSCH                      </w:t>
      </w:r>
      <w:r w:rsidRPr="00FA0D37">
        <w:rPr>
          <w:color w:val="993366"/>
        </w:rPr>
        <w:t>SEQUENCE</w:t>
      </w:r>
      <w:r w:rsidRPr="00FA0D37">
        <w:t xml:space="preserve"> {</w:t>
      </w:r>
    </w:p>
    <w:p w14:paraId="2D7635B3" w14:textId="4E734997" w:rsidR="00394471" w:rsidRPr="00FA0D37" w:rsidRDefault="00394471" w:rsidP="00FA0D37">
      <w:pPr>
        <w:pStyle w:val="PL"/>
      </w:pPr>
      <w:r w:rsidRPr="00FA0D37">
        <w:t xml:space="preserve">        maxNumberConfiguredTCI</w:t>
      </w:r>
      <w:r w:rsidR="005D46C6" w:rsidRPr="00FA0D37">
        <w:t>-S</w:t>
      </w:r>
      <w:r w:rsidRPr="00FA0D37">
        <w:t xml:space="preserve">tatesPerCC  </w:t>
      </w:r>
      <w:r w:rsidRPr="00FA0D37">
        <w:rPr>
          <w:color w:val="993366"/>
        </w:rPr>
        <w:t>ENUMERATED</w:t>
      </w:r>
      <w:r w:rsidRPr="00FA0D37">
        <w:t xml:space="preserve"> {n4, n8, n16, n32, n64, n128}                                   </w:t>
      </w:r>
      <w:r w:rsidRPr="00FA0D37">
        <w:rPr>
          <w:color w:val="993366"/>
        </w:rPr>
        <w:t>OPTIONAL</w:t>
      </w:r>
      <w:r w:rsidRPr="00FA0D37">
        <w:t>,</w:t>
      </w:r>
    </w:p>
    <w:p w14:paraId="2AF6F18A" w14:textId="77777777" w:rsidR="00394471" w:rsidRPr="00FA0D37" w:rsidRDefault="00394471" w:rsidP="00FA0D37">
      <w:pPr>
        <w:pStyle w:val="PL"/>
      </w:pPr>
      <w:r w:rsidRPr="00FA0D37">
        <w:t xml:space="preserve">        maxNumberActiveTCI-PerBWP           </w:t>
      </w:r>
      <w:r w:rsidRPr="00FA0D37">
        <w:rPr>
          <w:color w:val="993366"/>
        </w:rPr>
        <w:t>ENUMERATED</w:t>
      </w:r>
      <w:r w:rsidRPr="00FA0D37">
        <w:t xml:space="preserve"> {n1, n2, n4, n8}                                                </w:t>
      </w:r>
      <w:r w:rsidRPr="00FA0D37">
        <w:rPr>
          <w:color w:val="993366"/>
        </w:rPr>
        <w:t>OPTIONAL</w:t>
      </w:r>
    </w:p>
    <w:p w14:paraId="5E9D08FB" w14:textId="77777777" w:rsidR="00394471" w:rsidRPr="00FA0D37" w:rsidRDefault="00394471" w:rsidP="00FA0D37">
      <w:pPr>
        <w:pStyle w:val="PL"/>
      </w:pPr>
      <w:r w:rsidRPr="00FA0D37">
        <w:t xml:space="preserve">    }                                                                                                              </w:t>
      </w:r>
      <w:r w:rsidRPr="00FA0D37">
        <w:rPr>
          <w:color w:val="993366"/>
        </w:rPr>
        <w:t>OPTIONAL</w:t>
      </w:r>
      <w:r w:rsidRPr="00FA0D37">
        <w:t>,</w:t>
      </w:r>
    </w:p>
    <w:p w14:paraId="496E7AD2" w14:textId="77777777" w:rsidR="00394471" w:rsidRPr="00FA0D37" w:rsidRDefault="00394471" w:rsidP="00FA0D37">
      <w:pPr>
        <w:pStyle w:val="PL"/>
      </w:pPr>
      <w:r w:rsidRPr="00FA0D37">
        <w:t xml:space="preserve">    additionalActiveTCI-StatePDCCH              </w:t>
      </w:r>
      <w:r w:rsidRPr="00FA0D37">
        <w:rPr>
          <w:color w:val="993366"/>
        </w:rPr>
        <w:t>ENUMERATED</w:t>
      </w:r>
      <w:r w:rsidRPr="00FA0D37">
        <w:t xml:space="preserve"> {supported}                                             </w:t>
      </w:r>
      <w:r w:rsidRPr="00FA0D37">
        <w:rPr>
          <w:color w:val="993366"/>
        </w:rPr>
        <w:t>OPTIONAL</w:t>
      </w:r>
      <w:r w:rsidRPr="00FA0D37">
        <w:t>,</w:t>
      </w:r>
    </w:p>
    <w:p w14:paraId="2E6AAADF" w14:textId="77777777" w:rsidR="00394471" w:rsidRPr="00FA0D37" w:rsidRDefault="00394471" w:rsidP="00FA0D37">
      <w:pPr>
        <w:pStyle w:val="PL"/>
      </w:pPr>
      <w:r w:rsidRPr="00FA0D37">
        <w:t xml:space="preserve">    pusch-TransCoherence                        </w:t>
      </w:r>
      <w:r w:rsidRPr="00FA0D37">
        <w:rPr>
          <w:color w:val="993366"/>
        </w:rPr>
        <w:t>ENUMERATED</w:t>
      </w:r>
      <w:r w:rsidRPr="00FA0D37">
        <w:t xml:space="preserve"> {nonCoherent, partialCoherent, fullCoherent}            </w:t>
      </w:r>
      <w:r w:rsidRPr="00FA0D37">
        <w:rPr>
          <w:color w:val="993366"/>
        </w:rPr>
        <w:t>OPTIONAL</w:t>
      </w:r>
      <w:r w:rsidRPr="00FA0D37">
        <w:t>,</w:t>
      </w:r>
    </w:p>
    <w:p w14:paraId="4D2A0C05" w14:textId="77777777" w:rsidR="00394471" w:rsidRPr="00FA0D37" w:rsidRDefault="00394471" w:rsidP="00FA0D37">
      <w:pPr>
        <w:pStyle w:val="PL"/>
      </w:pPr>
      <w:r w:rsidRPr="00FA0D37">
        <w:t xml:space="preserve">    beamCorrespondenceWithoutUL-BeamSweeping    </w:t>
      </w:r>
      <w:r w:rsidRPr="00FA0D37">
        <w:rPr>
          <w:color w:val="993366"/>
        </w:rPr>
        <w:t>ENUMERATED</w:t>
      </w:r>
      <w:r w:rsidRPr="00FA0D37">
        <w:t xml:space="preserve"> {supported}                                             </w:t>
      </w:r>
      <w:r w:rsidRPr="00FA0D37">
        <w:rPr>
          <w:color w:val="993366"/>
        </w:rPr>
        <w:t>OPTIONAL</w:t>
      </w:r>
      <w:r w:rsidRPr="00FA0D37">
        <w:t>,</w:t>
      </w:r>
    </w:p>
    <w:p w14:paraId="611C01F1" w14:textId="77777777" w:rsidR="00394471" w:rsidRPr="00FA0D37" w:rsidRDefault="00394471" w:rsidP="00FA0D37">
      <w:pPr>
        <w:pStyle w:val="PL"/>
      </w:pPr>
      <w:r w:rsidRPr="00FA0D37">
        <w:t xml:space="preserve">    periodicBeamReport                          </w:t>
      </w:r>
      <w:r w:rsidRPr="00FA0D37">
        <w:rPr>
          <w:color w:val="993366"/>
        </w:rPr>
        <w:t>ENUMERATED</w:t>
      </w:r>
      <w:r w:rsidRPr="00FA0D37">
        <w:t xml:space="preserve"> {supported}                                             </w:t>
      </w:r>
      <w:r w:rsidRPr="00FA0D37">
        <w:rPr>
          <w:color w:val="993366"/>
        </w:rPr>
        <w:t>OPTIONAL</w:t>
      </w:r>
      <w:r w:rsidRPr="00FA0D37">
        <w:t>,</w:t>
      </w:r>
    </w:p>
    <w:p w14:paraId="0A836A7F" w14:textId="77777777" w:rsidR="00394471" w:rsidRPr="00FA0D37" w:rsidRDefault="00394471" w:rsidP="00FA0D37">
      <w:pPr>
        <w:pStyle w:val="PL"/>
      </w:pPr>
      <w:r w:rsidRPr="00FA0D37">
        <w:t xml:space="preserve">    aperiodicBeamReport                         </w:t>
      </w:r>
      <w:r w:rsidRPr="00FA0D37">
        <w:rPr>
          <w:color w:val="993366"/>
        </w:rPr>
        <w:t>ENUMERATED</w:t>
      </w:r>
      <w:r w:rsidRPr="00FA0D37">
        <w:t xml:space="preserve"> {supported}                                             </w:t>
      </w:r>
      <w:r w:rsidRPr="00FA0D37">
        <w:rPr>
          <w:color w:val="993366"/>
        </w:rPr>
        <w:t>OPTIONAL</w:t>
      </w:r>
      <w:r w:rsidRPr="00FA0D37">
        <w:t>,</w:t>
      </w:r>
    </w:p>
    <w:p w14:paraId="6E994BD9" w14:textId="77777777" w:rsidR="00394471" w:rsidRPr="00FA0D37" w:rsidRDefault="00394471" w:rsidP="00FA0D37">
      <w:pPr>
        <w:pStyle w:val="PL"/>
      </w:pPr>
      <w:r w:rsidRPr="00FA0D37">
        <w:t xml:space="preserve">    sp-BeamReportPUCCH                          </w:t>
      </w:r>
      <w:r w:rsidRPr="00FA0D37">
        <w:rPr>
          <w:color w:val="993366"/>
        </w:rPr>
        <w:t>ENUMERATED</w:t>
      </w:r>
      <w:r w:rsidRPr="00FA0D37">
        <w:t xml:space="preserve"> {supported}                                             </w:t>
      </w:r>
      <w:r w:rsidRPr="00FA0D37">
        <w:rPr>
          <w:color w:val="993366"/>
        </w:rPr>
        <w:t>OPTIONAL</w:t>
      </w:r>
      <w:r w:rsidRPr="00FA0D37">
        <w:t>,</w:t>
      </w:r>
    </w:p>
    <w:p w14:paraId="09FFA924" w14:textId="77777777" w:rsidR="00394471" w:rsidRPr="00FA0D37" w:rsidRDefault="00394471" w:rsidP="00FA0D37">
      <w:pPr>
        <w:pStyle w:val="PL"/>
      </w:pPr>
      <w:r w:rsidRPr="00FA0D37">
        <w:t xml:space="preserve">    sp-BeamReportPUSCH                          </w:t>
      </w:r>
      <w:r w:rsidRPr="00FA0D37">
        <w:rPr>
          <w:color w:val="993366"/>
        </w:rPr>
        <w:t>ENUMERATED</w:t>
      </w:r>
      <w:r w:rsidRPr="00FA0D37">
        <w:t xml:space="preserve"> {supported}                                             </w:t>
      </w:r>
      <w:r w:rsidRPr="00FA0D37">
        <w:rPr>
          <w:color w:val="993366"/>
        </w:rPr>
        <w:t>OPTIONAL</w:t>
      </w:r>
      <w:r w:rsidRPr="00FA0D37">
        <w:t>,</w:t>
      </w:r>
    </w:p>
    <w:p w14:paraId="30086D5F" w14:textId="77777777" w:rsidR="00394471" w:rsidRPr="00FA0D37" w:rsidRDefault="00394471" w:rsidP="00FA0D37">
      <w:pPr>
        <w:pStyle w:val="PL"/>
      </w:pPr>
      <w:r w:rsidRPr="00FA0D37">
        <w:t xml:space="preserve">    dummy1                                      DummyG                                                             </w:t>
      </w:r>
      <w:r w:rsidRPr="00FA0D37">
        <w:rPr>
          <w:color w:val="993366"/>
        </w:rPr>
        <w:t>OPTIONAL</w:t>
      </w:r>
      <w:r w:rsidRPr="00FA0D37">
        <w:t>,</w:t>
      </w:r>
    </w:p>
    <w:p w14:paraId="4E589E31" w14:textId="77777777" w:rsidR="00394471" w:rsidRPr="00FA0D37" w:rsidRDefault="00394471" w:rsidP="00FA0D37">
      <w:pPr>
        <w:pStyle w:val="PL"/>
      </w:pPr>
      <w:r w:rsidRPr="00FA0D37">
        <w:t xml:space="preserve">    maxNumberRxBeam                             </w:t>
      </w:r>
      <w:r w:rsidRPr="00FA0D37">
        <w:rPr>
          <w:color w:val="993366"/>
        </w:rPr>
        <w:t>INTEGER</w:t>
      </w:r>
      <w:r w:rsidRPr="00FA0D37">
        <w:t xml:space="preserve"> (2..8)                                                     </w:t>
      </w:r>
      <w:r w:rsidRPr="00FA0D37">
        <w:rPr>
          <w:color w:val="993366"/>
        </w:rPr>
        <w:t>OPTIONAL</w:t>
      </w:r>
      <w:r w:rsidRPr="00FA0D37">
        <w:t>,</w:t>
      </w:r>
    </w:p>
    <w:p w14:paraId="38B99EFC" w14:textId="77777777" w:rsidR="00394471" w:rsidRPr="00FA0D37" w:rsidRDefault="00394471" w:rsidP="00FA0D37">
      <w:pPr>
        <w:pStyle w:val="PL"/>
      </w:pPr>
      <w:r w:rsidRPr="00FA0D37">
        <w:t xml:space="preserve">    maxNumberRxTxBeamSwitchDL                   </w:t>
      </w:r>
      <w:r w:rsidRPr="00FA0D37">
        <w:rPr>
          <w:color w:val="993366"/>
        </w:rPr>
        <w:t>SEQUENCE</w:t>
      </w:r>
      <w:r w:rsidRPr="00FA0D37">
        <w:t xml:space="preserve"> {</w:t>
      </w:r>
    </w:p>
    <w:p w14:paraId="4414F393" w14:textId="77777777" w:rsidR="00394471" w:rsidRPr="00FA0D37" w:rsidRDefault="00394471" w:rsidP="00FA0D37">
      <w:pPr>
        <w:pStyle w:val="PL"/>
      </w:pPr>
      <w:r w:rsidRPr="00FA0D37">
        <w:t xml:space="preserve">        scs-15kHz                                   </w:t>
      </w:r>
      <w:r w:rsidRPr="00FA0D37">
        <w:rPr>
          <w:color w:val="993366"/>
        </w:rPr>
        <w:t>ENUMERATED</w:t>
      </w:r>
      <w:r w:rsidRPr="00FA0D37">
        <w:t xml:space="preserve"> {n4, n7, n14}                                           </w:t>
      </w:r>
      <w:r w:rsidRPr="00FA0D37">
        <w:rPr>
          <w:color w:val="993366"/>
        </w:rPr>
        <w:t>OPTIONAL</w:t>
      </w:r>
      <w:r w:rsidRPr="00FA0D37">
        <w:t>,</w:t>
      </w:r>
    </w:p>
    <w:p w14:paraId="72D139EC" w14:textId="77777777" w:rsidR="00394471" w:rsidRPr="00FA0D37" w:rsidRDefault="00394471" w:rsidP="00FA0D37">
      <w:pPr>
        <w:pStyle w:val="PL"/>
      </w:pPr>
      <w:r w:rsidRPr="00FA0D37">
        <w:t xml:space="preserve">        scs-30kHz                                   </w:t>
      </w:r>
      <w:r w:rsidRPr="00FA0D37">
        <w:rPr>
          <w:color w:val="993366"/>
        </w:rPr>
        <w:t>ENUMERATED</w:t>
      </w:r>
      <w:r w:rsidRPr="00FA0D37">
        <w:t xml:space="preserve"> {n4, n7, n14}                                           </w:t>
      </w:r>
      <w:r w:rsidRPr="00FA0D37">
        <w:rPr>
          <w:color w:val="993366"/>
        </w:rPr>
        <w:t>OPTIONAL</w:t>
      </w:r>
      <w:r w:rsidRPr="00FA0D37">
        <w:t>,</w:t>
      </w:r>
    </w:p>
    <w:p w14:paraId="5FA805AC" w14:textId="77777777" w:rsidR="00394471" w:rsidRPr="00FA0D37" w:rsidRDefault="00394471" w:rsidP="00FA0D37">
      <w:pPr>
        <w:pStyle w:val="PL"/>
      </w:pPr>
      <w:r w:rsidRPr="00FA0D37">
        <w:t xml:space="preserve">        scs-60kHz                                   </w:t>
      </w:r>
      <w:r w:rsidRPr="00FA0D37">
        <w:rPr>
          <w:color w:val="993366"/>
        </w:rPr>
        <w:t>ENUMERATED</w:t>
      </w:r>
      <w:r w:rsidRPr="00FA0D37">
        <w:t xml:space="preserve"> {n4, n7, n14}                                           </w:t>
      </w:r>
      <w:r w:rsidRPr="00FA0D37">
        <w:rPr>
          <w:color w:val="993366"/>
        </w:rPr>
        <w:t>OPTIONAL</w:t>
      </w:r>
      <w:r w:rsidRPr="00FA0D37">
        <w:t>,</w:t>
      </w:r>
    </w:p>
    <w:p w14:paraId="4BEE89E6" w14:textId="77777777" w:rsidR="00394471" w:rsidRPr="00FA0D37" w:rsidRDefault="00394471" w:rsidP="00FA0D37">
      <w:pPr>
        <w:pStyle w:val="PL"/>
      </w:pPr>
      <w:r w:rsidRPr="00FA0D37">
        <w:t xml:space="preserve">        scs-120kHz                                  </w:t>
      </w:r>
      <w:r w:rsidRPr="00FA0D37">
        <w:rPr>
          <w:color w:val="993366"/>
        </w:rPr>
        <w:t>ENUMERATED</w:t>
      </w:r>
      <w:r w:rsidRPr="00FA0D37">
        <w:t xml:space="preserve"> {n4, n7, n14}                                           </w:t>
      </w:r>
      <w:r w:rsidRPr="00FA0D37">
        <w:rPr>
          <w:color w:val="993366"/>
        </w:rPr>
        <w:t>OPTIONAL</w:t>
      </w:r>
      <w:r w:rsidRPr="00FA0D37">
        <w:t>,</w:t>
      </w:r>
    </w:p>
    <w:p w14:paraId="192D2468" w14:textId="77777777" w:rsidR="00394471" w:rsidRPr="00FA0D37" w:rsidRDefault="00394471" w:rsidP="00FA0D37">
      <w:pPr>
        <w:pStyle w:val="PL"/>
      </w:pPr>
      <w:r w:rsidRPr="00FA0D37">
        <w:t xml:space="preserve">        scs-240kHz                                  </w:t>
      </w:r>
      <w:r w:rsidRPr="00FA0D37">
        <w:rPr>
          <w:color w:val="993366"/>
        </w:rPr>
        <w:t>ENUMERATED</w:t>
      </w:r>
      <w:r w:rsidRPr="00FA0D37">
        <w:t xml:space="preserve"> {n4, n7, n14}                                           </w:t>
      </w:r>
      <w:r w:rsidRPr="00FA0D37">
        <w:rPr>
          <w:color w:val="993366"/>
        </w:rPr>
        <w:t>OPTIONAL</w:t>
      </w:r>
    </w:p>
    <w:p w14:paraId="73DA7A2D" w14:textId="77777777" w:rsidR="00394471" w:rsidRPr="00FA0D37" w:rsidRDefault="00394471" w:rsidP="00FA0D37">
      <w:pPr>
        <w:pStyle w:val="PL"/>
      </w:pPr>
      <w:r w:rsidRPr="00FA0D37">
        <w:t xml:space="preserve">    }                                                                                                              </w:t>
      </w:r>
      <w:r w:rsidRPr="00FA0D37">
        <w:rPr>
          <w:color w:val="993366"/>
        </w:rPr>
        <w:t>OPTIONAL</w:t>
      </w:r>
      <w:r w:rsidRPr="00FA0D37">
        <w:t>,</w:t>
      </w:r>
    </w:p>
    <w:p w14:paraId="1F8E0CBB" w14:textId="77777777" w:rsidR="00394471" w:rsidRPr="00FA0D37" w:rsidRDefault="00394471" w:rsidP="00FA0D37">
      <w:pPr>
        <w:pStyle w:val="PL"/>
      </w:pPr>
      <w:r w:rsidRPr="00FA0D37">
        <w:t xml:space="preserve">    maxNumberNonGroupBeamReporting              </w:t>
      </w:r>
      <w:r w:rsidRPr="00FA0D37">
        <w:rPr>
          <w:color w:val="993366"/>
        </w:rPr>
        <w:t>ENUMERATED</w:t>
      </w:r>
      <w:r w:rsidRPr="00FA0D37">
        <w:t xml:space="preserve"> {n1, n2, n4}                                            </w:t>
      </w:r>
      <w:r w:rsidRPr="00FA0D37">
        <w:rPr>
          <w:color w:val="993366"/>
        </w:rPr>
        <w:t>OPTIONAL</w:t>
      </w:r>
      <w:r w:rsidRPr="00FA0D37">
        <w:t>,</w:t>
      </w:r>
    </w:p>
    <w:p w14:paraId="278B297E" w14:textId="77777777" w:rsidR="00394471" w:rsidRPr="00FA0D37" w:rsidRDefault="00394471" w:rsidP="00FA0D37">
      <w:pPr>
        <w:pStyle w:val="PL"/>
      </w:pPr>
      <w:r w:rsidRPr="00FA0D37">
        <w:t xml:space="preserve">    groupBeamReporting                          </w:t>
      </w:r>
      <w:r w:rsidRPr="00FA0D37">
        <w:rPr>
          <w:color w:val="993366"/>
        </w:rPr>
        <w:t>ENUMERATED</w:t>
      </w:r>
      <w:r w:rsidRPr="00FA0D37">
        <w:t xml:space="preserve"> {supported}                                             </w:t>
      </w:r>
      <w:r w:rsidRPr="00FA0D37">
        <w:rPr>
          <w:color w:val="993366"/>
        </w:rPr>
        <w:t>OPTIONAL</w:t>
      </w:r>
      <w:r w:rsidRPr="00FA0D37">
        <w:t>,</w:t>
      </w:r>
    </w:p>
    <w:p w14:paraId="20C38C29" w14:textId="77777777" w:rsidR="00394471" w:rsidRPr="00FA0D37" w:rsidRDefault="00394471" w:rsidP="00FA0D37">
      <w:pPr>
        <w:pStyle w:val="PL"/>
      </w:pPr>
      <w:r w:rsidRPr="00FA0D37">
        <w:t xml:space="preserve">    uplinkBeamManagement                        </w:t>
      </w:r>
      <w:r w:rsidRPr="00FA0D37">
        <w:rPr>
          <w:color w:val="993366"/>
        </w:rPr>
        <w:t>SEQUENCE</w:t>
      </w:r>
      <w:r w:rsidRPr="00FA0D37">
        <w:t xml:space="preserve"> {</w:t>
      </w:r>
    </w:p>
    <w:p w14:paraId="08E4BC04" w14:textId="77777777" w:rsidR="00394471" w:rsidRPr="00FA0D37" w:rsidRDefault="00394471" w:rsidP="00FA0D37">
      <w:pPr>
        <w:pStyle w:val="PL"/>
      </w:pPr>
      <w:r w:rsidRPr="00FA0D37">
        <w:t xml:space="preserve">        maxNumberSRS-ResourcePerSet-BM              </w:t>
      </w:r>
      <w:r w:rsidRPr="00FA0D37">
        <w:rPr>
          <w:color w:val="993366"/>
        </w:rPr>
        <w:t>ENUMERATED</w:t>
      </w:r>
      <w:r w:rsidRPr="00FA0D37">
        <w:t xml:space="preserve"> {n2, n4, n8, n16},</w:t>
      </w:r>
    </w:p>
    <w:p w14:paraId="4A0DA4FE" w14:textId="77777777" w:rsidR="00394471" w:rsidRPr="00FA0D37" w:rsidRDefault="00394471" w:rsidP="00FA0D37">
      <w:pPr>
        <w:pStyle w:val="PL"/>
      </w:pPr>
      <w:r w:rsidRPr="00FA0D37">
        <w:t xml:space="preserve">        maxNumberSRS-ResourceSet                    </w:t>
      </w:r>
      <w:r w:rsidRPr="00FA0D37">
        <w:rPr>
          <w:color w:val="993366"/>
        </w:rPr>
        <w:t>INTEGER</w:t>
      </w:r>
      <w:r w:rsidRPr="00FA0D37">
        <w:t xml:space="preserve"> (1..8)</w:t>
      </w:r>
    </w:p>
    <w:p w14:paraId="087F7F51" w14:textId="77777777" w:rsidR="00394471" w:rsidRPr="00FA0D37" w:rsidRDefault="00394471" w:rsidP="00FA0D37">
      <w:pPr>
        <w:pStyle w:val="PL"/>
      </w:pPr>
      <w:r w:rsidRPr="00FA0D37">
        <w:t xml:space="preserve">    }                                                                                                              </w:t>
      </w:r>
      <w:r w:rsidRPr="00FA0D37">
        <w:rPr>
          <w:color w:val="993366"/>
        </w:rPr>
        <w:t>OPTIONAL</w:t>
      </w:r>
      <w:r w:rsidRPr="00FA0D37">
        <w:t>,</w:t>
      </w:r>
    </w:p>
    <w:p w14:paraId="1E43EE24" w14:textId="77777777" w:rsidR="00394471" w:rsidRPr="00FA0D37" w:rsidRDefault="00394471" w:rsidP="00FA0D37">
      <w:pPr>
        <w:pStyle w:val="PL"/>
      </w:pPr>
      <w:r w:rsidRPr="00FA0D37">
        <w:t xml:space="preserve">    maxNumberCSI-RS-BFD                 </w:t>
      </w:r>
      <w:r w:rsidRPr="00FA0D37">
        <w:rPr>
          <w:color w:val="993366"/>
        </w:rPr>
        <w:t>INTEGER</w:t>
      </w:r>
      <w:r w:rsidRPr="00FA0D37">
        <w:t xml:space="preserve"> (1..64)                                                            </w:t>
      </w:r>
      <w:r w:rsidRPr="00FA0D37">
        <w:rPr>
          <w:color w:val="993366"/>
        </w:rPr>
        <w:t>OPTIONAL</w:t>
      </w:r>
      <w:r w:rsidRPr="00FA0D37">
        <w:t>,</w:t>
      </w:r>
    </w:p>
    <w:p w14:paraId="2F1398E5" w14:textId="77777777" w:rsidR="00394471" w:rsidRPr="00FA0D37" w:rsidRDefault="00394471" w:rsidP="00FA0D37">
      <w:pPr>
        <w:pStyle w:val="PL"/>
      </w:pPr>
      <w:r w:rsidRPr="00FA0D37">
        <w:t xml:space="preserve">    maxNumberSSB-BFD                    </w:t>
      </w:r>
      <w:r w:rsidRPr="00FA0D37">
        <w:rPr>
          <w:color w:val="993366"/>
        </w:rPr>
        <w:t>INTEGER</w:t>
      </w:r>
      <w:r w:rsidRPr="00FA0D37">
        <w:t xml:space="preserve"> (1..64)                                                            </w:t>
      </w:r>
      <w:r w:rsidRPr="00FA0D37">
        <w:rPr>
          <w:color w:val="993366"/>
        </w:rPr>
        <w:t>OPTIONAL</w:t>
      </w:r>
      <w:r w:rsidRPr="00FA0D37">
        <w:t>,</w:t>
      </w:r>
    </w:p>
    <w:p w14:paraId="1DDD5D6A" w14:textId="77777777" w:rsidR="00394471" w:rsidRPr="00FA0D37" w:rsidRDefault="00394471" w:rsidP="00FA0D37">
      <w:pPr>
        <w:pStyle w:val="PL"/>
      </w:pPr>
      <w:r w:rsidRPr="00FA0D37">
        <w:t xml:space="preserve">    maxNumberCSI-RS-SSB-CBD             </w:t>
      </w:r>
      <w:r w:rsidRPr="00FA0D37">
        <w:rPr>
          <w:color w:val="993366"/>
        </w:rPr>
        <w:t>INTEGER</w:t>
      </w:r>
      <w:r w:rsidRPr="00FA0D37">
        <w:t xml:space="preserve"> (1..256)                                                           </w:t>
      </w:r>
      <w:r w:rsidRPr="00FA0D37">
        <w:rPr>
          <w:color w:val="993366"/>
        </w:rPr>
        <w:t>OPTIONAL</w:t>
      </w:r>
      <w:r w:rsidRPr="00FA0D37">
        <w:t>,</w:t>
      </w:r>
    </w:p>
    <w:p w14:paraId="50556547" w14:textId="77777777" w:rsidR="00394471" w:rsidRPr="00FA0D37" w:rsidRDefault="00394471" w:rsidP="00FA0D37">
      <w:pPr>
        <w:pStyle w:val="PL"/>
      </w:pPr>
      <w:r w:rsidRPr="00FA0D37">
        <w:t xml:space="preserve">    dummy2                              </w:t>
      </w:r>
      <w:r w:rsidRPr="00FA0D37">
        <w:rPr>
          <w:color w:val="993366"/>
        </w:rPr>
        <w:t>ENUMERATED</w:t>
      </w:r>
      <w:r w:rsidRPr="00FA0D37">
        <w:t xml:space="preserve"> {supported}                                                     </w:t>
      </w:r>
      <w:r w:rsidRPr="00FA0D37">
        <w:rPr>
          <w:color w:val="993366"/>
        </w:rPr>
        <w:t>OPTIONAL</w:t>
      </w:r>
      <w:r w:rsidRPr="00FA0D37">
        <w:t>,</w:t>
      </w:r>
    </w:p>
    <w:p w14:paraId="771B305A" w14:textId="77777777" w:rsidR="00394471" w:rsidRPr="00FA0D37" w:rsidRDefault="00394471" w:rsidP="00FA0D37">
      <w:pPr>
        <w:pStyle w:val="PL"/>
      </w:pPr>
      <w:r w:rsidRPr="00FA0D37">
        <w:t xml:space="preserve">    twoPortsPTRS-UL                     </w:t>
      </w:r>
      <w:r w:rsidRPr="00FA0D37">
        <w:rPr>
          <w:color w:val="993366"/>
        </w:rPr>
        <w:t>ENUMERATED</w:t>
      </w:r>
      <w:r w:rsidRPr="00FA0D37">
        <w:t xml:space="preserve"> {supported}                                                     </w:t>
      </w:r>
      <w:r w:rsidRPr="00FA0D37">
        <w:rPr>
          <w:color w:val="993366"/>
        </w:rPr>
        <w:t>OPTIONAL</w:t>
      </w:r>
      <w:r w:rsidRPr="00FA0D37">
        <w:t>,</w:t>
      </w:r>
    </w:p>
    <w:p w14:paraId="691AEB8C" w14:textId="77777777" w:rsidR="00394471" w:rsidRPr="00FA0D37" w:rsidRDefault="00394471" w:rsidP="00FA0D37">
      <w:pPr>
        <w:pStyle w:val="PL"/>
      </w:pPr>
      <w:r w:rsidRPr="00FA0D37">
        <w:t xml:space="preserve">    dummy5                              SRS-Resources                                                              </w:t>
      </w:r>
      <w:r w:rsidRPr="00FA0D37">
        <w:rPr>
          <w:color w:val="993366"/>
        </w:rPr>
        <w:t>OPTIONAL</w:t>
      </w:r>
      <w:r w:rsidRPr="00FA0D37">
        <w:t>,</w:t>
      </w:r>
    </w:p>
    <w:p w14:paraId="48CB47A1" w14:textId="77777777" w:rsidR="00394471" w:rsidRPr="00FA0D37" w:rsidRDefault="00394471" w:rsidP="00FA0D37">
      <w:pPr>
        <w:pStyle w:val="PL"/>
      </w:pPr>
      <w:r w:rsidRPr="00FA0D37">
        <w:t xml:space="preserve">    dummy3                              </w:t>
      </w:r>
      <w:r w:rsidRPr="00FA0D37">
        <w:rPr>
          <w:color w:val="993366"/>
        </w:rPr>
        <w:t>INTEGER</w:t>
      </w:r>
      <w:r w:rsidRPr="00FA0D37">
        <w:t xml:space="preserve"> (1..4)                                                             </w:t>
      </w:r>
      <w:r w:rsidRPr="00FA0D37">
        <w:rPr>
          <w:color w:val="993366"/>
        </w:rPr>
        <w:t>OPTIONAL</w:t>
      </w:r>
      <w:r w:rsidRPr="00FA0D37">
        <w:t>,</w:t>
      </w:r>
    </w:p>
    <w:p w14:paraId="3987C94D" w14:textId="77777777" w:rsidR="00394471" w:rsidRPr="00FA0D37" w:rsidRDefault="00394471" w:rsidP="00FA0D37">
      <w:pPr>
        <w:pStyle w:val="PL"/>
      </w:pPr>
      <w:r w:rsidRPr="00FA0D37">
        <w:t xml:space="preserve">    beamReportTiming                    </w:t>
      </w:r>
      <w:r w:rsidRPr="00FA0D37">
        <w:rPr>
          <w:color w:val="993366"/>
        </w:rPr>
        <w:t>SEQUENCE</w:t>
      </w:r>
      <w:r w:rsidRPr="00FA0D37">
        <w:t xml:space="preserve"> {</w:t>
      </w:r>
    </w:p>
    <w:p w14:paraId="29425256" w14:textId="77777777" w:rsidR="00394471" w:rsidRPr="00FA0D37" w:rsidRDefault="00394471" w:rsidP="00FA0D37">
      <w:pPr>
        <w:pStyle w:val="PL"/>
      </w:pPr>
      <w:r w:rsidRPr="00FA0D37">
        <w:t xml:space="preserve">        scs-15kHz                           </w:t>
      </w:r>
      <w:r w:rsidRPr="00FA0D37">
        <w:rPr>
          <w:color w:val="993366"/>
        </w:rPr>
        <w:t>ENUMERATED</w:t>
      </w:r>
      <w:r w:rsidRPr="00FA0D37">
        <w:t xml:space="preserve"> {sym2, sym4, sym8}                                              </w:t>
      </w:r>
      <w:r w:rsidRPr="00FA0D37">
        <w:rPr>
          <w:color w:val="993366"/>
        </w:rPr>
        <w:t>OPTIONAL</w:t>
      </w:r>
      <w:r w:rsidRPr="00FA0D37">
        <w:t>,</w:t>
      </w:r>
    </w:p>
    <w:p w14:paraId="705D6C08" w14:textId="77777777" w:rsidR="00394471" w:rsidRPr="00FA0D37" w:rsidRDefault="00394471" w:rsidP="00FA0D37">
      <w:pPr>
        <w:pStyle w:val="PL"/>
      </w:pPr>
      <w:r w:rsidRPr="00FA0D37">
        <w:t xml:space="preserve">        scs-30kHz                           </w:t>
      </w:r>
      <w:r w:rsidRPr="00FA0D37">
        <w:rPr>
          <w:color w:val="993366"/>
        </w:rPr>
        <w:t>ENUMERATED</w:t>
      </w:r>
      <w:r w:rsidRPr="00FA0D37">
        <w:t xml:space="preserve"> {sym4, sym8, sym14, sym28}                                      </w:t>
      </w:r>
      <w:r w:rsidRPr="00FA0D37">
        <w:rPr>
          <w:color w:val="993366"/>
        </w:rPr>
        <w:t>OPTIONAL</w:t>
      </w:r>
      <w:r w:rsidRPr="00FA0D37">
        <w:t>,</w:t>
      </w:r>
    </w:p>
    <w:p w14:paraId="4B0650FD" w14:textId="77777777" w:rsidR="00394471" w:rsidRPr="00FA0D37" w:rsidRDefault="00394471" w:rsidP="00FA0D37">
      <w:pPr>
        <w:pStyle w:val="PL"/>
      </w:pPr>
      <w:r w:rsidRPr="00FA0D37">
        <w:t xml:space="preserve">        scs-60kHz                           </w:t>
      </w:r>
      <w:r w:rsidRPr="00FA0D37">
        <w:rPr>
          <w:color w:val="993366"/>
        </w:rPr>
        <w:t>ENUMERATED</w:t>
      </w:r>
      <w:r w:rsidRPr="00FA0D37">
        <w:t xml:space="preserve"> {sym8, sym14, sym28}                                            </w:t>
      </w:r>
      <w:r w:rsidRPr="00FA0D37">
        <w:rPr>
          <w:color w:val="993366"/>
        </w:rPr>
        <w:t>OPTIONAL</w:t>
      </w:r>
      <w:r w:rsidRPr="00FA0D37">
        <w:t>,</w:t>
      </w:r>
    </w:p>
    <w:p w14:paraId="4C5DCAE8" w14:textId="77777777" w:rsidR="00394471" w:rsidRPr="00FA0D37" w:rsidRDefault="00394471" w:rsidP="00FA0D37">
      <w:pPr>
        <w:pStyle w:val="PL"/>
      </w:pPr>
      <w:r w:rsidRPr="00FA0D37">
        <w:lastRenderedPageBreak/>
        <w:t xml:space="preserve">        scs-120kHz                          </w:t>
      </w:r>
      <w:r w:rsidRPr="00FA0D37">
        <w:rPr>
          <w:color w:val="993366"/>
        </w:rPr>
        <w:t>ENUMERATED</w:t>
      </w:r>
      <w:r w:rsidRPr="00FA0D37">
        <w:t xml:space="preserve"> {sym14, sym28, sym56}                                           </w:t>
      </w:r>
      <w:r w:rsidRPr="00FA0D37">
        <w:rPr>
          <w:color w:val="993366"/>
        </w:rPr>
        <w:t>OPTIONAL</w:t>
      </w:r>
    </w:p>
    <w:p w14:paraId="453E0DAF" w14:textId="77777777" w:rsidR="00394471" w:rsidRPr="00FA0D37" w:rsidRDefault="00394471" w:rsidP="00FA0D37">
      <w:pPr>
        <w:pStyle w:val="PL"/>
      </w:pPr>
      <w:r w:rsidRPr="00FA0D37">
        <w:t xml:space="preserve">    }                                                                                                              </w:t>
      </w:r>
      <w:r w:rsidRPr="00FA0D37">
        <w:rPr>
          <w:color w:val="993366"/>
        </w:rPr>
        <w:t>OPTIONAL</w:t>
      </w:r>
      <w:r w:rsidRPr="00FA0D37">
        <w:t>,</w:t>
      </w:r>
    </w:p>
    <w:p w14:paraId="789FBF86" w14:textId="77777777" w:rsidR="00394471" w:rsidRPr="00FA0D37" w:rsidRDefault="00394471" w:rsidP="00FA0D37">
      <w:pPr>
        <w:pStyle w:val="PL"/>
      </w:pPr>
      <w:r w:rsidRPr="00FA0D37">
        <w:t xml:space="preserve">    ptrs-DensityRecommendationSetDL     </w:t>
      </w:r>
      <w:r w:rsidRPr="00FA0D37">
        <w:rPr>
          <w:color w:val="993366"/>
        </w:rPr>
        <w:t>SEQUENCE</w:t>
      </w:r>
      <w:r w:rsidRPr="00FA0D37">
        <w:t xml:space="preserve"> {</w:t>
      </w:r>
    </w:p>
    <w:p w14:paraId="2383666D" w14:textId="77777777" w:rsidR="00394471" w:rsidRPr="00FA0D37" w:rsidRDefault="00394471" w:rsidP="00FA0D37">
      <w:pPr>
        <w:pStyle w:val="PL"/>
      </w:pPr>
      <w:r w:rsidRPr="00FA0D37">
        <w:t xml:space="preserve">        scs-15kHz                           PTRS-DensityRecommendationDL                                               </w:t>
      </w:r>
      <w:r w:rsidRPr="00FA0D37">
        <w:rPr>
          <w:color w:val="993366"/>
        </w:rPr>
        <w:t>OPTIONAL</w:t>
      </w:r>
      <w:r w:rsidRPr="00FA0D37">
        <w:t>,</w:t>
      </w:r>
    </w:p>
    <w:p w14:paraId="02FD290F" w14:textId="77777777" w:rsidR="00394471" w:rsidRPr="00FA0D37" w:rsidRDefault="00394471" w:rsidP="00FA0D37">
      <w:pPr>
        <w:pStyle w:val="PL"/>
      </w:pPr>
      <w:r w:rsidRPr="00FA0D37">
        <w:t xml:space="preserve">        scs-30kHz                           PTRS-DensityRecommendationDL                                               </w:t>
      </w:r>
      <w:r w:rsidRPr="00FA0D37">
        <w:rPr>
          <w:color w:val="993366"/>
        </w:rPr>
        <w:t>OPTIONAL</w:t>
      </w:r>
      <w:r w:rsidRPr="00FA0D37">
        <w:t>,</w:t>
      </w:r>
    </w:p>
    <w:p w14:paraId="451CE689" w14:textId="77777777" w:rsidR="00394471" w:rsidRPr="00FA0D37" w:rsidRDefault="00394471" w:rsidP="00FA0D37">
      <w:pPr>
        <w:pStyle w:val="PL"/>
      </w:pPr>
      <w:r w:rsidRPr="00FA0D37">
        <w:t xml:space="preserve">        scs-60kHz                           PTRS-DensityRecommendationDL                                               </w:t>
      </w:r>
      <w:r w:rsidRPr="00FA0D37">
        <w:rPr>
          <w:color w:val="993366"/>
        </w:rPr>
        <w:t>OPTIONAL</w:t>
      </w:r>
      <w:r w:rsidRPr="00FA0D37">
        <w:t>,</w:t>
      </w:r>
    </w:p>
    <w:p w14:paraId="00C4F78F" w14:textId="77777777" w:rsidR="00394471" w:rsidRPr="00FA0D37" w:rsidRDefault="00394471" w:rsidP="00FA0D37">
      <w:pPr>
        <w:pStyle w:val="PL"/>
      </w:pPr>
      <w:r w:rsidRPr="00FA0D37">
        <w:t xml:space="preserve">        scs-120kHz                          PTRS-DensityRecommendationDL                                               </w:t>
      </w:r>
      <w:r w:rsidRPr="00FA0D37">
        <w:rPr>
          <w:color w:val="993366"/>
        </w:rPr>
        <w:t>OPTIONAL</w:t>
      </w:r>
    </w:p>
    <w:p w14:paraId="1F59CEA4" w14:textId="77777777" w:rsidR="00394471" w:rsidRPr="00FA0D37" w:rsidRDefault="00394471" w:rsidP="00FA0D37">
      <w:pPr>
        <w:pStyle w:val="PL"/>
      </w:pPr>
      <w:r w:rsidRPr="00FA0D37">
        <w:t xml:space="preserve">    }                                                                                                              </w:t>
      </w:r>
      <w:r w:rsidRPr="00FA0D37">
        <w:rPr>
          <w:color w:val="993366"/>
        </w:rPr>
        <w:t>OPTIONAL</w:t>
      </w:r>
      <w:r w:rsidRPr="00FA0D37">
        <w:t>,</w:t>
      </w:r>
    </w:p>
    <w:p w14:paraId="53592B11" w14:textId="77777777" w:rsidR="00394471" w:rsidRPr="00FA0D37" w:rsidRDefault="00394471" w:rsidP="00FA0D37">
      <w:pPr>
        <w:pStyle w:val="PL"/>
      </w:pPr>
      <w:r w:rsidRPr="00FA0D37">
        <w:t xml:space="preserve">    ptrs-DensityRecommendationSetUL     </w:t>
      </w:r>
      <w:r w:rsidRPr="00FA0D37">
        <w:rPr>
          <w:color w:val="993366"/>
        </w:rPr>
        <w:t>SEQUENCE</w:t>
      </w:r>
      <w:r w:rsidRPr="00FA0D37">
        <w:t xml:space="preserve"> {</w:t>
      </w:r>
    </w:p>
    <w:p w14:paraId="1ED60714" w14:textId="77777777" w:rsidR="00394471" w:rsidRPr="00FA0D37" w:rsidRDefault="00394471" w:rsidP="00FA0D37">
      <w:pPr>
        <w:pStyle w:val="PL"/>
      </w:pPr>
      <w:r w:rsidRPr="00FA0D37">
        <w:t xml:space="preserve">        scs-15kHz                           PTRS-DensityRecommendationUL                                               </w:t>
      </w:r>
      <w:r w:rsidRPr="00FA0D37">
        <w:rPr>
          <w:color w:val="993366"/>
        </w:rPr>
        <w:t>OPTIONAL</w:t>
      </w:r>
      <w:r w:rsidRPr="00FA0D37">
        <w:t>,</w:t>
      </w:r>
    </w:p>
    <w:p w14:paraId="13DA489C" w14:textId="77777777" w:rsidR="00394471" w:rsidRPr="00FA0D37" w:rsidRDefault="00394471" w:rsidP="00FA0D37">
      <w:pPr>
        <w:pStyle w:val="PL"/>
      </w:pPr>
      <w:r w:rsidRPr="00FA0D37">
        <w:t xml:space="preserve">        scs-30kHz                           PTRS-DensityRecommendationUL                                               </w:t>
      </w:r>
      <w:r w:rsidRPr="00FA0D37">
        <w:rPr>
          <w:color w:val="993366"/>
        </w:rPr>
        <w:t>OPTIONAL</w:t>
      </w:r>
      <w:r w:rsidRPr="00FA0D37">
        <w:t>,</w:t>
      </w:r>
    </w:p>
    <w:p w14:paraId="382040F2" w14:textId="77777777" w:rsidR="00394471" w:rsidRPr="00FA0D37" w:rsidRDefault="00394471" w:rsidP="00FA0D37">
      <w:pPr>
        <w:pStyle w:val="PL"/>
      </w:pPr>
      <w:r w:rsidRPr="00FA0D37">
        <w:t xml:space="preserve">        scs-60kHz                           PTRS-DensityRecommendationUL                                               </w:t>
      </w:r>
      <w:r w:rsidRPr="00FA0D37">
        <w:rPr>
          <w:color w:val="993366"/>
        </w:rPr>
        <w:t>OPTIONAL</w:t>
      </w:r>
      <w:r w:rsidRPr="00FA0D37">
        <w:t>,</w:t>
      </w:r>
    </w:p>
    <w:p w14:paraId="48684733" w14:textId="77777777" w:rsidR="00394471" w:rsidRPr="00FA0D37" w:rsidRDefault="00394471" w:rsidP="00FA0D37">
      <w:pPr>
        <w:pStyle w:val="PL"/>
      </w:pPr>
      <w:r w:rsidRPr="00FA0D37">
        <w:t xml:space="preserve">        scs-120kHz                          PTRS-DensityRecommendationUL                                               </w:t>
      </w:r>
      <w:r w:rsidRPr="00FA0D37">
        <w:rPr>
          <w:color w:val="993366"/>
        </w:rPr>
        <w:t>OPTIONAL</w:t>
      </w:r>
    </w:p>
    <w:p w14:paraId="63804DB6" w14:textId="77777777" w:rsidR="00394471" w:rsidRPr="00FA0D37" w:rsidRDefault="00394471" w:rsidP="00FA0D37">
      <w:pPr>
        <w:pStyle w:val="PL"/>
      </w:pPr>
      <w:r w:rsidRPr="00FA0D37">
        <w:t xml:space="preserve">    }                                                                                                              </w:t>
      </w:r>
      <w:r w:rsidRPr="00FA0D37">
        <w:rPr>
          <w:color w:val="993366"/>
        </w:rPr>
        <w:t>OPTIONAL</w:t>
      </w:r>
      <w:r w:rsidRPr="00FA0D37">
        <w:t>,</w:t>
      </w:r>
    </w:p>
    <w:p w14:paraId="4C322552" w14:textId="77777777" w:rsidR="00394471" w:rsidRPr="00FA0D37" w:rsidRDefault="00394471" w:rsidP="00FA0D37">
      <w:pPr>
        <w:pStyle w:val="PL"/>
      </w:pPr>
      <w:r w:rsidRPr="00FA0D37">
        <w:t xml:space="preserve">    dummy4                              DummyH                                                                     </w:t>
      </w:r>
      <w:r w:rsidRPr="00FA0D37">
        <w:rPr>
          <w:color w:val="993366"/>
        </w:rPr>
        <w:t>OPTIONAL</w:t>
      </w:r>
      <w:r w:rsidRPr="00FA0D37">
        <w:t>,</w:t>
      </w:r>
    </w:p>
    <w:p w14:paraId="3ACE8B56" w14:textId="77777777" w:rsidR="00394471" w:rsidRPr="00FA0D37" w:rsidRDefault="00394471" w:rsidP="00FA0D37">
      <w:pPr>
        <w:pStyle w:val="PL"/>
      </w:pPr>
      <w:r w:rsidRPr="00FA0D37">
        <w:t xml:space="preserve">    aperiodicTRS                        </w:t>
      </w:r>
      <w:r w:rsidRPr="00FA0D37">
        <w:rPr>
          <w:color w:val="993366"/>
        </w:rPr>
        <w:t>ENUMERATED</w:t>
      </w:r>
      <w:r w:rsidRPr="00FA0D37">
        <w:t xml:space="preserve"> {supported}                                                     </w:t>
      </w:r>
      <w:r w:rsidRPr="00FA0D37">
        <w:rPr>
          <w:color w:val="993366"/>
        </w:rPr>
        <w:t>OPTIONAL</w:t>
      </w:r>
      <w:r w:rsidRPr="00FA0D37">
        <w:t>,</w:t>
      </w:r>
    </w:p>
    <w:p w14:paraId="20C44633" w14:textId="77777777" w:rsidR="00394471" w:rsidRPr="00FA0D37" w:rsidRDefault="00394471" w:rsidP="00FA0D37">
      <w:pPr>
        <w:pStyle w:val="PL"/>
      </w:pPr>
      <w:r w:rsidRPr="00FA0D37">
        <w:t xml:space="preserve">    ...,</w:t>
      </w:r>
    </w:p>
    <w:p w14:paraId="24C5D1D8" w14:textId="77777777" w:rsidR="00394471" w:rsidRPr="00FA0D37" w:rsidRDefault="00394471" w:rsidP="00FA0D37">
      <w:pPr>
        <w:pStyle w:val="PL"/>
      </w:pPr>
      <w:r w:rsidRPr="00FA0D37">
        <w:t xml:space="preserve">    [[</w:t>
      </w:r>
    </w:p>
    <w:p w14:paraId="5410119A" w14:textId="77777777" w:rsidR="00394471" w:rsidRPr="00FA0D37" w:rsidRDefault="00394471" w:rsidP="00FA0D37">
      <w:pPr>
        <w:pStyle w:val="PL"/>
      </w:pPr>
      <w:r w:rsidRPr="00FA0D37">
        <w:t xml:space="preserve">    dummy6                              </w:t>
      </w:r>
      <w:r w:rsidRPr="00FA0D37">
        <w:rPr>
          <w:color w:val="993366"/>
        </w:rPr>
        <w:t>ENUMERATED</w:t>
      </w:r>
      <w:r w:rsidRPr="00FA0D37">
        <w:t xml:space="preserve"> {true}                                                          </w:t>
      </w:r>
      <w:r w:rsidRPr="00FA0D37">
        <w:rPr>
          <w:color w:val="993366"/>
        </w:rPr>
        <w:t>OPTIONAL</w:t>
      </w:r>
      <w:r w:rsidRPr="00FA0D37">
        <w:t>,</w:t>
      </w:r>
    </w:p>
    <w:p w14:paraId="07801B63" w14:textId="77777777" w:rsidR="00394471" w:rsidRPr="00FA0D37" w:rsidRDefault="00394471" w:rsidP="00FA0D37">
      <w:pPr>
        <w:pStyle w:val="PL"/>
      </w:pPr>
      <w:r w:rsidRPr="00FA0D37">
        <w:t xml:space="preserve">    beamManagementSSB-CSI-RS            BeamManagementSSB-CSI-RS                                                   </w:t>
      </w:r>
      <w:r w:rsidRPr="00FA0D37">
        <w:rPr>
          <w:color w:val="993366"/>
        </w:rPr>
        <w:t>OPTIONAL</w:t>
      </w:r>
      <w:r w:rsidRPr="00FA0D37">
        <w:t>,</w:t>
      </w:r>
    </w:p>
    <w:p w14:paraId="58A761A8" w14:textId="77777777" w:rsidR="00394471" w:rsidRPr="00FA0D37" w:rsidRDefault="00394471" w:rsidP="00FA0D37">
      <w:pPr>
        <w:pStyle w:val="PL"/>
      </w:pPr>
      <w:r w:rsidRPr="00FA0D37">
        <w:t xml:space="preserve">    beamSwitchTiming                    </w:t>
      </w:r>
      <w:r w:rsidRPr="00FA0D37">
        <w:rPr>
          <w:color w:val="993366"/>
        </w:rPr>
        <w:t>SEQUENCE</w:t>
      </w:r>
      <w:r w:rsidRPr="00FA0D37">
        <w:t xml:space="preserve"> {</w:t>
      </w:r>
    </w:p>
    <w:p w14:paraId="285A48D1" w14:textId="77777777" w:rsidR="00394471" w:rsidRPr="00FA0D37" w:rsidRDefault="00394471" w:rsidP="00FA0D37">
      <w:pPr>
        <w:pStyle w:val="PL"/>
      </w:pPr>
      <w:r w:rsidRPr="00FA0D37">
        <w:t xml:space="preserve">        scs-60kHz                           </w:t>
      </w:r>
      <w:r w:rsidRPr="00FA0D37">
        <w:rPr>
          <w:color w:val="993366"/>
        </w:rPr>
        <w:t>ENUMERATED</w:t>
      </w:r>
      <w:r w:rsidRPr="00FA0D37">
        <w:t xml:space="preserve"> {sym14, sym28, sym48, sym224, sym336}                           </w:t>
      </w:r>
      <w:r w:rsidRPr="00FA0D37">
        <w:rPr>
          <w:color w:val="993366"/>
        </w:rPr>
        <w:t>OPTIONAL</w:t>
      </w:r>
      <w:r w:rsidRPr="00FA0D37">
        <w:t>,</w:t>
      </w:r>
    </w:p>
    <w:p w14:paraId="2AA84B26" w14:textId="77777777" w:rsidR="00394471" w:rsidRPr="00FA0D37" w:rsidRDefault="00394471" w:rsidP="00FA0D37">
      <w:pPr>
        <w:pStyle w:val="PL"/>
      </w:pPr>
      <w:r w:rsidRPr="00FA0D37">
        <w:t xml:space="preserve">        scs-120kHz                          </w:t>
      </w:r>
      <w:r w:rsidRPr="00FA0D37">
        <w:rPr>
          <w:color w:val="993366"/>
        </w:rPr>
        <w:t>ENUMERATED</w:t>
      </w:r>
      <w:r w:rsidRPr="00FA0D37">
        <w:t xml:space="preserve"> {sym14, sym28, sym48, sym224, sym336}                           </w:t>
      </w:r>
      <w:r w:rsidRPr="00FA0D37">
        <w:rPr>
          <w:color w:val="993366"/>
        </w:rPr>
        <w:t>OPTIONAL</w:t>
      </w:r>
    </w:p>
    <w:p w14:paraId="1557C6C0" w14:textId="77777777" w:rsidR="00394471" w:rsidRPr="00FA0D37" w:rsidRDefault="00394471" w:rsidP="00FA0D37">
      <w:pPr>
        <w:pStyle w:val="PL"/>
      </w:pPr>
      <w:r w:rsidRPr="00FA0D37">
        <w:t xml:space="preserve">    }                                                                                                              </w:t>
      </w:r>
      <w:r w:rsidRPr="00FA0D37">
        <w:rPr>
          <w:color w:val="993366"/>
        </w:rPr>
        <w:t>OPTIONAL</w:t>
      </w:r>
      <w:r w:rsidRPr="00FA0D37">
        <w:t>,</w:t>
      </w:r>
    </w:p>
    <w:p w14:paraId="63707456" w14:textId="77777777" w:rsidR="00394471" w:rsidRPr="00FA0D37" w:rsidRDefault="00394471" w:rsidP="00FA0D37">
      <w:pPr>
        <w:pStyle w:val="PL"/>
      </w:pPr>
      <w:r w:rsidRPr="00FA0D37">
        <w:t xml:space="preserve">    codebookParameters                  CodebookParameters                                                         </w:t>
      </w:r>
      <w:r w:rsidRPr="00FA0D37">
        <w:rPr>
          <w:color w:val="993366"/>
        </w:rPr>
        <w:t>OPTIONAL</w:t>
      </w:r>
      <w:r w:rsidRPr="00FA0D37">
        <w:t>,</w:t>
      </w:r>
    </w:p>
    <w:p w14:paraId="6C2BF71C" w14:textId="77777777" w:rsidR="00394471" w:rsidRPr="00FA0D37" w:rsidRDefault="00394471" w:rsidP="00FA0D37">
      <w:pPr>
        <w:pStyle w:val="PL"/>
      </w:pPr>
      <w:r w:rsidRPr="00FA0D37">
        <w:t xml:space="preserve">    csi-RS-IM-ReceptionForFeedback      CSI-RS-IM-ReceptionForFeedback                                             </w:t>
      </w:r>
      <w:r w:rsidRPr="00FA0D37">
        <w:rPr>
          <w:color w:val="993366"/>
        </w:rPr>
        <w:t>OPTIONAL</w:t>
      </w:r>
      <w:r w:rsidRPr="00FA0D37">
        <w:t>,</w:t>
      </w:r>
    </w:p>
    <w:p w14:paraId="6DB3CE47" w14:textId="77777777" w:rsidR="00394471" w:rsidRPr="00FA0D37" w:rsidRDefault="00394471" w:rsidP="00FA0D37">
      <w:pPr>
        <w:pStyle w:val="PL"/>
      </w:pPr>
      <w:r w:rsidRPr="00FA0D37">
        <w:t xml:space="preserve">    csi-RS-ProcFrameworkForSRS          CSI-RS-ProcFrameworkForSRS                                                 </w:t>
      </w:r>
      <w:r w:rsidRPr="00FA0D37">
        <w:rPr>
          <w:color w:val="993366"/>
        </w:rPr>
        <w:t>OPTIONAL</w:t>
      </w:r>
      <w:r w:rsidRPr="00FA0D37">
        <w:t>,</w:t>
      </w:r>
    </w:p>
    <w:p w14:paraId="25FD6338" w14:textId="77777777" w:rsidR="00394471" w:rsidRPr="00FA0D37" w:rsidRDefault="00394471" w:rsidP="00FA0D37">
      <w:pPr>
        <w:pStyle w:val="PL"/>
      </w:pPr>
      <w:r w:rsidRPr="00FA0D37">
        <w:t xml:space="preserve">    csi-ReportFramework                 CSI-ReportFramework                                                        </w:t>
      </w:r>
      <w:r w:rsidRPr="00FA0D37">
        <w:rPr>
          <w:color w:val="993366"/>
        </w:rPr>
        <w:t>OPTIONAL</w:t>
      </w:r>
      <w:r w:rsidRPr="00FA0D37">
        <w:t>,</w:t>
      </w:r>
    </w:p>
    <w:p w14:paraId="04D424B4" w14:textId="77777777" w:rsidR="00394471" w:rsidRPr="00FA0D37" w:rsidRDefault="00394471" w:rsidP="00FA0D37">
      <w:pPr>
        <w:pStyle w:val="PL"/>
      </w:pPr>
      <w:r w:rsidRPr="00FA0D37">
        <w:t xml:space="preserve">    csi-RS-ForTracking                  CSI-RS-ForTracking                                                         </w:t>
      </w:r>
      <w:r w:rsidRPr="00FA0D37">
        <w:rPr>
          <w:color w:val="993366"/>
        </w:rPr>
        <w:t>OPTIONAL</w:t>
      </w:r>
      <w:r w:rsidRPr="00FA0D37">
        <w:t>,</w:t>
      </w:r>
    </w:p>
    <w:p w14:paraId="5990BA32" w14:textId="77777777" w:rsidR="00394471" w:rsidRPr="00FA0D37" w:rsidRDefault="00394471" w:rsidP="00FA0D37">
      <w:pPr>
        <w:pStyle w:val="PL"/>
      </w:pPr>
      <w:r w:rsidRPr="00FA0D37">
        <w:t xml:space="preserve">    srs-AssocCSI-RS                     </w:t>
      </w:r>
      <w:r w:rsidRPr="00FA0D37">
        <w:rPr>
          <w:color w:val="993366"/>
        </w:rPr>
        <w:t>SEQUENCE</w:t>
      </w:r>
      <w:r w:rsidRPr="00FA0D37">
        <w:t xml:space="preserve"> (</w:t>
      </w:r>
      <w:r w:rsidRPr="00FA0D37">
        <w:rPr>
          <w:color w:val="993366"/>
        </w:rPr>
        <w:t>SIZE</w:t>
      </w:r>
      <w:r w:rsidRPr="00FA0D37">
        <w:t xml:space="preserve"> (1.. maxNrofCSI-RS-Resources))</w:t>
      </w:r>
      <w:r w:rsidRPr="00FA0D37">
        <w:rPr>
          <w:color w:val="993366"/>
        </w:rPr>
        <w:t xml:space="preserve"> OF</w:t>
      </w:r>
      <w:r w:rsidRPr="00FA0D37">
        <w:t xml:space="preserve"> SupportedCSI-RS-Resource  </w:t>
      </w:r>
      <w:r w:rsidRPr="00FA0D37">
        <w:rPr>
          <w:color w:val="993366"/>
        </w:rPr>
        <w:t>OPTIONAL</w:t>
      </w:r>
      <w:r w:rsidRPr="00FA0D37">
        <w:t>,</w:t>
      </w:r>
    </w:p>
    <w:p w14:paraId="204401D5" w14:textId="77777777" w:rsidR="00394471" w:rsidRPr="00FA0D37" w:rsidRDefault="00394471" w:rsidP="00FA0D37">
      <w:pPr>
        <w:pStyle w:val="PL"/>
      </w:pPr>
      <w:r w:rsidRPr="00FA0D37">
        <w:t xml:space="preserve">    spatialRelations                    SpatialRelations                                                           </w:t>
      </w:r>
      <w:r w:rsidRPr="00FA0D37">
        <w:rPr>
          <w:color w:val="993366"/>
        </w:rPr>
        <w:t>OPTIONAL</w:t>
      </w:r>
    </w:p>
    <w:p w14:paraId="6C0710E8" w14:textId="77777777" w:rsidR="00394471" w:rsidRPr="00FA0D37" w:rsidRDefault="00394471" w:rsidP="00FA0D37">
      <w:pPr>
        <w:pStyle w:val="PL"/>
      </w:pPr>
      <w:r w:rsidRPr="00FA0D37">
        <w:t xml:space="preserve">    ]],</w:t>
      </w:r>
    </w:p>
    <w:p w14:paraId="66208DE3" w14:textId="77777777" w:rsidR="00394471" w:rsidRPr="00FA0D37" w:rsidRDefault="00394471" w:rsidP="00FA0D37">
      <w:pPr>
        <w:pStyle w:val="PL"/>
      </w:pPr>
      <w:r w:rsidRPr="00FA0D37">
        <w:t xml:space="preserve">    [[</w:t>
      </w:r>
    </w:p>
    <w:p w14:paraId="09F0362E" w14:textId="77777777" w:rsidR="00394471" w:rsidRPr="00FA0D37" w:rsidRDefault="00394471" w:rsidP="00FA0D37">
      <w:pPr>
        <w:pStyle w:val="PL"/>
        <w:rPr>
          <w:color w:val="808080"/>
        </w:rPr>
      </w:pPr>
      <w:r w:rsidRPr="00FA0D37">
        <w:t xml:space="preserve">    </w:t>
      </w:r>
      <w:r w:rsidRPr="00FA0D37">
        <w:rPr>
          <w:rFonts w:eastAsiaTheme="minorEastAsia"/>
          <w:color w:val="808080"/>
        </w:rPr>
        <w:t xml:space="preserve">-- R1 16-2b-0: </w:t>
      </w:r>
      <w:r w:rsidRPr="00FA0D37">
        <w:rPr>
          <w:rFonts w:eastAsia="Malgun Gothic"/>
          <w:color w:val="808080"/>
        </w:rPr>
        <w:t>Support of default QCL assumption with two TCI states</w:t>
      </w:r>
    </w:p>
    <w:p w14:paraId="5F5B27B9" w14:textId="77777777" w:rsidR="00394471" w:rsidRPr="00FA0D37" w:rsidRDefault="00394471" w:rsidP="00FA0D37">
      <w:pPr>
        <w:pStyle w:val="PL"/>
      </w:pPr>
      <w:r w:rsidRPr="00FA0D37">
        <w:t xml:space="preserve">    defaultQCL-TwoTCI-r16               </w:t>
      </w:r>
      <w:r w:rsidRPr="00FA0D37">
        <w:rPr>
          <w:color w:val="993366"/>
        </w:rPr>
        <w:t>ENUMERATED</w:t>
      </w:r>
      <w:r w:rsidRPr="00FA0D37">
        <w:t xml:space="preserve"> {supported}                                                     </w:t>
      </w:r>
      <w:r w:rsidRPr="00FA0D37">
        <w:rPr>
          <w:color w:val="993366"/>
        </w:rPr>
        <w:t>OPTIONAL</w:t>
      </w:r>
      <w:r w:rsidRPr="00FA0D37">
        <w:t>,</w:t>
      </w:r>
    </w:p>
    <w:p w14:paraId="470FDA12" w14:textId="77777777" w:rsidR="00394471" w:rsidRPr="00FA0D37" w:rsidRDefault="00394471" w:rsidP="00FA0D37">
      <w:pPr>
        <w:pStyle w:val="PL"/>
      </w:pPr>
      <w:r w:rsidRPr="00FA0D37">
        <w:t xml:space="preserve">    codebookParametersPerBand-r16       CodebookParameters-v1610                                                   </w:t>
      </w:r>
      <w:r w:rsidRPr="00FA0D37">
        <w:rPr>
          <w:color w:val="993366"/>
        </w:rPr>
        <w:t>OPTIONAL</w:t>
      </w:r>
      <w:r w:rsidRPr="00FA0D37">
        <w:t>,</w:t>
      </w:r>
    </w:p>
    <w:p w14:paraId="462DB3AA" w14:textId="77777777" w:rsidR="00394471" w:rsidRPr="00FA0D37" w:rsidRDefault="00394471" w:rsidP="00FA0D37">
      <w:pPr>
        <w:pStyle w:val="PL"/>
        <w:rPr>
          <w:color w:val="808080"/>
        </w:rPr>
      </w:pPr>
      <w:r w:rsidRPr="00FA0D37">
        <w:t xml:space="preserve">    </w:t>
      </w:r>
      <w:r w:rsidRPr="00FA0D37">
        <w:rPr>
          <w:color w:val="808080"/>
        </w:rPr>
        <w:t>-- R1 16-1b-3: Support of PUCCH resource groups per BWP for simultaneous spatial relation update</w:t>
      </w:r>
    </w:p>
    <w:p w14:paraId="62525367" w14:textId="77777777" w:rsidR="00394471" w:rsidRPr="00FA0D37" w:rsidRDefault="00394471" w:rsidP="00FA0D37">
      <w:pPr>
        <w:pStyle w:val="PL"/>
      </w:pPr>
      <w:r w:rsidRPr="00FA0D37">
        <w:t xml:space="preserve">    simul-SpatialRelationUpdatePUCCHResGroup-r16    </w:t>
      </w:r>
      <w:r w:rsidRPr="00FA0D37">
        <w:rPr>
          <w:color w:val="993366"/>
        </w:rPr>
        <w:t>ENUMERATED</w:t>
      </w:r>
      <w:r w:rsidRPr="00FA0D37">
        <w:t xml:space="preserve"> {supported}                                         </w:t>
      </w:r>
      <w:r w:rsidRPr="00FA0D37">
        <w:rPr>
          <w:color w:val="993366"/>
        </w:rPr>
        <w:t>OPTIONAL</w:t>
      </w:r>
      <w:r w:rsidRPr="00FA0D37">
        <w:t>,</w:t>
      </w:r>
    </w:p>
    <w:p w14:paraId="0B567DAC" w14:textId="77777777" w:rsidR="00394471" w:rsidRPr="00FA0D37" w:rsidRDefault="00394471" w:rsidP="00FA0D37">
      <w:pPr>
        <w:pStyle w:val="PL"/>
      </w:pPr>
    </w:p>
    <w:p w14:paraId="101FEE81" w14:textId="77777777" w:rsidR="00394471" w:rsidRPr="00FA0D37" w:rsidRDefault="00394471" w:rsidP="00FA0D37">
      <w:pPr>
        <w:pStyle w:val="PL"/>
        <w:rPr>
          <w:color w:val="808080"/>
        </w:rPr>
      </w:pPr>
      <w:r w:rsidRPr="00FA0D37">
        <w:t xml:space="preserve">    </w:t>
      </w:r>
      <w:r w:rsidRPr="00FA0D37">
        <w:rPr>
          <w:color w:val="808080"/>
        </w:rPr>
        <w:t>-- R1 16-1f: Maximum number of SCells configured for SCell beam failure recovery simultaneously</w:t>
      </w:r>
    </w:p>
    <w:p w14:paraId="340D7520" w14:textId="77777777" w:rsidR="00394471" w:rsidRPr="00FA0D37" w:rsidRDefault="00394471" w:rsidP="00FA0D37">
      <w:pPr>
        <w:pStyle w:val="PL"/>
      </w:pPr>
      <w:r w:rsidRPr="00FA0D37">
        <w:t xml:space="preserve">    maxNumberSCellBFR-r16                           </w:t>
      </w:r>
      <w:r w:rsidRPr="00FA0D37">
        <w:rPr>
          <w:color w:val="993366"/>
        </w:rPr>
        <w:t>ENUMERATED</w:t>
      </w:r>
      <w:r w:rsidRPr="00FA0D37">
        <w:t xml:space="preserve"> {n1,n2,n4,n8}                                       </w:t>
      </w:r>
      <w:r w:rsidRPr="00FA0D37">
        <w:rPr>
          <w:color w:val="993366"/>
        </w:rPr>
        <w:t>OPTIONAL</w:t>
      </w:r>
      <w:r w:rsidRPr="00FA0D37">
        <w:t>,</w:t>
      </w:r>
    </w:p>
    <w:p w14:paraId="03531130" w14:textId="77777777" w:rsidR="00394471" w:rsidRPr="00FA0D37" w:rsidRDefault="00394471" w:rsidP="00FA0D37">
      <w:pPr>
        <w:pStyle w:val="PL"/>
      </w:pPr>
    </w:p>
    <w:p w14:paraId="24C719A2" w14:textId="77777777" w:rsidR="00394471" w:rsidRPr="00FA0D37" w:rsidRDefault="00394471" w:rsidP="00FA0D37">
      <w:pPr>
        <w:pStyle w:val="PL"/>
        <w:rPr>
          <w:color w:val="808080"/>
        </w:rPr>
      </w:pPr>
      <w:r w:rsidRPr="00FA0D37">
        <w:t xml:space="preserve">    </w:t>
      </w:r>
      <w:r w:rsidRPr="00FA0D37">
        <w:rPr>
          <w:color w:val="808080"/>
        </w:rPr>
        <w:t>-- R1 16-2c: Supports simultaneous reception with different Type-D for FR2 only</w:t>
      </w:r>
    </w:p>
    <w:p w14:paraId="052F225E" w14:textId="77777777" w:rsidR="00394471" w:rsidRPr="00FA0D37" w:rsidRDefault="00394471" w:rsidP="00FA0D37">
      <w:pPr>
        <w:pStyle w:val="PL"/>
      </w:pPr>
      <w:r w:rsidRPr="00FA0D37">
        <w:t xml:space="preserve">    simultaneousReceptionDiffTypeD-r16              </w:t>
      </w:r>
      <w:r w:rsidRPr="00FA0D37">
        <w:rPr>
          <w:color w:val="993366"/>
        </w:rPr>
        <w:t>ENUMERATED</w:t>
      </w:r>
      <w:r w:rsidRPr="00FA0D37">
        <w:t xml:space="preserve"> {supported}                                         </w:t>
      </w:r>
      <w:r w:rsidRPr="00FA0D37">
        <w:rPr>
          <w:color w:val="993366"/>
        </w:rPr>
        <w:t>OPTIONAL</w:t>
      </w:r>
      <w:r w:rsidRPr="00FA0D37">
        <w:t>,</w:t>
      </w:r>
    </w:p>
    <w:p w14:paraId="7C461157" w14:textId="77777777" w:rsidR="00394471" w:rsidRPr="00FA0D37" w:rsidRDefault="00394471" w:rsidP="00FA0D37">
      <w:pPr>
        <w:pStyle w:val="PL"/>
        <w:rPr>
          <w:rFonts w:eastAsia="Malgun Gothic"/>
          <w:color w:val="808080"/>
        </w:rPr>
      </w:pPr>
      <w:r w:rsidRPr="00FA0D37">
        <w:t xml:space="preserve">    </w:t>
      </w:r>
      <w:r w:rsidRPr="00FA0D37">
        <w:rPr>
          <w:color w:val="808080"/>
        </w:rPr>
        <w:t>-- R1 16-1a-1:</w:t>
      </w:r>
      <w:r w:rsidRPr="00FA0D37">
        <w:rPr>
          <w:rFonts w:eastAsia="Malgun Gothic"/>
          <w:color w:val="808080"/>
        </w:rPr>
        <w:t xml:space="preserve"> SSB/CSI-RS for L1-SINR measurement</w:t>
      </w:r>
    </w:p>
    <w:p w14:paraId="2714225B" w14:textId="77777777" w:rsidR="00394471" w:rsidRPr="00FA0D37" w:rsidRDefault="00394471" w:rsidP="00FA0D37">
      <w:pPr>
        <w:pStyle w:val="PL"/>
      </w:pPr>
      <w:r w:rsidRPr="00FA0D37">
        <w:t xml:space="preserve">    ssb-csirs-SINR-measurement-r16      </w:t>
      </w:r>
      <w:r w:rsidRPr="00FA0D37">
        <w:rPr>
          <w:color w:val="993366"/>
        </w:rPr>
        <w:t>SEQUENCE</w:t>
      </w:r>
      <w:r w:rsidRPr="00FA0D37">
        <w:t xml:space="preserve"> {</w:t>
      </w:r>
    </w:p>
    <w:p w14:paraId="4A76B854" w14:textId="77777777" w:rsidR="00394471" w:rsidRPr="00FA0D37" w:rsidRDefault="00394471" w:rsidP="00FA0D37">
      <w:pPr>
        <w:pStyle w:val="PL"/>
      </w:pPr>
      <w:r w:rsidRPr="00FA0D37">
        <w:t xml:space="preserve">        maxNumberSSB-CSIRS-OneTx-CMR-r16    </w:t>
      </w:r>
      <w:r w:rsidRPr="00FA0D37">
        <w:rPr>
          <w:color w:val="993366"/>
        </w:rPr>
        <w:t>ENUMERATED</w:t>
      </w:r>
      <w:r w:rsidRPr="00FA0D37">
        <w:t xml:space="preserve"> {n8, n16, n32, n64},</w:t>
      </w:r>
    </w:p>
    <w:p w14:paraId="478A3BFE" w14:textId="77777777" w:rsidR="00394471" w:rsidRPr="00FA0D37" w:rsidRDefault="00394471" w:rsidP="00FA0D37">
      <w:pPr>
        <w:pStyle w:val="PL"/>
      </w:pPr>
      <w:r w:rsidRPr="00FA0D37">
        <w:t xml:space="preserve">        maxNumberCSI-IM-NZP-IMR-res-r16     </w:t>
      </w:r>
      <w:r w:rsidRPr="00FA0D37">
        <w:rPr>
          <w:color w:val="993366"/>
        </w:rPr>
        <w:t>ENUMERATED</w:t>
      </w:r>
      <w:r w:rsidRPr="00FA0D37">
        <w:t xml:space="preserve"> {n8, n16, n32, n64},</w:t>
      </w:r>
    </w:p>
    <w:p w14:paraId="1D2C5212" w14:textId="77777777" w:rsidR="00394471" w:rsidRPr="00FA0D37" w:rsidRDefault="00394471" w:rsidP="00FA0D37">
      <w:pPr>
        <w:pStyle w:val="PL"/>
      </w:pPr>
      <w:r w:rsidRPr="00FA0D37">
        <w:t xml:space="preserve">        maxNumberCSIRS-2Tx-res-r16          </w:t>
      </w:r>
      <w:r w:rsidRPr="00FA0D37">
        <w:rPr>
          <w:color w:val="993366"/>
        </w:rPr>
        <w:t>ENUMERATED</w:t>
      </w:r>
      <w:r w:rsidRPr="00FA0D37">
        <w:t xml:space="preserve"> {n0, n4, n8, n16, n32, n64},</w:t>
      </w:r>
    </w:p>
    <w:p w14:paraId="48554B5D" w14:textId="77777777" w:rsidR="00394471" w:rsidRPr="00FA0D37" w:rsidRDefault="00394471" w:rsidP="00FA0D37">
      <w:pPr>
        <w:pStyle w:val="PL"/>
      </w:pPr>
      <w:r w:rsidRPr="00FA0D37">
        <w:t xml:space="preserve">        maxNumberSSB-CSIRS-res-r16          </w:t>
      </w:r>
      <w:r w:rsidRPr="00FA0D37">
        <w:rPr>
          <w:color w:val="993366"/>
        </w:rPr>
        <w:t>ENUMERATED</w:t>
      </w:r>
      <w:r w:rsidRPr="00FA0D37">
        <w:t xml:space="preserve"> {n8, n16, n32, n64, n128},</w:t>
      </w:r>
    </w:p>
    <w:p w14:paraId="0B390BED" w14:textId="77777777" w:rsidR="00394471" w:rsidRPr="00FA0D37" w:rsidRDefault="00394471" w:rsidP="00FA0D37">
      <w:pPr>
        <w:pStyle w:val="PL"/>
      </w:pPr>
      <w:r w:rsidRPr="00FA0D37">
        <w:t xml:space="preserve">        maxNumberCSI-IM-NZP-IMR-res-mem-r16 </w:t>
      </w:r>
      <w:r w:rsidRPr="00FA0D37">
        <w:rPr>
          <w:color w:val="993366"/>
        </w:rPr>
        <w:t>ENUMERATED</w:t>
      </w:r>
      <w:r w:rsidRPr="00FA0D37">
        <w:t xml:space="preserve"> {n8, n16, n32, n64, n128},</w:t>
      </w:r>
    </w:p>
    <w:p w14:paraId="268B2E1C" w14:textId="77777777" w:rsidR="00394471" w:rsidRPr="00FA0D37" w:rsidRDefault="00394471" w:rsidP="00FA0D37">
      <w:pPr>
        <w:pStyle w:val="PL"/>
      </w:pPr>
      <w:r w:rsidRPr="00FA0D37">
        <w:lastRenderedPageBreak/>
        <w:t xml:space="preserve">        supportedCSI-RS-Density-CMR-r16     </w:t>
      </w:r>
      <w:r w:rsidRPr="00FA0D37">
        <w:rPr>
          <w:color w:val="993366"/>
        </w:rPr>
        <w:t>ENUMERATED</w:t>
      </w:r>
      <w:r w:rsidRPr="00FA0D37">
        <w:t xml:space="preserve"> {one, three, oneAndThree},</w:t>
      </w:r>
    </w:p>
    <w:p w14:paraId="4474A5B0" w14:textId="77777777" w:rsidR="00394471" w:rsidRPr="00FA0D37" w:rsidRDefault="00394471" w:rsidP="00FA0D37">
      <w:pPr>
        <w:pStyle w:val="PL"/>
      </w:pPr>
      <w:r w:rsidRPr="00FA0D37">
        <w:t xml:space="preserve">        maxNumberAperiodicCSI-RS-Res-r16    </w:t>
      </w:r>
      <w:r w:rsidRPr="00FA0D37">
        <w:rPr>
          <w:color w:val="993366"/>
        </w:rPr>
        <w:t>ENUMERATED</w:t>
      </w:r>
      <w:r w:rsidRPr="00FA0D37">
        <w:t xml:space="preserve"> {n2, n4, n8, n16, n32, n64},</w:t>
      </w:r>
    </w:p>
    <w:p w14:paraId="4A052FA6" w14:textId="2E63B196" w:rsidR="00394471" w:rsidRPr="00FA0D37" w:rsidRDefault="00394471" w:rsidP="00FA0D37">
      <w:pPr>
        <w:pStyle w:val="PL"/>
      </w:pPr>
      <w:r w:rsidRPr="00FA0D37">
        <w:t xml:space="preserve">        supportedSI</w:t>
      </w:r>
      <w:r w:rsidR="00142A9B" w:rsidRPr="00FA0D37">
        <w:t>N</w:t>
      </w:r>
      <w:r w:rsidRPr="00FA0D37">
        <w:t xml:space="preserve">R-meas-r16              </w:t>
      </w:r>
      <w:r w:rsidRPr="00FA0D37">
        <w:rPr>
          <w:color w:val="993366"/>
        </w:rPr>
        <w:t>ENUMERATED</w:t>
      </w:r>
      <w:r w:rsidRPr="00FA0D37">
        <w:t xml:space="preserve"> {ssbWithCSI-IM, ssbWithNZP-IMR, csirsWithNZP-IMR, csi-RSWithoutIMR}  </w:t>
      </w:r>
      <w:r w:rsidRPr="00FA0D37">
        <w:rPr>
          <w:color w:val="993366"/>
        </w:rPr>
        <w:t>OPTIONAL</w:t>
      </w:r>
    </w:p>
    <w:p w14:paraId="4401BD8F" w14:textId="77777777" w:rsidR="00394471" w:rsidRPr="00FA0D37" w:rsidRDefault="00394471" w:rsidP="00FA0D37">
      <w:pPr>
        <w:pStyle w:val="PL"/>
      </w:pPr>
      <w:r w:rsidRPr="00FA0D37">
        <w:t xml:space="preserve">    }                                                                                                              </w:t>
      </w:r>
      <w:r w:rsidRPr="00FA0D37">
        <w:rPr>
          <w:color w:val="993366"/>
        </w:rPr>
        <w:t>OPTIONAL</w:t>
      </w:r>
      <w:r w:rsidRPr="00FA0D37">
        <w:t>,</w:t>
      </w:r>
    </w:p>
    <w:p w14:paraId="11D1F104" w14:textId="77777777" w:rsidR="00394471" w:rsidRPr="00FA0D37" w:rsidDel="00FD3AB5" w:rsidRDefault="00394471" w:rsidP="00FA0D37">
      <w:pPr>
        <w:pStyle w:val="PL"/>
        <w:rPr>
          <w:rFonts w:eastAsia="Malgun Gothic"/>
          <w:color w:val="808080"/>
        </w:rPr>
      </w:pPr>
      <w:r w:rsidRPr="00FA0D37">
        <w:t xml:space="preserve">    </w:t>
      </w:r>
      <w:r w:rsidRPr="00FA0D37" w:rsidDel="00FD3AB5">
        <w:rPr>
          <w:color w:val="808080"/>
        </w:rPr>
        <w:t>-- R1 16-1a-2:</w:t>
      </w:r>
      <w:r w:rsidRPr="00FA0D37" w:rsidDel="00FD3AB5">
        <w:rPr>
          <w:rFonts w:eastAsia="Malgun Gothic"/>
          <w:color w:val="808080"/>
        </w:rPr>
        <w:t xml:space="preserve"> Non-group based L1-SINR reporting</w:t>
      </w:r>
    </w:p>
    <w:p w14:paraId="3E17E6AB" w14:textId="77777777" w:rsidR="00394471" w:rsidRPr="00FA0D37" w:rsidDel="00FD3AB5" w:rsidRDefault="00394471" w:rsidP="00FA0D37">
      <w:pPr>
        <w:pStyle w:val="PL"/>
      </w:pPr>
      <w:r w:rsidRPr="00FA0D37">
        <w:t xml:space="preserve">    </w:t>
      </w:r>
      <w:r w:rsidRPr="00FA0D37" w:rsidDel="00FD3AB5">
        <w:t>nonGroupSINR-reporting-r16</w:t>
      </w:r>
      <w:r w:rsidRPr="00FA0D37">
        <w:t xml:space="preserve">              </w:t>
      </w:r>
      <w:r w:rsidRPr="00FA0D37" w:rsidDel="00FD3AB5">
        <w:rPr>
          <w:color w:val="993366"/>
        </w:rPr>
        <w:t>ENUMERATED</w:t>
      </w:r>
      <w:r w:rsidRPr="00FA0D37" w:rsidDel="00FD3AB5">
        <w:t xml:space="preserve"> {n1, n2, n4}</w:t>
      </w:r>
      <w:r w:rsidRPr="00FA0D37">
        <w:t xml:space="preserve">                                                </w:t>
      </w:r>
      <w:r w:rsidRPr="00FA0D37" w:rsidDel="00FD3AB5">
        <w:rPr>
          <w:color w:val="993366"/>
        </w:rPr>
        <w:t>OPTIONAL</w:t>
      </w:r>
      <w:r w:rsidRPr="00FA0D37" w:rsidDel="00FD3AB5">
        <w:t>,</w:t>
      </w:r>
    </w:p>
    <w:p w14:paraId="35F8FB26" w14:textId="77777777" w:rsidR="00394471" w:rsidRPr="00FA0D37" w:rsidDel="00FD3AB5" w:rsidRDefault="00394471" w:rsidP="00FA0D37">
      <w:pPr>
        <w:pStyle w:val="PL"/>
        <w:rPr>
          <w:rFonts w:eastAsia="Malgun Gothic"/>
          <w:color w:val="808080"/>
        </w:rPr>
      </w:pPr>
      <w:r w:rsidRPr="00FA0D37">
        <w:t xml:space="preserve">    </w:t>
      </w:r>
      <w:r w:rsidRPr="00FA0D37" w:rsidDel="00FD3AB5">
        <w:rPr>
          <w:color w:val="808080"/>
        </w:rPr>
        <w:t>-- R1 16-1a-3:</w:t>
      </w:r>
      <w:r w:rsidRPr="00FA0D37" w:rsidDel="00FD3AB5">
        <w:rPr>
          <w:rFonts w:eastAsia="Malgun Gothic"/>
          <w:color w:val="808080"/>
        </w:rPr>
        <w:t xml:space="preserve"> Non-group based L1-SINR reporting</w:t>
      </w:r>
    </w:p>
    <w:p w14:paraId="2BC7B028" w14:textId="77777777" w:rsidR="00394471" w:rsidRPr="00FA0D37" w:rsidDel="00FD3AB5" w:rsidRDefault="00394471" w:rsidP="00FA0D37">
      <w:pPr>
        <w:pStyle w:val="PL"/>
      </w:pPr>
      <w:r w:rsidRPr="00FA0D37">
        <w:t xml:space="preserve">    </w:t>
      </w:r>
      <w:r w:rsidRPr="00FA0D37" w:rsidDel="00FD3AB5">
        <w:t>groupSINR-reporting-r16</w:t>
      </w:r>
      <w:r w:rsidRPr="00FA0D37">
        <w:t xml:space="preserve">                 </w:t>
      </w:r>
      <w:r w:rsidRPr="00FA0D37" w:rsidDel="00FD3AB5">
        <w:rPr>
          <w:color w:val="993366"/>
        </w:rPr>
        <w:t>ENUMERATED</w:t>
      </w:r>
      <w:r w:rsidRPr="00FA0D37" w:rsidDel="00FD3AB5">
        <w:t xml:space="preserve"> {supported}</w:t>
      </w:r>
      <w:r w:rsidRPr="00FA0D37">
        <w:t xml:space="preserve">                                                 </w:t>
      </w:r>
      <w:r w:rsidRPr="00FA0D37" w:rsidDel="00FD3AB5">
        <w:rPr>
          <w:color w:val="993366"/>
        </w:rPr>
        <w:t>OPTIONAL</w:t>
      </w:r>
      <w:r w:rsidRPr="00FA0D37" w:rsidDel="00FD3AB5">
        <w:t>,</w:t>
      </w:r>
    </w:p>
    <w:p w14:paraId="26BDAFB9" w14:textId="77777777" w:rsidR="00394471" w:rsidRPr="00FA0D37" w:rsidRDefault="00394471" w:rsidP="00FA0D37">
      <w:pPr>
        <w:pStyle w:val="PL"/>
      </w:pPr>
    </w:p>
    <w:p w14:paraId="560B00BB" w14:textId="77777777" w:rsidR="00394471" w:rsidRPr="00FA0D37" w:rsidRDefault="00394471" w:rsidP="00FA0D37">
      <w:pPr>
        <w:pStyle w:val="PL"/>
      </w:pPr>
      <w:r w:rsidRPr="00FA0D37">
        <w:t xml:space="preserve">    multiDCI-multiTRP-Parameters-r16        </w:t>
      </w:r>
      <w:r w:rsidRPr="00FA0D37">
        <w:rPr>
          <w:color w:val="993366"/>
        </w:rPr>
        <w:t>SEQUENCE</w:t>
      </w:r>
      <w:r w:rsidRPr="00FA0D37">
        <w:t xml:space="preserve"> {</w:t>
      </w:r>
    </w:p>
    <w:p w14:paraId="7F27EC6F" w14:textId="77777777" w:rsidR="00394471" w:rsidRPr="00FA0D37" w:rsidRDefault="00394471" w:rsidP="00FA0D37">
      <w:pPr>
        <w:pStyle w:val="PL"/>
        <w:rPr>
          <w:color w:val="808080"/>
        </w:rPr>
      </w:pPr>
      <w:r w:rsidRPr="00FA0D37">
        <w:t xml:space="preserve">        </w:t>
      </w:r>
      <w:r w:rsidRPr="00FA0D37">
        <w:rPr>
          <w:color w:val="808080"/>
        </w:rPr>
        <w:t>-- R1 16-2a-0:</w:t>
      </w:r>
      <w:r w:rsidRPr="00FA0D37">
        <w:rPr>
          <w:rFonts w:eastAsia="Malgun Gothic"/>
          <w:color w:val="808080"/>
        </w:rPr>
        <w:t xml:space="preserve"> </w:t>
      </w:r>
      <w:r w:rsidRPr="00FA0D37">
        <w:rPr>
          <w:color w:val="808080"/>
        </w:rPr>
        <w:t>Overlapping PDSCHs in time and fully overlapping in frequency and time</w:t>
      </w:r>
    </w:p>
    <w:p w14:paraId="39A64ABF" w14:textId="77777777" w:rsidR="00394471" w:rsidRPr="00FA0D37" w:rsidRDefault="00394471" w:rsidP="00FA0D37">
      <w:pPr>
        <w:pStyle w:val="PL"/>
        <w:rPr>
          <w:rFonts w:eastAsia="Malgun Gothic"/>
        </w:rPr>
      </w:pPr>
      <w:r w:rsidRPr="00FA0D37">
        <w:t xml:space="preserve">        </w:t>
      </w:r>
      <w:r w:rsidRPr="00FA0D37">
        <w:rPr>
          <w:rFonts w:eastAsia="Malgun Gothic"/>
        </w:rPr>
        <w:t>overlapPDSCHsFullyFreqTime-r16</w:t>
      </w:r>
      <w:r w:rsidRPr="00FA0D37">
        <w:t xml:space="preserve">          </w:t>
      </w:r>
      <w:r w:rsidRPr="00FA0D37">
        <w:rPr>
          <w:rFonts w:eastAsia="Malgun Gothic"/>
          <w:color w:val="993366"/>
        </w:rPr>
        <w:t>INTEGER</w:t>
      </w:r>
      <w:r w:rsidRPr="00FA0D37">
        <w:rPr>
          <w:rFonts w:eastAsia="Malgun Gothic"/>
        </w:rPr>
        <w:t xml:space="preserve"> (1..2)</w:t>
      </w:r>
      <w:r w:rsidRPr="00FA0D37">
        <w:t xml:space="preserve">                                                     </w:t>
      </w:r>
      <w:r w:rsidRPr="00FA0D37">
        <w:rPr>
          <w:rFonts w:eastAsia="Malgun Gothic"/>
          <w:color w:val="993366"/>
        </w:rPr>
        <w:t>OPTIONAL</w:t>
      </w:r>
      <w:r w:rsidRPr="00FA0D37">
        <w:rPr>
          <w:rFonts w:eastAsia="Malgun Gothic"/>
        </w:rPr>
        <w:t>,</w:t>
      </w:r>
    </w:p>
    <w:p w14:paraId="3B8E54EF" w14:textId="048CD848" w:rsidR="00394471" w:rsidRPr="00FA0D37" w:rsidRDefault="00394471" w:rsidP="00FA0D37">
      <w:pPr>
        <w:pStyle w:val="PL"/>
        <w:rPr>
          <w:color w:val="808080"/>
        </w:rPr>
      </w:pPr>
      <w:r w:rsidRPr="00FA0D37">
        <w:t xml:space="preserve">        </w:t>
      </w:r>
      <w:r w:rsidRPr="00FA0D37">
        <w:rPr>
          <w:color w:val="808080"/>
        </w:rPr>
        <w:t>-- R1 16-2a-1:</w:t>
      </w:r>
      <w:r w:rsidRPr="00FA0D37">
        <w:rPr>
          <w:rFonts w:eastAsia="Malgun Gothic"/>
          <w:color w:val="808080"/>
        </w:rPr>
        <w:t xml:space="preserve"> </w:t>
      </w:r>
      <w:r w:rsidRPr="00FA0D37">
        <w:rPr>
          <w:color w:val="808080"/>
        </w:rPr>
        <w:t>Overlapping PDSCHs</w:t>
      </w:r>
      <w:r w:rsidR="00DE5341" w:rsidRPr="00FA0D37">
        <w:rPr>
          <w:color w:val="808080"/>
        </w:rPr>
        <w:t xml:space="preserve"> </w:t>
      </w:r>
      <w:r w:rsidRPr="00FA0D37">
        <w:rPr>
          <w:color w:val="808080"/>
        </w:rPr>
        <w:t>in time and partially overlapping in frequency and time</w:t>
      </w:r>
    </w:p>
    <w:p w14:paraId="5E5D1C9B" w14:textId="77777777" w:rsidR="00394471" w:rsidRPr="00FA0D37" w:rsidRDefault="00394471" w:rsidP="00FA0D37">
      <w:pPr>
        <w:pStyle w:val="PL"/>
      </w:pPr>
      <w:r w:rsidRPr="00FA0D37">
        <w:t xml:space="preserve">        overlapPDSCHsInTimePartiallyFreq-r16    </w:t>
      </w:r>
      <w:r w:rsidRPr="00FA0D37">
        <w:rPr>
          <w:color w:val="993366"/>
        </w:rPr>
        <w:t>ENUMERATED</w:t>
      </w:r>
      <w:r w:rsidRPr="00FA0D37">
        <w:t xml:space="preserve"> {supported}                                             </w:t>
      </w:r>
      <w:r w:rsidRPr="00FA0D37">
        <w:rPr>
          <w:color w:val="993366"/>
        </w:rPr>
        <w:t>OPTIONAL</w:t>
      </w:r>
      <w:r w:rsidRPr="00FA0D37">
        <w:t>,</w:t>
      </w:r>
    </w:p>
    <w:p w14:paraId="351F4099" w14:textId="77777777" w:rsidR="00394471" w:rsidRPr="00FA0D37" w:rsidRDefault="00394471" w:rsidP="00FA0D37">
      <w:pPr>
        <w:pStyle w:val="PL"/>
        <w:rPr>
          <w:rFonts w:eastAsia="Malgun Gothic"/>
          <w:color w:val="808080"/>
        </w:rPr>
      </w:pPr>
      <w:r w:rsidRPr="00FA0D37">
        <w:t xml:space="preserve">        </w:t>
      </w:r>
      <w:r w:rsidRPr="00FA0D37">
        <w:rPr>
          <w:color w:val="808080"/>
        </w:rPr>
        <w:t>-- R1 16-2a-2:</w:t>
      </w:r>
      <w:r w:rsidRPr="00FA0D37">
        <w:rPr>
          <w:rFonts w:eastAsia="Malgun Gothic"/>
          <w:color w:val="808080"/>
        </w:rPr>
        <w:t xml:space="preserve"> Out of order operation for DL</w:t>
      </w:r>
    </w:p>
    <w:p w14:paraId="0AFE02B4" w14:textId="77777777" w:rsidR="00394471" w:rsidRPr="00FA0D37" w:rsidRDefault="00394471" w:rsidP="00FA0D37">
      <w:pPr>
        <w:pStyle w:val="PL"/>
        <w:rPr>
          <w:rFonts w:eastAsia="Malgun Gothic"/>
        </w:rPr>
      </w:pPr>
      <w:r w:rsidRPr="00FA0D37">
        <w:t xml:space="preserve">        </w:t>
      </w:r>
      <w:r w:rsidRPr="00FA0D37">
        <w:rPr>
          <w:rFonts w:eastAsia="Malgun Gothic"/>
        </w:rPr>
        <w:t>outOfOrderOperationDL-r16</w:t>
      </w:r>
      <w:r w:rsidRPr="00FA0D37">
        <w:t xml:space="preserve">               </w:t>
      </w:r>
      <w:r w:rsidRPr="00FA0D37">
        <w:rPr>
          <w:rFonts w:eastAsia="Malgun Gothic"/>
          <w:color w:val="993366"/>
        </w:rPr>
        <w:t>SEQUENCE</w:t>
      </w:r>
      <w:r w:rsidRPr="00FA0D37">
        <w:rPr>
          <w:rFonts w:eastAsia="Malgun Gothic"/>
        </w:rPr>
        <w:t xml:space="preserve"> {</w:t>
      </w:r>
    </w:p>
    <w:p w14:paraId="4DBA740E" w14:textId="77777777" w:rsidR="00394471" w:rsidRPr="00FA0D37" w:rsidRDefault="00394471" w:rsidP="00FA0D37">
      <w:pPr>
        <w:pStyle w:val="PL"/>
        <w:rPr>
          <w:rFonts w:eastAsia="Malgun Gothic"/>
        </w:rPr>
      </w:pPr>
      <w:r w:rsidRPr="00FA0D37">
        <w:t xml:space="preserve">            </w:t>
      </w:r>
      <w:r w:rsidRPr="00FA0D37">
        <w:rPr>
          <w:rFonts w:eastAsia="Malgun Gothic"/>
        </w:rPr>
        <w:t>supportPDCCH-ToPDSCH-r16</w:t>
      </w:r>
      <w:r w:rsidRPr="00FA0D37">
        <w:t xml:space="preserve">                </w:t>
      </w:r>
      <w:r w:rsidRPr="00FA0D37">
        <w:rPr>
          <w:rFonts w:eastAsia="Malgun Gothic"/>
          <w:color w:val="993366"/>
        </w:rPr>
        <w:t>ENUMERATED</w:t>
      </w:r>
      <w:r w:rsidRPr="00FA0D37">
        <w:rPr>
          <w:rFonts w:eastAsia="Malgun Gothic"/>
        </w:rPr>
        <w:t xml:space="preserve"> {supported}</w:t>
      </w:r>
      <w:r w:rsidRPr="00FA0D37">
        <w:t xml:space="preserve">                                         </w:t>
      </w:r>
      <w:r w:rsidRPr="00FA0D37">
        <w:rPr>
          <w:rFonts w:eastAsia="Malgun Gothic"/>
          <w:color w:val="993366"/>
        </w:rPr>
        <w:t>OPTIONAL</w:t>
      </w:r>
      <w:r w:rsidRPr="00FA0D37">
        <w:rPr>
          <w:rFonts w:eastAsia="Malgun Gothic"/>
        </w:rPr>
        <w:t>,</w:t>
      </w:r>
    </w:p>
    <w:p w14:paraId="05030D90" w14:textId="77777777" w:rsidR="00394471" w:rsidRPr="00FA0D37" w:rsidRDefault="00394471" w:rsidP="00FA0D37">
      <w:pPr>
        <w:pStyle w:val="PL"/>
        <w:rPr>
          <w:rFonts w:eastAsia="Malgun Gothic"/>
        </w:rPr>
      </w:pPr>
      <w:r w:rsidRPr="00FA0D37">
        <w:t xml:space="preserve">            </w:t>
      </w:r>
      <w:r w:rsidRPr="00FA0D37">
        <w:rPr>
          <w:rFonts w:eastAsia="Malgun Gothic"/>
        </w:rPr>
        <w:t>supportPDSCH-ToHARQ-ACK-r16</w:t>
      </w:r>
      <w:r w:rsidRPr="00FA0D37">
        <w:t xml:space="preserve">             </w:t>
      </w:r>
      <w:r w:rsidRPr="00FA0D37">
        <w:rPr>
          <w:rFonts w:eastAsia="Malgun Gothic"/>
          <w:color w:val="993366"/>
        </w:rPr>
        <w:t>ENUMERATED</w:t>
      </w:r>
      <w:r w:rsidRPr="00FA0D37">
        <w:rPr>
          <w:rFonts w:eastAsia="Malgun Gothic"/>
        </w:rPr>
        <w:t xml:space="preserve"> {supported}</w:t>
      </w:r>
      <w:r w:rsidRPr="00FA0D37">
        <w:t xml:space="preserve">                                         </w:t>
      </w:r>
      <w:r w:rsidRPr="00FA0D37">
        <w:rPr>
          <w:rFonts w:eastAsia="Malgun Gothic"/>
          <w:color w:val="993366"/>
        </w:rPr>
        <w:t>OPTIONAL</w:t>
      </w:r>
    </w:p>
    <w:p w14:paraId="612C03EF" w14:textId="77777777" w:rsidR="00394471" w:rsidRPr="00FA0D37" w:rsidRDefault="00394471" w:rsidP="00FA0D37">
      <w:pPr>
        <w:pStyle w:val="PL"/>
        <w:rPr>
          <w:rFonts w:eastAsia="Malgun Gothic"/>
        </w:rPr>
      </w:pPr>
      <w:r w:rsidRPr="00FA0D37">
        <w:t xml:space="preserve">        </w:t>
      </w:r>
      <w:r w:rsidRPr="00FA0D37">
        <w:rPr>
          <w:rFonts w:eastAsia="Malgun Gothic"/>
        </w:rPr>
        <w:t>}</w:t>
      </w:r>
      <w:r w:rsidRPr="00FA0D37">
        <w:t xml:space="preserve">                                                                                                          </w:t>
      </w:r>
      <w:r w:rsidRPr="00FA0D37">
        <w:rPr>
          <w:rFonts w:eastAsia="Malgun Gothic"/>
          <w:color w:val="993366"/>
        </w:rPr>
        <w:t>OPTIONAL</w:t>
      </w:r>
      <w:r w:rsidRPr="00FA0D37">
        <w:rPr>
          <w:rFonts w:eastAsia="Malgun Gothic"/>
        </w:rPr>
        <w:t>,</w:t>
      </w:r>
    </w:p>
    <w:p w14:paraId="709FD19F" w14:textId="77777777" w:rsidR="00394471" w:rsidRPr="00FA0D37" w:rsidRDefault="00394471" w:rsidP="00FA0D37">
      <w:pPr>
        <w:pStyle w:val="PL"/>
        <w:rPr>
          <w:rFonts w:eastAsia="Malgun Gothic"/>
          <w:color w:val="808080"/>
        </w:rPr>
      </w:pPr>
      <w:r w:rsidRPr="00FA0D37">
        <w:t xml:space="preserve">        </w:t>
      </w:r>
      <w:r w:rsidRPr="00FA0D37">
        <w:rPr>
          <w:color w:val="808080"/>
        </w:rPr>
        <w:t>-- R1 16-2a-3:</w:t>
      </w:r>
      <w:r w:rsidRPr="00FA0D37">
        <w:rPr>
          <w:rFonts w:eastAsia="Malgun Gothic"/>
          <w:color w:val="808080"/>
        </w:rPr>
        <w:t xml:space="preserve"> Out of order operation for UL</w:t>
      </w:r>
    </w:p>
    <w:p w14:paraId="3E39ACE2" w14:textId="77777777" w:rsidR="00394471" w:rsidRPr="00FA0D37" w:rsidRDefault="00394471" w:rsidP="00FA0D37">
      <w:pPr>
        <w:pStyle w:val="PL"/>
        <w:rPr>
          <w:rFonts w:eastAsia="Malgun Gothic"/>
        </w:rPr>
      </w:pPr>
      <w:r w:rsidRPr="00FA0D37">
        <w:t xml:space="preserve">        </w:t>
      </w:r>
      <w:r w:rsidRPr="00FA0D37">
        <w:rPr>
          <w:rFonts w:eastAsia="Malgun Gothic"/>
        </w:rPr>
        <w:t>outOfOrderOperationUL-r16</w:t>
      </w:r>
      <w:r w:rsidRPr="00FA0D37">
        <w:t xml:space="preserve">               </w:t>
      </w:r>
      <w:r w:rsidRPr="00FA0D37">
        <w:rPr>
          <w:rFonts w:eastAsia="Malgun Gothic"/>
          <w:color w:val="993366"/>
        </w:rPr>
        <w:t>ENUMERATED</w:t>
      </w:r>
      <w:r w:rsidRPr="00FA0D37">
        <w:rPr>
          <w:rFonts w:eastAsia="Malgun Gothic"/>
        </w:rPr>
        <w:t xml:space="preserve"> {supported}</w:t>
      </w:r>
      <w:r w:rsidRPr="00FA0D37">
        <w:t xml:space="preserve">                                             </w:t>
      </w:r>
      <w:r w:rsidRPr="00FA0D37">
        <w:rPr>
          <w:rFonts w:eastAsia="Malgun Gothic"/>
          <w:color w:val="993366"/>
        </w:rPr>
        <w:t>OPTIONAL</w:t>
      </w:r>
      <w:r w:rsidRPr="00FA0D37">
        <w:rPr>
          <w:rFonts w:eastAsia="Malgun Gothic"/>
        </w:rPr>
        <w:t>,</w:t>
      </w:r>
    </w:p>
    <w:p w14:paraId="45AA3823" w14:textId="77777777" w:rsidR="00394471" w:rsidRPr="00FA0D37" w:rsidRDefault="00394471" w:rsidP="00FA0D37">
      <w:pPr>
        <w:pStyle w:val="PL"/>
        <w:rPr>
          <w:rFonts w:eastAsia="Malgun Gothic"/>
          <w:color w:val="808080"/>
        </w:rPr>
      </w:pPr>
      <w:r w:rsidRPr="00FA0D37">
        <w:t xml:space="preserve">        </w:t>
      </w:r>
      <w:r w:rsidRPr="00FA0D37">
        <w:rPr>
          <w:color w:val="808080"/>
        </w:rPr>
        <w:t>-- R1 16-2a-5:</w:t>
      </w:r>
      <w:r w:rsidRPr="00FA0D37">
        <w:rPr>
          <w:rFonts w:eastAsia="Malgun Gothic"/>
          <w:color w:val="808080"/>
        </w:rPr>
        <w:t xml:space="preserve"> Separate CRS rate matching</w:t>
      </w:r>
    </w:p>
    <w:p w14:paraId="2E386EFB" w14:textId="77777777" w:rsidR="00394471" w:rsidRPr="00FA0D37" w:rsidRDefault="00394471" w:rsidP="00FA0D37">
      <w:pPr>
        <w:pStyle w:val="PL"/>
        <w:rPr>
          <w:rFonts w:eastAsia="Malgun Gothic"/>
        </w:rPr>
      </w:pPr>
      <w:r w:rsidRPr="00FA0D37">
        <w:t xml:space="preserve">        separateCRS-RateMatching-r16            </w:t>
      </w:r>
      <w:r w:rsidRPr="00FA0D37">
        <w:rPr>
          <w:rFonts w:eastAsia="Malgun Gothic"/>
          <w:color w:val="993366"/>
        </w:rPr>
        <w:t>ENUMERATED</w:t>
      </w:r>
      <w:r w:rsidRPr="00FA0D37">
        <w:rPr>
          <w:rFonts w:eastAsia="Malgun Gothic"/>
        </w:rPr>
        <w:t xml:space="preserve"> {supported}</w:t>
      </w:r>
      <w:r w:rsidRPr="00FA0D37">
        <w:t xml:space="preserve">                                             </w:t>
      </w:r>
      <w:r w:rsidRPr="00FA0D37">
        <w:rPr>
          <w:rFonts w:eastAsia="Malgun Gothic"/>
          <w:color w:val="993366"/>
        </w:rPr>
        <w:t>OPTIONAL</w:t>
      </w:r>
      <w:r w:rsidRPr="00FA0D37">
        <w:rPr>
          <w:rFonts w:eastAsia="Malgun Gothic"/>
        </w:rPr>
        <w:t>,</w:t>
      </w:r>
    </w:p>
    <w:p w14:paraId="46066BF9" w14:textId="77777777" w:rsidR="00394471" w:rsidRPr="00FA0D37" w:rsidRDefault="00394471" w:rsidP="00FA0D37">
      <w:pPr>
        <w:pStyle w:val="PL"/>
        <w:rPr>
          <w:color w:val="808080"/>
        </w:rPr>
      </w:pPr>
      <w:r w:rsidRPr="00FA0D37">
        <w:t xml:space="preserve">        </w:t>
      </w:r>
      <w:r w:rsidRPr="00FA0D37">
        <w:rPr>
          <w:color w:val="808080"/>
        </w:rPr>
        <w:t>-- R1 16-2a-6:</w:t>
      </w:r>
      <w:r w:rsidRPr="00FA0D37">
        <w:rPr>
          <w:rFonts w:eastAsia="Malgun Gothic"/>
          <w:color w:val="808080"/>
        </w:rPr>
        <w:t xml:space="preserve"> </w:t>
      </w:r>
      <w:r w:rsidRPr="00FA0D37">
        <w:rPr>
          <w:color w:val="808080"/>
        </w:rPr>
        <w:t>Default QCL enhancement for multi-DCI based multi-TRP</w:t>
      </w:r>
    </w:p>
    <w:p w14:paraId="7F6912A9" w14:textId="77777777" w:rsidR="00394471" w:rsidRPr="00FA0D37" w:rsidRDefault="00394471" w:rsidP="00FA0D37">
      <w:pPr>
        <w:pStyle w:val="PL"/>
      </w:pPr>
      <w:r w:rsidRPr="00FA0D37">
        <w:t xml:space="preserve">        defaultQCL-PerCORESETPoolIndex-r16      </w:t>
      </w:r>
      <w:r w:rsidRPr="00FA0D37">
        <w:rPr>
          <w:rFonts w:eastAsia="Malgun Gothic"/>
          <w:color w:val="993366"/>
        </w:rPr>
        <w:t>ENUMERATED</w:t>
      </w:r>
      <w:r w:rsidRPr="00FA0D37">
        <w:rPr>
          <w:rFonts w:eastAsia="Malgun Gothic"/>
        </w:rPr>
        <w:t xml:space="preserve"> {supported}</w:t>
      </w:r>
      <w:r w:rsidRPr="00FA0D37">
        <w:t xml:space="preserve">                                             </w:t>
      </w:r>
      <w:r w:rsidRPr="00FA0D37">
        <w:rPr>
          <w:rFonts w:eastAsia="Malgun Gothic"/>
          <w:color w:val="993366"/>
        </w:rPr>
        <w:t>OPTIONAL</w:t>
      </w:r>
      <w:r w:rsidRPr="00FA0D37">
        <w:rPr>
          <w:rFonts w:eastAsia="Malgun Gothic"/>
        </w:rPr>
        <w:t>,</w:t>
      </w:r>
    </w:p>
    <w:p w14:paraId="7CFDCA1D" w14:textId="77777777" w:rsidR="00394471" w:rsidRPr="00FA0D37" w:rsidRDefault="00394471" w:rsidP="00FA0D37">
      <w:pPr>
        <w:pStyle w:val="PL"/>
        <w:rPr>
          <w:color w:val="808080"/>
        </w:rPr>
      </w:pPr>
      <w:r w:rsidRPr="00FA0D37">
        <w:t xml:space="preserve">        </w:t>
      </w:r>
      <w:r w:rsidRPr="00FA0D37">
        <w:rPr>
          <w:color w:val="808080"/>
        </w:rPr>
        <w:t>-- R1 16-2a-7: Maximum number of activated TCI states</w:t>
      </w:r>
    </w:p>
    <w:p w14:paraId="2F3FA9F4" w14:textId="77777777" w:rsidR="00394471" w:rsidRPr="00FA0D37" w:rsidRDefault="00394471" w:rsidP="00FA0D37">
      <w:pPr>
        <w:pStyle w:val="PL"/>
      </w:pPr>
      <w:r w:rsidRPr="00FA0D37">
        <w:t xml:space="preserve">        maxNumberActivatedTCI-States-r16        </w:t>
      </w:r>
      <w:r w:rsidRPr="00FA0D37">
        <w:rPr>
          <w:color w:val="993366"/>
        </w:rPr>
        <w:t>SEQUENCE</w:t>
      </w:r>
      <w:r w:rsidRPr="00FA0D37">
        <w:t xml:space="preserve"> {</w:t>
      </w:r>
    </w:p>
    <w:p w14:paraId="3867D360" w14:textId="77777777" w:rsidR="00394471" w:rsidRPr="00FA0D37" w:rsidRDefault="00394471" w:rsidP="00FA0D37">
      <w:pPr>
        <w:pStyle w:val="PL"/>
      </w:pPr>
      <w:r w:rsidRPr="00FA0D37">
        <w:t xml:space="preserve">            maxNumberPerCORESET-Pool-r16            </w:t>
      </w:r>
      <w:r w:rsidRPr="00FA0D37">
        <w:rPr>
          <w:color w:val="993366"/>
        </w:rPr>
        <w:t>ENUMERATED</w:t>
      </w:r>
      <w:r w:rsidRPr="00FA0D37">
        <w:t xml:space="preserve"> {n1, n2, n4, n8}</w:t>
      </w:r>
      <w:r w:rsidRPr="00FA0D37">
        <w:rPr>
          <w:rFonts w:eastAsia="Malgun Gothic"/>
        </w:rPr>
        <w:t>,</w:t>
      </w:r>
    </w:p>
    <w:p w14:paraId="0224ECA2" w14:textId="77777777" w:rsidR="00394471" w:rsidRPr="00FA0D37" w:rsidRDefault="00394471" w:rsidP="00FA0D37">
      <w:pPr>
        <w:pStyle w:val="PL"/>
      </w:pPr>
      <w:r w:rsidRPr="00FA0D37">
        <w:t xml:space="preserve">            maxTotalNumberAcrossCORESET-Pool-r16    </w:t>
      </w:r>
      <w:r w:rsidRPr="00FA0D37">
        <w:rPr>
          <w:color w:val="993366"/>
        </w:rPr>
        <w:t>ENUMERATED</w:t>
      </w:r>
      <w:r w:rsidRPr="00FA0D37">
        <w:t xml:space="preserve"> {n2, n4, n8, n16}</w:t>
      </w:r>
    </w:p>
    <w:p w14:paraId="5D96C5C3" w14:textId="77777777" w:rsidR="00394471" w:rsidRPr="00FA0D37" w:rsidRDefault="00394471" w:rsidP="00FA0D37">
      <w:pPr>
        <w:pStyle w:val="PL"/>
      </w:pPr>
      <w:r w:rsidRPr="00FA0D37">
        <w:t xml:space="preserve">        }                                                                                                          </w:t>
      </w:r>
      <w:r w:rsidRPr="00FA0D37">
        <w:rPr>
          <w:color w:val="993366"/>
        </w:rPr>
        <w:t>OPTIONAL</w:t>
      </w:r>
    </w:p>
    <w:p w14:paraId="7C2DAB8C" w14:textId="77777777" w:rsidR="00394471" w:rsidRPr="00FA0D37" w:rsidRDefault="00394471" w:rsidP="00FA0D37">
      <w:pPr>
        <w:pStyle w:val="PL"/>
      </w:pPr>
      <w:r w:rsidRPr="00FA0D37">
        <w:t xml:space="preserve">    }                                                                                                              </w:t>
      </w:r>
      <w:r w:rsidRPr="00FA0D37">
        <w:rPr>
          <w:color w:val="993366"/>
        </w:rPr>
        <w:t>OPTIONAL</w:t>
      </w:r>
      <w:r w:rsidRPr="00FA0D37">
        <w:t>,</w:t>
      </w:r>
    </w:p>
    <w:p w14:paraId="7F1B054E" w14:textId="77777777" w:rsidR="00394471" w:rsidRPr="00FA0D37" w:rsidRDefault="00394471" w:rsidP="00FA0D37">
      <w:pPr>
        <w:pStyle w:val="PL"/>
      </w:pPr>
      <w:r w:rsidRPr="00FA0D37">
        <w:t xml:space="preserve">    singleDCI-SDM-scheme-Parameters-r16         </w:t>
      </w:r>
      <w:r w:rsidRPr="00FA0D37">
        <w:rPr>
          <w:color w:val="993366"/>
        </w:rPr>
        <w:t>SEQUENCE</w:t>
      </w:r>
      <w:r w:rsidRPr="00FA0D37">
        <w:t xml:space="preserve"> {</w:t>
      </w:r>
    </w:p>
    <w:p w14:paraId="4AA76D75" w14:textId="3482CD2A" w:rsidR="00394471" w:rsidRPr="00FA0D37" w:rsidRDefault="00394471" w:rsidP="00FA0D37">
      <w:pPr>
        <w:pStyle w:val="PL"/>
        <w:rPr>
          <w:color w:val="808080"/>
        </w:rPr>
      </w:pPr>
      <w:r w:rsidRPr="00FA0D37">
        <w:t xml:space="preserve">        </w:t>
      </w:r>
      <w:r w:rsidRPr="00FA0D37">
        <w:rPr>
          <w:color w:val="808080"/>
        </w:rPr>
        <w:t>-- R1 16-2b-1b:</w:t>
      </w:r>
      <w:r w:rsidRPr="00FA0D37">
        <w:rPr>
          <w:rFonts w:eastAsia="Malgun Gothic"/>
          <w:color w:val="808080"/>
        </w:rPr>
        <w:t xml:space="preserve"> </w:t>
      </w:r>
      <w:r w:rsidRPr="00FA0D37">
        <w:rPr>
          <w:color w:val="808080"/>
        </w:rPr>
        <w:t xml:space="preserve">Single-DCI based SDM scheme </w:t>
      </w:r>
      <w:r w:rsidR="00EA6373" w:rsidRPr="00FA0D37">
        <w:rPr>
          <w:color w:val="808080"/>
        </w:rPr>
        <w:t>-</w:t>
      </w:r>
      <w:r w:rsidRPr="00FA0D37">
        <w:rPr>
          <w:color w:val="808080"/>
        </w:rPr>
        <w:t xml:space="preserve"> Support of new DMRS port entry</w:t>
      </w:r>
    </w:p>
    <w:p w14:paraId="141EFF8B" w14:textId="665A6A51" w:rsidR="00394471" w:rsidRPr="00FA0D37" w:rsidRDefault="00394471" w:rsidP="00FA0D37">
      <w:pPr>
        <w:pStyle w:val="PL"/>
      </w:pPr>
      <w:r w:rsidRPr="00FA0D37">
        <w:t xml:space="preserve">        supportNewDMRS-Port-r16                     </w:t>
      </w:r>
      <w:r w:rsidRPr="00FA0D37">
        <w:rPr>
          <w:rFonts w:eastAsia="Malgun Gothic"/>
          <w:color w:val="993366"/>
        </w:rPr>
        <w:t>ENUMERATED</w:t>
      </w:r>
      <w:r w:rsidRPr="00FA0D37">
        <w:rPr>
          <w:rFonts w:eastAsia="Malgun Gothic"/>
        </w:rPr>
        <w:t xml:space="preserve"> {</w:t>
      </w:r>
      <w:r w:rsidR="00A02C93" w:rsidRPr="00FA0D37">
        <w:rPr>
          <w:rFonts w:eastAsia="Malgun Gothic"/>
        </w:rPr>
        <w:t>supported1</w:t>
      </w:r>
      <w:r w:rsidRPr="00FA0D37">
        <w:rPr>
          <w:rFonts w:eastAsia="Malgun Gothic"/>
        </w:rPr>
        <w:t xml:space="preserve">, </w:t>
      </w:r>
      <w:r w:rsidR="00A02C93" w:rsidRPr="00FA0D37">
        <w:rPr>
          <w:rFonts w:eastAsia="Malgun Gothic"/>
        </w:rPr>
        <w:t>supported2</w:t>
      </w:r>
      <w:r w:rsidRPr="00FA0D37">
        <w:rPr>
          <w:rFonts w:eastAsia="Malgun Gothic"/>
        </w:rPr>
        <w:t xml:space="preserve">, </w:t>
      </w:r>
      <w:r w:rsidR="00A02C93" w:rsidRPr="00FA0D37">
        <w:rPr>
          <w:rFonts w:eastAsia="Malgun Gothic"/>
        </w:rPr>
        <w:t>supported3</w:t>
      </w:r>
      <w:r w:rsidRPr="00FA0D37">
        <w:rPr>
          <w:rFonts w:eastAsia="Malgun Gothic"/>
        </w:rPr>
        <w:t>}</w:t>
      </w:r>
      <w:r w:rsidRPr="00FA0D37">
        <w:t xml:space="preserve">                                        </w:t>
      </w:r>
      <w:r w:rsidRPr="00FA0D37">
        <w:rPr>
          <w:rFonts w:eastAsia="Malgun Gothic"/>
          <w:color w:val="993366"/>
        </w:rPr>
        <w:t>OPTIONAL</w:t>
      </w:r>
      <w:r w:rsidRPr="00FA0D37">
        <w:rPr>
          <w:rFonts w:eastAsia="Malgun Gothic"/>
        </w:rPr>
        <w:t>,</w:t>
      </w:r>
    </w:p>
    <w:p w14:paraId="043E2967" w14:textId="77777777" w:rsidR="00394471" w:rsidRPr="00FA0D37" w:rsidRDefault="00394471" w:rsidP="00FA0D37">
      <w:pPr>
        <w:pStyle w:val="PL"/>
        <w:rPr>
          <w:color w:val="808080"/>
        </w:rPr>
      </w:pPr>
      <w:r w:rsidRPr="00FA0D37">
        <w:t xml:space="preserve">        </w:t>
      </w:r>
      <w:r w:rsidRPr="00FA0D37">
        <w:rPr>
          <w:color w:val="808080"/>
        </w:rPr>
        <w:t>-- R1 16-2b-1a:</w:t>
      </w:r>
      <w:r w:rsidRPr="00FA0D37">
        <w:rPr>
          <w:rFonts w:eastAsia="Malgun Gothic"/>
          <w:color w:val="808080"/>
        </w:rPr>
        <w:t xml:space="preserve"> </w:t>
      </w:r>
      <w:r w:rsidRPr="00FA0D37">
        <w:rPr>
          <w:color w:val="808080"/>
        </w:rPr>
        <w:t>Support of s-port DL PTRS</w:t>
      </w:r>
    </w:p>
    <w:p w14:paraId="5FC706D8" w14:textId="77777777" w:rsidR="00394471" w:rsidRPr="00FA0D37" w:rsidRDefault="00394471" w:rsidP="00FA0D37">
      <w:pPr>
        <w:pStyle w:val="PL"/>
      </w:pPr>
      <w:r w:rsidRPr="00FA0D37">
        <w:t xml:space="preserve">        supportTwoPortDL-PTRS-r16                   </w:t>
      </w:r>
      <w:r w:rsidRPr="00FA0D37">
        <w:rPr>
          <w:rFonts w:eastAsia="Malgun Gothic"/>
          <w:color w:val="993366"/>
        </w:rPr>
        <w:t>ENUMERATED</w:t>
      </w:r>
      <w:r w:rsidRPr="00FA0D37">
        <w:rPr>
          <w:rFonts w:eastAsia="Malgun Gothic"/>
        </w:rPr>
        <w:t xml:space="preserve"> {supported}</w:t>
      </w:r>
      <w:r w:rsidRPr="00FA0D37">
        <w:t xml:space="preserve">                                         </w:t>
      </w:r>
      <w:r w:rsidRPr="00FA0D37">
        <w:rPr>
          <w:rFonts w:eastAsia="Malgun Gothic"/>
          <w:color w:val="993366"/>
        </w:rPr>
        <w:t>OPTIONAL</w:t>
      </w:r>
    </w:p>
    <w:p w14:paraId="715E6FAC" w14:textId="77777777" w:rsidR="00394471" w:rsidRPr="00FA0D37" w:rsidRDefault="00394471" w:rsidP="00FA0D37">
      <w:pPr>
        <w:pStyle w:val="PL"/>
      </w:pPr>
      <w:r w:rsidRPr="00FA0D37">
        <w:t xml:space="preserve">    }                                                                                                              </w:t>
      </w:r>
      <w:r w:rsidRPr="00FA0D37">
        <w:rPr>
          <w:color w:val="993366"/>
        </w:rPr>
        <w:t>OPTIONAL</w:t>
      </w:r>
      <w:r w:rsidRPr="00FA0D37">
        <w:t>,</w:t>
      </w:r>
    </w:p>
    <w:p w14:paraId="4EEF0634" w14:textId="77777777" w:rsidR="00394471" w:rsidRPr="00FA0D37" w:rsidRDefault="00394471" w:rsidP="00FA0D37">
      <w:pPr>
        <w:pStyle w:val="PL"/>
        <w:rPr>
          <w:color w:val="808080"/>
        </w:rPr>
      </w:pPr>
      <w:r w:rsidRPr="00FA0D37">
        <w:t xml:space="preserve">    </w:t>
      </w:r>
      <w:r w:rsidRPr="00FA0D37">
        <w:rPr>
          <w:color w:val="808080"/>
        </w:rPr>
        <w:t>-- R1 16-2b-2:</w:t>
      </w:r>
      <w:r w:rsidRPr="00FA0D37">
        <w:rPr>
          <w:rFonts w:eastAsia="Malgun Gothic"/>
          <w:color w:val="808080"/>
        </w:rPr>
        <w:t xml:space="preserve"> </w:t>
      </w:r>
      <w:r w:rsidRPr="00FA0D37">
        <w:rPr>
          <w:color w:val="808080"/>
        </w:rPr>
        <w:t>Support of single-DCI based FDMSchemeA</w:t>
      </w:r>
    </w:p>
    <w:p w14:paraId="42CDE84F" w14:textId="77777777" w:rsidR="00394471" w:rsidRPr="00FA0D37" w:rsidRDefault="00394471" w:rsidP="00FA0D37">
      <w:pPr>
        <w:pStyle w:val="PL"/>
      </w:pPr>
      <w:r w:rsidRPr="00FA0D37">
        <w:t xml:space="preserve">    supportFDM-SchemeA-r16                      </w:t>
      </w:r>
      <w:r w:rsidRPr="00FA0D37">
        <w:rPr>
          <w:rFonts w:eastAsia="Malgun Gothic"/>
          <w:color w:val="993366"/>
        </w:rPr>
        <w:t>ENUMERATED</w:t>
      </w:r>
      <w:r w:rsidRPr="00FA0D37">
        <w:rPr>
          <w:rFonts w:eastAsia="Malgun Gothic"/>
        </w:rPr>
        <w:t xml:space="preserve"> {supported}</w:t>
      </w:r>
      <w:r w:rsidRPr="00FA0D37">
        <w:t xml:space="preserve">                                             </w:t>
      </w:r>
      <w:r w:rsidRPr="00FA0D37">
        <w:rPr>
          <w:rFonts w:eastAsia="Malgun Gothic"/>
          <w:color w:val="993366"/>
        </w:rPr>
        <w:t>OPTIONAL</w:t>
      </w:r>
      <w:r w:rsidRPr="00FA0D37">
        <w:rPr>
          <w:rFonts w:eastAsia="Malgun Gothic"/>
        </w:rPr>
        <w:t>,</w:t>
      </w:r>
    </w:p>
    <w:p w14:paraId="7055FC5B" w14:textId="77777777" w:rsidR="00394471" w:rsidRPr="00FA0D37" w:rsidRDefault="00394471" w:rsidP="00FA0D37">
      <w:pPr>
        <w:pStyle w:val="PL"/>
        <w:rPr>
          <w:color w:val="808080"/>
        </w:rPr>
      </w:pPr>
      <w:r w:rsidRPr="00FA0D37">
        <w:t xml:space="preserve">    </w:t>
      </w:r>
      <w:r w:rsidRPr="00FA0D37">
        <w:rPr>
          <w:color w:val="808080"/>
        </w:rPr>
        <w:t>-- R1 16-2b-3a:</w:t>
      </w:r>
      <w:r w:rsidRPr="00FA0D37">
        <w:rPr>
          <w:rFonts w:eastAsia="Malgun Gothic"/>
          <w:color w:val="808080"/>
        </w:rPr>
        <w:t xml:space="preserve"> </w:t>
      </w:r>
      <w:r w:rsidRPr="00FA0D37">
        <w:rPr>
          <w:color w:val="808080"/>
        </w:rPr>
        <w:t>Single-DCI based FDMSchemeB CW soft combining</w:t>
      </w:r>
    </w:p>
    <w:p w14:paraId="2DBF3136" w14:textId="77777777" w:rsidR="00394471" w:rsidRPr="00FA0D37" w:rsidRDefault="00394471" w:rsidP="00FA0D37">
      <w:pPr>
        <w:pStyle w:val="PL"/>
      </w:pPr>
      <w:r w:rsidRPr="00FA0D37">
        <w:t xml:space="preserve">    supportCodeWordSoftCombining-r16            </w:t>
      </w:r>
      <w:r w:rsidRPr="00FA0D37">
        <w:rPr>
          <w:rFonts w:eastAsia="Malgun Gothic"/>
          <w:color w:val="993366"/>
        </w:rPr>
        <w:t>ENUMERATED</w:t>
      </w:r>
      <w:r w:rsidRPr="00FA0D37">
        <w:rPr>
          <w:rFonts w:eastAsia="Malgun Gothic"/>
        </w:rPr>
        <w:t xml:space="preserve"> {supported}</w:t>
      </w:r>
      <w:r w:rsidRPr="00FA0D37">
        <w:t xml:space="preserve">                                             </w:t>
      </w:r>
      <w:r w:rsidRPr="00FA0D37">
        <w:rPr>
          <w:rFonts w:eastAsia="Malgun Gothic"/>
          <w:color w:val="993366"/>
        </w:rPr>
        <w:t>OPTIONAL</w:t>
      </w:r>
      <w:r w:rsidRPr="00FA0D37">
        <w:rPr>
          <w:rFonts w:eastAsia="Malgun Gothic"/>
        </w:rPr>
        <w:t>,</w:t>
      </w:r>
    </w:p>
    <w:p w14:paraId="1ACFABBA" w14:textId="77777777" w:rsidR="00394471" w:rsidRPr="00FA0D37" w:rsidRDefault="00394471" w:rsidP="00FA0D37">
      <w:pPr>
        <w:pStyle w:val="PL"/>
        <w:rPr>
          <w:color w:val="808080"/>
        </w:rPr>
      </w:pPr>
      <w:r w:rsidRPr="00FA0D37">
        <w:t xml:space="preserve">    </w:t>
      </w:r>
      <w:r w:rsidRPr="00FA0D37">
        <w:rPr>
          <w:color w:val="808080"/>
        </w:rPr>
        <w:t>-- R1 16-2b-4:</w:t>
      </w:r>
      <w:r w:rsidRPr="00FA0D37">
        <w:rPr>
          <w:rFonts w:eastAsia="Malgun Gothic"/>
          <w:color w:val="808080"/>
        </w:rPr>
        <w:t xml:space="preserve"> </w:t>
      </w:r>
      <w:r w:rsidRPr="00FA0D37">
        <w:rPr>
          <w:color w:val="808080"/>
        </w:rPr>
        <w:t>Single-DCI based TDMSchemeA</w:t>
      </w:r>
      <w:r w:rsidRPr="00FA0D37">
        <w:rPr>
          <w:color w:val="808080"/>
        </w:rPr>
        <w:tab/>
      </w:r>
    </w:p>
    <w:p w14:paraId="2BFBC082" w14:textId="77777777" w:rsidR="00394471" w:rsidRPr="00FA0D37" w:rsidRDefault="00394471" w:rsidP="00FA0D37">
      <w:pPr>
        <w:pStyle w:val="PL"/>
      </w:pPr>
      <w:r w:rsidRPr="00FA0D37">
        <w:t xml:space="preserve">    supportTDM-SchemeA-r16                      </w:t>
      </w:r>
      <w:r w:rsidRPr="00FA0D37">
        <w:rPr>
          <w:rFonts w:eastAsia="Malgun Gothic"/>
          <w:color w:val="993366"/>
        </w:rPr>
        <w:t>ENUMERATED</w:t>
      </w:r>
      <w:r w:rsidRPr="00FA0D37">
        <w:rPr>
          <w:rFonts w:eastAsia="Malgun Gothic"/>
        </w:rPr>
        <w:t xml:space="preserve"> {kb3, kb5, kb10, kb20, noRestriction}</w:t>
      </w:r>
      <w:r w:rsidRPr="00FA0D37">
        <w:t xml:space="preserve">                   </w:t>
      </w:r>
      <w:r w:rsidRPr="00FA0D37">
        <w:rPr>
          <w:color w:val="993366"/>
        </w:rPr>
        <w:t>OPTIONAL</w:t>
      </w:r>
      <w:r w:rsidRPr="00FA0D37">
        <w:t>,</w:t>
      </w:r>
    </w:p>
    <w:p w14:paraId="74150F12" w14:textId="77777777" w:rsidR="00394471" w:rsidRPr="00FA0D37" w:rsidRDefault="00394471" w:rsidP="00FA0D37">
      <w:pPr>
        <w:pStyle w:val="PL"/>
        <w:rPr>
          <w:color w:val="808080"/>
        </w:rPr>
      </w:pPr>
      <w:r w:rsidRPr="00FA0D37">
        <w:t xml:space="preserve">    </w:t>
      </w:r>
      <w:r w:rsidRPr="00FA0D37">
        <w:rPr>
          <w:color w:val="808080"/>
        </w:rPr>
        <w:t>-- R1 16-2b-5:</w:t>
      </w:r>
      <w:r w:rsidRPr="00FA0D37">
        <w:rPr>
          <w:rFonts w:eastAsia="Malgun Gothic"/>
          <w:color w:val="808080"/>
        </w:rPr>
        <w:t xml:space="preserve"> </w:t>
      </w:r>
      <w:r w:rsidRPr="00FA0D37">
        <w:rPr>
          <w:color w:val="808080"/>
        </w:rPr>
        <w:t>Single-DCI based inter-slot TDM</w:t>
      </w:r>
    </w:p>
    <w:p w14:paraId="66F00931" w14:textId="77777777" w:rsidR="00394471" w:rsidRPr="00FA0D37" w:rsidRDefault="00394471" w:rsidP="00FA0D37">
      <w:pPr>
        <w:pStyle w:val="PL"/>
        <w:rPr>
          <w:rFonts w:eastAsia="Malgun Gothic"/>
        </w:rPr>
      </w:pPr>
      <w:r w:rsidRPr="00FA0D37">
        <w:t xml:space="preserve">    supportInter-slotTDM-r16                    </w:t>
      </w:r>
      <w:r w:rsidRPr="00FA0D37">
        <w:rPr>
          <w:rFonts w:eastAsia="Malgun Gothic"/>
          <w:color w:val="993366"/>
        </w:rPr>
        <w:t>SEQUENCE</w:t>
      </w:r>
      <w:r w:rsidRPr="00FA0D37">
        <w:rPr>
          <w:rFonts w:eastAsia="Malgun Gothic"/>
        </w:rPr>
        <w:t xml:space="preserve"> {</w:t>
      </w:r>
    </w:p>
    <w:p w14:paraId="219D8D1F" w14:textId="77777777" w:rsidR="00394471" w:rsidRPr="00FA0D37" w:rsidRDefault="00394471" w:rsidP="00FA0D37">
      <w:pPr>
        <w:pStyle w:val="PL"/>
      </w:pPr>
      <w:r w:rsidRPr="00FA0D37">
        <w:t xml:space="preserve">        </w:t>
      </w:r>
      <w:r w:rsidRPr="00FA0D37">
        <w:rPr>
          <w:rFonts w:eastAsia="Malgun Gothic"/>
        </w:rPr>
        <w:t>supportRepNumPDSCH-TDRA-r16</w:t>
      </w:r>
      <w:r w:rsidRPr="00FA0D37">
        <w:t xml:space="preserve">                 </w:t>
      </w:r>
      <w:r w:rsidRPr="00FA0D37">
        <w:rPr>
          <w:rFonts w:eastAsia="Malgun Gothic"/>
          <w:color w:val="993366"/>
        </w:rPr>
        <w:t>ENUMERATED</w:t>
      </w:r>
      <w:r w:rsidRPr="00FA0D37">
        <w:rPr>
          <w:rFonts w:eastAsia="Malgun Gothic"/>
        </w:rPr>
        <w:t xml:space="preserve"> {n2, n3, n4, n5, n6, n7, n8, n16},</w:t>
      </w:r>
    </w:p>
    <w:p w14:paraId="343B9C74" w14:textId="77777777" w:rsidR="00394471" w:rsidRPr="00FA0D37" w:rsidRDefault="00394471" w:rsidP="00FA0D37">
      <w:pPr>
        <w:pStyle w:val="PL"/>
        <w:rPr>
          <w:rFonts w:eastAsia="Malgun Gothic"/>
        </w:rPr>
      </w:pPr>
      <w:r w:rsidRPr="00FA0D37">
        <w:t xml:space="preserve">        maxTBS-Size-r16                             </w:t>
      </w:r>
      <w:r w:rsidRPr="00FA0D37">
        <w:rPr>
          <w:rFonts w:eastAsia="Malgun Gothic"/>
          <w:color w:val="993366"/>
        </w:rPr>
        <w:t>ENUMERATED</w:t>
      </w:r>
      <w:r w:rsidRPr="00FA0D37">
        <w:rPr>
          <w:rFonts w:eastAsia="Malgun Gothic"/>
        </w:rPr>
        <w:t xml:space="preserve"> {kb3, kb5, kb10, kb20, noRestriction},</w:t>
      </w:r>
    </w:p>
    <w:p w14:paraId="6DEDDED6" w14:textId="77777777" w:rsidR="00394471" w:rsidRPr="00FA0D37" w:rsidRDefault="00394471" w:rsidP="00FA0D37">
      <w:pPr>
        <w:pStyle w:val="PL"/>
      </w:pPr>
      <w:r w:rsidRPr="00FA0D37">
        <w:t xml:space="preserve">        maxNumberTCI-states-r16                     </w:t>
      </w:r>
      <w:r w:rsidRPr="00FA0D37">
        <w:rPr>
          <w:color w:val="993366"/>
        </w:rPr>
        <w:t>INTEGER</w:t>
      </w:r>
      <w:r w:rsidRPr="00FA0D37">
        <w:t xml:space="preserve"> (1..2)</w:t>
      </w:r>
    </w:p>
    <w:p w14:paraId="598AA9A2" w14:textId="77777777" w:rsidR="00394471" w:rsidRPr="00FA0D37" w:rsidRDefault="00394471" w:rsidP="00FA0D37">
      <w:pPr>
        <w:pStyle w:val="PL"/>
      </w:pPr>
      <w:r w:rsidRPr="00FA0D37">
        <w:t xml:space="preserve">    }                                                                                                              </w:t>
      </w:r>
      <w:r w:rsidRPr="00FA0D37">
        <w:rPr>
          <w:color w:val="993366"/>
        </w:rPr>
        <w:t>OPTIONAL</w:t>
      </w:r>
      <w:r w:rsidRPr="00FA0D37">
        <w:t>,</w:t>
      </w:r>
    </w:p>
    <w:p w14:paraId="379A894A" w14:textId="77777777" w:rsidR="00394471" w:rsidRPr="00FA0D37" w:rsidRDefault="00394471" w:rsidP="00FA0D37">
      <w:pPr>
        <w:pStyle w:val="PL"/>
        <w:rPr>
          <w:color w:val="808080"/>
        </w:rPr>
      </w:pPr>
      <w:r w:rsidRPr="00FA0D37">
        <w:t xml:space="preserve">    </w:t>
      </w:r>
      <w:r w:rsidRPr="00FA0D37">
        <w:rPr>
          <w:color w:val="808080"/>
        </w:rPr>
        <w:t>-- R1 16-4:</w:t>
      </w:r>
      <w:r w:rsidRPr="00FA0D37">
        <w:rPr>
          <w:rFonts w:eastAsia="Malgun Gothic"/>
          <w:color w:val="808080"/>
        </w:rPr>
        <w:t xml:space="preserve"> </w:t>
      </w:r>
      <w:r w:rsidRPr="00FA0D37">
        <w:rPr>
          <w:color w:val="808080"/>
        </w:rPr>
        <w:t>Low PAPR DMRS for PDSCH</w:t>
      </w:r>
    </w:p>
    <w:p w14:paraId="3E91A2C4" w14:textId="77777777" w:rsidR="00394471" w:rsidRPr="00FA0D37" w:rsidRDefault="00394471" w:rsidP="00FA0D37">
      <w:pPr>
        <w:pStyle w:val="PL"/>
      </w:pPr>
      <w:r w:rsidRPr="00FA0D37">
        <w:t xml:space="preserve">    lowPAPR-DMRS-PDSCH-r16                      </w:t>
      </w:r>
      <w:r w:rsidRPr="00FA0D37">
        <w:rPr>
          <w:color w:val="993366"/>
        </w:rPr>
        <w:t>ENUMERATED</w:t>
      </w:r>
      <w:r w:rsidRPr="00FA0D37">
        <w:t xml:space="preserve"> {supported}                                             </w:t>
      </w:r>
      <w:r w:rsidRPr="00FA0D37">
        <w:rPr>
          <w:color w:val="993366"/>
        </w:rPr>
        <w:t>OPTIONAL</w:t>
      </w:r>
      <w:r w:rsidRPr="00FA0D37">
        <w:t>,</w:t>
      </w:r>
    </w:p>
    <w:p w14:paraId="741E0C98" w14:textId="77777777" w:rsidR="00394471" w:rsidRPr="00FA0D37" w:rsidRDefault="00394471" w:rsidP="00FA0D37">
      <w:pPr>
        <w:pStyle w:val="PL"/>
        <w:rPr>
          <w:color w:val="808080"/>
        </w:rPr>
      </w:pPr>
      <w:r w:rsidRPr="00FA0D37">
        <w:lastRenderedPageBreak/>
        <w:t xml:space="preserve">    </w:t>
      </w:r>
      <w:r w:rsidRPr="00FA0D37">
        <w:rPr>
          <w:color w:val="808080"/>
        </w:rPr>
        <w:t>-- R1 16-6a:</w:t>
      </w:r>
      <w:r w:rsidRPr="00FA0D37">
        <w:rPr>
          <w:rFonts w:eastAsia="Malgun Gothic"/>
          <w:color w:val="808080"/>
        </w:rPr>
        <w:t xml:space="preserve"> </w:t>
      </w:r>
      <w:r w:rsidRPr="00FA0D37">
        <w:rPr>
          <w:color w:val="808080"/>
        </w:rPr>
        <w:t>Low PAPR DMRS for PUSCH without transform precoding</w:t>
      </w:r>
    </w:p>
    <w:p w14:paraId="3FD629CA" w14:textId="77777777" w:rsidR="00394471" w:rsidRPr="00FA0D37" w:rsidRDefault="00394471" w:rsidP="00FA0D37">
      <w:pPr>
        <w:pStyle w:val="PL"/>
      </w:pPr>
      <w:r w:rsidRPr="00FA0D37">
        <w:t xml:space="preserve">    lowPAPR-DMRS-PUSCHwithoutPrecoding-r16      </w:t>
      </w:r>
      <w:r w:rsidRPr="00FA0D37">
        <w:rPr>
          <w:color w:val="993366"/>
        </w:rPr>
        <w:t>ENUMERATED</w:t>
      </w:r>
      <w:r w:rsidRPr="00FA0D37">
        <w:t xml:space="preserve"> {supported}                                             </w:t>
      </w:r>
      <w:r w:rsidRPr="00FA0D37">
        <w:rPr>
          <w:color w:val="993366"/>
        </w:rPr>
        <w:t>OPTIONAL</w:t>
      </w:r>
      <w:r w:rsidRPr="00FA0D37">
        <w:t>,</w:t>
      </w:r>
    </w:p>
    <w:p w14:paraId="160E0CEB" w14:textId="77777777" w:rsidR="00394471" w:rsidRPr="00FA0D37" w:rsidRDefault="00394471" w:rsidP="00FA0D37">
      <w:pPr>
        <w:pStyle w:val="PL"/>
        <w:rPr>
          <w:color w:val="808080"/>
        </w:rPr>
      </w:pPr>
      <w:r w:rsidRPr="00FA0D37">
        <w:t xml:space="preserve">    </w:t>
      </w:r>
      <w:r w:rsidRPr="00FA0D37">
        <w:rPr>
          <w:color w:val="808080"/>
        </w:rPr>
        <w:t>-- R1 16-6b:</w:t>
      </w:r>
      <w:r w:rsidRPr="00FA0D37">
        <w:rPr>
          <w:rFonts w:eastAsia="Malgun Gothic"/>
          <w:color w:val="808080"/>
        </w:rPr>
        <w:t xml:space="preserve"> </w:t>
      </w:r>
      <w:r w:rsidRPr="00FA0D37">
        <w:rPr>
          <w:color w:val="808080"/>
        </w:rPr>
        <w:t>Low PAPR DMRS for PUCCH</w:t>
      </w:r>
    </w:p>
    <w:p w14:paraId="34124161" w14:textId="77777777" w:rsidR="00394471" w:rsidRPr="00FA0D37" w:rsidRDefault="00394471" w:rsidP="00FA0D37">
      <w:pPr>
        <w:pStyle w:val="PL"/>
      </w:pPr>
      <w:r w:rsidRPr="00FA0D37">
        <w:t xml:space="preserve">    lowPAPR-DMRS-PUCCH-r16                      </w:t>
      </w:r>
      <w:r w:rsidRPr="00FA0D37">
        <w:rPr>
          <w:color w:val="993366"/>
        </w:rPr>
        <w:t>ENUMERATED</w:t>
      </w:r>
      <w:r w:rsidRPr="00FA0D37">
        <w:t xml:space="preserve"> {supported}                                             </w:t>
      </w:r>
      <w:r w:rsidRPr="00FA0D37">
        <w:rPr>
          <w:color w:val="993366"/>
        </w:rPr>
        <w:t>OPTIONAL</w:t>
      </w:r>
      <w:r w:rsidRPr="00FA0D37">
        <w:t>,</w:t>
      </w:r>
    </w:p>
    <w:p w14:paraId="3B62EDF2" w14:textId="77777777" w:rsidR="00394471" w:rsidRPr="00FA0D37" w:rsidRDefault="00394471" w:rsidP="00FA0D37">
      <w:pPr>
        <w:pStyle w:val="PL"/>
        <w:rPr>
          <w:color w:val="808080"/>
        </w:rPr>
      </w:pPr>
      <w:r w:rsidRPr="00FA0D37">
        <w:t xml:space="preserve">    </w:t>
      </w:r>
      <w:r w:rsidRPr="00FA0D37">
        <w:rPr>
          <w:color w:val="808080"/>
        </w:rPr>
        <w:t>-- R1 16-6c:</w:t>
      </w:r>
      <w:r w:rsidRPr="00FA0D37">
        <w:rPr>
          <w:rFonts w:eastAsia="Malgun Gothic"/>
          <w:color w:val="808080"/>
        </w:rPr>
        <w:t xml:space="preserve"> </w:t>
      </w:r>
      <w:r w:rsidRPr="00FA0D37">
        <w:rPr>
          <w:color w:val="808080"/>
        </w:rPr>
        <w:t>Low PAPR DMRS for PUSCH with transform precoding &amp; pi/2 BPSK</w:t>
      </w:r>
    </w:p>
    <w:p w14:paraId="5D4F303C" w14:textId="77777777" w:rsidR="00394471" w:rsidRPr="00FA0D37" w:rsidRDefault="00394471" w:rsidP="00FA0D37">
      <w:pPr>
        <w:pStyle w:val="PL"/>
      </w:pPr>
      <w:r w:rsidRPr="00FA0D37">
        <w:t xml:space="preserve">    lowPAPR-DMRS-PUSCHwithPrecoding-r16         </w:t>
      </w:r>
      <w:r w:rsidRPr="00FA0D37">
        <w:rPr>
          <w:color w:val="993366"/>
        </w:rPr>
        <w:t>ENUMERATED</w:t>
      </w:r>
      <w:r w:rsidRPr="00FA0D37">
        <w:t xml:space="preserve"> {supported}                                             </w:t>
      </w:r>
      <w:r w:rsidRPr="00FA0D37">
        <w:rPr>
          <w:color w:val="993366"/>
        </w:rPr>
        <w:t>OPTIONAL</w:t>
      </w:r>
      <w:r w:rsidRPr="00FA0D37">
        <w:t>,</w:t>
      </w:r>
    </w:p>
    <w:p w14:paraId="41FA4709" w14:textId="77777777" w:rsidR="00394471" w:rsidRPr="00FA0D37" w:rsidRDefault="00394471" w:rsidP="00FA0D37">
      <w:pPr>
        <w:pStyle w:val="PL"/>
        <w:rPr>
          <w:rFonts w:eastAsia="Malgun Gothic"/>
          <w:color w:val="808080"/>
        </w:rPr>
      </w:pPr>
      <w:r w:rsidRPr="00FA0D37">
        <w:t xml:space="preserve">    </w:t>
      </w:r>
      <w:r w:rsidRPr="00FA0D37">
        <w:rPr>
          <w:color w:val="808080"/>
        </w:rPr>
        <w:t xml:space="preserve">-- R1 16-7: </w:t>
      </w:r>
      <w:r w:rsidRPr="00FA0D37">
        <w:rPr>
          <w:rFonts w:eastAsia="Malgun Gothic"/>
          <w:color w:val="808080"/>
        </w:rPr>
        <w:t>Extension of the maximum number of configured aperiodic CSI report settings</w:t>
      </w:r>
    </w:p>
    <w:p w14:paraId="39840AEC" w14:textId="77777777" w:rsidR="00394471" w:rsidRPr="00FA0D37" w:rsidRDefault="00394471" w:rsidP="00FA0D37">
      <w:pPr>
        <w:pStyle w:val="PL"/>
      </w:pPr>
      <w:r w:rsidRPr="00FA0D37">
        <w:t xml:space="preserve">    csi-ReportFrameworkExt-r16                  CSI-ReportFrameworkExt-r16                                         </w:t>
      </w:r>
      <w:r w:rsidRPr="00FA0D37">
        <w:rPr>
          <w:color w:val="993366"/>
        </w:rPr>
        <w:t>OPTIONAL</w:t>
      </w:r>
      <w:r w:rsidRPr="00FA0D37">
        <w:t>,</w:t>
      </w:r>
    </w:p>
    <w:p w14:paraId="19A3D3BB" w14:textId="77777777" w:rsidR="00394471" w:rsidRPr="00FA0D37" w:rsidRDefault="00394471" w:rsidP="00FA0D37">
      <w:pPr>
        <w:pStyle w:val="PL"/>
        <w:rPr>
          <w:color w:val="808080"/>
        </w:rPr>
      </w:pPr>
      <w:r w:rsidRPr="00FA0D37">
        <w:t xml:space="preserve">    </w:t>
      </w:r>
      <w:r w:rsidRPr="00FA0D37">
        <w:rPr>
          <w:color w:val="808080"/>
        </w:rPr>
        <w:t>-- R1 16-3a, 16-3a-1, 16-3b, 16-3b-1, 16-8: Individual new codebook types</w:t>
      </w:r>
    </w:p>
    <w:p w14:paraId="3CFE782A" w14:textId="77777777" w:rsidR="00394471" w:rsidRPr="00FA0D37" w:rsidRDefault="00394471" w:rsidP="00FA0D37">
      <w:pPr>
        <w:pStyle w:val="PL"/>
      </w:pPr>
      <w:r w:rsidRPr="00FA0D37">
        <w:t xml:space="preserve">    codebookParametersAddition-r16              </w:t>
      </w:r>
      <w:r w:rsidRPr="00FA0D37">
        <w:rPr>
          <w:rFonts w:eastAsia="MS Mincho"/>
        </w:rPr>
        <w:t>CodebookParametersAddition-r16</w:t>
      </w:r>
      <w:r w:rsidRPr="00FA0D37">
        <w:t xml:space="preserve">                                     </w:t>
      </w:r>
      <w:r w:rsidRPr="00FA0D37">
        <w:rPr>
          <w:rFonts w:eastAsia="MS Mincho"/>
          <w:color w:val="993366"/>
        </w:rPr>
        <w:t>OPTIONAL</w:t>
      </w:r>
      <w:r w:rsidRPr="00FA0D37">
        <w:rPr>
          <w:rFonts w:eastAsia="MS Mincho"/>
        </w:rPr>
        <w:t>,</w:t>
      </w:r>
    </w:p>
    <w:p w14:paraId="0954A4D3" w14:textId="77777777" w:rsidR="00394471" w:rsidRPr="00FA0D37" w:rsidRDefault="00394471" w:rsidP="00FA0D37">
      <w:pPr>
        <w:pStyle w:val="PL"/>
        <w:rPr>
          <w:color w:val="808080"/>
        </w:rPr>
      </w:pPr>
      <w:r w:rsidRPr="00FA0D37">
        <w:t xml:space="preserve">    </w:t>
      </w:r>
      <w:r w:rsidRPr="00FA0D37">
        <w:rPr>
          <w:color w:val="808080"/>
        </w:rPr>
        <w:t>-- R1 16-8: Mixed codebook types</w:t>
      </w:r>
    </w:p>
    <w:p w14:paraId="0F43E3A9" w14:textId="77777777" w:rsidR="00394471" w:rsidRPr="00FA0D37" w:rsidRDefault="00394471" w:rsidP="00FA0D37">
      <w:pPr>
        <w:pStyle w:val="PL"/>
      </w:pPr>
      <w:r w:rsidRPr="00FA0D37">
        <w:t xml:space="preserve">    codebookComboParametersAddition-r16         </w:t>
      </w:r>
      <w:r w:rsidRPr="00FA0D37">
        <w:rPr>
          <w:rFonts w:eastAsia="MS Mincho"/>
        </w:rPr>
        <w:t>CodebookComboParametersAddition-r16</w:t>
      </w:r>
      <w:r w:rsidRPr="00FA0D37">
        <w:t xml:space="preserve">                                </w:t>
      </w:r>
      <w:r w:rsidRPr="00FA0D37">
        <w:rPr>
          <w:rFonts w:eastAsia="MS Mincho"/>
          <w:color w:val="993366"/>
        </w:rPr>
        <w:t>OPTIONAL</w:t>
      </w:r>
      <w:r w:rsidRPr="00FA0D37">
        <w:rPr>
          <w:rFonts w:eastAsia="MS Mincho"/>
        </w:rPr>
        <w:t>,</w:t>
      </w:r>
    </w:p>
    <w:p w14:paraId="3A8175EE" w14:textId="77777777" w:rsidR="00394471" w:rsidRPr="00FA0D37" w:rsidRDefault="00394471" w:rsidP="00FA0D37">
      <w:pPr>
        <w:pStyle w:val="PL"/>
        <w:rPr>
          <w:color w:val="808080"/>
        </w:rPr>
      </w:pPr>
      <w:r w:rsidRPr="00FA0D37">
        <w:t xml:space="preserve">    </w:t>
      </w:r>
      <w:r w:rsidRPr="00FA0D37">
        <w:rPr>
          <w:color w:val="808080"/>
        </w:rPr>
        <w:t>-- R4 8-2: SSB based beam correspondence</w:t>
      </w:r>
    </w:p>
    <w:p w14:paraId="1395F365" w14:textId="77777777" w:rsidR="00394471" w:rsidRPr="00FA0D37" w:rsidRDefault="00394471" w:rsidP="00FA0D37">
      <w:pPr>
        <w:pStyle w:val="PL"/>
      </w:pPr>
      <w:r w:rsidRPr="00FA0D37">
        <w:t xml:space="preserve">    beamCorrespondenceSSB-based-r16             </w:t>
      </w:r>
      <w:r w:rsidRPr="00FA0D37">
        <w:rPr>
          <w:color w:val="993366"/>
        </w:rPr>
        <w:t>ENUMERATED</w:t>
      </w:r>
      <w:r w:rsidRPr="00FA0D37">
        <w:t xml:space="preserve"> {supported}                                             </w:t>
      </w:r>
      <w:r w:rsidRPr="00FA0D37">
        <w:rPr>
          <w:color w:val="993366"/>
        </w:rPr>
        <w:t>OPTIONAL</w:t>
      </w:r>
      <w:r w:rsidRPr="00FA0D37">
        <w:t>,</w:t>
      </w:r>
    </w:p>
    <w:p w14:paraId="7AA72B8D" w14:textId="77777777" w:rsidR="00394471" w:rsidRPr="00FA0D37" w:rsidRDefault="00394471" w:rsidP="00FA0D37">
      <w:pPr>
        <w:pStyle w:val="PL"/>
        <w:rPr>
          <w:color w:val="808080"/>
        </w:rPr>
      </w:pPr>
      <w:r w:rsidRPr="00FA0D37">
        <w:t xml:space="preserve">    </w:t>
      </w:r>
      <w:r w:rsidRPr="00FA0D37">
        <w:rPr>
          <w:color w:val="808080"/>
        </w:rPr>
        <w:t>-- R4 8-3: CSI-RS based beam correspondence</w:t>
      </w:r>
    </w:p>
    <w:p w14:paraId="7A3EB376" w14:textId="77777777" w:rsidR="00394471" w:rsidRPr="00FA0D37" w:rsidRDefault="00394471" w:rsidP="00FA0D37">
      <w:pPr>
        <w:pStyle w:val="PL"/>
      </w:pPr>
      <w:r w:rsidRPr="00FA0D37">
        <w:t xml:space="preserve">    beamCorrespondenceCSI-RS-based-r16          </w:t>
      </w:r>
      <w:r w:rsidRPr="00FA0D37">
        <w:rPr>
          <w:color w:val="993366"/>
        </w:rPr>
        <w:t>ENUMERATED</w:t>
      </w:r>
      <w:r w:rsidRPr="00FA0D37">
        <w:t xml:space="preserve"> {supported}                                             </w:t>
      </w:r>
      <w:r w:rsidRPr="00FA0D37">
        <w:rPr>
          <w:color w:val="993366"/>
        </w:rPr>
        <w:t>OPTIONAL</w:t>
      </w:r>
      <w:r w:rsidRPr="00FA0D37">
        <w:t>,</w:t>
      </w:r>
    </w:p>
    <w:p w14:paraId="52779DCB" w14:textId="77777777" w:rsidR="00394471" w:rsidRPr="00FA0D37" w:rsidRDefault="00394471" w:rsidP="00FA0D37">
      <w:pPr>
        <w:pStyle w:val="PL"/>
      </w:pPr>
      <w:r w:rsidRPr="00FA0D37">
        <w:t xml:space="preserve">    beamSwitchTiming-r16                        </w:t>
      </w:r>
      <w:r w:rsidRPr="00FA0D37">
        <w:rPr>
          <w:color w:val="993366"/>
        </w:rPr>
        <w:t>SEQUENCE</w:t>
      </w:r>
      <w:r w:rsidRPr="00FA0D37">
        <w:t xml:space="preserve"> {</w:t>
      </w:r>
    </w:p>
    <w:p w14:paraId="51ED4C30" w14:textId="77777777" w:rsidR="00394471" w:rsidRPr="00FA0D37" w:rsidRDefault="00394471" w:rsidP="00FA0D37">
      <w:pPr>
        <w:pStyle w:val="PL"/>
      </w:pPr>
      <w:r w:rsidRPr="00FA0D37">
        <w:t xml:space="preserve">        scs-60kHz-r16                               </w:t>
      </w:r>
      <w:r w:rsidRPr="00FA0D37">
        <w:rPr>
          <w:color w:val="993366"/>
        </w:rPr>
        <w:t>ENUMERATED</w:t>
      </w:r>
      <w:r w:rsidRPr="00FA0D37">
        <w:t xml:space="preserve"> {sym224, sym336}                                    </w:t>
      </w:r>
      <w:r w:rsidRPr="00FA0D37">
        <w:rPr>
          <w:color w:val="993366"/>
        </w:rPr>
        <w:t>OPTIONAL</w:t>
      </w:r>
      <w:r w:rsidRPr="00FA0D37">
        <w:t>,</w:t>
      </w:r>
    </w:p>
    <w:p w14:paraId="1790A64E" w14:textId="77777777" w:rsidR="00394471" w:rsidRPr="00FA0D37" w:rsidRDefault="00394471" w:rsidP="00FA0D37">
      <w:pPr>
        <w:pStyle w:val="PL"/>
      </w:pPr>
      <w:r w:rsidRPr="00FA0D37">
        <w:t xml:space="preserve">        scs-120kHz-r16                              </w:t>
      </w:r>
      <w:r w:rsidRPr="00FA0D37">
        <w:rPr>
          <w:color w:val="993366"/>
        </w:rPr>
        <w:t>ENUMERATED</w:t>
      </w:r>
      <w:r w:rsidRPr="00FA0D37">
        <w:t xml:space="preserve"> {sym224, sym336}                                    </w:t>
      </w:r>
      <w:r w:rsidRPr="00FA0D37">
        <w:rPr>
          <w:color w:val="993366"/>
        </w:rPr>
        <w:t>OPTIONAL</w:t>
      </w:r>
    </w:p>
    <w:p w14:paraId="2348C226" w14:textId="77777777" w:rsidR="00394471" w:rsidRPr="00FA0D37" w:rsidRDefault="00394471" w:rsidP="00FA0D37">
      <w:pPr>
        <w:pStyle w:val="PL"/>
      </w:pPr>
      <w:r w:rsidRPr="00FA0D37">
        <w:t xml:space="preserve">    }                                                                                                              </w:t>
      </w:r>
      <w:r w:rsidRPr="00FA0D37">
        <w:rPr>
          <w:color w:val="993366"/>
        </w:rPr>
        <w:t>OPTIONAL</w:t>
      </w:r>
    </w:p>
    <w:p w14:paraId="37A4203E" w14:textId="2D7D18D0" w:rsidR="00D027C1" w:rsidRPr="00FA0D37" w:rsidRDefault="00394471" w:rsidP="00FA0D37">
      <w:pPr>
        <w:pStyle w:val="PL"/>
      </w:pPr>
      <w:r w:rsidRPr="00FA0D37">
        <w:t xml:space="preserve">    ]]</w:t>
      </w:r>
      <w:r w:rsidR="00D027C1" w:rsidRPr="00FA0D37">
        <w:t>,</w:t>
      </w:r>
    </w:p>
    <w:p w14:paraId="2E75C3EA" w14:textId="188250D9" w:rsidR="00D027C1" w:rsidRPr="00FA0D37" w:rsidRDefault="00D027C1" w:rsidP="00FA0D37">
      <w:pPr>
        <w:pStyle w:val="PL"/>
      </w:pPr>
      <w:r w:rsidRPr="00FA0D37">
        <w:t xml:space="preserve">    [[</w:t>
      </w:r>
    </w:p>
    <w:p w14:paraId="76E9B63B" w14:textId="7D87EE51" w:rsidR="00D027C1" w:rsidRPr="00FA0D37" w:rsidRDefault="00D027C1" w:rsidP="00FA0D37">
      <w:pPr>
        <w:pStyle w:val="PL"/>
        <w:rPr>
          <w:rFonts w:eastAsia="Malgun Gothic"/>
          <w:color w:val="808080"/>
        </w:rPr>
      </w:pPr>
      <w:r w:rsidRPr="00FA0D37">
        <w:t xml:space="preserve">    </w:t>
      </w:r>
      <w:r w:rsidRPr="00FA0D37">
        <w:rPr>
          <w:color w:val="808080"/>
        </w:rPr>
        <w:t>-- R1 16-1a-4:</w:t>
      </w:r>
      <w:r w:rsidRPr="00FA0D37">
        <w:rPr>
          <w:rFonts w:eastAsia="Malgun Gothic"/>
          <w:color w:val="808080"/>
        </w:rPr>
        <w:t xml:space="preserve"> </w:t>
      </w:r>
      <w:r w:rsidRPr="00FA0D37">
        <w:rPr>
          <w:color w:val="808080"/>
        </w:rPr>
        <w:t>Semi-persistent L1-SINR report on PUCCH</w:t>
      </w:r>
    </w:p>
    <w:p w14:paraId="7F00E78C" w14:textId="62CE938F" w:rsidR="00D027C1" w:rsidRPr="00FA0D37" w:rsidRDefault="00D027C1" w:rsidP="00FA0D37">
      <w:pPr>
        <w:pStyle w:val="PL"/>
        <w:rPr>
          <w:rFonts w:eastAsia="Malgun Gothic"/>
        </w:rPr>
      </w:pPr>
      <w:r w:rsidRPr="00FA0D37">
        <w:t xml:space="preserve">    </w:t>
      </w:r>
      <w:r w:rsidRPr="00FA0D37">
        <w:rPr>
          <w:rFonts w:eastAsia="Malgun Gothic"/>
        </w:rPr>
        <w:t>semi-PersistentL1-SINR-Report-PUCCH-r16</w:t>
      </w:r>
      <w:r w:rsidRPr="00FA0D37">
        <w:t xml:space="preserve">     </w:t>
      </w:r>
      <w:r w:rsidRPr="00FA0D37">
        <w:rPr>
          <w:color w:val="993366"/>
        </w:rPr>
        <w:t>SEQUENCE</w:t>
      </w:r>
      <w:r w:rsidRPr="00FA0D37">
        <w:rPr>
          <w:rFonts w:eastAsia="Malgun Gothic"/>
        </w:rPr>
        <w:t xml:space="preserve"> {</w:t>
      </w:r>
    </w:p>
    <w:p w14:paraId="60BFD846" w14:textId="29FFB1C9" w:rsidR="00D027C1" w:rsidRPr="00FA0D37" w:rsidRDefault="00D027C1" w:rsidP="00FA0D37">
      <w:pPr>
        <w:pStyle w:val="PL"/>
        <w:rPr>
          <w:rFonts w:eastAsia="Malgun Gothic"/>
        </w:rPr>
      </w:pPr>
      <w:r w:rsidRPr="00FA0D37">
        <w:t xml:space="preserve">        </w:t>
      </w:r>
      <w:r w:rsidRPr="00FA0D37">
        <w:rPr>
          <w:rFonts w:eastAsia="Malgun Gothic"/>
        </w:rPr>
        <w:t>supportReportFormat1-2OFDM-syms-r16</w:t>
      </w:r>
      <w:r w:rsidRPr="00FA0D37">
        <w:t xml:space="preserve">         </w:t>
      </w:r>
      <w:r w:rsidRPr="00FA0D37">
        <w:rPr>
          <w:color w:val="993366"/>
        </w:rPr>
        <w:t>ENUMERATED</w:t>
      </w:r>
      <w:r w:rsidRPr="00FA0D37">
        <w:rPr>
          <w:rFonts w:eastAsia="Malgun Gothic"/>
        </w:rPr>
        <w:t xml:space="preserve"> {supported}</w:t>
      </w:r>
      <w:r w:rsidRPr="00FA0D37">
        <w:t xml:space="preserve">                                     </w:t>
      </w:r>
      <w:r w:rsidRPr="00FA0D37">
        <w:rPr>
          <w:color w:val="993366"/>
        </w:rPr>
        <w:t>OPTIONAL</w:t>
      </w:r>
      <w:r w:rsidRPr="00FA0D37">
        <w:rPr>
          <w:rFonts w:eastAsia="Malgun Gothic"/>
        </w:rPr>
        <w:t>,</w:t>
      </w:r>
    </w:p>
    <w:p w14:paraId="3AD8DD5B" w14:textId="515447E2" w:rsidR="00D027C1" w:rsidRPr="00FA0D37" w:rsidRDefault="00D027C1" w:rsidP="00FA0D37">
      <w:pPr>
        <w:pStyle w:val="PL"/>
        <w:rPr>
          <w:rFonts w:eastAsia="Malgun Gothic"/>
        </w:rPr>
      </w:pPr>
      <w:r w:rsidRPr="00FA0D37">
        <w:t xml:space="preserve">        </w:t>
      </w:r>
      <w:r w:rsidRPr="00FA0D37">
        <w:rPr>
          <w:rFonts w:eastAsia="Malgun Gothic"/>
        </w:rPr>
        <w:t>supportReportFormat4-14OFDM-syms-r16</w:t>
      </w:r>
      <w:r w:rsidRPr="00FA0D37">
        <w:t xml:space="preserve">        </w:t>
      </w:r>
      <w:r w:rsidRPr="00FA0D37">
        <w:rPr>
          <w:color w:val="993366"/>
        </w:rPr>
        <w:t>ENUMERATED</w:t>
      </w:r>
      <w:r w:rsidRPr="00FA0D37">
        <w:rPr>
          <w:rFonts w:eastAsia="Malgun Gothic"/>
        </w:rPr>
        <w:t xml:space="preserve"> {supported}</w:t>
      </w:r>
      <w:r w:rsidRPr="00FA0D37">
        <w:t xml:space="preserve">                                     </w:t>
      </w:r>
      <w:r w:rsidRPr="00FA0D37">
        <w:rPr>
          <w:color w:val="993366"/>
        </w:rPr>
        <w:t>OPTIONAL</w:t>
      </w:r>
    </w:p>
    <w:p w14:paraId="2CB0C36D" w14:textId="2956771B" w:rsidR="00D027C1" w:rsidRPr="00FA0D37" w:rsidRDefault="00D027C1" w:rsidP="00FA0D37">
      <w:pPr>
        <w:pStyle w:val="PL"/>
        <w:rPr>
          <w:rFonts w:eastAsia="Malgun Gothic"/>
        </w:rPr>
      </w:pPr>
      <w:r w:rsidRPr="00FA0D37">
        <w:t xml:space="preserve">    </w:t>
      </w:r>
      <w:r w:rsidRPr="00FA0D37">
        <w:rPr>
          <w:rFonts w:eastAsia="Malgun Gothic"/>
        </w:rPr>
        <w:t>}</w:t>
      </w:r>
      <w:r w:rsidRPr="00FA0D37">
        <w:t xml:space="preserve">                                                                                                          </w:t>
      </w:r>
      <w:r w:rsidRPr="00FA0D37">
        <w:rPr>
          <w:color w:val="993366"/>
        </w:rPr>
        <w:t>OPTIONAL</w:t>
      </w:r>
      <w:r w:rsidRPr="00FA0D37">
        <w:rPr>
          <w:rFonts w:eastAsia="Malgun Gothic"/>
        </w:rPr>
        <w:t>,</w:t>
      </w:r>
    </w:p>
    <w:p w14:paraId="1445FE7F" w14:textId="7523FDA7" w:rsidR="00D027C1" w:rsidRPr="00FA0D37" w:rsidRDefault="00D027C1" w:rsidP="00FA0D37">
      <w:pPr>
        <w:pStyle w:val="PL"/>
        <w:rPr>
          <w:rFonts w:eastAsia="Malgun Gothic"/>
          <w:color w:val="808080"/>
        </w:rPr>
      </w:pPr>
      <w:r w:rsidRPr="00FA0D37">
        <w:t xml:space="preserve">    </w:t>
      </w:r>
      <w:r w:rsidRPr="00FA0D37">
        <w:rPr>
          <w:color w:val="808080"/>
        </w:rPr>
        <w:t>-- R1 16-1a-5:</w:t>
      </w:r>
      <w:r w:rsidRPr="00FA0D37">
        <w:rPr>
          <w:rFonts w:eastAsia="Malgun Gothic"/>
          <w:color w:val="808080"/>
        </w:rPr>
        <w:t xml:space="preserve"> </w:t>
      </w:r>
      <w:r w:rsidRPr="00FA0D37">
        <w:rPr>
          <w:color w:val="808080"/>
        </w:rPr>
        <w:t>Semi-persistent L1-SINR report on PUSCH</w:t>
      </w:r>
    </w:p>
    <w:p w14:paraId="5C411611" w14:textId="59D538B5" w:rsidR="00D027C1" w:rsidRPr="00FA0D37" w:rsidRDefault="00D027C1" w:rsidP="00FA0D37">
      <w:pPr>
        <w:pStyle w:val="PL"/>
        <w:rPr>
          <w:rFonts w:eastAsia="Malgun Gothic"/>
        </w:rPr>
      </w:pPr>
      <w:r w:rsidRPr="00FA0D37">
        <w:t xml:space="preserve">    </w:t>
      </w:r>
      <w:r w:rsidRPr="00FA0D37">
        <w:rPr>
          <w:rFonts w:eastAsia="Malgun Gothic"/>
        </w:rPr>
        <w:t>semi-PersistentL1-SINR-Report-PUSCH-r16</w:t>
      </w:r>
      <w:r w:rsidRPr="00FA0D37">
        <w:t xml:space="preserve">    </w:t>
      </w:r>
      <w:r w:rsidR="00D12CC0" w:rsidRPr="00FA0D37">
        <w:t xml:space="preserve"> </w:t>
      </w:r>
      <w:r w:rsidRPr="00FA0D37">
        <w:rPr>
          <w:color w:val="993366"/>
        </w:rPr>
        <w:t>ENUMERATED</w:t>
      </w:r>
      <w:r w:rsidRPr="00FA0D37">
        <w:rPr>
          <w:rFonts w:eastAsia="Malgun Gothic"/>
        </w:rPr>
        <w:t xml:space="preserve"> {supported}</w:t>
      </w:r>
      <w:r w:rsidRPr="00FA0D37">
        <w:t xml:space="preserve">                                         </w:t>
      </w:r>
      <w:r w:rsidRPr="00FA0D37">
        <w:rPr>
          <w:color w:val="993366"/>
        </w:rPr>
        <w:t>OPTIONAL</w:t>
      </w:r>
    </w:p>
    <w:p w14:paraId="537BC0C2" w14:textId="277E53C5" w:rsidR="00D12CC0" w:rsidRPr="00FA0D37" w:rsidRDefault="00D027C1" w:rsidP="00FA0D37">
      <w:pPr>
        <w:pStyle w:val="PL"/>
      </w:pPr>
      <w:r w:rsidRPr="00FA0D37">
        <w:t xml:space="preserve">    ]]</w:t>
      </w:r>
      <w:r w:rsidR="00D12CC0" w:rsidRPr="00FA0D37">
        <w:t>,</w:t>
      </w:r>
    </w:p>
    <w:p w14:paraId="4D9EC617" w14:textId="76390D11" w:rsidR="00D12CC0" w:rsidRPr="00FA0D37" w:rsidRDefault="00D12CC0" w:rsidP="00FA0D37">
      <w:pPr>
        <w:pStyle w:val="PL"/>
      </w:pPr>
      <w:r w:rsidRPr="00FA0D37">
        <w:t xml:space="preserve">    [[</w:t>
      </w:r>
    </w:p>
    <w:p w14:paraId="5F22449C" w14:textId="53738116" w:rsidR="00D12CC0" w:rsidRPr="00FA0D37" w:rsidRDefault="00D12CC0" w:rsidP="00FA0D37">
      <w:pPr>
        <w:pStyle w:val="PL"/>
        <w:rPr>
          <w:color w:val="808080"/>
        </w:rPr>
      </w:pPr>
      <w:r w:rsidRPr="00FA0D37">
        <w:t xml:space="preserve">    </w:t>
      </w:r>
      <w:r w:rsidRPr="00FA0D37">
        <w:rPr>
          <w:color w:val="808080"/>
        </w:rPr>
        <w:t>-- R1 16-1h: Support of 64 configured PUCCH spatial relations</w:t>
      </w:r>
    </w:p>
    <w:p w14:paraId="40AEEFDC" w14:textId="1E06B583" w:rsidR="00D12CC0" w:rsidRPr="00FA0D37" w:rsidRDefault="00D12CC0" w:rsidP="00FA0D37">
      <w:pPr>
        <w:pStyle w:val="PL"/>
      </w:pPr>
      <w:r w:rsidRPr="00FA0D37">
        <w:t xml:space="preserve">    spatialRelations-v</w:t>
      </w:r>
      <w:r w:rsidR="000C2783" w:rsidRPr="00FA0D37">
        <w:t>1640</w:t>
      </w:r>
      <w:r w:rsidRPr="00FA0D37">
        <w:t xml:space="preserve">                      </w:t>
      </w:r>
      <w:r w:rsidRPr="00FA0D37">
        <w:rPr>
          <w:color w:val="993366"/>
        </w:rPr>
        <w:t>SEQUENCE</w:t>
      </w:r>
      <w:r w:rsidRPr="00FA0D37">
        <w:t xml:space="preserve"> {</w:t>
      </w:r>
    </w:p>
    <w:p w14:paraId="1234A6F0" w14:textId="152C5B61" w:rsidR="00D12CC0" w:rsidRPr="00FA0D37" w:rsidRDefault="00D12CC0" w:rsidP="00FA0D37">
      <w:pPr>
        <w:pStyle w:val="PL"/>
      </w:pPr>
      <w:r w:rsidRPr="00FA0D37">
        <w:t xml:space="preserve">        maxNumberConfiguredSpatialRelations-v</w:t>
      </w:r>
      <w:r w:rsidR="000C2783" w:rsidRPr="00FA0D37">
        <w:t>1640</w:t>
      </w:r>
      <w:r w:rsidRPr="00FA0D37">
        <w:t xml:space="preserve">   </w:t>
      </w:r>
      <w:r w:rsidRPr="00FA0D37">
        <w:rPr>
          <w:color w:val="993366"/>
        </w:rPr>
        <w:t>ENUMERATED</w:t>
      </w:r>
      <w:r w:rsidRPr="00FA0D37">
        <w:t xml:space="preserve"> {n96, n128, n160, n192, n224, n256, n288, n320}</w:t>
      </w:r>
    </w:p>
    <w:p w14:paraId="08F4FAC4" w14:textId="525745E7" w:rsidR="00D12CC0" w:rsidRPr="00FA0D37" w:rsidRDefault="00D12CC0" w:rsidP="00FA0D37">
      <w:pPr>
        <w:pStyle w:val="PL"/>
      </w:pPr>
      <w:r w:rsidRPr="00FA0D37">
        <w:t xml:space="preserve">    }                                                                                                          </w:t>
      </w:r>
      <w:r w:rsidRPr="00FA0D37">
        <w:rPr>
          <w:color w:val="993366"/>
        </w:rPr>
        <w:t>OPTIONAL</w:t>
      </w:r>
      <w:r w:rsidRPr="00FA0D37">
        <w:t>,</w:t>
      </w:r>
    </w:p>
    <w:p w14:paraId="3944DFCF" w14:textId="1A2880F7" w:rsidR="00D12CC0" w:rsidRPr="00FA0D37" w:rsidRDefault="00D12CC0" w:rsidP="00FA0D37">
      <w:pPr>
        <w:pStyle w:val="PL"/>
        <w:rPr>
          <w:color w:val="808080"/>
        </w:rPr>
      </w:pPr>
      <w:r w:rsidRPr="00FA0D37">
        <w:t xml:space="preserve">    </w:t>
      </w:r>
      <w:r w:rsidRPr="00FA0D37">
        <w:rPr>
          <w:color w:val="808080"/>
        </w:rPr>
        <w:t>-- R1 16-1i: Support of 64 configured candidate beam RSs for BFR</w:t>
      </w:r>
    </w:p>
    <w:p w14:paraId="224AE14B" w14:textId="6993F161" w:rsidR="00D12CC0" w:rsidRPr="00FA0D37" w:rsidRDefault="00D12CC0" w:rsidP="00FA0D37">
      <w:pPr>
        <w:pStyle w:val="PL"/>
      </w:pPr>
      <w:r w:rsidRPr="00FA0D37">
        <w:t xml:space="preserve">    support64CandidateBeamRS-BFR-r16            </w:t>
      </w:r>
      <w:r w:rsidRPr="00FA0D37">
        <w:rPr>
          <w:color w:val="993366"/>
        </w:rPr>
        <w:t>ENUMERATED</w:t>
      </w:r>
      <w:r w:rsidRPr="00FA0D37">
        <w:t xml:space="preserve"> {supported}                                         </w:t>
      </w:r>
      <w:r w:rsidRPr="00FA0D37">
        <w:rPr>
          <w:color w:val="993366"/>
        </w:rPr>
        <w:t>OPTIONAL</w:t>
      </w:r>
    </w:p>
    <w:p w14:paraId="487D7BA3" w14:textId="051A53B8" w:rsidR="00101E4C" w:rsidRPr="00FA0D37" w:rsidRDefault="00D12CC0" w:rsidP="00FA0D37">
      <w:pPr>
        <w:pStyle w:val="PL"/>
      </w:pPr>
      <w:r w:rsidRPr="00FA0D37">
        <w:t xml:space="preserve">    ]]</w:t>
      </w:r>
      <w:r w:rsidR="00101E4C" w:rsidRPr="00FA0D37">
        <w:t>,</w:t>
      </w:r>
    </w:p>
    <w:p w14:paraId="10FCE892" w14:textId="0E6F1AB1" w:rsidR="00101E4C" w:rsidRPr="00FA0D37" w:rsidRDefault="00101E4C" w:rsidP="00FA0D37">
      <w:pPr>
        <w:pStyle w:val="PL"/>
      </w:pPr>
      <w:r w:rsidRPr="00FA0D37">
        <w:t xml:space="preserve">    [[</w:t>
      </w:r>
    </w:p>
    <w:p w14:paraId="5172E009" w14:textId="77777777" w:rsidR="00101E4C" w:rsidRPr="00FA0D37" w:rsidRDefault="00101E4C" w:rsidP="00FA0D37">
      <w:pPr>
        <w:pStyle w:val="PL"/>
        <w:rPr>
          <w:color w:val="808080"/>
        </w:rPr>
      </w:pPr>
      <w:r w:rsidRPr="00FA0D37">
        <w:t xml:space="preserve">    </w:t>
      </w:r>
      <w:r w:rsidRPr="00FA0D37">
        <w:rPr>
          <w:color w:val="808080"/>
        </w:rPr>
        <w:t>-- R1 16-2a-9: Interpretation of maxNumberMIMO-LayersPDSCH for multi-DCI based mTRP</w:t>
      </w:r>
    </w:p>
    <w:p w14:paraId="3F099F8C" w14:textId="06823DD7" w:rsidR="00101E4C" w:rsidRPr="00FA0D37" w:rsidRDefault="00101E4C" w:rsidP="00FA0D37">
      <w:pPr>
        <w:pStyle w:val="PL"/>
      </w:pPr>
      <w:r w:rsidRPr="00FA0D37">
        <w:t xml:space="preserve">    maxMIMO-LayersForMulti-DCI-mTRP-r16         </w:t>
      </w:r>
      <w:r w:rsidRPr="00FA0D37">
        <w:rPr>
          <w:color w:val="993366"/>
        </w:rPr>
        <w:t>ENUMERATED</w:t>
      </w:r>
      <w:r w:rsidRPr="00FA0D37">
        <w:t xml:space="preserve"> {supported}                                         </w:t>
      </w:r>
      <w:r w:rsidRPr="00FA0D37">
        <w:rPr>
          <w:color w:val="993366"/>
        </w:rPr>
        <w:t>OPTIONAL</w:t>
      </w:r>
    </w:p>
    <w:p w14:paraId="520464D0" w14:textId="58CEE7FC" w:rsidR="00A819B6" w:rsidRPr="00FA0D37" w:rsidRDefault="00101E4C" w:rsidP="00FA0D37">
      <w:pPr>
        <w:pStyle w:val="PL"/>
      </w:pPr>
      <w:r w:rsidRPr="00FA0D37">
        <w:t xml:space="preserve">    ]]</w:t>
      </w:r>
      <w:r w:rsidR="00A819B6" w:rsidRPr="00FA0D37">
        <w:t>,</w:t>
      </w:r>
    </w:p>
    <w:p w14:paraId="0D9C6073" w14:textId="235973D4" w:rsidR="00A819B6" w:rsidRPr="00FA0D37" w:rsidRDefault="00A819B6" w:rsidP="00FA0D37">
      <w:pPr>
        <w:pStyle w:val="PL"/>
      </w:pPr>
      <w:r w:rsidRPr="00FA0D37">
        <w:t xml:space="preserve">    [[</w:t>
      </w:r>
    </w:p>
    <w:p w14:paraId="432CC9EF" w14:textId="35AD82A3" w:rsidR="00A819B6" w:rsidRPr="00FA0D37" w:rsidRDefault="00A819B6" w:rsidP="00FA0D37">
      <w:pPr>
        <w:pStyle w:val="PL"/>
      </w:pPr>
      <w:r w:rsidRPr="00FA0D37">
        <w:t xml:space="preserve">    supportedSINR-meas-v16</w:t>
      </w:r>
      <w:r w:rsidR="00EE4C48" w:rsidRPr="00FA0D37">
        <w:t>70</w:t>
      </w:r>
      <w:r w:rsidRPr="00FA0D37">
        <w:t xml:space="preserv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w:t>
      </w:r>
      <w:r w:rsidR="00425A53" w:rsidRPr="00FA0D37">
        <w:t>)</w:t>
      </w:r>
      <w:r w:rsidRPr="00FA0D37">
        <w:t xml:space="preserve">                                          </w:t>
      </w:r>
      <w:r w:rsidRPr="00FA0D37">
        <w:rPr>
          <w:color w:val="993366"/>
        </w:rPr>
        <w:t>OPTIONAL</w:t>
      </w:r>
    </w:p>
    <w:p w14:paraId="3D9B4D0B" w14:textId="3864426E" w:rsidR="00022DF1" w:rsidRPr="00FA0D37" w:rsidRDefault="00A819B6" w:rsidP="00FA0D37">
      <w:pPr>
        <w:pStyle w:val="PL"/>
      </w:pPr>
      <w:r w:rsidRPr="00FA0D37">
        <w:t xml:space="preserve">    ]]</w:t>
      </w:r>
      <w:r w:rsidR="00022DF1" w:rsidRPr="00FA0D37">
        <w:t>,</w:t>
      </w:r>
    </w:p>
    <w:p w14:paraId="09E77CE3" w14:textId="141ED01B" w:rsidR="00022DF1" w:rsidRPr="00FA0D37" w:rsidRDefault="00022DF1" w:rsidP="00FA0D37">
      <w:pPr>
        <w:pStyle w:val="PL"/>
      </w:pPr>
      <w:r w:rsidRPr="00FA0D37">
        <w:t xml:space="preserve">    [[</w:t>
      </w:r>
    </w:p>
    <w:p w14:paraId="10AEB46F" w14:textId="4AE13425" w:rsidR="00022DF1" w:rsidRPr="00FA0D37" w:rsidRDefault="00022DF1" w:rsidP="00FA0D37">
      <w:pPr>
        <w:pStyle w:val="PL"/>
        <w:rPr>
          <w:color w:val="808080"/>
        </w:rPr>
      </w:pPr>
      <w:r w:rsidRPr="00FA0D37">
        <w:t xml:space="preserve">    </w:t>
      </w:r>
      <w:r w:rsidRPr="00FA0D37">
        <w:rPr>
          <w:color w:val="808080"/>
        </w:rPr>
        <w:t>-- R1 23-8-5</w:t>
      </w:r>
      <w:r w:rsidRPr="00FA0D37">
        <w:rPr>
          <w:color w:val="808080"/>
        </w:rPr>
        <w:tab/>
        <w:t>Increased repetition for SRS</w:t>
      </w:r>
    </w:p>
    <w:p w14:paraId="194CC0FF" w14:textId="5FD05470" w:rsidR="00022DF1" w:rsidRPr="00FA0D37" w:rsidRDefault="00022DF1" w:rsidP="00FA0D37">
      <w:pPr>
        <w:pStyle w:val="PL"/>
      </w:pPr>
      <w:r w:rsidRPr="00FA0D37">
        <w:t xml:space="preserve">    srs-increasedRepetition-r17                 </w:t>
      </w:r>
      <w:r w:rsidRPr="00FA0D37">
        <w:rPr>
          <w:color w:val="993366"/>
        </w:rPr>
        <w:t>ENUMERATED</w:t>
      </w:r>
      <w:r w:rsidRPr="00FA0D37">
        <w:t xml:space="preserve"> {supported}                                         </w:t>
      </w:r>
      <w:r w:rsidRPr="00FA0D37">
        <w:rPr>
          <w:color w:val="993366"/>
        </w:rPr>
        <w:t>OPTIONAL</w:t>
      </w:r>
      <w:r w:rsidRPr="00FA0D37">
        <w:t>,</w:t>
      </w:r>
    </w:p>
    <w:p w14:paraId="3094B2BB" w14:textId="1EEFD7F7" w:rsidR="00022DF1" w:rsidRPr="00FA0D37" w:rsidRDefault="00022DF1" w:rsidP="00FA0D37">
      <w:pPr>
        <w:pStyle w:val="PL"/>
        <w:rPr>
          <w:color w:val="808080"/>
        </w:rPr>
      </w:pPr>
      <w:r w:rsidRPr="00FA0D37">
        <w:t xml:space="preserve">    </w:t>
      </w:r>
      <w:r w:rsidRPr="00FA0D37">
        <w:rPr>
          <w:color w:val="808080"/>
        </w:rPr>
        <w:t>-- R1 23-8-6</w:t>
      </w:r>
      <w:r w:rsidRPr="00FA0D37">
        <w:rPr>
          <w:color w:val="808080"/>
        </w:rPr>
        <w:tab/>
        <w:t>Partial frequency sounding of SRS</w:t>
      </w:r>
    </w:p>
    <w:p w14:paraId="53997D55" w14:textId="1BDF23EE" w:rsidR="00022DF1" w:rsidRPr="00FA0D37" w:rsidRDefault="00022DF1" w:rsidP="00FA0D37">
      <w:pPr>
        <w:pStyle w:val="PL"/>
      </w:pPr>
      <w:r w:rsidRPr="00FA0D37">
        <w:t xml:space="preserve">    srs-partialFrequencySounding-r17            </w:t>
      </w:r>
      <w:r w:rsidRPr="00FA0D37">
        <w:rPr>
          <w:color w:val="993366"/>
        </w:rPr>
        <w:t>ENUMERATED</w:t>
      </w:r>
      <w:r w:rsidRPr="00FA0D37">
        <w:t xml:space="preserve"> {supported}                                         </w:t>
      </w:r>
      <w:r w:rsidRPr="00FA0D37">
        <w:rPr>
          <w:color w:val="993366"/>
        </w:rPr>
        <w:t>OPTIONAL</w:t>
      </w:r>
      <w:r w:rsidRPr="00FA0D37">
        <w:t>,</w:t>
      </w:r>
    </w:p>
    <w:p w14:paraId="426A1812" w14:textId="1804DE7E" w:rsidR="00022DF1" w:rsidRPr="00FA0D37" w:rsidRDefault="00022DF1" w:rsidP="00FA0D37">
      <w:pPr>
        <w:pStyle w:val="PL"/>
        <w:rPr>
          <w:color w:val="808080"/>
        </w:rPr>
      </w:pPr>
      <w:r w:rsidRPr="00FA0D37">
        <w:t xml:space="preserve">    </w:t>
      </w:r>
      <w:r w:rsidRPr="00FA0D37">
        <w:rPr>
          <w:color w:val="808080"/>
        </w:rPr>
        <w:t>-- R1 23-8-7</w:t>
      </w:r>
      <w:r w:rsidRPr="00FA0D37">
        <w:rPr>
          <w:color w:val="808080"/>
        </w:rPr>
        <w:tab/>
        <w:t>Start RB location hopping for partial frequency SRS</w:t>
      </w:r>
    </w:p>
    <w:p w14:paraId="7B2A3D7B" w14:textId="2464397F" w:rsidR="00022DF1" w:rsidRPr="00FA0D37" w:rsidRDefault="00022DF1" w:rsidP="00FA0D37">
      <w:pPr>
        <w:pStyle w:val="PL"/>
      </w:pPr>
      <w:r w:rsidRPr="00FA0D37">
        <w:lastRenderedPageBreak/>
        <w:t xml:space="preserve">    srs-startRB-locationHoppingPartial-r17      </w:t>
      </w:r>
      <w:r w:rsidRPr="00FA0D37">
        <w:rPr>
          <w:color w:val="993366"/>
        </w:rPr>
        <w:t>ENUMERATED</w:t>
      </w:r>
      <w:r w:rsidRPr="00FA0D37">
        <w:t xml:space="preserve"> {supported}                                         </w:t>
      </w:r>
      <w:r w:rsidRPr="00FA0D37">
        <w:rPr>
          <w:color w:val="993366"/>
        </w:rPr>
        <w:t>OPTIONAL</w:t>
      </w:r>
      <w:r w:rsidRPr="00FA0D37">
        <w:t>,</w:t>
      </w:r>
    </w:p>
    <w:p w14:paraId="1E859ACF" w14:textId="4AB3795C" w:rsidR="00022DF1" w:rsidRPr="00FA0D37" w:rsidRDefault="00022DF1" w:rsidP="00FA0D37">
      <w:pPr>
        <w:pStyle w:val="PL"/>
        <w:rPr>
          <w:color w:val="808080"/>
        </w:rPr>
      </w:pPr>
      <w:r w:rsidRPr="00FA0D37">
        <w:t xml:space="preserve">    </w:t>
      </w:r>
      <w:r w:rsidRPr="00FA0D37">
        <w:rPr>
          <w:color w:val="808080"/>
        </w:rPr>
        <w:t>-- R1 23-8-8</w:t>
      </w:r>
      <w:r w:rsidRPr="00FA0D37">
        <w:rPr>
          <w:color w:val="808080"/>
        </w:rPr>
        <w:tab/>
        <w:t>Comb-8 SRS</w:t>
      </w:r>
    </w:p>
    <w:p w14:paraId="0690CC3F" w14:textId="2D3485B9" w:rsidR="00022DF1" w:rsidRPr="00FA0D37" w:rsidRDefault="00022DF1" w:rsidP="00FA0D37">
      <w:pPr>
        <w:pStyle w:val="PL"/>
      </w:pPr>
      <w:r w:rsidRPr="00FA0D37">
        <w:t xml:space="preserve">    srs-combEight-r17                           </w:t>
      </w:r>
      <w:r w:rsidRPr="00FA0D37">
        <w:rPr>
          <w:color w:val="993366"/>
        </w:rPr>
        <w:t>ENUMERATED</w:t>
      </w:r>
      <w:r w:rsidRPr="00FA0D37">
        <w:t xml:space="preserve"> {supported}                                         </w:t>
      </w:r>
      <w:r w:rsidRPr="00FA0D37">
        <w:rPr>
          <w:color w:val="993366"/>
        </w:rPr>
        <w:t>OPTIONAL</w:t>
      </w:r>
      <w:r w:rsidRPr="00FA0D37">
        <w:t>,</w:t>
      </w:r>
    </w:p>
    <w:p w14:paraId="7BF84694" w14:textId="77777777" w:rsidR="00022DF1" w:rsidRPr="00FA0D37" w:rsidRDefault="00022DF1" w:rsidP="00FA0D37">
      <w:pPr>
        <w:pStyle w:val="PL"/>
        <w:rPr>
          <w:color w:val="808080"/>
        </w:rPr>
      </w:pPr>
      <w:r w:rsidRPr="00FA0D37">
        <w:t xml:space="preserve">    </w:t>
      </w:r>
      <w:r w:rsidRPr="00FA0D37">
        <w:rPr>
          <w:color w:val="808080"/>
        </w:rPr>
        <w:t>-- R1 23-9-1</w:t>
      </w:r>
      <w:r w:rsidRPr="00FA0D37">
        <w:rPr>
          <w:color w:val="808080"/>
        </w:rPr>
        <w:tab/>
        <w:t>Basic Features of Further Enhanced Port-Selection Type II Codebook (FeType-II) per band information</w:t>
      </w:r>
    </w:p>
    <w:p w14:paraId="7EB896B8" w14:textId="42F27642" w:rsidR="00022DF1" w:rsidRPr="00FA0D37" w:rsidRDefault="00022DF1" w:rsidP="00FA0D37">
      <w:pPr>
        <w:pStyle w:val="PL"/>
      </w:pPr>
      <w:r w:rsidRPr="00FA0D37">
        <w:t xml:space="preserve">    codebookParametersfetype2-r17               CodebookParametersfetype2-r17                                  </w:t>
      </w:r>
      <w:r w:rsidRPr="00FA0D37">
        <w:rPr>
          <w:color w:val="993366"/>
        </w:rPr>
        <w:t>OPTIONAL</w:t>
      </w:r>
      <w:r w:rsidR="007939B7" w:rsidRPr="00FA0D37">
        <w:t>,</w:t>
      </w:r>
    </w:p>
    <w:p w14:paraId="7A214A29" w14:textId="171D20C6" w:rsidR="007939B7" w:rsidRPr="00FA0D37" w:rsidRDefault="007939B7" w:rsidP="00FA0D37">
      <w:pPr>
        <w:pStyle w:val="PL"/>
        <w:rPr>
          <w:color w:val="808080"/>
        </w:rPr>
      </w:pPr>
      <w:r w:rsidRPr="00FA0D37">
        <w:t xml:space="preserve">    </w:t>
      </w:r>
      <w:r w:rsidRPr="00FA0D37">
        <w:rPr>
          <w:color w:val="808080"/>
        </w:rPr>
        <w:t>-- R1 23-3-1-2a    Two associated CSI-RS resources</w:t>
      </w:r>
    </w:p>
    <w:p w14:paraId="6A270885" w14:textId="024A64AD" w:rsidR="007939B7" w:rsidRPr="00FA0D37" w:rsidRDefault="007939B7" w:rsidP="00FA0D37">
      <w:pPr>
        <w:pStyle w:val="PL"/>
      </w:pPr>
      <w:r w:rsidRPr="00FA0D37">
        <w:t xml:space="preserve">    mTRP-PUSCH-twoCSI-RS-r17                    </w:t>
      </w:r>
      <w:r w:rsidRPr="00FA0D37">
        <w:rPr>
          <w:color w:val="993366"/>
        </w:rPr>
        <w:t>ENUMERATED</w:t>
      </w:r>
      <w:r w:rsidRPr="00FA0D37">
        <w:t xml:space="preserve"> {supported}                             </w:t>
      </w:r>
      <w:r w:rsidR="00F237C7" w:rsidRPr="00FA0D37">
        <w:t xml:space="preserve">        </w:t>
      </w:r>
      <w:r w:rsidRPr="00FA0D37">
        <w:t xml:space="preserve">    </w:t>
      </w:r>
      <w:r w:rsidRPr="00FA0D37">
        <w:rPr>
          <w:color w:val="993366"/>
        </w:rPr>
        <w:t>OPTIONAL</w:t>
      </w:r>
      <w:r w:rsidRPr="00FA0D37">
        <w:t>,</w:t>
      </w:r>
    </w:p>
    <w:p w14:paraId="2C001861" w14:textId="77777777" w:rsidR="00C148E4" w:rsidRPr="00FA0D37" w:rsidRDefault="007939B7" w:rsidP="00FA0D37">
      <w:pPr>
        <w:pStyle w:val="PL"/>
        <w:rPr>
          <w:color w:val="808080"/>
        </w:rPr>
      </w:pPr>
      <w:r w:rsidRPr="00FA0D37">
        <w:t xml:space="preserve">    </w:t>
      </w:r>
      <w:r w:rsidRPr="00FA0D37">
        <w:rPr>
          <w:color w:val="808080"/>
        </w:rPr>
        <w:t>-- R1 23-3-2    Multi-TRP PUCCH repetition scheme 1 (inter-slot)</w:t>
      </w:r>
    </w:p>
    <w:p w14:paraId="769D302A" w14:textId="1AB41024" w:rsidR="007939B7" w:rsidRPr="00FA0D37" w:rsidRDefault="007939B7" w:rsidP="00FA0D37">
      <w:pPr>
        <w:pStyle w:val="PL"/>
      </w:pPr>
      <w:r w:rsidRPr="00FA0D37">
        <w:t xml:space="preserve">    mTRP-PUCCH-InterSlot-r17                    </w:t>
      </w:r>
      <w:r w:rsidRPr="00FA0D37">
        <w:rPr>
          <w:color w:val="993366"/>
        </w:rPr>
        <w:t>ENUMERATED</w:t>
      </w:r>
      <w:r w:rsidRPr="00FA0D37">
        <w:t xml:space="preserve"> {pf0-2, pf1-3-4, pf0-4}              </w:t>
      </w:r>
      <w:r w:rsidR="00F237C7" w:rsidRPr="00FA0D37">
        <w:t xml:space="preserve"> </w:t>
      </w:r>
      <w:r w:rsidRPr="00FA0D37">
        <w:t xml:space="preserve">              </w:t>
      </w:r>
      <w:r w:rsidRPr="00FA0D37">
        <w:rPr>
          <w:color w:val="993366"/>
        </w:rPr>
        <w:t>OPTIONAL</w:t>
      </w:r>
      <w:r w:rsidRPr="00FA0D37">
        <w:t>,</w:t>
      </w:r>
    </w:p>
    <w:p w14:paraId="074DAEE0" w14:textId="066114E9" w:rsidR="007939B7" w:rsidRPr="00FA0D37" w:rsidRDefault="007939B7" w:rsidP="00FA0D37">
      <w:pPr>
        <w:pStyle w:val="PL"/>
        <w:rPr>
          <w:color w:val="808080"/>
        </w:rPr>
      </w:pPr>
      <w:r w:rsidRPr="00FA0D37">
        <w:t xml:space="preserve">    </w:t>
      </w:r>
      <w:r w:rsidRPr="00FA0D37">
        <w:rPr>
          <w:color w:val="808080"/>
        </w:rPr>
        <w:t>-- R1 23-3-2b    Cyclic mapping for multi-TRP PUCCH repetition</w:t>
      </w:r>
    </w:p>
    <w:p w14:paraId="4A3A8557" w14:textId="6FF9F9EE" w:rsidR="007939B7" w:rsidRPr="00FA0D37" w:rsidRDefault="007939B7" w:rsidP="00FA0D37">
      <w:pPr>
        <w:pStyle w:val="PL"/>
      </w:pPr>
      <w:r w:rsidRPr="00FA0D37">
        <w:t xml:space="preserve">    mTRP-PUCCH-CyclicMapping-r17                </w:t>
      </w:r>
      <w:r w:rsidRPr="00FA0D37">
        <w:rPr>
          <w:color w:val="993366"/>
        </w:rPr>
        <w:t>ENUMERATED</w:t>
      </w:r>
      <w:r w:rsidRPr="00FA0D37">
        <w:t xml:space="preserve"> {supported}                          </w:t>
      </w:r>
      <w:r w:rsidR="00F237C7" w:rsidRPr="00FA0D37">
        <w:t xml:space="preserve">             </w:t>
      </w:r>
      <w:r w:rsidRPr="00FA0D37">
        <w:t xml:space="preserve">  </w:t>
      </w:r>
      <w:r w:rsidRPr="00FA0D37">
        <w:rPr>
          <w:color w:val="993366"/>
        </w:rPr>
        <w:t>OPTIONAL</w:t>
      </w:r>
      <w:r w:rsidRPr="00FA0D37">
        <w:t>,</w:t>
      </w:r>
    </w:p>
    <w:p w14:paraId="421A3CC3" w14:textId="152166FB" w:rsidR="007939B7" w:rsidRPr="00FA0D37" w:rsidRDefault="007939B7" w:rsidP="00FA0D37">
      <w:pPr>
        <w:pStyle w:val="PL"/>
        <w:rPr>
          <w:color w:val="808080"/>
        </w:rPr>
      </w:pPr>
      <w:r w:rsidRPr="00FA0D37">
        <w:t xml:space="preserve">    </w:t>
      </w:r>
      <w:r w:rsidRPr="00FA0D37">
        <w:rPr>
          <w:color w:val="808080"/>
        </w:rPr>
        <w:t>-- R1 23-3-2c    Second TPC field for multi-TRP PUCCH repetition</w:t>
      </w:r>
    </w:p>
    <w:p w14:paraId="0399DCBC" w14:textId="030F45DA" w:rsidR="007939B7" w:rsidRPr="00FA0D37" w:rsidRDefault="007939B7" w:rsidP="00FA0D37">
      <w:pPr>
        <w:pStyle w:val="PL"/>
      </w:pPr>
      <w:r w:rsidRPr="00FA0D37">
        <w:t xml:space="preserve">    mTRP-PUCCH-SecondTPC-r17                    </w:t>
      </w:r>
      <w:r w:rsidRPr="00FA0D37">
        <w:rPr>
          <w:color w:val="993366"/>
        </w:rPr>
        <w:t>ENUMERATED</w:t>
      </w:r>
      <w:r w:rsidRPr="00FA0D37">
        <w:t xml:space="preserve"> {supported}                    </w:t>
      </w:r>
      <w:r w:rsidR="00F237C7" w:rsidRPr="00FA0D37">
        <w:t xml:space="preserve">             </w:t>
      </w:r>
      <w:r w:rsidRPr="00FA0D37">
        <w:t xml:space="preserve">        </w:t>
      </w:r>
      <w:r w:rsidRPr="00FA0D37">
        <w:rPr>
          <w:color w:val="993366"/>
        </w:rPr>
        <w:t>OPTIONAL</w:t>
      </w:r>
      <w:r w:rsidRPr="00FA0D37">
        <w:t>,</w:t>
      </w:r>
    </w:p>
    <w:p w14:paraId="40B5CE3F" w14:textId="5AB8966C" w:rsidR="007939B7" w:rsidRPr="00FA0D37" w:rsidRDefault="007939B7" w:rsidP="00FA0D37">
      <w:pPr>
        <w:pStyle w:val="PL"/>
        <w:rPr>
          <w:color w:val="808080"/>
        </w:rPr>
      </w:pPr>
      <w:r w:rsidRPr="00FA0D37">
        <w:t xml:space="preserve">    </w:t>
      </w:r>
      <w:r w:rsidRPr="00FA0D37">
        <w:rPr>
          <w:color w:val="808080"/>
        </w:rPr>
        <w:t>-- R1 23-5-2    MTRP BFR based on two BFD-RS set</w:t>
      </w:r>
    </w:p>
    <w:p w14:paraId="19B61856" w14:textId="7393E739" w:rsidR="007939B7" w:rsidRPr="00FA0D37" w:rsidRDefault="007939B7" w:rsidP="00FA0D37">
      <w:pPr>
        <w:pStyle w:val="PL"/>
      </w:pPr>
      <w:r w:rsidRPr="00FA0D37">
        <w:t xml:space="preserve">    mTRP-BFR-twoBFD-RS-Set-r17                  </w:t>
      </w:r>
      <w:r w:rsidRPr="00FA0D37">
        <w:rPr>
          <w:color w:val="993366"/>
        </w:rPr>
        <w:t>SEQUENCE</w:t>
      </w:r>
      <w:r w:rsidRPr="00FA0D37">
        <w:t xml:space="preserve"> {</w:t>
      </w:r>
    </w:p>
    <w:p w14:paraId="79D05FB9" w14:textId="6E949887" w:rsidR="007939B7" w:rsidRPr="00FA0D37" w:rsidRDefault="007939B7" w:rsidP="00FA0D37">
      <w:pPr>
        <w:pStyle w:val="PL"/>
      </w:pPr>
      <w:r w:rsidRPr="00FA0D37">
        <w:t xml:space="preserve">        maxBFD-RS-resourcesPerSetPerBWP-r17         </w:t>
      </w:r>
      <w:r w:rsidRPr="00FA0D37">
        <w:rPr>
          <w:color w:val="993366"/>
        </w:rPr>
        <w:t>ENUMERATED</w:t>
      </w:r>
      <w:r w:rsidRPr="00FA0D37">
        <w:t xml:space="preserve"> {n1, n2},</w:t>
      </w:r>
    </w:p>
    <w:p w14:paraId="49F53D29" w14:textId="55AC73C5" w:rsidR="007939B7" w:rsidRPr="00FA0D37" w:rsidRDefault="007939B7" w:rsidP="00FA0D37">
      <w:pPr>
        <w:pStyle w:val="PL"/>
      </w:pPr>
      <w:r w:rsidRPr="00FA0D37">
        <w:t xml:space="preserve">        maxBFR-r17                                  </w:t>
      </w:r>
      <w:r w:rsidRPr="00FA0D37">
        <w:rPr>
          <w:color w:val="993366"/>
        </w:rPr>
        <w:t>INTEGER</w:t>
      </w:r>
      <w:r w:rsidRPr="00FA0D37">
        <w:t xml:space="preserve"> (1..9),</w:t>
      </w:r>
    </w:p>
    <w:p w14:paraId="60381899" w14:textId="26443151" w:rsidR="007939B7" w:rsidRPr="00FA0D37" w:rsidRDefault="007939B7" w:rsidP="00FA0D37">
      <w:pPr>
        <w:pStyle w:val="PL"/>
      </w:pPr>
      <w:r w:rsidRPr="00FA0D37">
        <w:t xml:space="preserve">        maxBFD-RS-resourcesAcrossSetsPerBWP-r17     </w:t>
      </w:r>
      <w:r w:rsidRPr="00FA0D37">
        <w:rPr>
          <w:color w:val="993366"/>
        </w:rPr>
        <w:t>ENUMERATED</w:t>
      </w:r>
      <w:r w:rsidRPr="00FA0D37">
        <w:t xml:space="preserve"> {n2, n3, n4}</w:t>
      </w:r>
    </w:p>
    <w:p w14:paraId="63148317" w14:textId="204051DD" w:rsidR="007939B7" w:rsidRPr="00FA0D37" w:rsidRDefault="007939B7" w:rsidP="00FA0D37">
      <w:pPr>
        <w:pStyle w:val="PL"/>
      </w:pPr>
      <w:r w:rsidRPr="00FA0D37">
        <w:t xml:space="preserve">    }                                                                                                          </w:t>
      </w:r>
      <w:r w:rsidRPr="00FA0D37">
        <w:rPr>
          <w:color w:val="993366"/>
        </w:rPr>
        <w:t>OPTIONAL</w:t>
      </w:r>
      <w:r w:rsidRPr="00FA0D37">
        <w:t>,</w:t>
      </w:r>
    </w:p>
    <w:p w14:paraId="24F5FD92" w14:textId="77D2E6D6" w:rsidR="007939B7" w:rsidRPr="00FA0D37" w:rsidRDefault="00434A8E" w:rsidP="00FA0D37">
      <w:pPr>
        <w:pStyle w:val="PL"/>
        <w:rPr>
          <w:color w:val="808080"/>
        </w:rPr>
      </w:pPr>
      <w:r w:rsidRPr="00FA0D37">
        <w:t xml:space="preserve">    </w:t>
      </w:r>
      <w:r w:rsidR="007939B7" w:rsidRPr="00FA0D37">
        <w:rPr>
          <w:color w:val="808080"/>
        </w:rPr>
        <w:t>-- R1 23-5-2a    PUCCH-SR resources for MTRP BFRQ - Max number of PUCCH-SR resources for MTRP BFRQ per cell group</w:t>
      </w:r>
    </w:p>
    <w:p w14:paraId="0C0D9951" w14:textId="50F581B0" w:rsidR="007939B7" w:rsidRPr="00FA0D37" w:rsidRDefault="00434A8E" w:rsidP="00FA0D37">
      <w:pPr>
        <w:pStyle w:val="PL"/>
      </w:pPr>
      <w:r w:rsidRPr="00FA0D37">
        <w:t xml:space="preserve">    </w:t>
      </w:r>
      <w:r w:rsidR="007939B7" w:rsidRPr="00FA0D37">
        <w:t xml:space="preserve">mTRP-BFR-PUCCH-SR-perCG-r17                </w:t>
      </w:r>
      <w:r w:rsidRPr="00FA0D37">
        <w:t xml:space="preserve"> </w:t>
      </w:r>
      <w:r w:rsidR="007939B7" w:rsidRPr="00FA0D37">
        <w:rPr>
          <w:color w:val="993366"/>
        </w:rPr>
        <w:t>ENUMERATED</w:t>
      </w:r>
      <w:r w:rsidR="007939B7" w:rsidRPr="00FA0D37">
        <w:t xml:space="preserve">{n1, n2}                                             </w:t>
      </w:r>
      <w:r w:rsidR="007939B7" w:rsidRPr="00FA0D37">
        <w:rPr>
          <w:color w:val="993366"/>
        </w:rPr>
        <w:t>OPTIONAL</w:t>
      </w:r>
      <w:r w:rsidR="007939B7" w:rsidRPr="00FA0D37">
        <w:t>,</w:t>
      </w:r>
    </w:p>
    <w:p w14:paraId="00BF72A6" w14:textId="6A660BF7" w:rsidR="007939B7" w:rsidRPr="00FA0D37" w:rsidRDefault="007939B7" w:rsidP="00FA0D37">
      <w:pPr>
        <w:pStyle w:val="PL"/>
        <w:rPr>
          <w:color w:val="808080"/>
        </w:rPr>
      </w:pPr>
      <w:r w:rsidRPr="00FA0D37">
        <w:t xml:space="preserve">    </w:t>
      </w:r>
      <w:r w:rsidRPr="00FA0D37">
        <w:rPr>
          <w:color w:val="808080"/>
        </w:rPr>
        <w:t>-- R1 23-5-2b    Association between a BFD-RS resource set on SpCell and a PUCCH SR resource</w:t>
      </w:r>
    </w:p>
    <w:p w14:paraId="4B9E02F3" w14:textId="12990722" w:rsidR="007939B7" w:rsidRPr="00FA0D37" w:rsidRDefault="007939B7" w:rsidP="00FA0D37">
      <w:pPr>
        <w:pStyle w:val="PL"/>
      </w:pPr>
      <w:r w:rsidRPr="00FA0D37">
        <w:t xml:space="preserve">    mTRP-BFR-association-PUCCH-SR-r17           </w:t>
      </w:r>
      <w:r w:rsidRPr="00FA0D37">
        <w:rPr>
          <w:color w:val="993366"/>
        </w:rPr>
        <w:t>ENUMERATED</w:t>
      </w:r>
      <w:r w:rsidRPr="00FA0D37">
        <w:t xml:space="preserve"> {supported}                                         </w:t>
      </w:r>
      <w:r w:rsidRPr="00FA0D37">
        <w:rPr>
          <w:color w:val="993366"/>
        </w:rPr>
        <w:t>OPTIONAL</w:t>
      </w:r>
      <w:r w:rsidRPr="00FA0D37">
        <w:t>,</w:t>
      </w:r>
    </w:p>
    <w:p w14:paraId="07E40A69" w14:textId="73B12FA3" w:rsidR="007939B7" w:rsidRPr="00FA0D37" w:rsidRDefault="007939B7" w:rsidP="00FA0D37">
      <w:pPr>
        <w:pStyle w:val="PL"/>
        <w:rPr>
          <w:color w:val="808080"/>
        </w:rPr>
      </w:pPr>
      <w:r w:rsidRPr="00FA0D37">
        <w:t xml:space="preserve">    </w:t>
      </w:r>
      <w:r w:rsidRPr="00FA0D37">
        <w:rPr>
          <w:color w:val="808080"/>
        </w:rPr>
        <w:t>-- R1 23-6-3    Simultaneous activation of two TCI states for PDCCH across multiple CCs (HST/URLLC)</w:t>
      </w:r>
    </w:p>
    <w:p w14:paraId="52700CD3" w14:textId="23D3B429" w:rsidR="007939B7" w:rsidRPr="00FA0D37" w:rsidRDefault="007939B7" w:rsidP="00FA0D37">
      <w:pPr>
        <w:pStyle w:val="PL"/>
      </w:pPr>
      <w:r w:rsidRPr="00FA0D37">
        <w:t xml:space="preserve">    sfn-SimulTwoTCI-AcrossMultiCC-r17           </w:t>
      </w:r>
      <w:r w:rsidRPr="00FA0D37">
        <w:rPr>
          <w:color w:val="993366"/>
        </w:rPr>
        <w:t>ENUMERATED</w:t>
      </w:r>
      <w:r w:rsidRPr="00FA0D37">
        <w:t xml:space="preserve"> {supported}                                         </w:t>
      </w:r>
      <w:r w:rsidRPr="00FA0D37">
        <w:rPr>
          <w:color w:val="993366"/>
        </w:rPr>
        <w:t>OPTIONAL</w:t>
      </w:r>
      <w:r w:rsidRPr="00FA0D37">
        <w:t>,</w:t>
      </w:r>
    </w:p>
    <w:p w14:paraId="2FA8DAB6" w14:textId="6AB9A0EB" w:rsidR="007939B7" w:rsidRPr="00FA0D37" w:rsidRDefault="007939B7" w:rsidP="00FA0D37">
      <w:pPr>
        <w:pStyle w:val="PL"/>
        <w:rPr>
          <w:color w:val="808080"/>
        </w:rPr>
      </w:pPr>
      <w:r w:rsidRPr="00FA0D37">
        <w:t xml:space="preserve">    </w:t>
      </w:r>
      <w:r w:rsidRPr="00FA0D37">
        <w:rPr>
          <w:color w:val="808080"/>
        </w:rPr>
        <w:t>-- R1 23-6-4    Default DL beam setup for SFN</w:t>
      </w:r>
    </w:p>
    <w:p w14:paraId="7BDB4CB5" w14:textId="2AD5D848" w:rsidR="007939B7" w:rsidRPr="00FA0D37" w:rsidRDefault="007939B7" w:rsidP="00FA0D37">
      <w:pPr>
        <w:pStyle w:val="PL"/>
      </w:pPr>
      <w:r w:rsidRPr="00FA0D37">
        <w:t xml:space="preserve">    sfn-DefaultDL-BeamSetup-r17                 </w:t>
      </w:r>
      <w:r w:rsidRPr="00FA0D37">
        <w:rPr>
          <w:color w:val="993366"/>
        </w:rPr>
        <w:t>ENUMERATED</w:t>
      </w:r>
      <w:r w:rsidRPr="00FA0D37">
        <w:t xml:space="preserve"> {supported}                                         </w:t>
      </w:r>
      <w:r w:rsidRPr="00FA0D37">
        <w:rPr>
          <w:color w:val="993366"/>
        </w:rPr>
        <w:t>OPTIONAL</w:t>
      </w:r>
      <w:r w:rsidRPr="00FA0D37">
        <w:t>,</w:t>
      </w:r>
    </w:p>
    <w:p w14:paraId="271ABEBB" w14:textId="4D2DD692" w:rsidR="007939B7" w:rsidRPr="00FA0D37" w:rsidRDefault="007939B7" w:rsidP="00FA0D37">
      <w:pPr>
        <w:pStyle w:val="PL"/>
        <w:rPr>
          <w:color w:val="808080"/>
        </w:rPr>
      </w:pPr>
      <w:r w:rsidRPr="00FA0D37">
        <w:t xml:space="preserve">    </w:t>
      </w:r>
      <w:r w:rsidRPr="00FA0D37">
        <w:rPr>
          <w:color w:val="808080"/>
        </w:rPr>
        <w:t>-- R1 23-6-4a    Default UL beam setup for SFN PDCCH(FR2 only)</w:t>
      </w:r>
    </w:p>
    <w:p w14:paraId="4813D2E4" w14:textId="606F892D" w:rsidR="007939B7" w:rsidRPr="00FA0D37" w:rsidRDefault="007939B7" w:rsidP="00FA0D37">
      <w:pPr>
        <w:pStyle w:val="PL"/>
      </w:pPr>
      <w:r w:rsidRPr="00FA0D37">
        <w:t xml:space="preserve">    sfn-DefaultUL-BeamSetup-r17                 </w:t>
      </w:r>
      <w:r w:rsidRPr="00FA0D37">
        <w:rPr>
          <w:color w:val="993366"/>
        </w:rPr>
        <w:t>ENUMERATED</w:t>
      </w:r>
      <w:r w:rsidRPr="00FA0D37">
        <w:t xml:space="preserve"> {supported}                              </w:t>
      </w:r>
      <w:r w:rsidR="00434A8E" w:rsidRPr="00FA0D37">
        <w:t xml:space="preserve">      </w:t>
      </w:r>
      <w:r w:rsidRPr="00FA0D37">
        <w:t xml:space="preserve">     </w:t>
      </w:r>
      <w:r w:rsidRPr="00FA0D37">
        <w:rPr>
          <w:color w:val="993366"/>
        </w:rPr>
        <w:t>OPTIONAL</w:t>
      </w:r>
      <w:r w:rsidRPr="00FA0D37">
        <w:t>,</w:t>
      </w:r>
    </w:p>
    <w:p w14:paraId="3B8E4F31" w14:textId="49A629D4" w:rsidR="007939B7" w:rsidRPr="00FA0D37" w:rsidRDefault="007939B7" w:rsidP="00FA0D37">
      <w:pPr>
        <w:pStyle w:val="PL"/>
        <w:rPr>
          <w:color w:val="808080"/>
        </w:rPr>
      </w:pPr>
      <w:r w:rsidRPr="00FA0D37">
        <w:t xml:space="preserve">    </w:t>
      </w:r>
      <w:r w:rsidRPr="00FA0D37">
        <w:rPr>
          <w:color w:val="808080"/>
        </w:rPr>
        <w:t>-- R1 23-8-1    SRS triggering offset enhancement</w:t>
      </w:r>
    </w:p>
    <w:p w14:paraId="5D80E6E3" w14:textId="471111C8" w:rsidR="007939B7" w:rsidRPr="00FA0D37" w:rsidRDefault="007939B7" w:rsidP="00FA0D37">
      <w:pPr>
        <w:pStyle w:val="PL"/>
      </w:pPr>
      <w:r w:rsidRPr="00FA0D37">
        <w:t xml:space="preserve">    srs-TriggeringOffset-r17         </w:t>
      </w:r>
      <w:r w:rsidR="00434A8E" w:rsidRPr="00FA0D37">
        <w:t xml:space="preserve">   </w:t>
      </w:r>
      <w:r w:rsidRPr="00FA0D37">
        <w:t xml:space="preserve">        </w:t>
      </w:r>
      <w:r w:rsidRPr="00FA0D37">
        <w:rPr>
          <w:color w:val="993366"/>
        </w:rPr>
        <w:t>ENUMERATED</w:t>
      </w:r>
      <w:r w:rsidRPr="00FA0D37">
        <w:t xml:space="preserve"> {n1, n2, n4}                                        </w:t>
      </w:r>
      <w:r w:rsidRPr="00FA0D37">
        <w:rPr>
          <w:color w:val="993366"/>
        </w:rPr>
        <w:t>OPTIONAL</w:t>
      </w:r>
      <w:r w:rsidRPr="00FA0D37">
        <w:t>,</w:t>
      </w:r>
    </w:p>
    <w:p w14:paraId="3526755F" w14:textId="3B54017B" w:rsidR="007939B7" w:rsidRPr="00FA0D37" w:rsidRDefault="007939B7" w:rsidP="00FA0D37">
      <w:pPr>
        <w:pStyle w:val="PL"/>
        <w:rPr>
          <w:color w:val="808080"/>
        </w:rPr>
      </w:pPr>
      <w:r w:rsidRPr="00FA0D37">
        <w:t xml:space="preserve">    </w:t>
      </w:r>
      <w:r w:rsidRPr="00FA0D37">
        <w:rPr>
          <w:color w:val="808080"/>
        </w:rPr>
        <w:t>-- R1 23-8-2    Triggering SRS only in DCI 0_1/0_2</w:t>
      </w:r>
    </w:p>
    <w:p w14:paraId="1F718E5D" w14:textId="2FD5F41C" w:rsidR="007939B7" w:rsidRPr="00FA0D37" w:rsidRDefault="007939B7" w:rsidP="00FA0D37">
      <w:pPr>
        <w:pStyle w:val="PL"/>
      </w:pPr>
      <w:r w:rsidRPr="00FA0D37">
        <w:t xml:space="preserve">    srs-TriggeringDCI-r17                       </w:t>
      </w:r>
      <w:r w:rsidRPr="00FA0D37">
        <w:rPr>
          <w:color w:val="993366"/>
        </w:rPr>
        <w:t>ENUMERATED</w:t>
      </w:r>
      <w:r w:rsidRPr="00FA0D37">
        <w:t xml:space="preserve"> {supported}                        </w:t>
      </w:r>
      <w:r w:rsidR="00434A8E" w:rsidRPr="00FA0D37">
        <w:t xml:space="preserve">       </w:t>
      </w:r>
      <w:r w:rsidRPr="00FA0D37">
        <w:t xml:space="preserve">          </w:t>
      </w:r>
      <w:r w:rsidRPr="00FA0D37">
        <w:rPr>
          <w:color w:val="993366"/>
        </w:rPr>
        <w:t>OPTIONAL</w:t>
      </w:r>
      <w:r w:rsidRPr="00FA0D37">
        <w:t>,</w:t>
      </w:r>
    </w:p>
    <w:p w14:paraId="626F38E2" w14:textId="0AFCCFD1" w:rsidR="007939B7" w:rsidRPr="00FA0D37" w:rsidRDefault="007939B7" w:rsidP="00FA0D37">
      <w:pPr>
        <w:pStyle w:val="PL"/>
        <w:rPr>
          <w:color w:val="808080"/>
        </w:rPr>
      </w:pPr>
      <w:r w:rsidRPr="00FA0D37">
        <w:t xml:space="preserve">    </w:t>
      </w:r>
      <w:r w:rsidRPr="00FA0D37">
        <w:rPr>
          <w:color w:val="808080"/>
        </w:rPr>
        <w:t>-- R1 23-9-5    Active CSI-RS resources and ports for mixed codebook types in any slot per band information</w:t>
      </w:r>
    </w:p>
    <w:p w14:paraId="1D0BE807" w14:textId="3097E38D" w:rsidR="007939B7" w:rsidRPr="00FA0D37" w:rsidRDefault="007939B7" w:rsidP="00FA0D37">
      <w:pPr>
        <w:pStyle w:val="PL"/>
      </w:pPr>
      <w:r w:rsidRPr="00FA0D37">
        <w:t xml:space="preserve">    codebookComboParameterMixedType-r17         CodebookComboParameterMixedType-r17                     </w:t>
      </w:r>
      <w:r w:rsidR="006C5B3C" w:rsidRPr="00FA0D37">
        <w:t xml:space="preserve">       </w:t>
      </w:r>
      <w:r w:rsidRPr="00FA0D37">
        <w:rPr>
          <w:color w:val="993366"/>
        </w:rPr>
        <w:t>OPTIONAL</w:t>
      </w:r>
      <w:r w:rsidRPr="00FA0D37">
        <w:t>,</w:t>
      </w:r>
    </w:p>
    <w:p w14:paraId="6CD120E4" w14:textId="2BC1D7BE" w:rsidR="007939B7" w:rsidRPr="00FA0D37" w:rsidRDefault="006C5B3C" w:rsidP="00FA0D37">
      <w:pPr>
        <w:pStyle w:val="PL"/>
        <w:rPr>
          <w:color w:val="808080"/>
        </w:rPr>
      </w:pPr>
      <w:r w:rsidRPr="00FA0D37">
        <w:t xml:space="preserve">    </w:t>
      </w:r>
      <w:r w:rsidR="007939B7" w:rsidRPr="00FA0D37">
        <w:rPr>
          <w:color w:val="808080"/>
        </w:rPr>
        <w:t>-- R1 23-1-1</w:t>
      </w:r>
      <w:r w:rsidRPr="00FA0D37">
        <w:rPr>
          <w:color w:val="808080"/>
        </w:rPr>
        <w:t xml:space="preserve">    </w:t>
      </w:r>
      <w:r w:rsidR="007939B7" w:rsidRPr="00FA0D37">
        <w:rPr>
          <w:color w:val="808080"/>
        </w:rPr>
        <w:t>Unified TCI [with joint DL/UL TCI update] for intra-cell beam management</w:t>
      </w:r>
    </w:p>
    <w:p w14:paraId="2DE7CE8E" w14:textId="40395FE1" w:rsidR="007939B7" w:rsidRPr="00FA0D37" w:rsidRDefault="006C5B3C" w:rsidP="00FA0D37">
      <w:pPr>
        <w:pStyle w:val="PL"/>
      </w:pPr>
      <w:r w:rsidRPr="00FA0D37">
        <w:t xml:space="preserve">    </w:t>
      </w:r>
      <w:r w:rsidR="007939B7" w:rsidRPr="00FA0D37">
        <w:t>unifiedJointTCI-r17</w:t>
      </w:r>
      <w:r w:rsidRPr="00FA0D37">
        <w:t xml:space="preserve">                    </w:t>
      </w:r>
      <w:r w:rsidR="00434A8E" w:rsidRPr="00FA0D37">
        <w:t xml:space="preserve">     </w:t>
      </w:r>
      <w:r w:rsidR="007939B7" w:rsidRPr="00FA0D37">
        <w:rPr>
          <w:color w:val="993366"/>
        </w:rPr>
        <w:t>SEQUENCE</w:t>
      </w:r>
      <w:r w:rsidR="007939B7" w:rsidRPr="00FA0D37">
        <w:t>{</w:t>
      </w:r>
    </w:p>
    <w:p w14:paraId="30EBDDA7" w14:textId="7AD1D402" w:rsidR="007939B7" w:rsidRPr="00FA0D37" w:rsidRDefault="006C5B3C" w:rsidP="00FA0D37">
      <w:pPr>
        <w:pStyle w:val="PL"/>
      </w:pPr>
      <w:r w:rsidRPr="00FA0D37">
        <w:t xml:space="preserve">        </w:t>
      </w:r>
      <w:r w:rsidR="007939B7" w:rsidRPr="00FA0D37">
        <w:t>maxConfiguredJointTCI-r17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{n8, n12, n16, n24, n32, n48, n64, n128},</w:t>
      </w:r>
    </w:p>
    <w:p w14:paraId="63A30EC1" w14:textId="16FB0D7F" w:rsidR="007939B7" w:rsidRPr="00FA0D37" w:rsidRDefault="006C5B3C" w:rsidP="00FA0D37">
      <w:pPr>
        <w:pStyle w:val="PL"/>
      </w:pPr>
      <w:r w:rsidRPr="00FA0D37">
        <w:t xml:space="preserve">        </w:t>
      </w:r>
      <w:r w:rsidR="007939B7" w:rsidRPr="00FA0D37">
        <w:t>maxActivatedTCIAcrossCC-r17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{n1, n2, n4, n8, n16}</w:t>
      </w:r>
    </w:p>
    <w:p w14:paraId="017A0012" w14:textId="0E7EA663" w:rsidR="007939B7" w:rsidRPr="00FA0D37" w:rsidRDefault="006C5B3C" w:rsidP="00FA0D37">
      <w:pPr>
        <w:pStyle w:val="PL"/>
      </w:pPr>
      <w:r w:rsidRPr="00FA0D37">
        <w:t xml:space="preserve">    </w:t>
      </w:r>
      <w:r w:rsidR="007939B7" w:rsidRPr="00FA0D37">
        <w:t xml:space="preserve">} </w:t>
      </w:r>
      <w:r w:rsidR="00434A8E" w:rsidRPr="00FA0D37">
        <w:t xml:space="preserve">                                                                                                        </w:t>
      </w:r>
      <w:r w:rsidRPr="00FA0D37">
        <w:t xml:space="preserve"> </w:t>
      </w:r>
      <w:r w:rsidR="007939B7" w:rsidRPr="00FA0D37">
        <w:rPr>
          <w:color w:val="993366"/>
        </w:rPr>
        <w:t>OPTIONAL</w:t>
      </w:r>
      <w:r w:rsidR="007939B7" w:rsidRPr="00FA0D37">
        <w:t>,</w:t>
      </w:r>
    </w:p>
    <w:p w14:paraId="73B10C08" w14:textId="77777777" w:rsidR="00F747EB" w:rsidRPr="00FA0D37" w:rsidRDefault="007939B7" w:rsidP="00FA0D37">
      <w:pPr>
        <w:pStyle w:val="PL"/>
        <w:rPr>
          <w:color w:val="808080"/>
        </w:rPr>
      </w:pPr>
      <w:r w:rsidRPr="00FA0D37">
        <w:t xml:space="preserve">    </w:t>
      </w:r>
      <w:r w:rsidRPr="00FA0D37">
        <w:rPr>
          <w:color w:val="808080"/>
        </w:rPr>
        <w:t>-- R1  23-1-1b</w:t>
      </w:r>
      <w:r w:rsidR="00F237C7" w:rsidRPr="00FA0D37">
        <w:rPr>
          <w:color w:val="808080"/>
        </w:rPr>
        <w:t xml:space="preserve">    </w:t>
      </w:r>
      <w:r w:rsidRPr="00FA0D37">
        <w:rPr>
          <w:color w:val="808080"/>
        </w:rPr>
        <w:t>Unified TCI with joint DL/UL TCI update for intra- and inter-cell beam management with more than one MAC-CE</w:t>
      </w:r>
    </w:p>
    <w:p w14:paraId="7584C2C0" w14:textId="6A277482" w:rsidR="007939B7" w:rsidRPr="00FA0D37" w:rsidRDefault="00F237C7" w:rsidP="00FA0D37">
      <w:pPr>
        <w:pStyle w:val="PL"/>
      </w:pPr>
      <w:r w:rsidRPr="00FA0D37">
        <w:t xml:space="preserve">    </w:t>
      </w:r>
      <w:r w:rsidR="007939B7" w:rsidRPr="00FA0D37">
        <w:t>unifiedJointTCI-multiMAC-CE-r17</w:t>
      </w:r>
      <w:r w:rsidRPr="00FA0D37">
        <w:t xml:space="preserve">             </w:t>
      </w:r>
      <w:r w:rsidR="007939B7" w:rsidRPr="00FA0D37">
        <w:rPr>
          <w:color w:val="993366"/>
        </w:rPr>
        <w:t>SEQUENCE</w:t>
      </w:r>
      <w:r w:rsidR="007939B7" w:rsidRPr="00FA0D37">
        <w:t>{</w:t>
      </w:r>
    </w:p>
    <w:p w14:paraId="2B329C17" w14:textId="77777777" w:rsidR="00434A8E" w:rsidRPr="00FA0D37" w:rsidRDefault="00F237C7" w:rsidP="00FA0D37">
      <w:pPr>
        <w:pStyle w:val="PL"/>
      </w:pPr>
      <w:r w:rsidRPr="00FA0D37">
        <w:t xml:space="preserve">        </w:t>
      </w:r>
      <w:r w:rsidR="007939B7" w:rsidRPr="00FA0D37">
        <w:t xml:space="preserve">minBeamApplicationTime-r17   </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{n1, n2, n4, n7, n14, n28, n42, n56, n70, n84, n98, n112, n224, n336}</w:t>
      </w:r>
    </w:p>
    <w:p w14:paraId="01303491" w14:textId="1AAA6CA8" w:rsidR="007939B7" w:rsidRPr="00FA0D37" w:rsidRDefault="00434A8E" w:rsidP="00FA0D37">
      <w:pPr>
        <w:pStyle w:val="PL"/>
      </w:pPr>
      <w:r w:rsidRPr="00FA0D37">
        <w:t xml:space="preserve">                                                                                                       </w:t>
      </w:r>
      <w:r w:rsidR="00F237C7" w:rsidRPr="00FA0D37">
        <w:t xml:space="preserve">        </w:t>
      </w:r>
      <w:r w:rsidR="007939B7" w:rsidRPr="00FA0D37">
        <w:rPr>
          <w:color w:val="993366"/>
        </w:rPr>
        <w:t>OPTIONAL</w:t>
      </w:r>
      <w:r w:rsidR="007939B7" w:rsidRPr="00FA0D37">
        <w:t>,</w:t>
      </w:r>
    </w:p>
    <w:p w14:paraId="315D590C" w14:textId="2F593F9E" w:rsidR="007939B7" w:rsidRPr="00FA0D37" w:rsidRDefault="00F237C7" w:rsidP="00FA0D37">
      <w:pPr>
        <w:pStyle w:val="PL"/>
      </w:pPr>
      <w:r w:rsidRPr="00FA0D37">
        <w:t xml:space="preserve">        </w:t>
      </w:r>
      <w:r w:rsidR="007939B7" w:rsidRPr="00FA0D37">
        <w:t>maxNumMAC-CE-PerCC</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{n2, n3, n4, n5, n6, n7, n8}</w:t>
      </w:r>
    </w:p>
    <w:p w14:paraId="652DE7F1" w14:textId="171037C6" w:rsidR="007939B7" w:rsidRPr="00FA0D37" w:rsidRDefault="00F237C7" w:rsidP="00FA0D37">
      <w:pPr>
        <w:pStyle w:val="PL"/>
      </w:pPr>
      <w:r w:rsidRPr="00FA0D37">
        <w:t xml:space="preserve">    </w:t>
      </w:r>
      <w:r w:rsidR="007939B7" w:rsidRPr="00FA0D37">
        <w:t>}</w:t>
      </w:r>
      <w:r w:rsidR="006C5B3C" w:rsidRPr="00FA0D37">
        <w:t xml:space="preserve"> </w:t>
      </w:r>
      <w:r w:rsidR="007939B7" w:rsidRPr="00FA0D37">
        <w:rPr>
          <w:color w:val="993366"/>
        </w:rPr>
        <w:t>OPTIONAL</w:t>
      </w:r>
      <w:r w:rsidR="007939B7" w:rsidRPr="00FA0D37">
        <w:t>,</w:t>
      </w:r>
    </w:p>
    <w:p w14:paraId="2D27F1F0" w14:textId="5FA36A36" w:rsidR="007939B7" w:rsidRPr="00FA0D37" w:rsidRDefault="00F237C7" w:rsidP="00FA0D37">
      <w:pPr>
        <w:pStyle w:val="PL"/>
        <w:rPr>
          <w:color w:val="808080"/>
        </w:rPr>
      </w:pPr>
      <w:r w:rsidRPr="00FA0D37">
        <w:t xml:space="preserve">    </w:t>
      </w:r>
      <w:r w:rsidR="007939B7" w:rsidRPr="00FA0D37">
        <w:rPr>
          <w:color w:val="808080"/>
        </w:rPr>
        <w:t>-- R1 23-1-1d</w:t>
      </w:r>
      <w:r w:rsidRPr="00FA0D37">
        <w:rPr>
          <w:color w:val="808080"/>
        </w:rPr>
        <w:t xml:space="preserve">    </w:t>
      </w:r>
      <w:r w:rsidR="007939B7" w:rsidRPr="00FA0D37">
        <w:rPr>
          <w:color w:val="808080"/>
        </w:rPr>
        <w:t>Per BWP TCI state pool configuration for CA mode</w:t>
      </w:r>
    </w:p>
    <w:p w14:paraId="70795D33" w14:textId="24EBCE15" w:rsidR="007939B7" w:rsidRPr="00FA0D37" w:rsidRDefault="00F237C7" w:rsidP="00FA0D37">
      <w:pPr>
        <w:pStyle w:val="PL"/>
      </w:pPr>
      <w:r w:rsidRPr="00FA0D37">
        <w:t xml:space="preserve">    </w:t>
      </w:r>
      <w:r w:rsidR="007939B7" w:rsidRPr="00FA0D37">
        <w:t>unifiedJointTCI-perBWP-CA-r17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{supported}                    </w:t>
      </w:r>
      <w:r w:rsidR="00434A8E" w:rsidRPr="00FA0D37">
        <w:t xml:space="preserve">                  </w:t>
      </w:r>
      <w:r w:rsidR="007939B7" w:rsidRPr="00FA0D37">
        <w:t xml:space="preserve">   </w:t>
      </w:r>
      <w:r w:rsidR="007939B7" w:rsidRPr="00FA0D37">
        <w:rPr>
          <w:color w:val="993366"/>
        </w:rPr>
        <w:t>OPTIONAL</w:t>
      </w:r>
      <w:r w:rsidR="007939B7" w:rsidRPr="00FA0D37">
        <w:t>,</w:t>
      </w:r>
    </w:p>
    <w:p w14:paraId="7AF965A2" w14:textId="3D7AEBB6" w:rsidR="007939B7" w:rsidRPr="00FA0D37" w:rsidRDefault="007939B7" w:rsidP="00FA0D37">
      <w:pPr>
        <w:pStyle w:val="PL"/>
        <w:rPr>
          <w:color w:val="808080"/>
        </w:rPr>
      </w:pPr>
      <w:r w:rsidRPr="00FA0D37">
        <w:t xml:space="preserve">    </w:t>
      </w:r>
      <w:r w:rsidRPr="00FA0D37">
        <w:rPr>
          <w:color w:val="808080"/>
        </w:rPr>
        <w:t>-- R1 23-1-1e</w:t>
      </w:r>
      <w:r w:rsidR="00F237C7" w:rsidRPr="00FA0D37">
        <w:rPr>
          <w:color w:val="808080"/>
        </w:rPr>
        <w:t xml:space="preserve">    </w:t>
      </w:r>
      <w:r w:rsidRPr="00FA0D37">
        <w:rPr>
          <w:color w:val="808080"/>
        </w:rPr>
        <w:t>TCI state pool configuration with TCI pool sharing for CA mode</w:t>
      </w:r>
    </w:p>
    <w:p w14:paraId="4CBCFEA6" w14:textId="2599C930" w:rsidR="007939B7" w:rsidRPr="00FA0D37" w:rsidRDefault="00F237C7" w:rsidP="00FA0D37">
      <w:pPr>
        <w:pStyle w:val="PL"/>
      </w:pPr>
      <w:r w:rsidRPr="00FA0D37">
        <w:t xml:space="preserve">    </w:t>
      </w:r>
      <w:r w:rsidR="007939B7" w:rsidRPr="00FA0D37">
        <w:t>unifiedJointTCI-ListSharingCA-r17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{n1,n2,n4,n8}            </w:t>
      </w:r>
      <w:r w:rsidRPr="00FA0D37">
        <w:t xml:space="preserve">    </w:t>
      </w:r>
      <w:r w:rsidR="00434A8E" w:rsidRPr="00FA0D37">
        <w:t xml:space="preserve">              </w:t>
      </w:r>
      <w:r w:rsidRPr="00FA0D37">
        <w:t xml:space="preserve">        </w:t>
      </w:r>
      <w:r w:rsidR="007939B7" w:rsidRPr="00FA0D37">
        <w:t xml:space="preserve"> </w:t>
      </w:r>
      <w:r w:rsidR="007939B7" w:rsidRPr="00FA0D37">
        <w:rPr>
          <w:color w:val="993366"/>
        </w:rPr>
        <w:t>OPTIONAL</w:t>
      </w:r>
      <w:r w:rsidR="007939B7" w:rsidRPr="00FA0D37">
        <w:t>,</w:t>
      </w:r>
    </w:p>
    <w:p w14:paraId="0981F775" w14:textId="444CC4F1" w:rsidR="007939B7" w:rsidRPr="00FA0D37" w:rsidRDefault="007939B7" w:rsidP="00FA0D37">
      <w:pPr>
        <w:pStyle w:val="PL"/>
        <w:rPr>
          <w:color w:val="808080"/>
        </w:rPr>
      </w:pPr>
      <w:r w:rsidRPr="00FA0D37">
        <w:t xml:space="preserve">    </w:t>
      </w:r>
      <w:r w:rsidRPr="00FA0D37">
        <w:rPr>
          <w:color w:val="808080"/>
        </w:rPr>
        <w:t>-- R1 23-1-1f</w:t>
      </w:r>
      <w:r w:rsidR="00F237C7" w:rsidRPr="00FA0D37">
        <w:rPr>
          <w:color w:val="808080"/>
        </w:rPr>
        <w:t xml:space="preserve">    </w:t>
      </w:r>
      <w:r w:rsidRPr="00FA0D37">
        <w:rPr>
          <w:color w:val="808080"/>
        </w:rPr>
        <w:t>Common multi-CC TCI state ID update and activation</w:t>
      </w:r>
    </w:p>
    <w:p w14:paraId="59FEEC1D" w14:textId="258BA959" w:rsidR="007939B7" w:rsidRPr="00FA0D37" w:rsidRDefault="00F237C7" w:rsidP="00FA0D37">
      <w:pPr>
        <w:pStyle w:val="PL"/>
      </w:pPr>
      <w:r w:rsidRPr="00FA0D37">
        <w:lastRenderedPageBreak/>
        <w:t xml:space="preserve">    </w:t>
      </w:r>
      <w:r w:rsidR="007939B7" w:rsidRPr="00FA0D37">
        <w:t>unifiedJointTCI-commonMultiCC-r17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{supported}     </w:t>
      </w:r>
      <w:r w:rsidR="00434A8E" w:rsidRPr="00FA0D37">
        <w:t xml:space="preserve">               </w:t>
      </w:r>
      <w:r w:rsidR="007939B7" w:rsidRPr="00FA0D37">
        <w:t xml:space="preserve">            </w:t>
      </w:r>
      <w:r w:rsidRPr="00FA0D37">
        <w:t xml:space="preserve">        </w:t>
      </w:r>
      <w:r w:rsidR="007939B7" w:rsidRPr="00FA0D37">
        <w:t xml:space="preserve"> </w:t>
      </w:r>
      <w:r w:rsidR="007939B7" w:rsidRPr="00FA0D37">
        <w:rPr>
          <w:color w:val="993366"/>
        </w:rPr>
        <w:t>OPTIONAL</w:t>
      </w:r>
      <w:r w:rsidR="007939B7" w:rsidRPr="00FA0D37">
        <w:t>,</w:t>
      </w:r>
    </w:p>
    <w:p w14:paraId="23B4FF9C" w14:textId="6795CD91" w:rsidR="007939B7" w:rsidRPr="00FA0D37" w:rsidRDefault="007939B7" w:rsidP="00FA0D37">
      <w:pPr>
        <w:pStyle w:val="PL"/>
        <w:rPr>
          <w:color w:val="808080"/>
        </w:rPr>
      </w:pPr>
      <w:r w:rsidRPr="00FA0D37">
        <w:t xml:space="preserve">    </w:t>
      </w:r>
      <w:r w:rsidRPr="00FA0D37">
        <w:rPr>
          <w:color w:val="808080"/>
        </w:rPr>
        <w:t>-- R1 23-1-1g</w:t>
      </w:r>
      <w:r w:rsidR="00F237C7" w:rsidRPr="00FA0D37">
        <w:rPr>
          <w:color w:val="808080"/>
        </w:rPr>
        <w:t xml:space="preserve">    </w:t>
      </w:r>
      <w:r w:rsidRPr="00FA0D37">
        <w:rPr>
          <w:color w:val="808080"/>
        </w:rPr>
        <w:t>Beam misalignment between the DL source RS in the TCI state</w:t>
      </w:r>
    </w:p>
    <w:p w14:paraId="71BECCCD" w14:textId="5D9D5503" w:rsidR="007939B7" w:rsidRPr="00FA0D37" w:rsidRDefault="00F237C7" w:rsidP="00FA0D37">
      <w:pPr>
        <w:pStyle w:val="PL"/>
      </w:pPr>
      <w:r w:rsidRPr="00FA0D37">
        <w:t xml:space="preserve">    </w:t>
      </w:r>
      <w:r w:rsidR="007939B7" w:rsidRPr="00FA0D37">
        <w:t>unifiedJointTCI-BeamAlignDLRS-r17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{supported}        </w:t>
      </w:r>
      <w:r w:rsidR="00434A8E" w:rsidRPr="00FA0D37">
        <w:t xml:space="preserve">                  </w:t>
      </w:r>
      <w:r w:rsidR="007939B7" w:rsidRPr="00FA0D37">
        <w:t xml:space="preserve">      </w:t>
      </w:r>
      <w:r w:rsidRPr="00FA0D37">
        <w:t xml:space="preserve">        </w:t>
      </w:r>
      <w:r w:rsidR="007939B7" w:rsidRPr="00FA0D37">
        <w:t xml:space="preserve"> </w:t>
      </w:r>
      <w:r w:rsidR="007939B7" w:rsidRPr="00FA0D37">
        <w:rPr>
          <w:color w:val="993366"/>
        </w:rPr>
        <w:t>OPTIONAL</w:t>
      </w:r>
      <w:r w:rsidR="007939B7" w:rsidRPr="00FA0D37">
        <w:t>,</w:t>
      </w:r>
    </w:p>
    <w:p w14:paraId="3FC3B91A" w14:textId="0D4A2FF8" w:rsidR="007939B7" w:rsidRPr="00FA0D37" w:rsidRDefault="007939B7" w:rsidP="00FA0D37">
      <w:pPr>
        <w:pStyle w:val="PL"/>
        <w:rPr>
          <w:color w:val="808080"/>
        </w:rPr>
      </w:pPr>
      <w:r w:rsidRPr="00FA0D37">
        <w:t xml:space="preserve">    </w:t>
      </w:r>
      <w:r w:rsidRPr="00FA0D37">
        <w:rPr>
          <w:color w:val="808080"/>
        </w:rPr>
        <w:t>-- R1 23-1-1h</w:t>
      </w:r>
      <w:r w:rsidR="00F237C7" w:rsidRPr="00FA0D37">
        <w:rPr>
          <w:color w:val="808080"/>
        </w:rPr>
        <w:t xml:space="preserve">    </w:t>
      </w:r>
      <w:r w:rsidRPr="00FA0D37">
        <w:rPr>
          <w:color w:val="808080"/>
        </w:rPr>
        <w:t>Association between TCI state and UL PC settings for PUCCH, PUSCH, and SRS</w:t>
      </w:r>
    </w:p>
    <w:p w14:paraId="52A0F22F" w14:textId="7F73653D" w:rsidR="007939B7" w:rsidRPr="00FA0D37" w:rsidRDefault="00F237C7" w:rsidP="00FA0D37">
      <w:pPr>
        <w:pStyle w:val="PL"/>
      </w:pPr>
      <w:r w:rsidRPr="00FA0D37">
        <w:t xml:space="preserve">    </w:t>
      </w:r>
      <w:r w:rsidR="007939B7" w:rsidRPr="00FA0D37">
        <w:t>unifiedJointTCI-PC-association-r17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{supported}          </w:t>
      </w:r>
      <w:r w:rsidR="00434A8E" w:rsidRPr="00FA0D37">
        <w:t xml:space="preserve">                  </w:t>
      </w:r>
      <w:r w:rsidR="007939B7" w:rsidRPr="00FA0D37">
        <w:t xml:space="preserve">             </w:t>
      </w:r>
      <w:r w:rsidR="007939B7" w:rsidRPr="00FA0D37">
        <w:rPr>
          <w:color w:val="993366"/>
        </w:rPr>
        <w:t>OPTIONAL</w:t>
      </w:r>
      <w:r w:rsidR="007939B7" w:rsidRPr="00FA0D37">
        <w:t>,</w:t>
      </w:r>
    </w:p>
    <w:p w14:paraId="0377E9D1" w14:textId="65F1A766" w:rsidR="007939B7" w:rsidRPr="00FA0D37" w:rsidRDefault="007939B7" w:rsidP="00FA0D37">
      <w:pPr>
        <w:pStyle w:val="PL"/>
        <w:rPr>
          <w:color w:val="808080"/>
        </w:rPr>
      </w:pPr>
      <w:r w:rsidRPr="00FA0D37">
        <w:t xml:space="preserve">    </w:t>
      </w:r>
      <w:r w:rsidRPr="00FA0D37">
        <w:rPr>
          <w:color w:val="808080"/>
        </w:rPr>
        <w:t>-- R1 23-1-1i</w:t>
      </w:r>
      <w:r w:rsidR="00F237C7" w:rsidRPr="00FA0D37">
        <w:rPr>
          <w:color w:val="808080"/>
        </w:rPr>
        <w:t xml:space="preserve">    </w:t>
      </w:r>
      <w:r w:rsidRPr="00FA0D37">
        <w:rPr>
          <w:color w:val="808080"/>
        </w:rPr>
        <w:t>Indication/configuration of R17 TCI states for aperiodic CSI-RS, PDCCH, PDSCH</w:t>
      </w:r>
    </w:p>
    <w:p w14:paraId="2A51AA41" w14:textId="5CDC0446" w:rsidR="007939B7" w:rsidRPr="00FA0D37" w:rsidRDefault="00F237C7" w:rsidP="00FA0D37">
      <w:pPr>
        <w:pStyle w:val="PL"/>
      </w:pPr>
      <w:r w:rsidRPr="00FA0D37">
        <w:t xml:space="preserve">    </w:t>
      </w:r>
      <w:r w:rsidR="007939B7" w:rsidRPr="00FA0D37">
        <w:t>unifiedJointTCI-Legacy-r17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{supported}         </w:t>
      </w:r>
      <w:r w:rsidR="00434A8E" w:rsidRPr="00FA0D37">
        <w:t xml:space="preserve">                 </w:t>
      </w:r>
      <w:r w:rsidR="007939B7" w:rsidRPr="00FA0D37">
        <w:t xml:space="preserve">          </w:t>
      </w:r>
      <w:r w:rsidRPr="00FA0D37">
        <w:t xml:space="preserve">    </w:t>
      </w:r>
      <w:r w:rsidR="007939B7" w:rsidRPr="00FA0D37">
        <w:t xml:space="preserve"> </w:t>
      </w:r>
      <w:r w:rsidR="007939B7" w:rsidRPr="00FA0D37">
        <w:rPr>
          <w:color w:val="993366"/>
        </w:rPr>
        <w:t>OPTIONAL</w:t>
      </w:r>
      <w:r w:rsidR="007939B7" w:rsidRPr="00FA0D37">
        <w:t>,</w:t>
      </w:r>
    </w:p>
    <w:p w14:paraId="19FD435A" w14:textId="2695DD8F" w:rsidR="007939B7" w:rsidRPr="00FA0D37" w:rsidRDefault="00F237C7" w:rsidP="00FA0D37">
      <w:pPr>
        <w:pStyle w:val="PL"/>
        <w:rPr>
          <w:color w:val="808080"/>
        </w:rPr>
      </w:pPr>
      <w:r w:rsidRPr="00FA0D37">
        <w:t xml:space="preserve">    </w:t>
      </w:r>
      <w:r w:rsidR="007939B7" w:rsidRPr="00FA0D37">
        <w:rPr>
          <w:color w:val="808080"/>
        </w:rPr>
        <w:t>-- 23-1-1m</w:t>
      </w:r>
      <w:r w:rsidRPr="00FA0D37">
        <w:rPr>
          <w:color w:val="808080"/>
        </w:rPr>
        <w:t xml:space="preserve">    </w:t>
      </w:r>
      <w:r w:rsidR="007939B7" w:rsidRPr="00FA0D37">
        <w:rPr>
          <w:color w:val="808080"/>
        </w:rPr>
        <w:t>Indication/configuration of R17 TCI states for SRS</w:t>
      </w:r>
    </w:p>
    <w:p w14:paraId="240D8EF7" w14:textId="3384F650" w:rsidR="007939B7" w:rsidRPr="00FA0D37" w:rsidRDefault="00F237C7" w:rsidP="00FA0D37">
      <w:pPr>
        <w:pStyle w:val="PL"/>
      </w:pPr>
      <w:r w:rsidRPr="00FA0D37">
        <w:t xml:space="preserve">    </w:t>
      </w:r>
      <w:r w:rsidR="007939B7" w:rsidRPr="00FA0D37">
        <w:t>unifiedJointTCI-Legacy-SRS-r17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{supported}         </w:t>
      </w:r>
      <w:r w:rsidR="00434A8E" w:rsidRPr="00FA0D37">
        <w:t xml:space="preserve">                      </w:t>
      </w:r>
      <w:r w:rsidR="007939B7" w:rsidRPr="00FA0D37">
        <w:t xml:space="preserve">          </w:t>
      </w:r>
      <w:r w:rsidR="007939B7" w:rsidRPr="00FA0D37">
        <w:rPr>
          <w:color w:val="993366"/>
        </w:rPr>
        <w:t>OPTIONAL</w:t>
      </w:r>
      <w:r w:rsidR="007939B7" w:rsidRPr="00FA0D37">
        <w:t>,</w:t>
      </w:r>
    </w:p>
    <w:p w14:paraId="37326735" w14:textId="6F7B1078" w:rsidR="007939B7" w:rsidRPr="00FA0D37" w:rsidRDefault="007939B7" w:rsidP="00FA0D37">
      <w:pPr>
        <w:pStyle w:val="PL"/>
        <w:rPr>
          <w:color w:val="808080"/>
        </w:rPr>
      </w:pPr>
      <w:r w:rsidRPr="00FA0D37">
        <w:t xml:space="preserve">    </w:t>
      </w:r>
      <w:r w:rsidRPr="00FA0D37">
        <w:rPr>
          <w:color w:val="808080"/>
        </w:rPr>
        <w:t>-- R1 23-1-1j</w:t>
      </w:r>
      <w:r w:rsidR="00F237C7" w:rsidRPr="00FA0D37">
        <w:rPr>
          <w:color w:val="808080"/>
        </w:rPr>
        <w:t xml:space="preserve">    </w:t>
      </w:r>
      <w:r w:rsidRPr="00FA0D37">
        <w:rPr>
          <w:color w:val="808080"/>
        </w:rPr>
        <w:t>Indication/configuration of R17 TCI states for CORESET #0</w:t>
      </w:r>
    </w:p>
    <w:p w14:paraId="23AE2F0D" w14:textId="55D210DE" w:rsidR="007939B7" w:rsidRPr="00FA0D37" w:rsidRDefault="00F237C7" w:rsidP="00FA0D37">
      <w:pPr>
        <w:pStyle w:val="PL"/>
      </w:pPr>
      <w:r w:rsidRPr="00FA0D37">
        <w:t xml:space="preserve">    </w:t>
      </w:r>
      <w:r w:rsidR="007939B7" w:rsidRPr="00FA0D37">
        <w:t>unifiedJointTCI-Legacy-CORESET0-r17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{supported}            </w:t>
      </w:r>
      <w:r w:rsidR="00434A8E" w:rsidRPr="00FA0D37">
        <w:t xml:space="preserve">                      </w:t>
      </w:r>
      <w:r w:rsidR="007939B7" w:rsidRPr="00FA0D37">
        <w:t xml:space="preserve">       </w:t>
      </w:r>
      <w:r w:rsidR="007939B7" w:rsidRPr="00FA0D37">
        <w:rPr>
          <w:color w:val="993366"/>
        </w:rPr>
        <w:t>OPTIONAL</w:t>
      </w:r>
      <w:r w:rsidR="007939B7" w:rsidRPr="00FA0D37">
        <w:t>,</w:t>
      </w:r>
    </w:p>
    <w:p w14:paraId="6C4FD48B" w14:textId="563E6531" w:rsidR="007939B7" w:rsidRPr="00FA0D37" w:rsidRDefault="007939B7" w:rsidP="00FA0D37">
      <w:pPr>
        <w:pStyle w:val="PL"/>
        <w:rPr>
          <w:color w:val="808080"/>
        </w:rPr>
      </w:pPr>
      <w:r w:rsidRPr="00FA0D37">
        <w:t xml:space="preserve">    </w:t>
      </w:r>
      <w:r w:rsidRPr="00FA0D37">
        <w:rPr>
          <w:color w:val="808080"/>
        </w:rPr>
        <w:t>-- R1 23-1-1c</w:t>
      </w:r>
      <w:r w:rsidR="00F237C7" w:rsidRPr="00FA0D37">
        <w:rPr>
          <w:color w:val="808080"/>
        </w:rPr>
        <w:t xml:space="preserve">    </w:t>
      </w:r>
      <w:r w:rsidRPr="00FA0D37">
        <w:rPr>
          <w:color w:val="808080"/>
        </w:rPr>
        <w:t>SCell BFR with unified TCI framework  (NOTE; pre-requisite is empty)</w:t>
      </w:r>
    </w:p>
    <w:p w14:paraId="4D99DBFF" w14:textId="50354F4D" w:rsidR="007939B7" w:rsidRPr="00FA0D37" w:rsidRDefault="00F237C7" w:rsidP="00FA0D37">
      <w:pPr>
        <w:pStyle w:val="PL"/>
      </w:pPr>
      <w:r w:rsidRPr="00FA0D37">
        <w:t xml:space="preserve">    </w:t>
      </w:r>
      <w:r w:rsidR="007939B7" w:rsidRPr="00FA0D37">
        <w:t xml:space="preserve">unifiedJointTCI-SCellBFR-r17 </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{supported}           </w:t>
      </w:r>
      <w:r w:rsidR="00434A8E" w:rsidRPr="00FA0D37">
        <w:t xml:space="preserve">                            </w:t>
      </w:r>
      <w:r w:rsidR="007939B7" w:rsidRPr="00FA0D37">
        <w:t xml:space="preserve">  </w:t>
      </w:r>
      <w:r w:rsidR="007939B7" w:rsidRPr="00FA0D37">
        <w:rPr>
          <w:color w:val="993366"/>
        </w:rPr>
        <w:t>OPTIONAL</w:t>
      </w:r>
      <w:r w:rsidR="007939B7" w:rsidRPr="00FA0D37">
        <w:t>,</w:t>
      </w:r>
    </w:p>
    <w:p w14:paraId="22999716" w14:textId="01856AE1" w:rsidR="007939B7" w:rsidRPr="00FA0D37" w:rsidRDefault="007939B7" w:rsidP="00FA0D37">
      <w:pPr>
        <w:pStyle w:val="PL"/>
        <w:rPr>
          <w:color w:val="808080"/>
        </w:rPr>
      </w:pPr>
      <w:r w:rsidRPr="00FA0D37">
        <w:t xml:space="preserve">    </w:t>
      </w:r>
      <w:r w:rsidRPr="00FA0D37">
        <w:rPr>
          <w:color w:val="808080"/>
        </w:rPr>
        <w:t>-- R1 23-1-1a</w:t>
      </w:r>
      <w:r w:rsidR="00F237C7" w:rsidRPr="00FA0D37">
        <w:rPr>
          <w:color w:val="808080"/>
        </w:rPr>
        <w:t xml:space="preserve">    </w:t>
      </w:r>
      <w:r w:rsidRPr="00FA0D37">
        <w:rPr>
          <w:color w:val="808080"/>
        </w:rPr>
        <w:t>Unified TCI with joint DL/UL TCI update for inter-cell beam management</w:t>
      </w:r>
    </w:p>
    <w:p w14:paraId="7945EB79" w14:textId="35B45E8B" w:rsidR="007939B7" w:rsidRPr="00FA0D37" w:rsidRDefault="00F237C7" w:rsidP="00FA0D37">
      <w:pPr>
        <w:pStyle w:val="PL"/>
      </w:pPr>
      <w:r w:rsidRPr="00FA0D37">
        <w:t xml:space="preserve">    </w:t>
      </w:r>
      <w:r w:rsidR="007939B7" w:rsidRPr="00FA0D37">
        <w:t>unifiedJointTCI-InterCell-r17</w:t>
      </w:r>
      <w:r w:rsidRPr="00FA0D37">
        <w:t xml:space="preserve">               </w:t>
      </w:r>
      <w:r w:rsidR="007939B7" w:rsidRPr="00FA0D37">
        <w:rPr>
          <w:color w:val="993366"/>
        </w:rPr>
        <w:t>SEQUENCE</w:t>
      </w:r>
      <w:r w:rsidR="007939B7" w:rsidRPr="00FA0D37">
        <w:t>{</w:t>
      </w:r>
    </w:p>
    <w:p w14:paraId="0A6781EA" w14:textId="144B8B9A" w:rsidR="007939B7" w:rsidRPr="00FA0D37" w:rsidRDefault="00F237C7" w:rsidP="00FA0D37">
      <w:pPr>
        <w:pStyle w:val="PL"/>
      </w:pPr>
      <w:r w:rsidRPr="00FA0D37">
        <w:t xml:space="preserve">        </w:t>
      </w:r>
      <w:r w:rsidR="007939B7" w:rsidRPr="00FA0D37">
        <w:t>additionalMAC-CE-PerCC-r17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{n0, n1, n2, n4},</w:t>
      </w:r>
    </w:p>
    <w:p w14:paraId="3FEF9259" w14:textId="72A2C162" w:rsidR="007939B7" w:rsidRPr="00FA0D37" w:rsidRDefault="00F237C7" w:rsidP="00FA0D37">
      <w:pPr>
        <w:pStyle w:val="PL"/>
      </w:pPr>
      <w:r w:rsidRPr="00FA0D37">
        <w:t xml:space="preserve">        </w:t>
      </w:r>
      <w:r w:rsidR="007939B7" w:rsidRPr="00FA0D37">
        <w:t>additionalMAC-CE-AcrossCC-r17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{n0, n1, n2, n4}</w:t>
      </w:r>
    </w:p>
    <w:p w14:paraId="64CE3DD7" w14:textId="619BF363" w:rsidR="007939B7" w:rsidRPr="00FA0D37" w:rsidRDefault="00F237C7" w:rsidP="00FA0D37">
      <w:pPr>
        <w:pStyle w:val="PL"/>
      </w:pPr>
      <w:r w:rsidRPr="00FA0D37">
        <w:t xml:space="preserve">    </w:t>
      </w:r>
      <w:r w:rsidR="007939B7" w:rsidRPr="00FA0D37">
        <w:t xml:space="preserve">} </w:t>
      </w:r>
      <w:r w:rsidR="00434A8E" w:rsidRPr="00FA0D37">
        <w:t xml:space="preserve">                                                                                                        </w:t>
      </w:r>
      <w:r w:rsidR="006C5B3C" w:rsidRPr="00FA0D37">
        <w:t xml:space="preserve"> </w:t>
      </w:r>
      <w:r w:rsidR="007939B7" w:rsidRPr="00FA0D37">
        <w:rPr>
          <w:color w:val="993366"/>
        </w:rPr>
        <w:t>OPTIONAL</w:t>
      </w:r>
      <w:r w:rsidR="007939B7" w:rsidRPr="00FA0D37">
        <w:t>,</w:t>
      </w:r>
    </w:p>
    <w:p w14:paraId="57275551" w14:textId="777C99CE" w:rsidR="007939B7" w:rsidRPr="00FA0D37" w:rsidRDefault="007939B7" w:rsidP="00FA0D37">
      <w:pPr>
        <w:pStyle w:val="PL"/>
        <w:rPr>
          <w:color w:val="808080"/>
        </w:rPr>
      </w:pPr>
      <w:r w:rsidRPr="00FA0D37">
        <w:t xml:space="preserve">    </w:t>
      </w:r>
      <w:r w:rsidRPr="00FA0D37">
        <w:rPr>
          <w:color w:val="808080"/>
        </w:rPr>
        <w:t>-- R1  23-10-1</w:t>
      </w:r>
      <w:r w:rsidR="00F237C7" w:rsidRPr="00FA0D37">
        <w:rPr>
          <w:color w:val="808080"/>
        </w:rPr>
        <w:t xml:space="preserve">    </w:t>
      </w:r>
      <w:r w:rsidRPr="00FA0D37">
        <w:rPr>
          <w:color w:val="808080"/>
        </w:rPr>
        <w:t>Unified TCI with separate DL/UL TCI update for intra-cell beam management</w:t>
      </w:r>
    </w:p>
    <w:p w14:paraId="1B00FA11" w14:textId="4E1054E2" w:rsidR="007939B7" w:rsidRPr="00FA0D37" w:rsidRDefault="00F237C7" w:rsidP="00FA0D37">
      <w:pPr>
        <w:pStyle w:val="PL"/>
      </w:pPr>
      <w:r w:rsidRPr="00FA0D37">
        <w:t xml:space="preserve">    </w:t>
      </w:r>
      <w:r w:rsidR="007939B7" w:rsidRPr="00FA0D37">
        <w:t>unifiedSep</w:t>
      </w:r>
      <w:r w:rsidR="00215224" w:rsidRPr="00FA0D37">
        <w:t>a</w:t>
      </w:r>
      <w:r w:rsidR="007939B7" w:rsidRPr="00FA0D37">
        <w:t>rateTCI-r17</w:t>
      </w:r>
      <w:r w:rsidRPr="00FA0D37">
        <w:t xml:space="preserve">                      </w:t>
      </w:r>
      <w:r w:rsidR="007939B7" w:rsidRPr="00FA0D37">
        <w:rPr>
          <w:color w:val="993366"/>
        </w:rPr>
        <w:t>SEQUENCE</w:t>
      </w:r>
      <w:r w:rsidR="007939B7" w:rsidRPr="00FA0D37">
        <w:t>{</w:t>
      </w:r>
    </w:p>
    <w:p w14:paraId="0F861866" w14:textId="0337611C" w:rsidR="007939B7" w:rsidRPr="00FA0D37" w:rsidRDefault="00F237C7" w:rsidP="00FA0D37">
      <w:pPr>
        <w:pStyle w:val="PL"/>
      </w:pPr>
      <w:r w:rsidRPr="00FA0D37">
        <w:t xml:space="preserve">        </w:t>
      </w:r>
      <w:r w:rsidR="007939B7" w:rsidRPr="00FA0D37">
        <w:t>maxConfiguredDL-TCI-r17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{n4, n8, n12, n16, n24, n32, n48, n64, n128},</w:t>
      </w:r>
    </w:p>
    <w:p w14:paraId="2662B9B4" w14:textId="639537BE" w:rsidR="007939B7" w:rsidRPr="00FA0D37" w:rsidRDefault="00F237C7" w:rsidP="00FA0D37">
      <w:pPr>
        <w:pStyle w:val="PL"/>
      </w:pPr>
      <w:r w:rsidRPr="00FA0D37">
        <w:t xml:space="preserve">        </w:t>
      </w:r>
      <w:r w:rsidR="007939B7" w:rsidRPr="00FA0D37">
        <w:t>maxConfiguredUL-TCI-r17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{n4, n8, n12, n16, n24, n</w:t>
      </w:r>
      <w:r w:rsidR="003A5AEE" w:rsidRPr="00FA0D37">
        <w:t>3</w:t>
      </w:r>
      <w:r w:rsidR="007939B7" w:rsidRPr="00FA0D37">
        <w:t>2, n48, n64},</w:t>
      </w:r>
    </w:p>
    <w:p w14:paraId="347AEE28" w14:textId="1131EB00" w:rsidR="007939B7" w:rsidRPr="00FA0D37" w:rsidRDefault="00F237C7" w:rsidP="00FA0D37">
      <w:pPr>
        <w:pStyle w:val="PL"/>
      </w:pPr>
      <w:r w:rsidRPr="00FA0D37">
        <w:t xml:space="preserve">        </w:t>
      </w:r>
      <w:r w:rsidR="007939B7" w:rsidRPr="00FA0D37">
        <w:t>maxActivatedDL-TCIAcrossCC-r17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{n1, n2, n4, n8, n16},</w:t>
      </w:r>
    </w:p>
    <w:p w14:paraId="6B0F3E1C" w14:textId="037FA728" w:rsidR="007939B7" w:rsidRPr="00FA0D37" w:rsidRDefault="00F237C7" w:rsidP="00FA0D37">
      <w:pPr>
        <w:pStyle w:val="PL"/>
      </w:pPr>
      <w:r w:rsidRPr="00FA0D37">
        <w:t xml:space="preserve">        </w:t>
      </w:r>
      <w:r w:rsidR="007939B7" w:rsidRPr="00FA0D37">
        <w:t>maxActivatedUL-TCIAcrossCC-r17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{n1, n2, n4, n8, n16}</w:t>
      </w:r>
    </w:p>
    <w:p w14:paraId="42CEA03F" w14:textId="5401D06C" w:rsidR="007939B7" w:rsidRPr="00FA0D37" w:rsidRDefault="00F237C7" w:rsidP="00FA0D37">
      <w:pPr>
        <w:pStyle w:val="PL"/>
      </w:pPr>
      <w:r w:rsidRPr="00FA0D37">
        <w:t xml:space="preserve">    </w:t>
      </w:r>
      <w:r w:rsidR="007939B7" w:rsidRPr="00FA0D37">
        <w:t>}</w:t>
      </w:r>
      <w:r w:rsidR="006C5B3C" w:rsidRPr="00FA0D37">
        <w:t xml:space="preserve"> </w:t>
      </w:r>
      <w:r w:rsidR="007939B7" w:rsidRPr="00FA0D37">
        <w:rPr>
          <w:color w:val="993366"/>
        </w:rPr>
        <w:t>OPTIONAL</w:t>
      </w:r>
      <w:r w:rsidR="007939B7" w:rsidRPr="00FA0D37">
        <w:t>,</w:t>
      </w:r>
    </w:p>
    <w:p w14:paraId="0201AF2B" w14:textId="77777777" w:rsidR="00F747EB" w:rsidRPr="00FA0D37" w:rsidRDefault="007939B7" w:rsidP="00FA0D37">
      <w:pPr>
        <w:pStyle w:val="PL"/>
        <w:rPr>
          <w:color w:val="808080"/>
        </w:rPr>
      </w:pPr>
      <w:r w:rsidRPr="00FA0D37">
        <w:t xml:space="preserve">    </w:t>
      </w:r>
      <w:r w:rsidRPr="00FA0D37">
        <w:rPr>
          <w:color w:val="808080"/>
        </w:rPr>
        <w:t>-- R1  23-10-1b</w:t>
      </w:r>
      <w:r w:rsidR="00F237C7" w:rsidRPr="00FA0D37">
        <w:rPr>
          <w:color w:val="808080"/>
        </w:rPr>
        <w:t xml:space="preserve">    </w:t>
      </w:r>
      <w:r w:rsidRPr="00FA0D37">
        <w:rPr>
          <w:color w:val="808080"/>
        </w:rPr>
        <w:t>Unified TCI with separate DL/UL TCI update for intra-cell beam management with more than one MAC-CE</w:t>
      </w:r>
    </w:p>
    <w:p w14:paraId="2353DF54" w14:textId="15A9C091" w:rsidR="007939B7" w:rsidRPr="00FA0D37" w:rsidRDefault="00F237C7" w:rsidP="00FA0D37">
      <w:pPr>
        <w:pStyle w:val="PL"/>
      </w:pPr>
      <w:r w:rsidRPr="00FA0D37">
        <w:t xml:space="preserve">    </w:t>
      </w:r>
      <w:r w:rsidR="007939B7" w:rsidRPr="00FA0D37">
        <w:t>unifiedSep</w:t>
      </w:r>
      <w:r w:rsidR="00215224" w:rsidRPr="00FA0D37">
        <w:t>a</w:t>
      </w:r>
      <w:r w:rsidR="007939B7" w:rsidRPr="00FA0D37">
        <w:t>rateTCI-multiMAC-CE-r17</w:t>
      </w:r>
      <w:r w:rsidRPr="00FA0D37">
        <w:t xml:space="preserve">          </w:t>
      </w:r>
      <w:r w:rsidR="007939B7" w:rsidRPr="00FA0D37">
        <w:rPr>
          <w:color w:val="993366"/>
        </w:rPr>
        <w:t>SEQUENCE</w:t>
      </w:r>
      <w:r w:rsidR="007939B7" w:rsidRPr="00FA0D37">
        <w:t>{</w:t>
      </w:r>
    </w:p>
    <w:p w14:paraId="63AB5E13" w14:textId="0163FF09" w:rsidR="007939B7" w:rsidRPr="00FA0D37" w:rsidRDefault="00F237C7" w:rsidP="00FA0D37">
      <w:pPr>
        <w:pStyle w:val="PL"/>
      </w:pPr>
      <w:r w:rsidRPr="00FA0D37">
        <w:t xml:space="preserve">        </w:t>
      </w:r>
      <w:r w:rsidR="007939B7" w:rsidRPr="00FA0D37">
        <w:t xml:space="preserve">minBeamApplicationTime-r17 </w:t>
      </w:r>
      <w:r w:rsidR="00434A8E" w:rsidRPr="00FA0D37">
        <w:t xml:space="preserve">               </w:t>
      </w:r>
      <w:r w:rsidR="007939B7" w:rsidRPr="00FA0D37">
        <w:t xml:space="preserve">  </w:t>
      </w:r>
      <w:r w:rsidR="007939B7" w:rsidRPr="00FA0D37">
        <w:rPr>
          <w:color w:val="993366"/>
        </w:rPr>
        <w:t>ENUMERATED</w:t>
      </w:r>
      <w:r w:rsidRPr="00FA0D37">
        <w:t xml:space="preserve"> </w:t>
      </w:r>
      <w:r w:rsidR="007939B7" w:rsidRPr="00FA0D37">
        <w:t>{n1, n2, n4, n7, n14, n28, n42, n56, n70, n84, n98, n112, n224, n336},</w:t>
      </w:r>
    </w:p>
    <w:p w14:paraId="4044E076" w14:textId="247598BD" w:rsidR="007939B7" w:rsidRPr="00FA0D37" w:rsidRDefault="00F237C7" w:rsidP="00FA0D37">
      <w:pPr>
        <w:pStyle w:val="PL"/>
      </w:pPr>
      <w:r w:rsidRPr="00FA0D37">
        <w:t xml:space="preserve">        </w:t>
      </w:r>
      <w:r w:rsidR="007939B7" w:rsidRPr="00FA0D37">
        <w:t>maxActivatedDL-TCIPerCC-r17</w:t>
      </w:r>
      <w:r w:rsidRPr="00FA0D37">
        <w:t xml:space="preserve">       </w:t>
      </w:r>
      <w:r w:rsidR="00434A8E" w:rsidRPr="00FA0D37">
        <w:t xml:space="preserve">     </w:t>
      </w:r>
      <w:r w:rsidRPr="00FA0D37">
        <w:t xml:space="preserve">     </w:t>
      </w:r>
      <w:r w:rsidR="007939B7" w:rsidRPr="00FA0D37">
        <w:rPr>
          <w:color w:val="993366"/>
        </w:rPr>
        <w:t>INTEGER</w:t>
      </w:r>
      <w:r w:rsidR="007939B7" w:rsidRPr="00FA0D37">
        <w:t xml:space="preserve"> (2..8),</w:t>
      </w:r>
    </w:p>
    <w:p w14:paraId="69FD9ACA" w14:textId="05533CDE" w:rsidR="007939B7" w:rsidRPr="00FA0D37" w:rsidRDefault="00F237C7" w:rsidP="00FA0D37">
      <w:pPr>
        <w:pStyle w:val="PL"/>
      </w:pPr>
      <w:r w:rsidRPr="00FA0D37">
        <w:t xml:space="preserve">        </w:t>
      </w:r>
      <w:r w:rsidR="007939B7" w:rsidRPr="00FA0D37">
        <w:t>maxActivatedUL-TCIPerCC-r17</w:t>
      </w:r>
      <w:r w:rsidRPr="00FA0D37">
        <w:t xml:space="preserve">        </w:t>
      </w:r>
      <w:r w:rsidR="00434A8E" w:rsidRPr="00FA0D37">
        <w:t xml:space="preserve">     </w:t>
      </w:r>
      <w:r w:rsidRPr="00FA0D37">
        <w:t xml:space="preserve">    </w:t>
      </w:r>
      <w:r w:rsidR="007939B7" w:rsidRPr="00FA0D37">
        <w:rPr>
          <w:color w:val="993366"/>
        </w:rPr>
        <w:t>INTEGER</w:t>
      </w:r>
      <w:r w:rsidR="007939B7" w:rsidRPr="00FA0D37">
        <w:t xml:space="preserve"> (2..8)</w:t>
      </w:r>
    </w:p>
    <w:p w14:paraId="41282C32" w14:textId="3057D4C4" w:rsidR="007939B7" w:rsidRPr="00FA0D37" w:rsidRDefault="00F237C7" w:rsidP="00FA0D37">
      <w:pPr>
        <w:pStyle w:val="PL"/>
      </w:pPr>
      <w:r w:rsidRPr="00FA0D37">
        <w:t xml:space="preserve">    </w:t>
      </w:r>
      <w:r w:rsidR="007939B7" w:rsidRPr="00FA0D37">
        <w:t xml:space="preserve">}  </w:t>
      </w:r>
      <w:r w:rsidR="006C5B3C" w:rsidRPr="00FA0D37">
        <w:t xml:space="preserve"> </w:t>
      </w:r>
      <w:r w:rsidR="00434A8E" w:rsidRPr="00FA0D37">
        <w:t xml:space="preserve">                                                                                                       </w:t>
      </w:r>
      <w:r w:rsidR="007939B7" w:rsidRPr="00FA0D37">
        <w:rPr>
          <w:color w:val="993366"/>
        </w:rPr>
        <w:t>OPTIONAL</w:t>
      </w:r>
      <w:r w:rsidR="007939B7" w:rsidRPr="00FA0D37">
        <w:t>,</w:t>
      </w:r>
    </w:p>
    <w:p w14:paraId="3D345AD2" w14:textId="0F89AD19" w:rsidR="007939B7" w:rsidRPr="00FA0D37" w:rsidRDefault="00F237C7" w:rsidP="00FA0D37">
      <w:pPr>
        <w:pStyle w:val="PL"/>
        <w:rPr>
          <w:color w:val="808080"/>
        </w:rPr>
      </w:pPr>
      <w:r w:rsidRPr="00FA0D37">
        <w:t xml:space="preserve">    </w:t>
      </w:r>
      <w:r w:rsidR="007939B7" w:rsidRPr="00FA0D37">
        <w:rPr>
          <w:color w:val="808080"/>
        </w:rPr>
        <w:t>-- R1 23-10-1d</w:t>
      </w:r>
      <w:r w:rsidRPr="00FA0D37">
        <w:rPr>
          <w:color w:val="808080"/>
        </w:rPr>
        <w:t xml:space="preserve">    </w:t>
      </w:r>
      <w:r w:rsidR="007939B7" w:rsidRPr="00FA0D37">
        <w:rPr>
          <w:color w:val="808080"/>
        </w:rPr>
        <w:t>Per BWP DL/UL-TCI state pool configuration for CA mode</w:t>
      </w:r>
    </w:p>
    <w:p w14:paraId="1C8D1045" w14:textId="01A96039" w:rsidR="007939B7" w:rsidRPr="00FA0D37" w:rsidRDefault="00F237C7" w:rsidP="00FA0D37">
      <w:pPr>
        <w:pStyle w:val="PL"/>
      </w:pPr>
      <w:r w:rsidRPr="00FA0D37">
        <w:t xml:space="preserve">    </w:t>
      </w:r>
      <w:r w:rsidR="007939B7" w:rsidRPr="00FA0D37">
        <w:t>unifiedSep</w:t>
      </w:r>
      <w:r w:rsidR="00215224" w:rsidRPr="00FA0D37">
        <w:t>a</w:t>
      </w:r>
      <w:r w:rsidR="007939B7" w:rsidRPr="00FA0D37">
        <w:t>rateTCI-perBWP-CA-r17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{supported}                       </w:t>
      </w:r>
      <w:r w:rsidRPr="00FA0D37">
        <w:t xml:space="preserve">   </w:t>
      </w:r>
      <w:r w:rsidR="00434A8E" w:rsidRPr="00FA0D37">
        <w:t xml:space="preserve">          </w:t>
      </w:r>
      <w:r w:rsidRPr="00FA0D37">
        <w:t xml:space="preserve">     </w:t>
      </w:r>
      <w:r w:rsidR="007939B7" w:rsidRPr="00FA0D37">
        <w:rPr>
          <w:color w:val="993366"/>
        </w:rPr>
        <w:t>OPTIONAL</w:t>
      </w:r>
      <w:r w:rsidR="007939B7" w:rsidRPr="00FA0D37">
        <w:t>,</w:t>
      </w:r>
    </w:p>
    <w:p w14:paraId="6AB5E2B5" w14:textId="479C60DA" w:rsidR="007939B7" w:rsidRPr="00FA0D37" w:rsidRDefault="007939B7" w:rsidP="00FA0D37">
      <w:pPr>
        <w:pStyle w:val="PL"/>
        <w:rPr>
          <w:color w:val="808080"/>
        </w:rPr>
      </w:pPr>
      <w:r w:rsidRPr="00FA0D37">
        <w:t xml:space="preserve">    </w:t>
      </w:r>
      <w:r w:rsidRPr="00FA0D37">
        <w:rPr>
          <w:color w:val="808080"/>
        </w:rPr>
        <w:t>-- R1 23-10-1e</w:t>
      </w:r>
      <w:r w:rsidR="00F237C7" w:rsidRPr="00FA0D37">
        <w:rPr>
          <w:color w:val="808080"/>
        </w:rPr>
        <w:t xml:space="preserve">    </w:t>
      </w:r>
      <w:r w:rsidRPr="00FA0D37">
        <w:rPr>
          <w:color w:val="808080"/>
        </w:rPr>
        <w:t>TCI state pool configuration with DL/UL-TCI pool sharing for CA mode</w:t>
      </w:r>
    </w:p>
    <w:p w14:paraId="5EC72A12" w14:textId="59DD2407" w:rsidR="007939B7" w:rsidRPr="00FA0D37" w:rsidRDefault="00F237C7" w:rsidP="00FA0D37">
      <w:pPr>
        <w:pStyle w:val="PL"/>
      </w:pPr>
      <w:r w:rsidRPr="00FA0D37">
        <w:t xml:space="preserve">    </w:t>
      </w:r>
      <w:r w:rsidR="007939B7" w:rsidRPr="00FA0D37">
        <w:t>unifiedSep</w:t>
      </w:r>
      <w:r w:rsidR="00215224" w:rsidRPr="00FA0D37">
        <w:t>a</w:t>
      </w:r>
      <w:r w:rsidR="007939B7" w:rsidRPr="00FA0D37">
        <w:t>rateTCI-ListSharingCA-r17</w:t>
      </w:r>
      <w:r w:rsidRPr="00FA0D37">
        <w:t xml:space="preserve">        </w:t>
      </w:r>
      <w:r w:rsidR="007939B7" w:rsidRPr="00FA0D37">
        <w:rPr>
          <w:color w:val="993366"/>
        </w:rPr>
        <w:t>SEQUENCE</w:t>
      </w:r>
      <w:r w:rsidR="007939B7" w:rsidRPr="00FA0D37">
        <w:t xml:space="preserve"> {</w:t>
      </w:r>
    </w:p>
    <w:p w14:paraId="19A5D918" w14:textId="7560CE65" w:rsidR="007939B7" w:rsidRPr="00FA0D37" w:rsidRDefault="00F237C7" w:rsidP="00FA0D37">
      <w:pPr>
        <w:pStyle w:val="PL"/>
      </w:pPr>
      <w:r w:rsidRPr="00FA0D37">
        <w:t xml:space="preserve">        </w:t>
      </w:r>
      <w:r w:rsidR="007939B7" w:rsidRPr="00FA0D37">
        <w:t>maxNumListDL-TCI-r17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{n1,n2,n4,n8}            </w:t>
      </w:r>
      <w:r w:rsidR="00434A8E" w:rsidRPr="00FA0D37">
        <w:t xml:space="preserve">          </w:t>
      </w:r>
      <w:r w:rsidR="007939B7" w:rsidRPr="00FA0D37">
        <w:t xml:space="preserve"> </w:t>
      </w:r>
      <w:r w:rsidRPr="00FA0D37">
        <w:t xml:space="preserve">            </w:t>
      </w:r>
      <w:r w:rsidR="007939B7" w:rsidRPr="00FA0D37">
        <w:rPr>
          <w:color w:val="993366"/>
        </w:rPr>
        <w:t>OPTIONAL</w:t>
      </w:r>
      <w:r w:rsidR="007939B7" w:rsidRPr="00FA0D37">
        <w:t>,</w:t>
      </w:r>
    </w:p>
    <w:p w14:paraId="0A863E6C" w14:textId="2DE4ECA3" w:rsidR="007939B7" w:rsidRPr="00FA0D37" w:rsidRDefault="00F237C7" w:rsidP="00FA0D37">
      <w:pPr>
        <w:pStyle w:val="PL"/>
      </w:pPr>
      <w:r w:rsidRPr="00FA0D37">
        <w:t xml:space="preserve">        </w:t>
      </w:r>
      <w:r w:rsidR="007939B7" w:rsidRPr="00FA0D37">
        <w:t>maxNumListUL-TCI-r17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{n1,n2,n4,n8}             </w:t>
      </w:r>
      <w:r w:rsidR="00434A8E" w:rsidRPr="00FA0D37">
        <w:t xml:space="preserve">          </w:t>
      </w:r>
      <w:r w:rsidRPr="00FA0D37">
        <w:t xml:space="preserve">            </w:t>
      </w:r>
      <w:r w:rsidR="007939B7" w:rsidRPr="00FA0D37">
        <w:rPr>
          <w:color w:val="993366"/>
        </w:rPr>
        <w:t>OPTIONAL</w:t>
      </w:r>
    </w:p>
    <w:p w14:paraId="5B155A66" w14:textId="687AE2F1" w:rsidR="007939B7" w:rsidRPr="00FA0D37" w:rsidRDefault="00F237C7" w:rsidP="00FA0D37">
      <w:pPr>
        <w:pStyle w:val="PL"/>
      </w:pPr>
      <w:r w:rsidRPr="00FA0D37">
        <w:t xml:space="preserve">    </w:t>
      </w:r>
      <w:r w:rsidR="007939B7" w:rsidRPr="00FA0D37">
        <w:t>}</w:t>
      </w:r>
      <w:r w:rsidR="006C5B3C" w:rsidRPr="00FA0D37">
        <w:t xml:space="preserve"> </w:t>
      </w:r>
      <w:r w:rsidR="007939B7" w:rsidRPr="00FA0D37">
        <w:rPr>
          <w:color w:val="993366"/>
        </w:rPr>
        <w:t>OPTIONAL</w:t>
      </w:r>
      <w:r w:rsidR="007939B7" w:rsidRPr="00FA0D37">
        <w:t>,</w:t>
      </w:r>
    </w:p>
    <w:p w14:paraId="5D39D87D" w14:textId="236012E9" w:rsidR="007939B7" w:rsidRPr="00FA0D37" w:rsidRDefault="007939B7" w:rsidP="00FA0D37">
      <w:pPr>
        <w:pStyle w:val="PL"/>
        <w:rPr>
          <w:color w:val="808080"/>
        </w:rPr>
      </w:pPr>
      <w:r w:rsidRPr="00FA0D37">
        <w:t xml:space="preserve">    </w:t>
      </w:r>
      <w:r w:rsidRPr="00FA0D37">
        <w:rPr>
          <w:color w:val="808080"/>
        </w:rPr>
        <w:t>-- R1 23-10-1f</w:t>
      </w:r>
      <w:r w:rsidR="00F237C7" w:rsidRPr="00FA0D37">
        <w:rPr>
          <w:color w:val="808080"/>
        </w:rPr>
        <w:t xml:space="preserve">    </w:t>
      </w:r>
      <w:r w:rsidRPr="00FA0D37">
        <w:rPr>
          <w:color w:val="808080"/>
        </w:rPr>
        <w:t>Common multi-CC DL/UL-TCI state ID update and activation with separate DL/UL TCI update</w:t>
      </w:r>
    </w:p>
    <w:p w14:paraId="0F3320A9" w14:textId="13BBF8AA" w:rsidR="007939B7" w:rsidRPr="00FA0D37" w:rsidRDefault="00F237C7" w:rsidP="00FA0D37">
      <w:pPr>
        <w:pStyle w:val="PL"/>
      </w:pPr>
      <w:r w:rsidRPr="00FA0D37">
        <w:t xml:space="preserve">    </w:t>
      </w:r>
      <w:r w:rsidR="007939B7" w:rsidRPr="00FA0D37">
        <w:t>unifiedSep</w:t>
      </w:r>
      <w:r w:rsidR="00215224" w:rsidRPr="00FA0D37">
        <w:t>a</w:t>
      </w:r>
      <w:r w:rsidR="007939B7" w:rsidRPr="00FA0D37">
        <w:t>rateTCI-commonMultiCC-r17</w:t>
      </w:r>
      <w:r w:rsidRPr="00FA0D37">
        <w:t xml:space="preserve">    </w:t>
      </w:r>
      <w:r w:rsidR="007939B7" w:rsidRPr="00FA0D37">
        <w:rPr>
          <w:color w:val="993366"/>
        </w:rPr>
        <w:t>ENUMERATED</w:t>
      </w:r>
      <w:r w:rsidR="007939B7" w:rsidRPr="00FA0D37">
        <w:t xml:space="preserve"> {supported}                 </w:t>
      </w:r>
      <w:r w:rsidRPr="00FA0D37">
        <w:t xml:space="preserve">        </w:t>
      </w:r>
      <w:r w:rsidR="00434A8E" w:rsidRPr="00FA0D37">
        <w:t xml:space="preserve">                </w:t>
      </w:r>
      <w:r w:rsidRPr="00FA0D37">
        <w:t xml:space="preserve">    </w:t>
      </w:r>
      <w:r w:rsidR="007939B7" w:rsidRPr="00FA0D37">
        <w:rPr>
          <w:color w:val="993366"/>
        </w:rPr>
        <w:t>OPTIONAL</w:t>
      </w:r>
      <w:r w:rsidR="007939B7" w:rsidRPr="00FA0D37">
        <w:t>,</w:t>
      </w:r>
    </w:p>
    <w:p w14:paraId="3B0E3B4C" w14:textId="77777777" w:rsidR="00F747EB" w:rsidRPr="00FA0D37" w:rsidRDefault="00F237C7" w:rsidP="00FA0D37">
      <w:pPr>
        <w:pStyle w:val="PL"/>
        <w:rPr>
          <w:color w:val="808080"/>
        </w:rPr>
      </w:pPr>
      <w:r w:rsidRPr="00FA0D37">
        <w:t xml:space="preserve">    </w:t>
      </w:r>
      <w:r w:rsidR="007939B7" w:rsidRPr="00FA0D37">
        <w:rPr>
          <w:color w:val="808080"/>
        </w:rPr>
        <w:t>-- 23-10-1m</w:t>
      </w:r>
      <w:r w:rsidRPr="00FA0D37">
        <w:rPr>
          <w:color w:val="808080"/>
        </w:rPr>
        <w:t xml:space="preserve">    </w:t>
      </w:r>
      <w:r w:rsidR="007939B7" w:rsidRPr="00FA0D37">
        <w:rPr>
          <w:color w:val="808080"/>
        </w:rPr>
        <w:t>Unified TCI with separate DL/UL TCI update for inter-cell beam management with more than one MAC-CE</w:t>
      </w:r>
    </w:p>
    <w:p w14:paraId="29AF55CF" w14:textId="2C05B73D" w:rsidR="007939B7" w:rsidRPr="00FA0D37" w:rsidRDefault="00F237C7" w:rsidP="00FA0D37">
      <w:pPr>
        <w:pStyle w:val="PL"/>
      </w:pPr>
      <w:r w:rsidRPr="00FA0D37">
        <w:t xml:space="preserve">    </w:t>
      </w:r>
      <w:r w:rsidR="007939B7" w:rsidRPr="00FA0D37">
        <w:t>unifiedSep</w:t>
      </w:r>
      <w:r w:rsidR="00215224" w:rsidRPr="00FA0D37">
        <w:t>a</w:t>
      </w:r>
      <w:r w:rsidR="007939B7" w:rsidRPr="00FA0D37">
        <w:t>rateTCI-InterCell-r17</w:t>
      </w:r>
      <w:r w:rsidRPr="00FA0D37">
        <w:t xml:space="preserve">   </w:t>
      </w:r>
      <w:r w:rsidR="00434A8E" w:rsidRPr="00FA0D37">
        <w:t xml:space="preserve">        </w:t>
      </w:r>
      <w:r w:rsidRPr="00FA0D37">
        <w:t xml:space="preserve"> </w:t>
      </w:r>
      <w:r w:rsidR="007939B7" w:rsidRPr="00FA0D37">
        <w:rPr>
          <w:color w:val="993366"/>
        </w:rPr>
        <w:t>SEQUENCE</w:t>
      </w:r>
      <w:r w:rsidR="00434A8E" w:rsidRPr="00FA0D37">
        <w:t xml:space="preserve"> </w:t>
      </w:r>
      <w:r w:rsidR="007939B7" w:rsidRPr="00FA0D37">
        <w:t>{</w:t>
      </w:r>
    </w:p>
    <w:p w14:paraId="467BA25E" w14:textId="60182C56" w:rsidR="007939B7" w:rsidRPr="00FA0D37" w:rsidRDefault="00F237C7" w:rsidP="00FA0D37">
      <w:pPr>
        <w:pStyle w:val="PL"/>
      </w:pPr>
      <w:r w:rsidRPr="00FA0D37">
        <w:t xml:space="preserve">        </w:t>
      </w:r>
      <w:r w:rsidR="007939B7" w:rsidRPr="00FA0D37">
        <w:t>k-DL-PerCC-r17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{n0, n1, n2, n4},</w:t>
      </w:r>
    </w:p>
    <w:p w14:paraId="1010C485" w14:textId="1DC09682" w:rsidR="007939B7" w:rsidRPr="00FA0D37" w:rsidRDefault="00F237C7" w:rsidP="00FA0D37">
      <w:pPr>
        <w:pStyle w:val="PL"/>
      </w:pPr>
      <w:r w:rsidRPr="00FA0D37">
        <w:t xml:space="preserve">        </w:t>
      </w:r>
      <w:r w:rsidR="007939B7" w:rsidRPr="00FA0D37">
        <w:t>k-UL-PerCC-r17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{n0, n1, n2, n4},</w:t>
      </w:r>
    </w:p>
    <w:p w14:paraId="6E4FEA05" w14:textId="15E68BCB" w:rsidR="007939B7" w:rsidRPr="00FA0D37" w:rsidRDefault="00F237C7" w:rsidP="00FA0D37">
      <w:pPr>
        <w:pStyle w:val="PL"/>
      </w:pPr>
      <w:r w:rsidRPr="00FA0D37">
        <w:t xml:space="preserve">        </w:t>
      </w:r>
      <w:r w:rsidR="007939B7" w:rsidRPr="00FA0D37">
        <w:t>k-DL-AcrossCC-r17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{n0, n1, n2, n4},</w:t>
      </w:r>
    </w:p>
    <w:p w14:paraId="0AD1BB81" w14:textId="373FE441" w:rsidR="007939B7" w:rsidRPr="00FA0D37" w:rsidRDefault="00F237C7" w:rsidP="00FA0D37">
      <w:pPr>
        <w:pStyle w:val="PL"/>
      </w:pPr>
      <w:r w:rsidRPr="00FA0D37">
        <w:t xml:space="preserve">        </w:t>
      </w:r>
      <w:r w:rsidR="007939B7" w:rsidRPr="00FA0D37">
        <w:t>k-UL-AcrossCC-r17</w:t>
      </w:r>
      <w:r w:rsidRPr="00FA0D37">
        <w:t xml:space="preserve">  </w:t>
      </w:r>
      <w:r w:rsidR="00434A8E" w:rsidRPr="00FA0D37">
        <w:t xml:space="preserve">                   </w:t>
      </w:r>
      <w:r w:rsidRPr="00FA0D37">
        <w:t xml:space="preserve">      </w:t>
      </w:r>
      <w:r w:rsidR="007939B7" w:rsidRPr="00FA0D37">
        <w:rPr>
          <w:color w:val="993366"/>
        </w:rPr>
        <w:t>ENUMERATED</w:t>
      </w:r>
      <w:r w:rsidR="007939B7" w:rsidRPr="00FA0D37">
        <w:t xml:space="preserve"> {n0, n1, n2, n4}</w:t>
      </w:r>
    </w:p>
    <w:p w14:paraId="2B12F6BE" w14:textId="57BA901D" w:rsidR="007939B7" w:rsidRPr="00FA0D37" w:rsidRDefault="00F237C7" w:rsidP="00FA0D37">
      <w:pPr>
        <w:pStyle w:val="PL"/>
      </w:pPr>
      <w:r w:rsidRPr="00FA0D37">
        <w:t xml:space="preserve">    </w:t>
      </w:r>
      <w:r w:rsidR="007939B7" w:rsidRPr="00FA0D37">
        <w:t>}</w:t>
      </w:r>
      <w:r w:rsidRPr="00FA0D37">
        <w:t xml:space="preserve">    </w:t>
      </w:r>
      <w:r w:rsidR="007939B7" w:rsidRPr="00FA0D37">
        <w:t xml:space="preserve">        </w:t>
      </w:r>
      <w:r w:rsidR="00434A8E" w:rsidRPr="00FA0D37">
        <w:t xml:space="preserve">                                                                                         </w:t>
      </w:r>
      <w:r w:rsidR="007939B7" w:rsidRPr="00FA0D37">
        <w:t xml:space="preserve">     </w:t>
      </w:r>
      <w:r w:rsidR="007939B7" w:rsidRPr="00FA0D37">
        <w:rPr>
          <w:color w:val="993366"/>
        </w:rPr>
        <w:t>OPTIONAL</w:t>
      </w:r>
      <w:r w:rsidR="007939B7" w:rsidRPr="00FA0D37">
        <w:t>,</w:t>
      </w:r>
    </w:p>
    <w:p w14:paraId="11909751" w14:textId="7A672C0D" w:rsidR="007939B7" w:rsidRPr="00FA0D37" w:rsidRDefault="007939B7" w:rsidP="00FA0D37">
      <w:pPr>
        <w:pStyle w:val="PL"/>
        <w:rPr>
          <w:color w:val="808080"/>
        </w:rPr>
      </w:pPr>
      <w:r w:rsidRPr="00FA0D37">
        <w:t xml:space="preserve">   </w:t>
      </w:r>
      <w:r w:rsidR="00434A8E" w:rsidRPr="00FA0D37">
        <w:t xml:space="preserve"> </w:t>
      </w:r>
      <w:r w:rsidRPr="00FA0D37">
        <w:rPr>
          <w:color w:val="808080"/>
        </w:rPr>
        <w:t>-- R1  23-1-2</w:t>
      </w:r>
      <w:r w:rsidR="00F237C7" w:rsidRPr="00FA0D37">
        <w:rPr>
          <w:color w:val="808080"/>
        </w:rPr>
        <w:t xml:space="preserve">    </w:t>
      </w:r>
      <w:r w:rsidRPr="00FA0D37">
        <w:rPr>
          <w:color w:val="808080"/>
        </w:rPr>
        <w:t>Inter-cell beam measurement and reporting (for inter-cell BM and mTRP)</w:t>
      </w:r>
    </w:p>
    <w:p w14:paraId="7309AC0E" w14:textId="3A31BACB" w:rsidR="007939B7" w:rsidRPr="00FA0D37" w:rsidRDefault="00F237C7" w:rsidP="00FA0D37">
      <w:pPr>
        <w:pStyle w:val="PL"/>
      </w:pPr>
      <w:r w:rsidRPr="00FA0D37">
        <w:t xml:space="preserve">    </w:t>
      </w:r>
      <w:r w:rsidR="007939B7" w:rsidRPr="00FA0D37">
        <w:t>unifiedJointTCI-mTRP-InterCell-BM-r17</w:t>
      </w:r>
      <w:r w:rsidRPr="00FA0D37">
        <w:t xml:space="preserve">       </w:t>
      </w:r>
      <w:r w:rsidR="007939B7" w:rsidRPr="00FA0D37">
        <w:rPr>
          <w:color w:val="993366"/>
        </w:rPr>
        <w:t>SEQUENCE</w:t>
      </w:r>
      <w:r w:rsidRPr="00FA0D37">
        <w:t xml:space="preserve"> </w:t>
      </w:r>
      <w:r w:rsidR="007939B7" w:rsidRPr="00FA0D37">
        <w:t>{</w:t>
      </w:r>
    </w:p>
    <w:p w14:paraId="551A86AD" w14:textId="20D7D590" w:rsidR="007939B7" w:rsidRPr="00FA0D37" w:rsidRDefault="00F237C7" w:rsidP="00FA0D37">
      <w:pPr>
        <w:pStyle w:val="PL"/>
      </w:pPr>
      <w:r w:rsidRPr="00FA0D37">
        <w:t xml:space="preserve">        </w:t>
      </w:r>
      <w:r w:rsidR="007939B7" w:rsidRPr="00FA0D37">
        <w:t>maxNumAdditionalPCI-L1-RSRP-r17</w:t>
      </w:r>
      <w:r w:rsidRPr="00FA0D37">
        <w:t xml:space="preserve">         </w:t>
      </w:r>
      <w:r w:rsidR="00434A8E" w:rsidRPr="00FA0D37">
        <w:t xml:space="preserve"> </w:t>
      </w:r>
      <w:r w:rsidRPr="00FA0D37">
        <w:t xml:space="preserve">   </w:t>
      </w:r>
      <w:r w:rsidR="007939B7" w:rsidRPr="00FA0D37">
        <w:rPr>
          <w:color w:val="993366"/>
        </w:rPr>
        <w:t>INTEGER</w:t>
      </w:r>
      <w:r w:rsidR="007939B7" w:rsidRPr="00FA0D37">
        <w:t xml:space="preserve"> (1..7),</w:t>
      </w:r>
    </w:p>
    <w:p w14:paraId="75AD82C5" w14:textId="1EF3649A" w:rsidR="007939B7" w:rsidRPr="00FA0D37" w:rsidRDefault="00F237C7" w:rsidP="00FA0D37">
      <w:pPr>
        <w:pStyle w:val="PL"/>
      </w:pPr>
      <w:r w:rsidRPr="00FA0D37">
        <w:t xml:space="preserve">        </w:t>
      </w:r>
      <w:r w:rsidR="007939B7" w:rsidRPr="00FA0D37">
        <w:t>maxNumSSB-ResourceL1-RSRP-AcrossCC-r17</w:t>
      </w:r>
      <w:r w:rsidRPr="00FA0D37">
        <w:t xml:space="preserve">      </w:t>
      </w:r>
      <w:r w:rsidR="007939B7" w:rsidRPr="00FA0D37">
        <w:rPr>
          <w:color w:val="993366"/>
        </w:rPr>
        <w:t>ENUMERATED</w:t>
      </w:r>
      <w:r w:rsidR="007939B7" w:rsidRPr="00FA0D37">
        <w:t xml:space="preserve"> {n1,n2,n4,n8}</w:t>
      </w:r>
    </w:p>
    <w:p w14:paraId="1C7EBD4C" w14:textId="7210E373" w:rsidR="007939B7" w:rsidRPr="00FA0D37" w:rsidRDefault="00F237C7" w:rsidP="00FA0D37">
      <w:pPr>
        <w:pStyle w:val="PL"/>
      </w:pPr>
      <w:r w:rsidRPr="00FA0D37">
        <w:lastRenderedPageBreak/>
        <w:t xml:space="preserve">    </w:t>
      </w:r>
      <w:r w:rsidR="007939B7" w:rsidRPr="00FA0D37">
        <w:t>}</w:t>
      </w:r>
      <w:r w:rsidR="006C5B3C" w:rsidRPr="00FA0D37">
        <w:t xml:space="preserve"> </w:t>
      </w:r>
      <w:r w:rsidR="00B8304E" w:rsidRPr="00FA0D37">
        <w:t xml:space="preserve">                                                                                                         </w:t>
      </w:r>
      <w:r w:rsidR="007939B7" w:rsidRPr="00FA0D37">
        <w:rPr>
          <w:color w:val="993366"/>
        </w:rPr>
        <w:t>OPTIONAL</w:t>
      </w:r>
      <w:r w:rsidR="007939B7" w:rsidRPr="00FA0D37">
        <w:t>,</w:t>
      </w:r>
    </w:p>
    <w:p w14:paraId="4530DEA8" w14:textId="7BA806F6" w:rsidR="007939B7" w:rsidRPr="00FA0D37" w:rsidRDefault="007939B7" w:rsidP="00FA0D37">
      <w:pPr>
        <w:pStyle w:val="PL"/>
        <w:rPr>
          <w:color w:val="808080"/>
        </w:rPr>
      </w:pPr>
      <w:r w:rsidRPr="00FA0D37">
        <w:t xml:space="preserve">    </w:t>
      </w:r>
      <w:r w:rsidRPr="00FA0D37">
        <w:rPr>
          <w:color w:val="808080"/>
        </w:rPr>
        <w:t>-- R1  23-1-3</w:t>
      </w:r>
      <w:r w:rsidR="00F237C7" w:rsidRPr="00FA0D37">
        <w:rPr>
          <w:color w:val="808080"/>
        </w:rPr>
        <w:t xml:space="preserve">    </w:t>
      </w:r>
      <w:r w:rsidRPr="00FA0D37">
        <w:rPr>
          <w:color w:val="808080"/>
        </w:rPr>
        <w:t>MPE mitigation</w:t>
      </w:r>
    </w:p>
    <w:p w14:paraId="7EDAA8E5" w14:textId="14FE46E1" w:rsidR="007939B7" w:rsidRPr="00FA0D37" w:rsidRDefault="00F237C7" w:rsidP="00FA0D37">
      <w:pPr>
        <w:pStyle w:val="PL"/>
      </w:pPr>
      <w:r w:rsidRPr="00FA0D37">
        <w:t xml:space="preserve">    </w:t>
      </w:r>
      <w:r w:rsidR="007939B7" w:rsidRPr="00FA0D37">
        <w:t>mpe-Mitigation-r17</w:t>
      </w:r>
      <w:r w:rsidRPr="00FA0D37">
        <w:t xml:space="preserve">      </w:t>
      </w:r>
      <w:r w:rsidR="00FD7868" w:rsidRPr="00FA0D37">
        <w:t xml:space="preserve">                </w:t>
      </w:r>
      <w:r w:rsidRPr="00FA0D37">
        <w:t xml:space="preserve">  </w:t>
      </w:r>
      <w:r w:rsidR="00FD7868" w:rsidRPr="00FA0D37">
        <w:t xml:space="preserve">  </w:t>
      </w:r>
      <w:r w:rsidR="007939B7" w:rsidRPr="00FA0D37">
        <w:rPr>
          <w:color w:val="993366"/>
        </w:rPr>
        <w:t>SEQUENCE</w:t>
      </w:r>
      <w:r w:rsidRPr="00FA0D37">
        <w:t xml:space="preserve"> </w:t>
      </w:r>
      <w:r w:rsidR="007939B7" w:rsidRPr="00FA0D37">
        <w:t>{</w:t>
      </w:r>
    </w:p>
    <w:p w14:paraId="258E5F8A" w14:textId="19DEA87F" w:rsidR="007939B7" w:rsidRPr="00FA0D37" w:rsidRDefault="00F237C7" w:rsidP="00FA0D37">
      <w:pPr>
        <w:pStyle w:val="PL"/>
      </w:pPr>
      <w:r w:rsidRPr="00FA0D37">
        <w:t xml:space="preserve">        </w:t>
      </w:r>
      <w:r w:rsidR="007939B7" w:rsidRPr="00FA0D37">
        <w:t>maxNumP-MPR-RI-pairs-r17</w:t>
      </w:r>
      <w:r w:rsidRPr="00FA0D37">
        <w:t xml:space="preserve">  </w:t>
      </w:r>
      <w:r w:rsidR="00FD7868" w:rsidRPr="00FA0D37">
        <w:t xml:space="preserve"> </w:t>
      </w:r>
      <w:r w:rsidRPr="00FA0D37">
        <w:t xml:space="preserve"> </w:t>
      </w:r>
      <w:r w:rsidR="00B8304E" w:rsidRPr="00FA0D37">
        <w:t xml:space="preserve">               </w:t>
      </w:r>
      <w:r w:rsidRPr="00FA0D37">
        <w:t xml:space="preserve"> </w:t>
      </w:r>
      <w:r w:rsidR="007939B7" w:rsidRPr="00FA0D37">
        <w:rPr>
          <w:color w:val="993366"/>
        </w:rPr>
        <w:t>INTEGER</w:t>
      </w:r>
      <w:r w:rsidR="007939B7" w:rsidRPr="00FA0D37">
        <w:t xml:space="preserve"> (1..4),</w:t>
      </w:r>
    </w:p>
    <w:p w14:paraId="61F3FED5" w14:textId="16BC65A8" w:rsidR="007939B7" w:rsidRPr="00FA0D37" w:rsidRDefault="00F237C7" w:rsidP="00FA0D37">
      <w:pPr>
        <w:pStyle w:val="PL"/>
      </w:pPr>
      <w:r w:rsidRPr="00FA0D37">
        <w:t xml:space="preserve">        </w:t>
      </w:r>
      <w:r w:rsidR="007939B7" w:rsidRPr="00FA0D37">
        <w:t>maxNumConfRS-r17</w:t>
      </w:r>
      <w:r w:rsidRPr="00FA0D37">
        <w:t xml:space="preserve">                            </w:t>
      </w:r>
      <w:r w:rsidR="007939B7" w:rsidRPr="00FA0D37">
        <w:rPr>
          <w:color w:val="993366"/>
        </w:rPr>
        <w:t>ENUMERATED</w:t>
      </w:r>
      <w:r w:rsidR="007939B7" w:rsidRPr="00FA0D37">
        <w:t xml:space="preserve"> {n1, n2, n4, n8, n12, n16, n28, n32, n48, n64}</w:t>
      </w:r>
    </w:p>
    <w:p w14:paraId="68841914" w14:textId="3BA20F5D" w:rsidR="007939B7" w:rsidRPr="00FA0D37" w:rsidRDefault="00F237C7" w:rsidP="00FA0D37">
      <w:pPr>
        <w:pStyle w:val="PL"/>
      </w:pPr>
      <w:r w:rsidRPr="00FA0D37">
        <w:t xml:space="preserve">    </w:t>
      </w:r>
      <w:r w:rsidR="007939B7" w:rsidRPr="00FA0D37">
        <w:t>}</w:t>
      </w:r>
      <w:r w:rsidR="006C5B3C" w:rsidRPr="00FA0D37">
        <w:t xml:space="preserve"> </w:t>
      </w:r>
      <w:r w:rsidR="00B8304E" w:rsidRPr="00FA0D37">
        <w:t xml:space="preserve">                                                                                                         </w:t>
      </w:r>
      <w:r w:rsidR="007939B7" w:rsidRPr="00FA0D37">
        <w:rPr>
          <w:color w:val="993366"/>
        </w:rPr>
        <w:t>OPTIONAL</w:t>
      </w:r>
      <w:r w:rsidR="007939B7" w:rsidRPr="00FA0D37">
        <w:t>,</w:t>
      </w:r>
    </w:p>
    <w:p w14:paraId="2EC2FD17" w14:textId="16B6FC43" w:rsidR="007939B7" w:rsidRPr="00FA0D37" w:rsidRDefault="007939B7" w:rsidP="00FA0D37">
      <w:pPr>
        <w:pStyle w:val="PL"/>
        <w:rPr>
          <w:color w:val="808080"/>
        </w:rPr>
      </w:pPr>
      <w:r w:rsidRPr="00FA0D37">
        <w:t xml:space="preserve">    </w:t>
      </w:r>
      <w:r w:rsidRPr="00FA0D37">
        <w:rPr>
          <w:color w:val="808080"/>
        </w:rPr>
        <w:t>-- R1  23-1-4</w:t>
      </w:r>
      <w:r w:rsidR="00F237C7" w:rsidRPr="00FA0D37">
        <w:rPr>
          <w:color w:val="808080"/>
        </w:rPr>
        <w:t xml:space="preserve">    </w:t>
      </w:r>
      <w:r w:rsidRPr="00FA0D37">
        <w:rPr>
          <w:color w:val="808080"/>
        </w:rPr>
        <w:t>UE capability value reporting</w:t>
      </w:r>
    </w:p>
    <w:p w14:paraId="0974399E" w14:textId="0914DCA4" w:rsidR="007939B7" w:rsidRPr="00FA0D37" w:rsidRDefault="00F237C7" w:rsidP="00FA0D37">
      <w:pPr>
        <w:pStyle w:val="PL"/>
      </w:pPr>
      <w:r w:rsidRPr="00FA0D37">
        <w:t xml:space="preserve">    </w:t>
      </w:r>
      <w:r w:rsidR="007939B7" w:rsidRPr="00FA0D37">
        <w:t>srs-PortReport-r17</w:t>
      </w:r>
      <w:r w:rsidRPr="00FA0D37">
        <w:t xml:space="preserve">                          </w:t>
      </w:r>
      <w:r w:rsidR="007939B7" w:rsidRPr="00FA0D37">
        <w:rPr>
          <w:color w:val="993366"/>
        </w:rPr>
        <w:t>SEQUENCE</w:t>
      </w:r>
      <w:r w:rsidR="007939B7" w:rsidRPr="00FA0D37">
        <w:t xml:space="preserve"> {</w:t>
      </w:r>
    </w:p>
    <w:p w14:paraId="4AD32935" w14:textId="2DC53D7C" w:rsidR="007939B7" w:rsidRPr="00FA0D37" w:rsidRDefault="00F237C7" w:rsidP="00FA0D37">
      <w:pPr>
        <w:pStyle w:val="PL"/>
      </w:pPr>
      <w:r w:rsidRPr="00FA0D37">
        <w:t xml:space="preserve">            </w:t>
      </w:r>
      <w:r w:rsidR="007939B7" w:rsidRPr="00FA0D37">
        <w:t>capVal1-r17</w:t>
      </w:r>
      <w:r w:rsidRPr="00FA0D37">
        <w:t xml:space="preserve">              </w:t>
      </w:r>
      <w:r w:rsidR="00B8304E" w:rsidRPr="00FA0D37">
        <w:t xml:space="preserve">             </w:t>
      </w:r>
      <w:r w:rsidRPr="00FA0D37">
        <w:t xml:space="preserve">  </w:t>
      </w:r>
      <w:r w:rsidR="007939B7" w:rsidRPr="00FA0D37">
        <w:rPr>
          <w:color w:val="993366"/>
        </w:rPr>
        <w:t>ENUMERATED</w:t>
      </w:r>
      <w:r w:rsidR="007939B7" w:rsidRPr="00FA0D37">
        <w:t xml:space="preserve"> {n1, n2, n4} </w:t>
      </w:r>
      <w:r w:rsidRPr="00FA0D37">
        <w:t xml:space="preserve">              </w:t>
      </w:r>
      <w:r w:rsidR="00B8304E" w:rsidRPr="00FA0D37">
        <w:t xml:space="preserve">           </w:t>
      </w:r>
      <w:r w:rsidRPr="00FA0D37">
        <w:t xml:space="preserve">          </w:t>
      </w:r>
      <w:r w:rsidR="007939B7" w:rsidRPr="00FA0D37">
        <w:rPr>
          <w:color w:val="993366"/>
        </w:rPr>
        <w:t>OPTIONAL</w:t>
      </w:r>
      <w:r w:rsidR="007939B7" w:rsidRPr="00FA0D37">
        <w:t>,</w:t>
      </w:r>
    </w:p>
    <w:p w14:paraId="21E0A2AF" w14:textId="799F4BB3" w:rsidR="007939B7" w:rsidRPr="00FA0D37" w:rsidRDefault="00F237C7" w:rsidP="00FA0D37">
      <w:pPr>
        <w:pStyle w:val="PL"/>
      </w:pPr>
      <w:r w:rsidRPr="00FA0D37">
        <w:t xml:space="preserve">            </w:t>
      </w:r>
      <w:r w:rsidR="007939B7" w:rsidRPr="00FA0D37">
        <w:t>capVal2-r17</w:t>
      </w:r>
      <w:r w:rsidRPr="00FA0D37">
        <w:t xml:space="preserve"> </w:t>
      </w:r>
      <w:r w:rsidR="00B8304E" w:rsidRPr="00FA0D37">
        <w:t xml:space="preserve">             </w:t>
      </w:r>
      <w:r w:rsidRPr="00FA0D37">
        <w:t xml:space="preserve">               </w:t>
      </w:r>
      <w:r w:rsidR="007939B7" w:rsidRPr="00FA0D37">
        <w:rPr>
          <w:color w:val="993366"/>
        </w:rPr>
        <w:t>ENUMERATED</w:t>
      </w:r>
      <w:r w:rsidR="007939B7" w:rsidRPr="00FA0D37">
        <w:t xml:space="preserve"> {n1, n2, n4} </w:t>
      </w:r>
      <w:r w:rsidRPr="00FA0D37">
        <w:t xml:space="preserve">            </w:t>
      </w:r>
      <w:r w:rsidR="00B8304E" w:rsidRPr="00FA0D37">
        <w:t xml:space="preserve">           </w:t>
      </w:r>
      <w:r w:rsidRPr="00FA0D37">
        <w:t xml:space="preserve">            </w:t>
      </w:r>
      <w:r w:rsidR="007939B7" w:rsidRPr="00FA0D37">
        <w:rPr>
          <w:color w:val="993366"/>
        </w:rPr>
        <w:t>OPTIONAL</w:t>
      </w:r>
      <w:r w:rsidR="007939B7" w:rsidRPr="00FA0D37">
        <w:t>,</w:t>
      </w:r>
    </w:p>
    <w:p w14:paraId="41CDD18A" w14:textId="09FFE46D" w:rsidR="007939B7" w:rsidRPr="00FA0D37" w:rsidRDefault="00F237C7" w:rsidP="00FA0D37">
      <w:pPr>
        <w:pStyle w:val="PL"/>
      </w:pPr>
      <w:r w:rsidRPr="00FA0D37">
        <w:t xml:space="preserve">            </w:t>
      </w:r>
      <w:r w:rsidR="007939B7" w:rsidRPr="00FA0D37">
        <w:t>capVal3-r17</w:t>
      </w:r>
      <w:r w:rsidRPr="00FA0D37">
        <w:t xml:space="preserve">   </w:t>
      </w:r>
      <w:r w:rsidR="00B8304E" w:rsidRPr="00FA0D37">
        <w:t xml:space="preserve">             </w:t>
      </w:r>
      <w:r w:rsidRPr="00FA0D37">
        <w:t xml:space="preserve">             </w:t>
      </w:r>
      <w:r w:rsidR="007939B7" w:rsidRPr="00FA0D37">
        <w:rPr>
          <w:color w:val="993366"/>
        </w:rPr>
        <w:t>ENUMERATED</w:t>
      </w:r>
      <w:r w:rsidR="007939B7" w:rsidRPr="00FA0D37">
        <w:t xml:space="preserve"> {n1, n2, n4} </w:t>
      </w:r>
      <w:r w:rsidRPr="00FA0D37">
        <w:t xml:space="preserve">          </w:t>
      </w:r>
      <w:r w:rsidR="00B8304E" w:rsidRPr="00FA0D37">
        <w:t xml:space="preserve">           </w:t>
      </w:r>
      <w:r w:rsidRPr="00FA0D37">
        <w:t xml:space="preserve">              </w:t>
      </w:r>
      <w:r w:rsidR="007939B7" w:rsidRPr="00FA0D37">
        <w:rPr>
          <w:color w:val="993366"/>
        </w:rPr>
        <w:t>OPTIONAL</w:t>
      </w:r>
      <w:r w:rsidR="007939B7" w:rsidRPr="00FA0D37">
        <w:t>,</w:t>
      </w:r>
    </w:p>
    <w:p w14:paraId="0FEC7D4B" w14:textId="42BEEB00" w:rsidR="007939B7" w:rsidRPr="00FA0D37" w:rsidRDefault="00F237C7" w:rsidP="00FA0D37">
      <w:pPr>
        <w:pStyle w:val="PL"/>
      </w:pPr>
      <w:r w:rsidRPr="00FA0D37">
        <w:t xml:space="preserve">            </w:t>
      </w:r>
      <w:r w:rsidR="007939B7" w:rsidRPr="00FA0D37">
        <w:t>capVal4-r17</w:t>
      </w:r>
      <w:r w:rsidRPr="00FA0D37">
        <w:t xml:space="preserve">     </w:t>
      </w:r>
      <w:r w:rsidR="00B8304E" w:rsidRPr="00FA0D37">
        <w:t xml:space="preserve">             </w:t>
      </w:r>
      <w:r w:rsidRPr="00FA0D37">
        <w:t xml:space="preserve">           </w:t>
      </w:r>
      <w:r w:rsidR="007939B7" w:rsidRPr="00FA0D37">
        <w:rPr>
          <w:color w:val="993366"/>
        </w:rPr>
        <w:t>ENUMERATED</w:t>
      </w:r>
      <w:r w:rsidR="007939B7" w:rsidRPr="00FA0D37">
        <w:t xml:space="preserve"> {n1, n2, n4} </w:t>
      </w:r>
      <w:r w:rsidRPr="00FA0D37">
        <w:t xml:space="preserve">        </w:t>
      </w:r>
      <w:r w:rsidR="00B8304E" w:rsidRPr="00FA0D37">
        <w:t xml:space="preserve">           </w:t>
      </w:r>
      <w:r w:rsidRPr="00FA0D37">
        <w:t xml:space="preserve">                </w:t>
      </w:r>
      <w:r w:rsidR="007939B7" w:rsidRPr="00FA0D37">
        <w:rPr>
          <w:color w:val="993366"/>
        </w:rPr>
        <w:t>OPTIONAL</w:t>
      </w:r>
    </w:p>
    <w:p w14:paraId="7E8F57C5" w14:textId="20221CF3" w:rsidR="007939B7" w:rsidRPr="00FA0D37" w:rsidRDefault="00F237C7" w:rsidP="00FA0D37">
      <w:pPr>
        <w:pStyle w:val="PL"/>
      </w:pPr>
      <w:r w:rsidRPr="00FA0D37">
        <w:t xml:space="preserve">    </w:t>
      </w:r>
      <w:r w:rsidR="007939B7" w:rsidRPr="00FA0D37">
        <w:t>}</w:t>
      </w:r>
      <w:r w:rsidR="00B8304E" w:rsidRPr="00FA0D37">
        <w:t xml:space="preserve">                                                                                                         </w:t>
      </w:r>
      <w:r w:rsidR="006C5B3C" w:rsidRPr="00FA0D37">
        <w:t xml:space="preserve"> </w:t>
      </w:r>
      <w:r w:rsidR="007939B7" w:rsidRPr="00FA0D37">
        <w:rPr>
          <w:color w:val="993366"/>
        </w:rPr>
        <w:t>OPTIONAL</w:t>
      </w:r>
      <w:r w:rsidR="007939B7" w:rsidRPr="00FA0D37">
        <w:t>,</w:t>
      </w:r>
    </w:p>
    <w:p w14:paraId="5C27233D" w14:textId="701E526A" w:rsidR="007939B7" w:rsidRPr="00FA0D37" w:rsidRDefault="007939B7" w:rsidP="00FA0D37">
      <w:pPr>
        <w:pStyle w:val="PL"/>
        <w:rPr>
          <w:color w:val="808080"/>
        </w:rPr>
      </w:pPr>
      <w:r w:rsidRPr="00FA0D37">
        <w:t xml:space="preserve">  </w:t>
      </w:r>
      <w:r w:rsidRPr="00FA0D37">
        <w:rPr>
          <w:color w:val="808080"/>
        </w:rPr>
        <w:t>-- R1 23-2-1a</w:t>
      </w:r>
      <w:r w:rsidR="00F237C7" w:rsidRPr="00FA0D37">
        <w:rPr>
          <w:color w:val="808080"/>
        </w:rPr>
        <w:t xml:space="preserve">    </w:t>
      </w:r>
      <w:r w:rsidRPr="00FA0D37">
        <w:rPr>
          <w:color w:val="808080"/>
        </w:rPr>
        <w:t>Monitoring of individual candidates</w:t>
      </w:r>
    </w:p>
    <w:p w14:paraId="647FD2F8" w14:textId="38518A27" w:rsidR="007939B7" w:rsidRPr="00FA0D37" w:rsidRDefault="00F237C7" w:rsidP="00FA0D37">
      <w:pPr>
        <w:pStyle w:val="PL"/>
      </w:pPr>
      <w:r w:rsidRPr="00FA0D37">
        <w:t xml:space="preserve">    </w:t>
      </w:r>
      <w:r w:rsidR="007939B7" w:rsidRPr="00FA0D37">
        <w:t xml:space="preserve">mTRP-PDCCH-individual-r17 </w:t>
      </w:r>
      <w:r w:rsidRPr="00FA0D37">
        <w:t xml:space="preserve">                  </w:t>
      </w:r>
      <w:r w:rsidR="007939B7" w:rsidRPr="00FA0D37">
        <w:rPr>
          <w:color w:val="993366"/>
        </w:rPr>
        <w:t>ENUMERATED</w:t>
      </w:r>
      <w:r w:rsidR="007939B7" w:rsidRPr="00FA0D37">
        <w:t xml:space="preserve"> {supported}                                         </w:t>
      </w:r>
      <w:r w:rsidR="007939B7" w:rsidRPr="00FA0D37">
        <w:rPr>
          <w:color w:val="993366"/>
        </w:rPr>
        <w:t>OPTIONAL</w:t>
      </w:r>
      <w:r w:rsidR="007939B7" w:rsidRPr="00FA0D37">
        <w:t>,</w:t>
      </w:r>
    </w:p>
    <w:p w14:paraId="16CD5EF2" w14:textId="564C9256" w:rsidR="007939B7" w:rsidRPr="00FA0D37" w:rsidRDefault="007939B7" w:rsidP="00FA0D37">
      <w:pPr>
        <w:pStyle w:val="PL"/>
        <w:rPr>
          <w:color w:val="808080"/>
        </w:rPr>
      </w:pPr>
      <w:r w:rsidRPr="00FA0D37">
        <w:t xml:space="preserve">  </w:t>
      </w:r>
      <w:r w:rsidRPr="00FA0D37">
        <w:rPr>
          <w:color w:val="808080"/>
        </w:rPr>
        <w:t>-- R1 23-2-1b</w:t>
      </w:r>
      <w:r w:rsidR="00F237C7" w:rsidRPr="00FA0D37">
        <w:rPr>
          <w:color w:val="808080"/>
        </w:rPr>
        <w:t xml:space="preserve">    </w:t>
      </w:r>
      <w:r w:rsidRPr="00FA0D37">
        <w:rPr>
          <w:color w:val="808080"/>
        </w:rPr>
        <w:t>PDCCH repetition with PDCCH monitoring on any span of up to 3 consecutive OFDM symbols of a slot</w:t>
      </w:r>
    </w:p>
    <w:p w14:paraId="5FC01E23" w14:textId="1498CC48" w:rsidR="007939B7" w:rsidRPr="00FA0D37" w:rsidRDefault="00F237C7" w:rsidP="00FA0D37">
      <w:pPr>
        <w:pStyle w:val="PL"/>
      </w:pPr>
      <w:r w:rsidRPr="00FA0D37">
        <w:t xml:space="preserve">    </w:t>
      </w:r>
      <w:r w:rsidR="007939B7" w:rsidRPr="00FA0D37">
        <w:t>mTRP-PDCCH-anySpan-3Symbols-r17</w:t>
      </w:r>
      <w:r w:rsidRPr="00FA0D37">
        <w:t xml:space="preserve">             </w:t>
      </w:r>
      <w:r w:rsidR="007939B7" w:rsidRPr="00FA0D37">
        <w:rPr>
          <w:color w:val="993366"/>
        </w:rPr>
        <w:t>ENUMERATED</w:t>
      </w:r>
      <w:r w:rsidR="007939B7" w:rsidRPr="00FA0D37">
        <w:t xml:space="preserve"> {supported}                                         </w:t>
      </w:r>
      <w:r w:rsidR="007939B7" w:rsidRPr="00FA0D37">
        <w:rPr>
          <w:color w:val="993366"/>
        </w:rPr>
        <w:t>OPTIONAL</w:t>
      </w:r>
      <w:r w:rsidR="007939B7" w:rsidRPr="00FA0D37">
        <w:t>,</w:t>
      </w:r>
    </w:p>
    <w:p w14:paraId="685115B4" w14:textId="5296C163" w:rsidR="007939B7" w:rsidRPr="00FA0D37" w:rsidRDefault="007939B7" w:rsidP="00FA0D37">
      <w:pPr>
        <w:pStyle w:val="PL"/>
        <w:rPr>
          <w:color w:val="808080"/>
        </w:rPr>
      </w:pPr>
      <w:r w:rsidRPr="00FA0D37">
        <w:t xml:space="preserve">    </w:t>
      </w:r>
      <w:r w:rsidRPr="00FA0D37">
        <w:rPr>
          <w:color w:val="808080"/>
        </w:rPr>
        <w:t>-- R1 23-2-2</w:t>
      </w:r>
      <w:r w:rsidR="00F237C7" w:rsidRPr="00FA0D37">
        <w:rPr>
          <w:color w:val="808080"/>
        </w:rPr>
        <w:t xml:space="preserve">    </w:t>
      </w:r>
      <w:r w:rsidRPr="00FA0D37">
        <w:rPr>
          <w:color w:val="808080"/>
        </w:rPr>
        <w:t>Two QCL TypeD for CORESET monitoring in PDCCH repetition</w:t>
      </w:r>
    </w:p>
    <w:p w14:paraId="09BA974D" w14:textId="5AF6E0B2" w:rsidR="007939B7" w:rsidRPr="00FA0D37" w:rsidRDefault="00F237C7" w:rsidP="00FA0D37">
      <w:pPr>
        <w:pStyle w:val="PL"/>
      </w:pPr>
      <w:r w:rsidRPr="00FA0D37">
        <w:t xml:space="preserve">    </w:t>
      </w:r>
      <w:r w:rsidR="007939B7" w:rsidRPr="00FA0D37">
        <w:t>mTRP-PDCCH-TwoQCL-TypeD-r17</w:t>
      </w:r>
      <w:r w:rsidRPr="00FA0D37">
        <w:t xml:space="preserve">                 </w:t>
      </w:r>
      <w:r w:rsidR="007939B7" w:rsidRPr="00FA0D37">
        <w:rPr>
          <w:color w:val="993366"/>
        </w:rPr>
        <w:t>ENUMERATED</w:t>
      </w:r>
      <w:r w:rsidR="007939B7" w:rsidRPr="00FA0D37">
        <w:t xml:space="preserve"> {supported}        </w:t>
      </w:r>
      <w:r w:rsidR="00B8304E" w:rsidRPr="00FA0D37">
        <w:t xml:space="preserve">                             </w:t>
      </w:r>
      <w:r w:rsidR="007939B7" w:rsidRPr="00FA0D37">
        <w:t xml:space="preserve">    </w:t>
      </w:r>
      <w:r w:rsidR="007939B7" w:rsidRPr="00FA0D37">
        <w:rPr>
          <w:color w:val="993366"/>
        </w:rPr>
        <w:t>OPTIONAL</w:t>
      </w:r>
      <w:r w:rsidR="007939B7" w:rsidRPr="00FA0D37">
        <w:t>,</w:t>
      </w:r>
    </w:p>
    <w:p w14:paraId="564B1094" w14:textId="1D96861C" w:rsidR="007939B7" w:rsidRPr="00FA0D37" w:rsidRDefault="007939B7" w:rsidP="00FA0D37">
      <w:pPr>
        <w:pStyle w:val="PL"/>
        <w:rPr>
          <w:color w:val="808080"/>
        </w:rPr>
      </w:pPr>
      <w:r w:rsidRPr="00FA0D37">
        <w:t xml:space="preserve">    </w:t>
      </w:r>
      <w:r w:rsidRPr="00FA0D37">
        <w:rPr>
          <w:color w:val="808080"/>
        </w:rPr>
        <w:t>-- R1 23-3-1-2b</w:t>
      </w:r>
      <w:r w:rsidR="00F237C7" w:rsidRPr="00FA0D37">
        <w:rPr>
          <w:color w:val="808080"/>
        </w:rPr>
        <w:t xml:space="preserve">    </w:t>
      </w:r>
      <w:r w:rsidRPr="00FA0D37">
        <w:rPr>
          <w:color w:val="808080"/>
        </w:rPr>
        <w:t>CSI-RS processing framework for SRS with two associated CSI-RS resources</w:t>
      </w:r>
    </w:p>
    <w:p w14:paraId="18C7F308" w14:textId="4E24532A" w:rsidR="007939B7" w:rsidRPr="00FA0D37" w:rsidRDefault="00F237C7" w:rsidP="00FA0D37">
      <w:pPr>
        <w:pStyle w:val="PL"/>
      </w:pPr>
      <w:r w:rsidRPr="00FA0D37">
        <w:t xml:space="preserve">    </w:t>
      </w:r>
      <w:r w:rsidR="007939B7" w:rsidRPr="00FA0D37">
        <w:t>mTRP-PUSCH-CSI-RS-r17</w:t>
      </w:r>
      <w:r w:rsidRPr="00FA0D37">
        <w:t xml:space="preserve">   </w:t>
      </w:r>
      <w:r w:rsidR="00B8304E" w:rsidRPr="00FA0D37">
        <w:t xml:space="preserve">                   </w:t>
      </w:r>
      <w:r w:rsidRPr="00FA0D37">
        <w:t xml:space="preserve"> </w:t>
      </w:r>
      <w:r w:rsidR="007939B7" w:rsidRPr="00FA0D37">
        <w:rPr>
          <w:color w:val="993366"/>
        </w:rPr>
        <w:t>SEQUENCE</w:t>
      </w:r>
      <w:r w:rsidRPr="00FA0D37">
        <w:t xml:space="preserve"> </w:t>
      </w:r>
      <w:r w:rsidR="007939B7" w:rsidRPr="00FA0D37">
        <w:t>{</w:t>
      </w:r>
    </w:p>
    <w:p w14:paraId="49C337A6" w14:textId="487253D7" w:rsidR="007939B7" w:rsidRPr="00FA0D37" w:rsidRDefault="00F237C7" w:rsidP="00FA0D37">
      <w:pPr>
        <w:pStyle w:val="PL"/>
      </w:pPr>
      <w:r w:rsidRPr="00FA0D37">
        <w:t xml:space="preserve">        </w:t>
      </w:r>
      <w:r w:rsidR="007939B7" w:rsidRPr="00FA0D37">
        <w:t>maxNumPeriodicSRS-r17</w:t>
      </w:r>
      <w:r w:rsidR="00B8304E" w:rsidRPr="00FA0D37">
        <w:t xml:space="preserve">               </w:t>
      </w:r>
      <w:r w:rsidRPr="00FA0D37">
        <w:t xml:space="preserve">        </w:t>
      </w:r>
      <w:r w:rsidR="007939B7" w:rsidRPr="00FA0D37">
        <w:rPr>
          <w:color w:val="993366"/>
        </w:rPr>
        <w:t>INTEGER</w:t>
      </w:r>
      <w:r w:rsidR="007939B7" w:rsidRPr="00FA0D37">
        <w:t xml:space="preserve"> (1..8),</w:t>
      </w:r>
    </w:p>
    <w:p w14:paraId="613AA88E" w14:textId="7661ED4D" w:rsidR="007939B7" w:rsidRPr="00FA0D37" w:rsidRDefault="00F237C7" w:rsidP="00FA0D37">
      <w:pPr>
        <w:pStyle w:val="PL"/>
      </w:pPr>
      <w:r w:rsidRPr="00FA0D37">
        <w:t xml:space="preserve">        </w:t>
      </w:r>
      <w:r w:rsidR="007939B7" w:rsidRPr="00FA0D37">
        <w:t>maxNumAperiodicSRS-r17</w:t>
      </w:r>
      <w:r w:rsidR="00B8304E" w:rsidRPr="00FA0D37">
        <w:t xml:space="preserve">              </w:t>
      </w:r>
      <w:r w:rsidRPr="00FA0D37">
        <w:t xml:space="preserve">        </w:t>
      </w:r>
      <w:r w:rsidR="007939B7" w:rsidRPr="00FA0D37">
        <w:rPr>
          <w:color w:val="993366"/>
        </w:rPr>
        <w:t>INTEGER</w:t>
      </w:r>
      <w:r w:rsidR="007939B7" w:rsidRPr="00FA0D37">
        <w:t xml:space="preserve"> (1..8),</w:t>
      </w:r>
    </w:p>
    <w:p w14:paraId="226133D8" w14:textId="22C0CBCE" w:rsidR="007939B7" w:rsidRPr="00FA0D37" w:rsidRDefault="00F237C7" w:rsidP="00FA0D37">
      <w:pPr>
        <w:pStyle w:val="PL"/>
      </w:pPr>
      <w:r w:rsidRPr="00FA0D37">
        <w:t xml:space="preserve">        </w:t>
      </w:r>
      <w:r w:rsidR="007939B7" w:rsidRPr="00FA0D37">
        <w:t>maxNumSP-SRS-r17</w:t>
      </w:r>
      <w:r w:rsidRPr="00FA0D37">
        <w:t xml:space="preserve">  </w:t>
      </w:r>
      <w:r w:rsidR="00B8304E" w:rsidRPr="00FA0D37">
        <w:t xml:space="preserve">                </w:t>
      </w:r>
      <w:r w:rsidRPr="00FA0D37">
        <w:t xml:space="preserve">          </w:t>
      </w:r>
      <w:r w:rsidR="007939B7" w:rsidRPr="00FA0D37">
        <w:rPr>
          <w:color w:val="993366"/>
        </w:rPr>
        <w:t>INTEGER</w:t>
      </w:r>
      <w:r w:rsidR="007939B7" w:rsidRPr="00FA0D37">
        <w:t xml:space="preserve"> (0..8),</w:t>
      </w:r>
    </w:p>
    <w:p w14:paraId="060E9A4C" w14:textId="0976512E" w:rsidR="007939B7" w:rsidRPr="00FA0D37" w:rsidRDefault="00F237C7" w:rsidP="00FA0D37">
      <w:pPr>
        <w:pStyle w:val="PL"/>
      </w:pPr>
      <w:r w:rsidRPr="00FA0D37">
        <w:t xml:space="preserve">        </w:t>
      </w:r>
      <w:r w:rsidR="007939B7" w:rsidRPr="00FA0D37">
        <w:t>numSRS-ResourcePerCC-r17</w:t>
      </w:r>
      <w:r w:rsidRPr="00FA0D37">
        <w:t xml:space="preserve"> </w:t>
      </w:r>
      <w:r w:rsidR="00B8304E" w:rsidRPr="00FA0D37">
        <w:t xml:space="preserve">                </w:t>
      </w:r>
      <w:r w:rsidRPr="00FA0D37">
        <w:t xml:space="preserve">   </w:t>
      </w:r>
      <w:r w:rsidR="007939B7" w:rsidRPr="00FA0D37">
        <w:rPr>
          <w:color w:val="993366"/>
        </w:rPr>
        <w:t>INTEGER</w:t>
      </w:r>
      <w:r w:rsidR="007939B7" w:rsidRPr="00FA0D37">
        <w:t xml:space="preserve"> (1..16),</w:t>
      </w:r>
    </w:p>
    <w:p w14:paraId="79420B41" w14:textId="06B43F23" w:rsidR="007939B7" w:rsidRPr="00FA0D37" w:rsidRDefault="00F237C7" w:rsidP="00FA0D37">
      <w:pPr>
        <w:pStyle w:val="PL"/>
      </w:pPr>
      <w:r w:rsidRPr="00FA0D37">
        <w:t xml:space="preserve">        </w:t>
      </w:r>
      <w:r w:rsidR="007939B7" w:rsidRPr="00FA0D37">
        <w:t xml:space="preserve">numSRS-ResourceNonCodebook-r17 </w:t>
      </w:r>
      <w:r w:rsidR="00B8304E" w:rsidRPr="00FA0D37">
        <w:t xml:space="preserve">             </w:t>
      </w:r>
      <w:r w:rsidR="007939B7" w:rsidRPr="00FA0D37">
        <w:rPr>
          <w:color w:val="993366"/>
        </w:rPr>
        <w:t>INTEGER</w:t>
      </w:r>
      <w:r w:rsidR="007939B7" w:rsidRPr="00FA0D37">
        <w:t xml:space="preserve"> (1..2)</w:t>
      </w:r>
    </w:p>
    <w:p w14:paraId="75B6BEE9" w14:textId="31DAE41B" w:rsidR="007939B7" w:rsidRPr="00FA0D37" w:rsidRDefault="00F237C7" w:rsidP="00FA0D37">
      <w:pPr>
        <w:pStyle w:val="PL"/>
      </w:pPr>
      <w:r w:rsidRPr="00FA0D37">
        <w:t xml:space="preserve">    </w:t>
      </w:r>
      <w:r w:rsidR="007939B7" w:rsidRPr="00FA0D37">
        <w:t>}</w:t>
      </w:r>
      <w:r w:rsidR="006C5B3C" w:rsidRPr="00FA0D37">
        <w:t xml:space="preserve"> </w:t>
      </w:r>
      <w:r w:rsidR="00B8304E" w:rsidRPr="00FA0D37">
        <w:t xml:space="preserve">                                                                                                         </w:t>
      </w:r>
      <w:r w:rsidR="007939B7" w:rsidRPr="00FA0D37">
        <w:rPr>
          <w:color w:val="993366"/>
        </w:rPr>
        <w:t>OPTIONAL</w:t>
      </w:r>
      <w:r w:rsidR="007939B7" w:rsidRPr="00FA0D37">
        <w:t>,</w:t>
      </w:r>
    </w:p>
    <w:p w14:paraId="7EC6EC0C" w14:textId="2B3A3313" w:rsidR="007939B7" w:rsidRPr="00FA0D37" w:rsidRDefault="007939B7" w:rsidP="00FA0D37">
      <w:pPr>
        <w:pStyle w:val="PL"/>
        <w:rPr>
          <w:color w:val="808080"/>
        </w:rPr>
      </w:pPr>
      <w:r w:rsidRPr="00FA0D37">
        <w:t xml:space="preserve">    </w:t>
      </w:r>
      <w:r w:rsidRPr="00FA0D37">
        <w:rPr>
          <w:color w:val="808080"/>
        </w:rPr>
        <w:t>-- R1 23-3-1a</w:t>
      </w:r>
      <w:r w:rsidR="00F237C7" w:rsidRPr="00FA0D37">
        <w:rPr>
          <w:color w:val="808080"/>
        </w:rPr>
        <w:t xml:space="preserve">    </w:t>
      </w:r>
      <w:r w:rsidRPr="00FA0D37">
        <w:rPr>
          <w:color w:val="808080"/>
        </w:rPr>
        <w:t>Cyclic mapping for Multi-TRP PUSCH repetition</w:t>
      </w:r>
    </w:p>
    <w:p w14:paraId="305A8EDB" w14:textId="33425D59" w:rsidR="007939B7" w:rsidRPr="00FA0D37" w:rsidRDefault="007939B7" w:rsidP="00FA0D37">
      <w:pPr>
        <w:pStyle w:val="PL"/>
      </w:pPr>
      <w:r w:rsidRPr="00FA0D37">
        <w:t xml:space="preserve">    mTRP-PUSCH-cyclicMapping-r17</w:t>
      </w:r>
      <w:r w:rsidR="00F237C7" w:rsidRPr="00FA0D37">
        <w:t xml:space="preserve">                </w:t>
      </w:r>
      <w:r w:rsidRPr="00FA0D37">
        <w:rPr>
          <w:color w:val="993366"/>
        </w:rPr>
        <w:t>ENUMERATED</w:t>
      </w:r>
      <w:r w:rsidRPr="00FA0D37">
        <w:t xml:space="preserve"> {typeA,typeB,both} </w:t>
      </w:r>
      <w:r w:rsidR="00B8304E" w:rsidRPr="00FA0D37">
        <w:t xml:space="preserve">                              </w:t>
      </w:r>
      <w:r w:rsidRPr="00FA0D37">
        <w:t xml:space="preserve">   </w:t>
      </w:r>
      <w:r w:rsidRPr="00FA0D37">
        <w:rPr>
          <w:color w:val="993366"/>
        </w:rPr>
        <w:t>OPTIONAL</w:t>
      </w:r>
      <w:r w:rsidRPr="00FA0D37">
        <w:t>,</w:t>
      </w:r>
    </w:p>
    <w:p w14:paraId="1D274333" w14:textId="539A35D3" w:rsidR="007939B7" w:rsidRPr="00FA0D37" w:rsidRDefault="007939B7" w:rsidP="00FA0D37">
      <w:pPr>
        <w:pStyle w:val="PL"/>
        <w:rPr>
          <w:color w:val="808080"/>
        </w:rPr>
      </w:pPr>
      <w:r w:rsidRPr="00FA0D37">
        <w:t xml:space="preserve">    </w:t>
      </w:r>
      <w:r w:rsidRPr="00FA0D37">
        <w:rPr>
          <w:color w:val="808080"/>
        </w:rPr>
        <w:t>-- R1 23-3-1b</w:t>
      </w:r>
      <w:r w:rsidR="00F237C7" w:rsidRPr="00FA0D37">
        <w:rPr>
          <w:color w:val="808080"/>
        </w:rPr>
        <w:t xml:space="preserve">    </w:t>
      </w:r>
      <w:r w:rsidRPr="00FA0D37">
        <w:rPr>
          <w:color w:val="808080"/>
        </w:rPr>
        <w:t>Second TPC field for Multi-TRP PUSCH repetition</w:t>
      </w:r>
    </w:p>
    <w:p w14:paraId="0649B4A0" w14:textId="1D80C562" w:rsidR="007939B7" w:rsidRPr="00FA0D37" w:rsidRDefault="007939B7" w:rsidP="00FA0D37">
      <w:pPr>
        <w:pStyle w:val="PL"/>
      </w:pPr>
      <w:r w:rsidRPr="00FA0D37">
        <w:t xml:space="preserve">    mTRP-PUSCH-secondTPC-r17</w:t>
      </w:r>
      <w:r w:rsidR="00F237C7" w:rsidRPr="00FA0D37">
        <w:t xml:space="preserve">    </w:t>
      </w:r>
      <w:r w:rsidRPr="00FA0D37">
        <w:t xml:space="preserve">    </w:t>
      </w:r>
      <w:r w:rsidR="00F237C7" w:rsidRPr="00FA0D37">
        <w:t xml:space="preserve">           </w:t>
      </w:r>
      <w:r w:rsidR="00B8304E" w:rsidRPr="00FA0D37">
        <w:t xml:space="preserve"> </w:t>
      </w:r>
      <w:r w:rsidRPr="00FA0D37">
        <w:rPr>
          <w:color w:val="993366"/>
        </w:rPr>
        <w:t>ENUMERATED</w:t>
      </w:r>
      <w:r w:rsidRPr="00FA0D37">
        <w:t xml:space="preserve"> {supported}    </w:t>
      </w:r>
      <w:r w:rsidR="00B8304E" w:rsidRPr="00FA0D37">
        <w:t xml:space="preserve">                              </w:t>
      </w:r>
      <w:r w:rsidRPr="00FA0D37">
        <w:t xml:space="preserve">       </w:t>
      </w:r>
      <w:r w:rsidRPr="00FA0D37">
        <w:rPr>
          <w:color w:val="993366"/>
        </w:rPr>
        <w:t>OPTIONAL</w:t>
      </w:r>
      <w:r w:rsidRPr="00FA0D37">
        <w:t>,</w:t>
      </w:r>
    </w:p>
    <w:p w14:paraId="54A32156" w14:textId="72541856" w:rsidR="007939B7" w:rsidRPr="00FA0D37" w:rsidRDefault="007939B7" w:rsidP="00FA0D37">
      <w:pPr>
        <w:pStyle w:val="PL"/>
        <w:rPr>
          <w:color w:val="808080"/>
        </w:rPr>
      </w:pPr>
      <w:r w:rsidRPr="00FA0D37">
        <w:t xml:space="preserve">    </w:t>
      </w:r>
      <w:r w:rsidRPr="00FA0D37">
        <w:rPr>
          <w:color w:val="808080"/>
        </w:rPr>
        <w:t>-- R1 23-3-1c</w:t>
      </w:r>
      <w:r w:rsidR="00F237C7" w:rsidRPr="00FA0D37">
        <w:rPr>
          <w:color w:val="808080"/>
        </w:rPr>
        <w:t xml:space="preserve">    </w:t>
      </w:r>
      <w:r w:rsidRPr="00FA0D37">
        <w:rPr>
          <w:color w:val="808080"/>
        </w:rPr>
        <w:t xml:space="preserve"> Two PHR reporting</w:t>
      </w:r>
    </w:p>
    <w:p w14:paraId="1142B776" w14:textId="169B861D" w:rsidR="007939B7" w:rsidRPr="00FA0D37" w:rsidRDefault="007939B7" w:rsidP="00FA0D37">
      <w:pPr>
        <w:pStyle w:val="PL"/>
      </w:pPr>
      <w:r w:rsidRPr="00FA0D37">
        <w:t xml:space="preserve">    mTRP-PUSCH-twoPHR-Reporting-r17</w:t>
      </w:r>
      <w:r w:rsidR="00F237C7" w:rsidRPr="00FA0D37">
        <w:t xml:space="preserve">             </w:t>
      </w:r>
      <w:r w:rsidRPr="00FA0D37">
        <w:rPr>
          <w:color w:val="993366"/>
        </w:rPr>
        <w:t>ENUMERATED</w:t>
      </w:r>
      <w:r w:rsidRPr="00FA0D37">
        <w:t xml:space="preserve"> {supported}  </w:t>
      </w:r>
      <w:r w:rsidR="00B8304E" w:rsidRPr="00FA0D37">
        <w:t xml:space="preserve">                             </w:t>
      </w:r>
      <w:r w:rsidRPr="00FA0D37">
        <w:t xml:space="preserve">     </w:t>
      </w:r>
      <w:r w:rsidR="00F237C7" w:rsidRPr="00FA0D37">
        <w:t xml:space="preserve">    </w:t>
      </w:r>
      <w:r w:rsidRPr="00FA0D37">
        <w:t xml:space="preserve"> </w:t>
      </w:r>
      <w:r w:rsidRPr="00FA0D37">
        <w:rPr>
          <w:color w:val="993366"/>
        </w:rPr>
        <w:t>OPTIONAL</w:t>
      </w:r>
      <w:r w:rsidRPr="00FA0D37">
        <w:t>,</w:t>
      </w:r>
    </w:p>
    <w:p w14:paraId="4784EDD4" w14:textId="4E3B54B8" w:rsidR="007939B7" w:rsidRPr="00FA0D37" w:rsidRDefault="007939B7" w:rsidP="00FA0D37">
      <w:pPr>
        <w:pStyle w:val="PL"/>
        <w:rPr>
          <w:color w:val="808080"/>
        </w:rPr>
      </w:pPr>
      <w:r w:rsidRPr="00FA0D37">
        <w:t xml:space="preserve">    </w:t>
      </w:r>
      <w:r w:rsidRPr="00FA0D37">
        <w:rPr>
          <w:color w:val="808080"/>
        </w:rPr>
        <w:t>-- R1 23-3-1e</w:t>
      </w:r>
      <w:r w:rsidR="00F237C7" w:rsidRPr="00FA0D37">
        <w:rPr>
          <w:color w:val="808080"/>
        </w:rPr>
        <w:t xml:space="preserve">    </w:t>
      </w:r>
      <w:r w:rsidRPr="00FA0D37">
        <w:rPr>
          <w:color w:val="808080"/>
        </w:rPr>
        <w:t>A-CSI report</w:t>
      </w:r>
    </w:p>
    <w:p w14:paraId="51A4AE30" w14:textId="0E9C69C9" w:rsidR="007939B7" w:rsidRPr="00FA0D37" w:rsidRDefault="007939B7" w:rsidP="00FA0D37">
      <w:pPr>
        <w:pStyle w:val="PL"/>
      </w:pPr>
      <w:r w:rsidRPr="00FA0D37">
        <w:t xml:space="preserve">    mTRP-PUSCH-A-CSI-r17</w:t>
      </w:r>
      <w:r w:rsidR="00F237C7" w:rsidRPr="00FA0D37">
        <w:t xml:space="preserve">                        </w:t>
      </w:r>
      <w:r w:rsidRPr="00FA0D37">
        <w:rPr>
          <w:color w:val="993366"/>
        </w:rPr>
        <w:t>ENUMERATED</w:t>
      </w:r>
      <w:r w:rsidRPr="00FA0D37">
        <w:t xml:space="preserve"> {supported}  </w:t>
      </w:r>
      <w:r w:rsidR="00B8304E" w:rsidRPr="00FA0D37">
        <w:t xml:space="preserve">                              </w:t>
      </w:r>
      <w:r w:rsidRPr="00FA0D37">
        <w:t xml:space="preserve">         </w:t>
      </w:r>
      <w:r w:rsidRPr="00FA0D37">
        <w:rPr>
          <w:color w:val="993366"/>
        </w:rPr>
        <w:t>OPTIONAL</w:t>
      </w:r>
      <w:r w:rsidRPr="00FA0D37">
        <w:t>,</w:t>
      </w:r>
    </w:p>
    <w:p w14:paraId="35BB4EEA" w14:textId="7596EE44" w:rsidR="007939B7" w:rsidRPr="00FA0D37" w:rsidRDefault="007939B7" w:rsidP="00FA0D37">
      <w:pPr>
        <w:pStyle w:val="PL"/>
        <w:rPr>
          <w:color w:val="808080"/>
        </w:rPr>
      </w:pPr>
      <w:r w:rsidRPr="00FA0D37">
        <w:t xml:space="preserve">    </w:t>
      </w:r>
      <w:r w:rsidRPr="00FA0D37">
        <w:rPr>
          <w:color w:val="808080"/>
        </w:rPr>
        <w:t>-- R1 23-3-1f</w:t>
      </w:r>
      <w:r w:rsidR="00F237C7" w:rsidRPr="00FA0D37">
        <w:rPr>
          <w:color w:val="808080"/>
        </w:rPr>
        <w:t xml:space="preserve">    </w:t>
      </w:r>
      <w:r w:rsidRPr="00FA0D37">
        <w:rPr>
          <w:color w:val="808080"/>
        </w:rPr>
        <w:t>SP-CSI report</w:t>
      </w:r>
    </w:p>
    <w:p w14:paraId="6DCF3AED" w14:textId="3BADE4BC" w:rsidR="007939B7" w:rsidRPr="00FA0D37" w:rsidRDefault="007939B7" w:rsidP="00FA0D37">
      <w:pPr>
        <w:pStyle w:val="PL"/>
      </w:pPr>
      <w:r w:rsidRPr="00FA0D37">
        <w:t xml:space="preserve">    mTRP-PUSCH-SP-CSI-r17 </w:t>
      </w:r>
      <w:r w:rsidR="00F237C7" w:rsidRPr="00FA0D37">
        <w:t xml:space="preserve">                     </w:t>
      </w:r>
      <w:r w:rsidR="00B8304E" w:rsidRPr="00FA0D37">
        <w:t xml:space="preserve"> </w:t>
      </w:r>
      <w:r w:rsidRPr="00FA0D37">
        <w:rPr>
          <w:color w:val="993366"/>
        </w:rPr>
        <w:t>ENUMERATED</w:t>
      </w:r>
      <w:r w:rsidRPr="00FA0D37">
        <w:t xml:space="preserve"> {supported}  </w:t>
      </w:r>
      <w:r w:rsidR="00B8304E" w:rsidRPr="00FA0D37">
        <w:t xml:space="preserve">                              </w:t>
      </w:r>
      <w:r w:rsidRPr="00FA0D37">
        <w:t xml:space="preserve">         </w:t>
      </w:r>
      <w:r w:rsidRPr="00FA0D37">
        <w:rPr>
          <w:color w:val="993366"/>
        </w:rPr>
        <w:t>OPTIONAL</w:t>
      </w:r>
      <w:r w:rsidRPr="00FA0D37">
        <w:t>,</w:t>
      </w:r>
    </w:p>
    <w:p w14:paraId="421480B9" w14:textId="5E92C278" w:rsidR="007939B7" w:rsidRPr="00FA0D37" w:rsidRDefault="007939B7" w:rsidP="00FA0D37">
      <w:pPr>
        <w:pStyle w:val="PL"/>
        <w:rPr>
          <w:color w:val="808080"/>
        </w:rPr>
      </w:pPr>
      <w:r w:rsidRPr="00FA0D37">
        <w:t xml:space="preserve">    </w:t>
      </w:r>
      <w:r w:rsidRPr="00FA0D37">
        <w:rPr>
          <w:color w:val="808080"/>
        </w:rPr>
        <w:t>-- R1 23-3-1g</w:t>
      </w:r>
      <w:r w:rsidR="00F237C7" w:rsidRPr="00FA0D37">
        <w:rPr>
          <w:color w:val="808080"/>
        </w:rPr>
        <w:t xml:space="preserve">    </w:t>
      </w:r>
      <w:r w:rsidRPr="00FA0D37">
        <w:rPr>
          <w:color w:val="808080"/>
        </w:rPr>
        <w:t>CG PUSCH transmission</w:t>
      </w:r>
    </w:p>
    <w:p w14:paraId="279AFEF8" w14:textId="29B635B5" w:rsidR="007939B7" w:rsidRPr="00FA0D37" w:rsidRDefault="007939B7" w:rsidP="00FA0D37">
      <w:pPr>
        <w:pStyle w:val="PL"/>
      </w:pPr>
      <w:r w:rsidRPr="00FA0D37">
        <w:t xml:space="preserve">    mTRP-PUSCH-CG-r17</w:t>
      </w:r>
      <w:r w:rsidR="00F237C7" w:rsidRPr="00FA0D37">
        <w:t xml:space="preserve">                           </w:t>
      </w:r>
      <w:r w:rsidRPr="00FA0D37">
        <w:rPr>
          <w:color w:val="993366"/>
        </w:rPr>
        <w:t>ENUMERATED</w:t>
      </w:r>
      <w:r w:rsidRPr="00FA0D37">
        <w:t xml:space="preserve"> {supported}  </w:t>
      </w:r>
      <w:r w:rsidR="00B8304E" w:rsidRPr="00FA0D37">
        <w:t xml:space="preserve">                              </w:t>
      </w:r>
      <w:r w:rsidRPr="00FA0D37">
        <w:t xml:space="preserve">         </w:t>
      </w:r>
      <w:r w:rsidRPr="00FA0D37">
        <w:rPr>
          <w:color w:val="993366"/>
        </w:rPr>
        <w:t>OPTIONAL</w:t>
      </w:r>
      <w:r w:rsidRPr="00FA0D37">
        <w:t>,</w:t>
      </w:r>
    </w:p>
    <w:p w14:paraId="003427B2" w14:textId="562FABAC" w:rsidR="007939B7" w:rsidRPr="00FA0D37" w:rsidRDefault="007939B7" w:rsidP="00FA0D37">
      <w:pPr>
        <w:pStyle w:val="PL"/>
        <w:rPr>
          <w:color w:val="808080"/>
        </w:rPr>
      </w:pPr>
      <w:r w:rsidRPr="00FA0D37">
        <w:t xml:space="preserve">    </w:t>
      </w:r>
      <w:r w:rsidRPr="00FA0D37">
        <w:rPr>
          <w:color w:val="808080"/>
        </w:rPr>
        <w:t>-- R1 23-3-2d</w:t>
      </w:r>
      <w:r w:rsidR="00F237C7" w:rsidRPr="00FA0D37">
        <w:rPr>
          <w:color w:val="808080"/>
        </w:rPr>
        <w:t xml:space="preserve">    </w:t>
      </w:r>
      <w:r w:rsidRPr="00FA0D37">
        <w:rPr>
          <w:color w:val="808080"/>
        </w:rPr>
        <w:t>Updating two Spatial relation or two sets of power control parameters for PUCCH group</w:t>
      </w:r>
    </w:p>
    <w:p w14:paraId="6BE38298" w14:textId="7819111F" w:rsidR="007939B7" w:rsidRPr="00FA0D37" w:rsidRDefault="00F237C7" w:rsidP="00FA0D37">
      <w:pPr>
        <w:pStyle w:val="PL"/>
      </w:pPr>
      <w:r w:rsidRPr="00FA0D37">
        <w:t xml:space="preserve">    </w:t>
      </w:r>
      <w:r w:rsidR="007939B7" w:rsidRPr="00FA0D37">
        <w:t xml:space="preserve">mTRP-PUCCH-MAC-CE-r17 </w:t>
      </w:r>
      <w:r w:rsidRPr="00FA0D37">
        <w:t xml:space="preserve">                      </w:t>
      </w:r>
      <w:r w:rsidR="007939B7" w:rsidRPr="00FA0D37">
        <w:rPr>
          <w:color w:val="993366"/>
        </w:rPr>
        <w:t>ENUMERATED</w:t>
      </w:r>
      <w:r w:rsidR="007939B7" w:rsidRPr="00FA0D37">
        <w:t xml:space="preserve"> {supported}     </w:t>
      </w:r>
      <w:r w:rsidR="00B8304E" w:rsidRPr="00FA0D37">
        <w:t xml:space="preserve">                              </w:t>
      </w:r>
      <w:r w:rsidR="007939B7" w:rsidRPr="00FA0D37">
        <w:t xml:space="preserve">      </w:t>
      </w:r>
      <w:r w:rsidR="007939B7" w:rsidRPr="00FA0D37">
        <w:rPr>
          <w:color w:val="993366"/>
        </w:rPr>
        <w:t>OPTIONAL</w:t>
      </w:r>
      <w:r w:rsidR="007939B7" w:rsidRPr="00FA0D37">
        <w:t>,</w:t>
      </w:r>
    </w:p>
    <w:p w14:paraId="1216047F" w14:textId="605CA80D" w:rsidR="007939B7" w:rsidRPr="00FA0D37" w:rsidRDefault="007939B7" w:rsidP="00FA0D37">
      <w:pPr>
        <w:pStyle w:val="PL"/>
        <w:rPr>
          <w:color w:val="808080"/>
        </w:rPr>
      </w:pPr>
      <w:r w:rsidRPr="00FA0D37">
        <w:t xml:space="preserve">    </w:t>
      </w:r>
      <w:r w:rsidRPr="00FA0D37">
        <w:rPr>
          <w:color w:val="808080"/>
        </w:rPr>
        <w:t>-- R1 23-3-2e</w:t>
      </w:r>
      <w:r w:rsidR="00F237C7" w:rsidRPr="00FA0D37">
        <w:rPr>
          <w:color w:val="808080"/>
        </w:rPr>
        <w:t xml:space="preserve">    </w:t>
      </w:r>
      <w:r w:rsidRPr="00FA0D37">
        <w:rPr>
          <w:color w:val="808080"/>
        </w:rPr>
        <w:t>Maximum number of power control parameter sets configured for multi-TRP PUCCH repetition in FR1</w:t>
      </w:r>
    </w:p>
    <w:p w14:paraId="71B746FD" w14:textId="0825F60D" w:rsidR="007939B7" w:rsidRPr="00FA0D37" w:rsidRDefault="00F237C7" w:rsidP="00FA0D37">
      <w:pPr>
        <w:pStyle w:val="PL"/>
      </w:pPr>
      <w:r w:rsidRPr="00FA0D37">
        <w:t xml:space="preserve">    </w:t>
      </w:r>
      <w:r w:rsidR="007939B7" w:rsidRPr="00FA0D37">
        <w:t>mTRP-PUCCH-maxNum-PC-FR1-r17</w:t>
      </w:r>
      <w:r w:rsidRPr="00FA0D37">
        <w:t xml:space="preserve">                </w:t>
      </w:r>
      <w:r w:rsidR="007939B7" w:rsidRPr="00FA0D37">
        <w:rPr>
          <w:color w:val="993366"/>
        </w:rPr>
        <w:t>INTEGER</w:t>
      </w:r>
      <w:r w:rsidR="007939B7" w:rsidRPr="00FA0D37">
        <w:t xml:space="preserve"> (3..8) </w:t>
      </w:r>
      <w:r w:rsidRPr="00FA0D37">
        <w:t xml:space="preserve">               </w:t>
      </w:r>
      <w:r w:rsidR="00B8304E" w:rsidRPr="00FA0D37">
        <w:t xml:space="preserve">                           </w:t>
      </w:r>
      <w:r w:rsidRPr="00FA0D37">
        <w:t xml:space="preserve">     </w:t>
      </w:r>
      <w:r w:rsidR="007939B7" w:rsidRPr="00FA0D37">
        <w:t xml:space="preserve"> </w:t>
      </w:r>
      <w:r w:rsidR="007939B7" w:rsidRPr="00FA0D37">
        <w:rPr>
          <w:color w:val="993366"/>
        </w:rPr>
        <w:t>OPTIONAL</w:t>
      </w:r>
      <w:r w:rsidR="007939B7" w:rsidRPr="00FA0D37">
        <w:t>,</w:t>
      </w:r>
    </w:p>
    <w:p w14:paraId="1F2B435C" w14:textId="1FCCE42A" w:rsidR="007939B7" w:rsidRPr="00FA0D37" w:rsidRDefault="007939B7" w:rsidP="00FA0D37">
      <w:pPr>
        <w:pStyle w:val="PL"/>
        <w:rPr>
          <w:color w:val="808080"/>
        </w:rPr>
      </w:pPr>
      <w:r w:rsidRPr="00FA0D37">
        <w:t xml:space="preserve">    </w:t>
      </w:r>
      <w:r w:rsidRPr="00FA0D37">
        <w:rPr>
          <w:color w:val="808080"/>
        </w:rPr>
        <w:t>-- R1 23-4</w:t>
      </w:r>
      <w:r w:rsidR="00F237C7" w:rsidRPr="00FA0D37">
        <w:rPr>
          <w:color w:val="808080"/>
        </w:rPr>
        <w:t xml:space="preserve">    </w:t>
      </w:r>
      <w:r w:rsidRPr="00FA0D37">
        <w:rPr>
          <w:color w:val="808080"/>
        </w:rPr>
        <w:t>IntCell-mTRP</w:t>
      </w:r>
    </w:p>
    <w:p w14:paraId="59C3E62E" w14:textId="6AE67359" w:rsidR="007939B7" w:rsidRPr="00FA0D37" w:rsidRDefault="00F237C7" w:rsidP="00FA0D37">
      <w:pPr>
        <w:pStyle w:val="PL"/>
      </w:pPr>
      <w:r w:rsidRPr="00FA0D37">
        <w:t xml:space="preserve">    </w:t>
      </w:r>
      <w:r w:rsidR="007939B7" w:rsidRPr="00FA0D37">
        <w:t xml:space="preserve">mTRP-inter-Cell-r17 </w:t>
      </w:r>
      <w:r w:rsidRPr="00FA0D37">
        <w:t xml:space="preserve">  </w:t>
      </w:r>
      <w:r w:rsidR="00B8304E" w:rsidRPr="00FA0D37">
        <w:t xml:space="preserve">                    </w:t>
      </w:r>
      <w:r w:rsidRPr="00FA0D37">
        <w:t xml:space="preserve">  </w:t>
      </w:r>
      <w:r w:rsidR="007939B7" w:rsidRPr="00FA0D37">
        <w:rPr>
          <w:color w:val="993366"/>
        </w:rPr>
        <w:t>SEQUENCE</w:t>
      </w:r>
      <w:r w:rsidRPr="00FA0D37">
        <w:t xml:space="preserve"> </w:t>
      </w:r>
      <w:r w:rsidR="007939B7" w:rsidRPr="00FA0D37">
        <w:t>{</w:t>
      </w:r>
    </w:p>
    <w:p w14:paraId="4B6250AC" w14:textId="6EC8C68B" w:rsidR="007939B7" w:rsidRPr="00FA0D37" w:rsidRDefault="00F237C7" w:rsidP="00FA0D37">
      <w:pPr>
        <w:pStyle w:val="PL"/>
      </w:pPr>
      <w:r w:rsidRPr="00FA0D37">
        <w:t xml:space="preserve">        </w:t>
      </w:r>
      <w:r w:rsidR="007939B7" w:rsidRPr="00FA0D37">
        <w:t>maxNumAdditionalPCI-Case1-r17</w:t>
      </w:r>
      <w:r w:rsidRPr="00FA0D37">
        <w:t xml:space="preserve"> </w:t>
      </w:r>
      <w:r w:rsidR="00B8304E" w:rsidRPr="00FA0D37">
        <w:t xml:space="preserve">           </w:t>
      </w:r>
      <w:r w:rsidRPr="00FA0D37">
        <w:t xml:space="preserve">   </w:t>
      </w:r>
      <w:r w:rsidR="007939B7" w:rsidRPr="00FA0D37">
        <w:rPr>
          <w:color w:val="993366"/>
        </w:rPr>
        <w:t>INTEGER</w:t>
      </w:r>
      <w:r w:rsidR="007939B7" w:rsidRPr="00FA0D37">
        <w:t xml:space="preserve"> (1..7),</w:t>
      </w:r>
    </w:p>
    <w:p w14:paraId="15BDA7C9" w14:textId="2775C420" w:rsidR="007939B7" w:rsidRPr="00FA0D37" w:rsidRDefault="00F237C7" w:rsidP="00FA0D37">
      <w:pPr>
        <w:pStyle w:val="PL"/>
      </w:pPr>
      <w:r w:rsidRPr="00FA0D37">
        <w:t xml:space="preserve">        </w:t>
      </w:r>
      <w:r w:rsidR="007939B7" w:rsidRPr="00FA0D37">
        <w:t>maxNumAdditionalPCI-Case2-r17</w:t>
      </w:r>
      <w:r w:rsidR="00B8304E" w:rsidRPr="00FA0D37">
        <w:t xml:space="preserve">           </w:t>
      </w:r>
      <w:r w:rsidRPr="00FA0D37">
        <w:t xml:space="preserve">    </w:t>
      </w:r>
      <w:r w:rsidR="007939B7" w:rsidRPr="00FA0D37">
        <w:rPr>
          <w:color w:val="993366"/>
        </w:rPr>
        <w:t>INTEGER</w:t>
      </w:r>
      <w:r w:rsidR="007939B7" w:rsidRPr="00FA0D37">
        <w:t xml:space="preserve"> (0..7)</w:t>
      </w:r>
    </w:p>
    <w:p w14:paraId="27DA8092" w14:textId="321268E4" w:rsidR="007939B7" w:rsidRPr="00FA0D37" w:rsidRDefault="00F237C7" w:rsidP="00FA0D37">
      <w:pPr>
        <w:pStyle w:val="PL"/>
      </w:pPr>
      <w:r w:rsidRPr="00FA0D37">
        <w:t xml:space="preserve">    </w:t>
      </w:r>
      <w:r w:rsidR="007939B7" w:rsidRPr="00FA0D37">
        <w:t xml:space="preserve">} </w:t>
      </w:r>
      <w:r w:rsidR="00C511AD" w:rsidRPr="00FA0D37">
        <w:t xml:space="preserve">                                                                                                         </w:t>
      </w:r>
      <w:r w:rsidR="007939B7" w:rsidRPr="00FA0D37">
        <w:rPr>
          <w:color w:val="993366"/>
        </w:rPr>
        <w:t>OPTIONAL</w:t>
      </w:r>
      <w:r w:rsidR="007939B7" w:rsidRPr="00FA0D37">
        <w:t>,</w:t>
      </w:r>
    </w:p>
    <w:p w14:paraId="04831D83" w14:textId="72D3393E" w:rsidR="007939B7" w:rsidRPr="00FA0D37" w:rsidRDefault="007939B7" w:rsidP="00FA0D37">
      <w:pPr>
        <w:pStyle w:val="PL"/>
        <w:rPr>
          <w:color w:val="808080"/>
        </w:rPr>
      </w:pPr>
      <w:r w:rsidRPr="00FA0D37">
        <w:t xml:space="preserve">    </w:t>
      </w:r>
      <w:r w:rsidRPr="00FA0D37">
        <w:rPr>
          <w:color w:val="808080"/>
        </w:rPr>
        <w:t>-- R1 23-5-1</w:t>
      </w:r>
      <w:r w:rsidR="00F237C7" w:rsidRPr="00FA0D37">
        <w:rPr>
          <w:color w:val="808080"/>
        </w:rPr>
        <w:t xml:space="preserve">    </w:t>
      </w:r>
      <w:r w:rsidRPr="00FA0D37">
        <w:rPr>
          <w:color w:val="808080"/>
        </w:rPr>
        <w:t>Group based L1-RSRP reporting enhancements</w:t>
      </w:r>
    </w:p>
    <w:p w14:paraId="350FCE1B" w14:textId="0A1921F0" w:rsidR="007939B7" w:rsidRPr="00FA0D37" w:rsidRDefault="00F237C7" w:rsidP="00FA0D37">
      <w:pPr>
        <w:pStyle w:val="PL"/>
      </w:pPr>
      <w:r w:rsidRPr="00FA0D37">
        <w:t xml:space="preserve">    </w:t>
      </w:r>
      <w:r w:rsidR="007939B7" w:rsidRPr="00FA0D37">
        <w:t>mTRP-GroupBasedL1-RSRP-r17</w:t>
      </w:r>
      <w:r w:rsidRPr="00FA0D37">
        <w:t xml:space="preserve">      </w:t>
      </w:r>
      <w:r w:rsidR="00B8304E" w:rsidRPr="00FA0D37">
        <w:t xml:space="preserve">          </w:t>
      </w:r>
      <w:r w:rsidRPr="00FA0D37">
        <w:t xml:space="preserve">  </w:t>
      </w:r>
      <w:r w:rsidR="007939B7" w:rsidRPr="00FA0D37">
        <w:rPr>
          <w:color w:val="993366"/>
        </w:rPr>
        <w:t>SEQUENCE</w:t>
      </w:r>
      <w:r w:rsidRPr="00FA0D37">
        <w:t xml:space="preserve"> </w:t>
      </w:r>
      <w:r w:rsidR="007939B7" w:rsidRPr="00FA0D37">
        <w:t>{</w:t>
      </w:r>
    </w:p>
    <w:p w14:paraId="3A62BF65" w14:textId="2679B4AD" w:rsidR="007939B7" w:rsidRPr="00FA0D37" w:rsidRDefault="00F237C7" w:rsidP="00FA0D37">
      <w:pPr>
        <w:pStyle w:val="PL"/>
      </w:pPr>
      <w:r w:rsidRPr="00FA0D37">
        <w:t xml:space="preserve">        </w:t>
      </w:r>
      <w:r w:rsidR="007939B7" w:rsidRPr="00FA0D37">
        <w:t>maxNumBeamGroups-r17</w:t>
      </w:r>
      <w:r w:rsidRPr="00FA0D37">
        <w:t xml:space="preserve">      </w:t>
      </w:r>
      <w:r w:rsidR="00B8304E" w:rsidRPr="00FA0D37">
        <w:t xml:space="preserve">            </w:t>
      </w:r>
      <w:r w:rsidRPr="00FA0D37">
        <w:t xml:space="preserve">      </w:t>
      </w:r>
      <w:r w:rsidR="007939B7" w:rsidRPr="00FA0D37">
        <w:rPr>
          <w:color w:val="993366"/>
        </w:rPr>
        <w:t>INTEGER</w:t>
      </w:r>
      <w:r w:rsidR="007939B7" w:rsidRPr="00FA0D37">
        <w:t xml:space="preserve"> (1..4),</w:t>
      </w:r>
    </w:p>
    <w:p w14:paraId="79555A82" w14:textId="6D71177D" w:rsidR="007939B7" w:rsidRPr="00FA0D37" w:rsidRDefault="00F237C7" w:rsidP="00FA0D37">
      <w:pPr>
        <w:pStyle w:val="PL"/>
      </w:pPr>
      <w:r w:rsidRPr="00FA0D37">
        <w:lastRenderedPageBreak/>
        <w:t xml:space="preserve">        </w:t>
      </w:r>
      <w:r w:rsidR="007939B7" w:rsidRPr="00FA0D37">
        <w:t>maxNumRS-WithinSlot-r17</w:t>
      </w:r>
      <w:r w:rsidRPr="00FA0D37">
        <w:t xml:space="preserve">    </w:t>
      </w:r>
      <w:r w:rsidR="00B8304E" w:rsidRPr="00FA0D37">
        <w:t xml:space="preserve">         </w:t>
      </w:r>
      <w:r w:rsidRPr="00FA0D37">
        <w:t xml:space="preserve">        </w:t>
      </w:r>
      <w:r w:rsidR="007939B7" w:rsidRPr="00FA0D37">
        <w:rPr>
          <w:color w:val="993366"/>
        </w:rPr>
        <w:t>ENUMERATED</w:t>
      </w:r>
      <w:r w:rsidR="007939B7" w:rsidRPr="00FA0D37">
        <w:t xml:space="preserve"> {n2,n3,n4,n8,n16,n32,n64},</w:t>
      </w:r>
    </w:p>
    <w:p w14:paraId="5A7E1EBE" w14:textId="06684B6D" w:rsidR="007939B7" w:rsidRPr="00FA0D37" w:rsidRDefault="00F237C7" w:rsidP="00FA0D37">
      <w:pPr>
        <w:pStyle w:val="PL"/>
      </w:pPr>
      <w:r w:rsidRPr="00FA0D37">
        <w:t xml:space="preserve">        </w:t>
      </w:r>
      <w:r w:rsidR="007939B7" w:rsidRPr="00FA0D37">
        <w:t>maxNumRS-AcrossSlot-r17</w:t>
      </w:r>
      <w:r w:rsidRPr="00FA0D37">
        <w:t xml:space="preserve">     </w:t>
      </w:r>
      <w:r w:rsidR="00B8304E" w:rsidRPr="00FA0D37">
        <w:t xml:space="preserve">         </w:t>
      </w:r>
      <w:r w:rsidRPr="00FA0D37">
        <w:t xml:space="preserve">       </w:t>
      </w:r>
      <w:r w:rsidR="007939B7" w:rsidRPr="00FA0D37">
        <w:rPr>
          <w:color w:val="993366"/>
        </w:rPr>
        <w:t>ENUMERATED</w:t>
      </w:r>
      <w:r w:rsidR="007939B7" w:rsidRPr="00FA0D37">
        <w:t xml:space="preserve"> {n8, n16, n32, n64, n128}</w:t>
      </w:r>
    </w:p>
    <w:p w14:paraId="336E400F" w14:textId="7EF5CAD8" w:rsidR="007939B7" w:rsidRPr="00FA0D37" w:rsidRDefault="00F237C7" w:rsidP="00FA0D37">
      <w:pPr>
        <w:pStyle w:val="PL"/>
      </w:pPr>
      <w:r w:rsidRPr="00FA0D37">
        <w:t xml:space="preserve">    </w:t>
      </w:r>
      <w:r w:rsidR="007939B7" w:rsidRPr="00FA0D37">
        <w:t>}</w:t>
      </w:r>
      <w:r w:rsidR="00C511AD" w:rsidRPr="00FA0D37">
        <w:t xml:space="preserve">                                                                                                         </w:t>
      </w:r>
      <w:r w:rsidR="007939B7" w:rsidRPr="00FA0D37">
        <w:t xml:space="preserve"> </w:t>
      </w:r>
      <w:r w:rsidR="007939B7" w:rsidRPr="00FA0D37">
        <w:rPr>
          <w:color w:val="993366"/>
        </w:rPr>
        <w:t>OPTIONAL</w:t>
      </w:r>
      <w:r w:rsidR="007939B7" w:rsidRPr="00FA0D37">
        <w:t>,</w:t>
      </w:r>
    </w:p>
    <w:p w14:paraId="02B98F20" w14:textId="77777777" w:rsidR="00F747EB" w:rsidRPr="00FA0D37" w:rsidRDefault="007939B7" w:rsidP="00FA0D37">
      <w:pPr>
        <w:pStyle w:val="PL"/>
        <w:rPr>
          <w:color w:val="808080"/>
        </w:rPr>
      </w:pPr>
      <w:r w:rsidRPr="00FA0D37">
        <w:t xml:space="preserve"> </w:t>
      </w:r>
      <w:r w:rsidR="00B8304E" w:rsidRPr="00FA0D37">
        <w:t xml:space="preserve"> </w:t>
      </w:r>
      <w:r w:rsidRPr="00FA0D37">
        <w:t xml:space="preserve">  </w:t>
      </w:r>
      <w:r w:rsidRPr="00FA0D37">
        <w:rPr>
          <w:color w:val="808080"/>
        </w:rPr>
        <w:t>-- R1 23-5-2c</w:t>
      </w:r>
      <w:r w:rsidR="00F237C7" w:rsidRPr="00FA0D37">
        <w:rPr>
          <w:color w:val="808080"/>
        </w:rPr>
        <w:t xml:space="preserve">    </w:t>
      </w:r>
      <w:r w:rsidRPr="00FA0D37">
        <w:rPr>
          <w:color w:val="808080"/>
        </w:rPr>
        <w:t>MAC-CE based update of explicit BFD-RS</w:t>
      </w:r>
      <w:r w:rsidR="00F237C7" w:rsidRPr="00FA0D37">
        <w:rPr>
          <w:color w:val="808080"/>
        </w:rPr>
        <w:t xml:space="preserve">    </w:t>
      </w:r>
      <w:r w:rsidRPr="00FA0D37">
        <w:rPr>
          <w:color w:val="808080"/>
        </w:rPr>
        <w:t>mTRP-PUCCH-IntraSlot-r17  =&gt; per band</w:t>
      </w:r>
    </w:p>
    <w:p w14:paraId="2FA510E6" w14:textId="23B46298" w:rsidR="007939B7" w:rsidRPr="00FA0D37" w:rsidRDefault="00F237C7" w:rsidP="00FA0D37">
      <w:pPr>
        <w:pStyle w:val="PL"/>
      </w:pPr>
      <w:r w:rsidRPr="00FA0D37">
        <w:t xml:space="preserve">    </w:t>
      </w:r>
      <w:r w:rsidR="007939B7" w:rsidRPr="00FA0D37">
        <w:t>mTRP-BFD-RS-MAC-CE-r17</w:t>
      </w:r>
      <w:r w:rsidRPr="00FA0D37">
        <w:t xml:space="preserve">   </w:t>
      </w:r>
      <w:r w:rsidR="00B8304E" w:rsidRPr="00FA0D37">
        <w:t xml:space="preserve">  </w:t>
      </w:r>
      <w:r w:rsidRPr="00FA0D37">
        <w:t xml:space="preserve">                 </w:t>
      </w:r>
      <w:r w:rsidR="007939B7" w:rsidRPr="00FA0D37">
        <w:rPr>
          <w:color w:val="993366"/>
        </w:rPr>
        <w:t>ENUMERATED</w:t>
      </w:r>
      <w:r w:rsidR="007939B7" w:rsidRPr="00FA0D37">
        <w:t xml:space="preserve"> {n4, n8, n12, n16, n32, n48, n64 }      </w:t>
      </w:r>
      <w:r w:rsidR="00B8304E" w:rsidRPr="00FA0D37">
        <w:t xml:space="preserve"> </w:t>
      </w:r>
      <w:r w:rsidRPr="00FA0D37">
        <w:t xml:space="preserve">        </w:t>
      </w:r>
      <w:r w:rsidR="007939B7" w:rsidRPr="00FA0D37">
        <w:t xml:space="preserve">  </w:t>
      </w:r>
      <w:r w:rsidR="00B8304E" w:rsidRPr="00FA0D37">
        <w:t xml:space="preserve"> </w:t>
      </w:r>
      <w:r w:rsidR="007939B7" w:rsidRPr="00FA0D37">
        <w:rPr>
          <w:color w:val="993366"/>
        </w:rPr>
        <w:t>OPTIONAL</w:t>
      </w:r>
      <w:r w:rsidR="007939B7" w:rsidRPr="00FA0D37">
        <w:t>,</w:t>
      </w:r>
    </w:p>
    <w:p w14:paraId="1E03646F" w14:textId="77777777" w:rsidR="00F747EB" w:rsidRPr="00FA0D37" w:rsidRDefault="007939B7" w:rsidP="00FA0D37">
      <w:pPr>
        <w:pStyle w:val="PL"/>
        <w:rPr>
          <w:color w:val="808080"/>
        </w:rPr>
      </w:pPr>
      <w:r w:rsidRPr="00FA0D37">
        <w:t xml:space="preserve">   </w:t>
      </w:r>
      <w:r w:rsidRPr="00FA0D37">
        <w:rPr>
          <w:color w:val="808080"/>
        </w:rPr>
        <w:t>-- R1 23-7-1</w:t>
      </w:r>
      <w:r w:rsidR="00F237C7" w:rsidRPr="00FA0D37">
        <w:rPr>
          <w:color w:val="808080"/>
        </w:rPr>
        <w:t xml:space="preserve">    </w:t>
      </w:r>
      <w:r w:rsidRPr="00FA0D37">
        <w:rPr>
          <w:color w:val="808080"/>
        </w:rPr>
        <w:t>Basic Features of CSI Enhancement for Multi-TRP</w:t>
      </w:r>
    </w:p>
    <w:p w14:paraId="34A2698C" w14:textId="0330C2FB" w:rsidR="007939B7" w:rsidRPr="00FA0D37" w:rsidRDefault="00F237C7" w:rsidP="00FA0D37">
      <w:pPr>
        <w:pStyle w:val="PL"/>
      </w:pPr>
      <w:r w:rsidRPr="00FA0D37">
        <w:t xml:space="preserve">    </w:t>
      </w:r>
      <w:r w:rsidR="007939B7" w:rsidRPr="00FA0D37">
        <w:t>mTRP-CSI-EnhancementPerBand-r17</w:t>
      </w:r>
      <w:r w:rsidRPr="00FA0D37">
        <w:t xml:space="preserve">            </w:t>
      </w:r>
      <w:r w:rsidR="00B8304E" w:rsidRPr="00FA0D37">
        <w:t xml:space="preserve"> </w:t>
      </w:r>
      <w:r w:rsidR="007939B7" w:rsidRPr="00FA0D37">
        <w:rPr>
          <w:color w:val="993366"/>
        </w:rPr>
        <w:t>SEQUENCE</w:t>
      </w:r>
      <w:r w:rsidRPr="00FA0D37">
        <w:t xml:space="preserve"> </w:t>
      </w:r>
      <w:r w:rsidR="007939B7" w:rsidRPr="00FA0D37">
        <w:t>{</w:t>
      </w:r>
    </w:p>
    <w:p w14:paraId="55B7FC9F" w14:textId="6C6C0ECF" w:rsidR="007939B7" w:rsidRPr="00FA0D37" w:rsidRDefault="00F237C7" w:rsidP="00FA0D37">
      <w:pPr>
        <w:pStyle w:val="PL"/>
      </w:pPr>
      <w:r w:rsidRPr="00FA0D37">
        <w:t xml:space="preserve">        </w:t>
      </w:r>
      <w:r w:rsidR="007939B7" w:rsidRPr="00FA0D37">
        <w:t>maxNumNZP-CSI-RS-r17</w:t>
      </w:r>
      <w:r w:rsidRPr="00FA0D37">
        <w:t xml:space="preserve"> </w:t>
      </w:r>
      <w:r w:rsidR="00B8304E" w:rsidRPr="00FA0D37">
        <w:t xml:space="preserve">       </w:t>
      </w:r>
      <w:r w:rsidRPr="00FA0D37">
        <w:t xml:space="preserve">  </w:t>
      </w:r>
      <w:r w:rsidR="00B8304E" w:rsidRPr="00FA0D37">
        <w:t xml:space="preserve"> </w:t>
      </w:r>
      <w:r w:rsidRPr="00FA0D37">
        <w:t xml:space="preserve">             </w:t>
      </w:r>
      <w:r w:rsidR="007939B7" w:rsidRPr="00FA0D37">
        <w:rPr>
          <w:color w:val="993366"/>
        </w:rPr>
        <w:t>INTEGER</w:t>
      </w:r>
      <w:r w:rsidR="007939B7" w:rsidRPr="00FA0D37">
        <w:t xml:space="preserve"> (2..8),</w:t>
      </w:r>
    </w:p>
    <w:p w14:paraId="0E6334A9" w14:textId="0880FDCF" w:rsidR="007939B7" w:rsidRPr="00FA0D37" w:rsidRDefault="00F237C7" w:rsidP="00FA0D37">
      <w:pPr>
        <w:pStyle w:val="PL"/>
      </w:pPr>
      <w:r w:rsidRPr="00FA0D37">
        <w:t xml:space="preserve">        </w:t>
      </w:r>
      <w:r w:rsidR="007939B7" w:rsidRPr="00FA0D37">
        <w:t>cSI-Report-mode-r17</w:t>
      </w:r>
      <w:r w:rsidRPr="00FA0D37">
        <w:t xml:space="preserve">        </w:t>
      </w:r>
      <w:r w:rsidR="00B8304E" w:rsidRPr="00FA0D37">
        <w:t xml:space="preserve">     </w:t>
      </w:r>
      <w:r w:rsidRPr="00FA0D37">
        <w:t xml:space="preserve">            </w:t>
      </w:r>
      <w:r w:rsidR="007939B7" w:rsidRPr="00FA0D37">
        <w:rPr>
          <w:color w:val="993366"/>
        </w:rPr>
        <w:t>ENUMERATED</w:t>
      </w:r>
      <w:r w:rsidR="007939B7" w:rsidRPr="00FA0D37">
        <w:t xml:space="preserve"> {mode1, mode2, both},</w:t>
      </w:r>
    </w:p>
    <w:p w14:paraId="0EE7E328" w14:textId="5795A32C" w:rsidR="007939B7" w:rsidRPr="00FA0D37" w:rsidRDefault="00F237C7" w:rsidP="00FA0D37">
      <w:pPr>
        <w:pStyle w:val="PL"/>
      </w:pPr>
      <w:r w:rsidRPr="00FA0D37">
        <w:t xml:space="preserve">        </w:t>
      </w:r>
      <w:r w:rsidR="007939B7" w:rsidRPr="00FA0D37">
        <w:t>supportedComboAcrossCCs-r17</w:t>
      </w:r>
      <w:r w:rsidRPr="00FA0D37">
        <w:t xml:space="preserve">   </w:t>
      </w:r>
      <w:r w:rsidR="00B8304E" w:rsidRPr="00FA0D37">
        <w:t xml:space="preserve">     </w:t>
      </w:r>
      <w:r w:rsidRPr="00FA0D37">
        <w:t xml:space="preserve">         </w:t>
      </w:r>
      <w:r w:rsidR="007939B7" w:rsidRPr="00FA0D37">
        <w:rPr>
          <w:color w:val="993366"/>
        </w:rPr>
        <w:t>SEQUENCE</w:t>
      </w:r>
      <w:r w:rsidR="007939B7" w:rsidRPr="00FA0D37">
        <w:t xml:space="preserve"> (</w:t>
      </w:r>
      <w:r w:rsidR="007939B7" w:rsidRPr="00FA0D37">
        <w:rPr>
          <w:color w:val="993366"/>
        </w:rPr>
        <w:t>SIZE</w:t>
      </w:r>
      <w:r w:rsidR="007939B7" w:rsidRPr="00FA0D37">
        <w:t xml:space="preserve"> (1..16))</w:t>
      </w:r>
      <w:r w:rsidR="007939B7" w:rsidRPr="00FA0D37">
        <w:rPr>
          <w:color w:val="993366"/>
        </w:rPr>
        <w:t xml:space="preserve"> OF</w:t>
      </w:r>
      <w:r w:rsidR="007939B7" w:rsidRPr="00FA0D37">
        <w:t xml:space="preserve"> CSI-MultiTRP-SupportedCombinations-r17,</w:t>
      </w:r>
    </w:p>
    <w:p w14:paraId="71022C00" w14:textId="22A1B8EF" w:rsidR="007939B7" w:rsidRPr="00FA0D37" w:rsidRDefault="00F237C7" w:rsidP="00FA0D37">
      <w:pPr>
        <w:pStyle w:val="PL"/>
      </w:pPr>
      <w:r w:rsidRPr="00FA0D37">
        <w:t xml:space="preserve">        </w:t>
      </w:r>
      <w:r w:rsidR="007939B7" w:rsidRPr="00FA0D37">
        <w:t>codebookModeNCJT-r17</w:t>
      </w:r>
      <w:r w:rsidRPr="00FA0D37">
        <w:t xml:space="preserve">         </w:t>
      </w:r>
      <w:r w:rsidR="00B8304E" w:rsidRPr="00FA0D37">
        <w:t xml:space="preserve">        </w:t>
      </w:r>
      <w:r w:rsidRPr="00FA0D37">
        <w:t xml:space="preserve">       </w:t>
      </w:r>
      <w:r w:rsidR="007939B7" w:rsidRPr="00FA0D37">
        <w:rPr>
          <w:color w:val="993366"/>
        </w:rPr>
        <w:t>ENUMERATED</w:t>
      </w:r>
      <w:r w:rsidR="007939B7" w:rsidRPr="00FA0D37">
        <w:t>{mode1,mode1And2}</w:t>
      </w:r>
    </w:p>
    <w:p w14:paraId="7B5EFE39" w14:textId="38D34181" w:rsidR="007939B7" w:rsidRPr="00FA0D37" w:rsidRDefault="00F237C7" w:rsidP="00FA0D37">
      <w:pPr>
        <w:pStyle w:val="PL"/>
      </w:pPr>
      <w:r w:rsidRPr="00FA0D37">
        <w:t xml:space="preserve">    </w:t>
      </w:r>
      <w:r w:rsidR="007939B7" w:rsidRPr="00FA0D37">
        <w:t>}</w:t>
      </w:r>
      <w:r w:rsidR="006C5B3C" w:rsidRPr="00FA0D37">
        <w:t xml:space="preserve"> </w:t>
      </w:r>
      <w:r w:rsidR="00B8304E" w:rsidRPr="00FA0D37">
        <w:t xml:space="preserve">                                                                                                         </w:t>
      </w:r>
      <w:r w:rsidR="007939B7" w:rsidRPr="00FA0D37">
        <w:rPr>
          <w:color w:val="993366"/>
        </w:rPr>
        <w:t>OPTIONAL</w:t>
      </w:r>
      <w:r w:rsidR="007939B7" w:rsidRPr="00FA0D37">
        <w:t>,</w:t>
      </w:r>
    </w:p>
    <w:p w14:paraId="064BC539" w14:textId="6D2B0093" w:rsidR="007939B7" w:rsidRPr="00FA0D37" w:rsidRDefault="007939B7" w:rsidP="00FA0D37">
      <w:pPr>
        <w:pStyle w:val="PL"/>
        <w:rPr>
          <w:color w:val="808080"/>
        </w:rPr>
      </w:pPr>
      <w:r w:rsidRPr="00FA0D37">
        <w:t xml:space="preserve">    </w:t>
      </w:r>
      <w:r w:rsidRPr="00FA0D37">
        <w:rPr>
          <w:color w:val="808080"/>
        </w:rPr>
        <w:t>-- R1 23-7-1b</w:t>
      </w:r>
      <w:r w:rsidR="00F237C7" w:rsidRPr="00FA0D37">
        <w:rPr>
          <w:color w:val="808080"/>
        </w:rPr>
        <w:t xml:space="preserve">    </w:t>
      </w:r>
      <w:r w:rsidRPr="00FA0D37">
        <w:rPr>
          <w:color w:val="808080"/>
        </w:rPr>
        <w:t>Active CSI-RS resources and ports in the presence of multi-TRP CSI</w:t>
      </w:r>
    </w:p>
    <w:p w14:paraId="23D9E091" w14:textId="3DF77DA0" w:rsidR="007939B7" w:rsidRPr="00FA0D37" w:rsidRDefault="00F237C7" w:rsidP="00FA0D37">
      <w:pPr>
        <w:pStyle w:val="PL"/>
      </w:pPr>
      <w:r w:rsidRPr="00FA0D37">
        <w:t xml:space="preserve">    </w:t>
      </w:r>
      <w:r w:rsidR="007939B7" w:rsidRPr="00FA0D37">
        <w:t>codebookComboParameterMultiTRP-r17</w:t>
      </w:r>
      <w:r w:rsidRPr="00FA0D37">
        <w:t xml:space="preserve">        </w:t>
      </w:r>
      <w:r w:rsidR="00C511AD" w:rsidRPr="00FA0D37">
        <w:t xml:space="preserve">  </w:t>
      </w:r>
      <w:r w:rsidR="007939B7" w:rsidRPr="00FA0D37">
        <w:t xml:space="preserve">CodebookComboParameterMultiTRP-r17 </w:t>
      </w:r>
      <w:r w:rsidRPr="00FA0D37">
        <w:t xml:space="preserve">   </w:t>
      </w:r>
      <w:r w:rsidR="00C511AD" w:rsidRPr="00FA0D37">
        <w:t xml:space="preserve">            </w:t>
      </w:r>
      <w:r w:rsidRPr="00FA0D37">
        <w:t xml:space="preserve">             </w:t>
      </w:r>
      <w:r w:rsidR="007939B7" w:rsidRPr="00FA0D37">
        <w:rPr>
          <w:color w:val="993366"/>
        </w:rPr>
        <w:t>OPTIONAL</w:t>
      </w:r>
      <w:r w:rsidR="007939B7" w:rsidRPr="00FA0D37">
        <w:t>,</w:t>
      </w:r>
    </w:p>
    <w:p w14:paraId="7888F1BD" w14:textId="34FF1325" w:rsidR="007939B7" w:rsidRPr="00FA0D37" w:rsidRDefault="007939B7" w:rsidP="00FA0D37">
      <w:pPr>
        <w:pStyle w:val="PL"/>
        <w:rPr>
          <w:color w:val="808080"/>
        </w:rPr>
      </w:pPr>
      <w:r w:rsidRPr="00FA0D37">
        <w:t xml:space="preserve">    </w:t>
      </w:r>
      <w:r w:rsidRPr="00FA0D37">
        <w:rPr>
          <w:color w:val="808080"/>
        </w:rPr>
        <w:t>-- R1 23-7-1a</w:t>
      </w:r>
      <w:r w:rsidR="00F237C7" w:rsidRPr="00FA0D37">
        <w:rPr>
          <w:color w:val="808080"/>
        </w:rPr>
        <w:t xml:space="preserve">    </w:t>
      </w:r>
      <w:r w:rsidRPr="00FA0D37">
        <w:rPr>
          <w:color w:val="808080"/>
        </w:rPr>
        <w:t>Additional CSI report mode 1</w:t>
      </w:r>
    </w:p>
    <w:p w14:paraId="38AEE269" w14:textId="432D42B4" w:rsidR="007939B7" w:rsidRPr="00FA0D37" w:rsidRDefault="00F237C7" w:rsidP="00FA0D37">
      <w:pPr>
        <w:pStyle w:val="PL"/>
      </w:pPr>
      <w:r w:rsidRPr="00FA0D37">
        <w:t xml:space="preserve">    </w:t>
      </w:r>
      <w:r w:rsidR="007939B7" w:rsidRPr="00FA0D37">
        <w:t>mTRP-CSI-additionalCSI-r17</w:t>
      </w:r>
      <w:r w:rsidRPr="00FA0D37">
        <w:t xml:space="preserve">           </w:t>
      </w:r>
      <w:r w:rsidR="00C511AD" w:rsidRPr="00FA0D37">
        <w:t xml:space="preserve">      </w:t>
      </w:r>
      <w:r w:rsidRPr="00FA0D37">
        <w:t xml:space="preserve"> </w:t>
      </w:r>
      <w:r w:rsidR="007939B7" w:rsidRPr="00FA0D37">
        <w:rPr>
          <w:color w:val="993366"/>
        </w:rPr>
        <w:t>ENUMERATED</w:t>
      </w:r>
      <w:r w:rsidR="007939B7" w:rsidRPr="00FA0D37">
        <w:t>{x1,x2}</w:t>
      </w:r>
      <w:r w:rsidRPr="00FA0D37">
        <w:t xml:space="preserve">               </w:t>
      </w:r>
      <w:r w:rsidR="00C511AD" w:rsidRPr="00FA0D37">
        <w:t xml:space="preserve">                  </w:t>
      </w:r>
      <w:r w:rsidRPr="00FA0D37">
        <w:t xml:space="preserve">             </w:t>
      </w:r>
      <w:r w:rsidR="007939B7" w:rsidRPr="00FA0D37">
        <w:rPr>
          <w:color w:val="993366"/>
        </w:rPr>
        <w:t>OPTIONAL</w:t>
      </w:r>
      <w:r w:rsidR="007939B7" w:rsidRPr="00FA0D37">
        <w:t>,</w:t>
      </w:r>
    </w:p>
    <w:p w14:paraId="2830AEA3" w14:textId="748275B8" w:rsidR="007939B7" w:rsidRPr="00FA0D37" w:rsidRDefault="007939B7" w:rsidP="00FA0D37">
      <w:pPr>
        <w:pStyle w:val="PL"/>
        <w:rPr>
          <w:color w:val="808080"/>
        </w:rPr>
      </w:pPr>
      <w:r w:rsidRPr="00FA0D37">
        <w:t xml:space="preserve">    </w:t>
      </w:r>
      <w:r w:rsidRPr="00FA0D37">
        <w:rPr>
          <w:color w:val="808080"/>
        </w:rPr>
        <w:t>-- R1 23-7-4</w:t>
      </w:r>
      <w:r w:rsidR="00F237C7" w:rsidRPr="00FA0D37">
        <w:rPr>
          <w:color w:val="808080"/>
        </w:rPr>
        <w:t xml:space="preserve">    </w:t>
      </w:r>
      <w:r w:rsidRPr="00FA0D37">
        <w:rPr>
          <w:color w:val="808080"/>
        </w:rPr>
        <w:t>Support of Nmax=2 for Multi-TRP CSI</w:t>
      </w:r>
    </w:p>
    <w:p w14:paraId="6EA86A8B" w14:textId="279DF234" w:rsidR="007939B7" w:rsidRPr="00FA0D37" w:rsidRDefault="00F237C7" w:rsidP="00FA0D37">
      <w:pPr>
        <w:pStyle w:val="PL"/>
      </w:pPr>
      <w:r w:rsidRPr="00FA0D37">
        <w:t xml:space="preserve">    </w:t>
      </w:r>
      <w:r w:rsidR="007939B7" w:rsidRPr="00FA0D37">
        <w:t xml:space="preserve">mTRP-CSI-N-Max2-r17 </w:t>
      </w:r>
      <w:r w:rsidRPr="00FA0D37">
        <w:t xml:space="preserve">   </w:t>
      </w:r>
      <w:r w:rsidR="00C511AD" w:rsidRPr="00FA0D37">
        <w:t xml:space="preserve">        </w:t>
      </w:r>
      <w:r w:rsidRPr="00FA0D37">
        <w:t xml:space="preserve">             </w:t>
      </w:r>
      <w:r w:rsidR="007939B7" w:rsidRPr="00FA0D37">
        <w:rPr>
          <w:color w:val="993366"/>
        </w:rPr>
        <w:t>ENUMERATED</w:t>
      </w:r>
      <w:r w:rsidR="007939B7" w:rsidRPr="00FA0D37">
        <w:t xml:space="preserve"> {supported}        </w:t>
      </w:r>
      <w:r w:rsidR="00C511AD" w:rsidRPr="00FA0D37">
        <w:t xml:space="preserve">     </w:t>
      </w:r>
      <w:r w:rsidR="007939B7" w:rsidRPr="00FA0D37">
        <w:t xml:space="preserve">      </w:t>
      </w:r>
      <w:r w:rsidRPr="00FA0D37">
        <w:t xml:space="preserve">                    </w:t>
      </w:r>
      <w:r w:rsidR="007939B7" w:rsidRPr="00FA0D37">
        <w:t xml:space="preserve">  </w:t>
      </w:r>
      <w:r w:rsidR="007939B7" w:rsidRPr="00FA0D37">
        <w:rPr>
          <w:color w:val="993366"/>
        </w:rPr>
        <w:t>OPTIONAL</w:t>
      </w:r>
      <w:r w:rsidR="007939B7" w:rsidRPr="00FA0D37">
        <w:t>,</w:t>
      </w:r>
    </w:p>
    <w:p w14:paraId="4E0C53B3" w14:textId="772F6242" w:rsidR="007939B7" w:rsidRPr="00FA0D37" w:rsidRDefault="007939B7" w:rsidP="00FA0D37">
      <w:pPr>
        <w:pStyle w:val="PL"/>
        <w:rPr>
          <w:color w:val="808080"/>
        </w:rPr>
      </w:pPr>
      <w:r w:rsidRPr="00FA0D37">
        <w:t xml:space="preserve">    </w:t>
      </w:r>
      <w:r w:rsidRPr="00FA0D37">
        <w:rPr>
          <w:color w:val="808080"/>
        </w:rPr>
        <w:t>-- R1 23-7-5</w:t>
      </w:r>
      <w:r w:rsidR="00F237C7" w:rsidRPr="00FA0D37">
        <w:rPr>
          <w:color w:val="808080"/>
        </w:rPr>
        <w:t xml:space="preserve">    </w:t>
      </w:r>
      <w:r w:rsidRPr="00FA0D37">
        <w:rPr>
          <w:color w:val="808080"/>
        </w:rPr>
        <w:t>CMR sharing</w:t>
      </w:r>
    </w:p>
    <w:p w14:paraId="49F3E7F2" w14:textId="6767F765" w:rsidR="007939B7" w:rsidRPr="00FA0D37" w:rsidRDefault="00F237C7" w:rsidP="00FA0D37">
      <w:pPr>
        <w:pStyle w:val="PL"/>
      </w:pPr>
      <w:r w:rsidRPr="00FA0D37">
        <w:t xml:space="preserve">    </w:t>
      </w:r>
      <w:r w:rsidR="007939B7" w:rsidRPr="00FA0D37">
        <w:t>mTRP-CSI-CMR-r17</w:t>
      </w:r>
      <w:r w:rsidRPr="00FA0D37">
        <w:t xml:space="preserve">               </w:t>
      </w:r>
      <w:r w:rsidR="00C511AD" w:rsidRPr="00FA0D37">
        <w:t xml:space="preserve">        </w:t>
      </w:r>
      <w:r w:rsidRPr="00FA0D37">
        <w:t xml:space="preserve">     </w:t>
      </w:r>
      <w:r w:rsidR="007939B7" w:rsidRPr="00FA0D37">
        <w:rPr>
          <w:color w:val="993366"/>
        </w:rPr>
        <w:t>ENUMERATED</w:t>
      </w:r>
      <w:r w:rsidR="007939B7" w:rsidRPr="00FA0D37">
        <w:t xml:space="preserve"> {supported}               </w:t>
      </w:r>
      <w:r w:rsidRPr="00FA0D37">
        <w:t xml:space="preserve">                         </w:t>
      </w:r>
      <w:r w:rsidR="007939B7" w:rsidRPr="00FA0D37">
        <w:t xml:space="preserve"> </w:t>
      </w:r>
      <w:r w:rsidR="007939B7" w:rsidRPr="00FA0D37">
        <w:rPr>
          <w:color w:val="993366"/>
        </w:rPr>
        <w:t>OPTIONAL</w:t>
      </w:r>
      <w:r w:rsidR="007939B7" w:rsidRPr="00FA0D37">
        <w:t>,</w:t>
      </w:r>
    </w:p>
    <w:p w14:paraId="2D161AAA" w14:textId="41D1BFF4" w:rsidR="007939B7" w:rsidRPr="00FA0D37" w:rsidRDefault="007939B7" w:rsidP="00FA0D37">
      <w:pPr>
        <w:pStyle w:val="PL"/>
        <w:rPr>
          <w:color w:val="808080"/>
        </w:rPr>
      </w:pPr>
      <w:r w:rsidRPr="00FA0D37">
        <w:t xml:space="preserve"> </w:t>
      </w:r>
      <w:r w:rsidR="00B8304E" w:rsidRPr="00FA0D37">
        <w:t xml:space="preserve"> </w:t>
      </w:r>
      <w:r w:rsidRPr="00FA0D37">
        <w:t xml:space="preserve">  </w:t>
      </w:r>
      <w:r w:rsidRPr="00FA0D37">
        <w:rPr>
          <w:color w:val="808080"/>
        </w:rPr>
        <w:t>-- R1 23-8-11</w:t>
      </w:r>
      <w:r w:rsidR="00F237C7" w:rsidRPr="00FA0D37">
        <w:rPr>
          <w:color w:val="808080"/>
        </w:rPr>
        <w:t xml:space="preserve">    </w:t>
      </w:r>
      <w:r w:rsidRPr="00FA0D37">
        <w:rPr>
          <w:color w:val="808080"/>
        </w:rPr>
        <w:t>Partial frequency sounding of SRS for non-frequency hopping case</w:t>
      </w:r>
    </w:p>
    <w:p w14:paraId="4409A6E0" w14:textId="1FF67619" w:rsidR="007939B7" w:rsidRPr="00FA0D37" w:rsidRDefault="00F237C7" w:rsidP="00FA0D37">
      <w:pPr>
        <w:pStyle w:val="PL"/>
      </w:pPr>
      <w:r w:rsidRPr="00FA0D37">
        <w:t xml:space="preserve">    </w:t>
      </w:r>
      <w:r w:rsidR="007939B7" w:rsidRPr="00FA0D37">
        <w:t>srs-partialFreqSounding-r17</w:t>
      </w:r>
      <w:r w:rsidRPr="00FA0D37">
        <w:t xml:space="preserve">      </w:t>
      </w:r>
      <w:r w:rsidR="00C511AD" w:rsidRPr="00FA0D37">
        <w:t xml:space="preserve">     </w:t>
      </w:r>
      <w:r w:rsidRPr="00FA0D37">
        <w:t xml:space="preserve">      </w:t>
      </w:r>
      <w:r w:rsidR="007939B7" w:rsidRPr="00FA0D37">
        <w:rPr>
          <w:color w:val="993366"/>
        </w:rPr>
        <w:t>ENUMERATED</w:t>
      </w:r>
      <w:r w:rsidR="007939B7" w:rsidRPr="00FA0D37">
        <w:t xml:space="preserve"> {supported}              </w:t>
      </w:r>
      <w:r w:rsidRPr="00FA0D37">
        <w:t xml:space="preserve">                         </w:t>
      </w:r>
      <w:r w:rsidR="007939B7" w:rsidRPr="00FA0D37">
        <w:t xml:space="preserve">  </w:t>
      </w:r>
      <w:r w:rsidR="007939B7" w:rsidRPr="00FA0D37">
        <w:rPr>
          <w:color w:val="993366"/>
        </w:rPr>
        <w:t>OPTIONAL</w:t>
      </w:r>
      <w:r w:rsidR="007939B7" w:rsidRPr="00FA0D37">
        <w:t>,</w:t>
      </w:r>
    </w:p>
    <w:p w14:paraId="4153C547" w14:textId="19EE7CA7" w:rsidR="007939B7" w:rsidRPr="00FA0D37" w:rsidRDefault="00F237C7" w:rsidP="00FA0D37">
      <w:pPr>
        <w:pStyle w:val="PL"/>
        <w:rPr>
          <w:color w:val="808080"/>
        </w:rPr>
      </w:pPr>
      <w:r w:rsidRPr="00FA0D37">
        <w:t xml:space="preserve">    </w:t>
      </w:r>
      <w:r w:rsidR="007939B7" w:rsidRPr="00FA0D37">
        <w:rPr>
          <w:color w:val="808080"/>
        </w:rPr>
        <w:t>-- R1-24 feature: Extend beamSwitchTiming for FR2-2</w:t>
      </w:r>
    </w:p>
    <w:p w14:paraId="45C40FD5" w14:textId="4586D24D" w:rsidR="007939B7" w:rsidRPr="00FA0D37" w:rsidRDefault="007939B7" w:rsidP="00FA0D37">
      <w:pPr>
        <w:pStyle w:val="PL"/>
      </w:pPr>
      <w:r w:rsidRPr="00FA0D37">
        <w:t xml:space="preserve">    beamSwitchTiming-v17</w:t>
      </w:r>
      <w:r w:rsidR="00F84A8C" w:rsidRPr="00FA0D37">
        <w:t>10</w:t>
      </w:r>
      <w:r w:rsidRPr="00FA0D37">
        <w:t xml:space="preserve">           </w:t>
      </w:r>
      <w:r w:rsidR="00C511AD" w:rsidRPr="00FA0D37">
        <w:t xml:space="preserve">  </w:t>
      </w:r>
      <w:r w:rsidRPr="00FA0D37">
        <w:t xml:space="preserve">         </w:t>
      </w:r>
      <w:r w:rsidRPr="00FA0D37">
        <w:rPr>
          <w:color w:val="993366"/>
        </w:rPr>
        <w:t>SEQUENCE</w:t>
      </w:r>
      <w:r w:rsidRPr="00FA0D37">
        <w:t xml:space="preserve"> {</w:t>
      </w:r>
    </w:p>
    <w:p w14:paraId="0DA02C75" w14:textId="192C3FFE" w:rsidR="007939B7" w:rsidRPr="00FA0D37" w:rsidRDefault="007939B7" w:rsidP="00FA0D37">
      <w:pPr>
        <w:pStyle w:val="PL"/>
      </w:pPr>
      <w:r w:rsidRPr="00FA0D37">
        <w:t xml:space="preserve">        scs-480kHz                    </w:t>
      </w:r>
      <w:r w:rsidR="00C511AD" w:rsidRPr="00FA0D37">
        <w:t xml:space="preserve">       </w:t>
      </w:r>
      <w:r w:rsidRPr="00FA0D37">
        <w:t xml:space="preserve">       </w:t>
      </w:r>
      <w:r w:rsidRPr="00FA0D37">
        <w:rPr>
          <w:color w:val="993366"/>
        </w:rPr>
        <w:t>ENUMERATED</w:t>
      </w:r>
      <w:r w:rsidRPr="00FA0D37">
        <w:t xml:space="preserve"> {sym56, sym112, sym192, sym896, sym1344}        </w:t>
      </w:r>
      <w:r w:rsidRPr="00FA0D37">
        <w:rPr>
          <w:color w:val="993366"/>
        </w:rPr>
        <w:t>OPTIONAL</w:t>
      </w:r>
      <w:r w:rsidRPr="00FA0D37">
        <w:t>,</w:t>
      </w:r>
    </w:p>
    <w:p w14:paraId="54D64252" w14:textId="11ED80E7" w:rsidR="007939B7" w:rsidRPr="00FA0D37" w:rsidRDefault="007939B7" w:rsidP="00FA0D37">
      <w:pPr>
        <w:pStyle w:val="PL"/>
      </w:pPr>
      <w:r w:rsidRPr="00FA0D37">
        <w:t xml:space="preserve">        scs-960kHz                    </w:t>
      </w:r>
      <w:r w:rsidR="00C511AD" w:rsidRPr="00FA0D37">
        <w:t xml:space="preserve">        </w:t>
      </w:r>
      <w:r w:rsidRPr="00FA0D37">
        <w:t xml:space="preserve">      </w:t>
      </w:r>
      <w:r w:rsidRPr="00FA0D37">
        <w:rPr>
          <w:color w:val="993366"/>
        </w:rPr>
        <w:t>ENUMERATED</w:t>
      </w:r>
      <w:r w:rsidRPr="00FA0D37">
        <w:t xml:space="preserve"> {sym112, sym224, sym384, sym1792, sym2688}      </w:t>
      </w:r>
      <w:r w:rsidRPr="00FA0D37">
        <w:rPr>
          <w:color w:val="993366"/>
        </w:rPr>
        <w:t>OPTIONAL</w:t>
      </w:r>
    </w:p>
    <w:p w14:paraId="3ABB1802" w14:textId="73DA1DD0" w:rsidR="007939B7" w:rsidRPr="00FA0D37" w:rsidRDefault="007939B7" w:rsidP="00FA0D37">
      <w:pPr>
        <w:pStyle w:val="PL"/>
      </w:pPr>
      <w:r w:rsidRPr="00FA0D37">
        <w:t xml:space="preserve">    }                                                                              </w:t>
      </w:r>
      <w:r w:rsidR="00F237C7" w:rsidRPr="00FA0D37">
        <w:t xml:space="preserve">            </w:t>
      </w:r>
      <w:r w:rsidRPr="00FA0D37">
        <w:t xml:space="preserve">                </w:t>
      </w:r>
      <w:r w:rsidRPr="00FA0D37">
        <w:rPr>
          <w:color w:val="993366"/>
        </w:rPr>
        <w:t>OPTIONAL</w:t>
      </w:r>
      <w:r w:rsidRPr="00FA0D37">
        <w:t>,</w:t>
      </w:r>
    </w:p>
    <w:p w14:paraId="3694E4DC" w14:textId="43E73855" w:rsidR="007939B7" w:rsidRPr="00FA0D37" w:rsidRDefault="00F237C7" w:rsidP="00FA0D37">
      <w:pPr>
        <w:pStyle w:val="PL"/>
        <w:rPr>
          <w:color w:val="808080"/>
        </w:rPr>
      </w:pPr>
      <w:r w:rsidRPr="00FA0D37">
        <w:t xml:space="preserve">    </w:t>
      </w:r>
      <w:r w:rsidR="007939B7" w:rsidRPr="00FA0D37">
        <w:rPr>
          <w:color w:val="808080"/>
        </w:rPr>
        <w:t>-- R1-24 feature: Extend beamSwitchTiming-r16 for FR2-2</w:t>
      </w:r>
    </w:p>
    <w:p w14:paraId="091CA77D" w14:textId="77777777" w:rsidR="007939B7" w:rsidRPr="00FA0D37" w:rsidRDefault="007939B7" w:rsidP="00FA0D37">
      <w:pPr>
        <w:pStyle w:val="PL"/>
      </w:pPr>
      <w:r w:rsidRPr="00FA0D37">
        <w:t xml:space="preserve">    beamSwitchTiming-r17                        </w:t>
      </w:r>
      <w:r w:rsidRPr="00FA0D37">
        <w:rPr>
          <w:color w:val="993366"/>
        </w:rPr>
        <w:t>SEQUENCE</w:t>
      </w:r>
      <w:r w:rsidRPr="00FA0D37">
        <w:t xml:space="preserve"> {</w:t>
      </w:r>
    </w:p>
    <w:p w14:paraId="2B52188A" w14:textId="097C566C" w:rsidR="007939B7" w:rsidRPr="00FA0D37" w:rsidRDefault="007939B7" w:rsidP="00FA0D37">
      <w:pPr>
        <w:pStyle w:val="PL"/>
      </w:pPr>
      <w:r w:rsidRPr="00FA0D37">
        <w:t xml:space="preserve">        scs-480kHz-r17                              </w:t>
      </w:r>
      <w:r w:rsidRPr="00FA0D37">
        <w:rPr>
          <w:color w:val="993366"/>
        </w:rPr>
        <w:t>ENUMERATED</w:t>
      </w:r>
      <w:r w:rsidRPr="00FA0D37">
        <w:t xml:space="preserve"> {sym896, sym1344}                               </w:t>
      </w:r>
      <w:r w:rsidRPr="00FA0D37">
        <w:rPr>
          <w:color w:val="993366"/>
        </w:rPr>
        <w:t>OPTIONAL</w:t>
      </w:r>
      <w:r w:rsidRPr="00FA0D37">
        <w:t>,</w:t>
      </w:r>
    </w:p>
    <w:p w14:paraId="07842D78" w14:textId="2EFABB3F" w:rsidR="007939B7" w:rsidRPr="00FA0D37" w:rsidRDefault="007939B7" w:rsidP="00FA0D37">
      <w:pPr>
        <w:pStyle w:val="PL"/>
      </w:pPr>
      <w:r w:rsidRPr="00FA0D37">
        <w:t xml:space="preserve">        scs-960kHz-r17                              </w:t>
      </w:r>
      <w:r w:rsidRPr="00FA0D37">
        <w:rPr>
          <w:color w:val="993366"/>
        </w:rPr>
        <w:t>ENUMERATED</w:t>
      </w:r>
      <w:r w:rsidRPr="00FA0D37">
        <w:t xml:space="preserve"> {sym1792, sym2688}                              </w:t>
      </w:r>
      <w:r w:rsidRPr="00FA0D37">
        <w:rPr>
          <w:color w:val="993366"/>
        </w:rPr>
        <w:t>OPTIONAL</w:t>
      </w:r>
    </w:p>
    <w:p w14:paraId="74D10512" w14:textId="3023F371" w:rsidR="007939B7" w:rsidRPr="00FA0D37" w:rsidRDefault="00B8304E" w:rsidP="00FA0D37">
      <w:pPr>
        <w:pStyle w:val="PL"/>
      </w:pPr>
      <w:r w:rsidRPr="00FA0D37">
        <w:t xml:space="preserve">    </w:t>
      </w:r>
      <w:r w:rsidR="007939B7" w:rsidRPr="00FA0D37">
        <w:t xml:space="preserve">}    </w:t>
      </w:r>
      <w:r w:rsidR="00C511AD" w:rsidRPr="00FA0D37">
        <w:t xml:space="preserve">                                                                                             </w:t>
      </w:r>
      <w:r w:rsidR="007939B7" w:rsidRPr="00FA0D37">
        <w:t xml:space="preserve">     </w:t>
      </w:r>
      <w:r w:rsidR="00F237C7" w:rsidRPr="00FA0D37">
        <w:t xml:space="preserve">    </w:t>
      </w:r>
      <w:r w:rsidR="007939B7" w:rsidRPr="00FA0D37">
        <w:rPr>
          <w:color w:val="993366"/>
        </w:rPr>
        <w:t>OPTIONAL</w:t>
      </w:r>
      <w:r w:rsidR="007939B7" w:rsidRPr="00FA0D37">
        <w:t>,</w:t>
      </w:r>
    </w:p>
    <w:p w14:paraId="11BC7163" w14:textId="33805640" w:rsidR="007939B7" w:rsidRPr="00FA0D37" w:rsidRDefault="00F237C7" w:rsidP="00FA0D37">
      <w:pPr>
        <w:pStyle w:val="PL"/>
        <w:rPr>
          <w:color w:val="808080"/>
        </w:rPr>
      </w:pPr>
      <w:r w:rsidRPr="00FA0D37">
        <w:t xml:space="preserve">    </w:t>
      </w:r>
      <w:r w:rsidR="007939B7" w:rsidRPr="00FA0D37">
        <w:rPr>
          <w:color w:val="808080"/>
        </w:rPr>
        <w:t>-- R1-24 feature: Extend beamReportTiming for FR2-2</w:t>
      </w:r>
    </w:p>
    <w:p w14:paraId="0556A189" w14:textId="494FF6F3" w:rsidR="007939B7" w:rsidRPr="00FA0D37" w:rsidRDefault="00F237C7" w:rsidP="00FA0D37">
      <w:pPr>
        <w:pStyle w:val="PL"/>
      </w:pPr>
      <w:r w:rsidRPr="00FA0D37">
        <w:t xml:space="preserve">    </w:t>
      </w:r>
      <w:r w:rsidR="007939B7" w:rsidRPr="00FA0D37">
        <w:t>beamReportTiming-v17</w:t>
      </w:r>
      <w:r w:rsidR="00F84A8C" w:rsidRPr="00FA0D37">
        <w:t>10</w:t>
      </w:r>
      <w:r w:rsidR="007939B7" w:rsidRPr="00FA0D37">
        <w:t xml:space="preserve">      </w:t>
      </w:r>
      <w:r w:rsidR="00C511AD" w:rsidRPr="00FA0D37">
        <w:t xml:space="preserve">  </w:t>
      </w:r>
      <w:r w:rsidR="007939B7" w:rsidRPr="00FA0D37">
        <w:t xml:space="preserve">              </w:t>
      </w:r>
      <w:r w:rsidR="007939B7" w:rsidRPr="00FA0D37">
        <w:rPr>
          <w:color w:val="993366"/>
        </w:rPr>
        <w:t>SEQUENCE</w:t>
      </w:r>
      <w:r w:rsidR="007939B7" w:rsidRPr="00FA0D37">
        <w:t xml:space="preserve"> {</w:t>
      </w:r>
    </w:p>
    <w:p w14:paraId="677FAB95" w14:textId="5329D6AC" w:rsidR="007939B7" w:rsidRPr="00FA0D37" w:rsidRDefault="007939B7" w:rsidP="00FA0D37">
      <w:pPr>
        <w:pStyle w:val="PL"/>
      </w:pPr>
      <w:r w:rsidRPr="00FA0D37">
        <w:t xml:space="preserve">        scs-480kHz-r17                    </w:t>
      </w:r>
      <w:r w:rsidR="00C511AD" w:rsidRPr="00FA0D37">
        <w:t xml:space="preserve">   </w:t>
      </w:r>
      <w:r w:rsidRPr="00FA0D37">
        <w:t xml:space="preserve">       </w:t>
      </w:r>
      <w:r w:rsidRPr="00FA0D37">
        <w:rPr>
          <w:color w:val="993366"/>
        </w:rPr>
        <w:t>ENUMERATED</w:t>
      </w:r>
      <w:r w:rsidRPr="00FA0D37">
        <w:t xml:space="preserve"> {sym56, sym112, sym224}                         </w:t>
      </w:r>
      <w:r w:rsidRPr="00FA0D37">
        <w:rPr>
          <w:color w:val="993366"/>
        </w:rPr>
        <w:t>OPTIONAL</w:t>
      </w:r>
      <w:r w:rsidRPr="00FA0D37">
        <w:t>,</w:t>
      </w:r>
    </w:p>
    <w:p w14:paraId="27E6506B" w14:textId="1452ADFD" w:rsidR="007939B7" w:rsidRPr="00FA0D37" w:rsidRDefault="007939B7" w:rsidP="00FA0D37">
      <w:pPr>
        <w:pStyle w:val="PL"/>
      </w:pPr>
      <w:r w:rsidRPr="00FA0D37">
        <w:t xml:space="preserve">        scs-960kHz-r17                  </w:t>
      </w:r>
      <w:r w:rsidR="00C511AD" w:rsidRPr="00FA0D37">
        <w:t xml:space="preserve">    </w:t>
      </w:r>
      <w:r w:rsidRPr="00FA0D37">
        <w:t xml:space="preserve">        </w:t>
      </w:r>
      <w:r w:rsidRPr="00FA0D37">
        <w:rPr>
          <w:color w:val="993366"/>
        </w:rPr>
        <w:t>ENUMERATED</w:t>
      </w:r>
      <w:r w:rsidRPr="00FA0D37">
        <w:t xml:space="preserve"> {sym112, sym224, sym448}                        </w:t>
      </w:r>
      <w:r w:rsidRPr="00FA0D37">
        <w:rPr>
          <w:color w:val="993366"/>
        </w:rPr>
        <w:t>OPTIONAL</w:t>
      </w:r>
    </w:p>
    <w:p w14:paraId="49A7D1D1" w14:textId="7A24A6CB" w:rsidR="007939B7" w:rsidRPr="00FA0D37" w:rsidRDefault="007939B7" w:rsidP="00FA0D37">
      <w:pPr>
        <w:pStyle w:val="PL"/>
      </w:pPr>
      <w:r w:rsidRPr="00FA0D37">
        <w:t xml:space="preserve">    }                                                                                                          </w:t>
      </w:r>
      <w:r w:rsidRPr="00FA0D37">
        <w:rPr>
          <w:color w:val="993366"/>
        </w:rPr>
        <w:t>OPTIONAL</w:t>
      </w:r>
      <w:r w:rsidRPr="00FA0D37">
        <w:t>,</w:t>
      </w:r>
    </w:p>
    <w:p w14:paraId="46291A90" w14:textId="13E9DD5D" w:rsidR="007939B7" w:rsidRPr="00FA0D37" w:rsidRDefault="00F237C7" w:rsidP="00FA0D37">
      <w:pPr>
        <w:pStyle w:val="PL"/>
        <w:rPr>
          <w:color w:val="808080"/>
        </w:rPr>
      </w:pPr>
      <w:r w:rsidRPr="00FA0D37">
        <w:t xml:space="preserve">    </w:t>
      </w:r>
      <w:r w:rsidR="007939B7" w:rsidRPr="00FA0D37">
        <w:rPr>
          <w:color w:val="808080"/>
        </w:rPr>
        <w:t>-- R1-24 feature:</w:t>
      </w:r>
      <w:r w:rsidRPr="00FA0D37">
        <w:rPr>
          <w:color w:val="808080"/>
        </w:rPr>
        <w:t xml:space="preserve">    </w:t>
      </w:r>
      <w:r w:rsidR="007939B7" w:rsidRPr="00FA0D37">
        <w:rPr>
          <w:color w:val="808080"/>
        </w:rPr>
        <w:t>Extend maximum number of RX/TX beam switch DL for FR2-2</w:t>
      </w:r>
    </w:p>
    <w:p w14:paraId="31ECE5C6" w14:textId="249D1E3E" w:rsidR="007939B7" w:rsidRPr="00FA0D37" w:rsidRDefault="00F237C7" w:rsidP="00FA0D37">
      <w:pPr>
        <w:pStyle w:val="PL"/>
      </w:pPr>
      <w:r w:rsidRPr="00FA0D37">
        <w:t xml:space="preserve">    </w:t>
      </w:r>
      <w:r w:rsidR="007939B7" w:rsidRPr="00FA0D37">
        <w:t>maxNumberRxTxBeamSwitchDL-v17</w:t>
      </w:r>
      <w:r w:rsidR="00F84A8C" w:rsidRPr="00FA0D37">
        <w:t>10</w:t>
      </w:r>
      <w:r w:rsidR="007939B7" w:rsidRPr="00FA0D37">
        <w:t xml:space="preserve">             </w:t>
      </w:r>
      <w:r w:rsidR="007939B7" w:rsidRPr="00FA0D37">
        <w:rPr>
          <w:color w:val="993366"/>
        </w:rPr>
        <w:t>SEQUENCE</w:t>
      </w:r>
      <w:r w:rsidR="007939B7" w:rsidRPr="00FA0D37">
        <w:t xml:space="preserve"> {</w:t>
      </w:r>
    </w:p>
    <w:p w14:paraId="6837A023" w14:textId="20A87545" w:rsidR="007939B7" w:rsidRPr="00FA0D37" w:rsidRDefault="007939B7" w:rsidP="00FA0D37">
      <w:pPr>
        <w:pStyle w:val="PL"/>
      </w:pPr>
      <w:r w:rsidRPr="00FA0D37">
        <w:t xml:space="preserve">        scs-480kHz-r17                              </w:t>
      </w:r>
      <w:r w:rsidRPr="00FA0D37">
        <w:rPr>
          <w:color w:val="993366"/>
        </w:rPr>
        <w:t>ENUMERATED</w:t>
      </w:r>
      <w:r w:rsidRPr="00FA0D37">
        <w:t xml:space="preserve"> {n2, n4, n7}                                    </w:t>
      </w:r>
      <w:r w:rsidRPr="00FA0D37">
        <w:rPr>
          <w:color w:val="993366"/>
        </w:rPr>
        <w:t>OPTIONAL</w:t>
      </w:r>
      <w:r w:rsidRPr="00FA0D37">
        <w:t>,</w:t>
      </w:r>
    </w:p>
    <w:p w14:paraId="39075C4C" w14:textId="527B1FB6" w:rsidR="007939B7" w:rsidRPr="00FA0D37" w:rsidRDefault="007939B7" w:rsidP="00FA0D37">
      <w:pPr>
        <w:pStyle w:val="PL"/>
      </w:pPr>
      <w:r w:rsidRPr="00FA0D37">
        <w:t xml:space="preserve">        scs-960kHz-r17                              </w:t>
      </w:r>
      <w:r w:rsidRPr="00FA0D37">
        <w:rPr>
          <w:color w:val="993366"/>
        </w:rPr>
        <w:t>ENUMERATED</w:t>
      </w:r>
      <w:r w:rsidRPr="00FA0D37">
        <w:t xml:space="preserve"> {n1, n2, n4, n7}                                </w:t>
      </w:r>
      <w:r w:rsidRPr="00FA0D37">
        <w:rPr>
          <w:color w:val="993366"/>
        </w:rPr>
        <w:t>OPTIONAL</w:t>
      </w:r>
    </w:p>
    <w:p w14:paraId="51B71FBD" w14:textId="19058F0A" w:rsidR="007939B7" w:rsidRPr="00FA0D37" w:rsidRDefault="00056A99" w:rsidP="00FA0D37">
      <w:pPr>
        <w:pStyle w:val="PL"/>
      </w:pPr>
      <w:r w:rsidRPr="00FA0D37">
        <w:t xml:space="preserve">    </w:t>
      </w:r>
      <w:r w:rsidR="007939B7" w:rsidRPr="00FA0D37">
        <w:t xml:space="preserve">}                                                                                                          </w:t>
      </w:r>
      <w:r w:rsidR="007939B7" w:rsidRPr="00FA0D37">
        <w:rPr>
          <w:color w:val="993366"/>
        </w:rPr>
        <w:t>OPTIONAL</w:t>
      </w:r>
    </w:p>
    <w:p w14:paraId="571A5047" w14:textId="0FE1DEFE" w:rsidR="00056A99" w:rsidRPr="00FA0D37" w:rsidRDefault="00022DF1" w:rsidP="00FA0D37">
      <w:pPr>
        <w:pStyle w:val="PL"/>
      </w:pPr>
      <w:r w:rsidRPr="00FA0D37">
        <w:t xml:space="preserve">    ]]</w:t>
      </w:r>
      <w:r w:rsidR="00056A99" w:rsidRPr="00FA0D37">
        <w:t>,</w:t>
      </w:r>
    </w:p>
    <w:p w14:paraId="27869D85" w14:textId="3B5F8AA3" w:rsidR="00056A99" w:rsidRPr="00FA0D37" w:rsidRDefault="00056A99" w:rsidP="00FA0D37">
      <w:pPr>
        <w:pStyle w:val="PL"/>
      </w:pPr>
      <w:r w:rsidRPr="00FA0D37">
        <w:t xml:space="preserve">    [[</w:t>
      </w:r>
    </w:p>
    <w:p w14:paraId="7255B61B" w14:textId="185E2999" w:rsidR="00056A99" w:rsidRPr="00FA0D37" w:rsidRDefault="00056A99" w:rsidP="00FA0D37">
      <w:pPr>
        <w:pStyle w:val="PL"/>
        <w:rPr>
          <w:color w:val="808080"/>
        </w:rPr>
      </w:pPr>
      <w:r w:rsidRPr="00FA0D37">
        <w:t xml:space="preserve">    </w:t>
      </w:r>
      <w:r w:rsidRPr="00FA0D37">
        <w:rPr>
          <w:color w:val="808080"/>
        </w:rPr>
        <w:t>-- R1-23-1-4a:</w:t>
      </w:r>
      <w:r w:rsidRPr="00FA0D37">
        <w:rPr>
          <w:color w:val="808080"/>
        </w:rPr>
        <w:tab/>
        <w:t>Semi-persistent/aperiodic capability value report</w:t>
      </w:r>
    </w:p>
    <w:p w14:paraId="5D380BE3" w14:textId="39AA3289" w:rsidR="00056A99" w:rsidRPr="00FA0D37" w:rsidRDefault="00056A99" w:rsidP="00FA0D37">
      <w:pPr>
        <w:pStyle w:val="PL"/>
      </w:pPr>
      <w:r w:rsidRPr="00FA0D37">
        <w:t xml:space="preserve">    srs-PortReportSP-AP-r17                     </w:t>
      </w:r>
      <w:r w:rsidRPr="00FA0D37">
        <w:rPr>
          <w:color w:val="993366"/>
        </w:rPr>
        <w:t>ENUMERATED</w:t>
      </w:r>
      <w:r w:rsidRPr="00FA0D37">
        <w:t xml:space="preserve"> {supported}                                         </w:t>
      </w:r>
      <w:r w:rsidRPr="00FA0D37">
        <w:rPr>
          <w:color w:val="993366"/>
        </w:rPr>
        <w:t>OPTIONAL</w:t>
      </w:r>
      <w:r w:rsidRPr="00FA0D37">
        <w:t>,</w:t>
      </w:r>
    </w:p>
    <w:p w14:paraId="4A2CFAD3" w14:textId="3E45BC9C" w:rsidR="00056A99" w:rsidRPr="00FA0D37" w:rsidRDefault="00056A99" w:rsidP="00FA0D37">
      <w:pPr>
        <w:pStyle w:val="PL"/>
      </w:pPr>
      <w:r w:rsidRPr="00FA0D37">
        <w:t xml:space="preserve">    maxNumberRxBeam-v17</w:t>
      </w:r>
      <w:r w:rsidR="00B93257" w:rsidRPr="00FA0D37">
        <w:t>20</w:t>
      </w:r>
      <w:r w:rsidRPr="00FA0D37">
        <w:t xml:space="preserve">                       </w:t>
      </w:r>
      <w:r w:rsidRPr="00FA0D37">
        <w:rPr>
          <w:color w:val="993366"/>
        </w:rPr>
        <w:t>INTEGER</w:t>
      </w:r>
      <w:r w:rsidRPr="00FA0D37">
        <w:t xml:space="preserve"> (9..12)                                                </w:t>
      </w:r>
      <w:r w:rsidRPr="00FA0D37">
        <w:rPr>
          <w:color w:val="993366"/>
        </w:rPr>
        <w:t>OPTIONAL</w:t>
      </w:r>
      <w:r w:rsidRPr="00FA0D37">
        <w:t>,</w:t>
      </w:r>
    </w:p>
    <w:p w14:paraId="3A9F580E" w14:textId="6381A4C6" w:rsidR="00056A99" w:rsidRPr="00FA0D37" w:rsidRDefault="00056A99" w:rsidP="00FA0D37">
      <w:pPr>
        <w:pStyle w:val="PL"/>
        <w:rPr>
          <w:color w:val="808080"/>
        </w:rPr>
      </w:pPr>
      <w:r w:rsidRPr="00FA0D37">
        <w:t xml:space="preserve">    </w:t>
      </w:r>
      <w:r w:rsidRPr="00FA0D37">
        <w:rPr>
          <w:color w:val="808080"/>
        </w:rPr>
        <w:t>-- R1-23-6-5</w:t>
      </w:r>
      <w:r w:rsidRPr="00FA0D37">
        <w:rPr>
          <w:color w:val="808080"/>
        </w:rPr>
        <w:tab/>
        <w:t>Support implicit configuration of RS(s) with two TCI states for beam failure detection</w:t>
      </w:r>
    </w:p>
    <w:p w14:paraId="0E01DE0A" w14:textId="1E60BC97" w:rsidR="00056A99" w:rsidRPr="00FA0D37" w:rsidRDefault="00056A99" w:rsidP="00FA0D37">
      <w:pPr>
        <w:pStyle w:val="PL"/>
      </w:pPr>
      <w:r w:rsidRPr="00FA0D37">
        <w:t xml:space="preserve">    sfn-ImplicitRS-twoTCI-r17                   </w:t>
      </w:r>
      <w:r w:rsidRPr="00FA0D37">
        <w:rPr>
          <w:color w:val="993366"/>
        </w:rPr>
        <w:t>ENUMERATED</w:t>
      </w:r>
      <w:r w:rsidRPr="00FA0D37">
        <w:t xml:space="preserve"> {supported}                                         </w:t>
      </w:r>
      <w:r w:rsidRPr="00FA0D37">
        <w:rPr>
          <w:color w:val="993366"/>
        </w:rPr>
        <w:t>OPTIONAL</w:t>
      </w:r>
      <w:r w:rsidRPr="00FA0D37">
        <w:t>,</w:t>
      </w:r>
    </w:p>
    <w:p w14:paraId="78AFEE03" w14:textId="00270A3B" w:rsidR="00056A99" w:rsidRPr="00FA0D37" w:rsidRDefault="00056A99" w:rsidP="00FA0D37">
      <w:pPr>
        <w:pStyle w:val="PL"/>
        <w:rPr>
          <w:color w:val="808080"/>
        </w:rPr>
      </w:pPr>
      <w:r w:rsidRPr="00FA0D37">
        <w:t xml:space="preserve">    </w:t>
      </w:r>
      <w:r w:rsidRPr="00FA0D37">
        <w:rPr>
          <w:color w:val="808080"/>
        </w:rPr>
        <w:t>-- R1-23-6-6</w:t>
      </w:r>
      <w:r w:rsidRPr="00FA0D37">
        <w:rPr>
          <w:color w:val="808080"/>
        </w:rPr>
        <w:tab/>
        <w:t>QCL-TypeD collision handling with CORESET with 2 TCI states</w:t>
      </w:r>
    </w:p>
    <w:p w14:paraId="104AD4C4" w14:textId="1CC64EFD" w:rsidR="00056A99" w:rsidRPr="00FA0D37" w:rsidRDefault="00056A99" w:rsidP="00FA0D37">
      <w:pPr>
        <w:pStyle w:val="PL"/>
      </w:pPr>
      <w:r w:rsidRPr="00FA0D37">
        <w:t xml:space="preserve">    sfn-QCL-TypeD-Collision-twoTCI-r17          </w:t>
      </w:r>
      <w:r w:rsidRPr="00FA0D37">
        <w:rPr>
          <w:color w:val="993366"/>
        </w:rPr>
        <w:t>ENUMERATED</w:t>
      </w:r>
      <w:r w:rsidRPr="00FA0D37">
        <w:t xml:space="preserve"> {supported}                                         </w:t>
      </w:r>
      <w:r w:rsidRPr="00FA0D37">
        <w:rPr>
          <w:color w:val="993366"/>
        </w:rPr>
        <w:t>OPTIONAL</w:t>
      </w:r>
      <w:r w:rsidRPr="00FA0D37">
        <w:t>,</w:t>
      </w:r>
    </w:p>
    <w:p w14:paraId="21D1176E" w14:textId="054D30C1" w:rsidR="00056A99" w:rsidRPr="00FA0D37" w:rsidRDefault="00056A99" w:rsidP="00FA0D37">
      <w:pPr>
        <w:pStyle w:val="PL"/>
        <w:rPr>
          <w:color w:val="808080"/>
        </w:rPr>
      </w:pPr>
      <w:r w:rsidRPr="00FA0D37">
        <w:lastRenderedPageBreak/>
        <w:t xml:space="preserve">    </w:t>
      </w:r>
      <w:r w:rsidRPr="00FA0D37">
        <w:rPr>
          <w:color w:val="808080"/>
        </w:rPr>
        <w:t>-- R1-23-7-1c</w:t>
      </w:r>
      <w:r w:rsidRPr="00FA0D37">
        <w:rPr>
          <w:color w:val="808080"/>
        </w:rPr>
        <w:tab/>
        <w:t xml:space="preserve">Basic Features of CSI Enhancement for Multi-TRP </w:t>
      </w:r>
      <w:r w:rsidR="00AA5AF7" w:rsidRPr="00FA0D37">
        <w:rPr>
          <w:color w:val="808080"/>
        </w:rPr>
        <w:t>-</w:t>
      </w:r>
      <w:r w:rsidRPr="00FA0D37">
        <w:rPr>
          <w:color w:val="808080"/>
        </w:rPr>
        <w:t xml:space="preserve"> number of CPUs</w:t>
      </w:r>
    </w:p>
    <w:p w14:paraId="6D7CA196" w14:textId="4FD34D77" w:rsidR="00056A99" w:rsidRPr="00FA0D37" w:rsidRDefault="00056A99" w:rsidP="00FA0D37">
      <w:pPr>
        <w:pStyle w:val="PL"/>
      </w:pPr>
      <w:r w:rsidRPr="00FA0D37">
        <w:t xml:space="preserve">    mTRP-CSI-numCPU-r17                         </w:t>
      </w:r>
      <w:r w:rsidRPr="00FA0D37">
        <w:rPr>
          <w:color w:val="993366"/>
        </w:rPr>
        <w:t>ENUMERATED</w:t>
      </w:r>
      <w:r w:rsidRPr="00FA0D37">
        <w:t xml:space="preserve"> {n2, n3, n4}                                        </w:t>
      </w:r>
      <w:r w:rsidRPr="00FA0D37">
        <w:rPr>
          <w:color w:val="993366"/>
        </w:rPr>
        <w:t>OPTIONAL</w:t>
      </w:r>
    </w:p>
    <w:p w14:paraId="68D4CD57" w14:textId="73F0A53F" w:rsidR="008D4526" w:rsidRPr="00FA0D37" w:rsidRDefault="00056A99" w:rsidP="00FA0D37">
      <w:pPr>
        <w:pStyle w:val="PL"/>
      </w:pPr>
      <w:r w:rsidRPr="00FA0D37">
        <w:t xml:space="preserve">    ]]</w:t>
      </w:r>
      <w:r w:rsidR="008D4526" w:rsidRPr="00FA0D37">
        <w:t>,</w:t>
      </w:r>
    </w:p>
    <w:p w14:paraId="46D6747F" w14:textId="6635A900" w:rsidR="008D4526" w:rsidRPr="00FA0D37" w:rsidRDefault="008D4526" w:rsidP="00FA0D37">
      <w:pPr>
        <w:pStyle w:val="PL"/>
      </w:pPr>
      <w:r w:rsidRPr="00FA0D37">
        <w:t xml:space="preserve">    [[</w:t>
      </w:r>
    </w:p>
    <w:p w14:paraId="2C400993" w14:textId="5B0AA732" w:rsidR="008D4526" w:rsidRPr="00FA0D37" w:rsidRDefault="008D4526" w:rsidP="00FA0D37">
      <w:pPr>
        <w:pStyle w:val="PL"/>
      </w:pPr>
      <w:r w:rsidRPr="00FA0D37">
        <w:t xml:space="preserve">    supportRepNumPDSCH-TDRA-DCI-1-2-r17         </w:t>
      </w:r>
      <w:r w:rsidRPr="00FA0D37">
        <w:rPr>
          <w:color w:val="993366"/>
        </w:rPr>
        <w:t>ENUMERATED</w:t>
      </w:r>
      <w:r w:rsidRPr="00FA0D37">
        <w:t xml:space="preserve"> {n2, n3, n4, n5, n6, n7, n8, n16}                   </w:t>
      </w:r>
      <w:r w:rsidRPr="00FA0D37">
        <w:rPr>
          <w:color w:val="993366"/>
        </w:rPr>
        <w:t>OPTIONAL</w:t>
      </w:r>
    </w:p>
    <w:p w14:paraId="0A7B13E6" w14:textId="19746A89" w:rsidR="00022DF1" w:rsidRPr="00FA0D37" w:rsidRDefault="008D4526" w:rsidP="00FA0D37">
      <w:pPr>
        <w:pStyle w:val="PL"/>
      </w:pPr>
      <w:r w:rsidRPr="00FA0D37">
        <w:t xml:space="preserve">    ]]</w:t>
      </w:r>
    </w:p>
    <w:p w14:paraId="752F8FF3" w14:textId="77777777" w:rsidR="00394471" w:rsidRPr="00FA0D37" w:rsidRDefault="00394471" w:rsidP="00FA0D37">
      <w:pPr>
        <w:pStyle w:val="PL"/>
      </w:pPr>
      <w:r w:rsidRPr="00FA0D37">
        <w:t>}</w:t>
      </w:r>
    </w:p>
    <w:p w14:paraId="3CB24C3F" w14:textId="77777777" w:rsidR="00394471" w:rsidRPr="00FA0D37" w:rsidRDefault="00394471" w:rsidP="00FA0D37">
      <w:pPr>
        <w:pStyle w:val="PL"/>
      </w:pPr>
    </w:p>
    <w:p w14:paraId="1F23E72D" w14:textId="77777777" w:rsidR="00394471" w:rsidRPr="00FA0D37" w:rsidRDefault="00394471" w:rsidP="00FA0D37">
      <w:pPr>
        <w:pStyle w:val="PL"/>
      </w:pPr>
      <w:r w:rsidRPr="00FA0D37">
        <w:t xml:space="preserve">DummyG ::=                          </w:t>
      </w:r>
      <w:r w:rsidRPr="00FA0D37">
        <w:rPr>
          <w:color w:val="993366"/>
        </w:rPr>
        <w:t>SEQUENCE</w:t>
      </w:r>
      <w:r w:rsidRPr="00FA0D37">
        <w:t xml:space="preserve"> {</w:t>
      </w:r>
    </w:p>
    <w:p w14:paraId="3F687E77" w14:textId="77777777" w:rsidR="00394471" w:rsidRPr="00FA0D37" w:rsidRDefault="00394471" w:rsidP="00FA0D37">
      <w:pPr>
        <w:pStyle w:val="PL"/>
      </w:pPr>
      <w:r w:rsidRPr="00FA0D37">
        <w:t xml:space="preserve">    maxNumberSSB-CSI-RS-ResourceOneTx   </w:t>
      </w:r>
      <w:r w:rsidRPr="00FA0D37">
        <w:rPr>
          <w:color w:val="993366"/>
        </w:rPr>
        <w:t>ENUMERATED</w:t>
      </w:r>
      <w:r w:rsidRPr="00FA0D37">
        <w:t xml:space="preserve"> {n8, n16, n32, n64},</w:t>
      </w:r>
    </w:p>
    <w:p w14:paraId="26C88242" w14:textId="77777777" w:rsidR="00394471" w:rsidRPr="00FA0D37" w:rsidRDefault="00394471" w:rsidP="00FA0D37">
      <w:pPr>
        <w:pStyle w:val="PL"/>
      </w:pPr>
      <w:r w:rsidRPr="00FA0D37">
        <w:t xml:space="preserve">    maxNumberSSB-CSI-RS-ResourceTwoTx   </w:t>
      </w:r>
      <w:r w:rsidRPr="00FA0D37">
        <w:rPr>
          <w:color w:val="993366"/>
        </w:rPr>
        <w:t>ENUMERATED</w:t>
      </w:r>
      <w:r w:rsidRPr="00FA0D37">
        <w:t xml:space="preserve"> {n0, n4, n8, n16, n32, n64},</w:t>
      </w:r>
    </w:p>
    <w:p w14:paraId="7539EE72" w14:textId="77777777" w:rsidR="00394471" w:rsidRPr="00FA0D37" w:rsidRDefault="00394471" w:rsidP="00FA0D37">
      <w:pPr>
        <w:pStyle w:val="PL"/>
      </w:pPr>
      <w:r w:rsidRPr="00FA0D37">
        <w:t xml:space="preserve">    supportedCSI-RS-Density             </w:t>
      </w:r>
      <w:r w:rsidRPr="00FA0D37">
        <w:rPr>
          <w:color w:val="993366"/>
        </w:rPr>
        <w:t>ENUMERATED</w:t>
      </w:r>
      <w:r w:rsidRPr="00FA0D37">
        <w:t xml:space="preserve"> {one, three, oneAndThree}</w:t>
      </w:r>
    </w:p>
    <w:p w14:paraId="4A7D8EC3" w14:textId="77777777" w:rsidR="00394471" w:rsidRPr="00FA0D37" w:rsidRDefault="00394471" w:rsidP="00FA0D37">
      <w:pPr>
        <w:pStyle w:val="PL"/>
      </w:pPr>
      <w:r w:rsidRPr="00FA0D37">
        <w:t>}</w:t>
      </w:r>
    </w:p>
    <w:p w14:paraId="4DDAB8B7" w14:textId="77777777" w:rsidR="00394471" w:rsidRPr="00FA0D37" w:rsidRDefault="00394471" w:rsidP="00FA0D37">
      <w:pPr>
        <w:pStyle w:val="PL"/>
      </w:pPr>
    </w:p>
    <w:p w14:paraId="5AED1135" w14:textId="77777777" w:rsidR="00394471" w:rsidRPr="00FA0D37" w:rsidRDefault="00394471" w:rsidP="00FA0D37">
      <w:pPr>
        <w:pStyle w:val="PL"/>
      </w:pPr>
      <w:r w:rsidRPr="00FA0D37">
        <w:t xml:space="preserve">BeamManagementSSB-CSI-RS ::=        </w:t>
      </w:r>
      <w:r w:rsidRPr="00FA0D37">
        <w:rPr>
          <w:color w:val="993366"/>
        </w:rPr>
        <w:t>SEQUENCE</w:t>
      </w:r>
      <w:r w:rsidRPr="00FA0D37">
        <w:t xml:space="preserve"> {</w:t>
      </w:r>
    </w:p>
    <w:p w14:paraId="53B9F818" w14:textId="77777777" w:rsidR="00394471" w:rsidRPr="00FA0D37" w:rsidRDefault="00394471" w:rsidP="00FA0D37">
      <w:pPr>
        <w:pStyle w:val="PL"/>
      </w:pPr>
      <w:r w:rsidRPr="00FA0D37">
        <w:t xml:space="preserve">    maxNumberSSB-CSI-RS-ResourceOneTx   </w:t>
      </w:r>
      <w:r w:rsidRPr="00FA0D37">
        <w:rPr>
          <w:color w:val="993366"/>
        </w:rPr>
        <w:t>ENUMERATED</w:t>
      </w:r>
      <w:r w:rsidRPr="00FA0D37">
        <w:t xml:space="preserve"> {n0, n8, n16, n32, n64},</w:t>
      </w:r>
    </w:p>
    <w:p w14:paraId="206F8265" w14:textId="77777777" w:rsidR="00394471" w:rsidRPr="00FA0D37" w:rsidRDefault="00394471" w:rsidP="00FA0D37">
      <w:pPr>
        <w:pStyle w:val="PL"/>
      </w:pPr>
      <w:r w:rsidRPr="00FA0D37">
        <w:t xml:space="preserve">    maxNumberCSI-RS-Resource            </w:t>
      </w:r>
      <w:r w:rsidRPr="00FA0D37">
        <w:rPr>
          <w:color w:val="993366"/>
        </w:rPr>
        <w:t>ENUMERATED</w:t>
      </w:r>
      <w:r w:rsidRPr="00FA0D37">
        <w:t xml:space="preserve"> {n0, n4, n8, n16, n32, n64},</w:t>
      </w:r>
    </w:p>
    <w:p w14:paraId="70EA0FB7" w14:textId="77777777" w:rsidR="00394471" w:rsidRPr="00FA0D37" w:rsidRDefault="00394471" w:rsidP="00FA0D37">
      <w:pPr>
        <w:pStyle w:val="PL"/>
      </w:pPr>
      <w:r w:rsidRPr="00FA0D37">
        <w:t xml:space="preserve">    maxNumberCSI-RS-ResourceTwoTx       </w:t>
      </w:r>
      <w:r w:rsidRPr="00FA0D37">
        <w:rPr>
          <w:color w:val="993366"/>
        </w:rPr>
        <w:t>ENUMERATED</w:t>
      </w:r>
      <w:r w:rsidRPr="00FA0D37">
        <w:t xml:space="preserve"> {n0, n4, n8, n16, n32, n64},</w:t>
      </w:r>
    </w:p>
    <w:p w14:paraId="5E69D411" w14:textId="77777777" w:rsidR="00394471" w:rsidRPr="00FA0D37" w:rsidRDefault="00394471" w:rsidP="00FA0D37">
      <w:pPr>
        <w:pStyle w:val="PL"/>
      </w:pPr>
      <w:r w:rsidRPr="00FA0D37">
        <w:t xml:space="preserve">    supportedCSI-RS-Density             </w:t>
      </w:r>
      <w:r w:rsidRPr="00FA0D37">
        <w:rPr>
          <w:color w:val="993366"/>
        </w:rPr>
        <w:t>ENUMERATED</w:t>
      </w:r>
      <w:r w:rsidRPr="00FA0D37">
        <w:t xml:space="preserve"> {one, three, oneAndThree}                                       </w:t>
      </w:r>
      <w:r w:rsidRPr="00FA0D37">
        <w:rPr>
          <w:color w:val="993366"/>
        </w:rPr>
        <w:t>OPTIONAL</w:t>
      </w:r>
      <w:r w:rsidRPr="00FA0D37">
        <w:t>,</w:t>
      </w:r>
    </w:p>
    <w:p w14:paraId="1CF9824B" w14:textId="77777777" w:rsidR="00394471" w:rsidRPr="00FA0D37" w:rsidRDefault="00394471" w:rsidP="00FA0D37">
      <w:pPr>
        <w:pStyle w:val="PL"/>
      </w:pPr>
      <w:r w:rsidRPr="00FA0D37">
        <w:t xml:space="preserve">    maxNumberAperiodicCSI-RS-Resource   </w:t>
      </w:r>
      <w:r w:rsidRPr="00FA0D37">
        <w:rPr>
          <w:color w:val="993366"/>
        </w:rPr>
        <w:t>ENUMERATED</w:t>
      </w:r>
      <w:r w:rsidRPr="00FA0D37">
        <w:t xml:space="preserve"> {n0, n1, n4, n8, n16, n32, n64}</w:t>
      </w:r>
    </w:p>
    <w:p w14:paraId="2B08433A" w14:textId="77777777" w:rsidR="00394471" w:rsidRPr="00FA0D37" w:rsidRDefault="00394471" w:rsidP="00FA0D37">
      <w:pPr>
        <w:pStyle w:val="PL"/>
      </w:pPr>
      <w:r w:rsidRPr="00FA0D37">
        <w:t>}</w:t>
      </w:r>
    </w:p>
    <w:p w14:paraId="7707C296" w14:textId="77777777" w:rsidR="00394471" w:rsidRPr="00FA0D37" w:rsidRDefault="00394471" w:rsidP="00FA0D37">
      <w:pPr>
        <w:pStyle w:val="PL"/>
      </w:pPr>
    </w:p>
    <w:p w14:paraId="7FC0EF5F" w14:textId="77777777" w:rsidR="00394471" w:rsidRPr="00FA0D37" w:rsidRDefault="00394471" w:rsidP="00FA0D37">
      <w:pPr>
        <w:pStyle w:val="PL"/>
      </w:pPr>
      <w:r w:rsidRPr="00FA0D37">
        <w:t xml:space="preserve">DummyH ::=                          </w:t>
      </w:r>
      <w:r w:rsidRPr="00FA0D37">
        <w:rPr>
          <w:color w:val="993366"/>
        </w:rPr>
        <w:t>SEQUENCE</w:t>
      </w:r>
      <w:r w:rsidRPr="00FA0D37">
        <w:t xml:space="preserve"> {</w:t>
      </w:r>
    </w:p>
    <w:p w14:paraId="27AC0B85" w14:textId="77777777" w:rsidR="00394471" w:rsidRPr="00FA0D37" w:rsidRDefault="00394471" w:rsidP="00FA0D37">
      <w:pPr>
        <w:pStyle w:val="PL"/>
      </w:pPr>
      <w:r w:rsidRPr="00FA0D37">
        <w:t xml:space="preserve">    burstLength                         </w:t>
      </w:r>
      <w:r w:rsidRPr="00FA0D37">
        <w:rPr>
          <w:color w:val="993366"/>
        </w:rPr>
        <w:t>INTEGER</w:t>
      </w:r>
      <w:r w:rsidRPr="00FA0D37">
        <w:t xml:space="preserve"> (1..2),</w:t>
      </w:r>
    </w:p>
    <w:p w14:paraId="0E42B879" w14:textId="77777777" w:rsidR="00394471" w:rsidRPr="00FA0D37" w:rsidRDefault="00394471" w:rsidP="00FA0D37">
      <w:pPr>
        <w:pStyle w:val="PL"/>
      </w:pPr>
      <w:r w:rsidRPr="00FA0D37">
        <w:t xml:space="preserve">    maxSimultaneousResourceSetsPerCC    </w:t>
      </w:r>
      <w:r w:rsidRPr="00FA0D37">
        <w:rPr>
          <w:color w:val="993366"/>
        </w:rPr>
        <w:t>INTEGER</w:t>
      </w:r>
      <w:r w:rsidRPr="00FA0D37">
        <w:t xml:space="preserve"> (1..8),</w:t>
      </w:r>
    </w:p>
    <w:p w14:paraId="30ABB48D" w14:textId="77777777" w:rsidR="00394471" w:rsidRPr="00FA0D37" w:rsidRDefault="00394471" w:rsidP="00FA0D37">
      <w:pPr>
        <w:pStyle w:val="PL"/>
      </w:pPr>
      <w:r w:rsidRPr="00FA0D37">
        <w:t xml:space="preserve">    maxConfiguredResourceSetsPerCC      </w:t>
      </w:r>
      <w:r w:rsidRPr="00FA0D37">
        <w:rPr>
          <w:color w:val="993366"/>
        </w:rPr>
        <w:t>INTEGER</w:t>
      </w:r>
      <w:r w:rsidRPr="00FA0D37">
        <w:t xml:space="preserve"> (1..64),</w:t>
      </w:r>
    </w:p>
    <w:p w14:paraId="463A60B6" w14:textId="77777777" w:rsidR="00394471" w:rsidRPr="00FA0D37" w:rsidRDefault="00394471" w:rsidP="00FA0D37">
      <w:pPr>
        <w:pStyle w:val="PL"/>
      </w:pPr>
      <w:r w:rsidRPr="00FA0D37">
        <w:t xml:space="preserve">    maxConfiguredResourceSetsAllCC      </w:t>
      </w:r>
      <w:r w:rsidRPr="00FA0D37">
        <w:rPr>
          <w:color w:val="993366"/>
        </w:rPr>
        <w:t>INTEGER</w:t>
      </w:r>
      <w:r w:rsidRPr="00FA0D37">
        <w:t xml:space="preserve"> (1..128)</w:t>
      </w:r>
    </w:p>
    <w:p w14:paraId="489CF7A4" w14:textId="77777777" w:rsidR="00394471" w:rsidRPr="00FA0D37" w:rsidRDefault="00394471" w:rsidP="00FA0D37">
      <w:pPr>
        <w:pStyle w:val="PL"/>
      </w:pPr>
      <w:r w:rsidRPr="00FA0D37">
        <w:t>}</w:t>
      </w:r>
    </w:p>
    <w:p w14:paraId="48D51A08" w14:textId="77777777" w:rsidR="00394471" w:rsidRPr="00FA0D37" w:rsidRDefault="00394471" w:rsidP="00FA0D37">
      <w:pPr>
        <w:pStyle w:val="PL"/>
      </w:pPr>
    </w:p>
    <w:p w14:paraId="32547B60" w14:textId="77777777" w:rsidR="00394471" w:rsidRPr="00FA0D37" w:rsidRDefault="00394471" w:rsidP="00FA0D37">
      <w:pPr>
        <w:pStyle w:val="PL"/>
      </w:pPr>
      <w:r w:rsidRPr="00FA0D37">
        <w:t xml:space="preserve">CSI-RS-ForTracking ::=              </w:t>
      </w:r>
      <w:r w:rsidRPr="00FA0D37">
        <w:rPr>
          <w:color w:val="993366"/>
        </w:rPr>
        <w:t>SEQUENCE</w:t>
      </w:r>
      <w:r w:rsidRPr="00FA0D37">
        <w:t xml:space="preserve"> {</w:t>
      </w:r>
    </w:p>
    <w:p w14:paraId="6E0DDCE0" w14:textId="77777777" w:rsidR="00394471" w:rsidRPr="00FA0D37" w:rsidRDefault="00394471" w:rsidP="00FA0D37">
      <w:pPr>
        <w:pStyle w:val="PL"/>
      </w:pPr>
      <w:r w:rsidRPr="00FA0D37">
        <w:t xml:space="preserve">    maxBurstLength                      </w:t>
      </w:r>
      <w:r w:rsidRPr="00FA0D37">
        <w:rPr>
          <w:color w:val="993366"/>
        </w:rPr>
        <w:t>INTEGER</w:t>
      </w:r>
      <w:r w:rsidRPr="00FA0D37">
        <w:t xml:space="preserve"> (1..2),</w:t>
      </w:r>
    </w:p>
    <w:p w14:paraId="24DF76C3" w14:textId="77777777" w:rsidR="00394471" w:rsidRPr="00FA0D37" w:rsidRDefault="00394471" w:rsidP="00FA0D37">
      <w:pPr>
        <w:pStyle w:val="PL"/>
      </w:pPr>
      <w:r w:rsidRPr="00FA0D37">
        <w:t xml:space="preserve">    maxSimultaneousResourceSetsPerCC    </w:t>
      </w:r>
      <w:r w:rsidRPr="00FA0D37">
        <w:rPr>
          <w:color w:val="993366"/>
        </w:rPr>
        <w:t>INTEGER</w:t>
      </w:r>
      <w:r w:rsidRPr="00FA0D37">
        <w:t xml:space="preserve"> (1..8),</w:t>
      </w:r>
    </w:p>
    <w:p w14:paraId="2BDBD435" w14:textId="77777777" w:rsidR="00394471" w:rsidRPr="00FA0D37" w:rsidRDefault="00394471" w:rsidP="00FA0D37">
      <w:pPr>
        <w:pStyle w:val="PL"/>
      </w:pPr>
      <w:r w:rsidRPr="00FA0D37">
        <w:t xml:space="preserve">    maxConfiguredResourceSetsPerCC      </w:t>
      </w:r>
      <w:r w:rsidRPr="00FA0D37">
        <w:rPr>
          <w:color w:val="993366"/>
        </w:rPr>
        <w:t>INTEGER</w:t>
      </w:r>
      <w:r w:rsidRPr="00FA0D37">
        <w:t xml:space="preserve"> (1..64),</w:t>
      </w:r>
    </w:p>
    <w:p w14:paraId="2B68C607" w14:textId="77777777" w:rsidR="00394471" w:rsidRPr="00FA0D37" w:rsidRDefault="00394471" w:rsidP="00FA0D37">
      <w:pPr>
        <w:pStyle w:val="PL"/>
      </w:pPr>
      <w:r w:rsidRPr="00FA0D37">
        <w:t xml:space="preserve">    maxConfiguredResourceSetsAllCC      </w:t>
      </w:r>
      <w:r w:rsidRPr="00FA0D37">
        <w:rPr>
          <w:color w:val="993366"/>
        </w:rPr>
        <w:t>INTEGER</w:t>
      </w:r>
      <w:r w:rsidRPr="00FA0D37">
        <w:t xml:space="preserve"> (1..256)</w:t>
      </w:r>
    </w:p>
    <w:p w14:paraId="6D81CD09" w14:textId="77777777" w:rsidR="00394471" w:rsidRPr="00FA0D37" w:rsidRDefault="00394471" w:rsidP="00FA0D37">
      <w:pPr>
        <w:pStyle w:val="PL"/>
      </w:pPr>
      <w:r w:rsidRPr="00FA0D37">
        <w:t>}</w:t>
      </w:r>
    </w:p>
    <w:p w14:paraId="27A3D1F3" w14:textId="77777777" w:rsidR="00394471" w:rsidRPr="00FA0D37" w:rsidRDefault="00394471" w:rsidP="00FA0D37">
      <w:pPr>
        <w:pStyle w:val="PL"/>
      </w:pPr>
    </w:p>
    <w:p w14:paraId="52BA1E89" w14:textId="77777777" w:rsidR="00394471" w:rsidRPr="00FA0D37" w:rsidRDefault="00394471" w:rsidP="00FA0D37">
      <w:pPr>
        <w:pStyle w:val="PL"/>
      </w:pPr>
      <w:r w:rsidRPr="00FA0D37">
        <w:t xml:space="preserve">CSI-RS-IM-ReceptionForFeedback ::=              </w:t>
      </w:r>
      <w:r w:rsidRPr="00FA0D37">
        <w:rPr>
          <w:color w:val="993366"/>
        </w:rPr>
        <w:t>SEQUENCE</w:t>
      </w:r>
      <w:r w:rsidRPr="00FA0D37">
        <w:t xml:space="preserve"> {</w:t>
      </w:r>
    </w:p>
    <w:p w14:paraId="49323DA5" w14:textId="77777777" w:rsidR="00394471" w:rsidRPr="00FA0D37" w:rsidRDefault="00394471" w:rsidP="00FA0D37">
      <w:pPr>
        <w:pStyle w:val="PL"/>
      </w:pPr>
      <w:r w:rsidRPr="00FA0D37">
        <w:t xml:space="preserve">    maxConfigNumberNZP-CSI-RS-PerCC                 </w:t>
      </w:r>
      <w:r w:rsidRPr="00FA0D37">
        <w:rPr>
          <w:color w:val="993366"/>
        </w:rPr>
        <w:t>INTEGER</w:t>
      </w:r>
      <w:r w:rsidRPr="00FA0D37">
        <w:t xml:space="preserve"> (1..64),</w:t>
      </w:r>
    </w:p>
    <w:p w14:paraId="2773AE8C" w14:textId="77777777" w:rsidR="00394471" w:rsidRPr="00FA0D37" w:rsidRDefault="00394471" w:rsidP="00FA0D37">
      <w:pPr>
        <w:pStyle w:val="PL"/>
      </w:pPr>
      <w:r w:rsidRPr="00FA0D37">
        <w:t xml:space="preserve">    maxConfigNumberPortsAcrossNZP-CSI-RS-PerCC      </w:t>
      </w:r>
      <w:r w:rsidRPr="00FA0D37">
        <w:rPr>
          <w:color w:val="993366"/>
        </w:rPr>
        <w:t>INTEGER</w:t>
      </w:r>
      <w:r w:rsidRPr="00FA0D37">
        <w:t xml:space="preserve"> (2..256),</w:t>
      </w:r>
    </w:p>
    <w:p w14:paraId="1BFBEEE7" w14:textId="77777777" w:rsidR="00394471" w:rsidRPr="00FA0D37" w:rsidRDefault="00394471" w:rsidP="00FA0D37">
      <w:pPr>
        <w:pStyle w:val="PL"/>
      </w:pPr>
      <w:r w:rsidRPr="00FA0D37">
        <w:t xml:space="preserve">    maxConfigNumberCSI-IM-PerCC                     </w:t>
      </w:r>
      <w:r w:rsidRPr="00FA0D37">
        <w:rPr>
          <w:color w:val="993366"/>
        </w:rPr>
        <w:t>ENUMERATED</w:t>
      </w:r>
      <w:r w:rsidRPr="00FA0D37">
        <w:t xml:space="preserve"> {n1, n2, n4, n8, n16, n32},</w:t>
      </w:r>
    </w:p>
    <w:p w14:paraId="2B08D6AE" w14:textId="77777777" w:rsidR="00394471" w:rsidRPr="00FA0D37" w:rsidRDefault="00394471" w:rsidP="00FA0D37">
      <w:pPr>
        <w:pStyle w:val="PL"/>
      </w:pPr>
      <w:r w:rsidRPr="00FA0D37">
        <w:t xml:space="preserve">    maxNumberSimultaneousNZP-CSI-RS-PerCC           </w:t>
      </w:r>
      <w:r w:rsidRPr="00FA0D37">
        <w:rPr>
          <w:color w:val="993366"/>
        </w:rPr>
        <w:t>INTEGER</w:t>
      </w:r>
      <w:r w:rsidRPr="00FA0D37">
        <w:t xml:space="preserve"> (1..64),</w:t>
      </w:r>
    </w:p>
    <w:p w14:paraId="0D20A4FC" w14:textId="77777777" w:rsidR="00394471" w:rsidRPr="00FA0D37" w:rsidRDefault="00394471" w:rsidP="00FA0D37">
      <w:pPr>
        <w:pStyle w:val="PL"/>
      </w:pPr>
      <w:r w:rsidRPr="00FA0D37">
        <w:t xml:space="preserve">    totalNumberPortsSimultaneousNZP-CSI-RS-PerCC    </w:t>
      </w:r>
      <w:r w:rsidRPr="00FA0D37">
        <w:rPr>
          <w:color w:val="993366"/>
        </w:rPr>
        <w:t>INTEGER</w:t>
      </w:r>
      <w:r w:rsidRPr="00FA0D37">
        <w:t xml:space="preserve"> (2..256)</w:t>
      </w:r>
    </w:p>
    <w:p w14:paraId="38660DDF" w14:textId="77777777" w:rsidR="00394471" w:rsidRPr="00FA0D37" w:rsidRDefault="00394471" w:rsidP="00FA0D37">
      <w:pPr>
        <w:pStyle w:val="PL"/>
      </w:pPr>
      <w:r w:rsidRPr="00FA0D37">
        <w:t>}</w:t>
      </w:r>
    </w:p>
    <w:p w14:paraId="3E2EF1F0" w14:textId="77777777" w:rsidR="00394471" w:rsidRPr="00FA0D37" w:rsidRDefault="00394471" w:rsidP="00FA0D37">
      <w:pPr>
        <w:pStyle w:val="PL"/>
      </w:pPr>
    </w:p>
    <w:p w14:paraId="2A045A6E" w14:textId="77777777" w:rsidR="00394471" w:rsidRPr="00FA0D37" w:rsidRDefault="00394471" w:rsidP="00FA0D37">
      <w:pPr>
        <w:pStyle w:val="PL"/>
      </w:pPr>
      <w:r w:rsidRPr="00FA0D37">
        <w:t xml:space="preserve">CSI-RS-ProcFrameworkForSRS ::=                  </w:t>
      </w:r>
      <w:r w:rsidRPr="00FA0D37">
        <w:rPr>
          <w:color w:val="993366"/>
        </w:rPr>
        <w:t>SEQUENCE</w:t>
      </w:r>
      <w:r w:rsidRPr="00FA0D37">
        <w:t xml:space="preserve"> {</w:t>
      </w:r>
    </w:p>
    <w:p w14:paraId="040E0A6D" w14:textId="77777777" w:rsidR="00394471" w:rsidRPr="00FA0D37" w:rsidRDefault="00394471" w:rsidP="00FA0D37">
      <w:pPr>
        <w:pStyle w:val="PL"/>
      </w:pPr>
      <w:r w:rsidRPr="00FA0D37">
        <w:t xml:space="preserve">    maxNumberPeriodicSRS-AssocCSI-RS-PerBWP         </w:t>
      </w:r>
      <w:r w:rsidRPr="00FA0D37">
        <w:rPr>
          <w:color w:val="993366"/>
        </w:rPr>
        <w:t>INTEGER</w:t>
      </w:r>
      <w:r w:rsidRPr="00FA0D37">
        <w:t xml:space="preserve"> (1..4),</w:t>
      </w:r>
    </w:p>
    <w:p w14:paraId="29B2B09F" w14:textId="77777777" w:rsidR="00394471" w:rsidRPr="00FA0D37" w:rsidRDefault="00394471" w:rsidP="00FA0D37">
      <w:pPr>
        <w:pStyle w:val="PL"/>
      </w:pPr>
      <w:r w:rsidRPr="00FA0D37">
        <w:t xml:space="preserve">    maxNumberAperiodicSRS-AssocCSI-RS-PerBWP        </w:t>
      </w:r>
      <w:r w:rsidRPr="00FA0D37">
        <w:rPr>
          <w:color w:val="993366"/>
        </w:rPr>
        <w:t>INTEGER</w:t>
      </w:r>
      <w:r w:rsidRPr="00FA0D37">
        <w:t xml:space="preserve"> (1..4),</w:t>
      </w:r>
    </w:p>
    <w:p w14:paraId="472E8001" w14:textId="77777777" w:rsidR="00394471" w:rsidRPr="00FA0D37" w:rsidRDefault="00394471" w:rsidP="00FA0D37">
      <w:pPr>
        <w:pStyle w:val="PL"/>
      </w:pPr>
      <w:r w:rsidRPr="00FA0D37">
        <w:t xml:space="preserve">    maxNumberSP-SRS-AssocCSI-RS-PerBWP              </w:t>
      </w:r>
      <w:r w:rsidRPr="00FA0D37">
        <w:rPr>
          <w:color w:val="993366"/>
        </w:rPr>
        <w:t>INTEGER</w:t>
      </w:r>
      <w:r w:rsidRPr="00FA0D37">
        <w:t xml:space="preserve"> (0..4),</w:t>
      </w:r>
    </w:p>
    <w:p w14:paraId="5DF181B3" w14:textId="77777777" w:rsidR="00394471" w:rsidRPr="00FA0D37" w:rsidRDefault="00394471" w:rsidP="00FA0D37">
      <w:pPr>
        <w:pStyle w:val="PL"/>
      </w:pPr>
      <w:r w:rsidRPr="00FA0D37">
        <w:t xml:space="preserve">    simultaneousSRS-AssocCSI-RS-PerCC               </w:t>
      </w:r>
      <w:r w:rsidRPr="00FA0D37">
        <w:rPr>
          <w:color w:val="993366"/>
        </w:rPr>
        <w:t>INTEGER</w:t>
      </w:r>
      <w:r w:rsidRPr="00FA0D37">
        <w:t xml:space="preserve"> (1..8)</w:t>
      </w:r>
    </w:p>
    <w:p w14:paraId="150999FB" w14:textId="77777777" w:rsidR="00394471" w:rsidRPr="00FA0D37" w:rsidRDefault="00394471" w:rsidP="00FA0D37">
      <w:pPr>
        <w:pStyle w:val="PL"/>
      </w:pPr>
      <w:r w:rsidRPr="00FA0D37">
        <w:t>}</w:t>
      </w:r>
    </w:p>
    <w:p w14:paraId="2C64DF84" w14:textId="77777777" w:rsidR="00394471" w:rsidRPr="00FA0D37" w:rsidRDefault="00394471" w:rsidP="00FA0D37">
      <w:pPr>
        <w:pStyle w:val="PL"/>
      </w:pPr>
    </w:p>
    <w:p w14:paraId="34DFA0AC" w14:textId="77777777" w:rsidR="00394471" w:rsidRPr="00FA0D37" w:rsidRDefault="00394471" w:rsidP="00FA0D37">
      <w:pPr>
        <w:pStyle w:val="PL"/>
      </w:pPr>
      <w:r w:rsidRPr="00FA0D37">
        <w:lastRenderedPageBreak/>
        <w:t xml:space="preserve">CSI-ReportFramework ::=                         </w:t>
      </w:r>
      <w:r w:rsidRPr="00FA0D37">
        <w:rPr>
          <w:color w:val="993366"/>
        </w:rPr>
        <w:t>SEQUENCE</w:t>
      </w:r>
      <w:r w:rsidRPr="00FA0D37">
        <w:t xml:space="preserve"> {</w:t>
      </w:r>
    </w:p>
    <w:p w14:paraId="0223B889" w14:textId="77777777" w:rsidR="00394471" w:rsidRPr="00FA0D37" w:rsidRDefault="00394471" w:rsidP="00FA0D37">
      <w:pPr>
        <w:pStyle w:val="PL"/>
      </w:pPr>
      <w:r w:rsidRPr="00FA0D37">
        <w:t xml:space="preserve">    maxNumberPeriodicCSI-PerBWP-ForCSI-Report       </w:t>
      </w:r>
      <w:r w:rsidRPr="00FA0D37">
        <w:rPr>
          <w:color w:val="993366"/>
        </w:rPr>
        <w:t>INTEGER</w:t>
      </w:r>
      <w:r w:rsidRPr="00FA0D37">
        <w:t xml:space="preserve"> (1..4),</w:t>
      </w:r>
    </w:p>
    <w:p w14:paraId="2F6B0F47" w14:textId="77777777" w:rsidR="00394471" w:rsidRPr="00FA0D37" w:rsidRDefault="00394471" w:rsidP="00FA0D37">
      <w:pPr>
        <w:pStyle w:val="PL"/>
      </w:pPr>
      <w:r w:rsidRPr="00FA0D37">
        <w:t xml:space="preserve">    maxNumberAperiodicCSI-PerBWP-ForCSI-Report      </w:t>
      </w:r>
      <w:r w:rsidRPr="00FA0D37">
        <w:rPr>
          <w:color w:val="993366"/>
        </w:rPr>
        <w:t>INTEGER</w:t>
      </w:r>
      <w:r w:rsidRPr="00FA0D37">
        <w:t xml:space="preserve"> (1..4),</w:t>
      </w:r>
    </w:p>
    <w:p w14:paraId="3935D06A" w14:textId="77777777" w:rsidR="00394471" w:rsidRPr="00FA0D37" w:rsidRDefault="00394471" w:rsidP="00FA0D37">
      <w:pPr>
        <w:pStyle w:val="PL"/>
      </w:pPr>
      <w:r w:rsidRPr="00FA0D37">
        <w:t xml:space="preserve">    maxNumberSemiPersistentCSI-PerBWP-ForCSI-Report </w:t>
      </w:r>
      <w:r w:rsidRPr="00FA0D37">
        <w:rPr>
          <w:color w:val="993366"/>
        </w:rPr>
        <w:t>INTEGER</w:t>
      </w:r>
      <w:r w:rsidRPr="00FA0D37">
        <w:t xml:space="preserve"> (0..4),</w:t>
      </w:r>
    </w:p>
    <w:p w14:paraId="60895723" w14:textId="77777777" w:rsidR="00394471" w:rsidRPr="00FA0D37" w:rsidRDefault="00394471" w:rsidP="00FA0D37">
      <w:pPr>
        <w:pStyle w:val="PL"/>
      </w:pPr>
      <w:r w:rsidRPr="00FA0D37">
        <w:t xml:space="preserve">    maxNumberPeriodicCSI-PerBWP-ForBeamReport       </w:t>
      </w:r>
      <w:r w:rsidRPr="00FA0D37">
        <w:rPr>
          <w:color w:val="993366"/>
        </w:rPr>
        <w:t>INTEGER</w:t>
      </w:r>
      <w:r w:rsidRPr="00FA0D37">
        <w:t xml:space="preserve"> (1..4),</w:t>
      </w:r>
    </w:p>
    <w:p w14:paraId="0FE0B162" w14:textId="77777777" w:rsidR="00394471" w:rsidRPr="00FA0D37" w:rsidRDefault="00394471" w:rsidP="00FA0D37">
      <w:pPr>
        <w:pStyle w:val="PL"/>
      </w:pPr>
      <w:r w:rsidRPr="00FA0D37">
        <w:t xml:space="preserve">    maxNumberAperiodicCSI-PerBWP-ForBeamReport      </w:t>
      </w:r>
      <w:r w:rsidRPr="00FA0D37">
        <w:rPr>
          <w:color w:val="993366"/>
        </w:rPr>
        <w:t>INTEGER</w:t>
      </w:r>
      <w:r w:rsidRPr="00FA0D37">
        <w:t xml:space="preserve"> (1..4),</w:t>
      </w:r>
    </w:p>
    <w:p w14:paraId="3A01C402" w14:textId="77777777" w:rsidR="00394471" w:rsidRPr="00FA0D37" w:rsidRDefault="00394471" w:rsidP="00FA0D37">
      <w:pPr>
        <w:pStyle w:val="PL"/>
      </w:pPr>
      <w:r w:rsidRPr="00FA0D37">
        <w:t xml:space="preserve">    maxNumberAperiodicCSI-triggeringStatePerCC      </w:t>
      </w:r>
      <w:r w:rsidRPr="00FA0D37">
        <w:rPr>
          <w:color w:val="993366"/>
        </w:rPr>
        <w:t>ENUMERATED</w:t>
      </w:r>
      <w:r w:rsidRPr="00FA0D37">
        <w:t xml:space="preserve"> {n3, n7, n15, n31, n63, n128},</w:t>
      </w:r>
    </w:p>
    <w:p w14:paraId="70C95E89" w14:textId="77777777" w:rsidR="00394471" w:rsidRPr="00FA0D37" w:rsidRDefault="00394471" w:rsidP="00FA0D37">
      <w:pPr>
        <w:pStyle w:val="PL"/>
      </w:pPr>
      <w:r w:rsidRPr="00FA0D37">
        <w:t xml:space="preserve">    maxNumberSemiPersistentCSI-PerBWP-ForBeamReport </w:t>
      </w:r>
      <w:r w:rsidRPr="00FA0D37">
        <w:rPr>
          <w:color w:val="993366"/>
        </w:rPr>
        <w:t>INTEGER</w:t>
      </w:r>
      <w:r w:rsidRPr="00FA0D37">
        <w:t xml:space="preserve"> (0..4),</w:t>
      </w:r>
    </w:p>
    <w:p w14:paraId="783C977E" w14:textId="77777777" w:rsidR="00394471" w:rsidRPr="00FA0D37" w:rsidRDefault="00394471" w:rsidP="00FA0D37">
      <w:pPr>
        <w:pStyle w:val="PL"/>
      </w:pPr>
      <w:r w:rsidRPr="00FA0D37">
        <w:t xml:space="preserve">    simultaneousCSI-ReportsPerCC                    </w:t>
      </w:r>
      <w:r w:rsidRPr="00FA0D37">
        <w:rPr>
          <w:color w:val="993366"/>
        </w:rPr>
        <w:t>INTEGER</w:t>
      </w:r>
      <w:r w:rsidRPr="00FA0D37">
        <w:t xml:space="preserve"> (1..8)</w:t>
      </w:r>
    </w:p>
    <w:p w14:paraId="478CA200" w14:textId="77777777" w:rsidR="00394471" w:rsidRPr="00FA0D37" w:rsidRDefault="00394471" w:rsidP="00FA0D37">
      <w:pPr>
        <w:pStyle w:val="PL"/>
      </w:pPr>
      <w:r w:rsidRPr="00FA0D37">
        <w:t>}</w:t>
      </w:r>
    </w:p>
    <w:p w14:paraId="792FC31F" w14:textId="77777777" w:rsidR="00394471" w:rsidRPr="00FA0D37" w:rsidRDefault="00394471" w:rsidP="00FA0D37">
      <w:pPr>
        <w:pStyle w:val="PL"/>
      </w:pPr>
    </w:p>
    <w:p w14:paraId="385D7665" w14:textId="77777777" w:rsidR="00394471" w:rsidRPr="00FA0D37" w:rsidRDefault="00394471" w:rsidP="00FA0D37">
      <w:pPr>
        <w:pStyle w:val="PL"/>
      </w:pPr>
      <w:r w:rsidRPr="00FA0D37">
        <w:t xml:space="preserve">CSI-ReportFrameworkExt-r16 ::=                      </w:t>
      </w:r>
      <w:r w:rsidRPr="00FA0D37">
        <w:rPr>
          <w:color w:val="993366"/>
        </w:rPr>
        <w:t>SEQUENCE</w:t>
      </w:r>
      <w:r w:rsidRPr="00FA0D37">
        <w:t xml:space="preserve"> {</w:t>
      </w:r>
    </w:p>
    <w:p w14:paraId="7493DD86" w14:textId="77777777" w:rsidR="00394471" w:rsidRPr="00FA0D37" w:rsidRDefault="00394471" w:rsidP="00FA0D37">
      <w:pPr>
        <w:pStyle w:val="PL"/>
      </w:pPr>
      <w:r w:rsidRPr="00FA0D37">
        <w:t xml:space="preserve">    maxNumberAperiodicCSI-PerBWP-ForCSI-ReportExt-r16   </w:t>
      </w:r>
      <w:r w:rsidRPr="00FA0D37">
        <w:rPr>
          <w:color w:val="993366"/>
        </w:rPr>
        <w:t>INTEGER</w:t>
      </w:r>
      <w:r w:rsidRPr="00FA0D37">
        <w:t xml:space="preserve"> (5..8)</w:t>
      </w:r>
    </w:p>
    <w:p w14:paraId="67A65FE7" w14:textId="77777777" w:rsidR="00394471" w:rsidRPr="00FA0D37" w:rsidRDefault="00394471" w:rsidP="00FA0D37">
      <w:pPr>
        <w:pStyle w:val="PL"/>
      </w:pPr>
      <w:r w:rsidRPr="00FA0D37">
        <w:t>}</w:t>
      </w:r>
    </w:p>
    <w:p w14:paraId="74BA156E" w14:textId="77777777" w:rsidR="00394471" w:rsidRPr="00FA0D37" w:rsidRDefault="00394471" w:rsidP="00FA0D37">
      <w:pPr>
        <w:pStyle w:val="PL"/>
      </w:pPr>
    </w:p>
    <w:p w14:paraId="21D5081C" w14:textId="77777777" w:rsidR="00394471" w:rsidRPr="00FA0D37" w:rsidRDefault="00394471" w:rsidP="00FA0D37">
      <w:pPr>
        <w:pStyle w:val="PL"/>
      </w:pPr>
      <w:r w:rsidRPr="00FA0D37">
        <w:t xml:space="preserve">PTRS-DensityRecommendationDL ::=    </w:t>
      </w:r>
      <w:r w:rsidRPr="00FA0D37">
        <w:rPr>
          <w:color w:val="993366"/>
        </w:rPr>
        <w:t>SEQUENCE</w:t>
      </w:r>
      <w:r w:rsidRPr="00FA0D37">
        <w:t xml:space="preserve"> {</w:t>
      </w:r>
    </w:p>
    <w:p w14:paraId="04A4EA6D" w14:textId="77777777" w:rsidR="00394471" w:rsidRPr="00FA0D37" w:rsidRDefault="00394471" w:rsidP="00FA0D37">
      <w:pPr>
        <w:pStyle w:val="PL"/>
      </w:pPr>
      <w:r w:rsidRPr="00FA0D37">
        <w:t xml:space="preserve">    frequencyDensity1                   </w:t>
      </w:r>
      <w:r w:rsidRPr="00FA0D37">
        <w:rPr>
          <w:color w:val="993366"/>
        </w:rPr>
        <w:t>INTEGER</w:t>
      </w:r>
      <w:r w:rsidRPr="00FA0D37">
        <w:t xml:space="preserve"> (1..276),</w:t>
      </w:r>
    </w:p>
    <w:p w14:paraId="45C1F951" w14:textId="77777777" w:rsidR="00394471" w:rsidRPr="00FA0D37" w:rsidRDefault="00394471" w:rsidP="00FA0D37">
      <w:pPr>
        <w:pStyle w:val="PL"/>
      </w:pPr>
      <w:r w:rsidRPr="00FA0D37">
        <w:t xml:space="preserve">    frequencyDensity2                   </w:t>
      </w:r>
      <w:r w:rsidRPr="00FA0D37">
        <w:rPr>
          <w:color w:val="993366"/>
        </w:rPr>
        <w:t>INTEGER</w:t>
      </w:r>
      <w:r w:rsidRPr="00FA0D37">
        <w:t xml:space="preserve"> (1..276),</w:t>
      </w:r>
    </w:p>
    <w:p w14:paraId="3D86683A" w14:textId="77777777" w:rsidR="00394471" w:rsidRPr="00FA0D37" w:rsidRDefault="00394471" w:rsidP="00FA0D37">
      <w:pPr>
        <w:pStyle w:val="PL"/>
      </w:pPr>
      <w:r w:rsidRPr="00FA0D37">
        <w:t xml:space="preserve">    timeDensity1                        </w:t>
      </w:r>
      <w:r w:rsidRPr="00FA0D37">
        <w:rPr>
          <w:color w:val="993366"/>
        </w:rPr>
        <w:t>INTEGER</w:t>
      </w:r>
      <w:r w:rsidRPr="00FA0D37">
        <w:t xml:space="preserve"> (0..29),</w:t>
      </w:r>
    </w:p>
    <w:p w14:paraId="68593DB4" w14:textId="77777777" w:rsidR="00394471" w:rsidRPr="00FA0D37" w:rsidRDefault="00394471" w:rsidP="00FA0D37">
      <w:pPr>
        <w:pStyle w:val="PL"/>
      </w:pPr>
      <w:r w:rsidRPr="00FA0D37">
        <w:t xml:space="preserve">    timeDensity2                        </w:t>
      </w:r>
      <w:r w:rsidRPr="00FA0D37">
        <w:rPr>
          <w:color w:val="993366"/>
        </w:rPr>
        <w:t>INTEGER</w:t>
      </w:r>
      <w:r w:rsidRPr="00FA0D37">
        <w:t xml:space="preserve"> (0..29),</w:t>
      </w:r>
    </w:p>
    <w:p w14:paraId="42A10AEA" w14:textId="77777777" w:rsidR="00394471" w:rsidRPr="00FA0D37" w:rsidRDefault="00394471" w:rsidP="00FA0D37">
      <w:pPr>
        <w:pStyle w:val="PL"/>
      </w:pPr>
      <w:r w:rsidRPr="00FA0D37">
        <w:t xml:space="preserve">    timeDensity3                        </w:t>
      </w:r>
      <w:r w:rsidRPr="00FA0D37">
        <w:rPr>
          <w:color w:val="993366"/>
        </w:rPr>
        <w:t>INTEGER</w:t>
      </w:r>
      <w:r w:rsidRPr="00FA0D37">
        <w:t xml:space="preserve"> (0..29)</w:t>
      </w:r>
    </w:p>
    <w:p w14:paraId="372C9BC2" w14:textId="77777777" w:rsidR="00394471" w:rsidRPr="00FA0D37" w:rsidRDefault="00394471" w:rsidP="00FA0D37">
      <w:pPr>
        <w:pStyle w:val="PL"/>
      </w:pPr>
      <w:r w:rsidRPr="00FA0D37">
        <w:t>}</w:t>
      </w:r>
    </w:p>
    <w:p w14:paraId="456038C5" w14:textId="77777777" w:rsidR="00394471" w:rsidRPr="00FA0D37" w:rsidRDefault="00394471" w:rsidP="00FA0D37">
      <w:pPr>
        <w:pStyle w:val="PL"/>
      </w:pPr>
    </w:p>
    <w:p w14:paraId="176EA87F" w14:textId="77777777" w:rsidR="00394471" w:rsidRPr="00FA0D37" w:rsidRDefault="00394471" w:rsidP="00FA0D37">
      <w:pPr>
        <w:pStyle w:val="PL"/>
      </w:pPr>
      <w:r w:rsidRPr="00FA0D37">
        <w:t xml:space="preserve">PTRS-DensityRecommendationUL ::=    </w:t>
      </w:r>
      <w:r w:rsidRPr="00FA0D37">
        <w:rPr>
          <w:color w:val="993366"/>
        </w:rPr>
        <w:t>SEQUENCE</w:t>
      </w:r>
      <w:r w:rsidRPr="00FA0D37">
        <w:t xml:space="preserve"> {</w:t>
      </w:r>
    </w:p>
    <w:p w14:paraId="0B42DC31" w14:textId="77777777" w:rsidR="00394471" w:rsidRPr="00FA0D37" w:rsidRDefault="00394471" w:rsidP="00FA0D37">
      <w:pPr>
        <w:pStyle w:val="PL"/>
      </w:pPr>
      <w:r w:rsidRPr="00FA0D37">
        <w:t xml:space="preserve">    frequencyDensity1                   </w:t>
      </w:r>
      <w:r w:rsidRPr="00FA0D37">
        <w:rPr>
          <w:color w:val="993366"/>
        </w:rPr>
        <w:t>INTEGER</w:t>
      </w:r>
      <w:r w:rsidRPr="00FA0D37">
        <w:t xml:space="preserve"> (1..276),</w:t>
      </w:r>
    </w:p>
    <w:p w14:paraId="1F06054A" w14:textId="77777777" w:rsidR="00394471" w:rsidRPr="00FA0D37" w:rsidRDefault="00394471" w:rsidP="00FA0D37">
      <w:pPr>
        <w:pStyle w:val="PL"/>
      </w:pPr>
      <w:r w:rsidRPr="00FA0D37">
        <w:t xml:space="preserve">    frequencyDensity2                   </w:t>
      </w:r>
      <w:r w:rsidRPr="00FA0D37">
        <w:rPr>
          <w:color w:val="993366"/>
        </w:rPr>
        <w:t>INTEGER</w:t>
      </w:r>
      <w:r w:rsidRPr="00FA0D37">
        <w:t xml:space="preserve"> (1..276),</w:t>
      </w:r>
    </w:p>
    <w:p w14:paraId="4505B848" w14:textId="77777777" w:rsidR="00394471" w:rsidRPr="00FA0D37" w:rsidRDefault="00394471" w:rsidP="00FA0D37">
      <w:pPr>
        <w:pStyle w:val="PL"/>
      </w:pPr>
      <w:r w:rsidRPr="00FA0D37">
        <w:t xml:space="preserve">    timeDensity1                        </w:t>
      </w:r>
      <w:r w:rsidRPr="00FA0D37">
        <w:rPr>
          <w:color w:val="993366"/>
        </w:rPr>
        <w:t>INTEGER</w:t>
      </w:r>
      <w:r w:rsidRPr="00FA0D37">
        <w:t xml:space="preserve"> (0..29),</w:t>
      </w:r>
    </w:p>
    <w:p w14:paraId="077B782D" w14:textId="77777777" w:rsidR="00394471" w:rsidRPr="00FA0D37" w:rsidRDefault="00394471" w:rsidP="00FA0D37">
      <w:pPr>
        <w:pStyle w:val="PL"/>
      </w:pPr>
      <w:r w:rsidRPr="00FA0D37">
        <w:t xml:space="preserve">    timeDensity2                        </w:t>
      </w:r>
      <w:r w:rsidRPr="00FA0D37">
        <w:rPr>
          <w:color w:val="993366"/>
        </w:rPr>
        <w:t>INTEGER</w:t>
      </w:r>
      <w:r w:rsidRPr="00FA0D37">
        <w:t xml:space="preserve"> (0..29),</w:t>
      </w:r>
    </w:p>
    <w:p w14:paraId="26BE1DE8" w14:textId="77777777" w:rsidR="00394471" w:rsidRPr="00FA0D37" w:rsidRDefault="00394471" w:rsidP="00FA0D37">
      <w:pPr>
        <w:pStyle w:val="PL"/>
      </w:pPr>
      <w:r w:rsidRPr="00FA0D37">
        <w:t xml:space="preserve">    timeDensity3                        </w:t>
      </w:r>
      <w:r w:rsidRPr="00FA0D37">
        <w:rPr>
          <w:color w:val="993366"/>
        </w:rPr>
        <w:t>INTEGER</w:t>
      </w:r>
      <w:r w:rsidRPr="00FA0D37">
        <w:t xml:space="preserve"> (0..29),</w:t>
      </w:r>
    </w:p>
    <w:p w14:paraId="668E12AA" w14:textId="77777777" w:rsidR="00394471" w:rsidRPr="00FA0D37" w:rsidRDefault="00394471" w:rsidP="00FA0D37">
      <w:pPr>
        <w:pStyle w:val="PL"/>
      </w:pPr>
      <w:r w:rsidRPr="00FA0D37">
        <w:t xml:space="preserve">    sampleDensity1                      </w:t>
      </w:r>
      <w:r w:rsidRPr="00FA0D37">
        <w:rPr>
          <w:color w:val="993366"/>
        </w:rPr>
        <w:t>INTEGER</w:t>
      </w:r>
      <w:r w:rsidRPr="00FA0D37">
        <w:t xml:space="preserve"> (1..276),</w:t>
      </w:r>
    </w:p>
    <w:p w14:paraId="736EE53D" w14:textId="77777777" w:rsidR="00394471" w:rsidRPr="00FA0D37" w:rsidRDefault="00394471" w:rsidP="00FA0D37">
      <w:pPr>
        <w:pStyle w:val="PL"/>
      </w:pPr>
      <w:r w:rsidRPr="00FA0D37">
        <w:t xml:space="preserve">    sampleDensity2                      </w:t>
      </w:r>
      <w:r w:rsidRPr="00FA0D37">
        <w:rPr>
          <w:color w:val="993366"/>
        </w:rPr>
        <w:t>INTEGER</w:t>
      </w:r>
      <w:r w:rsidRPr="00FA0D37">
        <w:t xml:space="preserve"> (1..276),</w:t>
      </w:r>
    </w:p>
    <w:p w14:paraId="005D3B11" w14:textId="77777777" w:rsidR="00394471" w:rsidRPr="00FA0D37" w:rsidRDefault="00394471" w:rsidP="00FA0D37">
      <w:pPr>
        <w:pStyle w:val="PL"/>
      </w:pPr>
      <w:r w:rsidRPr="00FA0D37">
        <w:t xml:space="preserve">    sampleDensity3                      </w:t>
      </w:r>
      <w:r w:rsidRPr="00FA0D37">
        <w:rPr>
          <w:color w:val="993366"/>
        </w:rPr>
        <w:t>INTEGER</w:t>
      </w:r>
      <w:r w:rsidRPr="00FA0D37">
        <w:t xml:space="preserve"> (1..276),</w:t>
      </w:r>
    </w:p>
    <w:p w14:paraId="13AFAFDA" w14:textId="77777777" w:rsidR="00394471" w:rsidRPr="00FA0D37" w:rsidRDefault="00394471" w:rsidP="00FA0D37">
      <w:pPr>
        <w:pStyle w:val="PL"/>
      </w:pPr>
      <w:r w:rsidRPr="00FA0D37">
        <w:t xml:space="preserve">    sampleDensity4                      </w:t>
      </w:r>
      <w:r w:rsidRPr="00FA0D37">
        <w:rPr>
          <w:color w:val="993366"/>
        </w:rPr>
        <w:t>INTEGER</w:t>
      </w:r>
      <w:r w:rsidRPr="00FA0D37">
        <w:t xml:space="preserve"> (1..276),</w:t>
      </w:r>
    </w:p>
    <w:p w14:paraId="55FA0C45" w14:textId="77777777" w:rsidR="00394471" w:rsidRPr="00FA0D37" w:rsidRDefault="00394471" w:rsidP="00FA0D37">
      <w:pPr>
        <w:pStyle w:val="PL"/>
      </w:pPr>
      <w:r w:rsidRPr="00FA0D37">
        <w:t xml:space="preserve">    sampleDensity5                      </w:t>
      </w:r>
      <w:r w:rsidRPr="00FA0D37">
        <w:rPr>
          <w:color w:val="993366"/>
        </w:rPr>
        <w:t>INTEGER</w:t>
      </w:r>
      <w:r w:rsidRPr="00FA0D37">
        <w:t xml:space="preserve"> (1..276)</w:t>
      </w:r>
    </w:p>
    <w:p w14:paraId="74B5A59C" w14:textId="77777777" w:rsidR="00394471" w:rsidRPr="00FA0D37" w:rsidRDefault="00394471" w:rsidP="00FA0D37">
      <w:pPr>
        <w:pStyle w:val="PL"/>
      </w:pPr>
      <w:r w:rsidRPr="00FA0D37">
        <w:t>}</w:t>
      </w:r>
    </w:p>
    <w:p w14:paraId="779F4F53" w14:textId="77777777" w:rsidR="00394471" w:rsidRPr="00FA0D37" w:rsidRDefault="00394471" w:rsidP="00FA0D37">
      <w:pPr>
        <w:pStyle w:val="PL"/>
      </w:pPr>
    </w:p>
    <w:p w14:paraId="35B31485" w14:textId="77777777" w:rsidR="00394471" w:rsidRPr="00FA0D37" w:rsidRDefault="00394471" w:rsidP="00FA0D37">
      <w:pPr>
        <w:pStyle w:val="PL"/>
      </w:pPr>
      <w:r w:rsidRPr="00FA0D37">
        <w:t xml:space="preserve">SpatialRelations ::=                    </w:t>
      </w:r>
      <w:r w:rsidRPr="00FA0D37">
        <w:rPr>
          <w:color w:val="993366"/>
        </w:rPr>
        <w:t>SEQUENCE</w:t>
      </w:r>
      <w:r w:rsidRPr="00FA0D37">
        <w:t xml:space="preserve"> {</w:t>
      </w:r>
    </w:p>
    <w:p w14:paraId="3227056A" w14:textId="77777777" w:rsidR="00394471" w:rsidRPr="00FA0D37" w:rsidRDefault="00394471" w:rsidP="00FA0D37">
      <w:pPr>
        <w:pStyle w:val="PL"/>
      </w:pPr>
      <w:r w:rsidRPr="00FA0D37">
        <w:t xml:space="preserve">    maxNumberConfiguredSpatialRelations     </w:t>
      </w:r>
      <w:r w:rsidRPr="00FA0D37">
        <w:rPr>
          <w:color w:val="993366"/>
        </w:rPr>
        <w:t>ENUMERATED</w:t>
      </w:r>
      <w:r w:rsidRPr="00FA0D37">
        <w:t xml:space="preserve"> {n4, n8, n16, n32, n64, n96},</w:t>
      </w:r>
    </w:p>
    <w:p w14:paraId="1E0777D8" w14:textId="77777777" w:rsidR="00394471" w:rsidRPr="00FA0D37" w:rsidRDefault="00394471" w:rsidP="00FA0D37">
      <w:pPr>
        <w:pStyle w:val="PL"/>
      </w:pPr>
      <w:r w:rsidRPr="00FA0D37">
        <w:t xml:space="preserve">    maxNumberActiveSpatialRelations         </w:t>
      </w:r>
      <w:r w:rsidRPr="00FA0D37">
        <w:rPr>
          <w:color w:val="993366"/>
        </w:rPr>
        <w:t>ENUMERATED</w:t>
      </w:r>
      <w:r w:rsidRPr="00FA0D37">
        <w:t xml:space="preserve"> {n1, n2, n4, n8, n14},</w:t>
      </w:r>
    </w:p>
    <w:p w14:paraId="1F8D661F" w14:textId="77777777" w:rsidR="00394471" w:rsidRPr="00FA0D37" w:rsidRDefault="00394471" w:rsidP="00FA0D37">
      <w:pPr>
        <w:pStyle w:val="PL"/>
      </w:pPr>
      <w:r w:rsidRPr="00FA0D37">
        <w:t xml:space="preserve">    additionalActiveSpatialRelationPUCCH    </w:t>
      </w:r>
      <w:r w:rsidRPr="00FA0D37">
        <w:rPr>
          <w:color w:val="993366"/>
        </w:rPr>
        <w:t>ENUMERATED</w:t>
      </w:r>
      <w:r w:rsidRPr="00FA0D37">
        <w:t xml:space="preserve"> {supported}                              </w:t>
      </w:r>
      <w:r w:rsidRPr="00FA0D37">
        <w:rPr>
          <w:color w:val="993366"/>
        </w:rPr>
        <w:t>OPTIONAL</w:t>
      </w:r>
      <w:r w:rsidRPr="00FA0D37">
        <w:t>,</w:t>
      </w:r>
    </w:p>
    <w:p w14:paraId="0E938623" w14:textId="77777777" w:rsidR="00394471" w:rsidRPr="00FA0D37" w:rsidRDefault="00394471" w:rsidP="00FA0D37">
      <w:pPr>
        <w:pStyle w:val="PL"/>
      </w:pPr>
      <w:r w:rsidRPr="00FA0D37">
        <w:t xml:space="preserve">    maxNumberDL-RS-QCL-TypeD                </w:t>
      </w:r>
      <w:r w:rsidRPr="00FA0D37">
        <w:rPr>
          <w:color w:val="993366"/>
        </w:rPr>
        <w:t>ENUMERATED</w:t>
      </w:r>
      <w:r w:rsidRPr="00FA0D37">
        <w:t xml:space="preserve"> {n1, n2, n4, n8, n14}</w:t>
      </w:r>
    </w:p>
    <w:p w14:paraId="4C8D9C25" w14:textId="77777777" w:rsidR="00394471" w:rsidRPr="00FA0D37" w:rsidRDefault="00394471" w:rsidP="00FA0D37">
      <w:pPr>
        <w:pStyle w:val="PL"/>
      </w:pPr>
      <w:r w:rsidRPr="00FA0D37">
        <w:t>}</w:t>
      </w:r>
    </w:p>
    <w:p w14:paraId="6FAC1074" w14:textId="77777777" w:rsidR="00394471" w:rsidRPr="00FA0D37" w:rsidRDefault="00394471" w:rsidP="00FA0D37">
      <w:pPr>
        <w:pStyle w:val="PL"/>
      </w:pPr>
    </w:p>
    <w:p w14:paraId="37002A40" w14:textId="77777777" w:rsidR="00394471" w:rsidRPr="00FA0D37" w:rsidRDefault="00394471" w:rsidP="00FA0D37">
      <w:pPr>
        <w:pStyle w:val="PL"/>
      </w:pPr>
      <w:r w:rsidRPr="00FA0D37">
        <w:t xml:space="preserve">DummyI ::=               </w:t>
      </w:r>
      <w:r w:rsidRPr="00FA0D37">
        <w:rPr>
          <w:color w:val="993366"/>
        </w:rPr>
        <w:t>SEQUENCE</w:t>
      </w:r>
      <w:r w:rsidRPr="00FA0D37">
        <w:t xml:space="preserve"> {</w:t>
      </w:r>
    </w:p>
    <w:p w14:paraId="1C61B9AF" w14:textId="77777777" w:rsidR="00394471" w:rsidRPr="00FA0D37" w:rsidRDefault="00394471" w:rsidP="00FA0D37">
      <w:pPr>
        <w:pStyle w:val="PL"/>
      </w:pPr>
      <w:r w:rsidRPr="00FA0D37">
        <w:t xml:space="preserve">    supportedSRS-TxPortSwitch           </w:t>
      </w:r>
      <w:r w:rsidRPr="00FA0D37">
        <w:rPr>
          <w:color w:val="993366"/>
        </w:rPr>
        <w:t>ENUMERATED</w:t>
      </w:r>
      <w:r w:rsidRPr="00FA0D37">
        <w:t xml:space="preserve"> {t1r2, t1r4, t2r4, t1r4-t2r4, tr-equal},</w:t>
      </w:r>
    </w:p>
    <w:p w14:paraId="6C1D3FA5" w14:textId="77777777" w:rsidR="00394471" w:rsidRPr="00FA0D37" w:rsidRDefault="00394471" w:rsidP="00FA0D37">
      <w:pPr>
        <w:pStyle w:val="PL"/>
      </w:pPr>
      <w:r w:rsidRPr="00FA0D37">
        <w:t xml:space="preserve">    txSwitchImpactToRx                  </w:t>
      </w:r>
      <w:r w:rsidRPr="00FA0D37">
        <w:rPr>
          <w:color w:val="993366"/>
        </w:rPr>
        <w:t>ENUMERATED</w:t>
      </w:r>
      <w:r w:rsidRPr="00FA0D37">
        <w:t xml:space="preserve"> {true}                                       </w:t>
      </w:r>
      <w:r w:rsidRPr="00FA0D37">
        <w:rPr>
          <w:color w:val="993366"/>
        </w:rPr>
        <w:t>OPTIONAL</w:t>
      </w:r>
    </w:p>
    <w:p w14:paraId="391F8B50" w14:textId="77777777" w:rsidR="00394471" w:rsidRPr="00FA0D37" w:rsidRDefault="00394471" w:rsidP="00FA0D37">
      <w:pPr>
        <w:pStyle w:val="PL"/>
      </w:pPr>
      <w:r w:rsidRPr="00FA0D37">
        <w:t>}</w:t>
      </w:r>
    </w:p>
    <w:p w14:paraId="42C1BA96" w14:textId="77777777" w:rsidR="00C511AD" w:rsidRPr="00FA0D37" w:rsidRDefault="00C511AD" w:rsidP="00FA0D37">
      <w:pPr>
        <w:pStyle w:val="PL"/>
      </w:pPr>
    </w:p>
    <w:p w14:paraId="1D1FDC25" w14:textId="187F60EE" w:rsidR="00C511AD" w:rsidRPr="00FA0D37" w:rsidRDefault="00C511AD" w:rsidP="00FA0D37">
      <w:pPr>
        <w:pStyle w:val="PL"/>
      </w:pPr>
      <w:r w:rsidRPr="00FA0D37">
        <w:t xml:space="preserve">CSI-MultiTRP-SupportedCombinations-r17 ::= </w:t>
      </w:r>
      <w:r w:rsidRPr="00FA0D37">
        <w:rPr>
          <w:color w:val="993366"/>
        </w:rPr>
        <w:t>SEQUENCE</w:t>
      </w:r>
      <w:r w:rsidRPr="00FA0D37">
        <w:t xml:space="preserve"> {</w:t>
      </w:r>
    </w:p>
    <w:p w14:paraId="6A4D2E23" w14:textId="2FF59BC6" w:rsidR="00C511AD" w:rsidRPr="00FA0D37" w:rsidRDefault="00C511AD" w:rsidP="00FA0D37">
      <w:pPr>
        <w:pStyle w:val="PL"/>
      </w:pPr>
      <w:r w:rsidRPr="00FA0D37">
        <w:t xml:space="preserve">    maxNumTx-Ports-r17                         </w:t>
      </w:r>
      <w:r w:rsidRPr="00FA0D37">
        <w:rPr>
          <w:color w:val="993366"/>
        </w:rPr>
        <w:t>ENUMERATED</w:t>
      </w:r>
      <w:r w:rsidRPr="00FA0D37">
        <w:t xml:space="preserve"> {n2, n4, n8, n12, n16, n24, n32},</w:t>
      </w:r>
    </w:p>
    <w:p w14:paraId="2DEFE57C" w14:textId="4F69C585" w:rsidR="00C511AD" w:rsidRPr="00FA0D37" w:rsidRDefault="00C511AD" w:rsidP="00FA0D37">
      <w:pPr>
        <w:pStyle w:val="PL"/>
      </w:pPr>
      <w:r w:rsidRPr="00FA0D37">
        <w:t xml:space="preserve">    maxTotalNumCMR-r17                         </w:t>
      </w:r>
      <w:r w:rsidRPr="00FA0D37">
        <w:rPr>
          <w:color w:val="993366"/>
        </w:rPr>
        <w:t>INTEGER</w:t>
      </w:r>
      <w:r w:rsidRPr="00FA0D37">
        <w:t xml:space="preserve"> (2..64),</w:t>
      </w:r>
    </w:p>
    <w:p w14:paraId="674387AF" w14:textId="6BF1BC64" w:rsidR="00C511AD" w:rsidRPr="00FA0D37" w:rsidRDefault="00C511AD" w:rsidP="00FA0D37">
      <w:pPr>
        <w:pStyle w:val="PL"/>
      </w:pPr>
      <w:r w:rsidRPr="00FA0D37">
        <w:lastRenderedPageBreak/>
        <w:t xml:space="preserve">    maxTotalNumTx-PortsNZP-CSI-RS-r17          </w:t>
      </w:r>
      <w:r w:rsidRPr="00FA0D37">
        <w:rPr>
          <w:color w:val="993366"/>
        </w:rPr>
        <w:t>INTEGER</w:t>
      </w:r>
      <w:r w:rsidRPr="00FA0D37">
        <w:t xml:space="preserve"> (2..256)</w:t>
      </w:r>
    </w:p>
    <w:p w14:paraId="5553B9F6" w14:textId="698E7CF1" w:rsidR="00C511AD" w:rsidRPr="00FA0D37" w:rsidRDefault="00C511AD" w:rsidP="00FA0D37">
      <w:pPr>
        <w:pStyle w:val="PL"/>
      </w:pPr>
      <w:r w:rsidRPr="00FA0D37">
        <w:t>}</w:t>
      </w:r>
    </w:p>
    <w:p w14:paraId="1A5C26E9" w14:textId="77777777" w:rsidR="00C511AD" w:rsidRPr="00FA0D37" w:rsidRDefault="00C511AD" w:rsidP="00FA0D37">
      <w:pPr>
        <w:pStyle w:val="PL"/>
      </w:pPr>
    </w:p>
    <w:p w14:paraId="78D2ADD0" w14:textId="77777777" w:rsidR="00394471" w:rsidRPr="00FA0D37" w:rsidRDefault="00394471" w:rsidP="00FA0D37">
      <w:pPr>
        <w:pStyle w:val="PL"/>
        <w:rPr>
          <w:color w:val="808080"/>
        </w:rPr>
      </w:pPr>
      <w:r w:rsidRPr="00FA0D37">
        <w:rPr>
          <w:color w:val="808080"/>
        </w:rPr>
        <w:t>-- TAG-MIMO-PARAMETERSPERBAND-STOP</w:t>
      </w:r>
    </w:p>
    <w:p w14:paraId="45630EF4" w14:textId="77777777" w:rsidR="00394471" w:rsidRPr="00FA0D37" w:rsidRDefault="00394471" w:rsidP="00FA0D37">
      <w:pPr>
        <w:pStyle w:val="PL"/>
        <w:rPr>
          <w:color w:val="808080"/>
        </w:rPr>
      </w:pPr>
      <w:r w:rsidRPr="00FA0D37">
        <w:rPr>
          <w:color w:val="808080"/>
        </w:rPr>
        <w:t>-- ASN1STOP</w:t>
      </w:r>
    </w:p>
    <w:p w14:paraId="0441935E" w14:textId="77777777" w:rsidR="00394471" w:rsidRPr="00FA0D37"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5C7FF4" w:rsidRPr="00FA0D37" w14:paraId="593278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2BF1FC3" w14:textId="26BD23B4" w:rsidR="00394471" w:rsidRPr="00FA0D37" w:rsidRDefault="00394471" w:rsidP="00964CC4">
            <w:pPr>
              <w:pStyle w:val="TAH"/>
              <w:rPr>
                <w:bCs/>
                <w:i/>
                <w:iCs/>
                <w:lang w:eastAsia="sv-SE"/>
              </w:rPr>
            </w:pPr>
            <w:r w:rsidRPr="00FA0D37">
              <w:rPr>
                <w:bCs/>
                <w:i/>
                <w:iCs/>
                <w:lang w:eastAsia="sv-SE"/>
              </w:rPr>
              <w:t>MIMO-ParametersPerBand</w:t>
            </w:r>
            <w:r w:rsidRPr="00FA0D37">
              <w:rPr>
                <w:bCs/>
                <w:lang w:eastAsia="sv-SE"/>
              </w:rPr>
              <w:t xml:space="preserve"> field description</w:t>
            </w:r>
            <w:r w:rsidR="002372B3" w:rsidRPr="00FA0D37">
              <w:rPr>
                <w:bCs/>
                <w:lang w:eastAsia="sv-SE"/>
              </w:rPr>
              <w:t>s</w:t>
            </w:r>
          </w:p>
        </w:tc>
      </w:tr>
      <w:tr w:rsidR="005C7FF4" w:rsidRPr="00FA0D37" w14:paraId="3B9E174D" w14:textId="77777777" w:rsidTr="00964CC4">
        <w:tc>
          <w:tcPr>
            <w:tcW w:w="14281" w:type="dxa"/>
            <w:tcBorders>
              <w:top w:val="single" w:sz="4" w:space="0" w:color="auto"/>
              <w:left w:val="single" w:sz="4" w:space="0" w:color="auto"/>
              <w:bottom w:val="single" w:sz="4" w:space="0" w:color="auto"/>
              <w:right w:val="single" w:sz="4" w:space="0" w:color="auto"/>
            </w:tcBorders>
          </w:tcPr>
          <w:p w14:paraId="0054C91B" w14:textId="77777777" w:rsidR="00394471" w:rsidRPr="00FA0D37" w:rsidRDefault="00394471" w:rsidP="00964CC4">
            <w:pPr>
              <w:pStyle w:val="TAL"/>
              <w:rPr>
                <w:b/>
                <w:bCs/>
                <w:i/>
                <w:iCs/>
                <w:lang w:eastAsia="sv-SE"/>
              </w:rPr>
            </w:pPr>
            <w:r w:rsidRPr="00FA0D37">
              <w:rPr>
                <w:b/>
                <w:bCs/>
                <w:i/>
                <w:iCs/>
                <w:lang w:eastAsia="sv-SE"/>
              </w:rPr>
              <w:t>codebookParametersPerBand</w:t>
            </w:r>
          </w:p>
          <w:p w14:paraId="4FB3B11A" w14:textId="3C1F4A58" w:rsidR="00394471" w:rsidRPr="00FA0D37" w:rsidRDefault="00394471" w:rsidP="00926AC0">
            <w:pPr>
              <w:pStyle w:val="TAL"/>
              <w:rPr>
                <w:bCs/>
                <w:iCs/>
                <w:lang w:eastAsia="sv-SE"/>
              </w:rPr>
            </w:pPr>
            <w:r w:rsidRPr="00FA0D37">
              <w:rPr>
                <w:rFonts w:eastAsiaTheme="minorEastAsia"/>
                <w:bCs/>
                <w:iCs/>
              </w:rPr>
              <w:t xml:space="preserve">For a given frequency band, this field this field indicates the alternative list of </w:t>
            </w:r>
            <w:r w:rsidRPr="00FA0D37">
              <w:rPr>
                <w:rFonts w:eastAsiaTheme="minorEastAsia"/>
                <w:bCs/>
                <w:i/>
                <w:iCs/>
              </w:rPr>
              <w:t>SupportedCSI-RS-Resource</w:t>
            </w:r>
            <w:r w:rsidRPr="00FA0D37">
              <w:rPr>
                <w:rFonts w:eastAsiaTheme="minorEastAsia"/>
                <w:bCs/>
                <w:iCs/>
              </w:rPr>
              <w:t xml:space="preserve"> supported for each codebook type. The supported CSI-RS resources indicated by this field are referred by </w:t>
            </w:r>
            <w:r w:rsidRPr="00FA0D37">
              <w:rPr>
                <w:rFonts w:eastAsiaTheme="minorEastAsia"/>
                <w:bCs/>
                <w:i/>
                <w:iCs/>
              </w:rPr>
              <w:t>codebookParametersperBC</w:t>
            </w:r>
            <w:r w:rsidRPr="00FA0D37">
              <w:rPr>
                <w:rFonts w:eastAsiaTheme="minorEastAsia"/>
                <w:bCs/>
                <w:iCs/>
              </w:rPr>
              <w:t xml:space="preserve"> in </w:t>
            </w:r>
            <w:r w:rsidRPr="00FA0D37">
              <w:rPr>
                <w:rFonts w:eastAsiaTheme="minorEastAsia"/>
                <w:bCs/>
                <w:i/>
                <w:iCs/>
              </w:rPr>
              <w:t>CA-ParametersNR</w:t>
            </w:r>
            <w:r w:rsidRPr="00FA0D37">
              <w:rPr>
                <w:rFonts w:eastAsiaTheme="minorEastAsia"/>
                <w:bCs/>
                <w:iCs/>
              </w:rPr>
              <w:t xml:space="preserve"> to indicate the supported CSI-RS </w:t>
            </w:r>
            <w:r w:rsidR="00926AC0" w:rsidRPr="00FA0D37">
              <w:rPr>
                <w:rFonts w:eastAsiaTheme="minorEastAsia"/>
                <w:bCs/>
                <w:iCs/>
              </w:rPr>
              <w:t>resource</w:t>
            </w:r>
            <w:r w:rsidRPr="00FA0D37">
              <w:rPr>
                <w:rFonts w:eastAsiaTheme="minorEastAsia"/>
                <w:bCs/>
                <w:iCs/>
              </w:rPr>
              <w:t xml:space="preserve"> per band combination.</w:t>
            </w:r>
          </w:p>
        </w:tc>
      </w:tr>
      <w:tr w:rsidR="005C7FF4" w:rsidRPr="00FA0D37" w14:paraId="1FA8F9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AF0B991" w14:textId="77777777" w:rsidR="00394471" w:rsidRPr="00FA0D37" w:rsidRDefault="00394471" w:rsidP="00964CC4">
            <w:pPr>
              <w:pStyle w:val="TAL"/>
              <w:rPr>
                <w:b/>
                <w:bCs/>
                <w:i/>
                <w:iCs/>
                <w:lang w:eastAsia="sv-SE"/>
              </w:rPr>
            </w:pPr>
            <w:r w:rsidRPr="00FA0D37">
              <w:rPr>
                <w:b/>
                <w:bCs/>
                <w:i/>
                <w:iCs/>
                <w:lang w:eastAsia="sv-SE"/>
              </w:rPr>
              <w:t>csi-RS-IM-ReceptionForFeedback/ csi-RS-ProcFrameworkForSRS/ csi-ReportFramework</w:t>
            </w:r>
          </w:p>
          <w:p w14:paraId="400BCC4A" w14:textId="77777777" w:rsidR="00394471" w:rsidRPr="00FA0D37" w:rsidRDefault="00394471" w:rsidP="00964CC4">
            <w:pPr>
              <w:pStyle w:val="TAL"/>
              <w:rPr>
                <w:lang w:eastAsia="sv-SE"/>
              </w:rPr>
            </w:pPr>
            <w:r w:rsidRPr="00FA0D37">
              <w:rPr>
                <w:rFonts w:eastAsia="MS Mincho"/>
                <w:lang w:eastAsia="sv-SE"/>
              </w:rPr>
              <w:t xml:space="preserve">CSI related capabilities which the UE supports on each of the carriers operated on this band. </w:t>
            </w:r>
            <w:r w:rsidRPr="00FA0D37">
              <w:rPr>
                <w:rFonts w:eastAsia="MS Mincho"/>
              </w:rPr>
              <w:t xml:space="preserve">If the network configures the UE with serving cells on both </w:t>
            </w:r>
            <w:r w:rsidRPr="00FA0D37">
              <w:rPr>
                <w:rFonts w:eastAsia="MS Mincho"/>
                <w:lang w:eastAsia="sv-SE"/>
              </w:rPr>
              <w:t xml:space="preserve">FR1 and FR2 bands these values may be further limited by the corresponding fields in </w:t>
            </w:r>
            <w:r w:rsidRPr="00FA0D37">
              <w:rPr>
                <w:rFonts w:eastAsia="MS Mincho"/>
                <w:i/>
              </w:rPr>
              <w:t>fr1-fr2-Add-UE-NR-Capabilities</w:t>
            </w:r>
            <w:r w:rsidRPr="00FA0D37">
              <w:rPr>
                <w:rFonts w:eastAsia="MS Mincho"/>
                <w:lang w:eastAsia="sv-SE"/>
              </w:rPr>
              <w:t>.</w:t>
            </w:r>
          </w:p>
        </w:tc>
      </w:tr>
      <w:tr w:rsidR="00D27132" w:rsidRPr="00FA0D37" w14:paraId="4D26DB06" w14:textId="77777777" w:rsidTr="00A02C93">
        <w:tc>
          <w:tcPr>
            <w:tcW w:w="14281" w:type="dxa"/>
            <w:tcBorders>
              <w:top w:val="single" w:sz="4" w:space="0" w:color="auto"/>
              <w:left w:val="single" w:sz="4" w:space="0" w:color="auto"/>
              <w:bottom w:val="single" w:sz="4" w:space="0" w:color="auto"/>
              <w:right w:val="single" w:sz="4" w:space="0" w:color="auto"/>
            </w:tcBorders>
            <w:hideMark/>
          </w:tcPr>
          <w:p w14:paraId="3A3F8B5E" w14:textId="1773F10E" w:rsidR="00A02C93" w:rsidRPr="00FA0D37" w:rsidRDefault="00A02C93" w:rsidP="00A02C93">
            <w:pPr>
              <w:pStyle w:val="TAL"/>
              <w:rPr>
                <w:b/>
                <w:bCs/>
                <w:i/>
                <w:iCs/>
                <w:lang w:eastAsia="sv-SE"/>
              </w:rPr>
            </w:pPr>
            <w:r w:rsidRPr="00FA0D37">
              <w:rPr>
                <w:b/>
                <w:bCs/>
                <w:i/>
                <w:iCs/>
                <w:lang w:eastAsia="sv-SE"/>
              </w:rPr>
              <w:t>supportNewDMRS-Port</w:t>
            </w:r>
          </w:p>
          <w:p w14:paraId="32D26985" w14:textId="77777777" w:rsidR="00A02C93" w:rsidRPr="00FA0D37" w:rsidRDefault="00A02C93" w:rsidP="00A02C93">
            <w:pPr>
              <w:pStyle w:val="TAL"/>
              <w:rPr>
                <w:lang w:eastAsia="sv-SE"/>
              </w:rPr>
            </w:pPr>
            <w:r w:rsidRPr="00FA0D37">
              <w:rPr>
                <w:lang w:eastAsia="sv-SE"/>
              </w:rPr>
              <w:t xml:space="preserve">Presence of this field set to </w:t>
            </w:r>
            <w:r w:rsidRPr="00FA0D37">
              <w:rPr>
                <w:i/>
                <w:iCs/>
                <w:lang w:eastAsia="sv-SE"/>
              </w:rPr>
              <w:t>supported1</w:t>
            </w:r>
            <w:r w:rsidRPr="00FA0D37">
              <w:rPr>
                <w:lang w:eastAsia="sv-SE"/>
              </w:rPr>
              <w:t xml:space="preserve">, </w:t>
            </w:r>
            <w:r w:rsidRPr="00FA0D37">
              <w:rPr>
                <w:i/>
                <w:iCs/>
                <w:lang w:eastAsia="sv-SE"/>
              </w:rPr>
              <w:t>supported2</w:t>
            </w:r>
            <w:r w:rsidRPr="00FA0D37">
              <w:rPr>
                <w:lang w:eastAsia="sv-SE"/>
              </w:rPr>
              <w:t xml:space="preserve"> or </w:t>
            </w:r>
            <w:r w:rsidRPr="00FA0D37">
              <w:rPr>
                <w:i/>
                <w:iCs/>
                <w:lang w:eastAsia="sv-SE"/>
              </w:rPr>
              <w:t>supported3</w:t>
            </w:r>
            <w:r w:rsidRPr="00FA0D37">
              <w:rPr>
                <w:lang w:eastAsia="sv-SE"/>
              </w:rPr>
              <w:t xml:space="preserve"> indicates that the UE supports the new DMRS port entry {0,2,3}.</w:t>
            </w:r>
          </w:p>
        </w:tc>
      </w:tr>
    </w:tbl>
    <w:p w14:paraId="30858778" w14:textId="77777777" w:rsidR="00394471" w:rsidRPr="00FA0D37" w:rsidRDefault="00394471" w:rsidP="00394471"/>
    <w:p w14:paraId="0DAAE2AF" w14:textId="285AD216" w:rsidR="00394471" w:rsidRPr="00FA0D37" w:rsidRDefault="00394471" w:rsidP="00394471">
      <w:pPr>
        <w:pStyle w:val="4"/>
        <w:rPr>
          <w:i/>
          <w:noProof/>
        </w:rPr>
      </w:pPr>
      <w:bookmarkStart w:id="1580" w:name="_Toc60777464"/>
      <w:bookmarkStart w:id="1581" w:name="_Toc146781566"/>
      <w:r w:rsidRPr="00FA0D37">
        <w:t>–</w:t>
      </w:r>
      <w:r w:rsidRPr="00FA0D37">
        <w:tab/>
      </w:r>
      <w:r w:rsidRPr="00FA0D37">
        <w:rPr>
          <w:i/>
          <w:noProof/>
        </w:rPr>
        <w:t>ModulationOrder</w:t>
      </w:r>
      <w:bookmarkEnd w:id="1580"/>
      <w:bookmarkEnd w:id="1581"/>
    </w:p>
    <w:p w14:paraId="6FC7101D" w14:textId="77777777" w:rsidR="00394471" w:rsidRPr="00FA0D37" w:rsidRDefault="00394471" w:rsidP="00394471">
      <w:pPr>
        <w:rPr>
          <w:lang w:eastAsia="x-none"/>
        </w:rPr>
      </w:pPr>
      <w:r w:rsidRPr="00FA0D37">
        <w:rPr>
          <w:lang w:eastAsia="x-none"/>
        </w:rPr>
        <w:t xml:space="preserve">The IE </w:t>
      </w:r>
      <w:r w:rsidRPr="00FA0D37">
        <w:rPr>
          <w:i/>
          <w:lang w:eastAsia="x-none"/>
        </w:rPr>
        <w:t>ModulationOrder</w:t>
      </w:r>
      <w:r w:rsidRPr="00FA0D37">
        <w:rPr>
          <w:lang w:eastAsia="x-none"/>
        </w:rPr>
        <w:t xml:space="preserve"> is used to convey the maximum supported modulation order.</w:t>
      </w:r>
    </w:p>
    <w:p w14:paraId="42C21FBF" w14:textId="77777777" w:rsidR="00394471" w:rsidRPr="00FA0D37" w:rsidRDefault="00394471" w:rsidP="00394471">
      <w:pPr>
        <w:pStyle w:val="TH"/>
      </w:pPr>
      <w:r w:rsidRPr="00FA0D37">
        <w:rPr>
          <w:i/>
        </w:rPr>
        <w:t>ModulationOrder</w:t>
      </w:r>
      <w:r w:rsidRPr="00FA0D37">
        <w:t xml:space="preserve"> information element</w:t>
      </w:r>
    </w:p>
    <w:p w14:paraId="2C48BBED" w14:textId="77777777" w:rsidR="00394471" w:rsidRPr="00FA0D37" w:rsidRDefault="00394471" w:rsidP="00FA0D37">
      <w:pPr>
        <w:pStyle w:val="PL"/>
        <w:rPr>
          <w:color w:val="808080"/>
        </w:rPr>
      </w:pPr>
      <w:r w:rsidRPr="00FA0D37">
        <w:rPr>
          <w:color w:val="808080"/>
        </w:rPr>
        <w:t>-- ASN1START</w:t>
      </w:r>
    </w:p>
    <w:p w14:paraId="7D5E4F42" w14:textId="77777777" w:rsidR="00394471" w:rsidRPr="00FA0D37" w:rsidRDefault="00394471" w:rsidP="00FA0D37">
      <w:pPr>
        <w:pStyle w:val="PL"/>
        <w:rPr>
          <w:color w:val="808080"/>
        </w:rPr>
      </w:pPr>
      <w:r w:rsidRPr="00FA0D37">
        <w:rPr>
          <w:color w:val="808080"/>
        </w:rPr>
        <w:t>-- TAG-MODULATIONORDER-START</w:t>
      </w:r>
    </w:p>
    <w:p w14:paraId="261380DA" w14:textId="77777777" w:rsidR="00394471" w:rsidRPr="00FA0D37" w:rsidRDefault="00394471" w:rsidP="00FA0D37">
      <w:pPr>
        <w:pStyle w:val="PL"/>
      </w:pPr>
    </w:p>
    <w:p w14:paraId="5542F7FF" w14:textId="77777777" w:rsidR="00394471" w:rsidRPr="00FA0D37" w:rsidRDefault="00394471" w:rsidP="00FA0D37">
      <w:pPr>
        <w:pStyle w:val="PL"/>
      </w:pPr>
      <w:r w:rsidRPr="00FA0D37">
        <w:t xml:space="preserve">ModulationOrder ::= </w:t>
      </w:r>
      <w:r w:rsidRPr="00FA0D37">
        <w:rPr>
          <w:color w:val="993366"/>
        </w:rPr>
        <w:t>ENUMERATED</w:t>
      </w:r>
      <w:r w:rsidRPr="00FA0D37">
        <w:t xml:space="preserve"> {bpsk-halfpi, bpsk, qpsk, qam16, qam64, qam256}</w:t>
      </w:r>
    </w:p>
    <w:p w14:paraId="0530D273" w14:textId="77777777" w:rsidR="00394471" w:rsidRPr="00FA0D37" w:rsidRDefault="00394471" w:rsidP="00FA0D37">
      <w:pPr>
        <w:pStyle w:val="PL"/>
      </w:pPr>
    </w:p>
    <w:p w14:paraId="3D062CF7" w14:textId="77777777" w:rsidR="00394471" w:rsidRPr="00FA0D37" w:rsidRDefault="00394471" w:rsidP="00FA0D37">
      <w:pPr>
        <w:pStyle w:val="PL"/>
        <w:rPr>
          <w:color w:val="808080"/>
        </w:rPr>
      </w:pPr>
      <w:r w:rsidRPr="00FA0D37">
        <w:rPr>
          <w:color w:val="808080"/>
        </w:rPr>
        <w:t>-- TAG-MODULATIONORDER-STOP</w:t>
      </w:r>
    </w:p>
    <w:p w14:paraId="30F7D97F" w14:textId="77777777" w:rsidR="00394471" w:rsidRPr="00FA0D37" w:rsidRDefault="00394471" w:rsidP="00FA0D37">
      <w:pPr>
        <w:pStyle w:val="PL"/>
        <w:rPr>
          <w:color w:val="808080"/>
        </w:rPr>
      </w:pPr>
      <w:r w:rsidRPr="00FA0D37">
        <w:rPr>
          <w:color w:val="808080"/>
        </w:rPr>
        <w:t>-- ASN1STOP</w:t>
      </w:r>
    </w:p>
    <w:p w14:paraId="2F5FA7D7" w14:textId="77777777" w:rsidR="00394471" w:rsidRPr="00FA0D37" w:rsidRDefault="00394471" w:rsidP="00394471"/>
    <w:p w14:paraId="03B6C09F" w14:textId="731F4561" w:rsidR="00394471" w:rsidRPr="00FA0D37" w:rsidRDefault="00394471" w:rsidP="00394471">
      <w:pPr>
        <w:pStyle w:val="4"/>
      </w:pPr>
      <w:bookmarkStart w:id="1582" w:name="_Toc60777465"/>
      <w:bookmarkStart w:id="1583" w:name="_Toc146781567"/>
      <w:r w:rsidRPr="00FA0D37">
        <w:t>–</w:t>
      </w:r>
      <w:r w:rsidRPr="00FA0D37">
        <w:tab/>
      </w:r>
      <w:r w:rsidRPr="00FA0D37">
        <w:rPr>
          <w:i/>
          <w:noProof/>
        </w:rPr>
        <w:t>MRDC-Parameters</w:t>
      </w:r>
      <w:bookmarkEnd w:id="1582"/>
      <w:bookmarkEnd w:id="1583"/>
    </w:p>
    <w:p w14:paraId="15083B40" w14:textId="77777777" w:rsidR="00394471" w:rsidRPr="00FA0D37" w:rsidRDefault="00394471" w:rsidP="00394471">
      <w:r w:rsidRPr="00FA0D37">
        <w:t xml:space="preserve">The IE </w:t>
      </w:r>
      <w:r w:rsidRPr="00FA0D37">
        <w:rPr>
          <w:i/>
        </w:rPr>
        <w:t>MRDC-Parameters</w:t>
      </w:r>
      <w:r w:rsidRPr="00FA0D37">
        <w:t xml:space="preserve"> contains the band combination parameters specific to MR-DC for a given MR-DC band combination.</w:t>
      </w:r>
    </w:p>
    <w:p w14:paraId="77D5D585" w14:textId="77777777" w:rsidR="00394471" w:rsidRPr="00FA0D37" w:rsidRDefault="00394471" w:rsidP="00394471">
      <w:pPr>
        <w:pStyle w:val="TH"/>
      </w:pPr>
      <w:r w:rsidRPr="00FA0D37">
        <w:rPr>
          <w:i/>
        </w:rPr>
        <w:t>MRDC-Parameters</w:t>
      </w:r>
      <w:r w:rsidRPr="00FA0D37">
        <w:t xml:space="preserve"> information element</w:t>
      </w:r>
    </w:p>
    <w:p w14:paraId="616D5643" w14:textId="77777777" w:rsidR="00394471" w:rsidRPr="00FA0D37" w:rsidRDefault="00394471" w:rsidP="00FA0D37">
      <w:pPr>
        <w:pStyle w:val="PL"/>
        <w:rPr>
          <w:color w:val="808080"/>
        </w:rPr>
      </w:pPr>
      <w:r w:rsidRPr="00FA0D37">
        <w:rPr>
          <w:color w:val="808080"/>
        </w:rPr>
        <w:t>-- ASN1START</w:t>
      </w:r>
    </w:p>
    <w:p w14:paraId="3A93276D" w14:textId="77777777" w:rsidR="00394471" w:rsidRPr="00FA0D37" w:rsidRDefault="00394471" w:rsidP="00FA0D37">
      <w:pPr>
        <w:pStyle w:val="PL"/>
        <w:rPr>
          <w:color w:val="808080"/>
        </w:rPr>
      </w:pPr>
      <w:r w:rsidRPr="00FA0D37">
        <w:rPr>
          <w:color w:val="808080"/>
        </w:rPr>
        <w:t>-- TAG-MRDC-PARAMETERS-START</w:t>
      </w:r>
    </w:p>
    <w:p w14:paraId="3A5C4755" w14:textId="77777777" w:rsidR="00394471" w:rsidRPr="00FA0D37" w:rsidRDefault="00394471" w:rsidP="00FA0D37">
      <w:pPr>
        <w:pStyle w:val="PL"/>
      </w:pPr>
    </w:p>
    <w:p w14:paraId="01294D57" w14:textId="77777777" w:rsidR="00394471" w:rsidRPr="00FA0D37" w:rsidRDefault="00394471" w:rsidP="00FA0D37">
      <w:pPr>
        <w:pStyle w:val="PL"/>
      </w:pPr>
      <w:r w:rsidRPr="00FA0D37">
        <w:t xml:space="preserve">MRDC-Parameters ::= </w:t>
      </w:r>
      <w:r w:rsidRPr="00FA0D37">
        <w:rPr>
          <w:color w:val="993366"/>
        </w:rPr>
        <w:t>SEQUENCE</w:t>
      </w:r>
      <w:r w:rsidRPr="00FA0D37">
        <w:t xml:space="preserve"> {</w:t>
      </w:r>
    </w:p>
    <w:p w14:paraId="2888C4B2" w14:textId="77777777" w:rsidR="00394471" w:rsidRPr="00FA0D37" w:rsidRDefault="00394471" w:rsidP="00FA0D37">
      <w:pPr>
        <w:pStyle w:val="PL"/>
      </w:pPr>
      <w:r w:rsidRPr="00FA0D37">
        <w:t xml:space="preserve">    singleUL-Transmission               </w:t>
      </w:r>
      <w:r w:rsidRPr="00FA0D37">
        <w:rPr>
          <w:color w:val="993366"/>
        </w:rPr>
        <w:t>ENUMERATED</w:t>
      </w:r>
      <w:r w:rsidRPr="00FA0D37">
        <w:t xml:space="preserve"> {supported}              </w:t>
      </w:r>
      <w:r w:rsidRPr="00FA0D37">
        <w:rPr>
          <w:color w:val="993366"/>
        </w:rPr>
        <w:t>OPTIONAL</w:t>
      </w:r>
      <w:r w:rsidRPr="00FA0D37">
        <w:t>,</w:t>
      </w:r>
    </w:p>
    <w:p w14:paraId="21EE9C16" w14:textId="77777777" w:rsidR="00394471" w:rsidRPr="00FA0D37" w:rsidRDefault="00394471" w:rsidP="00FA0D37">
      <w:pPr>
        <w:pStyle w:val="PL"/>
      </w:pPr>
      <w:r w:rsidRPr="00FA0D37">
        <w:t xml:space="preserve">    dynamicPowerSharingENDC             </w:t>
      </w:r>
      <w:r w:rsidRPr="00FA0D37">
        <w:rPr>
          <w:color w:val="993366"/>
        </w:rPr>
        <w:t>ENUMERATED</w:t>
      </w:r>
      <w:r w:rsidRPr="00FA0D37">
        <w:t xml:space="preserve"> {supported}              </w:t>
      </w:r>
      <w:r w:rsidRPr="00FA0D37">
        <w:rPr>
          <w:color w:val="993366"/>
        </w:rPr>
        <w:t>OPTIONAL</w:t>
      </w:r>
      <w:r w:rsidRPr="00FA0D37">
        <w:t>,</w:t>
      </w:r>
    </w:p>
    <w:p w14:paraId="59E6B88B" w14:textId="77777777" w:rsidR="00394471" w:rsidRPr="00FA0D37" w:rsidRDefault="00394471" w:rsidP="00FA0D37">
      <w:pPr>
        <w:pStyle w:val="PL"/>
      </w:pPr>
      <w:r w:rsidRPr="00FA0D37">
        <w:t xml:space="preserve">    tdm-Pattern                         </w:t>
      </w:r>
      <w:r w:rsidRPr="00FA0D37">
        <w:rPr>
          <w:color w:val="993366"/>
        </w:rPr>
        <w:t>ENUMERATED</w:t>
      </w:r>
      <w:r w:rsidRPr="00FA0D37">
        <w:t xml:space="preserve"> {supported}              </w:t>
      </w:r>
      <w:r w:rsidRPr="00FA0D37">
        <w:rPr>
          <w:color w:val="993366"/>
        </w:rPr>
        <w:t>OPTIONAL</w:t>
      </w:r>
      <w:r w:rsidRPr="00FA0D37">
        <w:t>,</w:t>
      </w:r>
    </w:p>
    <w:p w14:paraId="034285B4" w14:textId="77777777" w:rsidR="00394471" w:rsidRPr="00FA0D37" w:rsidRDefault="00394471" w:rsidP="00FA0D37">
      <w:pPr>
        <w:pStyle w:val="PL"/>
      </w:pPr>
      <w:r w:rsidRPr="00FA0D37">
        <w:lastRenderedPageBreak/>
        <w:t xml:space="preserve">    ul-SharingEUTRA-NR                  </w:t>
      </w:r>
      <w:r w:rsidRPr="00FA0D37">
        <w:rPr>
          <w:color w:val="993366"/>
        </w:rPr>
        <w:t>ENUMERATED</w:t>
      </w:r>
      <w:r w:rsidRPr="00FA0D37">
        <w:t xml:space="preserve"> {tdm, fdm, both}         </w:t>
      </w:r>
      <w:r w:rsidRPr="00FA0D37">
        <w:rPr>
          <w:color w:val="993366"/>
        </w:rPr>
        <w:t>OPTIONAL</w:t>
      </w:r>
      <w:r w:rsidRPr="00FA0D37">
        <w:t>,</w:t>
      </w:r>
    </w:p>
    <w:p w14:paraId="2A0FF40D" w14:textId="77777777" w:rsidR="00394471" w:rsidRPr="00FA0D37" w:rsidRDefault="00394471" w:rsidP="00FA0D37">
      <w:pPr>
        <w:pStyle w:val="PL"/>
      </w:pPr>
      <w:r w:rsidRPr="00FA0D37">
        <w:t xml:space="preserve">    ul-SwitchingTimeEUTRA-NR            </w:t>
      </w:r>
      <w:r w:rsidRPr="00FA0D37">
        <w:rPr>
          <w:color w:val="993366"/>
        </w:rPr>
        <w:t>ENUMERATED</w:t>
      </w:r>
      <w:r w:rsidRPr="00FA0D37">
        <w:t xml:space="preserve"> {type1, type2}           </w:t>
      </w:r>
      <w:r w:rsidRPr="00FA0D37">
        <w:rPr>
          <w:color w:val="993366"/>
        </w:rPr>
        <w:t>OPTIONAL</w:t>
      </w:r>
      <w:r w:rsidRPr="00FA0D37">
        <w:t>,</w:t>
      </w:r>
    </w:p>
    <w:p w14:paraId="41127044" w14:textId="77777777" w:rsidR="00394471" w:rsidRPr="00FA0D37" w:rsidRDefault="00394471" w:rsidP="00FA0D37">
      <w:pPr>
        <w:pStyle w:val="PL"/>
      </w:pPr>
      <w:r w:rsidRPr="00FA0D37">
        <w:t xml:space="preserve">    simultaneousRxTxInterBandENDC       </w:t>
      </w:r>
      <w:r w:rsidRPr="00FA0D37">
        <w:rPr>
          <w:color w:val="993366"/>
        </w:rPr>
        <w:t>ENUMERATED</w:t>
      </w:r>
      <w:r w:rsidRPr="00FA0D37">
        <w:t xml:space="preserve"> {supported}              </w:t>
      </w:r>
      <w:r w:rsidRPr="00FA0D37">
        <w:rPr>
          <w:color w:val="993366"/>
        </w:rPr>
        <w:t>OPTIONAL</w:t>
      </w:r>
      <w:r w:rsidRPr="00FA0D37">
        <w:t>,</w:t>
      </w:r>
    </w:p>
    <w:p w14:paraId="7B69AD80" w14:textId="77777777" w:rsidR="00394471" w:rsidRPr="00FA0D37" w:rsidRDefault="00394471" w:rsidP="00FA0D37">
      <w:pPr>
        <w:pStyle w:val="PL"/>
      </w:pPr>
      <w:r w:rsidRPr="00FA0D37">
        <w:t xml:space="preserve">    asyncIntraBandENDC                  </w:t>
      </w:r>
      <w:r w:rsidRPr="00FA0D37">
        <w:rPr>
          <w:color w:val="993366"/>
        </w:rPr>
        <w:t>ENUMERATED</w:t>
      </w:r>
      <w:r w:rsidRPr="00FA0D37">
        <w:t xml:space="preserve"> {supported}              </w:t>
      </w:r>
      <w:r w:rsidRPr="00FA0D37">
        <w:rPr>
          <w:color w:val="993366"/>
        </w:rPr>
        <w:t>OPTIONAL</w:t>
      </w:r>
      <w:r w:rsidRPr="00FA0D37">
        <w:t>,</w:t>
      </w:r>
    </w:p>
    <w:p w14:paraId="20320EAC" w14:textId="77777777" w:rsidR="00394471" w:rsidRPr="00FA0D37" w:rsidRDefault="00394471" w:rsidP="00FA0D37">
      <w:pPr>
        <w:pStyle w:val="PL"/>
      </w:pPr>
      <w:r w:rsidRPr="00FA0D37">
        <w:t xml:space="preserve">    ...,</w:t>
      </w:r>
    </w:p>
    <w:p w14:paraId="3B69AA09" w14:textId="77777777" w:rsidR="00394471" w:rsidRPr="00FA0D37" w:rsidRDefault="00394471" w:rsidP="00FA0D37">
      <w:pPr>
        <w:pStyle w:val="PL"/>
      </w:pPr>
      <w:r w:rsidRPr="00FA0D37">
        <w:t xml:space="preserve">    [[</w:t>
      </w:r>
    </w:p>
    <w:p w14:paraId="5FACF508" w14:textId="77777777" w:rsidR="00394471" w:rsidRPr="00FA0D37" w:rsidRDefault="00394471" w:rsidP="00FA0D37">
      <w:pPr>
        <w:pStyle w:val="PL"/>
      </w:pPr>
      <w:r w:rsidRPr="00FA0D37">
        <w:t xml:space="preserve">    dualPA-Architecture                 </w:t>
      </w:r>
      <w:r w:rsidRPr="00FA0D37">
        <w:rPr>
          <w:color w:val="993366"/>
        </w:rPr>
        <w:t>ENUMERATED</w:t>
      </w:r>
      <w:r w:rsidRPr="00FA0D37">
        <w:t xml:space="preserve"> {supported}              </w:t>
      </w:r>
      <w:r w:rsidRPr="00FA0D37">
        <w:rPr>
          <w:color w:val="993366"/>
        </w:rPr>
        <w:t>OPTIONAL</w:t>
      </w:r>
      <w:r w:rsidRPr="00FA0D37">
        <w:t>,</w:t>
      </w:r>
    </w:p>
    <w:p w14:paraId="094124FA" w14:textId="77777777" w:rsidR="00394471" w:rsidRPr="00FA0D37" w:rsidRDefault="00394471" w:rsidP="00FA0D37">
      <w:pPr>
        <w:pStyle w:val="PL"/>
      </w:pPr>
      <w:r w:rsidRPr="00FA0D37">
        <w:t xml:space="preserve">    intraBandENDC-Support               </w:t>
      </w:r>
      <w:r w:rsidRPr="00FA0D37">
        <w:rPr>
          <w:color w:val="993366"/>
        </w:rPr>
        <w:t>ENUMERATED</w:t>
      </w:r>
      <w:r w:rsidRPr="00FA0D37">
        <w:t xml:space="preserve"> {non-contiguous, both}   </w:t>
      </w:r>
      <w:r w:rsidRPr="00FA0D37">
        <w:rPr>
          <w:color w:val="993366"/>
        </w:rPr>
        <w:t>OPTIONAL</w:t>
      </w:r>
      <w:r w:rsidRPr="00FA0D37">
        <w:t>,</w:t>
      </w:r>
    </w:p>
    <w:p w14:paraId="233441F8" w14:textId="77777777" w:rsidR="00394471" w:rsidRPr="00FA0D37" w:rsidRDefault="00394471" w:rsidP="00FA0D37">
      <w:pPr>
        <w:pStyle w:val="PL"/>
      </w:pPr>
      <w:r w:rsidRPr="00FA0D37">
        <w:t xml:space="preserve">    ul-TimingAlignmentEUTRA-NR          </w:t>
      </w:r>
      <w:r w:rsidRPr="00FA0D37">
        <w:rPr>
          <w:color w:val="993366"/>
        </w:rPr>
        <w:t>ENUMERATED</w:t>
      </w:r>
      <w:r w:rsidRPr="00FA0D37">
        <w:t xml:space="preserve"> {required}               </w:t>
      </w:r>
      <w:r w:rsidRPr="00FA0D37">
        <w:rPr>
          <w:color w:val="993366"/>
        </w:rPr>
        <w:t>OPTIONAL</w:t>
      </w:r>
    </w:p>
    <w:p w14:paraId="26D394F2" w14:textId="77777777" w:rsidR="00394471" w:rsidRPr="00FA0D37" w:rsidRDefault="00394471" w:rsidP="00FA0D37">
      <w:pPr>
        <w:pStyle w:val="PL"/>
      </w:pPr>
      <w:r w:rsidRPr="00FA0D37">
        <w:t xml:space="preserve">    ]]</w:t>
      </w:r>
    </w:p>
    <w:p w14:paraId="1E05D731" w14:textId="77777777" w:rsidR="00394471" w:rsidRPr="00FA0D37" w:rsidRDefault="00394471" w:rsidP="00FA0D37">
      <w:pPr>
        <w:pStyle w:val="PL"/>
      </w:pPr>
      <w:r w:rsidRPr="00FA0D37">
        <w:t>}</w:t>
      </w:r>
    </w:p>
    <w:p w14:paraId="611D2D05" w14:textId="77777777" w:rsidR="00394471" w:rsidRPr="00FA0D37" w:rsidRDefault="00394471" w:rsidP="00FA0D37">
      <w:pPr>
        <w:pStyle w:val="PL"/>
      </w:pPr>
    </w:p>
    <w:p w14:paraId="3754F7D4" w14:textId="77777777" w:rsidR="00394471" w:rsidRPr="00FA0D37" w:rsidRDefault="00394471" w:rsidP="00FA0D37">
      <w:pPr>
        <w:pStyle w:val="PL"/>
      </w:pPr>
      <w:r w:rsidRPr="00FA0D37">
        <w:t xml:space="preserve">MRDC-Parameters-v1580 ::= </w:t>
      </w:r>
      <w:r w:rsidRPr="00FA0D37">
        <w:rPr>
          <w:color w:val="993366"/>
        </w:rPr>
        <w:t>SEQUENCE</w:t>
      </w:r>
      <w:r w:rsidRPr="00FA0D37">
        <w:t xml:space="preserve"> {</w:t>
      </w:r>
    </w:p>
    <w:p w14:paraId="51B43FC7" w14:textId="77777777" w:rsidR="00394471" w:rsidRPr="00FA0D37" w:rsidRDefault="00394471" w:rsidP="00FA0D37">
      <w:pPr>
        <w:pStyle w:val="PL"/>
      </w:pPr>
      <w:r w:rsidRPr="00FA0D37">
        <w:tab/>
        <w:t xml:space="preserve">dynamicPowerSharingNEDC             </w:t>
      </w:r>
      <w:r w:rsidRPr="00FA0D37">
        <w:rPr>
          <w:color w:val="993366"/>
        </w:rPr>
        <w:t>ENUMERATED</w:t>
      </w:r>
      <w:r w:rsidRPr="00FA0D37">
        <w:t xml:space="preserve"> {supported}              </w:t>
      </w:r>
      <w:r w:rsidRPr="00FA0D37">
        <w:rPr>
          <w:color w:val="993366"/>
        </w:rPr>
        <w:t>OPTIONAL</w:t>
      </w:r>
    </w:p>
    <w:p w14:paraId="0AFFA53D" w14:textId="77777777" w:rsidR="00394471" w:rsidRPr="00FA0D37" w:rsidRDefault="00394471" w:rsidP="00FA0D37">
      <w:pPr>
        <w:pStyle w:val="PL"/>
      </w:pPr>
      <w:r w:rsidRPr="00FA0D37">
        <w:t>}</w:t>
      </w:r>
    </w:p>
    <w:p w14:paraId="0C72D6E0" w14:textId="77777777" w:rsidR="00394471" w:rsidRPr="00FA0D37" w:rsidRDefault="00394471" w:rsidP="00FA0D37">
      <w:pPr>
        <w:pStyle w:val="PL"/>
      </w:pPr>
    </w:p>
    <w:p w14:paraId="2CAA0E51" w14:textId="77777777" w:rsidR="00394471" w:rsidRPr="00FA0D37" w:rsidRDefault="00394471" w:rsidP="00FA0D37">
      <w:pPr>
        <w:pStyle w:val="PL"/>
      </w:pPr>
      <w:r w:rsidRPr="00FA0D37">
        <w:t>MRDC-Parameters-v1590 ::=</w:t>
      </w:r>
      <w:r w:rsidRPr="00FA0D37">
        <w:tab/>
      </w:r>
      <w:r w:rsidRPr="00FA0D37">
        <w:rPr>
          <w:color w:val="993366"/>
        </w:rPr>
        <w:t>SEQUENCE</w:t>
      </w:r>
      <w:r w:rsidRPr="00FA0D37">
        <w:t xml:space="preserve"> {</w:t>
      </w:r>
    </w:p>
    <w:p w14:paraId="12F40315" w14:textId="77777777" w:rsidR="00394471" w:rsidRPr="00FA0D37" w:rsidRDefault="00394471" w:rsidP="00FA0D37">
      <w:pPr>
        <w:pStyle w:val="PL"/>
      </w:pPr>
      <w:r w:rsidRPr="00FA0D37">
        <w:tab/>
        <w:t xml:space="preserve">interBandContiguousMRDC             </w:t>
      </w:r>
      <w:r w:rsidRPr="00FA0D37">
        <w:rPr>
          <w:color w:val="993366"/>
        </w:rPr>
        <w:t>ENUMERATED</w:t>
      </w:r>
      <w:r w:rsidRPr="00FA0D37">
        <w:t xml:space="preserve"> {supported}              </w:t>
      </w:r>
      <w:r w:rsidRPr="00FA0D37">
        <w:rPr>
          <w:color w:val="993366"/>
        </w:rPr>
        <w:t>OPTIONAL</w:t>
      </w:r>
    </w:p>
    <w:p w14:paraId="3627054F" w14:textId="77777777" w:rsidR="00394471" w:rsidRPr="00FA0D37" w:rsidRDefault="00394471" w:rsidP="00FA0D37">
      <w:pPr>
        <w:pStyle w:val="PL"/>
      </w:pPr>
      <w:r w:rsidRPr="00FA0D37">
        <w:t>}</w:t>
      </w:r>
    </w:p>
    <w:p w14:paraId="120388E2" w14:textId="77777777" w:rsidR="00394471" w:rsidRPr="00FA0D37" w:rsidRDefault="00394471" w:rsidP="00FA0D37">
      <w:pPr>
        <w:pStyle w:val="PL"/>
      </w:pPr>
    </w:p>
    <w:p w14:paraId="2CD64BC6" w14:textId="03B06381" w:rsidR="00B55A01" w:rsidRPr="00FA0D37" w:rsidRDefault="00B55A01" w:rsidP="00FA0D37">
      <w:pPr>
        <w:pStyle w:val="PL"/>
      </w:pPr>
      <w:r w:rsidRPr="00FA0D37">
        <w:t>MRDC-Parameters-v15</w:t>
      </w:r>
      <w:r w:rsidR="00EE4C48" w:rsidRPr="00FA0D37">
        <w:t>g0</w:t>
      </w:r>
      <w:r w:rsidRPr="00FA0D37">
        <w:t xml:space="preserve"> ::=   </w:t>
      </w:r>
      <w:r w:rsidRPr="00FA0D37">
        <w:rPr>
          <w:color w:val="993366"/>
        </w:rPr>
        <w:t>SEQUENCE</w:t>
      </w:r>
      <w:r w:rsidRPr="00FA0D37">
        <w:t xml:space="preserve"> {</w:t>
      </w:r>
    </w:p>
    <w:p w14:paraId="3425C5F8" w14:textId="77777777" w:rsidR="00B55A01" w:rsidRPr="00FA0D37" w:rsidRDefault="00B55A01" w:rsidP="00FA0D37">
      <w:pPr>
        <w:pStyle w:val="PL"/>
      </w:pPr>
      <w:r w:rsidRPr="00FA0D37">
        <w:t xml:space="preserve">    simultaneousRxTxInterBandENDCPerBandPair   SimultaneousRxTxPerBandPair  </w:t>
      </w:r>
      <w:r w:rsidRPr="00FA0D37">
        <w:rPr>
          <w:color w:val="993366"/>
        </w:rPr>
        <w:t>OPTIONAL</w:t>
      </w:r>
    </w:p>
    <w:p w14:paraId="0E790070" w14:textId="77777777" w:rsidR="00B55A01" w:rsidRPr="00FA0D37" w:rsidRDefault="00B55A01" w:rsidP="00FA0D37">
      <w:pPr>
        <w:pStyle w:val="PL"/>
      </w:pPr>
      <w:r w:rsidRPr="00FA0D37">
        <w:t>}</w:t>
      </w:r>
    </w:p>
    <w:p w14:paraId="1A7C13D4" w14:textId="77777777" w:rsidR="00B55A01" w:rsidRPr="00FA0D37" w:rsidRDefault="00B55A01" w:rsidP="00FA0D37">
      <w:pPr>
        <w:pStyle w:val="PL"/>
      </w:pPr>
    </w:p>
    <w:p w14:paraId="38832C18" w14:textId="00918BA3" w:rsidR="001B58CB" w:rsidRPr="00FA0D37" w:rsidRDefault="001B58CB" w:rsidP="00FA0D37">
      <w:pPr>
        <w:pStyle w:val="PL"/>
      </w:pPr>
      <w:r w:rsidRPr="00FA0D37">
        <w:t xml:space="preserve">MRDC-Parameters-v15n0 ::= </w:t>
      </w:r>
      <w:r w:rsidRPr="00FA0D37">
        <w:rPr>
          <w:color w:val="993366"/>
        </w:rPr>
        <w:t>SEQUENCE</w:t>
      </w:r>
      <w:r w:rsidRPr="00FA0D37">
        <w:t xml:space="preserve"> {</w:t>
      </w:r>
    </w:p>
    <w:p w14:paraId="1B3F6857" w14:textId="77777777" w:rsidR="001B58CB" w:rsidRPr="00FA0D37" w:rsidRDefault="001B58CB" w:rsidP="00FA0D37">
      <w:pPr>
        <w:pStyle w:val="PL"/>
      </w:pPr>
      <w:r w:rsidRPr="00FA0D37">
        <w:t xml:space="preserve">    intraBandENDC-Support-UL            </w:t>
      </w:r>
      <w:r w:rsidRPr="00FA0D37">
        <w:rPr>
          <w:color w:val="993366"/>
        </w:rPr>
        <w:t>ENUMERATED</w:t>
      </w:r>
      <w:r w:rsidRPr="00FA0D37">
        <w:t xml:space="preserve"> {non-contiguous, both}   </w:t>
      </w:r>
      <w:r w:rsidRPr="00FA0D37">
        <w:rPr>
          <w:color w:val="993366"/>
        </w:rPr>
        <w:t>OPTIONAL</w:t>
      </w:r>
    </w:p>
    <w:p w14:paraId="5895413C" w14:textId="6A92A05A" w:rsidR="001B58CB" w:rsidRPr="00FA0D37" w:rsidRDefault="001B58CB" w:rsidP="00FA0D37">
      <w:pPr>
        <w:pStyle w:val="PL"/>
      </w:pPr>
      <w:r w:rsidRPr="00FA0D37">
        <w:t>}</w:t>
      </w:r>
    </w:p>
    <w:p w14:paraId="01AD4F86" w14:textId="77777777" w:rsidR="001B58CB" w:rsidRPr="00FA0D37" w:rsidRDefault="001B58CB" w:rsidP="00FA0D37">
      <w:pPr>
        <w:pStyle w:val="PL"/>
      </w:pPr>
    </w:p>
    <w:p w14:paraId="2CA71022" w14:textId="0C93BB10" w:rsidR="00394471" w:rsidRPr="00FA0D37" w:rsidRDefault="00394471" w:rsidP="00FA0D37">
      <w:pPr>
        <w:pStyle w:val="PL"/>
      </w:pPr>
      <w:r w:rsidRPr="00FA0D37">
        <w:t xml:space="preserve">MRDC-Parameters-v1620 ::=    </w:t>
      </w:r>
      <w:r w:rsidRPr="00FA0D37">
        <w:rPr>
          <w:color w:val="993366"/>
        </w:rPr>
        <w:t>SEQUENCE</w:t>
      </w:r>
      <w:r w:rsidRPr="00FA0D37">
        <w:t xml:space="preserve"> {</w:t>
      </w:r>
    </w:p>
    <w:p w14:paraId="2022AD83" w14:textId="77777777" w:rsidR="00394471" w:rsidRPr="00FA0D37" w:rsidRDefault="00394471" w:rsidP="00FA0D37">
      <w:pPr>
        <w:pStyle w:val="PL"/>
      </w:pPr>
      <w:r w:rsidRPr="00FA0D37">
        <w:t xml:space="preserve">    maxUplinkDutyCycle-interBandENDC-TDD-PC2-r16    </w:t>
      </w:r>
      <w:r w:rsidRPr="00FA0D37">
        <w:rPr>
          <w:color w:val="993366"/>
        </w:rPr>
        <w:t>SEQUENCE</w:t>
      </w:r>
      <w:r w:rsidRPr="00FA0D37">
        <w:t>{</w:t>
      </w:r>
    </w:p>
    <w:p w14:paraId="6D67472A" w14:textId="77777777" w:rsidR="00394471" w:rsidRPr="00FA0D37" w:rsidRDefault="00394471" w:rsidP="00FA0D37">
      <w:pPr>
        <w:pStyle w:val="PL"/>
      </w:pPr>
      <w:r w:rsidRPr="00FA0D37">
        <w:t xml:space="preserve">        eutra-TDD-Config0-r16    </w:t>
      </w:r>
      <w:r w:rsidRPr="00FA0D37">
        <w:rPr>
          <w:color w:val="993366"/>
        </w:rPr>
        <w:t>ENUMERATED</w:t>
      </w:r>
      <w:r w:rsidRPr="00FA0D37">
        <w:t xml:space="preserve"> {n20, n40, n50, n60, n70, n80, n90, n100}    </w:t>
      </w:r>
      <w:r w:rsidRPr="00FA0D37">
        <w:rPr>
          <w:color w:val="993366"/>
        </w:rPr>
        <w:t>OPTIONAL</w:t>
      </w:r>
      <w:r w:rsidRPr="00FA0D37">
        <w:t>,</w:t>
      </w:r>
    </w:p>
    <w:p w14:paraId="2E220886" w14:textId="77777777" w:rsidR="00394471" w:rsidRPr="00FA0D37" w:rsidRDefault="00394471" w:rsidP="00FA0D37">
      <w:pPr>
        <w:pStyle w:val="PL"/>
      </w:pPr>
      <w:r w:rsidRPr="00FA0D37">
        <w:t xml:space="preserve">        eutra-TDD-Config1-r16    </w:t>
      </w:r>
      <w:r w:rsidRPr="00FA0D37">
        <w:rPr>
          <w:color w:val="993366"/>
        </w:rPr>
        <w:t>ENUMERATED</w:t>
      </w:r>
      <w:r w:rsidRPr="00FA0D37">
        <w:t xml:space="preserve"> {n20, n40, n50, n60, n70, n80, n90, n100}    </w:t>
      </w:r>
      <w:r w:rsidRPr="00FA0D37">
        <w:rPr>
          <w:color w:val="993366"/>
        </w:rPr>
        <w:t>OPTIONAL</w:t>
      </w:r>
      <w:r w:rsidRPr="00FA0D37">
        <w:t>,</w:t>
      </w:r>
    </w:p>
    <w:p w14:paraId="6AADD6AB" w14:textId="77777777" w:rsidR="00394471" w:rsidRPr="00FA0D37" w:rsidRDefault="00394471" w:rsidP="00FA0D37">
      <w:pPr>
        <w:pStyle w:val="PL"/>
      </w:pPr>
      <w:r w:rsidRPr="00FA0D37">
        <w:t xml:space="preserve">        eutra-TDD-Config2-r16    </w:t>
      </w:r>
      <w:r w:rsidRPr="00FA0D37">
        <w:rPr>
          <w:color w:val="993366"/>
        </w:rPr>
        <w:t>ENUMERATED</w:t>
      </w:r>
      <w:r w:rsidRPr="00FA0D37">
        <w:t xml:space="preserve"> {n20, n40, n50, n60, n70, n80, n90, n100}    </w:t>
      </w:r>
      <w:r w:rsidRPr="00FA0D37">
        <w:rPr>
          <w:color w:val="993366"/>
        </w:rPr>
        <w:t>OPTIONAL</w:t>
      </w:r>
      <w:r w:rsidRPr="00FA0D37">
        <w:t>,</w:t>
      </w:r>
    </w:p>
    <w:p w14:paraId="2A113DBB" w14:textId="77777777" w:rsidR="00394471" w:rsidRPr="00FA0D37" w:rsidRDefault="00394471" w:rsidP="00FA0D37">
      <w:pPr>
        <w:pStyle w:val="PL"/>
      </w:pPr>
      <w:r w:rsidRPr="00FA0D37">
        <w:t xml:space="preserve">        eutra-TDD-Config3-r16    </w:t>
      </w:r>
      <w:r w:rsidRPr="00FA0D37">
        <w:rPr>
          <w:color w:val="993366"/>
        </w:rPr>
        <w:t>ENUMERATED</w:t>
      </w:r>
      <w:r w:rsidRPr="00FA0D37">
        <w:t xml:space="preserve"> {n20, n40, n50, n60, n70, n80, n90, n100}    </w:t>
      </w:r>
      <w:r w:rsidRPr="00FA0D37">
        <w:rPr>
          <w:color w:val="993366"/>
        </w:rPr>
        <w:t>OPTIONAL</w:t>
      </w:r>
      <w:r w:rsidRPr="00FA0D37">
        <w:t>,</w:t>
      </w:r>
    </w:p>
    <w:p w14:paraId="727A0014" w14:textId="77777777" w:rsidR="00394471" w:rsidRPr="00FA0D37" w:rsidRDefault="00394471" w:rsidP="00FA0D37">
      <w:pPr>
        <w:pStyle w:val="PL"/>
      </w:pPr>
      <w:r w:rsidRPr="00FA0D37">
        <w:t xml:space="preserve">        eutra-TDD-Config4-r16    </w:t>
      </w:r>
      <w:r w:rsidRPr="00FA0D37">
        <w:rPr>
          <w:color w:val="993366"/>
        </w:rPr>
        <w:t>ENUMERATED</w:t>
      </w:r>
      <w:r w:rsidRPr="00FA0D37">
        <w:t xml:space="preserve"> {n20, n40, n50, n60, n70, n80, n90, n100}    </w:t>
      </w:r>
      <w:r w:rsidRPr="00FA0D37">
        <w:rPr>
          <w:color w:val="993366"/>
        </w:rPr>
        <w:t>OPTIONAL</w:t>
      </w:r>
      <w:r w:rsidRPr="00FA0D37">
        <w:t>,</w:t>
      </w:r>
    </w:p>
    <w:p w14:paraId="4D61F49A" w14:textId="77777777" w:rsidR="00394471" w:rsidRPr="00FA0D37" w:rsidRDefault="00394471" w:rsidP="00FA0D37">
      <w:pPr>
        <w:pStyle w:val="PL"/>
      </w:pPr>
      <w:r w:rsidRPr="00FA0D37">
        <w:t xml:space="preserve">        eutra-TDD-Config5-r16    </w:t>
      </w:r>
      <w:r w:rsidRPr="00FA0D37">
        <w:rPr>
          <w:color w:val="993366"/>
        </w:rPr>
        <w:t>ENUMERATED</w:t>
      </w:r>
      <w:r w:rsidRPr="00FA0D37">
        <w:t xml:space="preserve"> {n20, n40, n50, n60, n70, n80, n90, n100}    </w:t>
      </w:r>
      <w:r w:rsidRPr="00FA0D37">
        <w:rPr>
          <w:color w:val="993366"/>
        </w:rPr>
        <w:t>OPTIONAL</w:t>
      </w:r>
      <w:r w:rsidRPr="00FA0D37">
        <w:t>,</w:t>
      </w:r>
    </w:p>
    <w:p w14:paraId="41F1A32B" w14:textId="77777777" w:rsidR="00394471" w:rsidRPr="00FA0D37" w:rsidRDefault="00394471" w:rsidP="00FA0D37">
      <w:pPr>
        <w:pStyle w:val="PL"/>
      </w:pPr>
      <w:r w:rsidRPr="00FA0D37">
        <w:t xml:space="preserve">        eutra-TDD-Config6-r16    </w:t>
      </w:r>
      <w:r w:rsidRPr="00FA0D37">
        <w:rPr>
          <w:color w:val="993366"/>
        </w:rPr>
        <w:t>ENUMERATED</w:t>
      </w:r>
      <w:r w:rsidRPr="00FA0D37">
        <w:t xml:space="preserve"> {n20, n40, n50, n60, n70, n80, n90, n100}    </w:t>
      </w:r>
      <w:r w:rsidRPr="00FA0D37">
        <w:rPr>
          <w:color w:val="993366"/>
        </w:rPr>
        <w:t>OPTIONAL</w:t>
      </w:r>
    </w:p>
    <w:p w14:paraId="6E0D7FAF" w14:textId="77777777" w:rsidR="00394471" w:rsidRPr="00FA0D37" w:rsidRDefault="00394471" w:rsidP="00FA0D37">
      <w:pPr>
        <w:pStyle w:val="PL"/>
      </w:pPr>
      <w:r w:rsidRPr="00FA0D37">
        <w:t xml:space="preserve">    }                                                                                    </w:t>
      </w:r>
      <w:r w:rsidRPr="00FA0D37">
        <w:rPr>
          <w:color w:val="993366"/>
        </w:rPr>
        <w:t>OPTIONAL</w:t>
      </w:r>
      <w:r w:rsidRPr="00FA0D37">
        <w:t>,</w:t>
      </w:r>
    </w:p>
    <w:p w14:paraId="16E85F54" w14:textId="77777777" w:rsidR="00394471" w:rsidRPr="00FA0D37" w:rsidRDefault="00394471" w:rsidP="00FA0D37">
      <w:pPr>
        <w:pStyle w:val="PL"/>
        <w:rPr>
          <w:color w:val="808080"/>
        </w:rPr>
      </w:pPr>
      <w:r w:rsidRPr="00FA0D37">
        <w:t xml:space="preserve">    </w:t>
      </w:r>
      <w:r w:rsidRPr="00FA0D37">
        <w:rPr>
          <w:color w:val="808080"/>
        </w:rPr>
        <w:t>-- R1 18-2 Single UL TX operation for TDD PCell in EN-DC</w:t>
      </w:r>
    </w:p>
    <w:p w14:paraId="6B9DCBA4" w14:textId="77777777" w:rsidR="00394471" w:rsidRPr="00FA0D37" w:rsidRDefault="00394471" w:rsidP="00FA0D37">
      <w:pPr>
        <w:pStyle w:val="PL"/>
      </w:pPr>
      <w:r w:rsidRPr="00FA0D37">
        <w:t xml:space="preserve">    tdm-restrictionTDD-endc-r16          </w:t>
      </w:r>
      <w:r w:rsidRPr="00FA0D37">
        <w:rPr>
          <w:color w:val="993366"/>
        </w:rPr>
        <w:t>ENUMERATED</w:t>
      </w:r>
      <w:r w:rsidRPr="00FA0D37">
        <w:t xml:space="preserve"> {supported}                          </w:t>
      </w:r>
      <w:r w:rsidRPr="00FA0D37">
        <w:rPr>
          <w:color w:val="993366"/>
        </w:rPr>
        <w:t>OPTIONAL</w:t>
      </w:r>
      <w:r w:rsidRPr="00FA0D37">
        <w:t>,</w:t>
      </w:r>
    </w:p>
    <w:p w14:paraId="1F9A4047" w14:textId="77777777" w:rsidR="00394471" w:rsidRPr="00FA0D37" w:rsidRDefault="00394471" w:rsidP="00FA0D37">
      <w:pPr>
        <w:pStyle w:val="PL"/>
        <w:rPr>
          <w:color w:val="808080"/>
        </w:rPr>
      </w:pPr>
      <w:r w:rsidRPr="00FA0D37">
        <w:t xml:space="preserve">    </w:t>
      </w:r>
      <w:r w:rsidRPr="00FA0D37">
        <w:rPr>
          <w:color w:val="808080"/>
        </w:rPr>
        <w:t>-- R1 18-2a Single UL TX operation for FDD PCell in EN-DC</w:t>
      </w:r>
    </w:p>
    <w:p w14:paraId="7BA09445" w14:textId="77777777" w:rsidR="00394471" w:rsidRPr="00FA0D37" w:rsidRDefault="00394471" w:rsidP="00FA0D37">
      <w:pPr>
        <w:pStyle w:val="PL"/>
      </w:pPr>
      <w:r w:rsidRPr="00FA0D37">
        <w:t xml:space="preserve">    tdm-restrictionFDD-endc-r16          </w:t>
      </w:r>
      <w:r w:rsidRPr="00FA0D37">
        <w:rPr>
          <w:color w:val="993366"/>
        </w:rPr>
        <w:t>ENUMERATED</w:t>
      </w:r>
      <w:r w:rsidRPr="00FA0D37">
        <w:t xml:space="preserve"> {supported}                          </w:t>
      </w:r>
      <w:r w:rsidRPr="00FA0D37">
        <w:rPr>
          <w:color w:val="993366"/>
        </w:rPr>
        <w:t>OPTIONAL</w:t>
      </w:r>
      <w:r w:rsidRPr="00FA0D37">
        <w:t>,</w:t>
      </w:r>
    </w:p>
    <w:p w14:paraId="5A6508E9" w14:textId="77777777" w:rsidR="00394471" w:rsidRPr="00FA0D37" w:rsidRDefault="00394471" w:rsidP="00FA0D37">
      <w:pPr>
        <w:pStyle w:val="PL"/>
        <w:rPr>
          <w:color w:val="808080"/>
        </w:rPr>
      </w:pPr>
      <w:r w:rsidRPr="00FA0D37">
        <w:t xml:space="preserve">    </w:t>
      </w:r>
      <w:r w:rsidRPr="00FA0D37">
        <w:rPr>
          <w:color w:val="808080"/>
        </w:rPr>
        <w:t>--  R1 18-2b Support of HARQ-offset for SUO case1 in EN-DC with LTE TDD PCell for type 1 UE</w:t>
      </w:r>
    </w:p>
    <w:p w14:paraId="7113B792" w14:textId="77777777" w:rsidR="00394471" w:rsidRPr="00FA0D37" w:rsidRDefault="00394471" w:rsidP="00FA0D37">
      <w:pPr>
        <w:pStyle w:val="PL"/>
      </w:pPr>
      <w:r w:rsidRPr="00FA0D37">
        <w:t xml:space="preserve">    singleUL-HARQ-offsetTDD-PCell-r16    </w:t>
      </w:r>
      <w:r w:rsidRPr="00FA0D37">
        <w:rPr>
          <w:color w:val="993366"/>
        </w:rPr>
        <w:t>ENUMERATED</w:t>
      </w:r>
      <w:r w:rsidRPr="00FA0D37">
        <w:t xml:space="preserve"> {supported}                          </w:t>
      </w:r>
      <w:r w:rsidRPr="00FA0D37">
        <w:rPr>
          <w:color w:val="993366"/>
        </w:rPr>
        <w:t>OPTIONAL</w:t>
      </w:r>
      <w:r w:rsidRPr="00FA0D37">
        <w:t>,</w:t>
      </w:r>
    </w:p>
    <w:p w14:paraId="1C764F95" w14:textId="77777777" w:rsidR="00394471" w:rsidRPr="00FA0D37" w:rsidRDefault="00394471" w:rsidP="00FA0D37">
      <w:pPr>
        <w:pStyle w:val="PL"/>
        <w:rPr>
          <w:color w:val="808080"/>
        </w:rPr>
      </w:pPr>
      <w:r w:rsidRPr="00FA0D37">
        <w:t xml:space="preserve">    </w:t>
      </w:r>
      <w:r w:rsidRPr="00FA0D37">
        <w:rPr>
          <w:color w:val="808080"/>
        </w:rPr>
        <w:t>--  R1 18-3 Dual Tx transmission for EN-DC with FDD PCell(TDM pattern for dual Tx UE)</w:t>
      </w:r>
    </w:p>
    <w:p w14:paraId="01D7BE35" w14:textId="77777777" w:rsidR="00394471" w:rsidRPr="00FA0D37" w:rsidRDefault="00394471" w:rsidP="00FA0D37">
      <w:pPr>
        <w:pStyle w:val="PL"/>
      </w:pPr>
      <w:r w:rsidRPr="00FA0D37">
        <w:t xml:space="preserve">    tdm-restrictionDualTX-FDD-endc-r16   </w:t>
      </w:r>
      <w:r w:rsidRPr="00FA0D37">
        <w:rPr>
          <w:color w:val="993366"/>
        </w:rPr>
        <w:t>ENUMERATED</w:t>
      </w:r>
      <w:r w:rsidRPr="00FA0D37">
        <w:t xml:space="preserve"> {supported}                          </w:t>
      </w:r>
      <w:r w:rsidRPr="00FA0D37">
        <w:rPr>
          <w:color w:val="993366"/>
        </w:rPr>
        <w:t>OPTIONAL</w:t>
      </w:r>
    </w:p>
    <w:p w14:paraId="4CA897C6" w14:textId="77777777" w:rsidR="00394471" w:rsidRPr="00FA0D37" w:rsidRDefault="00394471" w:rsidP="00FA0D37">
      <w:pPr>
        <w:pStyle w:val="PL"/>
      </w:pPr>
      <w:r w:rsidRPr="00FA0D37">
        <w:t>}</w:t>
      </w:r>
    </w:p>
    <w:p w14:paraId="022BD53F" w14:textId="77777777" w:rsidR="00D027C1" w:rsidRPr="00FA0D37" w:rsidRDefault="00D027C1" w:rsidP="00FA0D37">
      <w:pPr>
        <w:pStyle w:val="PL"/>
      </w:pPr>
    </w:p>
    <w:p w14:paraId="66A0904D" w14:textId="73901DED" w:rsidR="00D027C1" w:rsidRPr="00FA0D37" w:rsidRDefault="00D027C1" w:rsidP="00FA0D37">
      <w:pPr>
        <w:pStyle w:val="PL"/>
        <w:rPr>
          <w:rFonts w:eastAsiaTheme="minorEastAsia"/>
        </w:rPr>
      </w:pPr>
      <w:r w:rsidRPr="00FA0D37">
        <w:rPr>
          <w:rFonts w:eastAsiaTheme="minorEastAsia"/>
        </w:rPr>
        <w:t>MRDC-Parameters</w:t>
      </w:r>
      <w:r w:rsidR="003B657B" w:rsidRPr="00FA0D37">
        <w:rPr>
          <w:rFonts w:eastAsiaTheme="minorEastAsia"/>
        </w:rPr>
        <w:t>-v1630</w:t>
      </w:r>
      <w:r w:rsidRPr="00FA0D37">
        <w:rPr>
          <w:rFonts w:eastAsiaTheme="minorEastAsia"/>
        </w:rPr>
        <w:t xml:space="preserve"> ::= </w:t>
      </w:r>
      <w:r w:rsidRPr="00FA0D37">
        <w:rPr>
          <w:color w:val="993366"/>
        </w:rPr>
        <w:t>SEQUENCE</w:t>
      </w:r>
      <w:r w:rsidRPr="00FA0D37">
        <w:rPr>
          <w:rFonts w:eastAsiaTheme="minorEastAsia"/>
        </w:rPr>
        <w:t xml:space="preserve"> {</w:t>
      </w:r>
    </w:p>
    <w:p w14:paraId="38CCBF94" w14:textId="65960A0F" w:rsidR="00D027C1" w:rsidRPr="00FA0D37" w:rsidRDefault="00D027C1" w:rsidP="00FA0D37">
      <w:pPr>
        <w:pStyle w:val="PL"/>
        <w:rPr>
          <w:rFonts w:eastAsiaTheme="minorEastAsia"/>
          <w:color w:val="808080"/>
        </w:rPr>
      </w:pPr>
      <w:r w:rsidRPr="00FA0D37">
        <w:t xml:space="preserve">    </w:t>
      </w:r>
      <w:r w:rsidRPr="00FA0D37">
        <w:rPr>
          <w:rFonts w:eastAsiaTheme="minorEastAsia"/>
          <w:color w:val="808080"/>
        </w:rPr>
        <w:t>-- R4 2-20 Maximum uplink duty cycle for FDD+TDD EN-DC power class 2</w:t>
      </w:r>
    </w:p>
    <w:p w14:paraId="21DE66EF" w14:textId="6FC0C931" w:rsidR="00D027C1" w:rsidRPr="00FA0D37" w:rsidRDefault="00D027C1" w:rsidP="00FA0D37">
      <w:pPr>
        <w:pStyle w:val="PL"/>
      </w:pPr>
      <w:r w:rsidRPr="00FA0D37">
        <w:t xml:space="preserve">    maxUplinkDutyCycle-interBandENDC-FDD-TDD-PC2-r16  </w:t>
      </w:r>
      <w:r w:rsidRPr="00FA0D37">
        <w:rPr>
          <w:color w:val="993366"/>
        </w:rPr>
        <w:t>SEQUENCE</w:t>
      </w:r>
      <w:r w:rsidRPr="00FA0D37">
        <w:t xml:space="preserve"> {</w:t>
      </w:r>
    </w:p>
    <w:p w14:paraId="6C1FB451" w14:textId="1BF9A8B8" w:rsidR="00D027C1" w:rsidRPr="00FA0D37" w:rsidRDefault="00D027C1" w:rsidP="00FA0D37">
      <w:pPr>
        <w:pStyle w:val="PL"/>
        <w:rPr>
          <w:rFonts w:eastAsiaTheme="minorEastAsia"/>
        </w:rPr>
      </w:pPr>
      <w:r w:rsidRPr="00FA0D37">
        <w:lastRenderedPageBreak/>
        <w:t xml:space="preserve">        </w:t>
      </w:r>
      <w:r w:rsidRPr="00FA0D37">
        <w:rPr>
          <w:rFonts w:eastAsiaTheme="minorEastAsia"/>
        </w:rPr>
        <w:t>maxUplinkDutyCycle-FDD-TDD-EN-DC1-r16</w:t>
      </w:r>
      <w:r w:rsidRPr="00FA0D37">
        <w:t xml:space="preserve">             </w:t>
      </w:r>
      <w:r w:rsidRPr="00FA0D37">
        <w:rPr>
          <w:color w:val="993366"/>
        </w:rPr>
        <w:t>ENUMERATED</w:t>
      </w:r>
      <w:r w:rsidRPr="00FA0D37">
        <w:rPr>
          <w:rFonts w:eastAsiaTheme="minorEastAsia"/>
        </w:rPr>
        <w:t xml:space="preserve"> {n30, n40, n50, n60, n70, n80, n90, n100}</w:t>
      </w:r>
      <w:r w:rsidRPr="00FA0D37">
        <w:t xml:space="preserve">    </w:t>
      </w:r>
      <w:r w:rsidRPr="00FA0D37">
        <w:rPr>
          <w:color w:val="993366"/>
        </w:rPr>
        <w:t>OPTIONAL</w:t>
      </w:r>
      <w:r w:rsidRPr="00FA0D37">
        <w:rPr>
          <w:rFonts w:eastAsiaTheme="minorEastAsia"/>
        </w:rPr>
        <w:t>,</w:t>
      </w:r>
    </w:p>
    <w:p w14:paraId="17556AEF" w14:textId="588BF3C5" w:rsidR="00D027C1" w:rsidRPr="00FA0D37" w:rsidRDefault="00D027C1" w:rsidP="00FA0D37">
      <w:pPr>
        <w:pStyle w:val="PL"/>
        <w:rPr>
          <w:rFonts w:eastAsiaTheme="minorEastAsia"/>
        </w:rPr>
      </w:pPr>
      <w:r w:rsidRPr="00FA0D37">
        <w:t xml:space="preserve">        </w:t>
      </w:r>
      <w:r w:rsidRPr="00FA0D37">
        <w:rPr>
          <w:rFonts w:eastAsiaTheme="minorEastAsia"/>
        </w:rPr>
        <w:t>maxUplinkDutyCycle-FDD-TDD-EN-DC2-r16</w:t>
      </w:r>
      <w:r w:rsidRPr="00FA0D37">
        <w:t xml:space="preserve">             </w:t>
      </w:r>
      <w:r w:rsidRPr="00FA0D37">
        <w:rPr>
          <w:color w:val="993366"/>
        </w:rPr>
        <w:t>ENUMERATED</w:t>
      </w:r>
      <w:r w:rsidRPr="00FA0D37">
        <w:rPr>
          <w:rFonts w:eastAsiaTheme="minorEastAsia"/>
        </w:rPr>
        <w:t xml:space="preserve"> {n30, n40, n50, n60, n70, n80, n90, n100}</w:t>
      </w:r>
      <w:r w:rsidRPr="00FA0D37">
        <w:t xml:space="preserve">    </w:t>
      </w:r>
      <w:r w:rsidRPr="00FA0D37">
        <w:rPr>
          <w:color w:val="993366"/>
        </w:rPr>
        <w:t>OPTIONAL</w:t>
      </w:r>
    </w:p>
    <w:p w14:paraId="42F40EB1" w14:textId="57D91094" w:rsidR="00D027C1" w:rsidRPr="00FA0D37" w:rsidRDefault="00D027C1" w:rsidP="00FA0D37">
      <w:pPr>
        <w:pStyle w:val="PL"/>
        <w:rPr>
          <w:rFonts w:eastAsiaTheme="minorEastAsia"/>
        </w:rPr>
      </w:pPr>
      <w:r w:rsidRPr="00FA0D37">
        <w:t xml:space="preserve">    </w:t>
      </w:r>
      <w:r w:rsidRPr="00FA0D37">
        <w:rPr>
          <w:rFonts w:eastAsiaTheme="minorEastAsia"/>
        </w:rPr>
        <w:t>}</w:t>
      </w:r>
      <w:r w:rsidRPr="00FA0D37">
        <w:t xml:space="preserve">                                                                                                             </w:t>
      </w:r>
      <w:r w:rsidRPr="00FA0D37">
        <w:rPr>
          <w:rFonts w:eastAsiaTheme="minorEastAsia"/>
          <w:color w:val="993366"/>
        </w:rPr>
        <w:t>OPTIONAL</w:t>
      </w:r>
      <w:r w:rsidRPr="00FA0D37">
        <w:rPr>
          <w:rFonts w:eastAsiaTheme="minorEastAsia"/>
        </w:rPr>
        <w:t>,</w:t>
      </w:r>
    </w:p>
    <w:p w14:paraId="27E47B29" w14:textId="77777777" w:rsidR="00D027C1" w:rsidRPr="00FA0D37" w:rsidRDefault="00D027C1" w:rsidP="00FA0D37">
      <w:pPr>
        <w:pStyle w:val="PL"/>
        <w:rPr>
          <w:rFonts w:eastAsiaTheme="minorEastAsia"/>
        </w:rPr>
      </w:pPr>
    </w:p>
    <w:p w14:paraId="0355AC17" w14:textId="54D19F38" w:rsidR="00D027C1" w:rsidRPr="00FA0D37" w:rsidRDefault="00D027C1" w:rsidP="00FA0D37">
      <w:pPr>
        <w:pStyle w:val="PL"/>
        <w:rPr>
          <w:color w:val="808080"/>
        </w:rPr>
      </w:pPr>
      <w:r w:rsidRPr="00FA0D37">
        <w:t xml:space="preserve">    </w:t>
      </w:r>
      <w:r w:rsidRPr="00FA0D37">
        <w:rPr>
          <w:rFonts w:eastAsiaTheme="minorEastAsia"/>
          <w:color w:val="808080"/>
        </w:rPr>
        <w:t xml:space="preserve">-- R4 2-19 </w:t>
      </w:r>
      <w:r w:rsidRPr="00FA0D37">
        <w:rPr>
          <w:color w:val="808080"/>
        </w:rPr>
        <w:t>FDD-FDD or TDD-TDD inter-band MR-DC with overlapping or partially overlapping DL spectrum</w:t>
      </w:r>
    </w:p>
    <w:p w14:paraId="08B799D1" w14:textId="28CB1A80" w:rsidR="00D027C1" w:rsidRPr="00FA0D37" w:rsidRDefault="00D027C1" w:rsidP="00FA0D37">
      <w:pPr>
        <w:pStyle w:val="PL"/>
        <w:rPr>
          <w:rFonts w:eastAsiaTheme="minorEastAsia"/>
        </w:rPr>
      </w:pPr>
      <w:r w:rsidRPr="00FA0D37">
        <w:t xml:space="preserve">    interBandMRDC-WithOverlapDL-Bands-r16       </w:t>
      </w:r>
      <w:r w:rsidRPr="00FA0D37">
        <w:rPr>
          <w:color w:val="993366"/>
        </w:rPr>
        <w:t>ENUMERATED</w:t>
      </w:r>
      <w:r w:rsidRPr="00FA0D37">
        <w:t xml:space="preserve"> {supported}                   </w:t>
      </w:r>
      <w:r w:rsidRPr="00FA0D37">
        <w:rPr>
          <w:color w:val="993366"/>
        </w:rPr>
        <w:t>OPTIONAL</w:t>
      </w:r>
    </w:p>
    <w:p w14:paraId="0694A7E4" w14:textId="77777777" w:rsidR="00D027C1" w:rsidRPr="00FA0D37" w:rsidRDefault="00D027C1" w:rsidP="00FA0D37">
      <w:pPr>
        <w:pStyle w:val="PL"/>
      </w:pPr>
      <w:r w:rsidRPr="00FA0D37">
        <w:rPr>
          <w:rFonts w:eastAsiaTheme="minorEastAsia"/>
        </w:rPr>
        <w:t>}</w:t>
      </w:r>
    </w:p>
    <w:p w14:paraId="2A0E9FB9" w14:textId="77777777" w:rsidR="00022DF1" w:rsidRPr="00FA0D37" w:rsidRDefault="00022DF1" w:rsidP="00FA0D37">
      <w:pPr>
        <w:pStyle w:val="PL"/>
      </w:pPr>
    </w:p>
    <w:p w14:paraId="0E124B56" w14:textId="1A53DA7B" w:rsidR="00022DF1" w:rsidRPr="00FA0D37" w:rsidRDefault="00022DF1" w:rsidP="00FA0D37">
      <w:pPr>
        <w:pStyle w:val="PL"/>
      </w:pPr>
      <w:r w:rsidRPr="00FA0D37">
        <w:t>MRDC-Parameters-v1700 ::=</w:t>
      </w:r>
      <w:r w:rsidRPr="00FA0D37">
        <w:tab/>
      </w:r>
      <w:r w:rsidRPr="00FA0D37">
        <w:rPr>
          <w:color w:val="993366"/>
        </w:rPr>
        <w:t>SEQUENCE</w:t>
      </w:r>
      <w:r w:rsidRPr="00FA0D37">
        <w:t xml:space="preserve"> {</w:t>
      </w:r>
    </w:p>
    <w:p w14:paraId="6EE0CE86" w14:textId="33626DB2" w:rsidR="00022DF1" w:rsidRPr="00FA0D37" w:rsidRDefault="00022DF1" w:rsidP="00FA0D37">
      <w:pPr>
        <w:pStyle w:val="PL"/>
      </w:pPr>
      <w:r w:rsidRPr="00FA0D37">
        <w:t xml:space="preserve">    condPSCellAdditionENDC-r17                  </w:t>
      </w:r>
      <w:r w:rsidRPr="00FA0D37">
        <w:rPr>
          <w:color w:val="993366"/>
        </w:rPr>
        <w:t>ENUMERATED</w:t>
      </w:r>
      <w:r w:rsidRPr="00FA0D37">
        <w:t xml:space="preserve"> {supported}                   </w:t>
      </w:r>
      <w:r w:rsidRPr="00FA0D37">
        <w:rPr>
          <w:color w:val="993366"/>
        </w:rPr>
        <w:t>OPTIONAL</w:t>
      </w:r>
      <w:r w:rsidRPr="00FA0D37">
        <w:t>,</w:t>
      </w:r>
    </w:p>
    <w:p w14:paraId="415FD1EE" w14:textId="578000CE" w:rsidR="00022DF1" w:rsidRPr="00FA0D37" w:rsidRDefault="00022DF1" w:rsidP="00FA0D37">
      <w:pPr>
        <w:pStyle w:val="PL"/>
      </w:pPr>
      <w:r w:rsidRPr="00FA0D37">
        <w:t xml:space="preserve">    scg-ActivationDeactivationENDC-r17          </w:t>
      </w:r>
      <w:r w:rsidRPr="00FA0D37">
        <w:rPr>
          <w:color w:val="993366"/>
        </w:rPr>
        <w:t>ENUMERATED</w:t>
      </w:r>
      <w:r w:rsidRPr="00FA0D37">
        <w:t xml:space="preserve"> {supported}                   </w:t>
      </w:r>
      <w:r w:rsidRPr="00FA0D37">
        <w:rPr>
          <w:color w:val="993366"/>
        </w:rPr>
        <w:t>OPTIONAL</w:t>
      </w:r>
      <w:r w:rsidRPr="00FA0D37">
        <w:t>,</w:t>
      </w:r>
    </w:p>
    <w:p w14:paraId="14057CFE" w14:textId="66E9ADF6" w:rsidR="00022DF1" w:rsidRPr="00FA0D37" w:rsidRDefault="00022DF1" w:rsidP="00FA0D37">
      <w:pPr>
        <w:pStyle w:val="PL"/>
      </w:pPr>
      <w:r w:rsidRPr="00FA0D37">
        <w:t xml:space="preserve">    scg-ActivationDeactivationResumeENDC-r17    </w:t>
      </w:r>
      <w:r w:rsidRPr="00FA0D37">
        <w:rPr>
          <w:color w:val="993366"/>
        </w:rPr>
        <w:t>ENUMERATED</w:t>
      </w:r>
      <w:r w:rsidRPr="00FA0D37">
        <w:t xml:space="preserve"> {supported}                   </w:t>
      </w:r>
      <w:r w:rsidRPr="00FA0D37">
        <w:rPr>
          <w:color w:val="993366"/>
        </w:rPr>
        <w:t>OPTIONAL</w:t>
      </w:r>
    </w:p>
    <w:p w14:paraId="7AD35A53" w14:textId="4F1BE246" w:rsidR="00394471" w:rsidRPr="00FA0D37" w:rsidRDefault="00022DF1" w:rsidP="00FA0D37">
      <w:pPr>
        <w:pStyle w:val="PL"/>
      </w:pPr>
      <w:r w:rsidRPr="00FA0D37">
        <w:t>}</w:t>
      </w:r>
    </w:p>
    <w:p w14:paraId="7BC479BB" w14:textId="77777777" w:rsidR="00022DF1" w:rsidRPr="00FA0D37" w:rsidRDefault="00022DF1" w:rsidP="00FA0D37">
      <w:pPr>
        <w:pStyle w:val="PL"/>
      </w:pPr>
    </w:p>
    <w:p w14:paraId="193D195E" w14:textId="77777777" w:rsidR="00394471" w:rsidRPr="00FA0D37" w:rsidRDefault="00394471" w:rsidP="00FA0D37">
      <w:pPr>
        <w:pStyle w:val="PL"/>
        <w:rPr>
          <w:color w:val="808080"/>
        </w:rPr>
      </w:pPr>
      <w:r w:rsidRPr="00FA0D37">
        <w:rPr>
          <w:color w:val="808080"/>
        </w:rPr>
        <w:t>-- TAG-MRDC-PARAMETERS-STOP</w:t>
      </w:r>
    </w:p>
    <w:p w14:paraId="5802DE53" w14:textId="77777777" w:rsidR="00394471" w:rsidRPr="00FA0D37" w:rsidRDefault="00394471" w:rsidP="00FA0D37">
      <w:pPr>
        <w:pStyle w:val="PL"/>
        <w:rPr>
          <w:color w:val="808080"/>
        </w:rPr>
      </w:pPr>
      <w:r w:rsidRPr="00FA0D37">
        <w:rPr>
          <w:color w:val="808080"/>
        </w:rPr>
        <w:t>-- ASN1STOP</w:t>
      </w:r>
    </w:p>
    <w:p w14:paraId="0117F251" w14:textId="77777777" w:rsidR="00394471" w:rsidRPr="00FA0D37" w:rsidRDefault="00394471" w:rsidP="00394471"/>
    <w:p w14:paraId="0EB7D0F1" w14:textId="2299B5FB" w:rsidR="00394471" w:rsidRPr="00FA0D37" w:rsidRDefault="00394471" w:rsidP="00394471">
      <w:pPr>
        <w:pStyle w:val="4"/>
      </w:pPr>
      <w:bookmarkStart w:id="1584" w:name="_Toc60777466"/>
      <w:bookmarkStart w:id="1585" w:name="_Toc146781568"/>
      <w:r w:rsidRPr="00FA0D37">
        <w:t>–</w:t>
      </w:r>
      <w:r w:rsidRPr="00FA0D37">
        <w:tab/>
      </w:r>
      <w:r w:rsidRPr="00FA0D37">
        <w:rPr>
          <w:i/>
          <w:noProof/>
        </w:rPr>
        <w:t>NRDC-Parameters</w:t>
      </w:r>
      <w:bookmarkEnd w:id="1584"/>
      <w:bookmarkEnd w:id="1585"/>
    </w:p>
    <w:p w14:paraId="3CD753EA" w14:textId="77777777" w:rsidR="00394471" w:rsidRPr="00FA0D37" w:rsidRDefault="00394471" w:rsidP="00394471">
      <w:r w:rsidRPr="00FA0D37">
        <w:t xml:space="preserve">The IE </w:t>
      </w:r>
      <w:r w:rsidRPr="00FA0D37">
        <w:rPr>
          <w:i/>
        </w:rPr>
        <w:t>NRDC-Parameters</w:t>
      </w:r>
      <w:r w:rsidRPr="00FA0D37">
        <w:t xml:space="preserve"> contains parameters specific to NR-DC, i.e., which are not applicable to NR SA.</w:t>
      </w:r>
    </w:p>
    <w:p w14:paraId="2BBB1D5A" w14:textId="77777777" w:rsidR="00394471" w:rsidRPr="00FA0D37" w:rsidRDefault="00394471" w:rsidP="00394471">
      <w:pPr>
        <w:pStyle w:val="TH"/>
      </w:pPr>
      <w:r w:rsidRPr="00FA0D37">
        <w:rPr>
          <w:i/>
        </w:rPr>
        <w:t>NRDC-Parameters</w:t>
      </w:r>
      <w:r w:rsidRPr="00FA0D37">
        <w:t xml:space="preserve"> information element</w:t>
      </w:r>
    </w:p>
    <w:p w14:paraId="4461BFB1" w14:textId="77777777" w:rsidR="00394471" w:rsidRPr="00FA0D37" w:rsidRDefault="00394471" w:rsidP="00FA0D37">
      <w:pPr>
        <w:pStyle w:val="PL"/>
        <w:rPr>
          <w:color w:val="808080"/>
        </w:rPr>
      </w:pPr>
      <w:r w:rsidRPr="00FA0D37">
        <w:rPr>
          <w:color w:val="808080"/>
        </w:rPr>
        <w:t>-- ASN1START</w:t>
      </w:r>
    </w:p>
    <w:p w14:paraId="7503B367" w14:textId="77777777" w:rsidR="00394471" w:rsidRPr="00FA0D37" w:rsidRDefault="00394471" w:rsidP="00FA0D37">
      <w:pPr>
        <w:pStyle w:val="PL"/>
        <w:rPr>
          <w:color w:val="808080"/>
        </w:rPr>
      </w:pPr>
      <w:r w:rsidRPr="00FA0D37">
        <w:rPr>
          <w:color w:val="808080"/>
        </w:rPr>
        <w:t>-- TAG-NRDC-PARAMETERS-START</w:t>
      </w:r>
    </w:p>
    <w:p w14:paraId="2A0668E9" w14:textId="77777777" w:rsidR="00394471" w:rsidRPr="00FA0D37" w:rsidRDefault="00394471" w:rsidP="00FA0D37">
      <w:pPr>
        <w:pStyle w:val="PL"/>
      </w:pPr>
    </w:p>
    <w:p w14:paraId="52F37B19" w14:textId="77777777" w:rsidR="00394471" w:rsidRPr="00FA0D37" w:rsidRDefault="00394471" w:rsidP="00FA0D37">
      <w:pPr>
        <w:pStyle w:val="PL"/>
      </w:pPr>
      <w:r w:rsidRPr="00FA0D37">
        <w:t xml:space="preserve">NRDC-Parameters ::=                 </w:t>
      </w:r>
      <w:r w:rsidRPr="00FA0D37">
        <w:rPr>
          <w:color w:val="993366"/>
        </w:rPr>
        <w:t>SEQUENCE</w:t>
      </w:r>
      <w:r w:rsidRPr="00FA0D37">
        <w:t xml:space="preserve"> {</w:t>
      </w:r>
    </w:p>
    <w:p w14:paraId="61C660B8" w14:textId="77777777" w:rsidR="00394471" w:rsidRPr="00FA0D37" w:rsidRDefault="00394471" w:rsidP="00FA0D37">
      <w:pPr>
        <w:pStyle w:val="PL"/>
      </w:pPr>
      <w:r w:rsidRPr="00FA0D37">
        <w:t xml:space="preserve">    measAndMobParametersNRDC            MeasAndMobParametersMRDC                    </w:t>
      </w:r>
      <w:r w:rsidRPr="00FA0D37">
        <w:rPr>
          <w:color w:val="993366"/>
        </w:rPr>
        <w:t>OPTIONAL</w:t>
      </w:r>
      <w:r w:rsidRPr="00FA0D37">
        <w:t>,</w:t>
      </w:r>
    </w:p>
    <w:p w14:paraId="12796F9A" w14:textId="77777777" w:rsidR="00394471" w:rsidRPr="00FA0D37" w:rsidRDefault="00394471" w:rsidP="00FA0D37">
      <w:pPr>
        <w:pStyle w:val="PL"/>
      </w:pPr>
      <w:r w:rsidRPr="00FA0D37">
        <w:t xml:space="preserve">    generalParametersNRDC               GeneralParametersMRDC-XDD-Diff              </w:t>
      </w:r>
      <w:r w:rsidRPr="00FA0D37">
        <w:rPr>
          <w:color w:val="993366"/>
        </w:rPr>
        <w:t>OPTIONAL</w:t>
      </w:r>
      <w:r w:rsidRPr="00FA0D37">
        <w:t>,</w:t>
      </w:r>
    </w:p>
    <w:p w14:paraId="57BB2AFB" w14:textId="77777777" w:rsidR="00394471" w:rsidRPr="00FA0D37" w:rsidRDefault="00394471" w:rsidP="00FA0D37">
      <w:pPr>
        <w:pStyle w:val="PL"/>
      </w:pPr>
      <w:r w:rsidRPr="00FA0D37">
        <w:t xml:space="preserve">    fdd-Add-UE-NRDC-Capabilities        UE-MRDC-CapabilityAddXDD-Mode               </w:t>
      </w:r>
      <w:r w:rsidRPr="00FA0D37">
        <w:rPr>
          <w:color w:val="993366"/>
        </w:rPr>
        <w:t>OPTIONAL</w:t>
      </w:r>
      <w:r w:rsidRPr="00FA0D37">
        <w:t>,</w:t>
      </w:r>
    </w:p>
    <w:p w14:paraId="426CB653" w14:textId="77777777" w:rsidR="00394471" w:rsidRPr="00FA0D37" w:rsidRDefault="00394471" w:rsidP="00FA0D37">
      <w:pPr>
        <w:pStyle w:val="PL"/>
      </w:pPr>
      <w:r w:rsidRPr="00FA0D37">
        <w:t xml:space="preserve">    tdd-Add-UE-NRDC-Capabilities        UE-MRDC-CapabilityAddXDD-Mode               </w:t>
      </w:r>
      <w:r w:rsidRPr="00FA0D37">
        <w:rPr>
          <w:color w:val="993366"/>
        </w:rPr>
        <w:t>OPTIONAL</w:t>
      </w:r>
      <w:r w:rsidRPr="00FA0D37">
        <w:t>,</w:t>
      </w:r>
    </w:p>
    <w:p w14:paraId="5F9B7181" w14:textId="77777777" w:rsidR="00394471" w:rsidRPr="00FA0D37" w:rsidRDefault="00394471" w:rsidP="00FA0D37">
      <w:pPr>
        <w:pStyle w:val="PL"/>
      </w:pPr>
      <w:r w:rsidRPr="00FA0D37">
        <w:t xml:space="preserve">    fr1-Add-UE-NRDC-Capabilities        UE-MRDC-CapabilityAddFRX-Mode               </w:t>
      </w:r>
      <w:r w:rsidRPr="00FA0D37">
        <w:rPr>
          <w:color w:val="993366"/>
        </w:rPr>
        <w:t>OPTIONAL</w:t>
      </w:r>
      <w:r w:rsidRPr="00FA0D37">
        <w:t>,</w:t>
      </w:r>
    </w:p>
    <w:p w14:paraId="695E5C85" w14:textId="77777777" w:rsidR="00394471" w:rsidRPr="00FA0D37" w:rsidRDefault="00394471" w:rsidP="00FA0D37">
      <w:pPr>
        <w:pStyle w:val="PL"/>
      </w:pPr>
      <w:r w:rsidRPr="00FA0D37">
        <w:t xml:space="preserve">    fr2-Add-UE-NRDC-Capabilities        UE-MRDC-CapabilityAddFRX-Mode               </w:t>
      </w:r>
      <w:r w:rsidRPr="00FA0D37">
        <w:rPr>
          <w:color w:val="993366"/>
        </w:rPr>
        <w:t>OPTIONAL</w:t>
      </w:r>
      <w:r w:rsidRPr="00FA0D37">
        <w:t>,</w:t>
      </w:r>
    </w:p>
    <w:p w14:paraId="6410416A" w14:textId="7F07EF53" w:rsidR="00394471" w:rsidRPr="00FA0D37" w:rsidRDefault="00394471" w:rsidP="00FA0D37">
      <w:pPr>
        <w:pStyle w:val="PL"/>
      </w:pPr>
      <w:r w:rsidRPr="00FA0D37">
        <w:t xml:space="preserve">    </w:t>
      </w:r>
      <w:r w:rsidR="007337FB" w:rsidRPr="00FA0D37">
        <w:t xml:space="preserve">dummy2                   </w:t>
      </w:r>
      <w:r w:rsidRPr="00FA0D37">
        <w:t xml:space="preserve">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EAA7D50" w14:textId="77777777" w:rsidR="00394471" w:rsidRPr="00FA0D37" w:rsidRDefault="00394471" w:rsidP="00FA0D37">
      <w:pPr>
        <w:pStyle w:val="PL"/>
      </w:pPr>
      <w:r w:rsidRPr="00FA0D37">
        <w:t xml:space="preserve">    dummy                               </w:t>
      </w:r>
      <w:r w:rsidRPr="00FA0D37">
        <w:rPr>
          <w:color w:val="993366"/>
        </w:rPr>
        <w:t>SEQUENCE</w:t>
      </w:r>
      <w:r w:rsidRPr="00FA0D37">
        <w:t xml:space="preserve"> {}                                 </w:t>
      </w:r>
      <w:r w:rsidRPr="00FA0D37">
        <w:rPr>
          <w:color w:val="993366"/>
        </w:rPr>
        <w:t>OPTIONAL</w:t>
      </w:r>
    </w:p>
    <w:p w14:paraId="4D963EED" w14:textId="77777777" w:rsidR="00394471" w:rsidRPr="00FA0D37" w:rsidRDefault="00394471" w:rsidP="00FA0D37">
      <w:pPr>
        <w:pStyle w:val="PL"/>
      </w:pPr>
      <w:r w:rsidRPr="00FA0D37">
        <w:t>}</w:t>
      </w:r>
    </w:p>
    <w:p w14:paraId="17F8F446" w14:textId="77777777" w:rsidR="00394471" w:rsidRPr="00FA0D37" w:rsidRDefault="00394471" w:rsidP="00FA0D37">
      <w:pPr>
        <w:pStyle w:val="PL"/>
      </w:pPr>
    </w:p>
    <w:p w14:paraId="44BFE3AB" w14:textId="77777777" w:rsidR="00394471" w:rsidRPr="00FA0D37" w:rsidRDefault="00394471" w:rsidP="00FA0D37">
      <w:pPr>
        <w:pStyle w:val="PL"/>
      </w:pPr>
      <w:r w:rsidRPr="00FA0D37">
        <w:t xml:space="preserve">NRDC-Parameters-v1570 ::=           </w:t>
      </w:r>
      <w:r w:rsidRPr="00FA0D37">
        <w:rPr>
          <w:color w:val="993366"/>
        </w:rPr>
        <w:t>SEQUENCE</w:t>
      </w:r>
      <w:r w:rsidRPr="00FA0D37">
        <w:t xml:space="preserve"> {</w:t>
      </w:r>
    </w:p>
    <w:p w14:paraId="108DE07B" w14:textId="77777777" w:rsidR="00394471" w:rsidRPr="00FA0D37" w:rsidRDefault="00394471" w:rsidP="00FA0D37">
      <w:pPr>
        <w:pStyle w:val="PL"/>
      </w:pPr>
      <w:r w:rsidRPr="00FA0D37">
        <w:t xml:space="preserve">    sfn-SyncNRDC                        </w:t>
      </w:r>
      <w:r w:rsidRPr="00FA0D37">
        <w:rPr>
          <w:color w:val="993366"/>
        </w:rPr>
        <w:t>ENUMERATED</w:t>
      </w:r>
      <w:r w:rsidRPr="00FA0D37">
        <w:t xml:space="preserve"> {supported}                      </w:t>
      </w:r>
      <w:r w:rsidRPr="00FA0D37">
        <w:rPr>
          <w:color w:val="993366"/>
        </w:rPr>
        <w:t>OPTIONAL</w:t>
      </w:r>
    </w:p>
    <w:p w14:paraId="2DE97B7E" w14:textId="77777777" w:rsidR="00394471" w:rsidRPr="00FA0D37" w:rsidRDefault="00394471" w:rsidP="00FA0D37">
      <w:pPr>
        <w:pStyle w:val="PL"/>
      </w:pPr>
      <w:r w:rsidRPr="00FA0D37">
        <w:t>}</w:t>
      </w:r>
    </w:p>
    <w:p w14:paraId="2A557A5E" w14:textId="77777777" w:rsidR="007337FB" w:rsidRPr="00FA0D37" w:rsidRDefault="007337FB" w:rsidP="00FA0D37">
      <w:pPr>
        <w:pStyle w:val="PL"/>
      </w:pPr>
    </w:p>
    <w:p w14:paraId="2C4423A5" w14:textId="5863D3DD" w:rsidR="007337FB" w:rsidRPr="00FA0D37" w:rsidRDefault="007337FB" w:rsidP="00FA0D37">
      <w:pPr>
        <w:pStyle w:val="PL"/>
      </w:pPr>
      <w:r w:rsidRPr="00FA0D37">
        <w:t>NRDC-Parameters</w:t>
      </w:r>
      <w:r w:rsidR="003B657B" w:rsidRPr="00FA0D37">
        <w:t>-v15c0</w:t>
      </w:r>
      <w:r w:rsidRPr="00FA0D37">
        <w:t xml:space="preserve"> ::=           </w:t>
      </w:r>
      <w:r w:rsidRPr="00FA0D37">
        <w:rPr>
          <w:color w:val="993366"/>
        </w:rPr>
        <w:t>SEQUENCE</w:t>
      </w:r>
      <w:r w:rsidRPr="00FA0D37">
        <w:t xml:space="preserve"> {</w:t>
      </w:r>
    </w:p>
    <w:p w14:paraId="4D182CF5" w14:textId="5441B31E" w:rsidR="007337FB" w:rsidRPr="00FA0D37" w:rsidRDefault="007337FB" w:rsidP="00FA0D37">
      <w:pPr>
        <w:pStyle w:val="PL"/>
      </w:pPr>
      <w:r w:rsidRPr="00FA0D37">
        <w:t xml:space="preserve">    pdcp-DuplicationSplitSRB            </w:t>
      </w:r>
      <w:r w:rsidRPr="00FA0D37">
        <w:rPr>
          <w:color w:val="993366"/>
        </w:rPr>
        <w:t>ENUMERATED</w:t>
      </w:r>
      <w:r w:rsidRPr="00FA0D37">
        <w:t xml:space="preserve"> {supported}                      </w:t>
      </w:r>
      <w:r w:rsidRPr="00FA0D37">
        <w:rPr>
          <w:color w:val="993366"/>
        </w:rPr>
        <w:t>OPTIONAL</w:t>
      </w:r>
      <w:r w:rsidRPr="00FA0D37">
        <w:t>,</w:t>
      </w:r>
    </w:p>
    <w:p w14:paraId="33819FCD" w14:textId="3C4A3B1B" w:rsidR="007337FB" w:rsidRPr="00FA0D37" w:rsidRDefault="007337FB" w:rsidP="00FA0D37">
      <w:pPr>
        <w:pStyle w:val="PL"/>
      </w:pPr>
      <w:r w:rsidRPr="00FA0D37">
        <w:t xml:space="preserve">    pdcp-DuplicationSplitDRB            </w:t>
      </w:r>
      <w:r w:rsidRPr="00FA0D37">
        <w:rPr>
          <w:color w:val="993366"/>
        </w:rPr>
        <w:t>ENUMERATED</w:t>
      </w:r>
      <w:r w:rsidRPr="00FA0D37">
        <w:t xml:space="preserve"> {supported}                      </w:t>
      </w:r>
      <w:r w:rsidRPr="00FA0D37">
        <w:rPr>
          <w:color w:val="993366"/>
        </w:rPr>
        <w:t>OPTIONAL</w:t>
      </w:r>
    </w:p>
    <w:p w14:paraId="71335C13" w14:textId="344640CE" w:rsidR="00394471" w:rsidRPr="00FA0D37" w:rsidRDefault="007337FB" w:rsidP="00FA0D37">
      <w:pPr>
        <w:pStyle w:val="PL"/>
      </w:pPr>
      <w:r w:rsidRPr="00FA0D37">
        <w:t>}</w:t>
      </w:r>
    </w:p>
    <w:p w14:paraId="0630FF1F" w14:textId="77777777" w:rsidR="007337FB" w:rsidRPr="00FA0D37" w:rsidRDefault="007337FB" w:rsidP="00FA0D37">
      <w:pPr>
        <w:pStyle w:val="PL"/>
      </w:pPr>
    </w:p>
    <w:p w14:paraId="5A6033CC" w14:textId="77777777" w:rsidR="00394471" w:rsidRPr="00FA0D37" w:rsidRDefault="00394471" w:rsidP="00FA0D37">
      <w:pPr>
        <w:pStyle w:val="PL"/>
      </w:pPr>
      <w:r w:rsidRPr="00FA0D37">
        <w:t xml:space="preserve">NRDC-Parameters-v1610 ::=           </w:t>
      </w:r>
      <w:r w:rsidRPr="00FA0D37">
        <w:rPr>
          <w:color w:val="993366"/>
        </w:rPr>
        <w:t>SEQUENCE</w:t>
      </w:r>
      <w:r w:rsidRPr="00FA0D37">
        <w:t xml:space="preserve"> {</w:t>
      </w:r>
    </w:p>
    <w:p w14:paraId="37AFEC5B" w14:textId="77777777" w:rsidR="00394471" w:rsidRPr="00FA0D37" w:rsidRDefault="00394471" w:rsidP="00FA0D37">
      <w:pPr>
        <w:pStyle w:val="PL"/>
      </w:pPr>
      <w:r w:rsidRPr="00FA0D37">
        <w:t xml:space="preserve">    measAndMobParametersNRDC-v1610      MeasAndMobParametersMRDC-v1610              </w:t>
      </w:r>
      <w:r w:rsidRPr="00FA0D37">
        <w:rPr>
          <w:color w:val="993366"/>
        </w:rPr>
        <w:t>OPTIONAL</w:t>
      </w:r>
    </w:p>
    <w:p w14:paraId="730B3154" w14:textId="77777777" w:rsidR="00394471" w:rsidRPr="00FA0D37" w:rsidRDefault="00394471" w:rsidP="00FA0D37">
      <w:pPr>
        <w:pStyle w:val="PL"/>
      </w:pPr>
      <w:r w:rsidRPr="00FA0D37">
        <w:t>}</w:t>
      </w:r>
    </w:p>
    <w:p w14:paraId="0F704E4B" w14:textId="77777777" w:rsidR="00394471" w:rsidRPr="00FA0D37" w:rsidRDefault="00394471" w:rsidP="00FA0D37">
      <w:pPr>
        <w:pStyle w:val="PL"/>
      </w:pPr>
    </w:p>
    <w:p w14:paraId="129620F1" w14:textId="298B1581" w:rsidR="00022DF1" w:rsidRPr="00FA0D37" w:rsidRDefault="00022DF1" w:rsidP="00FA0D37">
      <w:pPr>
        <w:pStyle w:val="PL"/>
      </w:pPr>
      <w:r w:rsidRPr="00FA0D37">
        <w:t xml:space="preserve">NRDC-Parameters-v1700   ::=         </w:t>
      </w:r>
      <w:r w:rsidRPr="00FA0D37">
        <w:rPr>
          <w:color w:val="993366"/>
        </w:rPr>
        <w:t>SEQUENCE</w:t>
      </w:r>
      <w:r w:rsidRPr="00FA0D37">
        <w:t xml:space="preserve"> {</w:t>
      </w:r>
    </w:p>
    <w:p w14:paraId="247A662A" w14:textId="362B2332" w:rsidR="00022DF1" w:rsidRPr="00FA0D37" w:rsidRDefault="00022DF1" w:rsidP="00FA0D37">
      <w:pPr>
        <w:pStyle w:val="PL"/>
      </w:pPr>
      <w:r w:rsidRPr="00FA0D37">
        <w:t xml:space="preserve">    f1c-OverNR-RRC-r17                  </w:t>
      </w:r>
      <w:r w:rsidRPr="00FA0D37">
        <w:rPr>
          <w:color w:val="993366"/>
        </w:rPr>
        <w:t>ENUMERATED</w:t>
      </w:r>
      <w:r w:rsidRPr="00FA0D37">
        <w:t xml:space="preserve"> {supported}                      </w:t>
      </w:r>
      <w:r w:rsidRPr="00FA0D37">
        <w:rPr>
          <w:color w:val="993366"/>
        </w:rPr>
        <w:t>OPTIONAL</w:t>
      </w:r>
      <w:r w:rsidRPr="00FA0D37">
        <w:t>,</w:t>
      </w:r>
    </w:p>
    <w:p w14:paraId="06AE1DF9" w14:textId="68FB4478" w:rsidR="00022DF1" w:rsidRPr="00FA0D37" w:rsidRDefault="00022DF1" w:rsidP="00FA0D37">
      <w:pPr>
        <w:pStyle w:val="PL"/>
      </w:pPr>
      <w:r w:rsidRPr="00FA0D37">
        <w:t xml:space="preserve">    measAndMobParametersNRDC-v1700      MeasAndMobParametersMRDC-v1700</w:t>
      </w:r>
    </w:p>
    <w:p w14:paraId="62784093" w14:textId="536A7B56" w:rsidR="00394471" w:rsidRPr="00FA0D37" w:rsidRDefault="00022DF1" w:rsidP="00FA0D37">
      <w:pPr>
        <w:pStyle w:val="PL"/>
      </w:pPr>
      <w:r w:rsidRPr="00FA0D37">
        <w:t>}</w:t>
      </w:r>
    </w:p>
    <w:p w14:paraId="370A69E9" w14:textId="77777777" w:rsidR="00022DF1" w:rsidRPr="00FA0D37" w:rsidRDefault="00022DF1" w:rsidP="00FA0D37">
      <w:pPr>
        <w:pStyle w:val="PL"/>
      </w:pPr>
    </w:p>
    <w:p w14:paraId="3A52437C" w14:textId="77777777" w:rsidR="00394471" w:rsidRPr="00FA0D37" w:rsidRDefault="00394471" w:rsidP="00FA0D37">
      <w:pPr>
        <w:pStyle w:val="PL"/>
        <w:rPr>
          <w:color w:val="808080"/>
        </w:rPr>
      </w:pPr>
      <w:r w:rsidRPr="00FA0D37">
        <w:rPr>
          <w:color w:val="808080"/>
        </w:rPr>
        <w:t>-- TAG-NRDC-PARAMETERS-STOP</w:t>
      </w:r>
    </w:p>
    <w:p w14:paraId="00F3BE19" w14:textId="77777777" w:rsidR="00394471" w:rsidRPr="00FA0D37" w:rsidRDefault="00394471" w:rsidP="00FA0D37">
      <w:pPr>
        <w:pStyle w:val="PL"/>
        <w:rPr>
          <w:color w:val="808080"/>
        </w:rPr>
      </w:pPr>
      <w:r w:rsidRPr="00FA0D37">
        <w:rPr>
          <w:color w:val="808080"/>
        </w:rPr>
        <w:t>-- ASN1STOP</w:t>
      </w:r>
    </w:p>
    <w:p w14:paraId="21D07497" w14:textId="3AF3504D" w:rsidR="00394471" w:rsidRPr="00FA0D37" w:rsidRDefault="00394471" w:rsidP="00394471"/>
    <w:p w14:paraId="2A9D7DB7" w14:textId="77777777" w:rsidR="00C511AD" w:rsidRPr="00FA0D37" w:rsidRDefault="00C511AD" w:rsidP="00C511AD"/>
    <w:p w14:paraId="76EC8EB9" w14:textId="77777777" w:rsidR="00C511AD" w:rsidRPr="00FA0D37" w:rsidRDefault="00C511AD" w:rsidP="00F747EB">
      <w:pPr>
        <w:pStyle w:val="4"/>
      </w:pPr>
      <w:bookmarkStart w:id="1586" w:name="_Toc146781569"/>
      <w:r w:rsidRPr="00FA0D37">
        <w:t>–</w:t>
      </w:r>
      <w:r w:rsidRPr="00FA0D37">
        <w:tab/>
      </w:r>
      <w:r w:rsidRPr="00FA0D37">
        <w:rPr>
          <w:i/>
          <w:iCs/>
          <w:noProof/>
        </w:rPr>
        <w:t>NTN-Parameters</w:t>
      </w:r>
      <w:bookmarkEnd w:id="1586"/>
    </w:p>
    <w:p w14:paraId="6C2C46B7" w14:textId="77777777" w:rsidR="00C511AD" w:rsidRPr="00FA0D37" w:rsidRDefault="00C511AD" w:rsidP="00C511AD">
      <w:pPr>
        <w:rPr>
          <w:iCs/>
        </w:rPr>
      </w:pPr>
      <w:r w:rsidRPr="00FA0D37">
        <w:rPr>
          <w:rFonts w:eastAsia="Malgun Gothic"/>
        </w:rPr>
        <w:t xml:space="preserve">The IE </w:t>
      </w:r>
      <w:r w:rsidRPr="00FA0D37">
        <w:rPr>
          <w:rFonts w:eastAsia="Malgun Gothic"/>
          <w:i/>
          <w:iCs/>
        </w:rPr>
        <w:t>NTN-Parameters</w:t>
      </w:r>
      <w:r w:rsidRPr="00FA0D37">
        <w:rPr>
          <w:rFonts w:eastAsia="Malgun Gothic"/>
        </w:rPr>
        <w:t xml:space="preserve"> is used to convey the subset of UE Radio Access Capability Parameters that apply to NTN access when there is a difference compared to TN access.</w:t>
      </w:r>
    </w:p>
    <w:p w14:paraId="79A1CFE4" w14:textId="77777777" w:rsidR="00C511AD" w:rsidRPr="00FA0D37" w:rsidRDefault="00C511AD" w:rsidP="00F747EB">
      <w:pPr>
        <w:pStyle w:val="TH"/>
      </w:pPr>
      <w:r w:rsidRPr="00FA0D37">
        <w:rPr>
          <w:i/>
        </w:rPr>
        <w:t>NTN-Parameters</w:t>
      </w:r>
      <w:r w:rsidRPr="00FA0D37">
        <w:t xml:space="preserve"> information element</w:t>
      </w:r>
    </w:p>
    <w:p w14:paraId="0291A94A" w14:textId="77777777" w:rsidR="00C511AD" w:rsidRPr="00FA0D37" w:rsidRDefault="00C511AD" w:rsidP="00FA0D37">
      <w:pPr>
        <w:pStyle w:val="PL"/>
        <w:rPr>
          <w:color w:val="808080"/>
        </w:rPr>
      </w:pPr>
      <w:r w:rsidRPr="00FA0D37">
        <w:rPr>
          <w:color w:val="808080"/>
        </w:rPr>
        <w:t>-- ASN1START</w:t>
      </w:r>
    </w:p>
    <w:p w14:paraId="1E290836" w14:textId="77777777" w:rsidR="00C511AD" w:rsidRPr="00FA0D37" w:rsidRDefault="00C511AD" w:rsidP="00FA0D37">
      <w:pPr>
        <w:pStyle w:val="PL"/>
        <w:rPr>
          <w:color w:val="808080"/>
        </w:rPr>
      </w:pPr>
      <w:r w:rsidRPr="00FA0D37">
        <w:rPr>
          <w:color w:val="808080"/>
        </w:rPr>
        <w:t>-- TAG-NTN-PARAMETERS-START</w:t>
      </w:r>
    </w:p>
    <w:p w14:paraId="272CC561" w14:textId="77777777" w:rsidR="00C511AD" w:rsidRPr="00FA0D37" w:rsidRDefault="00C511AD" w:rsidP="00FA0D37">
      <w:pPr>
        <w:pStyle w:val="PL"/>
      </w:pPr>
    </w:p>
    <w:p w14:paraId="7B9CD1D5" w14:textId="37D52BA4" w:rsidR="00C511AD" w:rsidRPr="00FA0D37" w:rsidRDefault="00C511AD" w:rsidP="00FA0D37">
      <w:pPr>
        <w:pStyle w:val="PL"/>
      </w:pPr>
      <w:r w:rsidRPr="00FA0D37">
        <w:t xml:space="preserve">NTN-Parameters-r17 ::= </w:t>
      </w:r>
      <w:r w:rsidRPr="00FA0D37">
        <w:rPr>
          <w:color w:val="993366"/>
        </w:rPr>
        <w:t>SEQUENCE</w:t>
      </w:r>
      <w:r w:rsidRPr="00FA0D37">
        <w:t xml:space="preserve"> {</w:t>
      </w:r>
    </w:p>
    <w:p w14:paraId="4A2AD00A" w14:textId="60AF9CEB" w:rsidR="00C511AD" w:rsidRPr="00FA0D37" w:rsidRDefault="00C511AD" w:rsidP="00FA0D37">
      <w:pPr>
        <w:pStyle w:val="PL"/>
      </w:pPr>
      <w:r w:rsidRPr="00FA0D37">
        <w:t xml:space="preserve">    inactiveStateNTN-r17                </w:t>
      </w:r>
      <w:r w:rsidRPr="00FA0D37">
        <w:rPr>
          <w:color w:val="993366"/>
        </w:rPr>
        <w:t>ENUMERATED</w:t>
      </w:r>
      <w:r w:rsidRPr="00FA0D37">
        <w:t xml:space="preserve"> {supported}                                </w:t>
      </w:r>
      <w:r w:rsidRPr="00FA0D37">
        <w:rPr>
          <w:color w:val="993366"/>
        </w:rPr>
        <w:t>OPTIONAL</w:t>
      </w:r>
      <w:r w:rsidRPr="00FA0D37">
        <w:t>,</w:t>
      </w:r>
    </w:p>
    <w:p w14:paraId="677BEC9E" w14:textId="72C0218F" w:rsidR="00C511AD" w:rsidRPr="00FA0D37" w:rsidRDefault="00C511AD" w:rsidP="00FA0D37">
      <w:pPr>
        <w:pStyle w:val="PL"/>
      </w:pPr>
      <w:r w:rsidRPr="00FA0D37">
        <w:t xml:space="preserve">    ra-SDT-NTN-r17                      </w:t>
      </w:r>
      <w:r w:rsidRPr="00FA0D37">
        <w:rPr>
          <w:color w:val="993366"/>
        </w:rPr>
        <w:t>ENUMERATED</w:t>
      </w:r>
      <w:r w:rsidRPr="00FA0D37">
        <w:t xml:space="preserve"> {supported}                                </w:t>
      </w:r>
      <w:r w:rsidRPr="00FA0D37">
        <w:rPr>
          <w:color w:val="993366"/>
        </w:rPr>
        <w:t>OPTIONAL</w:t>
      </w:r>
      <w:r w:rsidRPr="00FA0D37">
        <w:t>,</w:t>
      </w:r>
    </w:p>
    <w:p w14:paraId="18315333" w14:textId="2E2FA7A6" w:rsidR="00C511AD" w:rsidRPr="00FA0D37" w:rsidRDefault="00C511AD" w:rsidP="00FA0D37">
      <w:pPr>
        <w:pStyle w:val="PL"/>
      </w:pPr>
      <w:r w:rsidRPr="00FA0D37">
        <w:t xml:space="preserve">    srb-SDT-NTN-r17                     </w:t>
      </w:r>
      <w:r w:rsidRPr="00FA0D37">
        <w:rPr>
          <w:color w:val="993366"/>
        </w:rPr>
        <w:t>ENUMERATED</w:t>
      </w:r>
      <w:r w:rsidRPr="00FA0D37">
        <w:t xml:space="preserve"> {supported}                                </w:t>
      </w:r>
      <w:r w:rsidRPr="00FA0D37">
        <w:rPr>
          <w:color w:val="993366"/>
        </w:rPr>
        <w:t>OPTIONAL</w:t>
      </w:r>
      <w:r w:rsidRPr="00FA0D37">
        <w:t>,</w:t>
      </w:r>
    </w:p>
    <w:p w14:paraId="37519149" w14:textId="54CED451" w:rsidR="00C511AD" w:rsidRPr="00FA0D37" w:rsidRDefault="00C511AD" w:rsidP="00FA0D37">
      <w:pPr>
        <w:pStyle w:val="PL"/>
      </w:pPr>
      <w:r w:rsidRPr="00FA0D37">
        <w:t xml:space="preserve">    measAndMobParametersNTN-r17         MeasAndMobParameters                                  </w:t>
      </w:r>
      <w:r w:rsidRPr="00FA0D37">
        <w:rPr>
          <w:color w:val="993366"/>
        </w:rPr>
        <w:t>OPTIONAL</w:t>
      </w:r>
      <w:r w:rsidRPr="00FA0D37">
        <w:t>,</w:t>
      </w:r>
    </w:p>
    <w:p w14:paraId="4F3F7B7B" w14:textId="5D9AB1B2" w:rsidR="00C511AD" w:rsidRPr="00FA0D37" w:rsidRDefault="00C511AD" w:rsidP="00FA0D37">
      <w:pPr>
        <w:pStyle w:val="PL"/>
      </w:pPr>
      <w:r w:rsidRPr="00FA0D37">
        <w:t xml:space="preserve">    mac-ParametersNTN-r17               MAC-Parameters                                        </w:t>
      </w:r>
      <w:r w:rsidRPr="00FA0D37">
        <w:rPr>
          <w:color w:val="993366"/>
        </w:rPr>
        <w:t>OPTIONAL</w:t>
      </w:r>
      <w:r w:rsidRPr="00FA0D37">
        <w:t>,</w:t>
      </w:r>
    </w:p>
    <w:p w14:paraId="5170EEFB" w14:textId="0DA05F6D" w:rsidR="00C511AD" w:rsidRPr="00FA0D37" w:rsidRDefault="00C511AD" w:rsidP="00FA0D37">
      <w:pPr>
        <w:pStyle w:val="PL"/>
      </w:pPr>
      <w:r w:rsidRPr="00FA0D37">
        <w:t xml:space="preserve">    phy-ParametersNTN-r17               Phy-Parameters                                        </w:t>
      </w:r>
      <w:r w:rsidRPr="00FA0D37">
        <w:rPr>
          <w:color w:val="993366"/>
        </w:rPr>
        <w:t>OPTIONAL</w:t>
      </w:r>
      <w:r w:rsidRPr="00FA0D37">
        <w:t>,</w:t>
      </w:r>
    </w:p>
    <w:p w14:paraId="748CF017" w14:textId="5F860268" w:rsidR="00C511AD" w:rsidRPr="00FA0D37" w:rsidRDefault="00C511AD" w:rsidP="00FA0D37">
      <w:pPr>
        <w:pStyle w:val="PL"/>
      </w:pPr>
      <w:r w:rsidRPr="00FA0D37">
        <w:t xml:space="preserve">    fdd-Add-UE-NR-CapabilitiesNTN-r17   UE-NR-CapabilityAddXDD-Mode                           </w:t>
      </w:r>
      <w:r w:rsidRPr="00FA0D37">
        <w:rPr>
          <w:color w:val="993366"/>
        </w:rPr>
        <w:t>OPTIONAL</w:t>
      </w:r>
      <w:r w:rsidRPr="00FA0D37">
        <w:t>,</w:t>
      </w:r>
    </w:p>
    <w:p w14:paraId="5DE3AB8C" w14:textId="3B055112" w:rsidR="00C511AD" w:rsidRPr="00FA0D37" w:rsidRDefault="00C511AD" w:rsidP="00FA0D37">
      <w:pPr>
        <w:pStyle w:val="PL"/>
      </w:pPr>
      <w:r w:rsidRPr="00FA0D37">
        <w:t xml:space="preserve">    fr1-Add-UE-NR-CapabilitiesNTN-r17   UE-NR-CapabilityAddFRX-Mode                           </w:t>
      </w:r>
      <w:r w:rsidRPr="00FA0D37">
        <w:rPr>
          <w:color w:val="993366"/>
        </w:rPr>
        <w:t>OPTIONAL</w:t>
      </w:r>
      <w:r w:rsidRPr="00FA0D37">
        <w:t>,</w:t>
      </w:r>
    </w:p>
    <w:p w14:paraId="02390A2E" w14:textId="19911189" w:rsidR="00C511AD" w:rsidRPr="00FA0D37" w:rsidRDefault="00C511AD" w:rsidP="00FA0D37">
      <w:pPr>
        <w:pStyle w:val="PL"/>
      </w:pPr>
      <w:r w:rsidRPr="00FA0D37">
        <w:t xml:space="preserve">    ue-BasedPerfMeas-ParametersNTN-r17  UE-BasedPerfMeas-Parameters-r16                       </w:t>
      </w:r>
      <w:r w:rsidRPr="00FA0D37">
        <w:rPr>
          <w:color w:val="993366"/>
        </w:rPr>
        <w:t>OPTIONAL</w:t>
      </w:r>
      <w:r w:rsidRPr="00FA0D37">
        <w:t>,</w:t>
      </w:r>
    </w:p>
    <w:p w14:paraId="614844E6" w14:textId="15E746B6" w:rsidR="00C511AD" w:rsidRPr="00FA0D37" w:rsidRDefault="00C511AD" w:rsidP="00FA0D37">
      <w:pPr>
        <w:pStyle w:val="PL"/>
      </w:pPr>
      <w:r w:rsidRPr="00FA0D37">
        <w:t xml:space="preserve">    son-ParametersNTN-r17               SON-Parameters-r16                                    </w:t>
      </w:r>
      <w:r w:rsidRPr="00FA0D37">
        <w:rPr>
          <w:color w:val="993366"/>
        </w:rPr>
        <w:t>OPTIONAL</w:t>
      </w:r>
    </w:p>
    <w:p w14:paraId="2C88229F" w14:textId="77777777" w:rsidR="00C511AD" w:rsidRPr="00FA0D37" w:rsidRDefault="00C511AD" w:rsidP="00FA0D37">
      <w:pPr>
        <w:pStyle w:val="PL"/>
      </w:pPr>
      <w:r w:rsidRPr="00FA0D37">
        <w:t>}</w:t>
      </w:r>
    </w:p>
    <w:p w14:paraId="3AAF23D5" w14:textId="77777777" w:rsidR="00C511AD" w:rsidRPr="00FA0D37" w:rsidRDefault="00C511AD" w:rsidP="00FA0D37">
      <w:pPr>
        <w:pStyle w:val="PL"/>
      </w:pPr>
    </w:p>
    <w:p w14:paraId="661E273B" w14:textId="77777777" w:rsidR="00C511AD" w:rsidRPr="00FA0D37" w:rsidRDefault="00C511AD" w:rsidP="00FA0D37">
      <w:pPr>
        <w:pStyle w:val="PL"/>
        <w:rPr>
          <w:color w:val="808080"/>
        </w:rPr>
      </w:pPr>
      <w:r w:rsidRPr="00FA0D37">
        <w:rPr>
          <w:color w:val="808080"/>
        </w:rPr>
        <w:t>-- TAG-NTN-PARAMETERS-STOP</w:t>
      </w:r>
    </w:p>
    <w:p w14:paraId="4F46CC27" w14:textId="1A3E610E" w:rsidR="00C511AD" w:rsidRPr="00FA0D37" w:rsidRDefault="00C511AD" w:rsidP="00FA0D37">
      <w:pPr>
        <w:pStyle w:val="PL"/>
        <w:rPr>
          <w:color w:val="808080"/>
        </w:rPr>
      </w:pPr>
      <w:r w:rsidRPr="00FA0D37">
        <w:rPr>
          <w:color w:val="808080"/>
        </w:rPr>
        <w:t>-- ASN1STOP</w:t>
      </w:r>
    </w:p>
    <w:p w14:paraId="4B3DB9A3" w14:textId="77777777" w:rsidR="00C511AD" w:rsidRPr="00FA0D37" w:rsidRDefault="00C511AD" w:rsidP="00C511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8"/>
      </w:tblGrid>
      <w:tr w:rsidR="005C7FF4" w:rsidRPr="00FA0D37" w14:paraId="2B18234E" w14:textId="77777777" w:rsidTr="00771058">
        <w:tc>
          <w:tcPr>
            <w:tcW w:w="14278" w:type="dxa"/>
            <w:tcBorders>
              <w:top w:val="single" w:sz="4" w:space="0" w:color="auto"/>
              <w:left w:val="single" w:sz="4" w:space="0" w:color="auto"/>
              <w:bottom w:val="single" w:sz="4" w:space="0" w:color="auto"/>
              <w:right w:val="single" w:sz="4" w:space="0" w:color="auto"/>
            </w:tcBorders>
            <w:hideMark/>
          </w:tcPr>
          <w:p w14:paraId="1A0774CA" w14:textId="77777777" w:rsidR="00C511AD" w:rsidRPr="00FA0D37" w:rsidRDefault="00C511AD" w:rsidP="00F747EB">
            <w:pPr>
              <w:pStyle w:val="TAH"/>
              <w:rPr>
                <w:i/>
                <w:iCs/>
                <w:lang w:eastAsia="sv-SE"/>
              </w:rPr>
            </w:pPr>
            <w:r w:rsidRPr="00FA0D37">
              <w:rPr>
                <w:i/>
                <w:iCs/>
                <w:lang w:eastAsia="sv-SE"/>
              </w:rPr>
              <w:lastRenderedPageBreak/>
              <w:t>NTN-Parameters</w:t>
            </w:r>
            <w:r w:rsidRPr="00FA0D37">
              <w:rPr>
                <w:lang w:eastAsia="sv-SE"/>
              </w:rPr>
              <w:t xml:space="preserve"> field descriptions</w:t>
            </w:r>
          </w:p>
        </w:tc>
      </w:tr>
      <w:tr w:rsidR="005C7FF4" w:rsidRPr="00FA0D37" w14:paraId="39289D56" w14:textId="77777777" w:rsidTr="00771058">
        <w:tc>
          <w:tcPr>
            <w:tcW w:w="14278" w:type="dxa"/>
            <w:tcBorders>
              <w:top w:val="single" w:sz="4" w:space="0" w:color="auto"/>
              <w:left w:val="single" w:sz="4" w:space="0" w:color="auto"/>
              <w:bottom w:val="single" w:sz="4" w:space="0" w:color="auto"/>
              <w:right w:val="single" w:sz="4" w:space="0" w:color="auto"/>
            </w:tcBorders>
          </w:tcPr>
          <w:p w14:paraId="580F2A78" w14:textId="77777777" w:rsidR="00C511AD" w:rsidRPr="00FA0D37" w:rsidRDefault="00C511AD" w:rsidP="00F747EB">
            <w:pPr>
              <w:pStyle w:val="TAL"/>
              <w:rPr>
                <w:b/>
                <w:bCs/>
                <w:i/>
                <w:iCs/>
                <w:lang w:eastAsia="sv-SE"/>
              </w:rPr>
            </w:pPr>
            <w:r w:rsidRPr="00FA0D37">
              <w:rPr>
                <w:b/>
                <w:bCs/>
                <w:i/>
                <w:iCs/>
                <w:lang w:eastAsia="sv-SE"/>
              </w:rPr>
              <w:t>fdd-Add-UE-NR-CapabilitiesNTN</w:t>
            </w:r>
          </w:p>
          <w:p w14:paraId="58DD3434" w14:textId="77777777" w:rsidR="00C511AD" w:rsidRPr="00FA0D37" w:rsidRDefault="00C511AD" w:rsidP="00F747EB">
            <w:pPr>
              <w:pStyle w:val="TAL"/>
              <w:rPr>
                <w:lang w:eastAsia="sv-SE"/>
              </w:rPr>
            </w:pPr>
            <w:r w:rsidRPr="00FA0D37">
              <w:rPr>
                <w:rFonts w:eastAsia="MS Mincho"/>
                <w:lang w:eastAsia="sv-SE"/>
              </w:rPr>
              <w:t xml:space="preserve">NTN related capabilities which the UE supports in NTN differently than in TN. If absent, </w:t>
            </w:r>
            <w:r w:rsidRPr="00FA0D37">
              <w:rPr>
                <w:rFonts w:eastAsia="MS Mincho"/>
                <w:i/>
                <w:iCs/>
                <w:lang w:eastAsia="sv-SE"/>
              </w:rPr>
              <w:t>fdd-Add-UE-NR-Capabilities</w:t>
            </w:r>
            <w:r w:rsidRPr="00FA0D37">
              <w:rPr>
                <w:rFonts w:eastAsia="MS Mincho"/>
                <w:lang w:eastAsia="sv-SE"/>
              </w:rPr>
              <w:t xml:space="preserve"> applies to NTN.</w:t>
            </w:r>
          </w:p>
        </w:tc>
      </w:tr>
      <w:tr w:rsidR="005C7FF4" w:rsidRPr="00FA0D37" w14:paraId="1FE52704" w14:textId="77777777" w:rsidTr="00771058">
        <w:tc>
          <w:tcPr>
            <w:tcW w:w="14278" w:type="dxa"/>
            <w:tcBorders>
              <w:top w:val="single" w:sz="4" w:space="0" w:color="auto"/>
              <w:left w:val="single" w:sz="4" w:space="0" w:color="auto"/>
              <w:bottom w:val="single" w:sz="4" w:space="0" w:color="auto"/>
              <w:right w:val="single" w:sz="4" w:space="0" w:color="auto"/>
            </w:tcBorders>
          </w:tcPr>
          <w:p w14:paraId="6628BC0A" w14:textId="46E5C99C" w:rsidR="00C511AD" w:rsidRPr="00FA0D37" w:rsidRDefault="00C511AD" w:rsidP="00F747EB">
            <w:pPr>
              <w:pStyle w:val="TAL"/>
              <w:rPr>
                <w:b/>
                <w:bCs/>
                <w:i/>
                <w:iCs/>
                <w:lang w:eastAsia="sv-SE"/>
              </w:rPr>
            </w:pPr>
            <w:r w:rsidRPr="00FA0D37">
              <w:rPr>
                <w:b/>
                <w:bCs/>
                <w:i/>
                <w:iCs/>
                <w:lang w:eastAsia="sv-SE"/>
              </w:rPr>
              <w:t>fr1-Add-UE-NR-CapabilitiesNTN</w:t>
            </w:r>
          </w:p>
          <w:p w14:paraId="43C2B6A1" w14:textId="77777777" w:rsidR="00C511AD" w:rsidRPr="00FA0D37" w:rsidRDefault="00C511AD" w:rsidP="00F747EB">
            <w:pPr>
              <w:pStyle w:val="TAL"/>
              <w:rPr>
                <w:lang w:eastAsia="sv-SE"/>
              </w:rPr>
            </w:pPr>
            <w:r w:rsidRPr="00FA0D37">
              <w:rPr>
                <w:rFonts w:eastAsia="MS Mincho"/>
                <w:lang w:eastAsia="sv-SE"/>
              </w:rPr>
              <w:t xml:space="preserve">NTN related capabilities which the UE supports in NTN differently than in TN. If absent, </w:t>
            </w:r>
            <w:r w:rsidRPr="00FA0D37">
              <w:rPr>
                <w:rFonts w:eastAsia="MS Mincho"/>
                <w:i/>
                <w:iCs/>
                <w:lang w:eastAsia="sv-SE"/>
              </w:rPr>
              <w:t>fr1-Add-UE-NR-Capabilities</w:t>
            </w:r>
            <w:r w:rsidRPr="00FA0D37">
              <w:rPr>
                <w:rFonts w:eastAsia="MS Mincho"/>
                <w:lang w:eastAsia="sv-SE"/>
              </w:rPr>
              <w:t xml:space="preserve"> applies to NTN.</w:t>
            </w:r>
          </w:p>
        </w:tc>
      </w:tr>
      <w:tr w:rsidR="005C7FF4" w:rsidRPr="00FA0D37" w14:paraId="3C80A6AB" w14:textId="77777777" w:rsidTr="00771058">
        <w:tc>
          <w:tcPr>
            <w:tcW w:w="14278" w:type="dxa"/>
            <w:tcBorders>
              <w:top w:val="single" w:sz="4" w:space="0" w:color="auto"/>
              <w:left w:val="single" w:sz="4" w:space="0" w:color="auto"/>
              <w:bottom w:val="single" w:sz="4" w:space="0" w:color="auto"/>
              <w:right w:val="single" w:sz="4" w:space="0" w:color="auto"/>
            </w:tcBorders>
            <w:hideMark/>
          </w:tcPr>
          <w:p w14:paraId="7ECBDB98" w14:textId="1E595A67" w:rsidR="00C511AD" w:rsidRPr="00FA0D37" w:rsidRDefault="00C511AD" w:rsidP="00F747EB">
            <w:pPr>
              <w:pStyle w:val="TAL"/>
              <w:rPr>
                <w:b/>
                <w:bCs/>
                <w:i/>
                <w:iCs/>
                <w:lang w:eastAsia="sv-SE"/>
              </w:rPr>
            </w:pPr>
            <w:r w:rsidRPr="00FA0D37">
              <w:rPr>
                <w:b/>
                <w:bCs/>
                <w:i/>
                <w:iCs/>
                <w:lang w:eastAsia="sv-SE"/>
              </w:rPr>
              <w:t>mac-ParametersNTN</w:t>
            </w:r>
          </w:p>
          <w:p w14:paraId="6DB46481" w14:textId="77777777" w:rsidR="00C511AD" w:rsidRPr="00FA0D37" w:rsidRDefault="00C511AD" w:rsidP="00F747EB">
            <w:pPr>
              <w:pStyle w:val="TAL"/>
              <w:rPr>
                <w:lang w:eastAsia="sv-SE"/>
              </w:rPr>
            </w:pPr>
            <w:r w:rsidRPr="00FA0D37">
              <w:rPr>
                <w:rFonts w:eastAsia="MS Mincho"/>
                <w:lang w:eastAsia="sv-SE"/>
              </w:rPr>
              <w:t xml:space="preserve">NTN related capabilities which the UE supports in NTN differently than in TN. If absent, </w:t>
            </w:r>
            <w:r w:rsidRPr="00FA0D37">
              <w:rPr>
                <w:rFonts w:eastAsia="MS Mincho"/>
                <w:i/>
                <w:iCs/>
                <w:lang w:eastAsia="sv-SE"/>
              </w:rPr>
              <w:t>mac-Parameters</w:t>
            </w:r>
            <w:r w:rsidRPr="00FA0D37">
              <w:rPr>
                <w:rFonts w:eastAsia="MS Mincho"/>
                <w:lang w:eastAsia="sv-SE"/>
              </w:rPr>
              <w:t xml:space="preserve"> applies to NTN.</w:t>
            </w:r>
          </w:p>
        </w:tc>
      </w:tr>
      <w:tr w:rsidR="005C7FF4" w:rsidRPr="00FA0D37" w14:paraId="32853456" w14:textId="77777777" w:rsidTr="00771058">
        <w:tc>
          <w:tcPr>
            <w:tcW w:w="14278" w:type="dxa"/>
            <w:tcBorders>
              <w:top w:val="single" w:sz="4" w:space="0" w:color="auto"/>
              <w:left w:val="single" w:sz="4" w:space="0" w:color="auto"/>
              <w:bottom w:val="single" w:sz="4" w:space="0" w:color="auto"/>
              <w:right w:val="single" w:sz="4" w:space="0" w:color="auto"/>
            </w:tcBorders>
          </w:tcPr>
          <w:p w14:paraId="2E86C710" w14:textId="64EDE560" w:rsidR="00C511AD" w:rsidRPr="00FA0D37" w:rsidRDefault="00C511AD" w:rsidP="00F747EB">
            <w:pPr>
              <w:pStyle w:val="TAL"/>
              <w:rPr>
                <w:b/>
                <w:bCs/>
                <w:i/>
                <w:iCs/>
                <w:lang w:eastAsia="sv-SE"/>
              </w:rPr>
            </w:pPr>
            <w:r w:rsidRPr="00FA0D37">
              <w:rPr>
                <w:b/>
                <w:bCs/>
                <w:i/>
                <w:iCs/>
                <w:lang w:eastAsia="sv-SE"/>
              </w:rPr>
              <w:t>measAndMobParametersNTN</w:t>
            </w:r>
          </w:p>
          <w:p w14:paraId="038F7B98" w14:textId="77777777" w:rsidR="00C511AD" w:rsidRPr="00FA0D37" w:rsidRDefault="00C511AD" w:rsidP="00F747EB">
            <w:pPr>
              <w:pStyle w:val="TAL"/>
              <w:rPr>
                <w:lang w:eastAsia="sv-SE"/>
              </w:rPr>
            </w:pPr>
            <w:r w:rsidRPr="00FA0D37">
              <w:rPr>
                <w:rFonts w:eastAsia="MS Mincho"/>
                <w:lang w:eastAsia="sv-SE"/>
              </w:rPr>
              <w:t xml:space="preserve">NTN related capabilities which the UE supports in NTN differently than in TN. If absent, </w:t>
            </w:r>
            <w:r w:rsidRPr="00FA0D37">
              <w:rPr>
                <w:rFonts w:eastAsia="MS Mincho"/>
                <w:i/>
                <w:iCs/>
                <w:lang w:eastAsia="sv-SE"/>
              </w:rPr>
              <w:t>measAndMobParameters</w:t>
            </w:r>
            <w:r w:rsidRPr="00FA0D37">
              <w:rPr>
                <w:rFonts w:eastAsia="MS Mincho"/>
                <w:lang w:eastAsia="sv-SE"/>
              </w:rPr>
              <w:t xml:space="preserve"> applies to NTN.</w:t>
            </w:r>
          </w:p>
        </w:tc>
      </w:tr>
      <w:tr w:rsidR="005C7FF4" w:rsidRPr="00FA0D37" w14:paraId="656498DE" w14:textId="77777777" w:rsidTr="00771058">
        <w:tc>
          <w:tcPr>
            <w:tcW w:w="14278" w:type="dxa"/>
            <w:tcBorders>
              <w:top w:val="single" w:sz="4" w:space="0" w:color="auto"/>
              <w:left w:val="single" w:sz="4" w:space="0" w:color="auto"/>
              <w:bottom w:val="single" w:sz="4" w:space="0" w:color="auto"/>
              <w:right w:val="single" w:sz="4" w:space="0" w:color="auto"/>
            </w:tcBorders>
          </w:tcPr>
          <w:p w14:paraId="3B3590F9" w14:textId="15858A6A" w:rsidR="00C511AD" w:rsidRPr="00FA0D37" w:rsidRDefault="00C511AD" w:rsidP="00F747EB">
            <w:pPr>
              <w:pStyle w:val="TAL"/>
              <w:rPr>
                <w:b/>
                <w:bCs/>
                <w:i/>
                <w:iCs/>
                <w:lang w:eastAsia="sv-SE"/>
              </w:rPr>
            </w:pPr>
            <w:r w:rsidRPr="00FA0D37">
              <w:rPr>
                <w:b/>
                <w:bCs/>
                <w:i/>
                <w:iCs/>
                <w:lang w:eastAsia="sv-SE"/>
              </w:rPr>
              <w:t>phy-ParametersNTN</w:t>
            </w:r>
          </w:p>
          <w:p w14:paraId="1107701C" w14:textId="77777777" w:rsidR="00C511AD" w:rsidRPr="00FA0D37" w:rsidRDefault="00C511AD" w:rsidP="00F747EB">
            <w:pPr>
              <w:pStyle w:val="TAL"/>
              <w:rPr>
                <w:lang w:eastAsia="sv-SE"/>
              </w:rPr>
            </w:pPr>
            <w:r w:rsidRPr="00FA0D37">
              <w:rPr>
                <w:rFonts w:eastAsia="MS Mincho"/>
                <w:lang w:eastAsia="sv-SE"/>
              </w:rPr>
              <w:t xml:space="preserve">NTN related capabilities which the UE supports in NTN differently than in TN. If absent, </w:t>
            </w:r>
            <w:r w:rsidRPr="00FA0D37">
              <w:rPr>
                <w:rFonts w:eastAsia="MS Mincho"/>
                <w:i/>
                <w:iCs/>
                <w:lang w:eastAsia="sv-SE"/>
              </w:rPr>
              <w:t>phy-Parameters</w:t>
            </w:r>
            <w:r w:rsidRPr="00FA0D37">
              <w:rPr>
                <w:rFonts w:eastAsia="MS Mincho"/>
                <w:lang w:eastAsia="sv-SE"/>
              </w:rPr>
              <w:t xml:space="preserve"> applies to NTN.</w:t>
            </w:r>
          </w:p>
        </w:tc>
      </w:tr>
      <w:tr w:rsidR="005C7FF4" w:rsidRPr="00FA0D37" w14:paraId="7FF6CC18" w14:textId="77777777" w:rsidTr="00771058">
        <w:tc>
          <w:tcPr>
            <w:tcW w:w="14278" w:type="dxa"/>
            <w:tcBorders>
              <w:top w:val="single" w:sz="4" w:space="0" w:color="auto"/>
              <w:left w:val="single" w:sz="4" w:space="0" w:color="auto"/>
              <w:bottom w:val="single" w:sz="4" w:space="0" w:color="auto"/>
              <w:right w:val="single" w:sz="4" w:space="0" w:color="auto"/>
            </w:tcBorders>
          </w:tcPr>
          <w:p w14:paraId="146C7217" w14:textId="3F1BC59F" w:rsidR="00C511AD" w:rsidRPr="00FA0D37" w:rsidRDefault="00C511AD" w:rsidP="00F747EB">
            <w:pPr>
              <w:pStyle w:val="TAL"/>
              <w:rPr>
                <w:b/>
                <w:bCs/>
                <w:i/>
                <w:iCs/>
                <w:lang w:eastAsia="sv-SE"/>
              </w:rPr>
            </w:pPr>
            <w:r w:rsidRPr="00FA0D37">
              <w:rPr>
                <w:b/>
                <w:bCs/>
                <w:i/>
                <w:iCs/>
                <w:lang w:eastAsia="sv-SE"/>
              </w:rPr>
              <w:t>son-ParametersNTN</w:t>
            </w:r>
          </w:p>
          <w:p w14:paraId="1F61A4AA" w14:textId="77777777" w:rsidR="00C511AD" w:rsidRPr="00FA0D37" w:rsidRDefault="00C511AD" w:rsidP="00F747EB">
            <w:pPr>
              <w:pStyle w:val="TAL"/>
              <w:rPr>
                <w:lang w:eastAsia="sv-SE"/>
              </w:rPr>
            </w:pPr>
            <w:r w:rsidRPr="00FA0D37">
              <w:rPr>
                <w:rFonts w:eastAsia="MS Mincho"/>
                <w:lang w:eastAsia="sv-SE"/>
              </w:rPr>
              <w:t xml:space="preserve">NTN related capabilities which the UE supports in NTN differently than in TN. If absent, </w:t>
            </w:r>
            <w:r w:rsidRPr="00FA0D37">
              <w:rPr>
                <w:rFonts w:eastAsia="MS Mincho"/>
                <w:i/>
                <w:iCs/>
                <w:lang w:eastAsia="sv-SE"/>
              </w:rPr>
              <w:t>son-Parameters-r16</w:t>
            </w:r>
            <w:r w:rsidRPr="00FA0D37">
              <w:rPr>
                <w:rFonts w:eastAsia="MS Mincho"/>
                <w:lang w:eastAsia="sv-SE"/>
              </w:rPr>
              <w:t xml:space="preserve"> applies to NTN.</w:t>
            </w:r>
          </w:p>
        </w:tc>
      </w:tr>
      <w:tr w:rsidR="00F747EB" w:rsidRPr="00FA0D37" w14:paraId="197A54DF" w14:textId="77777777" w:rsidTr="00771058">
        <w:tc>
          <w:tcPr>
            <w:tcW w:w="14278" w:type="dxa"/>
            <w:tcBorders>
              <w:top w:val="single" w:sz="4" w:space="0" w:color="auto"/>
              <w:left w:val="single" w:sz="4" w:space="0" w:color="auto"/>
              <w:bottom w:val="single" w:sz="4" w:space="0" w:color="auto"/>
              <w:right w:val="single" w:sz="4" w:space="0" w:color="auto"/>
            </w:tcBorders>
          </w:tcPr>
          <w:p w14:paraId="75679B13" w14:textId="277938AF" w:rsidR="00C511AD" w:rsidRPr="00FA0D37" w:rsidRDefault="00C511AD" w:rsidP="00F747EB">
            <w:pPr>
              <w:pStyle w:val="TAL"/>
              <w:rPr>
                <w:b/>
                <w:bCs/>
                <w:i/>
                <w:iCs/>
                <w:lang w:eastAsia="sv-SE"/>
              </w:rPr>
            </w:pPr>
            <w:r w:rsidRPr="00FA0D37">
              <w:rPr>
                <w:b/>
                <w:bCs/>
                <w:i/>
                <w:iCs/>
                <w:lang w:eastAsia="sv-SE"/>
              </w:rPr>
              <w:t>ue-BasedPerfMeas-ParametersNTN</w:t>
            </w:r>
          </w:p>
          <w:p w14:paraId="22B51F31" w14:textId="77777777" w:rsidR="00C511AD" w:rsidRPr="00FA0D37" w:rsidRDefault="00C511AD" w:rsidP="00F747EB">
            <w:pPr>
              <w:pStyle w:val="TAL"/>
              <w:rPr>
                <w:lang w:eastAsia="sv-SE"/>
              </w:rPr>
            </w:pPr>
            <w:r w:rsidRPr="00FA0D37">
              <w:rPr>
                <w:rFonts w:eastAsia="MS Mincho"/>
                <w:lang w:eastAsia="sv-SE"/>
              </w:rPr>
              <w:t xml:space="preserve">NTN related capabilities which the UE supports in NTN differently than in TN. If absent, </w:t>
            </w:r>
            <w:r w:rsidRPr="00FA0D37">
              <w:rPr>
                <w:rFonts w:eastAsia="MS Mincho"/>
                <w:i/>
                <w:iCs/>
                <w:lang w:eastAsia="sv-SE"/>
              </w:rPr>
              <w:t>ue-BasedPerfMeas-Parameters-r16</w:t>
            </w:r>
            <w:r w:rsidRPr="00FA0D37">
              <w:rPr>
                <w:rFonts w:eastAsia="MS Mincho"/>
                <w:lang w:eastAsia="sv-SE"/>
              </w:rPr>
              <w:t xml:space="preserve"> applies to NTN.</w:t>
            </w:r>
          </w:p>
        </w:tc>
      </w:tr>
    </w:tbl>
    <w:p w14:paraId="235C650E" w14:textId="77777777" w:rsidR="00C511AD" w:rsidRPr="00FA0D37" w:rsidRDefault="00C511AD" w:rsidP="00394471"/>
    <w:p w14:paraId="55157E7A" w14:textId="7B552F2B" w:rsidR="00394471" w:rsidRPr="00FA0D37" w:rsidRDefault="00394471" w:rsidP="00394471">
      <w:pPr>
        <w:pStyle w:val="4"/>
        <w:rPr>
          <w:rFonts w:eastAsiaTheme="minorEastAsia"/>
        </w:rPr>
      </w:pPr>
      <w:bookmarkStart w:id="1587" w:name="_Toc60777467"/>
      <w:bookmarkStart w:id="1588" w:name="_Toc146781570"/>
      <w:r w:rsidRPr="00FA0D37">
        <w:t>–</w:t>
      </w:r>
      <w:r w:rsidRPr="00FA0D37">
        <w:tab/>
      </w:r>
      <w:r w:rsidRPr="00FA0D37">
        <w:rPr>
          <w:i/>
        </w:rPr>
        <w:t>OLPC-SRS-Pos</w:t>
      </w:r>
      <w:bookmarkEnd w:id="1587"/>
      <w:bookmarkEnd w:id="1588"/>
    </w:p>
    <w:p w14:paraId="34A1E773" w14:textId="77777777" w:rsidR="00394471" w:rsidRPr="00FA0D37" w:rsidRDefault="00394471" w:rsidP="00394471">
      <w:pPr>
        <w:rPr>
          <w:rFonts w:eastAsiaTheme="minorEastAsia"/>
        </w:rPr>
      </w:pPr>
      <w:r w:rsidRPr="00FA0D37">
        <w:rPr>
          <w:rFonts w:eastAsiaTheme="minorEastAsia"/>
        </w:rPr>
        <w:t xml:space="preserve">The IE </w:t>
      </w:r>
      <w:r w:rsidRPr="00FA0D37">
        <w:rPr>
          <w:rFonts w:eastAsiaTheme="minorEastAsia"/>
          <w:i/>
        </w:rPr>
        <w:t>OLPC-SRS-Pos</w:t>
      </w:r>
      <w:r w:rsidRPr="00FA0D37">
        <w:rPr>
          <w:rFonts w:eastAsiaTheme="minorEastAsia"/>
        </w:rPr>
        <w:t xml:space="preserve"> is used to convey OLPC SRS positioning related parameters specific for a certain band.</w:t>
      </w:r>
    </w:p>
    <w:p w14:paraId="4238EFC2" w14:textId="77777777" w:rsidR="00394471" w:rsidRPr="00FA0D37" w:rsidRDefault="00394471" w:rsidP="00394471">
      <w:pPr>
        <w:pStyle w:val="TH"/>
        <w:rPr>
          <w:rFonts w:eastAsiaTheme="minorEastAsia"/>
          <w:bCs/>
          <w:i/>
          <w:iCs/>
        </w:rPr>
      </w:pPr>
      <w:r w:rsidRPr="00FA0D37">
        <w:rPr>
          <w:rFonts w:eastAsiaTheme="minorEastAsia"/>
          <w:bCs/>
          <w:i/>
          <w:iCs/>
        </w:rPr>
        <w:t>OLPC-SRS-Pos</w:t>
      </w:r>
      <w:r w:rsidRPr="00FA0D37">
        <w:rPr>
          <w:rFonts w:eastAsiaTheme="minorEastAsia"/>
          <w:bCs/>
          <w:iCs/>
        </w:rPr>
        <w:t xml:space="preserve"> information element</w:t>
      </w:r>
    </w:p>
    <w:p w14:paraId="1D52BC2C" w14:textId="77777777" w:rsidR="00394471" w:rsidRPr="00FA0D37" w:rsidRDefault="00394471" w:rsidP="00FA0D37">
      <w:pPr>
        <w:pStyle w:val="PL"/>
        <w:rPr>
          <w:rFonts w:eastAsiaTheme="minorEastAsia"/>
          <w:color w:val="808080"/>
        </w:rPr>
      </w:pPr>
      <w:r w:rsidRPr="00FA0D37">
        <w:rPr>
          <w:rFonts w:eastAsiaTheme="minorEastAsia"/>
          <w:color w:val="808080"/>
        </w:rPr>
        <w:t>-- ASN1START</w:t>
      </w:r>
    </w:p>
    <w:p w14:paraId="0A099D88" w14:textId="77777777" w:rsidR="00394471" w:rsidRPr="00FA0D37" w:rsidRDefault="00394471" w:rsidP="00FA0D37">
      <w:pPr>
        <w:pStyle w:val="PL"/>
        <w:rPr>
          <w:rFonts w:eastAsiaTheme="minorEastAsia"/>
          <w:color w:val="808080"/>
        </w:rPr>
      </w:pPr>
      <w:r w:rsidRPr="00FA0D37">
        <w:rPr>
          <w:rFonts w:eastAsiaTheme="minorEastAsia"/>
          <w:color w:val="808080"/>
        </w:rPr>
        <w:t>-- TAG-OLPC-SRS-POS-START</w:t>
      </w:r>
    </w:p>
    <w:p w14:paraId="2DED3111" w14:textId="77777777" w:rsidR="00394471" w:rsidRPr="00FA0D37" w:rsidRDefault="00394471" w:rsidP="00FA0D37">
      <w:pPr>
        <w:pStyle w:val="PL"/>
        <w:rPr>
          <w:rFonts w:eastAsiaTheme="minorEastAsia"/>
        </w:rPr>
      </w:pPr>
    </w:p>
    <w:p w14:paraId="7F8017AA" w14:textId="77777777" w:rsidR="00394471" w:rsidRPr="00FA0D37" w:rsidRDefault="00394471" w:rsidP="00FA0D37">
      <w:pPr>
        <w:pStyle w:val="PL"/>
        <w:rPr>
          <w:rFonts w:eastAsiaTheme="minorEastAsia"/>
        </w:rPr>
      </w:pPr>
      <w:r w:rsidRPr="00FA0D37">
        <w:rPr>
          <w:rFonts w:eastAsiaTheme="minorEastAsia"/>
        </w:rPr>
        <w:t xml:space="preserve">OLPC-SRS-Pos-r16 ::=        </w:t>
      </w:r>
      <w:r w:rsidRPr="00FA0D37">
        <w:rPr>
          <w:rFonts w:eastAsiaTheme="minorEastAsia"/>
          <w:color w:val="993366"/>
        </w:rPr>
        <w:t>SEQUENCE</w:t>
      </w:r>
      <w:r w:rsidRPr="00FA0D37">
        <w:rPr>
          <w:rFonts w:eastAsiaTheme="minorEastAsia"/>
        </w:rPr>
        <w:t xml:space="preserve"> {</w:t>
      </w:r>
    </w:p>
    <w:p w14:paraId="7018C154" w14:textId="77777777" w:rsidR="00394471" w:rsidRPr="00FA0D37" w:rsidRDefault="00394471" w:rsidP="00FA0D37">
      <w:pPr>
        <w:pStyle w:val="PL"/>
        <w:rPr>
          <w:rFonts w:eastAsiaTheme="minorEastAsia"/>
        </w:rPr>
      </w:pPr>
      <w:r w:rsidRPr="00FA0D37">
        <w:t xml:space="preserve">    </w:t>
      </w:r>
      <w:r w:rsidRPr="00FA0D37">
        <w:rPr>
          <w:rFonts w:eastAsiaTheme="minorEastAsia"/>
        </w:rPr>
        <w:t>olpc-SRS-PosBasedOnPRS-Serving-r16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00BD9500" w14:textId="77777777" w:rsidR="00394471" w:rsidRPr="00FA0D37" w:rsidRDefault="00394471" w:rsidP="00FA0D37">
      <w:pPr>
        <w:pStyle w:val="PL"/>
        <w:rPr>
          <w:rFonts w:eastAsiaTheme="minorEastAsia"/>
        </w:rPr>
      </w:pPr>
      <w:r w:rsidRPr="00FA0D37">
        <w:t xml:space="preserve">    </w:t>
      </w:r>
      <w:r w:rsidRPr="00FA0D37">
        <w:rPr>
          <w:rFonts w:eastAsiaTheme="minorEastAsia"/>
        </w:rPr>
        <w:t>olpc-SRS-PosBasedOnSSB-Neigh-r16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0409E09E" w14:textId="77777777" w:rsidR="00394471" w:rsidRPr="00FA0D37" w:rsidRDefault="00394471" w:rsidP="00FA0D37">
      <w:pPr>
        <w:pStyle w:val="PL"/>
        <w:rPr>
          <w:rFonts w:eastAsiaTheme="minorEastAsia"/>
        </w:rPr>
      </w:pPr>
      <w:r w:rsidRPr="00FA0D37">
        <w:t xml:space="preserve">    </w:t>
      </w:r>
      <w:r w:rsidRPr="00FA0D37">
        <w:rPr>
          <w:rFonts w:eastAsiaTheme="minorEastAsia"/>
        </w:rPr>
        <w:t>olpc-SRS-PosBasedOnPRS-Neigh-r16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09FAC90C" w14:textId="77777777" w:rsidR="00394471" w:rsidRPr="00FA0D37" w:rsidRDefault="00394471" w:rsidP="00FA0D37">
      <w:pPr>
        <w:pStyle w:val="PL"/>
        <w:rPr>
          <w:rFonts w:eastAsiaTheme="minorEastAsia"/>
        </w:rPr>
      </w:pPr>
      <w:r w:rsidRPr="00FA0D37">
        <w:t xml:space="preserve">    maxNumberPathLossEstimatePerServing-r16    </w:t>
      </w:r>
      <w:r w:rsidRPr="00FA0D37">
        <w:rPr>
          <w:color w:val="993366"/>
        </w:rPr>
        <w:t>ENUMERATED</w:t>
      </w:r>
      <w:r w:rsidRPr="00FA0D37">
        <w:t xml:space="preserve"> {n1, n4, n8, n16}         </w:t>
      </w:r>
      <w:r w:rsidRPr="00FA0D37">
        <w:rPr>
          <w:rFonts w:eastAsiaTheme="minorEastAsia"/>
          <w:color w:val="993366"/>
        </w:rPr>
        <w:t>OPTIONAL</w:t>
      </w:r>
    </w:p>
    <w:p w14:paraId="74FF8072" w14:textId="77777777" w:rsidR="00394471" w:rsidRPr="00FA0D37" w:rsidRDefault="00394471" w:rsidP="00FA0D37">
      <w:pPr>
        <w:pStyle w:val="PL"/>
        <w:rPr>
          <w:rFonts w:eastAsiaTheme="minorEastAsia"/>
        </w:rPr>
      </w:pPr>
      <w:r w:rsidRPr="00FA0D37">
        <w:rPr>
          <w:rFonts w:eastAsiaTheme="minorEastAsia"/>
        </w:rPr>
        <w:t>}</w:t>
      </w:r>
    </w:p>
    <w:p w14:paraId="08EF80FF" w14:textId="77777777" w:rsidR="00394471" w:rsidRPr="00FA0D37" w:rsidRDefault="00394471" w:rsidP="00FA0D37">
      <w:pPr>
        <w:pStyle w:val="PL"/>
        <w:rPr>
          <w:rFonts w:eastAsiaTheme="minorEastAsia"/>
        </w:rPr>
      </w:pPr>
    </w:p>
    <w:p w14:paraId="67346BC2" w14:textId="77777777" w:rsidR="00394471" w:rsidRPr="00FA0D37" w:rsidRDefault="00394471" w:rsidP="00FA0D37">
      <w:pPr>
        <w:pStyle w:val="PL"/>
        <w:rPr>
          <w:rFonts w:eastAsiaTheme="minorEastAsia"/>
          <w:color w:val="808080"/>
        </w:rPr>
      </w:pPr>
      <w:r w:rsidRPr="00FA0D37">
        <w:rPr>
          <w:rFonts w:eastAsiaTheme="minorEastAsia"/>
          <w:color w:val="808080"/>
        </w:rPr>
        <w:t>--TAG-OLPC-SRS-POS-STOP</w:t>
      </w:r>
    </w:p>
    <w:p w14:paraId="6116E95C" w14:textId="77777777" w:rsidR="00394471" w:rsidRPr="00FA0D37" w:rsidRDefault="00394471" w:rsidP="00FA0D37">
      <w:pPr>
        <w:pStyle w:val="PL"/>
        <w:rPr>
          <w:rFonts w:eastAsiaTheme="minorEastAsia"/>
          <w:color w:val="808080"/>
          <w:lang w:eastAsia="ja-JP"/>
        </w:rPr>
      </w:pPr>
      <w:r w:rsidRPr="00FA0D37">
        <w:rPr>
          <w:rFonts w:eastAsiaTheme="minorEastAsia"/>
          <w:color w:val="808080"/>
        </w:rPr>
        <w:t>-- ASN1STOP</w:t>
      </w:r>
    </w:p>
    <w:p w14:paraId="4703603D" w14:textId="77777777" w:rsidR="00394471" w:rsidRPr="00FA0D37" w:rsidRDefault="00394471" w:rsidP="00394471"/>
    <w:p w14:paraId="678FDAA0" w14:textId="09243C38" w:rsidR="00394471" w:rsidRPr="00FA0D37" w:rsidRDefault="00394471" w:rsidP="00394471">
      <w:pPr>
        <w:pStyle w:val="4"/>
        <w:rPr>
          <w:rFonts w:eastAsia="Malgun Gothic"/>
        </w:rPr>
      </w:pPr>
      <w:bookmarkStart w:id="1589" w:name="_Toc60777468"/>
      <w:bookmarkStart w:id="1590" w:name="_Toc146781571"/>
      <w:r w:rsidRPr="00FA0D37">
        <w:rPr>
          <w:rFonts w:eastAsia="Malgun Gothic"/>
        </w:rPr>
        <w:t>–</w:t>
      </w:r>
      <w:r w:rsidRPr="00FA0D37">
        <w:rPr>
          <w:rFonts w:eastAsia="Malgun Gothic"/>
        </w:rPr>
        <w:tab/>
      </w:r>
      <w:r w:rsidRPr="00FA0D37">
        <w:rPr>
          <w:rFonts w:eastAsia="Malgun Gothic"/>
          <w:i/>
        </w:rPr>
        <w:t>PDCP-Parameters</w:t>
      </w:r>
      <w:bookmarkEnd w:id="1589"/>
      <w:bookmarkEnd w:id="1590"/>
    </w:p>
    <w:p w14:paraId="14C31D7F" w14:textId="77777777" w:rsidR="00394471" w:rsidRPr="00FA0D37" w:rsidRDefault="00394471" w:rsidP="00394471">
      <w:pPr>
        <w:rPr>
          <w:rFonts w:eastAsia="Malgun Gothic"/>
        </w:rPr>
      </w:pPr>
      <w:r w:rsidRPr="00FA0D37">
        <w:rPr>
          <w:rFonts w:eastAsia="Malgun Gothic"/>
        </w:rPr>
        <w:t xml:space="preserve">The IE </w:t>
      </w:r>
      <w:r w:rsidRPr="00FA0D37">
        <w:rPr>
          <w:rFonts w:eastAsia="Malgun Gothic"/>
          <w:i/>
        </w:rPr>
        <w:t>PDCP-Parameters</w:t>
      </w:r>
      <w:r w:rsidRPr="00FA0D37">
        <w:rPr>
          <w:rFonts w:eastAsia="Malgun Gothic"/>
        </w:rPr>
        <w:t xml:space="preserve"> is used to convey capabilities related to PDCP.</w:t>
      </w:r>
    </w:p>
    <w:p w14:paraId="1C4F3DCC" w14:textId="77777777" w:rsidR="00394471" w:rsidRPr="00FA0D37" w:rsidRDefault="00394471" w:rsidP="00394471">
      <w:pPr>
        <w:pStyle w:val="TH"/>
        <w:rPr>
          <w:rFonts w:eastAsia="Malgun Gothic"/>
        </w:rPr>
      </w:pPr>
      <w:r w:rsidRPr="00FA0D37">
        <w:rPr>
          <w:rFonts w:eastAsia="Malgun Gothic"/>
          <w:i/>
        </w:rPr>
        <w:t>PDCP-Parameters</w:t>
      </w:r>
      <w:r w:rsidRPr="00FA0D37">
        <w:rPr>
          <w:rFonts w:eastAsia="Malgun Gothic"/>
        </w:rPr>
        <w:t xml:space="preserve"> information element</w:t>
      </w:r>
    </w:p>
    <w:p w14:paraId="2702787A" w14:textId="77777777" w:rsidR="00394471" w:rsidRPr="00FA0D37" w:rsidRDefault="00394471" w:rsidP="00FA0D37">
      <w:pPr>
        <w:pStyle w:val="PL"/>
        <w:rPr>
          <w:color w:val="808080"/>
        </w:rPr>
      </w:pPr>
      <w:r w:rsidRPr="00FA0D37">
        <w:rPr>
          <w:color w:val="808080"/>
        </w:rPr>
        <w:t>-- ASN1START</w:t>
      </w:r>
    </w:p>
    <w:p w14:paraId="24D4B118" w14:textId="77777777" w:rsidR="00394471" w:rsidRPr="00FA0D37" w:rsidRDefault="00394471" w:rsidP="00FA0D37">
      <w:pPr>
        <w:pStyle w:val="PL"/>
        <w:rPr>
          <w:color w:val="808080"/>
        </w:rPr>
      </w:pPr>
      <w:r w:rsidRPr="00FA0D37">
        <w:rPr>
          <w:color w:val="808080"/>
        </w:rPr>
        <w:t>-- TAG-PDCP-PARAMETERS-START</w:t>
      </w:r>
    </w:p>
    <w:p w14:paraId="0E9AB838" w14:textId="77777777" w:rsidR="00394471" w:rsidRPr="00FA0D37" w:rsidRDefault="00394471" w:rsidP="00FA0D37">
      <w:pPr>
        <w:pStyle w:val="PL"/>
      </w:pPr>
    </w:p>
    <w:p w14:paraId="6099EF4B" w14:textId="77777777" w:rsidR="00394471" w:rsidRPr="00FA0D37" w:rsidRDefault="00394471" w:rsidP="00FA0D37">
      <w:pPr>
        <w:pStyle w:val="PL"/>
      </w:pPr>
      <w:r w:rsidRPr="00FA0D37">
        <w:lastRenderedPageBreak/>
        <w:t xml:space="preserve">PDCP-Parameters ::=         </w:t>
      </w:r>
      <w:r w:rsidRPr="00FA0D37">
        <w:rPr>
          <w:color w:val="993366"/>
        </w:rPr>
        <w:t>SEQUENCE</w:t>
      </w:r>
      <w:r w:rsidRPr="00FA0D37">
        <w:t xml:space="preserve"> {</w:t>
      </w:r>
    </w:p>
    <w:p w14:paraId="0C7DFDDF" w14:textId="77777777" w:rsidR="00394471" w:rsidRPr="00FA0D37" w:rsidRDefault="00394471" w:rsidP="00FA0D37">
      <w:pPr>
        <w:pStyle w:val="PL"/>
      </w:pPr>
      <w:r w:rsidRPr="00FA0D37">
        <w:t xml:space="preserve">    supportedROHC-Profiles      </w:t>
      </w:r>
      <w:r w:rsidRPr="00FA0D37">
        <w:rPr>
          <w:color w:val="993366"/>
        </w:rPr>
        <w:t>SEQUENCE</w:t>
      </w:r>
      <w:r w:rsidRPr="00FA0D37">
        <w:t xml:space="preserve"> {</w:t>
      </w:r>
    </w:p>
    <w:p w14:paraId="5880FD85" w14:textId="77777777" w:rsidR="00394471" w:rsidRPr="00FA0D37" w:rsidRDefault="00394471" w:rsidP="00FA0D37">
      <w:pPr>
        <w:pStyle w:val="PL"/>
      </w:pPr>
      <w:r w:rsidRPr="00FA0D37">
        <w:t xml:space="preserve">        profile0x0000               </w:t>
      </w:r>
      <w:r w:rsidRPr="00FA0D37">
        <w:rPr>
          <w:color w:val="993366"/>
        </w:rPr>
        <w:t>BOOLEAN</w:t>
      </w:r>
      <w:r w:rsidRPr="00FA0D37">
        <w:t>,</w:t>
      </w:r>
    </w:p>
    <w:p w14:paraId="678AC948" w14:textId="77777777" w:rsidR="00394471" w:rsidRPr="00FA0D37" w:rsidRDefault="00394471" w:rsidP="00FA0D37">
      <w:pPr>
        <w:pStyle w:val="PL"/>
      </w:pPr>
      <w:r w:rsidRPr="00FA0D37">
        <w:t xml:space="preserve">        profile0x0001               </w:t>
      </w:r>
      <w:r w:rsidRPr="00FA0D37">
        <w:rPr>
          <w:color w:val="993366"/>
        </w:rPr>
        <w:t>BOOLEAN</w:t>
      </w:r>
      <w:r w:rsidRPr="00FA0D37">
        <w:t>,</w:t>
      </w:r>
    </w:p>
    <w:p w14:paraId="5258B38F" w14:textId="77777777" w:rsidR="00394471" w:rsidRPr="00FA0D37" w:rsidRDefault="00394471" w:rsidP="00FA0D37">
      <w:pPr>
        <w:pStyle w:val="PL"/>
      </w:pPr>
      <w:r w:rsidRPr="00FA0D37">
        <w:t xml:space="preserve">        profile0x0002               </w:t>
      </w:r>
      <w:r w:rsidRPr="00FA0D37">
        <w:rPr>
          <w:color w:val="993366"/>
        </w:rPr>
        <w:t>BOOLEAN</w:t>
      </w:r>
      <w:r w:rsidRPr="00FA0D37">
        <w:t>,</w:t>
      </w:r>
    </w:p>
    <w:p w14:paraId="2FED5E13" w14:textId="77777777" w:rsidR="00394471" w:rsidRPr="00FA0D37" w:rsidRDefault="00394471" w:rsidP="00FA0D37">
      <w:pPr>
        <w:pStyle w:val="PL"/>
      </w:pPr>
      <w:r w:rsidRPr="00FA0D37">
        <w:t xml:space="preserve">        profile0x0003               </w:t>
      </w:r>
      <w:r w:rsidRPr="00FA0D37">
        <w:rPr>
          <w:color w:val="993366"/>
        </w:rPr>
        <w:t>BOOLEAN</w:t>
      </w:r>
      <w:r w:rsidRPr="00FA0D37">
        <w:t>,</w:t>
      </w:r>
    </w:p>
    <w:p w14:paraId="403ED2AC" w14:textId="77777777" w:rsidR="00394471" w:rsidRPr="00FA0D37" w:rsidRDefault="00394471" w:rsidP="00FA0D37">
      <w:pPr>
        <w:pStyle w:val="PL"/>
      </w:pPr>
      <w:r w:rsidRPr="00FA0D37">
        <w:t xml:space="preserve">        profile0x0004               </w:t>
      </w:r>
      <w:r w:rsidRPr="00FA0D37">
        <w:rPr>
          <w:color w:val="993366"/>
        </w:rPr>
        <w:t>BOOLEAN</w:t>
      </w:r>
      <w:r w:rsidRPr="00FA0D37">
        <w:t>,</w:t>
      </w:r>
    </w:p>
    <w:p w14:paraId="4524ED2C" w14:textId="77777777" w:rsidR="00394471" w:rsidRPr="00FA0D37" w:rsidRDefault="00394471" w:rsidP="00FA0D37">
      <w:pPr>
        <w:pStyle w:val="PL"/>
      </w:pPr>
      <w:r w:rsidRPr="00FA0D37">
        <w:t xml:space="preserve">        profile0x0006               </w:t>
      </w:r>
      <w:r w:rsidRPr="00FA0D37">
        <w:rPr>
          <w:color w:val="993366"/>
        </w:rPr>
        <w:t>BOOLEAN</w:t>
      </w:r>
      <w:r w:rsidRPr="00FA0D37">
        <w:t>,</w:t>
      </w:r>
    </w:p>
    <w:p w14:paraId="34AB7EE9" w14:textId="77777777" w:rsidR="00394471" w:rsidRPr="00FA0D37" w:rsidRDefault="00394471" w:rsidP="00FA0D37">
      <w:pPr>
        <w:pStyle w:val="PL"/>
      </w:pPr>
      <w:r w:rsidRPr="00FA0D37">
        <w:t xml:space="preserve">        profile0x0101               </w:t>
      </w:r>
      <w:r w:rsidRPr="00FA0D37">
        <w:rPr>
          <w:color w:val="993366"/>
        </w:rPr>
        <w:t>BOOLEAN</w:t>
      </w:r>
      <w:r w:rsidRPr="00FA0D37">
        <w:t>,</w:t>
      </w:r>
    </w:p>
    <w:p w14:paraId="323086E3" w14:textId="77777777" w:rsidR="00394471" w:rsidRPr="00FA0D37" w:rsidRDefault="00394471" w:rsidP="00FA0D37">
      <w:pPr>
        <w:pStyle w:val="PL"/>
      </w:pPr>
      <w:r w:rsidRPr="00FA0D37">
        <w:t xml:space="preserve">        profile0x0102               </w:t>
      </w:r>
      <w:r w:rsidRPr="00FA0D37">
        <w:rPr>
          <w:color w:val="993366"/>
        </w:rPr>
        <w:t>BOOLEAN</w:t>
      </w:r>
      <w:r w:rsidRPr="00FA0D37">
        <w:t>,</w:t>
      </w:r>
    </w:p>
    <w:p w14:paraId="0AB38EEE" w14:textId="77777777" w:rsidR="00394471" w:rsidRPr="00FA0D37" w:rsidRDefault="00394471" w:rsidP="00FA0D37">
      <w:pPr>
        <w:pStyle w:val="PL"/>
      </w:pPr>
      <w:r w:rsidRPr="00FA0D37">
        <w:t xml:space="preserve">        profile0x0103               </w:t>
      </w:r>
      <w:r w:rsidRPr="00FA0D37">
        <w:rPr>
          <w:color w:val="993366"/>
        </w:rPr>
        <w:t>BOOLEAN</w:t>
      </w:r>
      <w:r w:rsidRPr="00FA0D37">
        <w:t>,</w:t>
      </w:r>
    </w:p>
    <w:p w14:paraId="257EF97C" w14:textId="77777777" w:rsidR="00394471" w:rsidRPr="00FA0D37" w:rsidRDefault="00394471" w:rsidP="00FA0D37">
      <w:pPr>
        <w:pStyle w:val="PL"/>
      </w:pPr>
      <w:r w:rsidRPr="00FA0D37">
        <w:t xml:space="preserve">        profile0x0104               </w:t>
      </w:r>
      <w:r w:rsidRPr="00FA0D37">
        <w:rPr>
          <w:color w:val="993366"/>
        </w:rPr>
        <w:t>BOOLEAN</w:t>
      </w:r>
    </w:p>
    <w:p w14:paraId="1335C64B" w14:textId="77777777" w:rsidR="00394471" w:rsidRPr="00FA0D37" w:rsidRDefault="00394471" w:rsidP="00FA0D37">
      <w:pPr>
        <w:pStyle w:val="PL"/>
      </w:pPr>
      <w:r w:rsidRPr="00FA0D37">
        <w:t xml:space="preserve">    },</w:t>
      </w:r>
    </w:p>
    <w:p w14:paraId="1104E039" w14:textId="77777777" w:rsidR="00394471" w:rsidRPr="00FA0D37" w:rsidRDefault="00394471" w:rsidP="00FA0D37">
      <w:pPr>
        <w:pStyle w:val="PL"/>
      </w:pPr>
      <w:r w:rsidRPr="00FA0D37">
        <w:t xml:space="preserve">    maxNumberROHC-ContextSessions       </w:t>
      </w:r>
      <w:r w:rsidRPr="00FA0D37">
        <w:rPr>
          <w:color w:val="993366"/>
        </w:rPr>
        <w:t>ENUMERATED</w:t>
      </w:r>
      <w:r w:rsidRPr="00FA0D37">
        <w:t xml:space="preserve"> {cs2, cs4, cs8, cs12, cs16, cs24, cs32, cs48, cs64,</w:t>
      </w:r>
    </w:p>
    <w:p w14:paraId="031AAE4C" w14:textId="77777777" w:rsidR="00394471" w:rsidRPr="00FA0D37" w:rsidRDefault="00394471" w:rsidP="00FA0D37">
      <w:pPr>
        <w:pStyle w:val="PL"/>
      </w:pPr>
      <w:r w:rsidRPr="00FA0D37">
        <w:t xml:space="preserve">                                                cs128, cs256, cs512, cs1024, cs16384, spare2, spare1},</w:t>
      </w:r>
    </w:p>
    <w:p w14:paraId="319D46F1" w14:textId="77777777" w:rsidR="00394471" w:rsidRPr="00FA0D37" w:rsidRDefault="00394471" w:rsidP="00FA0D37">
      <w:pPr>
        <w:pStyle w:val="PL"/>
      </w:pPr>
      <w:r w:rsidRPr="00FA0D37">
        <w:t xml:space="preserve">    uplinkOnlyROHC-Profiles             </w:t>
      </w:r>
      <w:r w:rsidRPr="00FA0D37">
        <w:rPr>
          <w:color w:val="993366"/>
        </w:rPr>
        <w:t>ENUMERATED</w:t>
      </w:r>
      <w:r w:rsidRPr="00FA0D37">
        <w:t xml:space="preserve"> {supported}      </w:t>
      </w:r>
      <w:r w:rsidRPr="00FA0D37">
        <w:rPr>
          <w:color w:val="993366"/>
        </w:rPr>
        <w:t>OPTIONAL</w:t>
      </w:r>
      <w:r w:rsidRPr="00FA0D37">
        <w:t>,</w:t>
      </w:r>
    </w:p>
    <w:p w14:paraId="79B76145" w14:textId="77777777" w:rsidR="00394471" w:rsidRPr="00FA0D37" w:rsidRDefault="00394471" w:rsidP="00FA0D37">
      <w:pPr>
        <w:pStyle w:val="PL"/>
      </w:pPr>
      <w:r w:rsidRPr="00FA0D37">
        <w:t xml:space="preserve">    continueROHC-Context                </w:t>
      </w:r>
      <w:r w:rsidRPr="00FA0D37">
        <w:rPr>
          <w:color w:val="993366"/>
        </w:rPr>
        <w:t>ENUMERATED</w:t>
      </w:r>
      <w:r w:rsidRPr="00FA0D37">
        <w:t xml:space="preserve"> {supported}      </w:t>
      </w:r>
      <w:r w:rsidRPr="00FA0D37">
        <w:rPr>
          <w:color w:val="993366"/>
        </w:rPr>
        <w:t>OPTIONAL</w:t>
      </w:r>
      <w:r w:rsidRPr="00FA0D37">
        <w:t>,</w:t>
      </w:r>
    </w:p>
    <w:p w14:paraId="0B1B7D1F" w14:textId="77777777" w:rsidR="00394471" w:rsidRPr="00FA0D37" w:rsidRDefault="00394471" w:rsidP="00FA0D37">
      <w:pPr>
        <w:pStyle w:val="PL"/>
      </w:pPr>
      <w:r w:rsidRPr="00FA0D37">
        <w:t xml:space="preserve">    outOfOrderDelivery                  </w:t>
      </w:r>
      <w:r w:rsidRPr="00FA0D37">
        <w:rPr>
          <w:color w:val="993366"/>
        </w:rPr>
        <w:t>ENUMERATED</w:t>
      </w:r>
      <w:r w:rsidRPr="00FA0D37">
        <w:t xml:space="preserve"> {supported}      </w:t>
      </w:r>
      <w:r w:rsidRPr="00FA0D37">
        <w:rPr>
          <w:color w:val="993366"/>
        </w:rPr>
        <w:t>OPTIONAL</w:t>
      </w:r>
      <w:r w:rsidRPr="00FA0D37">
        <w:t>,</w:t>
      </w:r>
    </w:p>
    <w:p w14:paraId="389BB4DA" w14:textId="77777777" w:rsidR="00394471" w:rsidRPr="00FA0D37" w:rsidRDefault="00394471" w:rsidP="00FA0D37">
      <w:pPr>
        <w:pStyle w:val="PL"/>
      </w:pPr>
      <w:r w:rsidRPr="00FA0D37">
        <w:t xml:space="preserve">    shortSN                             </w:t>
      </w:r>
      <w:r w:rsidRPr="00FA0D37">
        <w:rPr>
          <w:color w:val="993366"/>
        </w:rPr>
        <w:t>ENUMERATED</w:t>
      </w:r>
      <w:r w:rsidRPr="00FA0D37">
        <w:t xml:space="preserve"> {supported}      </w:t>
      </w:r>
      <w:r w:rsidRPr="00FA0D37">
        <w:rPr>
          <w:color w:val="993366"/>
        </w:rPr>
        <w:t>OPTIONAL</w:t>
      </w:r>
      <w:r w:rsidRPr="00FA0D37">
        <w:t>,</w:t>
      </w:r>
    </w:p>
    <w:p w14:paraId="4875D793" w14:textId="77777777" w:rsidR="00394471" w:rsidRPr="00FA0D37" w:rsidRDefault="00394471" w:rsidP="00FA0D37">
      <w:pPr>
        <w:pStyle w:val="PL"/>
      </w:pPr>
      <w:r w:rsidRPr="00FA0D37">
        <w:t xml:space="preserve">    pdcp-DuplicationSRB                 </w:t>
      </w:r>
      <w:r w:rsidRPr="00FA0D37">
        <w:rPr>
          <w:color w:val="993366"/>
        </w:rPr>
        <w:t>ENUMERATED</w:t>
      </w:r>
      <w:r w:rsidRPr="00FA0D37">
        <w:t xml:space="preserve"> {supported}      </w:t>
      </w:r>
      <w:r w:rsidRPr="00FA0D37">
        <w:rPr>
          <w:color w:val="993366"/>
        </w:rPr>
        <w:t>OPTIONAL</w:t>
      </w:r>
      <w:r w:rsidRPr="00FA0D37">
        <w:t>,</w:t>
      </w:r>
    </w:p>
    <w:p w14:paraId="6BDC0E12" w14:textId="77777777" w:rsidR="00394471" w:rsidRPr="00FA0D37" w:rsidRDefault="00394471" w:rsidP="00FA0D37">
      <w:pPr>
        <w:pStyle w:val="PL"/>
      </w:pPr>
      <w:r w:rsidRPr="00FA0D37">
        <w:t xml:space="preserve">    pdcp-DuplicationMCG-OrSCG-DRB       </w:t>
      </w:r>
      <w:r w:rsidRPr="00FA0D37">
        <w:rPr>
          <w:color w:val="993366"/>
        </w:rPr>
        <w:t>ENUMERATED</w:t>
      </w:r>
      <w:r w:rsidRPr="00FA0D37">
        <w:t xml:space="preserve"> {supported}      </w:t>
      </w:r>
      <w:r w:rsidRPr="00FA0D37">
        <w:rPr>
          <w:color w:val="993366"/>
        </w:rPr>
        <w:t>OPTIONAL</w:t>
      </w:r>
      <w:r w:rsidRPr="00FA0D37">
        <w:t>,</w:t>
      </w:r>
    </w:p>
    <w:p w14:paraId="7414C96A" w14:textId="77777777" w:rsidR="00394471" w:rsidRPr="00FA0D37" w:rsidRDefault="00394471" w:rsidP="00FA0D37">
      <w:pPr>
        <w:pStyle w:val="PL"/>
      </w:pPr>
      <w:r w:rsidRPr="00FA0D37">
        <w:t xml:space="preserve">    ...,</w:t>
      </w:r>
    </w:p>
    <w:p w14:paraId="5C7FD188" w14:textId="77777777" w:rsidR="00394471" w:rsidRPr="00FA0D37" w:rsidRDefault="00394471" w:rsidP="00FA0D37">
      <w:pPr>
        <w:pStyle w:val="PL"/>
      </w:pPr>
      <w:r w:rsidRPr="00FA0D37">
        <w:t xml:space="preserve">    [[</w:t>
      </w:r>
    </w:p>
    <w:p w14:paraId="2E962925" w14:textId="77777777" w:rsidR="00394471" w:rsidRPr="00FA0D37" w:rsidRDefault="00394471" w:rsidP="00FA0D37">
      <w:pPr>
        <w:pStyle w:val="PL"/>
      </w:pPr>
      <w:r w:rsidRPr="00FA0D37">
        <w:t xml:space="preserve">    drb-IAB-r16                         </w:t>
      </w:r>
      <w:r w:rsidRPr="00FA0D37">
        <w:rPr>
          <w:color w:val="993366"/>
        </w:rPr>
        <w:t>ENUMERATED</w:t>
      </w:r>
      <w:r w:rsidRPr="00FA0D37">
        <w:t xml:space="preserve"> {supported}      </w:t>
      </w:r>
      <w:r w:rsidRPr="00FA0D37">
        <w:rPr>
          <w:color w:val="993366"/>
        </w:rPr>
        <w:t>OPTIONAL</w:t>
      </w:r>
      <w:r w:rsidRPr="00FA0D37">
        <w:t>,</w:t>
      </w:r>
    </w:p>
    <w:p w14:paraId="51B54902" w14:textId="77777777" w:rsidR="00394471" w:rsidRPr="00FA0D37" w:rsidRDefault="00394471" w:rsidP="00FA0D37">
      <w:pPr>
        <w:pStyle w:val="PL"/>
      </w:pPr>
      <w:r w:rsidRPr="00FA0D37">
        <w:t xml:space="preserve">    non-DRB-IAB-r16                     </w:t>
      </w:r>
      <w:r w:rsidRPr="00FA0D37">
        <w:rPr>
          <w:color w:val="993366"/>
        </w:rPr>
        <w:t>ENUMERATED</w:t>
      </w:r>
      <w:r w:rsidRPr="00FA0D37">
        <w:t xml:space="preserve"> {supported}      </w:t>
      </w:r>
      <w:r w:rsidRPr="00FA0D37">
        <w:rPr>
          <w:color w:val="993366"/>
        </w:rPr>
        <w:t>OPTIONAL</w:t>
      </w:r>
      <w:r w:rsidRPr="00FA0D37">
        <w:t>,</w:t>
      </w:r>
    </w:p>
    <w:p w14:paraId="32BEA007" w14:textId="77777777" w:rsidR="00394471" w:rsidRPr="00FA0D37" w:rsidRDefault="00394471" w:rsidP="00FA0D37">
      <w:pPr>
        <w:pStyle w:val="PL"/>
      </w:pPr>
      <w:r w:rsidRPr="00FA0D37">
        <w:t xml:space="preserve">    extendedDiscardTimer-r16            </w:t>
      </w:r>
      <w:r w:rsidRPr="00FA0D37">
        <w:rPr>
          <w:color w:val="993366"/>
        </w:rPr>
        <w:t>ENUMERATED</w:t>
      </w:r>
      <w:r w:rsidRPr="00FA0D37">
        <w:t xml:space="preserve"> {supported}      </w:t>
      </w:r>
      <w:r w:rsidRPr="00FA0D37">
        <w:rPr>
          <w:color w:val="993366"/>
        </w:rPr>
        <w:t>OPTIONAL</w:t>
      </w:r>
      <w:r w:rsidRPr="00FA0D37">
        <w:t>,</w:t>
      </w:r>
    </w:p>
    <w:p w14:paraId="560DFF43" w14:textId="77777777" w:rsidR="00394471" w:rsidRPr="00FA0D37" w:rsidRDefault="00394471" w:rsidP="00FA0D37">
      <w:pPr>
        <w:pStyle w:val="PL"/>
      </w:pPr>
      <w:r w:rsidRPr="00FA0D37">
        <w:t xml:space="preserve">    continueEHC-Context-r16             </w:t>
      </w:r>
      <w:r w:rsidRPr="00FA0D37">
        <w:rPr>
          <w:color w:val="993366"/>
        </w:rPr>
        <w:t>ENUMERATED</w:t>
      </w:r>
      <w:r w:rsidRPr="00FA0D37">
        <w:t xml:space="preserve"> {supported}      </w:t>
      </w:r>
      <w:r w:rsidRPr="00FA0D37">
        <w:rPr>
          <w:color w:val="993366"/>
        </w:rPr>
        <w:t>OPTIONAL</w:t>
      </w:r>
      <w:r w:rsidRPr="00FA0D37">
        <w:t>,</w:t>
      </w:r>
    </w:p>
    <w:p w14:paraId="72069B8E" w14:textId="77777777" w:rsidR="00394471" w:rsidRPr="00FA0D37" w:rsidRDefault="00394471" w:rsidP="00FA0D37">
      <w:pPr>
        <w:pStyle w:val="PL"/>
      </w:pPr>
      <w:r w:rsidRPr="00FA0D37">
        <w:t xml:space="preserve">    ehc-r16                             </w:t>
      </w:r>
      <w:r w:rsidRPr="00FA0D37">
        <w:rPr>
          <w:color w:val="993366"/>
        </w:rPr>
        <w:t>ENUMERATED</w:t>
      </w:r>
      <w:r w:rsidRPr="00FA0D37">
        <w:t xml:space="preserve"> {supported}      </w:t>
      </w:r>
      <w:r w:rsidRPr="00FA0D37">
        <w:rPr>
          <w:color w:val="993366"/>
        </w:rPr>
        <w:t>OPTIONAL</w:t>
      </w:r>
      <w:r w:rsidRPr="00FA0D37">
        <w:t>,</w:t>
      </w:r>
    </w:p>
    <w:p w14:paraId="028A9E36" w14:textId="77777777" w:rsidR="00394471" w:rsidRPr="00FA0D37" w:rsidRDefault="00394471" w:rsidP="00FA0D37">
      <w:pPr>
        <w:pStyle w:val="PL"/>
      </w:pPr>
      <w:r w:rsidRPr="00FA0D37">
        <w:t xml:space="preserve">    maxNumberEHC-Contexts-r16           </w:t>
      </w:r>
      <w:r w:rsidRPr="00FA0D37">
        <w:rPr>
          <w:color w:val="993366"/>
        </w:rPr>
        <w:t>ENUMERATED</w:t>
      </w:r>
      <w:r w:rsidRPr="00FA0D37">
        <w:t xml:space="preserve"> {cs2, cs4, cs8, cs16, cs32, cs64, cs128, cs256, cs512,</w:t>
      </w:r>
    </w:p>
    <w:p w14:paraId="1AE42867" w14:textId="77777777" w:rsidR="00394471" w:rsidRPr="00FA0D37" w:rsidRDefault="00394471" w:rsidP="00FA0D37">
      <w:pPr>
        <w:pStyle w:val="PL"/>
      </w:pPr>
      <w:r w:rsidRPr="00FA0D37">
        <w:t xml:space="preserve">                                                    cs1024, cs2048, cs4096, cs8192, cs16384, cs32768, cs65536}    </w:t>
      </w:r>
      <w:r w:rsidRPr="00FA0D37">
        <w:rPr>
          <w:color w:val="993366"/>
        </w:rPr>
        <w:t>OPTIONAL</w:t>
      </w:r>
      <w:r w:rsidRPr="00FA0D37">
        <w:t>,</w:t>
      </w:r>
    </w:p>
    <w:p w14:paraId="3DEEC665" w14:textId="77777777" w:rsidR="00394471" w:rsidRPr="00FA0D37" w:rsidRDefault="00394471" w:rsidP="00FA0D37">
      <w:pPr>
        <w:pStyle w:val="PL"/>
      </w:pPr>
      <w:r w:rsidRPr="00FA0D37">
        <w:t xml:space="preserve">    jointEHC-ROHC-Config-r16            </w:t>
      </w:r>
      <w:r w:rsidRPr="00FA0D37">
        <w:rPr>
          <w:color w:val="993366"/>
        </w:rPr>
        <w:t>ENUMERATED</w:t>
      </w:r>
      <w:r w:rsidRPr="00FA0D37">
        <w:t xml:space="preserve"> {supported}      </w:t>
      </w:r>
      <w:r w:rsidRPr="00FA0D37">
        <w:rPr>
          <w:color w:val="993366"/>
        </w:rPr>
        <w:t>OPTIONAL</w:t>
      </w:r>
      <w:r w:rsidRPr="00FA0D37">
        <w:t>,</w:t>
      </w:r>
    </w:p>
    <w:p w14:paraId="0C3DEC68" w14:textId="77777777" w:rsidR="00394471" w:rsidRPr="00FA0D37" w:rsidRDefault="00394471" w:rsidP="00FA0D37">
      <w:pPr>
        <w:pStyle w:val="PL"/>
      </w:pPr>
      <w:r w:rsidRPr="00FA0D37">
        <w:t xml:space="preserve">    pdcp-DuplicationMoreThanTwoRLC-r16  </w:t>
      </w:r>
      <w:r w:rsidRPr="00FA0D37">
        <w:rPr>
          <w:color w:val="993366"/>
        </w:rPr>
        <w:t>ENUMERATED</w:t>
      </w:r>
      <w:r w:rsidRPr="00FA0D37">
        <w:t xml:space="preserve"> {supported}      </w:t>
      </w:r>
      <w:r w:rsidRPr="00FA0D37">
        <w:rPr>
          <w:color w:val="993366"/>
        </w:rPr>
        <w:t>OPTIONAL</w:t>
      </w:r>
    </w:p>
    <w:p w14:paraId="296F67D1" w14:textId="03AC00A7" w:rsidR="00022DF1" w:rsidRPr="00FA0D37" w:rsidRDefault="00394471" w:rsidP="00FA0D37">
      <w:pPr>
        <w:pStyle w:val="PL"/>
      </w:pPr>
      <w:r w:rsidRPr="00FA0D37">
        <w:t xml:space="preserve">    ]]</w:t>
      </w:r>
      <w:r w:rsidR="00022DF1" w:rsidRPr="00FA0D37">
        <w:t>,</w:t>
      </w:r>
    </w:p>
    <w:p w14:paraId="31EE7725" w14:textId="77777777" w:rsidR="00022DF1" w:rsidRPr="00FA0D37" w:rsidRDefault="00022DF1" w:rsidP="00FA0D37">
      <w:pPr>
        <w:pStyle w:val="PL"/>
      </w:pPr>
      <w:r w:rsidRPr="00FA0D37">
        <w:t xml:space="preserve">    [[</w:t>
      </w:r>
    </w:p>
    <w:p w14:paraId="245DA574" w14:textId="77777777" w:rsidR="00022DF1" w:rsidRPr="00FA0D37" w:rsidRDefault="00022DF1" w:rsidP="00FA0D37">
      <w:pPr>
        <w:pStyle w:val="PL"/>
      </w:pPr>
      <w:r w:rsidRPr="00FA0D37">
        <w:t xml:space="preserve">    longSN-RedCap-r17                   </w:t>
      </w:r>
      <w:r w:rsidRPr="00FA0D37">
        <w:rPr>
          <w:color w:val="993366"/>
        </w:rPr>
        <w:t>ENUMERATED</w:t>
      </w:r>
      <w:r w:rsidRPr="00FA0D37">
        <w:t xml:space="preserve"> {supported}      </w:t>
      </w:r>
      <w:r w:rsidRPr="00FA0D37">
        <w:rPr>
          <w:color w:val="993366"/>
        </w:rPr>
        <w:t>OPTIONAL</w:t>
      </w:r>
      <w:r w:rsidRPr="00FA0D37">
        <w:t>,</w:t>
      </w:r>
    </w:p>
    <w:p w14:paraId="37A112E8" w14:textId="428BB9EE" w:rsidR="00022DF1" w:rsidRPr="00FA0D37" w:rsidRDefault="00022DF1" w:rsidP="00FA0D37">
      <w:pPr>
        <w:pStyle w:val="PL"/>
      </w:pPr>
      <w:r w:rsidRPr="00FA0D37">
        <w:t xml:space="preserve">    udc-r17                             </w:t>
      </w:r>
      <w:r w:rsidRPr="00FA0D37">
        <w:rPr>
          <w:color w:val="993366"/>
        </w:rPr>
        <w:t>SEQUENCE</w:t>
      </w:r>
      <w:r w:rsidRPr="00FA0D37">
        <w:t xml:space="preserve"> {</w:t>
      </w:r>
    </w:p>
    <w:p w14:paraId="395F17DD" w14:textId="456C08D6" w:rsidR="00022DF1" w:rsidRPr="00FA0D37" w:rsidRDefault="00022DF1" w:rsidP="00FA0D37">
      <w:pPr>
        <w:pStyle w:val="PL"/>
      </w:pPr>
      <w:r w:rsidRPr="00FA0D37">
        <w:t xml:space="preserve">        standardDictionary-r17              </w:t>
      </w:r>
      <w:r w:rsidRPr="00FA0D37">
        <w:rPr>
          <w:color w:val="993366"/>
        </w:rPr>
        <w:t>ENUMERATED</w:t>
      </w:r>
      <w:r w:rsidRPr="00FA0D37">
        <w:t xml:space="preserve"> {supported}  </w:t>
      </w:r>
      <w:r w:rsidRPr="00FA0D37">
        <w:rPr>
          <w:color w:val="993366"/>
        </w:rPr>
        <w:t>OPTIONAL</w:t>
      </w:r>
      <w:r w:rsidRPr="00FA0D37">
        <w:t>,</w:t>
      </w:r>
    </w:p>
    <w:p w14:paraId="10233B00" w14:textId="2CDCE27D" w:rsidR="00022DF1" w:rsidRPr="00FA0D37" w:rsidRDefault="00022DF1" w:rsidP="00FA0D37">
      <w:pPr>
        <w:pStyle w:val="PL"/>
      </w:pPr>
      <w:r w:rsidRPr="00FA0D37">
        <w:t xml:space="preserve">        operatorDictionary-r17              </w:t>
      </w:r>
      <w:r w:rsidRPr="00FA0D37">
        <w:rPr>
          <w:color w:val="993366"/>
        </w:rPr>
        <w:t>SEQUENCE</w:t>
      </w:r>
      <w:r w:rsidRPr="00FA0D37">
        <w:t xml:space="preserve"> {</w:t>
      </w:r>
    </w:p>
    <w:p w14:paraId="329B2DF1" w14:textId="72A5C350" w:rsidR="00022DF1" w:rsidRPr="00FA0D37" w:rsidRDefault="00022DF1" w:rsidP="00FA0D37">
      <w:pPr>
        <w:pStyle w:val="PL"/>
      </w:pPr>
      <w:r w:rsidRPr="00FA0D37">
        <w:t xml:space="preserve">            versionOfDictionary-r17             </w:t>
      </w:r>
      <w:r w:rsidRPr="00FA0D37">
        <w:rPr>
          <w:color w:val="993366"/>
        </w:rPr>
        <w:t>INTEGER</w:t>
      </w:r>
      <w:r w:rsidRPr="00FA0D37">
        <w:t xml:space="preserve"> (0..15),</w:t>
      </w:r>
    </w:p>
    <w:p w14:paraId="063E4036" w14:textId="2DC4678A" w:rsidR="00022DF1" w:rsidRPr="00FA0D37" w:rsidRDefault="00022DF1" w:rsidP="00FA0D37">
      <w:pPr>
        <w:pStyle w:val="PL"/>
      </w:pPr>
      <w:r w:rsidRPr="00FA0D37">
        <w:t xml:space="preserve">            associatedPLMN-ID-r17               PLMN-Identity</w:t>
      </w:r>
    </w:p>
    <w:p w14:paraId="1D31F9F0" w14:textId="77777777" w:rsidR="00022DF1" w:rsidRPr="00FA0D37" w:rsidRDefault="00022DF1" w:rsidP="00FA0D37">
      <w:pPr>
        <w:pStyle w:val="PL"/>
      </w:pPr>
      <w:r w:rsidRPr="00FA0D37">
        <w:t xml:space="preserve">        }                                                           </w:t>
      </w:r>
      <w:r w:rsidRPr="00FA0D37">
        <w:rPr>
          <w:color w:val="993366"/>
        </w:rPr>
        <w:t>OPTIONAL</w:t>
      </w:r>
      <w:r w:rsidRPr="00FA0D37">
        <w:t>,</w:t>
      </w:r>
    </w:p>
    <w:p w14:paraId="439DA958" w14:textId="77777777" w:rsidR="00795A4E" w:rsidRPr="00FA0D37" w:rsidRDefault="00022DF1" w:rsidP="00FA0D37">
      <w:pPr>
        <w:pStyle w:val="PL"/>
      </w:pPr>
      <w:r w:rsidRPr="00FA0D37">
        <w:t xml:space="preserve">        continueUDC-r17                     </w:t>
      </w:r>
      <w:r w:rsidRPr="00FA0D37">
        <w:rPr>
          <w:color w:val="993366"/>
        </w:rPr>
        <w:t>ENUMERATED</w:t>
      </w:r>
      <w:r w:rsidRPr="00FA0D37">
        <w:t xml:space="preserve"> {supported}  </w:t>
      </w:r>
      <w:r w:rsidRPr="00FA0D37">
        <w:rPr>
          <w:color w:val="993366"/>
        </w:rPr>
        <w:t>OPTIONAL</w:t>
      </w:r>
      <w:r w:rsidR="00795A4E" w:rsidRPr="00FA0D37">
        <w:t>,</w:t>
      </w:r>
    </w:p>
    <w:p w14:paraId="214E2702" w14:textId="12766C1D" w:rsidR="00022DF1" w:rsidRPr="00FA0D37" w:rsidRDefault="00795A4E" w:rsidP="00FA0D37">
      <w:pPr>
        <w:pStyle w:val="PL"/>
      </w:pPr>
      <w:r w:rsidRPr="00FA0D37">
        <w:t xml:space="preserve">        supportOfBufferSize-r17             </w:t>
      </w:r>
      <w:r w:rsidRPr="00FA0D37">
        <w:rPr>
          <w:color w:val="993366"/>
        </w:rPr>
        <w:t>ENUMERATED</w:t>
      </w:r>
      <w:r w:rsidRPr="00FA0D37">
        <w:t xml:space="preserve"> {kbyte4, kbyte8}  </w:t>
      </w:r>
      <w:r w:rsidRPr="00FA0D37">
        <w:rPr>
          <w:color w:val="993366"/>
        </w:rPr>
        <w:t>OPTIONAL</w:t>
      </w:r>
    </w:p>
    <w:p w14:paraId="4E3B41C1" w14:textId="66FDF50B" w:rsidR="00022DF1" w:rsidRPr="00FA0D37" w:rsidRDefault="00022DF1" w:rsidP="00FA0D37">
      <w:pPr>
        <w:pStyle w:val="PL"/>
      </w:pPr>
      <w:r w:rsidRPr="00FA0D37">
        <w:t xml:space="preserve">    }                                                               </w:t>
      </w:r>
      <w:r w:rsidRPr="00FA0D37">
        <w:rPr>
          <w:color w:val="993366"/>
        </w:rPr>
        <w:t>OPTIONAL</w:t>
      </w:r>
    </w:p>
    <w:p w14:paraId="3EA311D8" w14:textId="525674A2" w:rsidR="00394471" w:rsidRPr="00FA0D37" w:rsidRDefault="00022DF1" w:rsidP="00FA0D37">
      <w:pPr>
        <w:pStyle w:val="PL"/>
      </w:pPr>
      <w:r w:rsidRPr="00FA0D37">
        <w:t xml:space="preserve">    ]]</w:t>
      </w:r>
    </w:p>
    <w:p w14:paraId="10F070ED" w14:textId="77777777" w:rsidR="00394471" w:rsidRPr="00FA0D37" w:rsidRDefault="00394471" w:rsidP="00FA0D37">
      <w:pPr>
        <w:pStyle w:val="PL"/>
      </w:pPr>
      <w:r w:rsidRPr="00FA0D37">
        <w:t>}</w:t>
      </w:r>
    </w:p>
    <w:p w14:paraId="7328E553" w14:textId="77777777" w:rsidR="00394471" w:rsidRPr="00FA0D37" w:rsidRDefault="00394471" w:rsidP="00FA0D37">
      <w:pPr>
        <w:pStyle w:val="PL"/>
      </w:pPr>
    </w:p>
    <w:p w14:paraId="02F287F5" w14:textId="77777777" w:rsidR="00394471" w:rsidRPr="00FA0D37" w:rsidRDefault="00394471" w:rsidP="00FA0D37">
      <w:pPr>
        <w:pStyle w:val="PL"/>
        <w:rPr>
          <w:color w:val="808080"/>
        </w:rPr>
      </w:pPr>
      <w:r w:rsidRPr="00FA0D37">
        <w:rPr>
          <w:color w:val="808080"/>
        </w:rPr>
        <w:t>-- TAG-PDCP-PARAMETERS-STOP</w:t>
      </w:r>
    </w:p>
    <w:p w14:paraId="2D567D93" w14:textId="77777777" w:rsidR="00394471" w:rsidRPr="00FA0D37" w:rsidRDefault="00394471" w:rsidP="00FA0D37">
      <w:pPr>
        <w:pStyle w:val="PL"/>
        <w:rPr>
          <w:color w:val="808080"/>
        </w:rPr>
      </w:pPr>
      <w:r w:rsidRPr="00FA0D37">
        <w:rPr>
          <w:color w:val="808080"/>
        </w:rPr>
        <w:t>-- ASN1STOP</w:t>
      </w:r>
    </w:p>
    <w:p w14:paraId="6A1C3363" w14:textId="77777777" w:rsidR="00394471" w:rsidRPr="00FA0D37" w:rsidRDefault="00394471" w:rsidP="00394471"/>
    <w:p w14:paraId="56EC5CA4" w14:textId="01B98E53" w:rsidR="00394471" w:rsidRPr="00FA0D37" w:rsidRDefault="00394471" w:rsidP="00394471">
      <w:pPr>
        <w:pStyle w:val="4"/>
      </w:pPr>
      <w:bookmarkStart w:id="1591" w:name="_Toc60777469"/>
      <w:bookmarkStart w:id="1592" w:name="_Toc146781572"/>
      <w:r w:rsidRPr="00FA0D37">
        <w:lastRenderedPageBreak/>
        <w:t>–</w:t>
      </w:r>
      <w:r w:rsidRPr="00FA0D37">
        <w:tab/>
      </w:r>
      <w:r w:rsidRPr="00FA0D37">
        <w:rPr>
          <w:i/>
        </w:rPr>
        <w:t>PDCP-ParametersMRDC</w:t>
      </w:r>
      <w:bookmarkEnd w:id="1591"/>
      <w:bookmarkEnd w:id="1592"/>
    </w:p>
    <w:p w14:paraId="44AAED33" w14:textId="77777777" w:rsidR="00394471" w:rsidRPr="00FA0D37" w:rsidRDefault="00394471" w:rsidP="00394471">
      <w:r w:rsidRPr="00FA0D37">
        <w:t xml:space="preserve">The IE </w:t>
      </w:r>
      <w:r w:rsidRPr="00FA0D37">
        <w:rPr>
          <w:i/>
        </w:rPr>
        <w:t>PDCP-ParametersMRDC</w:t>
      </w:r>
      <w:r w:rsidRPr="00FA0D37">
        <w:t xml:space="preserve"> is used to convey PDCP related capabilities for MR-DC.</w:t>
      </w:r>
    </w:p>
    <w:p w14:paraId="6C5A8D66" w14:textId="77777777" w:rsidR="00394471" w:rsidRPr="00FA0D37" w:rsidRDefault="00394471" w:rsidP="00394471">
      <w:pPr>
        <w:pStyle w:val="TH"/>
      </w:pPr>
      <w:r w:rsidRPr="00FA0D37">
        <w:rPr>
          <w:i/>
        </w:rPr>
        <w:t>PDCP-ParametersMRDC</w:t>
      </w:r>
      <w:r w:rsidRPr="00FA0D37">
        <w:t xml:space="preserve"> information element</w:t>
      </w:r>
    </w:p>
    <w:p w14:paraId="68EF7405" w14:textId="77777777" w:rsidR="00394471" w:rsidRPr="00FA0D37" w:rsidRDefault="00394471" w:rsidP="00FA0D37">
      <w:pPr>
        <w:pStyle w:val="PL"/>
        <w:rPr>
          <w:color w:val="808080"/>
        </w:rPr>
      </w:pPr>
      <w:r w:rsidRPr="00FA0D37">
        <w:rPr>
          <w:color w:val="808080"/>
        </w:rPr>
        <w:t>-- ASN1START</w:t>
      </w:r>
    </w:p>
    <w:p w14:paraId="4542C84C" w14:textId="77777777" w:rsidR="00394471" w:rsidRPr="00FA0D37" w:rsidRDefault="00394471" w:rsidP="00FA0D37">
      <w:pPr>
        <w:pStyle w:val="PL"/>
        <w:rPr>
          <w:color w:val="808080"/>
        </w:rPr>
      </w:pPr>
      <w:r w:rsidRPr="00FA0D37">
        <w:rPr>
          <w:color w:val="808080"/>
        </w:rPr>
        <w:t>-- TAG-PDCP-PARAMETERSMRDC-START</w:t>
      </w:r>
    </w:p>
    <w:p w14:paraId="2E0AD557" w14:textId="77777777" w:rsidR="00394471" w:rsidRPr="00FA0D37" w:rsidRDefault="00394471" w:rsidP="00FA0D37">
      <w:pPr>
        <w:pStyle w:val="PL"/>
      </w:pPr>
    </w:p>
    <w:p w14:paraId="70A73A40" w14:textId="77777777" w:rsidR="00394471" w:rsidRPr="00FA0D37" w:rsidRDefault="00394471" w:rsidP="00FA0D37">
      <w:pPr>
        <w:pStyle w:val="PL"/>
      </w:pPr>
      <w:r w:rsidRPr="00FA0D37">
        <w:t xml:space="preserve">PDCP-ParametersMRDC ::=                 </w:t>
      </w:r>
      <w:r w:rsidRPr="00FA0D37">
        <w:rPr>
          <w:color w:val="993366"/>
        </w:rPr>
        <w:t>SEQUENCE</w:t>
      </w:r>
      <w:r w:rsidRPr="00FA0D37">
        <w:t xml:space="preserve"> {</w:t>
      </w:r>
    </w:p>
    <w:p w14:paraId="5A72ACAC" w14:textId="77777777" w:rsidR="00394471" w:rsidRPr="00FA0D37" w:rsidRDefault="00394471" w:rsidP="00FA0D37">
      <w:pPr>
        <w:pStyle w:val="PL"/>
      </w:pPr>
      <w:r w:rsidRPr="00FA0D37">
        <w:t xml:space="preserve">    pdcp-DuplicationSplitSRB                </w:t>
      </w:r>
      <w:r w:rsidRPr="00FA0D37">
        <w:rPr>
          <w:color w:val="993366"/>
        </w:rPr>
        <w:t>ENUMERATED</w:t>
      </w:r>
      <w:r w:rsidRPr="00FA0D37">
        <w:t xml:space="preserve"> {supported}      </w:t>
      </w:r>
      <w:r w:rsidRPr="00FA0D37">
        <w:rPr>
          <w:color w:val="993366"/>
        </w:rPr>
        <w:t>OPTIONAL</w:t>
      </w:r>
      <w:r w:rsidRPr="00FA0D37">
        <w:t>,</w:t>
      </w:r>
    </w:p>
    <w:p w14:paraId="7C573366" w14:textId="77777777" w:rsidR="00394471" w:rsidRPr="00FA0D37" w:rsidRDefault="00394471" w:rsidP="00FA0D37">
      <w:pPr>
        <w:pStyle w:val="PL"/>
      </w:pPr>
      <w:r w:rsidRPr="00FA0D37">
        <w:t xml:space="preserve">    pdcp-DuplicationSplitDRB                </w:t>
      </w:r>
      <w:r w:rsidRPr="00FA0D37">
        <w:rPr>
          <w:color w:val="993366"/>
        </w:rPr>
        <w:t>ENUMERATED</w:t>
      </w:r>
      <w:r w:rsidRPr="00FA0D37">
        <w:t xml:space="preserve"> {supported}      </w:t>
      </w:r>
      <w:r w:rsidRPr="00FA0D37">
        <w:rPr>
          <w:color w:val="993366"/>
        </w:rPr>
        <w:t>OPTIONAL</w:t>
      </w:r>
    </w:p>
    <w:p w14:paraId="385BC5FE" w14:textId="77777777" w:rsidR="00394471" w:rsidRPr="00FA0D37" w:rsidRDefault="00394471" w:rsidP="00FA0D37">
      <w:pPr>
        <w:pStyle w:val="PL"/>
      </w:pPr>
      <w:r w:rsidRPr="00FA0D37">
        <w:t>}</w:t>
      </w:r>
    </w:p>
    <w:p w14:paraId="33C77784" w14:textId="77777777" w:rsidR="00394471" w:rsidRPr="00FA0D37" w:rsidRDefault="00394471" w:rsidP="00FA0D37">
      <w:pPr>
        <w:pStyle w:val="PL"/>
      </w:pPr>
    </w:p>
    <w:p w14:paraId="0640DF6B" w14:textId="77777777" w:rsidR="00394471" w:rsidRPr="00FA0D37" w:rsidRDefault="00394471" w:rsidP="00FA0D37">
      <w:pPr>
        <w:pStyle w:val="PL"/>
      </w:pPr>
      <w:r w:rsidRPr="00FA0D37">
        <w:t xml:space="preserve">PDCP-ParametersMRDC-v1610 ::= </w:t>
      </w:r>
      <w:r w:rsidRPr="00FA0D37">
        <w:rPr>
          <w:color w:val="993366"/>
        </w:rPr>
        <w:t>SEQUENCE</w:t>
      </w:r>
      <w:r w:rsidRPr="00FA0D37">
        <w:t xml:space="preserve"> {</w:t>
      </w:r>
    </w:p>
    <w:p w14:paraId="01C7C4E5" w14:textId="77777777" w:rsidR="00394471" w:rsidRPr="00FA0D37" w:rsidRDefault="00394471" w:rsidP="00FA0D37">
      <w:pPr>
        <w:pStyle w:val="PL"/>
      </w:pPr>
      <w:r w:rsidRPr="00FA0D37">
        <w:t xml:space="preserve">    scg-DRB-NR-IAB-r16                  </w:t>
      </w:r>
      <w:r w:rsidRPr="00FA0D37">
        <w:rPr>
          <w:color w:val="993366"/>
        </w:rPr>
        <w:t>ENUMERATED</w:t>
      </w:r>
      <w:r w:rsidRPr="00FA0D37">
        <w:t xml:space="preserve"> {supported}          </w:t>
      </w:r>
      <w:r w:rsidRPr="00FA0D37">
        <w:rPr>
          <w:color w:val="993366"/>
        </w:rPr>
        <w:t>OPTIONAL</w:t>
      </w:r>
    </w:p>
    <w:p w14:paraId="67D9416F" w14:textId="77777777" w:rsidR="00394471" w:rsidRPr="00FA0D37" w:rsidRDefault="00394471" w:rsidP="00FA0D37">
      <w:pPr>
        <w:pStyle w:val="PL"/>
      </w:pPr>
      <w:r w:rsidRPr="00FA0D37">
        <w:t>}</w:t>
      </w:r>
    </w:p>
    <w:p w14:paraId="14B01AAB" w14:textId="77777777" w:rsidR="00394471" w:rsidRPr="00FA0D37" w:rsidRDefault="00394471" w:rsidP="00FA0D37">
      <w:pPr>
        <w:pStyle w:val="PL"/>
      </w:pPr>
    </w:p>
    <w:p w14:paraId="42FBC659" w14:textId="77777777" w:rsidR="00394471" w:rsidRPr="00FA0D37" w:rsidRDefault="00394471" w:rsidP="00FA0D37">
      <w:pPr>
        <w:pStyle w:val="PL"/>
        <w:rPr>
          <w:color w:val="808080"/>
        </w:rPr>
      </w:pPr>
      <w:r w:rsidRPr="00FA0D37">
        <w:rPr>
          <w:color w:val="808080"/>
        </w:rPr>
        <w:t>-- TAG-PDCP-PARAMETERSMRDC-STOP</w:t>
      </w:r>
    </w:p>
    <w:p w14:paraId="4FF50EF6" w14:textId="77777777" w:rsidR="00394471" w:rsidRPr="00FA0D37" w:rsidRDefault="00394471" w:rsidP="00FA0D37">
      <w:pPr>
        <w:pStyle w:val="PL"/>
        <w:rPr>
          <w:color w:val="808080"/>
        </w:rPr>
      </w:pPr>
      <w:r w:rsidRPr="00FA0D37">
        <w:rPr>
          <w:color w:val="808080"/>
        </w:rPr>
        <w:t>-- ASN1STOP</w:t>
      </w:r>
    </w:p>
    <w:p w14:paraId="074BC9EA" w14:textId="77777777" w:rsidR="00394471" w:rsidRPr="00FA0D37" w:rsidRDefault="00394471" w:rsidP="00394471"/>
    <w:p w14:paraId="018DC19F" w14:textId="35AC9A6A" w:rsidR="00394471" w:rsidRPr="00FA0D37" w:rsidRDefault="00394471" w:rsidP="00394471">
      <w:pPr>
        <w:pStyle w:val="4"/>
      </w:pPr>
      <w:bookmarkStart w:id="1593" w:name="_Toc60777470"/>
      <w:bookmarkStart w:id="1594" w:name="_Toc146781573"/>
      <w:r w:rsidRPr="00FA0D37">
        <w:t>–</w:t>
      </w:r>
      <w:r w:rsidRPr="00FA0D37">
        <w:tab/>
      </w:r>
      <w:r w:rsidRPr="00FA0D37">
        <w:rPr>
          <w:i/>
        </w:rPr>
        <w:t>Phy-Parameters</w:t>
      </w:r>
      <w:bookmarkEnd w:id="1593"/>
      <w:bookmarkEnd w:id="1594"/>
    </w:p>
    <w:p w14:paraId="3649994D" w14:textId="77777777" w:rsidR="00394471" w:rsidRPr="00FA0D37" w:rsidRDefault="00394471" w:rsidP="00394471">
      <w:r w:rsidRPr="00FA0D37">
        <w:t xml:space="preserve">The IE </w:t>
      </w:r>
      <w:r w:rsidRPr="00FA0D37">
        <w:rPr>
          <w:i/>
        </w:rPr>
        <w:t>Phy-Parameters</w:t>
      </w:r>
      <w:r w:rsidRPr="00FA0D37">
        <w:t xml:space="preserve"> is used to convey the physical layer capabilities.</w:t>
      </w:r>
    </w:p>
    <w:p w14:paraId="408ADCB7" w14:textId="77777777" w:rsidR="00394471" w:rsidRPr="00FA0D37" w:rsidRDefault="00394471" w:rsidP="00394471">
      <w:pPr>
        <w:pStyle w:val="TH"/>
      </w:pPr>
      <w:r w:rsidRPr="00FA0D37">
        <w:rPr>
          <w:i/>
        </w:rPr>
        <w:t>Phy-Parameters</w:t>
      </w:r>
      <w:r w:rsidRPr="00FA0D37">
        <w:t xml:space="preserve"> information element</w:t>
      </w:r>
    </w:p>
    <w:p w14:paraId="2A423132" w14:textId="77777777" w:rsidR="00394471" w:rsidRPr="00FA0D37" w:rsidRDefault="00394471" w:rsidP="00FA0D37">
      <w:pPr>
        <w:pStyle w:val="PL"/>
        <w:rPr>
          <w:color w:val="808080"/>
        </w:rPr>
      </w:pPr>
      <w:r w:rsidRPr="00FA0D37">
        <w:rPr>
          <w:color w:val="808080"/>
        </w:rPr>
        <w:t>-- ASN1START</w:t>
      </w:r>
    </w:p>
    <w:p w14:paraId="48662767" w14:textId="77777777" w:rsidR="00394471" w:rsidRPr="00FA0D37" w:rsidRDefault="00394471" w:rsidP="00FA0D37">
      <w:pPr>
        <w:pStyle w:val="PL"/>
        <w:rPr>
          <w:color w:val="808080"/>
        </w:rPr>
      </w:pPr>
      <w:r w:rsidRPr="00FA0D37">
        <w:rPr>
          <w:color w:val="808080"/>
        </w:rPr>
        <w:t>-- TAG-PHY-PARAMETERS-START</w:t>
      </w:r>
    </w:p>
    <w:p w14:paraId="120264E6" w14:textId="77777777" w:rsidR="00394471" w:rsidRPr="00FA0D37" w:rsidRDefault="00394471" w:rsidP="00FA0D37">
      <w:pPr>
        <w:pStyle w:val="PL"/>
      </w:pPr>
    </w:p>
    <w:p w14:paraId="00E5942A" w14:textId="77777777" w:rsidR="00394471" w:rsidRPr="00FA0D37" w:rsidRDefault="00394471" w:rsidP="00FA0D37">
      <w:pPr>
        <w:pStyle w:val="PL"/>
      </w:pPr>
      <w:r w:rsidRPr="00FA0D37">
        <w:t xml:space="preserve">Phy-Parameters ::=                  </w:t>
      </w:r>
      <w:r w:rsidRPr="00FA0D37">
        <w:rPr>
          <w:color w:val="993366"/>
        </w:rPr>
        <w:t>SEQUENCE</w:t>
      </w:r>
      <w:r w:rsidRPr="00FA0D37">
        <w:t xml:space="preserve"> {</w:t>
      </w:r>
    </w:p>
    <w:p w14:paraId="0271C31D" w14:textId="77777777" w:rsidR="00394471" w:rsidRPr="00FA0D37" w:rsidRDefault="00394471" w:rsidP="00FA0D37">
      <w:pPr>
        <w:pStyle w:val="PL"/>
      </w:pPr>
      <w:r w:rsidRPr="00FA0D37">
        <w:t xml:space="preserve">    phy-ParametersCommon                Phy-ParametersCommon                        </w:t>
      </w:r>
      <w:r w:rsidRPr="00FA0D37">
        <w:rPr>
          <w:color w:val="993366"/>
        </w:rPr>
        <w:t>OPTIONAL</w:t>
      </w:r>
      <w:r w:rsidRPr="00FA0D37">
        <w:t>,</w:t>
      </w:r>
    </w:p>
    <w:p w14:paraId="6156D752" w14:textId="77777777" w:rsidR="00394471" w:rsidRPr="00FA0D37" w:rsidRDefault="00394471" w:rsidP="00FA0D37">
      <w:pPr>
        <w:pStyle w:val="PL"/>
      </w:pPr>
      <w:r w:rsidRPr="00FA0D37">
        <w:t xml:space="preserve">    phy-ParametersXDD-Diff              Phy-ParametersXDD-Diff                      </w:t>
      </w:r>
      <w:r w:rsidRPr="00FA0D37">
        <w:rPr>
          <w:color w:val="993366"/>
        </w:rPr>
        <w:t>OPTIONAL</w:t>
      </w:r>
      <w:r w:rsidRPr="00FA0D37">
        <w:t>,</w:t>
      </w:r>
    </w:p>
    <w:p w14:paraId="5B8F5B6F" w14:textId="77777777" w:rsidR="00394471" w:rsidRPr="00FA0D37" w:rsidRDefault="00394471" w:rsidP="00FA0D37">
      <w:pPr>
        <w:pStyle w:val="PL"/>
      </w:pPr>
      <w:r w:rsidRPr="00FA0D37">
        <w:t xml:space="preserve">    phy-ParametersFRX-Diff              Phy-ParametersFRX-Diff                      </w:t>
      </w:r>
      <w:r w:rsidRPr="00FA0D37">
        <w:rPr>
          <w:color w:val="993366"/>
        </w:rPr>
        <w:t>OPTIONAL</w:t>
      </w:r>
      <w:r w:rsidRPr="00FA0D37">
        <w:t>,</w:t>
      </w:r>
    </w:p>
    <w:p w14:paraId="25B39F79" w14:textId="77777777" w:rsidR="00394471" w:rsidRPr="00FA0D37" w:rsidRDefault="00394471" w:rsidP="00FA0D37">
      <w:pPr>
        <w:pStyle w:val="PL"/>
      </w:pPr>
      <w:r w:rsidRPr="00FA0D37">
        <w:t xml:space="preserve">    phy-ParametersFR1                   Phy-ParametersFR1                           </w:t>
      </w:r>
      <w:r w:rsidRPr="00FA0D37">
        <w:rPr>
          <w:color w:val="993366"/>
        </w:rPr>
        <w:t>OPTIONAL</w:t>
      </w:r>
      <w:r w:rsidRPr="00FA0D37">
        <w:t>,</w:t>
      </w:r>
    </w:p>
    <w:p w14:paraId="76F998E1" w14:textId="77777777" w:rsidR="00394471" w:rsidRPr="00FA0D37" w:rsidRDefault="00394471" w:rsidP="00FA0D37">
      <w:pPr>
        <w:pStyle w:val="PL"/>
      </w:pPr>
      <w:r w:rsidRPr="00FA0D37">
        <w:t xml:space="preserve">    phy-ParametersFR2                   Phy-ParametersFR2                           </w:t>
      </w:r>
      <w:r w:rsidRPr="00FA0D37">
        <w:rPr>
          <w:color w:val="993366"/>
        </w:rPr>
        <w:t>OPTIONAL</w:t>
      </w:r>
    </w:p>
    <w:p w14:paraId="606AEB38" w14:textId="77777777" w:rsidR="00394471" w:rsidRPr="00FA0D37" w:rsidRDefault="00394471" w:rsidP="00FA0D37">
      <w:pPr>
        <w:pStyle w:val="PL"/>
      </w:pPr>
      <w:r w:rsidRPr="00FA0D37">
        <w:t>}</w:t>
      </w:r>
    </w:p>
    <w:p w14:paraId="00CEAA60" w14:textId="5C8974CE" w:rsidR="00394471" w:rsidRPr="00FA0D37" w:rsidRDefault="00394471" w:rsidP="00FA0D37">
      <w:pPr>
        <w:pStyle w:val="PL"/>
      </w:pPr>
    </w:p>
    <w:p w14:paraId="4A09F704" w14:textId="5BD51273" w:rsidR="00963709" w:rsidRPr="00FA0D37" w:rsidRDefault="00963709" w:rsidP="00FA0D37">
      <w:pPr>
        <w:pStyle w:val="PL"/>
      </w:pPr>
      <w:r w:rsidRPr="00FA0D37">
        <w:t xml:space="preserve">Phy-Parameters-v16a0 ::=            </w:t>
      </w:r>
      <w:r w:rsidRPr="00FA0D37">
        <w:rPr>
          <w:color w:val="993366"/>
        </w:rPr>
        <w:t>SEQUENCE</w:t>
      </w:r>
      <w:r w:rsidRPr="00FA0D37">
        <w:t xml:space="preserve"> {</w:t>
      </w:r>
    </w:p>
    <w:p w14:paraId="7B562B24" w14:textId="1558BBB4" w:rsidR="00963709" w:rsidRPr="00FA0D37" w:rsidRDefault="00963709" w:rsidP="00FA0D37">
      <w:pPr>
        <w:pStyle w:val="PL"/>
      </w:pPr>
      <w:r w:rsidRPr="00FA0D37">
        <w:t xml:space="preserve">    phy-ParametersCommon-v16a0          Phy-ParametersCommon-v16a0                  </w:t>
      </w:r>
      <w:r w:rsidRPr="00FA0D37">
        <w:rPr>
          <w:color w:val="993366"/>
        </w:rPr>
        <w:t>OPTIONAL</w:t>
      </w:r>
    </w:p>
    <w:p w14:paraId="2052EC6A" w14:textId="053B0110" w:rsidR="00963709" w:rsidRPr="00FA0D37" w:rsidRDefault="00963709" w:rsidP="00FA0D37">
      <w:pPr>
        <w:pStyle w:val="PL"/>
      </w:pPr>
      <w:r w:rsidRPr="00FA0D37">
        <w:t>}</w:t>
      </w:r>
    </w:p>
    <w:p w14:paraId="43A47B3C" w14:textId="77777777" w:rsidR="00963709" w:rsidRPr="00FA0D37" w:rsidRDefault="00963709" w:rsidP="00FA0D37">
      <w:pPr>
        <w:pStyle w:val="PL"/>
      </w:pPr>
    </w:p>
    <w:p w14:paraId="136ACEFD" w14:textId="77777777" w:rsidR="00394471" w:rsidRPr="00FA0D37" w:rsidRDefault="00394471" w:rsidP="00FA0D37">
      <w:pPr>
        <w:pStyle w:val="PL"/>
      </w:pPr>
      <w:r w:rsidRPr="00FA0D37">
        <w:t xml:space="preserve">Phy-ParametersCommon ::=            </w:t>
      </w:r>
      <w:r w:rsidRPr="00FA0D37">
        <w:rPr>
          <w:color w:val="993366"/>
        </w:rPr>
        <w:t>SEQUENCE</w:t>
      </w:r>
      <w:r w:rsidRPr="00FA0D37">
        <w:t xml:space="preserve"> {</w:t>
      </w:r>
    </w:p>
    <w:p w14:paraId="0393768A" w14:textId="77777777" w:rsidR="00394471" w:rsidRPr="00FA0D37" w:rsidRDefault="00394471" w:rsidP="00FA0D37">
      <w:pPr>
        <w:pStyle w:val="PL"/>
      </w:pPr>
      <w:r w:rsidRPr="00FA0D37">
        <w:t xml:space="preserve">    csi-RS-CFRA-ForHO                   </w:t>
      </w:r>
      <w:r w:rsidRPr="00FA0D37">
        <w:rPr>
          <w:color w:val="993366"/>
        </w:rPr>
        <w:t>ENUMERATED</w:t>
      </w:r>
      <w:r w:rsidRPr="00FA0D37">
        <w:t xml:space="preserve"> {supported}                      </w:t>
      </w:r>
      <w:r w:rsidRPr="00FA0D37">
        <w:rPr>
          <w:color w:val="993366"/>
        </w:rPr>
        <w:t>OPTIONAL</w:t>
      </w:r>
      <w:r w:rsidRPr="00FA0D37">
        <w:t>,</w:t>
      </w:r>
    </w:p>
    <w:p w14:paraId="4B3734B5" w14:textId="77777777" w:rsidR="00394471" w:rsidRPr="00FA0D37" w:rsidRDefault="00394471" w:rsidP="00FA0D37">
      <w:pPr>
        <w:pStyle w:val="PL"/>
      </w:pPr>
      <w:r w:rsidRPr="00FA0D37">
        <w:t xml:space="preserve">    dynamicPRB-BundlingDL               </w:t>
      </w:r>
      <w:r w:rsidRPr="00FA0D37">
        <w:rPr>
          <w:color w:val="993366"/>
        </w:rPr>
        <w:t>ENUMERATED</w:t>
      </w:r>
      <w:r w:rsidRPr="00FA0D37">
        <w:t xml:space="preserve"> {supported}                      </w:t>
      </w:r>
      <w:r w:rsidRPr="00FA0D37">
        <w:rPr>
          <w:color w:val="993366"/>
        </w:rPr>
        <w:t>OPTIONAL</w:t>
      </w:r>
      <w:r w:rsidRPr="00FA0D37">
        <w:t>,</w:t>
      </w:r>
    </w:p>
    <w:p w14:paraId="1FEDD82A" w14:textId="77777777" w:rsidR="00394471" w:rsidRPr="00FA0D37" w:rsidRDefault="00394471" w:rsidP="00FA0D37">
      <w:pPr>
        <w:pStyle w:val="PL"/>
      </w:pPr>
      <w:r w:rsidRPr="00FA0D37">
        <w:t xml:space="preserve">    sp-CSI-ReportPUCCH                  </w:t>
      </w:r>
      <w:r w:rsidRPr="00FA0D37">
        <w:rPr>
          <w:color w:val="993366"/>
        </w:rPr>
        <w:t>ENUMERATED</w:t>
      </w:r>
      <w:r w:rsidRPr="00FA0D37">
        <w:t xml:space="preserve"> {supported}                      </w:t>
      </w:r>
      <w:r w:rsidRPr="00FA0D37">
        <w:rPr>
          <w:color w:val="993366"/>
        </w:rPr>
        <w:t>OPTIONAL</w:t>
      </w:r>
      <w:r w:rsidRPr="00FA0D37">
        <w:t>,</w:t>
      </w:r>
    </w:p>
    <w:p w14:paraId="028A7B4F" w14:textId="77777777" w:rsidR="00394471" w:rsidRPr="00FA0D37" w:rsidRDefault="00394471" w:rsidP="00FA0D37">
      <w:pPr>
        <w:pStyle w:val="PL"/>
      </w:pPr>
      <w:r w:rsidRPr="00FA0D37">
        <w:t xml:space="preserve">    sp-CSI-ReportPUSCH                  </w:t>
      </w:r>
      <w:r w:rsidRPr="00FA0D37">
        <w:rPr>
          <w:color w:val="993366"/>
        </w:rPr>
        <w:t>ENUMERATED</w:t>
      </w:r>
      <w:r w:rsidRPr="00FA0D37">
        <w:t xml:space="preserve"> {supported}                      </w:t>
      </w:r>
      <w:r w:rsidRPr="00FA0D37">
        <w:rPr>
          <w:color w:val="993366"/>
        </w:rPr>
        <w:t>OPTIONAL</w:t>
      </w:r>
      <w:r w:rsidRPr="00FA0D37">
        <w:t>,</w:t>
      </w:r>
    </w:p>
    <w:p w14:paraId="15A93415" w14:textId="77777777" w:rsidR="00394471" w:rsidRPr="00FA0D37" w:rsidRDefault="00394471" w:rsidP="00FA0D37">
      <w:pPr>
        <w:pStyle w:val="PL"/>
      </w:pPr>
      <w:r w:rsidRPr="00FA0D37">
        <w:t xml:space="preserve">    nzp-CSI-RS-IntefMgmt                </w:t>
      </w:r>
      <w:r w:rsidRPr="00FA0D37">
        <w:rPr>
          <w:color w:val="993366"/>
        </w:rPr>
        <w:t>ENUMERATED</w:t>
      </w:r>
      <w:r w:rsidRPr="00FA0D37">
        <w:t xml:space="preserve"> {supported}                      </w:t>
      </w:r>
      <w:r w:rsidRPr="00FA0D37">
        <w:rPr>
          <w:color w:val="993366"/>
        </w:rPr>
        <w:t>OPTIONAL</w:t>
      </w:r>
      <w:r w:rsidRPr="00FA0D37">
        <w:t>,</w:t>
      </w:r>
    </w:p>
    <w:p w14:paraId="173FCDD2" w14:textId="77777777" w:rsidR="00394471" w:rsidRPr="00FA0D37" w:rsidRDefault="00394471" w:rsidP="00FA0D37">
      <w:pPr>
        <w:pStyle w:val="PL"/>
      </w:pPr>
      <w:r w:rsidRPr="00FA0D37">
        <w:lastRenderedPageBreak/>
        <w:t xml:space="preserve">    type2-SP-CSI-Feedback-LongPUCCH     </w:t>
      </w:r>
      <w:r w:rsidRPr="00FA0D37">
        <w:rPr>
          <w:color w:val="993366"/>
        </w:rPr>
        <w:t>ENUMERATED</w:t>
      </w:r>
      <w:r w:rsidRPr="00FA0D37">
        <w:t xml:space="preserve"> {supported}                      </w:t>
      </w:r>
      <w:r w:rsidRPr="00FA0D37">
        <w:rPr>
          <w:color w:val="993366"/>
        </w:rPr>
        <w:t>OPTIONAL</w:t>
      </w:r>
      <w:r w:rsidRPr="00FA0D37">
        <w:t>,</w:t>
      </w:r>
    </w:p>
    <w:p w14:paraId="05C7A0A6" w14:textId="77777777" w:rsidR="00394471" w:rsidRPr="00FA0D37" w:rsidRDefault="00394471" w:rsidP="00FA0D37">
      <w:pPr>
        <w:pStyle w:val="PL"/>
      </w:pPr>
      <w:r w:rsidRPr="00FA0D37">
        <w:t xml:space="preserve">    precoderGranularityCORESET          </w:t>
      </w:r>
      <w:r w:rsidRPr="00FA0D37">
        <w:rPr>
          <w:color w:val="993366"/>
        </w:rPr>
        <w:t>ENUMERATED</w:t>
      </w:r>
      <w:r w:rsidRPr="00FA0D37">
        <w:t xml:space="preserve"> {supported}                      </w:t>
      </w:r>
      <w:r w:rsidRPr="00FA0D37">
        <w:rPr>
          <w:color w:val="993366"/>
        </w:rPr>
        <w:t>OPTIONAL</w:t>
      </w:r>
      <w:r w:rsidRPr="00FA0D37">
        <w:t>,</w:t>
      </w:r>
    </w:p>
    <w:p w14:paraId="566AABFD" w14:textId="77777777" w:rsidR="00394471" w:rsidRPr="00FA0D37" w:rsidRDefault="00394471" w:rsidP="00FA0D37">
      <w:pPr>
        <w:pStyle w:val="PL"/>
      </w:pPr>
      <w:r w:rsidRPr="00FA0D37">
        <w:t xml:space="preserve">    dynamicHARQ-ACK-Codebook            </w:t>
      </w:r>
      <w:r w:rsidRPr="00FA0D37">
        <w:rPr>
          <w:color w:val="993366"/>
        </w:rPr>
        <w:t>ENUMERATED</w:t>
      </w:r>
      <w:r w:rsidRPr="00FA0D37">
        <w:t xml:space="preserve"> {supported}                      </w:t>
      </w:r>
      <w:r w:rsidRPr="00FA0D37">
        <w:rPr>
          <w:color w:val="993366"/>
        </w:rPr>
        <w:t>OPTIONAL</w:t>
      </w:r>
      <w:r w:rsidRPr="00FA0D37">
        <w:t>,</w:t>
      </w:r>
    </w:p>
    <w:p w14:paraId="5554DEC7" w14:textId="77777777" w:rsidR="00394471" w:rsidRPr="00FA0D37" w:rsidRDefault="00394471" w:rsidP="00FA0D37">
      <w:pPr>
        <w:pStyle w:val="PL"/>
      </w:pPr>
      <w:r w:rsidRPr="00FA0D37">
        <w:t xml:space="preserve">    semiStaticHARQ-ACK-Codebook         </w:t>
      </w:r>
      <w:r w:rsidRPr="00FA0D37">
        <w:rPr>
          <w:color w:val="993366"/>
        </w:rPr>
        <w:t>ENUMERATED</w:t>
      </w:r>
      <w:r w:rsidRPr="00FA0D37">
        <w:t xml:space="preserve"> {supported}                      </w:t>
      </w:r>
      <w:r w:rsidRPr="00FA0D37">
        <w:rPr>
          <w:color w:val="993366"/>
        </w:rPr>
        <w:t>OPTIONAL</w:t>
      </w:r>
      <w:r w:rsidRPr="00FA0D37">
        <w:t>,</w:t>
      </w:r>
    </w:p>
    <w:p w14:paraId="33F35847" w14:textId="77777777" w:rsidR="00394471" w:rsidRPr="00FA0D37" w:rsidRDefault="00394471" w:rsidP="00FA0D37">
      <w:pPr>
        <w:pStyle w:val="PL"/>
      </w:pPr>
      <w:r w:rsidRPr="00FA0D37">
        <w:t xml:space="preserve">    spatialBundlingHARQ-ACK             </w:t>
      </w:r>
      <w:r w:rsidRPr="00FA0D37">
        <w:rPr>
          <w:color w:val="993366"/>
        </w:rPr>
        <w:t>ENUMERATED</w:t>
      </w:r>
      <w:r w:rsidRPr="00FA0D37">
        <w:t xml:space="preserve"> {supported}                      </w:t>
      </w:r>
      <w:r w:rsidRPr="00FA0D37">
        <w:rPr>
          <w:color w:val="993366"/>
        </w:rPr>
        <w:t>OPTIONAL</w:t>
      </w:r>
      <w:r w:rsidRPr="00FA0D37">
        <w:t>,</w:t>
      </w:r>
    </w:p>
    <w:p w14:paraId="198E696C" w14:textId="77777777" w:rsidR="00394471" w:rsidRPr="00FA0D37" w:rsidRDefault="00394471" w:rsidP="00FA0D37">
      <w:pPr>
        <w:pStyle w:val="PL"/>
      </w:pPr>
      <w:r w:rsidRPr="00FA0D37">
        <w:t xml:space="preserve">    dynamicBetaOffsetInd-HARQ-ACK-CSI   </w:t>
      </w:r>
      <w:r w:rsidRPr="00FA0D37">
        <w:rPr>
          <w:color w:val="993366"/>
        </w:rPr>
        <w:t>ENUMERATED</w:t>
      </w:r>
      <w:r w:rsidRPr="00FA0D37">
        <w:t xml:space="preserve"> {supported}                      </w:t>
      </w:r>
      <w:r w:rsidRPr="00FA0D37">
        <w:rPr>
          <w:color w:val="993366"/>
        </w:rPr>
        <w:t>OPTIONAL</w:t>
      </w:r>
      <w:r w:rsidRPr="00FA0D37">
        <w:t>,</w:t>
      </w:r>
    </w:p>
    <w:p w14:paraId="076F0E9B" w14:textId="77777777" w:rsidR="00394471" w:rsidRPr="00FA0D37" w:rsidRDefault="00394471" w:rsidP="00FA0D37">
      <w:pPr>
        <w:pStyle w:val="PL"/>
      </w:pPr>
      <w:r w:rsidRPr="00FA0D37">
        <w:t xml:space="preserve">    pucch-Repetition-F1-3-4             </w:t>
      </w:r>
      <w:r w:rsidRPr="00FA0D37">
        <w:rPr>
          <w:color w:val="993366"/>
        </w:rPr>
        <w:t>ENUMERATED</w:t>
      </w:r>
      <w:r w:rsidRPr="00FA0D37">
        <w:t xml:space="preserve"> {supported}                      </w:t>
      </w:r>
      <w:r w:rsidRPr="00FA0D37">
        <w:rPr>
          <w:color w:val="993366"/>
        </w:rPr>
        <w:t>OPTIONAL</w:t>
      </w:r>
      <w:r w:rsidRPr="00FA0D37">
        <w:t>,</w:t>
      </w:r>
    </w:p>
    <w:p w14:paraId="4A9016E4" w14:textId="77777777" w:rsidR="00394471" w:rsidRPr="00FA0D37" w:rsidRDefault="00394471" w:rsidP="00FA0D37">
      <w:pPr>
        <w:pStyle w:val="PL"/>
      </w:pPr>
      <w:r w:rsidRPr="00FA0D37">
        <w:t xml:space="preserve">    ra-Type0-PUSCH                      </w:t>
      </w:r>
      <w:r w:rsidRPr="00FA0D37">
        <w:rPr>
          <w:color w:val="993366"/>
        </w:rPr>
        <w:t>ENUMERATED</w:t>
      </w:r>
      <w:r w:rsidRPr="00FA0D37">
        <w:t xml:space="preserve"> {supported}                      </w:t>
      </w:r>
      <w:r w:rsidRPr="00FA0D37">
        <w:rPr>
          <w:color w:val="993366"/>
        </w:rPr>
        <w:t>OPTIONAL</w:t>
      </w:r>
      <w:r w:rsidRPr="00FA0D37">
        <w:t>,</w:t>
      </w:r>
    </w:p>
    <w:p w14:paraId="14CB06B7" w14:textId="77777777" w:rsidR="00394471" w:rsidRPr="00FA0D37" w:rsidRDefault="00394471" w:rsidP="00FA0D37">
      <w:pPr>
        <w:pStyle w:val="PL"/>
      </w:pPr>
      <w:r w:rsidRPr="00FA0D37">
        <w:t xml:space="preserve">    dynamicSwitchRA-Type0-1-PDSCH       </w:t>
      </w:r>
      <w:r w:rsidRPr="00FA0D37">
        <w:rPr>
          <w:color w:val="993366"/>
        </w:rPr>
        <w:t>ENUMERATED</w:t>
      </w:r>
      <w:r w:rsidRPr="00FA0D37">
        <w:t xml:space="preserve"> {supported}                      </w:t>
      </w:r>
      <w:r w:rsidRPr="00FA0D37">
        <w:rPr>
          <w:color w:val="993366"/>
        </w:rPr>
        <w:t>OPTIONAL</w:t>
      </w:r>
      <w:r w:rsidRPr="00FA0D37">
        <w:t>,</w:t>
      </w:r>
    </w:p>
    <w:p w14:paraId="4BCD64CF" w14:textId="77777777" w:rsidR="00394471" w:rsidRPr="00FA0D37" w:rsidRDefault="00394471" w:rsidP="00FA0D37">
      <w:pPr>
        <w:pStyle w:val="PL"/>
      </w:pPr>
      <w:r w:rsidRPr="00FA0D37">
        <w:t xml:space="preserve">    dynamicSwitchRA-Type0-1-PUSCH       </w:t>
      </w:r>
      <w:r w:rsidRPr="00FA0D37">
        <w:rPr>
          <w:color w:val="993366"/>
        </w:rPr>
        <w:t>ENUMERATED</w:t>
      </w:r>
      <w:r w:rsidRPr="00FA0D37">
        <w:t xml:space="preserve"> {supported}                      </w:t>
      </w:r>
      <w:r w:rsidRPr="00FA0D37">
        <w:rPr>
          <w:color w:val="993366"/>
        </w:rPr>
        <w:t>OPTIONAL</w:t>
      </w:r>
      <w:r w:rsidRPr="00FA0D37">
        <w:t>,</w:t>
      </w:r>
    </w:p>
    <w:p w14:paraId="21A13A3C" w14:textId="77777777" w:rsidR="00394471" w:rsidRPr="00FA0D37" w:rsidRDefault="00394471" w:rsidP="00FA0D37">
      <w:pPr>
        <w:pStyle w:val="PL"/>
      </w:pPr>
      <w:r w:rsidRPr="00FA0D37">
        <w:t xml:space="preserve">    pdsch-MappingTypeA                  </w:t>
      </w:r>
      <w:r w:rsidRPr="00FA0D37">
        <w:rPr>
          <w:color w:val="993366"/>
        </w:rPr>
        <w:t>ENUMERATED</w:t>
      </w:r>
      <w:r w:rsidRPr="00FA0D37">
        <w:t xml:space="preserve"> {supported}                      </w:t>
      </w:r>
      <w:r w:rsidRPr="00FA0D37">
        <w:rPr>
          <w:color w:val="993366"/>
        </w:rPr>
        <w:t>OPTIONAL</w:t>
      </w:r>
      <w:r w:rsidRPr="00FA0D37">
        <w:t>,</w:t>
      </w:r>
    </w:p>
    <w:p w14:paraId="4143CBE4" w14:textId="77777777" w:rsidR="00394471" w:rsidRPr="00FA0D37" w:rsidRDefault="00394471" w:rsidP="00FA0D37">
      <w:pPr>
        <w:pStyle w:val="PL"/>
      </w:pPr>
      <w:r w:rsidRPr="00FA0D37">
        <w:t xml:space="preserve">    pdsch-MappingTypeB                  </w:t>
      </w:r>
      <w:r w:rsidRPr="00FA0D37">
        <w:rPr>
          <w:color w:val="993366"/>
        </w:rPr>
        <w:t>ENUMERATED</w:t>
      </w:r>
      <w:r w:rsidRPr="00FA0D37">
        <w:t xml:space="preserve"> {supported}                      </w:t>
      </w:r>
      <w:r w:rsidRPr="00FA0D37">
        <w:rPr>
          <w:color w:val="993366"/>
        </w:rPr>
        <w:t>OPTIONAL</w:t>
      </w:r>
      <w:r w:rsidRPr="00FA0D37">
        <w:t>,</w:t>
      </w:r>
    </w:p>
    <w:p w14:paraId="60F1B73A" w14:textId="77777777" w:rsidR="00394471" w:rsidRPr="00FA0D37" w:rsidRDefault="00394471" w:rsidP="00FA0D37">
      <w:pPr>
        <w:pStyle w:val="PL"/>
      </w:pPr>
      <w:r w:rsidRPr="00FA0D37">
        <w:t xml:space="preserve">    interleavingVRB-ToPRB-PDSCH         </w:t>
      </w:r>
      <w:r w:rsidRPr="00FA0D37">
        <w:rPr>
          <w:color w:val="993366"/>
        </w:rPr>
        <w:t>ENUMERATED</w:t>
      </w:r>
      <w:r w:rsidRPr="00FA0D37">
        <w:t xml:space="preserve"> {supported}                      </w:t>
      </w:r>
      <w:r w:rsidRPr="00FA0D37">
        <w:rPr>
          <w:color w:val="993366"/>
        </w:rPr>
        <w:t>OPTIONAL</w:t>
      </w:r>
      <w:r w:rsidRPr="00FA0D37">
        <w:t>,</w:t>
      </w:r>
    </w:p>
    <w:p w14:paraId="340F1E43" w14:textId="77777777" w:rsidR="00394471" w:rsidRPr="00FA0D37" w:rsidRDefault="00394471" w:rsidP="00FA0D37">
      <w:pPr>
        <w:pStyle w:val="PL"/>
      </w:pPr>
      <w:r w:rsidRPr="00FA0D37">
        <w:t xml:space="preserve">    interSlotFreqHopping-PUSCH          </w:t>
      </w:r>
      <w:r w:rsidRPr="00FA0D37">
        <w:rPr>
          <w:color w:val="993366"/>
        </w:rPr>
        <w:t>ENUMERATED</w:t>
      </w:r>
      <w:r w:rsidRPr="00FA0D37">
        <w:t xml:space="preserve"> {supported}                      </w:t>
      </w:r>
      <w:r w:rsidRPr="00FA0D37">
        <w:rPr>
          <w:color w:val="993366"/>
        </w:rPr>
        <w:t>OPTIONAL</w:t>
      </w:r>
      <w:r w:rsidRPr="00FA0D37">
        <w:t>,</w:t>
      </w:r>
    </w:p>
    <w:p w14:paraId="4308C349" w14:textId="77777777" w:rsidR="00394471" w:rsidRPr="00FA0D37" w:rsidRDefault="00394471" w:rsidP="00FA0D37">
      <w:pPr>
        <w:pStyle w:val="PL"/>
      </w:pPr>
      <w:r w:rsidRPr="00FA0D37">
        <w:t xml:space="preserve">    type1-PUSCH-RepetitionMultiSlots    </w:t>
      </w:r>
      <w:r w:rsidRPr="00FA0D37">
        <w:rPr>
          <w:color w:val="993366"/>
        </w:rPr>
        <w:t>ENUMERATED</w:t>
      </w:r>
      <w:r w:rsidRPr="00FA0D37">
        <w:t xml:space="preserve"> {supported}                      </w:t>
      </w:r>
      <w:r w:rsidRPr="00FA0D37">
        <w:rPr>
          <w:color w:val="993366"/>
        </w:rPr>
        <w:t>OPTIONAL</w:t>
      </w:r>
      <w:r w:rsidRPr="00FA0D37">
        <w:t>,</w:t>
      </w:r>
    </w:p>
    <w:p w14:paraId="4238A448" w14:textId="77777777" w:rsidR="00394471" w:rsidRPr="00FA0D37" w:rsidRDefault="00394471" w:rsidP="00FA0D37">
      <w:pPr>
        <w:pStyle w:val="PL"/>
      </w:pPr>
      <w:r w:rsidRPr="00FA0D37">
        <w:t xml:space="preserve">    type2-PUSCH-RepetitionMultiSlots    </w:t>
      </w:r>
      <w:r w:rsidRPr="00FA0D37">
        <w:rPr>
          <w:color w:val="993366"/>
        </w:rPr>
        <w:t>ENUMERATED</w:t>
      </w:r>
      <w:r w:rsidRPr="00FA0D37">
        <w:t xml:space="preserve"> {supported}                      </w:t>
      </w:r>
      <w:r w:rsidRPr="00FA0D37">
        <w:rPr>
          <w:color w:val="993366"/>
        </w:rPr>
        <w:t>OPTIONAL</w:t>
      </w:r>
      <w:r w:rsidRPr="00FA0D37">
        <w:t>,</w:t>
      </w:r>
    </w:p>
    <w:p w14:paraId="1203330E" w14:textId="77777777" w:rsidR="00394471" w:rsidRPr="00FA0D37" w:rsidRDefault="00394471" w:rsidP="00FA0D37">
      <w:pPr>
        <w:pStyle w:val="PL"/>
      </w:pPr>
      <w:r w:rsidRPr="00FA0D37">
        <w:t xml:space="preserve">    pusch-RepetitionMultiSlots          </w:t>
      </w:r>
      <w:r w:rsidRPr="00FA0D37">
        <w:rPr>
          <w:color w:val="993366"/>
        </w:rPr>
        <w:t>ENUMERATED</w:t>
      </w:r>
      <w:r w:rsidRPr="00FA0D37">
        <w:t xml:space="preserve"> {supported}                      </w:t>
      </w:r>
      <w:r w:rsidRPr="00FA0D37">
        <w:rPr>
          <w:color w:val="993366"/>
        </w:rPr>
        <w:t>OPTIONAL</w:t>
      </w:r>
      <w:r w:rsidRPr="00FA0D37">
        <w:t>,</w:t>
      </w:r>
    </w:p>
    <w:p w14:paraId="1FCA4BD9" w14:textId="77777777" w:rsidR="00394471" w:rsidRPr="00FA0D37" w:rsidRDefault="00394471" w:rsidP="00FA0D37">
      <w:pPr>
        <w:pStyle w:val="PL"/>
      </w:pPr>
      <w:r w:rsidRPr="00FA0D37">
        <w:t xml:space="preserve">    pdsch-RepetitionMultiSlots          </w:t>
      </w:r>
      <w:r w:rsidRPr="00FA0D37">
        <w:rPr>
          <w:color w:val="993366"/>
        </w:rPr>
        <w:t>ENUMERATED</w:t>
      </w:r>
      <w:r w:rsidRPr="00FA0D37">
        <w:t xml:space="preserve"> {supported}                      </w:t>
      </w:r>
      <w:r w:rsidRPr="00FA0D37">
        <w:rPr>
          <w:color w:val="993366"/>
        </w:rPr>
        <w:t>OPTIONAL</w:t>
      </w:r>
      <w:r w:rsidRPr="00FA0D37">
        <w:t>,</w:t>
      </w:r>
    </w:p>
    <w:p w14:paraId="2ECC7A4E" w14:textId="77777777" w:rsidR="00394471" w:rsidRPr="00FA0D37" w:rsidRDefault="00394471" w:rsidP="00FA0D37">
      <w:pPr>
        <w:pStyle w:val="PL"/>
      </w:pPr>
      <w:r w:rsidRPr="00FA0D37">
        <w:t xml:space="preserve">    downlinkSPS                         </w:t>
      </w:r>
      <w:r w:rsidRPr="00FA0D37">
        <w:rPr>
          <w:color w:val="993366"/>
        </w:rPr>
        <w:t>ENUMERATED</w:t>
      </w:r>
      <w:r w:rsidRPr="00FA0D37">
        <w:t xml:space="preserve"> {supported}                      </w:t>
      </w:r>
      <w:r w:rsidRPr="00FA0D37">
        <w:rPr>
          <w:color w:val="993366"/>
        </w:rPr>
        <w:t>OPTIONAL</w:t>
      </w:r>
      <w:r w:rsidRPr="00FA0D37">
        <w:t>,</w:t>
      </w:r>
    </w:p>
    <w:p w14:paraId="757CDE32" w14:textId="77777777" w:rsidR="00394471" w:rsidRPr="00FA0D37" w:rsidRDefault="00394471" w:rsidP="00FA0D37">
      <w:pPr>
        <w:pStyle w:val="PL"/>
      </w:pPr>
      <w:r w:rsidRPr="00FA0D37">
        <w:t xml:space="preserve">    configuredUL-GrantType1             </w:t>
      </w:r>
      <w:r w:rsidRPr="00FA0D37">
        <w:rPr>
          <w:color w:val="993366"/>
        </w:rPr>
        <w:t>ENUMERATED</w:t>
      </w:r>
      <w:r w:rsidRPr="00FA0D37">
        <w:t xml:space="preserve"> {supported}                      </w:t>
      </w:r>
      <w:r w:rsidRPr="00FA0D37">
        <w:rPr>
          <w:color w:val="993366"/>
        </w:rPr>
        <w:t>OPTIONAL</w:t>
      </w:r>
      <w:r w:rsidRPr="00FA0D37">
        <w:t>,</w:t>
      </w:r>
    </w:p>
    <w:p w14:paraId="52651887" w14:textId="77777777" w:rsidR="00394471" w:rsidRPr="00FA0D37" w:rsidRDefault="00394471" w:rsidP="00FA0D37">
      <w:pPr>
        <w:pStyle w:val="PL"/>
      </w:pPr>
      <w:r w:rsidRPr="00FA0D37">
        <w:t xml:space="preserve">    configuredUL-GrantType2             </w:t>
      </w:r>
      <w:r w:rsidRPr="00FA0D37">
        <w:rPr>
          <w:color w:val="993366"/>
        </w:rPr>
        <w:t>ENUMERATED</w:t>
      </w:r>
      <w:r w:rsidRPr="00FA0D37">
        <w:t xml:space="preserve"> {supported}                      </w:t>
      </w:r>
      <w:r w:rsidRPr="00FA0D37">
        <w:rPr>
          <w:color w:val="993366"/>
        </w:rPr>
        <w:t>OPTIONAL</w:t>
      </w:r>
      <w:r w:rsidRPr="00FA0D37">
        <w:t>,</w:t>
      </w:r>
    </w:p>
    <w:p w14:paraId="0B6AD055" w14:textId="77777777" w:rsidR="00394471" w:rsidRPr="00FA0D37" w:rsidRDefault="00394471" w:rsidP="00FA0D37">
      <w:pPr>
        <w:pStyle w:val="PL"/>
      </w:pPr>
      <w:r w:rsidRPr="00FA0D37">
        <w:t xml:space="preserve">    pre-EmptIndication-DL               </w:t>
      </w:r>
      <w:r w:rsidRPr="00FA0D37">
        <w:rPr>
          <w:color w:val="993366"/>
        </w:rPr>
        <w:t>ENUMERATED</w:t>
      </w:r>
      <w:r w:rsidRPr="00FA0D37">
        <w:t xml:space="preserve"> {supported}                      </w:t>
      </w:r>
      <w:r w:rsidRPr="00FA0D37">
        <w:rPr>
          <w:color w:val="993366"/>
        </w:rPr>
        <w:t>OPTIONAL</w:t>
      </w:r>
      <w:r w:rsidRPr="00FA0D37">
        <w:t>,</w:t>
      </w:r>
    </w:p>
    <w:p w14:paraId="1BC705D4" w14:textId="77777777" w:rsidR="00394471" w:rsidRPr="00FA0D37" w:rsidRDefault="00394471" w:rsidP="00FA0D37">
      <w:pPr>
        <w:pStyle w:val="PL"/>
      </w:pPr>
      <w:r w:rsidRPr="00FA0D37">
        <w:t xml:space="preserve">    cbg-TransIndication-DL              </w:t>
      </w:r>
      <w:r w:rsidRPr="00FA0D37">
        <w:rPr>
          <w:color w:val="993366"/>
        </w:rPr>
        <w:t>ENUMERATED</w:t>
      </w:r>
      <w:r w:rsidRPr="00FA0D37">
        <w:t xml:space="preserve"> {supported}                      </w:t>
      </w:r>
      <w:r w:rsidRPr="00FA0D37">
        <w:rPr>
          <w:color w:val="993366"/>
        </w:rPr>
        <w:t>OPTIONAL</w:t>
      </w:r>
      <w:r w:rsidRPr="00FA0D37">
        <w:t>,</w:t>
      </w:r>
    </w:p>
    <w:p w14:paraId="3D374B4A" w14:textId="77777777" w:rsidR="00394471" w:rsidRPr="00FA0D37" w:rsidRDefault="00394471" w:rsidP="00FA0D37">
      <w:pPr>
        <w:pStyle w:val="PL"/>
      </w:pPr>
      <w:r w:rsidRPr="00FA0D37">
        <w:t xml:space="preserve">    cbg-TransIndication-UL              </w:t>
      </w:r>
      <w:r w:rsidRPr="00FA0D37">
        <w:rPr>
          <w:color w:val="993366"/>
        </w:rPr>
        <w:t>ENUMERATED</w:t>
      </w:r>
      <w:r w:rsidRPr="00FA0D37">
        <w:t xml:space="preserve"> {supported}                      </w:t>
      </w:r>
      <w:r w:rsidRPr="00FA0D37">
        <w:rPr>
          <w:color w:val="993366"/>
        </w:rPr>
        <w:t>OPTIONAL</w:t>
      </w:r>
      <w:r w:rsidRPr="00FA0D37">
        <w:t>,</w:t>
      </w:r>
    </w:p>
    <w:p w14:paraId="0D503558" w14:textId="77777777" w:rsidR="00394471" w:rsidRPr="00FA0D37" w:rsidRDefault="00394471" w:rsidP="00FA0D37">
      <w:pPr>
        <w:pStyle w:val="PL"/>
      </w:pPr>
      <w:r w:rsidRPr="00FA0D37">
        <w:t xml:space="preserve">    cbg-FlushIndication-DL              </w:t>
      </w:r>
      <w:r w:rsidRPr="00FA0D37">
        <w:rPr>
          <w:color w:val="993366"/>
        </w:rPr>
        <w:t>ENUMERATED</w:t>
      </w:r>
      <w:r w:rsidRPr="00FA0D37">
        <w:t xml:space="preserve"> {supported}                      </w:t>
      </w:r>
      <w:r w:rsidRPr="00FA0D37">
        <w:rPr>
          <w:color w:val="993366"/>
        </w:rPr>
        <w:t>OPTIONAL</w:t>
      </w:r>
      <w:r w:rsidRPr="00FA0D37">
        <w:t>,</w:t>
      </w:r>
    </w:p>
    <w:p w14:paraId="591B342E" w14:textId="77777777" w:rsidR="00394471" w:rsidRPr="00FA0D37" w:rsidRDefault="00394471" w:rsidP="00FA0D37">
      <w:pPr>
        <w:pStyle w:val="PL"/>
      </w:pPr>
      <w:r w:rsidRPr="00FA0D37">
        <w:t xml:space="preserve">    dynamicHARQ-ACK-CodeB-CBG-Retx-DL   </w:t>
      </w:r>
      <w:r w:rsidRPr="00FA0D37">
        <w:rPr>
          <w:color w:val="993366"/>
        </w:rPr>
        <w:t>ENUMERATED</w:t>
      </w:r>
      <w:r w:rsidRPr="00FA0D37">
        <w:t xml:space="preserve"> {supported}                      </w:t>
      </w:r>
      <w:r w:rsidRPr="00FA0D37">
        <w:rPr>
          <w:color w:val="993366"/>
        </w:rPr>
        <w:t>OPTIONAL</w:t>
      </w:r>
      <w:r w:rsidRPr="00FA0D37">
        <w:t>,</w:t>
      </w:r>
    </w:p>
    <w:p w14:paraId="03AD9FEE" w14:textId="77777777" w:rsidR="00394471" w:rsidRPr="00FA0D37" w:rsidRDefault="00394471" w:rsidP="00FA0D37">
      <w:pPr>
        <w:pStyle w:val="PL"/>
      </w:pPr>
      <w:r w:rsidRPr="00FA0D37">
        <w:t xml:space="preserve">    rateMatchingResrcSetSemi-Static     </w:t>
      </w:r>
      <w:r w:rsidRPr="00FA0D37">
        <w:rPr>
          <w:color w:val="993366"/>
        </w:rPr>
        <w:t>ENUMERATED</w:t>
      </w:r>
      <w:r w:rsidRPr="00FA0D37">
        <w:t xml:space="preserve"> {supported}                      </w:t>
      </w:r>
      <w:r w:rsidRPr="00FA0D37">
        <w:rPr>
          <w:color w:val="993366"/>
        </w:rPr>
        <w:t>OPTIONAL</w:t>
      </w:r>
      <w:r w:rsidRPr="00FA0D37">
        <w:t>,</w:t>
      </w:r>
    </w:p>
    <w:p w14:paraId="36DD316C" w14:textId="77777777" w:rsidR="00394471" w:rsidRPr="00FA0D37" w:rsidRDefault="00394471" w:rsidP="00FA0D37">
      <w:pPr>
        <w:pStyle w:val="PL"/>
      </w:pPr>
      <w:r w:rsidRPr="00FA0D37">
        <w:t xml:space="preserve">    rateMatchingResrcSetDynamic         </w:t>
      </w:r>
      <w:r w:rsidRPr="00FA0D37">
        <w:rPr>
          <w:color w:val="993366"/>
        </w:rPr>
        <w:t>ENUMERATED</w:t>
      </w:r>
      <w:r w:rsidRPr="00FA0D37">
        <w:t xml:space="preserve"> {supported}                      </w:t>
      </w:r>
      <w:r w:rsidRPr="00FA0D37">
        <w:rPr>
          <w:color w:val="993366"/>
        </w:rPr>
        <w:t>OPTIONAL</w:t>
      </w:r>
      <w:r w:rsidRPr="00FA0D37">
        <w:t>,</w:t>
      </w:r>
    </w:p>
    <w:p w14:paraId="5EBDCC68" w14:textId="77777777" w:rsidR="00394471" w:rsidRPr="00FA0D37" w:rsidRDefault="00394471" w:rsidP="00FA0D37">
      <w:pPr>
        <w:pStyle w:val="PL"/>
      </w:pPr>
      <w:r w:rsidRPr="00FA0D37">
        <w:t xml:space="preserve">    bwp-SwitchingDelay                  </w:t>
      </w:r>
      <w:r w:rsidRPr="00FA0D37">
        <w:rPr>
          <w:color w:val="993366"/>
        </w:rPr>
        <w:t>ENUMERATED</w:t>
      </w:r>
      <w:r w:rsidRPr="00FA0D37">
        <w:t xml:space="preserve"> {type1, type2}                   </w:t>
      </w:r>
      <w:r w:rsidRPr="00FA0D37">
        <w:rPr>
          <w:color w:val="993366"/>
        </w:rPr>
        <w:t>OPTIONAL</w:t>
      </w:r>
      <w:r w:rsidRPr="00FA0D37">
        <w:t>,</w:t>
      </w:r>
    </w:p>
    <w:p w14:paraId="32579942" w14:textId="77777777" w:rsidR="00394471" w:rsidRPr="00FA0D37" w:rsidRDefault="00394471" w:rsidP="00FA0D37">
      <w:pPr>
        <w:pStyle w:val="PL"/>
      </w:pPr>
      <w:r w:rsidRPr="00FA0D37">
        <w:t xml:space="preserve">    ...,</w:t>
      </w:r>
    </w:p>
    <w:p w14:paraId="659F4CE5" w14:textId="77777777" w:rsidR="00394471" w:rsidRPr="00FA0D37" w:rsidRDefault="00394471" w:rsidP="00FA0D37">
      <w:pPr>
        <w:pStyle w:val="PL"/>
      </w:pPr>
      <w:r w:rsidRPr="00FA0D37">
        <w:t xml:space="preserve">    [[</w:t>
      </w:r>
    </w:p>
    <w:p w14:paraId="2B55D7D1" w14:textId="77777777" w:rsidR="00394471" w:rsidRPr="00FA0D37" w:rsidRDefault="00394471" w:rsidP="00FA0D37">
      <w:pPr>
        <w:pStyle w:val="PL"/>
      </w:pPr>
      <w:r w:rsidRPr="00FA0D37">
        <w:t xml:space="preserve">    dummy                               </w:t>
      </w:r>
      <w:r w:rsidRPr="00FA0D37">
        <w:rPr>
          <w:color w:val="993366"/>
        </w:rPr>
        <w:t>ENUMERATED</w:t>
      </w:r>
      <w:r w:rsidRPr="00FA0D37">
        <w:t xml:space="preserve"> {supported}                      </w:t>
      </w:r>
      <w:r w:rsidRPr="00FA0D37">
        <w:rPr>
          <w:color w:val="993366"/>
        </w:rPr>
        <w:t>OPTIONAL</w:t>
      </w:r>
    </w:p>
    <w:p w14:paraId="1745329D" w14:textId="77777777" w:rsidR="00394471" w:rsidRPr="00FA0D37" w:rsidRDefault="00394471" w:rsidP="00FA0D37">
      <w:pPr>
        <w:pStyle w:val="PL"/>
      </w:pPr>
      <w:r w:rsidRPr="00FA0D37">
        <w:t xml:space="preserve">    ]],</w:t>
      </w:r>
    </w:p>
    <w:p w14:paraId="54B361AA" w14:textId="77777777" w:rsidR="00394471" w:rsidRPr="00FA0D37" w:rsidRDefault="00394471" w:rsidP="00FA0D37">
      <w:pPr>
        <w:pStyle w:val="PL"/>
      </w:pPr>
      <w:r w:rsidRPr="00FA0D37">
        <w:t xml:space="preserve">    [[</w:t>
      </w:r>
    </w:p>
    <w:p w14:paraId="00B68C2E" w14:textId="77777777" w:rsidR="00394471" w:rsidRPr="00FA0D37" w:rsidRDefault="00394471" w:rsidP="00FA0D37">
      <w:pPr>
        <w:pStyle w:val="PL"/>
      </w:pPr>
      <w:r w:rsidRPr="00FA0D37">
        <w:t xml:space="preserve">    maxNumberSearchSpaces               </w:t>
      </w:r>
      <w:r w:rsidRPr="00FA0D37">
        <w:rPr>
          <w:color w:val="993366"/>
        </w:rPr>
        <w:t>ENUMERATED</w:t>
      </w:r>
      <w:r w:rsidRPr="00FA0D37">
        <w:t xml:space="preserve"> {n10}                            </w:t>
      </w:r>
      <w:r w:rsidRPr="00FA0D37">
        <w:rPr>
          <w:color w:val="993366"/>
        </w:rPr>
        <w:t>OPTIONAL</w:t>
      </w:r>
      <w:r w:rsidRPr="00FA0D37">
        <w:t>,</w:t>
      </w:r>
    </w:p>
    <w:p w14:paraId="762C76E2" w14:textId="77777777" w:rsidR="00394471" w:rsidRPr="00FA0D37" w:rsidRDefault="00394471" w:rsidP="00FA0D37">
      <w:pPr>
        <w:pStyle w:val="PL"/>
      </w:pPr>
      <w:r w:rsidRPr="00FA0D37">
        <w:t xml:space="preserve">    rateMatchingCtrlResrcSetDynamic     </w:t>
      </w:r>
      <w:r w:rsidRPr="00FA0D37">
        <w:rPr>
          <w:color w:val="993366"/>
        </w:rPr>
        <w:t>ENUMERATED</w:t>
      </w:r>
      <w:r w:rsidRPr="00FA0D37">
        <w:t xml:space="preserve"> {supported}                      </w:t>
      </w:r>
      <w:r w:rsidRPr="00FA0D37">
        <w:rPr>
          <w:color w:val="993366"/>
        </w:rPr>
        <w:t>OPTIONAL</w:t>
      </w:r>
      <w:r w:rsidRPr="00FA0D37">
        <w:t>,</w:t>
      </w:r>
    </w:p>
    <w:p w14:paraId="22D9A275" w14:textId="77777777" w:rsidR="00394471" w:rsidRPr="00FA0D37" w:rsidRDefault="00394471" w:rsidP="00FA0D37">
      <w:pPr>
        <w:pStyle w:val="PL"/>
      </w:pPr>
      <w:r w:rsidRPr="00FA0D37">
        <w:t xml:space="preserve">    maxLayersMIMO-Indication            </w:t>
      </w:r>
      <w:r w:rsidRPr="00FA0D37">
        <w:rPr>
          <w:color w:val="993366"/>
        </w:rPr>
        <w:t>ENUMERATED</w:t>
      </w:r>
      <w:r w:rsidRPr="00FA0D37">
        <w:t xml:space="preserve"> {supported}                      </w:t>
      </w:r>
      <w:r w:rsidRPr="00FA0D37">
        <w:rPr>
          <w:color w:val="993366"/>
        </w:rPr>
        <w:t>OPTIONAL</w:t>
      </w:r>
    </w:p>
    <w:p w14:paraId="123A262B" w14:textId="77777777" w:rsidR="00394471" w:rsidRPr="00FA0D37" w:rsidRDefault="00394471" w:rsidP="00FA0D37">
      <w:pPr>
        <w:pStyle w:val="PL"/>
      </w:pPr>
      <w:r w:rsidRPr="00FA0D37">
        <w:t xml:space="preserve">    ]],</w:t>
      </w:r>
    </w:p>
    <w:p w14:paraId="5BD6F3EB" w14:textId="77777777" w:rsidR="00394471" w:rsidRPr="00FA0D37" w:rsidRDefault="00394471" w:rsidP="00FA0D37">
      <w:pPr>
        <w:pStyle w:val="PL"/>
      </w:pPr>
      <w:r w:rsidRPr="00FA0D37">
        <w:t xml:space="preserve">    [[</w:t>
      </w:r>
    </w:p>
    <w:p w14:paraId="60587654" w14:textId="77777777" w:rsidR="00394471" w:rsidRPr="00FA0D37" w:rsidRDefault="00394471" w:rsidP="00FA0D37">
      <w:pPr>
        <w:pStyle w:val="PL"/>
      </w:pPr>
      <w:r w:rsidRPr="00FA0D37">
        <w:t xml:space="preserve">    spCellPlacement                             CarrierAggregationVariant           </w:t>
      </w:r>
      <w:r w:rsidRPr="00FA0D37">
        <w:rPr>
          <w:color w:val="993366"/>
        </w:rPr>
        <w:t>OPTIONAL</w:t>
      </w:r>
    </w:p>
    <w:p w14:paraId="3CC06D4D" w14:textId="77777777" w:rsidR="00394471" w:rsidRPr="00FA0D37" w:rsidRDefault="00394471" w:rsidP="00FA0D37">
      <w:pPr>
        <w:pStyle w:val="PL"/>
      </w:pPr>
      <w:r w:rsidRPr="00FA0D37">
        <w:t xml:space="preserve">    ]],</w:t>
      </w:r>
    </w:p>
    <w:p w14:paraId="3D2DF552" w14:textId="77777777" w:rsidR="00394471" w:rsidRPr="00FA0D37" w:rsidRDefault="00394471" w:rsidP="00FA0D37">
      <w:pPr>
        <w:pStyle w:val="PL"/>
      </w:pPr>
      <w:r w:rsidRPr="00FA0D37">
        <w:t xml:space="preserve">    [[</w:t>
      </w:r>
    </w:p>
    <w:p w14:paraId="2729162B" w14:textId="77777777" w:rsidR="00394471" w:rsidRPr="00FA0D37" w:rsidRDefault="00394471" w:rsidP="00FA0D37">
      <w:pPr>
        <w:pStyle w:val="PL"/>
        <w:rPr>
          <w:color w:val="808080"/>
        </w:rPr>
      </w:pPr>
      <w:r w:rsidRPr="00FA0D37">
        <w:t xml:space="preserve">    </w:t>
      </w:r>
      <w:r w:rsidRPr="00FA0D37">
        <w:rPr>
          <w:color w:val="808080"/>
        </w:rPr>
        <w:t>-- R1 9-1: Basic channel structure and procedure of 2-step RACH</w:t>
      </w:r>
    </w:p>
    <w:p w14:paraId="6E443F1E" w14:textId="77777777" w:rsidR="00394471" w:rsidRPr="00FA0D37" w:rsidRDefault="00394471" w:rsidP="00FA0D37">
      <w:pPr>
        <w:pStyle w:val="PL"/>
      </w:pPr>
      <w:r w:rsidRPr="00FA0D37">
        <w:t xml:space="preserve">    twoStepRACH-r16                             </w:t>
      </w:r>
      <w:r w:rsidRPr="00FA0D37">
        <w:rPr>
          <w:color w:val="993366"/>
        </w:rPr>
        <w:t>ENUMERATED</w:t>
      </w:r>
      <w:r w:rsidRPr="00FA0D37">
        <w:t xml:space="preserve"> {supported}              </w:t>
      </w:r>
      <w:r w:rsidRPr="00FA0D37">
        <w:rPr>
          <w:color w:val="993366"/>
        </w:rPr>
        <w:t>OPTIONAL</w:t>
      </w:r>
      <w:r w:rsidRPr="00FA0D37">
        <w:t>,</w:t>
      </w:r>
    </w:p>
    <w:p w14:paraId="4B365763" w14:textId="77777777" w:rsidR="00394471" w:rsidRPr="00FA0D37" w:rsidRDefault="00394471" w:rsidP="00FA0D37">
      <w:pPr>
        <w:pStyle w:val="PL"/>
        <w:rPr>
          <w:color w:val="808080"/>
        </w:rPr>
      </w:pPr>
      <w:r w:rsidRPr="00FA0D37">
        <w:t xml:space="preserve">    </w:t>
      </w:r>
      <w:r w:rsidRPr="00FA0D37">
        <w:rPr>
          <w:color w:val="808080"/>
        </w:rPr>
        <w:t>-- R1 11-1: Monitoring DCI format 1_2 and DCI format 0_2</w:t>
      </w:r>
    </w:p>
    <w:p w14:paraId="7EC3439B" w14:textId="77777777" w:rsidR="00394471" w:rsidRPr="00FA0D37" w:rsidRDefault="00394471" w:rsidP="00FA0D37">
      <w:pPr>
        <w:pStyle w:val="PL"/>
      </w:pPr>
      <w:r w:rsidRPr="00FA0D37">
        <w:t xml:space="preserve">    dci-Format1-2And0-2-r16                     </w:t>
      </w:r>
      <w:r w:rsidRPr="00FA0D37">
        <w:rPr>
          <w:color w:val="993366"/>
        </w:rPr>
        <w:t>ENUMERATED</w:t>
      </w:r>
      <w:r w:rsidRPr="00FA0D37">
        <w:t xml:space="preserve"> {supported}              </w:t>
      </w:r>
      <w:r w:rsidRPr="00FA0D37">
        <w:rPr>
          <w:color w:val="993366"/>
        </w:rPr>
        <w:t>OPTIONAL</w:t>
      </w:r>
      <w:r w:rsidRPr="00FA0D37">
        <w:t>,</w:t>
      </w:r>
    </w:p>
    <w:p w14:paraId="24059EED" w14:textId="77777777" w:rsidR="00394471" w:rsidRPr="00FA0D37" w:rsidRDefault="00394471" w:rsidP="00FA0D37">
      <w:pPr>
        <w:pStyle w:val="PL"/>
        <w:rPr>
          <w:color w:val="808080"/>
        </w:rPr>
      </w:pPr>
      <w:r w:rsidRPr="00FA0D37">
        <w:t xml:space="preserve">    </w:t>
      </w:r>
      <w:r w:rsidRPr="00FA0D37">
        <w:rPr>
          <w:color w:val="808080"/>
        </w:rPr>
        <w:t>-- R1 11-1a: Monitoring both DCI format 0_1/1_1 and DCI format 0_2/1_2 in the same search space</w:t>
      </w:r>
    </w:p>
    <w:p w14:paraId="06AEA944" w14:textId="77777777" w:rsidR="00394471" w:rsidRPr="00FA0D37" w:rsidRDefault="00394471" w:rsidP="00FA0D37">
      <w:pPr>
        <w:pStyle w:val="PL"/>
      </w:pPr>
      <w:r w:rsidRPr="00FA0D37">
        <w:t xml:space="preserve">    monitoringDCI-SameSearchSpace-r16           </w:t>
      </w:r>
      <w:r w:rsidRPr="00FA0D37">
        <w:rPr>
          <w:color w:val="993366"/>
        </w:rPr>
        <w:t>ENUMERATED</w:t>
      </w:r>
      <w:r w:rsidRPr="00FA0D37">
        <w:t xml:space="preserve"> {supported}              </w:t>
      </w:r>
      <w:r w:rsidRPr="00FA0D37">
        <w:rPr>
          <w:color w:val="993366"/>
        </w:rPr>
        <w:t>OPTIONAL</w:t>
      </w:r>
      <w:r w:rsidRPr="00FA0D37">
        <w:t>,</w:t>
      </w:r>
    </w:p>
    <w:p w14:paraId="75A04DE5" w14:textId="77777777" w:rsidR="00394471" w:rsidRPr="00FA0D37" w:rsidRDefault="00394471" w:rsidP="00FA0D37">
      <w:pPr>
        <w:pStyle w:val="PL"/>
        <w:rPr>
          <w:color w:val="808080"/>
        </w:rPr>
      </w:pPr>
      <w:r w:rsidRPr="00FA0D37">
        <w:t xml:space="preserve">    </w:t>
      </w:r>
      <w:r w:rsidRPr="00FA0D37">
        <w:rPr>
          <w:color w:val="808080"/>
        </w:rPr>
        <w:t>-- R1 11-10: Type 2 configured grant release by DCI format 0_1</w:t>
      </w:r>
    </w:p>
    <w:p w14:paraId="21D9533D" w14:textId="77777777" w:rsidR="00394471" w:rsidRPr="00FA0D37" w:rsidRDefault="00394471" w:rsidP="00FA0D37">
      <w:pPr>
        <w:pStyle w:val="PL"/>
      </w:pPr>
      <w:r w:rsidRPr="00FA0D37">
        <w:t xml:space="preserve">    type2-CG-ReleaseDCI-0-1-r16                 </w:t>
      </w:r>
      <w:r w:rsidRPr="00FA0D37">
        <w:rPr>
          <w:color w:val="993366"/>
        </w:rPr>
        <w:t>ENUMERATED</w:t>
      </w:r>
      <w:r w:rsidRPr="00FA0D37">
        <w:t xml:space="preserve"> {supported}              </w:t>
      </w:r>
      <w:r w:rsidRPr="00FA0D37">
        <w:rPr>
          <w:color w:val="993366"/>
        </w:rPr>
        <w:t>OPTIONAL</w:t>
      </w:r>
      <w:r w:rsidRPr="00FA0D37">
        <w:t>,</w:t>
      </w:r>
    </w:p>
    <w:p w14:paraId="295B072E" w14:textId="77777777" w:rsidR="00394471" w:rsidRPr="00FA0D37" w:rsidRDefault="00394471" w:rsidP="00FA0D37">
      <w:pPr>
        <w:pStyle w:val="PL"/>
        <w:rPr>
          <w:color w:val="808080"/>
        </w:rPr>
      </w:pPr>
      <w:r w:rsidRPr="00FA0D37">
        <w:t xml:space="preserve">    </w:t>
      </w:r>
      <w:r w:rsidRPr="00FA0D37">
        <w:rPr>
          <w:color w:val="808080"/>
        </w:rPr>
        <w:t>-- R1 11-11: Type 2 configured grant release by DCI format 0_2</w:t>
      </w:r>
    </w:p>
    <w:p w14:paraId="242F3625" w14:textId="77777777" w:rsidR="00394471" w:rsidRPr="00FA0D37" w:rsidRDefault="00394471" w:rsidP="00FA0D37">
      <w:pPr>
        <w:pStyle w:val="PL"/>
      </w:pPr>
      <w:r w:rsidRPr="00FA0D37">
        <w:lastRenderedPageBreak/>
        <w:t xml:space="preserve">    type2-CG-ReleaseDCI-0-2-r16                 </w:t>
      </w:r>
      <w:r w:rsidRPr="00FA0D37">
        <w:rPr>
          <w:color w:val="993366"/>
        </w:rPr>
        <w:t>ENUMERATED</w:t>
      </w:r>
      <w:r w:rsidRPr="00FA0D37">
        <w:t xml:space="preserve"> {supported}              </w:t>
      </w:r>
      <w:r w:rsidRPr="00FA0D37">
        <w:rPr>
          <w:color w:val="993366"/>
        </w:rPr>
        <w:t>OPTIONAL</w:t>
      </w:r>
      <w:r w:rsidRPr="00FA0D37">
        <w:t>,</w:t>
      </w:r>
    </w:p>
    <w:p w14:paraId="423CF964" w14:textId="77777777" w:rsidR="00394471" w:rsidRPr="00FA0D37" w:rsidRDefault="00394471" w:rsidP="00FA0D37">
      <w:pPr>
        <w:pStyle w:val="PL"/>
        <w:rPr>
          <w:color w:val="808080"/>
        </w:rPr>
      </w:pPr>
      <w:r w:rsidRPr="00FA0D37">
        <w:t xml:space="preserve">    </w:t>
      </w:r>
      <w:r w:rsidRPr="00FA0D37">
        <w:rPr>
          <w:color w:val="808080"/>
        </w:rPr>
        <w:t>-- R1 12-3: SPS release by DCI format 1_1</w:t>
      </w:r>
    </w:p>
    <w:p w14:paraId="383843E6" w14:textId="77777777" w:rsidR="00394471" w:rsidRPr="00FA0D37" w:rsidRDefault="00394471" w:rsidP="00FA0D37">
      <w:pPr>
        <w:pStyle w:val="PL"/>
      </w:pPr>
      <w:r w:rsidRPr="00FA0D37">
        <w:t xml:space="preserve">    sps-ReleaseDCI-1-1-r16                      </w:t>
      </w:r>
      <w:r w:rsidRPr="00FA0D37">
        <w:rPr>
          <w:color w:val="993366"/>
        </w:rPr>
        <w:t>ENUMERATED</w:t>
      </w:r>
      <w:r w:rsidRPr="00FA0D37">
        <w:t xml:space="preserve"> {supported}              </w:t>
      </w:r>
      <w:r w:rsidRPr="00FA0D37">
        <w:rPr>
          <w:color w:val="993366"/>
        </w:rPr>
        <w:t>OPTIONAL</w:t>
      </w:r>
      <w:r w:rsidRPr="00FA0D37">
        <w:t>,</w:t>
      </w:r>
    </w:p>
    <w:p w14:paraId="6191AED6" w14:textId="77777777" w:rsidR="00394471" w:rsidRPr="00FA0D37" w:rsidRDefault="00394471" w:rsidP="00FA0D37">
      <w:pPr>
        <w:pStyle w:val="PL"/>
        <w:rPr>
          <w:color w:val="808080"/>
        </w:rPr>
      </w:pPr>
      <w:r w:rsidRPr="00FA0D37">
        <w:t xml:space="preserve">    </w:t>
      </w:r>
      <w:r w:rsidRPr="00FA0D37">
        <w:rPr>
          <w:color w:val="808080"/>
        </w:rPr>
        <w:t>-- R1 12-3a: SPS release by DCI format 1_2</w:t>
      </w:r>
    </w:p>
    <w:p w14:paraId="2CED313E" w14:textId="77777777" w:rsidR="00394471" w:rsidRPr="00FA0D37" w:rsidRDefault="00394471" w:rsidP="00FA0D37">
      <w:pPr>
        <w:pStyle w:val="PL"/>
      </w:pPr>
      <w:r w:rsidRPr="00FA0D37">
        <w:t xml:space="preserve">    sps-ReleaseDCI-1-2-r16                      </w:t>
      </w:r>
      <w:r w:rsidRPr="00FA0D37">
        <w:rPr>
          <w:color w:val="993366"/>
        </w:rPr>
        <w:t>ENUMERATED</w:t>
      </w:r>
      <w:r w:rsidRPr="00FA0D37">
        <w:t xml:space="preserve"> {supported}              </w:t>
      </w:r>
      <w:r w:rsidRPr="00FA0D37">
        <w:rPr>
          <w:color w:val="993366"/>
        </w:rPr>
        <w:t>OPTIONAL</w:t>
      </w:r>
      <w:r w:rsidRPr="00FA0D37">
        <w:t>,</w:t>
      </w:r>
    </w:p>
    <w:p w14:paraId="2286E7C6" w14:textId="77777777" w:rsidR="00394471" w:rsidRPr="00FA0D37" w:rsidRDefault="00394471" w:rsidP="00FA0D37">
      <w:pPr>
        <w:pStyle w:val="PL"/>
        <w:rPr>
          <w:color w:val="808080"/>
        </w:rPr>
      </w:pPr>
      <w:r w:rsidRPr="00FA0D37">
        <w:t xml:space="preserve">    </w:t>
      </w:r>
      <w:r w:rsidRPr="00FA0D37">
        <w:rPr>
          <w:color w:val="808080"/>
        </w:rPr>
        <w:t>-- R1 14-8: CSI trigger states containing non-active BWP</w:t>
      </w:r>
    </w:p>
    <w:p w14:paraId="2C765F03" w14:textId="77777777" w:rsidR="00394471" w:rsidRPr="00FA0D37" w:rsidRDefault="00394471" w:rsidP="00FA0D37">
      <w:pPr>
        <w:pStyle w:val="PL"/>
      </w:pPr>
      <w:r w:rsidRPr="00FA0D37">
        <w:t xml:space="preserve">    csi-TriggerStateNon-ActiveBWP-r16           </w:t>
      </w:r>
      <w:r w:rsidRPr="00FA0D37">
        <w:rPr>
          <w:color w:val="993366"/>
        </w:rPr>
        <w:t>ENUMERATED</w:t>
      </w:r>
      <w:r w:rsidRPr="00FA0D37">
        <w:t xml:space="preserve"> {supported}              </w:t>
      </w:r>
      <w:r w:rsidRPr="00FA0D37">
        <w:rPr>
          <w:color w:val="993366"/>
        </w:rPr>
        <w:t>OPTIONAL</w:t>
      </w:r>
      <w:r w:rsidRPr="00FA0D37">
        <w:t>,</w:t>
      </w:r>
    </w:p>
    <w:p w14:paraId="5427C5E3" w14:textId="77777777" w:rsidR="00394471" w:rsidRPr="00FA0D37" w:rsidRDefault="00394471" w:rsidP="00FA0D37">
      <w:pPr>
        <w:pStyle w:val="PL"/>
        <w:rPr>
          <w:color w:val="808080"/>
        </w:rPr>
      </w:pPr>
      <w:r w:rsidRPr="00FA0D37">
        <w:t xml:space="preserve">    </w:t>
      </w:r>
      <w:r w:rsidRPr="00FA0D37">
        <w:rPr>
          <w:color w:val="808080"/>
        </w:rPr>
        <w:t xml:space="preserve">-- R1 20-2: </w:t>
      </w:r>
      <w:r w:rsidRPr="00FA0D37">
        <w:rPr>
          <w:rFonts w:eastAsia="宋体"/>
          <w:color w:val="808080"/>
        </w:rPr>
        <w:t>Support up to 4 SMTCs configured for an IAB node MT per frequency location, including IAB-specific SMTC window periodicities</w:t>
      </w:r>
    </w:p>
    <w:p w14:paraId="14DF8077" w14:textId="33D52E15" w:rsidR="00394471" w:rsidRPr="00FA0D37" w:rsidRDefault="00394471" w:rsidP="00FA0D37">
      <w:pPr>
        <w:pStyle w:val="PL"/>
      </w:pPr>
      <w:r w:rsidRPr="00FA0D37">
        <w:t xml:space="preserve">    sep</w:t>
      </w:r>
      <w:r w:rsidR="00215224" w:rsidRPr="00FA0D37">
        <w:t>a</w:t>
      </w:r>
      <w:r w:rsidRPr="00FA0D37">
        <w:t xml:space="preserve">rateSMTC-InterIAB-Support-r16           </w:t>
      </w:r>
      <w:r w:rsidRPr="00FA0D37">
        <w:rPr>
          <w:color w:val="993366"/>
        </w:rPr>
        <w:t>ENUMERATED</w:t>
      </w:r>
      <w:r w:rsidRPr="00FA0D37">
        <w:t xml:space="preserve"> {supported}              </w:t>
      </w:r>
      <w:r w:rsidRPr="00FA0D37">
        <w:rPr>
          <w:color w:val="993366"/>
        </w:rPr>
        <w:t>OPTIONAL</w:t>
      </w:r>
      <w:r w:rsidRPr="00FA0D37">
        <w:t>,</w:t>
      </w:r>
    </w:p>
    <w:p w14:paraId="5D501764" w14:textId="77777777" w:rsidR="00394471" w:rsidRPr="00FA0D37" w:rsidRDefault="00394471" w:rsidP="00FA0D37">
      <w:pPr>
        <w:pStyle w:val="PL"/>
        <w:rPr>
          <w:color w:val="808080"/>
        </w:rPr>
      </w:pPr>
      <w:r w:rsidRPr="00FA0D37">
        <w:t xml:space="preserve">    </w:t>
      </w:r>
      <w:r w:rsidRPr="00FA0D37">
        <w:rPr>
          <w:color w:val="808080"/>
        </w:rPr>
        <w:t xml:space="preserve">-- R1 20-3: </w:t>
      </w:r>
      <w:r w:rsidRPr="00FA0D37">
        <w:rPr>
          <w:rFonts w:eastAsia="宋体"/>
          <w:color w:val="808080"/>
        </w:rPr>
        <w:t>Support RACH configuration separately from the RACH configuration for UE access, including new IAB-specific offset and scaling factors</w:t>
      </w:r>
    </w:p>
    <w:p w14:paraId="649E4013" w14:textId="1455A8E2" w:rsidR="00394471" w:rsidRPr="00FA0D37" w:rsidRDefault="00394471" w:rsidP="00FA0D37">
      <w:pPr>
        <w:pStyle w:val="PL"/>
      </w:pPr>
      <w:r w:rsidRPr="00FA0D37">
        <w:t xml:space="preserve">    sep</w:t>
      </w:r>
      <w:r w:rsidR="00215224" w:rsidRPr="00FA0D37">
        <w:t>a</w:t>
      </w:r>
      <w:r w:rsidRPr="00FA0D37">
        <w:t xml:space="preserve">rateRACH-IAB-Support-r16                </w:t>
      </w:r>
      <w:r w:rsidRPr="00FA0D37">
        <w:rPr>
          <w:color w:val="993366"/>
        </w:rPr>
        <w:t>ENUMERATED</w:t>
      </w:r>
      <w:r w:rsidRPr="00FA0D37">
        <w:t xml:space="preserve"> {supported}              </w:t>
      </w:r>
      <w:r w:rsidRPr="00FA0D37">
        <w:rPr>
          <w:color w:val="993366"/>
        </w:rPr>
        <w:t>OPTIONAL</w:t>
      </w:r>
      <w:r w:rsidRPr="00FA0D37">
        <w:t>,</w:t>
      </w:r>
    </w:p>
    <w:p w14:paraId="260D168F" w14:textId="77777777" w:rsidR="00394471" w:rsidRPr="00FA0D37" w:rsidRDefault="00394471" w:rsidP="00FA0D37">
      <w:pPr>
        <w:pStyle w:val="PL"/>
        <w:rPr>
          <w:color w:val="808080"/>
        </w:rPr>
      </w:pPr>
      <w:r w:rsidRPr="00FA0D37">
        <w:t xml:space="preserve">    </w:t>
      </w:r>
      <w:r w:rsidRPr="00FA0D37">
        <w:rPr>
          <w:color w:val="808080"/>
        </w:rPr>
        <w:t xml:space="preserve">-- R1 20-5a: </w:t>
      </w:r>
      <w:r w:rsidRPr="00FA0D37">
        <w:rPr>
          <w:rFonts w:eastAsia="宋体"/>
          <w:color w:val="808080"/>
        </w:rPr>
        <w:t>Support semi-static configuration/indication of UL-Flexible-DL slot formats for IAB-MT resources</w:t>
      </w:r>
    </w:p>
    <w:p w14:paraId="5F2736E0" w14:textId="77777777" w:rsidR="00394471" w:rsidRPr="00FA0D37" w:rsidRDefault="00394471" w:rsidP="00FA0D37">
      <w:pPr>
        <w:pStyle w:val="PL"/>
      </w:pPr>
      <w:r w:rsidRPr="00FA0D37">
        <w:t xml:space="preserve">    </w:t>
      </w:r>
      <w:r w:rsidRPr="00FA0D37">
        <w:rPr>
          <w:rFonts w:eastAsia="宋体"/>
        </w:rPr>
        <w:t>ul-flexibleDL-SlotFormatSemiStatic-IAB-r16</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7E7121C9" w14:textId="77777777" w:rsidR="00394471" w:rsidRPr="00FA0D37" w:rsidRDefault="00394471" w:rsidP="00FA0D37">
      <w:pPr>
        <w:pStyle w:val="PL"/>
        <w:rPr>
          <w:color w:val="808080"/>
        </w:rPr>
      </w:pPr>
      <w:r w:rsidRPr="00FA0D37">
        <w:t xml:space="preserve">    </w:t>
      </w:r>
      <w:r w:rsidRPr="00FA0D37">
        <w:rPr>
          <w:color w:val="808080"/>
        </w:rPr>
        <w:t xml:space="preserve">-- R1 20-5b: </w:t>
      </w:r>
      <w:r w:rsidRPr="00FA0D37">
        <w:rPr>
          <w:rFonts w:eastAsia="宋体"/>
          <w:color w:val="808080"/>
        </w:rPr>
        <w:t>Support dynamic indication of UL-Flexible-DL slot formats for IAB-MT resources</w:t>
      </w:r>
    </w:p>
    <w:p w14:paraId="552A2A3C" w14:textId="77777777" w:rsidR="00394471" w:rsidRPr="00FA0D37" w:rsidRDefault="00394471" w:rsidP="00FA0D37">
      <w:pPr>
        <w:pStyle w:val="PL"/>
      </w:pPr>
      <w:r w:rsidRPr="00FA0D37">
        <w:t xml:space="preserve">    </w:t>
      </w:r>
      <w:r w:rsidRPr="00FA0D37">
        <w:rPr>
          <w:rFonts w:eastAsia="宋体"/>
        </w:rPr>
        <w:t>ul-flexibleDL-SlotFormatDynamics-IAB-r16</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4DA31058" w14:textId="77777777" w:rsidR="00394471" w:rsidRPr="00FA0D37" w:rsidRDefault="00394471" w:rsidP="00FA0D37">
      <w:pPr>
        <w:pStyle w:val="PL"/>
      </w:pPr>
      <w:r w:rsidRPr="00FA0D37">
        <w:t xml:space="preserve">    dft-S-OFDM-WaveformUL-IAB-r16               </w:t>
      </w:r>
      <w:r w:rsidRPr="00FA0D37">
        <w:rPr>
          <w:color w:val="993366"/>
        </w:rPr>
        <w:t>ENUMERATED</w:t>
      </w:r>
      <w:r w:rsidRPr="00FA0D37">
        <w:t xml:space="preserve"> {supported}              </w:t>
      </w:r>
      <w:r w:rsidRPr="00FA0D37">
        <w:rPr>
          <w:color w:val="993366"/>
        </w:rPr>
        <w:t>OPTIONAL</w:t>
      </w:r>
      <w:r w:rsidRPr="00FA0D37">
        <w:t>,</w:t>
      </w:r>
    </w:p>
    <w:p w14:paraId="03B6E3ED" w14:textId="77777777" w:rsidR="00394471" w:rsidRPr="00FA0D37" w:rsidRDefault="00394471" w:rsidP="00FA0D37">
      <w:pPr>
        <w:pStyle w:val="PL"/>
        <w:rPr>
          <w:color w:val="808080"/>
        </w:rPr>
      </w:pPr>
      <w:r w:rsidRPr="00FA0D37">
        <w:t xml:space="preserve">    </w:t>
      </w:r>
      <w:r w:rsidRPr="00FA0D37">
        <w:rPr>
          <w:color w:val="808080"/>
        </w:rPr>
        <w:t xml:space="preserve">-- R1 20-6: </w:t>
      </w:r>
      <w:r w:rsidRPr="00FA0D37">
        <w:rPr>
          <w:rFonts w:eastAsia="宋体"/>
          <w:color w:val="808080"/>
        </w:rPr>
        <w:t>Support DCI Format 2_5 based indication of soft resource availability to an IAB node</w:t>
      </w:r>
    </w:p>
    <w:p w14:paraId="1A52BA6A" w14:textId="77777777" w:rsidR="00394471" w:rsidRPr="00FA0D37" w:rsidRDefault="00394471" w:rsidP="00FA0D37">
      <w:pPr>
        <w:pStyle w:val="PL"/>
      </w:pPr>
      <w:r w:rsidRPr="00FA0D37">
        <w:t xml:space="preserve">    </w:t>
      </w:r>
      <w:r w:rsidRPr="00FA0D37">
        <w:rPr>
          <w:rFonts w:eastAsia="宋体"/>
        </w:rPr>
        <w:t>dci-25-AI-RNTI-Support-IAB-r16</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72C63AA3" w14:textId="77777777" w:rsidR="00394471" w:rsidRPr="00FA0D37" w:rsidRDefault="00394471" w:rsidP="00FA0D37">
      <w:pPr>
        <w:pStyle w:val="PL"/>
        <w:rPr>
          <w:color w:val="808080"/>
        </w:rPr>
      </w:pPr>
      <w:r w:rsidRPr="00FA0D37">
        <w:t xml:space="preserve">    </w:t>
      </w:r>
      <w:r w:rsidRPr="00FA0D37">
        <w:rPr>
          <w:color w:val="808080"/>
        </w:rPr>
        <w:t xml:space="preserve">-- R1 20-7: </w:t>
      </w:r>
      <w:r w:rsidRPr="00FA0D37">
        <w:rPr>
          <w:rFonts w:eastAsia="宋体"/>
          <w:color w:val="808080"/>
        </w:rPr>
        <w:t>Support T_delta reception.</w:t>
      </w:r>
    </w:p>
    <w:p w14:paraId="39C48004" w14:textId="77777777" w:rsidR="00394471" w:rsidRPr="00FA0D37" w:rsidRDefault="00394471" w:rsidP="00FA0D37">
      <w:pPr>
        <w:pStyle w:val="PL"/>
      </w:pPr>
      <w:r w:rsidRPr="00FA0D37">
        <w:t xml:space="preserve">    </w:t>
      </w:r>
      <w:r w:rsidRPr="00FA0D37">
        <w:rPr>
          <w:rFonts w:eastAsia="宋体"/>
        </w:rPr>
        <w:t>t-DeltaReceptionSupport-IAB-r16</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426FFC95" w14:textId="77777777" w:rsidR="00394471" w:rsidRPr="00FA0D37" w:rsidRDefault="00394471" w:rsidP="00FA0D37">
      <w:pPr>
        <w:pStyle w:val="PL"/>
        <w:rPr>
          <w:color w:val="808080"/>
        </w:rPr>
      </w:pPr>
      <w:r w:rsidRPr="00FA0D37">
        <w:t xml:space="preserve">    </w:t>
      </w:r>
      <w:r w:rsidRPr="00FA0D37">
        <w:rPr>
          <w:color w:val="808080"/>
        </w:rPr>
        <w:t xml:space="preserve">-- R1 20-8: </w:t>
      </w:r>
      <w:r w:rsidRPr="00FA0D37">
        <w:rPr>
          <w:rFonts w:eastAsia="宋体"/>
          <w:color w:val="808080"/>
        </w:rPr>
        <w:t>Support of Desired guard symbol reporting and provided guard symbok reception.</w:t>
      </w:r>
    </w:p>
    <w:p w14:paraId="5D39C5E1" w14:textId="77777777" w:rsidR="00394471" w:rsidRPr="00FA0D37" w:rsidRDefault="00394471" w:rsidP="00FA0D37">
      <w:pPr>
        <w:pStyle w:val="PL"/>
      </w:pPr>
      <w:r w:rsidRPr="00FA0D37">
        <w:t xml:space="preserve">    </w:t>
      </w:r>
      <w:r w:rsidRPr="00FA0D37">
        <w:rPr>
          <w:rFonts w:eastAsia="宋体"/>
        </w:rPr>
        <w:t>guardSymbolReportReception-IAB-r16</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0C693C35" w14:textId="77777777" w:rsidR="00394471" w:rsidRPr="00FA0D37" w:rsidRDefault="00394471" w:rsidP="00FA0D37">
      <w:pPr>
        <w:pStyle w:val="PL"/>
        <w:rPr>
          <w:color w:val="808080"/>
        </w:rPr>
      </w:pPr>
      <w:r w:rsidRPr="00FA0D37">
        <w:t xml:space="preserve">    </w:t>
      </w:r>
      <w:r w:rsidRPr="00FA0D37">
        <w:rPr>
          <w:color w:val="808080"/>
        </w:rPr>
        <w:t>-- R1 18-8 HARQ-ACK codebook type and spatial bundling per PUCCH group</w:t>
      </w:r>
    </w:p>
    <w:p w14:paraId="3C376D35" w14:textId="77777777" w:rsidR="00394471" w:rsidRPr="00FA0D37" w:rsidRDefault="00394471" w:rsidP="00FA0D37">
      <w:pPr>
        <w:pStyle w:val="PL"/>
      </w:pPr>
      <w:r w:rsidRPr="00FA0D37">
        <w:t xml:space="preserve">    harqACK-CB-SpatialBundlingPUCCH-Group-r16   </w:t>
      </w:r>
      <w:r w:rsidRPr="00FA0D37">
        <w:rPr>
          <w:color w:val="993366"/>
        </w:rPr>
        <w:t>ENUMERATED</w:t>
      </w:r>
      <w:r w:rsidRPr="00FA0D37">
        <w:t xml:space="preserve"> {supported}              </w:t>
      </w:r>
      <w:r w:rsidRPr="00FA0D37">
        <w:rPr>
          <w:color w:val="993366"/>
        </w:rPr>
        <w:t>OPTIONAL</w:t>
      </w:r>
      <w:r w:rsidRPr="00FA0D37">
        <w:t>,</w:t>
      </w:r>
    </w:p>
    <w:p w14:paraId="35656DAF"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19-2: Cross Slot Scheduling</w:t>
      </w:r>
    </w:p>
    <w:p w14:paraId="0F2DADD7" w14:textId="77777777" w:rsidR="00394471" w:rsidRPr="00FA0D37" w:rsidRDefault="00394471" w:rsidP="00FA0D37">
      <w:pPr>
        <w:pStyle w:val="PL"/>
        <w:rPr>
          <w:rFonts w:eastAsiaTheme="minorEastAsia"/>
        </w:rPr>
      </w:pPr>
      <w:r w:rsidRPr="00FA0D37">
        <w:t xml:space="preserve">    </w:t>
      </w:r>
      <w:r w:rsidRPr="00FA0D37">
        <w:rPr>
          <w:rFonts w:eastAsiaTheme="minorEastAsia"/>
        </w:rPr>
        <w:t>crossSlotScheduling-r16</w:t>
      </w:r>
      <w:r w:rsidRPr="00FA0D37">
        <w:t xml:space="preserve">                     </w:t>
      </w:r>
      <w:r w:rsidRPr="00FA0D37">
        <w:rPr>
          <w:rFonts w:eastAsiaTheme="minorEastAsia"/>
          <w:color w:val="993366"/>
        </w:rPr>
        <w:t>SEQUENCE</w:t>
      </w:r>
      <w:r w:rsidRPr="00FA0D37">
        <w:rPr>
          <w:rFonts w:eastAsiaTheme="minorEastAsia"/>
        </w:rPr>
        <w:t xml:space="preserve"> {</w:t>
      </w:r>
    </w:p>
    <w:p w14:paraId="6672CDB8" w14:textId="77777777" w:rsidR="00394471" w:rsidRPr="00FA0D37" w:rsidRDefault="00394471" w:rsidP="00FA0D37">
      <w:pPr>
        <w:pStyle w:val="PL"/>
      </w:pPr>
      <w:r w:rsidRPr="00FA0D37">
        <w:t xml:space="preserve">        non-SharedSpectrumChAccess-r16              </w:t>
      </w:r>
      <w:r w:rsidRPr="00FA0D37">
        <w:rPr>
          <w:color w:val="993366"/>
        </w:rPr>
        <w:t>ENUMERATED</w:t>
      </w:r>
      <w:r w:rsidRPr="00FA0D37">
        <w:t xml:space="preserve"> {supported}          </w:t>
      </w:r>
      <w:r w:rsidRPr="00FA0D37">
        <w:rPr>
          <w:color w:val="993366"/>
        </w:rPr>
        <w:t>OPTIONAL</w:t>
      </w:r>
      <w:r w:rsidRPr="00FA0D37">
        <w:t>,</w:t>
      </w:r>
    </w:p>
    <w:p w14:paraId="5D4B0A06" w14:textId="77777777" w:rsidR="00394471" w:rsidRPr="00FA0D37" w:rsidRDefault="00394471" w:rsidP="00FA0D37">
      <w:pPr>
        <w:pStyle w:val="PL"/>
      </w:pPr>
      <w:r w:rsidRPr="00FA0D37">
        <w:t xml:space="preserve">        sharedSpectrumChAccess-r16                  </w:t>
      </w:r>
      <w:r w:rsidRPr="00FA0D37">
        <w:rPr>
          <w:color w:val="993366"/>
        </w:rPr>
        <w:t>ENUMERATED</w:t>
      </w:r>
      <w:r w:rsidRPr="00FA0D37">
        <w:t xml:space="preserve"> {supported}          </w:t>
      </w:r>
      <w:r w:rsidRPr="00FA0D37">
        <w:rPr>
          <w:color w:val="993366"/>
        </w:rPr>
        <w:t>OPTIONAL</w:t>
      </w:r>
    </w:p>
    <w:p w14:paraId="22CC5D86" w14:textId="77777777" w:rsidR="00394471" w:rsidRPr="00FA0D37" w:rsidRDefault="00394471" w:rsidP="00FA0D37">
      <w:pPr>
        <w:pStyle w:val="PL"/>
        <w:rPr>
          <w:rFonts w:eastAsiaTheme="minorEastAsia"/>
        </w:rPr>
      </w:pPr>
      <w:r w:rsidRPr="00FA0D37">
        <w:t xml:space="preserve">    }                                                                               </w:t>
      </w:r>
      <w:r w:rsidRPr="00FA0D37">
        <w:rPr>
          <w:color w:val="993366"/>
        </w:rPr>
        <w:t>OPTIONAL</w:t>
      </w:r>
      <w:r w:rsidRPr="00FA0D37">
        <w:t>,</w:t>
      </w:r>
    </w:p>
    <w:p w14:paraId="152CB340" w14:textId="77777777" w:rsidR="00394471" w:rsidRPr="00FA0D37" w:rsidRDefault="00394471" w:rsidP="00FA0D37">
      <w:pPr>
        <w:pStyle w:val="PL"/>
      </w:pPr>
      <w:r w:rsidRPr="00FA0D37">
        <w:t xml:space="preserve">    maxNumberSRS-PosPathLossEstimateAllServingCells-r16  </w:t>
      </w:r>
      <w:r w:rsidRPr="00FA0D37">
        <w:rPr>
          <w:color w:val="993366"/>
        </w:rPr>
        <w:t>ENUMERATED</w:t>
      </w:r>
      <w:r w:rsidRPr="00FA0D37">
        <w:t xml:space="preserve"> {n1, n4, n8, n16}         </w:t>
      </w:r>
      <w:r w:rsidRPr="00FA0D37">
        <w:rPr>
          <w:color w:val="993366"/>
        </w:rPr>
        <w:t>OPTIONAL</w:t>
      </w:r>
      <w:r w:rsidRPr="00FA0D37">
        <w:t>,</w:t>
      </w:r>
    </w:p>
    <w:p w14:paraId="6EE5625B" w14:textId="77777777" w:rsidR="00394471" w:rsidRPr="00FA0D37" w:rsidRDefault="00394471" w:rsidP="00FA0D37">
      <w:pPr>
        <w:pStyle w:val="PL"/>
      </w:pPr>
      <w:r w:rsidRPr="00FA0D37">
        <w:t xml:space="preserve">    extendedCG-Periodicities-r16                </w:t>
      </w:r>
      <w:r w:rsidRPr="00FA0D37">
        <w:rPr>
          <w:color w:val="993366"/>
        </w:rPr>
        <w:t>ENUMERATED</w:t>
      </w:r>
      <w:r w:rsidRPr="00FA0D37">
        <w:t xml:space="preserve"> {supported}              </w:t>
      </w:r>
      <w:r w:rsidRPr="00FA0D37">
        <w:rPr>
          <w:color w:val="993366"/>
        </w:rPr>
        <w:t>OPTIONAL</w:t>
      </w:r>
      <w:r w:rsidRPr="00FA0D37">
        <w:t>,</w:t>
      </w:r>
    </w:p>
    <w:p w14:paraId="70FB4187" w14:textId="77777777" w:rsidR="00394471" w:rsidRPr="00FA0D37" w:rsidRDefault="00394471" w:rsidP="00FA0D37">
      <w:pPr>
        <w:pStyle w:val="PL"/>
      </w:pPr>
      <w:r w:rsidRPr="00FA0D37">
        <w:t xml:space="preserve">    extendedSPS-Periodicities-r16               </w:t>
      </w:r>
      <w:r w:rsidRPr="00FA0D37">
        <w:rPr>
          <w:color w:val="993366"/>
        </w:rPr>
        <w:t>ENUMERATED</w:t>
      </w:r>
      <w:r w:rsidRPr="00FA0D37">
        <w:t xml:space="preserve"> {supported}              </w:t>
      </w:r>
      <w:r w:rsidRPr="00FA0D37">
        <w:rPr>
          <w:color w:val="993366"/>
        </w:rPr>
        <w:t>OPTIONAL</w:t>
      </w:r>
      <w:r w:rsidRPr="00FA0D37">
        <w:t>,</w:t>
      </w:r>
    </w:p>
    <w:p w14:paraId="720DDDA3" w14:textId="77777777" w:rsidR="00394471" w:rsidRPr="00FA0D37" w:rsidRDefault="00394471" w:rsidP="00FA0D37">
      <w:pPr>
        <w:pStyle w:val="PL"/>
      </w:pPr>
      <w:r w:rsidRPr="00FA0D37">
        <w:t xml:space="preserve">    codebookVariantsList-r16                    CodebookVariantsList-r16            </w:t>
      </w:r>
      <w:r w:rsidRPr="00FA0D37">
        <w:rPr>
          <w:color w:val="993366"/>
        </w:rPr>
        <w:t>OPTIONAL</w:t>
      </w:r>
      <w:r w:rsidRPr="00FA0D37">
        <w:t>,</w:t>
      </w:r>
    </w:p>
    <w:p w14:paraId="18FCB153" w14:textId="77777777" w:rsidR="00394471" w:rsidRPr="00FA0D37" w:rsidRDefault="00394471" w:rsidP="00FA0D37">
      <w:pPr>
        <w:pStyle w:val="PL"/>
        <w:rPr>
          <w:color w:val="808080"/>
        </w:rPr>
      </w:pPr>
      <w:r w:rsidRPr="00FA0D37">
        <w:t xml:space="preserve">    </w:t>
      </w:r>
      <w:r w:rsidRPr="00FA0D37">
        <w:rPr>
          <w:color w:val="808080"/>
        </w:rPr>
        <w:t>-- R1 11-6: PUSCH repetition Type A</w:t>
      </w:r>
    </w:p>
    <w:p w14:paraId="312B816A" w14:textId="77777777" w:rsidR="00394471" w:rsidRPr="00FA0D37" w:rsidRDefault="00394471" w:rsidP="00FA0D37">
      <w:pPr>
        <w:pStyle w:val="PL"/>
      </w:pPr>
      <w:r w:rsidRPr="00FA0D37">
        <w:t xml:space="preserve">    pusch-RepetitionTypeA-r16                   </w:t>
      </w:r>
      <w:r w:rsidRPr="00FA0D37">
        <w:rPr>
          <w:rFonts w:eastAsiaTheme="minorEastAsia"/>
          <w:color w:val="993366"/>
        </w:rPr>
        <w:t>SEQUENCE</w:t>
      </w:r>
      <w:r w:rsidRPr="00FA0D37">
        <w:t xml:space="preserve"> {</w:t>
      </w:r>
    </w:p>
    <w:p w14:paraId="6D108530" w14:textId="77777777" w:rsidR="00394471" w:rsidRPr="00FA0D37" w:rsidRDefault="00394471" w:rsidP="00FA0D37">
      <w:pPr>
        <w:pStyle w:val="PL"/>
      </w:pPr>
      <w:r w:rsidRPr="00FA0D37">
        <w:t xml:space="preserve">        sharedSpectrumChAccess-r16                  </w:t>
      </w:r>
      <w:r w:rsidRPr="00FA0D37">
        <w:rPr>
          <w:color w:val="993366"/>
        </w:rPr>
        <w:t>ENUMERATED</w:t>
      </w:r>
      <w:r w:rsidRPr="00FA0D37">
        <w:t xml:space="preserve"> {supported}          </w:t>
      </w:r>
      <w:r w:rsidRPr="00FA0D37">
        <w:rPr>
          <w:color w:val="993366"/>
        </w:rPr>
        <w:t>OPTIONAL</w:t>
      </w:r>
      <w:r w:rsidRPr="00FA0D37">
        <w:t>,</w:t>
      </w:r>
    </w:p>
    <w:p w14:paraId="2DD27FCB" w14:textId="77777777" w:rsidR="00394471" w:rsidRPr="00FA0D37" w:rsidRDefault="00394471" w:rsidP="00FA0D37">
      <w:pPr>
        <w:pStyle w:val="PL"/>
      </w:pPr>
      <w:r w:rsidRPr="00FA0D37">
        <w:t xml:space="preserve">        non-SharedSpectrumChAccess-r16              </w:t>
      </w:r>
      <w:r w:rsidRPr="00FA0D37">
        <w:rPr>
          <w:color w:val="993366"/>
        </w:rPr>
        <w:t>ENUMERATED</w:t>
      </w:r>
      <w:r w:rsidRPr="00FA0D37">
        <w:t xml:space="preserve"> {supported}          </w:t>
      </w:r>
      <w:r w:rsidRPr="00FA0D37">
        <w:rPr>
          <w:color w:val="993366"/>
        </w:rPr>
        <w:t>OPTIONAL</w:t>
      </w:r>
    </w:p>
    <w:p w14:paraId="7F7D643C" w14:textId="77777777" w:rsidR="00394471" w:rsidRPr="00FA0D37" w:rsidRDefault="00394471" w:rsidP="00FA0D37">
      <w:pPr>
        <w:pStyle w:val="PL"/>
      </w:pPr>
      <w:r w:rsidRPr="00FA0D37">
        <w:t xml:space="preserve">    }                                                                               </w:t>
      </w:r>
      <w:r w:rsidRPr="00FA0D37">
        <w:rPr>
          <w:color w:val="993366"/>
        </w:rPr>
        <w:t>OPTIONAL</w:t>
      </w:r>
      <w:r w:rsidRPr="00FA0D37">
        <w:t>,</w:t>
      </w:r>
    </w:p>
    <w:p w14:paraId="087B5BAB" w14:textId="77777777" w:rsidR="00394471" w:rsidRPr="00FA0D37" w:rsidRDefault="00394471" w:rsidP="00FA0D37">
      <w:pPr>
        <w:pStyle w:val="PL"/>
        <w:rPr>
          <w:color w:val="808080"/>
        </w:rPr>
      </w:pPr>
      <w:r w:rsidRPr="00FA0D37">
        <w:t xml:space="preserve">    </w:t>
      </w:r>
      <w:r w:rsidRPr="00FA0D37">
        <w:rPr>
          <w:color w:val="808080"/>
        </w:rPr>
        <w:t>-- R1 11-4b: DL priority indication in DCI with mixed DCI formats</w:t>
      </w:r>
    </w:p>
    <w:p w14:paraId="7F786AFC" w14:textId="77777777" w:rsidR="00394471" w:rsidRPr="00FA0D37" w:rsidRDefault="00394471" w:rsidP="00FA0D37">
      <w:pPr>
        <w:pStyle w:val="PL"/>
      </w:pPr>
      <w:r w:rsidRPr="00FA0D37">
        <w:t xml:space="preserve">    dci-DL-PriorityIndicator-r16                </w:t>
      </w:r>
      <w:r w:rsidRPr="00FA0D37">
        <w:rPr>
          <w:color w:val="993366"/>
        </w:rPr>
        <w:t>ENUMERATED</w:t>
      </w:r>
      <w:r w:rsidRPr="00FA0D37">
        <w:t xml:space="preserve"> {supported}              </w:t>
      </w:r>
      <w:r w:rsidRPr="00FA0D37">
        <w:rPr>
          <w:color w:val="993366"/>
        </w:rPr>
        <w:t>OPTIONAL</w:t>
      </w:r>
      <w:r w:rsidRPr="00FA0D37">
        <w:t>,</w:t>
      </w:r>
    </w:p>
    <w:p w14:paraId="49AD4AC5" w14:textId="77777777" w:rsidR="00394471" w:rsidRPr="00FA0D37" w:rsidRDefault="00394471" w:rsidP="00FA0D37">
      <w:pPr>
        <w:pStyle w:val="PL"/>
        <w:rPr>
          <w:color w:val="808080"/>
        </w:rPr>
      </w:pPr>
      <w:r w:rsidRPr="00FA0D37">
        <w:t xml:space="preserve">    </w:t>
      </w:r>
      <w:r w:rsidRPr="00FA0D37">
        <w:rPr>
          <w:color w:val="808080"/>
        </w:rPr>
        <w:t>-- R1 12-1a: UL priority indication in DCI with mixed DCI formats</w:t>
      </w:r>
    </w:p>
    <w:p w14:paraId="181A3FE9" w14:textId="77777777" w:rsidR="00394471" w:rsidRPr="00FA0D37" w:rsidRDefault="00394471" w:rsidP="00FA0D37">
      <w:pPr>
        <w:pStyle w:val="PL"/>
      </w:pPr>
      <w:r w:rsidRPr="00FA0D37">
        <w:t xml:space="preserve">    dci-UL-PriorityIndicator-r16                </w:t>
      </w:r>
      <w:r w:rsidRPr="00FA0D37">
        <w:rPr>
          <w:color w:val="993366"/>
        </w:rPr>
        <w:t>ENUMERATED</w:t>
      </w:r>
      <w:r w:rsidRPr="00FA0D37">
        <w:t xml:space="preserve"> {supported}              </w:t>
      </w:r>
      <w:r w:rsidRPr="00FA0D37">
        <w:rPr>
          <w:color w:val="993366"/>
        </w:rPr>
        <w:t>OPTIONAL</w:t>
      </w:r>
      <w:r w:rsidRPr="00FA0D37">
        <w:t>,</w:t>
      </w:r>
    </w:p>
    <w:p w14:paraId="4212870A" w14:textId="77777777" w:rsidR="00394471" w:rsidRPr="00FA0D37" w:rsidRDefault="00394471" w:rsidP="00FA0D37">
      <w:pPr>
        <w:pStyle w:val="PL"/>
        <w:rPr>
          <w:color w:val="808080"/>
        </w:rPr>
      </w:pPr>
      <w:r w:rsidRPr="00FA0D37">
        <w:t xml:space="preserve">    </w:t>
      </w:r>
      <w:r w:rsidRPr="00FA0D37">
        <w:rPr>
          <w:color w:val="808080"/>
        </w:rPr>
        <w:t>-- R1 16-1e: Maximum number of configured pathloss reference RSs for PUSCH/PUCCH/SRS by RRC for MAC-CE based pathloss reference RS update</w:t>
      </w:r>
    </w:p>
    <w:p w14:paraId="5BD369B7" w14:textId="77777777" w:rsidR="00394471" w:rsidRPr="00FA0D37" w:rsidRDefault="00394471" w:rsidP="00FA0D37">
      <w:pPr>
        <w:pStyle w:val="PL"/>
      </w:pPr>
      <w:r w:rsidRPr="00FA0D37">
        <w:t xml:space="preserve">    maxNumberPathlossRS-Update-r16              </w:t>
      </w:r>
      <w:r w:rsidRPr="00FA0D37">
        <w:rPr>
          <w:color w:val="993366"/>
        </w:rPr>
        <w:t>ENUMERATED</w:t>
      </w:r>
      <w:r w:rsidRPr="00FA0D37">
        <w:t xml:space="preserve"> {n4, n8, n16, n32, n64}  </w:t>
      </w:r>
      <w:r w:rsidRPr="00FA0D37">
        <w:rPr>
          <w:color w:val="993366"/>
        </w:rPr>
        <w:t>OPTIONAL</w:t>
      </w:r>
      <w:r w:rsidRPr="00FA0D37">
        <w:t>,</w:t>
      </w:r>
    </w:p>
    <w:p w14:paraId="588B7E93" w14:textId="77777777" w:rsidR="00394471" w:rsidRPr="00FA0D37" w:rsidRDefault="00394471" w:rsidP="00FA0D37">
      <w:pPr>
        <w:pStyle w:val="PL"/>
      </w:pPr>
    </w:p>
    <w:p w14:paraId="7A83B939" w14:textId="77777777" w:rsidR="00394471" w:rsidRPr="00FA0D37" w:rsidRDefault="00394471" w:rsidP="00FA0D37">
      <w:pPr>
        <w:pStyle w:val="PL"/>
        <w:rPr>
          <w:color w:val="808080"/>
        </w:rPr>
      </w:pPr>
      <w:r w:rsidRPr="00FA0D37">
        <w:t xml:space="preserve">    </w:t>
      </w:r>
      <w:r w:rsidRPr="00FA0D37">
        <w:rPr>
          <w:color w:val="808080"/>
        </w:rPr>
        <w:t>-- R1 18-9: Usage of the PDSCH starting time for HARQ-ACK type 2 codebook</w:t>
      </w:r>
    </w:p>
    <w:p w14:paraId="2A65A829" w14:textId="77777777" w:rsidR="00394471" w:rsidRPr="00FA0D37" w:rsidRDefault="00394471" w:rsidP="00FA0D37">
      <w:pPr>
        <w:pStyle w:val="PL"/>
      </w:pPr>
      <w:r w:rsidRPr="00FA0D37">
        <w:t xml:space="preserve">    type2-HARQ-ACK-Codebook-r16                 </w:t>
      </w:r>
      <w:r w:rsidRPr="00FA0D37">
        <w:rPr>
          <w:color w:val="993366"/>
        </w:rPr>
        <w:t>ENUMERATED</w:t>
      </w:r>
      <w:r w:rsidRPr="00FA0D37">
        <w:t xml:space="preserve"> {supported}              </w:t>
      </w:r>
      <w:r w:rsidRPr="00FA0D37">
        <w:rPr>
          <w:color w:val="993366"/>
        </w:rPr>
        <w:t>OPTIONAL</w:t>
      </w:r>
      <w:r w:rsidRPr="00FA0D37">
        <w:t>,</w:t>
      </w:r>
    </w:p>
    <w:p w14:paraId="18F0E877" w14:textId="24DBDE71" w:rsidR="00394471" w:rsidRPr="00FA0D37" w:rsidRDefault="00394471" w:rsidP="00FA0D37">
      <w:pPr>
        <w:pStyle w:val="PL"/>
        <w:rPr>
          <w:color w:val="808080"/>
        </w:rPr>
      </w:pPr>
      <w:r w:rsidRPr="00FA0D37">
        <w:t xml:space="preserve">    </w:t>
      </w:r>
      <w:r w:rsidRPr="00FA0D37">
        <w:rPr>
          <w:color w:val="808080"/>
        </w:rPr>
        <w:t>-- R1 16-1g-1: Resources for beam management, pathloss measurement,</w:t>
      </w:r>
      <w:r w:rsidR="00DE5341" w:rsidRPr="00FA0D37">
        <w:rPr>
          <w:color w:val="808080"/>
        </w:rPr>
        <w:t xml:space="preserve"> </w:t>
      </w:r>
      <w:r w:rsidRPr="00FA0D37">
        <w:rPr>
          <w:color w:val="808080"/>
        </w:rPr>
        <w:t>BFD, RLM and new beam identification across frequency ranges</w:t>
      </w:r>
    </w:p>
    <w:p w14:paraId="6D12E037" w14:textId="77777777" w:rsidR="00394471" w:rsidRPr="00FA0D37" w:rsidRDefault="00394471" w:rsidP="00FA0D37">
      <w:pPr>
        <w:pStyle w:val="PL"/>
      </w:pPr>
      <w:r w:rsidRPr="00FA0D37">
        <w:t xml:space="preserve">    maxTotalResourcesForAcrossFreqRanges-r16    </w:t>
      </w:r>
      <w:r w:rsidRPr="00FA0D37">
        <w:rPr>
          <w:rFonts w:eastAsiaTheme="minorEastAsia"/>
          <w:color w:val="993366"/>
        </w:rPr>
        <w:t>SEQUENCE</w:t>
      </w:r>
      <w:r w:rsidRPr="00FA0D37">
        <w:t xml:space="preserve"> {</w:t>
      </w:r>
    </w:p>
    <w:p w14:paraId="083086A9" w14:textId="77777777" w:rsidR="00394471" w:rsidRPr="00FA0D37" w:rsidRDefault="00394471" w:rsidP="00FA0D37">
      <w:pPr>
        <w:pStyle w:val="PL"/>
      </w:pPr>
      <w:r w:rsidRPr="00FA0D37">
        <w:t xml:space="preserve">        maxNumberResWithinSlotAcrossCC-AcrossFR-r16 </w:t>
      </w:r>
      <w:r w:rsidRPr="00FA0D37">
        <w:rPr>
          <w:color w:val="993366"/>
        </w:rPr>
        <w:t>ENUMERATED</w:t>
      </w:r>
      <w:r w:rsidRPr="00FA0D37">
        <w:t xml:space="preserve"> {n2, n4, n8, n12, n16, n32, n64, n128}        </w:t>
      </w:r>
      <w:r w:rsidRPr="00FA0D37">
        <w:rPr>
          <w:color w:val="993366"/>
        </w:rPr>
        <w:t>OPTIONAL</w:t>
      </w:r>
      <w:r w:rsidRPr="00FA0D37">
        <w:t>,</w:t>
      </w:r>
    </w:p>
    <w:p w14:paraId="48AAAB6E" w14:textId="77777777" w:rsidR="00394471" w:rsidRPr="00FA0D37" w:rsidRDefault="00394471" w:rsidP="00FA0D37">
      <w:pPr>
        <w:pStyle w:val="PL"/>
      </w:pPr>
      <w:r w:rsidRPr="00FA0D37">
        <w:lastRenderedPageBreak/>
        <w:t xml:space="preserve">        maxNumberResAcrossCC-AcrossFR-r16           </w:t>
      </w:r>
      <w:r w:rsidRPr="00FA0D37">
        <w:rPr>
          <w:color w:val="993366"/>
        </w:rPr>
        <w:t>ENUMERATED</w:t>
      </w:r>
      <w:r w:rsidRPr="00FA0D37">
        <w:t xml:space="preserve"> {n2, n4, n8, n12, n16, n32, n40, n48, n64, n72, n80, n96, n128, n256}</w:t>
      </w:r>
    </w:p>
    <w:p w14:paraId="567F70FA" w14:textId="77777777" w:rsidR="00394471" w:rsidRPr="00FA0D37" w:rsidRDefault="00394471" w:rsidP="00FA0D37">
      <w:pPr>
        <w:pStyle w:val="PL"/>
      </w:pPr>
      <w:r w:rsidRPr="00FA0D37">
        <w:t xml:space="preserve">                                                                                    </w:t>
      </w:r>
      <w:r w:rsidRPr="00FA0D37">
        <w:rPr>
          <w:color w:val="993366"/>
        </w:rPr>
        <w:t>OPTIONAL</w:t>
      </w:r>
    </w:p>
    <w:p w14:paraId="721E14BD" w14:textId="77777777" w:rsidR="00394471" w:rsidRPr="00FA0D37" w:rsidRDefault="00394471" w:rsidP="00FA0D37">
      <w:pPr>
        <w:pStyle w:val="PL"/>
      </w:pPr>
      <w:r w:rsidRPr="00FA0D37">
        <w:t xml:space="preserve">    }                                                                               </w:t>
      </w:r>
      <w:r w:rsidRPr="00FA0D37">
        <w:rPr>
          <w:color w:val="993366"/>
        </w:rPr>
        <w:t>OPTIONAL</w:t>
      </w:r>
      <w:r w:rsidRPr="00FA0D37">
        <w:t>,</w:t>
      </w:r>
    </w:p>
    <w:p w14:paraId="070E8269" w14:textId="0AAC0798" w:rsidR="00394471" w:rsidRPr="00FA0D37" w:rsidRDefault="00394471" w:rsidP="00FA0D37">
      <w:pPr>
        <w:pStyle w:val="PL"/>
        <w:rPr>
          <w:color w:val="808080"/>
        </w:rPr>
      </w:pPr>
      <w:r w:rsidRPr="00FA0D37">
        <w:t xml:space="preserve">    </w:t>
      </w:r>
      <w:r w:rsidRPr="00FA0D37">
        <w:rPr>
          <w:color w:val="808080"/>
        </w:rPr>
        <w:t xml:space="preserve">-- R1 16-2a-4: HARQ-ACK for multi-DCI based multi-TRP </w:t>
      </w:r>
      <w:r w:rsidR="00EE46AC" w:rsidRPr="00FA0D37">
        <w:rPr>
          <w:color w:val="808080"/>
        </w:rPr>
        <w:t>-</w:t>
      </w:r>
      <w:r w:rsidRPr="00FA0D37">
        <w:rPr>
          <w:color w:val="808080"/>
        </w:rPr>
        <w:t xml:space="preserve"> separate</w:t>
      </w:r>
    </w:p>
    <w:p w14:paraId="52ADB169" w14:textId="77777777" w:rsidR="00394471" w:rsidRPr="00FA0D37" w:rsidRDefault="00394471" w:rsidP="00FA0D37">
      <w:pPr>
        <w:pStyle w:val="PL"/>
      </w:pPr>
      <w:r w:rsidRPr="00FA0D37">
        <w:t xml:space="preserve">    harqACK-separateMultiDCI-MultiTRP-r16       </w:t>
      </w:r>
      <w:r w:rsidRPr="00FA0D37">
        <w:rPr>
          <w:rFonts w:eastAsiaTheme="minorEastAsia"/>
          <w:color w:val="993366"/>
        </w:rPr>
        <w:t>SEQUENCE</w:t>
      </w:r>
      <w:r w:rsidRPr="00FA0D37">
        <w:t xml:space="preserve"> {</w:t>
      </w:r>
    </w:p>
    <w:p w14:paraId="6C7BFCFB" w14:textId="77777777" w:rsidR="00394471" w:rsidRPr="00FA0D37" w:rsidRDefault="00394471" w:rsidP="00FA0D37">
      <w:pPr>
        <w:pStyle w:val="PL"/>
      </w:pPr>
      <w:r w:rsidRPr="00FA0D37">
        <w:t xml:space="preserve">    maxNumberLongPUCCHs-r16                         </w:t>
      </w:r>
      <w:r w:rsidRPr="00FA0D37">
        <w:rPr>
          <w:color w:val="993366"/>
        </w:rPr>
        <w:t>ENUMERATED</w:t>
      </w:r>
      <w:r w:rsidRPr="00FA0D37">
        <w:t xml:space="preserve"> {longAndLong, longAndShort, shortAndShort}    </w:t>
      </w:r>
      <w:r w:rsidRPr="00FA0D37">
        <w:rPr>
          <w:color w:val="993366"/>
        </w:rPr>
        <w:t>OPTIONAL</w:t>
      </w:r>
    </w:p>
    <w:p w14:paraId="6BA52257" w14:textId="77777777" w:rsidR="00394471" w:rsidRPr="00FA0D37" w:rsidRDefault="00394471" w:rsidP="00FA0D37">
      <w:pPr>
        <w:pStyle w:val="PL"/>
      </w:pPr>
      <w:r w:rsidRPr="00FA0D37">
        <w:t xml:space="preserve">    }                                                                               </w:t>
      </w:r>
      <w:r w:rsidRPr="00FA0D37">
        <w:rPr>
          <w:color w:val="993366"/>
        </w:rPr>
        <w:t>OPTIONAL</w:t>
      </w:r>
      <w:r w:rsidRPr="00FA0D37">
        <w:t>,</w:t>
      </w:r>
    </w:p>
    <w:p w14:paraId="392358DE" w14:textId="667E3DEE" w:rsidR="00394471" w:rsidRPr="00FA0D37" w:rsidRDefault="00394471" w:rsidP="00FA0D37">
      <w:pPr>
        <w:pStyle w:val="PL"/>
        <w:rPr>
          <w:color w:val="808080"/>
        </w:rPr>
      </w:pPr>
      <w:r w:rsidRPr="00FA0D37">
        <w:t xml:space="preserve">    </w:t>
      </w:r>
      <w:r w:rsidRPr="00FA0D37">
        <w:rPr>
          <w:color w:val="808080"/>
        </w:rPr>
        <w:t xml:space="preserve">-- R1 16-2a-4: HARQ-ACK for multi-DCI based multi-TRP </w:t>
      </w:r>
      <w:r w:rsidR="00EE46AC" w:rsidRPr="00FA0D37">
        <w:rPr>
          <w:color w:val="808080"/>
        </w:rPr>
        <w:t>-</w:t>
      </w:r>
      <w:r w:rsidRPr="00FA0D37">
        <w:rPr>
          <w:color w:val="808080"/>
        </w:rPr>
        <w:t xml:space="preserve"> joint</w:t>
      </w:r>
    </w:p>
    <w:p w14:paraId="1C1520D5" w14:textId="77777777" w:rsidR="00394471" w:rsidRPr="00FA0D37" w:rsidRDefault="00394471" w:rsidP="00FA0D37">
      <w:pPr>
        <w:pStyle w:val="PL"/>
      </w:pPr>
      <w:r w:rsidRPr="00FA0D37">
        <w:t xml:space="preserve">    harqACK-jointMultiDCI-MultiTRP-r16          </w:t>
      </w:r>
      <w:r w:rsidRPr="00FA0D37">
        <w:rPr>
          <w:color w:val="993366"/>
        </w:rPr>
        <w:t>ENUMERATED</w:t>
      </w:r>
      <w:r w:rsidRPr="00FA0D37">
        <w:t xml:space="preserve"> {supported}              </w:t>
      </w:r>
      <w:r w:rsidRPr="00FA0D37">
        <w:rPr>
          <w:color w:val="993366"/>
        </w:rPr>
        <w:t>OPTIONAL</w:t>
      </w:r>
      <w:r w:rsidRPr="00FA0D37">
        <w:t>,</w:t>
      </w:r>
    </w:p>
    <w:p w14:paraId="7199393B" w14:textId="77777777" w:rsidR="00394471" w:rsidRPr="00FA0D37" w:rsidRDefault="00394471" w:rsidP="00FA0D37">
      <w:pPr>
        <w:pStyle w:val="PL"/>
        <w:rPr>
          <w:color w:val="808080"/>
        </w:rPr>
      </w:pPr>
      <w:r w:rsidRPr="00FA0D37">
        <w:t xml:space="preserve">    </w:t>
      </w:r>
      <w:r w:rsidRPr="00FA0D37">
        <w:rPr>
          <w:color w:val="808080"/>
        </w:rPr>
        <w:t>-- R4 9-1: BWP switching on multiple CCs RRM requirements</w:t>
      </w:r>
    </w:p>
    <w:p w14:paraId="1E3592EF" w14:textId="77777777" w:rsidR="00394471" w:rsidRPr="00FA0D37" w:rsidRDefault="00394471" w:rsidP="00FA0D37">
      <w:pPr>
        <w:pStyle w:val="PL"/>
      </w:pPr>
      <w:r w:rsidRPr="00FA0D37">
        <w:t xml:space="preserve">    bwp-SwitchingMultiCCs-r16                   </w:t>
      </w:r>
      <w:r w:rsidRPr="00FA0D37">
        <w:rPr>
          <w:color w:val="993366"/>
        </w:rPr>
        <w:t>CHOICE</w:t>
      </w:r>
      <w:r w:rsidRPr="00FA0D37">
        <w:t xml:space="preserve"> {</w:t>
      </w:r>
    </w:p>
    <w:p w14:paraId="0852901A" w14:textId="77777777" w:rsidR="00394471" w:rsidRPr="00FA0D37" w:rsidRDefault="00394471" w:rsidP="00FA0D37">
      <w:pPr>
        <w:pStyle w:val="PL"/>
      </w:pPr>
      <w:r w:rsidRPr="00FA0D37">
        <w:t xml:space="preserve">        type1-r16                                   </w:t>
      </w:r>
      <w:r w:rsidRPr="00FA0D37">
        <w:rPr>
          <w:color w:val="993366"/>
        </w:rPr>
        <w:t>ENUMERATED</w:t>
      </w:r>
      <w:r w:rsidRPr="00FA0D37">
        <w:t xml:space="preserve"> {us100, us200},</w:t>
      </w:r>
    </w:p>
    <w:p w14:paraId="626EEE8A" w14:textId="77777777" w:rsidR="00394471" w:rsidRPr="00FA0D37" w:rsidRDefault="00394471" w:rsidP="00FA0D37">
      <w:pPr>
        <w:pStyle w:val="PL"/>
      </w:pPr>
      <w:r w:rsidRPr="00FA0D37">
        <w:t xml:space="preserve">        type2-r16                                   </w:t>
      </w:r>
      <w:r w:rsidRPr="00FA0D37">
        <w:rPr>
          <w:color w:val="993366"/>
        </w:rPr>
        <w:t>ENUMERATED</w:t>
      </w:r>
      <w:r w:rsidRPr="00FA0D37">
        <w:t xml:space="preserve"> {us200, us400, us800, us1000}</w:t>
      </w:r>
    </w:p>
    <w:p w14:paraId="54C20DB5" w14:textId="77777777" w:rsidR="00394471" w:rsidRPr="00FA0D37" w:rsidRDefault="00394471" w:rsidP="00FA0D37">
      <w:pPr>
        <w:pStyle w:val="PL"/>
      </w:pPr>
      <w:r w:rsidRPr="00FA0D37">
        <w:t xml:space="preserve">    }                                                                               </w:t>
      </w:r>
      <w:r w:rsidRPr="00FA0D37">
        <w:rPr>
          <w:color w:val="993366"/>
        </w:rPr>
        <w:t>OPTIONAL</w:t>
      </w:r>
    </w:p>
    <w:p w14:paraId="0675724C" w14:textId="566F8E5C" w:rsidR="00D027C1" w:rsidRPr="00FA0D37" w:rsidRDefault="00394471" w:rsidP="00FA0D37">
      <w:pPr>
        <w:pStyle w:val="PL"/>
      </w:pPr>
      <w:r w:rsidRPr="00FA0D37">
        <w:t xml:space="preserve">    ]]</w:t>
      </w:r>
      <w:r w:rsidR="00D027C1" w:rsidRPr="00FA0D37">
        <w:t>,</w:t>
      </w:r>
    </w:p>
    <w:p w14:paraId="62AE6EBA" w14:textId="7A4A3049" w:rsidR="00D027C1" w:rsidRPr="00FA0D37" w:rsidRDefault="00D027C1" w:rsidP="00FA0D37">
      <w:pPr>
        <w:pStyle w:val="PL"/>
      </w:pPr>
      <w:r w:rsidRPr="00FA0D37">
        <w:t xml:space="preserve">    [[</w:t>
      </w:r>
    </w:p>
    <w:p w14:paraId="58DAD157" w14:textId="38BFDC02" w:rsidR="00D027C1" w:rsidRPr="00FA0D37" w:rsidRDefault="00D027C1" w:rsidP="00FA0D37">
      <w:pPr>
        <w:pStyle w:val="PL"/>
      </w:pPr>
      <w:r w:rsidRPr="00FA0D37">
        <w:t xml:space="preserve">    targetSMTC-SCG-r16                          </w:t>
      </w:r>
      <w:r w:rsidRPr="00FA0D37">
        <w:rPr>
          <w:color w:val="993366"/>
        </w:rPr>
        <w:t>ENUMERATED</w:t>
      </w:r>
      <w:r w:rsidRPr="00FA0D37">
        <w:t xml:space="preserve"> {supported}              </w:t>
      </w:r>
      <w:r w:rsidRPr="00FA0D37">
        <w:rPr>
          <w:color w:val="993366"/>
        </w:rPr>
        <w:t>OPTIONAL</w:t>
      </w:r>
      <w:r w:rsidRPr="00FA0D37">
        <w:t>,</w:t>
      </w:r>
    </w:p>
    <w:p w14:paraId="5D9DEA38" w14:textId="3724E462" w:rsidR="00D027C1" w:rsidRPr="00FA0D37" w:rsidRDefault="00D027C1" w:rsidP="00FA0D37">
      <w:pPr>
        <w:pStyle w:val="PL"/>
      </w:pPr>
      <w:r w:rsidRPr="00FA0D37">
        <w:t xml:space="preserve">    supportRepetitionZeroOffsetRV-r16           </w:t>
      </w:r>
      <w:r w:rsidRPr="00FA0D37">
        <w:rPr>
          <w:color w:val="993366"/>
        </w:rPr>
        <w:t>ENUMERATED</w:t>
      </w:r>
      <w:r w:rsidRPr="00FA0D37">
        <w:t xml:space="preserve"> {supported}              </w:t>
      </w:r>
      <w:r w:rsidRPr="00FA0D37">
        <w:rPr>
          <w:color w:val="993366"/>
        </w:rPr>
        <w:t>OPTIONAL</w:t>
      </w:r>
      <w:r w:rsidRPr="00FA0D37">
        <w:t>,</w:t>
      </w:r>
    </w:p>
    <w:p w14:paraId="0E2F4A9A" w14:textId="77777777" w:rsidR="00D027C1" w:rsidRPr="00FA0D37" w:rsidRDefault="00D027C1" w:rsidP="00FA0D37">
      <w:pPr>
        <w:pStyle w:val="PL"/>
        <w:rPr>
          <w:color w:val="808080"/>
        </w:rPr>
      </w:pPr>
      <w:r w:rsidRPr="00FA0D37">
        <w:t xml:space="preserve">    </w:t>
      </w:r>
      <w:r w:rsidRPr="00FA0D37">
        <w:rPr>
          <w:color w:val="808080"/>
        </w:rPr>
        <w:t>-- R1 11-12: in-order CBG-based re-transmission</w:t>
      </w:r>
    </w:p>
    <w:p w14:paraId="474DAAC5" w14:textId="653E001D" w:rsidR="00D027C1" w:rsidRPr="00FA0D37" w:rsidRDefault="00D027C1" w:rsidP="00FA0D37">
      <w:pPr>
        <w:pStyle w:val="PL"/>
      </w:pPr>
      <w:r w:rsidRPr="00FA0D37">
        <w:t xml:space="preserve">    cbg-TransInOrderPUSCH-UL-r16                </w:t>
      </w:r>
      <w:r w:rsidRPr="00FA0D37">
        <w:rPr>
          <w:color w:val="993366"/>
        </w:rPr>
        <w:t>ENUMERATED</w:t>
      </w:r>
      <w:r w:rsidRPr="00FA0D37">
        <w:t xml:space="preserve"> {supported}              </w:t>
      </w:r>
      <w:r w:rsidRPr="00FA0D37">
        <w:rPr>
          <w:color w:val="993366"/>
        </w:rPr>
        <w:t>OPTIONAL</w:t>
      </w:r>
    </w:p>
    <w:p w14:paraId="1E60972E" w14:textId="1B588C58" w:rsidR="00E13240" w:rsidRPr="00FA0D37" w:rsidRDefault="00D027C1" w:rsidP="00FA0D37">
      <w:pPr>
        <w:pStyle w:val="PL"/>
      </w:pPr>
      <w:r w:rsidRPr="00FA0D37">
        <w:t xml:space="preserve">    ]]</w:t>
      </w:r>
      <w:r w:rsidR="00E13240" w:rsidRPr="00FA0D37">
        <w:t>,</w:t>
      </w:r>
    </w:p>
    <w:p w14:paraId="7A947F66" w14:textId="77777777" w:rsidR="00E13240" w:rsidRPr="00FA0D37" w:rsidRDefault="00E13240" w:rsidP="00FA0D37">
      <w:pPr>
        <w:pStyle w:val="PL"/>
      </w:pPr>
      <w:r w:rsidRPr="00FA0D37">
        <w:t xml:space="preserve">    [[</w:t>
      </w:r>
    </w:p>
    <w:p w14:paraId="2DE85508" w14:textId="77777777" w:rsidR="00E13240" w:rsidRPr="00FA0D37" w:rsidRDefault="00E13240" w:rsidP="00FA0D37">
      <w:pPr>
        <w:pStyle w:val="PL"/>
        <w:rPr>
          <w:color w:val="808080"/>
        </w:rPr>
      </w:pPr>
      <w:r w:rsidRPr="00FA0D37">
        <w:t xml:space="preserve">    </w:t>
      </w:r>
      <w:r w:rsidRPr="00FA0D37">
        <w:rPr>
          <w:color w:val="808080"/>
        </w:rPr>
        <w:t>-- R4 6-3: Dormant BWP switching on multiple CCs RRM requirements</w:t>
      </w:r>
    </w:p>
    <w:p w14:paraId="4512D9D0" w14:textId="77777777" w:rsidR="00E13240" w:rsidRPr="00FA0D37" w:rsidRDefault="00E13240" w:rsidP="00FA0D37">
      <w:pPr>
        <w:pStyle w:val="PL"/>
      </w:pPr>
      <w:r w:rsidRPr="00FA0D37">
        <w:t xml:space="preserve">    bwp-SwitchingMultiDormancyCCs-r16           </w:t>
      </w:r>
      <w:r w:rsidRPr="00FA0D37">
        <w:rPr>
          <w:color w:val="993366"/>
        </w:rPr>
        <w:t>CHOICE</w:t>
      </w:r>
      <w:r w:rsidRPr="00FA0D37">
        <w:t xml:space="preserve"> {</w:t>
      </w:r>
    </w:p>
    <w:p w14:paraId="7F3AEC75" w14:textId="77777777" w:rsidR="00E13240" w:rsidRPr="00FA0D37" w:rsidRDefault="00E13240" w:rsidP="00FA0D37">
      <w:pPr>
        <w:pStyle w:val="PL"/>
      </w:pPr>
      <w:r w:rsidRPr="00FA0D37">
        <w:t xml:space="preserve">        type1-r16                                   </w:t>
      </w:r>
      <w:r w:rsidRPr="00FA0D37">
        <w:rPr>
          <w:color w:val="993366"/>
        </w:rPr>
        <w:t>ENUMERATED</w:t>
      </w:r>
      <w:r w:rsidRPr="00FA0D37">
        <w:t xml:space="preserve"> {us100, us200},</w:t>
      </w:r>
    </w:p>
    <w:p w14:paraId="128E33ED" w14:textId="77777777" w:rsidR="00E13240" w:rsidRPr="00FA0D37" w:rsidRDefault="00E13240" w:rsidP="00FA0D37">
      <w:pPr>
        <w:pStyle w:val="PL"/>
      </w:pPr>
      <w:r w:rsidRPr="00FA0D37">
        <w:t xml:space="preserve">        type2-r16                                   </w:t>
      </w:r>
      <w:r w:rsidRPr="00FA0D37">
        <w:rPr>
          <w:color w:val="993366"/>
        </w:rPr>
        <w:t>ENUMERATED</w:t>
      </w:r>
      <w:r w:rsidRPr="00FA0D37">
        <w:t xml:space="preserve"> {us200, us400, us800, us1000}</w:t>
      </w:r>
    </w:p>
    <w:p w14:paraId="746AC277" w14:textId="0D04896F" w:rsidR="00E13240" w:rsidRPr="00FA0D37" w:rsidRDefault="00E13240" w:rsidP="00FA0D37">
      <w:pPr>
        <w:pStyle w:val="PL"/>
      </w:pPr>
      <w:r w:rsidRPr="00FA0D37">
        <w:t xml:space="preserve">    }                                                                               </w:t>
      </w:r>
      <w:r w:rsidRPr="00FA0D37">
        <w:rPr>
          <w:color w:val="993366"/>
        </w:rPr>
        <w:t>OPTIONAL</w:t>
      </w:r>
      <w:r w:rsidR="00AB02D4" w:rsidRPr="00FA0D37">
        <w:t>,</w:t>
      </w:r>
    </w:p>
    <w:p w14:paraId="1C1FAB67" w14:textId="77777777" w:rsidR="00D649D6" w:rsidRPr="00FA0D37" w:rsidRDefault="00D649D6" w:rsidP="00FA0D37">
      <w:pPr>
        <w:pStyle w:val="PL"/>
        <w:rPr>
          <w:color w:val="808080"/>
        </w:rPr>
      </w:pPr>
      <w:r w:rsidRPr="00FA0D37">
        <w:t xml:space="preserve">    </w:t>
      </w:r>
      <w:r w:rsidRPr="00FA0D37">
        <w:rPr>
          <w:color w:val="808080"/>
        </w:rPr>
        <w:t>-- R1 16-2a-8: Indicates that retransmission scheduled by a different CORESETPoolIndex for multi-DCI multi-TRP is not supported.</w:t>
      </w:r>
    </w:p>
    <w:p w14:paraId="05FF6065" w14:textId="7E8513AF" w:rsidR="00D649D6" w:rsidRPr="00FA0D37" w:rsidRDefault="00D649D6" w:rsidP="00FA0D37">
      <w:pPr>
        <w:pStyle w:val="PL"/>
      </w:pPr>
      <w:r w:rsidRPr="00FA0D37">
        <w:t xml:space="preserve">    supportRetx-Diff-CoresetPool-Multi-DCI-TRP-r16               </w:t>
      </w:r>
      <w:r w:rsidRPr="00FA0D37">
        <w:rPr>
          <w:color w:val="993366"/>
        </w:rPr>
        <w:t>ENUMERATED</w:t>
      </w:r>
      <w:r w:rsidRPr="00FA0D37">
        <w:t xml:space="preserve"> {notSupported}          </w:t>
      </w:r>
      <w:r w:rsidRPr="00FA0D37">
        <w:rPr>
          <w:color w:val="993366"/>
        </w:rPr>
        <w:t>OPTIONAL</w:t>
      </w:r>
      <w:r w:rsidRPr="00FA0D37">
        <w:t>,</w:t>
      </w:r>
    </w:p>
    <w:p w14:paraId="3121AB3B" w14:textId="45E9ED0B" w:rsidR="00D649D6" w:rsidRPr="00FA0D37" w:rsidRDefault="00D649D6" w:rsidP="00FA0D37">
      <w:pPr>
        <w:pStyle w:val="PL"/>
        <w:rPr>
          <w:color w:val="808080"/>
        </w:rPr>
      </w:pPr>
      <w:r w:rsidRPr="00FA0D37">
        <w:t xml:space="preserve">    </w:t>
      </w:r>
      <w:r w:rsidRPr="00FA0D37">
        <w:rPr>
          <w:color w:val="808080"/>
        </w:rPr>
        <w:t>-- R1 22-10: Support of pdcch-MonitoringAnyOccasionsWithSpanGap in case of cross-carrier scheduling with different SCSs</w:t>
      </w:r>
    </w:p>
    <w:p w14:paraId="73B2B42C" w14:textId="4EE6923D" w:rsidR="00D649D6" w:rsidRPr="00FA0D37" w:rsidRDefault="00D649D6" w:rsidP="00FA0D37">
      <w:pPr>
        <w:pStyle w:val="PL"/>
      </w:pPr>
      <w:r w:rsidRPr="00FA0D37">
        <w:t xml:space="preserve">    pdcch-MonitoringAnyOccasionsWithSpanGapCrossCarrierSch-r16   </w:t>
      </w:r>
      <w:r w:rsidRPr="00FA0D37">
        <w:rPr>
          <w:color w:val="993366"/>
        </w:rPr>
        <w:t>ENUMERATED</w:t>
      </w:r>
      <w:r w:rsidRPr="00FA0D37">
        <w:t xml:space="preserve"> {mode2, mode3}          </w:t>
      </w:r>
      <w:r w:rsidRPr="00FA0D37">
        <w:rPr>
          <w:color w:val="993366"/>
        </w:rPr>
        <w:t>OPTIONAL</w:t>
      </w:r>
    </w:p>
    <w:p w14:paraId="279F3BF5" w14:textId="19FFA367" w:rsidR="00101E4C" w:rsidRPr="00FA0D37" w:rsidRDefault="00D649D6" w:rsidP="00FA0D37">
      <w:pPr>
        <w:pStyle w:val="PL"/>
      </w:pPr>
      <w:r w:rsidRPr="00FA0D37">
        <w:t xml:space="preserve">    ]]</w:t>
      </w:r>
      <w:r w:rsidR="00101E4C" w:rsidRPr="00FA0D37">
        <w:t>,</w:t>
      </w:r>
    </w:p>
    <w:p w14:paraId="22CBDFDA" w14:textId="117CB650" w:rsidR="00101E4C" w:rsidRPr="00FA0D37" w:rsidRDefault="00101E4C" w:rsidP="00FA0D37">
      <w:pPr>
        <w:pStyle w:val="PL"/>
      </w:pPr>
      <w:r w:rsidRPr="00FA0D37">
        <w:t xml:space="preserve">    [[</w:t>
      </w:r>
    </w:p>
    <w:p w14:paraId="02576A5E" w14:textId="48B5ED84" w:rsidR="00101E4C" w:rsidRPr="00FA0D37" w:rsidRDefault="00101E4C" w:rsidP="00FA0D37">
      <w:pPr>
        <w:pStyle w:val="PL"/>
        <w:rPr>
          <w:color w:val="808080"/>
        </w:rPr>
      </w:pPr>
      <w:r w:rsidRPr="00FA0D37">
        <w:t xml:space="preserve">    </w:t>
      </w:r>
      <w:r w:rsidRPr="00FA0D37">
        <w:rPr>
          <w:color w:val="808080"/>
        </w:rPr>
        <w:t>-- R1 16-1j-1: Support of 2 port CSI-RS for new beam identification</w:t>
      </w:r>
    </w:p>
    <w:p w14:paraId="6E984627" w14:textId="04B8AD28" w:rsidR="00101E4C" w:rsidRPr="00FA0D37" w:rsidRDefault="00101E4C" w:rsidP="00FA0D37">
      <w:pPr>
        <w:pStyle w:val="PL"/>
      </w:pPr>
      <w:r w:rsidRPr="00FA0D37">
        <w:t xml:space="preserve">    newBeamIdentifications2PortCSI-RS-r16       </w:t>
      </w:r>
      <w:r w:rsidRPr="00FA0D37">
        <w:rPr>
          <w:color w:val="993366"/>
        </w:rPr>
        <w:t>ENUMERATED</w:t>
      </w:r>
      <w:r w:rsidRPr="00FA0D37">
        <w:t xml:space="preserve"> {supported}              </w:t>
      </w:r>
      <w:r w:rsidRPr="00FA0D37">
        <w:rPr>
          <w:color w:val="993366"/>
        </w:rPr>
        <w:t>OPTIONAL</w:t>
      </w:r>
      <w:r w:rsidRPr="00FA0D37">
        <w:t>,</w:t>
      </w:r>
    </w:p>
    <w:p w14:paraId="62C8343D" w14:textId="43518AC3" w:rsidR="00101E4C" w:rsidRPr="00FA0D37" w:rsidRDefault="00101E4C" w:rsidP="00FA0D37">
      <w:pPr>
        <w:pStyle w:val="PL"/>
        <w:rPr>
          <w:color w:val="808080"/>
        </w:rPr>
      </w:pPr>
      <w:r w:rsidRPr="00FA0D37">
        <w:t xml:space="preserve">    </w:t>
      </w:r>
      <w:r w:rsidRPr="00FA0D37">
        <w:rPr>
          <w:color w:val="808080"/>
        </w:rPr>
        <w:t>-- R1 16-1j-2: Support of 2 port CSI-RS for pathloss estimation</w:t>
      </w:r>
    </w:p>
    <w:p w14:paraId="3588F27C" w14:textId="2614D7C4" w:rsidR="00101E4C" w:rsidRPr="00FA0D37" w:rsidRDefault="00101E4C" w:rsidP="00FA0D37">
      <w:pPr>
        <w:pStyle w:val="PL"/>
      </w:pPr>
      <w:r w:rsidRPr="00FA0D37">
        <w:t xml:space="preserve">    pathlossEstimation2PortCSI-RS-r16           </w:t>
      </w:r>
      <w:r w:rsidRPr="00FA0D37">
        <w:rPr>
          <w:color w:val="993366"/>
        </w:rPr>
        <w:t>ENUMERATED</w:t>
      </w:r>
      <w:r w:rsidRPr="00FA0D37">
        <w:t xml:space="preserve"> {supported}              </w:t>
      </w:r>
      <w:r w:rsidRPr="00FA0D37">
        <w:rPr>
          <w:color w:val="993366"/>
        </w:rPr>
        <w:t>OPTIONAL</w:t>
      </w:r>
    </w:p>
    <w:p w14:paraId="29C4915A" w14:textId="309429D5" w:rsidR="00022DF1" w:rsidRPr="00FA0D37" w:rsidRDefault="00101E4C" w:rsidP="00FA0D37">
      <w:pPr>
        <w:pStyle w:val="PL"/>
      </w:pPr>
      <w:r w:rsidRPr="00FA0D37">
        <w:t xml:space="preserve">    ]]</w:t>
      </w:r>
      <w:r w:rsidR="00022DF1" w:rsidRPr="00FA0D37">
        <w:t>,</w:t>
      </w:r>
    </w:p>
    <w:p w14:paraId="13115520" w14:textId="77777777" w:rsidR="00794F2A" w:rsidRPr="00FA0D37" w:rsidRDefault="00794F2A" w:rsidP="00FA0D37">
      <w:pPr>
        <w:pStyle w:val="PL"/>
      </w:pPr>
      <w:r w:rsidRPr="00FA0D37">
        <w:t xml:space="preserve">    [[</w:t>
      </w:r>
    </w:p>
    <w:p w14:paraId="1AFB6D97" w14:textId="77777777" w:rsidR="00794F2A" w:rsidRPr="00FA0D37" w:rsidRDefault="00794F2A" w:rsidP="00FA0D37">
      <w:pPr>
        <w:pStyle w:val="PL"/>
      </w:pPr>
      <w:r w:rsidRPr="00FA0D37">
        <w:t xml:space="preserve">    mux-HARQ-ACK-withoutPUCCH-onPUSCH-r16       </w:t>
      </w:r>
      <w:r w:rsidRPr="00FA0D37">
        <w:rPr>
          <w:color w:val="993366"/>
        </w:rPr>
        <w:t>ENUMERATED</w:t>
      </w:r>
      <w:r w:rsidRPr="00FA0D37">
        <w:t xml:space="preserve"> {supported}              </w:t>
      </w:r>
      <w:r w:rsidRPr="00FA0D37">
        <w:rPr>
          <w:color w:val="993366"/>
        </w:rPr>
        <w:t>OPTIONAL</w:t>
      </w:r>
    </w:p>
    <w:p w14:paraId="3AA7FFD7" w14:textId="77777777" w:rsidR="00794F2A" w:rsidRPr="00FA0D37" w:rsidRDefault="00794F2A" w:rsidP="00FA0D37">
      <w:pPr>
        <w:pStyle w:val="PL"/>
      </w:pPr>
      <w:r w:rsidRPr="00FA0D37">
        <w:t xml:space="preserve">    ]],</w:t>
      </w:r>
    </w:p>
    <w:p w14:paraId="7508E0FD" w14:textId="2AA900E5" w:rsidR="00022DF1" w:rsidRPr="00FA0D37" w:rsidRDefault="00022DF1" w:rsidP="00FA0D37">
      <w:pPr>
        <w:pStyle w:val="PL"/>
      </w:pPr>
      <w:r w:rsidRPr="00FA0D37">
        <w:t xml:space="preserve">    [[</w:t>
      </w:r>
    </w:p>
    <w:p w14:paraId="70AC4C0F" w14:textId="179FF869" w:rsidR="00022DF1" w:rsidRPr="00FA0D37" w:rsidRDefault="00022DF1" w:rsidP="00FA0D37">
      <w:pPr>
        <w:pStyle w:val="PL"/>
        <w:rPr>
          <w:color w:val="808080"/>
        </w:rPr>
      </w:pPr>
      <w:r w:rsidRPr="00FA0D37">
        <w:t xml:space="preserve">    </w:t>
      </w:r>
      <w:r w:rsidRPr="00FA0D37">
        <w:rPr>
          <w:color w:val="808080"/>
        </w:rPr>
        <w:t>-- R1 31-1: Support of Desired Guard Symbol reporting and provided guard symbol reception.</w:t>
      </w:r>
    </w:p>
    <w:p w14:paraId="1CEEC8EC" w14:textId="3FE651D8" w:rsidR="00022DF1" w:rsidRPr="00FA0D37" w:rsidRDefault="00022DF1" w:rsidP="00FA0D37">
      <w:pPr>
        <w:pStyle w:val="PL"/>
      </w:pPr>
      <w:r w:rsidRPr="00FA0D37">
        <w:t xml:space="preserve">    guardSymbolReportReception-IAB-r17          </w:t>
      </w:r>
      <w:r w:rsidRPr="00FA0D37">
        <w:rPr>
          <w:color w:val="993366"/>
        </w:rPr>
        <w:t>ENUMERATED</w:t>
      </w:r>
      <w:r w:rsidRPr="00FA0D37">
        <w:t xml:space="preserve"> {supported}              </w:t>
      </w:r>
      <w:r w:rsidRPr="00FA0D37">
        <w:rPr>
          <w:color w:val="993366"/>
        </w:rPr>
        <w:t>OPTIONAL</w:t>
      </w:r>
      <w:r w:rsidRPr="00FA0D37">
        <w:t>,</w:t>
      </w:r>
    </w:p>
    <w:p w14:paraId="0F9EC7C0" w14:textId="4B39649D" w:rsidR="00022DF1" w:rsidRPr="00FA0D37" w:rsidRDefault="00022DF1" w:rsidP="00FA0D37">
      <w:pPr>
        <w:pStyle w:val="PL"/>
        <w:rPr>
          <w:color w:val="808080"/>
        </w:rPr>
      </w:pPr>
      <w:r w:rsidRPr="00FA0D37">
        <w:t xml:space="preserve">    </w:t>
      </w:r>
      <w:r w:rsidRPr="00FA0D37">
        <w:rPr>
          <w:color w:val="808080"/>
        </w:rPr>
        <w:t>-- R1 31-2: support of restricted IAB-DU beam reception</w:t>
      </w:r>
    </w:p>
    <w:p w14:paraId="5961C533" w14:textId="654DCE7B" w:rsidR="00022DF1" w:rsidRPr="00FA0D37" w:rsidRDefault="00022DF1" w:rsidP="00FA0D37">
      <w:pPr>
        <w:pStyle w:val="PL"/>
      </w:pPr>
      <w:r w:rsidRPr="00FA0D37">
        <w:t xml:space="preserve">    restricted-IAB-DU-BeamReception-r17         </w:t>
      </w:r>
      <w:r w:rsidRPr="00FA0D37">
        <w:rPr>
          <w:color w:val="993366"/>
        </w:rPr>
        <w:t>ENUMERATED</w:t>
      </w:r>
      <w:r w:rsidRPr="00FA0D37">
        <w:t xml:space="preserve"> {supported}              </w:t>
      </w:r>
      <w:r w:rsidRPr="00FA0D37">
        <w:rPr>
          <w:color w:val="993366"/>
        </w:rPr>
        <w:t>OPTIONAL</w:t>
      </w:r>
      <w:r w:rsidRPr="00FA0D37">
        <w:t>,</w:t>
      </w:r>
    </w:p>
    <w:p w14:paraId="16D71510" w14:textId="176F0487" w:rsidR="00022DF1" w:rsidRPr="00FA0D37" w:rsidRDefault="00022DF1" w:rsidP="00FA0D37">
      <w:pPr>
        <w:pStyle w:val="PL"/>
        <w:rPr>
          <w:color w:val="808080"/>
        </w:rPr>
      </w:pPr>
      <w:r w:rsidRPr="00FA0D37">
        <w:t xml:space="preserve">    </w:t>
      </w:r>
      <w:r w:rsidRPr="00FA0D37">
        <w:rPr>
          <w:color w:val="808080"/>
        </w:rPr>
        <w:t>-- R1 31-3: support of recommended IAB-MT beam transmission for DL and UL beam</w:t>
      </w:r>
    </w:p>
    <w:p w14:paraId="544FD0FE" w14:textId="44DD3C56" w:rsidR="00022DF1" w:rsidRPr="00FA0D37" w:rsidRDefault="00022DF1" w:rsidP="00FA0D37">
      <w:pPr>
        <w:pStyle w:val="PL"/>
      </w:pPr>
      <w:r w:rsidRPr="00FA0D37">
        <w:t xml:space="preserve">    recommended-IAB-MT-BeamTransmission-r17     </w:t>
      </w:r>
      <w:r w:rsidRPr="00FA0D37">
        <w:rPr>
          <w:color w:val="993366"/>
        </w:rPr>
        <w:t>ENUMERATED</w:t>
      </w:r>
      <w:r w:rsidRPr="00FA0D37">
        <w:t xml:space="preserve"> {supported}              </w:t>
      </w:r>
      <w:r w:rsidRPr="00FA0D37">
        <w:rPr>
          <w:color w:val="993366"/>
        </w:rPr>
        <w:t>OPTIONAL</w:t>
      </w:r>
      <w:r w:rsidRPr="00FA0D37">
        <w:t>,</w:t>
      </w:r>
    </w:p>
    <w:p w14:paraId="1511735F" w14:textId="27D2D7AD" w:rsidR="00022DF1" w:rsidRPr="00FA0D37" w:rsidRDefault="00022DF1" w:rsidP="00FA0D37">
      <w:pPr>
        <w:pStyle w:val="PL"/>
        <w:rPr>
          <w:color w:val="808080"/>
        </w:rPr>
      </w:pPr>
      <w:r w:rsidRPr="00FA0D37">
        <w:t xml:space="preserve">    </w:t>
      </w:r>
      <w:r w:rsidRPr="00FA0D37">
        <w:rPr>
          <w:color w:val="808080"/>
        </w:rPr>
        <w:t>-- R1 31-4: support of case 6 timing alignment indication reception</w:t>
      </w:r>
    </w:p>
    <w:p w14:paraId="5983C7D8" w14:textId="4CDA44E1" w:rsidR="00022DF1" w:rsidRPr="00FA0D37" w:rsidRDefault="00022DF1" w:rsidP="00FA0D37">
      <w:pPr>
        <w:pStyle w:val="PL"/>
      </w:pPr>
      <w:r w:rsidRPr="00FA0D37">
        <w:t xml:space="preserve">    case6-TimingAlignmentReception-IAB-r17      </w:t>
      </w:r>
      <w:r w:rsidRPr="00FA0D37">
        <w:rPr>
          <w:color w:val="993366"/>
        </w:rPr>
        <w:t>ENUMERATED</w:t>
      </w:r>
      <w:r w:rsidRPr="00FA0D37">
        <w:t xml:space="preserve"> {supported}              </w:t>
      </w:r>
      <w:r w:rsidRPr="00FA0D37">
        <w:rPr>
          <w:color w:val="993366"/>
        </w:rPr>
        <w:t>OPTIONAL</w:t>
      </w:r>
      <w:r w:rsidRPr="00FA0D37">
        <w:t>,</w:t>
      </w:r>
    </w:p>
    <w:p w14:paraId="2F969C7C" w14:textId="311AB377" w:rsidR="00022DF1" w:rsidRPr="00FA0D37" w:rsidRDefault="00022DF1" w:rsidP="00FA0D37">
      <w:pPr>
        <w:pStyle w:val="PL"/>
        <w:rPr>
          <w:color w:val="808080"/>
        </w:rPr>
      </w:pPr>
      <w:r w:rsidRPr="00FA0D37">
        <w:t xml:space="preserve">    </w:t>
      </w:r>
      <w:r w:rsidRPr="00FA0D37">
        <w:rPr>
          <w:color w:val="808080"/>
        </w:rPr>
        <w:t>-- R1 31-5: support of case 7 timing offset indication reception and case 7 timing at parent-node indication reception</w:t>
      </w:r>
    </w:p>
    <w:p w14:paraId="3FFE13EB" w14:textId="6A422FDA" w:rsidR="00022DF1" w:rsidRPr="00FA0D37" w:rsidRDefault="00022DF1" w:rsidP="00FA0D37">
      <w:pPr>
        <w:pStyle w:val="PL"/>
      </w:pPr>
      <w:r w:rsidRPr="00FA0D37">
        <w:lastRenderedPageBreak/>
        <w:t xml:space="preserve">    case7-TimingAlignmentReception-IAB-r17      </w:t>
      </w:r>
      <w:r w:rsidRPr="00FA0D37">
        <w:rPr>
          <w:color w:val="993366"/>
        </w:rPr>
        <w:t>ENUMERATED</w:t>
      </w:r>
      <w:r w:rsidRPr="00FA0D37">
        <w:t xml:space="preserve"> {supported}              </w:t>
      </w:r>
      <w:r w:rsidRPr="00FA0D37">
        <w:rPr>
          <w:color w:val="993366"/>
        </w:rPr>
        <w:t>OPTIONAL</w:t>
      </w:r>
      <w:r w:rsidRPr="00FA0D37">
        <w:t>,</w:t>
      </w:r>
    </w:p>
    <w:p w14:paraId="114EF42B" w14:textId="6A11A060" w:rsidR="00022DF1" w:rsidRPr="00FA0D37" w:rsidRDefault="00022DF1" w:rsidP="00FA0D37">
      <w:pPr>
        <w:pStyle w:val="PL"/>
        <w:rPr>
          <w:color w:val="808080"/>
        </w:rPr>
      </w:pPr>
      <w:r w:rsidRPr="00FA0D37">
        <w:t xml:space="preserve">    </w:t>
      </w:r>
      <w:r w:rsidRPr="00FA0D37">
        <w:rPr>
          <w:color w:val="808080"/>
        </w:rPr>
        <w:t>-- R1 31-6: support of desired DL Tx power adjustment reporting and DL Tx power adjustment reception</w:t>
      </w:r>
    </w:p>
    <w:p w14:paraId="2E199640" w14:textId="77777777" w:rsidR="00795A4E" w:rsidRPr="00FA0D37" w:rsidRDefault="00022DF1" w:rsidP="00FA0D37">
      <w:pPr>
        <w:pStyle w:val="PL"/>
      </w:pPr>
      <w:r w:rsidRPr="00FA0D37">
        <w:t xml:space="preserve">    dl-tx-PowerAdjustment-IAB-r17               </w:t>
      </w:r>
      <w:r w:rsidRPr="00FA0D37">
        <w:rPr>
          <w:color w:val="993366"/>
        </w:rPr>
        <w:t>ENUMERATED</w:t>
      </w:r>
      <w:r w:rsidRPr="00FA0D37">
        <w:t xml:space="preserve"> {supported}              </w:t>
      </w:r>
      <w:r w:rsidRPr="00FA0D37">
        <w:rPr>
          <w:color w:val="993366"/>
        </w:rPr>
        <w:t>OPTIONAL</w:t>
      </w:r>
      <w:r w:rsidR="00795A4E" w:rsidRPr="00FA0D37">
        <w:t>,</w:t>
      </w:r>
    </w:p>
    <w:p w14:paraId="26A5E760" w14:textId="461ABCF9" w:rsidR="00795A4E" w:rsidRPr="00FA0D37" w:rsidRDefault="00795A4E" w:rsidP="00FA0D37">
      <w:pPr>
        <w:pStyle w:val="PL"/>
        <w:rPr>
          <w:color w:val="808080"/>
        </w:rPr>
      </w:pPr>
      <w:r w:rsidRPr="00FA0D37">
        <w:t xml:space="preserve">    </w:t>
      </w:r>
      <w:r w:rsidRPr="00FA0D37">
        <w:rPr>
          <w:color w:val="808080"/>
        </w:rPr>
        <w:t>-- R1 31-7: support of desired IAB-MT PSD range reporting</w:t>
      </w:r>
    </w:p>
    <w:p w14:paraId="45AA0459" w14:textId="645D36C0" w:rsidR="00795A4E" w:rsidRPr="00FA0D37" w:rsidRDefault="00795A4E" w:rsidP="00FA0D37">
      <w:pPr>
        <w:pStyle w:val="PL"/>
      </w:pPr>
      <w:r w:rsidRPr="00FA0D37">
        <w:t xml:space="preserve">    desired-ul-tx-PowerAdjustment-r17           </w:t>
      </w:r>
      <w:r w:rsidRPr="00FA0D37">
        <w:rPr>
          <w:color w:val="993366"/>
        </w:rPr>
        <w:t>ENUMERATED</w:t>
      </w:r>
      <w:r w:rsidRPr="00FA0D37">
        <w:t xml:space="preserve"> {supported}              </w:t>
      </w:r>
      <w:r w:rsidRPr="00FA0D37">
        <w:rPr>
          <w:color w:val="993366"/>
        </w:rPr>
        <w:t>OPTIONAL</w:t>
      </w:r>
      <w:r w:rsidRPr="00FA0D37">
        <w:t>,</w:t>
      </w:r>
    </w:p>
    <w:p w14:paraId="2675A632" w14:textId="0625C775" w:rsidR="00795A4E" w:rsidRPr="00FA0D37" w:rsidRDefault="00795A4E" w:rsidP="00FA0D37">
      <w:pPr>
        <w:pStyle w:val="PL"/>
        <w:rPr>
          <w:color w:val="808080"/>
        </w:rPr>
      </w:pPr>
      <w:r w:rsidRPr="00FA0D37">
        <w:t xml:space="preserve">    </w:t>
      </w:r>
      <w:r w:rsidRPr="00FA0D37">
        <w:rPr>
          <w:color w:val="808080"/>
        </w:rPr>
        <w:t>-- R1 31-8: support of monitoring DCI Format 2_5 scrambled by AI-RNTI for indication of FDM soft resource availability to an IAB node</w:t>
      </w:r>
    </w:p>
    <w:p w14:paraId="0A759A2B" w14:textId="6647B358" w:rsidR="00795A4E" w:rsidRPr="00FA0D37" w:rsidRDefault="00795A4E" w:rsidP="00FA0D37">
      <w:pPr>
        <w:pStyle w:val="PL"/>
      </w:pPr>
      <w:r w:rsidRPr="00FA0D37">
        <w:t xml:space="preserve">    fdm-SoftResourceAvailability-DynamicIndication-r17  </w:t>
      </w:r>
      <w:r w:rsidRPr="00FA0D37">
        <w:rPr>
          <w:color w:val="993366"/>
        </w:rPr>
        <w:t>ENUMERATED</w:t>
      </w:r>
      <w:r w:rsidRPr="00FA0D37">
        <w:t xml:space="preserve">{supported}       </w:t>
      </w:r>
      <w:r w:rsidRPr="00FA0D37">
        <w:rPr>
          <w:color w:val="993366"/>
        </w:rPr>
        <w:t>OPTIONAL</w:t>
      </w:r>
      <w:r w:rsidRPr="00FA0D37">
        <w:t>,</w:t>
      </w:r>
    </w:p>
    <w:p w14:paraId="5CA81A78" w14:textId="32FE2FF4" w:rsidR="00795A4E" w:rsidRPr="00FA0D37" w:rsidRDefault="00795A4E" w:rsidP="00FA0D37">
      <w:pPr>
        <w:pStyle w:val="PL"/>
        <w:rPr>
          <w:color w:val="808080"/>
        </w:rPr>
      </w:pPr>
      <w:r w:rsidRPr="00FA0D37">
        <w:t xml:space="preserve">    </w:t>
      </w:r>
      <w:r w:rsidRPr="00FA0D37">
        <w:rPr>
          <w:color w:val="808080"/>
        </w:rPr>
        <w:t>-- R1 31-10: Support of updated T_delta range reception</w:t>
      </w:r>
    </w:p>
    <w:p w14:paraId="380C45EF" w14:textId="564AF5E6" w:rsidR="00795A4E" w:rsidRPr="00FA0D37" w:rsidRDefault="00795A4E" w:rsidP="00FA0D37">
      <w:pPr>
        <w:pStyle w:val="PL"/>
      </w:pPr>
      <w:r w:rsidRPr="00FA0D37">
        <w:t xml:space="preserve">    updated-T-DeltaRangeRec</w:t>
      </w:r>
      <w:r w:rsidR="00EE1777" w:rsidRPr="00FA0D37">
        <w:t>e</w:t>
      </w:r>
      <w:r w:rsidRPr="00FA0D37">
        <w:t xml:space="preserve">ption-r17           </w:t>
      </w:r>
      <w:r w:rsidRPr="00FA0D37">
        <w:rPr>
          <w:color w:val="993366"/>
        </w:rPr>
        <w:t>ENUMERATED</w:t>
      </w:r>
      <w:r w:rsidRPr="00FA0D37">
        <w:t xml:space="preserve">{supported}               </w:t>
      </w:r>
      <w:r w:rsidRPr="00FA0D37">
        <w:rPr>
          <w:color w:val="993366"/>
        </w:rPr>
        <w:t>OPTIONAL</w:t>
      </w:r>
      <w:r w:rsidRPr="00FA0D37">
        <w:t>,</w:t>
      </w:r>
    </w:p>
    <w:p w14:paraId="49E3C195" w14:textId="04098B84" w:rsidR="00795A4E" w:rsidRPr="00FA0D37" w:rsidRDefault="00795A4E" w:rsidP="00FA0D37">
      <w:pPr>
        <w:pStyle w:val="PL"/>
        <w:rPr>
          <w:color w:val="808080"/>
        </w:rPr>
      </w:pPr>
      <w:r w:rsidRPr="00FA0D37">
        <w:t xml:space="preserve">    </w:t>
      </w:r>
      <w:r w:rsidRPr="00FA0D37">
        <w:rPr>
          <w:color w:val="808080"/>
        </w:rPr>
        <w:t>-- R1 30-5: Support slot based dynamic PUCCH repetition indication for PUCCH formats 0/1/2/3/4</w:t>
      </w:r>
    </w:p>
    <w:p w14:paraId="41865037" w14:textId="53B751BE" w:rsidR="00795A4E" w:rsidRPr="00FA0D37" w:rsidRDefault="00795A4E" w:rsidP="00FA0D37">
      <w:pPr>
        <w:pStyle w:val="PL"/>
      </w:pPr>
      <w:r w:rsidRPr="00FA0D37">
        <w:t xml:space="preserve">    slotBasedDynamicPUCCH-Rep-r17               </w:t>
      </w:r>
      <w:r w:rsidRPr="00FA0D37">
        <w:rPr>
          <w:color w:val="993366"/>
        </w:rPr>
        <w:t>ENUMERATED</w:t>
      </w:r>
      <w:r w:rsidRPr="00FA0D37">
        <w:t xml:space="preserve"> {supported}              </w:t>
      </w:r>
      <w:r w:rsidRPr="00FA0D37">
        <w:rPr>
          <w:color w:val="993366"/>
        </w:rPr>
        <w:t>OPTIONAL</w:t>
      </w:r>
      <w:r w:rsidRPr="00FA0D37">
        <w:t>,</w:t>
      </w:r>
    </w:p>
    <w:p w14:paraId="58C014B6" w14:textId="2CA66448" w:rsidR="00795A4E" w:rsidRPr="00FA0D37" w:rsidRDefault="00795A4E" w:rsidP="00FA0D37">
      <w:pPr>
        <w:pStyle w:val="PL"/>
        <w:rPr>
          <w:color w:val="808080"/>
        </w:rPr>
      </w:pPr>
      <w:r w:rsidRPr="00FA0D37">
        <w:t xml:space="preserve">    </w:t>
      </w:r>
      <w:r w:rsidRPr="00FA0D37">
        <w:rPr>
          <w:color w:val="808080"/>
        </w:rPr>
        <w:t>-- R1 25-1: Support of HARQ-ACK deferral in case of TDD collision</w:t>
      </w:r>
    </w:p>
    <w:p w14:paraId="5BE775F0" w14:textId="713928A2" w:rsidR="00795A4E" w:rsidRPr="00FA0D37" w:rsidRDefault="00795A4E" w:rsidP="00FA0D37">
      <w:pPr>
        <w:pStyle w:val="PL"/>
      </w:pPr>
      <w:r w:rsidRPr="00FA0D37">
        <w:t xml:space="preserve">    sps-HARQ-ACK-Deferral-r17                   </w:t>
      </w:r>
      <w:r w:rsidRPr="00FA0D37">
        <w:rPr>
          <w:color w:val="993366"/>
        </w:rPr>
        <w:t>SEQUENCE</w:t>
      </w:r>
      <w:r w:rsidRPr="00FA0D37">
        <w:t xml:space="preserve"> {</w:t>
      </w:r>
    </w:p>
    <w:p w14:paraId="59A460A3" w14:textId="77777777" w:rsidR="00795A4E" w:rsidRPr="00FA0D37" w:rsidRDefault="00795A4E" w:rsidP="00FA0D37">
      <w:pPr>
        <w:pStyle w:val="PL"/>
      </w:pPr>
      <w:r w:rsidRPr="00FA0D37">
        <w:t xml:space="preserve">        non-SharedSpectrumChAccess-r17              </w:t>
      </w:r>
      <w:r w:rsidRPr="00FA0D37">
        <w:rPr>
          <w:color w:val="993366"/>
        </w:rPr>
        <w:t>ENUMERATED</w:t>
      </w:r>
      <w:r w:rsidRPr="00FA0D37">
        <w:t xml:space="preserve"> {supported}          </w:t>
      </w:r>
      <w:r w:rsidRPr="00FA0D37">
        <w:rPr>
          <w:color w:val="993366"/>
        </w:rPr>
        <w:t>OPTIONAL</w:t>
      </w:r>
      <w:r w:rsidRPr="00FA0D37">
        <w:t>,</w:t>
      </w:r>
    </w:p>
    <w:p w14:paraId="121C2F00" w14:textId="77777777" w:rsidR="00795A4E" w:rsidRPr="00FA0D37" w:rsidRDefault="00795A4E" w:rsidP="00FA0D37">
      <w:pPr>
        <w:pStyle w:val="PL"/>
      </w:pPr>
      <w:r w:rsidRPr="00FA0D37">
        <w:t xml:space="preserve">        sharedSpectrumChAccess-r17                  </w:t>
      </w:r>
      <w:r w:rsidRPr="00FA0D37">
        <w:rPr>
          <w:color w:val="993366"/>
        </w:rPr>
        <w:t>ENUMERATED</w:t>
      </w:r>
      <w:r w:rsidRPr="00FA0D37">
        <w:t xml:space="preserve"> {supported}          </w:t>
      </w:r>
      <w:r w:rsidRPr="00FA0D37">
        <w:rPr>
          <w:color w:val="993366"/>
        </w:rPr>
        <w:t>OPTIONAL</w:t>
      </w:r>
    </w:p>
    <w:p w14:paraId="5E43C80C" w14:textId="783BB0DA" w:rsidR="00795A4E" w:rsidRPr="00FA0D37" w:rsidRDefault="00795A4E" w:rsidP="00FA0D37">
      <w:pPr>
        <w:pStyle w:val="PL"/>
      </w:pPr>
      <w:r w:rsidRPr="00FA0D37">
        <w:t xml:space="preserve">    }                                                                               </w:t>
      </w:r>
      <w:r w:rsidRPr="00FA0D37">
        <w:rPr>
          <w:color w:val="993366"/>
        </w:rPr>
        <w:t>OPTIONAL</w:t>
      </w:r>
      <w:r w:rsidRPr="00FA0D37">
        <w:t>,</w:t>
      </w:r>
    </w:p>
    <w:p w14:paraId="695E6546" w14:textId="77777777" w:rsidR="00795A4E" w:rsidRPr="00FA0D37" w:rsidRDefault="00795A4E" w:rsidP="00FA0D37">
      <w:pPr>
        <w:pStyle w:val="PL"/>
        <w:rPr>
          <w:color w:val="808080"/>
        </w:rPr>
      </w:pPr>
      <w:r w:rsidRPr="00FA0D37">
        <w:t xml:space="preserve">    </w:t>
      </w:r>
      <w:r w:rsidRPr="00FA0D37">
        <w:rPr>
          <w:color w:val="808080"/>
        </w:rPr>
        <w:t>-- R1 23-1-1k Maximum number of configured CC lists (per UE)</w:t>
      </w:r>
    </w:p>
    <w:p w14:paraId="6560245D" w14:textId="4153CCAC" w:rsidR="00795A4E" w:rsidRPr="00FA0D37" w:rsidRDefault="00795A4E" w:rsidP="00FA0D37">
      <w:pPr>
        <w:pStyle w:val="PL"/>
      </w:pPr>
      <w:r w:rsidRPr="00FA0D37">
        <w:t xml:space="preserve">    unifiedJointTCI-commonUpdate-r17            </w:t>
      </w:r>
      <w:r w:rsidRPr="00FA0D37">
        <w:rPr>
          <w:color w:val="993366"/>
        </w:rPr>
        <w:t>INTEGER</w:t>
      </w:r>
      <w:r w:rsidRPr="00FA0D37">
        <w:t xml:space="preserve"> (1..4)                      </w:t>
      </w:r>
      <w:r w:rsidRPr="00FA0D37">
        <w:rPr>
          <w:color w:val="993366"/>
        </w:rPr>
        <w:t>OPTIONAL</w:t>
      </w:r>
      <w:r w:rsidRPr="00FA0D37">
        <w:t>,</w:t>
      </w:r>
    </w:p>
    <w:p w14:paraId="3460003E" w14:textId="7A06AC72" w:rsidR="00795A4E" w:rsidRPr="00FA0D37" w:rsidRDefault="00795A4E" w:rsidP="00FA0D37">
      <w:pPr>
        <w:pStyle w:val="PL"/>
        <w:rPr>
          <w:color w:val="808080"/>
        </w:rPr>
      </w:pPr>
      <w:r w:rsidRPr="00FA0D37">
        <w:t xml:space="preserve">    </w:t>
      </w:r>
      <w:r w:rsidRPr="00FA0D37">
        <w:rPr>
          <w:color w:val="808080"/>
        </w:rPr>
        <w:t>-- R1 23-2-1c PDCCH repetition with a single span of three contiguous OFDM symbols that is within the first four OFDM symbols in a slot</w:t>
      </w:r>
    </w:p>
    <w:p w14:paraId="61F6190C" w14:textId="5F374FB2" w:rsidR="00795A4E" w:rsidRPr="00FA0D37" w:rsidRDefault="00795A4E" w:rsidP="00FA0D37">
      <w:pPr>
        <w:pStyle w:val="PL"/>
      </w:pPr>
      <w:r w:rsidRPr="00FA0D37">
        <w:t xml:space="preserve">    mTRP-PDCCH-singleSpan-r17                   </w:t>
      </w:r>
      <w:r w:rsidRPr="00FA0D37">
        <w:rPr>
          <w:color w:val="993366"/>
        </w:rPr>
        <w:t>ENUMERATED</w:t>
      </w:r>
      <w:r w:rsidRPr="00FA0D37">
        <w:t xml:space="preserve"> {supported}              </w:t>
      </w:r>
      <w:r w:rsidRPr="00FA0D37">
        <w:rPr>
          <w:color w:val="993366"/>
        </w:rPr>
        <w:t>OPTIONAL</w:t>
      </w:r>
      <w:r w:rsidRPr="00FA0D37">
        <w:t>,</w:t>
      </w:r>
    </w:p>
    <w:p w14:paraId="392BC8FC" w14:textId="77777777" w:rsidR="00795A4E" w:rsidRPr="00FA0D37" w:rsidRDefault="00795A4E" w:rsidP="00FA0D37">
      <w:pPr>
        <w:pStyle w:val="PL"/>
        <w:rPr>
          <w:color w:val="808080"/>
        </w:rPr>
      </w:pPr>
      <w:r w:rsidRPr="00FA0D37">
        <w:t xml:space="preserve">    </w:t>
      </w:r>
      <w:r w:rsidRPr="00FA0D37">
        <w:rPr>
          <w:color w:val="808080"/>
        </w:rPr>
        <w:t>-- R1 27-23: Support of more than one activated PRS processing windows across all active DL BWPs</w:t>
      </w:r>
    </w:p>
    <w:p w14:paraId="773D1F74" w14:textId="77777777" w:rsidR="00EF50BD" w:rsidRPr="00FA0D37" w:rsidRDefault="00795A4E" w:rsidP="00FA0D37">
      <w:pPr>
        <w:pStyle w:val="PL"/>
      </w:pPr>
      <w:r w:rsidRPr="00FA0D37">
        <w:t xml:space="preserve">    supportedActivatedPRS-ProcessingWindow-r17  </w:t>
      </w:r>
      <w:r w:rsidRPr="00FA0D37">
        <w:rPr>
          <w:color w:val="993366"/>
        </w:rPr>
        <w:t>ENUMERATED</w:t>
      </w:r>
      <w:r w:rsidRPr="00FA0D37">
        <w:t xml:space="preserve"> {n2, n3, n4}             </w:t>
      </w:r>
      <w:r w:rsidRPr="00FA0D37">
        <w:rPr>
          <w:color w:val="993366"/>
        </w:rPr>
        <w:t>OPTIONAL</w:t>
      </w:r>
      <w:r w:rsidR="00EF50BD" w:rsidRPr="00FA0D37">
        <w:t>,</w:t>
      </w:r>
    </w:p>
    <w:p w14:paraId="1CF9C846" w14:textId="7F689C0F" w:rsidR="00022DF1" w:rsidRPr="00FA0D37" w:rsidRDefault="00EF50BD" w:rsidP="00FA0D37">
      <w:pPr>
        <w:pStyle w:val="PL"/>
      </w:pPr>
      <w:r w:rsidRPr="00FA0D37">
        <w:t xml:space="preserve">    cg-TimeDomainAllocationExtension-r17        </w:t>
      </w:r>
      <w:r w:rsidRPr="00FA0D37">
        <w:rPr>
          <w:color w:val="993366"/>
        </w:rPr>
        <w:t>ENUMERATED</w:t>
      </w:r>
      <w:r w:rsidRPr="00FA0D37">
        <w:t xml:space="preserve"> {supported}              </w:t>
      </w:r>
      <w:r w:rsidRPr="00FA0D37">
        <w:rPr>
          <w:color w:val="993366"/>
        </w:rPr>
        <w:t>OPTIONAL</w:t>
      </w:r>
    </w:p>
    <w:p w14:paraId="02F40F96" w14:textId="5DF21700" w:rsidR="00056A99" w:rsidRPr="00FA0D37" w:rsidRDefault="00022DF1" w:rsidP="00FA0D37">
      <w:pPr>
        <w:pStyle w:val="PL"/>
      </w:pPr>
      <w:r w:rsidRPr="00FA0D37">
        <w:t xml:space="preserve">    ]]</w:t>
      </w:r>
      <w:r w:rsidR="00056A99" w:rsidRPr="00FA0D37">
        <w:t>,</w:t>
      </w:r>
    </w:p>
    <w:p w14:paraId="68068E89" w14:textId="5D1513DD" w:rsidR="00056A99" w:rsidRPr="00FA0D37" w:rsidRDefault="00056A99" w:rsidP="00FA0D37">
      <w:pPr>
        <w:pStyle w:val="PL"/>
      </w:pPr>
      <w:r w:rsidRPr="00FA0D37">
        <w:t xml:space="preserve">     [[</w:t>
      </w:r>
    </w:p>
    <w:p w14:paraId="5E96FB95" w14:textId="77777777" w:rsidR="00056A99" w:rsidRPr="00FA0D37" w:rsidRDefault="00056A99" w:rsidP="00FA0D37">
      <w:pPr>
        <w:pStyle w:val="PL"/>
        <w:rPr>
          <w:color w:val="808080"/>
        </w:rPr>
      </w:pPr>
      <w:r w:rsidRPr="00FA0D37">
        <w:t xml:space="preserve">    </w:t>
      </w:r>
      <w:r w:rsidRPr="00FA0D37">
        <w:rPr>
          <w:color w:val="808080"/>
        </w:rPr>
        <w:t>-- R1 25-20: Propagation delay compensation based on legacy TA procedure for TN and licensed</w:t>
      </w:r>
    </w:p>
    <w:p w14:paraId="613E5D7E" w14:textId="67126FCB" w:rsidR="00056A99" w:rsidRPr="00FA0D37" w:rsidRDefault="00056A99" w:rsidP="00FA0D37">
      <w:pPr>
        <w:pStyle w:val="PL"/>
      </w:pPr>
      <w:r w:rsidRPr="00FA0D37">
        <w:t xml:space="preserve">    ta-BasedPDC-TN-NonSharedSpectrumChAccess-r17 </w:t>
      </w:r>
      <w:r w:rsidRPr="00FA0D37">
        <w:rPr>
          <w:color w:val="993366"/>
        </w:rPr>
        <w:t>ENUMERATED</w:t>
      </w:r>
      <w:r w:rsidRPr="00FA0D37">
        <w:t xml:space="preserve"> {supported}             </w:t>
      </w:r>
      <w:r w:rsidRPr="00FA0D37">
        <w:rPr>
          <w:color w:val="993366"/>
        </w:rPr>
        <w:t>OPTIONAL</w:t>
      </w:r>
      <w:r w:rsidRPr="00FA0D37">
        <w:t>,</w:t>
      </w:r>
    </w:p>
    <w:p w14:paraId="309586DD" w14:textId="77777777" w:rsidR="00056A99" w:rsidRPr="00FA0D37" w:rsidRDefault="00056A99" w:rsidP="00FA0D37">
      <w:pPr>
        <w:pStyle w:val="PL"/>
        <w:rPr>
          <w:color w:val="808080"/>
        </w:rPr>
      </w:pPr>
      <w:r w:rsidRPr="00FA0D37">
        <w:t xml:space="preserve">    </w:t>
      </w:r>
      <w:r w:rsidRPr="00FA0D37">
        <w:rPr>
          <w:color w:val="808080"/>
        </w:rPr>
        <w:t>-- R1 31-11: Directional Collision Handling in DC operation</w:t>
      </w:r>
    </w:p>
    <w:p w14:paraId="736388D3" w14:textId="28740E14" w:rsidR="00056A99" w:rsidRPr="00FA0D37" w:rsidRDefault="00056A99" w:rsidP="00FA0D37">
      <w:pPr>
        <w:pStyle w:val="PL"/>
      </w:pPr>
      <w:r w:rsidRPr="00FA0D37">
        <w:t xml:space="preserve">    directionalCollisionDC-IAB-r17              </w:t>
      </w:r>
      <w:r w:rsidRPr="00FA0D37">
        <w:rPr>
          <w:color w:val="993366"/>
        </w:rPr>
        <w:t>ENUMERATED</w:t>
      </w:r>
      <w:r w:rsidRPr="00FA0D37">
        <w:t xml:space="preserve"> {supported}              </w:t>
      </w:r>
      <w:r w:rsidRPr="00FA0D37">
        <w:rPr>
          <w:color w:val="993366"/>
        </w:rPr>
        <w:t>OPTIONAL</w:t>
      </w:r>
    </w:p>
    <w:p w14:paraId="6B436546" w14:textId="62F50D48" w:rsidR="00691952" w:rsidRPr="00FA0D37" w:rsidRDefault="00056A99" w:rsidP="00FA0D37">
      <w:pPr>
        <w:pStyle w:val="PL"/>
      </w:pPr>
      <w:r w:rsidRPr="00FA0D37">
        <w:t xml:space="preserve">    ]]</w:t>
      </w:r>
      <w:r w:rsidR="00691952" w:rsidRPr="00FA0D37">
        <w:t>,</w:t>
      </w:r>
    </w:p>
    <w:p w14:paraId="13911289" w14:textId="47D913D0" w:rsidR="00691952" w:rsidRPr="00FA0D37" w:rsidRDefault="00691952" w:rsidP="00FA0D37">
      <w:pPr>
        <w:pStyle w:val="PL"/>
      </w:pPr>
      <w:r w:rsidRPr="00FA0D37">
        <w:t xml:space="preserve">    [[</w:t>
      </w:r>
    </w:p>
    <w:p w14:paraId="4DF8A712" w14:textId="6AC3AB0F" w:rsidR="00691952" w:rsidRPr="00FA0D37" w:rsidRDefault="00691952" w:rsidP="00FA0D37">
      <w:pPr>
        <w:pStyle w:val="PL"/>
      </w:pPr>
      <w:r w:rsidRPr="00FA0D37">
        <w:t xml:space="preserve">    </w:t>
      </w:r>
      <w:r w:rsidR="003350BF" w:rsidRPr="00FA0D37">
        <w:t>dummy1</w:t>
      </w:r>
      <w:r w:rsidRPr="00FA0D37">
        <w:t xml:space="preserve">        </w:t>
      </w:r>
      <w:r w:rsidR="00DD3B63" w:rsidRPr="00FA0D37">
        <w:t xml:space="preserve">                              </w:t>
      </w:r>
      <w:r w:rsidRPr="00FA0D37">
        <w:rPr>
          <w:color w:val="993366"/>
        </w:rPr>
        <w:t>ENUMERATED</w:t>
      </w:r>
      <w:r w:rsidRPr="00FA0D37">
        <w:t xml:space="preserve"> {supported}              </w:t>
      </w:r>
      <w:r w:rsidRPr="00FA0D37">
        <w:rPr>
          <w:color w:val="993366"/>
        </w:rPr>
        <w:t>OPTIONAL</w:t>
      </w:r>
      <w:r w:rsidRPr="00FA0D37">
        <w:t>,</w:t>
      </w:r>
    </w:p>
    <w:p w14:paraId="23431396" w14:textId="3A386806" w:rsidR="00691952" w:rsidRPr="00FA0D37" w:rsidRDefault="00691952" w:rsidP="00FA0D37">
      <w:pPr>
        <w:pStyle w:val="PL"/>
      </w:pPr>
      <w:r w:rsidRPr="00FA0D37">
        <w:t xml:space="preserve">    </w:t>
      </w:r>
      <w:r w:rsidR="003350BF" w:rsidRPr="00FA0D37">
        <w:t>dummy2</w:t>
      </w:r>
      <w:r w:rsidRPr="00FA0D37">
        <w:t xml:space="preserve">    </w:t>
      </w:r>
      <w:r w:rsidR="00DD3B63" w:rsidRPr="00FA0D37">
        <w:t xml:space="preserve">                                  </w:t>
      </w:r>
      <w:r w:rsidRPr="00FA0D37">
        <w:rPr>
          <w:color w:val="993366"/>
        </w:rPr>
        <w:t>ENUMERATED</w:t>
      </w:r>
      <w:r w:rsidRPr="00FA0D37">
        <w:t xml:space="preserve"> {supported}              </w:t>
      </w:r>
      <w:r w:rsidRPr="00FA0D37">
        <w:rPr>
          <w:color w:val="993366"/>
        </w:rPr>
        <w:t>OPTIONAL</w:t>
      </w:r>
      <w:r w:rsidRPr="00FA0D37">
        <w:t>,</w:t>
      </w:r>
    </w:p>
    <w:p w14:paraId="1146B089" w14:textId="5962BC56" w:rsidR="00691952" w:rsidRPr="00FA0D37" w:rsidRDefault="00691952" w:rsidP="00FA0D37">
      <w:pPr>
        <w:pStyle w:val="PL"/>
      </w:pPr>
      <w:r w:rsidRPr="00FA0D37">
        <w:t xml:space="preserve">    </w:t>
      </w:r>
      <w:r w:rsidR="003350BF" w:rsidRPr="00FA0D37">
        <w:t>dummy3</w:t>
      </w:r>
      <w:r w:rsidRPr="00FA0D37">
        <w:t xml:space="preserve"> </w:t>
      </w:r>
      <w:r w:rsidR="00DD3B63" w:rsidRPr="00FA0D37">
        <w:t xml:space="preserve">                                     </w:t>
      </w:r>
      <w:r w:rsidRPr="00FA0D37">
        <w:rPr>
          <w:color w:val="993366"/>
        </w:rPr>
        <w:t>ENUMERATED</w:t>
      </w:r>
      <w:r w:rsidRPr="00FA0D37">
        <w:t xml:space="preserve"> {supported}           </w:t>
      </w:r>
      <w:r w:rsidR="00DD3B63" w:rsidRPr="00FA0D37">
        <w:t xml:space="preserve">   </w:t>
      </w:r>
      <w:r w:rsidRPr="00FA0D37">
        <w:rPr>
          <w:color w:val="993366"/>
        </w:rPr>
        <w:t>OPTIONAL</w:t>
      </w:r>
      <w:r w:rsidRPr="00FA0D37">
        <w:t>,</w:t>
      </w:r>
    </w:p>
    <w:p w14:paraId="752FC37F" w14:textId="349FD658" w:rsidR="00691952" w:rsidRPr="00FA0D37" w:rsidRDefault="00691952" w:rsidP="00FA0D37">
      <w:pPr>
        <w:pStyle w:val="PL"/>
      </w:pPr>
      <w:r w:rsidRPr="00FA0D37">
        <w:t xml:space="preserve">    </w:t>
      </w:r>
      <w:r w:rsidR="003350BF" w:rsidRPr="00FA0D37">
        <w:t>dummy4</w:t>
      </w:r>
      <w:r w:rsidRPr="00FA0D37">
        <w:t xml:space="preserve"> </w:t>
      </w:r>
      <w:r w:rsidR="00DD3B63" w:rsidRPr="00FA0D37">
        <w:t xml:space="preserve">                                     </w:t>
      </w:r>
      <w:r w:rsidRPr="00FA0D37">
        <w:rPr>
          <w:color w:val="993366"/>
        </w:rPr>
        <w:t>ENUMERATED</w:t>
      </w:r>
      <w:r w:rsidRPr="00FA0D37">
        <w:t xml:space="preserve"> {supported}              </w:t>
      </w:r>
      <w:r w:rsidRPr="00FA0D37">
        <w:rPr>
          <w:color w:val="993366"/>
        </w:rPr>
        <w:t>OPTIONAL</w:t>
      </w:r>
      <w:r w:rsidRPr="00FA0D37">
        <w:t>,</w:t>
      </w:r>
    </w:p>
    <w:p w14:paraId="446BCFFB" w14:textId="4BC9F8B4" w:rsidR="00691952" w:rsidRPr="00FA0D37" w:rsidRDefault="00691952" w:rsidP="00FA0D37">
      <w:pPr>
        <w:pStyle w:val="PL"/>
      </w:pPr>
      <w:r w:rsidRPr="00FA0D37">
        <w:t xml:space="preserve">    srs-AdditionalRepetition-r17                </w:t>
      </w:r>
      <w:r w:rsidRPr="00FA0D37">
        <w:rPr>
          <w:color w:val="993366"/>
        </w:rPr>
        <w:t>ENUMERATED</w:t>
      </w:r>
      <w:r w:rsidRPr="00FA0D37">
        <w:t xml:space="preserve"> {supported}              </w:t>
      </w:r>
      <w:r w:rsidRPr="00FA0D37">
        <w:rPr>
          <w:color w:val="993366"/>
        </w:rPr>
        <w:t>OPTIONAL</w:t>
      </w:r>
      <w:r w:rsidRPr="00FA0D37">
        <w:t>,</w:t>
      </w:r>
    </w:p>
    <w:p w14:paraId="771698F0" w14:textId="275EDABB" w:rsidR="00691952" w:rsidRPr="00FA0D37" w:rsidRDefault="00691952" w:rsidP="00FA0D37">
      <w:pPr>
        <w:pStyle w:val="PL"/>
      </w:pPr>
      <w:r w:rsidRPr="00FA0D37">
        <w:t xml:space="preserve">    pusch-Repetition-CG-SDT-r17                 </w:t>
      </w:r>
      <w:r w:rsidRPr="00FA0D37">
        <w:rPr>
          <w:color w:val="993366"/>
        </w:rPr>
        <w:t>ENUMERATED</w:t>
      </w:r>
      <w:r w:rsidRPr="00FA0D37">
        <w:t xml:space="preserve"> {supported}              </w:t>
      </w:r>
      <w:r w:rsidRPr="00FA0D37">
        <w:rPr>
          <w:color w:val="993366"/>
        </w:rPr>
        <w:t>OPTIONAL</w:t>
      </w:r>
    </w:p>
    <w:p w14:paraId="3394AFF9" w14:textId="17210807" w:rsidR="00394471" w:rsidRPr="00FA0D37" w:rsidRDefault="00691952" w:rsidP="00FA0D37">
      <w:pPr>
        <w:pStyle w:val="PL"/>
      </w:pPr>
      <w:r w:rsidRPr="00FA0D37">
        <w:t xml:space="preserve">    ]]</w:t>
      </w:r>
    </w:p>
    <w:p w14:paraId="6A2FA76A" w14:textId="77777777" w:rsidR="00394471" w:rsidRPr="00FA0D37" w:rsidRDefault="00394471" w:rsidP="00FA0D37">
      <w:pPr>
        <w:pStyle w:val="PL"/>
      </w:pPr>
      <w:r w:rsidRPr="00FA0D37">
        <w:t>}</w:t>
      </w:r>
    </w:p>
    <w:p w14:paraId="4136840B" w14:textId="63F6CD5D" w:rsidR="00394471" w:rsidRPr="00FA0D37" w:rsidRDefault="00394471" w:rsidP="00FA0D37">
      <w:pPr>
        <w:pStyle w:val="PL"/>
      </w:pPr>
    </w:p>
    <w:p w14:paraId="337C81EF" w14:textId="0EA2D0BA" w:rsidR="00963709" w:rsidRPr="00FA0D37" w:rsidRDefault="00963709" w:rsidP="00FA0D37">
      <w:pPr>
        <w:pStyle w:val="PL"/>
      </w:pPr>
      <w:r w:rsidRPr="00FA0D37">
        <w:t xml:space="preserve">Phy-ParametersCommon-v16a0 ::=                  </w:t>
      </w:r>
      <w:r w:rsidRPr="00FA0D37">
        <w:rPr>
          <w:color w:val="993366"/>
        </w:rPr>
        <w:t>SEQUENCE</w:t>
      </w:r>
      <w:r w:rsidRPr="00FA0D37">
        <w:t xml:space="preserve"> {</w:t>
      </w:r>
    </w:p>
    <w:p w14:paraId="4A91844B" w14:textId="63D2A16D" w:rsidR="00963709" w:rsidRPr="00FA0D37" w:rsidRDefault="00963709" w:rsidP="00FA0D37">
      <w:pPr>
        <w:pStyle w:val="PL"/>
      </w:pPr>
      <w:r w:rsidRPr="00FA0D37">
        <w:t xml:space="preserve">    srs-PeriodicityAndOffsetExt-r16                 </w:t>
      </w:r>
      <w:r w:rsidRPr="00FA0D37">
        <w:rPr>
          <w:color w:val="993366"/>
        </w:rPr>
        <w:t>ENUMERATED</w:t>
      </w:r>
      <w:r w:rsidRPr="00FA0D37">
        <w:t xml:space="preserve"> {supported}          </w:t>
      </w:r>
      <w:r w:rsidRPr="00FA0D37">
        <w:rPr>
          <w:color w:val="993366"/>
        </w:rPr>
        <w:t>OPTIONAL</w:t>
      </w:r>
    </w:p>
    <w:p w14:paraId="0E314D91" w14:textId="3C92E187" w:rsidR="00963709" w:rsidRPr="00FA0D37" w:rsidRDefault="00963709" w:rsidP="00FA0D37">
      <w:pPr>
        <w:pStyle w:val="PL"/>
      </w:pPr>
      <w:r w:rsidRPr="00FA0D37">
        <w:t>}</w:t>
      </w:r>
    </w:p>
    <w:p w14:paraId="69E2D421" w14:textId="77777777" w:rsidR="00963709" w:rsidRPr="00FA0D37" w:rsidRDefault="00963709" w:rsidP="00FA0D37">
      <w:pPr>
        <w:pStyle w:val="PL"/>
      </w:pPr>
    </w:p>
    <w:p w14:paraId="63748178" w14:textId="77777777" w:rsidR="00394471" w:rsidRPr="00FA0D37" w:rsidRDefault="00394471" w:rsidP="00FA0D37">
      <w:pPr>
        <w:pStyle w:val="PL"/>
      </w:pPr>
      <w:r w:rsidRPr="00FA0D37">
        <w:t xml:space="preserve">Phy-ParametersXDD-Diff ::=          </w:t>
      </w:r>
      <w:r w:rsidRPr="00FA0D37">
        <w:rPr>
          <w:color w:val="993366"/>
        </w:rPr>
        <w:t>SEQUENCE</w:t>
      </w:r>
      <w:r w:rsidRPr="00FA0D37">
        <w:t xml:space="preserve"> {</w:t>
      </w:r>
    </w:p>
    <w:p w14:paraId="0797D2E1" w14:textId="77777777" w:rsidR="00394471" w:rsidRPr="00FA0D37" w:rsidRDefault="00394471" w:rsidP="00FA0D37">
      <w:pPr>
        <w:pStyle w:val="PL"/>
      </w:pPr>
      <w:r w:rsidRPr="00FA0D37">
        <w:t xml:space="preserve">    dynamicSFI                          </w:t>
      </w:r>
      <w:r w:rsidRPr="00FA0D37">
        <w:rPr>
          <w:color w:val="993366"/>
        </w:rPr>
        <w:t>ENUMERATED</w:t>
      </w:r>
      <w:r w:rsidRPr="00FA0D37">
        <w:t xml:space="preserve"> {supported}                      </w:t>
      </w:r>
      <w:r w:rsidRPr="00FA0D37">
        <w:rPr>
          <w:color w:val="993366"/>
        </w:rPr>
        <w:t>OPTIONAL</w:t>
      </w:r>
      <w:r w:rsidRPr="00FA0D37">
        <w:t>,</w:t>
      </w:r>
    </w:p>
    <w:p w14:paraId="6681C5FF" w14:textId="77777777" w:rsidR="00394471" w:rsidRPr="00FA0D37" w:rsidRDefault="00394471" w:rsidP="00FA0D37">
      <w:pPr>
        <w:pStyle w:val="PL"/>
      </w:pPr>
      <w:r w:rsidRPr="00FA0D37">
        <w:t xml:space="preserve">    twoPUCCH-F0-2-ConsecSymbols         </w:t>
      </w:r>
      <w:r w:rsidRPr="00FA0D37">
        <w:rPr>
          <w:color w:val="993366"/>
        </w:rPr>
        <w:t>ENUMERATED</w:t>
      </w:r>
      <w:r w:rsidRPr="00FA0D37">
        <w:t xml:space="preserve"> {supported}                      </w:t>
      </w:r>
      <w:r w:rsidRPr="00FA0D37">
        <w:rPr>
          <w:color w:val="993366"/>
        </w:rPr>
        <w:t>OPTIONAL</w:t>
      </w:r>
      <w:r w:rsidRPr="00FA0D37">
        <w:t>,</w:t>
      </w:r>
    </w:p>
    <w:p w14:paraId="1B95B3B0" w14:textId="77777777" w:rsidR="00394471" w:rsidRPr="00FA0D37" w:rsidRDefault="00394471" w:rsidP="00FA0D37">
      <w:pPr>
        <w:pStyle w:val="PL"/>
      </w:pPr>
      <w:r w:rsidRPr="00FA0D37">
        <w:t xml:space="preserve">    twoDifferentTPC-Loop-PUSCH          </w:t>
      </w:r>
      <w:r w:rsidRPr="00FA0D37">
        <w:rPr>
          <w:color w:val="993366"/>
        </w:rPr>
        <w:t>ENUMERATED</w:t>
      </w:r>
      <w:r w:rsidRPr="00FA0D37">
        <w:t xml:space="preserve"> {supported}                      </w:t>
      </w:r>
      <w:r w:rsidRPr="00FA0D37">
        <w:rPr>
          <w:color w:val="993366"/>
        </w:rPr>
        <w:t>OPTIONAL</w:t>
      </w:r>
      <w:r w:rsidRPr="00FA0D37">
        <w:t>,</w:t>
      </w:r>
    </w:p>
    <w:p w14:paraId="591B1791" w14:textId="77777777" w:rsidR="00394471" w:rsidRPr="00FA0D37" w:rsidRDefault="00394471" w:rsidP="00FA0D37">
      <w:pPr>
        <w:pStyle w:val="PL"/>
      </w:pPr>
      <w:r w:rsidRPr="00FA0D37">
        <w:t xml:space="preserve">    twoDifferentTPC-Loop-PUCCH          </w:t>
      </w:r>
      <w:r w:rsidRPr="00FA0D37">
        <w:rPr>
          <w:color w:val="993366"/>
        </w:rPr>
        <w:t>ENUMERATED</w:t>
      </w:r>
      <w:r w:rsidRPr="00FA0D37">
        <w:t xml:space="preserve"> {supported}                      </w:t>
      </w:r>
      <w:r w:rsidRPr="00FA0D37">
        <w:rPr>
          <w:color w:val="993366"/>
        </w:rPr>
        <w:t>OPTIONAL</w:t>
      </w:r>
      <w:r w:rsidRPr="00FA0D37">
        <w:t>,</w:t>
      </w:r>
    </w:p>
    <w:p w14:paraId="7F63EB17" w14:textId="77777777" w:rsidR="00394471" w:rsidRPr="00FA0D37" w:rsidRDefault="00394471" w:rsidP="00FA0D37">
      <w:pPr>
        <w:pStyle w:val="PL"/>
      </w:pPr>
      <w:r w:rsidRPr="00FA0D37">
        <w:t xml:space="preserve">    ...,</w:t>
      </w:r>
    </w:p>
    <w:p w14:paraId="373ED442" w14:textId="77777777" w:rsidR="00394471" w:rsidRPr="00FA0D37" w:rsidRDefault="00394471" w:rsidP="00FA0D37">
      <w:pPr>
        <w:pStyle w:val="PL"/>
      </w:pPr>
      <w:r w:rsidRPr="00FA0D37">
        <w:t xml:space="preserve">    [[</w:t>
      </w:r>
    </w:p>
    <w:p w14:paraId="0061A80B" w14:textId="77777777" w:rsidR="00394471" w:rsidRPr="00FA0D37" w:rsidRDefault="00394471" w:rsidP="00FA0D37">
      <w:pPr>
        <w:pStyle w:val="PL"/>
      </w:pPr>
      <w:r w:rsidRPr="00FA0D37">
        <w:lastRenderedPageBreak/>
        <w:t xml:space="preserve">    dl-SchedulingOffset-PDSCH-TypeA     </w:t>
      </w:r>
      <w:r w:rsidRPr="00FA0D37">
        <w:rPr>
          <w:color w:val="993366"/>
        </w:rPr>
        <w:t>ENUMERATED</w:t>
      </w:r>
      <w:r w:rsidRPr="00FA0D37">
        <w:t xml:space="preserve"> {supported}                      </w:t>
      </w:r>
      <w:r w:rsidRPr="00FA0D37">
        <w:rPr>
          <w:color w:val="993366"/>
        </w:rPr>
        <w:t>OPTIONAL</w:t>
      </w:r>
      <w:r w:rsidRPr="00FA0D37">
        <w:t>,</w:t>
      </w:r>
    </w:p>
    <w:p w14:paraId="3D786D16" w14:textId="77777777" w:rsidR="00394471" w:rsidRPr="00FA0D37" w:rsidRDefault="00394471" w:rsidP="00FA0D37">
      <w:pPr>
        <w:pStyle w:val="PL"/>
      </w:pPr>
      <w:r w:rsidRPr="00FA0D37">
        <w:t xml:space="preserve">    dl-SchedulingOffset-PDSCH-TypeB     </w:t>
      </w:r>
      <w:r w:rsidRPr="00FA0D37">
        <w:rPr>
          <w:color w:val="993366"/>
        </w:rPr>
        <w:t>ENUMERATED</w:t>
      </w:r>
      <w:r w:rsidRPr="00FA0D37">
        <w:t xml:space="preserve"> {supported}                      </w:t>
      </w:r>
      <w:r w:rsidRPr="00FA0D37">
        <w:rPr>
          <w:color w:val="993366"/>
        </w:rPr>
        <w:t>OPTIONAL</w:t>
      </w:r>
      <w:r w:rsidRPr="00FA0D37">
        <w:t>,</w:t>
      </w:r>
    </w:p>
    <w:p w14:paraId="4FFDBC96" w14:textId="77777777" w:rsidR="00394471" w:rsidRPr="00FA0D37" w:rsidRDefault="00394471" w:rsidP="00FA0D37">
      <w:pPr>
        <w:pStyle w:val="PL"/>
      </w:pPr>
      <w:r w:rsidRPr="00FA0D37">
        <w:t xml:space="preserve">    ul-SchedulingOffset                 </w:t>
      </w:r>
      <w:r w:rsidRPr="00FA0D37">
        <w:rPr>
          <w:color w:val="993366"/>
        </w:rPr>
        <w:t>ENUMERATED</w:t>
      </w:r>
      <w:r w:rsidRPr="00FA0D37">
        <w:t xml:space="preserve"> {supported}                      </w:t>
      </w:r>
      <w:r w:rsidRPr="00FA0D37">
        <w:rPr>
          <w:color w:val="993366"/>
        </w:rPr>
        <w:t>OPTIONAL</w:t>
      </w:r>
    </w:p>
    <w:p w14:paraId="54389551" w14:textId="77777777" w:rsidR="00394471" w:rsidRPr="00FA0D37" w:rsidRDefault="00394471" w:rsidP="00FA0D37">
      <w:pPr>
        <w:pStyle w:val="PL"/>
      </w:pPr>
      <w:r w:rsidRPr="00FA0D37">
        <w:t xml:space="preserve">    ]]</w:t>
      </w:r>
    </w:p>
    <w:p w14:paraId="19C52190" w14:textId="77777777" w:rsidR="00394471" w:rsidRPr="00FA0D37" w:rsidRDefault="00394471" w:rsidP="00FA0D37">
      <w:pPr>
        <w:pStyle w:val="PL"/>
      </w:pPr>
      <w:r w:rsidRPr="00FA0D37">
        <w:t>}</w:t>
      </w:r>
    </w:p>
    <w:p w14:paraId="3AA562AF" w14:textId="77777777" w:rsidR="00394471" w:rsidRPr="00FA0D37" w:rsidRDefault="00394471" w:rsidP="00FA0D37">
      <w:pPr>
        <w:pStyle w:val="PL"/>
      </w:pPr>
    </w:p>
    <w:p w14:paraId="75C7B773" w14:textId="77777777" w:rsidR="00394471" w:rsidRPr="00FA0D37" w:rsidRDefault="00394471" w:rsidP="00FA0D37">
      <w:pPr>
        <w:pStyle w:val="PL"/>
      </w:pPr>
      <w:r w:rsidRPr="00FA0D37">
        <w:t xml:space="preserve">Phy-ParametersFRX-Diff ::=                  </w:t>
      </w:r>
      <w:r w:rsidRPr="00FA0D37">
        <w:rPr>
          <w:color w:val="993366"/>
        </w:rPr>
        <w:t>SEQUENCE</w:t>
      </w:r>
      <w:r w:rsidRPr="00FA0D37">
        <w:t xml:space="preserve"> {</w:t>
      </w:r>
    </w:p>
    <w:p w14:paraId="09D5BBDB" w14:textId="77777777" w:rsidR="00394471" w:rsidRPr="00FA0D37" w:rsidRDefault="00394471" w:rsidP="00FA0D37">
      <w:pPr>
        <w:pStyle w:val="PL"/>
      </w:pPr>
      <w:r w:rsidRPr="00FA0D37">
        <w:t xml:space="preserve">    dynamicSFI                                  </w:t>
      </w:r>
      <w:r w:rsidRPr="00FA0D37">
        <w:rPr>
          <w:color w:val="993366"/>
        </w:rPr>
        <w:t>ENUMERATED</w:t>
      </w:r>
      <w:r w:rsidRPr="00FA0D37">
        <w:t xml:space="preserve"> {supported}                      </w:t>
      </w:r>
      <w:r w:rsidRPr="00FA0D37">
        <w:rPr>
          <w:color w:val="993366"/>
        </w:rPr>
        <w:t>OPTIONAL</w:t>
      </w:r>
      <w:r w:rsidRPr="00FA0D37">
        <w:t>,</w:t>
      </w:r>
    </w:p>
    <w:p w14:paraId="67946472" w14:textId="77777777" w:rsidR="00394471" w:rsidRPr="00FA0D37" w:rsidRDefault="00394471" w:rsidP="00FA0D37">
      <w:pPr>
        <w:pStyle w:val="PL"/>
      </w:pPr>
      <w:r w:rsidRPr="00FA0D37">
        <w:t xml:space="preserve">    dummy1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                       </w:t>
      </w:r>
      <w:r w:rsidRPr="00FA0D37">
        <w:rPr>
          <w:color w:val="993366"/>
        </w:rPr>
        <w:t>OPTIONAL</w:t>
      </w:r>
      <w:r w:rsidRPr="00FA0D37">
        <w:t>,</w:t>
      </w:r>
    </w:p>
    <w:p w14:paraId="42DE69D7" w14:textId="77777777" w:rsidR="00394471" w:rsidRPr="00FA0D37" w:rsidRDefault="00394471" w:rsidP="00FA0D37">
      <w:pPr>
        <w:pStyle w:val="PL"/>
      </w:pPr>
      <w:r w:rsidRPr="00FA0D37">
        <w:t xml:space="preserve">    twoFL-DMRS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                       </w:t>
      </w:r>
      <w:r w:rsidRPr="00FA0D37">
        <w:rPr>
          <w:color w:val="993366"/>
        </w:rPr>
        <w:t>OPTIONAL</w:t>
      </w:r>
      <w:r w:rsidRPr="00FA0D37">
        <w:t>,</w:t>
      </w:r>
    </w:p>
    <w:p w14:paraId="698F43AE" w14:textId="77777777" w:rsidR="00394471" w:rsidRPr="00FA0D37" w:rsidRDefault="00394471" w:rsidP="00FA0D37">
      <w:pPr>
        <w:pStyle w:val="PL"/>
      </w:pPr>
      <w:r w:rsidRPr="00FA0D37">
        <w:t xml:space="preserve">    dummy2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                       </w:t>
      </w:r>
      <w:r w:rsidRPr="00FA0D37">
        <w:rPr>
          <w:color w:val="993366"/>
        </w:rPr>
        <w:t>OPTIONAL</w:t>
      </w:r>
      <w:r w:rsidRPr="00FA0D37">
        <w:t>,</w:t>
      </w:r>
    </w:p>
    <w:p w14:paraId="38245D9A" w14:textId="77777777" w:rsidR="00394471" w:rsidRPr="00FA0D37" w:rsidRDefault="00394471" w:rsidP="00FA0D37">
      <w:pPr>
        <w:pStyle w:val="PL"/>
      </w:pPr>
      <w:r w:rsidRPr="00FA0D37">
        <w:t xml:space="preserve">    dummy3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                       </w:t>
      </w:r>
      <w:r w:rsidRPr="00FA0D37">
        <w:rPr>
          <w:color w:val="993366"/>
        </w:rPr>
        <w:t>OPTIONAL</w:t>
      </w:r>
      <w:r w:rsidRPr="00FA0D37">
        <w:t>,</w:t>
      </w:r>
    </w:p>
    <w:p w14:paraId="6627AC4B" w14:textId="77777777" w:rsidR="00394471" w:rsidRPr="00FA0D37" w:rsidRDefault="00394471" w:rsidP="00FA0D37">
      <w:pPr>
        <w:pStyle w:val="PL"/>
      </w:pPr>
      <w:r w:rsidRPr="00FA0D37">
        <w:t xml:space="preserve">    supportedDMRS-TypeDL                        </w:t>
      </w:r>
      <w:r w:rsidRPr="00FA0D37">
        <w:rPr>
          <w:color w:val="993366"/>
        </w:rPr>
        <w:t>ENUMERATED</w:t>
      </w:r>
      <w:r w:rsidRPr="00FA0D37">
        <w:t xml:space="preserve"> {type1, type1And2}               </w:t>
      </w:r>
      <w:r w:rsidRPr="00FA0D37">
        <w:rPr>
          <w:color w:val="993366"/>
        </w:rPr>
        <w:t>OPTIONAL</w:t>
      </w:r>
      <w:r w:rsidRPr="00FA0D37">
        <w:t>,</w:t>
      </w:r>
    </w:p>
    <w:p w14:paraId="1B09A0CD" w14:textId="77777777" w:rsidR="00394471" w:rsidRPr="00FA0D37" w:rsidRDefault="00394471" w:rsidP="00FA0D37">
      <w:pPr>
        <w:pStyle w:val="PL"/>
      </w:pPr>
      <w:r w:rsidRPr="00FA0D37">
        <w:t xml:space="preserve">    supportedDMRS-TypeUL                        </w:t>
      </w:r>
      <w:r w:rsidRPr="00FA0D37">
        <w:rPr>
          <w:color w:val="993366"/>
        </w:rPr>
        <w:t>ENUMERATED</w:t>
      </w:r>
      <w:r w:rsidRPr="00FA0D37">
        <w:t xml:space="preserve"> {type1, type1And2}               </w:t>
      </w:r>
      <w:r w:rsidRPr="00FA0D37">
        <w:rPr>
          <w:color w:val="993366"/>
        </w:rPr>
        <w:t>OPTIONAL</w:t>
      </w:r>
      <w:r w:rsidRPr="00FA0D37">
        <w:t>,</w:t>
      </w:r>
    </w:p>
    <w:p w14:paraId="5B6A8CFF" w14:textId="77777777" w:rsidR="00394471" w:rsidRPr="00FA0D37" w:rsidRDefault="00394471" w:rsidP="00FA0D37">
      <w:pPr>
        <w:pStyle w:val="PL"/>
      </w:pPr>
      <w:r w:rsidRPr="00FA0D37">
        <w:t xml:space="preserve">    semiOpenLoopCSI                             </w:t>
      </w:r>
      <w:r w:rsidRPr="00FA0D37">
        <w:rPr>
          <w:color w:val="993366"/>
        </w:rPr>
        <w:t>ENUMERATED</w:t>
      </w:r>
      <w:r w:rsidRPr="00FA0D37">
        <w:t xml:space="preserve"> {supported}                      </w:t>
      </w:r>
      <w:r w:rsidRPr="00FA0D37">
        <w:rPr>
          <w:color w:val="993366"/>
        </w:rPr>
        <w:t>OPTIONAL</w:t>
      </w:r>
      <w:r w:rsidRPr="00FA0D37">
        <w:t>,</w:t>
      </w:r>
    </w:p>
    <w:p w14:paraId="21AFF924" w14:textId="77777777" w:rsidR="00394471" w:rsidRPr="00FA0D37" w:rsidRDefault="00394471" w:rsidP="00FA0D37">
      <w:pPr>
        <w:pStyle w:val="PL"/>
      </w:pPr>
      <w:r w:rsidRPr="00FA0D37">
        <w:t xml:space="preserve">    csi-ReportWithoutPMI                        </w:t>
      </w:r>
      <w:r w:rsidRPr="00FA0D37">
        <w:rPr>
          <w:color w:val="993366"/>
        </w:rPr>
        <w:t>ENUMERATED</w:t>
      </w:r>
      <w:r w:rsidRPr="00FA0D37">
        <w:t xml:space="preserve"> {supported}                      </w:t>
      </w:r>
      <w:r w:rsidRPr="00FA0D37">
        <w:rPr>
          <w:color w:val="993366"/>
        </w:rPr>
        <w:t>OPTIONAL</w:t>
      </w:r>
      <w:r w:rsidRPr="00FA0D37">
        <w:t>,</w:t>
      </w:r>
    </w:p>
    <w:p w14:paraId="76F5A022" w14:textId="77777777" w:rsidR="00394471" w:rsidRPr="00FA0D37" w:rsidRDefault="00394471" w:rsidP="00FA0D37">
      <w:pPr>
        <w:pStyle w:val="PL"/>
      </w:pPr>
      <w:r w:rsidRPr="00FA0D37">
        <w:t xml:space="preserve">    csi-ReportWithoutCQI                        </w:t>
      </w:r>
      <w:r w:rsidRPr="00FA0D37">
        <w:rPr>
          <w:color w:val="993366"/>
        </w:rPr>
        <w:t>ENUMERATED</w:t>
      </w:r>
      <w:r w:rsidRPr="00FA0D37">
        <w:t xml:space="preserve"> {supported}                      </w:t>
      </w:r>
      <w:r w:rsidRPr="00FA0D37">
        <w:rPr>
          <w:color w:val="993366"/>
        </w:rPr>
        <w:t>OPTIONAL</w:t>
      </w:r>
      <w:r w:rsidRPr="00FA0D37">
        <w:t>,</w:t>
      </w:r>
    </w:p>
    <w:p w14:paraId="480D322F" w14:textId="77777777" w:rsidR="00394471" w:rsidRPr="00FA0D37" w:rsidRDefault="00394471" w:rsidP="00FA0D37">
      <w:pPr>
        <w:pStyle w:val="PL"/>
      </w:pPr>
      <w:r w:rsidRPr="00FA0D37">
        <w:t xml:space="preserve">    onePortsPTRS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                       </w:t>
      </w:r>
      <w:r w:rsidRPr="00FA0D37">
        <w:rPr>
          <w:color w:val="993366"/>
        </w:rPr>
        <w:t>OPTIONAL</w:t>
      </w:r>
      <w:r w:rsidRPr="00FA0D37">
        <w:t>,</w:t>
      </w:r>
    </w:p>
    <w:p w14:paraId="3D4B1C67" w14:textId="77777777" w:rsidR="00394471" w:rsidRPr="00FA0D37" w:rsidRDefault="00394471" w:rsidP="00FA0D37">
      <w:pPr>
        <w:pStyle w:val="PL"/>
      </w:pPr>
      <w:r w:rsidRPr="00FA0D37">
        <w:t xml:space="preserve">    twoPUCCH-F0-2-ConsecSymbols                 </w:t>
      </w:r>
      <w:r w:rsidRPr="00FA0D37">
        <w:rPr>
          <w:color w:val="993366"/>
        </w:rPr>
        <w:t>ENUMERATED</w:t>
      </w:r>
      <w:r w:rsidRPr="00FA0D37">
        <w:t xml:space="preserve"> {supported}                      </w:t>
      </w:r>
      <w:r w:rsidRPr="00FA0D37">
        <w:rPr>
          <w:color w:val="993366"/>
        </w:rPr>
        <w:t>OPTIONAL</w:t>
      </w:r>
      <w:r w:rsidRPr="00FA0D37">
        <w:t>,</w:t>
      </w:r>
    </w:p>
    <w:p w14:paraId="058D6168" w14:textId="77777777" w:rsidR="00394471" w:rsidRPr="00FA0D37" w:rsidRDefault="00394471" w:rsidP="00FA0D37">
      <w:pPr>
        <w:pStyle w:val="PL"/>
      </w:pPr>
      <w:r w:rsidRPr="00FA0D37">
        <w:t xml:space="preserve">    pucch-F2-WithFH                             </w:t>
      </w:r>
      <w:r w:rsidRPr="00FA0D37">
        <w:rPr>
          <w:color w:val="993366"/>
        </w:rPr>
        <w:t>ENUMERATED</w:t>
      </w:r>
      <w:r w:rsidRPr="00FA0D37">
        <w:t xml:space="preserve"> {supported}                      </w:t>
      </w:r>
      <w:r w:rsidRPr="00FA0D37">
        <w:rPr>
          <w:color w:val="993366"/>
        </w:rPr>
        <w:t>OPTIONAL</w:t>
      </w:r>
      <w:r w:rsidRPr="00FA0D37">
        <w:t>,</w:t>
      </w:r>
    </w:p>
    <w:p w14:paraId="1BDE78EC" w14:textId="77777777" w:rsidR="00394471" w:rsidRPr="00FA0D37" w:rsidRDefault="00394471" w:rsidP="00FA0D37">
      <w:pPr>
        <w:pStyle w:val="PL"/>
      </w:pPr>
      <w:r w:rsidRPr="00FA0D37">
        <w:t xml:space="preserve">    pucch-F3-WithFH                             </w:t>
      </w:r>
      <w:r w:rsidRPr="00FA0D37">
        <w:rPr>
          <w:color w:val="993366"/>
        </w:rPr>
        <w:t>ENUMERATED</w:t>
      </w:r>
      <w:r w:rsidRPr="00FA0D37">
        <w:t xml:space="preserve"> {supported}                      </w:t>
      </w:r>
      <w:r w:rsidRPr="00FA0D37">
        <w:rPr>
          <w:color w:val="993366"/>
        </w:rPr>
        <w:t>OPTIONAL</w:t>
      </w:r>
      <w:r w:rsidRPr="00FA0D37">
        <w:t>,</w:t>
      </w:r>
    </w:p>
    <w:p w14:paraId="40D1BAAB" w14:textId="77777777" w:rsidR="00394471" w:rsidRPr="00FA0D37" w:rsidRDefault="00394471" w:rsidP="00FA0D37">
      <w:pPr>
        <w:pStyle w:val="PL"/>
      </w:pPr>
      <w:r w:rsidRPr="00FA0D37">
        <w:t xml:space="preserve">    pucch-F4-WithFH                             </w:t>
      </w:r>
      <w:r w:rsidRPr="00FA0D37">
        <w:rPr>
          <w:color w:val="993366"/>
        </w:rPr>
        <w:t>ENUMERATED</w:t>
      </w:r>
      <w:r w:rsidRPr="00FA0D37">
        <w:t xml:space="preserve"> {supported}                      </w:t>
      </w:r>
      <w:r w:rsidRPr="00FA0D37">
        <w:rPr>
          <w:color w:val="993366"/>
        </w:rPr>
        <w:t>OPTIONAL</w:t>
      </w:r>
      <w:r w:rsidRPr="00FA0D37">
        <w:t>,</w:t>
      </w:r>
    </w:p>
    <w:p w14:paraId="48F31028" w14:textId="77777777" w:rsidR="00394471" w:rsidRPr="00FA0D37" w:rsidRDefault="00394471" w:rsidP="00FA0D37">
      <w:pPr>
        <w:pStyle w:val="PL"/>
      </w:pPr>
      <w:r w:rsidRPr="00FA0D37">
        <w:t xml:space="preserve">    pucch-F0-2WithoutFH                         </w:t>
      </w:r>
      <w:r w:rsidRPr="00FA0D37">
        <w:rPr>
          <w:color w:val="993366"/>
        </w:rPr>
        <w:t>ENUMERATED</w:t>
      </w:r>
      <w:r w:rsidRPr="00FA0D37">
        <w:t xml:space="preserve"> {notSupported}                   </w:t>
      </w:r>
      <w:r w:rsidRPr="00FA0D37">
        <w:rPr>
          <w:color w:val="993366"/>
        </w:rPr>
        <w:t>OPTIONAL</w:t>
      </w:r>
      <w:r w:rsidRPr="00FA0D37">
        <w:t>,</w:t>
      </w:r>
    </w:p>
    <w:p w14:paraId="2FBFA6CC" w14:textId="77777777" w:rsidR="00394471" w:rsidRPr="00FA0D37" w:rsidRDefault="00394471" w:rsidP="00FA0D37">
      <w:pPr>
        <w:pStyle w:val="PL"/>
      </w:pPr>
      <w:r w:rsidRPr="00FA0D37">
        <w:t xml:space="preserve">    pucch-F1-3-4WithoutFH                       </w:t>
      </w:r>
      <w:r w:rsidRPr="00FA0D37">
        <w:rPr>
          <w:color w:val="993366"/>
        </w:rPr>
        <w:t>ENUMERATED</w:t>
      </w:r>
      <w:r w:rsidRPr="00FA0D37">
        <w:t xml:space="preserve"> {notSupported}                   </w:t>
      </w:r>
      <w:r w:rsidRPr="00FA0D37">
        <w:rPr>
          <w:color w:val="993366"/>
        </w:rPr>
        <w:t>OPTIONAL</w:t>
      </w:r>
      <w:r w:rsidRPr="00FA0D37">
        <w:t>,</w:t>
      </w:r>
    </w:p>
    <w:p w14:paraId="666EB8E6" w14:textId="77777777" w:rsidR="00394471" w:rsidRPr="00FA0D37" w:rsidRDefault="00394471" w:rsidP="00FA0D37">
      <w:pPr>
        <w:pStyle w:val="PL"/>
      </w:pPr>
      <w:r w:rsidRPr="00FA0D37">
        <w:t xml:space="preserve">    mux-SR-HARQ-ACK-CSI-PUCCH-MultiPerSlot      </w:t>
      </w:r>
      <w:r w:rsidRPr="00FA0D37">
        <w:rPr>
          <w:color w:val="993366"/>
        </w:rPr>
        <w:t>ENUMERATED</w:t>
      </w:r>
      <w:r w:rsidRPr="00FA0D37">
        <w:t xml:space="preserve"> {supported}                      </w:t>
      </w:r>
      <w:r w:rsidRPr="00FA0D37">
        <w:rPr>
          <w:color w:val="993366"/>
        </w:rPr>
        <w:t>OPTIONAL</w:t>
      </w:r>
      <w:r w:rsidRPr="00FA0D37">
        <w:t>,</w:t>
      </w:r>
    </w:p>
    <w:p w14:paraId="40B832C3" w14:textId="77777777" w:rsidR="00394471" w:rsidRPr="00FA0D37" w:rsidRDefault="00394471" w:rsidP="00FA0D37">
      <w:pPr>
        <w:pStyle w:val="PL"/>
      </w:pPr>
      <w:r w:rsidRPr="00FA0D37">
        <w:t xml:space="preserve">    uci-CodeBlockSegmentation                   </w:t>
      </w:r>
      <w:r w:rsidRPr="00FA0D37">
        <w:rPr>
          <w:color w:val="993366"/>
        </w:rPr>
        <w:t>ENUMERATED</w:t>
      </w:r>
      <w:r w:rsidRPr="00FA0D37">
        <w:t xml:space="preserve"> {supported}                      </w:t>
      </w:r>
      <w:r w:rsidRPr="00FA0D37">
        <w:rPr>
          <w:color w:val="993366"/>
        </w:rPr>
        <w:t>OPTIONAL</w:t>
      </w:r>
      <w:r w:rsidRPr="00FA0D37">
        <w:t>,</w:t>
      </w:r>
    </w:p>
    <w:p w14:paraId="75802932" w14:textId="77777777" w:rsidR="00394471" w:rsidRPr="00FA0D37" w:rsidRDefault="00394471" w:rsidP="00FA0D37">
      <w:pPr>
        <w:pStyle w:val="PL"/>
      </w:pPr>
      <w:r w:rsidRPr="00FA0D37">
        <w:t xml:space="preserve">    onePUCCH-LongAndShortFormat                 </w:t>
      </w:r>
      <w:r w:rsidRPr="00FA0D37">
        <w:rPr>
          <w:color w:val="993366"/>
        </w:rPr>
        <w:t>ENUMERATED</w:t>
      </w:r>
      <w:r w:rsidRPr="00FA0D37">
        <w:t xml:space="preserve"> {supported}                      </w:t>
      </w:r>
      <w:r w:rsidRPr="00FA0D37">
        <w:rPr>
          <w:color w:val="993366"/>
        </w:rPr>
        <w:t>OPTIONAL</w:t>
      </w:r>
      <w:r w:rsidRPr="00FA0D37">
        <w:t>,</w:t>
      </w:r>
    </w:p>
    <w:p w14:paraId="50B95282" w14:textId="77777777" w:rsidR="00394471" w:rsidRPr="00FA0D37" w:rsidRDefault="00394471" w:rsidP="00FA0D37">
      <w:pPr>
        <w:pStyle w:val="PL"/>
      </w:pPr>
      <w:r w:rsidRPr="00FA0D37">
        <w:t xml:space="preserve">    twoPUCCH-AnyOthersInSlot                    </w:t>
      </w:r>
      <w:r w:rsidRPr="00FA0D37">
        <w:rPr>
          <w:color w:val="993366"/>
        </w:rPr>
        <w:t>ENUMERATED</w:t>
      </w:r>
      <w:r w:rsidRPr="00FA0D37">
        <w:t xml:space="preserve"> {supported}                      </w:t>
      </w:r>
      <w:r w:rsidRPr="00FA0D37">
        <w:rPr>
          <w:color w:val="993366"/>
        </w:rPr>
        <w:t>OPTIONAL</w:t>
      </w:r>
      <w:r w:rsidRPr="00FA0D37">
        <w:t>,</w:t>
      </w:r>
    </w:p>
    <w:p w14:paraId="709F1C11" w14:textId="77777777" w:rsidR="00394471" w:rsidRPr="00FA0D37" w:rsidRDefault="00394471" w:rsidP="00FA0D37">
      <w:pPr>
        <w:pStyle w:val="PL"/>
      </w:pPr>
      <w:r w:rsidRPr="00FA0D37">
        <w:t xml:space="preserve">    intraSlotFreqHopping-PUSCH                  </w:t>
      </w:r>
      <w:r w:rsidRPr="00FA0D37">
        <w:rPr>
          <w:color w:val="993366"/>
        </w:rPr>
        <w:t>ENUMERATED</w:t>
      </w:r>
      <w:r w:rsidRPr="00FA0D37">
        <w:t xml:space="preserve"> {supported}                      </w:t>
      </w:r>
      <w:r w:rsidRPr="00FA0D37">
        <w:rPr>
          <w:color w:val="993366"/>
        </w:rPr>
        <w:t>OPTIONAL</w:t>
      </w:r>
      <w:r w:rsidRPr="00FA0D37">
        <w:t>,</w:t>
      </w:r>
    </w:p>
    <w:p w14:paraId="2304A606" w14:textId="77777777" w:rsidR="00394471" w:rsidRPr="00FA0D37" w:rsidRDefault="00394471" w:rsidP="00FA0D37">
      <w:pPr>
        <w:pStyle w:val="PL"/>
      </w:pPr>
      <w:r w:rsidRPr="00FA0D37">
        <w:t xml:space="preserve">    pusch-LBRM                                  </w:t>
      </w:r>
      <w:r w:rsidRPr="00FA0D37">
        <w:rPr>
          <w:color w:val="993366"/>
        </w:rPr>
        <w:t>ENUMERATED</w:t>
      </w:r>
      <w:r w:rsidRPr="00FA0D37">
        <w:t xml:space="preserve"> {supported}                      </w:t>
      </w:r>
      <w:r w:rsidRPr="00FA0D37">
        <w:rPr>
          <w:color w:val="993366"/>
        </w:rPr>
        <w:t>OPTIONAL</w:t>
      </w:r>
      <w:r w:rsidRPr="00FA0D37">
        <w:t>,</w:t>
      </w:r>
    </w:p>
    <w:p w14:paraId="0461F2C0" w14:textId="77777777" w:rsidR="00394471" w:rsidRPr="00FA0D37" w:rsidRDefault="00394471" w:rsidP="00FA0D37">
      <w:pPr>
        <w:pStyle w:val="PL"/>
      </w:pPr>
      <w:r w:rsidRPr="00FA0D37">
        <w:t xml:space="preserve">    pdcch-BlindDetectionCA                      </w:t>
      </w:r>
      <w:r w:rsidRPr="00FA0D37">
        <w:rPr>
          <w:color w:val="993366"/>
        </w:rPr>
        <w:t>INTEGER</w:t>
      </w:r>
      <w:r w:rsidRPr="00FA0D37">
        <w:t xml:space="preserve"> (4..16)                             </w:t>
      </w:r>
      <w:r w:rsidRPr="00FA0D37">
        <w:rPr>
          <w:color w:val="993366"/>
        </w:rPr>
        <w:t>OPTIONAL</w:t>
      </w:r>
      <w:r w:rsidRPr="00FA0D37">
        <w:t>,</w:t>
      </w:r>
    </w:p>
    <w:p w14:paraId="3CAA5690" w14:textId="77777777" w:rsidR="00394471" w:rsidRPr="00FA0D37" w:rsidRDefault="00394471" w:rsidP="00FA0D37">
      <w:pPr>
        <w:pStyle w:val="PL"/>
      </w:pPr>
      <w:r w:rsidRPr="00FA0D37">
        <w:t xml:space="preserve">    tpc-PUSCH-RNTI                              </w:t>
      </w:r>
      <w:r w:rsidRPr="00FA0D37">
        <w:rPr>
          <w:color w:val="993366"/>
        </w:rPr>
        <w:t>ENUMERATED</w:t>
      </w:r>
      <w:r w:rsidRPr="00FA0D37">
        <w:t xml:space="preserve"> {supported}                      </w:t>
      </w:r>
      <w:r w:rsidRPr="00FA0D37">
        <w:rPr>
          <w:color w:val="993366"/>
        </w:rPr>
        <w:t>OPTIONAL</w:t>
      </w:r>
      <w:r w:rsidRPr="00FA0D37">
        <w:t>,</w:t>
      </w:r>
    </w:p>
    <w:p w14:paraId="6DC7AF99" w14:textId="77777777" w:rsidR="00394471" w:rsidRPr="00FA0D37" w:rsidRDefault="00394471" w:rsidP="00FA0D37">
      <w:pPr>
        <w:pStyle w:val="PL"/>
      </w:pPr>
      <w:r w:rsidRPr="00FA0D37">
        <w:t xml:space="preserve">    tpc-PUCCH-RNTI                              </w:t>
      </w:r>
      <w:r w:rsidRPr="00FA0D37">
        <w:rPr>
          <w:color w:val="993366"/>
        </w:rPr>
        <w:t>ENUMERATED</w:t>
      </w:r>
      <w:r w:rsidRPr="00FA0D37">
        <w:t xml:space="preserve"> {supported}                      </w:t>
      </w:r>
      <w:r w:rsidRPr="00FA0D37">
        <w:rPr>
          <w:color w:val="993366"/>
        </w:rPr>
        <w:t>OPTIONAL</w:t>
      </w:r>
      <w:r w:rsidRPr="00FA0D37">
        <w:t>,</w:t>
      </w:r>
    </w:p>
    <w:p w14:paraId="20A85FE5" w14:textId="77777777" w:rsidR="00394471" w:rsidRPr="00FA0D37" w:rsidRDefault="00394471" w:rsidP="00FA0D37">
      <w:pPr>
        <w:pStyle w:val="PL"/>
      </w:pPr>
      <w:r w:rsidRPr="00FA0D37">
        <w:t xml:space="preserve">    tpc-SRS-RNTI                                </w:t>
      </w:r>
      <w:r w:rsidRPr="00FA0D37">
        <w:rPr>
          <w:color w:val="993366"/>
        </w:rPr>
        <w:t>ENUMERATED</w:t>
      </w:r>
      <w:r w:rsidRPr="00FA0D37">
        <w:t xml:space="preserve"> {supported}                      </w:t>
      </w:r>
      <w:r w:rsidRPr="00FA0D37">
        <w:rPr>
          <w:color w:val="993366"/>
        </w:rPr>
        <w:t>OPTIONAL</w:t>
      </w:r>
      <w:r w:rsidRPr="00FA0D37">
        <w:t>,</w:t>
      </w:r>
    </w:p>
    <w:p w14:paraId="76738976" w14:textId="77777777" w:rsidR="00394471" w:rsidRPr="00FA0D37" w:rsidRDefault="00394471" w:rsidP="00FA0D37">
      <w:pPr>
        <w:pStyle w:val="PL"/>
      </w:pPr>
      <w:r w:rsidRPr="00FA0D37">
        <w:t xml:space="preserve">    absoluteTPC-Command                         </w:t>
      </w:r>
      <w:r w:rsidRPr="00FA0D37">
        <w:rPr>
          <w:color w:val="993366"/>
        </w:rPr>
        <w:t>ENUMERATED</w:t>
      </w:r>
      <w:r w:rsidRPr="00FA0D37">
        <w:t xml:space="preserve"> {supported}                      </w:t>
      </w:r>
      <w:r w:rsidRPr="00FA0D37">
        <w:rPr>
          <w:color w:val="993366"/>
        </w:rPr>
        <w:t>OPTIONAL</w:t>
      </w:r>
      <w:r w:rsidRPr="00FA0D37">
        <w:t>,</w:t>
      </w:r>
    </w:p>
    <w:p w14:paraId="496D79B0" w14:textId="77777777" w:rsidR="00394471" w:rsidRPr="00FA0D37" w:rsidRDefault="00394471" w:rsidP="00FA0D37">
      <w:pPr>
        <w:pStyle w:val="PL"/>
      </w:pPr>
      <w:r w:rsidRPr="00FA0D37">
        <w:t xml:space="preserve">    twoDifferentTPC-Loop-PUSCH                  </w:t>
      </w:r>
      <w:r w:rsidRPr="00FA0D37">
        <w:rPr>
          <w:color w:val="993366"/>
        </w:rPr>
        <w:t>ENUMERATED</w:t>
      </w:r>
      <w:r w:rsidRPr="00FA0D37">
        <w:t xml:space="preserve"> {supported}                      </w:t>
      </w:r>
      <w:r w:rsidRPr="00FA0D37">
        <w:rPr>
          <w:color w:val="993366"/>
        </w:rPr>
        <w:t>OPTIONAL</w:t>
      </w:r>
      <w:r w:rsidRPr="00FA0D37">
        <w:t>,</w:t>
      </w:r>
    </w:p>
    <w:p w14:paraId="07E23EAA" w14:textId="77777777" w:rsidR="00394471" w:rsidRPr="00FA0D37" w:rsidRDefault="00394471" w:rsidP="00FA0D37">
      <w:pPr>
        <w:pStyle w:val="PL"/>
      </w:pPr>
      <w:r w:rsidRPr="00FA0D37">
        <w:t xml:space="preserve">    twoDifferentTPC-Loop-PUCCH                  </w:t>
      </w:r>
      <w:r w:rsidRPr="00FA0D37">
        <w:rPr>
          <w:color w:val="993366"/>
        </w:rPr>
        <w:t>ENUMERATED</w:t>
      </w:r>
      <w:r w:rsidRPr="00FA0D37">
        <w:t xml:space="preserve"> {supported}                      </w:t>
      </w:r>
      <w:r w:rsidRPr="00FA0D37">
        <w:rPr>
          <w:color w:val="993366"/>
        </w:rPr>
        <w:t>OPTIONAL</w:t>
      </w:r>
      <w:r w:rsidRPr="00FA0D37">
        <w:t>,</w:t>
      </w:r>
    </w:p>
    <w:p w14:paraId="0D8ABE8D" w14:textId="77777777" w:rsidR="00394471" w:rsidRPr="00FA0D37" w:rsidRDefault="00394471" w:rsidP="00FA0D37">
      <w:pPr>
        <w:pStyle w:val="PL"/>
      </w:pPr>
      <w:r w:rsidRPr="00FA0D37">
        <w:t xml:space="preserve">    pusch-HalfPi-BPSK                           </w:t>
      </w:r>
      <w:r w:rsidRPr="00FA0D37">
        <w:rPr>
          <w:color w:val="993366"/>
        </w:rPr>
        <w:t>ENUMERATED</w:t>
      </w:r>
      <w:r w:rsidRPr="00FA0D37">
        <w:t xml:space="preserve"> {supported}                      </w:t>
      </w:r>
      <w:r w:rsidRPr="00FA0D37">
        <w:rPr>
          <w:color w:val="993366"/>
        </w:rPr>
        <w:t>OPTIONAL</w:t>
      </w:r>
      <w:r w:rsidRPr="00FA0D37">
        <w:t>,</w:t>
      </w:r>
    </w:p>
    <w:p w14:paraId="1EBCE2F1" w14:textId="77777777" w:rsidR="00394471" w:rsidRPr="00FA0D37" w:rsidRDefault="00394471" w:rsidP="00FA0D37">
      <w:pPr>
        <w:pStyle w:val="PL"/>
      </w:pPr>
      <w:r w:rsidRPr="00FA0D37">
        <w:t xml:space="preserve">    pucch-F3-4-HalfPi-BPSK                      </w:t>
      </w:r>
      <w:r w:rsidRPr="00FA0D37">
        <w:rPr>
          <w:color w:val="993366"/>
        </w:rPr>
        <w:t>ENUMERATED</w:t>
      </w:r>
      <w:r w:rsidRPr="00FA0D37">
        <w:t xml:space="preserve"> {supported}                      </w:t>
      </w:r>
      <w:r w:rsidRPr="00FA0D37">
        <w:rPr>
          <w:color w:val="993366"/>
        </w:rPr>
        <w:t>OPTIONAL</w:t>
      </w:r>
      <w:r w:rsidRPr="00FA0D37">
        <w:t>,</w:t>
      </w:r>
    </w:p>
    <w:p w14:paraId="4F5B0879" w14:textId="77777777" w:rsidR="00394471" w:rsidRPr="00FA0D37" w:rsidRDefault="00394471" w:rsidP="00FA0D37">
      <w:pPr>
        <w:pStyle w:val="PL"/>
      </w:pPr>
      <w:r w:rsidRPr="00FA0D37">
        <w:t xml:space="preserve">    almostContiguousCP-OFDM-UL                  </w:t>
      </w:r>
      <w:r w:rsidRPr="00FA0D37">
        <w:rPr>
          <w:color w:val="993366"/>
        </w:rPr>
        <w:t>ENUMERATED</w:t>
      </w:r>
      <w:r w:rsidRPr="00FA0D37">
        <w:t xml:space="preserve"> {supported}                      </w:t>
      </w:r>
      <w:r w:rsidRPr="00FA0D37">
        <w:rPr>
          <w:color w:val="993366"/>
        </w:rPr>
        <w:t>OPTIONAL</w:t>
      </w:r>
      <w:r w:rsidRPr="00FA0D37">
        <w:t>,</w:t>
      </w:r>
    </w:p>
    <w:p w14:paraId="7260EA63" w14:textId="77777777" w:rsidR="00394471" w:rsidRPr="00FA0D37" w:rsidRDefault="00394471" w:rsidP="00FA0D37">
      <w:pPr>
        <w:pStyle w:val="PL"/>
      </w:pPr>
      <w:r w:rsidRPr="00FA0D37">
        <w:t xml:space="preserve">    sp-CSI-RS                                   </w:t>
      </w:r>
      <w:r w:rsidRPr="00FA0D37">
        <w:rPr>
          <w:color w:val="993366"/>
        </w:rPr>
        <w:t>ENUMERATED</w:t>
      </w:r>
      <w:r w:rsidRPr="00FA0D37">
        <w:t xml:space="preserve"> {supported}                      </w:t>
      </w:r>
      <w:r w:rsidRPr="00FA0D37">
        <w:rPr>
          <w:color w:val="993366"/>
        </w:rPr>
        <w:t>OPTIONAL</w:t>
      </w:r>
      <w:r w:rsidRPr="00FA0D37">
        <w:t>,</w:t>
      </w:r>
    </w:p>
    <w:p w14:paraId="0B0CCF67" w14:textId="77777777" w:rsidR="00394471" w:rsidRPr="00FA0D37" w:rsidRDefault="00394471" w:rsidP="00FA0D37">
      <w:pPr>
        <w:pStyle w:val="PL"/>
      </w:pPr>
      <w:r w:rsidRPr="00FA0D37">
        <w:t xml:space="preserve">    sp-CSI-IM                                   </w:t>
      </w:r>
      <w:r w:rsidRPr="00FA0D37">
        <w:rPr>
          <w:color w:val="993366"/>
        </w:rPr>
        <w:t>ENUMERATED</w:t>
      </w:r>
      <w:r w:rsidRPr="00FA0D37">
        <w:t xml:space="preserve"> {supported}                      </w:t>
      </w:r>
      <w:r w:rsidRPr="00FA0D37">
        <w:rPr>
          <w:color w:val="993366"/>
        </w:rPr>
        <w:t>OPTIONAL</w:t>
      </w:r>
      <w:r w:rsidRPr="00FA0D37">
        <w:t>,</w:t>
      </w:r>
    </w:p>
    <w:p w14:paraId="057D6A94" w14:textId="77777777" w:rsidR="00394471" w:rsidRPr="00FA0D37" w:rsidRDefault="00394471" w:rsidP="00FA0D37">
      <w:pPr>
        <w:pStyle w:val="PL"/>
      </w:pPr>
      <w:r w:rsidRPr="00FA0D37">
        <w:t xml:space="preserve">    tdd-MultiDL-UL-SwitchPerSlot                </w:t>
      </w:r>
      <w:r w:rsidRPr="00FA0D37">
        <w:rPr>
          <w:color w:val="993366"/>
        </w:rPr>
        <w:t>ENUMERATED</w:t>
      </w:r>
      <w:r w:rsidRPr="00FA0D37">
        <w:t xml:space="preserve"> {supported}                      </w:t>
      </w:r>
      <w:r w:rsidRPr="00FA0D37">
        <w:rPr>
          <w:color w:val="993366"/>
        </w:rPr>
        <w:t>OPTIONAL</w:t>
      </w:r>
      <w:r w:rsidRPr="00FA0D37">
        <w:t>,</w:t>
      </w:r>
    </w:p>
    <w:p w14:paraId="376E602C" w14:textId="77777777" w:rsidR="00394471" w:rsidRPr="00FA0D37" w:rsidRDefault="00394471" w:rsidP="00FA0D37">
      <w:pPr>
        <w:pStyle w:val="PL"/>
      </w:pPr>
      <w:r w:rsidRPr="00FA0D37">
        <w:t xml:space="preserve">    multipleCORESET                             </w:t>
      </w:r>
      <w:r w:rsidRPr="00FA0D37">
        <w:rPr>
          <w:color w:val="993366"/>
        </w:rPr>
        <w:t>ENUMERATED</w:t>
      </w:r>
      <w:r w:rsidRPr="00FA0D37">
        <w:t xml:space="preserve"> {supported}                      </w:t>
      </w:r>
      <w:r w:rsidRPr="00FA0D37">
        <w:rPr>
          <w:color w:val="993366"/>
        </w:rPr>
        <w:t>OPTIONAL</w:t>
      </w:r>
      <w:r w:rsidRPr="00FA0D37">
        <w:t>,</w:t>
      </w:r>
    </w:p>
    <w:p w14:paraId="206C3880" w14:textId="77777777" w:rsidR="00394471" w:rsidRPr="00FA0D37" w:rsidRDefault="00394471" w:rsidP="00FA0D37">
      <w:pPr>
        <w:pStyle w:val="PL"/>
      </w:pPr>
      <w:r w:rsidRPr="00FA0D37">
        <w:t xml:space="preserve">    ...,</w:t>
      </w:r>
    </w:p>
    <w:p w14:paraId="72C04909" w14:textId="77777777" w:rsidR="00394471" w:rsidRPr="00FA0D37" w:rsidRDefault="00394471" w:rsidP="00FA0D37">
      <w:pPr>
        <w:pStyle w:val="PL"/>
      </w:pPr>
      <w:r w:rsidRPr="00FA0D37">
        <w:t xml:space="preserve">    [[</w:t>
      </w:r>
    </w:p>
    <w:p w14:paraId="55BEC37F" w14:textId="77777777" w:rsidR="00394471" w:rsidRPr="00FA0D37" w:rsidRDefault="00394471" w:rsidP="00FA0D37">
      <w:pPr>
        <w:pStyle w:val="PL"/>
      </w:pPr>
      <w:r w:rsidRPr="00FA0D37">
        <w:t xml:space="preserve">    csi-RS-IM-ReceptionForFeedback              CSI-RS-IM-ReceptionForFeedback              </w:t>
      </w:r>
      <w:r w:rsidRPr="00FA0D37">
        <w:rPr>
          <w:color w:val="993366"/>
        </w:rPr>
        <w:t>OPTIONAL</w:t>
      </w:r>
      <w:r w:rsidRPr="00FA0D37">
        <w:t>,</w:t>
      </w:r>
    </w:p>
    <w:p w14:paraId="125EC844" w14:textId="77777777" w:rsidR="00394471" w:rsidRPr="00FA0D37" w:rsidRDefault="00394471" w:rsidP="00FA0D37">
      <w:pPr>
        <w:pStyle w:val="PL"/>
      </w:pPr>
      <w:r w:rsidRPr="00FA0D37">
        <w:t xml:space="preserve">    csi-RS-ProcFrameworkForSRS                  CSI-RS-ProcFrameworkForSRS                  </w:t>
      </w:r>
      <w:r w:rsidRPr="00FA0D37">
        <w:rPr>
          <w:color w:val="993366"/>
        </w:rPr>
        <w:t>OPTIONAL</w:t>
      </w:r>
      <w:r w:rsidRPr="00FA0D37">
        <w:t>,</w:t>
      </w:r>
    </w:p>
    <w:p w14:paraId="5935861C" w14:textId="77777777" w:rsidR="00394471" w:rsidRPr="00FA0D37" w:rsidRDefault="00394471" w:rsidP="00FA0D37">
      <w:pPr>
        <w:pStyle w:val="PL"/>
      </w:pPr>
      <w:r w:rsidRPr="00FA0D37">
        <w:t xml:space="preserve">    csi-ReportFramework                         CSI-ReportFramework                         </w:t>
      </w:r>
      <w:r w:rsidRPr="00FA0D37">
        <w:rPr>
          <w:color w:val="993366"/>
        </w:rPr>
        <w:t>OPTIONAL</w:t>
      </w:r>
      <w:r w:rsidRPr="00FA0D37">
        <w:t>,</w:t>
      </w:r>
    </w:p>
    <w:p w14:paraId="7566BCDB" w14:textId="77777777" w:rsidR="00394471" w:rsidRPr="00FA0D37" w:rsidRDefault="00394471" w:rsidP="00FA0D37">
      <w:pPr>
        <w:pStyle w:val="PL"/>
      </w:pPr>
      <w:r w:rsidRPr="00FA0D37">
        <w:t xml:space="preserve">    mux-SR-HARQ-ACK-CSI-PUCCH-OncePerSlot       </w:t>
      </w:r>
      <w:r w:rsidRPr="00FA0D37">
        <w:rPr>
          <w:color w:val="993366"/>
        </w:rPr>
        <w:t>SEQUENCE</w:t>
      </w:r>
      <w:r w:rsidRPr="00FA0D37">
        <w:t xml:space="preserve"> {</w:t>
      </w:r>
    </w:p>
    <w:p w14:paraId="016811DA" w14:textId="77777777" w:rsidR="00394471" w:rsidRPr="00FA0D37" w:rsidRDefault="00394471" w:rsidP="00FA0D37">
      <w:pPr>
        <w:pStyle w:val="PL"/>
      </w:pPr>
      <w:r w:rsidRPr="00FA0D37">
        <w:t xml:space="preserve">        sameSymbol                                  </w:t>
      </w:r>
      <w:r w:rsidRPr="00FA0D37">
        <w:rPr>
          <w:color w:val="993366"/>
        </w:rPr>
        <w:t>ENUMERATED</w:t>
      </w:r>
      <w:r w:rsidRPr="00FA0D37">
        <w:t xml:space="preserve"> {supported}                      </w:t>
      </w:r>
      <w:r w:rsidRPr="00FA0D37">
        <w:rPr>
          <w:color w:val="993366"/>
        </w:rPr>
        <w:t>OPTIONAL</w:t>
      </w:r>
      <w:r w:rsidRPr="00FA0D37">
        <w:t>,</w:t>
      </w:r>
    </w:p>
    <w:p w14:paraId="10818814" w14:textId="77777777" w:rsidR="00394471" w:rsidRPr="00FA0D37" w:rsidRDefault="00394471" w:rsidP="00FA0D37">
      <w:pPr>
        <w:pStyle w:val="PL"/>
      </w:pPr>
      <w:r w:rsidRPr="00FA0D37">
        <w:lastRenderedPageBreak/>
        <w:t xml:space="preserve">        diffSymbol                                  </w:t>
      </w:r>
      <w:r w:rsidRPr="00FA0D37">
        <w:rPr>
          <w:color w:val="993366"/>
        </w:rPr>
        <w:t>ENUMERATED</w:t>
      </w:r>
      <w:r w:rsidRPr="00FA0D37">
        <w:t xml:space="preserve"> {supported}                      </w:t>
      </w:r>
      <w:r w:rsidRPr="00FA0D37">
        <w:rPr>
          <w:color w:val="993366"/>
        </w:rPr>
        <w:t>OPTIONAL</w:t>
      </w:r>
    </w:p>
    <w:p w14:paraId="544E1D5D" w14:textId="77777777" w:rsidR="00394471" w:rsidRPr="00FA0D37" w:rsidRDefault="00394471" w:rsidP="00FA0D37">
      <w:pPr>
        <w:pStyle w:val="PL"/>
      </w:pPr>
      <w:r w:rsidRPr="00FA0D37">
        <w:t xml:space="preserve">    }                                                                                       </w:t>
      </w:r>
      <w:r w:rsidRPr="00FA0D37">
        <w:rPr>
          <w:color w:val="993366"/>
        </w:rPr>
        <w:t>OPTIONAL</w:t>
      </w:r>
      <w:r w:rsidRPr="00FA0D37">
        <w:t>,</w:t>
      </w:r>
    </w:p>
    <w:p w14:paraId="53C963AB" w14:textId="77777777" w:rsidR="00394471" w:rsidRPr="00FA0D37" w:rsidRDefault="00394471" w:rsidP="00FA0D37">
      <w:pPr>
        <w:pStyle w:val="PL"/>
      </w:pPr>
      <w:r w:rsidRPr="00FA0D37">
        <w:t xml:space="preserve">    mux-SR-HARQ-ACK-PUCCH                       </w:t>
      </w:r>
      <w:r w:rsidRPr="00FA0D37">
        <w:rPr>
          <w:color w:val="993366"/>
        </w:rPr>
        <w:t>ENUMERATED</w:t>
      </w:r>
      <w:r w:rsidRPr="00FA0D37">
        <w:t xml:space="preserve"> {supported}                      </w:t>
      </w:r>
      <w:r w:rsidRPr="00FA0D37">
        <w:rPr>
          <w:color w:val="993366"/>
        </w:rPr>
        <w:t>OPTIONAL</w:t>
      </w:r>
      <w:r w:rsidRPr="00FA0D37">
        <w:t>,</w:t>
      </w:r>
    </w:p>
    <w:p w14:paraId="70018869" w14:textId="77777777" w:rsidR="00394471" w:rsidRPr="00FA0D37" w:rsidRDefault="00394471" w:rsidP="00FA0D37">
      <w:pPr>
        <w:pStyle w:val="PL"/>
      </w:pPr>
      <w:r w:rsidRPr="00FA0D37">
        <w:t xml:space="preserve">    mux-MultipleGroupCtrlCH-Overlap             </w:t>
      </w:r>
      <w:r w:rsidRPr="00FA0D37">
        <w:rPr>
          <w:color w:val="993366"/>
        </w:rPr>
        <w:t>ENUMERATED</w:t>
      </w:r>
      <w:r w:rsidRPr="00FA0D37">
        <w:t xml:space="preserve"> {supported}                      </w:t>
      </w:r>
      <w:r w:rsidRPr="00FA0D37">
        <w:rPr>
          <w:color w:val="993366"/>
        </w:rPr>
        <w:t>OPTIONAL</w:t>
      </w:r>
      <w:r w:rsidRPr="00FA0D37">
        <w:t>,</w:t>
      </w:r>
    </w:p>
    <w:p w14:paraId="05DB1690" w14:textId="77777777" w:rsidR="00394471" w:rsidRPr="00FA0D37" w:rsidRDefault="00394471" w:rsidP="00FA0D37">
      <w:pPr>
        <w:pStyle w:val="PL"/>
      </w:pPr>
      <w:r w:rsidRPr="00FA0D37">
        <w:t xml:space="preserve">    dl-SchedulingOffset-PDSCH-TypeA             </w:t>
      </w:r>
      <w:r w:rsidRPr="00FA0D37">
        <w:rPr>
          <w:color w:val="993366"/>
        </w:rPr>
        <w:t>ENUMERATED</w:t>
      </w:r>
      <w:r w:rsidRPr="00FA0D37">
        <w:t xml:space="preserve"> {supported}                      </w:t>
      </w:r>
      <w:r w:rsidRPr="00FA0D37">
        <w:rPr>
          <w:color w:val="993366"/>
        </w:rPr>
        <w:t>OPTIONAL</w:t>
      </w:r>
      <w:r w:rsidRPr="00FA0D37">
        <w:t>,</w:t>
      </w:r>
    </w:p>
    <w:p w14:paraId="40FD53E0" w14:textId="77777777" w:rsidR="00394471" w:rsidRPr="00FA0D37" w:rsidRDefault="00394471" w:rsidP="00FA0D37">
      <w:pPr>
        <w:pStyle w:val="PL"/>
      </w:pPr>
      <w:r w:rsidRPr="00FA0D37">
        <w:t xml:space="preserve">    dl-SchedulingOffset-PDSCH-TypeB             </w:t>
      </w:r>
      <w:r w:rsidRPr="00FA0D37">
        <w:rPr>
          <w:color w:val="993366"/>
        </w:rPr>
        <w:t>ENUMERATED</w:t>
      </w:r>
      <w:r w:rsidRPr="00FA0D37">
        <w:t xml:space="preserve"> {supported}                      </w:t>
      </w:r>
      <w:r w:rsidRPr="00FA0D37">
        <w:rPr>
          <w:color w:val="993366"/>
        </w:rPr>
        <w:t>OPTIONAL</w:t>
      </w:r>
      <w:r w:rsidRPr="00FA0D37">
        <w:t>,</w:t>
      </w:r>
    </w:p>
    <w:p w14:paraId="51878FBE" w14:textId="77777777" w:rsidR="00394471" w:rsidRPr="00FA0D37" w:rsidRDefault="00394471" w:rsidP="00FA0D37">
      <w:pPr>
        <w:pStyle w:val="PL"/>
      </w:pPr>
      <w:r w:rsidRPr="00FA0D37">
        <w:t xml:space="preserve">    ul-SchedulingOffset                         </w:t>
      </w:r>
      <w:r w:rsidRPr="00FA0D37">
        <w:rPr>
          <w:color w:val="993366"/>
        </w:rPr>
        <w:t>ENUMERATED</w:t>
      </w:r>
      <w:r w:rsidRPr="00FA0D37">
        <w:t xml:space="preserve"> {supported}                      </w:t>
      </w:r>
      <w:r w:rsidRPr="00FA0D37">
        <w:rPr>
          <w:color w:val="993366"/>
        </w:rPr>
        <w:t>OPTIONAL</w:t>
      </w:r>
      <w:r w:rsidRPr="00FA0D37">
        <w:t>,</w:t>
      </w:r>
    </w:p>
    <w:p w14:paraId="58A23DEB" w14:textId="77777777" w:rsidR="00394471" w:rsidRPr="00FA0D37" w:rsidRDefault="00394471" w:rsidP="00FA0D37">
      <w:pPr>
        <w:pStyle w:val="PL"/>
      </w:pPr>
      <w:r w:rsidRPr="00FA0D37">
        <w:t xml:space="preserve">    dl-64QAM-MCS-TableAlt                       </w:t>
      </w:r>
      <w:r w:rsidRPr="00FA0D37">
        <w:rPr>
          <w:color w:val="993366"/>
        </w:rPr>
        <w:t>ENUMERATED</w:t>
      </w:r>
      <w:r w:rsidRPr="00FA0D37">
        <w:t xml:space="preserve"> {supported}                      </w:t>
      </w:r>
      <w:r w:rsidRPr="00FA0D37">
        <w:rPr>
          <w:color w:val="993366"/>
        </w:rPr>
        <w:t>OPTIONAL</w:t>
      </w:r>
      <w:r w:rsidRPr="00FA0D37">
        <w:t>,</w:t>
      </w:r>
    </w:p>
    <w:p w14:paraId="632E4EAA" w14:textId="77777777" w:rsidR="00394471" w:rsidRPr="00FA0D37" w:rsidRDefault="00394471" w:rsidP="00FA0D37">
      <w:pPr>
        <w:pStyle w:val="PL"/>
      </w:pPr>
      <w:r w:rsidRPr="00FA0D37">
        <w:t xml:space="preserve">    ul-64QAM-MCS-TableAlt                       </w:t>
      </w:r>
      <w:r w:rsidRPr="00FA0D37">
        <w:rPr>
          <w:color w:val="993366"/>
        </w:rPr>
        <w:t>ENUMERATED</w:t>
      </w:r>
      <w:r w:rsidRPr="00FA0D37">
        <w:t xml:space="preserve"> {supported}                      </w:t>
      </w:r>
      <w:r w:rsidRPr="00FA0D37">
        <w:rPr>
          <w:color w:val="993366"/>
        </w:rPr>
        <w:t>OPTIONAL</w:t>
      </w:r>
      <w:r w:rsidRPr="00FA0D37">
        <w:t>,</w:t>
      </w:r>
    </w:p>
    <w:p w14:paraId="028CB7FD" w14:textId="77777777" w:rsidR="00394471" w:rsidRPr="00FA0D37" w:rsidRDefault="00394471" w:rsidP="00FA0D37">
      <w:pPr>
        <w:pStyle w:val="PL"/>
      </w:pPr>
      <w:r w:rsidRPr="00FA0D37">
        <w:t xml:space="preserve">    cqi-TableAlt                                </w:t>
      </w:r>
      <w:r w:rsidRPr="00FA0D37">
        <w:rPr>
          <w:color w:val="993366"/>
        </w:rPr>
        <w:t>ENUMERATED</w:t>
      </w:r>
      <w:r w:rsidRPr="00FA0D37">
        <w:t xml:space="preserve"> {supported}                      </w:t>
      </w:r>
      <w:r w:rsidRPr="00FA0D37">
        <w:rPr>
          <w:color w:val="993366"/>
        </w:rPr>
        <w:t>OPTIONAL</w:t>
      </w:r>
      <w:r w:rsidRPr="00FA0D37">
        <w:t>,</w:t>
      </w:r>
    </w:p>
    <w:p w14:paraId="6B7B0B6C" w14:textId="77777777" w:rsidR="00394471" w:rsidRPr="00FA0D37" w:rsidRDefault="00394471" w:rsidP="00FA0D37">
      <w:pPr>
        <w:pStyle w:val="PL"/>
      </w:pPr>
      <w:r w:rsidRPr="00FA0D37">
        <w:t xml:space="preserve">    oneFL-DMRS-TwoAdditionalDMRS-UL             </w:t>
      </w:r>
      <w:r w:rsidRPr="00FA0D37">
        <w:rPr>
          <w:color w:val="993366"/>
        </w:rPr>
        <w:t>ENUMERATED</w:t>
      </w:r>
      <w:r w:rsidRPr="00FA0D37">
        <w:t xml:space="preserve"> {supported}                      </w:t>
      </w:r>
      <w:r w:rsidRPr="00FA0D37">
        <w:rPr>
          <w:color w:val="993366"/>
        </w:rPr>
        <w:t>OPTIONAL</w:t>
      </w:r>
      <w:r w:rsidRPr="00FA0D37">
        <w:t>,</w:t>
      </w:r>
    </w:p>
    <w:p w14:paraId="6A721603" w14:textId="77777777" w:rsidR="00394471" w:rsidRPr="00FA0D37" w:rsidRDefault="00394471" w:rsidP="00FA0D37">
      <w:pPr>
        <w:pStyle w:val="PL"/>
      </w:pPr>
      <w:r w:rsidRPr="00FA0D37">
        <w:t xml:space="preserve">    twoFL-DMRS-TwoAdditionalDMRS-UL             </w:t>
      </w:r>
      <w:r w:rsidRPr="00FA0D37">
        <w:rPr>
          <w:color w:val="993366"/>
        </w:rPr>
        <w:t>ENUMERATED</w:t>
      </w:r>
      <w:r w:rsidRPr="00FA0D37">
        <w:t xml:space="preserve"> {supported}                      </w:t>
      </w:r>
      <w:r w:rsidRPr="00FA0D37">
        <w:rPr>
          <w:color w:val="993366"/>
        </w:rPr>
        <w:t>OPTIONAL</w:t>
      </w:r>
      <w:r w:rsidRPr="00FA0D37">
        <w:t>,</w:t>
      </w:r>
    </w:p>
    <w:p w14:paraId="35C35186" w14:textId="77777777" w:rsidR="00394471" w:rsidRPr="00FA0D37" w:rsidRDefault="00394471" w:rsidP="00FA0D37">
      <w:pPr>
        <w:pStyle w:val="PL"/>
      </w:pPr>
      <w:r w:rsidRPr="00FA0D37">
        <w:t xml:space="preserve">    oneFL-DMRS-ThreeAdditionalDMRS-UL           </w:t>
      </w:r>
      <w:r w:rsidRPr="00FA0D37">
        <w:rPr>
          <w:color w:val="993366"/>
        </w:rPr>
        <w:t>ENUMERATED</w:t>
      </w:r>
      <w:r w:rsidRPr="00FA0D37">
        <w:t xml:space="preserve"> {supported}                      </w:t>
      </w:r>
      <w:r w:rsidRPr="00FA0D37">
        <w:rPr>
          <w:color w:val="993366"/>
        </w:rPr>
        <w:t>OPTIONAL</w:t>
      </w:r>
    </w:p>
    <w:p w14:paraId="211B52C1" w14:textId="77777777" w:rsidR="00394471" w:rsidRPr="00FA0D37" w:rsidRDefault="00394471" w:rsidP="00FA0D37">
      <w:pPr>
        <w:pStyle w:val="PL"/>
      </w:pPr>
      <w:r w:rsidRPr="00FA0D37">
        <w:t xml:space="preserve">    ]],</w:t>
      </w:r>
    </w:p>
    <w:p w14:paraId="30427E1F" w14:textId="77777777" w:rsidR="00394471" w:rsidRPr="00FA0D37" w:rsidRDefault="00394471" w:rsidP="00FA0D37">
      <w:pPr>
        <w:pStyle w:val="PL"/>
      </w:pPr>
      <w:r w:rsidRPr="00FA0D37">
        <w:t xml:space="preserve">    [[</w:t>
      </w:r>
    </w:p>
    <w:p w14:paraId="01ED3419" w14:textId="77777777" w:rsidR="00394471" w:rsidRPr="00FA0D37" w:rsidRDefault="00394471" w:rsidP="00FA0D37">
      <w:pPr>
        <w:pStyle w:val="PL"/>
      </w:pPr>
      <w:r w:rsidRPr="00FA0D37">
        <w:t xml:space="preserve">    pdcch-BlindDetectionNRDC                </w:t>
      </w:r>
      <w:r w:rsidRPr="00FA0D37">
        <w:rPr>
          <w:color w:val="993366"/>
        </w:rPr>
        <w:t>SEQUENCE</w:t>
      </w:r>
      <w:r w:rsidRPr="00FA0D37">
        <w:t xml:space="preserve"> {</w:t>
      </w:r>
    </w:p>
    <w:p w14:paraId="03F4457A" w14:textId="77777777" w:rsidR="00394471" w:rsidRPr="00FA0D37" w:rsidRDefault="00394471" w:rsidP="00FA0D37">
      <w:pPr>
        <w:pStyle w:val="PL"/>
      </w:pPr>
      <w:r w:rsidRPr="00FA0D37">
        <w:t xml:space="preserve">        pdcch-BlindDetectionMCG-UE              </w:t>
      </w:r>
      <w:r w:rsidRPr="00FA0D37">
        <w:rPr>
          <w:color w:val="993366"/>
        </w:rPr>
        <w:t>INTEGER</w:t>
      </w:r>
      <w:r w:rsidRPr="00FA0D37">
        <w:t xml:space="preserve"> (1..15),</w:t>
      </w:r>
    </w:p>
    <w:p w14:paraId="4D1A1B1C" w14:textId="77777777" w:rsidR="00394471" w:rsidRPr="00FA0D37" w:rsidRDefault="00394471" w:rsidP="00FA0D37">
      <w:pPr>
        <w:pStyle w:val="PL"/>
      </w:pPr>
      <w:r w:rsidRPr="00FA0D37">
        <w:t xml:space="preserve">        pdcch-BlindDetectionSCG-UE              </w:t>
      </w:r>
      <w:r w:rsidRPr="00FA0D37">
        <w:rPr>
          <w:color w:val="993366"/>
        </w:rPr>
        <w:t>INTEGER</w:t>
      </w:r>
      <w:r w:rsidRPr="00FA0D37">
        <w:t xml:space="preserve"> (1..15)</w:t>
      </w:r>
    </w:p>
    <w:p w14:paraId="7D8EDE12" w14:textId="77777777" w:rsidR="00394471" w:rsidRPr="00FA0D37" w:rsidRDefault="00394471" w:rsidP="00FA0D37">
      <w:pPr>
        <w:pStyle w:val="PL"/>
      </w:pPr>
      <w:r w:rsidRPr="00FA0D37">
        <w:t xml:space="preserve">    }                                                                                       </w:t>
      </w:r>
      <w:r w:rsidRPr="00FA0D37">
        <w:rPr>
          <w:color w:val="993366"/>
        </w:rPr>
        <w:t>OPTIONAL</w:t>
      </w:r>
      <w:r w:rsidRPr="00FA0D37">
        <w:t>,</w:t>
      </w:r>
    </w:p>
    <w:p w14:paraId="6CEA5272" w14:textId="77777777" w:rsidR="00394471" w:rsidRPr="00FA0D37" w:rsidRDefault="00394471" w:rsidP="00FA0D37">
      <w:pPr>
        <w:pStyle w:val="PL"/>
      </w:pPr>
      <w:r w:rsidRPr="00FA0D37">
        <w:t xml:space="preserve">    mux-HARQ-ACK-PUSCH-DiffSymbol               </w:t>
      </w:r>
      <w:r w:rsidRPr="00FA0D37">
        <w:rPr>
          <w:color w:val="993366"/>
        </w:rPr>
        <w:t>ENUMERATED</w:t>
      </w:r>
      <w:r w:rsidRPr="00FA0D37">
        <w:t xml:space="preserve"> {supported}                      </w:t>
      </w:r>
      <w:r w:rsidRPr="00FA0D37">
        <w:rPr>
          <w:color w:val="993366"/>
        </w:rPr>
        <w:t>OPTIONAL</w:t>
      </w:r>
    </w:p>
    <w:p w14:paraId="7469CDA1" w14:textId="77777777" w:rsidR="00394471" w:rsidRPr="00FA0D37" w:rsidRDefault="00394471" w:rsidP="00FA0D37">
      <w:pPr>
        <w:pStyle w:val="PL"/>
      </w:pPr>
      <w:r w:rsidRPr="00FA0D37">
        <w:t xml:space="preserve">    ]],</w:t>
      </w:r>
    </w:p>
    <w:p w14:paraId="1A02A130" w14:textId="77777777" w:rsidR="00394471" w:rsidRPr="00FA0D37" w:rsidRDefault="00394471" w:rsidP="00FA0D37">
      <w:pPr>
        <w:pStyle w:val="PL"/>
      </w:pPr>
      <w:r w:rsidRPr="00FA0D37">
        <w:t xml:space="preserve">    [[</w:t>
      </w:r>
    </w:p>
    <w:p w14:paraId="71EE601D" w14:textId="77777777" w:rsidR="00394471" w:rsidRPr="00FA0D37" w:rsidRDefault="00394471" w:rsidP="00FA0D37">
      <w:pPr>
        <w:pStyle w:val="PL"/>
        <w:rPr>
          <w:color w:val="808080"/>
        </w:rPr>
      </w:pPr>
      <w:r w:rsidRPr="00FA0D37">
        <w:t xml:space="preserve">    </w:t>
      </w:r>
      <w:r w:rsidRPr="00FA0D37">
        <w:rPr>
          <w:color w:val="808080"/>
        </w:rPr>
        <w:t>-- R1 11-1b: Type 1 HARQ-ACK codebook support for relative TDRA for DL</w:t>
      </w:r>
    </w:p>
    <w:p w14:paraId="60EA22C8" w14:textId="77777777" w:rsidR="00394471" w:rsidRPr="00FA0D37" w:rsidRDefault="00394471" w:rsidP="00FA0D37">
      <w:pPr>
        <w:pStyle w:val="PL"/>
      </w:pPr>
      <w:r w:rsidRPr="00FA0D37">
        <w:t xml:space="preserve">    type1-HARQ-ACK-Codebook-r16                 </w:t>
      </w:r>
      <w:r w:rsidRPr="00FA0D37">
        <w:rPr>
          <w:color w:val="993366"/>
        </w:rPr>
        <w:t>ENUMERATED</w:t>
      </w:r>
      <w:r w:rsidRPr="00FA0D37">
        <w:t xml:space="preserve"> {supported}                      </w:t>
      </w:r>
      <w:r w:rsidRPr="00FA0D37">
        <w:rPr>
          <w:color w:val="993366"/>
        </w:rPr>
        <w:t>OPTIONAL</w:t>
      </w:r>
      <w:r w:rsidRPr="00FA0D37">
        <w:t>,</w:t>
      </w:r>
    </w:p>
    <w:p w14:paraId="11454261" w14:textId="77777777" w:rsidR="00394471" w:rsidRPr="00FA0D37" w:rsidRDefault="00394471" w:rsidP="00FA0D37">
      <w:pPr>
        <w:pStyle w:val="PL"/>
        <w:rPr>
          <w:color w:val="808080"/>
        </w:rPr>
      </w:pPr>
      <w:r w:rsidRPr="00FA0D37">
        <w:t xml:space="preserve">    </w:t>
      </w:r>
      <w:r w:rsidRPr="00FA0D37">
        <w:rPr>
          <w:color w:val="808080"/>
        </w:rPr>
        <w:t>-- R1 11-8: Enhanced UL power control scheme</w:t>
      </w:r>
    </w:p>
    <w:p w14:paraId="2910300C" w14:textId="77777777" w:rsidR="00394471" w:rsidRPr="00FA0D37" w:rsidRDefault="00394471" w:rsidP="00FA0D37">
      <w:pPr>
        <w:pStyle w:val="PL"/>
      </w:pPr>
      <w:r w:rsidRPr="00FA0D37">
        <w:t xml:space="preserve">    enhancedPowerControl-r16                    </w:t>
      </w:r>
      <w:r w:rsidRPr="00FA0D37">
        <w:rPr>
          <w:color w:val="993366"/>
        </w:rPr>
        <w:t>ENUMERATED</w:t>
      </w:r>
      <w:r w:rsidRPr="00FA0D37">
        <w:t xml:space="preserve"> {supported}                      </w:t>
      </w:r>
      <w:r w:rsidRPr="00FA0D37">
        <w:rPr>
          <w:color w:val="993366"/>
        </w:rPr>
        <w:t>OPTIONAL</w:t>
      </w:r>
      <w:r w:rsidRPr="00FA0D37">
        <w:t>,</w:t>
      </w:r>
    </w:p>
    <w:p w14:paraId="6D1007A9" w14:textId="77777777" w:rsidR="00394471" w:rsidRPr="00FA0D37" w:rsidRDefault="00394471" w:rsidP="00FA0D37">
      <w:pPr>
        <w:pStyle w:val="PL"/>
        <w:rPr>
          <w:rFonts w:eastAsia="Malgun Gothic"/>
          <w:color w:val="808080"/>
        </w:rPr>
      </w:pPr>
      <w:r w:rsidRPr="00FA0D37">
        <w:t xml:space="preserve">    </w:t>
      </w:r>
      <w:r w:rsidRPr="00FA0D37">
        <w:rPr>
          <w:color w:val="808080"/>
        </w:rPr>
        <w:t xml:space="preserve">-- R1 16-1b-1: </w:t>
      </w:r>
      <w:r w:rsidRPr="00FA0D37">
        <w:rPr>
          <w:rFonts w:eastAsia="Malgun Gothic"/>
          <w:color w:val="808080"/>
        </w:rPr>
        <w:t>TCI state activation across multiple CCs</w:t>
      </w:r>
    </w:p>
    <w:p w14:paraId="1B02CD4A" w14:textId="77777777" w:rsidR="00394471" w:rsidRPr="00FA0D37" w:rsidRDefault="00394471" w:rsidP="00FA0D37">
      <w:pPr>
        <w:pStyle w:val="PL"/>
      </w:pPr>
      <w:r w:rsidRPr="00FA0D37">
        <w:t xml:space="preserve">    </w:t>
      </w:r>
      <w:r w:rsidRPr="00FA0D37">
        <w:rPr>
          <w:rFonts w:eastAsia="Malgun Gothic"/>
        </w:rPr>
        <w:t>simultaneousTCI-ActMultipleCC-r16</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558A6321" w14:textId="77777777" w:rsidR="00394471" w:rsidRPr="00FA0D37" w:rsidRDefault="00394471" w:rsidP="00FA0D37">
      <w:pPr>
        <w:pStyle w:val="PL"/>
        <w:rPr>
          <w:rFonts w:eastAsia="Malgun Gothic"/>
          <w:color w:val="808080"/>
        </w:rPr>
      </w:pPr>
      <w:r w:rsidRPr="00FA0D37">
        <w:t xml:space="preserve">    </w:t>
      </w:r>
      <w:r w:rsidRPr="00FA0D37">
        <w:rPr>
          <w:color w:val="808080"/>
        </w:rPr>
        <w:t xml:space="preserve">-- R1 16-1b-2: </w:t>
      </w:r>
      <w:r w:rsidRPr="00FA0D37">
        <w:rPr>
          <w:rFonts w:eastAsia="Malgun Gothic"/>
          <w:color w:val="808080"/>
        </w:rPr>
        <w:t>Spatial relation update across multiple CCs</w:t>
      </w:r>
    </w:p>
    <w:p w14:paraId="3909BB43" w14:textId="77777777" w:rsidR="00394471" w:rsidRPr="00FA0D37" w:rsidRDefault="00394471" w:rsidP="00FA0D37">
      <w:pPr>
        <w:pStyle w:val="PL"/>
      </w:pPr>
      <w:r w:rsidRPr="00FA0D37">
        <w:t xml:space="preserve">    </w:t>
      </w:r>
      <w:r w:rsidRPr="00FA0D37">
        <w:rPr>
          <w:rFonts w:eastAsia="Malgun Gothic"/>
        </w:rPr>
        <w:t>simultaneousSpatialRelationMultipleCC-r16</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4561BDC0" w14:textId="77777777" w:rsidR="00394471" w:rsidRPr="00FA0D37" w:rsidRDefault="00394471" w:rsidP="00FA0D37">
      <w:pPr>
        <w:pStyle w:val="PL"/>
      </w:pPr>
      <w:r w:rsidRPr="00FA0D37">
        <w:t xml:space="preserve">    cli-RSSI-FDM-DL-r16                         </w:t>
      </w:r>
      <w:r w:rsidRPr="00FA0D37">
        <w:rPr>
          <w:color w:val="993366"/>
        </w:rPr>
        <w:t>ENUMERATED</w:t>
      </w:r>
      <w:r w:rsidRPr="00FA0D37">
        <w:t xml:space="preserve"> {supported}                      </w:t>
      </w:r>
      <w:r w:rsidRPr="00FA0D37">
        <w:rPr>
          <w:color w:val="993366"/>
        </w:rPr>
        <w:t>OPTIONAL</w:t>
      </w:r>
      <w:r w:rsidRPr="00FA0D37">
        <w:t>,</w:t>
      </w:r>
    </w:p>
    <w:p w14:paraId="51B9425F" w14:textId="77777777" w:rsidR="00394471" w:rsidRPr="00FA0D37" w:rsidRDefault="00394471" w:rsidP="00FA0D37">
      <w:pPr>
        <w:pStyle w:val="PL"/>
        <w:rPr>
          <w:rFonts w:eastAsia="Malgun Gothic"/>
        </w:rPr>
      </w:pPr>
      <w:r w:rsidRPr="00FA0D37">
        <w:t xml:space="preserve">    </w:t>
      </w:r>
      <w:r w:rsidRPr="00FA0D37">
        <w:rPr>
          <w:rFonts w:eastAsia="Malgun Gothic"/>
        </w:rPr>
        <w:t>cli-SRS-RSRP-FDM-DL-r16</w:t>
      </w:r>
      <w:r w:rsidRPr="00FA0D37">
        <w:t xml:space="preserve">                     </w:t>
      </w:r>
      <w:r w:rsidRPr="00FA0D37">
        <w:rPr>
          <w:color w:val="993366"/>
        </w:rPr>
        <w:t>ENUMERATED</w:t>
      </w:r>
      <w:r w:rsidRPr="00FA0D37">
        <w:t xml:space="preserve"> {supported}                      </w:t>
      </w:r>
      <w:r w:rsidRPr="00FA0D37">
        <w:rPr>
          <w:color w:val="993366"/>
        </w:rPr>
        <w:t>OPTIONAL</w:t>
      </w:r>
      <w:r w:rsidRPr="00FA0D37">
        <w:t>,</w:t>
      </w:r>
    </w:p>
    <w:p w14:paraId="4B340543"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19-3: Maximum MIMO Layer Adaptation</w:t>
      </w:r>
    </w:p>
    <w:p w14:paraId="25BAB182" w14:textId="77777777" w:rsidR="00394471" w:rsidRPr="00FA0D37" w:rsidRDefault="00394471" w:rsidP="00FA0D37">
      <w:pPr>
        <w:pStyle w:val="PL"/>
      </w:pPr>
      <w:r w:rsidRPr="00FA0D37">
        <w:t xml:space="preserve">    </w:t>
      </w:r>
      <w:r w:rsidRPr="00FA0D37">
        <w:rPr>
          <w:rFonts w:eastAsiaTheme="minorEastAsia"/>
        </w:rPr>
        <w:t>maxLayersMIMO-Adaptation-r16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06389DB9" w14:textId="77777777" w:rsidR="00394471" w:rsidRPr="00FA0D37" w:rsidRDefault="00394471" w:rsidP="00FA0D37">
      <w:pPr>
        <w:pStyle w:val="PL"/>
        <w:rPr>
          <w:color w:val="808080"/>
        </w:rPr>
      </w:pPr>
      <w:r w:rsidRPr="00FA0D37">
        <w:t xml:space="preserve">    </w:t>
      </w:r>
      <w:r w:rsidRPr="00FA0D37">
        <w:rPr>
          <w:color w:val="808080"/>
        </w:rPr>
        <w:t>-- R1 12-5: Configuration of aggregation factor per SPS configuration</w:t>
      </w:r>
    </w:p>
    <w:p w14:paraId="45077F59" w14:textId="77777777" w:rsidR="00394471" w:rsidRPr="00FA0D37" w:rsidRDefault="00394471" w:rsidP="00FA0D37">
      <w:pPr>
        <w:pStyle w:val="PL"/>
      </w:pPr>
      <w:r w:rsidRPr="00FA0D37">
        <w:t xml:space="preserve">    aggregationFactorSPS-DL-r16                 </w:t>
      </w:r>
      <w:r w:rsidRPr="00FA0D37">
        <w:rPr>
          <w:color w:val="993366"/>
        </w:rPr>
        <w:t>ENUMERATED</w:t>
      </w:r>
      <w:r w:rsidRPr="00FA0D37">
        <w:t xml:space="preserve"> {supported}                      </w:t>
      </w:r>
      <w:r w:rsidRPr="00FA0D37">
        <w:rPr>
          <w:color w:val="993366"/>
        </w:rPr>
        <w:t>OPTIONAL</w:t>
      </w:r>
      <w:r w:rsidRPr="00FA0D37">
        <w:t>,</w:t>
      </w:r>
    </w:p>
    <w:p w14:paraId="4BAD5B90" w14:textId="40DFB00F" w:rsidR="00394471" w:rsidRPr="00FA0D37" w:rsidRDefault="00394471" w:rsidP="00FA0D37">
      <w:pPr>
        <w:pStyle w:val="PL"/>
        <w:rPr>
          <w:color w:val="808080"/>
        </w:rPr>
      </w:pPr>
      <w:r w:rsidRPr="00FA0D37">
        <w:t xml:space="preserve">    </w:t>
      </w:r>
      <w:r w:rsidRPr="00FA0D37">
        <w:rPr>
          <w:color w:val="808080"/>
        </w:rPr>
        <w:t>-- R1 16-1g: Resources for beam management, pathloss measurement,</w:t>
      </w:r>
      <w:r w:rsidR="00DE5341" w:rsidRPr="00FA0D37">
        <w:rPr>
          <w:color w:val="808080"/>
        </w:rPr>
        <w:t xml:space="preserve"> </w:t>
      </w:r>
      <w:r w:rsidRPr="00FA0D37">
        <w:rPr>
          <w:color w:val="808080"/>
        </w:rPr>
        <w:t>BFD, RLM and new beam identification</w:t>
      </w:r>
    </w:p>
    <w:p w14:paraId="549E822C" w14:textId="77777777" w:rsidR="00394471" w:rsidRPr="00FA0D37" w:rsidRDefault="00394471" w:rsidP="00FA0D37">
      <w:pPr>
        <w:pStyle w:val="PL"/>
      </w:pPr>
      <w:r w:rsidRPr="00FA0D37">
        <w:t xml:space="preserve">    maxTotalResourcesForOneFreqRange-r16        </w:t>
      </w:r>
      <w:r w:rsidRPr="00FA0D37">
        <w:rPr>
          <w:color w:val="993366"/>
        </w:rPr>
        <w:t>SEQUENCE</w:t>
      </w:r>
      <w:r w:rsidRPr="00FA0D37">
        <w:t xml:space="preserve"> {</w:t>
      </w:r>
    </w:p>
    <w:p w14:paraId="5FF4AA2C" w14:textId="77777777" w:rsidR="00394471" w:rsidRPr="00FA0D37" w:rsidRDefault="00394471" w:rsidP="00FA0D37">
      <w:pPr>
        <w:pStyle w:val="PL"/>
      </w:pPr>
      <w:r w:rsidRPr="00FA0D37">
        <w:t xml:space="preserve">        maxNumberResWithinSlotAcrossCC-OneFR-r16    </w:t>
      </w:r>
      <w:r w:rsidRPr="00FA0D37">
        <w:rPr>
          <w:color w:val="993366"/>
        </w:rPr>
        <w:t>ENUMERATED</w:t>
      </w:r>
      <w:r w:rsidRPr="00FA0D37">
        <w:t xml:space="preserve"> {n2, n4, n8, n12, n16, n32, n64, n128}    </w:t>
      </w:r>
      <w:r w:rsidRPr="00FA0D37">
        <w:rPr>
          <w:color w:val="993366"/>
        </w:rPr>
        <w:t>OPTIONAL</w:t>
      </w:r>
      <w:r w:rsidRPr="00FA0D37">
        <w:t>,</w:t>
      </w:r>
    </w:p>
    <w:p w14:paraId="4831522B" w14:textId="77777777" w:rsidR="00394471" w:rsidRPr="00FA0D37" w:rsidRDefault="00394471" w:rsidP="00FA0D37">
      <w:pPr>
        <w:pStyle w:val="PL"/>
      </w:pPr>
      <w:r w:rsidRPr="00FA0D37">
        <w:t xml:space="preserve">        maxNumberResAcrossCC-OneFR-r16              </w:t>
      </w:r>
      <w:r w:rsidRPr="00FA0D37">
        <w:rPr>
          <w:color w:val="993366"/>
        </w:rPr>
        <w:t>ENUMERATED</w:t>
      </w:r>
      <w:r w:rsidRPr="00FA0D37">
        <w:t xml:space="preserve"> {n2, n4, n8, n12, n16, n32, n40, n48, n64, n72, n80, n96, n128, n256}</w:t>
      </w:r>
    </w:p>
    <w:p w14:paraId="272A22F3" w14:textId="77777777" w:rsidR="00394471" w:rsidRPr="00FA0D37" w:rsidRDefault="00394471" w:rsidP="00FA0D37">
      <w:pPr>
        <w:pStyle w:val="PL"/>
      </w:pPr>
      <w:r w:rsidRPr="00FA0D37">
        <w:t xml:space="preserve">                                                                                            </w:t>
      </w:r>
      <w:r w:rsidRPr="00FA0D37">
        <w:rPr>
          <w:color w:val="993366"/>
        </w:rPr>
        <w:t>OPTIONAL</w:t>
      </w:r>
    </w:p>
    <w:p w14:paraId="168B8A43" w14:textId="77777777" w:rsidR="00394471" w:rsidRPr="00FA0D37" w:rsidRDefault="00394471" w:rsidP="00FA0D37">
      <w:pPr>
        <w:pStyle w:val="PL"/>
      </w:pPr>
      <w:r w:rsidRPr="00FA0D37">
        <w:t xml:space="preserve">    }                                           </w:t>
      </w:r>
      <w:r w:rsidRPr="00FA0D37">
        <w:rPr>
          <w:color w:val="993366"/>
        </w:rPr>
        <w:t>OPTIONAL</w:t>
      </w:r>
      <w:r w:rsidRPr="00FA0D37">
        <w:t>,</w:t>
      </w:r>
    </w:p>
    <w:p w14:paraId="0243F8D9" w14:textId="77777777" w:rsidR="00394471" w:rsidRPr="00FA0D37" w:rsidRDefault="00394471" w:rsidP="00FA0D37">
      <w:pPr>
        <w:pStyle w:val="PL"/>
        <w:rPr>
          <w:rFonts w:eastAsia="Malgun Gothic"/>
          <w:color w:val="808080"/>
        </w:rPr>
      </w:pPr>
      <w:r w:rsidRPr="00FA0D37">
        <w:t xml:space="preserve">    </w:t>
      </w:r>
      <w:r w:rsidRPr="00FA0D37">
        <w:rPr>
          <w:color w:val="808080"/>
        </w:rPr>
        <w:t xml:space="preserve">-- R1 16-7: </w:t>
      </w:r>
      <w:r w:rsidRPr="00FA0D37">
        <w:rPr>
          <w:rFonts w:eastAsia="Malgun Gothic"/>
          <w:color w:val="808080"/>
        </w:rPr>
        <w:t>Extension of the maximum number of configured aperiodic CSI report settings</w:t>
      </w:r>
    </w:p>
    <w:p w14:paraId="04AE3B68" w14:textId="77777777" w:rsidR="00394471" w:rsidRPr="00FA0D37" w:rsidRDefault="00394471" w:rsidP="00FA0D37">
      <w:pPr>
        <w:pStyle w:val="PL"/>
      </w:pPr>
      <w:r w:rsidRPr="00FA0D37">
        <w:t xml:space="preserve">    csi-ReportFrameworkExt-r16                  CSI-ReportFrameworkExt-r16                  </w:t>
      </w:r>
      <w:r w:rsidRPr="00FA0D37">
        <w:rPr>
          <w:color w:val="993366"/>
        </w:rPr>
        <w:t>OPTIONAL</w:t>
      </w:r>
    </w:p>
    <w:p w14:paraId="5B2017C9" w14:textId="1F3649E8" w:rsidR="00A105BD" w:rsidRPr="00FA0D37" w:rsidRDefault="00394471" w:rsidP="00FA0D37">
      <w:pPr>
        <w:pStyle w:val="PL"/>
      </w:pPr>
      <w:r w:rsidRPr="00FA0D37">
        <w:t xml:space="preserve">    ]]</w:t>
      </w:r>
      <w:r w:rsidR="00A105BD" w:rsidRPr="00FA0D37">
        <w:t>,</w:t>
      </w:r>
    </w:p>
    <w:p w14:paraId="793D57D4" w14:textId="77777777" w:rsidR="00A105BD" w:rsidRPr="00FA0D37" w:rsidRDefault="00A105BD" w:rsidP="00FA0D37">
      <w:pPr>
        <w:pStyle w:val="PL"/>
      </w:pPr>
      <w:r w:rsidRPr="00FA0D37">
        <w:t xml:space="preserve">    [[</w:t>
      </w:r>
    </w:p>
    <w:p w14:paraId="415F49BD" w14:textId="08C3A0DA" w:rsidR="00A105BD" w:rsidRPr="00FA0D37" w:rsidRDefault="00A105BD" w:rsidP="00FA0D37">
      <w:pPr>
        <w:pStyle w:val="PL"/>
      </w:pPr>
      <w:r w:rsidRPr="00FA0D37">
        <w:t xml:space="preserve">    twoTCI-Act-servingCellInCC-List-r16         </w:t>
      </w:r>
      <w:r w:rsidRPr="00FA0D37">
        <w:rPr>
          <w:color w:val="993366"/>
        </w:rPr>
        <w:t>ENUMERATED</w:t>
      </w:r>
      <w:r w:rsidRPr="00FA0D37">
        <w:t xml:space="preserve"> {supported}                      </w:t>
      </w:r>
      <w:r w:rsidRPr="00FA0D37">
        <w:rPr>
          <w:color w:val="993366"/>
        </w:rPr>
        <w:t>OPTIONAL</w:t>
      </w:r>
    </w:p>
    <w:p w14:paraId="3EEB1B77" w14:textId="160E486D" w:rsidR="00101E4C" w:rsidRPr="00FA0D37" w:rsidRDefault="00A105BD" w:rsidP="00FA0D37">
      <w:pPr>
        <w:pStyle w:val="PL"/>
      </w:pPr>
      <w:r w:rsidRPr="00FA0D37">
        <w:t xml:space="preserve">    ]]</w:t>
      </w:r>
      <w:r w:rsidR="00101E4C" w:rsidRPr="00FA0D37">
        <w:t>,</w:t>
      </w:r>
    </w:p>
    <w:p w14:paraId="5C8967ED" w14:textId="19FC63D8" w:rsidR="00101E4C" w:rsidRPr="00FA0D37" w:rsidRDefault="00101E4C" w:rsidP="00FA0D37">
      <w:pPr>
        <w:pStyle w:val="PL"/>
      </w:pPr>
      <w:r w:rsidRPr="00FA0D37">
        <w:t xml:space="preserve">    [[</w:t>
      </w:r>
    </w:p>
    <w:p w14:paraId="1E64E064" w14:textId="54113A6F" w:rsidR="00101E4C" w:rsidRPr="00FA0D37" w:rsidRDefault="00101E4C" w:rsidP="00FA0D37">
      <w:pPr>
        <w:pStyle w:val="PL"/>
        <w:rPr>
          <w:color w:val="808080"/>
        </w:rPr>
      </w:pPr>
      <w:r w:rsidRPr="00FA0D37">
        <w:t xml:space="preserve">    </w:t>
      </w:r>
      <w:r w:rsidRPr="00FA0D37">
        <w:rPr>
          <w:color w:val="808080"/>
        </w:rPr>
        <w:t xml:space="preserve">-- R1 22-11: Support of </w:t>
      </w:r>
      <w:r w:rsidR="00584CE6" w:rsidRPr="00FA0D37">
        <w:rPr>
          <w:color w:val="808080"/>
        </w:rPr>
        <w:t>'</w:t>
      </w:r>
      <w:r w:rsidRPr="00FA0D37">
        <w:rPr>
          <w:color w:val="808080"/>
        </w:rPr>
        <w:t>cri-RI-CQI</w:t>
      </w:r>
      <w:r w:rsidR="00584CE6" w:rsidRPr="00FA0D37">
        <w:rPr>
          <w:color w:val="808080"/>
        </w:rPr>
        <w:t>'</w:t>
      </w:r>
      <w:r w:rsidRPr="00FA0D37">
        <w:rPr>
          <w:color w:val="808080"/>
        </w:rPr>
        <w:t xml:space="preserve"> report without non-PMI-PortIndication</w:t>
      </w:r>
    </w:p>
    <w:p w14:paraId="1F012862" w14:textId="1AB95BFE" w:rsidR="00101E4C" w:rsidRPr="00FA0D37" w:rsidRDefault="00101E4C" w:rsidP="00FA0D37">
      <w:pPr>
        <w:pStyle w:val="PL"/>
      </w:pPr>
      <w:r w:rsidRPr="00FA0D37">
        <w:t xml:space="preserve">    cri-RI-CQI-WithoutNon-PMI-PortInd-r16       </w:t>
      </w:r>
      <w:r w:rsidRPr="00FA0D37">
        <w:rPr>
          <w:color w:val="993366"/>
        </w:rPr>
        <w:t>ENUMERATED</w:t>
      </w:r>
      <w:r w:rsidRPr="00FA0D37">
        <w:t xml:space="preserve"> {supported}                      </w:t>
      </w:r>
      <w:r w:rsidRPr="00FA0D37">
        <w:rPr>
          <w:color w:val="993366"/>
        </w:rPr>
        <w:t>OPTIONAL</w:t>
      </w:r>
    </w:p>
    <w:p w14:paraId="224C2FDD" w14:textId="53CE71AD" w:rsidR="00056A99" w:rsidRPr="00FA0D37" w:rsidRDefault="00101E4C" w:rsidP="00FA0D37">
      <w:pPr>
        <w:pStyle w:val="PL"/>
      </w:pPr>
      <w:r w:rsidRPr="00FA0D37">
        <w:lastRenderedPageBreak/>
        <w:t xml:space="preserve">    ]]</w:t>
      </w:r>
      <w:r w:rsidR="00056A99" w:rsidRPr="00FA0D37">
        <w:t>,</w:t>
      </w:r>
    </w:p>
    <w:p w14:paraId="5FD50773" w14:textId="77777777" w:rsidR="00056A99" w:rsidRPr="00FA0D37" w:rsidRDefault="00056A99" w:rsidP="00FA0D37">
      <w:pPr>
        <w:pStyle w:val="PL"/>
      </w:pPr>
      <w:r w:rsidRPr="00FA0D37">
        <w:t xml:space="preserve">    [[</w:t>
      </w:r>
    </w:p>
    <w:p w14:paraId="0A8BC2A3" w14:textId="77777777" w:rsidR="00056A99" w:rsidRPr="00FA0D37" w:rsidRDefault="00056A99" w:rsidP="00FA0D37">
      <w:pPr>
        <w:pStyle w:val="PL"/>
        <w:rPr>
          <w:color w:val="808080"/>
        </w:rPr>
      </w:pPr>
      <w:r w:rsidRPr="00FA0D37">
        <w:t xml:space="preserve">    </w:t>
      </w:r>
      <w:r w:rsidRPr="00FA0D37">
        <w:rPr>
          <w:color w:val="808080"/>
        </w:rPr>
        <w:t>-- R1 25-11: 4-bits subband CQI for TN and licensed</w:t>
      </w:r>
    </w:p>
    <w:p w14:paraId="2EB6A45C" w14:textId="13A1C4A3" w:rsidR="00056A99" w:rsidRPr="00FA0D37" w:rsidRDefault="00056A99" w:rsidP="00FA0D37">
      <w:pPr>
        <w:pStyle w:val="PL"/>
      </w:pPr>
      <w:r w:rsidRPr="00FA0D37">
        <w:t xml:space="preserve">    cqi-4-BitsSubbandTN-NonSharedSpectrumChAccess-r17  </w:t>
      </w:r>
      <w:r w:rsidRPr="00FA0D37">
        <w:rPr>
          <w:color w:val="993366"/>
        </w:rPr>
        <w:t>ENUMERATED</w:t>
      </w:r>
      <w:r w:rsidRPr="00FA0D37">
        <w:t xml:space="preserve"> {supported}               </w:t>
      </w:r>
      <w:r w:rsidRPr="00FA0D37">
        <w:rPr>
          <w:color w:val="993366"/>
        </w:rPr>
        <w:t>OPTIONAL</w:t>
      </w:r>
    </w:p>
    <w:p w14:paraId="2B29BC75" w14:textId="2FCC194A" w:rsidR="00394471" w:rsidRPr="00FA0D37" w:rsidRDefault="00056A99" w:rsidP="00FA0D37">
      <w:pPr>
        <w:pStyle w:val="PL"/>
      </w:pPr>
      <w:r w:rsidRPr="00FA0D37">
        <w:t xml:space="preserve">    ]]</w:t>
      </w:r>
    </w:p>
    <w:p w14:paraId="7B2F9D66" w14:textId="77777777" w:rsidR="00394471" w:rsidRPr="00FA0D37" w:rsidRDefault="00394471" w:rsidP="00FA0D37">
      <w:pPr>
        <w:pStyle w:val="PL"/>
      </w:pPr>
      <w:r w:rsidRPr="00FA0D37">
        <w:t>}</w:t>
      </w:r>
    </w:p>
    <w:p w14:paraId="6CB638E4" w14:textId="77777777" w:rsidR="00394471" w:rsidRPr="00FA0D37" w:rsidRDefault="00394471" w:rsidP="00FA0D37">
      <w:pPr>
        <w:pStyle w:val="PL"/>
      </w:pPr>
    </w:p>
    <w:p w14:paraId="25B17B8A" w14:textId="77777777" w:rsidR="00394471" w:rsidRPr="00FA0D37" w:rsidRDefault="00394471" w:rsidP="00FA0D37">
      <w:pPr>
        <w:pStyle w:val="PL"/>
      </w:pPr>
      <w:r w:rsidRPr="00FA0D37">
        <w:t xml:space="preserve">Phy-ParametersFR1 ::=                       </w:t>
      </w:r>
      <w:r w:rsidRPr="00FA0D37">
        <w:rPr>
          <w:color w:val="993366"/>
        </w:rPr>
        <w:t>SEQUENCE</w:t>
      </w:r>
      <w:r w:rsidRPr="00FA0D37">
        <w:t xml:space="preserve"> {</w:t>
      </w:r>
    </w:p>
    <w:p w14:paraId="24DD2896" w14:textId="77777777" w:rsidR="00394471" w:rsidRPr="00FA0D37" w:rsidRDefault="00394471" w:rsidP="00FA0D37">
      <w:pPr>
        <w:pStyle w:val="PL"/>
      </w:pPr>
      <w:r w:rsidRPr="00FA0D37">
        <w:t xml:space="preserve">    pdcch-MonitoringSingleOccasion              </w:t>
      </w:r>
      <w:r w:rsidRPr="00FA0D37">
        <w:rPr>
          <w:color w:val="993366"/>
        </w:rPr>
        <w:t>ENUMERATED</w:t>
      </w:r>
      <w:r w:rsidRPr="00FA0D37">
        <w:t xml:space="preserve"> {supported}                      </w:t>
      </w:r>
      <w:r w:rsidRPr="00FA0D37">
        <w:rPr>
          <w:color w:val="993366"/>
        </w:rPr>
        <w:t>OPTIONAL</w:t>
      </w:r>
      <w:r w:rsidRPr="00FA0D37">
        <w:t>,</w:t>
      </w:r>
    </w:p>
    <w:p w14:paraId="536AD8F5" w14:textId="77777777" w:rsidR="00394471" w:rsidRPr="00FA0D37" w:rsidRDefault="00394471" w:rsidP="00FA0D37">
      <w:pPr>
        <w:pStyle w:val="PL"/>
      </w:pPr>
      <w:r w:rsidRPr="00FA0D37">
        <w:t xml:space="preserve">    scs-60kHz                                   </w:t>
      </w:r>
      <w:r w:rsidRPr="00FA0D37">
        <w:rPr>
          <w:color w:val="993366"/>
        </w:rPr>
        <w:t>ENUMERATED</w:t>
      </w:r>
      <w:r w:rsidRPr="00FA0D37">
        <w:t xml:space="preserve"> {supported}                      </w:t>
      </w:r>
      <w:r w:rsidRPr="00FA0D37">
        <w:rPr>
          <w:color w:val="993366"/>
        </w:rPr>
        <w:t>OPTIONAL</w:t>
      </w:r>
      <w:r w:rsidRPr="00FA0D37">
        <w:t>,</w:t>
      </w:r>
    </w:p>
    <w:p w14:paraId="4512205F" w14:textId="77777777" w:rsidR="00394471" w:rsidRPr="00FA0D37" w:rsidRDefault="00394471" w:rsidP="00FA0D37">
      <w:pPr>
        <w:pStyle w:val="PL"/>
      </w:pPr>
      <w:r w:rsidRPr="00FA0D37">
        <w:t xml:space="preserve">    pdsch-256QAM-FR1                            </w:t>
      </w:r>
      <w:r w:rsidRPr="00FA0D37">
        <w:rPr>
          <w:color w:val="993366"/>
        </w:rPr>
        <w:t>ENUMERATED</w:t>
      </w:r>
      <w:r w:rsidRPr="00FA0D37">
        <w:t xml:space="preserve"> {supported}                      </w:t>
      </w:r>
      <w:r w:rsidRPr="00FA0D37">
        <w:rPr>
          <w:color w:val="993366"/>
        </w:rPr>
        <w:t>OPTIONAL</w:t>
      </w:r>
      <w:r w:rsidRPr="00FA0D37">
        <w:t>,</w:t>
      </w:r>
    </w:p>
    <w:p w14:paraId="6370AF88" w14:textId="77777777" w:rsidR="00394471" w:rsidRPr="00FA0D37" w:rsidRDefault="00394471" w:rsidP="00FA0D37">
      <w:pPr>
        <w:pStyle w:val="PL"/>
      </w:pPr>
      <w:r w:rsidRPr="00FA0D37">
        <w:t xml:space="preserve">    pdsch-RE-MappingFR1-PerSymbol               </w:t>
      </w:r>
      <w:r w:rsidRPr="00FA0D37">
        <w:rPr>
          <w:color w:val="993366"/>
        </w:rPr>
        <w:t>ENUMERATED</w:t>
      </w:r>
      <w:r w:rsidRPr="00FA0D37">
        <w:t xml:space="preserve"> {n10, n20}                       </w:t>
      </w:r>
      <w:r w:rsidRPr="00FA0D37">
        <w:rPr>
          <w:color w:val="993366"/>
        </w:rPr>
        <w:t>OPTIONAL</w:t>
      </w:r>
      <w:r w:rsidRPr="00FA0D37">
        <w:t>,</w:t>
      </w:r>
    </w:p>
    <w:p w14:paraId="750AD822" w14:textId="77777777" w:rsidR="00394471" w:rsidRPr="00FA0D37" w:rsidRDefault="00394471" w:rsidP="00FA0D37">
      <w:pPr>
        <w:pStyle w:val="PL"/>
      </w:pPr>
      <w:r w:rsidRPr="00FA0D37">
        <w:t xml:space="preserve">    ...,</w:t>
      </w:r>
    </w:p>
    <w:p w14:paraId="3C12877D" w14:textId="77777777" w:rsidR="00394471" w:rsidRPr="00FA0D37" w:rsidRDefault="00394471" w:rsidP="00FA0D37">
      <w:pPr>
        <w:pStyle w:val="PL"/>
      </w:pPr>
      <w:r w:rsidRPr="00FA0D37">
        <w:t xml:space="preserve">    [[</w:t>
      </w:r>
    </w:p>
    <w:p w14:paraId="2DE4990F" w14:textId="77777777" w:rsidR="00394471" w:rsidRPr="00FA0D37" w:rsidRDefault="00394471" w:rsidP="00FA0D37">
      <w:pPr>
        <w:pStyle w:val="PL"/>
      </w:pPr>
      <w:r w:rsidRPr="00FA0D37">
        <w:t xml:space="preserve">    pdsch-RE-MappingFR1-PerSlot                 </w:t>
      </w:r>
      <w:r w:rsidRPr="00FA0D37">
        <w:rPr>
          <w:color w:val="993366"/>
        </w:rPr>
        <w:t>ENUMERATED</w:t>
      </w:r>
      <w:r w:rsidRPr="00FA0D37">
        <w:t xml:space="preserve"> {n16, n32, n48, n64, n80, n96, n112, n128,</w:t>
      </w:r>
    </w:p>
    <w:p w14:paraId="35D09557" w14:textId="77777777" w:rsidR="00394471" w:rsidRPr="00FA0D37" w:rsidRDefault="00394471" w:rsidP="00FA0D37">
      <w:pPr>
        <w:pStyle w:val="PL"/>
      </w:pPr>
      <w:r w:rsidRPr="00FA0D37">
        <w:t xml:space="preserve">                                                n144, n160, n176, n192, n208, n224, n240, n256}         </w:t>
      </w:r>
      <w:r w:rsidRPr="00FA0D37">
        <w:rPr>
          <w:color w:val="993366"/>
        </w:rPr>
        <w:t>OPTIONAL</w:t>
      </w:r>
    </w:p>
    <w:p w14:paraId="3C8B99BB" w14:textId="7BEC3518" w:rsidR="003A3494" w:rsidRPr="00FA0D37" w:rsidRDefault="00394471" w:rsidP="00FA0D37">
      <w:pPr>
        <w:pStyle w:val="PL"/>
      </w:pPr>
      <w:r w:rsidRPr="00FA0D37">
        <w:t xml:space="preserve">    ]]</w:t>
      </w:r>
      <w:r w:rsidR="003A3494" w:rsidRPr="00FA0D37">
        <w:t>,</w:t>
      </w:r>
    </w:p>
    <w:p w14:paraId="52957A64" w14:textId="078DF369" w:rsidR="003A3494" w:rsidRPr="00FA0D37" w:rsidRDefault="003A3494" w:rsidP="00FA0D37">
      <w:pPr>
        <w:pStyle w:val="PL"/>
      </w:pPr>
      <w:r w:rsidRPr="00FA0D37">
        <w:t xml:space="preserve">    [[</w:t>
      </w:r>
    </w:p>
    <w:p w14:paraId="19210D11" w14:textId="77777777" w:rsidR="003A3494" w:rsidRPr="00FA0D37" w:rsidRDefault="003A3494" w:rsidP="00FA0D37">
      <w:pPr>
        <w:pStyle w:val="PL"/>
        <w:rPr>
          <w:color w:val="808080"/>
        </w:rPr>
      </w:pPr>
      <w:r w:rsidRPr="00FA0D37">
        <w:t xml:space="preserve">    </w:t>
      </w:r>
      <w:r w:rsidRPr="00FA0D37">
        <w:rPr>
          <w:color w:val="808080"/>
        </w:rPr>
        <w:t>-- R1 22-12: PDCCH monitoring with a single span of three contiguous OFDM symbols that is within the first four OFDM symbols in a</w:t>
      </w:r>
    </w:p>
    <w:p w14:paraId="6B7A532C" w14:textId="021B3AA0" w:rsidR="003A3494" w:rsidRPr="00FA0D37" w:rsidRDefault="003A3494" w:rsidP="00FA0D37">
      <w:pPr>
        <w:pStyle w:val="PL"/>
        <w:rPr>
          <w:color w:val="808080"/>
        </w:rPr>
      </w:pPr>
      <w:r w:rsidRPr="00FA0D37">
        <w:t xml:space="preserve">    </w:t>
      </w:r>
      <w:r w:rsidRPr="00FA0D37">
        <w:rPr>
          <w:color w:val="808080"/>
        </w:rPr>
        <w:t>-- slot</w:t>
      </w:r>
    </w:p>
    <w:p w14:paraId="50BE7022" w14:textId="30E21C8D" w:rsidR="003A3494" w:rsidRPr="00FA0D37" w:rsidRDefault="003A3494" w:rsidP="00FA0D37">
      <w:pPr>
        <w:pStyle w:val="PL"/>
      </w:pPr>
      <w:r w:rsidRPr="00FA0D37">
        <w:t xml:space="preserve">    pdcch-MonitoringSingleSpanFirst4Sym-r16     </w:t>
      </w:r>
      <w:r w:rsidRPr="00FA0D37">
        <w:rPr>
          <w:color w:val="993366"/>
        </w:rPr>
        <w:t>ENUMERATED</w:t>
      </w:r>
      <w:r w:rsidRPr="00FA0D37">
        <w:t xml:space="preserve"> {supported}                      </w:t>
      </w:r>
      <w:r w:rsidRPr="00FA0D37">
        <w:rPr>
          <w:color w:val="993366"/>
        </w:rPr>
        <w:t>OPTIONAL</w:t>
      </w:r>
    </w:p>
    <w:p w14:paraId="1DFDE99F" w14:textId="6AF33DDA" w:rsidR="00394471" w:rsidRPr="00FA0D37" w:rsidRDefault="003A3494" w:rsidP="00FA0D37">
      <w:pPr>
        <w:pStyle w:val="PL"/>
      </w:pPr>
      <w:r w:rsidRPr="00FA0D37">
        <w:t xml:space="preserve">    ]]</w:t>
      </w:r>
    </w:p>
    <w:p w14:paraId="30F84963" w14:textId="77777777" w:rsidR="00394471" w:rsidRPr="00FA0D37" w:rsidRDefault="00394471" w:rsidP="00FA0D37">
      <w:pPr>
        <w:pStyle w:val="PL"/>
      </w:pPr>
      <w:r w:rsidRPr="00FA0D37">
        <w:t>}</w:t>
      </w:r>
    </w:p>
    <w:p w14:paraId="40241F86" w14:textId="77777777" w:rsidR="00394471" w:rsidRPr="00FA0D37" w:rsidRDefault="00394471" w:rsidP="00FA0D37">
      <w:pPr>
        <w:pStyle w:val="PL"/>
      </w:pPr>
    </w:p>
    <w:p w14:paraId="44DA393D" w14:textId="77777777" w:rsidR="00394471" w:rsidRPr="00FA0D37" w:rsidRDefault="00394471" w:rsidP="00FA0D37">
      <w:pPr>
        <w:pStyle w:val="PL"/>
      </w:pPr>
      <w:r w:rsidRPr="00FA0D37">
        <w:t xml:space="preserve">Phy-ParametersFR2 ::=                       </w:t>
      </w:r>
      <w:r w:rsidRPr="00FA0D37">
        <w:rPr>
          <w:color w:val="993366"/>
        </w:rPr>
        <w:t>SEQUENCE</w:t>
      </w:r>
      <w:r w:rsidRPr="00FA0D37">
        <w:t xml:space="preserve"> {</w:t>
      </w:r>
    </w:p>
    <w:p w14:paraId="02D29FAC" w14:textId="77777777" w:rsidR="00394471" w:rsidRPr="00FA0D37" w:rsidRDefault="00394471" w:rsidP="00FA0D37">
      <w:pPr>
        <w:pStyle w:val="PL"/>
      </w:pPr>
      <w:r w:rsidRPr="00FA0D37">
        <w:t xml:space="preserve">    dummy                                       </w:t>
      </w:r>
      <w:r w:rsidRPr="00FA0D37">
        <w:rPr>
          <w:color w:val="993366"/>
        </w:rPr>
        <w:t>ENUMERATED</w:t>
      </w:r>
      <w:r w:rsidRPr="00FA0D37">
        <w:t xml:space="preserve"> {supported}                                  </w:t>
      </w:r>
      <w:r w:rsidRPr="00FA0D37">
        <w:rPr>
          <w:color w:val="993366"/>
        </w:rPr>
        <w:t>OPTIONAL</w:t>
      </w:r>
      <w:r w:rsidRPr="00FA0D37">
        <w:t>,</w:t>
      </w:r>
    </w:p>
    <w:p w14:paraId="65443A09" w14:textId="77777777" w:rsidR="00394471" w:rsidRPr="00FA0D37" w:rsidRDefault="00394471" w:rsidP="00FA0D37">
      <w:pPr>
        <w:pStyle w:val="PL"/>
      </w:pPr>
      <w:r w:rsidRPr="00FA0D37">
        <w:t xml:space="preserve">    pdsch-RE-MappingFR2-PerSymbol               </w:t>
      </w:r>
      <w:r w:rsidRPr="00FA0D37">
        <w:rPr>
          <w:color w:val="993366"/>
        </w:rPr>
        <w:t>ENUMERATED</w:t>
      </w:r>
      <w:r w:rsidRPr="00FA0D37">
        <w:t xml:space="preserve"> {n6, n20}                                    </w:t>
      </w:r>
      <w:r w:rsidRPr="00FA0D37">
        <w:rPr>
          <w:color w:val="993366"/>
        </w:rPr>
        <w:t>OPTIONAL</w:t>
      </w:r>
      <w:r w:rsidRPr="00FA0D37">
        <w:t>,</w:t>
      </w:r>
    </w:p>
    <w:p w14:paraId="05736017" w14:textId="77777777" w:rsidR="00394471" w:rsidRPr="00FA0D37" w:rsidRDefault="00394471" w:rsidP="00FA0D37">
      <w:pPr>
        <w:pStyle w:val="PL"/>
      </w:pPr>
      <w:r w:rsidRPr="00FA0D37">
        <w:t xml:space="preserve">    ...,</w:t>
      </w:r>
    </w:p>
    <w:p w14:paraId="3639FD4A" w14:textId="77777777" w:rsidR="00394471" w:rsidRPr="00FA0D37" w:rsidRDefault="00394471" w:rsidP="00FA0D37">
      <w:pPr>
        <w:pStyle w:val="PL"/>
      </w:pPr>
      <w:r w:rsidRPr="00FA0D37">
        <w:t xml:space="preserve">    [[</w:t>
      </w:r>
    </w:p>
    <w:p w14:paraId="69B6DCCB" w14:textId="77777777" w:rsidR="00394471" w:rsidRPr="00FA0D37" w:rsidRDefault="00394471" w:rsidP="00FA0D37">
      <w:pPr>
        <w:pStyle w:val="PL"/>
      </w:pPr>
      <w:r w:rsidRPr="00FA0D37">
        <w:t xml:space="preserve">    pCell-FR2                                   </w:t>
      </w:r>
      <w:r w:rsidRPr="00FA0D37">
        <w:rPr>
          <w:color w:val="993366"/>
        </w:rPr>
        <w:t>ENUMERATED</w:t>
      </w:r>
      <w:r w:rsidRPr="00FA0D37">
        <w:t xml:space="preserve"> {supported}                                  </w:t>
      </w:r>
      <w:r w:rsidRPr="00FA0D37">
        <w:rPr>
          <w:color w:val="993366"/>
        </w:rPr>
        <w:t>OPTIONAL</w:t>
      </w:r>
      <w:r w:rsidRPr="00FA0D37">
        <w:t>,</w:t>
      </w:r>
    </w:p>
    <w:p w14:paraId="27413A94" w14:textId="77777777" w:rsidR="00394471" w:rsidRPr="00FA0D37" w:rsidRDefault="00394471" w:rsidP="00FA0D37">
      <w:pPr>
        <w:pStyle w:val="PL"/>
      </w:pPr>
      <w:r w:rsidRPr="00FA0D37">
        <w:t xml:space="preserve">    pdsch-RE-MappingFR2-PerSlot                 </w:t>
      </w:r>
      <w:r w:rsidRPr="00FA0D37">
        <w:rPr>
          <w:color w:val="993366"/>
        </w:rPr>
        <w:t>ENUMERATED</w:t>
      </w:r>
      <w:r w:rsidRPr="00FA0D37">
        <w:t xml:space="preserve"> {n16, n32, n48, n64, n80, n96, n112, n128,</w:t>
      </w:r>
    </w:p>
    <w:p w14:paraId="0C7109A6" w14:textId="77777777" w:rsidR="00394471" w:rsidRPr="00FA0D37" w:rsidRDefault="00394471" w:rsidP="00FA0D37">
      <w:pPr>
        <w:pStyle w:val="PL"/>
      </w:pPr>
      <w:r w:rsidRPr="00FA0D37">
        <w:t xml:space="preserve">                                                    n144, n160, n176, n192, n208, n224, n240, n256}     </w:t>
      </w:r>
      <w:r w:rsidRPr="00FA0D37">
        <w:rPr>
          <w:color w:val="993366"/>
        </w:rPr>
        <w:t>OPTIONAL</w:t>
      </w:r>
    </w:p>
    <w:p w14:paraId="678BDC86" w14:textId="77777777" w:rsidR="00394471" w:rsidRPr="00FA0D37" w:rsidRDefault="00394471" w:rsidP="00FA0D37">
      <w:pPr>
        <w:pStyle w:val="PL"/>
      </w:pPr>
      <w:r w:rsidRPr="00FA0D37">
        <w:t xml:space="preserve">    ]],</w:t>
      </w:r>
    </w:p>
    <w:p w14:paraId="7B97FBDC" w14:textId="77777777" w:rsidR="00394471" w:rsidRPr="00FA0D37" w:rsidRDefault="00394471" w:rsidP="00FA0D37">
      <w:pPr>
        <w:pStyle w:val="PL"/>
      </w:pPr>
      <w:r w:rsidRPr="00FA0D37">
        <w:t xml:space="preserve">    [[</w:t>
      </w:r>
    </w:p>
    <w:p w14:paraId="10A61871" w14:textId="77777777" w:rsidR="00394471" w:rsidRPr="00FA0D37" w:rsidRDefault="00394471" w:rsidP="00FA0D37">
      <w:pPr>
        <w:pStyle w:val="PL"/>
        <w:rPr>
          <w:color w:val="808080"/>
        </w:rPr>
      </w:pPr>
      <w:r w:rsidRPr="00FA0D37">
        <w:t xml:space="preserve">    </w:t>
      </w:r>
      <w:r w:rsidRPr="00FA0D37">
        <w:rPr>
          <w:color w:val="808080"/>
        </w:rPr>
        <w:t>-- R1 16-1c: Support of default spatial relation and pathloss reference RS for dedicated-PUCCH/SRS and PUSCH</w:t>
      </w:r>
    </w:p>
    <w:p w14:paraId="4F0461B8" w14:textId="77777777" w:rsidR="00394471" w:rsidRPr="00FA0D37" w:rsidRDefault="00394471" w:rsidP="00FA0D37">
      <w:pPr>
        <w:pStyle w:val="PL"/>
      </w:pPr>
      <w:r w:rsidRPr="00FA0D37">
        <w:t xml:space="preserve">    defaultSpatialRelationPathlossRS-r16        </w:t>
      </w:r>
      <w:r w:rsidRPr="00FA0D37">
        <w:rPr>
          <w:color w:val="993366"/>
        </w:rPr>
        <w:t>ENUMERATED</w:t>
      </w:r>
      <w:r w:rsidRPr="00FA0D37">
        <w:t xml:space="preserve"> {supported}                                  </w:t>
      </w:r>
      <w:r w:rsidRPr="00FA0D37">
        <w:rPr>
          <w:color w:val="993366"/>
        </w:rPr>
        <w:t>OPTIONAL</w:t>
      </w:r>
      <w:r w:rsidRPr="00FA0D37">
        <w:t>,</w:t>
      </w:r>
    </w:p>
    <w:p w14:paraId="7625B24C" w14:textId="77777777" w:rsidR="00394471" w:rsidRPr="00FA0D37" w:rsidRDefault="00394471" w:rsidP="00FA0D37">
      <w:pPr>
        <w:pStyle w:val="PL"/>
        <w:rPr>
          <w:color w:val="808080"/>
        </w:rPr>
      </w:pPr>
      <w:r w:rsidRPr="00FA0D37">
        <w:t xml:space="preserve">    </w:t>
      </w:r>
      <w:r w:rsidRPr="00FA0D37">
        <w:rPr>
          <w:color w:val="808080"/>
        </w:rPr>
        <w:t>-- R1 16-1d: Support of spatial relation update for AP-SRS via MAC CE</w:t>
      </w:r>
    </w:p>
    <w:p w14:paraId="1F360160" w14:textId="77777777" w:rsidR="00394471" w:rsidRPr="00FA0D37" w:rsidRDefault="00394471" w:rsidP="00FA0D37">
      <w:pPr>
        <w:pStyle w:val="PL"/>
      </w:pPr>
      <w:r w:rsidRPr="00FA0D37">
        <w:t xml:space="preserve">    spatialRelationUpdateAP-SRS-r16             </w:t>
      </w:r>
      <w:r w:rsidRPr="00FA0D37">
        <w:rPr>
          <w:color w:val="993366"/>
        </w:rPr>
        <w:t>ENUMERATED</w:t>
      </w:r>
      <w:r w:rsidRPr="00FA0D37">
        <w:t xml:space="preserve"> {supported}                                  </w:t>
      </w:r>
      <w:r w:rsidRPr="00FA0D37">
        <w:rPr>
          <w:color w:val="993366"/>
        </w:rPr>
        <w:t>OPTIONAL</w:t>
      </w:r>
      <w:r w:rsidRPr="00FA0D37">
        <w:t>,</w:t>
      </w:r>
    </w:p>
    <w:p w14:paraId="75DF8BC6" w14:textId="77777777" w:rsidR="00394471" w:rsidRPr="00FA0D37" w:rsidRDefault="00394471" w:rsidP="00FA0D37">
      <w:pPr>
        <w:pStyle w:val="PL"/>
      </w:pPr>
      <w:r w:rsidRPr="00FA0D37">
        <w:t xml:space="preserve">    maxNumberSRS-PosSpatialRelationsAllServingCells-r16  </w:t>
      </w:r>
      <w:r w:rsidRPr="00FA0D37">
        <w:rPr>
          <w:color w:val="993366"/>
        </w:rPr>
        <w:t>ENUMERATED</w:t>
      </w:r>
      <w:r w:rsidRPr="00FA0D37">
        <w:t xml:space="preserve"> {n0, n1, n2, n4, n8, n16}           </w:t>
      </w:r>
      <w:r w:rsidRPr="00FA0D37">
        <w:rPr>
          <w:color w:val="993366"/>
        </w:rPr>
        <w:t>OPTIONAL</w:t>
      </w:r>
    </w:p>
    <w:p w14:paraId="1C022B36" w14:textId="77777777" w:rsidR="00394471" w:rsidRPr="00FA0D37" w:rsidRDefault="00394471" w:rsidP="00FA0D37">
      <w:pPr>
        <w:pStyle w:val="PL"/>
      </w:pPr>
      <w:r w:rsidRPr="00FA0D37">
        <w:t xml:space="preserve">    ]]</w:t>
      </w:r>
    </w:p>
    <w:p w14:paraId="1A4068E6" w14:textId="77777777" w:rsidR="00394471" w:rsidRPr="00FA0D37" w:rsidRDefault="00394471" w:rsidP="00FA0D37">
      <w:pPr>
        <w:pStyle w:val="PL"/>
      </w:pPr>
      <w:r w:rsidRPr="00FA0D37">
        <w:t>}</w:t>
      </w:r>
    </w:p>
    <w:p w14:paraId="3404EE76" w14:textId="77777777" w:rsidR="00394471" w:rsidRPr="00FA0D37" w:rsidRDefault="00394471" w:rsidP="00FA0D37">
      <w:pPr>
        <w:pStyle w:val="PL"/>
      </w:pPr>
    </w:p>
    <w:p w14:paraId="3C3CF378" w14:textId="77777777" w:rsidR="00394471" w:rsidRPr="00FA0D37" w:rsidRDefault="00394471" w:rsidP="00FA0D37">
      <w:pPr>
        <w:pStyle w:val="PL"/>
        <w:rPr>
          <w:color w:val="808080"/>
        </w:rPr>
      </w:pPr>
      <w:r w:rsidRPr="00FA0D37">
        <w:rPr>
          <w:color w:val="808080"/>
        </w:rPr>
        <w:t>-- TAG-PHY-PARAMETERS-STOP</w:t>
      </w:r>
    </w:p>
    <w:p w14:paraId="09550AD4" w14:textId="77777777" w:rsidR="00394471" w:rsidRPr="00FA0D37" w:rsidRDefault="00394471" w:rsidP="00FA0D37">
      <w:pPr>
        <w:pStyle w:val="PL"/>
        <w:rPr>
          <w:color w:val="808080"/>
        </w:rPr>
      </w:pPr>
      <w:r w:rsidRPr="00FA0D37">
        <w:rPr>
          <w:color w:val="808080"/>
        </w:rPr>
        <w:t>-- ASN1STOP</w:t>
      </w:r>
    </w:p>
    <w:p w14:paraId="1E8D1E64" w14:textId="77777777" w:rsidR="00394471" w:rsidRPr="00FA0D37"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5C7FF4" w:rsidRPr="00FA0D37" w14:paraId="1F7CE21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6D39EB9" w14:textId="5E379864" w:rsidR="00394471" w:rsidRPr="00FA0D37" w:rsidRDefault="00394471" w:rsidP="00964CC4">
            <w:pPr>
              <w:pStyle w:val="TAH"/>
              <w:rPr>
                <w:bCs/>
                <w:i/>
                <w:iCs/>
                <w:lang w:eastAsia="sv-SE"/>
              </w:rPr>
            </w:pPr>
            <w:r w:rsidRPr="00FA0D37">
              <w:rPr>
                <w:bCs/>
                <w:i/>
                <w:iCs/>
                <w:lang w:eastAsia="sv-SE"/>
              </w:rPr>
              <w:lastRenderedPageBreak/>
              <w:t>Phy-ParametersFRX-Diff</w:t>
            </w:r>
            <w:r w:rsidRPr="00FA0D37">
              <w:rPr>
                <w:bCs/>
                <w:lang w:eastAsia="sv-SE"/>
              </w:rPr>
              <w:t xml:space="preserve"> field description</w:t>
            </w:r>
            <w:r w:rsidR="002372B3" w:rsidRPr="00FA0D37">
              <w:rPr>
                <w:bCs/>
                <w:lang w:eastAsia="sv-SE"/>
              </w:rPr>
              <w:t>s</w:t>
            </w:r>
          </w:p>
        </w:tc>
      </w:tr>
      <w:tr w:rsidR="000F3B47" w:rsidRPr="00FA0D37" w14:paraId="79DB9AC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4FB7A9C" w14:textId="77777777" w:rsidR="00394471" w:rsidRPr="00FA0D37" w:rsidRDefault="00394471" w:rsidP="00964CC4">
            <w:pPr>
              <w:pStyle w:val="TAL"/>
              <w:rPr>
                <w:b/>
                <w:i/>
                <w:lang w:eastAsia="sv-SE"/>
              </w:rPr>
            </w:pPr>
            <w:r w:rsidRPr="00FA0D37">
              <w:rPr>
                <w:b/>
                <w:i/>
                <w:lang w:eastAsia="sv-SE"/>
              </w:rPr>
              <w:t>csi-RS-IM-ReceptionForFeedback/ csi-RS-ProcFrameworkForSRS/ csi-ReportFramework</w:t>
            </w:r>
          </w:p>
          <w:p w14:paraId="0E9B60C2" w14:textId="77777777" w:rsidR="00394471" w:rsidRPr="00FA0D37" w:rsidRDefault="00394471" w:rsidP="00964CC4">
            <w:pPr>
              <w:pStyle w:val="TAL"/>
              <w:rPr>
                <w:lang w:eastAsia="sv-SE"/>
              </w:rPr>
            </w:pPr>
            <w:r w:rsidRPr="00FA0D37">
              <w:rPr>
                <w:lang w:eastAsia="sv-SE"/>
              </w:rPr>
              <w:t xml:space="preserve">These fields are optionally present in </w:t>
            </w:r>
            <w:r w:rsidRPr="00FA0D37">
              <w:rPr>
                <w:i/>
                <w:lang w:eastAsia="sv-SE"/>
              </w:rPr>
              <w:t>fr1-fr2-Add-UE-NR-Capabilities</w:t>
            </w:r>
            <w:r w:rsidRPr="00FA0D37">
              <w:rPr>
                <w:lang w:eastAsia="sv-SE"/>
              </w:rPr>
              <w:t xml:space="preserve"> in </w:t>
            </w:r>
            <w:r w:rsidRPr="00FA0D37">
              <w:rPr>
                <w:i/>
                <w:lang w:eastAsia="sv-SE"/>
              </w:rPr>
              <w:t>UE-NR-Capability</w:t>
            </w:r>
            <w:r w:rsidRPr="00FA0D37">
              <w:rPr>
                <w:lang w:eastAsia="sv-SE"/>
              </w:rPr>
              <w:t xml:space="preserve">. </w:t>
            </w:r>
            <w:r w:rsidRPr="00FA0D37">
              <w:t xml:space="preserve">They shall not be set in any other instance of the IE </w:t>
            </w:r>
            <w:r w:rsidRPr="00FA0D37">
              <w:rPr>
                <w:i/>
                <w:iCs/>
              </w:rPr>
              <w:t>Phy-ParametersFRX-Diff</w:t>
            </w:r>
            <w:r w:rsidRPr="00FA0D37">
              <w:t xml:space="preserve">. If the network configures the UE with serving cells on both </w:t>
            </w:r>
            <w:r w:rsidRPr="00FA0D37">
              <w:rPr>
                <w:lang w:eastAsia="sv-SE"/>
              </w:rPr>
              <w:t xml:space="preserve">FR1 and FR2 bands, these parameters, if present, limit the corresponding parameters in </w:t>
            </w:r>
            <w:r w:rsidRPr="00FA0D37">
              <w:rPr>
                <w:i/>
                <w:lang w:eastAsia="sv-SE"/>
              </w:rPr>
              <w:t>MIMO-ParametersPerBand</w:t>
            </w:r>
            <w:r w:rsidRPr="00FA0D37">
              <w:rPr>
                <w:lang w:eastAsia="sv-SE"/>
              </w:rPr>
              <w:t>.</w:t>
            </w:r>
          </w:p>
        </w:tc>
      </w:tr>
    </w:tbl>
    <w:p w14:paraId="78CE0694" w14:textId="77777777" w:rsidR="00394471" w:rsidRPr="00FA0D37" w:rsidRDefault="00394471" w:rsidP="00394471"/>
    <w:p w14:paraId="7770C29E" w14:textId="39880DAC" w:rsidR="004D34F2" w:rsidRPr="00FA0D37" w:rsidRDefault="004D34F2" w:rsidP="004D34F2">
      <w:pPr>
        <w:pStyle w:val="4"/>
      </w:pPr>
      <w:bookmarkStart w:id="1595" w:name="_Toc146781574"/>
      <w:r w:rsidRPr="00FA0D37">
        <w:t>–</w:t>
      </w:r>
      <w:r w:rsidRPr="00FA0D37">
        <w:tab/>
      </w:r>
      <w:r w:rsidRPr="00FA0D37">
        <w:rPr>
          <w:i/>
        </w:rPr>
        <w:t>Phy-ParametersMRDC</w:t>
      </w:r>
      <w:bookmarkEnd w:id="1595"/>
    </w:p>
    <w:p w14:paraId="3BE724AE" w14:textId="77777777" w:rsidR="004D34F2" w:rsidRPr="00FA0D37" w:rsidRDefault="004D34F2" w:rsidP="004D34F2">
      <w:r w:rsidRPr="00FA0D37">
        <w:t xml:space="preserve">The IE </w:t>
      </w:r>
      <w:r w:rsidRPr="00FA0D37">
        <w:rPr>
          <w:i/>
        </w:rPr>
        <w:t>Phy-ParametersMRDC</w:t>
      </w:r>
      <w:r w:rsidRPr="00FA0D37">
        <w:t xml:space="preserve"> is used to convey physical layer capabilities for MR-DC.</w:t>
      </w:r>
    </w:p>
    <w:p w14:paraId="2D76F5AA" w14:textId="77777777" w:rsidR="004D34F2" w:rsidRPr="00FA0D37" w:rsidRDefault="004D34F2" w:rsidP="004D34F2">
      <w:pPr>
        <w:pStyle w:val="TH"/>
      </w:pPr>
      <w:r w:rsidRPr="00FA0D37">
        <w:rPr>
          <w:i/>
        </w:rPr>
        <w:t>Phy-ParametersMRDC</w:t>
      </w:r>
      <w:r w:rsidRPr="00FA0D37">
        <w:t xml:space="preserve"> information element</w:t>
      </w:r>
    </w:p>
    <w:p w14:paraId="47BB350D" w14:textId="77777777" w:rsidR="004D34F2" w:rsidRPr="00FA0D37" w:rsidRDefault="004D34F2" w:rsidP="00FA0D37">
      <w:pPr>
        <w:pStyle w:val="PL"/>
        <w:rPr>
          <w:color w:val="808080"/>
        </w:rPr>
      </w:pPr>
      <w:r w:rsidRPr="00FA0D37">
        <w:rPr>
          <w:color w:val="808080"/>
        </w:rPr>
        <w:t>-- ASN1START</w:t>
      </w:r>
    </w:p>
    <w:p w14:paraId="73EF19B2" w14:textId="77777777" w:rsidR="004D34F2" w:rsidRPr="00FA0D37" w:rsidRDefault="004D34F2" w:rsidP="00FA0D37">
      <w:pPr>
        <w:pStyle w:val="PL"/>
        <w:rPr>
          <w:color w:val="808080"/>
        </w:rPr>
      </w:pPr>
      <w:r w:rsidRPr="00FA0D37">
        <w:rPr>
          <w:color w:val="808080"/>
        </w:rPr>
        <w:t>-- TAG-PHY-PARAMETERSMRDC-START</w:t>
      </w:r>
    </w:p>
    <w:p w14:paraId="36B9CA09" w14:textId="77777777" w:rsidR="004D34F2" w:rsidRPr="00FA0D37" w:rsidRDefault="004D34F2" w:rsidP="00FA0D37">
      <w:pPr>
        <w:pStyle w:val="PL"/>
      </w:pPr>
    </w:p>
    <w:p w14:paraId="1088853A" w14:textId="77777777" w:rsidR="004D34F2" w:rsidRPr="00FA0D37" w:rsidRDefault="004D34F2" w:rsidP="00FA0D37">
      <w:pPr>
        <w:pStyle w:val="PL"/>
      </w:pPr>
      <w:r w:rsidRPr="00FA0D37">
        <w:t xml:space="preserve">Phy-ParametersMRDC ::=              </w:t>
      </w:r>
      <w:r w:rsidRPr="00FA0D37">
        <w:rPr>
          <w:color w:val="993366"/>
        </w:rPr>
        <w:t>SEQUENCE</w:t>
      </w:r>
      <w:r w:rsidRPr="00FA0D37">
        <w:t xml:space="preserve"> {</w:t>
      </w:r>
    </w:p>
    <w:p w14:paraId="606BC042" w14:textId="77777777" w:rsidR="004D34F2" w:rsidRPr="00FA0D37" w:rsidRDefault="004D34F2" w:rsidP="00FA0D37">
      <w:pPr>
        <w:pStyle w:val="PL"/>
      </w:pPr>
      <w:r w:rsidRPr="00FA0D37">
        <w:t xml:space="preserve">    naics-Capability-List               </w:t>
      </w:r>
      <w:r w:rsidRPr="00FA0D37">
        <w:rPr>
          <w:color w:val="993366"/>
        </w:rPr>
        <w:t>SEQUENCE</w:t>
      </w:r>
      <w:r w:rsidRPr="00FA0D37">
        <w:t xml:space="preserve"> (</w:t>
      </w:r>
      <w:r w:rsidRPr="00FA0D37">
        <w:rPr>
          <w:color w:val="993366"/>
        </w:rPr>
        <w:t>SIZE</w:t>
      </w:r>
      <w:r w:rsidRPr="00FA0D37">
        <w:t xml:space="preserve"> (1..maxNrofNAICS-Entries))</w:t>
      </w:r>
      <w:r w:rsidRPr="00FA0D37">
        <w:rPr>
          <w:color w:val="993366"/>
        </w:rPr>
        <w:t xml:space="preserve"> OF</w:t>
      </w:r>
      <w:r w:rsidRPr="00FA0D37">
        <w:t xml:space="preserve"> NAICS-Capability-Entry         </w:t>
      </w:r>
      <w:r w:rsidRPr="00FA0D37">
        <w:rPr>
          <w:color w:val="993366"/>
        </w:rPr>
        <w:t>OPTIONAL</w:t>
      </w:r>
      <w:r w:rsidRPr="00FA0D37">
        <w:t>,</w:t>
      </w:r>
    </w:p>
    <w:p w14:paraId="20BB9B0A" w14:textId="77777777" w:rsidR="004D34F2" w:rsidRPr="00FA0D37" w:rsidRDefault="004D34F2" w:rsidP="00FA0D37">
      <w:pPr>
        <w:pStyle w:val="PL"/>
      </w:pPr>
      <w:r w:rsidRPr="00FA0D37">
        <w:t xml:space="preserve">    ...,</w:t>
      </w:r>
    </w:p>
    <w:p w14:paraId="58379A29" w14:textId="77777777" w:rsidR="004D34F2" w:rsidRPr="00FA0D37" w:rsidRDefault="004D34F2" w:rsidP="00FA0D37">
      <w:pPr>
        <w:pStyle w:val="PL"/>
      </w:pPr>
      <w:r w:rsidRPr="00FA0D37">
        <w:t xml:space="preserve">    [[</w:t>
      </w:r>
    </w:p>
    <w:p w14:paraId="6821F454" w14:textId="77777777" w:rsidR="004D34F2" w:rsidRPr="00FA0D37" w:rsidRDefault="004D34F2" w:rsidP="00FA0D37">
      <w:pPr>
        <w:pStyle w:val="PL"/>
      </w:pPr>
      <w:r w:rsidRPr="00FA0D37">
        <w:t xml:space="preserve">    spCellPlacement                     CarrierAggregationVariant                                                   </w:t>
      </w:r>
      <w:r w:rsidRPr="00FA0D37">
        <w:rPr>
          <w:color w:val="993366"/>
        </w:rPr>
        <w:t>OPTIONAL</w:t>
      </w:r>
    </w:p>
    <w:p w14:paraId="79A727C2" w14:textId="77777777" w:rsidR="004D34F2" w:rsidRPr="00FA0D37" w:rsidRDefault="004D34F2" w:rsidP="00FA0D37">
      <w:pPr>
        <w:pStyle w:val="PL"/>
      </w:pPr>
      <w:r w:rsidRPr="00FA0D37">
        <w:t xml:space="preserve">    ]],</w:t>
      </w:r>
    </w:p>
    <w:p w14:paraId="1CAD373D" w14:textId="77777777" w:rsidR="004D34F2" w:rsidRPr="00FA0D37" w:rsidRDefault="004D34F2" w:rsidP="00FA0D37">
      <w:pPr>
        <w:pStyle w:val="PL"/>
      </w:pPr>
      <w:r w:rsidRPr="00FA0D37">
        <w:t xml:space="preserve">    [[</w:t>
      </w:r>
    </w:p>
    <w:p w14:paraId="3C2CD915" w14:textId="77777777" w:rsidR="004D34F2" w:rsidRPr="00FA0D37" w:rsidRDefault="004D34F2" w:rsidP="00FA0D37">
      <w:pPr>
        <w:pStyle w:val="PL"/>
        <w:rPr>
          <w:color w:val="808080"/>
        </w:rPr>
      </w:pPr>
      <w:r w:rsidRPr="00FA0D37">
        <w:t xml:space="preserve">    </w:t>
      </w:r>
      <w:r w:rsidRPr="00FA0D37">
        <w:rPr>
          <w:color w:val="808080"/>
        </w:rPr>
        <w:t>-- R1 18-3b: Semi-statically configured LTE UL transmissions in all UL subframes not limited to tdm-pattern in case of TDD PCell</w:t>
      </w:r>
    </w:p>
    <w:p w14:paraId="1F90BDC4" w14:textId="77777777" w:rsidR="004D34F2" w:rsidRPr="00FA0D37" w:rsidRDefault="004D34F2" w:rsidP="00FA0D37">
      <w:pPr>
        <w:pStyle w:val="PL"/>
      </w:pPr>
      <w:r w:rsidRPr="00FA0D37">
        <w:t xml:space="preserve">    tdd-PCellUL-TX-AllUL-Subframe-r16   </w:t>
      </w:r>
      <w:r w:rsidRPr="00FA0D37">
        <w:rPr>
          <w:color w:val="993366"/>
        </w:rPr>
        <w:t>ENUMERATED</w:t>
      </w:r>
      <w:r w:rsidRPr="00FA0D37">
        <w:t xml:space="preserve"> {supported}                                                      </w:t>
      </w:r>
      <w:r w:rsidRPr="00FA0D37">
        <w:rPr>
          <w:color w:val="993366"/>
        </w:rPr>
        <w:t>OPTIONAL</w:t>
      </w:r>
      <w:r w:rsidRPr="00FA0D37">
        <w:t>,</w:t>
      </w:r>
    </w:p>
    <w:p w14:paraId="0ECCD874" w14:textId="77777777" w:rsidR="004D34F2" w:rsidRPr="00FA0D37" w:rsidRDefault="004D34F2" w:rsidP="00FA0D37">
      <w:pPr>
        <w:pStyle w:val="PL"/>
        <w:rPr>
          <w:color w:val="808080"/>
        </w:rPr>
      </w:pPr>
      <w:r w:rsidRPr="00FA0D37">
        <w:t xml:space="preserve">    </w:t>
      </w:r>
      <w:r w:rsidRPr="00FA0D37">
        <w:rPr>
          <w:color w:val="808080"/>
        </w:rPr>
        <w:t>-- R1 18-3a: Semi-statically configured LTE UL transmissions in all UL subframes not limited to tdm-pattern in case of FDD PCell</w:t>
      </w:r>
    </w:p>
    <w:p w14:paraId="6398A238" w14:textId="77777777" w:rsidR="004D34F2" w:rsidRPr="00FA0D37" w:rsidRDefault="004D34F2" w:rsidP="00FA0D37">
      <w:pPr>
        <w:pStyle w:val="PL"/>
      </w:pPr>
      <w:r w:rsidRPr="00FA0D37">
        <w:t xml:space="preserve">    fdd-PCellUL-TX-AllUL-Subframe-r16   </w:t>
      </w:r>
      <w:r w:rsidRPr="00FA0D37">
        <w:rPr>
          <w:color w:val="993366"/>
        </w:rPr>
        <w:t>ENUMERATED</w:t>
      </w:r>
      <w:r w:rsidRPr="00FA0D37">
        <w:t xml:space="preserve"> {supported}                                                      </w:t>
      </w:r>
      <w:r w:rsidRPr="00FA0D37">
        <w:rPr>
          <w:color w:val="993366"/>
        </w:rPr>
        <w:t>OPTIONAL</w:t>
      </w:r>
    </w:p>
    <w:p w14:paraId="71943481" w14:textId="77777777" w:rsidR="004D34F2" w:rsidRPr="00FA0D37" w:rsidRDefault="004D34F2" w:rsidP="00FA0D37">
      <w:pPr>
        <w:pStyle w:val="PL"/>
      </w:pPr>
      <w:r w:rsidRPr="00FA0D37">
        <w:t xml:space="preserve">    ]]</w:t>
      </w:r>
    </w:p>
    <w:p w14:paraId="5DAF23DC" w14:textId="77777777" w:rsidR="004D34F2" w:rsidRPr="00FA0D37" w:rsidRDefault="004D34F2" w:rsidP="00FA0D37">
      <w:pPr>
        <w:pStyle w:val="PL"/>
      </w:pPr>
      <w:r w:rsidRPr="00FA0D37">
        <w:t>}</w:t>
      </w:r>
    </w:p>
    <w:p w14:paraId="22FF9773" w14:textId="77777777" w:rsidR="004D34F2" w:rsidRPr="00FA0D37" w:rsidRDefault="004D34F2" w:rsidP="00FA0D37">
      <w:pPr>
        <w:pStyle w:val="PL"/>
      </w:pPr>
    </w:p>
    <w:p w14:paraId="4261D92A" w14:textId="77777777" w:rsidR="004D34F2" w:rsidRPr="00FA0D37" w:rsidRDefault="004D34F2" w:rsidP="00FA0D37">
      <w:pPr>
        <w:pStyle w:val="PL"/>
      </w:pPr>
      <w:r w:rsidRPr="00FA0D37">
        <w:t xml:space="preserve">NAICS-Capability-Entry ::=          </w:t>
      </w:r>
      <w:r w:rsidRPr="00FA0D37">
        <w:rPr>
          <w:color w:val="993366"/>
        </w:rPr>
        <w:t>SEQUENCE</w:t>
      </w:r>
      <w:r w:rsidRPr="00FA0D37">
        <w:t xml:space="preserve"> {</w:t>
      </w:r>
    </w:p>
    <w:p w14:paraId="3ED4F78D" w14:textId="77777777" w:rsidR="004D34F2" w:rsidRPr="00FA0D37" w:rsidRDefault="004D34F2" w:rsidP="00FA0D37">
      <w:pPr>
        <w:pStyle w:val="PL"/>
      </w:pPr>
      <w:r w:rsidRPr="00FA0D37">
        <w:t xml:space="preserve">    numberOfNAICS-CapableCC             </w:t>
      </w:r>
      <w:r w:rsidRPr="00FA0D37">
        <w:rPr>
          <w:color w:val="993366"/>
        </w:rPr>
        <w:t>INTEGER</w:t>
      </w:r>
      <w:r w:rsidRPr="00FA0D37">
        <w:t>(1..5),</w:t>
      </w:r>
    </w:p>
    <w:p w14:paraId="0B29A728" w14:textId="77777777" w:rsidR="004D34F2" w:rsidRPr="00FA0D37" w:rsidRDefault="004D34F2" w:rsidP="00FA0D37">
      <w:pPr>
        <w:pStyle w:val="PL"/>
      </w:pPr>
      <w:r w:rsidRPr="00FA0D37">
        <w:t xml:space="preserve">    numberOfAggregatedPRB               </w:t>
      </w:r>
      <w:r w:rsidRPr="00FA0D37">
        <w:rPr>
          <w:color w:val="993366"/>
        </w:rPr>
        <w:t>ENUMERATED</w:t>
      </w:r>
      <w:r w:rsidRPr="00FA0D37">
        <w:t xml:space="preserve"> {n50, n75, n100, n125, n150, n175, n200, n225,</w:t>
      </w:r>
    </w:p>
    <w:p w14:paraId="57FE4F38" w14:textId="77777777" w:rsidR="004D34F2" w:rsidRPr="00FA0D37" w:rsidRDefault="004D34F2" w:rsidP="00FA0D37">
      <w:pPr>
        <w:pStyle w:val="PL"/>
      </w:pPr>
      <w:r w:rsidRPr="00FA0D37">
        <w:t xml:space="preserve">                                                    n250, n275, n300, n350, n400, n450, n500, spare},</w:t>
      </w:r>
    </w:p>
    <w:p w14:paraId="5231FF32" w14:textId="77777777" w:rsidR="004D34F2" w:rsidRPr="00FA0D37" w:rsidRDefault="004D34F2" w:rsidP="00FA0D37">
      <w:pPr>
        <w:pStyle w:val="PL"/>
      </w:pPr>
      <w:r w:rsidRPr="00FA0D37">
        <w:t xml:space="preserve">    ...</w:t>
      </w:r>
    </w:p>
    <w:p w14:paraId="6317F18F" w14:textId="77777777" w:rsidR="004D34F2" w:rsidRPr="00FA0D37" w:rsidRDefault="004D34F2" w:rsidP="00FA0D37">
      <w:pPr>
        <w:pStyle w:val="PL"/>
      </w:pPr>
      <w:r w:rsidRPr="00FA0D37">
        <w:t>}</w:t>
      </w:r>
    </w:p>
    <w:p w14:paraId="289AF755" w14:textId="77777777" w:rsidR="004D34F2" w:rsidRPr="00FA0D37" w:rsidRDefault="004D34F2" w:rsidP="00FA0D37">
      <w:pPr>
        <w:pStyle w:val="PL"/>
      </w:pPr>
    </w:p>
    <w:p w14:paraId="5C0F3F6F" w14:textId="77777777" w:rsidR="004D34F2" w:rsidRPr="00FA0D37" w:rsidRDefault="004D34F2" w:rsidP="00FA0D37">
      <w:pPr>
        <w:pStyle w:val="PL"/>
        <w:rPr>
          <w:color w:val="808080"/>
        </w:rPr>
      </w:pPr>
      <w:r w:rsidRPr="00FA0D37">
        <w:rPr>
          <w:color w:val="808080"/>
        </w:rPr>
        <w:t>-- TAG-PHY-PARAMETERSMRDC-STOP</w:t>
      </w:r>
    </w:p>
    <w:p w14:paraId="50017112" w14:textId="77777777" w:rsidR="004D34F2" w:rsidRPr="00FA0D37" w:rsidRDefault="004D34F2" w:rsidP="00FA0D37">
      <w:pPr>
        <w:pStyle w:val="PL"/>
        <w:rPr>
          <w:color w:val="808080"/>
        </w:rPr>
      </w:pPr>
      <w:r w:rsidRPr="00FA0D37">
        <w:rPr>
          <w:color w:val="808080"/>
        </w:rPr>
        <w:t>-- ASN1STOP</w:t>
      </w:r>
    </w:p>
    <w:p w14:paraId="625BA105" w14:textId="77777777" w:rsidR="004D34F2" w:rsidRPr="00FA0D37" w:rsidRDefault="004D34F2" w:rsidP="004D34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469C7E1"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703D22B7" w14:textId="77777777" w:rsidR="004D34F2" w:rsidRPr="00FA0D37" w:rsidRDefault="004D34F2" w:rsidP="00AB02D4">
            <w:pPr>
              <w:pStyle w:val="TAH"/>
              <w:rPr>
                <w:szCs w:val="22"/>
                <w:lang w:eastAsia="sv-SE"/>
              </w:rPr>
            </w:pPr>
            <w:r w:rsidRPr="00FA0D37">
              <w:rPr>
                <w:i/>
                <w:szCs w:val="22"/>
                <w:lang w:eastAsia="sv-SE"/>
              </w:rPr>
              <w:t xml:space="preserve">PHY-ParametersMRDC </w:t>
            </w:r>
            <w:r w:rsidRPr="00FA0D37">
              <w:rPr>
                <w:szCs w:val="22"/>
                <w:lang w:eastAsia="sv-SE"/>
              </w:rPr>
              <w:t>field descriptions</w:t>
            </w:r>
          </w:p>
        </w:tc>
      </w:tr>
      <w:tr w:rsidR="004D34F2" w:rsidRPr="00FA0D37" w14:paraId="58C22206"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1925F741" w14:textId="77777777" w:rsidR="004D34F2" w:rsidRPr="00FA0D37" w:rsidRDefault="004D34F2" w:rsidP="00AB02D4">
            <w:pPr>
              <w:pStyle w:val="TAL"/>
              <w:rPr>
                <w:szCs w:val="22"/>
                <w:lang w:eastAsia="sv-SE"/>
              </w:rPr>
            </w:pPr>
            <w:r w:rsidRPr="00FA0D37">
              <w:rPr>
                <w:b/>
                <w:i/>
                <w:szCs w:val="22"/>
                <w:lang w:eastAsia="sv-SE"/>
              </w:rPr>
              <w:t>naics-Capability-List</w:t>
            </w:r>
          </w:p>
          <w:p w14:paraId="608B3D79" w14:textId="77777777" w:rsidR="004D34F2" w:rsidRPr="00FA0D37" w:rsidRDefault="004D34F2" w:rsidP="00AB02D4">
            <w:pPr>
              <w:pStyle w:val="TAL"/>
              <w:rPr>
                <w:szCs w:val="22"/>
                <w:lang w:eastAsia="sv-SE"/>
              </w:rPr>
            </w:pPr>
            <w:r w:rsidRPr="00FA0D37">
              <w:rPr>
                <w:szCs w:val="22"/>
                <w:lang w:eastAsia="sv-SE"/>
              </w:rPr>
              <w:t>Indicates that UE in MR-DC supports NAICS as defined in TS 36.331 [10].</w:t>
            </w:r>
          </w:p>
        </w:tc>
      </w:tr>
    </w:tbl>
    <w:p w14:paraId="2AA01C91" w14:textId="77777777" w:rsidR="004D34F2" w:rsidRPr="00FA0D37" w:rsidRDefault="004D34F2" w:rsidP="004D34F2"/>
    <w:p w14:paraId="0E445F3C" w14:textId="1443F38C" w:rsidR="00D649D6" w:rsidRPr="00FA0D37" w:rsidRDefault="00D649D6" w:rsidP="00D649D6">
      <w:pPr>
        <w:pStyle w:val="4"/>
      </w:pPr>
      <w:bookmarkStart w:id="1596" w:name="_Toc146781575"/>
      <w:r w:rsidRPr="00FA0D37">
        <w:lastRenderedPageBreak/>
        <w:t>–</w:t>
      </w:r>
      <w:r w:rsidRPr="00FA0D37">
        <w:tab/>
      </w:r>
      <w:r w:rsidRPr="00FA0D37">
        <w:rPr>
          <w:i/>
        </w:rPr>
        <w:t>Phy-ParametersSharedSpectrumChAccess</w:t>
      </w:r>
      <w:bookmarkEnd w:id="1596"/>
    </w:p>
    <w:p w14:paraId="70063266" w14:textId="77777777" w:rsidR="00D649D6" w:rsidRPr="00FA0D37" w:rsidRDefault="00D649D6" w:rsidP="00D649D6">
      <w:r w:rsidRPr="00FA0D37">
        <w:t xml:space="preserve">The IE </w:t>
      </w:r>
      <w:r w:rsidRPr="00FA0D37">
        <w:rPr>
          <w:i/>
        </w:rPr>
        <w:t>Phy-ParametersSharedSpectrumChAccess</w:t>
      </w:r>
      <w:r w:rsidRPr="00FA0D37">
        <w:t xml:space="preserve"> is used to convey the physical layer capabilities specific for shared spectrum channel access.</w:t>
      </w:r>
    </w:p>
    <w:p w14:paraId="38C85656" w14:textId="2CAF10E2" w:rsidR="00D649D6" w:rsidRPr="00FA0D37" w:rsidRDefault="00D649D6" w:rsidP="00D649D6">
      <w:pPr>
        <w:pStyle w:val="TH"/>
      </w:pPr>
      <w:r w:rsidRPr="00FA0D37">
        <w:rPr>
          <w:i/>
        </w:rPr>
        <w:t>Phy-ParametersShared</w:t>
      </w:r>
      <w:r w:rsidR="004D34F2" w:rsidRPr="00FA0D37">
        <w:rPr>
          <w:i/>
        </w:rPr>
        <w:t>Spectrum</w:t>
      </w:r>
      <w:r w:rsidRPr="00FA0D37">
        <w:rPr>
          <w:i/>
        </w:rPr>
        <w:t>ChAccess</w:t>
      </w:r>
      <w:r w:rsidRPr="00FA0D37">
        <w:t xml:space="preserve"> information element</w:t>
      </w:r>
    </w:p>
    <w:p w14:paraId="46C1AF83" w14:textId="77777777" w:rsidR="00D649D6" w:rsidRPr="00FA0D37" w:rsidRDefault="00D649D6" w:rsidP="00FA0D37">
      <w:pPr>
        <w:pStyle w:val="PL"/>
        <w:rPr>
          <w:color w:val="808080"/>
        </w:rPr>
      </w:pPr>
      <w:r w:rsidRPr="00FA0D37">
        <w:rPr>
          <w:color w:val="808080"/>
        </w:rPr>
        <w:t>-- ASN1START</w:t>
      </w:r>
    </w:p>
    <w:p w14:paraId="20B4D7C3" w14:textId="77777777" w:rsidR="00D649D6" w:rsidRPr="00FA0D37" w:rsidRDefault="00D649D6" w:rsidP="00FA0D37">
      <w:pPr>
        <w:pStyle w:val="PL"/>
        <w:rPr>
          <w:color w:val="808080"/>
        </w:rPr>
      </w:pPr>
      <w:r w:rsidRPr="00FA0D37">
        <w:rPr>
          <w:color w:val="808080"/>
        </w:rPr>
        <w:t>-- TAG-PHY-PARAMETERSSHAREDSPECTRUMCHACCESS-START</w:t>
      </w:r>
    </w:p>
    <w:p w14:paraId="50075293" w14:textId="77777777" w:rsidR="00D649D6" w:rsidRPr="00FA0D37" w:rsidRDefault="00D649D6" w:rsidP="00FA0D37">
      <w:pPr>
        <w:pStyle w:val="PL"/>
      </w:pPr>
    </w:p>
    <w:p w14:paraId="43F7B1FC" w14:textId="31304C75" w:rsidR="00D649D6" w:rsidRPr="00FA0D37" w:rsidRDefault="00D649D6" w:rsidP="00FA0D37">
      <w:pPr>
        <w:pStyle w:val="PL"/>
      </w:pPr>
      <w:r w:rsidRPr="00FA0D37">
        <w:t xml:space="preserve">Phy-ParametersSharedSpectrumChAccess-r16 ::=    </w:t>
      </w:r>
      <w:r w:rsidRPr="00FA0D37">
        <w:rPr>
          <w:color w:val="993366"/>
        </w:rPr>
        <w:t>SEQUENCE</w:t>
      </w:r>
      <w:r w:rsidRPr="00FA0D37">
        <w:t xml:space="preserve"> {</w:t>
      </w:r>
    </w:p>
    <w:p w14:paraId="1073EF8F" w14:textId="3B96D7FC" w:rsidR="00D649D6" w:rsidRPr="00FA0D37" w:rsidRDefault="00D649D6" w:rsidP="00FA0D37">
      <w:pPr>
        <w:pStyle w:val="PL"/>
        <w:rPr>
          <w:color w:val="808080"/>
        </w:rPr>
      </w:pPr>
      <w:r w:rsidRPr="00FA0D37">
        <w:t xml:space="preserve">    </w:t>
      </w:r>
      <w:r w:rsidRPr="00FA0D37">
        <w:rPr>
          <w:color w:val="808080"/>
        </w:rPr>
        <w:t>-- 10-32 (1-2): SS block based SINR measurement (SS-SINR) for unlicensed spectrum</w:t>
      </w:r>
    </w:p>
    <w:p w14:paraId="4ABA00B6" w14:textId="403D639D" w:rsidR="00D649D6" w:rsidRPr="00FA0D37" w:rsidRDefault="00D649D6" w:rsidP="00FA0D37">
      <w:pPr>
        <w:pStyle w:val="PL"/>
      </w:pPr>
      <w:r w:rsidRPr="00FA0D37">
        <w:t xml:space="preserve">    ss-SINR-Meas-r16                                </w:t>
      </w:r>
      <w:r w:rsidRPr="00FA0D37">
        <w:rPr>
          <w:color w:val="993366"/>
        </w:rPr>
        <w:t>ENUMERATED</w:t>
      </w:r>
      <w:r w:rsidRPr="00FA0D37">
        <w:t xml:space="preserve"> {supported}                      </w:t>
      </w:r>
      <w:r w:rsidRPr="00FA0D37">
        <w:rPr>
          <w:color w:val="993366"/>
        </w:rPr>
        <w:t>OPTIONAL</w:t>
      </w:r>
      <w:r w:rsidRPr="00FA0D37">
        <w:t>,</w:t>
      </w:r>
    </w:p>
    <w:p w14:paraId="5CBA360F" w14:textId="7CF2D07F" w:rsidR="00D649D6" w:rsidRPr="00FA0D37" w:rsidRDefault="00D649D6" w:rsidP="00FA0D37">
      <w:pPr>
        <w:pStyle w:val="PL"/>
        <w:rPr>
          <w:color w:val="808080"/>
        </w:rPr>
      </w:pPr>
      <w:r w:rsidRPr="00FA0D37">
        <w:t xml:space="preserve">    </w:t>
      </w:r>
      <w:r w:rsidRPr="00FA0D37">
        <w:rPr>
          <w:color w:val="808080"/>
        </w:rPr>
        <w:t>-- 10-33 (2-32a): Semi-persistent CSI report on PUCCH for unlicensed spectrum</w:t>
      </w:r>
    </w:p>
    <w:p w14:paraId="6EB8C586" w14:textId="2637E71F" w:rsidR="00D649D6" w:rsidRPr="00FA0D37" w:rsidRDefault="00D649D6" w:rsidP="00FA0D37">
      <w:pPr>
        <w:pStyle w:val="PL"/>
      </w:pPr>
      <w:r w:rsidRPr="00FA0D37">
        <w:t xml:space="preserve">    sp-CSI-ReportPUCCH-r16                          </w:t>
      </w:r>
      <w:r w:rsidRPr="00FA0D37">
        <w:rPr>
          <w:color w:val="993366"/>
        </w:rPr>
        <w:t>ENUMERATED</w:t>
      </w:r>
      <w:r w:rsidRPr="00FA0D37">
        <w:t xml:space="preserve"> {supported}                      </w:t>
      </w:r>
      <w:r w:rsidRPr="00FA0D37">
        <w:rPr>
          <w:color w:val="993366"/>
        </w:rPr>
        <w:t>OPTIONAL</w:t>
      </w:r>
      <w:r w:rsidRPr="00FA0D37">
        <w:t>,</w:t>
      </w:r>
    </w:p>
    <w:p w14:paraId="417E8AFC" w14:textId="7750D2A0" w:rsidR="00D649D6" w:rsidRPr="00FA0D37" w:rsidRDefault="00D649D6" w:rsidP="00FA0D37">
      <w:pPr>
        <w:pStyle w:val="PL"/>
        <w:rPr>
          <w:color w:val="808080"/>
        </w:rPr>
      </w:pPr>
      <w:r w:rsidRPr="00FA0D37">
        <w:t xml:space="preserve">    </w:t>
      </w:r>
      <w:r w:rsidRPr="00FA0D37">
        <w:rPr>
          <w:color w:val="808080"/>
        </w:rPr>
        <w:t>-- 10-33a (2-32b): Semi-persistent CSI report on PUSCH for unlicensed spectrum</w:t>
      </w:r>
    </w:p>
    <w:p w14:paraId="2EA6AF34" w14:textId="0BD656C1" w:rsidR="00D649D6" w:rsidRPr="00FA0D37" w:rsidRDefault="00D649D6" w:rsidP="00FA0D37">
      <w:pPr>
        <w:pStyle w:val="PL"/>
      </w:pPr>
      <w:r w:rsidRPr="00FA0D37">
        <w:t xml:space="preserve">    sp-CSI-ReportPUSCH-r16                          </w:t>
      </w:r>
      <w:r w:rsidRPr="00FA0D37">
        <w:rPr>
          <w:color w:val="993366"/>
        </w:rPr>
        <w:t>ENUMERATED</w:t>
      </w:r>
      <w:r w:rsidRPr="00FA0D37">
        <w:t xml:space="preserve"> {supported}                      </w:t>
      </w:r>
      <w:r w:rsidRPr="00FA0D37">
        <w:rPr>
          <w:color w:val="993366"/>
        </w:rPr>
        <w:t>OPTIONAL</w:t>
      </w:r>
      <w:r w:rsidRPr="00FA0D37">
        <w:t>,</w:t>
      </w:r>
    </w:p>
    <w:p w14:paraId="4B9C2692" w14:textId="267E63D4" w:rsidR="00D649D6" w:rsidRPr="00FA0D37" w:rsidRDefault="00D649D6" w:rsidP="00FA0D37">
      <w:pPr>
        <w:pStyle w:val="PL"/>
        <w:rPr>
          <w:color w:val="808080"/>
        </w:rPr>
      </w:pPr>
      <w:r w:rsidRPr="00FA0D37">
        <w:t xml:space="preserve">    </w:t>
      </w:r>
      <w:r w:rsidRPr="00FA0D37">
        <w:rPr>
          <w:color w:val="808080"/>
        </w:rPr>
        <w:t>-- 10-34 (3-6): Dynamic SFI monitoring for unlicensed spectrum</w:t>
      </w:r>
    </w:p>
    <w:p w14:paraId="40809039" w14:textId="3DBB7A99" w:rsidR="00D649D6" w:rsidRPr="00FA0D37" w:rsidRDefault="00D649D6" w:rsidP="00FA0D37">
      <w:pPr>
        <w:pStyle w:val="PL"/>
      </w:pPr>
      <w:r w:rsidRPr="00FA0D37">
        <w:t xml:space="preserve">    dynamicSFI-r16                                  </w:t>
      </w:r>
      <w:r w:rsidRPr="00FA0D37">
        <w:rPr>
          <w:color w:val="993366"/>
        </w:rPr>
        <w:t>ENUMERATED</w:t>
      </w:r>
      <w:r w:rsidRPr="00FA0D37">
        <w:t xml:space="preserve"> {supported}                      </w:t>
      </w:r>
      <w:r w:rsidRPr="00FA0D37">
        <w:rPr>
          <w:color w:val="993366"/>
        </w:rPr>
        <w:t>OPTIONAL</w:t>
      </w:r>
      <w:r w:rsidRPr="00FA0D37">
        <w:t>,</w:t>
      </w:r>
    </w:p>
    <w:p w14:paraId="50F9031A" w14:textId="77777777" w:rsidR="00D649D6" w:rsidRPr="00FA0D37" w:rsidRDefault="00D649D6" w:rsidP="00FA0D37">
      <w:pPr>
        <w:pStyle w:val="PL"/>
        <w:rPr>
          <w:color w:val="808080"/>
        </w:rPr>
      </w:pPr>
      <w:r w:rsidRPr="00FA0D37">
        <w:t xml:space="preserve">    </w:t>
      </w:r>
      <w:r w:rsidRPr="00FA0D37">
        <w:rPr>
          <w:color w:val="808080"/>
        </w:rPr>
        <w:t>-- 10-35c (4-19c): SR/HARQ-ACK/CSI multiplexing once per slot using a PUCCH (or HARQ-ACK/CSI piggybacked on a PUSCH) when SR/HARQ-</w:t>
      </w:r>
    </w:p>
    <w:p w14:paraId="1BA1ABD2" w14:textId="4BA8509C" w:rsidR="00D649D6" w:rsidRPr="00FA0D37" w:rsidRDefault="00D649D6" w:rsidP="00FA0D37">
      <w:pPr>
        <w:pStyle w:val="PL"/>
        <w:rPr>
          <w:color w:val="808080"/>
        </w:rPr>
      </w:pPr>
      <w:r w:rsidRPr="00FA0D37">
        <w:t xml:space="preserve">    </w:t>
      </w:r>
      <w:r w:rsidRPr="00FA0D37">
        <w:rPr>
          <w:color w:val="808080"/>
        </w:rPr>
        <w:t>-- ACK/CSI are supposed to be sent with different starting symbols in a slot for unlicensed spectrum</w:t>
      </w:r>
    </w:p>
    <w:p w14:paraId="3C3B8A88" w14:textId="57638791" w:rsidR="00D649D6" w:rsidRPr="00FA0D37" w:rsidRDefault="00D649D6" w:rsidP="00FA0D37">
      <w:pPr>
        <w:pStyle w:val="PL"/>
        <w:rPr>
          <w:color w:val="808080"/>
        </w:rPr>
      </w:pPr>
      <w:r w:rsidRPr="00FA0D37">
        <w:t xml:space="preserve">    </w:t>
      </w:r>
      <w:r w:rsidRPr="00FA0D37">
        <w:rPr>
          <w:color w:val="808080"/>
        </w:rPr>
        <w:t>-- 10-35 (4-19): SR/HARQ-ACK/CSI multiplexing once per slot using a PUCCH (or HARQ-ACK/CSI piggybacked on a PUSCH) when SR/HARQ-</w:t>
      </w:r>
    </w:p>
    <w:p w14:paraId="2E89078D" w14:textId="25B32F39" w:rsidR="00D649D6" w:rsidRPr="00FA0D37" w:rsidRDefault="00D649D6" w:rsidP="00FA0D37">
      <w:pPr>
        <w:pStyle w:val="PL"/>
        <w:rPr>
          <w:color w:val="808080"/>
        </w:rPr>
      </w:pPr>
      <w:r w:rsidRPr="00FA0D37">
        <w:t xml:space="preserve">    </w:t>
      </w:r>
      <w:r w:rsidRPr="00FA0D37">
        <w:rPr>
          <w:color w:val="808080"/>
        </w:rPr>
        <w:t>-- ACK/CSI are supposed to be sent with the same starting symbol on the PUCCH resources in a slot for unlicensed spectrum</w:t>
      </w:r>
    </w:p>
    <w:p w14:paraId="59F38623" w14:textId="77777777" w:rsidR="00D649D6" w:rsidRPr="00FA0D37" w:rsidRDefault="00D649D6" w:rsidP="00FA0D37">
      <w:pPr>
        <w:pStyle w:val="PL"/>
      </w:pPr>
      <w:r w:rsidRPr="00FA0D37">
        <w:t xml:space="preserve">    mux-SR-HARQ-ACK-CSI-PUCCH-OncePerSlot-r16       </w:t>
      </w:r>
      <w:r w:rsidRPr="00FA0D37">
        <w:rPr>
          <w:color w:val="993366"/>
        </w:rPr>
        <w:t>SEQUENCE</w:t>
      </w:r>
      <w:r w:rsidRPr="00FA0D37">
        <w:t xml:space="preserve"> {</w:t>
      </w:r>
    </w:p>
    <w:p w14:paraId="6E6DC55A" w14:textId="2C0FAFB8" w:rsidR="00D649D6" w:rsidRPr="00FA0D37" w:rsidRDefault="00D649D6" w:rsidP="00FA0D37">
      <w:pPr>
        <w:pStyle w:val="PL"/>
      </w:pPr>
      <w:r w:rsidRPr="00FA0D37">
        <w:t xml:space="preserve">        sameSymbol-r16                                  </w:t>
      </w:r>
      <w:r w:rsidRPr="00FA0D37">
        <w:rPr>
          <w:color w:val="993366"/>
        </w:rPr>
        <w:t>ENUMERATED</w:t>
      </w:r>
      <w:r w:rsidRPr="00FA0D37">
        <w:t xml:space="preserve"> {supported}                  </w:t>
      </w:r>
      <w:r w:rsidRPr="00FA0D37">
        <w:rPr>
          <w:color w:val="993366"/>
        </w:rPr>
        <w:t>OPTIONAL</w:t>
      </w:r>
      <w:r w:rsidRPr="00FA0D37">
        <w:t>,</w:t>
      </w:r>
    </w:p>
    <w:p w14:paraId="04390955" w14:textId="606C0BDB" w:rsidR="00D649D6" w:rsidRPr="00FA0D37" w:rsidRDefault="00D649D6" w:rsidP="00FA0D37">
      <w:pPr>
        <w:pStyle w:val="PL"/>
      </w:pPr>
      <w:r w:rsidRPr="00FA0D37">
        <w:t xml:space="preserve">        diffSymbol-r16                                  </w:t>
      </w:r>
      <w:r w:rsidRPr="00FA0D37">
        <w:rPr>
          <w:color w:val="993366"/>
        </w:rPr>
        <w:t>ENUMERATED</w:t>
      </w:r>
      <w:r w:rsidRPr="00FA0D37">
        <w:t xml:space="preserve"> {supported}                  </w:t>
      </w:r>
      <w:r w:rsidRPr="00FA0D37">
        <w:rPr>
          <w:color w:val="993366"/>
        </w:rPr>
        <w:t>OPTIONAL</w:t>
      </w:r>
    </w:p>
    <w:p w14:paraId="1B27AA45" w14:textId="34E4BA38" w:rsidR="00D649D6" w:rsidRPr="00FA0D37" w:rsidRDefault="00D649D6" w:rsidP="00FA0D37">
      <w:pPr>
        <w:pStyle w:val="PL"/>
      </w:pPr>
      <w:r w:rsidRPr="00FA0D37">
        <w:t xml:space="preserve">    }                                                                                           </w:t>
      </w:r>
      <w:r w:rsidRPr="00FA0D37">
        <w:rPr>
          <w:color w:val="993366"/>
        </w:rPr>
        <w:t>OPTIONAL</w:t>
      </w:r>
      <w:r w:rsidRPr="00FA0D37">
        <w:t>,</w:t>
      </w:r>
    </w:p>
    <w:p w14:paraId="5BBBC8DF" w14:textId="0341E18E" w:rsidR="00D649D6" w:rsidRPr="00FA0D37" w:rsidRDefault="00D649D6" w:rsidP="00FA0D37">
      <w:pPr>
        <w:pStyle w:val="PL"/>
        <w:rPr>
          <w:color w:val="808080"/>
        </w:rPr>
      </w:pPr>
      <w:r w:rsidRPr="00FA0D37">
        <w:t xml:space="preserve">    </w:t>
      </w:r>
      <w:r w:rsidRPr="00FA0D37">
        <w:rPr>
          <w:color w:val="808080"/>
        </w:rPr>
        <w:t>-- 10-35a (4-19a): Overlapping PUCCH resources have different starting symbols in a slot for unlicensed spectrum</w:t>
      </w:r>
    </w:p>
    <w:p w14:paraId="4E15E881" w14:textId="1128D2AB" w:rsidR="00D649D6" w:rsidRPr="00FA0D37" w:rsidRDefault="00D649D6" w:rsidP="00FA0D37">
      <w:pPr>
        <w:pStyle w:val="PL"/>
      </w:pPr>
      <w:r w:rsidRPr="00FA0D37">
        <w:t xml:space="preserve">    mux-SR-HARQ-ACK-PUCCH-r16                       </w:t>
      </w:r>
      <w:r w:rsidRPr="00FA0D37">
        <w:rPr>
          <w:color w:val="993366"/>
        </w:rPr>
        <w:t>ENUMERATED</w:t>
      </w:r>
      <w:r w:rsidRPr="00FA0D37">
        <w:t xml:space="preserve"> {supported}                      </w:t>
      </w:r>
      <w:r w:rsidRPr="00FA0D37">
        <w:rPr>
          <w:color w:val="993366"/>
        </w:rPr>
        <w:t>OPTIONAL</w:t>
      </w:r>
      <w:r w:rsidRPr="00FA0D37">
        <w:t>,</w:t>
      </w:r>
    </w:p>
    <w:p w14:paraId="0ED7F8F0" w14:textId="77777777" w:rsidR="00D649D6" w:rsidRPr="00FA0D37" w:rsidRDefault="00D649D6" w:rsidP="00FA0D37">
      <w:pPr>
        <w:pStyle w:val="PL"/>
        <w:rPr>
          <w:color w:val="808080"/>
        </w:rPr>
      </w:pPr>
      <w:r w:rsidRPr="00FA0D37">
        <w:t xml:space="preserve">    </w:t>
      </w:r>
      <w:r w:rsidRPr="00FA0D37">
        <w:rPr>
          <w:color w:val="808080"/>
        </w:rPr>
        <w:t>-- 10-35b (4-19b): SR/HARQ-ACK/CSI multiplexing more than once per slot using a PUCCH (or HARQ-ACK/CSI piggybacked on a PUSCH) when</w:t>
      </w:r>
    </w:p>
    <w:p w14:paraId="519A7861" w14:textId="19D3F0CD" w:rsidR="00D649D6" w:rsidRPr="00FA0D37" w:rsidRDefault="00D649D6" w:rsidP="00FA0D37">
      <w:pPr>
        <w:pStyle w:val="PL"/>
        <w:rPr>
          <w:color w:val="808080"/>
        </w:rPr>
      </w:pPr>
      <w:r w:rsidRPr="00FA0D37">
        <w:t xml:space="preserve">    </w:t>
      </w:r>
      <w:r w:rsidRPr="00FA0D37">
        <w:rPr>
          <w:color w:val="808080"/>
        </w:rPr>
        <w:t>-- SR/HARQ ACK/CSI are supposed to be sent with the same or different starting symbol in a slot for unlicensed spectrum</w:t>
      </w:r>
    </w:p>
    <w:p w14:paraId="2E090019" w14:textId="2164952B" w:rsidR="00D649D6" w:rsidRPr="00FA0D37" w:rsidRDefault="00D649D6" w:rsidP="00FA0D37">
      <w:pPr>
        <w:pStyle w:val="PL"/>
      </w:pPr>
      <w:r w:rsidRPr="00FA0D37">
        <w:t xml:space="preserve">    mux-SR-HARQ-ACK-CSI-PUCCH-MultiPerSlot-r16      </w:t>
      </w:r>
      <w:r w:rsidRPr="00FA0D37">
        <w:rPr>
          <w:color w:val="993366"/>
        </w:rPr>
        <w:t>ENUMERATED</w:t>
      </w:r>
      <w:r w:rsidRPr="00FA0D37">
        <w:t xml:space="preserve"> {supported}                      </w:t>
      </w:r>
      <w:r w:rsidRPr="00FA0D37">
        <w:rPr>
          <w:color w:val="993366"/>
        </w:rPr>
        <w:t>OPTIONAL</w:t>
      </w:r>
      <w:r w:rsidRPr="00FA0D37">
        <w:t>,</w:t>
      </w:r>
    </w:p>
    <w:p w14:paraId="2A559746" w14:textId="365BE227" w:rsidR="00D649D6" w:rsidRPr="00FA0D37" w:rsidRDefault="00D649D6" w:rsidP="00FA0D37">
      <w:pPr>
        <w:pStyle w:val="PL"/>
        <w:rPr>
          <w:color w:val="808080"/>
        </w:rPr>
      </w:pPr>
      <w:r w:rsidRPr="00FA0D37">
        <w:t xml:space="preserve">    </w:t>
      </w:r>
      <w:r w:rsidRPr="00FA0D37">
        <w:rPr>
          <w:color w:val="808080"/>
        </w:rPr>
        <w:t>-- 10-36 (4-28): HARQ-ACK multiplexing on PUSCH with different PUCCH/PUSCH starting OFDM symbols for unlicensed spectrum</w:t>
      </w:r>
    </w:p>
    <w:p w14:paraId="30992A41" w14:textId="2052BE8B" w:rsidR="00D649D6" w:rsidRPr="00FA0D37" w:rsidRDefault="00D649D6" w:rsidP="00FA0D37">
      <w:pPr>
        <w:pStyle w:val="PL"/>
      </w:pPr>
      <w:r w:rsidRPr="00FA0D37">
        <w:t xml:space="preserve">    mux-HARQ-ACK-PUSCH-DiffSymbol-r16               </w:t>
      </w:r>
      <w:r w:rsidRPr="00FA0D37">
        <w:rPr>
          <w:color w:val="993366"/>
        </w:rPr>
        <w:t>ENUMERATED</w:t>
      </w:r>
      <w:r w:rsidRPr="00FA0D37">
        <w:t xml:space="preserve"> {supported}                      </w:t>
      </w:r>
      <w:r w:rsidRPr="00FA0D37">
        <w:rPr>
          <w:color w:val="993366"/>
        </w:rPr>
        <w:t>OPTIONAL</w:t>
      </w:r>
      <w:r w:rsidRPr="00FA0D37">
        <w:t>,</w:t>
      </w:r>
    </w:p>
    <w:p w14:paraId="7EF6C093" w14:textId="3DB1224F" w:rsidR="00D649D6" w:rsidRPr="00FA0D37" w:rsidRDefault="00D649D6" w:rsidP="00FA0D37">
      <w:pPr>
        <w:pStyle w:val="PL"/>
        <w:rPr>
          <w:color w:val="808080"/>
        </w:rPr>
      </w:pPr>
      <w:r w:rsidRPr="00FA0D37">
        <w:t xml:space="preserve">    </w:t>
      </w:r>
      <w:r w:rsidRPr="00FA0D37">
        <w:rPr>
          <w:color w:val="808080"/>
        </w:rPr>
        <w:t>-- 10-37 (4-23): Repetitions for PUCCH format 1, 3, and 4 over multiple slots with K = 2, 4, 8 for unlicensed spectrum</w:t>
      </w:r>
    </w:p>
    <w:p w14:paraId="5B46B3BF" w14:textId="4E84AB28" w:rsidR="00D649D6" w:rsidRPr="00FA0D37" w:rsidRDefault="00D649D6" w:rsidP="00FA0D37">
      <w:pPr>
        <w:pStyle w:val="PL"/>
      </w:pPr>
      <w:r w:rsidRPr="00FA0D37">
        <w:t xml:space="preserve">    pucch-Repetition-F1-3-4-r16                     </w:t>
      </w:r>
      <w:r w:rsidRPr="00FA0D37">
        <w:rPr>
          <w:color w:val="993366"/>
        </w:rPr>
        <w:t>ENUMERATED</w:t>
      </w:r>
      <w:r w:rsidRPr="00FA0D37">
        <w:t xml:space="preserve"> {supported}                      </w:t>
      </w:r>
      <w:r w:rsidRPr="00FA0D37">
        <w:rPr>
          <w:color w:val="993366"/>
        </w:rPr>
        <w:t>OPTIONAL</w:t>
      </w:r>
      <w:r w:rsidRPr="00FA0D37">
        <w:t>,</w:t>
      </w:r>
    </w:p>
    <w:p w14:paraId="426A9967" w14:textId="019E72DD" w:rsidR="00D649D6" w:rsidRPr="00FA0D37" w:rsidRDefault="00D649D6" w:rsidP="00FA0D37">
      <w:pPr>
        <w:pStyle w:val="PL"/>
        <w:rPr>
          <w:color w:val="808080"/>
        </w:rPr>
      </w:pPr>
      <w:r w:rsidRPr="00FA0D37">
        <w:t xml:space="preserve">    </w:t>
      </w:r>
      <w:r w:rsidRPr="00FA0D37">
        <w:rPr>
          <w:color w:val="808080"/>
        </w:rPr>
        <w:t>-- 10-38 (5-14): Type 1 configured PUSCH repetitions over multiple slots for unlicensed spectrum</w:t>
      </w:r>
    </w:p>
    <w:p w14:paraId="0E8BD74B" w14:textId="221E19B1" w:rsidR="00D649D6" w:rsidRPr="00FA0D37" w:rsidRDefault="00D649D6" w:rsidP="00FA0D37">
      <w:pPr>
        <w:pStyle w:val="PL"/>
      </w:pPr>
      <w:r w:rsidRPr="00FA0D37">
        <w:t xml:space="preserve">    type1-PUSCH-RepetitionMultiSlots-r16            </w:t>
      </w:r>
      <w:r w:rsidRPr="00FA0D37">
        <w:rPr>
          <w:color w:val="993366"/>
        </w:rPr>
        <w:t>ENUMERATED</w:t>
      </w:r>
      <w:r w:rsidRPr="00FA0D37">
        <w:t xml:space="preserve"> {supported}                      </w:t>
      </w:r>
      <w:r w:rsidRPr="00FA0D37">
        <w:rPr>
          <w:color w:val="993366"/>
        </w:rPr>
        <w:t>OPTIONAL</w:t>
      </w:r>
      <w:r w:rsidRPr="00FA0D37">
        <w:t>,</w:t>
      </w:r>
    </w:p>
    <w:p w14:paraId="25CF07AD" w14:textId="02EFE266" w:rsidR="00D649D6" w:rsidRPr="00FA0D37" w:rsidRDefault="00D649D6" w:rsidP="00FA0D37">
      <w:pPr>
        <w:pStyle w:val="PL"/>
        <w:rPr>
          <w:color w:val="808080"/>
        </w:rPr>
      </w:pPr>
      <w:r w:rsidRPr="00FA0D37">
        <w:t xml:space="preserve">    </w:t>
      </w:r>
      <w:r w:rsidRPr="00FA0D37">
        <w:rPr>
          <w:color w:val="808080"/>
        </w:rPr>
        <w:t>-- 10-39 (5-16): Type 2 configured PUSCH repetitions over multiple slots for unlicensed spectrum</w:t>
      </w:r>
    </w:p>
    <w:p w14:paraId="126650DE" w14:textId="5153A500" w:rsidR="00D649D6" w:rsidRPr="00FA0D37" w:rsidRDefault="00D649D6" w:rsidP="00FA0D37">
      <w:pPr>
        <w:pStyle w:val="PL"/>
      </w:pPr>
      <w:r w:rsidRPr="00FA0D37">
        <w:t xml:space="preserve">    type2-PUSCH-RepetitionMultiSlots-r16            </w:t>
      </w:r>
      <w:r w:rsidRPr="00FA0D37">
        <w:rPr>
          <w:color w:val="993366"/>
        </w:rPr>
        <w:t>ENUMERATED</w:t>
      </w:r>
      <w:r w:rsidRPr="00FA0D37">
        <w:t xml:space="preserve"> {supported}                      </w:t>
      </w:r>
      <w:r w:rsidRPr="00FA0D37">
        <w:rPr>
          <w:color w:val="993366"/>
        </w:rPr>
        <w:t>OPTIONAL</w:t>
      </w:r>
      <w:r w:rsidRPr="00FA0D37">
        <w:t>,</w:t>
      </w:r>
    </w:p>
    <w:p w14:paraId="7A390007" w14:textId="4E76239C" w:rsidR="00D649D6" w:rsidRPr="00FA0D37" w:rsidRDefault="00D649D6" w:rsidP="00FA0D37">
      <w:pPr>
        <w:pStyle w:val="PL"/>
        <w:rPr>
          <w:color w:val="808080"/>
        </w:rPr>
      </w:pPr>
      <w:r w:rsidRPr="00FA0D37">
        <w:t xml:space="preserve">    </w:t>
      </w:r>
      <w:r w:rsidRPr="00FA0D37">
        <w:rPr>
          <w:color w:val="808080"/>
        </w:rPr>
        <w:t>-- 10-40 (5-17): PUSCH repetitions over multiple slots for unlicensed spectrum</w:t>
      </w:r>
    </w:p>
    <w:p w14:paraId="77C31343" w14:textId="02693D2C" w:rsidR="00D649D6" w:rsidRPr="00FA0D37" w:rsidRDefault="00D649D6" w:rsidP="00FA0D37">
      <w:pPr>
        <w:pStyle w:val="PL"/>
      </w:pPr>
      <w:r w:rsidRPr="00FA0D37">
        <w:t xml:space="preserve">    pusch-RepetitionMultiSlots-r16                  </w:t>
      </w:r>
      <w:r w:rsidRPr="00FA0D37">
        <w:rPr>
          <w:color w:val="993366"/>
        </w:rPr>
        <w:t>ENUMERATED</w:t>
      </w:r>
      <w:r w:rsidRPr="00FA0D37">
        <w:t xml:space="preserve"> {supported}                      </w:t>
      </w:r>
      <w:r w:rsidRPr="00FA0D37">
        <w:rPr>
          <w:color w:val="993366"/>
        </w:rPr>
        <w:t>OPTIONAL</w:t>
      </w:r>
      <w:r w:rsidRPr="00FA0D37">
        <w:t>,</w:t>
      </w:r>
    </w:p>
    <w:p w14:paraId="11C6E1F6" w14:textId="71547C2D" w:rsidR="00D649D6" w:rsidRPr="00FA0D37" w:rsidRDefault="00D649D6" w:rsidP="00FA0D37">
      <w:pPr>
        <w:pStyle w:val="PL"/>
        <w:rPr>
          <w:color w:val="808080"/>
        </w:rPr>
      </w:pPr>
      <w:r w:rsidRPr="00FA0D37">
        <w:t xml:space="preserve">    </w:t>
      </w:r>
      <w:r w:rsidRPr="00FA0D37">
        <w:rPr>
          <w:color w:val="808080"/>
        </w:rPr>
        <w:t>-- 10-40a (5-17a): PDSCH repetitions over multiple slots for unlicensed spectrum</w:t>
      </w:r>
    </w:p>
    <w:p w14:paraId="15D74E25" w14:textId="74D8115F" w:rsidR="00D649D6" w:rsidRPr="00FA0D37" w:rsidRDefault="00D649D6" w:rsidP="00FA0D37">
      <w:pPr>
        <w:pStyle w:val="PL"/>
      </w:pPr>
      <w:r w:rsidRPr="00FA0D37">
        <w:t xml:space="preserve">    pdsch-RepetitionMultiSlots-r16                  </w:t>
      </w:r>
      <w:r w:rsidRPr="00FA0D37">
        <w:rPr>
          <w:color w:val="993366"/>
        </w:rPr>
        <w:t>ENUMERATED</w:t>
      </w:r>
      <w:r w:rsidRPr="00FA0D37">
        <w:t xml:space="preserve"> {supported}                      </w:t>
      </w:r>
      <w:r w:rsidRPr="00FA0D37">
        <w:rPr>
          <w:color w:val="993366"/>
        </w:rPr>
        <w:t>OPTIONAL</w:t>
      </w:r>
      <w:r w:rsidRPr="00FA0D37">
        <w:t>,</w:t>
      </w:r>
    </w:p>
    <w:p w14:paraId="7FDDA89F" w14:textId="0B064847" w:rsidR="00D649D6" w:rsidRPr="00FA0D37" w:rsidRDefault="00D649D6" w:rsidP="00FA0D37">
      <w:pPr>
        <w:pStyle w:val="PL"/>
        <w:rPr>
          <w:color w:val="808080"/>
        </w:rPr>
      </w:pPr>
      <w:r w:rsidRPr="00FA0D37">
        <w:t xml:space="preserve">    </w:t>
      </w:r>
      <w:r w:rsidRPr="00FA0D37">
        <w:rPr>
          <w:color w:val="808080"/>
        </w:rPr>
        <w:t>-- 10-41 (5-18): DL SPS</w:t>
      </w:r>
    </w:p>
    <w:p w14:paraId="759ACB07" w14:textId="67A0A964" w:rsidR="00D649D6" w:rsidRPr="00FA0D37" w:rsidRDefault="00D649D6" w:rsidP="00FA0D37">
      <w:pPr>
        <w:pStyle w:val="PL"/>
      </w:pPr>
      <w:r w:rsidRPr="00FA0D37">
        <w:t xml:space="preserve">    downlinkSPS-r16                                 </w:t>
      </w:r>
      <w:r w:rsidRPr="00FA0D37">
        <w:rPr>
          <w:color w:val="993366"/>
        </w:rPr>
        <w:t>ENUMERATED</w:t>
      </w:r>
      <w:r w:rsidRPr="00FA0D37">
        <w:t xml:space="preserve"> {supported}                      </w:t>
      </w:r>
      <w:r w:rsidRPr="00FA0D37">
        <w:rPr>
          <w:color w:val="993366"/>
        </w:rPr>
        <w:t>OPTIONAL</w:t>
      </w:r>
      <w:r w:rsidRPr="00FA0D37">
        <w:t>,</w:t>
      </w:r>
    </w:p>
    <w:p w14:paraId="4E6BC1B4" w14:textId="273E6839" w:rsidR="00D649D6" w:rsidRPr="00FA0D37" w:rsidRDefault="00D649D6" w:rsidP="00FA0D37">
      <w:pPr>
        <w:pStyle w:val="PL"/>
        <w:rPr>
          <w:color w:val="808080"/>
        </w:rPr>
      </w:pPr>
      <w:r w:rsidRPr="00FA0D37">
        <w:t xml:space="preserve">    </w:t>
      </w:r>
      <w:r w:rsidRPr="00FA0D37">
        <w:rPr>
          <w:color w:val="808080"/>
        </w:rPr>
        <w:t>-- 10-42 (5-19): Type 1 Configured UL grant</w:t>
      </w:r>
    </w:p>
    <w:p w14:paraId="16F30177" w14:textId="1590F2C4" w:rsidR="00D649D6" w:rsidRPr="00FA0D37" w:rsidRDefault="00D649D6" w:rsidP="00FA0D37">
      <w:pPr>
        <w:pStyle w:val="PL"/>
      </w:pPr>
      <w:r w:rsidRPr="00FA0D37">
        <w:t xml:space="preserve">    configuredUL-GrantType1-r16                     </w:t>
      </w:r>
      <w:r w:rsidRPr="00FA0D37">
        <w:rPr>
          <w:color w:val="993366"/>
        </w:rPr>
        <w:t>ENUMERATED</w:t>
      </w:r>
      <w:r w:rsidRPr="00FA0D37">
        <w:t xml:space="preserve"> {supported}                      </w:t>
      </w:r>
      <w:r w:rsidRPr="00FA0D37">
        <w:rPr>
          <w:color w:val="993366"/>
        </w:rPr>
        <w:t>OPTIONAL</w:t>
      </w:r>
      <w:r w:rsidRPr="00FA0D37">
        <w:t>,</w:t>
      </w:r>
    </w:p>
    <w:p w14:paraId="038BFB5D" w14:textId="4473D6A3" w:rsidR="00D649D6" w:rsidRPr="00FA0D37" w:rsidRDefault="00D649D6" w:rsidP="00FA0D37">
      <w:pPr>
        <w:pStyle w:val="PL"/>
        <w:rPr>
          <w:color w:val="808080"/>
        </w:rPr>
      </w:pPr>
      <w:r w:rsidRPr="00FA0D37">
        <w:t xml:space="preserve">    </w:t>
      </w:r>
      <w:r w:rsidRPr="00FA0D37">
        <w:rPr>
          <w:color w:val="808080"/>
        </w:rPr>
        <w:t>-- 10-43 (5-20): Type 2 Configured UL grant</w:t>
      </w:r>
    </w:p>
    <w:p w14:paraId="2C36DD0D" w14:textId="1090456A" w:rsidR="00D649D6" w:rsidRPr="00FA0D37" w:rsidRDefault="00D649D6" w:rsidP="00FA0D37">
      <w:pPr>
        <w:pStyle w:val="PL"/>
      </w:pPr>
      <w:r w:rsidRPr="00FA0D37">
        <w:t xml:space="preserve">    configuredUL-GrantType2-r16                     </w:t>
      </w:r>
      <w:r w:rsidRPr="00FA0D37">
        <w:rPr>
          <w:color w:val="993366"/>
        </w:rPr>
        <w:t>ENUMERATED</w:t>
      </w:r>
      <w:r w:rsidRPr="00FA0D37">
        <w:t xml:space="preserve"> {supported}                      </w:t>
      </w:r>
      <w:r w:rsidRPr="00FA0D37">
        <w:rPr>
          <w:color w:val="993366"/>
        </w:rPr>
        <w:t>OPTIONAL</w:t>
      </w:r>
      <w:r w:rsidRPr="00FA0D37">
        <w:t>,</w:t>
      </w:r>
    </w:p>
    <w:p w14:paraId="4FCB1363" w14:textId="7C747B17" w:rsidR="00D649D6" w:rsidRPr="00FA0D37" w:rsidRDefault="00D649D6" w:rsidP="00FA0D37">
      <w:pPr>
        <w:pStyle w:val="PL"/>
        <w:rPr>
          <w:color w:val="808080"/>
        </w:rPr>
      </w:pPr>
      <w:r w:rsidRPr="00FA0D37">
        <w:t xml:space="preserve">    </w:t>
      </w:r>
      <w:r w:rsidRPr="00FA0D37">
        <w:rPr>
          <w:color w:val="808080"/>
        </w:rPr>
        <w:t>-- 10-44 (5-21): Pre-emption indication for DL</w:t>
      </w:r>
    </w:p>
    <w:p w14:paraId="53A9CC1B" w14:textId="727A544F" w:rsidR="00D649D6" w:rsidRPr="00FA0D37" w:rsidRDefault="00D649D6" w:rsidP="00FA0D37">
      <w:pPr>
        <w:pStyle w:val="PL"/>
      </w:pPr>
      <w:r w:rsidRPr="00FA0D37">
        <w:lastRenderedPageBreak/>
        <w:t xml:space="preserve">    pre-EmptIndication-DL-r16                       </w:t>
      </w:r>
      <w:r w:rsidRPr="00FA0D37">
        <w:rPr>
          <w:color w:val="993366"/>
        </w:rPr>
        <w:t>ENUMERATED</w:t>
      </w:r>
      <w:r w:rsidRPr="00FA0D37">
        <w:t xml:space="preserve"> {supported}                      </w:t>
      </w:r>
      <w:r w:rsidRPr="00FA0D37">
        <w:rPr>
          <w:color w:val="993366"/>
        </w:rPr>
        <w:t>OPTIONAL</w:t>
      </w:r>
      <w:r w:rsidRPr="00FA0D37">
        <w:t>,</w:t>
      </w:r>
    </w:p>
    <w:p w14:paraId="5A013EA7" w14:textId="1BF7C240" w:rsidR="006425AF" w:rsidRPr="00FA0D37" w:rsidRDefault="006425AF" w:rsidP="00FA0D37">
      <w:pPr>
        <w:pStyle w:val="PL"/>
      </w:pPr>
      <w:r w:rsidRPr="00FA0D37">
        <w:t xml:space="preserve">    ...</w:t>
      </w:r>
    </w:p>
    <w:p w14:paraId="34081189" w14:textId="70CC1242" w:rsidR="00D649D6" w:rsidRPr="00FA0D37" w:rsidRDefault="00D649D6" w:rsidP="00FA0D37">
      <w:pPr>
        <w:pStyle w:val="PL"/>
      </w:pPr>
      <w:r w:rsidRPr="00FA0D37">
        <w:t>}</w:t>
      </w:r>
    </w:p>
    <w:p w14:paraId="3495738F" w14:textId="77777777" w:rsidR="00D649D6" w:rsidRPr="00FA0D37" w:rsidRDefault="00D649D6" w:rsidP="00FA0D37">
      <w:pPr>
        <w:pStyle w:val="PL"/>
      </w:pPr>
    </w:p>
    <w:p w14:paraId="00DA054A" w14:textId="77777777" w:rsidR="00D649D6" w:rsidRPr="00FA0D37" w:rsidRDefault="00D649D6" w:rsidP="00FA0D37">
      <w:pPr>
        <w:pStyle w:val="PL"/>
        <w:rPr>
          <w:color w:val="808080"/>
        </w:rPr>
      </w:pPr>
      <w:r w:rsidRPr="00FA0D37">
        <w:rPr>
          <w:color w:val="808080"/>
        </w:rPr>
        <w:t>-- TAG-PHY-PARAMETERSSHAREDSPECTRUMCHACCESS-STOP</w:t>
      </w:r>
    </w:p>
    <w:p w14:paraId="6F8144A1" w14:textId="48A519C2" w:rsidR="00D649D6" w:rsidRPr="00FA0D37" w:rsidRDefault="00D649D6" w:rsidP="00FA0D37">
      <w:pPr>
        <w:pStyle w:val="PL"/>
        <w:rPr>
          <w:color w:val="808080"/>
        </w:rPr>
      </w:pPr>
      <w:r w:rsidRPr="00FA0D37">
        <w:rPr>
          <w:color w:val="808080"/>
        </w:rPr>
        <w:t>-- ASN1STOP</w:t>
      </w:r>
    </w:p>
    <w:p w14:paraId="64F10B1E" w14:textId="3B863C46" w:rsidR="00D649D6" w:rsidRPr="00FA0D37" w:rsidRDefault="00D649D6" w:rsidP="00394471"/>
    <w:p w14:paraId="008127B8" w14:textId="1A7CE156" w:rsidR="004B4E41" w:rsidRPr="00FA0D37" w:rsidRDefault="004B4E41" w:rsidP="00F747EB">
      <w:pPr>
        <w:pStyle w:val="4"/>
      </w:pPr>
      <w:bookmarkStart w:id="1597" w:name="_Toc146781576"/>
      <w:r w:rsidRPr="00FA0D37">
        <w:t>–</w:t>
      </w:r>
      <w:r w:rsidRPr="00FA0D37">
        <w:tab/>
      </w:r>
      <w:r w:rsidRPr="00FA0D37">
        <w:rPr>
          <w:i/>
          <w:iCs/>
        </w:rPr>
        <w:t>PosSRS-RRC-Inactive-OutsideInitialUL-BWP</w:t>
      </w:r>
      <w:bookmarkEnd w:id="1597"/>
    </w:p>
    <w:p w14:paraId="75DD7CDB" w14:textId="37DAFA86" w:rsidR="004B4E41" w:rsidRPr="00FA0D37" w:rsidRDefault="004B4E41" w:rsidP="004B4E41">
      <w:pPr>
        <w:rPr>
          <w:i/>
          <w:iCs/>
        </w:rPr>
      </w:pPr>
      <w:r w:rsidRPr="00FA0D37">
        <w:t xml:space="preserve">The IE </w:t>
      </w:r>
      <w:r w:rsidRPr="00FA0D37">
        <w:rPr>
          <w:i/>
        </w:rPr>
        <w:t xml:space="preserve">PosSRS-RRC-Inactive-OutsideInitialUL-BWP </w:t>
      </w:r>
      <w:r w:rsidRPr="00FA0D37">
        <w:t>is used to convey the capabilities supported by the UE for Positioning SRS transmission in RRC_INACTIVE state configured outside initial UL BWP.</w:t>
      </w:r>
    </w:p>
    <w:p w14:paraId="4D0BD48C" w14:textId="77777777" w:rsidR="004B4E41" w:rsidRPr="00FA0D37" w:rsidRDefault="004B4E41" w:rsidP="00F747EB">
      <w:pPr>
        <w:pStyle w:val="TH"/>
      </w:pPr>
      <w:r w:rsidRPr="00FA0D37">
        <w:rPr>
          <w:i/>
          <w:iCs/>
        </w:rPr>
        <w:t>PosSRS-RRC-Inactive-OutsideInitialUL-BWP</w:t>
      </w:r>
      <w:r w:rsidRPr="00FA0D37">
        <w:t xml:space="preserve"> </w:t>
      </w:r>
      <w:r w:rsidRPr="00FA0D37">
        <w:rPr>
          <w:iCs/>
        </w:rPr>
        <w:t>information element</w:t>
      </w:r>
    </w:p>
    <w:p w14:paraId="1FBE2774" w14:textId="77777777" w:rsidR="004B4E41" w:rsidRPr="00FA0D37" w:rsidRDefault="004B4E41" w:rsidP="00FA0D37">
      <w:pPr>
        <w:pStyle w:val="PL"/>
        <w:rPr>
          <w:color w:val="808080"/>
        </w:rPr>
      </w:pPr>
      <w:r w:rsidRPr="00FA0D37">
        <w:rPr>
          <w:color w:val="808080"/>
        </w:rPr>
        <w:t>-- ASN1START</w:t>
      </w:r>
    </w:p>
    <w:p w14:paraId="6EF1D0B2" w14:textId="77777777" w:rsidR="004B4E41" w:rsidRPr="00FA0D37" w:rsidRDefault="004B4E41" w:rsidP="00FA0D37">
      <w:pPr>
        <w:pStyle w:val="PL"/>
        <w:rPr>
          <w:color w:val="808080"/>
        </w:rPr>
      </w:pPr>
      <w:r w:rsidRPr="00FA0D37">
        <w:rPr>
          <w:color w:val="808080"/>
        </w:rPr>
        <w:t>-- TAG-POSSRS-RRC-INACTIVE-OUTSIDEINITIALUL-BWP-START</w:t>
      </w:r>
    </w:p>
    <w:p w14:paraId="4DE02BB5" w14:textId="77777777" w:rsidR="004B4E41" w:rsidRPr="00FA0D37" w:rsidRDefault="004B4E41" w:rsidP="00FA0D37">
      <w:pPr>
        <w:pStyle w:val="PL"/>
      </w:pPr>
    </w:p>
    <w:p w14:paraId="2BF9A016" w14:textId="77777777" w:rsidR="004B4E41" w:rsidRPr="00FA0D37" w:rsidRDefault="004B4E41" w:rsidP="00FA0D37">
      <w:pPr>
        <w:pStyle w:val="PL"/>
      </w:pPr>
      <w:r w:rsidRPr="00FA0D37">
        <w:t xml:space="preserve">PosSRS-RRC-Inactive-OutsideInitialUL-BWP-r17::= </w:t>
      </w:r>
      <w:r w:rsidRPr="00FA0D37">
        <w:rPr>
          <w:color w:val="993366"/>
        </w:rPr>
        <w:t>SEQUENCE</w:t>
      </w:r>
      <w:r w:rsidRPr="00FA0D37">
        <w:t xml:space="preserve"> {</w:t>
      </w:r>
    </w:p>
    <w:p w14:paraId="4EE90FBB" w14:textId="77777777" w:rsidR="00F747EB" w:rsidRPr="00FA0D37" w:rsidRDefault="004B4E41" w:rsidP="00FA0D37">
      <w:pPr>
        <w:pStyle w:val="PL"/>
        <w:rPr>
          <w:color w:val="808080"/>
        </w:rPr>
      </w:pPr>
      <w:r w:rsidRPr="00FA0D37">
        <w:t xml:space="preserve">    </w:t>
      </w:r>
      <w:r w:rsidRPr="00FA0D37">
        <w:rPr>
          <w:color w:val="808080"/>
        </w:rPr>
        <w:t>-- R1 27-15b: Positioning SRS transmission in RRC_INACTIVE state configured outside initial UL BWP</w:t>
      </w:r>
    </w:p>
    <w:p w14:paraId="075EF14A" w14:textId="4166EA54" w:rsidR="004B4E41" w:rsidRPr="00FA0D37" w:rsidRDefault="004B4E41" w:rsidP="00FA0D37">
      <w:pPr>
        <w:pStyle w:val="PL"/>
      </w:pPr>
      <w:r w:rsidRPr="00FA0D37">
        <w:t xml:space="preserve">    maxSRSposBandwidthForEachSCS-withinCC-FR1-r17   </w:t>
      </w:r>
      <w:r w:rsidRPr="00FA0D37">
        <w:rPr>
          <w:color w:val="993366"/>
        </w:rPr>
        <w:t>ENUMERATED</w:t>
      </w:r>
      <w:r w:rsidRPr="00FA0D37">
        <w:t xml:space="preserve"> {</w:t>
      </w:r>
      <w:r w:rsidR="00857945" w:rsidRPr="00FA0D37">
        <w:t>mhz5</w:t>
      </w:r>
      <w:r w:rsidRPr="00FA0D37">
        <w:t xml:space="preserve">, </w:t>
      </w:r>
      <w:r w:rsidR="00857945" w:rsidRPr="00FA0D37">
        <w:t>mhz10</w:t>
      </w:r>
      <w:r w:rsidRPr="00FA0D37">
        <w:t xml:space="preserve">, </w:t>
      </w:r>
      <w:r w:rsidR="00857945" w:rsidRPr="00FA0D37">
        <w:t>mhz15</w:t>
      </w:r>
      <w:r w:rsidRPr="00FA0D37">
        <w:t xml:space="preserve">, </w:t>
      </w:r>
      <w:r w:rsidR="00857945" w:rsidRPr="00FA0D37">
        <w:t>mhz20</w:t>
      </w:r>
      <w:r w:rsidRPr="00FA0D37">
        <w:t xml:space="preserve">, </w:t>
      </w:r>
      <w:r w:rsidR="00857945" w:rsidRPr="00FA0D37">
        <w:t>mhz25</w:t>
      </w:r>
      <w:r w:rsidRPr="00FA0D37">
        <w:t xml:space="preserve">, </w:t>
      </w:r>
      <w:r w:rsidR="00857945" w:rsidRPr="00FA0D37">
        <w:t>mhz30</w:t>
      </w:r>
      <w:r w:rsidRPr="00FA0D37">
        <w:t xml:space="preserve">, </w:t>
      </w:r>
      <w:r w:rsidR="00857945" w:rsidRPr="00FA0D37">
        <w:t>mhz35</w:t>
      </w:r>
      <w:r w:rsidRPr="00FA0D37">
        <w:t xml:space="preserve">, </w:t>
      </w:r>
      <w:r w:rsidR="00857945" w:rsidRPr="00FA0D37">
        <w:t>mhz40</w:t>
      </w:r>
      <w:r w:rsidRPr="00FA0D37">
        <w:t>,</w:t>
      </w:r>
    </w:p>
    <w:p w14:paraId="605B4AD8" w14:textId="6140FD18" w:rsidR="004B4E41" w:rsidRPr="00FA0D37" w:rsidRDefault="004B4E41" w:rsidP="00FA0D37">
      <w:pPr>
        <w:pStyle w:val="PL"/>
      </w:pPr>
      <w:r w:rsidRPr="00FA0D37">
        <w:t xml:space="preserve">                                                    </w:t>
      </w:r>
      <w:r w:rsidR="00857945" w:rsidRPr="00FA0D37">
        <w:t>mhz45</w:t>
      </w:r>
      <w:r w:rsidRPr="00FA0D37">
        <w:t xml:space="preserve">, </w:t>
      </w:r>
      <w:r w:rsidR="00857945" w:rsidRPr="00FA0D37">
        <w:t>mhz50</w:t>
      </w:r>
      <w:r w:rsidRPr="00FA0D37">
        <w:t xml:space="preserve">, </w:t>
      </w:r>
      <w:r w:rsidR="00857945" w:rsidRPr="00FA0D37">
        <w:t>mhz60</w:t>
      </w:r>
      <w:r w:rsidRPr="00FA0D37">
        <w:t xml:space="preserve">, </w:t>
      </w:r>
      <w:r w:rsidR="00857945" w:rsidRPr="00FA0D37">
        <w:t>mhz70</w:t>
      </w:r>
      <w:r w:rsidRPr="00FA0D37">
        <w:t xml:space="preserve">, </w:t>
      </w:r>
      <w:r w:rsidR="00857945" w:rsidRPr="00FA0D37">
        <w:t>mhz80</w:t>
      </w:r>
      <w:r w:rsidRPr="00FA0D37">
        <w:t xml:space="preserve">, </w:t>
      </w:r>
      <w:r w:rsidR="00857945" w:rsidRPr="00FA0D37">
        <w:t>mhz90</w:t>
      </w:r>
      <w:r w:rsidRPr="00FA0D37">
        <w:t xml:space="preserve">, </w:t>
      </w:r>
      <w:r w:rsidR="00857945" w:rsidRPr="00FA0D37">
        <w:t>mhz100</w:t>
      </w:r>
      <w:r w:rsidRPr="00FA0D37">
        <w:t xml:space="preserve">}             </w:t>
      </w:r>
      <w:r w:rsidRPr="00FA0D37">
        <w:rPr>
          <w:color w:val="993366"/>
        </w:rPr>
        <w:t>OPTIONAL</w:t>
      </w:r>
      <w:r w:rsidRPr="00FA0D37">
        <w:t>,</w:t>
      </w:r>
    </w:p>
    <w:p w14:paraId="29532BB1" w14:textId="3520C9F8" w:rsidR="004B4E41" w:rsidRPr="00FA0D37" w:rsidRDefault="004B4E41" w:rsidP="00FA0D37">
      <w:pPr>
        <w:pStyle w:val="PL"/>
      </w:pPr>
      <w:r w:rsidRPr="00FA0D37">
        <w:t xml:space="preserve">    maxSRSposBandwidthForEachSCS-withinCC-FR2-r17   </w:t>
      </w:r>
      <w:r w:rsidRPr="00FA0D37">
        <w:rPr>
          <w:color w:val="993366"/>
        </w:rPr>
        <w:t>ENUMERATED</w:t>
      </w:r>
      <w:r w:rsidRPr="00FA0D37">
        <w:t xml:space="preserve"> {</w:t>
      </w:r>
      <w:r w:rsidR="00857945" w:rsidRPr="00FA0D37">
        <w:t>mhz50</w:t>
      </w:r>
      <w:r w:rsidRPr="00FA0D37">
        <w:t xml:space="preserve">, </w:t>
      </w:r>
      <w:r w:rsidR="00857945" w:rsidRPr="00FA0D37">
        <w:t>mhz100</w:t>
      </w:r>
      <w:r w:rsidRPr="00FA0D37">
        <w:t xml:space="preserve">, </w:t>
      </w:r>
      <w:r w:rsidR="00857945" w:rsidRPr="00FA0D37">
        <w:t>mhz200</w:t>
      </w:r>
      <w:r w:rsidRPr="00FA0D37">
        <w:t xml:space="preserve">, </w:t>
      </w:r>
      <w:r w:rsidR="00857945" w:rsidRPr="00FA0D37">
        <w:t>mhz400</w:t>
      </w:r>
      <w:r w:rsidRPr="00FA0D37">
        <w:t xml:space="preserve">}                   </w:t>
      </w:r>
      <w:r w:rsidRPr="00FA0D37">
        <w:rPr>
          <w:color w:val="993366"/>
        </w:rPr>
        <w:t>OPTIONAL</w:t>
      </w:r>
      <w:r w:rsidRPr="00FA0D37">
        <w:t>,</w:t>
      </w:r>
    </w:p>
    <w:p w14:paraId="76BFFC5D" w14:textId="77777777" w:rsidR="004B4E41" w:rsidRPr="00FA0D37" w:rsidRDefault="004B4E41" w:rsidP="00FA0D37">
      <w:pPr>
        <w:pStyle w:val="PL"/>
      </w:pPr>
      <w:r w:rsidRPr="00FA0D37">
        <w:t xml:space="preserve">    maxNumOfSRSposResourceSets-r17                  </w:t>
      </w:r>
      <w:r w:rsidRPr="00FA0D37">
        <w:rPr>
          <w:color w:val="993366"/>
        </w:rPr>
        <w:t>ENUMERATED</w:t>
      </w:r>
      <w:r w:rsidRPr="00FA0D37">
        <w:t xml:space="preserve"> {n1, n2, n4, n8, n12, n16}                         </w:t>
      </w:r>
      <w:r w:rsidRPr="00FA0D37">
        <w:rPr>
          <w:color w:val="993366"/>
        </w:rPr>
        <w:t>OPTIONAL</w:t>
      </w:r>
      <w:r w:rsidRPr="00FA0D37">
        <w:t>,</w:t>
      </w:r>
    </w:p>
    <w:p w14:paraId="3E417E89" w14:textId="72099549" w:rsidR="004B4E41" w:rsidRPr="00FA0D37" w:rsidRDefault="004B4E41" w:rsidP="00FA0D37">
      <w:pPr>
        <w:pStyle w:val="PL"/>
      </w:pPr>
      <w:r w:rsidRPr="00FA0D37">
        <w:t xml:space="preserve">    maxNumOfPeriodicSRSposResources-r17             </w:t>
      </w:r>
      <w:r w:rsidRPr="00FA0D37">
        <w:rPr>
          <w:color w:val="993366"/>
        </w:rPr>
        <w:t>ENUMERATED</w:t>
      </w:r>
      <w:r w:rsidRPr="00FA0D37">
        <w:t xml:space="preserve"> {n1, n2, n4, n8, n16, n32, n64}                    </w:t>
      </w:r>
      <w:r w:rsidRPr="00FA0D37">
        <w:rPr>
          <w:color w:val="993366"/>
        </w:rPr>
        <w:t>OPTIONAL</w:t>
      </w:r>
      <w:r w:rsidRPr="00FA0D37">
        <w:t>,</w:t>
      </w:r>
    </w:p>
    <w:p w14:paraId="71A02642" w14:textId="647174DD" w:rsidR="004B4E41" w:rsidRPr="00FA0D37" w:rsidRDefault="004B4E41" w:rsidP="00FA0D37">
      <w:pPr>
        <w:pStyle w:val="PL"/>
      </w:pPr>
      <w:r w:rsidRPr="00FA0D37">
        <w:t xml:space="preserve">    maxNumOfPeriodicSRSposResourcesPerSlot-r17      </w:t>
      </w:r>
      <w:r w:rsidRPr="00FA0D37">
        <w:rPr>
          <w:color w:val="993366"/>
        </w:rPr>
        <w:t>ENUMERATED</w:t>
      </w:r>
      <w:r w:rsidRPr="00FA0D37">
        <w:t xml:space="preserve"> {n1, n2, n3, n4, n5, n6, n8, n10, n12, n14}        </w:t>
      </w:r>
      <w:r w:rsidRPr="00FA0D37">
        <w:rPr>
          <w:color w:val="993366"/>
        </w:rPr>
        <w:t>OPTIONAL</w:t>
      </w:r>
      <w:r w:rsidRPr="00FA0D37">
        <w:t>,</w:t>
      </w:r>
    </w:p>
    <w:p w14:paraId="27E89FAC" w14:textId="59CF16AD" w:rsidR="004B4E41" w:rsidRPr="00FA0D37" w:rsidRDefault="004B4E41" w:rsidP="00FA0D37">
      <w:pPr>
        <w:pStyle w:val="PL"/>
      </w:pPr>
      <w:r w:rsidRPr="00FA0D37">
        <w:t xml:space="preserve">    differentNumerologyBetweenSRSposAndInitialBWP-r17  </w:t>
      </w:r>
      <w:r w:rsidRPr="00FA0D37">
        <w:rPr>
          <w:color w:val="993366"/>
        </w:rPr>
        <w:t>ENUMERATED</w:t>
      </w:r>
      <w:r w:rsidRPr="00FA0D37">
        <w:t xml:space="preserve"> {supported}                                     </w:t>
      </w:r>
      <w:r w:rsidRPr="00FA0D37">
        <w:rPr>
          <w:color w:val="993366"/>
        </w:rPr>
        <w:t>OPTIONAL</w:t>
      </w:r>
      <w:r w:rsidRPr="00FA0D37">
        <w:t>,</w:t>
      </w:r>
    </w:p>
    <w:p w14:paraId="22426054" w14:textId="341FD611" w:rsidR="004B4E41" w:rsidRPr="00FA0D37" w:rsidRDefault="004B4E41" w:rsidP="00FA0D37">
      <w:pPr>
        <w:pStyle w:val="PL"/>
      </w:pPr>
      <w:r w:rsidRPr="00FA0D37">
        <w:t xml:space="preserve">    srsPosWithoutRestrictionOnBWP-r17               </w:t>
      </w:r>
      <w:r w:rsidRPr="00FA0D37">
        <w:rPr>
          <w:color w:val="993366"/>
        </w:rPr>
        <w:t>ENUMERATED</w:t>
      </w:r>
      <w:r w:rsidRPr="00FA0D37">
        <w:t xml:space="preserve"> {supported}                                        </w:t>
      </w:r>
      <w:r w:rsidRPr="00FA0D37">
        <w:rPr>
          <w:color w:val="993366"/>
        </w:rPr>
        <w:t>OPTIONAL</w:t>
      </w:r>
      <w:r w:rsidRPr="00FA0D37">
        <w:t>,</w:t>
      </w:r>
    </w:p>
    <w:p w14:paraId="67763DFF" w14:textId="4C29CD18" w:rsidR="004B4E41" w:rsidRPr="00FA0D37" w:rsidRDefault="004B4E41" w:rsidP="00FA0D37">
      <w:pPr>
        <w:pStyle w:val="PL"/>
      </w:pPr>
      <w:r w:rsidRPr="00FA0D37">
        <w:t xml:space="preserve">    maxNumOfPeriodicAndSemipersistentSRSposResources-r17  </w:t>
      </w:r>
      <w:r w:rsidRPr="00FA0D37">
        <w:rPr>
          <w:color w:val="993366"/>
        </w:rPr>
        <w:t>ENUMERATED</w:t>
      </w:r>
      <w:r w:rsidRPr="00FA0D37">
        <w:t xml:space="preserve"> {n1, n2, n4, n8, n16, n32, n64}              </w:t>
      </w:r>
      <w:r w:rsidRPr="00FA0D37">
        <w:rPr>
          <w:color w:val="993366"/>
        </w:rPr>
        <w:t>OPTIONAL</w:t>
      </w:r>
      <w:r w:rsidRPr="00FA0D37">
        <w:t>,</w:t>
      </w:r>
    </w:p>
    <w:p w14:paraId="3E35446A" w14:textId="1DE9385D" w:rsidR="004B4E41" w:rsidRPr="00FA0D37" w:rsidRDefault="004B4E41" w:rsidP="00FA0D37">
      <w:pPr>
        <w:pStyle w:val="PL"/>
      </w:pPr>
      <w:r w:rsidRPr="00FA0D37">
        <w:t xml:space="preserve">    maxNumOfPeriodicAndSemipersistentSRSposResourcesPerSlot-r17  </w:t>
      </w:r>
      <w:r w:rsidRPr="00FA0D37">
        <w:rPr>
          <w:color w:val="993366"/>
        </w:rPr>
        <w:t>ENUMERATED</w:t>
      </w:r>
      <w:r w:rsidRPr="00FA0D37">
        <w:t xml:space="preserve"> {n1, n2, n3, n4, n5, n6, n8, n10, n12, n14}  </w:t>
      </w:r>
      <w:r w:rsidRPr="00FA0D37">
        <w:rPr>
          <w:color w:val="993366"/>
        </w:rPr>
        <w:t>OPTIONAL</w:t>
      </w:r>
      <w:r w:rsidRPr="00FA0D37">
        <w:t>,</w:t>
      </w:r>
    </w:p>
    <w:p w14:paraId="1C8E7C1D" w14:textId="69C8D64B" w:rsidR="004B4E41" w:rsidRPr="00FA0D37" w:rsidRDefault="004B4E41" w:rsidP="00FA0D37">
      <w:pPr>
        <w:pStyle w:val="PL"/>
      </w:pPr>
      <w:r w:rsidRPr="00FA0D37">
        <w:t xml:space="preserve">    differentCenterFreqBetweenSRSposAndInitialBWP-r17  </w:t>
      </w:r>
      <w:r w:rsidRPr="00FA0D37">
        <w:rPr>
          <w:color w:val="993366"/>
        </w:rPr>
        <w:t>ENUMERATED</w:t>
      </w:r>
      <w:r w:rsidRPr="00FA0D37">
        <w:t xml:space="preserve"> {supported}                                     </w:t>
      </w:r>
      <w:r w:rsidRPr="00FA0D37">
        <w:rPr>
          <w:color w:val="993366"/>
        </w:rPr>
        <w:t>OPTIONAL</w:t>
      </w:r>
      <w:r w:rsidRPr="00FA0D37">
        <w:t>,</w:t>
      </w:r>
    </w:p>
    <w:p w14:paraId="213C23B4" w14:textId="5D7F5A55" w:rsidR="004B4E41" w:rsidRPr="00FA0D37" w:rsidRDefault="004B4E41" w:rsidP="00FA0D37">
      <w:pPr>
        <w:pStyle w:val="PL"/>
      </w:pPr>
      <w:r w:rsidRPr="00FA0D37">
        <w:t xml:space="preserve">    switchingTimeSRS-TX-OtherTX-r17                 </w:t>
      </w:r>
      <w:r w:rsidRPr="00FA0D37">
        <w:rPr>
          <w:color w:val="993366"/>
        </w:rPr>
        <w:t>ENUMERATED</w:t>
      </w:r>
      <w:r w:rsidRPr="00FA0D37">
        <w:t xml:space="preserve"> {us100, us140, us200, us300, us500}                </w:t>
      </w:r>
      <w:r w:rsidRPr="00FA0D37">
        <w:rPr>
          <w:color w:val="993366"/>
        </w:rPr>
        <w:t>OPTIONAL</w:t>
      </w:r>
      <w:r w:rsidRPr="00FA0D37">
        <w:t>,</w:t>
      </w:r>
    </w:p>
    <w:p w14:paraId="1B326897" w14:textId="412272E2" w:rsidR="004B4E41" w:rsidRPr="00FA0D37" w:rsidRDefault="004B4E41" w:rsidP="00FA0D37">
      <w:pPr>
        <w:pStyle w:val="PL"/>
        <w:rPr>
          <w:color w:val="808080"/>
        </w:rPr>
      </w:pPr>
      <w:r w:rsidRPr="00FA0D37">
        <w:t xml:space="preserve">    </w:t>
      </w:r>
      <w:r w:rsidRPr="00FA0D37">
        <w:rPr>
          <w:color w:val="808080"/>
        </w:rPr>
        <w:t>-- R1 27-15c: Support of positioning SRS transmission in RRC_INACTIVE state outside initial BWP with semi-persistent SRS</w:t>
      </w:r>
    </w:p>
    <w:p w14:paraId="77E3252B" w14:textId="0DDA4CA5" w:rsidR="004B4E41" w:rsidRPr="00FA0D37" w:rsidRDefault="004B4E41" w:rsidP="00FA0D37">
      <w:pPr>
        <w:pStyle w:val="PL"/>
      </w:pPr>
      <w:r w:rsidRPr="00FA0D37">
        <w:t xml:space="preserve">    maxNumOfSemiPersistentSRSposResources-r17       </w:t>
      </w:r>
      <w:r w:rsidRPr="00FA0D37">
        <w:rPr>
          <w:color w:val="993366"/>
        </w:rPr>
        <w:t>ENUMERATED</w:t>
      </w:r>
      <w:r w:rsidRPr="00FA0D37">
        <w:t xml:space="preserve"> {n1, n2, n4, n8, n16, n32, n64}                    </w:t>
      </w:r>
      <w:r w:rsidRPr="00FA0D37">
        <w:rPr>
          <w:color w:val="993366"/>
        </w:rPr>
        <w:t>OPTIONAL</w:t>
      </w:r>
      <w:r w:rsidRPr="00FA0D37">
        <w:t>,</w:t>
      </w:r>
    </w:p>
    <w:p w14:paraId="6015EB4A" w14:textId="1A194822" w:rsidR="004B4E41" w:rsidRPr="00FA0D37" w:rsidRDefault="004B4E41" w:rsidP="00FA0D37">
      <w:pPr>
        <w:pStyle w:val="PL"/>
      </w:pPr>
      <w:r w:rsidRPr="00FA0D37">
        <w:t xml:space="preserve">    maxNumOfSemiPersistentSRSposResourcesPerSlot-r17  </w:t>
      </w:r>
      <w:r w:rsidRPr="00FA0D37">
        <w:rPr>
          <w:color w:val="993366"/>
        </w:rPr>
        <w:t>ENUMERATED</w:t>
      </w:r>
      <w:r w:rsidRPr="00FA0D37">
        <w:t xml:space="preserve"> {n1, n2, n3, n4, n5, n6, n8, n10, n12, n14}      </w:t>
      </w:r>
      <w:r w:rsidRPr="00FA0D37">
        <w:rPr>
          <w:color w:val="993366"/>
        </w:rPr>
        <w:t>OPTIONAL</w:t>
      </w:r>
      <w:r w:rsidRPr="00FA0D37">
        <w:t>,</w:t>
      </w:r>
    </w:p>
    <w:p w14:paraId="43F05BB6" w14:textId="77777777" w:rsidR="004B4E41" w:rsidRPr="00FA0D37" w:rsidRDefault="004B4E41" w:rsidP="00FA0D37">
      <w:pPr>
        <w:pStyle w:val="PL"/>
      </w:pPr>
      <w:r w:rsidRPr="00FA0D37">
        <w:t xml:space="preserve">    ...</w:t>
      </w:r>
    </w:p>
    <w:p w14:paraId="76FB292F" w14:textId="77777777" w:rsidR="004B4E41" w:rsidRPr="00FA0D37" w:rsidRDefault="004B4E41" w:rsidP="00FA0D37">
      <w:pPr>
        <w:pStyle w:val="PL"/>
      </w:pPr>
      <w:r w:rsidRPr="00FA0D37">
        <w:t>}</w:t>
      </w:r>
    </w:p>
    <w:p w14:paraId="1C67E8A3" w14:textId="77777777" w:rsidR="004B4E41" w:rsidRPr="00FA0D37" w:rsidRDefault="004B4E41" w:rsidP="00FA0D37">
      <w:pPr>
        <w:pStyle w:val="PL"/>
      </w:pPr>
    </w:p>
    <w:p w14:paraId="6F9B883A" w14:textId="77777777" w:rsidR="004B6142" w:rsidRPr="00FA0D37" w:rsidRDefault="004B4E41" w:rsidP="00FA0D37">
      <w:pPr>
        <w:pStyle w:val="PL"/>
        <w:rPr>
          <w:color w:val="808080"/>
        </w:rPr>
      </w:pPr>
      <w:r w:rsidRPr="00FA0D37">
        <w:rPr>
          <w:color w:val="808080"/>
        </w:rPr>
        <w:t>-- TAG-POSSRS-RRC-INACTIVE-OUTSIDEINITIALUL-BWP-STOP</w:t>
      </w:r>
    </w:p>
    <w:p w14:paraId="3E5D70D9" w14:textId="50DDFF64" w:rsidR="004B4E41" w:rsidRPr="00FA0D37" w:rsidRDefault="004B4E41" w:rsidP="00FA0D37">
      <w:pPr>
        <w:pStyle w:val="PL"/>
        <w:rPr>
          <w:color w:val="808080"/>
        </w:rPr>
      </w:pPr>
      <w:r w:rsidRPr="00FA0D37">
        <w:rPr>
          <w:color w:val="808080"/>
        </w:rPr>
        <w:t>-- ASN1STOP</w:t>
      </w:r>
    </w:p>
    <w:p w14:paraId="27C31017" w14:textId="77777777" w:rsidR="004B4E41" w:rsidRPr="00FA0D37" w:rsidRDefault="004B4E41" w:rsidP="00394471"/>
    <w:p w14:paraId="07937035" w14:textId="2B2824F1" w:rsidR="00394471" w:rsidRPr="00FA0D37" w:rsidRDefault="00394471" w:rsidP="00394471">
      <w:pPr>
        <w:pStyle w:val="4"/>
        <w:rPr>
          <w:i/>
          <w:iCs/>
        </w:rPr>
      </w:pPr>
      <w:bookmarkStart w:id="1598" w:name="_Toc60777472"/>
      <w:bookmarkStart w:id="1599" w:name="_Toc146781577"/>
      <w:r w:rsidRPr="00FA0D37">
        <w:rPr>
          <w:i/>
          <w:iCs/>
        </w:rPr>
        <w:t>–</w:t>
      </w:r>
      <w:r w:rsidRPr="00FA0D37">
        <w:rPr>
          <w:i/>
          <w:iCs/>
        </w:rPr>
        <w:tab/>
        <w:t>PowSav-Parameters</w:t>
      </w:r>
      <w:bookmarkEnd w:id="1598"/>
      <w:bookmarkEnd w:id="1599"/>
    </w:p>
    <w:p w14:paraId="3E445F85" w14:textId="77777777" w:rsidR="00394471" w:rsidRPr="00FA0D37" w:rsidRDefault="00394471" w:rsidP="00394471">
      <w:r w:rsidRPr="00FA0D37">
        <w:t xml:space="preserve">The IE </w:t>
      </w:r>
      <w:r w:rsidRPr="00FA0D37">
        <w:rPr>
          <w:i/>
        </w:rPr>
        <w:t>PowSav-Parameters</w:t>
      </w:r>
      <w:r w:rsidRPr="00FA0D37">
        <w:t xml:space="preserve"> is used to convey the capabilities supported by the UE for the power saving preferences.</w:t>
      </w:r>
    </w:p>
    <w:p w14:paraId="601148FB" w14:textId="77777777" w:rsidR="00394471" w:rsidRPr="00FA0D37" w:rsidRDefault="00394471" w:rsidP="00394471">
      <w:pPr>
        <w:pStyle w:val="TH"/>
        <w:rPr>
          <w:i/>
        </w:rPr>
      </w:pPr>
      <w:r w:rsidRPr="00FA0D37">
        <w:rPr>
          <w:i/>
        </w:rPr>
        <w:lastRenderedPageBreak/>
        <w:t xml:space="preserve">PowSav-Parameters </w:t>
      </w:r>
      <w:r w:rsidRPr="00FA0D37">
        <w:rPr>
          <w:iCs/>
        </w:rPr>
        <w:t>information element</w:t>
      </w:r>
    </w:p>
    <w:p w14:paraId="1229B2F5" w14:textId="77777777" w:rsidR="00394471" w:rsidRPr="00FA0D37" w:rsidRDefault="00394471" w:rsidP="00FA0D37">
      <w:pPr>
        <w:pStyle w:val="PL"/>
        <w:rPr>
          <w:color w:val="808080"/>
        </w:rPr>
      </w:pPr>
      <w:r w:rsidRPr="00FA0D37">
        <w:rPr>
          <w:color w:val="808080"/>
        </w:rPr>
        <w:t>-- ASN1START</w:t>
      </w:r>
    </w:p>
    <w:p w14:paraId="64C31873" w14:textId="77777777" w:rsidR="00394471" w:rsidRPr="00FA0D37" w:rsidRDefault="00394471" w:rsidP="00FA0D37">
      <w:pPr>
        <w:pStyle w:val="PL"/>
        <w:rPr>
          <w:color w:val="808080"/>
        </w:rPr>
      </w:pPr>
      <w:r w:rsidRPr="00FA0D37">
        <w:rPr>
          <w:color w:val="808080"/>
        </w:rPr>
        <w:t>-- TAG-POWSAV-PARAMETERS-START</w:t>
      </w:r>
    </w:p>
    <w:p w14:paraId="2B8DDD81" w14:textId="77777777" w:rsidR="00394471" w:rsidRPr="00FA0D37" w:rsidRDefault="00394471" w:rsidP="00FA0D37">
      <w:pPr>
        <w:pStyle w:val="PL"/>
      </w:pPr>
    </w:p>
    <w:p w14:paraId="7C775CA6" w14:textId="77777777" w:rsidR="00394471" w:rsidRPr="00FA0D37" w:rsidRDefault="00394471" w:rsidP="00FA0D37">
      <w:pPr>
        <w:pStyle w:val="PL"/>
      </w:pPr>
      <w:r w:rsidRPr="00FA0D37">
        <w:t xml:space="preserve">PowSav-Parameters-r16 ::=         </w:t>
      </w:r>
      <w:r w:rsidRPr="00FA0D37">
        <w:rPr>
          <w:color w:val="993366"/>
        </w:rPr>
        <w:t>SEQUENCE</w:t>
      </w:r>
      <w:r w:rsidRPr="00FA0D37">
        <w:t xml:space="preserve"> {</w:t>
      </w:r>
    </w:p>
    <w:p w14:paraId="0A2A54C1" w14:textId="77777777" w:rsidR="00394471" w:rsidRPr="00FA0D37" w:rsidRDefault="00394471" w:rsidP="00FA0D37">
      <w:pPr>
        <w:pStyle w:val="PL"/>
      </w:pPr>
      <w:r w:rsidRPr="00FA0D37">
        <w:t xml:space="preserve">    powSav-ParametersCommon-r16               PowSav-ParametersCommon-r16                                        </w:t>
      </w:r>
      <w:r w:rsidRPr="00FA0D37">
        <w:rPr>
          <w:color w:val="993366"/>
        </w:rPr>
        <w:t>OPTIONAL</w:t>
      </w:r>
      <w:r w:rsidRPr="00FA0D37">
        <w:t>,</w:t>
      </w:r>
    </w:p>
    <w:p w14:paraId="15021AC0" w14:textId="77777777" w:rsidR="00394471" w:rsidRPr="00FA0D37" w:rsidRDefault="00394471" w:rsidP="00FA0D37">
      <w:pPr>
        <w:pStyle w:val="PL"/>
      </w:pPr>
      <w:r w:rsidRPr="00FA0D37">
        <w:t xml:space="preserve">    powSav-ParametersFRX-Diff-r16             PowSav-ParametersFRX-Diff-r16                                      </w:t>
      </w:r>
      <w:r w:rsidRPr="00FA0D37">
        <w:rPr>
          <w:color w:val="993366"/>
        </w:rPr>
        <w:t>OPTIONAL</w:t>
      </w:r>
      <w:r w:rsidRPr="00FA0D37">
        <w:t>,</w:t>
      </w:r>
    </w:p>
    <w:p w14:paraId="0CC8F8CB" w14:textId="77777777" w:rsidR="00394471" w:rsidRPr="00FA0D37" w:rsidRDefault="00394471" w:rsidP="00FA0D37">
      <w:pPr>
        <w:pStyle w:val="PL"/>
      </w:pPr>
      <w:r w:rsidRPr="00FA0D37">
        <w:t xml:space="preserve">    ...</w:t>
      </w:r>
    </w:p>
    <w:p w14:paraId="14FD2A56" w14:textId="77777777" w:rsidR="00394471" w:rsidRPr="00FA0D37" w:rsidRDefault="00394471" w:rsidP="00FA0D37">
      <w:pPr>
        <w:pStyle w:val="PL"/>
      </w:pPr>
      <w:r w:rsidRPr="00FA0D37">
        <w:t>}</w:t>
      </w:r>
    </w:p>
    <w:p w14:paraId="54D32924" w14:textId="77777777" w:rsidR="00022DF1" w:rsidRPr="00FA0D37" w:rsidRDefault="00022DF1" w:rsidP="00FA0D37">
      <w:pPr>
        <w:pStyle w:val="PL"/>
      </w:pPr>
    </w:p>
    <w:p w14:paraId="43DE3646" w14:textId="527A146A" w:rsidR="00022DF1" w:rsidRPr="00FA0D37" w:rsidRDefault="00022DF1" w:rsidP="00FA0D37">
      <w:pPr>
        <w:pStyle w:val="PL"/>
      </w:pPr>
      <w:r w:rsidRPr="00FA0D37">
        <w:t xml:space="preserve">PowSav-Parameters-v1700 ::=     </w:t>
      </w:r>
      <w:r w:rsidRPr="00FA0D37">
        <w:rPr>
          <w:color w:val="993366"/>
        </w:rPr>
        <w:t>SEQUENCE</w:t>
      </w:r>
      <w:r w:rsidRPr="00FA0D37">
        <w:t xml:space="preserve"> {</w:t>
      </w:r>
    </w:p>
    <w:p w14:paraId="3ED5005C" w14:textId="7CD26097" w:rsidR="00022DF1" w:rsidRPr="00FA0D37" w:rsidRDefault="00022DF1" w:rsidP="00FA0D37">
      <w:pPr>
        <w:pStyle w:val="PL"/>
      </w:pPr>
      <w:r w:rsidRPr="00FA0D37">
        <w:t xml:space="preserve">    powSav-ParametersFR2-2-r17      PowSav-ParametersFR2-2-r17                                                   </w:t>
      </w:r>
      <w:r w:rsidRPr="00FA0D37">
        <w:rPr>
          <w:color w:val="993366"/>
        </w:rPr>
        <w:t>OPTIONAL</w:t>
      </w:r>
      <w:r w:rsidRPr="00FA0D37">
        <w:t>,</w:t>
      </w:r>
    </w:p>
    <w:p w14:paraId="0C7B969A" w14:textId="21C232FF" w:rsidR="00022DF1" w:rsidRPr="00FA0D37" w:rsidRDefault="00022DF1" w:rsidP="00FA0D37">
      <w:pPr>
        <w:pStyle w:val="PL"/>
      </w:pPr>
      <w:r w:rsidRPr="00FA0D37">
        <w:t xml:space="preserve">    ...</w:t>
      </w:r>
    </w:p>
    <w:p w14:paraId="4F4DED9F" w14:textId="3BF14BF5" w:rsidR="00394471" w:rsidRPr="00FA0D37" w:rsidRDefault="00022DF1" w:rsidP="00FA0D37">
      <w:pPr>
        <w:pStyle w:val="PL"/>
      </w:pPr>
      <w:r w:rsidRPr="00FA0D37">
        <w:t>}</w:t>
      </w:r>
    </w:p>
    <w:p w14:paraId="32FBD1A4" w14:textId="77777777" w:rsidR="00022DF1" w:rsidRPr="00FA0D37" w:rsidRDefault="00022DF1" w:rsidP="00FA0D37">
      <w:pPr>
        <w:pStyle w:val="PL"/>
      </w:pPr>
    </w:p>
    <w:p w14:paraId="7BA1D86E" w14:textId="77777777" w:rsidR="00394471" w:rsidRPr="00FA0D37" w:rsidRDefault="00394471" w:rsidP="00FA0D37">
      <w:pPr>
        <w:pStyle w:val="PL"/>
      </w:pPr>
      <w:r w:rsidRPr="00FA0D37">
        <w:t xml:space="preserve">PowSav-ParametersCommon-r16 ::=    </w:t>
      </w:r>
      <w:r w:rsidRPr="00FA0D37">
        <w:rPr>
          <w:color w:val="993366"/>
        </w:rPr>
        <w:t>SEQUENCE</w:t>
      </w:r>
      <w:r w:rsidRPr="00FA0D37">
        <w:t xml:space="preserve"> {</w:t>
      </w:r>
    </w:p>
    <w:p w14:paraId="0AF8F4D7" w14:textId="77777777" w:rsidR="00394471" w:rsidRPr="00FA0D37" w:rsidRDefault="00394471" w:rsidP="00FA0D37">
      <w:pPr>
        <w:pStyle w:val="PL"/>
      </w:pPr>
      <w:r w:rsidRPr="00FA0D37">
        <w:t xml:space="preserve">    drx-Preference-r16                        </w:t>
      </w:r>
      <w:r w:rsidRPr="00FA0D37">
        <w:rPr>
          <w:color w:val="993366"/>
        </w:rPr>
        <w:t>ENUMERATED</w:t>
      </w:r>
      <w:r w:rsidRPr="00FA0D37">
        <w:t xml:space="preserve"> {supported}                                             </w:t>
      </w:r>
      <w:r w:rsidRPr="00FA0D37">
        <w:rPr>
          <w:color w:val="993366"/>
        </w:rPr>
        <w:t>OPTIONAL</w:t>
      </w:r>
      <w:r w:rsidRPr="00FA0D37">
        <w:t>,</w:t>
      </w:r>
    </w:p>
    <w:p w14:paraId="0BD59FC5" w14:textId="77777777" w:rsidR="00394471" w:rsidRPr="00FA0D37" w:rsidRDefault="00394471" w:rsidP="00FA0D37">
      <w:pPr>
        <w:pStyle w:val="PL"/>
      </w:pPr>
      <w:r w:rsidRPr="00FA0D37">
        <w:t xml:space="preserve">    maxCC-Preference-r16                      </w:t>
      </w:r>
      <w:r w:rsidRPr="00FA0D37">
        <w:rPr>
          <w:color w:val="993366"/>
        </w:rPr>
        <w:t>ENUMERATED</w:t>
      </w:r>
      <w:r w:rsidRPr="00FA0D37">
        <w:t xml:space="preserve"> {supported}                                             </w:t>
      </w:r>
      <w:r w:rsidRPr="00FA0D37">
        <w:rPr>
          <w:color w:val="993366"/>
        </w:rPr>
        <w:t>OPTIONAL</w:t>
      </w:r>
      <w:r w:rsidRPr="00FA0D37">
        <w:t>,</w:t>
      </w:r>
    </w:p>
    <w:p w14:paraId="1D5EFCDE" w14:textId="77777777" w:rsidR="00394471" w:rsidRPr="00FA0D37" w:rsidRDefault="00394471" w:rsidP="00FA0D37">
      <w:pPr>
        <w:pStyle w:val="PL"/>
      </w:pPr>
      <w:r w:rsidRPr="00FA0D37">
        <w:t xml:space="preserve">    releasePreference-r16                     </w:t>
      </w:r>
      <w:r w:rsidRPr="00FA0D37">
        <w:rPr>
          <w:color w:val="993366"/>
        </w:rPr>
        <w:t>ENUMERATED</w:t>
      </w:r>
      <w:r w:rsidRPr="00FA0D37">
        <w:t xml:space="preserve"> {supported}                                             </w:t>
      </w:r>
      <w:r w:rsidRPr="00FA0D37">
        <w:rPr>
          <w:color w:val="993366"/>
        </w:rPr>
        <w:t>OPTIONAL</w:t>
      </w:r>
      <w:r w:rsidRPr="00FA0D37">
        <w:t>,</w:t>
      </w:r>
    </w:p>
    <w:p w14:paraId="6017A23E" w14:textId="77777777" w:rsidR="00394471" w:rsidRPr="00FA0D37" w:rsidRDefault="00394471" w:rsidP="00FA0D37">
      <w:pPr>
        <w:pStyle w:val="PL"/>
        <w:rPr>
          <w:color w:val="808080"/>
        </w:rPr>
      </w:pPr>
      <w:r w:rsidRPr="00FA0D37">
        <w:t xml:space="preserve">    </w:t>
      </w:r>
      <w:r w:rsidRPr="00FA0D37">
        <w:rPr>
          <w:color w:val="808080"/>
        </w:rPr>
        <w:t>-- R1 19-4a: UE assistance information</w:t>
      </w:r>
    </w:p>
    <w:p w14:paraId="05B81D50" w14:textId="77777777" w:rsidR="00394471" w:rsidRPr="00FA0D37" w:rsidRDefault="00394471" w:rsidP="00FA0D37">
      <w:pPr>
        <w:pStyle w:val="PL"/>
      </w:pPr>
      <w:r w:rsidRPr="00FA0D37">
        <w:t xml:space="preserve">    minSchedulingOffsetPreference-r16         </w:t>
      </w:r>
      <w:r w:rsidRPr="00FA0D37">
        <w:rPr>
          <w:color w:val="993366"/>
        </w:rPr>
        <w:t>ENUMERATED</w:t>
      </w:r>
      <w:r w:rsidRPr="00FA0D37">
        <w:t xml:space="preserve"> {supported}                                             </w:t>
      </w:r>
      <w:r w:rsidRPr="00FA0D37">
        <w:rPr>
          <w:color w:val="993366"/>
        </w:rPr>
        <w:t>OPTIONAL</w:t>
      </w:r>
      <w:r w:rsidRPr="00FA0D37">
        <w:t>,</w:t>
      </w:r>
    </w:p>
    <w:p w14:paraId="0349320D" w14:textId="77777777" w:rsidR="00394471" w:rsidRPr="00FA0D37" w:rsidRDefault="00394471" w:rsidP="00FA0D37">
      <w:pPr>
        <w:pStyle w:val="PL"/>
      </w:pPr>
      <w:r w:rsidRPr="00FA0D37">
        <w:t xml:space="preserve">    ...</w:t>
      </w:r>
    </w:p>
    <w:p w14:paraId="2A11C1BD" w14:textId="77777777" w:rsidR="00394471" w:rsidRPr="00FA0D37" w:rsidRDefault="00394471" w:rsidP="00FA0D37">
      <w:pPr>
        <w:pStyle w:val="PL"/>
      </w:pPr>
      <w:r w:rsidRPr="00FA0D37">
        <w:t>}</w:t>
      </w:r>
    </w:p>
    <w:p w14:paraId="06423F2A" w14:textId="77777777" w:rsidR="00394471" w:rsidRPr="00FA0D37" w:rsidRDefault="00394471" w:rsidP="00FA0D37">
      <w:pPr>
        <w:pStyle w:val="PL"/>
      </w:pPr>
    </w:p>
    <w:p w14:paraId="367DEE06" w14:textId="77777777" w:rsidR="00394471" w:rsidRPr="00FA0D37" w:rsidRDefault="00394471" w:rsidP="00FA0D37">
      <w:pPr>
        <w:pStyle w:val="PL"/>
      </w:pPr>
      <w:r w:rsidRPr="00FA0D37">
        <w:t xml:space="preserve">PowSav-ParametersFRX-Diff-r16 ::=    </w:t>
      </w:r>
      <w:r w:rsidRPr="00FA0D37">
        <w:rPr>
          <w:color w:val="993366"/>
        </w:rPr>
        <w:t>SEQUENCE</w:t>
      </w:r>
      <w:r w:rsidRPr="00FA0D37">
        <w:t xml:space="preserve"> {</w:t>
      </w:r>
    </w:p>
    <w:p w14:paraId="182125C3" w14:textId="77777777" w:rsidR="00394471" w:rsidRPr="00FA0D37" w:rsidRDefault="00394471" w:rsidP="00FA0D37">
      <w:pPr>
        <w:pStyle w:val="PL"/>
      </w:pPr>
      <w:r w:rsidRPr="00FA0D37">
        <w:t xml:space="preserve">    maxBW-Preference-r16                      </w:t>
      </w:r>
      <w:r w:rsidRPr="00FA0D37">
        <w:rPr>
          <w:color w:val="993366"/>
        </w:rPr>
        <w:t>ENUMERATED</w:t>
      </w:r>
      <w:r w:rsidRPr="00FA0D37">
        <w:t xml:space="preserve"> {supported}                                             </w:t>
      </w:r>
      <w:r w:rsidRPr="00FA0D37">
        <w:rPr>
          <w:color w:val="993366"/>
        </w:rPr>
        <w:t>OPTIONAL</w:t>
      </w:r>
      <w:r w:rsidRPr="00FA0D37">
        <w:t>,</w:t>
      </w:r>
    </w:p>
    <w:p w14:paraId="4AB26B8D" w14:textId="77777777" w:rsidR="00394471" w:rsidRPr="00FA0D37" w:rsidRDefault="00394471" w:rsidP="00FA0D37">
      <w:pPr>
        <w:pStyle w:val="PL"/>
      </w:pPr>
      <w:r w:rsidRPr="00FA0D37">
        <w:t xml:space="preserve">    maxMIMO-LayerPreference-r16               </w:t>
      </w:r>
      <w:r w:rsidRPr="00FA0D37">
        <w:rPr>
          <w:color w:val="993366"/>
        </w:rPr>
        <w:t>ENUMERATED</w:t>
      </w:r>
      <w:r w:rsidRPr="00FA0D37">
        <w:t xml:space="preserve"> {supported}                                             </w:t>
      </w:r>
      <w:r w:rsidRPr="00FA0D37">
        <w:rPr>
          <w:color w:val="993366"/>
        </w:rPr>
        <w:t>OPTIONAL</w:t>
      </w:r>
      <w:r w:rsidRPr="00FA0D37">
        <w:t>,</w:t>
      </w:r>
    </w:p>
    <w:p w14:paraId="39D4E587" w14:textId="77777777" w:rsidR="00394471" w:rsidRPr="00FA0D37" w:rsidRDefault="00394471" w:rsidP="00FA0D37">
      <w:pPr>
        <w:pStyle w:val="PL"/>
      </w:pPr>
      <w:r w:rsidRPr="00FA0D37">
        <w:t xml:space="preserve">    ...</w:t>
      </w:r>
    </w:p>
    <w:p w14:paraId="377635B3" w14:textId="77777777" w:rsidR="00394471" w:rsidRPr="00FA0D37" w:rsidRDefault="00394471" w:rsidP="00FA0D37">
      <w:pPr>
        <w:pStyle w:val="PL"/>
      </w:pPr>
      <w:r w:rsidRPr="00FA0D37">
        <w:t>}</w:t>
      </w:r>
    </w:p>
    <w:p w14:paraId="2F346116" w14:textId="77777777" w:rsidR="00022DF1" w:rsidRPr="00FA0D37" w:rsidRDefault="00022DF1" w:rsidP="00FA0D37">
      <w:pPr>
        <w:pStyle w:val="PL"/>
      </w:pPr>
    </w:p>
    <w:p w14:paraId="6E17B023" w14:textId="6370DA9A" w:rsidR="00022DF1" w:rsidRPr="00FA0D37" w:rsidRDefault="00022DF1" w:rsidP="00FA0D37">
      <w:pPr>
        <w:pStyle w:val="PL"/>
      </w:pPr>
      <w:r w:rsidRPr="00FA0D37">
        <w:t xml:space="preserve">PowSav-ParametersFR2-2-r17 ::=      </w:t>
      </w:r>
      <w:r w:rsidRPr="00FA0D37">
        <w:rPr>
          <w:color w:val="993366"/>
        </w:rPr>
        <w:t>SEQUENCE</w:t>
      </w:r>
      <w:r w:rsidRPr="00FA0D37">
        <w:t xml:space="preserve"> {</w:t>
      </w:r>
    </w:p>
    <w:p w14:paraId="1DCD2853" w14:textId="72D40D6E" w:rsidR="00022DF1" w:rsidRPr="00FA0D37" w:rsidRDefault="00022DF1" w:rsidP="00FA0D37">
      <w:pPr>
        <w:pStyle w:val="PL"/>
      </w:pPr>
      <w:r w:rsidRPr="00FA0D37">
        <w:t xml:space="preserve">    maxBW-Preference-r17                      </w:t>
      </w:r>
      <w:r w:rsidRPr="00FA0D37">
        <w:rPr>
          <w:color w:val="993366"/>
        </w:rPr>
        <w:t>ENUMERATED</w:t>
      </w:r>
      <w:r w:rsidRPr="00FA0D37">
        <w:t xml:space="preserve"> {supported}                                             </w:t>
      </w:r>
      <w:r w:rsidRPr="00FA0D37">
        <w:rPr>
          <w:color w:val="993366"/>
        </w:rPr>
        <w:t>OPTIONAL</w:t>
      </w:r>
      <w:r w:rsidRPr="00FA0D37">
        <w:t>,</w:t>
      </w:r>
    </w:p>
    <w:p w14:paraId="6290CA7F" w14:textId="1F1A6112" w:rsidR="00022DF1" w:rsidRPr="00FA0D37" w:rsidRDefault="00022DF1" w:rsidP="00FA0D37">
      <w:pPr>
        <w:pStyle w:val="PL"/>
      </w:pPr>
      <w:r w:rsidRPr="00FA0D37">
        <w:t xml:space="preserve">    maxMIMO-LayerPreference-r17               </w:t>
      </w:r>
      <w:r w:rsidRPr="00FA0D37">
        <w:rPr>
          <w:color w:val="993366"/>
        </w:rPr>
        <w:t>ENUMERATED</w:t>
      </w:r>
      <w:r w:rsidRPr="00FA0D37">
        <w:t xml:space="preserve"> {supported}                                             </w:t>
      </w:r>
      <w:r w:rsidRPr="00FA0D37">
        <w:rPr>
          <w:color w:val="993366"/>
        </w:rPr>
        <w:t>OPTIONAL</w:t>
      </w:r>
      <w:r w:rsidRPr="00FA0D37">
        <w:t>,</w:t>
      </w:r>
    </w:p>
    <w:p w14:paraId="67B55BE0" w14:textId="77777777" w:rsidR="00022DF1" w:rsidRPr="00FA0D37" w:rsidRDefault="00022DF1" w:rsidP="00FA0D37">
      <w:pPr>
        <w:pStyle w:val="PL"/>
      </w:pPr>
      <w:r w:rsidRPr="00FA0D37">
        <w:t xml:space="preserve">    ...</w:t>
      </w:r>
    </w:p>
    <w:p w14:paraId="4CF6DCB5" w14:textId="199A7149" w:rsidR="00394471" w:rsidRPr="00FA0D37" w:rsidRDefault="00022DF1" w:rsidP="00FA0D37">
      <w:pPr>
        <w:pStyle w:val="PL"/>
      </w:pPr>
      <w:r w:rsidRPr="00FA0D37">
        <w:t>}</w:t>
      </w:r>
    </w:p>
    <w:p w14:paraId="54F8D02A" w14:textId="77777777" w:rsidR="00022DF1" w:rsidRPr="00FA0D37" w:rsidRDefault="00022DF1" w:rsidP="00FA0D37">
      <w:pPr>
        <w:pStyle w:val="PL"/>
      </w:pPr>
    </w:p>
    <w:p w14:paraId="357DECF0" w14:textId="77777777" w:rsidR="00394471" w:rsidRPr="00FA0D37" w:rsidRDefault="00394471" w:rsidP="00FA0D37">
      <w:pPr>
        <w:pStyle w:val="PL"/>
        <w:rPr>
          <w:color w:val="808080"/>
        </w:rPr>
      </w:pPr>
      <w:r w:rsidRPr="00FA0D37">
        <w:rPr>
          <w:color w:val="808080"/>
        </w:rPr>
        <w:t>-- TAG-POWSAV-PARAMETERS-STOP</w:t>
      </w:r>
    </w:p>
    <w:p w14:paraId="3AF77D38" w14:textId="77777777" w:rsidR="00394471" w:rsidRPr="00FA0D37" w:rsidRDefault="00394471" w:rsidP="00FA0D37">
      <w:pPr>
        <w:pStyle w:val="PL"/>
        <w:rPr>
          <w:color w:val="808080"/>
        </w:rPr>
      </w:pPr>
      <w:r w:rsidRPr="00FA0D37">
        <w:rPr>
          <w:color w:val="808080"/>
        </w:rPr>
        <w:t>-- ASN1STOP</w:t>
      </w:r>
    </w:p>
    <w:p w14:paraId="438B9281" w14:textId="77777777" w:rsidR="00394471" w:rsidRPr="00FA0D37" w:rsidRDefault="00394471" w:rsidP="00394471"/>
    <w:p w14:paraId="5C802B70" w14:textId="5A6B2B9A" w:rsidR="00394471" w:rsidRPr="00FA0D37" w:rsidRDefault="00394471" w:rsidP="00394471">
      <w:pPr>
        <w:pStyle w:val="4"/>
      </w:pPr>
      <w:bookmarkStart w:id="1600" w:name="_Toc60777473"/>
      <w:bookmarkStart w:id="1601" w:name="_Toc146781578"/>
      <w:r w:rsidRPr="00FA0D37">
        <w:t>–</w:t>
      </w:r>
      <w:r w:rsidRPr="00FA0D37">
        <w:tab/>
      </w:r>
      <w:r w:rsidRPr="00FA0D37">
        <w:rPr>
          <w:i/>
          <w:noProof/>
        </w:rPr>
        <w:t>ProcessingParameters</w:t>
      </w:r>
      <w:bookmarkEnd w:id="1600"/>
      <w:bookmarkEnd w:id="1601"/>
    </w:p>
    <w:p w14:paraId="3C0F59F4" w14:textId="77777777" w:rsidR="00394471" w:rsidRPr="00FA0D37" w:rsidRDefault="00394471" w:rsidP="00394471">
      <w:r w:rsidRPr="00FA0D37">
        <w:t xml:space="preserve">The IE </w:t>
      </w:r>
      <w:r w:rsidRPr="00FA0D37">
        <w:rPr>
          <w:i/>
        </w:rPr>
        <w:t>ProcessingParameters</w:t>
      </w:r>
      <w:r w:rsidRPr="00FA0D37">
        <w:t xml:space="preserve"> is used to indicate PDSCH/PUSCH processing capabilities supported by the UE.</w:t>
      </w:r>
    </w:p>
    <w:p w14:paraId="33FABF8E" w14:textId="77777777" w:rsidR="00394471" w:rsidRPr="00FA0D37" w:rsidRDefault="00394471" w:rsidP="00394471">
      <w:pPr>
        <w:pStyle w:val="TH"/>
      </w:pPr>
      <w:r w:rsidRPr="00FA0D37">
        <w:rPr>
          <w:i/>
        </w:rPr>
        <w:t>ProcessingParameters</w:t>
      </w:r>
      <w:r w:rsidRPr="00FA0D37">
        <w:t xml:space="preserve"> information element</w:t>
      </w:r>
    </w:p>
    <w:p w14:paraId="3593833A" w14:textId="77777777" w:rsidR="00394471" w:rsidRPr="00FA0D37" w:rsidRDefault="00394471" w:rsidP="00FA0D37">
      <w:pPr>
        <w:pStyle w:val="PL"/>
        <w:rPr>
          <w:color w:val="808080"/>
        </w:rPr>
      </w:pPr>
      <w:r w:rsidRPr="00FA0D37">
        <w:rPr>
          <w:color w:val="808080"/>
        </w:rPr>
        <w:t>-- ASN1START</w:t>
      </w:r>
    </w:p>
    <w:p w14:paraId="771E1D56" w14:textId="77777777" w:rsidR="00394471" w:rsidRPr="00FA0D37" w:rsidRDefault="00394471" w:rsidP="00FA0D37">
      <w:pPr>
        <w:pStyle w:val="PL"/>
        <w:rPr>
          <w:color w:val="808080"/>
        </w:rPr>
      </w:pPr>
      <w:r w:rsidRPr="00FA0D37">
        <w:rPr>
          <w:color w:val="808080"/>
        </w:rPr>
        <w:t>-- TAG-PROCESSINGPARAMETERS-START</w:t>
      </w:r>
    </w:p>
    <w:p w14:paraId="59586134" w14:textId="77777777" w:rsidR="00394471" w:rsidRPr="00FA0D37" w:rsidRDefault="00394471" w:rsidP="00FA0D37">
      <w:pPr>
        <w:pStyle w:val="PL"/>
      </w:pPr>
    </w:p>
    <w:p w14:paraId="2E95F690" w14:textId="77777777" w:rsidR="00394471" w:rsidRPr="00FA0D37" w:rsidRDefault="00394471" w:rsidP="00FA0D37">
      <w:pPr>
        <w:pStyle w:val="PL"/>
      </w:pPr>
      <w:r w:rsidRPr="00FA0D37">
        <w:t xml:space="preserve">ProcessingParameters ::=        </w:t>
      </w:r>
      <w:r w:rsidRPr="00FA0D37">
        <w:rPr>
          <w:color w:val="993366"/>
        </w:rPr>
        <w:t>SEQUENCE</w:t>
      </w:r>
      <w:r w:rsidRPr="00FA0D37">
        <w:t xml:space="preserve"> {</w:t>
      </w:r>
    </w:p>
    <w:p w14:paraId="4A20B0A7" w14:textId="77777777" w:rsidR="00394471" w:rsidRPr="00FA0D37" w:rsidRDefault="00394471" w:rsidP="00FA0D37">
      <w:pPr>
        <w:pStyle w:val="PL"/>
        <w:rPr>
          <w:rFonts w:eastAsia="MS Mincho"/>
        </w:rPr>
      </w:pPr>
      <w:r w:rsidRPr="00FA0D37">
        <w:rPr>
          <w:rFonts w:eastAsia="MS Mincho"/>
        </w:rPr>
        <w:t xml:space="preserve">    </w:t>
      </w:r>
      <w:r w:rsidRPr="00FA0D37">
        <w:t xml:space="preserve">fallback                        </w:t>
      </w:r>
      <w:r w:rsidRPr="00FA0D37">
        <w:rPr>
          <w:color w:val="993366"/>
        </w:rPr>
        <w:t>ENUMERATED</w:t>
      </w:r>
      <w:r w:rsidRPr="00FA0D37">
        <w:t xml:space="preserve"> {sc, cap1-only},</w:t>
      </w:r>
    </w:p>
    <w:p w14:paraId="6325D54D" w14:textId="77777777" w:rsidR="00394471" w:rsidRPr="00FA0D37" w:rsidRDefault="00394471" w:rsidP="00FA0D37">
      <w:pPr>
        <w:pStyle w:val="PL"/>
      </w:pPr>
      <w:r w:rsidRPr="00FA0D37">
        <w:rPr>
          <w:rFonts w:eastAsia="MS Mincho"/>
        </w:rPr>
        <w:t xml:space="preserve">    differentTB-PerSlot              </w:t>
      </w:r>
      <w:r w:rsidRPr="00FA0D37">
        <w:rPr>
          <w:color w:val="993366"/>
        </w:rPr>
        <w:t>SEQUENCE</w:t>
      </w:r>
      <w:r w:rsidRPr="00FA0D37">
        <w:t xml:space="preserve"> {</w:t>
      </w:r>
    </w:p>
    <w:p w14:paraId="3D74D49F" w14:textId="77777777" w:rsidR="00394471" w:rsidRPr="00FA0D37" w:rsidRDefault="00394471" w:rsidP="00FA0D37">
      <w:pPr>
        <w:pStyle w:val="PL"/>
      </w:pPr>
      <w:r w:rsidRPr="00FA0D37">
        <w:t xml:space="preserve">        upto1                          NumberOfCarriers                    </w:t>
      </w:r>
      <w:r w:rsidRPr="00FA0D37">
        <w:rPr>
          <w:color w:val="993366"/>
        </w:rPr>
        <w:t>OPTIONAL</w:t>
      </w:r>
      <w:r w:rsidRPr="00FA0D37">
        <w:t>,</w:t>
      </w:r>
    </w:p>
    <w:p w14:paraId="460DB5F2" w14:textId="77777777" w:rsidR="00394471" w:rsidRPr="00FA0D37" w:rsidRDefault="00394471" w:rsidP="00FA0D37">
      <w:pPr>
        <w:pStyle w:val="PL"/>
      </w:pPr>
      <w:r w:rsidRPr="00FA0D37">
        <w:t xml:space="preserve">        upto2                          NumberOfCarriers                    </w:t>
      </w:r>
      <w:r w:rsidRPr="00FA0D37">
        <w:rPr>
          <w:color w:val="993366"/>
        </w:rPr>
        <w:t>OPTIONAL</w:t>
      </w:r>
      <w:r w:rsidRPr="00FA0D37">
        <w:t>,</w:t>
      </w:r>
    </w:p>
    <w:p w14:paraId="1709EB1E" w14:textId="77777777" w:rsidR="00394471" w:rsidRPr="00FA0D37" w:rsidRDefault="00394471" w:rsidP="00FA0D37">
      <w:pPr>
        <w:pStyle w:val="PL"/>
      </w:pPr>
      <w:r w:rsidRPr="00FA0D37">
        <w:t xml:space="preserve">        upto4                          NumberOfCarriers                    </w:t>
      </w:r>
      <w:r w:rsidRPr="00FA0D37">
        <w:rPr>
          <w:color w:val="993366"/>
        </w:rPr>
        <w:t>OPTIONAL</w:t>
      </w:r>
      <w:r w:rsidRPr="00FA0D37">
        <w:t>,</w:t>
      </w:r>
    </w:p>
    <w:p w14:paraId="728DAE72" w14:textId="77777777" w:rsidR="00394471" w:rsidRPr="00FA0D37" w:rsidRDefault="00394471" w:rsidP="00FA0D37">
      <w:pPr>
        <w:pStyle w:val="PL"/>
        <w:rPr>
          <w:rFonts w:eastAsia="MS Mincho"/>
        </w:rPr>
      </w:pPr>
      <w:r w:rsidRPr="00FA0D37">
        <w:t xml:space="preserve">        upto7                          NumberOfCarriers                    </w:t>
      </w:r>
      <w:r w:rsidRPr="00FA0D37">
        <w:rPr>
          <w:color w:val="993366"/>
        </w:rPr>
        <w:t>OPTIONAL</w:t>
      </w:r>
    </w:p>
    <w:p w14:paraId="406A2F5E" w14:textId="77777777" w:rsidR="00394471" w:rsidRPr="00FA0D37" w:rsidRDefault="00394471" w:rsidP="00FA0D37">
      <w:pPr>
        <w:pStyle w:val="PL"/>
        <w:rPr>
          <w:rFonts w:eastAsia="MS Mincho"/>
        </w:rPr>
      </w:pPr>
      <w:r w:rsidRPr="00FA0D37">
        <w:rPr>
          <w:rFonts w:eastAsia="MS Mincho"/>
        </w:rPr>
        <w:t xml:space="preserve">    } </w:t>
      </w:r>
      <w:r w:rsidRPr="00FA0D37">
        <w:t xml:space="preserve">                                                                </w:t>
      </w:r>
      <w:r w:rsidRPr="00FA0D37">
        <w:rPr>
          <w:color w:val="993366"/>
        </w:rPr>
        <w:t>OPTIONAL</w:t>
      </w:r>
    </w:p>
    <w:p w14:paraId="44A80EFA" w14:textId="77777777" w:rsidR="00394471" w:rsidRPr="00FA0D37" w:rsidRDefault="00394471" w:rsidP="00FA0D37">
      <w:pPr>
        <w:pStyle w:val="PL"/>
        <w:rPr>
          <w:rFonts w:eastAsia="MS Mincho"/>
        </w:rPr>
      </w:pPr>
      <w:r w:rsidRPr="00FA0D37">
        <w:rPr>
          <w:rFonts w:eastAsia="MS Mincho"/>
        </w:rPr>
        <w:t>}</w:t>
      </w:r>
    </w:p>
    <w:p w14:paraId="7E5360E3" w14:textId="77777777" w:rsidR="00394471" w:rsidRPr="00FA0D37" w:rsidRDefault="00394471" w:rsidP="00FA0D37">
      <w:pPr>
        <w:pStyle w:val="PL"/>
      </w:pPr>
    </w:p>
    <w:p w14:paraId="5FB8DD06" w14:textId="77777777" w:rsidR="00394471" w:rsidRPr="00FA0D37" w:rsidRDefault="00394471" w:rsidP="00FA0D37">
      <w:pPr>
        <w:pStyle w:val="PL"/>
      </w:pPr>
      <w:r w:rsidRPr="00FA0D37">
        <w:rPr>
          <w:rFonts w:eastAsia="MS Mincho"/>
        </w:rPr>
        <w:t xml:space="preserve">NumberOfCarriers ::=    </w:t>
      </w:r>
      <w:r w:rsidRPr="00FA0D37">
        <w:rPr>
          <w:rFonts w:eastAsia="MS Mincho"/>
          <w:color w:val="993366"/>
        </w:rPr>
        <w:t>INTEGER</w:t>
      </w:r>
      <w:r w:rsidRPr="00FA0D37">
        <w:rPr>
          <w:rFonts w:eastAsia="MS Mincho"/>
        </w:rPr>
        <w:t xml:space="preserve"> (1..16)</w:t>
      </w:r>
    </w:p>
    <w:p w14:paraId="5204130F" w14:textId="77777777" w:rsidR="00394471" w:rsidRPr="00FA0D37" w:rsidRDefault="00394471" w:rsidP="00FA0D37">
      <w:pPr>
        <w:pStyle w:val="PL"/>
      </w:pPr>
    </w:p>
    <w:p w14:paraId="015C052A" w14:textId="77777777" w:rsidR="00394471" w:rsidRPr="00FA0D37" w:rsidRDefault="00394471" w:rsidP="00FA0D37">
      <w:pPr>
        <w:pStyle w:val="PL"/>
        <w:rPr>
          <w:color w:val="808080"/>
        </w:rPr>
      </w:pPr>
      <w:r w:rsidRPr="00FA0D37">
        <w:rPr>
          <w:color w:val="808080"/>
        </w:rPr>
        <w:t>-- TAG-PROCESSINGPARAMETERS-STOP</w:t>
      </w:r>
    </w:p>
    <w:p w14:paraId="423EC026" w14:textId="77777777" w:rsidR="00394471" w:rsidRPr="00FA0D37" w:rsidRDefault="00394471" w:rsidP="00FA0D37">
      <w:pPr>
        <w:pStyle w:val="PL"/>
        <w:rPr>
          <w:color w:val="808080"/>
        </w:rPr>
      </w:pPr>
      <w:r w:rsidRPr="00FA0D37">
        <w:rPr>
          <w:color w:val="808080"/>
        </w:rPr>
        <w:t>-- ASN1STOP</w:t>
      </w:r>
    </w:p>
    <w:p w14:paraId="7C5E4BDE" w14:textId="4AD60FE7" w:rsidR="00394471" w:rsidRPr="00FA0D37" w:rsidRDefault="00394471" w:rsidP="00394471"/>
    <w:p w14:paraId="62B2CE19" w14:textId="77777777" w:rsidR="00056A99" w:rsidRPr="00FA0D37" w:rsidRDefault="00056A99" w:rsidP="00DD246F">
      <w:pPr>
        <w:pStyle w:val="4"/>
        <w:rPr>
          <w:i/>
          <w:iCs/>
        </w:rPr>
      </w:pPr>
      <w:bookmarkStart w:id="1602" w:name="_Toc146781579"/>
      <w:r w:rsidRPr="00FA0D37">
        <w:t>–</w:t>
      </w:r>
      <w:r w:rsidRPr="00FA0D37">
        <w:tab/>
      </w:r>
      <w:r w:rsidRPr="00FA0D37">
        <w:rPr>
          <w:i/>
          <w:iCs/>
          <w:noProof/>
        </w:rPr>
        <w:t>PRS-ProcessingCapabilityOutsideMGinPPWperType</w:t>
      </w:r>
      <w:bookmarkEnd w:id="1602"/>
    </w:p>
    <w:p w14:paraId="00997EE3" w14:textId="77777777" w:rsidR="00056A99" w:rsidRPr="00FA0D37" w:rsidRDefault="00056A99" w:rsidP="00056A99">
      <w:r w:rsidRPr="00FA0D37">
        <w:t xml:space="preserve">The IE </w:t>
      </w:r>
      <w:r w:rsidRPr="00FA0D37">
        <w:rPr>
          <w:i/>
        </w:rPr>
        <w:t xml:space="preserve">PRS-ProcessingCapabilityOutsideMGinPPWperType </w:t>
      </w:r>
      <w:r w:rsidRPr="00FA0D37">
        <w:t>is used to indicate DL PRS Processing Capability outside MG capabilities supported by the UE.</w:t>
      </w:r>
    </w:p>
    <w:p w14:paraId="1BA569DD" w14:textId="77777777" w:rsidR="00056A99" w:rsidRPr="00FA0D37" w:rsidRDefault="00056A99" w:rsidP="00DD246F">
      <w:pPr>
        <w:pStyle w:val="TH"/>
      </w:pPr>
      <w:r w:rsidRPr="00FA0D37">
        <w:rPr>
          <w:i/>
          <w:iCs/>
        </w:rPr>
        <w:t>PRS-ProcessingCapabilityOutsideMGinPPWperType</w:t>
      </w:r>
      <w:r w:rsidRPr="00FA0D37">
        <w:t xml:space="preserve"> information element</w:t>
      </w:r>
    </w:p>
    <w:p w14:paraId="3794C7CD" w14:textId="77777777" w:rsidR="00056A99" w:rsidRPr="00FA0D37" w:rsidRDefault="00056A99" w:rsidP="00FA0D37">
      <w:pPr>
        <w:pStyle w:val="PL"/>
        <w:rPr>
          <w:color w:val="808080"/>
        </w:rPr>
      </w:pPr>
      <w:r w:rsidRPr="00FA0D37">
        <w:rPr>
          <w:color w:val="808080"/>
        </w:rPr>
        <w:t>-- ASN1START</w:t>
      </w:r>
    </w:p>
    <w:p w14:paraId="7D5BCE95" w14:textId="77777777" w:rsidR="00056A99" w:rsidRPr="00FA0D37" w:rsidRDefault="00056A99" w:rsidP="00FA0D37">
      <w:pPr>
        <w:pStyle w:val="PL"/>
        <w:rPr>
          <w:color w:val="808080"/>
        </w:rPr>
      </w:pPr>
      <w:r w:rsidRPr="00FA0D37">
        <w:rPr>
          <w:color w:val="808080"/>
        </w:rPr>
        <w:t>-- TAG-PRS-PROCESSINGCAPABILITYOUTSIDEMGINPPWPERType-START</w:t>
      </w:r>
    </w:p>
    <w:p w14:paraId="461128FC" w14:textId="77777777" w:rsidR="00056A99" w:rsidRPr="00FA0D37" w:rsidRDefault="00056A99" w:rsidP="00FA0D37">
      <w:pPr>
        <w:pStyle w:val="PL"/>
      </w:pPr>
    </w:p>
    <w:p w14:paraId="1B5E12F5" w14:textId="78475868" w:rsidR="00056A99" w:rsidRPr="00FA0D37" w:rsidRDefault="00056A99" w:rsidP="00FA0D37">
      <w:pPr>
        <w:pStyle w:val="PL"/>
      </w:pPr>
      <w:r w:rsidRPr="00FA0D37">
        <w:t xml:space="preserve">PRS-ProcessingCapabilityOutsideMGinPPWperType-r17 ::= </w:t>
      </w:r>
      <w:r w:rsidRPr="00FA0D37">
        <w:rPr>
          <w:color w:val="993366"/>
        </w:rPr>
        <w:t>SEQUENCE</w:t>
      </w:r>
      <w:r w:rsidRPr="00FA0D37">
        <w:t xml:space="preserve"> {</w:t>
      </w:r>
    </w:p>
    <w:p w14:paraId="0309F874" w14:textId="33890F4C" w:rsidR="00056A99" w:rsidRPr="00FA0D37" w:rsidRDefault="00056A99" w:rsidP="00FA0D37">
      <w:pPr>
        <w:pStyle w:val="PL"/>
      </w:pPr>
      <w:r w:rsidRPr="00FA0D37">
        <w:t xml:space="preserve">    prsProcessingType-r17                                 </w:t>
      </w:r>
      <w:r w:rsidRPr="00FA0D37">
        <w:rPr>
          <w:color w:val="993366"/>
        </w:rPr>
        <w:t>ENUMERATED</w:t>
      </w:r>
      <w:r w:rsidRPr="00FA0D37">
        <w:t xml:space="preserve"> {type1A, type1B, type2},</w:t>
      </w:r>
    </w:p>
    <w:p w14:paraId="308D3D81" w14:textId="07ED617A" w:rsidR="00056A99" w:rsidRPr="00FA0D37" w:rsidRDefault="00056A99" w:rsidP="00FA0D37">
      <w:pPr>
        <w:pStyle w:val="PL"/>
      </w:pPr>
      <w:r w:rsidRPr="00FA0D37">
        <w:t xml:space="preserve">    ppw-dl-PRS-BufferType-r17                             </w:t>
      </w:r>
      <w:r w:rsidRPr="00FA0D37">
        <w:rPr>
          <w:color w:val="993366"/>
        </w:rPr>
        <w:t>ENUMERATED</w:t>
      </w:r>
      <w:r w:rsidRPr="00FA0D37">
        <w:t xml:space="preserve"> {type1, type2, ...},</w:t>
      </w:r>
    </w:p>
    <w:p w14:paraId="357D3CA8" w14:textId="7C020A49" w:rsidR="00056A99" w:rsidRPr="00FA0D37" w:rsidRDefault="00056A99" w:rsidP="00FA0D37">
      <w:pPr>
        <w:pStyle w:val="PL"/>
      </w:pPr>
      <w:r w:rsidRPr="00FA0D37">
        <w:t xml:space="preserve">    ppw-durationOfPRS-Processing-r17                      </w:t>
      </w:r>
      <w:r w:rsidRPr="00FA0D37">
        <w:rPr>
          <w:color w:val="993366"/>
        </w:rPr>
        <w:t>CHOICE</w:t>
      </w:r>
      <w:r w:rsidRPr="00FA0D37">
        <w:t xml:space="preserve"> {</w:t>
      </w:r>
    </w:p>
    <w:p w14:paraId="208CCBC1" w14:textId="0E41BD6D" w:rsidR="00056A99" w:rsidRPr="00FA0D37" w:rsidRDefault="00056A99" w:rsidP="00FA0D37">
      <w:pPr>
        <w:pStyle w:val="PL"/>
      </w:pPr>
      <w:r w:rsidRPr="00FA0D37">
        <w:t xml:space="preserve">        ppw-durationOfPRS-Processing1-r17                     </w:t>
      </w:r>
      <w:r w:rsidRPr="00FA0D37">
        <w:rPr>
          <w:color w:val="993366"/>
        </w:rPr>
        <w:t>SEQUENCE</w:t>
      </w:r>
      <w:r w:rsidRPr="00FA0D37">
        <w:t xml:space="preserve"> {</w:t>
      </w:r>
    </w:p>
    <w:p w14:paraId="645513F2" w14:textId="77777777" w:rsidR="00056A99" w:rsidRPr="00FA0D37" w:rsidRDefault="00056A99" w:rsidP="00FA0D37">
      <w:pPr>
        <w:pStyle w:val="PL"/>
      </w:pPr>
      <w:r w:rsidRPr="00FA0D37">
        <w:t xml:space="preserve">            ppw-durationOfPRS-ProcessingSymbolsN-r17              </w:t>
      </w:r>
      <w:r w:rsidRPr="00FA0D37">
        <w:rPr>
          <w:color w:val="993366"/>
        </w:rPr>
        <w:t>ENUMERATED</w:t>
      </w:r>
      <w:r w:rsidRPr="00FA0D37">
        <w:t xml:space="preserve"> {msDot125, msDot25, msDot5, ms1, ms2, ms4, ms6, ms8, ms12,</w:t>
      </w:r>
    </w:p>
    <w:p w14:paraId="0626CEB2" w14:textId="184F2597" w:rsidR="00056A99" w:rsidRPr="00FA0D37" w:rsidRDefault="00056A99" w:rsidP="00FA0D37">
      <w:pPr>
        <w:pStyle w:val="PL"/>
      </w:pPr>
      <w:r w:rsidRPr="00FA0D37">
        <w:t xml:space="preserve">                                                                              ms16, ms20, ms25, ms30, ms32, ms35</w:t>
      </w:r>
      <w:r w:rsidR="005538B5" w:rsidRPr="00FA0D37">
        <w:t>,</w:t>
      </w:r>
      <w:r w:rsidRPr="00FA0D37">
        <w:t xml:space="preserve"> ms40, ms45, ms50},</w:t>
      </w:r>
    </w:p>
    <w:p w14:paraId="19D443B4" w14:textId="14C6E618" w:rsidR="00056A99" w:rsidRPr="00FA0D37" w:rsidRDefault="00056A99" w:rsidP="00FA0D37">
      <w:pPr>
        <w:pStyle w:val="PL"/>
      </w:pPr>
      <w:r w:rsidRPr="00FA0D37">
        <w:t xml:space="preserve">            ppw-durationOfPRS-ProcessingSymbolsT-r17</w:t>
      </w:r>
      <w:r w:rsidR="00D20678" w:rsidRPr="00FA0D37">
        <w:t xml:space="preserve">              </w:t>
      </w:r>
      <w:r w:rsidRPr="00FA0D37">
        <w:rPr>
          <w:color w:val="993366"/>
        </w:rPr>
        <w:t>ENUMERATED</w:t>
      </w:r>
      <w:r w:rsidRPr="00FA0D37">
        <w:t xml:space="preserve"> {ms1, ms2, ms4, ms8, ms16, ms20, ms30, ms40, ms80,</w:t>
      </w:r>
    </w:p>
    <w:p w14:paraId="7F361D57" w14:textId="0C6427C3" w:rsidR="00056A99" w:rsidRPr="00FA0D37" w:rsidRDefault="00D20678" w:rsidP="00FA0D37">
      <w:pPr>
        <w:pStyle w:val="PL"/>
      </w:pPr>
      <w:r w:rsidRPr="00FA0D37">
        <w:t xml:space="preserve">                                                                              </w:t>
      </w:r>
      <w:r w:rsidR="00056A99" w:rsidRPr="00FA0D37">
        <w:t>ms160, ms320, ms640, ms1280}</w:t>
      </w:r>
    </w:p>
    <w:p w14:paraId="5A108159" w14:textId="5133B0A3" w:rsidR="00056A99" w:rsidRPr="00FA0D37" w:rsidRDefault="00056A99" w:rsidP="00FA0D37">
      <w:pPr>
        <w:pStyle w:val="PL"/>
      </w:pPr>
      <w:r w:rsidRPr="00FA0D37">
        <w:t xml:space="preserve">        },</w:t>
      </w:r>
    </w:p>
    <w:p w14:paraId="463F1F27" w14:textId="5756B618" w:rsidR="00056A99" w:rsidRPr="00FA0D37" w:rsidRDefault="00056A99" w:rsidP="00FA0D37">
      <w:pPr>
        <w:pStyle w:val="PL"/>
      </w:pPr>
      <w:r w:rsidRPr="00FA0D37">
        <w:t xml:space="preserve">        ppw-durationOfPRS-Processing2-r17</w:t>
      </w:r>
      <w:r w:rsidR="00D20678" w:rsidRPr="00FA0D37">
        <w:t xml:space="preserve">                     </w:t>
      </w:r>
      <w:r w:rsidRPr="00FA0D37">
        <w:rPr>
          <w:color w:val="993366"/>
        </w:rPr>
        <w:t>SEQUENCE</w:t>
      </w:r>
      <w:r w:rsidRPr="00FA0D37">
        <w:t xml:space="preserve"> {</w:t>
      </w:r>
    </w:p>
    <w:p w14:paraId="7E9B039D" w14:textId="6292129D" w:rsidR="00056A99" w:rsidRPr="00FA0D37" w:rsidRDefault="00056A99" w:rsidP="00FA0D37">
      <w:pPr>
        <w:pStyle w:val="PL"/>
      </w:pPr>
      <w:r w:rsidRPr="00FA0D37">
        <w:t xml:space="preserve">            ppw-durationOfPRS-ProcessingSymbolsN2-r17</w:t>
      </w:r>
      <w:r w:rsidR="00D20678" w:rsidRPr="00FA0D37">
        <w:t xml:space="preserve">             </w:t>
      </w:r>
      <w:r w:rsidRPr="00FA0D37">
        <w:rPr>
          <w:color w:val="993366"/>
        </w:rPr>
        <w:t>ENUMERATED</w:t>
      </w:r>
      <w:r w:rsidRPr="00FA0D37">
        <w:t xml:space="preserve"> {msDot125, msDot25, msDot5, ms1, ms2, ms3, ms4, ms5,</w:t>
      </w:r>
    </w:p>
    <w:p w14:paraId="1BE6A62F" w14:textId="207B1C30" w:rsidR="00056A99" w:rsidRPr="00FA0D37" w:rsidRDefault="00D20678" w:rsidP="00FA0D37">
      <w:pPr>
        <w:pStyle w:val="PL"/>
      </w:pPr>
      <w:r w:rsidRPr="00FA0D37">
        <w:t xml:space="preserve">                                                                              </w:t>
      </w:r>
      <w:r w:rsidR="00056A99" w:rsidRPr="00FA0D37">
        <w:t>ms6, ms8, ms12},</w:t>
      </w:r>
    </w:p>
    <w:p w14:paraId="7A820E32" w14:textId="6AC0F094" w:rsidR="00056A99" w:rsidRPr="00FA0D37" w:rsidRDefault="00056A99" w:rsidP="00FA0D37">
      <w:pPr>
        <w:pStyle w:val="PL"/>
      </w:pPr>
      <w:r w:rsidRPr="00FA0D37">
        <w:t xml:space="preserve">            ppw-durationOfPRS-ProcessingSymbolsT2-r17</w:t>
      </w:r>
      <w:r w:rsidR="00D20678" w:rsidRPr="00FA0D37">
        <w:t xml:space="preserve">             </w:t>
      </w:r>
      <w:r w:rsidRPr="00FA0D37">
        <w:rPr>
          <w:color w:val="993366"/>
        </w:rPr>
        <w:t>ENUMERATED</w:t>
      </w:r>
      <w:r w:rsidRPr="00FA0D37">
        <w:t xml:space="preserve"> {ms4, ms5, ms6, ms8}</w:t>
      </w:r>
    </w:p>
    <w:p w14:paraId="6A678C0C" w14:textId="01378872" w:rsidR="00056A99" w:rsidRPr="00FA0D37" w:rsidRDefault="00056A99" w:rsidP="00FA0D37">
      <w:pPr>
        <w:pStyle w:val="PL"/>
      </w:pPr>
      <w:r w:rsidRPr="00FA0D37">
        <w:t xml:space="preserve">        }</w:t>
      </w:r>
    </w:p>
    <w:p w14:paraId="21749A2D" w14:textId="3AAD5B4C" w:rsidR="00056A99" w:rsidRPr="00FA0D37" w:rsidRDefault="00056A99" w:rsidP="00FA0D37">
      <w:pPr>
        <w:pStyle w:val="PL"/>
      </w:pPr>
      <w:r w:rsidRPr="00FA0D37">
        <w:t xml:space="preserve">    }</w:t>
      </w:r>
      <w:r w:rsidR="00D20678" w:rsidRPr="00FA0D37">
        <w:t xml:space="preserve">                                                                                                                          </w:t>
      </w:r>
      <w:r w:rsidRPr="00FA0D37">
        <w:rPr>
          <w:color w:val="993366"/>
        </w:rPr>
        <w:t>OPTIONAL</w:t>
      </w:r>
      <w:r w:rsidRPr="00FA0D37">
        <w:t>,</w:t>
      </w:r>
    </w:p>
    <w:p w14:paraId="114B86D1" w14:textId="7B55F1B0" w:rsidR="00056A99" w:rsidRPr="00FA0D37" w:rsidRDefault="00056A99" w:rsidP="00FA0D37">
      <w:pPr>
        <w:pStyle w:val="PL"/>
      </w:pPr>
      <w:r w:rsidRPr="00FA0D37">
        <w:t xml:space="preserve">    ppw-maxNumOfDL-PRS-ResProcessedPerSlot-r17</w:t>
      </w:r>
      <w:r w:rsidR="00D20678" w:rsidRPr="00FA0D37">
        <w:t xml:space="preserve">            </w:t>
      </w:r>
      <w:r w:rsidRPr="00FA0D37">
        <w:rPr>
          <w:color w:val="993366"/>
        </w:rPr>
        <w:t>SEQUENCE</w:t>
      </w:r>
      <w:r w:rsidRPr="00FA0D37">
        <w:t xml:space="preserve"> {</w:t>
      </w:r>
    </w:p>
    <w:p w14:paraId="197FCAEF" w14:textId="69E797CE" w:rsidR="00056A99" w:rsidRPr="00FA0D37" w:rsidRDefault="00056A99" w:rsidP="00FA0D37">
      <w:pPr>
        <w:pStyle w:val="PL"/>
      </w:pPr>
      <w:r w:rsidRPr="00FA0D37">
        <w:t xml:space="preserve">        scs15-r17</w:t>
      </w:r>
      <w:r w:rsidR="00D20678" w:rsidRPr="00FA0D37">
        <w:t xml:space="preserve">                                             </w:t>
      </w:r>
      <w:r w:rsidRPr="00FA0D37">
        <w:rPr>
          <w:color w:val="993366"/>
        </w:rPr>
        <w:t>ENUMERATED</w:t>
      </w:r>
      <w:r w:rsidRPr="00FA0D37">
        <w:t xml:space="preserve"> {n1, n2, n4, n6, n8, n12, n16, n24, n32, n48, n64}    </w:t>
      </w:r>
      <w:r w:rsidRPr="00FA0D37">
        <w:rPr>
          <w:color w:val="993366"/>
        </w:rPr>
        <w:t>OPTIONAL</w:t>
      </w:r>
      <w:r w:rsidRPr="00FA0D37">
        <w:t>,</w:t>
      </w:r>
    </w:p>
    <w:p w14:paraId="5698DF7B" w14:textId="1D3DDC52" w:rsidR="00056A99" w:rsidRPr="00FA0D37" w:rsidRDefault="00056A99" w:rsidP="00FA0D37">
      <w:pPr>
        <w:pStyle w:val="PL"/>
      </w:pPr>
      <w:r w:rsidRPr="00FA0D37">
        <w:t xml:space="preserve">        scs30-r17</w:t>
      </w:r>
      <w:r w:rsidR="00D20678" w:rsidRPr="00FA0D37">
        <w:t xml:space="preserve">                                             </w:t>
      </w:r>
      <w:r w:rsidRPr="00FA0D37">
        <w:rPr>
          <w:color w:val="993366"/>
        </w:rPr>
        <w:t>ENUMERATED</w:t>
      </w:r>
      <w:r w:rsidRPr="00FA0D37">
        <w:t xml:space="preserve"> {n1, n2, n4, n6, n8, n12, n16, n24, n32, n48, n64}</w:t>
      </w:r>
      <w:r w:rsidR="00D20678" w:rsidRPr="00FA0D37">
        <w:t xml:space="preserve">    </w:t>
      </w:r>
      <w:r w:rsidRPr="00FA0D37">
        <w:rPr>
          <w:color w:val="993366"/>
        </w:rPr>
        <w:t>OPTIONAL</w:t>
      </w:r>
      <w:r w:rsidRPr="00FA0D37">
        <w:t>,</w:t>
      </w:r>
    </w:p>
    <w:p w14:paraId="41C2556A" w14:textId="1AF47590" w:rsidR="00056A99" w:rsidRPr="00FA0D37" w:rsidRDefault="00D20678" w:rsidP="00FA0D37">
      <w:pPr>
        <w:pStyle w:val="PL"/>
      </w:pPr>
      <w:r w:rsidRPr="00FA0D37">
        <w:t xml:space="preserve">        </w:t>
      </w:r>
      <w:r w:rsidR="00056A99" w:rsidRPr="00FA0D37">
        <w:t>scs60-r17</w:t>
      </w:r>
      <w:r w:rsidRPr="00FA0D37">
        <w:t xml:space="preserve">                                             </w:t>
      </w:r>
      <w:r w:rsidR="00056A99" w:rsidRPr="00FA0D37">
        <w:rPr>
          <w:color w:val="993366"/>
        </w:rPr>
        <w:t>ENUMERATED</w:t>
      </w:r>
      <w:r w:rsidR="00056A99" w:rsidRPr="00FA0D37">
        <w:t xml:space="preserve"> {n1, n2, n4, n6, n8, n12, n16, n24, n32, n48, n64}</w:t>
      </w:r>
      <w:r w:rsidRPr="00FA0D37">
        <w:t xml:space="preserve">    </w:t>
      </w:r>
      <w:r w:rsidR="00056A99" w:rsidRPr="00FA0D37">
        <w:rPr>
          <w:color w:val="993366"/>
        </w:rPr>
        <w:t>OPTIONAL</w:t>
      </w:r>
      <w:r w:rsidR="00056A99" w:rsidRPr="00FA0D37">
        <w:t>,</w:t>
      </w:r>
    </w:p>
    <w:p w14:paraId="57539448" w14:textId="0CCF10A1" w:rsidR="00056A99" w:rsidRPr="00FA0D37" w:rsidRDefault="00D20678" w:rsidP="00FA0D37">
      <w:pPr>
        <w:pStyle w:val="PL"/>
      </w:pPr>
      <w:r w:rsidRPr="00FA0D37">
        <w:t xml:space="preserve">        </w:t>
      </w:r>
      <w:r w:rsidR="00056A99" w:rsidRPr="00FA0D37">
        <w:t>scs120-r17</w:t>
      </w:r>
      <w:r w:rsidRPr="00FA0D37">
        <w:t xml:space="preserve">                                            </w:t>
      </w:r>
      <w:r w:rsidR="00056A99" w:rsidRPr="00FA0D37">
        <w:rPr>
          <w:color w:val="993366"/>
        </w:rPr>
        <w:t>ENUMERATED</w:t>
      </w:r>
      <w:r w:rsidR="00056A99" w:rsidRPr="00FA0D37">
        <w:t xml:space="preserve"> {n1, n2, n4, n6, n8, n12, n16, n24, n32, n48, n64}</w:t>
      </w:r>
      <w:r w:rsidRPr="00FA0D37">
        <w:t xml:space="preserve">    </w:t>
      </w:r>
      <w:r w:rsidR="00056A99" w:rsidRPr="00FA0D37">
        <w:rPr>
          <w:color w:val="993366"/>
        </w:rPr>
        <w:t>OPTIONAL</w:t>
      </w:r>
      <w:r w:rsidR="00973FD9" w:rsidRPr="00FA0D37">
        <w:t>,</w:t>
      </w:r>
    </w:p>
    <w:p w14:paraId="3C6C60A7" w14:textId="2C2A8181" w:rsidR="00056A99" w:rsidRPr="00FA0D37" w:rsidRDefault="00D20678" w:rsidP="00FA0D37">
      <w:pPr>
        <w:pStyle w:val="PL"/>
      </w:pPr>
      <w:r w:rsidRPr="00FA0D37">
        <w:t xml:space="preserve">        </w:t>
      </w:r>
      <w:r w:rsidR="00056A99" w:rsidRPr="00FA0D37">
        <w:t>...</w:t>
      </w:r>
    </w:p>
    <w:p w14:paraId="24C4BFFC" w14:textId="75CB9A87" w:rsidR="00056A99" w:rsidRPr="00FA0D37" w:rsidRDefault="00D20678" w:rsidP="00FA0D37">
      <w:pPr>
        <w:pStyle w:val="PL"/>
      </w:pPr>
      <w:r w:rsidRPr="00FA0D37">
        <w:t xml:space="preserve">    </w:t>
      </w:r>
      <w:r w:rsidR="00056A99" w:rsidRPr="00FA0D37">
        <w:t>},</w:t>
      </w:r>
    </w:p>
    <w:p w14:paraId="2B05EDCE" w14:textId="2D51A4B1" w:rsidR="00056A99" w:rsidRPr="00FA0D37" w:rsidRDefault="00D20678" w:rsidP="00FA0D37">
      <w:pPr>
        <w:pStyle w:val="PL"/>
      </w:pPr>
      <w:r w:rsidRPr="00FA0D37">
        <w:t xml:space="preserve">    </w:t>
      </w:r>
      <w:r w:rsidR="00056A99" w:rsidRPr="00FA0D37">
        <w:t>ppw-maxNumOfDL-Bandwidth-r17</w:t>
      </w:r>
      <w:r w:rsidRPr="00FA0D37">
        <w:t xml:space="preserve">                          </w:t>
      </w:r>
      <w:r w:rsidR="00056A99" w:rsidRPr="00FA0D37">
        <w:rPr>
          <w:color w:val="993366"/>
        </w:rPr>
        <w:t>CHOICE</w:t>
      </w:r>
      <w:r w:rsidR="00056A99" w:rsidRPr="00FA0D37">
        <w:t xml:space="preserve"> {</w:t>
      </w:r>
    </w:p>
    <w:p w14:paraId="1D80C7B6" w14:textId="20B1E5C1" w:rsidR="00056A99" w:rsidRPr="00FA0D37" w:rsidRDefault="00D20678" w:rsidP="00FA0D37">
      <w:pPr>
        <w:pStyle w:val="PL"/>
      </w:pPr>
      <w:r w:rsidRPr="00FA0D37">
        <w:lastRenderedPageBreak/>
        <w:t xml:space="preserve">        </w:t>
      </w:r>
      <w:r w:rsidR="00056A99" w:rsidRPr="00FA0D37">
        <w:t>fr1-r17</w:t>
      </w:r>
      <w:r w:rsidRPr="00FA0D37">
        <w:t xml:space="preserve">                                               </w:t>
      </w:r>
      <w:r w:rsidR="00056A99" w:rsidRPr="00FA0D37">
        <w:rPr>
          <w:color w:val="993366"/>
        </w:rPr>
        <w:t>ENUMERATED</w:t>
      </w:r>
      <w:r w:rsidR="00056A99" w:rsidRPr="00FA0D37">
        <w:t xml:space="preserve"> {mhz5, mhz10, mhz20, mhz40,</w:t>
      </w:r>
      <w:r w:rsidR="00056A99" w:rsidRPr="00FA0D37">
        <w:tab/>
        <w:t>mhz50, mhz80, mhz100},</w:t>
      </w:r>
    </w:p>
    <w:p w14:paraId="707A5CB8" w14:textId="43DD5704" w:rsidR="00056A99" w:rsidRPr="00FA0D37" w:rsidRDefault="00D20678" w:rsidP="00FA0D37">
      <w:pPr>
        <w:pStyle w:val="PL"/>
      </w:pPr>
      <w:r w:rsidRPr="00FA0D37">
        <w:t xml:space="preserve">        </w:t>
      </w:r>
      <w:r w:rsidR="00056A99" w:rsidRPr="00FA0D37">
        <w:t>fr2-r17</w:t>
      </w:r>
      <w:r w:rsidRPr="00FA0D37">
        <w:t xml:space="preserve">                                               </w:t>
      </w:r>
      <w:r w:rsidR="00056A99" w:rsidRPr="00FA0D37">
        <w:rPr>
          <w:color w:val="993366"/>
        </w:rPr>
        <w:t>ENUMERATED</w:t>
      </w:r>
      <w:r w:rsidR="00056A99" w:rsidRPr="00FA0D37">
        <w:t xml:space="preserve"> {mhz50, mhz100, mhz200, mhz400}</w:t>
      </w:r>
    </w:p>
    <w:p w14:paraId="2143E340" w14:textId="7C033B26" w:rsidR="00056A99" w:rsidRPr="00FA0D37" w:rsidRDefault="00D20678" w:rsidP="00FA0D37">
      <w:pPr>
        <w:pStyle w:val="PL"/>
      </w:pPr>
      <w:r w:rsidRPr="00FA0D37">
        <w:t xml:space="preserve">    </w:t>
      </w:r>
      <w:r w:rsidR="00056A99" w:rsidRPr="00FA0D37">
        <w:t>}</w:t>
      </w:r>
      <w:r w:rsidRPr="00FA0D37">
        <w:t xml:space="preserve">                                                                                                                          </w:t>
      </w:r>
      <w:r w:rsidR="00056A99" w:rsidRPr="00FA0D37">
        <w:rPr>
          <w:color w:val="993366"/>
        </w:rPr>
        <w:t>OPTIONAL</w:t>
      </w:r>
    </w:p>
    <w:p w14:paraId="4471D103" w14:textId="77777777" w:rsidR="00056A99" w:rsidRPr="00FA0D37" w:rsidRDefault="00056A99" w:rsidP="00FA0D37">
      <w:pPr>
        <w:pStyle w:val="PL"/>
      </w:pPr>
      <w:r w:rsidRPr="00FA0D37">
        <w:t>}</w:t>
      </w:r>
    </w:p>
    <w:p w14:paraId="5D6C33DC" w14:textId="77777777" w:rsidR="00056A99" w:rsidRPr="00FA0D37" w:rsidRDefault="00056A99" w:rsidP="00FA0D37">
      <w:pPr>
        <w:pStyle w:val="PL"/>
      </w:pPr>
    </w:p>
    <w:p w14:paraId="2F55C4B6" w14:textId="77777777" w:rsidR="00056A99" w:rsidRPr="00FA0D37" w:rsidRDefault="00056A99" w:rsidP="00FA0D37">
      <w:pPr>
        <w:pStyle w:val="PL"/>
        <w:rPr>
          <w:color w:val="808080"/>
        </w:rPr>
      </w:pPr>
      <w:r w:rsidRPr="00FA0D37">
        <w:rPr>
          <w:color w:val="808080"/>
        </w:rPr>
        <w:t>-- TAG-PRS-PROCESSINGCAPABILITYOUTSIDEMGINPPWPERType-STOP</w:t>
      </w:r>
    </w:p>
    <w:p w14:paraId="56B4F7E2" w14:textId="6BF84AAD" w:rsidR="00056A99" w:rsidRPr="00FA0D37" w:rsidRDefault="00056A99" w:rsidP="00FA0D37">
      <w:pPr>
        <w:pStyle w:val="PL"/>
        <w:rPr>
          <w:color w:val="808080"/>
        </w:rPr>
      </w:pPr>
      <w:r w:rsidRPr="00FA0D37">
        <w:rPr>
          <w:color w:val="808080"/>
        </w:rPr>
        <w:t>-- ASN1STOP</w:t>
      </w:r>
    </w:p>
    <w:p w14:paraId="112CEE5B" w14:textId="77777777" w:rsidR="00056A99" w:rsidRPr="00FA0D37" w:rsidRDefault="00056A99" w:rsidP="00394471"/>
    <w:p w14:paraId="489175B0" w14:textId="2414AA40" w:rsidR="00394471" w:rsidRPr="00FA0D37" w:rsidRDefault="00394471" w:rsidP="00394471">
      <w:pPr>
        <w:pStyle w:val="4"/>
      </w:pPr>
      <w:bookmarkStart w:id="1603" w:name="_Toc60777474"/>
      <w:bookmarkStart w:id="1604" w:name="_Toc146781580"/>
      <w:r w:rsidRPr="00FA0D37">
        <w:t>–</w:t>
      </w:r>
      <w:r w:rsidRPr="00FA0D37">
        <w:tab/>
      </w:r>
      <w:r w:rsidRPr="00FA0D37">
        <w:rPr>
          <w:i/>
          <w:noProof/>
        </w:rPr>
        <w:t>RAT-Type</w:t>
      </w:r>
      <w:bookmarkEnd w:id="1603"/>
      <w:bookmarkEnd w:id="1604"/>
    </w:p>
    <w:p w14:paraId="0F5CCC77" w14:textId="77777777" w:rsidR="00394471" w:rsidRPr="00FA0D37" w:rsidRDefault="00394471" w:rsidP="00394471">
      <w:r w:rsidRPr="00FA0D37">
        <w:t xml:space="preserve">The IE </w:t>
      </w:r>
      <w:r w:rsidRPr="00FA0D37">
        <w:rPr>
          <w:i/>
        </w:rPr>
        <w:t>RAT-Type</w:t>
      </w:r>
      <w:r w:rsidRPr="00FA0D37">
        <w:t xml:space="preserve"> is used to indicate the radio access technology (RAT), including NR, of the requested/transferred UE capabilities.</w:t>
      </w:r>
    </w:p>
    <w:p w14:paraId="761C9771" w14:textId="77777777" w:rsidR="00394471" w:rsidRPr="00FA0D37" w:rsidRDefault="00394471" w:rsidP="00394471">
      <w:pPr>
        <w:pStyle w:val="TH"/>
      </w:pPr>
      <w:r w:rsidRPr="00FA0D37">
        <w:rPr>
          <w:i/>
        </w:rPr>
        <w:t>RAT-Type</w:t>
      </w:r>
      <w:r w:rsidRPr="00FA0D37">
        <w:t xml:space="preserve"> information element</w:t>
      </w:r>
    </w:p>
    <w:p w14:paraId="41EABC51" w14:textId="77777777" w:rsidR="00394471" w:rsidRPr="00FA0D37" w:rsidRDefault="00394471" w:rsidP="00FA0D37">
      <w:pPr>
        <w:pStyle w:val="PL"/>
        <w:rPr>
          <w:color w:val="808080"/>
        </w:rPr>
      </w:pPr>
      <w:r w:rsidRPr="00FA0D37">
        <w:rPr>
          <w:color w:val="808080"/>
        </w:rPr>
        <w:t>-- ASN1START</w:t>
      </w:r>
    </w:p>
    <w:p w14:paraId="6547496A" w14:textId="77777777" w:rsidR="00394471" w:rsidRPr="00FA0D37" w:rsidRDefault="00394471" w:rsidP="00FA0D37">
      <w:pPr>
        <w:pStyle w:val="PL"/>
        <w:rPr>
          <w:color w:val="808080"/>
        </w:rPr>
      </w:pPr>
      <w:r w:rsidRPr="00FA0D37">
        <w:rPr>
          <w:color w:val="808080"/>
        </w:rPr>
        <w:t>-- TAG-RAT-TYPE-START</w:t>
      </w:r>
    </w:p>
    <w:p w14:paraId="7AD8471D" w14:textId="77777777" w:rsidR="00394471" w:rsidRPr="00FA0D37" w:rsidRDefault="00394471" w:rsidP="00FA0D37">
      <w:pPr>
        <w:pStyle w:val="PL"/>
      </w:pPr>
    </w:p>
    <w:p w14:paraId="562D1B0B" w14:textId="77777777" w:rsidR="00394471" w:rsidRPr="00FA0D37" w:rsidRDefault="00394471" w:rsidP="00FA0D37">
      <w:pPr>
        <w:pStyle w:val="PL"/>
      </w:pPr>
      <w:r w:rsidRPr="00FA0D37">
        <w:t xml:space="preserve">RAT-Type ::= </w:t>
      </w:r>
      <w:r w:rsidRPr="00FA0D37">
        <w:rPr>
          <w:color w:val="993366"/>
        </w:rPr>
        <w:t>ENUMERATED</w:t>
      </w:r>
      <w:r w:rsidRPr="00FA0D37">
        <w:t xml:space="preserve"> {nr, eutra-nr, eutra, utra-fdd-v1610, ...}</w:t>
      </w:r>
    </w:p>
    <w:p w14:paraId="1B736A69" w14:textId="77777777" w:rsidR="00394471" w:rsidRPr="00FA0D37" w:rsidRDefault="00394471" w:rsidP="00FA0D37">
      <w:pPr>
        <w:pStyle w:val="PL"/>
      </w:pPr>
    </w:p>
    <w:p w14:paraId="35C609D3" w14:textId="77777777" w:rsidR="00394471" w:rsidRPr="00FA0D37" w:rsidRDefault="00394471" w:rsidP="00FA0D37">
      <w:pPr>
        <w:pStyle w:val="PL"/>
        <w:rPr>
          <w:color w:val="808080"/>
        </w:rPr>
      </w:pPr>
      <w:r w:rsidRPr="00FA0D37">
        <w:rPr>
          <w:color w:val="808080"/>
        </w:rPr>
        <w:t>-- TAG-RAT-TYPE-STOP</w:t>
      </w:r>
    </w:p>
    <w:p w14:paraId="0973A8AA" w14:textId="77777777" w:rsidR="00394471" w:rsidRPr="00FA0D37" w:rsidRDefault="00394471" w:rsidP="00FA0D37">
      <w:pPr>
        <w:pStyle w:val="PL"/>
        <w:rPr>
          <w:color w:val="808080"/>
        </w:rPr>
      </w:pPr>
      <w:r w:rsidRPr="00FA0D37">
        <w:rPr>
          <w:color w:val="808080"/>
        </w:rPr>
        <w:t>-- ASN1STOP</w:t>
      </w:r>
    </w:p>
    <w:p w14:paraId="39355B78" w14:textId="77777777" w:rsidR="000B1FA4" w:rsidRPr="00FA0D37" w:rsidRDefault="000B1FA4" w:rsidP="000B1FA4"/>
    <w:p w14:paraId="4F02E269" w14:textId="411B9105" w:rsidR="000B1FA4" w:rsidRPr="00FA0D37" w:rsidRDefault="000B1FA4" w:rsidP="000830BB">
      <w:pPr>
        <w:pStyle w:val="4"/>
        <w:rPr>
          <w:i/>
          <w:iCs/>
        </w:rPr>
      </w:pPr>
      <w:bookmarkStart w:id="1605" w:name="_Toc146781581"/>
      <w:r w:rsidRPr="00FA0D37">
        <w:t>–</w:t>
      </w:r>
      <w:r w:rsidRPr="00FA0D37">
        <w:tab/>
      </w:r>
      <w:r w:rsidRPr="00FA0D37">
        <w:rPr>
          <w:i/>
          <w:iCs/>
          <w:noProof/>
        </w:rPr>
        <w:t>RedCapParameters</w:t>
      </w:r>
      <w:bookmarkEnd w:id="1605"/>
    </w:p>
    <w:p w14:paraId="3CB4AB7D" w14:textId="77777777" w:rsidR="000B1FA4" w:rsidRPr="00FA0D37" w:rsidRDefault="000B1FA4" w:rsidP="000B1FA4">
      <w:r w:rsidRPr="00FA0D37">
        <w:t xml:space="preserve">The IE </w:t>
      </w:r>
      <w:r w:rsidRPr="00FA0D37">
        <w:rPr>
          <w:i/>
        </w:rPr>
        <w:t>RedCapParameters</w:t>
      </w:r>
      <w:r w:rsidRPr="00FA0D37">
        <w:t xml:space="preserve"> is used to indicate the UE capabilities supported by RedCap UEs.</w:t>
      </w:r>
    </w:p>
    <w:p w14:paraId="7A23AFFA" w14:textId="77777777" w:rsidR="000B1FA4" w:rsidRPr="00FA0D37" w:rsidRDefault="000B1FA4" w:rsidP="000830BB">
      <w:pPr>
        <w:pStyle w:val="TH"/>
      </w:pPr>
      <w:r w:rsidRPr="00FA0D37">
        <w:rPr>
          <w:i/>
        </w:rPr>
        <w:t>RedCapParameters</w:t>
      </w:r>
      <w:r w:rsidRPr="00FA0D37">
        <w:t xml:space="preserve"> information element</w:t>
      </w:r>
    </w:p>
    <w:p w14:paraId="4622F44B" w14:textId="77777777" w:rsidR="000B1FA4" w:rsidRPr="00FA0D37" w:rsidRDefault="000B1FA4" w:rsidP="00FA0D37">
      <w:pPr>
        <w:pStyle w:val="PL"/>
        <w:rPr>
          <w:color w:val="808080"/>
        </w:rPr>
      </w:pPr>
      <w:r w:rsidRPr="00FA0D37">
        <w:rPr>
          <w:color w:val="808080"/>
        </w:rPr>
        <w:t>-- ASN1START</w:t>
      </w:r>
    </w:p>
    <w:p w14:paraId="4602BF6E" w14:textId="77777777" w:rsidR="000B1FA4" w:rsidRPr="00FA0D37" w:rsidRDefault="000B1FA4" w:rsidP="00FA0D37">
      <w:pPr>
        <w:pStyle w:val="PL"/>
        <w:rPr>
          <w:color w:val="808080"/>
        </w:rPr>
      </w:pPr>
      <w:r w:rsidRPr="00FA0D37">
        <w:rPr>
          <w:color w:val="808080"/>
        </w:rPr>
        <w:t>-- TAG-REDCAPPARAMETERS-START</w:t>
      </w:r>
    </w:p>
    <w:p w14:paraId="7276C529" w14:textId="77777777" w:rsidR="000B1FA4" w:rsidRPr="00FA0D37" w:rsidRDefault="000B1FA4" w:rsidP="00FA0D37">
      <w:pPr>
        <w:pStyle w:val="PL"/>
      </w:pPr>
    </w:p>
    <w:p w14:paraId="5176ACCE" w14:textId="3905DE4D" w:rsidR="000B1FA4" w:rsidRPr="00FA0D37" w:rsidRDefault="000B1FA4" w:rsidP="00FA0D37">
      <w:pPr>
        <w:pStyle w:val="PL"/>
      </w:pPr>
      <w:r w:rsidRPr="00FA0D37">
        <w:t xml:space="preserve">RedCapParameters-r17::=                   </w:t>
      </w:r>
      <w:r w:rsidRPr="00FA0D37">
        <w:rPr>
          <w:color w:val="993366"/>
        </w:rPr>
        <w:t>SEQUENCE</w:t>
      </w:r>
      <w:r w:rsidRPr="00FA0D37">
        <w:t xml:space="preserve"> {</w:t>
      </w:r>
    </w:p>
    <w:p w14:paraId="176653E3" w14:textId="45444C32" w:rsidR="004B4E41" w:rsidRPr="00FA0D37" w:rsidRDefault="004B4E41" w:rsidP="00FA0D37">
      <w:pPr>
        <w:pStyle w:val="PL"/>
        <w:rPr>
          <w:color w:val="808080"/>
        </w:rPr>
      </w:pPr>
      <w:r w:rsidRPr="00FA0D37">
        <w:t xml:space="preserve">    </w:t>
      </w:r>
      <w:r w:rsidRPr="00FA0D37">
        <w:rPr>
          <w:color w:val="808080"/>
        </w:rPr>
        <w:t>-- R1 28-1: RedCap UE</w:t>
      </w:r>
    </w:p>
    <w:p w14:paraId="50D03EDD" w14:textId="4A14B4BB" w:rsidR="000B1FA4" w:rsidRPr="00FA0D37" w:rsidRDefault="000B1FA4" w:rsidP="00FA0D37">
      <w:pPr>
        <w:pStyle w:val="PL"/>
        <w:rPr>
          <w:rFonts w:eastAsia="MS Mincho"/>
        </w:rPr>
      </w:pPr>
      <w:r w:rsidRPr="00FA0D37">
        <w:t xml:space="preserve">    supportOfRedCap-r17                       </w:t>
      </w:r>
      <w:r w:rsidRPr="00FA0D37">
        <w:rPr>
          <w:color w:val="993366"/>
        </w:rPr>
        <w:t>ENUMERATED</w:t>
      </w:r>
      <w:r w:rsidRPr="00FA0D37">
        <w:t xml:space="preserve"> {supported}                                      </w:t>
      </w:r>
      <w:r w:rsidRPr="00FA0D37">
        <w:rPr>
          <w:color w:val="993366"/>
        </w:rPr>
        <w:t>OPTIONAL</w:t>
      </w:r>
      <w:r w:rsidRPr="00FA0D37">
        <w:t>,</w:t>
      </w:r>
    </w:p>
    <w:p w14:paraId="600890EE" w14:textId="20E1E19E" w:rsidR="000B1FA4" w:rsidRPr="00FA0D37" w:rsidRDefault="000B1FA4" w:rsidP="00FA0D37">
      <w:pPr>
        <w:pStyle w:val="PL"/>
        <w:rPr>
          <w:rFonts w:eastAsia="MS Mincho"/>
        </w:rPr>
      </w:pPr>
      <w:r w:rsidRPr="00FA0D37">
        <w:t xml:space="preserve">    supportOf16DRB-RedCap-r17                 </w:t>
      </w:r>
      <w:r w:rsidRPr="00FA0D37">
        <w:rPr>
          <w:color w:val="993366"/>
        </w:rPr>
        <w:t>ENUMERATED</w:t>
      </w:r>
      <w:r w:rsidRPr="00FA0D37">
        <w:t xml:space="preserve"> {supported}                                      </w:t>
      </w:r>
      <w:r w:rsidRPr="00FA0D37">
        <w:rPr>
          <w:color w:val="993366"/>
        </w:rPr>
        <w:t>OPTIONAL</w:t>
      </w:r>
    </w:p>
    <w:p w14:paraId="43ACE2D6" w14:textId="77777777" w:rsidR="000B1FA4" w:rsidRPr="00FA0D37" w:rsidRDefault="000B1FA4" w:rsidP="00FA0D37">
      <w:pPr>
        <w:pStyle w:val="PL"/>
        <w:rPr>
          <w:rFonts w:eastAsia="MS Mincho"/>
        </w:rPr>
      </w:pPr>
      <w:r w:rsidRPr="00FA0D37">
        <w:rPr>
          <w:rFonts w:eastAsia="MS Mincho"/>
        </w:rPr>
        <w:t>}</w:t>
      </w:r>
    </w:p>
    <w:p w14:paraId="4C26089C" w14:textId="77777777" w:rsidR="006658B2" w:rsidRPr="00FA0D37" w:rsidRDefault="006658B2" w:rsidP="00FA0D37">
      <w:pPr>
        <w:pStyle w:val="PL"/>
      </w:pPr>
    </w:p>
    <w:p w14:paraId="6A2531DE" w14:textId="77777777" w:rsidR="006658B2" w:rsidRPr="00FA0D37" w:rsidRDefault="006658B2" w:rsidP="00FA0D37">
      <w:pPr>
        <w:pStyle w:val="PL"/>
      </w:pPr>
      <w:bookmarkStart w:id="1606" w:name="_Hlk130562754"/>
      <w:r w:rsidRPr="00FA0D37">
        <w:t xml:space="preserve">RedCapParameters-v1740::=                 </w:t>
      </w:r>
      <w:r w:rsidRPr="00FA0D37">
        <w:rPr>
          <w:color w:val="993366"/>
        </w:rPr>
        <w:t>SEQUENCE</w:t>
      </w:r>
      <w:r w:rsidRPr="00FA0D37">
        <w:t xml:space="preserve"> {</w:t>
      </w:r>
    </w:p>
    <w:p w14:paraId="2FF712C0" w14:textId="436D7EB3" w:rsidR="006658B2" w:rsidRPr="00FA0D37" w:rsidRDefault="006658B2" w:rsidP="00FA0D37">
      <w:pPr>
        <w:pStyle w:val="PL"/>
      </w:pPr>
      <w:r w:rsidRPr="00FA0D37">
        <w:t xml:space="preserve">    </w:t>
      </w:r>
      <w:bookmarkStart w:id="1607" w:name="_Hlk130557812"/>
      <w:r w:rsidRPr="00FA0D37">
        <w:t>ncd-SSB-</w:t>
      </w:r>
      <w:r w:rsidR="00C56DE7" w:rsidRPr="00FA0D37">
        <w:t>F</w:t>
      </w:r>
      <w:r w:rsidRPr="00FA0D37">
        <w:t>orRedCapInitialBWP-SDT</w:t>
      </w:r>
      <w:bookmarkEnd w:id="1607"/>
      <w:r w:rsidRPr="00FA0D37">
        <w:t xml:space="preserve">-r17       </w:t>
      </w:r>
      <w:r w:rsidRPr="00FA0D37">
        <w:rPr>
          <w:color w:val="993366"/>
        </w:rPr>
        <w:t>ENUMERATED</w:t>
      </w:r>
      <w:r w:rsidRPr="00FA0D37">
        <w:t xml:space="preserve"> {supported}                                      </w:t>
      </w:r>
      <w:r w:rsidRPr="00FA0D37">
        <w:rPr>
          <w:color w:val="993366"/>
        </w:rPr>
        <w:t>OPTIONAL</w:t>
      </w:r>
    </w:p>
    <w:p w14:paraId="34972851" w14:textId="77777777" w:rsidR="006658B2" w:rsidRPr="00FA0D37" w:rsidRDefault="006658B2" w:rsidP="00FA0D37">
      <w:pPr>
        <w:pStyle w:val="PL"/>
        <w:rPr>
          <w:rFonts w:eastAsia="MS Mincho"/>
        </w:rPr>
      </w:pPr>
      <w:r w:rsidRPr="00FA0D37">
        <w:rPr>
          <w:rFonts w:eastAsia="MS Mincho"/>
        </w:rPr>
        <w:t>}</w:t>
      </w:r>
    </w:p>
    <w:bookmarkEnd w:id="1606"/>
    <w:p w14:paraId="09135520" w14:textId="77777777" w:rsidR="000B1FA4" w:rsidRPr="00FA0D37" w:rsidRDefault="000B1FA4" w:rsidP="00FA0D37">
      <w:pPr>
        <w:pStyle w:val="PL"/>
      </w:pPr>
    </w:p>
    <w:p w14:paraId="45B55071" w14:textId="77777777" w:rsidR="000B1FA4" w:rsidRPr="00FA0D37" w:rsidRDefault="000B1FA4" w:rsidP="00FA0D37">
      <w:pPr>
        <w:pStyle w:val="PL"/>
        <w:rPr>
          <w:color w:val="808080"/>
        </w:rPr>
      </w:pPr>
      <w:r w:rsidRPr="00FA0D37">
        <w:rPr>
          <w:color w:val="808080"/>
        </w:rPr>
        <w:t>-- TAG-REDCAPPARAMETERS-STOP</w:t>
      </w:r>
    </w:p>
    <w:p w14:paraId="57DBD225" w14:textId="77777777" w:rsidR="000B1FA4" w:rsidRPr="00FA0D37" w:rsidRDefault="000B1FA4" w:rsidP="00FA0D37">
      <w:pPr>
        <w:pStyle w:val="PL"/>
        <w:rPr>
          <w:color w:val="808080"/>
        </w:rPr>
      </w:pPr>
      <w:r w:rsidRPr="00FA0D37">
        <w:rPr>
          <w:color w:val="808080"/>
        </w:rPr>
        <w:t>-- ASN1STOP</w:t>
      </w:r>
    </w:p>
    <w:p w14:paraId="22BD821A" w14:textId="77777777" w:rsidR="000B1FA4" w:rsidRPr="00FA0D37" w:rsidRDefault="000B1FA4" w:rsidP="00394471"/>
    <w:p w14:paraId="4B255D33" w14:textId="7D434554" w:rsidR="00394471" w:rsidRPr="00FA0D37" w:rsidRDefault="00394471" w:rsidP="00394471">
      <w:pPr>
        <w:pStyle w:val="4"/>
        <w:rPr>
          <w:rFonts w:eastAsia="Malgun Gothic"/>
        </w:rPr>
      </w:pPr>
      <w:bookmarkStart w:id="1608" w:name="_Toc60777475"/>
      <w:bookmarkStart w:id="1609" w:name="_Toc146781582"/>
      <w:r w:rsidRPr="00FA0D37">
        <w:rPr>
          <w:rFonts w:eastAsia="Malgun Gothic"/>
        </w:rPr>
        <w:lastRenderedPageBreak/>
        <w:t>–</w:t>
      </w:r>
      <w:r w:rsidRPr="00FA0D37">
        <w:rPr>
          <w:rFonts w:eastAsia="Malgun Gothic"/>
        </w:rPr>
        <w:tab/>
      </w:r>
      <w:r w:rsidRPr="00FA0D37">
        <w:rPr>
          <w:rFonts w:eastAsia="Malgun Gothic"/>
          <w:i/>
        </w:rPr>
        <w:t>RF-Parameters</w:t>
      </w:r>
      <w:bookmarkEnd w:id="1608"/>
      <w:bookmarkEnd w:id="1609"/>
    </w:p>
    <w:p w14:paraId="737546B0" w14:textId="77777777" w:rsidR="00394471" w:rsidRPr="00FA0D37" w:rsidRDefault="00394471" w:rsidP="00394471">
      <w:pPr>
        <w:rPr>
          <w:rFonts w:eastAsia="Malgun Gothic"/>
        </w:rPr>
      </w:pPr>
      <w:r w:rsidRPr="00FA0D37">
        <w:rPr>
          <w:rFonts w:eastAsia="Malgun Gothic"/>
        </w:rPr>
        <w:t xml:space="preserve">The IE </w:t>
      </w:r>
      <w:r w:rsidRPr="00FA0D37">
        <w:rPr>
          <w:rFonts w:eastAsia="Malgun Gothic"/>
          <w:i/>
        </w:rPr>
        <w:t>RF-Parameters</w:t>
      </w:r>
      <w:r w:rsidRPr="00FA0D37">
        <w:rPr>
          <w:rFonts w:eastAsia="Malgun Gothic"/>
        </w:rPr>
        <w:t xml:space="preserve"> is used to convey RF-related capabilities for NR operation.</w:t>
      </w:r>
    </w:p>
    <w:p w14:paraId="7525D3FB" w14:textId="77777777" w:rsidR="00394471" w:rsidRPr="00FA0D37" w:rsidRDefault="00394471" w:rsidP="00394471">
      <w:pPr>
        <w:pStyle w:val="TH"/>
        <w:rPr>
          <w:rFonts w:eastAsia="Malgun Gothic"/>
        </w:rPr>
      </w:pPr>
      <w:r w:rsidRPr="00FA0D37">
        <w:rPr>
          <w:rFonts w:eastAsia="Malgun Gothic"/>
          <w:i/>
        </w:rPr>
        <w:t>RF-Parameters</w:t>
      </w:r>
      <w:r w:rsidRPr="00FA0D37">
        <w:rPr>
          <w:rFonts w:eastAsia="Malgun Gothic"/>
        </w:rPr>
        <w:t xml:space="preserve"> information element</w:t>
      </w:r>
    </w:p>
    <w:p w14:paraId="474242BD" w14:textId="77777777" w:rsidR="00394471" w:rsidRPr="00FA0D37" w:rsidRDefault="00394471" w:rsidP="00FA0D37">
      <w:pPr>
        <w:pStyle w:val="PL"/>
        <w:rPr>
          <w:color w:val="808080"/>
        </w:rPr>
      </w:pPr>
      <w:r w:rsidRPr="00FA0D37">
        <w:rPr>
          <w:color w:val="808080"/>
        </w:rPr>
        <w:t>-- ASN1START</w:t>
      </w:r>
    </w:p>
    <w:p w14:paraId="54071E8E" w14:textId="77777777" w:rsidR="00394471" w:rsidRPr="00FA0D37" w:rsidRDefault="00394471" w:rsidP="00FA0D37">
      <w:pPr>
        <w:pStyle w:val="PL"/>
        <w:rPr>
          <w:color w:val="808080"/>
        </w:rPr>
      </w:pPr>
      <w:r w:rsidRPr="00FA0D37">
        <w:rPr>
          <w:color w:val="808080"/>
        </w:rPr>
        <w:t>-- TAG-RF-PARAMETERS-START</w:t>
      </w:r>
    </w:p>
    <w:p w14:paraId="302C1BE2" w14:textId="77777777" w:rsidR="00394471" w:rsidRPr="00FA0D37" w:rsidRDefault="00394471" w:rsidP="00FA0D37">
      <w:pPr>
        <w:pStyle w:val="PL"/>
      </w:pPr>
    </w:p>
    <w:p w14:paraId="27366EF7" w14:textId="77777777" w:rsidR="00394471" w:rsidRPr="00FA0D37" w:rsidRDefault="00394471" w:rsidP="00FA0D37">
      <w:pPr>
        <w:pStyle w:val="PL"/>
      </w:pPr>
      <w:r w:rsidRPr="00FA0D37">
        <w:t xml:space="preserve">RF-Parameters ::=                                   </w:t>
      </w:r>
      <w:r w:rsidRPr="00FA0D37">
        <w:rPr>
          <w:color w:val="993366"/>
        </w:rPr>
        <w:t>SEQUENCE</w:t>
      </w:r>
      <w:r w:rsidRPr="00FA0D37">
        <w:t xml:space="preserve"> {</w:t>
      </w:r>
    </w:p>
    <w:p w14:paraId="6E4BC69B" w14:textId="77777777" w:rsidR="00394471" w:rsidRPr="00FA0D37" w:rsidRDefault="00394471" w:rsidP="00FA0D37">
      <w:pPr>
        <w:pStyle w:val="PL"/>
      </w:pPr>
      <w:r w:rsidRPr="00FA0D37">
        <w:t xml:space="preserve">    supportedBandListNR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BandNR,</w:t>
      </w:r>
    </w:p>
    <w:p w14:paraId="6C0F1015" w14:textId="77777777" w:rsidR="00394471" w:rsidRPr="00FA0D37" w:rsidRDefault="00394471" w:rsidP="00FA0D37">
      <w:pPr>
        <w:pStyle w:val="PL"/>
      </w:pPr>
      <w:r w:rsidRPr="00FA0D37">
        <w:t xml:space="preserve">    supportedBandCombinationList                        BandCombinationList                         </w:t>
      </w:r>
      <w:r w:rsidRPr="00FA0D37">
        <w:rPr>
          <w:color w:val="993366"/>
        </w:rPr>
        <w:t>OPTIONAL</w:t>
      </w:r>
      <w:r w:rsidRPr="00FA0D37">
        <w:t>,</w:t>
      </w:r>
    </w:p>
    <w:p w14:paraId="18E8E580" w14:textId="77777777" w:rsidR="00394471" w:rsidRPr="00FA0D37" w:rsidRDefault="00394471" w:rsidP="00FA0D37">
      <w:pPr>
        <w:pStyle w:val="PL"/>
      </w:pPr>
      <w:r w:rsidRPr="00FA0D37">
        <w:t xml:space="preserve">    appliedFreqBandListFilter                           FreqBandList                                </w:t>
      </w:r>
      <w:r w:rsidRPr="00FA0D37">
        <w:rPr>
          <w:color w:val="993366"/>
        </w:rPr>
        <w:t>OPTIONAL</w:t>
      </w:r>
      <w:r w:rsidRPr="00FA0D37">
        <w:t>,</w:t>
      </w:r>
    </w:p>
    <w:p w14:paraId="39B91A52" w14:textId="77777777" w:rsidR="00394471" w:rsidRPr="00FA0D37" w:rsidRDefault="00394471" w:rsidP="00FA0D37">
      <w:pPr>
        <w:pStyle w:val="PL"/>
      </w:pPr>
      <w:r w:rsidRPr="00FA0D37">
        <w:t xml:space="preserve">    ...,</w:t>
      </w:r>
    </w:p>
    <w:p w14:paraId="0D3385D2" w14:textId="77777777" w:rsidR="00394471" w:rsidRPr="00FA0D37" w:rsidRDefault="00394471" w:rsidP="00FA0D37">
      <w:pPr>
        <w:pStyle w:val="PL"/>
      </w:pPr>
      <w:r w:rsidRPr="00FA0D37">
        <w:t xml:space="preserve">    [[</w:t>
      </w:r>
    </w:p>
    <w:p w14:paraId="0CA18E74" w14:textId="77777777" w:rsidR="00394471" w:rsidRPr="00FA0D37" w:rsidRDefault="00394471" w:rsidP="00FA0D37">
      <w:pPr>
        <w:pStyle w:val="PL"/>
      </w:pPr>
      <w:r w:rsidRPr="00FA0D37">
        <w:t xml:space="preserve">    supportedBandCombinationList-v1540                  BandCombinationList-v1540                   </w:t>
      </w:r>
      <w:r w:rsidRPr="00FA0D37">
        <w:rPr>
          <w:color w:val="993366"/>
        </w:rPr>
        <w:t>OPTIONAL</w:t>
      </w:r>
      <w:r w:rsidRPr="00FA0D37">
        <w:t>,</w:t>
      </w:r>
    </w:p>
    <w:p w14:paraId="2CE29E5B" w14:textId="77777777" w:rsidR="00394471" w:rsidRPr="00FA0D37" w:rsidRDefault="00394471" w:rsidP="00FA0D37">
      <w:pPr>
        <w:pStyle w:val="PL"/>
      </w:pPr>
      <w:r w:rsidRPr="00FA0D37">
        <w:t xml:space="preserve">    srs-SwitchingTimeRequested                          </w:t>
      </w:r>
      <w:r w:rsidRPr="00FA0D37">
        <w:rPr>
          <w:color w:val="993366"/>
        </w:rPr>
        <w:t>ENUMERATED</w:t>
      </w:r>
      <w:r w:rsidRPr="00FA0D37">
        <w:t xml:space="preserve"> {true}                           </w:t>
      </w:r>
      <w:r w:rsidRPr="00FA0D37">
        <w:rPr>
          <w:color w:val="993366"/>
        </w:rPr>
        <w:t>OPTIONAL</w:t>
      </w:r>
    </w:p>
    <w:p w14:paraId="0CE1D4F7" w14:textId="77777777" w:rsidR="00394471" w:rsidRPr="00FA0D37" w:rsidRDefault="00394471" w:rsidP="00FA0D37">
      <w:pPr>
        <w:pStyle w:val="PL"/>
      </w:pPr>
      <w:r w:rsidRPr="00FA0D37">
        <w:t xml:space="preserve">    ]],</w:t>
      </w:r>
    </w:p>
    <w:p w14:paraId="4EB3BB48" w14:textId="77777777" w:rsidR="00394471" w:rsidRPr="00FA0D37" w:rsidRDefault="00394471" w:rsidP="00FA0D37">
      <w:pPr>
        <w:pStyle w:val="PL"/>
      </w:pPr>
      <w:r w:rsidRPr="00FA0D37">
        <w:t xml:space="preserve">    [[</w:t>
      </w:r>
    </w:p>
    <w:p w14:paraId="602491CB" w14:textId="77777777" w:rsidR="00394471" w:rsidRPr="00FA0D37" w:rsidRDefault="00394471" w:rsidP="00FA0D37">
      <w:pPr>
        <w:pStyle w:val="PL"/>
      </w:pPr>
      <w:r w:rsidRPr="00FA0D37">
        <w:t xml:space="preserve">    supportedBandCombinationList-v1550                  BandCombinationList-v1550                   </w:t>
      </w:r>
      <w:r w:rsidRPr="00FA0D37">
        <w:rPr>
          <w:color w:val="993366"/>
        </w:rPr>
        <w:t>OPTIONAL</w:t>
      </w:r>
    </w:p>
    <w:p w14:paraId="75FA1460" w14:textId="77777777" w:rsidR="00394471" w:rsidRPr="00FA0D37" w:rsidRDefault="00394471" w:rsidP="00FA0D37">
      <w:pPr>
        <w:pStyle w:val="PL"/>
      </w:pPr>
      <w:r w:rsidRPr="00FA0D37">
        <w:t xml:space="preserve">    ]],</w:t>
      </w:r>
    </w:p>
    <w:p w14:paraId="15EC9BD7" w14:textId="77777777" w:rsidR="00394471" w:rsidRPr="00FA0D37" w:rsidRDefault="00394471" w:rsidP="00FA0D37">
      <w:pPr>
        <w:pStyle w:val="PL"/>
      </w:pPr>
      <w:r w:rsidRPr="00FA0D37">
        <w:t xml:space="preserve">    [[</w:t>
      </w:r>
    </w:p>
    <w:p w14:paraId="31234F6A" w14:textId="77777777" w:rsidR="00394471" w:rsidRPr="00FA0D37" w:rsidRDefault="00394471" w:rsidP="00FA0D37">
      <w:pPr>
        <w:pStyle w:val="PL"/>
      </w:pPr>
      <w:r w:rsidRPr="00FA0D37">
        <w:t xml:space="preserve">    supportedBandCombinationList-v1560                  BandCombinationList-v1560                   </w:t>
      </w:r>
      <w:r w:rsidRPr="00FA0D37">
        <w:rPr>
          <w:color w:val="993366"/>
        </w:rPr>
        <w:t>OPTIONAL</w:t>
      </w:r>
    </w:p>
    <w:p w14:paraId="32AA53D9" w14:textId="77777777" w:rsidR="00394471" w:rsidRPr="00FA0D37" w:rsidRDefault="00394471" w:rsidP="00FA0D37">
      <w:pPr>
        <w:pStyle w:val="PL"/>
      </w:pPr>
      <w:r w:rsidRPr="00FA0D37">
        <w:t xml:space="preserve">    ]],</w:t>
      </w:r>
    </w:p>
    <w:p w14:paraId="4B5F8A77" w14:textId="77777777" w:rsidR="00394471" w:rsidRPr="00FA0D37" w:rsidRDefault="00394471" w:rsidP="00FA0D37">
      <w:pPr>
        <w:pStyle w:val="PL"/>
      </w:pPr>
      <w:r w:rsidRPr="00FA0D37">
        <w:t xml:space="preserve">    [[</w:t>
      </w:r>
    </w:p>
    <w:p w14:paraId="2B4FE0E2" w14:textId="77777777" w:rsidR="00394471" w:rsidRPr="00FA0D37" w:rsidRDefault="00394471" w:rsidP="00FA0D37">
      <w:pPr>
        <w:pStyle w:val="PL"/>
      </w:pPr>
      <w:r w:rsidRPr="00FA0D37">
        <w:t xml:space="preserve">    supportedBandCombinationList-v1610                  BandCombinationList-v1610                   </w:t>
      </w:r>
      <w:r w:rsidRPr="00FA0D37">
        <w:rPr>
          <w:color w:val="993366"/>
        </w:rPr>
        <w:t>OPTIONAL</w:t>
      </w:r>
      <w:r w:rsidRPr="00FA0D37">
        <w:t>,</w:t>
      </w:r>
    </w:p>
    <w:p w14:paraId="3272F5ED" w14:textId="77777777" w:rsidR="00394471" w:rsidRPr="00FA0D37" w:rsidRDefault="00394471" w:rsidP="00FA0D37">
      <w:pPr>
        <w:pStyle w:val="PL"/>
      </w:pPr>
      <w:r w:rsidRPr="00FA0D37">
        <w:t xml:space="preserve">    supportedBandCombinationListSidelinkEUTRA-NR-r16    BandCombinationListSidelinkEUTRA-NR-r16     </w:t>
      </w:r>
      <w:r w:rsidRPr="00FA0D37">
        <w:rPr>
          <w:color w:val="993366"/>
        </w:rPr>
        <w:t>OPTIONAL</w:t>
      </w:r>
      <w:r w:rsidRPr="00FA0D37">
        <w:t>,</w:t>
      </w:r>
    </w:p>
    <w:p w14:paraId="7F5144EF" w14:textId="77777777" w:rsidR="00394471" w:rsidRPr="00FA0D37" w:rsidRDefault="00394471" w:rsidP="00FA0D37">
      <w:pPr>
        <w:pStyle w:val="PL"/>
      </w:pPr>
      <w:r w:rsidRPr="00FA0D37">
        <w:t xml:space="preserve">    supportedBandCombinationList-UplinkTxSwitch-r16     BandCombinationList-UplinkTxSwitch-r16      </w:t>
      </w:r>
      <w:r w:rsidRPr="00FA0D37">
        <w:rPr>
          <w:color w:val="993366"/>
        </w:rPr>
        <w:t>OPTIONAL</w:t>
      </w:r>
    </w:p>
    <w:p w14:paraId="6BCE7BBC" w14:textId="47FE97E4" w:rsidR="00394471" w:rsidRPr="00FA0D37" w:rsidRDefault="00394471" w:rsidP="00FA0D37">
      <w:pPr>
        <w:pStyle w:val="PL"/>
      </w:pPr>
      <w:r w:rsidRPr="00FA0D37">
        <w:t xml:space="preserve">    ]]</w:t>
      </w:r>
      <w:r w:rsidR="00112234" w:rsidRPr="00FA0D37">
        <w:t>,</w:t>
      </w:r>
    </w:p>
    <w:p w14:paraId="6711BEE5" w14:textId="0ED772DF" w:rsidR="00D027C1" w:rsidRPr="00FA0D37" w:rsidRDefault="00D027C1" w:rsidP="00FA0D37">
      <w:pPr>
        <w:pStyle w:val="PL"/>
      </w:pPr>
      <w:r w:rsidRPr="00FA0D37">
        <w:t xml:space="preserve">    [[</w:t>
      </w:r>
    </w:p>
    <w:p w14:paraId="2ED5378D" w14:textId="651AA07B" w:rsidR="00D027C1" w:rsidRPr="00FA0D37" w:rsidRDefault="00D027C1" w:rsidP="00FA0D37">
      <w:pPr>
        <w:pStyle w:val="PL"/>
      </w:pPr>
      <w:r w:rsidRPr="00FA0D37">
        <w:t xml:space="preserve">    supportedBandCombinationList</w:t>
      </w:r>
      <w:r w:rsidR="003B657B" w:rsidRPr="00FA0D37">
        <w:t>-v1630</w:t>
      </w:r>
      <w:r w:rsidRPr="00FA0D37">
        <w:t xml:space="preserve">                  BandCombinationList</w:t>
      </w:r>
      <w:r w:rsidR="003B657B" w:rsidRPr="00FA0D37">
        <w:t>-v1630</w:t>
      </w:r>
      <w:r w:rsidRPr="00FA0D37">
        <w:t xml:space="preserve">                   </w:t>
      </w:r>
      <w:r w:rsidRPr="00FA0D37">
        <w:rPr>
          <w:color w:val="993366"/>
        </w:rPr>
        <w:t>OPTIONAL</w:t>
      </w:r>
      <w:r w:rsidRPr="00FA0D37">
        <w:t>,</w:t>
      </w:r>
    </w:p>
    <w:p w14:paraId="44C0E654" w14:textId="09827150" w:rsidR="00D027C1" w:rsidRPr="00FA0D37" w:rsidRDefault="00D027C1" w:rsidP="00FA0D37">
      <w:pPr>
        <w:pStyle w:val="PL"/>
      </w:pPr>
      <w:r w:rsidRPr="00FA0D37">
        <w:t xml:space="preserve">    supportedBandCombinationListSidelinkEUTRA-NR</w:t>
      </w:r>
      <w:r w:rsidR="003B657B" w:rsidRPr="00FA0D37">
        <w:t>-v1630</w:t>
      </w:r>
      <w:r w:rsidRPr="00FA0D37">
        <w:t xml:space="preserve">  BandCombinationListSidelinkEUTRA-NR</w:t>
      </w:r>
      <w:r w:rsidR="003B657B" w:rsidRPr="00FA0D37">
        <w:t>-v1630</w:t>
      </w:r>
      <w:r w:rsidRPr="00FA0D37">
        <w:t xml:space="preserve">   </w:t>
      </w:r>
      <w:r w:rsidRPr="00FA0D37">
        <w:rPr>
          <w:color w:val="993366"/>
        </w:rPr>
        <w:t>OPTIONAL</w:t>
      </w:r>
      <w:r w:rsidRPr="00FA0D37">
        <w:t>,</w:t>
      </w:r>
    </w:p>
    <w:p w14:paraId="3750F0A5" w14:textId="32B4D5ED" w:rsidR="00D027C1" w:rsidRPr="00FA0D37" w:rsidRDefault="00D027C1" w:rsidP="00FA0D37">
      <w:pPr>
        <w:pStyle w:val="PL"/>
      </w:pPr>
      <w:r w:rsidRPr="00FA0D37">
        <w:t xml:space="preserve">    supportedBandCombinationList-UplinkTxSwitch</w:t>
      </w:r>
      <w:r w:rsidR="003B657B" w:rsidRPr="00FA0D37">
        <w:t>-v1630</w:t>
      </w:r>
      <w:r w:rsidRPr="00FA0D37">
        <w:t xml:space="preserve">   BandCombinationList-UplinkTxSwitch</w:t>
      </w:r>
      <w:r w:rsidR="003B657B" w:rsidRPr="00FA0D37">
        <w:t>-v1630</w:t>
      </w:r>
      <w:r w:rsidRPr="00FA0D37">
        <w:t xml:space="preserve">    </w:t>
      </w:r>
      <w:r w:rsidRPr="00FA0D37">
        <w:rPr>
          <w:color w:val="993366"/>
        </w:rPr>
        <w:t>OPTIONAL</w:t>
      </w:r>
    </w:p>
    <w:p w14:paraId="71C9BFAD" w14:textId="310207C6" w:rsidR="00E46198" w:rsidRPr="00FA0D37" w:rsidRDefault="00D027C1" w:rsidP="00FA0D37">
      <w:pPr>
        <w:pStyle w:val="PL"/>
      </w:pPr>
      <w:r w:rsidRPr="00FA0D37">
        <w:t xml:space="preserve">    ]]</w:t>
      </w:r>
      <w:r w:rsidR="00E46198" w:rsidRPr="00FA0D37">
        <w:t>,</w:t>
      </w:r>
    </w:p>
    <w:p w14:paraId="63CB335A" w14:textId="77777777" w:rsidR="00E46198" w:rsidRPr="00FA0D37" w:rsidRDefault="00E46198" w:rsidP="00FA0D37">
      <w:pPr>
        <w:pStyle w:val="PL"/>
      </w:pPr>
      <w:r w:rsidRPr="00FA0D37">
        <w:t xml:space="preserve">    [[</w:t>
      </w:r>
    </w:p>
    <w:p w14:paraId="057DE5EE" w14:textId="430AF238" w:rsidR="00E46198" w:rsidRPr="00FA0D37" w:rsidRDefault="00E46198" w:rsidP="00FA0D37">
      <w:pPr>
        <w:pStyle w:val="PL"/>
      </w:pPr>
      <w:r w:rsidRPr="00FA0D37">
        <w:t xml:space="preserve">    supportedBandCombinationList-v</w:t>
      </w:r>
      <w:r w:rsidR="000C2783" w:rsidRPr="00FA0D37">
        <w:t>1640</w:t>
      </w:r>
      <w:r w:rsidRPr="00FA0D37">
        <w:t xml:space="preserve">                  BandCombinationList-v</w:t>
      </w:r>
      <w:r w:rsidR="000C2783" w:rsidRPr="00FA0D37">
        <w:t>1640</w:t>
      </w:r>
      <w:r w:rsidRPr="00FA0D37">
        <w:t xml:space="preserve">                   </w:t>
      </w:r>
      <w:r w:rsidRPr="00FA0D37">
        <w:rPr>
          <w:color w:val="993366"/>
        </w:rPr>
        <w:t>OPTIONAL</w:t>
      </w:r>
      <w:r w:rsidRPr="00FA0D37">
        <w:t>,</w:t>
      </w:r>
    </w:p>
    <w:p w14:paraId="49EA93F5" w14:textId="046D6F8F" w:rsidR="00E46198" w:rsidRPr="00FA0D37" w:rsidRDefault="00E46198" w:rsidP="00FA0D37">
      <w:pPr>
        <w:pStyle w:val="PL"/>
      </w:pPr>
      <w:r w:rsidRPr="00FA0D37">
        <w:t xml:space="preserve">    supportedBandCombinationList-UplinkTxSwitch-v</w:t>
      </w:r>
      <w:r w:rsidR="000C2783" w:rsidRPr="00FA0D37">
        <w:t>1640</w:t>
      </w:r>
      <w:r w:rsidRPr="00FA0D37">
        <w:t xml:space="preserve">   BandCombinationList-UplinkTxSwitch-v</w:t>
      </w:r>
      <w:r w:rsidR="000C2783" w:rsidRPr="00FA0D37">
        <w:t>1640</w:t>
      </w:r>
      <w:r w:rsidRPr="00FA0D37">
        <w:t xml:space="preserve">    </w:t>
      </w:r>
      <w:r w:rsidRPr="00FA0D37">
        <w:rPr>
          <w:color w:val="993366"/>
        </w:rPr>
        <w:t>OPTIONAL</w:t>
      </w:r>
    </w:p>
    <w:p w14:paraId="57ABAEC9" w14:textId="45839385" w:rsidR="007830B1" w:rsidRPr="00FA0D37" w:rsidRDefault="00E46198" w:rsidP="00FA0D37">
      <w:pPr>
        <w:pStyle w:val="PL"/>
      </w:pPr>
      <w:r w:rsidRPr="00FA0D37">
        <w:t xml:space="preserve">    ]]</w:t>
      </w:r>
      <w:r w:rsidR="007830B1" w:rsidRPr="00FA0D37">
        <w:t>,</w:t>
      </w:r>
    </w:p>
    <w:p w14:paraId="705D4B07" w14:textId="77777777" w:rsidR="007830B1" w:rsidRPr="00FA0D37" w:rsidRDefault="007830B1" w:rsidP="00FA0D37">
      <w:pPr>
        <w:pStyle w:val="PL"/>
      </w:pPr>
      <w:r w:rsidRPr="00FA0D37">
        <w:t xml:space="preserve">    [[</w:t>
      </w:r>
    </w:p>
    <w:p w14:paraId="46144EF8" w14:textId="64AFEB80" w:rsidR="007830B1" w:rsidRPr="00FA0D37" w:rsidRDefault="007830B1" w:rsidP="00FA0D37">
      <w:pPr>
        <w:pStyle w:val="PL"/>
      </w:pPr>
      <w:r w:rsidRPr="00FA0D37">
        <w:t xml:space="preserve">    supportedBandCombinationList-v16</w:t>
      </w:r>
      <w:r w:rsidR="001F631E" w:rsidRPr="00FA0D37">
        <w:t>50</w:t>
      </w:r>
      <w:r w:rsidRPr="00FA0D37">
        <w:t xml:space="preserve">                  BandCombinationList-v16</w:t>
      </w:r>
      <w:r w:rsidR="001F631E" w:rsidRPr="00FA0D37">
        <w:t>50</w:t>
      </w:r>
      <w:r w:rsidRPr="00FA0D37">
        <w:t xml:space="preserve">                   </w:t>
      </w:r>
      <w:r w:rsidRPr="00FA0D37">
        <w:rPr>
          <w:color w:val="993366"/>
        </w:rPr>
        <w:t>OPTIONAL</w:t>
      </w:r>
      <w:r w:rsidRPr="00FA0D37">
        <w:t>,</w:t>
      </w:r>
    </w:p>
    <w:p w14:paraId="14264AA7" w14:textId="70E0E1DA" w:rsidR="007830B1" w:rsidRPr="00FA0D37" w:rsidRDefault="007830B1" w:rsidP="00FA0D37">
      <w:pPr>
        <w:pStyle w:val="PL"/>
      </w:pPr>
      <w:r w:rsidRPr="00FA0D37">
        <w:t xml:space="preserve">    supportedBandCombinationList-UplinkTxSwitch-v16</w:t>
      </w:r>
      <w:r w:rsidR="001F631E" w:rsidRPr="00FA0D37">
        <w:t>50</w:t>
      </w:r>
      <w:r w:rsidRPr="00FA0D37">
        <w:t xml:space="preserve">   BandCombinationList-UplinkTxSwitch-v16</w:t>
      </w:r>
      <w:r w:rsidR="001F631E" w:rsidRPr="00FA0D37">
        <w:t>50</w:t>
      </w:r>
      <w:r w:rsidRPr="00FA0D37">
        <w:t xml:space="preserve">    </w:t>
      </w:r>
      <w:r w:rsidRPr="00FA0D37">
        <w:rPr>
          <w:color w:val="993366"/>
        </w:rPr>
        <w:t>OPTIONAL</w:t>
      </w:r>
    </w:p>
    <w:p w14:paraId="1A2C0521" w14:textId="1E175F24" w:rsidR="00F13C82" w:rsidRPr="00FA0D37" w:rsidRDefault="007830B1" w:rsidP="00FA0D37">
      <w:pPr>
        <w:pStyle w:val="PL"/>
      </w:pPr>
      <w:r w:rsidRPr="00FA0D37">
        <w:t xml:space="preserve">    ]]</w:t>
      </w:r>
      <w:r w:rsidR="00F13C82" w:rsidRPr="00FA0D37">
        <w:t>,</w:t>
      </w:r>
    </w:p>
    <w:p w14:paraId="25CD8933" w14:textId="77777777" w:rsidR="00F13C82" w:rsidRPr="00FA0D37" w:rsidRDefault="00F13C82" w:rsidP="00FA0D37">
      <w:pPr>
        <w:pStyle w:val="PL"/>
      </w:pPr>
      <w:r w:rsidRPr="00FA0D37">
        <w:t xml:space="preserve">    [[</w:t>
      </w:r>
    </w:p>
    <w:p w14:paraId="59152492" w14:textId="77777777" w:rsidR="00F13C82" w:rsidRPr="00FA0D37" w:rsidRDefault="00F13C82" w:rsidP="00FA0D37">
      <w:pPr>
        <w:pStyle w:val="PL"/>
      </w:pPr>
      <w:r w:rsidRPr="00FA0D37">
        <w:t xml:space="preserve">    extendedBand-n77-r16                                </w:t>
      </w:r>
      <w:r w:rsidRPr="00FA0D37">
        <w:rPr>
          <w:color w:val="993366"/>
        </w:rPr>
        <w:t>ENUMERATED</w:t>
      </w:r>
      <w:r w:rsidRPr="00FA0D37">
        <w:t xml:space="preserve"> {supported}                      </w:t>
      </w:r>
      <w:r w:rsidRPr="00FA0D37">
        <w:rPr>
          <w:color w:val="993366"/>
        </w:rPr>
        <w:t>OPTIONAL</w:t>
      </w:r>
    </w:p>
    <w:p w14:paraId="3EA7FB51" w14:textId="52F25500" w:rsidR="00B55A01" w:rsidRPr="00FA0D37" w:rsidRDefault="00F13C82" w:rsidP="00FA0D37">
      <w:pPr>
        <w:pStyle w:val="PL"/>
      </w:pPr>
      <w:r w:rsidRPr="00FA0D37">
        <w:t xml:space="preserve">    ]]</w:t>
      </w:r>
      <w:r w:rsidR="00B55A01" w:rsidRPr="00FA0D37">
        <w:t>,</w:t>
      </w:r>
    </w:p>
    <w:p w14:paraId="4D612F69" w14:textId="77777777" w:rsidR="00B55A01" w:rsidRPr="00FA0D37" w:rsidRDefault="00B55A01" w:rsidP="00FA0D37">
      <w:pPr>
        <w:pStyle w:val="PL"/>
      </w:pPr>
      <w:r w:rsidRPr="00FA0D37">
        <w:t xml:space="preserve">    [[</w:t>
      </w:r>
    </w:p>
    <w:p w14:paraId="2464B8F2" w14:textId="7AEDECAB" w:rsidR="00B55A01" w:rsidRPr="00FA0D37" w:rsidRDefault="00B55A01" w:rsidP="00FA0D37">
      <w:pPr>
        <w:pStyle w:val="PL"/>
      </w:pPr>
      <w:r w:rsidRPr="00FA0D37">
        <w:t xml:space="preserve">    supportedBandCombinationList-UplinkTxSwitch-v16</w:t>
      </w:r>
      <w:r w:rsidR="00EE4C48" w:rsidRPr="00FA0D37">
        <w:t>70</w:t>
      </w:r>
      <w:r w:rsidRPr="00FA0D37">
        <w:t xml:space="preserve">   BandCombinationList-UplinkTxSwitch-v16</w:t>
      </w:r>
      <w:r w:rsidR="00EE4C48" w:rsidRPr="00FA0D37">
        <w:t>70</w:t>
      </w:r>
      <w:r w:rsidRPr="00FA0D37">
        <w:t xml:space="preserve">    </w:t>
      </w:r>
      <w:r w:rsidRPr="00FA0D37">
        <w:rPr>
          <w:color w:val="993366"/>
        </w:rPr>
        <w:t>OPTIONAL</w:t>
      </w:r>
    </w:p>
    <w:p w14:paraId="61C9FCD9" w14:textId="04A8DD89" w:rsidR="00C07032" w:rsidRPr="00FA0D37" w:rsidRDefault="00B55A01" w:rsidP="00FA0D37">
      <w:pPr>
        <w:pStyle w:val="PL"/>
      </w:pPr>
      <w:r w:rsidRPr="00FA0D37">
        <w:t xml:space="preserve">    ]]</w:t>
      </w:r>
      <w:r w:rsidR="00C07032" w:rsidRPr="00FA0D37">
        <w:t>,</w:t>
      </w:r>
    </w:p>
    <w:p w14:paraId="1CF604C0" w14:textId="7D56D778" w:rsidR="00C07032" w:rsidRPr="00FA0D37" w:rsidRDefault="00C07032" w:rsidP="00FA0D37">
      <w:pPr>
        <w:pStyle w:val="PL"/>
      </w:pPr>
      <w:r w:rsidRPr="00FA0D37">
        <w:t xml:space="preserve">    [[</w:t>
      </w:r>
    </w:p>
    <w:p w14:paraId="2520ED27" w14:textId="2B76D359" w:rsidR="00C07032" w:rsidRPr="00FA0D37" w:rsidRDefault="00C07032" w:rsidP="00FA0D37">
      <w:pPr>
        <w:pStyle w:val="PL"/>
      </w:pPr>
      <w:r w:rsidRPr="00FA0D37">
        <w:t xml:space="preserve">    supportedBandCombinationList-v1680                  BandCombinationList-v1680                   </w:t>
      </w:r>
      <w:r w:rsidRPr="00FA0D37">
        <w:rPr>
          <w:color w:val="993366"/>
        </w:rPr>
        <w:t>OPTIONAL</w:t>
      </w:r>
    </w:p>
    <w:p w14:paraId="4372829F" w14:textId="77777777" w:rsidR="005337F6" w:rsidRPr="00FA0D37" w:rsidRDefault="00C07032" w:rsidP="00FA0D37">
      <w:pPr>
        <w:pStyle w:val="PL"/>
      </w:pPr>
      <w:r w:rsidRPr="00FA0D37">
        <w:lastRenderedPageBreak/>
        <w:t xml:space="preserve">    ]]</w:t>
      </w:r>
      <w:r w:rsidR="000B1FA4" w:rsidRPr="00FA0D37">
        <w:t>,</w:t>
      </w:r>
    </w:p>
    <w:p w14:paraId="1B09E6C7" w14:textId="77777777" w:rsidR="005337F6" w:rsidRPr="00FA0D37" w:rsidRDefault="005337F6" w:rsidP="00FA0D37">
      <w:pPr>
        <w:pStyle w:val="PL"/>
      </w:pPr>
      <w:r w:rsidRPr="00FA0D37">
        <w:t xml:space="preserve">    [[</w:t>
      </w:r>
    </w:p>
    <w:p w14:paraId="65E7320A" w14:textId="25990591" w:rsidR="005337F6" w:rsidRPr="00FA0D37" w:rsidRDefault="005337F6" w:rsidP="00FA0D37">
      <w:pPr>
        <w:pStyle w:val="PL"/>
      </w:pPr>
      <w:r w:rsidRPr="00FA0D37">
        <w:t xml:space="preserve">    supportedBandCombinationList-v16</w:t>
      </w:r>
      <w:r w:rsidR="00E74ADF" w:rsidRPr="00FA0D37">
        <w:t>90</w:t>
      </w:r>
      <w:r w:rsidRPr="00FA0D37">
        <w:t xml:space="preserve">                  BandCombinationList-v1690                   </w:t>
      </w:r>
      <w:r w:rsidRPr="00FA0D37">
        <w:rPr>
          <w:color w:val="993366"/>
        </w:rPr>
        <w:t>OPTIONAL</w:t>
      </w:r>
      <w:r w:rsidRPr="00FA0D37">
        <w:t>,</w:t>
      </w:r>
    </w:p>
    <w:p w14:paraId="717789FD" w14:textId="4E8E4E83" w:rsidR="005337F6" w:rsidRPr="00FA0D37" w:rsidRDefault="005337F6" w:rsidP="00FA0D37">
      <w:pPr>
        <w:pStyle w:val="PL"/>
      </w:pPr>
      <w:r w:rsidRPr="00FA0D37">
        <w:t xml:space="preserve">    supportedBandCombinationList-UplinkTxSwitch-v16</w:t>
      </w:r>
      <w:r w:rsidR="00E74ADF" w:rsidRPr="00FA0D37">
        <w:t>90</w:t>
      </w:r>
      <w:r w:rsidRPr="00FA0D37">
        <w:t xml:space="preserve">   BandCombinationList-UplinkTxSwitch-v1690    </w:t>
      </w:r>
      <w:r w:rsidRPr="00FA0D37">
        <w:rPr>
          <w:color w:val="993366"/>
        </w:rPr>
        <w:t>OPTIONAL</w:t>
      </w:r>
    </w:p>
    <w:p w14:paraId="74317C3D" w14:textId="11F59F61" w:rsidR="000B1FA4" w:rsidRPr="00FA0D37" w:rsidRDefault="005337F6" w:rsidP="00FA0D37">
      <w:pPr>
        <w:pStyle w:val="PL"/>
      </w:pPr>
      <w:r w:rsidRPr="00FA0D37">
        <w:t xml:space="preserve">    ]],</w:t>
      </w:r>
    </w:p>
    <w:p w14:paraId="297813AB" w14:textId="7E2D6863" w:rsidR="000B1FA4" w:rsidRPr="00FA0D37" w:rsidRDefault="000B1FA4" w:rsidP="00FA0D37">
      <w:pPr>
        <w:pStyle w:val="PL"/>
      </w:pPr>
      <w:r w:rsidRPr="00FA0D37">
        <w:t xml:space="preserve">    [[</w:t>
      </w:r>
    </w:p>
    <w:p w14:paraId="7E9742FC" w14:textId="0C8FB7FC" w:rsidR="000B1FA4" w:rsidRPr="00FA0D37" w:rsidRDefault="000B1FA4" w:rsidP="00FA0D37">
      <w:pPr>
        <w:pStyle w:val="PL"/>
      </w:pPr>
      <w:r w:rsidRPr="00FA0D37">
        <w:t xml:space="preserve">    supportedBandCombinationList-v1700                  BandCombinationList-v1700                   </w:t>
      </w:r>
      <w:r w:rsidRPr="00FA0D37">
        <w:rPr>
          <w:color w:val="993366"/>
        </w:rPr>
        <w:t>OPTIONAL</w:t>
      </w:r>
      <w:r w:rsidRPr="00FA0D37">
        <w:t>,</w:t>
      </w:r>
    </w:p>
    <w:p w14:paraId="0BF1C2C6" w14:textId="712BAE10" w:rsidR="000B1FA4" w:rsidRPr="00FA0D37" w:rsidRDefault="000B1FA4" w:rsidP="00FA0D37">
      <w:pPr>
        <w:pStyle w:val="PL"/>
      </w:pPr>
      <w:r w:rsidRPr="00FA0D37">
        <w:t xml:space="preserve">    supportedBandCombinationList-UplinkTxSwitch-v1700   BandCombinationList-UplinkTxSwitch-v1700    </w:t>
      </w:r>
      <w:r w:rsidRPr="00FA0D37">
        <w:rPr>
          <w:color w:val="993366"/>
        </w:rPr>
        <w:t>OPTIONAL</w:t>
      </w:r>
      <w:r w:rsidRPr="00FA0D37">
        <w:t>,</w:t>
      </w:r>
    </w:p>
    <w:p w14:paraId="54C9D7E8" w14:textId="0C900152" w:rsidR="000B1FA4" w:rsidRPr="00FA0D37" w:rsidRDefault="000B1FA4" w:rsidP="00FA0D37">
      <w:pPr>
        <w:pStyle w:val="PL"/>
        <w:rPr>
          <w:color w:val="808080"/>
        </w:rPr>
      </w:pPr>
      <w:r w:rsidRPr="00FA0D37">
        <w:t xml:space="preserve">    supportedBandCombinationListSL-RelayDiscovery-r17   </w:t>
      </w:r>
      <w:r w:rsidR="005B0782" w:rsidRPr="00FA0D37">
        <w:rPr>
          <w:color w:val="993366"/>
        </w:rPr>
        <w:t>OCTET</w:t>
      </w:r>
      <w:r w:rsidR="005B0782" w:rsidRPr="00FA0D37">
        <w:t xml:space="preserve"> </w:t>
      </w:r>
      <w:r w:rsidR="005B0782" w:rsidRPr="00FA0D37">
        <w:rPr>
          <w:color w:val="993366"/>
        </w:rPr>
        <w:t>STRING</w:t>
      </w:r>
      <w:r w:rsidR="005B0782" w:rsidRPr="00FA0D37">
        <w:t xml:space="preserve">                            </w:t>
      </w:r>
      <w:r w:rsidRPr="00FA0D37">
        <w:t xml:space="preserve">    </w:t>
      </w:r>
      <w:r w:rsidRPr="00FA0D37">
        <w:rPr>
          <w:color w:val="993366"/>
        </w:rPr>
        <w:t>OPTIONAL</w:t>
      </w:r>
      <w:r w:rsidRPr="00FA0D37">
        <w:t>,</w:t>
      </w:r>
      <w:r w:rsidR="005B0782" w:rsidRPr="00FA0D37">
        <w:t xml:space="preserve">  </w:t>
      </w:r>
      <w:r w:rsidR="005B0782" w:rsidRPr="00FA0D37">
        <w:rPr>
          <w:color w:val="808080"/>
        </w:rPr>
        <w:t>-- Contains PC5 BandCombinationListSidelinkNR-r16</w:t>
      </w:r>
    </w:p>
    <w:p w14:paraId="19F74707" w14:textId="0B8F69B4" w:rsidR="004B4E41" w:rsidRPr="00FA0D37" w:rsidRDefault="000B1FA4" w:rsidP="00FA0D37">
      <w:pPr>
        <w:pStyle w:val="PL"/>
        <w:rPr>
          <w:color w:val="808080"/>
        </w:rPr>
      </w:pPr>
      <w:r w:rsidRPr="00FA0D37">
        <w:t xml:space="preserve">    supportedBandCombinationListSL-NonRelayDiscovery-r17 </w:t>
      </w:r>
      <w:r w:rsidR="005B0782" w:rsidRPr="00FA0D37">
        <w:rPr>
          <w:color w:val="993366"/>
        </w:rPr>
        <w:t>OCTET</w:t>
      </w:r>
      <w:r w:rsidR="005B0782" w:rsidRPr="00FA0D37">
        <w:t xml:space="preserve"> </w:t>
      </w:r>
      <w:r w:rsidR="005B0782" w:rsidRPr="00FA0D37">
        <w:rPr>
          <w:color w:val="993366"/>
        </w:rPr>
        <w:t>STRING</w:t>
      </w:r>
      <w:r w:rsidR="005B0782" w:rsidRPr="00FA0D37">
        <w:t xml:space="preserve">                           </w:t>
      </w:r>
      <w:r w:rsidRPr="00FA0D37">
        <w:t xml:space="preserve"> </w:t>
      </w:r>
      <w:r w:rsidR="005F6633" w:rsidRPr="00FA0D37">
        <w:t xml:space="preserve">   </w:t>
      </w:r>
      <w:r w:rsidRPr="00FA0D37">
        <w:rPr>
          <w:color w:val="993366"/>
        </w:rPr>
        <w:t>OPTIONAL</w:t>
      </w:r>
      <w:r w:rsidR="004B4E41" w:rsidRPr="00FA0D37">
        <w:t>,</w:t>
      </w:r>
      <w:r w:rsidR="005B0782" w:rsidRPr="00FA0D37">
        <w:t xml:space="preserve">  </w:t>
      </w:r>
      <w:r w:rsidR="005B0782" w:rsidRPr="00FA0D37">
        <w:rPr>
          <w:color w:val="808080"/>
        </w:rPr>
        <w:t>-- Contains PC5 BandCombinationListSidelinkNR-r16</w:t>
      </w:r>
    </w:p>
    <w:p w14:paraId="3E6CA46B" w14:textId="0CCCD750" w:rsidR="004B4E41" w:rsidRPr="00FA0D37" w:rsidRDefault="004B4E41" w:rsidP="00FA0D37">
      <w:pPr>
        <w:pStyle w:val="PL"/>
      </w:pPr>
      <w:r w:rsidRPr="00FA0D37">
        <w:t xml:space="preserve">    supportedBandCombinationListSidelinkEUTRA-NR-v1710  BandCombinationListSidelinkEUTRA-NR-v1710   </w:t>
      </w:r>
      <w:r w:rsidRPr="00FA0D37">
        <w:rPr>
          <w:color w:val="993366"/>
        </w:rPr>
        <w:t>OPTIONAL</w:t>
      </w:r>
      <w:r w:rsidRPr="00FA0D37">
        <w:t>,</w:t>
      </w:r>
    </w:p>
    <w:p w14:paraId="5E6CBF0A" w14:textId="34395387" w:rsidR="000B1FA4" w:rsidRPr="00FA0D37" w:rsidRDefault="004B4E41" w:rsidP="00FA0D37">
      <w:pPr>
        <w:pStyle w:val="PL"/>
      </w:pPr>
      <w:r w:rsidRPr="00FA0D37">
        <w:t xml:space="preserve">    sidelinkRequested-r17                               </w:t>
      </w:r>
      <w:r w:rsidRPr="00FA0D37">
        <w:rPr>
          <w:color w:val="993366"/>
        </w:rPr>
        <w:t>ENUMERATED</w:t>
      </w:r>
      <w:r w:rsidRPr="00FA0D37">
        <w:t xml:space="preserve"> {true}                           </w:t>
      </w:r>
      <w:r w:rsidRPr="00FA0D37">
        <w:rPr>
          <w:color w:val="993366"/>
        </w:rPr>
        <w:t>OPTIONAL</w:t>
      </w:r>
      <w:r w:rsidR="003A5AEE" w:rsidRPr="00FA0D37">
        <w:t>,</w:t>
      </w:r>
    </w:p>
    <w:p w14:paraId="441EA208" w14:textId="73251B34" w:rsidR="001171F5" w:rsidRPr="00FA0D37" w:rsidRDefault="001171F5" w:rsidP="00FA0D37">
      <w:pPr>
        <w:pStyle w:val="PL"/>
      </w:pPr>
      <w:r w:rsidRPr="00FA0D37">
        <w:t xml:space="preserve">    extendedBand-n77-2-r17                              </w:t>
      </w:r>
      <w:r w:rsidRPr="00FA0D37">
        <w:rPr>
          <w:color w:val="993366"/>
        </w:rPr>
        <w:t>ENUMERATED</w:t>
      </w:r>
      <w:r w:rsidRPr="00FA0D37">
        <w:t xml:space="preserve"> {supported}                      </w:t>
      </w:r>
      <w:r w:rsidRPr="00FA0D37">
        <w:rPr>
          <w:color w:val="993366"/>
        </w:rPr>
        <w:t>OPTIONAL</w:t>
      </w:r>
    </w:p>
    <w:p w14:paraId="7F8A094A" w14:textId="6D0DC00C" w:rsidR="00D20678" w:rsidRPr="00FA0D37" w:rsidRDefault="001171F5" w:rsidP="00FA0D37">
      <w:pPr>
        <w:pStyle w:val="PL"/>
      </w:pPr>
      <w:r w:rsidRPr="00FA0D37">
        <w:t xml:space="preserve">    ]]</w:t>
      </w:r>
      <w:r w:rsidR="00D20678" w:rsidRPr="00FA0D37">
        <w:t>,</w:t>
      </w:r>
    </w:p>
    <w:p w14:paraId="6D935BC8" w14:textId="77777777" w:rsidR="00D20678" w:rsidRPr="00FA0D37" w:rsidRDefault="00D20678" w:rsidP="00FA0D37">
      <w:pPr>
        <w:pStyle w:val="PL"/>
      </w:pPr>
      <w:r w:rsidRPr="00FA0D37">
        <w:t xml:space="preserve">    [[</w:t>
      </w:r>
    </w:p>
    <w:p w14:paraId="49350A42" w14:textId="7C5FCA16" w:rsidR="00D20678" w:rsidRPr="00FA0D37" w:rsidRDefault="00D20678" w:rsidP="00FA0D37">
      <w:pPr>
        <w:pStyle w:val="PL"/>
      </w:pPr>
      <w:r w:rsidRPr="00FA0D37">
        <w:t xml:space="preserve">    supportedBandCombinationList-v1720                  BandCombinationList-v1720                   </w:t>
      </w:r>
      <w:r w:rsidRPr="00FA0D37">
        <w:rPr>
          <w:color w:val="993366"/>
        </w:rPr>
        <w:t>OPTIONAL</w:t>
      </w:r>
      <w:r w:rsidRPr="00FA0D37">
        <w:t>,</w:t>
      </w:r>
    </w:p>
    <w:p w14:paraId="12D75089" w14:textId="52309761" w:rsidR="00D20678" w:rsidRPr="00FA0D37" w:rsidRDefault="00D20678" w:rsidP="00FA0D37">
      <w:pPr>
        <w:pStyle w:val="PL"/>
      </w:pPr>
      <w:r w:rsidRPr="00FA0D37">
        <w:t xml:space="preserve">    supportedBandCombinationList-UplinkTxSwitch-v1720   BandCombinationList-UplinkTxSwitch-v1720    </w:t>
      </w:r>
      <w:r w:rsidRPr="00FA0D37">
        <w:rPr>
          <w:color w:val="993366"/>
        </w:rPr>
        <w:t>OPTIONAL</w:t>
      </w:r>
    </w:p>
    <w:p w14:paraId="193EC343" w14:textId="7B3322CA" w:rsidR="00691952" w:rsidRPr="00FA0D37" w:rsidRDefault="00D20678" w:rsidP="00FA0D37">
      <w:pPr>
        <w:pStyle w:val="PL"/>
      </w:pPr>
      <w:r w:rsidRPr="00FA0D37">
        <w:t xml:space="preserve">    ]]</w:t>
      </w:r>
      <w:r w:rsidR="00691952" w:rsidRPr="00FA0D37">
        <w:t>,</w:t>
      </w:r>
    </w:p>
    <w:p w14:paraId="17D5B1D1" w14:textId="6B4D3C10" w:rsidR="00691952" w:rsidRPr="00FA0D37" w:rsidRDefault="00691952" w:rsidP="00FA0D37">
      <w:pPr>
        <w:pStyle w:val="PL"/>
      </w:pPr>
      <w:r w:rsidRPr="00FA0D37">
        <w:t xml:space="preserve">    [[</w:t>
      </w:r>
    </w:p>
    <w:p w14:paraId="7C13558C" w14:textId="188217F2" w:rsidR="00691952" w:rsidRPr="00FA0D37" w:rsidRDefault="00691952" w:rsidP="00FA0D37">
      <w:pPr>
        <w:pStyle w:val="PL"/>
      </w:pPr>
      <w:r w:rsidRPr="00FA0D37">
        <w:t xml:space="preserve">    supportedBandCombinationList-v1730                  BandCombinationList-v1730                   </w:t>
      </w:r>
      <w:r w:rsidRPr="00FA0D37">
        <w:rPr>
          <w:color w:val="993366"/>
        </w:rPr>
        <w:t>OPTIONAL</w:t>
      </w:r>
      <w:r w:rsidRPr="00FA0D37">
        <w:t>,</w:t>
      </w:r>
    </w:p>
    <w:p w14:paraId="0CC5C5A9" w14:textId="06614E48" w:rsidR="00691952" w:rsidRPr="00FA0D37" w:rsidRDefault="00691952" w:rsidP="00FA0D37">
      <w:pPr>
        <w:pStyle w:val="PL"/>
      </w:pPr>
      <w:r w:rsidRPr="00FA0D37">
        <w:t xml:space="preserve">    supportedBandCombinationList-UplinkTxSwitch-v1730   BandCombinationList-UplinkTxSwitch-v1730    </w:t>
      </w:r>
      <w:r w:rsidRPr="00FA0D37">
        <w:rPr>
          <w:color w:val="993366"/>
        </w:rPr>
        <w:t>OPTIONAL</w:t>
      </w:r>
      <w:r w:rsidRPr="00FA0D37">
        <w:t>,</w:t>
      </w:r>
    </w:p>
    <w:p w14:paraId="1A3CAA28" w14:textId="2071F788" w:rsidR="00691952" w:rsidRPr="00FA0D37" w:rsidRDefault="00691952" w:rsidP="00FA0D37">
      <w:pPr>
        <w:pStyle w:val="PL"/>
      </w:pPr>
      <w:r w:rsidRPr="00FA0D37">
        <w:t xml:space="preserve">    supportedBandCombinationListSL-RelayDiscovery-v1730 BandCombinationListSL-Discovery-r17         </w:t>
      </w:r>
      <w:r w:rsidRPr="00FA0D37">
        <w:rPr>
          <w:color w:val="993366"/>
        </w:rPr>
        <w:t>OPTIONAL</w:t>
      </w:r>
      <w:r w:rsidRPr="00FA0D37">
        <w:t>,</w:t>
      </w:r>
    </w:p>
    <w:p w14:paraId="24587821" w14:textId="4EDB0303" w:rsidR="00691952" w:rsidRPr="00FA0D37" w:rsidRDefault="00691952" w:rsidP="00FA0D37">
      <w:pPr>
        <w:pStyle w:val="PL"/>
      </w:pPr>
      <w:r w:rsidRPr="00FA0D37">
        <w:t xml:space="preserve">    supportedBandCombinationListSL-NonRelayDiscovery-v1730 BandCombinationListSL-Discovery-r17      </w:t>
      </w:r>
      <w:r w:rsidRPr="00FA0D37">
        <w:rPr>
          <w:color w:val="993366"/>
        </w:rPr>
        <w:t>OPTIONAL</w:t>
      </w:r>
    </w:p>
    <w:p w14:paraId="310904A6" w14:textId="1941F0BE" w:rsidR="00DD3B63" w:rsidRPr="00FA0D37" w:rsidRDefault="00691952" w:rsidP="00FA0D37">
      <w:pPr>
        <w:pStyle w:val="PL"/>
      </w:pPr>
      <w:r w:rsidRPr="00FA0D37">
        <w:t xml:space="preserve">    ]]</w:t>
      </w:r>
      <w:r w:rsidR="00DD3B63" w:rsidRPr="00FA0D37">
        <w:t>,</w:t>
      </w:r>
    </w:p>
    <w:p w14:paraId="42042C46" w14:textId="77777777" w:rsidR="00DD3B63" w:rsidRPr="00FA0D37" w:rsidRDefault="00DD3B63" w:rsidP="00FA0D37">
      <w:pPr>
        <w:pStyle w:val="PL"/>
      </w:pPr>
      <w:r w:rsidRPr="00FA0D37">
        <w:t xml:space="preserve">    [[</w:t>
      </w:r>
    </w:p>
    <w:p w14:paraId="35234D5A" w14:textId="35BAC7F5" w:rsidR="00DD3B63" w:rsidRPr="00FA0D37" w:rsidRDefault="00DD3B63" w:rsidP="00FA0D37">
      <w:pPr>
        <w:pStyle w:val="PL"/>
      </w:pPr>
      <w:r w:rsidRPr="00FA0D37">
        <w:t xml:space="preserve">    supportedBandCombinationList-v1740                  BandCombinationList-v1740                   </w:t>
      </w:r>
      <w:r w:rsidRPr="00FA0D37">
        <w:rPr>
          <w:color w:val="993366"/>
        </w:rPr>
        <w:t>OPTIONAL</w:t>
      </w:r>
      <w:r w:rsidRPr="00FA0D37">
        <w:t>,</w:t>
      </w:r>
    </w:p>
    <w:p w14:paraId="265B39F5" w14:textId="3F54BCED" w:rsidR="00DD3B63" w:rsidRPr="00FA0D37" w:rsidRDefault="00DD3B63" w:rsidP="00FA0D37">
      <w:pPr>
        <w:pStyle w:val="PL"/>
      </w:pPr>
      <w:r w:rsidRPr="00FA0D37">
        <w:t xml:space="preserve">    supportedBandCombinationList-UplinkTxSwitch-v1740   BandCombinationList-UplinkTxSwitch-v1740    </w:t>
      </w:r>
      <w:r w:rsidRPr="00FA0D37">
        <w:rPr>
          <w:color w:val="993366"/>
        </w:rPr>
        <w:t>OPTIONAL</w:t>
      </w:r>
    </w:p>
    <w:p w14:paraId="01440DD5" w14:textId="6FEDED0D" w:rsidR="009536C4" w:rsidRPr="00FA0D37" w:rsidRDefault="00DD3B63" w:rsidP="00FA0D37">
      <w:pPr>
        <w:pStyle w:val="PL"/>
      </w:pPr>
      <w:r w:rsidRPr="00FA0D37">
        <w:t xml:space="preserve">    ]]</w:t>
      </w:r>
      <w:r w:rsidR="009536C4" w:rsidRPr="00FA0D37">
        <w:t>,</w:t>
      </w:r>
    </w:p>
    <w:p w14:paraId="2AD36186" w14:textId="77777777" w:rsidR="009536C4" w:rsidRPr="00FA0D37" w:rsidRDefault="009536C4" w:rsidP="00FA0D37">
      <w:pPr>
        <w:pStyle w:val="PL"/>
      </w:pPr>
      <w:r w:rsidRPr="00FA0D37">
        <w:t xml:space="preserve">    [[</w:t>
      </w:r>
    </w:p>
    <w:p w14:paraId="0A510D8D" w14:textId="107DF1A6" w:rsidR="009536C4" w:rsidRPr="00FA0D37" w:rsidRDefault="009536C4" w:rsidP="00FA0D37">
      <w:pPr>
        <w:pStyle w:val="PL"/>
      </w:pPr>
      <w:r w:rsidRPr="00FA0D37">
        <w:t xml:space="preserve">    supportedBandCombinationList-v1760                  BandCombinationList-v1760                   </w:t>
      </w:r>
      <w:r w:rsidRPr="00FA0D37">
        <w:rPr>
          <w:color w:val="993366"/>
        </w:rPr>
        <w:t>OPTIONAL</w:t>
      </w:r>
      <w:r w:rsidRPr="00FA0D37">
        <w:t>,</w:t>
      </w:r>
    </w:p>
    <w:p w14:paraId="62819E38" w14:textId="44DD818C" w:rsidR="009536C4" w:rsidRPr="00FA0D37" w:rsidRDefault="009536C4" w:rsidP="00FA0D37">
      <w:pPr>
        <w:pStyle w:val="PL"/>
      </w:pPr>
      <w:r w:rsidRPr="00FA0D37">
        <w:t xml:space="preserve">    supportedBandCombinationList-UplinkTxSwitch-v1760   BandCombinationList-UplinkTxSwitch-v1760    </w:t>
      </w:r>
      <w:r w:rsidRPr="00FA0D37">
        <w:rPr>
          <w:color w:val="993366"/>
        </w:rPr>
        <w:t>OPTIONAL</w:t>
      </w:r>
    </w:p>
    <w:p w14:paraId="219FB12F" w14:textId="77777777" w:rsidR="009536C4" w:rsidRPr="00FA0D37" w:rsidRDefault="009536C4" w:rsidP="00FA0D37">
      <w:pPr>
        <w:pStyle w:val="PL"/>
      </w:pPr>
      <w:r w:rsidRPr="00FA0D37">
        <w:t xml:space="preserve">    ]]</w:t>
      </w:r>
    </w:p>
    <w:p w14:paraId="473AF632" w14:textId="065D2A59" w:rsidR="00E46198" w:rsidRPr="00FA0D37" w:rsidRDefault="00E46198" w:rsidP="00FA0D37">
      <w:pPr>
        <w:pStyle w:val="PL"/>
      </w:pPr>
    </w:p>
    <w:p w14:paraId="6B6DBF53" w14:textId="34A27B8B" w:rsidR="00394471" w:rsidRPr="00FA0D37" w:rsidRDefault="00394471" w:rsidP="00FA0D37">
      <w:pPr>
        <w:pStyle w:val="PL"/>
      </w:pPr>
      <w:r w:rsidRPr="00FA0D37">
        <w:t>}</w:t>
      </w:r>
    </w:p>
    <w:p w14:paraId="082B1B42" w14:textId="77777777" w:rsidR="00B55A01" w:rsidRPr="00FA0D37" w:rsidRDefault="00B55A01" w:rsidP="00FA0D37">
      <w:pPr>
        <w:pStyle w:val="PL"/>
      </w:pPr>
    </w:p>
    <w:p w14:paraId="4E56F3DA" w14:textId="6EB60BB4" w:rsidR="00B55A01" w:rsidRPr="00FA0D37" w:rsidRDefault="00B55A01" w:rsidP="00FA0D37">
      <w:pPr>
        <w:pStyle w:val="PL"/>
      </w:pPr>
      <w:r w:rsidRPr="00FA0D37">
        <w:t>RF-Parameters-v15</w:t>
      </w:r>
      <w:r w:rsidR="00EE4C48" w:rsidRPr="00FA0D37">
        <w:t>g0</w:t>
      </w:r>
      <w:r w:rsidRPr="00FA0D37">
        <w:t xml:space="preserve"> ::=                   </w:t>
      </w:r>
      <w:r w:rsidRPr="00FA0D37">
        <w:rPr>
          <w:color w:val="993366"/>
        </w:rPr>
        <w:t>SEQUENCE</w:t>
      </w:r>
      <w:r w:rsidRPr="00FA0D37">
        <w:t xml:space="preserve"> {</w:t>
      </w:r>
    </w:p>
    <w:p w14:paraId="78D5D76C" w14:textId="558B5B1D" w:rsidR="00B55A01" w:rsidRPr="00FA0D37" w:rsidRDefault="00B55A01" w:rsidP="00FA0D37">
      <w:pPr>
        <w:pStyle w:val="PL"/>
      </w:pPr>
      <w:r w:rsidRPr="00FA0D37">
        <w:t xml:space="preserve">    supportedBandCombinationList-v15</w:t>
      </w:r>
      <w:r w:rsidR="00EE4C48" w:rsidRPr="00FA0D37">
        <w:t>g0</w:t>
      </w:r>
      <w:r w:rsidRPr="00FA0D37">
        <w:t xml:space="preserve">        BandCombinationList-v15</w:t>
      </w:r>
      <w:r w:rsidR="00EE4C48" w:rsidRPr="00FA0D37">
        <w:t>g0</w:t>
      </w:r>
      <w:r w:rsidRPr="00FA0D37">
        <w:t xml:space="preserve">                   </w:t>
      </w:r>
      <w:r w:rsidRPr="00FA0D37">
        <w:rPr>
          <w:color w:val="993366"/>
        </w:rPr>
        <w:t>OPTIONAL</w:t>
      </w:r>
    </w:p>
    <w:p w14:paraId="6C51BFDF" w14:textId="08A80FBF" w:rsidR="00394471" w:rsidRPr="00FA0D37" w:rsidRDefault="00B55A01" w:rsidP="00FA0D37">
      <w:pPr>
        <w:pStyle w:val="PL"/>
      </w:pPr>
      <w:r w:rsidRPr="00FA0D37">
        <w:t>}</w:t>
      </w:r>
    </w:p>
    <w:p w14:paraId="3270CEDB" w14:textId="418A43C8" w:rsidR="00B55A01" w:rsidRPr="00FA0D37" w:rsidRDefault="00B55A01" w:rsidP="00FA0D37">
      <w:pPr>
        <w:pStyle w:val="PL"/>
      </w:pPr>
    </w:p>
    <w:p w14:paraId="36CCA73E" w14:textId="6C0B67D2" w:rsidR="00B04F4B" w:rsidRPr="00FA0D37" w:rsidRDefault="00B04F4B" w:rsidP="00FA0D37">
      <w:pPr>
        <w:pStyle w:val="PL"/>
      </w:pPr>
      <w:r w:rsidRPr="00FA0D37">
        <w:t xml:space="preserve">RF-Parameters-v16a0 ::=                            </w:t>
      </w:r>
      <w:r w:rsidRPr="00FA0D37">
        <w:rPr>
          <w:color w:val="993366"/>
        </w:rPr>
        <w:t>SEQUENCE</w:t>
      </w:r>
      <w:r w:rsidRPr="00FA0D37">
        <w:t xml:space="preserve"> {</w:t>
      </w:r>
    </w:p>
    <w:p w14:paraId="6438B835" w14:textId="1C7AD55E" w:rsidR="00B04F4B" w:rsidRPr="00FA0D37" w:rsidRDefault="00B04F4B" w:rsidP="00FA0D37">
      <w:pPr>
        <w:pStyle w:val="PL"/>
      </w:pPr>
      <w:r w:rsidRPr="00FA0D37">
        <w:t xml:space="preserve">    supportedBandCombinationList-v16a0                 BandCombinationList-v16a0                    </w:t>
      </w:r>
      <w:r w:rsidRPr="00FA0D37">
        <w:rPr>
          <w:color w:val="993366"/>
        </w:rPr>
        <w:t>OPTIONAL</w:t>
      </w:r>
      <w:r w:rsidRPr="00FA0D37">
        <w:t>,</w:t>
      </w:r>
    </w:p>
    <w:p w14:paraId="6EFFBC6B" w14:textId="049D3BF8" w:rsidR="00B04F4B" w:rsidRPr="00FA0D37" w:rsidRDefault="00B04F4B" w:rsidP="00FA0D37">
      <w:pPr>
        <w:pStyle w:val="PL"/>
      </w:pPr>
      <w:r w:rsidRPr="00FA0D37">
        <w:t xml:space="preserve">    supportedBandCombinationList-UplinkTxSwitch-v16a0  BandCombinationList-UplinkTxSwitch-v16a0     </w:t>
      </w:r>
      <w:r w:rsidRPr="00FA0D37">
        <w:rPr>
          <w:color w:val="993366"/>
        </w:rPr>
        <w:t>OPTIONAL</w:t>
      </w:r>
    </w:p>
    <w:p w14:paraId="63EC35AD" w14:textId="77777777" w:rsidR="00B04F4B" w:rsidRPr="00FA0D37" w:rsidRDefault="00B04F4B" w:rsidP="00FA0D37">
      <w:pPr>
        <w:pStyle w:val="PL"/>
      </w:pPr>
      <w:r w:rsidRPr="00FA0D37">
        <w:t>}</w:t>
      </w:r>
    </w:p>
    <w:p w14:paraId="44ECD6A0" w14:textId="77777777" w:rsidR="00632063" w:rsidRPr="00FA0D37" w:rsidRDefault="00632063" w:rsidP="00FA0D37">
      <w:pPr>
        <w:pStyle w:val="PL"/>
      </w:pPr>
    </w:p>
    <w:p w14:paraId="4CF28932" w14:textId="5B5AD2A2" w:rsidR="00632063" w:rsidRPr="00FA0D37" w:rsidRDefault="00632063" w:rsidP="00FA0D37">
      <w:pPr>
        <w:pStyle w:val="PL"/>
      </w:pPr>
      <w:r w:rsidRPr="00FA0D37">
        <w:t xml:space="preserve">RF-Parameters-v16c0 ::=                            </w:t>
      </w:r>
      <w:r w:rsidRPr="00FA0D37">
        <w:rPr>
          <w:color w:val="993366"/>
        </w:rPr>
        <w:t>SEQUENCE</w:t>
      </w:r>
      <w:r w:rsidRPr="00FA0D37">
        <w:t xml:space="preserve"> {</w:t>
      </w:r>
    </w:p>
    <w:p w14:paraId="0F863189" w14:textId="07564154" w:rsidR="00632063" w:rsidRPr="00FA0D37" w:rsidRDefault="00632063" w:rsidP="00FA0D37">
      <w:pPr>
        <w:pStyle w:val="PL"/>
      </w:pPr>
      <w:r w:rsidRPr="00FA0D37">
        <w:t xml:space="preserve">    supportedBandListNR-v16c0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BandNR-v16c0</w:t>
      </w:r>
    </w:p>
    <w:p w14:paraId="705714BD" w14:textId="4E70765C" w:rsidR="00B04F4B" w:rsidRPr="00FA0D37" w:rsidRDefault="00632063" w:rsidP="00FA0D37">
      <w:pPr>
        <w:pStyle w:val="PL"/>
      </w:pPr>
      <w:r w:rsidRPr="00FA0D37">
        <w:t>}</w:t>
      </w:r>
    </w:p>
    <w:p w14:paraId="4B79854F" w14:textId="77777777" w:rsidR="00632063" w:rsidRPr="00FA0D37" w:rsidRDefault="00632063" w:rsidP="00FA0D37">
      <w:pPr>
        <w:pStyle w:val="PL"/>
      </w:pPr>
    </w:p>
    <w:p w14:paraId="173ABD6F" w14:textId="77777777" w:rsidR="00394471" w:rsidRPr="00FA0D37" w:rsidRDefault="00394471" w:rsidP="00FA0D37">
      <w:pPr>
        <w:pStyle w:val="PL"/>
      </w:pPr>
      <w:r w:rsidRPr="00FA0D37">
        <w:t xml:space="preserve">BandNR ::=                          </w:t>
      </w:r>
      <w:r w:rsidRPr="00FA0D37">
        <w:rPr>
          <w:color w:val="993366"/>
        </w:rPr>
        <w:t>SEQUENCE</w:t>
      </w:r>
      <w:r w:rsidRPr="00FA0D37">
        <w:t xml:space="preserve"> {</w:t>
      </w:r>
    </w:p>
    <w:p w14:paraId="438202B2" w14:textId="77777777" w:rsidR="00394471" w:rsidRPr="00FA0D37" w:rsidRDefault="00394471" w:rsidP="00FA0D37">
      <w:pPr>
        <w:pStyle w:val="PL"/>
      </w:pPr>
      <w:r w:rsidRPr="00FA0D37">
        <w:lastRenderedPageBreak/>
        <w:t xml:space="preserve">    bandNR                              FreqBandIndicatorNR,</w:t>
      </w:r>
    </w:p>
    <w:p w14:paraId="6DAE496B" w14:textId="77777777" w:rsidR="00394471" w:rsidRPr="00FA0D37" w:rsidRDefault="00394471" w:rsidP="00FA0D37">
      <w:pPr>
        <w:pStyle w:val="PL"/>
      </w:pPr>
      <w:r w:rsidRPr="00FA0D37">
        <w:t xml:space="preserve">    modifiedMPR-Behaviour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Pr="00FA0D37">
        <w:rPr>
          <w:color w:val="993366"/>
        </w:rPr>
        <w:t>OPTIONAL</w:t>
      </w:r>
      <w:r w:rsidRPr="00FA0D37">
        <w:t>,</w:t>
      </w:r>
    </w:p>
    <w:p w14:paraId="52437725" w14:textId="77777777" w:rsidR="00394471" w:rsidRPr="00FA0D37" w:rsidRDefault="00394471" w:rsidP="00FA0D37">
      <w:pPr>
        <w:pStyle w:val="PL"/>
      </w:pPr>
      <w:r w:rsidRPr="00FA0D37">
        <w:t xml:space="preserve">    mimo-ParametersPerBand              MIMO-ParametersPerBand                          </w:t>
      </w:r>
      <w:r w:rsidRPr="00FA0D37">
        <w:rPr>
          <w:color w:val="993366"/>
        </w:rPr>
        <w:t>OPTIONAL</w:t>
      </w:r>
      <w:r w:rsidRPr="00FA0D37">
        <w:t>,</w:t>
      </w:r>
    </w:p>
    <w:p w14:paraId="013EA83A" w14:textId="77777777" w:rsidR="00394471" w:rsidRPr="00FA0D37" w:rsidRDefault="00394471" w:rsidP="00FA0D37">
      <w:pPr>
        <w:pStyle w:val="PL"/>
      </w:pPr>
      <w:r w:rsidRPr="00FA0D37">
        <w:t xml:space="preserve">    extendedCP                          </w:t>
      </w:r>
      <w:r w:rsidRPr="00FA0D37">
        <w:rPr>
          <w:color w:val="993366"/>
        </w:rPr>
        <w:t>ENUMERATED</w:t>
      </w:r>
      <w:r w:rsidRPr="00FA0D37">
        <w:t xml:space="preserve"> {supported}                          </w:t>
      </w:r>
      <w:r w:rsidRPr="00FA0D37">
        <w:rPr>
          <w:color w:val="993366"/>
        </w:rPr>
        <w:t>OPTIONAL</w:t>
      </w:r>
      <w:r w:rsidRPr="00FA0D37">
        <w:t>,</w:t>
      </w:r>
    </w:p>
    <w:p w14:paraId="5BC86E1E" w14:textId="77777777" w:rsidR="00394471" w:rsidRPr="00FA0D37" w:rsidRDefault="00394471" w:rsidP="00FA0D37">
      <w:pPr>
        <w:pStyle w:val="PL"/>
      </w:pPr>
      <w:r w:rsidRPr="00FA0D37">
        <w:t xml:space="preserve">    multipleTCI                         </w:t>
      </w:r>
      <w:r w:rsidRPr="00FA0D37">
        <w:rPr>
          <w:color w:val="993366"/>
        </w:rPr>
        <w:t>ENUMERATED</w:t>
      </w:r>
      <w:r w:rsidRPr="00FA0D37">
        <w:t xml:space="preserve"> {supported}                          </w:t>
      </w:r>
      <w:r w:rsidRPr="00FA0D37">
        <w:rPr>
          <w:color w:val="993366"/>
        </w:rPr>
        <w:t>OPTIONAL</w:t>
      </w:r>
      <w:r w:rsidRPr="00FA0D37">
        <w:t>,</w:t>
      </w:r>
    </w:p>
    <w:p w14:paraId="333565D1" w14:textId="77777777" w:rsidR="00394471" w:rsidRPr="00FA0D37" w:rsidRDefault="00394471" w:rsidP="00FA0D37">
      <w:pPr>
        <w:pStyle w:val="PL"/>
      </w:pPr>
      <w:r w:rsidRPr="00FA0D37">
        <w:t xml:space="preserve">    bwp-WithoutRestriction              </w:t>
      </w:r>
      <w:r w:rsidRPr="00FA0D37">
        <w:rPr>
          <w:color w:val="993366"/>
        </w:rPr>
        <w:t>ENUMERATED</w:t>
      </w:r>
      <w:r w:rsidRPr="00FA0D37">
        <w:t xml:space="preserve"> {supported}                          </w:t>
      </w:r>
      <w:r w:rsidRPr="00FA0D37">
        <w:rPr>
          <w:color w:val="993366"/>
        </w:rPr>
        <w:t>OPTIONAL</w:t>
      </w:r>
      <w:r w:rsidRPr="00FA0D37">
        <w:t>,</w:t>
      </w:r>
    </w:p>
    <w:p w14:paraId="228FDDF7" w14:textId="77777777" w:rsidR="00394471" w:rsidRPr="00FA0D37" w:rsidRDefault="00394471" w:rsidP="00FA0D37">
      <w:pPr>
        <w:pStyle w:val="PL"/>
      </w:pPr>
      <w:r w:rsidRPr="00FA0D37">
        <w:t xml:space="preserve">    bwp-SameNumerology                  </w:t>
      </w:r>
      <w:r w:rsidRPr="00FA0D37">
        <w:rPr>
          <w:color w:val="993366"/>
        </w:rPr>
        <w:t>ENUMERATED</w:t>
      </w:r>
      <w:r w:rsidRPr="00FA0D37">
        <w:t xml:space="preserve"> {upto2, upto4}                       </w:t>
      </w:r>
      <w:r w:rsidRPr="00FA0D37">
        <w:rPr>
          <w:color w:val="993366"/>
        </w:rPr>
        <w:t>OPTIONAL</w:t>
      </w:r>
      <w:r w:rsidRPr="00FA0D37">
        <w:t>,</w:t>
      </w:r>
    </w:p>
    <w:p w14:paraId="04431ACF" w14:textId="77777777" w:rsidR="00394471" w:rsidRPr="00FA0D37" w:rsidRDefault="00394471" w:rsidP="00FA0D37">
      <w:pPr>
        <w:pStyle w:val="PL"/>
      </w:pPr>
      <w:r w:rsidRPr="00FA0D37">
        <w:t xml:space="preserve">    bwp-DiffNumerology                  </w:t>
      </w:r>
      <w:r w:rsidRPr="00FA0D37">
        <w:rPr>
          <w:color w:val="993366"/>
        </w:rPr>
        <w:t>ENUMERATED</w:t>
      </w:r>
      <w:r w:rsidRPr="00FA0D37">
        <w:t xml:space="preserve"> {upto4}                              </w:t>
      </w:r>
      <w:r w:rsidRPr="00FA0D37">
        <w:rPr>
          <w:color w:val="993366"/>
        </w:rPr>
        <w:t>OPTIONAL</w:t>
      </w:r>
      <w:r w:rsidRPr="00FA0D37">
        <w:t>,</w:t>
      </w:r>
    </w:p>
    <w:p w14:paraId="1D683504" w14:textId="77777777" w:rsidR="00394471" w:rsidRPr="00FA0D37" w:rsidRDefault="00394471" w:rsidP="00FA0D37">
      <w:pPr>
        <w:pStyle w:val="PL"/>
      </w:pPr>
      <w:r w:rsidRPr="00FA0D37">
        <w:t xml:space="preserve">    crossCarrierScheduling-SameSCS      </w:t>
      </w:r>
      <w:r w:rsidRPr="00FA0D37">
        <w:rPr>
          <w:color w:val="993366"/>
        </w:rPr>
        <w:t>ENUMERATED</w:t>
      </w:r>
      <w:r w:rsidRPr="00FA0D37">
        <w:t xml:space="preserve"> {supported}                          </w:t>
      </w:r>
      <w:r w:rsidRPr="00FA0D37">
        <w:rPr>
          <w:color w:val="993366"/>
        </w:rPr>
        <w:t>OPTIONAL</w:t>
      </w:r>
      <w:r w:rsidRPr="00FA0D37">
        <w:t>,</w:t>
      </w:r>
    </w:p>
    <w:p w14:paraId="41C6AEAC" w14:textId="77777777" w:rsidR="00394471" w:rsidRPr="00FA0D37" w:rsidRDefault="00394471" w:rsidP="00FA0D37">
      <w:pPr>
        <w:pStyle w:val="PL"/>
      </w:pPr>
      <w:r w:rsidRPr="00FA0D37">
        <w:t xml:space="preserve">    pdsch-256QAM-FR2                    </w:t>
      </w:r>
      <w:r w:rsidRPr="00FA0D37">
        <w:rPr>
          <w:color w:val="993366"/>
        </w:rPr>
        <w:t>ENUMERATED</w:t>
      </w:r>
      <w:r w:rsidRPr="00FA0D37">
        <w:t xml:space="preserve"> {supported}                          </w:t>
      </w:r>
      <w:r w:rsidRPr="00FA0D37">
        <w:rPr>
          <w:color w:val="993366"/>
        </w:rPr>
        <w:t>OPTIONAL</w:t>
      </w:r>
      <w:r w:rsidRPr="00FA0D37">
        <w:t>,</w:t>
      </w:r>
    </w:p>
    <w:p w14:paraId="7E27DC9D" w14:textId="77777777" w:rsidR="00394471" w:rsidRPr="00FA0D37" w:rsidRDefault="00394471" w:rsidP="00FA0D37">
      <w:pPr>
        <w:pStyle w:val="PL"/>
      </w:pPr>
      <w:r w:rsidRPr="00FA0D37">
        <w:t xml:space="preserve">    pusch-256QAM                        </w:t>
      </w:r>
      <w:r w:rsidRPr="00FA0D37">
        <w:rPr>
          <w:color w:val="993366"/>
        </w:rPr>
        <w:t>ENUMERATED</w:t>
      </w:r>
      <w:r w:rsidRPr="00FA0D37">
        <w:t xml:space="preserve"> {supported}                          </w:t>
      </w:r>
      <w:r w:rsidRPr="00FA0D37">
        <w:rPr>
          <w:color w:val="993366"/>
        </w:rPr>
        <w:t>OPTIONAL</w:t>
      </w:r>
      <w:r w:rsidRPr="00FA0D37">
        <w:t>,</w:t>
      </w:r>
    </w:p>
    <w:p w14:paraId="5A4774F6" w14:textId="77777777" w:rsidR="00394471" w:rsidRPr="00FA0D37" w:rsidRDefault="00394471" w:rsidP="00FA0D37">
      <w:pPr>
        <w:pStyle w:val="PL"/>
      </w:pPr>
      <w:r w:rsidRPr="00FA0D37">
        <w:t xml:space="preserve">    ue-PowerClass                       </w:t>
      </w:r>
      <w:r w:rsidRPr="00FA0D37">
        <w:rPr>
          <w:color w:val="993366"/>
        </w:rPr>
        <w:t>ENUMERATED</w:t>
      </w:r>
      <w:r w:rsidRPr="00FA0D37">
        <w:t xml:space="preserve"> {pc1, pc2, pc3, pc4}                 </w:t>
      </w:r>
      <w:r w:rsidRPr="00FA0D37">
        <w:rPr>
          <w:color w:val="993366"/>
        </w:rPr>
        <w:t>OPTIONAL</w:t>
      </w:r>
      <w:r w:rsidRPr="00FA0D37">
        <w:t>,</w:t>
      </w:r>
    </w:p>
    <w:p w14:paraId="025EDA03" w14:textId="77777777" w:rsidR="00394471" w:rsidRPr="00FA0D37" w:rsidRDefault="00394471" w:rsidP="00FA0D37">
      <w:pPr>
        <w:pStyle w:val="PL"/>
      </w:pPr>
      <w:r w:rsidRPr="00FA0D37">
        <w:t xml:space="preserve">    rateMatchingLTE-CRS                 </w:t>
      </w:r>
      <w:r w:rsidRPr="00FA0D37">
        <w:rPr>
          <w:color w:val="993366"/>
        </w:rPr>
        <w:t>ENUMERATED</w:t>
      </w:r>
      <w:r w:rsidRPr="00FA0D37">
        <w:t xml:space="preserve"> {supported}                          </w:t>
      </w:r>
      <w:r w:rsidRPr="00FA0D37">
        <w:rPr>
          <w:color w:val="993366"/>
        </w:rPr>
        <w:t>OPTIONAL</w:t>
      </w:r>
      <w:r w:rsidRPr="00FA0D37">
        <w:t>,</w:t>
      </w:r>
    </w:p>
    <w:p w14:paraId="0BDE5400" w14:textId="77777777" w:rsidR="00394471" w:rsidRPr="00FA0D37" w:rsidRDefault="00394471" w:rsidP="00FA0D37">
      <w:pPr>
        <w:pStyle w:val="PL"/>
      </w:pPr>
      <w:r w:rsidRPr="00FA0D37">
        <w:t xml:space="preserve">    channelBWs-DL                       </w:t>
      </w:r>
      <w:r w:rsidRPr="00FA0D37">
        <w:rPr>
          <w:color w:val="993366"/>
        </w:rPr>
        <w:t>CHOICE</w:t>
      </w:r>
      <w:r w:rsidRPr="00FA0D37">
        <w:t xml:space="preserve"> {</w:t>
      </w:r>
    </w:p>
    <w:p w14:paraId="6B492C3D" w14:textId="77777777" w:rsidR="00394471" w:rsidRPr="00FA0D37" w:rsidRDefault="00394471" w:rsidP="00FA0D37">
      <w:pPr>
        <w:pStyle w:val="PL"/>
      </w:pPr>
      <w:r w:rsidRPr="00FA0D37">
        <w:t xml:space="preserve">        fr1                                 </w:t>
      </w:r>
      <w:r w:rsidRPr="00FA0D37">
        <w:rPr>
          <w:color w:val="993366"/>
        </w:rPr>
        <w:t>SEQUENCE</w:t>
      </w:r>
      <w:r w:rsidRPr="00FA0D37">
        <w:t xml:space="preserve"> {</w:t>
      </w:r>
    </w:p>
    <w:p w14:paraId="7132FF62" w14:textId="77777777" w:rsidR="00394471" w:rsidRPr="00FA0D37" w:rsidRDefault="00394471" w:rsidP="00FA0D37">
      <w:pPr>
        <w:pStyle w:val="PL"/>
      </w:pPr>
      <w:r w:rsidRPr="00FA0D37">
        <w:t xml:space="preserve">            scs-15kHz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                      </w:t>
      </w:r>
      <w:r w:rsidRPr="00FA0D37">
        <w:rPr>
          <w:color w:val="993366"/>
        </w:rPr>
        <w:t>OPTIONAL</w:t>
      </w:r>
      <w:r w:rsidRPr="00FA0D37">
        <w:t>,</w:t>
      </w:r>
    </w:p>
    <w:p w14:paraId="4C7C3E6C" w14:textId="77777777" w:rsidR="00394471" w:rsidRPr="00FA0D37" w:rsidRDefault="00394471" w:rsidP="00FA0D37">
      <w:pPr>
        <w:pStyle w:val="PL"/>
      </w:pPr>
      <w:r w:rsidRPr="00FA0D37">
        <w:t xml:space="preserve">            scs-30kHz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                      </w:t>
      </w:r>
      <w:r w:rsidRPr="00FA0D37">
        <w:rPr>
          <w:color w:val="993366"/>
        </w:rPr>
        <w:t>OPTIONAL</w:t>
      </w:r>
      <w:r w:rsidRPr="00FA0D37">
        <w:t>,</w:t>
      </w:r>
    </w:p>
    <w:p w14:paraId="55739DC2" w14:textId="77777777" w:rsidR="00394471" w:rsidRPr="00FA0D37" w:rsidRDefault="00394471" w:rsidP="00FA0D37">
      <w:pPr>
        <w:pStyle w:val="PL"/>
      </w:pPr>
      <w:r w:rsidRPr="00FA0D37">
        <w:t xml:space="preserve">            scs-60kHz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                      </w:t>
      </w:r>
      <w:r w:rsidRPr="00FA0D37">
        <w:rPr>
          <w:color w:val="993366"/>
        </w:rPr>
        <w:t>OPTIONAL</w:t>
      </w:r>
    </w:p>
    <w:p w14:paraId="4F78043A" w14:textId="77777777" w:rsidR="00394471" w:rsidRPr="00FA0D37" w:rsidRDefault="00394471" w:rsidP="00FA0D37">
      <w:pPr>
        <w:pStyle w:val="PL"/>
      </w:pPr>
      <w:r w:rsidRPr="00FA0D37">
        <w:t xml:space="preserve">        },</w:t>
      </w:r>
    </w:p>
    <w:p w14:paraId="4A46FC5D" w14:textId="77777777" w:rsidR="00394471" w:rsidRPr="00FA0D37" w:rsidRDefault="00394471" w:rsidP="00FA0D37">
      <w:pPr>
        <w:pStyle w:val="PL"/>
      </w:pPr>
      <w:r w:rsidRPr="00FA0D37">
        <w:t xml:space="preserve">        fr2                                 </w:t>
      </w:r>
      <w:r w:rsidRPr="00FA0D37">
        <w:rPr>
          <w:color w:val="993366"/>
        </w:rPr>
        <w:t>SEQUENCE</w:t>
      </w:r>
      <w:r w:rsidRPr="00FA0D37">
        <w:t xml:space="preserve"> {</w:t>
      </w:r>
    </w:p>
    <w:p w14:paraId="204C46B7" w14:textId="77777777" w:rsidR="00394471" w:rsidRPr="00FA0D37" w:rsidRDefault="00394471" w:rsidP="00FA0D37">
      <w:pPr>
        <w:pStyle w:val="PL"/>
      </w:pPr>
      <w:r w:rsidRPr="00FA0D37">
        <w:t xml:space="preserve">            scs-60kHz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                       </w:t>
      </w:r>
      <w:r w:rsidRPr="00FA0D37">
        <w:rPr>
          <w:color w:val="993366"/>
        </w:rPr>
        <w:t>OPTIONAL</w:t>
      </w:r>
      <w:r w:rsidRPr="00FA0D37">
        <w:t>,</w:t>
      </w:r>
    </w:p>
    <w:p w14:paraId="2941A689" w14:textId="77777777" w:rsidR="00394471" w:rsidRPr="00FA0D37" w:rsidRDefault="00394471" w:rsidP="00FA0D37">
      <w:pPr>
        <w:pStyle w:val="PL"/>
      </w:pPr>
      <w:r w:rsidRPr="00FA0D37">
        <w:t xml:space="preserve">            scs-120kHz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                       </w:t>
      </w:r>
      <w:r w:rsidRPr="00FA0D37">
        <w:rPr>
          <w:color w:val="993366"/>
        </w:rPr>
        <w:t>OPTIONAL</w:t>
      </w:r>
    </w:p>
    <w:p w14:paraId="569E9741" w14:textId="77777777" w:rsidR="00394471" w:rsidRPr="00FA0D37" w:rsidRDefault="00394471" w:rsidP="00FA0D37">
      <w:pPr>
        <w:pStyle w:val="PL"/>
      </w:pPr>
      <w:r w:rsidRPr="00FA0D37">
        <w:t xml:space="preserve">        }</w:t>
      </w:r>
    </w:p>
    <w:p w14:paraId="1D1D8F61" w14:textId="77777777" w:rsidR="00394471" w:rsidRPr="00FA0D37" w:rsidRDefault="00394471" w:rsidP="00FA0D37">
      <w:pPr>
        <w:pStyle w:val="PL"/>
      </w:pPr>
      <w:r w:rsidRPr="00FA0D37">
        <w:t xml:space="preserve">    }                                                                                   </w:t>
      </w:r>
      <w:r w:rsidRPr="00FA0D37">
        <w:rPr>
          <w:color w:val="993366"/>
        </w:rPr>
        <w:t>OPTIONAL</w:t>
      </w:r>
      <w:r w:rsidRPr="00FA0D37">
        <w:t>,</w:t>
      </w:r>
    </w:p>
    <w:p w14:paraId="12122BE5" w14:textId="77777777" w:rsidR="00394471" w:rsidRPr="00FA0D37" w:rsidRDefault="00394471" w:rsidP="00FA0D37">
      <w:pPr>
        <w:pStyle w:val="PL"/>
      </w:pPr>
      <w:r w:rsidRPr="00FA0D37">
        <w:t xml:space="preserve">    channelBWs-UL                       </w:t>
      </w:r>
      <w:r w:rsidRPr="00FA0D37">
        <w:rPr>
          <w:color w:val="993366"/>
        </w:rPr>
        <w:t>CHOICE</w:t>
      </w:r>
      <w:r w:rsidRPr="00FA0D37">
        <w:t xml:space="preserve"> {</w:t>
      </w:r>
    </w:p>
    <w:p w14:paraId="5E2AB7BF" w14:textId="77777777" w:rsidR="00394471" w:rsidRPr="00FA0D37" w:rsidRDefault="00394471" w:rsidP="00FA0D37">
      <w:pPr>
        <w:pStyle w:val="PL"/>
      </w:pPr>
      <w:r w:rsidRPr="00FA0D37">
        <w:t xml:space="preserve">        fr1                                 </w:t>
      </w:r>
      <w:r w:rsidRPr="00FA0D37">
        <w:rPr>
          <w:color w:val="993366"/>
        </w:rPr>
        <w:t>SEQUENCE</w:t>
      </w:r>
      <w:r w:rsidRPr="00FA0D37">
        <w:t xml:space="preserve"> {</w:t>
      </w:r>
    </w:p>
    <w:p w14:paraId="27D80623" w14:textId="77777777" w:rsidR="00394471" w:rsidRPr="00FA0D37" w:rsidRDefault="00394471" w:rsidP="00FA0D37">
      <w:pPr>
        <w:pStyle w:val="PL"/>
      </w:pPr>
      <w:r w:rsidRPr="00FA0D37">
        <w:t xml:space="preserve">            scs-15kHz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                      </w:t>
      </w:r>
      <w:r w:rsidRPr="00FA0D37">
        <w:rPr>
          <w:color w:val="993366"/>
        </w:rPr>
        <w:t>OPTIONAL</w:t>
      </w:r>
      <w:r w:rsidRPr="00FA0D37">
        <w:t>,</w:t>
      </w:r>
    </w:p>
    <w:p w14:paraId="257027D6" w14:textId="77777777" w:rsidR="00394471" w:rsidRPr="00FA0D37" w:rsidRDefault="00394471" w:rsidP="00FA0D37">
      <w:pPr>
        <w:pStyle w:val="PL"/>
      </w:pPr>
      <w:r w:rsidRPr="00FA0D37">
        <w:t xml:space="preserve">            scs-30kHz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                      </w:t>
      </w:r>
      <w:r w:rsidRPr="00FA0D37">
        <w:rPr>
          <w:color w:val="993366"/>
        </w:rPr>
        <w:t>OPTIONAL</w:t>
      </w:r>
      <w:r w:rsidRPr="00FA0D37">
        <w:t>,</w:t>
      </w:r>
    </w:p>
    <w:p w14:paraId="5AB4FC48" w14:textId="77777777" w:rsidR="00394471" w:rsidRPr="00FA0D37" w:rsidRDefault="00394471" w:rsidP="00FA0D37">
      <w:pPr>
        <w:pStyle w:val="PL"/>
      </w:pPr>
      <w:r w:rsidRPr="00FA0D37">
        <w:t xml:space="preserve">            scs-60kHz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                      </w:t>
      </w:r>
      <w:r w:rsidRPr="00FA0D37">
        <w:rPr>
          <w:color w:val="993366"/>
        </w:rPr>
        <w:t>OPTIONAL</w:t>
      </w:r>
    </w:p>
    <w:p w14:paraId="6C3F3131" w14:textId="77777777" w:rsidR="00394471" w:rsidRPr="00FA0D37" w:rsidRDefault="00394471" w:rsidP="00FA0D37">
      <w:pPr>
        <w:pStyle w:val="PL"/>
      </w:pPr>
      <w:r w:rsidRPr="00FA0D37">
        <w:t xml:space="preserve">        },</w:t>
      </w:r>
    </w:p>
    <w:p w14:paraId="4F4F193D" w14:textId="77777777" w:rsidR="00394471" w:rsidRPr="00FA0D37" w:rsidRDefault="00394471" w:rsidP="00FA0D37">
      <w:pPr>
        <w:pStyle w:val="PL"/>
      </w:pPr>
      <w:r w:rsidRPr="00FA0D37">
        <w:t xml:space="preserve">        fr2                                 </w:t>
      </w:r>
      <w:r w:rsidRPr="00FA0D37">
        <w:rPr>
          <w:color w:val="993366"/>
        </w:rPr>
        <w:t>SEQUENCE</w:t>
      </w:r>
      <w:r w:rsidRPr="00FA0D37">
        <w:t xml:space="preserve"> {</w:t>
      </w:r>
    </w:p>
    <w:p w14:paraId="28881D7E" w14:textId="77777777" w:rsidR="00394471" w:rsidRPr="00FA0D37" w:rsidRDefault="00394471" w:rsidP="00FA0D37">
      <w:pPr>
        <w:pStyle w:val="PL"/>
      </w:pPr>
      <w:r w:rsidRPr="00FA0D37">
        <w:t xml:space="preserve">            scs-60kHz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                       </w:t>
      </w:r>
      <w:r w:rsidRPr="00FA0D37">
        <w:rPr>
          <w:color w:val="993366"/>
        </w:rPr>
        <w:t>OPTIONAL</w:t>
      </w:r>
      <w:r w:rsidRPr="00FA0D37">
        <w:t>,</w:t>
      </w:r>
    </w:p>
    <w:p w14:paraId="08E02692" w14:textId="77777777" w:rsidR="00394471" w:rsidRPr="00FA0D37" w:rsidRDefault="00394471" w:rsidP="00FA0D37">
      <w:pPr>
        <w:pStyle w:val="PL"/>
      </w:pPr>
      <w:r w:rsidRPr="00FA0D37">
        <w:t xml:space="preserve">            scs-120kHz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                       </w:t>
      </w:r>
      <w:r w:rsidRPr="00FA0D37">
        <w:rPr>
          <w:color w:val="993366"/>
        </w:rPr>
        <w:t>OPTIONAL</w:t>
      </w:r>
    </w:p>
    <w:p w14:paraId="1A346092" w14:textId="77777777" w:rsidR="00394471" w:rsidRPr="00FA0D37" w:rsidRDefault="00394471" w:rsidP="00FA0D37">
      <w:pPr>
        <w:pStyle w:val="PL"/>
      </w:pPr>
      <w:r w:rsidRPr="00FA0D37">
        <w:t xml:space="preserve">        }</w:t>
      </w:r>
    </w:p>
    <w:p w14:paraId="666976FC" w14:textId="77777777" w:rsidR="00394471" w:rsidRPr="00FA0D37" w:rsidRDefault="00394471" w:rsidP="00FA0D37">
      <w:pPr>
        <w:pStyle w:val="PL"/>
      </w:pPr>
      <w:r w:rsidRPr="00FA0D37">
        <w:t xml:space="preserve">    }                                                                                   </w:t>
      </w:r>
      <w:r w:rsidRPr="00FA0D37">
        <w:rPr>
          <w:color w:val="993366"/>
        </w:rPr>
        <w:t>OPTIONAL</w:t>
      </w:r>
      <w:r w:rsidRPr="00FA0D37">
        <w:t>,</w:t>
      </w:r>
    </w:p>
    <w:p w14:paraId="7706995B" w14:textId="77777777" w:rsidR="00394471" w:rsidRPr="00FA0D37" w:rsidRDefault="00394471" w:rsidP="00FA0D37">
      <w:pPr>
        <w:pStyle w:val="PL"/>
      </w:pPr>
      <w:r w:rsidRPr="00FA0D37">
        <w:t xml:space="preserve">    ...,</w:t>
      </w:r>
    </w:p>
    <w:p w14:paraId="533622E8" w14:textId="77777777" w:rsidR="00394471" w:rsidRPr="00FA0D37" w:rsidRDefault="00394471" w:rsidP="00FA0D37">
      <w:pPr>
        <w:pStyle w:val="PL"/>
      </w:pPr>
      <w:r w:rsidRPr="00FA0D37">
        <w:t xml:space="preserve">    [[</w:t>
      </w:r>
    </w:p>
    <w:p w14:paraId="5EE5F905" w14:textId="77777777" w:rsidR="00394471" w:rsidRPr="00FA0D37" w:rsidRDefault="00394471" w:rsidP="00FA0D37">
      <w:pPr>
        <w:pStyle w:val="PL"/>
      </w:pPr>
      <w:r w:rsidRPr="00FA0D37">
        <w:t xml:space="preserve">    maxUplinkDutyCycle-PC2-FR1                  </w:t>
      </w:r>
      <w:r w:rsidRPr="00FA0D37">
        <w:rPr>
          <w:color w:val="993366"/>
        </w:rPr>
        <w:t>ENUMERATED</w:t>
      </w:r>
      <w:r w:rsidRPr="00FA0D37">
        <w:t xml:space="preserve"> {n60, n70, n80, n90, n100}   </w:t>
      </w:r>
      <w:r w:rsidRPr="00FA0D37">
        <w:rPr>
          <w:color w:val="993366"/>
        </w:rPr>
        <w:t>OPTIONAL</w:t>
      </w:r>
    </w:p>
    <w:p w14:paraId="378F0D62" w14:textId="77777777" w:rsidR="00394471" w:rsidRPr="00FA0D37" w:rsidRDefault="00394471" w:rsidP="00FA0D37">
      <w:pPr>
        <w:pStyle w:val="PL"/>
      </w:pPr>
      <w:r w:rsidRPr="00FA0D37">
        <w:t xml:space="preserve">    ]],</w:t>
      </w:r>
    </w:p>
    <w:p w14:paraId="060136E8" w14:textId="77777777" w:rsidR="00394471" w:rsidRPr="00FA0D37" w:rsidRDefault="00394471" w:rsidP="00FA0D37">
      <w:pPr>
        <w:pStyle w:val="PL"/>
      </w:pPr>
      <w:r w:rsidRPr="00FA0D37">
        <w:t xml:space="preserve">    [[</w:t>
      </w:r>
    </w:p>
    <w:p w14:paraId="77A40EA3" w14:textId="77777777" w:rsidR="00394471" w:rsidRPr="00FA0D37" w:rsidRDefault="00394471" w:rsidP="00FA0D37">
      <w:pPr>
        <w:pStyle w:val="PL"/>
      </w:pPr>
      <w:r w:rsidRPr="00FA0D37">
        <w:t xml:space="preserve">    pucch-SpatialRelInfoMAC-CE          </w:t>
      </w:r>
      <w:r w:rsidRPr="00FA0D37">
        <w:rPr>
          <w:color w:val="993366"/>
        </w:rPr>
        <w:t>ENUMERATED</w:t>
      </w:r>
      <w:r w:rsidRPr="00FA0D37">
        <w:t xml:space="preserve"> {supported}                          </w:t>
      </w:r>
      <w:r w:rsidRPr="00FA0D37">
        <w:rPr>
          <w:color w:val="993366"/>
        </w:rPr>
        <w:t>OPTIONAL</w:t>
      </w:r>
      <w:r w:rsidRPr="00FA0D37">
        <w:t>,</w:t>
      </w:r>
    </w:p>
    <w:p w14:paraId="6BD2716F" w14:textId="77777777" w:rsidR="00394471" w:rsidRPr="00FA0D37" w:rsidRDefault="00394471" w:rsidP="00FA0D37">
      <w:pPr>
        <w:pStyle w:val="PL"/>
      </w:pPr>
      <w:r w:rsidRPr="00FA0D37">
        <w:t xml:space="preserve">    powerBoosting-pi2BPSK               </w:t>
      </w:r>
      <w:r w:rsidRPr="00FA0D37">
        <w:rPr>
          <w:color w:val="993366"/>
        </w:rPr>
        <w:t>ENUMERATED</w:t>
      </w:r>
      <w:r w:rsidRPr="00FA0D37">
        <w:t xml:space="preserve"> {supported}                          </w:t>
      </w:r>
      <w:r w:rsidRPr="00FA0D37">
        <w:rPr>
          <w:color w:val="993366"/>
        </w:rPr>
        <w:t>OPTIONAL</w:t>
      </w:r>
    </w:p>
    <w:p w14:paraId="035690A9" w14:textId="77777777" w:rsidR="00394471" w:rsidRPr="00FA0D37" w:rsidRDefault="00394471" w:rsidP="00FA0D37">
      <w:pPr>
        <w:pStyle w:val="PL"/>
      </w:pPr>
      <w:r w:rsidRPr="00FA0D37">
        <w:t xml:space="preserve">    ]],</w:t>
      </w:r>
    </w:p>
    <w:p w14:paraId="2AF85513" w14:textId="77777777" w:rsidR="00394471" w:rsidRPr="00FA0D37" w:rsidRDefault="00394471" w:rsidP="00FA0D37">
      <w:pPr>
        <w:pStyle w:val="PL"/>
      </w:pPr>
      <w:r w:rsidRPr="00FA0D37">
        <w:t xml:space="preserve">    [[</w:t>
      </w:r>
    </w:p>
    <w:p w14:paraId="13E47DCA" w14:textId="77777777" w:rsidR="00394471" w:rsidRPr="00FA0D37" w:rsidRDefault="00394471" w:rsidP="00FA0D37">
      <w:pPr>
        <w:pStyle w:val="PL"/>
      </w:pPr>
      <w:r w:rsidRPr="00FA0D37">
        <w:t xml:space="preserve">    maxUplinkDutyCycle-FR2          </w:t>
      </w:r>
      <w:r w:rsidRPr="00FA0D37">
        <w:rPr>
          <w:color w:val="993366"/>
        </w:rPr>
        <w:t>ENUMERATED</w:t>
      </w:r>
      <w:r w:rsidRPr="00FA0D37">
        <w:t xml:space="preserve"> {n15, n20, n25, n30, n40, n50, n60, n70, n80, n90, n100}     </w:t>
      </w:r>
      <w:r w:rsidRPr="00FA0D37">
        <w:rPr>
          <w:color w:val="993366"/>
        </w:rPr>
        <w:t>OPTIONAL</w:t>
      </w:r>
    </w:p>
    <w:p w14:paraId="3FBA7797" w14:textId="77777777" w:rsidR="00394471" w:rsidRPr="00FA0D37" w:rsidRDefault="00394471" w:rsidP="00FA0D37">
      <w:pPr>
        <w:pStyle w:val="PL"/>
      </w:pPr>
      <w:r w:rsidRPr="00FA0D37">
        <w:t xml:space="preserve">    ]],</w:t>
      </w:r>
    </w:p>
    <w:p w14:paraId="6F8AA116" w14:textId="77777777" w:rsidR="00394471" w:rsidRPr="00FA0D37" w:rsidRDefault="00394471" w:rsidP="00FA0D37">
      <w:pPr>
        <w:pStyle w:val="PL"/>
      </w:pPr>
      <w:r w:rsidRPr="00FA0D37">
        <w:t xml:space="preserve">    [[</w:t>
      </w:r>
    </w:p>
    <w:p w14:paraId="3452C2E7" w14:textId="77777777" w:rsidR="00394471" w:rsidRPr="00FA0D37" w:rsidRDefault="00394471" w:rsidP="00FA0D37">
      <w:pPr>
        <w:pStyle w:val="PL"/>
      </w:pPr>
      <w:r w:rsidRPr="00FA0D37">
        <w:t xml:space="preserve">    channelBWs-DL-v1590                 </w:t>
      </w:r>
      <w:r w:rsidRPr="00FA0D37">
        <w:rPr>
          <w:color w:val="993366"/>
        </w:rPr>
        <w:t>CHOICE</w:t>
      </w:r>
      <w:r w:rsidRPr="00FA0D37">
        <w:t xml:space="preserve"> {</w:t>
      </w:r>
    </w:p>
    <w:p w14:paraId="660BDFC6" w14:textId="77777777" w:rsidR="00394471" w:rsidRPr="00FA0D37" w:rsidRDefault="00394471" w:rsidP="00FA0D37">
      <w:pPr>
        <w:pStyle w:val="PL"/>
      </w:pPr>
      <w:r w:rsidRPr="00FA0D37">
        <w:t xml:space="preserve">        fr1                                 </w:t>
      </w:r>
      <w:r w:rsidRPr="00FA0D37">
        <w:rPr>
          <w:color w:val="993366"/>
        </w:rPr>
        <w:t>SEQUENCE</w:t>
      </w:r>
      <w:r w:rsidRPr="00FA0D37">
        <w:t xml:space="preserve"> {</w:t>
      </w:r>
    </w:p>
    <w:p w14:paraId="7094902F" w14:textId="77777777" w:rsidR="00394471" w:rsidRPr="00FA0D37" w:rsidRDefault="00394471" w:rsidP="00FA0D37">
      <w:pPr>
        <w:pStyle w:val="PL"/>
      </w:pPr>
      <w:r w:rsidRPr="00FA0D37">
        <w:t xml:space="preserve">            scs-15kHz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0E6C5270" w14:textId="77777777" w:rsidR="00394471" w:rsidRPr="00FA0D37" w:rsidRDefault="00394471" w:rsidP="00FA0D37">
      <w:pPr>
        <w:pStyle w:val="PL"/>
      </w:pPr>
      <w:r w:rsidRPr="00FA0D37">
        <w:t xml:space="preserve">            scs-30kHz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6CA353CC" w14:textId="77777777" w:rsidR="00394471" w:rsidRPr="00FA0D37" w:rsidRDefault="00394471" w:rsidP="00FA0D37">
      <w:pPr>
        <w:pStyle w:val="PL"/>
      </w:pPr>
      <w:r w:rsidRPr="00FA0D37">
        <w:lastRenderedPageBreak/>
        <w:t xml:space="preserve">            scs-60kHz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50D2B364" w14:textId="77777777" w:rsidR="00394471" w:rsidRPr="00FA0D37" w:rsidRDefault="00394471" w:rsidP="00FA0D37">
      <w:pPr>
        <w:pStyle w:val="PL"/>
      </w:pPr>
      <w:r w:rsidRPr="00FA0D37">
        <w:t xml:space="preserve">        },</w:t>
      </w:r>
    </w:p>
    <w:p w14:paraId="3E38EDF4" w14:textId="77777777" w:rsidR="00394471" w:rsidRPr="00FA0D37" w:rsidRDefault="00394471" w:rsidP="00FA0D37">
      <w:pPr>
        <w:pStyle w:val="PL"/>
      </w:pPr>
      <w:r w:rsidRPr="00FA0D37">
        <w:t xml:space="preserve">        fr2                                 </w:t>
      </w:r>
      <w:r w:rsidRPr="00FA0D37">
        <w:rPr>
          <w:color w:val="993366"/>
        </w:rPr>
        <w:t>SEQUENCE</w:t>
      </w:r>
      <w:r w:rsidRPr="00FA0D37">
        <w:t xml:space="preserve"> {</w:t>
      </w:r>
    </w:p>
    <w:p w14:paraId="290D6F53" w14:textId="77777777" w:rsidR="00394471" w:rsidRPr="00FA0D37" w:rsidRDefault="00394471" w:rsidP="00FA0D37">
      <w:pPr>
        <w:pStyle w:val="PL"/>
      </w:pPr>
      <w:r w:rsidRPr="00FA0D37">
        <w:t xml:space="preserve">            scs-60kHz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Pr="00FA0D37">
        <w:rPr>
          <w:color w:val="993366"/>
        </w:rPr>
        <w:t>OPTIONAL</w:t>
      </w:r>
      <w:r w:rsidRPr="00FA0D37">
        <w:t>,</w:t>
      </w:r>
    </w:p>
    <w:p w14:paraId="03749A26" w14:textId="77777777" w:rsidR="00394471" w:rsidRPr="00FA0D37" w:rsidRDefault="00394471" w:rsidP="00FA0D37">
      <w:pPr>
        <w:pStyle w:val="PL"/>
      </w:pPr>
      <w:r w:rsidRPr="00FA0D37">
        <w:t xml:space="preserve">            scs-120kHz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Pr="00FA0D37">
        <w:rPr>
          <w:color w:val="993366"/>
        </w:rPr>
        <w:t>OPTIONAL</w:t>
      </w:r>
    </w:p>
    <w:p w14:paraId="2B4A52DC" w14:textId="77777777" w:rsidR="00394471" w:rsidRPr="00FA0D37" w:rsidRDefault="00394471" w:rsidP="00FA0D37">
      <w:pPr>
        <w:pStyle w:val="PL"/>
      </w:pPr>
      <w:r w:rsidRPr="00FA0D37">
        <w:t xml:space="preserve">        }</w:t>
      </w:r>
    </w:p>
    <w:p w14:paraId="5D599E75" w14:textId="77777777" w:rsidR="00394471" w:rsidRPr="00FA0D37" w:rsidRDefault="00394471" w:rsidP="00FA0D37">
      <w:pPr>
        <w:pStyle w:val="PL"/>
      </w:pPr>
      <w:r w:rsidRPr="00FA0D37">
        <w:t xml:space="preserve">    }                                                                               </w:t>
      </w:r>
      <w:r w:rsidRPr="00FA0D37">
        <w:rPr>
          <w:color w:val="993366"/>
        </w:rPr>
        <w:t>OPTIONAL</w:t>
      </w:r>
      <w:r w:rsidRPr="00FA0D37">
        <w:t>,</w:t>
      </w:r>
    </w:p>
    <w:p w14:paraId="5220D4DB" w14:textId="77777777" w:rsidR="00394471" w:rsidRPr="00FA0D37" w:rsidRDefault="00394471" w:rsidP="00FA0D37">
      <w:pPr>
        <w:pStyle w:val="PL"/>
      </w:pPr>
      <w:r w:rsidRPr="00FA0D37">
        <w:t xml:space="preserve">    channelBWs-UL-v1590                 </w:t>
      </w:r>
      <w:r w:rsidRPr="00FA0D37">
        <w:rPr>
          <w:color w:val="993366"/>
        </w:rPr>
        <w:t>CHOICE</w:t>
      </w:r>
      <w:r w:rsidRPr="00FA0D37">
        <w:t xml:space="preserve"> {</w:t>
      </w:r>
    </w:p>
    <w:p w14:paraId="5092B40B" w14:textId="77777777" w:rsidR="00394471" w:rsidRPr="00FA0D37" w:rsidRDefault="00394471" w:rsidP="00FA0D37">
      <w:pPr>
        <w:pStyle w:val="PL"/>
      </w:pPr>
      <w:r w:rsidRPr="00FA0D37">
        <w:t xml:space="preserve">        fr1                                 </w:t>
      </w:r>
      <w:r w:rsidRPr="00FA0D37">
        <w:rPr>
          <w:color w:val="993366"/>
        </w:rPr>
        <w:t>SEQUENCE</w:t>
      </w:r>
      <w:r w:rsidRPr="00FA0D37">
        <w:t xml:space="preserve"> {</w:t>
      </w:r>
    </w:p>
    <w:p w14:paraId="2711E5B6" w14:textId="77777777" w:rsidR="00394471" w:rsidRPr="00FA0D37" w:rsidRDefault="00394471" w:rsidP="00FA0D37">
      <w:pPr>
        <w:pStyle w:val="PL"/>
      </w:pPr>
      <w:r w:rsidRPr="00FA0D37">
        <w:t xml:space="preserve">            scs-15kHz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74A6372E" w14:textId="77777777" w:rsidR="00394471" w:rsidRPr="00FA0D37" w:rsidRDefault="00394471" w:rsidP="00FA0D37">
      <w:pPr>
        <w:pStyle w:val="PL"/>
      </w:pPr>
      <w:r w:rsidRPr="00FA0D37">
        <w:t xml:space="preserve">            scs-30kHz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279FC52A" w14:textId="77777777" w:rsidR="00394471" w:rsidRPr="00FA0D37" w:rsidRDefault="00394471" w:rsidP="00FA0D37">
      <w:pPr>
        <w:pStyle w:val="PL"/>
      </w:pPr>
      <w:r w:rsidRPr="00FA0D37">
        <w:t xml:space="preserve">            scs-60kHz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375BB400" w14:textId="77777777" w:rsidR="00394471" w:rsidRPr="00FA0D37" w:rsidRDefault="00394471" w:rsidP="00FA0D37">
      <w:pPr>
        <w:pStyle w:val="PL"/>
      </w:pPr>
      <w:r w:rsidRPr="00FA0D37">
        <w:t xml:space="preserve">        },</w:t>
      </w:r>
    </w:p>
    <w:p w14:paraId="54153260" w14:textId="77777777" w:rsidR="00394471" w:rsidRPr="00FA0D37" w:rsidRDefault="00394471" w:rsidP="00FA0D37">
      <w:pPr>
        <w:pStyle w:val="PL"/>
      </w:pPr>
      <w:r w:rsidRPr="00FA0D37">
        <w:t xml:space="preserve">        fr2                                 </w:t>
      </w:r>
      <w:r w:rsidRPr="00FA0D37">
        <w:rPr>
          <w:color w:val="993366"/>
        </w:rPr>
        <w:t>SEQUENCE</w:t>
      </w:r>
      <w:r w:rsidRPr="00FA0D37">
        <w:t xml:space="preserve"> {</w:t>
      </w:r>
    </w:p>
    <w:p w14:paraId="4C3A6690" w14:textId="77777777" w:rsidR="00394471" w:rsidRPr="00FA0D37" w:rsidRDefault="00394471" w:rsidP="00FA0D37">
      <w:pPr>
        <w:pStyle w:val="PL"/>
      </w:pPr>
      <w:r w:rsidRPr="00FA0D37">
        <w:t xml:space="preserve">            scs-60kHz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Pr="00FA0D37">
        <w:rPr>
          <w:color w:val="993366"/>
        </w:rPr>
        <w:t>OPTIONAL</w:t>
      </w:r>
      <w:r w:rsidRPr="00FA0D37">
        <w:t>,</w:t>
      </w:r>
    </w:p>
    <w:p w14:paraId="777D8C68" w14:textId="77777777" w:rsidR="00394471" w:rsidRPr="00FA0D37" w:rsidRDefault="00394471" w:rsidP="00FA0D37">
      <w:pPr>
        <w:pStyle w:val="PL"/>
      </w:pPr>
      <w:r w:rsidRPr="00FA0D37">
        <w:t xml:space="preserve">            scs-120kHz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Pr="00FA0D37">
        <w:rPr>
          <w:color w:val="993366"/>
        </w:rPr>
        <w:t>OPTIONAL</w:t>
      </w:r>
    </w:p>
    <w:p w14:paraId="268079C7" w14:textId="77777777" w:rsidR="00394471" w:rsidRPr="00FA0D37" w:rsidRDefault="00394471" w:rsidP="00FA0D37">
      <w:pPr>
        <w:pStyle w:val="PL"/>
      </w:pPr>
      <w:r w:rsidRPr="00FA0D37">
        <w:t xml:space="preserve">        }</w:t>
      </w:r>
    </w:p>
    <w:p w14:paraId="29CC94D8" w14:textId="77777777" w:rsidR="00394471" w:rsidRPr="00FA0D37" w:rsidRDefault="00394471" w:rsidP="00FA0D37">
      <w:pPr>
        <w:pStyle w:val="PL"/>
      </w:pPr>
      <w:r w:rsidRPr="00FA0D37">
        <w:t xml:space="preserve">    }                                                                               </w:t>
      </w:r>
      <w:r w:rsidRPr="00FA0D37">
        <w:rPr>
          <w:color w:val="993366"/>
        </w:rPr>
        <w:t>OPTIONAL</w:t>
      </w:r>
    </w:p>
    <w:p w14:paraId="2876FC3C" w14:textId="77777777" w:rsidR="00394471" w:rsidRPr="00FA0D37" w:rsidRDefault="00394471" w:rsidP="00FA0D37">
      <w:pPr>
        <w:pStyle w:val="PL"/>
      </w:pPr>
      <w:r w:rsidRPr="00FA0D37">
        <w:t xml:space="preserve">    ]],</w:t>
      </w:r>
    </w:p>
    <w:p w14:paraId="77B7547F" w14:textId="77777777" w:rsidR="00394471" w:rsidRPr="00FA0D37" w:rsidRDefault="00394471" w:rsidP="00FA0D37">
      <w:pPr>
        <w:pStyle w:val="PL"/>
      </w:pPr>
      <w:r w:rsidRPr="00FA0D37">
        <w:t xml:space="preserve">    [[</w:t>
      </w:r>
    </w:p>
    <w:p w14:paraId="4F319003" w14:textId="77777777" w:rsidR="00394471" w:rsidRPr="00FA0D37" w:rsidRDefault="00394471" w:rsidP="00FA0D37">
      <w:pPr>
        <w:pStyle w:val="PL"/>
      </w:pPr>
      <w:r w:rsidRPr="00FA0D37">
        <w:t xml:space="preserve">    asymmetricBandwidthCombinationSet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(1..32))           </w:t>
      </w:r>
      <w:r w:rsidRPr="00FA0D37">
        <w:rPr>
          <w:color w:val="993366"/>
        </w:rPr>
        <w:t>OPTIONAL</w:t>
      </w:r>
    </w:p>
    <w:p w14:paraId="3B6E90F1" w14:textId="77777777" w:rsidR="00394471" w:rsidRPr="00FA0D37" w:rsidRDefault="00394471" w:rsidP="00FA0D37">
      <w:pPr>
        <w:pStyle w:val="PL"/>
      </w:pPr>
      <w:r w:rsidRPr="00FA0D37">
        <w:t xml:space="preserve">    ]],</w:t>
      </w:r>
    </w:p>
    <w:p w14:paraId="1BBB3CD4" w14:textId="77777777" w:rsidR="00394471" w:rsidRPr="00FA0D37" w:rsidRDefault="00394471" w:rsidP="00FA0D37">
      <w:pPr>
        <w:pStyle w:val="PL"/>
      </w:pPr>
      <w:r w:rsidRPr="00FA0D37">
        <w:t xml:space="preserve">    [[</w:t>
      </w:r>
    </w:p>
    <w:p w14:paraId="79194B3B"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 NR-unlicensed</w:t>
      </w:r>
    </w:p>
    <w:p w14:paraId="5A681BCE" w14:textId="77777777" w:rsidR="00394471" w:rsidRPr="00FA0D37" w:rsidRDefault="00394471" w:rsidP="00FA0D37">
      <w:pPr>
        <w:pStyle w:val="PL"/>
      </w:pPr>
      <w:r w:rsidRPr="00FA0D37">
        <w:t xml:space="preserve">    </w:t>
      </w:r>
      <w:r w:rsidRPr="00FA0D37">
        <w:rPr>
          <w:rFonts w:eastAsiaTheme="minorEastAsia"/>
        </w:rPr>
        <w:t>sharedSpectrumChAccessParamsPerBand-r16</w:t>
      </w:r>
      <w:r w:rsidRPr="00FA0D37">
        <w:t xml:space="preserve"> </w:t>
      </w:r>
      <w:r w:rsidRPr="00FA0D37">
        <w:rPr>
          <w:rFonts w:eastAsiaTheme="minorEastAsia"/>
        </w:rPr>
        <w:t>SharedSpectrumChAccessParamsPerBand-r16</w:t>
      </w:r>
      <w:r w:rsidRPr="00FA0D37">
        <w:t xml:space="preserve"> </w:t>
      </w:r>
      <w:r w:rsidRPr="00FA0D37">
        <w:rPr>
          <w:rFonts w:eastAsiaTheme="minorEastAsia"/>
          <w:color w:val="993366"/>
        </w:rPr>
        <w:t>OPTIONAL</w:t>
      </w:r>
      <w:r w:rsidRPr="00FA0D37">
        <w:rPr>
          <w:rFonts w:eastAsiaTheme="minorEastAsia"/>
        </w:rPr>
        <w:t>,</w:t>
      </w:r>
    </w:p>
    <w:p w14:paraId="66FF93F6"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11-7b: Independent cancellation of the overlapping PUSCHs in an intra-band UL CA</w:t>
      </w:r>
    </w:p>
    <w:p w14:paraId="75DC344F" w14:textId="77777777" w:rsidR="00394471" w:rsidRPr="00FA0D37" w:rsidRDefault="00394471" w:rsidP="00FA0D37">
      <w:pPr>
        <w:pStyle w:val="PL"/>
        <w:rPr>
          <w:rFonts w:eastAsiaTheme="minorEastAsia"/>
        </w:rPr>
      </w:pPr>
      <w:r w:rsidRPr="00FA0D37">
        <w:t xml:space="preserve">    </w:t>
      </w:r>
      <w:r w:rsidRPr="00FA0D37">
        <w:rPr>
          <w:rFonts w:eastAsiaTheme="minorEastAsia"/>
        </w:rPr>
        <w:t>cancelOverlappingPUSCH-r16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1BCFA2C7"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14-1: Multiple LTE-CRS rate matching patterns</w:t>
      </w:r>
    </w:p>
    <w:p w14:paraId="07A46B50" w14:textId="77777777" w:rsidR="00394471" w:rsidRPr="00FA0D37" w:rsidRDefault="00394471" w:rsidP="00FA0D37">
      <w:pPr>
        <w:pStyle w:val="PL"/>
        <w:rPr>
          <w:rFonts w:eastAsiaTheme="minorEastAsia"/>
        </w:rPr>
      </w:pPr>
      <w:r w:rsidRPr="00FA0D37">
        <w:t xml:space="preserve">    </w:t>
      </w:r>
      <w:r w:rsidRPr="00FA0D37">
        <w:rPr>
          <w:rFonts w:eastAsiaTheme="minorEastAsia"/>
        </w:rPr>
        <w:t>multipleRateMatchingEUTRA-CRS-r16</w:t>
      </w:r>
      <w:r w:rsidRPr="00FA0D37">
        <w:t xml:space="preserve">       </w:t>
      </w:r>
      <w:r w:rsidRPr="00FA0D37">
        <w:rPr>
          <w:rFonts w:eastAsiaTheme="minorEastAsia"/>
          <w:color w:val="993366"/>
        </w:rPr>
        <w:t>SEQUENCE</w:t>
      </w:r>
      <w:r w:rsidRPr="00FA0D37">
        <w:rPr>
          <w:rFonts w:eastAsiaTheme="minorEastAsia"/>
        </w:rPr>
        <w:t xml:space="preserve"> {</w:t>
      </w:r>
    </w:p>
    <w:p w14:paraId="49B58652" w14:textId="77777777" w:rsidR="00394471" w:rsidRPr="00FA0D37" w:rsidRDefault="00394471" w:rsidP="00FA0D37">
      <w:pPr>
        <w:pStyle w:val="PL"/>
        <w:rPr>
          <w:rFonts w:eastAsiaTheme="minorEastAsia"/>
        </w:rPr>
      </w:pPr>
      <w:r w:rsidRPr="00FA0D37">
        <w:t xml:space="preserve">        </w:t>
      </w:r>
      <w:r w:rsidRPr="00FA0D37">
        <w:rPr>
          <w:rFonts w:eastAsiaTheme="minorEastAsia"/>
        </w:rPr>
        <w:t>maxNumberPatterns-r16</w:t>
      </w:r>
      <w:r w:rsidRPr="00FA0D37">
        <w:t xml:space="preserve">               </w:t>
      </w:r>
      <w:r w:rsidRPr="00FA0D37">
        <w:rPr>
          <w:rFonts w:eastAsiaTheme="minorEastAsia"/>
          <w:color w:val="993366"/>
        </w:rPr>
        <w:t>INTEGER</w:t>
      </w:r>
      <w:r w:rsidRPr="00FA0D37">
        <w:rPr>
          <w:rFonts w:eastAsiaTheme="minorEastAsia"/>
        </w:rPr>
        <w:t xml:space="preserve"> (2..6),</w:t>
      </w:r>
    </w:p>
    <w:p w14:paraId="53EEE2B6" w14:textId="77777777" w:rsidR="00394471" w:rsidRPr="00FA0D37" w:rsidRDefault="00394471" w:rsidP="00FA0D37">
      <w:pPr>
        <w:pStyle w:val="PL"/>
        <w:rPr>
          <w:rFonts w:eastAsiaTheme="minorEastAsia"/>
        </w:rPr>
      </w:pPr>
      <w:r w:rsidRPr="00FA0D37">
        <w:t xml:space="preserve">        </w:t>
      </w:r>
      <w:r w:rsidRPr="00FA0D37">
        <w:rPr>
          <w:rFonts w:eastAsiaTheme="minorEastAsia"/>
        </w:rPr>
        <w:t>maxNumberNon-OverlapPatterns-r16</w:t>
      </w:r>
      <w:r w:rsidRPr="00FA0D37">
        <w:t xml:space="preserve">    </w:t>
      </w:r>
      <w:r w:rsidRPr="00FA0D37">
        <w:rPr>
          <w:rFonts w:eastAsiaTheme="minorEastAsia"/>
          <w:color w:val="993366"/>
        </w:rPr>
        <w:t>INTEGER</w:t>
      </w:r>
      <w:r w:rsidRPr="00FA0D37">
        <w:rPr>
          <w:rFonts w:eastAsiaTheme="minorEastAsia"/>
        </w:rPr>
        <w:t xml:space="preserve"> (1..3)</w:t>
      </w:r>
    </w:p>
    <w:p w14:paraId="0E7C41AD" w14:textId="77777777" w:rsidR="00394471" w:rsidRPr="00FA0D37" w:rsidRDefault="00394471" w:rsidP="00FA0D37">
      <w:pPr>
        <w:pStyle w:val="PL"/>
        <w:rPr>
          <w:rFonts w:eastAsiaTheme="minorEastAsia"/>
        </w:rPr>
      </w:pPr>
      <w:r w:rsidRPr="00FA0D37">
        <w:t xml:space="preserve">    </w:t>
      </w:r>
      <w:r w:rsidRPr="00FA0D37">
        <w:rPr>
          <w:rFonts w:eastAsiaTheme="minorEastAsia"/>
        </w:rPr>
        <w:t>}</w:t>
      </w:r>
      <w:r w:rsidRPr="00FA0D37">
        <w:t xml:space="preserve">                                                                               </w:t>
      </w:r>
      <w:r w:rsidRPr="00FA0D37">
        <w:rPr>
          <w:rFonts w:eastAsiaTheme="minorEastAsia"/>
          <w:color w:val="993366"/>
        </w:rPr>
        <w:t>OPTIONAL</w:t>
      </w:r>
      <w:r w:rsidRPr="00FA0D37">
        <w:rPr>
          <w:rFonts w:eastAsiaTheme="minorEastAsia"/>
        </w:rPr>
        <w:t>,</w:t>
      </w:r>
    </w:p>
    <w:p w14:paraId="4FF0505B"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14-1a: Two LTE-CRS overlapping rate matching patterns within a part of NR carrier using 15 kHz overlapping with a LTE carrier</w:t>
      </w:r>
    </w:p>
    <w:p w14:paraId="514789FA" w14:textId="77777777" w:rsidR="00394471" w:rsidRPr="00FA0D37" w:rsidRDefault="00394471" w:rsidP="00FA0D37">
      <w:pPr>
        <w:pStyle w:val="PL"/>
        <w:rPr>
          <w:rFonts w:eastAsiaTheme="minorEastAsia"/>
        </w:rPr>
      </w:pPr>
      <w:r w:rsidRPr="00FA0D37">
        <w:t xml:space="preserve">    </w:t>
      </w:r>
      <w:r w:rsidRPr="00FA0D37">
        <w:rPr>
          <w:rFonts w:eastAsiaTheme="minorEastAsia"/>
        </w:rPr>
        <w:t>overlapRateMatchingEUTRA-CRS-r16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40850A45"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14-2: PDSCH Type B mapping of length 9 and 10 OFDM symbols</w:t>
      </w:r>
    </w:p>
    <w:p w14:paraId="4AE7D9B9" w14:textId="77777777" w:rsidR="00394471" w:rsidRPr="00FA0D37" w:rsidRDefault="00394471" w:rsidP="00FA0D37">
      <w:pPr>
        <w:pStyle w:val="PL"/>
        <w:rPr>
          <w:rFonts w:eastAsiaTheme="minorEastAsia"/>
        </w:rPr>
      </w:pPr>
      <w:r w:rsidRPr="00FA0D37">
        <w:t xml:space="preserve">    </w:t>
      </w:r>
      <w:r w:rsidRPr="00FA0D37">
        <w:rPr>
          <w:rFonts w:eastAsiaTheme="minorEastAsia"/>
        </w:rPr>
        <w:t>pdsch-MappingTypeB-Alt-r16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3B98742F"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14-3: One slot periodic TRS configuration for FR1</w:t>
      </w:r>
    </w:p>
    <w:p w14:paraId="62AE1114" w14:textId="77777777" w:rsidR="00394471" w:rsidRPr="00FA0D37" w:rsidRDefault="00394471" w:rsidP="00FA0D37">
      <w:pPr>
        <w:pStyle w:val="PL"/>
        <w:rPr>
          <w:rFonts w:eastAsiaTheme="minorEastAsia"/>
        </w:rPr>
      </w:pPr>
      <w:r w:rsidRPr="00FA0D37">
        <w:t xml:space="preserve">    </w:t>
      </w:r>
      <w:r w:rsidRPr="00FA0D37">
        <w:rPr>
          <w:rFonts w:eastAsiaTheme="minorEastAsia"/>
        </w:rPr>
        <w:t>oneSlotPeriodicTRS-r16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4AD21C95" w14:textId="77777777" w:rsidR="00394471" w:rsidRPr="00FA0D37" w:rsidRDefault="00394471" w:rsidP="00FA0D37">
      <w:pPr>
        <w:pStyle w:val="PL"/>
        <w:rPr>
          <w:rFonts w:eastAsiaTheme="minorEastAsia"/>
        </w:rPr>
      </w:pPr>
      <w:r w:rsidRPr="00FA0D37">
        <w:t xml:space="preserve">    olpc-SRS-Pos-r16                        </w:t>
      </w:r>
      <w:r w:rsidRPr="00FA0D37">
        <w:rPr>
          <w:rFonts w:eastAsiaTheme="minorEastAsia"/>
        </w:rPr>
        <w:t>OLPC-SRS-Pos-r16</w:t>
      </w:r>
      <w:r w:rsidRPr="00FA0D37">
        <w:t xml:space="preserve">                        </w:t>
      </w:r>
      <w:r w:rsidRPr="00FA0D37">
        <w:rPr>
          <w:rFonts w:eastAsiaTheme="minorEastAsia"/>
          <w:color w:val="993366"/>
        </w:rPr>
        <w:t>OPTIONAL</w:t>
      </w:r>
      <w:r w:rsidRPr="00FA0D37">
        <w:rPr>
          <w:rFonts w:eastAsiaTheme="minorEastAsia"/>
        </w:rPr>
        <w:t>,</w:t>
      </w:r>
    </w:p>
    <w:p w14:paraId="799F64AE" w14:textId="77777777" w:rsidR="00394471" w:rsidRPr="00FA0D37" w:rsidRDefault="00394471" w:rsidP="00FA0D37">
      <w:pPr>
        <w:pStyle w:val="PL"/>
      </w:pPr>
      <w:r w:rsidRPr="00FA0D37">
        <w:t xml:space="preserve">    spatialRelationsSRS-Pos-r16             SpatialRelationsSRS-Pos-r16             </w:t>
      </w:r>
      <w:r w:rsidRPr="00FA0D37">
        <w:rPr>
          <w:color w:val="993366"/>
        </w:rPr>
        <w:t>OPTIONAL</w:t>
      </w:r>
      <w:r w:rsidRPr="00FA0D37">
        <w:t>,</w:t>
      </w:r>
    </w:p>
    <w:p w14:paraId="72E65E45" w14:textId="77777777" w:rsidR="00394471" w:rsidRPr="00FA0D37" w:rsidRDefault="00394471" w:rsidP="00FA0D37">
      <w:pPr>
        <w:pStyle w:val="PL"/>
      </w:pPr>
      <w:r w:rsidRPr="00FA0D37">
        <w:t xml:space="preserve">    simulSRS-MIMO-TransWithinBand-r16       </w:t>
      </w:r>
      <w:r w:rsidRPr="00FA0D37">
        <w:rPr>
          <w:color w:val="993366"/>
        </w:rPr>
        <w:t>ENUMERATED</w:t>
      </w:r>
      <w:r w:rsidRPr="00FA0D37">
        <w:t xml:space="preserve"> {n2}                         </w:t>
      </w:r>
      <w:r w:rsidRPr="00FA0D37">
        <w:rPr>
          <w:color w:val="993366"/>
        </w:rPr>
        <w:t>OPTIONAL</w:t>
      </w:r>
      <w:r w:rsidRPr="00FA0D37">
        <w:t>,</w:t>
      </w:r>
    </w:p>
    <w:p w14:paraId="0ABB6F09" w14:textId="77777777" w:rsidR="00394471" w:rsidRPr="00FA0D37" w:rsidRDefault="00394471" w:rsidP="00FA0D37">
      <w:pPr>
        <w:pStyle w:val="PL"/>
      </w:pPr>
      <w:r w:rsidRPr="00FA0D37">
        <w:t xml:space="preserve">    channelBW-DL-IAB-r16                    </w:t>
      </w:r>
      <w:r w:rsidRPr="00FA0D37">
        <w:rPr>
          <w:color w:val="993366"/>
        </w:rPr>
        <w:t>CHOICE</w:t>
      </w:r>
      <w:r w:rsidRPr="00FA0D37">
        <w:t xml:space="preserve"> {</w:t>
      </w:r>
    </w:p>
    <w:p w14:paraId="539F6A62" w14:textId="77777777" w:rsidR="00394471" w:rsidRPr="00FA0D37" w:rsidRDefault="00394471" w:rsidP="00FA0D37">
      <w:pPr>
        <w:pStyle w:val="PL"/>
      </w:pPr>
      <w:r w:rsidRPr="00FA0D37">
        <w:t xml:space="preserve">        fr1-100mhz                              </w:t>
      </w:r>
      <w:r w:rsidRPr="00FA0D37">
        <w:rPr>
          <w:color w:val="993366"/>
        </w:rPr>
        <w:t>SEQUENCE</w:t>
      </w:r>
      <w:r w:rsidRPr="00FA0D37">
        <w:t xml:space="preserve"> {</w:t>
      </w:r>
    </w:p>
    <w:p w14:paraId="25C121B2" w14:textId="77777777" w:rsidR="00394471" w:rsidRPr="00FA0D37" w:rsidRDefault="00394471" w:rsidP="00FA0D37">
      <w:pPr>
        <w:pStyle w:val="PL"/>
      </w:pPr>
      <w:r w:rsidRPr="00FA0D37">
        <w:t xml:space="preserve">            scs-15kHz                               </w:t>
      </w:r>
      <w:r w:rsidRPr="00FA0D37">
        <w:rPr>
          <w:color w:val="993366"/>
        </w:rPr>
        <w:t>ENUMERATED</w:t>
      </w:r>
      <w:r w:rsidRPr="00FA0D37">
        <w:t xml:space="preserve"> {supported}          </w:t>
      </w:r>
      <w:r w:rsidRPr="00FA0D37">
        <w:rPr>
          <w:color w:val="993366"/>
        </w:rPr>
        <w:t>OPTIONAL</w:t>
      </w:r>
      <w:r w:rsidRPr="00FA0D37">
        <w:t>,</w:t>
      </w:r>
    </w:p>
    <w:p w14:paraId="7D36794F" w14:textId="77777777" w:rsidR="00394471" w:rsidRPr="00FA0D37" w:rsidRDefault="00394471" w:rsidP="00FA0D37">
      <w:pPr>
        <w:pStyle w:val="PL"/>
      </w:pPr>
      <w:r w:rsidRPr="00FA0D37">
        <w:t xml:space="preserve">            scs-30kHz                               </w:t>
      </w:r>
      <w:r w:rsidRPr="00FA0D37">
        <w:rPr>
          <w:color w:val="993366"/>
        </w:rPr>
        <w:t>ENUMERATED</w:t>
      </w:r>
      <w:r w:rsidRPr="00FA0D37">
        <w:t xml:space="preserve"> {supported}          </w:t>
      </w:r>
      <w:r w:rsidRPr="00FA0D37">
        <w:rPr>
          <w:color w:val="993366"/>
        </w:rPr>
        <w:t>OPTIONAL</w:t>
      </w:r>
      <w:r w:rsidRPr="00FA0D37">
        <w:t>,</w:t>
      </w:r>
    </w:p>
    <w:p w14:paraId="2DD8CF20" w14:textId="77777777" w:rsidR="00394471" w:rsidRPr="00FA0D37" w:rsidRDefault="00394471" w:rsidP="00FA0D37">
      <w:pPr>
        <w:pStyle w:val="PL"/>
      </w:pPr>
      <w:r w:rsidRPr="00FA0D37">
        <w:t xml:space="preserve">            scs-60kHz                               </w:t>
      </w:r>
      <w:r w:rsidRPr="00FA0D37">
        <w:rPr>
          <w:color w:val="993366"/>
        </w:rPr>
        <w:t>ENUMERATED</w:t>
      </w:r>
      <w:r w:rsidRPr="00FA0D37">
        <w:t xml:space="preserve"> {supported}          </w:t>
      </w:r>
      <w:r w:rsidRPr="00FA0D37">
        <w:rPr>
          <w:color w:val="993366"/>
        </w:rPr>
        <w:t>OPTIONAL</w:t>
      </w:r>
    </w:p>
    <w:p w14:paraId="718EC92D" w14:textId="77777777" w:rsidR="00394471" w:rsidRPr="00FA0D37" w:rsidRDefault="00394471" w:rsidP="00FA0D37">
      <w:pPr>
        <w:pStyle w:val="PL"/>
      </w:pPr>
      <w:r w:rsidRPr="00FA0D37">
        <w:t xml:space="preserve">        },</w:t>
      </w:r>
    </w:p>
    <w:p w14:paraId="0DC8B94A" w14:textId="77777777" w:rsidR="00394471" w:rsidRPr="00FA0D37" w:rsidRDefault="00394471" w:rsidP="00FA0D37">
      <w:pPr>
        <w:pStyle w:val="PL"/>
      </w:pPr>
      <w:r w:rsidRPr="00FA0D37">
        <w:t xml:space="preserve">        fr2-200mhz                          </w:t>
      </w:r>
      <w:r w:rsidRPr="00FA0D37">
        <w:rPr>
          <w:color w:val="993366"/>
        </w:rPr>
        <w:t>SEQUENCE</w:t>
      </w:r>
      <w:r w:rsidRPr="00FA0D37">
        <w:t xml:space="preserve"> {</w:t>
      </w:r>
    </w:p>
    <w:p w14:paraId="6878FBC3" w14:textId="77777777" w:rsidR="00394471" w:rsidRPr="00FA0D37" w:rsidRDefault="00394471" w:rsidP="00FA0D37">
      <w:pPr>
        <w:pStyle w:val="PL"/>
      </w:pPr>
      <w:r w:rsidRPr="00FA0D37">
        <w:t xml:space="preserve">            scs-60kHz                           </w:t>
      </w:r>
      <w:r w:rsidRPr="00FA0D37">
        <w:rPr>
          <w:color w:val="993366"/>
        </w:rPr>
        <w:t>ENUMERATED</w:t>
      </w:r>
      <w:r w:rsidRPr="00FA0D37">
        <w:t xml:space="preserve"> {supported}              </w:t>
      </w:r>
      <w:r w:rsidRPr="00FA0D37">
        <w:rPr>
          <w:color w:val="993366"/>
        </w:rPr>
        <w:t>OPTIONAL</w:t>
      </w:r>
      <w:r w:rsidRPr="00FA0D37">
        <w:t>,</w:t>
      </w:r>
    </w:p>
    <w:p w14:paraId="045F444E" w14:textId="77777777" w:rsidR="00394471" w:rsidRPr="00FA0D37" w:rsidRDefault="00394471" w:rsidP="00FA0D37">
      <w:pPr>
        <w:pStyle w:val="PL"/>
      </w:pPr>
      <w:r w:rsidRPr="00FA0D37">
        <w:t xml:space="preserve">            scs-120kHz                          </w:t>
      </w:r>
      <w:r w:rsidRPr="00FA0D37">
        <w:rPr>
          <w:color w:val="993366"/>
        </w:rPr>
        <w:t>ENUMERATED</w:t>
      </w:r>
      <w:r w:rsidRPr="00FA0D37">
        <w:t xml:space="preserve"> {supported}              </w:t>
      </w:r>
      <w:r w:rsidRPr="00FA0D37">
        <w:rPr>
          <w:color w:val="993366"/>
        </w:rPr>
        <w:t>OPTIONAL</w:t>
      </w:r>
    </w:p>
    <w:p w14:paraId="55CC1D5B" w14:textId="77777777" w:rsidR="00394471" w:rsidRPr="00FA0D37" w:rsidRDefault="00394471" w:rsidP="00FA0D37">
      <w:pPr>
        <w:pStyle w:val="PL"/>
      </w:pPr>
      <w:r w:rsidRPr="00FA0D37">
        <w:t xml:space="preserve">        }</w:t>
      </w:r>
    </w:p>
    <w:p w14:paraId="128F0EAB" w14:textId="77777777" w:rsidR="00394471" w:rsidRPr="00FA0D37" w:rsidRDefault="00394471" w:rsidP="00FA0D37">
      <w:pPr>
        <w:pStyle w:val="PL"/>
      </w:pPr>
      <w:r w:rsidRPr="00FA0D37">
        <w:lastRenderedPageBreak/>
        <w:t xml:space="preserve">    }                                                                               </w:t>
      </w:r>
      <w:r w:rsidRPr="00FA0D37">
        <w:rPr>
          <w:color w:val="993366"/>
        </w:rPr>
        <w:t>OPTIONAL</w:t>
      </w:r>
      <w:r w:rsidRPr="00FA0D37">
        <w:t>,</w:t>
      </w:r>
    </w:p>
    <w:p w14:paraId="15326B19" w14:textId="77777777" w:rsidR="00394471" w:rsidRPr="00FA0D37" w:rsidRDefault="00394471" w:rsidP="00FA0D37">
      <w:pPr>
        <w:pStyle w:val="PL"/>
      </w:pPr>
      <w:r w:rsidRPr="00FA0D37">
        <w:t xml:space="preserve">    channelBW-UL-IAB-r16                    </w:t>
      </w:r>
      <w:r w:rsidRPr="00FA0D37">
        <w:rPr>
          <w:color w:val="993366"/>
        </w:rPr>
        <w:t>CHOICE</w:t>
      </w:r>
      <w:r w:rsidRPr="00FA0D37">
        <w:t xml:space="preserve"> {</w:t>
      </w:r>
    </w:p>
    <w:p w14:paraId="4A4361AB" w14:textId="77777777" w:rsidR="00394471" w:rsidRPr="00FA0D37" w:rsidRDefault="00394471" w:rsidP="00FA0D37">
      <w:pPr>
        <w:pStyle w:val="PL"/>
      </w:pPr>
      <w:r w:rsidRPr="00FA0D37">
        <w:t xml:space="preserve">        fr1-100mhz                              </w:t>
      </w:r>
      <w:r w:rsidRPr="00FA0D37">
        <w:rPr>
          <w:color w:val="993366"/>
        </w:rPr>
        <w:t>SEQUENCE</w:t>
      </w:r>
      <w:r w:rsidRPr="00FA0D37">
        <w:t xml:space="preserve"> {</w:t>
      </w:r>
    </w:p>
    <w:p w14:paraId="1606B0D2" w14:textId="77777777" w:rsidR="00394471" w:rsidRPr="00FA0D37" w:rsidRDefault="00394471" w:rsidP="00FA0D37">
      <w:pPr>
        <w:pStyle w:val="PL"/>
      </w:pPr>
      <w:r w:rsidRPr="00FA0D37">
        <w:t xml:space="preserve">            scs-15kHz                               </w:t>
      </w:r>
      <w:r w:rsidRPr="00FA0D37">
        <w:rPr>
          <w:color w:val="993366"/>
        </w:rPr>
        <w:t>ENUMERATED</w:t>
      </w:r>
      <w:r w:rsidRPr="00FA0D37">
        <w:t xml:space="preserve"> {supported}          </w:t>
      </w:r>
      <w:r w:rsidRPr="00FA0D37">
        <w:rPr>
          <w:color w:val="993366"/>
        </w:rPr>
        <w:t>OPTIONAL</w:t>
      </w:r>
      <w:r w:rsidRPr="00FA0D37">
        <w:t>,</w:t>
      </w:r>
    </w:p>
    <w:p w14:paraId="19BA17A5" w14:textId="77777777" w:rsidR="00394471" w:rsidRPr="00FA0D37" w:rsidRDefault="00394471" w:rsidP="00FA0D37">
      <w:pPr>
        <w:pStyle w:val="PL"/>
      </w:pPr>
      <w:r w:rsidRPr="00FA0D37">
        <w:t xml:space="preserve">            scs-30kHz                               </w:t>
      </w:r>
      <w:r w:rsidRPr="00FA0D37">
        <w:rPr>
          <w:color w:val="993366"/>
        </w:rPr>
        <w:t>ENUMERATED</w:t>
      </w:r>
      <w:r w:rsidRPr="00FA0D37">
        <w:t xml:space="preserve"> {supported}          </w:t>
      </w:r>
      <w:r w:rsidRPr="00FA0D37">
        <w:rPr>
          <w:color w:val="993366"/>
        </w:rPr>
        <w:t>OPTIONAL</w:t>
      </w:r>
      <w:r w:rsidRPr="00FA0D37">
        <w:t>,</w:t>
      </w:r>
    </w:p>
    <w:p w14:paraId="1329E6FE" w14:textId="77777777" w:rsidR="00394471" w:rsidRPr="00FA0D37" w:rsidRDefault="00394471" w:rsidP="00FA0D37">
      <w:pPr>
        <w:pStyle w:val="PL"/>
      </w:pPr>
      <w:r w:rsidRPr="00FA0D37">
        <w:t xml:space="preserve">            scs-60kHz                               </w:t>
      </w:r>
      <w:r w:rsidRPr="00FA0D37">
        <w:rPr>
          <w:color w:val="993366"/>
        </w:rPr>
        <w:t>ENUMERATED</w:t>
      </w:r>
      <w:r w:rsidRPr="00FA0D37">
        <w:t xml:space="preserve"> {supported}          </w:t>
      </w:r>
      <w:r w:rsidRPr="00FA0D37">
        <w:rPr>
          <w:color w:val="993366"/>
        </w:rPr>
        <w:t>OPTIONAL</w:t>
      </w:r>
    </w:p>
    <w:p w14:paraId="498F4DC7" w14:textId="77777777" w:rsidR="00394471" w:rsidRPr="00FA0D37" w:rsidRDefault="00394471" w:rsidP="00FA0D37">
      <w:pPr>
        <w:pStyle w:val="PL"/>
      </w:pPr>
      <w:r w:rsidRPr="00FA0D37">
        <w:t xml:space="preserve">        },</w:t>
      </w:r>
    </w:p>
    <w:p w14:paraId="19A7AB47" w14:textId="77777777" w:rsidR="00394471" w:rsidRPr="00FA0D37" w:rsidRDefault="00394471" w:rsidP="00FA0D37">
      <w:pPr>
        <w:pStyle w:val="PL"/>
      </w:pPr>
      <w:r w:rsidRPr="00FA0D37">
        <w:t xml:space="preserve">        fr2-200mhz                              </w:t>
      </w:r>
      <w:r w:rsidRPr="00FA0D37">
        <w:rPr>
          <w:color w:val="993366"/>
        </w:rPr>
        <w:t>SEQUENCE</w:t>
      </w:r>
      <w:r w:rsidRPr="00FA0D37">
        <w:t xml:space="preserve"> {</w:t>
      </w:r>
    </w:p>
    <w:p w14:paraId="5062906B" w14:textId="77777777" w:rsidR="00394471" w:rsidRPr="00FA0D37" w:rsidRDefault="00394471" w:rsidP="00FA0D37">
      <w:pPr>
        <w:pStyle w:val="PL"/>
      </w:pPr>
      <w:r w:rsidRPr="00FA0D37">
        <w:t xml:space="preserve">            scs-60kHz                               </w:t>
      </w:r>
      <w:r w:rsidRPr="00FA0D37">
        <w:rPr>
          <w:color w:val="993366"/>
        </w:rPr>
        <w:t>ENUMERATED</w:t>
      </w:r>
      <w:r w:rsidRPr="00FA0D37">
        <w:t xml:space="preserve"> {supported}          </w:t>
      </w:r>
      <w:r w:rsidRPr="00FA0D37">
        <w:rPr>
          <w:color w:val="993366"/>
        </w:rPr>
        <w:t>OPTIONAL</w:t>
      </w:r>
      <w:r w:rsidRPr="00FA0D37">
        <w:t>,</w:t>
      </w:r>
    </w:p>
    <w:p w14:paraId="704B399A" w14:textId="77777777" w:rsidR="00394471" w:rsidRPr="00FA0D37" w:rsidRDefault="00394471" w:rsidP="00FA0D37">
      <w:pPr>
        <w:pStyle w:val="PL"/>
      </w:pPr>
      <w:r w:rsidRPr="00FA0D37">
        <w:t xml:space="preserve">            scs-120kHz                              </w:t>
      </w:r>
      <w:r w:rsidRPr="00FA0D37">
        <w:rPr>
          <w:color w:val="993366"/>
        </w:rPr>
        <w:t>ENUMERATED</w:t>
      </w:r>
      <w:r w:rsidRPr="00FA0D37">
        <w:t xml:space="preserve"> {supported}          </w:t>
      </w:r>
      <w:r w:rsidRPr="00FA0D37">
        <w:rPr>
          <w:color w:val="993366"/>
        </w:rPr>
        <w:t>OPTIONAL</w:t>
      </w:r>
    </w:p>
    <w:p w14:paraId="10EDB5E5" w14:textId="77777777" w:rsidR="00394471" w:rsidRPr="00FA0D37" w:rsidRDefault="00394471" w:rsidP="00FA0D37">
      <w:pPr>
        <w:pStyle w:val="PL"/>
      </w:pPr>
      <w:r w:rsidRPr="00FA0D37">
        <w:t xml:space="preserve">        }</w:t>
      </w:r>
    </w:p>
    <w:p w14:paraId="0A67C9DE" w14:textId="77777777" w:rsidR="00394471" w:rsidRPr="00FA0D37" w:rsidRDefault="00394471" w:rsidP="00FA0D37">
      <w:pPr>
        <w:pStyle w:val="PL"/>
      </w:pPr>
      <w:r w:rsidRPr="00FA0D37">
        <w:t xml:space="preserve">    }                                                                               </w:t>
      </w:r>
      <w:r w:rsidRPr="00FA0D37">
        <w:rPr>
          <w:color w:val="993366"/>
        </w:rPr>
        <w:t>OPTIONAL</w:t>
      </w:r>
      <w:r w:rsidRPr="00FA0D37">
        <w:t>,</w:t>
      </w:r>
    </w:p>
    <w:p w14:paraId="4AB7FB8D" w14:textId="77777777" w:rsidR="00394471" w:rsidRPr="00FA0D37" w:rsidRDefault="00394471" w:rsidP="00FA0D37">
      <w:pPr>
        <w:pStyle w:val="PL"/>
      </w:pPr>
      <w:r w:rsidRPr="00FA0D37">
        <w:t xml:space="preserve">    rasterShift7dot5-IAB-r16                </w:t>
      </w:r>
      <w:r w:rsidRPr="00FA0D37">
        <w:rPr>
          <w:color w:val="993366"/>
        </w:rPr>
        <w:t>ENUMERATED</w:t>
      </w:r>
      <w:r w:rsidRPr="00FA0D37">
        <w:t xml:space="preserve"> {supported}                  </w:t>
      </w:r>
      <w:r w:rsidRPr="00FA0D37">
        <w:rPr>
          <w:color w:val="993366"/>
        </w:rPr>
        <w:t>OPTIONAL</w:t>
      </w:r>
      <w:r w:rsidRPr="00FA0D37">
        <w:t>,</w:t>
      </w:r>
    </w:p>
    <w:p w14:paraId="0F3A2904" w14:textId="77777777" w:rsidR="00394471" w:rsidRPr="00FA0D37" w:rsidRDefault="00394471" w:rsidP="00FA0D37">
      <w:pPr>
        <w:pStyle w:val="PL"/>
      </w:pPr>
      <w:r w:rsidRPr="00FA0D37">
        <w:t xml:space="preserve">    ue-PowerClass-v1610                     </w:t>
      </w:r>
      <w:r w:rsidRPr="00FA0D37">
        <w:rPr>
          <w:color w:val="993366"/>
        </w:rPr>
        <w:t>ENUMERATED</w:t>
      </w:r>
      <w:r w:rsidRPr="00FA0D37">
        <w:t xml:space="preserve"> {pc1dot5}                    </w:t>
      </w:r>
      <w:r w:rsidRPr="00FA0D37">
        <w:rPr>
          <w:color w:val="993366"/>
        </w:rPr>
        <w:t>OPTIONAL</w:t>
      </w:r>
      <w:r w:rsidRPr="00FA0D37">
        <w:t>,</w:t>
      </w:r>
    </w:p>
    <w:p w14:paraId="45443B4B" w14:textId="77777777" w:rsidR="00394471" w:rsidRPr="00FA0D37" w:rsidRDefault="00394471" w:rsidP="00FA0D37">
      <w:pPr>
        <w:pStyle w:val="PL"/>
      </w:pPr>
      <w:r w:rsidRPr="00FA0D37">
        <w:t xml:space="preserve">    condHandover-r16                        </w:t>
      </w:r>
      <w:r w:rsidRPr="00FA0D37">
        <w:rPr>
          <w:color w:val="993366"/>
        </w:rPr>
        <w:t>ENUMERATED</w:t>
      </w:r>
      <w:r w:rsidRPr="00FA0D37">
        <w:t xml:space="preserve"> {supported}                  </w:t>
      </w:r>
      <w:r w:rsidRPr="00FA0D37">
        <w:rPr>
          <w:color w:val="993366"/>
        </w:rPr>
        <w:t>OPTIONAL</w:t>
      </w:r>
      <w:r w:rsidRPr="00FA0D37">
        <w:t>,</w:t>
      </w:r>
    </w:p>
    <w:p w14:paraId="65A398F7" w14:textId="77777777" w:rsidR="00394471" w:rsidRPr="00FA0D37" w:rsidRDefault="00394471" w:rsidP="00FA0D37">
      <w:pPr>
        <w:pStyle w:val="PL"/>
      </w:pPr>
      <w:r w:rsidRPr="00FA0D37">
        <w:t xml:space="preserve">    condHandoverFailure-r16                 </w:t>
      </w:r>
      <w:r w:rsidRPr="00FA0D37">
        <w:rPr>
          <w:color w:val="993366"/>
        </w:rPr>
        <w:t>ENUMERATED</w:t>
      </w:r>
      <w:r w:rsidRPr="00FA0D37">
        <w:t xml:space="preserve"> {supported}                  </w:t>
      </w:r>
      <w:r w:rsidRPr="00FA0D37">
        <w:rPr>
          <w:color w:val="993366"/>
        </w:rPr>
        <w:t>OPTIONAL</w:t>
      </w:r>
      <w:r w:rsidRPr="00FA0D37">
        <w:t>,</w:t>
      </w:r>
    </w:p>
    <w:p w14:paraId="50302B13" w14:textId="77777777" w:rsidR="00394471" w:rsidRPr="00FA0D37" w:rsidRDefault="00394471" w:rsidP="00FA0D37">
      <w:pPr>
        <w:pStyle w:val="PL"/>
      </w:pPr>
      <w:r w:rsidRPr="00FA0D37">
        <w:t xml:space="preserve">    condHandoverTwoTriggerEvents-r16        </w:t>
      </w:r>
      <w:r w:rsidRPr="00FA0D37">
        <w:rPr>
          <w:color w:val="993366"/>
        </w:rPr>
        <w:t>ENUMERATED</w:t>
      </w:r>
      <w:r w:rsidRPr="00FA0D37">
        <w:t xml:space="preserve"> {supported}                  </w:t>
      </w:r>
      <w:r w:rsidRPr="00FA0D37">
        <w:rPr>
          <w:color w:val="993366"/>
        </w:rPr>
        <w:t>OPTIONAL</w:t>
      </w:r>
      <w:r w:rsidRPr="00FA0D37">
        <w:t>,</w:t>
      </w:r>
    </w:p>
    <w:p w14:paraId="62F14E98" w14:textId="77777777" w:rsidR="00394471" w:rsidRPr="00FA0D37" w:rsidRDefault="00394471" w:rsidP="00FA0D37">
      <w:pPr>
        <w:pStyle w:val="PL"/>
      </w:pPr>
      <w:r w:rsidRPr="00FA0D37">
        <w:t xml:space="preserve">    condPSCellChange-r16                    </w:t>
      </w:r>
      <w:r w:rsidRPr="00FA0D37">
        <w:rPr>
          <w:color w:val="993366"/>
        </w:rPr>
        <w:t>ENUMERATED</w:t>
      </w:r>
      <w:r w:rsidRPr="00FA0D37">
        <w:t xml:space="preserve"> {supported}                  </w:t>
      </w:r>
      <w:r w:rsidRPr="00FA0D37">
        <w:rPr>
          <w:color w:val="993366"/>
        </w:rPr>
        <w:t>OPTIONAL</w:t>
      </w:r>
      <w:r w:rsidRPr="00FA0D37">
        <w:t>,</w:t>
      </w:r>
    </w:p>
    <w:p w14:paraId="5E60FD20" w14:textId="77777777" w:rsidR="00394471" w:rsidRPr="00FA0D37" w:rsidRDefault="00394471" w:rsidP="00FA0D37">
      <w:pPr>
        <w:pStyle w:val="PL"/>
      </w:pPr>
      <w:r w:rsidRPr="00FA0D37">
        <w:t xml:space="preserve">    condPSCellChangeTwoTriggerEvents-r16    </w:t>
      </w:r>
      <w:r w:rsidRPr="00FA0D37">
        <w:rPr>
          <w:color w:val="993366"/>
        </w:rPr>
        <w:t>ENUMERATED</w:t>
      </w:r>
      <w:r w:rsidRPr="00FA0D37">
        <w:t xml:space="preserve"> {supported}                  </w:t>
      </w:r>
      <w:r w:rsidRPr="00FA0D37">
        <w:rPr>
          <w:color w:val="993366"/>
        </w:rPr>
        <w:t>OPTIONAL</w:t>
      </w:r>
      <w:r w:rsidRPr="00FA0D37">
        <w:t>,</w:t>
      </w:r>
    </w:p>
    <w:p w14:paraId="49DBA1A5" w14:textId="77777777" w:rsidR="00394471" w:rsidRPr="00FA0D37" w:rsidRDefault="00394471" w:rsidP="00FA0D37">
      <w:pPr>
        <w:pStyle w:val="PL"/>
      </w:pPr>
      <w:r w:rsidRPr="00FA0D37">
        <w:t xml:space="preserve">    mpr-PowerBoost-FR2-r16                  </w:t>
      </w:r>
      <w:r w:rsidRPr="00FA0D37">
        <w:rPr>
          <w:color w:val="993366"/>
        </w:rPr>
        <w:t>ENUMERATED</w:t>
      </w:r>
      <w:r w:rsidRPr="00FA0D37">
        <w:t xml:space="preserve"> {supported}                  </w:t>
      </w:r>
      <w:r w:rsidRPr="00FA0D37">
        <w:rPr>
          <w:color w:val="993366"/>
        </w:rPr>
        <w:t>OPTIONAL</w:t>
      </w:r>
      <w:r w:rsidRPr="00FA0D37">
        <w:t>,</w:t>
      </w:r>
    </w:p>
    <w:p w14:paraId="09D51BCC" w14:textId="77777777" w:rsidR="00394471" w:rsidRPr="00FA0D37" w:rsidRDefault="00394471" w:rsidP="00FA0D37">
      <w:pPr>
        <w:pStyle w:val="PL"/>
      </w:pPr>
    </w:p>
    <w:p w14:paraId="4F982751" w14:textId="77777777" w:rsidR="00394471" w:rsidRPr="00FA0D37" w:rsidRDefault="00394471" w:rsidP="00FA0D37">
      <w:pPr>
        <w:pStyle w:val="PL"/>
        <w:rPr>
          <w:color w:val="808080"/>
        </w:rPr>
      </w:pPr>
      <w:r w:rsidRPr="00FA0D37">
        <w:t xml:space="preserve">    </w:t>
      </w:r>
      <w:r w:rsidRPr="00FA0D37">
        <w:rPr>
          <w:color w:val="808080"/>
        </w:rPr>
        <w:t>-- R1 11-9: Multiple active configured grant configurations for a BWP of a serving cell</w:t>
      </w:r>
    </w:p>
    <w:p w14:paraId="1B292FD6" w14:textId="77777777" w:rsidR="00394471" w:rsidRPr="00FA0D37" w:rsidRDefault="00394471" w:rsidP="00FA0D37">
      <w:pPr>
        <w:pStyle w:val="PL"/>
      </w:pPr>
      <w:r w:rsidRPr="00FA0D37">
        <w:t xml:space="preserve">    activeConfiguredGrant-r16               </w:t>
      </w:r>
      <w:r w:rsidRPr="00FA0D37">
        <w:rPr>
          <w:color w:val="993366"/>
        </w:rPr>
        <w:t>SEQUENCE</w:t>
      </w:r>
      <w:r w:rsidRPr="00FA0D37">
        <w:t xml:space="preserve"> {</w:t>
      </w:r>
    </w:p>
    <w:p w14:paraId="161CDD51" w14:textId="77777777" w:rsidR="00394471" w:rsidRPr="00FA0D37" w:rsidRDefault="00394471" w:rsidP="00FA0D37">
      <w:pPr>
        <w:pStyle w:val="PL"/>
      </w:pPr>
      <w:r w:rsidRPr="00FA0D37">
        <w:t xml:space="preserve">    maxNumberConfigsPerBWP-r16                  </w:t>
      </w:r>
      <w:r w:rsidRPr="00FA0D37">
        <w:rPr>
          <w:color w:val="993366"/>
        </w:rPr>
        <w:t>ENUMERATED</w:t>
      </w:r>
      <w:r w:rsidRPr="00FA0D37">
        <w:t xml:space="preserve"> {n1, n2, n4, n8, n12},</w:t>
      </w:r>
    </w:p>
    <w:p w14:paraId="6C632538" w14:textId="77777777" w:rsidR="00394471" w:rsidRPr="00FA0D37" w:rsidRDefault="00394471" w:rsidP="00FA0D37">
      <w:pPr>
        <w:pStyle w:val="PL"/>
      </w:pPr>
      <w:r w:rsidRPr="00FA0D37">
        <w:t xml:space="preserve">    maxNumberConfigsAllCC-r16                   </w:t>
      </w:r>
      <w:r w:rsidRPr="00FA0D37">
        <w:rPr>
          <w:color w:val="993366"/>
        </w:rPr>
        <w:t>INTEGER</w:t>
      </w:r>
      <w:r w:rsidRPr="00FA0D37">
        <w:t xml:space="preserve"> (2..32)</w:t>
      </w:r>
    </w:p>
    <w:p w14:paraId="3297C969" w14:textId="77777777" w:rsidR="00394471" w:rsidRPr="00FA0D37" w:rsidRDefault="00394471" w:rsidP="00FA0D37">
      <w:pPr>
        <w:pStyle w:val="PL"/>
      </w:pPr>
      <w:r w:rsidRPr="00FA0D37">
        <w:t xml:space="preserve">    }                                                                               </w:t>
      </w:r>
      <w:r w:rsidRPr="00FA0D37">
        <w:rPr>
          <w:color w:val="993366"/>
        </w:rPr>
        <w:t>OPTIONAL</w:t>
      </w:r>
      <w:r w:rsidRPr="00FA0D37">
        <w:t>,</w:t>
      </w:r>
    </w:p>
    <w:p w14:paraId="04168290" w14:textId="77777777" w:rsidR="00394471" w:rsidRPr="00FA0D37" w:rsidRDefault="00394471" w:rsidP="00FA0D37">
      <w:pPr>
        <w:pStyle w:val="PL"/>
        <w:rPr>
          <w:color w:val="808080"/>
        </w:rPr>
      </w:pPr>
      <w:r w:rsidRPr="00FA0D37">
        <w:t xml:space="preserve">    </w:t>
      </w:r>
      <w:r w:rsidRPr="00FA0D37">
        <w:rPr>
          <w:color w:val="808080"/>
        </w:rPr>
        <w:t>-- R1 11-9a: Joint release in a DCI for two or more configured grant Type 2 configurations for a given BWP of a serving cell</w:t>
      </w:r>
    </w:p>
    <w:p w14:paraId="6E9B7160" w14:textId="77777777" w:rsidR="00394471" w:rsidRPr="00FA0D37" w:rsidRDefault="00394471" w:rsidP="00FA0D37">
      <w:pPr>
        <w:pStyle w:val="PL"/>
      </w:pPr>
      <w:r w:rsidRPr="00FA0D37">
        <w:t xml:space="preserve">    jointReleaseConfiguredGrantType2-r16    </w:t>
      </w:r>
      <w:r w:rsidRPr="00FA0D37">
        <w:rPr>
          <w:color w:val="993366"/>
        </w:rPr>
        <w:t>ENUMERATED</w:t>
      </w:r>
      <w:r w:rsidRPr="00FA0D37">
        <w:t xml:space="preserve"> {supported}                  </w:t>
      </w:r>
      <w:r w:rsidRPr="00FA0D37">
        <w:rPr>
          <w:color w:val="993366"/>
        </w:rPr>
        <w:t>OPTIONAL</w:t>
      </w:r>
      <w:r w:rsidRPr="00FA0D37">
        <w:t>,</w:t>
      </w:r>
    </w:p>
    <w:p w14:paraId="5C597060" w14:textId="77777777" w:rsidR="00394471" w:rsidRPr="00FA0D37" w:rsidRDefault="00394471" w:rsidP="00FA0D37">
      <w:pPr>
        <w:pStyle w:val="PL"/>
        <w:rPr>
          <w:color w:val="808080"/>
        </w:rPr>
      </w:pPr>
      <w:r w:rsidRPr="00FA0D37">
        <w:t xml:space="preserve">    </w:t>
      </w:r>
      <w:r w:rsidRPr="00FA0D37">
        <w:rPr>
          <w:color w:val="808080"/>
        </w:rPr>
        <w:t>-- R1 12-2: Multiple SPS configurations</w:t>
      </w:r>
    </w:p>
    <w:p w14:paraId="6E39007E" w14:textId="77777777" w:rsidR="00394471" w:rsidRPr="00FA0D37" w:rsidRDefault="00394471" w:rsidP="00FA0D37">
      <w:pPr>
        <w:pStyle w:val="PL"/>
      </w:pPr>
      <w:r w:rsidRPr="00FA0D37">
        <w:t xml:space="preserve">    sps-r16                                 </w:t>
      </w:r>
      <w:r w:rsidRPr="00FA0D37">
        <w:rPr>
          <w:color w:val="993366"/>
        </w:rPr>
        <w:t>SEQUENCE</w:t>
      </w:r>
      <w:r w:rsidRPr="00FA0D37">
        <w:t xml:space="preserve"> {</w:t>
      </w:r>
    </w:p>
    <w:p w14:paraId="1BD4D803" w14:textId="77777777" w:rsidR="00394471" w:rsidRPr="00FA0D37" w:rsidRDefault="00394471" w:rsidP="00FA0D37">
      <w:pPr>
        <w:pStyle w:val="PL"/>
      </w:pPr>
      <w:r w:rsidRPr="00FA0D37">
        <w:t xml:space="preserve">    maxNumberConfigsPerBWP-r16                  </w:t>
      </w:r>
      <w:r w:rsidRPr="00FA0D37">
        <w:rPr>
          <w:color w:val="993366"/>
        </w:rPr>
        <w:t>INTEGER</w:t>
      </w:r>
      <w:r w:rsidRPr="00FA0D37">
        <w:t xml:space="preserve"> (1..8),</w:t>
      </w:r>
    </w:p>
    <w:p w14:paraId="4F6FB6D7" w14:textId="77777777" w:rsidR="00394471" w:rsidRPr="00FA0D37" w:rsidRDefault="00394471" w:rsidP="00FA0D37">
      <w:pPr>
        <w:pStyle w:val="PL"/>
      </w:pPr>
      <w:r w:rsidRPr="00FA0D37">
        <w:t xml:space="preserve">    maxNumberConfigsAllCC-r16                   </w:t>
      </w:r>
      <w:r w:rsidRPr="00FA0D37">
        <w:rPr>
          <w:color w:val="993366"/>
        </w:rPr>
        <w:t>INTEGER</w:t>
      </w:r>
      <w:r w:rsidRPr="00FA0D37">
        <w:t xml:space="preserve"> (2..32)</w:t>
      </w:r>
    </w:p>
    <w:p w14:paraId="0BC64873" w14:textId="77777777" w:rsidR="00394471" w:rsidRPr="00FA0D37" w:rsidRDefault="00394471" w:rsidP="00FA0D37">
      <w:pPr>
        <w:pStyle w:val="PL"/>
      </w:pPr>
      <w:r w:rsidRPr="00FA0D37">
        <w:t xml:space="preserve">    }                                                                               </w:t>
      </w:r>
      <w:r w:rsidRPr="00FA0D37">
        <w:rPr>
          <w:color w:val="993366"/>
        </w:rPr>
        <w:t>OPTIONAL</w:t>
      </w:r>
      <w:r w:rsidRPr="00FA0D37">
        <w:t>,</w:t>
      </w:r>
    </w:p>
    <w:p w14:paraId="50D61E4C" w14:textId="77777777" w:rsidR="00394471" w:rsidRPr="00FA0D37" w:rsidRDefault="00394471" w:rsidP="00FA0D37">
      <w:pPr>
        <w:pStyle w:val="PL"/>
        <w:rPr>
          <w:color w:val="808080"/>
        </w:rPr>
      </w:pPr>
      <w:r w:rsidRPr="00FA0D37">
        <w:t xml:space="preserve">    </w:t>
      </w:r>
      <w:r w:rsidRPr="00FA0D37">
        <w:rPr>
          <w:color w:val="808080"/>
        </w:rPr>
        <w:t>-- R1 12-2a: Joint release in a DCI for two or more SPS configurations for a given BWP of a serving cell</w:t>
      </w:r>
    </w:p>
    <w:p w14:paraId="41551E21" w14:textId="77777777" w:rsidR="00394471" w:rsidRPr="00FA0D37" w:rsidRDefault="00394471" w:rsidP="00FA0D37">
      <w:pPr>
        <w:pStyle w:val="PL"/>
      </w:pPr>
      <w:r w:rsidRPr="00FA0D37">
        <w:t xml:space="preserve">    jointReleaseSPS-r16                     </w:t>
      </w:r>
      <w:r w:rsidRPr="00FA0D37">
        <w:rPr>
          <w:color w:val="993366"/>
        </w:rPr>
        <w:t>ENUMERATED</w:t>
      </w:r>
      <w:r w:rsidRPr="00FA0D37">
        <w:t xml:space="preserve"> {supported}                  </w:t>
      </w:r>
      <w:r w:rsidRPr="00FA0D37">
        <w:rPr>
          <w:color w:val="993366"/>
        </w:rPr>
        <w:t>OPTIONAL</w:t>
      </w:r>
      <w:r w:rsidRPr="00FA0D37">
        <w:t>,</w:t>
      </w:r>
    </w:p>
    <w:p w14:paraId="7971ADA1" w14:textId="77777777" w:rsidR="00394471" w:rsidRPr="00FA0D37" w:rsidRDefault="00394471" w:rsidP="00FA0D37">
      <w:pPr>
        <w:pStyle w:val="PL"/>
        <w:rPr>
          <w:color w:val="808080"/>
        </w:rPr>
      </w:pPr>
      <w:r w:rsidRPr="00FA0D37">
        <w:t xml:space="preserve">    </w:t>
      </w:r>
      <w:r w:rsidRPr="00FA0D37">
        <w:rPr>
          <w:color w:val="808080"/>
        </w:rPr>
        <w:t>-- R1 13-19: Simultaneous positioning SRS and MIMO SRS transmission within a band across multiple CCs</w:t>
      </w:r>
    </w:p>
    <w:p w14:paraId="191EEAEF" w14:textId="77777777" w:rsidR="00394471" w:rsidRPr="00FA0D37" w:rsidRDefault="00394471" w:rsidP="00FA0D37">
      <w:pPr>
        <w:pStyle w:val="PL"/>
      </w:pPr>
      <w:r w:rsidRPr="00FA0D37">
        <w:t xml:space="preserve">    simulSRS-TransWithinBand-r16            </w:t>
      </w:r>
      <w:r w:rsidRPr="00FA0D37">
        <w:rPr>
          <w:color w:val="993366"/>
        </w:rPr>
        <w:t>ENUMERATED</w:t>
      </w:r>
      <w:r w:rsidRPr="00FA0D37">
        <w:t xml:space="preserve"> {n2}                         </w:t>
      </w:r>
      <w:r w:rsidRPr="00FA0D37">
        <w:rPr>
          <w:color w:val="993366"/>
        </w:rPr>
        <w:t>OPTIONAL</w:t>
      </w:r>
      <w:r w:rsidRPr="00FA0D37">
        <w:t>,</w:t>
      </w:r>
    </w:p>
    <w:p w14:paraId="52278699" w14:textId="77777777" w:rsidR="00394471" w:rsidRPr="00FA0D37" w:rsidRDefault="00394471" w:rsidP="00FA0D37">
      <w:pPr>
        <w:pStyle w:val="PL"/>
      </w:pPr>
      <w:r w:rsidRPr="00FA0D37">
        <w:t xml:space="preserve">    trs-AdditionalBandwidth-r16             </w:t>
      </w:r>
      <w:r w:rsidRPr="00FA0D37">
        <w:rPr>
          <w:color w:val="993366"/>
        </w:rPr>
        <w:t>ENUMERATED</w:t>
      </w:r>
      <w:r w:rsidRPr="00FA0D37">
        <w:t xml:space="preserve"> {trs-AddBW-Set1, trs-AddBW-Set2}  </w:t>
      </w:r>
      <w:r w:rsidRPr="00FA0D37">
        <w:rPr>
          <w:color w:val="993366"/>
        </w:rPr>
        <w:t>OPTIONAL</w:t>
      </w:r>
      <w:r w:rsidRPr="00FA0D37">
        <w:t>,</w:t>
      </w:r>
    </w:p>
    <w:p w14:paraId="51638920" w14:textId="77777777" w:rsidR="00394471" w:rsidRPr="00FA0D37" w:rsidRDefault="00394471" w:rsidP="00FA0D37">
      <w:pPr>
        <w:pStyle w:val="PL"/>
      </w:pPr>
      <w:r w:rsidRPr="00FA0D37">
        <w:t xml:space="preserve">    handoverIntraF-IAB-r16                  </w:t>
      </w:r>
      <w:r w:rsidRPr="00FA0D37">
        <w:rPr>
          <w:color w:val="993366"/>
        </w:rPr>
        <w:t>ENUMERATED</w:t>
      </w:r>
      <w:r w:rsidRPr="00FA0D37">
        <w:t xml:space="preserve"> {supported}                  </w:t>
      </w:r>
      <w:r w:rsidRPr="00FA0D37">
        <w:rPr>
          <w:color w:val="993366"/>
        </w:rPr>
        <w:t>OPTIONAL</w:t>
      </w:r>
    </w:p>
    <w:p w14:paraId="2B7C86F9" w14:textId="77777777" w:rsidR="00D027C1" w:rsidRPr="00FA0D37" w:rsidRDefault="00394471" w:rsidP="00FA0D37">
      <w:pPr>
        <w:pStyle w:val="PL"/>
      </w:pPr>
      <w:r w:rsidRPr="00FA0D37">
        <w:t xml:space="preserve">    ]]</w:t>
      </w:r>
      <w:r w:rsidR="00D027C1" w:rsidRPr="00FA0D37">
        <w:t>,</w:t>
      </w:r>
    </w:p>
    <w:p w14:paraId="5E1625A8" w14:textId="77777777" w:rsidR="00D027C1" w:rsidRPr="00FA0D37" w:rsidRDefault="00D027C1" w:rsidP="00FA0D37">
      <w:pPr>
        <w:pStyle w:val="PL"/>
      </w:pPr>
      <w:r w:rsidRPr="00FA0D37">
        <w:t xml:space="preserve">    [[</w:t>
      </w:r>
    </w:p>
    <w:p w14:paraId="5726F412" w14:textId="77777777" w:rsidR="00D027C1" w:rsidRPr="00FA0D37" w:rsidRDefault="00D027C1" w:rsidP="00FA0D37">
      <w:pPr>
        <w:pStyle w:val="PL"/>
        <w:rPr>
          <w:color w:val="808080"/>
        </w:rPr>
      </w:pPr>
      <w:r w:rsidRPr="00FA0D37">
        <w:t xml:space="preserve">    </w:t>
      </w:r>
      <w:r w:rsidRPr="00FA0D37">
        <w:rPr>
          <w:color w:val="808080"/>
        </w:rPr>
        <w:t>-- R1 22-5a: Simultaneous transmission of SRS for antenna switching and SRS for CB/NCB /BM for intra-band UL CA</w:t>
      </w:r>
    </w:p>
    <w:p w14:paraId="3DF6DEE8" w14:textId="7EDEC2BA" w:rsidR="00D027C1" w:rsidRPr="00FA0D37" w:rsidRDefault="00D027C1" w:rsidP="00FA0D37">
      <w:pPr>
        <w:pStyle w:val="PL"/>
        <w:rPr>
          <w:color w:val="808080"/>
        </w:rPr>
      </w:pPr>
      <w:r w:rsidRPr="00FA0D37">
        <w:t xml:space="preserve">    </w:t>
      </w:r>
      <w:r w:rsidRPr="00FA0D37">
        <w:rPr>
          <w:color w:val="808080"/>
        </w:rPr>
        <w:t>-- R1 22-5c: Simultaneous transmission of SRS for antenna switching and SRS for antenna switching for intra-band UL CA</w:t>
      </w:r>
    </w:p>
    <w:p w14:paraId="6CC215B3" w14:textId="3FD84975" w:rsidR="00D027C1" w:rsidRPr="00FA0D37" w:rsidRDefault="00D027C1" w:rsidP="00FA0D37">
      <w:pPr>
        <w:pStyle w:val="PL"/>
      </w:pPr>
      <w:r w:rsidRPr="00FA0D37">
        <w:t xml:space="preserve">    simulTX-SRS-AntSwitchingIntraBandUL-CA-r16  SimulSRS-ForAntennaSwitching-r16            </w:t>
      </w:r>
      <w:r w:rsidRPr="00FA0D37">
        <w:rPr>
          <w:color w:val="993366"/>
        </w:rPr>
        <w:t>OPTIONAL</w:t>
      </w:r>
      <w:r w:rsidRPr="00FA0D37">
        <w:t>,</w:t>
      </w:r>
    </w:p>
    <w:p w14:paraId="6CC76218" w14:textId="5B45BFB6" w:rsidR="00D027C1" w:rsidRPr="00FA0D37" w:rsidRDefault="00D027C1" w:rsidP="00FA0D37">
      <w:pPr>
        <w:pStyle w:val="PL"/>
        <w:rPr>
          <w:rFonts w:eastAsiaTheme="minorEastAsia"/>
          <w:color w:val="808080"/>
        </w:rPr>
      </w:pPr>
      <w:r w:rsidRPr="00FA0D37">
        <w:t xml:space="preserve">    </w:t>
      </w:r>
      <w:r w:rsidRPr="00FA0D37">
        <w:rPr>
          <w:rFonts w:eastAsiaTheme="minorEastAsia"/>
          <w:color w:val="808080"/>
        </w:rPr>
        <w:t>-- R1 10: NR-unlicensed</w:t>
      </w:r>
    </w:p>
    <w:p w14:paraId="305A7BD8" w14:textId="0587EE1B" w:rsidR="00D027C1" w:rsidRPr="00FA0D37" w:rsidRDefault="00D027C1" w:rsidP="00FA0D37">
      <w:pPr>
        <w:pStyle w:val="PL"/>
      </w:pPr>
      <w:r w:rsidRPr="00FA0D37">
        <w:t xml:space="preserve">    </w:t>
      </w:r>
      <w:r w:rsidRPr="00FA0D37">
        <w:rPr>
          <w:rFonts w:eastAsiaTheme="minorEastAsia"/>
        </w:rPr>
        <w:t>sharedSpectrumChAccessParamsPerBand</w:t>
      </w:r>
      <w:r w:rsidR="003B657B" w:rsidRPr="00FA0D37">
        <w:rPr>
          <w:rFonts w:eastAsiaTheme="minorEastAsia"/>
        </w:rPr>
        <w:t>-v1630</w:t>
      </w:r>
      <w:r w:rsidRPr="00FA0D37">
        <w:t xml:space="preserve">   </w:t>
      </w:r>
      <w:r w:rsidRPr="00FA0D37">
        <w:rPr>
          <w:rFonts w:eastAsiaTheme="minorEastAsia"/>
        </w:rPr>
        <w:t>SharedSpectrumChAccessParamsPerBand</w:t>
      </w:r>
      <w:r w:rsidR="003B657B" w:rsidRPr="00FA0D37">
        <w:rPr>
          <w:rFonts w:eastAsiaTheme="minorEastAsia"/>
        </w:rPr>
        <w:t>-v1630</w:t>
      </w:r>
      <w:r w:rsidRPr="00FA0D37">
        <w:t xml:space="preserve">   </w:t>
      </w:r>
      <w:r w:rsidRPr="00FA0D37">
        <w:rPr>
          <w:rFonts w:eastAsiaTheme="minorEastAsia"/>
          <w:color w:val="993366"/>
        </w:rPr>
        <w:t>OPTIONAL</w:t>
      </w:r>
    </w:p>
    <w:p w14:paraId="5A207876" w14:textId="65325A25" w:rsidR="00941862" w:rsidRPr="00FA0D37" w:rsidRDefault="00D027C1" w:rsidP="00FA0D37">
      <w:pPr>
        <w:pStyle w:val="PL"/>
      </w:pPr>
      <w:r w:rsidRPr="00FA0D37">
        <w:t xml:space="preserve">    ]]</w:t>
      </w:r>
      <w:r w:rsidR="00941862" w:rsidRPr="00FA0D37">
        <w:t>,</w:t>
      </w:r>
    </w:p>
    <w:p w14:paraId="2ABA2F9E" w14:textId="77777777" w:rsidR="00941862" w:rsidRPr="00FA0D37" w:rsidRDefault="00941862" w:rsidP="00FA0D37">
      <w:pPr>
        <w:pStyle w:val="PL"/>
      </w:pPr>
      <w:r w:rsidRPr="00FA0D37">
        <w:t xml:space="preserve">    [[</w:t>
      </w:r>
    </w:p>
    <w:p w14:paraId="43C197B1" w14:textId="30B47736" w:rsidR="00941862" w:rsidRPr="00FA0D37" w:rsidRDefault="00941862" w:rsidP="00FA0D37">
      <w:pPr>
        <w:pStyle w:val="PL"/>
      </w:pPr>
      <w:r w:rsidRPr="00FA0D37">
        <w:t xml:space="preserve">    handoverUTRA-FDD-r16                    </w:t>
      </w:r>
      <w:r w:rsidR="00D649D6" w:rsidRPr="00FA0D37">
        <w:t xml:space="preserve">  </w:t>
      </w:r>
      <w:r w:rsidRPr="00FA0D37">
        <w:rPr>
          <w:color w:val="993366"/>
        </w:rPr>
        <w:t>ENUMERATED</w:t>
      </w:r>
      <w:r w:rsidRPr="00FA0D37">
        <w:t xml:space="preserve"> {supported}                </w:t>
      </w:r>
      <w:r w:rsidR="00D649D6" w:rsidRPr="00FA0D37">
        <w:t xml:space="preserve">     </w:t>
      </w:r>
      <w:r w:rsidRPr="00FA0D37">
        <w:t xml:space="preserve">  </w:t>
      </w:r>
      <w:r w:rsidRPr="00FA0D37">
        <w:rPr>
          <w:color w:val="993366"/>
        </w:rPr>
        <w:t>OPTIONAL</w:t>
      </w:r>
      <w:r w:rsidR="00D649D6" w:rsidRPr="00FA0D37">
        <w:t>,</w:t>
      </w:r>
    </w:p>
    <w:p w14:paraId="7C9AEF0A" w14:textId="77777777" w:rsidR="00D649D6" w:rsidRPr="00FA0D37" w:rsidRDefault="00D649D6" w:rsidP="00FA0D37">
      <w:pPr>
        <w:pStyle w:val="PL"/>
        <w:rPr>
          <w:color w:val="808080"/>
        </w:rPr>
      </w:pPr>
      <w:r w:rsidRPr="00FA0D37">
        <w:t xml:space="preserve">    </w:t>
      </w:r>
      <w:r w:rsidRPr="00FA0D37">
        <w:rPr>
          <w:color w:val="808080"/>
        </w:rPr>
        <w:t>-- R4 7-4: Report the shorter transient capability supported by the UE: 2, 4 or 7us</w:t>
      </w:r>
    </w:p>
    <w:p w14:paraId="5ED14F9D" w14:textId="20CDE583" w:rsidR="00D649D6" w:rsidRPr="00FA0D37" w:rsidRDefault="00D649D6" w:rsidP="00FA0D37">
      <w:pPr>
        <w:pStyle w:val="PL"/>
      </w:pPr>
      <w:r w:rsidRPr="00FA0D37">
        <w:t xml:space="preserve">    enhancedUL-TransientPeriod-r16            </w:t>
      </w:r>
      <w:r w:rsidRPr="00FA0D37">
        <w:rPr>
          <w:color w:val="993366"/>
        </w:rPr>
        <w:t>ENUMERATED</w:t>
      </w:r>
      <w:r w:rsidRPr="00FA0D37">
        <w:t xml:space="preserve"> {us2, us4, us7}                   </w:t>
      </w:r>
      <w:r w:rsidRPr="00FA0D37">
        <w:rPr>
          <w:color w:val="993366"/>
        </w:rPr>
        <w:t>OPTIONAL</w:t>
      </w:r>
      <w:r w:rsidRPr="00FA0D37">
        <w:t>,</w:t>
      </w:r>
    </w:p>
    <w:p w14:paraId="24F75656" w14:textId="38B28098" w:rsidR="00D649D6" w:rsidRPr="00FA0D37" w:rsidRDefault="00D649D6" w:rsidP="00FA0D37">
      <w:pPr>
        <w:pStyle w:val="PL"/>
      </w:pPr>
      <w:r w:rsidRPr="00FA0D37">
        <w:lastRenderedPageBreak/>
        <w:t xml:space="preserve">    sharedSpectrumChAccessParamsPerBand-v</w:t>
      </w:r>
      <w:r w:rsidR="000C2783" w:rsidRPr="00FA0D37">
        <w:t>1640</w:t>
      </w:r>
      <w:r w:rsidRPr="00FA0D37">
        <w:t xml:space="preserve"> SharedSpectrumChAccessParamsPerBand-v</w:t>
      </w:r>
      <w:r w:rsidR="000C2783" w:rsidRPr="00FA0D37">
        <w:t>1640</w:t>
      </w:r>
      <w:r w:rsidRPr="00FA0D37">
        <w:t xml:space="preserve">    </w:t>
      </w:r>
      <w:r w:rsidRPr="00FA0D37">
        <w:rPr>
          <w:color w:val="993366"/>
        </w:rPr>
        <w:t>OPTIONAL</w:t>
      </w:r>
    </w:p>
    <w:p w14:paraId="72907FE4" w14:textId="51AC96C6" w:rsidR="00394471" w:rsidRPr="00FA0D37" w:rsidRDefault="00941862" w:rsidP="00FA0D37">
      <w:pPr>
        <w:pStyle w:val="PL"/>
      </w:pPr>
      <w:r w:rsidRPr="00FA0D37">
        <w:t xml:space="preserve">    ]]</w:t>
      </w:r>
      <w:r w:rsidR="00D0130C" w:rsidRPr="00FA0D37">
        <w:t>,</w:t>
      </w:r>
    </w:p>
    <w:p w14:paraId="7202EE6C" w14:textId="73798FC5" w:rsidR="00D0130C" w:rsidRPr="00FA0D37" w:rsidRDefault="00D0130C" w:rsidP="00FA0D37">
      <w:pPr>
        <w:pStyle w:val="PL"/>
      </w:pPr>
      <w:r w:rsidRPr="00FA0D37">
        <w:t xml:space="preserve">    [[</w:t>
      </w:r>
    </w:p>
    <w:p w14:paraId="7581A80E" w14:textId="71BE7ECB" w:rsidR="00D0130C" w:rsidRPr="00FA0D37" w:rsidRDefault="00D0130C" w:rsidP="00FA0D37">
      <w:pPr>
        <w:pStyle w:val="PL"/>
      </w:pPr>
      <w:r w:rsidRPr="00FA0D37">
        <w:t xml:space="preserve">    type1-PUSCH-RepetitionMultiSlots-v1650    </w:t>
      </w:r>
      <w:r w:rsidRPr="00FA0D37">
        <w:rPr>
          <w:color w:val="993366"/>
        </w:rPr>
        <w:t>ENUMERATED</w:t>
      </w:r>
      <w:r w:rsidRPr="00FA0D37">
        <w:t xml:space="preserve"> {supported}                       </w:t>
      </w:r>
      <w:r w:rsidRPr="00FA0D37">
        <w:rPr>
          <w:color w:val="993366"/>
        </w:rPr>
        <w:t>OPTIONAL</w:t>
      </w:r>
      <w:r w:rsidRPr="00FA0D37">
        <w:t>,</w:t>
      </w:r>
    </w:p>
    <w:p w14:paraId="0A1926FD" w14:textId="4E78CE80" w:rsidR="00D0130C" w:rsidRPr="00FA0D37" w:rsidRDefault="00D0130C" w:rsidP="00FA0D37">
      <w:pPr>
        <w:pStyle w:val="PL"/>
      </w:pPr>
      <w:r w:rsidRPr="00FA0D37">
        <w:t xml:space="preserve">    type2-PUSCH-RepetitionMultiSlots-v1650    </w:t>
      </w:r>
      <w:r w:rsidRPr="00FA0D37">
        <w:rPr>
          <w:color w:val="993366"/>
        </w:rPr>
        <w:t>ENUMERATED</w:t>
      </w:r>
      <w:r w:rsidRPr="00FA0D37">
        <w:t xml:space="preserve"> {supported}                       </w:t>
      </w:r>
      <w:r w:rsidRPr="00FA0D37">
        <w:rPr>
          <w:color w:val="993366"/>
        </w:rPr>
        <w:t>OPTIONAL</w:t>
      </w:r>
      <w:r w:rsidRPr="00FA0D37">
        <w:t>,</w:t>
      </w:r>
    </w:p>
    <w:p w14:paraId="01F95BCE" w14:textId="1A3A3CF9" w:rsidR="00D0130C" w:rsidRPr="00FA0D37" w:rsidRDefault="00D0130C" w:rsidP="00FA0D37">
      <w:pPr>
        <w:pStyle w:val="PL"/>
      </w:pPr>
      <w:r w:rsidRPr="00FA0D37">
        <w:t xml:space="preserve">    pusch-RepetitionMultiSlots-v1650          </w:t>
      </w:r>
      <w:r w:rsidRPr="00FA0D37">
        <w:rPr>
          <w:color w:val="993366"/>
        </w:rPr>
        <w:t>ENUMERATED</w:t>
      </w:r>
      <w:r w:rsidRPr="00FA0D37">
        <w:t xml:space="preserve"> {supported}                       </w:t>
      </w:r>
      <w:r w:rsidRPr="00FA0D37">
        <w:rPr>
          <w:color w:val="993366"/>
        </w:rPr>
        <w:t>OPTIONAL</w:t>
      </w:r>
      <w:r w:rsidRPr="00FA0D37">
        <w:t>,</w:t>
      </w:r>
    </w:p>
    <w:p w14:paraId="5643A189" w14:textId="211C26DD" w:rsidR="00D0130C" w:rsidRPr="00FA0D37" w:rsidRDefault="00D0130C" w:rsidP="00FA0D37">
      <w:pPr>
        <w:pStyle w:val="PL"/>
      </w:pPr>
      <w:r w:rsidRPr="00FA0D37">
        <w:t xml:space="preserve">    configuredUL-GrantType1-v1650             </w:t>
      </w:r>
      <w:r w:rsidRPr="00FA0D37">
        <w:rPr>
          <w:color w:val="993366"/>
        </w:rPr>
        <w:t>ENUMERATED</w:t>
      </w:r>
      <w:r w:rsidRPr="00FA0D37">
        <w:t xml:space="preserve"> {supported}                       </w:t>
      </w:r>
      <w:r w:rsidRPr="00FA0D37">
        <w:rPr>
          <w:color w:val="993366"/>
        </w:rPr>
        <w:t>OPTIONAL</w:t>
      </w:r>
      <w:r w:rsidRPr="00FA0D37">
        <w:t>,</w:t>
      </w:r>
    </w:p>
    <w:p w14:paraId="7B98EB58" w14:textId="39CEFC99" w:rsidR="00D0130C" w:rsidRPr="00FA0D37" w:rsidRDefault="00D0130C" w:rsidP="00FA0D37">
      <w:pPr>
        <w:pStyle w:val="PL"/>
      </w:pPr>
      <w:r w:rsidRPr="00FA0D37">
        <w:t xml:space="preserve">    configuredUL-GrantType2-v1650             </w:t>
      </w:r>
      <w:r w:rsidRPr="00FA0D37">
        <w:rPr>
          <w:color w:val="993366"/>
        </w:rPr>
        <w:t>ENUMERATED</w:t>
      </w:r>
      <w:r w:rsidRPr="00FA0D37">
        <w:t xml:space="preserve"> {supported}                       </w:t>
      </w:r>
      <w:r w:rsidRPr="00FA0D37">
        <w:rPr>
          <w:color w:val="993366"/>
        </w:rPr>
        <w:t>OPTIONAL</w:t>
      </w:r>
      <w:r w:rsidR="00BB1623" w:rsidRPr="00FA0D37">
        <w:t>,</w:t>
      </w:r>
    </w:p>
    <w:p w14:paraId="10CD3B62" w14:textId="6CCC2E15" w:rsidR="00BB1623" w:rsidRPr="00FA0D37" w:rsidRDefault="00BB1623" w:rsidP="00FA0D37">
      <w:pPr>
        <w:pStyle w:val="PL"/>
      </w:pPr>
      <w:r w:rsidRPr="00FA0D37">
        <w:t xml:space="preserve">    sharedSpectrumChAccessParamsPerBand-v16</w:t>
      </w:r>
      <w:r w:rsidR="001F631E" w:rsidRPr="00FA0D37">
        <w:t>50</w:t>
      </w:r>
      <w:r w:rsidRPr="00FA0D37">
        <w:t xml:space="preserve"> SharedSpectrumChAccessParamsPerBand-v16</w:t>
      </w:r>
      <w:r w:rsidR="001F631E" w:rsidRPr="00FA0D37">
        <w:t>50</w:t>
      </w:r>
      <w:r w:rsidRPr="00FA0D37">
        <w:t xml:space="preserve">    </w:t>
      </w:r>
      <w:r w:rsidRPr="00FA0D37">
        <w:rPr>
          <w:color w:val="993366"/>
        </w:rPr>
        <w:t>OPTIONAL</w:t>
      </w:r>
    </w:p>
    <w:p w14:paraId="762C865A" w14:textId="165B2DE7" w:rsidR="009D34CA" w:rsidRPr="00FA0D37" w:rsidRDefault="00D0130C" w:rsidP="00FA0D37">
      <w:pPr>
        <w:pStyle w:val="PL"/>
      </w:pPr>
      <w:r w:rsidRPr="00FA0D37">
        <w:t xml:space="preserve">    ]]</w:t>
      </w:r>
      <w:r w:rsidR="009D34CA" w:rsidRPr="00FA0D37">
        <w:t>,</w:t>
      </w:r>
    </w:p>
    <w:p w14:paraId="252B128C" w14:textId="38597DA1" w:rsidR="009D34CA" w:rsidRPr="00FA0D37" w:rsidRDefault="009D34CA" w:rsidP="00FA0D37">
      <w:pPr>
        <w:pStyle w:val="PL"/>
      </w:pPr>
      <w:r w:rsidRPr="00FA0D37">
        <w:t xml:space="preserve">    [[</w:t>
      </w:r>
    </w:p>
    <w:p w14:paraId="00735569" w14:textId="3B041621" w:rsidR="009D34CA" w:rsidRPr="00FA0D37" w:rsidRDefault="009D34CA" w:rsidP="00FA0D37">
      <w:pPr>
        <w:pStyle w:val="PL"/>
      </w:pPr>
      <w:r w:rsidRPr="00FA0D37">
        <w:t xml:space="preserve">    enhancedSkipUplinkTxConfigured-v1660      </w:t>
      </w:r>
      <w:r w:rsidRPr="00FA0D37">
        <w:rPr>
          <w:color w:val="993366"/>
        </w:rPr>
        <w:t>ENUMERATED</w:t>
      </w:r>
      <w:r w:rsidRPr="00FA0D37">
        <w:t xml:space="preserve"> {supported}                       </w:t>
      </w:r>
      <w:r w:rsidRPr="00FA0D37">
        <w:rPr>
          <w:color w:val="993366"/>
        </w:rPr>
        <w:t>OPTIONAL</w:t>
      </w:r>
      <w:r w:rsidRPr="00FA0D37">
        <w:t>,</w:t>
      </w:r>
    </w:p>
    <w:p w14:paraId="63A05ABC" w14:textId="1D0C6FF9" w:rsidR="009D34CA" w:rsidRPr="00FA0D37" w:rsidRDefault="009D34CA" w:rsidP="00FA0D37">
      <w:pPr>
        <w:pStyle w:val="PL"/>
      </w:pPr>
      <w:r w:rsidRPr="00FA0D37">
        <w:t xml:space="preserve">    enhancedSkipUplinkTxDynamic-v1660         </w:t>
      </w:r>
      <w:r w:rsidRPr="00FA0D37">
        <w:rPr>
          <w:color w:val="993366"/>
        </w:rPr>
        <w:t>ENUMERATED</w:t>
      </w:r>
      <w:r w:rsidRPr="00FA0D37">
        <w:t xml:space="preserve"> {supported}                       </w:t>
      </w:r>
      <w:r w:rsidRPr="00FA0D37">
        <w:rPr>
          <w:color w:val="993366"/>
        </w:rPr>
        <w:t>OPTIONAL</w:t>
      </w:r>
    </w:p>
    <w:p w14:paraId="2A917014" w14:textId="330B0C4B" w:rsidR="00701E3D" w:rsidRPr="00FA0D37" w:rsidRDefault="009D34CA" w:rsidP="00FA0D37">
      <w:pPr>
        <w:pStyle w:val="PL"/>
      </w:pPr>
      <w:r w:rsidRPr="00FA0D37">
        <w:t xml:space="preserve">    ]]</w:t>
      </w:r>
      <w:r w:rsidR="00701E3D" w:rsidRPr="00FA0D37">
        <w:t>,</w:t>
      </w:r>
    </w:p>
    <w:p w14:paraId="28857A1F" w14:textId="77777777" w:rsidR="00701E3D" w:rsidRPr="00FA0D37" w:rsidRDefault="00701E3D" w:rsidP="00FA0D37">
      <w:pPr>
        <w:pStyle w:val="PL"/>
      </w:pPr>
      <w:r w:rsidRPr="00FA0D37">
        <w:t xml:space="preserve">    [[</w:t>
      </w:r>
    </w:p>
    <w:p w14:paraId="23AABC59" w14:textId="7C89A267" w:rsidR="00701E3D" w:rsidRPr="00FA0D37" w:rsidRDefault="00701E3D" w:rsidP="00FA0D37">
      <w:pPr>
        <w:pStyle w:val="PL"/>
      </w:pPr>
      <w:r w:rsidRPr="00FA0D37">
        <w:t xml:space="preserve">    maxUplinkDutyCycle-PC1dot5-MPE-FR1-r16    </w:t>
      </w:r>
      <w:r w:rsidRPr="00FA0D37">
        <w:rPr>
          <w:color w:val="993366"/>
        </w:rPr>
        <w:t>ENUMERATED</w:t>
      </w:r>
      <w:r w:rsidRPr="00FA0D37">
        <w:t xml:space="preserve"> {n10, n15, n20, n25, n30, n40, n50, n60, n70, n80, n90, n100}   </w:t>
      </w:r>
      <w:r w:rsidRPr="00FA0D37">
        <w:rPr>
          <w:color w:val="993366"/>
        </w:rPr>
        <w:t>OPTIONAL</w:t>
      </w:r>
      <w:r w:rsidR="00AF0F64" w:rsidRPr="00FA0D37">
        <w:t>,</w:t>
      </w:r>
    </w:p>
    <w:p w14:paraId="4728560F" w14:textId="2FE8B4ED" w:rsidR="00AF0F64" w:rsidRPr="00FA0D37" w:rsidRDefault="00AF0F64" w:rsidP="00FA0D37">
      <w:pPr>
        <w:pStyle w:val="PL"/>
      </w:pPr>
      <w:r w:rsidRPr="00FA0D37">
        <w:t xml:space="preserve">    txDiversity-r16                           </w:t>
      </w:r>
      <w:r w:rsidRPr="00FA0D37">
        <w:rPr>
          <w:color w:val="993366"/>
        </w:rPr>
        <w:t>ENUMERATED</w:t>
      </w:r>
      <w:r w:rsidRPr="00FA0D37">
        <w:t xml:space="preserve"> {supported}                       </w:t>
      </w:r>
      <w:r w:rsidRPr="00FA0D37">
        <w:rPr>
          <w:color w:val="993366"/>
        </w:rPr>
        <w:t>OPTIONAL</w:t>
      </w:r>
    </w:p>
    <w:p w14:paraId="4B68F137" w14:textId="2D191EF3" w:rsidR="000B1FA4" w:rsidRPr="00FA0D37" w:rsidRDefault="00701E3D" w:rsidP="00FA0D37">
      <w:pPr>
        <w:pStyle w:val="PL"/>
      </w:pPr>
      <w:r w:rsidRPr="00FA0D37">
        <w:t xml:space="preserve">    ]]</w:t>
      </w:r>
      <w:r w:rsidR="000B1FA4" w:rsidRPr="00FA0D37">
        <w:t>,</w:t>
      </w:r>
    </w:p>
    <w:p w14:paraId="13FAB5FB" w14:textId="73FBB87F" w:rsidR="000B1FA4" w:rsidRPr="00FA0D37" w:rsidRDefault="000B1FA4" w:rsidP="00FA0D37">
      <w:pPr>
        <w:pStyle w:val="PL"/>
      </w:pPr>
      <w:r w:rsidRPr="00FA0D37">
        <w:t xml:space="preserve">    [[</w:t>
      </w:r>
    </w:p>
    <w:p w14:paraId="14242059" w14:textId="7DC6FA59" w:rsidR="000B1FA4" w:rsidRPr="00FA0D37" w:rsidRDefault="000B1FA4" w:rsidP="00FA0D37">
      <w:pPr>
        <w:pStyle w:val="PL"/>
        <w:rPr>
          <w:color w:val="808080"/>
        </w:rPr>
      </w:pPr>
      <w:r w:rsidRPr="00FA0D37">
        <w:t xml:space="preserve">     </w:t>
      </w:r>
      <w:r w:rsidRPr="00FA0D37">
        <w:rPr>
          <w:color w:val="808080"/>
        </w:rPr>
        <w:t>-- R1 36-1: Support of 1024QAM for PDSCH for FR1</w:t>
      </w:r>
    </w:p>
    <w:p w14:paraId="48F9B8B8" w14:textId="1FAF7571" w:rsidR="000B1FA4" w:rsidRPr="00FA0D37" w:rsidRDefault="000B1FA4" w:rsidP="00FA0D37">
      <w:pPr>
        <w:pStyle w:val="PL"/>
      </w:pPr>
      <w:r w:rsidRPr="00FA0D37">
        <w:t xml:space="preserve">    pdsch-1024QAM-FR1-r17                     </w:t>
      </w:r>
      <w:r w:rsidRPr="00FA0D37">
        <w:rPr>
          <w:color w:val="993366"/>
        </w:rPr>
        <w:t>ENUMERATED</w:t>
      </w:r>
      <w:r w:rsidRPr="00FA0D37">
        <w:t xml:space="preserve"> {supported}                       </w:t>
      </w:r>
      <w:r w:rsidRPr="00FA0D37">
        <w:rPr>
          <w:color w:val="993366"/>
        </w:rPr>
        <w:t>OPTIONAL</w:t>
      </w:r>
      <w:r w:rsidRPr="00FA0D37">
        <w:t>,</w:t>
      </w:r>
    </w:p>
    <w:p w14:paraId="2F304223" w14:textId="0C1894F2" w:rsidR="000B1FA4" w:rsidRPr="00FA0D37" w:rsidRDefault="000B1FA4" w:rsidP="00FA0D37">
      <w:pPr>
        <w:pStyle w:val="PL"/>
        <w:rPr>
          <w:color w:val="808080"/>
        </w:rPr>
      </w:pPr>
      <w:r w:rsidRPr="00FA0D37">
        <w:t xml:space="preserve">     </w:t>
      </w:r>
      <w:r w:rsidRPr="00FA0D37">
        <w:rPr>
          <w:color w:val="808080"/>
        </w:rPr>
        <w:t>-- R4 22-1 support of FR2 HST operation</w:t>
      </w:r>
    </w:p>
    <w:p w14:paraId="696603A4" w14:textId="37DE4CAF" w:rsidR="000B1FA4" w:rsidRPr="00FA0D37" w:rsidRDefault="000B1FA4" w:rsidP="00FA0D37">
      <w:pPr>
        <w:pStyle w:val="PL"/>
      </w:pPr>
      <w:r w:rsidRPr="00FA0D37">
        <w:t xml:space="preserve">    ue-PowerClass-v1700                       </w:t>
      </w:r>
      <w:r w:rsidRPr="00FA0D37">
        <w:rPr>
          <w:color w:val="993366"/>
        </w:rPr>
        <w:t>ENUMERATED</w:t>
      </w:r>
      <w:r w:rsidRPr="00FA0D37">
        <w:t xml:space="preserve"> {pc5,</w:t>
      </w:r>
      <w:r w:rsidR="00740D03" w:rsidRPr="00FA0D37">
        <w:t xml:space="preserve"> </w:t>
      </w:r>
      <w:r w:rsidRPr="00FA0D37">
        <w:t>pc6</w:t>
      </w:r>
      <w:r w:rsidR="004B4E41" w:rsidRPr="00FA0D37">
        <w:t>,</w:t>
      </w:r>
      <w:r w:rsidR="00740D03" w:rsidRPr="00FA0D37">
        <w:t xml:space="preserve"> </w:t>
      </w:r>
      <w:r w:rsidR="004B4E41" w:rsidRPr="00FA0D37">
        <w:t>pc7</w:t>
      </w:r>
      <w:r w:rsidRPr="00FA0D37">
        <w:t xml:space="preserve">}                   </w:t>
      </w:r>
      <w:r w:rsidRPr="00FA0D37">
        <w:rPr>
          <w:color w:val="993366"/>
        </w:rPr>
        <w:t>OPTIONAL</w:t>
      </w:r>
      <w:r w:rsidRPr="00FA0D37">
        <w:t>,</w:t>
      </w:r>
    </w:p>
    <w:p w14:paraId="09A69CFF" w14:textId="77777777" w:rsidR="000B1FA4" w:rsidRPr="00FA0D37" w:rsidRDefault="000B1FA4" w:rsidP="00FA0D37">
      <w:pPr>
        <w:pStyle w:val="PL"/>
        <w:rPr>
          <w:color w:val="808080"/>
        </w:rPr>
      </w:pPr>
      <w:r w:rsidRPr="00FA0D37">
        <w:t xml:space="preserve">    </w:t>
      </w:r>
      <w:r w:rsidRPr="00FA0D37">
        <w:rPr>
          <w:color w:val="808080"/>
        </w:rPr>
        <w:t>-- R1 24: NR extension to 71GHz (FR2-2)</w:t>
      </w:r>
    </w:p>
    <w:p w14:paraId="57E1A41F" w14:textId="6E58F46B" w:rsidR="000B1FA4" w:rsidRPr="00FA0D37" w:rsidRDefault="000B1FA4" w:rsidP="00FA0D37">
      <w:pPr>
        <w:pStyle w:val="PL"/>
      </w:pPr>
      <w:r w:rsidRPr="00FA0D37">
        <w:t xml:space="preserve">    fr2-2-AccessParamsPerBand-r17             FR2-2-AccessParamsPerBand-r17                </w:t>
      </w:r>
      <w:r w:rsidRPr="00FA0D37">
        <w:rPr>
          <w:color w:val="993366"/>
        </w:rPr>
        <w:t>OPTIONAL</w:t>
      </w:r>
      <w:r w:rsidRPr="00FA0D37">
        <w:t>,</w:t>
      </w:r>
    </w:p>
    <w:p w14:paraId="06623007" w14:textId="5B5B7DA4" w:rsidR="000B1FA4" w:rsidRPr="00FA0D37" w:rsidRDefault="000B1FA4" w:rsidP="00FA0D37">
      <w:pPr>
        <w:pStyle w:val="PL"/>
      </w:pPr>
      <w:r w:rsidRPr="00FA0D37">
        <w:t xml:space="preserve">    rlm-Relaxation-r17                        </w:t>
      </w:r>
      <w:r w:rsidRPr="00FA0D37">
        <w:rPr>
          <w:color w:val="993366"/>
        </w:rPr>
        <w:t>ENUMERATED</w:t>
      </w:r>
      <w:r w:rsidRPr="00FA0D37">
        <w:t xml:space="preserve"> {supported}                       </w:t>
      </w:r>
      <w:r w:rsidRPr="00FA0D37">
        <w:rPr>
          <w:color w:val="993366"/>
        </w:rPr>
        <w:t>OPTIONAL</w:t>
      </w:r>
      <w:r w:rsidRPr="00FA0D37">
        <w:t>,</w:t>
      </w:r>
    </w:p>
    <w:p w14:paraId="7FD92C32" w14:textId="35B9EA71" w:rsidR="000B1FA4" w:rsidRPr="00FA0D37" w:rsidRDefault="000B1FA4" w:rsidP="00FA0D37">
      <w:pPr>
        <w:pStyle w:val="PL"/>
      </w:pPr>
      <w:r w:rsidRPr="00FA0D37">
        <w:t xml:space="preserve">    bfd-Relaxation-r17                        </w:t>
      </w:r>
      <w:r w:rsidRPr="00FA0D37">
        <w:rPr>
          <w:color w:val="993366"/>
        </w:rPr>
        <w:t>ENUMERATED</w:t>
      </w:r>
      <w:r w:rsidRPr="00FA0D37">
        <w:t xml:space="preserve"> {supported}                       </w:t>
      </w:r>
      <w:r w:rsidRPr="00FA0D37">
        <w:rPr>
          <w:color w:val="993366"/>
        </w:rPr>
        <w:t>OPTIONAL</w:t>
      </w:r>
      <w:r w:rsidRPr="00FA0D37">
        <w:t>,</w:t>
      </w:r>
    </w:p>
    <w:p w14:paraId="49816815" w14:textId="77777777" w:rsidR="000B1FA4" w:rsidRPr="00FA0D37" w:rsidRDefault="000B1FA4" w:rsidP="00FA0D37">
      <w:pPr>
        <w:pStyle w:val="PL"/>
      </w:pPr>
      <w:r w:rsidRPr="00FA0D37">
        <w:t xml:space="preserve">    cg-SDT-r17                                </w:t>
      </w:r>
      <w:r w:rsidRPr="00FA0D37">
        <w:rPr>
          <w:color w:val="993366"/>
        </w:rPr>
        <w:t>ENUMERATED</w:t>
      </w:r>
      <w:r w:rsidRPr="00FA0D37">
        <w:t xml:space="preserve"> {supported}                       </w:t>
      </w:r>
      <w:r w:rsidRPr="00FA0D37">
        <w:rPr>
          <w:color w:val="993366"/>
        </w:rPr>
        <w:t>OPTIONAL</w:t>
      </w:r>
      <w:r w:rsidRPr="00FA0D37">
        <w:t>,</w:t>
      </w:r>
    </w:p>
    <w:p w14:paraId="0482D974" w14:textId="3BEF2326" w:rsidR="000B1FA4" w:rsidRPr="00FA0D37" w:rsidRDefault="000B1FA4" w:rsidP="00FA0D37">
      <w:pPr>
        <w:pStyle w:val="PL"/>
      </w:pPr>
      <w:r w:rsidRPr="00FA0D37">
        <w:t xml:space="preserve">    locationBasedCondHandover-r17             </w:t>
      </w:r>
      <w:r w:rsidRPr="00FA0D37">
        <w:rPr>
          <w:color w:val="993366"/>
        </w:rPr>
        <w:t>ENUMERATED</w:t>
      </w:r>
      <w:r w:rsidRPr="00FA0D37">
        <w:t xml:space="preserve"> {supported}                       </w:t>
      </w:r>
      <w:r w:rsidRPr="00FA0D37">
        <w:rPr>
          <w:color w:val="993366"/>
        </w:rPr>
        <w:t>OPTIONAL</w:t>
      </w:r>
      <w:r w:rsidRPr="00FA0D37">
        <w:t>,</w:t>
      </w:r>
    </w:p>
    <w:p w14:paraId="2ADCF93B" w14:textId="56139782" w:rsidR="000B1FA4" w:rsidRPr="00FA0D37" w:rsidRDefault="000B1FA4" w:rsidP="00FA0D37">
      <w:pPr>
        <w:pStyle w:val="PL"/>
      </w:pPr>
      <w:r w:rsidRPr="00FA0D37">
        <w:t xml:space="preserve">    timeBasedCondHandover-r17                 </w:t>
      </w:r>
      <w:r w:rsidRPr="00FA0D37">
        <w:rPr>
          <w:color w:val="993366"/>
        </w:rPr>
        <w:t>ENUMERATED</w:t>
      </w:r>
      <w:r w:rsidRPr="00FA0D37">
        <w:t xml:space="preserve"> {supported}                       </w:t>
      </w:r>
      <w:r w:rsidRPr="00FA0D37">
        <w:rPr>
          <w:color w:val="993366"/>
        </w:rPr>
        <w:t>OPTIONAL</w:t>
      </w:r>
      <w:r w:rsidRPr="00FA0D37">
        <w:t>,</w:t>
      </w:r>
    </w:p>
    <w:p w14:paraId="7A5207D9" w14:textId="5791B0B7" w:rsidR="000B1FA4" w:rsidRPr="00FA0D37" w:rsidRDefault="000B1FA4" w:rsidP="00FA0D37">
      <w:pPr>
        <w:pStyle w:val="PL"/>
      </w:pPr>
      <w:r w:rsidRPr="00FA0D37">
        <w:t xml:space="preserve">    eventA4BasedCondHandover-r17              </w:t>
      </w:r>
      <w:r w:rsidRPr="00FA0D37">
        <w:rPr>
          <w:color w:val="993366"/>
        </w:rPr>
        <w:t>ENUMERATED</w:t>
      </w:r>
      <w:r w:rsidRPr="00FA0D37">
        <w:t xml:space="preserve"> {supported}                       </w:t>
      </w:r>
      <w:r w:rsidRPr="00FA0D37">
        <w:rPr>
          <w:color w:val="993366"/>
        </w:rPr>
        <w:t>OPTIONAL</w:t>
      </w:r>
      <w:r w:rsidRPr="00FA0D37">
        <w:t>,</w:t>
      </w:r>
    </w:p>
    <w:p w14:paraId="3804119C" w14:textId="4553F2A7" w:rsidR="000B1FA4" w:rsidRPr="00FA0D37" w:rsidRDefault="000B1FA4" w:rsidP="00FA0D37">
      <w:pPr>
        <w:pStyle w:val="PL"/>
      </w:pPr>
      <w:r w:rsidRPr="00FA0D37">
        <w:t xml:space="preserve">    mn-InitiatedCondPSCellChangeNRDC-r17      </w:t>
      </w:r>
      <w:r w:rsidRPr="00FA0D37">
        <w:rPr>
          <w:color w:val="993366"/>
        </w:rPr>
        <w:t>ENUMERATED</w:t>
      </w:r>
      <w:r w:rsidRPr="00FA0D37">
        <w:t xml:space="preserve"> {supported}                       </w:t>
      </w:r>
      <w:r w:rsidRPr="00FA0D37">
        <w:rPr>
          <w:color w:val="993366"/>
        </w:rPr>
        <w:t>OPTIONAL</w:t>
      </w:r>
      <w:r w:rsidRPr="00FA0D37">
        <w:t>,</w:t>
      </w:r>
    </w:p>
    <w:p w14:paraId="673334D6" w14:textId="77777777" w:rsidR="004B4E41" w:rsidRPr="00FA0D37" w:rsidRDefault="000B1FA4" w:rsidP="00FA0D37">
      <w:pPr>
        <w:pStyle w:val="PL"/>
      </w:pPr>
      <w:r w:rsidRPr="00FA0D37">
        <w:t xml:space="preserve">    sn-InitiatedCondPSCellChangeNRDC-r17      </w:t>
      </w:r>
      <w:r w:rsidRPr="00FA0D37">
        <w:rPr>
          <w:color w:val="993366"/>
        </w:rPr>
        <w:t>ENUMERATED</w:t>
      </w:r>
      <w:r w:rsidRPr="00FA0D37">
        <w:t xml:space="preserve"> {supported}                       </w:t>
      </w:r>
      <w:r w:rsidRPr="00FA0D37">
        <w:rPr>
          <w:color w:val="993366"/>
        </w:rPr>
        <w:t>OPTIONAL</w:t>
      </w:r>
      <w:r w:rsidR="004B4E41" w:rsidRPr="00FA0D37">
        <w:t>,</w:t>
      </w:r>
    </w:p>
    <w:p w14:paraId="327ED68D" w14:textId="1EAFD36A" w:rsidR="004B4E41" w:rsidRPr="00FA0D37" w:rsidRDefault="004B4E41" w:rsidP="00FA0D37">
      <w:pPr>
        <w:pStyle w:val="PL"/>
        <w:rPr>
          <w:color w:val="808080"/>
        </w:rPr>
      </w:pPr>
      <w:r w:rsidRPr="00FA0D37">
        <w:t xml:space="preserve">    </w:t>
      </w:r>
      <w:r w:rsidRPr="00FA0D37">
        <w:rPr>
          <w:color w:val="808080"/>
        </w:rPr>
        <w:t>-- R1 29-3a: PDCCH skipping</w:t>
      </w:r>
    </w:p>
    <w:p w14:paraId="46F9ACC6" w14:textId="7AF0581A" w:rsidR="004B4E41" w:rsidRPr="00FA0D37" w:rsidRDefault="004B4E41" w:rsidP="00FA0D37">
      <w:pPr>
        <w:pStyle w:val="PL"/>
      </w:pPr>
      <w:r w:rsidRPr="00FA0D37">
        <w:t xml:space="preserve">    pdcch-SkippingWithoutSSSG-r17             </w:t>
      </w:r>
      <w:r w:rsidRPr="00FA0D37">
        <w:rPr>
          <w:color w:val="993366"/>
        </w:rPr>
        <w:t>ENUMERATED</w:t>
      </w:r>
      <w:r w:rsidRPr="00FA0D37">
        <w:t xml:space="preserve"> {supported}                       </w:t>
      </w:r>
      <w:r w:rsidRPr="00FA0D37">
        <w:rPr>
          <w:color w:val="993366"/>
        </w:rPr>
        <w:t>OPTIONAL</w:t>
      </w:r>
      <w:r w:rsidRPr="00FA0D37">
        <w:t>,</w:t>
      </w:r>
    </w:p>
    <w:p w14:paraId="736601B1" w14:textId="7EA488C6" w:rsidR="004B4E41" w:rsidRPr="00FA0D37" w:rsidRDefault="004B4E41" w:rsidP="00FA0D37">
      <w:pPr>
        <w:pStyle w:val="PL"/>
        <w:rPr>
          <w:color w:val="808080"/>
        </w:rPr>
      </w:pPr>
      <w:r w:rsidRPr="00FA0D37">
        <w:t xml:space="preserve">    </w:t>
      </w:r>
      <w:r w:rsidRPr="00FA0D37">
        <w:rPr>
          <w:color w:val="808080"/>
        </w:rPr>
        <w:t>-- R1 29-3b: 2 search space sets group switching</w:t>
      </w:r>
    </w:p>
    <w:p w14:paraId="2B5BD45F" w14:textId="7170D2C8" w:rsidR="004B4E41" w:rsidRPr="00FA0D37" w:rsidRDefault="004B4E41" w:rsidP="00FA0D37">
      <w:pPr>
        <w:pStyle w:val="PL"/>
      </w:pPr>
      <w:r w:rsidRPr="00FA0D37">
        <w:t xml:space="preserve">    sssg-Switching-1BitInd-r17                </w:t>
      </w:r>
      <w:r w:rsidRPr="00FA0D37">
        <w:rPr>
          <w:color w:val="993366"/>
        </w:rPr>
        <w:t>ENUMERATED</w:t>
      </w:r>
      <w:r w:rsidRPr="00FA0D37">
        <w:t xml:space="preserve"> {supported}                       </w:t>
      </w:r>
      <w:r w:rsidRPr="00FA0D37">
        <w:rPr>
          <w:color w:val="993366"/>
        </w:rPr>
        <w:t>OPTIONAL</w:t>
      </w:r>
      <w:r w:rsidRPr="00FA0D37">
        <w:t>,</w:t>
      </w:r>
    </w:p>
    <w:p w14:paraId="7CEEF7BB" w14:textId="7A8A4C8E" w:rsidR="004B4E41" w:rsidRPr="00FA0D37" w:rsidRDefault="004B4E41" w:rsidP="00FA0D37">
      <w:pPr>
        <w:pStyle w:val="PL"/>
        <w:rPr>
          <w:color w:val="808080"/>
        </w:rPr>
      </w:pPr>
      <w:r w:rsidRPr="00FA0D37">
        <w:t xml:space="preserve">    </w:t>
      </w:r>
      <w:r w:rsidRPr="00FA0D37">
        <w:rPr>
          <w:color w:val="808080"/>
        </w:rPr>
        <w:t>-- R1 29-3c: 3 search space sets group switching</w:t>
      </w:r>
    </w:p>
    <w:p w14:paraId="76A2BC1D" w14:textId="6213E7E1" w:rsidR="004B4E41" w:rsidRPr="00FA0D37" w:rsidRDefault="004B4E41" w:rsidP="00FA0D37">
      <w:pPr>
        <w:pStyle w:val="PL"/>
      </w:pPr>
      <w:r w:rsidRPr="00FA0D37">
        <w:t xml:space="preserve">    sssg-Switching-2BitInd-r17                </w:t>
      </w:r>
      <w:r w:rsidRPr="00FA0D37">
        <w:rPr>
          <w:color w:val="993366"/>
        </w:rPr>
        <w:t>ENUMERATED</w:t>
      </w:r>
      <w:r w:rsidRPr="00FA0D37">
        <w:t xml:space="preserve"> {supported}                       </w:t>
      </w:r>
      <w:r w:rsidRPr="00FA0D37">
        <w:rPr>
          <w:color w:val="993366"/>
        </w:rPr>
        <w:t>OPTIONAL</w:t>
      </w:r>
      <w:r w:rsidRPr="00FA0D37">
        <w:t>,</w:t>
      </w:r>
    </w:p>
    <w:p w14:paraId="5C17960D" w14:textId="3E2B12CE" w:rsidR="004B4E41" w:rsidRPr="00FA0D37" w:rsidRDefault="004B4E41" w:rsidP="00FA0D37">
      <w:pPr>
        <w:pStyle w:val="PL"/>
        <w:rPr>
          <w:color w:val="808080"/>
        </w:rPr>
      </w:pPr>
      <w:r w:rsidRPr="00FA0D37">
        <w:t xml:space="preserve">    </w:t>
      </w:r>
      <w:r w:rsidRPr="00FA0D37">
        <w:rPr>
          <w:color w:val="808080"/>
        </w:rPr>
        <w:t>-- R1 29-3d: 2 search space sets group switching with PDCCH skipping</w:t>
      </w:r>
    </w:p>
    <w:p w14:paraId="0F24583B" w14:textId="7BE22F68" w:rsidR="000B1FA4" w:rsidRPr="00FA0D37" w:rsidRDefault="004B4E41" w:rsidP="00FA0D37">
      <w:pPr>
        <w:pStyle w:val="PL"/>
      </w:pPr>
      <w:r w:rsidRPr="00FA0D37">
        <w:t xml:space="preserve">    pdcch-SkippingWithSSSG-r17                </w:t>
      </w:r>
      <w:r w:rsidRPr="00FA0D37">
        <w:rPr>
          <w:color w:val="993366"/>
        </w:rPr>
        <w:t>ENUMERATED</w:t>
      </w:r>
      <w:r w:rsidRPr="00FA0D37">
        <w:t xml:space="preserve"> {supported}                       </w:t>
      </w:r>
      <w:r w:rsidRPr="00FA0D37">
        <w:rPr>
          <w:color w:val="993366"/>
        </w:rPr>
        <w:t>OPTIONAL</w:t>
      </w:r>
      <w:r w:rsidRPr="00FA0D37">
        <w:t>,</w:t>
      </w:r>
    </w:p>
    <w:p w14:paraId="653D6933" w14:textId="12A38DD3" w:rsidR="004B4E41" w:rsidRPr="00FA0D37" w:rsidRDefault="004B4E41" w:rsidP="00FA0D37">
      <w:pPr>
        <w:pStyle w:val="PL"/>
        <w:rPr>
          <w:color w:val="808080"/>
        </w:rPr>
      </w:pPr>
      <w:r w:rsidRPr="00FA0D37">
        <w:t xml:space="preserve">    </w:t>
      </w:r>
      <w:r w:rsidRPr="00FA0D37">
        <w:rPr>
          <w:color w:val="808080"/>
        </w:rPr>
        <w:t>-- R1 29-3e: Support Search space set group switching capability 2 for FR1</w:t>
      </w:r>
    </w:p>
    <w:p w14:paraId="7FF9AE14" w14:textId="5D5676B1" w:rsidR="004B4E41" w:rsidRPr="00FA0D37" w:rsidRDefault="004B4E41" w:rsidP="00FA0D37">
      <w:pPr>
        <w:pStyle w:val="PL"/>
      </w:pPr>
      <w:r w:rsidRPr="00FA0D37">
        <w:t xml:space="preserve">    searchSpaceSetGrp-switchCap2-r17          </w:t>
      </w:r>
      <w:r w:rsidRPr="00FA0D37">
        <w:rPr>
          <w:color w:val="993366"/>
        </w:rPr>
        <w:t>ENUMERATED</w:t>
      </w:r>
      <w:r w:rsidRPr="00FA0D37">
        <w:t xml:space="preserve"> {supported}                       </w:t>
      </w:r>
      <w:r w:rsidRPr="00FA0D37">
        <w:rPr>
          <w:color w:val="993366"/>
        </w:rPr>
        <w:t>OPTIONAL</w:t>
      </w:r>
      <w:r w:rsidRPr="00FA0D37">
        <w:t>,</w:t>
      </w:r>
    </w:p>
    <w:p w14:paraId="28982C54" w14:textId="7D60E3D5" w:rsidR="004B4E41" w:rsidRPr="00FA0D37" w:rsidRDefault="004B4E41" w:rsidP="00FA0D37">
      <w:pPr>
        <w:pStyle w:val="PL"/>
        <w:rPr>
          <w:color w:val="808080"/>
        </w:rPr>
      </w:pPr>
      <w:r w:rsidRPr="00FA0D37">
        <w:t xml:space="preserve">    </w:t>
      </w:r>
      <w:r w:rsidRPr="00FA0D37">
        <w:rPr>
          <w:color w:val="808080"/>
        </w:rPr>
        <w:t>-- R1 26-1: Uplink Time and Frequency pre-compensation and timing relationship enhancements</w:t>
      </w:r>
    </w:p>
    <w:p w14:paraId="70E95E1E" w14:textId="3DD5F99A" w:rsidR="004B4E41" w:rsidRPr="00FA0D37" w:rsidRDefault="004B4E41" w:rsidP="00FA0D37">
      <w:pPr>
        <w:pStyle w:val="PL"/>
      </w:pPr>
      <w:r w:rsidRPr="00FA0D37">
        <w:t xml:space="preserve">    uplinkPreCompensation-r17                 </w:t>
      </w:r>
      <w:r w:rsidRPr="00FA0D37">
        <w:rPr>
          <w:color w:val="993366"/>
        </w:rPr>
        <w:t>ENUMERATED</w:t>
      </w:r>
      <w:r w:rsidRPr="00FA0D37">
        <w:t xml:space="preserve"> {supported}                       </w:t>
      </w:r>
      <w:r w:rsidRPr="00FA0D37">
        <w:rPr>
          <w:color w:val="993366"/>
        </w:rPr>
        <w:t>OPTIONAL</w:t>
      </w:r>
      <w:r w:rsidRPr="00FA0D37">
        <w:t>,</w:t>
      </w:r>
    </w:p>
    <w:p w14:paraId="43CC894D" w14:textId="3E71027A" w:rsidR="004B4E41" w:rsidRPr="00FA0D37" w:rsidRDefault="004B4E41" w:rsidP="00FA0D37">
      <w:pPr>
        <w:pStyle w:val="PL"/>
        <w:rPr>
          <w:color w:val="808080"/>
        </w:rPr>
      </w:pPr>
      <w:r w:rsidRPr="00FA0D37">
        <w:t xml:space="preserve">    </w:t>
      </w:r>
      <w:r w:rsidRPr="00FA0D37">
        <w:rPr>
          <w:color w:val="808080"/>
        </w:rPr>
        <w:t>-- R1 26-4: UE reporting of information related to TA pre-compensation</w:t>
      </w:r>
    </w:p>
    <w:p w14:paraId="18BC381A" w14:textId="062C6125" w:rsidR="004B4E41" w:rsidRPr="00FA0D37" w:rsidRDefault="004B4E41" w:rsidP="00FA0D37">
      <w:pPr>
        <w:pStyle w:val="PL"/>
      </w:pPr>
      <w:r w:rsidRPr="00FA0D37">
        <w:t xml:space="preserve">    uplink-TA-Reporting-r17                   </w:t>
      </w:r>
      <w:r w:rsidRPr="00FA0D37">
        <w:rPr>
          <w:color w:val="993366"/>
        </w:rPr>
        <w:t>ENUMERATED</w:t>
      </w:r>
      <w:r w:rsidRPr="00FA0D37">
        <w:t xml:space="preserve"> {supported}                       </w:t>
      </w:r>
      <w:r w:rsidRPr="00FA0D37">
        <w:rPr>
          <w:color w:val="993366"/>
        </w:rPr>
        <w:t>OPTIONAL</w:t>
      </w:r>
      <w:r w:rsidRPr="00FA0D37">
        <w:t>,</w:t>
      </w:r>
    </w:p>
    <w:p w14:paraId="07C0EADB" w14:textId="02709A10" w:rsidR="004B4E41" w:rsidRPr="00FA0D37" w:rsidRDefault="004B4E41" w:rsidP="00FA0D37">
      <w:pPr>
        <w:pStyle w:val="PL"/>
        <w:rPr>
          <w:color w:val="808080"/>
        </w:rPr>
      </w:pPr>
      <w:r w:rsidRPr="00FA0D37">
        <w:t xml:space="preserve">    </w:t>
      </w:r>
      <w:r w:rsidRPr="00FA0D37">
        <w:rPr>
          <w:color w:val="808080"/>
        </w:rPr>
        <w:t>-- R1 26-5: Increasing the number of HARQ processes</w:t>
      </w:r>
    </w:p>
    <w:p w14:paraId="0EFE89E3" w14:textId="2EBE9B0A" w:rsidR="004B4E41" w:rsidRPr="00FA0D37" w:rsidRDefault="004B4E41" w:rsidP="00FA0D37">
      <w:pPr>
        <w:pStyle w:val="PL"/>
      </w:pPr>
      <w:r w:rsidRPr="00FA0D37">
        <w:t xml:space="preserve">    max-HARQ-ProcessNumber-r17                </w:t>
      </w:r>
      <w:r w:rsidRPr="00FA0D37">
        <w:rPr>
          <w:color w:val="993366"/>
        </w:rPr>
        <w:t>ENUMERATED</w:t>
      </w:r>
      <w:r w:rsidRPr="00FA0D37">
        <w:t xml:space="preserve"> {u16d32, u32d16, u32d32}          </w:t>
      </w:r>
      <w:r w:rsidRPr="00FA0D37">
        <w:rPr>
          <w:color w:val="993366"/>
        </w:rPr>
        <w:t>OPTIONAL</w:t>
      </w:r>
      <w:r w:rsidRPr="00FA0D37">
        <w:t>,</w:t>
      </w:r>
    </w:p>
    <w:p w14:paraId="55FC7107" w14:textId="145454AD" w:rsidR="004B4E41" w:rsidRPr="00FA0D37" w:rsidRDefault="004B4E41" w:rsidP="00FA0D37">
      <w:pPr>
        <w:pStyle w:val="PL"/>
        <w:rPr>
          <w:color w:val="808080"/>
        </w:rPr>
      </w:pPr>
      <w:r w:rsidRPr="00FA0D37">
        <w:t xml:space="preserve">    </w:t>
      </w:r>
      <w:r w:rsidRPr="00FA0D37">
        <w:rPr>
          <w:color w:val="808080"/>
        </w:rPr>
        <w:t>-- R1 26-6: Type-2 HARQ codebook enhancement</w:t>
      </w:r>
    </w:p>
    <w:p w14:paraId="5088EFC9" w14:textId="614EA95F" w:rsidR="004B4E41" w:rsidRPr="00FA0D37" w:rsidRDefault="004B4E41" w:rsidP="00FA0D37">
      <w:pPr>
        <w:pStyle w:val="PL"/>
      </w:pPr>
      <w:r w:rsidRPr="00FA0D37">
        <w:t xml:space="preserve">    type2-HARQ-Codebook-r17                   </w:t>
      </w:r>
      <w:r w:rsidRPr="00FA0D37">
        <w:rPr>
          <w:color w:val="993366"/>
        </w:rPr>
        <w:t>ENUMERATED</w:t>
      </w:r>
      <w:r w:rsidRPr="00FA0D37">
        <w:t xml:space="preserve"> {supported}                       </w:t>
      </w:r>
      <w:r w:rsidRPr="00FA0D37">
        <w:rPr>
          <w:color w:val="993366"/>
        </w:rPr>
        <w:t>OPTIONAL</w:t>
      </w:r>
      <w:r w:rsidRPr="00FA0D37">
        <w:t>,</w:t>
      </w:r>
    </w:p>
    <w:p w14:paraId="3063CE7B" w14:textId="50B75287" w:rsidR="004B4E41" w:rsidRPr="00FA0D37" w:rsidRDefault="004B4E41" w:rsidP="00FA0D37">
      <w:pPr>
        <w:pStyle w:val="PL"/>
        <w:rPr>
          <w:color w:val="808080"/>
        </w:rPr>
      </w:pPr>
      <w:r w:rsidRPr="00FA0D37">
        <w:lastRenderedPageBreak/>
        <w:t xml:space="preserve">    </w:t>
      </w:r>
      <w:r w:rsidRPr="00FA0D37">
        <w:rPr>
          <w:color w:val="808080"/>
        </w:rPr>
        <w:t>-- R1 26-6a: Type-1 HARQ codebook enhancement</w:t>
      </w:r>
    </w:p>
    <w:p w14:paraId="7FF52410" w14:textId="56EFEBE6" w:rsidR="004B4E41" w:rsidRPr="00FA0D37" w:rsidRDefault="004B4E41" w:rsidP="00FA0D37">
      <w:pPr>
        <w:pStyle w:val="PL"/>
      </w:pPr>
      <w:r w:rsidRPr="00FA0D37">
        <w:t xml:space="preserve">    type1-HARQ-Codebook-r17                   </w:t>
      </w:r>
      <w:r w:rsidRPr="00FA0D37">
        <w:rPr>
          <w:color w:val="993366"/>
        </w:rPr>
        <w:t>ENUMERATED</w:t>
      </w:r>
      <w:r w:rsidRPr="00FA0D37">
        <w:t xml:space="preserve"> {supported}                       </w:t>
      </w:r>
      <w:r w:rsidRPr="00FA0D37">
        <w:rPr>
          <w:color w:val="993366"/>
        </w:rPr>
        <w:t>OPTIONAL</w:t>
      </w:r>
      <w:r w:rsidRPr="00FA0D37">
        <w:t>,</w:t>
      </w:r>
    </w:p>
    <w:p w14:paraId="7A7582C7" w14:textId="6BE5ED59" w:rsidR="004B4E41" w:rsidRPr="00FA0D37" w:rsidRDefault="004B4E41" w:rsidP="00FA0D37">
      <w:pPr>
        <w:pStyle w:val="PL"/>
        <w:rPr>
          <w:color w:val="808080"/>
        </w:rPr>
      </w:pPr>
      <w:r w:rsidRPr="00FA0D37">
        <w:t xml:space="preserve">    </w:t>
      </w:r>
      <w:r w:rsidRPr="00FA0D37">
        <w:rPr>
          <w:color w:val="808080"/>
        </w:rPr>
        <w:t>-- R1 26-6b: Type-3 HARQ codebook enhancement</w:t>
      </w:r>
    </w:p>
    <w:p w14:paraId="09270DFF" w14:textId="553E9EAC" w:rsidR="004B4E41" w:rsidRPr="00FA0D37" w:rsidRDefault="004B4E41" w:rsidP="00FA0D37">
      <w:pPr>
        <w:pStyle w:val="PL"/>
      </w:pPr>
      <w:r w:rsidRPr="00FA0D37">
        <w:t xml:space="preserve">    type3-HARQ-Codebook-r17                   </w:t>
      </w:r>
      <w:r w:rsidRPr="00FA0D37">
        <w:rPr>
          <w:color w:val="993366"/>
        </w:rPr>
        <w:t>ENUMERATED</w:t>
      </w:r>
      <w:r w:rsidRPr="00FA0D37">
        <w:t xml:space="preserve"> {supported}                       </w:t>
      </w:r>
      <w:r w:rsidRPr="00FA0D37">
        <w:rPr>
          <w:color w:val="993366"/>
        </w:rPr>
        <w:t>OPTIONAL</w:t>
      </w:r>
      <w:r w:rsidRPr="00FA0D37">
        <w:t>,</w:t>
      </w:r>
    </w:p>
    <w:p w14:paraId="3A50B34C" w14:textId="05193BF4" w:rsidR="004B4E41" w:rsidRPr="00FA0D37" w:rsidRDefault="004B4E41" w:rsidP="00FA0D37">
      <w:pPr>
        <w:pStyle w:val="PL"/>
        <w:rPr>
          <w:color w:val="808080"/>
        </w:rPr>
      </w:pPr>
      <w:r w:rsidRPr="00FA0D37">
        <w:t xml:space="preserve">    </w:t>
      </w:r>
      <w:r w:rsidRPr="00FA0D37">
        <w:rPr>
          <w:color w:val="808080"/>
        </w:rPr>
        <w:t>-- R1 26-9: UE-specific K_offset</w:t>
      </w:r>
    </w:p>
    <w:p w14:paraId="44FB4546" w14:textId="4D116B8A" w:rsidR="004B4E41" w:rsidRPr="00FA0D37" w:rsidRDefault="004B4E41" w:rsidP="00FA0D37">
      <w:pPr>
        <w:pStyle w:val="PL"/>
      </w:pPr>
      <w:r w:rsidRPr="00FA0D37">
        <w:t xml:space="preserve">    ue-specific-K-Offset-r17                  </w:t>
      </w:r>
      <w:r w:rsidRPr="00FA0D37">
        <w:rPr>
          <w:color w:val="993366"/>
        </w:rPr>
        <w:t>ENUMERATED</w:t>
      </w:r>
      <w:r w:rsidRPr="00FA0D37">
        <w:t xml:space="preserve"> {supported}                       </w:t>
      </w:r>
      <w:r w:rsidRPr="00FA0D37">
        <w:rPr>
          <w:color w:val="993366"/>
        </w:rPr>
        <w:t>OPTIONAL</w:t>
      </w:r>
      <w:r w:rsidRPr="00FA0D37">
        <w:t>,</w:t>
      </w:r>
    </w:p>
    <w:p w14:paraId="769D6006" w14:textId="3E210897" w:rsidR="004B4E41" w:rsidRPr="00FA0D37" w:rsidRDefault="004B4E41" w:rsidP="00FA0D37">
      <w:pPr>
        <w:pStyle w:val="PL"/>
        <w:rPr>
          <w:color w:val="808080"/>
        </w:rPr>
      </w:pPr>
      <w:r w:rsidRPr="00FA0D37">
        <w:t xml:space="preserve">    </w:t>
      </w:r>
      <w:r w:rsidRPr="00FA0D37">
        <w:rPr>
          <w:color w:val="808080"/>
        </w:rPr>
        <w:t>-- R1 24-1f: Multiple PDSCH scheduling by single DCI for 120kHz in FR2-1</w:t>
      </w:r>
    </w:p>
    <w:p w14:paraId="0E79BEF8" w14:textId="0CFBA6CD" w:rsidR="004B4E41" w:rsidRPr="00FA0D37" w:rsidRDefault="004B4E41" w:rsidP="00FA0D37">
      <w:pPr>
        <w:pStyle w:val="PL"/>
      </w:pPr>
      <w:r w:rsidRPr="00FA0D37">
        <w:t xml:space="preserve">    multiPDSCH-SingleDCI-FR2-1-SCS-120kHz-r17 </w:t>
      </w:r>
      <w:r w:rsidRPr="00FA0D37">
        <w:rPr>
          <w:color w:val="993366"/>
        </w:rPr>
        <w:t>ENUMERATED</w:t>
      </w:r>
      <w:r w:rsidRPr="00FA0D37">
        <w:t xml:space="preserve"> {supported}                       </w:t>
      </w:r>
      <w:r w:rsidRPr="00FA0D37">
        <w:rPr>
          <w:color w:val="993366"/>
        </w:rPr>
        <w:t>OPTIONAL</w:t>
      </w:r>
      <w:r w:rsidRPr="00FA0D37">
        <w:t>,</w:t>
      </w:r>
    </w:p>
    <w:p w14:paraId="6F9FDC13" w14:textId="5F290AE2" w:rsidR="004B4E41" w:rsidRPr="00FA0D37" w:rsidRDefault="004B4E41" w:rsidP="00FA0D37">
      <w:pPr>
        <w:pStyle w:val="PL"/>
        <w:rPr>
          <w:color w:val="808080"/>
        </w:rPr>
      </w:pPr>
      <w:r w:rsidRPr="00FA0D37">
        <w:t xml:space="preserve">    </w:t>
      </w:r>
      <w:r w:rsidRPr="00FA0D37">
        <w:rPr>
          <w:color w:val="808080"/>
        </w:rPr>
        <w:t>-- R1 24-1g: Multiple PUSCH scheduling by single DCI for 120kHz in FR2-1</w:t>
      </w:r>
    </w:p>
    <w:p w14:paraId="62CAB6A4" w14:textId="726911F3" w:rsidR="004B4E41" w:rsidRPr="00FA0D37" w:rsidRDefault="004B4E41" w:rsidP="00FA0D37">
      <w:pPr>
        <w:pStyle w:val="PL"/>
      </w:pPr>
      <w:r w:rsidRPr="00FA0D37">
        <w:t xml:space="preserve">    multiPUSCH-SingleDCI-FR2-1-SCS-120kHz-r17 </w:t>
      </w:r>
      <w:r w:rsidRPr="00FA0D37">
        <w:rPr>
          <w:color w:val="993366"/>
        </w:rPr>
        <w:t>ENUMERATED</w:t>
      </w:r>
      <w:r w:rsidRPr="00FA0D37">
        <w:t xml:space="preserve"> {supported}                       </w:t>
      </w:r>
      <w:r w:rsidRPr="00FA0D37">
        <w:rPr>
          <w:color w:val="993366"/>
        </w:rPr>
        <w:t>OPTIONAL</w:t>
      </w:r>
      <w:r w:rsidRPr="00FA0D37">
        <w:t>,</w:t>
      </w:r>
    </w:p>
    <w:p w14:paraId="15CDA798" w14:textId="689FCE2A" w:rsidR="004B4E41" w:rsidRPr="00FA0D37" w:rsidRDefault="004B4E41" w:rsidP="00FA0D37">
      <w:pPr>
        <w:pStyle w:val="PL"/>
        <w:rPr>
          <w:color w:val="808080"/>
        </w:rPr>
      </w:pPr>
      <w:r w:rsidRPr="00FA0D37">
        <w:t xml:space="preserve">    </w:t>
      </w:r>
      <w:r w:rsidRPr="00FA0D37">
        <w:rPr>
          <w:color w:val="808080"/>
        </w:rPr>
        <w:t>-- R4 14-4: Parallel PRS measurements in RRC_INACTIVE state, FR1/FR2 diff</w:t>
      </w:r>
    </w:p>
    <w:p w14:paraId="0DA328EB" w14:textId="1D6005D4" w:rsidR="004B4E41" w:rsidRPr="00FA0D37" w:rsidRDefault="004B4E41" w:rsidP="00FA0D37">
      <w:pPr>
        <w:pStyle w:val="PL"/>
      </w:pPr>
      <w:r w:rsidRPr="00FA0D37">
        <w:t xml:space="preserve">    parallelPRS-MeasRRC-Inactive-r17         </w:t>
      </w:r>
      <w:r w:rsidR="00EA6373" w:rsidRPr="00FA0D37">
        <w:t xml:space="preserve"> </w:t>
      </w:r>
      <w:r w:rsidRPr="00FA0D37">
        <w:rPr>
          <w:color w:val="993366"/>
        </w:rPr>
        <w:t>ENUMERATED</w:t>
      </w:r>
      <w:r w:rsidRPr="00FA0D37">
        <w:t xml:space="preserve"> {supported}                       </w:t>
      </w:r>
      <w:r w:rsidRPr="00FA0D37">
        <w:rPr>
          <w:color w:val="993366"/>
        </w:rPr>
        <w:t>OPTIONAL</w:t>
      </w:r>
      <w:r w:rsidRPr="00FA0D37">
        <w:t>,</w:t>
      </w:r>
    </w:p>
    <w:p w14:paraId="68225BFD" w14:textId="77777777" w:rsidR="00F747EB" w:rsidRPr="00FA0D37" w:rsidRDefault="004B4E41" w:rsidP="00FA0D37">
      <w:pPr>
        <w:pStyle w:val="PL"/>
        <w:rPr>
          <w:color w:val="808080"/>
        </w:rPr>
      </w:pPr>
      <w:r w:rsidRPr="00FA0D37">
        <w:t xml:space="preserve">    </w:t>
      </w:r>
      <w:r w:rsidRPr="00FA0D37">
        <w:rPr>
          <w:color w:val="808080"/>
        </w:rPr>
        <w:t>-- R1 27-1-2: Support of UE-TxTEGs for UL TDOA</w:t>
      </w:r>
    </w:p>
    <w:p w14:paraId="1D6358EF" w14:textId="092FD740" w:rsidR="004B4E41" w:rsidRPr="00FA0D37" w:rsidRDefault="004B4E41" w:rsidP="00FA0D37">
      <w:pPr>
        <w:pStyle w:val="PL"/>
      </w:pPr>
      <w:r w:rsidRPr="00FA0D37">
        <w:t xml:space="preserve">    nr-UE-TxTEG-ID-MaxSupport-r17             </w:t>
      </w:r>
      <w:r w:rsidRPr="00FA0D37">
        <w:rPr>
          <w:color w:val="993366"/>
        </w:rPr>
        <w:t>ENUMERATED</w:t>
      </w:r>
      <w:r w:rsidRPr="00FA0D37">
        <w:t xml:space="preserve"> {n1, n2, n3, n4, n6, n8}          </w:t>
      </w:r>
      <w:r w:rsidRPr="00FA0D37">
        <w:rPr>
          <w:color w:val="993366"/>
        </w:rPr>
        <w:t>OPTIONAL</w:t>
      </w:r>
      <w:r w:rsidRPr="00FA0D37">
        <w:t>,</w:t>
      </w:r>
    </w:p>
    <w:p w14:paraId="075780CD" w14:textId="199A7403" w:rsidR="004B4E41" w:rsidRPr="00FA0D37" w:rsidRDefault="004B4E41" w:rsidP="00FA0D37">
      <w:pPr>
        <w:pStyle w:val="PL"/>
        <w:rPr>
          <w:color w:val="808080"/>
        </w:rPr>
      </w:pPr>
      <w:r w:rsidRPr="00FA0D37">
        <w:t xml:space="preserve">    </w:t>
      </w:r>
      <w:r w:rsidRPr="00FA0D37">
        <w:rPr>
          <w:color w:val="808080"/>
        </w:rPr>
        <w:t>-- R1 27-17: PRS processing in RRC_INACTIVE</w:t>
      </w:r>
    </w:p>
    <w:p w14:paraId="42F4DFE3" w14:textId="0018397E" w:rsidR="004B4E41" w:rsidRPr="00FA0D37" w:rsidRDefault="004B4E41" w:rsidP="00FA0D37">
      <w:pPr>
        <w:pStyle w:val="PL"/>
      </w:pPr>
      <w:r w:rsidRPr="00FA0D37">
        <w:t xml:space="preserve">    prs-ProcessingRRC-Inactive-r17            </w:t>
      </w:r>
      <w:r w:rsidRPr="00FA0D37">
        <w:rPr>
          <w:color w:val="993366"/>
        </w:rPr>
        <w:t>ENUMERATED</w:t>
      </w:r>
      <w:r w:rsidRPr="00FA0D37">
        <w:t xml:space="preserve"> {supported}                       </w:t>
      </w:r>
      <w:r w:rsidRPr="00FA0D37">
        <w:rPr>
          <w:color w:val="993366"/>
        </w:rPr>
        <w:t>OPTIONAL</w:t>
      </w:r>
      <w:r w:rsidRPr="00FA0D37">
        <w:t>,</w:t>
      </w:r>
    </w:p>
    <w:p w14:paraId="5AE52584" w14:textId="77777777" w:rsidR="00F747EB" w:rsidRPr="00FA0D37" w:rsidRDefault="004B4E41" w:rsidP="00FA0D37">
      <w:pPr>
        <w:pStyle w:val="PL"/>
        <w:rPr>
          <w:color w:val="808080"/>
        </w:rPr>
      </w:pPr>
      <w:r w:rsidRPr="00FA0D37">
        <w:t xml:space="preserve">    </w:t>
      </w:r>
      <w:r w:rsidRPr="00FA0D37">
        <w:rPr>
          <w:color w:val="808080"/>
        </w:rPr>
        <w:t>-- R1 27-3-2: DL PRS measurement outside MG and in a PRS processing window</w:t>
      </w:r>
    </w:p>
    <w:p w14:paraId="29589D46" w14:textId="23DD1797" w:rsidR="004B4E41" w:rsidRPr="00FA0D37" w:rsidRDefault="004B4E41" w:rsidP="00FA0D37">
      <w:pPr>
        <w:pStyle w:val="PL"/>
      </w:pPr>
      <w:r w:rsidRPr="00FA0D37">
        <w:t xml:space="preserve">    prs-ProcessingWindowType1A-r17            </w:t>
      </w:r>
      <w:r w:rsidRPr="00FA0D37">
        <w:rPr>
          <w:color w:val="993366"/>
        </w:rPr>
        <w:t>ENUMERATED</w:t>
      </w:r>
      <w:r w:rsidRPr="00FA0D37">
        <w:t xml:space="preserve"> {option1, option2, option3}       </w:t>
      </w:r>
      <w:r w:rsidRPr="00FA0D37">
        <w:rPr>
          <w:color w:val="993366"/>
        </w:rPr>
        <w:t>OPTIONAL</w:t>
      </w:r>
      <w:r w:rsidRPr="00FA0D37">
        <w:t>,</w:t>
      </w:r>
    </w:p>
    <w:p w14:paraId="47963EB3" w14:textId="31CEE5D6" w:rsidR="004B4E41" w:rsidRPr="00FA0D37" w:rsidRDefault="004B4E41" w:rsidP="00FA0D37">
      <w:pPr>
        <w:pStyle w:val="PL"/>
      </w:pPr>
      <w:r w:rsidRPr="00FA0D37">
        <w:t xml:space="preserve">    prs-ProcessingWindowType1B-r17            </w:t>
      </w:r>
      <w:r w:rsidRPr="00FA0D37">
        <w:rPr>
          <w:color w:val="993366"/>
        </w:rPr>
        <w:t>ENUMERATED</w:t>
      </w:r>
      <w:r w:rsidRPr="00FA0D37">
        <w:t xml:space="preserve"> {option1, option2, option3}       </w:t>
      </w:r>
      <w:r w:rsidRPr="00FA0D37">
        <w:rPr>
          <w:color w:val="993366"/>
        </w:rPr>
        <w:t>OPTIONAL</w:t>
      </w:r>
      <w:r w:rsidRPr="00FA0D37">
        <w:t>,</w:t>
      </w:r>
    </w:p>
    <w:p w14:paraId="69F042AD" w14:textId="01D8F8F3" w:rsidR="004B4E41" w:rsidRPr="00FA0D37" w:rsidRDefault="004B4E41" w:rsidP="00FA0D37">
      <w:pPr>
        <w:pStyle w:val="PL"/>
      </w:pPr>
      <w:r w:rsidRPr="00FA0D37">
        <w:t xml:space="preserve">    prs-ProcessingWindowType2-r17             </w:t>
      </w:r>
      <w:r w:rsidRPr="00FA0D37">
        <w:rPr>
          <w:color w:val="993366"/>
        </w:rPr>
        <w:t>ENUMERATED</w:t>
      </w:r>
      <w:r w:rsidRPr="00FA0D37">
        <w:t xml:space="preserve"> {option1, option2, option3}       </w:t>
      </w:r>
      <w:r w:rsidRPr="00FA0D37">
        <w:rPr>
          <w:color w:val="993366"/>
        </w:rPr>
        <w:t>OPTIONAL</w:t>
      </w:r>
      <w:r w:rsidRPr="00FA0D37">
        <w:t>,</w:t>
      </w:r>
    </w:p>
    <w:p w14:paraId="413AC508" w14:textId="40566D60" w:rsidR="004B4E41" w:rsidRPr="00FA0D37" w:rsidRDefault="004B4E41" w:rsidP="00FA0D37">
      <w:pPr>
        <w:pStyle w:val="PL"/>
        <w:rPr>
          <w:color w:val="808080"/>
        </w:rPr>
      </w:pPr>
      <w:r w:rsidRPr="00FA0D37">
        <w:t xml:space="preserve">    </w:t>
      </w:r>
      <w:r w:rsidRPr="00FA0D37">
        <w:rPr>
          <w:color w:val="808080"/>
        </w:rPr>
        <w:t>-- R1 27-15: Positioning SRS transmission in RRC_INACTIVE state for initial UL BWP</w:t>
      </w:r>
    </w:p>
    <w:p w14:paraId="06A5AA1D" w14:textId="335AAB96" w:rsidR="004B4E41" w:rsidRPr="00FA0D37" w:rsidRDefault="004B4E41" w:rsidP="00FA0D37">
      <w:pPr>
        <w:pStyle w:val="PL"/>
      </w:pPr>
      <w:r w:rsidRPr="00FA0D37">
        <w:t xml:space="preserve">    srs-AllPosResourcesRRC-Inactive-r17       SRS-AllPosResourcesRRC-Inactive-r17          </w:t>
      </w:r>
      <w:r w:rsidRPr="00FA0D37">
        <w:rPr>
          <w:color w:val="993366"/>
        </w:rPr>
        <w:t>OPTIONAL</w:t>
      </w:r>
      <w:r w:rsidRPr="00FA0D37">
        <w:t>,</w:t>
      </w:r>
    </w:p>
    <w:p w14:paraId="1C7BC4B9" w14:textId="50881259" w:rsidR="004B4E41" w:rsidRPr="00FA0D37" w:rsidRDefault="004B4E41" w:rsidP="00FA0D37">
      <w:pPr>
        <w:pStyle w:val="PL"/>
        <w:rPr>
          <w:color w:val="808080"/>
        </w:rPr>
      </w:pPr>
      <w:r w:rsidRPr="00FA0D37">
        <w:t xml:space="preserve">    </w:t>
      </w:r>
      <w:r w:rsidRPr="00FA0D37">
        <w:rPr>
          <w:color w:val="808080"/>
        </w:rPr>
        <w:t>-- R1 27-16: OLPC for positioning SRS in RRC_INACTIVE state - gNB</w:t>
      </w:r>
    </w:p>
    <w:p w14:paraId="5336AACC" w14:textId="01DD4456" w:rsidR="004B4E41" w:rsidRPr="00FA0D37" w:rsidRDefault="004B4E41" w:rsidP="00FA0D37">
      <w:pPr>
        <w:pStyle w:val="PL"/>
      </w:pPr>
      <w:r w:rsidRPr="00FA0D37">
        <w:t xml:space="preserve">    olpc-SRS-PosRRC-Inactive-r17              OLPC-SRS-Pos-r16                             </w:t>
      </w:r>
      <w:r w:rsidRPr="00FA0D37">
        <w:rPr>
          <w:color w:val="993366"/>
        </w:rPr>
        <w:t>OPTIONAL</w:t>
      </w:r>
      <w:r w:rsidRPr="00FA0D37">
        <w:t>,</w:t>
      </w:r>
    </w:p>
    <w:p w14:paraId="734339C9" w14:textId="78943096" w:rsidR="004B4E41" w:rsidRPr="00FA0D37" w:rsidRDefault="004B4E41" w:rsidP="00FA0D37">
      <w:pPr>
        <w:pStyle w:val="PL"/>
        <w:rPr>
          <w:color w:val="808080"/>
        </w:rPr>
      </w:pPr>
      <w:r w:rsidRPr="00FA0D37">
        <w:t xml:space="preserve">    </w:t>
      </w:r>
      <w:r w:rsidRPr="00FA0D37">
        <w:rPr>
          <w:color w:val="808080"/>
        </w:rPr>
        <w:t>-- R1 27-19: Spatial relation for positioning SRS in RRC_INACTIVE state - gNB</w:t>
      </w:r>
    </w:p>
    <w:p w14:paraId="750CC083" w14:textId="64046CFA" w:rsidR="004B4E41" w:rsidRPr="00FA0D37" w:rsidRDefault="004B4E41" w:rsidP="00FA0D37">
      <w:pPr>
        <w:pStyle w:val="PL"/>
      </w:pPr>
      <w:r w:rsidRPr="00FA0D37">
        <w:t xml:space="preserve">    spatialRelationsSRS-PosRRC-Inactive-r17   SpatialRelationsSRS-Pos-r16                  </w:t>
      </w:r>
      <w:r w:rsidRPr="00FA0D37">
        <w:rPr>
          <w:color w:val="993366"/>
        </w:rPr>
        <w:t>OPTIONAL</w:t>
      </w:r>
      <w:r w:rsidRPr="00FA0D37">
        <w:t>,</w:t>
      </w:r>
    </w:p>
    <w:p w14:paraId="05426265" w14:textId="3E699F98" w:rsidR="004B4E41" w:rsidRPr="00FA0D37" w:rsidRDefault="004B4E41" w:rsidP="00FA0D37">
      <w:pPr>
        <w:pStyle w:val="PL"/>
        <w:rPr>
          <w:color w:val="808080"/>
        </w:rPr>
      </w:pPr>
      <w:r w:rsidRPr="00FA0D37">
        <w:t xml:space="preserve">    </w:t>
      </w:r>
      <w:r w:rsidRPr="00FA0D37">
        <w:rPr>
          <w:color w:val="808080"/>
        </w:rPr>
        <w:t>-- R1 30-1: Increased maximum number of PUSCH Type A repetitions</w:t>
      </w:r>
    </w:p>
    <w:p w14:paraId="5EC57975" w14:textId="57E30EA1" w:rsidR="004B4E41" w:rsidRPr="00FA0D37" w:rsidRDefault="004B4E41" w:rsidP="00FA0D37">
      <w:pPr>
        <w:pStyle w:val="PL"/>
      </w:pPr>
      <w:r w:rsidRPr="00FA0D37">
        <w:t xml:space="preserve">    maxNumberPUSCH-TypeA-Repetition-r17       </w:t>
      </w:r>
      <w:r w:rsidRPr="00FA0D37">
        <w:rPr>
          <w:color w:val="993366"/>
        </w:rPr>
        <w:t>ENUMERATED</w:t>
      </w:r>
      <w:r w:rsidRPr="00FA0D37">
        <w:t xml:space="preserve"> {supported}                       </w:t>
      </w:r>
      <w:r w:rsidRPr="00FA0D37">
        <w:rPr>
          <w:color w:val="993366"/>
        </w:rPr>
        <w:t>OPTIONAL</w:t>
      </w:r>
      <w:r w:rsidRPr="00FA0D37">
        <w:t>,</w:t>
      </w:r>
    </w:p>
    <w:p w14:paraId="14923E9F" w14:textId="77777777" w:rsidR="00F747EB" w:rsidRPr="00FA0D37" w:rsidRDefault="004B4E41" w:rsidP="00FA0D37">
      <w:pPr>
        <w:pStyle w:val="PL"/>
        <w:rPr>
          <w:color w:val="808080"/>
        </w:rPr>
      </w:pPr>
      <w:r w:rsidRPr="00FA0D37">
        <w:t xml:space="preserve">    </w:t>
      </w:r>
      <w:r w:rsidRPr="00FA0D37">
        <w:rPr>
          <w:color w:val="808080"/>
        </w:rPr>
        <w:t>-- R1 30-2: PUSCH Type A repetitions based on available slots</w:t>
      </w:r>
    </w:p>
    <w:p w14:paraId="73D9A813" w14:textId="49790AEA" w:rsidR="004B4E41" w:rsidRPr="00FA0D37" w:rsidRDefault="004B4E41" w:rsidP="00FA0D37">
      <w:pPr>
        <w:pStyle w:val="PL"/>
      </w:pPr>
      <w:r w:rsidRPr="00FA0D37">
        <w:t xml:space="preserve">    puschTypeA-RepetitionsAvailSlot-r17       </w:t>
      </w:r>
      <w:r w:rsidRPr="00FA0D37">
        <w:rPr>
          <w:color w:val="993366"/>
        </w:rPr>
        <w:t>ENUMERATED</w:t>
      </w:r>
      <w:r w:rsidRPr="00FA0D37">
        <w:t xml:space="preserve"> {supported}                       </w:t>
      </w:r>
      <w:r w:rsidRPr="00FA0D37">
        <w:rPr>
          <w:color w:val="993366"/>
        </w:rPr>
        <w:t>OPTIONAL</w:t>
      </w:r>
      <w:r w:rsidRPr="00FA0D37">
        <w:t>,</w:t>
      </w:r>
    </w:p>
    <w:p w14:paraId="0011DD96" w14:textId="5A8EF56C" w:rsidR="004B4E41" w:rsidRPr="00FA0D37" w:rsidRDefault="004B4E41" w:rsidP="00FA0D37">
      <w:pPr>
        <w:pStyle w:val="PL"/>
        <w:rPr>
          <w:color w:val="808080"/>
        </w:rPr>
      </w:pPr>
      <w:r w:rsidRPr="00FA0D37">
        <w:t xml:space="preserve">    </w:t>
      </w:r>
      <w:r w:rsidRPr="00FA0D37">
        <w:rPr>
          <w:color w:val="808080"/>
        </w:rPr>
        <w:t>-- R1 30-3: TB processing over multi-slot PUSCH</w:t>
      </w:r>
    </w:p>
    <w:p w14:paraId="486E808F" w14:textId="3AAC5BE1" w:rsidR="004B4E41" w:rsidRPr="00FA0D37" w:rsidRDefault="004B4E41" w:rsidP="00FA0D37">
      <w:pPr>
        <w:pStyle w:val="PL"/>
      </w:pPr>
      <w:r w:rsidRPr="00FA0D37">
        <w:t xml:space="preserve">    tb-ProcessingMultiSlotPUSCH-r17           </w:t>
      </w:r>
      <w:r w:rsidRPr="00FA0D37">
        <w:rPr>
          <w:color w:val="993366"/>
        </w:rPr>
        <w:t>ENUMERATED</w:t>
      </w:r>
      <w:r w:rsidRPr="00FA0D37">
        <w:t xml:space="preserve"> {supported}                       </w:t>
      </w:r>
      <w:r w:rsidRPr="00FA0D37">
        <w:rPr>
          <w:color w:val="993366"/>
        </w:rPr>
        <w:t>OPTIONAL</w:t>
      </w:r>
      <w:r w:rsidRPr="00FA0D37">
        <w:t>,</w:t>
      </w:r>
    </w:p>
    <w:p w14:paraId="5246C936" w14:textId="3519C0AD" w:rsidR="004B4E41" w:rsidRPr="00FA0D37" w:rsidRDefault="004B4E41" w:rsidP="00FA0D37">
      <w:pPr>
        <w:pStyle w:val="PL"/>
        <w:rPr>
          <w:color w:val="808080"/>
        </w:rPr>
      </w:pPr>
      <w:r w:rsidRPr="00FA0D37">
        <w:t xml:space="preserve">    </w:t>
      </w:r>
      <w:r w:rsidRPr="00FA0D37">
        <w:rPr>
          <w:color w:val="808080"/>
        </w:rPr>
        <w:t>-- R1 30-3a: Repetition of TB processing over multi-slot PUSCH</w:t>
      </w:r>
    </w:p>
    <w:p w14:paraId="00A20D3D" w14:textId="111B7B4B" w:rsidR="004B4E41" w:rsidRPr="00FA0D37" w:rsidRDefault="004B4E41" w:rsidP="00FA0D37">
      <w:pPr>
        <w:pStyle w:val="PL"/>
      </w:pPr>
      <w:r w:rsidRPr="00FA0D37">
        <w:t xml:space="preserve">    tb-ProcessingRepMultiSlotPUSCH-r17        </w:t>
      </w:r>
      <w:r w:rsidRPr="00FA0D37">
        <w:rPr>
          <w:color w:val="993366"/>
        </w:rPr>
        <w:t>ENUMERATED</w:t>
      </w:r>
      <w:r w:rsidRPr="00FA0D37">
        <w:t xml:space="preserve"> {supported}                       </w:t>
      </w:r>
      <w:r w:rsidRPr="00FA0D37">
        <w:rPr>
          <w:color w:val="993366"/>
        </w:rPr>
        <w:t>OPTIONAL</w:t>
      </w:r>
      <w:r w:rsidRPr="00FA0D37">
        <w:t>,</w:t>
      </w:r>
    </w:p>
    <w:p w14:paraId="63E290DC" w14:textId="2E3418A1" w:rsidR="004B4E41" w:rsidRPr="00FA0D37" w:rsidRDefault="004B4E41" w:rsidP="00FA0D37">
      <w:pPr>
        <w:pStyle w:val="PL"/>
        <w:rPr>
          <w:color w:val="808080"/>
        </w:rPr>
      </w:pPr>
      <w:r w:rsidRPr="00FA0D37">
        <w:t xml:space="preserve">    </w:t>
      </w:r>
      <w:r w:rsidRPr="00FA0D37">
        <w:rPr>
          <w:color w:val="808080"/>
        </w:rPr>
        <w:t>-- R1 30-4: The maximum duration for DM-RS bundling</w:t>
      </w:r>
    </w:p>
    <w:p w14:paraId="05DC2E81" w14:textId="77B1248E" w:rsidR="004B4E41" w:rsidRPr="00FA0D37" w:rsidRDefault="004B4E41" w:rsidP="00FA0D37">
      <w:pPr>
        <w:pStyle w:val="PL"/>
      </w:pPr>
      <w:r w:rsidRPr="00FA0D37">
        <w:t xml:space="preserve">    maxDurationDMRS-Bundling-r17              </w:t>
      </w:r>
      <w:r w:rsidRPr="00FA0D37">
        <w:rPr>
          <w:color w:val="993366"/>
        </w:rPr>
        <w:t>SEQUENCE</w:t>
      </w:r>
      <w:r w:rsidRPr="00FA0D37">
        <w:t xml:space="preserve"> {</w:t>
      </w:r>
    </w:p>
    <w:p w14:paraId="6AF0BCFD" w14:textId="013070FC" w:rsidR="004B4E41" w:rsidRPr="00FA0D37" w:rsidRDefault="004B4E41" w:rsidP="00FA0D37">
      <w:pPr>
        <w:pStyle w:val="PL"/>
      </w:pPr>
      <w:r w:rsidRPr="00FA0D37">
        <w:t xml:space="preserve">        fdd-r17                                   </w:t>
      </w:r>
      <w:r w:rsidRPr="00FA0D37">
        <w:rPr>
          <w:color w:val="993366"/>
        </w:rPr>
        <w:t>ENUMERATED</w:t>
      </w:r>
      <w:r w:rsidRPr="00FA0D37">
        <w:t xml:space="preserve"> {n4, n8, n16, n32}            </w:t>
      </w:r>
      <w:r w:rsidRPr="00FA0D37">
        <w:rPr>
          <w:color w:val="993366"/>
        </w:rPr>
        <w:t>OPTIONAL</w:t>
      </w:r>
      <w:r w:rsidRPr="00FA0D37">
        <w:t>,</w:t>
      </w:r>
    </w:p>
    <w:p w14:paraId="308F239B" w14:textId="6F4F4462" w:rsidR="004B4E41" w:rsidRPr="00FA0D37" w:rsidRDefault="004B4E41" w:rsidP="00FA0D37">
      <w:pPr>
        <w:pStyle w:val="PL"/>
      </w:pPr>
      <w:r w:rsidRPr="00FA0D37">
        <w:t xml:space="preserve">        tdd-r17                                   </w:t>
      </w:r>
      <w:r w:rsidRPr="00FA0D37">
        <w:rPr>
          <w:color w:val="993366"/>
        </w:rPr>
        <w:t>ENUMERATED</w:t>
      </w:r>
      <w:r w:rsidRPr="00FA0D37">
        <w:t xml:space="preserve"> {n2, n4, n8, n16}             </w:t>
      </w:r>
      <w:r w:rsidRPr="00FA0D37">
        <w:rPr>
          <w:color w:val="993366"/>
        </w:rPr>
        <w:t>OPTIONAL</w:t>
      </w:r>
    </w:p>
    <w:p w14:paraId="7E55C826" w14:textId="50D212C9" w:rsidR="004B4E41" w:rsidRPr="00FA0D37" w:rsidRDefault="004B4E41" w:rsidP="00FA0D37">
      <w:pPr>
        <w:pStyle w:val="PL"/>
      </w:pPr>
      <w:r w:rsidRPr="00FA0D37">
        <w:t xml:space="preserve">    }                                                                                      </w:t>
      </w:r>
      <w:r w:rsidRPr="00FA0D37">
        <w:rPr>
          <w:color w:val="993366"/>
        </w:rPr>
        <w:t>OPTIONAL</w:t>
      </w:r>
      <w:r w:rsidRPr="00FA0D37">
        <w:t>,</w:t>
      </w:r>
    </w:p>
    <w:p w14:paraId="3BEC47A6" w14:textId="56E102E4" w:rsidR="004B4E41" w:rsidRPr="00FA0D37" w:rsidRDefault="004B4E41" w:rsidP="00FA0D37">
      <w:pPr>
        <w:pStyle w:val="PL"/>
        <w:rPr>
          <w:color w:val="808080"/>
        </w:rPr>
      </w:pPr>
      <w:r w:rsidRPr="00FA0D37">
        <w:t xml:space="preserve">    </w:t>
      </w:r>
      <w:r w:rsidRPr="00FA0D37">
        <w:rPr>
          <w:color w:val="808080"/>
        </w:rPr>
        <w:t>-- R1 30-6: Repetition of PUSCH transmission scheduled by RAR UL grant and DCI format 0_0 with CRC scrambled by TC-RNTI</w:t>
      </w:r>
    </w:p>
    <w:p w14:paraId="7285903B" w14:textId="66612F2D" w:rsidR="004B4E41" w:rsidRPr="00FA0D37" w:rsidRDefault="004B4E41" w:rsidP="00FA0D37">
      <w:pPr>
        <w:pStyle w:val="PL"/>
      </w:pPr>
      <w:r w:rsidRPr="00FA0D37">
        <w:t xml:space="preserve">    pusch-Repetition</w:t>
      </w:r>
      <w:r w:rsidR="00691952" w:rsidRPr="00FA0D37">
        <w:t>Msg3</w:t>
      </w:r>
      <w:r w:rsidRPr="00FA0D37">
        <w:t xml:space="preserve">-r17                  </w:t>
      </w:r>
      <w:r w:rsidRPr="00FA0D37">
        <w:rPr>
          <w:color w:val="993366"/>
        </w:rPr>
        <w:t>ENUMERATED</w:t>
      </w:r>
      <w:r w:rsidRPr="00FA0D37">
        <w:t xml:space="preserve"> {supported}                       </w:t>
      </w:r>
      <w:r w:rsidRPr="00FA0D37">
        <w:rPr>
          <w:color w:val="993366"/>
        </w:rPr>
        <w:t>OPTIONAL</w:t>
      </w:r>
      <w:r w:rsidRPr="00FA0D37">
        <w:t>,</w:t>
      </w:r>
    </w:p>
    <w:p w14:paraId="08FB1AFA" w14:textId="4349D20E" w:rsidR="004B4E41" w:rsidRPr="00FA0D37" w:rsidRDefault="004B4E41" w:rsidP="00FA0D37">
      <w:pPr>
        <w:pStyle w:val="PL"/>
      </w:pPr>
      <w:r w:rsidRPr="00FA0D37">
        <w:t xml:space="preserve">    sharedSpectrumChAccessParamsPerBand-v1710 SharedSpectrumChAccessParamsPerBand-v1710    </w:t>
      </w:r>
      <w:r w:rsidRPr="00FA0D37">
        <w:rPr>
          <w:color w:val="993366"/>
        </w:rPr>
        <w:t>OPTIONAL</w:t>
      </w:r>
      <w:r w:rsidRPr="00FA0D37">
        <w:t>,</w:t>
      </w:r>
    </w:p>
    <w:p w14:paraId="24469FE5" w14:textId="020C40D3" w:rsidR="004B4E41" w:rsidRPr="00FA0D37" w:rsidRDefault="004B4E41" w:rsidP="00FA0D37">
      <w:pPr>
        <w:pStyle w:val="PL"/>
        <w:rPr>
          <w:color w:val="808080"/>
        </w:rPr>
      </w:pPr>
      <w:r w:rsidRPr="00FA0D37">
        <w:t xml:space="preserve">    </w:t>
      </w:r>
      <w:r w:rsidRPr="00FA0D37">
        <w:rPr>
          <w:color w:val="808080"/>
        </w:rPr>
        <w:t>-- R4 25-2: Parallel measurements on cells belonging to a different NGSO satellite than a serving satellite without scheduling restrictions</w:t>
      </w:r>
    </w:p>
    <w:p w14:paraId="4470DB13" w14:textId="2B1F9B0C" w:rsidR="004B4E41" w:rsidRPr="00FA0D37" w:rsidRDefault="004B4E41" w:rsidP="00FA0D37">
      <w:pPr>
        <w:pStyle w:val="PL"/>
        <w:rPr>
          <w:color w:val="808080"/>
        </w:rPr>
      </w:pPr>
      <w:r w:rsidRPr="00FA0D37">
        <w:t xml:space="preserve">    </w:t>
      </w:r>
      <w:r w:rsidRPr="00FA0D37">
        <w:rPr>
          <w:color w:val="808080"/>
        </w:rPr>
        <w:t>-- on normal operations with the serving cell</w:t>
      </w:r>
    </w:p>
    <w:p w14:paraId="38913B4C" w14:textId="495A55BE" w:rsidR="004B4E41" w:rsidRPr="00FA0D37" w:rsidRDefault="004B4E41" w:rsidP="00FA0D37">
      <w:pPr>
        <w:pStyle w:val="PL"/>
      </w:pPr>
      <w:r w:rsidRPr="00FA0D37">
        <w:t xml:space="preserve">    parallelMeasurementWithoutRestriction-r17 </w:t>
      </w:r>
      <w:r w:rsidRPr="00FA0D37">
        <w:rPr>
          <w:color w:val="993366"/>
        </w:rPr>
        <w:t>ENUMERATED</w:t>
      </w:r>
      <w:r w:rsidRPr="00FA0D37">
        <w:t xml:space="preserve"> {supported}                </w:t>
      </w:r>
      <w:r w:rsidR="003C2B2C" w:rsidRPr="00FA0D37">
        <w:t xml:space="preserve">     </w:t>
      </w:r>
      <w:r w:rsidRPr="00FA0D37">
        <w:t xml:space="preserve">  </w:t>
      </w:r>
      <w:r w:rsidRPr="00FA0D37">
        <w:rPr>
          <w:color w:val="993366"/>
        </w:rPr>
        <w:t>OPTIONAL</w:t>
      </w:r>
      <w:r w:rsidRPr="00FA0D37">
        <w:t>,</w:t>
      </w:r>
    </w:p>
    <w:p w14:paraId="369CB2D1" w14:textId="6EDAF5C6" w:rsidR="004B4E41" w:rsidRPr="00FA0D37" w:rsidRDefault="004B4E41" w:rsidP="00FA0D37">
      <w:pPr>
        <w:pStyle w:val="PL"/>
        <w:rPr>
          <w:color w:val="808080"/>
        </w:rPr>
      </w:pPr>
      <w:r w:rsidRPr="00FA0D37">
        <w:t xml:space="preserve">    </w:t>
      </w:r>
      <w:r w:rsidRPr="00FA0D37">
        <w:rPr>
          <w:color w:val="808080"/>
        </w:rPr>
        <w:t>-- R4 25-5: Parallel measurements on multiple NGSO satellites within a SMTC</w:t>
      </w:r>
    </w:p>
    <w:p w14:paraId="3484DE75" w14:textId="4DB11BB6" w:rsidR="004B4E41" w:rsidRPr="00FA0D37" w:rsidRDefault="004B4E41" w:rsidP="00FA0D37">
      <w:pPr>
        <w:pStyle w:val="PL"/>
      </w:pPr>
      <w:r w:rsidRPr="00FA0D37">
        <w:t xml:space="preserve">    maxNumber-NGSO-SatellitesWithinOneSMTC-r17 </w:t>
      </w:r>
      <w:r w:rsidRPr="00FA0D37">
        <w:rPr>
          <w:color w:val="993366"/>
        </w:rPr>
        <w:t>ENUMERATED</w:t>
      </w:r>
      <w:r w:rsidRPr="00FA0D37">
        <w:t xml:space="preserve"> {n1, n2, n3, n4}  </w:t>
      </w:r>
      <w:r w:rsidR="003C2B2C" w:rsidRPr="00FA0D37">
        <w:t xml:space="preserve">    </w:t>
      </w:r>
      <w:r w:rsidRPr="00FA0D37">
        <w:t xml:space="preserve">           </w:t>
      </w:r>
      <w:r w:rsidRPr="00FA0D37">
        <w:rPr>
          <w:color w:val="993366"/>
        </w:rPr>
        <w:t>OPTIONAL</w:t>
      </w:r>
      <w:r w:rsidRPr="00FA0D37">
        <w:t>,</w:t>
      </w:r>
    </w:p>
    <w:p w14:paraId="685702DF" w14:textId="48BDDBEE" w:rsidR="004B4E41" w:rsidRPr="00FA0D37" w:rsidRDefault="004B4E41" w:rsidP="00FA0D37">
      <w:pPr>
        <w:pStyle w:val="PL"/>
        <w:rPr>
          <w:color w:val="808080"/>
        </w:rPr>
      </w:pPr>
      <w:r w:rsidRPr="00FA0D37">
        <w:t xml:space="preserve">    </w:t>
      </w:r>
      <w:r w:rsidRPr="00FA0D37">
        <w:rPr>
          <w:color w:val="808080"/>
        </w:rPr>
        <w:t>-- R1 26-10: K1 range extension</w:t>
      </w:r>
    </w:p>
    <w:p w14:paraId="6D161314" w14:textId="11EF032F" w:rsidR="004B4E41" w:rsidRPr="00FA0D37" w:rsidRDefault="004B4E41" w:rsidP="00FA0D37">
      <w:pPr>
        <w:pStyle w:val="PL"/>
      </w:pPr>
      <w:r w:rsidRPr="00FA0D37">
        <w:t xml:space="preserve">    k1-RangeExtension-r17       </w:t>
      </w:r>
      <w:r w:rsidR="003C2B2C" w:rsidRPr="00FA0D37">
        <w:t xml:space="preserve">              </w:t>
      </w:r>
      <w:r w:rsidRPr="00FA0D37">
        <w:rPr>
          <w:color w:val="993366"/>
        </w:rPr>
        <w:t>ENUMERATED</w:t>
      </w:r>
      <w:r w:rsidRPr="00FA0D37">
        <w:t xml:space="preserve"> {supported}      </w:t>
      </w:r>
      <w:r w:rsidR="003C2B2C" w:rsidRPr="00FA0D37">
        <w:t xml:space="preserve">     </w:t>
      </w:r>
      <w:r w:rsidRPr="00FA0D37">
        <w:t xml:space="preserve">            </w:t>
      </w:r>
      <w:r w:rsidRPr="00FA0D37">
        <w:rPr>
          <w:color w:val="993366"/>
        </w:rPr>
        <w:t>OPTIONAL</w:t>
      </w:r>
      <w:r w:rsidRPr="00FA0D37">
        <w:t>,</w:t>
      </w:r>
    </w:p>
    <w:p w14:paraId="02E6DFF4" w14:textId="77777777" w:rsidR="004B4E41" w:rsidRPr="00FA0D37" w:rsidRDefault="004B4E41" w:rsidP="00FA0D37">
      <w:pPr>
        <w:pStyle w:val="PL"/>
        <w:rPr>
          <w:color w:val="808080"/>
        </w:rPr>
      </w:pPr>
      <w:r w:rsidRPr="00FA0D37">
        <w:t xml:space="preserve">    </w:t>
      </w:r>
      <w:r w:rsidRPr="00FA0D37">
        <w:rPr>
          <w:color w:val="808080"/>
        </w:rPr>
        <w:t>-- R1 35-1: Aperiodic CSI-RS for tracking for fast SCell activation</w:t>
      </w:r>
    </w:p>
    <w:p w14:paraId="6E2A4684" w14:textId="52BE2965" w:rsidR="004B4E41" w:rsidRPr="00FA0D37" w:rsidRDefault="004B4E41" w:rsidP="00FA0D37">
      <w:pPr>
        <w:pStyle w:val="PL"/>
      </w:pPr>
      <w:r w:rsidRPr="00FA0D37">
        <w:t xml:space="preserve">    aperiodicCSI-RS-FastScellActivation-r17   </w:t>
      </w:r>
      <w:r w:rsidRPr="00FA0D37">
        <w:rPr>
          <w:color w:val="993366"/>
        </w:rPr>
        <w:t>SEQUENCE</w:t>
      </w:r>
      <w:r w:rsidRPr="00FA0D37">
        <w:t xml:space="preserve"> {</w:t>
      </w:r>
    </w:p>
    <w:p w14:paraId="66E01C9B" w14:textId="629AB6D1" w:rsidR="004B4E41" w:rsidRPr="00FA0D37" w:rsidRDefault="004B4E41" w:rsidP="00FA0D37">
      <w:pPr>
        <w:pStyle w:val="PL"/>
      </w:pPr>
      <w:r w:rsidRPr="00FA0D37">
        <w:lastRenderedPageBreak/>
        <w:t xml:space="preserve">    </w:t>
      </w:r>
      <w:r w:rsidR="003C2B2C" w:rsidRPr="00FA0D37">
        <w:t xml:space="preserve">    </w:t>
      </w:r>
      <w:r w:rsidRPr="00FA0D37">
        <w:t xml:space="preserve">maxNumberAperiodicCSI-RS-PerCC-r17        </w:t>
      </w:r>
      <w:r w:rsidRPr="00FA0D37">
        <w:rPr>
          <w:color w:val="993366"/>
        </w:rPr>
        <w:t>ENUMERATED</w:t>
      </w:r>
      <w:r w:rsidRPr="00FA0D37">
        <w:t xml:space="preserve"> {n8, n16, n32, n48, n64, n128, n255},</w:t>
      </w:r>
    </w:p>
    <w:p w14:paraId="3EB65162" w14:textId="3CBD57E0" w:rsidR="004B4E41" w:rsidRPr="00FA0D37" w:rsidRDefault="004B4E41" w:rsidP="00FA0D37">
      <w:pPr>
        <w:pStyle w:val="PL"/>
      </w:pPr>
      <w:r w:rsidRPr="00FA0D37">
        <w:t xml:space="preserve">   </w:t>
      </w:r>
      <w:r w:rsidR="003C2B2C" w:rsidRPr="00FA0D37">
        <w:t xml:space="preserve">    </w:t>
      </w:r>
      <w:r w:rsidRPr="00FA0D37">
        <w:t xml:space="preserve"> maxNumberAperiodicCSI-RS-AcrossCCs-r17    </w:t>
      </w:r>
      <w:r w:rsidRPr="00FA0D37">
        <w:rPr>
          <w:color w:val="993366"/>
        </w:rPr>
        <w:t>ENUMERATED</w:t>
      </w:r>
      <w:r w:rsidRPr="00FA0D37">
        <w:t xml:space="preserve"> {n8, n16, n32, n64, n128, n256, n512, n1024}</w:t>
      </w:r>
    </w:p>
    <w:p w14:paraId="735CE5BB" w14:textId="30F09734" w:rsidR="004B4E41" w:rsidRPr="00FA0D37" w:rsidRDefault="004B4E41" w:rsidP="00FA0D37">
      <w:pPr>
        <w:pStyle w:val="PL"/>
      </w:pPr>
      <w:r w:rsidRPr="00FA0D37">
        <w:t xml:space="preserve">    } </w:t>
      </w:r>
      <w:r w:rsidR="003C2B2C" w:rsidRPr="00FA0D37">
        <w:t xml:space="preserve">                                                                                    </w:t>
      </w:r>
      <w:r w:rsidRPr="00FA0D37">
        <w:t xml:space="preserve"> </w:t>
      </w:r>
      <w:r w:rsidRPr="00FA0D37">
        <w:rPr>
          <w:color w:val="993366"/>
        </w:rPr>
        <w:t>OPTIONAL</w:t>
      </w:r>
      <w:r w:rsidRPr="00FA0D37">
        <w:t>,</w:t>
      </w:r>
    </w:p>
    <w:p w14:paraId="4DE61B90" w14:textId="77777777" w:rsidR="004B4E41" w:rsidRPr="00FA0D37" w:rsidRDefault="004B4E41" w:rsidP="00FA0D37">
      <w:pPr>
        <w:pStyle w:val="PL"/>
        <w:rPr>
          <w:color w:val="808080"/>
        </w:rPr>
      </w:pPr>
      <w:r w:rsidRPr="00FA0D37">
        <w:t xml:space="preserve">    </w:t>
      </w:r>
      <w:r w:rsidRPr="00FA0D37">
        <w:rPr>
          <w:color w:val="808080"/>
        </w:rPr>
        <w:t>-- R1 35-2: Aperiodic CSI-RS bandwidth for tracking for fast SCell activation for 10MHz UE channel bandwidth</w:t>
      </w:r>
    </w:p>
    <w:p w14:paraId="0FBC3B0F" w14:textId="31376B87" w:rsidR="004B4E41" w:rsidRPr="00FA0D37" w:rsidRDefault="004B4E41" w:rsidP="00FA0D37">
      <w:pPr>
        <w:pStyle w:val="PL"/>
      </w:pPr>
      <w:r w:rsidRPr="00FA0D37">
        <w:t xml:space="preserve">    aperiodicCSI-RS-AdditionalBandwidth-r17   </w:t>
      </w:r>
      <w:r w:rsidRPr="00FA0D37">
        <w:rPr>
          <w:color w:val="993366"/>
        </w:rPr>
        <w:t>ENUMERATED</w:t>
      </w:r>
      <w:r w:rsidRPr="00FA0D37">
        <w:t xml:space="preserve"> {addBW-Set1, addBW-Set2}          </w:t>
      </w:r>
      <w:r w:rsidRPr="00FA0D37">
        <w:rPr>
          <w:color w:val="993366"/>
        </w:rPr>
        <w:t>OPTIONAL</w:t>
      </w:r>
      <w:r w:rsidRPr="00FA0D37">
        <w:t>,</w:t>
      </w:r>
    </w:p>
    <w:p w14:paraId="43325676" w14:textId="3624DB28" w:rsidR="004B4E41" w:rsidRPr="00FA0D37" w:rsidRDefault="004B4E41" w:rsidP="00FA0D37">
      <w:pPr>
        <w:pStyle w:val="PL"/>
        <w:rPr>
          <w:color w:val="808080"/>
        </w:rPr>
      </w:pPr>
      <w:r w:rsidRPr="00FA0D37">
        <w:t xml:space="preserve">    </w:t>
      </w:r>
      <w:r w:rsidRPr="00FA0D37">
        <w:rPr>
          <w:color w:val="808080"/>
        </w:rPr>
        <w:t>-- R1 28-1a: RRC-configured DL BWP without CD-SSB or NCD-SSB</w:t>
      </w:r>
    </w:p>
    <w:p w14:paraId="7D2BC68E" w14:textId="5E9551CB" w:rsidR="004B4E41" w:rsidRPr="00FA0D37" w:rsidRDefault="004B4E41" w:rsidP="00FA0D37">
      <w:pPr>
        <w:pStyle w:val="PL"/>
      </w:pPr>
      <w:r w:rsidRPr="00FA0D37">
        <w:t xml:space="preserve">    bwp-WithoutCD-SSB-OrNCD-SSB-RedCap-r17</w:t>
      </w:r>
      <w:r w:rsidR="003C2B2C" w:rsidRPr="00FA0D37">
        <w:t xml:space="preserve">    </w:t>
      </w:r>
      <w:r w:rsidRPr="00FA0D37">
        <w:rPr>
          <w:color w:val="993366"/>
        </w:rPr>
        <w:t>ENUMERATED</w:t>
      </w:r>
      <w:r w:rsidRPr="00FA0D37">
        <w:t xml:space="preserve"> {supported}           </w:t>
      </w:r>
      <w:r w:rsidR="003C2B2C" w:rsidRPr="00FA0D37">
        <w:t xml:space="preserve">     </w:t>
      </w:r>
      <w:r w:rsidRPr="00FA0D37">
        <w:t xml:space="preserve">       </w:t>
      </w:r>
      <w:r w:rsidRPr="00FA0D37">
        <w:rPr>
          <w:color w:val="993366"/>
        </w:rPr>
        <w:t>OPTIONAL</w:t>
      </w:r>
      <w:r w:rsidRPr="00FA0D37">
        <w:t>,</w:t>
      </w:r>
    </w:p>
    <w:p w14:paraId="136D1FB0" w14:textId="59BF6366" w:rsidR="004B4E41" w:rsidRPr="00FA0D37" w:rsidRDefault="004B4E41" w:rsidP="00FA0D37">
      <w:pPr>
        <w:pStyle w:val="PL"/>
        <w:rPr>
          <w:color w:val="808080"/>
        </w:rPr>
      </w:pPr>
      <w:r w:rsidRPr="00FA0D37">
        <w:t xml:space="preserve">    </w:t>
      </w:r>
      <w:r w:rsidRPr="00FA0D37">
        <w:rPr>
          <w:color w:val="808080"/>
        </w:rPr>
        <w:t>-- R1 28-3: Half-duplex FDD operation type A for RedCap UE</w:t>
      </w:r>
    </w:p>
    <w:p w14:paraId="5C655E34" w14:textId="533E7791" w:rsidR="004B4E41" w:rsidRPr="00FA0D37" w:rsidRDefault="004B4E41" w:rsidP="00FA0D37">
      <w:pPr>
        <w:pStyle w:val="PL"/>
      </w:pPr>
      <w:r w:rsidRPr="00FA0D37">
        <w:t xml:space="preserve">    halfDuplexFDD-TypeA-RedCap-r17</w:t>
      </w:r>
      <w:r w:rsidR="003C2B2C" w:rsidRPr="00FA0D37">
        <w:t xml:space="preserve">            </w:t>
      </w:r>
      <w:r w:rsidRPr="00FA0D37">
        <w:rPr>
          <w:color w:val="993366"/>
        </w:rPr>
        <w:t>ENUMERATED</w:t>
      </w:r>
      <w:r w:rsidRPr="00FA0D37">
        <w:t xml:space="preserve"> {supported}           </w:t>
      </w:r>
      <w:r w:rsidR="003C2B2C" w:rsidRPr="00FA0D37">
        <w:t xml:space="preserve">     </w:t>
      </w:r>
      <w:r w:rsidRPr="00FA0D37">
        <w:t xml:space="preserve">       </w:t>
      </w:r>
      <w:r w:rsidRPr="00FA0D37">
        <w:rPr>
          <w:color w:val="993366"/>
        </w:rPr>
        <w:t>OPTIONAL</w:t>
      </w:r>
      <w:r w:rsidRPr="00FA0D37">
        <w:t>,</w:t>
      </w:r>
    </w:p>
    <w:p w14:paraId="37DBE4BB" w14:textId="1E7DE000" w:rsidR="004B4E41" w:rsidRPr="00FA0D37" w:rsidRDefault="004B4E41" w:rsidP="00FA0D37">
      <w:pPr>
        <w:pStyle w:val="PL"/>
        <w:rPr>
          <w:color w:val="808080"/>
        </w:rPr>
      </w:pPr>
      <w:r w:rsidRPr="00FA0D37">
        <w:t xml:space="preserve">     </w:t>
      </w:r>
      <w:r w:rsidRPr="00FA0D37">
        <w:rPr>
          <w:color w:val="808080"/>
        </w:rPr>
        <w:t>-- R1 27-15b: Positioning SRS transmission in RRC_INACTIVE state configured outside initial UL BWP</w:t>
      </w:r>
    </w:p>
    <w:p w14:paraId="09E2ACBC" w14:textId="0CB83155" w:rsidR="004B4E41" w:rsidRPr="00FA0D37" w:rsidRDefault="004B4E41" w:rsidP="00FA0D37">
      <w:pPr>
        <w:pStyle w:val="PL"/>
      </w:pPr>
      <w:r w:rsidRPr="00FA0D37">
        <w:t xml:space="preserve">    posSRS-RRC-Inactive-OutsideInitialUL-BWP-r17 PosSRS-RRC-Inactive-OutsideInitialUL-BWP-r17</w:t>
      </w:r>
      <w:r w:rsidR="003C2B2C" w:rsidRPr="00FA0D37">
        <w:t xml:space="preserve"> </w:t>
      </w:r>
      <w:r w:rsidRPr="00FA0D37">
        <w:rPr>
          <w:color w:val="993366"/>
        </w:rPr>
        <w:t>OPTIONAL</w:t>
      </w:r>
      <w:r w:rsidRPr="00FA0D37">
        <w:t>,</w:t>
      </w:r>
    </w:p>
    <w:p w14:paraId="580950C2" w14:textId="5CAC4BFF" w:rsidR="004B4E41" w:rsidRPr="00FA0D37" w:rsidRDefault="004B4E41" w:rsidP="00FA0D37">
      <w:pPr>
        <w:pStyle w:val="PL"/>
        <w:rPr>
          <w:color w:val="808080"/>
        </w:rPr>
      </w:pPr>
      <w:r w:rsidRPr="00FA0D37">
        <w:t xml:space="preserve">     </w:t>
      </w:r>
      <w:r w:rsidRPr="00FA0D37">
        <w:rPr>
          <w:color w:val="808080"/>
        </w:rPr>
        <w:t>-- R4 15-3 UE support of CBW for 480kHz SCS</w:t>
      </w:r>
    </w:p>
    <w:p w14:paraId="786BFF9C" w14:textId="080F1EEA" w:rsidR="004B4E41" w:rsidRPr="00FA0D37" w:rsidRDefault="004B4E41" w:rsidP="00FA0D37">
      <w:pPr>
        <w:pStyle w:val="PL"/>
      </w:pPr>
      <w:r w:rsidRPr="00FA0D37">
        <w:t xml:space="preserve">    channelBWs-DL-SCS-480kHz-FR2-2-r17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003C2B2C" w:rsidRPr="00FA0D37">
        <w:t xml:space="preserve">  </w:t>
      </w:r>
      <w:r w:rsidRPr="00FA0D37">
        <w:t xml:space="preserve">            </w:t>
      </w:r>
      <w:r w:rsidRPr="00FA0D37">
        <w:rPr>
          <w:color w:val="993366"/>
        </w:rPr>
        <w:t>OPTIONAL</w:t>
      </w:r>
      <w:r w:rsidRPr="00FA0D37">
        <w:t>,</w:t>
      </w:r>
    </w:p>
    <w:p w14:paraId="6239FB68" w14:textId="73E92DF2" w:rsidR="004B4E41" w:rsidRPr="00FA0D37" w:rsidRDefault="004B4E41" w:rsidP="00FA0D37">
      <w:pPr>
        <w:pStyle w:val="PL"/>
      </w:pPr>
      <w:r w:rsidRPr="00FA0D37">
        <w:t xml:space="preserve">    channelBWs-UL-SCS-480kHz-FR2-2-r17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003C2B2C" w:rsidRPr="00FA0D37">
        <w:t xml:space="preserve">  </w:t>
      </w:r>
      <w:r w:rsidRPr="00FA0D37">
        <w:t xml:space="preserve">           </w:t>
      </w:r>
      <w:r w:rsidRPr="00FA0D37">
        <w:rPr>
          <w:color w:val="993366"/>
        </w:rPr>
        <w:t>OPTIONAL</w:t>
      </w:r>
      <w:r w:rsidRPr="00FA0D37">
        <w:t>,</w:t>
      </w:r>
    </w:p>
    <w:p w14:paraId="656EA8CF" w14:textId="2CAA475B" w:rsidR="004B4E41" w:rsidRPr="00FA0D37" w:rsidRDefault="004B4E41" w:rsidP="00FA0D37">
      <w:pPr>
        <w:pStyle w:val="PL"/>
        <w:rPr>
          <w:color w:val="808080"/>
        </w:rPr>
      </w:pPr>
      <w:r w:rsidRPr="00FA0D37">
        <w:t xml:space="preserve">    </w:t>
      </w:r>
      <w:r w:rsidRPr="00FA0D37">
        <w:rPr>
          <w:color w:val="808080"/>
        </w:rPr>
        <w:t>-- R4 15-4 UE support of CBW for 960kHz SCS</w:t>
      </w:r>
    </w:p>
    <w:p w14:paraId="614EF9D8" w14:textId="5EFC40A9" w:rsidR="004B4E41" w:rsidRPr="00FA0D37" w:rsidRDefault="004B4E41" w:rsidP="00FA0D37">
      <w:pPr>
        <w:pStyle w:val="PL"/>
      </w:pPr>
      <w:r w:rsidRPr="00FA0D37">
        <w:t xml:space="preserve">    channelBWs-DL-SCS-960kHz-FR2-2-r17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003C2B2C" w:rsidRPr="00FA0D37">
        <w:t xml:space="preserve">  </w:t>
      </w:r>
      <w:r w:rsidRPr="00FA0D37">
        <w:t xml:space="preserve">        </w:t>
      </w:r>
      <w:r w:rsidRPr="00FA0D37">
        <w:rPr>
          <w:color w:val="993366"/>
        </w:rPr>
        <w:t>OPTIONAL</w:t>
      </w:r>
      <w:r w:rsidRPr="00FA0D37">
        <w:t>,</w:t>
      </w:r>
    </w:p>
    <w:p w14:paraId="2DD3BBD8" w14:textId="31D689A2" w:rsidR="004B4E41" w:rsidRPr="00FA0D37" w:rsidRDefault="004B4E41" w:rsidP="00FA0D37">
      <w:pPr>
        <w:pStyle w:val="PL"/>
      </w:pPr>
      <w:r w:rsidRPr="00FA0D37">
        <w:t xml:space="preserve">    channelBWs-UL-SCS-960kHz-FR2-2-r17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003C2B2C" w:rsidRPr="00FA0D37">
        <w:t xml:space="preserve">  </w:t>
      </w:r>
      <w:r w:rsidRPr="00FA0D37">
        <w:t xml:space="preserve">         </w:t>
      </w:r>
      <w:r w:rsidRPr="00FA0D37">
        <w:rPr>
          <w:color w:val="993366"/>
        </w:rPr>
        <w:t>OPTIONAL</w:t>
      </w:r>
      <w:r w:rsidRPr="00FA0D37">
        <w:t>,</w:t>
      </w:r>
    </w:p>
    <w:p w14:paraId="2EDA2849" w14:textId="77777777" w:rsidR="004B4E41" w:rsidRPr="00FA0D37" w:rsidRDefault="004B4E41" w:rsidP="00FA0D37">
      <w:pPr>
        <w:pStyle w:val="PL"/>
        <w:rPr>
          <w:color w:val="808080"/>
        </w:rPr>
      </w:pPr>
      <w:r w:rsidRPr="00FA0D37">
        <w:t xml:space="preserve">    </w:t>
      </w:r>
      <w:r w:rsidRPr="00FA0D37">
        <w:rPr>
          <w:color w:val="808080"/>
        </w:rPr>
        <w:t>-- R4 17-1 UL gap for Tx power management</w:t>
      </w:r>
    </w:p>
    <w:p w14:paraId="452172F7" w14:textId="77777777" w:rsidR="003C2B2C" w:rsidRPr="00FA0D37" w:rsidRDefault="004B4E41" w:rsidP="00FA0D37">
      <w:pPr>
        <w:pStyle w:val="PL"/>
      </w:pPr>
      <w:r w:rsidRPr="00FA0D37">
        <w:t xml:space="preserve">    ul-GapFR2-r17                             </w:t>
      </w:r>
      <w:r w:rsidRPr="00FA0D37">
        <w:rPr>
          <w:color w:val="993366"/>
        </w:rPr>
        <w:t>ENUMERATED</w:t>
      </w:r>
      <w:r w:rsidRPr="00FA0D37">
        <w:t xml:space="preserve"> {supported}                       </w:t>
      </w:r>
      <w:r w:rsidRPr="00FA0D37">
        <w:rPr>
          <w:color w:val="993366"/>
        </w:rPr>
        <w:t>OPTIONAL</w:t>
      </w:r>
      <w:r w:rsidRPr="00FA0D37">
        <w:t>,</w:t>
      </w:r>
    </w:p>
    <w:p w14:paraId="26A71D7B" w14:textId="7630B1C9" w:rsidR="004B4E41" w:rsidRPr="00FA0D37" w:rsidRDefault="004B4E41" w:rsidP="00FA0D37">
      <w:pPr>
        <w:pStyle w:val="PL"/>
        <w:rPr>
          <w:color w:val="808080"/>
        </w:rPr>
      </w:pPr>
      <w:r w:rsidRPr="00FA0D37">
        <w:t xml:space="preserve">    </w:t>
      </w:r>
      <w:r w:rsidRPr="00FA0D37">
        <w:rPr>
          <w:color w:val="808080"/>
        </w:rPr>
        <w:t>-- R1 25-4: One-shot HARQ ACK feedback triggered by DCI format 1_2</w:t>
      </w:r>
    </w:p>
    <w:p w14:paraId="7422CAC7" w14:textId="7D87CD3D" w:rsidR="004B4E41" w:rsidRPr="00FA0D37" w:rsidRDefault="004B4E41" w:rsidP="00FA0D37">
      <w:pPr>
        <w:pStyle w:val="PL"/>
      </w:pPr>
      <w:r w:rsidRPr="00FA0D37">
        <w:t xml:space="preserve">    oneShotHARQ-feedbackTriggeredByDCI-1-2-r17 </w:t>
      </w:r>
      <w:r w:rsidRPr="00FA0D37">
        <w:rPr>
          <w:color w:val="993366"/>
        </w:rPr>
        <w:t>ENUMERATED</w:t>
      </w:r>
      <w:r w:rsidRPr="00FA0D37">
        <w:t xml:space="preserve"> {supported}      </w:t>
      </w:r>
      <w:r w:rsidR="003C2B2C" w:rsidRPr="00FA0D37">
        <w:t xml:space="preserve">       </w:t>
      </w:r>
      <w:r w:rsidRPr="00FA0D37">
        <w:t xml:space="preserve">         </w:t>
      </w:r>
      <w:r w:rsidRPr="00FA0D37">
        <w:rPr>
          <w:color w:val="993366"/>
        </w:rPr>
        <w:t>OPTIONAL</w:t>
      </w:r>
      <w:r w:rsidRPr="00FA0D37">
        <w:t>,</w:t>
      </w:r>
    </w:p>
    <w:p w14:paraId="75CA35FE" w14:textId="77777777" w:rsidR="004B4E41" w:rsidRPr="00FA0D37" w:rsidRDefault="004B4E41" w:rsidP="00FA0D37">
      <w:pPr>
        <w:pStyle w:val="PL"/>
        <w:rPr>
          <w:color w:val="808080"/>
        </w:rPr>
      </w:pPr>
      <w:r w:rsidRPr="00FA0D37">
        <w:t xml:space="preserve">    </w:t>
      </w:r>
      <w:r w:rsidRPr="00FA0D37">
        <w:rPr>
          <w:color w:val="808080"/>
        </w:rPr>
        <w:t>-- R1 25-5: PHY priority handling for one-shot HARQ ACK feedback</w:t>
      </w:r>
    </w:p>
    <w:p w14:paraId="69863B4B" w14:textId="3742E904" w:rsidR="004B4E41" w:rsidRPr="00FA0D37" w:rsidRDefault="004B4E41" w:rsidP="00FA0D37">
      <w:pPr>
        <w:pStyle w:val="PL"/>
      </w:pPr>
      <w:r w:rsidRPr="00FA0D37">
        <w:t xml:space="preserve">    oneShotHARQ-feedbackPhy-Priority-r17      </w:t>
      </w:r>
      <w:r w:rsidRPr="00FA0D37">
        <w:rPr>
          <w:color w:val="993366"/>
        </w:rPr>
        <w:t>ENUMERATED</w:t>
      </w:r>
      <w:r w:rsidRPr="00FA0D37">
        <w:t xml:space="preserve"> {supported}           </w:t>
      </w:r>
      <w:r w:rsidR="003C2B2C" w:rsidRPr="00FA0D37">
        <w:t xml:space="preserve">        </w:t>
      </w:r>
      <w:r w:rsidRPr="00FA0D37">
        <w:t xml:space="preserve">    </w:t>
      </w:r>
      <w:r w:rsidRPr="00FA0D37">
        <w:rPr>
          <w:color w:val="993366"/>
        </w:rPr>
        <w:t>OPTIONAL</w:t>
      </w:r>
      <w:r w:rsidRPr="00FA0D37">
        <w:t>,</w:t>
      </w:r>
    </w:p>
    <w:p w14:paraId="5D9DAD59" w14:textId="77777777" w:rsidR="004B4E41" w:rsidRPr="00FA0D37" w:rsidRDefault="004B4E41" w:rsidP="00FA0D37">
      <w:pPr>
        <w:pStyle w:val="PL"/>
        <w:rPr>
          <w:color w:val="808080"/>
        </w:rPr>
      </w:pPr>
      <w:r w:rsidRPr="00FA0D37">
        <w:t xml:space="preserve">    </w:t>
      </w:r>
      <w:r w:rsidRPr="00FA0D37">
        <w:rPr>
          <w:color w:val="808080"/>
        </w:rPr>
        <w:t>-- R1 25-6: Enhanced type 3 HARQ-ACK codebook feedback</w:t>
      </w:r>
    </w:p>
    <w:p w14:paraId="051007E7" w14:textId="34016E28" w:rsidR="004B4E41" w:rsidRPr="00FA0D37" w:rsidRDefault="004B4E41" w:rsidP="00FA0D37">
      <w:pPr>
        <w:pStyle w:val="PL"/>
      </w:pPr>
      <w:r w:rsidRPr="00FA0D37">
        <w:t xml:space="preserve">    enhancedType3-HARQ-CodebookFeedback-r17   </w:t>
      </w:r>
      <w:r w:rsidRPr="00FA0D37">
        <w:rPr>
          <w:color w:val="993366"/>
        </w:rPr>
        <w:t>SEQUENCE</w:t>
      </w:r>
      <w:r w:rsidRPr="00FA0D37">
        <w:t xml:space="preserve"> {</w:t>
      </w:r>
    </w:p>
    <w:p w14:paraId="530BD0DB" w14:textId="20F4A41C" w:rsidR="004B4E41" w:rsidRPr="00FA0D37" w:rsidRDefault="004B4E41" w:rsidP="00FA0D37">
      <w:pPr>
        <w:pStyle w:val="PL"/>
      </w:pPr>
      <w:r w:rsidRPr="00FA0D37">
        <w:t xml:space="preserve">    </w:t>
      </w:r>
      <w:r w:rsidR="003C2B2C" w:rsidRPr="00FA0D37">
        <w:t xml:space="preserve">    </w:t>
      </w:r>
      <w:r w:rsidRPr="00FA0D37">
        <w:t>enhancedType3-HARQ-Codebooks-r17</w:t>
      </w:r>
      <w:r w:rsidR="003C2B2C" w:rsidRPr="00FA0D37">
        <w:t xml:space="preserve">          </w:t>
      </w:r>
      <w:r w:rsidRPr="00FA0D37">
        <w:rPr>
          <w:color w:val="993366"/>
        </w:rPr>
        <w:t>ENUMERATED</w:t>
      </w:r>
      <w:r w:rsidRPr="00FA0D37">
        <w:t xml:space="preserve"> {n1, n2, n4, n8},</w:t>
      </w:r>
    </w:p>
    <w:p w14:paraId="07583449" w14:textId="172C9D66" w:rsidR="004B4E41" w:rsidRPr="00FA0D37" w:rsidRDefault="004B4E41" w:rsidP="00FA0D37">
      <w:pPr>
        <w:pStyle w:val="PL"/>
      </w:pPr>
      <w:r w:rsidRPr="00FA0D37">
        <w:t xml:space="preserve">    </w:t>
      </w:r>
      <w:r w:rsidR="003C2B2C" w:rsidRPr="00FA0D37">
        <w:t xml:space="preserve">    </w:t>
      </w:r>
      <w:r w:rsidRPr="00FA0D37">
        <w:t>maxNumberPUCCH-Transmissions-r17</w:t>
      </w:r>
      <w:r w:rsidR="003C2B2C" w:rsidRPr="00FA0D37">
        <w:t xml:space="preserve">          </w:t>
      </w:r>
      <w:r w:rsidRPr="00FA0D37">
        <w:rPr>
          <w:color w:val="993366"/>
        </w:rPr>
        <w:t>ENUMERATED</w:t>
      </w:r>
      <w:r w:rsidRPr="00FA0D37">
        <w:t xml:space="preserve"> {n1, n2, n3, n4, n5, n6, n7}</w:t>
      </w:r>
    </w:p>
    <w:p w14:paraId="5DDA7603" w14:textId="7FCB8140" w:rsidR="004B4E41" w:rsidRPr="00FA0D37" w:rsidRDefault="004B4E41" w:rsidP="00FA0D37">
      <w:pPr>
        <w:pStyle w:val="PL"/>
      </w:pPr>
      <w:r w:rsidRPr="00FA0D37">
        <w:t xml:space="preserve">    }</w:t>
      </w:r>
      <w:r w:rsidR="003C2B2C" w:rsidRPr="00FA0D37">
        <w:t xml:space="preserve">                                                                                  </w:t>
      </w:r>
      <w:r w:rsidRPr="00FA0D37">
        <w:t xml:space="preserve">    </w:t>
      </w:r>
      <w:r w:rsidRPr="00FA0D37">
        <w:rPr>
          <w:color w:val="993366"/>
        </w:rPr>
        <w:t>OPTIONAL</w:t>
      </w:r>
      <w:r w:rsidRPr="00FA0D37">
        <w:t>,</w:t>
      </w:r>
    </w:p>
    <w:p w14:paraId="20EE3259" w14:textId="259F0F6C" w:rsidR="004B4E41" w:rsidRPr="00FA0D37" w:rsidRDefault="004B4E41" w:rsidP="00FA0D37">
      <w:pPr>
        <w:pStyle w:val="PL"/>
        <w:rPr>
          <w:color w:val="808080"/>
        </w:rPr>
      </w:pPr>
      <w:r w:rsidRPr="00FA0D37">
        <w:t xml:space="preserve">    </w:t>
      </w:r>
      <w:r w:rsidRPr="00FA0D37">
        <w:rPr>
          <w:color w:val="808080"/>
        </w:rPr>
        <w:t>-- R1 25-7: Triggered HARQ-ACK codebook re-transmission</w:t>
      </w:r>
    </w:p>
    <w:p w14:paraId="6D0E5154" w14:textId="1ECC2026" w:rsidR="004B4E41" w:rsidRPr="00FA0D37" w:rsidRDefault="004B4E41" w:rsidP="00FA0D37">
      <w:pPr>
        <w:pStyle w:val="PL"/>
      </w:pPr>
      <w:r w:rsidRPr="00FA0D37">
        <w:t xml:space="preserve">    triggeredHARQ-CodebookRetx-r17              </w:t>
      </w:r>
      <w:r w:rsidRPr="00FA0D37">
        <w:rPr>
          <w:color w:val="993366"/>
        </w:rPr>
        <w:t>SEQUENCE</w:t>
      </w:r>
      <w:r w:rsidRPr="00FA0D37">
        <w:t xml:space="preserve"> {</w:t>
      </w:r>
    </w:p>
    <w:p w14:paraId="5952EAEA" w14:textId="2C0ACE19" w:rsidR="004B4E41" w:rsidRPr="00FA0D37" w:rsidRDefault="004B4E41" w:rsidP="00FA0D37">
      <w:pPr>
        <w:pStyle w:val="PL"/>
      </w:pPr>
      <w:r w:rsidRPr="00FA0D37">
        <w:t xml:space="preserve">    </w:t>
      </w:r>
      <w:r w:rsidR="003C2B2C" w:rsidRPr="00FA0D37">
        <w:t xml:space="preserve">    </w:t>
      </w:r>
      <w:r w:rsidRPr="00FA0D37">
        <w:t>minHARQ-Retx-Offset-r17</w:t>
      </w:r>
      <w:r w:rsidR="003C2B2C" w:rsidRPr="00FA0D37">
        <w:t xml:space="preserve">                     </w:t>
      </w:r>
      <w:r w:rsidRPr="00FA0D37">
        <w:rPr>
          <w:color w:val="993366"/>
        </w:rPr>
        <w:t>ENUMERATED</w:t>
      </w:r>
      <w:r w:rsidRPr="00FA0D37">
        <w:t xml:space="preserve"> {n-7, n-5, n-3, n-1, n1},</w:t>
      </w:r>
    </w:p>
    <w:p w14:paraId="5D0B0652" w14:textId="6AC094FC" w:rsidR="004B4E41" w:rsidRPr="00FA0D37" w:rsidRDefault="004B4E41" w:rsidP="00FA0D37">
      <w:pPr>
        <w:pStyle w:val="PL"/>
      </w:pPr>
      <w:r w:rsidRPr="00FA0D37">
        <w:t xml:space="preserve">    </w:t>
      </w:r>
      <w:r w:rsidR="003C2B2C" w:rsidRPr="00FA0D37">
        <w:t xml:space="preserve">    </w:t>
      </w:r>
      <w:r w:rsidRPr="00FA0D37">
        <w:t>maxHARQ-Retx-Offset-r17</w:t>
      </w:r>
      <w:r w:rsidR="003C2B2C" w:rsidRPr="00FA0D37">
        <w:t xml:space="preserve">                     </w:t>
      </w:r>
      <w:r w:rsidRPr="00FA0D37">
        <w:rPr>
          <w:color w:val="993366"/>
        </w:rPr>
        <w:t>ENUMERATED</w:t>
      </w:r>
      <w:r w:rsidRPr="00FA0D37">
        <w:t xml:space="preserve"> {n4, n6, n8, n10, n12, n14, n16, n18, n20, n22, n24}</w:t>
      </w:r>
    </w:p>
    <w:p w14:paraId="74A2E8C7" w14:textId="736E128F" w:rsidR="004B4E41" w:rsidRPr="00FA0D37" w:rsidRDefault="004B4E41" w:rsidP="00FA0D37">
      <w:pPr>
        <w:pStyle w:val="PL"/>
      </w:pPr>
      <w:r w:rsidRPr="00FA0D37">
        <w:t xml:space="preserve">    }</w:t>
      </w:r>
      <w:r w:rsidR="003C2B2C" w:rsidRPr="00FA0D37">
        <w:t xml:space="preserve">                                                                                  </w:t>
      </w:r>
      <w:r w:rsidRPr="00FA0D37">
        <w:t xml:space="preserve">    </w:t>
      </w:r>
      <w:r w:rsidRPr="00FA0D37">
        <w:rPr>
          <w:color w:val="993366"/>
        </w:rPr>
        <w:t>OPTIONAL</w:t>
      </w:r>
    </w:p>
    <w:p w14:paraId="2C55AE1B" w14:textId="17FE1260" w:rsidR="00D20678" w:rsidRPr="00FA0D37" w:rsidRDefault="000B1FA4" w:rsidP="00FA0D37">
      <w:pPr>
        <w:pStyle w:val="PL"/>
      </w:pPr>
      <w:r w:rsidRPr="00FA0D37">
        <w:t xml:space="preserve">    ]]</w:t>
      </w:r>
      <w:r w:rsidR="00D20678" w:rsidRPr="00FA0D37">
        <w:t>,</w:t>
      </w:r>
    </w:p>
    <w:p w14:paraId="6E050ED5" w14:textId="56322009" w:rsidR="00D20678" w:rsidRPr="00FA0D37" w:rsidRDefault="00D20678" w:rsidP="00FA0D37">
      <w:pPr>
        <w:pStyle w:val="PL"/>
      </w:pPr>
      <w:r w:rsidRPr="00FA0D37">
        <w:t xml:space="preserve">    [[</w:t>
      </w:r>
    </w:p>
    <w:p w14:paraId="53170298" w14:textId="77777777" w:rsidR="00D20678" w:rsidRPr="00FA0D37" w:rsidRDefault="00D20678" w:rsidP="00FA0D37">
      <w:pPr>
        <w:pStyle w:val="PL"/>
        <w:rPr>
          <w:color w:val="808080"/>
        </w:rPr>
      </w:pPr>
      <w:r w:rsidRPr="00FA0D37">
        <w:t xml:space="preserve">    </w:t>
      </w:r>
      <w:r w:rsidRPr="00FA0D37">
        <w:rPr>
          <w:color w:val="808080"/>
        </w:rPr>
        <w:t>-- R4 22-2 support of one shot large UL timing adjustment</w:t>
      </w:r>
    </w:p>
    <w:p w14:paraId="34CB512B" w14:textId="7F1EB8F9" w:rsidR="00D20678" w:rsidRPr="00FA0D37" w:rsidRDefault="00D20678" w:rsidP="00FA0D37">
      <w:pPr>
        <w:pStyle w:val="PL"/>
      </w:pPr>
      <w:r w:rsidRPr="00FA0D37">
        <w:t xml:space="preserve">    ue-OneShotUL-TimingAdj-r17                        </w:t>
      </w:r>
      <w:r w:rsidRPr="00FA0D37">
        <w:rPr>
          <w:color w:val="993366"/>
        </w:rPr>
        <w:t>ENUMERATED</w:t>
      </w:r>
      <w:r w:rsidRPr="00FA0D37">
        <w:t xml:space="preserve"> {supported}               </w:t>
      </w:r>
      <w:r w:rsidRPr="00FA0D37">
        <w:rPr>
          <w:color w:val="993366"/>
        </w:rPr>
        <w:t>OPTIONAL</w:t>
      </w:r>
      <w:r w:rsidRPr="00FA0D37">
        <w:t>,</w:t>
      </w:r>
    </w:p>
    <w:p w14:paraId="76F5B130" w14:textId="2277B198" w:rsidR="00D20678" w:rsidRPr="00FA0D37" w:rsidRDefault="00D20678" w:rsidP="00FA0D37">
      <w:pPr>
        <w:pStyle w:val="PL"/>
        <w:rPr>
          <w:color w:val="808080"/>
        </w:rPr>
      </w:pPr>
      <w:r w:rsidRPr="00FA0D37">
        <w:t xml:space="preserve">    </w:t>
      </w:r>
      <w:r w:rsidRPr="00FA0D37">
        <w:rPr>
          <w:color w:val="808080"/>
        </w:rPr>
        <w:t>-- R1 25-2: Repetitions for PUCCH format 0, and 2 over multiple slots with K = 2, 4, 8</w:t>
      </w:r>
    </w:p>
    <w:p w14:paraId="4A9B8515" w14:textId="17866DFD" w:rsidR="00D20678" w:rsidRPr="00FA0D37" w:rsidRDefault="00D20678" w:rsidP="00FA0D37">
      <w:pPr>
        <w:pStyle w:val="PL"/>
      </w:pPr>
      <w:r w:rsidRPr="00FA0D37">
        <w:t xml:space="preserve">    pucch-Repetition-F0-2-r17                         </w:t>
      </w:r>
      <w:r w:rsidRPr="00FA0D37">
        <w:rPr>
          <w:color w:val="993366"/>
        </w:rPr>
        <w:t>ENUMERATED</w:t>
      </w:r>
      <w:r w:rsidRPr="00FA0D37">
        <w:t xml:space="preserve"> {supported}               </w:t>
      </w:r>
      <w:r w:rsidRPr="00FA0D37">
        <w:rPr>
          <w:color w:val="993366"/>
        </w:rPr>
        <w:t>OPTIONAL</w:t>
      </w:r>
      <w:r w:rsidRPr="00FA0D37">
        <w:t>,</w:t>
      </w:r>
    </w:p>
    <w:p w14:paraId="4B4D6034" w14:textId="10698E09" w:rsidR="00D20678" w:rsidRPr="00FA0D37" w:rsidRDefault="00D20678" w:rsidP="00FA0D37">
      <w:pPr>
        <w:pStyle w:val="PL"/>
        <w:rPr>
          <w:color w:val="808080"/>
        </w:rPr>
      </w:pPr>
      <w:r w:rsidRPr="00FA0D37">
        <w:t xml:space="preserve">    </w:t>
      </w:r>
      <w:r w:rsidRPr="00FA0D37">
        <w:rPr>
          <w:color w:val="808080"/>
        </w:rPr>
        <w:t>-- R1 25-11a: 4-bits subband CQI for NTN and unlicensed</w:t>
      </w:r>
    </w:p>
    <w:p w14:paraId="7270821B" w14:textId="57D2F602" w:rsidR="00D20678" w:rsidRPr="00FA0D37" w:rsidRDefault="00D20678" w:rsidP="00FA0D37">
      <w:pPr>
        <w:pStyle w:val="PL"/>
      </w:pPr>
      <w:r w:rsidRPr="00FA0D37">
        <w:t xml:space="preserve">    cqi-4-BitsSubbandNTN-SharedSpectrumChAccess-r17   </w:t>
      </w:r>
      <w:r w:rsidRPr="00FA0D37">
        <w:rPr>
          <w:color w:val="993366"/>
        </w:rPr>
        <w:t>ENUMERATED</w:t>
      </w:r>
      <w:r w:rsidRPr="00FA0D37">
        <w:t xml:space="preserve"> {supported}               </w:t>
      </w:r>
      <w:r w:rsidRPr="00FA0D37">
        <w:rPr>
          <w:color w:val="993366"/>
        </w:rPr>
        <w:t>OPTIONAL</w:t>
      </w:r>
      <w:r w:rsidRPr="00FA0D37">
        <w:t>,</w:t>
      </w:r>
    </w:p>
    <w:p w14:paraId="613C3021" w14:textId="77777777" w:rsidR="00D20678" w:rsidRPr="00FA0D37" w:rsidRDefault="00D20678" w:rsidP="00FA0D37">
      <w:pPr>
        <w:pStyle w:val="PL"/>
        <w:rPr>
          <w:color w:val="808080"/>
        </w:rPr>
      </w:pPr>
      <w:r w:rsidRPr="00FA0D37">
        <w:t xml:space="preserve">    </w:t>
      </w:r>
      <w:r w:rsidRPr="00FA0D37">
        <w:rPr>
          <w:color w:val="808080"/>
        </w:rPr>
        <w:t>-- R1 25-16: HARQ-ACK with different priorities multiplexing on a PUCCH/PUSCH</w:t>
      </w:r>
    </w:p>
    <w:p w14:paraId="5D0F5899" w14:textId="23701264" w:rsidR="00D20678" w:rsidRPr="00FA0D37" w:rsidRDefault="00D20678" w:rsidP="00FA0D37">
      <w:pPr>
        <w:pStyle w:val="PL"/>
      </w:pPr>
      <w:r w:rsidRPr="00FA0D37">
        <w:t xml:space="preserve">    mux-HARQ-ACK-DiffPriorities-r17                   </w:t>
      </w:r>
      <w:r w:rsidRPr="00FA0D37">
        <w:rPr>
          <w:color w:val="993366"/>
        </w:rPr>
        <w:t>ENUMERATED</w:t>
      </w:r>
      <w:r w:rsidRPr="00FA0D37">
        <w:t xml:space="preserve"> {supported}               </w:t>
      </w:r>
      <w:r w:rsidRPr="00FA0D37">
        <w:rPr>
          <w:color w:val="993366"/>
        </w:rPr>
        <w:t>OPTIONAL</w:t>
      </w:r>
      <w:r w:rsidRPr="00FA0D37">
        <w:t>,</w:t>
      </w:r>
    </w:p>
    <w:p w14:paraId="30C6D407" w14:textId="77777777" w:rsidR="00D20678" w:rsidRPr="00FA0D37" w:rsidRDefault="00D20678" w:rsidP="00FA0D37">
      <w:pPr>
        <w:pStyle w:val="PL"/>
        <w:rPr>
          <w:color w:val="808080"/>
        </w:rPr>
      </w:pPr>
      <w:r w:rsidRPr="00FA0D37">
        <w:t xml:space="preserve">    </w:t>
      </w:r>
      <w:r w:rsidRPr="00FA0D37">
        <w:rPr>
          <w:color w:val="808080"/>
        </w:rPr>
        <w:t>-- R1 25-20a: Propagation delay compensation based on legacy TA procedure for NTN and unlicensed</w:t>
      </w:r>
    </w:p>
    <w:p w14:paraId="56C0E057" w14:textId="224E1FB8" w:rsidR="00D20678" w:rsidRPr="00FA0D37" w:rsidRDefault="00D20678" w:rsidP="00FA0D37">
      <w:pPr>
        <w:pStyle w:val="PL"/>
      </w:pPr>
      <w:r w:rsidRPr="00FA0D37">
        <w:t xml:space="preserve">    ta-BasedPDC-NTN-SharedSpectrumChAccess-r17        </w:t>
      </w:r>
      <w:r w:rsidRPr="00FA0D37">
        <w:rPr>
          <w:color w:val="993366"/>
        </w:rPr>
        <w:t>ENUMERATED</w:t>
      </w:r>
      <w:r w:rsidRPr="00FA0D37">
        <w:t xml:space="preserve"> {supported}               </w:t>
      </w:r>
      <w:r w:rsidRPr="00FA0D37">
        <w:rPr>
          <w:color w:val="993366"/>
        </w:rPr>
        <w:t>OPTIONAL</w:t>
      </w:r>
      <w:r w:rsidRPr="00FA0D37">
        <w:t>,</w:t>
      </w:r>
    </w:p>
    <w:p w14:paraId="406B549A" w14:textId="44F7D071" w:rsidR="00D20678" w:rsidRPr="00FA0D37" w:rsidRDefault="00D20678" w:rsidP="00FA0D37">
      <w:pPr>
        <w:pStyle w:val="PL"/>
        <w:rPr>
          <w:color w:val="808080"/>
        </w:rPr>
      </w:pPr>
      <w:r w:rsidRPr="00FA0D37">
        <w:t xml:space="preserve">    </w:t>
      </w:r>
      <w:r w:rsidRPr="00FA0D37">
        <w:rPr>
          <w:color w:val="808080"/>
        </w:rPr>
        <w:t>-- R1 33-2b: DCI-based enabling/disabling ACK/NACK-based feedback for dynamic scheduling for multicast</w:t>
      </w:r>
    </w:p>
    <w:p w14:paraId="70998078" w14:textId="0C582ECC" w:rsidR="00D20678" w:rsidRPr="00FA0D37" w:rsidRDefault="00D20678" w:rsidP="00FA0D37">
      <w:pPr>
        <w:pStyle w:val="PL"/>
      </w:pPr>
      <w:r w:rsidRPr="00FA0D37">
        <w:t xml:space="preserve">    ack-NACK-FeedbackForMulticastWithDCI-Enabler-r17  </w:t>
      </w:r>
      <w:r w:rsidRPr="00FA0D37">
        <w:rPr>
          <w:color w:val="993366"/>
        </w:rPr>
        <w:t>ENUMERATED</w:t>
      </w:r>
      <w:r w:rsidRPr="00FA0D37">
        <w:t xml:space="preserve"> {supported}               </w:t>
      </w:r>
      <w:r w:rsidRPr="00FA0D37">
        <w:rPr>
          <w:color w:val="993366"/>
        </w:rPr>
        <w:t>OPTIONAL</w:t>
      </w:r>
      <w:r w:rsidRPr="00FA0D37">
        <w:t>,</w:t>
      </w:r>
    </w:p>
    <w:p w14:paraId="4BE26458" w14:textId="0D247336" w:rsidR="00D20678" w:rsidRPr="00FA0D37" w:rsidRDefault="00D20678" w:rsidP="00FA0D37">
      <w:pPr>
        <w:pStyle w:val="PL"/>
        <w:rPr>
          <w:color w:val="808080"/>
        </w:rPr>
      </w:pPr>
      <w:r w:rsidRPr="00FA0D37">
        <w:t xml:space="preserve">    </w:t>
      </w:r>
      <w:r w:rsidRPr="00FA0D37">
        <w:rPr>
          <w:color w:val="808080"/>
        </w:rPr>
        <w:t>-- R1 33-2e: Multiple G-RNTIs for group-common PDSCHs</w:t>
      </w:r>
    </w:p>
    <w:p w14:paraId="47305B69" w14:textId="37FF80F0" w:rsidR="00D20678" w:rsidRPr="00FA0D37" w:rsidRDefault="00D20678" w:rsidP="00FA0D37">
      <w:pPr>
        <w:pStyle w:val="PL"/>
      </w:pPr>
      <w:r w:rsidRPr="00FA0D37">
        <w:t xml:space="preserve">    maxNumberG-RNTI-r17                               </w:t>
      </w:r>
      <w:r w:rsidRPr="00FA0D37">
        <w:rPr>
          <w:color w:val="993366"/>
        </w:rPr>
        <w:t>INTEGER</w:t>
      </w:r>
      <w:r w:rsidRPr="00FA0D37">
        <w:t xml:space="preserve"> (2..8)                       </w:t>
      </w:r>
      <w:r w:rsidRPr="00FA0D37">
        <w:rPr>
          <w:color w:val="993366"/>
        </w:rPr>
        <w:t>OPTIONAL</w:t>
      </w:r>
      <w:r w:rsidRPr="00FA0D37">
        <w:t>,</w:t>
      </w:r>
    </w:p>
    <w:p w14:paraId="252FA403" w14:textId="7C9755F6" w:rsidR="00D20678" w:rsidRPr="00FA0D37" w:rsidRDefault="00D20678" w:rsidP="00FA0D37">
      <w:pPr>
        <w:pStyle w:val="PL"/>
        <w:rPr>
          <w:color w:val="808080"/>
        </w:rPr>
      </w:pPr>
      <w:r w:rsidRPr="00FA0D37">
        <w:t xml:space="preserve">    </w:t>
      </w:r>
      <w:r w:rsidRPr="00FA0D37">
        <w:rPr>
          <w:color w:val="808080"/>
        </w:rPr>
        <w:t>-- R1 33-2f: Dynamic multicast with DCI format 4_2</w:t>
      </w:r>
    </w:p>
    <w:p w14:paraId="2FB3CAE7" w14:textId="487CA49F" w:rsidR="00D20678" w:rsidRPr="00FA0D37" w:rsidRDefault="00D20678" w:rsidP="00FA0D37">
      <w:pPr>
        <w:pStyle w:val="PL"/>
      </w:pPr>
      <w:r w:rsidRPr="00FA0D37">
        <w:t xml:space="preserve">    dynamicMulticastDCI-Format4-2-r17                 </w:t>
      </w:r>
      <w:r w:rsidRPr="00FA0D37">
        <w:rPr>
          <w:color w:val="993366"/>
        </w:rPr>
        <w:t>ENUMERATED</w:t>
      </w:r>
      <w:r w:rsidRPr="00FA0D37">
        <w:t xml:space="preserve"> {supported}               </w:t>
      </w:r>
      <w:r w:rsidRPr="00FA0D37">
        <w:rPr>
          <w:color w:val="993366"/>
        </w:rPr>
        <w:t>OPTIONAL</w:t>
      </w:r>
      <w:r w:rsidRPr="00FA0D37">
        <w:t>,</w:t>
      </w:r>
    </w:p>
    <w:p w14:paraId="70CFA562" w14:textId="77777777" w:rsidR="00C148E4" w:rsidRPr="00FA0D37" w:rsidRDefault="00D20678" w:rsidP="00FA0D37">
      <w:pPr>
        <w:pStyle w:val="PL"/>
        <w:rPr>
          <w:color w:val="808080"/>
        </w:rPr>
      </w:pPr>
      <w:r w:rsidRPr="00FA0D37">
        <w:lastRenderedPageBreak/>
        <w:t xml:space="preserve">    </w:t>
      </w:r>
      <w:r w:rsidRPr="00FA0D37">
        <w:rPr>
          <w:color w:val="808080"/>
        </w:rPr>
        <w:t>-- R1 33-2i: Supported maximal modulation order for multicast PDSCH</w:t>
      </w:r>
    </w:p>
    <w:p w14:paraId="69D441E2" w14:textId="6908A24D" w:rsidR="00D20678" w:rsidRPr="00FA0D37" w:rsidRDefault="00D20678" w:rsidP="00FA0D37">
      <w:pPr>
        <w:pStyle w:val="PL"/>
      </w:pPr>
      <w:r w:rsidRPr="00FA0D37">
        <w:t xml:space="preserve">    maxModulationOrderForMulticast-r17                </w:t>
      </w:r>
      <w:r w:rsidRPr="00FA0D37">
        <w:rPr>
          <w:color w:val="993366"/>
        </w:rPr>
        <w:t>CHOICE</w:t>
      </w:r>
      <w:r w:rsidRPr="00FA0D37">
        <w:t xml:space="preserve"> {</w:t>
      </w:r>
    </w:p>
    <w:p w14:paraId="0EF074A3" w14:textId="6A4F4407" w:rsidR="00D20678" w:rsidRPr="00FA0D37" w:rsidRDefault="00D20678" w:rsidP="00FA0D37">
      <w:pPr>
        <w:pStyle w:val="PL"/>
      </w:pPr>
      <w:r w:rsidRPr="00FA0D37">
        <w:t xml:space="preserve">        fr1-r17                                           </w:t>
      </w:r>
      <w:r w:rsidRPr="00FA0D37">
        <w:rPr>
          <w:color w:val="993366"/>
        </w:rPr>
        <w:t>ENUMERATED</w:t>
      </w:r>
      <w:r w:rsidRPr="00FA0D37">
        <w:t xml:space="preserve"> {qam256, qam1024},</w:t>
      </w:r>
    </w:p>
    <w:p w14:paraId="39B75C85" w14:textId="5FB52018" w:rsidR="00D20678" w:rsidRPr="00FA0D37" w:rsidRDefault="00D20678" w:rsidP="00FA0D37">
      <w:pPr>
        <w:pStyle w:val="PL"/>
      </w:pPr>
      <w:r w:rsidRPr="00FA0D37">
        <w:t xml:space="preserve">        fr2-r17                                           </w:t>
      </w:r>
      <w:r w:rsidRPr="00FA0D37">
        <w:rPr>
          <w:color w:val="993366"/>
        </w:rPr>
        <w:t>ENUMERATED</w:t>
      </w:r>
      <w:r w:rsidRPr="00FA0D37">
        <w:t xml:space="preserve"> {qam64, qam256}</w:t>
      </w:r>
    </w:p>
    <w:p w14:paraId="4A6522D9" w14:textId="39F059F9" w:rsidR="00D20678" w:rsidRPr="00FA0D37" w:rsidRDefault="00D20678" w:rsidP="00FA0D37">
      <w:pPr>
        <w:pStyle w:val="PL"/>
      </w:pPr>
      <w:r w:rsidRPr="00FA0D37">
        <w:t xml:space="preserve">    }                                                                                                                          </w:t>
      </w:r>
      <w:r w:rsidRPr="00FA0D37">
        <w:rPr>
          <w:color w:val="993366"/>
        </w:rPr>
        <w:t>OPTIONAL</w:t>
      </w:r>
      <w:r w:rsidRPr="00FA0D37">
        <w:t>,</w:t>
      </w:r>
    </w:p>
    <w:p w14:paraId="02FFFD93" w14:textId="77777777" w:rsidR="00C148E4" w:rsidRPr="00FA0D37" w:rsidRDefault="00D20678" w:rsidP="00FA0D37">
      <w:pPr>
        <w:pStyle w:val="PL"/>
        <w:rPr>
          <w:color w:val="808080"/>
        </w:rPr>
      </w:pPr>
      <w:r w:rsidRPr="00FA0D37">
        <w:t xml:space="preserve">    </w:t>
      </w:r>
      <w:r w:rsidRPr="00FA0D37">
        <w:rPr>
          <w:color w:val="808080"/>
        </w:rPr>
        <w:t>-- R1 33-3-1: Dynamic Slot-level repetition for group-common PDSCH for TN and licensed</w:t>
      </w:r>
    </w:p>
    <w:p w14:paraId="271A7B8A" w14:textId="31AF9C76" w:rsidR="00D20678" w:rsidRPr="00FA0D37" w:rsidRDefault="00D20678" w:rsidP="00FA0D37">
      <w:pPr>
        <w:pStyle w:val="PL"/>
      </w:pPr>
      <w:r w:rsidRPr="00FA0D37">
        <w:t xml:space="preserve">    dynamicSlotRepetitionMulticastTN-NonSharedSpectrumChAccess-r17  </w:t>
      </w:r>
      <w:r w:rsidRPr="00FA0D37">
        <w:rPr>
          <w:color w:val="993366"/>
        </w:rPr>
        <w:t>ENUMERATED</w:t>
      </w:r>
      <w:r w:rsidRPr="00FA0D37">
        <w:t xml:space="preserve"> {n8, n16}                                       </w:t>
      </w:r>
      <w:r w:rsidRPr="00FA0D37">
        <w:rPr>
          <w:color w:val="993366"/>
        </w:rPr>
        <w:t>OPTIONAL</w:t>
      </w:r>
      <w:r w:rsidRPr="00FA0D37">
        <w:t>,</w:t>
      </w:r>
    </w:p>
    <w:p w14:paraId="3E02218B" w14:textId="77EE09CD" w:rsidR="00D20678" w:rsidRPr="00FA0D37" w:rsidRDefault="00D20678" w:rsidP="00FA0D37">
      <w:pPr>
        <w:pStyle w:val="PL"/>
        <w:rPr>
          <w:color w:val="808080"/>
        </w:rPr>
      </w:pPr>
      <w:r w:rsidRPr="00FA0D37">
        <w:t xml:space="preserve">    </w:t>
      </w:r>
      <w:r w:rsidRPr="00FA0D37">
        <w:rPr>
          <w:color w:val="808080"/>
        </w:rPr>
        <w:t>-- R1 33-3-1a: Dynamic Slot-level repetition for group-common PDSCH for NTN and unlicensed</w:t>
      </w:r>
    </w:p>
    <w:p w14:paraId="72CDA51D" w14:textId="598BA73D" w:rsidR="00D20678" w:rsidRPr="00FA0D37" w:rsidRDefault="00D20678" w:rsidP="00FA0D37">
      <w:pPr>
        <w:pStyle w:val="PL"/>
      </w:pPr>
      <w:r w:rsidRPr="00FA0D37">
        <w:t xml:space="preserve">    dynamicSlotRepetitionMulticastNTN-SharedSpectrumChAccess-r17    </w:t>
      </w:r>
      <w:r w:rsidRPr="00FA0D37">
        <w:rPr>
          <w:color w:val="993366"/>
        </w:rPr>
        <w:t>ENUMERATED</w:t>
      </w:r>
      <w:r w:rsidRPr="00FA0D37">
        <w:t xml:space="preserve"> {n8, n16}                                       </w:t>
      </w:r>
      <w:r w:rsidRPr="00FA0D37">
        <w:rPr>
          <w:color w:val="993366"/>
        </w:rPr>
        <w:t>OPTIONAL</w:t>
      </w:r>
      <w:r w:rsidRPr="00FA0D37">
        <w:t>,</w:t>
      </w:r>
    </w:p>
    <w:p w14:paraId="56443EA6" w14:textId="4404A20C" w:rsidR="00D20678" w:rsidRPr="00FA0D37" w:rsidRDefault="00D20678" w:rsidP="00FA0D37">
      <w:pPr>
        <w:pStyle w:val="PL"/>
        <w:rPr>
          <w:color w:val="808080"/>
        </w:rPr>
      </w:pPr>
      <w:r w:rsidRPr="00FA0D37">
        <w:t xml:space="preserve">    </w:t>
      </w:r>
      <w:r w:rsidRPr="00FA0D37">
        <w:rPr>
          <w:color w:val="808080"/>
        </w:rPr>
        <w:t>-- R1 33-4-1: DCI-based enabling/disabling NACK-only based feedback for dynamic scheduling for multicast</w:t>
      </w:r>
    </w:p>
    <w:p w14:paraId="13243C8D" w14:textId="26DD9BC3" w:rsidR="00D20678" w:rsidRPr="00FA0D37" w:rsidRDefault="00D20678" w:rsidP="00FA0D37">
      <w:pPr>
        <w:pStyle w:val="PL"/>
      </w:pPr>
      <w:r w:rsidRPr="00FA0D37">
        <w:t xml:space="preserve">    nack-OnlyFeedbackForMulticastWithDCI-Enabler-r17                </w:t>
      </w:r>
      <w:r w:rsidRPr="00FA0D37">
        <w:rPr>
          <w:color w:val="993366"/>
        </w:rPr>
        <w:t>ENUMERATED</w:t>
      </w:r>
      <w:r w:rsidRPr="00FA0D37">
        <w:t xml:space="preserve"> {supported}                                     </w:t>
      </w:r>
      <w:r w:rsidRPr="00FA0D37">
        <w:rPr>
          <w:color w:val="993366"/>
        </w:rPr>
        <w:t>OPTIONAL</w:t>
      </w:r>
      <w:r w:rsidRPr="00FA0D37">
        <w:t>,</w:t>
      </w:r>
    </w:p>
    <w:p w14:paraId="7033A351" w14:textId="1FE02ABF" w:rsidR="00D20678" w:rsidRPr="00FA0D37" w:rsidRDefault="00D20678" w:rsidP="00FA0D37">
      <w:pPr>
        <w:pStyle w:val="PL"/>
        <w:rPr>
          <w:color w:val="808080"/>
        </w:rPr>
      </w:pPr>
      <w:r w:rsidRPr="00FA0D37">
        <w:t xml:space="preserve">    </w:t>
      </w:r>
      <w:r w:rsidRPr="00FA0D37">
        <w:rPr>
          <w:color w:val="808080"/>
        </w:rPr>
        <w:t>-- R1 33-5-1b: DCI-based enabling/disabling ACK/NACK-based feedback for dynamic scheduling for multicast</w:t>
      </w:r>
    </w:p>
    <w:p w14:paraId="080D602D" w14:textId="5A6D488B" w:rsidR="00D20678" w:rsidRPr="00FA0D37" w:rsidRDefault="00D20678" w:rsidP="00FA0D37">
      <w:pPr>
        <w:pStyle w:val="PL"/>
      </w:pPr>
      <w:r w:rsidRPr="00FA0D37">
        <w:t xml:space="preserve">    ack-NACK-FeedbackForSPS-MulticastWithDCI-Enabler-r17            </w:t>
      </w:r>
      <w:r w:rsidRPr="00FA0D37">
        <w:rPr>
          <w:color w:val="993366"/>
        </w:rPr>
        <w:t>ENUMERATED</w:t>
      </w:r>
      <w:r w:rsidRPr="00FA0D37">
        <w:t xml:space="preserve"> {supported}                                     </w:t>
      </w:r>
      <w:r w:rsidRPr="00FA0D37">
        <w:rPr>
          <w:color w:val="993366"/>
        </w:rPr>
        <w:t>OPTIONAL</w:t>
      </w:r>
      <w:r w:rsidRPr="00FA0D37">
        <w:t>,</w:t>
      </w:r>
    </w:p>
    <w:p w14:paraId="042F5AAB" w14:textId="43CE309C" w:rsidR="00D20678" w:rsidRPr="00FA0D37" w:rsidRDefault="00D20678" w:rsidP="00FA0D37">
      <w:pPr>
        <w:pStyle w:val="PL"/>
        <w:rPr>
          <w:color w:val="808080"/>
        </w:rPr>
      </w:pPr>
      <w:r w:rsidRPr="00FA0D37">
        <w:t xml:space="preserve">    </w:t>
      </w:r>
      <w:r w:rsidRPr="00FA0D37">
        <w:rPr>
          <w:color w:val="808080"/>
        </w:rPr>
        <w:t>-- R1 33-5-1h: Multiple G-CS-RNTIs for SPS group-common PDSCHs</w:t>
      </w:r>
    </w:p>
    <w:p w14:paraId="27B60E11" w14:textId="56A81681" w:rsidR="00D20678" w:rsidRPr="00FA0D37" w:rsidRDefault="00D20678" w:rsidP="00FA0D37">
      <w:pPr>
        <w:pStyle w:val="PL"/>
      </w:pPr>
      <w:r w:rsidRPr="00FA0D37">
        <w:t xml:space="preserve">    maxNumberG-CS-RNTI-r17                                          </w:t>
      </w:r>
      <w:r w:rsidRPr="00FA0D37">
        <w:rPr>
          <w:color w:val="993366"/>
        </w:rPr>
        <w:t>INTEGER</w:t>
      </w:r>
      <w:r w:rsidRPr="00FA0D37">
        <w:t xml:space="preserve"> (2..8)                                             </w:t>
      </w:r>
      <w:r w:rsidRPr="00FA0D37">
        <w:rPr>
          <w:color w:val="993366"/>
        </w:rPr>
        <w:t>OPTIONAL</w:t>
      </w:r>
      <w:r w:rsidRPr="00FA0D37">
        <w:t>,</w:t>
      </w:r>
    </w:p>
    <w:p w14:paraId="0E4661A5" w14:textId="653CB9BD" w:rsidR="00D20678" w:rsidRPr="00FA0D37" w:rsidRDefault="00D20678" w:rsidP="00FA0D37">
      <w:pPr>
        <w:pStyle w:val="PL"/>
        <w:rPr>
          <w:color w:val="808080"/>
        </w:rPr>
      </w:pPr>
      <w:r w:rsidRPr="00FA0D37">
        <w:t xml:space="preserve">    </w:t>
      </w:r>
      <w:r w:rsidRPr="00FA0D37">
        <w:rPr>
          <w:color w:val="808080"/>
        </w:rPr>
        <w:t>-- R1 33-10: Support group-common PDSCH RE-level rate matching for multicast</w:t>
      </w:r>
    </w:p>
    <w:p w14:paraId="3D1CA4A6" w14:textId="62CE0DDD" w:rsidR="00D20678" w:rsidRPr="00FA0D37" w:rsidRDefault="00D20678" w:rsidP="00FA0D37">
      <w:pPr>
        <w:pStyle w:val="PL"/>
      </w:pPr>
      <w:r w:rsidRPr="00FA0D37">
        <w:t xml:space="preserve">    re-LevelRateMatchingForMulticast-r17                            </w:t>
      </w:r>
      <w:r w:rsidRPr="00FA0D37">
        <w:rPr>
          <w:color w:val="993366"/>
        </w:rPr>
        <w:t>ENUMERATED</w:t>
      </w:r>
      <w:r w:rsidRPr="00FA0D37">
        <w:t xml:space="preserve"> {supported}                                     </w:t>
      </w:r>
      <w:r w:rsidRPr="00FA0D37">
        <w:rPr>
          <w:color w:val="993366"/>
        </w:rPr>
        <w:t>OPTIONAL</w:t>
      </w:r>
      <w:r w:rsidRPr="00FA0D37">
        <w:t>,</w:t>
      </w:r>
    </w:p>
    <w:p w14:paraId="0EE54681" w14:textId="77777777" w:rsidR="00D20678" w:rsidRPr="00FA0D37" w:rsidRDefault="00D20678" w:rsidP="00FA0D37">
      <w:pPr>
        <w:pStyle w:val="PL"/>
        <w:rPr>
          <w:color w:val="808080"/>
        </w:rPr>
      </w:pPr>
      <w:r w:rsidRPr="00FA0D37">
        <w:t xml:space="preserve">     </w:t>
      </w:r>
      <w:r w:rsidRPr="00FA0D37">
        <w:rPr>
          <w:color w:val="808080"/>
        </w:rPr>
        <w:t>-- R1 36-1a: Support of 1024QAM for PDSCH with maximum 2 MIMO layers for FR1</w:t>
      </w:r>
    </w:p>
    <w:p w14:paraId="0CCE804F" w14:textId="7D528AAB" w:rsidR="00D20678" w:rsidRPr="00FA0D37" w:rsidRDefault="00D20678" w:rsidP="00FA0D37">
      <w:pPr>
        <w:pStyle w:val="PL"/>
      </w:pPr>
      <w:r w:rsidRPr="00FA0D37">
        <w:t xml:space="preserve">    pdsch-1024QAM-2MIMO-FR1-r17                                     </w:t>
      </w:r>
      <w:r w:rsidRPr="00FA0D37">
        <w:rPr>
          <w:color w:val="993366"/>
        </w:rPr>
        <w:t>ENUMERATED</w:t>
      </w:r>
      <w:r w:rsidRPr="00FA0D37">
        <w:t xml:space="preserve"> {supported}                                     </w:t>
      </w:r>
      <w:r w:rsidRPr="00FA0D37">
        <w:rPr>
          <w:color w:val="993366"/>
        </w:rPr>
        <w:t>OPTIONAL</w:t>
      </w:r>
      <w:r w:rsidRPr="00FA0D37">
        <w:t>,</w:t>
      </w:r>
    </w:p>
    <w:p w14:paraId="691D0813" w14:textId="77777777" w:rsidR="00D20678" w:rsidRPr="00FA0D37" w:rsidRDefault="00D20678" w:rsidP="00FA0D37">
      <w:pPr>
        <w:pStyle w:val="PL"/>
        <w:rPr>
          <w:color w:val="808080"/>
        </w:rPr>
      </w:pPr>
      <w:r w:rsidRPr="00FA0D37">
        <w:t xml:space="preserve">     </w:t>
      </w:r>
      <w:r w:rsidRPr="00FA0D37">
        <w:rPr>
          <w:color w:val="808080"/>
        </w:rPr>
        <w:t>-- R4 14-3 PRS measurement without MG</w:t>
      </w:r>
    </w:p>
    <w:p w14:paraId="19CBB5A5" w14:textId="215AAAD4" w:rsidR="00D20678" w:rsidRPr="00FA0D37" w:rsidRDefault="00D20678" w:rsidP="00FA0D37">
      <w:pPr>
        <w:pStyle w:val="PL"/>
      </w:pPr>
      <w:r w:rsidRPr="00FA0D37">
        <w:t xml:space="preserve">    prs-MeasurementWithoutMG-r17                                    </w:t>
      </w:r>
      <w:r w:rsidRPr="00FA0D37">
        <w:rPr>
          <w:color w:val="993366"/>
        </w:rPr>
        <w:t>ENUMERATED</w:t>
      </w:r>
      <w:r w:rsidRPr="00FA0D37">
        <w:t xml:space="preserve"> {cpLength, quarterSymbol, halfSymbol, halfSlot} </w:t>
      </w:r>
      <w:r w:rsidRPr="00FA0D37">
        <w:rPr>
          <w:color w:val="993366"/>
        </w:rPr>
        <w:t>OPTIONAL</w:t>
      </w:r>
      <w:r w:rsidRPr="00FA0D37">
        <w:t>,</w:t>
      </w:r>
    </w:p>
    <w:p w14:paraId="37042E45" w14:textId="77777777" w:rsidR="00D20678" w:rsidRPr="00FA0D37" w:rsidRDefault="00D20678" w:rsidP="00FA0D37">
      <w:pPr>
        <w:pStyle w:val="PL"/>
        <w:rPr>
          <w:color w:val="808080"/>
        </w:rPr>
      </w:pPr>
      <w:r w:rsidRPr="00FA0D37">
        <w:t xml:space="preserve">    </w:t>
      </w:r>
      <w:r w:rsidRPr="00FA0D37">
        <w:rPr>
          <w:color w:val="808080"/>
        </w:rPr>
        <w:t>-- R4 25-7: The number of target LEO satellites the UE can monitor per carrier</w:t>
      </w:r>
    </w:p>
    <w:p w14:paraId="366FD0CD" w14:textId="5BAEA156" w:rsidR="00D20678" w:rsidRPr="00FA0D37" w:rsidRDefault="00D20678" w:rsidP="00FA0D37">
      <w:pPr>
        <w:pStyle w:val="PL"/>
      </w:pPr>
      <w:r w:rsidRPr="00FA0D37">
        <w:t xml:space="preserve">    maxNumber-LEO-SatellitesPerCarrier-r17                          </w:t>
      </w:r>
      <w:r w:rsidRPr="00FA0D37">
        <w:rPr>
          <w:color w:val="993366"/>
        </w:rPr>
        <w:t>INTEGER</w:t>
      </w:r>
      <w:r w:rsidRPr="00FA0D37">
        <w:t xml:space="preserve"> (3..4)                                             </w:t>
      </w:r>
      <w:r w:rsidRPr="00FA0D37">
        <w:rPr>
          <w:color w:val="993366"/>
        </w:rPr>
        <w:t>OPTIONAL</w:t>
      </w:r>
      <w:r w:rsidRPr="00FA0D37">
        <w:t>,</w:t>
      </w:r>
    </w:p>
    <w:p w14:paraId="7AAA2A1A" w14:textId="0481A1B3" w:rsidR="00D20678" w:rsidRPr="00FA0D37" w:rsidRDefault="00D20678" w:rsidP="00FA0D37">
      <w:pPr>
        <w:pStyle w:val="PL"/>
        <w:rPr>
          <w:color w:val="808080"/>
        </w:rPr>
      </w:pPr>
      <w:r w:rsidRPr="00FA0D37">
        <w:t xml:space="preserve">    </w:t>
      </w:r>
      <w:r w:rsidRPr="00FA0D37">
        <w:rPr>
          <w:color w:val="808080"/>
        </w:rPr>
        <w:t xml:space="preserve">-- </w:t>
      </w:r>
      <w:r w:rsidR="007B735B" w:rsidRPr="00FA0D37">
        <w:rPr>
          <w:color w:val="808080"/>
        </w:rPr>
        <w:t xml:space="preserve">R1 </w:t>
      </w:r>
      <w:r w:rsidRPr="00FA0D37">
        <w:rPr>
          <w:color w:val="808080"/>
        </w:rPr>
        <w:t>27-3-3 DL PRS Processing Capability outside MG - buffering capability</w:t>
      </w:r>
    </w:p>
    <w:p w14:paraId="6D1E1B48" w14:textId="7DEEF8F5" w:rsidR="00D20678" w:rsidRPr="00FA0D37" w:rsidRDefault="00D20678" w:rsidP="00FA0D37">
      <w:pPr>
        <w:pStyle w:val="PL"/>
      </w:pPr>
      <w:r w:rsidRPr="00FA0D37">
        <w:t xml:space="preserve">    prs-ProcessingCapabilityOutsideMGinPPW-r17    </w:t>
      </w:r>
      <w:r w:rsidRPr="00FA0D37">
        <w:rPr>
          <w:color w:val="993366"/>
        </w:rPr>
        <w:t>SEQUENCE</w:t>
      </w:r>
      <w:r w:rsidRPr="00FA0D37">
        <w:t xml:space="preserve"> (</w:t>
      </w:r>
      <w:r w:rsidRPr="00FA0D37">
        <w:rPr>
          <w:color w:val="993366"/>
        </w:rPr>
        <w:t>SIZE</w:t>
      </w:r>
      <w:r w:rsidRPr="00FA0D37">
        <w:t>(1..3))</w:t>
      </w:r>
      <w:r w:rsidRPr="00FA0D37">
        <w:rPr>
          <w:color w:val="993366"/>
        </w:rPr>
        <w:t xml:space="preserve"> OF</w:t>
      </w:r>
      <w:r w:rsidRPr="00FA0D37">
        <w:t xml:space="preserve"> PRS-ProcessingCapabilityOutsideMGinPPWperType-r17   </w:t>
      </w:r>
      <w:r w:rsidRPr="00FA0D37">
        <w:rPr>
          <w:color w:val="993366"/>
        </w:rPr>
        <w:t>OPTIONAL</w:t>
      </w:r>
      <w:r w:rsidRPr="00FA0D37">
        <w:t>,</w:t>
      </w:r>
    </w:p>
    <w:p w14:paraId="37099277" w14:textId="77777777" w:rsidR="00D20678" w:rsidRPr="00FA0D37" w:rsidRDefault="00D20678" w:rsidP="00FA0D37">
      <w:pPr>
        <w:pStyle w:val="PL"/>
        <w:rPr>
          <w:color w:val="808080"/>
        </w:rPr>
      </w:pPr>
      <w:r w:rsidRPr="00FA0D37">
        <w:t xml:space="preserve">    </w:t>
      </w:r>
      <w:r w:rsidRPr="00FA0D37">
        <w:rPr>
          <w:color w:val="808080"/>
        </w:rPr>
        <w:t>-- R1 27-15a: Positioning SRS transmission in RRC_INACTIVE state for initial UL BWP with semi-persistent SRS</w:t>
      </w:r>
    </w:p>
    <w:p w14:paraId="0544BC12" w14:textId="4B1DD3AF" w:rsidR="00D20678" w:rsidRPr="00FA0D37" w:rsidRDefault="00D20678" w:rsidP="00FA0D37">
      <w:pPr>
        <w:pStyle w:val="PL"/>
      </w:pPr>
      <w:r w:rsidRPr="00FA0D37">
        <w:t xml:space="preserve">    srs-SemiPersistent-PosResourcesRRC-Inactive-r17                 </w:t>
      </w:r>
      <w:r w:rsidRPr="00FA0D37">
        <w:rPr>
          <w:color w:val="993366"/>
        </w:rPr>
        <w:t>SEQUENCE</w:t>
      </w:r>
      <w:r w:rsidRPr="00FA0D37">
        <w:t xml:space="preserve"> {</w:t>
      </w:r>
    </w:p>
    <w:p w14:paraId="38EFB40A" w14:textId="2C4A5CC2" w:rsidR="00D20678" w:rsidRPr="00FA0D37" w:rsidRDefault="00D20678" w:rsidP="00FA0D37">
      <w:pPr>
        <w:pStyle w:val="PL"/>
      </w:pPr>
      <w:r w:rsidRPr="00FA0D37">
        <w:t xml:space="preserve">        maxNumOfSemiPersistentSRSposResources-r17                       </w:t>
      </w:r>
      <w:r w:rsidRPr="00FA0D37">
        <w:rPr>
          <w:color w:val="993366"/>
        </w:rPr>
        <w:t>ENUMERATED</w:t>
      </w:r>
      <w:r w:rsidRPr="00FA0D37">
        <w:t xml:space="preserve"> {n1, n2, n4, n8, n16, n32, n64},</w:t>
      </w:r>
    </w:p>
    <w:p w14:paraId="5EDAB1A2" w14:textId="167795E5" w:rsidR="00D20678" w:rsidRPr="00FA0D37" w:rsidRDefault="00D20678" w:rsidP="00FA0D37">
      <w:pPr>
        <w:pStyle w:val="PL"/>
      </w:pPr>
      <w:r w:rsidRPr="00FA0D37">
        <w:t xml:space="preserve">        maxNumOfSemiPersistentSRSposResourcesPerSlot-r17                </w:t>
      </w:r>
      <w:r w:rsidRPr="00FA0D37">
        <w:rPr>
          <w:color w:val="993366"/>
        </w:rPr>
        <w:t>ENUMERATED</w:t>
      </w:r>
      <w:r w:rsidRPr="00FA0D37">
        <w:t xml:space="preserve"> {n1, n2, n3, n4, n5, n6, n8, n10, n12, n14}</w:t>
      </w:r>
    </w:p>
    <w:p w14:paraId="06DD7111" w14:textId="2216D81F" w:rsidR="00D20678" w:rsidRPr="00FA0D37" w:rsidRDefault="00D20678" w:rsidP="00FA0D37">
      <w:pPr>
        <w:pStyle w:val="PL"/>
      </w:pPr>
      <w:r w:rsidRPr="00FA0D37">
        <w:t xml:space="preserve">    }                                                                                                                          </w:t>
      </w:r>
      <w:r w:rsidRPr="00FA0D37">
        <w:rPr>
          <w:color w:val="993366"/>
        </w:rPr>
        <w:t>OPTIONAL</w:t>
      </w:r>
      <w:r w:rsidRPr="00FA0D37">
        <w:t>,</w:t>
      </w:r>
    </w:p>
    <w:p w14:paraId="78474B26" w14:textId="4FA85880" w:rsidR="00D20678" w:rsidRPr="00FA0D37" w:rsidRDefault="00D20678" w:rsidP="00FA0D37">
      <w:pPr>
        <w:pStyle w:val="PL"/>
        <w:rPr>
          <w:color w:val="808080"/>
        </w:rPr>
      </w:pPr>
      <w:r w:rsidRPr="00FA0D37">
        <w:t xml:space="preserve">    </w:t>
      </w:r>
      <w:r w:rsidRPr="00FA0D37">
        <w:rPr>
          <w:color w:val="808080"/>
        </w:rPr>
        <w:t>-- R2: UE support of CBW for 120kHz SCS</w:t>
      </w:r>
    </w:p>
    <w:p w14:paraId="621AF6ED" w14:textId="68F39D10" w:rsidR="00D20678" w:rsidRPr="00FA0D37" w:rsidRDefault="00D20678" w:rsidP="00FA0D37">
      <w:pPr>
        <w:pStyle w:val="PL"/>
      </w:pPr>
      <w:r w:rsidRPr="00FA0D37">
        <w:t xml:space="preserve">    channelBWs-DL-SCS-120kHz-FR2-2-r17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Pr="00FA0D37">
        <w:rPr>
          <w:color w:val="993366"/>
        </w:rPr>
        <w:t>OPTIONAL</w:t>
      </w:r>
      <w:r w:rsidRPr="00FA0D37">
        <w:t>,</w:t>
      </w:r>
    </w:p>
    <w:p w14:paraId="3F7FC155" w14:textId="08617068" w:rsidR="00D20678" w:rsidRPr="00FA0D37" w:rsidRDefault="00D20678" w:rsidP="00FA0D37">
      <w:pPr>
        <w:pStyle w:val="PL"/>
      </w:pPr>
      <w:r w:rsidRPr="00FA0D37">
        <w:t xml:space="preserve">    channelBWs-UL-SCS-120kHz-FR2-2-r17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(8))                                      </w:t>
      </w:r>
      <w:r w:rsidRPr="00FA0D37">
        <w:rPr>
          <w:color w:val="993366"/>
        </w:rPr>
        <w:t>OPTIONAL</w:t>
      </w:r>
    </w:p>
    <w:p w14:paraId="136A0E0E" w14:textId="772F9EB7" w:rsidR="00691952" w:rsidRPr="00FA0D37" w:rsidRDefault="00D20678" w:rsidP="00FA0D37">
      <w:pPr>
        <w:pStyle w:val="PL"/>
      </w:pPr>
      <w:r w:rsidRPr="00FA0D37">
        <w:t xml:space="preserve">    ]]</w:t>
      </w:r>
      <w:r w:rsidR="00691952" w:rsidRPr="00FA0D37">
        <w:t>,</w:t>
      </w:r>
    </w:p>
    <w:p w14:paraId="66A9DD64" w14:textId="1B071922" w:rsidR="00691952" w:rsidRPr="00FA0D37" w:rsidRDefault="00691952" w:rsidP="00FA0D37">
      <w:pPr>
        <w:pStyle w:val="PL"/>
      </w:pPr>
      <w:r w:rsidRPr="00FA0D37">
        <w:t xml:space="preserve">    [[</w:t>
      </w:r>
    </w:p>
    <w:p w14:paraId="1D9F28E9" w14:textId="099F7E41" w:rsidR="00691952" w:rsidRPr="00FA0D37" w:rsidRDefault="00691952" w:rsidP="00FA0D37">
      <w:pPr>
        <w:pStyle w:val="PL"/>
        <w:rPr>
          <w:color w:val="808080"/>
        </w:rPr>
      </w:pPr>
      <w:r w:rsidRPr="00FA0D37">
        <w:t xml:space="preserve">    </w:t>
      </w:r>
      <w:r w:rsidRPr="00FA0D37">
        <w:rPr>
          <w:color w:val="808080"/>
        </w:rPr>
        <w:t>-- R1 30-4a: DM-RS bundling for PUSCH repetition type A</w:t>
      </w:r>
    </w:p>
    <w:p w14:paraId="7DF1357A" w14:textId="3E6F75C3" w:rsidR="00691952" w:rsidRPr="00FA0D37" w:rsidRDefault="00691952" w:rsidP="00FA0D37">
      <w:pPr>
        <w:pStyle w:val="PL"/>
      </w:pPr>
      <w:r w:rsidRPr="00FA0D37">
        <w:t xml:space="preserve">    dmrs-BundlingPUSCH-RepTypeA-r17                                 </w:t>
      </w:r>
      <w:r w:rsidRPr="00FA0D37">
        <w:rPr>
          <w:color w:val="993366"/>
        </w:rPr>
        <w:t>ENUMERATED</w:t>
      </w:r>
      <w:r w:rsidRPr="00FA0D37">
        <w:t xml:space="preserve"> {supported}                                     </w:t>
      </w:r>
      <w:r w:rsidRPr="00FA0D37">
        <w:rPr>
          <w:color w:val="993366"/>
        </w:rPr>
        <w:t>OPTIONAL</w:t>
      </w:r>
      <w:r w:rsidRPr="00FA0D37">
        <w:t>,</w:t>
      </w:r>
    </w:p>
    <w:p w14:paraId="299D8A6C" w14:textId="097082F7" w:rsidR="00691952" w:rsidRPr="00FA0D37" w:rsidRDefault="00691952" w:rsidP="00FA0D37">
      <w:pPr>
        <w:pStyle w:val="PL"/>
        <w:rPr>
          <w:color w:val="808080"/>
        </w:rPr>
      </w:pPr>
      <w:r w:rsidRPr="00FA0D37">
        <w:t xml:space="preserve">    </w:t>
      </w:r>
      <w:r w:rsidRPr="00FA0D37">
        <w:rPr>
          <w:color w:val="808080"/>
        </w:rPr>
        <w:t>-- R1 30-4b: DM-RS bundling for PUSCH repetition type B</w:t>
      </w:r>
    </w:p>
    <w:p w14:paraId="1BD429E1" w14:textId="70028E30" w:rsidR="00691952" w:rsidRPr="00FA0D37" w:rsidRDefault="00691952" w:rsidP="00FA0D37">
      <w:pPr>
        <w:pStyle w:val="PL"/>
      </w:pPr>
      <w:r w:rsidRPr="00FA0D37">
        <w:t xml:space="preserve">    dmrs-BundlingPUSCH-RepTypeB-r17                                 </w:t>
      </w:r>
      <w:r w:rsidRPr="00FA0D37">
        <w:rPr>
          <w:color w:val="993366"/>
        </w:rPr>
        <w:t>ENUMERATED</w:t>
      </w:r>
      <w:r w:rsidRPr="00FA0D37">
        <w:t xml:space="preserve"> {supported}                                     </w:t>
      </w:r>
      <w:r w:rsidRPr="00FA0D37">
        <w:rPr>
          <w:color w:val="993366"/>
        </w:rPr>
        <w:t>OPTIONAL</w:t>
      </w:r>
      <w:r w:rsidRPr="00FA0D37">
        <w:t>,</w:t>
      </w:r>
    </w:p>
    <w:p w14:paraId="35574BA5" w14:textId="3BACBAE4" w:rsidR="00691952" w:rsidRPr="00FA0D37" w:rsidRDefault="00691952" w:rsidP="00FA0D37">
      <w:pPr>
        <w:pStyle w:val="PL"/>
        <w:rPr>
          <w:color w:val="808080"/>
        </w:rPr>
      </w:pPr>
      <w:r w:rsidRPr="00FA0D37">
        <w:t xml:space="preserve">    </w:t>
      </w:r>
      <w:r w:rsidRPr="00FA0D37">
        <w:rPr>
          <w:color w:val="808080"/>
        </w:rPr>
        <w:t>-- R1 30-4c: DM-RS bundling for TB processing over multi-slot PUSCH</w:t>
      </w:r>
    </w:p>
    <w:p w14:paraId="70FDC78A" w14:textId="6F06BE3C" w:rsidR="00691952" w:rsidRPr="00FA0D37" w:rsidRDefault="00691952" w:rsidP="00FA0D37">
      <w:pPr>
        <w:pStyle w:val="PL"/>
      </w:pPr>
      <w:r w:rsidRPr="00FA0D37">
        <w:t xml:space="preserve">    dmrs-BundlingPUSCH-multiSlot-r17                                </w:t>
      </w:r>
      <w:r w:rsidRPr="00FA0D37">
        <w:rPr>
          <w:color w:val="993366"/>
        </w:rPr>
        <w:t>ENUMERATED</w:t>
      </w:r>
      <w:r w:rsidRPr="00FA0D37">
        <w:t xml:space="preserve"> {supported}                                     </w:t>
      </w:r>
      <w:r w:rsidRPr="00FA0D37">
        <w:rPr>
          <w:color w:val="993366"/>
        </w:rPr>
        <w:t>OPTIONAL</w:t>
      </w:r>
      <w:r w:rsidRPr="00FA0D37">
        <w:t>,</w:t>
      </w:r>
    </w:p>
    <w:p w14:paraId="52DCE7BA" w14:textId="2F66BE78" w:rsidR="00691952" w:rsidRPr="00FA0D37" w:rsidRDefault="00691952" w:rsidP="00FA0D37">
      <w:pPr>
        <w:pStyle w:val="PL"/>
        <w:rPr>
          <w:color w:val="808080"/>
        </w:rPr>
      </w:pPr>
      <w:r w:rsidRPr="00FA0D37">
        <w:t xml:space="preserve">    </w:t>
      </w:r>
      <w:r w:rsidRPr="00FA0D37">
        <w:rPr>
          <w:color w:val="808080"/>
        </w:rPr>
        <w:t>-- R1 30-4d: DMRS bundling for PUCCH repetitions</w:t>
      </w:r>
    </w:p>
    <w:p w14:paraId="7FB2A84D" w14:textId="52090F7C" w:rsidR="00691952" w:rsidRPr="00FA0D37" w:rsidRDefault="00691952" w:rsidP="00FA0D37">
      <w:pPr>
        <w:pStyle w:val="PL"/>
      </w:pPr>
      <w:r w:rsidRPr="00FA0D37">
        <w:t xml:space="preserve">    dmrs-BundlingPUCCH-Rep-r17                                      </w:t>
      </w:r>
      <w:r w:rsidRPr="00FA0D37">
        <w:rPr>
          <w:color w:val="993366"/>
        </w:rPr>
        <w:t>ENUMERATED</w:t>
      </w:r>
      <w:r w:rsidRPr="00FA0D37">
        <w:t xml:space="preserve"> {supported}                                     </w:t>
      </w:r>
      <w:r w:rsidRPr="00FA0D37">
        <w:rPr>
          <w:color w:val="993366"/>
        </w:rPr>
        <w:t>OPTIONAL</w:t>
      </w:r>
      <w:r w:rsidRPr="00FA0D37">
        <w:t>,</w:t>
      </w:r>
    </w:p>
    <w:p w14:paraId="03EF9B18" w14:textId="6637DBE4" w:rsidR="00691952" w:rsidRPr="00FA0D37" w:rsidRDefault="00691952" w:rsidP="00FA0D37">
      <w:pPr>
        <w:pStyle w:val="PL"/>
        <w:rPr>
          <w:color w:val="808080"/>
        </w:rPr>
      </w:pPr>
      <w:r w:rsidRPr="00FA0D37">
        <w:t xml:space="preserve">    </w:t>
      </w:r>
      <w:r w:rsidRPr="00FA0D37">
        <w:rPr>
          <w:color w:val="808080"/>
        </w:rPr>
        <w:t>-- R1 30-4e: Enhanced inter-slot frequency hopping with inter-slot bundling for PUSCH</w:t>
      </w:r>
    </w:p>
    <w:p w14:paraId="1A1DAAC8" w14:textId="0C56A39A" w:rsidR="00691952" w:rsidRPr="00FA0D37" w:rsidRDefault="00691952" w:rsidP="00FA0D37">
      <w:pPr>
        <w:pStyle w:val="PL"/>
      </w:pPr>
      <w:r w:rsidRPr="00FA0D37">
        <w:t xml:space="preserve">    interSlotFreqHopInterSlotBundlingPUSCH-r17                      </w:t>
      </w:r>
      <w:r w:rsidRPr="00FA0D37">
        <w:rPr>
          <w:color w:val="993366"/>
        </w:rPr>
        <w:t>ENUMERATED</w:t>
      </w:r>
      <w:r w:rsidRPr="00FA0D37">
        <w:t xml:space="preserve"> {supported}                                     </w:t>
      </w:r>
      <w:r w:rsidRPr="00FA0D37">
        <w:rPr>
          <w:color w:val="993366"/>
        </w:rPr>
        <w:t>OPTIONAL</w:t>
      </w:r>
      <w:r w:rsidRPr="00FA0D37">
        <w:t>,</w:t>
      </w:r>
    </w:p>
    <w:p w14:paraId="7F2D83EF" w14:textId="5307EA22" w:rsidR="00691952" w:rsidRPr="00FA0D37" w:rsidRDefault="00691952" w:rsidP="00FA0D37">
      <w:pPr>
        <w:pStyle w:val="PL"/>
        <w:rPr>
          <w:color w:val="808080"/>
        </w:rPr>
      </w:pPr>
      <w:r w:rsidRPr="00FA0D37">
        <w:t xml:space="preserve">    </w:t>
      </w:r>
      <w:r w:rsidRPr="00FA0D37">
        <w:rPr>
          <w:color w:val="808080"/>
        </w:rPr>
        <w:t>-- R1 30-4f: Enhanced inter-slot frequency hopping for PUCCH repetitions with DMRS bundling</w:t>
      </w:r>
    </w:p>
    <w:p w14:paraId="102B5A65" w14:textId="39144F60" w:rsidR="00691952" w:rsidRPr="00FA0D37" w:rsidRDefault="00691952" w:rsidP="00FA0D37">
      <w:pPr>
        <w:pStyle w:val="PL"/>
      </w:pPr>
      <w:r w:rsidRPr="00FA0D37">
        <w:t xml:space="preserve">    interSlotFreqHopPUCCH-r17                                       </w:t>
      </w:r>
      <w:r w:rsidRPr="00FA0D37">
        <w:rPr>
          <w:color w:val="993366"/>
        </w:rPr>
        <w:t>ENUMERATED</w:t>
      </w:r>
      <w:r w:rsidRPr="00FA0D37">
        <w:t xml:space="preserve"> {supported}                                     </w:t>
      </w:r>
      <w:r w:rsidRPr="00FA0D37">
        <w:rPr>
          <w:color w:val="993366"/>
        </w:rPr>
        <w:t>OPTIONAL</w:t>
      </w:r>
      <w:r w:rsidRPr="00FA0D37">
        <w:t>,</w:t>
      </w:r>
    </w:p>
    <w:p w14:paraId="6A377DD3" w14:textId="3C92FDDA" w:rsidR="00691952" w:rsidRPr="00FA0D37" w:rsidRDefault="00691952" w:rsidP="00FA0D37">
      <w:pPr>
        <w:pStyle w:val="PL"/>
        <w:rPr>
          <w:color w:val="808080"/>
        </w:rPr>
      </w:pPr>
      <w:r w:rsidRPr="00FA0D37">
        <w:t xml:space="preserve">    </w:t>
      </w:r>
      <w:r w:rsidRPr="00FA0D37">
        <w:rPr>
          <w:color w:val="808080"/>
        </w:rPr>
        <w:t>-- R1 30-4g: Restart DM-RS bundling</w:t>
      </w:r>
    </w:p>
    <w:p w14:paraId="6DE2FD23" w14:textId="59561242" w:rsidR="00691952" w:rsidRPr="00FA0D37" w:rsidRDefault="00691952" w:rsidP="00FA0D37">
      <w:pPr>
        <w:pStyle w:val="PL"/>
      </w:pPr>
      <w:r w:rsidRPr="00FA0D37">
        <w:t xml:space="preserve">    dmrs-BundlingRestart-r17                                        </w:t>
      </w:r>
      <w:r w:rsidRPr="00FA0D37">
        <w:rPr>
          <w:color w:val="993366"/>
        </w:rPr>
        <w:t>ENUMERATED</w:t>
      </w:r>
      <w:r w:rsidRPr="00FA0D37">
        <w:t xml:space="preserve"> {supported}                                     </w:t>
      </w:r>
      <w:r w:rsidRPr="00FA0D37">
        <w:rPr>
          <w:color w:val="993366"/>
        </w:rPr>
        <w:t>OPTIONAL</w:t>
      </w:r>
      <w:r w:rsidRPr="00FA0D37">
        <w:t>,</w:t>
      </w:r>
    </w:p>
    <w:p w14:paraId="381620BA" w14:textId="28078CE7" w:rsidR="00691952" w:rsidRPr="00FA0D37" w:rsidRDefault="00691952" w:rsidP="00FA0D37">
      <w:pPr>
        <w:pStyle w:val="PL"/>
        <w:rPr>
          <w:color w:val="808080"/>
        </w:rPr>
      </w:pPr>
      <w:r w:rsidRPr="00FA0D37">
        <w:t xml:space="preserve">    </w:t>
      </w:r>
      <w:r w:rsidRPr="00FA0D37">
        <w:rPr>
          <w:color w:val="808080"/>
        </w:rPr>
        <w:t>-- R1 30-4h: DM-RS bundling for non-back-to-back transmission</w:t>
      </w:r>
    </w:p>
    <w:p w14:paraId="43F24089" w14:textId="329FDF10" w:rsidR="00691952" w:rsidRPr="00FA0D37" w:rsidRDefault="00691952" w:rsidP="00FA0D37">
      <w:pPr>
        <w:pStyle w:val="PL"/>
      </w:pPr>
      <w:r w:rsidRPr="00FA0D37">
        <w:t xml:space="preserve">    dmrs-BundlingNonBackToBackTX-r17                                </w:t>
      </w:r>
      <w:r w:rsidRPr="00FA0D37">
        <w:rPr>
          <w:color w:val="993366"/>
        </w:rPr>
        <w:t>ENUMERATED</w:t>
      </w:r>
      <w:r w:rsidRPr="00FA0D37">
        <w:t xml:space="preserve"> {supported}                                     </w:t>
      </w:r>
      <w:r w:rsidRPr="00FA0D37">
        <w:rPr>
          <w:color w:val="993366"/>
        </w:rPr>
        <w:t>OPTIONAL</w:t>
      </w:r>
    </w:p>
    <w:p w14:paraId="109D7892" w14:textId="326CD102" w:rsidR="00DD3B63" w:rsidRPr="00FA0D37" w:rsidRDefault="00691952" w:rsidP="00FA0D37">
      <w:pPr>
        <w:pStyle w:val="PL"/>
      </w:pPr>
      <w:r w:rsidRPr="00FA0D37">
        <w:lastRenderedPageBreak/>
        <w:t xml:space="preserve">    ]]</w:t>
      </w:r>
      <w:r w:rsidR="00DD3B63" w:rsidRPr="00FA0D37">
        <w:t>,</w:t>
      </w:r>
    </w:p>
    <w:p w14:paraId="04272EC4" w14:textId="4813904D" w:rsidR="00DD3B63" w:rsidRPr="00FA0D37" w:rsidRDefault="00DD3B63" w:rsidP="00FA0D37">
      <w:pPr>
        <w:pStyle w:val="PL"/>
      </w:pPr>
      <w:r w:rsidRPr="00FA0D37">
        <w:t xml:space="preserve">    [[</w:t>
      </w:r>
    </w:p>
    <w:p w14:paraId="6E39D1BE" w14:textId="77777777" w:rsidR="00DD3B63" w:rsidRPr="00FA0D37" w:rsidRDefault="00DD3B63" w:rsidP="00FA0D37">
      <w:pPr>
        <w:pStyle w:val="PL"/>
        <w:rPr>
          <w:color w:val="808080"/>
        </w:rPr>
      </w:pPr>
      <w:r w:rsidRPr="00FA0D37">
        <w:t xml:space="preserve">    </w:t>
      </w:r>
      <w:r w:rsidRPr="00FA0D37">
        <w:rPr>
          <w:color w:val="808080"/>
        </w:rPr>
        <w:t>-- R1 33-5-1e: Dynamic Slot-level repetition for SPS group-common PDSCH for multicast</w:t>
      </w:r>
    </w:p>
    <w:p w14:paraId="3B305D3C" w14:textId="02A090F3" w:rsidR="00DD3B63" w:rsidRPr="00FA0D37" w:rsidRDefault="00DD3B63" w:rsidP="00FA0D37">
      <w:pPr>
        <w:pStyle w:val="PL"/>
      </w:pPr>
      <w:r w:rsidRPr="00FA0D37">
        <w:t xml:space="preserve">    maxDynamicSlotRepetitionForSPS-Multicast-r17                    </w:t>
      </w:r>
      <w:r w:rsidRPr="00FA0D37">
        <w:rPr>
          <w:color w:val="993366"/>
        </w:rPr>
        <w:t>ENUMERATED</w:t>
      </w:r>
      <w:r w:rsidRPr="00FA0D37">
        <w:t xml:space="preserve"> {n8, n16}                                       </w:t>
      </w:r>
      <w:r w:rsidRPr="00FA0D37">
        <w:rPr>
          <w:color w:val="993366"/>
        </w:rPr>
        <w:t>OPTIONAL</w:t>
      </w:r>
      <w:r w:rsidRPr="00FA0D37">
        <w:t>,</w:t>
      </w:r>
    </w:p>
    <w:p w14:paraId="4975A056" w14:textId="77777777" w:rsidR="00DD3B63" w:rsidRPr="00FA0D37" w:rsidRDefault="00DD3B63" w:rsidP="00FA0D37">
      <w:pPr>
        <w:pStyle w:val="PL"/>
        <w:rPr>
          <w:color w:val="808080"/>
        </w:rPr>
      </w:pPr>
      <w:r w:rsidRPr="00FA0D37">
        <w:t xml:space="preserve">    </w:t>
      </w:r>
      <w:r w:rsidRPr="00FA0D37">
        <w:rPr>
          <w:color w:val="808080"/>
        </w:rPr>
        <w:t>-- R1 33-5-1g: DCI-based enabling/disabling NACK-only based feedback for SPS group-common PDSCH for multicast</w:t>
      </w:r>
    </w:p>
    <w:p w14:paraId="4094DF67" w14:textId="4B253678" w:rsidR="00DD3B63" w:rsidRPr="00FA0D37" w:rsidRDefault="00DD3B63" w:rsidP="00FA0D37">
      <w:pPr>
        <w:pStyle w:val="PL"/>
      </w:pPr>
      <w:r w:rsidRPr="00FA0D37">
        <w:t xml:space="preserve">    nack-OnlyFeedbackForSPS-MulticastWithDCI-Enabler-r17            </w:t>
      </w:r>
      <w:r w:rsidRPr="00FA0D37">
        <w:rPr>
          <w:color w:val="993366"/>
        </w:rPr>
        <w:t>ENUMERATED</w:t>
      </w:r>
      <w:r w:rsidRPr="00FA0D37">
        <w:t xml:space="preserve"> {supported}                                     </w:t>
      </w:r>
      <w:r w:rsidRPr="00FA0D37">
        <w:rPr>
          <w:color w:val="993366"/>
        </w:rPr>
        <w:t>OPTIONAL</w:t>
      </w:r>
      <w:r w:rsidRPr="00FA0D37">
        <w:t>,</w:t>
      </w:r>
    </w:p>
    <w:p w14:paraId="2A4B5C4B" w14:textId="77777777" w:rsidR="00DD3B63" w:rsidRPr="00FA0D37" w:rsidRDefault="00DD3B63" w:rsidP="00FA0D37">
      <w:pPr>
        <w:pStyle w:val="PL"/>
        <w:rPr>
          <w:color w:val="808080"/>
        </w:rPr>
      </w:pPr>
      <w:r w:rsidRPr="00FA0D37">
        <w:t xml:space="preserve">    </w:t>
      </w:r>
      <w:r w:rsidRPr="00FA0D37">
        <w:rPr>
          <w:color w:val="808080"/>
        </w:rPr>
        <w:t>-- R1 33-5-1i: Multicast SPS scheduling with DCI format 4_2</w:t>
      </w:r>
    </w:p>
    <w:p w14:paraId="282075F9" w14:textId="0EDFBA65" w:rsidR="00DD3B63" w:rsidRPr="00FA0D37" w:rsidRDefault="00DD3B63" w:rsidP="00FA0D37">
      <w:pPr>
        <w:pStyle w:val="PL"/>
      </w:pPr>
      <w:r w:rsidRPr="00FA0D37">
        <w:t xml:space="preserve">    sps-MulticastDCI-Format4-2-r17                                  </w:t>
      </w:r>
      <w:r w:rsidRPr="00FA0D37">
        <w:rPr>
          <w:color w:val="993366"/>
        </w:rPr>
        <w:t>ENUMERATED</w:t>
      </w:r>
      <w:r w:rsidRPr="00FA0D37">
        <w:t xml:space="preserve"> {supported}                                     </w:t>
      </w:r>
      <w:r w:rsidRPr="00FA0D37">
        <w:rPr>
          <w:color w:val="993366"/>
        </w:rPr>
        <w:t>OPTIONAL</w:t>
      </w:r>
      <w:r w:rsidRPr="00FA0D37">
        <w:t>,</w:t>
      </w:r>
    </w:p>
    <w:p w14:paraId="005AAB4D" w14:textId="77777777" w:rsidR="00DD3B63" w:rsidRPr="00FA0D37" w:rsidRDefault="00DD3B63" w:rsidP="00FA0D37">
      <w:pPr>
        <w:pStyle w:val="PL"/>
        <w:rPr>
          <w:color w:val="808080"/>
        </w:rPr>
      </w:pPr>
      <w:r w:rsidRPr="00FA0D37">
        <w:t xml:space="preserve">    </w:t>
      </w:r>
      <w:r w:rsidRPr="00FA0D37">
        <w:rPr>
          <w:color w:val="808080"/>
        </w:rPr>
        <w:t>-- R1 33-5-2: Multiple SPS group-common PDSCH configuration on PCell</w:t>
      </w:r>
    </w:p>
    <w:p w14:paraId="316A5448" w14:textId="7302E0FA" w:rsidR="00DD3B63" w:rsidRPr="00FA0D37" w:rsidRDefault="00DD3B63" w:rsidP="00FA0D37">
      <w:pPr>
        <w:pStyle w:val="PL"/>
      </w:pPr>
      <w:r w:rsidRPr="00FA0D37">
        <w:t xml:space="preserve">    sps-MulticastMultiConfig-r17                                    </w:t>
      </w:r>
      <w:r w:rsidRPr="00FA0D37">
        <w:rPr>
          <w:color w:val="993366"/>
        </w:rPr>
        <w:t>INTEGER</w:t>
      </w:r>
      <w:r w:rsidRPr="00FA0D37">
        <w:t xml:space="preserve"> (1..8)                                             </w:t>
      </w:r>
      <w:r w:rsidRPr="00FA0D37">
        <w:rPr>
          <w:color w:val="993366"/>
        </w:rPr>
        <w:t>OPTIONAL</w:t>
      </w:r>
      <w:r w:rsidRPr="00FA0D37">
        <w:t>,</w:t>
      </w:r>
    </w:p>
    <w:p w14:paraId="5730278C" w14:textId="77777777" w:rsidR="00DD3B63" w:rsidRPr="00FA0D37" w:rsidRDefault="00DD3B63" w:rsidP="00FA0D37">
      <w:pPr>
        <w:pStyle w:val="PL"/>
        <w:rPr>
          <w:color w:val="808080"/>
        </w:rPr>
      </w:pPr>
      <w:r w:rsidRPr="00FA0D37">
        <w:t xml:space="preserve">    </w:t>
      </w:r>
      <w:r w:rsidRPr="00FA0D37">
        <w:rPr>
          <w:color w:val="808080"/>
        </w:rPr>
        <w:t>-- R1 33-6-1: DL priority indication for multicast in DCI</w:t>
      </w:r>
    </w:p>
    <w:p w14:paraId="6D6A0278" w14:textId="2274675D" w:rsidR="00DD3B63" w:rsidRPr="00FA0D37" w:rsidRDefault="00DD3B63" w:rsidP="00FA0D37">
      <w:pPr>
        <w:pStyle w:val="PL"/>
      </w:pPr>
      <w:r w:rsidRPr="00FA0D37">
        <w:t xml:space="preserve">    priorityIndicatorInDCI-Multicast-r17                            </w:t>
      </w:r>
      <w:r w:rsidRPr="00FA0D37">
        <w:rPr>
          <w:color w:val="993366"/>
        </w:rPr>
        <w:t>ENUMERATED</w:t>
      </w:r>
      <w:r w:rsidRPr="00FA0D37">
        <w:t xml:space="preserve"> {supported}                                     </w:t>
      </w:r>
      <w:r w:rsidRPr="00FA0D37">
        <w:rPr>
          <w:color w:val="993366"/>
        </w:rPr>
        <w:t>OPTIONAL</w:t>
      </w:r>
      <w:r w:rsidRPr="00FA0D37">
        <w:t>,</w:t>
      </w:r>
    </w:p>
    <w:p w14:paraId="16EDA2EB" w14:textId="77777777" w:rsidR="00DD3B63" w:rsidRPr="00FA0D37" w:rsidRDefault="00DD3B63" w:rsidP="00FA0D37">
      <w:pPr>
        <w:pStyle w:val="PL"/>
        <w:rPr>
          <w:color w:val="808080"/>
        </w:rPr>
      </w:pPr>
      <w:r w:rsidRPr="00FA0D37">
        <w:t xml:space="preserve">    </w:t>
      </w:r>
      <w:r w:rsidRPr="00FA0D37">
        <w:rPr>
          <w:color w:val="808080"/>
        </w:rPr>
        <w:t>-- R1 33-6-1a: DL priority configuration for SPS multicast</w:t>
      </w:r>
    </w:p>
    <w:p w14:paraId="358FC572" w14:textId="12D118B2" w:rsidR="00DD3B63" w:rsidRPr="00FA0D37" w:rsidRDefault="00DD3B63" w:rsidP="00FA0D37">
      <w:pPr>
        <w:pStyle w:val="PL"/>
      </w:pPr>
      <w:r w:rsidRPr="00FA0D37">
        <w:t xml:space="preserve">    priorityIndicatorInDCI-SPS-Multicast-r17                        </w:t>
      </w:r>
      <w:r w:rsidRPr="00FA0D37">
        <w:rPr>
          <w:color w:val="993366"/>
        </w:rPr>
        <w:t>ENUMERATED</w:t>
      </w:r>
      <w:r w:rsidRPr="00FA0D37">
        <w:t xml:space="preserve"> {supported}                                     </w:t>
      </w:r>
      <w:r w:rsidRPr="00FA0D37">
        <w:rPr>
          <w:color w:val="993366"/>
        </w:rPr>
        <w:t>OPTIONAL</w:t>
      </w:r>
      <w:r w:rsidRPr="00FA0D37">
        <w:t>,</w:t>
      </w:r>
    </w:p>
    <w:p w14:paraId="67968978" w14:textId="77777777" w:rsidR="00DD3B63" w:rsidRPr="00FA0D37" w:rsidRDefault="00DD3B63" w:rsidP="00FA0D37">
      <w:pPr>
        <w:pStyle w:val="PL"/>
        <w:rPr>
          <w:color w:val="808080"/>
        </w:rPr>
      </w:pPr>
      <w:r w:rsidRPr="00FA0D37">
        <w:t xml:space="preserve">    </w:t>
      </w:r>
      <w:r w:rsidRPr="00FA0D37">
        <w:rPr>
          <w:color w:val="808080"/>
        </w:rPr>
        <w:t>-- R1 33-6-2: Two HARQ-ACK codebooks simultaneously constructed for supporting HARQ-ACK codebooks with different priorities</w:t>
      </w:r>
    </w:p>
    <w:p w14:paraId="15249F62" w14:textId="77777777" w:rsidR="00DD3B63" w:rsidRPr="00FA0D37" w:rsidRDefault="00DD3B63" w:rsidP="00FA0D37">
      <w:pPr>
        <w:pStyle w:val="PL"/>
        <w:rPr>
          <w:color w:val="808080"/>
        </w:rPr>
      </w:pPr>
      <w:r w:rsidRPr="00FA0D37">
        <w:t xml:space="preserve">    </w:t>
      </w:r>
      <w:r w:rsidRPr="00FA0D37">
        <w:rPr>
          <w:color w:val="808080"/>
        </w:rPr>
        <w:t>-- for unicast and multicast at a UE</w:t>
      </w:r>
    </w:p>
    <w:p w14:paraId="39031D76" w14:textId="29EFDC9A" w:rsidR="00DD3B63" w:rsidRPr="00FA0D37" w:rsidRDefault="00DD3B63" w:rsidP="00FA0D37">
      <w:pPr>
        <w:pStyle w:val="PL"/>
      </w:pPr>
      <w:r w:rsidRPr="00FA0D37">
        <w:t xml:space="preserve">    twoHARQ-ACK-CodebookForUnicastAndMulticast-r17                  </w:t>
      </w:r>
      <w:r w:rsidRPr="00FA0D37">
        <w:rPr>
          <w:color w:val="993366"/>
        </w:rPr>
        <w:t>ENUMERATED</w:t>
      </w:r>
      <w:r w:rsidRPr="00FA0D37">
        <w:t xml:space="preserve"> {supported}                                     </w:t>
      </w:r>
      <w:r w:rsidRPr="00FA0D37">
        <w:rPr>
          <w:color w:val="993366"/>
        </w:rPr>
        <w:t>OPTIONAL</w:t>
      </w:r>
      <w:r w:rsidRPr="00FA0D37">
        <w:t>,</w:t>
      </w:r>
    </w:p>
    <w:p w14:paraId="478E0DCF" w14:textId="77777777" w:rsidR="00DD3B63" w:rsidRPr="00FA0D37" w:rsidRDefault="00DD3B63" w:rsidP="00FA0D37">
      <w:pPr>
        <w:pStyle w:val="PL"/>
        <w:rPr>
          <w:color w:val="808080"/>
        </w:rPr>
      </w:pPr>
      <w:r w:rsidRPr="00FA0D37">
        <w:t xml:space="preserve">    </w:t>
      </w:r>
      <w:r w:rsidRPr="00FA0D37">
        <w:rPr>
          <w:color w:val="808080"/>
        </w:rPr>
        <w:t>-- R1 33-6-3: More than one PUCCH for HARQ-ACK transmission for multicast or for unicast and multicast within a slot</w:t>
      </w:r>
    </w:p>
    <w:p w14:paraId="2FB4A527" w14:textId="6988BB8B" w:rsidR="00DD3B63" w:rsidRPr="00FA0D37" w:rsidRDefault="00DD3B63" w:rsidP="00FA0D37">
      <w:pPr>
        <w:pStyle w:val="PL"/>
      </w:pPr>
      <w:r w:rsidRPr="00FA0D37">
        <w:t xml:space="preserve">    multiPUCCH-HARQ-ACK-ForMulticastUnicast-r17                     </w:t>
      </w:r>
      <w:r w:rsidRPr="00FA0D37">
        <w:rPr>
          <w:color w:val="993366"/>
        </w:rPr>
        <w:t>ENUMERATED</w:t>
      </w:r>
      <w:r w:rsidRPr="00FA0D37">
        <w:t xml:space="preserve"> {supported}                                     </w:t>
      </w:r>
      <w:r w:rsidRPr="00FA0D37">
        <w:rPr>
          <w:color w:val="993366"/>
        </w:rPr>
        <w:t>OPTIONAL</w:t>
      </w:r>
      <w:r w:rsidRPr="00FA0D37">
        <w:t>,</w:t>
      </w:r>
    </w:p>
    <w:p w14:paraId="403092AC" w14:textId="77777777" w:rsidR="00DD3B63" w:rsidRPr="00FA0D37" w:rsidRDefault="00DD3B63" w:rsidP="00FA0D37">
      <w:pPr>
        <w:pStyle w:val="PL"/>
        <w:rPr>
          <w:color w:val="808080"/>
        </w:rPr>
      </w:pPr>
      <w:r w:rsidRPr="00FA0D37">
        <w:t xml:space="preserve">    </w:t>
      </w:r>
      <w:r w:rsidRPr="00FA0D37">
        <w:rPr>
          <w:color w:val="808080"/>
        </w:rPr>
        <w:t>-- R1 33-9: Supporting unicast PDCCH to release SPS group-common PDSCH</w:t>
      </w:r>
    </w:p>
    <w:p w14:paraId="2277B198" w14:textId="16621875" w:rsidR="00DD3B63" w:rsidRPr="00FA0D37" w:rsidRDefault="00DD3B63" w:rsidP="00FA0D37">
      <w:pPr>
        <w:pStyle w:val="PL"/>
      </w:pPr>
      <w:r w:rsidRPr="00FA0D37">
        <w:t xml:space="preserve">    releaseSPS-MulticastWithCS-RNTI-r17                             </w:t>
      </w:r>
      <w:r w:rsidRPr="00FA0D37">
        <w:rPr>
          <w:color w:val="993366"/>
        </w:rPr>
        <w:t>ENUMERATED</w:t>
      </w:r>
      <w:r w:rsidRPr="00FA0D37">
        <w:t xml:space="preserve"> {supported}                                     </w:t>
      </w:r>
      <w:r w:rsidRPr="00FA0D37">
        <w:rPr>
          <w:color w:val="993366"/>
        </w:rPr>
        <w:t>OPTIONAL</w:t>
      </w:r>
    </w:p>
    <w:p w14:paraId="33D4476A" w14:textId="13649D3C" w:rsidR="00EC4FE7" w:rsidRPr="00FA0D37" w:rsidRDefault="00DD3B63" w:rsidP="00FA0D37">
      <w:pPr>
        <w:pStyle w:val="PL"/>
      </w:pPr>
      <w:r w:rsidRPr="00FA0D37">
        <w:t xml:space="preserve">    ]]</w:t>
      </w:r>
    </w:p>
    <w:p w14:paraId="2C8743EB" w14:textId="06061EB2" w:rsidR="00394471" w:rsidRPr="00FA0D37" w:rsidRDefault="00394471" w:rsidP="00FA0D37">
      <w:pPr>
        <w:pStyle w:val="PL"/>
      </w:pPr>
      <w:r w:rsidRPr="00FA0D37">
        <w:t>}</w:t>
      </w:r>
    </w:p>
    <w:p w14:paraId="42EA2C27" w14:textId="77777777" w:rsidR="00632063" w:rsidRPr="00FA0D37" w:rsidRDefault="00632063" w:rsidP="00FA0D37">
      <w:pPr>
        <w:pStyle w:val="PL"/>
      </w:pPr>
    </w:p>
    <w:p w14:paraId="2CACB9C6" w14:textId="1CEB7C0A" w:rsidR="00632063" w:rsidRPr="00FA0D37" w:rsidRDefault="00632063" w:rsidP="00FA0D37">
      <w:pPr>
        <w:pStyle w:val="PL"/>
      </w:pPr>
      <w:r w:rsidRPr="00FA0D37">
        <w:t xml:space="preserve">BandNR-v16c0 ::=                                                </w:t>
      </w:r>
      <w:r w:rsidRPr="00FA0D37">
        <w:rPr>
          <w:color w:val="993366"/>
        </w:rPr>
        <w:t>SEQUENCE</w:t>
      </w:r>
      <w:r w:rsidRPr="00FA0D37">
        <w:t xml:space="preserve"> {</w:t>
      </w:r>
    </w:p>
    <w:p w14:paraId="795FA017" w14:textId="7E8500FF" w:rsidR="00632063" w:rsidRPr="00FA0D37" w:rsidRDefault="00632063" w:rsidP="00FA0D37">
      <w:pPr>
        <w:pStyle w:val="PL"/>
      </w:pPr>
      <w:r w:rsidRPr="00FA0D37">
        <w:t xml:space="preserve">    pusch-RepetitionTypeA-v16c0                                     </w:t>
      </w:r>
      <w:r w:rsidRPr="00FA0D37">
        <w:rPr>
          <w:color w:val="993366"/>
        </w:rPr>
        <w:t>ENUMERATED</w:t>
      </w:r>
      <w:r w:rsidRPr="00FA0D37">
        <w:t xml:space="preserve"> {supported}                                     </w:t>
      </w:r>
      <w:r w:rsidRPr="00FA0D37">
        <w:rPr>
          <w:color w:val="993366"/>
        </w:rPr>
        <w:t>OPTIONAL</w:t>
      </w:r>
      <w:r w:rsidRPr="00FA0D37">
        <w:t>,</w:t>
      </w:r>
    </w:p>
    <w:p w14:paraId="648D9747" w14:textId="72EECF73" w:rsidR="00632063" w:rsidRPr="00FA0D37" w:rsidRDefault="00632063" w:rsidP="00FA0D37">
      <w:pPr>
        <w:pStyle w:val="PL"/>
      </w:pPr>
      <w:r w:rsidRPr="00FA0D37">
        <w:t xml:space="preserve">    ...</w:t>
      </w:r>
    </w:p>
    <w:p w14:paraId="5C454C09" w14:textId="57269B45" w:rsidR="00394471" w:rsidRPr="00FA0D37" w:rsidRDefault="00632063" w:rsidP="00FA0D37">
      <w:pPr>
        <w:pStyle w:val="PL"/>
      </w:pPr>
      <w:r w:rsidRPr="00FA0D37">
        <w:t>}</w:t>
      </w:r>
    </w:p>
    <w:p w14:paraId="7F1F861F" w14:textId="77777777" w:rsidR="00632063" w:rsidRPr="00FA0D37" w:rsidRDefault="00632063" w:rsidP="00FA0D37">
      <w:pPr>
        <w:pStyle w:val="PL"/>
      </w:pPr>
    </w:p>
    <w:p w14:paraId="6982E1EA" w14:textId="77777777" w:rsidR="00394471" w:rsidRPr="00FA0D37" w:rsidRDefault="00394471" w:rsidP="00FA0D37">
      <w:pPr>
        <w:pStyle w:val="PL"/>
        <w:rPr>
          <w:color w:val="808080"/>
        </w:rPr>
      </w:pPr>
      <w:r w:rsidRPr="00FA0D37">
        <w:rPr>
          <w:color w:val="808080"/>
        </w:rPr>
        <w:t>-- TAG-RF-PARAMETERS-STOP</w:t>
      </w:r>
    </w:p>
    <w:p w14:paraId="5D21B662" w14:textId="77777777" w:rsidR="00394471" w:rsidRPr="00FA0D37" w:rsidRDefault="00394471" w:rsidP="00FA0D37">
      <w:pPr>
        <w:pStyle w:val="PL"/>
        <w:rPr>
          <w:color w:val="808080"/>
        </w:rPr>
      </w:pPr>
      <w:r w:rsidRPr="00FA0D37">
        <w:rPr>
          <w:color w:val="808080"/>
        </w:rPr>
        <w:t>-- ASN1STOP</w:t>
      </w:r>
    </w:p>
    <w:p w14:paraId="715EA86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6A6D2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6FCA0A" w14:textId="77777777" w:rsidR="00394471" w:rsidRPr="00FA0D37" w:rsidRDefault="00394471" w:rsidP="00964CC4">
            <w:pPr>
              <w:pStyle w:val="TAH"/>
              <w:rPr>
                <w:szCs w:val="22"/>
                <w:lang w:eastAsia="sv-SE"/>
              </w:rPr>
            </w:pPr>
            <w:r w:rsidRPr="00FA0D37">
              <w:rPr>
                <w:i/>
                <w:szCs w:val="22"/>
                <w:lang w:eastAsia="sv-SE"/>
              </w:rPr>
              <w:lastRenderedPageBreak/>
              <w:t xml:space="preserve">RF-Parameters </w:t>
            </w:r>
            <w:r w:rsidRPr="00FA0D37">
              <w:rPr>
                <w:szCs w:val="22"/>
                <w:lang w:eastAsia="sv-SE"/>
              </w:rPr>
              <w:t>field descriptions</w:t>
            </w:r>
          </w:p>
        </w:tc>
      </w:tr>
      <w:tr w:rsidR="005C7FF4" w:rsidRPr="00FA0D37" w14:paraId="05456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DCBB50" w14:textId="77777777" w:rsidR="00394471" w:rsidRPr="00FA0D37" w:rsidRDefault="00394471" w:rsidP="00964CC4">
            <w:pPr>
              <w:pStyle w:val="TAL"/>
              <w:rPr>
                <w:szCs w:val="22"/>
                <w:lang w:eastAsia="sv-SE"/>
              </w:rPr>
            </w:pPr>
            <w:r w:rsidRPr="00FA0D37">
              <w:rPr>
                <w:b/>
                <w:i/>
                <w:szCs w:val="22"/>
                <w:lang w:eastAsia="sv-SE"/>
              </w:rPr>
              <w:t>appliedFreqBandListFilter</w:t>
            </w:r>
          </w:p>
          <w:p w14:paraId="470AD2CA" w14:textId="77777777" w:rsidR="00394471" w:rsidRPr="00FA0D37" w:rsidRDefault="00394471" w:rsidP="00964CC4">
            <w:pPr>
              <w:pStyle w:val="TAL"/>
              <w:rPr>
                <w:szCs w:val="22"/>
                <w:lang w:eastAsia="sv-SE"/>
              </w:rPr>
            </w:pPr>
            <w:r w:rsidRPr="00FA0D37">
              <w:rPr>
                <w:szCs w:val="22"/>
                <w:lang w:eastAsia="sv-SE"/>
              </w:rPr>
              <w:t xml:space="preserve">In this field the UE mirrors the </w:t>
            </w:r>
            <w:r w:rsidRPr="00FA0D37">
              <w:rPr>
                <w:i/>
                <w:lang w:eastAsia="sv-SE"/>
              </w:rPr>
              <w:t>FreqBandList</w:t>
            </w:r>
            <w:r w:rsidRPr="00FA0D37">
              <w:rPr>
                <w:szCs w:val="22"/>
                <w:lang w:eastAsia="sv-SE"/>
              </w:rPr>
              <w:t xml:space="preserve"> that the NW provided in the capability enquiry, if any. The UE filtered the band combinations in the </w:t>
            </w:r>
            <w:r w:rsidRPr="00FA0D37">
              <w:rPr>
                <w:i/>
                <w:lang w:eastAsia="sv-SE"/>
              </w:rPr>
              <w:t>supportedBandCombinationList</w:t>
            </w:r>
            <w:r w:rsidRPr="00FA0D37">
              <w:rPr>
                <w:szCs w:val="22"/>
                <w:lang w:eastAsia="sv-SE"/>
              </w:rPr>
              <w:t xml:space="preserve"> in accordance with this </w:t>
            </w:r>
            <w:r w:rsidRPr="00FA0D37">
              <w:rPr>
                <w:i/>
                <w:lang w:eastAsia="sv-SE"/>
              </w:rPr>
              <w:t>appliedFreqBandListFilter</w:t>
            </w:r>
            <w:r w:rsidRPr="00FA0D37">
              <w:rPr>
                <w:szCs w:val="22"/>
                <w:lang w:eastAsia="sv-SE"/>
              </w:rPr>
              <w:t xml:space="preserve">. The UE does not include this field if the UE capability is requested by E-UTRAN and the network request includes the field </w:t>
            </w:r>
            <w:r w:rsidRPr="00FA0D37">
              <w:rPr>
                <w:i/>
                <w:szCs w:val="22"/>
                <w:lang w:eastAsia="sv-SE"/>
              </w:rPr>
              <w:t>eutra-nr-only</w:t>
            </w:r>
            <w:r w:rsidRPr="00FA0D37">
              <w:rPr>
                <w:szCs w:val="22"/>
                <w:lang w:eastAsia="sv-SE"/>
              </w:rPr>
              <w:t xml:space="preserve"> [10].</w:t>
            </w:r>
          </w:p>
        </w:tc>
      </w:tr>
      <w:tr w:rsidR="005C7FF4" w:rsidRPr="00FA0D37" w14:paraId="457CD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07F4F" w14:textId="77777777" w:rsidR="00394471" w:rsidRPr="00FA0D37" w:rsidRDefault="00394471" w:rsidP="00964CC4">
            <w:pPr>
              <w:pStyle w:val="TAL"/>
              <w:rPr>
                <w:szCs w:val="22"/>
                <w:lang w:eastAsia="sv-SE"/>
              </w:rPr>
            </w:pPr>
            <w:r w:rsidRPr="00FA0D37">
              <w:rPr>
                <w:b/>
                <w:i/>
                <w:szCs w:val="22"/>
                <w:lang w:eastAsia="sv-SE"/>
              </w:rPr>
              <w:t>supportedBandCombinationList</w:t>
            </w:r>
          </w:p>
          <w:p w14:paraId="3AF0DDE1" w14:textId="77777777" w:rsidR="00394471" w:rsidRPr="00FA0D37" w:rsidRDefault="00394471" w:rsidP="00964CC4">
            <w:pPr>
              <w:pStyle w:val="TAL"/>
              <w:rPr>
                <w:szCs w:val="22"/>
                <w:lang w:eastAsia="sv-SE"/>
              </w:rPr>
            </w:pPr>
            <w:r w:rsidRPr="00FA0D37">
              <w:rPr>
                <w:szCs w:val="22"/>
                <w:lang w:eastAsia="sv-SE"/>
              </w:rPr>
              <w:t xml:space="preserve">A list of band combinations that the UE supports for NR (and NR-DC, if requested). The </w:t>
            </w:r>
            <w:r w:rsidRPr="00FA0D37">
              <w:rPr>
                <w:i/>
                <w:szCs w:val="22"/>
                <w:lang w:eastAsia="sv-SE"/>
              </w:rPr>
              <w:t>FeatureSetCombinationId</w:t>
            </w:r>
            <w:r w:rsidRPr="00FA0D37">
              <w:rPr>
                <w:szCs w:val="22"/>
                <w:lang w:eastAsia="sv-SE"/>
              </w:rPr>
              <w:t xml:space="preserve">:s in this list refer to the </w:t>
            </w:r>
            <w:r w:rsidRPr="00FA0D37">
              <w:rPr>
                <w:i/>
                <w:szCs w:val="22"/>
                <w:lang w:eastAsia="sv-SE"/>
              </w:rPr>
              <w:t>FeatureSetCombination</w:t>
            </w:r>
            <w:r w:rsidRPr="00FA0D37">
              <w:rPr>
                <w:szCs w:val="22"/>
                <w:lang w:eastAsia="sv-SE"/>
              </w:rPr>
              <w:t xml:space="preserve"> entries in the </w:t>
            </w:r>
            <w:r w:rsidRPr="00FA0D37">
              <w:rPr>
                <w:i/>
                <w:szCs w:val="22"/>
                <w:lang w:eastAsia="sv-SE"/>
              </w:rPr>
              <w:t>featureSetCombinations</w:t>
            </w:r>
            <w:r w:rsidRPr="00FA0D37">
              <w:rPr>
                <w:szCs w:val="22"/>
                <w:lang w:eastAsia="sv-SE"/>
              </w:rPr>
              <w:t xml:space="preserve"> list in the </w:t>
            </w:r>
            <w:r w:rsidRPr="00FA0D37">
              <w:rPr>
                <w:i/>
                <w:szCs w:val="22"/>
                <w:lang w:eastAsia="sv-SE"/>
              </w:rPr>
              <w:t>UE-NR-Capability</w:t>
            </w:r>
            <w:r w:rsidRPr="00FA0D37">
              <w:rPr>
                <w:szCs w:val="22"/>
                <w:lang w:eastAsia="sv-SE"/>
              </w:rPr>
              <w:t xml:space="preserve"> IE. The UE does not include this field if the UE capability is requested by E-UTRAN and the network request includes the field </w:t>
            </w:r>
            <w:r w:rsidRPr="00FA0D37">
              <w:rPr>
                <w:i/>
                <w:szCs w:val="22"/>
                <w:lang w:eastAsia="sv-SE"/>
              </w:rPr>
              <w:t xml:space="preserve">eutra-nr-only </w:t>
            </w:r>
            <w:r w:rsidRPr="00FA0D37">
              <w:rPr>
                <w:szCs w:val="22"/>
                <w:lang w:eastAsia="sv-SE"/>
              </w:rPr>
              <w:t>[10].</w:t>
            </w:r>
          </w:p>
        </w:tc>
      </w:tr>
      <w:tr w:rsidR="005C7FF4" w:rsidRPr="00FA0D37" w14:paraId="427E1971" w14:textId="77777777" w:rsidTr="00964CC4">
        <w:tc>
          <w:tcPr>
            <w:tcW w:w="14173" w:type="dxa"/>
            <w:tcBorders>
              <w:top w:val="single" w:sz="4" w:space="0" w:color="auto"/>
              <w:left w:val="single" w:sz="4" w:space="0" w:color="auto"/>
              <w:bottom w:val="single" w:sz="4" w:space="0" w:color="auto"/>
              <w:right w:val="single" w:sz="4" w:space="0" w:color="auto"/>
            </w:tcBorders>
          </w:tcPr>
          <w:p w14:paraId="3C1CE318" w14:textId="77777777" w:rsidR="00D027C1" w:rsidRPr="00FA0D37" w:rsidRDefault="00D027C1" w:rsidP="00964CC4">
            <w:pPr>
              <w:pStyle w:val="TAL"/>
              <w:rPr>
                <w:b/>
                <w:bCs/>
                <w:i/>
                <w:iCs/>
              </w:rPr>
            </w:pPr>
            <w:r w:rsidRPr="00FA0D37">
              <w:rPr>
                <w:b/>
                <w:bCs/>
                <w:i/>
                <w:iCs/>
              </w:rPr>
              <w:t>supportedBandCombinationListSidelinkEUTRA-NR</w:t>
            </w:r>
          </w:p>
          <w:p w14:paraId="3B40DD7F" w14:textId="77777777" w:rsidR="00D027C1" w:rsidRPr="00FA0D37" w:rsidRDefault="00D027C1" w:rsidP="00964CC4">
            <w:pPr>
              <w:pStyle w:val="TAL"/>
              <w:rPr>
                <w:b/>
                <w:i/>
                <w:szCs w:val="22"/>
                <w:lang w:eastAsia="sv-SE"/>
              </w:rPr>
            </w:pPr>
            <w:r w:rsidRPr="00FA0D37">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rsidRPr="00FA0D37">
              <w:t>TS 36.331[10])</w:t>
            </w:r>
            <w:r w:rsidRPr="00FA0D37">
              <w:rPr>
                <w:szCs w:val="22"/>
                <w:lang w:eastAsia="sv-SE"/>
              </w:rPr>
              <w:t xml:space="preserve"> and the network request includes the field </w:t>
            </w:r>
            <w:r w:rsidRPr="00FA0D37">
              <w:rPr>
                <w:i/>
                <w:szCs w:val="22"/>
                <w:lang w:eastAsia="sv-SE"/>
              </w:rPr>
              <w:t>eutra-nr-only</w:t>
            </w:r>
            <w:r w:rsidRPr="00FA0D37">
              <w:rPr>
                <w:szCs w:val="22"/>
                <w:lang w:eastAsia="sv-SE"/>
              </w:rPr>
              <w:t>.</w:t>
            </w:r>
          </w:p>
        </w:tc>
      </w:tr>
      <w:tr w:rsidR="005C7FF4" w:rsidRPr="00FA0D37" w14:paraId="464956DE" w14:textId="77777777" w:rsidTr="00771058">
        <w:tc>
          <w:tcPr>
            <w:tcW w:w="14173" w:type="dxa"/>
            <w:tcBorders>
              <w:top w:val="single" w:sz="4" w:space="0" w:color="auto"/>
              <w:left w:val="single" w:sz="4" w:space="0" w:color="auto"/>
              <w:bottom w:val="single" w:sz="4" w:space="0" w:color="auto"/>
              <w:right w:val="single" w:sz="4" w:space="0" w:color="auto"/>
            </w:tcBorders>
          </w:tcPr>
          <w:p w14:paraId="6D8A4D96" w14:textId="77777777" w:rsidR="000B1FA4" w:rsidRPr="00FA0D37" w:rsidRDefault="000B1FA4" w:rsidP="000830BB">
            <w:pPr>
              <w:pStyle w:val="TAL"/>
              <w:rPr>
                <w:b/>
                <w:bCs/>
                <w:i/>
                <w:iCs/>
              </w:rPr>
            </w:pPr>
            <w:r w:rsidRPr="00FA0D37">
              <w:rPr>
                <w:b/>
                <w:bCs/>
                <w:i/>
                <w:iCs/>
              </w:rPr>
              <w:t>supportedBandCombinationListSL-NonRelayDiscovery</w:t>
            </w:r>
          </w:p>
          <w:p w14:paraId="6DCF56FF" w14:textId="541A90C3" w:rsidR="000B1FA4" w:rsidRPr="00FA0D37" w:rsidRDefault="000B1FA4" w:rsidP="000830BB">
            <w:pPr>
              <w:pStyle w:val="TAL"/>
            </w:pPr>
            <w:r w:rsidRPr="00FA0D37">
              <w:rPr>
                <w:szCs w:val="22"/>
                <w:lang w:eastAsia="sv-SE"/>
              </w:rPr>
              <w:t>A list of band combinations that the UE supports for NR sidelink non-relay discovery.</w:t>
            </w:r>
            <w:r w:rsidR="005F6633" w:rsidRPr="00FA0D37">
              <w:rPr>
                <w:szCs w:val="22"/>
                <w:lang w:eastAsia="sv-SE"/>
              </w:rPr>
              <w:t xml:space="preserve"> The encoding is defined in PC5 </w:t>
            </w:r>
            <w:r w:rsidR="005F6633" w:rsidRPr="00FA0D37">
              <w:rPr>
                <w:i/>
                <w:iCs/>
                <w:szCs w:val="22"/>
                <w:lang w:eastAsia="sv-SE"/>
              </w:rPr>
              <w:t>BandCombinationListSidelinkNR-r16.</w:t>
            </w:r>
          </w:p>
        </w:tc>
      </w:tr>
      <w:tr w:rsidR="005C7FF4" w:rsidRPr="00FA0D37" w14:paraId="41229495" w14:textId="77777777" w:rsidTr="00771058">
        <w:tc>
          <w:tcPr>
            <w:tcW w:w="14173" w:type="dxa"/>
            <w:tcBorders>
              <w:top w:val="single" w:sz="4" w:space="0" w:color="auto"/>
              <w:left w:val="single" w:sz="4" w:space="0" w:color="auto"/>
              <w:bottom w:val="single" w:sz="4" w:space="0" w:color="auto"/>
              <w:right w:val="single" w:sz="4" w:space="0" w:color="auto"/>
            </w:tcBorders>
          </w:tcPr>
          <w:p w14:paraId="06966196" w14:textId="77777777" w:rsidR="000B1FA4" w:rsidRPr="00FA0D37" w:rsidRDefault="000B1FA4" w:rsidP="000830BB">
            <w:pPr>
              <w:pStyle w:val="TAL"/>
              <w:rPr>
                <w:b/>
                <w:bCs/>
                <w:i/>
                <w:iCs/>
              </w:rPr>
            </w:pPr>
            <w:r w:rsidRPr="00FA0D37">
              <w:rPr>
                <w:b/>
                <w:bCs/>
                <w:i/>
                <w:iCs/>
              </w:rPr>
              <w:t>supportedBandCombinationListSL-RelayDiscovery</w:t>
            </w:r>
          </w:p>
          <w:p w14:paraId="522A7049" w14:textId="3552D945" w:rsidR="000B1FA4" w:rsidRPr="00FA0D37" w:rsidRDefault="000B1FA4" w:rsidP="000830BB">
            <w:pPr>
              <w:pStyle w:val="TAL"/>
            </w:pPr>
            <w:r w:rsidRPr="00FA0D37">
              <w:rPr>
                <w:szCs w:val="22"/>
                <w:lang w:eastAsia="sv-SE"/>
              </w:rPr>
              <w:t>A list of band combinations that the UE supports for NR sidelink relay discovery.</w:t>
            </w:r>
            <w:r w:rsidR="005F6633" w:rsidRPr="00FA0D37">
              <w:rPr>
                <w:szCs w:val="22"/>
                <w:lang w:eastAsia="sv-SE"/>
              </w:rPr>
              <w:t xml:space="preserve"> The encoding is defined in PC5 </w:t>
            </w:r>
            <w:r w:rsidR="005F6633" w:rsidRPr="00FA0D37">
              <w:rPr>
                <w:i/>
                <w:iCs/>
                <w:szCs w:val="22"/>
                <w:lang w:eastAsia="sv-SE"/>
              </w:rPr>
              <w:t>BandCombinationListSidelinkNR-r16.</w:t>
            </w:r>
          </w:p>
        </w:tc>
      </w:tr>
      <w:tr w:rsidR="005C7FF4" w:rsidRPr="00FA0D37" w14:paraId="5D01A148" w14:textId="77777777" w:rsidTr="00964CC4">
        <w:tc>
          <w:tcPr>
            <w:tcW w:w="14173" w:type="dxa"/>
            <w:tcBorders>
              <w:top w:val="single" w:sz="4" w:space="0" w:color="auto"/>
              <w:left w:val="single" w:sz="4" w:space="0" w:color="auto"/>
              <w:bottom w:val="single" w:sz="4" w:space="0" w:color="auto"/>
              <w:right w:val="single" w:sz="4" w:space="0" w:color="auto"/>
            </w:tcBorders>
          </w:tcPr>
          <w:p w14:paraId="61029B23" w14:textId="77777777" w:rsidR="00394471" w:rsidRPr="00FA0D37" w:rsidRDefault="00394471" w:rsidP="00964CC4">
            <w:pPr>
              <w:pStyle w:val="TAL"/>
              <w:rPr>
                <w:b/>
                <w:i/>
                <w:szCs w:val="22"/>
                <w:lang w:eastAsia="sv-SE"/>
              </w:rPr>
            </w:pPr>
            <w:r w:rsidRPr="00FA0D37">
              <w:rPr>
                <w:b/>
                <w:i/>
                <w:szCs w:val="22"/>
                <w:lang w:eastAsia="sv-SE"/>
              </w:rPr>
              <w:t>supportedBandCombinationList-UplinkTxSwitch</w:t>
            </w:r>
          </w:p>
          <w:p w14:paraId="3C066947" w14:textId="77777777" w:rsidR="00394471" w:rsidRPr="00FA0D37" w:rsidRDefault="00394471" w:rsidP="00964CC4">
            <w:pPr>
              <w:pStyle w:val="TAL"/>
              <w:rPr>
                <w:bCs/>
                <w:iCs/>
                <w:szCs w:val="22"/>
                <w:lang w:eastAsia="sv-SE"/>
              </w:rPr>
            </w:pPr>
            <w:r w:rsidRPr="00FA0D37">
              <w:rPr>
                <w:bCs/>
                <w:iCs/>
                <w:szCs w:val="22"/>
                <w:lang w:eastAsia="sv-SE"/>
              </w:rPr>
              <w:t xml:space="preserve">A list of band combinations that the UE supports dynamic uplink Tx switching for NR UL CA and SUL. The </w:t>
            </w:r>
            <w:r w:rsidRPr="00FA0D37">
              <w:rPr>
                <w:bCs/>
                <w:i/>
                <w:szCs w:val="22"/>
                <w:lang w:eastAsia="sv-SE"/>
              </w:rPr>
              <w:t>FeatureSetCombinationId</w:t>
            </w:r>
            <w:r w:rsidRPr="00FA0D37">
              <w:rPr>
                <w:bCs/>
                <w:iCs/>
                <w:szCs w:val="22"/>
                <w:lang w:eastAsia="sv-SE"/>
              </w:rPr>
              <w:t xml:space="preserve">:s in this list refer to the </w:t>
            </w:r>
            <w:r w:rsidRPr="00FA0D37">
              <w:rPr>
                <w:bCs/>
                <w:i/>
                <w:szCs w:val="22"/>
                <w:lang w:eastAsia="sv-SE"/>
              </w:rPr>
              <w:t>FeatureSetCombination</w:t>
            </w:r>
            <w:r w:rsidRPr="00FA0D37">
              <w:rPr>
                <w:bCs/>
                <w:iCs/>
                <w:szCs w:val="22"/>
                <w:lang w:eastAsia="sv-SE"/>
              </w:rPr>
              <w:t xml:space="preserve"> entries in the </w:t>
            </w:r>
            <w:r w:rsidRPr="00FA0D37">
              <w:rPr>
                <w:bCs/>
                <w:i/>
                <w:szCs w:val="22"/>
                <w:lang w:eastAsia="sv-SE"/>
              </w:rPr>
              <w:t>featureSetCombinations</w:t>
            </w:r>
            <w:r w:rsidRPr="00FA0D37">
              <w:rPr>
                <w:bCs/>
                <w:iCs/>
                <w:szCs w:val="22"/>
                <w:lang w:eastAsia="sv-SE"/>
              </w:rPr>
              <w:t xml:space="preserve"> list in the </w:t>
            </w:r>
            <w:r w:rsidRPr="00FA0D37">
              <w:rPr>
                <w:bCs/>
                <w:i/>
                <w:szCs w:val="22"/>
                <w:lang w:eastAsia="sv-SE"/>
              </w:rPr>
              <w:t>UE-NR-Capability</w:t>
            </w:r>
            <w:r w:rsidRPr="00FA0D37">
              <w:rPr>
                <w:bCs/>
                <w:iCs/>
                <w:szCs w:val="22"/>
                <w:lang w:eastAsia="sv-SE"/>
              </w:rPr>
              <w:t xml:space="preserve"> IE. The UE does not include this field if the UE capability is requested by E-UTRAN and the network request includes the field </w:t>
            </w:r>
            <w:r w:rsidRPr="00FA0D37">
              <w:rPr>
                <w:bCs/>
                <w:i/>
                <w:szCs w:val="22"/>
                <w:lang w:eastAsia="sv-SE"/>
              </w:rPr>
              <w:t>eutra-nr-only</w:t>
            </w:r>
            <w:r w:rsidRPr="00FA0D37">
              <w:rPr>
                <w:bCs/>
                <w:iCs/>
                <w:szCs w:val="22"/>
                <w:lang w:eastAsia="sv-SE"/>
              </w:rPr>
              <w:t xml:space="preserve"> [10].</w:t>
            </w:r>
          </w:p>
        </w:tc>
      </w:tr>
      <w:tr w:rsidR="00632063" w:rsidRPr="00FA0D37" w14:paraId="4E8067B8" w14:textId="77777777" w:rsidTr="00632063">
        <w:tc>
          <w:tcPr>
            <w:tcW w:w="14173" w:type="dxa"/>
            <w:tcBorders>
              <w:top w:val="single" w:sz="4" w:space="0" w:color="auto"/>
              <w:left w:val="single" w:sz="4" w:space="0" w:color="auto"/>
              <w:bottom w:val="single" w:sz="4" w:space="0" w:color="auto"/>
              <w:right w:val="single" w:sz="4" w:space="0" w:color="auto"/>
            </w:tcBorders>
          </w:tcPr>
          <w:p w14:paraId="7614D48E" w14:textId="4E9954AE" w:rsidR="00632063" w:rsidRPr="00FA0D37" w:rsidRDefault="00632063" w:rsidP="00632063">
            <w:pPr>
              <w:pStyle w:val="TAL"/>
              <w:rPr>
                <w:b/>
                <w:i/>
                <w:szCs w:val="22"/>
                <w:lang w:eastAsia="sv-SE"/>
              </w:rPr>
            </w:pPr>
            <w:r w:rsidRPr="00FA0D37">
              <w:rPr>
                <w:b/>
                <w:i/>
                <w:szCs w:val="22"/>
                <w:lang w:eastAsia="sv-SE"/>
              </w:rPr>
              <w:t>supportedBandListNR</w:t>
            </w:r>
          </w:p>
          <w:p w14:paraId="182B419A" w14:textId="38A6DB15" w:rsidR="00632063" w:rsidRPr="00FA0D37" w:rsidRDefault="006658B2" w:rsidP="00632063">
            <w:pPr>
              <w:pStyle w:val="TAL"/>
              <w:rPr>
                <w:bCs/>
                <w:iCs/>
                <w:szCs w:val="22"/>
                <w:lang w:eastAsia="sv-SE"/>
              </w:rPr>
            </w:pPr>
            <w:r w:rsidRPr="00FA0D37">
              <w:rPr>
                <w:bCs/>
                <w:iCs/>
                <w:szCs w:val="22"/>
                <w:lang w:eastAsia="sv-SE"/>
              </w:rPr>
              <w:t xml:space="preserve">A list of NR bands supported by the UE. </w:t>
            </w:r>
            <w:r w:rsidR="00632063" w:rsidRPr="00FA0D37">
              <w:rPr>
                <w:bCs/>
                <w:iCs/>
                <w:szCs w:val="22"/>
                <w:lang w:eastAsia="sv-SE"/>
              </w:rPr>
              <w:t>If</w:t>
            </w:r>
            <w:r w:rsidRPr="00FA0D37">
              <w:rPr>
                <w:bCs/>
                <w:i/>
                <w:szCs w:val="22"/>
                <w:lang w:eastAsia="sv-SE"/>
              </w:rPr>
              <w:t xml:space="preserve"> supportedBandListNR-v16c0</w:t>
            </w:r>
            <w:r w:rsidRPr="00FA0D37">
              <w:rPr>
                <w:bCs/>
                <w:iCs/>
                <w:szCs w:val="22"/>
                <w:lang w:eastAsia="sv-SE"/>
              </w:rPr>
              <w:t xml:space="preserve"> is</w:t>
            </w:r>
            <w:r w:rsidR="00632063" w:rsidRPr="00FA0D37">
              <w:rPr>
                <w:bCs/>
                <w:iCs/>
                <w:szCs w:val="22"/>
                <w:lang w:eastAsia="sv-SE"/>
              </w:rPr>
              <w:t xml:space="preserve"> included, the UE shall include the same number of entries, and listed in the same order, as in </w:t>
            </w:r>
            <w:r w:rsidR="00632063" w:rsidRPr="00FA0D37">
              <w:rPr>
                <w:bCs/>
                <w:i/>
                <w:szCs w:val="22"/>
                <w:lang w:eastAsia="sv-SE"/>
              </w:rPr>
              <w:t>supportedBandListNR</w:t>
            </w:r>
            <w:r w:rsidR="00632063" w:rsidRPr="00FA0D37">
              <w:rPr>
                <w:bCs/>
                <w:iCs/>
                <w:szCs w:val="22"/>
                <w:lang w:eastAsia="sv-SE"/>
              </w:rPr>
              <w:t xml:space="preserve"> (without suffix).</w:t>
            </w:r>
          </w:p>
        </w:tc>
      </w:tr>
    </w:tbl>
    <w:p w14:paraId="229534DA" w14:textId="77777777" w:rsidR="00394471" w:rsidRPr="00FA0D37" w:rsidRDefault="00394471" w:rsidP="00394471"/>
    <w:p w14:paraId="51196609" w14:textId="727173B6" w:rsidR="00394471" w:rsidRPr="00FA0D37" w:rsidRDefault="00394471" w:rsidP="00394471">
      <w:pPr>
        <w:pStyle w:val="4"/>
      </w:pPr>
      <w:bookmarkStart w:id="1610" w:name="_Toc60777476"/>
      <w:bookmarkStart w:id="1611" w:name="_Toc146781583"/>
      <w:r w:rsidRPr="00FA0D37">
        <w:t>–</w:t>
      </w:r>
      <w:r w:rsidRPr="00FA0D37">
        <w:tab/>
      </w:r>
      <w:r w:rsidRPr="00FA0D37">
        <w:rPr>
          <w:i/>
        </w:rPr>
        <w:t>RF-ParametersMRDC</w:t>
      </w:r>
      <w:bookmarkEnd w:id="1610"/>
      <w:bookmarkEnd w:id="1611"/>
    </w:p>
    <w:p w14:paraId="566C551D" w14:textId="77777777" w:rsidR="00394471" w:rsidRPr="00FA0D37" w:rsidRDefault="00394471" w:rsidP="00394471">
      <w:r w:rsidRPr="00FA0D37">
        <w:t xml:space="preserve">The IE </w:t>
      </w:r>
      <w:r w:rsidRPr="00FA0D37">
        <w:rPr>
          <w:i/>
        </w:rPr>
        <w:t>RF-ParametersMRDC</w:t>
      </w:r>
      <w:r w:rsidRPr="00FA0D37">
        <w:t xml:space="preserve"> is used to convey RF related capabilities for MR-DC.</w:t>
      </w:r>
    </w:p>
    <w:p w14:paraId="150A1E51" w14:textId="77777777" w:rsidR="00394471" w:rsidRPr="00FA0D37" w:rsidRDefault="00394471" w:rsidP="00394471">
      <w:pPr>
        <w:pStyle w:val="TH"/>
      </w:pPr>
      <w:r w:rsidRPr="00FA0D37">
        <w:rPr>
          <w:i/>
        </w:rPr>
        <w:t>RF-ParametersMRDC</w:t>
      </w:r>
      <w:r w:rsidRPr="00FA0D37">
        <w:t xml:space="preserve"> information element</w:t>
      </w:r>
    </w:p>
    <w:p w14:paraId="4039C8AA" w14:textId="77777777" w:rsidR="00394471" w:rsidRPr="00FA0D37" w:rsidRDefault="00394471" w:rsidP="00FA0D37">
      <w:pPr>
        <w:pStyle w:val="PL"/>
        <w:rPr>
          <w:color w:val="808080"/>
        </w:rPr>
      </w:pPr>
      <w:r w:rsidRPr="00FA0D37">
        <w:rPr>
          <w:color w:val="808080"/>
        </w:rPr>
        <w:t>-- ASN1START</w:t>
      </w:r>
    </w:p>
    <w:p w14:paraId="03D4074A" w14:textId="77777777" w:rsidR="00394471" w:rsidRPr="00FA0D37" w:rsidRDefault="00394471" w:rsidP="00FA0D37">
      <w:pPr>
        <w:pStyle w:val="PL"/>
        <w:rPr>
          <w:color w:val="808080"/>
        </w:rPr>
      </w:pPr>
      <w:r w:rsidRPr="00FA0D37">
        <w:rPr>
          <w:color w:val="808080"/>
        </w:rPr>
        <w:t>-- TAG-RF-PARAMETERSMRDC-START</w:t>
      </w:r>
    </w:p>
    <w:p w14:paraId="78285A13" w14:textId="77777777" w:rsidR="00394471" w:rsidRPr="00FA0D37" w:rsidRDefault="00394471" w:rsidP="00FA0D37">
      <w:pPr>
        <w:pStyle w:val="PL"/>
      </w:pPr>
    </w:p>
    <w:p w14:paraId="3F1493F2" w14:textId="77777777" w:rsidR="00394471" w:rsidRPr="00FA0D37" w:rsidRDefault="00394471" w:rsidP="00FA0D37">
      <w:pPr>
        <w:pStyle w:val="PL"/>
      </w:pPr>
      <w:r w:rsidRPr="00FA0D37">
        <w:t xml:space="preserve">RF-ParametersMRDC ::=                   </w:t>
      </w:r>
      <w:r w:rsidRPr="00FA0D37">
        <w:rPr>
          <w:color w:val="993366"/>
        </w:rPr>
        <w:t>SEQUENCE</w:t>
      </w:r>
      <w:r w:rsidRPr="00FA0D37">
        <w:t xml:space="preserve"> {</w:t>
      </w:r>
    </w:p>
    <w:p w14:paraId="137C8D4C" w14:textId="77777777" w:rsidR="00394471" w:rsidRPr="00FA0D37" w:rsidRDefault="00394471" w:rsidP="00FA0D37">
      <w:pPr>
        <w:pStyle w:val="PL"/>
      </w:pPr>
      <w:r w:rsidRPr="00FA0D37">
        <w:t xml:space="preserve">    supportedBandCombinationList            BandCombinationList                             </w:t>
      </w:r>
      <w:r w:rsidRPr="00FA0D37">
        <w:rPr>
          <w:color w:val="993366"/>
        </w:rPr>
        <w:t>OPTIONAL</w:t>
      </w:r>
      <w:r w:rsidRPr="00FA0D37">
        <w:t>,</w:t>
      </w:r>
    </w:p>
    <w:p w14:paraId="2C45630B" w14:textId="77777777" w:rsidR="00394471" w:rsidRPr="00FA0D37" w:rsidRDefault="00394471" w:rsidP="00FA0D37">
      <w:pPr>
        <w:pStyle w:val="PL"/>
      </w:pPr>
      <w:r w:rsidRPr="00FA0D37">
        <w:t xml:space="preserve">    appliedFreqBandListFilter               FreqBandList                                    </w:t>
      </w:r>
      <w:r w:rsidRPr="00FA0D37">
        <w:rPr>
          <w:color w:val="993366"/>
        </w:rPr>
        <w:t>OPTIONAL</w:t>
      </w:r>
      <w:r w:rsidRPr="00FA0D37">
        <w:t>,</w:t>
      </w:r>
    </w:p>
    <w:p w14:paraId="7CF56CF1" w14:textId="77777777" w:rsidR="00394471" w:rsidRPr="00FA0D37" w:rsidRDefault="00394471" w:rsidP="00FA0D37">
      <w:pPr>
        <w:pStyle w:val="PL"/>
      </w:pPr>
      <w:r w:rsidRPr="00FA0D37">
        <w:t xml:space="preserve">    ...,</w:t>
      </w:r>
    </w:p>
    <w:p w14:paraId="6E61527C" w14:textId="77777777" w:rsidR="00394471" w:rsidRPr="00FA0D37" w:rsidRDefault="00394471" w:rsidP="00FA0D37">
      <w:pPr>
        <w:pStyle w:val="PL"/>
      </w:pPr>
      <w:r w:rsidRPr="00FA0D37">
        <w:t xml:space="preserve">    [[</w:t>
      </w:r>
    </w:p>
    <w:p w14:paraId="26A63F7B" w14:textId="77777777" w:rsidR="00394471" w:rsidRPr="00FA0D37" w:rsidRDefault="00394471" w:rsidP="00FA0D37">
      <w:pPr>
        <w:pStyle w:val="PL"/>
      </w:pPr>
      <w:r w:rsidRPr="00FA0D37">
        <w:t xml:space="preserve">    srs-SwitchingTimeRequested              </w:t>
      </w:r>
      <w:r w:rsidRPr="00FA0D37">
        <w:rPr>
          <w:color w:val="993366"/>
        </w:rPr>
        <w:t>ENUMERATED</w:t>
      </w:r>
      <w:r w:rsidRPr="00FA0D37">
        <w:t xml:space="preserve"> {true}                               </w:t>
      </w:r>
      <w:r w:rsidRPr="00FA0D37">
        <w:rPr>
          <w:color w:val="993366"/>
        </w:rPr>
        <w:t>OPTIONAL</w:t>
      </w:r>
      <w:r w:rsidRPr="00FA0D37">
        <w:t>,</w:t>
      </w:r>
    </w:p>
    <w:p w14:paraId="52DE22D5" w14:textId="77777777" w:rsidR="00394471" w:rsidRPr="00FA0D37" w:rsidRDefault="00394471" w:rsidP="00FA0D37">
      <w:pPr>
        <w:pStyle w:val="PL"/>
      </w:pPr>
      <w:r w:rsidRPr="00FA0D37">
        <w:t xml:space="preserve">    supportedBandCombinationList-v1540      BandCombinationList-v1540                       </w:t>
      </w:r>
      <w:r w:rsidRPr="00FA0D37">
        <w:rPr>
          <w:color w:val="993366"/>
        </w:rPr>
        <w:t>OPTIONAL</w:t>
      </w:r>
    </w:p>
    <w:p w14:paraId="2EEB145B" w14:textId="77777777" w:rsidR="00394471" w:rsidRPr="00FA0D37" w:rsidRDefault="00394471" w:rsidP="00FA0D37">
      <w:pPr>
        <w:pStyle w:val="PL"/>
      </w:pPr>
      <w:r w:rsidRPr="00FA0D37">
        <w:t xml:space="preserve">    ]],</w:t>
      </w:r>
    </w:p>
    <w:p w14:paraId="0B78ABC5" w14:textId="77777777" w:rsidR="00394471" w:rsidRPr="00FA0D37" w:rsidRDefault="00394471" w:rsidP="00FA0D37">
      <w:pPr>
        <w:pStyle w:val="PL"/>
      </w:pPr>
      <w:r w:rsidRPr="00FA0D37">
        <w:t xml:space="preserve">    [[</w:t>
      </w:r>
    </w:p>
    <w:p w14:paraId="2F626DB3" w14:textId="77777777" w:rsidR="00394471" w:rsidRPr="00FA0D37" w:rsidRDefault="00394471" w:rsidP="00FA0D37">
      <w:pPr>
        <w:pStyle w:val="PL"/>
      </w:pPr>
      <w:r w:rsidRPr="00FA0D37">
        <w:t xml:space="preserve">    supportedBandCombinationList-v1550      BandCombinationList-v1550                       </w:t>
      </w:r>
      <w:r w:rsidRPr="00FA0D37">
        <w:rPr>
          <w:color w:val="993366"/>
        </w:rPr>
        <w:t>OPTIONAL</w:t>
      </w:r>
    </w:p>
    <w:p w14:paraId="6E172A4A" w14:textId="77777777" w:rsidR="00394471" w:rsidRPr="00FA0D37" w:rsidRDefault="00394471" w:rsidP="00FA0D37">
      <w:pPr>
        <w:pStyle w:val="PL"/>
      </w:pPr>
      <w:r w:rsidRPr="00FA0D37">
        <w:t xml:space="preserve">    ]],</w:t>
      </w:r>
    </w:p>
    <w:p w14:paraId="09BE56EA" w14:textId="77777777" w:rsidR="00394471" w:rsidRPr="00FA0D37" w:rsidRDefault="00394471" w:rsidP="00FA0D37">
      <w:pPr>
        <w:pStyle w:val="PL"/>
      </w:pPr>
      <w:r w:rsidRPr="00FA0D37">
        <w:lastRenderedPageBreak/>
        <w:t xml:space="preserve">    [[</w:t>
      </w:r>
    </w:p>
    <w:p w14:paraId="66191690" w14:textId="77777777" w:rsidR="00394471" w:rsidRPr="00FA0D37" w:rsidRDefault="00394471" w:rsidP="00FA0D37">
      <w:pPr>
        <w:pStyle w:val="PL"/>
      </w:pPr>
      <w:r w:rsidRPr="00FA0D37">
        <w:t xml:space="preserve">    supportedBandCombinationList-v1560      BandCombinationList-v1560                       </w:t>
      </w:r>
      <w:r w:rsidRPr="00FA0D37">
        <w:rPr>
          <w:color w:val="993366"/>
        </w:rPr>
        <w:t>OPTIONAL</w:t>
      </w:r>
      <w:r w:rsidRPr="00FA0D37">
        <w:t>,</w:t>
      </w:r>
    </w:p>
    <w:p w14:paraId="6B837E0F" w14:textId="77777777" w:rsidR="00394471" w:rsidRPr="00FA0D37" w:rsidRDefault="00394471" w:rsidP="00FA0D37">
      <w:pPr>
        <w:pStyle w:val="PL"/>
      </w:pPr>
      <w:r w:rsidRPr="00FA0D37">
        <w:t xml:space="preserve">    supportedBandCombinationListNEDC-Only   BandCombinationList                             </w:t>
      </w:r>
      <w:r w:rsidRPr="00FA0D37">
        <w:rPr>
          <w:color w:val="993366"/>
        </w:rPr>
        <w:t>OPTIONAL</w:t>
      </w:r>
    </w:p>
    <w:p w14:paraId="2E87E6EF" w14:textId="77777777" w:rsidR="00394471" w:rsidRPr="00FA0D37" w:rsidRDefault="00394471" w:rsidP="00FA0D37">
      <w:pPr>
        <w:pStyle w:val="PL"/>
      </w:pPr>
      <w:r w:rsidRPr="00FA0D37">
        <w:t xml:space="preserve">    ]],</w:t>
      </w:r>
    </w:p>
    <w:p w14:paraId="2EB31E71" w14:textId="77777777" w:rsidR="00394471" w:rsidRPr="00FA0D37" w:rsidRDefault="00394471" w:rsidP="00FA0D37">
      <w:pPr>
        <w:pStyle w:val="PL"/>
      </w:pPr>
      <w:r w:rsidRPr="00FA0D37">
        <w:t xml:space="preserve">    [[</w:t>
      </w:r>
    </w:p>
    <w:p w14:paraId="28A390B2" w14:textId="77777777" w:rsidR="00394471" w:rsidRPr="00FA0D37" w:rsidRDefault="00394471" w:rsidP="00FA0D37">
      <w:pPr>
        <w:pStyle w:val="PL"/>
      </w:pPr>
      <w:r w:rsidRPr="00FA0D37">
        <w:t xml:space="preserve">    supportedBandCombinationList-v1570      BandCombinationList-v1570                       </w:t>
      </w:r>
      <w:r w:rsidRPr="00FA0D37">
        <w:rPr>
          <w:color w:val="993366"/>
        </w:rPr>
        <w:t>OPTIONAL</w:t>
      </w:r>
    </w:p>
    <w:p w14:paraId="25F2C69F" w14:textId="77777777" w:rsidR="00394471" w:rsidRPr="00FA0D37" w:rsidRDefault="00394471" w:rsidP="00FA0D37">
      <w:pPr>
        <w:pStyle w:val="PL"/>
      </w:pPr>
      <w:r w:rsidRPr="00FA0D37">
        <w:t xml:space="preserve">    ]],</w:t>
      </w:r>
    </w:p>
    <w:p w14:paraId="6DBA7FF3" w14:textId="77777777" w:rsidR="00394471" w:rsidRPr="00FA0D37" w:rsidRDefault="00394471" w:rsidP="00FA0D37">
      <w:pPr>
        <w:pStyle w:val="PL"/>
      </w:pPr>
      <w:r w:rsidRPr="00FA0D37">
        <w:t xml:space="preserve">    [[</w:t>
      </w:r>
    </w:p>
    <w:p w14:paraId="26CB8457" w14:textId="77777777" w:rsidR="00394471" w:rsidRPr="00FA0D37" w:rsidRDefault="00394471" w:rsidP="00FA0D37">
      <w:pPr>
        <w:pStyle w:val="PL"/>
      </w:pPr>
      <w:r w:rsidRPr="00FA0D37">
        <w:t xml:space="preserve">    supportedBandCombinationList-v1580      BandCombinationList-v1580                       </w:t>
      </w:r>
      <w:r w:rsidRPr="00FA0D37">
        <w:rPr>
          <w:color w:val="993366"/>
        </w:rPr>
        <w:t>OPTIONAL</w:t>
      </w:r>
    </w:p>
    <w:p w14:paraId="68A0C935" w14:textId="77777777" w:rsidR="00394471" w:rsidRPr="00FA0D37" w:rsidRDefault="00394471" w:rsidP="00FA0D37">
      <w:pPr>
        <w:pStyle w:val="PL"/>
      </w:pPr>
      <w:r w:rsidRPr="00FA0D37">
        <w:t xml:space="preserve">    ]],</w:t>
      </w:r>
    </w:p>
    <w:p w14:paraId="7B53DAA8" w14:textId="77777777" w:rsidR="00394471" w:rsidRPr="00FA0D37" w:rsidRDefault="00394471" w:rsidP="00FA0D37">
      <w:pPr>
        <w:pStyle w:val="PL"/>
      </w:pPr>
      <w:r w:rsidRPr="00FA0D37">
        <w:t xml:space="preserve">    [[</w:t>
      </w:r>
    </w:p>
    <w:p w14:paraId="5AF84828" w14:textId="77777777" w:rsidR="00394471" w:rsidRPr="00FA0D37" w:rsidRDefault="00394471" w:rsidP="00FA0D37">
      <w:pPr>
        <w:pStyle w:val="PL"/>
      </w:pPr>
      <w:r w:rsidRPr="00FA0D37">
        <w:t xml:space="preserve">    supportedBandCombinationList-v1590      BandCombinationList-v1590                       </w:t>
      </w:r>
      <w:r w:rsidRPr="00FA0D37">
        <w:rPr>
          <w:color w:val="993366"/>
        </w:rPr>
        <w:t>OPTIONAL</w:t>
      </w:r>
    </w:p>
    <w:p w14:paraId="01F4FA61" w14:textId="77777777" w:rsidR="00394471" w:rsidRPr="00FA0D37" w:rsidRDefault="00394471" w:rsidP="00FA0D37">
      <w:pPr>
        <w:pStyle w:val="PL"/>
      </w:pPr>
      <w:r w:rsidRPr="00FA0D37">
        <w:t xml:space="preserve">    ]],</w:t>
      </w:r>
    </w:p>
    <w:p w14:paraId="2E361888" w14:textId="77777777" w:rsidR="00394471" w:rsidRPr="00FA0D37" w:rsidRDefault="00394471" w:rsidP="00FA0D37">
      <w:pPr>
        <w:pStyle w:val="PL"/>
      </w:pPr>
      <w:r w:rsidRPr="00FA0D37">
        <w:t xml:space="preserve">    [[</w:t>
      </w:r>
    </w:p>
    <w:p w14:paraId="6C57E336" w14:textId="77777777" w:rsidR="00394471" w:rsidRPr="00FA0D37" w:rsidRDefault="00394471" w:rsidP="00FA0D37">
      <w:pPr>
        <w:pStyle w:val="PL"/>
      </w:pPr>
      <w:r w:rsidRPr="00FA0D37">
        <w:t xml:space="preserve">    supportedBandCombinationListNEDC-Only-v15a0    </w:t>
      </w:r>
      <w:r w:rsidRPr="00FA0D37">
        <w:rPr>
          <w:color w:val="993366"/>
        </w:rPr>
        <w:t>SEQUENCE</w:t>
      </w:r>
      <w:r w:rsidRPr="00FA0D37">
        <w:t xml:space="preserve"> {</w:t>
      </w:r>
    </w:p>
    <w:p w14:paraId="02B47C3E" w14:textId="77777777" w:rsidR="00394471" w:rsidRPr="00FA0D37" w:rsidRDefault="00394471" w:rsidP="00FA0D37">
      <w:pPr>
        <w:pStyle w:val="PL"/>
        <w:rPr>
          <w:rFonts w:eastAsia="宋体"/>
        </w:rPr>
      </w:pPr>
      <w:r w:rsidRPr="00FA0D37">
        <w:t xml:space="preserve">        supportedBandCombinationList-v1540      BandCombinationList-v15</w:t>
      </w:r>
      <w:r w:rsidRPr="00FA0D37">
        <w:rPr>
          <w:rFonts w:eastAsia="宋体"/>
        </w:rPr>
        <w:t>4</w:t>
      </w:r>
      <w:r w:rsidRPr="00FA0D37">
        <w:t xml:space="preserve">0                   </w:t>
      </w:r>
      <w:r w:rsidRPr="00FA0D37">
        <w:rPr>
          <w:color w:val="993366"/>
        </w:rPr>
        <w:t>OPTIONAL</w:t>
      </w:r>
      <w:r w:rsidRPr="00FA0D37">
        <w:rPr>
          <w:rFonts w:eastAsia="宋体"/>
        </w:rPr>
        <w:t>,</w:t>
      </w:r>
    </w:p>
    <w:p w14:paraId="610F001B" w14:textId="77777777" w:rsidR="00394471" w:rsidRPr="00FA0D37" w:rsidRDefault="00394471" w:rsidP="00FA0D37">
      <w:pPr>
        <w:pStyle w:val="PL"/>
        <w:rPr>
          <w:rFonts w:eastAsia="宋体"/>
        </w:rPr>
      </w:pPr>
      <w:r w:rsidRPr="00FA0D37">
        <w:t xml:space="preserve">        supportedBandCombinationList-v1560      BandCombinationList-v15</w:t>
      </w:r>
      <w:r w:rsidRPr="00FA0D37">
        <w:rPr>
          <w:rFonts w:eastAsia="宋体"/>
        </w:rPr>
        <w:t>6</w:t>
      </w:r>
      <w:r w:rsidRPr="00FA0D37">
        <w:t xml:space="preserve">0                   </w:t>
      </w:r>
      <w:r w:rsidRPr="00FA0D37">
        <w:rPr>
          <w:color w:val="993366"/>
        </w:rPr>
        <w:t>OPTIONAL</w:t>
      </w:r>
      <w:r w:rsidRPr="00FA0D37">
        <w:rPr>
          <w:rFonts w:eastAsia="宋体"/>
        </w:rPr>
        <w:t>,</w:t>
      </w:r>
    </w:p>
    <w:p w14:paraId="178404BF" w14:textId="77777777" w:rsidR="00394471" w:rsidRPr="00FA0D37" w:rsidRDefault="00394471" w:rsidP="00FA0D37">
      <w:pPr>
        <w:pStyle w:val="PL"/>
        <w:rPr>
          <w:rFonts w:eastAsia="宋体"/>
        </w:rPr>
      </w:pPr>
      <w:r w:rsidRPr="00FA0D37">
        <w:t xml:space="preserve">        supportedBandCombinationList-v1570      BandCombinationList-v15</w:t>
      </w:r>
      <w:r w:rsidRPr="00FA0D37">
        <w:rPr>
          <w:rFonts w:eastAsia="宋体"/>
        </w:rPr>
        <w:t>7</w:t>
      </w:r>
      <w:r w:rsidRPr="00FA0D37">
        <w:t xml:space="preserve">0                   </w:t>
      </w:r>
      <w:r w:rsidRPr="00FA0D37">
        <w:rPr>
          <w:color w:val="993366"/>
        </w:rPr>
        <w:t>OPTIONAL</w:t>
      </w:r>
      <w:r w:rsidRPr="00FA0D37">
        <w:t>,</w:t>
      </w:r>
    </w:p>
    <w:p w14:paraId="3EB6E44F" w14:textId="77777777" w:rsidR="00394471" w:rsidRPr="00FA0D37" w:rsidRDefault="00394471" w:rsidP="00FA0D37">
      <w:pPr>
        <w:pStyle w:val="PL"/>
        <w:rPr>
          <w:rFonts w:eastAsia="宋体"/>
        </w:rPr>
      </w:pPr>
      <w:r w:rsidRPr="00FA0D37">
        <w:t xml:space="preserve">        supportedBandCombinationList-v1580      BandCombinationList-v15</w:t>
      </w:r>
      <w:r w:rsidRPr="00FA0D37">
        <w:rPr>
          <w:rFonts w:eastAsia="宋体"/>
        </w:rPr>
        <w:t>8</w:t>
      </w:r>
      <w:r w:rsidRPr="00FA0D37">
        <w:t xml:space="preserve">0                   </w:t>
      </w:r>
      <w:r w:rsidRPr="00FA0D37">
        <w:rPr>
          <w:color w:val="993366"/>
        </w:rPr>
        <w:t>OPTIONAL</w:t>
      </w:r>
      <w:r w:rsidRPr="00FA0D37">
        <w:t>,</w:t>
      </w:r>
    </w:p>
    <w:p w14:paraId="09618B23" w14:textId="77777777" w:rsidR="00394471" w:rsidRPr="00FA0D37" w:rsidRDefault="00394471" w:rsidP="00FA0D37">
      <w:pPr>
        <w:pStyle w:val="PL"/>
        <w:rPr>
          <w:rFonts w:eastAsia="Batang"/>
        </w:rPr>
      </w:pPr>
      <w:r w:rsidRPr="00FA0D37">
        <w:t xml:space="preserve">        supportedBandCombinationList-v1590      BandCombinationList-v15</w:t>
      </w:r>
      <w:r w:rsidRPr="00FA0D37">
        <w:rPr>
          <w:rFonts w:eastAsia="宋体"/>
        </w:rPr>
        <w:t>9</w:t>
      </w:r>
      <w:r w:rsidRPr="00FA0D37">
        <w:t xml:space="preserve">0                   </w:t>
      </w:r>
      <w:r w:rsidRPr="00FA0D37">
        <w:rPr>
          <w:color w:val="993366"/>
        </w:rPr>
        <w:t>OPTIONAL</w:t>
      </w:r>
    </w:p>
    <w:p w14:paraId="7E23686C" w14:textId="77777777" w:rsidR="00394471" w:rsidRPr="00FA0D37" w:rsidRDefault="00394471" w:rsidP="00FA0D37">
      <w:pPr>
        <w:pStyle w:val="PL"/>
        <w:rPr>
          <w:rFonts w:eastAsia="宋体"/>
        </w:rPr>
      </w:pPr>
      <w:r w:rsidRPr="00FA0D37">
        <w:t xml:space="preserve">    }                                                                                       </w:t>
      </w:r>
      <w:r w:rsidRPr="00FA0D37">
        <w:rPr>
          <w:color w:val="993366"/>
        </w:rPr>
        <w:t>OPTIONAL</w:t>
      </w:r>
    </w:p>
    <w:p w14:paraId="2F69E59B" w14:textId="77777777" w:rsidR="00394471" w:rsidRPr="00FA0D37" w:rsidRDefault="00394471" w:rsidP="00FA0D37">
      <w:pPr>
        <w:pStyle w:val="PL"/>
      </w:pPr>
      <w:r w:rsidRPr="00FA0D37">
        <w:t xml:space="preserve">    ]],</w:t>
      </w:r>
    </w:p>
    <w:p w14:paraId="0C9A3438" w14:textId="77777777" w:rsidR="00394471" w:rsidRPr="00FA0D37" w:rsidRDefault="00394471" w:rsidP="00FA0D37">
      <w:pPr>
        <w:pStyle w:val="PL"/>
      </w:pPr>
      <w:r w:rsidRPr="00FA0D37">
        <w:t xml:space="preserve">    [[</w:t>
      </w:r>
    </w:p>
    <w:p w14:paraId="12D1F1B5" w14:textId="77777777" w:rsidR="00394471" w:rsidRPr="00FA0D37" w:rsidRDefault="00394471" w:rsidP="00FA0D37">
      <w:pPr>
        <w:pStyle w:val="PL"/>
      </w:pPr>
      <w:r w:rsidRPr="00FA0D37">
        <w:t xml:space="preserve">    supportedBandCombinationList-v1610      BandCombinationList-v1610                       </w:t>
      </w:r>
      <w:r w:rsidRPr="00FA0D37">
        <w:rPr>
          <w:color w:val="993366"/>
        </w:rPr>
        <w:t>OPTIONAL</w:t>
      </w:r>
      <w:r w:rsidRPr="00FA0D37">
        <w:t>,</w:t>
      </w:r>
    </w:p>
    <w:p w14:paraId="1B326A6C" w14:textId="77777777" w:rsidR="00394471" w:rsidRPr="00FA0D37" w:rsidRDefault="00394471" w:rsidP="00FA0D37">
      <w:pPr>
        <w:pStyle w:val="PL"/>
      </w:pPr>
      <w:r w:rsidRPr="00FA0D37">
        <w:t xml:space="preserve">    supportedBandCombinationListNEDC-Only-v1610   BandCombinationList-v1610                 </w:t>
      </w:r>
      <w:r w:rsidRPr="00FA0D37">
        <w:rPr>
          <w:color w:val="993366"/>
        </w:rPr>
        <w:t>OPTIONAL</w:t>
      </w:r>
      <w:r w:rsidRPr="00FA0D37">
        <w:t>,</w:t>
      </w:r>
    </w:p>
    <w:p w14:paraId="78297784" w14:textId="77777777" w:rsidR="00394471" w:rsidRPr="00FA0D37" w:rsidRDefault="00394471" w:rsidP="00FA0D37">
      <w:pPr>
        <w:pStyle w:val="PL"/>
      </w:pPr>
      <w:r w:rsidRPr="00FA0D37">
        <w:t xml:space="preserve">    supportedBandCombinationList-UplinkTxSwitch-r16 BandCombinationList-UplinkTxSwitch-r16  </w:t>
      </w:r>
      <w:r w:rsidRPr="00FA0D37">
        <w:rPr>
          <w:color w:val="993366"/>
        </w:rPr>
        <w:t>OPTIONAL</w:t>
      </w:r>
    </w:p>
    <w:p w14:paraId="01A799A9" w14:textId="30CEFD6A" w:rsidR="00D027C1" w:rsidRPr="00FA0D37" w:rsidRDefault="00394471" w:rsidP="00FA0D37">
      <w:pPr>
        <w:pStyle w:val="PL"/>
      </w:pPr>
      <w:r w:rsidRPr="00FA0D37">
        <w:t xml:space="preserve">    ]]</w:t>
      </w:r>
      <w:r w:rsidR="00D027C1" w:rsidRPr="00FA0D37">
        <w:t>,</w:t>
      </w:r>
    </w:p>
    <w:p w14:paraId="1F19EEFE" w14:textId="77777777" w:rsidR="00D027C1" w:rsidRPr="00FA0D37" w:rsidRDefault="00D027C1" w:rsidP="00FA0D37">
      <w:pPr>
        <w:pStyle w:val="PL"/>
      </w:pPr>
      <w:r w:rsidRPr="00FA0D37">
        <w:t xml:space="preserve">    [[</w:t>
      </w:r>
    </w:p>
    <w:p w14:paraId="49E4E8E9" w14:textId="32C2EE80" w:rsidR="00D027C1" w:rsidRPr="00FA0D37" w:rsidRDefault="00D027C1" w:rsidP="00FA0D37">
      <w:pPr>
        <w:pStyle w:val="PL"/>
      </w:pPr>
      <w:r w:rsidRPr="00FA0D37">
        <w:t xml:space="preserve">    supportedBandCombinationList</w:t>
      </w:r>
      <w:r w:rsidR="003B657B" w:rsidRPr="00FA0D37">
        <w:t>-v1630</w:t>
      </w:r>
      <w:r w:rsidRPr="00FA0D37">
        <w:t xml:space="preserve">                  BandCombinationList</w:t>
      </w:r>
      <w:r w:rsidR="003B657B" w:rsidRPr="00FA0D37">
        <w:t>-v1630</w:t>
      </w:r>
      <w:r w:rsidRPr="00FA0D37">
        <w:t xml:space="preserve">                   </w:t>
      </w:r>
      <w:r w:rsidRPr="00FA0D37">
        <w:rPr>
          <w:color w:val="993366"/>
        </w:rPr>
        <w:t>OPTIONAL</w:t>
      </w:r>
      <w:r w:rsidRPr="00FA0D37">
        <w:t>,</w:t>
      </w:r>
    </w:p>
    <w:p w14:paraId="6DC8222C" w14:textId="0C8A6E79" w:rsidR="00D027C1" w:rsidRPr="00FA0D37" w:rsidRDefault="00D027C1" w:rsidP="00FA0D37">
      <w:pPr>
        <w:pStyle w:val="PL"/>
      </w:pPr>
      <w:r w:rsidRPr="00FA0D37">
        <w:t xml:space="preserve">    supportedBandCombinationListNEDC-Only</w:t>
      </w:r>
      <w:r w:rsidR="003B657B" w:rsidRPr="00FA0D37">
        <w:t>-v1630</w:t>
      </w:r>
      <w:r w:rsidRPr="00FA0D37">
        <w:t xml:space="preserve">         BandCombinationList</w:t>
      </w:r>
      <w:r w:rsidR="003B657B" w:rsidRPr="00FA0D37">
        <w:t>-v1630</w:t>
      </w:r>
      <w:r w:rsidRPr="00FA0D37">
        <w:t xml:space="preserve">                   </w:t>
      </w:r>
      <w:r w:rsidRPr="00FA0D37">
        <w:rPr>
          <w:color w:val="993366"/>
        </w:rPr>
        <w:t>OPTIONAL</w:t>
      </w:r>
      <w:r w:rsidRPr="00FA0D37">
        <w:t>,</w:t>
      </w:r>
    </w:p>
    <w:p w14:paraId="31D3ED51" w14:textId="4DFD34AA" w:rsidR="00D027C1" w:rsidRPr="00FA0D37" w:rsidRDefault="00D027C1" w:rsidP="00FA0D37">
      <w:pPr>
        <w:pStyle w:val="PL"/>
      </w:pPr>
      <w:r w:rsidRPr="00FA0D37">
        <w:t xml:space="preserve">    supportedBandCombinationList-UplinkTxSwitch</w:t>
      </w:r>
      <w:r w:rsidR="003B657B" w:rsidRPr="00FA0D37">
        <w:t>-v1630</w:t>
      </w:r>
      <w:r w:rsidRPr="00FA0D37">
        <w:t xml:space="preserve">   BandCombinationList-UplinkTxSwitch</w:t>
      </w:r>
      <w:r w:rsidR="003B657B" w:rsidRPr="00FA0D37">
        <w:t>-v1630</w:t>
      </w:r>
      <w:r w:rsidRPr="00FA0D37">
        <w:t xml:space="preserve">    </w:t>
      </w:r>
      <w:r w:rsidRPr="00FA0D37">
        <w:rPr>
          <w:color w:val="993366"/>
        </w:rPr>
        <w:t>OPTIONAL</w:t>
      </w:r>
    </w:p>
    <w:p w14:paraId="7A35C0BA" w14:textId="3193F6D4" w:rsidR="00E46198" w:rsidRPr="00FA0D37" w:rsidRDefault="00D027C1" w:rsidP="00FA0D37">
      <w:pPr>
        <w:pStyle w:val="PL"/>
      </w:pPr>
      <w:r w:rsidRPr="00FA0D37">
        <w:t xml:space="preserve">    ]]</w:t>
      </w:r>
      <w:r w:rsidR="00E46198" w:rsidRPr="00FA0D37">
        <w:t>,</w:t>
      </w:r>
    </w:p>
    <w:p w14:paraId="7B2F97AD" w14:textId="77777777" w:rsidR="00E46198" w:rsidRPr="00FA0D37" w:rsidRDefault="00E46198" w:rsidP="00FA0D37">
      <w:pPr>
        <w:pStyle w:val="PL"/>
      </w:pPr>
      <w:r w:rsidRPr="00FA0D37">
        <w:t xml:space="preserve">    [[</w:t>
      </w:r>
    </w:p>
    <w:p w14:paraId="6BDACEA4" w14:textId="2C69A651" w:rsidR="00E46198" w:rsidRPr="00FA0D37" w:rsidRDefault="00E46198" w:rsidP="00FA0D37">
      <w:pPr>
        <w:pStyle w:val="PL"/>
      </w:pPr>
      <w:r w:rsidRPr="00FA0D37">
        <w:t xml:space="preserve">    supportedBandCombinationList-v</w:t>
      </w:r>
      <w:r w:rsidR="000C2783" w:rsidRPr="00FA0D37">
        <w:t>1640</w:t>
      </w:r>
      <w:r w:rsidRPr="00FA0D37">
        <w:t xml:space="preserve">                  BandCombinationList-v</w:t>
      </w:r>
      <w:r w:rsidR="000C2783" w:rsidRPr="00FA0D37">
        <w:t>1640</w:t>
      </w:r>
      <w:r w:rsidRPr="00FA0D37">
        <w:t xml:space="preserve">                   </w:t>
      </w:r>
      <w:r w:rsidRPr="00FA0D37">
        <w:rPr>
          <w:color w:val="993366"/>
        </w:rPr>
        <w:t>OPTIONAL</w:t>
      </w:r>
      <w:r w:rsidRPr="00FA0D37">
        <w:t>,</w:t>
      </w:r>
    </w:p>
    <w:p w14:paraId="44366117" w14:textId="47D901B0" w:rsidR="00E46198" w:rsidRPr="00FA0D37" w:rsidRDefault="00E46198" w:rsidP="00FA0D37">
      <w:pPr>
        <w:pStyle w:val="PL"/>
      </w:pPr>
      <w:r w:rsidRPr="00FA0D37">
        <w:t xml:space="preserve">    supportedBandCombinationListNEDC-Only-v</w:t>
      </w:r>
      <w:r w:rsidR="000C2783" w:rsidRPr="00FA0D37">
        <w:t>1640</w:t>
      </w:r>
      <w:r w:rsidRPr="00FA0D37">
        <w:t xml:space="preserve">         BandCombinationList-v</w:t>
      </w:r>
      <w:r w:rsidR="000C2783" w:rsidRPr="00FA0D37">
        <w:t>1640</w:t>
      </w:r>
      <w:r w:rsidRPr="00FA0D37">
        <w:t xml:space="preserve">                   </w:t>
      </w:r>
      <w:r w:rsidRPr="00FA0D37">
        <w:rPr>
          <w:color w:val="993366"/>
        </w:rPr>
        <w:t>OPTIONAL</w:t>
      </w:r>
      <w:r w:rsidRPr="00FA0D37">
        <w:t>,</w:t>
      </w:r>
    </w:p>
    <w:p w14:paraId="75377E67" w14:textId="09612A8F" w:rsidR="00E46198" w:rsidRPr="00FA0D37" w:rsidRDefault="00E46198" w:rsidP="00FA0D37">
      <w:pPr>
        <w:pStyle w:val="PL"/>
      </w:pPr>
      <w:r w:rsidRPr="00FA0D37">
        <w:t xml:space="preserve">    supportedBandCombinationList-UplinkTxSwitch-v</w:t>
      </w:r>
      <w:r w:rsidR="000C2783" w:rsidRPr="00FA0D37">
        <w:t>1640</w:t>
      </w:r>
      <w:r w:rsidRPr="00FA0D37">
        <w:t xml:space="preserve">   BandCombinationList-UplinkTxSwitch-v</w:t>
      </w:r>
      <w:r w:rsidR="000C2783" w:rsidRPr="00FA0D37">
        <w:t>1640</w:t>
      </w:r>
      <w:r w:rsidRPr="00FA0D37">
        <w:t xml:space="preserve">    </w:t>
      </w:r>
      <w:r w:rsidRPr="00FA0D37">
        <w:rPr>
          <w:color w:val="993366"/>
        </w:rPr>
        <w:t>OPTIONAL</w:t>
      </w:r>
    </w:p>
    <w:p w14:paraId="39D27F3D" w14:textId="5F3A6AFC" w:rsidR="00B55A01" w:rsidRPr="00FA0D37" w:rsidRDefault="00E46198" w:rsidP="00FA0D37">
      <w:pPr>
        <w:pStyle w:val="PL"/>
      </w:pPr>
      <w:r w:rsidRPr="00FA0D37">
        <w:t xml:space="preserve">    ]]</w:t>
      </w:r>
      <w:r w:rsidR="00B55A01" w:rsidRPr="00FA0D37">
        <w:t>,</w:t>
      </w:r>
    </w:p>
    <w:p w14:paraId="5B681F0D" w14:textId="77777777" w:rsidR="00B55A01" w:rsidRPr="00FA0D37" w:rsidRDefault="00B55A01" w:rsidP="00FA0D37">
      <w:pPr>
        <w:pStyle w:val="PL"/>
      </w:pPr>
      <w:r w:rsidRPr="00FA0D37">
        <w:t xml:space="preserve">    [[</w:t>
      </w:r>
    </w:p>
    <w:p w14:paraId="447C1209" w14:textId="7C3584CF" w:rsidR="00B55A01" w:rsidRPr="00FA0D37" w:rsidRDefault="00B55A01" w:rsidP="00FA0D37">
      <w:pPr>
        <w:pStyle w:val="PL"/>
      </w:pPr>
      <w:r w:rsidRPr="00FA0D37">
        <w:t xml:space="preserve">    supportedBandCombinationList-UplinkTxSwitch-v16</w:t>
      </w:r>
      <w:r w:rsidR="00EE4C48" w:rsidRPr="00FA0D37">
        <w:t>70</w:t>
      </w:r>
      <w:r w:rsidRPr="00FA0D37">
        <w:t xml:space="preserve">   BandCombinationList-UplinkTxSwitch-v16</w:t>
      </w:r>
      <w:r w:rsidR="00EE4C48" w:rsidRPr="00FA0D37">
        <w:t>70</w:t>
      </w:r>
      <w:r w:rsidRPr="00FA0D37">
        <w:t xml:space="preserve">    </w:t>
      </w:r>
      <w:r w:rsidRPr="00FA0D37">
        <w:rPr>
          <w:color w:val="993366"/>
        </w:rPr>
        <w:t>OPTIONAL</w:t>
      </w:r>
    </w:p>
    <w:p w14:paraId="3705074D" w14:textId="0DD8D54D" w:rsidR="000B1FA4" w:rsidRPr="00FA0D37" w:rsidRDefault="00B55A01" w:rsidP="00FA0D37">
      <w:pPr>
        <w:pStyle w:val="PL"/>
      </w:pPr>
      <w:r w:rsidRPr="00FA0D37">
        <w:t xml:space="preserve">    ]]</w:t>
      </w:r>
      <w:r w:rsidR="000B1FA4" w:rsidRPr="00FA0D37">
        <w:t>,</w:t>
      </w:r>
    </w:p>
    <w:p w14:paraId="56F5E1EC" w14:textId="6380495E" w:rsidR="000B1FA4" w:rsidRPr="00FA0D37" w:rsidRDefault="000B1FA4" w:rsidP="00FA0D37">
      <w:pPr>
        <w:pStyle w:val="PL"/>
      </w:pPr>
      <w:r w:rsidRPr="00FA0D37">
        <w:t xml:space="preserve">    [[</w:t>
      </w:r>
    </w:p>
    <w:p w14:paraId="31E9097B" w14:textId="552125C6" w:rsidR="000B1FA4" w:rsidRPr="00FA0D37" w:rsidRDefault="000B1FA4" w:rsidP="00FA0D37">
      <w:pPr>
        <w:pStyle w:val="PL"/>
      </w:pPr>
      <w:r w:rsidRPr="00FA0D37">
        <w:t xml:space="preserve">    supportedBandCombinationList-v17</w:t>
      </w:r>
      <w:r w:rsidR="00721523" w:rsidRPr="00FA0D37">
        <w:t>00</w:t>
      </w:r>
      <w:r w:rsidRPr="00FA0D37">
        <w:t xml:space="preserve">                  BandCombinationList-v17</w:t>
      </w:r>
      <w:r w:rsidR="00721523" w:rsidRPr="00FA0D37">
        <w:t>00</w:t>
      </w:r>
      <w:r w:rsidRPr="00FA0D37">
        <w:t xml:space="preserve">                   </w:t>
      </w:r>
      <w:r w:rsidRPr="00FA0D37">
        <w:rPr>
          <w:color w:val="993366"/>
        </w:rPr>
        <w:t>OPTIONAL</w:t>
      </w:r>
      <w:r w:rsidRPr="00FA0D37">
        <w:t>,</w:t>
      </w:r>
    </w:p>
    <w:p w14:paraId="541D78FE" w14:textId="4BCB6C5F" w:rsidR="000B1FA4" w:rsidRPr="00FA0D37" w:rsidRDefault="000B1FA4" w:rsidP="00FA0D37">
      <w:pPr>
        <w:pStyle w:val="PL"/>
      </w:pPr>
      <w:r w:rsidRPr="00FA0D37">
        <w:t xml:space="preserve">    supportedBandCombinationList-UplinkTxSwitch-v17</w:t>
      </w:r>
      <w:r w:rsidR="00721523" w:rsidRPr="00FA0D37">
        <w:t xml:space="preserve">00   </w:t>
      </w:r>
      <w:r w:rsidRPr="00FA0D37">
        <w:t>BandCombinationList-UplinkTxSwitch-v17</w:t>
      </w:r>
      <w:r w:rsidR="00721523" w:rsidRPr="00FA0D37">
        <w:t>00</w:t>
      </w:r>
      <w:r w:rsidRPr="00FA0D37">
        <w:t xml:space="preserve"> </w:t>
      </w:r>
      <w:r w:rsidR="00721523" w:rsidRPr="00FA0D37">
        <w:t xml:space="preserve">  </w:t>
      </w:r>
      <w:r w:rsidRPr="00FA0D37">
        <w:t xml:space="preserve"> </w:t>
      </w:r>
      <w:r w:rsidRPr="00FA0D37">
        <w:rPr>
          <w:color w:val="993366"/>
        </w:rPr>
        <w:t>OPTIONAL</w:t>
      </w:r>
    </w:p>
    <w:p w14:paraId="6206D4CC" w14:textId="5440270D" w:rsidR="00D20678" w:rsidRPr="00FA0D37" w:rsidRDefault="000B1FA4" w:rsidP="00FA0D37">
      <w:pPr>
        <w:pStyle w:val="PL"/>
      </w:pPr>
      <w:r w:rsidRPr="00FA0D37">
        <w:t xml:space="preserve">    ]]</w:t>
      </w:r>
      <w:r w:rsidR="00D20678" w:rsidRPr="00FA0D37">
        <w:t>,</w:t>
      </w:r>
    </w:p>
    <w:p w14:paraId="3B1E8D65" w14:textId="77777777" w:rsidR="00D20678" w:rsidRPr="00FA0D37" w:rsidRDefault="00D20678" w:rsidP="00FA0D37">
      <w:pPr>
        <w:pStyle w:val="PL"/>
      </w:pPr>
      <w:r w:rsidRPr="00FA0D37">
        <w:t xml:space="preserve">    [[</w:t>
      </w:r>
    </w:p>
    <w:p w14:paraId="1E233C20" w14:textId="720A5877" w:rsidR="00D20678" w:rsidRPr="00FA0D37" w:rsidRDefault="00D20678" w:rsidP="00FA0D37">
      <w:pPr>
        <w:pStyle w:val="PL"/>
      </w:pPr>
      <w:r w:rsidRPr="00FA0D37">
        <w:t xml:space="preserve">    supportedBandCombinationList-v1720                  BandCombinationList-v1720                   </w:t>
      </w:r>
      <w:r w:rsidRPr="00FA0D37">
        <w:rPr>
          <w:color w:val="993366"/>
        </w:rPr>
        <w:t>OPTIONAL</w:t>
      </w:r>
      <w:r w:rsidRPr="00FA0D37">
        <w:t>,</w:t>
      </w:r>
    </w:p>
    <w:p w14:paraId="48C668B2" w14:textId="0D4686F0" w:rsidR="00D20678" w:rsidRPr="00FA0D37" w:rsidRDefault="00D20678" w:rsidP="00FA0D37">
      <w:pPr>
        <w:pStyle w:val="PL"/>
      </w:pPr>
      <w:r w:rsidRPr="00FA0D37">
        <w:t xml:space="preserve">    supportedBandCombinationListNEDC-Only-v1720         </w:t>
      </w:r>
      <w:r w:rsidRPr="00FA0D37">
        <w:rPr>
          <w:color w:val="993366"/>
        </w:rPr>
        <w:t>SEQUENCE</w:t>
      </w:r>
      <w:r w:rsidRPr="00FA0D37">
        <w:t xml:space="preserve"> {</w:t>
      </w:r>
    </w:p>
    <w:p w14:paraId="7EAB6308" w14:textId="524BD9B3" w:rsidR="00D20678" w:rsidRPr="00FA0D37" w:rsidRDefault="00D20678" w:rsidP="00FA0D37">
      <w:pPr>
        <w:pStyle w:val="PL"/>
      </w:pPr>
      <w:r w:rsidRPr="00FA0D37">
        <w:t xml:space="preserve">        supportedBandCombinationList-v1700                  BandCombinationList-v1700               </w:t>
      </w:r>
      <w:r w:rsidRPr="00FA0D37">
        <w:rPr>
          <w:color w:val="993366"/>
        </w:rPr>
        <w:t>OPTIONAL</w:t>
      </w:r>
      <w:r w:rsidRPr="00FA0D37">
        <w:t>,</w:t>
      </w:r>
    </w:p>
    <w:p w14:paraId="1003191A" w14:textId="50F3CCE8" w:rsidR="00D20678" w:rsidRPr="00FA0D37" w:rsidRDefault="00D20678" w:rsidP="00FA0D37">
      <w:pPr>
        <w:pStyle w:val="PL"/>
      </w:pPr>
      <w:r w:rsidRPr="00FA0D37">
        <w:t xml:space="preserve">        supportedBandCombinationList-v1720                  BandCombinationList-v1720               </w:t>
      </w:r>
      <w:r w:rsidRPr="00FA0D37">
        <w:rPr>
          <w:color w:val="993366"/>
        </w:rPr>
        <w:t>OPTIONAL</w:t>
      </w:r>
    </w:p>
    <w:p w14:paraId="61E6C333" w14:textId="29C92239" w:rsidR="00D20678" w:rsidRPr="00FA0D37" w:rsidRDefault="00D20678" w:rsidP="00FA0D37">
      <w:pPr>
        <w:pStyle w:val="PL"/>
      </w:pPr>
      <w:r w:rsidRPr="00FA0D37">
        <w:t xml:space="preserve">    }                                                                                               </w:t>
      </w:r>
      <w:r w:rsidRPr="00FA0D37">
        <w:rPr>
          <w:color w:val="993366"/>
        </w:rPr>
        <w:t>OPTIONAL</w:t>
      </w:r>
      <w:r w:rsidRPr="00FA0D37">
        <w:t>,</w:t>
      </w:r>
    </w:p>
    <w:p w14:paraId="6CDB63AD" w14:textId="298C404B" w:rsidR="00D20678" w:rsidRPr="00FA0D37" w:rsidRDefault="00D20678" w:rsidP="00FA0D37">
      <w:pPr>
        <w:pStyle w:val="PL"/>
      </w:pPr>
      <w:r w:rsidRPr="00FA0D37">
        <w:t xml:space="preserve">    supportedBandCombinationList-UplinkTxSwitch-v1720   BandCombinationList-UplinkTxSwitch-v1720    </w:t>
      </w:r>
      <w:r w:rsidRPr="00FA0D37">
        <w:rPr>
          <w:color w:val="993366"/>
        </w:rPr>
        <w:t>OPTIONAL</w:t>
      </w:r>
    </w:p>
    <w:p w14:paraId="550745B8" w14:textId="06F72CEC" w:rsidR="00691952" w:rsidRPr="00FA0D37" w:rsidRDefault="00D20678" w:rsidP="00FA0D37">
      <w:pPr>
        <w:pStyle w:val="PL"/>
      </w:pPr>
      <w:r w:rsidRPr="00FA0D37">
        <w:lastRenderedPageBreak/>
        <w:t xml:space="preserve">    ]]</w:t>
      </w:r>
      <w:r w:rsidR="00691952" w:rsidRPr="00FA0D37">
        <w:t>,</w:t>
      </w:r>
    </w:p>
    <w:p w14:paraId="130A888D" w14:textId="77777777" w:rsidR="00691952" w:rsidRPr="00FA0D37" w:rsidRDefault="00691952" w:rsidP="00FA0D37">
      <w:pPr>
        <w:pStyle w:val="PL"/>
      </w:pPr>
      <w:r w:rsidRPr="00FA0D37">
        <w:t xml:space="preserve">    [[</w:t>
      </w:r>
    </w:p>
    <w:p w14:paraId="1625417F" w14:textId="386EFEFA" w:rsidR="00691952" w:rsidRPr="00FA0D37" w:rsidRDefault="00691952" w:rsidP="00FA0D37">
      <w:pPr>
        <w:pStyle w:val="PL"/>
      </w:pPr>
      <w:r w:rsidRPr="00FA0D37">
        <w:t xml:space="preserve">    supportedBandCombinationList-v1730                  BandCombinationList-v1730                   </w:t>
      </w:r>
      <w:r w:rsidRPr="00FA0D37">
        <w:rPr>
          <w:color w:val="993366"/>
        </w:rPr>
        <w:t>OPTIONAL</w:t>
      </w:r>
      <w:r w:rsidRPr="00FA0D37">
        <w:t>,</w:t>
      </w:r>
    </w:p>
    <w:p w14:paraId="2E4E686C" w14:textId="213ABBBF" w:rsidR="00691952" w:rsidRPr="00FA0D37" w:rsidRDefault="00691952" w:rsidP="00FA0D37">
      <w:pPr>
        <w:pStyle w:val="PL"/>
      </w:pPr>
      <w:r w:rsidRPr="00FA0D37">
        <w:t xml:space="preserve">    supportedBandCombinationListNEDC-Only-v1730         BandCombinationList-v1730                   </w:t>
      </w:r>
      <w:r w:rsidRPr="00FA0D37">
        <w:rPr>
          <w:color w:val="993366"/>
        </w:rPr>
        <w:t>OPTIONAL</w:t>
      </w:r>
      <w:r w:rsidRPr="00FA0D37">
        <w:t>,</w:t>
      </w:r>
    </w:p>
    <w:p w14:paraId="1108D56C" w14:textId="1E3F452E" w:rsidR="00691952" w:rsidRPr="00FA0D37" w:rsidRDefault="00691952" w:rsidP="00FA0D37">
      <w:pPr>
        <w:pStyle w:val="PL"/>
      </w:pPr>
      <w:r w:rsidRPr="00FA0D37">
        <w:t xml:space="preserve">    supportedBandCombinationList-UplinkTxSwitch-v1730   BandCombinationList-UplinkTxSwitch-v1730    </w:t>
      </w:r>
      <w:r w:rsidRPr="00FA0D37">
        <w:rPr>
          <w:color w:val="993366"/>
        </w:rPr>
        <w:t>OPTIONAL</w:t>
      </w:r>
    </w:p>
    <w:p w14:paraId="3C08C93B" w14:textId="3FCA2FE1" w:rsidR="00DD3B63" w:rsidRPr="00FA0D37" w:rsidRDefault="00691952" w:rsidP="00FA0D37">
      <w:pPr>
        <w:pStyle w:val="PL"/>
      </w:pPr>
      <w:r w:rsidRPr="00FA0D37">
        <w:t xml:space="preserve">    ]]</w:t>
      </w:r>
      <w:r w:rsidR="00DD3B63" w:rsidRPr="00FA0D37">
        <w:t>,</w:t>
      </w:r>
    </w:p>
    <w:p w14:paraId="381CA723" w14:textId="77777777" w:rsidR="00DD3B63" w:rsidRPr="00FA0D37" w:rsidRDefault="00DD3B63" w:rsidP="00FA0D37">
      <w:pPr>
        <w:pStyle w:val="PL"/>
      </w:pPr>
      <w:r w:rsidRPr="00FA0D37">
        <w:t xml:space="preserve">    [[</w:t>
      </w:r>
    </w:p>
    <w:p w14:paraId="3E44C73A" w14:textId="3C0EF05B" w:rsidR="00DD3B63" w:rsidRPr="00FA0D37" w:rsidRDefault="00DD3B63" w:rsidP="00FA0D37">
      <w:pPr>
        <w:pStyle w:val="PL"/>
      </w:pPr>
      <w:r w:rsidRPr="00FA0D37">
        <w:t xml:space="preserve">    supportedBandCombinationList-v1740                  BandCombinationList-v1740                   </w:t>
      </w:r>
      <w:r w:rsidRPr="00FA0D37">
        <w:rPr>
          <w:color w:val="993366"/>
        </w:rPr>
        <w:t>OPTIONAL</w:t>
      </w:r>
      <w:r w:rsidRPr="00FA0D37">
        <w:t>,</w:t>
      </w:r>
    </w:p>
    <w:p w14:paraId="6F9BC9EB" w14:textId="726B1CB5" w:rsidR="00DD3B63" w:rsidRPr="00FA0D37" w:rsidRDefault="00DD3B63" w:rsidP="00FA0D37">
      <w:pPr>
        <w:pStyle w:val="PL"/>
      </w:pPr>
      <w:r w:rsidRPr="00FA0D37">
        <w:t xml:space="preserve">    supportedBandCombinationListNEDC-Only-v1740         BandCombinationList-v1740                   </w:t>
      </w:r>
      <w:r w:rsidRPr="00FA0D37">
        <w:rPr>
          <w:color w:val="993366"/>
        </w:rPr>
        <w:t>OPTIONAL</w:t>
      </w:r>
      <w:r w:rsidRPr="00FA0D37">
        <w:t>,</w:t>
      </w:r>
    </w:p>
    <w:p w14:paraId="469E3202" w14:textId="4B0621E3" w:rsidR="00DD3B63" w:rsidRPr="00FA0D37" w:rsidRDefault="00DD3B63" w:rsidP="00FA0D37">
      <w:pPr>
        <w:pStyle w:val="PL"/>
      </w:pPr>
      <w:r w:rsidRPr="00FA0D37">
        <w:t xml:space="preserve">    supportedBandCombinationList-UplinkTxSwitch-v1740   BandCombinationList-UplinkTxSwitch-v1740    </w:t>
      </w:r>
      <w:r w:rsidRPr="00FA0D37">
        <w:rPr>
          <w:color w:val="993366"/>
        </w:rPr>
        <w:t>OPTIONAL</w:t>
      </w:r>
    </w:p>
    <w:p w14:paraId="69DAEB53" w14:textId="3DF15776" w:rsidR="00394471" w:rsidRPr="00FA0D37" w:rsidRDefault="00DD3B63" w:rsidP="00FA0D37">
      <w:pPr>
        <w:pStyle w:val="PL"/>
      </w:pPr>
      <w:r w:rsidRPr="00FA0D37">
        <w:t xml:space="preserve">    ]]</w:t>
      </w:r>
    </w:p>
    <w:p w14:paraId="0E82D068" w14:textId="77777777" w:rsidR="00394471" w:rsidRPr="00FA0D37" w:rsidRDefault="00394471" w:rsidP="00FA0D37">
      <w:pPr>
        <w:pStyle w:val="PL"/>
      </w:pPr>
      <w:r w:rsidRPr="00FA0D37">
        <w:t>}</w:t>
      </w:r>
    </w:p>
    <w:p w14:paraId="46D28CEF" w14:textId="77777777" w:rsidR="00B55A01" w:rsidRPr="00FA0D37" w:rsidRDefault="00B55A01" w:rsidP="00FA0D37">
      <w:pPr>
        <w:pStyle w:val="PL"/>
      </w:pPr>
    </w:p>
    <w:p w14:paraId="487183C6" w14:textId="6F674D8F" w:rsidR="00B55A01" w:rsidRPr="00FA0D37" w:rsidRDefault="00B55A01" w:rsidP="00FA0D37">
      <w:pPr>
        <w:pStyle w:val="PL"/>
      </w:pPr>
      <w:r w:rsidRPr="00FA0D37">
        <w:t>RF-ParametersMRDC-v15</w:t>
      </w:r>
      <w:r w:rsidR="00EE4C48" w:rsidRPr="00FA0D37">
        <w:t>g0</w:t>
      </w:r>
      <w:r w:rsidRPr="00FA0D37">
        <w:t xml:space="preserve"> ::=                    </w:t>
      </w:r>
      <w:r w:rsidRPr="00FA0D37">
        <w:rPr>
          <w:color w:val="993366"/>
        </w:rPr>
        <w:t>SEQUENCE</w:t>
      </w:r>
      <w:r w:rsidRPr="00FA0D37">
        <w:t xml:space="preserve"> {</w:t>
      </w:r>
    </w:p>
    <w:p w14:paraId="45D92190" w14:textId="2B7F480C" w:rsidR="00B55A01" w:rsidRPr="00FA0D37" w:rsidRDefault="00B55A01" w:rsidP="00FA0D37">
      <w:pPr>
        <w:pStyle w:val="PL"/>
      </w:pPr>
      <w:r w:rsidRPr="00FA0D37">
        <w:t xml:space="preserve">    supportedBandCombinationList-v15</w:t>
      </w:r>
      <w:r w:rsidR="00EE4C48" w:rsidRPr="00FA0D37">
        <w:t>g0</w:t>
      </w:r>
      <w:r w:rsidRPr="00FA0D37">
        <w:t xml:space="preserve">             BandCombinationList-v15</w:t>
      </w:r>
      <w:r w:rsidR="00EE4C48" w:rsidRPr="00FA0D37">
        <w:t>g0</w:t>
      </w:r>
      <w:r w:rsidRPr="00FA0D37">
        <w:t xml:space="preserve">        </w:t>
      </w:r>
      <w:r w:rsidRPr="00FA0D37">
        <w:rPr>
          <w:color w:val="993366"/>
        </w:rPr>
        <w:t>OPTIONAL</w:t>
      </w:r>
      <w:r w:rsidRPr="00FA0D37">
        <w:t>,</w:t>
      </w:r>
    </w:p>
    <w:p w14:paraId="35E97AF6" w14:textId="6F04F086" w:rsidR="00B55A01" w:rsidRPr="00FA0D37" w:rsidRDefault="00B55A01" w:rsidP="00FA0D37">
      <w:pPr>
        <w:pStyle w:val="PL"/>
      </w:pPr>
      <w:r w:rsidRPr="00FA0D37">
        <w:t xml:space="preserve">    supportedBandCombinationListNEDC-Only-v15</w:t>
      </w:r>
      <w:r w:rsidR="00EE4C48" w:rsidRPr="00FA0D37">
        <w:t>g0</w:t>
      </w:r>
      <w:r w:rsidRPr="00FA0D37">
        <w:t xml:space="preserve">    BandCombinationList-v15</w:t>
      </w:r>
      <w:r w:rsidR="00EE4C48" w:rsidRPr="00FA0D37">
        <w:t>g0</w:t>
      </w:r>
      <w:r w:rsidRPr="00FA0D37">
        <w:t xml:space="preserve">        </w:t>
      </w:r>
      <w:r w:rsidRPr="00FA0D37">
        <w:rPr>
          <w:color w:val="993366"/>
        </w:rPr>
        <w:t>OPTIONAL</w:t>
      </w:r>
    </w:p>
    <w:p w14:paraId="4B81E5EB" w14:textId="4A7884D0" w:rsidR="00394471" w:rsidRPr="00FA0D37" w:rsidRDefault="00B55A01" w:rsidP="00FA0D37">
      <w:pPr>
        <w:pStyle w:val="PL"/>
      </w:pPr>
      <w:r w:rsidRPr="00FA0D37">
        <w:t>}</w:t>
      </w:r>
    </w:p>
    <w:p w14:paraId="0C8C0B8A" w14:textId="77777777" w:rsidR="00B55A01" w:rsidRPr="00FA0D37" w:rsidRDefault="00B55A01" w:rsidP="00FA0D37">
      <w:pPr>
        <w:pStyle w:val="PL"/>
      </w:pPr>
    </w:p>
    <w:p w14:paraId="3481EF34" w14:textId="51A7F04E" w:rsidR="001B58CB" w:rsidRPr="00FA0D37" w:rsidRDefault="001B58CB" w:rsidP="00FA0D37">
      <w:pPr>
        <w:pStyle w:val="PL"/>
      </w:pPr>
      <w:r w:rsidRPr="00FA0D37">
        <w:t xml:space="preserve">RF-ParametersMRDC-v15n0 ::=                     </w:t>
      </w:r>
      <w:r w:rsidRPr="00FA0D37">
        <w:rPr>
          <w:color w:val="993366"/>
        </w:rPr>
        <w:t>SEQUENCE</w:t>
      </w:r>
      <w:r w:rsidRPr="00FA0D37">
        <w:t xml:space="preserve"> {</w:t>
      </w:r>
    </w:p>
    <w:p w14:paraId="77C26272" w14:textId="746B4B81" w:rsidR="001B58CB" w:rsidRPr="00FA0D37" w:rsidRDefault="001B58CB" w:rsidP="00FA0D37">
      <w:pPr>
        <w:pStyle w:val="PL"/>
      </w:pPr>
      <w:r w:rsidRPr="00FA0D37">
        <w:t xml:space="preserve">supportedBandCombinationList-v15n0                  BandCombinationList-v15n0                       </w:t>
      </w:r>
      <w:r w:rsidRPr="00FA0D37">
        <w:rPr>
          <w:color w:val="993366"/>
        </w:rPr>
        <w:t>OPTIONAL</w:t>
      </w:r>
    </w:p>
    <w:p w14:paraId="7747B755" w14:textId="77777777" w:rsidR="001B58CB" w:rsidRPr="00FA0D37" w:rsidRDefault="001B58CB" w:rsidP="00FA0D37">
      <w:pPr>
        <w:pStyle w:val="PL"/>
      </w:pPr>
      <w:r w:rsidRPr="00FA0D37">
        <w:t>}</w:t>
      </w:r>
    </w:p>
    <w:p w14:paraId="155124E7" w14:textId="77777777" w:rsidR="001B58CB" w:rsidRPr="00FA0D37" w:rsidRDefault="001B58CB" w:rsidP="00FA0D37">
      <w:pPr>
        <w:pStyle w:val="PL"/>
      </w:pPr>
    </w:p>
    <w:p w14:paraId="6501707B" w14:textId="73212031" w:rsidR="001B58CB" w:rsidRPr="00FA0D37" w:rsidRDefault="001B58CB" w:rsidP="00FA0D37">
      <w:pPr>
        <w:pStyle w:val="PL"/>
      </w:pPr>
      <w:r w:rsidRPr="00FA0D37">
        <w:t xml:space="preserve">RF-ParametersMRDC-v16e0 ::=                     </w:t>
      </w:r>
      <w:r w:rsidRPr="00FA0D37">
        <w:rPr>
          <w:color w:val="993366"/>
        </w:rPr>
        <w:t>SEQUENCE</w:t>
      </w:r>
      <w:r w:rsidRPr="00FA0D37">
        <w:t xml:space="preserve"> {</w:t>
      </w:r>
    </w:p>
    <w:p w14:paraId="0345123A" w14:textId="1DBABC40" w:rsidR="001B58CB" w:rsidRPr="00FA0D37" w:rsidRDefault="001B58CB" w:rsidP="00FA0D37">
      <w:pPr>
        <w:pStyle w:val="PL"/>
      </w:pPr>
      <w:r w:rsidRPr="00FA0D37">
        <w:t xml:space="preserve">supportedBandCombinationList-UplinkTxSwitch-v16e0   BandCombinationList-UplinkTxSwitch-v16e0        </w:t>
      </w:r>
      <w:r w:rsidRPr="00FA0D37">
        <w:rPr>
          <w:color w:val="993366"/>
        </w:rPr>
        <w:t>OPTIONAL</w:t>
      </w:r>
    </w:p>
    <w:p w14:paraId="5EEA57F3" w14:textId="0BD8F1FF" w:rsidR="001B58CB" w:rsidRPr="00FA0D37" w:rsidRDefault="001B58CB" w:rsidP="00FA0D37">
      <w:pPr>
        <w:pStyle w:val="PL"/>
      </w:pPr>
      <w:r w:rsidRPr="00FA0D37">
        <w:t>}</w:t>
      </w:r>
    </w:p>
    <w:p w14:paraId="5F6ED87A" w14:textId="77777777" w:rsidR="001B58CB" w:rsidRPr="00FA0D37" w:rsidRDefault="001B58CB" w:rsidP="00FA0D37">
      <w:pPr>
        <w:pStyle w:val="PL"/>
      </w:pPr>
    </w:p>
    <w:p w14:paraId="515E54CB" w14:textId="77777777" w:rsidR="00394471" w:rsidRPr="00FA0D37" w:rsidRDefault="00394471" w:rsidP="00FA0D37">
      <w:pPr>
        <w:pStyle w:val="PL"/>
        <w:rPr>
          <w:color w:val="808080"/>
        </w:rPr>
      </w:pPr>
      <w:r w:rsidRPr="00FA0D37">
        <w:rPr>
          <w:color w:val="808080"/>
        </w:rPr>
        <w:t>-- TAG-RF-PARAMETERSMRDC-STOP</w:t>
      </w:r>
    </w:p>
    <w:p w14:paraId="2AE7C338" w14:textId="77777777" w:rsidR="00394471" w:rsidRPr="00FA0D37" w:rsidRDefault="00394471" w:rsidP="00FA0D37">
      <w:pPr>
        <w:pStyle w:val="PL"/>
        <w:rPr>
          <w:color w:val="808080"/>
        </w:rPr>
      </w:pPr>
      <w:r w:rsidRPr="00FA0D37">
        <w:rPr>
          <w:color w:val="808080"/>
        </w:rPr>
        <w:t>-- ASN1STOP</w:t>
      </w:r>
    </w:p>
    <w:p w14:paraId="1838FC2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87CBA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E68F0" w14:textId="77777777" w:rsidR="00394471" w:rsidRPr="00FA0D37" w:rsidRDefault="00394471" w:rsidP="00964CC4">
            <w:pPr>
              <w:pStyle w:val="TAH"/>
              <w:rPr>
                <w:szCs w:val="22"/>
                <w:lang w:eastAsia="sv-SE"/>
              </w:rPr>
            </w:pPr>
            <w:r w:rsidRPr="00FA0D37">
              <w:rPr>
                <w:i/>
                <w:szCs w:val="22"/>
                <w:lang w:eastAsia="sv-SE"/>
              </w:rPr>
              <w:t xml:space="preserve">RF-ParametersMRDC </w:t>
            </w:r>
            <w:r w:rsidRPr="00FA0D37">
              <w:rPr>
                <w:szCs w:val="22"/>
                <w:lang w:eastAsia="sv-SE"/>
              </w:rPr>
              <w:t>field descriptions</w:t>
            </w:r>
          </w:p>
        </w:tc>
      </w:tr>
      <w:tr w:rsidR="005C7FF4" w:rsidRPr="00FA0D37" w14:paraId="1549CA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3B9CB" w14:textId="77777777" w:rsidR="00394471" w:rsidRPr="00FA0D37" w:rsidRDefault="00394471" w:rsidP="00964CC4">
            <w:pPr>
              <w:pStyle w:val="TAL"/>
              <w:rPr>
                <w:szCs w:val="22"/>
                <w:lang w:eastAsia="sv-SE"/>
              </w:rPr>
            </w:pPr>
            <w:r w:rsidRPr="00FA0D37">
              <w:rPr>
                <w:b/>
                <w:i/>
                <w:szCs w:val="22"/>
                <w:lang w:eastAsia="sv-SE"/>
              </w:rPr>
              <w:t>appliedFreqBandListFilter</w:t>
            </w:r>
          </w:p>
          <w:p w14:paraId="5DFB85D3" w14:textId="77777777" w:rsidR="00394471" w:rsidRPr="00FA0D37" w:rsidRDefault="00394471" w:rsidP="00964CC4">
            <w:pPr>
              <w:pStyle w:val="TAL"/>
              <w:rPr>
                <w:szCs w:val="22"/>
                <w:lang w:eastAsia="sv-SE"/>
              </w:rPr>
            </w:pPr>
            <w:r w:rsidRPr="00FA0D37">
              <w:rPr>
                <w:szCs w:val="22"/>
                <w:lang w:eastAsia="sv-SE"/>
              </w:rPr>
              <w:t xml:space="preserve">In this field the UE mirrors the </w:t>
            </w:r>
            <w:r w:rsidRPr="00FA0D37">
              <w:rPr>
                <w:i/>
                <w:lang w:eastAsia="sv-SE"/>
              </w:rPr>
              <w:t>FreqBandList</w:t>
            </w:r>
            <w:r w:rsidRPr="00FA0D37">
              <w:rPr>
                <w:szCs w:val="22"/>
                <w:lang w:eastAsia="sv-SE"/>
              </w:rPr>
              <w:t xml:space="preserve"> that the NW provided in the capability enquiry, if any. The UE filtered the band combinations in the </w:t>
            </w:r>
            <w:r w:rsidRPr="00FA0D37">
              <w:rPr>
                <w:i/>
                <w:lang w:eastAsia="sv-SE"/>
              </w:rPr>
              <w:t>supportedBandCombinationList</w:t>
            </w:r>
            <w:r w:rsidRPr="00FA0D37">
              <w:rPr>
                <w:szCs w:val="22"/>
                <w:lang w:eastAsia="sv-SE"/>
              </w:rPr>
              <w:t xml:space="preserve"> in accordance with this </w:t>
            </w:r>
            <w:r w:rsidRPr="00FA0D37">
              <w:rPr>
                <w:i/>
                <w:lang w:eastAsia="sv-SE"/>
              </w:rPr>
              <w:t>appliedFreqBandListFilter</w:t>
            </w:r>
            <w:r w:rsidRPr="00FA0D37">
              <w:rPr>
                <w:szCs w:val="22"/>
                <w:lang w:eastAsia="sv-SE"/>
              </w:rPr>
              <w:t>.</w:t>
            </w:r>
          </w:p>
        </w:tc>
      </w:tr>
      <w:tr w:rsidR="005C7FF4" w:rsidRPr="00FA0D37" w14:paraId="18F3EE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F4963F" w14:textId="77777777" w:rsidR="00394471" w:rsidRPr="00FA0D37" w:rsidRDefault="00394471" w:rsidP="00964CC4">
            <w:pPr>
              <w:pStyle w:val="TAL"/>
              <w:rPr>
                <w:szCs w:val="22"/>
                <w:lang w:eastAsia="sv-SE"/>
              </w:rPr>
            </w:pPr>
            <w:r w:rsidRPr="00FA0D37">
              <w:rPr>
                <w:b/>
                <w:i/>
                <w:szCs w:val="22"/>
                <w:lang w:eastAsia="sv-SE"/>
              </w:rPr>
              <w:t>supportedBandCombinationList</w:t>
            </w:r>
          </w:p>
          <w:p w14:paraId="2434CEF2" w14:textId="77777777" w:rsidR="00394471" w:rsidRPr="00FA0D37" w:rsidRDefault="00394471" w:rsidP="00964CC4">
            <w:pPr>
              <w:pStyle w:val="TAL"/>
              <w:rPr>
                <w:szCs w:val="22"/>
                <w:lang w:eastAsia="sv-SE"/>
              </w:rPr>
            </w:pPr>
            <w:r w:rsidRPr="00FA0D37">
              <w:rPr>
                <w:szCs w:val="22"/>
                <w:lang w:eastAsia="sv-SE"/>
              </w:rPr>
              <w:t>A list of band combinations that the UE supports for (NG)EN-DC</w:t>
            </w:r>
            <w:r w:rsidRPr="00FA0D37">
              <w:rPr>
                <w:rFonts w:eastAsia="等线"/>
                <w:szCs w:val="22"/>
              </w:rPr>
              <w:t>, or both (NG)EN-DC</w:t>
            </w:r>
            <w:r w:rsidRPr="00FA0D37">
              <w:rPr>
                <w:szCs w:val="22"/>
                <w:lang w:eastAsia="sv-SE"/>
              </w:rPr>
              <w:t xml:space="preserve"> and NE-DC. The </w:t>
            </w:r>
            <w:r w:rsidRPr="00FA0D37">
              <w:rPr>
                <w:i/>
                <w:szCs w:val="22"/>
                <w:lang w:eastAsia="sv-SE"/>
              </w:rPr>
              <w:t>FeatureSetCombinationId</w:t>
            </w:r>
            <w:r w:rsidRPr="00FA0D37">
              <w:rPr>
                <w:szCs w:val="22"/>
                <w:lang w:eastAsia="sv-SE"/>
              </w:rPr>
              <w:t xml:space="preserve">:s in this list refer to the </w:t>
            </w:r>
            <w:r w:rsidRPr="00FA0D37">
              <w:rPr>
                <w:i/>
                <w:szCs w:val="22"/>
                <w:lang w:eastAsia="sv-SE"/>
              </w:rPr>
              <w:t>FeatureSetCombination</w:t>
            </w:r>
            <w:r w:rsidRPr="00FA0D37">
              <w:rPr>
                <w:szCs w:val="22"/>
                <w:lang w:eastAsia="sv-SE"/>
              </w:rPr>
              <w:t xml:space="preserve"> entries in the </w:t>
            </w:r>
            <w:r w:rsidRPr="00FA0D37">
              <w:rPr>
                <w:i/>
                <w:szCs w:val="22"/>
                <w:lang w:eastAsia="sv-SE"/>
              </w:rPr>
              <w:t>featureSetCombinations</w:t>
            </w:r>
            <w:r w:rsidRPr="00FA0D37">
              <w:rPr>
                <w:szCs w:val="22"/>
                <w:lang w:eastAsia="sv-SE"/>
              </w:rPr>
              <w:t xml:space="preserve"> list in the </w:t>
            </w:r>
            <w:r w:rsidRPr="00FA0D37">
              <w:rPr>
                <w:i/>
                <w:szCs w:val="22"/>
                <w:lang w:eastAsia="sv-SE"/>
              </w:rPr>
              <w:t>UE-MRDC-Capability</w:t>
            </w:r>
            <w:r w:rsidRPr="00FA0D37">
              <w:rPr>
                <w:szCs w:val="22"/>
                <w:lang w:eastAsia="sv-SE"/>
              </w:rPr>
              <w:t xml:space="preserve"> IE.</w:t>
            </w:r>
          </w:p>
        </w:tc>
      </w:tr>
      <w:tr w:rsidR="005C7FF4" w:rsidRPr="00FA0D37" w14:paraId="7694D8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11CDD6" w14:textId="77777777" w:rsidR="00394471" w:rsidRPr="00FA0D37" w:rsidRDefault="00394471" w:rsidP="00964CC4">
            <w:pPr>
              <w:pStyle w:val="TAL"/>
              <w:rPr>
                <w:szCs w:val="22"/>
                <w:lang w:eastAsia="sv-SE"/>
              </w:rPr>
            </w:pPr>
            <w:r w:rsidRPr="00FA0D37">
              <w:rPr>
                <w:b/>
                <w:i/>
                <w:szCs w:val="22"/>
                <w:lang w:eastAsia="sv-SE"/>
              </w:rPr>
              <w:t>supportedBandCombinationListNEDC-Only</w:t>
            </w:r>
            <w:r w:rsidRPr="00FA0D37">
              <w:rPr>
                <w:b/>
                <w:i/>
                <w:szCs w:val="22"/>
              </w:rPr>
              <w:t>, supportedBandCombinationListNEDC-Only-v1610</w:t>
            </w:r>
          </w:p>
          <w:p w14:paraId="03127811" w14:textId="77777777" w:rsidR="00394471" w:rsidRPr="00FA0D37" w:rsidRDefault="00394471" w:rsidP="00964CC4">
            <w:pPr>
              <w:pStyle w:val="TAL"/>
              <w:rPr>
                <w:b/>
                <w:i/>
                <w:szCs w:val="22"/>
                <w:lang w:eastAsia="sv-SE"/>
              </w:rPr>
            </w:pPr>
            <w:r w:rsidRPr="00FA0D37">
              <w:rPr>
                <w:szCs w:val="22"/>
                <w:lang w:eastAsia="sv-SE"/>
              </w:rPr>
              <w:t xml:space="preserve">A list of band combinations that the UE supports only for NE-DC. The </w:t>
            </w:r>
            <w:r w:rsidRPr="00FA0D37">
              <w:rPr>
                <w:i/>
                <w:szCs w:val="22"/>
                <w:lang w:eastAsia="sv-SE"/>
              </w:rPr>
              <w:t>FeatureSetCombinationId</w:t>
            </w:r>
            <w:r w:rsidRPr="00FA0D37">
              <w:rPr>
                <w:szCs w:val="22"/>
                <w:lang w:eastAsia="sv-SE"/>
              </w:rPr>
              <w:t xml:space="preserve">:s in this list refer to the </w:t>
            </w:r>
            <w:r w:rsidRPr="00FA0D37">
              <w:rPr>
                <w:i/>
                <w:szCs w:val="22"/>
                <w:lang w:eastAsia="sv-SE"/>
              </w:rPr>
              <w:t>FeatureSetCombination</w:t>
            </w:r>
            <w:r w:rsidRPr="00FA0D37">
              <w:rPr>
                <w:szCs w:val="22"/>
                <w:lang w:eastAsia="sv-SE"/>
              </w:rPr>
              <w:t xml:space="preserve"> entries in the </w:t>
            </w:r>
            <w:r w:rsidRPr="00FA0D37">
              <w:rPr>
                <w:i/>
                <w:szCs w:val="22"/>
                <w:lang w:eastAsia="sv-SE"/>
              </w:rPr>
              <w:t>featureSetCombinations</w:t>
            </w:r>
            <w:r w:rsidRPr="00FA0D37">
              <w:rPr>
                <w:szCs w:val="22"/>
                <w:lang w:eastAsia="sv-SE"/>
              </w:rPr>
              <w:t xml:space="preserve"> list in the </w:t>
            </w:r>
            <w:r w:rsidRPr="00FA0D37">
              <w:rPr>
                <w:i/>
                <w:szCs w:val="22"/>
                <w:lang w:eastAsia="sv-SE"/>
              </w:rPr>
              <w:t>UE-MRDC-Capability</w:t>
            </w:r>
            <w:r w:rsidRPr="00FA0D37">
              <w:rPr>
                <w:szCs w:val="22"/>
                <w:lang w:eastAsia="sv-SE"/>
              </w:rPr>
              <w:t xml:space="preserve"> IE.</w:t>
            </w:r>
          </w:p>
        </w:tc>
      </w:tr>
      <w:tr w:rsidR="00394471" w:rsidRPr="00FA0D37" w14:paraId="1CBD93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361270" w14:textId="77777777" w:rsidR="00394471" w:rsidRPr="00FA0D37" w:rsidRDefault="00394471" w:rsidP="00964CC4">
            <w:pPr>
              <w:pStyle w:val="TAL"/>
              <w:rPr>
                <w:b/>
                <w:bCs/>
                <w:i/>
                <w:iCs/>
                <w:lang w:eastAsia="zh-CN"/>
              </w:rPr>
            </w:pPr>
            <w:r w:rsidRPr="00FA0D37">
              <w:rPr>
                <w:b/>
                <w:bCs/>
                <w:i/>
                <w:iCs/>
                <w:lang w:eastAsia="zh-CN"/>
              </w:rPr>
              <w:t>supportedBandCombinationList-UplinkTxSwitch</w:t>
            </w:r>
          </w:p>
          <w:p w14:paraId="006E263D" w14:textId="77777777" w:rsidR="00394471" w:rsidRPr="00FA0D37" w:rsidRDefault="00394471" w:rsidP="00964CC4">
            <w:pPr>
              <w:pStyle w:val="TAL"/>
            </w:pPr>
            <w:r w:rsidRPr="00FA0D37">
              <w:rPr>
                <w:lang w:eastAsia="zh-CN"/>
              </w:rPr>
              <w:t xml:space="preserve">A list of band combinations that the UE supports dynamic UL Tx switching for </w:t>
            </w:r>
            <w:r w:rsidRPr="00FA0D37">
              <w:t>(NG)</w:t>
            </w:r>
            <w:r w:rsidRPr="00FA0D37">
              <w:rPr>
                <w:lang w:eastAsia="zh-CN"/>
              </w:rPr>
              <w:t xml:space="preserve">EN-DC. </w:t>
            </w:r>
            <w:r w:rsidRPr="00FA0D37">
              <w:t xml:space="preserve">The </w:t>
            </w:r>
            <w:r w:rsidRPr="00FA0D37">
              <w:rPr>
                <w:i/>
                <w:iCs/>
              </w:rPr>
              <w:t>FeatureSetCombinationId</w:t>
            </w:r>
            <w:r w:rsidRPr="00FA0D37">
              <w:t xml:space="preserve">:s in this list refer to the </w:t>
            </w:r>
            <w:r w:rsidRPr="00FA0D37">
              <w:rPr>
                <w:i/>
                <w:iCs/>
              </w:rPr>
              <w:t>FeatureSetCombination</w:t>
            </w:r>
            <w:r w:rsidRPr="00FA0D37">
              <w:t xml:space="preserve"> entries in the </w:t>
            </w:r>
            <w:r w:rsidRPr="00FA0D37">
              <w:rPr>
                <w:i/>
                <w:iCs/>
              </w:rPr>
              <w:t>featureSetCombinations</w:t>
            </w:r>
            <w:r w:rsidRPr="00FA0D37">
              <w:t xml:space="preserve"> list in the </w:t>
            </w:r>
            <w:r w:rsidRPr="00FA0D37">
              <w:rPr>
                <w:i/>
                <w:iCs/>
              </w:rPr>
              <w:t>UE-MRDC-Capability</w:t>
            </w:r>
            <w:r w:rsidRPr="00FA0D37">
              <w:t xml:space="preserve"> IE.</w:t>
            </w:r>
          </w:p>
        </w:tc>
      </w:tr>
    </w:tbl>
    <w:p w14:paraId="2FD36F0F" w14:textId="77777777" w:rsidR="00394471" w:rsidRPr="00FA0D37" w:rsidRDefault="00394471" w:rsidP="00394471"/>
    <w:p w14:paraId="5D584CB4" w14:textId="1756229F" w:rsidR="00394471" w:rsidRPr="00FA0D37" w:rsidRDefault="00394471" w:rsidP="00394471">
      <w:pPr>
        <w:pStyle w:val="4"/>
        <w:rPr>
          <w:rFonts w:eastAsia="Malgun Gothic"/>
        </w:rPr>
      </w:pPr>
      <w:bookmarkStart w:id="1612" w:name="_Toc60777477"/>
      <w:bookmarkStart w:id="1613" w:name="_Toc146781584"/>
      <w:r w:rsidRPr="00FA0D37">
        <w:rPr>
          <w:rFonts w:eastAsia="Malgun Gothic"/>
        </w:rPr>
        <w:lastRenderedPageBreak/>
        <w:t>–</w:t>
      </w:r>
      <w:r w:rsidRPr="00FA0D37">
        <w:rPr>
          <w:rFonts w:eastAsia="Malgun Gothic"/>
        </w:rPr>
        <w:tab/>
      </w:r>
      <w:r w:rsidRPr="00FA0D37">
        <w:rPr>
          <w:rFonts w:eastAsia="Malgun Gothic"/>
          <w:i/>
        </w:rPr>
        <w:t>RLC-Parameters</w:t>
      </w:r>
      <w:bookmarkEnd w:id="1612"/>
      <w:bookmarkEnd w:id="1613"/>
    </w:p>
    <w:p w14:paraId="1F838B11" w14:textId="77777777" w:rsidR="00394471" w:rsidRPr="00FA0D37" w:rsidRDefault="00394471" w:rsidP="00394471">
      <w:pPr>
        <w:rPr>
          <w:rFonts w:eastAsia="Malgun Gothic"/>
        </w:rPr>
      </w:pPr>
      <w:r w:rsidRPr="00FA0D37">
        <w:rPr>
          <w:rFonts w:eastAsia="Malgun Gothic"/>
        </w:rPr>
        <w:t xml:space="preserve">The IE </w:t>
      </w:r>
      <w:r w:rsidRPr="00FA0D37">
        <w:rPr>
          <w:rFonts w:eastAsia="Malgun Gothic"/>
          <w:i/>
        </w:rPr>
        <w:t>RLC-Parameters</w:t>
      </w:r>
      <w:r w:rsidRPr="00FA0D37">
        <w:rPr>
          <w:rFonts w:eastAsia="Malgun Gothic"/>
        </w:rPr>
        <w:t xml:space="preserve"> is used to convey capabilities related to RLC.</w:t>
      </w:r>
    </w:p>
    <w:p w14:paraId="147ADC1A" w14:textId="77777777" w:rsidR="00394471" w:rsidRPr="00FA0D37" w:rsidRDefault="00394471" w:rsidP="00394471">
      <w:pPr>
        <w:pStyle w:val="TH"/>
        <w:rPr>
          <w:rFonts w:eastAsia="Malgun Gothic"/>
        </w:rPr>
      </w:pPr>
      <w:r w:rsidRPr="00FA0D37">
        <w:rPr>
          <w:rFonts w:eastAsia="Malgun Gothic"/>
          <w:i/>
        </w:rPr>
        <w:t>RLC-Parameters</w:t>
      </w:r>
      <w:r w:rsidRPr="00FA0D37">
        <w:rPr>
          <w:rFonts w:eastAsia="Malgun Gothic"/>
        </w:rPr>
        <w:t xml:space="preserve"> information element</w:t>
      </w:r>
    </w:p>
    <w:p w14:paraId="485A8B84" w14:textId="77777777" w:rsidR="00394471" w:rsidRPr="00FA0D37" w:rsidRDefault="00394471" w:rsidP="00FA0D37">
      <w:pPr>
        <w:pStyle w:val="PL"/>
        <w:rPr>
          <w:color w:val="808080"/>
        </w:rPr>
      </w:pPr>
      <w:r w:rsidRPr="00FA0D37">
        <w:rPr>
          <w:color w:val="808080"/>
        </w:rPr>
        <w:t>-- ASN1START</w:t>
      </w:r>
    </w:p>
    <w:p w14:paraId="54A71806" w14:textId="77777777" w:rsidR="00394471" w:rsidRPr="00FA0D37" w:rsidRDefault="00394471" w:rsidP="00FA0D37">
      <w:pPr>
        <w:pStyle w:val="PL"/>
        <w:rPr>
          <w:color w:val="808080"/>
        </w:rPr>
      </w:pPr>
      <w:r w:rsidRPr="00FA0D37">
        <w:rPr>
          <w:color w:val="808080"/>
        </w:rPr>
        <w:t>-- TAG-RLC-PARAMETERS-START</w:t>
      </w:r>
    </w:p>
    <w:p w14:paraId="29518C8D" w14:textId="77777777" w:rsidR="00394471" w:rsidRPr="00FA0D37" w:rsidRDefault="00394471" w:rsidP="00FA0D37">
      <w:pPr>
        <w:pStyle w:val="PL"/>
      </w:pPr>
    </w:p>
    <w:p w14:paraId="3889C60E" w14:textId="77777777" w:rsidR="00394471" w:rsidRPr="00FA0D37" w:rsidRDefault="00394471" w:rsidP="00FA0D37">
      <w:pPr>
        <w:pStyle w:val="PL"/>
      </w:pPr>
      <w:r w:rsidRPr="00FA0D37">
        <w:t xml:space="preserve">RLC-Parameters ::= </w:t>
      </w:r>
      <w:r w:rsidRPr="00FA0D37">
        <w:rPr>
          <w:color w:val="993366"/>
        </w:rPr>
        <w:t>SEQUENCE</w:t>
      </w:r>
      <w:r w:rsidRPr="00FA0D37">
        <w:t xml:space="preserve"> {</w:t>
      </w:r>
    </w:p>
    <w:p w14:paraId="187FCFD8" w14:textId="77777777" w:rsidR="00394471" w:rsidRPr="00FA0D37" w:rsidRDefault="00394471" w:rsidP="00FA0D37">
      <w:pPr>
        <w:pStyle w:val="PL"/>
      </w:pPr>
      <w:r w:rsidRPr="00FA0D37">
        <w:t xml:space="preserve">    am-WithShortSN                  </w:t>
      </w:r>
      <w:r w:rsidRPr="00FA0D37">
        <w:rPr>
          <w:color w:val="993366"/>
        </w:rPr>
        <w:t>ENUMERATED</w:t>
      </w:r>
      <w:r w:rsidRPr="00FA0D37">
        <w:t xml:space="preserve"> {supported}  </w:t>
      </w:r>
      <w:r w:rsidRPr="00FA0D37">
        <w:rPr>
          <w:color w:val="993366"/>
        </w:rPr>
        <w:t>OPTIONAL</w:t>
      </w:r>
      <w:r w:rsidRPr="00FA0D37">
        <w:t>,</w:t>
      </w:r>
    </w:p>
    <w:p w14:paraId="7A555341" w14:textId="77777777" w:rsidR="00394471" w:rsidRPr="00FA0D37" w:rsidRDefault="00394471" w:rsidP="00FA0D37">
      <w:pPr>
        <w:pStyle w:val="PL"/>
      </w:pPr>
      <w:r w:rsidRPr="00FA0D37">
        <w:t xml:space="preserve">    um-WithShortSN                  </w:t>
      </w:r>
      <w:r w:rsidRPr="00FA0D37">
        <w:rPr>
          <w:color w:val="993366"/>
        </w:rPr>
        <w:t>ENUMERATED</w:t>
      </w:r>
      <w:r w:rsidRPr="00FA0D37">
        <w:t xml:space="preserve"> {supported}  </w:t>
      </w:r>
      <w:r w:rsidRPr="00FA0D37">
        <w:rPr>
          <w:color w:val="993366"/>
        </w:rPr>
        <w:t>OPTIONAL</w:t>
      </w:r>
      <w:r w:rsidRPr="00FA0D37">
        <w:t>,</w:t>
      </w:r>
    </w:p>
    <w:p w14:paraId="3667D0E3" w14:textId="77777777" w:rsidR="00394471" w:rsidRPr="00FA0D37" w:rsidRDefault="00394471" w:rsidP="00FA0D37">
      <w:pPr>
        <w:pStyle w:val="PL"/>
      </w:pPr>
      <w:r w:rsidRPr="00FA0D37">
        <w:t xml:space="preserve">    um-WithLongSN                   </w:t>
      </w:r>
      <w:r w:rsidRPr="00FA0D37">
        <w:rPr>
          <w:color w:val="993366"/>
        </w:rPr>
        <w:t>ENUMERATED</w:t>
      </w:r>
      <w:r w:rsidRPr="00FA0D37">
        <w:t xml:space="preserve"> {supported}  </w:t>
      </w:r>
      <w:r w:rsidRPr="00FA0D37">
        <w:rPr>
          <w:color w:val="993366"/>
        </w:rPr>
        <w:t>OPTIONAL</w:t>
      </w:r>
      <w:r w:rsidRPr="00FA0D37">
        <w:t>,</w:t>
      </w:r>
    </w:p>
    <w:p w14:paraId="47C55A13" w14:textId="77777777" w:rsidR="00394471" w:rsidRPr="00FA0D37" w:rsidRDefault="00394471" w:rsidP="00FA0D37">
      <w:pPr>
        <w:pStyle w:val="PL"/>
      </w:pPr>
      <w:r w:rsidRPr="00FA0D37">
        <w:t xml:space="preserve">    ...,</w:t>
      </w:r>
    </w:p>
    <w:p w14:paraId="791D5AEC" w14:textId="77777777" w:rsidR="00394471" w:rsidRPr="00FA0D37" w:rsidRDefault="00394471" w:rsidP="00FA0D37">
      <w:pPr>
        <w:pStyle w:val="PL"/>
      </w:pPr>
      <w:r w:rsidRPr="00FA0D37">
        <w:t xml:space="preserve">    [[</w:t>
      </w:r>
    </w:p>
    <w:p w14:paraId="76360FA2" w14:textId="77777777" w:rsidR="00394471" w:rsidRPr="00FA0D37" w:rsidRDefault="00394471" w:rsidP="00FA0D37">
      <w:pPr>
        <w:pStyle w:val="PL"/>
      </w:pPr>
      <w:r w:rsidRPr="00FA0D37">
        <w:t xml:space="preserve">    extendedT-PollRetransmit-r16    </w:t>
      </w:r>
      <w:r w:rsidRPr="00FA0D37">
        <w:rPr>
          <w:color w:val="993366"/>
        </w:rPr>
        <w:t>ENUMERATED</w:t>
      </w:r>
      <w:r w:rsidRPr="00FA0D37">
        <w:t xml:space="preserve"> {supported}  </w:t>
      </w:r>
      <w:r w:rsidRPr="00FA0D37">
        <w:rPr>
          <w:color w:val="993366"/>
        </w:rPr>
        <w:t>OPTIONAL</w:t>
      </w:r>
      <w:r w:rsidRPr="00FA0D37">
        <w:t>,</w:t>
      </w:r>
    </w:p>
    <w:p w14:paraId="1302BC74" w14:textId="77777777" w:rsidR="00394471" w:rsidRPr="00FA0D37" w:rsidRDefault="00394471" w:rsidP="00FA0D37">
      <w:pPr>
        <w:pStyle w:val="PL"/>
      </w:pPr>
      <w:r w:rsidRPr="00FA0D37">
        <w:t xml:space="preserve">    extendedT-StatusProhibit-r16    </w:t>
      </w:r>
      <w:r w:rsidRPr="00FA0D37">
        <w:rPr>
          <w:color w:val="993366"/>
        </w:rPr>
        <w:t>ENUMERATED</w:t>
      </w:r>
      <w:r w:rsidRPr="00FA0D37">
        <w:t xml:space="preserve"> {supported}  </w:t>
      </w:r>
      <w:r w:rsidRPr="00FA0D37">
        <w:rPr>
          <w:color w:val="993366"/>
        </w:rPr>
        <w:t>OPTIONAL</w:t>
      </w:r>
    </w:p>
    <w:p w14:paraId="04937DF9" w14:textId="51A0652D" w:rsidR="00721523" w:rsidRPr="00FA0D37" w:rsidRDefault="00394471" w:rsidP="00FA0D37">
      <w:pPr>
        <w:pStyle w:val="PL"/>
      </w:pPr>
      <w:r w:rsidRPr="00FA0D37">
        <w:t xml:space="preserve">    ]]</w:t>
      </w:r>
      <w:r w:rsidR="00721523" w:rsidRPr="00FA0D37">
        <w:t>,</w:t>
      </w:r>
    </w:p>
    <w:p w14:paraId="29547DA5" w14:textId="77777777" w:rsidR="00721523" w:rsidRPr="00FA0D37" w:rsidRDefault="00721523" w:rsidP="00FA0D37">
      <w:pPr>
        <w:pStyle w:val="PL"/>
      </w:pPr>
      <w:r w:rsidRPr="00FA0D37">
        <w:t xml:space="preserve">    [[</w:t>
      </w:r>
    </w:p>
    <w:p w14:paraId="2964E1A8" w14:textId="77777777" w:rsidR="00721523" w:rsidRPr="00FA0D37" w:rsidRDefault="00721523" w:rsidP="00FA0D37">
      <w:pPr>
        <w:pStyle w:val="PL"/>
      </w:pPr>
      <w:r w:rsidRPr="00FA0D37">
        <w:t xml:space="preserve">    am-WithLongSN-RedCap-r17        </w:t>
      </w:r>
      <w:r w:rsidRPr="00FA0D37">
        <w:rPr>
          <w:color w:val="993366"/>
        </w:rPr>
        <w:t>ENUMERATED</w:t>
      </w:r>
      <w:r w:rsidRPr="00FA0D37">
        <w:t xml:space="preserve"> {supported}  </w:t>
      </w:r>
      <w:r w:rsidRPr="00FA0D37">
        <w:rPr>
          <w:color w:val="993366"/>
        </w:rPr>
        <w:t>OPTIONAL</w:t>
      </w:r>
    </w:p>
    <w:p w14:paraId="6B0478B1" w14:textId="1E31C525" w:rsidR="00394471" w:rsidRPr="00FA0D37" w:rsidRDefault="00721523" w:rsidP="00FA0D37">
      <w:pPr>
        <w:pStyle w:val="PL"/>
      </w:pPr>
      <w:r w:rsidRPr="00FA0D37">
        <w:t xml:space="preserve">    ]]</w:t>
      </w:r>
    </w:p>
    <w:p w14:paraId="2597143D" w14:textId="77777777" w:rsidR="00394471" w:rsidRPr="00FA0D37" w:rsidRDefault="00394471" w:rsidP="00FA0D37">
      <w:pPr>
        <w:pStyle w:val="PL"/>
      </w:pPr>
      <w:r w:rsidRPr="00FA0D37">
        <w:t>}</w:t>
      </w:r>
    </w:p>
    <w:p w14:paraId="2FF03E67" w14:textId="77777777" w:rsidR="00394471" w:rsidRPr="00FA0D37" w:rsidRDefault="00394471" w:rsidP="00FA0D37">
      <w:pPr>
        <w:pStyle w:val="PL"/>
      </w:pPr>
    </w:p>
    <w:p w14:paraId="2E96D1E2" w14:textId="77777777" w:rsidR="00394471" w:rsidRPr="00FA0D37" w:rsidRDefault="00394471" w:rsidP="00FA0D37">
      <w:pPr>
        <w:pStyle w:val="PL"/>
        <w:rPr>
          <w:color w:val="808080"/>
        </w:rPr>
      </w:pPr>
      <w:r w:rsidRPr="00FA0D37">
        <w:rPr>
          <w:color w:val="808080"/>
        </w:rPr>
        <w:t>-- TAG-RLC-PARAMETERS-STOP</w:t>
      </w:r>
    </w:p>
    <w:p w14:paraId="6AFE841F" w14:textId="77777777" w:rsidR="00394471" w:rsidRPr="00FA0D37" w:rsidRDefault="00394471" w:rsidP="00FA0D37">
      <w:pPr>
        <w:pStyle w:val="PL"/>
        <w:rPr>
          <w:color w:val="808080"/>
        </w:rPr>
      </w:pPr>
      <w:r w:rsidRPr="00FA0D37">
        <w:rPr>
          <w:color w:val="808080"/>
        </w:rPr>
        <w:t>-- ASN1STOP</w:t>
      </w:r>
    </w:p>
    <w:p w14:paraId="411F7BDE" w14:textId="77777777" w:rsidR="00394471" w:rsidRPr="00FA0D37" w:rsidRDefault="00394471" w:rsidP="00394471"/>
    <w:p w14:paraId="6FDFCEFC" w14:textId="2E9816BA" w:rsidR="00394471" w:rsidRPr="00FA0D37" w:rsidRDefault="00394471" w:rsidP="00394471">
      <w:pPr>
        <w:pStyle w:val="4"/>
        <w:rPr>
          <w:rFonts w:eastAsia="Malgun Gothic"/>
        </w:rPr>
      </w:pPr>
      <w:bookmarkStart w:id="1614" w:name="_Toc60777478"/>
      <w:bookmarkStart w:id="1615" w:name="_Toc146781585"/>
      <w:r w:rsidRPr="00FA0D37">
        <w:rPr>
          <w:rFonts w:eastAsia="Malgun Gothic"/>
        </w:rPr>
        <w:t>–</w:t>
      </w:r>
      <w:r w:rsidRPr="00FA0D37">
        <w:rPr>
          <w:rFonts w:eastAsia="Malgun Gothic"/>
        </w:rPr>
        <w:tab/>
      </w:r>
      <w:r w:rsidRPr="00FA0D37">
        <w:rPr>
          <w:rFonts w:eastAsia="Malgun Gothic"/>
          <w:i/>
        </w:rPr>
        <w:t>SDAP-Parameters</w:t>
      </w:r>
      <w:bookmarkEnd w:id="1614"/>
      <w:bookmarkEnd w:id="1615"/>
    </w:p>
    <w:p w14:paraId="7814837E" w14:textId="77777777" w:rsidR="00394471" w:rsidRPr="00FA0D37" w:rsidRDefault="00394471" w:rsidP="00394471">
      <w:pPr>
        <w:rPr>
          <w:rFonts w:eastAsia="Malgun Gothic"/>
        </w:rPr>
      </w:pPr>
      <w:r w:rsidRPr="00FA0D37">
        <w:rPr>
          <w:rFonts w:eastAsia="Malgun Gothic"/>
        </w:rPr>
        <w:t xml:space="preserve">The IE </w:t>
      </w:r>
      <w:r w:rsidRPr="00FA0D37">
        <w:rPr>
          <w:rFonts w:eastAsia="Malgun Gothic"/>
          <w:i/>
        </w:rPr>
        <w:t>SDAP-Parameters</w:t>
      </w:r>
      <w:r w:rsidRPr="00FA0D37">
        <w:rPr>
          <w:rFonts w:eastAsia="Malgun Gothic"/>
        </w:rPr>
        <w:t xml:space="preserve"> is used to convey capabilities related to SDAP.</w:t>
      </w:r>
    </w:p>
    <w:p w14:paraId="460572FB" w14:textId="77777777" w:rsidR="00394471" w:rsidRPr="00FA0D37" w:rsidRDefault="00394471" w:rsidP="00394471">
      <w:pPr>
        <w:pStyle w:val="TH"/>
        <w:rPr>
          <w:rFonts w:eastAsia="Malgun Gothic"/>
        </w:rPr>
      </w:pPr>
      <w:r w:rsidRPr="00FA0D37">
        <w:rPr>
          <w:rFonts w:eastAsia="Malgun Gothic"/>
          <w:i/>
        </w:rPr>
        <w:t>SDAP-Parameters</w:t>
      </w:r>
      <w:r w:rsidRPr="00FA0D37">
        <w:rPr>
          <w:rFonts w:eastAsia="Malgun Gothic"/>
        </w:rPr>
        <w:t xml:space="preserve"> information element</w:t>
      </w:r>
    </w:p>
    <w:p w14:paraId="5A18EAE9" w14:textId="77777777" w:rsidR="00394471" w:rsidRPr="00FA0D37" w:rsidRDefault="00394471" w:rsidP="00FA0D37">
      <w:pPr>
        <w:pStyle w:val="PL"/>
        <w:rPr>
          <w:color w:val="808080"/>
        </w:rPr>
      </w:pPr>
      <w:r w:rsidRPr="00FA0D37">
        <w:rPr>
          <w:color w:val="808080"/>
        </w:rPr>
        <w:t>-- ASN1START</w:t>
      </w:r>
    </w:p>
    <w:p w14:paraId="08F8E3C9" w14:textId="77777777" w:rsidR="00394471" w:rsidRPr="00FA0D37" w:rsidRDefault="00394471" w:rsidP="00FA0D37">
      <w:pPr>
        <w:pStyle w:val="PL"/>
        <w:rPr>
          <w:color w:val="808080"/>
        </w:rPr>
      </w:pPr>
      <w:r w:rsidRPr="00FA0D37">
        <w:rPr>
          <w:color w:val="808080"/>
        </w:rPr>
        <w:t>-- TAG-SDAP-PARAMETERS-START</w:t>
      </w:r>
    </w:p>
    <w:p w14:paraId="4F474227" w14:textId="77777777" w:rsidR="00394471" w:rsidRPr="00FA0D37" w:rsidRDefault="00394471" w:rsidP="00FA0D37">
      <w:pPr>
        <w:pStyle w:val="PL"/>
      </w:pPr>
    </w:p>
    <w:p w14:paraId="7BC1AB7B" w14:textId="77777777" w:rsidR="00394471" w:rsidRPr="00FA0D37" w:rsidRDefault="00394471" w:rsidP="00FA0D37">
      <w:pPr>
        <w:pStyle w:val="PL"/>
      </w:pPr>
      <w:r w:rsidRPr="00FA0D37">
        <w:t xml:space="preserve">SDAP-Parameters ::= </w:t>
      </w:r>
      <w:r w:rsidRPr="00FA0D37">
        <w:rPr>
          <w:color w:val="993366"/>
        </w:rPr>
        <w:t>SEQUENCE</w:t>
      </w:r>
      <w:r w:rsidRPr="00FA0D37">
        <w:t xml:space="preserve"> {</w:t>
      </w:r>
    </w:p>
    <w:p w14:paraId="4FDC7B4E" w14:textId="77777777" w:rsidR="00394471" w:rsidRPr="00FA0D37" w:rsidRDefault="00394471" w:rsidP="00FA0D37">
      <w:pPr>
        <w:pStyle w:val="PL"/>
        <w:rPr>
          <w:rFonts w:eastAsia="Batang"/>
        </w:rPr>
      </w:pPr>
      <w:r w:rsidRPr="00FA0D37">
        <w:rPr>
          <w:rFonts w:eastAsia="Batang"/>
        </w:rPr>
        <w:t xml:space="preserve">    as-ReflectiveQoS                 </w:t>
      </w:r>
      <w:r w:rsidRPr="00FA0D37">
        <w:rPr>
          <w:rFonts w:eastAsia="Batang"/>
          <w:color w:val="993366"/>
        </w:rPr>
        <w:t>ENUMERATED</w:t>
      </w:r>
      <w:r w:rsidRPr="00FA0D37">
        <w:rPr>
          <w:rFonts w:eastAsia="Batang"/>
        </w:rPr>
        <w:t xml:space="preserve"> {true}       </w:t>
      </w:r>
      <w:r w:rsidRPr="00FA0D37">
        <w:t xml:space="preserve">        </w:t>
      </w:r>
      <w:r w:rsidRPr="00FA0D37">
        <w:rPr>
          <w:rFonts w:eastAsia="Batang"/>
          <w:color w:val="993366"/>
        </w:rPr>
        <w:t>OPTIONAL</w:t>
      </w:r>
      <w:r w:rsidRPr="00FA0D37">
        <w:rPr>
          <w:rFonts w:eastAsia="Batang"/>
        </w:rPr>
        <w:t>,</w:t>
      </w:r>
    </w:p>
    <w:p w14:paraId="58732F49" w14:textId="77777777" w:rsidR="00394471" w:rsidRPr="00FA0D37" w:rsidRDefault="00394471" w:rsidP="00FA0D37">
      <w:pPr>
        <w:pStyle w:val="PL"/>
      </w:pPr>
      <w:r w:rsidRPr="00FA0D37">
        <w:t xml:space="preserve">    ...,</w:t>
      </w:r>
    </w:p>
    <w:p w14:paraId="55E9D617" w14:textId="77777777" w:rsidR="00394471" w:rsidRPr="00FA0D37" w:rsidRDefault="00394471" w:rsidP="00FA0D37">
      <w:pPr>
        <w:pStyle w:val="PL"/>
      </w:pPr>
      <w:r w:rsidRPr="00FA0D37">
        <w:t xml:space="preserve">    [[</w:t>
      </w:r>
    </w:p>
    <w:p w14:paraId="06C710A4" w14:textId="77777777" w:rsidR="00394471" w:rsidRPr="00FA0D37" w:rsidRDefault="00394471" w:rsidP="00FA0D37">
      <w:pPr>
        <w:pStyle w:val="PL"/>
        <w:rPr>
          <w:rFonts w:eastAsia="Batang"/>
        </w:rPr>
      </w:pPr>
      <w:r w:rsidRPr="00FA0D37">
        <w:t xml:space="preserve">    sdap-QOS-IAB-r16              </w:t>
      </w:r>
      <w:r w:rsidRPr="00FA0D37">
        <w:rPr>
          <w:rFonts w:eastAsia="Batang"/>
          <w:color w:val="993366"/>
        </w:rPr>
        <w:t>ENUMERATED</w:t>
      </w:r>
      <w:r w:rsidRPr="00FA0D37">
        <w:rPr>
          <w:rFonts w:eastAsia="Batang"/>
        </w:rPr>
        <w:t xml:space="preserve"> {supported}  </w:t>
      </w:r>
      <w:r w:rsidRPr="00FA0D37">
        <w:t xml:space="preserve">     </w:t>
      </w:r>
      <w:r w:rsidRPr="00FA0D37">
        <w:rPr>
          <w:rFonts w:eastAsia="Batang"/>
          <w:color w:val="993366"/>
        </w:rPr>
        <w:t>OPTIONAL</w:t>
      </w:r>
      <w:r w:rsidRPr="00FA0D37">
        <w:rPr>
          <w:rFonts w:eastAsia="Batang"/>
        </w:rPr>
        <w:t>,</w:t>
      </w:r>
    </w:p>
    <w:p w14:paraId="1DD626B7" w14:textId="77777777" w:rsidR="00394471" w:rsidRPr="00FA0D37" w:rsidRDefault="00394471" w:rsidP="00FA0D37">
      <w:pPr>
        <w:pStyle w:val="PL"/>
        <w:rPr>
          <w:rFonts w:eastAsia="Batang"/>
        </w:rPr>
      </w:pPr>
      <w:r w:rsidRPr="00FA0D37">
        <w:t xml:space="preserve">    </w:t>
      </w:r>
      <w:r w:rsidRPr="00FA0D37">
        <w:rPr>
          <w:rFonts w:eastAsia="Batang"/>
        </w:rPr>
        <w:t>sdapHeaderIAB-r16</w:t>
      </w:r>
      <w:r w:rsidRPr="00FA0D37">
        <w:t xml:space="preserve">             </w:t>
      </w:r>
      <w:r w:rsidRPr="00FA0D37">
        <w:rPr>
          <w:rFonts w:eastAsia="Batang"/>
          <w:color w:val="993366"/>
        </w:rPr>
        <w:t>ENUMERATED</w:t>
      </w:r>
      <w:r w:rsidRPr="00FA0D37">
        <w:rPr>
          <w:rFonts w:eastAsia="Batang"/>
        </w:rPr>
        <w:t xml:space="preserve"> {supported}  </w:t>
      </w:r>
      <w:r w:rsidRPr="00FA0D37">
        <w:t xml:space="preserve">     </w:t>
      </w:r>
      <w:r w:rsidRPr="00FA0D37">
        <w:rPr>
          <w:rFonts w:eastAsia="Batang"/>
          <w:color w:val="993366"/>
        </w:rPr>
        <w:t>OPTIONAL</w:t>
      </w:r>
    </w:p>
    <w:p w14:paraId="3B980ABB" w14:textId="77777777" w:rsidR="00394471" w:rsidRPr="00FA0D37" w:rsidRDefault="00394471" w:rsidP="00FA0D37">
      <w:pPr>
        <w:pStyle w:val="PL"/>
      </w:pPr>
      <w:r w:rsidRPr="00FA0D37">
        <w:t xml:space="preserve">    </w:t>
      </w:r>
      <w:r w:rsidRPr="00FA0D37">
        <w:rPr>
          <w:rFonts w:eastAsia="Batang"/>
        </w:rPr>
        <w:t>]]</w:t>
      </w:r>
    </w:p>
    <w:p w14:paraId="52E07004" w14:textId="77777777" w:rsidR="00394471" w:rsidRPr="00FA0D37" w:rsidRDefault="00394471" w:rsidP="00FA0D37">
      <w:pPr>
        <w:pStyle w:val="PL"/>
      </w:pPr>
    </w:p>
    <w:p w14:paraId="07361941" w14:textId="77777777" w:rsidR="00394471" w:rsidRPr="00FA0D37" w:rsidRDefault="00394471" w:rsidP="00FA0D37">
      <w:pPr>
        <w:pStyle w:val="PL"/>
      </w:pPr>
      <w:r w:rsidRPr="00FA0D37">
        <w:t>}</w:t>
      </w:r>
    </w:p>
    <w:p w14:paraId="4173973F" w14:textId="77777777" w:rsidR="00394471" w:rsidRPr="00FA0D37" w:rsidRDefault="00394471" w:rsidP="00FA0D37">
      <w:pPr>
        <w:pStyle w:val="PL"/>
      </w:pPr>
    </w:p>
    <w:p w14:paraId="0A7E346A" w14:textId="77777777" w:rsidR="00394471" w:rsidRPr="00FA0D37" w:rsidRDefault="00394471" w:rsidP="00FA0D37">
      <w:pPr>
        <w:pStyle w:val="PL"/>
        <w:rPr>
          <w:color w:val="808080"/>
        </w:rPr>
      </w:pPr>
      <w:r w:rsidRPr="00FA0D37">
        <w:rPr>
          <w:color w:val="808080"/>
        </w:rPr>
        <w:t>-- TAG-SDAP-PARAMETERS-STOP</w:t>
      </w:r>
    </w:p>
    <w:p w14:paraId="26AD88E5" w14:textId="77777777" w:rsidR="00394471" w:rsidRPr="00FA0D37" w:rsidRDefault="00394471" w:rsidP="00FA0D37">
      <w:pPr>
        <w:pStyle w:val="PL"/>
        <w:rPr>
          <w:color w:val="808080"/>
        </w:rPr>
      </w:pPr>
      <w:r w:rsidRPr="00FA0D37">
        <w:rPr>
          <w:color w:val="808080"/>
        </w:rPr>
        <w:t>-- ASN1STOP</w:t>
      </w:r>
    </w:p>
    <w:p w14:paraId="6A69907B" w14:textId="77777777" w:rsidR="00394471" w:rsidRPr="00FA0D37" w:rsidRDefault="00394471" w:rsidP="00394471"/>
    <w:p w14:paraId="6ED8AFF9" w14:textId="2EDFB39F" w:rsidR="00394471" w:rsidRPr="00FA0D37" w:rsidRDefault="00394471" w:rsidP="00394471">
      <w:pPr>
        <w:pStyle w:val="4"/>
      </w:pPr>
      <w:bookmarkStart w:id="1616" w:name="_Toc60777479"/>
      <w:bookmarkStart w:id="1617" w:name="_Toc146781586"/>
      <w:r w:rsidRPr="00FA0D37">
        <w:t>–</w:t>
      </w:r>
      <w:r w:rsidRPr="00FA0D37">
        <w:tab/>
      </w:r>
      <w:r w:rsidRPr="00FA0D37">
        <w:rPr>
          <w:i/>
          <w:iCs/>
        </w:rPr>
        <w:t>SidelinkParameters</w:t>
      </w:r>
      <w:bookmarkEnd w:id="1616"/>
      <w:bookmarkEnd w:id="1617"/>
    </w:p>
    <w:p w14:paraId="09E3D5E0" w14:textId="7363DD51" w:rsidR="00394471" w:rsidRPr="00FA0D37" w:rsidRDefault="00394471" w:rsidP="00394471">
      <w:r w:rsidRPr="00FA0D37">
        <w:rPr>
          <w:rFonts w:eastAsia="Malgun Gothic"/>
        </w:rPr>
        <w:t xml:space="preserve">The IE </w:t>
      </w:r>
      <w:r w:rsidRPr="00FA0D37">
        <w:rPr>
          <w:rFonts w:eastAsia="Malgun Gothic"/>
          <w:i/>
        </w:rPr>
        <w:t>SidelinkParameters</w:t>
      </w:r>
      <w:r w:rsidRPr="00FA0D37">
        <w:rPr>
          <w:rFonts w:eastAsia="Malgun Gothic"/>
        </w:rPr>
        <w:t xml:space="preserve"> is used to convey capabilities related to NR and </w:t>
      </w:r>
      <w:r w:rsidR="00C1392F" w:rsidRPr="00FA0D37">
        <w:rPr>
          <w:rFonts w:eastAsia="Malgun Gothic"/>
        </w:rPr>
        <w:t>V2X</w:t>
      </w:r>
      <w:r w:rsidRPr="00FA0D37">
        <w:rPr>
          <w:rFonts w:eastAsia="Malgun Gothic"/>
        </w:rPr>
        <w:t xml:space="preserve"> sidelink communications</w:t>
      </w:r>
      <w:r w:rsidRPr="00FA0D37">
        <w:t>.</w:t>
      </w:r>
    </w:p>
    <w:p w14:paraId="0490B3F1" w14:textId="77777777" w:rsidR="00394471" w:rsidRPr="00FA0D37" w:rsidRDefault="00394471" w:rsidP="00394471">
      <w:pPr>
        <w:pStyle w:val="TH"/>
      </w:pPr>
      <w:r w:rsidRPr="00FA0D37">
        <w:rPr>
          <w:i/>
          <w:iCs/>
        </w:rPr>
        <w:t xml:space="preserve">SidelinkParameters </w:t>
      </w:r>
      <w:r w:rsidRPr="00FA0D37">
        <w:t>information element</w:t>
      </w:r>
    </w:p>
    <w:p w14:paraId="3E53D58E" w14:textId="77777777" w:rsidR="00394471" w:rsidRPr="00FA0D37" w:rsidRDefault="00394471" w:rsidP="00FA0D37">
      <w:pPr>
        <w:pStyle w:val="PL"/>
        <w:rPr>
          <w:rFonts w:eastAsia="MS Mincho"/>
          <w:color w:val="808080"/>
        </w:rPr>
      </w:pPr>
      <w:r w:rsidRPr="00FA0D37">
        <w:rPr>
          <w:rFonts w:eastAsia="MS Mincho"/>
          <w:color w:val="808080"/>
        </w:rPr>
        <w:t>-- ASN1START</w:t>
      </w:r>
    </w:p>
    <w:p w14:paraId="31347A7C" w14:textId="77777777" w:rsidR="00394471" w:rsidRPr="00FA0D37" w:rsidRDefault="00394471" w:rsidP="00FA0D37">
      <w:pPr>
        <w:pStyle w:val="PL"/>
        <w:rPr>
          <w:rFonts w:eastAsia="MS Mincho"/>
          <w:color w:val="808080"/>
        </w:rPr>
      </w:pPr>
      <w:r w:rsidRPr="00FA0D37">
        <w:rPr>
          <w:rFonts w:eastAsia="MS Mincho"/>
          <w:color w:val="808080"/>
        </w:rPr>
        <w:t>-- TAG-SIDELINKPARAMETERS-START</w:t>
      </w:r>
    </w:p>
    <w:p w14:paraId="454BAEFA" w14:textId="77777777" w:rsidR="00394471" w:rsidRPr="00FA0D37" w:rsidRDefault="00394471" w:rsidP="00FA0D37">
      <w:pPr>
        <w:pStyle w:val="PL"/>
        <w:rPr>
          <w:rFonts w:eastAsia="Batang"/>
        </w:rPr>
      </w:pPr>
    </w:p>
    <w:p w14:paraId="0384950D" w14:textId="77777777" w:rsidR="00394471" w:rsidRPr="00FA0D37" w:rsidRDefault="00394471" w:rsidP="00FA0D37">
      <w:pPr>
        <w:pStyle w:val="PL"/>
        <w:rPr>
          <w:rFonts w:eastAsia="Batang"/>
        </w:rPr>
      </w:pPr>
      <w:r w:rsidRPr="00FA0D37">
        <w:rPr>
          <w:rFonts w:eastAsia="Batang"/>
        </w:rPr>
        <w:t xml:space="preserve">SidelinkParameters-r16 ::=    </w:t>
      </w:r>
      <w:r w:rsidRPr="00FA0D37">
        <w:rPr>
          <w:rFonts w:eastAsia="Batang"/>
          <w:color w:val="993366"/>
        </w:rPr>
        <w:t>SEQUENCE</w:t>
      </w:r>
      <w:r w:rsidRPr="00FA0D37">
        <w:rPr>
          <w:rFonts w:eastAsia="Batang"/>
        </w:rPr>
        <w:t xml:space="preserve"> {</w:t>
      </w:r>
    </w:p>
    <w:p w14:paraId="1056BA3D" w14:textId="77777777" w:rsidR="00394471" w:rsidRPr="00FA0D37" w:rsidRDefault="00394471" w:rsidP="00FA0D37">
      <w:pPr>
        <w:pStyle w:val="PL"/>
        <w:rPr>
          <w:rFonts w:eastAsia="Batang"/>
        </w:rPr>
      </w:pPr>
      <w:r w:rsidRPr="00FA0D37">
        <w:t xml:space="preserve">    </w:t>
      </w:r>
      <w:r w:rsidRPr="00FA0D37">
        <w:rPr>
          <w:rFonts w:eastAsia="Batang"/>
        </w:rPr>
        <w:t>sidelinkParametersNR-r16</w:t>
      </w:r>
      <w:r w:rsidRPr="00FA0D37">
        <w:t xml:space="preserve">                  </w:t>
      </w:r>
      <w:r w:rsidRPr="00FA0D37">
        <w:rPr>
          <w:rFonts w:eastAsia="Batang"/>
        </w:rPr>
        <w:t>SidelinkParametersNR-r16</w:t>
      </w:r>
      <w:r w:rsidRPr="00FA0D37">
        <w:t xml:space="preserve">                                                  </w:t>
      </w:r>
      <w:r w:rsidRPr="00FA0D37">
        <w:rPr>
          <w:rFonts w:eastAsia="Batang"/>
          <w:color w:val="993366"/>
        </w:rPr>
        <w:t>OPTIONAL</w:t>
      </w:r>
      <w:r w:rsidRPr="00FA0D37">
        <w:rPr>
          <w:rFonts w:eastAsia="Batang"/>
        </w:rPr>
        <w:t>,</w:t>
      </w:r>
    </w:p>
    <w:p w14:paraId="6A337792" w14:textId="77777777" w:rsidR="00394471" w:rsidRPr="00FA0D37" w:rsidRDefault="00394471" w:rsidP="00FA0D37">
      <w:pPr>
        <w:pStyle w:val="PL"/>
        <w:rPr>
          <w:rFonts w:eastAsia="Batang"/>
        </w:rPr>
      </w:pPr>
      <w:r w:rsidRPr="00FA0D37">
        <w:t xml:space="preserve">    </w:t>
      </w:r>
      <w:r w:rsidRPr="00FA0D37">
        <w:rPr>
          <w:rFonts w:eastAsia="Batang"/>
        </w:rPr>
        <w:t>sidelinkParametersEUTRA-r16</w:t>
      </w:r>
      <w:r w:rsidRPr="00FA0D37">
        <w:t xml:space="preserve">               </w:t>
      </w:r>
      <w:r w:rsidRPr="00FA0D37">
        <w:rPr>
          <w:rFonts w:eastAsia="Batang"/>
        </w:rPr>
        <w:t>SidelinkParametersEUTRA-r16</w:t>
      </w:r>
      <w:r w:rsidRPr="00FA0D37">
        <w:t xml:space="preserve">                                               </w:t>
      </w:r>
      <w:r w:rsidRPr="00FA0D37">
        <w:rPr>
          <w:rFonts w:eastAsia="Batang"/>
          <w:color w:val="993366"/>
        </w:rPr>
        <w:t>OPTIONAL</w:t>
      </w:r>
    </w:p>
    <w:p w14:paraId="537F0BD5" w14:textId="77777777" w:rsidR="00394471" w:rsidRPr="00FA0D37" w:rsidRDefault="00394471" w:rsidP="00FA0D37">
      <w:pPr>
        <w:pStyle w:val="PL"/>
        <w:rPr>
          <w:rFonts w:eastAsia="Batang"/>
        </w:rPr>
      </w:pPr>
      <w:r w:rsidRPr="00FA0D37">
        <w:rPr>
          <w:rFonts w:eastAsia="Batang"/>
        </w:rPr>
        <w:t>}</w:t>
      </w:r>
    </w:p>
    <w:p w14:paraId="4BF5C484" w14:textId="77777777" w:rsidR="00394471" w:rsidRPr="00FA0D37" w:rsidRDefault="00394471" w:rsidP="00FA0D37">
      <w:pPr>
        <w:pStyle w:val="PL"/>
        <w:rPr>
          <w:rFonts w:eastAsia="Batang"/>
        </w:rPr>
      </w:pPr>
    </w:p>
    <w:p w14:paraId="2E80E980" w14:textId="77777777" w:rsidR="00394471" w:rsidRPr="00FA0D37" w:rsidRDefault="00394471" w:rsidP="00FA0D37">
      <w:pPr>
        <w:pStyle w:val="PL"/>
      </w:pPr>
      <w:r w:rsidRPr="00FA0D37">
        <w:t xml:space="preserve">SidelinkParametersNR-r16 ::= </w:t>
      </w:r>
      <w:r w:rsidRPr="00FA0D37">
        <w:rPr>
          <w:color w:val="993366"/>
        </w:rPr>
        <w:t>SEQUENCE</w:t>
      </w:r>
      <w:r w:rsidRPr="00FA0D37">
        <w:t xml:space="preserve"> {</w:t>
      </w:r>
    </w:p>
    <w:p w14:paraId="228A9C68" w14:textId="77777777" w:rsidR="00394471" w:rsidRPr="00FA0D37" w:rsidRDefault="00394471" w:rsidP="00FA0D37">
      <w:pPr>
        <w:pStyle w:val="PL"/>
      </w:pPr>
      <w:r w:rsidRPr="00FA0D37">
        <w:t xml:space="preserve">    rlc-ParametersSidelink-r16                RLC-ParametersSidelink-r16                                                </w:t>
      </w:r>
      <w:r w:rsidRPr="00FA0D37">
        <w:rPr>
          <w:color w:val="993366"/>
        </w:rPr>
        <w:t>OPTIONAL</w:t>
      </w:r>
      <w:r w:rsidRPr="00FA0D37">
        <w:t>,</w:t>
      </w:r>
    </w:p>
    <w:p w14:paraId="3A9F1181" w14:textId="77777777" w:rsidR="00394471" w:rsidRPr="00FA0D37" w:rsidRDefault="00394471" w:rsidP="00FA0D37">
      <w:pPr>
        <w:pStyle w:val="PL"/>
      </w:pPr>
      <w:r w:rsidRPr="00FA0D37">
        <w:t xml:space="preserve">    mac-ParametersSidelink-r16                MAC-ParametersSidelink-r16                                                </w:t>
      </w:r>
      <w:r w:rsidRPr="00FA0D37">
        <w:rPr>
          <w:color w:val="993366"/>
        </w:rPr>
        <w:t>OPTIONAL</w:t>
      </w:r>
      <w:r w:rsidRPr="00FA0D37">
        <w:t>,</w:t>
      </w:r>
    </w:p>
    <w:p w14:paraId="036F65E6" w14:textId="77777777" w:rsidR="00394471" w:rsidRPr="00FA0D37" w:rsidRDefault="00394471" w:rsidP="00FA0D37">
      <w:pPr>
        <w:pStyle w:val="PL"/>
      </w:pPr>
      <w:r w:rsidRPr="00FA0D37">
        <w:t xml:space="preserve">    fdd-Add-UE-Sidelink-Capabilities-r16      UE-SidelinkCapabilityAddXDD-Mode-r16                                      </w:t>
      </w:r>
      <w:r w:rsidRPr="00FA0D37">
        <w:rPr>
          <w:color w:val="993366"/>
        </w:rPr>
        <w:t>OPTIONAL</w:t>
      </w:r>
      <w:r w:rsidRPr="00FA0D37">
        <w:t>,</w:t>
      </w:r>
    </w:p>
    <w:p w14:paraId="63A4C879" w14:textId="77777777" w:rsidR="00394471" w:rsidRPr="00FA0D37" w:rsidRDefault="00394471" w:rsidP="00FA0D37">
      <w:pPr>
        <w:pStyle w:val="PL"/>
      </w:pPr>
      <w:r w:rsidRPr="00FA0D37">
        <w:t xml:space="preserve">    tdd-Add-UE-Sidelink-Capabilities-r16      UE-SidelinkCapabilityAddXDD-Mode-r16                                      </w:t>
      </w:r>
      <w:r w:rsidRPr="00FA0D37">
        <w:rPr>
          <w:color w:val="993366"/>
        </w:rPr>
        <w:t>OPTIONAL</w:t>
      </w:r>
      <w:r w:rsidRPr="00FA0D37">
        <w:t>,</w:t>
      </w:r>
    </w:p>
    <w:p w14:paraId="43ABB255" w14:textId="77777777" w:rsidR="00394471" w:rsidRPr="00FA0D37" w:rsidRDefault="00394471" w:rsidP="00FA0D37">
      <w:pPr>
        <w:pStyle w:val="PL"/>
      </w:pPr>
      <w:r w:rsidRPr="00FA0D37">
        <w:t xml:space="preserve">    supportedBandListSidelink-r16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BandSidelink-r16                         </w:t>
      </w:r>
      <w:r w:rsidRPr="00FA0D37">
        <w:rPr>
          <w:color w:val="993366"/>
        </w:rPr>
        <w:t>OPTIONAL</w:t>
      </w:r>
      <w:r w:rsidRPr="00FA0D37">
        <w:t>,</w:t>
      </w:r>
    </w:p>
    <w:p w14:paraId="78AA8FB8" w14:textId="7880DCB7" w:rsidR="00721523" w:rsidRPr="00FA0D37" w:rsidRDefault="00394471" w:rsidP="00FA0D37">
      <w:pPr>
        <w:pStyle w:val="PL"/>
      </w:pPr>
      <w:r w:rsidRPr="00FA0D37">
        <w:t xml:space="preserve">    ...</w:t>
      </w:r>
      <w:r w:rsidR="00721523" w:rsidRPr="00FA0D37">
        <w:t>,</w:t>
      </w:r>
    </w:p>
    <w:p w14:paraId="4258720A" w14:textId="77777777" w:rsidR="00721523" w:rsidRPr="00FA0D37" w:rsidRDefault="00721523" w:rsidP="00FA0D37">
      <w:pPr>
        <w:pStyle w:val="PL"/>
      </w:pPr>
      <w:r w:rsidRPr="00FA0D37">
        <w:t xml:space="preserve">    [[</w:t>
      </w:r>
    </w:p>
    <w:p w14:paraId="561BCE8F" w14:textId="4CBF8336" w:rsidR="00721523" w:rsidRPr="00FA0D37" w:rsidRDefault="00721523" w:rsidP="00FA0D37">
      <w:pPr>
        <w:pStyle w:val="PL"/>
      </w:pPr>
      <w:r w:rsidRPr="00FA0D37">
        <w:t xml:space="preserve">    relayParameters-r17                       RelayParameters-r17                                                       </w:t>
      </w:r>
      <w:r w:rsidRPr="00FA0D37">
        <w:rPr>
          <w:color w:val="993366"/>
        </w:rPr>
        <w:t>OPTIONAL</w:t>
      </w:r>
    </w:p>
    <w:p w14:paraId="0F742C20" w14:textId="0292DBC2" w:rsidR="00D20678" w:rsidRPr="00FA0D37" w:rsidRDefault="00721523" w:rsidP="00FA0D37">
      <w:pPr>
        <w:pStyle w:val="PL"/>
      </w:pPr>
      <w:r w:rsidRPr="00FA0D37">
        <w:t xml:space="preserve">    ]]</w:t>
      </w:r>
      <w:r w:rsidR="00D20678" w:rsidRPr="00FA0D37">
        <w:t>,</w:t>
      </w:r>
    </w:p>
    <w:p w14:paraId="76CD87E9" w14:textId="4AD1F55E" w:rsidR="00D20678" w:rsidRPr="00FA0D37" w:rsidRDefault="00D20678" w:rsidP="00FA0D37">
      <w:pPr>
        <w:pStyle w:val="PL"/>
      </w:pPr>
      <w:r w:rsidRPr="00FA0D37">
        <w:t xml:space="preserve">    [[</w:t>
      </w:r>
    </w:p>
    <w:p w14:paraId="45E3F001" w14:textId="77777777" w:rsidR="00D20678" w:rsidRPr="00FA0D37" w:rsidRDefault="00D20678" w:rsidP="00FA0D37">
      <w:pPr>
        <w:pStyle w:val="PL"/>
        <w:rPr>
          <w:color w:val="808080"/>
        </w:rPr>
      </w:pPr>
      <w:r w:rsidRPr="00FA0D37">
        <w:t xml:space="preserve">    </w:t>
      </w:r>
      <w:r w:rsidRPr="00FA0D37">
        <w:rPr>
          <w:color w:val="808080"/>
        </w:rPr>
        <w:t>-- R1 32-x: Use of new P0 parameters for open loop power control</w:t>
      </w:r>
    </w:p>
    <w:p w14:paraId="547B21AA" w14:textId="4C2D325D" w:rsidR="00D20678" w:rsidRPr="00FA0D37" w:rsidRDefault="00D20678" w:rsidP="00FA0D37">
      <w:pPr>
        <w:pStyle w:val="PL"/>
      </w:pPr>
      <w:r w:rsidRPr="00FA0D37">
        <w:t xml:space="preserve">    p0-OLPC-Sidelink-r17                      </w:t>
      </w:r>
      <w:r w:rsidRPr="00FA0D37">
        <w:rPr>
          <w:color w:val="993366"/>
        </w:rPr>
        <w:t>ENUMERATED</w:t>
      </w:r>
      <w:r w:rsidRPr="00FA0D37">
        <w:t xml:space="preserve"> {supported}                                                    </w:t>
      </w:r>
      <w:r w:rsidRPr="00FA0D37">
        <w:rPr>
          <w:color w:val="993366"/>
        </w:rPr>
        <w:t>OPTIONAL</w:t>
      </w:r>
    </w:p>
    <w:p w14:paraId="2CE541B2" w14:textId="575B2794" w:rsidR="00394471" w:rsidRPr="00FA0D37" w:rsidRDefault="00D20678" w:rsidP="00FA0D37">
      <w:pPr>
        <w:pStyle w:val="PL"/>
      </w:pPr>
      <w:r w:rsidRPr="00FA0D37">
        <w:t xml:space="preserve">    ]]</w:t>
      </w:r>
    </w:p>
    <w:p w14:paraId="721602D5" w14:textId="77777777" w:rsidR="00394471" w:rsidRPr="00FA0D37" w:rsidRDefault="00394471" w:rsidP="00FA0D37">
      <w:pPr>
        <w:pStyle w:val="PL"/>
      </w:pPr>
      <w:r w:rsidRPr="00FA0D37">
        <w:t>}</w:t>
      </w:r>
    </w:p>
    <w:p w14:paraId="517795EC" w14:textId="77777777" w:rsidR="00394471" w:rsidRPr="00FA0D37" w:rsidRDefault="00394471" w:rsidP="00FA0D37">
      <w:pPr>
        <w:pStyle w:val="PL"/>
      </w:pPr>
    </w:p>
    <w:p w14:paraId="73BF51FA" w14:textId="77777777" w:rsidR="00394471" w:rsidRPr="00FA0D37" w:rsidRDefault="00394471" w:rsidP="00FA0D37">
      <w:pPr>
        <w:pStyle w:val="PL"/>
      </w:pPr>
      <w:r w:rsidRPr="00FA0D37">
        <w:t xml:space="preserve">SidelinkParametersEUTRA-r16 ::= </w:t>
      </w:r>
      <w:r w:rsidRPr="00FA0D37">
        <w:rPr>
          <w:color w:val="993366"/>
        </w:rPr>
        <w:t>SEQUENCE</w:t>
      </w:r>
      <w:r w:rsidRPr="00FA0D37">
        <w:t xml:space="preserve"> {</w:t>
      </w:r>
    </w:p>
    <w:p w14:paraId="0DB8DC75" w14:textId="77777777" w:rsidR="00394471" w:rsidRPr="00FA0D37" w:rsidRDefault="00394471" w:rsidP="00FA0D37">
      <w:pPr>
        <w:pStyle w:val="PL"/>
      </w:pPr>
      <w:r w:rsidRPr="00FA0D37">
        <w:t xml:space="preserve">    sl-ParametersEUTRA1-r16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07EE3911" w14:textId="77777777" w:rsidR="00394471" w:rsidRPr="00FA0D37" w:rsidRDefault="00394471" w:rsidP="00FA0D37">
      <w:pPr>
        <w:pStyle w:val="PL"/>
      </w:pPr>
      <w:r w:rsidRPr="00FA0D37">
        <w:t xml:space="preserve">    sl-ParametersEUTRA2-r16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90FFC5E" w14:textId="77777777" w:rsidR="00394471" w:rsidRPr="00FA0D37" w:rsidRDefault="00394471" w:rsidP="00FA0D37">
      <w:pPr>
        <w:pStyle w:val="PL"/>
      </w:pPr>
      <w:r w:rsidRPr="00FA0D37">
        <w:t xml:space="preserve">    sl-ParametersEUTRA3-r16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5518F05" w14:textId="77777777" w:rsidR="00394471" w:rsidRPr="00FA0D37" w:rsidRDefault="00394471" w:rsidP="00FA0D37">
      <w:pPr>
        <w:pStyle w:val="PL"/>
      </w:pPr>
      <w:r w:rsidRPr="00FA0D37">
        <w:t xml:space="preserve">    supportedBandListSidelinkEUTRA-r16        </w:t>
      </w:r>
      <w:r w:rsidRPr="00FA0D37">
        <w:rPr>
          <w:color w:val="993366"/>
        </w:rPr>
        <w:t>SEQUENCE</w:t>
      </w:r>
      <w:r w:rsidRPr="00FA0D37">
        <w:t xml:space="preserve"> (</w:t>
      </w:r>
      <w:r w:rsidRPr="00FA0D37">
        <w:rPr>
          <w:color w:val="993366"/>
        </w:rPr>
        <w:t>SIZE</w:t>
      </w:r>
      <w:r w:rsidRPr="00FA0D37">
        <w:t xml:space="preserve"> (1..maxBandsEUTRA))</w:t>
      </w:r>
      <w:r w:rsidRPr="00FA0D37">
        <w:rPr>
          <w:color w:val="993366"/>
        </w:rPr>
        <w:t xml:space="preserve"> OF</w:t>
      </w:r>
      <w:r w:rsidRPr="00FA0D37">
        <w:t xml:space="preserve"> BandSidelinkEUTRA-r16               </w:t>
      </w:r>
      <w:r w:rsidRPr="00FA0D37">
        <w:rPr>
          <w:color w:val="993366"/>
        </w:rPr>
        <w:t>OPTIONAL</w:t>
      </w:r>
      <w:r w:rsidRPr="00FA0D37">
        <w:t>,</w:t>
      </w:r>
    </w:p>
    <w:p w14:paraId="34E889BC" w14:textId="77777777" w:rsidR="00394471" w:rsidRPr="00FA0D37" w:rsidRDefault="00394471" w:rsidP="00FA0D37">
      <w:pPr>
        <w:pStyle w:val="PL"/>
      </w:pPr>
      <w:r w:rsidRPr="00FA0D37">
        <w:t xml:space="preserve">    ...</w:t>
      </w:r>
    </w:p>
    <w:p w14:paraId="57F8BFBF" w14:textId="77777777" w:rsidR="00394471" w:rsidRPr="00FA0D37" w:rsidRDefault="00394471" w:rsidP="00FA0D37">
      <w:pPr>
        <w:pStyle w:val="PL"/>
      </w:pPr>
      <w:r w:rsidRPr="00FA0D37">
        <w:t>}</w:t>
      </w:r>
    </w:p>
    <w:p w14:paraId="7CE0E30A" w14:textId="77777777" w:rsidR="00394471" w:rsidRPr="00FA0D37" w:rsidRDefault="00394471" w:rsidP="00FA0D37">
      <w:pPr>
        <w:pStyle w:val="PL"/>
      </w:pPr>
    </w:p>
    <w:p w14:paraId="5A7302F9" w14:textId="77777777" w:rsidR="00394471" w:rsidRPr="00FA0D37" w:rsidRDefault="00394471" w:rsidP="00FA0D37">
      <w:pPr>
        <w:pStyle w:val="PL"/>
      </w:pPr>
      <w:r w:rsidRPr="00FA0D37">
        <w:t xml:space="preserve">RLC-ParametersSidelink-r16 ::= </w:t>
      </w:r>
      <w:r w:rsidRPr="00FA0D37">
        <w:rPr>
          <w:color w:val="993366"/>
        </w:rPr>
        <w:t>SEQUENCE</w:t>
      </w:r>
      <w:r w:rsidRPr="00FA0D37">
        <w:t xml:space="preserve"> {</w:t>
      </w:r>
    </w:p>
    <w:p w14:paraId="0945EC8B" w14:textId="77777777" w:rsidR="00394471" w:rsidRPr="00FA0D37" w:rsidRDefault="00394471" w:rsidP="00FA0D37">
      <w:pPr>
        <w:pStyle w:val="PL"/>
      </w:pPr>
      <w:r w:rsidRPr="00FA0D37">
        <w:t xml:space="preserve">    am-WithLongSN-Sidelink-r16                </w:t>
      </w:r>
      <w:r w:rsidRPr="00FA0D37">
        <w:rPr>
          <w:color w:val="993366"/>
        </w:rPr>
        <w:t>ENUMERATED</w:t>
      </w:r>
      <w:r w:rsidRPr="00FA0D37">
        <w:t xml:space="preserve"> {supported}                                                    </w:t>
      </w:r>
      <w:r w:rsidRPr="00FA0D37">
        <w:rPr>
          <w:color w:val="993366"/>
        </w:rPr>
        <w:t>OPTIONAL</w:t>
      </w:r>
      <w:r w:rsidRPr="00FA0D37">
        <w:t>,</w:t>
      </w:r>
    </w:p>
    <w:p w14:paraId="5A903B0E" w14:textId="77777777" w:rsidR="00394471" w:rsidRPr="00FA0D37" w:rsidRDefault="00394471" w:rsidP="00FA0D37">
      <w:pPr>
        <w:pStyle w:val="PL"/>
      </w:pPr>
      <w:r w:rsidRPr="00FA0D37">
        <w:t xml:space="preserve">    um-WithLongSN-Sidelink-r16                </w:t>
      </w:r>
      <w:r w:rsidRPr="00FA0D37">
        <w:rPr>
          <w:color w:val="993366"/>
        </w:rPr>
        <w:t>ENUMERATED</w:t>
      </w:r>
      <w:r w:rsidRPr="00FA0D37">
        <w:t xml:space="preserve"> {supported}                                                    </w:t>
      </w:r>
      <w:r w:rsidRPr="00FA0D37">
        <w:rPr>
          <w:color w:val="993366"/>
        </w:rPr>
        <w:t>OPTIONAL</w:t>
      </w:r>
      <w:r w:rsidRPr="00FA0D37">
        <w:t>,</w:t>
      </w:r>
    </w:p>
    <w:p w14:paraId="6A366884" w14:textId="77777777" w:rsidR="00394471" w:rsidRPr="00FA0D37" w:rsidRDefault="00394471" w:rsidP="00FA0D37">
      <w:pPr>
        <w:pStyle w:val="PL"/>
      </w:pPr>
      <w:r w:rsidRPr="00FA0D37">
        <w:t xml:space="preserve">    ...</w:t>
      </w:r>
    </w:p>
    <w:p w14:paraId="44548764" w14:textId="77777777" w:rsidR="00394471" w:rsidRPr="00FA0D37" w:rsidRDefault="00394471" w:rsidP="00FA0D37">
      <w:pPr>
        <w:pStyle w:val="PL"/>
      </w:pPr>
      <w:r w:rsidRPr="00FA0D37">
        <w:t>}</w:t>
      </w:r>
    </w:p>
    <w:p w14:paraId="79DACF55" w14:textId="77777777" w:rsidR="00394471" w:rsidRPr="00FA0D37" w:rsidRDefault="00394471" w:rsidP="00FA0D37">
      <w:pPr>
        <w:pStyle w:val="PL"/>
      </w:pPr>
    </w:p>
    <w:p w14:paraId="5A50DF12" w14:textId="77777777" w:rsidR="00394471" w:rsidRPr="00FA0D37" w:rsidRDefault="00394471" w:rsidP="00FA0D37">
      <w:pPr>
        <w:pStyle w:val="PL"/>
      </w:pPr>
      <w:r w:rsidRPr="00FA0D37">
        <w:t xml:space="preserve">MAC-ParametersSidelink-r16 ::= </w:t>
      </w:r>
      <w:r w:rsidRPr="00FA0D37">
        <w:rPr>
          <w:color w:val="993366"/>
        </w:rPr>
        <w:t>SEQUENCE</w:t>
      </w:r>
      <w:r w:rsidRPr="00FA0D37">
        <w:t xml:space="preserve"> {</w:t>
      </w:r>
    </w:p>
    <w:p w14:paraId="6B8AA4A8" w14:textId="77777777" w:rsidR="00394471" w:rsidRPr="00FA0D37" w:rsidRDefault="00394471" w:rsidP="00FA0D37">
      <w:pPr>
        <w:pStyle w:val="PL"/>
      </w:pPr>
      <w:r w:rsidRPr="00FA0D37">
        <w:t xml:space="preserve">    mac-ParametersSidelinkCommon-r16          MAC-ParametersSidelinkCommon-r16                                          </w:t>
      </w:r>
      <w:r w:rsidRPr="00FA0D37">
        <w:rPr>
          <w:color w:val="993366"/>
        </w:rPr>
        <w:t>OPTIONAL</w:t>
      </w:r>
      <w:r w:rsidRPr="00FA0D37">
        <w:t>,</w:t>
      </w:r>
    </w:p>
    <w:p w14:paraId="40DBA92F" w14:textId="77777777" w:rsidR="00394471" w:rsidRPr="00FA0D37" w:rsidRDefault="00394471" w:rsidP="00FA0D37">
      <w:pPr>
        <w:pStyle w:val="PL"/>
      </w:pPr>
      <w:r w:rsidRPr="00FA0D37">
        <w:t xml:space="preserve">    mac-ParametersSidelinkXDD-Diff-r16        MAC-ParametersSidelinkXDD-Diff-r16                                        </w:t>
      </w:r>
      <w:r w:rsidRPr="00FA0D37">
        <w:rPr>
          <w:color w:val="993366"/>
        </w:rPr>
        <w:t>OPTIONAL</w:t>
      </w:r>
      <w:r w:rsidRPr="00FA0D37">
        <w:t>,</w:t>
      </w:r>
    </w:p>
    <w:p w14:paraId="45F63622" w14:textId="77777777" w:rsidR="00394471" w:rsidRPr="00FA0D37" w:rsidRDefault="00394471" w:rsidP="00FA0D37">
      <w:pPr>
        <w:pStyle w:val="PL"/>
      </w:pPr>
      <w:r w:rsidRPr="00FA0D37">
        <w:t xml:space="preserve">    ...</w:t>
      </w:r>
    </w:p>
    <w:p w14:paraId="118789D3" w14:textId="77777777" w:rsidR="00394471" w:rsidRPr="00FA0D37" w:rsidRDefault="00394471" w:rsidP="00FA0D37">
      <w:pPr>
        <w:pStyle w:val="PL"/>
      </w:pPr>
      <w:r w:rsidRPr="00FA0D37">
        <w:lastRenderedPageBreak/>
        <w:t>}</w:t>
      </w:r>
    </w:p>
    <w:p w14:paraId="17BF2478" w14:textId="77777777" w:rsidR="00394471" w:rsidRPr="00FA0D37" w:rsidRDefault="00394471" w:rsidP="00FA0D37">
      <w:pPr>
        <w:pStyle w:val="PL"/>
      </w:pPr>
    </w:p>
    <w:p w14:paraId="1AE6C7A5" w14:textId="77777777" w:rsidR="00394471" w:rsidRPr="00FA0D37" w:rsidRDefault="00394471" w:rsidP="00FA0D37">
      <w:pPr>
        <w:pStyle w:val="PL"/>
      </w:pPr>
      <w:r w:rsidRPr="00FA0D37">
        <w:t xml:space="preserve">UE-SidelinkCapabilityAddXDD-Mode-r16 ::=  </w:t>
      </w:r>
      <w:r w:rsidRPr="00FA0D37">
        <w:rPr>
          <w:color w:val="993366"/>
        </w:rPr>
        <w:t>SEQUENCE</w:t>
      </w:r>
      <w:r w:rsidRPr="00FA0D37">
        <w:t xml:space="preserve"> {</w:t>
      </w:r>
    </w:p>
    <w:p w14:paraId="2285B353" w14:textId="77777777" w:rsidR="00394471" w:rsidRPr="00FA0D37" w:rsidRDefault="00394471" w:rsidP="00FA0D37">
      <w:pPr>
        <w:pStyle w:val="PL"/>
      </w:pPr>
      <w:r w:rsidRPr="00FA0D37">
        <w:t xml:space="preserve">    mac-ParametersSidelinkXDD-Diff-r16        MAC-ParametersSidelinkXDD-Diff-r16                                        </w:t>
      </w:r>
      <w:r w:rsidRPr="00FA0D37">
        <w:rPr>
          <w:color w:val="993366"/>
        </w:rPr>
        <w:t>OPTIONAL</w:t>
      </w:r>
    </w:p>
    <w:p w14:paraId="7E3D3B55" w14:textId="77777777" w:rsidR="00394471" w:rsidRPr="00FA0D37" w:rsidRDefault="00394471" w:rsidP="00FA0D37">
      <w:pPr>
        <w:pStyle w:val="PL"/>
      </w:pPr>
      <w:r w:rsidRPr="00FA0D37">
        <w:t>}</w:t>
      </w:r>
    </w:p>
    <w:p w14:paraId="0E1A3753" w14:textId="77777777" w:rsidR="00394471" w:rsidRPr="00FA0D37" w:rsidRDefault="00394471" w:rsidP="00FA0D37">
      <w:pPr>
        <w:pStyle w:val="PL"/>
      </w:pPr>
    </w:p>
    <w:p w14:paraId="1EC91FFB" w14:textId="77777777" w:rsidR="00394471" w:rsidRPr="00FA0D37" w:rsidRDefault="00394471" w:rsidP="00FA0D37">
      <w:pPr>
        <w:pStyle w:val="PL"/>
      </w:pPr>
      <w:r w:rsidRPr="00FA0D37">
        <w:t xml:space="preserve">MAC-ParametersSidelinkCommon-r16 ::= </w:t>
      </w:r>
      <w:r w:rsidRPr="00FA0D37">
        <w:rPr>
          <w:color w:val="993366"/>
        </w:rPr>
        <w:t>SEQUENCE</w:t>
      </w:r>
      <w:r w:rsidRPr="00FA0D37">
        <w:t xml:space="preserve"> {</w:t>
      </w:r>
    </w:p>
    <w:p w14:paraId="24DC95D6" w14:textId="77777777" w:rsidR="00394471" w:rsidRPr="00FA0D37" w:rsidRDefault="00394471" w:rsidP="00FA0D37">
      <w:pPr>
        <w:pStyle w:val="PL"/>
      </w:pPr>
      <w:r w:rsidRPr="00FA0D37">
        <w:t xml:space="preserve">    lcp-RestrictionSidelink-r16               </w:t>
      </w:r>
      <w:r w:rsidRPr="00FA0D37">
        <w:rPr>
          <w:color w:val="993366"/>
        </w:rPr>
        <w:t>ENUMERATED</w:t>
      </w:r>
      <w:r w:rsidRPr="00FA0D37">
        <w:t xml:space="preserve"> {supported}                                                    </w:t>
      </w:r>
      <w:r w:rsidRPr="00FA0D37">
        <w:rPr>
          <w:color w:val="993366"/>
        </w:rPr>
        <w:t>OPTIONAL</w:t>
      </w:r>
      <w:r w:rsidRPr="00FA0D37">
        <w:t>,</w:t>
      </w:r>
    </w:p>
    <w:p w14:paraId="3D6CE851" w14:textId="77777777" w:rsidR="00394471" w:rsidRPr="00FA0D37" w:rsidRDefault="00394471" w:rsidP="00FA0D37">
      <w:pPr>
        <w:pStyle w:val="PL"/>
      </w:pPr>
      <w:r w:rsidRPr="00FA0D37">
        <w:t xml:space="preserve">    multipleConfiguredGrantsSidelink-r16      </w:t>
      </w:r>
      <w:r w:rsidRPr="00FA0D37">
        <w:rPr>
          <w:color w:val="993366"/>
        </w:rPr>
        <w:t>ENUMERATED</w:t>
      </w:r>
      <w:r w:rsidRPr="00FA0D37">
        <w:t xml:space="preserve"> {supported}                                                    </w:t>
      </w:r>
      <w:r w:rsidRPr="00FA0D37">
        <w:rPr>
          <w:color w:val="993366"/>
        </w:rPr>
        <w:t>OPTIONAL</w:t>
      </w:r>
      <w:r w:rsidRPr="00FA0D37">
        <w:t>,</w:t>
      </w:r>
    </w:p>
    <w:p w14:paraId="4DAD2E50" w14:textId="13013804" w:rsidR="00721523" w:rsidRPr="00FA0D37" w:rsidRDefault="00394471" w:rsidP="00FA0D37">
      <w:pPr>
        <w:pStyle w:val="PL"/>
      </w:pPr>
      <w:r w:rsidRPr="00FA0D37">
        <w:t xml:space="preserve">    ...</w:t>
      </w:r>
      <w:r w:rsidR="00721523" w:rsidRPr="00FA0D37">
        <w:t>,</w:t>
      </w:r>
    </w:p>
    <w:p w14:paraId="07D684BD" w14:textId="77777777" w:rsidR="00721523" w:rsidRPr="00FA0D37" w:rsidRDefault="00721523" w:rsidP="00FA0D37">
      <w:pPr>
        <w:pStyle w:val="PL"/>
      </w:pPr>
      <w:r w:rsidRPr="00FA0D37">
        <w:t xml:space="preserve">    [[</w:t>
      </w:r>
    </w:p>
    <w:p w14:paraId="4BAEF9B0" w14:textId="77777777" w:rsidR="00721523" w:rsidRPr="00FA0D37" w:rsidRDefault="00721523" w:rsidP="00FA0D37">
      <w:pPr>
        <w:pStyle w:val="PL"/>
      </w:pPr>
      <w:r w:rsidRPr="00FA0D37">
        <w:t xml:space="preserve">    drx-OnSidelink-r17                        </w:t>
      </w:r>
      <w:r w:rsidRPr="00FA0D37">
        <w:rPr>
          <w:color w:val="993366"/>
        </w:rPr>
        <w:t>ENUMERATED</w:t>
      </w:r>
      <w:r w:rsidRPr="00FA0D37">
        <w:t xml:space="preserve"> {supported}                                                    </w:t>
      </w:r>
      <w:r w:rsidRPr="00FA0D37">
        <w:rPr>
          <w:color w:val="993366"/>
        </w:rPr>
        <w:t>OPTIONAL</w:t>
      </w:r>
    </w:p>
    <w:p w14:paraId="16194066" w14:textId="12ADA32A" w:rsidR="00394471" w:rsidRPr="00FA0D37" w:rsidRDefault="00721523" w:rsidP="00FA0D37">
      <w:pPr>
        <w:pStyle w:val="PL"/>
      </w:pPr>
      <w:r w:rsidRPr="00FA0D37">
        <w:t xml:space="preserve">    ]]</w:t>
      </w:r>
    </w:p>
    <w:p w14:paraId="61C83BC8" w14:textId="77777777" w:rsidR="00394471" w:rsidRPr="00FA0D37" w:rsidRDefault="00394471" w:rsidP="00FA0D37">
      <w:pPr>
        <w:pStyle w:val="PL"/>
      </w:pPr>
      <w:r w:rsidRPr="00FA0D37">
        <w:t>}</w:t>
      </w:r>
    </w:p>
    <w:p w14:paraId="59AA405F" w14:textId="77777777" w:rsidR="00394471" w:rsidRPr="00FA0D37" w:rsidRDefault="00394471" w:rsidP="00FA0D37">
      <w:pPr>
        <w:pStyle w:val="PL"/>
      </w:pPr>
    </w:p>
    <w:p w14:paraId="737458BF" w14:textId="77777777" w:rsidR="00394471" w:rsidRPr="00FA0D37" w:rsidRDefault="00394471" w:rsidP="00FA0D37">
      <w:pPr>
        <w:pStyle w:val="PL"/>
      </w:pPr>
      <w:r w:rsidRPr="00FA0D37">
        <w:t xml:space="preserve">MAC-ParametersSidelinkXDD-Diff-r16 ::=  </w:t>
      </w:r>
      <w:r w:rsidRPr="00FA0D37">
        <w:rPr>
          <w:color w:val="993366"/>
        </w:rPr>
        <w:t>SEQUENCE</w:t>
      </w:r>
      <w:r w:rsidRPr="00FA0D37">
        <w:t xml:space="preserve"> {</w:t>
      </w:r>
    </w:p>
    <w:p w14:paraId="517D883A" w14:textId="77777777" w:rsidR="00394471" w:rsidRPr="00FA0D37" w:rsidRDefault="00394471" w:rsidP="00FA0D37">
      <w:pPr>
        <w:pStyle w:val="PL"/>
      </w:pPr>
      <w:r w:rsidRPr="00FA0D37">
        <w:t xml:space="preserve">    multipleSR-ConfigurationsSidelink-r16     </w:t>
      </w:r>
      <w:r w:rsidRPr="00FA0D37">
        <w:rPr>
          <w:color w:val="993366"/>
        </w:rPr>
        <w:t>ENUMERATED</w:t>
      </w:r>
      <w:r w:rsidRPr="00FA0D37">
        <w:t xml:space="preserve"> {supported}                                                    </w:t>
      </w:r>
      <w:r w:rsidRPr="00FA0D37">
        <w:rPr>
          <w:color w:val="993366"/>
        </w:rPr>
        <w:t>OPTIONAL</w:t>
      </w:r>
      <w:r w:rsidRPr="00FA0D37">
        <w:t>,</w:t>
      </w:r>
    </w:p>
    <w:p w14:paraId="57E00830" w14:textId="77777777" w:rsidR="00394471" w:rsidRPr="00FA0D37" w:rsidRDefault="00394471" w:rsidP="00FA0D37">
      <w:pPr>
        <w:pStyle w:val="PL"/>
      </w:pPr>
      <w:r w:rsidRPr="00FA0D37">
        <w:t xml:space="preserve">    logicalChannelSR-DelayTimerSidelink-r16   </w:t>
      </w:r>
      <w:r w:rsidRPr="00FA0D37">
        <w:rPr>
          <w:color w:val="993366"/>
        </w:rPr>
        <w:t>ENUMERATED</w:t>
      </w:r>
      <w:r w:rsidRPr="00FA0D37">
        <w:t xml:space="preserve"> {supported}                                                    </w:t>
      </w:r>
      <w:r w:rsidRPr="00FA0D37">
        <w:rPr>
          <w:color w:val="993366"/>
        </w:rPr>
        <w:t>OPTIONAL</w:t>
      </w:r>
      <w:r w:rsidRPr="00FA0D37">
        <w:t>,</w:t>
      </w:r>
    </w:p>
    <w:p w14:paraId="48A70196" w14:textId="77777777" w:rsidR="00394471" w:rsidRPr="00FA0D37" w:rsidRDefault="00394471" w:rsidP="00FA0D37">
      <w:pPr>
        <w:pStyle w:val="PL"/>
      </w:pPr>
      <w:r w:rsidRPr="00FA0D37">
        <w:t xml:space="preserve">    ...</w:t>
      </w:r>
    </w:p>
    <w:p w14:paraId="49F4C3C3" w14:textId="77777777" w:rsidR="00394471" w:rsidRPr="00FA0D37" w:rsidRDefault="00394471" w:rsidP="00FA0D37">
      <w:pPr>
        <w:pStyle w:val="PL"/>
      </w:pPr>
      <w:r w:rsidRPr="00FA0D37">
        <w:t>}</w:t>
      </w:r>
    </w:p>
    <w:p w14:paraId="4E06FBBC" w14:textId="77777777" w:rsidR="00394471" w:rsidRPr="00FA0D37" w:rsidRDefault="00394471" w:rsidP="00FA0D37">
      <w:pPr>
        <w:pStyle w:val="PL"/>
      </w:pPr>
    </w:p>
    <w:p w14:paraId="7CF44AB6" w14:textId="77777777" w:rsidR="00394471" w:rsidRPr="00FA0D37" w:rsidRDefault="00394471" w:rsidP="00FA0D37">
      <w:pPr>
        <w:pStyle w:val="PL"/>
      </w:pPr>
      <w:r w:rsidRPr="00FA0D37">
        <w:t xml:space="preserve">BandSidelinkEUTRA-r16 ::=               </w:t>
      </w:r>
      <w:r w:rsidRPr="00FA0D37">
        <w:rPr>
          <w:color w:val="993366"/>
        </w:rPr>
        <w:t>SEQUENCE</w:t>
      </w:r>
      <w:r w:rsidRPr="00FA0D37">
        <w:t xml:space="preserve"> {</w:t>
      </w:r>
    </w:p>
    <w:p w14:paraId="42E32C24" w14:textId="77777777" w:rsidR="00394471" w:rsidRPr="00FA0D37" w:rsidRDefault="00394471" w:rsidP="00FA0D37">
      <w:pPr>
        <w:pStyle w:val="PL"/>
      </w:pPr>
      <w:r w:rsidRPr="00FA0D37">
        <w:t xml:space="preserve">    freqBandSidelinkEUTRA-r16               FreqBandIndicatorEUTRA,</w:t>
      </w:r>
    </w:p>
    <w:p w14:paraId="20213D04" w14:textId="77777777" w:rsidR="00394471" w:rsidRPr="00FA0D37" w:rsidRDefault="00394471" w:rsidP="00FA0D37">
      <w:pPr>
        <w:pStyle w:val="PL"/>
        <w:rPr>
          <w:color w:val="808080"/>
        </w:rPr>
      </w:pPr>
      <w:r w:rsidRPr="00FA0D37">
        <w:t xml:space="preserve">    </w:t>
      </w:r>
      <w:r w:rsidRPr="00FA0D37">
        <w:rPr>
          <w:color w:val="808080"/>
        </w:rPr>
        <w:t>-- R1 15-7: Transmitting LTE sidelink mode 3 scheduled by NR Uu</w:t>
      </w:r>
    </w:p>
    <w:p w14:paraId="362E976C" w14:textId="77777777" w:rsidR="00394471" w:rsidRPr="00FA0D37" w:rsidRDefault="00394471" w:rsidP="00FA0D37">
      <w:pPr>
        <w:pStyle w:val="PL"/>
      </w:pPr>
      <w:r w:rsidRPr="00FA0D37">
        <w:t xml:space="preserve">    gnb-ScheduledMode3SidelinkEUTRA-r16     </w:t>
      </w:r>
      <w:r w:rsidRPr="00FA0D37">
        <w:rPr>
          <w:color w:val="993366"/>
        </w:rPr>
        <w:t>SEQUENCE</w:t>
      </w:r>
      <w:r w:rsidRPr="00FA0D37">
        <w:t xml:space="preserve"> {</w:t>
      </w:r>
    </w:p>
    <w:p w14:paraId="3473E353" w14:textId="77777777" w:rsidR="00394471" w:rsidRPr="00FA0D37" w:rsidRDefault="00394471" w:rsidP="00FA0D37">
      <w:pPr>
        <w:pStyle w:val="PL"/>
      </w:pPr>
      <w:r w:rsidRPr="00FA0D37">
        <w:t xml:space="preserve">        gnb-ScheduledMode3DelaySidelinkEUTRA-r16 </w:t>
      </w:r>
      <w:r w:rsidRPr="00FA0D37">
        <w:rPr>
          <w:color w:val="993366"/>
        </w:rPr>
        <w:t>ENUMERATED</w:t>
      </w:r>
      <w:r w:rsidRPr="00FA0D37">
        <w:t xml:space="preserve"> {ms0, ms0dot25, ms0dot5, ms0dot625, ms0dot75, ms1,</w:t>
      </w:r>
    </w:p>
    <w:p w14:paraId="5CE4BFDE" w14:textId="77777777" w:rsidR="00394471" w:rsidRPr="00FA0D37" w:rsidRDefault="00394471" w:rsidP="00FA0D37">
      <w:pPr>
        <w:pStyle w:val="PL"/>
      </w:pPr>
      <w:r w:rsidRPr="00FA0D37">
        <w:t xml:space="preserve">                                                             ms1dot25, ms1dot5, ms1dot75, ms2, ms2dot5, ms3, ms4,</w:t>
      </w:r>
    </w:p>
    <w:p w14:paraId="4EA183E2" w14:textId="77777777" w:rsidR="00394471" w:rsidRPr="00FA0D37" w:rsidRDefault="00394471" w:rsidP="00FA0D37">
      <w:pPr>
        <w:pStyle w:val="PL"/>
      </w:pPr>
      <w:r w:rsidRPr="00FA0D37">
        <w:t xml:space="preserve">                                                             ms5, ms6, ms8, ms10, ms20}</w:t>
      </w:r>
    </w:p>
    <w:p w14:paraId="254D65F2" w14:textId="77777777" w:rsidR="00394471" w:rsidRPr="00FA0D37" w:rsidRDefault="00394471" w:rsidP="00FA0D37">
      <w:pPr>
        <w:pStyle w:val="PL"/>
      </w:pPr>
      <w:r w:rsidRPr="00FA0D37">
        <w:t xml:space="preserve">    }                                                                                                                   </w:t>
      </w:r>
      <w:r w:rsidRPr="00FA0D37">
        <w:rPr>
          <w:color w:val="993366"/>
        </w:rPr>
        <w:t>OPTIONAL</w:t>
      </w:r>
      <w:r w:rsidRPr="00FA0D37">
        <w:t>,</w:t>
      </w:r>
    </w:p>
    <w:p w14:paraId="254CBD86" w14:textId="77777777" w:rsidR="00394471" w:rsidRPr="00FA0D37" w:rsidRDefault="00394471" w:rsidP="00FA0D37">
      <w:pPr>
        <w:pStyle w:val="PL"/>
        <w:rPr>
          <w:color w:val="808080"/>
        </w:rPr>
      </w:pPr>
      <w:r w:rsidRPr="00FA0D37">
        <w:t xml:space="preserve">    </w:t>
      </w:r>
      <w:r w:rsidRPr="00FA0D37">
        <w:rPr>
          <w:color w:val="808080"/>
        </w:rPr>
        <w:t>-- R1 15-9: Transmitting LTE sidelink mode 4 configured by NR Uu</w:t>
      </w:r>
    </w:p>
    <w:p w14:paraId="0C0F7189" w14:textId="77777777" w:rsidR="00394471" w:rsidRPr="00FA0D37" w:rsidRDefault="00394471" w:rsidP="00FA0D37">
      <w:pPr>
        <w:pStyle w:val="PL"/>
      </w:pPr>
      <w:r w:rsidRPr="00FA0D37">
        <w:t xml:space="preserve">    gnb-ScheduledMode4SidelinkEUTRA-r16     </w:t>
      </w:r>
      <w:r w:rsidRPr="00FA0D37">
        <w:rPr>
          <w:color w:val="993366"/>
        </w:rPr>
        <w:t>ENUMERATED</w:t>
      </w:r>
      <w:r w:rsidRPr="00FA0D37">
        <w:t xml:space="preserve"> {supported}                                                      </w:t>
      </w:r>
      <w:r w:rsidRPr="00FA0D37">
        <w:rPr>
          <w:color w:val="993366"/>
        </w:rPr>
        <w:t>OPTIONAL</w:t>
      </w:r>
    </w:p>
    <w:p w14:paraId="47833C8E" w14:textId="77777777" w:rsidR="00394471" w:rsidRPr="00FA0D37" w:rsidRDefault="00394471" w:rsidP="00FA0D37">
      <w:pPr>
        <w:pStyle w:val="PL"/>
      </w:pPr>
      <w:r w:rsidRPr="00FA0D37">
        <w:t>}</w:t>
      </w:r>
    </w:p>
    <w:p w14:paraId="10B6FEBD" w14:textId="77777777" w:rsidR="00394471" w:rsidRPr="00FA0D37" w:rsidRDefault="00394471" w:rsidP="00FA0D37">
      <w:pPr>
        <w:pStyle w:val="PL"/>
      </w:pPr>
    </w:p>
    <w:p w14:paraId="57574265" w14:textId="77777777" w:rsidR="00394471" w:rsidRPr="00FA0D37" w:rsidRDefault="00394471" w:rsidP="00FA0D37">
      <w:pPr>
        <w:pStyle w:val="PL"/>
      </w:pPr>
      <w:r w:rsidRPr="00FA0D37">
        <w:t xml:space="preserve">BandSidelink-r16 ::=  </w:t>
      </w:r>
      <w:r w:rsidRPr="00FA0D37">
        <w:rPr>
          <w:color w:val="993366"/>
        </w:rPr>
        <w:t>SEQUENCE</w:t>
      </w:r>
      <w:r w:rsidRPr="00FA0D37">
        <w:t xml:space="preserve"> {</w:t>
      </w:r>
    </w:p>
    <w:p w14:paraId="499AFD33" w14:textId="77777777" w:rsidR="00394471" w:rsidRPr="00FA0D37" w:rsidRDefault="00394471" w:rsidP="00FA0D37">
      <w:pPr>
        <w:pStyle w:val="PL"/>
      </w:pPr>
      <w:r w:rsidRPr="00FA0D37">
        <w:t xml:space="preserve">    freqBandSidelink-r16                          FreqBandIndicatorNR,</w:t>
      </w:r>
    </w:p>
    <w:p w14:paraId="59F06591" w14:textId="77777777" w:rsidR="00394471" w:rsidRPr="00FA0D37" w:rsidRDefault="00394471" w:rsidP="00FA0D37">
      <w:pPr>
        <w:pStyle w:val="PL"/>
        <w:rPr>
          <w:color w:val="808080"/>
        </w:rPr>
      </w:pPr>
      <w:r w:rsidRPr="00FA0D37">
        <w:t xml:space="preserve">    </w:t>
      </w:r>
      <w:r w:rsidRPr="00FA0D37">
        <w:rPr>
          <w:color w:val="808080"/>
        </w:rPr>
        <w:t>--15-1</w:t>
      </w:r>
    </w:p>
    <w:p w14:paraId="767555EC" w14:textId="77777777" w:rsidR="00394471" w:rsidRPr="00FA0D37" w:rsidRDefault="00394471" w:rsidP="00FA0D37">
      <w:pPr>
        <w:pStyle w:val="PL"/>
      </w:pPr>
      <w:r w:rsidRPr="00FA0D37">
        <w:t xml:space="preserve">    sl-Reception-r16                              </w:t>
      </w:r>
      <w:r w:rsidRPr="00FA0D37">
        <w:rPr>
          <w:color w:val="993366"/>
        </w:rPr>
        <w:t>SEQUENCE</w:t>
      </w:r>
      <w:r w:rsidRPr="00FA0D37">
        <w:t xml:space="preserve"> {</w:t>
      </w:r>
    </w:p>
    <w:p w14:paraId="0E6E2E4E" w14:textId="77777777" w:rsidR="00394471" w:rsidRPr="00FA0D37" w:rsidRDefault="00394471" w:rsidP="00FA0D37">
      <w:pPr>
        <w:pStyle w:val="PL"/>
      </w:pPr>
      <w:r w:rsidRPr="00FA0D37">
        <w:t xml:space="preserve">        harq-RxProcessSidelink-r16                    </w:t>
      </w:r>
      <w:r w:rsidRPr="00FA0D37">
        <w:rPr>
          <w:color w:val="993366"/>
        </w:rPr>
        <w:t>ENUMERATED</w:t>
      </w:r>
      <w:r w:rsidRPr="00FA0D37">
        <w:t xml:space="preserve"> {n16, n24, n32, n48, n64},</w:t>
      </w:r>
    </w:p>
    <w:p w14:paraId="33F32BA5" w14:textId="77777777" w:rsidR="00394471" w:rsidRPr="00FA0D37" w:rsidRDefault="00394471" w:rsidP="00FA0D37">
      <w:pPr>
        <w:pStyle w:val="PL"/>
      </w:pPr>
      <w:r w:rsidRPr="00FA0D37">
        <w:t xml:space="preserve">        pscch-RxSidelink-r16                          </w:t>
      </w:r>
      <w:r w:rsidRPr="00FA0D37">
        <w:rPr>
          <w:color w:val="993366"/>
        </w:rPr>
        <w:t>ENUMERATED</w:t>
      </w:r>
      <w:r w:rsidRPr="00FA0D37">
        <w:t xml:space="preserve"> {value1, value2},</w:t>
      </w:r>
    </w:p>
    <w:p w14:paraId="12DE3375" w14:textId="77777777" w:rsidR="00394471" w:rsidRPr="00FA0D37" w:rsidRDefault="00394471" w:rsidP="00FA0D37">
      <w:pPr>
        <w:pStyle w:val="PL"/>
      </w:pPr>
      <w:r w:rsidRPr="00FA0D37">
        <w:t xml:space="preserve">        scs-CP-PatternRxSidelink-r16                  </w:t>
      </w:r>
      <w:r w:rsidRPr="00FA0D37">
        <w:rPr>
          <w:color w:val="993366"/>
        </w:rPr>
        <w:t>CHOICE</w:t>
      </w:r>
      <w:r w:rsidRPr="00FA0D37">
        <w:t xml:space="preserve"> {</w:t>
      </w:r>
    </w:p>
    <w:p w14:paraId="7168D329" w14:textId="77777777" w:rsidR="00394471" w:rsidRPr="00FA0D37" w:rsidRDefault="00394471" w:rsidP="00FA0D37">
      <w:pPr>
        <w:pStyle w:val="PL"/>
      </w:pPr>
      <w:r w:rsidRPr="00FA0D37">
        <w:t xml:space="preserve">            fr1-r16                                       </w:t>
      </w:r>
      <w:r w:rsidRPr="00FA0D37">
        <w:rPr>
          <w:color w:val="993366"/>
        </w:rPr>
        <w:t>SEQUENCE</w:t>
      </w:r>
      <w:r w:rsidRPr="00FA0D37">
        <w:t xml:space="preserve"> {</w:t>
      </w:r>
    </w:p>
    <w:p w14:paraId="5D79CCEB" w14:textId="77777777" w:rsidR="00394471" w:rsidRPr="00FA0D37" w:rsidRDefault="00394471" w:rsidP="00FA0D37">
      <w:pPr>
        <w:pStyle w:val="PL"/>
      </w:pPr>
      <w:r w:rsidRPr="00FA0D37">
        <w:t xml:space="preserve">                scs-15kHz-r16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24B74B7C" w14:textId="77777777" w:rsidR="00394471" w:rsidRPr="00FA0D37" w:rsidRDefault="00394471" w:rsidP="00FA0D37">
      <w:pPr>
        <w:pStyle w:val="PL"/>
      </w:pPr>
      <w:r w:rsidRPr="00FA0D37">
        <w:t xml:space="preserve">                scs-30kHz-r16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26D78E0B" w14:textId="77777777" w:rsidR="00394471" w:rsidRPr="00FA0D37" w:rsidRDefault="00394471" w:rsidP="00FA0D37">
      <w:pPr>
        <w:pStyle w:val="PL"/>
      </w:pPr>
      <w:r w:rsidRPr="00FA0D37">
        <w:t xml:space="preserve">                scs-60kHz-r16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3671061A" w14:textId="77777777" w:rsidR="00394471" w:rsidRPr="00FA0D37" w:rsidRDefault="00394471" w:rsidP="00FA0D37">
      <w:pPr>
        <w:pStyle w:val="PL"/>
      </w:pPr>
      <w:r w:rsidRPr="00FA0D37">
        <w:t xml:space="preserve">            },</w:t>
      </w:r>
    </w:p>
    <w:p w14:paraId="2903DF93" w14:textId="77777777" w:rsidR="00394471" w:rsidRPr="00FA0D37" w:rsidRDefault="00394471" w:rsidP="00FA0D37">
      <w:pPr>
        <w:pStyle w:val="PL"/>
      </w:pPr>
      <w:r w:rsidRPr="00FA0D37">
        <w:t xml:space="preserve">            fr2-r16                                       </w:t>
      </w:r>
      <w:r w:rsidRPr="00FA0D37">
        <w:rPr>
          <w:color w:val="993366"/>
        </w:rPr>
        <w:t>SEQUENCE</w:t>
      </w:r>
      <w:r w:rsidRPr="00FA0D37">
        <w:t xml:space="preserve"> {</w:t>
      </w:r>
    </w:p>
    <w:p w14:paraId="14A4D2DC" w14:textId="77777777" w:rsidR="00394471" w:rsidRPr="00FA0D37" w:rsidRDefault="00394471" w:rsidP="00FA0D37">
      <w:pPr>
        <w:pStyle w:val="PL"/>
      </w:pPr>
      <w:r w:rsidRPr="00FA0D37">
        <w:t xml:space="preserve">                scs-60kHz-r16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123A0E34" w14:textId="77777777" w:rsidR="00394471" w:rsidRPr="00FA0D37" w:rsidRDefault="00394471" w:rsidP="00FA0D37">
      <w:pPr>
        <w:pStyle w:val="PL"/>
      </w:pPr>
      <w:r w:rsidRPr="00FA0D37">
        <w:t xml:space="preserve">                scs-120kHz-r16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583F90EB" w14:textId="77777777" w:rsidR="00394471" w:rsidRPr="00FA0D37" w:rsidRDefault="00394471" w:rsidP="00FA0D37">
      <w:pPr>
        <w:pStyle w:val="PL"/>
      </w:pPr>
      <w:r w:rsidRPr="00FA0D37">
        <w:t xml:space="preserve">            }</w:t>
      </w:r>
    </w:p>
    <w:p w14:paraId="19A771C6" w14:textId="77777777" w:rsidR="00394471" w:rsidRPr="00FA0D37" w:rsidRDefault="00394471" w:rsidP="00FA0D37">
      <w:pPr>
        <w:pStyle w:val="PL"/>
      </w:pPr>
      <w:r w:rsidRPr="00FA0D37">
        <w:t xml:space="preserve">        }                                                                                           </w:t>
      </w:r>
      <w:r w:rsidRPr="00FA0D37">
        <w:rPr>
          <w:color w:val="993366"/>
        </w:rPr>
        <w:t>OPTIONAL</w:t>
      </w:r>
      <w:r w:rsidRPr="00FA0D37">
        <w:t>,</w:t>
      </w:r>
    </w:p>
    <w:p w14:paraId="47C469B5" w14:textId="77777777" w:rsidR="00394471" w:rsidRPr="00FA0D37" w:rsidRDefault="00394471" w:rsidP="00FA0D37">
      <w:pPr>
        <w:pStyle w:val="PL"/>
      </w:pPr>
      <w:r w:rsidRPr="00FA0D37">
        <w:t xml:space="preserve">        extendedCP-RxSidelink-r16                     </w:t>
      </w:r>
      <w:r w:rsidRPr="00FA0D37">
        <w:rPr>
          <w:color w:val="993366"/>
        </w:rPr>
        <w:t>ENUMERATED</w:t>
      </w:r>
      <w:r w:rsidRPr="00FA0D37">
        <w:t xml:space="preserve"> {supported}                        </w:t>
      </w:r>
      <w:r w:rsidRPr="00FA0D37">
        <w:rPr>
          <w:color w:val="993366"/>
        </w:rPr>
        <w:t>OPTIONAL</w:t>
      </w:r>
    </w:p>
    <w:p w14:paraId="5518281C" w14:textId="77777777" w:rsidR="00394471" w:rsidRPr="00FA0D37" w:rsidRDefault="00394471" w:rsidP="00FA0D37">
      <w:pPr>
        <w:pStyle w:val="PL"/>
      </w:pPr>
      <w:r w:rsidRPr="00FA0D37">
        <w:lastRenderedPageBreak/>
        <w:t xml:space="preserve">    }                                                                                               </w:t>
      </w:r>
      <w:r w:rsidRPr="00FA0D37">
        <w:rPr>
          <w:color w:val="993366"/>
        </w:rPr>
        <w:t>OPTIONAL</w:t>
      </w:r>
      <w:r w:rsidRPr="00FA0D37">
        <w:t>,</w:t>
      </w:r>
    </w:p>
    <w:p w14:paraId="1AC78E78" w14:textId="77777777" w:rsidR="00394471" w:rsidRPr="00FA0D37" w:rsidRDefault="00394471" w:rsidP="00FA0D37">
      <w:pPr>
        <w:pStyle w:val="PL"/>
        <w:rPr>
          <w:color w:val="808080"/>
        </w:rPr>
      </w:pPr>
      <w:r w:rsidRPr="00FA0D37">
        <w:t xml:space="preserve">    </w:t>
      </w:r>
      <w:r w:rsidRPr="00FA0D37">
        <w:rPr>
          <w:color w:val="808080"/>
        </w:rPr>
        <w:t>--15-2</w:t>
      </w:r>
    </w:p>
    <w:p w14:paraId="74B15254" w14:textId="77777777" w:rsidR="00394471" w:rsidRPr="00FA0D37" w:rsidRDefault="00394471" w:rsidP="00FA0D37">
      <w:pPr>
        <w:pStyle w:val="PL"/>
      </w:pPr>
      <w:r w:rsidRPr="00FA0D37">
        <w:t xml:space="preserve">    sl-TransmissionMode1-r16                      </w:t>
      </w:r>
      <w:r w:rsidRPr="00FA0D37">
        <w:rPr>
          <w:color w:val="993366"/>
        </w:rPr>
        <w:t>SEQUENCE</w:t>
      </w:r>
      <w:r w:rsidRPr="00FA0D37">
        <w:t xml:space="preserve"> {</w:t>
      </w:r>
    </w:p>
    <w:p w14:paraId="51B05E52" w14:textId="77777777" w:rsidR="00394471" w:rsidRPr="00FA0D37" w:rsidRDefault="00394471" w:rsidP="00FA0D37">
      <w:pPr>
        <w:pStyle w:val="PL"/>
      </w:pPr>
      <w:r w:rsidRPr="00FA0D37">
        <w:t xml:space="preserve">        harq-TxProcessModeOneSidelink-r16             </w:t>
      </w:r>
      <w:r w:rsidRPr="00FA0D37">
        <w:rPr>
          <w:color w:val="993366"/>
        </w:rPr>
        <w:t>ENUMERATED</w:t>
      </w:r>
      <w:r w:rsidRPr="00FA0D37">
        <w:t xml:space="preserve"> {n8, n16},</w:t>
      </w:r>
    </w:p>
    <w:p w14:paraId="761F48BA" w14:textId="77777777" w:rsidR="00394471" w:rsidRPr="00FA0D37" w:rsidRDefault="00394471" w:rsidP="00FA0D37">
      <w:pPr>
        <w:pStyle w:val="PL"/>
      </w:pPr>
      <w:r w:rsidRPr="00FA0D37">
        <w:t xml:space="preserve">        scs-CP-PatternTxSidelinkModeOne-r16           </w:t>
      </w:r>
      <w:r w:rsidRPr="00FA0D37">
        <w:rPr>
          <w:color w:val="993366"/>
        </w:rPr>
        <w:t>CHOICE</w:t>
      </w:r>
      <w:r w:rsidRPr="00FA0D37">
        <w:t xml:space="preserve"> {</w:t>
      </w:r>
    </w:p>
    <w:p w14:paraId="2935F8B7" w14:textId="77777777" w:rsidR="00394471" w:rsidRPr="00FA0D37" w:rsidRDefault="00394471" w:rsidP="00FA0D37">
      <w:pPr>
        <w:pStyle w:val="PL"/>
      </w:pPr>
      <w:r w:rsidRPr="00FA0D37">
        <w:t xml:space="preserve">            fr1-r16                                       </w:t>
      </w:r>
      <w:r w:rsidRPr="00FA0D37">
        <w:rPr>
          <w:color w:val="993366"/>
        </w:rPr>
        <w:t>SEQUENCE</w:t>
      </w:r>
      <w:r w:rsidRPr="00FA0D37">
        <w:t xml:space="preserve"> {</w:t>
      </w:r>
    </w:p>
    <w:p w14:paraId="169342C0" w14:textId="77777777" w:rsidR="00394471" w:rsidRPr="00FA0D37" w:rsidRDefault="00394471" w:rsidP="00FA0D37">
      <w:pPr>
        <w:pStyle w:val="PL"/>
      </w:pPr>
      <w:r w:rsidRPr="00FA0D37">
        <w:t xml:space="preserve">                scs-15kHz-r16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2A74710E" w14:textId="77777777" w:rsidR="00394471" w:rsidRPr="00FA0D37" w:rsidRDefault="00394471" w:rsidP="00FA0D37">
      <w:pPr>
        <w:pStyle w:val="PL"/>
      </w:pPr>
      <w:r w:rsidRPr="00FA0D37">
        <w:t xml:space="preserve">                scs-30kHz-r16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5021ED7E" w14:textId="77777777" w:rsidR="00394471" w:rsidRPr="00FA0D37" w:rsidRDefault="00394471" w:rsidP="00FA0D37">
      <w:pPr>
        <w:pStyle w:val="PL"/>
      </w:pPr>
      <w:r w:rsidRPr="00FA0D37">
        <w:t xml:space="preserve">                scs-60kHz-r16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40A0D895" w14:textId="77777777" w:rsidR="00394471" w:rsidRPr="00FA0D37" w:rsidRDefault="00394471" w:rsidP="00FA0D37">
      <w:pPr>
        <w:pStyle w:val="PL"/>
      </w:pPr>
      <w:r w:rsidRPr="00FA0D37">
        <w:t xml:space="preserve">            },</w:t>
      </w:r>
    </w:p>
    <w:p w14:paraId="75A1B5DA" w14:textId="77777777" w:rsidR="00394471" w:rsidRPr="00FA0D37" w:rsidRDefault="00394471" w:rsidP="00FA0D37">
      <w:pPr>
        <w:pStyle w:val="PL"/>
      </w:pPr>
      <w:r w:rsidRPr="00FA0D37">
        <w:t xml:space="preserve">            fr2-r16                                       </w:t>
      </w:r>
      <w:r w:rsidRPr="00FA0D37">
        <w:rPr>
          <w:color w:val="993366"/>
        </w:rPr>
        <w:t>SEQUENCE</w:t>
      </w:r>
      <w:r w:rsidRPr="00FA0D37">
        <w:t xml:space="preserve"> {</w:t>
      </w:r>
    </w:p>
    <w:p w14:paraId="57CA5159" w14:textId="77777777" w:rsidR="00394471" w:rsidRPr="00FA0D37" w:rsidRDefault="00394471" w:rsidP="00FA0D37">
      <w:pPr>
        <w:pStyle w:val="PL"/>
      </w:pPr>
      <w:r w:rsidRPr="00FA0D37">
        <w:t xml:space="preserve">                scs-60kHz-r16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079FA591" w14:textId="77777777" w:rsidR="00394471" w:rsidRPr="00FA0D37" w:rsidRDefault="00394471" w:rsidP="00FA0D37">
      <w:pPr>
        <w:pStyle w:val="PL"/>
      </w:pPr>
      <w:r w:rsidRPr="00FA0D37">
        <w:t xml:space="preserve">                scs-120kHz-r16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129F642D" w14:textId="77777777" w:rsidR="00394471" w:rsidRPr="00FA0D37" w:rsidRDefault="00394471" w:rsidP="00FA0D37">
      <w:pPr>
        <w:pStyle w:val="PL"/>
      </w:pPr>
      <w:r w:rsidRPr="00FA0D37">
        <w:t xml:space="preserve">            }</w:t>
      </w:r>
    </w:p>
    <w:p w14:paraId="07D2C42E" w14:textId="77777777" w:rsidR="00394471" w:rsidRPr="00FA0D37" w:rsidRDefault="00394471" w:rsidP="00FA0D37">
      <w:pPr>
        <w:pStyle w:val="PL"/>
      </w:pPr>
      <w:r w:rsidRPr="00FA0D37">
        <w:t xml:space="preserve">        },</w:t>
      </w:r>
    </w:p>
    <w:p w14:paraId="3BBCC42C" w14:textId="77777777" w:rsidR="00394471" w:rsidRPr="00FA0D37" w:rsidRDefault="00394471" w:rsidP="00FA0D37">
      <w:pPr>
        <w:pStyle w:val="PL"/>
      </w:pPr>
      <w:r w:rsidRPr="00FA0D37">
        <w:t xml:space="preserve">        extendedCP-TxSidelink-r16                     </w:t>
      </w:r>
      <w:r w:rsidRPr="00FA0D37">
        <w:rPr>
          <w:color w:val="993366"/>
        </w:rPr>
        <w:t>ENUMERATED</w:t>
      </w:r>
      <w:r w:rsidRPr="00FA0D37">
        <w:t xml:space="preserve"> {supported}                        </w:t>
      </w:r>
      <w:r w:rsidRPr="00FA0D37">
        <w:rPr>
          <w:color w:val="993366"/>
        </w:rPr>
        <w:t>OPTIONAL</w:t>
      </w:r>
      <w:r w:rsidRPr="00FA0D37">
        <w:t>,</w:t>
      </w:r>
    </w:p>
    <w:p w14:paraId="53BE8CF2" w14:textId="77777777" w:rsidR="00394471" w:rsidRPr="00FA0D37" w:rsidRDefault="00394471" w:rsidP="00FA0D37">
      <w:pPr>
        <w:pStyle w:val="PL"/>
      </w:pPr>
      <w:r w:rsidRPr="00FA0D37">
        <w:t xml:space="preserve">        harq-ReportOnPUCCH-r16                        </w:t>
      </w:r>
      <w:r w:rsidRPr="00FA0D37">
        <w:rPr>
          <w:color w:val="993366"/>
        </w:rPr>
        <w:t>ENUMERATED</w:t>
      </w:r>
      <w:r w:rsidRPr="00FA0D37">
        <w:t xml:space="preserve"> {supported}                        </w:t>
      </w:r>
      <w:r w:rsidRPr="00FA0D37">
        <w:rPr>
          <w:color w:val="993366"/>
        </w:rPr>
        <w:t>OPTIONAL</w:t>
      </w:r>
    </w:p>
    <w:p w14:paraId="50320C42" w14:textId="77777777" w:rsidR="00394471" w:rsidRPr="00FA0D37" w:rsidRDefault="00394471" w:rsidP="00FA0D37">
      <w:pPr>
        <w:pStyle w:val="PL"/>
      </w:pPr>
      <w:r w:rsidRPr="00FA0D37">
        <w:t xml:space="preserve">    }                                                                                               </w:t>
      </w:r>
      <w:r w:rsidRPr="00FA0D37">
        <w:rPr>
          <w:color w:val="993366"/>
        </w:rPr>
        <w:t>OPTIONAL</w:t>
      </w:r>
      <w:r w:rsidRPr="00FA0D37">
        <w:t>,</w:t>
      </w:r>
    </w:p>
    <w:p w14:paraId="2B0D32D8" w14:textId="77777777" w:rsidR="00394471" w:rsidRPr="00FA0D37" w:rsidRDefault="00394471" w:rsidP="00FA0D37">
      <w:pPr>
        <w:pStyle w:val="PL"/>
        <w:rPr>
          <w:color w:val="808080"/>
        </w:rPr>
      </w:pPr>
      <w:r w:rsidRPr="00FA0D37">
        <w:t xml:space="preserve">    </w:t>
      </w:r>
      <w:r w:rsidRPr="00FA0D37">
        <w:rPr>
          <w:color w:val="808080"/>
        </w:rPr>
        <w:t>--15-4</w:t>
      </w:r>
    </w:p>
    <w:p w14:paraId="34644D67" w14:textId="77777777" w:rsidR="00394471" w:rsidRPr="00FA0D37" w:rsidRDefault="00394471" w:rsidP="00FA0D37">
      <w:pPr>
        <w:pStyle w:val="PL"/>
      </w:pPr>
      <w:r w:rsidRPr="00FA0D37">
        <w:t xml:space="preserve">    sync-Sidelink-r16                             </w:t>
      </w:r>
      <w:r w:rsidRPr="00FA0D37">
        <w:rPr>
          <w:color w:val="993366"/>
        </w:rPr>
        <w:t>SEQUENCE</w:t>
      </w:r>
      <w:r w:rsidRPr="00FA0D37">
        <w:t xml:space="preserve"> {</w:t>
      </w:r>
    </w:p>
    <w:p w14:paraId="06FA4675" w14:textId="77777777" w:rsidR="00394471" w:rsidRPr="00FA0D37" w:rsidRDefault="00394471" w:rsidP="00FA0D37">
      <w:pPr>
        <w:pStyle w:val="PL"/>
      </w:pPr>
      <w:r w:rsidRPr="00FA0D37">
        <w:t xml:space="preserve">        gNB-Sync-r16                                  </w:t>
      </w:r>
      <w:r w:rsidRPr="00FA0D37">
        <w:rPr>
          <w:color w:val="993366"/>
        </w:rPr>
        <w:t>ENUMERATED</w:t>
      </w:r>
      <w:r w:rsidRPr="00FA0D37">
        <w:t xml:space="preserve"> {supported}                        </w:t>
      </w:r>
      <w:r w:rsidRPr="00FA0D37">
        <w:rPr>
          <w:color w:val="993366"/>
        </w:rPr>
        <w:t>OPTIONAL</w:t>
      </w:r>
      <w:r w:rsidRPr="00FA0D37">
        <w:t>,</w:t>
      </w:r>
    </w:p>
    <w:p w14:paraId="4A6DA868" w14:textId="77777777" w:rsidR="00394471" w:rsidRPr="00FA0D37" w:rsidRDefault="00394471" w:rsidP="00FA0D37">
      <w:pPr>
        <w:pStyle w:val="PL"/>
      </w:pPr>
      <w:r w:rsidRPr="00FA0D37">
        <w:t xml:space="preserve">        gNB-GNSS-UE-SyncWithPriorityOnGNB-ENB-r16     </w:t>
      </w:r>
      <w:r w:rsidRPr="00FA0D37">
        <w:rPr>
          <w:color w:val="993366"/>
        </w:rPr>
        <w:t>ENUMERATED</w:t>
      </w:r>
      <w:r w:rsidRPr="00FA0D37">
        <w:t xml:space="preserve"> {supported}                        </w:t>
      </w:r>
      <w:r w:rsidRPr="00FA0D37">
        <w:rPr>
          <w:color w:val="993366"/>
        </w:rPr>
        <w:t>OPTIONAL</w:t>
      </w:r>
      <w:r w:rsidRPr="00FA0D37">
        <w:t>,</w:t>
      </w:r>
    </w:p>
    <w:p w14:paraId="6BE27692" w14:textId="77777777" w:rsidR="00394471" w:rsidRPr="00FA0D37" w:rsidRDefault="00394471" w:rsidP="00FA0D37">
      <w:pPr>
        <w:pStyle w:val="PL"/>
      </w:pPr>
      <w:r w:rsidRPr="00FA0D37">
        <w:t xml:space="preserve">        gNB-GNSS-UE-SyncWithPriorityOnGNSS-r16        </w:t>
      </w:r>
      <w:r w:rsidRPr="00FA0D37">
        <w:rPr>
          <w:color w:val="993366"/>
        </w:rPr>
        <w:t>ENUMERATED</w:t>
      </w:r>
      <w:r w:rsidRPr="00FA0D37">
        <w:t xml:space="preserve"> {supported}                        </w:t>
      </w:r>
      <w:r w:rsidRPr="00FA0D37">
        <w:rPr>
          <w:color w:val="993366"/>
        </w:rPr>
        <w:t>OPTIONAL</w:t>
      </w:r>
    </w:p>
    <w:p w14:paraId="69EBA23E" w14:textId="77777777" w:rsidR="00394471" w:rsidRPr="00FA0D37" w:rsidRDefault="00394471" w:rsidP="00FA0D37">
      <w:pPr>
        <w:pStyle w:val="PL"/>
      </w:pPr>
      <w:r w:rsidRPr="00FA0D37">
        <w:t xml:space="preserve">    }                                                                                               </w:t>
      </w:r>
      <w:r w:rsidRPr="00FA0D37">
        <w:rPr>
          <w:color w:val="993366"/>
        </w:rPr>
        <w:t>OPTIONAL</w:t>
      </w:r>
      <w:r w:rsidRPr="00FA0D37">
        <w:t>,</w:t>
      </w:r>
    </w:p>
    <w:p w14:paraId="0FBC113F" w14:textId="77777777" w:rsidR="00394471" w:rsidRPr="00FA0D37" w:rsidRDefault="00394471" w:rsidP="00FA0D37">
      <w:pPr>
        <w:pStyle w:val="PL"/>
        <w:rPr>
          <w:color w:val="808080"/>
        </w:rPr>
      </w:pPr>
      <w:r w:rsidRPr="00FA0D37">
        <w:t xml:space="preserve">    </w:t>
      </w:r>
      <w:r w:rsidRPr="00FA0D37">
        <w:rPr>
          <w:color w:val="808080"/>
        </w:rPr>
        <w:t>--15-10</w:t>
      </w:r>
    </w:p>
    <w:p w14:paraId="3CEE66DE" w14:textId="77777777" w:rsidR="00394471" w:rsidRPr="00FA0D37" w:rsidRDefault="00394471" w:rsidP="00FA0D37">
      <w:pPr>
        <w:pStyle w:val="PL"/>
      </w:pPr>
      <w:r w:rsidRPr="00FA0D37">
        <w:t xml:space="preserve">    sl-Tx-256QAM-r16                              </w:t>
      </w:r>
      <w:r w:rsidRPr="00FA0D37">
        <w:rPr>
          <w:color w:val="993366"/>
        </w:rPr>
        <w:t>ENUMERATED</w:t>
      </w:r>
      <w:r w:rsidRPr="00FA0D37">
        <w:t xml:space="preserve"> {supported}                            </w:t>
      </w:r>
      <w:r w:rsidRPr="00FA0D37">
        <w:rPr>
          <w:color w:val="993366"/>
        </w:rPr>
        <w:t>OPTIONAL</w:t>
      </w:r>
      <w:r w:rsidRPr="00FA0D37">
        <w:t>,</w:t>
      </w:r>
    </w:p>
    <w:p w14:paraId="20ED2958" w14:textId="77777777" w:rsidR="00394471" w:rsidRPr="00FA0D37" w:rsidRDefault="00394471" w:rsidP="00FA0D37">
      <w:pPr>
        <w:pStyle w:val="PL"/>
        <w:rPr>
          <w:color w:val="808080"/>
        </w:rPr>
      </w:pPr>
      <w:r w:rsidRPr="00FA0D37">
        <w:t xml:space="preserve">    </w:t>
      </w:r>
      <w:r w:rsidRPr="00FA0D37">
        <w:rPr>
          <w:color w:val="808080"/>
        </w:rPr>
        <w:t>--15-11</w:t>
      </w:r>
    </w:p>
    <w:p w14:paraId="4557CE84" w14:textId="77777777" w:rsidR="00394471" w:rsidRPr="00FA0D37" w:rsidRDefault="00394471" w:rsidP="00FA0D37">
      <w:pPr>
        <w:pStyle w:val="PL"/>
      </w:pPr>
      <w:r w:rsidRPr="00FA0D37">
        <w:t xml:space="preserve">    psfch-FormatZeroSidelink-r16                  </w:t>
      </w:r>
      <w:r w:rsidRPr="00FA0D37">
        <w:rPr>
          <w:color w:val="993366"/>
        </w:rPr>
        <w:t>SEQUENCE</w:t>
      </w:r>
      <w:r w:rsidRPr="00FA0D37">
        <w:t xml:space="preserve"> {</w:t>
      </w:r>
    </w:p>
    <w:p w14:paraId="549A649C" w14:textId="77777777" w:rsidR="00394471" w:rsidRPr="00FA0D37" w:rsidRDefault="00394471" w:rsidP="00FA0D37">
      <w:pPr>
        <w:pStyle w:val="PL"/>
      </w:pPr>
      <w:r w:rsidRPr="00FA0D37">
        <w:t xml:space="preserve">        psfch-RxNumber                                </w:t>
      </w:r>
      <w:r w:rsidRPr="00FA0D37">
        <w:rPr>
          <w:color w:val="993366"/>
        </w:rPr>
        <w:t>ENUMERATED</w:t>
      </w:r>
      <w:r w:rsidRPr="00FA0D37">
        <w:t xml:space="preserve"> {n5, n15, n25, n32, n35, n45, n50, n64},</w:t>
      </w:r>
    </w:p>
    <w:p w14:paraId="42129987" w14:textId="77777777" w:rsidR="00394471" w:rsidRPr="00FA0D37" w:rsidRDefault="00394471" w:rsidP="00FA0D37">
      <w:pPr>
        <w:pStyle w:val="PL"/>
      </w:pPr>
      <w:r w:rsidRPr="00FA0D37">
        <w:t xml:space="preserve">        psfch-TxNumber                                </w:t>
      </w:r>
      <w:r w:rsidRPr="00FA0D37">
        <w:rPr>
          <w:color w:val="993366"/>
        </w:rPr>
        <w:t>ENUMERATED</w:t>
      </w:r>
      <w:r w:rsidRPr="00FA0D37">
        <w:t xml:space="preserve"> {n4, n8, n16}</w:t>
      </w:r>
    </w:p>
    <w:p w14:paraId="5E989640" w14:textId="77777777" w:rsidR="00394471" w:rsidRPr="00FA0D37" w:rsidRDefault="00394471" w:rsidP="00FA0D37">
      <w:pPr>
        <w:pStyle w:val="PL"/>
      </w:pPr>
      <w:r w:rsidRPr="00FA0D37">
        <w:t xml:space="preserve">    }                                                                                               </w:t>
      </w:r>
      <w:r w:rsidRPr="00FA0D37">
        <w:rPr>
          <w:color w:val="993366"/>
        </w:rPr>
        <w:t>OPTIONAL</w:t>
      </w:r>
      <w:r w:rsidRPr="00FA0D37">
        <w:t>,</w:t>
      </w:r>
    </w:p>
    <w:p w14:paraId="1EC8F6A9" w14:textId="77777777" w:rsidR="00394471" w:rsidRPr="00FA0D37" w:rsidRDefault="00394471" w:rsidP="00FA0D37">
      <w:pPr>
        <w:pStyle w:val="PL"/>
        <w:rPr>
          <w:color w:val="808080"/>
        </w:rPr>
      </w:pPr>
      <w:r w:rsidRPr="00FA0D37">
        <w:t xml:space="preserve">    </w:t>
      </w:r>
      <w:r w:rsidRPr="00FA0D37">
        <w:rPr>
          <w:color w:val="808080"/>
        </w:rPr>
        <w:t>--15-12</w:t>
      </w:r>
    </w:p>
    <w:p w14:paraId="1EAB69F8" w14:textId="77777777" w:rsidR="00394471" w:rsidRPr="00FA0D37" w:rsidRDefault="00394471" w:rsidP="00FA0D37">
      <w:pPr>
        <w:pStyle w:val="PL"/>
      </w:pPr>
      <w:r w:rsidRPr="00FA0D37">
        <w:t xml:space="preserve">    lowSE-64QAM-MCS-TableSidelink-r16             </w:t>
      </w:r>
      <w:r w:rsidRPr="00FA0D37">
        <w:rPr>
          <w:color w:val="993366"/>
        </w:rPr>
        <w:t>ENUMERATED</w:t>
      </w:r>
      <w:r w:rsidRPr="00FA0D37">
        <w:t xml:space="preserve"> {supported}                            </w:t>
      </w:r>
      <w:r w:rsidRPr="00FA0D37">
        <w:rPr>
          <w:color w:val="993366"/>
        </w:rPr>
        <w:t>OPTIONAL</w:t>
      </w:r>
      <w:r w:rsidRPr="00FA0D37">
        <w:t>,</w:t>
      </w:r>
    </w:p>
    <w:p w14:paraId="310D07E4" w14:textId="77777777" w:rsidR="00394471" w:rsidRPr="00FA0D37" w:rsidRDefault="00394471" w:rsidP="00FA0D37">
      <w:pPr>
        <w:pStyle w:val="PL"/>
        <w:rPr>
          <w:color w:val="808080"/>
        </w:rPr>
      </w:pPr>
      <w:r w:rsidRPr="00FA0D37">
        <w:t xml:space="preserve">    </w:t>
      </w:r>
      <w:r w:rsidRPr="00FA0D37">
        <w:rPr>
          <w:color w:val="808080"/>
        </w:rPr>
        <w:t>--15-15</w:t>
      </w:r>
    </w:p>
    <w:p w14:paraId="5BF48387" w14:textId="77777777" w:rsidR="00394471" w:rsidRPr="00FA0D37" w:rsidRDefault="00394471" w:rsidP="00FA0D37">
      <w:pPr>
        <w:pStyle w:val="PL"/>
      </w:pPr>
      <w:r w:rsidRPr="00FA0D37">
        <w:t xml:space="preserve">    enb-sync-Sidelink-r16                         </w:t>
      </w:r>
      <w:r w:rsidRPr="00FA0D37">
        <w:rPr>
          <w:color w:val="993366"/>
        </w:rPr>
        <w:t>ENUMERATED</w:t>
      </w:r>
      <w:r w:rsidRPr="00FA0D37">
        <w:t xml:space="preserve"> {supported}                            </w:t>
      </w:r>
      <w:r w:rsidRPr="00FA0D37">
        <w:rPr>
          <w:color w:val="993366"/>
        </w:rPr>
        <w:t>OPTIONAL</w:t>
      </w:r>
      <w:r w:rsidRPr="00FA0D37">
        <w:t>,</w:t>
      </w:r>
    </w:p>
    <w:p w14:paraId="7958AD45" w14:textId="490FCF59" w:rsidR="00D027C1" w:rsidRPr="00FA0D37" w:rsidRDefault="00394471" w:rsidP="00FA0D37">
      <w:pPr>
        <w:pStyle w:val="PL"/>
        <w:rPr>
          <w:rFonts w:eastAsia="MS Mincho"/>
        </w:rPr>
      </w:pPr>
      <w:r w:rsidRPr="00FA0D37">
        <w:t xml:space="preserve">    </w:t>
      </w:r>
      <w:r w:rsidRPr="00FA0D37">
        <w:rPr>
          <w:rFonts w:eastAsia="MS Mincho"/>
        </w:rPr>
        <w:t>...</w:t>
      </w:r>
      <w:r w:rsidR="00D027C1" w:rsidRPr="00FA0D37">
        <w:rPr>
          <w:rFonts w:eastAsia="MS Mincho"/>
        </w:rPr>
        <w:t>,</w:t>
      </w:r>
    </w:p>
    <w:p w14:paraId="59FC16A4" w14:textId="3E1736B1" w:rsidR="00D027C1" w:rsidRPr="00FA0D37" w:rsidRDefault="00D027C1" w:rsidP="00FA0D37">
      <w:pPr>
        <w:pStyle w:val="PL"/>
        <w:rPr>
          <w:rFonts w:eastAsia="MS Mincho"/>
        </w:rPr>
      </w:pPr>
      <w:r w:rsidRPr="00FA0D37">
        <w:t xml:space="preserve">   </w:t>
      </w:r>
      <w:r w:rsidRPr="00FA0D37">
        <w:rPr>
          <w:rFonts w:eastAsia="MS Mincho"/>
        </w:rPr>
        <w:t xml:space="preserve"> [[</w:t>
      </w:r>
    </w:p>
    <w:p w14:paraId="36FD850B" w14:textId="34F7312F" w:rsidR="00D027C1" w:rsidRPr="00FA0D37" w:rsidRDefault="00D027C1" w:rsidP="00FA0D37">
      <w:pPr>
        <w:pStyle w:val="PL"/>
        <w:rPr>
          <w:rFonts w:eastAsia="MS Mincho"/>
          <w:color w:val="808080"/>
        </w:rPr>
      </w:pPr>
      <w:r w:rsidRPr="00FA0D37">
        <w:t xml:space="preserve">   </w:t>
      </w:r>
      <w:r w:rsidRPr="00FA0D37">
        <w:rPr>
          <w:rFonts w:eastAsia="MS Mincho"/>
        </w:rPr>
        <w:t xml:space="preserve"> </w:t>
      </w:r>
      <w:r w:rsidRPr="00FA0D37">
        <w:rPr>
          <w:rFonts w:eastAsia="MS Mincho"/>
          <w:color w:val="808080"/>
        </w:rPr>
        <w:t>--15-3</w:t>
      </w:r>
    </w:p>
    <w:p w14:paraId="36E5CD50" w14:textId="0C94CB96" w:rsidR="00D027C1" w:rsidRPr="00FA0D37" w:rsidRDefault="00D027C1" w:rsidP="00FA0D37">
      <w:pPr>
        <w:pStyle w:val="PL"/>
        <w:rPr>
          <w:rFonts w:eastAsia="MS Mincho"/>
        </w:rPr>
      </w:pPr>
      <w:r w:rsidRPr="00FA0D37">
        <w:t xml:space="preserve">   </w:t>
      </w:r>
      <w:r w:rsidRPr="00FA0D37">
        <w:rPr>
          <w:rFonts w:eastAsia="MS Mincho"/>
        </w:rPr>
        <w:t xml:space="preserve"> sl-TransmissionMode2-r16</w:t>
      </w:r>
      <w:r w:rsidRPr="00FA0D37">
        <w:t xml:space="preserve">                      </w:t>
      </w:r>
      <w:r w:rsidRPr="00FA0D37">
        <w:rPr>
          <w:rFonts w:eastAsia="MS Mincho"/>
          <w:color w:val="993366"/>
        </w:rPr>
        <w:t>SEQUENCE</w:t>
      </w:r>
      <w:r w:rsidRPr="00FA0D37">
        <w:rPr>
          <w:rFonts w:eastAsia="MS Mincho"/>
        </w:rPr>
        <w:t xml:space="preserve"> {</w:t>
      </w:r>
    </w:p>
    <w:p w14:paraId="2902597E" w14:textId="66E01190" w:rsidR="00D027C1" w:rsidRPr="00FA0D37" w:rsidRDefault="00D027C1" w:rsidP="00FA0D37">
      <w:pPr>
        <w:pStyle w:val="PL"/>
        <w:rPr>
          <w:rFonts w:eastAsia="MS Mincho"/>
        </w:rPr>
      </w:pPr>
      <w:r w:rsidRPr="00FA0D37">
        <w:t xml:space="preserve">        </w:t>
      </w:r>
      <w:r w:rsidRPr="00FA0D37">
        <w:rPr>
          <w:rFonts w:eastAsia="MS Mincho"/>
        </w:rPr>
        <w:t>harq-TxProcessModeTwoSidelink-r16</w:t>
      </w:r>
      <w:r w:rsidRPr="00FA0D37">
        <w:t xml:space="preserve">   </w:t>
      </w:r>
      <w:r w:rsidRPr="00FA0D37">
        <w:rPr>
          <w:rFonts w:eastAsia="MS Mincho"/>
        </w:rPr>
        <w:t xml:space="preserve"> </w:t>
      </w:r>
      <w:r w:rsidRPr="00FA0D37">
        <w:t xml:space="preserve">   </w:t>
      </w:r>
      <w:r w:rsidRPr="00FA0D37">
        <w:rPr>
          <w:rFonts w:eastAsia="MS Mincho"/>
        </w:rPr>
        <w:t xml:space="preserve"> </w:t>
      </w:r>
      <w:r w:rsidRPr="00FA0D37">
        <w:t xml:space="preserve">  </w:t>
      </w:r>
      <w:r w:rsidRPr="00FA0D37">
        <w:rPr>
          <w:rFonts w:eastAsia="MS Mincho"/>
        </w:rPr>
        <w:t xml:space="preserve">    </w:t>
      </w:r>
      <w:r w:rsidRPr="00FA0D37">
        <w:rPr>
          <w:rFonts w:eastAsia="MS Mincho"/>
          <w:color w:val="993366"/>
        </w:rPr>
        <w:t>ENUMERATED</w:t>
      </w:r>
      <w:r w:rsidRPr="00FA0D37">
        <w:rPr>
          <w:rFonts w:eastAsia="MS Mincho"/>
        </w:rPr>
        <w:t xml:space="preserve"> {n8, n16},</w:t>
      </w:r>
    </w:p>
    <w:p w14:paraId="5A301209" w14:textId="3A2919D6" w:rsidR="00D027C1" w:rsidRPr="00FA0D37" w:rsidRDefault="00D027C1" w:rsidP="00FA0D37">
      <w:pPr>
        <w:pStyle w:val="PL"/>
        <w:rPr>
          <w:rFonts w:eastAsia="MS Mincho"/>
        </w:rPr>
      </w:pPr>
      <w:r w:rsidRPr="00FA0D37">
        <w:t xml:space="preserve">        </w:t>
      </w:r>
      <w:r w:rsidRPr="00FA0D37">
        <w:rPr>
          <w:rFonts w:eastAsia="MS Mincho"/>
        </w:rPr>
        <w:t>scs-CP-PatternTxSidelinkModeTwo-r16</w:t>
      </w:r>
      <w:r w:rsidRPr="00FA0D37">
        <w:t xml:space="preserve">           </w:t>
      </w:r>
      <w:r w:rsidRPr="00FA0D37">
        <w:rPr>
          <w:rFonts w:eastAsia="MS Mincho"/>
          <w:color w:val="993366"/>
        </w:rPr>
        <w:t>ENUMERATED</w:t>
      </w:r>
      <w:r w:rsidRPr="00FA0D37">
        <w:rPr>
          <w:rFonts w:eastAsia="MS Mincho"/>
        </w:rPr>
        <w:t xml:space="preserve"> {supported}</w:t>
      </w:r>
      <w:r w:rsidRPr="00FA0D37">
        <w:t xml:space="preserve">                        </w:t>
      </w:r>
      <w:r w:rsidRPr="00FA0D37">
        <w:rPr>
          <w:rFonts w:eastAsia="MS Mincho"/>
          <w:color w:val="993366"/>
        </w:rPr>
        <w:t>OPTIONAL</w:t>
      </w:r>
      <w:r w:rsidRPr="00FA0D37">
        <w:rPr>
          <w:rFonts w:eastAsia="MS Mincho"/>
        </w:rPr>
        <w:t>,</w:t>
      </w:r>
    </w:p>
    <w:p w14:paraId="0130C641" w14:textId="41334BE6" w:rsidR="00D027C1" w:rsidRPr="00FA0D37" w:rsidRDefault="00D027C1" w:rsidP="00FA0D37">
      <w:pPr>
        <w:pStyle w:val="PL"/>
        <w:rPr>
          <w:rFonts w:eastAsia="MS Mincho"/>
        </w:rPr>
      </w:pPr>
      <w:r w:rsidRPr="00FA0D37">
        <w:t xml:space="preserve">        </w:t>
      </w:r>
      <w:r w:rsidRPr="00FA0D37">
        <w:rPr>
          <w:rFonts w:eastAsia="MS Mincho"/>
        </w:rPr>
        <w:t>dl-openLoopPC-Sidelink-r16</w:t>
      </w:r>
      <w:r w:rsidRPr="00FA0D37">
        <w:t xml:space="preserve">                    </w:t>
      </w:r>
      <w:r w:rsidRPr="00FA0D37">
        <w:rPr>
          <w:rFonts w:eastAsia="MS Mincho"/>
          <w:color w:val="993366"/>
        </w:rPr>
        <w:t>ENUMERATED</w:t>
      </w:r>
      <w:r w:rsidRPr="00FA0D37">
        <w:rPr>
          <w:rFonts w:eastAsia="MS Mincho"/>
        </w:rPr>
        <w:t xml:space="preserve"> {supported}</w:t>
      </w:r>
      <w:r w:rsidRPr="00FA0D37">
        <w:t xml:space="preserve">                        </w:t>
      </w:r>
      <w:r w:rsidRPr="00FA0D37">
        <w:rPr>
          <w:rFonts w:eastAsia="MS Mincho"/>
          <w:color w:val="993366"/>
        </w:rPr>
        <w:t>OPTIONAL</w:t>
      </w:r>
    </w:p>
    <w:p w14:paraId="47325D11" w14:textId="5D3BDCBE" w:rsidR="00D027C1" w:rsidRPr="00FA0D37" w:rsidRDefault="00D027C1" w:rsidP="00FA0D37">
      <w:pPr>
        <w:pStyle w:val="PL"/>
        <w:rPr>
          <w:rFonts w:eastAsia="MS Mincho"/>
        </w:rPr>
      </w:pPr>
      <w:r w:rsidRPr="00FA0D37">
        <w:t xml:space="preserve">    </w:t>
      </w:r>
      <w:r w:rsidRPr="00FA0D37">
        <w:rPr>
          <w:rFonts w:eastAsia="MS Mincho"/>
        </w:rPr>
        <w:t>}</w:t>
      </w:r>
      <w:r w:rsidRPr="00FA0D37">
        <w:t xml:space="preserve">                                                                                               </w:t>
      </w:r>
      <w:r w:rsidRPr="00FA0D37">
        <w:rPr>
          <w:rFonts w:eastAsia="MS Mincho"/>
          <w:color w:val="993366"/>
        </w:rPr>
        <w:t>OPTIONAL</w:t>
      </w:r>
      <w:r w:rsidRPr="00FA0D37">
        <w:rPr>
          <w:rFonts w:eastAsia="MS Mincho"/>
        </w:rPr>
        <w:t>,</w:t>
      </w:r>
    </w:p>
    <w:p w14:paraId="72292A84" w14:textId="087BD12D" w:rsidR="00D027C1" w:rsidRPr="00FA0D37" w:rsidRDefault="00D027C1" w:rsidP="00FA0D37">
      <w:pPr>
        <w:pStyle w:val="PL"/>
        <w:rPr>
          <w:rFonts w:eastAsia="MS Mincho"/>
          <w:color w:val="808080"/>
        </w:rPr>
      </w:pPr>
      <w:r w:rsidRPr="00FA0D37">
        <w:t xml:space="preserve">    </w:t>
      </w:r>
      <w:r w:rsidRPr="00FA0D37">
        <w:rPr>
          <w:rFonts w:eastAsia="MS Mincho"/>
          <w:color w:val="808080"/>
        </w:rPr>
        <w:t>--15-5</w:t>
      </w:r>
    </w:p>
    <w:p w14:paraId="3051115A" w14:textId="0B92A04C" w:rsidR="00D027C1" w:rsidRPr="00FA0D37" w:rsidRDefault="00D027C1" w:rsidP="00FA0D37">
      <w:pPr>
        <w:pStyle w:val="PL"/>
        <w:rPr>
          <w:rFonts w:eastAsia="MS Mincho"/>
        </w:rPr>
      </w:pPr>
      <w:r w:rsidRPr="00FA0D37">
        <w:t xml:space="preserve">    </w:t>
      </w:r>
      <w:r w:rsidRPr="00FA0D37">
        <w:rPr>
          <w:rFonts w:eastAsia="MS Mincho"/>
        </w:rPr>
        <w:t>congestionControlSidelink-r16</w:t>
      </w:r>
      <w:r w:rsidRPr="00FA0D37">
        <w:t xml:space="preserve">                 </w:t>
      </w:r>
      <w:r w:rsidRPr="00FA0D37">
        <w:rPr>
          <w:rFonts w:eastAsia="MS Mincho"/>
          <w:color w:val="993366"/>
        </w:rPr>
        <w:t>SEQUENCE</w:t>
      </w:r>
      <w:r w:rsidRPr="00FA0D37">
        <w:rPr>
          <w:rFonts w:eastAsia="MS Mincho"/>
        </w:rPr>
        <w:t xml:space="preserve"> {</w:t>
      </w:r>
    </w:p>
    <w:p w14:paraId="311365DD" w14:textId="3D0F6FBC" w:rsidR="00D027C1" w:rsidRPr="00FA0D37" w:rsidRDefault="00D027C1" w:rsidP="00FA0D37">
      <w:pPr>
        <w:pStyle w:val="PL"/>
        <w:rPr>
          <w:rFonts w:eastAsia="MS Mincho"/>
        </w:rPr>
      </w:pPr>
      <w:r w:rsidRPr="00FA0D37">
        <w:t xml:space="preserve">        </w:t>
      </w:r>
      <w:r w:rsidRPr="00FA0D37">
        <w:rPr>
          <w:rFonts w:eastAsia="MS Mincho"/>
        </w:rPr>
        <w:t>cbr-ReportSidelink-r16</w:t>
      </w:r>
      <w:r w:rsidRPr="00FA0D37">
        <w:t xml:space="preserve">                        </w:t>
      </w:r>
      <w:r w:rsidRPr="00FA0D37">
        <w:rPr>
          <w:rFonts w:eastAsia="MS Mincho"/>
          <w:color w:val="993366"/>
        </w:rPr>
        <w:t>ENUMERATED</w:t>
      </w:r>
      <w:r w:rsidRPr="00FA0D37">
        <w:rPr>
          <w:rFonts w:eastAsia="MS Mincho"/>
        </w:rPr>
        <w:t xml:space="preserve"> {supported}</w:t>
      </w:r>
      <w:r w:rsidRPr="00FA0D37">
        <w:t xml:space="preserve">                        </w:t>
      </w:r>
      <w:r w:rsidRPr="00FA0D37">
        <w:rPr>
          <w:rFonts w:eastAsia="MS Mincho"/>
          <w:color w:val="993366"/>
        </w:rPr>
        <w:t>OPTIONAL</w:t>
      </w:r>
      <w:r w:rsidRPr="00FA0D37">
        <w:rPr>
          <w:rFonts w:eastAsia="MS Mincho"/>
        </w:rPr>
        <w:t>,</w:t>
      </w:r>
    </w:p>
    <w:p w14:paraId="5037A3A7" w14:textId="7D341059" w:rsidR="00D027C1" w:rsidRPr="00FA0D37" w:rsidRDefault="00D027C1" w:rsidP="00FA0D37">
      <w:pPr>
        <w:pStyle w:val="PL"/>
        <w:rPr>
          <w:rFonts w:eastAsia="MS Mincho"/>
        </w:rPr>
      </w:pPr>
      <w:r w:rsidRPr="00FA0D37">
        <w:t xml:space="preserve">        </w:t>
      </w:r>
      <w:r w:rsidRPr="00FA0D37">
        <w:rPr>
          <w:rFonts w:eastAsia="MS Mincho"/>
        </w:rPr>
        <w:t>cbr-CR-TimeLimitSidelink-r16</w:t>
      </w:r>
      <w:r w:rsidRPr="00FA0D37">
        <w:t xml:space="preserve">                  </w:t>
      </w:r>
      <w:r w:rsidRPr="00FA0D37">
        <w:rPr>
          <w:rFonts w:eastAsia="MS Mincho"/>
          <w:color w:val="993366"/>
        </w:rPr>
        <w:t>ENUMERATED</w:t>
      </w:r>
      <w:r w:rsidRPr="00FA0D37">
        <w:rPr>
          <w:rFonts w:eastAsia="MS Mincho"/>
        </w:rPr>
        <w:t xml:space="preserve"> {time1, time2}</w:t>
      </w:r>
    </w:p>
    <w:p w14:paraId="018E2BBE" w14:textId="76944E46" w:rsidR="00D027C1" w:rsidRPr="00FA0D37" w:rsidRDefault="00D027C1" w:rsidP="00FA0D37">
      <w:pPr>
        <w:pStyle w:val="PL"/>
        <w:rPr>
          <w:rFonts w:eastAsia="MS Mincho"/>
        </w:rPr>
      </w:pPr>
      <w:r w:rsidRPr="00FA0D37">
        <w:t xml:space="preserve">    </w:t>
      </w:r>
      <w:r w:rsidRPr="00FA0D37">
        <w:rPr>
          <w:rFonts w:eastAsia="MS Mincho"/>
        </w:rPr>
        <w:t>}</w:t>
      </w:r>
      <w:r w:rsidRPr="00FA0D37">
        <w:t xml:space="preserve">                                                                                               </w:t>
      </w:r>
      <w:r w:rsidRPr="00FA0D37">
        <w:rPr>
          <w:rFonts w:eastAsia="MS Mincho"/>
          <w:color w:val="993366"/>
        </w:rPr>
        <w:t>OPTIONAL</w:t>
      </w:r>
      <w:r w:rsidRPr="00FA0D37">
        <w:rPr>
          <w:rFonts w:eastAsia="MS Mincho"/>
        </w:rPr>
        <w:t>,</w:t>
      </w:r>
    </w:p>
    <w:p w14:paraId="4630C4FB" w14:textId="55402D8A" w:rsidR="00D027C1" w:rsidRPr="00FA0D37" w:rsidRDefault="00D027C1" w:rsidP="00FA0D37">
      <w:pPr>
        <w:pStyle w:val="PL"/>
        <w:rPr>
          <w:rFonts w:eastAsia="MS Mincho"/>
          <w:color w:val="808080"/>
        </w:rPr>
      </w:pPr>
      <w:r w:rsidRPr="00FA0D37">
        <w:t xml:space="preserve">    </w:t>
      </w:r>
      <w:r w:rsidRPr="00FA0D37">
        <w:rPr>
          <w:rFonts w:eastAsia="MS Mincho"/>
          <w:color w:val="808080"/>
        </w:rPr>
        <w:t>--15-22</w:t>
      </w:r>
    </w:p>
    <w:p w14:paraId="5801AA6C" w14:textId="72666DE5" w:rsidR="00D027C1" w:rsidRPr="00FA0D37" w:rsidRDefault="00D027C1" w:rsidP="00FA0D37">
      <w:pPr>
        <w:pStyle w:val="PL"/>
        <w:rPr>
          <w:rFonts w:eastAsia="MS Mincho"/>
        </w:rPr>
      </w:pPr>
      <w:r w:rsidRPr="00FA0D37">
        <w:t xml:space="preserve">    </w:t>
      </w:r>
      <w:r w:rsidRPr="00FA0D37">
        <w:rPr>
          <w:rFonts w:eastAsia="MS Mincho"/>
        </w:rPr>
        <w:t>fewerSymbolSlotSidelink-r16</w:t>
      </w:r>
      <w:r w:rsidRPr="00FA0D37">
        <w:t xml:space="preserve">                   </w:t>
      </w:r>
      <w:r w:rsidRPr="00FA0D37">
        <w:rPr>
          <w:rFonts w:eastAsia="MS Mincho"/>
          <w:color w:val="993366"/>
        </w:rPr>
        <w:t>ENUMERATED</w:t>
      </w:r>
      <w:r w:rsidRPr="00FA0D37">
        <w:rPr>
          <w:rFonts w:eastAsia="MS Mincho"/>
        </w:rPr>
        <w:t xml:space="preserve"> {supported}</w:t>
      </w:r>
      <w:r w:rsidRPr="00FA0D37">
        <w:t xml:space="preserve">                            </w:t>
      </w:r>
      <w:r w:rsidRPr="00FA0D37">
        <w:rPr>
          <w:rFonts w:eastAsia="MS Mincho"/>
          <w:color w:val="993366"/>
        </w:rPr>
        <w:t>OPTIONAL</w:t>
      </w:r>
      <w:r w:rsidRPr="00FA0D37">
        <w:rPr>
          <w:rFonts w:eastAsia="MS Mincho"/>
        </w:rPr>
        <w:t>,</w:t>
      </w:r>
    </w:p>
    <w:p w14:paraId="52F3E359" w14:textId="76A591EC" w:rsidR="00D027C1" w:rsidRPr="00FA0D37" w:rsidRDefault="00D027C1" w:rsidP="00FA0D37">
      <w:pPr>
        <w:pStyle w:val="PL"/>
        <w:rPr>
          <w:rFonts w:eastAsia="MS Mincho"/>
          <w:color w:val="808080"/>
        </w:rPr>
      </w:pPr>
      <w:r w:rsidRPr="00FA0D37">
        <w:t xml:space="preserve">    </w:t>
      </w:r>
      <w:r w:rsidRPr="00FA0D37">
        <w:rPr>
          <w:rFonts w:eastAsia="MS Mincho"/>
          <w:color w:val="808080"/>
        </w:rPr>
        <w:t>--15-23</w:t>
      </w:r>
    </w:p>
    <w:p w14:paraId="7165BFAB" w14:textId="70B402D0" w:rsidR="00D027C1" w:rsidRPr="00FA0D37" w:rsidRDefault="00D027C1" w:rsidP="00FA0D37">
      <w:pPr>
        <w:pStyle w:val="PL"/>
        <w:rPr>
          <w:rFonts w:eastAsia="MS Mincho"/>
        </w:rPr>
      </w:pPr>
      <w:r w:rsidRPr="00FA0D37">
        <w:lastRenderedPageBreak/>
        <w:t xml:space="preserve">    </w:t>
      </w:r>
      <w:r w:rsidRPr="00FA0D37">
        <w:rPr>
          <w:rFonts w:eastAsia="MS Mincho"/>
        </w:rPr>
        <w:t>sl-openLoopPC-RSRP-ReportSidelink-r16</w:t>
      </w:r>
      <w:r w:rsidRPr="00FA0D37">
        <w:t xml:space="preserve">         </w:t>
      </w:r>
      <w:r w:rsidRPr="00FA0D37">
        <w:rPr>
          <w:rFonts w:eastAsia="MS Mincho"/>
          <w:color w:val="993366"/>
        </w:rPr>
        <w:t>ENUMERATED</w:t>
      </w:r>
      <w:r w:rsidRPr="00FA0D37">
        <w:rPr>
          <w:rFonts w:eastAsia="MS Mincho"/>
        </w:rPr>
        <w:t xml:space="preserve"> {supported}</w:t>
      </w:r>
      <w:r w:rsidRPr="00FA0D37">
        <w:t xml:space="preserve">                            </w:t>
      </w:r>
      <w:r w:rsidRPr="00FA0D37">
        <w:rPr>
          <w:rFonts w:eastAsia="MS Mincho"/>
          <w:color w:val="993366"/>
        </w:rPr>
        <w:t>OPTIONAL</w:t>
      </w:r>
      <w:r w:rsidRPr="00FA0D37">
        <w:rPr>
          <w:rFonts w:eastAsia="MS Mincho"/>
        </w:rPr>
        <w:t>,</w:t>
      </w:r>
    </w:p>
    <w:p w14:paraId="67770A5D" w14:textId="3C28E15B" w:rsidR="00D027C1" w:rsidRPr="00FA0D37" w:rsidRDefault="00D027C1" w:rsidP="00FA0D37">
      <w:pPr>
        <w:pStyle w:val="PL"/>
        <w:rPr>
          <w:rFonts w:eastAsia="MS Mincho"/>
          <w:color w:val="808080"/>
        </w:rPr>
      </w:pPr>
      <w:r w:rsidRPr="00FA0D37">
        <w:t xml:space="preserve">    </w:t>
      </w:r>
      <w:r w:rsidRPr="00FA0D37">
        <w:rPr>
          <w:rFonts w:eastAsia="MS Mincho"/>
          <w:color w:val="808080"/>
        </w:rPr>
        <w:t>--13-1</w:t>
      </w:r>
    </w:p>
    <w:p w14:paraId="5CD58CBE" w14:textId="044E9B45" w:rsidR="00D027C1" w:rsidRPr="00FA0D37" w:rsidRDefault="00D027C1" w:rsidP="00FA0D37">
      <w:pPr>
        <w:pStyle w:val="PL"/>
        <w:rPr>
          <w:rFonts w:eastAsia="MS Mincho"/>
        </w:rPr>
      </w:pPr>
      <w:r w:rsidRPr="00FA0D37">
        <w:t xml:space="preserve">    </w:t>
      </w:r>
      <w:r w:rsidRPr="00FA0D37">
        <w:rPr>
          <w:rFonts w:eastAsia="MS Mincho"/>
        </w:rPr>
        <w:t>sl-Rx-256QAM-r16</w:t>
      </w:r>
      <w:r w:rsidRPr="00FA0D37">
        <w:t xml:space="preserve">                              </w:t>
      </w:r>
      <w:r w:rsidRPr="00FA0D37">
        <w:rPr>
          <w:rFonts w:eastAsia="MS Mincho"/>
          <w:color w:val="993366"/>
        </w:rPr>
        <w:t>ENUMERATED</w:t>
      </w:r>
      <w:r w:rsidRPr="00FA0D37">
        <w:rPr>
          <w:rFonts w:eastAsia="MS Mincho"/>
        </w:rPr>
        <w:t xml:space="preserve"> {supported}</w:t>
      </w:r>
      <w:r w:rsidRPr="00FA0D37">
        <w:t xml:space="preserve">                            </w:t>
      </w:r>
      <w:r w:rsidRPr="00FA0D37">
        <w:rPr>
          <w:rFonts w:eastAsia="MS Mincho"/>
          <w:color w:val="993366"/>
        </w:rPr>
        <w:t>OPTIONAL</w:t>
      </w:r>
    </w:p>
    <w:p w14:paraId="4BCD5120" w14:textId="62679F93" w:rsidR="00C07032" w:rsidRPr="00FA0D37" w:rsidRDefault="00D027C1" w:rsidP="00FA0D37">
      <w:pPr>
        <w:pStyle w:val="PL"/>
        <w:rPr>
          <w:rFonts w:eastAsia="MS Mincho"/>
        </w:rPr>
      </w:pPr>
      <w:r w:rsidRPr="00FA0D37">
        <w:t xml:space="preserve">    </w:t>
      </w:r>
      <w:r w:rsidRPr="00FA0D37">
        <w:rPr>
          <w:rFonts w:eastAsia="MS Mincho"/>
        </w:rPr>
        <w:t>]]</w:t>
      </w:r>
      <w:r w:rsidR="00C07032" w:rsidRPr="00FA0D37">
        <w:rPr>
          <w:rFonts w:eastAsia="MS Mincho"/>
        </w:rPr>
        <w:t>,</w:t>
      </w:r>
    </w:p>
    <w:p w14:paraId="1EAE0A39" w14:textId="7FF40592" w:rsidR="00C07032" w:rsidRPr="00FA0D37" w:rsidRDefault="00C07032" w:rsidP="00FA0D37">
      <w:pPr>
        <w:pStyle w:val="PL"/>
        <w:rPr>
          <w:rFonts w:eastAsia="MS Mincho"/>
        </w:rPr>
      </w:pPr>
      <w:r w:rsidRPr="00FA0D37">
        <w:rPr>
          <w:rFonts w:eastAsia="MS Mincho"/>
        </w:rPr>
        <w:t xml:space="preserve">    [[</w:t>
      </w:r>
    </w:p>
    <w:p w14:paraId="1CDA77AA" w14:textId="32E5D0C6" w:rsidR="00C07032" w:rsidRPr="00FA0D37" w:rsidRDefault="00C07032" w:rsidP="00FA0D37">
      <w:pPr>
        <w:pStyle w:val="PL"/>
        <w:rPr>
          <w:rFonts w:eastAsia="MS Mincho"/>
        </w:rPr>
      </w:pPr>
      <w:r w:rsidRPr="00FA0D37">
        <w:rPr>
          <w:rFonts w:eastAsia="MS Mincho"/>
        </w:rPr>
        <w:t xml:space="preserve">    ue-PowerClassSidelink-r16                         </w:t>
      </w:r>
      <w:r w:rsidRPr="00FA0D37">
        <w:rPr>
          <w:rFonts w:eastAsia="MS Mincho"/>
          <w:color w:val="993366"/>
        </w:rPr>
        <w:t>ENUMERATED</w:t>
      </w:r>
      <w:r w:rsidRPr="00FA0D37">
        <w:rPr>
          <w:rFonts w:eastAsia="MS Mincho"/>
        </w:rPr>
        <w:t xml:space="preserve"> {pc2, pc3, spare6, spare5, spare4, spare3, spare2, spare1}</w:t>
      </w:r>
    </w:p>
    <w:p w14:paraId="15CAFF22" w14:textId="4DB7A63F" w:rsidR="00C07032" w:rsidRPr="00FA0D37" w:rsidRDefault="00C07032" w:rsidP="00FA0D37">
      <w:pPr>
        <w:pStyle w:val="PL"/>
        <w:rPr>
          <w:rFonts w:eastAsia="MS Mincho"/>
        </w:rPr>
      </w:pPr>
      <w:r w:rsidRPr="00FA0D37">
        <w:rPr>
          <w:rFonts w:eastAsia="MS Mincho"/>
        </w:rPr>
        <w:t xml:space="preserve">                                                                                                                     </w:t>
      </w:r>
      <w:r w:rsidRPr="00FA0D37">
        <w:rPr>
          <w:rFonts w:eastAsia="MS Mincho"/>
          <w:color w:val="993366"/>
        </w:rPr>
        <w:t>OPTIONAL</w:t>
      </w:r>
    </w:p>
    <w:p w14:paraId="2F80543C" w14:textId="4D1F942F" w:rsidR="003C2B2C" w:rsidRPr="00FA0D37" w:rsidRDefault="00C07032" w:rsidP="00FA0D37">
      <w:pPr>
        <w:pStyle w:val="PL"/>
        <w:rPr>
          <w:rFonts w:eastAsia="MS Mincho"/>
        </w:rPr>
      </w:pPr>
      <w:r w:rsidRPr="00FA0D37">
        <w:rPr>
          <w:rFonts w:eastAsia="MS Mincho"/>
        </w:rPr>
        <w:t xml:space="preserve">    ]]</w:t>
      </w:r>
      <w:r w:rsidR="003C2B2C" w:rsidRPr="00FA0D37">
        <w:rPr>
          <w:rFonts w:eastAsia="MS Mincho"/>
        </w:rPr>
        <w:t>,</w:t>
      </w:r>
    </w:p>
    <w:p w14:paraId="692C574A" w14:textId="2D98EE2B" w:rsidR="003C2B2C" w:rsidRPr="00FA0D37" w:rsidRDefault="003C2B2C" w:rsidP="00FA0D37">
      <w:pPr>
        <w:pStyle w:val="PL"/>
        <w:rPr>
          <w:rFonts w:eastAsia="MS Mincho"/>
        </w:rPr>
      </w:pPr>
      <w:r w:rsidRPr="00FA0D37">
        <w:t xml:space="preserve">    </w:t>
      </w:r>
      <w:r w:rsidRPr="00FA0D37">
        <w:rPr>
          <w:rFonts w:eastAsia="MS Mincho"/>
        </w:rPr>
        <w:t>[[</w:t>
      </w:r>
    </w:p>
    <w:p w14:paraId="651D9563" w14:textId="48D8AE7A" w:rsidR="003C2B2C" w:rsidRPr="00FA0D37" w:rsidRDefault="003C2B2C" w:rsidP="00FA0D37">
      <w:pPr>
        <w:pStyle w:val="PL"/>
        <w:rPr>
          <w:rFonts w:eastAsia="MS Mincho"/>
          <w:color w:val="808080"/>
        </w:rPr>
      </w:pPr>
      <w:r w:rsidRPr="00FA0D37">
        <w:t xml:space="preserve">    </w:t>
      </w:r>
      <w:r w:rsidRPr="00FA0D37">
        <w:rPr>
          <w:rFonts w:eastAsia="MS Mincho"/>
          <w:color w:val="808080"/>
        </w:rPr>
        <w:t>--32-4a</w:t>
      </w:r>
    </w:p>
    <w:p w14:paraId="3AF8D932" w14:textId="0FA664F3" w:rsidR="003C2B2C" w:rsidRPr="00FA0D37" w:rsidRDefault="003C2B2C" w:rsidP="00FA0D37">
      <w:pPr>
        <w:pStyle w:val="PL"/>
        <w:rPr>
          <w:rFonts w:eastAsia="MS Mincho"/>
        </w:rPr>
      </w:pPr>
      <w:r w:rsidRPr="00FA0D37">
        <w:t xml:space="preserve">    </w:t>
      </w:r>
      <w:r w:rsidRPr="00FA0D37">
        <w:rPr>
          <w:rFonts w:eastAsia="MS Mincho"/>
        </w:rPr>
        <w:t>sl-TransmissionMode2-RandomResourceSelection-r17</w:t>
      </w:r>
      <w:r w:rsidRPr="00FA0D37">
        <w:t xml:space="preserve"> </w:t>
      </w:r>
      <w:r w:rsidRPr="00FA0D37">
        <w:rPr>
          <w:rFonts w:eastAsia="MS Mincho"/>
          <w:color w:val="993366"/>
        </w:rPr>
        <w:t>SEQUENCE</w:t>
      </w:r>
      <w:r w:rsidRPr="00FA0D37">
        <w:rPr>
          <w:rFonts w:eastAsia="MS Mincho"/>
        </w:rPr>
        <w:t xml:space="preserve"> {</w:t>
      </w:r>
    </w:p>
    <w:p w14:paraId="77B13205" w14:textId="2A16F2E7" w:rsidR="003C2B2C" w:rsidRPr="00FA0D37" w:rsidRDefault="003C2B2C" w:rsidP="00FA0D37">
      <w:pPr>
        <w:pStyle w:val="PL"/>
        <w:rPr>
          <w:rFonts w:eastAsia="MS Mincho"/>
        </w:rPr>
      </w:pPr>
      <w:r w:rsidRPr="00FA0D37">
        <w:t xml:space="preserve">        </w:t>
      </w:r>
      <w:r w:rsidRPr="00FA0D37">
        <w:rPr>
          <w:rFonts w:eastAsia="MS Mincho"/>
        </w:rPr>
        <w:t>harq-TxProcessModeTwoSidelink-r17</w:t>
      </w:r>
      <w:r w:rsidRPr="00FA0D37">
        <w:t xml:space="preserve">             </w:t>
      </w:r>
      <w:r w:rsidRPr="00FA0D37">
        <w:rPr>
          <w:rFonts w:eastAsia="MS Mincho"/>
          <w:color w:val="993366"/>
        </w:rPr>
        <w:t>ENUMERATED</w:t>
      </w:r>
      <w:r w:rsidRPr="00FA0D37">
        <w:rPr>
          <w:rFonts w:eastAsia="MS Mincho"/>
        </w:rPr>
        <w:t xml:space="preserve"> {n8, n16},</w:t>
      </w:r>
    </w:p>
    <w:p w14:paraId="63D8E85E" w14:textId="330AA8A3" w:rsidR="003C2B2C" w:rsidRPr="00FA0D37" w:rsidRDefault="003C2B2C" w:rsidP="00FA0D37">
      <w:pPr>
        <w:pStyle w:val="PL"/>
        <w:rPr>
          <w:rFonts w:eastAsia="MS Mincho"/>
        </w:rPr>
      </w:pPr>
      <w:r w:rsidRPr="00FA0D37">
        <w:t xml:space="preserve">        </w:t>
      </w:r>
      <w:r w:rsidRPr="00FA0D37">
        <w:rPr>
          <w:rFonts w:eastAsia="MS Mincho"/>
        </w:rPr>
        <w:t>scs-CP-PatternTxSidelinkModeTwo-r17</w:t>
      </w:r>
      <w:r w:rsidRPr="00FA0D37">
        <w:t xml:space="preserve">               </w:t>
      </w:r>
      <w:r w:rsidRPr="00FA0D37">
        <w:rPr>
          <w:rFonts w:eastAsia="MS Mincho"/>
          <w:color w:val="993366"/>
        </w:rPr>
        <w:t>CHOICE</w:t>
      </w:r>
      <w:r w:rsidRPr="00FA0D37">
        <w:rPr>
          <w:rFonts w:eastAsia="MS Mincho"/>
        </w:rPr>
        <w:t xml:space="preserve"> {</w:t>
      </w:r>
    </w:p>
    <w:p w14:paraId="13575669" w14:textId="12DDABA7" w:rsidR="003C2B2C" w:rsidRPr="00FA0D37" w:rsidRDefault="003C2B2C" w:rsidP="00FA0D37">
      <w:pPr>
        <w:pStyle w:val="PL"/>
        <w:rPr>
          <w:rFonts w:eastAsia="MS Mincho"/>
        </w:rPr>
      </w:pPr>
      <w:r w:rsidRPr="00FA0D37">
        <w:t xml:space="preserve">            </w:t>
      </w:r>
      <w:r w:rsidRPr="00FA0D37">
        <w:rPr>
          <w:rFonts w:eastAsia="MS Mincho"/>
        </w:rPr>
        <w:t>fr1-r17</w:t>
      </w:r>
      <w:r w:rsidRPr="00FA0D37">
        <w:t xml:space="preserve">                                           </w:t>
      </w:r>
      <w:r w:rsidRPr="00FA0D37">
        <w:rPr>
          <w:rFonts w:eastAsia="MS Mincho"/>
          <w:color w:val="993366"/>
        </w:rPr>
        <w:t>SEQUENCE</w:t>
      </w:r>
      <w:r w:rsidRPr="00FA0D37">
        <w:rPr>
          <w:rFonts w:eastAsia="MS Mincho"/>
        </w:rPr>
        <w:t xml:space="preserve"> {</w:t>
      </w:r>
    </w:p>
    <w:p w14:paraId="189AC214" w14:textId="11EE0F66" w:rsidR="003C2B2C" w:rsidRPr="00FA0D37" w:rsidRDefault="003C2B2C" w:rsidP="00FA0D37">
      <w:pPr>
        <w:pStyle w:val="PL"/>
        <w:rPr>
          <w:rFonts w:eastAsia="MS Mincho"/>
        </w:rPr>
      </w:pPr>
      <w:r w:rsidRPr="00FA0D37">
        <w:t xml:space="preserve">                </w:t>
      </w:r>
      <w:r w:rsidRPr="00FA0D37">
        <w:rPr>
          <w:rFonts w:eastAsia="MS Mincho"/>
        </w:rPr>
        <w:t>scs-15kHz-r17</w:t>
      </w:r>
      <w:r w:rsidRPr="00FA0D37">
        <w:t xml:space="preserve">                                     </w:t>
      </w:r>
      <w:r w:rsidRPr="00FA0D37">
        <w:rPr>
          <w:rFonts w:eastAsia="MS Mincho"/>
          <w:color w:val="993366"/>
        </w:rPr>
        <w:t>BIT</w:t>
      </w:r>
      <w:r w:rsidRPr="00FA0D37">
        <w:rPr>
          <w:rFonts w:eastAsia="MS Mincho"/>
        </w:rPr>
        <w:t xml:space="preserve"> </w:t>
      </w:r>
      <w:r w:rsidRPr="00FA0D37">
        <w:rPr>
          <w:rFonts w:eastAsia="MS Mincho"/>
          <w:color w:val="993366"/>
        </w:rPr>
        <w:t>STRING</w:t>
      </w:r>
      <w:r w:rsidRPr="00FA0D37">
        <w:rPr>
          <w:rFonts w:eastAsia="MS Mincho"/>
        </w:rPr>
        <w:t xml:space="preserve"> (</w:t>
      </w:r>
      <w:r w:rsidRPr="00FA0D37">
        <w:rPr>
          <w:rFonts w:eastAsia="MS Mincho"/>
          <w:color w:val="993366"/>
        </w:rPr>
        <w:t>SIZE</w:t>
      </w:r>
      <w:r w:rsidRPr="00FA0D37">
        <w:rPr>
          <w:rFonts w:eastAsia="MS Mincho"/>
        </w:rPr>
        <w:t xml:space="preserve"> (16))</w:t>
      </w:r>
      <w:r w:rsidRPr="00FA0D37">
        <w:t xml:space="preserve">            </w:t>
      </w:r>
      <w:r w:rsidRPr="00FA0D37">
        <w:rPr>
          <w:rFonts w:eastAsia="MS Mincho"/>
          <w:color w:val="993366"/>
        </w:rPr>
        <w:t>OPTIONAL</w:t>
      </w:r>
      <w:r w:rsidRPr="00FA0D37">
        <w:rPr>
          <w:rFonts w:eastAsia="MS Mincho"/>
        </w:rPr>
        <w:t>,</w:t>
      </w:r>
    </w:p>
    <w:p w14:paraId="04143B22" w14:textId="3F3B47D0" w:rsidR="003C2B2C" w:rsidRPr="00FA0D37" w:rsidRDefault="003C2B2C" w:rsidP="00FA0D37">
      <w:pPr>
        <w:pStyle w:val="PL"/>
        <w:rPr>
          <w:rFonts w:eastAsia="MS Mincho"/>
        </w:rPr>
      </w:pPr>
      <w:r w:rsidRPr="00FA0D37">
        <w:t xml:space="preserve">                </w:t>
      </w:r>
      <w:r w:rsidRPr="00FA0D37">
        <w:rPr>
          <w:rFonts w:eastAsia="MS Mincho"/>
        </w:rPr>
        <w:t>scs-30kHz-r17</w:t>
      </w:r>
      <w:r w:rsidRPr="00FA0D37">
        <w:t xml:space="preserve">                                     </w:t>
      </w:r>
      <w:r w:rsidRPr="00FA0D37">
        <w:rPr>
          <w:rFonts w:eastAsia="MS Mincho"/>
          <w:color w:val="993366"/>
        </w:rPr>
        <w:t>BIT</w:t>
      </w:r>
      <w:r w:rsidRPr="00FA0D37">
        <w:rPr>
          <w:rFonts w:eastAsia="MS Mincho"/>
        </w:rPr>
        <w:t xml:space="preserve"> </w:t>
      </w:r>
      <w:r w:rsidRPr="00FA0D37">
        <w:rPr>
          <w:rFonts w:eastAsia="MS Mincho"/>
          <w:color w:val="993366"/>
        </w:rPr>
        <w:t>STRING</w:t>
      </w:r>
      <w:r w:rsidRPr="00FA0D37">
        <w:rPr>
          <w:rFonts w:eastAsia="MS Mincho"/>
        </w:rPr>
        <w:t xml:space="preserve"> (</w:t>
      </w:r>
      <w:r w:rsidRPr="00FA0D37">
        <w:rPr>
          <w:rFonts w:eastAsia="MS Mincho"/>
          <w:color w:val="993366"/>
        </w:rPr>
        <w:t>SIZE</w:t>
      </w:r>
      <w:r w:rsidRPr="00FA0D37">
        <w:rPr>
          <w:rFonts w:eastAsia="MS Mincho"/>
        </w:rPr>
        <w:t xml:space="preserve"> (16))</w:t>
      </w:r>
      <w:r w:rsidRPr="00FA0D37">
        <w:t xml:space="preserve">            </w:t>
      </w:r>
      <w:r w:rsidRPr="00FA0D37">
        <w:rPr>
          <w:rFonts w:eastAsia="MS Mincho"/>
          <w:color w:val="993366"/>
        </w:rPr>
        <w:t>OPTIONAL</w:t>
      </w:r>
      <w:r w:rsidRPr="00FA0D37">
        <w:rPr>
          <w:rFonts w:eastAsia="MS Mincho"/>
        </w:rPr>
        <w:t>,</w:t>
      </w:r>
    </w:p>
    <w:p w14:paraId="172D2DDE" w14:textId="01FAE17C" w:rsidR="003C2B2C" w:rsidRPr="00FA0D37" w:rsidRDefault="003C2B2C" w:rsidP="00FA0D37">
      <w:pPr>
        <w:pStyle w:val="PL"/>
        <w:rPr>
          <w:rFonts w:eastAsia="MS Mincho"/>
        </w:rPr>
      </w:pPr>
      <w:r w:rsidRPr="00FA0D37">
        <w:t xml:space="preserve">                </w:t>
      </w:r>
      <w:r w:rsidRPr="00FA0D37">
        <w:rPr>
          <w:rFonts w:eastAsia="MS Mincho"/>
        </w:rPr>
        <w:t>scs-60kHz-r17</w:t>
      </w:r>
      <w:r w:rsidRPr="00FA0D37">
        <w:t xml:space="preserve">                                     </w:t>
      </w:r>
      <w:r w:rsidRPr="00FA0D37">
        <w:rPr>
          <w:rFonts w:eastAsia="MS Mincho"/>
          <w:color w:val="993366"/>
        </w:rPr>
        <w:t>BIT</w:t>
      </w:r>
      <w:r w:rsidRPr="00FA0D37">
        <w:rPr>
          <w:rFonts w:eastAsia="MS Mincho"/>
        </w:rPr>
        <w:t xml:space="preserve"> </w:t>
      </w:r>
      <w:r w:rsidRPr="00FA0D37">
        <w:rPr>
          <w:rFonts w:eastAsia="MS Mincho"/>
          <w:color w:val="993366"/>
        </w:rPr>
        <w:t>STRING</w:t>
      </w:r>
      <w:r w:rsidRPr="00FA0D37">
        <w:rPr>
          <w:rFonts w:eastAsia="MS Mincho"/>
        </w:rPr>
        <w:t xml:space="preserve"> (</w:t>
      </w:r>
      <w:r w:rsidRPr="00FA0D37">
        <w:rPr>
          <w:rFonts w:eastAsia="MS Mincho"/>
          <w:color w:val="993366"/>
        </w:rPr>
        <w:t>SIZE</w:t>
      </w:r>
      <w:r w:rsidRPr="00FA0D37">
        <w:rPr>
          <w:rFonts w:eastAsia="MS Mincho"/>
        </w:rPr>
        <w:t xml:space="preserve"> (16))</w:t>
      </w:r>
      <w:r w:rsidRPr="00FA0D37">
        <w:t xml:space="preserve">            </w:t>
      </w:r>
      <w:r w:rsidRPr="00FA0D37">
        <w:rPr>
          <w:rFonts w:eastAsia="MS Mincho"/>
          <w:color w:val="993366"/>
        </w:rPr>
        <w:t>OPTIONAL</w:t>
      </w:r>
    </w:p>
    <w:p w14:paraId="3B455F10" w14:textId="5E22244B" w:rsidR="003C2B2C" w:rsidRPr="00FA0D37" w:rsidRDefault="003C2B2C" w:rsidP="00FA0D37">
      <w:pPr>
        <w:pStyle w:val="PL"/>
        <w:rPr>
          <w:rFonts w:eastAsia="MS Mincho"/>
        </w:rPr>
      </w:pPr>
      <w:r w:rsidRPr="00FA0D37">
        <w:t xml:space="preserve">            </w:t>
      </w:r>
      <w:r w:rsidRPr="00FA0D37">
        <w:rPr>
          <w:rFonts w:eastAsia="MS Mincho"/>
        </w:rPr>
        <w:t>},</w:t>
      </w:r>
    </w:p>
    <w:p w14:paraId="6F5CB23D" w14:textId="539416B4" w:rsidR="003C2B2C" w:rsidRPr="00FA0D37" w:rsidRDefault="003C2B2C" w:rsidP="00FA0D37">
      <w:pPr>
        <w:pStyle w:val="PL"/>
        <w:rPr>
          <w:rFonts w:eastAsia="MS Mincho"/>
        </w:rPr>
      </w:pPr>
      <w:r w:rsidRPr="00FA0D37">
        <w:t xml:space="preserve">            </w:t>
      </w:r>
      <w:r w:rsidRPr="00FA0D37">
        <w:rPr>
          <w:rFonts w:eastAsia="MS Mincho"/>
        </w:rPr>
        <w:t>fr2-r17</w:t>
      </w:r>
      <w:r w:rsidRPr="00FA0D37">
        <w:t xml:space="preserve">                                           </w:t>
      </w:r>
      <w:r w:rsidRPr="00FA0D37">
        <w:rPr>
          <w:rFonts w:eastAsia="MS Mincho"/>
          <w:color w:val="993366"/>
        </w:rPr>
        <w:t>SEQUENCE</w:t>
      </w:r>
      <w:r w:rsidRPr="00FA0D37">
        <w:rPr>
          <w:rFonts w:eastAsia="MS Mincho"/>
        </w:rPr>
        <w:t xml:space="preserve"> {</w:t>
      </w:r>
    </w:p>
    <w:p w14:paraId="522ECEA9" w14:textId="0FCFA5E2" w:rsidR="003C2B2C" w:rsidRPr="00FA0D37" w:rsidRDefault="003C2B2C" w:rsidP="00FA0D37">
      <w:pPr>
        <w:pStyle w:val="PL"/>
        <w:rPr>
          <w:rFonts w:eastAsia="MS Mincho"/>
        </w:rPr>
      </w:pPr>
      <w:r w:rsidRPr="00FA0D37">
        <w:t xml:space="preserve">               </w:t>
      </w:r>
      <w:r w:rsidRPr="00FA0D37">
        <w:rPr>
          <w:rFonts w:eastAsia="MS Mincho"/>
        </w:rPr>
        <w:t xml:space="preserve"> scs-60kHz-r17</w:t>
      </w:r>
      <w:r w:rsidRPr="00FA0D37">
        <w:t xml:space="preserve">                                     </w:t>
      </w:r>
      <w:r w:rsidRPr="00FA0D37">
        <w:rPr>
          <w:rFonts w:eastAsia="MS Mincho"/>
          <w:color w:val="993366"/>
        </w:rPr>
        <w:t>BIT</w:t>
      </w:r>
      <w:r w:rsidRPr="00FA0D37">
        <w:rPr>
          <w:rFonts w:eastAsia="MS Mincho"/>
        </w:rPr>
        <w:t xml:space="preserve"> </w:t>
      </w:r>
      <w:r w:rsidRPr="00FA0D37">
        <w:rPr>
          <w:rFonts w:eastAsia="MS Mincho"/>
          <w:color w:val="993366"/>
        </w:rPr>
        <w:t>STRING</w:t>
      </w:r>
      <w:r w:rsidRPr="00FA0D37">
        <w:rPr>
          <w:rFonts w:eastAsia="MS Mincho"/>
        </w:rPr>
        <w:t xml:space="preserve"> (</w:t>
      </w:r>
      <w:r w:rsidRPr="00FA0D37">
        <w:rPr>
          <w:rFonts w:eastAsia="MS Mincho"/>
          <w:color w:val="993366"/>
        </w:rPr>
        <w:t>SIZE</w:t>
      </w:r>
      <w:r w:rsidRPr="00FA0D37">
        <w:rPr>
          <w:rFonts w:eastAsia="MS Mincho"/>
        </w:rPr>
        <w:t xml:space="preserve"> (16))</w:t>
      </w:r>
      <w:r w:rsidRPr="00FA0D37">
        <w:t xml:space="preserve">            </w:t>
      </w:r>
      <w:r w:rsidRPr="00FA0D37">
        <w:rPr>
          <w:rFonts w:eastAsia="MS Mincho"/>
          <w:color w:val="993366"/>
        </w:rPr>
        <w:t>OPTIONAL</w:t>
      </w:r>
      <w:r w:rsidRPr="00FA0D37">
        <w:rPr>
          <w:rFonts w:eastAsia="MS Mincho"/>
        </w:rPr>
        <w:t>,</w:t>
      </w:r>
    </w:p>
    <w:p w14:paraId="68BB1703" w14:textId="5FB13C42" w:rsidR="003C2B2C" w:rsidRPr="00FA0D37" w:rsidRDefault="003C2B2C" w:rsidP="00FA0D37">
      <w:pPr>
        <w:pStyle w:val="PL"/>
        <w:rPr>
          <w:rFonts w:eastAsia="MS Mincho"/>
        </w:rPr>
      </w:pPr>
      <w:r w:rsidRPr="00FA0D37">
        <w:t xml:space="preserve">               </w:t>
      </w:r>
      <w:r w:rsidRPr="00FA0D37">
        <w:rPr>
          <w:rFonts w:eastAsia="MS Mincho"/>
        </w:rPr>
        <w:t xml:space="preserve"> scs-120kHz-r17</w:t>
      </w:r>
      <w:r w:rsidRPr="00FA0D37">
        <w:t xml:space="preserve">                                    </w:t>
      </w:r>
      <w:r w:rsidRPr="00FA0D37">
        <w:rPr>
          <w:rFonts w:eastAsia="MS Mincho"/>
          <w:color w:val="993366"/>
        </w:rPr>
        <w:t>BIT</w:t>
      </w:r>
      <w:r w:rsidRPr="00FA0D37">
        <w:rPr>
          <w:rFonts w:eastAsia="MS Mincho"/>
        </w:rPr>
        <w:t xml:space="preserve"> </w:t>
      </w:r>
      <w:r w:rsidRPr="00FA0D37">
        <w:rPr>
          <w:rFonts w:eastAsia="MS Mincho"/>
          <w:color w:val="993366"/>
        </w:rPr>
        <w:t>STRING</w:t>
      </w:r>
      <w:r w:rsidRPr="00FA0D37">
        <w:rPr>
          <w:rFonts w:eastAsia="MS Mincho"/>
        </w:rPr>
        <w:t xml:space="preserve"> (</w:t>
      </w:r>
      <w:r w:rsidRPr="00FA0D37">
        <w:rPr>
          <w:rFonts w:eastAsia="MS Mincho"/>
          <w:color w:val="993366"/>
        </w:rPr>
        <w:t>SIZE</w:t>
      </w:r>
      <w:r w:rsidRPr="00FA0D37">
        <w:rPr>
          <w:rFonts w:eastAsia="MS Mincho"/>
        </w:rPr>
        <w:t xml:space="preserve"> (16))</w:t>
      </w:r>
      <w:r w:rsidRPr="00FA0D37">
        <w:t xml:space="preserve">            </w:t>
      </w:r>
      <w:r w:rsidRPr="00FA0D37">
        <w:rPr>
          <w:rFonts w:eastAsia="MS Mincho"/>
          <w:color w:val="993366"/>
        </w:rPr>
        <w:t>OPTIONAL</w:t>
      </w:r>
    </w:p>
    <w:p w14:paraId="6C6EC453" w14:textId="77777777" w:rsidR="003C2B2C" w:rsidRPr="00FA0D37" w:rsidRDefault="003C2B2C" w:rsidP="00FA0D37">
      <w:pPr>
        <w:pStyle w:val="PL"/>
        <w:rPr>
          <w:rFonts w:eastAsia="MS Mincho"/>
        </w:rPr>
      </w:pPr>
      <w:r w:rsidRPr="00FA0D37">
        <w:rPr>
          <w:rFonts w:eastAsia="MS Mincho"/>
        </w:rPr>
        <w:t xml:space="preserve">            }</w:t>
      </w:r>
    </w:p>
    <w:p w14:paraId="706E961E" w14:textId="59B931F5" w:rsidR="003C2B2C" w:rsidRPr="00FA0D37" w:rsidRDefault="003C2B2C" w:rsidP="00FA0D37">
      <w:pPr>
        <w:pStyle w:val="PL"/>
        <w:rPr>
          <w:rFonts w:eastAsia="MS Mincho"/>
        </w:rPr>
      </w:pPr>
      <w:r w:rsidRPr="00FA0D37">
        <w:t xml:space="preserve">       </w:t>
      </w:r>
      <w:r w:rsidR="002C7704" w:rsidRPr="00FA0D37">
        <w:t xml:space="preserve"> </w:t>
      </w:r>
      <w:r w:rsidRPr="00FA0D37">
        <w:rPr>
          <w:rFonts w:eastAsia="MS Mincho"/>
        </w:rPr>
        <w:t>}</w:t>
      </w:r>
      <w:r w:rsidRPr="00FA0D37">
        <w:t xml:space="preserve">                                                                                           </w:t>
      </w:r>
      <w:r w:rsidRPr="00FA0D37">
        <w:rPr>
          <w:rFonts w:eastAsia="MS Mincho"/>
          <w:color w:val="993366"/>
        </w:rPr>
        <w:t>OPTIONAL</w:t>
      </w:r>
      <w:r w:rsidRPr="00FA0D37">
        <w:rPr>
          <w:rFonts w:eastAsia="MS Mincho"/>
        </w:rPr>
        <w:t>,</w:t>
      </w:r>
    </w:p>
    <w:p w14:paraId="5D81E160" w14:textId="60A8CE48" w:rsidR="003C2B2C" w:rsidRPr="00FA0D37" w:rsidRDefault="003C2B2C" w:rsidP="00FA0D37">
      <w:pPr>
        <w:pStyle w:val="PL"/>
        <w:rPr>
          <w:rFonts w:eastAsia="MS Mincho"/>
        </w:rPr>
      </w:pPr>
      <w:r w:rsidRPr="00FA0D37">
        <w:t xml:space="preserve">       </w:t>
      </w:r>
      <w:r w:rsidR="002C7704" w:rsidRPr="00FA0D37">
        <w:t xml:space="preserve"> </w:t>
      </w:r>
      <w:r w:rsidRPr="00FA0D37">
        <w:rPr>
          <w:rFonts w:eastAsia="MS Mincho"/>
        </w:rPr>
        <w:t>extendedCP-Mode2Random-r17</w:t>
      </w:r>
      <w:r w:rsidR="002C7704" w:rsidRPr="00FA0D37">
        <w:t xml:space="preserve">                    </w:t>
      </w:r>
      <w:r w:rsidRPr="00FA0D37">
        <w:rPr>
          <w:rFonts w:eastAsia="MS Mincho"/>
          <w:color w:val="993366"/>
        </w:rPr>
        <w:t>ENUMERATED</w:t>
      </w:r>
      <w:r w:rsidRPr="00FA0D37">
        <w:rPr>
          <w:rFonts w:eastAsia="MS Mincho"/>
        </w:rPr>
        <w:t xml:space="preserve"> {supported}</w:t>
      </w:r>
      <w:r w:rsidR="002C7704" w:rsidRPr="00FA0D37">
        <w:t xml:space="preserve">                        </w:t>
      </w:r>
      <w:r w:rsidRPr="00FA0D37">
        <w:rPr>
          <w:rFonts w:eastAsia="MS Mincho"/>
          <w:color w:val="993366"/>
        </w:rPr>
        <w:t>OPTIONAL</w:t>
      </w:r>
      <w:r w:rsidRPr="00FA0D37">
        <w:rPr>
          <w:rFonts w:eastAsia="MS Mincho"/>
        </w:rPr>
        <w:t>,</w:t>
      </w:r>
    </w:p>
    <w:p w14:paraId="5AB0100B" w14:textId="1D0DBA30" w:rsidR="003C2B2C" w:rsidRPr="00FA0D37" w:rsidRDefault="003C2B2C" w:rsidP="00FA0D37">
      <w:pPr>
        <w:pStyle w:val="PL"/>
        <w:rPr>
          <w:rFonts w:eastAsia="MS Mincho"/>
        </w:rPr>
      </w:pPr>
      <w:r w:rsidRPr="00FA0D37">
        <w:t xml:space="preserve">       </w:t>
      </w:r>
      <w:r w:rsidR="002C7704" w:rsidRPr="00FA0D37">
        <w:t xml:space="preserve"> </w:t>
      </w:r>
      <w:r w:rsidRPr="00FA0D37">
        <w:rPr>
          <w:rFonts w:eastAsia="MS Mincho"/>
        </w:rPr>
        <w:t>dl-openLoopPC-Sidelink-r17</w:t>
      </w:r>
      <w:r w:rsidR="002C7704" w:rsidRPr="00FA0D37">
        <w:t xml:space="preserve">                    </w:t>
      </w:r>
      <w:r w:rsidRPr="00FA0D37">
        <w:rPr>
          <w:rFonts w:eastAsia="MS Mincho"/>
          <w:color w:val="993366"/>
        </w:rPr>
        <w:t>ENUMERATED</w:t>
      </w:r>
      <w:r w:rsidRPr="00FA0D37">
        <w:rPr>
          <w:rFonts w:eastAsia="MS Mincho"/>
        </w:rPr>
        <w:t xml:space="preserve"> {supported}               </w:t>
      </w:r>
      <w:r w:rsidR="002C7704" w:rsidRPr="00FA0D37">
        <w:rPr>
          <w:rFonts w:eastAsia="MS Mincho"/>
        </w:rPr>
        <w:t xml:space="preserve">    </w:t>
      </w:r>
      <w:r w:rsidRPr="00FA0D37">
        <w:rPr>
          <w:rFonts w:eastAsia="MS Mincho"/>
        </w:rPr>
        <w:t xml:space="preserve">         </w:t>
      </w:r>
      <w:r w:rsidRPr="00FA0D37">
        <w:rPr>
          <w:rFonts w:eastAsia="MS Mincho"/>
          <w:color w:val="993366"/>
        </w:rPr>
        <w:t>OPTIONAL</w:t>
      </w:r>
    </w:p>
    <w:p w14:paraId="2F644C9D" w14:textId="11404B43" w:rsidR="003C2B2C" w:rsidRPr="00FA0D37" w:rsidRDefault="003C2B2C" w:rsidP="00FA0D37">
      <w:pPr>
        <w:pStyle w:val="PL"/>
        <w:rPr>
          <w:rFonts w:eastAsia="MS Mincho"/>
        </w:rPr>
      </w:pPr>
      <w:r w:rsidRPr="00FA0D37">
        <w:t xml:space="preserve">    </w:t>
      </w:r>
      <w:r w:rsidRPr="00FA0D37">
        <w:rPr>
          <w:rFonts w:eastAsia="MS Mincho"/>
        </w:rPr>
        <w:t>}</w:t>
      </w:r>
      <w:r w:rsidR="002C7704" w:rsidRPr="00FA0D37">
        <w:t xml:space="preserve">                                                                                               </w:t>
      </w:r>
      <w:r w:rsidRPr="00FA0D37">
        <w:rPr>
          <w:rFonts w:eastAsia="MS Mincho"/>
          <w:color w:val="993366"/>
        </w:rPr>
        <w:t>OPTIONAL</w:t>
      </w:r>
      <w:r w:rsidRPr="00FA0D37">
        <w:rPr>
          <w:rFonts w:eastAsia="MS Mincho"/>
        </w:rPr>
        <w:t>,</w:t>
      </w:r>
    </w:p>
    <w:p w14:paraId="35DBFBFA" w14:textId="4B1DC5B4" w:rsidR="003C2B2C" w:rsidRPr="00FA0D37" w:rsidRDefault="002C7704" w:rsidP="00FA0D37">
      <w:pPr>
        <w:pStyle w:val="PL"/>
        <w:rPr>
          <w:rFonts w:eastAsia="MS Mincho"/>
          <w:color w:val="808080"/>
        </w:rPr>
      </w:pPr>
      <w:r w:rsidRPr="00FA0D37">
        <w:t xml:space="preserve">    </w:t>
      </w:r>
      <w:r w:rsidR="003C2B2C" w:rsidRPr="00FA0D37">
        <w:rPr>
          <w:rFonts w:eastAsia="MS Mincho"/>
          <w:color w:val="808080"/>
        </w:rPr>
        <w:t>--32-4b</w:t>
      </w:r>
    </w:p>
    <w:p w14:paraId="535E7099" w14:textId="1BAD6E5A" w:rsidR="003C2B2C" w:rsidRPr="00FA0D37" w:rsidRDefault="002C7704" w:rsidP="00FA0D37">
      <w:pPr>
        <w:pStyle w:val="PL"/>
        <w:rPr>
          <w:rFonts w:eastAsia="MS Mincho"/>
        </w:rPr>
      </w:pPr>
      <w:r w:rsidRPr="00FA0D37">
        <w:t xml:space="preserve">    </w:t>
      </w:r>
      <w:r w:rsidR="003C2B2C" w:rsidRPr="00FA0D37">
        <w:rPr>
          <w:rFonts w:eastAsia="MS Mincho"/>
        </w:rPr>
        <w:t>sync-Sidelink-v1710</w:t>
      </w:r>
      <w:r w:rsidRPr="00FA0D37">
        <w:t xml:space="preserve">                           </w:t>
      </w:r>
      <w:r w:rsidR="003C2B2C" w:rsidRPr="00FA0D37">
        <w:rPr>
          <w:rFonts w:eastAsia="MS Mincho"/>
          <w:color w:val="993366"/>
        </w:rPr>
        <w:t>SEQUENCE</w:t>
      </w:r>
      <w:r w:rsidR="003C2B2C" w:rsidRPr="00FA0D37">
        <w:rPr>
          <w:rFonts w:eastAsia="MS Mincho"/>
        </w:rPr>
        <w:t xml:space="preserve"> {</w:t>
      </w:r>
    </w:p>
    <w:p w14:paraId="6912820F" w14:textId="0E372F44" w:rsidR="003C2B2C" w:rsidRPr="00FA0D37" w:rsidRDefault="002C7704" w:rsidP="00FA0D37">
      <w:pPr>
        <w:pStyle w:val="PL"/>
        <w:rPr>
          <w:rFonts w:eastAsia="MS Mincho"/>
        </w:rPr>
      </w:pPr>
      <w:r w:rsidRPr="00FA0D37">
        <w:t xml:space="preserve">        </w:t>
      </w:r>
      <w:r w:rsidR="003C2B2C" w:rsidRPr="00FA0D37">
        <w:rPr>
          <w:rFonts w:eastAsia="MS Mincho"/>
        </w:rPr>
        <w:t>sync-GNSS-r17</w:t>
      </w:r>
      <w:r w:rsidRPr="00FA0D37">
        <w:t xml:space="preserve">                                 </w:t>
      </w:r>
      <w:r w:rsidR="003C2B2C" w:rsidRPr="00FA0D37">
        <w:rPr>
          <w:rFonts w:eastAsia="MS Mincho"/>
          <w:color w:val="993366"/>
        </w:rPr>
        <w:t>ENUMERATED</w:t>
      </w:r>
      <w:r w:rsidR="003C2B2C" w:rsidRPr="00FA0D37">
        <w:rPr>
          <w:rFonts w:eastAsia="MS Mincho"/>
        </w:rPr>
        <w:t xml:space="preserve"> {supported}</w:t>
      </w:r>
      <w:r w:rsidRPr="00FA0D37">
        <w:t xml:space="preserve">                        </w:t>
      </w:r>
      <w:r w:rsidR="003C2B2C" w:rsidRPr="00FA0D37">
        <w:rPr>
          <w:rFonts w:eastAsia="MS Mincho"/>
          <w:color w:val="993366"/>
        </w:rPr>
        <w:t>OPTIONAL</w:t>
      </w:r>
      <w:r w:rsidR="003C2B2C" w:rsidRPr="00FA0D37">
        <w:rPr>
          <w:rFonts w:eastAsia="MS Mincho"/>
        </w:rPr>
        <w:t>,</w:t>
      </w:r>
    </w:p>
    <w:p w14:paraId="0614698C" w14:textId="6B5E4F07" w:rsidR="003C2B2C" w:rsidRPr="00FA0D37" w:rsidRDefault="002C7704" w:rsidP="00FA0D37">
      <w:pPr>
        <w:pStyle w:val="PL"/>
        <w:rPr>
          <w:rFonts w:eastAsia="MS Mincho"/>
        </w:rPr>
      </w:pPr>
      <w:r w:rsidRPr="00FA0D37">
        <w:t xml:space="preserve">        </w:t>
      </w:r>
      <w:r w:rsidR="003C2B2C" w:rsidRPr="00FA0D37">
        <w:rPr>
          <w:rFonts w:eastAsia="MS Mincho"/>
        </w:rPr>
        <w:t>gNB-Sync-r17</w:t>
      </w:r>
      <w:r w:rsidRPr="00FA0D37">
        <w:t xml:space="preserve">                                  </w:t>
      </w:r>
      <w:r w:rsidR="003C2B2C" w:rsidRPr="00FA0D37">
        <w:rPr>
          <w:rFonts w:eastAsia="MS Mincho"/>
          <w:color w:val="993366"/>
        </w:rPr>
        <w:t>ENUMERATED</w:t>
      </w:r>
      <w:r w:rsidR="003C2B2C" w:rsidRPr="00FA0D37">
        <w:rPr>
          <w:rFonts w:eastAsia="MS Mincho"/>
        </w:rPr>
        <w:t xml:space="preserve"> {supported}</w:t>
      </w:r>
      <w:r w:rsidRPr="00FA0D37">
        <w:t xml:space="preserve">                        </w:t>
      </w:r>
      <w:r w:rsidR="003C2B2C" w:rsidRPr="00FA0D37">
        <w:rPr>
          <w:rFonts w:eastAsia="MS Mincho"/>
          <w:color w:val="993366"/>
        </w:rPr>
        <w:t>OPTIONAL</w:t>
      </w:r>
      <w:r w:rsidR="003C2B2C" w:rsidRPr="00FA0D37">
        <w:rPr>
          <w:rFonts w:eastAsia="MS Mincho"/>
        </w:rPr>
        <w:t>,</w:t>
      </w:r>
    </w:p>
    <w:p w14:paraId="5821C925" w14:textId="71C27C1B" w:rsidR="003C2B2C" w:rsidRPr="00FA0D37" w:rsidRDefault="002C7704" w:rsidP="00FA0D37">
      <w:pPr>
        <w:pStyle w:val="PL"/>
        <w:rPr>
          <w:rFonts w:eastAsia="MS Mincho"/>
        </w:rPr>
      </w:pPr>
      <w:r w:rsidRPr="00FA0D37">
        <w:t xml:space="preserve">        </w:t>
      </w:r>
      <w:r w:rsidR="003C2B2C" w:rsidRPr="00FA0D37">
        <w:rPr>
          <w:rFonts w:eastAsia="MS Mincho"/>
        </w:rPr>
        <w:t>gNB-GNSS-UE-SyncWithPriorityOnGNB-ENB-r17</w:t>
      </w:r>
      <w:r w:rsidRPr="00FA0D37">
        <w:t xml:space="preserve">     </w:t>
      </w:r>
      <w:r w:rsidR="003C2B2C" w:rsidRPr="00FA0D37">
        <w:rPr>
          <w:rFonts w:eastAsia="MS Mincho"/>
          <w:color w:val="993366"/>
        </w:rPr>
        <w:t>ENUMERATED</w:t>
      </w:r>
      <w:r w:rsidR="003C2B2C" w:rsidRPr="00FA0D37">
        <w:rPr>
          <w:rFonts w:eastAsia="MS Mincho"/>
        </w:rPr>
        <w:t xml:space="preserve"> {supported}</w:t>
      </w:r>
      <w:r w:rsidRPr="00FA0D37">
        <w:t xml:space="preserve">                        </w:t>
      </w:r>
      <w:r w:rsidR="003C2B2C" w:rsidRPr="00FA0D37">
        <w:rPr>
          <w:rFonts w:eastAsia="MS Mincho"/>
          <w:color w:val="993366"/>
        </w:rPr>
        <w:t>OPTIONAL</w:t>
      </w:r>
      <w:r w:rsidR="003C2B2C" w:rsidRPr="00FA0D37">
        <w:rPr>
          <w:rFonts w:eastAsia="MS Mincho"/>
        </w:rPr>
        <w:t>,</w:t>
      </w:r>
    </w:p>
    <w:p w14:paraId="232E6D81" w14:textId="7B41E6D1" w:rsidR="003C2B2C" w:rsidRPr="00FA0D37" w:rsidRDefault="002C7704" w:rsidP="00FA0D37">
      <w:pPr>
        <w:pStyle w:val="PL"/>
        <w:rPr>
          <w:rFonts w:eastAsia="MS Mincho"/>
        </w:rPr>
      </w:pPr>
      <w:r w:rsidRPr="00FA0D37">
        <w:t xml:space="preserve">        </w:t>
      </w:r>
      <w:r w:rsidR="003C2B2C" w:rsidRPr="00FA0D37">
        <w:rPr>
          <w:rFonts w:eastAsia="MS Mincho"/>
        </w:rPr>
        <w:t>gNB-GNSS-UE-SyncWithPriorityOnGNSS-r17</w:t>
      </w:r>
      <w:r w:rsidRPr="00FA0D37">
        <w:t xml:space="preserve">        </w:t>
      </w:r>
      <w:r w:rsidR="003C2B2C" w:rsidRPr="00FA0D37">
        <w:rPr>
          <w:rFonts w:eastAsia="MS Mincho"/>
          <w:color w:val="993366"/>
        </w:rPr>
        <w:t>ENUMERATED</w:t>
      </w:r>
      <w:r w:rsidR="003C2B2C" w:rsidRPr="00FA0D37">
        <w:rPr>
          <w:rFonts w:eastAsia="MS Mincho"/>
        </w:rPr>
        <w:t xml:space="preserve"> {supported}</w:t>
      </w:r>
      <w:r w:rsidRPr="00FA0D37">
        <w:t xml:space="preserve">                        </w:t>
      </w:r>
      <w:r w:rsidR="003C2B2C" w:rsidRPr="00FA0D37">
        <w:rPr>
          <w:rFonts w:eastAsia="MS Mincho"/>
          <w:color w:val="993366"/>
        </w:rPr>
        <w:t>OPTIONAL</w:t>
      </w:r>
    </w:p>
    <w:p w14:paraId="472BB844" w14:textId="0CE93F61" w:rsidR="003C2B2C" w:rsidRPr="00FA0D37" w:rsidRDefault="002C7704" w:rsidP="00FA0D37">
      <w:pPr>
        <w:pStyle w:val="PL"/>
        <w:rPr>
          <w:rFonts w:eastAsia="MS Mincho"/>
        </w:rPr>
      </w:pPr>
      <w:r w:rsidRPr="00FA0D37">
        <w:t xml:space="preserve">    </w:t>
      </w:r>
      <w:r w:rsidR="003C2B2C" w:rsidRPr="00FA0D37">
        <w:rPr>
          <w:rFonts w:eastAsia="MS Mincho"/>
        </w:rPr>
        <w:t>}</w:t>
      </w:r>
      <w:r w:rsidRPr="00FA0D37">
        <w:t xml:space="preserve">                                                                                               </w:t>
      </w:r>
      <w:r w:rsidR="003C2B2C" w:rsidRPr="00FA0D37">
        <w:rPr>
          <w:rFonts w:eastAsia="MS Mincho"/>
          <w:color w:val="993366"/>
        </w:rPr>
        <w:t>OPTIONAL</w:t>
      </w:r>
      <w:r w:rsidR="003C2B2C" w:rsidRPr="00FA0D37">
        <w:rPr>
          <w:rFonts w:eastAsia="MS Mincho"/>
        </w:rPr>
        <w:t>,</w:t>
      </w:r>
    </w:p>
    <w:p w14:paraId="7348F0B3" w14:textId="03957B2A" w:rsidR="003C2B2C" w:rsidRPr="00FA0D37" w:rsidRDefault="002C7704" w:rsidP="00FA0D37">
      <w:pPr>
        <w:pStyle w:val="PL"/>
        <w:rPr>
          <w:rFonts w:eastAsia="MS Mincho"/>
          <w:color w:val="808080"/>
        </w:rPr>
      </w:pPr>
      <w:r w:rsidRPr="00FA0D37">
        <w:t xml:space="preserve">    </w:t>
      </w:r>
      <w:r w:rsidR="003C2B2C" w:rsidRPr="00FA0D37">
        <w:rPr>
          <w:rFonts w:eastAsia="MS Mincho"/>
          <w:color w:val="808080"/>
        </w:rPr>
        <w:t>--32-4c</w:t>
      </w:r>
    </w:p>
    <w:p w14:paraId="504707BA" w14:textId="4A804F94" w:rsidR="003C2B2C" w:rsidRPr="00FA0D37" w:rsidRDefault="002C7704" w:rsidP="00FA0D37">
      <w:pPr>
        <w:pStyle w:val="PL"/>
        <w:rPr>
          <w:rFonts w:eastAsia="MS Mincho"/>
        </w:rPr>
      </w:pPr>
      <w:r w:rsidRPr="00FA0D37">
        <w:t xml:space="preserve">    </w:t>
      </w:r>
      <w:r w:rsidR="003C2B2C" w:rsidRPr="00FA0D37">
        <w:rPr>
          <w:rFonts w:eastAsia="MS Mincho"/>
        </w:rPr>
        <w:t>enb-sync-Sidelink-v17</w:t>
      </w:r>
      <w:r w:rsidRPr="00FA0D37">
        <w:rPr>
          <w:rFonts w:eastAsia="MS Mincho"/>
        </w:rPr>
        <w:t>10</w:t>
      </w:r>
      <w:r w:rsidRPr="00FA0D37">
        <w:t xml:space="preserve">                       </w:t>
      </w:r>
      <w:r w:rsidR="003C2B2C" w:rsidRPr="00FA0D37">
        <w:rPr>
          <w:rFonts w:eastAsia="MS Mincho"/>
          <w:color w:val="993366"/>
        </w:rPr>
        <w:t>ENUMERATED</w:t>
      </w:r>
      <w:r w:rsidRPr="00FA0D37">
        <w:rPr>
          <w:rFonts w:eastAsia="MS Mincho"/>
        </w:rPr>
        <w:t xml:space="preserve"> </w:t>
      </w:r>
      <w:r w:rsidR="003C2B2C" w:rsidRPr="00FA0D37">
        <w:rPr>
          <w:rFonts w:eastAsia="MS Mincho"/>
        </w:rPr>
        <w:t>{supported}</w:t>
      </w:r>
      <w:r w:rsidRPr="00FA0D37">
        <w:t xml:space="preserve">                            </w:t>
      </w:r>
      <w:r w:rsidR="003C2B2C" w:rsidRPr="00FA0D37">
        <w:rPr>
          <w:rFonts w:eastAsia="MS Mincho"/>
          <w:color w:val="993366"/>
        </w:rPr>
        <w:t>OPTIONAL</w:t>
      </w:r>
      <w:r w:rsidR="003C2B2C" w:rsidRPr="00FA0D37">
        <w:rPr>
          <w:rFonts w:eastAsia="MS Mincho"/>
        </w:rPr>
        <w:t>,</w:t>
      </w:r>
    </w:p>
    <w:p w14:paraId="5000386C" w14:textId="227A9BD0" w:rsidR="003C2B2C" w:rsidRPr="00FA0D37" w:rsidRDefault="002C7704" w:rsidP="00FA0D37">
      <w:pPr>
        <w:pStyle w:val="PL"/>
        <w:rPr>
          <w:rFonts w:eastAsia="MS Mincho"/>
          <w:color w:val="808080"/>
        </w:rPr>
      </w:pPr>
      <w:r w:rsidRPr="00FA0D37">
        <w:t xml:space="preserve">    </w:t>
      </w:r>
      <w:r w:rsidR="003C2B2C" w:rsidRPr="00FA0D37">
        <w:rPr>
          <w:rFonts w:eastAsia="MS Mincho"/>
          <w:color w:val="808080"/>
        </w:rPr>
        <w:t>--32-5a-2</w:t>
      </w:r>
    </w:p>
    <w:p w14:paraId="33815682" w14:textId="03C956EB" w:rsidR="003C2B2C" w:rsidRPr="00FA0D37" w:rsidRDefault="002C7704" w:rsidP="00FA0D37">
      <w:pPr>
        <w:pStyle w:val="PL"/>
        <w:rPr>
          <w:rFonts w:eastAsia="MS Mincho"/>
        </w:rPr>
      </w:pPr>
      <w:r w:rsidRPr="00FA0D37">
        <w:t xml:space="preserve">    </w:t>
      </w:r>
      <w:r w:rsidR="003C2B2C" w:rsidRPr="00FA0D37">
        <w:rPr>
          <w:rFonts w:eastAsia="MS Mincho"/>
        </w:rPr>
        <w:t>rx-IUC-Scheme1-PreferredMode2Sidelink-r17</w:t>
      </w:r>
      <w:r w:rsidRPr="00FA0D37">
        <w:t xml:space="preserve">     </w:t>
      </w:r>
      <w:r w:rsidR="003C2B2C" w:rsidRPr="00FA0D37">
        <w:rPr>
          <w:rFonts w:eastAsia="MS Mincho"/>
          <w:color w:val="993366"/>
        </w:rPr>
        <w:t>ENUMERATED</w:t>
      </w:r>
      <w:r w:rsidR="003C2B2C" w:rsidRPr="00FA0D37">
        <w:rPr>
          <w:rFonts w:eastAsia="MS Mincho"/>
        </w:rPr>
        <w:t xml:space="preserve"> {supported}</w:t>
      </w:r>
      <w:r w:rsidRPr="00FA0D37">
        <w:t xml:space="preserve">                            </w:t>
      </w:r>
      <w:r w:rsidR="003C2B2C" w:rsidRPr="00FA0D37">
        <w:rPr>
          <w:rFonts w:eastAsia="MS Mincho"/>
          <w:color w:val="993366"/>
        </w:rPr>
        <w:t>OPTIONAL</w:t>
      </w:r>
      <w:r w:rsidR="003C2B2C" w:rsidRPr="00FA0D37">
        <w:rPr>
          <w:rFonts w:eastAsia="MS Mincho"/>
        </w:rPr>
        <w:t>,</w:t>
      </w:r>
    </w:p>
    <w:p w14:paraId="03E099D0" w14:textId="198C9586" w:rsidR="003C2B2C" w:rsidRPr="00FA0D37" w:rsidRDefault="002C7704" w:rsidP="00FA0D37">
      <w:pPr>
        <w:pStyle w:val="PL"/>
        <w:rPr>
          <w:rFonts w:eastAsia="MS Mincho"/>
          <w:color w:val="808080"/>
        </w:rPr>
      </w:pPr>
      <w:r w:rsidRPr="00FA0D37">
        <w:t xml:space="preserve">    </w:t>
      </w:r>
      <w:r w:rsidR="003C2B2C" w:rsidRPr="00FA0D37">
        <w:rPr>
          <w:rFonts w:eastAsia="MS Mincho"/>
          <w:color w:val="808080"/>
        </w:rPr>
        <w:t>--32-5a-3</w:t>
      </w:r>
    </w:p>
    <w:p w14:paraId="5A797935" w14:textId="5E183848" w:rsidR="003C2B2C" w:rsidRPr="00FA0D37" w:rsidRDefault="002C7704" w:rsidP="00FA0D37">
      <w:pPr>
        <w:pStyle w:val="PL"/>
        <w:rPr>
          <w:rFonts w:eastAsia="MS Mincho"/>
        </w:rPr>
      </w:pPr>
      <w:r w:rsidRPr="00FA0D37">
        <w:t xml:space="preserve">    </w:t>
      </w:r>
      <w:r w:rsidR="003C2B2C" w:rsidRPr="00FA0D37">
        <w:rPr>
          <w:rFonts w:eastAsia="MS Mincho"/>
        </w:rPr>
        <w:t>rx-IUC-Scheme1-NonPreferredMode2Sidelink-r17</w:t>
      </w:r>
      <w:r w:rsidRPr="00FA0D37">
        <w:t xml:space="preserve">  </w:t>
      </w:r>
      <w:r w:rsidR="003C2B2C" w:rsidRPr="00FA0D37">
        <w:rPr>
          <w:rFonts w:eastAsia="MS Mincho"/>
          <w:color w:val="993366"/>
        </w:rPr>
        <w:t>ENUMERATED</w:t>
      </w:r>
      <w:r w:rsidR="003C2B2C" w:rsidRPr="00FA0D37">
        <w:rPr>
          <w:rFonts w:eastAsia="MS Mincho"/>
        </w:rPr>
        <w:t xml:space="preserve"> {supported}</w:t>
      </w:r>
      <w:r w:rsidRPr="00FA0D37">
        <w:t xml:space="preserve">                            </w:t>
      </w:r>
      <w:r w:rsidR="003C2B2C" w:rsidRPr="00FA0D37">
        <w:rPr>
          <w:rFonts w:eastAsia="MS Mincho"/>
          <w:color w:val="993366"/>
        </w:rPr>
        <w:t>OPTIONAL</w:t>
      </w:r>
      <w:r w:rsidR="003C2B2C" w:rsidRPr="00FA0D37">
        <w:rPr>
          <w:rFonts w:eastAsia="MS Mincho"/>
        </w:rPr>
        <w:t>,</w:t>
      </w:r>
    </w:p>
    <w:p w14:paraId="012BCC63" w14:textId="30B4A68B" w:rsidR="003C2B2C" w:rsidRPr="00FA0D37" w:rsidRDefault="002C7704" w:rsidP="00FA0D37">
      <w:pPr>
        <w:pStyle w:val="PL"/>
        <w:rPr>
          <w:rFonts w:eastAsia="MS Mincho"/>
          <w:color w:val="808080"/>
        </w:rPr>
      </w:pPr>
      <w:r w:rsidRPr="00FA0D37">
        <w:t xml:space="preserve">    </w:t>
      </w:r>
      <w:r w:rsidR="003C2B2C" w:rsidRPr="00FA0D37">
        <w:rPr>
          <w:rFonts w:eastAsia="MS Mincho"/>
          <w:color w:val="808080"/>
        </w:rPr>
        <w:t>--32-5b-2</w:t>
      </w:r>
    </w:p>
    <w:p w14:paraId="084C952F" w14:textId="638B952F" w:rsidR="003C2B2C" w:rsidRPr="00FA0D37" w:rsidRDefault="002C7704" w:rsidP="00FA0D37">
      <w:pPr>
        <w:pStyle w:val="PL"/>
        <w:rPr>
          <w:rFonts w:eastAsia="MS Mincho"/>
        </w:rPr>
      </w:pPr>
      <w:r w:rsidRPr="00FA0D37">
        <w:t xml:space="preserve">    </w:t>
      </w:r>
      <w:r w:rsidR="003C2B2C" w:rsidRPr="00FA0D37">
        <w:rPr>
          <w:rFonts w:eastAsia="MS Mincho"/>
        </w:rPr>
        <w:t>rx-IUC-Scheme2-Mode2Sidelink-r17</w:t>
      </w:r>
      <w:r w:rsidRPr="00FA0D37">
        <w:t xml:space="preserve">              </w:t>
      </w:r>
      <w:r w:rsidR="003C2B2C" w:rsidRPr="00FA0D37">
        <w:rPr>
          <w:rFonts w:eastAsia="MS Mincho"/>
          <w:color w:val="993366"/>
        </w:rPr>
        <w:t>ENUMERATED</w:t>
      </w:r>
      <w:r w:rsidR="003C2B2C" w:rsidRPr="00FA0D37">
        <w:rPr>
          <w:rFonts w:eastAsia="MS Mincho"/>
        </w:rPr>
        <w:t xml:space="preserve"> {n5, n15, n25, n32, n35, n45, n50, n64}</w:t>
      </w:r>
      <w:r w:rsidRPr="00FA0D37">
        <w:t xml:space="preserve"> </w:t>
      </w:r>
      <w:r w:rsidR="003C2B2C" w:rsidRPr="00FA0D37">
        <w:rPr>
          <w:rFonts w:eastAsia="MS Mincho"/>
          <w:color w:val="993366"/>
        </w:rPr>
        <w:t>OPTIONAL</w:t>
      </w:r>
      <w:r w:rsidR="003C2B2C" w:rsidRPr="00FA0D37">
        <w:rPr>
          <w:rFonts w:eastAsia="MS Mincho"/>
        </w:rPr>
        <w:t>,</w:t>
      </w:r>
    </w:p>
    <w:p w14:paraId="7D03EDC9" w14:textId="0EAB30D8" w:rsidR="003C2B2C" w:rsidRPr="00FA0D37" w:rsidRDefault="002C7704" w:rsidP="00FA0D37">
      <w:pPr>
        <w:pStyle w:val="PL"/>
        <w:rPr>
          <w:rFonts w:eastAsia="MS Mincho"/>
          <w:color w:val="808080"/>
        </w:rPr>
      </w:pPr>
      <w:r w:rsidRPr="00FA0D37">
        <w:t xml:space="preserve">    </w:t>
      </w:r>
      <w:r w:rsidR="003C2B2C" w:rsidRPr="00FA0D37">
        <w:rPr>
          <w:rFonts w:eastAsia="MS Mincho"/>
          <w:color w:val="808080"/>
        </w:rPr>
        <w:t>--32-6-1</w:t>
      </w:r>
    </w:p>
    <w:p w14:paraId="1AC628D4" w14:textId="4E5B4B46" w:rsidR="003C2B2C" w:rsidRPr="00FA0D37" w:rsidRDefault="002C7704" w:rsidP="00FA0D37">
      <w:pPr>
        <w:pStyle w:val="PL"/>
        <w:rPr>
          <w:rFonts w:eastAsia="MS Mincho"/>
        </w:rPr>
      </w:pPr>
      <w:r w:rsidRPr="00FA0D37">
        <w:t xml:space="preserve">    </w:t>
      </w:r>
      <w:r w:rsidR="003C2B2C" w:rsidRPr="00FA0D37">
        <w:rPr>
          <w:rFonts w:eastAsia="MS Mincho"/>
        </w:rPr>
        <w:t>rx-IUC-Scheme1-SCI-r17</w:t>
      </w:r>
      <w:r w:rsidRPr="00FA0D37">
        <w:t xml:space="preserve">                        </w:t>
      </w:r>
      <w:r w:rsidR="003C2B2C" w:rsidRPr="00FA0D37">
        <w:rPr>
          <w:rFonts w:eastAsia="MS Mincho"/>
          <w:color w:val="993366"/>
        </w:rPr>
        <w:t>ENUMERATED</w:t>
      </w:r>
      <w:r w:rsidR="003C2B2C" w:rsidRPr="00FA0D37">
        <w:rPr>
          <w:rFonts w:eastAsia="MS Mincho"/>
        </w:rPr>
        <w:t xml:space="preserve"> {supported}</w:t>
      </w:r>
      <w:r w:rsidRPr="00FA0D37">
        <w:t xml:space="preserve">                            </w:t>
      </w:r>
      <w:r w:rsidR="003C2B2C" w:rsidRPr="00FA0D37">
        <w:rPr>
          <w:rFonts w:eastAsia="MS Mincho"/>
          <w:color w:val="993366"/>
        </w:rPr>
        <w:t>OPTIONAL</w:t>
      </w:r>
      <w:r w:rsidR="003C2B2C" w:rsidRPr="00FA0D37">
        <w:rPr>
          <w:rFonts w:eastAsia="MS Mincho"/>
        </w:rPr>
        <w:t>,</w:t>
      </w:r>
    </w:p>
    <w:p w14:paraId="3F18FEFE" w14:textId="633AE30F" w:rsidR="003C2B2C" w:rsidRPr="00FA0D37" w:rsidRDefault="002C7704" w:rsidP="00FA0D37">
      <w:pPr>
        <w:pStyle w:val="PL"/>
        <w:rPr>
          <w:rFonts w:eastAsia="MS Mincho"/>
          <w:color w:val="808080"/>
        </w:rPr>
      </w:pPr>
      <w:r w:rsidRPr="00FA0D37">
        <w:t xml:space="preserve">    </w:t>
      </w:r>
      <w:r w:rsidR="003C2B2C" w:rsidRPr="00FA0D37">
        <w:rPr>
          <w:rFonts w:eastAsia="MS Mincho"/>
          <w:color w:val="808080"/>
        </w:rPr>
        <w:t>--32-6-2</w:t>
      </w:r>
    </w:p>
    <w:p w14:paraId="3CFB3608" w14:textId="3A9FFD50" w:rsidR="003C2B2C" w:rsidRPr="00FA0D37" w:rsidRDefault="002C7704" w:rsidP="00FA0D37">
      <w:pPr>
        <w:pStyle w:val="PL"/>
        <w:rPr>
          <w:rFonts w:eastAsia="MS Mincho"/>
        </w:rPr>
      </w:pPr>
      <w:r w:rsidRPr="00FA0D37">
        <w:t xml:space="preserve">    </w:t>
      </w:r>
      <w:r w:rsidR="003C2B2C" w:rsidRPr="00FA0D37">
        <w:rPr>
          <w:rFonts w:eastAsia="MS Mincho"/>
        </w:rPr>
        <w:t>rx-IUC-Scheme1-SCI-ExplicitReq-r17</w:t>
      </w:r>
      <w:r w:rsidRPr="00FA0D37">
        <w:t xml:space="preserve">            </w:t>
      </w:r>
      <w:r w:rsidR="003C2B2C" w:rsidRPr="00FA0D37">
        <w:rPr>
          <w:rFonts w:eastAsia="MS Mincho"/>
          <w:color w:val="993366"/>
        </w:rPr>
        <w:t>ENUMERATED</w:t>
      </w:r>
      <w:r w:rsidR="003C2B2C" w:rsidRPr="00FA0D37">
        <w:rPr>
          <w:rFonts w:eastAsia="MS Mincho"/>
        </w:rPr>
        <w:t xml:space="preserve"> {supported}</w:t>
      </w:r>
      <w:r w:rsidRPr="00FA0D37">
        <w:t xml:space="preserve">                            </w:t>
      </w:r>
      <w:r w:rsidR="003C2B2C" w:rsidRPr="00FA0D37">
        <w:rPr>
          <w:rFonts w:eastAsia="MS Mincho"/>
          <w:color w:val="993366"/>
        </w:rPr>
        <w:t>OPTIONAL</w:t>
      </w:r>
    </w:p>
    <w:p w14:paraId="4E66B9BE" w14:textId="04FC5C42" w:rsidR="00394471" w:rsidRPr="00FA0D37" w:rsidRDefault="002C7704" w:rsidP="00FA0D37">
      <w:pPr>
        <w:pStyle w:val="PL"/>
        <w:rPr>
          <w:rFonts w:eastAsia="MS Mincho"/>
        </w:rPr>
      </w:pPr>
      <w:r w:rsidRPr="00FA0D37">
        <w:t xml:space="preserve">    </w:t>
      </w:r>
      <w:r w:rsidR="003C2B2C" w:rsidRPr="00FA0D37">
        <w:rPr>
          <w:rFonts w:eastAsia="MS Mincho"/>
        </w:rPr>
        <w:t>]]</w:t>
      </w:r>
    </w:p>
    <w:p w14:paraId="127A72C3" w14:textId="77777777" w:rsidR="00721523" w:rsidRPr="00FA0D37" w:rsidRDefault="00394471" w:rsidP="00FA0D37">
      <w:pPr>
        <w:pStyle w:val="PL"/>
        <w:rPr>
          <w:rFonts w:eastAsia="MS Mincho"/>
        </w:rPr>
      </w:pPr>
      <w:r w:rsidRPr="00FA0D37">
        <w:rPr>
          <w:rFonts w:eastAsia="MS Mincho"/>
        </w:rPr>
        <w:t>}</w:t>
      </w:r>
    </w:p>
    <w:p w14:paraId="7E916C31" w14:textId="77777777" w:rsidR="00721523" w:rsidRPr="00FA0D37" w:rsidRDefault="00721523" w:rsidP="00FA0D37">
      <w:pPr>
        <w:pStyle w:val="PL"/>
        <w:rPr>
          <w:rFonts w:eastAsia="MS Mincho"/>
        </w:rPr>
      </w:pPr>
    </w:p>
    <w:p w14:paraId="2BF08D56" w14:textId="77777777" w:rsidR="00721523" w:rsidRPr="00FA0D37" w:rsidRDefault="00721523" w:rsidP="00FA0D37">
      <w:pPr>
        <w:pStyle w:val="PL"/>
        <w:rPr>
          <w:rFonts w:eastAsia="MS Mincho"/>
        </w:rPr>
      </w:pPr>
      <w:r w:rsidRPr="00FA0D37">
        <w:rPr>
          <w:rFonts w:eastAsia="MS Mincho"/>
        </w:rPr>
        <w:t xml:space="preserve">RelayParameters-r17 ::= </w:t>
      </w:r>
      <w:r w:rsidRPr="00FA0D37">
        <w:rPr>
          <w:rFonts w:eastAsia="MS Mincho"/>
          <w:color w:val="993366"/>
        </w:rPr>
        <w:t>SEQUENCE</w:t>
      </w:r>
      <w:r w:rsidRPr="00FA0D37">
        <w:rPr>
          <w:rFonts w:eastAsia="MS Mincho"/>
        </w:rPr>
        <w:t xml:space="preserve"> {</w:t>
      </w:r>
    </w:p>
    <w:p w14:paraId="466AE7B2" w14:textId="1E8DF61F" w:rsidR="00721523" w:rsidRPr="00FA0D37" w:rsidRDefault="00721523" w:rsidP="00FA0D37">
      <w:pPr>
        <w:pStyle w:val="PL"/>
        <w:rPr>
          <w:rFonts w:eastAsia="MS Mincho"/>
        </w:rPr>
      </w:pPr>
      <w:r w:rsidRPr="00FA0D37">
        <w:t xml:space="preserve">    </w:t>
      </w:r>
      <w:r w:rsidRPr="00FA0D37">
        <w:rPr>
          <w:rFonts w:eastAsia="MS Mincho"/>
        </w:rPr>
        <w:t xml:space="preserve">relayUE-Operation-L2-r17                         </w:t>
      </w:r>
      <w:r w:rsidRPr="00FA0D37">
        <w:rPr>
          <w:rFonts w:eastAsia="MS Mincho"/>
          <w:color w:val="993366"/>
        </w:rPr>
        <w:t>ENUMERATED</w:t>
      </w:r>
      <w:r w:rsidRPr="00FA0D37">
        <w:rPr>
          <w:rFonts w:eastAsia="MS Mincho"/>
        </w:rPr>
        <w:t xml:space="preserve"> {supported}                                 </w:t>
      </w:r>
      <w:r w:rsidRPr="00FA0D37">
        <w:rPr>
          <w:rFonts w:eastAsia="MS Mincho"/>
          <w:color w:val="993366"/>
        </w:rPr>
        <w:t>OPTIONAL</w:t>
      </w:r>
      <w:r w:rsidRPr="00FA0D37">
        <w:rPr>
          <w:rFonts w:eastAsia="MS Mincho"/>
        </w:rPr>
        <w:t>,</w:t>
      </w:r>
    </w:p>
    <w:p w14:paraId="0E476E22" w14:textId="33BCAE02" w:rsidR="00721523" w:rsidRPr="00FA0D37" w:rsidRDefault="00721523" w:rsidP="00FA0D37">
      <w:pPr>
        <w:pStyle w:val="PL"/>
        <w:rPr>
          <w:rFonts w:eastAsia="MS Mincho"/>
        </w:rPr>
      </w:pPr>
      <w:r w:rsidRPr="00FA0D37">
        <w:t xml:space="preserve">    </w:t>
      </w:r>
      <w:r w:rsidRPr="00FA0D37">
        <w:rPr>
          <w:rFonts w:eastAsia="MS Mincho"/>
        </w:rPr>
        <w:t xml:space="preserve">remoteUE-Operation-L2-r17                        </w:t>
      </w:r>
      <w:r w:rsidRPr="00FA0D37">
        <w:rPr>
          <w:rFonts w:eastAsia="MS Mincho"/>
          <w:color w:val="993366"/>
        </w:rPr>
        <w:t>ENUMERATED</w:t>
      </w:r>
      <w:r w:rsidRPr="00FA0D37">
        <w:rPr>
          <w:rFonts w:eastAsia="MS Mincho"/>
        </w:rPr>
        <w:t xml:space="preserve"> {supported}                                 </w:t>
      </w:r>
      <w:r w:rsidRPr="00FA0D37">
        <w:rPr>
          <w:rFonts w:eastAsia="MS Mincho"/>
          <w:color w:val="993366"/>
        </w:rPr>
        <w:t>OPTIONAL</w:t>
      </w:r>
      <w:r w:rsidRPr="00FA0D37">
        <w:rPr>
          <w:rFonts w:eastAsia="MS Mincho"/>
        </w:rPr>
        <w:t>,</w:t>
      </w:r>
    </w:p>
    <w:p w14:paraId="6558D95A" w14:textId="4782712C" w:rsidR="00721523" w:rsidRPr="00FA0D37" w:rsidRDefault="00721523" w:rsidP="00FA0D37">
      <w:pPr>
        <w:pStyle w:val="PL"/>
        <w:rPr>
          <w:rFonts w:eastAsia="MS Mincho"/>
        </w:rPr>
      </w:pPr>
      <w:r w:rsidRPr="00FA0D37">
        <w:lastRenderedPageBreak/>
        <w:t xml:space="preserve">    </w:t>
      </w:r>
      <w:r w:rsidRPr="00FA0D37">
        <w:rPr>
          <w:rFonts w:eastAsia="MS Mincho"/>
        </w:rPr>
        <w:t xml:space="preserve">remoteUE-PathSwitchToIdleInactiveRelay-r17    </w:t>
      </w:r>
      <w:r w:rsidRPr="00FA0D37">
        <w:rPr>
          <w:rFonts w:eastAsia="MS Mincho"/>
          <w:color w:val="993366"/>
        </w:rPr>
        <w:t>ENUMERATED</w:t>
      </w:r>
      <w:r w:rsidRPr="00FA0D37">
        <w:rPr>
          <w:rFonts w:eastAsia="MS Mincho"/>
        </w:rPr>
        <w:t xml:space="preserve"> {supported}                                 </w:t>
      </w:r>
      <w:r w:rsidRPr="00FA0D37">
        <w:rPr>
          <w:rFonts w:eastAsia="MS Mincho"/>
          <w:color w:val="993366"/>
        </w:rPr>
        <w:t>OPTIONAL</w:t>
      </w:r>
      <w:r w:rsidRPr="00FA0D37">
        <w:rPr>
          <w:rFonts w:eastAsia="MS Mincho"/>
        </w:rPr>
        <w:t>,</w:t>
      </w:r>
    </w:p>
    <w:p w14:paraId="1C974B15" w14:textId="5EFD663E" w:rsidR="00721523" w:rsidRPr="00FA0D37" w:rsidRDefault="00721523" w:rsidP="00FA0D37">
      <w:pPr>
        <w:pStyle w:val="PL"/>
        <w:rPr>
          <w:rFonts w:eastAsia="MS Mincho"/>
        </w:rPr>
      </w:pPr>
      <w:r w:rsidRPr="00FA0D37">
        <w:t xml:space="preserve">    </w:t>
      </w:r>
      <w:r w:rsidRPr="00FA0D37">
        <w:rPr>
          <w:rFonts w:eastAsia="MS Mincho"/>
        </w:rPr>
        <w:t>...</w:t>
      </w:r>
    </w:p>
    <w:p w14:paraId="55F096D9" w14:textId="732821FE" w:rsidR="00394471" w:rsidRPr="00FA0D37" w:rsidRDefault="00721523" w:rsidP="00FA0D37">
      <w:pPr>
        <w:pStyle w:val="PL"/>
        <w:rPr>
          <w:rFonts w:eastAsia="MS Mincho"/>
        </w:rPr>
      </w:pPr>
      <w:r w:rsidRPr="00FA0D37">
        <w:rPr>
          <w:rFonts w:eastAsia="MS Mincho"/>
        </w:rPr>
        <w:t>}</w:t>
      </w:r>
    </w:p>
    <w:p w14:paraId="09D7E118" w14:textId="77777777" w:rsidR="00394471" w:rsidRPr="00FA0D37" w:rsidRDefault="00394471" w:rsidP="00FA0D37">
      <w:pPr>
        <w:pStyle w:val="PL"/>
        <w:rPr>
          <w:rFonts w:eastAsia="MS Mincho"/>
        </w:rPr>
      </w:pPr>
    </w:p>
    <w:p w14:paraId="39E31C87" w14:textId="77777777" w:rsidR="00394471" w:rsidRPr="00FA0D37" w:rsidRDefault="00394471" w:rsidP="00FA0D37">
      <w:pPr>
        <w:pStyle w:val="PL"/>
        <w:rPr>
          <w:rFonts w:eastAsia="MS Mincho"/>
          <w:color w:val="808080"/>
        </w:rPr>
      </w:pPr>
      <w:r w:rsidRPr="00FA0D37">
        <w:rPr>
          <w:rFonts w:eastAsia="MS Mincho"/>
          <w:color w:val="808080"/>
        </w:rPr>
        <w:t>-- TAG-SIDELINKPARAMETERS-STOP</w:t>
      </w:r>
    </w:p>
    <w:p w14:paraId="58CA3378" w14:textId="77777777" w:rsidR="00394471" w:rsidRPr="00FA0D37" w:rsidRDefault="00394471" w:rsidP="00FA0D37">
      <w:pPr>
        <w:pStyle w:val="PL"/>
        <w:rPr>
          <w:rFonts w:eastAsia="MS Mincho"/>
          <w:color w:val="808080"/>
          <w:lang w:eastAsia="sv-SE"/>
        </w:rPr>
      </w:pPr>
      <w:r w:rsidRPr="00FA0D37">
        <w:rPr>
          <w:rFonts w:eastAsia="MS Mincho"/>
          <w:color w:val="808080"/>
        </w:rPr>
        <w:t>-- ASN1STOP</w:t>
      </w:r>
    </w:p>
    <w:p w14:paraId="602566EC" w14:textId="77777777" w:rsidR="00394471" w:rsidRPr="00FA0D37" w:rsidRDefault="00394471" w:rsidP="00394471">
      <w:pPr>
        <w:rPr>
          <w:rFonts w:eastAsiaTheme="minorEastAsia"/>
        </w:rPr>
      </w:pPr>
    </w:p>
    <w:tbl>
      <w:tblPr>
        <w:tblW w:w="0" w:type="auto"/>
        <w:tblLook w:val="04A0" w:firstRow="1" w:lastRow="0" w:firstColumn="1" w:lastColumn="0" w:noHBand="0" w:noVBand="1"/>
      </w:tblPr>
      <w:tblGrid>
        <w:gridCol w:w="14281"/>
      </w:tblGrid>
      <w:tr w:rsidR="005C7FF4" w:rsidRPr="00FA0D37" w14:paraId="58BAFBB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EA4DE5" w14:textId="77777777" w:rsidR="00394471" w:rsidRPr="00FA0D37" w:rsidRDefault="00394471" w:rsidP="00964CC4">
            <w:pPr>
              <w:pStyle w:val="TAH"/>
              <w:rPr>
                <w:rFonts w:eastAsiaTheme="minorEastAsia"/>
                <w:lang w:eastAsia="sv-SE"/>
              </w:rPr>
            </w:pPr>
            <w:r w:rsidRPr="00FA0D37">
              <w:rPr>
                <w:rFonts w:eastAsiaTheme="minorEastAsia"/>
                <w:i/>
                <w:iCs/>
                <w:lang w:eastAsia="sv-SE"/>
              </w:rPr>
              <w:t>SidelinkParametersEUTRA</w:t>
            </w:r>
            <w:r w:rsidRPr="00FA0D37">
              <w:rPr>
                <w:rFonts w:eastAsiaTheme="minorEastAsia"/>
                <w:lang w:eastAsia="sv-SE"/>
              </w:rPr>
              <w:t xml:space="preserve"> field descriptions</w:t>
            </w:r>
          </w:p>
        </w:tc>
      </w:tr>
      <w:tr w:rsidR="00D27132" w:rsidRPr="00FA0D37" w14:paraId="6A32A2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8579E28" w14:textId="77777777" w:rsidR="00394471" w:rsidRPr="00FA0D37" w:rsidRDefault="00394471" w:rsidP="00964CC4">
            <w:pPr>
              <w:pStyle w:val="TAL"/>
              <w:rPr>
                <w:rFonts w:eastAsiaTheme="minorEastAsia"/>
                <w:b/>
                <w:i/>
                <w:lang w:eastAsia="sv-SE"/>
              </w:rPr>
            </w:pPr>
            <w:r w:rsidRPr="00FA0D37">
              <w:rPr>
                <w:rFonts w:eastAsiaTheme="minorEastAsia"/>
                <w:b/>
                <w:i/>
                <w:lang w:eastAsia="sv-SE"/>
              </w:rPr>
              <w:t>sl-ParametersEUTRA1, sl-ParametersEUTRA2, sl-ParametersEUTRA3</w:t>
            </w:r>
          </w:p>
          <w:p w14:paraId="745B35FA" w14:textId="77777777" w:rsidR="00394471" w:rsidRPr="00FA0D37" w:rsidRDefault="00394471" w:rsidP="00964CC4">
            <w:pPr>
              <w:pStyle w:val="TAL"/>
              <w:rPr>
                <w:rFonts w:eastAsiaTheme="minorEastAsia"/>
                <w:lang w:eastAsia="sv-SE"/>
              </w:rPr>
            </w:pPr>
            <w:r w:rsidRPr="00FA0D37">
              <w:rPr>
                <w:rFonts w:eastAsiaTheme="minorEastAsia"/>
                <w:lang w:eastAsia="sv-SE"/>
              </w:rPr>
              <w:t xml:space="preserve">This field includes IE of </w:t>
            </w:r>
            <w:r w:rsidRPr="00FA0D37">
              <w:rPr>
                <w:rFonts w:eastAsiaTheme="minorEastAsia"/>
                <w:i/>
                <w:lang w:eastAsia="sv-SE"/>
              </w:rPr>
              <w:t>SL-Parameters-v1430</w:t>
            </w:r>
            <w:r w:rsidRPr="00FA0D37">
              <w:rPr>
                <w:rFonts w:eastAsiaTheme="minorEastAsia"/>
                <w:lang w:eastAsia="sv-SE"/>
              </w:rPr>
              <w:t xml:space="preserve"> (where </w:t>
            </w:r>
            <w:r w:rsidRPr="00FA0D37">
              <w:rPr>
                <w:rFonts w:eastAsiaTheme="minorEastAsia"/>
                <w:i/>
                <w:lang w:eastAsia="sv-SE"/>
              </w:rPr>
              <w:t>v2x-eNB-Scheduled-r14</w:t>
            </w:r>
            <w:r w:rsidRPr="00FA0D37">
              <w:rPr>
                <w:rFonts w:eastAsiaTheme="minorEastAsia"/>
                <w:lang w:eastAsia="sv-SE"/>
              </w:rPr>
              <w:t xml:space="preserve"> and </w:t>
            </w:r>
            <w:r w:rsidRPr="00FA0D37">
              <w:rPr>
                <w:rFonts w:eastAsiaTheme="minorEastAsia"/>
                <w:i/>
                <w:lang w:eastAsia="sv-SE"/>
              </w:rPr>
              <w:t>V2X-SupportedBandCombination-r14</w:t>
            </w:r>
            <w:r w:rsidRPr="00FA0D37">
              <w:rPr>
                <w:rFonts w:eastAsiaTheme="minorEastAsia"/>
                <w:lang w:eastAsia="sv-SE"/>
              </w:rPr>
              <w:t xml:space="preserve"> shall not be included), </w:t>
            </w:r>
            <w:r w:rsidRPr="00FA0D37">
              <w:rPr>
                <w:rFonts w:eastAsiaTheme="minorEastAsia"/>
                <w:i/>
                <w:lang w:eastAsia="sv-SE"/>
              </w:rPr>
              <w:t>SL-Parameters-v1530</w:t>
            </w:r>
            <w:r w:rsidRPr="00FA0D37">
              <w:rPr>
                <w:rFonts w:eastAsiaTheme="minorEastAsia"/>
                <w:lang w:eastAsia="sv-SE"/>
              </w:rPr>
              <w:t xml:space="preserve"> (where </w:t>
            </w:r>
            <w:r w:rsidRPr="00FA0D37">
              <w:rPr>
                <w:rFonts w:eastAsiaTheme="minorEastAsia"/>
                <w:i/>
                <w:lang w:eastAsia="sv-SE"/>
              </w:rPr>
              <w:t>V2X-SupportedBandCombination-r1530</w:t>
            </w:r>
            <w:r w:rsidRPr="00FA0D37">
              <w:rPr>
                <w:rFonts w:eastAsiaTheme="minorEastAsia"/>
                <w:lang w:eastAsia="sv-SE"/>
              </w:rPr>
              <w:t xml:space="preserve"> shall not be included) and </w:t>
            </w:r>
            <w:r w:rsidRPr="00FA0D37">
              <w:rPr>
                <w:rFonts w:eastAsiaTheme="minorEastAsia"/>
                <w:i/>
                <w:lang w:eastAsia="sv-SE"/>
              </w:rPr>
              <w:t>SL-Parameters-v1540</w:t>
            </w:r>
            <w:r w:rsidRPr="00FA0D37">
              <w:rPr>
                <w:rFonts w:eastAsiaTheme="minorEastAsia"/>
                <w:lang w:eastAsia="sv-SE"/>
              </w:rPr>
              <w:t xml:space="preserve"> respectively defined in 36.331 [10]. It is used for reporting the per-UE capability for V2X sidelink communication.</w:t>
            </w:r>
          </w:p>
        </w:tc>
      </w:tr>
    </w:tbl>
    <w:p w14:paraId="339754DC" w14:textId="405F5533" w:rsidR="00394471" w:rsidRPr="00FA0D37" w:rsidRDefault="00394471" w:rsidP="00394471">
      <w:pPr>
        <w:rPr>
          <w:rFonts w:eastAsiaTheme="minorEastAsia"/>
        </w:rPr>
      </w:pPr>
    </w:p>
    <w:p w14:paraId="7D470F7A" w14:textId="48A61AA5" w:rsidR="00B55A01" w:rsidRPr="00FA0D37" w:rsidRDefault="00B55A01" w:rsidP="00201FDD">
      <w:pPr>
        <w:pStyle w:val="4"/>
        <w:rPr>
          <w:i/>
          <w:iCs/>
        </w:rPr>
      </w:pPr>
      <w:bookmarkStart w:id="1618" w:name="_Toc146781587"/>
      <w:r w:rsidRPr="00FA0D37">
        <w:t>–</w:t>
      </w:r>
      <w:r w:rsidRPr="00FA0D37">
        <w:tab/>
      </w:r>
      <w:r w:rsidRPr="00FA0D37">
        <w:rPr>
          <w:i/>
          <w:iCs/>
        </w:rPr>
        <w:t>SimultaneousRxTxPerBandPair</w:t>
      </w:r>
      <w:bookmarkEnd w:id="1618"/>
    </w:p>
    <w:p w14:paraId="2A29BA40" w14:textId="77777777" w:rsidR="00B55A01" w:rsidRPr="00FA0D37" w:rsidRDefault="00B55A01" w:rsidP="00B55A01">
      <w:r w:rsidRPr="00FA0D37">
        <w:t xml:space="preserve">The IE </w:t>
      </w:r>
      <w:bookmarkStart w:id="1619" w:name="_Hlk80719536"/>
      <w:r w:rsidRPr="00FA0D37">
        <w:rPr>
          <w:i/>
        </w:rPr>
        <w:t>SimultaneousRxTxPerBandPair</w:t>
      </w:r>
      <w:r w:rsidRPr="00FA0D37">
        <w:t xml:space="preserve"> </w:t>
      </w:r>
      <w:bookmarkEnd w:id="1619"/>
      <w:r w:rsidRPr="00FA0D37">
        <w:t>contains the simultaneous Rx/Tx UE capability for each band pair in a band combination.</w:t>
      </w:r>
    </w:p>
    <w:p w14:paraId="1DDAF7B4" w14:textId="77777777" w:rsidR="00B55A01" w:rsidRPr="00FA0D37" w:rsidRDefault="00B55A01" w:rsidP="00B55A01">
      <w:pPr>
        <w:keepNext/>
        <w:keepLines/>
        <w:spacing w:before="60"/>
        <w:jc w:val="center"/>
        <w:rPr>
          <w:rFonts w:ascii="Arial" w:hAnsi="Arial"/>
          <w:b/>
          <w:lang w:eastAsia="x-none"/>
        </w:rPr>
      </w:pPr>
      <w:r w:rsidRPr="00FA0D37">
        <w:rPr>
          <w:rFonts w:ascii="Arial" w:hAnsi="Arial"/>
          <w:b/>
          <w:i/>
          <w:lang w:eastAsia="x-none"/>
        </w:rPr>
        <w:t>SimultaneousRxTxPerBandPair</w:t>
      </w:r>
      <w:r w:rsidRPr="00FA0D37">
        <w:rPr>
          <w:rFonts w:ascii="Arial" w:hAnsi="Arial"/>
          <w:b/>
          <w:lang w:eastAsia="x-none"/>
        </w:rPr>
        <w:t xml:space="preserve"> information element</w:t>
      </w:r>
    </w:p>
    <w:p w14:paraId="13CCEF43" w14:textId="77777777" w:rsidR="00204A0D" w:rsidRPr="00FA0D37" w:rsidRDefault="00204A0D" w:rsidP="00FA0D37">
      <w:pPr>
        <w:pStyle w:val="PL"/>
        <w:rPr>
          <w:color w:val="808080"/>
        </w:rPr>
      </w:pPr>
      <w:r w:rsidRPr="00FA0D37">
        <w:rPr>
          <w:color w:val="808080"/>
        </w:rPr>
        <w:t>-- ASN1START</w:t>
      </w:r>
    </w:p>
    <w:p w14:paraId="0BF0FC30" w14:textId="77777777" w:rsidR="00204A0D" w:rsidRPr="00FA0D37" w:rsidRDefault="00204A0D" w:rsidP="00FA0D37">
      <w:pPr>
        <w:pStyle w:val="PL"/>
        <w:rPr>
          <w:color w:val="808080"/>
        </w:rPr>
      </w:pPr>
      <w:r w:rsidRPr="00FA0D37">
        <w:rPr>
          <w:color w:val="808080"/>
        </w:rPr>
        <w:t>-- TAG-SIMULTANEOUSRXTXPERBANDPAIR-START</w:t>
      </w:r>
    </w:p>
    <w:p w14:paraId="37077855" w14:textId="77777777" w:rsidR="00204A0D" w:rsidRPr="00FA0D37" w:rsidRDefault="00204A0D" w:rsidP="00FA0D37">
      <w:pPr>
        <w:pStyle w:val="PL"/>
      </w:pPr>
    </w:p>
    <w:p w14:paraId="34A025E1" w14:textId="77777777" w:rsidR="00204A0D" w:rsidRPr="00FA0D37" w:rsidRDefault="00204A0D" w:rsidP="00FA0D37">
      <w:pPr>
        <w:pStyle w:val="PL"/>
      </w:pPr>
      <w:r w:rsidRPr="00FA0D37">
        <w:t xml:space="preserve">SimultaneousRxTxPerBandPair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(3..496))</w:t>
      </w:r>
    </w:p>
    <w:p w14:paraId="7ED9E9C6" w14:textId="77777777" w:rsidR="00204A0D" w:rsidRPr="00FA0D37" w:rsidRDefault="00204A0D" w:rsidP="00FA0D37">
      <w:pPr>
        <w:pStyle w:val="PL"/>
      </w:pPr>
    </w:p>
    <w:p w14:paraId="20FC7213" w14:textId="77777777" w:rsidR="00204A0D" w:rsidRPr="00FA0D37" w:rsidRDefault="00204A0D" w:rsidP="00FA0D37">
      <w:pPr>
        <w:pStyle w:val="PL"/>
        <w:rPr>
          <w:color w:val="808080"/>
        </w:rPr>
      </w:pPr>
      <w:r w:rsidRPr="00FA0D37">
        <w:rPr>
          <w:color w:val="808080"/>
        </w:rPr>
        <w:t>-- TAG-SIMULTANEOUSRXTXPERBANDPAIR-STOP</w:t>
      </w:r>
    </w:p>
    <w:p w14:paraId="6FF250CE" w14:textId="065C60DB" w:rsidR="00204A0D" w:rsidRPr="00FA0D37" w:rsidRDefault="00204A0D" w:rsidP="00FA0D37">
      <w:pPr>
        <w:pStyle w:val="PL"/>
        <w:rPr>
          <w:color w:val="808080"/>
        </w:rPr>
      </w:pPr>
      <w:r w:rsidRPr="00FA0D37">
        <w:rPr>
          <w:color w:val="808080"/>
        </w:rPr>
        <w:t>-- ASN1STOP</w:t>
      </w:r>
    </w:p>
    <w:p w14:paraId="24546690" w14:textId="77777777" w:rsidR="00B55A01" w:rsidRPr="00FA0D37" w:rsidRDefault="00B55A01" w:rsidP="00394471">
      <w:pPr>
        <w:rPr>
          <w:rFonts w:eastAsiaTheme="minorEastAsia"/>
        </w:rPr>
      </w:pPr>
    </w:p>
    <w:p w14:paraId="4F9F547D" w14:textId="2C7DE0B1" w:rsidR="00394471" w:rsidRPr="00FA0D37" w:rsidRDefault="00394471" w:rsidP="00394471">
      <w:pPr>
        <w:pStyle w:val="4"/>
      </w:pPr>
      <w:bookmarkStart w:id="1620" w:name="_Toc60777480"/>
      <w:bookmarkStart w:id="1621" w:name="_Toc146781588"/>
      <w:r w:rsidRPr="00FA0D37">
        <w:t>–</w:t>
      </w:r>
      <w:r w:rsidRPr="00FA0D37">
        <w:tab/>
      </w:r>
      <w:r w:rsidRPr="00FA0D37">
        <w:rPr>
          <w:i/>
        </w:rPr>
        <w:t>SON-Parameters</w:t>
      </w:r>
      <w:bookmarkEnd w:id="1620"/>
      <w:bookmarkEnd w:id="1621"/>
    </w:p>
    <w:p w14:paraId="2E790DB6" w14:textId="77777777" w:rsidR="00394471" w:rsidRPr="00FA0D37" w:rsidRDefault="00394471" w:rsidP="00394471">
      <w:r w:rsidRPr="00FA0D37">
        <w:t xml:space="preserve">The IE </w:t>
      </w:r>
      <w:r w:rsidRPr="00FA0D37">
        <w:rPr>
          <w:i/>
        </w:rPr>
        <w:t>SON-Parameters</w:t>
      </w:r>
      <w:r w:rsidRPr="00FA0D37">
        <w:t xml:space="preserve"> contains SON related parameters.</w:t>
      </w:r>
    </w:p>
    <w:p w14:paraId="750FD1D6" w14:textId="77777777" w:rsidR="00394471" w:rsidRPr="00FA0D37" w:rsidRDefault="00394471" w:rsidP="00394471">
      <w:pPr>
        <w:pStyle w:val="TH"/>
      </w:pPr>
      <w:r w:rsidRPr="00FA0D37">
        <w:rPr>
          <w:i/>
        </w:rPr>
        <w:t>SON-Parameters</w:t>
      </w:r>
      <w:r w:rsidRPr="00FA0D37">
        <w:t xml:space="preserve"> information element</w:t>
      </w:r>
    </w:p>
    <w:p w14:paraId="7AF1ECF5" w14:textId="77777777" w:rsidR="00394471" w:rsidRPr="00FA0D37" w:rsidRDefault="00394471" w:rsidP="00FA0D37">
      <w:pPr>
        <w:pStyle w:val="PL"/>
        <w:rPr>
          <w:color w:val="808080"/>
        </w:rPr>
      </w:pPr>
      <w:r w:rsidRPr="00FA0D37">
        <w:rPr>
          <w:color w:val="808080"/>
        </w:rPr>
        <w:t>-- ASN1START</w:t>
      </w:r>
    </w:p>
    <w:p w14:paraId="2E1C7AB3" w14:textId="77777777" w:rsidR="00394471" w:rsidRPr="00FA0D37" w:rsidRDefault="00394471" w:rsidP="00FA0D37">
      <w:pPr>
        <w:pStyle w:val="PL"/>
        <w:rPr>
          <w:color w:val="808080"/>
        </w:rPr>
      </w:pPr>
      <w:r w:rsidRPr="00FA0D37">
        <w:rPr>
          <w:color w:val="808080"/>
        </w:rPr>
        <w:t>-- TAG-SON-PARAMETERS-START</w:t>
      </w:r>
    </w:p>
    <w:p w14:paraId="159BFD12" w14:textId="77777777" w:rsidR="00394471" w:rsidRPr="00FA0D37" w:rsidRDefault="00394471" w:rsidP="00FA0D37">
      <w:pPr>
        <w:pStyle w:val="PL"/>
      </w:pPr>
    </w:p>
    <w:p w14:paraId="1C485F6D" w14:textId="77777777" w:rsidR="00394471" w:rsidRPr="00FA0D37" w:rsidRDefault="00394471" w:rsidP="00FA0D37">
      <w:pPr>
        <w:pStyle w:val="PL"/>
      </w:pPr>
      <w:r w:rsidRPr="00FA0D37">
        <w:t xml:space="preserve">SON-Parameters-r16 ::= </w:t>
      </w:r>
      <w:r w:rsidRPr="00FA0D37">
        <w:rPr>
          <w:color w:val="993366"/>
        </w:rPr>
        <w:t>SEQUENCE</w:t>
      </w:r>
      <w:r w:rsidRPr="00FA0D37">
        <w:t xml:space="preserve"> {</w:t>
      </w:r>
    </w:p>
    <w:p w14:paraId="1F81A1CE" w14:textId="77777777" w:rsidR="00394471" w:rsidRPr="00FA0D37" w:rsidRDefault="00394471" w:rsidP="00FA0D37">
      <w:pPr>
        <w:pStyle w:val="PL"/>
      </w:pPr>
      <w:r w:rsidRPr="00FA0D37">
        <w:t xml:space="preserve">    </w:t>
      </w:r>
      <w:r w:rsidRPr="00FA0D37">
        <w:rPr>
          <w:rFonts w:eastAsia="Batang"/>
        </w:rPr>
        <w:t>rach-Report-r16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30D127C9" w14:textId="7C088C7F" w:rsidR="00721523" w:rsidRPr="00FA0D37" w:rsidRDefault="00394471" w:rsidP="00FA0D37">
      <w:pPr>
        <w:pStyle w:val="PL"/>
      </w:pPr>
      <w:r w:rsidRPr="00FA0D37">
        <w:t xml:space="preserve">    ...</w:t>
      </w:r>
      <w:r w:rsidR="00721523" w:rsidRPr="00FA0D37">
        <w:t>,</w:t>
      </w:r>
    </w:p>
    <w:p w14:paraId="62F00AC1" w14:textId="77777777" w:rsidR="00721523" w:rsidRPr="00FA0D37" w:rsidRDefault="00721523" w:rsidP="00FA0D37">
      <w:pPr>
        <w:pStyle w:val="PL"/>
      </w:pPr>
      <w:r w:rsidRPr="00FA0D37">
        <w:t xml:space="preserve">    [[</w:t>
      </w:r>
    </w:p>
    <w:p w14:paraId="2DD98BEB" w14:textId="4F23CB9F" w:rsidR="00721523" w:rsidRPr="00FA0D37" w:rsidRDefault="00721523" w:rsidP="00FA0D37">
      <w:pPr>
        <w:pStyle w:val="PL"/>
      </w:pPr>
      <w:r w:rsidRPr="00FA0D37">
        <w:t xml:space="preserve">    rlfReportCHO-r17       </w:t>
      </w:r>
      <w:r w:rsidRPr="00FA0D37">
        <w:rPr>
          <w:color w:val="993366"/>
        </w:rPr>
        <w:t>ENUMERATED</w:t>
      </w:r>
      <w:r w:rsidRPr="00FA0D37">
        <w:t xml:space="preserve"> {supported}    </w:t>
      </w:r>
      <w:r w:rsidRPr="00FA0D37">
        <w:rPr>
          <w:color w:val="993366"/>
        </w:rPr>
        <w:t>OPTIONAL</w:t>
      </w:r>
      <w:r w:rsidRPr="00FA0D37">
        <w:t>,</w:t>
      </w:r>
    </w:p>
    <w:p w14:paraId="0DD98F3D" w14:textId="10A82F33" w:rsidR="00721523" w:rsidRPr="00FA0D37" w:rsidRDefault="00721523" w:rsidP="00FA0D37">
      <w:pPr>
        <w:pStyle w:val="PL"/>
      </w:pPr>
      <w:r w:rsidRPr="00FA0D37">
        <w:t xml:space="preserve">    rlfReportDAPS-r17      </w:t>
      </w:r>
      <w:r w:rsidRPr="00FA0D37">
        <w:rPr>
          <w:color w:val="993366"/>
        </w:rPr>
        <w:t>ENUMERATED</w:t>
      </w:r>
      <w:r w:rsidRPr="00FA0D37">
        <w:t xml:space="preserve"> {supported}    </w:t>
      </w:r>
      <w:r w:rsidRPr="00FA0D37">
        <w:rPr>
          <w:color w:val="993366"/>
        </w:rPr>
        <w:t>OPTIONAL</w:t>
      </w:r>
      <w:r w:rsidRPr="00FA0D37">
        <w:t>,</w:t>
      </w:r>
    </w:p>
    <w:p w14:paraId="6E58DAF8" w14:textId="485F3BE8" w:rsidR="00721523" w:rsidRPr="00FA0D37" w:rsidRDefault="00721523" w:rsidP="00FA0D37">
      <w:pPr>
        <w:pStyle w:val="PL"/>
      </w:pPr>
      <w:r w:rsidRPr="00FA0D37">
        <w:t xml:space="preserve">    success-HO-Report-r17  </w:t>
      </w:r>
      <w:r w:rsidRPr="00FA0D37">
        <w:rPr>
          <w:color w:val="993366"/>
        </w:rPr>
        <w:t>ENUMERATED</w:t>
      </w:r>
      <w:r w:rsidRPr="00FA0D37">
        <w:t xml:space="preserve"> {supported}    </w:t>
      </w:r>
      <w:r w:rsidRPr="00FA0D37">
        <w:rPr>
          <w:color w:val="993366"/>
        </w:rPr>
        <w:t>OPTIONAL</w:t>
      </w:r>
      <w:r w:rsidRPr="00FA0D37">
        <w:t>,</w:t>
      </w:r>
    </w:p>
    <w:p w14:paraId="61D544B1" w14:textId="3F7C8EE5" w:rsidR="00721523" w:rsidRPr="00FA0D37" w:rsidRDefault="00721523" w:rsidP="00FA0D37">
      <w:pPr>
        <w:pStyle w:val="PL"/>
      </w:pPr>
      <w:r w:rsidRPr="00FA0D37">
        <w:t xml:space="preserve">    twoStepRACH-Report-r17 </w:t>
      </w:r>
      <w:r w:rsidRPr="00FA0D37">
        <w:rPr>
          <w:color w:val="993366"/>
        </w:rPr>
        <w:t>ENUMERATED</w:t>
      </w:r>
      <w:r w:rsidRPr="00FA0D37">
        <w:t xml:space="preserve"> {supported}    </w:t>
      </w:r>
      <w:r w:rsidRPr="00FA0D37">
        <w:rPr>
          <w:color w:val="993366"/>
        </w:rPr>
        <w:t>OPTIONAL</w:t>
      </w:r>
      <w:r w:rsidRPr="00FA0D37">
        <w:t>,</w:t>
      </w:r>
    </w:p>
    <w:p w14:paraId="4DB92A05" w14:textId="6CA7EA24" w:rsidR="00721523" w:rsidRPr="00FA0D37" w:rsidRDefault="00721523" w:rsidP="00FA0D37">
      <w:pPr>
        <w:pStyle w:val="PL"/>
      </w:pPr>
      <w:r w:rsidRPr="00FA0D37">
        <w:lastRenderedPageBreak/>
        <w:t xml:space="preserve">    pscell-MHI-Report-r17  </w:t>
      </w:r>
      <w:r w:rsidRPr="00FA0D37">
        <w:rPr>
          <w:color w:val="993366"/>
        </w:rPr>
        <w:t>ENUMERATED</w:t>
      </w:r>
      <w:r w:rsidRPr="00FA0D37">
        <w:t xml:space="preserve"> {supported}    </w:t>
      </w:r>
      <w:r w:rsidRPr="00FA0D37">
        <w:rPr>
          <w:color w:val="993366"/>
        </w:rPr>
        <w:t>OPTIONAL</w:t>
      </w:r>
      <w:r w:rsidRPr="00FA0D37">
        <w:t>,</w:t>
      </w:r>
    </w:p>
    <w:p w14:paraId="538DD4FC" w14:textId="5DF92575" w:rsidR="00721523" w:rsidRPr="00FA0D37" w:rsidRDefault="00721523" w:rsidP="00FA0D37">
      <w:pPr>
        <w:pStyle w:val="PL"/>
      </w:pPr>
      <w:r w:rsidRPr="00FA0D37">
        <w:t xml:space="preserve">    onDemandSI-Report-r17  </w:t>
      </w:r>
      <w:r w:rsidRPr="00FA0D37">
        <w:rPr>
          <w:color w:val="993366"/>
        </w:rPr>
        <w:t>ENUMERATED</w:t>
      </w:r>
      <w:r w:rsidRPr="00FA0D37">
        <w:t xml:space="preserve"> {supported}    </w:t>
      </w:r>
      <w:r w:rsidRPr="00FA0D37">
        <w:rPr>
          <w:color w:val="993366"/>
        </w:rPr>
        <w:t>OPTIONAL</w:t>
      </w:r>
    </w:p>
    <w:p w14:paraId="4B292112" w14:textId="0330B938" w:rsidR="00394471" w:rsidRPr="00FA0D37" w:rsidRDefault="00721523" w:rsidP="00FA0D37">
      <w:pPr>
        <w:pStyle w:val="PL"/>
      </w:pPr>
      <w:r w:rsidRPr="00FA0D37">
        <w:t xml:space="preserve">    ]]</w:t>
      </w:r>
    </w:p>
    <w:p w14:paraId="03E68317" w14:textId="77777777" w:rsidR="00394471" w:rsidRPr="00FA0D37" w:rsidRDefault="00394471" w:rsidP="00FA0D37">
      <w:pPr>
        <w:pStyle w:val="PL"/>
      </w:pPr>
      <w:r w:rsidRPr="00FA0D37">
        <w:t>}</w:t>
      </w:r>
    </w:p>
    <w:p w14:paraId="3D3FAAC6" w14:textId="77777777" w:rsidR="00394471" w:rsidRPr="00FA0D37" w:rsidRDefault="00394471" w:rsidP="00FA0D37">
      <w:pPr>
        <w:pStyle w:val="PL"/>
      </w:pPr>
    </w:p>
    <w:p w14:paraId="4E874838" w14:textId="77777777" w:rsidR="00394471" w:rsidRPr="00FA0D37" w:rsidRDefault="00394471" w:rsidP="00FA0D37">
      <w:pPr>
        <w:pStyle w:val="PL"/>
        <w:rPr>
          <w:color w:val="808080"/>
        </w:rPr>
      </w:pPr>
      <w:r w:rsidRPr="00FA0D37">
        <w:rPr>
          <w:color w:val="808080"/>
        </w:rPr>
        <w:t>-- TAG-SON-PARAMETERS-STOP</w:t>
      </w:r>
    </w:p>
    <w:p w14:paraId="36EA6177" w14:textId="77777777" w:rsidR="00394471" w:rsidRPr="00FA0D37" w:rsidRDefault="00394471" w:rsidP="00FA0D37">
      <w:pPr>
        <w:pStyle w:val="PL"/>
        <w:rPr>
          <w:color w:val="808080"/>
        </w:rPr>
      </w:pPr>
      <w:r w:rsidRPr="00FA0D37">
        <w:rPr>
          <w:color w:val="808080"/>
        </w:rPr>
        <w:t>-- ASN1STOP</w:t>
      </w:r>
    </w:p>
    <w:p w14:paraId="58A9D2E4" w14:textId="77777777" w:rsidR="00394471" w:rsidRPr="00FA0D37" w:rsidRDefault="00394471" w:rsidP="00394471"/>
    <w:p w14:paraId="060C6BAB" w14:textId="0519A80C" w:rsidR="00394471" w:rsidRPr="00FA0D37" w:rsidRDefault="00394471" w:rsidP="00394471">
      <w:pPr>
        <w:pStyle w:val="4"/>
        <w:rPr>
          <w:rFonts w:eastAsiaTheme="minorEastAsia"/>
        </w:rPr>
      </w:pPr>
      <w:bookmarkStart w:id="1622" w:name="_Toc60777481"/>
      <w:bookmarkStart w:id="1623" w:name="_Toc146781589"/>
      <w:r w:rsidRPr="00FA0D37">
        <w:t>–</w:t>
      </w:r>
      <w:r w:rsidRPr="00FA0D37">
        <w:tab/>
      </w:r>
      <w:r w:rsidRPr="00FA0D37">
        <w:rPr>
          <w:i/>
        </w:rPr>
        <w:t>SpatialRelationsSRS-Pos</w:t>
      </w:r>
      <w:bookmarkEnd w:id="1622"/>
      <w:bookmarkEnd w:id="1623"/>
    </w:p>
    <w:p w14:paraId="258B35BF" w14:textId="77777777" w:rsidR="00394471" w:rsidRPr="00FA0D37" w:rsidRDefault="00394471" w:rsidP="00394471">
      <w:pPr>
        <w:rPr>
          <w:rFonts w:eastAsiaTheme="minorEastAsia"/>
        </w:rPr>
      </w:pPr>
      <w:r w:rsidRPr="00FA0D37">
        <w:rPr>
          <w:rFonts w:eastAsiaTheme="minorEastAsia"/>
        </w:rPr>
        <w:t xml:space="preserve">The IE </w:t>
      </w:r>
      <w:r w:rsidRPr="00FA0D37">
        <w:rPr>
          <w:rFonts w:eastAsiaTheme="minorEastAsia"/>
          <w:i/>
        </w:rPr>
        <w:t xml:space="preserve">SpatialRelationsSRS-Pos </w:t>
      </w:r>
      <w:r w:rsidRPr="00FA0D37">
        <w:rPr>
          <w:rFonts w:eastAsiaTheme="minorEastAsia"/>
        </w:rPr>
        <w:t>is used to convey spatial relation for SRS for positioning related parameters.</w:t>
      </w:r>
    </w:p>
    <w:p w14:paraId="6899A3D2" w14:textId="77777777" w:rsidR="00394471" w:rsidRPr="00FA0D37" w:rsidRDefault="00394471" w:rsidP="00394471">
      <w:pPr>
        <w:pStyle w:val="TH"/>
        <w:rPr>
          <w:rFonts w:eastAsiaTheme="minorEastAsia"/>
          <w:bCs/>
          <w:i/>
          <w:iCs/>
        </w:rPr>
      </w:pPr>
      <w:r w:rsidRPr="00FA0D37">
        <w:rPr>
          <w:rFonts w:eastAsiaTheme="minorEastAsia"/>
          <w:bCs/>
          <w:i/>
          <w:iCs/>
        </w:rPr>
        <w:t xml:space="preserve">SpatialRelationsSRS-Pos </w:t>
      </w:r>
      <w:r w:rsidRPr="00FA0D37">
        <w:rPr>
          <w:rFonts w:eastAsiaTheme="minorEastAsia"/>
          <w:bCs/>
          <w:iCs/>
        </w:rPr>
        <w:t>information element</w:t>
      </w:r>
    </w:p>
    <w:p w14:paraId="692E9B69" w14:textId="77777777" w:rsidR="00394471" w:rsidRPr="00FA0D37" w:rsidRDefault="00394471" w:rsidP="00FA0D37">
      <w:pPr>
        <w:pStyle w:val="PL"/>
        <w:rPr>
          <w:rFonts w:eastAsiaTheme="minorEastAsia"/>
          <w:color w:val="808080"/>
        </w:rPr>
      </w:pPr>
      <w:r w:rsidRPr="00FA0D37">
        <w:rPr>
          <w:rFonts w:eastAsiaTheme="minorEastAsia"/>
          <w:color w:val="808080"/>
        </w:rPr>
        <w:t>-- ASN1START</w:t>
      </w:r>
    </w:p>
    <w:p w14:paraId="3C0CE91B" w14:textId="77777777" w:rsidR="00394471" w:rsidRPr="00FA0D37" w:rsidRDefault="00394471" w:rsidP="00FA0D37">
      <w:pPr>
        <w:pStyle w:val="PL"/>
        <w:rPr>
          <w:rFonts w:eastAsiaTheme="minorEastAsia"/>
          <w:color w:val="808080"/>
        </w:rPr>
      </w:pPr>
      <w:r w:rsidRPr="00FA0D37">
        <w:rPr>
          <w:rFonts w:eastAsiaTheme="minorEastAsia"/>
          <w:color w:val="808080"/>
        </w:rPr>
        <w:t>-- TAG-SPATIALRELATIONSSRS-POS-START</w:t>
      </w:r>
    </w:p>
    <w:p w14:paraId="5657821B" w14:textId="77777777" w:rsidR="00394471" w:rsidRPr="00FA0D37" w:rsidRDefault="00394471" w:rsidP="00FA0D37">
      <w:pPr>
        <w:pStyle w:val="PL"/>
      </w:pPr>
    </w:p>
    <w:p w14:paraId="762722B7" w14:textId="77777777" w:rsidR="00394471" w:rsidRPr="00FA0D37" w:rsidRDefault="00394471" w:rsidP="00FA0D37">
      <w:pPr>
        <w:pStyle w:val="PL"/>
      </w:pPr>
      <w:r w:rsidRPr="00FA0D37">
        <w:t xml:space="preserve">SpatialRelationsSRS-Pos-r16 ::=                    </w:t>
      </w:r>
      <w:r w:rsidRPr="00FA0D37">
        <w:rPr>
          <w:color w:val="993366"/>
        </w:rPr>
        <w:t>SEQUENCE</w:t>
      </w:r>
      <w:r w:rsidRPr="00FA0D37">
        <w:t xml:space="preserve"> {</w:t>
      </w:r>
    </w:p>
    <w:p w14:paraId="566BCFAC" w14:textId="77777777" w:rsidR="00394471" w:rsidRPr="00FA0D37" w:rsidRDefault="00394471" w:rsidP="00FA0D37">
      <w:pPr>
        <w:pStyle w:val="PL"/>
        <w:rPr>
          <w:rFonts w:eastAsiaTheme="minorEastAsia"/>
        </w:rPr>
      </w:pPr>
      <w:r w:rsidRPr="00FA0D37">
        <w:t xml:space="preserve">    </w:t>
      </w:r>
      <w:r w:rsidRPr="00FA0D37">
        <w:rPr>
          <w:rFonts w:eastAsiaTheme="minorEastAsia"/>
        </w:rPr>
        <w:t>spatialRelation-SRS-PosBasedOnSSB-Serving-r16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010AE9CE" w14:textId="77777777" w:rsidR="00394471" w:rsidRPr="00FA0D37" w:rsidRDefault="00394471" w:rsidP="00FA0D37">
      <w:pPr>
        <w:pStyle w:val="PL"/>
        <w:rPr>
          <w:rFonts w:eastAsiaTheme="minorEastAsia"/>
        </w:rPr>
      </w:pPr>
      <w:r w:rsidRPr="00FA0D37">
        <w:t xml:space="preserve">    </w:t>
      </w:r>
      <w:r w:rsidRPr="00FA0D37">
        <w:rPr>
          <w:rFonts w:eastAsiaTheme="minorEastAsia"/>
        </w:rPr>
        <w:t>spatialRelation-SRS-PosBasedOnCSI-RS-Serving-r16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1AB84207" w14:textId="77777777" w:rsidR="00394471" w:rsidRPr="00FA0D37" w:rsidRDefault="00394471" w:rsidP="00FA0D37">
      <w:pPr>
        <w:pStyle w:val="PL"/>
        <w:rPr>
          <w:rFonts w:eastAsiaTheme="minorEastAsia"/>
        </w:rPr>
      </w:pPr>
      <w:r w:rsidRPr="00FA0D37">
        <w:t xml:space="preserve">    </w:t>
      </w:r>
      <w:r w:rsidRPr="00FA0D37">
        <w:rPr>
          <w:rFonts w:eastAsiaTheme="minorEastAsia"/>
        </w:rPr>
        <w:t>spatialRelation-SRS-PosBasedOnPRS-Serving-r16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29C9D73E" w14:textId="77777777" w:rsidR="00394471" w:rsidRPr="00FA0D37" w:rsidRDefault="00394471" w:rsidP="00FA0D37">
      <w:pPr>
        <w:pStyle w:val="PL"/>
        <w:rPr>
          <w:rFonts w:eastAsiaTheme="minorEastAsia"/>
        </w:rPr>
      </w:pPr>
      <w:r w:rsidRPr="00FA0D37">
        <w:t xml:space="preserve">    </w:t>
      </w:r>
      <w:r w:rsidRPr="00FA0D37">
        <w:rPr>
          <w:rFonts w:eastAsiaTheme="minorEastAsia"/>
        </w:rPr>
        <w:t>spatialRelation-SRS-PosBasedOnSRS-r16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3F533C8E" w14:textId="77777777" w:rsidR="00394471" w:rsidRPr="00FA0D37" w:rsidRDefault="00394471" w:rsidP="00FA0D37">
      <w:pPr>
        <w:pStyle w:val="PL"/>
        <w:rPr>
          <w:rFonts w:eastAsiaTheme="minorEastAsia"/>
        </w:rPr>
      </w:pPr>
      <w:r w:rsidRPr="00FA0D37">
        <w:t xml:space="preserve">    </w:t>
      </w:r>
      <w:r w:rsidRPr="00FA0D37">
        <w:rPr>
          <w:rFonts w:eastAsiaTheme="minorEastAsia"/>
        </w:rPr>
        <w:t>spatialRelation-SRS-PosBasedOnSSB-Neigh-r16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7746D94E" w14:textId="77777777" w:rsidR="00394471" w:rsidRPr="00FA0D37" w:rsidRDefault="00394471" w:rsidP="00FA0D37">
      <w:pPr>
        <w:pStyle w:val="PL"/>
        <w:rPr>
          <w:rFonts w:eastAsiaTheme="minorEastAsia"/>
        </w:rPr>
      </w:pPr>
      <w:r w:rsidRPr="00FA0D37">
        <w:t xml:space="preserve">    </w:t>
      </w:r>
      <w:r w:rsidRPr="00FA0D37">
        <w:rPr>
          <w:rFonts w:eastAsiaTheme="minorEastAsia"/>
        </w:rPr>
        <w:t>spatialRelation-SRS-PosBasedOnPRS-Neigh-r16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p>
    <w:p w14:paraId="740B7307" w14:textId="77777777" w:rsidR="00394471" w:rsidRPr="00FA0D37" w:rsidRDefault="00394471" w:rsidP="00FA0D37">
      <w:pPr>
        <w:pStyle w:val="PL"/>
      </w:pPr>
      <w:r w:rsidRPr="00FA0D37">
        <w:t>}</w:t>
      </w:r>
    </w:p>
    <w:p w14:paraId="7648D0BF" w14:textId="77777777" w:rsidR="00394471" w:rsidRPr="00FA0D37" w:rsidRDefault="00394471" w:rsidP="00FA0D37">
      <w:pPr>
        <w:pStyle w:val="PL"/>
      </w:pPr>
    </w:p>
    <w:p w14:paraId="627D1D4E" w14:textId="77777777" w:rsidR="00394471" w:rsidRPr="00FA0D37" w:rsidRDefault="00394471" w:rsidP="00FA0D37">
      <w:pPr>
        <w:pStyle w:val="PL"/>
        <w:rPr>
          <w:rFonts w:eastAsiaTheme="minorEastAsia"/>
          <w:color w:val="808080"/>
        </w:rPr>
      </w:pPr>
      <w:r w:rsidRPr="00FA0D37">
        <w:rPr>
          <w:rFonts w:eastAsiaTheme="minorEastAsia"/>
          <w:color w:val="808080"/>
        </w:rPr>
        <w:t>--TAG-SPATIALRELATIONSSRS-POS-STOP</w:t>
      </w:r>
    </w:p>
    <w:p w14:paraId="74DA2528" w14:textId="77777777" w:rsidR="00394471" w:rsidRPr="00FA0D37" w:rsidRDefault="00394471" w:rsidP="00FA0D37">
      <w:pPr>
        <w:pStyle w:val="PL"/>
        <w:rPr>
          <w:rFonts w:eastAsiaTheme="minorEastAsia"/>
          <w:color w:val="808080"/>
          <w:lang w:eastAsia="ja-JP"/>
        </w:rPr>
      </w:pPr>
      <w:r w:rsidRPr="00FA0D37">
        <w:rPr>
          <w:rFonts w:eastAsiaTheme="minorEastAsia"/>
          <w:color w:val="808080"/>
        </w:rPr>
        <w:t>-- ASN1STOP</w:t>
      </w:r>
    </w:p>
    <w:p w14:paraId="6FD057FB" w14:textId="41A0D6B1" w:rsidR="00394471" w:rsidRPr="00FA0D37" w:rsidRDefault="00394471" w:rsidP="00394471"/>
    <w:p w14:paraId="36EB6F82" w14:textId="77777777" w:rsidR="00F747EB" w:rsidRPr="00FA0D37" w:rsidRDefault="002C7704" w:rsidP="00F747EB">
      <w:pPr>
        <w:pStyle w:val="4"/>
        <w:rPr>
          <w:rFonts w:eastAsia="Yu Mincho"/>
          <w:i/>
          <w:iCs/>
        </w:rPr>
      </w:pPr>
      <w:bookmarkStart w:id="1624" w:name="_Toc146781590"/>
      <w:r w:rsidRPr="00FA0D37">
        <w:t>–</w:t>
      </w:r>
      <w:r w:rsidRPr="00FA0D37">
        <w:tab/>
      </w:r>
      <w:r w:rsidRPr="00FA0D37">
        <w:rPr>
          <w:i/>
          <w:iCs/>
        </w:rPr>
        <w:t>SRS-AllPosResourcesRRC-Inactive</w:t>
      </w:r>
      <w:bookmarkEnd w:id="1624"/>
    </w:p>
    <w:p w14:paraId="48CF167E" w14:textId="01219410" w:rsidR="002C7704" w:rsidRPr="00FA0D37" w:rsidRDefault="002C7704" w:rsidP="002C7704">
      <w:pPr>
        <w:rPr>
          <w:rFonts w:eastAsia="Yu Mincho"/>
        </w:rPr>
      </w:pPr>
      <w:r w:rsidRPr="00FA0D37">
        <w:rPr>
          <w:rFonts w:eastAsia="Yu Mincho"/>
        </w:rPr>
        <w:t xml:space="preserve">The IE </w:t>
      </w:r>
      <w:r w:rsidRPr="00FA0D37">
        <w:rPr>
          <w:rFonts w:eastAsia="Yu Mincho"/>
          <w:i/>
          <w:iCs/>
        </w:rPr>
        <w:t>SRS-AllPosResourcesRRC-Inactive</w:t>
      </w:r>
      <w:r w:rsidRPr="00FA0D37">
        <w:rPr>
          <w:rFonts w:eastAsia="Yu Mincho"/>
        </w:rPr>
        <w:t xml:space="preserve"> is used to convey SRS positioning related parameters specific for a certain band.</w:t>
      </w:r>
    </w:p>
    <w:p w14:paraId="4B9EB21F" w14:textId="28BDDB44" w:rsidR="002C7704" w:rsidRPr="00FA0D37" w:rsidRDefault="002C7704" w:rsidP="00F747EB">
      <w:pPr>
        <w:pStyle w:val="TH"/>
        <w:rPr>
          <w:rFonts w:eastAsia="Yu Mincho"/>
        </w:rPr>
      </w:pPr>
      <w:r w:rsidRPr="00FA0D37">
        <w:rPr>
          <w:rFonts w:eastAsia="Yu Mincho"/>
          <w:i/>
          <w:iCs/>
        </w:rPr>
        <w:t>SRS-AllPosResourcesRRC-Inactive</w:t>
      </w:r>
      <w:r w:rsidRPr="00FA0D37">
        <w:rPr>
          <w:rFonts w:eastAsia="Yu Mincho"/>
        </w:rPr>
        <w:t xml:space="preserve"> information element</w:t>
      </w:r>
    </w:p>
    <w:p w14:paraId="326A1D71" w14:textId="77777777" w:rsidR="002C7704" w:rsidRPr="00FA0D37" w:rsidRDefault="002C7704" w:rsidP="00FA0D37">
      <w:pPr>
        <w:pStyle w:val="PL"/>
        <w:rPr>
          <w:rFonts w:eastAsiaTheme="minorEastAsia"/>
          <w:color w:val="808080"/>
        </w:rPr>
      </w:pPr>
      <w:r w:rsidRPr="00FA0D37">
        <w:rPr>
          <w:rFonts w:eastAsiaTheme="minorEastAsia"/>
          <w:color w:val="808080"/>
        </w:rPr>
        <w:t>-- ASN1START</w:t>
      </w:r>
    </w:p>
    <w:p w14:paraId="7CEA62C8" w14:textId="77777777" w:rsidR="002C7704" w:rsidRPr="00FA0D37" w:rsidRDefault="002C7704" w:rsidP="00FA0D37">
      <w:pPr>
        <w:pStyle w:val="PL"/>
        <w:rPr>
          <w:rFonts w:eastAsiaTheme="minorEastAsia"/>
          <w:color w:val="808080"/>
        </w:rPr>
      </w:pPr>
      <w:r w:rsidRPr="00FA0D37">
        <w:rPr>
          <w:rFonts w:eastAsiaTheme="minorEastAsia"/>
          <w:color w:val="808080"/>
        </w:rPr>
        <w:t>-- TAG-SRS-ALLPOSRESOURCESRRC-INACTIVE-START</w:t>
      </w:r>
    </w:p>
    <w:p w14:paraId="46DC9BC6" w14:textId="77777777" w:rsidR="002C7704" w:rsidRPr="00FA0D37" w:rsidRDefault="002C7704" w:rsidP="00FA0D37">
      <w:pPr>
        <w:pStyle w:val="PL"/>
        <w:rPr>
          <w:rFonts w:eastAsiaTheme="minorEastAsia"/>
        </w:rPr>
      </w:pPr>
    </w:p>
    <w:p w14:paraId="1850E45B" w14:textId="1B3054BA" w:rsidR="002C7704" w:rsidRPr="00FA0D37" w:rsidRDefault="002C7704" w:rsidP="00FA0D37">
      <w:pPr>
        <w:pStyle w:val="PL"/>
        <w:rPr>
          <w:rFonts w:eastAsiaTheme="minorEastAsia"/>
        </w:rPr>
      </w:pPr>
      <w:r w:rsidRPr="00FA0D37">
        <w:rPr>
          <w:rFonts w:eastAsiaTheme="minorEastAsia"/>
        </w:rPr>
        <w:t>SRS-AllPosResourcesRRC-Inactive-r17 ::=</w:t>
      </w:r>
      <w:r w:rsidRPr="00FA0D37">
        <w:t xml:space="preserve">             </w:t>
      </w:r>
      <w:r w:rsidRPr="00FA0D37">
        <w:rPr>
          <w:rFonts w:eastAsiaTheme="minorEastAsia"/>
          <w:color w:val="993366"/>
        </w:rPr>
        <w:t>SEQUENCE</w:t>
      </w:r>
      <w:r w:rsidRPr="00FA0D37">
        <w:rPr>
          <w:rFonts w:eastAsiaTheme="minorEastAsia"/>
        </w:rPr>
        <w:t xml:space="preserve"> {</w:t>
      </w:r>
    </w:p>
    <w:p w14:paraId="72554056" w14:textId="5CFB554E" w:rsidR="002C7704" w:rsidRPr="00FA0D37" w:rsidRDefault="002C7704" w:rsidP="00FA0D37">
      <w:pPr>
        <w:pStyle w:val="PL"/>
        <w:rPr>
          <w:rFonts w:eastAsiaTheme="minorEastAsia"/>
        </w:rPr>
      </w:pPr>
      <w:r w:rsidRPr="00FA0D37">
        <w:t xml:space="preserve">    </w:t>
      </w:r>
      <w:r w:rsidRPr="00FA0D37">
        <w:rPr>
          <w:rFonts w:eastAsiaTheme="minorEastAsia"/>
        </w:rPr>
        <w:t>srs-PosResourcesRRC-Inactive-r17</w:t>
      </w:r>
      <w:r w:rsidRPr="00FA0D37">
        <w:t xml:space="preserve">                    </w:t>
      </w:r>
      <w:r w:rsidRPr="00FA0D37">
        <w:rPr>
          <w:rFonts w:eastAsiaTheme="minorEastAsia"/>
          <w:color w:val="993366"/>
        </w:rPr>
        <w:t>SEQUENCE</w:t>
      </w:r>
      <w:r w:rsidRPr="00FA0D37">
        <w:rPr>
          <w:rFonts w:eastAsiaTheme="minorEastAsia"/>
        </w:rPr>
        <w:t xml:space="preserve"> {</w:t>
      </w:r>
    </w:p>
    <w:p w14:paraId="4B9215CF" w14:textId="22733D08" w:rsidR="002C7704" w:rsidRPr="00FA0D37" w:rsidRDefault="002C7704" w:rsidP="00FA0D37">
      <w:pPr>
        <w:pStyle w:val="PL"/>
        <w:rPr>
          <w:rFonts w:eastAsiaTheme="minorEastAsia"/>
          <w:color w:val="808080"/>
        </w:rPr>
      </w:pPr>
      <w:r w:rsidRPr="00FA0D37">
        <w:t xml:space="preserve">    </w:t>
      </w:r>
      <w:r w:rsidRPr="00FA0D37">
        <w:rPr>
          <w:rFonts w:eastAsiaTheme="minorEastAsia"/>
          <w:color w:val="808080"/>
        </w:rPr>
        <w:t>-- R1 27-15: Positioning SRS transmission in RRC_INACTIVE state for initial UL BWP</w:t>
      </w:r>
    </w:p>
    <w:p w14:paraId="3E5B75B3" w14:textId="58090601" w:rsidR="002C7704" w:rsidRPr="00FA0D37" w:rsidRDefault="002C7704" w:rsidP="00FA0D37">
      <w:pPr>
        <w:pStyle w:val="PL"/>
        <w:rPr>
          <w:rFonts w:eastAsiaTheme="minorEastAsia"/>
        </w:rPr>
      </w:pPr>
      <w:r w:rsidRPr="00FA0D37">
        <w:t xml:space="preserve">        </w:t>
      </w:r>
      <w:r w:rsidRPr="00FA0D37">
        <w:rPr>
          <w:rFonts w:eastAsiaTheme="minorEastAsia"/>
        </w:rPr>
        <w:t>maxNumberSRS-PosResourceSetPerBWP-r17</w:t>
      </w:r>
      <w:r w:rsidRPr="00FA0D37">
        <w:t xml:space="preserve">               </w:t>
      </w:r>
      <w:r w:rsidRPr="00FA0D37">
        <w:rPr>
          <w:rFonts w:eastAsiaTheme="minorEastAsia"/>
          <w:color w:val="993366"/>
        </w:rPr>
        <w:t>ENUMERATED</w:t>
      </w:r>
      <w:r w:rsidRPr="00FA0D37">
        <w:rPr>
          <w:rFonts w:eastAsiaTheme="minorEastAsia"/>
        </w:rPr>
        <w:t xml:space="preserve"> {n1, n2, n4, n8, n12, n16},</w:t>
      </w:r>
    </w:p>
    <w:p w14:paraId="55BF2327" w14:textId="1D3B7E0C" w:rsidR="002C7704" w:rsidRPr="00FA0D37" w:rsidRDefault="002C7704" w:rsidP="00FA0D37">
      <w:pPr>
        <w:pStyle w:val="PL"/>
        <w:rPr>
          <w:rFonts w:eastAsiaTheme="minorEastAsia"/>
        </w:rPr>
      </w:pPr>
      <w:r w:rsidRPr="00FA0D37">
        <w:t xml:space="preserve">        </w:t>
      </w:r>
      <w:r w:rsidRPr="00FA0D37">
        <w:rPr>
          <w:rFonts w:eastAsiaTheme="minorEastAsia"/>
        </w:rPr>
        <w:t>maxNumberSRS-PosResourcesPerBWP-r17</w:t>
      </w:r>
      <w:r w:rsidRPr="00FA0D37">
        <w:t xml:space="preserve">                 </w:t>
      </w:r>
      <w:r w:rsidRPr="00FA0D37">
        <w:rPr>
          <w:rFonts w:eastAsiaTheme="minorEastAsia"/>
          <w:color w:val="993366"/>
        </w:rPr>
        <w:t>ENUMERATED</w:t>
      </w:r>
      <w:r w:rsidRPr="00FA0D37">
        <w:rPr>
          <w:rFonts w:eastAsiaTheme="minorEastAsia"/>
        </w:rPr>
        <w:t xml:space="preserve"> {n1, n2, n4, n8, n16, n32, n64},</w:t>
      </w:r>
    </w:p>
    <w:p w14:paraId="20B461D1" w14:textId="12B1C746" w:rsidR="002C7704" w:rsidRPr="00FA0D37" w:rsidRDefault="002C7704" w:rsidP="00FA0D37">
      <w:pPr>
        <w:pStyle w:val="PL"/>
        <w:rPr>
          <w:rFonts w:eastAsiaTheme="minorEastAsia"/>
        </w:rPr>
      </w:pPr>
      <w:r w:rsidRPr="00FA0D37">
        <w:t xml:space="preserve">        </w:t>
      </w:r>
      <w:r w:rsidRPr="00FA0D37">
        <w:rPr>
          <w:rFonts w:eastAsiaTheme="minorEastAsia"/>
        </w:rPr>
        <w:t>maxNumberSRS-ResourcesPerBWP-PerSlot-r17</w:t>
      </w:r>
      <w:r w:rsidRPr="00FA0D37">
        <w:t xml:space="preserve">            </w:t>
      </w:r>
      <w:r w:rsidRPr="00FA0D37">
        <w:rPr>
          <w:rFonts w:eastAsiaTheme="minorEastAsia"/>
          <w:color w:val="993366"/>
        </w:rPr>
        <w:t>ENUMERATED</w:t>
      </w:r>
      <w:r w:rsidRPr="00FA0D37">
        <w:rPr>
          <w:rFonts w:eastAsiaTheme="minorEastAsia"/>
        </w:rPr>
        <w:t xml:space="preserve"> {n1, n2, n3, n4, n5, n6, n8, n10, n12, n14},</w:t>
      </w:r>
    </w:p>
    <w:p w14:paraId="43194FD0" w14:textId="211E1BCC" w:rsidR="002C7704" w:rsidRPr="00FA0D37" w:rsidRDefault="002C7704" w:rsidP="00FA0D37">
      <w:pPr>
        <w:pStyle w:val="PL"/>
        <w:rPr>
          <w:rFonts w:eastAsiaTheme="minorEastAsia"/>
        </w:rPr>
      </w:pPr>
      <w:r w:rsidRPr="00FA0D37">
        <w:t xml:space="preserve">        </w:t>
      </w:r>
      <w:r w:rsidRPr="00FA0D37">
        <w:rPr>
          <w:rFonts w:eastAsiaTheme="minorEastAsia"/>
        </w:rPr>
        <w:t>maxNumberPeriodicSRS-PosResourcesPerBWP-r17</w:t>
      </w:r>
      <w:r w:rsidRPr="00FA0D37">
        <w:t xml:space="preserve">         </w:t>
      </w:r>
      <w:r w:rsidRPr="00FA0D37">
        <w:rPr>
          <w:rFonts w:eastAsiaTheme="minorEastAsia"/>
          <w:color w:val="993366"/>
        </w:rPr>
        <w:t>ENUMERATED</w:t>
      </w:r>
      <w:r w:rsidRPr="00FA0D37">
        <w:rPr>
          <w:rFonts w:eastAsiaTheme="minorEastAsia"/>
        </w:rPr>
        <w:t xml:space="preserve"> {n1, n2, n4, n8, n16, n32, n64},</w:t>
      </w:r>
    </w:p>
    <w:p w14:paraId="3D17C3F1" w14:textId="316836CD" w:rsidR="002C7704" w:rsidRPr="00FA0D37" w:rsidRDefault="002C7704" w:rsidP="00FA0D37">
      <w:pPr>
        <w:pStyle w:val="PL"/>
        <w:rPr>
          <w:rFonts w:eastAsiaTheme="minorEastAsia"/>
        </w:rPr>
      </w:pPr>
      <w:r w:rsidRPr="00FA0D37">
        <w:t xml:space="preserve">        </w:t>
      </w:r>
      <w:r w:rsidRPr="00FA0D37">
        <w:rPr>
          <w:rFonts w:eastAsiaTheme="minorEastAsia"/>
        </w:rPr>
        <w:t>maxNumberPeriodicSRS-PosResourcesPerBWP-PerSlot-r17</w:t>
      </w:r>
      <w:r w:rsidRPr="00FA0D37">
        <w:t xml:space="preserve"> </w:t>
      </w:r>
      <w:r w:rsidRPr="00FA0D37">
        <w:rPr>
          <w:rFonts w:eastAsiaTheme="minorEastAsia"/>
          <w:color w:val="993366"/>
        </w:rPr>
        <w:t>ENUMERATED</w:t>
      </w:r>
      <w:r w:rsidRPr="00FA0D37">
        <w:rPr>
          <w:rFonts w:eastAsiaTheme="minorEastAsia"/>
        </w:rPr>
        <w:t xml:space="preserve"> {n1, n2, n3, n4, n5, n6, n8, n10, n12, n14},</w:t>
      </w:r>
    </w:p>
    <w:p w14:paraId="234582B6" w14:textId="4B61163B" w:rsidR="002C7704" w:rsidRPr="00FA0D37" w:rsidRDefault="002C7704" w:rsidP="00FA0D37">
      <w:pPr>
        <w:pStyle w:val="PL"/>
        <w:rPr>
          <w:rFonts w:eastAsiaTheme="minorEastAsia"/>
        </w:rPr>
      </w:pPr>
      <w:r w:rsidRPr="00FA0D37">
        <w:lastRenderedPageBreak/>
        <w:t xml:space="preserve">        </w:t>
      </w:r>
      <w:r w:rsidR="00D20678" w:rsidRPr="00FA0D37">
        <w:rPr>
          <w:rFonts w:eastAsia="Yu Mincho"/>
        </w:rPr>
        <w:t>dummy1</w:t>
      </w:r>
      <w:r w:rsidRPr="00FA0D37">
        <w:t xml:space="preserve">           </w:t>
      </w:r>
      <w:r w:rsidR="00D20678" w:rsidRPr="00FA0D37">
        <w:t xml:space="preserve">                                   </w:t>
      </w:r>
      <w:r w:rsidRPr="00FA0D37">
        <w:rPr>
          <w:rFonts w:eastAsiaTheme="minorEastAsia"/>
          <w:color w:val="993366"/>
        </w:rPr>
        <w:t>ENUMERATED</w:t>
      </w:r>
      <w:r w:rsidRPr="00FA0D37">
        <w:rPr>
          <w:rFonts w:eastAsiaTheme="minorEastAsia"/>
        </w:rPr>
        <w:t xml:space="preserve"> {n1, n2, n4, n8, n16, n32, n64 },</w:t>
      </w:r>
    </w:p>
    <w:p w14:paraId="3ECD13E8" w14:textId="669EBC02" w:rsidR="002C7704" w:rsidRPr="00FA0D37" w:rsidRDefault="002C7704" w:rsidP="00FA0D37">
      <w:pPr>
        <w:pStyle w:val="PL"/>
        <w:rPr>
          <w:rFonts w:eastAsiaTheme="minorEastAsia"/>
        </w:rPr>
      </w:pPr>
      <w:r w:rsidRPr="00FA0D37">
        <w:t xml:space="preserve">        </w:t>
      </w:r>
      <w:r w:rsidR="00D20678" w:rsidRPr="00FA0D37">
        <w:rPr>
          <w:rFonts w:eastAsia="Yu Mincho"/>
        </w:rPr>
        <w:t>dummy2</w:t>
      </w:r>
      <w:r w:rsidRPr="00FA0D37">
        <w:t xml:space="preserve">    </w:t>
      </w:r>
      <w:r w:rsidR="00D20678" w:rsidRPr="00FA0D37">
        <w:t xml:space="preserve">                                          </w:t>
      </w:r>
      <w:r w:rsidRPr="00FA0D37">
        <w:rPr>
          <w:rFonts w:eastAsiaTheme="minorEastAsia"/>
          <w:color w:val="993366"/>
        </w:rPr>
        <w:t>ENUMERATED</w:t>
      </w:r>
      <w:r w:rsidRPr="00FA0D37">
        <w:rPr>
          <w:rFonts w:eastAsiaTheme="minorEastAsia"/>
        </w:rPr>
        <w:t xml:space="preserve"> {n1, n2, n3, n4, n5, n6, n8, n10, n12, n14}</w:t>
      </w:r>
    </w:p>
    <w:p w14:paraId="5C818CD6" w14:textId="72162F19" w:rsidR="002C7704" w:rsidRPr="00FA0D37" w:rsidRDefault="002C7704" w:rsidP="00FA0D37">
      <w:pPr>
        <w:pStyle w:val="PL"/>
        <w:rPr>
          <w:rFonts w:eastAsiaTheme="minorEastAsia"/>
        </w:rPr>
      </w:pPr>
      <w:r w:rsidRPr="00FA0D37">
        <w:t xml:space="preserve">    </w:t>
      </w:r>
      <w:r w:rsidRPr="00FA0D37">
        <w:rPr>
          <w:rFonts w:eastAsiaTheme="minorEastAsia"/>
        </w:rPr>
        <w:t>}</w:t>
      </w:r>
    </w:p>
    <w:p w14:paraId="7104DA9C" w14:textId="77777777" w:rsidR="002C7704" w:rsidRPr="00FA0D37" w:rsidRDefault="002C7704" w:rsidP="00FA0D37">
      <w:pPr>
        <w:pStyle w:val="PL"/>
        <w:rPr>
          <w:rFonts w:eastAsiaTheme="minorEastAsia"/>
        </w:rPr>
      </w:pPr>
      <w:r w:rsidRPr="00FA0D37">
        <w:rPr>
          <w:rFonts w:eastAsiaTheme="minorEastAsia"/>
        </w:rPr>
        <w:t>}</w:t>
      </w:r>
    </w:p>
    <w:p w14:paraId="62438FF3" w14:textId="77777777" w:rsidR="002C7704" w:rsidRPr="00FA0D37" w:rsidRDefault="002C7704" w:rsidP="00FA0D37">
      <w:pPr>
        <w:pStyle w:val="PL"/>
        <w:rPr>
          <w:rFonts w:eastAsiaTheme="minorEastAsia"/>
        </w:rPr>
      </w:pPr>
    </w:p>
    <w:p w14:paraId="00821E3F" w14:textId="77777777" w:rsidR="004B6142" w:rsidRPr="00FA0D37" w:rsidRDefault="002C7704" w:rsidP="00FA0D37">
      <w:pPr>
        <w:pStyle w:val="PL"/>
        <w:rPr>
          <w:rFonts w:eastAsiaTheme="minorEastAsia"/>
          <w:color w:val="808080"/>
        </w:rPr>
      </w:pPr>
      <w:r w:rsidRPr="00FA0D37">
        <w:rPr>
          <w:rFonts w:eastAsiaTheme="minorEastAsia"/>
          <w:color w:val="808080"/>
        </w:rPr>
        <w:t>-- TAG-SRS-ALLPOSRESOURCESRRC-INACTIVE-STOP</w:t>
      </w:r>
    </w:p>
    <w:p w14:paraId="48760B7A" w14:textId="73618D99" w:rsidR="002C7704" w:rsidRPr="00FA0D37" w:rsidRDefault="002C7704" w:rsidP="00FA0D37">
      <w:pPr>
        <w:pStyle w:val="PL"/>
        <w:rPr>
          <w:rFonts w:eastAsiaTheme="minorEastAsia"/>
          <w:color w:val="808080"/>
          <w:lang w:eastAsia="ja-JP"/>
        </w:rPr>
      </w:pPr>
      <w:r w:rsidRPr="00FA0D37">
        <w:rPr>
          <w:rFonts w:eastAsiaTheme="minorEastAsia"/>
          <w:color w:val="808080"/>
        </w:rPr>
        <w:t>-- ASN1STOP</w:t>
      </w:r>
    </w:p>
    <w:p w14:paraId="5259129A" w14:textId="070D15B6" w:rsidR="002C7704" w:rsidRPr="00FA0D37" w:rsidRDefault="002C7704" w:rsidP="00394471"/>
    <w:p w14:paraId="047B2C83" w14:textId="77777777" w:rsidR="00D20678" w:rsidRPr="00FA0D37" w:rsidRDefault="00D20678" w:rsidP="00D20678"/>
    <w:tbl>
      <w:tblPr>
        <w:tblW w:w="0" w:type="auto"/>
        <w:tblLook w:val="04A0" w:firstRow="1" w:lastRow="0" w:firstColumn="1" w:lastColumn="0" w:noHBand="0" w:noVBand="1"/>
      </w:tblPr>
      <w:tblGrid>
        <w:gridCol w:w="14281"/>
      </w:tblGrid>
      <w:tr w:rsidR="005C7FF4" w:rsidRPr="00FA0D37" w14:paraId="0A6CED0D" w14:textId="77777777" w:rsidTr="0071565C">
        <w:tc>
          <w:tcPr>
            <w:tcW w:w="14281" w:type="dxa"/>
            <w:tcBorders>
              <w:top w:val="single" w:sz="4" w:space="0" w:color="auto"/>
              <w:left w:val="single" w:sz="4" w:space="0" w:color="auto"/>
              <w:bottom w:val="single" w:sz="4" w:space="0" w:color="auto"/>
              <w:right w:val="single" w:sz="4" w:space="0" w:color="auto"/>
            </w:tcBorders>
            <w:hideMark/>
          </w:tcPr>
          <w:p w14:paraId="04674FCC" w14:textId="77777777" w:rsidR="00D20678" w:rsidRPr="00FA0D37" w:rsidRDefault="00D20678" w:rsidP="00DD246F">
            <w:pPr>
              <w:pStyle w:val="TAH"/>
              <w:rPr>
                <w:rFonts w:eastAsia="Yu Mincho"/>
                <w:b w:val="0"/>
                <w:i/>
                <w:iCs/>
                <w:lang w:eastAsia="sv-SE"/>
              </w:rPr>
            </w:pPr>
            <w:r w:rsidRPr="00FA0D37">
              <w:rPr>
                <w:rFonts w:eastAsia="Yu Mincho"/>
                <w:i/>
                <w:iCs/>
                <w:lang w:eastAsia="sv-SE"/>
              </w:rPr>
              <w:t xml:space="preserve">SRS-AllPosResourcesRRC-Inactive </w:t>
            </w:r>
            <w:r w:rsidRPr="00FA0D37">
              <w:rPr>
                <w:rFonts w:eastAsia="Yu Mincho"/>
                <w:lang w:eastAsia="sv-SE"/>
              </w:rPr>
              <w:t>field descriptions</w:t>
            </w:r>
          </w:p>
        </w:tc>
      </w:tr>
      <w:tr w:rsidR="00D20678" w:rsidRPr="00FA0D37" w14:paraId="1C3D074E" w14:textId="77777777" w:rsidTr="0071565C">
        <w:tc>
          <w:tcPr>
            <w:tcW w:w="14281" w:type="dxa"/>
            <w:tcBorders>
              <w:top w:val="single" w:sz="4" w:space="0" w:color="auto"/>
              <w:left w:val="single" w:sz="4" w:space="0" w:color="auto"/>
              <w:bottom w:val="single" w:sz="4" w:space="0" w:color="auto"/>
              <w:right w:val="single" w:sz="4" w:space="0" w:color="auto"/>
            </w:tcBorders>
            <w:hideMark/>
          </w:tcPr>
          <w:p w14:paraId="0FCEB815" w14:textId="77777777" w:rsidR="00D20678" w:rsidRPr="00FA0D37" w:rsidRDefault="00D20678" w:rsidP="00DD246F">
            <w:pPr>
              <w:pStyle w:val="TAL"/>
              <w:rPr>
                <w:rFonts w:eastAsia="Yu Mincho"/>
                <w:b/>
                <w:bCs/>
                <w:i/>
                <w:iCs/>
                <w:lang w:eastAsia="zh-CN"/>
              </w:rPr>
            </w:pPr>
            <w:r w:rsidRPr="00FA0D37">
              <w:rPr>
                <w:rFonts w:eastAsia="Yu Mincho"/>
                <w:b/>
                <w:bCs/>
                <w:i/>
                <w:iCs/>
                <w:lang w:eastAsia="zh-CN"/>
              </w:rPr>
              <w:t>dummy1, dummy2</w:t>
            </w:r>
          </w:p>
          <w:p w14:paraId="0878C57D" w14:textId="77777777" w:rsidR="00D20678" w:rsidRPr="00FA0D37" w:rsidRDefault="00D20678" w:rsidP="00DD246F">
            <w:pPr>
              <w:pStyle w:val="TAL"/>
              <w:rPr>
                <w:rFonts w:eastAsia="Yu Mincho" w:cs="Arial"/>
                <w:szCs w:val="18"/>
                <w:lang w:eastAsia="sv-SE"/>
              </w:rPr>
            </w:pPr>
            <w:r w:rsidRPr="00FA0D37">
              <w:rPr>
                <w:rFonts w:cs="Arial"/>
                <w:szCs w:val="18"/>
                <w:lang w:eastAsia="sv-SE"/>
              </w:rPr>
              <w:t>The fields are not used in the specification</w:t>
            </w:r>
            <w:r w:rsidRPr="00FA0D37">
              <w:rPr>
                <w:rFonts w:cs="Arial"/>
                <w:szCs w:val="18"/>
              </w:rPr>
              <w:t xml:space="preserve"> and the network ignores the received values</w:t>
            </w:r>
            <w:r w:rsidRPr="00FA0D37">
              <w:rPr>
                <w:rFonts w:cs="Arial"/>
                <w:szCs w:val="18"/>
                <w:lang w:eastAsia="sv-SE"/>
              </w:rPr>
              <w:t>.</w:t>
            </w:r>
          </w:p>
        </w:tc>
      </w:tr>
    </w:tbl>
    <w:p w14:paraId="1C069DF8" w14:textId="77777777" w:rsidR="00D20678" w:rsidRPr="00FA0D37" w:rsidRDefault="00D20678" w:rsidP="00394471"/>
    <w:p w14:paraId="26CC1A1E" w14:textId="5E9CE479" w:rsidR="00394471" w:rsidRPr="00FA0D37" w:rsidRDefault="00394471" w:rsidP="00394471">
      <w:pPr>
        <w:pStyle w:val="4"/>
      </w:pPr>
      <w:bookmarkStart w:id="1625" w:name="_Toc60777482"/>
      <w:bookmarkStart w:id="1626" w:name="_Toc146781591"/>
      <w:r w:rsidRPr="00FA0D37">
        <w:t>–</w:t>
      </w:r>
      <w:r w:rsidRPr="00FA0D37">
        <w:tab/>
      </w:r>
      <w:r w:rsidRPr="00FA0D37">
        <w:rPr>
          <w:i/>
          <w:noProof/>
        </w:rPr>
        <w:t>SRS-SwitchingTimeNR</w:t>
      </w:r>
      <w:bookmarkEnd w:id="1625"/>
      <w:bookmarkEnd w:id="1626"/>
    </w:p>
    <w:p w14:paraId="7F12B3F5" w14:textId="77777777" w:rsidR="00394471" w:rsidRPr="00FA0D37" w:rsidRDefault="00394471" w:rsidP="00394471">
      <w:r w:rsidRPr="00FA0D37">
        <w:t xml:space="preserve">The IE </w:t>
      </w:r>
      <w:r w:rsidRPr="00FA0D37">
        <w:rPr>
          <w:i/>
        </w:rPr>
        <w:t xml:space="preserve">SRS-SwitchingTimeNR </w:t>
      </w:r>
      <w:r w:rsidRPr="00FA0D37">
        <w:t>is used to indicate the SRS carrier switching time supported by the UE for one NR band pair.</w:t>
      </w:r>
    </w:p>
    <w:p w14:paraId="0B8EADA7" w14:textId="77777777" w:rsidR="00394471" w:rsidRPr="00FA0D37" w:rsidRDefault="00394471" w:rsidP="00394471">
      <w:pPr>
        <w:pStyle w:val="TH"/>
        <w:rPr>
          <w:i/>
        </w:rPr>
      </w:pPr>
      <w:r w:rsidRPr="00FA0D37">
        <w:rPr>
          <w:i/>
        </w:rPr>
        <w:t>SRS-SwitchingTimeNR information element</w:t>
      </w:r>
    </w:p>
    <w:p w14:paraId="7BA885A7" w14:textId="77777777" w:rsidR="00394471" w:rsidRPr="00FA0D37" w:rsidRDefault="00394471" w:rsidP="00FA0D37">
      <w:pPr>
        <w:pStyle w:val="PL"/>
        <w:rPr>
          <w:rFonts w:eastAsia="MS Mincho"/>
          <w:color w:val="808080"/>
        </w:rPr>
      </w:pPr>
      <w:r w:rsidRPr="00FA0D37">
        <w:rPr>
          <w:rFonts w:eastAsia="MS Mincho"/>
          <w:color w:val="808080"/>
        </w:rPr>
        <w:t>-- ASN1START</w:t>
      </w:r>
    </w:p>
    <w:p w14:paraId="0B1C5B65" w14:textId="77777777" w:rsidR="00394471" w:rsidRPr="00FA0D37" w:rsidRDefault="00394471" w:rsidP="00FA0D37">
      <w:pPr>
        <w:pStyle w:val="PL"/>
        <w:rPr>
          <w:rFonts w:eastAsia="MS Mincho"/>
          <w:color w:val="808080"/>
        </w:rPr>
      </w:pPr>
      <w:r w:rsidRPr="00FA0D37">
        <w:rPr>
          <w:rFonts w:eastAsia="MS Mincho"/>
          <w:color w:val="808080"/>
        </w:rPr>
        <w:t>-- TAG-SRS-SWITCHINGTIMENR-START</w:t>
      </w:r>
    </w:p>
    <w:p w14:paraId="59EAF1C1" w14:textId="77777777" w:rsidR="00394471" w:rsidRPr="00FA0D37" w:rsidRDefault="00394471" w:rsidP="00FA0D37">
      <w:pPr>
        <w:pStyle w:val="PL"/>
        <w:rPr>
          <w:rFonts w:eastAsia="Batang"/>
        </w:rPr>
      </w:pPr>
    </w:p>
    <w:p w14:paraId="25495E91" w14:textId="77777777" w:rsidR="00394471" w:rsidRPr="00FA0D37" w:rsidRDefault="00394471" w:rsidP="00FA0D37">
      <w:pPr>
        <w:pStyle w:val="PL"/>
      </w:pPr>
      <w:r w:rsidRPr="00FA0D37">
        <w:t xml:space="preserve">SRS-SwitchingTimeNR ::= </w:t>
      </w:r>
      <w:r w:rsidRPr="00FA0D37">
        <w:rPr>
          <w:color w:val="993366"/>
        </w:rPr>
        <w:t>SEQUENCE</w:t>
      </w:r>
      <w:r w:rsidRPr="00FA0D37">
        <w:t xml:space="preserve"> {</w:t>
      </w:r>
    </w:p>
    <w:p w14:paraId="0ABDB845" w14:textId="77777777" w:rsidR="00394471" w:rsidRPr="00FA0D37" w:rsidRDefault="00394471" w:rsidP="00FA0D37">
      <w:pPr>
        <w:pStyle w:val="PL"/>
      </w:pPr>
      <w:r w:rsidRPr="00FA0D37">
        <w:t xml:space="preserve">    switchingTimeDL         </w:t>
      </w:r>
      <w:r w:rsidRPr="00FA0D37">
        <w:rPr>
          <w:color w:val="993366"/>
        </w:rPr>
        <w:t>ENUMERATED</w:t>
      </w:r>
      <w:r w:rsidRPr="00FA0D37">
        <w:t xml:space="preserve"> {n0us, n30us, n100us, n140us, n200us, n300us, n500us, n900us}  </w:t>
      </w:r>
      <w:r w:rsidRPr="00FA0D37">
        <w:rPr>
          <w:color w:val="993366"/>
        </w:rPr>
        <w:t>OPTIONAL</w:t>
      </w:r>
      <w:r w:rsidRPr="00FA0D37">
        <w:t>,</w:t>
      </w:r>
    </w:p>
    <w:p w14:paraId="2B52EF82" w14:textId="77777777" w:rsidR="00394471" w:rsidRPr="00FA0D37" w:rsidRDefault="00394471" w:rsidP="00FA0D37">
      <w:pPr>
        <w:pStyle w:val="PL"/>
      </w:pPr>
      <w:r w:rsidRPr="00FA0D37">
        <w:t xml:space="preserve">    switchingTimeUL         </w:t>
      </w:r>
      <w:r w:rsidRPr="00FA0D37">
        <w:rPr>
          <w:color w:val="993366"/>
        </w:rPr>
        <w:t>ENUMERATED</w:t>
      </w:r>
      <w:r w:rsidRPr="00FA0D37">
        <w:t xml:space="preserve"> {n0us, n30us, n100us, n140us, n200us, n300us, n500us, n900us}  </w:t>
      </w:r>
      <w:r w:rsidRPr="00FA0D37">
        <w:rPr>
          <w:color w:val="993366"/>
        </w:rPr>
        <w:t>OPTIONAL</w:t>
      </w:r>
    </w:p>
    <w:p w14:paraId="27BB09CC" w14:textId="77777777" w:rsidR="00394471" w:rsidRPr="00FA0D37" w:rsidRDefault="00394471" w:rsidP="00FA0D37">
      <w:pPr>
        <w:pStyle w:val="PL"/>
      </w:pPr>
      <w:r w:rsidRPr="00FA0D37">
        <w:t>}</w:t>
      </w:r>
    </w:p>
    <w:p w14:paraId="4D739A18" w14:textId="77777777" w:rsidR="00394471" w:rsidRPr="00FA0D37" w:rsidRDefault="00394471" w:rsidP="00FA0D37">
      <w:pPr>
        <w:pStyle w:val="PL"/>
      </w:pPr>
    </w:p>
    <w:p w14:paraId="66EB7364" w14:textId="77777777" w:rsidR="00394471" w:rsidRPr="00FA0D37" w:rsidRDefault="00394471" w:rsidP="00FA0D37">
      <w:pPr>
        <w:pStyle w:val="PL"/>
        <w:rPr>
          <w:rFonts w:eastAsia="MS Mincho"/>
          <w:color w:val="808080"/>
        </w:rPr>
      </w:pPr>
      <w:r w:rsidRPr="00FA0D37">
        <w:rPr>
          <w:rFonts w:eastAsia="MS Mincho"/>
          <w:color w:val="808080"/>
        </w:rPr>
        <w:t>-- TAG-SRS-SWITCHINGTIMENR-STOP</w:t>
      </w:r>
    </w:p>
    <w:p w14:paraId="71B6BA03" w14:textId="77777777" w:rsidR="00394471" w:rsidRPr="00FA0D37" w:rsidRDefault="00394471" w:rsidP="00FA0D37">
      <w:pPr>
        <w:pStyle w:val="PL"/>
        <w:rPr>
          <w:rFonts w:eastAsia="MS Mincho"/>
          <w:color w:val="808080"/>
          <w:lang w:eastAsia="sv-SE"/>
        </w:rPr>
      </w:pPr>
      <w:r w:rsidRPr="00FA0D37">
        <w:rPr>
          <w:rFonts w:eastAsia="MS Mincho"/>
          <w:color w:val="808080"/>
        </w:rPr>
        <w:t>-- ASN1STOP</w:t>
      </w:r>
    </w:p>
    <w:p w14:paraId="0A0AFA82" w14:textId="77777777" w:rsidR="00394471" w:rsidRPr="00FA0D37" w:rsidRDefault="00394471" w:rsidP="00394471"/>
    <w:p w14:paraId="6238F29D" w14:textId="6FFEAFBE" w:rsidR="00394471" w:rsidRPr="00FA0D37" w:rsidRDefault="00394471" w:rsidP="00394471">
      <w:pPr>
        <w:pStyle w:val="4"/>
        <w:rPr>
          <w:i/>
        </w:rPr>
      </w:pPr>
      <w:bookmarkStart w:id="1627" w:name="_Toc60777483"/>
      <w:bookmarkStart w:id="1628" w:name="_Toc146781592"/>
      <w:r w:rsidRPr="00FA0D37">
        <w:t>–</w:t>
      </w:r>
      <w:r w:rsidRPr="00FA0D37">
        <w:tab/>
      </w:r>
      <w:r w:rsidRPr="00FA0D37">
        <w:rPr>
          <w:i/>
          <w:noProof/>
        </w:rPr>
        <w:t>SRS-SwitchingTimeEUTRA</w:t>
      </w:r>
      <w:bookmarkEnd w:id="1627"/>
      <w:bookmarkEnd w:id="1628"/>
    </w:p>
    <w:p w14:paraId="3DC06360" w14:textId="77777777" w:rsidR="00394471" w:rsidRPr="00FA0D37" w:rsidRDefault="00394471" w:rsidP="00394471">
      <w:r w:rsidRPr="00FA0D37">
        <w:t xml:space="preserve">The IE </w:t>
      </w:r>
      <w:r w:rsidRPr="00FA0D37">
        <w:rPr>
          <w:i/>
        </w:rPr>
        <w:t xml:space="preserve">SRS-SwitchingTimeEUTRA </w:t>
      </w:r>
      <w:r w:rsidRPr="00FA0D37">
        <w:t>is used to indicate the SRS carrier switching time supported by the UE for one E-UTRA band pair.</w:t>
      </w:r>
    </w:p>
    <w:p w14:paraId="18B13AC3" w14:textId="77777777" w:rsidR="00394471" w:rsidRPr="00FA0D37" w:rsidRDefault="00394471" w:rsidP="00394471">
      <w:pPr>
        <w:pStyle w:val="TH"/>
        <w:rPr>
          <w:i/>
        </w:rPr>
      </w:pPr>
      <w:r w:rsidRPr="00FA0D37">
        <w:rPr>
          <w:i/>
        </w:rPr>
        <w:t>SRS-SwitchingTimeEUTRA information element</w:t>
      </w:r>
    </w:p>
    <w:p w14:paraId="6227F8FE" w14:textId="77777777" w:rsidR="00394471" w:rsidRPr="00FA0D37" w:rsidRDefault="00394471" w:rsidP="00FA0D37">
      <w:pPr>
        <w:pStyle w:val="PL"/>
        <w:rPr>
          <w:rFonts w:eastAsia="MS Mincho"/>
          <w:color w:val="808080"/>
        </w:rPr>
      </w:pPr>
      <w:r w:rsidRPr="00FA0D37">
        <w:rPr>
          <w:rFonts w:eastAsia="MS Mincho"/>
          <w:color w:val="808080"/>
        </w:rPr>
        <w:t>-- ASN1START</w:t>
      </w:r>
    </w:p>
    <w:p w14:paraId="32882448" w14:textId="77777777" w:rsidR="00394471" w:rsidRPr="00FA0D37" w:rsidRDefault="00394471" w:rsidP="00FA0D37">
      <w:pPr>
        <w:pStyle w:val="PL"/>
        <w:rPr>
          <w:rFonts w:eastAsia="MS Mincho"/>
          <w:color w:val="808080"/>
        </w:rPr>
      </w:pPr>
      <w:r w:rsidRPr="00FA0D37">
        <w:rPr>
          <w:rFonts w:eastAsia="MS Mincho"/>
          <w:color w:val="808080"/>
        </w:rPr>
        <w:t>-- TAG-SRS-SWITCHINGTIMEEUTRA-START</w:t>
      </w:r>
    </w:p>
    <w:p w14:paraId="2BE4A93C" w14:textId="77777777" w:rsidR="00394471" w:rsidRPr="00FA0D37" w:rsidRDefault="00394471" w:rsidP="00FA0D37">
      <w:pPr>
        <w:pStyle w:val="PL"/>
        <w:rPr>
          <w:rFonts w:eastAsia="Batang"/>
        </w:rPr>
      </w:pPr>
    </w:p>
    <w:p w14:paraId="7E3D3CC8" w14:textId="77777777" w:rsidR="00394471" w:rsidRPr="00FA0D37" w:rsidRDefault="00394471" w:rsidP="00FA0D37">
      <w:pPr>
        <w:pStyle w:val="PL"/>
      </w:pPr>
      <w:r w:rsidRPr="00FA0D37">
        <w:t xml:space="preserve">SRS-SwitchingTimeEUTRA ::= </w:t>
      </w:r>
      <w:r w:rsidRPr="00FA0D37">
        <w:rPr>
          <w:color w:val="993366"/>
        </w:rPr>
        <w:t>SEQUENCE</w:t>
      </w:r>
      <w:r w:rsidRPr="00FA0D37">
        <w:t xml:space="preserve"> {</w:t>
      </w:r>
    </w:p>
    <w:p w14:paraId="0E51CAA2" w14:textId="77777777" w:rsidR="00394471" w:rsidRPr="00FA0D37" w:rsidRDefault="00394471" w:rsidP="00FA0D37">
      <w:pPr>
        <w:pStyle w:val="PL"/>
      </w:pPr>
      <w:r w:rsidRPr="00FA0D37">
        <w:t xml:space="preserve">    switchingTimeDL            </w:t>
      </w:r>
      <w:r w:rsidRPr="00FA0D37">
        <w:rPr>
          <w:color w:val="993366"/>
        </w:rPr>
        <w:t>ENUMERATED</w:t>
      </w:r>
      <w:r w:rsidRPr="00FA0D37">
        <w:t xml:space="preserve"> {n0, n0dot5, n1, n1dot5, n2, n2dot5, n3, n3dot5, n4, n4dot5, n5, n5dot5, n6, n6dot5, n7}</w:t>
      </w:r>
    </w:p>
    <w:p w14:paraId="72D753A2" w14:textId="77777777" w:rsidR="00394471" w:rsidRPr="00FA0D37" w:rsidRDefault="00394471" w:rsidP="00FA0D37">
      <w:pPr>
        <w:pStyle w:val="PL"/>
      </w:pPr>
      <w:r w:rsidRPr="00FA0D37">
        <w:t xml:space="preserve">                                                                                               </w:t>
      </w:r>
      <w:r w:rsidRPr="00FA0D37">
        <w:rPr>
          <w:color w:val="993366"/>
        </w:rPr>
        <w:t>OPTIONAL</w:t>
      </w:r>
      <w:r w:rsidRPr="00FA0D37">
        <w:t>,</w:t>
      </w:r>
    </w:p>
    <w:p w14:paraId="49B06330" w14:textId="77777777" w:rsidR="00394471" w:rsidRPr="00FA0D37" w:rsidRDefault="00394471" w:rsidP="00FA0D37">
      <w:pPr>
        <w:pStyle w:val="PL"/>
      </w:pPr>
      <w:r w:rsidRPr="00FA0D37">
        <w:t xml:space="preserve">    switchingTimeUL            </w:t>
      </w:r>
      <w:r w:rsidRPr="00FA0D37">
        <w:rPr>
          <w:color w:val="993366"/>
        </w:rPr>
        <w:t>ENUMERATED</w:t>
      </w:r>
      <w:r w:rsidRPr="00FA0D37">
        <w:t xml:space="preserve"> {n0, n0dot5, n1, n1dot5, n2, n2dot5, n3, n3dot5, n4, n4dot5, n5, n5dot5, n6, n6dot5, n7}</w:t>
      </w:r>
    </w:p>
    <w:p w14:paraId="0EDA13AA" w14:textId="77777777" w:rsidR="00394471" w:rsidRPr="00FA0D37" w:rsidRDefault="00394471" w:rsidP="00FA0D37">
      <w:pPr>
        <w:pStyle w:val="PL"/>
      </w:pPr>
      <w:r w:rsidRPr="00FA0D37">
        <w:lastRenderedPageBreak/>
        <w:t xml:space="preserve">                                                                                               </w:t>
      </w:r>
      <w:r w:rsidRPr="00FA0D37">
        <w:rPr>
          <w:color w:val="993366"/>
        </w:rPr>
        <w:t>OPTIONAL</w:t>
      </w:r>
    </w:p>
    <w:p w14:paraId="5F311176" w14:textId="77777777" w:rsidR="00394471" w:rsidRPr="00FA0D37" w:rsidRDefault="00394471" w:rsidP="00FA0D37">
      <w:pPr>
        <w:pStyle w:val="PL"/>
      </w:pPr>
      <w:r w:rsidRPr="00FA0D37">
        <w:t>}</w:t>
      </w:r>
    </w:p>
    <w:p w14:paraId="7877B840" w14:textId="77777777" w:rsidR="00394471" w:rsidRPr="00FA0D37" w:rsidRDefault="00394471" w:rsidP="00FA0D37">
      <w:pPr>
        <w:pStyle w:val="PL"/>
        <w:rPr>
          <w:rFonts w:eastAsia="MS Mincho"/>
          <w:color w:val="808080"/>
        </w:rPr>
      </w:pPr>
      <w:r w:rsidRPr="00FA0D37">
        <w:rPr>
          <w:rFonts w:eastAsia="MS Mincho"/>
          <w:color w:val="808080"/>
        </w:rPr>
        <w:t>-- TAG-SRS-SWITCHINGTIMEEUTRA-STOP</w:t>
      </w:r>
    </w:p>
    <w:p w14:paraId="23E46E08" w14:textId="77777777" w:rsidR="00394471" w:rsidRPr="00FA0D37" w:rsidRDefault="00394471" w:rsidP="00FA0D37">
      <w:pPr>
        <w:pStyle w:val="PL"/>
        <w:rPr>
          <w:rFonts w:eastAsia="MS Mincho"/>
          <w:color w:val="808080"/>
          <w:lang w:eastAsia="sv-SE"/>
        </w:rPr>
      </w:pPr>
      <w:r w:rsidRPr="00FA0D37">
        <w:rPr>
          <w:rFonts w:eastAsia="MS Mincho"/>
          <w:color w:val="808080"/>
        </w:rPr>
        <w:t>-- ASN1STOP</w:t>
      </w:r>
    </w:p>
    <w:p w14:paraId="0D5DE946" w14:textId="77777777" w:rsidR="00394471" w:rsidRPr="00FA0D37" w:rsidRDefault="00394471" w:rsidP="00394471"/>
    <w:p w14:paraId="66CAD707" w14:textId="1A34246F" w:rsidR="00394471" w:rsidRPr="00FA0D37" w:rsidRDefault="00394471" w:rsidP="00394471">
      <w:pPr>
        <w:pStyle w:val="4"/>
      </w:pPr>
      <w:bookmarkStart w:id="1629" w:name="_Toc60777484"/>
      <w:bookmarkStart w:id="1630" w:name="_Toc146781593"/>
      <w:r w:rsidRPr="00FA0D37">
        <w:t>–</w:t>
      </w:r>
      <w:r w:rsidRPr="00FA0D37">
        <w:tab/>
      </w:r>
      <w:r w:rsidRPr="00FA0D37">
        <w:rPr>
          <w:i/>
          <w:noProof/>
        </w:rPr>
        <w:t>SupportedBandwidth</w:t>
      </w:r>
      <w:bookmarkEnd w:id="1629"/>
      <w:bookmarkEnd w:id="1630"/>
    </w:p>
    <w:p w14:paraId="0EA81504" w14:textId="12DC0811" w:rsidR="00394471" w:rsidRPr="00FA0D37" w:rsidRDefault="00394471" w:rsidP="00394471">
      <w:r w:rsidRPr="00FA0D37">
        <w:t xml:space="preserve">The IE </w:t>
      </w:r>
      <w:r w:rsidRPr="00FA0D37">
        <w:rPr>
          <w:i/>
        </w:rPr>
        <w:t>SupportedBandwidth</w:t>
      </w:r>
      <w:r w:rsidRPr="00FA0D37">
        <w:t xml:space="preserve"> is used to indicate the channel bandwidth supported by the UE on one carrier of a band of a band combination.</w:t>
      </w:r>
    </w:p>
    <w:p w14:paraId="613AFC63" w14:textId="77777777" w:rsidR="00394471" w:rsidRPr="00FA0D37" w:rsidRDefault="00394471" w:rsidP="00394471">
      <w:pPr>
        <w:pStyle w:val="TH"/>
      </w:pPr>
      <w:r w:rsidRPr="00FA0D37">
        <w:rPr>
          <w:i/>
        </w:rPr>
        <w:t>SupportedBandwidth</w:t>
      </w:r>
      <w:r w:rsidRPr="00FA0D37">
        <w:t xml:space="preserve"> information element</w:t>
      </w:r>
    </w:p>
    <w:p w14:paraId="2EF15C2D" w14:textId="77777777" w:rsidR="00394471" w:rsidRPr="00FA0D37" w:rsidRDefault="00394471" w:rsidP="00FA0D37">
      <w:pPr>
        <w:pStyle w:val="PL"/>
        <w:rPr>
          <w:color w:val="808080"/>
        </w:rPr>
      </w:pPr>
      <w:r w:rsidRPr="00FA0D37">
        <w:rPr>
          <w:color w:val="808080"/>
        </w:rPr>
        <w:t>-- ASN1START</w:t>
      </w:r>
    </w:p>
    <w:p w14:paraId="7C69E7A3" w14:textId="77777777" w:rsidR="00394471" w:rsidRPr="00FA0D37" w:rsidRDefault="00394471" w:rsidP="00FA0D37">
      <w:pPr>
        <w:pStyle w:val="PL"/>
        <w:rPr>
          <w:color w:val="808080"/>
        </w:rPr>
      </w:pPr>
      <w:r w:rsidRPr="00FA0D37">
        <w:rPr>
          <w:color w:val="808080"/>
        </w:rPr>
        <w:t>-- TAG-SUPPORTEDBANDWIDTH-START</w:t>
      </w:r>
    </w:p>
    <w:p w14:paraId="05E84863" w14:textId="77777777" w:rsidR="00394471" w:rsidRPr="00FA0D37" w:rsidRDefault="00394471" w:rsidP="00FA0D37">
      <w:pPr>
        <w:pStyle w:val="PL"/>
      </w:pPr>
    </w:p>
    <w:p w14:paraId="3B2DAE4B" w14:textId="77777777" w:rsidR="00394471" w:rsidRPr="00FA0D37" w:rsidRDefault="00394471" w:rsidP="00FA0D37">
      <w:pPr>
        <w:pStyle w:val="PL"/>
      </w:pPr>
      <w:r w:rsidRPr="00FA0D37">
        <w:t xml:space="preserve">SupportedBandwidth ::=      </w:t>
      </w:r>
      <w:r w:rsidRPr="00FA0D37">
        <w:rPr>
          <w:color w:val="993366"/>
        </w:rPr>
        <w:t>CHOICE</w:t>
      </w:r>
      <w:r w:rsidRPr="00FA0D37">
        <w:t xml:space="preserve"> {</w:t>
      </w:r>
    </w:p>
    <w:p w14:paraId="62845327" w14:textId="77777777" w:rsidR="00394471" w:rsidRPr="00FA0D37" w:rsidRDefault="00394471" w:rsidP="00FA0D37">
      <w:pPr>
        <w:pStyle w:val="PL"/>
      </w:pPr>
      <w:r w:rsidRPr="00FA0D37">
        <w:t xml:space="preserve">    fr1                         </w:t>
      </w:r>
      <w:r w:rsidRPr="00FA0D37">
        <w:rPr>
          <w:color w:val="993366"/>
        </w:rPr>
        <w:t>ENUMERATED</w:t>
      </w:r>
      <w:r w:rsidRPr="00FA0D37">
        <w:t xml:space="preserve"> {mhz5, mhz10, mhz15, mhz20, mhz25, mhz30, mhz40, mhz50, mhz60, mhz80, mhz100},</w:t>
      </w:r>
    </w:p>
    <w:p w14:paraId="0976EC31" w14:textId="77777777" w:rsidR="00394471" w:rsidRPr="00FA0D37" w:rsidRDefault="00394471" w:rsidP="00FA0D37">
      <w:pPr>
        <w:pStyle w:val="PL"/>
      </w:pPr>
      <w:r w:rsidRPr="00FA0D37">
        <w:t xml:space="preserve">    fr2                         </w:t>
      </w:r>
      <w:r w:rsidRPr="00FA0D37">
        <w:rPr>
          <w:color w:val="993366"/>
        </w:rPr>
        <w:t>ENUMERATED</w:t>
      </w:r>
      <w:r w:rsidRPr="00FA0D37">
        <w:t xml:space="preserve"> {mhz50, mhz100, mhz200, mhz400}</w:t>
      </w:r>
    </w:p>
    <w:p w14:paraId="0945BE81" w14:textId="77777777" w:rsidR="00721523" w:rsidRPr="00FA0D37" w:rsidRDefault="00394471" w:rsidP="00FA0D37">
      <w:pPr>
        <w:pStyle w:val="PL"/>
      </w:pPr>
      <w:r w:rsidRPr="00FA0D37">
        <w:t>}</w:t>
      </w:r>
    </w:p>
    <w:p w14:paraId="53AA0C77" w14:textId="77777777" w:rsidR="00721523" w:rsidRPr="00FA0D37" w:rsidRDefault="00721523" w:rsidP="00FA0D37">
      <w:pPr>
        <w:pStyle w:val="PL"/>
      </w:pPr>
    </w:p>
    <w:p w14:paraId="3DAD1483" w14:textId="46ED86A5" w:rsidR="00721523" w:rsidRPr="00FA0D37" w:rsidRDefault="00721523" w:rsidP="00FA0D37">
      <w:pPr>
        <w:pStyle w:val="PL"/>
      </w:pPr>
      <w:r w:rsidRPr="00FA0D37">
        <w:t xml:space="preserve">SupportedBandwidth-v1700 ::= </w:t>
      </w:r>
      <w:r w:rsidRPr="00FA0D37">
        <w:rPr>
          <w:color w:val="993366"/>
        </w:rPr>
        <w:t>CHOICE</w:t>
      </w:r>
      <w:r w:rsidRPr="00FA0D37">
        <w:t xml:space="preserve"> {</w:t>
      </w:r>
    </w:p>
    <w:p w14:paraId="66F4A63A" w14:textId="727AD830" w:rsidR="00721523" w:rsidRPr="00FA0D37" w:rsidRDefault="00721523" w:rsidP="00FA0D37">
      <w:pPr>
        <w:pStyle w:val="PL"/>
      </w:pPr>
      <w:r w:rsidRPr="00FA0D37">
        <w:t xml:space="preserve">    fr1-r17    </w:t>
      </w:r>
      <w:r w:rsidRPr="00FA0D37">
        <w:rPr>
          <w:color w:val="993366"/>
        </w:rPr>
        <w:t>ENUMERATED</w:t>
      </w:r>
      <w:r w:rsidRPr="00FA0D37">
        <w:t xml:space="preserve"> {mhz5, mhz10, mhz15, mhz20, mhz25, mhz30, mhz35, mhz40, mhz45, mhz50, mhz60, mhz70, mhz80, mhz90, mhz100},</w:t>
      </w:r>
    </w:p>
    <w:p w14:paraId="5299FC80" w14:textId="5F5F6C84" w:rsidR="00721523" w:rsidRPr="00FA0D37" w:rsidRDefault="00721523" w:rsidP="00FA0D37">
      <w:pPr>
        <w:pStyle w:val="PL"/>
      </w:pPr>
      <w:r w:rsidRPr="00FA0D37">
        <w:t xml:space="preserve">    fr2-r17    </w:t>
      </w:r>
      <w:r w:rsidRPr="00FA0D37">
        <w:rPr>
          <w:color w:val="993366"/>
        </w:rPr>
        <w:t>ENUMERATED</w:t>
      </w:r>
      <w:r w:rsidRPr="00FA0D37">
        <w:t xml:space="preserve"> {mhz50, mhz100, mhz200, mhz400</w:t>
      </w:r>
      <w:r w:rsidR="002C7704" w:rsidRPr="00FA0D37">
        <w:t>, mhz800, mhz1600, mhz2000</w:t>
      </w:r>
      <w:r w:rsidRPr="00FA0D37">
        <w:t>}</w:t>
      </w:r>
    </w:p>
    <w:p w14:paraId="324FD24B" w14:textId="787896E2" w:rsidR="00394471" w:rsidRPr="00FA0D37" w:rsidRDefault="00721523" w:rsidP="00FA0D37">
      <w:pPr>
        <w:pStyle w:val="PL"/>
      </w:pPr>
      <w:r w:rsidRPr="00FA0D37">
        <w:t>}</w:t>
      </w:r>
    </w:p>
    <w:p w14:paraId="3B434D74" w14:textId="77777777" w:rsidR="00394471" w:rsidRPr="00FA0D37" w:rsidRDefault="00394471" w:rsidP="00FA0D37">
      <w:pPr>
        <w:pStyle w:val="PL"/>
      </w:pPr>
    </w:p>
    <w:p w14:paraId="1FFF3C8D" w14:textId="77777777" w:rsidR="00394471" w:rsidRPr="00FA0D37" w:rsidRDefault="00394471" w:rsidP="00FA0D37">
      <w:pPr>
        <w:pStyle w:val="PL"/>
        <w:rPr>
          <w:color w:val="808080"/>
        </w:rPr>
      </w:pPr>
      <w:r w:rsidRPr="00FA0D37">
        <w:rPr>
          <w:color w:val="808080"/>
        </w:rPr>
        <w:t>-- TAG-SUPPORTEDBANDWIDTH-STOP</w:t>
      </w:r>
    </w:p>
    <w:p w14:paraId="1DC2A5CC" w14:textId="77777777" w:rsidR="00394471" w:rsidRPr="00FA0D37" w:rsidRDefault="00394471" w:rsidP="00FA0D37">
      <w:pPr>
        <w:pStyle w:val="PL"/>
        <w:rPr>
          <w:color w:val="808080"/>
        </w:rPr>
      </w:pPr>
      <w:r w:rsidRPr="00FA0D37">
        <w:rPr>
          <w:color w:val="808080"/>
        </w:rPr>
        <w:t>-- ASN1STOP</w:t>
      </w:r>
    </w:p>
    <w:p w14:paraId="4F5F3BE8" w14:textId="77777777" w:rsidR="00394471" w:rsidRPr="00FA0D37" w:rsidRDefault="00394471" w:rsidP="00394471">
      <w:pPr>
        <w:rPr>
          <w:rFonts w:eastAsiaTheme="minorEastAsia"/>
        </w:rPr>
      </w:pPr>
    </w:p>
    <w:p w14:paraId="138A00FC" w14:textId="4EB1EE4D" w:rsidR="00394471" w:rsidRPr="00FA0D37" w:rsidRDefault="00394471" w:rsidP="00394471">
      <w:pPr>
        <w:pStyle w:val="4"/>
      </w:pPr>
      <w:bookmarkStart w:id="1631" w:name="_Toc60777485"/>
      <w:bookmarkStart w:id="1632" w:name="_Toc146781594"/>
      <w:r w:rsidRPr="00FA0D37">
        <w:t>–</w:t>
      </w:r>
      <w:r w:rsidRPr="00FA0D37">
        <w:tab/>
      </w:r>
      <w:r w:rsidRPr="00FA0D37">
        <w:rPr>
          <w:i/>
        </w:rPr>
        <w:t>UE-BasedPerfMeas-Parameters</w:t>
      </w:r>
      <w:bookmarkEnd w:id="1631"/>
      <w:bookmarkEnd w:id="1632"/>
    </w:p>
    <w:p w14:paraId="305484E3" w14:textId="77777777" w:rsidR="00394471" w:rsidRPr="00FA0D37" w:rsidRDefault="00394471" w:rsidP="00394471">
      <w:r w:rsidRPr="00FA0D37">
        <w:t xml:space="preserve">The IE </w:t>
      </w:r>
      <w:r w:rsidRPr="00FA0D37">
        <w:rPr>
          <w:i/>
        </w:rPr>
        <w:t>UE-BasedPerfMeas-Parameters</w:t>
      </w:r>
      <w:r w:rsidRPr="00FA0D37">
        <w:t xml:space="preserve"> contains UE-based performance measurement parameters.</w:t>
      </w:r>
    </w:p>
    <w:p w14:paraId="357ABAED" w14:textId="77777777" w:rsidR="00394471" w:rsidRPr="00FA0D37" w:rsidRDefault="00394471" w:rsidP="00394471">
      <w:pPr>
        <w:pStyle w:val="TH"/>
      </w:pPr>
      <w:r w:rsidRPr="00FA0D37">
        <w:rPr>
          <w:i/>
        </w:rPr>
        <w:t>UE-BasedPerfMeas-Parameters</w:t>
      </w:r>
      <w:r w:rsidRPr="00FA0D37">
        <w:t xml:space="preserve"> information element</w:t>
      </w:r>
    </w:p>
    <w:p w14:paraId="4061F45C" w14:textId="77777777" w:rsidR="00394471" w:rsidRPr="00FA0D37" w:rsidRDefault="00394471" w:rsidP="00FA0D37">
      <w:pPr>
        <w:pStyle w:val="PL"/>
        <w:rPr>
          <w:color w:val="808080"/>
        </w:rPr>
      </w:pPr>
      <w:r w:rsidRPr="00FA0D37">
        <w:rPr>
          <w:color w:val="808080"/>
        </w:rPr>
        <w:t>-- ASN1START</w:t>
      </w:r>
    </w:p>
    <w:p w14:paraId="08E8343C" w14:textId="77777777" w:rsidR="00394471" w:rsidRPr="00FA0D37" w:rsidRDefault="00394471" w:rsidP="00FA0D37">
      <w:pPr>
        <w:pStyle w:val="PL"/>
        <w:rPr>
          <w:color w:val="808080"/>
        </w:rPr>
      </w:pPr>
      <w:r w:rsidRPr="00FA0D37">
        <w:rPr>
          <w:color w:val="808080"/>
        </w:rPr>
        <w:t>-- TAG-UE-BASEDPERFMEAS-PARAMETERS-START</w:t>
      </w:r>
    </w:p>
    <w:p w14:paraId="4F2887DC" w14:textId="77777777" w:rsidR="00394471" w:rsidRPr="00FA0D37" w:rsidRDefault="00394471" w:rsidP="00FA0D37">
      <w:pPr>
        <w:pStyle w:val="PL"/>
      </w:pPr>
    </w:p>
    <w:p w14:paraId="60F0E740" w14:textId="77777777" w:rsidR="00394471" w:rsidRPr="00FA0D37" w:rsidRDefault="00394471" w:rsidP="00FA0D37">
      <w:pPr>
        <w:pStyle w:val="PL"/>
      </w:pPr>
      <w:r w:rsidRPr="00FA0D37">
        <w:t xml:space="preserve">UE-BasedPerfMeas-Parameters-r16 ::= </w:t>
      </w:r>
      <w:r w:rsidRPr="00FA0D37">
        <w:rPr>
          <w:color w:val="993366"/>
        </w:rPr>
        <w:t>SEQUENCE</w:t>
      </w:r>
      <w:r w:rsidRPr="00FA0D37">
        <w:t xml:space="preserve"> {</w:t>
      </w:r>
    </w:p>
    <w:p w14:paraId="14E46469" w14:textId="77777777" w:rsidR="00394471" w:rsidRPr="00FA0D37" w:rsidRDefault="00394471" w:rsidP="00FA0D37">
      <w:pPr>
        <w:pStyle w:val="PL"/>
        <w:rPr>
          <w:rFonts w:eastAsia="Batang"/>
        </w:rPr>
      </w:pPr>
      <w:r w:rsidRPr="00FA0D37">
        <w:t xml:space="preserve">    </w:t>
      </w:r>
      <w:r w:rsidRPr="00FA0D37">
        <w:rPr>
          <w:rFonts w:eastAsia="Batang"/>
        </w:rPr>
        <w:t>barometerMeasReport-r16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18ECC1AD" w14:textId="77777777" w:rsidR="00394471" w:rsidRPr="00FA0D37" w:rsidRDefault="00394471" w:rsidP="00FA0D37">
      <w:pPr>
        <w:pStyle w:val="PL"/>
        <w:rPr>
          <w:rFonts w:eastAsia="Batang"/>
        </w:rPr>
      </w:pPr>
      <w:r w:rsidRPr="00FA0D37">
        <w:t xml:space="preserve">    </w:t>
      </w:r>
      <w:r w:rsidRPr="00FA0D37">
        <w:rPr>
          <w:rFonts w:eastAsia="Batang"/>
        </w:rPr>
        <w:t>immMeasBT-r16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4DCEBFCC" w14:textId="77777777" w:rsidR="00394471" w:rsidRPr="00FA0D37" w:rsidRDefault="00394471" w:rsidP="00FA0D37">
      <w:pPr>
        <w:pStyle w:val="PL"/>
        <w:rPr>
          <w:rFonts w:eastAsia="Batang"/>
        </w:rPr>
      </w:pPr>
      <w:r w:rsidRPr="00FA0D37">
        <w:t xml:space="preserve">    </w:t>
      </w:r>
      <w:r w:rsidRPr="00FA0D37">
        <w:rPr>
          <w:rFonts w:eastAsia="Batang"/>
        </w:rPr>
        <w:t>immMeasWLAN-r16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0FA0C68F" w14:textId="77777777" w:rsidR="00394471" w:rsidRPr="00FA0D37" w:rsidRDefault="00394471" w:rsidP="00FA0D37">
      <w:pPr>
        <w:pStyle w:val="PL"/>
        <w:rPr>
          <w:rFonts w:eastAsia="Batang"/>
        </w:rPr>
      </w:pPr>
      <w:r w:rsidRPr="00FA0D37">
        <w:t xml:space="preserve">    </w:t>
      </w:r>
      <w:r w:rsidRPr="00FA0D37">
        <w:rPr>
          <w:rFonts w:eastAsia="Batang"/>
        </w:rPr>
        <w:t>loggedMeasBT-r16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25EE2070" w14:textId="77777777" w:rsidR="00394471" w:rsidRPr="00FA0D37" w:rsidRDefault="00394471" w:rsidP="00FA0D37">
      <w:pPr>
        <w:pStyle w:val="PL"/>
        <w:rPr>
          <w:rFonts w:eastAsia="Batang"/>
        </w:rPr>
      </w:pPr>
      <w:r w:rsidRPr="00FA0D37">
        <w:t xml:space="preserve">    </w:t>
      </w:r>
      <w:r w:rsidRPr="00FA0D37">
        <w:rPr>
          <w:rFonts w:eastAsia="Batang"/>
        </w:rPr>
        <w:t>loggedMeasurements-r16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3B5F1CEA" w14:textId="77777777" w:rsidR="00394471" w:rsidRPr="00FA0D37" w:rsidRDefault="00394471" w:rsidP="00FA0D37">
      <w:pPr>
        <w:pStyle w:val="PL"/>
        <w:rPr>
          <w:rFonts w:eastAsia="Batang"/>
        </w:rPr>
      </w:pPr>
      <w:r w:rsidRPr="00FA0D37">
        <w:t xml:space="preserve">    </w:t>
      </w:r>
      <w:r w:rsidRPr="00FA0D37">
        <w:rPr>
          <w:rFonts w:eastAsia="Batang"/>
        </w:rPr>
        <w:t>loggedMeasWLAN-r16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4AE507A3" w14:textId="77777777" w:rsidR="00394471" w:rsidRPr="00FA0D37" w:rsidRDefault="00394471" w:rsidP="00FA0D37">
      <w:pPr>
        <w:pStyle w:val="PL"/>
        <w:rPr>
          <w:rFonts w:eastAsia="Batang"/>
        </w:rPr>
      </w:pPr>
      <w:r w:rsidRPr="00FA0D37">
        <w:t xml:space="preserve">    </w:t>
      </w:r>
      <w:r w:rsidRPr="00FA0D37">
        <w:rPr>
          <w:rFonts w:eastAsia="Batang"/>
        </w:rPr>
        <w:t>orientationMeasReport-r16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4F62CEC2" w14:textId="77777777" w:rsidR="00394471" w:rsidRPr="00FA0D37" w:rsidRDefault="00394471" w:rsidP="00FA0D37">
      <w:pPr>
        <w:pStyle w:val="PL"/>
        <w:rPr>
          <w:rFonts w:eastAsia="Batang"/>
        </w:rPr>
      </w:pPr>
      <w:r w:rsidRPr="00FA0D37">
        <w:t xml:space="preserve">    </w:t>
      </w:r>
      <w:r w:rsidRPr="00FA0D37">
        <w:rPr>
          <w:rFonts w:eastAsia="Batang"/>
        </w:rPr>
        <w:t>speedMeasReport-r16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1CA2BA73" w14:textId="77777777" w:rsidR="00394471" w:rsidRPr="00FA0D37" w:rsidRDefault="00394471" w:rsidP="00FA0D37">
      <w:pPr>
        <w:pStyle w:val="PL"/>
        <w:rPr>
          <w:rFonts w:eastAsia="Batang"/>
        </w:rPr>
      </w:pPr>
      <w:r w:rsidRPr="00FA0D37">
        <w:t xml:space="preserve">    </w:t>
      </w:r>
      <w:r w:rsidRPr="00FA0D37">
        <w:rPr>
          <w:rFonts w:eastAsia="Batang"/>
        </w:rPr>
        <w:t>gnss-Location-r16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29D79CAE" w14:textId="77777777" w:rsidR="00394471" w:rsidRPr="00FA0D37" w:rsidRDefault="00394471" w:rsidP="00FA0D37">
      <w:pPr>
        <w:pStyle w:val="PL"/>
        <w:rPr>
          <w:rFonts w:eastAsia="Batang"/>
        </w:rPr>
      </w:pPr>
      <w:r w:rsidRPr="00FA0D37">
        <w:lastRenderedPageBreak/>
        <w:t xml:space="preserve">    </w:t>
      </w:r>
      <w:r w:rsidRPr="00FA0D37">
        <w:rPr>
          <w:rFonts w:eastAsia="Batang"/>
        </w:rPr>
        <w:t>ulPDCP-Delay-r16</w:t>
      </w:r>
      <w:r w:rsidRPr="00FA0D37">
        <w:t xml:space="preserve">             </w:t>
      </w:r>
      <w:r w:rsidRPr="00FA0D37">
        <w:rPr>
          <w:rFonts w:eastAsia="Batang"/>
          <w:color w:val="993366"/>
        </w:rPr>
        <w:t>ENUMERATED</w:t>
      </w:r>
      <w:r w:rsidRPr="00FA0D37">
        <w:rPr>
          <w:rFonts w:eastAsia="Batang"/>
        </w:rPr>
        <w:t xml:space="preserve"> {supported}</w:t>
      </w:r>
      <w:r w:rsidRPr="00FA0D37">
        <w:t xml:space="preserve">        </w:t>
      </w:r>
      <w:r w:rsidRPr="00FA0D37">
        <w:rPr>
          <w:rFonts w:eastAsia="Batang"/>
          <w:color w:val="993366"/>
        </w:rPr>
        <w:t>OPTIONAL</w:t>
      </w:r>
      <w:r w:rsidRPr="00FA0D37">
        <w:rPr>
          <w:rFonts w:eastAsia="Batang"/>
        </w:rPr>
        <w:t>,</w:t>
      </w:r>
    </w:p>
    <w:p w14:paraId="4F75994F" w14:textId="0A37F7F9" w:rsidR="00721523" w:rsidRPr="00FA0D37" w:rsidRDefault="00394471" w:rsidP="00FA0D37">
      <w:pPr>
        <w:pStyle w:val="PL"/>
      </w:pPr>
      <w:r w:rsidRPr="00FA0D37">
        <w:t xml:space="preserve">   </w:t>
      </w:r>
      <w:r w:rsidR="00721523" w:rsidRPr="00FA0D37">
        <w:t xml:space="preserve"> </w:t>
      </w:r>
      <w:r w:rsidRPr="00FA0D37">
        <w:t>...</w:t>
      </w:r>
      <w:r w:rsidR="00721523" w:rsidRPr="00FA0D37">
        <w:t>,</w:t>
      </w:r>
    </w:p>
    <w:p w14:paraId="6D874C81" w14:textId="77777777" w:rsidR="00721523" w:rsidRPr="00FA0D37" w:rsidRDefault="00721523" w:rsidP="00FA0D37">
      <w:pPr>
        <w:pStyle w:val="PL"/>
      </w:pPr>
      <w:r w:rsidRPr="00FA0D37">
        <w:t xml:space="preserve">    [[</w:t>
      </w:r>
    </w:p>
    <w:p w14:paraId="7A8EE4C6" w14:textId="73A3C264" w:rsidR="00721523" w:rsidRPr="00FA0D37" w:rsidRDefault="00721523" w:rsidP="00FA0D37">
      <w:pPr>
        <w:pStyle w:val="PL"/>
      </w:pPr>
      <w:r w:rsidRPr="00FA0D37">
        <w:t xml:space="preserve">    sigBasedLogMDT-OverrideProtect-r17 </w:t>
      </w:r>
      <w:r w:rsidRPr="00FA0D37">
        <w:rPr>
          <w:color w:val="993366"/>
        </w:rPr>
        <w:t>ENUMERATED</w:t>
      </w:r>
      <w:r w:rsidRPr="00FA0D37">
        <w:t xml:space="preserve"> {supported}  </w:t>
      </w:r>
      <w:r w:rsidRPr="00FA0D37">
        <w:rPr>
          <w:color w:val="993366"/>
        </w:rPr>
        <w:t>OPTIONAL</w:t>
      </w:r>
      <w:r w:rsidRPr="00FA0D37">
        <w:t>,</w:t>
      </w:r>
    </w:p>
    <w:p w14:paraId="56EB8022" w14:textId="0FDEA7BB" w:rsidR="00721523" w:rsidRPr="00FA0D37" w:rsidRDefault="00721523" w:rsidP="00FA0D37">
      <w:pPr>
        <w:pStyle w:val="PL"/>
      </w:pPr>
      <w:r w:rsidRPr="00FA0D37">
        <w:t xml:space="preserve">    multipleCEF-Report-r17             </w:t>
      </w:r>
      <w:r w:rsidRPr="00FA0D37">
        <w:rPr>
          <w:color w:val="993366"/>
        </w:rPr>
        <w:t>ENUMERATED</w:t>
      </w:r>
      <w:r w:rsidRPr="00FA0D37">
        <w:t xml:space="preserve"> {supported}  </w:t>
      </w:r>
      <w:r w:rsidRPr="00FA0D37">
        <w:rPr>
          <w:color w:val="993366"/>
        </w:rPr>
        <w:t>OPTIONAL</w:t>
      </w:r>
      <w:r w:rsidRPr="00FA0D37">
        <w:t>,</w:t>
      </w:r>
    </w:p>
    <w:p w14:paraId="0C00DF35" w14:textId="77777777" w:rsidR="002C7704" w:rsidRPr="00FA0D37" w:rsidRDefault="00721523" w:rsidP="00FA0D37">
      <w:pPr>
        <w:pStyle w:val="PL"/>
      </w:pPr>
      <w:r w:rsidRPr="00FA0D37">
        <w:t xml:space="preserve">    excessPacketDelay-r17              </w:t>
      </w:r>
      <w:r w:rsidRPr="00FA0D37">
        <w:rPr>
          <w:color w:val="993366"/>
        </w:rPr>
        <w:t>ENUMERATED</w:t>
      </w:r>
      <w:r w:rsidRPr="00FA0D37">
        <w:t xml:space="preserve"> {supported}  </w:t>
      </w:r>
      <w:r w:rsidRPr="00FA0D37">
        <w:rPr>
          <w:color w:val="993366"/>
        </w:rPr>
        <w:t>OPTIONAL</w:t>
      </w:r>
      <w:r w:rsidR="002C7704" w:rsidRPr="00FA0D37">
        <w:t>,</w:t>
      </w:r>
    </w:p>
    <w:p w14:paraId="239F6A1A" w14:textId="6A074742" w:rsidR="00721523" w:rsidRPr="00FA0D37" w:rsidRDefault="002C7704" w:rsidP="00FA0D37">
      <w:pPr>
        <w:pStyle w:val="PL"/>
      </w:pPr>
      <w:r w:rsidRPr="00FA0D37">
        <w:t xml:space="preserve">    earlyMeasLog-r17                   </w:t>
      </w:r>
      <w:r w:rsidRPr="00FA0D37">
        <w:rPr>
          <w:color w:val="993366"/>
        </w:rPr>
        <w:t>ENUMERATED</w:t>
      </w:r>
      <w:r w:rsidRPr="00FA0D37">
        <w:t xml:space="preserve"> {supported}  </w:t>
      </w:r>
      <w:r w:rsidRPr="00FA0D37">
        <w:rPr>
          <w:color w:val="993366"/>
        </w:rPr>
        <w:t>OPTIONAL</w:t>
      </w:r>
    </w:p>
    <w:p w14:paraId="4FA27CF4" w14:textId="35B62171" w:rsidR="00394471" w:rsidRPr="00FA0D37" w:rsidRDefault="00721523" w:rsidP="00FA0D37">
      <w:pPr>
        <w:pStyle w:val="PL"/>
      </w:pPr>
      <w:r w:rsidRPr="00FA0D37">
        <w:t xml:space="preserve">    ]]</w:t>
      </w:r>
    </w:p>
    <w:p w14:paraId="27A069E5" w14:textId="77777777" w:rsidR="00394471" w:rsidRPr="00FA0D37" w:rsidRDefault="00394471" w:rsidP="00FA0D37">
      <w:pPr>
        <w:pStyle w:val="PL"/>
      </w:pPr>
      <w:r w:rsidRPr="00FA0D37">
        <w:t>}</w:t>
      </w:r>
    </w:p>
    <w:p w14:paraId="500B3415" w14:textId="77777777" w:rsidR="00394471" w:rsidRPr="00FA0D37" w:rsidRDefault="00394471" w:rsidP="00FA0D37">
      <w:pPr>
        <w:pStyle w:val="PL"/>
      </w:pPr>
    </w:p>
    <w:p w14:paraId="58D9E4D1" w14:textId="77777777" w:rsidR="00394471" w:rsidRPr="00FA0D37" w:rsidRDefault="00394471" w:rsidP="00FA0D37">
      <w:pPr>
        <w:pStyle w:val="PL"/>
        <w:rPr>
          <w:color w:val="808080"/>
        </w:rPr>
      </w:pPr>
      <w:r w:rsidRPr="00FA0D37">
        <w:rPr>
          <w:color w:val="808080"/>
        </w:rPr>
        <w:t>-- TAG-UE-BASEDPERFMEAS-PARAMETERS-STOP</w:t>
      </w:r>
    </w:p>
    <w:p w14:paraId="3A2C01F0" w14:textId="77777777" w:rsidR="00394471" w:rsidRPr="00FA0D37" w:rsidRDefault="00394471" w:rsidP="00FA0D37">
      <w:pPr>
        <w:pStyle w:val="PL"/>
        <w:rPr>
          <w:color w:val="808080"/>
        </w:rPr>
      </w:pPr>
      <w:r w:rsidRPr="00FA0D37">
        <w:rPr>
          <w:color w:val="808080"/>
        </w:rPr>
        <w:t>-- ASN1STOP</w:t>
      </w:r>
    </w:p>
    <w:p w14:paraId="45533020" w14:textId="77777777" w:rsidR="00394471" w:rsidRPr="00FA0D37" w:rsidRDefault="00394471" w:rsidP="00394471"/>
    <w:p w14:paraId="236A1099" w14:textId="56999C3F" w:rsidR="00394471" w:rsidRPr="00FA0D37" w:rsidRDefault="00394471" w:rsidP="00394471">
      <w:pPr>
        <w:pStyle w:val="4"/>
        <w:rPr>
          <w:noProof/>
        </w:rPr>
      </w:pPr>
      <w:bookmarkStart w:id="1633" w:name="_Toc60777486"/>
      <w:bookmarkStart w:id="1634" w:name="_Toc146781595"/>
      <w:r w:rsidRPr="00FA0D37">
        <w:t>–</w:t>
      </w:r>
      <w:r w:rsidRPr="00FA0D37">
        <w:tab/>
      </w:r>
      <w:r w:rsidRPr="00FA0D37">
        <w:rPr>
          <w:i/>
          <w:noProof/>
        </w:rPr>
        <w:t>UE-CapabilityRAT-ContainerList</w:t>
      </w:r>
      <w:bookmarkEnd w:id="1633"/>
      <w:bookmarkEnd w:id="1634"/>
    </w:p>
    <w:p w14:paraId="370B704F" w14:textId="77777777" w:rsidR="00394471" w:rsidRPr="00FA0D37" w:rsidRDefault="00394471" w:rsidP="00394471">
      <w:r w:rsidRPr="00FA0D37">
        <w:t xml:space="preserve">The IE </w:t>
      </w:r>
      <w:r w:rsidRPr="00FA0D37">
        <w:rPr>
          <w:i/>
        </w:rPr>
        <w:t>UE-CapabilityRAT-ContainerList</w:t>
      </w:r>
      <w:r w:rsidRPr="00FA0D37">
        <w:t xml:space="preserve"> contains a list of radio access technology specific capability containers.</w:t>
      </w:r>
    </w:p>
    <w:p w14:paraId="4CE05F6A" w14:textId="77777777" w:rsidR="00394471" w:rsidRPr="00FA0D37" w:rsidRDefault="00394471" w:rsidP="00394471">
      <w:pPr>
        <w:pStyle w:val="TH"/>
      </w:pPr>
      <w:r w:rsidRPr="00FA0D37">
        <w:rPr>
          <w:i/>
        </w:rPr>
        <w:t>UE-CapabilityRAT-ContainerList</w:t>
      </w:r>
      <w:r w:rsidRPr="00FA0D37">
        <w:t xml:space="preserve"> information element</w:t>
      </w:r>
    </w:p>
    <w:p w14:paraId="56B941BE" w14:textId="77777777" w:rsidR="00394471" w:rsidRPr="00FA0D37" w:rsidRDefault="00394471" w:rsidP="00FA0D37">
      <w:pPr>
        <w:pStyle w:val="PL"/>
        <w:rPr>
          <w:color w:val="808080"/>
        </w:rPr>
      </w:pPr>
      <w:r w:rsidRPr="00FA0D37">
        <w:rPr>
          <w:color w:val="808080"/>
        </w:rPr>
        <w:t>-- ASN1START</w:t>
      </w:r>
    </w:p>
    <w:p w14:paraId="1C1C06DE" w14:textId="77777777" w:rsidR="00394471" w:rsidRPr="00FA0D37" w:rsidRDefault="00394471" w:rsidP="00FA0D37">
      <w:pPr>
        <w:pStyle w:val="PL"/>
        <w:rPr>
          <w:color w:val="808080"/>
        </w:rPr>
      </w:pPr>
      <w:r w:rsidRPr="00FA0D37">
        <w:rPr>
          <w:color w:val="808080"/>
        </w:rPr>
        <w:t>-- TAG-UE-CAPABILITYRAT-CONTAINERLIST-START</w:t>
      </w:r>
    </w:p>
    <w:p w14:paraId="7A403B40" w14:textId="77777777" w:rsidR="00394471" w:rsidRPr="00FA0D37" w:rsidRDefault="00394471" w:rsidP="00FA0D37">
      <w:pPr>
        <w:pStyle w:val="PL"/>
      </w:pPr>
    </w:p>
    <w:p w14:paraId="0D2E06D5" w14:textId="77777777" w:rsidR="00394471" w:rsidRPr="00FA0D37" w:rsidRDefault="00394471" w:rsidP="00FA0D37">
      <w:pPr>
        <w:pStyle w:val="PL"/>
      </w:pPr>
      <w:r w:rsidRPr="00FA0D37">
        <w:t xml:space="preserve">UE-CapabilityRAT-ContainerList ::=    </w:t>
      </w:r>
      <w:r w:rsidRPr="00FA0D37">
        <w:rPr>
          <w:color w:val="993366"/>
        </w:rPr>
        <w:t>SEQUENCE</w:t>
      </w:r>
      <w:r w:rsidRPr="00FA0D37">
        <w:t xml:space="preserve"> (</w:t>
      </w:r>
      <w:r w:rsidRPr="00FA0D37">
        <w:rPr>
          <w:color w:val="993366"/>
        </w:rPr>
        <w:t>SIZE</w:t>
      </w:r>
      <w:r w:rsidRPr="00FA0D37">
        <w:t xml:space="preserve"> (0..maxRAT-CapabilityContainers))</w:t>
      </w:r>
      <w:r w:rsidRPr="00FA0D37">
        <w:rPr>
          <w:color w:val="993366"/>
        </w:rPr>
        <w:t xml:space="preserve"> OF</w:t>
      </w:r>
      <w:r w:rsidRPr="00FA0D37">
        <w:t xml:space="preserve"> UE-CapabilityRAT-Container</w:t>
      </w:r>
    </w:p>
    <w:p w14:paraId="39C8C12B" w14:textId="77777777" w:rsidR="00394471" w:rsidRPr="00FA0D37" w:rsidRDefault="00394471" w:rsidP="00FA0D37">
      <w:pPr>
        <w:pStyle w:val="PL"/>
      </w:pPr>
    </w:p>
    <w:p w14:paraId="65A75367" w14:textId="77777777" w:rsidR="00394471" w:rsidRPr="00FA0D37" w:rsidRDefault="00394471" w:rsidP="00FA0D37">
      <w:pPr>
        <w:pStyle w:val="PL"/>
      </w:pPr>
      <w:r w:rsidRPr="00FA0D37">
        <w:t xml:space="preserve">UE-CapabilityRAT-Container ::=        </w:t>
      </w:r>
      <w:r w:rsidRPr="00FA0D37">
        <w:rPr>
          <w:color w:val="993366"/>
        </w:rPr>
        <w:t>SEQUENCE</w:t>
      </w:r>
      <w:r w:rsidRPr="00FA0D37">
        <w:t xml:space="preserve"> {</w:t>
      </w:r>
    </w:p>
    <w:p w14:paraId="5F378CE1" w14:textId="77777777" w:rsidR="00394471" w:rsidRPr="00FA0D37" w:rsidRDefault="00394471" w:rsidP="00FA0D37">
      <w:pPr>
        <w:pStyle w:val="PL"/>
      </w:pPr>
      <w:r w:rsidRPr="00FA0D37">
        <w:t xml:space="preserve">    rat-Type                              RAT-Type,</w:t>
      </w:r>
    </w:p>
    <w:p w14:paraId="7124743E" w14:textId="77777777" w:rsidR="00394471" w:rsidRPr="00FA0D37" w:rsidRDefault="00394471" w:rsidP="00FA0D37">
      <w:pPr>
        <w:pStyle w:val="PL"/>
      </w:pPr>
      <w:r w:rsidRPr="00FA0D37">
        <w:t xml:space="preserve">    ue-CapabilityRAT-Container            </w:t>
      </w:r>
      <w:r w:rsidRPr="00FA0D37">
        <w:rPr>
          <w:color w:val="993366"/>
        </w:rPr>
        <w:t>OCTET</w:t>
      </w:r>
      <w:r w:rsidRPr="00FA0D37">
        <w:t xml:space="preserve"> </w:t>
      </w:r>
      <w:r w:rsidRPr="00FA0D37">
        <w:rPr>
          <w:color w:val="993366"/>
        </w:rPr>
        <w:t>STRING</w:t>
      </w:r>
    </w:p>
    <w:p w14:paraId="1E8C6CEE" w14:textId="77777777" w:rsidR="00394471" w:rsidRPr="00FA0D37" w:rsidRDefault="00394471" w:rsidP="00FA0D37">
      <w:pPr>
        <w:pStyle w:val="PL"/>
      </w:pPr>
      <w:r w:rsidRPr="00FA0D37">
        <w:t>}</w:t>
      </w:r>
    </w:p>
    <w:p w14:paraId="0C3BAA6D" w14:textId="77777777" w:rsidR="00394471" w:rsidRPr="00FA0D37" w:rsidRDefault="00394471" w:rsidP="00FA0D37">
      <w:pPr>
        <w:pStyle w:val="PL"/>
      </w:pPr>
    </w:p>
    <w:p w14:paraId="6805C168" w14:textId="77777777" w:rsidR="00394471" w:rsidRPr="00FA0D37" w:rsidRDefault="00394471" w:rsidP="00FA0D37">
      <w:pPr>
        <w:pStyle w:val="PL"/>
        <w:rPr>
          <w:color w:val="808080"/>
        </w:rPr>
      </w:pPr>
      <w:r w:rsidRPr="00FA0D37">
        <w:rPr>
          <w:color w:val="808080"/>
        </w:rPr>
        <w:t>-- TAG-UE-CAPABILITYRAT-CONTAINERLIST-STOP</w:t>
      </w:r>
    </w:p>
    <w:p w14:paraId="3FD99A42" w14:textId="77777777" w:rsidR="00394471" w:rsidRPr="00FA0D37" w:rsidRDefault="00394471" w:rsidP="00FA0D37">
      <w:pPr>
        <w:pStyle w:val="PL"/>
        <w:rPr>
          <w:color w:val="808080"/>
        </w:rPr>
      </w:pPr>
      <w:r w:rsidRPr="00FA0D37">
        <w:rPr>
          <w:color w:val="808080"/>
        </w:rPr>
        <w:t>-- ASN1STOP</w:t>
      </w:r>
    </w:p>
    <w:p w14:paraId="19FFA9E6"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3E97379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025A0D2" w14:textId="77777777" w:rsidR="00394471" w:rsidRPr="00FA0D37" w:rsidRDefault="00394471" w:rsidP="00964CC4">
            <w:pPr>
              <w:pStyle w:val="TAH"/>
              <w:rPr>
                <w:lang w:eastAsia="sv-SE"/>
              </w:rPr>
            </w:pPr>
            <w:r w:rsidRPr="00FA0D37">
              <w:rPr>
                <w:i/>
                <w:lang w:eastAsia="sv-SE"/>
              </w:rPr>
              <w:t>UE-CapabilityRAT-ContainerList</w:t>
            </w:r>
            <w:r w:rsidRPr="00FA0D37">
              <w:rPr>
                <w:lang w:eastAsia="sv-SE"/>
              </w:rPr>
              <w:t xml:space="preserve"> field descriptions</w:t>
            </w:r>
          </w:p>
        </w:tc>
      </w:tr>
      <w:tr w:rsidR="00394471" w:rsidRPr="00FA0D37" w14:paraId="3C812DF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A3D32AA" w14:textId="77777777" w:rsidR="00394471" w:rsidRPr="00FA0D37" w:rsidRDefault="00394471" w:rsidP="00964CC4">
            <w:pPr>
              <w:pStyle w:val="TAL"/>
              <w:rPr>
                <w:b/>
                <w:i/>
                <w:lang w:eastAsia="sv-SE"/>
              </w:rPr>
            </w:pPr>
            <w:r w:rsidRPr="00FA0D37">
              <w:rPr>
                <w:b/>
                <w:i/>
                <w:lang w:eastAsia="sv-SE"/>
              </w:rPr>
              <w:t>ue-CapabilityRAT-Container</w:t>
            </w:r>
          </w:p>
          <w:p w14:paraId="28CD8790" w14:textId="77777777" w:rsidR="00394471" w:rsidRPr="00FA0D37" w:rsidRDefault="00394471" w:rsidP="00964CC4">
            <w:pPr>
              <w:pStyle w:val="TAL"/>
              <w:rPr>
                <w:lang w:eastAsia="sv-SE"/>
              </w:rPr>
            </w:pPr>
            <w:r w:rsidRPr="00FA0D37">
              <w:rPr>
                <w:lang w:eastAsia="sv-SE"/>
              </w:rPr>
              <w:t>Container for the UE capabilities of the indicated RAT. The encoding is defined in the specification of each RAT:</w:t>
            </w:r>
          </w:p>
          <w:p w14:paraId="6FD6770D" w14:textId="77777777" w:rsidR="00394471" w:rsidRPr="00FA0D37" w:rsidRDefault="00394471" w:rsidP="00964CC4">
            <w:pPr>
              <w:pStyle w:val="TAL"/>
              <w:rPr>
                <w:lang w:eastAsia="sv-SE"/>
              </w:rPr>
            </w:pPr>
            <w:r w:rsidRPr="00FA0D37">
              <w:rPr>
                <w:lang w:eastAsia="sv-SE"/>
              </w:rPr>
              <w:t xml:space="preserve">For </w:t>
            </w:r>
            <w:r w:rsidRPr="00FA0D37">
              <w:rPr>
                <w:i/>
                <w:lang w:eastAsia="sv-SE"/>
              </w:rPr>
              <w:t>rat-Type</w:t>
            </w:r>
            <w:r w:rsidRPr="00FA0D37">
              <w:rPr>
                <w:lang w:eastAsia="sv-SE"/>
              </w:rPr>
              <w:t xml:space="preserve"> set to </w:t>
            </w:r>
            <w:r w:rsidRPr="00FA0D37">
              <w:rPr>
                <w:i/>
                <w:lang w:eastAsia="sv-SE"/>
              </w:rPr>
              <w:t>nr</w:t>
            </w:r>
            <w:r w:rsidRPr="00FA0D37">
              <w:rPr>
                <w:lang w:eastAsia="sv-SE"/>
              </w:rPr>
              <w:t xml:space="preserve">: the encoding of UE capabilities is defined in </w:t>
            </w:r>
            <w:r w:rsidRPr="00FA0D37">
              <w:rPr>
                <w:i/>
                <w:lang w:eastAsia="sv-SE"/>
              </w:rPr>
              <w:t>UE-NR-Capability</w:t>
            </w:r>
            <w:r w:rsidRPr="00FA0D37">
              <w:rPr>
                <w:lang w:eastAsia="sv-SE"/>
              </w:rPr>
              <w:t>.</w:t>
            </w:r>
          </w:p>
          <w:p w14:paraId="11A22277" w14:textId="77777777" w:rsidR="00394471" w:rsidRPr="00FA0D37" w:rsidRDefault="00394471" w:rsidP="00964CC4">
            <w:pPr>
              <w:pStyle w:val="TAL"/>
              <w:rPr>
                <w:lang w:eastAsia="sv-SE"/>
              </w:rPr>
            </w:pPr>
            <w:r w:rsidRPr="00FA0D37">
              <w:rPr>
                <w:lang w:eastAsia="sv-SE"/>
              </w:rPr>
              <w:t xml:space="preserve">For </w:t>
            </w:r>
            <w:r w:rsidRPr="00FA0D37">
              <w:rPr>
                <w:i/>
                <w:lang w:eastAsia="sv-SE"/>
              </w:rPr>
              <w:t>rat-Type</w:t>
            </w:r>
            <w:r w:rsidRPr="00FA0D37">
              <w:rPr>
                <w:lang w:eastAsia="sv-SE"/>
              </w:rPr>
              <w:t xml:space="preserve"> set to </w:t>
            </w:r>
            <w:r w:rsidRPr="00FA0D37">
              <w:rPr>
                <w:i/>
                <w:lang w:eastAsia="sv-SE"/>
              </w:rPr>
              <w:t>eutra-nr</w:t>
            </w:r>
            <w:r w:rsidRPr="00FA0D37">
              <w:rPr>
                <w:lang w:eastAsia="sv-SE"/>
              </w:rPr>
              <w:t xml:space="preserve">: the encoding of UE capabilities is defined in </w:t>
            </w:r>
            <w:r w:rsidRPr="00FA0D37">
              <w:rPr>
                <w:i/>
                <w:lang w:eastAsia="sv-SE"/>
              </w:rPr>
              <w:t>UE-MRDC-Capability</w:t>
            </w:r>
            <w:r w:rsidRPr="00FA0D37">
              <w:rPr>
                <w:lang w:eastAsia="sv-SE"/>
              </w:rPr>
              <w:t>.</w:t>
            </w:r>
          </w:p>
          <w:p w14:paraId="1410E2B6"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For </w:t>
            </w:r>
            <w:r w:rsidRPr="00FA0D37">
              <w:rPr>
                <w:rFonts w:eastAsia="Calibri"/>
                <w:i/>
                <w:szCs w:val="22"/>
                <w:lang w:eastAsia="sv-SE"/>
              </w:rPr>
              <w:t>rat-Type</w:t>
            </w:r>
            <w:r w:rsidRPr="00FA0D37">
              <w:rPr>
                <w:rFonts w:eastAsia="Calibri"/>
                <w:szCs w:val="22"/>
                <w:lang w:eastAsia="sv-SE"/>
              </w:rPr>
              <w:t xml:space="preserve"> set to </w:t>
            </w:r>
            <w:r w:rsidRPr="00FA0D37">
              <w:rPr>
                <w:rFonts w:eastAsia="Calibri"/>
                <w:i/>
                <w:szCs w:val="22"/>
                <w:lang w:eastAsia="sv-SE"/>
              </w:rPr>
              <w:t>eutra</w:t>
            </w:r>
            <w:r w:rsidRPr="00FA0D37">
              <w:rPr>
                <w:rFonts w:eastAsia="Calibri"/>
                <w:szCs w:val="22"/>
                <w:lang w:eastAsia="sv-SE"/>
              </w:rPr>
              <w:t xml:space="preserve">: the encoding of UE capabilities is defined in </w:t>
            </w:r>
            <w:r w:rsidRPr="00FA0D37">
              <w:rPr>
                <w:rFonts w:eastAsia="Calibri"/>
                <w:i/>
                <w:szCs w:val="22"/>
                <w:lang w:eastAsia="sv-SE"/>
              </w:rPr>
              <w:t>UE-EUTRA-Capability</w:t>
            </w:r>
            <w:r w:rsidRPr="00FA0D37">
              <w:rPr>
                <w:rFonts w:eastAsia="Calibri"/>
                <w:szCs w:val="22"/>
                <w:lang w:eastAsia="sv-SE"/>
              </w:rPr>
              <w:t xml:space="preserve"> specified in TS 36.331 [10].</w:t>
            </w:r>
          </w:p>
          <w:p w14:paraId="66D60B6C" w14:textId="77777777" w:rsidR="00394471" w:rsidRPr="00FA0D37" w:rsidRDefault="00394471" w:rsidP="00964CC4">
            <w:pPr>
              <w:pStyle w:val="TAL"/>
              <w:rPr>
                <w:rFonts w:eastAsia="Calibri"/>
                <w:szCs w:val="22"/>
                <w:lang w:eastAsia="sv-SE"/>
              </w:rPr>
            </w:pPr>
            <w:r w:rsidRPr="00FA0D37">
              <w:rPr>
                <w:rFonts w:eastAsia="Calibri"/>
                <w:szCs w:val="22"/>
                <w:lang w:eastAsia="sv-SE"/>
              </w:rPr>
              <w:t xml:space="preserve">For </w:t>
            </w:r>
            <w:r w:rsidRPr="00FA0D37">
              <w:rPr>
                <w:rFonts w:eastAsia="Calibri"/>
                <w:i/>
                <w:szCs w:val="22"/>
                <w:lang w:eastAsia="sv-SE"/>
              </w:rPr>
              <w:t>rat-Type</w:t>
            </w:r>
            <w:r w:rsidRPr="00FA0D37">
              <w:rPr>
                <w:rFonts w:eastAsia="Calibri"/>
                <w:szCs w:val="22"/>
                <w:lang w:eastAsia="sv-SE"/>
              </w:rPr>
              <w:t xml:space="preserve"> set to </w:t>
            </w:r>
            <w:r w:rsidRPr="00FA0D37">
              <w:rPr>
                <w:rFonts w:eastAsia="Calibri"/>
                <w:i/>
                <w:szCs w:val="22"/>
                <w:lang w:eastAsia="sv-SE"/>
              </w:rPr>
              <w:t>utra-fdd</w:t>
            </w:r>
            <w:r w:rsidRPr="00FA0D37">
              <w:rPr>
                <w:rFonts w:eastAsia="Calibri"/>
                <w:szCs w:val="22"/>
                <w:lang w:eastAsia="sv-SE"/>
              </w:rPr>
              <w:t>: the octet string contains the INTER RAT HANDOVER INFO message defined in TS 25.331 [45].</w:t>
            </w:r>
          </w:p>
        </w:tc>
      </w:tr>
    </w:tbl>
    <w:p w14:paraId="42CE1123" w14:textId="77777777" w:rsidR="00394471" w:rsidRPr="00FA0D37" w:rsidRDefault="00394471" w:rsidP="00394471"/>
    <w:p w14:paraId="76743777" w14:textId="450BCFDE" w:rsidR="00394471" w:rsidRPr="00FA0D37" w:rsidRDefault="00394471" w:rsidP="00394471">
      <w:pPr>
        <w:pStyle w:val="4"/>
      </w:pPr>
      <w:bookmarkStart w:id="1635" w:name="_Toc60777487"/>
      <w:bookmarkStart w:id="1636" w:name="_Toc146781596"/>
      <w:r w:rsidRPr="00FA0D37">
        <w:t>–</w:t>
      </w:r>
      <w:r w:rsidRPr="00FA0D37">
        <w:tab/>
      </w:r>
      <w:r w:rsidRPr="00FA0D37">
        <w:rPr>
          <w:i/>
        </w:rPr>
        <w:t>UE-CapabilityRAT-RequestList</w:t>
      </w:r>
      <w:bookmarkEnd w:id="1635"/>
      <w:bookmarkEnd w:id="1636"/>
    </w:p>
    <w:p w14:paraId="6380C292" w14:textId="77777777" w:rsidR="00394471" w:rsidRPr="00FA0D37" w:rsidRDefault="00394471" w:rsidP="00394471">
      <w:r w:rsidRPr="00FA0D37">
        <w:t xml:space="preserve">The IE </w:t>
      </w:r>
      <w:r w:rsidRPr="00FA0D37">
        <w:rPr>
          <w:i/>
        </w:rPr>
        <w:t>UE-CapabilityRAT-RequestList</w:t>
      </w:r>
      <w:r w:rsidRPr="00FA0D37">
        <w:t xml:space="preserve"> is used to request UE capabilities for one or more RATs from the UE.</w:t>
      </w:r>
    </w:p>
    <w:p w14:paraId="5DB53C12" w14:textId="77777777" w:rsidR="00394471" w:rsidRPr="00FA0D37" w:rsidRDefault="00394471" w:rsidP="00394471">
      <w:pPr>
        <w:pStyle w:val="TH"/>
      </w:pPr>
      <w:r w:rsidRPr="00FA0D37">
        <w:rPr>
          <w:i/>
        </w:rPr>
        <w:lastRenderedPageBreak/>
        <w:t>UE-CapabilityRAT-RequestList</w:t>
      </w:r>
      <w:r w:rsidRPr="00FA0D37">
        <w:t xml:space="preserve"> information element</w:t>
      </w:r>
    </w:p>
    <w:p w14:paraId="0CCE6100" w14:textId="77777777" w:rsidR="00394471" w:rsidRPr="00FA0D37" w:rsidRDefault="00394471" w:rsidP="00FA0D37">
      <w:pPr>
        <w:pStyle w:val="PL"/>
        <w:rPr>
          <w:color w:val="808080"/>
        </w:rPr>
      </w:pPr>
      <w:r w:rsidRPr="00FA0D37">
        <w:rPr>
          <w:color w:val="808080"/>
        </w:rPr>
        <w:t>-- ASN1START</w:t>
      </w:r>
    </w:p>
    <w:p w14:paraId="646BE409" w14:textId="77777777" w:rsidR="00394471" w:rsidRPr="00FA0D37" w:rsidRDefault="00394471" w:rsidP="00FA0D37">
      <w:pPr>
        <w:pStyle w:val="PL"/>
        <w:rPr>
          <w:color w:val="808080"/>
        </w:rPr>
      </w:pPr>
      <w:r w:rsidRPr="00FA0D37">
        <w:rPr>
          <w:color w:val="808080"/>
        </w:rPr>
        <w:t>-- TAG-UE-CAPABILITYRAT-REQUESTLIST-START</w:t>
      </w:r>
    </w:p>
    <w:p w14:paraId="1A181F76" w14:textId="77777777" w:rsidR="00394471" w:rsidRPr="00FA0D37" w:rsidRDefault="00394471" w:rsidP="00FA0D37">
      <w:pPr>
        <w:pStyle w:val="PL"/>
      </w:pPr>
    </w:p>
    <w:p w14:paraId="2A7BC4D0" w14:textId="77777777" w:rsidR="00394471" w:rsidRPr="00FA0D37" w:rsidRDefault="00394471" w:rsidP="00FA0D37">
      <w:pPr>
        <w:pStyle w:val="PL"/>
      </w:pPr>
      <w:r w:rsidRPr="00FA0D37">
        <w:t xml:space="preserve">UE-CapabilityRAT-RequestList ::=        </w:t>
      </w:r>
      <w:r w:rsidRPr="00FA0D37">
        <w:rPr>
          <w:color w:val="993366"/>
        </w:rPr>
        <w:t>SEQUENCE</w:t>
      </w:r>
      <w:r w:rsidRPr="00FA0D37">
        <w:t xml:space="preserve"> (</w:t>
      </w:r>
      <w:r w:rsidRPr="00FA0D37">
        <w:rPr>
          <w:color w:val="993366"/>
        </w:rPr>
        <w:t>SIZE</w:t>
      </w:r>
      <w:r w:rsidRPr="00FA0D37">
        <w:t xml:space="preserve"> (1..maxRAT-CapabilityContainers))</w:t>
      </w:r>
      <w:r w:rsidRPr="00FA0D37">
        <w:rPr>
          <w:color w:val="993366"/>
        </w:rPr>
        <w:t xml:space="preserve"> OF</w:t>
      </w:r>
      <w:r w:rsidRPr="00FA0D37">
        <w:t xml:space="preserve"> UE-CapabilityRAT-Request</w:t>
      </w:r>
    </w:p>
    <w:p w14:paraId="693A3C52" w14:textId="77777777" w:rsidR="00394471" w:rsidRPr="00FA0D37" w:rsidRDefault="00394471" w:rsidP="00FA0D37">
      <w:pPr>
        <w:pStyle w:val="PL"/>
      </w:pPr>
    </w:p>
    <w:p w14:paraId="7A29110B" w14:textId="77777777" w:rsidR="00394471" w:rsidRPr="00FA0D37" w:rsidRDefault="00394471" w:rsidP="00FA0D37">
      <w:pPr>
        <w:pStyle w:val="PL"/>
      </w:pPr>
      <w:r w:rsidRPr="00FA0D37">
        <w:t xml:space="preserve">UE-CapabilityRAT-Request ::=            </w:t>
      </w:r>
      <w:r w:rsidRPr="00FA0D37">
        <w:rPr>
          <w:color w:val="993366"/>
        </w:rPr>
        <w:t>SEQUENCE</w:t>
      </w:r>
      <w:r w:rsidRPr="00FA0D37">
        <w:t xml:space="preserve"> {</w:t>
      </w:r>
    </w:p>
    <w:p w14:paraId="147FCB7C" w14:textId="77777777" w:rsidR="00394471" w:rsidRPr="00FA0D37" w:rsidRDefault="00394471" w:rsidP="00FA0D37">
      <w:pPr>
        <w:pStyle w:val="PL"/>
      </w:pPr>
      <w:r w:rsidRPr="00FA0D37">
        <w:t xml:space="preserve">    rat-Type                                RAT-Type,</w:t>
      </w:r>
    </w:p>
    <w:p w14:paraId="05AE0A86" w14:textId="77777777" w:rsidR="00394471" w:rsidRPr="00FA0D37" w:rsidRDefault="00394471" w:rsidP="00FA0D37">
      <w:pPr>
        <w:pStyle w:val="PL"/>
        <w:rPr>
          <w:color w:val="808080"/>
        </w:rPr>
      </w:pPr>
      <w:r w:rsidRPr="00FA0D37">
        <w:t xml:space="preserve">    capabilityRequestFilter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 xml:space="preserve">,   </w:t>
      </w:r>
      <w:r w:rsidRPr="00FA0D37">
        <w:rPr>
          <w:color w:val="808080"/>
        </w:rPr>
        <w:t>-- Need N</w:t>
      </w:r>
    </w:p>
    <w:p w14:paraId="00D66C2F" w14:textId="77777777" w:rsidR="00394471" w:rsidRPr="00FA0D37" w:rsidRDefault="00394471" w:rsidP="00FA0D37">
      <w:pPr>
        <w:pStyle w:val="PL"/>
      </w:pPr>
      <w:r w:rsidRPr="00FA0D37">
        <w:t xml:space="preserve">    ...</w:t>
      </w:r>
    </w:p>
    <w:p w14:paraId="3D00EEB6" w14:textId="77777777" w:rsidR="00394471" w:rsidRPr="00FA0D37" w:rsidRDefault="00394471" w:rsidP="00FA0D37">
      <w:pPr>
        <w:pStyle w:val="PL"/>
      </w:pPr>
      <w:r w:rsidRPr="00FA0D37">
        <w:t>}</w:t>
      </w:r>
    </w:p>
    <w:p w14:paraId="67D29954" w14:textId="77777777" w:rsidR="00394471" w:rsidRPr="00FA0D37" w:rsidRDefault="00394471" w:rsidP="00FA0D37">
      <w:pPr>
        <w:pStyle w:val="PL"/>
      </w:pPr>
    </w:p>
    <w:p w14:paraId="15510F53" w14:textId="77777777" w:rsidR="00394471" w:rsidRPr="00FA0D37" w:rsidRDefault="00394471" w:rsidP="00FA0D37">
      <w:pPr>
        <w:pStyle w:val="PL"/>
        <w:rPr>
          <w:color w:val="808080"/>
        </w:rPr>
      </w:pPr>
      <w:r w:rsidRPr="00FA0D37">
        <w:rPr>
          <w:color w:val="808080"/>
        </w:rPr>
        <w:t>-- TAG-UE-CAPABILITYRAT-REQUESTLIST-STOP</w:t>
      </w:r>
    </w:p>
    <w:p w14:paraId="61C59487" w14:textId="77777777" w:rsidR="00394471" w:rsidRPr="00FA0D37" w:rsidRDefault="00394471" w:rsidP="00FA0D37">
      <w:pPr>
        <w:pStyle w:val="PL"/>
        <w:rPr>
          <w:color w:val="808080"/>
        </w:rPr>
      </w:pPr>
      <w:r w:rsidRPr="00FA0D37">
        <w:rPr>
          <w:color w:val="808080"/>
        </w:rPr>
        <w:t>-- ASN1STOP</w:t>
      </w:r>
    </w:p>
    <w:p w14:paraId="73DFF3C7"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3112F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981958" w14:textId="77777777" w:rsidR="00394471" w:rsidRPr="00FA0D37" w:rsidRDefault="00394471" w:rsidP="00964CC4">
            <w:pPr>
              <w:pStyle w:val="TAH"/>
              <w:rPr>
                <w:szCs w:val="22"/>
                <w:lang w:eastAsia="sv-SE"/>
              </w:rPr>
            </w:pPr>
            <w:r w:rsidRPr="00FA0D37">
              <w:rPr>
                <w:i/>
                <w:szCs w:val="22"/>
                <w:lang w:eastAsia="sv-SE"/>
              </w:rPr>
              <w:t xml:space="preserve">UE-CapabilityRAT-Request </w:t>
            </w:r>
            <w:r w:rsidRPr="00FA0D37">
              <w:rPr>
                <w:szCs w:val="22"/>
                <w:lang w:eastAsia="sv-SE"/>
              </w:rPr>
              <w:t>field descriptions</w:t>
            </w:r>
          </w:p>
        </w:tc>
      </w:tr>
      <w:tr w:rsidR="005C7FF4" w:rsidRPr="00FA0D37" w14:paraId="15D009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4A60C0" w14:textId="77777777" w:rsidR="00394471" w:rsidRPr="00FA0D37" w:rsidRDefault="00394471" w:rsidP="00964CC4">
            <w:pPr>
              <w:pStyle w:val="TAL"/>
              <w:rPr>
                <w:szCs w:val="22"/>
                <w:lang w:eastAsia="sv-SE"/>
              </w:rPr>
            </w:pPr>
            <w:r w:rsidRPr="00FA0D37">
              <w:rPr>
                <w:b/>
                <w:i/>
                <w:szCs w:val="22"/>
                <w:lang w:eastAsia="sv-SE"/>
              </w:rPr>
              <w:t>capabilityRequestFilter</w:t>
            </w:r>
          </w:p>
          <w:p w14:paraId="416E9C83" w14:textId="77777777" w:rsidR="00394471" w:rsidRPr="00FA0D37" w:rsidRDefault="00394471" w:rsidP="00964CC4">
            <w:pPr>
              <w:pStyle w:val="TAL"/>
              <w:rPr>
                <w:szCs w:val="22"/>
                <w:lang w:eastAsia="sv-SE"/>
              </w:rPr>
            </w:pPr>
            <w:r w:rsidRPr="00FA0D37">
              <w:rPr>
                <w:szCs w:val="22"/>
                <w:lang w:eastAsia="sv-SE"/>
              </w:rPr>
              <w:t>Information by which the network requests the UE to filter the UE capabilities.</w:t>
            </w:r>
          </w:p>
          <w:p w14:paraId="4B7723AF" w14:textId="77777777" w:rsidR="00394471" w:rsidRPr="00FA0D37" w:rsidRDefault="00394471" w:rsidP="00964CC4">
            <w:pPr>
              <w:pStyle w:val="TAL"/>
              <w:rPr>
                <w:szCs w:val="22"/>
                <w:lang w:eastAsia="sv-SE"/>
              </w:rPr>
            </w:pPr>
            <w:r w:rsidRPr="00FA0D37">
              <w:rPr>
                <w:szCs w:val="22"/>
                <w:lang w:eastAsia="sv-SE"/>
              </w:rPr>
              <w:t xml:space="preserve">For </w:t>
            </w:r>
            <w:r w:rsidRPr="00FA0D37">
              <w:rPr>
                <w:i/>
                <w:lang w:eastAsia="sv-SE"/>
              </w:rPr>
              <w:t>rat-Type</w:t>
            </w:r>
            <w:r w:rsidRPr="00FA0D37">
              <w:rPr>
                <w:szCs w:val="22"/>
                <w:lang w:eastAsia="sv-SE"/>
              </w:rPr>
              <w:t xml:space="preserve"> set to </w:t>
            </w:r>
            <w:r w:rsidRPr="00FA0D37">
              <w:rPr>
                <w:i/>
                <w:lang w:eastAsia="sv-SE"/>
              </w:rPr>
              <w:t>nr</w:t>
            </w:r>
            <w:r w:rsidRPr="00FA0D37">
              <w:rPr>
                <w:lang w:eastAsia="sv-SE"/>
              </w:rPr>
              <w:t xml:space="preserve"> or </w:t>
            </w:r>
            <w:r w:rsidRPr="00FA0D37">
              <w:rPr>
                <w:i/>
                <w:lang w:eastAsia="sv-SE"/>
              </w:rPr>
              <w:t>eutra-nr</w:t>
            </w:r>
            <w:r w:rsidRPr="00FA0D37">
              <w:rPr>
                <w:szCs w:val="22"/>
                <w:lang w:eastAsia="sv-SE"/>
              </w:rPr>
              <w:t xml:space="preserve">: the encoding of the </w:t>
            </w:r>
            <w:r w:rsidRPr="00FA0D37">
              <w:rPr>
                <w:i/>
                <w:lang w:eastAsia="sv-SE"/>
              </w:rPr>
              <w:t>capabilityRequestFilter</w:t>
            </w:r>
            <w:r w:rsidRPr="00FA0D37">
              <w:rPr>
                <w:szCs w:val="22"/>
                <w:lang w:eastAsia="sv-SE"/>
              </w:rPr>
              <w:t xml:space="preserve"> is defined in </w:t>
            </w:r>
            <w:r w:rsidRPr="00FA0D37">
              <w:rPr>
                <w:i/>
                <w:lang w:eastAsia="sv-SE"/>
              </w:rPr>
              <w:t>UE-CapabilityRequestFilterNR</w:t>
            </w:r>
            <w:r w:rsidRPr="00FA0D37">
              <w:rPr>
                <w:szCs w:val="22"/>
                <w:lang w:eastAsia="sv-SE"/>
              </w:rPr>
              <w:t>.</w:t>
            </w:r>
          </w:p>
          <w:p w14:paraId="34A0BF1A" w14:textId="77777777" w:rsidR="00394471" w:rsidRPr="00FA0D37" w:rsidRDefault="00394471" w:rsidP="00964CC4">
            <w:pPr>
              <w:pStyle w:val="TAL"/>
              <w:rPr>
                <w:szCs w:val="22"/>
                <w:lang w:eastAsia="sv-SE"/>
              </w:rPr>
            </w:pPr>
            <w:r w:rsidRPr="00FA0D37">
              <w:rPr>
                <w:rFonts w:eastAsia="Yu Mincho" w:cs="Arial"/>
                <w:szCs w:val="18"/>
                <w:lang w:eastAsia="sv-SE"/>
              </w:rPr>
              <w:t xml:space="preserve">For </w:t>
            </w:r>
            <w:r w:rsidRPr="00FA0D37">
              <w:rPr>
                <w:rFonts w:eastAsia="Yu Mincho" w:cs="Arial"/>
                <w:i/>
                <w:szCs w:val="18"/>
                <w:lang w:eastAsia="sv-SE"/>
              </w:rPr>
              <w:t>rat-Type</w:t>
            </w:r>
            <w:r w:rsidRPr="00FA0D37">
              <w:rPr>
                <w:rFonts w:eastAsia="Yu Mincho" w:cs="Arial"/>
                <w:szCs w:val="18"/>
                <w:lang w:eastAsia="sv-SE"/>
              </w:rPr>
              <w:t xml:space="preserve"> set to </w:t>
            </w:r>
            <w:r w:rsidRPr="00FA0D37">
              <w:rPr>
                <w:rFonts w:eastAsia="Yu Mincho" w:cs="Arial"/>
                <w:i/>
                <w:szCs w:val="18"/>
                <w:lang w:eastAsia="sv-SE"/>
              </w:rPr>
              <w:t>eutra</w:t>
            </w:r>
            <w:r w:rsidRPr="00FA0D37">
              <w:rPr>
                <w:rFonts w:eastAsia="Yu Mincho" w:cs="Arial"/>
                <w:szCs w:val="18"/>
                <w:lang w:eastAsia="sv-SE"/>
              </w:rPr>
              <w:t xml:space="preserve">: the encoding of the </w:t>
            </w:r>
            <w:r w:rsidRPr="00FA0D37">
              <w:rPr>
                <w:rFonts w:cs="Arial"/>
                <w:i/>
                <w:szCs w:val="18"/>
                <w:lang w:eastAsia="sv-SE"/>
              </w:rPr>
              <w:t>capabilityRequestFilter</w:t>
            </w:r>
            <w:r w:rsidRPr="00FA0D37">
              <w:rPr>
                <w:rFonts w:cs="Arial"/>
                <w:szCs w:val="18"/>
                <w:lang w:eastAsia="sv-SE"/>
              </w:rPr>
              <w:t xml:space="preserve"> is defined by </w:t>
            </w:r>
            <w:r w:rsidRPr="00FA0D37">
              <w:rPr>
                <w:rFonts w:cs="Arial"/>
                <w:i/>
                <w:szCs w:val="18"/>
                <w:lang w:eastAsia="sv-SE"/>
              </w:rPr>
              <w:t>UECapabilityEnquiry</w:t>
            </w:r>
            <w:r w:rsidRPr="00FA0D37">
              <w:rPr>
                <w:rFonts w:cs="Arial"/>
                <w:szCs w:val="18"/>
                <w:lang w:eastAsia="sv-SE"/>
              </w:rPr>
              <w:t xml:space="preserve"> message defined in TS36.331 [10], in which </w:t>
            </w:r>
            <w:r w:rsidRPr="00FA0D37">
              <w:rPr>
                <w:rFonts w:cs="Arial"/>
                <w:i/>
                <w:szCs w:val="18"/>
                <w:lang w:eastAsia="sv-SE"/>
              </w:rPr>
              <w:t>RAT-Type</w:t>
            </w:r>
            <w:r w:rsidRPr="00FA0D37">
              <w:rPr>
                <w:rFonts w:cs="Arial"/>
                <w:szCs w:val="18"/>
                <w:lang w:eastAsia="sv-SE"/>
              </w:rPr>
              <w:t xml:space="preserve"> in </w:t>
            </w:r>
            <w:r w:rsidRPr="00FA0D37">
              <w:rPr>
                <w:rFonts w:cs="Arial"/>
                <w:i/>
                <w:szCs w:val="18"/>
                <w:lang w:eastAsia="sv-SE"/>
              </w:rPr>
              <w:t>UE-CapabilityRequest</w:t>
            </w:r>
            <w:r w:rsidRPr="00FA0D37">
              <w:rPr>
                <w:rFonts w:cs="Arial"/>
                <w:szCs w:val="18"/>
                <w:lang w:eastAsia="sv-SE"/>
              </w:rPr>
              <w:t xml:space="preserve"> includes only '</w:t>
            </w:r>
            <w:r w:rsidRPr="00FA0D37">
              <w:rPr>
                <w:rFonts w:cs="Arial"/>
                <w:i/>
                <w:szCs w:val="18"/>
                <w:lang w:eastAsia="sv-SE"/>
              </w:rPr>
              <w:t>eutra'</w:t>
            </w:r>
            <w:r w:rsidRPr="00FA0D37">
              <w:rPr>
                <w:rFonts w:cs="Arial"/>
                <w:szCs w:val="18"/>
                <w:lang w:eastAsia="sv-SE"/>
              </w:rPr>
              <w:t>.</w:t>
            </w:r>
          </w:p>
        </w:tc>
      </w:tr>
      <w:tr w:rsidR="00394471" w:rsidRPr="00FA0D37" w14:paraId="526B2C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11469C" w14:textId="77777777" w:rsidR="00394471" w:rsidRPr="00FA0D37" w:rsidRDefault="00394471" w:rsidP="00964CC4">
            <w:pPr>
              <w:pStyle w:val="TAL"/>
              <w:rPr>
                <w:szCs w:val="22"/>
                <w:lang w:eastAsia="sv-SE"/>
              </w:rPr>
            </w:pPr>
            <w:r w:rsidRPr="00FA0D37">
              <w:rPr>
                <w:b/>
                <w:i/>
                <w:szCs w:val="22"/>
                <w:lang w:eastAsia="sv-SE"/>
              </w:rPr>
              <w:t>rat-Type</w:t>
            </w:r>
          </w:p>
          <w:p w14:paraId="56CEB10D" w14:textId="77777777" w:rsidR="00394471" w:rsidRPr="00FA0D37" w:rsidRDefault="00394471" w:rsidP="00964CC4">
            <w:pPr>
              <w:pStyle w:val="TAL"/>
              <w:rPr>
                <w:szCs w:val="22"/>
                <w:lang w:eastAsia="sv-SE"/>
              </w:rPr>
            </w:pPr>
            <w:r w:rsidRPr="00FA0D37">
              <w:rPr>
                <w:szCs w:val="22"/>
                <w:lang w:eastAsia="sv-SE"/>
              </w:rPr>
              <w:t>The RAT type for which the NW requests UE capabilities.</w:t>
            </w:r>
          </w:p>
        </w:tc>
      </w:tr>
    </w:tbl>
    <w:p w14:paraId="7497BA43" w14:textId="77777777" w:rsidR="00394471" w:rsidRPr="00FA0D37" w:rsidRDefault="00394471" w:rsidP="00394471"/>
    <w:p w14:paraId="7BD19545" w14:textId="2758597E" w:rsidR="00394471" w:rsidRPr="00FA0D37" w:rsidRDefault="00394471" w:rsidP="00394471">
      <w:pPr>
        <w:pStyle w:val="4"/>
      </w:pPr>
      <w:bookmarkStart w:id="1637" w:name="_Toc60777488"/>
      <w:bookmarkStart w:id="1638" w:name="_Toc146781597"/>
      <w:r w:rsidRPr="00FA0D37">
        <w:t>–</w:t>
      </w:r>
      <w:r w:rsidRPr="00FA0D37">
        <w:tab/>
      </w:r>
      <w:r w:rsidRPr="00FA0D37">
        <w:rPr>
          <w:i/>
        </w:rPr>
        <w:t>UE-CapabilityRequestFilterCommon</w:t>
      </w:r>
      <w:bookmarkEnd w:id="1637"/>
      <w:bookmarkEnd w:id="1638"/>
    </w:p>
    <w:p w14:paraId="32587EDD" w14:textId="77777777" w:rsidR="00394471" w:rsidRPr="00FA0D37" w:rsidRDefault="00394471" w:rsidP="00394471">
      <w:r w:rsidRPr="00FA0D37">
        <w:t xml:space="preserve">The IE </w:t>
      </w:r>
      <w:r w:rsidRPr="00FA0D37">
        <w:rPr>
          <w:i/>
        </w:rPr>
        <w:t>UE-CapabilityRequestFilterCommon</w:t>
      </w:r>
      <w:r w:rsidRPr="00FA0D37">
        <w:t xml:space="preserve"> is used to request filtered UE capabilities. The filter is common for all capability containers that are requested.</w:t>
      </w:r>
    </w:p>
    <w:p w14:paraId="0807B570" w14:textId="77777777" w:rsidR="00394471" w:rsidRPr="00FA0D37" w:rsidRDefault="00394471" w:rsidP="00394471">
      <w:pPr>
        <w:pStyle w:val="TH"/>
      </w:pPr>
      <w:r w:rsidRPr="00FA0D37">
        <w:rPr>
          <w:i/>
        </w:rPr>
        <w:t>UE-CapabilityRequestFilterCommon</w:t>
      </w:r>
      <w:r w:rsidRPr="00FA0D37">
        <w:t xml:space="preserve"> information element</w:t>
      </w:r>
    </w:p>
    <w:p w14:paraId="2AC8324D" w14:textId="77777777" w:rsidR="00394471" w:rsidRPr="00FA0D37" w:rsidRDefault="00394471" w:rsidP="00FA0D37">
      <w:pPr>
        <w:pStyle w:val="PL"/>
        <w:rPr>
          <w:color w:val="808080"/>
        </w:rPr>
      </w:pPr>
      <w:r w:rsidRPr="00FA0D37">
        <w:rPr>
          <w:color w:val="808080"/>
        </w:rPr>
        <w:t>-- ASN1START</w:t>
      </w:r>
    </w:p>
    <w:p w14:paraId="5D3E78AE" w14:textId="77777777" w:rsidR="00394471" w:rsidRPr="00FA0D37" w:rsidRDefault="00394471" w:rsidP="00FA0D37">
      <w:pPr>
        <w:pStyle w:val="PL"/>
        <w:rPr>
          <w:color w:val="808080"/>
        </w:rPr>
      </w:pPr>
      <w:r w:rsidRPr="00FA0D37">
        <w:rPr>
          <w:color w:val="808080"/>
        </w:rPr>
        <w:t>-- TAG-UE-CAPABILITYREQUESTFILTERCOMMON-START</w:t>
      </w:r>
    </w:p>
    <w:p w14:paraId="40A89AB4" w14:textId="77777777" w:rsidR="00394471" w:rsidRPr="00FA0D37" w:rsidRDefault="00394471" w:rsidP="00FA0D37">
      <w:pPr>
        <w:pStyle w:val="PL"/>
      </w:pPr>
    </w:p>
    <w:p w14:paraId="1F43D006" w14:textId="77777777" w:rsidR="00394471" w:rsidRPr="00FA0D37" w:rsidRDefault="00394471" w:rsidP="00FA0D37">
      <w:pPr>
        <w:pStyle w:val="PL"/>
      </w:pPr>
      <w:r w:rsidRPr="00FA0D37">
        <w:t xml:space="preserve">UE-CapabilityRequestFilterCommon ::=            </w:t>
      </w:r>
      <w:r w:rsidRPr="00FA0D37">
        <w:rPr>
          <w:color w:val="993366"/>
        </w:rPr>
        <w:t>SEQUENCE</w:t>
      </w:r>
      <w:r w:rsidRPr="00FA0D37">
        <w:t xml:space="preserve"> {</w:t>
      </w:r>
    </w:p>
    <w:p w14:paraId="0790277C" w14:textId="77777777" w:rsidR="00394471" w:rsidRPr="00FA0D37" w:rsidRDefault="00394471" w:rsidP="00FA0D37">
      <w:pPr>
        <w:pStyle w:val="PL"/>
      </w:pPr>
      <w:r w:rsidRPr="00FA0D37">
        <w:t xml:space="preserve">    mrdc-Request                                </w:t>
      </w:r>
      <w:r w:rsidRPr="00FA0D37">
        <w:rPr>
          <w:color w:val="993366"/>
        </w:rPr>
        <w:t>SEQUENCE</w:t>
      </w:r>
      <w:r w:rsidRPr="00FA0D37">
        <w:t xml:space="preserve"> {</w:t>
      </w:r>
    </w:p>
    <w:p w14:paraId="40478774" w14:textId="77777777" w:rsidR="00394471" w:rsidRPr="00FA0D37" w:rsidRDefault="00394471" w:rsidP="00FA0D37">
      <w:pPr>
        <w:pStyle w:val="PL"/>
        <w:rPr>
          <w:color w:val="808080"/>
        </w:rPr>
      </w:pPr>
      <w:r w:rsidRPr="00FA0D37">
        <w:t xml:space="preserve">        omitEN-DC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13244AF4" w14:textId="77777777" w:rsidR="00394471" w:rsidRPr="00FA0D37" w:rsidRDefault="00394471" w:rsidP="00FA0D37">
      <w:pPr>
        <w:pStyle w:val="PL"/>
        <w:rPr>
          <w:color w:val="808080"/>
        </w:rPr>
      </w:pPr>
      <w:r w:rsidRPr="00FA0D37">
        <w:t xml:space="preserve">        includeNR-DC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725C3600" w14:textId="77777777" w:rsidR="00394471" w:rsidRPr="00FA0D37" w:rsidRDefault="00394471" w:rsidP="00FA0D37">
      <w:pPr>
        <w:pStyle w:val="PL"/>
        <w:rPr>
          <w:color w:val="808080"/>
        </w:rPr>
      </w:pPr>
      <w:r w:rsidRPr="00FA0D37">
        <w:t xml:space="preserve">        includeNE-DC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56908327"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N</w:t>
      </w:r>
    </w:p>
    <w:p w14:paraId="01045167" w14:textId="77777777" w:rsidR="00394471" w:rsidRPr="00FA0D37" w:rsidRDefault="00394471" w:rsidP="00FA0D37">
      <w:pPr>
        <w:pStyle w:val="PL"/>
      </w:pPr>
      <w:r w:rsidRPr="00FA0D37">
        <w:t xml:space="preserve">    ...,</w:t>
      </w:r>
    </w:p>
    <w:p w14:paraId="1DB394EB" w14:textId="77777777" w:rsidR="00394471" w:rsidRPr="00FA0D37" w:rsidRDefault="00394471" w:rsidP="00FA0D37">
      <w:pPr>
        <w:pStyle w:val="PL"/>
      </w:pPr>
      <w:r w:rsidRPr="00FA0D37">
        <w:t xml:space="preserve">    [[</w:t>
      </w:r>
    </w:p>
    <w:p w14:paraId="0D64AD34" w14:textId="77777777" w:rsidR="00394471" w:rsidRPr="00FA0D37" w:rsidRDefault="00394471" w:rsidP="00FA0D37">
      <w:pPr>
        <w:pStyle w:val="PL"/>
      </w:pPr>
      <w:r w:rsidRPr="00FA0D37">
        <w:t xml:space="preserve">    codebookTypeRequest-r16        </w:t>
      </w:r>
      <w:r w:rsidRPr="00FA0D37">
        <w:rPr>
          <w:color w:val="993366"/>
        </w:rPr>
        <w:t>SEQUENCE</w:t>
      </w:r>
      <w:r w:rsidRPr="00FA0D37">
        <w:t xml:space="preserve"> {</w:t>
      </w:r>
    </w:p>
    <w:p w14:paraId="6A555AD9" w14:textId="77777777" w:rsidR="00394471" w:rsidRPr="00FA0D37" w:rsidRDefault="00394471" w:rsidP="00FA0D37">
      <w:pPr>
        <w:pStyle w:val="PL"/>
        <w:rPr>
          <w:color w:val="808080"/>
        </w:rPr>
      </w:pPr>
      <w:r w:rsidRPr="00FA0D37">
        <w:t xml:space="preserve">        type1-SinglePanel-r16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678B2CCE" w14:textId="77777777" w:rsidR="00394471" w:rsidRPr="00FA0D37" w:rsidRDefault="00394471" w:rsidP="00FA0D37">
      <w:pPr>
        <w:pStyle w:val="PL"/>
        <w:rPr>
          <w:color w:val="808080"/>
        </w:rPr>
      </w:pPr>
      <w:r w:rsidRPr="00FA0D37">
        <w:t xml:space="preserve">        type1-MultiPanel-r16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6142C7A1" w14:textId="77777777" w:rsidR="00394471" w:rsidRPr="00FA0D37" w:rsidRDefault="00394471" w:rsidP="00FA0D37">
      <w:pPr>
        <w:pStyle w:val="PL"/>
        <w:rPr>
          <w:color w:val="808080"/>
        </w:rPr>
      </w:pPr>
      <w:r w:rsidRPr="00FA0D37">
        <w:t xml:space="preserve">        type2-r16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59F161CC" w14:textId="77777777" w:rsidR="00394471" w:rsidRPr="00FA0D37" w:rsidRDefault="00394471" w:rsidP="00FA0D37">
      <w:pPr>
        <w:pStyle w:val="PL"/>
        <w:rPr>
          <w:color w:val="808080"/>
        </w:rPr>
      </w:pPr>
      <w:r w:rsidRPr="00FA0D37">
        <w:lastRenderedPageBreak/>
        <w:t xml:space="preserve">        type2-PortSelection-r16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1C41C80C"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N</w:t>
      </w:r>
    </w:p>
    <w:p w14:paraId="22A42E48" w14:textId="43427016" w:rsidR="00394471" w:rsidRPr="00FA0D37" w:rsidRDefault="00394471" w:rsidP="00FA0D37">
      <w:pPr>
        <w:pStyle w:val="PL"/>
        <w:rPr>
          <w:color w:val="808080"/>
        </w:rPr>
      </w:pPr>
      <w:r w:rsidRPr="00FA0D37">
        <w:t xml:space="preserve">    uplinkTxSwitchRequest-r16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33D850F3" w14:textId="3F673765" w:rsidR="007830B1" w:rsidRPr="00FA0D37" w:rsidRDefault="00394471" w:rsidP="00FA0D37">
      <w:pPr>
        <w:pStyle w:val="PL"/>
      </w:pPr>
      <w:r w:rsidRPr="00FA0D37">
        <w:t xml:space="preserve">    ]]</w:t>
      </w:r>
      <w:r w:rsidR="00EC4FE7" w:rsidRPr="00FA0D37">
        <w:t>,</w:t>
      </w:r>
    </w:p>
    <w:p w14:paraId="0CA6437C" w14:textId="77777777" w:rsidR="007830B1" w:rsidRPr="00FA0D37" w:rsidRDefault="007830B1" w:rsidP="00FA0D37">
      <w:pPr>
        <w:pStyle w:val="PL"/>
      </w:pPr>
      <w:r w:rsidRPr="00FA0D37">
        <w:t xml:space="preserve">    [[</w:t>
      </w:r>
    </w:p>
    <w:p w14:paraId="6177B147" w14:textId="77777777" w:rsidR="007830B1" w:rsidRPr="00FA0D37" w:rsidRDefault="007830B1" w:rsidP="00FA0D37">
      <w:pPr>
        <w:pStyle w:val="PL"/>
        <w:rPr>
          <w:color w:val="808080"/>
        </w:rPr>
      </w:pPr>
      <w:r w:rsidRPr="00FA0D37">
        <w:t xml:space="preserve">    requestedCellGrouping-r16      </w:t>
      </w:r>
      <w:r w:rsidRPr="00FA0D37">
        <w:rPr>
          <w:color w:val="993366"/>
        </w:rPr>
        <w:t>SEQUENCE</w:t>
      </w:r>
      <w:r w:rsidRPr="00FA0D37">
        <w:t xml:space="preserve"> (</w:t>
      </w:r>
      <w:r w:rsidRPr="00FA0D37">
        <w:rPr>
          <w:color w:val="993366"/>
        </w:rPr>
        <w:t>SIZE</w:t>
      </w:r>
      <w:r w:rsidRPr="00FA0D37">
        <w:t xml:space="preserve"> (1..maxCellGroupings-r16))</w:t>
      </w:r>
      <w:r w:rsidRPr="00FA0D37">
        <w:rPr>
          <w:color w:val="993366"/>
        </w:rPr>
        <w:t xml:space="preserve"> OF</w:t>
      </w:r>
      <w:r w:rsidRPr="00FA0D37">
        <w:t xml:space="preserve"> CellGrouping-r16    </w:t>
      </w:r>
      <w:r w:rsidRPr="00FA0D37">
        <w:rPr>
          <w:color w:val="993366"/>
        </w:rPr>
        <w:t>OPTIONAL</w:t>
      </w:r>
      <w:r w:rsidRPr="00FA0D37">
        <w:t xml:space="preserve">    </w:t>
      </w:r>
      <w:r w:rsidRPr="00FA0D37">
        <w:rPr>
          <w:color w:val="808080"/>
        </w:rPr>
        <w:t>-- Cond NRDC</w:t>
      </w:r>
    </w:p>
    <w:p w14:paraId="2DCEF45E" w14:textId="0E6878A6" w:rsidR="00691952" w:rsidRPr="00FA0D37" w:rsidRDefault="007830B1" w:rsidP="00FA0D37">
      <w:pPr>
        <w:pStyle w:val="PL"/>
      </w:pPr>
      <w:r w:rsidRPr="00FA0D37">
        <w:t xml:space="preserve">    ]]</w:t>
      </w:r>
      <w:r w:rsidR="00691952" w:rsidRPr="00FA0D37">
        <w:t>,</w:t>
      </w:r>
    </w:p>
    <w:p w14:paraId="77817A5C" w14:textId="70818CC6" w:rsidR="00691952" w:rsidRPr="00FA0D37" w:rsidRDefault="00691952" w:rsidP="00FA0D37">
      <w:pPr>
        <w:pStyle w:val="PL"/>
      </w:pPr>
      <w:r w:rsidRPr="00FA0D37">
        <w:t xml:space="preserve">    [[</w:t>
      </w:r>
    </w:p>
    <w:p w14:paraId="3D400ED0" w14:textId="2B96E1E1" w:rsidR="00691952" w:rsidRPr="00FA0D37" w:rsidRDefault="00691952" w:rsidP="00FA0D37">
      <w:pPr>
        <w:pStyle w:val="PL"/>
        <w:rPr>
          <w:color w:val="808080"/>
        </w:rPr>
      </w:pPr>
      <w:r w:rsidRPr="00FA0D37">
        <w:t xml:space="preserve">    fallbackGroupFiveRequest-r17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47D8EAB3" w14:textId="11C56C7E" w:rsidR="007830B1" w:rsidRPr="00FA0D37" w:rsidRDefault="00691952" w:rsidP="00FA0D37">
      <w:pPr>
        <w:pStyle w:val="PL"/>
      </w:pPr>
      <w:r w:rsidRPr="00FA0D37">
        <w:t xml:space="preserve">    ]]</w:t>
      </w:r>
    </w:p>
    <w:p w14:paraId="67B0C32B" w14:textId="77777777" w:rsidR="007830B1" w:rsidRPr="00FA0D37" w:rsidRDefault="007830B1" w:rsidP="00FA0D37">
      <w:pPr>
        <w:pStyle w:val="PL"/>
      </w:pPr>
      <w:r w:rsidRPr="00FA0D37">
        <w:t>}</w:t>
      </w:r>
    </w:p>
    <w:p w14:paraId="033C4947" w14:textId="77777777" w:rsidR="007830B1" w:rsidRPr="00FA0D37" w:rsidRDefault="007830B1" w:rsidP="00FA0D37">
      <w:pPr>
        <w:pStyle w:val="PL"/>
      </w:pPr>
    </w:p>
    <w:p w14:paraId="3AD3D78D" w14:textId="59949B5C" w:rsidR="007830B1" w:rsidRPr="00FA0D37" w:rsidRDefault="007830B1" w:rsidP="00FA0D37">
      <w:pPr>
        <w:pStyle w:val="PL"/>
      </w:pPr>
      <w:r w:rsidRPr="00FA0D37">
        <w:t>CellGrouping-r16 ::</w:t>
      </w:r>
      <w:r w:rsidR="00EC4FE7" w:rsidRPr="00FA0D37">
        <w:t>=</w:t>
      </w:r>
      <w:r w:rsidRPr="00FA0D37">
        <w:t xml:space="preserve">    </w:t>
      </w:r>
      <w:r w:rsidRPr="00FA0D37">
        <w:rPr>
          <w:color w:val="993366"/>
        </w:rPr>
        <w:t>SEQUENCE</w:t>
      </w:r>
      <w:r w:rsidRPr="00FA0D37">
        <w:t xml:space="preserve"> {</w:t>
      </w:r>
    </w:p>
    <w:p w14:paraId="6C00FCE3" w14:textId="77777777" w:rsidR="007830B1" w:rsidRPr="00FA0D37" w:rsidRDefault="007830B1" w:rsidP="00FA0D37">
      <w:pPr>
        <w:pStyle w:val="PL"/>
      </w:pPr>
      <w:r w:rsidRPr="00FA0D37">
        <w:t xml:space="preserve">    mcg-r16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FreqBandIndicatorNR,</w:t>
      </w:r>
    </w:p>
    <w:p w14:paraId="7CF277F0" w14:textId="77777777" w:rsidR="007830B1" w:rsidRPr="00FA0D37" w:rsidRDefault="007830B1" w:rsidP="00FA0D37">
      <w:pPr>
        <w:pStyle w:val="PL"/>
      </w:pPr>
      <w:r w:rsidRPr="00FA0D37">
        <w:t xml:space="preserve">    scg-r16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FreqBandIndicatorNR,</w:t>
      </w:r>
    </w:p>
    <w:p w14:paraId="0F90434C" w14:textId="7CF02C8B" w:rsidR="00394471" w:rsidRPr="00FA0D37" w:rsidRDefault="007830B1" w:rsidP="00FA0D37">
      <w:pPr>
        <w:pStyle w:val="PL"/>
      </w:pPr>
      <w:r w:rsidRPr="00FA0D37">
        <w:t xml:space="preserve">    mode-r16                </w:t>
      </w:r>
      <w:r w:rsidRPr="00FA0D37">
        <w:rPr>
          <w:color w:val="993366"/>
        </w:rPr>
        <w:t>ENUMERATED</w:t>
      </w:r>
      <w:r w:rsidRPr="00FA0D37">
        <w:t xml:space="preserve"> {sync, async}</w:t>
      </w:r>
    </w:p>
    <w:p w14:paraId="2C72647F" w14:textId="77777777" w:rsidR="00394471" w:rsidRPr="00FA0D37" w:rsidRDefault="00394471" w:rsidP="00FA0D37">
      <w:pPr>
        <w:pStyle w:val="PL"/>
      </w:pPr>
      <w:r w:rsidRPr="00FA0D37">
        <w:t>}</w:t>
      </w:r>
    </w:p>
    <w:p w14:paraId="3B862438" w14:textId="77777777" w:rsidR="00394471" w:rsidRPr="00FA0D37" w:rsidRDefault="00394471" w:rsidP="00FA0D37">
      <w:pPr>
        <w:pStyle w:val="PL"/>
      </w:pPr>
    </w:p>
    <w:p w14:paraId="24284825" w14:textId="77777777" w:rsidR="00394471" w:rsidRPr="00FA0D37" w:rsidRDefault="00394471" w:rsidP="00FA0D37">
      <w:pPr>
        <w:pStyle w:val="PL"/>
        <w:rPr>
          <w:color w:val="808080"/>
        </w:rPr>
      </w:pPr>
      <w:r w:rsidRPr="00FA0D37">
        <w:rPr>
          <w:color w:val="808080"/>
        </w:rPr>
        <w:t>-- TAG-UE-CAPABILITYREQUESTFILTERCOMMON-STOP</w:t>
      </w:r>
    </w:p>
    <w:p w14:paraId="38647814" w14:textId="77777777" w:rsidR="00394471" w:rsidRPr="00FA0D37" w:rsidRDefault="00394471" w:rsidP="00FA0D37">
      <w:pPr>
        <w:pStyle w:val="PL"/>
        <w:rPr>
          <w:color w:val="808080"/>
        </w:rPr>
      </w:pPr>
      <w:r w:rsidRPr="00FA0D37">
        <w:rPr>
          <w:color w:val="808080"/>
        </w:rPr>
        <w:t>-- ASN1STOP</w:t>
      </w:r>
    </w:p>
    <w:p w14:paraId="015F596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5C7FF4" w:rsidRPr="00FA0D37" w14:paraId="2B7F9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F69359" w14:textId="77777777" w:rsidR="00394471" w:rsidRPr="00FA0D37" w:rsidRDefault="00394471" w:rsidP="00964CC4">
            <w:pPr>
              <w:pStyle w:val="TAH"/>
              <w:rPr>
                <w:lang w:eastAsia="sv-SE"/>
              </w:rPr>
            </w:pPr>
            <w:r w:rsidRPr="00FA0D37">
              <w:rPr>
                <w:i/>
                <w:lang w:eastAsia="sv-SE"/>
              </w:rPr>
              <w:lastRenderedPageBreak/>
              <w:t>UE-CapabilityRequestFilterCommon field descriptions</w:t>
            </w:r>
          </w:p>
        </w:tc>
      </w:tr>
      <w:tr w:rsidR="005C7FF4" w:rsidRPr="00FA0D37" w14:paraId="7EFC31D5" w14:textId="77777777" w:rsidTr="00964CC4">
        <w:tc>
          <w:tcPr>
            <w:tcW w:w="14173" w:type="dxa"/>
            <w:tcBorders>
              <w:top w:val="single" w:sz="4" w:space="0" w:color="auto"/>
              <w:left w:val="single" w:sz="4" w:space="0" w:color="auto"/>
              <w:bottom w:val="single" w:sz="4" w:space="0" w:color="auto"/>
              <w:right w:val="single" w:sz="4" w:space="0" w:color="auto"/>
            </w:tcBorders>
          </w:tcPr>
          <w:p w14:paraId="58759484" w14:textId="77777777" w:rsidR="00394471" w:rsidRPr="00FA0D37" w:rsidRDefault="00394471" w:rsidP="00964CC4">
            <w:pPr>
              <w:pStyle w:val="TAL"/>
            </w:pPr>
            <w:r w:rsidRPr="00FA0D37">
              <w:rPr>
                <w:b/>
                <w:i/>
              </w:rPr>
              <w:t>codebookTypeRequest</w:t>
            </w:r>
          </w:p>
          <w:p w14:paraId="31CF765A" w14:textId="77777777" w:rsidR="00394471" w:rsidRPr="00FA0D37" w:rsidRDefault="00394471" w:rsidP="00964CC4">
            <w:pPr>
              <w:pStyle w:val="TAL"/>
              <w:rPr>
                <w:lang w:eastAsia="sv-SE"/>
              </w:rPr>
            </w:pPr>
            <w:r w:rsidRPr="00FA0D37">
              <w:rPr>
                <w:rFonts w:eastAsiaTheme="minorEastAsia"/>
              </w:rPr>
              <w:t xml:space="preserve">Only if this field is present, the UE includes </w:t>
            </w:r>
            <w:r w:rsidRPr="00FA0D37">
              <w:rPr>
                <w:rFonts w:eastAsiaTheme="minorEastAsia"/>
                <w:i/>
              </w:rPr>
              <w:t>SupportedCSI-RS-Resource</w:t>
            </w:r>
            <w:r w:rsidRPr="00FA0D37">
              <w:rPr>
                <w:rFonts w:eastAsiaTheme="minorEastAsia"/>
              </w:rPr>
              <w:t xml:space="preserve"> supported for the codebook type(s) requested within this field (i.e. type I single/multi-panel, type II and type II port selection) into </w:t>
            </w:r>
            <w:r w:rsidRPr="00FA0D37">
              <w:rPr>
                <w:rFonts w:eastAsiaTheme="minorEastAsia"/>
                <w:i/>
              </w:rPr>
              <w:t>codebookVariantsList</w:t>
            </w:r>
            <w:r w:rsidRPr="00FA0D37">
              <w:rPr>
                <w:rFonts w:eastAsiaTheme="minorEastAsia"/>
              </w:rPr>
              <w:t xml:space="preserve">, </w:t>
            </w:r>
            <w:r w:rsidRPr="00FA0D37">
              <w:rPr>
                <w:rFonts w:eastAsiaTheme="minorEastAsia"/>
                <w:i/>
              </w:rPr>
              <w:t>codebookParametersPerBand</w:t>
            </w:r>
            <w:r w:rsidRPr="00FA0D37">
              <w:rPr>
                <w:rFonts w:eastAsiaTheme="minorEastAsia"/>
              </w:rPr>
              <w:t xml:space="preserve"> and </w:t>
            </w:r>
            <w:r w:rsidRPr="00FA0D37">
              <w:rPr>
                <w:rFonts w:eastAsiaTheme="minorEastAsia"/>
                <w:i/>
              </w:rPr>
              <w:t>codebookParametersPerBC</w:t>
            </w:r>
            <w:r w:rsidRPr="00FA0D37">
              <w:rPr>
                <w:rFonts w:eastAsiaTheme="minorEastAsia"/>
              </w:rPr>
              <w:t xml:space="preserve">. If this field is present and none of the codebook types is requested within this field (i.e. empty field), the UE includes </w:t>
            </w:r>
            <w:r w:rsidRPr="00FA0D37">
              <w:rPr>
                <w:rFonts w:eastAsiaTheme="minorEastAsia"/>
                <w:i/>
              </w:rPr>
              <w:t>SupportedCSI-RS-Resource</w:t>
            </w:r>
            <w:r w:rsidRPr="00FA0D37">
              <w:rPr>
                <w:rFonts w:eastAsiaTheme="minorEastAsia"/>
              </w:rPr>
              <w:t xml:space="preserve"> supported for all codebook types into </w:t>
            </w:r>
            <w:r w:rsidRPr="00FA0D37">
              <w:rPr>
                <w:rFonts w:eastAsiaTheme="minorEastAsia"/>
                <w:i/>
              </w:rPr>
              <w:t>codebookVariantsList</w:t>
            </w:r>
            <w:r w:rsidRPr="00FA0D37">
              <w:rPr>
                <w:rFonts w:eastAsiaTheme="minorEastAsia"/>
              </w:rPr>
              <w:t xml:space="preserve">, </w:t>
            </w:r>
            <w:r w:rsidRPr="00FA0D37">
              <w:rPr>
                <w:rFonts w:eastAsiaTheme="minorEastAsia"/>
                <w:i/>
              </w:rPr>
              <w:t>codebookParametersPerBand</w:t>
            </w:r>
            <w:r w:rsidRPr="00FA0D37">
              <w:rPr>
                <w:rFonts w:eastAsiaTheme="minorEastAsia"/>
              </w:rPr>
              <w:t xml:space="preserve"> and </w:t>
            </w:r>
            <w:r w:rsidRPr="00FA0D37">
              <w:rPr>
                <w:rFonts w:eastAsiaTheme="minorEastAsia"/>
                <w:i/>
              </w:rPr>
              <w:t>codebookParametersPerBC</w:t>
            </w:r>
            <w:r w:rsidRPr="00FA0D37">
              <w:rPr>
                <w:rFonts w:eastAsiaTheme="minorEastAsia"/>
              </w:rPr>
              <w:t>.</w:t>
            </w:r>
          </w:p>
        </w:tc>
      </w:tr>
      <w:tr w:rsidR="005C7FF4" w:rsidRPr="00FA0D37" w14:paraId="242F9B6D" w14:textId="77777777" w:rsidTr="0071565C">
        <w:tc>
          <w:tcPr>
            <w:tcW w:w="14173" w:type="dxa"/>
            <w:tcBorders>
              <w:top w:val="single" w:sz="4" w:space="0" w:color="auto"/>
              <w:left w:val="single" w:sz="4" w:space="0" w:color="auto"/>
              <w:bottom w:val="single" w:sz="4" w:space="0" w:color="auto"/>
              <w:right w:val="single" w:sz="4" w:space="0" w:color="auto"/>
            </w:tcBorders>
          </w:tcPr>
          <w:p w14:paraId="5D7F516D" w14:textId="77777777" w:rsidR="00691952" w:rsidRPr="00FA0D37" w:rsidRDefault="00691952" w:rsidP="00A12BD9">
            <w:pPr>
              <w:pStyle w:val="TAL"/>
              <w:rPr>
                <w:rFonts w:eastAsia="等线"/>
                <w:b/>
                <w:bCs/>
                <w:i/>
                <w:iCs/>
                <w:lang w:eastAsia="zh-CN"/>
              </w:rPr>
            </w:pPr>
            <w:r w:rsidRPr="00FA0D37">
              <w:rPr>
                <w:rFonts w:eastAsia="等线"/>
                <w:b/>
                <w:bCs/>
                <w:i/>
                <w:iCs/>
                <w:lang w:eastAsia="zh-CN"/>
              </w:rPr>
              <w:t>fallbackGroupFiveRequest</w:t>
            </w:r>
          </w:p>
          <w:p w14:paraId="7863B54F" w14:textId="77777777" w:rsidR="00691952" w:rsidRPr="00FA0D37" w:rsidRDefault="00691952" w:rsidP="00A12BD9">
            <w:pPr>
              <w:pStyle w:val="TAL"/>
            </w:pPr>
            <w:r w:rsidRPr="00FA0D37">
              <w:rPr>
                <w:rFonts w:eastAsia="等线"/>
                <w:lang w:eastAsia="zh-CN"/>
              </w:rPr>
              <w:t>Only if this field is present, the UE supporting FR2 CA bandwidth class from fallback group 5 shall include band combinations with FR2 CA bandwidth class from fallback group 5, and shall omit band combinations with FR2 CA bandwidth class from fallback group 2 or 3 (see TS 38.101-2 [39]) with same or lower capabilities.</w:t>
            </w:r>
          </w:p>
        </w:tc>
      </w:tr>
      <w:tr w:rsidR="005C7FF4" w:rsidRPr="00FA0D37" w14:paraId="1C5AC2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10C219" w14:textId="77777777" w:rsidR="00394471" w:rsidRPr="00FA0D37" w:rsidRDefault="00394471" w:rsidP="00964CC4">
            <w:pPr>
              <w:pStyle w:val="TAL"/>
              <w:rPr>
                <w:lang w:eastAsia="sv-SE"/>
              </w:rPr>
            </w:pPr>
            <w:r w:rsidRPr="00FA0D37">
              <w:rPr>
                <w:b/>
                <w:i/>
                <w:lang w:eastAsia="sv-SE"/>
              </w:rPr>
              <w:t>includeNE-DC</w:t>
            </w:r>
          </w:p>
          <w:p w14:paraId="19F30D87" w14:textId="77777777" w:rsidR="00394471" w:rsidRPr="00FA0D37" w:rsidRDefault="00394471" w:rsidP="00964CC4">
            <w:pPr>
              <w:pStyle w:val="TAL"/>
              <w:rPr>
                <w:lang w:eastAsia="sv-SE"/>
              </w:rPr>
            </w:pPr>
            <w:r w:rsidRPr="00FA0D37">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FA0D37">
              <w:rPr>
                <w:i/>
                <w:lang w:eastAsia="sv-SE"/>
              </w:rPr>
              <w:t>supportedBandCombinationList</w:t>
            </w:r>
            <w:r w:rsidRPr="00FA0D37">
              <w:rPr>
                <w:lang w:eastAsia="sv-SE"/>
              </w:rPr>
              <w:t xml:space="preserve">, band combinations supporting only NE-DC shall be included in </w:t>
            </w:r>
            <w:r w:rsidRPr="00FA0D37">
              <w:rPr>
                <w:i/>
                <w:lang w:eastAsia="sv-SE"/>
              </w:rPr>
              <w:t>supportedBandCombinationListNEDC-Only</w:t>
            </w:r>
            <w:r w:rsidRPr="00FA0D37">
              <w:rPr>
                <w:lang w:eastAsia="sv-SE"/>
              </w:rPr>
              <w:t>.</w:t>
            </w:r>
          </w:p>
        </w:tc>
      </w:tr>
      <w:tr w:rsidR="005C7FF4" w:rsidRPr="00FA0D37" w14:paraId="32A722C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CDC0B" w14:textId="77777777" w:rsidR="00394471" w:rsidRPr="00FA0D37" w:rsidRDefault="00394471" w:rsidP="00964CC4">
            <w:pPr>
              <w:pStyle w:val="TAL"/>
              <w:rPr>
                <w:lang w:eastAsia="sv-SE"/>
              </w:rPr>
            </w:pPr>
            <w:r w:rsidRPr="00FA0D37">
              <w:rPr>
                <w:b/>
                <w:i/>
                <w:lang w:eastAsia="sv-SE"/>
              </w:rPr>
              <w:t>includeNR-DC</w:t>
            </w:r>
          </w:p>
          <w:p w14:paraId="79C26B9B" w14:textId="77777777" w:rsidR="00394471" w:rsidRPr="00FA0D37" w:rsidRDefault="00394471" w:rsidP="00964CC4">
            <w:pPr>
              <w:pStyle w:val="TAL"/>
              <w:rPr>
                <w:lang w:eastAsia="sv-SE"/>
              </w:rPr>
            </w:pPr>
            <w:r w:rsidRPr="00FA0D37">
              <w:rPr>
                <w:lang w:eastAsia="sv-SE"/>
              </w:rPr>
              <w:t>Only if this field is present, the UE supporting NR-DC shall indicate support for NR-DC in band combinations and include feature set combinations which are applicable to NR-DC.</w:t>
            </w:r>
          </w:p>
        </w:tc>
      </w:tr>
      <w:tr w:rsidR="005C7FF4" w:rsidRPr="00FA0D37" w14:paraId="22274A99" w14:textId="77777777" w:rsidTr="008E66B7">
        <w:tc>
          <w:tcPr>
            <w:tcW w:w="14173" w:type="dxa"/>
            <w:tcBorders>
              <w:top w:val="single" w:sz="4" w:space="0" w:color="auto"/>
              <w:left w:val="single" w:sz="4" w:space="0" w:color="auto"/>
              <w:bottom w:val="single" w:sz="4" w:space="0" w:color="auto"/>
              <w:right w:val="single" w:sz="4" w:space="0" w:color="auto"/>
            </w:tcBorders>
          </w:tcPr>
          <w:p w14:paraId="0C9337FF" w14:textId="77777777" w:rsidR="007830B1" w:rsidRPr="00FA0D37" w:rsidRDefault="007830B1" w:rsidP="008E66B7">
            <w:pPr>
              <w:pStyle w:val="TAL"/>
              <w:rPr>
                <w:b/>
                <w:i/>
                <w:lang w:eastAsia="sv-SE"/>
              </w:rPr>
            </w:pPr>
            <w:r w:rsidRPr="00FA0D37">
              <w:rPr>
                <w:b/>
                <w:i/>
                <w:lang w:eastAsia="sv-SE"/>
              </w:rPr>
              <w:t>mode</w:t>
            </w:r>
          </w:p>
          <w:p w14:paraId="06D7DC33" w14:textId="77777777" w:rsidR="007830B1" w:rsidRPr="00FA0D37" w:rsidRDefault="007830B1" w:rsidP="008E66B7">
            <w:pPr>
              <w:pStyle w:val="TAL"/>
              <w:rPr>
                <w:bCs/>
                <w:iCs/>
                <w:lang w:eastAsia="sv-SE"/>
              </w:rPr>
            </w:pPr>
            <w:r w:rsidRPr="00FA0D37">
              <w:rPr>
                <w:bCs/>
                <w:iCs/>
                <w:lang w:eastAsia="sv-SE"/>
              </w:rPr>
              <w:t xml:space="preserve">The mode of NR-DC operation that the NW is interested in for this cell grouping. </w:t>
            </w:r>
            <w:r w:rsidRPr="00FA0D37">
              <w:rPr>
                <w:bCs/>
                <w:iCs/>
                <w:lang w:eastAsia="x-none"/>
              </w:rPr>
              <w:t xml:space="preserve">The value </w:t>
            </w:r>
            <w:r w:rsidRPr="00FA0D37">
              <w:rPr>
                <w:bCs/>
                <w:i/>
                <w:lang w:eastAsia="x-none"/>
              </w:rPr>
              <w:t>sync</w:t>
            </w:r>
            <w:r w:rsidRPr="00FA0D37">
              <w:rPr>
                <w:bCs/>
                <w:iCs/>
                <w:lang w:eastAsia="x-none"/>
              </w:rPr>
              <w:t xml:space="preserve"> means that the UE only indicates NR-DC support for band combinations for which it supports synchronous NR-DC with the requested cell grouping. The value </w:t>
            </w:r>
            <w:r w:rsidRPr="00FA0D37">
              <w:rPr>
                <w:bCs/>
                <w:i/>
                <w:lang w:eastAsia="x-none"/>
              </w:rPr>
              <w:t>async</w:t>
            </w:r>
            <w:r w:rsidRPr="00FA0D37">
              <w:rPr>
                <w:bCs/>
                <w:iCs/>
                <w:lang w:eastAsia="x-none"/>
              </w:rPr>
              <w:t xml:space="preserve"> means that the UE only indicates NR-DC support for band combinations for which it supports asynchronous NR-DC with the requested cell grouping.</w:t>
            </w:r>
          </w:p>
        </w:tc>
      </w:tr>
      <w:tr w:rsidR="005C7FF4" w:rsidRPr="00FA0D37" w14:paraId="11955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EEF84D" w14:textId="77777777" w:rsidR="00394471" w:rsidRPr="00FA0D37" w:rsidRDefault="00394471" w:rsidP="00964CC4">
            <w:pPr>
              <w:pStyle w:val="TAL"/>
              <w:rPr>
                <w:lang w:eastAsia="sv-SE"/>
              </w:rPr>
            </w:pPr>
            <w:r w:rsidRPr="00FA0D37">
              <w:rPr>
                <w:b/>
                <w:i/>
                <w:lang w:eastAsia="sv-SE"/>
              </w:rPr>
              <w:t>omitEN-DC</w:t>
            </w:r>
          </w:p>
          <w:p w14:paraId="7AB8760A" w14:textId="77777777" w:rsidR="00394471" w:rsidRPr="00FA0D37" w:rsidRDefault="00394471" w:rsidP="00964CC4">
            <w:pPr>
              <w:pStyle w:val="TAL"/>
              <w:rPr>
                <w:lang w:eastAsia="sv-SE"/>
              </w:rPr>
            </w:pPr>
            <w:r w:rsidRPr="00FA0D37">
              <w:rPr>
                <w:lang w:eastAsia="sv-SE"/>
              </w:rPr>
              <w:t>Only if this field is present, the UE shall omit band combinations and feature set combinations which are only applicable to (NG)EN-DC.</w:t>
            </w:r>
          </w:p>
        </w:tc>
      </w:tr>
      <w:tr w:rsidR="005C7FF4" w:rsidRPr="00FA0D37" w14:paraId="0003218D" w14:textId="77777777" w:rsidTr="008E66B7">
        <w:tc>
          <w:tcPr>
            <w:tcW w:w="14173" w:type="dxa"/>
            <w:tcBorders>
              <w:top w:val="single" w:sz="4" w:space="0" w:color="auto"/>
              <w:left w:val="single" w:sz="4" w:space="0" w:color="auto"/>
              <w:bottom w:val="single" w:sz="4" w:space="0" w:color="auto"/>
              <w:right w:val="single" w:sz="4" w:space="0" w:color="auto"/>
            </w:tcBorders>
          </w:tcPr>
          <w:p w14:paraId="0622AFC6" w14:textId="77777777" w:rsidR="007830B1" w:rsidRPr="00FA0D37" w:rsidRDefault="007830B1" w:rsidP="008E66B7">
            <w:pPr>
              <w:pStyle w:val="TAL"/>
              <w:rPr>
                <w:b/>
                <w:bCs/>
                <w:i/>
                <w:iCs/>
              </w:rPr>
            </w:pPr>
            <w:r w:rsidRPr="00FA0D37">
              <w:rPr>
                <w:b/>
                <w:bCs/>
                <w:i/>
                <w:iCs/>
              </w:rPr>
              <w:t>requestedCellGrouping</w:t>
            </w:r>
          </w:p>
          <w:p w14:paraId="7BBE01FD" w14:textId="77777777" w:rsidR="007830B1" w:rsidRPr="00FA0D37" w:rsidRDefault="007830B1" w:rsidP="008E66B7">
            <w:pPr>
              <w:pStyle w:val="TAL"/>
              <w:rPr>
                <w:bCs/>
                <w:iCs/>
                <w:lang w:eastAsia="x-none"/>
              </w:rPr>
            </w:pPr>
            <w:r w:rsidRPr="00FA0D37">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sidRPr="00FA0D37">
              <w:rPr>
                <w:bCs/>
                <w:i/>
                <w:lang w:eastAsia="x-none"/>
              </w:rPr>
              <w:t>mcg</w:t>
            </w:r>
            <w:r w:rsidRPr="00FA0D37">
              <w:rPr>
                <w:bCs/>
                <w:iCs/>
                <w:lang w:eastAsia="x-none"/>
              </w:rPr>
              <w:t xml:space="preserve"> bands on MCG and at least one of the </w:t>
            </w:r>
            <w:r w:rsidRPr="00FA0D37">
              <w:rPr>
                <w:bCs/>
                <w:i/>
                <w:lang w:eastAsia="x-none"/>
              </w:rPr>
              <w:t xml:space="preserve">scg </w:t>
            </w:r>
            <w:r w:rsidRPr="00FA0D37">
              <w:rPr>
                <w:bCs/>
                <w:iCs/>
                <w:lang w:eastAsia="x-none"/>
              </w:rPr>
              <w:t xml:space="preserve">bands on the SCG. In its </w:t>
            </w:r>
            <w:r w:rsidRPr="00FA0D37">
              <w:rPr>
                <w:bCs/>
                <w:i/>
                <w:lang w:eastAsia="x-none"/>
              </w:rPr>
              <w:t>supportedBandCombinationList</w:t>
            </w:r>
            <w:r w:rsidRPr="00FA0D37">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435F368E" w14:textId="77777777" w:rsidR="007830B1" w:rsidRPr="00FA0D37" w:rsidRDefault="007830B1" w:rsidP="008E66B7">
            <w:pPr>
              <w:pStyle w:val="TAL"/>
              <w:rPr>
                <w:lang w:eastAsia="x-none"/>
              </w:rPr>
            </w:pPr>
            <w:r w:rsidRPr="00FA0D37">
              <w:rPr>
                <w:lang w:eastAsia="x-none"/>
              </w:rPr>
              <w:t xml:space="preserve">Example 1: </w:t>
            </w:r>
            <w:r w:rsidRPr="00FA0D37">
              <w:rPr>
                <w:i/>
                <w:iCs/>
                <w:lang w:eastAsia="x-none"/>
              </w:rPr>
              <w:t>requestedCellGrouping</w:t>
            </w:r>
            <w:r w:rsidRPr="00FA0D37">
              <w:rPr>
                <w:lang w:eastAsia="x-none"/>
              </w:rPr>
              <w:t xml:space="preserve"> is set to </w:t>
            </w:r>
            <w:r w:rsidRPr="00FA0D37">
              <w:rPr>
                <w:i/>
                <w:iCs/>
                <w:lang w:eastAsia="x-none"/>
              </w:rPr>
              <w:t>mcg</w:t>
            </w:r>
            <w:r w:rsidRPr="00FA0D37">
              <w:rPr>
                <w:lang w:eastAsia="x-none"/>
              </w:rPr>
              <w:t xml:space="preserve">=[n1, n7, n41, n66] and </w:t>
            </w:r>
            <w:r w:rsidRPr="00FA0D37">
              <w:rPr>
                <w:i/>
                <w:iCs/>
                <w:lang w:eastAsia="x-none"/>
              </w:rPr>
              <w:t>scg</w:t>
            </w:r>
            <w:r w:rsidRPr="00FA0D37">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36BCB1F0" w14:textId="77777777" w:rsidR="007830B1" w:rsidRPr="00FA0D37" w:rsidRDefault="007830B1" w:rsidP="008E66B7">
            <w:pPr>
              <w:pStyle w:val="TAL"/>
              <w:rPr>
                <w:b/>
                <w:i/>
                <w:lang w:eastAsia="sv-SE"/>
              </w:rPr>
            </w:pPr>
            <w:r w:rsidRPr="00FA0D37">
              <w:rPr>
                <w:lang w:eastAsia="x-none"/>
              </w:rPr>
              <w:t xml:space="preserve">Example 2: One </w:t>
            </w:r>
            <w:r w:rsidRPr="00FA0D37">
              <w:rPr>
                <w:i/>
                <w:iCs/>
                <w:lang w:eastAsia="x-none"/>
              </w:rPr>
              <w:t>requestedCellGrouping</w:t>
            </w:r>
            <w:r w:rsidRPr="00FA0D37">
              <w:rPr>
                <w:lang w:eastAsia="x-none"/>
              </w:rPr>
              <w:t xml:space="preserve"> is set to </w:t>
            </w:r>
            <w:r w:rsidRPr="00FA0D37">
              <w:rPr>
                <w:i/>
                <w:iCs/>
                <w:lang w:eastAsia="x-none"/>
              </w:rPr>
              <w:t>mcg</w:t>
            </w:r>
            <w:r w:rsidRPr="00FA0D37">
              <w:rPr>
                <w:lang w:eastAsia="x-none"/>
              </w:rPr>
              <w:t>=[n1, n7, n41, n66] and s</w:t>
            </w:r>
            <w:r w:rsidRPr="00FA0D37">
              <w:rPr>
                <w:i/>
                <w:iCs/>
                <w:lang w:eastAsia="x-none"/>
              </w:rPr>
              <w:t>cg</w:t>
            </w:r>
            <w:r w:rsidRPr="00FA0D37">
              <w:rPr>
                <w:lang w:eastAsia="x-none"/>
              </w:rPr>
              <w:t xml:space="preserve">=[n78, n261] and another </w:t>
            </w:r>
            <w:r w:rsidRPr="00FA0D37">
              <w:rPr>
                <w:i/>
                <w:iCs/>
                <w:lang w:eastAsia="x-none"/>
              </w:rPr>
              <w:t>requestedCellGrouping</w:t>
            </w:r>
            <w:r w:rsidRPr="00FA0D37">
              <w:rPr>
                <w:lang w:eastAsia="x-none"/>
              </w:rPr>
              <w:t xml:space="preserve"> is set to </w:t>
            </w:r>
            <w:r w:rsidRPr="00FA0D37">
              <w:rPr>
                <w:i/>
                <w:iCs/>
                <w:lang w:eastAsia="x-none"/>
              </w:rPr>
              <w:t>mcg</w:t>
            </w:r>
            <w:r w:rsidRPr="00FA0D37">
              <w:rPr>
                <w:lang w:eastAsia="x-none"/>
              </w:rPr>
              <w:t>=[n1, n7, n66] and s</w:t>
            </w:r>
            <w:r w:rsidRPr="00FA0D37">
              <w:rPr>
                <w:i/>
                <w:iCs/>
                <w:lang w:eastAsia="x-none"/>
              </w:rPr>
              <w:t>cg</w:t>
            </w:r>
            <w:r w:rsidRPr="00FA0D37">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8E528F" w:rsidRPr="00FA0D37" w14:paraId="5CA7B5FD" w14:textId="77777777" w:rsidTr="00964CC4">
        <w:tc>
          <w:tcPr>
            <w:tcW w:w="14173" w:type="dxa"/>
            <w:tcBorders>
              <w:top w:val="single" w:sz="4" w:space="0" w:color="auto"/>
              <w:left w:val="single" w:sz="4" w:space="0" w:color="auto"/>
              <w:bottom w:val="single" w:sz="4" w:space="0" w:color="auto"/>
              <w:right w:val="single" w:sz="4" w:space="0" w:color="auto"/>
            </w:tcBorders>
          </w:tcPr>
          <w:p w14:paraId="291879AF" w14:textId="77777777" w:rsidR="00394471" w:rsidRPr="00FA0D37" w:rsidRDefault="00394471" w:rsidP="00964CC4">
            <w:pPr>
              <w:pStyle w:val="TAL"/>
              <w:rPr>
                <w:b/>
                <w:i/>
                <w:lang w:eastAsia="sv-SE"/>
              </w:rPr>
            </w:pPr>
            <w:r w:rsidRPr="00FA0D37">
              <w:rPr>
                <w:b/>
                <w:i/>
                <w:lang w:eastAsia="sv-SE"/>
              </w:rPr>
              <w:t>uplinkTxSwitchRequest</w:t>
            </w:r>
          </w:p>
          <w:p w14:paraId="2B00E6EC" w14:textId="77777777" w:rsidR="00394471" w:rsidRPr="00FA0D37" w:rsidRDefault="00394471" w:rsidP="00964CC4">
            <w:pPr>
              <w:pStyle w:val="TAL"/>
              <w:rPr>
                <w:bCs/>
                <w:iCs/>
                <w:lang w:eastAsia="sv-SE"/>
              </w:rPr>
            </w:pPr>
            <w:r w:rsidRPr="00FA0D37">
              <w:rPr>
                <w:bCs/>
                <w:iCs/>
                <w:lang w:eastAsia="sv-SE"/>
              </w:rPr>
              <w:t xml:space="preserve">Only if this field is present, the UE supporting dynamic UL Tx switching shall indicate support for UL Tx switching in band combinations which are applicable to inter-band UL CA, SUL and </w:t>
            </w:r>
            <w:r w:rsidRPr="00FA0D37">
              <w:rPr>
                <w:rFonts w:eastAsia="等线"/>
                <w:bCs/>
                <w:iCs/>
              </w:rPr>
              <w:t>(NG)</w:t>
            </w:r>
            <w:r w:rsidRPr="00FA0D37">
              <w:rPr>
                <w:bCs/>
                <w:iCs/>
                <w:lang w:eastAsia="sv-SE"/>
              </w:rPr>
              <w:t>EN-DC.</w:t>
            </w:r>
          </w:p>
        </w:tc>
      </w:tr>
    </w:tbl>
    <w:p w14:paraId="75948E1C" w14:textId="77777777" w:rsidR="007830B1" w:rsidRPr="00FA0D37" w:rsidRDefault="007830B1" w:rsidP="007830B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11432A25"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F1CC873" w14:textId="77777777" w:rsidR="007830B1" w:rsidRPr="00FA0D37" w:rsidRDefault="007830B1" w:rsidP="008E66B7">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42BC6A" w14:textId="77777777" w:rsidR="007830B1" w:rsidRPr="00FA0D37" w:rsidRDefault="007830B1" w:rsidP="008E66B7">
            <w:pPr>
              <w:pStyle w:val="TAH"/>
              <w:rPr>
                <w:lang w:eastAsia="sv-SE"/>
              </w:rPr>
            </w:pPr>
            <w:r w:rsidRPr="00FA0D37">
              <w:rPr>
                <w:lang w:eastAsia="sv-SE"/>
              </w:rPr>
              <w:t>Explanation</w:t>
            </w:r>
          </w:p>
        </w:tc>
      </w:tr>
      <w:tr w:rsidR="008E528F" w:rsidRPr="00FA0D37" w14:paraId="445B0C91"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8B475D4" w14:textId="77777777" w:rsidR="007830B1" w:rsidRPr="00FA0D37" w:rsidRDefault="007830B1" w:rsidP="008E66B7">
            <w:pPr>
              <w:pStyle w:val="TAL"/>
              <w:rPr>
                <w:i/>
                <w:lang w:eastAsia="sv-SE"/>
              </w:rPr>
            </w:pPr>
            <w:r w:rsidRPr="00FA0D37">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1E191C30" w14:textId="77777777" w:rsidR="007830B1" w:rsidRPr="00FA0D37" w:rsidRDefault="007830B1" w:rsidP="008E66B7">
            <w:pPr>
              <w:pStyle w:val="TAL"/>
              <w:rPr>
                <w:lang w:eastAsia="sv-SE"/>
              </w:rPr>
            </w:pPr>
            <w:r w:rsidRPr="00FA0D37">
              <w:rPr>
                <w:lang w:eastAsia="sv-SE"/>
              </w:rPr>
              <w:t xml:space="preserve">The field is optionally present, Need N, if </w:t>
            </w:r>
            <w:r w:rsidRPr="00FA0D37">
              <w:rPr>
                <w:i/>
                <w:iCs/>
                <w:lang w:eastAsia="sv-SE"/>
              </w:rPr>
              <w:t>includeNR-DC</w:t>
            </w:r>
            <w:r w:rsidRPr="00FA0D37">
              <w:rPr>
                <w:lang w:eastAsia="sv-SE"/>
              </w:rPr>
              <w:t xml:space="preserve"> is included. It is absent otherwise.</w:t>
            </w:r>
          </w:p>
        </w:tc>
      </w:tr>
    </w:tbl>
    <w:p w14:paraId="28FD84FA" w14:textId="77777777" w:rsidR="00394471" w:rsidRPr="00FA0D37" w:rsidRDefault="00394471" w:rsidP="00394471"/>
    <w:p w14:paraId="20E32B09" w14:textId="73F0E47D" w:rsidR="00394471" w:rsidRPr="00FA0D37" w:rsidRDefault="00394471" w:rsidP="00394471">
      <w:pPr>
        <w:pStyle w:val="4"/>
      </w:pPr>
      <w:bookmarkStart w:id="1639" w:name="_Toc60777489"/>
      <w:bookmarkStart w:id="1640" w:name="_Toc146781598"/>
      <w:r w:rsidRPr="00FA0D37">
        <w:lastRenderedPageBreak/>
        <w:t>–</w:t>
      </w:r>
      <w:r w:rsidRPr="00FA0D37">
        <w:tab/>
      </w:r>
      <w:r w:rsidRPr="00FA0D37">
        <w:rPr>
          <w:i/>
        </w:rPr>
        <w:t>UE-CapabilityRequestFilterNR</w:t>
      </w:r>
      <w:bookmarkEnd w:id="1639"/>
      <w:bookmarkEnd w:id="1640"/>
    </w:p>
    <w:p w14:paraId="45F6C54C" w14:textId="77777777" w:rsidR="00394471" w:rsidRPr="00FA0D37" w:rsidRDefault="00394471" w:rsidP="00394471">
      <w:r w:rsidRPr="00FA0D37">
        <w:t xml:space="preserve">The IE </w:t>
      </w:r>
      <w:r w:rsidRPr="00FA0D37">
        <w:rPr>
          <w:i/>
        </w:rPr>
        <w:t>UE-CapabilityRequestFilterNR</w:t>
      </w:r>
      <w:r w:rsidRPr="00FA0D37">
        <w:t xml:space="preserve"> is used to request filtered UE capabilities.</w:t>
      </w:r>
    </w:p>
    <w:p w14:paraId="26FBC3F6" w14:textId="77777777" w:rsidR="00394471" w:rsidRPr="00FA0D37" w:rsidRDefault="00394471" w:rsidP="00394471">
      <w:pPr>
        <w:pStyle w:val="TH"/>
      </w:pPr>
      <w:r w:rsidRPr="00FA0D37">
        <w:rPr>
          <w:i/>
        </w:rPr>
        <w:t>UE-CapabilityRequestFilterNR</w:t>
      </w:r>
      <w:r w:rsidRPr="00FA0D37">
        <w:t xml:space="preserve"> information element</w:t>
      </w:r>
    </w:p>
    <w:p w14:paraId="2399758F" w14:textId="77777777" w:rsidR="00394471" w:rsidRPr="00FA0D37" w:rsidRDefault="00394471" w:rsidP="00FA0D37">
      <w:pPr>
        <w:pStyle w:val="PL"/>
        <w:rPr>
          <w:color w:val="808080"/>
        </w:rPr>
      </w:pPr>
      <w:r w:rsidRPr="00FA0D37">
        <w:rPr>
          <w:color w:val="808080"/>
        </w:rPr>
        <w:t>-- ASN1START</w:t>
      </w:r>
    </w:p>
    <w:p w14:paraId="513FA379" w14:textId="77777777" w:rsidR="00394471" w:rsidRPr="00FA0D37" w:rsidRDefault="00394471" w:rsidP="00FA0D37">
      <w:pPr>
        <w:pStyle w:val="PL"/>
        <w:rPr>
          <w:color w:val="808080"/>
        </w:rPr>
      </w:pPr>
      <w:r w:rsidRPr="00FA0D37">
        <w:rPr>
          <w:color w:val="808080"/>
        </w:rPr>
        <w:t>-- TAG-UE-CAPABILITYREQUESTFILTERNR-START</w:t>
      </w:r>
    </w:p>
    <w:p w14:paraId="116F3F76" w14:textId="77777777" w:rsidR="00394471" w:rsidRPr="00FA0D37" w:rsidRDefault="00394471" w:rsidP="00FA0D37">
      <w:pPr>
        <w:pStyle w:val="PL"/>
      </w:pPr>
    </w:p>
    <w:p w14:paraId="73E257EC" w14:textId="77777777" w:rsidR="00394471" w:rsidRPr="00FA0D37" w:rsidRDefault="00394471" w:rsidP="00FA0D37">
      <w:pPr>
        <w:pStyle w:val="PL"/>
      </w:pPr>
      <w:r w:rsidRPr="00FA0D37">
        <w:t xml:space="preserve">UE-CapabilityRequestFilterNR ::=            </w:t>
      </w:r>
      <w:r w:rsidRPr="00FA0D37">
        <w:rPr>
          <w:color w:val="993366"/>
        </w:rPr>
        <w:t>SEQUENCE</w:t>
      </w:r>
      <w:r w:rsidRPr="00FA0D37">
        <w:t xml:space="preserve"> {</w:t>
      </w:r>
    </w:p>
    <w:p w14:paraId="4D53F291" w14:textId="77777777" w:rsidR="00394471" w:rsidRPr="00FA0D37" w:rsidRDefault="00394471" w:rsidP="00FA0D37">
      <w:pPr>
        <w:pStyle w:val="PL"/>
        <w:rPr>
          <w:color w:val="808080"/>
        </w:rPr>
      </w:pPr>
      <w:r w:rsidRPr="00FA0D37">
        <w:t xml:space="preserve">    frequencyBandListFilter                     FreqBandList                          </w:t>
      </w:r>
      <w:r w:rsidRPr="00FA0D37">
        <w:rPr>
          <w:color w:val="993366"/>
        </w:rPr>
        <w:t>OPTIONAL</w:t>
      </w:r>
      <w:r w:rsidRPr="00FA0D37">
        <w:t xml:space="preserve">,   </w:t>
      </w:r>
      <w:r w:rsidRPr="00FA0D37">
        <w:rPr>
          <w:color w:val="808080"/>
        </w:rPr>
        <w:t>-- Need N</w:t>
      </w:r>
    </w:p>
    <w:p w14:paraId="288D8C01" w14:textId="77777777" w:rsidR="00394471" w:rsidRPr="00FA0D37" w:rsidRDefault="00394471" w:rsidP="00FA0D37">
      <w:pPr>
        <w:pStyle w:val="PL"/>
      </w:pPr>
      <w:r w:rsidRPr="00FA0D37">
        <w:t xml:space="preserve">    nonCriticalExtension                        UE-CapabilityRequestFilterNR-v1540    </w:t>
      </w:r>
      <w:r w:rsidRPr="00FA0D37">
        <w:rPr>
          <w:color w:val="993366"/>
        </w:rPr>
        <w:t>OPTIONAL</w:t>
      </w:r>
    </w:p>
    <w:p w14:paraId="5940C858" w14:textId="77777777" w:rsidR="00394471" w:rsidRPr="00FA0D37" w:rsidRDefault="00394471" w:rsidP="00FA0D37">
      <w:pPr>
        <w:pStyle w:val="PL"/>
      </w:pPr>
      <w:r w:rsidRPr="00FA0D37">
        <w:t>}</w:t>
      </w:r>
    </w:p>
    <w:p w14:paraId="2552CAD6" w14:textId="77777777" w:rsidR="00394471" w:rsidRPr="00FA0D37" w:rsidRDefault="00394471" w:rsidP="00FA0D37">
      <w:pPr>
        <w:pStyle w:val="PL"/>
      </w:pPr>
    </w:p>
    <w:p w14:paraId="743C38AC" w14:textId="77777777" w:rsidR="00394471" w:rsidRPr="00FA0D37" w:rsidRDefault="00394471" w:rsidP="00FA0D37">
      <w:pPr>
        <w:pStyle w:val="PL"/>
      </w:pPr>
      <w:r w:rsidRPr="00FA0D37">
        <w:t xml:space="preserve">UE-CapabilityRequestFilterNR-v1540 ::=      </w:t>
      </w:r>
      <w:r w:rsidRPr="00FA0D37">
        <w:rPr>
          <w:color w:val="993366"/>
        </w:rPr>
        <w:t>SEQUENCE</w:t>
      </w:r>
      <w:r w:rsidRPr="00FA0D37">
        <w:t xml:space="preserve"> {</w:t>
      </w:r>
    </w:p>
    <w:p w14:paraId="455722E2" w14:textId="77777777" w:rsidR="00394471" w:rsidRPr="00FA0D37" w:rsidRDefault="00394471" w:rsidP="00FA0D37">
      <w:pPr>
        <w:pStyle w:val="PL"/>
        <w:rPr>
          <w:color w:val="808080"/>
        </w:rPr>
      </w:pPr>
      <w:r w:rsidRPr="00FA0D37">
        <w:t xml:space="preserve">    srs-SwitchingTimeRequest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3AE21071" w14:textId="5FC0D38A" w:rsidR="00394471" w:rsidRPr="00FA0D37" w:rsidRDefault="00394471" w:rsidP="00FA0D37">
      <w:pPr>
        <w:pStyle w:val="PL"/>
      </w:pPr>
      <w:r w:rsidRPr="00FA0D37">
        <w:t xml:space="preserve">    nonCriticalExtension                        </w:t>
      </w:r>
      <w:r w:rsidR="002C7704" w:rsidRPr="00FA0D37">
        <w:t>UE-CapabilityRequestFilterNR-v1710</w:t>
      </w:r>
      <w:r w:rsidRPr="00FA0D37">
        <w:t xml:space="preserve">    </w:t>
      </w:r>
      <w:r w:rsidRPr="00FA0D37">
        <w:rPr>
          <w:color w:val="993366"/>
        </w:rPr>
        <w:t>OPTIONAL</w:t>
      </w:r>
    </w:p>
    <w:p w14:paraId="0D9D9ED0" w14:textId="77777777" w:rsidR="00394471" w:rsidRPr="00FA0D37" w:rsidRDefault="00394471" w:rsidP="00FA0D37">
      <w:pPr>
        <w:pStyle w:val="PL"/>
      </w:pPr>
      <w:r w:rsidRPr="00FA0D37">
        <w:t>}</w:t>
      </w:r>
    </w:p>
    <w:p w14:paraId="3C4E0103" w14:textId="77777777" w:rsidR="002C7704" w:rsidRPr="00FA0D37" w:rsidRDefault="002C7704" w:rsidP="00FA0D37">
      <w:pPr>
        <w:pStyle w:val="PL"/>
      </w:pPr>
    </w:p>
    <w:p w14:paraId="1789A0A4" w14:textId="4F1F6A4E" w:rsidR="002C7704" w:rsidRPr="00FA0D37" w:rsidRDefault="002C7704" w:rsidP="00FA0D37">
      <w:pPr>
        <w:pStyle w:val="PL"/>
      </w:pPr>
      <w:r w:rsidRPr="00FA0D37">
        <w:t xml:space="preserve">UE-CapabilityRequestFilterNR-v1710 ::=      </w:t>
      </w:r>
      <w:r w:rsidRPr="00FA0D37">
        <w:rPr>
          <w:color w:val="993366"/>
        </w:rPr>
        <w:t>SEQUENCE</w:t>
      </w:r>
      <w:r w:rsidRPr="00FA0D37">
        <w:t xml:space="preserve"> {</w:t>
      </w:r>
    </w:p>
    <w:p w14:paraId="15E4712C" w14:textId="77777777" w:rsidR="002C7704" w:rsidRPr="00FA0D37" w:rsidRDefault="002C7704" w:rsidP="00FA0D37">
      <w:pPr>
        <w:pStyle w:val="PL"/>
        <w:rPr>
          <w:color w:val="808080"/>
        </w:rPr>
      </w:pPr>
      <w:r w:rsidRPr="00FA0D37">
        <w:t xml:space="preserve">    sidelinkRequest-r17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77D6644C" w14:textId="77777777" w:rsidR="002C7704" w:rsidRPr="00FA0D37" w:rsidRDefault="002C7704"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5CAB051C" w14:textId="09EE7A40" w:rsidR="002C7704" w:rsidRPr="00FA0D37" w:rsidRDefault="002C7704" w:rsidP="00FA0D37">
      <w:pPr>
        <w:pStyle w:val="PL"/>
      </w:pPr>
      <w:r w:rsidRPr="00FA0D37">
        <w:t>}</w:t>
      </w:r>
    </w:p>
    <w:p w14:paraId="1CD4A605" w14:textId="77777777" w:rsidR="002C7704" w:rsidRPr="00FA0D37" w:rsidRDefault="002C7704" w:rsidP="00FA0D37">
      <w:pPr>
        <w:pStyle w:val="PL"/>
      </w:pPr>
    </w:p>
    <w:p w14:paraId="6E489940" w14:textId="77777777" w:rsidR="00394471" w:rsidRPr="00FA0D37" w:rsidRDefault="00394471" w:rsidP="00FA0D37">
      <w:pPr>
        <w:pStyle w:val="PL"/>
        <w:rPr>
          <w:color w:val="808080"/>
        </w:rPr>
      </w:pPr>
      <w:r w:rsidRPr="00FA0D37">
        <w:rPr>
          <w:color w:val="808080"/>
        </w:rPr>
        <w:t>-- TAG-UE-CAPABILITYREQUESTFILTERNR-STOP</w:t>
      </w:r>
    </w:p>
    <w:p w14:paraId="722C1812" w14:textId="77777777" w:rsidR="00394471" w:rsidRPr="00FA0D37" w:rsidRDefault="00394471" w:rsidP="00FA0D37">
      <w:pPr>
        <w:pStyle w:val="PL"/>
        <w:rPr>
          <w:color w:val="808080"/>
        </w:rPr>
      </w:pPr>
      <w:r w:rsidRPr="00FA0D37">
        <w:rPr>
          <w:color w:val="808080"/>
        </w:rPr>
        <w:t>-- ASN1STOP</w:t>
      </w:r>
    </w:p>
    <w:p w14:paraId="20A45311" w14:textId="77777777" w:rsidR="00394471" w:rsidRPr="00FA0D37" w:rsidRDefault="00394471" w:rsidP="00394471"/>
    <w:p w14:paraId="5B1375A3" w14:textId="49110D05" w:rsidR="00394471" w:rsidRPr="00FA0D37" w:rsidRDefault="00394471" w:rsidP="00394471">
      <w:pPr>
        <w:pStyle w:val="4"/>
      </w:pPr>
      <w:bookmarkStart w:id="1641" w:name="_Toc60777490"/>
      <w:bookmarkStart w:id="1642" w:name="_Toc146781599"/>
      <w:r w:rsidRPr="00FA0D37">
        <w:t>–</w:t>
      </w:r>
      <w:r w:rsidRPr="00FA0D37">
        <w:tab/>
      </w:r>
      <w:r w:rsidRPr="00FA0D37">
        <w:rPr>
          <w:i/>
          <w:noProof/>
        </w:rPr>
        <w:t>UE-MRDC-Capability</w:t>
      </w:r>
      <w:bookmarkEnd w:id="1641"/>
      <w:bookmarkEnd w:id="1642"/>
    </w:p>
    <w:p w14:paraId="1494CC7A" w14:textId="77777777" w:rsidR="00394471" w:rsidRPr="00FA0D37" w:rsidRDefault="00394471" w:rsidP="00394471">
      <w:pPr>
        <w:rPr>
          <w:iCs/>
        </w:rPr>
      </w:pPr>
      <w:r w:rsidRPr="00FA0D37">
        <w:t xml:space="preserve">The IE </w:t>
      </w:r>
      <w:r w:rsidRPr="00FA0D37">
        <w:rPr>
          <w:i/>
        </w:rPr>
        <w:t>UE-MRDC-Capability</w:t>
      </w:r>
      <w:r w:rsidRPr="00FA0D37">
        <w:rPr>
          <w:iCs/>
        </w:rPr>
        <w:t xml:space="preserve"> is used to convey the UE Radio Access Capability Parameters for MR-DC, see TS 38.306 [26].</w:t>
      </w:r>
    </w:p>
    <w:p w14:paraId="2B752B21" w14:textId="77777777" w:rsidR="00394471" w:rsidRPr="00FA0D37" w:rsidRDefault="00394471" w:rsidP="00394471">
      <w:pPr>
        <w:pStyle w:val="TH"/>
      </w:pPr>
      <w:r w:rsidRPr="00FA0D37">
        <w:rPr>
          <w:i/>
        </w:rPr>
        <w:t>UE-MRDC-Capability</w:t>
      </w:r>
      <w:r w:rsidRPr="00FA0D37">
        <w:t xml:space="preserve"> information element</w:t>
      </w:r>
    </w:p>
    <w:p w14:paraId="49045D6A" w14:textId="77777777" w:rsidR="00394471" w:rsidRPr="00FA0D37" w:rsidRDefault="00394471" w:rsidP="00FA0D37">
      <w:pPr>
        <w:pStyle w:val="PL"/>
        <w:rPr>
          <w:color w:val="808080"/>
        </w:rPr>
      </w:pPr>
      <w:r w:rsidRPr="00FA0D37">
        <w:rPr>
          <w:color w:val="808080"/>
        </w:rPr>
        <w:t>-- ASN1START</w:t>
      </w:r>
    </w:p>
    <w:p w14:paraId="47808FD6" w14:textId="77777777" w:rsidR="00394471" w:rsidRPr="00FA0D37" w:rsidRDefault="00394471" w:rsidP="00FA0D37">
      <w:pPr>
        <w:pStyle w:val="PL"/>
        <w:rPr>
          <w:color w:val="808080"/>
        </w:rPr>
      </w:pPr>
      <w:r w:rsidRPr="00FA0D37">
        <w:rPr>
          <w:color w:val="808080"/>
        </w:rPr>
        <w:t>-- TAG-UE-MRDC-CAPABILITY-START</w:t>
      </w:r>
    </w:p>
    <w:p w14:paraId="2A1AE6E6" w14:textId="77777777" w:rsidR="00394471" w:rsidRPr="00FA0D37" w:rsidRDefault="00394471" w:rsidP="00FA0D37">
      <w:pPr>
        <w:pStyle w:val="PL"/>
      </w:pPr>
    </w:p>
    <w:p w14:paraId="6518DD72" w14:textId="77777777" w:rsidR="00394471" w:rsidRPr="00FA0D37" w:rsidRDefault="00394471" w:rsidP="00FA0D37">
      <w:pPr>
        <w:pStyle w:val="PL"/>
      </w:pPr>
      <w:r w:rsidRPr="00FA0D37">
        <w:t xml:space="preserve">UE-MRDC-Capability ::=              </w:t>
      </w:r>
      <w:r w:rsidRPr="00FA0D37">
        <w:rPr>
          <w:color w:val="993366"/>
        </w:rPr>
        <w:t>SEQUENCE</w:t>
      </w:r>
      <w:r w:rsidRPr="00FA0D37">
        <w:t xml:space="preserve"> {</w:t>
      </w:r>
    </w:p>
    <w:p w14:paraId="05F43ABB" w14:textId="77777777" w:rsidR="00394471" w:rsidRPr="00FA0D37" w:rsidRDefault="00394471" w:rsidP="00FA0D37">
      <w:pPr>
        <w:pStyle w:val="PL"/>
      </w:pPr>
      <w:r w:rsidRPr="00FA0D37">
        <w:t xml:space="preserve">    measAndMobParametersMRDC            MeasAndMobParametersMRDC                                                        </w:t>
      </w:r>
      <w:r w:rsidRPr="00FA0D37">
        <w:rPr>
          <w:color w:val="993366"/>
        </w:rPr>
        <w:t>OPTIONAL</w:t>
      </w:r>
      <w:r w:rsidRPr="00FA0D37">
        <w:t>,</w:t>
      </w:r>
    </w:p>
    <w:p w14:paraId="057DC305" w14:textId="77777777" w:rsidR="00394471" w:rsidRPr="00FA0D37" w:rsidRDefault="00394471" w:rsidP="00FA0D37">
      <w:pPr>
        <w:pStyle w:val="PL"/>
      </w:pPr>
      <w:r w:rsidRPr="00FA0D37">
        <w:t xml:space="preserve">    phy-ParametersMRDC-v1530            Phy-ParametersMRDC                                                              </w:t>
      </w:r>
      <w:r w:rsidRPr="00FA0D37">
        <w:rPr>
          <w:color w:val="993366"/>
        </w:rPr>
        <w:t>OPTIONAL</w:t>
      </w:r>
      <w:r w:rsidRPr="00FA0D37">
        <w:t>,</w:t>
      </w:r>
    </w:p>
    <w:p w14:paraId="44AF5B4D" w14:textId="77777777" w:rsidR="00394471" w:rsidRPr="00FA0D37" w:rsidRDefault="00394471" w:rsidP="00FA0D37">
      <w:pPr>
        <w:pStyle w:val="PL"/>
      </w:pPr>
      <w:r w:rsidRPr="00FA0D37">
        <w:t xml:space="preserve">    rf-ParametersMRDC                   RF-ParametersMRDC,</w:t>
      </w:r>
    </w:p>
    <w:p w14:paraId="164E7390" w14:textId="77777777" w:rsidR="00394471" w:rsidRPr="00FA0D37" w:rsidRDefault="00394471" w:rsidP="00FA0D37">
      <w:pPr>
        <w:pStyle w:val="PL"/>
      </w:pPr>
      <w:r w:rsidRPr="00FA0D37">
        <w:t xml:space="preserve">    generalParametersMRDC               GeneralParametersMRDC-XDD-Diff                                                  </w:t>
      </w:r>
      <w:r w:rsidRPr="00FA0D37">
        <w:rPr>
          <w:color w:val="993366"/>
        </w:rPr>
        <w:t>OPTIONAL</w:t>
      </w:r>
      <w:r w:rsidRPr="00FA0D37">
        <w:t>,</w:t>
      </w:r>
    </w:p>
    <w:p w14:paraId="5AB425F1" w14:textId="77777777" w:rsidR="00394471" w:rsidRPr="00FA0D37" w:rsidRDefault="00394471" w:rsidP="00FA0D37">
      <w:pPr>
        <w:pStyle w:val="PL"/>
      </w:pPr>
      <w:r w:rsidRPr="00FA0D37">
        <w:t xml:space="preserve">    fdd-Add-UE-MRDC-Capabilities        UE-MRDC-CapabilityAddXDD-Mode                                                   </w:t>
      </w:r>
      <w:r w:rsidRPr="00FA0D37">
        <w:rPr>
          <w:color w:val="993366"/>
        </w:rPr>
        <w:t>OPTIONAL</w:t>
      </w:r>
      <w:r w:rsidRPr="00FA0D37">
        <w:t>,</w:t>
      </w:r>
    </w:p>
    <w:p w14:paraId="4C206518" w14:textId="77777777" w:rsidR="00394471" w:rsidRPr="00FA0D37" w:rsidRDefault="00394471" w:rsidP="00FA0D37">
      <w:pPr>
        <w:pStyle w:val="PL"/>
      </w:pPr>
      <w:r w:rsidRPr="00FA0D37">
        <w:t xml:space="preserve">    tdd-Add-UE-MRDC-Capabilities        UE-MRDC-CapabilityAddXDD-Mode                                                   </w:t>
      </w:r>
      <w:r w:rsidRPr="00FA0D37">
        <w:rPr>
          <w:color w:val="993366"/>
        </w:rPr>
        <w:t>OPTIONAL</w:t>
      </w:r>
      <w:r w:rsidRPr="00FA0D37">
        <w:t>,</w:t>
      </w:r>
    </w:p>
    <w:p w14:paraId="11D31BB2" w14:textId="77777777" w:rsidR="00394471" w:rsidRPr="00FA0D37" w:rsidRDefault="00394471" w:rsidP="00FA0D37">
      <w:pPr>
        <w:pStyle w:val="PL"/>
      </w:pPr>
      <w:r w:rsidRPr="00FA0D37">
        <w:t xml:space="preserve">    fr1-Add-UE-MRDC-Capabilities        UE-MRDC-CapabilityAddFRX-Mode                                                   </w:t>
      </w:r>
      <w:r w:rsidRPr="00FA0D37">
        <w:rPr>
          <w:color w:val="993366"/>
        </w:rPr>
        <w:t>OPTIONAL</w:t>
      </w:r>
      <w:r w:rsidRPr="00FA0D37">
        <w:t>,</w:t>
      </w:r>
    </w:p>
    <w:p w14:paraId="6ADA2433" w14:textId="77777777" w:rsidR="00394471" w:rsidRPr="00FA0D37" w:rsidRDefault="00394471" w:rsidP="00FA0D37">
      <w:pPr>
        <w:pStyle w:val="PL"/>
      </w:pPr>
      <w:r w:rsidRPr="00FA0D37">
        <w:t xml:space="preserve">    fr2-Add-UE-MRDC-Capabilities        UE-MRDC-CapabilityAddFRX-Mode                                                   </w:t>
      </w:r>
      <w:r w:rsidRPr="00FA0D37">
        <w:rPr>
          <w:color w:val="993366"/>
        </w:rPr>
        <w:t>OPTIONAL</w:t>
      </w:r>
      <w:r w:rsidRPr="00FA0D37">
        <w:t>,</w:t>
      </w:r>
    </w:p>
    <w:p w14:paraId="4DAB9CA2" w14:textId="77777777" w:rsidR="00394471" w:rsidRPr="00FA0D37" w:rsidRDefault="00394471" w:rsidP="00FA0D37">
      <w:pPr>
        <w:pStyle w:val="PL"/>
      </w:pPr>
      <w:r w:rsidRPr="00FA0D37">
        <w:t xml:space="preserve">    featureSetCombinations              </w:t>
      </w:r>
      <w:r w:rsidRPr="00FA0D37">
        <w:rPr>
          <w:color w:val="993366"/>
        </w:rPr>
        <w:t>SEQUENCE</w:t>
      </w:r>
      <w:r w:rsidRPr="00FA0D37">
        <w:t xml:space="preserve"> (</w:t>
      </w:r>
      <w:r w:rsidRPr="00FA0D37">
        <w:rPr>
          <w:color w:val="993366"/>
        </w:rPr>
        <w:t>SIZE</w:t>
      </w:r>
      <w:r w:rsidRPr="00FA0D37">
        <w:t xml:space="preserve"> (1..maxFeatureSetCombinations))</w:t>
      </w:r>
      <w:r w:rsidRPr="00FA0D37">
        <w:rPr>
          <w:color w:val="993366"/>
        </w:rPr>
        <w:t xml:space="preserve"> OF</w:t>
      </w:r>
      <w:r w:rsidRPr="00FA0D37">
        <w:t xml:space="preserve"> FeatureSetCombination         </w:t>
      </w:r>
      <w:r w:rsidRPr="00FA0D37">
        <w:rPr>
          <w:color w:val="993366"/>
        </w:rPr>
        <w:t>OPTIONAL</w:t>
      </w:r>
      <w:r w:rsidRPr="00FA0D37">
        <w:t>,</w:t>
      </w:r>
    </w:p>
    <w:p w14:paraId="4BA4C01A" w14:textId="77777777" w:rsidR="00394471" w:rsidRPr="00FA0D37" w:rsidRDefault="00394471" w:rsidP="00FA0D37">
      <w:pPr>
        <w:pStyle w:val="PL"/>
      </w:pPr>
      <w:r w:rsidRPr="00FA0D37">
        <w:t xml:space="preserve">    pdcp-ParametersMRDC-v1530           PDCP-ParametersMRDC                                                             </w:t>
      </w:r>
      <w:r w:rsidRPr="00FA0D37">
        <w:rPr>
          <w:color w:val="993366"/>
        </w:rPr>
        <w:t>OPTIONAL</w:t>
      </w:r>
      <w:r w:rsidRPr="00FA0D37">
        <w:t>,</w:t>
      </w:r>
    </w:p>
    <w:p w14:paraId="0A6A89B4" w14:textId="76A279BF"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00204A0D" w:rsidRPr="00FA0D37">
        <w:t>(CONTAINING UE-MRDC-Capability-v15</w:t>
      </w:r>
      <w:r w:rsidR="00EE4C48" w:rsidRPr="00FA0D37">
        <w:t>g0</w:t>
      </w:r>
      <w:r w:rsidR="00204A0D" w:rsidRPr="00FA0D37">
        <w:t>)</w:t>
      </w:r>
      <w:r w:rsidRPr="00FA0D37">
        <w:t xml:space="preserve">                              </w:t>
      </w:r>
      <w:r w:rsidRPr="00FA0D37">
        <w:rPr>
          <w:color w:val="993366"/>
        </w:rPr>
        <w:t>OPTIONAL</w:t>
      </w:r>
      <w:r w:rsidRPr="00FA0D37">
        <w:t>,</w:t>
      </w:r>
    </w:p>
    <w:p w14:paraId="34317337" w14:textId="77777777" w:rsidR="00394471" w:rsidRPr="00FA0D37" w:rsidRDefault="00394471" w:rsidP="00FA0D37">
      <w:pPr>
        <w:pStyle w:val="PL"/>
      </w:pPr>
      <w:r w:rsidRPr="00FA0D37">
        <w:lastRenderedPageBreak/>
        <w:t xml:space="preserve">    nonCriticalExtension                UE-MRDC-Capability-v1560                                                        </w:t>
      </w:r>
      <w:r w:rsidRPr="00FA0D37">
        <w:rPr>
          <w:color w:val="993366"/>
        </w:rPr>
        <w:t>OPTIONAL</w:t>
      </w:r>
    </w:p>
    <w:p w14:paraId="681DE0FE" w14:textId="77777777" w:rsidR="00394471" w:rsidRPr="00FA0D37" w:rsidRDefault="00394471" w:rsidP="00FA0D37">
      <w:pPr>
        <w:pStyle w:val="PL"/>
      </w:pPr>
      <w:r w:rsidRPr="00FA0D37">
        <w:t>}</w:t>
      </w:r>
    </w:p>
    <w:p w14:paraId="5D4D4C36" w14:textId="77777777" w:rsidR="00394471" w:rsidRPr="00FA0D37" w:rsidRDefault="00394471" w:rsidP="00FA0D37">
      <w:pPr>
        <w:pStyle w:val="PL"/>
      </w:pPr>
    </w:p>
    <w:p w14:paraId="41201C60" w14:textId="77777777" w:rsidR="00204A0D" w:rsidRPr="00FA0D37" w:rsidRDefault="00204A0D" w:rsidP="00FA0D37">
      <w:pPr>
        <w:pStyle w:val="PL"/>
        <w:rPr>
          <w:color w:val="808080"/>
        </w:rPr>
      </w:pPr>
      <w:r w:rsidRPr="00FA0D37">
        <w:rPr>
          <w:color w:val="808080"/>
        </w:rPr>
        <w:t>-- Regular non-critical extensions:</w:t>
      </w:r>
    </w:p>
    <w:p w14:paraId="79718895" w14:textId="78FDF154" w:rsidR="00394471" w:rsidRPr="00FA0D37" w:rsidRDefault="00394471" w:rsidP="00FA0D37">
      <w:pPr>
        <w:pStyle w:val="PL"/>
      </w:pPr>
      <w:r w:rsidRPr="00FA0D37">
        <w:t xml:space="preserve">UE-MRDC-Capability-v1560 ::=        </w:t>
      </w:r>
      <w:r w:rsidRPr="00FA0D37">
        <w:rPr>
          <w:color w:val="993366"/>
        </w:rPr>
        <w:t>SEQUENCE</w:t>
      </w:r>
      <w:r w:rsidRPr="00FA0D37">
        <w:t xml:space="preserve"> {</w:t>
      </w:r>
    </w:p>
    <w:p w14:paraId="1391BB96" w14:textId="77777777" w:rsidR="00394471" w:rsidRPr="00FA0D37" w:rsidRDefault="00394471" w:rsidP="00FA0D37">
      <w:pPr>
        <w:pStyle w:val="PL"/>
      </w:pPr>
      <w:r w:rsidRPr="00FA0D37">
        <w:t xml:space="preserve">    receivedFilters                     </w:t>
      </w:r>
      <w:r w:rsidRPr="00FA0D37">
        <w:rPr>
          <w:color w:val="993366"/>
        </w:rPr>
        <w:t>OCTET</w:t>
      </w:r>
      <w:r w:rsidRPr="00FA0D37">
        <w:t xml:space="preserve"> </w:t>
      </w:r>
      <w:r w:rsidRPr="00FA0D37">
        <w:rPr>
          <w:color w:val="993366"/>
        </w:rPr>
        <w:t>STRING</w:t>
      </w:r>
      <w:r w:rsidRPr="00FA0D37">
        <w:t xml:space="preserve"> (CONTAINING UECapabilityEnquiry-v1560-IEs)                         </w:t>
      </w:r>
      <w:r w:rsidRPr="00FA0D37">
        <w:rPr>
          <w:color w:val="993366"/>
        </w:rPr>
        <w:t>OPTIONAL</w:t>
      </w:r>
      <w:r w:rsidRPr="00FA0D37">
        <w:t>,</w:t>
      </w:r>
    </w:p>
    <w:p w14:paraId="58D61BEB" w14:textId="77777777" w:rsidR="00394471" w:rsidRPr="00FA0D37" w:rsidRDefault="00394471" w:rsidP="00FA0D37">
      <w:pPr>
        <w:pStyle w:val="PL"/>
      </w:pPr>
      <w:r w:rsidRPr="00FA0D37">
        <w:t xml:space="preserve">    measAndMobParametersMRDC-v1560      MeasAndMobParametersMRDC-v1560                                                  </w:t>
      </w:r>
      <w:r w:rsidRPr="00FA0D37">
        <w:rPr>
          <w:color w:val="993366"/>
        </w:rPr>
        <w:t>OPTIONAL</w:t>
      </w:r>
      <w:r w:rsidRPr="00FA0D37">
        <w:t>,</w:t>
      </w:r>
    </w:p>
    <w:p w14:paraId="28F9E994" w14:textId="77777777" w:rsidR="00394471" w:rsidRPr="00FA0D37" w:rsidRDefault="00394471" w:rsidP="00FA0D37">
      <w:pPr>
        <w:pStyle w:val="PL"/>
      </w:pPr>
      <w:r w:rsidRPr="00FA0D37">
        <w:t xml:space="preserve">    fdd-Add-UE-MRDC-Capabilities-v1560  UE-MRDC-CapabilityAddXDD-Mode-v1560                                             </w:t>
      </w:r>
      <w:r w:rsidRPr="00FA0D37">
        <w:rPr>
          <w:color w:val="993366"/>
        </w:rPr>
        <w:t>OPTIONAL</w:t>
      </w:r>
      <w:r w:rsidRPr="00FA0D37">
        <w:t>,</w:t>
      </w:r>
    </w:p>
    <w:p w14:paraId="16829920" w14:textId="77777777" w:rsidR="00394471" w:rsidRPr="00FA0D37" w:rsidRDefault="00394471" w:rsidP="00FA0D37">
      <w:pPr>
        <w:pStyle w:val="PL"/>
      </w:pPr>
      <w:r w:rsidRPr="00FA0D37">
        <w:t xml:space="preserve">    tdd-Add-UE-MRDC-Capabilities-v1560  UE-MRDC-CapabilityAddXDD-Mode-v1560                                             </w:t>
      </w:r>
      <w:r w:rsidRPr="00FA0D37">
        <w:rPr>
          <w:color w:val="993366"/>
        </w:rPr>
        <w:t>OPTIONAL</w:t>
      </w:r>
      <w:r w:rsidRPr="00FA0D37">
        <w:t>,</w:t>
      </w:r>
    </w:p>
    <w:p w14:paraId="2B39299B" w14:textId="77777777" w:rsidR="00394471" w:rsidRPr="00FA0D37" w:rsidRDefault="00394471" w:rsidP="00FA0D37">
      <w:pPr>
        <w:pStyle w:val="PL"/>
      </w:pPr>
      <w:r w:rsidRPr="00FA0D37">
        <w:t xml:space="preserve">    nonCriticalExtension                UE-MRDC-Capability-v1610                                                        </w:t>
      </w:r>
      <w:r w:rsidRPr="00FA0D37">
        <w:rPr>
          <w:color w:val="993366"/>
        </w:rPr>
        <w:t>OPTIONAL</w:t>
      </w:r>
    </w:p>
    <w:p w14:paraId="4AFDF600" w14:textId="77777777" w:rsidR="00394471" w:rsidRPr="00FA0D37" w:rsidRDefault="00394471" w:rsidP="00FA0D37">
      <w:pPr>
        <w:pStyle w:val="PL"/>
      </w:pPr>
      <w:r w:rsidRPr="00FA0D37">
        <w:t>}</w:t>
      </w:r>
    </w:p>
    <w:p w14:paraId="0BD33DE9" w14:textId="77777777" w:rsidR="00394471" w:rsidRPr="00FA0D37" w:rsidRDefault="00394471" w:rsidP="00FA0D37">
      <w:pPr>
        <w:pStyle w:val="PL"/>
      </w:pPr>
    </w:p>
    <w:p w14:paraId="41FADA4D" w14:textId="77777777" w:rsidR="00394471" w:rsidRPr="00FA0D37" w:rsidRDefault="00394471" w:rsidP="00FA0D37">
      <w:pPr>
        <w:pStyle w:val="PL"/>
      </w:pPr>
      <w:r w:rsidRPr="00FA0D37">
        <w:t xml:space="preserve">UE-MRDC-Capability-v1610 ::=        </w:t>
      </w:r>
      <w:r w:rsidRPr="00FA0D37">
        <w:rPr>
          <w:color w:val="993366"/>
        </w:rPr>
        <w:t>SEQUENCE</w:t>
      </w:r>
      <w:r w:rsidRPr="00FA0D37">
        <w:t xml:space="preserve"> {</w:t>
      </w:r>
    </w:p>
    <w:p w14:paraId="4F95A0D3" w14:textId="77777777" w:rsidR="00394471" w:rsidRPr="00FA0D37" w:rsidRDefault="00394471" w:rsidP="00FA0D37">
      <w:pPr>
        <w:pStyle w:val="PL"/>
      </w:pPr>
      <w:r w:rsidRPr="00FA0D37">
        <w:t xml:space="preserve">    measAndMobParametersMRDC-v1610      MeasAndMobParametersMRDC-v1610                                                  </w:t>
      </w:r>
      <w:r w:rsidRPr="00FA0D37">
        <w:rPr>
          <w:color w:val="993366"/>
        </w:rPr>
        <w:t>OPTIONAL</w:t>
      </w:r>
      <w:r w:rsidRPr="00FA0D37">
        <w:t>,</w:t>
      </w:r>
    </w:p>
    <w:p w14:paraId="3A47AB39" w14:textId="77777777" w:rsidR="00394471" w:rsidRPr="00FA0D37" w:rsidRDefault="00394471" w:rsidP="00FA0D37">
      <w:pPr>
        <w:pStyle w:val="PL"/>
      </w:pPr>
      <w:r w:rsidRPr="00FA0D37">
        <w:t xml:space="preserve">    generalParametersMRDC-v1610         GeneralParametersMRDC-v1610                                                     </w:t>
      </w:r>
      <w:r w:rsidRPr="00FA0D37">
        <w:rPr>
          <w:color w:val="993366"/>
        </w:rPr>
        <w:t>OPTIONAL</w:t>
      </w:r>
      <w:r w:rsidRPr="00FA0D37">
        <w:t>,</w:t>
      </w:r>
    </w:p>
    <w:p w14:paraId="6A808B1D" w14:textId="77777777" w:rsidR="00394471" w:rsidRPr="00FA0D37" w:rsidRDefault="00394471" w:rsidP="00FA0D37">
      <w:pPr>
        <w:pStyle w:val="PL"/>
      </w:pPr>
      <w:r w:rsidRPr="00FA0D37">
        <w:t xml:space="preserve">    pdcp-ParametersMRDC-v1610           PDCP-ParametersMRDC-v1610                                                       </w:t>
      </w:r>
      <w:r w:rsidRPr="00FA0D37">
        <w:rPr>
          <w:color w:val="993366"/>
        </w:rPr>
        <w:t>OPTIONAL</w:t>
      </w:r>
      <w:r w:rsidRPr="00FA0D37">
        <w:t>,</w:t>
      </w:r>
    </w:p>
    <w:p w14:paraId="6065B678" w14:textId="1E2E2256" w:rsidR="00394471" w:rsidRPr="00FA0D37" w:rsidRDefault="00394471" w:rsidP="00FA0D37">
      <w:pPr>
        <w:pStyle w:val="PL"/>
      </w:pPr>
      <w:r w:rsidRPr="00FA0D37">
        <w:t xml:space="preserve">    nonCriticalExtension                </w:t>
      </w:r>
      <w:r w:rsidR="00721523" w:rsidRPr="00FA0D37">
        <w:t>UE-MRDC-Capability-v1700</w:t>
      </w:r>
      <w:r w:rsidRPr="00FA0D37">
        <w:t xml:space="preserve">                                                        </w:t>
      </w:r>
      <w:r w:rsidRPr="00FA0D37">
        <w:rPr>
          <w:color w:val="993366"/>
        </w:rPr>
        <w:t>OPTIONAL</w:t>
      </w:r>
    </w:p>
    <w:p w14:paraId="3915F8C1" w14:textId="77777777" w:rsidR="00394471" w:rsidRPr="00FA0D37" w:rsidRDefault="00394471" w:rsidP="00FA0D37">
      <w:pPr>
        <w:pStyle w:val="PL"/>
      </w:pPr>
      <w:r w:rsidRPr="00FA0D37">
        <w:t>}</w:t>
      </w:r>
    </w:p>
    <w:p w14:paraId="2E3105C5" w14:textId="77777777" w:rsidR="00721523" w:rsidRPr="00FA0D37" w:rsidRDefault="00721523" w:rsidP="00FA0D37">
      <w:pPr>
        <w:pStyle w:val="PL"/>
      </w:pPr>
    </w:p>
    <w:p w14:paraId="29B71F19" w14:textId="174F1E0A" w:rsidR="00721523" w:rsidRPr="00FA0D37" w:rsidRDefault="00721523" w:rsidP="00FA0D37">
      <w:pPr>
        <w:pStyle w:val="PL"/>
      </w:pPr>
      <w:r w:rsidRPr="00FA0D37">
        <w:t xml:space="preserve">UE-MRDC-Capability-v1700 ::=        </w:t>
      </w:r>
      <w:r w:rsidRPr="00FA0D37">
        <w:rPr>
          <w:color w:val="993366"/>
        </w:rPr>
        <w:t>SEQUENCE</w:t>
      </w:r>
      <w:r w:rsidRPr="00FA0D37">
        <w:t xml:space="preserve"> {</w:t>
      </w:r>
    </w:p>
    <w:p w14:paraId="7130D553" w14:textId="6AE7EC85" w:rsidR="00721523" w:rsidRPr="00FA0D37" w:rsidRDefault="00721523" w:rsidP="00FA0D37">
      <w:pPr>
        <w:pStyle w:val="PL"/>
      </w:pPr>
      <w:r w:rsidRPr="00FA0D37">
        <w:t xml:space="preserve">    measAndMobParametersMRDC-v1700      MeasAndMobParametersMRDC-v1700,</w:t>
      </w:r>
    </w:p>
    <w:p w14:paraId="7974C9C9" w14:textId="0CE5A090" w:rsidR="00721523" w:rsidRPr="00FA0D37" w:rsidRDefault="00721523" w:rsidP="00FA0D37">
      <w:pPr>
        <w:pStyle w:val="PL"/>
      </w:pPr>
      <w:r w:rsidRPr="00FA0D37">
        <w:t xml:space="preserve">    nonCriticalExtension                </w:t>
      </w:r>
      <w:r w:rsidR="00335673" w:rsidRPr="00FA0D37">
        <w:t>UE-MRDC-Capability-v1730</w:t>
      </w:r>
      <w:r w:rsidRPr="00FA0D37">
        <w:t xml:space="preserve">                                                        </w:t>
      </w:r>
      <w:r w:rsidRPr="00FA0D37">
        <w:rPr>
          <w:color w:val="993366"/>
        </w:rPr>
        <w:t>OPTIONAL</w:t>
      </w:r>
    </w:p>
    <w:p w14:paraId="2C8D810E" w14:textId="2B6563CB" w:rsidR="00204A0D" w:rsidRPr="00FA0D37" w:rsidRDefault="00721523" w:rsidP="00FA0D37">
      <w:pPr>
        <w:pStyle w:val="PL"/>
      </w:pPr>
      <w:r w:rsidRPr="00FA0D37">
        <w:t>}</w:t>
      </w:r>
    </w:p>
    <w:p w14:paraId="3F436F75" w14:textId="77777777" w:rsidR="00335673" w:rsidRPr="00FA0D37" w:rsidRDefault="00335673" w:rsidP="00FA0D37">
      <w:pPr>
        <w:pStyle w:val="PL"/>
      </w:pPr>
    </w:p>
    <w:p w14:paraId="1917AD7A" w14:textId="2CC2B33F" w:rsidR="00335673" w:rsidRPr="00FA0D37" w:rsidRDefault="00335673" w:rsidP="00FA0D37">
      <w:pPr>
        <w:pStyle w:val="PL"/>
      </w:pPr>
      <w:r w:rsidRPr="00FA0D37">
        <w:t xml:space="preserve">UE-MRDC-Capability-v1730 ::=        </w:t>
      </w:r>
      <w:r w:rsidRPr="00FA0D37">
        <w:rPr>
          <w:color w:val="993366"/>
        </w:rPr>
        <w:t>SEQUENCE</w:t>
      </w:r>
      <w:r w:rsidRPr="00FA0D37">
        <w:t xml:space="preserve"> {</w:t>
      </w:r>
    </w:p>
    <w:p w14:paraId="3C66F038" w14:textId="7C6EBAB9" w:rsidR="00335673" w:rsidRPr="00FA0D37" w:rsidRDefault="00335673" w:rsidP="00FA0D37">
      <w:pPr>
        <w:pStyle w:val="PL"/>
      </w:pPr>
      <w:r w:rsidRPr="00FA0D37">
        <w:t xml:space="preserve">    measAndMobParametersMRDC-v1730      MeasAndMobParametersMRDC-v1730                                                  </w:t>
      </w:r>
      <w:r w:rsidRPr="00FA0D37">
        <w:rPr>
          <w:color w:val="993366"/>
        </w:rPr>
        <w:t>OPTIONAL</w:t>
      </w:r>
      <w:r w:rsidRPr="00FA0D37">
        <w:t>,</w:t>
      </w:r>
    </w:p>
    <w:p w14:paraId="541A7872" w14:textId="77777777" w:rsidR="00335673" w:rsidRPr="00FA0D37" w:rsidRDefault="00335673"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168BA108" w14:textId="77777777" w:rsidR="00335673" w:rsidRPr="00FA0D37" w:rsidRDefault="00335673" w:rsidP="00FA0D37">
      <w:pPr>
        <w:pStyle w:val="PL"/>
      </w:pPr>
      <w:r w:rsidRPr="00FA0D37">
        <w:t>}</w:t>
      </w:r>
    </w:p>
    <w:p w14:paraId="6BB23551" w14:textId="77777777" w:rsidR="00721523" w:rsidRPr="00FA0D37" w:rsidRDefault="00721523" w:rsidP="00FA0D37">
      <w:pPr>
        <w:pStyle w:val="PL"/>
      </w:pPr>
    </w:p>
    <w:p w14:paraId="4D094ADB" w14:textId="68C0190A" w:rsidR="00204A0D" w:rsidRPr="00FA0D37" w:rsidRDefault="00204A0D" w:rsidP="00FA0D37">
      <w:pPr>
        <w:pStyle w:val="PL"/>
        <w:rPr>
          <w:color w:val="808080"/>
        </w:rPr>
      </w:pPr>
      <w:r w:rsidRPr="00FA0D37">
        <w:rPr>
          <w:color w:val="808080"/>
        </w:rPr>
        <w:t>-- Late non-critical extensions:</w:t>
      </w:r>
    </w:p>
    <w:p w14:paraId="7889A3DF" w14:textId="55812FDF" w:rsidR="00204A0D" w:rsidRPr="00FA0D37" w:rsidRDefault="00204A0D" w:rsidP="00FA0D37">
      <w:pPr>
        <w:pStyle w:val="PL"/>
      </w:pPr>
      <w:r w:rsidRPr="00FA0D37">
        <w:t>UE-MRDC-Capability-v15</w:t>
      </w:r>
      <w:r w:rsidR="00EE4C48" w:rsidRPr="00FA0D37">
        <w:t>g0</w:t>
      </w:r>
      <w:r w:rsidRPr="00FA0D37">
        <w:t xml:space="preserve"> ::=        </w:t>
      </w:r>
      <w:r w:rsidRPr="00FA0D37">
        <w:rPr>
          <w:color w:val="993366"/>
        </w:rPr>
        <w:t>SEQUENCE</w:t>
      </w:r>
      <w:r w:rsidRPr="00FA0D37">
        <w:t xml:space="preserve"> {</w:t>
      </w:r>
    </w:p>
    <w:p w14:paraId="5360ACEE" w14:textId="3ADBA1B8" w:rsidR="00204A0D" w:rsidRPr="00FA0D37" w:rsidRDefault="00204A0D" w:rsidP="00FA0D37">
      <w:pPr>
        <w:pStyle w:val="PL"/>
      </w:pPr>
      <w:r w:rsidRPr="00FA0D37">
        <w:t xml:space="preserve">    rf-ParametersMRDC-v15</w:t>
      </w:r>
      <w:r w:rsidR="00EE4C48" w:rsidRPr="00FA0D37">
        <w:t>g0</w:t>
      </w:r>
      <w:r w:rsidRPr="00FA0D37">
        <w:t xml:space="preserve">             RF-ParametersMRDC-v15</w:t>
      </w:r>
      <w:r w:rsidR="00EE4C48" w:rsidRPr="00FA0D37">
        <w:t>g0</w:t>
      </w:r>
      <w:r w:rsidRPr="00FA0D37">
        <w:t xml:space="preserve">                                                         </w:t>
      </w:r>
      <w:r w:rsidRPr="00FA0D37">
        <w:rPr>
          <w:color w:val="993366"/>
        </w:rPr>
        <w:t>OPTIONAL</w:t>
      </w:r>
      <w:r w:rsidRPr="00FA0D37">
        <w:t>,</w:t>
      </w:r>
    </w:p>
    <w:p w14:paraId="3ED6F74F" w14:textId="5B7AADF2" w:rsidR="00204A0D" w:rsidRPr="00FA0D37" w:rsidRDefault="00204A0D" w:rsidP="00FA0D37">
      <w:pPr>
        <w:pStyle w:val="PL"/>
      </w:pPr>
      <w:r w:rsidRPr="00FA0D37">
        <w:t xml:space="preserve">    nonCriticalExtension                </w:t>
      </w:r>
      <w:r w:rsidR="001B58CB" w:rsidRPr="00FA0D37">
        <w:t>UE-MRDC-Capability-v15n0</w:t>
      </w:r>
      <w:r w:rsidRPr="00FA0D37">
        <w:t xml:space="preserve">                                                        </w:t>
      </w:r>
      <w:r w:rsidRPr="00FA0D37">
        <w:rPr>
          <w:color w:val="993366"/>
        </w:rPr>
        <w:t>OPTIONAL</w:t>
      </w:r>
    </w:p>
    <w:p w14:paraId="1AF4D1D1" w14:textId="65F86095" w:rsidR="00394471" w:rsidRPr="00FA0D37" w:rsidRDefault="00204A0D" w:rsidP="00FA0D37">
      <w:pPr>
        <w:pStyle w:val="PL"/>
      </w:pPr>
      <w:r w:rsidRPr="00FA0D37">
        <w:t>}</w:t>
      </w:r>
    </w:p>
    <w:p w14:paraId="049E232D" w14:textId="77777777" w:rsidR="00204A0D" w:rsidRPr="00FA0D37" w:rsidRDefault="00204A0D" w:rsidP="00FA0D37">
      <w:pPr>
        <w:pStyle w:val="PL"/>
      </w:pPr>
    </w:p>
    <w:p w14:paraId="553A6F8E" w14:textId="56422867" w:rsidR="001B58CB" w:rsidRPr="00FA0D37" w:rsidRDefault="001B58CB" w:rsidP="00FA0D37">
      <w:pPr>
        <w:pStyle w:val="PL"/>
      </w:pPr>
      <w:r w:rsidRPr="00FA0D37">
        <w:t xml:space="preserve">UE-MRDC-Capability-v15n0 ::=        </w:t>
      </w:r>
      <w:r w:rsidRPr="00FA0D37">
        <w:rPr>
          <w:color w:val="993366"/>
        </w:rPr>
        <w:t>SEQUENCE</w:t>
      </w:r>
      <w:r w:rsidRPr="00FA0D37">
        <w:t xml:space="preserve"> {</w:t>
      </w:r>
    </w:p>
    <w:p w14:paraId="3DD679F8" w14:textId="01FD74A0" w:rsidR="001B58CB" w:rsidRPr="00FA0D37" w:rsidRDefault="001B58CB" w:rsidP="00FA0D37">
      <w:pPr>
        <w:pStyle w:val="PL"/>
      </w:pPr>
      <w:r w:rsidRPr="00FA0D37">
        <w:t xml:space="preserve">    rf-ParametersMRDC-v15n0             RF-ParametersMRDC-v15n0                                                         </w:t>
      </w:r>
      <w:r w:rsidRPr="00FA0D37">
        <w:rPr>
          <w:color w:val="993366"/>
        </w:rPr>
        <w:t>OPTIONAL</w:t>
      </w:r>
      <w:r w:rsidRPr="00FA0D37">
        <w:t>,</w:t>
      </w:r>
    </w:p>
    <w:p w14:paraId="681201B2" w14:textId="77777777" w:rsidR="001B58CB" w:rsidRPr="00FA0D37" w:rsidRDefault="001B58CB" w:rsidP="00FA0D37">
      <w:pPr>
        <w:pStyle w:val="PL"/>
        <w:rPr>
          <w:color w:val="808080"/>
        </w:rPr>
      </w:pPr>
      <w:r w:rsidRPr="00FA0D37">
        <w:rPr>
          <w:color w:val="808080"/>
        </w:rPr>
        <w:t>-- Following field is only for REL-15 late non-critical extensions</w:t>
      </w:r>
    </w:p>
    <w:p w14:paraId="15D80B5E" w14:textId="112C7B1F" w:rsidR="001B58CB" w:rsidRPr="00FA0D37" w:rsidRDefault="001B58CB"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C38D8BC" w14:textId="42CAE2BB" w:rsidR="001B58CB" w:rsidRPr="00FA0D37" w:rsidRDefault="001B58CB" w:rsidP="00FA0D37">
      <w:pPr>
        <w:pStyle w:val="PL"/>
      </w:pPr>
      <w:r w:rsidRPr="00FA0D37">
        <w:t xml:space="preserve">    nonCriticalExtension                UE-MRDC-Capability-v16e0                                                        </w:t>
      </w:r>
      <w:r w:rsidRPr="00FA0D37">
        <w:rPr>
          <w:color w:val="993366"/>
        </w:rPr>
        <w:t>OPTIONAL</w:t>
      </w:r>
    </w:p>
    <w:p w14:paraId="4BDF77FE" w14:textId="77777777" w:rsidR="001B58CB" w:rsidRPr="00FA0D37" w:rsidRDefault="001B58CB" w:rsidP="00FA0D37">
      <w:pPr>
        <w:pStyle w:val="PL"/>
      </w:pPr>
      <w:r w:rsidRPr="00FA0D37">
        <w:t>}</w:t>
      </w:r>
    </w:p>
    <w:p w14:paraId="570B20FE" w14:textId="77777777" w:rsidR="001B58CB" w:rsidRPr="00FA0D37" w:rsidRDefault="001B58CB" w:rsidP="00FA0D37">
      <w:pPr>
        <w:pStyle w:val="PL"/>
      </w:pPr>
    </w:p>
    <w:p w14:paraId="60FD8251" w14:textId="03B76A96" w:rsidR="001B58CB" w:rsidRPr="00FA0D37" w:rsidRDefault="001B58CB" w:rsidP="00FA0D37">
      <w:pPr>
        <w:pStyle w:val="PL"/>
      </w:pPr>
      <w:r w:rsidRPr="00FA0D37">
        <w:t xml:space="preserve">UE-MRDC-Capability-v16e0 ::=        </w:t>
      </w:r>
      <w:r w:rsidRPr="00FA0D37">
        <w:rPr>
          <w:color w:val="993366"/>
        </w:rPr>
        <w:t>SEQUENCE</w:t>
      </w:r>
      <w:r w:rsidRPr="00FA0D37">
        <w:t xml:space="preserve"> {</w:t>
      </w:r>
    </w:p>
    <w:p w14:paraId="787D59A7" w14:textId="1602E686" w:rsidR="001B58CB" w:rsidRPr="00FA0D37" w:rsidRDefault="001B58CB" w:rsidP="00FA0D37">
      <w:pPr>
        <w:pStyle w:val="PL"/>
      </w:pPr>
      <w:r w:rsidRPr="00FA0D37">
        <w:t xml:space="preserve">    rf-ParametersMRDC-v16e0             RF-ParametersMRDC-v16e0                                                         </w:t>
      </w:r>
      <w:r w:rsidRPr="00FA0D37">
        <w:rPr>
          <w:color w:val="993366"/>
        </w:rPr>
        <w:t>OPTIONAL</w:t>
      </w:r>
      <w:r w:rsidRPr="00FA0D37">
        <w:t>,</w:t>
      </w:r>
    </w:p>
    <w:p w14:paraId="7BE56203" w14:textId="5990215C" w:rsidR="001B58CB" w:rsidRPr="00FA0D37" w:rsidRDefault="001B58CB"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7346C120" w14:textId="29EE0128" w:rsidR="001B58CB" w:rsidRPr="00FA0D37" w:rsidRDefault="001B58CB" w:rsidP="00FA0D37">
      <w:pPr>
        <w:pStyle w:val="PL"/>
      </w:pPr>
      <w:r w:rsidRPr="00FA0D37">
        <w:t>}</w:t>
      </w:r>
    </w:p>
    <w:p w14:paraId="4020AE32" w14:textId="77777777" w:rsidR="001B58CB" w:rsidRPr="00FA0D37" w:rsidRDefault="001B58CB" w:rsidP="00FA0D37">
      <w:pPr>
        <w:pStyle w:val="PL"/>
      </w:pPr>
    </w:p>
    <w:p w14:paraId="3D220044" w14:textId="77777777" w:rsidR="00394471" w:rsidRPr="00FA0D37" w:rsidRDefault="00394471" w:rsidP="00FA0D37">
      <w:pPr>
        <w:pStyle w:val="PL"/>
      </w:pPr>
      <w:r w:rsidRPr="00FA0D37">
        <w:t xml:space="preserve">UE-MRDC-CapabilityAddXDD-Mode ::=   </w:t>
      </w:r>
      <w:r w:rsidRPr="00FA0D37">
        <w:rPr>
          <w:color w:val="993366"/>
        </w:rPr>
        <w:t>SEQUENCE</w:t>
      </w:r>
      <w:r w:rsidRPr="00FA0D37">
        <w:t xml:space="preserve"> {</w:t>
      </w:r>
    </w:p>
    <w:p w14:paraId="5C70F32A" w14:textId="77777777" w:rsidR="00394471" w:rsidRPr="00FA0D37" w:rsidRDefault="00394471" w:rsidP="00FA0D37">
      <w:pPr>
        <w:pStyle w:val="PL"/>
      </w:pPr>
      <w:r w:rsidRPr="00FA0D37">
        <w:t xml:space="preserve">    measAndMobParametersMRDC-XDD-Diff       MeasAndMobParametersMRDC-XDD-Diff                                           </w:t>
      </w:r>
      <w:r w:rsidRPr="00FA0D37">
        <w:rPr>
          <w:color w:val="993366"/>
        </w:rPr>
        <w:t>OPTIONAL</w:t>
      </w:r>
      <w:r w:rsidRPr="00FA0D37">
        <w:t>,</w:t>
      </w:r>
    </w:p>
    <w:p w14:paraId="742D7084" w14:textId="77777777" w:rsidR="00394471" w:rsidRPr="00FA0D37" w:rsidRDefault="00394471" w:rsidP="00FA0D37">
      <w:pPr>
        <w:pStyle w:val="PL"/>
      </w:pPr>
      <w:r w:rsidRPr="00FA0D37">
        <w:t xml:space="preserve">    generalParametersMRDC-XDD-Diff          GeneralParametersMRDC-XDD-Diff                                              </w:t>
      </w:r>
      <w:r w:rsidRPr="00FA0D37">
        <w:rPr>
          <w:color w:val="993366"/>
        </w:rPr>
        <w:t>OPTIONAL</w:t>
      </w:r>
    </w:p>
    <w:p w14:paraId="0E426521" w14:textId="77777777" w:rsidR="00394471" w:rsidRPr="00FA0D37" w:rsidRDefault="00394471" w:rsidP="00FA0D37">
      <w:pPr>
        <w:pStyle w:val="PL"/>
      </w:pPr>
      <w:r w:rsidRPr="00FA0D37">
        <w:t>}</w:t>
      </w:r>
    </w:p>
    <w:p w14:paraId="242E4921" w14:textId="77777777" w:rsidR="00394471" w:rsidRPr="00FA0D37" w:rsidRDefault="00394471" w:rsidP="00FA0D37">
      <w:pPr>
        <w:pStyle w:val="PL"/>
      </w:pPr>
    </w:p>
    <w:p w14:paraId="1EB83BED" w14:textId="77777777" w:rsidR="00394471" w:rsidRPr="00FA0D37" w:rsidRDefault="00394471" w:rsidP="00FA0D37">
      <w:pPr>
        <w:pStyle w:val="PL"/>
      </w:pPr>
      <w:r w:rsidRPr="00FA0D37">
        <w:t xml:space="preserve">UE-MRDC-CapabilityAddXDD-Mode-v1560 ::=    </w:t>
      </w:r>
      <w:r w:rsidRPr="00FA0D37">
        <w:rPr>
          <w:color w:val="993366"/>
        </w:rPr>
        <w:t>SEQUENCE</w:t>
      </w:r>
      <w:r w:rsidRPr="00FA0D37">
        <w:t xml:space="preserve"> {</w:t>
      </w:r>
    </w:p>
    <w:p w14:paraId="1CDFAAC6" w14:textId="77777777" w:rsidR="00394471" w:rsidRPr="00FA0D37" w:rsidRDefault="00394471" w:rsidP="00FA0D37">
      <w:pPr>
        <w:pStyle w:val="PL"/>
      </w:pPr>
      <w:r w:rsidRPr="00FA0D37">
        <w:t xml:space="preserve">    measAndMobParametersMRDC-XDD-Diff-v1560    MeasAndMobParametersMRDC-XDD-Diff-v1560                                  </w:t>
      </w:r>
      <w:r w:rsidRPr="00FA0D37">
        <w:rPr>
          <w:color w:val="993366"/>
        </w:rPr>
        <w:t>OPTIONAL</w:t>
      </w:r>
    </w:p>
    <w:p w14:paraId="4BA71FD5" w14:textId="77777777" w:rsidR="00394471" w:rsidRPr="00FA0D37" w:rsidRDefault="00394471" w:rsidP="00FA0D37">
      <w:pPr>
        <w:pStyle w:val="PL"/>
      </w:pPr>
      <w:r w:rsidRPr="00FA0D37">
        <w:t>}</w:t>
      </w:r>
    </w:p>
    <w:p w14:paraId="657D072B" w14:textId="77777777" w:rsidR="00394471" w:rsidRPr="00FA0D37" w:rsidRDefault="00394471" w:rsidP="00FA0D37">
      <w:pPr>
        <w:pStyle w:val="PL"/>
      </w:pPr>
    </w:p>
    <w:p w14:paraId="0888DFD4" w14:textId="77777777" w:rsidR="00394471" w:rsidRPr="00FA0D37" w:rsidRDefault="00394471" w:rsidP="00FA0D37">
      <w:pPr>
        <w:pStyle w:val="PL"/>
      </w:pPr>
      <w:r w:rsidRPr="00FA0D37">
        <w:t xml:space="preserve">UE-MRDC-CapabilityAddFRX-Mode ::=   </w:t>
      </w:r>
      <w:r w:rsidRPr="00FA0D37">
        <w:rPr>
          <w:color w:val="993366"/>
        </w:rPr>
        <w:t>SEQUENCE</w:t>
      </w:r>
      <w:r w:rsidRPr="00FA0D37">
        <w:t xml:space="preserve"> {</w:t>
      </w:r>
    </w:p>
    <w:p w14:paraId="05FF8E61" w14:textId="77777777" w:rsidR="00394471" w:rsidRPr="00FA0D37" w:rsidRDefault="00394471" w:rsidP="00FA0D37">
      <w:pPr>
        <w:pStyle w:val="PL"/>
      </w:pPr>
      <w:r w:rsidRPr="00FA0D37">
        <w:t xml:space="preserve">    measAndMobParametersMRDC-FRX-Diff       MeasAndMobParametersMRDC-FRX-Diff</w:t>
      </w:r>
    </w:p>
    <w:p w14:paraId="3805C1DB" w14:textId="77777777" w:rsidR="00394471" w:rsidRPr="00FA0D37" w:rsidRDefault="00394471" w:rsidP="00FA0D37">
      <w:pPr>
        <w:pStyle w:val="PL"/>
      </w:pPr>
      <w:r w:rsidRPr="00FA0D37">
        <w:t>}</w:t>
      </w:r>
    </w:p>
    <w:p w14:paraId="4FEAC540" w14:textId="77777777" w:rsidR="00394471" w:rsidRPr="00FA0D37" w:rsidRDefault="00394471" w:rsidP="00FA0D37">
      <w:pPr>
        <w:pStyle w:val="PL"/>
      </w:pPr>
    </w:p>
    <w:p w14:paraId="7C9E0828" w14:textId="77777777" w:rsidR="00394471" w:rsidRPr="00FA0D37" w:rsidRDefault="00394471" w:rsidP="00FA0D37">
      <w:pPr>
        <w:pStyle w:val="PL"/>
      </w:pPr>
    </w:p>
    <w:p w14:paraId="55ABD38D" w14:textId="77777777" w:rsidR="00394471" w:rsidRPr="00FA0D37" w:rsidRDefault="00394471" w:rsidP="00FA0D37">
      <w:pPr>
        <w:pStyle w:val="PL"/>
      </w:pPr>
      <w:r w:rsidRPr="00FA0D37">
        <w:t xml:space="preserve">GeneralParametersMRDC-XDD-Diff ::= </w:t>
      </w:r>
      <w:r w:rsidRPr="00FA0D37">
        <w:rPr>
          <w:color w:val="993366"/>
        </w:rPr>
        <w:t>SEQUENCE</w:t>
      </w:r>
      <w:r w:rsidRPr="00FA0D37">
        <w:t xml:space="preserve"> {</w:t>
      </w:r>
    </w:p>
    <w:p w14:paraId="3BDFAD27" w14:textId="77777777" w:rsidR="00394471" w:rsidRPr="00FA0D37" w:rsidRDefault="00394471" w:rsidP="00FA0D37">
      <w:pPr>
        <w:pStyle w:val="PL"/>
      </w:pPr>
      <w:r w:rsidRPr="00FA0D37">
        <w:t xml:space="preserve">    splitSRB-WithOneUL-Path             </w:t>
      </w:r>
      <w:r w:rsidRPr="00FA0D37">
        <w:rPr>
          <w:color w:val="993366"/>
        </w:rPr>
        <w:t>ENUMERATED</w:t>
      </w:r>
      <w:r w:rsidRPr="00FA0D37">
        <w:t xml:space="preserve"> {supported}                                                          </w:t>
      </w:r>
      <w:r w:rsidRPr="00FA0D37">
        <w:rPr>
          <w:color w:val="993366"/>
        </w:rPr>
        <w:t>OPTIONAL</w:t>
      </w:r>
      <w:r w:rsidRPr="00FA0D37">
        <w:t>,</w:t>
      </w:r>
    </w:p>
    <w:p w14:paraId="0F027E59" w14:textId="77777777" w:rsidR="00394471" w:rsidRPr="00FA0D37" w:rsidRDefault="00394471" w:rsidP="00FA0D37">
      <w:pPr>
        <w:pStyle w:val="PL"/>
      </w:pPr>
      <w:r w:rsidRPr="00FA0D37">
        <w:t xml:space="preserve">    splitDRB-withUL-Both-MCG-SCG        </w:t>
      </w:r>
      <w:r w:rsidRPr="00FA0D37">
        <w:rPr>
          <w:color w:val="993366"/>
        </w:rPr>
        <w:t>ENUMERATED</w:t>
      </w:r>
      <w:r w:rsidRPr="00FA0D37">
        <w:t xml:space="preserve"> {supported}                                                          </w:t>
      </w:r>
      <w:r w:rsidRPr="00FA0D37">
        <w:rPr>
          <w:color w:val="993366"/>
        </w:rPr>
        <w:t>OPTIONAL</w:t>
      </w:r>
      <w:r w:rsidRPr="00FA0D37">
        <w:t>,</w:t>
      </w:r>
    </w:p>
    <w:p w14:paraId="6DB5D341" w14:textId="77777777" w:rsidR="00394471" w:rsidRPr="00FA0D37" w:rsidRDefault="00394471" w:rsidP="00FA0D37">
      <w:pPr>
        <w:pStyle w:val="PL"/>
      </w:pPr>
      <w:r w:rsidRPr="00FA0D37">
        <w:t xml:space="preserve">    srb3                                </w:t>
      </w:r>
      <w:r w:rsidRPr="00FA0D37">
        <w:rPr>
          <w:color w:val="993366"/>
        </w:rPr>
        <w:t>ENUMERATED</w:t>
      </w:r>
      <w:r w:rsidRPr="00FA0D37">
        <w:t xml:space="preserve"> {supported}                                                          </w:t>
      </w:r>
      <w:r w:rsidRPr="00FA0D37">
        <w:rPr>
          <w:color w:val="993366"/>
        </w:rPr>
        <w:t>OPTIONAL</w:t>
      </w:r>
      <w:r w:rsidRPr="00FA0D37">
        <w:t>,</w:t>
      </w:r>
    </w:p>
    <w:p w14:paraId="737643EB" w14:textId="0C6C55E9" w:rsidR="00394471" w:rsidRPr="00FA0D37" w:rsidRDefault="00394471" w:rsidP="00FA0D37">
      <w:pPr>
        <w:pStyle w:val="PL"/>
      </w:pPr>
      <w:r w:rsidRPr="00FA0D37">
        <w:t xml:space="preserve">    </w:t>
      </w:r>
      <w:r w:rsidR="00C81D62" w:rsidRPr="00FA0D37">
        <w:t>dummy</w:t>
      </w:r>
      <w:r w:rsidRPr="00FA0D37">
        <w:t xml:space="preserve">                           </w:t>
      </w:r>
      <w:r w:rsidR="00C81D62" w:rsidRPr="00FA0D37">
        <w:t xml:space="preserve">    </w:t>
      </w:r>
      <w:r w:rsidRPr="00FA0D37">
        <w:rPr>
          <w:color w:val="993366"/>
        </w:rPr>
        <w:t>ENUMERATED</w:t>
      </w:r>
      <w:r w:rsidRPr="00FA0D37">
        <w:t xml:space="preserve"> {supported}                                                          </w:t>
      </w:r>
      <w:r w:rsidRPr="00FA0D37">
        <w:rPr>
          <w:color w:val="993366"/>
        </w:rPr>
        <w:t>OPTIONAL</w:t>
      </w:r>
      <w:r w:rsidRPr="00FA0D37">
        <w:t>,</w:t>
      </w:r>
    </w:p>
    <w:p w14:paraId="1B189060" w14:textId="77777777" w:rsidR="00394471" w:rsidRPr="00FA0D37" w:rsidRDefault="00394471" w:rsidP="00FA0D37">
      <w:pPr>
        <w:pStyle w:val="PL"/>
      </w:pPr>
      <w:r w:rsidRPr="00FA0D37">
        <w:t xml:space="preserve">    ...</w:t>
      </w:r>
    </w:p>
    <w:p w14:paraId="18676C0C" w14:textId="77777777" w:rsidR="00394471" w:rsidRPr="00FA0D37" w:rsidRDefault="00394471" w:rsidP="00FA0D37">
      <w:pPr>
        <w:pStyle w:val="PL"/>
      </w:pPr>
      <w:r w:rsidRPr="00FA0D37">
        <w:t>}</w:t>
      </w:r>
    </w:p>
    <w:p w14:paraId="52A8D28A" w14:textId="77777777" w:rsidR="00394471" w:rsidRPr="00FA0D37" w:rsidRDefault="00394471" w:rsidP="00FA0D37">
      <w:pPr>
        <w:pStyle w:val="PL"/>
      </w:pPr>
    </w:p>
    <w:p w14:paraId="31A1CB3B" w14:textId="77777777" w:rsidR="00394471" w:rsidRPr="00FA0D37" w:rsidRDefault="00394471" w:rsidP="00FA0D37">
      <w:pPr>
        <w:pStyle w:val="PL"/>
      </w:pPr>
      <w:r w:rsidRPr="00FA0D37">
        <w:t xml:space="preserve">GeneralParametersMRDC-v1610 ::= </w:t>
      </w:r>
      <w:r w:rsidRPr="00FA0D37">
        <w:rPr>
          <w:color w:val="993366"/>
        </w:rPr>
        <w:t>SEQUENCE</w:t>
      </w:r>
      <w:r w:rsidRPr="00FA0D37">
        <w:t xml:space="preserve"> {</w:t>
      </w:r>
    </w:p>
    <w:p w14:paraId="26FE5AC5" w14:textId="77777777" w:rsidR="00394471" w:rsidRPr="00FA0D37" w:rsidRDefault="00394471" w:rsidP="00FA0D37">
      <w:pPr>
        <w:pStyle w:val="PL"/>
      </w:pPr>
      <w:r w:rsidRPr="00FA0D37">
        <w:t xml:space="preserve">    f1c-OverEUTRA-r16                   </w:t>
      </w:r>
      <w:r w:rsidRPr="00FA0D37">
        <w:rPr>
          <w:color w:val="993366"/>
        </w:rPr>
        <w:t>ENUMERATED</w:t>
      </w:r>
      <w:r w:rsidRPr="00FA0D37">
        <w:t xml:space="preserve"> {supported}                                                          </w:t>
      </w:r>
      <w:r w:rsidRPr="00FA0D37">
        <w:rPr>
          <w:color w:val="993366"/>
        </w:rPr>
        <w:t>OPTIONAL</w:t>
      </w:r>
    </w:p>
    <w:p w14:paraId="06ED0439" w14:textId="77777777" w:rsidR="00394471" w:rsidRPr="00FA0D37" w:rsidRDefault="00394471" w:rsidP="00FA0D37">
      <w:pPr>
        <w:pStyle w:val="PL"/>
      </w:pPr>
      <w:r w:rsidRPr="00FA0D37">
        <w:t>}</w:t>
      </w:r>
    </w:p>
    <w:p w14:paraId="4DC7AB37" w14:textId="77777777" w:rsidR="00394471" w:rsidRPr="00FA0D37" w:rsidRDefault="00394471" w:rsidP="00FA0D37">
      <w:pPr>
        <w:pStyle w:val="PL"/>
      </w:pPr>
    </w:p>
    <w:p w14:paraId="000032C7" w14:textId="77777777" w:rsidR="00394471" w:rsidRPr="00FA0D37" w:rsidRDefault="00394471" w:rsidP="00FA0D37">
      <w:pPr>
        <w:pStyle w:val="PL"/>
        <w:rPr>
          <w:color w:val="808080"/>
        </w:rPr>
      </w:pPr>
      <w:r w:rsidRPr="00FA0D37">
        <w:rPr>
          <w:color w:val="808080"/>
        </w:rPr>
        <w:t>-- TAG-UE-MRDC-CAPABILITY-STOP</w:t>
      </w:r>
    </w:p>
    <w:p w14:paraId="22A8AEF2" w14:textId="77777777" w:rsidR="00394471" w:rsidRPr="00FA0D37" w:rsidRDefault="00394471" w:rsidP="00FA0D37">
      <w:pPr>
        <w:pStyle w:val="PL"/>
        <w:rPr>
          <w:color w:val="808080"/>
        </w:rPr>
      </w:pPr>
      <w:r w:rsidRPr="00FA0D37">
        <w:rPr>
          <w:color w:val="808080"/>
        </w:rPr>
        <w:t>-- ASN1STOP</w:t>
      </w:r>
    </w:p>
    <w:p w14:paraId="3C4C4BAA"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5F308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F808A" w14:textId="77777777" w:rsidR="00394471" w:rsidRPr="00FA0D37" w:rsidRDefault="00394471" w:rsidP="00964CC4">
            <w:pPr>
              <w:pStyle w:val="TAH"/>
              <w:rPr>
                <w:szCs w:val="22"/>
                <w:lang w:eastAsia="sv-SE"/>
              </w:rPr>
            </w:pPr>
            <w:r w:rsidRPr="00FA0D37">
              <w:rPr>
                <w:i/>
                <w:szCs w:val="22"/>
                <w:lang w:eastAsia="sv-SE"/>
              </w:rPr>
              <w:t xml:space="preserve">UE-MRDC-Capability </w:t>
            </w:r>
            <w:r w:rsidRPr="00FA0D37">
              <w:rPr>
                <w:szCs w:val="22"/>
                <w:lang w:eastAsia="sv-SE"/>
              </w:rPr>
              <w:t>field descriptions</w:t>
            </w:r>
          </w:p>
        </w:tc>
      </w:tr>
      <w:tr w:rsidR="00394471" w:rsidRPr="00FA0D37" w14:paraId="642BCC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96EC5B" w14:textId="77777777" w:rsidR="00394471" w:rsidRPr="00FA0D37" w:rsidRDefault="00394471" w:rsidP="00964CC4">
            <w:pPr>
              <w:pStyle w:val="TAL"/>
              <w:rPr>
                <w:szCs w:val="22"/>
                <w:lang w:eastAsia="sv-SE"/>
              </w:rPr>
            </w:pPr>
            <w:r w:rsidRPr="00FA0D37">
              <w:rPr>
                <w:b/>
                <w:i/>
                <w:szCs w:val="22"/>
                <w:lang w:eastAsia="sv-SE"/>
              </w:rPr>
              <w:t>featureSetCombinations</w:t>
            </w:r>
          </w:p>
          <w:p w14:paraId="13F61FBA" w14:textId="77777777" w:rsidR="00394471" w:rsidRPr="00FA0D37" w:rsidRDefault="00394471" w:rsidP="00964CC4">
            <w:pPr>
              <w:pStyle w:val="TAL"/>
              <w:rPr>
                <w:szCs w:val="22"/>
                <w:lang w:eastAsia="sv-SE"/>
              </w:rPr>
            </w:pPr>
            <w:r w:rsidRPr="00FA0D37">
              <w:rPr>
                <w:szCs w:val="22"/>
                <w:lang w:eastAsia="sv-SE"/>
              </w:rPr>
              <w:t xml:space="preserve">A list of </w:t>
            </w:r>
            <w:r w:rsidRPr="00FA0D37">
              <w:rPr>
                <w:i/>
                <w:lang w:eastAsia="sv-SE"/>
              </w:rPr>
              <w:t>FeatureSetCombination</w:t>
            </w:r>
            <w:r w:rsidRPr="00FA0D37">
              <w:rPr>
                <w:szCs w:val="22"/>
                <w:lang w:eastAsia="sv-SE"/>
              </w:rPr>
              <w:t xml:space="preserve">:s for </w:t>
            </w:r>
            <w:r w:rsidRPr="00FA0D37">
              <w:rPr>
                <w:i/>
                <w:szCs w:val="22"/>
                <w:lang w:eastAsia="sv-SE"/>
              </w:rPr>
              <w:t>supportedBandCombinationList</w:t>
            </w:r>
            <w:r w:rsidRPr="00FA0D37">
              <w:rPr>
                <w:szCs w:val="22"/>
                <w:lang w:eastAsia="sv-SE"/>
              </w:rPr>
              <w:t xml:space="preserve"> and </w:t>
            </w:r>
            <w:r w:rsidRPr="00FA0D37">
              <w:rPr>
                <w:i/>
                <w:szCs w:val="22"/>
                <w:lang w:eastAsia="sv-SE"/>
              </w:rPr>
              <w:t>supportedBandCombinationListNEDC-Only</w:t>
            </w:r>
            <w:r w:rsidRPr="00FA0D37">
              <w:rPr>
                <w:szCs w:val="22"/>
                <w:lang w:eastAsia="sv-SE"/>
              </w:rPr>
              <w:t xml:space="preserve"> in </w:t>
            </w:r>
            <w:r w:rsidRPr="00FA0D37">
              <w:rPr>
                <w:i/>
                <w:szCs w:val="22"/>
                <w:lang w:eastAsia="sv-SE"/>
              </w:rPr>
              <w:t>UE-MRDC-Capability</w:t>
            </w:r>
            <w:r w:rsidRPr="00FA0D37">
              <w:rPr>
                <w:szCs w:val="22"/>
                <w:lang w:eastAsia="sv-SE"/>
              </w:rPr>
              <w:t xml:space="preserve">. The </w:t>
            </w:r>
            <w:r w:rsidRPr="00FA0D37">
              <w:rPr>
                <w:i/>
                <w:lang w:eastAsia="sv-SE"/>
              </w:rPr>
              <w:t>FeatureSetDownlink</w:t>
            </w:r>
            <w:r w:rsidRPr="00FA0D37">
              <w:rPr>
                <w:szCs w:val="22"/>
                <w:lang w:eastAsia="sv-SE"/>
              </w:rPr>
              <w:t xml:space="preserve">:s and </w:t>
            </w:r>
            <w:r w:rsidRPr="00FA0D37">
              <w:rPr>
                <w:i/>
                <w:lang w:eastAsia="sv-SE"/>
              </w:rPr>
              <w:t>FeatureSetUplink</w:t>
            </w:r>
            <w:r w:rsidRPr="00FA0D37">
              <w:rPr>
                <w:szCs w:val="22"/>
                <w:lang w:eastAsia="sv-SE"/>
              </w:rPr>
              <w:t xml:space="preserve">:s referred to from these </w:t>
            </w:r>
            <w:r w:rsidRPr="00FA0D37">
              <w:rPr>
                <w:i/>
                <w:lang w:eastAsia="sv-SE"/>
              </w:rPr>
              <w:t>FeatureSetCombination</w:t>
            </w:r>
            <w:r w:rsidRPr="00FA0D37">
              <w:rPr>
                <w:szCs w:val="22"/>
                <w:lang w:eastAsia="sv-SE"/>
              </w:rPr>
              <w:t xml:space="preserve">:s are defined in the </w:t>
            </w:r>
            <w:r w:rsidRPr="00FA0D37">
              <w:rPr>
                <w:i/>
                <w:lang w:eastAsia="sv-SE"/>
              </w:rPr>
              <w:t>featureSets</w:t>
            </w:r>
            <w:r w:rsidRPr="00FA0D37">
              <w:rPr>
                <w:szCs w:val="22"/>
                <w:lang w:eastAsia="sv-SE"/>
              </w:rPr>
              <w:t xml:space="preserve"> list in </w:t>
            </w:r>
            <w:r w:rsidRPr="00FA0D37">
              <w:rPr>
                <w:i/>
                <w:lang w:eastAsia="sv-SE"/>
              </w:rPr>
              <w:t>UE-NR-Capability</w:t>
            </w:r>
            <w:r w:rsidRPr="00FA0D37">
              <w:rPr>
                <w:szCs w:val="22"/>
                <w:lang w:eastAsia="sv-SE"/>
              </w:rPr>
              <w:t>.</w:t>
            </w:r>
          </w:p>
        </w:tc>
      </w:tr>
    </w:tbl>
    <w:p w14:paraId="7F580C32" w14:textId="77777777" w:rsidR="00394471" w:rsidRPr="00FA0D37" w:rsidRDefault="00394471" w:rsidP="00394471"/>
    <w:p w14:paraId="6FD8C3F6" w14:textId="77777777" w:rsidR="00394471" w:rsidRPr="00FA0D37" w:rsidRDefault="00394471" w:rsidP="00394471">
      <w:pPr>
        <w:pStyle w:val="4"/>
      </w:pPr>
      <w:bookmarkStart w:id="1643" w:name="_Toc60777491"/>
      <w:bookmarkStart w:id="1644" w:name="_Toc146781600"/>
      <w:bookmarkStart w:id="1645" w:name="_Hlk54199415"/>
      <w:r w:rsidRPr="00FA0D37">
        <w:t>–</w:t>
      </w:r>
      <w:r w:rsidRPr="00FA0D37">
        <w:tab/>
      </w:r>
      <w:r w:rsidRPr="00FA0D37">
        <w:rPr>
          <w:i/>
          <w:noProof/>
        </w:rPr>
        <w:t>UE-NR-Capability</w:t>
      </w:r>
      <w:bookmarkEnd w:id="1643"/>
      <w:bookmarkEnd w:id="1644"/>
    </w:p>
    <w:bookmarkEnd w:id="1645"/>
    <w:p w14:paraId="69E2A07D" w14:textId="77777777" w:rsidR="00394471" w:rsidRPr="00FA0D37" w:rsidRDefault="00394471" w:rsidP="00394471">
      <w:pPr>
        <w:rPr>
          <w:iCs/>
        </w:rPr>
      </w:pPr>
      <w:r w:rsidRPr="00FA0D37">
        <w:t xml:space="preserve">The IE </w:t>
      </w:r>
      <w:r w:rsidRPr="00FA0D37">
        <w:rPr>
          <w:i/>
        </w:rPr>
        <w:t>UE-NR-Capability</w:t>
      </w:r>
      <w:r w:rsidRPr="00FA0D37">
        <w:rPr>
          <w:iCs/>
        </w:rPr>
        <w:t xml:space="preserve"> is used to convey the NR UE Radio Access Capability Parameters, see TS 38.306 [26].</w:t>
      </w:r>
    </w:p>
    <w:p w14:paraId="3633B972" w14:textId="77777777" w:rsidR="00394471" w:rsidRPr="00FA0D37" w:rsidRDefault="00394471" w:rsidP="00394471">
      <w:pPr>
        <w:pStyle w:val="TH"/>
      </w:pPr>
      <w:r w:rsidRPr="00FA0D37">
        <w:rPr>
          <w:i/>
        </w:rPr>
        <w:t>UE-NR-Capability</w:t>
      </w:r>
      <w:r w:rsidRPr="00FA0D37">
        <w:t xml:space="preserve"> information element</w:t>
      </w:r>
    </w:p>
    <w:p w14:paraId="795E22AD" w14:textId="77777777" w:rsidR="00394471" w:rsidRPr="00FA0D37" w:rsidRDefault="00394471" w:rsidP="00FA0D37">
      <w:pPr>
        <w:pStyle w:val="PL"/>
        <w:rPr>
          <w:color w:val="808080"/>
        </w:rPr>
      </w:pPr>
      <w:r w:rsidRPr="00FA0D37">
        <w:rPr>
          <w:color w:val="808080"/>
        </w:rPr>
        <w:t>-- ASN1START</w:t>
      </w:r>
    </w:p>
    <w:p w14:paraId="2B654601" w14:textId="77777777" w:rsidR="00394471" w:rsidRPr="00FA0D37" w:rsidRDefault="00394471" w:rsidP="00FA0D37">
      <w:pPr>
        <w:pStyle w:val="PL"/>
        <w:rPr>
          <w:color w:val="808080"/>
        </w:rPr>
      </w:pPr>
      <w:r w:rsidRPr="00FA0D37">
        <w:rPr>
          <w:color w:val="808080"/>
        </w:rPr>
        <w:t>-- TAG-UE-NR-CAPABILITY-START</w:t>
      </w:r>
    </w:p>
    <w:p w14:paraId="673B5147" w14:textId="77777777" w:rsidR="00394471" w:rsidRPr="00FA0D37" w:rsidRDefault="00394471" w:rsidP="00FA0D37">
      <w:pPr>
        <w:pStyle w:val="PL"/>
      </w:pPr>
    </w:p>
    <w:p w14:paraId="69AA047B" w14:textId="77777777" w:rsidR="00394471" w:rsidRPr="00FA0D37" w:rsidRDefault="00394471" w:rsidP="00FA0D37">
      <w:pPr>
        <w:pStyle w:val="PL"/>
      </w:pPr>
      <w:r w:rsidRPr="00FA0D37">
        <w:t xml:space="preserve">UE-NR-Capability ::=            </w:t>
      </w:r>
      <w:r w:rsidRPr="00FA0D37">
        <w:rPr>
          <w:color w:val="993366"/>
        </w:rPr>
        <w:t>SEQUENCE</w:t>
      </w:r>
      <w:r w:rsidRPr="00FA0D37">
        <w:t xml:space="preserve"> {</w:t>
      </w:r>
    </w:p>
    <w:p w14:paraId="3A7ACDE8" w14:textId="77777777" w:rsidR="00394471" w:rsidRPr="00FA0D37" w:rsidRDefault="00394471" w:rsidP="00FA0D37">
      <w:pPr>
        <w:pStyle w:val="PL"/>
      </w:pPr>
      <w:r w:rsidRPr="00FA0D37">
        <w:t xml:space="preserve">    accessStratumRelease            AccessStratumRelease,</w:t>
      </w:r>
    </w:p>
    <w:p w14:paraId="143A145A" w14:textId="77777777" w:rsidR="00394471" w:rsidRPr="00FA0D37" w:rsidRDefault="00394471" w:rsidP="00FA0D37">
      <w:pPr>
        <w:pStyle w:val="PL"/>
      </w:pPr>
      <w:r w:rsidRPr="00FA0D37">
        <w:t xml:space="preserve">    pdcp-Parameters                 PDCP-Parameters,</w:t>
      </w:r>
    </w:p>
    <w:p w14:paraId="132B76B9" w14:textId="77777777" w:rsidR="00394471" w:rsidRPr="00FA0D37" w:rsidRDefault="00394471" w:rsidP="00FA0D37">
      <w:pPr>
        <w:pStyle w:val="PL"/>
      </w:pPr>
      <w:r w:rsidRPr="00FA0D37">
        <w:t xml:space="preserve">    rlc-Parameters                  RLC-Parameters                                                        </w:t>
      </w:r>
      <w:r w:rsidRPr="00FA0D37">
        <w:rPr>
          <w:color w:val="993366"/>
        </w:rPr>
        <w:t>OPTIONAL</w:t>
      </w:r>
      <w:r w:rsidRPr="00FA0D37">
        <w:t>,</w:t>
      </w:r>
    </w:p>
    <w:p w14:paraId="05764943" w14:textId="77777777" w:rsidR="00394471" w:rsidRPr="00FA0D37" w:rsidRDefault="00394471" w:rsidP="00FA0D37">
      <w:pPr>
        <w:pStyle w:val="PL"/>
      </w:pPr>
      <w:r w:rsidRPr="00FA0D37">
        <w:t xml:space="preserve">    mac-Parameters                  MAC-Parameters                                                        </w:t>
      </w:r>
      <w:r w:rsidRPr="00FA0D37">
        <w:rPr>
          <w:color w:val="993366"/>
        </w:rPr>
        <w:t>OPTIONAL</w:t>
      </w:r>
      <w:r w:rsidRPr="00FA0D37">
        <w:t>,</w:t>
      </w:r>
    </w:p>
    <w:p w14:paraId="25E54FB5" w14:textId="77777777" w:rsidR="00394471" w:rsidRPr="00FA0D37" w:rsidRDefault="00394471" w:rsidP="00FA0D37">
      <w:pPr>
        <w:pStyle w:val="PL"/>
      </w:pPr>
      <w:r w:rsidRPr="00FA0D37">
        <w:t xml:space="preserve">    phy-Parameters                  Phy-Parameters,</w:t>
      </w:r>
    </w:p>
    <w:p w14:paraId="692F875A" w14:textId="77777777" w:rsidR="00394471" w:rsidRPr="00FA0D37" w:rsidRDefault="00394471" w:rsidP="00FA0D37">
      <w:pPr>
        <w:pStyle w:val="PL"/>
      </w:pPr>
      <w:r w:rsidRPr="00FA0D37">
        <w:t xml:space="preserve">    rf-Parameters                   RF-Parameters,</w:t>
      </w:r>
    </w:p>
    <w:p w14:paraId="5F68752A" w14:textId="77777777" w:rsidR="00394471" w:rsidRPr="00FA0D37" w:rsidRDefault="00394471" w:rsidP="00FA0D37">
      <w:pPr>
        <w:pStyle w:val="PL"/>
      </w:pPr>
      <w:r w:rsidRPr="00FA0D37">
        <w:t xml:space="preserve">    measAndMobParameters            MeasAndMobParameters                                                  </w:t>
      </w:r>
      <w:r w:rsidRPr="00FA0D37">
        <w:rPr>
          <w:color w:val="993366"/>
        </w:rPr>
        <w:t>OPTIONAL</w:t>
      </w:r>
      <w:r w:rsidRPr="00FA0D37">
        <w:t>,</w:t>
      </w:r>
    </w:p>
    <w:p w14:paraId="4563B48F" w14:textId="77777777" w:rsidR="00394471" w:rsidRPr="00FA0D37" w:rsidRDefault="00394471" w:rsidP="00FA0D37">
      <w:pPr>
        <w:pStyle w:val="PL"/>
      </w:pPr>
      <w:r w:rsidRPr="00FA0D37">
        <w:lastRenderedPageBreak/>
        <w:t xml:space="preserve">    fdd-Add-UE-NR-Capabilities      UE-NR-CapabilityAddXDD-Mode                                           </w:t>
      </w:r>
      <w:r w:rsidRPr="00FA0D37">
        <w:rPr>
          <w:color w:val="993366"/>
        </w:rPr>
        <w:t>OPTIONAL</w:t>
      </w:r>
      <w:r w:rsidRPr="00FA0D37">
        <w:t>,</w:t>
      </w:r>
    </w:p>
    <w:p w14:paraId="1D12A5CC" w14:textId="77777777" w:rsidR="00394471" w:rsidRPr="00FA0D37" w:rsidRDefault="00394471" w:rsidP="00FA0D37">
      <w:pPr>
        <w:pStyle w:val="PL"/>
      </w:pPr>
      <w:r w:rsidRPr="00FA0D37">
        <w:t xml:space="preserve">    tdd-Add-UE-NR-Capabilities      UE-NR-CapabilityAddXDD-Mode                                           </w:t>
      </w:r>
      <w:r w:rsidRPr="00FA0D37">
        <w:rPr>
          <w:color w:val="993366"/>
        </w:rPr>
        <w:t>OPTIONAL</w:t>
      </w:r>
      <w:r w:rsidRPr="00FA0D37">
        <w:t>,</w:t>
      </w:r>
    </w:p>
    <w:p w14:paraId="6F6F4066" w14:textId="77777777" w:rsidR="00394471" w:rsidRPr="00FA0D37" w:rsidRDefault="00394471" w:rsidP="00FA0D37">
      <w:pPr>
        <w:pStyle w:val="PL"/>
      </w:pPr>
      <w:r w:rsidRPr="00FA0D37">
        <w:t xml:space="preserve">    fr1-Add-UE-NR-Capabilities      UE-NR-CapabilityAddFRX-Mode                                           </w:t>
      </w:r>
      <w:r w:rsidRPr="00FA0D37">
        <w:rPr>
          <w:color w:val="993366"/>
        </w:rPr>
        <w:t>OPTIONAL</w:t>
      </w:r>
      <w:r w:rsidRPr="00FA0D37">
        <w:t>,</w:t>
      </w:r>
    </w:p>
    <w:p w14:paraId="1A06793A" w14:textId="77777777" w:rsidR="00394471" w:rsidRPr="00FA0D37" w:rsidRDefault="00394471" w:rsidP="00FA0D37">
      <w:pPr>
        <w:pStyle w:val="PL"/>
      </w:pPr>
      <w:r w:rsidRPr="00FA0D37">
        <w:t xml:space="preserve">    fr2-Add-UE-NR-Capabilities      UE-NR-CapabilityAddFRX-Mode                                           </w:t>
      </w:r>
      <w:r w:rsidRPr="00FA0D37">
        <w:rPr>
          <w:color w:val="993366"/>
        </w:rPr>
        <w:t>OPTIONAL</w:t>
      </w:r>
      <w:r w:rsidRPr="00FA0D37">
        <w:t>,</w:t>
      </w:r>
    </w:p>
    <w:p w14:paraId="05655667" w14:textId="77777777" w:rsidR="00394471" w:rsidRPr="00FA0D37" w:rsidRDefault="00394471" w:rsidP="00FA0D37">
      <w:pPr>
        <w:pStyle w:val="PL"/>
      </w:pPr>
      <w:r w:rsidRPr="00FA0D37">
        <w:t xml:space="preserve">    featureSets                     FeatureSets                                                           </w:t>
      </w:r>
      <w:r w:rsidRPr="00FA0D37">
        <w:rPr>
          <w:color w:val="993366"/>
        </w:rPr>
        <w:t>OPTIONAL</w:t>
      </w:r>
      <w:r w:rsidRPr="00FA0D37">
        <w:t>,</w:t>
      </w:r>
    </w:p>
    <w:p w14:paraId="1BB066F7" w14:textId="77777777" w:rsidR="00394471" w:rsidRPr="00FA0D37" w:rsidRDefault="00394471" w:rsidP="00FA0D37">
      <w:pPr>
        <w:pStyle w:val="PL"/>
      </w:pPr>
      <w:r w:rsidRPr="00FA0D37">
        <w:t xml:space="preserve">    featureSetCombinations          </w:t>
      </w:r>
      <w:r w:rsidRPr="00FA0D37">
        <w:rPr>
          <w:color w:val="993366"/>
        </w:rPr>
        <w:t>SEQUENCE</w:t>
      </w:r>
      <w:r w:rsidRPr="00FA0D37">
        <w:t xml:space="preserve"> (</w:t>
      </w:r>
      <w:r w:rsidRPr="00FA0D37">
        <w:rPr>
          <w:color w:val="993366"/>
        </w:rPr>
        <w:t>SIZE</w:t>
      </w:r>
      <w:r w:rsidRPr="00FA0D37">
        <w:t xml:space="preserve"> (1..maxFeatureSetCombinations))</w:t>
      </w:r>
      <w:r w:rsidRPr="00FA0D37">
        <w:rPr>
          <w:color w:val="993366"/>
        </w:rPr>
        <w:t xml:space="preserve"> OF</w:t>
      </w:r>
      <w:r w:rsidRPr="00FA0D37">
        <w:t xml:space="preserve"> FeatureSetCombination         </w:t>
      </w:r>
      <w:r w:rsidRPr="00FA0D37">
        <w:rPr>
          <w:color w:val="993366"/>
        </w:rPr>
        <w:t>OPTIONAL</w:t>
      </w:r>
      <w:r w:rsidRPr="00FA0D37">
        <w:t>,</w:t>
      </w:r>
    </w:p>
    <w:p w14:paraId="72FC32D1" w14:textId="20123491"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007337FB" w:rsidRPr="00FA0D37">
        <w:t>(CONTAINING UE-NR-Capability</w:t>
      </w:r>
      <w:r w:rsidR="003B657B" w:rsidRPr="00FA0D37">
        <w:t>-v15c0</w:t>
      </w:r>
      <w:r w:rsidR="007337FB" w:rsidRPr="00FA0D37">
        <w:t>)</w:t>
      </w:r>
      <w:r w:rsidRPr="00FA0D37">
        <w:t xml:space="preserve">                      </w:t>
      </w:r>
      <w:r w:rsidRPr="00FA0D37">
        <w:rPr>
          <w:color w:val="993366"/>
        </w:rPr>
        <w:t>OPTIONAL</w:t>
      </w:r>
      <w:r w:rsidRPr="00FA0D37">
        <w:t>,</w:t>
      </w:r>
    </w:p>
    <w:p w14:paraId="5036687F" w14:textId="77777777" w:rsidR="00394471" w:rsidRPr="00FA0D37" w:rsidRDefault="00394471" w:rsidP="00FA0D37">
      <w:pPr>
        <w:pStyle w:val="PL"/>
      </w:pPr>
      <w:r w:rsidRPr="00FA0D37">
        <w:t xml:space="preserve">    nonCriticalExtension            UE-NR-Capability-v1530                                                </w:t>
      </w:r>
      <w:r w:rsidRPr="00FA0D37">
        <w:rPr>
          <w:color w:val="993366"/>
        </w:rPr>
        <w:t>OPTIONAL</w:t>
      </w:r>
    </w:p>
    <w:p w14:paraId="5253B19E" w14:textId="77777777" w:rsidR="00394471" w:rsidRPr="00FA0D37" w:rsidRDefault="00394471" w:rsidP="00FA0D37">
      <w:pPr>
        <w:pStyle w:val="PL"/>
      </w:pPr>
      <w:r w:rsidRPr="00FA0D37">
        <w:t>}</w:t>
      </w:r>
    </w:p>
    <w:p w14:paraId="6FD1E04C" w14:textId="77777777" w:rsidR="00394471" w:rsidRPr="00FA0D37" w:rsidRDefault="00394471" w:rsidP="00FA0D37">
      <w:pPr>
        <w:pStyle w:val="PL"/>
      </w:pPr>
    </w:p>
    <w:p w14:paraId="27CBB3C5" w14:textId="7B605410" w:rsidR="007337FB" w:rsidRPr="00FA0D37" w:rsidRDefault="007337FB" w:rsidP="00FA0D37">
      <w:pPr>
        <w:pStyle w:val="PL"/>
        <w:rPr>
          <w:color w:val="808080"/>
        </w:rPr>
      </w:pPr>
      <w:r w:rsidRPr="00FA0D37">
        <w:rPr>
          <w:color w:val="808080"/>
        </w:rPr>
        <w:t xml:space="preserve">-- Regular non-critical </w:t>
      </w:r>
      <w:r w:rsidR="003431E3" w:rsidRPr="00FA0D37">
        <w:rPr>
          <w:color w:val="808080"/>
        </w:rPr>
        <w:t xml:space="preserve">Rel-15 </w:t>
      </w:r>
      <w:r w:rsidRPr="00FA0D37">
        <w:rPr>
          <w:color w:val="808080"/>
        </w:rPr>
        <w:t>extensions:</w:t>
      </w:r>
    </w:p>
    <w:p w14:paraId="6196C502" w14:textId="2A981789" w:rsidR="00394471" w:rsidRPr="00FA0D37" w:rsidRDefault="00394471" w:rsidP="00FA0D37">
      <w:pPr>
        <w:pStyle w:val="PL"/>
      </w:pPr>
      <w:r w:rsidRPr="00FA0D37">
        <w:t xml:space="preserve">UE-NR-Capability-v1530 ::=               </w:t>
      </w:r>
      <w:r w:rsidRPr="00FA0D37">
        <w:rPr>
          <w:color w:val="993366"/>
        </w:rPr>
        <w:t>SEQUENCE</w:t>
      </w:r>
      <w:r w:rsidRPr="00FA0D37">
        <w:t xml:space="preserve"> {</w:t>
      </w:r>
    </w:p>
    <w:p w14:paraId="7010D23D" w14:textId="77777777" w:rsidR="00394471" w:rsidRPr="00FA0D37" w:rsidRDefault="00394471" w:rsidP="00FA0D37">
      <w:pPr>
        <w:pStyle w:val="PL"/>
      </w:pPr>
      <w:r w:rsidRPr="00FA0D37">
        <w:t xml:space="preserve">    fdd-Add-UE-NR-Capabilities-v1530         UE-NR-CapabilityAddXDD-Mode-v1530                            </w:t>
      </w:r>
      <w:r w:rsidRPr="00FA0D37">
        <w:rPr>
          <w:color w:val="993366"/>
        </w:rPr>
        <w:t>OPTIONAL</w:t>
      </w:r>
      <w:r w:rsidRPr="00FA0D37">
        <w:t>,</w:t>
      </w:r>
    </w:p>
    <w:p w14:paraId="505E594F" w14:textId="77777777" w:rsidR="00394471" w:rsidRPr="00FA0D37" w:rsidRDefault="00394471" w:rsidP="00FA0D37">
      <w:pPr>
        <w:pStyle w:val="PL"/>
      </w:pPr>
      <w:r w:rsidRPr="00FA0D37">
        <w:t xml:space="preserve">    tdd-Add-UE-NR-Capabilities-v1530         UE-NR-CapabilityAddXDD-Mode-v1530                            </w:t>
      </w:r>
      <w:r w:rsidRPr="00FA0D37">
        <w:rPr>
          <w:color w:val="993366"/>
        </w:rPr>
        <w:t>OPTIONAL</w:t>
      </w:r>
      <w:r w:rsidRPr="00FA0D37">
        <w:t>,</w:t>
      </w:r>
    </w:p>
    <w:p w14:paraId="4E94FBF2" w14:textId="77777777" w:rsidR="00394471" w:rsidRPr="00FA0D37" w:rsidRDefault="00394471" w:rsidP="00FA0D37">
      <w:pPr>
        <w:pStyle w:val="PL"/>
      </w:pPr>
      <w:r w:rsidRPr="00FA0D37">
        <w:t xml:space="preserve">    dummy                                    </w:t>
      </w:r>
      <w:r w:rsidRPr="00FA0D37">
        <w:rPr>
          <w:color w:val="993366"/>
        </w:rPr>
        <w:t>ENUMERATED</w:t>
      </w:r>
      <w:r w:rsidRPr="00FA0D37">
        <w:t xml:space="preserve"> {supported}                                       </w:t>
      </w:r>
      <w:r w:rsidRPr="00FA0D37">
        <w:rPr>
          <w:color w:val="993366"/>
        </w:rPr>
        <w:t>OPTIONAL</w:t>
      </w:r>
      <w:r w:rsidRPr="00FA0D37">
        <w:t>,</w:t>
      </w:r>
    </w:p>
    <w:p w14:paraId="4492615C" w14:textId="77777777" w:rsidR="00394471" w:rsidRPr="00FA0D37" w:rsidRDefault="00394471" w:rsidP="00FA0D37">
      <w:pPr>
        <w:pStyle w:val="PL"/>
      </w:pPr>
      <w:r w:rsidRPr="00FA0D37">
        <w:t xml:space="preserve">    interRAT-Parameters                      InterRAT-Parameters                                          </w:t>
      </w:r>
      <w:r w:rsidRPr="00FA0D37">
        <w:rPr>
          <w:color w:val="993366"/>
        </w:rPr>
        <w:t>OPTIONAL</w:t>
      </w:r>
      <w:r w:rsidRPr="00FA0D37">
        <w:t>,</w:t>
      </w:r>
    </w:p>
    <w:p w14:paraId="3EADD639" w14:textId="77777777" w:rsidR="00394471" w:rsidRPr="00FA0D37" w:rsidRDefault="00394471" w:rsidP="00FA0D37">
      <w:pPr>
        <w:pStyle w:val="PL"/>
      </w:pPr>
      <w:r w:rsidRPr="00FA0D37">
        <w:t xml:space="preserve">    inactiveState                            </w:t>
      </w:r>
      <w:r w:rsidRPr="00FA0D37">
        <w:rPr>
          <w:color w:val="993366"/>
        </w:rPr>
        <w:t>ENUMERATED</w:t>
      </w:r>
      <w:r w:rsidRPr="00FA0D37">
        <w:t xml:space="preserve"> {supported}                                       </w:t>
      </w:r>
      <w:r w:rsidRPr="00FA0D37">
        <w:rPr>
          <w:color w:val="993366"/>
        </w:rPr>
        <w:t>OPTIONAL</w:t>
      </w:r>
      <w:r w:rsidRPr="00FA0D37">
        <w:t>,</w:t>
      </w:r>
    </w:p>
    <w:p w14:paraId="2E000D58" w14:textId="77777777" w:rsidR="00394471" w:rsidRPr="00FA0D37" w:rsidRDefault="00394471" w:rsidP="00FA0D37">
      <w:pPr>
        <w:pStyle w:val="PL"/>
      </w:pPr>
      <w:r w:rsidRPr="00FA0D37">
        <w:t xml:space="preserve">    delayBudgetReporting                     </w:t>
      </w:r>
      <w:r w:rsidRPr="00FA0D37">
        <w:rPr>
          <w:color w:val="993366"/>
        </w:rPr>
        <w:t>ENUMERATED</w:t>
      </w:r>
      <w:r w:rsidRPr="00FA0D37">
        <w:t xml:space="preserve"> {supported}                                       </w:t>
      </w:r>
      <w:r w:rsidRPr="00FA0D37">
        <w:rPr>
          <w:color w:val="993366"/>
        </w:rPr>
        <w:t>OPTIONAL</w:t>
      </w:r>
      <w:r w:rsidRPr="00FA0D37">
        <w:t>,</w:t>
      </w:r>
    </w:p>
    <w:p w14:paraId="530CAB21" w14:textId="77777777" w:rsidR="00394471" w:rsidRPr="00FA0D37" w:rsidRDefault="00394471" w:rsidP="00FA0D37">
      <w:pPr>
        <w:pStyle w:val="PL"/>
      </w:pPr>
      <w:r w:rsidRPr="00FA0D37">
        <w:t xml:space="preserve">    nonCriticalExtension                     UE-NR-Capability-v1540                                       </w:t>
      </w:r>
      <w:r w:rsidRPr="00FA0D37">
        <w:rPr>
          <w:color w:val="993366"/>
        </w:rPr>
        <w:t>OPTIONAL</w:t>
      </w:r>
    </w:p>
    <w:p w14:paraId="280DF9BD" w14:textId="77777777" w:rsidR="00394471" w:rsidRPr="00FA0D37" w:rsidRDefault="00394471" w:rsidP="00FA0D37">
      <w:pPr>
        <w:pStyle w:val="PL"/>
      </w:pPr>
      <w:r w:rsidRPr="00FA0D37">
        <w:t>}</w:t>
      </w:r>
    </w:p>
    <w:p w14:paraId="3B329EF4" w14:textId="77777777" w:rsidR="00394471" w:rsidRPr="00FA0D37" w:rsidRDefault="00394471" w:rsidP="00FA0D37">
      <w:pPr>
        <w:pStyle w:val="PL"/>
      </w:pPr>
    </w:p>
    <w:p w14:paraId="2008C192" w14:textId="77777777" w:rsidR="00394471" w:rsidRPr="00FA0D37" w:rsidRDefault="00394471" w:rsidP="00FA0D37">
      <w:pPr>
        <w:pStyle w:val="PL"/>
      </w:pPr>
      <w:r w:rsidRPr="00FA0D37">
        <w:t xml:space="preserve">UE-NR-Capability-v1540 ::=              </w:t>
      </w:r>
      <w:r w:rsidRPr="00FA0D37">
        <w:rPr>
          <w:color w:val="993366"/>
        </w:rPr>
        <w:t>SEQUENCE</w:t>
      </w:r>
      <w:r w:rsidRPr="00FA0D37">
        <w:t xml:space="preserve"> {</w:t>
      </w:r>
    </w:p>
    <w:p w14:paraId="0AF6CA18" w14:textId="77777777" w:rsidR="00394471" w:rsidRPr="00FA0D37" w:rsidRDefault="00394471" w:rsidP="00FA0D37">
      <w:pPr>
        <w:pStyle w:val="PL"/>
      </w:pPr>
      <w:r w:rsidRPr="00FA0D37">
        <w:t xml:space="preserve">    sdap-Parameters                         SDAP-Parameters                                               </w:t>
      </w:r>
      <w:r w:rsidRPr="00FA0D37">
        <w:rPr>
          <w:color w:val="993366"/>
        </w:rPr>
        <w:t>OPTIONAL</w:t>
      </w:r>
      <w:r w:rsidRPr="00FA0D37">
        <w:t>,</w:t>
      </w:r>
    </w:p>
    <w:p w14:paraId="38B3BC35" w14:textId="77777777" w:rsidR="00394471" w:rsidRPr="00FA0D37" w:rsidRDefault="00394471" w:rsidP="00FA0D37">
      <w:pPr>
        <w:pStyle w:val="PL"/>
      </w:pPr>
      <w:r w:rsidRPr="00FA0D37">
        <w:t xml:space="preserve">    overheatingInd                          </w:t>
      </w:r>
      <w:r w:rsidRPr="00FA0D37">
        <w:rPr>
          <w:color w:val="993366"/>
        </w:rPr>
        <w:t>ENUMERATED</w:t>
      </w:r>
      <w:r w:rsidRPr="00FA0D37">
        <w:t xml:space="preserve"> {supported}                                        </w:t>
      </w:r>
      <w:r w:rsidRPr="00FA0D37">
        <w:rPr>
          <w:color w:val="993366"/>
        </w:rPr>
        <w:t>OPTIONAL</w:t>
      </w:r>
      <w:r w:rsidRPr="00FA0D37">
        <w:t>,</w:t>
      </w:r>
    </w:p>
    <w:p w14:paraId="62480DA6" w14:textId="77777777" w:rsidR="00394471" w:rsidRPr="00FA0D37" w:rsidRDefault="00394471" w:rsidP="00FA0D37">
      <w:pPr>
        <w:pStyle w:val="PL"/>
      </w:pPr>
      <w:r w:rsidRPr="00FA0D37">
        <w:t xml:space="preserve">    ims-Parameters                          IMS-Parameters                                                </w:t>
      </w:r>
      <w:r w:rsidRPr="00FA0D37">
        <w:rPr>
          <w:color w:val="993366"/>
        </w:rPr>
        <w:t>OPTIONAL</w:t>
      </w:r>
      <w:r w:rsidRPr="00FA0D37">
        <w:t>,</w:t>
      </w:r>
    </w:p>
    <w:p w14:paraId="014095B1" w14:textId="77777777" w:rsidR="00394471" w:rsidRPr="00FA0D37" w:rsidRDefault="00394471" w:rsidP="00FA0D37">
      <w:pPr>
        <w:pStyle w:val="PL"/>
      </w:pPr>
      <w:r w:rsidRPr="00FA0D37">
        <w:t xml:space="preserve">    fr1-Add-UE-NR-Capabilities-v1540        UE-NR-CapabilityAddFRX-Mode-v1540                             </w:t>
      </w:r>
      <w:r w:rsidRPr="00FA0D37">
        <w:rPr>
          <w:color w:val="993366"/>
        </w:rPr>
        <w:t>OPTIONAL</w:t>
      </w:r>
      <w:r w:rsidRPr="00FA0D37">
        <w:t>,</w:t>
      </w:r>
    </w:p>
    <w:p w14:paraId="25BB487F" w14:textId="77777777" w:rsidR="00394471" w:rsidRPr="00FA0D37" w:rsidRDefault="00394471" w:rsidP="00FA0D37">
      <w:pPr>
        <w:pStyle w:val="PL"/>
      </w:pPr>
      <w:r w:rsidRPr="00FA0D37">
        <w:t xml:space="preserve">    fr2-Add-UE-NR-Capabilities-v1540        UE-NR-CapabilityAddFRX-Mode-v1540                             </w:t>
      </w:r>
      <w:r w:rsidRPr="00FA0D37">
        <w:rPr>
          <w:color w:val="993366"/>
        </w:rPr>
        <w:t>OPTIONAL</w:t>
      </w:r>
      <w:r w:rsidRPr="00FA0D37">
        <w:t>,</w:t>
      </w:r>
    </w:p>
    <w:p w14:paraId="1CD8F586" w14:textId="77777777" w:rsidR="00394471" w:rsidRPr="00FA0D37" w:rsidRDefault="00394471" w:rsidP="00FA0D37">
      <w:pPr>
        <w:pStyle w:val="PL"/>
      </w:pPr>
      <w:r w:rsidRPr="00FA0D37">
        <w:t xml:space="preserve">    fr1-fr2-Add-UE-NR-Capabilities          UE-NR-CapabilityAddFRX-Mode                                   </w:t>
      </w:r>
      <w:r w:rsidRPr="00FA0D37">
        <w:rPr>
          <w:color w:val="993366"/>
        </w:rPr>
        <w:t>OPTIONAL</w:t>
      </w:r>
      <w:r w:rsidRPr="00FA0D37">
        <w:t>,</w:t>
      </w:r>
    </w:p>
    <w:p w14:paraId="4A4FDC4D" w14:textId="77777777" w:rsidR="00394471" w:rsidRPr="00FA0D37" w:rsidRDefault="00394471" w:rsidP="00FA0D37">
      <w:pPr>
        <w:pStyle w:val="PL"/>
      </w:pPr>
      <w:r w:rsidRPr="00FA0D37">
        <w:t xml:space="preserve">    nonCriticalExtension                    UE-NR-Capability-v1550                                        </w:t>
      </w:r>
      <w:r w:rsidRPr="00FA0D37">
        <w:rPr>
          <w:color w:val="993366"/>
        </w:rPr>
        <w:t>OPTIONAL</w:t>
      </w:r>
    </w:p>
    <w:p w14:paraId="74C34428" w14:textId="77777777" w:rsidR="00394471" w:rsidRPr="00FA0D37" w:rsidRDefault="00394471" w:rsidP="00FA0D37">
      <w:pPr>
        <w:pStyle w:val="PL"/>
      </w:pPr>
      <w:r w:rsidRPr="00FA0D37">
        <w:t>}</w:t>
      </w:r>
    </w:p>
    <w:p w14:paraId="021AB450" w14:textId="77777777" w:rsidR="00394471" w:rsidRPr="00FA0D37" w:rsidRDefault="00394471" w:rsidP="00FA0D37">
      <w:pPr>
        <w:pStyle w:val="PL"/>
      </w:pPr>
    </w:p>
    <w:p w14:paraId="55840540" w14:textId="77777777" w:rsidR="00394471" w:rsidRPr="00FA0D37" w:rsidRDefault="00394471" w:rsidP="00FA0D37">
      <w:pPr>
        <w:pStyle w:val="PL"/>
      </w:pPr>
      <w:r w:rsidRPr="00FA0D37">
        <w:t xml:space="preserve">UE-NR-Capability-v1550 ::=               </w:t>
      </w:r>
      <w:r w:rsidRPr="00FA0D37">
        <w:rPr>
          <w:color w:val="993366"/>
        </w:rPr>
        <w:t>SEQUENCE</w:t>
      </w:r>
      <w:r w:rsidRPr="00FA0D37">
        <w:t xml:space="preserve"> {</w:t>
      </w:r>
    </w:p>
    <w:p w14:paraId="44CA5E31" w14:textId="77777777" w:rsidR="00394471" w:rsidRPr="00FA0D37" w:rsidRDefault="00394471" w:rsidP="00FA0D37">
      <w:pPr>
        <w:pStyle w:val="PL"/>
      </w:pPr>
      <w:r w:rsidRPr="00FA0D37">
        <w:t xml:space="preserve">    reducedCP-Latency                        </w:t>
      </w:r>
      <w:r w:rsidRPr="00FA0D37">
        <w:rPr>
          <w:color w:val="993366"/>
        </w:rPr>
        <w:t>ENUMERATED</w:t>
      </w:r>
      <w:r w:rsidRPr="00FA0D37">
        <w:t xml:space="preserve"> {supported}                                       </w:t>
      </w:r>
      <w:r w:rsidRPr="00FA0D37">
        <w:rPr>
          <w:color w:val="993366"/>
        </w:rPr>
        <w:t>OPTIONAL</w:t>
      </w:r>
      <w:r w:rsidRPr="00FA0D37">
        <w:t>,</w:t>
      </w:r>
    </w:p>
    <w:p w14:paraId="228C4489" w14:textId="77777777" w:rsidR="00394471" w:rsidRPr="00FA0D37" w:rsidRDefault="00394471" w:rsidP="00FA0D37">
      <w:pPr>
        <w:pStyle w:val="PL"/>
      </w:pPr>
      <w:r w:rsidRPr="00FA0D37">
        <w:t xml:space="preserve">    nonCriticalExtension                     UE-NR-Capability-v1560                                       </w:t>
      </w:r>
      <w:r w:rsidRPr="00FA0D37">
        <w:rPr>
          <w:color w:val="993366"/>
        </w:rPr>
        <w:t>OPTIONAL</w:t>
      </w:r>
    </w:p>
    <w:p w14:paraId="7A2E013A" w14:textId="77777777" w:rsidR="00394471" w:rsidRPr="00FA0D37" w:rsidRDefault="00394471" w:rsidP="00FA0D37">
      <w:pPr>
        <w:pStyle w:val="PL"/>
      </w:pPr>
      <w:r w:rsidRPr="00FA0D37">
        <w:t>}</w:t>
      </w:r>
    </w:p>
    <w:p w14:paraId="51F1F685" w14:textId="77777777" w:rsidR="00394471" w:rsidRPr="00FA0D37" w:rsidRDefault="00394471" w:rsidP="00FA0D37">
      <w:pPr>
        <w:pStyle w:val="PL"/>
      </w:pPr>
    </w:p>
    <w:p w14:paraId="4A8B2E3F" w14:textId="77777777" w:rsidR="00394471" w:rsidRPr="00FA0D37" w:rsidRDefault="00394471" w:rsidP="00FA0D37">
      <w:pPr>
        <w:pStyle w:val="PL"/>
      </w:pPr>
      <w:r w:rsidRPr="00FA0D37">
        <w:t xml:space="preserve">UE-NR-Capability-v1560 ::=               </w:t>
      </w:r>
      <w:r w:rsidRPr="00FA0D37">
        <w:rPr>
          <w:color w:val="993366"/>
        </w:rPr>
        <w:t>SEQUENCE</w:t>
      </w:r>
      <w:r w:rsidRPr="00FA0D37">
        <w:t xml:space="preserve"> {</w:t>
      </w:r>
    </w:p>
    <w:p w14:paraId="587A103C" w14:textId="77777777" w:rsidR="00394471" w:rsidRPr="00FA0D37" w:rsidRDefault="00394471" w:rsidP="00FA0D37">
      <w:pPr>
        <w:pStyle w:val="PL"/>
      </w:pPr>
      <w:r w:rsidRPr="00FA0D37">
        <w:t xml:space="preserve">    nrdc-Parameters                         NRDC-Parameters                                               </w:t>
      </w:r>
      <w:r w:rsidRPr="00FA0D37">
        <w:rPr>
          <w:color w:val="993366"/>
        </w:rPr>
        <w:t>OPTIONAL</w:t>
      </w:r>
      <w:r w:rsidRPr="00FA0D37">
        <w:t>,</w:t>
      </w:r>
    </w:p>
    <w:p w14:paraId="5DCDB678" w14:textId="77777777" w:rsidR="00394471" w:rsidRPr="00FA0D37" w:rsidRDefault="00394471" w:rsidP="00FA0D37">
      <w:pPr>
        <w:pStyle w:val="PL"/>
      </w:pPr>
      <w:r w:rsidRPr="00FA0D37">
        <w:t xml:space="preserve">    receivedFilters                         </w:t>
      </w:r>
      <w:r w:rsidRPr="00FA0D37">
        <w:rPr>
          <w:color w:val="993366"/>
        </w:rPr>
        <w:t>OCTET</w:t>
      </w:r>
      <w:r w:rsidRPr="00FA0D37">
        <w:t xml:space="preserve"> </w:t>
      </w:r>
      <w:r w:rsidRPr="00FA0D37">
        <w:rPr>
          <w:color w:val="993366"/>
        </w:rPr>
        <w:t>STRING</w:t>
      </w:r>
      <w:r w:rsidRPr="00FA0D37">
        <w:t xml:space="preserve"> (CONTAINING UECapabilityEnquiry-v1560-IEs)       </w:t>
      </w:r>
      <w:r w:rsidRPr="00FA0D37">
        <w:rPr>
          <w:color w:val="993366"/>
        </w:rPr>
        <w:t>OPTIONAL</w:t>
      </w:r>
      <w:r w:rsidRPr="00FA0D37">
        <w:t>,</w:t>
      </w:r>
    </w:p>
    <w:p w14:paraId="37DE1048" w14:textId="77777777" w:rsidR="00394471" w:rsidRPr="00FA0D37" w:rsidRDefault="00394471" w:rsidP="00FA0D37">
      <w:pPr>
        <w:pStyle w:val="PL"/>
      </w:pPr>
      <w:r w:rsidRPr="00FA0D37">
        <w:t xml:space="preserve">    nonCriticalExtension                    UE-NR-Capability-v1570                                        </w:t>
      </w:r>
      <w:r w:rsidRPr="00FA0D37">
        <w:rPr>
          <w:color w:val="993366"/>
        </w:rPr>
        <w:t>OPTIONAL</w:t>
      </w:r>
    </w:p>
    <w:p w14:paraId="5D236934" w14:textId="77777777" w:rsidR="00394471" w:rsidRPr="00FA0D37" w:rsidRDefault="00394471" w:rsidP="00FA0D37">
      <w:pPr>
        <w:pStyle w:val="PL"/>
      </w:pPr>
      <w:r w:rsidRPr="00FA0D37">
        <w:t>}</w:t>
      </w:r>
    </w:p>
    <w:p w14:paraId="3287E1EF" w14:textId="77777777" w:rsidR="00394471" w:rsidRPr="00FA0D37" w:rsidRDefault="00394471" w:rsidP="00FA0D37">
      <w:pPr>
        <w:pStyle w:val="PL"/>
      </w:pPr>
    </w:p>
    <w:p w14:paraId="21F352D6" w14:textId="77777777" w:rsidR="00394471" w:rsidRPr="00FA0D37" w:rsidRDefault="00394471" w:rsidP="00FA0D37">
      <w:pPr>
        <w:pStyle w:val="PL"/>
      </w:pPr>
      <w:r w:rsidRPr="00FA0D37">
        <w:t xml:space="preserve">UE-NR-Capability-v1570 ::=               </w:t>
      </w:r>
      <w:r w:rsidRPr="00FA0D37">
        <w:rPr>
          <w:color w:val="993366"/>
        </w:rPr>
        <w:t>SEQUENCE</w:t>
      </w:r>
      <w:r w:rsidRPr="00FA0D37">
        <w:t xml:space="preserve"> {</w:t>
      </w:r>
    </w:p>
    <w:p w14:paraId="0EBD9A63" w14:textId="77777777" w:rsidR="00394471" w:rsidRPr="00FA0D37" w:rsidRDefault="00394471" w:rsidP="00FA0D37">
      <w:pPr>
        <w:pStyle w:val="PL"/>
      </w:pPr>
      <w:r w:rsidRPr="00FA0D37">
        <w:t xml:space="preserve">    nrdc-Parameters-v1570                   NRDC-Parameters-v1570                                         </w:t>
      </w:r>
      <w:r w:rsidRPr="00FA0D37">
        <w:rPr>
          <w:color w:val="993366"/>
        </w:rPr>
        <w:t>OPTIONAL</w:t>
      </w:r>
      <w:r w:rsidRPr="00FA0D37">
        <w:t>,</w:t>
      </w:r>
    </w:p>
    <w:p w14:paraId="1AD875C0" w14:textId="77777777" w:rsidR="00394471" w:rsidRPr="00FA0D37" w:rsidRDefault="00394471" w:rsidP="00FA0D37">
      <w:pPr>
        <w:pStyle w:val="PL"/>
      </w:pPr>
      <w:r w:rsidRPr="00FA0D37">
        <w:t xml:space="preserve">    nonCriticalExtension                    UE-NR-Capability-v1610                                        </w:t>
      </w:r>
      <w:r w:rsidRPr="00FA0D37">
        <w:rPr>
          <w:color w:val="993366"/>
        </w:rPr>
        <w:t>OPTIONAL</w:t>
      </w:r>
    </w:p>
    <w:p w14:paraId="7D29F98C" w14:textId="77777777" w:rsidR="00394471" w:rsidRPr="00FA0D37" w:rsidRDefault="00394471" w:rsidP="00FA0D37">
      <w:pPr>
        <w:pStyle w:val="PL"/>
      </w:pPr>
      <w:r w:rsidRPr="00FA0D37">
        <w:t>}</w:t>
      </w:r>
    </w:p>
    <w:p w14:paraId="6FBDC038" w14:textId="77777777" w:rsidR="007337FB" w:rsidRPr="00FA0D37" w:rsidRDefault="007337FB" w:rsidP="00FA0D37">
      <w:pPr>
        <w:pStyle w:val="PL"/>
      </w:pPr>
    </w:p>
    <w:p w14:paraId="5D841901" w14:textId="4AFECD65" w:rsidR="007337FB" w:rsidRPr="00FA0D37" w:rsidRDefault="007337FB" w:rsidP="00FA0D37">
      <w:pPr>
        <w:pStyle w:val="PL"/>
        <w:rPr>
          <w:color w:val="808080"/>
        </w:rPr>
      </w:pPr>
      <w:r w:rsidRPr="00FA0D37">
        <w:rPr>
          <w:color w:val="808080"/>
        </w:rPr>
        <w:t xml:space="preserve">-- Late non-critical </w:t>
      </w:r>
      <w:r w:rsidR="00973FD9" w:rsidRPr="00FA0D37">
        <w:rPr>
          <w:color w:val="808080"/>
        </w:rPr>
        <w:t xml:space="preserve">Rel-15 </w:t>
      </w:r>
      <w:r w:rsidRPr="00FA0D37">
        <w:rPr>
          <w:color w:val="808080"/>
        </w:rPr>
        <w:t>extensions:</w:t>
      </w:r>
    </w:p>
    <w:p w14:paraId="2FC03486" w14:textId="75775C30" w:rsidR="007337FB" w:rsidRPr="00FA0D37" w:rsidRDefault="007337FB" w:rsidP="00FA0D37">
      <w:pPr>
        <w:pStyle w:val="PL"/>
      </w:pPr>
      <w:r w:rsidRPr="00FA0D37">
        <w:t>UE-NR-Capability</w:t>
      </w:r>
      <w:r w:rsidR="003B657B" w:rsidRPr="00FA0D37">
        <w:t>-v15c0</w:t>
      </w:r>
      <w:r w:rsidRPr="00FA0D37">
        <w:t xml:space="preserve"> ::=               </w:t>
      </w:r>
      <w:r w:rsidRPr="00FA0D37">
        <w:rPr>
          <w:color w:val="993366"/>
        </w:rPr>
        <w:t>SEQUENCE</w:t>
      </w:r>
      <w:r w:rsidRPr="00FA0D37">
        <w:t xml:space="preserve"> {</w:t>
      </w:r>
    </w:p>
    <w:p w14:paraId="7BABC780" w14:textId="6F1F45D7" w:rsidR="007337FB" w:rsidRPr="00FA0D37" w:rsidRDefault="007337FB" w:rsidP="00FA0D37">
      <w:pPr>
        <w:pStyle w:val="PL"/>
      </w:pPr>
      <w:r w:rsidRPr="00FA0D37">
        <w:t xml:space="preserve">    nrdc-Parameters</w:t>
      </w:r>
      <w:r w:rsidR="003B657B" w:rsidRPr="00FA0D37">
        <w:t>-v15c0</w:t>
      </w:r>
      <w:r w:rsidRPr="00FA0D37">
        <w:t xml:space="preserve">                    NRDC-Parameters</w:t>
      </w:r>
      <w:r w:rsidR="003B657B" w:rsidRPr="00FA0D37">
        <w:t>-v15c0</w:t>
      </w:r>
      <w:r w:rsidRPr="00FA0D37">
        <w:t xml:space="preserve">                                        </w:t>
      </w:r>
      <w:r w:rsidRPr="00FA0D37">
        <w:rPr>
          <w:color w:val="993366"/>
        </w:rPr>
        <w:t>OPTIONAL</w:t>
      </w:r>
      <w:r w:rsidRPr="00FA0D37">
        <w:t>,</w:t>
      </w:r>
    </w:p>
    <w:p w14:paraId="61A83D2D" w14:textId="2C7CB7D8" w:rsidR="00C234AE" w:rsidRPr="00FA0D37" w:rsidRDefault="00C234AE" w:rsidP="00FA0D37">
      <w:pPr>
        <w:pStyle w:val="PL"/>
      </w:pPr>
      <w:r w:rsidRPr="00FA0D37">
        <w:t xml:space="preserve">    partialFR2-FallbackRX-Req                </w:t>
      </w:r>
      <w:r w:rsidRPr="00FA0D37">
        <w:rPr>
          <w:color w:val="993366"/>
        </w:rPr>
        <w:t>ENUMERATED</w:t>
      </w:r>
      <w:r w:rsidRPr="00FA0D37">
        <w:t xml:space="preserve"> {true}                                            </w:t>
      </w:r>
      <w:r w:rsidRPr="00FA0D37">
        <w:rPr>
          <w:color w:val="993366"/>
        </w:rPr>
        <w:t>OPTIONAL</w:t>
      </w:r>
      <w:r w:rsidRPr="00FA0D37">
        <w:t>,</w:t>
      </w:r>
    </w:p>
    <w:p w14:paraId="08117D01" w14:textId="20819E0F" w:rsidR="007337FB" w:rsidRPr="00FA0D37" w:rsidRDefault="007337FB" w:rsidP="00FA0D37">
      <w:pPr>
        <w:pStyle w:val="PL"/>
      </w:pPr>
      <w:r w:rsidRPr="00FA0D37">
        <w:lastRenderedPageBreak/>
        <w:t xml:space="preserve">    nonCriticalExtension                     </w:t>
      </w:r>
      <w:r w:rsidR="00204A0D" w:rsidRPr="00FA0D37">
        <w:t>UE-NR-Capability-v15</w:t>
      </w:r>
      <w:r w:rsidR="00EE4C48" w:rsidRPr="00FA0D37">
        <w:t>g0</w:t>
      </w:r>
      <w:r w:rsidRPr="00FA0D37">
        <w:t xml:space="preserve">                                       </w:t>
      </w:r>
      <w:r w:rsidRPr="00FA0D37">
        <w:rPr>
          <w:color w:val="993366"/>
        </w:rPr>
        <w:t>OPTIONAL</w:t>
      </w:r>
    </w:p>
    <w:p w14:paraId="4E5775E8" w14:textId="57D01243" w:rsidR="00394471" w:rsidRPr="00FA0D37" w:rsidRDefault="007337FB" w:rsidP="00FA0D37">
      <w:pPr>
        <w:pStyle w:val="PL"/>
      </w:pPr>
      <w:r w:rsidRPr="00FA0D37">
        <w:t>}</w:t>
      </w:r>
    </w:p>
    <w:p w14:paraId="3E807D05" w14:textId="77777777" w:rsidR="00204A0D" w:rsidRPr="00FA0D37" w:rsidRDefault="00204A0D" w:rsidP="00FA0D37">
      <w:pPr>
        <w:pStyle w:val="PL"/>
      </w:pPr>
    </w:p>
    <w:p w14:paraId="64DDE2D8" w14:textId="6B3659AB" w:rsidR="00204A0D" w:rsidRPr="00FA0D37" w:rsidRDefault="00204A0D" w:rsidP="00FA0D37">
      <w:pPr>
        <w:pStyle w:val="PL"/>
      </w:pPr>
      <w:r w:rsidRPr="00FA0D37">
        <w:t>UE-NR-Capability-v15</w:t>
      </w:r>
      <w:r w:rsidR="00EE4C48" w:rsidRPr="00FA0D37">
        <w:t>g0</w:t>
      </w:r>
      <w:r w:rsidRPr="00FA0D37">
        <w:t xml:space="preserve"> ::=               </w:t>
      </w:r>
      <w:r w:rsidRPr="00FA0D37">
        <w:rPr>
          <w:color w:val="993366"/>
        </w:rPr>
        <w:t>SEQUENCE</w:t>
      </w:r>
      <w:r w:rsidRPr="00FA0D37">
        <w:t xml:space="preserve"> {</w:t>
      </w:r>
    </w:p>
    <w:p w14:paraId="2F5468F0" w14:textId="22566490" w:rsidR="00204A0D" w:rsidRPr="00FA0D37" w:rsidRDefault="00204A0D" w:rsidP="00FA0D37">
      <w:pPr>
        <w:pStyle w:val="PL"/>
      </w:pPr>
      <w:r w:rsidRPr="00FA0D37">
        <w:t xml:space="preserve">    rf-Parameters-v15</w:t>
      </w:r>
      <w:r w:rsidR="00EE4C48" w:rsidRPr="00FA0D37">
        <w:t>g0</w:t>
      </w:r>
      <w:r w:rsidRPr="00FA0D37">
        <w:t xml:space="preserve">                      RF-Parameters-v15</w:t>
      </w:r>
      <w:r w:rsidR="00EE4C48" w:rsidRPr="00FA0D37">
        <w:t>g0</w:t>
      </w:r>
      <w:r w:rsidRPr="00FA0D37">
        <w:t xml:space="preserve">                                          </w:t>
      </w:r>
      <w:r w:rsidRPr="00FA0D37">
        <w:rPr>
          <w:color w:val="993366"/>
        </w:rPr>
        <w:t>OPTIONAL</w:t>
      </w:r>
      <w:r w:rsidRPr="00FA0D37">
        <w:t>,</w:t>
      </w:r>
    </w:p>
    <w:p w14:paraId="544A8B50" w14:textId="6DCF2A3F" w:rsidR="00204A0D" w:rsidRPr="00FA0D37" w:rsidRDefault="00204A0D" w:rsidP="00FA0D37">
      <w:pPr>
        <w:pStyle w:val="PL"/>
      </w:pPr>
      <w:r w:rsidRPr="00FA0D37">
        <w:t xml:space="preserve">    nonCriticalExtension                     </w:t>
      </w:r>
      <w:r w:rsidR="00963709" w:rsidRPr="00FA0D37">
        <w:t>UE-NR-Capability-v15j0</w:t>
      </w:r>
      <w:r w:rsidRPr="00FA0D37">
        <w:t xml:space="preserve">                                       </w:t>
      </w:r>
      <w:r w:rsidRPr="00FA0D37">
        <w:rPr>
          <w:color w:val="993366"/>
        </w:rPr>
        <w:t>OPTIONAL</w:t>
      </w:r>
    </w:p>
    <w:p w14:paraId="64596EED" w14:textId="1651F2FD" w:rsidR="007337FB" w:rsidRPr="00FA0D37" w:rsidRDefault="00204A0D" w:rsidP="00FA0D37">
      <w:pPr>
        <w:pStyle w:val="PL"/>
      </w:pPr>
      <w:r w:rsidRPr="00FA0D37">
        <w:t>}</w:t>
      </w:r>
    </w:p>
    <w:p w14:paraId="60E39073" w14:textId="187D7434" w:rsidR="00204A0D" w:rsidRPr="00FA0D37" w:rsidRDefault="00204A0D" w:rsidP="00FA0D37">
      <w:pPr>
        <w:pStyle w:val="PL"/>
      </w:pPr>
    </w:p>
    <w:p w14:paraId="7922C5D4" w14:textId="52ECA6B1" w:rsidR="00963709" w:rsidRPr="00FA0D37" w:rsidRDefault="00963709" w:rsidP="00FA0D37">
      <w:pPr>
        <w:pStyle w:val="PL"/>
      </w:pPr>
      <w:r w:rsidRPr="00FA0D37">
        <w:t xml:space="preserve">UE-NR-Capability-v15j0 ::=               </w:t>
      </w:r>
      <w:r w:rsidRPr="00FA0D37">
        <w:rPr>
          <w:color w:val="993366"/>
        </w:rPr>
        <w:t>SEQUENCE</w:t>
      </w:r>
      <w:r w:rsidRPr="00FA0D37">
        <w:t xml:space="preserve"> {</w:t>
      </w:r>
    </w:p>
    <w:p w14:paraId="460C522C" w14:textId="77777777" w:rsidR="00963709" w:rsidRPr="00FA0D37" w:rsidRDefault="00963709" w:rsidP="00FA0D37">
      <w:pPr>
        <w:pStyle w:val="PL"/>
        <w:rPr>
          <w:color w:val="808080"/>
        </w:rPr>
      </w:pPr>
      <w:r w:rsidRPr="00FA0D37">
        <w:t xml:space="preserve">    </w:t>
      </w:r>
      <w:r w:rsidRPr="00FA0D37">
        <w:rPr>
          <w:color w:val="808080"/>
        </w:rPr>
        <w:t>-- Following field is only for REL-15 late non-critical extensions</w:t>
      </w:r>
    </w:p>
    <w:p w14:paraId="61B93B13" w14:textId="54C569C9" w:rsidR="00963709" w:rsidRPr="00FA0D37" w:rsidRDefault="00963709"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A1C209F" w14:textId="216139E2" w:rsidR="00963709" w:rsidRPr="00FA0D37" w:rsidRDefault="00963709" w:rsidP="00FA0D37">
      <w:pPr>
        <w:pStyle w:val="PL"/>
      </w:pPr>
      <w:r w:rsidRPr="00FA0D37">
        <w:t xml:space="preserve">    nonCriticalExtension                     UE-NR-Capability-v16a0                                       </w:t>
      </w:r>
      <w:r w:rsidRPr="00FA0D37">
        <w:rPr>
          <w:color w:val="993366"/>
        </w:rPr>
        <w:t>OPTIONAL</w:t>
      </w:r>
    </w:p>
    <w:p w14:paraId="441C29A3" w14:textId="77777777" w:rsidR="00963709" w:rsidRPr="00FA0D37" w:rsidRDefault="00963709" w:rsidP="00FA0D37">
      <w:pPr>
        <w:pStyle w:val="PL"/>
      </w:pPr>
      <w:r w:rsidRPr="00FA0D37">
        <w:t>}</w:t>
      </w:r>
    </w:p>
    <w:p w14:paraId="08346C9E" w14:textId="77777777" w:rsidR="00963709" w:rsidRPr="00FA0D37" w:rsidRDefault="00963709" w:rsidP="00FA0D37">
      <w:pPr>
        <w:pStyle w:val="PL"/>
      </w:pPr>
    </w:p>
    <w:p w14:paraId="0714DBC0" w14:textId="24C4A766" w:rsidR="007337FB" w:rsidRPr="00FA0D37" w:rsidRDefault="007337FB" w:rsidP="00FA0D37">
      <w:pPr>
        <w:pStyle w:val="PL"/>
        <w:rPr>
          <w:color w:val="808080"/>
        </w:rPr>
      </w:pPr>
      <w:bookmarkStart w:id="1646" w:name="_Hlk54199402"/>
      <w:r w:rsidRPr="00FA0D37">
        <w:rPr>
          <w:color w:val="808080"/>
        </w:rPr>
        <w:t xml:space="preserve">-- Regular non-critical </w:t>
      </w:r>
      <w:r w:rsidR="003431E3" w:rsidRPr="00FA0D37">
        <w:rPr>
          <w:color w:val="808080"/>
        </w:rPr>
        <w:t xml:space="preserve">Rel-16 </w:t>
      </w:r>
      <w:r w:rsidRPr="00FA0D37">
        <w:rPr>
          <w:color w:val="808080"/>
        </w:rPr>
        <w:t>extensions:</w:t>
      </w:r>
    </w:p>
    <w:p w14:paraId="0C531D7A" w14:textId="1096DFD0" w:rsidR="00394471" w:rsidRPr="00FA0D37" w:rsidRDefault="00394471" w:rsidP="00FA0D37">
      <w:pPr>
        <w:pStyle w:val="PL"/>
      </w:pPr>
      <w:r w:rsidRPr="00FA0D37">
        <w:t xml:space="preserve">UE-NR-Capability-v1610 ::=               </w:t>
      </w:r>
      <w:r w:rsidRPr="00FA0D37">
        <w:rPr>
          <w:color w:val="993366"/>
        </w:rPr>
        <w:t>SEQUENCE</w:t>
      </w:r>
      <w:r w:rsidRPr="00FA0D37">
        <w:t xml:space="preserve"> {</w:t>
      </w:r>
    </w:p>
    <w:p w14:paraId="6B9E7CC7" w14:textId="77777777" w:rsidR="00394471" w:rsidRPr="00FA0D37" w:rsidRDefault="00394471" w:rsidP="00FA0D37">
      <w:pPr>
        <w:pStyle w:val="PL"/>
      </w:pPr>
      <w:r w:rsidRPr="00FA0D37">
        <w:t xml:space="preserve">    inDeviceCoexInd-r16                     </w:t>
      </w:r>
      <w:r w:rsidRPr="00FA0D37">
        <w:rPr>
          <w:color w:val="993366"/>
        </w:rPr>
        <w:t>ENUMERATED</w:t>
      </w:r>
      <w:r w:rsidRPr="00FA0D37">
        <w:t xml:space="preserve"> {supported}                                        </w:t>
      </w:r>
      <w:r w:rsidRPr="00FA0D37">
        <w:rPr>
          <w:color w:val="993366"/>
        </w:rPr>
        <w:t>OPTIONAL</w:t>
      </w:r>
      <w:r w:rsidRPr="00FA0D37">
        <w:t>,</w:t>
      </w:r>
    </w:p>
    <w:p w14:paraId="3A25C59F" w14:textId="77777777" w:rsidR="00394471" w:rsidRPr="00FA0D37" w:rsidRDefault="00394471" w:rsidP="00FA0D37">
      <w:pPr>
        <w:pStyle w:val="PL"/>
      </w:pPr>
      <w:r w:rsidRPr="00FA0D37">
        <w:t xml:space="preserve">    dl-DedicatedMessageSegmentation-r16     </w:t>
      </w:r>
      <w:r w:rsidRPr="00FA0D37">
        <w:rPr>
          <w:color w:val="993366"/>
        </w:rPr>
        <w:t>ENUMERATED</w:t>
      </w:r>
      <w:r w:rsidRPr="00FA0D37">
        <w:t xml:space="preserve"> {supported}                                        </w:t>
      </w:r>
      <w:r w:rsidRPr="00FA0D37">
        <w:rPr>
          <w:color w:val="993366"/>
        </w:rPr>
        <w:t>OPTIONAL</w:t>
      </w:r>
      <w:r w:rsidRPr="00FA0D37">
        <w:t>,</w:t>
      </w:r>
    </w:p>
    <w:p w14:paraId="561B2AD2" w14:textId="77777777" w:rsidR="00394471" w:rsidRPr="00FA0D37" w:rsidRDefault="00394471" w:rsidP="00FA0D37">
      <w:pPr>
        <w:pStyle w:val="PL"/>
      </w:pPr>
      <w:r w:rsidRPr="00FA0D37">
        <w:t xml:space="preserve">    nrdc-Parameters-v1610                   NRDC-Parameters-v1610                                         </w:t>
      </w:r>
      <w:r w:rsidRPr="00FA0D37">
        <w:rPr>
          <w:color w:val="993366"/>
        </w:rPr>
        <w:t>OPTIONAL</w:t>
      </w:r>
      <w:r w:rsidRPr="00FA0D37">
        <w:t>,</w:t>
      </w:r>
    </w:p>
    <w:p w14:paraId="6B468DC2" w14:textId="77777777" w:rsidR="00394471" w:rsidRPr="00FA0D37" w:rsidRDefault="00394471" w:rsidP="00FA0D37">
      <w:pPr>
        <w:pStyle w:val="PL"/>
      </w:pPr>
      <w:r w:rsidRPr="00FA0D37">
        <w:t xml:space="preserve">    powSav-Parameters-r16                   PowSav-Parameters-r16                                         </w:t>
      </w:r>
      <w:r w:rsidRPr="00FA0D37">
        <w:rPr>
          <w:color w:val="993366"/>
        </w:rPr>
        <w:t>OPTIONAL</w:t>
      </w:r>
      <w:r w:rsidRPr="00FA0D37">
        <w:t>,</w:t>
      </w:r>
    </w:p>
    <w:p w14:paraId="0CB932A8" w14:textId="77777777" w:rsidR="00394471" w:rsidRPr="00FA0D37" w:rsidRDefault="00394471" w:rsidP="00FA0D37">
      <w:pPr>
        <w:pStyle w:val="PL"/>
      </w:pPr>
      <w:r w:rsidRPr="00FA0D37">
        <w:t xml:space="preserve">    fr1-Add-UE-NR-Capabilities-v1610        UE-NR-CapabilityAddFRX-Mode-v1610                             </w:t>
      </w:r>
      <w:r w:rsidRPr="00FA0D37">
        <w:rPr>
          <w:color w:val="993366"/>
        </w:rPr>
        <w:t>OPTIONAL</w:t>
      </w:r>
      <w:r w:rsidRPr="00FA0D37">
        <w:t>,</w:t>
      </w:r>
    </w:p>
    <w:p w14:paraId="37D90F27" w14:textId="77777777" w:rsidR="00394471" w:rsidRPr="00FA0D37" w:rsidRDefault="00394471" w:rsidP="00FA0D37">
      <w:pPr>
        <w:pStyle w:val="PL"/>
      </w:pPr>
      <w:r w:rsidRPr="00FA0D37">
        <w:t xml:space="preserve">    fr2-Add-UE-NR-Capabilities-v1610        UE-NR-CapabilityAddFRX-Mode-v1610                             </w:t>
      </w:r>
      <w:r w:rsidRPr="00FA0D37">
        <w:rPr>
          <w:color w:val="993366"/>
        </w:rPr>
        <w:t>OPTIONAL</w:t>
      </w:r>
      <w:r w:rsidRPr="00FA0D37">
        <w:t>,</w:t>
      </w:r>
    </w:p>
    <w:p w14:paraId="1D2726E2" w14:textId="77777777" w:rsidR="00394471" w:rsidRPr="00FA0D37" w:rsidRDefault="00394471" w:rsidP="00FA0D37">
      <w:pPr>
        <w:pStyle w:val="PL"/>
      </w:pPr>
      <w:r w:rsidRPr="00FA0D37">
        <w:t xml:space="preserve">    bh-RLF-Indication-r16                   </w:t>
      </w:r>
      <w:r w:rsidRPr="00FA0D37">
        <w:rPr>
          <w:color w:val="993366"/>
        </w:rPr>
        <w:t>ENUMERATED</w:t>
      </w:r>
      <w:r w:rsidRPr="00FA0D37">
        <w:t xml:space="preserve"> {supported}                                        </w:t>
      </w:r>
      <w:r w:rsidRPr="00FA0D37">
        <w:rPr>
          <w:color w:val="993366"/>
        </w:rPr>
        <w:t>OPTIONAL</w:t>
      </w:r>
      <w:r w:rsidRPr="00FA0D37">
        <w:t>,</w:t>
      </w:r>
    </w:p>
    <w:p w14:paraId="020B6C2B" w14:textId="77777777" w:rsidR="00394471" w:rsidRPr="00FA0D37" w:rsidRDefault="00394471" w:rsidP="00FA0D37">
      <w:pPr>
        <w:pStyle w:val="PL"/>
      </w:pPr>
      <w:r w:rsidRPr="00FA0D37">
        <w:t xml:space="preserve">    directSN-AdditionFirstRRC-IAB-r16       </w:t>
      </w:r>
      <w:r w:rsidRPr="00FA0D37">
        <w:rPr>
          <w:color w:val="993366"/>
        </w:rPr>
        <w:t>ENUMERATED</w:t>
      </w:r>
      <w:r w:rsidRPr="00FA0D37">
        <w:t xml:space="preserve"> {supported}                                        </w:t>
      </w:r>
      <w:r w:rsidRPr="00FA0D37">
        <w:rPr>
          <w:color w:val="993366"/>
        </w:rPr>
        <w:t>OPTIONAL</w:t>
      </w:r>
      <w:r w:rsidRPr="00FA0D37">
        <w:t>,</w:t>
      </w:r>
    </w:p>
    <w:p w14:paraId="0B416CB7" w14:textId="77777777" w:rsidR="00394471" w:rsidRPr="00FA0D37" w:rsidRDefault="00394471" w:rsidP="00FA0D37">
      <w:pPr>
        <w:pStyle w:val="PL"/>
      </w:pPr>
      <w:r w:rsidRPr="00FA0D37">
        <w:t xml:space="preserve">    bap-Parameters-r16                      BAP-Parameters-r16                                            </w:t>
      </w:r>
      <w:r w:rsidRPr="00FA0D37">
        <w:rPr>
          <w:color w:val="993366"/>
        </w:rPr>
        <w:t>OPTIONAL</w:t>
      </w:r>
      <w:r w:rsidRPr="00FA0D37">
        <w:t>,</w:t>
      </w:r>
    </w:p>
    <w:p w14:paraId="67F459B5" w14:textId="77777777" w:rsidR="00394471" w:rsidRPr="00FA0D37" w:rsidRDefault="00394471" w:rsidP="00FA0D37">
      <w:pPr>
        <w:pStyle w:val="PL"/>
      </w:pPr>
      <w:r w:rsidRPr="00FA0D37">
        <w:t xml:space="preserve">    referenceTimeProvision-r16              </w:t>
      </w:r>
      <w:r w:rsidRPr="00FA0D37">
        <w:rPr>
          <w:color w:val="993366"/>
        </w:rPr>
        <w:t>ENUMERATED</w:t>
      </w:r>
      <w:r w:rsidRPr="00FA0D37">
        <w:t xml:space="preserve"> {supported}                                        </w:t>
      </w:r>
      <w:r w:rsidRPr="00FA0D37">
        <w:rPr>
          <w:color w:val="993366"/>
        </w:rPr>
        <w:t>OPTIONAL</w:t>
      </w:r>
      <w:r w:rsidRPr="00FA0D37">
        <w:t>,</w:t>
      </w:r>
    </w:p>
    <w:p w14:paraId="2422728D" w14:textId="77777777" w:rsidR="00394471" w:rsidRPr="00FA0D37" w:rsidRDefault="00394471" w:rsidP="00FA0D37">
      <w:pPr>
        <w:pStyle w:val="PL"/>
      </w:pPr>
      <w:r w:rsidRPr="00FA0D37">
        <w:t xml:space="preserve">    sidelinkParameters-r16                  SidelinkParameters-r16                                        </w:t>
      </w:r>
      <w:r w:rsidRPr="00FA0D37">
        <w:rPr>
          <w:color w:val="993366"/>
        </w:rPr>
        <w:t>OPTIONAL</w:t>
      </w:r>
      <w:r w:rsidRPr="00FA0D37">
        <w:t>,</w:t>
      </w:r>
    </w:p>
    <w:p w14:paraId="589154CD" w14:textId="77777777" w:rsidR="00394471" w:rsidRPr="00FA0D37" w:rsidRDefault="00394471" w:rsidP="00FA0D37">
      <w:pPr>
        <w:pStyle w:val="PL"/>
      </w:pPr>
      <w:r w:rsidRPr="00FA0D37">
        <w:t xml:space="preserve">    highSpeedParameters-r16                 HighSpeedParameters-r16                                       </w:t>
      </w:r>
      <w:r w:rsidRPr="00FA0D37">
        <w:rPr>
          <w:color w:val="993366"/>
        </w:rPr>
        <w:t>OPTIONAL</w:t>
      </w:r>
      <w:r w:rsidRPr="00FA0D37">
        <w:t>,</w:t>
      </w:r>
    </w:p>
    <w:p w14:paraId="5A6F248C" w14:textId="77777777" w:rsidR="00394471" w:rsidRPr="00FA0D37" w:rsidRDefault="00394471" w:rsidP="00FA0D37">
      <w:pPr>
        <w:pStyle w:val="PL"/>
      </w:pPr>
      <w:r w:rsidRPr="00FA0D37">
        <w:t xml:space="preserve">    mac-Parameters-v1610                    MAC-Parameters-v1610                                          </w:t>
      </w:r>
      <w:r w:rsidRPr="00FA0D37">
        <w:rPr>
          <w:color w:val="993366"/>
        </w:rPr>
        <w:t>OPTIONAL</w:t>
      </w:r>
      <w:r w:rsidRPr="00FA0D37">
        <w:t>,</w:t>
      </w:r>
    </w:p>
    <w:p w14:paraId="74D9F429" w14:textId="77777777" w:rsidR="00394471" w:rsidRPr="00FA0D37" w:rsidRDefault="00394471" w:rsidP="00FA0D37">
      <w:pPr>
        <w:pStyle w:val="PL"/>
      </w:pPr>
      <w:r w:rsidRPr="00FA0D37">
        <w:t xml:space="preserve">    mcgRLF-RecoveryViaSCG-r16               </w:t>
      </w:r>
      <w:r w:rsidRPr="00FA0D37">
        <w:rPr>
          <w:color w:val="993366"/>
        </w:rPr>
        <w:t>ENUMERATED</w:t>
      </w:r>
      <w:r w:rsidRPr="00FA0D37">
        <w:t xml:space="preserve"> {supported}                                        </w:t>
      </w:r>
      <w:r w:rsidRPr="00FA0D37">
        <w:rPr>
          <w:color w:val="993366"/>
        </w:rPr>
        <w:t>OPTIONAL</w:t>
      </w:r>
      <w:r w:rsidRPr="00FA0D37">
        <w:t>,</w:t>
      </w:r>
    </w:p>
    <w:p w14:paraId="6878B8E9" w14:textId="77777777" w:rsidR="00394471" w:rsidRPr="00FA0D37" w:rsidRDefault="00394471" w:rsidP="00FA0D37">
      <w:pPr>
        <w:pStyle w:val="PL"/>
      </w:pPr>
      <w:r w:rsidRPr="00FA0D37">
        <w:t xml:space="preserve">    resumeWithStoredMCG-SCells-r16          </w:t>
      </w:r>
      <w:r w:rsidRPr="00FA0D37">
        <w:rPr>
          <w:color w:val="993366"/>
        </w:rPr>
        <w:t>ENUMERATED</w:t>
      </w:r>
      <w:r w:rsidRPr="00FA0D37">
        <w:t xml:space="preserve"> {supported}                                        </w:t>
      </w:r>
      <w:r w:rsidRPr="00FA0D37">
        <w:rPr>
          <w:color w:val="993366"/>
        </w:rPr>
        <w:t>OPTIONAL</w:t>
      </w:r>
      <w:r w:rsidRPr="00FA0D37">
        <w:t>,</w:t>
      </w:r>
    </w:p>
    <w:p w14:paraId="7A5AB1C3" w14:textId="77777777" w:rsidR="00394471" w:rsidRPr="00FA0D37" w:rsidRDefault="00394471" w:rsidP="00FA0D37">
      <w:pPr>
        <w:pStyle w:val="PL"/>
      </w:pPr>
      <w:r w:rsidRPr="00FA0D37">
        <w:t xml:space="preserve">    resumeWithStoredSCG-r16                 </w:t>
      </w:r>
      <w:r w:rsidRPr="00FA0D37">
        <w:rPr>
          <w:color w:val="993366"/>
        </w:rPr>
        <w:t>ENUMERATED</w:t>
      </w:r>
      <w:r w:rsidRPr="00FA0D37">
        <w:t xml:space="preserve"> {supported}                                        </w:t>
      </w:r>
      <w:r w:rsidRPr="00FA0D37">
        <w:rPr>
          <w:color w:val="993366"/>
        </w:rPr>
        <w:t>OPTIONAL</w:t>
      </w:r>
      <w:r w:rsidRPr="00FA0D37">
        <w:t>,</w:t>
      </w:r>
    </w:p>
    <w:p w14:paraId="04626DFF" w14:textId="77777777" w:rsidR="00394471" w:rsidRPr="00FA0D37" w:rsidRDefault="00394471" w:rsidP="00FA0D37">
      <w:pPr>
        <w:pStyle w:val="PL"/>
      </w:pPr>
      <w:r w:rsidRPr="00FA0D37">
        <w:t xml:space="preserve">    resumeWithSCG-Config-r16                </w:t>
      </w:r>
      <w:r w:rsidRPr="00FA0D37">
        <w:rPr>
          <w:color w:val="993366"/>
        </w:rPr>
        <w:t>ENUMERATED</w:t>
      </w:r>
      <w:r w:rsidRPr="00FA0D37">
        <w:t xml:space="preserve"> {supported}                                        </w:t>
      </w:r>
      <w:r w:rsidRPr="00FA0D37">
        <w:rPr>
          <w:color w:val="993366"/>
        </w:rPr>
        <w:t>OPTIONAL</w:t>
      </w:r>
      <w:r w:rsidRPr="00FA0D37">
        <w:t>,</w:t>
      </w:r>
    </w:p>
    <w:p w14:paraId="4F226F55" w14:textId="77777777" w:rsidR="00394471" w:rsidRPr="00FA0D37" w:rsidRDefault="00394471" w:rsidP="00FA0D37">
      <w:pPr>
        <w:pStyle w:val="PL"/>
      </w:pPr>
      <w:r w:rsidRPr="00FA0D37">
        <w:t xml:space="preserve">    ue-BasedPerfMeas-Parameters-r16         UE-BasedPerfMeas-Parameters-r16                               </w:t>
      </w:r>
      <w:r w:rsidRPr="00FA0D37">
        <w:rPr>
          <w:color w:val="993366"/>
        </w:rPr>
        <w:t>OPTIONAL</w:t>
      </w:r>
      <w:r w:rsidRPr="00FA0D37">
        <w:t>,</w:t>
      </w:r>
    </w:p>
    <w:p w14:paraId="7715E359" w14:textId="77777777" w:rsidR="00394471" w:rsidRPr="00FA0D37" w:rsidRDefault="00394471" w:rsidP="00FA0D37">
      <w:pPr>
        <w:pStyle w:val="PL"/>
      </w:pPr>
      <w:r w:rsidRPr="00FA0D37">
        <w:t xml:space="preserve">    son-Parameters-r16                      SON-Parameters-r16                                            </w:t>
      </w:r>
      <w:r w:rsidRPr="00FA0D37">
        <w:rPr>
          <w:color w:val="993366"/>
        </w:rPr>
        <w:t>OPTIONAL</w:t>
      </w:r>
      <w:r w:rsidRPr="00FA0D37">
        <w:t>,</w:t>
      </w:r>
    </w:p>
    <w:p w14:paraId="1DBFB483" w14:textId="77777777" w:rsidR="00394471" w:rsidRPr="00FA0D37" w:rsidRDefault="00394471" w:rsidP="00FA0D37">
      <w:pPr>
        <w:pStyle w:val="PL"/>
      </w:pPr>
      <w:r w:rsidRPr="00FA0D37">
        <w:t xml:space="preserve">    onDemandSIB-Connected-r16               </w:t>
      </w:r>
      <w:r w:rsidRPr="00FA0D37">
        <w:rPr>
          <w:color w:val="993366"/>
        </w:rPr>
        <w:t>ENUMERATED</w:t>
      </w:r>
      <w:r w:rsidRPr="00FA0D37">
        <w:t xml:space="preserve"> {supported}                                        </w:t>
      </w:r>
      <w:r w:rsidRPr="00FA0D37">
        <w:rPr>
          <w:color w:val="993366"/>
        </w:rPr>
        <w:t>OPTIONAL</w:t>
      </w:r>
      <w:r w:rsidRPr="00FA0D37">
        <w:t>,</w:t>
      </w:r>
    </w:p>
    <w:p w14:paraId="5E7CBDB6" w14:textId="12950EFB" w:rsidR="00394471" w:rsidRPr="00FA0D37" w:rsidRDefault="00394471" w:rsidP="00FA0D37">
      <w:pPr>
        <w:pStyle w:val="PL"/>
      </w:pPr>
      <w:r w:rsidRPr="00FA0D37">
        <w:t xml:space="preserve">    nonCriticalExtension                    </w:t>
      </w:r>
      <w:r w:rsidR="00E4398E" w:rsidRPr="00FA0D37">
        <w:t>UE-NR-Capability-v</w:t>
      </w:r>
      <w:r w:rsidR="000C2783" w:rsidRPr="00FA0D37">
        <w:t>1640</w:t>
      </w:r>
      <w:r w:rsidRPr="00FA0D37">
        <w:t xml:space="preserve">                                        </w:t>
      </w:r>
      <w:r w:rsidRPr="00FA0D37">
        <w:rPr>
          <w:color w:val="993366"/>
        </w:rPr>
        <w:t>OPTIONAL</w:t>
      </w:r>
    </w:p>
    <w:p w14:paraId="7286CAD4" w14:textId="77777777" w:rsidR="00394471" w:rsidRPr="00FA0D37" w:rsidRDefault="00394471" w:rsidP="00FA0D37">
      <w:pPr>
        <w:pStyle w:val="PL"/>
      </w:pPr>
      <w:r w:rsidRPr="00FA0D37">
        <w:t>}</w:t>
      </w:r>
    </w:p>
    <w:p w14:paraId="38200D72" w14:textId="77777777" w:rsidR="00394471" w:rsidRPr="00FA0D37" w:rsidRDefault="00394471" w:rsidP="00FA0D37">
      <w:pPr>
        <w:pStyle w:val="PL"/>
      </w:pPr>
    </w:p>
    <w:bookmarkEnd w:id="1646"/>
    <w:p w14:paraId="72CE7483" w14:textId="2396E29D" w:rsidR="00E4398E" w:rsidRPr="00FA0D37" w:rsidRDefault="00E4398E" w:rsidP="00FA0D37">
      <w:pPr>
        <w:pStyle w:val="PL"/>
      </w:pPr>
      <w:r w:rsidRPr="00FA0D37">
        <w:t>UE-NR-Capability-v</w:t>
      </w:r>
      <w:r w:rsidR="000C2783" w:rsidRPr="00FA0D37">
        <w:t>1640</w:t>
      </w:r>
      <w:r w:rsidRPr="00FA0D37">
        <w:t xml:space="preserve"> ::=               </w:t>
      </w:r>
      <w:r w:rsidRPr="00FA0D37">
        <w:rPr>
          <w:color w:val="993366"/>
        </w:rPr>
        <w:t>SEQUENCE</w:t>
      </w:r>
      <w:r w:rsidRPr="00FA0D37">
        <w:t xml:space="preserve"> {</w:t>
      </w:r>
    </w:p>
    <w:p w14:paraId="7558AEDC" w14:textId="77777777" w:rsidR="00E4398E" w:rsidRPr="00FA0D37" w:rsidRDefault="00E4398E" w:rsidP="00FA0D37">
      <w:pPr>
        <w:pStyle w:val="PL"/>
      </w:pPr>
      <w:r w:rsidRPr="00FA0D37">
        <w:t xml:space="preserve">    redirectAtResumeByNAS-r16               </w:t>
      </w:r>
      <w:r w:rsidRPr="00FA0D37">
        <w:rPr>
          <w:color w:val="993366"/>
        </w:rPr>
        <w:t>ENUMERATED</w:t>
      </w:r>
      <w:r w:rsidRPr="00FA0D37">
        <w:t xml:space="preserve"> {supported}                                        </w:t>
      </w:r>
      <w:r w:rsidRPr="00FA0D37">
        <w:rPr>
          <w:color w:val="993366"/>
        </w:rPr>
        <w:t>OPTIONAL</w:t>
      </w:r>
      <w:r w:rsidRPr="00FA0D37">
        <w:t>,</w:t>
      </w:r>
    </w:p>
    <w:p w14:paraId="11DFC45C" w14:textId="562FF59E" w:rsidR="00D649D6" w:rsidRPr="00FA0D37" w:rsidRDefault="00D649D6" w:rsidP="00FA0D37">
      <w:pPr>
        <w:pStyle w:val="PL"/>
      </w:pPr>
      <w:r w:rsidRPr="00FA0D37">
        <w:t xml:space="preserve">    phy-ParametersSharedSpectrumChAccess-r16  Phy-ParametersSharedSpectrumChAccess-r16                    </w:t>
      </w:r>
      <w:r w:rsidRPr="00FA0D37">
        <w:rPr>
          <w:color w:val="993366"/>
        </w:rPr>
        <w:t>OPTIONAL</w:t>
      </w:r>
      <w:r w:rsidRPr="00FA0D37">
        <w:t>,</w:t>
      </w:r>
    </w:p>
    <w:p w14:paraId="66393611" w14:textId="2548C92D" w:rsidR="00E4398E" w:rsidRPr="00FA0D37" w:rsidRDefault="00E4398E" w:rsidP="00FA0D37">
      <w:pPr>
        <w:pStyle w:val="PL"/>
      </w:pPr>
      <w:r w:rsidRPr="00FA0D37">
        <w:t xml:space="preserve">    nonCriticalExtension                    </w:t>
      </w:r>
      <w:r w:rsidR="00D15B0E" w:rsidRPr="00FA0D37">
        <w:t>UE-NR-Capability-v16</w:t>
      </w:r>
      <w:r w:rsidR="001F631E" w:rsidRPr="00FA0D37">
        <w:t>50</w:t>
      </w:r>
      <w:r w:rsidRPr="00FA0D37">
        <w:t xml:space="preserve">                                        </w:t>
      </w:r>
      <w:r w:rsidRPr="00FA0D37">
        <w:rPr>
          <w:color w:val="993366"/>
        </w:rPr>
        <w:t>OPTIONAL</w:t>
      </w:r>
    </w:p>
    <w:p w14:paraId="324DCC78" w14:textId="77777777" w:rsidR="00D15B0E" w:rsidRPr="00FA0D37" w:rsidRDefault="00E4398E" w:rsidP="00FA0D37">
      <w:pPr>
        <w:pStyle w:val="PL"/>
      </w:pPr>
      <w:r w:rsidRPr="00FA0D37">
        <w:t>}</w:t>
      </w:r>
    </w:p>
    <w:p w14:paraId="6DA9DF5F" w14:textId="77777777" w:rsidR="00D15B0E" w:rsidRPr="00FA0D37" w:rsidRDefault="00D15B0E" w:rsidP="00FA0D37">
      <w:pPr>
        <w:pStyle w:val="PL"/>
      </w:pPr>
    </w:p>
    <w:p w14:paraId="28EB402A" w14:textId="20DCBC21" w:rsidR="00D15B0E" w:rsidRPr="00FA0D37" w:rsidRDefault="00D15B0E" w:rsidP="00FA0D37">
      <w:pPr>
        <w:pStyle w:val="PL"/>
      </w:pPr>
      <w:r w:rsidRPr="00FA0D37">
        <w:t>UE-NR-Capability-v16</w:t>
      </w:r>
      <w:r w:rsidR="001F631E" w:rsidRPr="00FA0D37">
        <w:t>50</w:t>
      </w:r>
      <w:r w:rsidRPr="00FA0D37">
        <w:t xml:space="preserve"> ::=               </w:t>
      </w:r>
      <w:r w:rsidRPr="00FA0D37">
        <w:rPr>
          <w:color w:val="993366"/>
        </w:rPr>
        <w:t>SEQUENCE</w:t>
      </w:r>
      <w:r w:rsidRPr="00FA0D37">
        <w:t xml:space="preserve"> {</w:t>
      </w:r>
    </w:p>
    <w:p w14:paraId="64096073" w14:textId="77777777" w:rsidR="00D15B0E" w:rsidRPr="00FA0D37" w:rsidRDefault="00D15B0E" w:rsidP="00FA0D37">
      <w:pPr>
        <w:pStyle w:val="PL"/>
      </w:pPr>
      <w:r w:rsidRPr="00FA0D37">
        <w:t xml:space="preserve">    mpsPriorityIndication-r16                </w:t>
      </w:r>
      <w:r w:rsidRPr="00FA0D37">
        <w:rPr>
          <w:color w:val="993366"/>
        </w:rPr>
        <w:t>ENUMERATED</w:t>
      </w:r>
      <w:r w:rsidRPr="00FA0D37">
        <w:t xml:space="preserve"> {supported}                                       </w:t>
      </w:r>
      <w:r w:rsidRPr="00FA0D37">
        <w:rPr>
          <w:color w:val="993366"/>
        </w:rPr>
        <w:t>OPTIONAL</w:t>
      </w:r>
      <w:r w:rsidRPr="00FA0D37">
        <w:t>,</w:t>
      </w:r>
    </w:p>
    <w:p w14:paraId="1485C7C6" w14:textId="0B3843F9" w:rsidR="004B3FEB" w:rsidRPr="00FA0D37" w:rsidRDefault="004B3FEB" w:rsidP="00FA0D37">
      <w:pPr>
        <w:pStyle w:val="PL"/>
      </w:pPr>
      <w:r w:rsidRPr="00FA0D37">
        <w:t xml:space="preserve">    highSpeedParameters-v16</w:t>
      </w:r>
      <w:r w:rsidR="001F631E" w:rsidRPr="00FA0D37">
        <w:t>50</w:t>
      </w:r>
      <w:r w:rsidRPr="00FA0D37">
        <w:t xml:space="preserve">                HighSpeedParameters-v16</w:t>
      </w:r>
      <w:r w:rsidR="001F631E" w:rsidRPr="00FA0D37">
        <w:t>50</w:t>
      </w:r>
      <w:r w:rsidRPr="00FA0D37">
        <w:t xml:space="preserve">                                    </w:t>
      </w:r>
      <w:r w:rsidRPr="00FA0D37">
        <w:rPr>
          <w:color w:val="993366"/>
        </w:rPr>
        <w:t>OPTIONAL</w:t>
      </w:r>
      <w:r w:rsidRPr="00FA0D37">
        <w:t>,</w:t>
      </w:r>
    </w:p>
    <w:p w14:paraId="56C609C5" w14:textId="038051E4" w:rsidR="00D15B0E" w:rsidRPr="00FA0D37" w:rsidRDefault="00D15B0E" w:rsidP="00FA0D37">
      <w:pPr>
        <w:pStyle w:val="PL"/>
      </w:pPr>
      <w:r w:rsidRPr="00FA0D37">
        <w:t xml:space="preserve">    nonCriticalExtension                     </w:t>
      </w:r>
      <w:r w:rsidR="0091616E" w:rsidRPr="00FA0D37">
        <w:t>UE-NR-Capability-v1</w:t>
      </w:r>
      <w:r w:rsidR="003A5AEE" w:rsidRPr="00FA0D37">
        <w:t>69</w:t>
      </w:r>
      <w:r w:rsidR="0091616E" w:rsidRPr="00FA0D37">
        <w:t>0</w:t>
      </w:r>
      <w:r w:rsidRPr="00FA0D37">
        <w:t xml:space="preserve">                                       </w:t>
      </w:r>
      <w:r w:rsidRPr="00FA0D37">
        <w:rPr>
          <w:color w:val="993366"/>
        </w:rPr>
        <w:t>OPTIONAL</w:t>
      </w:r>
    </w:p>
    <w:p w14:paraId="3BDC05AA" w14:textId="0671BD49" w:rsidR="00E4398E" w:rsidRPr="00FA0D37" w:rsidRDefault="00D15B0E" w:rsidP="00FA0D37">
      <w:pPr>
        <w:pStyle w:val="PL"/>
      </w:pPr>
      <w:r w:rsidRPr="00FA0D37">
        <w:t>}</w:t>
      </w:r>
    </w:p>
    <w:p w14:paraId="2F2872C6" w14:textId="77777777" w:rsidR="00C84E00" w:rsidRPr="00FA0D37" w:rsidRDefault="00C84E00" w:rsidP="00FA0D37">
      <w:pPr>
        <w:pStyle w:val="PL"/>
      </w:pPr>
    </w:p>
    <w:p w14:paraId="3DC7E774" w14:textId="1A5CFE7E" w:rsidR="00C84E00" w:rsidRPr="00FA0D37" w:rsidRDefault="00C84E00" w:rsidP="00FA0D37">
      <w:pPr>
        <w:pStyle w:val="PL"/>
      </w:pPr>
      <w:r w:rsidRPr="00FA0D37">
        <w:lastRenderedPageBreak/>
        <w:t xml:space="preserve">UE-NR-Capability-v1690 ::=               </w:t>
      </w:r>
      <w:r w:rsidRPr="00FA0D37">
        <w:rPr>
          <w:color w:val="993366"/>
        </w:rPr>
        <w:t>SEQUENCE</w:t>
      </w:r>
      <w:r w:rsidRPr="00FA0D37">
        <w:t xml:space="preserve"> {</w:t>
      </w:r>
    </w:p>
    <w:p w14:paraId="39071898" w14:textId="40CE82F4" w:rsidR="00C84E00" w:rsidRPr="00FA0D37" w:rsidRDefault="00C84E00" w:rsidP="00FA0D37">
      <w:pPr>
        <w:pStyle w:val="PL"/>
      </w:pPr>
      <w:r w:rsidRPr="00FA0D37">
        <w:t xml:space="preserve">    ul-RRC-Segmentation-r16                  </w:t>
      </w:r>
      <w:r w:rsidRPr="00FA0D37">
        <w:rPr>
          <w:color w:val="993366"/>
        </w:rPr>
        <w:t>ENUMERATED</w:t>
      </w:r>
      <w:r w:rsidRPr="00FA0D37">
        <w:t xml:space="preserve"> {supported}                                       </w:t>
      </w:r>
      <w:r w:rsidRPr="00FA0D37">
        <w:rPr>
          <w:color w:val="993366"/>
        </w:rPr>
        <w:t>OPTIONAL</w:t>
      </w:r>
      <w:r w:rsidRPr="00FA0D37">
        <w:t>,</w:t>
      </w:r>
    </w:p>
    <w:p w14:paraId="604755AF" w14:textId="5B5AE895" w:rsidR="00C84E00" w:rsidRPr="00FA0D37" w:rsidRDefault="00C84E00" w:rsidP="00FA0D37">
      <w:pPr>
        <w:pStyle w:val="PL"/>
      </w:pPr>
      <w:r w:rsidRPr="00FA0D37">
        <w:t xml:space="preserve">    nonCriticalExtension                     UE-NR-Capability-v1700                                       </w:t>
      </w:r>
      <w:r w:rsidRPr="00FA0D37">
        <w:rPr>
          <w:color w:val="993366"/>
        </w:rPr>
        <w:t>OPTIONAL</w:t>
      </w:r>
    </w:p>
    <w:p w14:paraId="2BAF0BF1" w14:textId="77777777" w:rsidR="00C84E00" w:rsidRPr="00FA0D37" w:rsidRDefault="00C84E00" w:rsidP="00FA0D37">
      <w:pPr>
        <w:pStyle w:val="PL"/>
      </w:pPr>
      <w:r w:rsidRPr="00FA0D37">
        <w:t>}</w:t>
      </w:r>
    </w:p>
    <w:p w14:paraId="503ECDE8" w14:textId="77777777" w:rsidR="003431E3" w:rsidRPr="00FA0D37" w:rsidRDefault="003431E3" w:rsidP="00FA0D37">
      <w:pPr>
        <w:pStyle w:val="PL"/>
      </w:pPr>
    </w:p>
    <w:p w14:paraId="146E1852" w14:textId="77777777" w:rsidR="003431E3" w:rsidRPr="00FA0D37" w:rsidRDefault="003431E3" w:rsidP="00FA0D37">
      <w:pPr>
        <w:pStyle w:val="PL"/>
        <w:rPr>
          <w:color w:val="808080"/>
        </w:rPr>
      </w:pPr>
      <w:r w:rsidRPr="00FA0D37">
        <w:rPr>
          <w:color w:val="808080"/>
        </w:rPr>
        <w:t>-- Late non-critical extensions from Rel-16 onwards:</w:t>
      </w:r>
    </w:p>
    <w:p w14:paraId="5EA7CFDD" w14:textId="77777777" w:rsidR="003431E3" w:rsidRPr="00FA0D37" w:rsidRDefault="003431E3" w:rsidP="00FA0D37">
      <w:pPr>
        <w:pStyle w:val="PL"/>
      </w:pPr>
      <w:r w:rsidRPr="00FA0D37">
        <w:t xml:space="preserve">UE-NR-Capability-v16a0 ::=               </w:t>
      </w:r>
      <w:r w:rsidRPr="00FA0D37">
        <w:rPr>
          <w:color w:val="993366"/>
        </w:rPr>
        <w:t>SEQUENCE</w:t>
      </w:r>
      <w:r w:rsidRPr="00FA0D37">
        <w:t xml:space="preserve"> {</w:t>
      </w:r>
    </w:p>
    <w:p w14:paraId="66DE3576" w14:textId="77777777" w:rsidR="003431E3" w:rsidRPr="00FA0D37" w:rsidRDefault="003431E3" w:rsidP="00FA0D37">
      <w:pPr>
        <w:pStyle w:val="PL"/>
      </w:pPr>
      <w:r w:rsidRPr="00FA0D37">
        <w:t xml:space="preserve">    phy-Parameters-v16a0                     Phy-Parameters-v16a0                                         </w:t>
      </w:r>
      <w:r w:rsidRPr="00FA0D37">
        <w:rPr>
          <w:color w:val="993366"/>
        </w:rPr>
        <w:t>OPTIONAL</w:t>
      </w:r>
      <w:r w:rsidRPr="00FA0D37">
        <w:t>,</w:t>
      </w:r>
    </w:p>
    <w:p w14:paraId="75B5EA72" w14:textId="77777777" w:rsidR="003431E3" w:rsidRPr="00FA0D37" w:rsidRDefault="003431E3" w:rsidP="00FA0D37">
      <w:pPr>
        <w:pStyle w:val="PL"/>
      </w:pPr>
      <w:r w:rsidRPr="00FA0D37">
        <w:t xml:space="preserve">    rf-Parameters-v16a0                      RF-Parameters-v16a0                                          </w:t>
      </w:r>
      <w:r w:rsidRPr="00FA0D37">
        <w:rPr>
          <w:color w:val="993366"/>
        </w:rPr>
        <w:t>OPTIONAL</w:t>
      </w:r>
      <w:r w:rsidRPr="00FA0D37">
        <w:t>,</w:t>
      </w:r>
    </w:p>
    <w:p w14:paraId="5EF01DE9" w14:textId="751F877A" w:rsidR="003431E3" w:rsidRPr="00FA0D37" w:rsidRDefault="003431E3" w:rsidP="00FA0D37">
      <w:pPr>
        <w:pStyle w:val="PL"/>
      </w:pPr>
      <w:r w:rsidRPr="00FA0D37">
        <w:t xml:space="preserve">    nonCriticalExtension                     </w:t>
      </w:r>
      <w:r w:rsidR="00632063" w:rsidRPr="00FA0D37">
        <w:t xml:space="preserve">UE-NR-Capability-v16c0                                       </w:t>
      </w:r>
      <w:r w:rsidR="00632063" w:rsidRPr="00FA0D37">
        <w:rPr>
          <w:color w:val="993366"/>
        </w:rPr>
        <w:t>OPTIONAL</w:t>
      </w:r>
    </w:p>
    <w:p w14:paraId="3CB84F48" w14:textId="77777777" w:rsidR="003431E3" w:rsidRPr="00FA0D37" w:rsidRDefault="003431E3" w:rsidP="00FA0D37">
      <w:pPr>
        <w:pStyle w:val="PL"/>
      </w:pPr>
      <w:r w:rsidRPr="00FA0D37">
        <w:t>}</w:t>
      </w:r>
    </w:p>
    <w:p w14:paraId="0C787B9D" w14:textId="77777777" w:rsidR="00632063" w:rsidRPr="00FA0D37" w:rsidRDefault="00632063" w:rsidP="00FA0D37">
      <w:pPr>
        <w:pStyle w:val="PL"/>
      </w:pPr>
    </w:p>
    <w:p w14:paraId="052AEC10" w14:textId="77777777" w:rsidR="00632063" w:rsidRPr="00FA0D37" w:rsidRDefault="00632063" w:rsidP="00FA0D37">
      <w:pPr>
        <w:pStyle w:val="PL"/>
      </w:pPr>
      <w:r w:rsidRPr="00FA0D37">
        <w:t xml:space="preserve">UE-NR-Capability-v16c0 ::=               </w:t>
      </w:r>
      <w:r w:rsidRPr="00FA0D37">
        <w:rPr>
          <w:color w:val="993366"/>
        </w:rPr>
        <w:t>SEQUENCE</w:t>
      </w:r>
      <w:r w:rsidRPr="00FA0D37">
        <w:t xml:space="preserve"> {</w:t>
      </w:r>
    </w:p>
    <w:p w14:paraId="5AAED3DD" w14:textId="77777777" w:rsidR="00632063" w:rsidRPr="00FA0D37" w:rsidRDefault="00632063" w:rsidP="00FA0D37">
      <w:pPr>
        <w:pStyle w:val="PL"/>
      </w:pPr>
      <w:r w:rsidRPr="00FA0D37">
        <w:t xml:space="preserve">    rf-Parameters-v16c0                      RF-Parameters-v16c0                                          </w:t>
      </w:r>
      <w:r w:rsidRPr="00FA0D37">
        <w:rPr>
          <w:color w:val="993366"/>
        </w:rPr>
        <w:t>OPTIONAL</w:t>
      </w:r>
      <w:r w:rsidRPr="00FA0D37">
        <w:t>,</w:t>
      </w:r>
    </w:p>
    <w:p w14:paraId="0002AC04" w14:textId="49F9559E" w:rsidR="00632063" w:rsidRPr="00FA0D37" w:rsidRDefault="00632063" w:rsidP="00FA0D37">
      <w:pPr>
        <w:pStyle w:val="PL"/>
      </w:pPr>
      <w:r w:rsidRPr="00FA0D37">
        <w:t xml:space="preserve">    nonCriticalExtension                     </w:t>
      </w:r>
      <w:r w:rsidR="00D647FD" w:rsidRPr="00FA0D37">
        <w:t>UE-NR-Capability-v16d0</w:t>
      </w:r>
      <w:r w:rsidRPr="00FA0D37">
        <w:t xml:space="preserve">                                       </w:t>
      </w:r>
      <w:r w:rsidRPr="00FA0D37">
        <w:rPr>
          <w:color w:val="993366"/>
        </w:rPr>
        <w:t>OPTIONAL</w:t>
      </w:r>
    </w:p>
    <w:p w14:paraId="7B80CD2E" w14:textId="77777777" w:rsidR="00D647FD" w:rsidRPr="00FA0D37" w:rsidRDefault="00632063" w:rsidP="00FA0D37">
      <w:pPr>
        <w:pStyle w:val="PL"/>
      </w:pPr>
      <w:r w:rsidRPr="00FA0D37">
        <w:t>}</w:t>
      </w:r>
    </w:p>
    <w:p w14:paraId="174C5F1D" w14:textId="77777777" w:rsidR="00D647FD" w:rsidRPr="00FA0D37" w:rsidRDefault="00D647FD" w:rsidP="00FA0D37">
      <w:pPr>
        <w:pStyle w:val="PL"/>
      </w:pPr>
    </w:p>
    <w:p w14:paraId="67E9A9AF" w14:textId="64815265" w:rsidR="00D647FD" w:rsidRPr="00FA0D37" w:rsidRDefault="00D647FD" w:rsidP="00FA0D37">
      <w:pPr>
        <w:pStyle w:val="PL"/>
      </w:pPr>
      <w:r w:rsidRPr="00FA0D37">
        <w:t xml:space="preserve">UE-NR-Capability-v16d0 ::=               </w:t>
      </w:r>
      <w:r w:rsidRPr="00FA0D37">
        <w:rPr>
          <w:color w:val="993366"/>
        </w:rPr>
        <w:t>SEQUENCE</w:t>
      </w:r>
      <w:r w:rsidRPr="00FA0D37">
        <w:t xml:space="preserve"> {</w:t>
      </w:r>
    </w:p>
    <w:p w14:paraId="0A1F89BA" w14:textId="1F4E2C34" w:rsidR="00D647FD" w:rsidRPr="00FA0D37" w:rsidRDefault="00D647FD" w:rsidP="00FA0D37">
      <w:pPr>
        <w:pStyle w:val="PL"/>
      </w:pPr>
      <w:r w:rsidRPr="00FA0D37">
        <w:t xml:space="preserve">    featureSets-v16d0                        FeatureSets-v16d0                                            </w:t>
      </w:r>
      <w:r w:rsidRPr="00FA0D37">
        <w:rPr>
          <w:color w:val="993366"/>
        </w:rPr>
        <w:t>OPTIONAL</w:t>
      </w:r>
      <w:r w:rsidRPr="00FA0D37">
        <w:t>,</w:t>
      </w:r>
    </w:p>
    <w:p w14:paraId="76F34E4D" w14:textId="3217DA18" w:rsidR="00D647FD" w:rsidRPr="00FA0D37" w:rsidRDefault="00D647FD"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2AEB7BB8" w14:textId="6F0FE6D7" w:rsidR="00E4398E" w:rsidRPr="00FA0D37" w:rsidRDefault="00D647FD" w:rsidP="00FA0D37">
      <w:pPr>
        <w:pStyle w:val="PL"/>
      </w:pPr>
      <w:r w:rsidRPr="00FA0D37">
        <w:t>}</w:t>
      </w:r>
    </w:p>
    <w:p w14:paraId="5D0F51E2" w14:textId="77777777" w:rsidR="00632063" w:rsidRPr="00FA0D37" w:rsidRDefault="00632063" w:rsidP="00FA0D37">
      <w:pPr>
        <w:pStyle w:val="PL"/>
      </w:pPr>
    </w:p>
    <w:p w14:paraId="2C3EE414" w14:textId="59D06405" w:rsidR="003431E3" w:rsidRPr="00FA0D37" w:rsidRDefault="003431E3" w:rsidP="00FA0D37">
      <w:pPr>
        <w:pStyle w:val="PL"/>
        <w:rPr>
          <w:color w:val="808080"/>
        </w:rPr>
      </w:pPr>
      <w:r w:rsidRPr="00FA0D37">
        <w:rPr>
          <w:color w:val="808080"/>
        </w:rPr>
        <w:t>-- Regular non-critical Rel-17 extensions:</w:t>
      </w:r>
    </w:p>
    <w:p w14:paraId="365946FF" w14:textId="2BB0D9E0" w:rsidR="0091616E" w:rsidRPr="00FA0D37" w:rsidRDefault="0091616E" w:rsidP="00FA0D37">
      <w:pPr>
        <w:pStyle w:val="PL"/>
      </w:pPr>
      <w:r w:rsidRPr="00FA0D37">
        <w:t>UE-NR-Capability-v17</w:t>
      </w:r>
      <w:r w:rsidR="00F51935" w:rsidRPr="00FA0D37">
        <w:t>00</w:t>
      </w:r>
      <w:r w:rsidRPr="00FA0D37">
        <w:t xml:space="preserve"> ::=               </w:t>
      </w:r>
      <w:r w:rsidRPr="00FA0D37">
        <w:rPr>
          <w:color w:val="993366"/>
        </w:rPr>
        <w:t>SEQUENCE</w:t>
      </w:r>
      <w:r w:rsidRPr="00FA0D37">
        <w:t xml:space="preserve"> {</w:t>
      </w:r>
    </w:p>
    <w:p w14:paraId="1A057F61" w14:textId="72C828DC" w:rsidR="0091616E" w:rsidRPr="00FA0D37" w:rsidRDefault="0091616E" w:rsidP="00FA0D37">
      <w:pPr>
        <w:pStyle w:val="PL"/>
      </w:pPr>
      <w:r w:rsidRPr="00FA0D37">
        <w:t xml:space="preserve">    inactiveStatePO-Determination-r17        </w:t>
      </w:r>
      <w:r w:rsidRPr="00FA0D37">
        <w:rPr>
          <w:color w:val="993366"/>
        </w:rPr>
        <w:t>ENUMERATED</w:t>
      </w:r>
      <w:r w:rsidRPr="00FA0D37">
        <w:t xml:space="preserve"> {supported}                                       </w:t>
      </w:r>
      <w:r w:rsidRPr="00FA0D37">
        <w:rPr>
          <w:color w:val="993366"/>
        </w:rPr>
        <w:t>OPTIONAL</w:t>
      </w:r>
      <w:r w:rsidRPr="00FA0D37">
        <w:t>,</w:t>
      </w:r>
    </w:p>
    <w:p w14:paraId="1052F065" w14:textId="7F1AE32C" w:rsidR="000264BF" w:rsidRPr="00FA0D37" w:rsidRDefault="000264BF" w:rsidP="00FA0D37">
      <w:pPr>
        <w:pStyle w:val="PL"/>
      </w:pPr>
      <w:r w:rsidRPr="00FA0D37">
        <w:t xml:space="preserve">    highSpeedParameters-v1700                HighSpeedParameters-v1700                                    </w:t>
      </w:r>
      <w:r w:rsidRPr="00FA0D37">
        <w:rPr>
          <w:color w:val="993366"/>
        </w:rPr>
        <w:t>OPTIONAL</w:t>
      </w:r>
      <w:r w:rsidRPr="00FA0D37">
        <w:t>,</w:t>
      </w:r>
    </w:p>
    <w:p w14:paraId="58DD159A" w14:textId="0900BCB0" w:rsidR="000264BF" w:rsidRPr="00FA0D37" w:rsidRDefault="000264BF" w:rsidP="00FA0D37">
      <w:pPr>
        <w:pStyle w:val="PL"/>
      </w:pPr>
      <w:r w:rsidRPr="00FA0D37">
        <w:t xml:space="preserve">    powSav-Parameters-v1700                  PowSav-Parameters-v1700                                      </w:t>
      </w:r>
      <w:r w:rsidRPr="00FA0D37">
        <w:rPr>
          <w:color w:val="993366"/>
        </w:rPr>
        <w:t>OPTIONAL</w:t>
      </w:r>
      <w:r w:rsidRPr="00FA0D37">
        <w:t>,</w:t>
      </w:r>
    </w:p>
    <w:p w14:paraId="349296A7" w14:textId="69A270F6" w:rsidR="000264BF" w:rsidRPr="00FA0D37" w:rsidRDefault="000264BF" w:rsidP="00FA0D37">
      <w:pPr>
        <w:pStyle w:val="PL"/>
      </w:pPr>
      <w:r w:rsidRPr="00FA0D37">
        <w:t xml:space="preserve">    mac-Parameters-v1700                     MAC-Parameters-v1700                                         </w:t>
      </w:r>
      <w:r w:rsidRPr="00FA0D37">
        <w:rPr>
          <w:color w:val="993366"/>
        </w:rPr>
        <w:t>OPTIONAL</w:t>
      </w:r>
      <w:r w:rsidRPr="00FA0D37">
        <w:t>,</w:t>
      </w:r>
    </w:p>
    <w:p w14:paraId="76AA591C" w14:textId="35707CD0" w:rsidR="000264BF" w:rsidRPr="00FA0D37" w:rsidRDefault="000264BF" w:rsidP="00FA0D37">
      <w:pPr>
        <w:pStyle w:val="PL"/>
      </w:pPr>
      <w:r w:rsidRPr="00FA0D37">
        <w:t xml:space="preserve">    ims-Parameters-v1700                     IMS-Parameters-v1700                                         </w:t>
      </w:r>
      <w:r w:rsidRPr="00FA0D37">
        <w:rPr>
          <w:color w:val="993366"/>
        </w:rPr>
        <w:t>OPTIONAL</w:t>
      </w:r>
      <w:r w:rsidRPr="00FA0D37">
        <w:t>,</w:t>
      </w:r>
    </w:p>
    <w:p w14:paraId="00297C37" w14:textId="55E79408" w:rsidR="000264BF" w:rsidRPr="00FA0D37" w:rsidRDefault="000264BF" w:rsidP="00FA0D37">
      <w:pPr>
        <w:pStyle w:val="PL"/>
      </w:pPr>
      <w:r w:rsidRPr="00FA0D37">
        <w:t xml:space="preserve">    measAndMobParameters-v1700               MeasAndMobParameters-v1700,</w:t>
      </w:r>
    </w:p>
    <w:p w14:paraId="528EF2F7" w14:textId="1C3081F8" w:rsidR="000264BF" w:rsidRPr="00FA0D37" w:rsidRDefault="000264BF" w:rsidP="00FA0D37">
      <w:pPr>
        <w:pStyle w:val="PL"/>
      </w:pPr>
      <w:r w:rsidRPr="00FA0D37">
        <w:t xml:space="preserve">    </w:t>
      </w:r>
      <w:r w:rsidR="00C24B82" w:rsidRPr="00FA0D37">
        <w:t>appLayerMeas</w:t>
      </w:r>
      <w:r w:rsidRPr="00FA0D37">
        <w:t xml:space="preserve">Parameters-r17               </w:t>
      </w:r>
      <w:r w:rsidR="00C24B82" w:rsidRPr="00FA0D37">
        <w:t>AppLayerMeas</w:t>
      </w:r>
      <w:r w:rsidRPr="00FA0D37">
        <w:t xml:space="preserve">Parameters-r17                                   </w:t>
      </w:r>
      <w:r w:rsidRPr="00FA0D37">
        <w:rPr>
          <w:color w:val="993366"/>
        </w:rPr>
        <w:t>OPTIONAL</w:t>
      </w:r>
      <w:r w:rsidRPr="00FA0D37">
        <w:t>,</w:t>
      </w:r>
    </w:p>
    <w:p w14:paraId="510BD548" w14:textId="77777777" w:rsidR="000264BF" w:rsidRPr="00FA0D37" w:rsidRDefault="000264BF" w:rsidP="00FA0D37">
      <w:pPr>
        <w:pStyle w:val="PL"/>
      </w:pPr>
      <w:r w:rsidRPr="00FA0D37">
        <w:t xml:space="preserve">    redCapParameters-r17                     RedCapParameters-r17                                         </w:t>
      </w:r>
      <w:r w:rsidRPr="00FA0D37">
        <w:rPr>
          <w:color w:val="993366"/>
        </w:rPr>
        <w:t>OPTIONAL</w:t>
      </w:r>
      <w:r w:rsidRPr="00FA0D37">
        <w:t>,</w:t>
      </w:r>
    </w:p>
    <w:p w14:paraId="4E02146E" w14:textId="77777777" w:rsidR="000264BF" w:rsidRPr="00FA0D37" w:rsidRDefault="000264BF" w:rsidP="00FA0D37">
      <w:pPr>
        <w:pStyle w:val="PL"/>
      </w:pPr>
      <w:r w:rsidRPr="00FA0D37">
        <w:t xml:space="preserve">    ra-SDT-r17                               </w:t>
      </w:r>
      <w:r w:rsidRPr="00FA0D37">
        <w:rPr>
          <w:color w:val="993366"/>
        </w:rPr>
        <w:t>ENUMERATED</w:t>
      </w:r>
      <w:r w:rsidRPr="00FA0D37">
        <w:t xml:space="preserve"> {supported}                                       </w:t>
      </w:r>
      <w:r w:rsidRPr="00FA0D37">
        <w:rPr>
          <w:color w:val="993366"/>
        </w:rPr>
        <w:t>OPTIONAL</w:t>
      </w:r>
      <w:r w:rsidRPr="00FA0D37">
        <w:t>,</w:t>
      </w:r>
    </w:p>
    <w:p w14:paraId="40D6A1AB" w14:textId="77777777" w:rsidR="000264BF" w:rsidRPr="00FA0D37" w:rsidRDefault="000264BF" w:rsidP="00FA0D37">
      <w:pPr>
        <w:pStyle w:val="PL"/>
      </w:pPr>
      <w:r w:rsidRPr="00FA0D37">
        <w:t xml:space="preserve">    srb-SDT-r17                              </w:t>
      </w:r>
      <w:r w:rsidRPr="00FA0D37">
        <w:rPr>
          <w:color w:val="993366"/>
        </w:rPr>
        <w:t>ENUMERATED</w:t>
      </w:r>
      <w:r w:rsidRPr="00FA0D37">
        <w:t xml:space="preserve"> {supported}                                       </w:t>
      </w:r>
      <w:r w:rsidRPr="00FA0D37">
        <w:rPr>
          <w:color w:val="993366"/>
        </w:rPr>
        <w:t>OPTIONAL</w:t>
      </w:r>
      <w:r w:rsidRPr="00FA0D37">
        <w:t>,</w:t>
      </w:r>
    </w:p>
    <w:p w14:paraId="0504F192" w14:textId="0684148C" w:rsidR="000264BF" w:rsidRPr="00FA0D37" w:rsidRDefault="000264BF" w:rsidP="00FA0D37">
      <w:pPr>
        <w:pStyle w:val="PL"/>
      </w:pPr>
      <w:r w:rsidRPr="00FA0D37">
        <w:t xml:space="preserve">    gNB-SideRTT-BasedPDC-r17                 </w:t>
      </w:r>
      <w:r w:rsidRPr="00FA0D37">
        <w:rPr>
          <w:color w:val="993366"/>
        </w:rPr>
        <w:t>ENUMERATED</w:t>
      </w:r>
      <w:r w:rsidRPr="00FA0D37">
        <w:t xml:space="preserve"> {supported}                                       </w:t>
      </w:r>
      <w:r w:rsidRPr="00FA0D37">
        <w:rPr>
          <w:color w:val="993366"/>
        </w:rPr>
        <w:t>OPTIONAL</w:t>
      </w:r>
      <w:r w:rsidRPr="00FA0D37">
        <w:t>,</w:t>
      </w:r>
    </w:p>
    <w:p w14:paraId="29B4165A" w14:textId="0BF6C67D" w:rsidR="000264BF" w:rsidRPr="00FA0D37" w:rsidRDefault="000264BF" w:rsidP="00FA0D37">
      <w:pPr>
        <w:pStyle w:val="PL"/>
      </w:pPr>
      <w:r w:rsidRPr="00FA0D37">
        <w:t xml:space="preserve">    bh-RLF-Detection</w:t>
      </w:r>
      <w:r w:rsidR="002C7704" w:rsidRPr="00FA0D37">
        <w:t>Recovery</w:t>
      </w:r>
      <w:r w:rsidRPr="00FA0D37">
        <w:t xml:space="preserve">-Indication-r17  </w:t>
      </w:r>
      <w:r w:rsidRPr="00FA0D37">
        <w:rPr>
          <w:color w:val="993366"/>
        </w:rPr>
        <w:t>ENUMERATED</w:t>
      </w:r>
      <w:r w:rsidRPr="00FA0D37">
        <w:t xml:space="preserve"> {supported}                                       </w:t>
      </w:r>
      <w:r w:rsidRPr="00FA0D37">
        <w:rPr>
          <w:color w:val="993366"/>
        </w:rPr>
        <w:t>OPTIONAL</w:t>
      </w:r>
      <w:r w:rsidRPr="00FA0D37">
        <w:t>,</w:t>
      </w:r>
    </w:p>
    <w:p w14:paraId="7CCA49E4" w14:textId="13D7B6C5" w:rsidR="000264BF" w:rsidRPr="00FA0D37" w:rsidRDefault="000264BF" w:rsidP="00FA0D37">
      <w:pPr>
        <w:pStyle w:val="PL"/>
      </w:pPr>
      <w:r w:rsidRPr="00FA0D37">
        <w:t xml:space="preserve">    nrdc-Parameters-v1700                    NRDC-Parameters-v1700                                        </w:t>
      </w:r>
      <w:r w:rsidRPr="00FA0D37">
        <w:rPr>
          <w:color w:val="993366"/>
        </w:rPr>
        <w:t>OPTIONAL</w:t>
      </w:r>
      <w:r w:rsidRPr="00FA0D37">
        <w:t>,</w:t>
      </w:r>
    </w:p>
    <w:p w14:paraId="7781AFCD" w14:textId="0FB0C4F5" w:rsidR="000264BF" w:rsidRPr="00FA0D37" w:rsidRDefault="000264BF" w:rsidP="00FA0D37">
      <w:pPr>
        <w:pStyle w:val="PL"/>
      </w:pPr>
      <w:r w:rsidRPr="00FA0D37">
        <w:t xml:space="preserve">    bap-Parameters-v1700                     BAP-Parameters-v1700                                         </w:t>
      </w:r>
      <w:r w:rsidRPr="00FA0D37">
        <w:rPr>
          <w:color w:val="993366"/>
        </w:rPr>
        <w:t>OPTIONAL</w:t>
      </w:r>
      <w:r w:rsidRPr="00FA0D37">
        <w:t>,</w:t>
      </w:r>
    </w:p>
    <w:p w14:paraId="454254F7" w14:textId="15295027" w:rsidR="000264BF" w:rsidRPr="00FA0D37" w:rsidRDefault="000264BF" w:rsidP="00FA0D37">
      <w:pPr>
        <w:pStyle w:val="PL"/>
      </w:pPr>
      <w:r w:rsidRPr="00FA0D37">
        <w:t xml:space="preserve">    musim</w:t>
      </w:r>
      <w:r w:rsidR="001E5F8F" w:rsidRPr="00FA0D37">
        <w:t>-</w:t>
      </w:r>
      <w:r w:rsidRPr="00FA0D37">
        <w:t xml:space="preserve">GapPreference-r17                  </w:t>
      </w:r>
      <w:r w:rsidRPr="00FA0D37">
        <w:rPr>
          <w:color w:val="993366"/>
        </w:rPr>
        <w:t>ENUMERATED</w:t>
      </w:r>
      <w:r w:rsidRPr="00FA0D37">
        <w:t xml:space="preserve"> {supported}                                       </w:t>
      </w:r>
      <w:r w:rsidRPr="00FA0D37">
        <w:rPr>
          <w:color w:val="993366"/>
        </w:rPr>
        <w:t>OPTIONAL</w:t>
      </w:r>
      <w:r w:rsidRPr="00FA0D37">
        <w:t>,</w:t>
      </w:r>
    </w:p>
    <w:p w14:paraId="1CC26D8F" w14:textId="20716660" w:rsidR="000264BF" w:rsidRPr="00FA0D37" w:rsidRDefault="000264BF" w:rsidP="00FA0D37">
      <w:pPr>
        <w:pStyle w:val="PL"/>
      </w:pPr>
      <w:r w:rsidRPr="00FA0D37">
        <w:t xml:space="preserve">    musimLeaveConnected-r17                  </w:t>
      </w:r>
      <w:r w:rsidRPr="00FA0D37">
        <w:rPr>
          <w:color w:val="993366"/>
        </w:rPr>
        <w:t>ENUMERATED</w:t>
      </w:r>
      <w:r w:rsidRPr="00FA0D37">
        <w:t xml:space="preserve"> {supported}                                       </w:t>
      </w:r>
      <w:r w:rsidRPr="00FA0D37">
        <w:rPr>
          <w:color w:val="993366"/>
        </w:rPr>
        <w:t>OPTIONAL</w:t>
      </w:r>
      <w:r w:rsidRPr="00FA0D37">
        <w:t>,</w:t>
      </w:r>
    </w:p>
    <w:p w14:paraId="69F1DB04" w14:textId="36DF951D" w:rsidR="000264BF" w:rsidRPr="00FA0D37" w:rsidRDefault="000264BF" w:rsidP="00FA0D37">
      <w:pPr>
        <w:pStyle w:val="PL"/>
      </w:pPr>
      <w:r w:rsidRPr="00FA0D37">
        <w:t xml:space="preserve">    mbs-Parameters-r17                       MBS-Parameters-r17,</w:t>
      </w:r>
    </w:p>
    <w:p w14:paraId="7E6C2102" w14:textId="1954F14C" w:rsidR="000264BF" w:rsidRPr="00FA0D37" w:rsidRDefault="000264BF" w:rsidP="00FA0D37">
      <w:pPr>
        <w:pStyle w:val="PL"/>
      </w:pPr>
      <w:r w:rsidRPr="00FA0D37">
        <w:t xml:space="preserve">    nonTerrestrialNetwork-r17                </w:t>
      </w:r>
      <w:r w:rsidRPr="00FA0D37">
        <w:rPr>
          <w:color w:val="993366"/>
        </w:rPr>
        <w:t>ENUMERATED</w:t>
      </w:r>
      <w:r w:rsidRPr="00FA0D37">
        <w:t xml:space="preserve"> {supported}                                       </w:t>
      </w:r>
      <w:r w:rsidRPr="00FA0D37">
        <w:rPr>
          <w:color w:val="993366"/>
        </w:rPr>
        <w:t>OPTIONAL</w:t>
      </w:r>
      <w:r w:rsidRPr="00FA0D37">
        <w:t>,</w:t>
      </w:r>
    </w:p>
    <w:p w14:paraId="153B53E6" w14:textId="0DD7F1F9" w:rsidR="000264BF" w:rsidRPr="00FA0D37" w:rsidRDefault="000264BF" w:rsidP="00FA0D37">
      <w:pPr>
        <w:pStyle w:val="PL"/>
      </w:pPr>
      <w:r w:rsidRPr="00FA0D37">
        <w:t xml:space="preserve">    ntn-ScenarioSupport-r17                  </w:t>
      </w:r>
      <w:r w:rsidRPr="00FA0D37">
        <w:rPr>
          <w:color w:val="993366"/>
        </w:rPr>
        <w:t>ENUMERATED</w:t>
      </w:r>
      <w:r w:rsidRPr="00FA0D37">
        <w:t xml:space="preserve"> {gso, ngso}                                       </w:t>
      </w:r>
      <w:r w:rsidRPr="00FA0D37">
        <w:rPr>
          <w:color w:val="993366"/>
        </w:rPr>
        <w:t>OPTIONAL</w:t>
      </w:r>
      <w:r w:rsidRPr="00FA0D37">
        <w:t>,</w:t>
      </w:r>
    </w:p>
    <w:p w14:paraId="61114853" w14:textId="643366CF" w:rsidR="000264BF" w:rsidRPr="00FA0D37" w:rsidRDefault="000264BF" w:rsidP="00FA0D37">
      <w:pPr>
        <w:pStyle w:val="PL"/>
      </w:pPr>
      <w:r w:rsidRPr="00FA0D37">
        <w:t xml:space="preserve">    sliceInfoforCellReselection-r17          </w:t>
      </w:r>
      <w:r w:rsidRPr="00FA0D37">
        <w:rPr>
          <w:color w:val="993366"/>
        </w:rPr>
        <w:t>ENUMERATED</w:t>
      </w:r>
      <w:r w:rsidRPr="00FA0D37">
        <w:t xml:space="preserve"> {supported}                                       </w:t>
      </w:r>
      <w:r w:rsidRPr="00FA0D37">
        <w:rPr>
          <w:color w:val="993366"/>
        </w:rPr>
        <w:t>OPTIONAL</w:t>
      </w:r>
      <w:r w:rsidRPr="00FA0D37">
        <w:t>,</w:t>
      </w:r>
    </w:p>
    <w:p w14:paraId="650D41E2" w14:textId="35954C5C" w:rsidR="002C7704" w:rsidRPr="00FA0D37" w:rsidRDefault="002C7704" w:rsidP="00FA0D37">
      <w:pPr>
        <w:pStyle w:val="PL"/>
      </w:pPr>
      <w:r w:rsidRPr="00FA0D37">
        <w:t xml:space="preserve">    ue-RadioPagingInfo-r17                   UE-RadioPagingInfo-r17                                       </w:t>
      </w:r>
      <w:r w:rsidRPr="00FA0D37">
        <w:rPr>
          <w:color w:val="993366"/>
        </w:rPr>
        <w:t>OPTIONAL</w:t>
      </w:r>
      <w:r w:rsidRPr="00FA0D37">
        <w:t>,</w:t>
      </w:r>
    </w:p>
    <w:p w14:paraId="48A554E7" w14:textId="77777777" w:rsidR="002C7704" w:rsidRPr="00FA0D37" w:rsidRDefault="002C7704" w:rsidP="00FA0D37">
      <w:pPr>
        <w:pStyle w:val="PL"/>
        <w:rPr>
          <w:color w:val="808080"/>
        </w:rPr>
      </w:pPr>
      <w:r w:rsidRPr="00FA0D37">
        <w:t xml:space="preserve">    </w:t>
      </w:r>
      <w:r w:rsidRPr="00FA0D37">
        <w:rPr>
          <w:color w:val="808080"/>
        </w:rPr>
        <w:t>-- R4 17-2 UL gap pattern for Tx power management</w:t>
      </w:r>
    </w:p>
    <w:p w14:paraId="09B6EC53" w14:textId="77777777" w:rsidR="002C7704" w:rsidRPr="00FA0D37" w:rsidRDefault="002C7704" w:rsidP="00FA0D37">
      <w:pPr>
        <w:pStyle w:val="PL"/>
      </w:pPr>
      <w:r w:rsidRPr="00FA0D37">
        <w:t xml:space="preserve">    ul-GapFR2-Pattern-r17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                                        </w:t>
      </w:r>
      <w:r w:rsidRPr="00FA0D37">
        <w:rPr>
          <w:color w:val="993366"/>
        </w:rPr>
        <w:t>OPTIONAL</w:t>
      </w:r>
      <w:r w:rsidRPr="00FA0D37">
        <w:t>,</w:t>
      </w:r>
    </w:p>
    <w:p w14:paraId="61F2D6E2" w14:textId="0458D837" w:rsidR="002C7704" w:rsidRPr="00FA0D37" w:rsidRDefault="002C7704" w:rsidP="00FA0D37">
      <w:pPr>
        <w:pStyle w:val="PL"/>
      </w:pPr>
      <w:r w:rsidRPr="00FA0D37">
        <w:t xml:space="preserve">    ntn-Parameters-r17                       NTN-Parameters-r17                                           </w:t>
      </w:r>
      <w:r w:rsidRPr="00FA0D37">
        <w:rPr>
          <w:color w:val="993366"/>
        </w:rPr>
        <w:t>OPTIONAL</w:t>
      </w:r>
      <w:r w:rsidRPr="00FA0D37">
        <w:t>,</w:t>
      </w:r>
    </w:p>
    <w:p w14:paraId="5FF45E70" w14:textId="10D91F26" w:rsidR="0091616E" w:rsidRPr="00FA0D37" w:rsidRDefault="0091616E" w:rsidP="00FA0D37">
      <w:pPr>
        <w:pStyle w:val="PL"/>
      </w:pPr>
      <w:r w:rsidRPr="00FA0D37">
        <w:t xml:space="preserve">    nonCriticalExtension                     </w:t>
      </w:r>
      <w:r w:rsidR="0082073B" w:rsidRPr="00FA0D37">
        <w:t>UE-NR-Capability-v1740</w:t>
      </w:r>
      <w:r w:rsidRPr="00FA0D37">
        <w:t xml:space="preserve">                                       </w:t>
      </w:r>
      <w:r w:rsidRPr="00FA0D37">
        <w:rPr>
          <w:color w:val="993366"/>
        </w:rPr>
        <w:t>OPTIONAL</w:t>
      </w:r>
    </w:p>
    <w:p w14:paraId="3E3E5BCE" w14:textId="77777777" w:rsidR="0082073B" w:rsidRPr="00FA0D37" w:rsidRDefault="0091616E" w:rsidP="00FA0D37">
      <w:pPr>
        <w:pStyle w:val="PL"/>
      </w:pPr>
      <w:r w:rsidRPr="00FA0D37">
        <w:t>}</w:t>
      </w:r>
    </w:p>
    <w:p w14:paraId="7954B5EA" w14:textId="77777777" w:rsidR="0082073B" w:rsidRPr="00FA0D37" w:rsidRDefault="0082073B" w:rsidP="00FA0D37">
      <w:pPr>
        <w:pStyle w:val="PL"/>
      </w:pPr>
    </w:p>
    <w:p w14:paraId="41D3C82C" w14:textId="5A01FE5D" w:rsidR="0082073B" w:rsidRPr="00FA0D37" w:rsidRDefault="0082073B" w:rsidP="00FA0D37">
      <w:pPr>
        <w:pStyle w:val="PL"/>
      </w:pPr>
      <w:r w:rsidRPr="00FA0D37">
        <w:lastRenderedPageBreak/>
        <w:t xml:space="preserve">UE-NR-Capability-v1740 ::=               </w:t>
      </w:r>
      <w:r w:rsidRPr="00FA0D37">
        <w:rPr>
          <w:color w:val="993366"/>
        </w:rPr>
        <w:t>SEQUENCE</w:t>
      </w:r>
      <w:r w:rsidRPr="00FA0D37">
        <w:t xml:space="preserve"> {</w:t>
      </w:r>
    </w:p>
    <w:p w14:paraId="3635B914" w14:textId="0BE6D8F3" w:rsidR="006658B2" w:rsidRPr="00FA0D37" w:rsidRDefault="006658B2" w:rsidP="00FA0D37">
      <w:pPr>
        <w:pStyle w:val="PL"/>
      </w:pPr>
      <w:r w:rsidRPr="00FA0D37">
        <w:t xml:space="preserve">    </w:t>
      </w:r>
      <w:bookmarkStart w:id="1647" w:name="_Hlk130562710"/>
      <w:r w:rsidRPr="00FA0D37">
        <w:t>redCapParameters-v1740                   RedCapParameters-v1740,</w:t>
      </w:r>
    </w:p>
    <w:bookmarkEnd w:id="1647"/>
    <w:p w14:paraId="12C7E9CC" w14:textId="78372ED4" w:rsidR="0082073B" w:rsidRPr="00FA0D37" w:rsidRDefault="0082073B" w:rsidP="00FA0D37">
      <w:pPr>
        <w:pStyle w:val="PL"/>
      </w:pPr>
      <w:r w:rsidRPr="00FA0D37">
        <w:t xml:space="preserve">    nonCriticalExtension                     </w:t>
      </w:r>
      <w:r w:rsidR="009A73F3" w:rsidRPr="00FA0D37">
        <w:t>UE-NR-Capability-v1750</w:t>
      </w:r>
      <w:r w:rsidRPr="00FA0D37">
        <w:t xml:space="preserve">                                       </w:t>
      </w:r>
      <w:r w:rsidRPr="00FA0D37">
        <w:rPr>
          <w:color w:val="993366"/>
        </w:rPr>
        <w:t>OPTIONAL</w:t>
      </w:r>
    </w:p>
    <w:p w14:paraId="614AEA31" w14:textId="1A60F561" w:rsidR="0091616E" w:rsidRPr="00FA0D37" w:rsidRDefault="0082073B" w:rsidP="00FA0D37">
      <w:pPr>
        <w:pStyle w:val="PL"/>
      </w:pPr>
      <w:r w:rsidRPr="00FA0D37">
        <w:t>}</w:t>
      </w:r>
    </w:p>
    <w:p w14:paraId="6D1CC706" w14:textId="77777777" w:rsidR="003475B1" w:rsidRPr="00FA0D37" w:rsidRDefault="003475B1" w:rsidP="00FA0D37">
      <w:pPr>
        <w:pStyle w:val="PL"/>
      </w:pPr>
    </w:p>
    <w:p w14:paraId="040C1211" w14:textId="34E9EB4D" w:rsidR="003475B1" w:rsidRPr="00FA0D37" w:rsidRDefault="003475B1" w:rsidP="00FA0D37">
      <w:pPr>
        <w:pStyle w:val="PL"/>
      </w:pPr>
      <w:r w:rsidRPr="00FA0D37">
        <w:t xml:space="preserve">UE-NR-Capability-v1750 ::=               </w:t>
      </w:r>
      <w:r w:rsidRPr="00FA0D37">
        <w:rPr>
          <w:color w:val="993366"/>
        </w:rPr>
        <w:t>SEQUENCE</w:t>
      </w:r>
      <w:r w:rsidRPr="00FA0D37">
        <w:t xml:space="preserve"> {</w:t>
      </w:r>
    </w:p>
    <w:p w14:paraId="5E1DC468" w14:textId="731AB4B8" w:rsidR="003475B1" w:rsidRPr="00FA0D37" w:rsidRDefault="003475B1" w:rsidP="00FA0D37">
      <w:pPr>
        <w:pStyle w:val="PL"/>
      </w:pPr>
      <w:r w:rsidRPr="00FA0D37">
        <w:t xml:space="preserve">    crossCarrierSchedulingConfigurationRelease-r17  </w:t>
      </w:r>
      <w:r w:rsidRPr="00FA0D37">
        <w:rPr>
          <w:color w:val="993366"/>
        </w:rPr>
        <w:t>ENUMERATED</w:t>
      </w:r>
      <w:r w:rsidRPr="00FA0D37">
        <w:t xml:space="preserve"> {supported}                                </w:t>
      </w:r>
      <w:r w:rsidRPr="00FA0D37">
        <w:rPr>
          <w:color w:val="993366"/>
        </w:rPr>
        <w:t>OPTIONAL</w:t>
      </w:r>
      <w:r w:rsidRPr="00FA0D37">
        <w:t>,</w:t>
      </w:r>
    </w:p>
    <w:p w14:paraId="3704A665" w14:textId="58D93D89" w:rsidR="003475B1" w:rsidRPr="00FA0D37" w:rsidRDefault="003475B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24BAA04B" w14:textId="487037A6" w:rsidR="0091616E" w:rsidRPr="00FA0D37" w:rsidRDefault="003475B1" w:rsidP="00FA0D37">
      <w:pPr>
        <w:pStyle w:val="PL"/>
      </w:pPr>
      <w:r w:rsidRPr="00FA0D37">
        <w:t>}</w:t>
      </w:r>
    </w:p>
    <w:p w14:paraId="219B21E3" w14:textId="77777777" w:rsidR="003475B1" w:rsidRPr="00FA0D37" w:rsidRDefault="003475B1" w:rsidP="00FA0D37">
      <w:pPr>
        <w:pStyle w:val="PL"/>
      </w:pPr>
    </w:p>
    <w:p w14:paraId="40B08D94" w14:textId="3D6278EC" w:rsidR="00394471" w:rsidRPr="00FA0D37" w:rsidRDefault="00394471" w:rsidP="00FA0D37">
      <w:pPr>
        <w:pStyle w:val="PL"/>
      </w:pPr>
      <w:r w:rsidRPr="00FA0D37">
        <w:t xml:space="preserve">UE-NR-CapabilityAddXDD-Mode ::=         </w:t>
      </w:r>
      <w:r w:rsidR="006658B2" w:rsidRPr="00FA0D37">
        <w:t xml:space="preserve"> </w:t>
      </w:r>
      <w:r w:rsidRPr="00FA0D37">
        <w:rPr>
          <w:color w:val="993366"/>
        </w:rPr>
        <w:t>SEQUENCE</w:t>
      </w:r>
      <w:r w:rsidRPr="00FA0D37">
        <w:t xml:space="preserve"> {</w:t>
      </w:r>
    </w:p>
    <w:p w14:paraId="50344553" w14:textId="321D9275" w:rsidR="00394471" w:rsidRPr="00FA0D37" w:rsidRDefault="00394471" w:rsidP="00FA0D37">
      <w:pPr>
        <w:pStyle w:val="PL"/>
      </w:pPr>
      <w:r w:rsidRPr="00FA0D37">
        <w:t xml:space="preserve">    phy-ParametersXDD-Diff                  </w:t>
      </w:r>
      <w:r w:rsidR="006658B2" w:rsidRPr="00FA0D37">
        <w:t xml:space="preserve"> </w:t>
      </w:r>
      <w:r w:rsidRPr="00FA0D37">
        <w:t xml:space="preserve">Phy-ParametersXDD-Diff                                       </w:t>
      </w:r>
      <w:r w:rsidRPr="00FA0D37">
        <w:rPr>
          <w:color w:val="993366"/>
        </w:rPr>
        <w:t>OPTIONAL</w:t>
      </w:r>
      <w:r w:rsidRPr="00FA0D37">
        <w:t>,</w:t>
      </w:r>
    </w:p>
    <w:p w14:paraId="005463D6" w14:textId="3388647A" w:rsidR="00394471" w:rsidRPr="00FA0D37" w:rsidRDefault="00394471" w:rsidP="00FA0D37">
      <w:pPr>
        <w:pStyle w:val="PL"/>
      </w:pPr>
      <w:r w:rsidRPr="00FA0D37">
        <w:t xml:space="preserve">    mac-ParametersXDD-Diff                  </w:t>
      </w:r>
      <w:r w:rsidR="006658B2" w:rsidRPr="00FA0D37">
        <w:t xml:space="preserve"> </w:t>
      </w:r>
      <w:r w:rsidRPr="00FA0D37">
        <w:t xml:space="preserve">MAC-ParametersXDD-Diff                                       </w:t>
      </w:r>
      <w:r w:rsidRPr="00FA0D37">
        <w:rPr>
          <w:color w:val="993366"/>
        </w:rPr>
        <w:t>OPTIONAL</w:t>
      </w:r>
      <w:r w:rsidRPr="00FA0D37">
        <w:t>,</w:t>
      </w:r>
    </w:p>
    <w:p w14:paraId="4086C4AF" w14:textId="12836B39" w:rsidR="00394471" w:rsidRPr="00FA0D37" w:rsidRDefault="00394471" w:rsidP="00FA0D37">
      <w:pPr>
        <w:pStyle w:val="PL"/>
      </w:pPr>
      <w:r w:rsidRPr="00FA0D37">
        <w:t xml:space="preserve">    measAndMobParametersXDD-Diff            </w:t>
      </w:r>
      <w:r w:rsidR="006658B2" w:rsidRPr="00FA0D37">
        <w:t xml:space="preserve"> </w:t>
      </w:r>
      <w:r w:rsidRPr="00FA0D37">
        <w:t xml:space="preserve">MeasAndMobParametersXDD-Diff                                 </w:t>
      </w:r>
      <w:r w:rsidRPr="00FA0D37">
        <w:rPr>
          <w:color w:val="993366"/>
        </w:rPr>
        <w:t>OPTIONAL</w:t>
      </w:r>
    </w:p>
    <w:p w14:paraId="0D345368" w14:textId="77777777" w:rsidR="00394471" w:rsidRPr="00FA0D37" w:rsidRDefault="00394471" w:rsidP="00FA0D37">
      <w:pPr>
        <w:pStyle w:val="PL"/>
      </w:pPr>
      <w:r w:rsidRPr="00FA0D37">
        <w:t>}</w:t>
      </w:r>
    </w:p>
    <w:p w14:paraId="2B7078E0" w14:textId="77777777" w:rsidR="00394471" w:rsidRPr="00FA0D37" w:rsidRDefault="00394471" w:rsidP="00FA0D37">
      <w:pPr>
        <w:pStyle w:val="PL"/>
      </w:pPr>
    </w:p>
    <w:p w14:paraId="14D9F6C7" w14:textId="77777777" w:rsidR="00394471" w:rsidRPr="00FA0D37" w:rsidRDefault="00394471" w:rsidP="00FA0D37">
      <w:pPr>
        <w:pStyle w:val="PL"/>
      </w:pPr>
      <w:r w:rsidRPr="00FA0D37">
        <w:t xml:space="preserve">UE-NR-CapabilityAddXDD-Mode-v1530 ::=    </w:t>
      </w:r>
      <w:r w:rsidRPr="00FA0D37">
        <w:rPr>
          <w:color w:val="993366"/>
        </w:rPr>
        <w:t>SEQUENCE</w:t>
      </w:r>
      <w:r w:rsidRPr="00FA0D37">
        <w:t xml:space="preserve"> {</w:t>
      </w:r>
    </w:p>
    <w:p w14:paraId="08DCFC20" w14:textId="77777777" w:rsidR="00394471" w:rsidRPr="00FA0D37" w:rsidRDefault="00394471" w:rsidP="00FA0D37">
      <w:pPr>
        <w:pStyle w:val="PL"/>
      </w:pPr>
      <w:r w:rsidRPr="00FA0D37">
        <w:t xml:space="preserve">    eutra-ParametersXDD-Diff                 EUTRA-ParametersXDD-Diff</w:t>
      </w:r>
    </w:p>
    <w:p w14:paraId="20C10436" w14:textId="77777777" w:rsidR="00394471" w:rsidRPr="00FA0D37" w:rsidRDefault="00394471" w:rsidP="00FA0D37">
      <w:pPr>
        <w:pStyle w:val="PL"/>
      </w:pPr>
      <w:r w:rsidRPr="00FA0D37">
        <w:t>}</w:t>
      </w:r>
    </w:p>
    <w:p w14:paraId="27CB4204" w14:textId="77777777" w:rsidR="00394471" w:rsidRPr="00FA0D37" w:rsidRDefault="00394471" w:rsidP="00FA0D37">
      <w:pPr>
        <w:pStyle w:val="PL"/>
      </w:pPr>
    </w:p>
    <w:p w14:paraId="3BB06859" w14:textId="4A5CBF10" w:rsidR="00394471" w:rsidRPr="00FA0D37" w:rsidRDefault="00394471" w:rsidP="00FA0D37">
      <w:pPr>
        <w:pStyle w:val="PL"/>
      </w:pPr>
      <w:r w:rsidRPr="00FA0D37">
        <w:t xml:space="preserve">UE-NR-CapabilityAddFRX-Mode ::= </w:t>
      </w:r>
      <w:r w:rsidR="006658B2" w:rsidRPr="00FA0D37">
        <w:t xml:space="preserve">         </w:t>
      </w:r>
      <w:r w:rsidRPr="00FA0D37">
        <w:rPr>
          <w:color w:val="993366"/>
        </w:rPr>
        <w:t>SEQUENCE</w:t>
      </w:r>
      <w:r w:rsidRPr="00FA0D37">
        <w:t xml:space="preserve"> {</w:t>
      </w:r>
    </w:p>
    <w:p w14:paraId="799FF073" w14:textId="56B52772" w:rsidR="00394471" w:rsidRPr="00FA0D37" w:rsidRDefault="00394471" w:rsidP="00FA0D37">
      <w:pPr>
        <w:pStyle w:val="PL"/>
      </w:pPr>
      <w:r w:rsidRPr="00FA0D37">
        <w:t xml:space="preserve">    phy-ParametersFRX-Diff              </w:t>
      </w:r>
      <w:r w:rsidR="006658B2" w:rsidRPr="00FA0D37">
        <w:t xml:space="preserve">     </w:t>
      </w:r>
      <w:r w:rsidRPr="00FA0D37">
        <w:t xml:space="preserve">Phy-ParametersFRX-Diff                                       </w:t>
      </w:r>
      <w:r w:rsidRPr="00FA0D37">
        <w:rPr>
          <w:color w:val="993366"/>
        </w:rPr>
        <w:t>OPTIONAL</w:t>
      </w:r>
      <w:r w:rsidRPr="00FA0D37">
        <w:t>,</w:t>
      </w:r>
    </w:p>
    <w:p w14:paraId="07D86EFB" w14:textId="7EB73406" w:rsidR="00394471" w:rsidRPr="00FA0D37" w:rsidRDefault="00394471" w:rsidP="00FA0D37">
      <w:pPr>
        <w:pStyle w:val="PL"/>
      </w:pPr>
      <w:r w:rsidRPr="00FA0D37">
        <w:t xml:space="preserve">    measAndMobParametersFRX-Diff       </w:t>
      </w:r>
      <w:r w:rsidR="006658B2" w:rsidRPr="00FA0D37">
        <w:t xml:space="preserve">     </w:t>
      </w:r>
      <w:r w:rsidRPr="00FA0D37">
        <w:t xml:space="preserve"> MeasAndMobParametersFRX-Diff                                 </w:t>
      </w:r>
      <w:r w:rsidRPr="00FA0D37">
        <w:rPr>
          <w:color w:val="993366"/>
        </w:rPr>
        <w:t>OPTIONAL</w:t>
      </w:r>
    </w:p>
    <w:p w14:paraId="152648C3" w14:textId="77777777" w:rsidR="00394471" w:rsidRPr="00FA0D37" w:rsidRDefault="00394471" w:rsidP="00FA0D37">
      <w:pPr>
        <w:pStyle w:val="PL"/>
      </w:pPr>
      <w:r w:rsidRPr="00FA0D37">
        <w:t>}</w:t>
      </w:r>
    </w:p>
    <w:p w14:paraId="78C20F71" w14:textId="77777777" w:rsidR="00394471" w:rsidRPr="00FA0D37" w:rsidRDefault="00394471" w:rsidP="00FA0D37">
      <w:pPr>
        <w:pStyle w:val="PL"/>
      </w:pPr>
    </w:p>
    <w:p w14:paraId="47D76181" w14:textId="77777777" w:rsidR="00394471" w:rsidRPr="00FA0D37" w:rsidRDefault="00394471" w:rsidP="00FA0D37">
      <w:pPr>
        <w:pStyle w:val="PL"/>
      </w:pPr>
      <w:r w:rsidRPr="00FA0D37">
        <w:t xml:space="preserve">UE-NR-CapabilityAddFRX-Mode-v1540 ::=    </w:t>
      </w:r>
      <w:r w:rsidRPr="00FA0D37">
        <w:rPr>
          <w:color w:val="993366"/>
        </w:rPr>
        <w:t>SEQUENCE</w:t>
      </w:r>
      <w:r w:rsidRPr="00FA0D37">
        <w:t xml:space="preserve"> {</w:t>
      </w:r>
    </w:p>
    <w:p w14:paraId="2CC46AA8" w14:textId="77777777" w:rsidR="00394471" w:rsidRPr="00FA0D37" w:rsidRDefault="00394471" w:rsidP="00FA0D37">
      <w:pPr>
        <w:pStyle w:val="PL"/>
      </w:pPr>
      <w:r w:rsidRPr="00FA0D37">
        <w:t xml:space="preserve">    ims-ParametersFRX-Diff                   IMS-ParametersFRX-Diff                                       </w:t>
      </w:r>
      <w:r w:rsidRPr="00FA0D37">
        <w:rPr>
          <w:color w:val="993366"/>
        </w:rPr>
        <w:t>OPTIONAL</w:t>
      </w:r>
    </w:p>
    <w:p w14:paraId="063C6BE0" w14:textId="77777777" w:rsidR="00394471" w:rsidRPr="00FA0D37" w:rsidRDefault="00394471" w:rsidP="00FA0D37">
      <w:pPr>
        <w:pStyle w:val="PL"/>
      </w:pPr>
      <w:r w:rsidRPr="00FA0D37">
        <w:t>}</w:t>
      </w:r>
    </w:p>
    <w:p w14:paraId="570336BB" w14:textId="77777777" w:rsidR="00394471" w:rsidRPr="00FA0D37" w:rsidRDefault="00394471" w:rsidP="00FA0D37">
      <w:pPr>
        <w:pStyle w:val="PL"/>
      </w:pPr>
    </w:p>
    <w:p w14:paraId="31579347" w14:textId="77777777" w:rsidR="00394471" w:rsidRPr="00FA0D37" w:rsidRDefault="00394471" w:rsidP="00FA0D37">
      <w:pPr>
        <w:pStyle w:val="PL"/>
      </w:pPr>
      <w:r w:rsidRPr="00FA0D37">
        <w:t xml:space="preserve">UE-NR-CapabilityAddFRX-Mode-v1610 ::=    </w:t>
      </w:r>
      <w:r w:rsidRPr="00FA0D37">
        <w:rPr>
          <w:color w:val="993366"/>
        </w:rPr>
        <w:t>SEQUENCE</w:t>
      </w:r>
      <w:r w:rsidRPr="00FA0D37">
        <w:t xml:space="preserve"> {</w:t>
      </w:r>
    </w:p>
    <w:p w14:paraId="07B9E17D" w14:textId="77777777" w:rsidR="00394471" w:rsidRPr="00FA0D37" w:rsidRDefault="00394471" w:rsidP="00FA0D37">
      <w:pPr>
        <w:pStyle w:val="PL"/>
      </w:pPr>
      <w:r w:rsidRPr="00FA0D37">
        <w:t xml:space="preserve">    powSav-ParametersFRX-Diff-r16            PowSav-ParametersFRX-Diff-r16                                </w:t>
      </w:r>
      <w:r w:rsidRPr="00FA0D37">
        <w:rPr>
          <w:color w:val="993366"/>
        </w:rPr>
        <w:t>OPTIONAL</w:t>
      </w:r>
      <w:r w:rsidRPr="00FA0D37">
        <w:t>,</w:t>
      </w:r>
    </w:p>
    <w:p w14:paraId="010C31F6" w14:textId="77777777" w:rsidR="00394471" w:rsidRPr="00FA0D37" w:rsidRDefault="00394471" w:rsidP="00FA0D37">
      <w:pPr>
        <w:pStyle w:val="PL"/>
      </w:pPr>
      <w:r w:rsidRPr="00FA0D37">
        <w:t xml:space="preserve">    mac-ParametersFRX-Diff-r16               MAC-ParametersFRX-Diff-r16                                   </w:t>
      </w:r>
      <w:r w:rsidRPr="00FA0D37">
        <w:rPr>
          <w:color w:val="993366"/>
        </w:rPr>
        <w:t>OPTIONAL</w:t>
      </w:r>
    </w:p>
    <w:p w14:paraId="4BE54AA9" w14:textId="77777777" w:rsidR="00394471" w:rsidRPr="00FA0D37" w:rsidRDefault="00394471" w:rsidP="00FA0D37">
      <w:pPr>
        <w:pStyle w:val="PL"/>
      </w:pPr>
      <w:r w:rsidRPr="00FA0D37">
        <w:t>}</w:t>
      </w:r>
    </w:p>
    <w:p w14:paraId="366E1A40" w14:textId="77777777" w:rsidR="00394471" w:rsidRPr="00FA0D37" w:rsidRDefault="00394471" w:rsidP="00FA0D37">
      <w:pPr>
        <w:pStyle w:val="PL"/>
      </w:pPr>
    </w:p>
    <w:p w14:paraId="38F1DAEC" w14:textId="77777777" w:rsidR="00394471" w:rsidRPr="00FA0D37" w:rsidRDefault="00394471" w:rsidP="00FA0D37">
      <w:pPr>
        <w:pStyle w:val="PL"/>
      </w:pPr>
      <w:r w:rsidRPr="00FA0D37">
        <w:t xml:space="preserve">BAP-Parameters-r16 ::=                   </w:t>
      </w:r>
      <w:r w:rsidRPr="00FA0D37">
        <w:rPr>
          <w:color w:val="993366"/>
        </w:rPr>
        <w:t>SEQUENCE</w:t>
      </w:r>
      <w:r w:rsidRPr="00FA0D37">
        <w:t xml:space="preserve"> {</w:t>
      </w:r>
    </w:p>
    <w:p w14:paraId="31686920" w14:textId="77777777" w:rsidR="00394471" w:rsidRPr="00FA0D37" w:rsidRDefault="00394471" w:rsidP="00FA0D37">
      <w:pPr>
        <w:pStyle w:val="PL"/>
      </w:pPr>
      <w:r w:rsidRPr="00FA0D37">
        <w:t xml:space="preserve">    flowControlBH-RLC-ChannelBased-r16       </w:t>
      </w:r>
      <w:r w:rsidRPr="00FA0D37">
        <w:rPr>
          <w:color w:val="993366"/>
        </w:rPr>
        <w:t>ENUMERATED</w:t>
      </w:r>
      <w:r w:rsidRPr="00FA0D37">
        <w:t xml:space="preserve"> {supported}                                       </w:t>
      </w:r>
      <w:r w:rsidRPr="00FA0D37">
        <w:rPr>
          <w:color w:val="993366"/>
        </w:rPr>
        <w:t>OPTIONAL</w:t>
      </w:r>
      <w:r w:rsidRPr="00FA0D37">
        <w:t>,</w:t>
      </w:r>
    </w:p>
    <w:p w14:paraId="0D95BEDB" w14:textId="77777777" w:rsidR="00394471" w:rsidRPr="00FA0D37" w:rsidRDefault="00394471" w:rsidP="00FA0D37">
      <w:pPr>
        <w:pStyle w:val="PL"/>
      </w:pPr>
      <w:r w:rsidRPr="00FA0D37">
        <w:t xml:space="preserve">    flowControlRouting-ID-Based-r16          </w:t>
      </w:r>
      <w:r w:rsidRPr="00FA0D37">
        <w:rPr>
          <w:color w:val="993366"/>
        </w:rPr>
        <w:t>ENUMERATED</w:t>
      </w:r>
      <w:r w:rsidRPr="00FA0D37">
        <w:t xml:space="preserve"> {supported}                                       </w:t>
      </w:r>
      <w:r w:rsidRPr="00FA0D37">
        <w:rPr>
          <w:color w:val="993366"/>
        </w:rPr>
        <w:t>OPTIONAL</w:t>
      </w:r>
    </w:p>
    <w:p w14:paraId="44C77CF3" w14:textId="77777777" w:rsidR="00394471" w:rsidRPr="00FA0D37" w:rsidRDefault="00394471" w:rsidP="00FA0D37">
      <w:pPr>
        <w:pStyle w:val="PL"/>
      </w:pPr>
      <w:r w:rsidRPr="00FA0D37">
        <w:t>}</w:t>
      </w:r>
    </w:p>
    <w:p w14:paraId="7F6FB4C2" w14:textId="77777777" w:rsidR="000264BF" w:rsidRPr="00FA0D37" w:rsidRDefault="000264BF" w:rsidP="00FA0D37">
      <w:pPr>
        <w:pStyle w:val="PL"/>
      </w:pPr>
    </w:p>
    <w:p w14:paraId="7B767507" w14:textId="4BCA04E1" w:rsidR="000264BF" w:rsidRPr="00FA0D37" w:rsidRDefault="000264BF" w:rsidP="00FA0D37">
      <w:pPr>
        <w:pStyle w:val="PL"/>
      </w:pPr>
      <w:r w:rsidRPr="00FA0D37">
        <w:t xml:space="preserve">BAP-Parameters-v1700 ::=                 </w:t>
      </w:r>
      <w:r w:rsidRPr="00FA0D37">
        <w:rPr>
          <w:color w:val="993366"/>
        </w:rPr>
        <w:t>SEQUENCE</w:t>
      </w:r>
      <w:r w:rsidRPr="00FA0D37">
        <w:t xml:space="preserve"> {</w:t>
      </w:r>
    </w:p>
    <w:p w14:paraId="0A7485CE" w14:textId="0FCA02B6" w:rsidR="000264BF" w:rsidRPr="00FA0D37" w:rsidRDefault="000264BF" w:rsidP="00FA0D37">
      <w:pPr>
        <w:pStyle w:val="PL"/>
      </w:pPr>
      <w:r w:rsidRPr="00FA0D37">
        <w:t xml:space="preserve">    bapHeaderRewriting-Rerouting-r17         </w:t>
      </w:r>
      <w:r w:rsidRPr="00FA0D37">
        <w:rPr>
          <w:color w:val="993366"/>
        </w:rPr>
        <w:t>ENUMERATED</w:t>
      </w:r>
      <w:r w:rsidRPr="00FA0D37">
        <w:t xml:space="preserve"> {supported}                                       </w:t>
      </w:r>
      <w:r w:rsidRPr="00FA0D37">
        <w:rPr>
          <w:color w:val="993366"/>
        </w:rPr>
        <w:t>OPTIONAL</w:t>
      </w:r>
      <w:r w:rsidRPr="00FA0D37">
        <w:t>,</w:t>
      </w:r>
    </w:p>
    <w:p w14:paraId="333DF7D8" w14:textId="077FF2C1" w:rsidR="000264BF" w:rsidRPr="00FA0D37" w:rsidRDefault="000264BF" w:rsidP="00FA0D37">
      <w:pPr>
        <w:pStyle w:val="PL"/>
      </w:pPr>
      <w:r w:rsidRPr="00FA0D37">
        <w:t xml:space="preserve">    bapHeaderRewriting-Routing-r17           </w:t>
      </w:r>
      <w:r w:rsidRPr="00FA0D37">
        <w:rPr>
          <w:color w:val="993366"/>
        </w:rPr>
        <w:t>ENUMERATED</w:t>
      </w:r>
      <w:r w:rsidRPr="00FA0D37">
        <w:t xml:space="preserve"> {supported}                                       </w:t>
      </w:r>
      <w:r w:rsidRPr="00FA0D37">
        <w:rPr>
          <w:color w:val="993366"/>
        </w:rPr>
        <w:t>OPTIONAL</w:t>
      </w:r>
    </w:p>
    <w:p w14:paraId="6B59E24C" w14:textId="77777777" w:rsidR="000264BF" w:rsidRPr="00FA0D37" w:rsidRDefault="000264BF" w:rsidP="00FA0D37">
      <w:pPr>
        <w:pStyle w:val="PL"/>
      </w:pPr>
      <w:r w:rsidRPr="00FA0D37">
        <w:t>}</w:t>
      </w:r>
    </w:p>
    <w:p w14:paraId="724B6CBA" w14:textId="77777777" w:rsidR="000264BF" w:rsidRPr="00FA0D37" w:rsidRDefault="000264BF" w:rsidP="00FA0D37">
      <w:pPr>
        <w:pStyle w:val="PL"/>
      </w:pPr>
    </w:p>
    <w:p w14:paraId="529703CB" w14:textId="0E433A01" w:rsidR="000264BF" w:rsidRPr="00FA0D37" w:rsidRDefault="000264BF" w:rsidP="00FA0D37">
      <w:pPr>
        <w:pStyle w:val="PL"/>
      </w:pPr>
      <w:r w:rsidRPr="00FA0D37">
        <w:t xml:space="preserve">MBS-Parameters-r17 ::=                   </w:t>
      </w:r>
      <w:r w:rsidRPr="00FA0D37">
        <w:rPr>
          <w:color w:val="993366"/>
        </w:rPr>
        <w:t>SEQUENCE</w:t>
      </w:r>
      <w:r w:rsidRPr="00FA0D37">
        <w:t xml:space="preserve"> {</w:t>
      </w:r>
    </w:p>
    <w:p w14:paraId="06797611" w14:textId="5FBBBA3F" w:rsidR="000264BF" w:rsidRPr="00FA0D37" w:rsidRDefault="000264BF" w:rsidP="00FA0D37">
      <w:pPr>
        <w:pStyle w:val="PL"/>
      </w:pPr>
      <w:r w:rsidRPr="00FA0D37">
        <w:t xml:space="preserve">    maxMRB-Add-r17                           </w:t>
      </w:r>
      <w:r w:rsidRPr="00FA0D37">
        <w:rPr>
          <w:color w:val="993366"/>
        </w:rPr>
        <w:t>INTEGER</w:t>
      </w:r>
      <w:r w:rsidRPr="00FA0D37">
        <w:t xml:space="preserve"> (1..16)                                              </w:t>
      </w:r>
      <w:r w:rsidRPr="00FA0D37">
        <w:rPr>
          <w:color w:val="993366"/>
        </w:rPr>
        <w:t>OPTIONAL</w:t>
      </w:r>
    </w:p>
    <w:p w14:paraId="7CB30C31" w14:textId="77777777" w:rsidR="000264BF" w:rsidRPr="00FA0D37" w:rsidRDefault="000264BF" w:rsidP="00FA0D37">
      <w:pPr>
        <w:pStyle w:val="PL"/>
      </w:pPr>
      <w:r w:rsidRPr="00FA0D37">
        <w:t>}</w:t>
      </w:r>
    </w:p>
    <w:p w14:paraId="34114241" w14:textId="77777777" w:rsidR="00394471" w:rsidRPr="00FA0D37" w:rsidRDefault="00394471" w:rsidP="00FA0D37">
      <w:pPr>
        <w:pStyle w:val="PL"/>
      </w:pPr>
    </w:p>
    <w:p w14:paraId="15279880" w14:textId="77777777" w:rsidR="00394471" w:rsidRPr="00FA0D37" w:rsidRDefault="00394471" w:rsidP="00FA0D37">
      <w:pPr>
        <w:pStyle w:val="PL"/>
        <w:rPr>
          <w:color w:val="808080"/>
        </w:rPr>
      </w:pPr>
      <w:r w:rsidRPr="00FA0D37">
        <w:rPr>
          <w:color w:val="808080"/>
        </w:rPr>
        <w:t>-- TAG-UE-NR-CAPABILITY-STOP</w:t>
      </w:r>
    </w:p>
    <w:p w14:paraId="2B1214A8" w14:textId="77777777" w:rsidR="00394471" w:rsidRPr="00FA0D37" w:rsidRDefault="00394471" w:rsidP="00FA0D37">
      <w:pPr>
        <w:pStyle w:val="PL"/>
        <w:rPr>
          <w:rFonts w:eastAsia="Malgun Gothic"/>
          <w:color w:val="808080"/>
        </w:rPr>
      </w:pPr>
      <w:r w:rsidRPr="00FA0D37">
        <w:rPr>
          <w:color w:val="808080"/>
        </w:rPr>
        <w:t>-- ASN1STOP</w:t>
      </w:r>
    </w:p>
    <w:p w14:paraId="6FAF46AC"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8B6CF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725ED" w14:textId="77777777" w:rsidR="00394471" w:rsidRPr="00FA0D37" w:rsidRDefault="00394471" w:rsidP="00964CC4">
            <w:pPr>
              <w:pStyle w:val="TAH"/>
              <w:rPr>
                <w:szCs w:val="22"/>
                <w:lang w:eastAsia="sv-SE"/>
              </w:rPr>
            </w:pPr>
            <w:r w:rsidRPr="00FA0D37">
              <w:rPr>
                <w:i/>
                <w:szCs w:val="22"/>
                <w:lang w:eastAsia="sv-SE"/>
              </w:rPr>
              <w:lastRenderedPageBreak/>
              <w:t xml:space="preserve">UE-NR-Capability </w:t>
            </w:r>
            <w:r w:rsidRPr="00FA0D37">
              <w:rPr>
                <w:szCs w:val="22"/>
                <w:lang w:eastAsia="sv-SE"/>
              </w:rPr>
              <w:t>field descriptions</w:t>
            </w:r>
          </w:p>
        </w:tc>
      </w:tr>
      <w:tr w:rsidR="00394471" w:rsidRPr="00FA0D37" w14:paraId="306C0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91E57" w14:textId="77777777" w:rsidR="00394471" w:rsidRPr="00FA0D37" w:rsidRDefault="00394471" w:rsidP="00964CC4">
            <w:pPr>
              <w:pStyle w:val="TAL"/>
              <w:rPr>
                <w:szCs w:val="22"/>
                <w:lang w:eastAsia="sv-SE"/>
              </w:rPr>
            </w:pPr>
            <w:r w:rsidRPr="00FA0D37">
              <w:rPr>
                <w:b/>
                <w:i/>
                <w:szCs w:val="22"/>
                <w:lang w:eastAsia="sv-SE"/>
              </w:rPr>
              <w:t>featureSetCombinations</w:t>
            </w:r>
          </w:p>
          <w:p w14:paraId="724DDEDF" w14:textId="77777777" w:rsidR="00394471" w:rsidRPr="00FA0D37" w:rsidRDefault="00394471" w:rsidP="00964CC4">
            <w:pPr>
              <w:pStyle w:val="TAL"/>
              <w:rPr>
                <w:szCs w:val="22"/>
                <w:lang w:eastAsia="sv-SE"/>
              </w:rPr>
            </w:pPr>
            <w:r w:rsidRPr="00FA0D37">
              <w:rPr>
                <w:szCs w:val="22"/>
                <w:lang w:eastAsia="sv-SE"/>
              </w:rPr>
              <w:t xml:space="preserve">A list of </w:t>
            </w:r>
            <w:r w:rsidRPr="00FA0D37">
              <w:rPr>
                <w:i/>
                <w:lang w:eastAsia="sv-SE"/>
              </w:rPr>
              <w:t>FeatureSetCombination:s</w:t>
            </w:r>
            <w:r w:rsidRPr="00FA0D37">
              <w:rPr>
                <w:szCs w:val="22"/>
                <w:lang w:eastAsia="sv-SE"/>
              </w:rPr>
              <w:t xml:space="preserve"> for </w:t>
            </w:r>
            <w:r w:rsidRPr="00FA0D37">
              <w:rPr>
                <w:i/>
                <w:szCs w:val="22"/>
                <w:lang w:eastAsia="sv-SE"/>
              </w:rPr>
              <w:t xml:space="preserve">supportedBandCombinationList </w:t>
            </w:r>
            <w:r w:rsidRPr="00FA0D37">
              <w:rPr>
                <w:szCs w:val="22"/>
                <w:lang w:eastAsia="sv-SE"/>
              </w:rPr>
              <w:t xml:space="preserve">in </w:t>
            </w:r>
            <w:r w:rsidRPr="00FA0D37">
              <w:rPr>
                <w:i/>
                <w:lang w:eastAsia="sv-SE"/>
              </w:rPr>
              <w:t>UE-NR-Capability</w:t>
            </w:r>
            <w:r w:rsidRPr="00FA0D37">
              <w:rPr>
                <w:szCs w:val="22"/>
                <w:lang w:eastAsia="sv-SE"/>
              </w:rPr>
              <w:t xml:space="preserve">. The </w:t>
            </w:r>
            <w:r w:rsidRPr="00FA0D37">
              <w:rPr>
                <w:i/>
                <w:lang w:eastAsia="sv-SE"/>
              </w:rPr>
              <w:t>FeatureSetDownlink:s</w:t>
            </w:r>
            <w:r w:rsidRPr="00FA0D37">
              <w:rPr>
                <w:szCs w:val="22"/>
                <w:lang w:eastAsia="sv-SE"/>
              </w:rPr>
              <w:t xml:space="preserve"> and </w:t>
            </w:r>
            <w:r w:rsidRPr="00FA0D37">
              <w:rPr>
                <w:i/>
                <w:lang w:eastAsia="sv-SE"/>
              </w:rPr>
              <w:t>FeatureSetUplink:s</w:t>
            </w:r>
            <w:r w:rsidRPr="00FA0D37">
              <w:rPr>
                <w:szCs w:val="22"/>
                <w:lang w:eastAsia="sv-SE"/>
              </w:rPr>
              <w:t xml:space="preserve"> referred to from these </w:t>
            </w:r>
            <w:r w:rsidRPr="00FA0D37">
              <w:rPr>
                <w:i/>
                <w:lang w:eastAsia="sv-SE"/>
              </w:rPr>
              <w:t>FeatureSetCombination:s</w:t>
            </w:r>
            <w:r w:rsidRPr="00FA0D37">
              <w:rPr>
                <w:szCs w:val="22"/>
                <w:lang w:eastAsia="sv-SE"/>
              </w:rPr>
              <w:t xml:space="preserve"> are defined in the </w:t>
            </w:r>
            <w:r w:rsidRPr="00FA0D37">
              <w:rPr>
                <w:i/>
                <w:lang w:eastAsia="sv-SE"/>
              </w:rPr>
              <w:t>featureSets</w:t>
            </w:r>
            <w:r w:rsidRPr="00FA0D37">
              <w:rPr>
                <w:szCs w:val="22"/>
                <w:lang w:eastAsia="sv-SE"/>
              </w:rPr>
              <w:t xml:space="preserve"> list in </w:t>
            </w:r>
            <w:r w:rsidRPr="00FA0D37">
              <w:rPr>
                <w:i/>
                <w:lang w:eastAsia="sv-SE"/>
              </w:rPr>
              <w:t>UE-NR-Capability</w:t>
            </w:r>
            <w:r w:rsidRPr="00FA0D37">
              <w:rPr>
                <w:szCs w:val="22"/>
                <w:lang w:eastAsia="sv-SE"/>
              </w:rPr>
              <w:t>.</w:t>
            </w:r>
          </w:p>
        </w:tc>
      </w:tr>
    </w:tbl>
    <w:p w14:paraId="3B592E1D" w14:textId="77777777" w:rsidR="00394471" w:rsidRPr="00FA0D37" w:rsidRDefault="00394471" w:rsidP="00394471"/>
    <w:tbl>
      <w:tblPr>
        <w:tblW w:w="14173" w:type="dxa"/>
        <w:tblLook w:val="04A0" w:firstRow="1" w:lastRow="0" w:firstColumn="1" w:lastColumn="0" w:noHBand="0" w:noVBand="1"/>
      </w:tblPr>
      <w:tblGrid>
        <w:gridCol w:w="14173"/>
      </w:tblGrid>
      <w:tr w:rsidR="005C7FF4" w:rsidRPr="00FA0D37" w14:paraId="3CD33E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4AD4D1" w14:textId="77777777" w:rsidR="00394471" w:rsidRPr="00FA0D37" w:rsidRDefault="00394471" w:rsidP="00964CC4">
            <w:pPr>
              <w:pStyle w:val="TAH"/>
              <w:rPr>
                <w:lang w:eastAsia="sv-SE"/>
              </w:rPr>
            </w:pPr>
            <w:r w:rsidRPr="00FA0D37">
              <w:rPr>
                <w:i/>
                <w:lang w:eastAsia="sv-SE"/>
              </w:rPr>
              <w:t>UE-NR-Capability-v1540 field descriptions</w:t>
            </w:r>
          </w:p>
        </w:tc>
      </w:tr>
      <w:tr w:rsidR="00F747EB" w:rsidRPr="00FA0D37" w14:paraId="11FF11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09EACA" w14:textId="77777777" w:rsidR="00394471" w:rsidRPr="00FA0D37" w:rsidRDefault="00394471" w:rsidP="00964CC4">
            <w:pPr>
              <w:pStyle w:val="TAL"/>
              <w:rPr>
                <w:lang w:eastAsia="sv-SE"/>
              </w:rPr>
            </w:pPr>
            <w:r w:rsidRPr="00FA0D37">
              <w:rPr>
                <w:b/>
                <w:i/>
                <w:lang w:eastAsia="sv-SE"/>
              </w:rPr>
              <w:t>fr1-fr2-Add-UE-NR-Capabilities</w:t>
            </w:r>
          </w:p>
          <w:p w14:paraId="0A81008F" w14:textId="77777777" w:rsidR="00394471" w:rsidRPr="00FA0D37" w:rsidRDefault="00394471" w:rsidP="00964CC4">
            <w:pPr>
              <w:pStyle w:val="TAL"/>
              <w:rPr>
                <w:lang w:eastAsia="sv-SE"/>
              </w:rPr>
            </w:pPr>
            <w:r w:rsidRPr="00FA0D37">
              <w:rPr>
                <w:lang w:eastAsia="sv-SE"/>
              </w:rPr>
              <w:t xml:space="preserve">This instance of </w:t>
            </w:r>
            <w:r w:rsidRPr="00FA0D37">
              <w:rPr>
                <w:i/>
                <w:iCs/>
                <w:lang w:eastAsia="sv-SE"/>
              </w:rPr>
              <w:t>UE-NR-CapabilityAddFRX-Mode</w:t>
            </w:r>
            <w:r w:rsidRPr="00FA0D37">
              <w:rPr>
                <w:lang w:eastAsia="sv-SE"/>
              </w:rPr>
              <w:t xml:space="preserve"> does not include any other fields than </w:t>
            </w:r>
            <w:r w:rsidRPr="00FA0D37">
              <w:rPr>
                <w:i/>
                <w:iCs/>
                <w:lang w:eastAsia="sv-SE"/>
              </w:rPr>
              <w:t>csi-RS-IM-ReceptionForFeedback</w:t>
            </w:r>
            <w:r w:rsidRPr="00FA0D37">
              <w:rPr>
                <w:lang w:eastAsia="sv-SE"/>
              </w:rPr>
              <w:t xml:space="preserve">/ </w:t>
            </w:r>
            <w:r w:rsidRPr="00FA0D37">
              <w:rPr>
                <w:i/>
                <w:iCs/>
                <w:lang w:eastAsia="sv-SE"/>
              </w:rPr>
              <w:t>csi-RS-ProcFrameworkForSRS</w:t>
            </w:r>
            <w:r w:rsidRPr="00FA0D37">
              <w:rPr>
                <w:lang w:eastAsia="sv-SE"/>
              </w:rPr>
              <w:t xml:space="preserve">/ </w:t>
            </w:r>
            <w:r w:rsidRPr="00FA0D37">
              <w:rPr>
                <w:i/>
                <w:iCs/>
                <w:lang w:eastAsia="sv-SE"/>
              </w:rPr>
              <w:t>csi-ReportFramework</w:t>
            </w:r>
            <w:r w:rsidRPr="00FA0D37">
              <w:rPr>
                <w:lang w:eastAsia="sv-SE"/>
              </w:rPr>
              <w:t>.</w:t>
            </w:r>
          </w:p>
        </w:tc>
      </w:tr>
    </w:tbl>
    <w:p w14:paraId="4803F375" w14:textId="77777777" w:rsidR="002C7704" w:rsidRPr="00FA0D37" w:rsidRDefault="002C7704" w:rsidP="002C7704">
      <w:pPr>
        <w:rPr>
          <w:rFonts w:eastAsia="Yu Mincho"/>
        </w:rPr>
      </w:pPr>
    </w:p>
    <w:p w14:paraId="5A9FA658" w14:textId="77777777" w:rsidR="002C7704" w:rsidRPr="00FA0D37" w:rsidRDefault="002C7704" w:rsidP="00F747EB">
      <w:pPr>
        <w:pStyle w:val="4"/>
        <w:rPr>
          <w:lang w:eastAsia="zh-CN"/>
        </w:rPr>
      </w:pPr>
      <w:bookmarkStart w:id="1648" w:name="_Toc146781601"/>
      <w:r w:rsidRPr="00FA0D37">
        <w:rPr>
          <w:lang w:eastAsia="zh-CN"/>
        </w:rPr>
        <w:t>–</w:t>
      </w:r>
      <w:r w:rsidRPr="00FA0D37">
        <w:rPr>
          <w:lang w:eastAsia="zh-CN"/>
        </w:rPr>
        <w:tab/>
      </w:r>
      <w:r w:rsidRPr="00FA0D37">
        <w:rPr>
          <w:i/>
          <w:iCs/>
          <w:lang w:eastAsia="zh-CN"/>
        </w:rPr>
        <w:t>UE-RadioPagingInfo</w:t>
      </w:r>
      <w:bookmarkEnd w:id="1648"/>
    </w:p>
    <w:p w14:paraId="39BD6BD0" w14:textId="3F949A83" w:rsidR="002C7704" w:rsidRPr="00FA0D37" w:rsidRDefault="002C7704" w:rsidP="002C7704">
      <w:r w:rsidRPr="00FA0D37">
        <w:t xml:space="preserve">The </w:t>
      </w:r>
      <w:r w:rsidR="00EA6373" w:rsidRPr="00FA0D37">
        <w:t>IE</w:t>
      </w:r>
      <w:r w:rsidR="00EA6373" w:rsidRPr="00FA0D37">
        <w:rPr>
          <w:i/>
        </w:rPr>
        <w:t xml:space="preserve"> </w:t>
      </w:r>
      <w:r w:rsidRPr="00FA0D37">
        <w:rPr>
          <w:i/>
        </w:rPr>
        <w:t>UE-RadioPagingInfo</w:t>
      </w:r>
      <w:r w:rsidRPr="00FA0D37">
        <w:t xml:space="preserve"> contains UE capability information needed for paging.</w:t>
      </w:r>
    </w:p>
    <w:p w14:paraId="32DDEF58" w14:textId="77777777" w:rsidR="002C7704" w:rsidRPr="00FA0D37" w:rsidRDefault="002C7704" w:rsidP="00F747EB">
      <w:pPr>
        <w:pStyle w:val="TH"/>
        <w:rPr>
          <w:lang w:eastAsia="zh-CN"/>
        </w:rPr>
      </w:pPr>
      <w:r w:rsidRPr="00FA0D37">
        <w:rPr>
          <w:bCs/>
          <w:i/>
          <w:iCs/>
          <w:lang w:eastAsia="zh-CN"/>
        </w:rPr>
        <w:t>UE-RadioPagingInfo</w:t>
      </w:r>
      <w:r w:rsidRPr="00FA0D37">
        <w:rPr>
          <w:lang w:eastAsia="zh-CN"/>
        </w:rPr>
        <w:t xml:space="preserve"> information element</w:t>
      </w:r>
    </w:p>
    <w:p w14:paraId="1A0E113F" w14:textId="77777777" w:rsidR="002C7704" w:rsidRPr="00FA0D37" w:rsidRDefault="002C7704" w:rsidP="00FA0D37">
      <w:pPr>
        <w:pStyle w:val="PL"/>
        <w:rPr>
          <w:rFonts w:eastAsiaTheme="minorEastAsia"/>
          <w:color w:val="808080"/>
        </w:rPr>
      </w:pPr>
      <w:r w:rsidRPr="00FA0D37">
        <w:rPr>
          <w:rFonts w:eastAsiaTheme="minorEastAsia"/>
          <w:color w:val="808080"/>
        </w:rPr>
        <w:t>-- ASN1START</w:t>
      </w:r>
    </w:p>
    <w:p w14:paraId="73194FDF" w14:textId="77777777" w:rsidR="002C7704" w:rsidRPr="00FA0D37" w:rsidRDefault="002C7704" w:rsidP="00FA0D37">
      <w:pPr>
        <w:pStyle w:val="PL"/>
        <w:rPr>
          <w:color w:val="808080"/>
        </w:rPr>
      </w:pPr>
      <w:r w:rsidRPr="00FA0D37">
        <w:rPr>
          <w:color w:val="808080"/>
        </w:rPr>
        <w:t>-- TAG-UE-RADIOPAGINGINFO-START</w:t>
      </w:r>
    </w:p>
    <w:p w14:paraId="2D1A02F1" w14:textId="77777777" w:rsidR="002C7704" w:rsidRPr="00FA0D37" w:rsidRDefault="002C7704" w:rsidP="00FA0D37">
      <w:pPr>
        <w:pStyle w:val="PL"/>
      </w:pPr>
    </w:p>
    <w:p w14:paraId="59EFA4CD" w14:textId="3876BEB3" w:rsidR="002C7704" w:rsidRPr="00FA0D37" w:rsidRDefault="002C7704" w:rsidP="00FA0D37">
      <w:pPr>
        <w:pStyle w:val="PL"/>
      </w:pPr>
      <w:r w:rsidRPr="00FA0D37">
        <w:t xml:space="preserve">UE-RadioPagingInfo-r17 ::=            </w:t>
      </w:r>
      <w:r w:rsidRPr="00FA0D37">
        <w:rPr>
          <w:color w:val="993366"/>
        </w:rPr>
        <w:t>SEQUENCE</w:t>
      </w:r>
      <w:r w:rsidRPr="00FA0D37">
        <w:t xml:space="preserve"> {</w:t>
      </w:r>
    </w:p>
    <w:p w14:paraId="599230BA" w14:textId="41F41478" w:rsidR="002C7704" w:rsidRPr="00FA0D37" w:rsidRDefault="002C7704" w:rsidP="00FA0D37">
      <w:pPr>
        <w:pStyle w:val="PL"/>
        <w:rPr>
          <w:color w:val="808080"/>
        </w:rPr>
      </w:pPr>
      <w:r w:rsidRPr="00FA0D37">
        <w:t xml:space="preserve">    </w:t>
      </w:r>
      <w:r w:rsidRPr="00FA0D37">
        <w:rPr>
          <w:color w:val="808080"/>
        </w:rPr>
        <w:t>-- R1 29-1: Paging enhancement</w:t>
      </w:r>
    </w:p>
    <w:p w14:paraId="58642AC2" w14:textId="3DEE08AA" w:rsidR="002C7704" w:rsidRPr="00FA0D37" w:rsidRDefault="002C7704" w:rsidP="00FA0D37">
      <w:pPr>
        <w:pStyle w:val="PL"/>
      </w:pPr>
      <w:r w:rsidRPr="00FA0D37">
        <w:t xml:space="preserve">    pei-SubgroupingSupportBandList-r17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FreqBandIndicatorNR    </w:t>
      </w:r>
      <w:r w:rsidRPr="00FA0D37">
        <w:rPr>
          <w:color w:val="993366"/>
        </w:rPr>
        <w:t>OPTIONAL</w:t>
      </w:r>
      <w:r w:rsidRPr="00FA0D37">
        <w:t>,</w:t>
      </w:r>
    </w:p>
    <w:p w14:paraId="15C9307E" w14:textId="705B9F81" w:rsidR="002C7704" w:rsidRPr="00FA0D37" w:rsidRDefault="002C7704" w:rsidP="00FA0D37">
      <w:pPr>
        <w:pStyle w:val="PL"/>
      </w:pPr>
      <w:r w:rsidRPr="00FA0D37">
        <w:t xml:space="preserve">    ...</w:t>
      </w:r>
    </w:p>
    <w:p w14:paraId="62560758" w14:textId="77777777" w:rsidR="002C7704" w:rsidRPr="00FA0D37" w:rsidRDefault="002C7704" w:rsidP="00FA0D37">
      <w:pPr>
        <w:pStyle w:val="PL"/>
      </w:pPr>
      <w:r w:rsidRPr="00FA0D37">
        <w:t>}</w:t>
      </w:r>
    </w:p>
    <w:p w14:paraId="1964B64E" w14:textId="77777777" w:rsidR="002C7704" w:rsidRPr="00FA0D37" w:rsidRDefault="002C7704" w:rsidP="00FA0D37">
      <w:pPr>
        <w:pStyle w:val="PL"/>
      </w:pPr>
    </w:p>
    <w:p w14:paraId="4D869CF9" w14:textId="42F87585" w:rsidR="002C7704" w:rsidRPr="00FA0D37" w:rsidRDefault="002C7704" w:rsidP="00FA0D37">
      <w:pPr>
        <w:pStyle w:val="PL"/>
        <w:rPr>
          <w:color w:val="808080"/>
        </w:rPr>
      </w:pPr>
      <w:r w:rsidRPr="00FA0D37">
        <w:rPr>
          <w:color w:val="808080"/>
        </w:rPr>
        <w:t>-- TAG-UE-RADIOPAGINGINFO-STOP</w:t>
      </w:r>
    </w:p>
    <w:p w14:paraId="529BFC83" w14:textId="7E2ADDA9" w:rsidR="002C7704" w:rsidRPr="00FA0D37" w:rsidRDefault="002C7704" w:rsidP="00FA0D37">
      <w:pPr>
        <w:pStyle w:val="PL"/>
        <w:rPr>
          <w:rFonts w:eastAsia="Malgun Gothic"/>
          <w:color w:val="808080"/>
        </w:rPr>
      </w:pPr>
      <w:r w:rsidRPr="00FA0D37">
        <w:rPr>
          <w:color w:val="808080"/>
        </w:rPr>
        <w:t>-- ASN1STOP</w:t>
      </w:r>
    </w:p>
    <w:p w14:paraId="6E9AE9B0" w14:textId="77777777" w:rsidR="002C7704" w:rsidRPr="00FA0D37" w:rsidRDefault="002C7704" w:rsidP="00394471">
      <w:pPr>
        <w:rPr>
          <w:rFonts w:eastAsiaTheme="minorEastAsia"/>
        </w:rPr>
      </w:pPr>
    </w:p>
    <w:p w14:paraId="5CA9D14E" w14:textId="062AEDEE" w:rsidR="00394471" w:rsidRPr="00FA0D37" w:rsidRDefault="00394471" w:rsidP="00394471">
      <w:pPr>
        <w:pStyle w:val="4"/>
        <w:rPr>
          <w:rFonts w:eastAsiaTheme="minorEastAsia"/>
        </w:rPr>
      </w:pPr>
      <w:bookmarkStart w:id="1649" w:name="_Toc60777492"/>
      <w:bookmarkStart w:id="1650" w:name="_Toc146781602"/>
      <w:r w:rsidRPr="00FA0D37">
        <w:t>–</w:t>
      </w:r>
      <w:r w:rsidRPr="00FA0D37">
        <w:tab/>
      </w:r>
      <w:r w:rsidRPr="00FA0D37">
        <w:rPr>
          <w:i/>
        </w:rPr>
        <w:t>SharedSpectrumChAccessParamsPerBand</w:t>
      </w:r>
      <w:bookmarkEnd w:id="1649"/>
      <w:bookmarkEnd w:id="1650"/>
    </w:p>
    <w:p w14:paraId="79CF9059" w14:textId="77777777" w:rsidR="00394471" w:rsidRPr="00FA0D37" w:rsidRDefault="00394471" w:rsidP="00394471">
      <w:r w:rsidRPr="00FA0D37">
        <w:t xml:space="preserve">The IE </w:t>
      </w:r>
      <w:r w:rsidRPr="00FA0D37">
        <w:rPr>
          <w:i/>
        </w:rPr>
        <w:t>SharedSpectrumChAccessParamsPerBand</w:t>
      </w:r>
      <w:r w:rsidRPr="00FA0D37">
        <w:t xml:space="preserve"> is used to convey shared channel access related parameters specific for a certain frequency band (not per feature set or band combination).</w:t>
      </w:r>
    </w:p>
    <w:p w14:paraId="2AE1AB08" w14:textId="77777777" w:rsidR="00394471" w:rsidRPr="00FA0D37" w:rsidRDefault="00394471" w:rsidP="00394471">
      <w:pPr>
        <w:pStyle w:val="TH"/>
        <w:rPr>
          <w:rFonts w:eastAsiaTheme="minorEastAsia"/>
          <w:bCs/>
          <w:iCs/>
        </w:rPr>
      </w:pPr>
      <w:r w:rsidRPr="00FA0D37">
        <w:rPr>
          <w:rFonts w:eastAsiaTheme="minorEastAsia"/>
          <w:bCs/>
          <w:i/>
          <w:iCs/>
        </w:rPr>
        <w:t>SharedSpectrumChAccessParamsPerBand</w:t>
      </w:r>
      <w:r w:rsidRPr="00FA0D37">
        <w:rPr>
          <w:rFonts w:eastAsiaTheme="minorEastAsia"/>
          <w:bCs/>
          <w:iCs/>
        </w:rPr>
        <w:t xml:space="preserve"> information element</w:t>
      </w:r>
    </w:p>
    <w:p w14:paraId="2E6B1FC2" w14:textId="77777777" w:rsidR="00394471" w:rsidRPr="00FA0D37" w:rsidRDefault="00394471" w:rsidP="00FA0D37">
      <w:pPr>
        <w:pStyle w:val="PL"/>
        <w:rPr>
          <w:rFonts w:eastAsiaTheme="minorEastAsia"/>
          <w:color w:val="808080"/>
        </w:rPr>
      </w:pPr>
      <w:r w:rsidRPr="00FA0D37">
        <w:rPr>
          <w:rFonts w:eastAsiaTheme="minorEastAsia"/>
          <w:color w:val="808080"/>
        </w:rPr>
        <w:t>-- ASN1START</w:t>
      </w:r>
    </w:p>
    <w:p w14:paraId="5EAE24C0" w14:textId="77777777" w:rsidR="00394471" w:rsidRPr="00FA0D37" w:rsidRDefault="00394471" w:rsidP="00FA0D37">
      <w:pPr>
        <w:pStyle w:val="PL"/>
        <w:rPr>
          <w:rFonts w:eastAsiaTheme="minorEastAsia"/>
          <w:color w:val="808080"/>
        </w:rPr>
      </w:pPr>
      <w:r w:rsidRPr="00FA0D37">
        <w:rPr>
          <w:rFonts w:eastAsiaTheme="minorEastAsia"/>
          <w:color w:val="808080"/>
        </w:rPr>
        <w:t>-- TAG-SHAREDSPECTRUMCHACCESSPARAMSPERBAND-START</w:t>
      </w:r>
    </w:p>
    <w:p w14:paraId="59C4BA55" w14:textId="77777777" w:rsidR="00394471" w:rsidRPr="00FA0D37" w:rsidRDefault="00394471" w:rsidP="00FA0D37">
      <w:pPr>
        <w:pStyle w:val="PL"/>
        <w:rPr>
          <w:rFonts w:eastAsiaTheme="minorEastAsia"/>
        </w:rPr>
      </w:pPr>
    </w:p>
    <w:p w14:paraId="6B2D2DE3" w14:textId="77777777" w:rsidR="00394471" w:rsidRPr="00FA0D37" w:rsidRDefault="00394471" w:rsidP="00FA0D37">
      <w:pPr>
        <w:pStyle w:val="PL"/>
        <w:rPr>
          <w:rFonts w:eastAsiaTheme="minorEastAsia"/>
        </w:rPr>
      </w:pPr>
      <w:r w:rsidRPr="00FA0D37">
        <w:rPr>
          <w:rFonts w:eastAsiaTheme="minorEastAsia"/>
        </w:rPr>
        <w:t xml:space="preserve">SharedSpectrumChAccessParamsPerBand-r16 ::=           </w:t>
      </w:r>
      <w:r w:rsidRPr="00FA0D37">
        <w:rPr>
          <w:rFonts w:eastAsiaTheme="minorEastAsia"/>
          <w:color w:val="993366"/>
        </w:rPr>
        <w:t>SEQUENCE</w:t>
      </w:r>
      <w:r w:rsidRPr="00FA0D37">
        <w:rPr>
          <w:rFonts w:eastAsiaTheme="minorEastAsia"/>
        </w:rPr>
        <w:t xml:space="preserve"> {</w:t>
      </w:r>
    </w:p>
    <w:p w14:paraId="3F464398" w14:textId="77777777" w:rsidR="00394471" w:rsidRPr="00FA0D37" w:rsidRDefault="00394471" w:rsidP="00FA0D37">
      <w:pPr>
        <w:pStyle w:val="PL"/>
      </w:pPr>
    </w:p>
    <w:p w14:paraId="059BE7E1" w14:textId="77777777" w:rsidR="00394471" w:rsidRPr="00FA0D37" w:rsidRDefault="00394471" w:rsidP="00FA0D37">
      <w:pPr>
        <w:pStyle w:val="PL"/>
        <w:rPr>
          <w:color w:val="808080"/>
        </w:rPr>
      </w:pPr>
      <w:r w:rsidRPr="00FA0D37">
        <w:t xml:space="preserve">    </w:t>
      </w:r>
      <w:r w:rsidRPr="00FA0D37">
        <w:rPr>
          <w:color w:val="808080"/>
        </w:rPr>
        <w:t>-- R1 10-1: UL channel access for dynamic channel access mode</w:t>
      </w:r>
    </w:p>
    <w:p w14:paraId="491B450E" w14:textId="77777777" w:rsidR="00394471" w:rsidRPr="00FA0D37" w:rsidRDefault="00394471" w:rsidP="00FA0D37">
      <w:pPr>
        <w:pStyle w:val="PL"/>
      </w:pPr>
      <w:r w:rsidRPr="00FA0D37">
        <w:t xml:space="preserve">    ul-DynamicChAccess-r16                              </w:t>
      </w:r>
      <w:r w:rsidRPr="00FA0D37">
        <w:rPr>
          <w:color w:val="993366"/>
        </w:rPr>
        <w:t>ENUMERATED</w:t>
      </w:r>
      <w:r w:rsidRPr="00FA0D37">
        <w:t xml:space="preserve"> {supported}            </w:t>
      </w:r>
      <w:r w:rsidRPr="00FA0D37">
        <w:rPr>
          <w:color w:val="993366"/>
        </w:rPr>
        <w:t>OPTIONAL</w:t>
      </w:r>
      <w:r w:rsidRPr="00FA0D37">
        <w:t>,</w:t>
      </w:r>
    </w:p>
    <w:p w14:paraId="36350B45" w14:textId="77777777" w:rsidR="00394471" w:rsidRPr="00FA0D37" w:rsidRDefault="00394471" w:rsidP="00FA0D37">
      <w:pPr>
        <w:pStyle w:val="PL"/>
        <w:rPr>
          <w:color w:val="808080"/>
        </w:rPr>
      </w:pPr>
      <w:r w:rsidRPr="00FA0D37">
        <w:t xml:space="preserve">    </w:t>
      </w:r>
      <w:r w:rsidRPr="00FA0D37">
        <w:rPr>
          <w:color w:val="808080"/>
        </w:rPr>
        <w:t>-- R1 10-1a: UL channel access for semi-static channel access mode</w:t>
      </w:r>
    </w:p>
    <w:p w14:paraId="2BFE2019" w14:textId="77777777" w:rsidR="00394471" w:rsidRPr="00FA0D37" w:rsidRDefault="00394471" w:rsidP="00FA0D37">
      <w:pPr>
        <w:pStyle w:val="PL"/>
      </w:pPr>
      <w:r w:rsidRPr="00FA0D37">
        <w:lastRenderedPageBreak/>
        <w:t xml:space="preserve">    ul-Semi-StaticChAccess-r16                          </w:t>
      </w:r>
      <w:r w:rsidRPr="00FA0D37">
        <w:rPr>
          <w:color w:val="993366"/>
        </w:rPr>
        <w:t>ENUMERATED</w:t>
      </w:r>
      <w:r w:rsidRPr="00FA0D37">
        <w:t xml:space="preserve"> {supported}            </w:t>
      </w:r>
      <w:r w:rsidRPr="00FA0D37">
        <w:rPr>
          <w:color w:val="993366"/>
        </w:rPr>
        <w:t>OPTIONAL</w:t>
      </w:r>
      <w:r w:rsidRPr="00FA0D37">
        <w:t>,</w:t>
      </w:r>
    </w:p>
    <w:p w14:paraId="4F22243E" w14:textId="77777777" w:rsidR="00394471" w:rsidRPr="00FA0D37" w:rsidRDefault="00394471" w:rsidP="00FA0D37">
      <w:pPr>
        <w:pStyle w:val="PL"/>
        <w:rPr>
          <w:color w:val="808080"/>
        </w:rPr>
      </w:pPr>
      <w:r w:rsidRPr="00FA0D37">
        <w:t xml:space="preserve">    </w:t>
      </w:r>
      <w:r w:rsidRPr="00FA0D37">
        <w:rPr>
          <w:color w:val="808080"/>
        </w:rPr>
        <w:t>-- R1 10-2: SSB-based RRM for dynamic channel access mode</w:t>
      </w:r>
    </w:p>
    <w:p w14:paraId="6BD52B19" w14:textId="77777777" w:rsidR="00394471" w:rsidRPr="00FA0D37" w:rsidRDefault="00394471" w:rsidP="00FA0D37">
      <w:pPr>
        <w:pStyle w:val="PL"/>
      </w:pPr>
      <w:r w:rsidRPr="00FA0D37">
        <w:t xml:space="preserve">    ssb-RRM-DynamicChAccess-r16                         </w:t>
      </w:r>
      <w:r w:rsidRPr="00FA0D37">
        <w:rPr>
          <w:color w:val="993366"/>
        </w:rPr>
        <w:t>ENUMERATED</w:t>
      </w:r>
      <w:r w:rsidRPr="00FA0D37">
        <w:t xml:space="preserve"> {supported}            </w:t>
      </w:r>
      <w:r w:rsidRPr="00FA0D37">
        <w:rPr>
          <w:color w:val="993366"/>
        </w:rPr>
        <w:t>OPTIONAL</w:t>
      </w:r>
      <w:r w:rsidRPr="00FA0D37">
        <w:t>,</w:t>
      </w:r>
    </w:p>
    <w:p w14:paraId="6BE35058" w14:textId="77777777" w:rsidR="00394471" w:rsidRPr="00FA0D37" w:rsidRDefault="00394471" w:rsidP="00FA0D37">
      <w:pPr>
        <w:pStyle w:val="PL"/>
        <w:rPr>
          <w:color w:val="808080"/>
        </w:rPr>
      </w:pPr>
      <w:r w:rsidRPr="00FA0D37">
        <w:t xml:space="preserve">    </w:t>
      </w:r>
      <w:r w:rsidRPr="00FA0D37">
        <w:rPr>
          <w:color w:val="808080"/>
        </w:rPr>
        <w:t>-- R1 10-2a: SSB-based RRM for semi-static channel access mode</w:t>
      </w:r>
    </w:p>
    <w:p w14:paraId="0A8E4053" w14:textId="77777777" w:rsidR="00394471" w:rsidRPr="00FA0D37" w:rsidRDefault="00394471" w:rsidP="00FA0D37">
      <w:pPr>
        <w:pStyle w:val="PL"/>
      </w:pPr>
      <w:r w:rsidRPr="00FA0D37">
        <w:t xml:space="preserve">    ssb-RRM-Semi-StaticChAccess-r16                     </w:t>
      </w:r>
      <w:r w:rsidRPr="00FA0D37">
        <w:rPr>
          <w:color w:val="993366"/>
        </w:rPr>
        <w:t>ENUMERATED</w:t>
      </w:r>
      <w:r w:rsidRPr="00FA0D37">
        <w:t xml:space="preserve"> {supported}            </w:t>
      </w:r>
      <w:r w:rsidRPr="00FA0D37">
        <w:rPr>
          <w:color w:val="993366"/>
        </w:rPr>
        <w:t>OPTIONAL</w:t>
      </w:r>
      <w:r w:rsidRPr="00FA0D37">
        <w:t>,</w:t>
      </w:r>
    </w:p>
    <w:p w14:paraId="0E46697A" w14:textId="77777777" w:rsidR="00394471" w:rsidRPr="00FA0D37" w:rsidRDefault="00394471" w:rsidP="00FA0D37">
      <w:pPr>
        <w:pStyle w:val="PL"/>
        <w:rPr>
          <w:color w:val="808080"/>
        </w:rPr>
      </w:pPr>
      <w:r w:rsidRPr="00FA0D37">
        <w:t xml:space="preserve">    </w:t>
      </w:r>
      <w:r w:rsidRPr="00FA0D37">
        <w:rPr>
          <w:color w:val="808080"/>
        </w:rPr>
        <w:t>-- R1 10-2b: MIB reading on unlicensed cell</w:t>
      </w:r>
    </w:p>
    <w:p w14:paraId="3E491F13" w14:textId="77777777" w:rsidR="00394471" w:rsidRPr="00FA0D37" w:rsidRDefault="00394471" w:rsidP="00FA0D37">
      <w:pPr>
        <w:pStyle w:val="PL"/>
      </w:pPr>
      <w:r w:rsidRPr="00FA0D37">
        <w:t xml:space="preserve">    mib-Acquisition-r16                                 </w:t>
      </w:r>
      <w:r w:rsidRPr="00FA0D37">
        <w:rPr>
          <w:color w:val="993366"/>
        </w:rPr>
        <w:t>ENUMERATED</w:t>
      </w:r>
      <w:r w:rsidRPr="00FA0D37">
        <w:t xml:space="preserve"> {supported}            </w:t>
      </w:r>
      <w:r w:rsidRPr="00FA0D37">
        <w:rPr>
          <w:color w:val="993366"/>
        </w:rPr>
        <w:t>OPTIONAL</w:t>
      </w:r>
      <w:r w:rsidRPr="00FA0D37">
        <w:t>,</w:t>
      </w:r>
    </w:p>
    <w:p w14:paraId="1639E6C2" w14:textId="77777777" w:rsidR="00394471" w:rsidRPr="00FA0D37" w:rsidRDefault="00394471" w:rsidP="00FA0D37">
      <w:pPr>
        <w:pStyle w:val="PL"/>
        <w:rPr>
          <w:color w:val="808080"/>
        </w:rPr>
      </w:pPr>
      <w:r w:rsidRPr="00FA0D37">
        <w:t xml:space="preserve">    </w:t>
      </w:r>
      <w:r w:rsidRPr="00FA0D37">
        <w:rPr>
          <w:color w:val="808080"/>
        </w:rPr>
        <w:t>-- R1 10-2c: SSB-based RLM for dynamic channel access mode</w:t>
      </w:r>
    </w:p>
    <w:p w14:paraId="4656658F" w14:textId="77777777" w:rsidR="00394471" w:rsidRPr="00FA0D37" w:rsidRDefault="00394471" w:rsidP="00FA0D37">
      <w:pPr>
        <w:pStyle w:val="PL"/>
      </w:pPr>
      <w:r w:rsidRPr="00FA0D37">
        <w:t xml:space="preserve">    ssb-RLM-DynamicChAccess-r16                         </w:t>
      </w:r>
      <w:r w:rsidRPr="00FA0D37">
        <w:rPr>
          <w:color w:val="993366"/>
        </w:rPr>
        <w:t>ENUMERATED</w:t>
      </w:r>
      <w:r w:rsidRPr="00FA0D37">
        <w:t xml:space="preserve"> {supported}            </w:t>
      </w:r>
      <w:r w:rsidRPr="00FA0D37">
        <w:rPr>
          <w:color w:val="993366"/>
        </w:rPr>
        <w:t>OPTIONAL</w:t>
      </w:r>
      <w:r w:rsidRPr="00FA0D37">
        <w:t>,</w:t>
      </w:r>
    </w:p>
    <w:p w14:paraId="7B830AEB" w14:textId="77777777" w:rsidR="00394471" w:rsidRPr="00FA0D37" w:rsidRDefault="00394471" w:rsidP="00FA0D37">
      <w:pPr>
        <w:pStyle w:val="PL"/>
        <w:rPr>
          <w:color w:val="808080"/>
        </w:rPr>
      </w:pPr>
      <w:r w:rsidRPr="00FA0D37">
        <w:t xml:space="preserve">    </w:t>
      </w:r>
      <w:r w:rsidRPr="00FA0D37">
        <w:rPr>
          <w:color w:val="808080"/>
        </w:rPr>
        <w:t>-- R1 10-2d: SSB-based RLM for semi-static channel access mode</w:t>
      </w:r>
    </w:p>
    <w:p w14:paraId="6D46CFC1" w14:textId="77777777" w:rsidR="00394471" w:rsidRPr="00FA0D37" w:rsidRDefault="00394471" w:rsidP="00FA0D37">
      <w:pPr>
        <w:pStyle w:val="PL"/>
      </w:pPr>
      <w:r w:rsidRPr="00FA0D37">
        <w:t xml:space="preserve">    ssb-RLM-Semi-StaticChAccess-r16                     </w:t>
      </w:r>
      <w:r w:rsidRPr="00FA0D37">
        <w:rPr>
          <w:color w:val="993366"/>
        </w:rPr>
        <w:t>ENUMERATED</w:t>
      </w:r>
      <w:r w:rsidRPr="00FA0D37">
        <w:t xml:space="preserve"> {supported}            </w:t>
      </w:r>
      <w:r w:rsidRPr="00FA0D37">
        <w:rPr>
          <w:color w:val="993366"/>
        </w:rPr>
        <w:t>OPTIONAL</w:t>
      </w:r>
      <w:r w:rsidRPr="00FA0D37">
        <w:t>,</w:t>
      </w:r>
    </w:p>
    <w:p w14:paraId="509D1F04" w14:textId="77777777" w:rsidR="00394471" w:rsidRPr="00FA0D37" w:rsidRDefault="00394471" w:rsidP="00FA0D37">
      <w:pPr>
        <w:pStyle w:val="PL"/>
        <w:rPr>
          <w:color w:val="808080"/>
        </w:rPr>
      </w:pPr>
      <w:r w:rsidRPr="00FA0D37">
        <w:t xml:space="preserve">    </w:t>
      </w:r>
      <w:r w:rsidRPr="00FA0D37">
        <w:rPr>
          <w:color w:val="808080"/>
        </w:rPr>
        <w:t>-- R1 10-2e: SIB1 reception on unlicensed cell</w:t>
      </w:r>
    </w:p>
    <w:p w14:paraId="36BBB8B1" w14:textId="77777777" w:rsidR="00394471" w:rsidRPr="00FA0D37" w:rsidRDefault="00394471" w:rsidP="00FA0D37">
      <w:pPr>
        <w:pStyle w:val="PL"/>
      </w:pPr>
      <w:r w:rsidRPr="00FA0D37">
        <w:t xml:space="preserve">    sib1-Acquisition-r16                                </w:t>
      </w:r>
      <w:r w:rsidRPr="00FA0D37">
        <w:rPr>
          <w:color w:val="993366"/>
        </w:rPr>
        <w:t>ENUMERATED</w:t>
      </w:r>
      <w:r w:rsidRPr="00FA0D37">
        <w:t xml:space="preserve"> {supported}            </w:t>
      </w:r>
      <w:r w:rsidRPr="00FA0D37">
        <w:rPr>
          <w:color w:val="993366"/>
        </w:rPr>
        <w:t>OPTIONAL</w:t>
      </w:r>
      <w:r w:rsidRPr="00FA0D37">
        <w:t>,</w:t>
      </w:r>
    </w:p>
    <w:p w14:paraId="5AA928C7" w14:textId="77777777" w:rsidR="00394471" w:rsidRPr="00FA0D37" w:rsidRDefault="00394471" w:rsidP="00FA0D37">
      <w:pPr>
        <w:pStyle w:val="PL"/>
        <w:rPr>
          <w:color w:val="808080"/>
        </w:rPr>
      </w:pPr>
      <w:r w:rsidRPr="00FA0D37">
        <w:t xml:space="preserve">    </w:t>
      </w:r>
      <w:r w:rsidRPr="00FA0D37">
        <w:rPr>
          <w:color w:val="808080"/>
        </w:rPr>
        <w:t>-- R1 10-2f: Support monitoring of extended RAR window</w:t>
      </w:r>
    </w:p>
    <w:p w14:paraId="268E4943" w14:textId="26B2EDC2" w:rsidR="00394471" w:rsidRPr="00FA0D37" w:rsidRDefault="00394471" w:rsidP="00FA0D37">
      <w:pPr>
        <w:pStyle w:val="PL"/>
      </w:pPr>
      <w:r w:rsidRPr="00FA0D37">
        <w:t xml:space="preserve">    extRA-</w:t>
      </w:r>
      <w:r w:rsidR="007E0276" w:rsidRPr="00FA0D37">
        <w:t>Response</w:t>
      </w:r>
      <w:r w:rsidRPr="00FA0D37">
        <w:t xml:space="preserve">Window-r16                            </w:t>
      </w:r>
      <w:r w:rsidRPr="00FA0D37">
        <w:rPr>
          <w:color w:val="993366"/>
        </w:rPr>
        <w:t>ENUMERATED</w:t>
      </w:r>
      <w:r w:rsidRPr="00FA0D37">
        <w:t xml:space="preserve"> {supported}            </w:t>
      </w:r>
      <w:r w:rsidRPr="00FA0D37">
        <w:rPr>
          <w:color w:val="993366"/>
        </w:rPr>
        <w:t>OPTIONAL</w:t>
      </w:r>
      <w:r w:rsidRPr="00FA0D37">
        <w:t>,</w:t>
      </w:r>
    </w:p>
    <w:p w14:paraId="3B9D698E"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10-2g: SSB-based BFD/CBD for dynamic channel access mode</w:t>
      </w:r>
    </w:p>
    <w:p w14:paraId="20E73ABD" w14:textId="77777777" w:rsidR="00394471" w:rsidRPr="00FA0D37" w:rsidRDefault="00394471" w:rsidP="00FA0D37">
      <w:pPr>
        <w:pStyle w:val="PL"/>
        <w:rPr>
          <w:rFonts w:eastAsiaTheme="minorEastAsia"/>
        </w:rPr>
      </w:pPr>
      <w:r w:rsidRPr="00FA0D37">
        <w:t xml:space="preserve">    </w:t>
      </w:r>
      <w:r w:rsidRPr="00FA0D37">
        <w:rPr>
          <w:rFonts w:eastAsiaTheme="minorEastAsia"/>
        </w:rPr>
        <w:t>ssb-BFD-CBD-dynamicChannelAccess-r16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61C52971"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10-2h: SSB-based BFD/CBD for semi-static channel access mode</w:t>
      </w:r>
    </w:p>
    <w:p w14:paraId="63D3CA83" w14:textId="77777777" w:rsidR="00394471" w:rsidRPr="00FA0D37" w:rsidRDefault="00394471" w:rsidP="00FA0D37">
      <w:pPr>
        <w:pStyle w:val="PL"/>
        <w:rPr>
          <w:rFonts w:eastAsiaTheme="minorEastAsia"/>
        </w:rPr>
      </w:pPr>
      <w:r w:rsidRPr="00FA0D37">
        <w:t xml:space="preserve">    </w:t>
      </w:r>
      <w:r w:rsidRPr="00FA0D37">
        <w:rPr>
          <w:rFonts w:eastAsiaTheme="minorEastAsia"/>
        </w:rPr>
        <w:t>ssb-BFD-CBD-semi-staticChannelAccess-r16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4F0CE419"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10-2i: CSI-RS-based BFD/CBD for NR-U</w:t>
      </w:r>
    </w:p>
    <w:p w14:paraId="3C976B20" w14:textId="77777777" w:rsidR="00394471" w:rsidRPr="00FA0D37" w:rsidRDefault="00394471" w:rsidP="00FA0D37">
      <w:pPr>
        <w:pStyle w:val="PL"/>
        <w:rPr>
          <w:rFonts w:eastAsiaTheme="minorEastAsia"/>
        </w:rPr>
      </w:pPr>
      <w:r w:rsidRPr="00FA0D37">
        <w:t xml:space="preserve">    </w:t>
      </w:r>
      <w:r w:rsidRPr="00FA0D37">
        <w:rPr>
          <w:rFonts w:eastAsiaTheme="minorEastAsia"/>
        </w:rPr>
        <w:t>csi-RS-BFD-CBD-r16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17F56E83" w14:textId="77777777" w:rsidR="00394471" w:rsidRPr="00FA0D37" w:rsidRDefault="00394471" w:rsidP="00FA0D37">
      <w:pPr>
        <w:pStyle w:val="PL"/>
        <w:rPr>
          <w:color w:val="808080"/>
        </w:rPr>
      </w:pPr>
      <w:r w:rsidRPr="00FA0D37">
        <w:t xml:space="preserve">    </w:t>
      </w:r>
      <w:r w:rsidRPr="00FA0D37">
        <w:rPr>
          <w:color w:val="808080"/>
        </w:rPr>
        <w:t>-- R1 10-7: UL channel access for 10 MHz SCell</w:t>
      </w:r>
    </w:p>
    <w:p w14:paraId="3D9D60CC" w14:textId="77777777" w:rsidR="00394471" w:rsidRPr="00FA0D37" w:rsidRDefault="00394471" w:rsidP="00FA0D37">
      <w:pPr>
        <w:pStyle w:val="PL"/>
      </w:pPr>
      <w:r w:rsidRPr="00FA0D37">
        <w:t xml:space="preserve">    ul-ChannelBW-SCell-10mhz-r16                        </w:t>
      </w:r>
      <w:r w:rsidRPr="00FA0D37">
        <w:rPr>
          <w:color w:val="993366"/>
        </w:rPr>
        <w:t>ENUMERATED</w:t>
      </w:r>
      <w:r w:rsidRPr="00FA0D37">
        <w:t xml:space="preserve"> {supported}            </w:t>
      </w:r>
      <w:r w:rsidRPr="00FA0D37">
        <w:rPr>
          <w:color w:val="993366"/>
        </w:rPr>
        <w:t>OPTIONAL</w:t>
      </w:r>
      <w:r w:rsidRPr="00FA0D37">
        <w:t>,</w:t>
      </w:r>
    </w:p>
    <w:p w14:paraId="59973758"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10-10: RSSI and channel occupancy measurement and reporting</w:t>
      </w:r>
    </w:p>
    <w:p w14:paraId="1932FE84" w14:textId="77777777" w:rsidR="00394471" w:rsidRPr="00FA0D37" w:rsidRDefault="00394471" w:rsidP="00FA0D37">
      <w:pPr>
        <w:pStyle w:val="PL"/>
        <w:rPr>
          <w:rFonts w:eastAsiaTheme="minorEastAsia"/>
        </w:rPr>
      </w:pPr>
      <w:r w:rsidRPr="00FA0D37">
        <w:t xml:space="preserve">    </w:t>
      </w:r>
      <w:r w:rsidRPr="00FA0D37">
        <w:rPr>
          <w:rFonts w:eastAsiaTheme="minorEastAsia"/>
        </w:rPr>
        <w:t>rssi-ChannelOccupancyReporting-r16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545AD5BC"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10-11:SRS starting position at any OFDM symbol in a slot</w:t>
      </w:r>
    </w:p>
    <w:p w14:paraId="3BC66796" w14:textId="77777777" w:rsidR="00394471" w:rsidRPr="00FA0D37" w:rsidRDefault="00394471" w:rsidP="00FA0D37">
      <w:pPr>
        <w:pStyle w:val="PL"/>
        <w:rPr>
          <w:rFonts w:eastAsiaTheme="minorEastAsia"/>
        </w:rPr>
      </w:pPr>
      <w:r w:rsidRPr="00FA0D37">
        <w:t xml:space="preserve">    </w:t>
      </w:r>
      <w:r w:rsidRPr="00FA0D37">
        <w:rPr>
          <w:rFonts w:eastAsiaTheme="minorEastAsia"/>
        </w:rPr>
        <w:t>srs-StartAnyOFDM-Symbol-r16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4580BA9C"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10-20: Support search space set configuration with freqMonitorLocation-r16</w:t>
      </w:r>
    </w:p>
    <w:p w14:paraId="7683D9B2" w14:textId="77777777" w:rsidR="00394471" w:rsidRPr="00FA0D37" w:rsidRDefault="00394471" w:rsidP="00FA0D37">
      <w:pPr>
        <w:pStyle w:val="PL"/>
        <w:rPr>
          <w:rFonts w:eastAsiaTheme="minorEastAsia"/>
        </w:rPr>
      </w:pPr>
      <w:r w:rsidRPr="00FA0D37">
        <w:t xml:space="preserve">    </w:t>
      </w:r>
      <w:r w:rsidRPr="00FA0D37">
        <w:rPr>
          <w:rFonts w:eastAsiaTheme="minorEastAsia"/>
        </w:rPr>
        <w:t>searchSpaceFreqMonitorLocation-r16</w:t>
      </w:r>
      <w:r w:rsidRPr="00FA0D37">
        <w:t xml:space="preserve">                  </w:t>
      </w:r>
      <w:r w:rsidRPr="00FA0D37">
        <w:rPr>
          <w:rFonts w:eastAsiaTheme="minorEastAsia"/>
          <w:color w:val="993366"/>
        </w:rPr>
        <w:t>INTEGER</w:t>
      </w:r>
      <w:r w:rsidRPr="00FA0D37">
        <w:rPr>
          <w:rFonts w:eastAsiaTheme="minorEastAsia"/>
        </w:rPr>
        <w:t xml:space="preserve"> (1..5)</w:t>
      </w:r>
      <w:r w:rsidRPr="00FA0D37">
        <w:t xml:space="preserve">                    </w:t>
      </w:r>
      <w:r w:rsidRPr="00FA0D37">
        <w:rPr>
          <w:rFonts w:eastAsiaTheme="minorEastAsia"/>
          <w:color w:val="993366"/>
        </w:rPr>
        <w:t>OPTIONAL</w:t>
      </w:r>
      <w:r w:rsidRPr="00FA0D37">
        <w:rPr>
          <w:rFonts w:eastAsiaTheme="minorEastAsia"/>
        </w:rPr>
        <w:t>,</w:t>
      </w:r>
    </w:p>
    <w:p w14:paraId="3B437880"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10-20a: Support coreset configuration with rb-Offset</w:t>
      </w:r>
    </w:p>
    <w:p w14:paraId="2672A3A3" w14:textId="77777777" w:rsidR="00394471" w:rsidRPr="00FA0D37" w:rsidRDefault="00394471" w:rsidP="00FA0D37">
      <w:pPr>
        <w:pStyle w:val="PL"/>
        <w:rPr>
          <w:rFonts w:eastAsiaTheme="minorEastAsia"/>
        </w:rPr>
      </w:pPr>
      <w:r w:rsidRPr="00FA0D37">
        <w:t xml:space="preserve">    </w:t>
      </w:r>
      <w:r w:rsidRPr="00FA0D37">
        <w:rPr>
          <w:rFonts w:eastAsiaTheme="minorEastAsia"/>
        </w:rPr>
        <w:t>coreset-RB-Offset-r16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16FC7597"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10-23:CGI reading on unlicensed cell for ANR functionality</w:t>
      </w:r>
    </w:p>
    <w:p w14:paraId="6E37DF5E" w14:textId="77777777" w:rsidR="00394471" w:rsidRPr="00FA0D37" w:rsidRDefault="00394471" w:rsidP="00FA0D37">
      <w:pPr>
        <w:pStyle w:val="PL"/>
        <w:rPr>
          <w:rFonts w:eastAsiaTheme="minorEastAsia"/>
        </w:rPr>
      </w:pPr>
      <w:r w:rsidRPr="00FA0D37">
        <w:t xml:space="preserve">    </w:t>
      </w:r>
      <w:r w:rsidRPr="00FA0D37">
        <w:rPr>
          <w:rFonts w:eastAsiaTheme="minorEastAsia"/>
        </w:rPr>
        <w:t>cgi-Acquisition-r16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70811E38"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10-25: Enable configured UL transmissions when DCI 2_0 is configured but not detected</w:t>
      </w:r>
    </w:p>
    <w:p w14:paraId="24713AF7" w14:textId="77777777" w:rsidR="00394471" w:rsidRPr="00FA0D37" w:rsidRDefault="00394471" w:rsidP="00FA0D37">
      <w:pPr>
        <w:pStyle w:val="PL"/>
        <w:rPr>
          <w:rFonts w:eastAsiaTheme="minorEastAsia"/>
        </w:rPr>
      </w:pPr>
      <w:r w:rsidRPr="00FA0D37">
        <w:rPr>
          <w:rFonts w:eastAsiaTheme="minorEastAsia"/>
        </w:rPr>
        <w:t xml:space="preserve">    configuredUL-Tx-r16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26EFC982" w14:textId="77777777" w:rsidR="00394471" w:rsidRPr="00FA0D37" w:rsidRDefault="00394471" w:rsidP="00FA0D37">
      <w:pPr>
        <w:pStyle w:val="PL"/>
        <w:rPr>
          <w:color w:val="808080"/>
        </w:rPr>
      </w:pPr>
      <w:r w:rsidRPr="00FA0D37">
        <w:t xml:space="preserve">    </w:t>
      </w:r>
      <w:r w:rsidRPr="00FA0D37">
        <w:rPr>
          <w:color w:val="808080"/>
        </w:rPr>
        <w:t>-- R1 10-27: Wideband PRACH</w:t>
      </w:r>
    </w:p>
    <w:p w14:paraId="58124768" w14:textId="77777777" w:rsidR="00394471" w:rsidRPr="00FA0D37" w:rsidRDefault="00394471" w:rsidP="00FA0D37">
      <w:pPr>
        <w:pStyle w:val="PL"/>
      </w:pPr>
      <w:r w:rsidRPr="00FA0D37">
        <w:t xml:space="preserve">    prach-Wideband-r16                                  </w:t>
      </w:r>
      <w:r w:rsidRPr="00FA0D37">
        <w:rPr>
          <w:color w:val="993366"/>
        </w:rPr>
        <w:t>ENUMERATED</w:t>
      </w:r>
      <w:r w:rsidRPr="00FA0D37">
        <w:t xml:space="preserve"> {supported}            </w:t>
      </w:r>
      <w:r w:rsidRPr="00FA0D37">
        <w:rPr>
          <w:color w:val="993366"/>
        </w:rPr>
        <w:t>OPTIONAL</w:t>
      </w:r>
      <w:r w:rsidRPr="00FA0D37">
        <w:t>,</w:t>
      </w:r>
    </w:p>
    <w:p w14:paraId="504A500D" w14:textId="77777777" w:rsidR="00394471" w:rsidRPr="00FA0D37" w:rsidRDefault="00394471" w:rsidP="00FA0D37">
      <w:pPr>
        <w:pStyle w:val="PL"/>
        <w:rPr>
          <w:color w:val="808080"/>
        </w:rPr>
      </w:pPr>
      <w:r w:rsidRPr="00FA0D37">
        <w:t xml:space="preserve">    </w:t>
      </w:r>
      <w:r w:rsidRPr="00FA0D37">
        <w:rPr>
          <w:color w:val="808080"/>
        </w:rPr>
        <w:t>-- R1 10-29: Support available RB set indicator field in DCI 2_0</w:t>
      </w:r>
    </w:p>
    <w:p w14:paraId="4DEDD272" w14:textId="77777777" w:rsidR="00394471" w:rsidRPr="00FA0D37" w:rsidRDefault="00394471" w:rsidP="00FA0D37">
      <w:pPr>
        <w:pStyle w:val="PL"/>
      </w:pPr>
      <w:r w:rsidRPr="00FA0D37">
        <w:t xml:space="preserve">    dci-AvailableRB-Set-r16                             </w:t>
      </w:r>
      <w:r w:rsidRPr="00FA0D37">
        <w:rPr>
          <w:color w:val="993366"/>
        </w:rPr>
        <w:t>ENUMERATED</w:t>
      </w:r>
      <w:r w:rsidRPr="00FA0D37">
        <w:t xml:space="preserve"> {supported}            </w:t>
      </w:r>
      <w:r w:rsidRPr="00FA0D37">
        <w:rPr>
          <w:color w:val="993366"/>
        </w:rPr>
        <w:t>OPTIONAL</w:t>
      </w:r>
      <w:r w:rsidRPr="00FA0D37">
        <w:t>,</w:t>
      </w:r>
    </w:p>
    <w:p w14:paraId="37AF4372" w14:textId="77777777" w:rsidR="00394471" w:rsidRPr="00FA0D37" w:rsidRDefault="00394471" w:rsidP="00FA0D37">
      <w:pPr>
        <w:pStyle w:val="PL"/>
        <w:rPr>
          <w:color w:val="808080"/>
        </w:rPr>
      </w:pPr>
      <w:r w:rsidRPr="00FA0D37">
        <w:t xml:space="preserve">    </w:t>
      </w:r>
      <w:r w:rsidRPr="00FA0D37">
        <w:rPr>
          <w:color w:val="808080"/>
        </w:rPr>
        <w:t>-- R1 10-30: Support channel occupancy duration indicator field in DCI 2_0</w:t>
      </w:r>
    </w:p>
    <w:p w14:paraId="59BB32B2" w14:textId="77777777" w:rsidR="00394471" w:rsidRPr="00FA0D37" w:rsidRDefault="00394471" w:rsidP="00FA0D37">
      <w:pPr>
        <w:pStyle w:val="PL"/>
      </w:pPr>
      <w:r w:rsidRPr="00FA0D37">
        <w:t xml:space="preserve">    dci-ChOccupancyDuration-r16                         </w:t>
      </w:r>
      <w:r w:rsidRPr="00FA0D37">
        <w:rPr>
          <w:color w:val="993366"/>
        </w:rPr>
        <w:t>ENUMERATED</w:t>
      </w:r>
      <w:r w:rsidRPr="00FA0D37">
        <w:t xml:space="preserve"> {supported}            </w:t>
      </w:r>
      <w:r w:rsidRPr="00FA0D37">
        <w:rPr>
          <w:color w:val="993366"/>
        </w:rPr>
        <w:t>OPTIONAL</w:t>
      </w:r>
      <w:r w:rsidRPr="00FA0D37">
        <w:t>,</w:t>
      </w:r>
    </w:p>
    <w:p w14:paraId="7D94BF09"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10-8: Type B PDSCH length {3, 5, 6, 8, 9, 10, 11, 12, 13} without DMRS shift due to CRS collision</w:t>
      </w:r>
    </w:p>
    <w:p w14:paraId="4E71BD72" w14:textId="77777777" w:rsidR="00394471" w:rsidRPr="00FA0D37" w:rsidRDefault="00394471" w:rsidP="00FA0D37">
      <w:pPr>
        <w:pStyle w:val="PL"/>
        <w:rPr>
          <w:rFonts w:eastAsiaTheme="minorEastAsia"/>
        </w:rPr>
      </w:pPr>
      <w:r w:rsidRPr="00FA0D37">
        <w:t xml:space="preserve">    </w:t>
      </w:r>
      <w:r w:rsidRPr="00FA0D37">
        <w:rPr>
          <w:rFonts w:eastAsiaTheme="minorEastAsia"/>
        </w:rPr>
        <w:t>typeB-PDSCH-length-r16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7C7D9DF2"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10-9: Search space set group switching with explicit DCI 2_0 bit field trigger or with implicit PDCCH decoding with DCI 2_0 monitoring</w:t>
      </w:r>
    </w:p>
    <w:p w14:paraId="7A213D74" w14:textId="389486D1" w:rsidR="00394471" w:rsidRPr="00FA0D37" w:rsidRDefault="00394471" w:rsidP="00FA0D37">
      <w:pPr>
        <w:pStyle w:val="PL"/>
        <w:rPr>
          <w:rFonts w:eastAsiaTheme="minorEastAsia"/>
        </w:rPr>
      </w:pPr>
      <w:r w:rsidRPr="00FA0D37">
        <w:t xml:space="preserve">    </w:t>
      </w:r>
      <w:r w:rsidRPr="00FA0D37">
        <w:rPr>
          <w:rFonts w:eastAsiaTheme="minorEastAsia"/>
        </w:rPr>
        <w:t>searchSpaceSwitch</w:t>
      </w:r>
      <w:r w:rsidR="00BB1623" w:rsidRPr="00FA0D37">
        <w:rPr>
          <w:rFonts w:eastAsiaTheme="minorEastAsia"/>
        </w:rPr>
        <w:t>W</w:t>
      </w:r>
      <w:r w:rsidRPr="00FA0D37">
        <w:rPr>
          <w:rFonts w:eastAsiaTheme="minorEastAsia"/>
        </w:rPr>
        <w:t>ithDCI-r16</w:t>
      </w:r>
      <w:r w:rsidRPr="00FA0D37">
        <w:t xml:space="preserve">             </w:t>
      </w:r>
      <w:r w:rsidR="00BB1623"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683F84BF" w14:textId="3504C60F"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10-9b: Search space set group switching with implicit PDCCH decoding without DCI 2_0 monitoring</w:t>
      </w:r>
    </w:p>
    <w:p w14:paraId="67D48C18" w14:textId="62F54DEB" w:rsidR="00394471" w:rsidRPr="00FA0D37" w:rsidRDefault="00394471" w:rsidP="00FA0D37">
      <w:pPr>
        <w:pStyle w:val="PL"/>
        <w:rPr>
          <w:rFonts w:eastAsiaTheme="minorEastAsia"/>
        </w:rPr>
      </w:pPr>
      <w:r w:rsidRPr="00FA0D37">
        <w:t xml:space="preserve">    </w:t>
      </w:r>
      <w:r w:rsidRPr="00FA0D37">
        <w:rPr>
          <w:rFonts w:eastAsiaTheme="minorEastAsia"/>
        </w:rPr>
        <w:t>searchSpaceSwitch</w:t>
      </w:r>
      <w:r w:rsidR="00BB1623" w:rsidRPr="00FA0D37">
        <w:rPr>
          <w:rFonts w:eastAsiaTheme="minorEastAsia"/>
        </w:rPr>
        <w:t>W</w:t>
      </w:r>
      <w:r w:rsidRPr="00FA0D37">
        <w:rPr>
          <w:rFonts w:eastAsiaTheme="minorEastAsia"/>
        </w:rPr>
        <w:t>ithoutDCI-r16</w:t>
      </w:r>
      <w:r w:rsidRPr="00FA0D37">
        <w:t xml:space="preserve">          </w:t>
      </w:r>
      <w:r w:rsidR="00BB1623"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600F6675"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10-9d: Support Search space set group switching capability 2</w:t>
      </w:r>
    </w:p>
    <w:p w14:paraId="49DA8C5E" w14:textId="34F68521" w:rsidR="00394471" w:rsidRPr="00FA0D37" w:rsidRDefault="00394471" w:rsidP="00FA0D37">
      <w:pPr>
        <w:pStyle w:val="PL"/>
        <w:rPr>
          <w:rFonts w:eastAsiaTheme="minorEastAsia"/>
        </w:rPr>
      </w:pPr>
      <w:r w:rsidRPr="00FA0D37">
        <w:t xml:space="preserve">    </w:t>
      </w:r>
      <w:r w:rsidRPr="00FA0D37">
        <w:rPr>
          <w:rFonts w:eastAsiaTheme="minorEastAsia"/>
        </w:rPr>
        <w:t>searchSpaceSwitch</w:t>
      </w:r>
      <w:r w:rsidR="00BB1623" w:rsidRPr="00FA0D37">
        <w:rPr>
          <w:rFonts w:eastAsiaTheme="minorEastAsia"/>
        </w:rPr>
        <w:t>C</w:t>
      </w:r>
      <w:r w:rsidRPr="00FA0D37">
        <w:rPr>
          <w:rFonts w:eastAsiaTheme="minorEastAsia"/>
        </w:rPr>
        <w:t>apability2-r16</w:t>
      </w:r>
      <w:r w:rsidRPr="00FA0D37">
        <w:t xml:space="preserve">         </w:t>
      </w:r>
      <w:r w:rsidR="00BB1623"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6047C145"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10-14: Non-numerical PDSCH to HARQ-ACK timing</w:t>
      </w:r>
    </w:p>
    <w:p w14:paraId="3BCE6D14" w14:textId="77777777" w:rsidR="00394471" w:rsidRPr="00FA0D37" w:rsidRDefault="00394471" w:rsidP="00FA0D37">
      <w:pPr>
        <w:pStyle w:val="PL"/>
        <w:rPr>
          <w:rFonts w:eastAsiaTheme="minorEastAsia"/>
        </w:rPr>
      </w:pPr>
      <w:r w:rsidRPr="00FA0D37">
        <w:t xml:space="preserve">    </w:t>
      </w:r>
      <w:r w:rsidRPr="00FA0D37">
        <w:rPr>
          <w:rFonts w:eastAsiaTheme="minorEastAsia"/>
        </w:rPr>
        <w:t>non-numericalPDSCH-HARQ-timing-r16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793B5926" w14:textId="77777777" w:rsidR="00394471" w:rsidRPr="00FA0D37" w:rsidRDefault="00394471" w:rsidP="00FA0D37">
      <w:pPr>
        <w:pStyle w:val="PL"/>
        <w:rPr>
          <w:rFonts w:eastAsiaTheme="minorEastAsia"/>
          <w:color w:val="808080"/>
        </w:rPr>
      </w:pPr>
      <w:r w:rsidRPr="00FA0D37">
        <w:lastRenderedPageBreak/>
        <w:t xml:space="preserve">    </w:t>
      </w:r>
      <w:r w:rsidRPr="00FA0D37">
        <w:rPr>
          <w:rFonts w:eastAsiaTheme="minorEastAsia"/>
          <w:color w:val="808080"/>
        </w:rPr>
        <w:t>-- R1 10-15: Enhanced dynamic HARQ codebook</w:t>
      </w:r>
    </w:p>
    <w:p w14:paraId="74D8128B" w14:textId="77777777" w:rsidR="00394471" w:rsidRPr="00FA0D37" w:rsidRDefault="00394471" w:rsidP="00FA0D37">
      <w:pPr>
        <w:pStyle w:val="PL"/>
        <w:rPr>
          <w:rFonts w:eastAsiaTheme="minorEastAsia"/>
        </w:rPr>
      </w:pPr>
      <w:r w:rsidRPr="00FA0D37">
        <w:t xml:space="preserve">    </w:t>
      </w:r>
      <w:r w:rsidRPr="00FA0D37">
        <w:rPr>
          <w:rFonts w:eastAsiaTheme="minorEastAsia"/>
        </w:rPr>
        <w:t>enhancedDynamicHARQ-codebook-r16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204C558F"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10-16: One-shot HARQ ACK feedback</w:t>
      </w:r>
    </w:p>
    <w:p w14:paraId="2B7B1A8E" w14:textId="77777777" w:rsidR="00394471" w:rsidRPr="00FA0D37" w:rsidRDefault="00394471" w:rsidP="00FA0D37">
      <w:pPr>
        <w:pStyle w:val="PL"/>
        <w:rPr>
          <w:rFonts w:eastAsiaTheme="minorEastAsia"/>
        </w:rPr>
      </w:pPr>
      <w:r w:rsidRPr="00FA0D37">
        <w:t xml:space="preserve">    </w:t>
      </w:r>
      <w:r w:rsidRPr="00FA0D37">
        <w:rPr>
          <w:rFonts w:eastAsiaTheme="minorEastAsia"/>
        </w:rPr>
        <w:t>oneShotHARQ-feedback-r16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2CB677A1"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10-17: Multi-PUSCH UL grant</w:t>
      </w:r>
    </w:p>
    <w:p w14:paraId="6F181E3F" w14:textId="77777777" w:rsidR="00394471" w:rsidRPr="00FA0D37" w:rsidRDefault="00394471" w:rsidP="00FA0D37">
      <w:pPr>
        <w:pStyle w:val="PL"/>
        <w:rPr>
          <w:rFonts w:eastAsiaTheme="minorEastAsia"/>
        </w:rPr>
      </w:pPr>
      <w:r w:rsidRPr="00FA0D37">
        <w:t xml:space="preserve">    </w:t>
      </w:r>
      <w:r w:rsidRPr="00FA0D37">
        <w:rPr>
          <w:rFonts w:eastAsiaTheme="minorEastAsia"/>
        </w:rPr>
        <w:t>multiPUSCH-UL-grant-r16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0B4D5106"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10-26: CSI-RS based RLM for NR-U</w:t>
      </w:r>
    </w:p>
    <w:p w14:paraId="302A09A7" w14:textId="77777777" w:rsidR="00394471" w:rsidRPr="00FA0D37" w:rsidRDefault="00394471" w:rsidP="00FA0D37">
      <w:pPr>
        <w:pStyle w:val="PL"/>
        <w:rPr>
          <w:rFonts w:eastAsiaTheme="minorEastAsia"/>
        </w:rPr>
      </w:pPr>
      <w:r w:rsidRPr="00FA0D37">
        <w:t xml:space="preserve">    </w:t>
      </w:r>
      <w:r w:rsidRPr="00FA0D37">
        <w:rPr>
          <w:rFonts w:eastAsiaTheme="minorEastAsia"/>
        </w:rPr>
        <w:t>csi-RS-RLM-r16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28165A69" w14:textId="59453B3F" w:rsidR="00394471" w:rsidRPr="00FA0D37" w:rsidRDefault="00394471" w:rsidP="00FA0D37">
      <w:pPr>
        <w:pStyle w:val="PL"/>
        <w:rPr>
          <w:rFonts w:eastAsiaTheme="minorEastAsia"/>
        </w:rPr>
      </w:pPr>
      <w:r w:rsidRPr="00FA0D37">
        <w:t xml:space="preserve">    </w:t>
      </w:r>
      <w:r w:rsidR="00D649D6" w:rsidRPr="00FA0D37">
        <w:rPr>
          <w:rFonts w:eastAsia="Yu Mincho"/>
        </w:rPr>
        <w:t>dummy</w:t>
      </w:r>
      <w:r w:rsidRPr="00FA0D37">
        <w:t xml:space="preserve">                                     </w:t>
      </w:r>
      <w:r w:rsidR="00D649D6"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7C9724FD" w14:textId="77777777" w:rsidR="00394471" w:rsidRPr="00FA0D37" w:rsidRDefault="00394471" w:rsidP="00FA0D37">
      <w:pPr>
        <w:pStyle w:val="PL"/>
        <w:rPr>
          <w:color w:val="808080"/>
        </w:rPr>
      </w:pPr>
      <w:r w:rsidRPr="00FA0D37">
        <w:t xml:space="preserve">    </w:t>
      </w:r>
      <w:r w:rsidRPr="00FA0D37">
        <w:rPr>
          <w:color w:val="808080"/>
        </w:rPr>
        <w:t>-- R1 10-31: Support of P/SP-CSI-RS reception with CSI-RS-ValidationWith-DCI-r16 configured</w:t>
      </w:r>
    </w:p>
    <w:p w14:paraId="4D72FC9D" w14:textId="77777777" w:rsidR="00394471" w:rsidRPr="00FA0D37" w:rsidRDefault="00394471" w:rsidP="00FA0D37">
      <w:pPr>
        <w:pStyle w:val="PL"/>
      </w:pPr>
      <w:r w:rsidRPr="00FA0D37">
        <w:t xml:space="preserve">    periodicAndSemi-PersistentCSI-RS-r16                </w:t>
      </w:r>
      <w:r w:rsidRPr="00FA0D37">
        <w:rPr>
          <w:color w:val="993366"/>
        </w:rPr>
        <w:t>ENUMERATED</w:t>
      </w:r>
      <w:r w:rsidRPr="00FA0D37">
        <w:t xml:space="preserve"> {supported}            </w:t>
      </w:r>
      <w:r w:rsidRPr="00FA0D37">
        <w:rPr>
          <w:color w:val="993366"/>
        </w:rPr>
        <w:t>OPTIONAL</w:t>
      </w:r>
      <w:r w:rsidRPr="00FA0D37">
        <w:t>,</w:t>
      </w:r>
    </w:p>
    <w:p w14:paraId="4F51F2DE"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10-3: PRB interlace mapping for PUSCH</w:t>
      </w:r>
    </w:p>
    <w:p w14:paraId="15DF14B4" w14:textId="77777777" w:rsidR="00394471" w:rsidRPr="00FA0D37" w:rsidRDefault="00394471" w:rsidP="00FA0D37">
      <w:pPr>
        <w:pStyle w:val="PL"/>
        <w:rPr>
          <w:rFonts w:eastAsiaTheme="minorEastAsia"/>
        </w:rPr>
      </w:pPr>
      <w:r w:rsidRPr="00FA0D37">
        <w:t xml:space="preserve">    </w:t>
      </w:r>
      <w:r w:rsidRPr="00FA0D37">
        <w:rPr>
          <w:rFonts w:eastAsiaTheme="minorEastAsia"/>
        </w:rPr>
        <w:t>pusch-PRB-interlace-r16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2A2A0001"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10-3a: PRB interlace mapping for PUCCH</w:t>
      </w:r>
    </w:p>
    <w:p w14:paraId="284EEC33" w14:textId="77777777" w:rsidR="00394471" w:rsidRPr="00FA0D37" w:rsidRDefault="00394471" w:rsidP="00FA0D37">
      <w:pPr>
        <w:pStyle w:val="PL"/>
        <w:rPr>
          <w:rFonts w:eastAsiaTheme="minorEastAsia"/>
        </w:rPr>
      </w:pPr>
      <w:r w:rsidRPr="00FA0D37">
        <w:t xml:space="preserve">    </w:t>
      </w:r>
      <w:r w:rsidRPr="00FA0D37">
        <w:rPr>
          <w:rFonts w:eastAsiaTheme="minorEastAsia"/>
        </w:rPr>
        <w:t>pucch-F0-F1-PRB-Interlace-r16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76C81F17"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10-12: OCC for PRB interlace mapping for PF2 and PF3</w:t>
      </w:r>
    </w:p>
    <w:p w14:paraId="765DA8E4" w14:textId="77777777" w:rsidR="00394471" w:rsidRPr="00FA0D37" w:rsidRDefault="00394471" w:rsidP="00FA0D37">
      <w:pPr>
        <w:pStyle w:val="PL"/>
        <w:rPr>
          <w:rFonts w:eastAsiaTheme="minorEastAsia"/>
        </w:rPr>
      </w:pPr>
      <w:r w:rsidRPr="00FA0D37">
        <w:t xml:space="preserve">    </w:t>
      </w:r>
      <w:r w:rsidRPr="00FA0D37">
        <w:rPr>
          <w:rFonts w:eastAsiaTheme="minorEastAsia"/>
        </w:rPr>
        <w:t>occ-PRB-PF2-PF3-r16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022536A2"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10-13a: Extended CP range of more than one symbol for CG-PUSCH</w:t>
      </w:r>
    </w:p>
    <w:p w14:paraId="68AD8571" w14:textId="77777777" w:rsidR="00394471" w:rsidRPr="00FA0D37" w:rsidRDefault="00394471" w:rsidP="00FA0D37">
      <w:pPr>
        <w:pStyle w:val="PL"/>
        <w:rPr>
          <w:rFonts w:eastAsiaTheme="minorEastAsia"/>
        </w:rPr>
      </w:pPr>
      <w:r w:rsidRPr="00FA0D37">
        <w:t xml:space="preserve">    </w:t>
      </w:r>
      <w:r w:rsidRPr="00FA0D37">
        <w:rPr>
          <w:rFonts w:eastAsiaTheme="minorEastAsia"/>
        </w:rPr>
        <w:t>extCP-rangeCG-PUSCH-r16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63E540C7"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10-18: Configured grant with retransmission in CG resources</w:t>
      </w:r>
    </w:p>
    <w:p w14:paraId="6CF30561" w14:textId="77777777" w:rsidR="00394471" w:rsidRPr="00FA0D37" w:rsidRDefault="00394471" w:rsidP="00FA0D37">
      <w:pPr>
        <w:pStyle w:val="PL"/>
        <w:rPr>
          <w:rFonts w:eastAsiaTheme="minorEastAsia"/>
        </w:rPr>
      </w:pPr>
      <w:r w:rsidRPr="00FA0D37">
        <w:t xml:space="preserve">    </w:t>
      </w:r>
      <w:r w:rsidRPr="00FA0D37">
        <w:rPr>
          <w:rFonts w:eastAsiaTheme="minorEastAsia"/>
        </w:rPr>
        <w:t>configuredGrantWithReTx-r16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42225A71" w14:textId="77777777" w:rsidR="00394471" w:rsidRPr="00FA0D37" w:rsidRDefault="00394471" w:rsidP="00FA0D37">
      <w:pPr>
        <w:pStyle w:val="PL"/>
        <w:rPr>
          <w:color w:val="808080"/>
        </w:rPr>
      </w:pPr>
      <w:r w:rsidRPr="00FA0D37">
        <w:t xml:space="preserve">    </w:t>
      </w:r>
      <w:r w:rsidRPr="00FA0D37">
        <w:rPr>
          <w:color w:val="808080"/>
        </w:rPr>
        <w:t>-- R1 10-21a: Support using ED threshold given by gNB for UL to DL COT sharing</w:t>
      </w:r>
    </w:p>
    <w:p w14:paraId="3AF472CC" w14:textId="77777777" w:rsidR="00394471" w:rsidRPr="00FA0D37" w:rsidRDefault="00394471" w:rsidP="00FA0D37">
      <w:pPr>
        <w:pStyle w:val="PL"/>
      </w:pPr>
      <w:r w:rsidRPr="00FA0D37">
        <w:t xml:space="preserve">    ed-Threshold-r16                                    </w:t>
      </w:r>
      <w:r w:rsidRPr="00FA0D37">
        <w:rPr>
          <w:color w:val="993366"/>
        </w:rPr>
        <w:t>ENUMERATED</w:t>
      </w:r>
      <w:r w:rsidRPr="00FA0D37">
        <w:t xml:space="preserve"> {supported}            </w:t>
      </w:r>
      <w:r w:rsidRPr="00FA0D37">
        <w:rPr>
          <w:color w:val="993366"/>
        </w:rPr>
        <w:t>OPTIONAL</w:t>
      </w:r>
      <w:r w:rsidRPr="00FA0D37">
        <w:t>,</w:t>
      </w:r>
    </w:p>
    <w:p w14:paraId="4EE4DC77" w14:textId="77777777" w:rsidR="00394471" w:rsidRPr="00FA0D37" w:rsidRDefault="00394471" w:rsidP="00FA0D37">
      <w:pPr>
        <w:pStyle w:val="PL"/>
        <w:rPr>
          <w:color w:val="808080"/>
        </w:rPr>
      </w:pPr>
      <w:r w:rsidRPr="00FA0D37">
        <w:t xml:space="preserve">    </w:t>
      </w:r>
      <w:r w:rsidRPr="00FA0D37">
        <w:rPr>
          <w:color w:val="808080"/>
        </w:rPr>
        <w:t>-- R1 10-21b: Support UL to DL COT sharing</w:t>
      </w:r>
    </w:p>
    <w:p w14:paraId="3CEAB1B3" w14:textId="77777777" w:rsidR="00394471" w:rsidRPr="00FA0D37" w:rsidRDefault="00394471" w:rsidP="00FA0D37">
      <w:pPr>
        <w:pStyle w:val="PL"/>
      </w:pPr>
      <w:r w:rsidRPr="00FA0D37">
        <w:t xml:space="preserve">    ul-DL-COT-Sharing-r16                               </w:t>
      </w:r>
      <w:r w:rsidRPr="00FA0D37">
        <w:rPr>
          <w:color w:val="993366"/>
        </w:rPr>
        <w:t>ENUMERATED</w:t>
      </w:r>
      <w:r w:rsidRPr="00FA0D37">
        <w:t xml:space="preserve"> {supported}            </w:t>
      </w:r>
      <w:r w:rsidRPr="00FA0D37">
        <w:rPr>
          <w:color w:val="993366"/>
        </w:rPr>
        <w:t>OPTIONAL</w:t>
      </w:r>
      <w:r w:rsidRPr="00FA0D37">
        <w:t>,</w:t>
      </w:r>
    </w:p>
    <w:p w14:paraId="12AFEC28"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10-24: CG-UCI multiplexing with HARQ ACK</w:t>
      </w:r>
    </w:p>
    <w:p w14:paraId="020382FE" w14:textId="77777777" w:rsidR="00394471" w:rsidRPr="00FA0D37" w:rsidRDefault="00394471" w:rsidP="00FA0D37">
      <w:pPr>
        <w:pStyle w:val="PL"/>
        <w:rPr>
          <w:rFonts w:eastAsiaTheme="minorEastAsia"/>
        </w:rPr>
      </w:pPr>
      <w:r w:rsidRPr="00FA0D37">
        <w:t xml:space="preserve">    </w:t>
      </w:r>
      <w:r w:rsidRPr="00FA0D37">
        <w:rPr>
          <w:rFonts w:eastAsiaTheme="minorEastAsia"/>
        </w:rPr>
        <w:t>mux-CG-UCI-HARQ-ACK-r16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5BC4F030"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color w:val="808080"/>
        </w:rPr>
        <w:t>-- R1 10-28: Configured grant with Rel-16 enhanced resource configuration</w:t>
      </w:r>
    </w:p>
    <w:p w14:paraId="2D3F37D5" w14:textId="77777777" w:rsidR="00394471" w:rsidRPr="00FA0D37" w:rsidRDefault="00394471" w:rsidP="00FA0D37">
      <w:pPr>
        <w:pStyle w:val="PL"/>
        <w:rPr>
          <w:rFonts w:eastAsiaTheme="minorEastAsia"/>
        </w:rPr>
      </w:pPr>
      <w:r w:rsidRPr="00FA0D37">
        <w:t xml:space="preserve">    </w:t>
      </w:r>
      <w:r w:rsidRPr="00FA0D37">
        <w:rPr>
          <w:rFonts w:eastAsiaTheme="minorEastAsia"/>
        </w:rPr>
        <w:t>cg-resourceConfig-r16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p>
    <w:p w14:paraId="6D4DC16A" w14:textId="77777777" w:rsidR="00394471" w:rsidRPr="00FA0D37" w:rsidRDefault="00394471" w:rsidP="00FA0D37">
      <w:pPr>
        <w:pStyle w:val="PL"/>
        <w:rPr>
          <w:rFonts w:eastAsiaTheme="minorEastAsia"/>
        </w:rPr>
      </w:pPr>
      <w:r w:rsidRPr="00FA0D37">
        <w:rPr>
          <w:rFonts w:eastAsiaTheme="minorEastAsia"/>
        </w:rPr>
        <w:t>}</w:t>
      </w:r>
    </w:p>
    <w:p w14:paraId="35F141AC" w14:textId="77777777" w:rsidR="00D027C1" w:rsidRPr="00FA0D37" w:rsidRDefault="00D027C1" w:rsidP="00FA0D37">
      <w:pPr>
        <w:pStyle w:val="PL"/>
        <w:rPr>
          <w:rFonts w:eastAsiaTheme="minorEastAsia"/>
        </w:rPr>
      </w:pPr>
    </w:p>
    <w:p w14:paraId="294D7635" w14:textId="3957F4C2" w:rsidR="00D027C1" w:rsidRPr="00FA0D37" w:rsidRDefault="00D027C1" w:rsidP="00FA0D37">
      <w:pPr>
        <w:pStyle w:val="PL"/>
        <w:rPr>
          <w:rFonts w:eastAsiaTheme="minorEastAsia"/>
        </w:rPr>
      </w:pPr>
      <w:r w:rsidRPr="00FA0D37">
        <w:rPr>
          <w:rFonts w:eastAsiaTheme="minorEastAsia"/>
        </w:rPr>
        <w:t>SharedSpectrumChAccessParamsPerBand</w:t>
      </w:r>
      <w:r w:rsidR="003B657B" w:rsidRPr="00FA0D37">
        <w:rPr>
          <w:rFonts w:eastAsiaTheme="minorEastAsia"/>
        </w:rPr>
        <w:t>-v1630</w:t>
      </w:r>
      <w:r w:rsidRPr="00FA0D37">
        <w:rPr>
          <w:rFonts w:eastAsiaTheme="minorEastAsia"/>
        </w:rPr>
        <w:t xml:space="preserve"> ::=</w:t>
      </w:r>
      <w:r w:rsidRPr="00FA0D37">
        <w:t xml:space="preserve">       </w:t>
      </w:r>
      <w:r w:rsidRPr="00FA0D37">
        <w:rPr>
          <w:rFonts w:eastAsiaTheme="minorEastAsia"/>
          <w:color w:val="993366"/>
        </w:rPr>
        <w:t>SEQUENCE</w:t>
      </w:r>
      <w:r w:rsidRPr="00FA0D37">
        <w:rPr>
          <w:rFonts w:eastAsiaTheme="minorEastAsia"/>
        </w:rPr>
        <w:t xml:space="preserve"> {</w:t>
      </w:r>
    </w:p>
    <w:p w14:paraId="1BBC93AA" w14:textId="460D5683" w:rsidR="00D027C1" w:rsidRPr="00FA0D37" w:rsidRDefault="00D027C1" w:rsidP="00FA0D37">
      <w:pPr>
        <w:pStyle w:val="PL"/>
        <w:rPr>
          <w:rFonts w:eastAsiaTheme="minorEastAsia"/>
          <w:color w:val="808080"/>
        </w:rPr>
      </w:pPr>
      <w:r w:rsidRPr="00FA0D37">
        <w:t xml:space="preserve">    </w:t>
      </w:r>
      <w:r w:rsidRPr="00FA0D37">
        <w:rPr>
          <w:rFonts w:eastAsiaTheme="minorEastAsia"/>
          <w:color w:val="808080"/>
        </w:rPr>
        <w:t>-- R4 4-1: DL reception in intra-carrier guardband</w:t>
      </w:r>
    </w:p>
    <w:p w14:paraId="2C79B461" w14:textId="2EA46B28" w:rsidR="00D027C1" w:rsidRPr="00FA0D37" w:rsidRDefault="00D027C1" w:rsidP="00FA0D37">
      <w:pPr>
        <w:pStyle w:val="PL"/>
        <w:rPr>
          <w:rFonts w:eastAsiaTheme="minorEastAsia"/>
        </w:rPr>
      </w:pPr>
      <w:r w:rsidRPr="00FA0D37">
        <w:t xml:space="preserve">    </w:t>
      </w:r>
      <w:r w:rsidRPr="00FA0D37">
        <w:rPr>
          <w:rFonts w:eastAsiaTheme="minorEastAsia"/>
        </w:rPr>
        <w:t>dl-ReceptionIntraCellGuardband-r16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5409BBFD" w14:textId="23B532F2" w:rsidR="00D027C1" w:rsidRPr="00FA0D37" w:rsidRDefault="00D027C1" w:rsidP="00FA0D37">
      <w:pPr>
        <w:pStyle w:val="PL"/>
        <w:rPr>
          <w:rFonts w:eastAsiaTheme="minorEastAsia"/>
          <w:color w:val="808080"/>
        </w:rPr>
      </w:pPr>
      <w:r w:rsidRPr="00FA0D37">
        <w:t xml:space="preserve">    </w:t>
      </w:r>
      <w:r w:rsidRPr="00FA0D37">
        <w:rPr>
          <w:rFonts w:eastAsiaTheme="minorEastAsia"/>
          <w:color w:val="808080"/>
        </w:rPr>
        <w:t>-- R4 4-2: DL reception when gNB does not transmit on all RB sets of a carrier as a result of LBT</w:t>
      </w:r>
    </w:p>
    <w:p w14:paraId="147DAF15" w14:textId="59106B79" w:rsidR="00D027C1" w:rsidRPr="00FA0D37" w:rsidRDefault="00D027C1" w:rsidP="00FA0D37">
      <w:pPr>
        <w:pStyle w:val="PL"/>
        <w:rPr>
          <w:rFonts w:eastAsiaTheme="minorEastAsia"/>
        </w:rPr>
      </w:pPr>
      <w:r w:rsidRPr="00FA0D37">
        <w:t xml:space="preserve">    </w:t>
      </w:r>
      <w:r w:rsidRPr="00FA0D37">
        <w:rPr>
          <w:rFonts w:eastAsiaTheme="minorEastAsia"/>
        </w:rPr>
        <w:t>dl-ReceptionLBT-subsetRB-r16</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p>
    <w:p w14:paraId="5B01F3F2" w14:textId="3B4360FB" w:rsidR="00394471" w:rsidRPr="00FA0D37" w:rsidRDefault="00D027C1" w:rsidP="00FA0D37">
      <w:pPr>
        <w:pStyle w:val="PL"/>
        <w:rPr>
          <w:rFonts w:eastAsiaTheme="minorEastAsia"/>
        </w:rPr>
      </w:pPr>
      <w:r w:rsidRPr="00FA0D37">
        <w:rPr>
          <w:rFonts w:eastAsiaTheme="minorEastAsia"/>
        </w:rPr>
        <w:t>}</w:t>
      </w:r>
    </w:p>
    <w:p w14:paraId="2189A66D" w14:textId="77777777" w:rsidR="00D649D6" w:rsidRPr="00FA0D37" w:rsidRDefault="00D649D6" w:rsidP="00FA0D37">
      <w:pPr>
        <w:pStyle w:val="PL"/>
        <w:rPr>
          <w:rFonts w:eastAsiaTheme="minorEastAsia"/>
        </w:rPr>
      </w:pPr>
    </w:p>
    <w:p w14:paraId="38C25580" w14:textId="732C3980" w:rsidR="00D649D6" w:rsidRPr="00FA0D37" w:rsidRDefault="00D649D6" w:rsidP="00FA0D37">
      <w:pPr>
        <w:pStyle w:val="PL"/>
        <w:rPr>
          <w:rFonts w:eastAsiaTheme="minorEastAsia"/>
        </w:rPr>
      </w:pPr>
      <w:r w:rsidRPr="00FA0D37">
        <w:rPr>
          <w:rFonts w:eastAsiaTheme="minorEastAsia"/>
        </w:rPr>
        <w:t>SharedSpectrumChAccessParamsPerBand-v</w:t>
      </w:r>
      <w:r w:rsidR="000C2783" w:rsidRPr="00FA0D37">
        <w:rPr>
          <w:rFonts w:eastAsiaTheme="minorEastAsia"/>
        </w:rPr>
        <w:t>1640</w:t>
      </w:r>
      <w:r w:rsidRPr="00FA0D37">
        <w:rPr>
          <w:rFonts w:eastAsiaTheme="minorEastAsia"/>
        </w:rPr>
        <w:t xml:space="preserve"> ::=       </w:t>
      </w:r>
      <w:r w:rsidRPr="00FA0D37">
        <w:rPr>
          <w:rFonts w:eastAsiaTheme="minorEastAsia"/>
          <w:color w:val="993366"/>
        </w:rPr>
        <w:t>SEQUENCE</w:t>
      </w:r>
      <w:r w:rsidRPr="00FA0D37">
        <w:rPr>
          <w:rFonts w:eastAsiaTheme="minorEastAsia"/>
        </w:rPr>
        <w:t xml:space="preserve"> {</w:t>
      </w:r>
    </w:p>
    <w:p w14:paraId="1256E84B" w14:textId="6E2B2A9E" w:rsidR="00D649D6" w:rsidRPr="00FA0D37" w:rsidRDefault="00D649D6" w:rsidP="00FA0D37">
      <w:pPr>
        <w:pStyle w:val="PL"/>
        <w:rPr>
          <w:rFonts w:eastAsiaTheme="minorEastAsia"/>
          <w:color w:val="808080"/>
        </w:rPr>
      </w:pPr>
      <w:r w:rsidRPr="00FA0D37">
        <w:t xml:space="preserve">    </w:t>
      </w:r>
      <w:r w:rsidRPr="00FA0D37">
        <w:rPr>
          <w:rFonts w:eastAsiaTheme="minorEastAsia"/>
          <w:color w:val="808080"/>
        </w:rPr>
        <w:t>-- 10-26b(1-4): CSI-RS based RRM measurement with associated SS-block</w:t>
      </w:r>
    </w:p>
    <w:p w14:paraId="2B1A4217" w14:textId="7894123C" w:rsidR="00D649D6" w:rsidRPr="00FA0D37" w:rsidRDefault="00D649D6" w:rsidP="00FA0D37">
      <w:pPr>
        <w:pStyle w:val="PL"/>
        <w:rPr>
          <w:rFonts w:eastAsiaTheme="minorEastAsia"/>
        </w:rPr>
      </w:pPr>
      <w:r w:rsidRPr="00FA0D37">
        <w:t xml:space="preserve">    </w:t>
      </w:r>
      <w:r w:rsidRPr="00FA0D37">
        <w:rPr>
          <w:rFonts w:eastAsiaTheme="minorEastAsia"/>
        </w:rPr>
        <w:t xml:space="preserve">csi-RSRP-AndRSRQ-MeasWithSSB-r16                </w:t>
      </w:r>
      <w:r w:rsidR="00835756" w:rsidRPr="00FA0D37">
        <w:rPr>
          <w:rFonts w:eastAsiaTheme="minorEastAsia"/>
        </w:rPr>
        <w:t xml:space="preserve">     </w:t>
      </w:r>
      <w:r w:rsidRPr="00FA0D37">
        <w:rPr>
          <w:rFonts w:eastAsiaTheme="minorEastAsia"/>
          <w:color w:val="993366"/>
        </w:rPr>
        <w:t>ENUMERATED</w:t>
      </w:r>
      <w:r w:rsidRPr="00FA0D37">
        <w:rPr>
          <w:rFonts w:eastAsiaTheme="minorEastAsia"/>
        </w:rPr>
        <w:t xml:space="preserve"> {supported}              </w:t>
      </w:r>
      <w:r w:rsidRPr="00FA0D37">
        <w:rPr>
          <w:rFonts w:eastAsiaTheme="minorEastAsia"/>
          <w:color w:val="993366"/>
        </w:rPr>
        <w:t>OPTIONAL</w:t>
      </w:r>
      <w:r w:rsidRPr="00FA0D37">
        <w:rPr>
          <w:rFonts w:eastAsiaTheme="minorEastAsia"/>
        </w:rPr>
        <w:t>,</w:t>
      </w:r>
    </w:p>
    <w:p w14:paraId="296632B7" w14:textId="49FD68DE" w:rsidR="00D649D6" w:rsidRPr="00FA0D37" w:rsidRDefault="00D649D6" w:rsidP="00FA0D37">
      <w:pPr>
        <w:pStyle w:val="PL"/>
        <w:rPr>
          <w:rFonts w:eastAsiaTheme="minorEastAsia"/>
          <w:color w:val="808080"/>
        </w:rPr>
      </w:pPr>
      <w:r w:rsidRPr="00FA0D37">
        <w:t xml:space="preserve">    </w:t>
      </w:r>
      <w:r w:rsidRPr="00FA0D37">
        <w:rPr>
          <w:rFonts w:eastAsiaTheme="minorEastAsia"/>
          <w:color w:val="808080"/>
        </w:rPr>
        <w:t>-- 10-26c(1-5): CSI-RS based RRM measurement without associated SS-block</w:t>
      </w:r>
    </w:p>
    <w:p w14:paraId="50B45F76" w14:textId="05B5C3DF" w:rsidR="00D649D6" w:rsidRPr="00FA0D37" w:rsidRDefault="00D649D6" w:rsidP="00FA0D37">
      <w:pPr>
        <w:pStyle w:val="PL"/>
        <w:rPr>
          <w:rFonts w:eastAsiaTheme="minorEastAsia"/>
        </w:rPr>
      </w:pPr>
      <w:r w:rsidRPr="00FA0D37">
        <w:t xml:space="preserve">    </w:t>
      </w:r>
      <w:r w:rsidRPr="00FA0D37">
        <w:rPr>
          <w:rFonts w:eastAsiaTheme="minorEastAsia"/>
        </w:rPr>
        <w:t xml:space="preserve">csi-RSRP-AndRSRQ-MeasWithoutSSB-r16             </w:t>
      </w:r>
      <w:r w:rsidR="00835756" w:rsidRPr="00FA0D37">
        <w:rPr>
          <w:rFonts w:eastAsiaTheme="minorEastAsia"/>
        </w:rPr>
        <w:t xml:space="preserve">    </w:t>
      </w:r>
      <w:r w:rsidRPr="00FA0D37">
        <w:rPr>
          <w:rFonts w:eastAsiaTheme="minorEastAsia"/>
          <w:color w:val="993366"/>
        </w:rPr>
        <w:t>ENUMERATED</w:t>
      </w:r>
      <w:r w:rsidRPr="00FA0D37">
        <w:rPr>
          <w:rFonts w:eastAsiaTheme="minorEastAsia"/>
        </w:rPr>
        <w:t xml:space="preserve"> {supported}              </w:t>
      </w:r>
      <w:r w:rsidR="00835756" w:rsidRPr="00FA0D37">
        <w:rPr>
          <w:rFonts w:eastAsiaTheme="minorEastAsia"/>
        </w:rPr>
        <w:t xml:space="preserve"> </w:t>
      </w:r>
      <w:r w:rsidRPr="00FA0D37">
        <w:rPr>
          <w:rFonts w:eastAsiaTheme="minorEastAsia"/>
          <w:color w:val="993366"/>
        </w:rPr>
        <w:t>OPTIONAL</w:t>
      </w:r>
      <w:r w:rsidRPr="00FA0D37">
        <w:rPr>
          <w:rFonts w:eastAsiaTheme="minorEastAsia"/>
        </w:rPr>
        <w:t>,</w:t>
      </w:r>
    </w:p>
    <w:p w14:paraId="32BF088F" w14:textId="7C3C6ED4" w:rsidR="00D649D6" w:rsidRPr="00FA0D37" w:rsidRDefault="00D649D6" w:rsidP="00FA0D37">
      <w:pPr>
        <w:pStyle w:val="PL"/>
        <w:rPr>
          <w:rFonts w:eastAsiaTheme="minorEastAsia"/>
          <w:color w:val="808080"/>
        </w:rPr>
      </w:pPr>
      <w:r w:rsidRPr="00FA0D37">
        <w:t xml:space="preserve">    </w:t>
      </w:r>
      <w:r w:rsidRPr="00FA0D37">
        <w:rPr>
          <w:rFonts w:eastAsiaTheme="minorEastAsia"/>
          <w:color w:val="808080"/>
        </w:rPr>
        <w:t>-- 10-26d(1-6): CSI-RS based RS-SINR measurement</w:t>
      </w:r>
    </w:p>
    <w:p w14:paraId="65B835DB" w14:textId="2927FFC1" w:rsidR="00D649D6" w:rsidRPr="00FA0D37" w:rsidRDefault="00D649D6" w:rsidP="00FA0D37">
      <w:pPr>
        <w:pStyle w:val="PL"/>
        <w:rPr>
          <w:rFonts w:eastAsiaTheme="minorEastAsia"/>
        </w:rPr>
      </w:pPr>
      <w:r w:rsidRPr="00FA0D37">
        <w:t xml:space="preserve">    </w:t>
      </w:r>
      <w:r w:rsidRPr="00FA0D37">
        <w:rPr>
          <w:rFonts w:eastAsiaTheme="minorEastAsia"/>
        </w:rPr>
        <w:t xml:space="preserve">csi-SINR-Meas-r16                               </w:t>
      </w:r>
      <w:r w:rsidR="00835756" w:rsidRPr="00FA0D37">
        <w:rPr>
          <w:rFonts w:eastAsiaTheme="minorEastAsia"/>
        </w:rPr>
        <w:t xml:space="preserve">       </w:t>
      </w:r>
      <w:r w:rsidRPr="00FA0D37">
        <w:rPr>
          <w:rFonts w:eastAsiaTheme="minorEastAsia"/>
          <w:color w:val="993366"/>
        </w:rPr>
        <w:t>ENUMERATED</w:t>
      </w:r>
      <w:r w:rsidRPr="00FA0D37">
        <w:rPr>
          <w:rFonts w:eastAsiaTheme="minorEastAsia"/>
        </w:rPr>
        <w:t xml:space="preserve"> {supported}              </w:t>
      </w:r>
      <w:r w:rsidR="00835756" w:rsidRPr="00FA0D37">
        <w:rPr>
          <w:rFonts w:eastAsiaTheme="minorEastAsia"/>
        </w:rPr>
        <w:t xml:space="preserve"> </w:t>
      </w:r>
      <w:r w:rsidRPr="00FA0D37">
        <w:rPr>
          <w:rFonts w:eastAsiaTheme="minorEastAsia"/>
          <w:color w:val="993366"/>
        </w:rPr>
        <w:t>OPTIONAL</w:t>
      </w:r>
      <w:r w:rsidRPr="00FA0D37">
        <w:rPr>
          <w:rFonts w:eastAsiaTheme="minorEastAsia"/>
        </w:rPr>
        <w:t>,</w:t>
      </w:r>
    </w:p>
    <w:p w14:paraId="66F6FF94" w14:textId="078352F2" w:rsidR="00D649D6" w:rsidRPr="00FA0D37" w:rsidRDefault="00D649D6" w:rsidP="00FA0D37">
      <w:pPr>
        <w:pStyle w:val="PL"/>
        <w:rPr>
          <w:rFonts w:eastAsiaTheme="minorEastAsia"/>
          <w:color w:val="808080"/>
        </w:rPr>
      </w:pPr>
      <w:r w:rsidRPr="00FA0D37">
        <w:t xml:space="preserve">    </w:t>
      </w:r>
      <w:r w:rsidRPr="00FA0D37">
        <w:rPr>
          <w:rFonts w:eastAsiaTheme="minorEastAsia"/>
          <w:color w:val="808080"/>
        </w:rPr>
        <w:t>-- 10-26e(1-8): RLM based on a mix of SS block and CSI-RS signals within active BWP</w:t>
      </w:r>
    </w:p>
    <w:p w14:paraId="2CB7B59F" w14:textId="7E8B5C5C" w:rsidR="00D649D6" w:rsidRPr="00FA0D37" w:rsidRDefault="00D649D6" w:rsidP="00FA0D37">
      <w:pPr>
        <w:pStyle w:val="PL"/>
        <w:rPr>
          <w:rFonts w:eastAsiaTheme="minorEastAsia"/>
        </w:rPr>
      </w:pPr>
      <w:r w:rsidRPr="00FA0D37">
        <w:t xml:space="preserve">    </w:t>
      </w:r>
      <w:r w:rsidRPr="00FA0D37">
        <w:rPr>
          <w:rFonts w:eastAsiaTheme="minorEastAsia"/>
        </w:rPr>
        <w:t xml:space="preserve">ssb-AndCSI-RS-RLM-r16                       </w:t>
      </w:r>
      <w:r w:rsidR="00835756" w:rsidRPr="00FA0D37">
        <w:rPr>
          <w:rFonts w:eastAsiaTheme="minorEastAsia"/>
        </w:rPr>
        <w:t xml:space="preserve">          </w:t>
      </w:r>
      <w:r w:rsidRPr="00FA0D37">
        <w:rPr>
          <w:rFonts w:eastAsiaTheme="minorEastAsia"/>
          <w:color w:val="993366"/>
        </w:rPr>
        <w:t>ENUMERATED</w:t>
      </w:r>
      <w:r w:rsidRPr="00FA0D37">
        <w:rPr>
          <w:rFonts w:eastAsiaTheme="minorEastAsia"/>
        </w:rPr>
        <w:t xml:space="preserve"> {supported}              </w:t>
      </w:r>
      <w:r w:rsidR="00835756" w:rsidRPr="00FA0D37">
        <w:rPr>
          <w:rFonts w:eastAsiaTheme="minorEastAsia"/>
        </w:rPr>
        <w:t xml:space="preserve"> </w:t>
      </w:r>
      <w:r w:rsidRPr="00FA0D37">
        <w:rPr>
          <w:rFonts w:eastAsiaTheme="minorEastAsia"/>
          <w:color w:val="993366"/>
        </w:rPr>
        <w:t>OPTIONAL</w:t>
      </w:r>
      <w:r w:rsidRPr="00FA0D37">
        <w:rPr>
          <w:rFonts w:eastAsiaTheme="minorEastAsia"/>
        </w:rPr>
        <w:t>,</w:t>
      </w:r>
    </w:p>
    <w:p w14:paraId="1EBF5AF9" w14:textId="420DF09F" w:rsidR="00D649D6" w:rsidRPr="00FA0D37" w:rsidRDefault="00D649D6" w:rsidP="00FA0D37">
      <w:pPr>
        <w:pStyle w:val="PL"/>
        <w:rPr>
          <w:rFonts w:eastAsiaTheme="minorEastAsia"/>
          <w:color w:val="808080"/>
        </w:rPr>
      </w:pPr>
      <w:r w:rsidRPr="00FA0D37">
        <w:t xml:space="preserve">    </w:t>
      </w:r>
      <w:r w:rsidRPr="00FA0D37">
        <w:rPr>
          <w:rFonts w:eastAsiaTheme="minorEastAsia"/>
          <w:color w:val="808080"/>
        </w:rPr>
        <w:t>-- 10-26f(1-9): CSI-RS based contention free RA for HO</w:t>
      </w:r>
    </w:p>
    <w:p w14:paraId="2E11BD80" w14:textId="4363400A" w:rsidR="00D649D6" w:rsidRPr="00FA0D37" w:rsidRDefault="00D649D6" w:rsidP="00FA0D37">
      <w:pPr>
        <w:pStyle w:val="PL"/>
        <w:rPr>
          <w:rFonts w:eastAsiaTheme="minorEastAsia"/>
        </w:rPr>
      </w:pPr>
      <w:r w:rsidRPr="00FA0D37">
        <w:t xml:space="preserve">    </w:t>
      </w:r>
      <w:r w:rsidRPr="00FA0D37">
        <w:rPr>
          <w:rFonts w:eastAsiaTheme="minorEastAsia"/>
        </w:rPr>
        <w:t xml:space="preserve">csi-RS-CFRA-ForHO-r16                   </w:t>
      </w:r>
      <w:r w:rsidR="00835756" w:rsidRPr="00FA0D37">
        <w:rPr>
          <w:rFonts w:eastAsiaTheme="minorEastAsia"/>
        </w:rPr>
        <w:t xml:space="preserve">              </w:t>
      </w:r>
      <w:r w:rsidRPr="00FA0D37">
        <w:rPr>
          <w:rFonts w:eastAsiaTheme="minorEastAsia"/>
          <w:color w:val="993366"/>
        </w:rPr>
        <w:t>ENUMERATED</w:t>
      </w:r>
      <w:r w:rsidRPr="00FA0D37">
        <w:rPr>
          <w:rFonts w:eastAsiaTheme="minorEastAsia"/>
        </w:rPr>
        <w:t xml:space="preserve"> {supported}              </w:t>
      </w:r>
      <w:r w:rsidR="00835756" w:rsidRPr="00FA0D37">
        <w:rPr>
          <w:rFonts w:eastAsiaTheme="minorEastAsia"/>
        </w:rPr>
        <w:t xml:space="preserve"> </w:t>
      </w:r>
      <w:r w:rsidRPr="00FA0D37">
        <w:rPr>
          <w:rFonts w:eastAsiaTheme="minorEastAsia"/>
          <w:color w:val="993366"/>
        </w:rPr>
        <w:t>OPTIONAL</w:t>
      </w:r>
    </w:p>
    <w:p w14:paraId="71744FEF" w14:textId="77777777" w:rsidR="00BB1623" w:rsidRPr="00FA0D37" w:rsidRDefault="00D649D6" w:rsidP="00FA0D37">
      <w:pPr>
        <w:pStyle w:val="PL"/>
        <w:rPr>
          <w:rFonts w:eastAsiaTheme="minorEastAsia"/>
        </w:rPr>
      </w:pPr>
      <w:r w:rsidRPr="00FA0D37">
        <w:rPr>
          <w:rFonts w:eastAsiaTheme="minorEastAsia"/>
        </w:rPr>
        <w:t>}</w:t>
      </w:r>
    </w:p>
    <w:p w14:paraId="162B67DB" w14:textId="77777777" w:rsidR="00BB1623" w:rsidRPr="00FA0D37" w:rsidRDefault="00BB1623" w:rsidP="00FA0D37">
      <w:pPr>
        <w:pStyle w:val="PL"/>
        <w:rPr>
          <w:rFonts w:eastAsiaTheme="minorEastAsia"/>
        </w:rPr>
      </w:pPr>
    </w:p>
    <w:p w14:paraId="1A3C02EB" w14:textId="03F32AC5" w:rsidR="00BB1623" w:rsidRPr="00FA0D37" w:rsidRDefault="00BB1623" w:rsidP="00FA0D37">
      <w:pPr>
        <w:pStyle w:val="PL"/>
        <w:rPr>
          <w:rFonts w:eastAsiaTheme="minorEastAsia"/>
        </w:rPr>
      </w:pPr>
      <w:r w:rsidRPr="00FA0D37">
        <w:rPr>
          <w:rFonts w:eastAsiaTheme="minorEastAsia"/>
        </w:rPr>
        <w:lastRenderedPageBreak/>
        <w:t>SharedSpectrumChAccessParamsPerBand-v16</w:t>
      </w:r>
      <w:r w:rsidR="001F631E" w:rsidRPr="00FA0D37">
        <w:rPr>
          <w:rFonts w:eastAsiaTheme="minorEastAsia"/>
        </w:rPr>
        <w:t>50</w:t>
      </w:r>
      <w:r w:rsidRPr="00FA0D37">
        <w:rPr>
          <w:rFonts w:eastAsiaTheme="minorEastAsia"/>
        </w:rPr>
        <w:t xml:space="preserve"> ::=       </w:t>
      </w:r>
      <w:r w:rsidRPr="00FA0D37">
        <w:rPr>
          <w:rFonts w:eastAsiaTheme="minorEastAsia"/>
          <w:color w:val="993366"/>
        </w:rPr>
        <w:t>SEQUENCE</w:t>
      </w:r>
      <w:r w:rsidRPr="00FA0D37">
        <w:rPr>
          <w:rFonts w:eastAsiaTheme="minorEastAsia"/>
        </w:rPr>
        <w:t xml:space="preserve"> {</w:t>
      </w:r>
    </w:p>
    <w:p w14:paraId="0B48BA5B" w14:textId="616129ED" w:rsidR="00BB1623" w:rsidRPr="00FA0D37" w:rsidRDefault="00BB1623" w:rsidP="00FA0D37">
      <w:pPr>
        <w:pStyle w:val="PL"/>
        <w:rPr>
          <w:rFonts w:eastAsiaTheme="minorEastAsia"/>
          <w:color w:val="808080"/>
        </w:rPr>
      </w:pPr>
      <w:r w:rsidRPr="00FA0D37">
        <w:t xml:space="preserve">    </w:t>
      </w:r>
      <w:r w:rsidRPr="00FA0D37">
        <w:rPr>
          <w:rFonts w:eastAsiaTheme="minorEastAsia"/>
          <w:color w:val="808080"/>
        </w:rPr>
        <w:t>-- Extension of R1 10-9 capability to configure up to 16 instead of 4 cells or cell groups, respectively</w:t>
      </w:r>
    </w:p>
    <w:p w14:paraId="0021E564" w14:textId="32D40718" w:rsidR="00BB1623" w:rsidRPr="00FA0D37" w:rsidRDefault="00BB1623" w:rsidP="00FA0D37">
      <w:pPr>
        <w:pStyle w:val="PL"/>
        <w:rPr>
          <w:rFonts w:eastAsiaTheme="minorEastAsia"/>
        </w:rPr>
      </w:pPr>
      <w:r w:rsidRPr="00FA0D37">
        <w:t xml:space="preserve">    </w:t>
      </w:r>
      <w:r w:rsidRPr="00FA0D37">
        <w:rPr>
          <w:rFonts w:eastAsiaTheme="minorEastAsia"/>
        </w:rPr>
        <w:t xml:space="preserve">extendedSearchSpaceSwitchWithDCI-r16               </w:t>
      </w:r>
      <w:r w:rsidR="00835756" w:rsidRPr="00FA0D37">
        <w:rPr>
          <w:rFonts w:eastAsiaTheme="minorEastAsia"/>
        </w:rPr>
        <w:t xml:space="preserve"> </w:t>
      </w:r>
      <w:r w:rsidRPr="00FA0D37">
        <w:rPr>
          <w:rFonts w:eastAsiaTheme="minorEastAsia"/>
          <w:color w:val="993366"/>
        </w:rPr>
        <w:t>ENUMERATED</w:t>
      </w:r>
      <w:r w:rsidRPr="00FA0D37">
        <w:rPr>
          <w:rFonts w:eastAsiaTheme="minorEastAsia"/>
        </w:rPr>
        <w:t xml:space="preserve"> {supported}   </w:t>
      </w:r>
      <w:r w:rsidR="00835756" w:rsidRPr="00FA0D37">
        <w:rPr>
          <w:rFonts w:eastAsiaTheme="minorEastAsia"/>
        </w:rPr>
        <w:t xml:space="preserve"> </w:t>
      </w:r>
      <w:r w:rsidRPr="00FA0D37">
        <w:rPr>
          <w:rFonts w:eastAsiaTheme="minorEastAsia"/>
        </w:rPr>
        <w:t xml:space="preserve">           </w:t>
      </w:r>
      <w:r w:rsidRPr="00FA0D37">
        <w:rPr>
          <w:rFonts w:eastAsiaTheme="minorEastAsia"/>
          <w:color w:val="993366"/>
        </w:rPr>
        <w:t>OPTIONAL</w:t>
      </w:r>
    </w:p>
    <w:p w14:paraId="22EC5F6B" w14:textId="2F9D3DEE" w:rsidR="00D027C1" w:rsidRPr="00FA0D37" w:rsidRDefault="00BB1623" w:rsidP="00FA0D37">
      <w:pPr>
        <w:pStyle w:val="PL"/>
        <w:rPr>
          <w:rFonts w:eastAsiaTheme="minorEastAsia"/>
        </w:rPr>
      </w:pPr>
      <w:r w:rsidRPr="00FA0D37">
        <w:rPr>
          <w:rFonts w:eastAsiaTheme="minorEastAsia"/>
        </w:rPr>
        <w:t>}</w:t>
      </w:r>
    </w:p>
    <w:p w14:paraId="254EA7E6" w14:textId="77777777" w:rsidR="002C7704" w:rsidRPr="00FA0D37" w:rsidRDefault="002C7704" w:rsidP="00FA0D37">
      <w:pPr>
        <w:pStyle w:val="PL"/>
        <w:rPr>
          <w:rFonts w:eastAsiaTheme="minorEastAsia"/>
        </w:rPr>
      </w:pPr>
    </w:p>
    <w:p w14:paraId="558BDD99" w14:textId="627F4D1B" w:rsidR="002C7704" w:rsidRPr="00FA0D37" w:rsidRDefault="002C7704" w:rsidP="00FA0D37">
      <w:pPr>
        <w:pStyle w:val="PL"/>
        <w:rPr>
          <w:rFonts w:eastAsiaTheme="minorEastAsia"/>
        </w:rPr>
      </w:pPr>
      <w:r w:rsidRPr="00FA0D37">
        <w:rPr>
          <w:rFonts w:eastAsiaTheme="minorEastAsia"/>
        </w:rPr>
        <w:t>SharedSpectrumChAccessParamsPerBand-v1710 ::=</w:t>
      </w:r>
      <w:r w:rsidRPr="00FA0D37">
        <w:t xml:space="preserve">    </w:t>
      </w:r>
      <w:r w:rsidRPr="00FA0D37">
        <w:rPr>
          <w:rFonts w:eastAsiaTheme="minorEastAsia"/>
          <w:color w:val="993366"/>
        </w:rPr>
        <w:t>SEQUENCE</w:t>
      </w:r>
      <w:r w:rsidRPr="00FA0D37">
        <w:rPr>
          <w:rFonts w:eastAsiaTheme="minorEastAsia"/>
        </w:rPr>
        <w:t xml:space="preserve"> {</w:t>
      </w:r>
    </w:p>
    <w:p w14:paraId="71C11583" w14:textId="290993D9" w:rsidR="002C7704" w:rsidRPr="00FA0D37" w:rsidRDefault="002C7704" w:rsidP="00FA0D37">
      <w:pPr>
        <w:pStyle w:val="PL"/>
        <w:rPr>
          <w:rFonts w:eastAsiaTheme="minorEastAsia"/>
          <w:color w:val="808080"/>
        </w:rPr>
      </w:pPr>
      <w:r w:rsidRPr="00FA0D37">
        <w:t xml:space="preserve">    </w:t>
      </w:r>
      <w:r w:rsidRPr="00FA0D37">
        <w:rPr>
          <w:rFonts w:eastAsiaTheme="minorEastAsia"/>
          <w:color w:val="808080"/>
        </w:rPr>
        <w:t>-- R1 25-12: UE initiated semi-static channel occupancy with dependent configurations</w:t>
      </w:r>
    </w:p>
    <w:p w14:paraId="1763481D" w14:textId="48029E61" w:rsidR="002C7704" w:rsidRPr="00FA0D37" w:rsidRDefault="002C7704" w:rsidP="00FA0D37">
      <w:pPr>
        <w:pStyle w:val="PL"/>
        <w:rPr>
          <w:rFonts w:eastAsiaTheme="minorEastAsia"/>
        </w:rPr>
      </w:pPr>
      <w:r w:rsidRPr="00FA0D37">
        <w:t xml:space="preserve">    </w:t>
      </w:r>
      <w:r w:rsidRPr="00FA0D37">
        <w:rPr>
          <w:rFonts w:eastAsiaTheme="minorEastAsia"/>
        </w:rPr>
        <w:t>ul-Semi-StaticChAccessDependentConfig-r17</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r w:rsidRPr="00FA0D37">
        <w:rPr>
          <w:rFonts w:eastAsiaTheme="minorEastAsia"/>
        </w:rPr>
        <w:t>,</w:t>
      </w:r>
    </w:p>
    <w:p w14:paraId="56D24E62" w14:textId="64449CA4" w:rsidR="002C7704" w:rsidRPr="00FA0D37" w:rsidRDefault="002C7704" w:rsidP="00FA0D37">
      <w:pPr>
        <w:pStyle w:val="PL"/>
        <w:rPr>
          <w:rFonts w:eastAsiaTheme="minorEastAsia"/>
          <w:color w:val="808080"/>
        </w:rPr>
      </w:pPr>
      <w:r w:rsidRPr="00FA0D37">
        <w:t xml:space="preserve">    </w:t>
      </w:r>
      <w:r w:rsidRPr="00FA0D37">
        <w:rPr>
          <w:rFonts w:eastAsiaTheme="minorEastAsia"/>
          <w:color w:val="808080"/>
        </w:rPr>
        <w:t>-- R1 25-13: UE initiated semi-static channel occupancy with independent configurations</w:t>
      </w:r>
    </w:p>
    <w:p w14:paraId="5D15FB3D" w14:textId="55344EB0" w:rsidR="002C7704" w:rsidRPr="00FA0D37" w:rsidRDefault="002C7704" w:rsidP="00FA0D37">
      <w:pPr>
        <w:pStyle w:val="PL"/>
        <w:rPr>
          <w:rFonts w:eastAsiaTheme="minorEastAsia"/>
        </w:rPr>
      </w:pPr>
      <w:r w:rsidRPr="00FA0D37">
        <w:t xml:space="preserve">    </w:t>
      </w:r>
      <w:r w:rsidRPr="00FA0D37">
        <w:rPr>
          <w:rFonts w:eastAsiaTheme="minorEastAsia"/>
        </w:rPr>
        <w:t>ul-Semi-StaticChAccessIndependentConfig-r17</w:t>
      </w:r>
      <w:r w:rsidRPr="00FA0D37">
        <w:t xml:space="preserve">      </w:t>
      </w:r>
      <w:r w:rsidRPr="00FA0D37">
        <w:rPr>
          <w:rFonts w:eastAsiaTheme="minorEastAsia"/>
          <w:color w:val="993366"/>
        </w:rPr>
        <w:t>ENUMERATED</w:t>
      </w:r>
      <w:r w:rsidRPr="00FA0D37">
        <w:rPr>
          <w:rFonts w:eastAsiaTheme="minorEastAsia"/>
        </w:rPr>
        <w:t xml:space="preserve"> {supported}</w:t>
      </w:r>
      <w:r w:rsidRPr="00FA0D37">
        <w:t xml:space="preserve">            </w:t>
      </w:r>
      <w:r w:rsidRPr="00FA0D37">
        <w:rPr>
          <w:rFonts w:eastAsiaTheme="minorEastAsia"/>
          <w:color w:val="993366"/>
        </w:rPr>
        <w:t>OPTIONAL</w:t>
      </w:r>
    </w:p>
    <w:p w14:paraId="0F7E85F6" w14:textId="4C51DF08" w:rsidR="002C7704" w:rsidRPr="00FA0D37" w:rsidRDefault="002C7704" w:rsidP="00FA0D37">
      <w:pPr>
        <w:pStyle w:val="PL"/>
        <w:rPr>
          <w:rFonts w:eastAsiaTheme="minorEastAsia"/>
        </w:rPr>
      </w:pPr>
      <w:r w:rsidRPr="00FA0D37">
        <w:rPr>
          <w:rFonts w:eastAsiaTheme="minorEastAsia"/>
        </w:rPr>
        <w:t>}</w:t>
      </w:r>
    </w:p>
    <w:p w14:paraId="7BE61C08" w14:textId="77777777" w:rsidR="002C7704" w:rsidRPr="00FA0D37" w:rsidRDefault="002C7704" w:rsidP="00FA0D37">
      <w:pPr>
        <w:pStyle w:val="PL"/>
        <w:rPr>
          <w:rFonts w:eastAsiaTheme="minorEastAsia"/>
        </w:rPr>
      </w:pPr>
    </w:p>
    <w:p w14:paraId="74F86F3D" w14:textId="77777777" w:rsidR="00394471" w:rsidRPr="00FA0D37" w:rsidRDefault="00394471" w:rsidP="00FA0D37">
      <w:pPr>
        <w:pStyle w:val="PL"/>
        <w:rPr>
          <w:rFonts w:eastAsiaTheme="minorEastAsia"/>
          <w:color w:val="808080"/>
        </w:rPr>
      </w:pPr>
      <w:r w:rsidRPr="00FA0D37">
        <w:rPr>
          <w:rFonts w:eastAsiaTheme="minorEastAsia"/>
          <w:color w:val="808080"/>
        </w:rPr>
        <w:t>-- TAG-SHAREDSPECTRUMCHACCESSPARAMSPERBAND-STOP</w:t>
      </w:r>
    </w:p>
    <w:p w14:paraId="79D07FAD" w14:textId="77777777" w:rsidR="00394471" w:rsidRPr="00FA0D37" w:rsidRDefault="00394471" w:rsidP="00FA0D37">
      <w:pPr>
        <w:pStyle w:val="PL"/>
        <w:rPr>
          <w:rFonts w:eastAsiaTheme="minorEastAsia"/>
          <w:color w:val="808080"/>
          <w:lang w:eastAsia="ja-JP"/>
        </w:rPr>
      </w:pPr>
      <w:r w:rsidRPr="00FA0D37">
        <w:rPr>
          <w:rFonts w:eastAsiaTheme="minorEastAsia"/>
          <w:color w:val="808080"/>
        </w:rPr>
        <w:t>-- ASN1STOP</w:t>
      </w:r>
    </w:p>
    <w:p w14:paraId="4EBF0E40" w14:textId="77777777" w:rsidR="00394471" w:rsidRPr="00FA0D37" w:rsidRDefault="00394471" w:rsidP="00394471"/>
    <w:p w14:paraId="12929794" w14:textId="22E1ABDC" w:rsidR="00394471" w:rsidRPr="00FA0D37" w:rsidRDefault="00394471" w:rsidP="00394471">
      <w:pPr>
        <w:pStyle w:val="3"/>
      </w:pPr>
      <w:bookmarkStart w:id="1651" w:name="_Toc60777493"/>
      <w:bookmarkStart w:id="1652" w:name="_Toc146781603"/>
      <w:r w:rsidRPr="00FA0D37">
        <w:t>6.3.4</w:t>
      </w:r>
      <w:r w:rsidRPr="00FA0D37">
        <w:tab/>
        <w:t>Other information elements</w:t>
      </w:r>
      <w:bookmarkEnd w:id="1651"/>
      <w:bookmarkEnd w:id="1652"/>
    </w:p>
    <w:p w14:paraId="1CCDB294" w14:textId="5CFAF7AE" w:rsidR="00394471" w:rsidRPr="00FA0D37" w:rsidRDefault="00394471" w:rsidP="00394471">
      <w:pPr>
        <w:pStyle w:val="4"/>
      </w:pPr>
      <w:bookmarkStart w:id="1653" w:name="_Toc60777494"/>
      <w:bookmarkStart w:id="1654" w:name="_Toc146781604"/>
      <w:r w:rsidRPr="00FA0D37">
        <w:t>–</w:t>
      </w:r>
      <w:r w:rsidRPr="00FA0D37">
        <w:tab/>
      </w:r>
      <w:r w:rsidRPr="00FA0D37">
        <w:rPr>
          <w:i/>
        </w:rPr>
        <w:t>AbsoluteTimeInfo</w:t>
      </w:r>
      <w:bookmarkEnd w:id="1653"/>
      <w:bookmarkEnd w:id="1654"/>
    </w:p>
    <w:p w14:paraId="1A4898E2" w14:textId="77777777" w:rsidR="00394471" w:rsidRPr="00FA0D37" w:rsidRDefault="00394471" w:rsidP="00394471">
      <w:pPr>
        <w:keepNext/>
        <w:keepLines/>
        <w:rPr>
          <w:iCs/>
        </w:rPr>
      </w:pPr>
      <w:r w:rsidRPr="00FA0D37">
        <w:t xml:space="preserve">The IE </w:t>
      </w:r>
      <w:r w:rsidRPr="00FA0D37">
        <w:rPr>
          <w:i/>
        </w:rPr>
        <w:t>AbsoluteTimeInfo</w:t>
      </w:r>
      <w:r w:rsidRPr="00FA0D37">
        <w:rPr>
          <w:iCs/>
        </w:rPr>
        <w:t xml:space="preserve"> indicates an absolute time in a format YY-MM-DD HH:MM:SS and using BCD encoding.</w:t>
      </w:r>
      <w:r w:rsidRPr="00FA0D37">
        <w:t xml:space="preserve"> </w:t>
      </w:r>
      <w:r w:rsidRPr="00FA0D37">
        <w:rPr>
          <w:iCs/>
        </w:rPr>
        <w:t>The first/ leftmost bit of the bit string contains the most significant bit of the most significant digit of the year and so on.</w:t>
      </w:r>
    </w:p>
    <w:p w14:paraId="6E1DC3A8" w14:textId="77777777" w:rsidR="00394471" w:rsidRPr="00FA0D37" w:rsidRDefault="00394471" w:rsidP="00394471">
      <w:pPr>
        <w:pStyle w:val="TH"/>
      </w:pPr>
      <w:r w:rsidRPr="00FA0D37">
        <w:rPr>
          <w:bCs/>
          <w:i/>
          <w:iCs/>
        </w:rPr>
        <w:t xml:space="preserve">AbsoluteTimeInfo </w:t>
      </w:r>
      <w:r w:rsidRPr="00FA0D37">
        <w:t>information element</w:t>
      </w:r>
    </w:p>
    <w:p w14:paraId="06E7EEA8" w14:textId="77777777" w:rsidR="00394471" w:rsidRPr="00FA0D37" w:rsidRDefault="00394471" w:rsidP="00FA0D37">
      <w:pPr>
        <w:pStyle w:val="PL"/>
        <w:rPr>
          <w:color w:val="808080"/>
        </w:rPr>
      </w:pPr>
      <w:r w:rsidRPr="00FA0D37">
        <w:rPr>
          <w:color w:val="808080"/>
        </w:rPr>
        <w:t>-- ASN1START</w:t>
      </w:r>
    </w:p>
    <w:p w14:paraId="0ABB68CB" w14:textId="77777777" w:rsidR="00394471" w:rsidRPr="00FA0D37" w:rsidRDefault="00394471" w:rsidP="00FA0D37">
      <w:pPr>
        <w:pStyle w:val="PL"/>
        <w:rPr>
          <w:color w:val="808080"/>
        </w:rPr>
      </w:pPr>
      <w:r w:rsidRPr="00FA0D37">
        <w:rPr>
          <w:color w:val="808080"/>
        </w:rPr>
        <w:t>-- TAG-ABSOLUTETIMEINFO-START</w:t>
      </w:r>
    </w:p>
    <w:p w14:paraId="52AFEB58" w14:textId="77777777" w:rsidR="00394471" w:rsidRPr="00FA0D37" w:rsidRDefault="00394471" w:rsidP="00FA0D37">
      <w:pPr>
        <w:pStyle w:val="PL"/>
      </w:pPr>
    </w:p>
    <w:p w14:paraId="41E46044" w14:textId="77777777" w:rsidR="00394471" w:rsidRPr="00FA0D37" w:rsidRDefault="00394471" w:rsidP="00FA0D37">
      <w:pPr>
        <w:pStyle w:val="PL"/>
      </w:pPr>
      <w:r w:rsidRPr="00FA0D37">
        <w:t xml:space="preserve">AbsoluteTimeInfo-r16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(48))</w:t>
      </w:r>
    </w:p>
    <w:p w14:paraId="714DED9D" w14:textId="77777777" w:rsidR="00394471" w:rsidRPr="00FA0D37" w:rsidRDefault="00394471" w:rsidP="00FA0D37">
      <w:pPr>
        <w:pStyle w:val="PL"/>
      </w:pPr>
    </w:p>
    <w:p w14:paraId="55A182DD" w14:textId="77777777" w:rsidR="00394471" w:rsidRPr="00FA0D37" w:rsidRDefault="00394471" w:rsidP="00FA0D37">
      <w:pPr>
        <w:pStyle w:val="PL"/>
        <w:rPr>
          <w:color w:val="808080"/>
        </w:rPr>
      </w:pPr>
      <w:r w:rsidRPr="00FA0D37">
        <w:rPr>
          <w:color w:val="808080"/>
        </w:rPr>
        <w:t>-- TAG-ABSOLUTETIMEINFO-STOP</w:t>
      </w:r>
    </w:p>
    <w:p w14:paraId="3026489B" w14:textId="77777777" w:rsidR="00394471" w:rsidRPr="00FA0D37" w:rsidRDefault="00394471" w:rsidP="00FA0D37">
      <w:pPr>
        <w:pStyle w:val="PL"/>
        <w:rPr>
          <w:color w:val="808080"/>
        </w:rPr>
      </w:pPr>
      <w:r w:rsidRPr="00FA0D37">
        <w:rPr>
          <w:color w:val="808080"/>
        </w:rPr>
        <w:t>-- ASN1STOP</w:t>
      </w:r>
    </w:p>
    <w:p w14:paraId="47BC2080" w14:textId="4EAF0458" w:rsidR="00394471" w:rsidRPr="00FA0D37" w:rsidRDefault="00394471" w:rsidP="00394471">
      <w:pPr>
        <w:rPr>
          <w:lang w:eastAsia="zh-CN"/>
        </w:rPr>
      </w:pPr>
    </w:p>
    <w:p w14:paraId="5D8CEDFA" w14:textId="77777777" w:rsidR="0046275D" w:rsidRPr="00FA0D37" w:rsidRDefault="0046275D" w:rsidP="0046275D">
      <w:pPr>
        <w:keepNext/>
        <w:keepLines/>
        <w:spacing w:before="120"/>
        <w:ind w:left="1418" w:hanging="1418"/>
        <w:outlineLvl w:val="3"/>
        <w:rPr>
          <w:rFonts w:ascii="Arial" w:hAnsi="Arial"/>
          <w:sz w:val="24"/>
        </w:rPr>
      </w:pPr>
      <w:bookmarkStart w:id="1655" w:name="_Hlk88212843"/>
      <w:r w:rsidRPr="00FA0D37">
        <w:rPr>
          <w:rFonts w:ascii="Arial" w:hAnsi="Arial"/>
          <w:sz w:val="24"/>
        </w:rPr>
        <w:t>–</w:t>
      </w:r>
      <w:r w:rsidRPr="00FA0D37">
        <w:rPr>
          <w:rFonts w:ascii="Arial" w:hAnsi="Arial"/>
          <w:sz w:val="24"/>
        </w:rPr>
        <w:tab/>
      </w:r>
      <w:r w:rsidRPr="00FA0D37">
        <w:rPr>
          <w:rFonts w:ascii="Arial" w:hAnsi="Arial"/>
          <w:i/>
          <w:sz w:val="24"/>
        </w:rPr>
        <w:t>AppLayerMeasConfig</w:t>
      </w:r>
    </w:p>
    <w:p w14:paraId="02926D7C" w14:textId="77777777" w:rsidR="0046275D" w:rsidRPr="00FA0D37" w:rsidRDefault="0046275D" w:rsidP="0046275D">
      <w:pPr>
        <w:keepNext/>
        <w:keepLines/>
        <w:rPr>
          <w:iCs/>
        </w:rPr>
      </w:pPr>
      <w:r w:rsidRPr="00FA0D37">
        <w:t xml:space="preserve">The IE </w:t>
      </w:r>
      <w:r w:rsidRPr="00FA0D37">
        <w:rPr>
          <w:i/>
        </w:rPr>
        <w:t>AppLayerMeasConfig</w:t>
      </w:r>
      <w:r w:rsidRPr="00FA0D37">
        <w:rPr>
          <w:iCs/>
        </w:rPr>
        <w:t xml:space="preserve"> indicates configuration of application layer measurements.</w:t>
      </w:r>
    </w:p>
    <w:p w14:paraId="467EE378" w14:textId="77777777" w:rsidR="0046275D" w:rsidRPr="00FA0D37" w:rsidRDefault="0046275D" w:rsidP="0046275D">
      <w:pPr>
        <w:keepNext/>
        <w:keepLines/>
        <w:spacing w:before="60"/>
        <w:jc w:val="center"/>
        <w:rPr>
          <w:rFonts w:ascii="Arial" w:hAnsi="Arial"/>
          <w:b/>
        </w:rPr>
      </w:pPr>
      <w:r w:rsidRPr="00FA0D37">
        <w:rPr>
          <w:rFonts w:ascii="Arial" w:hAnsi="Arial"/>
          <w:b/>
          <w:bCs/>
          <w:i/>
          <w:iCs/>
        </w:rPr>
        <w:t xml:space="preserve">AppLayerMeasConfig </w:t>
      </w:r>
      <w:r w:rsidRPr="00FA0D37">
        <w:rPr>
          <w:rFonts w:ascii="Arial" w:hAnsi="Arial"/>
          <w:b/>
        </w:rPr>
        <w:t>information element</w:t>
      </w:r>
    </w:p>
    <w:p w14:paraId="0CE95FFF" w14:textId="77777777" w:rsidR="0046275D" w:rsidRPr="00FA0D37" w:rsidRDefault="0046275D" w:rsidP="00FA0D37">
      <w:pPr>
        <w:pStyle w:val="PL"/>
        <w:rPr>
          <w:color w:val="808080"/>
        </w:rPr>
      </w:pPr>
      <w:r w:rsidRPr="00FA0D37">
        <w:rPr>
          <w:color w:val="808080"/>
        </w:rPr>
        <w:t>-- ASN1START</w:t>
      </w:r>
    </w:p>
    <w:p w14:paraId="7014653E" w14:textId="77777777" w:rsidR="0046275D" w:rsidRPr="00FA0D37" w:rsidRDefault="0046275D" w:rsidP="00FA0D37">
      <w:pPr>
        <w:pStyle w:val="PL"/>
        <w:rPr>
          <w:color w:val="808080"/>
        </w:rPr>
      </w:pPr>
      <w:r w:rsidRPr="00FA0D37">
        <w:rPr>
          <w:color w:val="808080"/>
        </w:rPr>
        <w:t>-- TAG-APPLAYERMEASCONFIG-START</w:t>
      </w:r>
    </w:p>
    <w:p w14:paraId="597CF0C9" w14:textId="77777777" w:rsidR="0046275D" w:rsidRPr="00FA0D37" w:rsidRDefault="0046275D" w:rsidP="00FA0D37">
      <w:pPr>
        <w:pStyle w:val="PL"/>
      </w:pPr>
    </w:p>
    <w:p w14:paraId="292E3333" w14:textId="4ECEE9E2" w:rsidR="0046275D" w:rsidRPr="00FA0D37" w:rsidRDefault="0046275D" w:rsidP="00FA0D37">
      <w:pPr>
        <w:pStyle w:val="PL"/>
      </w:pPr>
      <w:bookmarkStart w:id="1656" w:name="_Hlk89074849"/>
      <w:r w:rsidRPr="00FA0D37">
        <w:t xml:space="preserve">AppLayerMeasConfig-r17 ::=           </w:t>
      </w:r>
      <w:r w:rsidRPr="00FA0D37">
        <w:rPr>
          <w:color w:val="993366"/>
        </w:rPr>
        <w:t>SEQUENCE</w:t>
      </w:r>
      <w:r w:rsidRPr="00FA0D37">
        <w:t xml:space="preserve"> {</w:t>
      </w:r>
    </w:p>
    <w:p w14:paraId="6C6EFFBF" w14:textId="2A008D40" w:rsidR="0046275D" w:rsidRPr="00FA0D37" w:rsidRDefault="0046275D" w:rsidP="00FA0D37">
      <w:pPr>
        <w:pStyle w:val="PL"/>
        <w:rPr>
          <w:color w:val="808080"/>
        </w:rPr>
      </w:pPr>
      <w:r w:rsidRPr="00FA0D37">
        <w:t xml:space="preserve">    measConfigAppLayerToAddModList-r17   </w:t>
      </w:r>
      <w:r w:rsidRPr="00FA0D37">
        <w:rPr>
          <w:color w:val="993366"/>
        </w:rPr>
        <w:t>SEQUENCE</w:t>
      </w:r>
      <w:r w:rsidRPr="00FA0D37">
        <w:t xml:space="preserve"> (</w:t>
      </w:r>
      <w:r w:rsidRPr="00FA0D37">
        <w:rPr>
          <w:color w:val="993366"/>
        </w:rPr>
        <w:t>SIZE</w:t>
      </w:r>
      <w:r w:rsidRPr="00FA0D37">
        <w:t xml:space="preserve"> (1..maxNrofAppLayerMeas-r17))</w:t>
      </w:r>
      <w:r w:rsidRPr="00FA0D37">
        <w:rPr>
          <w:color w:val="993366"/>
        </w:rPr>
        <w:t xml:space="preserve"> OF</w:t>
      </w:r>
      <w:r w:rsidRPr="00FA0D37">
        <w:t xml:space="preserve"> MeasConfigAppLayer-r17     </w:t>
      </w:r>
      <w:r w:rsidRPr="00FA0D37">
        <w:rPr>
          <w:color w:val="993366"/>
        </w:rPr>
        <w:t>OPTIONAL</w:t>
      </w:r>
      <w:r w:rsidRPr="00FA0D37">
        <w:t xml:space="preserve">, </w:t>
      </w:r>
      <w:r w:rsidRPr="00FA0D37">
        <w:rPr>
          <w:color w:val="808080"/>
        </w:rPr>
        <w:t>-- Need N</w:t>
      </w:r>
    </w:p>
    <w:p w14:paraId="79562284" w14:textId="304660FA" w:rsidR="0046275D" w:rsidRPr="00FA0D37" w:rsidRDefault="0046275D" w:rsidP="00FA0D37">
      <w:pPr>
        <w:pStyle w:val="PL"/>
        <w:rPr>
          <w:color w:val="808080"/>
        </w:rPr>
      </w:pPr>
      <w:r w:rsidRPr="00FA0D37">
        <w:t xml:space="preserve">    measConfigAppLayerToReleaseList-r17  </w:t>
      </w:r>
      <w:r w:rsidRPr="00FA0D37">
        <w:rPr>
          <w:color w:val="993366"/>
        </w:rPr>
        <w:t>SEQUENCE</w:t>
      </w:r>
      <w:r w:rsidRPr="00FA0D37">
        <w:t xml:space="preserve"> (</w:t>
      </w:r>
      <w:r w:rsidRPr="00FA0D37">
        <w:rPr>
          <w:color w:val="993366"/>
        </w:rPr>
        <w:t>SIZE</w:t>
      </w:r>
      <w:r w:rsidRPr="00FA0D37">
        <w:t xml:space="preserve"> (1..maxNrofAppLayerMeas-r17))</w:t>
      </w:r>
      <w:r w:rsidRPr="00FA0D37">
        <w:rPr>
          <w:color w:val="993366"/>
        </w:rPr>
        <w:t xml:space="preserve"> OF</w:t>
      </w:r>
      <w:r w:rsidRPr="00FA0D37">
        <w:t xml:space="preserve"> MeasConfigAppLayerId-r17   </w:t>
      </w:r>
      <w:r w:rsidRPr="00FA0D37">
        <w:rPr>
          <w:color w:val="993366"/>
        </w:rPr>
        <w:t>OPTIONAL</w:t>
      </w:r>
      <w:r w:rsidRPr="00FA0D37">
        <w:t xml:space="preserve">, </w:t>
      </w:r>
      <w:r w:rsidRPr="00FA0D37">
        <w:rPr>
          <w:color w:val="808080"/>
        </w:rPr>
        <w:t>-- Need N</w:t>
      </w:r>
    </w:p>
    <w:p w14:paraId="787723F3" w14:textId="6CF4981F" w:rsidR="0046275D" w:rsidRPr="00FA0D37" w:rsidRDefault="0046275D" w:rsidP="00FA0D37">
      <w:pPr>
        <w:pStyle w:val="PL"/>
        <w:rPr>
          <w:color w:val="808080"/>
        </w:rPr>
      </w:pPr>
      <w:r w:rsidRPr="00FA0D37">
        <w:t xml:space="preserve">    </w:t>
      </w:r>
      <w:r w:rsidRPr="00FA0D37">
        <w:rPr>
          <w:rFonts w:eastAsia="宋体"/>
        </w:rPr>
        <w:t>rrc-SegAllowed-r17</w:t>
      </w:r>
      <w:r w:rsidRPr="00FA0D37">
        <w:t xml:space="preserve">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xml:space="preserve">-- Need </w:t>
      </w:r>
      <w:r w:rsidR="00C24B82" w:rsidRPr="00FA0D37">
        <w:rPr>
          <w:color w:val="808080"/>
        </w:rPr>
        <w:t>R</w:t>
      </w:r>
    </w:p>
    <w:p w14:paraId="0DAB272D" w14:textId="77777777" w:rsidR="0046275D" w:rsidRPr="00FA0D37" w:rsidRDefault="0046275D" w:rsidP="00FA0D37">
      <w:pPr>
        <w:pStyle w:val="PL"/>
      </w:pPr>
      <w:r w:rsidRPr="00FA0D37">
        <w:lastRenderedPageBreak/>
        <w:t xml:space="preserve">    ...</w:t>
      </w:r>
    </w:p>
    <w:p w14:paraId="7A0AB399" w14:textId="77777777" w:rsidR="0046275D" w:rsidRPr="00FA0D37" w:rsidRDefault="0046275D" w:rsidP="00FA0D37">
      <w:pPr>
        <w:pStyle w:val="PL"/>
      </w:pPr>
      <w:r w:rsidRPr="00FA0D37">
        <w:t>}</w:t>
      </w:r>
    </w:p>
    <w:p w14:paraId="0798F503" w14:textId="77777777" w:rsidR="0046275D" w:rsidRPr="00FA0D37" w:rsidRDefault="0046275D" w:rsidP="00FA0D37">
      <w:pPr>
        <w:pStyle w:val="PL"/>
      </w:pPr>
    </w:p>
    <w:p w14:paraId="11FC3475" w14:textId="678C6EBA" w:rsidR="0046275D" w:rsidRPr="00FA0D37" w:rsidRDefault="0046275D" w:rsidP="00FA0D37">
      <w:pPr>
        <w:pStyle w:val="PL"/>
      </w:pPr>
      <w:r w:rsidRPr="00FA0D37">
        <w:t xml:space="preserve">MeasConfigAppLayer-r17 ::=           </w:t>
      </w:r>
      <w:r w:rsidRPr="00FA0D37">
        <w:rPr>
          <w:color w:val="993366"/>
        </w:rPr>
        <w:t>SEQUENCE</w:t>
      </w:r>
      <w:r w:rsidRPr="00FA0D37">
        <w:t xml:space="preserve"> {</w:t>
      </w:r>
    </w:p>
    <w:p w14:paraId="1375211B" w14:textId="03D897F7" w:rsidR="0046275D" w:rsidRPr="00FA0D37" w:rsidRDefault="0046275D" w:rsidP="00FA0D37">
      <w:pPr>
        <w:pStyle w:val="PL"/>
      </w:pPr>
      <w:r w:rsidRPr="00FA0D37">
        <w:t xml:space="preserve">    measConfigAppLayerId-r17             MeasConfigAppLayerId-r17,</w:t>
      </w:r>
    </w:p>
    <w:p w14:paraId="0F83CFEB" w14:textId="132F0903" w:rsidR="0046275D" w:rsidRPr="00FA0D37" w:rsidRDefault="0046275D" w:rsidP="00FA0D37">
      <w:pPr>
        <w:pStyle w:val="PL"/>
        <w:rPr>
          <w:color w:val="808080"/>
        </w:rPr>
      </w:pPr>
      <w:r w:rsidRPr="00FA0D37">
        <w:t xml:space="preserve">    measConfigAppLayerContainer-r17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(1..8000))                                              </w:t>
      </w:r>
      <w:r w:rsidRPr="00FA0D37">
        <w:rPr>
          <w:color w:val="993366"/>
        </w:rPr>
        <w:t>OPTIONAL</w:t>
      </w:r>
      <w:r w:rsidRPr="00FA0D37">
        <w:t>,</w:t>
      </w:r>
      <w:r w:rsidRPr="00FA0D37">
        <w:rPr>
          <w:rFonts w:eastAsia="宋体"/>
        </w:rPr>
        <w:t xml:space="preserve"> </w:t>
      </w:r>
      <w:r w:rsidRPr="00FA0D37">
        <w:rPr>
          <w:rFonts w:eastAsia="宋体"/>
          <w:color w:val="808080"/>
        </w:rPr>
        <w:t>-- Need N</w:t>
      </w:r>
    </w:p>
    <w:p w14:paraId="4ECC2C4F" w14:textId="2E054A83" w:rsidR="0046275D" w:rsidRPr="00FA0D37" w:rsidRDefault="0046275D" w:rsidP="00FA0D37">
      <w:pPr>
        <w:pStyle w:val="PL"/>
        <w:rPr>
          <w:color w:val="808080"/>
        </w:rPr>
      </w:pPr>
      <w:r w:rsidRPr="00FA0D37">
        <w:t xml:space="preserve">    serviceType-r17                      </w:t>
      </w:r>
      <w:r w:rsidRPr="00FA0D37">
        <w:rPr>
          <w:color w:val="993366"/>
        </w:rPr>
        <w:t>ENUMERATED</w:t>
      </w:r>
      <w:r w:rsidRPr="00FA0D37">
        <w:t xml:space="preserve"> {streaming, mtsi, vr, spare5, spare4, spare3, spare2, spare1}   </w:t>
      </w:r>
      <w:r w:rsidRPr="00FA0D37">
        <w:rPr>
          <w:color w:val="993366"/>
        </w:rPr>
        <w:t>OPTIONAL</w:t>
      </w:r>
      <w:r w:rsidRPr="00FA0D37">
        <w:t>,</w:t>
      </w:r>
      <w:r w:rsidRPr="00FA0D37">
        <w:rPr>
          <w:rFonts w:eastAsia="宋体"/>
        </w:rPr>
        <w:t xml:space="preserve"> </w:t>
      </w:r>
      <w:r w:rsidRPr="00FA0D37">
        <w:rPr>
          <w:rFonts w:eastAsia="宋体"/>
          <w:color w:val="808080"/>
        </w:rPr>
        <w:t>-- Need M</w:t>
      </w:r>
    </w:p>
    <w:p w14:paraId="09CCA68C" w14:textId="50C158AA" w:rsidR="0046275D" w:rsidRPr="00FA0D37" w:rsidRDefault="0046275D" w:rsidP="00FA0D37">
      <w:pPr>
        <w:pStyle w:val="PL"/>
        <w:rPr>
          <w:color w:val="808080"/>
        </w:rPr>
      </w:pPr>
      <w:r w:rsidRPr="00FA0D37">
        <w:t xml:space="preserve">    pauseReporting</w:t>
      </w:r>
      <w:r w:rsidR="00BD1021" w:rsidRPr="00FA0D37">
        <w:t>-r17</w:t>
      </w:r>
      <w:r w:rsidRPr="00FA0D37">
        <w:t xml:space="preserve">                   </w:t>
      </w:r>
      <w:r w:rsidRPr="00FA0D37">
        <w:rPr>
          <w:color w:val="993366"/>
        </w:rPr>
        <w:t>BOOLEAN</w:t>
      </w:r>
      <w:r w:rsidR="00C24B82" w:rsidRPr="00FA0D37">
        <w:t xml:space="preserve">                                                                    </w:t>
      </w:r>
      <w:r w:rsidR="00C24B82" w:rsidRPr="00FA0D37">
        <w:rPr>
          <w:color w:val="993366"/>
        </w:rPr>
        <w:t>OPTIONAL</w:t>
      </w:r>
      <w:r w:rsidR="00C24B82" w:rsidRPr="00FA0D37">
        <w:t>,</w:t>
      </w:r>
      <w:r w:rsidR="00C24B82" w:rsidRPr="00FA0D37">
        <w:rPr>
          <w:rFonts w:eastAsia="宋体"/>
        </w:rPr>
        <w:t xml:space="preserve"> </w:t>
      </w:r>
      <w:r w:rsidR="00C24B82" w:rsidRPr="00FA0D37">
        <w:rPr>
          <w:rFonts w:eastAsia="宋体"/>
          <w:color w:val="808080"/>
        </w:rPr>
        <w:t>-- Need M</w:t>
      </w:r>
    </w:p>
    <w:p w14:paraId="0B1E0627" w14:textId="24735A6F" w:rsidR="0046275D" w:rsidRPr="00FA0D37" w:rsidRDefault="0046275D" w:rsidP="00FA0D37">
      <w:pPr>
        <w:pStyle w:val="PL"/>
        <w:rPr>
          <w:color w:val="808080"/>
        </w:rPr>
      </w:pPr>
      <w:r w:rsidRPr="00FA0D37">
        <w:t xml:space="preserve">    transmissionOfSessionStartStop</w:t>
      </w:r>
      <w:r w:rsidR="00BD1021" w:rsidRPr="00FA0D37">
        <w:t>-r17</w:t>
      </w:r>
      <w:r w:rsidRPr="00FA0D37">
        <w:t xml:space="preserve">   </w:t>
      </w:r>
      <w:r w:rsidRPr="00FA0D37">
        <w:rPr>
          <w:color w:val="993366"/>
        </w:rPr>
        <w:t>BOOLEAN</w:t>
      </w:r>
      <w:r w:rsidR="00C24B82" w:rsidRPr="00FA0D37">
        <w:t xml:space="preserve">                                                                    </w:t>
      </w:r>
      <w:r w:rsidR="00C24B82" w:rsidRPr="00FA0D37">
        <w:rPr>
          <w:color w:val="993366"/>
        </w:rPr>
        <w:t>OPTIONAL</w:t>
      </w:r>
      <w:r w:rsidR="00C24B82" w:rsidRPr="00FA0D37">
        <w:t>,</w:t>
      </w:r>
      <w:r w:rsidR="00C24B82" w:rsidRPr="00FA0D37">
        <w:rPr>
          <w:rFonts w:eastAsia="宋体"/>
        </w:rPr>
        <w:t xml:space="preserve"> </w:t>
      </w:r>
      <w:r w:rsidR="00C24B82" w:rsidRPr="00FA0D37">
        <w:rPr>
          <w:rFonts w:eastAsia="宋体"/>
          <w:color w:val="808080"/>
        </w:rPr>
        <w:t>-- Need M</w:t>
      </w:r>
    </w:p>
    <w:p w14:paraId="19DECFFA" w14:textId="41C7C35B" w:rsidR="0046275D" w:rsidRPr="00FA0D37" w:rsidRDefault="0046275D" w:rsidP="00FA0D37">
      <w:pPr>
        <w:pStyle w:val="PL"/>
        <w:rPr>
          <w:color w:val="808080"/>
        </w:rPr>
      </w:pPr>
      <w:r w:rsidRPr="00FA0D37">
        <w:t xml:space="preserve">    ran-VisibleParameters-r17            SetupRelease {RAN-VisibleParameters-r17}                                   </w:t>
      </w:r>
      <w:r w:rsidRPr="00FA0D37">
        <w:rPr>
          <w:color w:val="993366"/>
        </w:rPr>
        <w:t>OPTIONAL</w:t>
      </w:r>
      <w:r w:rsidRPr="00FA0D37">
        <w:t xml:space="preserve">, </w:t>
      </w:r>
      <w:r w:rsidRPr="00FA0D37">
        <w:rPr>
          <w:color w:val="808080"/>
        </w:rPr>
        <w:t xml:space="preserve">-- </w:t>
      </w:r>
      <w:r w:rsidR="00BD1021" w:rsidRPr="00FA0D37">
        <w:rPr>
          <w:color w:val="808080"/>
        </w:rPr>
        <w:t xml:space="preserve">Cond </w:t>
      </w:r>
      <w:r w:rsidR="003431E3" w:rsidRPr="00FA0D37">
        <w:rPr>
          <w:color w:val="808080"/>
        </w:rPr>
        <w:t>S</w:t>
      </w:r>
      <w:r w:rsidR="00BD1021" w:rsidRPr="00FA0D37">
        <w:rPr>
          <w:color w:val="808080"/>
        </w:rPr>
        <w:t>erviceType</w:t>
      </w:r>
    </w:p>
    <w:p w14:paraId="13DD5A14" w14:textId="77777777" w:rsidR="0046275D" w:rsidRPr="00FA0D37" w:rsidRDefault="0046275D" w:rsidP="00FA0D37">
      <w:pPr>
        <w:pStyle w:val="PL"/>
      </w:pPr>
      <w:r w:rsidRPr="00FA0D37">
        <w:t xml:space="preserve">    ...</w:t>
      </w:r>
    </w:p>
    <w:p w14:paraId="2DD563D8" w14:textId="77777777" w:rsidR="0046275D" w:rsidRPr="00FA0D37" w:rsidRDefault="0046275D" w:rsidP="00FA0D37">
      <w:pPr>
        <w:pStyle w:val="PL"/>
      </w:pPr>
      <w:r w:rsidRPr="00FA0D37">
        <w:t>}</w:t>
      </w:r>
    </w:p>
    <w:p w14:paraId="6E64203F" w14:textId="77777777" w:rsidR="0046275D" w:rsidRPr="00FA0D37" w:rsidRDefault="0046275D" w:rsidP="00FA0D37">
      <w:pPr>
        <w:pStyle w:val="PL"/>
      </w:pPr>
    </w:p>
    <w:p w14:paraId="1235F55E" w14:textId="0A03A679" w:rsidR="0046275D" w:rsidRPr="00FA0D37" w:rsidRDefault="0046275D" w:rsidP="00FA0D37">
      <w:pPr>
        <w:pStyle w:val="PL"/>
      </w:pPr>
      <w:r w:rsidRPr="00FA0D37">
        <w:t xml:space="preserve">RAN-VisibleParameters-r17 ::=        </w:t>
      </w:r>
      <w:r w:rsidRPr="00FA0D37">
        <w:rPr>
          <w:color w:val="993366"/>
        </w:rPr>
        <w:t>SEQUENCE</w:t>
      </w:r>
      <w:r w:rsidRPr="00FA0D37">
        <w:t xml:space="preserve"> {</w:t>
      </w:r>
    </w:p>
    <w:p w14:paraId="3B12E0F4" w14:textId="7A8C543C" w:rsidR="0046275D" w:rsidRPr="00FA0D37" w:rsidRDefault="0046275D" w:rsidP="00FA0D37">
      <w:pPr>
        <w:pStyle w:val="PL"/>
        <w:rPr>
          <w:color w:val="808080"/>
        </w:rPr>
      </w:pPr>
      <w:r w:rsidRPr="00FA0D37">
        <w:t xml:space="preserve">    ran-VisiblePeriodicity</w:t>
      </w:r>
      <w:r w:rsidR="00C24B82" w:rsidRPr="00FA0D37">
        <w:t>-r17</w:t>
      </w:r>
      <w:r w:rsidRPr="00FA0D37">
        <w:t xml:space="preserve">           </w:t>
      </w:r>
      <w:r w:rsidRPr="00FA0D37">
        <w:rPr>
          <w:color w:val="993366"/>
        </w:rPr>
        <w:t>ENUMERATED</w:t>
      </w:r>
      <w:r w:rsidRPr="00FA0D37">
        <w:t xml:space="preserve"> {ms120, ms240, ms480, ms640, ms1024}                            </w:t>
      </w:r>
      <w:r w:rsidRPr="00FA0D37">
        <w:rPr>
          <w:color w:val="993366"/>
        </w:rPr>
        <w:t>OPTIONAL</w:t>
      </w:r>
      <w:r w:rsidRPr="00FA0D37">
        <w:t xml:space="preserve">, </w:t>
      </w:r>
      <w:r w:rsidRPr="00FA0D37">
        <w:rPr>
          <w:color w:val="808080"/>
        </w:rPr>
        <w:t>-- Need S</w:t>
      </w:r>
    </w:p>
    <w:p w14:paraId="5E4CC742" w14:textId="748882D2" w:rsidR="0046275D" w:rsidRPr="00FA0D37" w:rsidRDefault="0046275D" w:rsidP="00FA0D37">
      <w:pPr>
        <w:pStyle w:val="PL"/>
        <w:rPr>
          <w:color w:val="808080"/>
        </w:rPr>
      </w:pPr>
      <w:r w:rsidRPr="00FA0D37">
        <w:t xml:space="preserve">    numberOfBufferLevelEntries</w:t>
      </w:r>
      <w:r w:rsidR="00C24B82" w:rsidRPr="00FA0D37">
        <w:t>-r17</w:t>
      </w:r>
      <w:r w:rsidRPr="00FA0D37">
        <w:t xml:space="preserve">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428507EB" w14:textId="2DDCBC0E" w:rsidR="0046275D" w:rsidRPr="00FA0D37" w:rsidRDefault="0046275D" w:rsidP="00FA0D37">
      <w:pPr>
        <w:pStyle w:val="PL"/>
        <w:rPr>
          <w:color w:val="808080"/>
        </w:rPr>
      </w:pPr>
      <w:r w:rsidRPr="00FA0D37">
        <w:t xml:space="preserve">    reportPlay</w:t>
      </w:r>
      <w:r w:rsidR="00C24B82" w:rsidRPr="00FA0D37">
        <w:t>o</w:t>
      </w:r>
      <w:r w:rsidRPr="00FA0D37">
        <w:t>utDelay</w:t>
      </w:r>
      <w:r w:rsidR="00C24B82" w:rsidRPr="00FA0D37">
        <w:t>ForMediaStartup-r17</w:t>
      </w:r>
      <w:r w:rsidRPr="00FA0D37">
        <w:t xml:space="preserve"> </w:t>
      </w:r>
      <w:r w:rsidRPr="00FA0D37">
        <w:rPr>
          <w:color w:val="993366"/>
        </w:rPr>
        <w:t>BOOLEAN</w:t>
      </w:r>
      <w:r w:rsidR="00C24B82" w:rsidRPr="00FA0D37">
        <w:t xml:space="preserve">                                                                  </w:t>
      </w:r>
      <w:r w:rsidR="00D7262D" w:rsidRPr="00FA0D37">
        <w:t xml:space="preserve"> </w:t>
      </w:r>
      <w:r w:rsidR="00C24B82" w:rsidRPr="00FA0D37">
        <w:rPr>
          <w:color w:val="993366"/>
        </w:rPr>
        <w:t>OPTIONAL</w:t>
      </w:r>
      <w:r w:rsidR="00C24B82" w:rsidRPr="00FA0D37">
        <w:t>,</w:t>
      </w:r>
      <w:r w:rsidR="00C24B82" w:rsidRPr="00FA0D37">
        <w:rPr>
          <w:rFonts w:eastAsia="宋体"/>
        </w:rPr>
        <w:t xml:space="preserve"> </w:t>
      </w:r>
      <w:r w:rsidR="00C24B82" w:rsidRPr="00FA0D37">
        <w:rPr>
          <w:rFonts w:eastAsia="宋体"/>
          <w:color w:val="808080"/>
        </w:rPr>
        <w:t>-- Need M</w:t>
      </w:r>
    </w:p>
    <w:p w14:paraId="048D8D27" w14:textId="77777777" w:rsidR="0046275D" w:rsidRPr="00FA0D37" w:rsidRDefault="0046275D" w:rsidP="00FA0D37">
      <w:pPr>
        <w:pStyle w:val="PL"/>
      </w:pPr>
      <w:r w:rsidRPr="00FA0D37">
        <w:t xml:space="preserve">    ...</w:t>
      </w:r>
    </w:p>
    <w:p w14:paraId="456CCF49" w14:textId="77777777" w:rsidR="0046275D" w:rsidRPr="00FA0D37" w:rsidRDefault="0046275D" w:rsidP="00FA0D37">
      <w:pPr>
        <w:pStyle w:val="PL"/>
      </w:pPr>
      <w:r w:rsidRPr="00FA0D37">
        <w:t>}</w:t>
      </w:r>
    </w:p>
    <w:bookmarkEnd w:id="1656"/>
    <w:p w14:paraId="7A58ED3F" w14:textId="77777777" w:rsidR="0046275D" w:rsidRPr="00FA0D37" w:rsidRDefault="0046275D" w:rsidP="00FA0D37">
      <w:pPr>
        <w:pStyle w:val="PL"/>
      </w:pPr>
    </w:p>
    <w:p w14:paraId="40927FE6" w14:textId="77777777" w:rsidR="0046275D" w:rsidRPr="00FA0D37" w:rsidRDefault="0046275D" w:rsidP="00FA0D37">
      <w:pPr>
        <w:pStyle w:val="PL"/>
        <w:rPr>
          <w:color w:val="808080"/>
        </w:rPr>
      </w:pPr>
      <w:r w:rsidRPr="00FA0D37">
        <w:rPr>
          <w:color w:val="808080"/>
        </w:rPr>
        <w:t>-- TAG-APPLAYERMEASCONFIG-STOP</w:t>
      </w:r>
    </w:p>
    <w:p w14:paraId="4F4177B1" w14:textId="20CB7F82" w:rsidR="0046275D" w:rsidRPr="00FA0D37" w:rsidRDefault="0046275D" w:rsidP="00FA0D37">
      <w:pPr>
        <w:pStyle w:val="PL"/>
        <w:rPr>
          <w:color w:val="808080"/>
        </w:rPr>
      </w:pPr>
      <w:r w:rsidRPr="00FA0D37">
        <w:rPr>
          <w:color w:val="808080"/>
        </w:rPr>
        <w:t>-- ASN1STOP</w:t>
      </w:r>
    </w:p>
    <w:p w14:paraId="0C7EE752" w14:textId="77777777" w:rsidR="0046275D" w:rsidRPr="00FA0D37" w:rsidRDefault="0046275D" w:rsidP="000830BB">
      <w:pPr>
        <w:rPr>
          <w:noProof/>
          <w:lang w:eastAsia="en-GB"/>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5C7FF4" w:rsidRPr="00FA0D37" w14:paraId="279CB45E" w14:textId="77777777" w:rsidTr="00771058">
        <w:tc>
          <w:tcPr>
            <w:tcW w:w="14132" w:type="dxa"/>
            <w:tcBorders>
              <w:top w:val="single" w:sz="4" w:space="0" w:color="auto"/>
              <w:left w:val="single" w:sz="4" w:space="0" w:color="auto"/>
              <w:bottom w:val="single" w:sz="4" w:space="0" w:color="auto"/>
              <w:right w:val="single" w:sz="4" w:space="0" w:color="auto"/>
            </w:tcBorders>
          </w:tcPr>
          <w:bookmarkEnd w:id="1655"/>
          <w:p w14:paraId="1D9992AD" w14:textId="77777777" w:rsidR="0046275D" w:rsidRPr="00FA0D37" w:rsidRDefault="0046275D" w:rsidP="00771058">
            <w:pPr>
              <w:pStyle w:val="TAH"/>
              <w:rPr>
                <w:szCs w:val="22"/>
                <w:lang w:eastAsia="sv-SE"/>
              </w:rPr>
            </w:pPr>
            <w:r w:rsidRPr="00FA0D37">
              <w:rPr>
                <w:i/>
                <w:szCs w:val="22"/>
                <w:lang w:eastAsia="sv-SE"/>
              </w:rPr>
              <w:t xml:space="preserve">AppLayerMeasConfig </w:t>
            </w:r>
            <w:r w:rsidRPr="00FA0D37">
              <w:rPr>
                <w:szCs w:val="22"/>
                <w:lang w:eastAsia="sv-SE"/>
              </w:rPr>
              <w:t>field descriptions</w:t>
            </w:r>
          </w:p>
        </w:tc>
      </w:tr>
      <w:tr w:rsidR="005C7FF4" w:rsidRPr="00FA0D37" w14:paraId="01A86265" w14:textId="77777777" w:rsidTr="00771058">
        <w:tc>
          <w:tcPr>
            <w:tcW w:w="14132" w:type="dxa"/>
            <w:tcBorders>
              <w:top w:val="single" w:sz="4" w:space="0" w:color="auto"/>
              <w:left w:val="single" w:sz="4" w:space="0" w:color="auto"/>
              <w:bottom w:val="single" w:sz="4" w:space="0" w:color="auto"/>
              <w:right w:val="single" w:sz="4" w:space="0" w:color="auto"/>
            </w:tcBorders>
          </w:tcPr>
          <w:p w14:paraId="41C0327F" w14:textId="77777777" w:rsidR="0046275D" w:rsidRPr="00FA0D37" w:rsidRDefault="0046275D" w:rsidP="00771058">
            <w:pPr>
              <w:pStyle w:val="TAL"/>
              <w:rPr>
                <w:b/>
                <w:i/>
                <w:szCs w:val="22"/>
                <w:lang w:eastAsia="sv-SE"/>
              </w:rPr>
            </w:pPr>
            <w:r w:rsidRPr="00FA0D37">
              <w:rPr>
                <w:b/>
                <w:i/>
                <w:szCs w:val="22"/>
                <w:lang w:eastAsia="sv-SE"/>
              </w:rPr>
              <w:t>measConfigAppLayerContainer</w:t>
            </w:r>
          </w:p>
          <w:p w14:paraId="055DFC65" w14:textId="73B88C9B" w:rsidR="0046275D" w:rsidRPr="00FA0D37" w:rsidRDefault="0046275D" w:rsidP="00771058">
            <w:pPr>
              <w:pStyle w:val="TAL"/>
              <w:rPr>
                <w:szCs w:val="22"/>
                <w:lang w:eastAsia="sv-SE"/>
              </w:rPr>
            </w:pPr>
            <w:r w:rsidRPr="00FA0D37">
              <w:rPr>
                <w:szCs w:val="22"/>
                <w:lang w:eastAsia="sv-SE"/>
              </w:rPr>
              <w:t xml:space="preserve">The field contains configuration of application layer measurements, see Annex L (normative) in TS 26.247 </w:t>
            </w:r>
            <w:r w:rsidR="001053C3" w:rsidRPr="00FA0D37">
              <w:rPr>
                <w:szCs w:val="22"/>
                <w:lang w:eastAsia="sv-SE"/>
              </w:rPr>
              <w:t>[68]</w:t>
            </w:r>
            <w:r w:rsidRPr="00FA0D37">
              <w:rPr>
                <w:szCs w:val="22"/>
                <w:lang w:eastAsia="sv-SE"/>
              </w:rPr>
              <w:t xml:space="preserve">, clause 16.5 in TS 26.114 </w:t>
            </w:r>
            <w:r w:rsidR="001053C3" w:rsidRPr="00FA0D37">
              <w:rPr>
                <w:szCs w:val="22"/>
                <w:lang w:eastAsia="sv-SE"/>
              </w:rPr>
              <w:t>[69]</w:t>
            </w:r>
            <w:r w:rsidRPr="00FA0D37">
              <w:rPr>
                <w:szCs w:val="22"/>
                <w:lang w:eastAsia="sv-SE"/>
              </w:rPr>
              <w:t xml:space="preserve"> and TS 26.118 </w:t>
            </w:r>
            <w:r w:rsidR="001053C3" w:rsidRPr="00FA0D37">
              <w:rPr>
                <w:szCs w:val="22"/>
                <w:lang w:eastAsia="sv-SE"/>
              </w:rPr>
              <w:t>[70]</w:t>
            </w:r>
            <w:r w:rsidRPr="00FA0D37">
              <w:rPr>
                <w:szCs w:val="22"/>
                <w:lang w:eastAsia="sv-SE"/>
              </w:rPr>
              <w:t>.</w:t>
            </w:r>
          </w:p>
        </w:tc>
      </w:tr>
      <w:tr w:rsidR="005C7FF4" w:rsidRPr="00FA0D37" w14:paraId="4C021AFA" w14:textId="77777777" w:rsidTr="00771058">
        <w:tc>
          <w:tcPr>
            <w:tcW w:w="14132" w:type="dxa"/>
            <w:tcBorders>
              <w:top w:val="single" w:sz="4" w:space="0" w:color="auto"/>
              <w:left w:val="single" w:sz="4" w:space="0" w:color="auto"/>
              <w:bottom w:val="single" w:sz="4" w:space="0" w:color="auto"/>
              <w:right w:val="single" w:sz="4" w:space="0" w:color="auto"/>
            </w:tcBorders>
          </w:tcPr>
          <w:p w14:paraId="32C78319" w14:textId="77777777" w:rsidR="0046275D" w:rsidRPr="00FA0D37" w:rsidRDefault="0046275D" w:rsidP="00771058">
            <w:pPr>
              <w:pStyle w:val="TAL"/>
              <w:rPr>
                <w:b/>
                <w:i/>
                <w:szCs w:val="22"/>
                <w:lang w:eastAsia="sv-SE"/>
              </w:rPr>
            </w:pPr>
            <w:r w:rsidRPr="00FA0D37">
              <w:rPr>
                <w:b/>
                <w:i/>
                <w:szCs w:val="22"/>
                <w:lang w:eastAsia="sv-SE"/>
              </w:rPr>
              <w:t>pauseReporting</w:t>
            </w:r>
          </w:p>
          <w:p w14:paraId="2AFD21B0" w14:textId="1F87CD02" w:rsidR="0046275D" w:rsidRPr="00FA0D37" w:rsidRDefault="0046275D" w:rsidP="00771058">
            <w:pPr>
              <w:pStyle w:val="TAL"/>
              <w:rPr>
                <w:szCs w:val="22"/>
                <w:lang w:eastAsia="sv-SE"/>
              </w:rPr>
            </w:pPr>
            <w:r w:rsidRPr="00FA0D37">
              <w:rPr>
                <w:szCs w:val="22"/>
                <w:lang w:eastAsia="sv-SE"/>
              </w:rPr>
              <w:t xml:space="preserve">The field indicates whether the transmission of </w:t>
            </w:r>
            <w:r w:rsidRPr="00FA0D37">
              <w:rPr>
                <w:i/>
                <w:iCs/>
                <w:szCs w:val="22"/>
                <w:lang w:eastAsia="sv-SE"/>
              </w:rPr>
              <w:t>measReportAppLayerContainer</w:t>
            </w:r>
            <w:r w:rsidRPr="00FA0D37">
              <w:rPr>
                <w:szCs w:val="22"/>
                <w:lang w:eastAsia="sv-SE"/>
              </w:rPr>
              <w:t xml:space="preserve"> is paused or not.</w:t>
            </w:r>
            <w:r w:rsidR="00BD1021" w:rsidRPr="00FA0D37">
              <w:t xml:space="preserve"> </w:t>
            </w:r>
            <w:r w:rsidR="00BD1021" w:rsidRPr="00FA0D37">
              <w:rPr>
                <w:szCs w:val="22"/>
                <w:lang w:eastAsia="sv-SE"/>
              </w:rPr>
              <w:t xml:space="preserve">Value </w:t>
            </w:r>
            <w:r w:rsidR="00BD1021" w:rsidRPr="00FA0D37">
              <w:rPr>
                <w:i/>
                <w:iCs/>
                <w:szCs w:val="22"/>
                <w:lang w:eastAsia="sv-SE"/>
              </w:rPr>
              <w:t>true</w:t>
            </w:r>
            <w:r w:rsidR="00BD1021" w:rsidRPr="00FA0D37">
              <w:rPr>
                <w:szCs w:val="22"/>
                <w:lang w:eastAsia="sv-SE"/>
              </w:rPr>
              <w:t xml:space="preserve"> indicates the transmission of </w:t>
            </w:r>
            <w:r w:rsidR="00BD1021" w:rsidRPr="00FA0D37">
              <w:rPr>
                <w:i/>
                <w:iCs/>
                <w:szCs w:val="22"/>
                <w:lang w:eastAsia="sv-SE"/>
              </w:rPr>
              <w:t>measReportAppLayerContainer</w:t>
            </w:r>
            <w:r w:rsidR="00BD1021" w:rsidRPr="00FA0D37">
              <w:rPr>
                <w:szCs w:val="22"/>
                <w:lang w:eastAsia="sv-SE"/>
              </w:rPr>
              <w:t xml:space="preserve"> is paused; value </w:t>
            </w:r>
            <w:r w:rsidR="00BD1021" w:rsidRPr="00FA0D37">
              <w:rPr>
                <w:i/>
                <w:iCs/>
                <w:szCs w:val="22"/>
                <w:lang w:eastAsia="sv-SE"/>
              </w:rPr>
              <w:t>false</w:t>
            </w:r>
            <w:r w:rsidR="00BD1021" w:rsidRPr="00FA0D37">
              <w:rPr>
                <w:szCs w:val="22"/>
                <w:lang w:eastAsia="sv-SE"/>
              </w:rPr>
              <w:t xml:space="preserve"> indicates the transmission of </w:t>
            </w:r>
            <w:r w:rsidR="00BD1021" w:rsidRPr="00FA0D37">
              <w:rPr>
                <w:i/>
                <w:iCs/>
                <w:szCs w:val="22"/>
                <w:lang w:eastAsia="sv-SE"/>
              </w:rPr>
              <w:t>measReportAppLayerContainer</w:t>
            </w:r>
            <w:r w:rsidR="00BD1021" w:rsidRPr="00FA0D37">
              <w:rPr>
                <w:szCs w:val="22"/>
                <w:lang w:eastAsia="sv-SE"/>
              </w:rPr>
              <w:t xml:space="preserve"> is not paused.</w:t>
            </w:r>
          </w:p>
        </w:tc>
      </w:tr>
      <w:tr w:rsidR="005C7FF4" w:rsidRPr="00FA0D37" w14:paraId="3F708A43" w14:textId="77777777" w:rsidTr="00771058">
        <w:tc>
          <w:tcPr>
            <w:tcW w:w="14132" w:type="dxa"/>
            <w:tcBorders>
              <w:top w:val="single" w:sz="4" w:space="0" w:color="auto"/>
              <w:left w:val="single" w:sz="4" w:space="0" w:color="auto"/>
              <w:bottom w:val="single" w:sz="4" w:space="0" w:color="auto"/>
              <w:right w:val="single" w:sz="4" w:space="0" w:color="auto"/>
            </w:tcBorders>
          </w:tcPr>
          <w:p w14:paraId="07D1D1F3" w14:textId="08272DEC" w:rsidR="0046275D" w:rsidRPr="00FA0D37" w:rsidRDefault="0046275D" w:rsidP="00771058">
            <w:pPr>
              <w:pStyle w:val="TAL"/>
              <w:rPr>
                <w:b/>
                <w:i/>
                <w:szCs w:val="22"/>
                <w:lang w:eastAsia="sv-SE"/>
              </w:rPr>
            </w:pPr>
            <w:r w:rsidRPr="00FA0D37">
              <w:rPr>
                <w:b/>
                <w:i/>
                <w:szCs w:val="22"/>
                <w:lang w:eastAsia="sv-SE"/>
              </w:rPr>
              <w:t>ran-Visible</w:t>
            </w:r>
            <w:r w:rsidR="00D7262D" w:rsidRPr="00FA0D37">
              <w:rPr>
                <w:b/>
                <w:i/>
                <w:szCs w:val="22"/>
                <w:lang w:eastAsia="sv-SE"/>
              </w:rPr>
              <w:t>Parameters</w:t>
            </w:r>
          </w:p>
          <w:p w14:paraId="177004B0" w14:textId="1B47B6C4" w:rsidR="0046275D" w:rsidRPr="00FA0D37" w:rsidRDefault="0046275D" w:rsidP="00771058">
            <w:pPr>
              <w:pStyle w:val="TAL"/>
              <w:rPr>
                <w:szCs w:val="22"/>
                <w:lang w:eastAsia="sv-SE"/>
              </w:rPr>
            </w:pPr>
            <w:r w:rsidRPr="00FA0D37">
              <w:rPr>
                <w:szCs w:val="22"/>
                <w:lang w:eastAsia="sv-SE"/>
              </w:rPr>
              <w:t xml:space="preserve">The field indicates </w:t>
            </w:r>
            <w:r w:rsidR="00D7262D" w:rsidRPr="00FA0D37">
              <w:rPr>
                <w:szCs w:val="22"/>
                <w:lang w:eastAsia="sv-SE"/>
              </w:rPr>
              <w:t>whether RAN visible application layer measurements shall be reported or not.</w:t>
            </w:r>
          </w:p>
        </w:tc>
      </w:tr>
      <w:tr w:rsidR="005C7FF4" w:rsidRPr="00FA0D37" w14:paraId="62FCE777" w14:textId="77777777" w:rsidTr="00771058">
        <w:tc>
          <w:tcPr>
            <w:tcW w:w="14132" w:type="dxa"/>
            <w:tcBorders>
              <w:top w:val="single" w:sz="4" w:space="0" w:color="auto"/>
              <w:left w:val="single" w:sz="4" w:space="0" w:color="auto"/>
              <w:bottom w:val="single" w:sz="4" w:space="0" w:color="auto"/>
              <w:right w:val="single" w:sz="4" w:space="0" w:color="auto"/>
            </w:tcBorders>
          </w:tcPr>
          <w:p w14:paraId="3FCE7A42" w14:textId="77777777" w:rsidR="0046275D" w:rsidRPr="00FA0D37" w:rsidRDefault="0046275D" w:rsidP="00771058">
            <w:pPr>
              <w:pStyle w:val="TAL"/>
              <w:rPr>
                <w:b/>
                <w:i/>
                <w:szCs w:val="22"/>
                <w:lang w:eastAsia="sv-SE"/>
              </w:rPr>
            </w:pPr>
            <w:r w:rsidRPr="00FA0D37">
              <w:rPr>
                <w:b/>
                <w:i/>
                <w:szCs w:val="22"/>
                <w:lang w:eastAsia="sv-SE"/>
              </w:rPr>
              <w:t>rrc-SegAllowed</w:t>
            </w:r>
          </w:p>
          <w:p w14:paraId="6F351894" w14:textId="780C693B" w:rsidR="0046275D" w:rsidRPr="00FA0D37" w:rsidRDefault="0046275D" w:rsidP="00771058">
            <w:pPr>
              <w:pStyle w:val="TAL"/>
              <w:rPr>
                <w:b/>
                <w:i/>
                <w:szCs w:val="22"/>
                <w:lang w:eastAsia="sv-SE"/>
              </w:rPr>
            </w:pPr>
            <w:r w:rsidRPr="00FA0D37">
              <w:rPr>
                <w:szCs w:val="22"/>
                <w:lang w:eastAsia="sv-SE"/>
              </w:rPr>
              <w:t xml:space="preserve">This field indicates that RRC segmentation of </w:t>
            </w:r>
            <w:r w:rsidRPr="00FA0D37">
              <w:rPr>
                <w:i/>
                <w:szCs w:val="22"/>
                <w:lang w:eastAsia="sv-SE"/>
              </w:rPr>
              <w:t>MeasurementReportAppLayer</w:t>
            </w:r>
            <w:r w:rsidRPr="00FA0D37">
              <w:rPr>
                <w:szCs w:val="22"/>
                <w:lang w:eastAsia="sv-SE"/>
              </w:rPr>
              <w:t xml:space="preserve"> is </w:t>
            </w:r>
            <w:r w:rsidR="00EE1777" w:rsidRPr="00FA0D37">
              <w:rPr>
                <w:szCs w:val="22"/>
                <w:lang w:eastAsia="sv-SE"/>
              </w:rPr>
              <w:t>enabled</w:t>
            </w:r>
            <w:r w:rsidRPr="00FA0D37">
              <w:rPr>
                <w:szCs w:val="22"/>
                <w:lang w:eastAsia="sv-SE"/>
              </w:rPr>
              <w:t>. It may be present only if the UE supports RRC segmentation</w:t>
            </w:r>
            <w:r w:rsidR="00D7262D" w:rsidRPr="00FA0D37">
              <w:t xml:space="preserve"> </w:t>
            </w:r>
            <w:r w:rsidR="00D7262D" w:rsidRPr="00FA0D37">
              <w:rPr>
                <w:szCs w:val="22"/>
                <w:lang w:eastAsia="sv-SE"/>
              </w:rPr>
              <w:t xml:space="preserve">of the </w:t>
            </w:r>
            <w:r w:rsidR="00D7262D" w:rsidRPr="00FA0D37">
              <w:rPr>
                <w:i/>
                <w:szCs w:val="22"/>
                <w:lang w:eastAsia="sv-SE"/>
              </w:rPr>
              <w:t>MeasurementReportAppLayer</w:t>
            </w:r>
            <w:r w:rsidR="00D7262D" w:rsidRPr="00FA0D37">
              <w:rPr>
                <w:szCs w:val="22"/>
                <w:lang w:eastAsia="sv-SE"/>
              </w:rPr>
              <w:t xml:space="preserve"> message in UL</w:t>
            </w:r>
            <w:r w:rsidRPr="00FA0D37">
              <w:rPr>
                <w:b/>
                <w:i/>
                <w:szCs w:val="22"/>
                <w:lang w:eastAsia="sv-SE"/>
              </w:rPr>
              <w:t>.</w:t>
            </w:r>
          </w:p>
        </w:tc>
      </w:tr>
      <w:tr w:rsidR="005C7FF4" w:rsidRPr="00FA0D37" w14:paraId="346C2764" w14:textId="77777777" w:rsidTr="00771058">
        <w:tc>
          <w:tcPr>
            <w:tcW w:w="14132" w:type="dxa"/>
            <w:tcBorders>
              <w:top w:val="single" w:sz="4" w:space="0" w:color="auto"/>
              <w:left w:val="single" w:sz="4" w:space="0" w:color="auto"/>
              <w:bottom w:val="single" w:sz="4" w:space="0" w:color="auto"/>
              <w:right w:val="single" w:sz="4" w:space="0" w:color="auto"/>
            </w:tcBorders>
          </w:tcPr>
          <w:p w14:paraId="1B48AA42" w14:textId="77777777" w:rsidR="0046275D" w:rsidRPr="00FA0D37" w:rsidRDefault="0046275D" w:rsidP="00771058">
            <w:pPr>
              <w:pStyle w:val="TAL"/>
              <w:rPr>
                <w:b/>
                <w:i/>
                <w:szCs w:val="22"/>
                <w:lang w:eastAsia="sv-SE"/>
              </w:rPr>
            </w:pPr>
            <w:r w:rsidRPr="00FA0D37">
              <w:rPr>
                <w:b/>
                <w:i/>
                <w:szCs w:val="22"/>
                <w:lang w:eastAsia="sv-SE"/>
              </w:rPr>
              <w:t>serviceType</w:t>
            </w:r>
          </w:p>
          <w:p w14:paraId="4DB85A47" w14:textId="0F2E0422" w:rsidR="0046275D" w:rsidRPr="00FA0D37" w:rsidRDefault="0046275D" w:rsidP="00771058">
            <w:pPr>
              <w:pStyle w:val="TAL"/>
              <w:rPr>
                <w:szCs w:val="22"/>
                <w:lang w:eastAsia="sv-SE"/>
              </w:rPr>
            </w:pPr>
            <w:r w:rsidRPr="00FA0D37">
              <w:rPr>
                <w:szCs w:val="22"/>
                <w:lang w:eastAsia="sv-SE"/>
              </w:rPr>
              <w:t xml:space="preserve">Indicates the type of application layer measurement. Value </w:t>
            </w:r>
            <w:r w:rsidRPr="00FA0D37">
              <w:rPr>
                <w:i/>
                <w:iCs/>
                <w:szCs w:val="22"/>
                <w:lang w:eastAsia="sv-SE"/>
              </w:rPr>
              <w:t>streaming</w:t>
            </w:r>
            <w:r w:rsidRPr="00FA0D37">
              <w:rPr>
                <w:szCs w:val="22"/>
                <w:lang w:eastAsia="sv-SE"/>
              </w:rPr>
              <w:t xml:space="preserve"> indicates Quality of Experience Measurement Collection for streaming services (see </w:t>
            </w:r>
            <w:r w:rsidR="00E27909" w:rsidRPr="00FA0D37">
              <w:rPr>
                <w:lang w:eastAsia="zh-CN"/>
              </w:rPr>
              <w:t>TS 26.247</w:t>
            </w:r>
            <w:r w:rsidR="00E27909" w:rsidRPr="00FA0D37">
              <w:rPr>
                <w:szCs w:val="22"/>
                <w:lang w:eastAsia="sv-SE"/>
              </w:rPr>
              <w:t xml:space="preserve"> </w:t>
            </w:r>
            <w:r w:rsidR="001053C3" w:rsidRPr="00FA0D37">
              <w:rPr>
                <w:szCs w:val="22"/>
                <w:lang w:eastAsia="sv-SE"/>
              </w:rPr>
              <w:t>[68]</w:t>
            </w:r>
            <w:r w:rsidRPr="00FA0D37">
              <w:rPr>
                <w:szCs w:val="22"/>
                <w:lang w:eastAsia="sv-SE"/>
              </w:rPr>
              <w:t xml:space="preserve">), value </w:t>
            </w:r>
            <w:r w:rsidRPr="00FA0D37">
              <w:rPr>
                <w:i/>
                <w:iCs/>
                <w:szCs w:val="22"/>
                <w:lang w:eastAsia="sv-SE"/>
              </w:rPr>
              <w:t>mtsi</w:t>
            </w:r>
            <w:r w:rsidRPr="00FA0D37">
              <w:rPr>
                <w:szCs w:val="22"/>
                <w:lang w:eastAsia="sv-SE"/>
              </w:rPr>
              <w:t xml:space="preserve"> indicates Quality of Experience Measurement Collection for MTSI (see </w:t>
            </w:r>
            <w:r w:rsidR="00E27909" w:rsidRPr="00FA0D37">
              <w:rPr>
                <w:lang w:eastAsia="zh-CN"/>
              </w:rPr>
              <w:t>TS 26.114</w:t>
            </w:r>
            <w:r w:rsidR="00E27909" w:rsidRPr="00FA0D37">
              <w:rPr>
                <w:szCs w:val="22"/>
                <w:lang w:eastAsia="sv-SE"/>
              </w:rPr>
              <w:t xml:space="preserve"> </w:t>
            </w:r>
            <w:r w:rsidR="001053C3" w:rsidRPr="00FA0D37">
              <w:rPr>
                <w:szCs w:val="22"/>
                <w:lang w:eastAsia="sv-SE"/>
              </w:rPr>
              <w:t>[69]</w:t>
            </w:r>
            <w:r w:rsidRPr="00FA0D37">
              <w:rPr>
                <w:szCs w:val="22"/>
                <w:lang w:eastAsia="sv-SE"/>
              </w:rPr>
              <w:t>)</w:t>
            </w:r>
            <w:r w:rsidR="00EE1777" w:rsidRPr="00FA0D37">
              <w:rPr>
                <w:szCs w:val="22"/>
                <w:lang w:eastAsia="sv-SE"/>
              </w:rPr>
              <w:t xml:space="preserve"> and</w:t>
            </w:r>
            <w:r w:rsidRPr="00FA0D37">
              <w:rPr>
                <w:szCs w:val="22"/>
                <w:lang w:eastAsia="sv-SE"/>
              </w:rPr>
              <w:t xml:space="preserve"> value </w:t>
            </w:r>
            <w:r w:rsidRPr="00FA0D37">
              <w:rPr>
                <w:i/>
                <w:iCs/>
                <w:szCs w:val="22"/>
                <w:lang w:eastAsia="sv-SE"/>
              </w:rPr>
              <w:t>vr</w:t>
            </w:r>
            <w:r w:rsidRPr="00FA0D37">
              <w:rPr>
                <w:szCs w:val="22"/>
                <w:lang w:eastAsia="sv-SE"/>
              </w:rPr>
              <w:t xml:space="preserve"> indicates Quality of Experience Measurement Collection for VR service (see </w:t>
            </w:r>
            <w:r w:rsidR="00E27909" w:rsidRPr="00FA0D37">
              <w:rPr>
                <w:lang w:eastAsia="zh-CN"/>
              </w:rPr>
              <w:t>TS 26.118</w:t>
            </w:r>
            <w:r w:rsidR="00E27909" w:rsidRPr="00FA0D37">
              <w:rPr>
                <w:szCs w:val="22"/>
                <w:lang w:eastAsia="sv-SE"/>
              </w:rPr>
              <w:t xml:space="preserve"> </w:t>
            </w:r>
            <w:r w:rsidR="001053C3" w:rsidRPr="00FA0D37">
              <w:rPr>
                <w:szCs w:val="22"/>
                <w:lang w:eastAsia="sv-SE"/>
              </w:rPr>
              <w:t>[70]</w:t>
            </w:r>
            <w:r w:rsidRPr="00FA0D37">
              <w:rPr>
                <w:szCs w:val="22"/>
                <w:lang w:eastAsia="sv-SE"/>
              </w:rPr>
              <w:t xml:space="preserve">). The network always configures </w:t>
            </w:r>
            <w:r w:rsidRPr="00FA0D37">
              <w:rPr>
                <w:i/>
                <w:szCs w:val="22"/>
                <w:lang w:eastAsia="sv-SE"/>
              </w:rPr>
              <w:t>serviceType</w:t>
            </w:r>
            <w:r w:rsidRPr="00FA0D37">
              <w:rPr>
                <w:szCs w:val="22"/>
                <w:lang w:eastAsia="sv-SE"/>
              </w:rPr>
              <w:t xml:space="preserve"> when application layer measurements are initially configured and at </w:t>
            </w:r>
            <w:r w:rsidRPr="00FA0D37">
              <w:rPr>
                <w:i/>
                <w:szCs w:val="22"/>
                <w:lang w:eastAsia="sv-SE"/>
              </w:rPr>
              <w:t>fullConfig</w:t>
            </w:r>
            <w:r w:rsidRPr="00FA0D37">
              <w:rPr>
                <w:szCs w:val="22"/>
                <w:lang w:eastAsia="sv-SE"/>
              </w:rPr>
              <w:t>.</w:t>
            </w:r>
          </w:p>
        </w:tc>
      </w:tr>
      <w:tr w:rsidR="00F747EB" w:rsidRPr="00FA0D37" w14:paraId="513C4376" w14:textId="77777777" w:rsidTr="00771058">
        <w:tc>
          <w:tcPr>
            <w:tcW w:w="14132" w:type="dxa"/>
            <w:tcBorders>
              <w:top w:val="single" w:sz="4" w:space="0" w:color="auto"/>
              <w:left w:val="single" w:sz="4" w:space="0" w:color="auto"/>
              <w:bottom w:val="single" w:sz="4" w:space="0" w:color="auto"/>
              <w:right w:val="single" w:sz="4" w:space="0" w:color="auto"/>
            </w:tcBorders>
          </w:tcPr>
          <w:p w14:paraId="342FF9C0" w14:textId="77777777" w:rsidR="0046275D" w:rsidRPr="00FA0D37" w:rsidRDefault="0046275D" w:rsidP="00771058">
            <w:pPr>
              <w:pStyle w:val="TAL"/>
              <w:rPr>
                <w:b/>
                <w:i/>
                <w:szCs w:val="22"/>
                <w:lang w:eastAsia="sv-SE"/>
              </w:rPr>
            </w:pPr>
            <w:bookmarkStart w:id="1657" w:name="_Hlk97789778"/>
            <w:r w:rsidRPr="00FA0D37">
              <w:rPr>
                <w:b/>
                <w:i/>
                <w:szCs w:val="22"/>
                <w:lang w:eastAsia="sv-SE"/>
              </w:rPr>
              <w:t>transmissionOfSessionStartStop</w:t>
            </w:r>
          </w:p>
          <w:p w14:paraId="2F8D0D19" w14:textId="74957CCA" w:rsidR="0046275D" w:rsidRPr="00FA0D37" w:rsidRDefault="00EE1777" w:rsidP="00771058">
            <w:pPr>
              <w:pStyle w:val="TAL"/>
              <w:rPr>
                <w:szCs w:val="22"/>
                <w:lang w:eastAsia="sv-SE"/>
              </w:rPr>
            </w:pPr>
            <w:r w:rsidRPr="00FA0D37">
              <w:rPr>
                <w:szCs w:val="22"/>
                <w:lang w:eastAsia="sv-SE"/>
              </w:rPr>
              <w:t>Value</w:t>
            </w:r>
            <w:r w:rsidRPr="00FA0D37">
              <w:rPr>
                <w:i/>
                <w:iCs/>
                <w:szCs w:val="22"/>
                <w:lang w:eastAsia="sv-SE"/>
              </w:rPr>
              <w:t xml:space="preserve"> true</w:t>
            </w:r>
            <w:r w:rsidRPr="00FA0D37">
              <w:rPr>
                <w:szCs w:val="22"/>
                <w:lang w:eastAsia="sv-SE"/>
              </w:rPr>
              <w:t xml:space="preserve"> indicates that the UE shall transmit indications when the measurement session in the application layer starts and stops. Value </w:t>
            </w:r>
            <w:r w:rsidRPr="00FA0D37">
              <w:rPr>
                <w:i/>
                <w:iCs/>
                <w:szCs w:val="22"/>
                <w:lang w:eastAsia="sv-SE"/>
              </w:rPr>
              <w:t>false</w:t>
            </w:r>
            <w:r w:rsidRPr="00FA0D37">
              <w:rPr>
                <w:szCs w:val="22"/>
                <w:lang w:eastAsia="sv-SE"/>
              </w:rPr>
              <w:t xml:space="preserve"> indicates that the UE shall not transmit any session status indications.</w:t>
            </w:r>
            <w:r w:rsidR="0046275D" w:rsidRPr="00FA0D37">
              <w:rPr>
                <w:szCs w:val="22"/>
                <w:lang w:eastAsia="sv-SE"/>
              </w:rPr>
              <w:t xml:space="preserve"> The UE transmits a session start indication upon configuration of this field </w:t>
            </w:r>
            <w:r w:rsidRPr="00FA0D37">
              <w:rPr>
                <w:szCs w:val="22"/>
                <w:lang w:eastAsia="sv-SE"/>
              </w:rPr>
              <w:t xml:space="preserve">set to value </w:t>
            </w:r>
            <w:r w:rsidRPr="00FA0D37">
              <w:rPr>
                <w:i/>
                <w:iCs/>
                <w:szCs w:val="22"/>
                <w:lang w:eastAsia="sv-SE"/>
              </w:rPr>
              <w:t>true</w:t>
            </w:r>
            <w:r w:rsidRPr="00FA0D37">
              <w:rPr>
                <w:szCs w:val="22"/>
                <w:lang w:eastAsia="sv-SE"/>
              </w:rPr>
              <w:t xml:space="preserve"> </w:t>
            </w:r>
            <w:r w:rsidR="0046275D" w:rsidRPr="00FA0D37">
              <w:rPr>
                <w:szCs w:val="22"/>
                <w:lang w:eastAsia="sv-SE"/>
              </w:rPr>
              <w:t>if a session already has started in the application layer.</w:t>
            </w:r>
            <w:bookmarkEnd w:id="1657"/>
          </w:p>
        </w:tc>
      </w:tr>
    </w:tbl>
    <w:p w14:paraId="25605202" w14:textId="77777777" w:rsidR="00D7262D" w:rsidRPr="00FA0D37" w:rsidRDefault="00D7262D" w:rsidP="00D7262D">
      <w:pPr>
        <w:rPr>
          <w:lang w:eastAsia="zh-CN"/>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5C7FF4" w:rsidRPr="00FA0D37" w14:paraId="02F1BC4C" w14:textId="77777777" w:rsidTr="00771058">
        <w:tc>
          <w:tcPr>
            <w:tcW w:w="14132" w:type="dxa"/>
            <w:tcBorders>
              <w:top w:val="single" w:sz="4" w:space="0" w:color="auto"/>
              <w:left w:val="single" w:sz="4" w:space="0" w:color="auto"/>
              <w:bottom w:val="single" w:sz="4" w:space="0" w:color="auto"/>
              <w:right w:val="single" w:sz="4" w:space="0" w:color="auto"/>
            </w:tcBorders>
          </w:tcPr>
          <w:p w14:paraId="7B36DE0E" w14:textId="77777777" w:rsidR="00D7262D" w:rsidRPr="00FA0D37" w:rsidRDefault="00D7262D" w:rsidP="00771058">
            <w:pPr>
              <w:pStyle w:val="TAH"/>
              <w:rPr>
                <w:szCs w:val="22"/>
                <w:lang w:eastAsia="sv-SE"/>
              </w:rPr>
            </w:pPr>
            <w:r w:rsidRPr="00FA0D37">
              <w:rPr>
                <w:i/>
                <w:szCs w:val="22"/>
                <w:lang w:eastAsia="sv-SE"/>
              </w:rPr>
              <w:lastRenderedPageBreak/>
              <w:t xml:space="preserve">RAN-VisibleParameters </w:t>
            </w:r>
            <w:r w:rsidRPr="00FA0D37">
              <w:rPr>
                <w:szCs w:val="22"/>
                <w:lang w:eastAsia="sv-SE"/>
              </w:rPr>
              <w:t>field descriptions</w:t>
            </w:r>
          </w:p>
        </w:tc>
      </w:tr>
      <w:tr w:rsidR="005C7FF4" w:rsidRPr="00FA0D37" w14:paraId="4EAFC0D4" w14:textId="77777777" w:rsidTr="00771058">
        <w:tc>
          <w:tcPr>
            <w:tcW w:w="14132" w:type="dxa"/>
            <w:tcBorders>
              <w:top w:val="single" w:sz="4" w:space="0" w:color="auto"/>
              <w:left w:val="single" w:sz="4" w:space="0" w:color="auto"/>
              <w:bottom w:val="single" w:sz="4" w:space="0" w:color="auto"/>
              <w:right w:val="single" w:sz="4" w:space="0" w:color="auto"/>
            </w:tcBorders>
          </w:tcPr>
          <w:p w14:paraId="0ED150CE" w14:textId="77777777" w:rsidR="00D7262D" w:rsidRPr="00FA0D37" w:rsidRDefault="00D7262D" w:rsidP="00771058">
            <w:pPr>
              <w:pStyle w:val="TAL"/>
              <w:rPr>
                <w:b/>
                <w:i/>
                <w:szCs w:val="22"/>
                <w:lang w:eastAsia="sv-SE"/>
              </w:rPr>
            </w:pPr>
            <w:r w:rsidRPr="00FA0D37">
              <w:rPr>
                <w:b/>
                <w:i/>
                <w:szCs w:val="22"/>
                <w:lang w:eastAsia="sv-SE"/>
              </w:rPr>
              <w:t>numberOfBufferLevelEntries</w:t>
            </w:r>
          </w:p>
          <w:p w14:paraId="0F15B43A" w14:textId="0A409E01" w:rsidR="00D7262D" w:rsidRPr="00FA0D37" w:rsidRDefault="00D7262D" w:rsidP="00771058">
            <w:pPr>
              <w:pStyle w:val="TAL"/>
              <w:rPr>
                <w:szCs w:val="22"/>
                <w:lang w:eastAsia="sv-SE"/>
              </w:rPr>
            </w:pPr>
            <w:r w:rsidRPr="00FA0D37">
              <w:rPr>
                <w:szCs w:val="22"/>
                <w:lang w:eastAsia="sv-SE"/>
              </w:rPr>
              <w:t>The field contains the maximum number of buffer level entries that can be reported for RAN visible application layer measurements.</w:t>
            </w:r>
            <w:r w:rsidR="009D17A8" w:rsidRPr="00FA0D37">
              <w:rPr>
                <w:szCs w:val="22"/>
                <w:lang w:eastAsia="sv-SE"/>
              </w:rPr>
              <w:t xml:space="preserve"> This field is also used by application layer to calculate the interval of RAN visible buffer level measurement, which is equal to the periodicity of RAN visible application layer measurements reporting divided by </w:t>
            </w:r>
            <w:r w:rsidR="009D17A8" w:rsidRPr="00FA0D37">
              <w:rPr>
                <w:i/>
                <w:iCs/>
                <w:szCs w:val="22"/>
                <w:lang w:eastAsia="sv-SE"/>
              </w:rPr>
              <w:t>numberOfBufferLevelEntries</w:t>
            </w:r>
            <w:r w:rsidR="009D17A8" w:rsidRPr="00FA0D37">
              <w:rPr>
                <w:szCs w:val="22"/>
                <w:lang w:eastAsia="sv-SE"/>
              </w:rPr>
              <w:t>.</w:t>
            </w:r>
          </w:p>
        </w:tc>
      </w:tr>
      <w:tr w:rsidR="005C7FF4" w:rsidRPr="00FA0D37" w14:paraId="3BF94173" w14:textId="77777777" w:rsidTr="00771058">
        <w:tc>
          <w:tcPr>
            <w:tcW w:w="14132" w:type="dxa"/>
            <w:tcBorders>
              <w:top w:val="single" w:sz="4" w:space="0" w:color="auto"/>
              <w:left w:val="single" w:sz="4" w:space="0" w:color="auto"/>
              <w:bottom w:val="single" w:sz="4" w:space="0" w:color="auto"/>
              <w:right w:val="single" w:sz="4" w:space="0" w:color="auto"/>
            </w:tcBorders>
          </w:tcPr>
          <w:p w14:paraId="478561DA" w14:textId="77777777" w:rsidR="00D7262D" w:rsidRPr="00FA0D37" w:rsidRDefault="00D7262D" w:rsidP="00771058">
            <w:pPr>
              <w:pStyle w:val="TAL"/>
              <w:rPr>
                <w:b/>
                <w:i/>
                <w:szCs w:val="22"/>
                <w:lang w:eastAsia="sv-SE"/>
              </w:rPr>
            </w:pPr>
            <w:r w:rsidRPr="00FA0D37">
              <w:rPr>
                <w:b/>
                <w:i/>
                <w:szCs w:val="22"/>
                <w:lang w:eastAsia="sv-SE"/>
              </w:rPr>
              <w:t>ran-VisiblePeriodicity</w:t>
            </w:r>
          </w:p>
          <w:p w14:paraId="6307C40E" w14:textId="04EF1043" w:rsidR="00D7262D" w:rsidRPr="00FA0D37" w:rsidRDefault="00D7262D" w:rsidP="00771058">
            <w:pPr>
              <w:pStyle w:val="TAL"/>
              <w:rPr>
                <w:szCs w:val="22"/>
                <w:lang w:eastAsia="sv-SE"/>
              </w:rPr>
            </w:pPr>
            <w:r w:rsidRPr="00FA0D37">
              <w:rPr>
                <w:szCs w:val="22"/>
                <w:lang w:eastAsia="sv-SE"/>
              </w:rPr>
              <w:t xml:space="preserve">The field indicates the periodicity of RAN visible </w:t>
            </w:r>
            <w:r w:rsidR="00BD1021" w:rsidRPr="00FA0D37">
              <w:rPr>
                <w:szCs w:val="22"/>
                <w:lang w:eastAsia="sv-SE"/>
              </w:rPr>
              <w:t xml:space="preserve">application layer measurements </w:t>
            </w:r>
            <w:r w:rsidRPr="00FA0D37">
              <w:rPr>
                <w:szCs w:val="22"/>
                <w:lang w:eastAsia="sv-SE"/>
              </w:rPr>
              <w:t xml:space="preserve">reporting. Value </w:t>
            </w:r>
            <w:r w:rsidRPr="00FA0D37">
              <w:rPr>
                <w:i/>
                <w:iCs/>
                <w:szCs w:val="22"/>
                <w:lang w:eastAsia="sv-SE"/>
              </w:rPr>
              <w:t>ms120</w:t>
            </w:r>
            <w:r w:rsidRPr="00FA0D37">
              <w:rPr>
                <w:szCs w:val="22"/>
                <w:lang w:eastAsia="sv-SE"/>
              </w:rPr>
              <w:t xml:space="preserve"> indicates 120 ms, value </w:t>
            </w:r>
            <w:r w:rsidRPr="00FA0D37">
              <w:rPr>
                <w:i/>
                <w:iCs/>
                <w:szCs w:val="22"/>
                <w:lang w:eastAsia="sv-SE"/>
              </w:rPr>
              <w:t>ms240</w:t>
            </w:r>
            <w:r w:rsidRPr="00FA0D37">
              <w:rPr>
                <w:szCs w:val="22"/>
                <w:lang w:eastAsia="sv-SE"/>
              </w:rPr>
              <w:t xml:space="preserve"> indicates 240 ms and so on.</w:t>
            </w:r>
            <w:r w:rsidR="00A84ABA" w:rsidRPr="00FA0D37">
              <w:rPr>
                <w:szCs w:val="22"/>
                <w:lang w:eastAsia="sv-SE"/>
              </w:rPr>
              <w:t xml:space="preserve"> If this field is absent, the periodicity of RAN visible application layer </w:t>
            </w:r>
            <w:r w:rsidR="00EE1777" w:rsidRPr="00FA0D37">
              <w:rPr>
                <w:szCs w:val="22"/>
                <w:lang w:eastAsia="sv-SE"/>
              </w:rPr>
              <w:t xml:space="preserve">measurements </w:t>
            </w:r>
            <w:r w:rsidR="00A84ABA" w:rsidRPr="00FA0D37">
              <w:rPr>
                <w:szCs w:val="22"/>
                <w:lang w:eastAsia="sv-SE"/>
              </w:rPr>
              <w:t xml:space="preserve">reporting is the same as the reporting periodicity indicated in </w:t>
            </w:r>
            <w:r w:rsidR="00A84ABA" w:rsidRPr="00FA0D37">
              <w:rPr>
                <w:i/>
                <w:szCs w:val="22"/>
                <w:lang w:eastAsia="sv-SE"/>
              </w:rPr>
              <w:t>measConfigAppLayerContainer.</w:t>
            </w:r>
          </w:p>
        </w:tc>
      </w:tr>
      <w:tr w:rsidR="00F747EB" w:rsidRPr="00FA0D37" w14:paraId="69520E02" w14:textId="77777777" w:rsidTr="00771058">
        <w:tc>
          <w:tcPr>
            <w:tcW w:w="14132" w:type="dxa"/>
            <w:tcBorders>
              <w:top w:val="single" w:sz="4" w:space="0" w:color="auto"/>
              <w:left w:val="single" w:sz="4" w:space="0" w:color="auto"/>
              <w:bottom w:val="single" w:sz="4" w:space="0" w:color="auto"/>
              <w:right w:val="single" w:sz="4" w:space="0" w:color="auto"/>
            </w:tcBorders>
          </w:tcPr>
          <w:p w14:paraId="6450B5FC" w14:textId="77777777" w:rsidR="00D7262D" w:rsidRPr="00FA0D37" w:rsidRDefault="00D7262D" w:rsidP="00771058">
            <w:pPr>
              <w:pStyle w:val="TAL"/>
              <w:rPr>
                <w:b/>
                <w:i/>
                <w:szCs w:val="22"/>
                <w:lang w:eastAsia="sv-SE"/>
              </w:rPr>
            </w:pPr>
            <w:r w:rsidRPr="00FA0D37">
              <w:rPr>
                <w:b/>
                <w:i/>
                <w:szCs w:val="22"/>
                <w:lang w:eastAsia="sv-SE"/>
              </w:rPr>
              <w:t>reportPlayoutDelayForMediaStartup</w:t>
            </w:r>
          </w:p>
          <w:p w14:paraId="07628341" w14:textId="77777777" w:rsidR="00D7262D" w:rsidRPr="00FA0D37" w:rsidRDefault="00D7262D" w:rsidP="00771058">
            <w:pPr>
              <w:pStyle w:val="TAL"/>
              <w:rPr>
                <w:b/>
                <w:i/>
                <w:szCs w:val="22"/>
                <w:lang w:eastAsia="sv-SE"/>
              </w:rPr>
            </w:pPr>
            <w:r w:rsidRPr="00FA0D37">
              <w:rPr>
                <w:szCs w:val="22"/>
                <w:lang w:eastAsia="sv-SE"/>
              </w:rPr>
              <w:t>The field indicates whether the UE shall report Playout Delay for Media Startup for RAN visible application layer measurements.</w:t>
            </w:r>
          </w:p>
        </w:tc>
      </w:tr>
    </w:tbl>
    <w:p w14:paraId="2B46932A" w14:textId="5B8E038E" w:rsidR="0046275D" w:rsidRPr="00FA0D37" w:rsidRDefault="0046275D" w:rsidP="00394471">
      <w:pPr>
        <w:rPr>
          <w:lang w:eastAsia="zh-CN"/>
        </w:rPr>
      </w:pPr>
    </w:p>
    <w:p w14:paraId="33048033" w14:textId="77777777" w:rsidR="00BD1021" w:rsidRPr="00FA0D37" w:rsidRDefault="00BD1021" w:rsidP="00BD102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5C7FF4" w:rsidRPr="00FA0D37" w14:paraId="559BE161"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EB6FB25" w14:textId="77777777" w:rsidR="00BD1021" w:rsidRPr="00FA0D37" w:rsidRDefault="00BD1021" w:rsidP="00DD246F">
            <w:pPr>
              <w:pStyle w:val="TAH"/>
              <w:rPr>
                <w:lang w:eastAsia="zh-CN"/>
              </w:rPr>
            </w:pPr>
            <w:r w:rsidRPr="00FA0D37">
              <w:rPr>
                <w:lang w:eastAsia="zh-CN"/>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CCD9361" w14:textId="77777777" w:rsidR="00BD1021" w:rsidRPr="00FA0D37" w:rsidRDefault="00BD1021" w:rsidP="00DD246F">
            <w:pPr>
              <w:pStyle w:val="TAH"/>
              <w:rPr>
                <w:lang w:eastAsia="zh-CN"/>
              </w:rPr>
            </w:pPr>
            <w:r w:rsidRPr="00FA0D37">
              <w:rPr>
                <w:lang w:eastAsia="zh-CN"/>
              </w:rPr>
              <w:t>Explanation</w:t>
            </w:r>
          </w:p>
        </w:tc>
      </w:tr>
      <w:tr w:rsidR="00BD1021" w:rsidRPr="00FA0D37" w14:paraId="38493D0D" w14:textId="77777777" w:rsidTr="0071565C">
        <w:tc>
          <w:tcPr>
            <w:tcW w:w="3402" w:type="dxa"/>
            <w:tcBorders>
              <w:top w:val="single" w:sz="4" w:space="0" w:color="auto"/>
              <w:left w:val="single" w:sz="4" w:space="0" w:color="auto"/>
              <w:bottom w:val="single" w:sz="4" w:space="0" w:color="auto"/>
              <w:right w:val="single" w:sz="4" w:space="0" w:color="auto"/>
            </w:tcBorders>
          </w:tcPr>
          <w:p w14:paraId="58222AB7" w14:textId="293B334E" w:rsidR="00BD1021" w:rsidRPr="00FA0D37" w:rsidRDefault="003431E3" w:rsidP="00DD246F">
            <w:pPr>
              <w:pStyle w:val="TAL"/>
              <w:rPr>
                <w:i/>
                <w:iCs/>
                <w:lang w:eastAsia="zh-CN"/>
              </w:rPr>
            </w:pPr>
            <w:r w:rsidRPr="00FA0D37">
              <w:rPr>
                <w:i/>
                <w:iCs/>
                <w:lang w:eastAsia="zh-CN"/>
              </w:rPr>
              <w:t>S</w:t>
            </w:r>
            <w:r w:rsidR="00BD1021" w:rsidRPr="00FA0D37">
              <w:rPr>
                <w:i/>
                <w:iCs/>
                <w:lang w:eastAsia="zh-CN"/>
              </w:rPr>
              <w:t>erviceType</w:t>
            </w:r>
          </w:p>
        </w:tc>
        <w:tc>
          <w:tcPr>
            <w:tcW w:w="10773" w:type="dxa"/>
            <w:tcBorders>
              <w:top w:val="single" w:sz="4" w:space="0" w:color="auto"/>
              <w:left w:val="single" w:sz="4" w:space="0" w:color="auto"/>
              <w:bottom w:val="single" w:sz="4" w:space="0" w:color="auto"/>
              <w:right w:val="single" w:sz="4" w:space="0" w:color="auto"/>
            </w:tcBorders>
          </w:tcPr>
          <w:p w14:paraId="31CD9E93" w14:textId="5F2BFDFE" w:rsidR="00BD1021" w:rsidRPr="00FA0D37" w:rsidRDefault="00BD1021" w:rsidP="00DD246F">
            <w:pPr>
              <w:pStyle w:val="TAL"/>
              <w:rPr>
                <w:lang w:eastAsia="zh-CN"/>
              </w:rPr>
            </w:pPr>
            <w:r w:rsidRPr="00FA0D37">
              <w:rPr>
                <w:lang w:eastAsia="zh-CN"/>
              </w:rPr>
              <w:t xml:space="preserve">This field is optionally present, </w:t>
            </w:r>
            <w:r w:rsidR="003431E3" w:rsidRPr="00FA0D37">
              <w:rPr>
                <w:lang w:eastAsia="zh-CN"/>
              </w:rPr>
              <w:t>N</w:t>
            </w:r>
            <w:r w:rsidRPr="00FA0D37">
              <w:rPr>
                <w:lang w:eastAsia="zh-CN"/>
              </w:rPr>
              <w:t xml:space="preserve">eed M, when </w:t>
            </w:r>
            <w:r w:rsidRPr="00FA0D37">
              <w:rPr>
                <w:i/>
                <w:iCs/>
                <w:lang w:eastAsia="zh-CN"/>
              </w:rPr>
              <w:t>serviceType</w:t>
            </w:r>
            <w:r w:rsidRPr="00FA0D37">
              <w:rPr>
                <w:lang w:eastAsia="zh-CN"/>
              </w:rPr>
              <w:t xml:space="preserve"> is set to </w:t>
            </w:r>
            <w:r w:rsidRPr="00FA0D37">
              <w:rPr>
                <w:i/>
                <w:iCs/>
                <w:lang w:eastAsia="zh-CN"/>
              </w:rPr>
              <w:t>streaming</w:t>
            </w:r>
            <w:r w:rsidRPr="00FA0D37">
              <w:rPr>
                <w:lang w:eastAsia="zh-CN"/>
              </w:rPr>
              <w:t xml:space="preserve"> or </w:t>
            </w:r>
            <w:r w:rsidRPr="00FA0D37">
              <w:rPr>
                <w:i/>
                <w:iCs/>
                <w:lang w:eastAsia="zh-CN"/>
              </w:rPr>
              <w:t>vr</w:t>
            </w:r>
            <w:r w:rsidRPr="00FA0D37">
              <w:rPr>
                <w:lang w:eastAsia="zh-CN"/>
              </w:rPr>
              <w:t>. Otherwise, it is absent.</w:t>
            </w:r>
          </w:p>
        </w:tc>
      </w:tr>
    </w:tbl>
    <w:p w14:paraId="722B3A98" w14:textId="77777777" w:rsidR="00BD1021" w:rsidRPr="00FA0D37" w:rsidRDefault="00BD1021" w:rsidP="00394471">
      <w:pPr>
        <w:rPr>
          <w:lang w:eastAsia="zh-CN"/>
        </w:rPr>
      </w:pPr>
    </w:p>
    <w:p w14:paraId="17379F33" w14:textId="51D7C79C" w:rsidR="00394471" w:rsidRPr="00FA0D37" w:rsidRDefault="00394471" w:rsidP="00394471">
      <w:pPr>
        <w:pStyle w:val="4"/>
      </w:pPr>
      <w:bookmarkStart w:id="1658" w:name="_Toc60777495"/>
      <w:bookmarkStart w:id="1659" w:name="_Toc146781605"/>
      <w:r w:rsidRPr="00FA0D37">
        <w:t>–</w:t>
      </w:r>
      <w:r w:rsidRPr="00FA0D37">
        <w:tab/>
      </w:r>
      <w:r w:rsidRPr="00FA0D37">
        <w:rPr>
          <w:i/>
        </w:rPr>
        <w:t>AreaConfiguration</w:t>
      </w:r>
      <w:bookmarkEnd w:id="1658"/>
      <w:bookmarkEnd w:id="1659"/>
    </w:p>
    <w:p w14:paraId="4BE3330E" w14:textId="77777777" w:rsidR="00394471" w:rsidRPr="00FA0D37" w:rsidRDefault="00394471" w:rsidP="00394471">
      <w:pPr>
        <w:keepNext/>
        <w:keepLines/>
        <w:rPr>
          <w:iCs/>
        </w:rPr>
      </w:pPr>
      <w:r w:rsidRPr="00FA0D37">
        <w:t xml:space="preserve">The </w:t>
      </w:r>
      <w:r w:rsidRPr="00FA0D37">
        <w:rPr>
          <w:i/>
        </w:rPr>
        <w:t>AreaConfiguration</w:t>
      </w:r>
      <w:r w:rsidRPr="00FA0D37">
        <w:t xml:space="preserve"> indicates area for which UE is requested to perform measurement logging</w:t>
      </w:r>
      <w:r w:rsidRPr="00FA0D37">
        <w:rPr>
          <w:iCs/>
        </w:rPr>
        <w:t>.</w:t>
      </w:r>
      <w:r w:rsidRPr="00FA0D37">
        <w:t xml:space="preserve"> </w:t>
      </w:r>
      <w:r w:rsidRPr="00FA0D37">
        <w:rPr>
          <w:iCs/>
        </w:rPr>
        <w:t xml:space="preserve">If not configured, measurement logging is not restricted to specific cells or tracking areas but applies as long as the RPLMN is contained in </w:t>
      </w:r>
      <w:r w:rsidRPr="00FA0D37">
        <w:rPr>
          <w:i/>
          <w:iCs/>
        </w:rPr>
        <w:t>plmn-IdentityList</w:t>
      </w:r>
      <w:r w:rsidRPr="00FA0D37">
        <w:rPr>
          <w:iCs/>
        </w:rPr>
        <w:t xml:space="preserve"> stored in </w:t>
      </w:r>
      <w:r w:rsidRPr="00FA0D37">
        <w:rPr>
          <w:i/>
          <w:iCs/>
        </w:rPr>
        <w:t>VarLogMeasReport</w:t>
      </w:r>
      <w:r w:rsidRPr="00FA0D37">
        <w:rPr>
          <w:iCs/>
        </w:rPr>
        <w:t>.</w:t>
      </w:r>
    </w:p>
    <w:p w14:paraId="662A7D85" w14:textId="77777777" w:rsidR="00394471" w:rsidRPr="00FA0D37" w:rsidRDefault="00394471" w:rsidP="00394471">
      <w:pPr>
        <w:pStyle w:val="TH"/>
      </w:pPr>
      <w:r w:rsidRPr="00FA0D37">
        <w:rPr>
          <w:bCs/>
          <w:i/>
          <w:iCs/>
        </w:rPr>
        <w:t xml:space="preserve">AreaConfiguration </w:t>
      </w:r>
      <w:r w:rsidRPr="00FA0D37">
        <w:t>information element</w:t>
      </w:r>
    </w:p>
    <w:p w14:paraId="071E4491" w14:textId="77777777" w:rsidR="00394471" w:rsidRPr="00FA0D37" w:rsidRDefault="00394471" w:rsidP="00FA0D37">
      <w:pPr>
        <w:pStyle w:val="PL"/>
        <w:rPr>
          <w:color w:val="808080"/>
        </w:rPr>
      </w:pPr>
      <w:r w:rsidRPr="00FA0D37">
        <w:rPr>
          <w:color w:val="808080"/>
        </w:rPr>
        <w:t>-- ASN1START</w:t>
      </w:r>
    </w:p>
    <w:p w14:paraId="2F391BB6" w14:textId="77777777" w:rsidR="00394471" w:rsidRPr="00FA0D37" w:rsidRDefault="00394471" w:rsidP="00FA0D37">
      <w:pPr>
        <w:pStyle w:val="PL"/>
        <w:rPr>
          <w:color w:val="808080"/>
        </w:rPr>
      </w:pPr>
      <w:r w:rsidRPr="00FA0D37">
        <w:rPr>
          <w:color w:val="808080"/>
        </w:rPr>
        <w:t>-- TAG-AREACONFIGURATION-START</w:t>
      </w:r>
    </w:p>
    <w:p w14:paraId="3CE8CEF6" w14:textId="77777777" w:rsidR="00394471" w:rsidRPr="00FA0D37" w:rsidRDefault="00394471" w:rsidP="00FA0D37">
      <w:pPr>
        <w:pStyle w:val="PL"/>
      </w:pPr>
    </w:p>
    <w:p w14:paraId="4A5895E6" w14:textId="77777777" w:rsidR="00394471" w:rsidRPr="00FA0D37" w:rsidRDefault="00394471" w:rsidP="00FA0D37">
      <w:pPr>
        <w:pStyle w:val="PL"/>
      </w:pPr>
      <w:r w:rsidRPr="00FA0D37">
        <w:t xml:space="preserve">AreaConfiguration-r16 ::=        </w:t>
      </w:r>
      <w:r w:rsidRPr="00FA0D37">
        <w:rPr>
          <w:color w:val="993366"/>
        </w:rPr>
        <w:t>SEQUENCE</w:t>
      </w:r>
      <w:r w:rsidRPr="00FA0D37">
        <w:t xml:space="preserve"> {</w:t>
      </w:r>
    </w:p>
    <w:p w14:paraId="437B6CED" w14:textId="77777777" w:rsidR="00394471" w:rsidRPr="00FA0D37" w:rsidRDefault="00394471" w:rsidP="00FA0D37">
      <w:pPr>
        <w:pStyle w:val="PL"/>
      </w:pPr>
      <w:r w:rsidRPr="00FA0D37">
        <w:t xml:space="preserve">    areaConfig-r16                   AreaConfig-r16,</w:t>
      </w:r>
    </w:p>
    <w:p w14:paraId="710E87CD" w14:textId="77777777" w:rsidR="00394471" w:rsidRPr="00FA0D37" w:rsidRDefault="00394471" w:rsidP="00FA0D37">
      <w:pPr>
        <w:pStyle w:val="PL"/>
        <w:rPr>
          <w:color w:val="808080"/>
        </w:rPr>
      </w:pPr>
      <w:r w:rsidRPr="00FA0D37">
        <w:t xml:space="preserve">    interFreqTargetList-r16          </w:t>
      </w:r>
      <w:r w:rsidRPr="00FA0D37">
        <w:rPr>
          <w:color w:val="993366"/>
        </w:rPr>
        <w:t>SEQUENCE</w:t>
      </w:r>
      <w:r w:rsidRPr="00FA0D37">
        <w:t>(</w:t>
      </w:r>
      <w:r w:rsidRPr="00FA0D37">
        <w:rPr>
          <w:color w:val="993366"/>
        </w:rPr>
        <w:t>SIZE</w:t>
      </w:r>
      <w:r w:rsidRPr="00FA0D37">
        <w:t xml:space="preserve"> (1..maxFreq))</w:t>
      </w:r>
      <w:r w:rsidRPr="00FA0D37">
        <w:rPr>
          <w:color w:val="993366"/>
        </w:rPr>
        <w:t xml:space="preserve"> OF</w:t>
      </w:r>
      <w:r w:rsidRPr="00FA0D37">
        <w:t xml:space="preserve"> InterFreqTargetInfo-r16              </w:t>
      </w:r>
      <w:r w:rsidRPr="00FA0D37">
        <w:rPr>
          <w:color w:val="993366"/>
        </w:rPr>
        <w:t>OPTIONAL</w:t>
      </w:r>
      <w:r w:rsidRPr="00FA0D37">
        <w:t xml:space="preserve">  </w:t>
      </w:r>
      <w:r w:rsidRPr="00FA0D37">
        <w:rPr>
          <w:color w:val="808080"/>
        </w:rPr>
        <w:t>-- Need R</w:t>
      </w:r>
    </w:p>
    <w:p w14:paraId="557CBD28" w14:textId="77777777" w:rsidR="00394471" w:rsidRPr="00FA0D37" w:rsidRDefault="00394471" w:rsidP="00FA0D37">
      <w:pPr>
        <w:pStyle w:val="PL"/>
      </w:pPr>
      <w:r w:rsidRPr="00FA0D37">
        <w:t>}</w:t>
      </w:r>
    </w:p>
    <w:p w14:paraId="1DC05207" w14:textId="77777777" w:rsidR="00E84B6D" w:rsidRPr="00FA0D37" w:rsidRDefault="00E84B6D" w:rsidP="00FA0D37">
      <w:pPr>
        <w:pStyle w:val="PL"/>
      </w:pPr>
    </w:p>
    <w:p w14:paraId="7617A8BD" w14:textId="7C58BF66" w:rsidR="00E84B6D" w:rsidRPr="00FA0D37" w:rsidRDefault="00E84B6D" w:rsidP="00FA0D37">
      <w:pPr>
        <w:pStyle w:val="PL"/>
      </w:pPr>
      <w:r w:rsidRPr="00FA0D37">
        <w:t xml:space="preserve">AreaConfiguration-v1700 ::=      </w:t>
      </w:r>
      <w:r w:rsidRPr="00FA0D37">
        <w:rPr>
          <w:color w:val="993366"/>
        </w:rPr>
        <w:t>SEQUENCE</w:t>
      </w:r>
      <w:r w:rsidRPr="00FA0D37">
        <w:t xml:space="preserve"> {</w:t>
      </w:r>
    </w:p>
    <w:p w14:paraId="04B13E78" w14:textId="4BFAFAFA" w:rsidR="00E84B6D" w:rsidRPr="00FA0D37" w:rsidRDefault="00E84B6D" w:rsidP="00FA0D37">
      <w:pPr>
        <w:pStyle w:val="PL"/>
        <w:rPr>
          <w:color w:val="808080"/>
        </w:rPr>
      </w:pPr>
      <w:r w:rsidRPr="00FA0D37">
        <w:t xml:space="preserve">    areaConfig-r1</w:t>
      </w:r>
      <w:r w:rsidR="006665C6" w:rsidRPr="00FA0D37">
        <w:t>7</w:t>
      </w:r>
      <w:r w:rsidRPr="00FA0D37">
        <w:t xml:space="preserve">                   AreaConfig-r16                                                      </w:t>
      </w:r>
      <w:r w:rsidRPr="00FA0D37">
        <w:rPr>
          <w:color w:val="993366"/>
        </w:rPr>
        <w:t>OPTIONAL</w:t>
      </w:r>
      <w:r w:rsidRPr="00FA0D37">
        <w:t xml:space="preserve">, </w:t>
      </w:r>
      <w:r w:rsidRPr="00FA0D37">
        <w:rPr>
          <w:color w:val="808080"/>
        </w:rPr>
        <w:t>-- Need R</w:t>
      </w:r>
    </w:p>
    <w:p w14:paraId="1EB632F9" w14:textId="767B2A39" w:rsidR="00E84B6D" w:rsidRPr="00FA0D37" w:rsidRDefault="00E84B6D" w:rsidP="00FA0D37">
      <w:pPr>
        <w:pStyle w:val="PL"/>
        <w:rPr>
          <w:color w:val="808080"/>
        </w:rPr>
      </w:pPr>
      <w:r w:rsidRPr="00FA0D37">
        <w:t xml:space="preserve">    interFreqTargetList-r1</w:t>
      </w:r>
      <w:r w:rsidR="006665C6" w:rsidRPr="00FA0D37">
        <w:t>7</w:t>
      </w:r>
      <w:r w:rsidRPr="00FA0D37">
        <w:t xml:space="preserve">          </w:t>
      </w:r>
      <w:r w:rsidRPr="00FA0D37">
        <w:rPr>
          <w:color w:val="993366"/>
        </w:rPr>
        <w:t>SEQUENCE</w:t>
      </w:r>
      <w:r w:rsidRPr="00FA0D37">
        <w:t>(</w:t>
      </w:r>
      <w:r w:rsidRPr="00FA0D37">
        <w:rPr>
          <w:color w:val="993366"/>
        </w:rPr>
        <w:t>SIZE</w:t>
      </w:r>
      <w:r w:rsidRPr="00FA0D37">
        <w:t xml:space="preserve"> (1..maxFreq))</w:t>
      </w:r>
      <w:r w:rsidRPr="00FA0D37">
        <w:rPr>
          <w:color w:val="993366"/>
        </w:rPr>
        <w:t xml:space="preserve"> OF</w:t>
      </w:r>
      <w:r w:rsidRPr="00FA0D37">
        <w:t xml:space="preserve"> InterFreqTargetInfo-r16              </w:t>
      </w:r>
      <w:r w:rsidRPr="00FA0D37">
        <w:rPr>
          <w:color w:val="993366"/>
        </w:rPr>
        <w:t>OPTIONAL</w:t>
      </w:r>
      <w:r w:rsidRPr="00FA0D37">
        <w:t xml:space="preserve">  </w:t>
      </w:r>
      <w:r w:rsidRPr="00FA0D37">
        <w:rPr>
          <w:color w:val="808080"/>
        </w:rPr>
        <w:t>-- Need R</w:t>
      </w:r>
    </w:p>
    <w:p w14:paraId="4ECE48D5" w14:textId="77777777" w:rsidR="00E84B6D" w:rsidRPr="00FA0D37" w:rsidRDefault="00E84B6D" w:rsidP="00FA0D37">
      <w:pPr>
        <w:pStyle w:val="PL"/>
      </w:pPr>
      <w:r w:rsidRPr="00FA0D37">
        <w:t>}</w:t>
      </w:r>
    </w:p>
    <w:p w14:paraId="2D7180C6" w14:textId="77777777" w:rsidR="00394471" w:rsidRPr="00FA0D37" w:rsidRDefault="00394471" w:rsidP="00FA0D37">
      <w:pPr>
        <w:pStyle w:val="PL"/>
      </w:pPr>
    </w:p>
    <w:p w14:paraId="7665EC37" w14:textId="77777777" w:rsidR="00394471" w:rsidRPr="00FA0D37" w:rsidRDefault="00394471" w:rsidP="00FA0D37">
      <w:pPr>
        <w:pStyle w:val="PL"/>
      </w:pPr>
      <w:r w:rsidRPr="00FA0D37">
        <w:t xml:space="preserve">AreaConfig-r16 ::=     </w:t>
      </w:r>
      <w:r w:rsidRPr="00FA0D37">
        <w:rPr>
          <w:color w:val="993366"/>
        </w:rPr>
        <w:t>CHOICE</w:t>
      </w:r>
      <w:r w:rsidRPr="00FA0D37">
        <w:t xml:space="preserve"> {</w:t>
      </w:r>
    </w:p>
    <w:p w14:paraId="3F23F457" w14:textId="77777777" w:rsidR="00394471" w:rsidRPr="00FA0D37" w:rsidRDefault="00394471" w:rsidP="00FA0D37">
      <w:pPr>
        <w:pStyle w:val="PL"/>
      </w:pPr>
      <w:r w:rsidRPr="00FA0D37">
        <w:t xml:space="preserve">    cellGlobalIdList-r16             CellGlobalIdList-r16,</w:t>
      </w:r>
    </w:p>
    <w:p w14:paraId="616178E8" w14:textId="77777777" w:rsidR="00394471" w:rsidRPr="00FA0D37" w:rsidRDefault="00394471" w:rsidP="00FA0D37">
      <w:pPr>
        <w:pStyle w:val="PL"/>
      </w:pPr>
      <w:r w:rsidRPr="00FA0D37">
        <w:t xml:space="preserve">    trackingAreaCodeList-r16         TrackingAreaCodeList-r16,</w:t>
      </w:r>
    </w:p>
    <w:p w14:paraId="73684B2C" w14:textId="77777777" w:rsidR="00394471" w:rsidRPr="00FA0D37" w:rsidRDefault="00394471" w:rsidP="00FA0D37">
      <w:pPr>
        <w:pStyle w:val="PL"/>
      </w:pPr>
      <w:r w:rsidRPr="00FA0D37">
        <w:t xml:space="preserve">    trackingAreaIdentityList-r16     TrackingAreaIdentityList-r16</w:t>
      </w:r>
    </w:p>
    <w:p w14:paraId="0318D099" w14:textId="77777777" w:rsidR="00394471" w:rsidRPr="00FA0D37" w:rsidRDefault="00394471" w:rsidP="00FA0D37">
      <w:pPr>
        <w:pStyle w:val="PL"/>
      </w:pPr>
      <w:r w:rsidRPr="00FA0D37">
        <w:t>}</w:t>
      </w:r>
    </w:p>
    <w:p w14:paraId="6A072990" w14:textId="77777777" w:rsidR="00394471" w:rsidRPr="00FA0D37" w:rsidRDefault="00394471" w:rsidP="00FA0D37">
      <w:pPr>
        <w:pStyle w:val="PL"/>
      </w:pPr>
    </w:p>
    <w:p w14:paraId="2FD26B0F" w14:textId="77777777" w:rsidR="00394471" w:rsidRPr="00FA0D37" w:rsidRDefault="00394471" w:rsidP="00FA0D37">
      <w:pPr>
        <w:pStyle w:val="PL"/>
      </w:pPr>
      <w:r w:rsidRPr="00FA0D37">
        <w:t xml:space="preserve">InterFreqTargetInfo-r16    ::=   </w:t>
      </w:r>
      <w:r w:rsidRPr="00FA0D37">
        <w:rPr>
          <w:color w:val="993366"/>
        </w:rPr>
        <w:t>SEQUENCE</w:t>
      </w:r>
      <w:r w:rsidRPr="00FA0D37">
        <w:t xml:space="preserve"> {</w:t>
      </w:r>
    </w:p>
    <w:p w14:paraId="3661DE97" w14:textId="42FAB67E" w:rsidR="00394471" w:rsidRPr="00FA0D37" w:rsidRDefault="00394471" w:rsidP="00FA0D37">
      <w:pPr>
        <w:pStyle w:val="PL"/>
      </w:pPr>
      <w:r w:rsidRPr="00FA0D37">
        <w:t xml:space="preserve">    dl-CarrierFreq</w:t>
      </w:r>
      <w:r w:rsidR="00926AC0" w:rsidRPr="00FA0D37">
        <w:t>-r16</w:t>
      </w:r>
      <w:r w:rsidRPr="00FA0D37">
        <w:t xml:space="preserve">               ARFCN-ValueNR,</w:t>
      </w:r>
    </w:p>
    <w:p w14:paraId="63A50CE9" w14:textId="2737CC47" w:rsidR="00394471" w:rsidRPr="00FA0D37" w:rsidRDefault="00394471" w:rsidP="00FA0D37">
      <w:pPr>
        <w:pStyle w:val="PL"/>
        <w:rPr>
          <w:color w:val="808080"/>
        </w:rPr>
      </w:pPr>
      <w:r w:rsidRPr="00FA0D37">
        <w:t xml:space="preserve">    cellList</w:t>
      </w:r>
      <w:r w:rsidR="00926AC0" w:rsidRPr="00FA0D37">
        <w:t>-r16</w:t>
      </w:r>
      <w:r w:rsidRPr="00FA0D37">
        <w:t xml:space="preserve">                     </w:t>
      </w:r>
      <w:r w:rsidRPr="00FA0D37">
        <w:rPr>
          <w:color w:val="993366"/>
        </w:rPr>
        <w:t>SEQUENCE</w:t>
      </w:r>
      <w:r w:rsidRPr="00FA0D37">
        <w:t xml:space="preserve"> (</w:t>
      </w:r>
      <w:r w:rsidRPr="00FA0D37">
        <w:rPr>
          <w:color w:val="993366"/>
        </w:rPr>
        <w:t>SIZE</w:t>
      </w:r>
      <w:r w:rsidRPr="00FA0D37">
        <w:t xml:space="preserve"> (1..32))</w:t>
      </w:r>
      <w:r w:rsidRPr="00FA0D37">
        <w:rPr>
          <w:color w:val="993366"/>
        </w:rPr>
        <w:t xml:space="preserve"> OF</w:t>
      </w:r>
      <w:r w:rsidRPr="00FA0D37">
        <w:t xml:space="preserve">  PhysCellId  </w:t>
      </w:r>
      <w:r w:rsidRPr="00FA0D37">
        <w:rPr>
          <w:color w:val="993366"/>
        </w:rPr>
        <w:t>OPTIONAL</w:t>
      </w:r>
      <w:r w:rsidR="00926AC0" w:rsidRPr="00FA0D37">
        <w:t xml:space="preserve">      </w:t>
      </w:r>
      <w:r w:rsidR="00926AC0" w:rsidRPr="00FA0D37">
        <w:rPr>
          <w:color w:val="808080"/>
        </w:rPr>
        <w:t>-- Need R</w:t>
      </w:r>
    </w:p>
    <w:p w14:paraId="4DED407A" w14:textId="77777777" w:rsidR="00394471" w:rsidRPr="00FA0D37" w:rsidRDefault="00394471" w:rsidP="00FA0D37">
      <w:pPr>
        <w:pStyle w:val="PL"/>
      </w:pPr>
      <w:r w:rsidRPr="00FA0D37">
        <w:lastRenderedPageBreak/>
        <w:t>}</w:t>
      </w:r>
    </w:p>
    <w:p w14:paraId="21CF6F80" w14:textId="77777777" w:rsidR="00394471" w:rsidRPr="00FA0D37" w:rsidRDefault="00394471" w:rsidP="00FA0D37">
      <w:pPr>
        <w:pStyle w:val="PL"/>
      </w:pPr>
    </w:p>
    <w:p w14:paraId="2DF5398C" w14:textId="77777777" w:rsidR="00394471" w:rsidRPr="00FA0D37" w:rsidRDefault="00394471" w:rsidP="00FA0D37">
      <w:pPr>
        <w:pStyle w:val="PL"/>
      </w:pPr>
      <w:r w:rsidRPr="00FA0D37">
        <w:t xml:space="preserve">CellGlobalIdList-r16 ::=         </w:t>
      </w:r>
      <w:r w:rsidRPr="00FA0D37">
        <w:rPr>
          <w:color w:val="993366"/>
        </w:rPr>
        <w:t>SEQUENCE</w:t>
      </w:r>
      <w:r w:rsidRPr="00FA0D37">
        <w:t xml:space="preserve"> (</w:t>
      </w:r>
      <w:r w:rsidRPr="00FA0D37">
        <w:rPr>
          <w:color w:val="993366"/>
        </w:rPr>
        <w:t>SIZE</w:t>
      </w:r>
      <w:r w:rsidRPr="00FA0D37">
        <w:t xml:space="preserve"> (1..32))</w:t>
      </w:r>
      <w:r w:rsidRPr="00FA0D37">
        <w:rPr>
          <w:color w:val="993366"/>
        </w:rPr>
        <w:t xml:space="preserve"> OF</w:t>
      </w:r>
      <w:r w:rsidRPr="00FA0D37">
        <w:t xml:space="preserve"> CGI-Info-Logging-r16</w:t>
      </w:r>
    </w:p>
    <w:p w14:paraId="33AD849B" w14:textId="77777777" w:rsidR="00394471" w:rsidRPr="00FA0D37" w:rsidRDefault="00394471" w:rsidP="00FA0D37">
      <w:pPr>
        <w:pStyle w:val="PL"/>
      </w:pPr>
    </w:p>
    <w:p w14:paraId="22C4F27F" w14:textId="77777777" w:rsidR="00394471" w:rsidRPr="00FA0D37" w:rsidRDefault="00394471" w:rsidP="00FA0D37">
      <w:pPr>
        <w:pStyle w:val="PL"/>
      </w:pPr>
      <w:r w:rsidRPr="00FA0D37">
        <w:t xml:space="preserve">TrackingAreaCodeList-r16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TrackingAreaCode</w:t>
      </w:r>
    </w:p>
    <w:p w14:paraId="7897B0D9" w14:textId="77777777" w:rsidR="00394471" w:rsidRPr="00FA0D37" w:rsidRDefault="00394471" w:rsidP="00FA0D37">
      <w:pPr>
        <w:pStyle w:val="PL"/>
      </w:pPr>
    </w:p>
    <w:p w14:paraId="6E68764E" w14:textId="77777777" w:rsidR="00394471" w:rsidRPr="00FA0D37" w:rsidRDefault="00394471" w:rsidP="00FA0D37">
      <w:pPr>
        <w:pStyle w:val="PL"/>
      </w:pPr>
      <w:r w:rsidRPr="00FA0D37">
        <w:t xml:space="preserve">TrackingAreaIdentityList-r16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TrackingAreaIdentity-r16</w:t>
      </w:r>
    </w:p>
    <w:p w14:paraId="388F89BE" w14:textId="77777777" w:rsidR="00394471" w:rsidRPr="00FA0D37" w:rsidRDefault="00394471" w:rsidP="00FA0D37">
      <w:pPr>
        <w:pStyle w:val="PL"/>
      </w:pPr>
    </w:p>
    <w:p w14:paraId="75A41E27" w14:textId="77777777" w:rsidR="00394471" w:rsidRPr="00FA0D37" w:rsidRDefault="00394471" w:rsidP="00FA0D37">
      <w:pPr>
        <w:pStyle w:val="PL"/>
      </w:pPr>
      <w:r w:rsidRPr="00FA0D37">
        <w:t xml:space="preserve">TrackingAreaIdentity-r16 ::=     </w:t>
      </w:r>
      <w:r w:rsidRPr="00FA0D37">
        <w:rPr>
          <w:color w:val="993366"/>
        </w:rPr>
        <w:t>SEQUENCE</w:t>
      </w:r>
      <w:r w:rsidRPr="00FA0D37">
        <w:t xml:space="preserve"> {</w:t>
      </w:r>
    </w:p>
    <w:p w14:paraId="3425C018" w14:textId="77777777" w:rsidR="00394471" w:rsidRPr="00FA0D37" w:rsidRDefault="00394471" w:rsidP="00FA0D37">
      <w:pPr>
        <w:pStyle w:val="PL"/>
      </w:pPr>
      <w:r w:rsidRPr="00FA0D37">
        <w:t xml:space="preserve">    plmn-Identity-r16                PLMN-Identity,</w:t>
      </w:r>
    </w:p>
    <w:p w14:paraId="2747315C" w14:textId="77777777" w:rsidR="00394471" w:rsidRPr="00FA0D37" w:rsidRDefault="00394471" w:rsidP="00FA0D37">
      <w:pPr>
        <w:pStyle w:val="PL"/>
      </w:pPr>
      <w:r w:rsidRPr="00FA0D37">
        <w:t xml:space="preserve">    trackingAreaCode-r16             TrackingAreaCode</w:t>
      </w:r>
    </w:p>
    <w:p w14:paraId="713D6BB0" w14:textId="77777777" w:rsidR="00394471" w:rsidRPr="00FA0D37" w:rsidRDefault="00394471" w:rsidP="00FA0D37">
      <w:pPr>
        <w:pStyle w:val="PL"/>
      </w:pPr>
      <w:r w:rsidRPr="00FA0D37">
        <w:t>}</w:t>
      </w:r>
    </w:p>
    <w:p w14:paraId="5C5933E6" w14:textId="77777777" w:rsidR="00394471" w:rsidRPr="00FA0D37" w:rsidRDefault="00394471" w:rsidP="00FA0D37">
      <w:pPr>
        <w:pStyle w:val="PL"/>
      </w:pPr>
    </w:p>
    <w:p w14:paraId="6528ED39" w14:textId="77777777" w:rsidR="00394471" w:rsidRPr="00FA0D37" w:rsidRDefault="00394471" w:rsidP="00FA0D37">
      <w:pPr>
        <w:pStyle w:val="PL"/>
        <w:rPr>
          <w:color w:val="808080"/>
        </w:rPr>
      </w:pPr>
      <w:r w:rsidRPr="00FA0D37">
        <w:rPr>
          <w:color w:val="808080"/>
        </w:rPr>
        <w:t>-- TAG-AREACONFIGURATION-STOP</w:t>
      </w:r>
    </w:p>
    <w:p w14:paraId="6E218868" w14:textId="77777777" w:rsidR="00394471" w:rsidRPr="00FA0D37" w:rsidRDefault="00394471" w:rsidP="00FA0D37">
      <w:pPr>
        <w:pStyle w:val="PL"/>
        <w:rPr>
          <w:color w:val="808080"/>
        </w:rPr>
      </w:pPr>
      <w:r w:rsidRPr="00FA0D37">
        <w:rPr>
          <w:color w:val="808080"/>
        </w:rPr>
        <w:t>-- ASN1STOP</w:t>
      </w:r>
    </w:p>
    <w:p w14:paraId="177B02C8" w14:textId="77777777" w:rsidR="00394471" w:rsidRPr="00FA0D37" w:rsidRDefault="00394471" w:rsidP="00394471">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0F8A5C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5267604" w14:textId="77777777" w:rsidR="00394471" w:rsidRPr="00FA0D37" w:rsidRDefault="00394471" w:rsidP="00964CC4">
            <w:pPr>
              <w:pStyle w:val="TAH"/>
              <w:rPr>
                <w:lang w:eastAsia="en-GB"/>
              </w:rPr>
            </w:pPr>
            <w:r w:rsidRPr="00FA0D37">
              <w:rPr>
                <w:bCs/>
                <w:i/>
                <w:lang w:eastAsia="sv-SE"/>
              </w:rPr>
              <w:t>AreaConfiguration</w:t>
            </w:r>
            <w:r w:rsidRPr="00FA0D37">
              <w:rPr>
                <w:bCs/>
                <w:i/>
                <w:iCs/>
                <w:lang w:eastAsia="sv-SE"/>
              </w:rPr>
              <w:t xml:space="preserve"> </w:t>
            </w:r>
            <w:r w:rsidRPr="00FA0D37">
              <w:rPr>
                <w:iCs/>
                <w:lang w:eastAsia="en-GB"/>
              </w:rPr>
              <w:t>field descriptions</w:t>
            </w:r>
          </w:p>
        </w:tc>
      </w:tr>
      <w:tr w:rsidR="00394471" w:rsidRPr="00FA0D37" w14:paraId="2A37B8A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A0F8864" w14:textId="77777777" w:rsidR="00394471" w:rsidRPr="00FA0D37" w:rsidRDefault="00394471" w:rsidP="00964CC4">
            <w:pPr>
              <w:pStyle w:val="TAL"/>
              <w:rPr>
                <w:b/>
                <w:i/>
                <w:kern w:val="2"/>
                <w:lang w:eastAsia="sv-SE"/>
              </w:rPr>
            </w:pPr>
            <w:r w:rsidRPr="00FA0D37">
              <w:rPr>
                <w:b/>
                <w:i/>
                <w:kern w:val="2"/>
              </w:rPr>
              <w:t>InterFreqTargetInfo</w:t>
            </w:r>
          </w:p>
          <w:p w14:paraId="50F03540" w14:textId="3ECA8394" w:rsidR="00394471" w:rsidRPr="00FA0D37" w:rsidRDefault="00394471" w:rsidP="00964CC4">
            <w:pPr>
              <w:pStyle w:val="TAL"/>
              <w:rPr>
                <w:b/>
                <w:i/>
                <w:kern w:val="2"/>
                <w:lang w:eastAsia="sv-SE"/>
              </w:rPr>
            </w:pPr>
            <w:r w:rsidRPr="00FA0D37">
              <w:rPr>
                <w:bCs/>
                <w:iCs/>
                <w:lang w:eastAsia="ko-KR"/>
              </w:rPr>
              <w:t xml:space="preserve">If configured, it indicates the </w:t>
            </w:r>
            <w:r w:rsidR="006E301A" w:rsidRPr="00FA0D37">
              <w:rPr>
                <w:bCs/>
                <w:iCs/>
                <w:lang w:eastAsia="ko-KR"/>
              </w:rPr>
              <w:t xml:space="preserve">neighbouring </w:t>
            </w:r>
            <w:r w:rsidRPr="00FA0D37">
              <w:rPr>
                <w:bCs/>
                <w:iCs/>
                <w:lang w:eastAsia="ko-KR"/>
              </w:rPr>
              <w:t xml:space="preserve">frequency </w:t>
            </w:r>
            <w:r w:rsidR="006E301A" w:rsidRPr="00FA0D37">
              <w:rPr>
                <w:bCs/>
                <w:iCs/>
                <w:lang w:eastAsia="ko-KR"/>
              </w:rPr>
              <w:t xml:space="preserve">and cells </w:t>
            </w:r>
            <w:r w:rsidRPr="00FA0D37">
              <w:rPr>
                <w:bCs/>
                <w:iCs/>
                <w:lang w:eastAsia="ko-KR"/>
              </w:rPr>
              <w:t>for which UE is requested to perform measurement logging.</w:t>
            </w:r>
            <w:r w:rsidR="00E84B6D" w:rsidRPr="00FA0D37">
              <w:rPr>
                <w:bCs/>
                <w:iCs/>
                <w:lang w:eastAsia="ko-KR"/>
              </w:rPr>
              <w:t xml:space="preserve"> It can include sync raster or non-sync raster frequencies.</w:t>
            </w:r>
          </w:p>
        </w:tc>
      </w:tr>
    </w:tbl>
    <w:p w14:paraId="36B4E2A6" w14:textId="77777777" w:rsidR="00394471" w:rsidRPr="00FA0D37" w:rsidRDefault="00394471" w:rsidP="00394471">
      <w:pPr>
        <w:rPr>
          <w:rFonts w:eastAsiaTheme="minorEastAsia"/>
        </w:rPr>
      </w:pPr>
    </w:p>
    <w:p w14:paraId="5467C24F" w14:textId="2936C616" w:rsidR="00394471" w:rsidRPr="00FA0D37" w:rsidRDefault="00394471" w:rsidP="00394471">
      <w:pPr>
        <w:pStyle w:val="4"/>
      </w:pPr>
      <w:bookmarkStart w:id="1660" w:name="_Toc60777496"/>
      <w:bookmarkStart w:id="1661" w:name="_Toc146781606"/>
      <w:r w:rsidRPr="00FA0D37">
        <w:t>–</w:t>
      </w:r>
      <w:r w:rsidRPr="00FA0D37">
        <w:tab/>
      </w:r>
      <w:r w:rsidRPr="00FA0D37">
        <w:rPr>
          <w:bCs/>
          <w:i/>
        </w:rPr>
        <w:t>BT-NameList</w:t>
      </w:r>
      <w:bookmarkEnd w:id="1660"/>
      <w:bookmarkEnd w:id="1661"/>
    </w:p>
    <w:p w14:paraId="2B963FE5" w14:textId="77777777" w:rsidR="00394471" w:rsidRPr="00FA0D37" w:rsidRDefault="00394471" w:rsidP="00394471">
      <w:r w:rsidRPr="00FA0D37">
        <w:t xml:space="preserve">The IE </w:t>
      </w:r>
      <w:r w:rsidRPr="00FA0D37">
        <w:rPr>
          <w:bCs/>
          <w:i/>
        </w:rPr>
        <w:t>BT-NameList</w:t>
      </w:r>
      <w:r w:rsidRPr="00FA0D37">
        <w:rPr>
          <w:iCs/>
        </w:rPr>
        <w:t xml:space="preserve"> </w:t>
      </w:r>
      <w:r w:rsidRPr="00FA0D37">
        <w:rPr>
          <w:iCs/>
          <w:lang w:eastAsia="zh-CN"/>
        </w:rPr>
        <w:t>is used to indicate the names of the Bluetooth beacon which the UE is configured to measure</w:t>
      </w:r>
      <w:r w:rsidRPr="00FA0D37">
        <w:t>.</w:t>
      </w:r>
    </w:p>
    <w:p w14:paraId="3E1DFCF2" w14:textId="77777777" w:rsidR="00394471" w:rsidRPr="00FA0D37" w:rsidRDefault="00394471" w:rsidP="00394471">
      <w:pPr>
        <w:pStyle w:val="TH"/>
      </w:pPr>
      <w:r w:rsidRPr="00FA0D37">
        <w:rPr>
          <w:bCs/>
          <w:i/>
        </w:rPr>
        <w:t>BT-NameList</w:t>
      </w:r>
      <w:r w:rsidRPr="00FA0D37">
        <w:rPr>
          <w:bCs/>
          <w:i/>
          <w:iCs/>
        </w:rPr>
        <w:t xml:space="preserve"> </w:t>
      </w:r>
      <w:r w:rsidRPr="00FA0D37">
        <w:t>information element</w:t>
      </w:r>
    </w:p>
    <w:p w14:paraId="1F7DB811" w14:textId="77777777" w:rsidR="00394471" w:rsidRPr="00FA0D37" w:rsidRDefault="00394471" w:rsidP="00FA0D37">
      <w:pPr>
        <w:pStyle w:val="PL"/>
        <w:rPr>
          <w:color w:val="808080"/>
        </w:rPr>
      </w:pPr>
      <w:r w:rsidRPr="00FA0D37">
        <w:rPr>
          <w:color w:val="808080"/>
        </w:rPr>
        <w:t>-- ASN1START</w:t>
      </w:r>
    </w:p>
    <w:p w14:paraId="350B2A16" w14:textId="77777777" w:rsidR="00394471" w:rsidRPr="00FA0D37" w:rsidRDefault="00394471" w:rsidP="00FA0D37">
      <w:pPr>
        <w:pStyle w:val="PL"/>
        <w:rPr>
          <w:color w:val="808080"/>
        </w:rPr>
      </w:pPr>
      <w:r w:rsidRPr="00FA0D37">
        <w:rPr>
          <w:color w:val="808080"/>
        </w:rPr>
        <w:t>-- TAG-BTNAMELIST-START</w:t>
      </w:r>
    </w:p>
    <w:p w14:paraId="085A5388" w14:textId="77777777" w:rsidR="00394471" w:rsidRPr="00FA0D37" w:rsidRDefault="00394471" w:rsidP="00FA0D37">
      <w:pPr>
        <w:pStyle w:val="PL"/>
      </w:pPr>
    </w:p>
    <w:p w14:paraId="0C432B1A" w14:textId="77777777" w:rsidR="00394471" w:rsidRPr="00FA0D37" w:rsidRDefault="00394471" w:rsidP="00FA0D37">
      <w:pPr>
        <w:pStyle w:val="PL"/>
      </w:pPr>
      <w:r w:rsidRPr="00FA0D37">
        <w:t xml:space="preserve">BT-NameList-r16 ::=                </w:t>
      </w:r>
      <w:r w:rsidRPr="00FA0D37">
        <w:rPr>
          <w:color w:val="993366"/>
        </w:rPr>
        <w:t>SEQUENCE</w:t>
      </w:r>
      <w:r w:rsidRPr="00FA0D37">
        <w:t xml:space="preserve"> (</w:t>
      </w:r>
      <w:r w:rsidRPr="00FA0D37">
        <w:rPr>
          <w:color w:val="993366"/>
        </w:rPr>
        <w:t>SIZE</w:t>
      </w:r>
      <w:r w:rsidRPr="00FA0D37">
        <w:t xml:space="preserve"> (1..maxBT-Name-r16))</w:t>
      </w:r>
      <w:r w:rsidRPr="00FA0D37">
        <w:rPr>
          <w:color w:val="993366"/>
        </w:rPr>
        <w:t xml:space="preserve"> OF</w:t>
      </w:r>
      <w:r w:rsidRPr="00FA0D37">
        <w:t xml:space="preserve"> BT-Name-r16</w:t>
      </w:r>
    </w:p>
    <w:p w14:paraId="07D93BBF" w14:textId="77777777" w:rsidR="00394471" w:rsidRPr="00FA0D37" w:rsidRDefault="00394471" w:rsidP="00FA0D37">
      <w:pPr>
        <w:pStyle w:val="PL"/>
      </w:pPr>
    </w:p>
    <w:p w14:paraId="33D5C3D0" w14:textId="77777777" w:rsidR="00394471" w:rsidRPr="00FA0D37" w:rsidRDefault="00394471" w:rsidP="00FA0D37">
      <w:pPr>
        <w:pStyle w:val="PL"/>
      </w:pPr>
      <w:r w:rsidRPr="00FA0D37">
        <w:t xml:space="preserve">BT-Name-r16 ::=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(1..248))</w:t>
      </w:r>
    </w:p>
    <w:p w14:paraId="2AC5C999" w14:textId="77777777" w:rsidR="00394471" w:rsidRPr="00FA0D37" w:rsidRDefault="00394471" w:rsidP="00FA0D37">
      <w:pPr>
        <w:pStyle w:val="PL"/>
      </w:pPr>
    </w:p>
    <w:p w14:paraId="00D3AD8E" w14:textId="77777777" w:rsidR="00394471" w:rsidRPr="00FA0D37" w:rsidRDefault="00394471" w:rsidP="00FA0D37">
      <w:pPr>
        <w:pStyle w:val="PL"/>
        <w:rPr>
          <w:color w:val="808080"/>
        </w:rPr>
      </w:pPr>
      <w:r w:rsidRPr="00FA0D37">
        <w:rPr>
          <w:color w:val="808080"/>
        </w:rPr>
        <w:t>-- TAG-BTNAMELIST-STOP</w:t>
      </w:r>
    </w:p>
    <w:p w14:paraId="53B5D230" w14:textId="77777777" w:rsidR="00394471" w:rsidRPr="00FA0D37" w:rsidRDefault="00394471" w:rsidP="00FA0D37">
      <w:pPr>
        <w:pStyle w:val="PL"/>
        <w:rPr>
          <w:color w:val="808080"/>
        </w:rPr>
      </w:pPr>
      <w:r w:rsidRPr="00FA0D37">
        <w:rPr>
          <w:color w:val="808080"/>
        </w:rPr>
        <w:t>-- ASN1STOP</w:t>
      </w:r>
    </w:p>
    <w:p w14:paraId="014D5EB9" w14:textId="77777777" w:rsidR="00394471" w:rsidRPr="00FA0D3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3EDAD70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3791A3" w14:textId="77777777" w:rsidR="00394471" w:rsidRPr="00FA0D37" w:rsidRDefault="00394471" w:rsidP="00964CC4">
            <w:pPr>
              <w:pStyle w:val="TAH"/>
              <w:rPr>
                <w:lang w:eastAsia="en-GB"/>
              </w:rPr>
            </w:pPr>
            <w:r w:rsidRPr="00FA0D37">
              <w:rPr>
                <w:bCs/>
                <w:i/>
                <w:lang w:eastAsia="sv-SE"/>
              </w:rPr>
              <w:t>BT-NameList</w:t>
            </w:r>
            <w:r w:rsidRPr="00FA0D37">
              <w:rPr>
                <w:bCs/>
                <w:i/>
                <w:iCs/>
                <w:lang w:eastAsia="sv-SE"/>
              </w:rPr>
              <w:t xml:space="preserve"> </w:t>
            </w:r>
            <w:r w:rsidRPr="00FA0D37">
              <w:rPr>
                <w:iCs/>
                <w:lang w:eastAsia="en-GB"/>
              </w:rPr>
              <w:t>field descriptions</w:t>
            </w:r>
          </w:p>
        </w:tc>
      </w:tr>
      <w:tr w:rsidR="000830BB" w:rsidRPr="00FA0D37" w14:paraId="11859FB5"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C792C4E" w14:textId="77777777" w:rsidR="00394471" w:rsidRPr="00FA0D37" w:rsidRDefault="00394471" w:rsidP="00964CC4">
            <w:pPr>
              <w:pStyle w:val="TAL"/>
              <w:rPr>
                <w:b/>
                <w:i/>
                <w:kern w:val="2"/>
                <w:lang w:eastAsia="sv-SE"/>
              </w:rPr>
            </w:pPr>
            <w:r w:rsidRPr="00FA0D37">
              <w:rPr>
                <w:b/>
                <w:i/>
                <w:kern w:val="2"/>
                <w:lang w:eastAsia="sv-SE"/>
              </w:rPr>
              <w:t>bt-Name</w:t>
            </w:r>
          </w:p>
          <w:p w14:paraId="7FA5AA5D" w14:textId="77777777" w:rsidR="00394471" w:rsidRPr="00FA0D37" w:rsidRDefault="00394471" w:rsidP="00964CC4">
            <w:pPr>
              <w:pStyle w:val="TAL"/>
              <w:rPr>
                <w:lang w:eastAsia="en-GB"/>
              </w:rPr>
            </w:pPr>
            <w:r w:rsidRPr="00FA0D37">
              <w:rPr>
                <w:bCs/>
                <w:iCs/>
                <w:lang w:eastAsia="ko-KR"/>
              </w:rPr>
              <w:t>If configured, the UE only performs Bluetooth measurements according to the names identified. For each name, it refers to LOCAL NAME defined in Bluetooth specification [51].</w:t>
            </w:r>
          </w:p>
        </w:tc>
      </w:tr>
    </w:tbl>
    <w:p w14:paraId="4E4CA836" w14:textId="69FA4C16" w:rsidR="00394471" w:rsidRPr="00FA0D37" w:rsidRDefault="00394471" w:rsidP="00394471">
      <w:pPr>
        <w:rPr>
          <w:rFonts w:eastAsia="宋体"/>
          <w:lang w:eastAsia="zh-CN"/>
        </w:rPr>
      </w:pPr>
    </w:p>
    <w:p w14:paraId="07640639" w14:textId="33E2B38D" w:rsidR="00CF0B27" w:rsidRPr="00FA0D37" w:rsidRDefault="0048695E" w:rsidP="00CF0B27">
      <w:pPr>
        <w:pStyle w:val="4"/>
        <w:rPr>
          <w:i/>
          <w:iCs/>
        </w:rPr>
      </w:pPr>
      <w:bookmarkStart w:id="1662" w:name="_Toc146781607"/>
      <w:r w:rsidRPr="00FA0D37">
        <w:rPr>
          <w:rFonts w:eastAsia="宋体"/>
        </w:rPr>
        <w:lastRenderedPageBreak/>
        <w:t>–</w:t>
      </w:r>
      <w:r w:rsidRPr="00FA0D37">
        <w:rPr>
          <w:rFonts w:eastAsia="宋体"/>
        </w:rPr>
        <w:tab/>
      </w:r>
      <w:r w:rsidR="00CF0B27" w:rsidRPr="00FA0D37">
        <w:rPr>
          <w:i/>
          <w:iCs/>
        </w:rPr>
        <w:t>DedicatedInfoF1c</w:t>
      </w:r>
      <w:bookmarkEnd w:id="1662"/>
    </w:p>
    <w:p w14:paraId="234F6C1C" w14:textId="4334148B" w:rsidR="00CF0B27" w:rsidRPr="00FA0D37" w:rsidRDefault="00CF0B27" w:rsidP="000830BB">
      <w:pPr>
        <w:rPr>
          <w:rFonts w:eastAsia="Malgun Gothic"/>
        </w:rPr>
      </w:pPr>
      <w:r w:rsidRPr="00FA0D37">
        <w:rPr>
          <w:rFonts w:eastAsia="Malgun Gothic"/>
        </w:rPr>
        <w:t xml:space="preserve">The IE </w:t>
      </w:r>
      <w:r w:rsidRPr="00FA0D37">
        <w:rPr>
          <w:rFonts w:eastAsia="Malgun Gothic"/>
          <w:i/>
          <w:iCs/>
        </w:rPr>
        <w:t>DedicatedInfoF1c</w:t>
      </w:r>
      <w:r w:rsidRPr="00FA0D37">
        <w:rPr>
          <w:rFonts w:eastAsia="Malgun Gothic"/>
        </w:rPr>
        <w:t xml:space="preserve"> is used to transfer IAB-DU specific F1-C related information between the network and the IAB node. The carried information consists of F1AP message encapsulated in SCTP/IP or F1-C related (SCTP)/IP packet, see TS 38.472 [</w:t>
      </w:r>
      <w:r w:rsidR="007A3EA5" w:rsidRPr="00FA0D37">
        <w:rPr>
          <w:rFonts w:eastAsia="Malgun Gothic"/>
        </w:rPr>
        <w:t>64</w:t>
      </w:r>
      <w:r w:rsidRPr="00FA0D37">
        <w:rPr>
          <w:rFonts w:eastAsia="Malgun Gothic"/>
        </w:rPr>
        <w:t>]. The RRC layer is transparent for this information.</w:t>
      </w:r>
    </w:p>
    <w:p w14:paraId="38F338E0" w14:textId="77777777" w:rsidR="00CF0B27" w:rsidRPr="00FA0D37" w:rsidRDefault="00CF0B27" w:rsidP="00CF0B27">
      <w:pPr>
        <w:pStyle w:val="TH"/>
        <w:rPr>
          <w:rFonts w:eastAsiaTheme="minorEastAsia"/>
        </w:rPr>
      </w:pPr>
      <w:r w:rsidRPr="00FA0D37">
        <w:rPr>
          <w:bCs/>
          <w:i/>
          <w:iCs/>
        </w:rPr>
        <w:t>DedicatedInfoF1c</w:t>
      </w:r>
      <w:r w:rsidRPr="00FA0D37">
        <w:t xml:space="preserve"> information element</w:t>
      </w:r>
    </w:p>
    <w:p w14:paraId="65D9C6E2" w14:textId="77777777" w:rsidR="00CF0B27" w:rsidRPr="00FA0D37" w:rsidRDefault="00CF0B27" w:rsidP="00FA0D37">
      <w:pPr>
        <w:pStyle w:val="PL"/>
        <w:rPr>
          <w:color w:val="808080"/>
        </w:rPr>
      </w:pPr>
      <w:r w:rsidRPr="00FA0D37">
        <w:rPr>
          <w:color w:val="808080"/>
        </w:rPr>
        <w:t>-- ASN1START</w:t>
      </w:r>
    </w:p>
    <w:p w14:paraId="6EAFC050" w14:textId="77777777" w:rsidR="00CF0B27" w:rsidRPr="00FA0D37" w:rsidRDefault="00CF0B27" w:rsidP="00FA0D37">
      <w:pPr>
        <w:pStyle w:val="PL"/>
        <w:rPr>
          <w:color w:val="808080"/>
        </w:rPr>
      </w:pPr>
      <w:r w:rsidRPr="00FA0D37">
        <w:rPr>
          <w:color w:val="808080"/>
        </w:rPr>
        <w:t>-- TAG-DEDICATEDINFOF1C-START</w:t>
      </w:r>
    </w:p>
    <w:p w14:paraId="6771B2B3" w14:textId="77777777" w:rsidR="00CF0B27" w:rsidRPr="00FA0D37" w:rsidRDefault="00CF0B27" w:rsidP="00FA0D37">
      <w:pPr>
        <w:pStyle w:val="PL"/>
      </w:pPr>
    </w:p>
    <w:p w14:paraId="0FE15DC3" w14:textId="77777777" w:rsidR="00CF0B27" w:rsidRPr="00FA0D37" w:rsidRDefault="00CF0B27" w:rsidP="00FA0D37">
      <w:pPr>
        <w:pStyle w:val="PL"/>
      </w:pPr>
      <w:r w:rsidRPr="00FA0D37">
        <w:t xml:space="preserve">DedicatedInfoF1c-r17 ::=        </w:t>
      </w:r>
      <w:r w:rsidRPr="00FA0D37">
        <w:rPr>
          <w:color w:val="993366"/>
        </w:rPr>
        <w:t>OCTET</w:t>
      </w:r>
      <w:r w:rsidRPr="00FA0D37">
        <w:t xml:space="preserve"> </w:t>
      </w:r>
      <w:r w:rsidRPr="00FA0D37">
        <w:rPr>
          <w:color w:val="993366"/>
        </w:rPr>
        <w:t>STRING</w:t>
      </w:r>
    </w:p>
    <w:p w14:paraId="53D6C86C" w14:textId="77777777" w:rsidR="00CF0B27" w:rsidRPr="00FA0D37" w:rsidRDefault="00CF0B27" w:rsidP="00FA0D37">
      <w:pPr>
        <w:pStyle w:val="PL"/>
      </w:pPr>
    </w:p>
    <w:p w14:paraId="71D3B51E" w14:textId="6E0FD201" w:rsidR="00CF0B27" w:rsidRPr="00FA0D37" w:rsidRDefault="00CF0B27" w:rsidP="00FA0D37">
      <w:pPr>
        <w:pStyle w:val="PL"/>
        <w:rPr>
          <w:color w:val="808080"/>
        </w:rPr>
      </w:pPr>
      <w:r w:rsidRPr="00FA0D37">
        <w:rPr>
          <w:color w:val="808080"/>
        </w:rPr>
        <w:t>-- TAG-DEDICATEDINFOF1C-STOP</w:t>
      </w:r>
    </w:p>
    <w:p w14:paraId="61D83097" w14:textId="77777777" w:rsidR="00CF0B27" w:rsidRPr="00FA0D37" w:rsidRDefault="00CF0B27" w:rsidP="00FA0D37">
      <w:pPr>
        <w:pStyle w:val="PL"/>
        <w:rPr>
          <w:color w:val="808080"/>
        </w:rPr>
      </w:pPr>
      <w:r w:rsidRPr="00FA0D37">
        <w:rPr>
          <w:color w:val="808080"/>
        </w:rPr>
        <w:t>-- ASN1STOP</w:t>
      </w:r>
    </w:p>
    <w:p w14:paraId="4245D29E" w14:textId="77777777" w:rsidR="00CF0B27" w:rsidRPr="00FA0D37" w:rsidRDefault="00CF0B27" w:rsidP="00394471">
      <w:pPr>
        <w:rPr>
          <w:rFonts w:eastAsia="宋体"/>
          <w:lang w:eastAsia="zh-CN"/>
        </w:rPr>
      </w:pPr>
    </w:p>
    <w:p w14:paraId="6DDE0811" w14:textId="1B9CB74B" w:rsidR="00394471" w:rsidRPr="00FA0D37" w:rsidRDefault="00394471" w:rsidP="00394471">
      <w:pPr>
        <w:pStyle w:val="4"/>
        <w:rPr>
          <w:rFonts w:eastAsia="宋体"/>
        </w:rPr>
      </w:pPr>
      <w:bookmarkStart w:id="1663" w:name="_Toc60777497"/>
      <w:bookmarkStart w:id="1664" w:name="_Toc146781608"/>
      <w:r w:rsidRPr="00FA0D37">
        <w:rPr>
          <w:rFonts w:eastAsia="宋体"/>
        </w:rPr>
        <w:t>–</w:t>
      </w:r>
      <w:r w:rsidRPr="00FA0D37">
        <w:rPr>
          <w:rFonts w:eastAsia="宋体"/>
        </w:rPr>
        <w:tab/>
      </w:r>
      <w:r w:rsidRPr="00FA0D37">
        <w:rPr>
          <w:rFonts w:eastAsia="宋体"/>
          <w:i/>
          <w:noProof/>
        </w:rPr>
        <w:t>EUTRA-</w:t>
      </w:r>
      <w:r w:rsidRPr="00FA0D37">
        <w:rPr>
          <w:rFonts w:eastAsia="宋体"/>
          <w:i/>
        </w:rPr>
        <w:t>Allowed</w:t>
      </w:r>
      <w:r w:rsidRPr="00FA0D37">
        <w:rPr>
          <w:rFonts w:eastAsia="宋体"/>
          <w:i/>
          <w:noProof/>
        </w:rPr>
        <w:t>MeasBandwidth</w:t>
      </w:r>
      <w:bookmarkEnd w:id="1663"/>
      <w:bookmarkEnd w:id="1664"/>
    </w:p>
    <w:p w14:paraId="79E855F4" w14:textId="77777777" w:rsidR="00394471" w:rsidRPr="00FA0D37" w:rsidRDefault="00394471" w:rsidP="00394471">
      <w:pPr>
        <w:rPr>
          <w:rFonts w:eastAsia="宋体"/>
        </w:rPr>
      </w:pPr>
      <w:r w:rsidRPr="00FA0D37">
        <w:t xml:space="preserve">The IE </w:t>
      </w:r>
      <w:r w:rsidRPr="00FA0D37">
        <w:rPr>
          <w:i/>
          <w:noProof/>
        </w:rPr>
        <w:t>EUTRA-</w:t>
      </w:r>
      <w:r w:rsidRPr="00FA0D37">
        <w:rPr>
          <w:i/>
        </w:rPr>
        <w:t>Allowed</w:t>
      </w:r>
      <w:r w:rsidRPr="00FA0D37">
        <w:rPr>
          <w:i/>
          <w:noProof/>
        </w:rPr>
        <w:t>MeasBandwidth</w:t>
      </w:r>
      <w:r w:rsidRPr="00FA0D37">
        <w:rPr>
          <w:iCs/>
        </w:rPr>
        <w:t xml:space="preserve"> is used to indicate the maximum allowed measurement bandwidth on a carrier frequency as defined by the parameter </w:t>
      </w:r>
      <w:r w:rsidRPr="00FA0D37">
        <w:t>Transmission Bandwidth Configuration "N</w:t>
      </w:r>
      <w:r w:rsidRPr="00FA0D37">
        <w:rPr>
          <w:vertAlign w:val="subscript"/>
        </w:rPr>
        <w:t>RB</w:t>
      </w:r>
      <w:r w:rsidRPr="00FA0D37">
        <w:t xml:space="preserve">" in TS 36.104 [33]. The </w:t>
      </w:r>
      <w:r w:rsidRPr="00FA0D37">
        <w:rPr>
          <w:iCs/>
        </w:rPr>
        <w:t xml:space="preserve">values </w:t>
      </w:r>
      <w:r w:rsidRPr="00FA0D37">
        <w:rPr>
          <w:i/>
          <w:iCs/>
        </w:rPr>
        <w:t>mbw6</w:t>
      </w:r>
      <w:r w:rsidRPr="00FA0D37">
        <w:rPr>
          <w:iCs/>
        </w:rPr>
        <w:t xml:space="preserve">, </w:t>
      </w:r>
      <w:r w:rsidRPr="00FA0D37">
        <w:rPr>
          <w:i/>
          <w:iCs/>
        </w:rPr>
        <w:t>mbw15</w:t>
      </w:r>
      <w:r w:rsidRPr="00FA0D37">
        <w:rPr>
          <w:iCs/>
        </w:rPr>
        <w:t xml:space="preserve">, </w:t>
      </w:r>
      <w:r w:rsidRPr="00FA0D37">
        <w:rPr>
          <w:i/>
          <w:iCs/>
        </w:rPr>
        <w:t>mbw25</w:t>
      </w:r>
      <w:r w:rsidRPr="00FA0D37">
        <w:rPr>
          <w:iCs/>
        </w:rPr>
        <w:t xml:space="preserve">, </w:t>
      </w:r>
      <w:r w:rsidRPr="00FA0D37">
        <w:rPr>
          <w:i/>
          <w:iCs/>
        </w:rPr>
        <w:t>mbw50</w:t>
      </w:r>
      <w:r w:rsidRPr="00FA0D37">
        <w:rPr>
          <w:iCs/>
        </w:rPr>
        <w:t xml:space="preserve">, </w:t>
      </w:r>
      <w:r w:rsidRPr="00FA0D37">
        <w:rPr>
          <w:i/>
          <w:iCs/>
        </w:rPr>
        <w:t>mbw75</w:t>
      </w:r>
      <w:r w:rsidRPr="00FA0D37">
        <w:rPr>
          <w:iCs/>
        </w:rPr>
        <w:t xml:space="preserve">, </w:t>
      </w:r>
      <w:r w:rsidRPr="00FA0D37">
        <w:rPr>
          <w:i/>
          <w:iCs/>
        </w:rPr>
        <w:t>mbw100</w:t>
      </w:r>
      <w:r w:rsidRPr="00FA0D37">
        <w:rPr>
          <w:iCs/>
        </w:rPr>
        <w:t xml:space="preserve"> indicate</w:t>
      </w:r>
      <w:r w:rsidRPr="00FA0D37">
        <w:t xml:space="preserve"> 6, 15, 25, 50, 75 and 100 resource blocks, respectively.</w:t>
      </w:r>
    </w:p>
    <w:p w14:paraId="6136737D" w14:textId="77777777" w:rsidR="00394471" w:rsidRPr="00FA0D37" w:rsidRDefault="00394471" w:rsidP="00394471">
      <w:pPr>
        <w:pStyle w:val="TH"/>
      </w:pPr>
      <w:r w:rsidRPr="00FA0D37">
        <w:rPr>
          <w:bCs/>
          <w:i/>
          <w:iCs/>
        </w:rPr>
        <w:t xml:space="preserve">EUTRA-AllowedMeasBandwidth </w:t>
      </w:r>
      <w:r w:rsidRPr="00FA0D37">
        <w:t>information element</w:t>
      </w:r>
    </w:p>
    <w:p w14:paraId="00F97A60" w14:textId="77777777" w:rsidR="00394471" w:rsidRPr="00FA0D37" w:rsidRDefault="00394471" w:rsidP="00FA0D37">
      <w:pPr>
        <w:pStyle w:val="PL"/>
        <w:rPr>
          <w:color w:val="808080"/>
        </w:rPr>
      </w:pPr>
      <w:r w:rsidRPr="00FA0D37">
        <w:rPr>
          <w:color w:val="808080"/>
        </w:rPr>
        <w:t>-- ASN1START</w:t>
      </w:r>
    </w:p>
    <w:p w14:paraId="7DD860EE" w14:textId="77777777" w:rsidR="00394471" w:rsidRPr="00FA0D37" w:rsidRDefault="00394471" w:rsidP="00FA0D37">
      <w:pPr>
        <w:pStyle w:val="PL"/>
        <w:rPr>
          <w:color w:val="808080"/>
        </w:rPr>
      </w:pPr>
      <w:r w:rsidRPr="00FA0D37">
        <w:rPr>
          <w:color w:val="808080"/>
        </w:rPr>
        <w:t>-- TAG-EUTRA-ALLOWEDMEASBANDWIDTH-START</w:t>
      </w:r>
    </w:p>
    <w:p w14:paraId="710B832B" w14:textId="77777777" w:rsidR="00394471" w:rsidRPr="00FA0D37" w:rsidRDefault="00394471" w:rsidP="00FA0D37">
      <w:pPr>
        <w:pStyle w:val="PL"/>
      </w:pPr>
    </w:p>
    <w:p w14:paraId="61B405F9" w14:textId="77777777" w:rsidR="00394471" w:rsidRPr="00FA0D37" w:rsidRDefault="00394471" w:rsidP="00FA0D37">
      <w:pPr>
        <w:pStyle w:val="PL"/>
      </w:pPr>
      <w:r w:rsidRPr="00FA0D37">
        <w:t xml:space="preserve">EUTRA-AllowedMeasBandwidth ::=              </w:t>
      </w:r>
      <w:r w:rsidRPr="00FA0D37">
        <w:rPr>
          <w:color w:val="993366"/>
        </w:rPr>
        <w:t>ENUMERATED</w:t>
      </w:r>
      <w:r w:rsidRPr="00FA0D37">
        <w:t xml:space="preserve"> {mbw6, mbw15, mbw25, mbw50, mbw75, mbw100}</w:t>
      </w:r>
    </w:p>
    <w:p w14:paraId="52561D50" w14:textId="77777777" w:rsidR="00394471" w:rsidRPr="00FA0D37" w:rsidRDefault="00394471" w:rsidP="00FA0D37">
      <w:pPr>
        <w:pStyle w:val="PL"/>
      </w:pPr>
    </w:p>
    <w:p w14:paraId="4CAF6991" w14:textId="77777777" w:rsidR="00394471" w:rsidRPr="00FA0D37" w:rsidRDefault="00394471" w:rsidP="00FA0D37">
      <w:pPr>
        <w:pStyle w:val="PL"/>
        <w:rPr>
          <w:color w:val="808080"/>
        </w:rPr>
      </w:pPr>
      <w:r w:rsidRPr="00FA0D37">
        <w:rPr>
          <w:color w:val="808080"/>
        </w:rPr>
        <w:t>-- TAG-EUTRA-ALLOWEDMEASBANDWIDTH-STOP</w:t>
      </w:r>
    </w:p>
    <w:p w14:paraId="0071C1E9" w14:textId="77777777" w:rsidR="00394471" w:rsidRPr="00FA0D37" w:rsidRDefault="00394471" w:rsidP="00FA0D37">
      <w:pPr>
        <w:pStyle w:val="PL"/>
        <w:rPr>
          <w:rFonts w:eastAsia="宋体"/>
          <w:color w:val="808080"/>
        </w:rPr>
      </w:pPr>
      <w:r w:rsidRPr="00FA0D37">
        <w:rPr>
          <w:color w:val="808080"/>
        </w:rPr>
        <w:t>-- ASN1STOP</w:t>
      </w:r>
    </w:p>
    <w:p w14:paraId="2728C024" w14:textId="77777777" w:rsidR="00394471" w:rsidRPr="00FA0D37" w:rsidRDefault="00394471" w:rsidP="00394471"/>
    <w:p w14:paraId="615FFD45" w14:textId="5E5EC96C" w:rsidR="00394471" w:rsidRPr="00FA0D37" w:rsidRDefault="00394471" w:rsidP="00394471">
      <w:pPr>
        <w:pStyle w:val="4"/>
      </w:pPr>
      <w:bookmarkStart w:id="1665" w:name="_Toc60777498"/>
      <w:bookmarkStart w:id="1666" w:name="_Toc146781609"/>
      <w:r w:rsidRPr="00FA0D37">
        <w:t>–</w:t>
      </w:r>
      <w:r w:rsidRPr="00FA0D37">
        <w:tab/>
      </w:r>
      <w:r w:rsidRPr="00FA0D37">
        <w:rPr>
          <w:i/>
        </w:rPr>
        <w:t>EUTRA-MBSFN-SubframeConfigList</w:t>
      </w:r>
      <w:bookmarkEnd w:id="1665"/>
      <w:bookmarkEnd w:id="1666"/>
    </w:p>
    <w:p w14:paraId="3A841D64" w14:textId="77777777" w:rsidR="00394471" w:rsidRPr="00FA0D37" w:rsidRDefault="00394471" w:rsidP="00394471">
      <w:r w:rsidRPr="00FA0D37">
        <w:t xml:space="preserve">The IE </w:t>
      </w:r>
      <w:r w:rsidRPr="00FA0D37">
        <w:rPr>
          <w:i/>
        </w:rPr>
        <w:t>EUTRA-MBSFN-SubframeConfigList</w:t>
      </w:r>
      <w:r w:rsidRPr="00FA0D37">
        <w:t xml:space="preserve"> is used to define an E-UTRA MBSFN subframe pattern (for the purpose of NR rate matching).</w:t>
      </w:r>
    </w:p>
    <w:p w14:paraId="796854E6" w14:textId="77777777" w:rsidR="00394471" w:rsidRPr="00FA0D37" w:rsidRDefault="00394471" w:rsidP="00394471">
      <w:pPr>
        <w:pStyle w:val="TH"/>
      </w:pPr>
      <w:r w:rsidRPr="00FA0D37">
        <w:rPr>
          <w:i/>
        </w:rPr>
        <w:t>EUTRA-MBSFN-SubframeConfigList</w:t>
      </w:r>
      <w:r w:rsidRPr="00FA0D37">
        <w:t xml:space="preserve"> information element</w:t>
      </w:r>
    </w:p>
    <w:p w14:paraId="328DF803" w14:textId="77777777" w:rsidR="00394471" w:rsidRPr="00FA0D37" w:rsidRDefault="00394471" w:rsidP="00FA0D37">
      <w:pPr>
        <w:pStyle w:val="PL"/>
        <w:rPr>
          <w:color w:val="808080"/>
        </w:rPr>
      </w:pPr>
      <w:r w:rsidRPr="00FA0D37">
        <w:rPr>
          <w:color w:val="808080"/>
        </w:rPr>
        <w:t>-- ASN1START</w:t>
      </w:r>
    </w:p>
    <w:p w14:paraId="0B7059B1" w14:textId="77777777" w:rsidR="00394471" w:rsidRPr="00FA0D37" w:rsidRDefault="00394471" w:rsidP="00FA0D37">
      <w:pPr>
        <w:pStyle w:val="PL"/>
        <w:rPr>
          <w:color w:val="808080"/>
        </w:rPr>
      </w:pPr>
      <w:r w:rsidRPr="00FA0D37">
        <w:rPr>
          <w:color w:val="808080"/>
        </w:rPr>
        <w:t>-- TAG-EUTRA-MBSFN-SUBFRAMECONFIGLIST-START</w:t>
      </w:r>
    </w:p>
    <w:p w14:paraId="702DA387" w14:textId="77777777" w:rsidR="00394471" w:rsidRPr="00FA0D37" w:rsidRDefault="00394471" w:rsidP="00FA0D37">
      <w:pPr>
        <w:pStyle w:val="PL"/>
      </w:pPr>
    </w:p>
    <w:p w14:paraId="21E77625" w14:textId="77777777" w:rsidR="00394471" w:rsidRPr="00FA0D37" w:rsidRDefault="00394471" w:rsidP="00FA0D37">
      <w:pPr>
        <w:pStyle w:val="PL"/>
      </w:pPr>
      <w:r w:rsidRPr="00FA0D37">
        <w:t xml:space="preserve">EUTRA-MBSFN-SubframeConfigList ::= </w:t>
      </w:r>
      <w:r w:rsidRPr="00FA0D37">
        <w:rPr>
          <w:color w:val="993366"/>
        </w:rPr>
        <w:t>SEQUENCE</w:t>
      </w:r>
      <w:r w:rsidRPr="00FA0D37">
        <w:t xml:space="preserve"> (</w:t>
      </w:r>
      <w:r w:rsidRPr="00FA0D37">
        <w:rPr>
          <w:color w:val="993366"/>
        </w:rPr>
        <w:t>SIZE</w:t>
      </w:r>
      <w:r w:rsidRPr="00FA0D37">
        <w:t xml:space="preserve"> (1..maxMBSFN-Allocations))</w:t>
      </w:r>
      <w:r w:rsidRPr="00FA0D37">
        <w:rPr>
          <w:color w:val="993366"/>
        </w:rPr>
        <w:t xml:space="preserve"> OF</w:t>
      </w:r>
      <w:r w:rsidRPr="00FA0D37">
        <w:t xml:space="preserve"> EUTRA-MBSFN-SubframeConfig</w:t>
      </w:r>
    </w:p>
    <w:p w14:paraId="47AC25E9" w14:textId="77777777" w:rsidR="00394471" w:rsidRPr="00FA0D37" w:rsidRDefault="00394471" w:rsidP="00FA0D37">
      <w:pPr>
        <w:pStyle w:val="PL"/>
      </w:pPr>
    </w:p>
    <w:p w14:paraId="32372586" w14:textId="77777777" w:rsidR="00394471" w:rsidRPr="00FA0D37" w:rsidRDefault="00394471" w:rsidP="00FA0D37">
      <w:pPr>
        <w:pStyle w:val="PL"/>
      </w:pPr>
      <w:r w:rsidRPr="00FA0D37">
        <w:t xml:space="preserve">EUTRA-MBSFN-SubframeConfig ::=      </w:t>
      </w:r>
      <w:r w:rsidRPr="00FA0D37">
        <w:rPr>
          <w:color w:val="993366"/>
        </w:rPr>
        <w:t>SEQUENCE</w:t>
      </w:r>
      <w:r w:rsidRPr="00FA0D37">
        <w:t xml:space="preserve"> {</w:t>
      </w:r>
    </w:p>
    <w:p w14:paraId="08A76345" w14:textId="77777777" w:rsidR="00394471" w:rsidRPr="00FA0D37" w:rsidRDefault="00394471" w:rsidP="00FA0D37">
      <w:pPr>
        <w:pStyle w:val="PL"/>
      </w:pPr>
      <w:r w:rsidRPr="00FA0D37">
        <w:t xml:space="preserve">    radioframeAllocationPeriod          </w:t>
      </w:r>
      <w:r w:rsidRPr="00FA0D37">
        <w:rPr>
          <w:color w:val="993366"/>
        </w:rPr>
        <w:t>ENUMERATED</w:t>
      </w:r>
      <w:r w:rsidRPr="00FA0D37">
        <w:t xml:space="preserve"> {n1, n2, n4, n8, n16, n32},</w:t>
      </w:r>
    </w:p>
    <w:p w14:paraId="1897FC86" w14:textId="77777777" w:rsidR="00394471" w:rsidRPr="00FA0D37" w:rsidRDefault="00394471" w:rsidP="00FA0D37">
      <w:pPr>
        <w:pStyle w:val="PL"/>
      </w:pPr>
      <w:r w:rsidRPr="00FA0D37">
        <w:t xml:space="preserve">    radioframeAllocationOffset          </w:t>
      </w:r>
      <w:r w:rsidRPr="00FA0D37">
        <w:rPr>
          <w:color w:val="993366"/>
        </w:rPr>
        <w:t>INTEGER</w:t>
      </w:r>
      <w:r w:rsidRPr="00FA0D37">
        <w:t xml:space="preserve"> (0..7),</w:t>
      </w:r>
    </w:p>
    <w:p w14:paraId="19BF6BD6" w14:textId="77777777" w:rsidR="00394471" w:rsidRPr="00FA0D37" w:rsidRDefault="00394471" w:rsidP="00FA0D37">
      <w:pPr>
        <w:pStyle w:val="PL"/>
      </w:pPr>
      <w:r w:rsidRPr="00FA0D37">
        <w:t xml:space="preserve">    subframeAllocation1                 </w:t>
      </w:r>
      <w:r w:rsidRPr="00FA0D37">
        <w:rPr>
          <w:color w:val="993366"/>
        </w:rPr>
        <w:t>CHOICE</w:t>
      </w:r>
      <w:r w:rsidRPr="00FA0D37">
        <w:t xml:space="preserve"> {</w:t>
      </w:r>
    </w:p>
    <w:p w14:paraId="5F98AB56" w14:textId="77777777" w:rsidR="00394471" w:rsidRPr="00FA0D37" w:rsidRDefault="00394471" w:rsidP="00FA0D37">
      <w:pPr>
        <w:pStyle w:val="PL"/>
      </w:pPr>
      <w:r w:rsidRPr="00FA0D37">
        <w:lastRenderedPageBreak/>
        <w:t xml:space="preserve">        oneFrame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(6)),</w:t>
      </w:r>
    </w:p>
    <w:p w14:paraId="7EF1DDBA" w14:textId="77777777" w:rsidR="00394471" w:rsidRPr="00FA0D37" w:rsidRDefault="00394471" w:rsidP="00FA0D37">
      <w:pPr>
        <w:pStyle w:val="PL"/>
      </w:pPr>
      <w:r w:rsidRPr="00FA0D37">
        <w:t xml:space="preserve">        fourFrames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(24))</w:t>
      </w:r>
    </w:p>
    <w:p w14:paraId="1FD42075" w14:textId="77777777" w:rsidR="00394471" w:rsidRPr="00FA0D37" w:rsidRDefault="00394471" w:rsidP="00FA0D37">
      <w:pPr>
        <w:pStyle w:val="PL"/>
      </w:pPr>
      <w:r w:rsidRPr="00FA0D37">
        <w:t xml:space="preserve">    },</w:t>
      </w:r>
    </w:p>
    <w:p w14:paraId="27EDF3F5" w14:textId="77777777" w:rsidR="00394471" w:rsidRPr="00FA0D37" w:rsidRDefault="00394471" w:rsidP="00FA0D37">
      <w:pPr>
        <w:pStyle w:val="PL"/>
      </w:pPr>
      <w:r w:rsidRPr="00FA0D37">
        <w:t xml:space="preserve">    subframeAllocation2                 </w:t>
      </w:r>
      <w:r w:rsidRPr="00FA0D37">
        <w:rPr>
          <w:color w:val="993366"/>
        </w:rPr>
        <w:t>CHOICE</w:t>
      </w:r>
      <w:r w:rsidRPr="00FA0D37">
        <w:t xml:space="preserve"> {</w:t>
      </w:r>
    </w:p>
    <w:p w14:paraId="6EB4D478" w14:textId="77777777" w:rsidR="00394471" w:rsidRPr="00FA0D37" w:rsidRDefault="00394471" w:rsidP="00FA0D37">
      <w:pPr>
        <w:pStyle w:val="PL"/>
      </w:pPr>
      <w:r w:rsidRPr="00FA0D37">
        <w:t xml:space="preserve">        oneFrame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(2)),</w:t>
      </w:r>
    </w:p>
    <w:p w14:paraId="2A47F0F6" w14:textId="77777777" w:rsidR="00394471" w:rsidRPr="00FA0D37" w:rsidRDefault="00394471" w:rsidP="00FA0D37">
      <w:pPr>
        <w:pStyle w:val="PL"/>
      </w:pPr>
      <w:r w:rsidRPr="00FA0D37">
        <w:t xml:space="preserve">        fourFrames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(8))</w:t>
      </w:r>
    </w:p>
    <w:p w14:paraId="24F3E077"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R</w:t>
      </w:r>
    </w:p>
    <w:p w14:paraId="3AF6F991" w14:textId="77777777" w:rsidR="00394471" w:rsidRPr="00FA0D37" w:rsidRDefault="00394471" w:rsidP="00FA0D37">
      <w:pPr>
        <w:pStyle w:val="PL"/>
      </w:pPr>
      <w:r w:rsidRPr="00FA0D37">
        <w:t xml:space="preserve">    ...</w:t>
      </w:r>
    </w:p>
    <w:p w14:paraId="2FD0FC54" w14:textId="77777777" w:rsidR="00394471" w:rsidRPr="00FA0D37" w:rsidRDefault="00394471" w:rsidP="00FA0D37">
      <w:pPr>
        <w:pStyle w:val="PL"/>
      </w:pPr>
      <w:r w:rsidRPr="00FA0D37">
        <w:t>}</w:t>
      </w:r>
    </w:p>
    <w:p w14:paraId="7F6CF562" w14:textId="77777777" w:rsidR="00394471" w:rsidRPr="00FA0D37" w:rsidRDefault="00394471" w:rsidP="00FA0D37">
      <w:pPr>
        <w:pStyle w:val="PL"/>
      </w:pPr>
    </w:p>
    <w:p w14:paraId="120EACC3" w14:textId="77777777" w:rsidR="00394471" w:rsidRPr="00FA0D37" w:rsidRDefault="00394471" w:rsidP="00FA0D37">
      <w:pPr>
        <w:pStyle w:val="PL"/>
        <w:rPr>
          <w:color w:val="808080"/>
        </w:rPr>
      </w:pPr>
      <w:r w:rsidRPr="00FA0D37">
        <w:rPr>
          <w:color w:val="808080"/>
        </w:rPr>
        <w:t>-- TAG-EUTRA-MBSFN-SUBFRAMECONFIGLIST-STOP</w:t>
      </w:r>
    </w:p>
    <w:p w14:paraId="58066791" w14:textId="77777777" w:rsidR="00394471" w:rsidRPr="00FA0D37" w:rsidRDefault="00394471" w:rsidP="00FA0D37">
      <w:pPr>
        <w:pStyle w:val="PL"/>
        <w:rPr>
          <w:color w:val="808080"/>
        </w:rPr>
      </w:pPr>
      <w:r w:rsidRPr="00FA0D37">
        <w:rPr>
          <w:color w:val="808080"/>
        </w:rPr>
        <w:t>-- ASN1STOP</w:t>
      </w:r>
    </w:p>
    <w:p w14:paraId="08BFFE65"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5946B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8F1E91" w14:textId="77777777" w:rsidR="00394471" w:rsidRPr="00FA0D37" w:rsidRDefault="00394471" w:rsidP="00964CC4">
            <w:pPr>
              <w:pStyle w:val="TAH"/>
              <w:rPr>
                <w:rFonts w:eastAsia="MS Mincho"/>
                <w:szCs w:val="22"/>
                <w:lang w:eastAsia="sv-SE"/>
              </w:rPr>
            </w:pPr>
            <w:r w:rsidRPr="00FA0D37">
              <w:rPr>
                <w:rFonts w:eastAsia="MS Mincho"/>
                <w:i/>
                <w:szCs w:val="22"/>
                <w:lang w:eastAsia="sv-SE"/>
              </w:rPr>
              <w:t xml:space="preserve">EUTRA-MBSFN-SubframeConfig </w:t>
            </w:r>
            <w:r w:rsidRPr="00FA0D37">
              <w:rPr>
                <w:rFonts w:eastAsia="MS Mincho"/>
                <w:szCs w:val="22"/>
                <w:lang w:eastAsia="sv-SE"/>
              </w:rPr>
              <w:t>field descriptions</w:t>
            </w:r>
          </w:p>
        </w:tc>
      </w:tr>
      <w:tr w:rsidR="005C7FF4" w:rsidRPr="00FA0D37" w14:paraId="687A86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DFA624"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radioframeAllocationOffset</w:t>
            </w:r>
          </w:p>
          <w:p w14:paraId="33F566EE"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Field as defined in </w:t>
            </w:r>
            <w:r w:rsidRPr="00FA0D37">
              <w:rPr>
                <w:rFonts w:eastAsia="MS Mincho"/>
                <w:i/>
                <w:lang w:eastAsia="sv-SE"/>
              </w:rPr>
              <w:t>MBSFN-SubframeConfig</w:t>
            </w:r>
            <w:r w:rsidRPr="00FA0D37">
              <w:rPr>
                <w:rFonts w:eastAsia="MS Mincho"/>
                <w:szCs w:val="22"/>
                <w:lang w:eastAsia="sv-SE"/>
              </w:rPr>
              <w:t xml:space="preserve"> in TS 36.331 [10].</w:t>
            </w:r>
          </w:p>
        </w:tc>
      </w:tr>
      <w:tr w:rsidR="005C7FF4" w:rsidRPr="00FA0D37" w14:paraId="51D45F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8AF9D2"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radioframeAllocationPeriod</w:t>
            </w:r>
          </w:p>
          <w:p w14:paraId="519EBD63"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Field as defined in </w:t>
            </w:r>
            <w:r w:rsidRPr="00FA0D37">
              <w:rPr>
                <w:rFonts w:eastAsia="MS Mincho"/>
                <w:i/>
                <w:lang w:eastAsia="sv-SE"/>
              </w:rPr>
              <w:t>MBSFN-SubframeConfig</w:t>
            </w:r>
            <w:r w:rsidRPr="00FA0D37">
              <w:rPr>
                <w:rFonts w:eastAsia="MS Mincho"/>
                <w:szCs w:val="22"/>
                <w:lang w:eastAsia="sv-SE"/>
              </w:rPr>
              <w:t xml:space="preserve"> in TS 36.331 [10],</w:t>
            </w:r>
            <w:r w:rsidRPr="00FA0D37">
              <w:rPr>
                <w:lang w:eastAsia="sv-SE"/>
              </w:rPr>
              <w:t xml:space="preserve"> </w:t>
            </w:r>
            <w:r w:rsidRPr="00FA0D37">
              <w:rPr>
                <w:rFonts w:eastAsia="MS Mincho"/>
                <w:szCs w:val="22"/>
                <w:lang w:eastAsia="sv-SE"/>
              </w:rPr>
              <w:t xml:space="preserve">where </w:t>
            </w:r>
            <w:r w:rsidRPr="00FA0D37">
              <w:rPr>
                <w:rFonts w:eastAsia="MS Mincho"/>
                <w:i/>
                <w:szCs w:val="22"/>
                <w:lang w:eastAsia="sv-SE"/>
              </w:rPr>
              <w:t>SFN</w:t>
            </w:r>
            <w:r w:rsidRPr="00FA0D37">
              <w:rPr>
                <w:rFonts w:eastAsia="MS Mincho"/>
                <w:szCs w:val="22"/>
                <w:lang w:eastAsia="sv-SE"/>
              </w:rPr>
              <w:t xml:space="preserve"> refers to the SFN of the NR serving cell.</w:t>
            </w:r>
          </w:p>
        </w:tc>
      </w:tr>
      <w:tr w:rsidR="005C7FF4" w:rsidRPr="00FA0D37" w14:paraId="5405C9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7CFF"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subframeAllocation1</w:t>
            </w:r>
          </w:p>
          <w:p w14:paraId="794B2CE2" w14:textId="77777777" w:rsidR="00394471" w:rsidRPr="00FA0D37" w:rsidRDefault="00394471" w:rsidP="00964CC4">
            <w:pPr>
              <w:pStyle w:val="TAL"/>
              <w:rPr>
                <w:rFonts w:eastAsia="MS Mincho"/>
                <w:szCs w:val="22"/>
                <w:lang w:eastAsia="sv-SE"/>
              </w:rPr>
            </w:pPr>
            <w:r w:rsidRPr="00FA0D37">
              <w:rPr>
                <w:rFonts w:eastAsia="MS Mincho"/>
                <w:szCs w:val="22"/>
                <w:lang w:eastAsia="sv-SE"/>
              </w:rPr>
              <w:t xml:space="preserve">Field as defined in </w:t>
            </w:r>
            <w:r w:rsidRPr="00FA0D37">
              <w:rPr>
                <w:rFonts w:eastAsia="MS Mincho"/>
                <w:i/>
                <w:lang w:eastAsia="sv-SE"/>
              </w:rPr>
              <w:t>MBSFN-SubframeConfig</w:t>
            </w:r>
            <w:r w:rsidRPr="00FA0D37">
              <w:rPr>
                <w:rFonts w:eastAsia="MS Mincho"/>
                <w:szCs w:val="22"/>
                <w:lang w:eastAsia="sv-SE"/>
              </w:rPr>
              <w:t xml:space="preserve"> in TS 36.331 [10], where the UE assumes the duplex mode (FDD or TDD) of the NR cell for which the </w:t>
            </w:r>
            <w:r w:rsidRPr="00FA0D37">
              <w:rPr>
                <w:rFonts w:eastAsia="MS Mincho"/>
                <w:i/>
                <w:szCs w:val="22"/>
                <w:lang w:eastAsia="sv-SE"/>
              </w:rPr>
              <w:t>E-UTRA-MBSFN-SubframeConfig</w:t>
            </w:r>
            <w:r w:rsidRPr="00FA0D37">
              <w:rPr>
                <w:rFonts w:eastAsia="MS Mincho"/>
                <w:szCs w:val="22"/>
                <w:lang w:eastAsia="sv-SE"/>
              </w:rPr>
              <w:t xml:space="preserve"> is provided.</w:t>
            </w:r>
          </w:p>
        </w:tc>
      </w:tr>
      <w:tr w:rsidR="00394471" w:rsidRPr="00FA0D37" w14:paraId="353A4C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1690CA" w14:textId="77777777" w:rsidR="00394471" w:rsidRPr="00FA0D37" w:rsidRDefault="00394471" w:rsidP="00964CC4">
            <w:pPr>
              <w:pStyle w:val="TAL"/>
              <w:rPr>
                <w:rFonts w:eastAsia="MS Mincho"/>
                <w:szCs w:val="22"/>
                <w:lang w:eastAsia="sv-SE"/>
              </w:rPr>
            </w:pPr>
            <w:r w:rsidRPr="00FA0D37">
              <w:rPr>
                <w:rFonts w:eastAsia="MS Mincho"/>
                <w:b/>
                <w:i/>
                <w:szCs w:val="22"/>
                <w:lang w:eastAsia="sv-SE"/>
              </w:rPr>
              <w:t>subframeAllocation2</w:t>
            </w:r>
          </w:p>
          <w:p w14:paraId="65BD9642" w14:textId="77777777" w:rsidR="00394471" w:rsidRPr="00FA0D37" w:rsidRDefault="00394471" w:rsidP="00964CC4">
            <w:pPr>
              <w:pStyle w:val="TAL"/>
              <w:rPr>
                <w:rFonts w:eastAsia="MS Mincho"/>
                <w:b/>
                <w:i/>
                <w:szCs w:val="22"/>
                <w:lang w:eastAsia="sv-SE"/>
              </w:rPr>
            </w:pPr>
            <w:r w:rsidRPr="00FA0D37">
              <w:rPr>
                <w:rFonts w:eastAsia="MS Mincho"/>
                <w:szCs w:val="22"/>
                <w:lang w:eastAsia="sv-SE"/>
              </w:rPr>
              <w:t xml:space="preserve">Field as defined in </w:t>
            </w:r>
            <w:r w:rsidRPr="00FA0D37">
              <w:rPr>
                <w:rFonts w:eastAsia="MS Mincho"/>
                <w:i/>
                <w:lang w:eastAsia="sv-SE"/>
              </w:rPr>
              <w:t>MBSFN-SubframeConfig-v1430</w:t>
            </w:r>
            <w:r w:rsidRPr="00FA0D37">
              <w:rPr>
                <w:rFonts w:eastAsia="MS Mincho"/>
                <w:szCs w:val="22"/>
                <w:lang w:eastAsia="sv-SE"/>
              </w:rPr>
              <w:t xml:space="preserve"> in TS 36.331 [10], where the UE assumes the duplex mode (FDD or TDD) of the NR cell for which the </w:t>
            </w:r>
            <w:r w:rsidRPr="00FA0D37">
              <w:rPr>
                <w:rFonts w:eastAsia="MS Mincho"/>
                <w:i/>
                <w:szCs w:val="22"/>
                <w:lang w:eastAsia="sv-SE"/>
              </w:rPr>
              <w:t>E-UTRA-MBSFN-SubframeConfig</w:t>
            </w:r>
            <w:r w:rsidRPr="00FA0D37">
              <w:rPr>
                <w:rFonts w:eastAsia="MS Mincho"/>
                <w:szCs w:val="22"/>
                <w:lang w:eastAsia="sv-SE"/>
              </w:rPr>
              <w:t xml:space="preserve"> is provided.</w:t>
            </w:r>
          </w:p>
        </w:tc>
      </w:tr>
    </w:tbl>
    <w:p w14:paraId="188276AA" w14:textId="77777777" w:rsidR="00394471" w:rsidRPr="00FA0D37" w:rsidRDefault="00394471" w:rsidP="00394471"/>
    <w:p w14:paraId="600F295A" w14:textId="41D89F76" w:rsidR="00394471" w:rsidRPr="00FA0D37" w:rsidRDefault="00394471" w:rsidP="00394471">
      <w:pPr>
        <w:pStyle w:val="4"/>
        <w:tabs>
          <w:tab w:val="left" w:pos="2835"/>
        </w:tabs>
        <w:rPr>
          <w:rFonts w:eastAsia="宋体"/>
          <w:i/>
          <w:noProof/>
        </w:rPr>
      </w:pPr>
      <w:bookmarkStart w:id="1667" w:name="_Toc60777499"/>
      <w:bookmarkStart w:id="1668" w:name="_Toc146781610"/>
      <w:r w:rsidRPr="00FA0D37">
        <w:rPr>
          <w:rFonts w:eastAsia="宋体"/>
        </w:rPr>
        <w:t>–</w:t>
      </w:r>
      <w:r w:rsidRPr="00FA0D37">
        <w:rPr>
          <w:rFonts w:eastAsia="宋体"/>
        </w:rPr>
        <w:tab/>
      </w:r>
      <w:r w:rsidRPr="00FA0D37">
        <w:rPr>
          <w:rFonts w:eastAsia="宋体"/>
          <w:i/>
          <w:noProof/>
        </w:rPr>
        <w:t>EUTRA-MultiBandInfoList</w:t>
      </w:r>
      <w:bookmarkEnd w:id="1667"/>
      <w:bookmarkEnd w:id="1668"/>
    </w:p>
    <w:p w14:paraId="40B25A7B" w14:textId="77777777" w:rsidR="00394471" w:rsidRPr="00FA0D37" w:rsidRDefault="00394471" w:rsidP="00394471">
      <w:pPr>
        <w:rPr>
          <w:rFonts w:eastAsia="宋体"/>
          <w:lang w:eastAsia="x-none"/>
        </w:rPr>
      </w:pPr>
      <w:r w:rsidRPr="00FA0D37">
        <w:rPr>
          <w:iCs/>
          <w:noProof/>
          <w:lang w:eastAsia="en-GB"/>
        </w:rPr>
        <w:t xml:space="preserve">The IE </w:t>
      </w:r>
      <w:r w:rsidRPr="00FA0D37">
        <w:rPr>
          <w:i/>
          <w:iCs/>
          <w:noProof/>
          <w:lang w:eastAsia="en-GB"/>
        </w:rPr>
        <w:t>EUTRA-MultiBandInfoList</w:t>
      </w:r>
      <w:r w:rsidRPr="00FA0D37">
        <w:rPr>
          <w:iCs/>
          <w:noProof/>
          <w:lang w:eastAsia="en-GB"/>
        </w:rPr>
        <w:t xml:space="preserve"> indicates the list of frequency bands in addition to the band represented by </w:t>
      </w:r>
      <w:r w:rsidRPr="00FA0D37">
        <w:rPr>
          <w:i/>
        </w:rPr>
        <w:t>CarrierFreq</w:t>
      </w:r>
      <w:r w:rsidRPr="00FA0D37">
        <w:rPr>
          <w:iCs/>
          <w:noProof/>
          <w:lang w:eastAsia="en-GB"/>
        </w:rPr>
        <w:t xml:space="preserve"> for which cell reselection parameters are common, and a list of </w:t>
      </w:r>
      <w:r w:rsidRPr="00FA0D37">
        <w:rPr>
          <w:i/>
        </w:rPr>
        <w:t>additionalPmax</w:t>
      </w:r>
      <w:r w:rsidRPr="00FA0D37">
        <w:rPr>
          <w:iCs/>
          <w:noProof/>
          <w:lang w:eastAsia="en-GB"/>
        </w:rPr>
        <w:t xml:space="preserve"> and </w:t>
      </w:r>
      <w:r w:rsidRPr="00FA0D37">
        <w:rPr>
          <w:i/>
        </w:rPr>
        <w:t>additionalSpectrumEmission</w:t>
      </w:r>
      <w:r w:rsidRPr="00FA0D37">
        <w:rPr>
          <w:iCs/>
          <w:noProof/>
          <w:lang w:eastAsia="en-GB"/>
        </w:rPr>
        <w:t>.</w:t>
      </w:r>
    </w:p>
    <w:p w14:paraId="1545F308" w14:textId="77777777" w:rsidR="00394471" w:rsidRPr="00FA0D37" w:rsidRDefault="00394471" w:rsidP="00394471">
      <w:pPr>
        <w:pStyle w:val="TH"/>
      </w:pPr>
      <w:r w:rsidRPr="00FA0D37">
        <w:rPr>
          <w:bCs/>
          <w:i/>
          <w:iCs/>
        </w:rPr>
        <w:t xml:space="preserve">EUTRA-MultiBandInfoList </w:t>
      </w:r>
      <w:r w:rsidRPr="00FA0D37">
        <w:t>information element</w:t>
      </w:r>
    </w:p>
    <w:p w14:paraId="37894549" w14:textId="77777777" w:rsidR="00394471" w:rsidRPr="00FA0D37" w:rsidRDefault="00394471" w:rsidP="00FA0D37">
      <w:pPr>
        <w:pStyle w:val="PL"/>
        <w:rPr>
          <w:color w:val="808080"/>
        </w:rPr>
      </w:pPr>
      <w:r w:rsidRPr="00FA0D37">
        <w:rPr>
          <w:color w:val="808080"/>
        </w:rPr>
        <w:t>-- ASN1START</w:t>
      </w:r>
    </w:p>
    <w:p w14:paraId="2833D105" w14:textId="77777777" w:rsidR="00394471" w:rsidRPr="00FA0D37" w:rsidRDefault="00394471" w:rsidP="00FA0D37">
      <w:pPr>
        <w:pStyle w:val="PL"/>
        <w:rPr>
          <w:color w:val="808080"/>
        </w:rPr>
      </w:pPr>
      <w:r w:rsidRPr="00FA0D37">
        <w:rPr>
          <w:color w:val="808080"/>
        </w:rPr>
        <w:t>-- TAG-EUTRA-MULTIBANDINFOLIST-START</w:t>
      </w:r>
    </w:p>
    <w:p w14:paraId="66E67BF0" w14:textId="77777777" w:rsidR="00394471" w:rsidRPr="00FA0D37" w:rsidRDefault="00394471" w:rsidP="00FA0D37">
      <w:pPr>
        <w:pStyle w:val="PL"/>
      </w:pPr>
    </w:p>
    <w:p w14:paraId="332D9F33" w14:textId="77777777" w:rsidR="00394471" w:rsidRPr="00FA0D37" w:rsidRDefault="00394471" w:rsidP="00FA0D37">
      <w:pPr>
        <w:pStyle w:val="PL"/>
      </w:pPr>
      <w:r w:rsidRPr="00FA0D37">
        <w:t xml:space="preserve">EUTRA-MultiBandInfoList ::=     </w:t>
      </w:r>
      <w:r w:rsidRPr="00FA0D37">
        <w:rPr>
          <w:color w:val="993366"/>
        </w:rPr>
        <w:t>SEQUENCE</w:t>
      </w:r>
      <w:r w:rsidRPr="00FA0D37">
        <w:t xml:space="preserve"> (</w:t>
      </w:r>
      <w:r w:rsidRPr="00FA0D37">
        <w:rPr>
          <w:color w:val="993366"/>
        </w:rPr>
        <w:t>SIZE</w:t>
      </w:r>
      <w:r w:rsidRPr="00FA0D37">
        <w:t xml:space="preserve"> (1..maxMultiBands))</w:t>
      </w:r>
      <w:r w:rsidRPr="00FA0D37">
        <w:rPr>
          <w:color w:val="993366"/>
        </w:rPr>
        <w:t xml:space="preserve"> OF</w:t>
      </w:r>
      <w:r w:rsidRPr="00FA0D37">
        <w:t xml:space="preserve"> EUTRA-MultiBandInfo</w:t>
      </w:r>
    </w:p>
    <w:p w14:paraId="7841286A" w14:textId="77777777" w:rsidR="00394471" w:rsidRPr="00FA0D37" w:rsidRDefault="00394471" w:rsidP="00FA0D37">
      <w:pPr>
        <w:pStyle w:val="PL"/>
      </w:pPr>
    </w:p>
    <w:p w14:paraId="76B84FE2" w14:textId="77777777" w:rsidR="00394471" w:rsidRPr="00FA0D37" w:rsidRDefault="00394471" w:rsidP="00FA0D37">
      <w:pPr>
        <w:pStyle w:val="PL"/>
      </w:pPr>
      <w:r w:rsidRPr="00FA0D37">
        <w:t xml:space="preserve">EUTRA-MultiBandInfo ::=         </w:t>
      </w:r>
      <w:r w:rsidRPr="00FA0D37">
        <w:rPr>
          <w:color w:val="993366"/>
        </w:rPr>
        <w:t>SEQUENCE</w:t>
      </w:r>
      <w:r w:rsidRPr="00FA0D37">
        <w:t xml:space="preserve"> {</w:t>
      </w:r>
    </w:p>
    <w:p w14:paraId="17DD882A" w14:textId="77777777" w:rsidR="00394471" w:rsidRPr="00FA0D37" w:rsidRDefault="00394471" w:rsidP="00FA0D37">
      <w:pPr>
        <w:pStyle w:val="PL"/>
      </w:pPr>
      <w:r w:rsidRPr="00FA0D37">
        <w:t xml:space="preserve">    eutra-FreqBandIndicator         FreqBandIndicatorEUTRA,</w:t>
      </w:r>
    </w:p>
    <w:p w14:paraId="28BD7EDD" w14:textId="77777777" w:rsidR="00394471" w:rsidRPr="00FA0D37" w:rsidRDefault="00394471" w:rsidP="00FA0D37">
      <w:pPr>
        <w:pStyle w:val="PL"/>
        <w:rPr>
          <w:color w:val="808080"/>
        </w:rPr>
      </w:pPr>
      <w:r w:rsidRPr="00FA0D37">
        <w:t xml:space="preserve">    eutra-NS-PmaxList               EUTRA-NS-PmaxList                           </w:t>
      </w:r>
      <w:r w:rsidRPr="00FA0D37">
        <w:rPr>
          <w:color w:val="993366"/>
        </w:rPr>
        <w:t>OPTIONAL</w:t>
      </w:r>
      <w:r w:rsidRPr="00FA0D37">
        <w:t xml:space="preserve">    </w:t>
      </w:r>
      <w:r w:rsidRPr="00FA0D37">
        <w:rPr>
          <w:color w:val="808080"/>
        </w:rPr>
        <w:t>-- Need R</w:t>
      </w:r>
    </w:p>
    <w:p w14:paraId="08B8A254" w14:textId="77777777" w:rsidR="00394471" w:rsidRPr="00FA0D37" w:rsidRDefault="00394471" w:rsidP="00FA0D37">
      <w:pPr>
        <w:pStyle w:val="PL"/>
      </w:pPr>
      <w:r w:rsidRPr="00FA0D37">
        <w:t>}</w:t>
      </w:r>
    </w:p>
    <w:p w14:paraId="2E383347" w14:textId="77777777" w:rsidR="00394471" w:rsidRPr="00FA0D37" w:rsidRDefault="00394471" w:rsidP="00FA0D37">
      <w:pPr>
        <w:pStyle w:val="PL"/>
      </w:pPr>
    </w:p>
    <w:p w14:paraId="3D13FE90" w14:textId="77777777" w:rsidR="00394471" w:rsidRPr="00FA0D37" w:rsidRDefault="00394471" w:rsidP="00FA0D37">
      <w:pPr>
        <w:pStyle w:val="PL"/>
        <w:rPr>
          <w:color w:val="808080"/>
        </w:rPr>
      </w:pPr>
      <w:r w:rsidRPr="00FA0D37">
        <w:rPr>
          <w:color w:val="808080"/>
        </w:rPr>
        <w:t>-- TAG-EUTRA-MULTIBANDINFOLIST-STOP</w:t>
      </w:r>
    </w:p>
    <w:p w14:paraId="4319B700" w14:textId="77777777" w:rsidR="00394471" w:rsidRPr="00FA0D37" w:rsidRDefault="00394471" w:rsidP="00FA0D37">
      <w:pPr>
        <w:pStyle w:val="PL"/>
        <w:rPr>
          <w:rFonts w:eastAsia="宋体"/>
          <w:color w:val="808080"/>
        </w:rPr>
      </w:pPr>
      <w:r w:rsidRPr="00FA0D37">
        <w:rPr>
          <w:color w:val="808080"/>
        </w:rPr>
        <w:t>-- ASN1STOP</w:t>
      </w:r>
    </w:p>
    <w:p w14:paraId="4C8E48ED" w14:textId="77777777" w:rsidR="00394471" w:rsidRPr="00FA0D37" w:rsidRDefault="00394471" w:rsidP="00394471"/>
    <w:p w14:paraId="09908258" w14:textId="5197F3F6" w:rsidR="00394471" w:rsidRPr="00FA0D37" w:rsidRDefault="00394471" w:rsidP="00394471">
      <w:pPr>
        <w:pStyle w:val="4"/>
        <w:rPr>
          <w:rFonts w:eastAsia="宋体"/>
        </w:rPr>
      </w:pPr>
      <w:bookmarkStart w:id="1669" w:name="_Toc60777500"/>
      <w:bookmarkStart w:id="1670" w:name="_Toc146781611"/>
      <w:r w:rsidRPr="00FA0D37">
        <w:rPr>
          <w:rFonts w:eastAsia="宋体"/>
        </w:rPr>
        <w:lastRenderedPageBreak/>
        <w:t>–</w:t>
      </w:r>
      <w:r w:rsidRPr="00FA0D37">
        <w:rPr>
          <w:rFonts w:eastAsia="宋体"/>
        </w:rPr>
        <w:tab/>
      </w:r>
      <w:r w:rsidRPr="00FA0D37">
        <w:rPr>
          <w:rFonts w:eastAsia="宋体"/>
          <w:i/>
        </w:rPr>
        <w:t>EUTRA-NS-PmaxList</w:t>
      </w:r>
      <w:bookmarkEnd w:id="1669"/>
      <w:bookmarkEnd w:id="1670"/>
    </w:p>
    <w:p w14:paraId="07E52012" w14:textId="77777777" w:rsidR="00394471" w:rsidRPr="00FA0D37" w:rsidRDefault="00394471" w:rsidP="00394471">
      <w:pPr>
        <w:rPr>
          <w:rFonts w:eastAsia="宋体"/>
          <w:noProof/>
        </w:rPr>
      </w:pPr>
      <w:r w:rsidRPr="00FA0D37">
        <w:rPr>
          <w:noProof/>
        </w:rPr>
        <w:t xml:space="preserve">The IE </w:t>
      </w:r>
      <w:r w:rsidRPr="00FA0D37">
        <w:rPr>
          <w:i/>
          <w:noProof/>
        </w:rPr>
        <w:t>EUTRA-NS-PmaxList</w:t>
      </w:r>
      <w:r w:rsidRPr="00FA0D37">
        <w:rPr>
          <w:noProof/>
        </w:rPr>
        <w:t xml:space="preserve"> concerns a list of </w:t>
      </w:r>
      <w:r w:rsidRPr="00FA0D37">
        <w:rPr>
          <w:i/>
          <w:noProof/>
        </w:rPr>
        <w:t>additionalPmax</w:t>
      </w:r>
      <w:r w:rsidRPr="00FA0D37">
        <w:rPr>
          <w:noProof/>
        </w:rPr>
        <w:t xml:space="preserve"> and </w:t>
      </w:r>
      <w:r w:rsidRPr="00FA0D37">
        <w:rPr>
          <w:i/>
          <w:noProof/>
        </w:rPr>
        <w:t>additionalSpectrumEmission</w:t>
      </w:r>
      <w:r w:rsidRPr="00FA0D37">
        <w:rPr>
          <w:noProof/>
        </w:rPr>
        <w:t>, as defined in TS 36.101 [22], table 6.2.4-1 for UEs neither in CE nor BL UEs and TS 36.101 [22], table 6.2.4E-1 for UEs in CE or BL UEs, for a given frequency band.</w:t>
      </w:r>
    </w:p>
    <w:p w14:paraId="7C0C0B8E" w14:textId="77777777" w:rsidR="00394471" w:rsidRPr="00FA0D37" w:rsidRDefault="00394471" w:rsidP="00394471">
      <w:pPr>
        <w:pStyle w:val="TH"/>
      </w:pPr>
      <w:r w:rsidRPr="00FA0D37">
        <w:rPr>
          <w:bCs/>
          <w:i/>
          <w:iCs/>
        </w:rPr>
        <w:t>EUTRA-NS-PmaxList</w:t>
      </w:r>
      <w:r w:rsidRPr="00FA0D37">
        <w:rPr>
          <w:noProof/>
        </w:rPr>
        <w:t xml:space="preserve"> information element</w:t>
      </w:r>
    </w:p>
    <w:p w14:paraId="75244F8D" w14:textId="77777777" w:rsidR="00394471" w:rsidRPr="00FA0D37" w:rsidRDefault="00394471" w:rsidP="00FA0D37">
      <w:pPr>
        <w:pStyle w:val="PL"/>
        <w:rPr>
          <w:color w:val="808080"/>
        </w:rPr>
      </w:pPr>
      <w:r w:rsidRPr="00FA0D37">
        <w:rPr>
          <w:color w:val="808080"/>
        </w:rPr>
        <w:t>-- ASN1START</w:t>
      </w:r>
    </w:p>
    <w:p w14:paraId="0D0CD5ED" w14:textId="77777777" w:rsidR="00394471" w:rsidRPr="00FA0D37" w:rsidRDefault="00394471" w:rsidP="00FA0D37">
      <w:pPr>
        <w:pStyle w:val="PL"/>
        <w:rPr>
          <w:color w:val="808080"/>
        </w:rPr>
      </w:pPr>
      <w:r w:rsidRPr="00FA0D37">
        <w:rPr>
          <w:color w:val="808080"/>
        </w:rPr>
        <w:t>-- TAG-EUTRA-NS-PMAXLIST-START</w:t>
      </w:r>
    </w:p>
    <w:p w14:paraId="4077A8C2" w14:textId="77777777" w:rsidR="00394471" w:rsidRPr="00FA0D37" w:rsidRDefault="00394471" w:rsidP="00FA0D37">
      <w:pPr>
        <w:pStyle w:val="PL"/>
      </w:pPr>
    </w:p>
    <w:p w14:paraId="4991F524" w14:textId="77777777" w:rsidR="00394471" w:rsidRPr="00FA0D37" w:rsidRDefault="00394471" w:rsidP="00FA0D37">
      <w:pPr>
        <w:pStyle w:val="PL"/>
      </w:pPr>
      <w:r w:rsidRPr="00FA0D37">
        <w:t xml:space="preserve">EUTRA-NS-PmaxList ::=               </w:t>
      </w:r>
      <w:r w:rsidRPr="00FA0D37">
        <w:rPr>
          <w:color w:val="993366"/>
        </w:rPr>
        <w:t>SEQUENCE</w:t>
      </w:r>
      <w:r w:rsidRPr="00FA0D37">
        <w:t xml:space="preserve"> (</w:t>
      </w:r>
      <w:r w:rsidRPr="00FA0D37">
        <w:rPr>
          <w:color w:val="993366"/>
        </w:rPr>
        <w:t>SIZE</w:t>
      </w:r>
      <w:r w:rsidRPr="00FA0D37">
        <w:t xml:space="preserve"> (1..maxEUTRA-NS-Pmax))</w:t>
      </w:r>
      <w:r w:rsidRPr="00FA0D37">
        <w:rPr>
          <w:color w:val="993366"/>
        </w:rPr>
        <w:t xml:space="preserve"> OF</w:t>
      </w:r>
      <w:r w:rsidRPr="00FA0D37">
        <w:t xml:space="preserve"> EUTRA-NS-PmaxValue</w:t>
      </w:r>
    </w:p>
    <w:p w14:paraId="7F7637AC" w14:textId="77777777" w:rsidR="00394471" w:rsidRPr="00FA0D37" w:rsidRDefault="00394471" w:rsidP="00FA0D37">
      <w:pPr>
        <w:pStyle w:val="PL"/>
      </w:pPr>
    </w:p>
    <w:p w14:paraId="7542BA44" w14:textId="77777777" w:rsidR="00394471" w:rsidRPr="00FA0D37" w:rsidRDefault="00394471" w:rsidP="00FA0D37">
      <w:pPr>
        <w:pStyle w:val="PL"/>
      </w:pPr>
      <w:r w:rsidRPr="00FA0D37">
        <w:t xml:space="preserve">EUTRA-NS-PmaxValue ::=              </w:t>
      </w:r>
      <w:r w:rsidRPr="00FA0D37">
        <w:rPr>
          <w:color w:val="993366"/>
        </w:rPr>
        <w:t>SEQUENCE</w:t>
      </w:r>
      <w:r w:rsidRPr="00FA0D37">
        <w:t xml:space="preserve"> {</w:t>
      </w:r>
    </w:p>
    <w:p w14:paraId="1BF0BB6A" w14:textId="77777777" w:rsidR="00394471" w:rsidRPr="00FA0D37" w:rsidRDefault="00394471" w:rsidP="00FA0D37">
      <w:pPr>
        <w:pStyle w:val="PL"/>
        <w:rPr>
          <w:color w:val="808080"/>
        </w:rPr>
      </w:pPr>
      <w:r w:rsidRPr="00FA0D37">
        <w:t xml:space="preserve">    additionalPmax                      </w:t>
      </w:r>
      <w:r w:rsidRPr="00FA0D37">
        <w:rPr>
          <w:color w:val="993366"/>
        </w:rPr>
        <w:t>INTEGER</w:t>
      </w:r>
      <w:r w:rsidRPr="00FA0D37">
        <w:t xml:space="preserve"> (-30..33)                       </w:t>
      </w:r>
      <w:r w:rsidRPr="00FA0D37">
        <w:rPr>
          <w:color w:val="993366"/>
        </w:rPr>
        <w:t>OPTIONAL</w:t>
      </w:r>
      <w:r w:rsidRPr="00FA0D37">
        <w:t xml:space="preserve">,   </w:t>
      </w:r>
      <w:r w:rsidRPr="00FA0D37">
        <w:rPr>
          <w:color w:val="808080"/>
        </w:rPr>
        <w:t>-- Need R</w:t>
      </w:r>
    </w:p>
    <w:p w14:paraId="7D529CF5" w14:textId="77777777" w:rsidR="00394471" w:rsidRPr="00FA0D37" w:rsidRDefault="00394471" w:rsidP="00FA0D37">
      <w:pPr>
        <w:pStyle w:val="PL"/>
        <w:rPr>
          <w:color w:val="808080"/>
        </w:rPr>
      </w:pPr>
      <w:r w:rsidRPr="00FA0D37">
        <w:t xml:space="preserve">    additionalSpectrumEmission          </w:t>
      </w:r>
      <w:r w:rsidRPr="00FA0D37">
        <w:rPr>
          <w:color w:val="993366"/>
        </w:rPr>
        <w:t>INTEGER</w:t>
      </w:r>
      <w:r w:rsidRPr="00FA0D37">
        <w:t xml:space="preserve"> (1..288)                        </w:t>
      </w:r>
      <w:r w:rsidRPr="00FA0D37">
        <w:rPr>
          <w:color w:val="993366"/>
        </w:rPr>
        <w:t>OPTIONAL</w:t>
      </w:r>
      <w:r w:rsidRPr="00FA0D37">
        <w:t xml:space="preserve">    </w:t>
      </w:r>
      <w:r w:rsidRPr="00FA0D37">
        <w:rPr>
          <w:color w:val="808080"/>
        </w:rPr>
        <w:t>-- Need R</w:t>
      </w:r>
    </w:p>
    <w:p w14:paraId="655C5FD5" w14:textId="77777777" w:rsidR="00394471" w:rsidRPr="00FA0D37" w:rsidRDefault="00394471" w:rsidP="00FA0D37">
      <w:pPr>
        <w:pStyle w:val="PL"/>
      </w:pPr>
      <w:r w:rsidRPr="00FA0D37">
        <w:t>}</w:t>
      </w:r>
    </w:p>
    <w:p w14:paraId="23D55FE6" w14:textId="77777777" w:rsidR="00394471" w:rsidRPr="00FA0D37" w:rsidRDefault="00394471" w:rsidP="00FA0D37">
      <w:pPr>
        <w:pStyle w:val="PL"/>
      </w:pPr>
    </w:p>
    <w:p w14:paraId="4BCCB526" w14:textId="77777777" w:rsidR="00394471" w:rsidRPr="00FA0D37" w:rsidRDefault="00394471" w:rsidP="00FA0D37">
      <w:pPr>
        <w:pStyle w:val="PL"/>
        <w:rPr>
          <w:color w:val="808080"/>
        </w:rPr>
      </w:pPr>
      <w:r w:rsidRPr="00FA0D37">
        <w:rPr>
          <w:color w:val="808080"/>
        </w:rPr>
        <w:t>-- TAG-EUTRA-NS-PMAXLIST-STOP</w:t>
      </w:r>
    </w:p>
    <w:p w14:paraId="074E4E4C" w14:textId="77777777" w:rsidR="00394471" w:rsidRPr="00FA0D37" w:rsidRDefault="00394471" w:rsidP="00FA0D37">
      <w:pPr>
        <w:pStyle w:val="PL"/>
        <w:rPr>
          <w:rFonts w:eastAsia="宋体"/>
          <w:color w:val="808080"/>
        </w:rPr>
      </w:pPr>
      <w:r w:rsidRPr="00FA0D37">
        <w:rPr>
          <w:color w:val="808080"/>
        </w:rPr>
        <w:t>-- ASN1STOP</w:t>
      </w:r>
    </w:p>
    <w:p w14:paraId="621E64C4" w14:textId="77777777" w:rsidR="00394471" w:rsidRPr="00FA0D37" w:rsidRDefault="00394471" w:rsidP="00394471"/>
    <w:p w14:paraId="430CA505" w14:textId="7B03D2FD" w:rsidR="00394471" w:rsidRPr="00FA0D37" w:rsidRDefault="00394471" w:rsidP="00394471">
      <w:pPr>
        <w:pStyle w:val="4"/>
        <w:rPr>
          <w:rFonts w:eastAsia="宋体"/>
        </w:rPr>
      </w:pPr>
      <w:bookmarkStart w:id="1671" w:name="_Toc60777501"/>
      <w:bookmarkStart w:id="1672" w:name="_Toc146781612"/>
      <w:r w:rsidRPr="00FA0D37">
        <w:rPr>
          <w:rFonts w:eastAsia="宋体"/>
        </w:rPr>
        <w:t>–</w:t>
      </w:r>
      <w:r w:rsidRPr="00FA0D37">
        <w:rPr>
          <w:rFonts w:eastAsia="宋体"/>
        </w:rPr>
        <w:tab/>
      </w:r>
      <w:r w:rsidRPr="00FA0D37">
        <w:rPr>
          <w:rFonts w:eastAsia="宋体"/>
          <w:i/>
          <w:noProof/>
        </w:rPr>
        <w:t>EUTRA-PhysCellId</w:t>
      </w:r>
      <w:bookmarkEnd w:id="1671"/>
      <w:bookmarkEnd w:id="1672"/>
    </w:p>
    <w:p w14:paraId="57238748" w14:textId="77777777" w:rsidR="00394471" w:rsidRPr="00FA0D37" w:rsidRDefault="00394471" w:rsidP="00394471">
      <w:pPr>
        <w:rPr>
          <w:rFonts w:eastAsia="宋体"/>
          <w:iCs/>
        </w:rPr>
      </w:pPr>
      <w:r w:rsidRPr="00FA0D37">
        <w:t xml:space="preserve">The IE </w:t>
      </w:r>
      <w:r w:rsidRPr="00FA0D37">
        <w:rPr>
          <w:i/>
          <w:noProof/>
        </w:rPr>
        <w:t>EUTRA-PhysCellId</w:t>
      </w:r>
      <w:r w:rsidRPr="00FA0D37">
        <w:rPr>
          <w:iCs/>
        </w:rPr>
        <w:t xml:space="preserve"> is used to indicate the physical layer identity of the cell, as defined in TS 36.211 [31].</w:t>
      </w:r>
    </w:p>
    <w:p w14:paraId="0909C687" w14:textId="77777777" w:rsidR="00394471" w:rsidRPr="00FA0D37" w:rsidRDefault="00394471" w:rsidP="00394471">
      <w:pPr>
        <w:pStyle w:val="TH"/>
      </w:pPr>
      <w:r w:rsidRPr="00FA0D37">
        <w:rPr>
          <w:bCs/>
          <w:i/>
          <w:iCs/>
        </w:rPr>
        <w:t xml:space="preserve">EUTRA-PhysCellId </w:t>
      </w:r>
      <w:r w:rsidRPr="00FA0D37">
        <w:t>information element</w:t>
      </w:r>
    </w:p>
    <w:p w14:paraId="5711D5B3" w14:textId="77777777" w:rsidR="00394471" w:rsidRPr="00FA0D37" w:rsidRDefault="00394471" w:rsidP="00FA0D37">
      <w:pPr>
        <w:pStyle w:val="PL"/>
        <w:rPr>
          <w:color w:val="808080"/>
        </w:rPr>
      </w:pPr>
      <w:r w:rsidRPr="00FA0D37">
        <w:rPr>
          <w:color w:val="808080"/>
        </w:rPr>
        <w:t>-- ASN1START</w:t>
      </w:r>
    </w:p>
    <w:p w14:paraId="624017C1" w14:textId="77777777" w:rsidR="00394471" w:rsidRPr="00FA0D37" w:rsidRDefault="00394471" w:rsidP="00FA0D37">
      <w:pPr>
        <w:pStyle w:val="PL"/>
        <w:rPr>
          <w:color w:val="808080"/>
        </w:rPr>
      </w:pPr>
      <w:r w:rsidRPr="00FA0D37">
        <w:rPr>
          <w:color w:val="808080"/>
        </w:rPr>
        <w:t>-- TAG-EUTRA-PHYSCELLID-START</w:t>
      </w:r>
    </w:p>
    <w:p w14:paraId="4FDC3E40" w14:textId="77777777" w:rsidR="00394471" w:rsidRPr="00FA0D37" w:rsidRDefault="00394471" w:rsidP="00FA0D37">
      <w:pPr>
        <w:pStyle w:val="PL"/>
      </w:pPr>
    </w:p>
    <w:p w14:paraId="4F4CEFBF" w14:textId="77777777" w:rsidR="00394471" w:rsidRPr="00FA0D37" w:rsidRDefault="00394471" w:rsidP="00FA0D37">
      <w:pPr>
        <w:pStyle w:val="PL"/>
      </w:pPr>
      <w:r w:rsidRPr="00FA0D37">
        <w:t xml:space="preserve">EUTRA-PhysCellId ::=                        </w:t>
      </w:r>
      <w:r w:rsidRPr="00FA0D37">
        <w:rPr>
          <w:color w:val="993366"/>
        </w:rPr>
        <w:t>INTEGER</w:t>
      </w:r>
      <w:r w:rsidRPr="00FA0D37">
        <w:t xml:space="preserve"> (0..503)</w:t>
      </w:r>
    </w:p>
    <w:p w14:paraId="55964BB3" w14:textId="77777777" w:rsidR="00394471" w:rsidRPr="00FA0D37" w:rsidRDefault="00394471" w:rsidP="00FA0D37">
      <w:pPr>
        <w:pStyle w:val="PL"/>
      </w:pPr>
    </w:p>
    <w:p w14:paraId="01E2FFA7" w14:textId="77777777" w:rsidR="00394471" w:rsidRPr="00FA0D37" w:rsidRDefault="00394471" w:rsidP="00FA0D37">
      <w:pPr>
        <w:pStyle w:val="PL"/>
        <w:rPr>
          <w:color w:val="808080"/>
        </w:rPr>
      </w:pPr>
      <w:r w:rsidRPr="00FA0D37">
        <w:rPr>
          <w:color w:val="808080"/>
        </w:rPr>
        <w:t>-- TAG-EUTRA-PHYSCELLID-STOP</w:t>
      </w:r>
    </w:p>
    <w:p w14:paraId="7C76532D" w14:textId="77777777" w:rsidR="00394471" w:rsidRPr="00FA0D37" w:rsidRDefault="00394471" w:rsidP="00FA0D37">
      <w:pPr>
        <w:pStyle w:val="PL"/>
        <w:rPr>
          <w:rFonts w:eastAsia="宋体"/>
          <w:color w:val="808080"/>
        </w:rPr>
      </w:pPr>
      <w:r w:rsidRPr="00FA0D37">
        <w:rPr>
          <w:color w:val="808080"/>
        </w:rPr>
        <w:t>-- ASN1STOP</w:t>
      </w:r>
    </w:p>
    <w:p w14:paraId="6261D750" w14:textId="77777777" w:rsidR="00394471" w:rsidRPr="00FA0D37" w:rsidRDefault="00394471" w:rsidP="00394471"/>
    <w:p w14:paraId="5E8E1378" w14:textId="49F2735F" w:rsidR="00394471" w:rsidRPr="00FA0D37" w:rsidRDefault="00394471" w:rsidP="00394471">
      <w:pPr>
        <w:pStyle w:val="4"/>
        <w:rPr>
          <w:rFonts w:eastAsia="宋体"/>
        </w:rPr>
      </w:pPr>
      <w:bookmarkStart w:id="1673" w:name="_Toc60777502"/>
      <w:bookmarkStart w:id="1674" w:name="_Toc146781613"/>
      <w:r w:rsidRPr="00FA0D37">
        <w:rPr>
          <w:rFonts w:eastAsia="宋体"/>
        </w:rPr>
        <w:t>–</w:t>
      </w:r>
      <w:r w:rsidRPr="00FA0D37">
        <w:rPr>
          <w:rFonts w:eastAsia="宋体"/>
        </w:rPr>
        <w:tab/>
      </w:r>
      <w:r w:rsidRPr="00FA0D37">
        <w:rPr>
          <w:rFonts w:eastAsia="宋体"/>
          <w:i/>
        </w:rPr>
        <w:t>EUTRA-PhysCellIdRange</w:t>
      </w:r>
      <w:bookmarkEnd w:id="1673"/>
      <w:bookmarkEnd w:id="1674"/>
    </w:p>
    <w:p w14:paraId="0B8DC2A8" w14:textId="77777777" w:rsidR="00394471" w:rsidRPr="00FA0D37" w:rsidRDefault="00394471" w:rsidP="00394471">
      <w:pPr>
        <w:keepNext/>
        <w:keepLines/>
        <w:rPr>
          <w:rFonts w:eastAsia="宋体"/>
          <w:iCs/>
        </w:rPr>
      </w:pPr>
      <w:r w:rsidRPr="00FA0D37">
        <w:t xml:space="preserve">The IE </w:t>
      </w:r>
      <w:r w:rsidRPr="00FA0D37">
        <w:rPr>
          <w:i/>
          <w:noProof/>
        </w:rPr>
        <w:t>EUTRA-PhysCellIdRange</w:t>
      </w:r>
      <w:r w:rsidRPr="00FA0D37">
        <w:rPr>
          <w:iCs/>
        </w:rPr>
        <w:t xml:space="preserve"> is used to encode either a single or a range of physical cell identities. The range is encoded by using a </w:t>
      </w:r>
      <w:r w:rsidRPr="00FA0D37">
        <w:rPr>
          <w:i/>
          <w:iCs/>
        </w:rPr>
        <w:t>start</w:t>
      </w:r>
      <w:r w:rsidRPr="00FA0D37">
        <w:rPr>
          <w:iCs/>
        </w:rPr>
        <w:t xml:space="preserve"> value and by indicating the number of consecutive physical cell identities (including </w:t>
      </w:r>
      <w:r w:rsidRPr="00FA0D37">
        <w:rPr>
          <w:i/>
          <w:iCs/>
        </w:rPr>
        <w:t>start</w:t>
      </w:r>
      <w:r w:rsidRPr="00FA0D37">
        <w:rPr>
          <w:iCs/>
        </w:rPr>
        <w:t xml:space="preserve">) in the range. For fields comprising multiple occurrences of </w:t>
      </w:r>
      <w:r w:rsidRPr="00FA0D37">
        <w:rPr>
          <w:i/>
          <w:noProof/>
        </w:rPr>
        <w:t>EUTRA-PhysCellIdRange</w:t>
      </w:r>
      <w:r w:rsidRPr="00FA0D37">
        <w:rPr>
          <w:iCs/>
        </w:rPr>
        <w:t>, NW may configure overlapping ranges of physical cell identities.</w:t>
      </w:r>
    </w:p>
    <w:p w14:paraId="58715543" w14:textId="77777777" w:rsidR="00394471" w:rsidRPr="00FA0D37" w:rsidRDefault="00394471" w:rsidP="00394471">
      <w:pPr>
        <w:pStyle w:val="TH"/>
      </w:pPr>
      <w:r w:rsidRPr="00FA0D37">
        <w:rPr>
          <w:bCs/>
          <w:i/>
          <w:iCs/>
        </w:rPr>
        <w:t xml:space="preserve">EUTRA-PhysCellIdRange </w:t>
      </w:r>
      <w:r w:rsidRPr="00FA0D37">
        <w:t>information element</w:t>
      </w:r>
    </w:p>
    <w:p w14:paraId="0EE0C7F4" w14:textId="77777777" w:rsidR="00394471" w:rsidRPr="00FA0D37" w:rsidRDefault="00394471" w:rsidP="00FA0D37">
      <w:pPr>
        <w:pStyle w:val="PL"/>
        <w:rPr>
          <w:color w:val="808080"/>
        </w:rPr>
      </w:pPr>
      <w:r w:rsidRPr="00FA0D37">
        <w:rPr>
          <w:color w:val="808080"/>
        </w:rPr>
        <w:t>-- ASN1START</w:t>
      </w:r>
    </w:p>
    <w:p w14:paraId="6063A299" w14:textId="77777777" w:rsidR="00394471" w:rsidRPr="00FA0D37" w:rsidRDefault="00394471" w:rsidP="00FA0D37">
      <w:pPr>
        <w:pStyle w:val="PL"/>
        <w:rPr>
          <w:color w:val="808080"/>
        </w:rPr>
      </w:pPr>
      <w:r w:rsidRPr="00FA0D37">
        <w:rPr>
          <w:color w:val="808080"/>
        </w:rPr>
        <w:t>-- TAG-EUTRA-PHYSCELLIDRANGE-START</w:t>
      </w:r>
    </w:p>
    <w:p w14:paraId="6961A1F1" w14:textId="77777777" w:rsidR="00394471" w:rsidRPr="00FA0D37" w:rsidRDefault="00394471" w:rsidP="00FA0D37">
      <w:pPr>
        <w:pStyle w:val="PL"/>
      </w:pPr>
    </w:p>
    <w:p w14:paraId="618E9D00" w14:textId="77777777" w:rsidR="00394471" w:rsidRPr="00FA0D37" w:rsidRDefault="00394471" w:rsidP="00FA0D37">
      <w:pPr>
        <w:pStyle w:val="PL"/>
      </w:pPr>
      <w:r w:rsidRPr="00FA0D37">
        <w:t xml:space="preserve">EUTRA-PhysCellIdRange ::=       </w:t>
      </w:r>
      <w:r w:rsidRPr="00FA0D37">
        <w:rPr>
          <w:color w:val="993366"/>
        </w:rPr>
        <w:t>SEQUENCE</w:t>
      </w:r>
      <w:r w:rsidRPr="00FA0D37">
        <w:t xml:space="preserve"> {</w:t>
      </w:r>
    </w:p>
    <w:p w14:paraId="3729EBE8" w14:textId="77777777" w:rsidR="00394471" w:rsidRPr="00FA0D37" w:rsidRDefault="00394471" w:rsidP="00FA0D37">
      <w:pPr>
        <w:pStyle w:val="PL"/>
      </w:pPr>
      <w:r w:rsidRPr="00FA0D37">
        <w:t xml:space="preserve">    start                           EUTRA-PhysCellId,</w:t>
      </w:r>
    </w:p>
    <w:p w14:paraId="5E4BF421" w14:textId="77777777" w:rsidR="00394471" w:rsidRPr="00FA0D37" w:rsidRDefault="00394471" w:rsidP="00FA0D37">
      <w:pPr>
        <w:pStyle w:val="PL"/>
      </w:pPr>
      <w:r w:rsidRPr="00FA0D37">
        <w:t xml:space="preserve">    range                           </w:t>
      </w:r>
      <w:r w:rsidRPr="00FA0D37">
        <w:rPr>
          <w:color w:val="993366"/>
        </w:rPr>
        <w:t>ENUMERATED</w:t>
      </w:r>
      <w:r w:rsidRPr="00FA0D37">
        <w:t xml:space="preserve"> {n4, n8, n12, n16, n24, n32, n48, n64, n84, n96,</w:t>
      </w:r>
    </w:p>
    <w:p w14:paraId="22E16F74" w14:textId="77777777" w:rsidR="00394471" w:rsidRPr="00FA0D37" w:rsidRDefault="00394471" w:rsidP="00FA0D37">
      <w:pPr>
        <w:pStyle w:val="PL"/>
        <w:rPr>
          <w:color w:val="808080"/>
        </w:rPr>
      </w:pPr>
      <w:r w:rsidRPr="00FA0D37">
        <w:t xml:space="preserve">                                                n128, n168, n252, n504, spare2, spare1}                         </w:t>
      </w:r>
      <w:r w:rsidRPr="00FA0D37">
        <w:rPr>
          <w:color w:val="993366"/>
        </w:rPr>
        <w:t>OPTIONAL</w:t>
      </w:r>
      <w:r w:rsidRPr="00FA0D37">
        <w:t xml:space="preserve">    </w:t>
      </w:r>
      <w:r w:rsidRPr="00FA0D37">
        <w:rPr>
          <w:color w:val="808080"/>
        </w:rPr>
        <w:t>-- Need N</w:t>
      </w:r>
    </w:p>
    <w:p w14:paraId="3D7D8A56" w14:textId="77777777" w:rsidR="00394471" w:rsidRPr="00FA0D37" w:rsidRDefault="00394471" w:rsidP="00FA0D37">
      <w:pPr>
        <w:pStyle w:val="PL"/>
      </w:pPr>
      <w:r w:rsidRPr="00FA0D37">
        <w:t>}</w:t>
      </w:r>
    </w:p>
    <w:p w14:paraId="1430CCE0" w14:textId="77777777" w:rsidR="00394471" w:rsidRPr="00FA0D37" w:rsidRDefault="00394471" w:rsidP="00FA0D37">
      <w:pPr>
        <w:pStyle w:val="PL"/>
      </w:pPr>
    </w:p>
    <w:p w14:paraId="2F3079BA" w14:textId="77777777" w:rsidR="00394471" w:rsidRPr="00FA0D37" w:rsidRDefault="00394471" w:rsidP="00FA0D37">
      <w:pPr>
        <w:pStyle w:val="PL"/>
        <w:rPr>
          <w:color w:val="808080"/>
        </w:rPr>
      </w:pPr>
      <w:r w:rsidRPr="00FA0D37">
        <w:rPr>
          <w:color w:val="808080"/>
        </w:rPr>
        <w:t>-- TAG-EUTRA-PHYSCELLIDRANGE-STOP</w:t>
      </w:r>
    </w:p>
    <w:p w14:paraId="71BAB1EE" w14:textId="77777777" w:rsidR="00394471" w:rsidRPr="00FA0D37" w:rsidRDefault="00394471" w:rsidP="00FA0D37">
      <w:pPr>
        <w:pStyle w:val="PL"/>
        <w:rPr>
          <w:rFonts w:eastAsia="宋体"/>
          <w:color w:val="808080"/>
        </w:rPr>
      </w:pPr>
      <w:r w:rsidRPr="00FA0D37">
        <w:rPr>
          <w:color w:val="808080"/>
        </w:rPr>
        <w:t>-- ASN1STOP</w:t>
      </w:r>
    </w:p>
    <w:p w14:paraId="2248DDBD" w14:textId="77777777" w:rsidR="00394471" w:rsidRPr="00FA0D37" w:rsidRDefault="00394471" w:rsidP="00394471"/>
    <w:p w14:paraId="606F7340" w14:textId="48D9E9EA" w:rsidR="00394471" w:rsidRPr="00FA0D37" w:rsidRDefault="00394471" w:rsidP="00394471">
      <w:pPr>
        <w:pStyle w:val="4"/>
        <w:rPr>
          <w:rFonts w:eastAsia="宋体"/>
          <w:i/>
          <w:noProof/>
        </w:rPr>
      </w:pPr>
      <w:bookmarkStart w:id="1675" w:name="_Toc60777503"/>
      <w:bookmarkStart w:id="1676" w:name="_Toc146781614"/>
      <w:r w:rsidRPr="00FA0D37">
        <w:rPr>
          <w:rFonts w:eastAsia="宋体"/>
        </w:rPr>
        <w:t>–</w:t>
      </w:r>
      <w:r w:rsidRPr="00FA0D37">
        <w:rPr>
          <w:rFonts w:eastAsia="宋体"/>
        </w:rPr>
        <w:tab/>
      </w:r>
      <w:r w:rsidRPr="00FA0D37">
        <w:rPr>
          <w:rFonts w:eastAsia="宋体"/>
          <w:i/>
        </w:rPr>
        <w:t>EUTRA-</w:t>
      </w:r>
      <w:r w:rsidRPr="00FA0D37">
        <w:rPr>
          <w:rFonts w:eastAsia="宋体"/>
          <w:i/>
          <w:noProof/>
        </w:rPr>
        <w:t>PresenceAntennaPort1</w:t>
      </w:r>
      <w:bookmarkEnd w:id="1675"/>
      <w:bookmarkEnd w:id="1676"/>
    </w:p>
    <w:p w14:paraId="2EA5450E" w14:textId="77777777" w:rsidR="00394471" w:rsidRPr="00FA0D37" w:rsidRDefault="00394471" w:rsidP="00394471">
      <w:pPr>
        <w:rPr>
          <w:rFonts w:eastAsia="宋体"/>
        </w:rPr>
      </w:pPr>
      <w:r w:rsidRPr="00FA0D37">
        <w:t xml:space="preserve">The IE </w:t>
      </w:r>
      <w:r w:rsidRPr="00FA0D37">
        <w:rPr>
          <w:i/>
          <w:noProof/>
        </w:rPr>
        <w:t>EUTRA-</w:t>
      </w:r>
      <w:r w:rsidRPr="00FA0D37">
        <w:rPr>
          <w:i/>
        </w:rPr>
        <w:t>PresenceAntennaPort1</w:t>
      </w:r>
      <w:r w:rsidRPr="00FA0D37">
        <w:t xml:space="preserve"> is used to indicate whether all the neighbouring cells use Antenna Port 1. When set to </w:t>
      </w:r>
      <w:r w:rsidRPr="00FA0D37">
        <w:rPr>
          <w:i/>
          <w:iCs/>
          <w:lang w:eastAsia="en-GB"/>
        </w:rPr>
        <w:t>true</w:t>
      </w:r>
      <w:r w:rsidRPr="00FA0D37">
        <w:t>, the UE may assume that at least two cell-specific antenna ports are used in all neighbouring cells.</w:t>
      </w:r>
    </w:p>
    <w:p w14:paraId="1556E5A8" w14:textId="77777777" w:rsidR="00394471" w:rsidRPr="00FA0D37" w:rsidRDefault="00394471" w:rsidP="00394471">
      <w:pPr>
        <w:pStyle w:val="TH"/>
      </w:pPr>
      <w:r w:rsidRPr="00FA0D37">
        <w:rPr>
          <w:bCs/>
          <w:i/>
          <w:iCs/>
        </w:rPr>
        <w:t>EUTRA-PresenceAntennaPort1</w:t>
      </w:r>
      <w:r w:rsidRPr="00FA0D37">
        <w:t xml:space="preserve"> information element</w:t>
      </w:r>
    </w:p>
    <w:p w14:paraId="41B52104" w14:textId="77777777" w:rsidR="00394471" w:rsidRPr="00FA0D37" w:rsidRDefault="00394471" w:rsidP="00FA0D37">
      <w:pPr>
        <w:pStyle w:val="PL"/>
        <w:rPr>
          <w:color w:val="808080"/>
        </w:rPr>
      </w:pPr>
      <w:r w:rsidRPr="00FA0D37">
        <w:rPr>
          <w:color w:val="808080"/>
        </w:rPr>
        <w:t>-- ASN1START</w:t>
      </w:r>
    </w:p>
    <w:p w14:paraId="5CC07F20" w14:textId="77777777" w:rsidR="00394471" w:rsidRPr="00FA0D37" w:rsidRDefault="00394471" w:rsidP="00FA0D37">
      <w:pPr>
        <w:pStyle w:val="PL"/>
        <w:rPr>
          <w:color w:val="808080"/>
        </w:rPr>
      </w:pPr>
      <w:r w:rsidRPr="00FA0D37">
        <w:rPr>
          <w:color w:val="808080"/>
        </w:rPr>
        <w:t>-- TAG-EUTRA-PRESENCEANTENNAPORT1-START</w:t>
      </w:r>
    </w:p>
    <w:p w14:paraId="5FD9E54F" w14:textId="77777777" w:rsidR="00394471" w:rsidRPr="00FA0D37" w:rsidRDefault="00394471" w:rsidP="00FA0D37">
      <w:pPr>
        <w:pStyle w:val="PL"/>
      </w:pPr>
    </w:p>
    <w:p w14:paraId="453EFD1D" w14:textId="77777777" w:rsidR="00394471" w:rsidRPr="00FA0D37" w:rsidRDefault="00394471" w:rsidP="00FA0D37">
      <w:pPr>
        <w:pStyle w:val="PL"/>
      </w:pPr>
      <w:r w:rsidRPr="00FA0D37">
        <w:t xml:space="preserve">EUTRA-PresenceAntennaPort1 ::=              </w:t>
      </w:r>
      <w:r w:rsidRPr="00FA0D37">
        <w:rPr>
          <w:color w:val="993366"/>
        </w:rPr>
        <w:t>BOOLEAN</w:t>
      </w:r>
    </w:p>
    <w:p w14:paraId="1C810D37" w14:textId="77777777" w:rsidR="00394471" w:rsidRPr="00FA0D37" w:rsidRDefault="00394471" w:rsidP="00FA0D37">
      <w:pPr>
        <w:pStyle w:val="PL"/>
      </w:pPr>
    </w:p>
    <w:p w14:paraId="1DE4BBFE" w14:textId="77777777" w:rsidR="00394471" w:rsidRPr="00FA0D37" w:rsidRDefault="00394471" w:rsidP="00FA0D37">
      <w:pPr>
        <w:pStyle w:val="PL"/>
        <w:rPr>
          <w:color w:val="808080"/>
        </w:rPr>
      </w:pPr>
      <w:r w:rsidRPr="00FA0D37">
        <w:rPr>
          <w:color w:val="808080"/>
        </w:rPr>
        <w:t>-- TAG-EUTRA-PRESENCEANTENNAPORT1-STOP</w:t>
      </w:r>
    </w:p>
    <w:p w14:paraId="6B0CBDE9" w14:textId="77777777" w:rsidR="00394471" w:rsidRPr="00FA0D37" w:rsidRDefault="00394471" w:rsidP="00FA0D37">
      <w:pPr>
        <w:pStyle w:val="PL"/>
        <w:rPr>
          <w:color w:val="808080"/>
        </w:rPr>
      </w:pPr>
      <w:r w:rsidRPr="00FA0D37">
        <w:rPr>
          <w:color w:val="808080"/>
        </w:rPr>
        <w:t>-- ASN1STOP</w:t>
      </w:r>
    </w:p>
    <w:p w14:paraId="62DE8E27" w14:textId="77777777" w:rsidR="00394471" w:rsidRPr="00FA0D37" w:rsidRDefault="00394471" w:rsidP="00394471"/>
    <w:p w14:paraId="0F004769" w14:textId="50EE5571" w:rsidR="00394471" w:rsidRPr="00FA0D37" w:rsidRDefault="00394471" w:rsidP="00394471">
      <w:pPr>
        <w:pStyle w:val="4"/>
      </w:pPr>
      <w:bookmarkStart w:id="1677" w:name="_Toc60777504"/>
      <w:bookmarkStart w:id="1678" w:name="_Toc146781615"/>
      <w:r w:rsidRPr="00FA0D37">
        <w:t>–</w:t>
      </w:r>
      <w:r w:rsidRPr="00FA0D37">
        <w:tab/>
      </w:r>
      <w:r w:rsidRPr="00FA0D37">
        <w:rPr>
          <w:i/>
        </w:rPr>
        <w:t>EUTRA-Q-OffsetRange</w:t>
      </w:r>
      <w:bookmarkEnd w:id="1677"/>
      <w:bookmarkEnd w:id="1678"/>
    </w:p>
    <w:p w14:paraId="18C04770" w14:textId="77777777" w:rsidR="00394471" w:rsidRPr="00FA0D37" w:rsidRDefault="00394471" w:rsidP="00394471">
      <w:r w:rsidRPr="00FA0D37">
        <w:t xml:space="preserve">The IE </w:t>
      </w:r>
      <w:r w:rsidRPr="00FA0D37">
        <w:rPr>
          <w:i/>
          <w:noProof/>
        </w:rPr>
        <w:t>EUTRA-Q-OffsetRange</w:t>
      </w:r>
      <w:r w:rsidRPr="00FA0D37">
        <w:t xml:space="preserve"> is used to indicate a cell, or frequency specific offset to be applied when evaluating triggering conditions for measurement reporting. The value in dB. Value </w:t>
      </w:r>
      <w:r w:rsidRPr="00FA0D37">
        <w:rPr>
          <w:i/>
        </w:rPr>
        <w:t>dB-24</w:t>
      </w:r>
      <w:r w:rsidRPr="00FA0D37">
        <w:t xml:space="preserve"> corresponds to -24 dB, value </w:t>
      </w:r>
      <w:r w:rsidRPr="00FA0D37">
        <w:rPr>
          <w:i/>
        </w:rPr>
        <w:t>dB-22</w:t>
      </w:r>
      <w:r w:rsidRPr="00FA0D37">
        <w:t xml:space="preserve"> corresponds to -22 dB and so on.</w:t>
      </w:r>
    </w:p>
    <w:p w14:paraId="23814152" w14:textId="77777777" w:rsidR="00394471" w:rsidRPr="00FA0D37" w:rsidRDefault="00394471" w:rsidP="00394471">
      <w:pPr>
        <w:pStyle w:val="TH"/>
      </w:pPr>
      <w:r w:rsidRPr="00FA0D37">
        <w:rPr>
          <w:bCs/>
          <w:i/>
          <w:iCs/>
        </w:rPr>
        <w:t xml:space="preserve">EUTRA-Q-OffsetRange </w:t>
      </w:r>
      <w:r w:rsidRPr="00FA0D37">
        <w:t>information element</w:t>
      </w:r>
    </w:p>
    <w:p w14:paraId="30B3B205" w14:textId="77777777" w:rsidR="00394471" w:rsidRPr="00FA0D37" w:rsidRDefault="00394471" w:rsidP="00FA0D37">
      <w:pPr>
        <w:pStyle w:val="PL"/>
        <w:rPr>
          <w:color w:val="808080"/>
        </w:rPr>
      </w:pPr>
      <w:r w:rsidRPr="00FA0D37">
        <w:rPr>
          <w:color w:val="808080"/>
        </w:rPr>
        <w:t>-- ASN1START</w:t>
      </w:r>
    </w:p>
    <w:p w14:paraId="78C12B60" w14:textId="77777777" w:rsidR="00394471" w:rsidRPr="00FA0D37" w:rsidRDefault="00394471" w:rsidP="00FA0D37">
      <w:pPr>
        <w:pStyle w:val="PL"/>
        <w:rPr>
          <w:color w:val="808080"/>
        </w:rPr>
      </w:pPr>
      <w:r w:rsidRPr="00FA0D37">
        <w:rPr>
          <w:color w:val="808080"/>
        </w:rPr>
        <w:t>-- TAG-EUTRA-Q-OFFSETRANGE-START</w:t>
      </w:r>
    </w:p>
    <w:p w14:paraId="25A9FF9B" w14:textId="77777777" w:rsidR="00394471" w:rsidRPr="00FA0D37" w:rsidRDefault="00394471" w:rsidP="00FA0D37">
      <w:pPr>
        <w:pStyle w:val="PL"/>
      </w:pPr>
    </w:p>
    <w:p w14:paraId="05BFAF5C" w14:textId="77777777" w:rsidR="00394471" w:rsidRPr="00FA0D37" w:rsidRDefault="00394471" w:rsidP="00FA0D37">
      <w:pPr>
        <w:pStyle w:val="PL"/>
      </w:pPr>
      <w:r w:rsidRPr="00FA0D37">
        <w:t xml:space="preserve">EUTRA-Q-OffsetRange ::=                     </w:t>
      </w:r>
      <w:r w:rsidRPr="00FA0D37">
        <w:rPr>
          <w:color w:val="993366"/>
        </w:rPr>
        <w:t>ENUMERATED</w:t>
      </w:r>
      <w:r w:rsidRPr="00FA0D37">
        <w:t xml:space="preserve"> {</w:t>
      </w:r>
    </w:p>
    <w:p w14:paraId="25B70BEE" w14:textId="77777777" w:rsidR="00394471" w:rsidRPr="00FA0D37" w:rsidRDefault="00394471" w:rsidP="00FA0D37">
      <w:pPr>
        <w:pStyle w:val="PL"/>
      </w:pPr>
      <w:r w:rsidRPr="00FA0D37">
        <w:t xml:space="preserve">                                                dB-24, dB-22, dB-20, dB-18, dB-16, dB-14,</w:t>
      </w:r>
    </w:p>
    <w:p w14:paraId="7A516314" w14:textId="77777777" w:rsidR="00394471" w:rsidRPr="00FA0D37" w:rsidRDefault="00394471" w:rsidP="00FA0D37">
      <w:pPr>
        <w:pStyle w:val="PL"/>
      </w:pPr>
      <w:r w:rsidRPr="00FA0D37">
        <w:t xml:space="preserve">                                                dB-12, dB-10, dB-8, dB-6, dB-5, dB-4, dB-3,</w:t>
      </w:r>
    </w:p>
    <w:p w14:paraId="1F52EA42" w14:textId="77777777" w:rsidR="00394471" w:rsidRPr="00FA0D37" w:rsidRDefault="00394471" w:rsidP="00FA0D37">
      <w:pPr>
        <w:pStyle w:val="PL"/>
      </w:pPr>
      <w:r w:rsidRPr="00FA0D37">
        <w:t xml:space="preserve">                                                dB-2, dB-1, dB0, dB1, dB2, dB3, dB4, dB5,</w:t>
      </w:r>
    </w:p>
    <w:p w14:paraId="4AF1A058" w14:textId="77777777" w:rsidR="00394471" w:rsidRPr="00FA0D37" w:rsidRDefault="00394471" w:rsidP="00FA0D37">
      <w:pPr>
        <w:pStyle w:val="PL"/>
      </w:pPr>
      <w:r w:rsidRPr="00FA0D37">
        <w:t xml:space="preserve">                                                dB6, dB8, dB10, dB12, dB14, dB16, dB18,</w:t>
      </w:r>
    </w:p>
    <w:p w14:paraId="32A13CEA" w14:textId="77777777" w:rsidR="00394471" w:rsidRPr="00FA0D37" w:rsidRDefault="00394471" w:rsidP="00FA0D37">
      <w:pPr>
        <w:pStyle w:val="PL"/>
      </w:pPr>
      <w:r w:rsidRPr="00FA0D37">
        <w:t xml:space="preserve">                                                dB20, dB22, dB24}</w:t>
      </w:r>
    </w:p>
    <w:p w14:paraId="6EAABAE4" w14:textId="77777777" w:rsidR="00394471" w:rsidRPr="00FA0D37" w:rsidRDefault="00394471" w:rsidP="00FA0D37">
      <w:pPr>
        <w:pStyle w:val="PL"/>
      </w:pPr>
    </w:p>
    <w:p w14:paraId="26D0AD86" w14:textId="77777777" w:rsidR="00394471" w:rsidRPr="00FA0D37" w:rsidRDefault="00394471" w:rsidP="00FA0D37">
      <w:pPr>
        <w:pStyle w:val="PL"/>
        <w:rPr>
          <w:color w:val="808080"/>
        </w:rPr>
      </w:pPr>
      <w:r w:rsidRPr="00FA0D37">
        <w:rPr>
          <w:color w:val="808080"/>
        </w:rPr>
        <w:t>-- TAG-EUTRA-Q-OFFSETRANGE-STOP</w:t>
      </w:r>
    </w:p>
    <w:p w14:paraId="2E9DA85A" w14:textId="77777777" w:rsidR="00394471" w:rsidRPr="00FA0D37" w:rsidRDefault="00394471" w:rsidP="00FA0D37">
      <w:pPr>
        <w:pStyle w:val="PL"/>
        <w:rPr>
          <w:color w:val="808080"/>
        </w:rPr>
      </w:pPr>
      <w:r w:rsidRPr="00FA0D37">
        <w:rPr>
          <w:color w:val="808080"/>
        </w:rPr>
        <w:t>-- ASN1STOP</w:t>
      </w:r>
    </w:p>
    <w:p w14:paraId="715040C9" w14:textId="77777777" w:rsidR="00394471" w:rsidRPr="00FA0D37" w:rsidRDefault="00394471" w:rsidP="00394471"/>
    <w:p w14:paraId="2ED252C9" w14:textId="5F3A7949" w:rsidR="00394471" w:rsidRPr="00FA0D37" w:rsidRDefault="00394471" w:rsidP="00394471">
      <w:pPr>
        <w:pStyle w:val="4"/>
        <w:rPr>
          <w:rFonts w:eastAsia="宋体"/>
          <w:lang w:eastAsia="zh-CN"/>
        </w:rPr>
      </w:pPr>
      <w:bookmarkStart w:id="1679" w:name="_Toc60777505"/>
      <w:bookmarkStart w:id="1680" w:name="_Toc146781616"/>
      <w:r w:rsidRPr="00FA0D37">
        <w:lastRenderedPageBreak/>
        <w:t>–</w:t>
      </w:r>
      <w:r w:rsidRPr="00FA0D37">
        <w:tab/>
      </w:r>
      <w:r w:rsidRPr="00FA0D37">
        <w:rPr>
          <w:rFonts w:eastAsia="宋体"/>
          <w:i/>
          <w:iCs/>
          <w:lang w:eastAsia="zh-CN"/>
        </w:rPr>
        <w:t>IAB-IP-Address</w:t>
      </w:r>
      <w:bookmarkEnd w:id="1679"/>
      <w:bookmarkEnd w:id="1680"/>
    </w:p>
    <w:p w14:paraId="55BEB4EC" w14:textId="77777777" w:rsidR="00394471" w:rsidRPr="00FA0D37" w:rsidRDefault="00394471" w:rsidP="00394471">
      <w:pPr>
        <w:rPr>
          <w:rFonts w:eastAsia="MS Mincho"/>
        </w:rPr>
      </w:pPr>
      <w:r w:rsidRPr="00FA0D37">
        <w:t xml:space="preserve">The IE </w:t>
      </w:r>
      <w:r w:rsidRPr="00FA0D37">
        <w:rPr>
          <w:rFonts w:eastAsia="宋体"/>
          <w:i/>
          <w:lang w:eastAsia="zh-CN"/>
        </w:rPr>
        <w:t>IAB-IP-Address</w:t>
      </w:r>
      <w:r w:rsidRPr="00FA0D37">
        <w:rPr>
          <w:iCs/>
        </w:rPr>
        <w:t xml:space="preserve"> </w:t>
      </w:r>
      <w:r w:rsidRPr="00FA0D37">
        <w:t xml:space="preserve">is used to indicate the </w:t>
      </w:r>
      <w:r w:rsidRPr="00FA0D37">
        <w:rPr>
          <w:rFonts w:cs="Arial"/>
          <w:lang w:eastAsia="zh-CN"/>
        </w:rPr>
        <w:t>IP address/prefix.</w:t>
      </w:r>
    </w:p>
    <w:p w14:paraId="102F9BA7" w14:textId="77777777" w:rsidR="00394471" w:rsidRPr="00FA0D37" w:rsidRDefault="00394471" w:rsidP="00394471">
      <w:pPr>
        <w:pStyle w:val="TH"/>
      </w:pPr>
      <w:r w:rsidRPr="00FA0D37">
        <w:rPr>
          <w:rFonts w:eastAsia="宋体"/>
          <w:i/>
          <w:iCs/>
          <w:lang w:eastAsia="zh-CN"/>
        </w:rPr>
        <w:t>IAB-IP-Address</w:t>
      </w:r>
      <w:r w:rsidRPr="00FA0D37">
        <w:t xml:space="preserve"> </w:t>
      </w:r>
      <w:r w:rsidRPr="00FA0D37">
        <w:rPr>
          <w:rFonts w:eastAsia="宋体"/>
          <w:lang w:eastAsia="zh-CN"/>
        </w:rPr>
        <w:t>information element</w:t>
      </w:r>
    </w:p>
    <w:p w14:paraId="0D7307F3" w14:textId="77777777" w:rsidR="00394471" w:rsidRPr="00FA0D37" w:rsidRDefault="00394471" w:rsidP="00FA0D37">
      <w:pPr>
        <w:pStyle w:val="PL"/>
        <w:rPr>
          <w:color w:val="808080"/>
        </w:rPr>
      </w:pPr>
      <w:r w:rsidRPr="00FA0D37">
        <w:rPr>
          <w:color w:val="808080"/>
        </w:rPr>
        <w:t>-- ASN1START</w:t>
      </w:r>
    </w:p>
    <w:p w14:paraId="1104A430" w14:textId="77777777" w:rsidR="00394471" w:rsidRPr="00FA0D37" w:rsidRDefault="00394471" w:rsidP="00FA0D37">
      <w:pPr>
        <w:pStyle w:val="PL"/>
        <w:rPr>
          <w:color w:val="808080"/>
        </w:rPr>
      </w:pPr>
      <w:r w:rsidRPr="00FA0D37">
        <w:rPr>
          <w:color w:val="808080"/>
        </w:rPr>
        <w:t>-- TAG-IABIPADDRESS-START</w:t>
      </w:r>
    </w:p>
    <w:p w14:paraId="7A1B6DAC" w14:textId="77777777" w:rsidR="00394471" w:rsidRPr="00FA0D37" w:rsidRDefault="00394471" w:rsidP="00FA0D37">
      <w:pPr>
        <w:pStyle w:val="PL"/>
      </w:pPr>
    </w:p>
    <w:p w14:paraId="094B4E15" w14:textId="77777777" w:rsidR="00394471" w:rsidRPr="00FA0D37" w:rsidRDefault="00394471" w:rsidP="00FA0D37">
      <w:pPr>
        <w:pStyle w:val="PL"/>
      </w:pPr>
      <w:r w:rsidRPr="00FA0D37">
        <w:t xml:space="preserve">IAB-IP-Address-r16 ::=  </w:t>
      </w:r>
      <w:r w:rsidRPr="00FA0D37">
        <w:rPr>
          <w:color w:val="993366"/>
        </w:rPr>
        <w:t>CHOICE</w:t>
      </w:r>
      <w:r w:rsidRPr="00FA0D37">
        <w:t xml:space="preserve"> {</w:t>
      </w:r>
    </w:p>
    <w:p w14:paraId="28FF3301" w14:textId="77777777" w:rsidR="00394471" w:rsidRPr="00FA0D37" w:rsidRDefault="00394471" w:rsidP="00FA0D37">
      <w:pPr>
        <w:pStyle w:val="PL"/>
      </w:pPr>
      <w:r w:rsidRPr="00FA0D37">
        <w:t xml:space="preserve">    iPv4-Address-r16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(32)),</w:t>
      </w:r>
    </w:p>
    <w:p w14:paraId="615469C1" w14:textId="77777777" w:rsidR="00394471" w:rsidRPr="00FA0D37" w:rsidRDefault="00394471" w:rsidP="00FA0D37">
      <w:pPr>
        <w:pStyle w:val="PL"/>
      </w:pPr>
      <w:r w:rsidRPr="00FA0D37">
        <w:t xml:space="preserve">    iPv6-Address-r16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(128)),</w:t>
      </w:r>
    </w:p>
    <w:p w14:paraId="7E69FA62" w14:textId="77777777" w:rsidR="00394471" w:rsidRPr="00FA0D37" w:rsidRDefault="00394471" w:rsidP="00FA0D37">
      <w:pPr>
        <w:pStyle w:val="PL"/>
      </w:pPr>
      <w:r w:rsidRPr="00FA0D37">
        <w:t xml:space="preserve">    iPv6-Prefix-r16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(64)),</w:t>
      </w:r>
    </w:p>
    <w:p w14:paraId="42B789AC" w14:textId="77777777" w:rsidR="00394471" w:rsidRPr="00FA0D37" w:rsidRDefault="00394471" w:rsidP="00FA0D37">
      <w:pPr>
        <w:pStyle w:val="PL"/>
      </w:pPr>
      <w:r w:rsidRPr="00FA0D37">
        <w:t xml:space="preserve">    ...</w:t>
      </w:r>
    </w:p>
    <w:p w14:paraId="16295FEE" w14:textId="77777777" w:rsidR="00394471" w:rsidRPr="00FA0D37" w:rsidRDefault="00394471" w:rsidP="00FA0D37">
      <w:pPr>
        <w:pStyle w:val="PL"/>
      </w:pPr>
      <w:r w:rsidRPr="00FA0D37">
        <w:t>}</w:t>
      </w:r>
    </w:p>
    <w:p w14:paraId="4C51FC23" w14:textId="77777777" w:rsidR="00394471" w:rsidRPr="00FA0D37" w:rsidRDefault="00394471" w:rsidP="00FA0D37">
      <w:pPr>
        <w:pStyle w:val="PL"/>
      </w:pPr>
    </w:p>
    <w:p w14:paraId="004299EB" w14:textId="77777777" w:rsidR="00394471" w:rsidRPr="00FA0D37" w:rsidRDefault="00394471" w:rsidP="00FA0D37">
      <w:pPr>
        <w:pStyle w:val="PL"/>
        <w:rPr>
          <w:color w:val="808080"/>
        </w:rPr>
      </w:pPr>
      <w:r w:rsidRPr="00FA0D37">
        <w:rPr>
          <w:color w:val="808080"/>
        </w:rPr>
        <w:t>-- TAG-IABIPADDRESS-STOP</w:t>
      </w:r>
    </w:p>
    <w:p w14:paraId="16177FA0" w14:textId="77777777" w:rsidR="00394471" w:rsidRPr="00FA0D37" w:rsidRDefault="00394471" w:rsidP="00FA0D37">
      <w:pPr>
        <w:pStyle w:val="PL"/>
        <w:rPr>
          <w:color w:val="808080"/>
        </w:rPr>
      </w:pPr>
      <w:r w:rsidRPr="00FA0D37">
        <w:rPr>
          <w:color w:val="808080"/>
        </w:rPr>
        <w:t>-- ASN1STOP</w:t>
      </w:r>
    </w:p>
    <w:p w14:paraId="1E87D9E5" w14:textId="77777777" w:rsidR="00394471" w:rsidRPr="00FA0D37"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24A181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F3F2" w14:textId="77777777" w:rsidR="00394471" w:rsidRPr="00FA0D37" w:rsidRDefault="00394471" w:rsidP="00964CC4">
            <w:pPr>
              <w:pStyle w:val="TAH"/>
              <w:rPr>
                <w:lang w:eastAsia="zh-CN"/>
              </w:rPr>
            </w:pPr>
            <w:r w:rsidRPr="00FA0D37">
              <w:rPr>
                <w:i/>
                <w:lang w:eastAsia="zh-CN"/>
              </w:rPr>
              <w:t xml:space="preserve">IAB-IP-Address </w:t>
            </w:r>
            <w:r w:rsidRPr="00FA0D37">
              <w:rPr>
                <w:lang w:eastAsia="zh-CN"/>
              </w:rPr>
              <w:t>field descriptions</w:t>
            </w:r>
          </w:p>
        </w:tc>
      </w:tr>
      <w:tr w:rsidR="005C7FF4" w:rsidRPr="00FA0D37" w14:paraId="2A49F9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00040" w14:textId="77777777" w:rsidR="00394471" w:rsidRPr="00FA0D37" w:rsidRDefault="00394471" w:rsidP="00964CC4">
            <w:pPr>
              <w:pStyle w:val="TAL"/>
              <w:rPr>
                <w:rFonts w:cs="Arial"/>
                <w:b/>
                <w:i/>
                <w:szCs w:val="18"/>
                <w:lang w:eastAsia="zh-CN"/>
              </w:rPr>
            </w:pPr>
            <w:r w:rsidRPr="00FA0D37">
              <w:rPr>
                <w:rFonts w:cs="Arial"/>
                <w:b/>
                <w:i/>
                <w:szCs w:val="18"/>
                <w:lang w:eastAsia="zh-CN"/>
              </w:rPr>
              <w:t>iPv4-Address</w:t>
            </w:r>
          </w:p>
          <w:p w14:paraId="2C469189" w14:textId="77777777" w:rsidR="00394471" w:rsidRPr="00FA0D37" w:rsidRDefault="00394471" w:rsidP="00964CC4">
            <w:pPr>
              <w:pStyle w:val="TAL"/>
              <w:rPr>
                <w:rFonts w:cs="Arial"/>
                <w:b/>
                <w:i/>
                <w:szCs w:val="18"/>
                <w:lang w:eastAsia="zh-CN"/>
              </w:rPr>
            </w:pPr>
            <w:r w:rsidRPr="00FA0D37">
              <w:rPr>
                <w:rFonts w:cs="Arial"/>
                <w:lang w:eastAsia="zh-CN"/>
              </w:rPr>
              <w:t>This field is used to provide the allocated IPv4 address.</w:t>
            </w:r>
          </w:p>
        </w:tc>
      </w:tr>
      <w:tr w:rsidR="005C7FF4" w:rsidRPr="00FA0D37" w14:paraId="29C32A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6D96" w14:textId="77777777" w:rsidR="00394471" w:rsidRPr="00FA0D37" w:rsidRDefault="00394471" w:rsidP="00964CC4">
            <w:pPr>
              <w:pStyle w:val="TAL"/>
              <w:rPr>
                <w:rFonts w:cs="Arial"/>
                <w:b/>
                <w:i/>
                <w:szCs w:val="18"/>
                <w:lang w:eastAsia="zh-CN"/>
              </w:rPr>
            </w:pPr>
            <w:r w:rsidRPr="00FA0D37">
              <w:rPr>
                <w:rFonts w:cs="Arial"/>
                <w:b/>
                <w:i/>
                <w:szCs w:val="18"/>
                <w:lang w:eastAsia="zh-CN"/>
              </w:rPr>
              <w:t>iPv6-Address</w:t>
            </w:r>
          </w:p>
          <w:p w14:paraId="19F010DA" w14:textId="77777777" w:rsidR="00394471" w:rsidRPr="00FA0D37" w:rsidRDefault="00394471" w:rsidP="00964CC4">
            <w:pPr>
              <w:pStyle w:val="TAL"/>
              <w:rPr>
                <w:rFonts w:cs="Arial"/>
                <w:b/>
                <w:i/>
                <w:szCs w:val="18"/>
                <w:lang w:eastAsia="zh-CN"/>
              </w:rPr>
            </w:pPr>
            <w:r w:rsidRPr="00FA0D37">
              <w:rPr>
                <w:rFonts w:cs="Arial"/>
                <w:lang w:eastAsia="zh-CN"/>
              </w:rPr>
              <w:t>This field is used to provide the allocated IPv6 address.</w:t>
            </w:r>
          </w:p>
        </w:tc>
      </w:tr>
      <w:tr w:rsidR="00394471" w:rsidRPr="00FA0D37" w14:paraId="6BED59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B95A8" w14:textId="77777777" w:rsidR="00394471" w:rsidRPr="00FA0D37" w:rsidRDefault="00394471" w:rsidP="00964CC4">
            <w:pPr>
              <w:pStyle w:val="TAL"/>
              <w:rPr>
                <w:rFonts w:cs="Arial"/>
                <w:b/>
                <w:i/>
                <w:szCs w:val="18"/>
                <w:lang w:eastAsia="zh-CN"/>
              </w:rPr>
            </w:pPr>
            <w:r w:rsidRPr="00FA0D37">
              <w:rPr>
                <w:rFonts w:cs="Arial"/>
                <w:b/>
                <w:i/>
                <w:szCs w:val="18"/>
                <w:lang w:eastAsia="zh-CN"/>
              </w:rPr>
              <w:t>iPv6-Prefix</w:t>
            </w:r>
          </w:p>
          <w:p w14:paraId="6BE93043" w14:textId="77777777" w:rsidR="00394471" w:rsidRPr="00FA0D37" w:rsidRDefault="00394471" w:rsidP="00964CC4">
            <w:pPr>
              <w:pStyle w:val="TAL"/>
              <w:rPr>
                <w:rFonts w:cs="Arial"/>
                <w:b/>
                <w:i/>
                <w:szCs w:val="18"/>
                <w:lang w:eastAsia="zh-CN"/>
              </w:rPr>
            </w:pPr>
            <w:r w:rsidRPr="00FA0D37">
              <w:rPr>
                <w:rFonts w:cs="Arial"/>
                <w:lang w:eastAsia="zh-CN"/>
              </w:rPr>
              <w:t>This field is used to provide the allocated IPv6 prefix.</w:t>
            </w:r>
          </w:p>
        </w:tc>
      </w:tr>
    </w:tbl>
    <w:p w14:paraId="0B83D1DF" w14:textId="77777777" w:rsidR="00394471" w:rsidRPr="00FA0D37" w:rsidRDefault="00394471" w:rsidP="00394471">
      <w:pPr>
        <w:rPr>
          <w:rFonts w:eastAsia="宋体"/>
          <w:lang w:eastAsia="zh-CN"/>
        </w:rPr>
      </w:pPr>
    </w:p>
    <w:p w14:paraId="5B17117B" w14:textId="481BF6FE" w:rsidR="00394471" w:rsidRPr="00FA0D37" w:rsidRDefault="00394471" w:rsidP="00394471">
      <w:pPr>
        <w:pStyle w:val="4"/>
        <w:rPr>
          <w:rFonts w:eastAsia="宋体"/>
          <w:lang w:eastAsia="zh-CN"/>
        </w:rPr>
      </w:pPr>
      <w:bookmarkStart w:id="1681" w:name="_Toc60777506"/>
      <w:bookmarkStart w:id="1682" w:name="_Toc146781617"/>
      <w:r w:rsidRPr="00FA0D37">
        <w:t>–</w:t>
      </w:r>
      <w:r w:rsidRPr="00FA0D37">
        <w:tab/>
      </w:r>
      <w:r w:rsidRPr="00FA0D37">
        <w:rPr>
          <w:rFonts w:eastAsia="宋体"/>
          <w:i/>
          <w:iCs/>
          <w:lang w:eastAsia="zh-CN"/>
        </w:rPr>
        <w:t>IAB-IP-AddressIndex</w:t>
      </w:r>
      <w:bookmarkEnd w:id="1681"/>
      <w:bookmarkEnd w:id="1682"/>
    </w:p>
    <w:p w14:paraId="1F0681BD" w14:textId="77777777" w:rsidR="00394471" w:rsidRPr="00FA0D37" w:rsidRDefault="00394471" w:rsidP="00394471">
      <w:pPr>
        <w:rPr>
          <w:rFonts w:eastAsia="MS Mincho"/>
        </w:rPr>
      </w:pPr>
      <w:r w:rsidRPr="00FA0D37">
        <w:t xml:space="preserve">The IE </w:t>
      </w:r>
      <w:r w:rsidRPr="00FA0D37">
        <w:rPr>
          <w:rFonts w:eastAsia="宋体"/>
          <w:i/>
          <w:lang w:eastAsia="zh-CN"/>
        </w:rPr>
        <w:t xml:space="preserve">IAB-IP-AddressIndex </w:t>
      </w:r>
      <w:r w:rsidRPr="00FA0D37">
        <w:t>is used to identify a configuration of an IP address.</w:t>
      </w:r>
    </w:p>
    <w:p w14:paraId="57ABF245" w14:textId="77777777" w:rsidR="00394471" w:rsidRPr="00FA0D37" w:rsidRDefault="00394471" w:rsidP="00394471">
      <w:pPr>
        <w:pStyle w:val="TH"/>
      </w:pPr>
      <w:r w:rsidRPr="00FA0D37">
        <w:rPr>
          <w:rFonts w:eastAsia="宋体"/>
          <w:i/>
          <w:iCs/>
          <w:lang w:eastAsia="zh-CN"/>
        </w:rPr>
        <w:t>IAB-IP-AddressIndex</w:t>
      </w:r>
      <w:r w:rsidRPr="00FA0D37">
        <w:t xml:space="preserve"> information element</w:t>
      </w:r>
    </w:p>
    <w:p w14:paraId="7A7A2D42" w14:textId="77777777" w:rsidR="00394471" w:rsidRPr="00FA0D37" w:rsidRDefault="00394471" w:rsidP="00FA0D37">
      <w:pPr>
        <w:pStyle w:val="PL"/>
        <w:rPr>
          <w:color w:val="808080"/>
        </w:rPr>
      </w:pPr>
      <w:r w:rsidRPr="00FA0D37">
        <w:rPr>
          <w:color w:val="808080"/>
        </w:rPr>
        <w:t>-- ASN1START</w:t>
      </w:r>
    </w:p>
    <w:p w14:paraId="3C274845" w14:textId="77777777" w:rsidR="00394471" w:rsidRPr="00FA0D37" w:rsidRDefault="00394471" w:rsidP="00FA0D37">
      <w:pPr>
        <w:pStyle w:val="PL"/>
        <w:rPr>
          <w:color w:val="808080"/>
        </w:rPr>
      </w:pPr>
      <w:r w:rsidRPr="00FA0D37">
        <w:rPr>
          <w:color w:val="808080"/>
        </w:rPr>
        <w:t>-- TAG-IABIPADDRESSINDEX-START</w:t>
      </w:r>
    </w:p>
    <w:p w14:paraId="4A0C4C51" w14:textId="77777777" w:rsidR="00394471" w:rsidRPr="00FA0D37" w:rsidRDefault="00394471" w:rsidP="00FA0D37">
      <w:pPr>
        <w:pStyle w:val="PL"/>
      </w:pPr>
    </w:p>
    <w:p w14:paraId="54D8A3AE" w14:textId="77777777" w:rsidR="00394471" w:rsidRPr="00FA0D37" w:rsidRDefault="00394471" w:rsidP="00FA0D37">
      <w:pPr>
        <w:pStyle w:val="PL"/>
      </w:pPr>
      <w:r w:rsidRPr="00FA0D37">
        <w:t xml:space="preserve">IAB-IP-AddressIndex-r16 ::= </w:t>
      </w:r>
      <w:r w:rsidRPr="00FA0D37">
        <w:rPr>
          <w:color w:val="993366"/>
        </w:rPr>
        <w:t>INTEGER</w:t>
      </w:r>
      <w:r w:rsidRPr="00FA0D37">
        <w:t xml:space="preserve"> (1..maxIAB-IP-Address-r16)</w:t>
      </w:r>
    </w:p>
    <w:p w14:paraId="160C2567" w14:textId="77777777" w:rsidR="00394471" w:rsidRPr="00FA0D37" w:rsidRDefault="00394471" w:rsidP="00FA0D37">
      <w:pPr>
        <w:pStyle w:val="PL"/>
      </w:pPr>
    </w:p>
    <w:p w14:paraId="6B039610" w14:textId="77777777" w:rsidR="00394471" w:rsidRPr="00FA0D37" w:rsidRDefault="00394471" w:rsidP="00FA0D37">
      <w:pPr>
        <w:pStyle w:val="PL"/>
        <w:rPr>
          <w:color w:val="808080"/>
        </w:rPr>
      </w:pPr>
      <w:r w:rsidRPr="00FA0D37">
        <w:rPr>
          <w:color w:val="808080"/>
        </w:rPr>
        <w:t>-- TAG-IABIPADDRESSINDEX-STOP</w:t>
      </w:r>
    </w:p>
    <w:p w14:paraId="03A0E61E" w14:textId="77777777" w:rsidR="00394471" w:rsidRPr="00FA0D37" w:rsidRDefault="00394471" w:rsidP="00FA0D37">
      <w:pPr>
        <w:pStyle w:val="PL"/>
        <w:rPr>
          <w:color w:val="808080"/>
        </w:rPr>
      </w:pPr>
      <w:r w:rsidRPr="00FA0D37">
        <w:rPr>
          <w:color w:val="808080"/>
        </w:rPr>
        <w:t>-- ASN1STOP</w:t>
      </w:r>
    </w:p>
    <w:p w14:paraId="4EA8BB94" w14:textId="77777777" w:rsidR="00394471" w:rsidRPr="00FA0D37" w:rsidRDefault="00394471" w:rsidP="00394471">
      <w:pPr>
        <w:rPr>
          <w:rFonts w:eastAsia="宋体"/>
          <w:lang w:eastAsia="zh-CN"/>
        </w:rPr>
      </w:pPr>
    </w:p>
    <w:p w14:paraId="3A30FCD3" w14:textId="5EB86F25" w:rsidR="00394471" w:rsidRPr="00FA0D37" w:rsidRDefault="00394471" w:rsidP="00394471">
      <w:pPr>
        <w:pStyle w:val="4"/>
        <w:rPr>
          <w:rFonts w:eastAsia="宋体"/>
          <w:lang w:eastAsia="zh-CN"/>
        </w:rPr>
      </w:pPr>
      <w:bookmarkStart w:id="1683" w:name="_Toc60777507"/>
      <w:bookmarkStart w:id="1684" w:name="_Toc146781618"/>
      <w:r w:rsidRPr="00FA0D37">
        <w:lastRenderedPageBreak/>
        <w:t>–</w:t>
      </w:r>
      <w:r w:rsidRPr="00FA0D37">
        <w:tab/>
      </w:r>
      <w:r w:rsidRPr="00FA0D37">
        <w:rPr>
          <w:rFonts w:eastAsia="宋体"/>
          <w:i/>
          <w:iCs/>
          <w:lang w:eastAsia="zh-CN"/>
        </w:rPr>
        <w:t>IAB-IP-Usage</w:t>
      </w:r>
      <w:bookmarkEnd w:id="1683"/>
      <w:bookmarkEnd w:id="1684"/>
    </w:p>
    <w:p w14:paraId="045FFF40" w14:textId="77777777" w:rsidR="00394471" w:rsidRPr="00FA0D37" w:rsidRDefault="00394471" w:rsidP="00394471">
      <w:pPr>
        <w:rPr>
          <w:rFonts w:eastAsia="MS Mincho"/>
        </w:rPr>
      </w:pPr>
      <w:r w:rsidRPr="00FA0D37">
        <w:t xml:space="preserve">The IE </w:t>
      </w:r>
      <w:r w:rsidRPr="00FA0D37">
        <w:rPr>
          <w:rFonts w:eastAsia="宋体"/>
          <w:i/>
          <w:lang w:eastAsia="zh-CN"/>
        </w:rPr>
        <w:t xml:space="preserve">IAB-IP-Usage </w:t>
      </w:r>
      <w:r w:rsidRPr="00FA0D37">
        <w:t xml:space="preserve">is used to indicate the usage of the </w:t>
      </w:r>
      <w:r w:rsidRPr="00FA0D37">
        <w:rPr>
          <w:rFonts w:eastAsia="宋体"/>
          <w:lang w:eastAsia="zh-CN"/>
        </w:rPr>
        <w:t>assigned</w:t>
      </w:r>
      <w:r w:rsidRPr="00FA0D37">
        <w:t xml:space="preserve"> IP address/prefix.</w:t>
      </w:r>
    </w:p>
    <w:p w14:paraId="71CFF07F" w14:textId="77777777" w:rsidR="00394471" w:rsidRPr="00FA0D37" w:rsidRDefault="00394471" w:rsidP="00394471">
      <w:pPr>
        <w:pStyle w:val="TH"/>
      </w:pPr>
      <w:r w:rsidRPr="00FA0D37">
        <w:rPr>
          <w:rFonts w:eastAsia="宋体"/>
          <w:i/>
          <w:iCs/>
          <w:lang w:eastAsia="zh-CN"/>
        </w:rPr>
        <w:t>IAB-IP-Usage</w:t>
      </w:r>
      <w:r w:rsidRPr="00FA0D37">
        <w:t xml:space="preserve"> information element</w:t>
      </w:r>
    </w:p>
    <w:p w14:paraId="514A2575" w14:textId="77777777" w:rsidR="00394471" w:rsidRPr="00FA0D37" w:rsidRDefault="00394471" w:rsidP="00FA0D37">
      <w:pPr>
        <w:pStyle w:val="PL"/>
        <w:rPr>
          <w:color w:val="808080"/>
        </w:rPr>
      </w:pPr>
      <w:r w:rsidRPr="00FA0D37">
        <w:rPr>
          <w:color w:val="808080"/>
        </w:rPr>
        <w:t>-- ASN1START</w:t>
      </w:r>
    </w:p>
    <w:p w14:paraId="248BD3F2" w14:textId="77777777" w:rsidR="00394471" w:rsidRPr="00FA0D37" w:rsidRDefault="00394471" w:rsidP="00FA0D37">
      <w:pPr>
        <w:pStyle w:val="PL"/>
        <w:rPr>
          <w:color w:val="808080"/>
        </w:rPr>
      </w:pPr>
      <w:r w:rsidRPr="00FA0D37">
        <w:rPr>
          <w:color w:val="808080"/>
        </w:rPr>
        <w:t>-- TAG-IAB-IP-USAGE-START</w:t>
      </w:r>
    </w:p>
    <w:p w14:paraId="234EA79C" w14:textId="77777777" w:rsidR="00394471" w:rsidRPr="00FA0D37" w:rsidRDefault="00394471" w:rsidP="00FA0D37">
      <w:pPr>
        <w:pStyle w:val="PL"/>
      </w:pPr>
    </w:p>
    <w:p w14:paraId="1B80C418" w14:textId="7E5582AD" w:rsidR="00394471" w:rsidRPr="00FA0D37" w:rsidRDefault="00394471" w:rsidP="00FA0D37">
      <w:pPr>
        <w:pStyle w:val="PL"/>
      </w:pPr>
      <w:r w:rsidRPr="00FA0D37">
        <w:t xml:space="preserve">IAB-IP-Usage-r16 ::= </w:t>
      </w:r>
      <w:r w:rsidRPr="00FA0D37">
        <w:rPr>
          <w:color w:val="993366"/>
        </w:rPr>
        <w:t>ENUMERATED</w:t>
      </w:r>
      <w:r w:rsidRPr="00FA0D37">
        <w:t xml:space="preserve"> {f1-</w:t>
      </w:r>
      <w:r w:rsidR="00A27DAE" w:rsidRPr="00FA0D37">
        <w:t>C</w:t>
      </w:r>
      <w:r w:rsidRPr="00FA0D37">
        <w:t>, f1-U, non-F1, spare}</w:t>
      </w:r>
    </w:p>
    <w:p w14:paraId="35EF9DF1" w14:textId="77777777" w:rsidR="00394471" w:rsidRPr="00FA0D37" w:rsidRDefault="00394471" w:rsidP="00FA0D37">
      <w:pPr>
        <w:pStyle w:val="PL"/>
      </w:pPr>
    </w:p>
    <w:p w14:paraId="448AFC7E" w14:textId="77777777" w:rsidR="00394471" w:rsidRPr="00FA0D37" w:rsidRDefault="00394471" w:rsidP="00FA0D37">
      <w:pPr>
        <w:pStyle w:val="PL"/>
        <w:rPr>
          <w:color w:val="808080"/>
        </w:rPr>
      </w:pPr>
      <w:r w:rsidRPr="00FA0D37">
        <w:rPr>
          <w:color w:val="808080"/>
        </w:rPr>
        <w:t>-- TAG-IAB-IP-USAGE-STOP</w:t>
      </w:r>
    </w:p>
    <w:p w14:paraId="230554BA" w14:textId="77777777" w:rsidR="00394471" w:rsidRPr="00FA0D37" w:rsidRDefault="00394471" w:rsidP="00FA0D37">
      <w:pPr>
        <w:pStyle w:val="PL"/>
        <w:rPr>
          <w:color w:val="808080"/>
        </w:rPr>
      </w:pPr>
      <w:r w:rsidRPr="00FA0D37">
        <w:rPr>
          <w:color w:val="808080"/>
        </w:rPr>
        <w:t>-- ASN1STOP</w:t>
      </w:r>
    </w:p>
    <w:p w14:paraId="1E902D14" w14:textId="77777777" w:rsidR="00394471" w:rsidRPr="00FA0D37" w:rsidRDefault="00394471" w:rsidP="00394471">
      <w:pPr>
        <w:rPr>
          <w:rFonts w:eastAsiaTheme="minorEastAsia"/>
        </w:rPr>
      </w:pPr>
    </w:p>
    <w:p w14:paraId="1C1E1303" w14:textId="7D928078" w:rsidR="00394471" w:rsidRPr="00FA0D37" w:rsidRDefault="00394471" w:rsidP="00394471">
      <w:pPr>
        <w:pStyle w:val="4"/>
      </w:pPr>
      <w:bookmarkStart w:id="1685" w:name="_Toc60777508"/>
      <w:bookmarkStart w:id="1686" w:name="_Toc146781619"/>
      <w:r w:rsidRPr="00FA0D37">
        <w:t>–</w:t>
      </w:r>
      <w:r w:rsidRPr="00FA0D37">
        <w:tab/>
      </w:r>
      <w:r w:rsidRPr="00FA0D37">
        <w:rPr>
          <w:i/>
        </w:rPr>
        <w:t>LoggingDuration</w:t>
      </w:r>
      <w:bookmarkEnd w:id="1685"/>
      <w:bookmarkEnd w:id="1686"/>
    </w:p>
    <w:p w14:paraId="48CC1D27" w14:textId="77777777" w:rsidR="00394471" w:rsidRPr="00FA0D37" w:rsidRDefault="00394471" w:rsidP="00394471">
      <w:pPr>
        <w:keepNext/>
        <w:keepLines/>
        <w:rPr>
          <w:iCs/>
        </w:rPr>
      </w:pPr>
      <w:r w:rsidRPr="00FA0D37">
        <w:t xml:space="preserve">The </w:t>
      </w:r>
      <w:r w:rsidRPr="00FA0D37">
        <w:rPr>
          <w:i/>
        </w:rPr>
        <w:t>LoggingDuration</w:t>
      </w:r>
      <w:r w:rsidRPr="00FA0D37">
        <w:t xml:space="preserve"> indicates the duration for which UE is requested to perform measurement logging</w:t>
      </w:r>
      <w:r w:rsidRPr="00FA0D37">
        <w:rPr>
          <w:iCs/>
        </w:rPr>
        <w:t>.</w:t>
      </w:r>
      <w:r w:rsidRPr="00FA0D37">
        <w:t xml:space="preserve"> </w:t>
      </w:r>
      <w:r w:rsidRPr="00FA0D37">
        <w:rPr>
          <w:iCs/>
        </w:rPr>
        <w:t>Value min10 corresponds to 10 minutes, value min20 corresponds to 20 minutes and so on.</w:t>
      </w:r>
    </w:p>
    <w:p w14:paraId="59872A72" w14:textId="77777777" w:rsidR="00394471" w:rsidRPr="00FA0D37" w:rsidRDefault="00394471" w:rsidP="00394471">
      <w:pPr>
        <w:pStyle w:val="TH"/>
      </w:pPr>
      <w:r w:rsidRPr="00FA0D37">
        <w:rPr>
          <w:bCs/>
          <w:i/>
          <w:iCs/>
        </w:rPr>
        <w:t xml:space="preserve">LoggingDuration </w:t>
      </w:r>
      <w:r w:rsidRPr="00FA0D37">
        <w:t>information element</w:t>
      </w:r>
    </w:p>
    <w:p w14:paraId="317449FB" w14:textId="77777777" w:rsidR="00394471" w:rsidRPr="00FA0D37" w:rsidRDefault="00394471" w:rsidP="00FA0D37">
      <w:pPr>
        <w:pStyle w:val="PL"/>
        <w:rPr>
          <w:color w:val="808080"/>
        </w:rPr>
      </w:pPr>
      <w:r w:rsidRPr="00FA0D37">
        <w:rPr>
          <w:color w:val="808080"/>
        </w:rPr>
        <w:t>-- ASN1START</w:t>
      </w:r>
    </w:p>
    <w:p w14:paraId="5546F19B" w14:textId="77777777" w:rsidR="00394471" w:rsidRPr="00FA0D37" w:rsidRDefault="00394471" w:rsidP="00FA0D37">
      <w:pPr>
        <w:pStyle w:val="PL"/>
        <w:rPr>
          <w:color w:val="808080"/>
        </w:rPr>
      </w:pPr>
      <w:r w:rsidRPr="00FA0D37">
        <w:rPr>
          <w:color w:val="808080"/>
        </w:rPr>
        <w:t>-- TAG-LOGGINGDURATION-START</w:t>
      </w:r>
    </w:p>
    <w:p w14:paraId="1DAFB5D5" w14:textId="77777777" w:rsidR="00394471" w:rsidRPr="00FA0D37" w:rsidRDefault="00394471" w:rsidP="00FA0D37">
      <w:pPr>
        <w:pStyle w:val="PL"/>
      </w:pPr>
    </w:p>
    <w:p w14:paraId="78DF5CC8" w14:textId="77777777" w:rsidR="00394471" w:rsidRPr="00FA0D37" w:rsidRDefault="00394471" w:rsidP="00FA0D37">
      <w:pPr>
        <w:pStyle w:val="PL"/>
      </w:pPr>
      <w:r w:rsidRPr="00FA0D37">
        <w:t xml:space="preserve">LoggingDuration-r16 ::=   </w:t>
      </w:r>
      <w:r w:rsidRPr="00FA0D37">
        <w:rPr>
          <w:color w:val="993366"/>
        </w:rPr>
        <w:t>ENUMERATED</w:t>
      </w:r>
      <w:r w:rsidRPr="00FA0D37">
        <w:t xml:space="preserve"> {</w:t>
      </w:r>
    </w:p>
    <w:p w14:paraId="2BF74B89" w14:textId="77777777" w:rsidR="00394471" w:rsidRPr="00FA0D37" w:rsidRDefault="00394471" w:rsidP="00FA0D37">
      <w:pPr>
        <w:pStyle w:val="PL"/>
      </w:pPr>
      <w:r w:rsidRPr="00FA0D37">
        <w:t xml:space="preserve">                              min10, min20, min40, min60, min90, min120, spare2, spare1}</w:t>
      </w:r>
    </w:p>
    <w:p w14:paraId="49198961" w14:textId="77777777" w:rsidR="00394471" w:rsidRPr="00FA0D37" w:rsidRDefault="00394471" w:rsidP="00FA0D37">
      <w:pPr>
        <w:pStyle w:val="PL"/>
      </w:pPr>
    </w:p>
    <w:p w14:paraId="73B83A6F" w14:textId="77777777" w:rsidR="00394471" w:rsidRPr="00FA0D37" w:rsidRDefault="00394471" w:rsidP="00FA0D37">
      <w:pPr>
        <w:pStyle w:val="PL"/>
        <w:rPr>
          <w:color w:val="808080"/>
        </w:rPr>
      </w:pPr>
      <w:r w:rsidRPr="00FA0D37">
        <w:rPr>
          <w:color w:val="808080"/>
        </w:rPr>
        <w:t>-- TAG-LOGGINGDURATION-STOP</w:t>
      </w:r>
    </w:p>
    <w:p w14:paraId="7DA69940" w14:textId="77777777" w:rsidR="00394471" w:rsidRPr="00FA0D37" w:rsidRDefault="00394471" w:rsidP="00FA0D37">
      <w:pPr>
        <w:pStyle w:val="PL"/>
        <w:rPr>
          <w:color w:val="808080"/>
        </w:rPr>
      </w:pPr>
      <w:r w:rsidRPr="00FA0D37">
        <w:rPr>
          <w:color w:val="808080"/>
        </w:rPr>
        <w:t>-- ASN1STOP</w:t>
      </w:r>
    </w:p>
    <w:p w14:paraId="7B521FDC" w14:textId="77777777" w:rsidR="00394471" w:rsidRPr="00FA0D37" w:rsidRDefault="00394471" w:rsidP="00394471">
      <w:pPr>
        <w:rPr>
          <w:iCs/>
        </w:rPr>
      </w:pPr>
    </w:p>
    <w:p w14:paraId="189D459E" w14:textId="5D8A39BD" w:rsidR="00394471" w:rsidRPr="00FA0D37" w:rsidRDefault="00394471" w:rsidP="00394471">
      <w:pPr>
        <w:pStyle w:val="4"/>
      </w:pPr>
      <w:bookmarkStart w:id="1687" w:name="_Toc60777509"/>
      <w:bookmarkStart w:id="1688" w:name="_Toc146781620"/>
      <w:r w:rsidRPr="00FA0D37">
        <w:t>–</w:t>
      </w:r>
      <w:r w:rsidRPr="00FA0D37">
        <w:tab/>
      </w:r>
      <w:r w:rsidRPr="00FA0D37">
        <w:rPr>
          <w:i/>
        </w:rPr>
        <w:t>LoggingInterval</w:t>
      </w:r>
      <w:bookmarkEnd w:id="1687"/>
      <w:bookmarkEnd w:id="1688"/>
    </w:p>
    <w:p w14:paraId="64847A44" w14:textId="77777777" w:rsidR="00394471" w:rsidRPr="00FA0D37" w:rsidRDefault="00394471" w:rsidP="00394471">
      <w:pPr>
        <w:keepNext/>
        <w:keepLines/>
        <w:rPr>
          <w:iCs/>
        </w:rPr>
      </w:pPr>
      <w:r w:rsidRPr="00FA0D37">
        <w:t xml:space="preserve">The </w:t>
      </w:r>
      <w:r w:rsidRPr="00FA0D37">
        <w:rPr>
          <w:i/>
        </w:rPr>
        <w:t>LoggingInterval</w:t>
      </w:r>
      <w:r w:rsidRPr="00FA0D37">
        <w:t xml:space="preserve"> indicates the periodicity for logging measurement results</w:t>
      </w:r>
      <w:r w:rsidRPr="00FA0D37">
        <w:rPr>
          <w:iCs/>
        </w:rPr>
        <w:t>.</w:t>
      </w:r>
      <w:r w:rsidRPr="00FA0D37">
        <w:t xml:space="preserve"> </w:t>
      </w:r>
      <w:r w:rsidRPr="00FA0D37">
        <w:rPr>
          <w:iCs/>
        </w:rPr>
        <w:t xml:space="preserve">Value ms1280 corresponds to 1.28s, value ms2560 corresponds to 2.56s and so on. Value infinity means it is equal to the configured value of the </w:t>
      </w:r>
      <w:r w:rsidRPr="00FA0D37">
        <w:rPr>
          <w:i/>
        </w:rPr>
        <w:t>LoggingDuration</w:t>
      </w:r>
      <w:r w:rsidRPr="00FA0D37">
        <w:rPr>
          <w:iCs/>
        </w:rPr>
        <w:t xml:space="preserve"> IE.</w:t>
      </w:r>
    </w:p>
    <w:p w14:paraId="49536190" w14:textId="77777777" w:rsidR="00394471" w:rsidRPr="00FA0D37" w:rsidRDefault="00394471" w:rsidP="00394471">
      <w:pPr>
        <w:pStyle w:val="TH"/>
      </w:pPr>
      <w:r w:rsidRPr="00FA0D37">
        <w:rPr>
          <w:bCs/>
          <w:i/>
          <w:iCs/>
        </w:rPr>
        <w:t xml:space="preserve">LoggingInterval </w:t>
      </w:r>
      <w:r w:rsidRPr="00FA0D37">
        <w:t>information element</w:t>
      </w:r>
    </w:p>
    <w:p w14:paraId="1ED2A981" w14:textId="77777777" w:rsidR="00394471" w:rsidRPr="00FA0D37" w:rsidRDefault="00394471" w:rsidP="00FA0D37">
      <w:pPr>
        <w:pStyle w:val="PL"/>
        <w:rPr>
          <w:color w:val="808080"/>
        </w:rPr>
      </w:pPr>
      <w:r w:rsidRPr="00FA0D37">
        <w:rPr>
          <w:color w:val="808080"/>
        </w:rPr>
        <w:t>-- ASN1START</w:t>
      </w:r>
    </w:p>
    <w:p w14:paraId="12BD8BB0" w14:textId="77777777" w:rsidR="00394471" w:rsidRPr="00FA0D37" w:rsidRDefault="00394471" w:rsidP="00FA0D37">
      <w:pPr>
        <w:pStyle w:val="PL"/>
        <w:rPr>
          <w:color w:val="808080"/>
        </w:rPr>
      </w:pPr>
      <w:r w:rsidRPr="00FA0D37">
        <w:rPr>
          <w:color w:val="808080"/>
        </w:rPr>
        <w:t>-- TAG-LOGGINGINTERVAL-START</w:t>
      </w:r>
    </w:p>
    <w:p w14:paraId="0CA49FE7" w14:textId="77777777" w:rsidR="00394471" w:rsidRPr="00FA0D37" w:rsidRDefault="00394471" w:rsidP="00FA0D37">
      <w:pPr>
        <w:pStyle w:val="PL"/>
      </w:pPr>
    </w:p>
    <w:p w14:paraId="229726E7" w14:textId="77777777" w:rsidR="00394471" w:rsidRPr="00FA0D37" w:rsidRDefault="00394471" w:rsidP="00FA0D37">
      <w:pPr>
        <w:pStyle w:val="PL"/>
      </w:pPr>
      <w:r w:rsidRPr="00FA0D37">
        <w:t xml:space="preserve">LoggingInterval-r16 ::=   </w:t>
      </w:r>
      <w:r w:rsidRPr="00FA0D37">
        <w:rPr>
          <w:color w:val="993366"/>
        </w:rPr>
        <w:t>ENUMERATED</w:t>
      </w:r>
      <w:r w:rsidRPr="00FA0D37">
        <w:t xml:space="preserve"> {</w:t>
      </w:r>
    </w:p>
    <w:p w14:paraId="1BBC386C" w14:textId="77777777" w:rsidR="00394471" w:rsidRPr="00FA0D37" w:rsidRDefault="00394471" w:rsidP="00FA0D37">
      <w:pPr>
        <w:pStyle w:val="PL"/>
      </w:pPr>
      <w:r w:rsidRPr="00FA0D37">
        <w:t xml:space="preserve">                              ms320, ms640, ms1280, ms2560, ms5120, ms10240, ms20480,</w:t>
      </w:r>
    </w:p>
    <w:p w14:paraId="1ECD4C2C" w14:textId="77777777" w:rsidR="00394471" w:rsidRPr="00FA0D37" w:rsidRDefault="00394471" w:rsidP="00FA0D37">
      <w:pPr>
        <w:pStyle w:val="PL"/>
      </w:pPr>
      <w:r w:rsidRPr="00FA0D37">
        <w:t xml:space="preserve">                              ms30720, ms40960, ms61440 , infinity}</w:t>
      </w:r>
    </w:p>
    <w:p w14:paraId="44EFEBA8" w14:textId="77777777" w:rsidR="00394471" w:rsidRPr="00FA0D37" w:rsidRDefault="00394471" w:rsidP="00FA0D37">
      <w:pPr>
        <w:pStyle w:val="PL"/>
      </w:pPr>
    </w:p>
    <w:p w14:paraId="4330644C" w14:textId="77777777" w:rsidR="00394471" w:rsidRPr="00FA0D37" w:rsidRDefault="00394471" w:rsidP="00FA0D37">
      <w:pPr>
        <w:pStyle w:val="PL"/>
        <w:rPr>
          <w:color w:val="808080"/>
        </w:rPr>
      </w:pPr>
      <w:r w:rsidRPr="00FA0D37">
        <w:rPr>
          <w:color w:val="808080"/>
        </w:rPr>
        <w:t>-- TAG-LOGGINGINTERVAL-STOP</w:t>
      </w:r>
    </w:p>
    <w:p w14:paraId="32849067" w14:textId="77777777" w:rsidR="00394471" w:rsidRPr="00FA0D37" w:rsidRDefault="00394471" w:rsidP="00FA0D37">
      <w:pPr>
        <w:pStyle w:val="PL"/>
        <w:rPr>
          <w:color w:val="808080"/>
        </w:rPr>
      </w:pPr>
      <w:r w:rsidRPr="00FA0D37">
        <w:rPr>
          <w:color w:val="808080"/>
        </w:rPr>
        <w:lastRenderedPageBreak/>
        <w:t>-- ASN1STOP</w:t>
      </w:r>
    </w:p>
    <w:p w14:paraId="22A47C43" w14:textId="77777777" w:rsidR="00394471" w:rsidRPr="00FA0D37" w:rsidRDefault="00394471" w:rsidP="00394471">
      <w:pPr>
        <w:rPr>
          <w:rFonts w:eastAsiaTheme="minorEastAsia"/>
        </w:rPr>
      </w:pPr>
    </w:p>
    <w:p w14:paraId="1B3FDCB3" w14:textId="66DA158E" w:rsidR="00394471" w:rsidRPr="00FA0D37" w:rsidRDefault="00394471" w:rsidP="00394471">
      <w:pPr>
        <w:pStyle w:val="4"/>
      </w:pPr>
      <w:bookmarkStart w:id="1689" w:name="_Toc60777510"/>
      <w:bookmarkStart w:id="1690" w:name="_Toc146781621"/>
      <w:r w:rsidRPr="00FA0D37">
        <w:t>–</w:t>
      </w:r>
      <w:r w:rsidRPr="00FA0D37">
        <w:tab/>
      </w:r>
      <w:r w:rsidRPr="00FA0D37">
        <w:rPr>
          <w:i/>
        </w:rPr>
        <w:t>LogMeasResultListBT</w:t>
      </w:r>
      <w:bookmarkEnd w:id="1689"/>
      <w:bookmarkEnd w:id="1690"/>
    </w:p>
    <w:p w14:paraId="7C028801" w14:textId="77777777" w:rsidR="00394471" w:rsidRPr="00FA0D37" w:rsidRDefault="00394471" w:rsidP="00394471">
      <w:r w:rsidRPr="00FA0D37">
        <w:t xml:space="preserve">The IE </w:t>
      </w:r>
      <w:r w:rsidRPr="00FA0D37">
        <w:rPr>
          <w:i/>
          <w:lang w:eastAsia="zh-CN"/>
        </w:rPr>
        <w:t>LogMeasResultListBT</w:t>
      </w:r>
      <w:r w:rsidRPr="00FA0D37">
        <w:rPr>
          <w:iCs/>
        </w:rPr>
        <w:t xml:space="preserve"> covers </w:t>
      </w:r>
      <w:r w:rsidRPr="00FA0D37">
        <w:t>measured results for</w:t>
      </w:r>
      <w:r w:rsidRPr="00FA0D37">
        <w:rPr>
          <w:lang w:eastAsia="zh-CN"/>
        </w:rPr>
        <w:t xml:space="preserve"> Bluetooth</w:t>
      </w:r>
      <w:r w:rsidRPr="00FA0D37">
        <w:t>.</w:t>
      </w:r>
    </w:p>
    <w:p w14:paraId="08288B6C" w14:textId="77777777" w:rsidR="00394471" w:rsidRPr="00FA0D37" w:rsidRDefault="00394471" w:rsidP="00394471">
      <w:pPr>
        <w:pStyle w:val="TH"/>
      </w:pPr>
      <w:r w:rsidRPr="00FA0D37">
        <w:rPr>
          <w:i/>
        </w:rPr>
        <w:t>LogMeasResultListBT</w:t>
      </w:r>
      <w:r w:rsidRPr="00FA0D37">
        <w:rPr>
          <w:bCs/>
          <w:i/>
          <w:iCs/>
        </w:rPr>
        <w:t xml:space="preserve"> </w:t>
      </w:r>
      <w:r w:rsidRPr="00FA0D37">
        <w:t>information element</w:t>
      </w:r>
    </w:p>
    <w:p w14:paraId="167967DB" w14:textId="77777777" w:rsidR="00394471" w:rsidRPr="00FA0D37" w:rsidRDefault="00394471" w:rsidP="00FA0D37">
      <w:pPr>
        <w:pStyle w:val="PL"/>
        <w:rPr>
          <w:color w:val="808080"/>
        </w:rPr>
      </w:pPr>
      <w:r w:rsidRPr="00FA0D37">
        <w:rPr>
          <w:color w:val="808080"/>
        </w:rPr>
        <w:t>-- ASN1START</w:t>
      </w:r>
    </w:p>
    <w:p w14:paraId="4A920A2F" w14:textId="77777777" w:rsidR="00394471" w:rsidRPr="00FA0D37" w:rsidRDefault="00394471" w:rsidP="00FA0D37">
      <w:pPr>
        <w:pStyle w:val="PL"/>
        <w:rPr>
          <w:color w:val="808080"/>
        </w:rPr>
      </w:pPr>
      <w:r w:rsidRPr="00FA0D37">
        <w:rPr>
          <w:color w:val="808080"/>
        </w:rPr>
        <w:t>-- TAG-LOGMEASRESULTLISTBT-START</w:t>
      </w:r>
    </w:p>
    <w:p w14:paraId="5F9D8DCE" w14:textId="77777777" w:rsidR="00394471" w:rsidRPr="00FA0D37" w:rsidRDefault="00394471" w:rsidP="00FA0D37">
      <w:pPr>
        <w:pStyle w:val="PL"/>
      </w:pPr>
    </w:p>
    <w:p w14:paraId="3A5604C8" w14:textId="77777777" w:rsidR="00394471" w:rsidRPr="00FA0D37" w:rsidRDefault="00394471" w:rsidP="00FA0D37">
      <w:pPr>
        <w:pStyle w:val="PL"/>
      </w:pPr>
      <w:r w:rsidRPr="00FA0D37">
        <w:rPr>
          <w:rFonts w:eastAsia="Malgun Gothic"/>
        </w:rPr>
        <w:t xml:space="preserve">LogMeasResultListBT-r16 ::= </w:t>
      </w:r>
      <w:r w:rsidRPr="00FA0D37">
        <w:rPr>
          <w:color w:val="993366"/>
        </w:rPr>
        <w:t>SEQUENCE</w:t>
      </w:r>
      <w:r w:rsidRPr="00FA0D37">
        <w:rPr>
          <w:rFonts w:eastAsia="Malgun Gothic"/>
        </w:rPr>
        <w:t xml:space="preserve"> (</w:t>
      </w:r>
      <w:r w:rsidRPr="00FA0D37">
        <w:rPr>
          <w:color w:val="993366"/>
        </w:rPr>
        <w:t>SIZE</w:t>
      </w:r>
      <w:r w:rsidRPr="00FA0D37">
        <w:rPr>
          <w:rFonts w:eastAsia="Malgun Gothic"/>
        </w:rPr>
        <w:t xml:space="preserve"> (1..maxBT-IdReport-r16))</w:t>
      </w:r>
      <w:r w:rsidRPr="00FA0D37">
        <w:rPr>
          <w:rFonts w:eastAsia="Malgun Gothic"/>
          <w:color w:val="993366"/>
        </w:rPr>
        <w:t xml:space="preserve"> OF</w:t>
      </w:r>
      <w:r w:rsidRPr="00FA0D37">
        <w:rPr>
          <w:rFonts w:eastAsia="Malgun Gothic"/>
        </w:rPr>
        <w:t xml:space="preserve"> LogMeasResultBT-r16</w:t>
      </w:r>
    </w:p>
    <w:p w14:paraId="11024A8B" w14:textId="77777777" w:rsidR="00394471" w:rsidRPr="00FA0D37" w:rsidRDefault="00394471" w:rsidP="00FA0D37">
      <w:pPr>
        <w:pStyle w:val="PL"/>
      </w:pPr>
    </w:p>
    <w:p w14:paraId="1FF280D4" w14:textId="77777777" w:rsidR="00394471" w:rsidRPr="00FA0D37" w:rsidRDefault="00394471" w:rsidP="00FA0D37">
      <w:pPr>
        <w:pStyle w:val="PL"/>
        <w:rPr>
          <w:rFonts w:eastAsia="Malgun Gothic"/>
        </w:rPr>
      </w:pPr>
      <w:r w:rsidRPr="00FA0D37">
        <w:rPr>
          <w:rFonts w:eastAsia="Malgun Gothic"/>
        </w:rPr>
        <w:t xml:space="preserve">LogMeasResultBT-r16 ::= </w:t>
      </w:r>
      <w:r w:rsidRPr="00FA0D37">
        <w:rPr>
          <w:rFonts w:eastAsia="Malgun Gothic"/>
          <w:color w:val="993366"/>
        </w:rPr>
        <w:t>SEQUENCE</w:t>
      </w:r>
      <w:r w:rsidRPr="00FA0D37">
        <w:rPr>
          <w:rFonts w:eastAsia="Malgun Gothic"/>
        </w:rPr>
        <w:t xml:space="preserve"> {</w:t>
      </w:r>
    </w:p>
    <w:p w14:paraId="3544FFAF" w14:textId="77777777" w:rsidR="00394471" w:rsidRPr="00FA0D37" w:rsidRDefault="00394471" w:rsidP="00FA0D37">
      <w:pPr>
        <w:pStyle w:val="PL"/>
        <w:rPr>
          <w:rFonts w:eastAsia="Malgun Gothic"/>
        </w:rPr>
      </w:pPr>
      <w:r w:rsidRPr="00FA0D37">
        <w:t xml:space="preserve">    </w:t>
      </w:r>
      <w:r w:rsidRPr="00FA0D37">
        <w:rPr>
          <w:rFonts w:eastAsia="Malgun Gothic"/>
        </w:rPr>
        <w:t>bt-Addr-r16</w:t>
      </w:r>
      <w:r w:rsidRPr="00FA0D37">
        <w:t xml:space="preserve">             </w:t>
      </w:r>
      <w:r w:rsidRPr="00FA0D37">
        <w:rPr>
          <w:color w:val="993366"/>
        </w:rPr>
        <w:t>BIT</w:t>
      </w:r>
      <w:r w:rsidRPr="00FA0D37">
        <w:t xml:space="preserve"> </w:t>
      </w:r>
      <w:r w:rsidRPr="00FA0D37">
        <w:rPr>
          <w:color w:val="993366"/>
        </w:rPr>
        <w:t>STRING</w:t>
      </w:r>
      <w:r w:rsidRPr="00FA0D37">
        <w:rPr>
          <w:rFonts w:eastAsia="Malgun Gothic"/>
        </w:rPr>
        <w:t xml:space="preserve"> (</w:t>
      </w:r>
      <w:r w:rsidRPr="00FA0D37">
        <w:rPr>
          <w:color w:val="993366"/>
        </w:rPr>
        <w:t>SIZE</w:t>
      </w:r>
      <w:r w:rsidRPr="00FA0D37">
        <w:rPr>
          <w:rFonts w:eastAsia="Malgun Gothic"/>
        </w:rPr>
        <w:t xml:space="preserve"> (48)),</w:t>
      </w:r>
    </w:p>
    <w:p w14:paraId="3311BF08" w14:textId="77777777" w:rsidR="00394471" w:rsidRPr="00FA0D37" w:rsidRDefault="00394471" w:rsidP="00FA0D37">
      <w:pPr>
        <w:pStyle w:val="PL"/>
        <w:rPr>
          <w:rFonts w:eastAsia="Malgun Gothic"/>
        </w:rPr>
      </w:pPr>
      <w:r w:rsidRPr="00FA0D37">
        <w:t xml:space="preserve">    </w:t>
      </w:r>
      <w:r w:rsidRPr="00FA0D37">
        <w:rPr>
          <w:rFonts w:eastAsia="Malgun Gothic"/>
        </w:rPr>
        <w:t>rssi-BT-r16</w:t>
      </w:r>
      <w:r w:rsidRPr="00FA0D37">
        <w:t xml:space="preserve">             </w:t>
      </w:r>
      <w:r w:rsidRPr="00FA0D37">
        <w:rPr>
          <w:color w:val="993366"/>
        </w:rPr>
        <w:t>INTEGER</w:t>
      </w:r>
      <w:r w:rsidRPr="00FA0D37">
        <w:t xml:space="preserve"> </w:t>
      </w:r>
      <w:r w:rsidRPr="00FA0D37">
        <w:rPr>
          <w:rFonts w:eastAsia="Malgun Gothic"/>
        </w:rPr>
        <w:t>(-128..127)</w:t>
      </w:r>
      <w:r w:rsidRPr="00FA0D37">
        <w:t xml:space="preserve">        </w:t>
      </w:r>
      <w:r w:rsidRPr="00FA0D37">
        <w:rPr>
          <w:color w:val="993366"/>
        </w:rPr>
        <w:t>OPTIONAL</w:t>
      </w:r>
      <w:r w:rsidRPr="00FA0D37">
        <w:rPr>
          <w:rFonts w:eastAsia="Malgun Gothic"/>
        </w:rPr>
        <w:t>,</w:t>
      </w:r>
    </w:p>
    <w:p w14:paraId="4ADA634F" w14:textId="77777777" w:rsidR="00394471" w:rsidRPr="00FA0D37" w:rsidRDefault="00394471" w:rsidP="00FA0D37">
      <w:pPr>
        <w:pStyle w:val="PL"/>
        <w:rPr>
          <w:rFonts w:eastAsia="Malgun Gothic"/>
        </w:rPr>
      </w:pPr>
      <w:r w:rsidRPr="00FA0D37">
        <w:t xml:space="preserve">    </w:t>
      </w:r>
      <w:r w:rsidRPr="00FA0D37">
        <w:rPr>
          <w:rFonts w:eastAsia="Malgun Gothic"/>
        </w:rPr>
        <w:t>...</w:t>
      </w:r>
    </w:p>
    <w:p w14:paraId="37209987" w14:textId="77777777" w:rsidR="00394471" w:rsidRPr="00FA0D37" w:rsidRDefault="00394471" w:rsidP="00FA0D37">
      <w:pPr>
        <w:pStyle w:val="PL"/>
      </w:pPr>
      <w:r w:rsidRPr="00FA0D37">
        <w:rPr>
          <w:rFonts w:eastAsia="Malgun Gothic"/>
        </w:rPr>
        <w:t>}</w:t>
      </w:r>
    </w:p>
    <w:p w14:paraId="78AEA2FC" w14:textId="77777777" w:rsidR="00394471" w:rsidRPr="00FA0D37" w:rsidRDefault="00394471" w:rsidP="00FA0D37">
      <w:pPr>
        <w:pStyle w:val="PL"/>
      </w:pPr>
    </w:p>
    <w:p w14:paraId="5EAFA0AB" w14:textId="77777777" w:rsidR="00394471" w:rsidRPr="00FA0D37" w:rsidRDefault="00394471" w:rsidP="00FA0D37">
      <w:pPr>
        <w:pStyle w:val="PL"/>
        <w:rPr>
          <w:color w:val="808080"/>
        </w:rPr>
      </w:pPr>
      <w:r w:rsidRPr="00FA0D37">
        <w:rPr>
          <w:color w:val="808080"/>
        </w:rPr>
        <w:t>-- TAG-LOGMEASRESULTLISTBT-STOP</w:t>
      </w:r>
    </w:p>
    <w:p w14:paraId="12B3BB88" w14:textId="77777777" w:rsidR="00394471" w:rsidRPr="00FA0D37" w:rsidRDefault="00394471" w:rsidP="00FA0D37">
      <w:pPr>
        <w:pStyle w:val="PL"/>
        <w:rPr>
          <w:color w:val="808080"/>
        </w:rPr>
      </w:pPr>
      <w:r w:rsidRPr="00FA0D37">
        <w:rPr>
          <w:color w:val="808080"/>
        </w:rPr>
        <w:t>-- ASN1STOP</w:t>
      </w:r>
    </w:p>
    <w:p w14:paraId="142E0A1B" w14:textId="77777777" w:rsidR="00394471" w:rsidRPr="00FA0D3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3745C83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465C0A" w14:textId="77777777" w:rsidR="00394471" w:rsidRPr="00FA0D37" w:rsidRDefault="00394471" w:rsidP="00964CC4">
            <w:pPr>
              <w:pStyle w:val="TAH"/>
              <w:rPr>
                <w:lang w:eastAsia="en-GB"/>
              </w:rPr>
            </w:pPr>
            <w:r w:rsidRPr="00FA0D37">
              <w:rPr>
                <w:i/>
                <w:lang w:eastAsia="sv-SE"/>
              </w:rPr>
              <w:t>LogMeasResultListBT</w:t>
            </w:r>
            <w:r w:rsidRPr="00FA0D37">
              <w:rPr>
                <w:bCs/>
                <w:i/>
                <w:iCs/>
                <w:lang w:eastAsia="sv-SE"/>
              </w:rPr>
              <w:t xml:space="preserve"> </w:t>
            </w:r>
            <w:r w:rsidRPr="00FA0D37">
              <w:rPr>
                <w:iCs/>
                <w:lang w:eastAsia="en-GB"/>
              </w:rPr>
              <w:t>field descriptions</w:t>
            </w:r>
          </w:p>
        </w:tc>
      </w:tr>
      <w:tr w:rsidR="005C7FF4" w:rsidRPr="00FA0D37" w14:paraId="55933677"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1FDFD9" w14:textId="77777777" w:rsidR="00394471" w:rsidRPr="00FA0D37" w:rsidRDefault="00394471" w:rsidP="00964CC4">
            <w:pPr>
              <w:pStyle w:val="TAL"/>
              <w:rPr>
                <w:b/>
                <w:i/>
                <w:lang w:eastAsia="sv-SE"/>
              </w:rPr>
            </w:pPr>
            <w:r w:rsidRPr="00FA0D37">
              <w:rPr>
                <w:b/>
                <w:i/>
                <w:lang w:eastAsia="sv-SE"/>
              </w:rPr>
              <w:t>bt-Addr</w:t>
            </w:r>
          </w:p>
          <w:p w14:paraId="60DB3BD5" w14:textId="77777777" w:rsidR="00394471" w:rsidRPr="00FA0D37" w:rsidRDefault="00394471" w:rsidP="00964CC4">
            <w:pPr>
              <w:pStyle w:val="TAL"/>
              <w:rPr>
                <w:lang w:eastAsia="sv-SE"/>
              </w:rPr>
            </w:pPr>
            <w:r w:rsidRPr="00FA0D37">
              <w:rPr>
                <w:lang w:eastAsia="sv-SE"/>
              </w:rPr>
              <w:t xml:space="preserve">This field indicates the Bluetooth public address of the Bluetooth beacon </w:t>
            </w:r>
            <w:r w:rsidRPr="00FA0D37">
              <w:rPr>
                <w:lang w:eastAsia="ko-KR"/>
              </w:rPr>
              <w:t>as defined in TS 37.355 [49]</w:t>
            </w:r>
            <w:r w:rsidRPr="00FA0D37">
              <w:rPr>
                <w:lang w:eastAsia="sv-SE"/>
              </w:rPr>
              <w:t>.</w:t>
            </w:r>
          </w:p>
        </w:tc>
      </w:tr>
      <w:tr w:rsidR="00394471" w:rsidRPr="00FA0D37" w14:paraId="0FF266C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9D5624" w14:textId="77777777" w:rsidR="00394471" w:rsidRPr="00FA0D37" w:rsidRDefault="00394471" w:rsidP="00964CC4">
            <w:pPr>
              <w:pStyle w:val="TAL"/>
              <w:rPr>
                <w:b/>
                <w:bCs/>
                <w:i/>
                <w:lang w:eastAsia="sv-SE"/>
              </w:rPr>
            </w:pPr>
            <w:r w:rsidRPr="00FA0D37">
              <w:rPr>
                <w:b/>
                <w:i/>
                <w:lang w:eastAsia="sv-SE"/>
              </w:rPr>
              <w:t>rssi-BT</w:t>
            </w:r>
          </w:p>
          <w:p w14:paraId="2DFE4D90" w14:textId="77777777" w:rsidR="00394471" w:rsidRPr="00FA0D37" w:rsidRDefault="00394471" w:rsidP="00964CC4">
            <w:pPr>
              <w:pStyle w:val="TAL"/>
              <w:rPr>
                <w:lang w:eastAsia="sv-SE"/>
              </w:rPr>
            </w:pPr>
            <w:r w:rsidRPr="00FA0D37">
              <w:rPr>
                <w:lang w:eastAsia="sv-SE"/>
              </w:rPr>
              <w:t>This field provides the beacon received signal strength indicator (RSSI) in dBm as defined in TS 37.355 [49].</w:t>
            </w:r>
          </w:p>
        </w:tc>
      </w:tr>
    </w:tbl>
    <w:p w14:paraId="615DB57C" w14:textId="77777777" w:rsidR="00394471" w:rsidRPr="00FA0D37" w:rsidRDefault="00394471" w:rsidP="00394471">
      <w:pPr>
        <w:rPr>
          <w:lang w:eastAsia="zh-CN"/>
        </w:rPr>
      </w:pPr>
    </w:p>
    <w:p w14:paraId="6308440A" w14:textId="430E4C64" w:rsidR="00394471" w:rsidRPr="00FA0D37" w:rsidRDefault="00394471" w:rsidP="00394471">
      <w:pPr>
        <w:pStyle w:val="4"/>
      </w:pPr>
      <w:bookmarkStart w:id="1691" w:name="_Toc60777511"/>
      <w:bookmarkStart w:id="1692" w:name="_Toc146781622"/>
      <w:r w:rsidRPr="00FA0D37">
        <w:t>–</w:t>
      </w:r>
      <w:r w:rsidRPr="00FA0D37">
        <w:tab/>
      </w:r>
      <w:r w:rsidRPr="00FA0D37">
        <w:rPr>
          <w:i/>
        </w:rPr>
        <w:t>LogMeasResultListWLAN</w:t>
      </w:r>
      <w:bookmarkEnd w:id="1691"/>
      <w:bookmarkEnd w:id="1692"/>
    </w:p>
    <w:p w14:paraId="4F272659" w14:textId="77777777" w:rsidR="00394471" w:rsidRPr="00FA0D37" w:rsidRDefault="00394471" w:rsidP="00394471">
      <w:r w:rsidRPr="00FA0D37">
        <w:t xml:space="preserve">The IE </w:t>
      </w:r>
      <w:r w:rsidRPr="00FA0D37">
        <w:rPr>
          <w:i/>
          <w:lang w:eastAsia="zh-CN"/>
        </w:rPr>
        <w:t>LogMeasResultListWLAN</w:t>
      </w:r>
      <w:r w:rsidRPr="00FA0D37">
        <w:rPr>
          <w:iCs/>
        </w:rPr>
        <w:t xml:space="preserve"> covers </w:t>
      </w:r>
      <w:r w:rsidRPr="00FA0D37">
        <w:t>measured results for</w:t>
      </w:r>
      <w:r w:rsidRPr="00FA0D37">
        <w:rPr>
          <w:lang w:eastAsia="zh-CN"/>
        </w:rPr>
        <w:t xml:space="preserve"> WLAN</w:t>
      </w:r>
      <w:r w:rsidRPr="00FA0D37">
        <w:t>.</w:t>
      </w:r>
    </w:p>
    <w:p w14:paraId="2BF701B2" w14:textId="77777777" w:rsidR="00394471" w:rsidRPr="00FA0D37" w:rsidRDefault="00394471" w:rsidP="00394471">
      <w:pPr>
        <w:pStyle w:val="TH"/>
      </w:pPr>
      <w:r w:rsidRPr="00FA0D37">
        <w:rPr>
          <w:i/>
        </w:rPr>
        <w:t>LogMeasResultListWLAN</w:t>
      </w:r>
      <w:r w:rsidRPr="00FA0D37">
        <w:rPr>
          <w:bCs/>
          <w:i/>
          <w:iCs/>
        </w:rPr>
        <w:t xml:space="preserve"> </w:t>
      </w:r>
      <w:r w:rsidRPr="00FA0D37">
        <w:t>information element</w:t>
      </w:r>
    </w:p>
    <w:p w14:paraId="3E08C994" w14:textId="77777777" w:rsidR="00394471" w:rsidRPr="00FA0D37" w:rsidRDefault="00394471" w:rsidP="00FA0D37">
      <w:pPr>
        <w:pStyle w:val="PL"/>
        <w:rPr>
          <w:color w:val="808080"/>
        </w:rPr>
      </w:pPr>
      <w:r w:rsidRPr="00FA0D37">
        <w:rPr>
          <w:color w:val="808080"/>
        </w:rPr>
        <w:t>-- ASN1START</w:t>
      </w:r>
    </w:p>
    <w:p w14:paraId="722A0A47" w14:textId="77777777" w:rsidR="00394471" w:rsidRPr="00FA0D37" w:rsidRDefault="00394471" w:rsidP="00FA0D37">
      <w:pPr>
        <w:pStyle w:val="PL"/>
        <w:rPr>
          <w:color w:val="808080"/>
        </w:rPr>
      </w:pPr>
      <w:r w:rsidRPr="00FA0D37">
        <w:rPr>
          <w:color w:val="808080"/>
        </w:rPr>
        <w:t>-- TAG-LOGMEASRESULTLISTWLAN-START</w:t>
      </w:r>
    </w:p>
    <w:p w14:paraId="51D94BFD" w14:textId="77777777" w:rsidR="00394471" w:rsidRPr="00FA0D37" w:rsidRDefault="00394471" w:rsidP="00FA0D37">
      <w:pPr>
        <w:pStyle w:val="PL"/>
      </w:pPr>
    </w:p>
    <w:p w14:paraId="18450F0A" w14:textId="77777777" w:rsidR="00394471" w:rsidRPr="00FA0D37" w:rsidRDefault="00394471" w:rsidP="00FA0D37">
      <w:pPr>
        <w:pStyle w:val="PL"/>
        <w:rPr>
          <w:rFonts w:eastAsia="Malgun Gothic"/>
        </w:rPr>
      </w:pPr>
      <w:r w:rsidRPr="00FA0D37">
        <w:rPr>
          <w:rFonts w:eastAsia="Malgun Gothic"/>
        </w:rPr>
        <w:t>LogMeasResultListWLAN-r16 ::=</w:t>
      </w:r>
      <w:r w:rsidRPr="00FA0D37">
        <w:t xml:space="preserve">    </w:t>
      </w:r>
      <w:r w:rsidRPr="00FA0D37">
        <w:rPr>
          <w:color w:val="993366"/>
        </w:rPr>
        <w:t>SEQUENCE</w:t>
      </w:r>
      <w:r w:rsidRPr="00FA0D37">
        <w:rPr>
          <w:rFonts w:eastAsia="Malgun Gothic"/>
        </w:rPr>
        <w:t xml:space="preserve"> (</w:t>
      </w:r>
      <w:r w:rsidRPr="00FA0D37">
        <w:rPr>
          <w:color w:val="993366"/>
        </w:rPr>
        <w:t>SIZE</w:t>
      </w:r>
      <w:r w:rsidRPr="00FA0D37">
        <w:rPr>
          <w:rFonts w:eastAsia="Malgun Gothic"/>
        </w:rPr>
        <w:t xml:space="preserve"> (1..maxWLAN-Id-Report-r16))</w:t>
      </w:r>
      <w:r w:rsidRPr="00FA0D37">
        <w:rPr>
          <w:rFonts w:eastAsia="Malgun Gothic"/>
          <w:color w:val="993366"/>
        </w:rPr>
        <w:t xml:space="preserve"> OF</w:t>
      </w:r>
      <w:r w:rsidRPr="00FA0D37">
        <w:rPr>
          <w:rFonts w:eastAsia="Malgun Gothic"/>
        </w:rPr>
        <w:t xml:space="preserve"> LogMeasResultWLAN-r16</w:t>
      </w:r>
    </w:p>
    <w:p w14:paraId="2C5EBC37" w14:textId="77777777" w:rsidR="00394471" w:rsidRPr="00FA0D37" w:rsidRDefault="00394471" w:rsidP="00FA0D37">
      <w:pPr>
        <w:pStyle w:val="PL"/>
        <w:rPr>
          <w:rFonts w:eastAsia="Malgun Gothic"/>
        </w:rPr>
      </w:pPr>
    </w:p>
    <w:p w14:paraId="49674BB1" w14:textId="77777777" w:rsidR="00394471" w:rsidRPr="00FA0D37" w:rsidRDefault="00394471" w:rsidP="00FA0D37">
      <w:pPr>
        <w:pStyle w:val="PL"/>
        <w:rPr>
          <w:rFonts w:eastAsia="Malgun Gothic"/>
        </w:rPr>
      </w:pPr>
      <w:r w:rsidRPr="00FA0D37">
        <w:rPr>
          <w:rFonts w:eastAsia="Malgun Gothic"/>
        </w:rPr>
        <w:t>LogMeasResultWLAN-r16 ::=</w:t>
      </w:r>
      <w:r w:rsidRPr="00FA0D37">
        <w:t xml:space="preserve">        </w:t>
      </w:r>
      <w:r w:rsidRPr="00FA0D37">
        <w:rPr>
          <w:color w:val="993366"/>
        </w:rPr>
        <w:t>SEQUENCE</w:t>
      </w:r>
      <w:r w:rsidRPr="00FA0D37">
        <w:rPr>
          <w:rFonts w:eastAsia="Malgun Gothic"/>
        </w:rPr>
        <w:t xml:space="preserve"> {</w:t>
      </w:r>
    </w:p>
    <w:p w14:paraId="1ACFAA9B" w14:textId="77777777" w:rsidR="00394471" w:rsidRPr="00FA0D37" w:rsidRDefault="00394471" w:rsidP="00FA0D37">
      <w:pPr>
        <w:pStyle w:val="PL"/>
        <w:rPr>
          <w:rFonts w:eastAsia="Malgun Gothic"/>
        </w:rPr>
      </w:pPr>
      <w:r w:rsidRPr="00FA0D37">
        <w:t xml:space="preserve">    </w:t>
      </w:r>
      <w:r w:rsidRPr="00FA0D37">
        <w:rPr>
          <w:rFonts w:eastAsia="Malgun Gothic"/>
        </w:rPr>
        <w:t>wlan-Identifiers-r16</w:t>
      </w:r>
      <w:r w:rsidRPr="00FA0D37">
        <w:t xml:space="preserve">             </w:t>
      </w:r>
      <w:r w:rsidRPr="00FA0D37">
        <w:rPr>
          <w:rFonts w:eastAsia="Malgun Gothic"/>
        </w:rPr>
        <w:t>WLAN-Identifiers-r16,</w:t>
      </w:r>
    </w:p>
    <w:p w14:paraId="2BD0C5F7" w14:textId="77777777" w:rsidR="00394471" w:rsidRPr="00FA0D37" w:rsidRDefault="00394471" w:rsidP="00FA0D37">
      <w:pPr>
        <w:pStyle w:val="PL"/>
        <w:rPr>
          <w:rFonts w:eastAsia="Malgun Gothic"/>
        </w:rPr>
      </w:pPr>
      <w:r w:rsidRPr="00FA0D37">
        <w:t xml:space="preserve">    </w:t>
      </w:r>
      <w:r w:rsidRPr="00FA0D37">
        <w:rPr>
          <w:rFonts w:eastAsia="Malgun Gothic"/>
        </w:rPr>
        <w:t>rssiWLAN-r16</w:t>
      </w:r>
      <w:r w:rsidRPr="00FA0D37">
        <w:t xml:space="preserve">                     </w:t>
      </w:r>
      <w:r w:rsidRPr="00FA0D37">
        <w:rPr>
          <w:rFonts w:eastAsia="Malgun Gothic"/>
        </w:rPr>
        <w:t>WLAN-RSSI-Range-r16</w:t>
      </w:r>
      <w:r w:rsidRPr="00FA0D37">
        <w:t xml:space="preserve">          </w:t>
      </w:r>
      <w:r w:rsidRPr="00FA0D37">
        <w:rPr>
          <w:color w:val="993366"/>
        </w:rPr>
        <w:t>OPTIONAL</w:t>
      </w:r>
      <w:r w:rsidRPr="00FA0D37">
        <w:rPr>
          <w:rFonts w:eastAsia="Malgun Gothic"/>
        </w:rPr>
        <w:t>,</w:t>
      </w:r>
    </w:p>
    <w:p w14:paraId="03475D6A" w14:textId="77777777" w:rsidR="00394471" w:rsidRPr="00FA0D37" w:rsidRDefault="00394471" w:rsidP="00FA0D37">
      <w:pPr>
        <w:pStyle w:val="PL"/>
        <w:rPr>
          <w:rFonts w:eastAsia="Malgun Gothic"/>
        </w:rPr>
      </w:pPr>
      <w:r w:rsidRPr="00FA0D37">
        <w:t xml:space="preserve">    </w:t>
      </w:r>
      <w:r w:rsidRPr="00FA0D37">
        <w:rPr>
          <w:rFonts w:eastAsia="Malgun Gothic"/>
        </w:rPr>
        <w:t>rtt-WLAN-r16</w:t>
      </w:r>
      <w:r w:rsidRPr="00FA0D37">
        <w:t xml:space="preserve">                     </w:t>
      </w:r>
      <w:r w:rsidRPr="00FA0D37">
        <w:rPr>
          <w:rFonts w:eastAsia="Malgun Gothic"/>
        </w:rPr>
        <w:t>WLAN-RTT-r16</w:t>
      </w:r>
      <w:r w:rsidRPr="00FA0D37">
        <w:t xml:space="preserve">                 </w:t>
      </w:r>
      <w:r w:rsidRPr="00FA0D37">
        <w:rPr>
          <w:color w:val="993366"/>
        </w:rPr>
        <w:t>OPTIONAL</w:t>
      </w:r>
      <w:r w:rsidRPr="00FA0D37">
        <w:rPr>
          <w:rFonts w:eastAsia="Malgun Gothic"/>
        </w:rPr>
        <w:t>,</w:t>
      </w:r>
    </w:p>
    <w:p w14:paraId="63D76653" w14:textId="77777777" w:rsidR="00394471" w:rsidRPr="00FA0D37" w:rsidRDefault="00394471" w:rsidP="00FA0D37">
      <w:pPr>
        <w:pStyle w:val="PL"/>
        <w:rPr>
          <w:rFonts w:eastAsia="Malgun Gothic"/>
        </w:rPr>
      </w:pPr>
      <w:r w:rsidRPr="00FA0D37">
        <w:t xml:space="preserve">    </w:t>
      </w:r>
      <w:r w:rsidRPr="00FA0D37">
        <w:rPr>
          <w:rFonts w:eastAsia="Malgun Gothic"/>
        </w:rPr>
        <w:t>...</w:t>
      </w:r>
    </w:p>
    <w:p w14:paraId="597D6E8C" w14:textId="77777777" w:rsidR="00394471" w:rsidRPr="00FA0D37" w:rsidRDefault="00394471" w:rsidP="00FA0D37">
      <w:pPr>
        <w:pStyle w:val="PL"/>
        <w:rPr>
          <w:rFonts w:eastAsia="Malgun Gothic"/>
        </w:rPr>
      </w:pPr>
      <w:r w:rsidRPr="00FA0D37">
        <w:rPr>
          <w:rFonts w:eastAsia="Malgun Gothic"/>
        </w:rPr>
        <w:lastRenderedPageBreak/>
        <w:t>}</w:t>
      </w:r>
    </w:p>
    <w:p w14:paraId="3C06CD06" w14:textId="77777777" w:rsidR="00394471" w:rsidRPr="00FA0D37" w:rsidRDefault="00394471" w:rsidP="00FA0D37">
      <w:pPr>
        <w:pStyle w:val="PL"/>
        <w:rPr>
          <w:rFonts w:eastAsia="Malgun Gothic"/>
        </w:rPr>
      </w:pPr>
    </w:p>
    <w:p w14:paraId="6BF422B0" w14:textId="77777777" w:rsidR="00394471" w:rsidRPr="00FA0D37" w:rsidRDefault="00394471" w:rsidP="00FA0D37">
      <w:pPr>
        <w:pStyle w:val="PL"/>
        <w:rPr>
          <w:rFonts w:eastAsia="Malgun Gothic"/>
        </w:rPr>
      </w:pPr>
      <w:r w:rsidRPr="00FA0D37">
        <w:t xml:space="preserve">WLAN-Identifiers-r16 ::=         </w:t>
      </w:r>
      <w:r w:rsidRPr="00FA0D37">
        <w:rPr>
          <w:color w:val="993366"/>
        </w:rPr>
        <w:t>SEQUENCE</w:t>
      </w:r>
      <w:r w:rsidRPr="00FA0D37">
        <w:rPr>
          <w:rFonts w:eastAsia="Malgun Gothic"/>
        </w:rPr>
        <w:t xml:space="preserve"> {</w:t>
      </w:r>
    </w:p>
    <w:p w14:paraId="0FE3AD08" w14:textId="77777777" w:rsidR="00394471" w:rsidRPr="00FA0D37" w:rsidRDefault="00394471" w:rsidP="00FA0D37">
      <w:pPr>
        <w:pStyle w:val="PL"/>
      </w:pPr>
      <w:r w:rsidRPr="00FA0D37">
        <w:t xml:space="preserve">    </w:t>
      </w:r>
      <w:r w:rsidRPr="00FA0D37">
        <w:rPr>
          <w:rFonts w:eastAsia="Malgun Gothic"/>
        </w:rPr>
        <w:t>ssid-r16</w:t>
      </w:r>
      <w:r w:rsidRPr="00FA0D37">
        <w:t xml:space="preserve">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(1..32))  </w:t>
      </w:r>
      <w:r w:rsidRPr="00FA0D37">
        <w:rPr>
          <w:color w:val="993366"/>
        </w:rPr>
        <w:t>OPTIONAL</w:t>
      </w:r>
      <w:r w:rsidRPr="00FA0D37">
        <w:t>,</w:t>
      </w:r>
    </w:p>
    <w:p w14:paraId="2C71BF62" w14:textId="77777777" w:rsidR="00394471" w:rsidRPr="00FA0D37" w:rsidRDefault="00394471" w:rsidP="00FA0D37">
      <w:pPr>
        <w:pStyle w:val="PL"/>
      </w:pPr>
      <w:r w:rsidRPr="00FA0D37">
        <w:t xml:space="preserve">    </w:t>
      </w:r>
      <w:r w:rsidRPr="00FA0D37">
        <w:rPr>
          <w:rFonts w:eastAsia="Malgun Gothic"/>
        </w:rPr>
        <w:t>bssid-r16</w:t>
      </w:r>
      <w:r w:rsidRPr="00FA0D37">
        <w:t xml:space="preserve">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(6))      </w:t>
      </w:r>
      <w:r w:rsidRPr="00FA0D37">
        <w:rPr>
          <w:color w:val="993366"/>
        </w:rPr>
        <w:t>OPTIONAL</w:t>
      </w:r>
      <w:r w:rsidRPr="00FA0D37">
        <w:t>,</w:t>
      </w:r>
    </w:p>
    <w:p w14:paraId="22C7E447" w14:textId="77777777" w:rsidR="00394471" w:rsidRPr="00FA0D37" w:rsidRDefault="00394471" w:rsidP="00FA0D37">
      <w:pPr>
        <w:pStyle w:val="PL"/>
      </w:pPr>
      <w:r w:rsidRPr="00FA0D37">
        <w:t xml:space="preserve">    </w:t>
      </w:r>
      <w:r w:rsidRPr="00FA0D37">
        <w:rPr>
          <w:rFonts w:eastAsia="Malgun Gothic"/>
        </w:rPr>
        <w:t>hessid-r16</w:t>
      </w:r>
      <w:r w:rsidRPr="00FA0D37">
        <w:t xml:space="preserve">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(6))      </w:t>
      </w:r>
      <w:r w:rsidRPr="00FA0D37">
        <w:rPr>
          <w:color w:val="993366"/>
        </w:rPr>
        <w:t>OPTIONAL</w:t>
      </w:r>
      <w:r w:rsidRPr="00FA0D37">
        <w:t>,</w:t>
      </w:r>
    </w:p>
    <w:p w14:paraId="698D2AD1" w14:textId="77777777" w:rsidR="00394471" w:rsidRPr="00FA0D37" w:rsidRDefault="00394471" w:rsidP="00FA0D37">
      <w:pPr>
        <w:pStyle w:val="PL"/>
        <w:rPr>
          <w:rFonts w:eastAsia="Malgun Gothic"/>
        </w:rPr>
      </w:pPr>
      <w:r w:rsidRPr="00FA0D37">
        <w:t xml:space="preserve">    ...</w:t>
      </w:r>
    </w:p>
    <w:p w14:paraId="67B08883" w14:textId="77777777" w:rsidR="00394471" w:rsidRPr="00FA0D37" w:rsidRDefault="00394471" w:rsidP="00FA0D37">
      <w:pPr>
        <w:pStyle w:val="PL"/>
      </w:pPr>
      <w:r w:rsidRPr="00FA0D37">
        <w:t>}</w:t>
      </w:r>
    </w:p>
    <w:p w14:paraId="7A71FBB4" w14:textId="77777777" w:rsidR="00394471" w:rsidRPr="00FA0D37" w:rsidRDefault="00394471" w:rsidP="00FA0D37">
      <w:pPr>
        <w:pStyle w:val="PL"/>
        <w:rPr>
          <w:rFonts w:eastAsia="Malgun Gothic"/>
        </w:rPr>
      </w:pPr>
    </w:p>
    <w:p w14:paraId="01D21ABC" w14:textId="77777777" w:rsidR="00394471" w:rsidRPr="00FA0D37" w:rsidRDefault="00394471" w:rsidP="00FA0D37">
      <w:pPr>
        <w:pStyle w:val="PL"/>
      </w:pPr>
      <w:r w:rsidRPr="00FA0D37">
        <w:t xml:space="preserve">WLAN-RSSI-Range-r16 ::= </w:t>
      </w:r>
      <w:r w:rsidRPr="00FA0D37">
        <w:rPr>
          <w:color w:val="993366"/>
        </w:rPr>
        <w:t>INTEGER</w:t>
      </w:r>
      <w:r w:rsidRPr="00FA0D37">
        <w:t>(0..141)</w:t>
      </w:r>
    </w:p>
    <w:p w14:paraId="745858F6" w14:textId="77777777" w:rsidR="00394471" w:rsidRPr="00FA0D37" w:rsidRDefault="00394471" w:rsidP="00FA0D37">
      <w:pPr>
        <w:pStyle w:val="PL"/>
      </w:pPr>
    </w:p>
    <w:p w14:paraId="7C59DE2F" w14:textId="77777777" w:rsidR="00394471" w:rsidRPr="00FA0D37" w:rsidRDefault="00394471" w:rsidP="00FA0D37">
      <w:pPr>
        <w:pStyle w:val="PL"/>
        <w:rPr>
          <w:rFonts w:eastAsia="Malgun Gothic"/>
        </w:rPr>
      </w:pPr>
      <w:r w:rsidRPr="00FA0D37">
        <w:rPr>
          <w:rFonts w:eastAsia="Malgun Gothic"/>
        </w:rPr>
        <w:t>WLAN-RTT-r16 ::=</w:t>
      </w:r>
      <w:r w:rsidRPr="00FA0D37">
        <w:t xml:space="preserve">                 </w:t>
      </w:r>
      <w:r w:rsidRPr="00FA0D37">
        <w:rPr>
          <w:color w:val="993366"/>
        </w:rPr>
        <w:t>SEQUENCE</w:t>
      </w:r>
      <w:r w:rsidRPr="00FA0D37">
        <w:rPr>
          <w:rFonts w:eastAsia="Malgun Gothic"/>
        </w:rPr>
        <w:t xml:space="preserve"> {</w:t>
      </w:r>
    </w:p>
    <w:p w14:paraId="1EADBBEB" w14:textId="77777777" w:rsidR="00394471" w:rsidRPr="00FA0D37" w:rsidRDefault="00394471" w:rsidP="00FA0D37">
      <w:pPr>
        <w:pStyle w:val="PL"/>
        <w:rPr>
          <w:rFonts w:eastAsia="Malgun Gothic"/>
        </w:rPr>
      </w:pPr>
      <w:r w:rsidRPr="00FA0D37">
        <w:t xml:space="preserve">    </w:t>
      </w:r>
      <w:r w:rsidRPr="00FA0D37">
        <w:rPr>
          <w:rFonts w:eastAsia="Malgun Gothic"/>
        </w:rPr>
        <w:t>rttValue-r16</w:t>
      </w:r>
      <w:r w:rsidRPr="00FA0D37">
        <w:t xml:space="preserve">                     </w:t>
      </w:r>
      <w:r w:rsidRPr="00FA0D37">
        <w:rPr>
          <w:color w:val="993366"/>
        </w:rPr>
        <w:t>INTEGER</w:t>
      </w:r>
      <w:r w:rsidRPr="00FA0D37">
        <w:rPr>
          <w:rFonts w:eastAsia="Malgun Gothic"/>
        </w:rPr>
        <w:t xml:space="preserve"> (0..16777215),</w:t>
      </w:r>
    </w:p>
    <w:p w14:paraId="0A0EF02E" w14:textId="77777777" w:rsidR="00394471" w:rsidRPr="00FA0D37" w:rsidRDefault="00394471" w:rsidP="00FA0D37">
      <w:pPr>
        <w:pStyle w:val="PL"/>
        <w:rPr>
          <w:rFonts w:eastAsia="Malgun Gothic"/>
        </w:rPr>
      </w:pPr>
      <w:r w:rsidRPr="00FA0D37">
        <w:t xml:space="preserve">    </w:t>
      </w:r>
      <w:r w:rsidRPr="00FA0D37">
        <w:rPr>
          <w:rFonts w:eastAsia="Malgun Gothic"/>
        </w:rPr>
        <w:t>rttUnits-r16</w:t>
      </w:r>
      <w:r w:rsidRPr="00FA0D37">
        <w:t xml:space="preserve">                     </w:t>
      </w:r>
      <w:r w:rsidRPr="00FA0D37">
        <w:rPr>
          <w:color w:val="993366"/>
        </w:rPr>
        <w:t>ENUMERATED</w:t>
      </w:r>
      <w:r w:rsidRPr="00FA0D37">
        <w:rPr>
          <w:rFonts w:eastAsia="Malgun Gothic"/>
        </w:rPr>
        <w:t xml:space="preserve"> {</w:t>
      </w:r>
    </w:p>
    <w:p w14:paraId="7A20C4F6" w14:textId="77777777" w:rsidR="00394471" w:rsidRPr="00FA0D37" w:rsidRDefault="00394471" w:rsidP="00FA0D37">
      <w:pPr>
        <w:pStyle w:val="PL"/>
        <w:rPr>
          <w:rFonts w:eastAsia="Malgun Gothic"/>
        </w:rPr>
      </w:pPr>
      <w:r w:rsidRPr="00FA0D37">
        <w:t xml:space="preserve">                                         </w:t>
      </w:r>
      <w:r w:rsidRPr="00FA0D37">
        <w:rPr>
          <w:rFonts w:eastAsia="Malgun Gothic"/>
        </w:rPr>
        <w:t>microseconds,</w:t>
      </w:r>
    </w:p>
    <w:p w14:paraId="563110AB" w14:textId="77777777" w:rsidR="00394471" w:rsidRPr="00FA0D37" w:rsidRDefault="00394471" w:rsidP="00FA0D37">
      <w:pPr>
        <w:pStyle w:val="PL"/>
        <w:rPr>
          <w:rFonts w:eastAsia="Malgun Gothic"/>
        </w:rPr>
      </w:pPr>
      <w:r w:rsidRPr="00FA0D37">
        <w:t xml:space="preserve">                                         </w:t>
      </w:r>
      <w:r w:rsidRPr="00FA0D37">
        <w:rPr>
          <w:rFonts w:eastAsia="Malgun Gothic"/>
        </w:rPr>
        <w:t>hundredsofnanoseconds,</w:t>
      </w:r>
    </w:p>
    <w:p w14:paraId="33596157" w14:textId="77777777" w:rsidR="00394471" w:rsidRPr="00FA0D37" w:rsidRDefault="00394471" w:rsidP="00FA0D37">
      <w:pPr>
        <w:pStyle w:val="PL"/>
        <w:rPr>
          <w:rFonts w:eastAsia="Malgun Gothic"/>
        </w:rPr>
      </w:pPr>
      <w:r w:rsidRPr="00FA0D37">
        <w:t xml:space="preserve">                                         </w:t>
      </w:r>
      <w:r w:rsidRPr="00FA0D37">
        <w:rPr>
          <w:rFonts w:eastAsia="Malgun Gothic"/>
        </w:rPr>
        <w:t>tensofnanoseconds,</w:t>
      </w:r>
    </w:p>
    <w:p w14:paraId="06F80BB1" w14:textId="77777777" w:rsidR="00394471" w:rsidRPr="00FA0D37" w:rsidRDefault="00394471" w:rsidP="00FA0D37">
      <w:pPr>
        <w:pStyle w:val="PL"/>
        <w:rPr>
          <w:rFonts w:eastAsia="Malgun Gothic"/>
        </w:rPr>
      </w:pPr>
      <w:r w:rsidRPr="00FA0D37">
        <w:t xml:space="preserve">                                         </w:t>
      </w:r>
      <w:r w:rsidRPr="00FA0D37">
        <w:rPr>
          <w:rFonts w:eastAsia="Malgun Gothic"/>
        </w:rPr>
        <w:t>nanoseconds,</w:t>
      </w:r>
    </w:p>
    <w:p w14:paraId="74E54AE8" w14:textId="77777777" w:rsidR="00394471" w:rsidRPr="00FA0D37" w:rsidRDefault="00394471" w:rsidP="00FA0D37">
      <w:pPr>
        <w:pStyle w:val="PL"/>
        <w:rPr>
          <w:rFonts w:eastAsia="Malgun Gothic"/>
        </w:rPr>
      </w:pPr>
      <w:r w:rsidRPr="00FA0D37">
        <w:t xml:space="preserve">                                         </w:t>
      </w:r>
      <w:r w:rsidRPr="00FA0D37">
        <w:rPr>
          <w:rFonts w:eastAsia="Malgun Gothic"/>
        </w:rPr>
        <w:t>tenthsofnanoseconds,</w:t>
      </w:r>
    </w:p>
    <w:p w14:paraId="1B779CAC" w14:textId="77777777" w:rsidR="00394471" w:rsidRPr="00FA0D37" w:rsidRDefault="00394471" w:rsidP="00FA0D37">
      <w:pPr>
        <w:pStyle w:val="PL"/>
        <w:rPr>
          <w:rFonts w:eastAsia="Malgun Gothic"/>
        </w:rPr>
      </w:pPr>
      <w:r w:rsidRPr="00FA0D37">
        <w:t xml:space="preserve">                                         </w:t>
      </w:r>
      <w:r w:rsidRPr="00FA0D37">
        <w:rPr>
          <w:rFonts w:eastAsia="Malgun Gothic"/>
        </w:rPr>
        <w:t>...},</w:t>
      </w:r>
    </w:p>
    <w:p w14:paraId="56C225A9" w14:textId="77777777" w:rsidR="00394471" w:rsidRPr="00FA0D37" w:rsidRDefault="00394471" w:rsidP="00FA0D37">
      <w:pPr>
        <w:pStyle w:val="PL"/>
        <w:rPr>
          <w:rFonts w:eastAsia="Malgun Gothic"/>
        </w:rPr>
      </w:pPr>
      <w:r w:rsidRPr="00FA0D37">
        <w:t xml:space="preserve">    </w:t>
      </w:r>
      <w:r w:rsidRPr="00FA0D37">
        <w:rPr>
          <w:rFonts w:eastAsia="Malgun Gothic"/>
        </w:rPr>
        <w:t>rttAccuracy-r16</w:t>
      </w:r>
      <w:r w:rsidRPr="00FA0D37">
        <w:t xml:space="preserve">                  </w:t>
      </w:r>
      <w:r w:rsidRPr="00FA0D37">
        <w:rPr>
          <w:color w:val="993366"/>
        </w:rPr>
        <w:t>INTEGER</w:t>
      </w:r>
      <w:r w:rsidRPr="00FA0D37">
        <w:rPr>
          <w:rFonts w:eastAsia="Malgun Gothic"/>
        </w:rPr>
        <w:t xml:space="preserve"> (0..255)</w:t>
      </w:r>
      <w:r w:rsidRPr="00FA0D37">
        <w:t xml:space="preserve">             </w:t>
      </w:r>
      <w:r w:rsidRPr="00FA0D37">
        <w:rPr>
          <w:color w:val="993366"/>
        </w:rPr>
        <w:t>OPTIONAL</w:t>
      </w:r>
      <w:r w:rsidRPr="00FA0D37">
        <w:rPr>
          <w:rFonts w:eastAsia="Malgun Gothic"/>
        </w:rPr>
        <w:t>,</w:t>
      </w:r>
    </w:p>
    <w:p w14:paraId="712BA08E" w14:textId="77777777" w:rsidR="00394471" w:rsidRPr="00FA0D37" w:rsidRDefault="00394471" w:rsidP="00FA0D37">
      <w:pPr>
        <w:pStyle w:val="PL"/>
        <w:rPr>
          <w:rFonts w:eastAsia="Malgun Gothic"/>
        </w:rPr>
      </w:pPr>
      <w:r w:rsidRPr="00FA0D37">
        <w:t xml:space="preserve">    </w:t>
      </w:r>
      <w:r w:rsidRPr="00FA0D37">
        <w:rPr>
          <w:rFonts w:eastAsia="Malgun Gothic"/>
        </w:rPr>
        <w:t>...</w:t>
      </w:r>
    </w:p>
    <w:p w14:paraId="31BB5176" w14:textId="77777777" w:rsidR="00394471" w:rsidRPr="00FA0D37" w:rsidRDefault="00394471" w:rsidP="00FA0D37">
      <w:pPr>
        <w:pStyle w:val="PL"/>
        <w:rPr>
          <w:rFonts w:eastAsia="Malgun Gothic"/>
        </w:rPr>
      </w:pPr>
      <w:r w:rsidRPr="00FA0D37">
        <w:rPr>
          <w:rFonts w:eastAsia="Malgun Gothic"/>
        </w:rPr>
        <w:t>}</w:t>
      </w:r>
    </w:p>
    <w:p w14:paraId="7A30E8AA" w14:textId="77777777" w:rsidR="00394471" w:rsidRPr="00FA0D37" w:rsidRDefault="00394471" w:rsidP="00FA0D37">
      <w:pPr>
        <w:pStyle w:val="PL"/>
      </w:pPr>
    </w:p>
    <w:p w14:paraId="52DB2003" w14:textId="47447CF3" w:rsidR="00394471" w:rsidRPr="00FA0D37" w:rsidRDefault="00394471" w:rsidP="00FA0D37">
      <w:pPr>
        <w:pStyle w:val="PL"/>
        <w:rPr>
          <w:color w:val="808080"/>
        </w:rPr>
      </w:pPr>
      <w:r w:rsidRPr="00FA0D37">
        <w:rPr>
          <w:color w:val="808080"/>
        </w:rPr>
        <w:t>-- TAG-LOGMEASRESULTLISTWLAN-STOP</w:t>
      </w:r>
    </w:p>
    <w:p w14:paraId="297A525E" w14:textId="6D519580" w:rsidR="004B6142" w:rsidRPr="00FA0D37" w:rsidRDefault="004B6142" w:rsidP="00FA0D37">
      <w:pPr>
        <w:pStyle w:val="PL"/>
        <w:rPr>
          <w:color w:val="808080"/>
        </w:rPr>
      </w:pPr>
      <w:r w:rsidRPr="00FA0D37">
        <w:rPr>
          <w:color w:val="808080"/>
        </w:rPr>
        <w:t>-- ASN1STOP</w:t>
      </w:r>
    </w:p>
    <w:p w14:paraId="3B67ECDB" w14:textId="77777777" w:rsidR="00394471" w:rsidRPr="00FA0D37"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31A4DFD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F65844" w14:textId="77777777" w:rsidR="00394471" w:rsidRPr="00FA0D37" w:rsidRDefault="00394471" w:rsidP="00964CC4">
            <w:pPr>
              <w:pStyle w:val="TAH"/>
              <w:rPr>
                <w:lang w:eastAsia="en-GB"/>
              </w:rPr>
            </w:pPr>
            <w:r w:rsidRPr="00FA0D37">
              <w:rPr>
                <w:i/>
                <w:lang w:eastAsia="sv-SE"/>
              </w:rPr>
              <w:t>LogMeasResultListWLAN</w:t>
            </w:r>
            <w:r w:rsidRPr="00FA0D37">
              <w:rPr>
                <w:bCs/>
                <w:i/>
                <w:iCs/>
                <w:lang w:eastAsia="sv-SE"/>
              </w:rPr>
              <w:t xml:space="preserve"> </w:t>
            </w:r>
            <w:r w:rsidRPr="00FA0D37">
              <w:rPr>
                <w:iCs/>
                <w:lang w:eastAsia="en-GB"/>
              </w:rPr>
              <w:t>field descriptions</w:t>
            </w:r>
          </w:p>
        </w:tc>
      </w:tr>
      <w:tr w:rsidR="005C7FF4" w:rsidRPr="00FA0D37" w14:paraId="5DEED26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D2C7C0C" w14:textId="77777777" w:rsidR="00394471" w:rsidRPr="00FA0D37" w:rsidRDefault="00394471" w:rsidP="00964CC4">
            <w:pPr>
              <w:pStyle w:val="TAL"/>
              <w:keepNext w:val="0"/>
              <w:rPr>
                <w:rFonts w:eastAsia="Malgun Gothic"/>
                <w:b/>
                <w:bCs/>
                <w:i/>
                <w:kern w:val="2"/>
                <w:lang w:eastAsia="ko-KR"/>
              </w:rPr>
            </w:pPr>
            <w:r w:rsidRPr="00FA0D37">
              <w:rPr>
                <w:rFonts w:eastAsia="Malgun Gothic"/>
                <w:b/>
                <w:bCs/>
                <w:i/>
                <w:kern w:val="2"/>
                <w:lang w:eastAsia="ko-KR"/>
              </w:rPr>
              <w:t>Bssid</w:t>
            </w:r>
          </w:p>
          <w:p w14:paraId="4E9FA7A2" w14:textId="77777777" w:rsidR="00394471" w:rsidRPr="00FA0D37" w:rsidRDefault="00394471" w:rsidP="00964CC4">
            <w:pPr>
              <w:pStyle w:val="TAL"/>
              <w:rPr>
                <w:b/>
                <w:i/>
                <w:lang w:eastAsia="sv-SE"/>
              </w:rPr>
            </w:pPr>
            <w:r w:rsidRPr="00FA0D37">
              <w:rPr>
                <w:rFonts w:eastAsia="Malgun Gothic"/>
                <w:bCs/>
                <w:kern w:val="2"/>
                <w:lang w:eastAsia="ko-KR"/>
              </w:rPr>
              <w:t>Basic Service Set Identifier (BSSID) defined in IEEE 802.11-2012 [50].</w:t>
            </w:r>
          </w:p>
        </w:tc>
      </w:tr>
      <w:tr w:rsidR="005C7FF4" w:rsidRPr="00FA0D37" w14:paraId="12B0B04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E0BCB56" w14:textId="77777777" w:rsidR="00394471" w:rsidRPr="00FA0D37" w:rsidRDefault="00394471" w:rsidP="00964CC4">
            <w:pPr>
              <w:pStyle w:val="TAL"/>
              <w:keepNext w:val="0"/>
              <w:rPr>
                <w:rFonts w:eastAsia="Malgun Gothic"/>
                <w:b/>
                <w:bCs/>
                <w:i/>
                <w:kern w:val="2"/>
                <w:lang w:eastAsia="ko-KR"/>
              </w:rPr>
            </w:pPr>
            <w:r w:rsidRPr="00FA0D37">
              <w:rPr>
                <w:rFonts w:eastAsia="Malgun Gothic"/>
                <w:b/>
                <w:bCs/>
                <w:i/>
                <w:kern w:val="2"/>
                <w:lang w:eastAsia="ko-KR"/>
              </w:rPr>
              <w:t>Hessid</w:t>
            </w:r>
          </w:p>
          <w:p w14:paraId="15846202" w14:textId="77777777" w:rsidR="00394471" w:rsidRPr="00FA0D37" w:rsidRDefault="00394471" w:rsidP="00964CC4">
            <w:pPr>
              <w:pStyle w:val="TAL"/>
              <w:rPr>
                <w:b/>
                <w:i/>
                <w:lang w:eastAsia="sv-SE"/>
              </w:rPr>
            </w:pPr>
            <w:r w:rsidRPr="00FA0D37">
              <w:rPr>
                <w:rFonts w:eastAsia="Malgun Gothic"/>
                <w:bCs/>
                <w:kern w:val="2"/>
                <w:lang w:eastAsia="ko-KR"/>
              </w:rPr>
              <w:t>Homogenous Extended Service Set Identifier (HESSID) defined in IEEE 802.11-2012 [50].</w:t>
            </w:r>
          </w:p>
        </w:tc>
      </w:tr>
      <w:tr w:rsidR="005C7FF4" w:rsidRPr="00FA0D37" w14:paraId="01E54A7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F68886A" w14:textId="77777777" w:rsidR="00394471" w:rsidRPr="00FA0D37" w:rsidRDefault="00394471" w:rsidP="00964CC4">
            <w:pPr>
              <w:pStyle w:val="TAL"/>
              <w:rPr>
                <w:b/>
                <w:bCs/>
                <w:i/>
                <w:lang w:eastAsia="en-GB"/>
              </w:rPr>
            </w:pPr>
            <w:r w:rsidRPr="00FA0D37">
              <w:rPr>
                <w:b/>
                <w:i/>
                <w:lang w:eastAsia="en-GB"/>
              </w:rPr>
              <w:lastRenderedPageBreak/>
              <w:t>rssiWLAN</w:t>
            </w:r>
          </w:p>
          <w:p w14:paraId="08460974" w14:textId="77777777" w:rsidR="00394471" w:rsidRPr="00FA0D37" w:rsidRDefault="00394471" w:rsidP="00964CC4">
            <w:pPr>
              <w:pStyle w:val="TAL"/>
              <w:rPr>
                <w:b/>
                <w:i/>
                <w:lang w:eastAsia="sv-SE"/>
              </w:rPr>
            </w:pPr>
            <w:r w:rsidRPr="00FA0D37">
              <w:rPr>
                <w:lang w:eastAsia="sv-SE"/>
              </w:rPr>
              <w:t>Measured WLAN RSSI result in dBm.</w:t>
            </w:r>
            <w:r w:rsidRPr="00FA0D37">
              <w:t xml:space="preserve"> </w:t>
            </w:r>
            <w:r w:rsidRPr="00FA0D37">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5C7FF4" w:rsidRPr="00FA0D37" w14:paraId="5E49DBE4"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4654D01" w14:textId="77777777" w:rsidR="00394471" w:rsidRPr="00FA0D37" w:rsidRDefault="00394471" w:rsidP="00964CC4">
            <w:pPr>
              <w:pStyle w:val="TAL"/>
              <w:rPr>
                <w:b/>
                <w:i/>
                <w:lang w:eastAsia="sv-SE"/>
              </w:rPr>
            </w:pPr>
            <w:r w:rsidRPr="00FA0D37">
              <w:rPr>
                <w:b/>
                <w:i/>
                <w:lang w:eastAsia="en-GB"/>
              </w:rPr>
              <w:t>rtt-</w:t>
            </w:r>
            <w:r w:rsidRPr="00FA0D37">
              <w:rPr>
                <w:b/>
                <w:i/>
                <w:lang w:eastAsia="sv-SE"/>
              </w:rPr>
              <w:t>WLAN</w:t>
            </w:r>
          </w:p>
          <w:p w14:paraId="4D48008C" w14:textId="77777777" w:rsidR="00394471" w:rsidRPr="00FA0D37" w:rsidRDefault="00394471" w:rsidP="00964CC4">
            <w:pPr>
              <w:pStyle w:val="TAL"/>
              <w:rPr>
                <w:b/>
                <w:i/>
                <w:lang w:eastAsia="sv-SE"/>
              </w:rPr>
            </w:pPr>
            <w:r w:rsidRPr="00FA0D37">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sidRPr="00FA0D37">
              <w:rPr>
                <w:lang w:eastAsia="ko-KR"/>
              </w:rPr>
              <w:t>as defined in TS 37.355 [49]</w:t>
            </w:r>
            <w:r w:rsidRPr="00FA0D37">
              <w:rPr>
                <w:lang w:eastAsia="sv-SE"/>
              </w:rPr>
              <w:t>.</w:t>
            </w:r>
          </w:p>
        </w:tc>
      </w:tr>
      <w:tr w:rsidR="005C7FF4" w:rsidRPr="00FA0D37" w14:paraId="4BF14E9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859C48" w14:textId="77777777" w:rsidR="00394471" w:rsidRPr="00FA0D37" w:rsidRDefault="00394471" w:rsidP="00964CC4">
            <w:pPr>
              <w:pStyle w:val="TAL"/>
              <w:rPr>
                <w:b/>
                <w:i/>
                <w:lang w:eastAsia="sv-SE"/>
              </w:rPr>
            </w:pPr>
            <w:r w:rsidRPr="00FA0D37">
              <w:rPr>
                <w:b/>
                <w:i/>
                <w:lang w:eastAsia="sv-SE"/>
              </w:rPr>
              <w:t>rttValue</w:t>
            </w:r>
          </w:p>
          <w:p w14:paraId="6AC969EB" w14:textId="77777777" w:rsidR="00394471" w:rsidRPr="00FA0D37" w:rsidRDefault="00394471" w:rsidP="00964CC4">
            <w:pPr>
              <w:pStyle w:val="TAL"/>
              <w:rPr>
                <w:b/>
                <w:i/>
                <w:lang w:eastAsia="sv-SE"/>
              </w:rPr>
            </w:pPr>
            <w:r w:rsidRPr="00FA0D37">
              <w:rPr>
                <w:lang w:eastAsia="sv-SE"/>
              </w:rPr>
              <w:t>This field specifies the Round Trip Time (RTT) measurement between the target device and WLAN AP in units given by the field rttUnits</w:t>
            </w:r>
            <w:r w:rsidRPr="00FA0D37">
              <w:rPr>
                <w:lang w:eastAsia="ko-KR"/>
              </w:rPr>
              <w:t xml:space="preserve"> as defined in TS 37.355 [49]</w:t>
            </w:r>
            <w:r w:rsidRPr="00FA0D37">
              <w:rPr>
                <w:lang w:eastAsia="sv-SE"/>
              </w:rPr>
              <w:t>.</w:t>
            </w:r>
          </w:p>
        </w:tc>
      </w:tr>
      <w:tr w:rsidR="005C7FF4" w:rsidRPr="00FA0D37" w14:paraId="2AA14C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35FBD43" w14:textId="77777777" w:rsidR="00394471" w:rsidRPr="00FA0D37" w:rsidRDefault="00394471" w:rsidP="00964CC4">
            <w:pPr>
              <w:pStyle w:val="TAL"/>
              <w:rPr>
                <w:b/>
                <w:i/>
                <w:lang w:eastAsia="sv-SE"/>
              </w:rPr>
            </w:pPr>
            <w:r w:rsidRPr="00FA0D37">
              <w:rPr>
                <w:b/>
                <w:i/>
                <w:lang w:eastAsia="sv-SE"/>
              </w:rPr>
              <w:t>rttUnits</w:t>
            </w:r>
          </w:p>
          <w:p w14:paraId="0AEC69BE" w14:textId="77777777" w:rsidR="00394471" w:rsidRPr="00FA0D37" w:rsidRDefault="00394471" w:rsidP="00964CC4">
            <w:pPr>
              <w:pStyle w:val="TAL"/>
              <w:rPr>
                <w:b/>
                <w:i/>
                <w:lang w:eastAsia="sv-SE"/>
              </w:rPr>
            </w:pPr>
            <w:r w:rsidRPr="00FA0D37">
              <w:rPr>
                <w:lang w:eastAsia="sv-SE"/>
              </w:rPr>
              <w:t xml:space="preserve">This field specifies the Units for the fields rttValue and rttAccuracy. The available Units are 1000ns, 100ns, 10ns, 1ns, and 0.1ns </w:t>
            </w:r>
            <w:r w:rsidRPr="00FA0D37">
              <w:rPr>
                <w:lang w:eastAsia="ko-KR"/>
              </w:rPr>
              <w:t>as defined in TS 37.355 [49]</w:t>
            </w:r>
            <w:r w:rsidRPr="00FA0D37">
              <w:rPr>
                <w:lang w:eastAsia="sv-SE"/>
              </w:rPr>
              <w:t>.</w:t>
            </w:r>
          </w:p>
        </w:tc>
      </w:tr>
      <w:tr w:rsidR="005C7FF4" w:rsidRPr="00FA0D37" w14:paraId="05D325B9"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902B5B6" w14:textId="77777777" w:rsidR="00394471" w:rsidRPr="00FA0D37" w:rsidRDefault="00394471" w:rsidP="00964CC4">
            <w:pPr>
              <w:pStyle w:val="TAL"/>
              <w:rPr>
                <w:b/>
                <w:i/>
                <w:lang w:eastAsia="sv-SE"/>
              </w:rPr>
            </w:pPr>
            <w:r w:rsidRPr="00FA0D37">
              <w:rPr>
                <w:b/>
                <w:i/>
                <w:lang w:eastAsia="sv-SE"/>
              </w:rPr>
              <w:t>rttAccuracy</w:t>
            </w:r>
          </w:p>
          <w:p w14:paraId="4801BD97" w14:textId="77777777" w:rsidR="00394471" w:rsidRPr="00FA0D37" w:rsidRDefault="00394471" w:rsidP="00964CC4">
            <w:pPr>
              <w:pStyle w:val="TAL"/>
              <w:rPr>
                <w:b/>
                <w:i/>
                <w:lang w:eastAsia="sv-SE"/>
              </w:rPr>
            </w:pPr>
            <w:r w:rsidRPr="00FA0D37">
              <w:rPr>
                <w:lang w:eastAsia="sv-SE"/>
              </w:rPr>
              <w:t xml:space="preserve">This field provides the estimated accuracy of the provided rttValue expressed as the standard deviation in units given by the field rttUnits </w:t>
            </w:r>
            <w:r w:rsidRPr="00FA0D37">
              <w:rPr>
                <w:lang w:eastAsia="ko-KR"/>
              </w:rPr>
              <w:t>as defined in TS 37.355 [49]</w:t>
            </w:r>
            <w:r w:rsidRPr="00FA0D37">
              <w:rPr>
                <w:lang w:eastAsia="sv-SE"/>
              </w:rPr>
              <w:t>.</w:t>
            </w:r>
          </w:p>
        </w:tc>
      </w:tr>
      <w:tr w:rsidR="005C7FF4" w:rsidRPr="00FA0D37" w14:paraId="03F273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05AD1D9" w14:textId="77777777" w:rsidR="00394471" w:rsidRPr="00FA0D37" w:rsidRDefault="00394471" w:rsidP="00964CC4">
            <w:pPr>
              <w:pStyle w:val="TAL"/>
              <w:keepNext w:val="0"/>
              <w:rPr>
                <w:rFonts w:eastAsia="Malgun Gothic"/>
                <w:b/>
                <w:bCs/>
                <w:i/>
                <w:kern w:val="2"/>
                <w:lang w:eastAsia="ko-KR"/>
              </w:rPr>
            </w:pPr>
            <w:r w:rsidRPr="00FA0D37">
              <w:rPr>
                <w:rFonts w:eastAsia="Malgun Gothic"/>
                <w:b/>
                <w:bCs/>
                <w:i/>
                <w:kern w:val="2"/>
                <w:lang w:eastAsia="ko-KR"/>
              </w:rPr>
              <w:t>Ssid</w:t>
            </w:r>
          </w:p>
          <w:p w14:paraId="073128AF" w14:textId="77777777" w:rsidR="00394471" w:rsidRPr="00FA0D37" w:rsidRDefault="00394471" w:rsidP="00964CC4">
            <w:pPr>
              <w:pStyle w:val="TAL"/>
              <w:rPr>
                <w:b/>
                <w:i/>
                <w:lang w:eastAsia="sv-SE"/>
              </w:rPr>
            </w:pPr>
            <w:r w:rsidRPr="00FA0D37">
              <w:rPr>
                <w:rFonts w:eastAsia="Malgun Gothic"/>
                <w:bCs/>
                <w:kern w:val="2"/>
                <w:lang w:eastAsia="ko-KR"/>
              </w:rPr>
              <w:t>Service Set Identifier (SSID) defined in IEEE 802.11-2012 [50].</w:t>
            </w:r>
          </w:p>
        </w:tc>
      </w:tr>
      <w:tr w:rsidR="00375B89" w:rsidRPr="00FA0D37" w14:paraId="291C68CD"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747C7FC" w14:textId="77777777" w:rsidR="00394471" w:rsidRPr="00FA0D37" w:rsidRDefault="00394471" w:rsidP="00964CC4">
            <w:pPr>
              <w:pStyle w:val="TAL"/>
              <w:rPr>
                <w:b/>
                <w:i/>
                <w:lang w:eastAsia="ko-KR"/>
              </w:rPr>
            </w:pPr>
            <w:r w:rsidRPr="00FA0D37">
              <w:rPr>
                <w:b/>
                <w:i/>
                <w:lang w:eastAsia="ko-KR"/>
              </w:rPr>
              <w:t>Wlan-Identifiers</w:t>
            </w:r>
          </w:p>
          <w:p w14:paraId="67CFC744" w14:textId="77777777" w:rsidR="00394471" w:rsidRPr="00FA0D37" w:rsidRDefault="00394471" w:rsidP="00964CC4">
            <w:pPr>
              <w:pStyle w:val="TAL"/>
              <w:rPr>
                <w:b/>
                <w:i/>
                <w:lang w:eastAsia="sv-SE"/>
              </w:rPr>
            </w:pPr>
            <w:r w:rsidRPr="00FA0D37">
              <w:rPr>
                <w:lang w:eastAsia="ko-KR"/>
              </w:rPr>
              <w:t>Indicates the WLAN parameters used for identification of the WLAN for which the measurement results are applicable.</w:t>
            </w:r>
          </w:p>
        </w:tc>
      </w:tr>
    </w:tbl>
    <w:p w14:paraId="41ED45EE" w14:textId="5FAEA3E3" w:rsidR="00394471" w:rsidRPr="00FA0D37" w:rsidRDefault="00394471" w:rsidP="00394471"/>
    <w:p w14:paraId="00ACBBEF" w14:textId="77777777" w:rsidR="00D7262D" w:rsidRPr="00FA0D37" w:rsidRDefault="00D7262D" w:rsidP="00D7262D">
      <w:pPr>
        <w:pStyle w:val="4"/>
        <w:rPr>
          <w:i/>
        </w:rPr>
      </w:pPr>
      <w:bookmarkStart w:id="1693" w:name="_Toc146781623"/>
      <w:r w:rsidRPr="00FA0D37">
        <w:t>–</w:t>
      </w:r>
      <w:r w:rsidRPr="00FA0D37">
        <w:tab/>
      </w:r>
      <w:r w:rsidRPr="00FA0D37">
        <w:rPr>
          <w:i/>
        </w:rPr>
        <w:t>MeasConfigAppLayerId</w:t>
      </w:r>
      <w:bookmarkEnd w:id="1693"/>
    </w:p>
    <w:p w14:paraId="7DB2673C" w14:textId="3A71B2BE" w:rsidR="00D7262D" w:rsidRPr="00FA0D37" w:rsidRDefault="00D7262D" w:rsidP="00D7262D">
      <w:r w:rsidRPr="00FA0D37">
        <w:t xml:space="preserve">The </w:t>
      </w:r>
      <w:r w:rsidR="00BD1021" w:rsidRPr="00FA0D37">
        <w:t>IE</w:t>
      </w:r>
      <w:r w:rsidR="00BD1021" w:rsidRPr="00FA0D37">
        <w:rPr>
          <w:i/>
        </w:rPr>
        <w:t xml:space="preserve"> </w:t>
      </w:r>
      <w:r w:rsidRPr="00FA0D37">
        <w:rPr>
          <w:i/>
        </w:rPr>
        <w:t xml:space="preserve">MeasConfigAppLayerId </w:t>
      </w:r>
      <w:r w:rsidRPr="00FA0D37">
        <w:t>identifies the application layer measurement.</w:t>
      </w:r>
    </w:p>
    <w:p w14:paraId="402F5778" w14:textId="77777777" w:rsidR="00D7262D" w:rsidRPr="00FA0D37" w:rsidRDefault="00D7262D" w:rsidP="00D7262D">
      <w:pPr>
        <w:pStyle w:val="TH"/>
      </w:pPr>
      <w:r w:rsidRPr="00FA0D37">
        <w:rPr>
          <w:i/>
        </w:rPr>
        <w:t xml:space="preserve">MeasConfigAppLayerId </w:t>
      </w:r>
      <w:r w:rsidRPr="00FA0D37">
        <w:t>information element</w:t>
      </w:r>
    </w:p>
    <w:p w14:paraId="733B608C" w14:textId="77777777" w:rsidR="00D7262D" w:rsidRPr="00FA0D37" w:rsidRDefault="00D7262D" w:rsidP="00FA0D37">
      <w:pPr>
        <w:pStyle w:val="PL"/>
        <w:rPr>
          <w:color w:val="808080"/>
        </w:rPr>
      </w:pPr>
      <w:r w:rsidRPr="00FA0D37">
        <w:rPr>
          <w:color w:val="808080"/>
        </w:rPr>
        <w:t>-- ASN1START</w:t>
      </w:r>
    </w:p>
    <w:p w14:paraId="47F3BF6A" w14:textId="77777777" w:rsidR="00D7262D" w:rsidRPr="00FA0D37" w:rsidRDefault="00D7262D" w:rsidP="00FA0D37">
      <w:pPr>
        <w:pStyle w:val="PL"/>
        <w:rPr>
          <w:color w:val="808080"/>
        </w:rPr>
      </w:pPr>
      <w:r w:rsidRPr="00FA0D37">
        <w:rPr>
          <w:color w:val="808080"/>
        </w:rPr>
        <w:t>-- TAG-MEASCONFIGAPPLAYERID-START</w:t>
      </w:r>
    </w:p>
    <w:p w14:paraId="6D03165A" w14:textId="77777777" w:rsidR="00D7262D" w:rsidRPr="00FA0D37" w:rsidRDefault="00D7262D" w:rsidP="00FA0D37">
      <w:pPr>
        <w:pStyle w:val="PL"/>
        <w:rPr>
          <w:rFonts w:eastAsia="等线"/>
        </w:rPr>
      </w:pPr>
    </w:p>
    <w:p w14:paraId="2A7D7A86" w14:textId="77777777" w:rsidR="00D7262D" w:rsidRPr="00FA0D37" w:rsidRDefault="00D7262D" w:rsidP="00FA0D37">
      <w:pPr>
        <w:pStyle w:val="PL"/>
      </w:pPr>
      <w:r w:rsidRPr="00FA0D37">
        <w:t xml:space="preserve">MeasConfigAppLayerId-r17 ::= </w:t>
      </w:r>
      <w:r w:rsidRPr="00FA0D37">
        <w:rPr>
          <w:color w:val="993366"/>
        </w:rPr>
        <w:t>INTEGER</w:t>
      </w:r>
      <w:r w:rsidRPr="00FA0D37">
        <w:t xml:space="preserve"> (0..maxNrofAppLayerMeas-1-r17)</w:t>
      </w:r>
    </w:p>
    <w:p w14:paraId="2AD23C06" w14:textId="77777777" w:rsidR="00D7262D" w:rsidRPr="00FA0D37" w:rsidRDefault="00D7262D" w:rsidP="00FA0D37">
      <w:pPr>
        <w:pStyle w:val="PL"/>
      </w:pPr>
    </w:p>
    <w:p w14:paraId="5E5587BF" w14:textId="77777777" w:rsidR="00D7262D" w:rsidRPr="00FA0D37" w:rsidRDefault="00D7262D" w:rsidP="00FA0D37">
      <w:pPr>
        <w:pStyle w:val="PL"/>
        <w:rPr>
          <w:color w:val="808080"/>
        </w:rPr>
      </w:pPr>
      <w:r w:rsidRPr="00FA0D37">
        <w:rPr>
          <w:color w:val="808080"/>
        </w:rPr>
        <w:t>-- TAG-MEASCONFIGAPPLAYERID-STOP</w:t>
      </w:r>
    </w:p>
    <w:p w14:paraId="124594DD" w14:textId="77777777" w:rsidR="00D7262D" w:rsidRPr="00FA0D37" w:rsidRDefault="00D7262D" w:rsidP="00FA0D37">
      <w:pPr>
        <w:pStyle w:val="PL"/>
        <w:rPr>
          <w:color w:val="808080"/>
        </w:rPr>
      </w:pPr>
      <w:r w:rsidRPr="00FA0D37">
        <w:rPr>
          <w:color w:val="808080"/>
        </w:rPr>
        <w:t>-- ASN1STOP</w:t>
      </w:r>
    </w:p>
    <w:p w14:paraId="49D21A66" w14:textId="77777777" w:rsidR="00D7262D" w:rsidRPr="00FA0D37" w:rsidRDefault="00D7262D" w:rsidP="00394471"/>
    <w:p w14:paraId="46A0A3E9" w14:textId="4DC03F15" w:rsidR="00394471" w:rsidRPr="00FA0D37" w:rsidRDefault="00394471" w:rsidP="00394471">
      <w:pPr>
        <w:pStyle w:val="4"/>
      </w:pPr>
      <w:bookmarkStart w:id="1694" w:name="_Toc60777512"/>
      <w:bookmarkStart w:id="1695" w:name="_Toc146781624"/>
      <w:r w:rsidRPr="00FA0D37">
        <w:t>–</w:t>
      </w:r>
      <w:r w:rsidRPr="00FA0D37">
        <w:tab/>
      </w:r>
      <w:r w:rsidRPr="00FA0D37">
        <w:rPr>
          <w:i/>
        </w:rPr>
        <w:t>OtherConfig</w:t>
      </w:r>
      <w:bookmarkEnd w:id="1694"/>
      <w:bookmarkEnd w:id="1695"/>
    </w:p>
    <w:p w14:paraId="1BBD036E" w14:textId="77777777" w:rsidR="00394471" w:rsidRPr="00FA0D37" w:rsidRDefault="00394471" w:rsidP="00394471">
      <w:pPr>
        <w:keepNext/>
        <w:keepLines/>
        <w:rPr>
          <w:iCs/>
        </w:rPr>
      </w:pPr>
      <w:r w:rsidRPr="00FA0D37">
        <w:rPr>
          <w:iCs/>
        </w:rPr>
        <w:t xml:space="preserve">The IE </w:t>
      </w:r>
      <w:r w:rsidRPr="00FA0D37">
        <w:rPr>
          <w:i/>
          <w:iCs/>
        </w:rPr>
        <w:t>OtherConfig</w:t>
      </w:r>
      <w:r w:rsidRPr="00FA0D37">
        <w:rPr>
          <w:iCs/>
        </w:rPr>
        <w:t xml:space="preserve"> contains configuration related to </w:t>
      </w:r>
      <w:r w:rsidRPr="00FA0D37">
        <w:t xml:space="preserve">miscellaneous </w:t>
      </w:r>
      <w:r w:rsidRPr="00FA0D37">
        <w:rPr>
          <w:iCs/>
        </w:rPr>
        <w:t>other configurations.</w:t>
      </w:r>
    </w:p>
    <w:p w14:paraId="3D394803" w14:textId="77777777" w:rsidR="00394471" w:rsidRPr="00FA0D37" w:rsidRDefault="00394471" w:rsidP="00394471">
      <w:pPr>
        <w:pStyle w:val="TH"/>
        <w:rPr>
          <w:bCs/>
          <w:i/>
          <w:iCs/>
        </w:rPr>
      </w:pPr>
      <w:r w:rsidRPr="00FA0D37">
        <w:rPr>
          <w:bCs/>
          <w:i/>
          <w:iCs/>
        </w:rPr>
        <w:t xml:space="preserve">OtherConfig </w:t>
      </w:r>
      <w:r w:rsidRPr="00FA0D37">
        <w:rPr>
          <w:bCs/>
          <w:iCs/>
        </w:rPr>
        <w:t>information element</w:t>
      </w:r>
    </w:p>
    <w:p w14:paraId="598C65A4" w14:textId="77777777" w:rsidR="00394471" w:rsidRPr="00FA0D37" w:rsidRDefault="00394471" w:rsidP="00FA0D37">
      <w:pPr>
        <w:pStyle w:val="PL"/>
        <w:rPr>
          <w:color w:val="808080"/>
        </w:rPr>
      </w:pPr>
      <w:r w:rsidRPr="00FA0D37">
        <w:rPr>
          <w:color w:val="808080"/>
        </w:rPr>
        <w:t>-- ASN1START</w:t>
      </w:r>
    </w:p>
    <w:p w14:paraId="7A243A83" w14:textId="77777777" w:rsidR="00394471" w:rsidRPr="00FA0D37" w:rsidRDefault="00394471" w:rsidP="00FA0D37">
      <w:pPr>
        <w:pStyle w:val="PL"/>
        <w:rPr>
          <w:color w:val="808080"/>
        </w:rPr>
      </w:pPr>
      <w:r w:rsidRPr="00FA0D37">
        <w:rPr>
          <w:color w:val="808080"/>
        </w:rPr>
        <w:t>-- TAG-OTHERCONFIG-START</w:t>
      </w:r>
    </w:p>
    <w:p w14:paraId="5AE5B00B" w14:textId="77777777" w:rsidR="00394471" w:rsidRPr="00FA0D37" w:rsidRDefault="00394471" w:rsidP="00FA0D37">
      <w:pPr>
        <w:pStyle w:val="PL"/>
      </w:pPr>
    </w:p>
    <w:p w14:paraId="389F8AF6" w14:textId="77777777" w:rsidR="00394471" w:rsidRPr="00FA0D37" w:rsidRDefault="00394471" w:rsidP="00FA0D37">
      <w:pPr>
        <w:pStyle w:val="PL"/>
      </w:pPr>
      <w:r w:rsidRPr="00FA0D37">
        <w:t xml:space="preserve">OtherConfig ::=                 </w:t>
      </w:r>
      <w:r w:rsidRPr="00FA0D37">
        <w:rPr>
          <w:color w:val="993366"/>
        </w:rPr>
        <w:t>SEQUENCE</w:t>
      </w:r>
      <w:r w:rsidRPr="00FA0D37">
        <w:t xml:space="preserve"> {</w:t>
      </w:r>
    </w:p>
    <w:p w14:paraId="5BA2C799" w14:textId="77777777" w:rsidR="00394471" w:rsidRPr="00FA0D37" w:rsidRDefault="00394471" w:rsidP="00FA0D37">
      <w:pPr>
        <w:pStyle w:val="PL"/>
      </w:pPr>
      <w:r w:rsidRPr="00FA0D37">
        <w:lastRenderedPageBreak/>
        <w:t xml:space="preserve">    delayBudgetReportingConfig  </w:t>
      </w:r>
      <w:r w:rsidRPr="00FA0D37">
        <w:rPr>
          <w:color w:val="993366"/>
        </w:rPr>
        <w:t>CHOICE</w:t>
      </w:r>
      <w:r w:rsidRPr="00FA0D37">
        <w:t>{</w:t>
      </w:r>
    </w:p>
    <w:p w14:paraId="0ED01652" w14:textId="77777777" w:rsidR="00394471" w:rsidRPr="00FA0D37" w:rsidRDefault="00394471" w:rsidP="00FA0D37">
      <w:pPr>
        <w:pStyle w:val="PL"/>
      </w:pPr>
      <w:r w:rsidRPr="00FA0D37">
        <w:t xml:space="preserve">        release                 </w:t>
      </w:r>
      <w:r w:rsidRPr="00FA0D37">
        <w:rPr>
          <w:color w:val="993366"/>
        </w:rPr>
        <w:t>NULL</w:t>
      </w:r>
      <w:r w:rsidRPr="00FA0D37">
        <w:t>,</w:t>
      </w:r>
    </w:p>
    <w:p w14:paraId="5FF5042E" w14:textId="77777777" w:rsidR="00394471" w:rsidRPr="00FA0D37" w:rsidRDefault="00394471" w:rsidP="00FA0D37">
      <w:pPr>
        <w:pStyle w:val="PL"/>
      </w:pPr>
      <w:r w:rsidRPr="00FA0D37">
        <w:t xml:space="preserve">        setup                   </w:t>
      </w:r>
      <w:r w:rsidRPr="00FA0D37">
        <w:rPr>
          <w:color w:val="993366"/>
        </w:rPr>
        <w:t>SEQUENCE</w:t>
      </w:r>
      <w:r w:rsidRPr="00FA0D37">
        <w:t>{</w:t>
      </w:r>
    </w:p>
    <w:p w14:paraId="55AE41FC" w14:textId="77777777" w:rsidR="00394471" w:rsidRPr="00FA0D37" w:rsidRDefault="00394471" w:rsidP="00FA0D37">
      <w:pPr>
        <w:pStyle w:val="PL"/>
      </w:pPr>
      <w:r w:rsidRPr="00FA0D37">
        <w:t xml:space="preserve">            delayBudgetReportingProhibitTimer   </w:t>
      </w:r>
      <w:r w:rsidRPr="00FA0D37">
        <w:rPr>
          <w:color w:val="993366"/>
        </w:rPr>
        <w:t>ENUMERATED</w:t>
      </w:r>
      <w:r w:rsidRPr="00FA0D37">
        <w:t xml:space="preserve"> {s0, s0dot4, s0dot8, s1dot6, s3, s6, s12, s30}</w:t>
      </w:r>
    </w:p>
    <w:p w14:paraId="19264242" w14:textId="77777777" w:rsidR="00394471" w:rsidRPr="00FA0D37" w:rsidRDefault="00394471" w:rsidP="00FA0D37">
      <w:pPr>
        <w:pStyle w:val="PL"/>
      </w:pPr>
      <w:r w:rsidRPr="00FA0D37">
        <w:t xml:space="preserve">        }</w:t>
      </w:r>
    </w:p>
    <w:p w14:paraId="6BC88C0E"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07B1EA21" w14:textId="77777777" w:rsidR="00394471" w:rsidRPr="00FA0D37" w:rsidRDefault="00394471" w:rsidP="00FA0D37">
      <w:pPr>
        <w:pStyle w:val="PL"/>
      </w:pPr>
      <w:r w:rsidRPr="00FA0D37">
        <w:t>}</w:t>
      </w:r>
    </w:p>
    <w:p w14:paraId="4F6F9CF9" w14:textId="77777777" w:rsidR="00394471" w:rsidRPr="00FA0D37" w:rsidRDefault="00394471" w:rsidP="00FA0D37">
      <w:pPr>
        <w:pStyle w:val="PL"/>
      </w:pPr>
    </w:p>
    <w:p w14:paraId="07E5E403" w14:textId="77777777" w:rsidR="00394471" w:rsidRPr="00FA0D37" w:rsidRDefault="00394471" w:rsidP="00FA0D37">
      <w:pPr>
        <w:pStyle w:val="PL"/>
      </w:pPr>
      <w:r w:rsidRPr="00FA0D37">
        <w:t xml:space="preserve">OtherConfig-v1540 ::=           </w:t>
      </w:r>
      <w:r w:rsidRPr="00FA0D37">
        <w:rPr>
          <w:color w:val="993366"/>
        </w:rPr>
        <w:t>SEQUENCE</w:t>
      </w:r>
      <w:r w:rsidRPr="00FA0D37">
        <w:t xml:space="preserve"> {</w:t>
      </w:r>
    </w:p>
    <w:p w14:paraId="1968FB9E" w14:textId="77777777" w:rsidR="00394471" w:rsidRPr="00FA0D37" w:rsidRDefault="00394471" w:rsidP="00FA0D37">
      <w:pPr>
        <w:pStyle w:val="PL"/>
        <w:rPr>
          <w:color w:val="808080"/>
        </w:rPr>
      </w:pPr>
      <w:r w:rsidRPr="00FA0D37">
        <w:t xml:space="preserve">    overheatingAssistanceConfig     SetupRelease {OverheatingAssistanceConfig}                            </w:t>
      </w:r>
      <w:r w:rsidRPr="00FA0D37">
        <w:rPr>
          <w:color w:val="993366"/>
        </w:rPr>
        <w:t>OPTIONAL</w:t>
      </w:r>
      <w:r w:rsidRPr="00FA0D37">
        <w:t xml:space="preserve">, </w:t>
      </w:r>
      <w:r w:rsidRPr="00FA0D37">
        <w:rPr>
          <w:color w:val="808080"/>
        </w:rPr>
        <w:t>-- Need M</w:t>
      </w:r>
    </w:p>
    <w:p w14:paraId="6B899C89" w14:textId="77777777" w:rsidR="00394471" w:rsidRPr="00FA0D37" w:rsidRDefault="00394471" w:rsidP="00FA0D37">
      <w:pPr>
        <w:pStyle w:val="PL"/>
      </w:pPr>
      <w:r w:rsidRPr="00FA0D37">
        <w:t xml:space="preserve">    ...</w:t>
      </w:r>
    </w:p>
    <w:p w14:paraId="19472032" w14:textId="77777777" w:rsidR="00394471" w:rsidRPr="00FA0D37" w:rsidRDefault="00394471" w:rsidP="00FA0D37">
      <w:pPr>
        <w:pStyle w:val="PL"/>
      </w:pPr>
      <w:r w:rsidRPr="00FA0D37">
        <w:t>}</w:t>
      </w:r>
    </w:p>
    <w:p w14:paraId="2B47DD1D" w14:textId="77777777" w:rsidR="00394471" w:rsidRPr="00FA0D37" w:rsidRDefault="00394471" w:rsidP="00FA0D37">
      <w:pPr>
        <w:pStyle w:val="PL"/>
      </w:pPr>
    </w:p>
    <w:p w14:paraId="7EFA7BD2" w14:textId="77777777" w:rsidR="00394471" w:rsidRPr="00FA0D37" w:rsidRDefault="00394471" w:rsidP="00FA0D37">
      <w:pPr>
        <w:pStyle w:val="PL"/>
      </w:pPr>
      <w:r w:rsidRPr="00FA0D37">
        <w:t xml:space="preserve">OtherConfig-v1610 ::=                   </w:t>
      </w:r>
      <w:r w:rsidRPr="00FA0D37">
        <w:rPr>
          <w:color w:val="993366"/>
        </w:rPr>
        <w:t>SEQUENCE</w:t>
      </w:r>
      <w:r w:rsidRPr="00FA0D37">
        <w:t xml:space="preserve"> {</w:t>
      </w:r>
    </w:p>
    <w:p w14:paraId="6A6D22C5" w14:textId="77777777" w:rsidR="00394471" w:rsidRPr="00FA0D37" w:rsidRDefault="00394471" w:rsidP="00FA0D37">
      <w:pPr>
        <w:pStyle w:val="PL"/>
        <w:rPr>
          <w:color w:val="808080"/>
        </w:rPr>
      </w:pPr>
      <w:r w:rsidRPr="00FA0D37">
        <w:t xml:space="preserve">    idc-AssistanceConfig-r16                SetupRelease {IDC-AssistanceConfig-r16}                       </w:t>
      </w:r>
      <w:r w:rsidRPr="00FA0D37">
        <w:rPr>
          <w:color w:val="993366"/>
        </w:rPr>
        <w:t>OPTIONAL</w:t>
      </w:r>
      <w:r w:rsidRPr="00FA0D37">
        <w:t xml:space="preserve">, </w:t>
      </w:r>
      <w:r w:rsidRPr="00FA0D37">
        <w:rPr>
          <w:color w:val="808080"/>
        </w:rPr>
        <w:t>-- Need M</w:t>
      </w:r>
    </w:p>
    <w:p w14:paraId="77DBC697" w14:textId="77777777" w:rsidR="00394471" w:rsidRPr="00FA0D37" w:rsidRDefault="00394471" w:rsidP="00FA0D37">
      <w:pPr>
        <w:pStyle w:val="PL"/>
        <w:rPr>
          <w:color w:val="808080"/>
        </w:rPr>
      </w:pPr>
      <w:r w:rsidRPr="00FA0D37">
        <w:t xml:space="preserve">    drx-PreferenceConfig-r16                SetupRelease {DRX-PreferenceConfig-r16}                       </w:t>
      </w:r>
      <w:r w:rsidRPr="00FA0D37">
        <w:rPr>
          <w:color w:val="993366"/>
        </w:rPr>
        <w:t>OPTIONAL</w:t>
      </w:r>
      <w:r w:rsidRPr="00FA0D37">
        <w:t xml:space="preserve">, </w:t>
      </w:r>
      <w:r w:rsidRPr="00FA0D37">
        <w:rPr>
          <w:color w:val="808080"/>
        </w:rPr>
        <w:t>-- Need M</w:t>
      </w:r>
    </w:p>
    <w:p w14:paraId="455E85B1" w14:textId="77777777" w:rsidR="00394471" w:rsidRPr="00FA0D37" w:rsidRDefault="00394471" w:rsidP="00FA0D37">
      <w:pPr>
        <w:pStyle w:val="PL"/>
        <w:rPr>
          <w:color w:val="808080"/>
        </w:rPr>
      </w:pPr>
      <w:r w:rsidRPr="00FA0D37">
        <w:t xml:space="preserve">    maxBW-PreferenceConfig-r16              SetupRelease {MaxBW-PreferenceConfig-r16}                     </w:t>
      </w:r>
      <w:r w:rsidRPr="00FA0D37">
        <w:rPr>
          <w:color w:val="993366"/>
        </w:rPr>
        <w:t>OPTIONAL</w:t>
      </w:r>
      <w:r w:rsidRPr="00FA0D37">
        <w:t xml:space="preserve">, </w:t>
      </w:r>
      <w:r w:rsidRPr="00FA0D37">
        <w:rPr>
          <w:color w:val="808080"/>
        </w:rPr>
        <w:t>-- Need M</w:t>
      </w:r>
    </w:p>
    <w:p w14:paraId="563BB470" w14:textId="77777777" w:rsidR="00394471" w:rsidRPr="00FA0D37" w:rsidRDefault="00394471" w:rsidP="00FA0D37">
      <w:pPr>
        <w:pStyle w:val="PL"/>
        <w:rPr>
          <w:color w:val="808080"/>
        </w:rPr>
      </w:pPr>
      <w:r w:rsidRPr="00FA0D37">
        <w:t xml:space="preserve">    maxCC-PreferenceConfig-r16              SetupRelease {MaxCC-PreferenceConfig-r16}                     </w:t>
      </w:r>
      <w:r w:rsidRPr="00FA0D37">
        <w:rPr>
          <w:color w:val="993366"/>
        </w:rPr>
        <w:t>OPTIONAL</w:t>
      </w:r>
      <w:r w:rsidRPr="00FA0D37">
        <w:t xml:space="preserve">, </w:t>
      </w:r>
      <w:r w:rsidRPr="00FA0D37">
        <w:rPr>
          <w:color w:val="808080"/>
        </w:rPr>
        <w:t>-- Need M</w:t>
      </w:r>
    </w:p>
    <w:p w14:paraId="4B85FE0F" w14:textId="77777777" w:rsidR="00394471" w:rsidRPr="00FA0D37" w:rsidRDefault="00394471" w:rsidP="00FA0D37">
      <w:pPr>
        <w:pStyle w:val="PL"/>
        <w:rPr>
          <w:color w:val="808080"/>
        </w:rPr>
      </w:pPr>
      <w:r w:rsidRPr="00FA0D37">
        <w:t xml:space="preserve">    maxMIMO-LayerPreferenceConfig-r16       SetupRelease {MaxMIMO-LayerPreferenceConfig-r16}              </w:t>
      </w:r>
      <w:r w:rsidRPr="00FA0D37">
        <w:rPr>
          <w:color w:val="993366"/>
        </w:rPr>
        <w:t>OPTIONAL</w:t>
      </w:r>
      <w:r w:rsidRPr="00FA0D37">
        <w:t xml:space="preserve">, </w:t>
      </w:r>
      <w:r w:rsidRPr="00FA0D37">
        <w:rPr>
          <w:color w:val="808080"/>
        </w:rPr>
        <w:t>-- Need M</w:t>
      </w:r>
    </w:p>
    <w:p w14:paraId="6E706953" w14:textId="77777777" w:rsidR="00394471" w:rsidRPr="00FA0D37" w:rsidRDefault="00394471" w:rsidP="00FA0D37">
      <w:pPr>
        <w:pStyle w:val="PL"/>
        <w:rPr>
          <w:color w:val="808080"/>
        </w:rPr>
      </w:pPr>
      <w:r w:rsidRPr="00FA0D37">
        <w:t xml:space="preserve">    minSchedulingOffsetPreferenceConfig-r16 SetupRelease {MinSchedulingOffsetPreferenceConfig-r16}        </w:t>
      </w:r>
      <w:r w:rsidRPr="00FA0D37">
        <w:rPr>
          <w:color w:val="993366"/>
        </w:rPr>
        <w:t>OPTIONAL</w:t>
      </w:r>
      <w:r w:rsidRPr="00FA0D37">
        <w:t xml:space="preserve">, </w:t>
      </w:r>
      <w:r w:rsidRPr="00FA0D37">
        <w:rPr>
          <w:color w:val="808080"/>
        </w:rPr>
        <w:t>-- Need M</w:t>
      </w:r>
    </w:p>
    <w:p w14:paraId="69859A39" w14:textId="77777777" w:rsidR="00394471" w:rsidRPr="00FA0D37" w:rsidRDefault="00394471" w:rsidP="00FA0D37">
      <w:pPr>
        <w:pStyle w:val="PL"/>
        <w:rPr>
          <w:color w:val="808080"/>
        </w:rPr>
      </w:pPr>
      <w:r w:rsidRPr="00FA0D37">
        <w:t xml:space="preserve">    releasePreferenceConfig-r16             SetupRelease {ReleasePreferenceConfig-r16}                    </w:t>
      </w:r>
      <w:r w:rsidRPr="00FA0D37">
        <w:rPr>
          <w:color w:val="993366"/>
        </w:rPr>
        <w:t>OPTIONAL</w:t>
      </w:r>
      <w:r w:rsidRPr="00FA0D37">
        <w:t xml:space="preserve">, </w:t>
      </w:r>
      <w:r w:rsidRPr="00FA0D37">
        <w:rPr>
          <w:color w:val="808080"/>
        </w:rPr>
        <w:t>-- Need M</w:t>
      </w:r>
    </w:p>
    <w:p w14:paraId="457A6D53" w14:textId="6FF84F98" w:rsidR="00394471" w:rsidRPr="00FA0D37" w:rsidRDefault="00394471" w:rsidP="00FA0D37">
      <w:pPr>
        <w:pStyle w:val="PL"/>
        <w:rPr>
          <w:color w:val="808080"/>
        </w:rPr>
      </w:pPr>
      <w:r w:rsidRPr="00FA0D37">
        <w:t xml:space="preserve">    referenceTimePreferenceReporting-r16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04C0E338" w14:textId="77777777" w:rsidR="00394471" w:rsidRPr="00FA0D37" w:rsidRDefault="00394471" w:rsidP="00FA0D37">
      <w:pPr>
        <w:pStyle w:val="PL"/>
        <w:rPr>
          <w:color w:val="808080"/>
        </w:rPr>
      </w:pPr>
      <w:r w:rsidRPr="00FA0D37">
        <w:t xml:space="preserve">    btNameList-r16                          SetupRelease {BT-NameList-r16}                                </w:t>
      </w:r>
      <w:r w:rsidRPr="00FA0D37">
        <w:rPr>
          <w:color w:val="993366"/>
        </w:rPr>
        <w:t>OPTIONAL</w:t>
      </w:r>
      <w:r w:rsidRPr="00FA0D37">
        <w:t xml:space="preserve">, </w:t>
      </w:r>
      <w:r w:rsidRPr="00FA0D37">
        <w:rPr>
          <w:color w:val="808080"/>
        </w:rPr>
        <w:t>-- Need M</w:t>
      </w:r>
    </w:p>
    <w:p w14:paraId="76D99B8E" w14:textId="77777777" w:rsidR="00394471" w:rsidRPr="00FA0D37" w:rsidRDefault="00394471" w:rsidP="00FA0D37">
      <w:pPr>
        <w:pStyle w:val="PL"/>
        <w:rPr>
          <w:color w:val="808080"/>
        </w:rPr>
      </w:pPr>
      <w:r w:rsidRPr="00FA0D37">
        <w:t xml:space="preserve">    wlanNameList-r16                        SetupRelease {WLAN-NameList-r16}                              </w:t>
      </w:r>
      <w:r w:rsidRPr="00FA0D37">
        <w:rPr>
          <w:color w:val="993366"/>
        </w:rPr>
        <w:t>OPTIONAL</w:t>
      </w:r>
      <w:r w:rsidRPr="00FA0D37">
        <w:t xml:space="preserve">, </w:t>
      </w:r>
      <w:r w:rsidRPr="00FA0D37">
        <w:rPr>
          <w:color w:val="808080"/>
        </w:rPr>
        <w:t>-- Need M</w:t>
      </w:r>
    </w:p>
    <w:p w14:paraId="153189FA" w14:textId="77777777" w:rsidR="00394471" w:rsidRPr="00FA0D37" w:rsidRDefault="00394471" w:rsidP="00FA0D37">
      <w:pPr>
        <w:pStyle w:val="PL"/>
        <w:rPr>
          <w:color w:val="808080"/>
        </w:rPr>
      </w:pPr>
      <w:r w:rsidRPr="00FA0D37">
        <w:t xml:space="preserve">    sensorNameList-r16                      SetupRelease {Sensor-NameList-r16}                            </w:t>
      </w:r>
      <w:r w:rsidRPr="00FA0D37">
        <w:rPr>
          <w:color w:val="993366"/>
        </w:rPr>
        <w:t>OPTIONAL</w:t>
      </w:r>
      <w:r w:rsidRPr="00FA0D37">
        <w:t xml:space="preserve">, </w:t>
      </w:r>
      <w:r w:rsidRPr="00FA0D37">
        <w:rPr>
          <w:color w:val="808080"/>
        </w:rPr>
        <w:t>-- Need M</w:t>
      </w:r>
    </w:p>
    <w:p w14:paraId="28870B2C" w14:textId="24127554" w:rsidR="00394471" w:rsidRPr="00FA0D37" w:rsidRDefault="00394471" w:rsidP="00FA0D37">
      <w:pPr>
        <w:pStyle w:val="PL"/>
        <w:rPr>
          <w:color w:val="808080"/>
        </w:rPr>
      </w:pPr>
      <w:r w:rsidRPr="00FA0D37">
        <w:t xml:space="preserve">    obtainCommonLocation-r16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FC4582C" w14:textId="6303D322" w:rsidR="00394471" w:rsidRPr="00FA0D37" w:rsidRDefault="00394471" w:rsidP="00FA0D37">
      <w:pPr>
        <w:pStyle w:val="PL"/>
        <w:rPr>
          <w:color w:val="808080"/>
        </w:rPr>
      </w:pPr>
      <w:r w:rsidRPr="00FA0D37">
        <w:t xml:space="preserve">    sl-AssistanceConfigNR-r16               </w:t>
      </w:r>
      <w:r w:rsidRPr="00FA0D37">
        <w:rPr>
          <w:color w:val="993366"/>
        </w:rPr>
        <w:t>ENUMERATED</w:t>
      </w:r>
      <w:r w:rsidRPr="00FA0D37">
        <w:t xml:space="preserve">{true}                                              </w:t>
      </w:r>
      <w:r w:rsidRPr="00FA0D37">
        <w:rPr>
          <w:color w:val="993366"/>
        </w:rPr>
        <w:t>OPTIONAL</w:t>
      </w:r>
      <w:r w:rsidRPr="00FA0D37">
        <w:t xml:space="preserve"> </w:t>
      </w:r>
      <w:r w:rsidR="00243878" w:rsidRPr="00FA0D37">
        <w:t xml:space="preserve"> </w:t>
      </w:r>
      <w:r w:rsidRPr="00FA0D37">
        <w:rPr>
          <w:color w:val="808080"/>
        </w:rPr>
        <w:t>-- Need R</w:t>
      </w:r>
    </w:p>
    <w:p w14:paraId="0A776AE0" w14:textId="77777777" w:rsidR="00394471" w:rsidRPr="00FA0D37" w:rsidRDefault="00394471" w:rsidP="00FA0D37">
      <w:pPr>
        <w:pStyle w:val="PL"/>
      </w:pPr>
      <w:r w:rsidRPr="00FA0D37">
        <w:t>}</w:t>
      </w:r>
    </w:p>
    <w:p w14:paraId="552D5A31" w14:textId="77777777" w:rsidR="00243878" w:rsidRPr="00FA0D37" w:rsidRDefault="00243878" w:rsidP="00FA0D37">
      <w:pPr>
        <w:pStyle w:val="PL"/>
      </w:pPr>
    </w:p>
    <w:p w14:paraId="47E9EF2E" w14:textId="6B6BC77C" w:rsidR="00243878" w:rsidRPr="00FA0D37" w:rsidRDefault="00243878" w:rsidP="00FA0D37">
      <w:pPr>
        <w:pStyle w:val="PL"/>
      </w:pPr>
      <w:r w:rsidRPr="00FA0D37">
        <w:t xml:space="preserve">OtherConfig-v1700 ::=                   </w:t>
      </w:r>
      <w:r w:rsidRPr="00FA0D37">
        <w:rPr>
          <w:color w:val="993366"/>
        </w:rPr>
        <w:t>SEQUENCE</w:t>
      </w:r>
      <w:r w:rsidRPr="00FA0D37">
        <w:t xml:space="preserve"> {</w:t>
      </w:r>
    </w:p>
    <w:p w14:paraId="74898855" w14:textId="16682FF1" w:rsidR="00243878" w:rsidRPr="00FA0D37" w:rsidRDefault="00243878" w:rsidP="00FA0D37">
      <w:pPr>
        <w:pStyle w:val="PL"/>
        <w:rPr>
          <w:color w:val="808080"/>
        </w:rPr>
      </w:pPr>
      <w:r w:rsidRPr="00FA0D37">
        <w:t xml:space="preserve">    ul-GapFR2-PreferenceConfig-r17          </w:t>
      </w:r>
      <w:r w:rsidRPr="00FA0D37">
        <w:rPr>
          <w:color w:val="993366"/>
        </w:rPr>
        <w:t>ENUMERATED</w:t>
      </w:r>
      <w:r w:rsidRPr="00FA0D37">
        <w:t xml:space="preserve"> {true}                                             </w:t>
      </w:r>
      <w:r w:rsidRPr="00FA0D37">
        <w:rPr>
          <w:color w:val="993366"/>
        </w:rPr>
        <w:t>OPTIONAL</w:t>
      </w:r>
      <w:r w:rsidR="000A6CD2" w:rsidRPr="00FA0D37">
        <w:t>,</w:t>
      </w:r>
      <w:r w:rsidRPr="00FA0D37">
        <w:t xml:space="preserve"> </w:t>
      </w:r>
      <w:r w:rsidRPr="00FA0D37">
        <w:rPr>
          <w:color w:val="808080"/>
        </w:rPr>
        <w:t>-- Need R</w:t>
      </w:r>
    </w:p>
    <w:p w14:paraId="685ED155" w14:textId="224739A8" w:rsidR="000A6CD2" w:rsidRPr="00FA0D37" w:rsidRDefault="000A6CD2" w:rsidP="00FA0D37">
      <w:pPr>
        <w:pStyle w:val="PL"/>
        <w:rPr>
          <w:color w:val="808080"/>
        </w:rPr>
      </w:pPr>
      <w:r w:rsidRPr="00FA0D37">
        <w:t xml:space="preserve">    musim-GapAssistanceConfig-r17           SetupRelease {MUSIM-GapAssistanceConfig-r17}                  </w:t>
      </w:r>
      <w:r w:rsidRPr="00FA0D37">
        <w:rPr>
          <w:color w:val="993366"/>
        </w:rPr>
        <w:t>OPTIONAL</w:t>
      </w:r>
      <w:r w:rsidRPr="00FA0D37">
        <w:t xml:space="preserve">, </w:t>
      </w:r>
      <w:r w:rsidRPr="00FA0D37">
        <w:rPr>
          <w:color w:val="808080"/>
        </w:rPr>
        <w:t>-- Need M</w:t>
      </w:r>
    </w:p>
    <w:p w14:paraId="7E858F98" w14:textId="1FCBCF42" w:rsidR="000A6CD2" w:rsidRPr="00FA0D37" w:rsidRDefault="000A6CD2" w:rsidP="00FA0D37">
      <w:pPr>
        <w:pStyle w:val="PL"/>
        <w:rPr>
          <w:color w:val="808080"/>
        </w:rPr>
      </w:pPr>
      <w:r w:rsidRPr="00FA0D37">
        <w:t xml:space="preserve">    musim-LeaveAssistanceConfig-r17         SetupRelease {MUSIM-LeaveAssistanceConfig-r17}                </w:t>
      </w:r>
      <w:r w:rsidRPr="00FA0D37">
        <w:rPr>
          <w:color w:val="993366"/>
        </w:rPr>
        <w:t>OPTIONAL</w:t>
      </w:r>
      <w:r w:rsidR="00E84B6D" w:rsidRPr="00FA0D37">
        <w:t>,</w:t>
      </w:r>
      <w:r w:rsidRPr="00FA0D37">
        <w:t xml:space="preserve"> </w:t>
      </w:r>
      <w:r w:rsidRPr="00FA0D37">
        <w:rPr>
          <w:color w:val="808080"/>
        </w:rPr>
        <w:t>-- Need M</w:t>
      </w:r>
    </w:p>
    <w:p w14:paraId="7A780A50" w14:textId="706E2509" w:rsidR="00E84B6D" w:rsidRPr="00FA0D37" w:rsidRDefault="00E84B6D" w:rsidP="00FA0D37">
      <w:pPr>
        <w:pStyle w:val="PL"/>
        <w:rPr>
          <w:color w:val="808080"/>
        </w:rPr>
      </w:pPr>
      <w:r w:rsidRPr="00FA0D37">
        <w:t xml:space="preserve">    successHO-Config-r17                    SetupRelease {SuccessHO-Config-r17}                           </w:t>
      </w:r>
      <w:r w:rsidRPr="00FA0D37">
        <w:rPr>
          <w:color w:val="993366"/>
        </w:rPr>
        <w:t>OPTIONAL</w:t>
      </w:r>
      <w:r w:rsidR="00727F8C" w:rsidRPr="00FA0D37">
        <w:t>,</w:t>
      </w:r>
      <w:r w:rsidRPr="00FA0D37">
        <w:t xml:space="preserve"> </w:t>
      </w:r>
      <w:r w:rsidRPr="00FA0D37">
        <w:rPr>
          <w:color w:val="808080"/>
        </w:rPr>
        <w:t>-- Need M</w:t>
      </w:r>
    </w:p>
    <w:p w14:paraId="3180C062" w14:textId="5F1318E2" w:rsidR="00727F8C" w:rsidRPr="00FA0D37" w:rsidRDefault="00727F8C" w:rsidP="00FA0D37">
      <w:pPr>
        <w:pStyle w:val="PL"/>
        <w:rPr>
          <w:color w:val="808080"/>
        </w:rPr>
      </w:pPr>
      <w:r w:rsidRPr="00FA0D37">
        <w:t xml:space="preserve">    maxBW-PreferenceConfigFR2-2-r17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maxBW</w:t>
      </w:r>
    </w:p>
    <w:p w14:paraId="33613955" w14:textId="6FA4BAAE" w:rsidR="00727F8C" w:rsidRPr="00FA0D37" w:rsidRDefault="00727F8C" w:rsidP="00FA0D37">
      <w:pPr>
        <w:pStyle w:val="PL"/>
        <w:rPr>
          <w:color w:val="808080"/>
        </w:rPr>
      </w:pPr>
      <w:r w:rsidRPr="00FA0D37">
        <w:t xml:space="preserve">    maxMIMO-LayerPreferenceConfigFR2-2-r17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maxMIMO</w:t>
      </w:r>
    </w:p>
    <w:p w14:paraId="49661CD3" w14:textId="56E8A329" w:rsidR="00727F8C" w:rsidRPr="00FA0D37" w:rsidRDefault="00727F8C" w:rsidP="00FA0D37">
      <w:pPr>
        <w:pStyle w:val="PL"/>
        <w:rPr>
          <w:color w:val="808080"/>
        </w:rPr>
      </w:pPr>
      <w:r w:rsidRPr="00FA0D37">
        <w:t xml:space="preserve">    minSchedulingOffsetPreferenceConfigExt-r17  </w:t>
      </w:r>
      <w:r w:rsidRPr="00FA0D37">
        <w:rPr>
          <w:color w:val="993366"/>
        </w:rPr>
        <w:t>ENUMERATED</w:t>
      </w:r>
      <w:r w:rsidRPr="00FA0D37">
        <w:t xml:space="preserve"> {true}                                         </w:t>
      </w:r>
      <w:r w:rsidRPr="00FA0D37">
        <w:rPr>
          <w:color w:val="993366"/>
        </w:rPr>
        <w:t>OPTIONAL</w:t>
      </w:r>
      <w:r w:rsidR="00A73A2D" w:rsidRPr="00FA0D37">
        <w:t>,</w:t>
      </w:r>
      <w:r w:rsidRPr="00FA0D37">
        <w:t xml:space="preserve"> </w:t>
      </w:r>
      <w:r w:rsidRPr="00FA0D37">
        <w:rPr>
          <w:color w:val="808080"/>
        </w:rPr>
        <w:t>-- Cond minOffset</w:t>
      </w:r>
    </w:p>
    <w:p w14:paraId="66A4B670" w14:textId="527D8DC0" w:rsidR="00A73A2D" w:rsidRPr="00FA0D37" w:rsidRDefault="00A73A2D" w:rsidP="00FA0D37">
      <w:pPr>
        <w:pStyle w:val="PL"/>
        <w:rPr>
          <w:color w:val="808080"/>
        </w:rPr>
      </w:pPr>
      <w:r w:rsidRPr="00FA0D37">
        <w:t xml:space="preserve">    rlm-RelaxationReportingConfig-r17       SetupRelease {RLM-RelaxationReportingConfig-r17}              </w:t>
      </w:r>
      <w:r w:rsidRPr="00FA0D37">
        <w:rPr>
          <w:color w:val="993366"/>
        </w:rPr>
        <w:t>OPTIONAL</w:t>
      </w:r>
      <w:r w:rsidRPr="00FA0D37">
        <w:t xml:space="preserve">, </w:t>
      </w:r>
      <w:r w:rsidRPr="00FA0D37">
        <w:rPr>
          <w:color w:val="808080"/>
        </w:rPr>
        <w:t>-- Need M</w:t>
      </w:r>
    </w:p>
    <w:p w14:paraId="3471239C" w14:textId="737EF047" w:rsidR="00A73A2D" w:rsidRPr="00FA0D37" w:rsidRDefault="00A73A2D" w:rsidP="00FA0D37">
      <w:pPr>
        <w:pStyle w:val="PL"/>
        <w:rPr>
          <w:color w:val="808080"/>
        </w:rPr>
      </w:pPr>
      <w:r w:rsidRPr="00FA0D37">
        <w:t xml:space="preserve">    bfd-RelaxationReportingConfig-r17       SetupRelease {BFD-RelaxationReportingConfig-r17}              </w:t>
      </w:r>
      <w:r w:rsidRPr="00FA0D37">
        <w:rPr>
          <w:color w:val="993366"/>
        </w:rPr>
        <w:t>OPTIONAL</w:t>
      </w:r>
      <w:r w:rsidR="00DB6B82" w:rsidRPr="00FA0D37">
        <w:t>,</w:t>
      </w:r>
      <w:r w:rsidRPr="00FA0D37">
        <w:t xml:space="preserve"> </w:t>
      </w:r>
      <w:r w:rsidRPr="00FA0D37">
        <w:rPr>
          <w:color w:val="808080"/>
        </w:rPr>
        <w:t>-- Need M</w:t>
      </w:r>
    </w:p>
    <w:p w14:paraId="4B8922C0" w14:textId="35BBDE21" w:rsidR="00DB6B82" w:rsidRPr="00FA0D37" w:rsidRDefault="00DB6B82" w:rsidP="00FA0D37">
      <w:pPr>
        <w:pStyle w:val="PL"/>
        <w:rPr>
          <w:color w:val="808080"/>
        </w:rPr>
      </w:pPr>
      <w:r w:rsidRPr="00FA0D37">
        <w:t xml:space="preserve">    scg-DeactivationPreferenceConfig-r17    SetupRelease {SCG-DeactivationPreferenceConfig-r17}           </w:t>
      </w:r>
      <w:r w:rsidRPr="00FA0D37">
        <w:rPr>
          <w:color w:val="993366"/>
        </w:rPr>
        <w:t>OPTIONAL</w:t>
      </w:r>
      <w:r w:rsidR="00C85859" w:rsidRPr="00FA0D37">
        <w:t>,</w:t>
      </w:r>
      <w:r w:rsidRPr="00FA0D37">
        <w:t xml:space="preserve"> </w:t>
      </w:r>
      <w:r w:rsidRPr="00FA0D37">
        <w:rPr>
          <w:color w:val="808080"/>
        </w:rPr>
        <w:t xml:space="preserve">-- </w:t>
      </w:r>
      <w:r w:rsidR="009C015E" w:rsidRPr="00FA0D37">
        <w:rPr>
          <w:color w:val="808080"/>
        </w:rPr>
        <w:t>Cond SCG</w:t>
      </w:r>
    </w:p>
    <w:p w14:paraId="73AE2669" w14:textId="6DE14EE0" w:rsidR="0090199E" w:rsidRPr="00FA0D37" w:rsidRDefault="00C85859" w:rsidP="00FA0D37">
      <w:pPr>
        <w:pStyle w:val="PL"/>
        <w:rPr>
          <w:color w:val="808080"/>
        </w:rPr>
      </w:pPr>
      <w:r w:rsidRPr="00FA0D37">
        <w:t xml:space="preserve">    rrm-MeasRelaxationReportingConfig-r17   SetupRelease {RRM-MeasRelaxationReportingConfig-r17}          </w:t>
      </w:r>
      <w:r w:rsidRPr="00FA0D37">
        <w:rPr>
          <w:color w:val="993366"/>
        </w:rPr>
        <w:t>OPTIONAL</w:t>
      </w:r>
      <w:r w:rsidR="0090199E" w:rsidRPr="00FA0D37">
        <w:t>,</w:t>
      </w:r>
      <w:r w:rsidRPr="00FA0D37">
        <w:t xml:space="preserve"> </w:t>
      </w:r>
      <w:r w:rsidRPr="00FA0D37">
        <w:rPr>
          <w:color w:val="808080"/>
        </w:rPr>
        <w:t>-- Need M</w:t>
      </w:r>
    </w:p>
    <w:p w14:paraId="06FA983D" w14:textId="12F2286A" w:rsidR="00C85859" w:rsidRPr="00FA0D37" w:rsidRDefault="0090199E" w:rsidP="00FA0D37">
      <w:pPr>
        <w:pStyle w:val="PL"/>
        <w:rPr>
          <w:color w:val="808080"/>
        </w:rPr>
      </w:pPr>
      <w:r w:rsidRPr="00FA0D37">
        <w:t xml:space="preserve">    propDelayDiffReportConfig-r17           SetupRelease {PropDelayDiffReportConfig-r17}                  </w:t>
      </w:r>
      <w:r w:rsidRPr="00FA0D37">
        <w:rPr>
          <w:color w:val="993366"/>
        </w:rPr>
        <w:t>OPTIONAL</w:t>
      </w:r>
      <w:r w:rsidRPr="00FA0D37">
        <w:t xml:space="preserve">  </w:t>
      </w:r>
      <w:r w:rsidRPr="00FA0D37">
        <w:rPr>
          <w:color w:val="808080"/>
        </w:rPr>
        <w:t>-- Need M</w:t>
      </w:r>
    </w:p>
    <w:p w14:paraId="224BD384" w14:textId="4B69C9D7" w:rsidR="00394471" w:rsidRPr="00FA0D37" w:rsidRDefault="00243878" w:rsidP="00FA0D37">
      <w:pPr>
        <w:pStyle w:val="PL"/>
      </w:pPr>
      <w:r w:rsidRPr="00FA0D37">
        <w:t>}</w:t>
      </w:r>
    </w:p>
    <w:p w14:paraId="7E700F99" w14:textId="472125AA" w:rsidR="00A73A2D" w:rsidRPr="00FA0D37" w:rsidRDefault="00A73A2D" w:rsidP="00FA0D37">
      <w:pPr>
        <w:pStyle w:val="PL"/>
      </w:pPr>
    </w:p>
    <w:p w14:paraId="75F4E5BE" w14:textId="77777777" w:rsidR="006658B2" w:rsidRPr="00FA0D37" w:rsidRDefault="006658B2" w:rsidP="00FA0D37">
      <w:pPr>
        <w:pStyle w:val="PL"/>
      </w:pPr>
      <w:r w:rsidRPr="00FA0D37">
        <w:t xml:space="preserve">CandidateServingFreqListNR-r16 ::= </w:t>
      </w:r>
      <w:r w:rsidRPr="00FA0D37">
        <w:rPr>
          <w:color w:val="993366"/>
        </w:rPr>
        <w:t>SEQUENCE</w:t>
      </w:r>
      <w:r w:rsidRPr="00FA0D37">
        <w:t xml:space="preserve"> (</w:t>
      </w:r>
      <w:r w:rsidRPr="00FA0D37">
        <w:rPr>
          <w:color w:val="993366"/>
        </w:rPr>
        <w:t>SIZE</w:t>
      </w:r>
      <w:r w:rsidRPr="00FA0D37">
        <w:t xml:space="preserve"> (1..maxFreqIDC-r16))</w:t>
      </w:r>
      <w:r w:rsidRPr="00FA0D37">
        <w:rPr>
          <w:color w:val="993366"/>
        </w:rPr>
        <w:t xml:space="preserve"> OF</w:t>
      </w:r>
      <w:r w:rsidRPr="00FA0D37">
        <w:t xml:space="preserve"> ARFCN-ValueNR</w:t>
      </w:r>
    </w:p>
    <w:p w14:paraId="5DAED53B" w14:textId="77777777" w:rsidR="006658B2" w:rsidRPr="00FA0D37" w:rsidRDefault="006658B2" w:rsidP="00FA0D37">
      <w:pPr>
        <w:pStyle w:val="PL"/>
      </w:pPr>
    </w:p>
    <w:p w14:paraId="709FD0C0" w14:textId="618EBB73" w:rsidR="000A6CD2" w:rsidRPr="00FA0D37" w:rsidRDefault="000A6CD2" w:rsidP="00FA0D37">
      <w:pPr>
        <w:pStyle w:val="PL"/>
      </w:pPr>
      <w:r w:rsidRPr="00FA0D37">
        <w:t xml:space="preserve">MUSIM-GapAssistanceConfig-r17 ::= </w:t>
      </w:r>
      <w:r w:rsidRPr="00FA0D37">
        <w:rPr>
          <w:color w:val="993366"/>
        </w:rPr>
        <w:t>SEQUENCE</w:t>
      </w:r>
      <w:r w:rsidRPr="00FA0D37">
        <w:t xml:space="preserve"> {</w:t>
      </w:r>
    </w:p>
    <w:p w14:paraId="3E183AF1" w14:textId="7A81A357" w:rsidR="000A6CD2" w:rsidRPr="00FA0D37" w:rsidRDefault="000A6CD2" w:rsidP="00FA0D37">
      <w:pPr>
        <w:pStyle w:val="PL"/>
      </w:pPr>
      <w:r w:rsidRPr="00FA0D37">
        <w:t xml:space="preserve">    musim-GapProhibitTimer-r17        </w:t>
      </w:r>
      <w:r w:rsidRPr="00FA0D37">
        <w:rPr>
          <w:color w:val="993366"/>
        </w:rPr>
        <w:t>ENUMERATED</w:t>
      </w:r>
      <w:r w:rsidRPr="00FA0D37">
        <w:t xml:space="preserve"> {s0, s0dot1, s0dot2, s0dot3, s0dot4, s0dot5, s1, s2, s3, s4, s5, s6, s7, s8, s9, s10}</w:t>
      </w:r>
    </w:p>
    <w:p w14:paraId="429A020C" w14:textId="1563C53E" w:rsidR="000A6CD2" w:rsidRPr="00FA0D37" w:rsidRDefault="000A6CD2" w:rsidP="00FA0D37">
      <w:pPr>
        <w:pStyle w:val="PL"/>
      </w:pPr>
      <w:r w:rsidRPr="00FA0D37">
        <w:t>}</w:t>
      </w:r>
    </w:p>
    <w:p w14:paraId="2F92924C" w14:textId="77777777" w:rsidR="001775F2" w:rsidRPr="00FA0D37" w:rsidRDefault="001775F2" w:rsidP="00FA0D37">
      <w:pPr>
        <w:pStyle w:val="PL"/>
      </w:pPr>
    </w:p>
    <w:p w14:paraId="294D5FAD" w14:textId="78795156" w:rsidR="000A6CD2" w:rsidRPr="00FA0D37" w:rsidRDefault="000A6CD2" w:rsidP="00FA0D37">
      <w:pPr>
        <w:pStyle w:val="PL"/>
      </w:pPr>
      <w:r w:rsidRPr="00FA0D37">
        <w:t xml:space="preserve">MUSIM-LeaveAssistanceConfig-r17 ::=     </w:t>
      </w:r>
      <w:r w:rsidRPr="00FA0D37">
        <w:rPr>
          <w:color w:val="993366"/>
        </w:rPr>
        <w:t>SEQUENCE</w:t>
      </w:r>
      <w:r w:rsidRPr="00FA0D37">
        <w:t xml:space="preserve"> {</w:t>
      </w:r>
    </w:p>
    <w:p w14:paraId="185C371B" w14:textId="6A37BBC3" w:rsidR="000A6CD2" w:rsidRPr="00FA0D37" w:rsidRDefault="001775F2" w:rsidP="00FA0D37">
      <w:pPr>
        <w:pStyle w:val="PL"/>
      </w:pPr>
      <w:r w:rsidRPr="00FA0D37">
        <w:lastRenderedPageBreak/>
        <w:t xml:space="preserve">    </w:t>
      </w:r>
      <w:r w:rsidR="000A6CD2" w:rsidRPr="00FA0D37">
        <w:t xml:space="preserve">musim-LeaveWithoutResponseTimer-r17     </w:t>
      </w:r>
      <w:r w:rsidR="000A6CD2" w:rsidRPr="00FA0D37">
        <w:rPr>
          <w:color w:val="993366"/>
        </w:rPr>
        <w:t>ENUMERATED</w:t>
      </w:r>
      <w:r w:rsidR="000A6CD2" w:rsidRPr="00FA0D37">
        <w:t xml:space="preserve"> {ms10, ms20, ms40, ms60, ms80, ms100, spare2, spare1}</w:t>
      </w:r>
    </w:p>
    <w:p w14:paraId="24BAD6AF" w14:textId="77777777" w:rsidR="000A6CD2" w:rsidRPr="00FA0D37" w:rsidRDefault="000A6CD2" w:rsidP="00FA0D37">
      <w:pPr>
        <w:pStyle w:val="PL"/>
      </w:pPr>
      <w:r w:rsidRPr="00FA0D37">
        <w:t>}</w:t>
      </w:r>
    </w:p>
    <w:p w14:paraId="0D8ED040" w14:textId="77777777" w:rsidR="00E84B6D" w:rsidRPr="00FA0D37" w:rsidRDefault="00E84B6D" w:rsidP="00FA0D37">
      <w:pPr>
        <w:pStyle w:val="PL"/>
      </w:pPr>
    </w:p>
    <w:p w14:paraId="6DDFF0DA" w14:textId="732BDBC6" w:rsidR="00E84B6D" w:rsidRPr="00FA0D37" w:rsidRDefault="00E84B6D" w:rsidP="00FA0D37">
      <w:pPr>
        <w:pStyle w:val="PL"/>
      </w:pPr>
      <w:r w:rsidRPr="00FA0D37">
        <w:t xml:space="preserve">SuccessHO-Config-r17 </w:t>
      </w:r>
      <w:r w:rsidR="001C77B5" w:rsidRPr="00FA0D37">
        <w:t>::=</w:t>
      </w:r>
      <w:r w:rsidRPr="00FA0D37">
        <w:t xml:space="preserve">                </w:t>
      </w:r>
      <w:r w:rsidRPr="00FA0D37">
        <w:rPr>
          <w:color w:val="993366"/>
        </w:rPr>
        <w:t>SEQUENCE</w:t>
      </w:r>
      <w:r w:rsidRPr="00FA0D37">
        <w:t xml:space="preserve"> {</w:t>
      </w:r>
    </w:p>
    <w:p w14:paraId="4327D5DA" w14:textId="779BDF7B" w:rsidR="00E84B6D" w:rsidRPr="00FA0D37" w:rsidRDefault="00E84B6D" w:rsidP="00FA0D37">
      <w:pPr>
        <w:pStyle w:val="PL"/>
        <w:rPr>
          <w:color w:val="808080"/>
        </w:rPr>
      </w:pPr>
      <w:r w:rsidRPr="00FA0D37">
        <w:t xml:space="preserve">    thresholdPercentageT304</w:t>
      </w:r>
      <w:r w:rsidR="00E46ADC" w:rsidRPr="00FA0D37">
        <w:t>-r17</w:t>
      </w:r>
      <w:r w:rsidRPr="00FA0D37">
        <w:t xml:space="preserve">             </w:t>
      </w:r>
      <w:r w:rsidRPr="00FA0D37">
        <w:rPr>
          <w:color w:val="993366"/>
        </w:rPr>
        <w:t>ENUMERATED</w:t>
      </w:r>
      <w:r w:rsidRPr="00FA0D37">
        <w:t xml:space="preserve"> {p40, p60, p80, spare5, spare4, spare3, spare2, spare1}      </w:t>
      </w:r>
      <w:r w:rsidRPr="00FA0D37">
        <w:rPr>
          <w:color w:val="993366"/>
        </w:rPr>
        <w:t>OPTIONAL</w:t>
      </w:r>
      <w:r w:rsidRPr="00FA0D37">
        <w:t xml:space="preserve">, </w:t>
      </w:r>
      <w:r w:rsidRPr="00FA0D37">
        <w:rPr>
          <w:color w:val="808080"/>
        </w:rPr>
        <w:t xml:space="preserve">--Need </w:t>
      </w:r>
      <w:r w:rsidR="00946331" w:rsidRPr="00FA0D37">
        <w:rPr>
          <w:color w:val="808080"/>
        </w:rPr>
        <w:t>R</w:t>
      </w:r>
    </w:p>
    <w:p w14:paraId="6A43F35F" w14:textId="31D9787B" w:rsidR="00E84B6D" w:rsidRPr="00FA0D37" w:rsidRDefault="00E84B6D" w:rsidP="00FA0D37">
      <w:pPr>
        <w:pStyle w:val="PL"/>
        <w:rPr>
          <w:color w:val="808080"/>
        </w:rPr>
      </w:pPr>
      <w:r w:rsidRPr="00FA0D37">
        <w:t xml:space="preserve">    thresholdPercentageT310</w:t>
      </w:r>
      <w:r w:rsidR="00E46ADC" w:rsidRPr="00FA0D37">
        <w:t>-r17</w:t>
      </w:r>
      <w:r w:rsidRPr="00FA0D37">
        <w:t xml:space="preserve">             </w:t>
      </w:r>
      <w:r w:rsidRPr="00FA0D37">
        <w:rPr>
          <w:color w:val="993366"/>
        </w:rPr>
        <w:t>ENUMERATED</w:t>
      </w:r>
      <w:r w:rsidRPr="00FA0D37">
        <w:t xml:space="preserve"> {p40, p60, p80, spare5, spare4, spare3, spare2, spare1}      </w:t>
      </w:r>
      <w:r w:rsidRPr="00FA0D37">
        <w:rPr>
          <w:color w:val="993366"/>
        </w:rPr>
        <w:t>OPTIONAL</w:t>
      </w:r>
      <w:r w:rsidRPr="00FA0D37">
        <w:t xml:space="preserve">, </w:t>
      </w:r>
      <w:r w:rsidRPr="00FA0D37">
        <w:rPr>
          <w:color w:val="808080"/>
        </w:rPr>
        <w:t xml:space="preserve">--Need </w:t>
      </w:r>
      <w:r w:rsidR="00946331" w:rsidRPr="00FA0D37">
        <w:rPr>
          <w:color w:val="808080"/>
        </w:rPr>
        <w:t>R</w:t>
      </w:r>
    </w:p>
    <w:p w14:paraId="4BDC61EC" w14:textId="7EEFD7D4" w:rsidR="00E84B6D" w:rsidRPr="00FA0D37" w:rsidRDefault="00E84B6D" w:rsidP="00FA0D37">
      <w:pPr>
        <w:pStyle w:val="PL"/>
        <w:rPr>
          <w:color w:val="808080"/>
        </w:rPr>
      </w:pPr>
      <w:r w:rsidRPr="00FA0D37">
        <w:t xml:space="preserve">    thresholdPercentageT312</w:t>
      </w:r>
      <w:r w:rsidR="00E46ADC" w:rsidRPr="00FA0D37">
        <w:t>-r17</w:t>
      </w:r>
      <w:r w:rsidRPr="00FA0D37">
        <w:t xml:space="preserve">             </w:t>
      </w:r>
      <w:r w:rsidRPr="00FA0D37">
        <w:rPr>
          <w:color w:val="993366"/>
        </w:rPr>
        <w:t>ENUMERATED</w:t>
      </w:r>
      <w:r w:rsidRPr="00FA0D37">
        <w:t xml:space="preserve"> {p20, p40, p60, p80, spare4, spare3, spare2, spare1}         </w:t>
      </w:r>
      <w:r w:rsidRPr="00FA0D37">
        <w:rPr>
          <w:color w:val="993366"/>
        </w:rPr>
        <w:t>OPTIONAL</w:t>
      </w:r>
      <w:r w:rsidRPr="00FA0D37">
        <w:t xml:space="preserve">, </w:t>
      </w:r>
      <w:r w:rsidRPr="00FA0D37">
        <w:rPr>
          <w:color w:val="808080"/>
        </w:rPr>
        <w:t xml:space="preserve">--Need </w:t>
      </w:r>
      <w:r w:rsidR="00946331" w:rsidRPr="00FA0D37">
        <w:rPr>
          <w:color w:val="808080"/>
        </w:rPr>
        <w:t>R</w:t>
      </w:r>
    </w:p>
    <w:p w14:paraId="60A56F7A" w14:textId="5237D55A" w:rsidR="00E84B6D" w:rsidRPr="00FA0D37" w:rsidRDefault="00E84B6D" w:rsidP="00FA0D37">
      <w:pPr>
        <w:pStyle w:val="PL"/>
        <w:rPr>
          <w:color w:val="808080"/>
        </w:rPr>
      </w:pPr>
      <w:r w:rsidRPr="00FA0D37">
        <w:t xml:space="preserve">    sourceDAPS</w:t>
      </w:r>
      <w:r w:rsidR="006665C6" w:rsidRPr="00FA0D37">
        <w:t>-</w:t>
      </w:r>
      <w:r w:rsidRPr="00FA0D37">
        <w:t>FailureReporting</w:t>
      </w:r>
      <w:r w:rsidR="00E46ADC" w:rsidRPr="00FA0D37">
        <w:t>-r17</w:t>
      </w:r>
      <w:r w:rsidRPr="00FA0D37">
        <w:t xml:space="preserv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xml:space="preserve">--Need </w:t>
      </w:r>
      <w:r w:rsidR="00946331" w:rsidRPr="00FA0D37">
        <w:rPr>
          <w:color w:val="808080"/>
        </w:rPr>
        <w:t>R</w:t>
      </w:r>
    </w:p>
    <w:p w14:paraId="45B285DE" w14:textId="77777777" w:rsidR="00E84B6D" w:rsidRPr="00FA0D37" w:rsidRDefault="00E84B6D" w:rsidP="00FA0D37">
      <w:pPr>
        <w:pStyle w:val="PL"/>
      </w:pPr>
      <w:r w:rsidRPr="00FA0D37">
        <w:t xml:space="preserve">    ...</w:t>
      </w:r>
    </w:p>
    <w:p w14:paraId="6CC67AB9" w14:textId="77777777" w:rsidR="00E84B6D" w:rsidRPr="00FA0D37" w:rsidRDefault="00E84B6D" w:rsidP="00FA0D37">
      <w:pPr>
        <w:pStyle w:val="PL"/>
      </w:pPr>
      <w:r w:rsidRPr="00FA0D37">
        <w:t>}</w:t>
      </w:r>
    </w:p>
    <w:p w14:paraId="12F3897B" w14:textId="77777777" w:rsidR="000A6CD2" w:rsidRPr="00FA0D37" w:rsidRDefault="000A6CD2" w:rsidP="00FA0D37">
      <w:pPr>
        <w:pStyle w:val="PL"/>
      </w:pPr>
    </w:p>
    <w:p w14:paraId="51FE3503" w14:textId="77777777" w:rsidR="00394471" w:rsidRPr="00FA0D37" w:rsidRDefault="00394471" w:rsidP="00FA0D37">
      <w:pPr>
        <w:pStyle w:val="PL"/>
      </w:pPr>
      <w:r w:rsidRPr="00FA0D37">
        <w:t xml:space="preserve">OverheatingAssistanceConfig ::= </w:t>
      </w:r>
      <w:r w:rsidRPr="00FA0D37">
        <w:rPr>
          <w:color w:val="993366"/>
        </w:rPr>
        <w:t>SEQUENCE</w:t>
      </w:r>
      <w:r w:rsidRPr="00FA0D37">
        <w:t xml:space="preserve"> {</w:t>
      </w:r>
    </w:p>
    <w:p w14:paraId="20448790" w14:textId="77777777" w:rsidR="00394471" w:rsidRPr="00FA0D37" w:rsidRDefault="00394471" w:rsidP="00FA0D37">
      <w:pPr>
        <w:pStyle w:val="PL"/>
      </w:pPr>
      <w:r w:rsidRPr="00FA0D37">
        <w:t xml:space="preserve">    overheatingIndicationProhibitTimer    </w:t>
      </w:r>
      <w:r w:rsidRPr="00FA0D37">
        <w:rPr>
          <w:color w:val="993366"/>
        </w:rPr>
        <w:t>ENUMERATED</w:t>
      </w:r>
      <w:r w:rsidRPr="00FA0D37">
        <w:t xml:space="preserve"> {s0, s0dot5, s1, s2, s5, s10, s20, s30,</w:t>
      </w:r>
    </w:p>
    <w:p w14:paraId="00116021" w14:textId="77777777" w:rsidR="00394471" w:rsidRPr="00FA0D37" w:rsidRDefault="00394471" w:rsidP="00FA0D37">
      <w:pPr>
        <w:pStyle w:val="PL"/>
      </w:pPr>
      <w:r w:rsidRPr="00FA0D37">
        <w:t xml:space="preserve">                                          s60, s90, s120, s300, s600, spare3, spare2, spare1}</w:t>
      </w:r>
    </w:p>
    <w:p w14:paraId="35A18A09" w14:textId="77777777" w:rsidR="00394471" w:rsidRPr="00FA0D37" w:rsidRDefault="00394471" w:rsidP="00FA0D37">
      <w:pPr>
        <w:pStyle w:val="PL"/>
      </w:pPr>
      <w:r w:rsidRPr="00FA0D37">
        <w:t>}</w:t>
      </w:r>
    </w:p>
    <w:p w14:paraId="11395005" w14:textId="77777777" w:rsidR="00394471" w:rsidRPr="00FA0D37" w:rsidRDefault="00394471" w:rsidP="00FA0D37">
      <w:pPr>
        <w:pStyle w:val="PL"/>
      </w:pPr>
    </w:p>
    <w:p w14:paraId="5EBF7B46" w14:textId="77777777" w:rsidR="00394471" w:rsidRPr="00FA0D37" w:rsidRDefault="00394471" w:rsidP="00FA0D37">
      <w:pPr>
        <w:pStyle w:val="PL"/>
      </w:pPr>
      <w:r w:rsidRPr="00FA0D37">
        <w:t xml:space="preserve">IDC-AssistanceConfig-r16 ::=    </w:t>
      </w:r>
      <w:r w:rsidRPr="00FA0D37">
        <w:rPr>
          <w:color w:val="993366"/>
        </w:rPr>
        <w:t>SEQUENCE</w:t>
      </w:r>
      <w:r w:rsidRPr="00FA0D37">
        <w:t xml:space="preserve"> {</w:t>
      </w:r>
    </w:p>
    <w:p w14:paraId="72E913C1" w14:textId="77777777" w:rsidR="00394471" w:rsidRPr="00FA0D37" w:rsidRDefault="00394471" w:rsidP="00FA0D37">
      <w:pPr>
        <w:pStyle w:val="PL"/>
        <w:rPr>
          <w:color w:val="808080"/>
        </w:rPr>
      </w:pPr>
      <w:r w:rsidRPr="00FA0D37">
        <w:t xml:space="preserve">    candidateServingFreqListNR-r16  CandidateServingFreqListNR-r16                     </w:t>
      </w:r>
      <w:r w:rsidRPr="00FA0D37">
        <w:rPr>
          <w:color w:val="993366"/>
        </w:rPr>
        <w:t>OPTIONAL</w:t>
      </w:r>
      <w:r w:rsidRPr="00FA0D37">
        <w:t xml:space="preserve">, </w:t>
      </w:r>
      <w:r w:rsidRPr="00FA0D37">
        <w:rPr>
          <w:color w:val="808080"/>
        </w:rPr>
        <w:t>-- Need R</w:t>
      </w:r>
    </w:p>
    <w:p w14:paraId="72A7BF75" w14:textId="77777777" w:rsidR="00394471" w:rsidRPr="00FA0D37" w:rsidRDefault="00394471" w:rsidP="00FA0D37">
      <w:pPr>
        <w:pStyle w:val="PL"/>
      </w:pPr>
      <w:r w:rsidRPr="00FA0D37">
        <w:t xml:space="preserve">    ...</w:t>
      </w:r>
    </w:p>
    <w:p w14:paraId="2868DE85" w14:textId="77777777" w:rsidR="00394471" w:rsidRPr="00FA0D37" w:rsidRDefault="00394471" w:rsidP="00FA0D37">
      <w:pPr>
        <w:pStyle w:val="PL"/>
      </w:pPr>
      <w:r w:rsidRPr="00FA0D37">
        <w:t>}</w:t>
      </w:r>
    </w:p>
    <w:p w14:paraId="5A2D6743" w14:textId="77777777" w:rsidR="00394471" w:rsidRPr="00FA0D37" w:rsidRDefault="00394471" w:rsidP="00FA0D37">
      <w:pPr>
        <w:pStyle w:val="PL"/>
      </w:pPr>
    </w:p>
    <w:p w14:paraId="1ADF521B" w14:textId="77777777" w:rsidR="00394471" w:rsidRPr="00FA0D37" w:rsidRDefault="00394471" w:rsidP="00FA0D37">
      <w:pPr>
        <w:pStyle w:val="PL"/>
      </w:pPr>
      <w:r w:rsidRPr="00FA0D37">
        <w:t xml:space="preserve">DRX-PreferenceConfig-r16 ::=          </w:t>
      </w:r>
      <w:r w:rsidRPr="00FA0D37">
        <w:rPr>
          <w:color w:val="993366"/>
        </w:rPr>
        <w:t>SEQUENCE</w:t>
      </w:r>
      <w:r w:rsidRPr="00FA0D37">
        <w:t xml:space="preserve"> {</w:t>
      </w:r>
    </w:p>
    <w:p w14:paraId="045D8458" w14:textId="77777777" w:rsidR="00394471" w:rsidRPr="00FA0D37" w:rsidRDefault="00394471" w:rsidP="00FA0D37">
      <w:pPr>
        <w:pStyle w:val="PL"/>
      </w:pPr>
      <w:r w:rsidRPr="00FA0D37">
        <w:t xml:space="preserve">    drx-PreferenceProhibitTimer-r16       </w:t>
      </w:r>
      <w:r w:rsidRPr="00FA0D37">
        <w:rPr>
          <w:color w:val="993366"/>
        </w:rPr>
        <w:t>ENUMERATED</w:t>
      </w:r>
      <w:r w:rsidRPr="00FA0D37">
        <w:t xml:space="preserve"> {</w:t>
      </w:r>
    </w:p>
    <w:p w14:paraId="12AACFBB" w14:textId="77777777" w:rsidR="00394471" w:rsidRPr="00FA0D37" w:rsidRDefault="00394471" w:rsidP="00FA0D37">
      <w:pPr>
        <w:pStyle w:val="PL"/>
      </w:pPr>
      <w:r w:rsidRPr="00FA0D37">
        <w:t xml:space="preserve">                                              s0, s0dot5, s1, s2, s3, s4, s5, s6, s7,</w:t>
      </w:r>
    </w:p>
    <w:p w14:paraId="3DEFEF68" w14:textId="77777777" w:rsidR="00394471" w:rsidRPr="00FA0D37" w:rsidRDefault="00394471" w:rsidP="00FA0D37">
      <w:pPr>
        <w:pStyle w:val="PL"/>
      </w:pPr>
      <w:r w:rsidRPr="00FA0D37">
        <w:t xml:space="preserve">                                              s8, s9, s10, s20, s30, spare2, spare1}</w:t>
      </w:r>
    </w:p>
    <w:p w14:paraId="38C044A5" w14:textId="77777777" w:rsidR="00394471" w:rsidRPr="00FA0D37" w:rsidRDefault="00394471" w:rsidP="00FA0D37">
      <w:pPr>
        <w:pStyle w:val="PL"/>
      </w:pPr>
      <w:r w:rsidRPr="00FA0D37">
        <w:t>}</w:t>
      </w:r>
    </w:p>
    <w:p w14:paraId="43163BF1" w14:textId="77777777" w:rsidR="00394471" w:rsidRPr="00FA0D37" w:rsidRDefault="00394471" w:rsidP="00FA0D37">
      <w:pPr>
        <w:pStyle w:val="PL"/>
      </w:pPr>
    </w:p>
    <w:p w14:paraId="470669C3" w14:textId="77777777" w:rsidR="00394471" w:rsidRPr="00FA0D37" w:rsidRDefault="00394471" w:rsidP="00FA0D37">
      <w:pPr>
        <w:pStyle w:val="PL"/>
      </w:pPr>
      <w:r w:rsidRPr="00FA0D37">
        <w:t xml:space="preserve">MaxBW-PreferenceConfig-r16 ::=        </w:t>
      </w:r>
      <w:r w:rsidRPr="00FA0D37">
        <w:rPr>
          <w:color w:val="993366"/>
        </w:rPr>
        <w:t>SEQUENCE</w:t>
      </w:r>
      <w:r w:rsidRPr="00FA0D37">
        <w:t xml:space="preserve"> {</w:t>
      </w:r>
    </w:p>
    <w:p w14:paraId="5C14362E" w14:textId="77777777" w:rsidR="00394471" w:rsidRPr="00FA0D37" w:rsidRDefault="00394471" w:rsidP="00FA0D37">
      <w:pPr>
        <w:pStyle w:val="PL"/>
      </w:pPr>
      <w:r w:rsidRPr="00FA0D37">
        <w:t xml:space="preserve">    maxBW-PreferenceProhibitTimer-r16     </w:t>
      </w:r>
      <w:r w:rsidRPr="00FA0D37">
        <w:rPr>
          <w:color w:val="993366"/>
        </w:rPr>
        <w:t>ENUMERATED</w:t>
      </w:r>
      <w:r w:rsidRPr="00FA0D37">
        <w:t xml:space="preserve"> {</w:t>
      </w:r>
    </w:p>
    <w:p w14:paraId="0E6F6279" w14:textId="77777777" w:rsidR="00394471" w:rsidRPr="00FA0D37" w:rsidRDefault="00394471" w:rsidP="00FA0D37">
      <w:pPr>
        <w:pStyle w:val="PL"/>
      </w:pPr>
      <w:r w:rsidRPr="00FA0D37">
        <w:t xml:space="preserve">                                              s0, s0dot5, s1, s2, s3, s4, s5, s6, s7,</w:t>
      </w:r>
    </w:p>
    <w:p w14:paraId="622174AD" w14:textId="77777777" w:rsidR="00394471" w:rsidRPr="00FA0D37" w:rsidRDefault="00394471" w:rsidP="00FA0D37">
      <w:pPr>
        <w:pStyle w:val="PL"/>
      </w:pPr>
      <w:r w:rsidRPr="00FA0D37">
        <w:t xml:space="preserve">                                              s8, s9, s10, s20, s30, spare2, spare1}</w:t>
      </w:r>
    </w:p>
    <w:p w14:paraId="3885FDF2" w14:textId="77777777" w:rsidR="00394471" w:rsidRPr="00FA0D37" w:rsidRDefault="00394471" w:rsidP="00FA0D37">
      <w:pPr>
        <w:pStyle w:val="PL"/>
      </w:pPr>
      <w:r w:rsidRPr="00FA0D37">
        <w:t>}</w:t>
      </w:r>
    </w:p>
    <w:p w14:paraId="076BF260" w14:textId="77777777" w:rsidR="00394471" w:rsidRPr="00FA0D37" w:rsidRDefault="00394471" w:rsidP="00FA0D37">
      <w:pPr>
        <w:pStyle w:val="PL"/>
      </w:pPr>
    </w:p>
    <w:p w14:paraId="533E0EF6" w14:textId="77777777" w:rsidR="00394471" w:rsidRPr="00FA0D37" w:rsidRDefault="00394471" w:rsidP="00FA0D37">
      <w:pPr>
        <w:pStyle w:val="PL"/>
      </w:pPr>
      <w:r w:rsidRPr="00FA0D37">
        <w:t xml:space="preserve">MaxCC-PreferenceConfig-r16 ::=        </w:t>
      </w:r>
      <w:r w:rsidRPr="00FA0D37">
        <w:rPr>
          <w:color w:val="993366"/>
        </w:rPr>
        <w:t>SEQUENCE</w:t>
      </w:r>
      <w:r w:rsidRPr="00FA0D37">
        <w:t xml:space="preserve"> {</w:t>
      </w:r>
    </w:p>
    <w:p w14:paraId="0ED0D527" w14:textId="77777777" w:rsidR="00394471" w:rsidRPr="00FA0D37" w:rsidRDefault="00394471" w:rsidP="00FA0D37">
      <w:pPr>
        <w:pStyle w:val="PL"/>
      </w:pPr>
      <w:r w:rsidRPr="00FA0D37">
        <w:t xml:space="preserve">    maxCC-PreferenceProhibitTimer-r16     </w:t>
      </w:r>
      <w:r w:rsidRPr="00FA0D37">
        <w:rPr>
          <w:color w:val="993366"/>
        </w:rPr>
        <w:t>ENUMERATED</w:t>
      </w:r>
      <w:r w:rsidRPr="00FA0D37">
        <w:t xml:space="preserve"> {</w:t>
      </w:r>
    </w:p>
    <w:p w14:paraId="7C8DEE37" w14:textId="77777777" w:rsidR="00394471" w:rsidRPr="00FA0D37" w:rsidRDefault="00394471" w:rsidP="00FA0D37">
      <w:pPr>
        <w:pStyle w:val="PL"/>
      </w:pPr>
      <w:r w:rsidRPr="00FA0D37">
        <w:t xml:space="preserve">                                              s0, s0dot5, s1, s2, s3, s4, s5, s6, s7,</w:t>
      </w:r>
    </w:p>
    <w:p w14:paraId="6BF8A4E5" w14:textId="77777777" w:rsidR="00394471" w:rsidRPr="00FA0D37" w:rsidRDefault="00394471" w:rsidP="00FA0D37">
      <w:pPr>
        <w:pStyle w:val="PL"/>
      </w:pPr>
      <w:r w:rsidRPr="00FA0D37">
        <w:t xml:space="preserve">                                              s8, s9, s10, s20, s30, spare2, spare1}</w:t>
      </w:r>
    </w:p>
    <w:p w14:paraId="3CDADB34" w14:textId="77777777" w:rsidR="00394471" w:rsidRPr="00FA0D37" w:rsidRDefault="00394471" w:rsidP="00FA0D37">
      <w:pPr>
        <w:pStyle w:val="PL"/>
      </w:pPr>
      <w:r w:rsidRPr="00FA0D37">
        <w:t>}</w:t>
      </w:r>
    </w:p>
    <w:p w14:paraId="33183707" w14:textId="77777777" w:rsidR="00394471" w:rsidRPr="00FA0D37" w:rsidRDefault="00394471" w:rsidP="00FA0D37">
      <w:pPr>
        <w:pStyle w:val="PL"/>
      </w:pPr>
    </w:p>
    <w:p w14:paraId="4303D8EA" w14:textId="77777777" w:rsidR="00394471" w:rsidRPr="00FA0D37" w:rsidRDefault="00394471" w:rsidP="00FA0D37">
      <w:pPr>
        <w:pStyle w:val="PL"/>
      </w:pPr>
      <w:r w:rsidRPr="00FA0D37">
        <w:t xml:space="preserve">MaxMIMO-LayerPreferenceConfig-r16 ::= </w:t>
      </w:r>
      <w:r w:rsidRPr="00FA0D37">
        <w:rPr>
          <w:color w:val="993366"/>
        </w:rPr>
        <w:t>SEQUENCE</w:t>
      </w:r>
      <w:r w:rsidRPr="00FA0D37">
        <w:t xml:space="preserve"> {</w:t>
      </w:r>
    </w:p>
    <w:p w14:paraId="05A56CE4" w14:textId="77777777" w:rsidR="00394471" w:rsidRPr="00FA0D37" w:rsidRDefault="00394471" w:rsidP="00FA0D37">
      <w:pPr>
        <w:pStyle w:val="PL"/>
      </w:pPr>
      <w:r w:rsidRPr="00FA0D37">
        <w:t xml:space="preserve">    maxMIMO-LayerPreferenceProhibitTimer-r16 </w:t>
      </w:r>
      <w:r w:rsidRPr="00FA0D37">
        <w:rPr>
          <w:color w:val="993366"/>
        </w:rPr>
        <w:t>ENUMERATED</w:t>
      </w:r>
      <w:r w:rsidRPr="00FA0D37">
        <w:t xml:space="preserve"> {</w:t>
      </w:r>
    </w:p>
    <w:p w14:paraId="364F1F2D" w14:textId="77777777" w:rsidR="00394471" w:rsidRPr="00FA0D37" w:rsidRDefault="00394471" w:rsidP="00FA0D37">
      <w:pPr>
        <w:pStyle w:val="PL"/>
      </w:pPr>
      <w:r w:rsidRPr="00FA0D37">
        <w:t xml:space="preserve">                                                 s0, s0dot5, s1, s2, s3, s4, s5, s6, s7,</w:t>
      </w:r>
    </w:p>
    <w:p w14:paraId="146BCB9B" w14:textId="77777777" w:rsidR="00394471" w:rsidRPr="00FA0D37" w:rsidRDefault="00394471" w:rsidP="00FA0D37">
      <w:pPr>
        <w:pStyle w:val="PL"/>
      </w:pPr>
      <w:r w:rsidRPr="00FA0D37">
        <w:t xml:space="preserve">                                                 s8, s9, s10, s20, s30, spare2, spare1}</w:t>
      </w:r>
    </w:p>
    <w:p w14:paraId="066EAD03" w14:textId="77777777" w:rsidR="00394471" w:rsidRPr="00FA0D37" w:rsidRDefault="00394471" w:rsidP="00FA0D37">
      <w:pPr>
        <w:pStyle w:val="PL"/>
      </w:pPr>
      <w:r w:rsidRPr="00FA0D37">
        <w:t>}</w:t>
      </w:r>
    </w:p>
    <w:p w14:paraId="5EF00C4D" w14:textId="77777777" w:rsidR="00394471" w:rsidRPr="00FA0D37" w:rsidRDefault="00394471" w:rsidP="00FA0D37">
      <w:pPr>
        <w:pStyle w:val="PL"/>
      </w:pPr>
    </w:p>
    <w:p w14:paraId="3A14D95D" w14:textId="77777777" w:rsidR="00394471" w:rsidRPr="00FA0D37" w:rsidRDefault="00394471" w:rsidP="00FA0D37">
      <w:pPr>
        <w:pStyle w:val="PL"/>
      </w:pPr>
      <w:r w:rsidRPr="00FA0D37">
        <w:t xml:space="preserve">MinSchedulingOffsetPreferenceConfig-r16 ::=   </w:t>
      </w:r>
      <w:r w:rsidRPr="00FA0D37">
        <w:rPr>
          <w:color w:val="993366"/>
        </w:rPr>
        <w:t>SEQUENCE</w:t>
      </w:r>
      <w:r w:rsidRPr="00FA0D37">
        <w:t xml:space="preserve"> {</w:t>
      </w:r>
    </w:p>
    <w:p w14:paraId="4CE39422" w14:textId="77777777" w:rsidR="00394471" w:rsidRPr="00FA0D37" w:rsidRDefault="00394471" w:rsidP="00FA0D37">
      <w:pPr>
        <w:pStyle w:val="PL"/>
      </w:pPr>
      <w:r w:rsidRPr="00FA0D37">
        <w:t xml:space="preserve">    minSchedulingOffsetPreferenceProhibitTimer-r16 </w:t>
      </w:r>
      <w:r w:rsidRPr="00FA0D37">
        <w:rPr>
          <w:color w:val="993366"/>
        </w:rPr>
        <w:t>ENUMERATED</w:t>
      </w:r>
      <w:r w:rsidRPr="00FA0D37">
        <w:t xml:space="preserve"> {</w:t>
      </w:r>
    </w:p>
    <w:p w14:paraId="51B6C3E7" w14:textId="77777777" w:rsidR="00394471" w:rsidRPr="00FA0D37" w:rsidRDefault="00394471" w:rsidP="00FA0D37">
      <w:pPr>
        <w:pStyle w:val="PL"/>
      </w:pPr>
      <w:r w:rsidRPr="00FA0D37">
        <w:t xml:space="preserve">                                                       s0, s0dot5, s1, s2, s3, s4, s5, s6, s7,</w:t>
      </w:r>
    </w:p>
    <w:p w14:paraId="6B864FCE" w14:textId="77777777" w:rsidR="00394471" w:rsidRPr="00FA0D37" w:rsidRDefault="00394471" w:rsidP="00FA0D37">
      <w:pPr>
        <w:pStyle w:val="PL"/>
      </w:pPr>
      <w:r w:rsidRPr="00FA0D37">
        <w:t xml:space="preserve">                                                       s8, s9, s10, s20, s30, spare2, spare1}</w:t>
      </w:r>
    </w:p>
    <w:p w14:paraId="1AB07857" w14:textId="77777777" w:rsidR="00394471" w:rsidRPr="00FA0D37" w:rsidRDefault="00394471" w:rsidP="00FA0D37">
      <w:pPr>
        <w:pStyle w:val="PL"/>
      </w:pPr>
      <w:r w:rsidRPr="00FA0D37">
        <w:t>}</w:t>
      </w:r>
    </w:p>
    <w:p w14:paraId="7F0567A9" w14:textId="77777777" w:rsidR="00394471" w:rsidRPr="00FA0D37" w:rsidRDefault="00394471" w:rsidP="00FA0D37">
      <w:pPr>
        <w:pStyle w:val="PL"/>
      </w:pPr>
    </w:p>
    <w:p w14:paraId="0D66B83B" w14:textId="77777777" w:rsidR="00394471" w:rsidRPr="00FA0D37" w:rsidRDefault="00394471" w:rsidP="00FA0D37">
      <w:pPr>
        <w:pStyle w:val="PL"/>
      </w:pPr>
      <w:r w:rsidRPr="00FA0D37">
        <w:lastRenderedPageBreak/>
        <w:t xml:space="preserve">ReleasePreferenceConfig-r16 ::=       </w:t>
      </w:r>
      <w:r w:rsidRPr="00FA0D37">
        <w:rPr>
          <w:color w:val="993366"/>
        </w:rPr>
        <w:t>SEQUENCE</w:t>
      </w:r>
      <w:r w:rsidRPr="00FA0D37">
        <w:t xml:space="preserve"> {</w:t>
      </w:r>
    </w:p>
    <w:p w14:paraId="38B67066" w14:textId="77777777" w:rsidR="00394471" w:rsidRPr="00FA0D37" w:rsidRDefault="00394471" w:rsidP="00FA0D37">
      <w:pPr>
        <w:pStyle w:val="PL"/>
      </w:pPr>
      <w:r w:rsidRPr="00FA0D37">
        <w:t xml:space="preserve">    releasePreferenceProhibitTimer-r16    </w:t>
      </w:r>
      <w:r w:rsidRPr="00FA0D37">
        <w:rPr>
          <w:color w:val="993366"/>
        </w:rPr>
        <w:t>ENUMERATED</w:t>
      </w:r>
      <w:r w:rsidRPr="00FA0D37">
        <w:t xml:space="preserve"> {</w:t>
      </w:r>
    </w:p>
    <w:p w14:paraId="4A02BF0A" w14:textId="77777777" w:rsidR="00394471" w:rsidRPr="00FA0D37" w:rsidRDefault="00394471" w:rsidP="00FA0D37">
      <w:pPr>
        <w:pStyle w:val="PL"/>
      </w:pPr>
      <w:r w:rsidRPr="00FA0D37">
        <w:t xml:space="preserve">                                              s0, s0dot5, s1, s2, s3, s4, s5, s6, s7,</w:t>
      </w:r>
    </w:p>
    <w:p w14:paraId="6667AF22" w14:textId="77777777" w:rsidR="00394471" w:rsidRPr="00FA0D37" w:rsidRDefault="00394471" w:rsidP="00FA0D37">
      <w:pPr>
        <w:pStyle w:val="PL"/>
      </w:pPr>
      <w:r w:rsidRPr="00FA0D37">
        <w:t xml:space="preserve">                                              s8, s9, s10, s20, s30, infinity, spare1},</w:t>
      </w:r>
    </w:p>
    <w:p w14:paraId="32B696A6" w14:textId="77777777" w:rsidR="00394471" w:rsidRPr="00FA0D37" w:rsidRDefault="00394471" w:rsidP="00FA0D37">
      <w:pPr>
        <w:pStyle w:val="PL"/>
        <w:rPr>
          <w:color w:val="808080"/>
        </w:rPr>
      </w:pPr>
      <w:r w:rsidRPr="00FA0D37">
        <w:t xml:space="preserve">    connectedReporting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47FBAD20" w14:textId="77777777" w:rsidR="00A73A2D" w:rsidRPr="00FA0D37" w:rsidRDefault="00394471" w:rsidP="00FA0D37">
      <w:pPr>
        <w:pStyle w:val="PL"/>
        <w:rPr>
          <w:rFonts w:eastAsia="等线"/>
        </w:rPr>
      </w:pPr>
      <w:r w:rsidRPr="00FA0D37">
        <w:t>}</w:t>
      </w:r>
    </w:p>
    <w:p w14:paraId="1D2D8596" w14:textId="77777777" w:rsidR="00A73A2D" w:rsidRPr="00FA0D37" w:rsidRDefault="00A73A2D" w:rsidP="00FA0D37">
      <w:pPr>
        <w:pStyle w:val="PL"/>
        <w:rPr>
          <w:rFonts w:eastAsia="等线"/>
        </w:rPr>
      </w:pPr>
    </w:p>
    <w:p w14:paraId="766A809D" w14:textId="77777777" w:rsidR="00A73A2D" w:rsidRPr="00FA0D37" w:rsidRDefault="00A73A2D" w:rsidP="00FA0D37">
      <w:pPr>
        <w:pStyle w:val="PL"/>
      </w:pPr>
      <w:r w:rsidRPr="00FA0D37">
        <w:t>R</w:t>
      </w:r>
      <w:r w:rsidRPr="00FA0D37">
        <w:rPr>
          <w:rFonts w:eastAsia="等线"/>
        </w:rPr>
        <w:t>L</w:t>
      </w:r>
      <w:r w:rsidRPr="00FA0D37">
        <w:t xml:space="preserve">M-RelaxationReportingConfig-r17 ::= </w:t>
      </w:r>
      <w:r w:rsidRPr="00FA0D37">
        <w:rPr>
          <w:color w:val="993366"/>
        </w:rPr>
        <w:t>SEQUENCE</w:t>
      </w:r>
      <w:r w:rsidRPr="00FA0D37">
        <w:t xml:space="preserve"> {</w:t>
      </w:r>
    </w:p>
    <w:p w14:paraId="6ED4FEEB" w14:textId="35845209" w:rsidR="00A73A2D" w:rsidRPr="00FA0D37" w:rsidRDefault="00A73A2D" w:rsidP="00FA0D37">
      <w:pPr>
        <w:pStyle w:val="PL"/>
      </w:pPr>
      <w:r w:rsidRPr="00FA0D37">
        <w:t xml:space="preserve">    </w:t>
      </w:r>
      <w:r w:rsidRPr="00FA0D37">
        <w:rPr>
          <w:rFonts w:eastAsia="等线"/>
        </w:rPr>
        <w:t>rlm-RelaxtionReporting</w:t>
      </w:r>
      <w:r w:rsidRPr="00FA0D37">
        <w:t xml:space="preserve">ProhibitTimer   </w:t>
      </w:r>
      <w:r w:rsidRPr="00FA0D37">
        <w:rPr>
          <w:color w:val="993366"/>
        </w:rPr>
        <w:t>ENUMERATED</w:t>
      </w:r>
      <w:r w:rsidRPr="00FA0D37">
        <w:t xml:space="preserve"> {s0, s0dot5, s1, s2, s5, s10, s20, s30,</w:t>
      </w:r>
    </w:p>
    <w:p w14:paraId="7C446F2F" w14:textId="77777777" w:rsidR="00A73A2D" w:rsidRPr="00FA0D37" w:rsidRDefault="00A73A2D" w:rsidP="00FA0D37">
      <w:pPr>
        <w:pStyle w:val="PL"/>
      </w:pPr>
      <w:r w:rsidRPr="00FA0D37">
        <w:t xml:space="preserve">                                          s60, s90, s120, s300, s600, infinity, spare2, spare1}</w:t>
      </w:r>
    </w:p>
    <w:p w14:paraId="686A5AFA" w14:textId="77777777" w:rsidR="00A73A2D" w:rsidRPr="00FA0D37" w:rsidRDefault="00A73A2D" w:rsidP="00FA0D37">
      <w:pPr>
        <w:pStyle w:val="PL"/>
        <w:rPr>
          <w:rFonts w:eastAsia="等线"/>
        </w:rPr>
      </w:pPr>
      <w:r w:rsidRPr="00FA0D37">
        <w:t>}</w:t>
      </w:r>
    </w:p>
    <w:p w14:paraId="5331213B" w14:textId="77777777" w:rsidR="00A73A2D" w:rsidRPr="00FA0D37" w:rsidRDefault="00A73A2D" w:rsidP="00FA0D37">
      <w:pPr>
        <w:pStyle w:val="PL"/>
        <w:rPr>
          <w:rFonts w:eastAsia="等线"/>
        </w:rPr>
      </w:pPr>
    </w:p>
    <w:p w14:paraId="1ED4AA4E" w14:textId="77777777" w:rsidR="00A73A2D" w:rsidRPr="00FA0D37" w:rsidRDefault="00A73A2D" w:rsidP="00FA0D37">
      <w:pPr>
        <w:pStyle w:val="PL"/>
      </w:pPr>
      <w:r w:rsidRPr="00FA0D37">
        <w:rPr>
          <w:rFonts w:eastAsia="等线"/>
        </w:rPr>
        <w:t>BFD</w:t>
      </w:r>
      <w:r w:rsidRPr="00FA0D37">
        <w:t xml:space="preserve">-RelaxationReportingConfig-r17 ::= </w:t>
      </w:r>
      <w:r w:rsidRPr="00FA0D37">
        <w:rPr>
          <w:color w:val="993366"/>
        </w:rPr>
        <w:t>SEQUENCE</w:t>
      </w:r>
      <w:r w:rsidRPr="00FA0D37">
        <w:t xml:space="preserve"> {</w:t>
      </w:r>
    </w:p>
    <w:p w14:paraId="5F962BF4" w14:textId="367389CC" w:rsidR="00A73A2D" w:rsidRPr="00FA0D37" w:rsidRDefault="00A73A2D" w:rsidP="00FA0D37">
      <w:pPr>
        <w:pStyle w:val="PL"/>
      </w:pPr>
      <w:r w:rsidRPr="00FA0D37">
        <w:t xml:space="preserve">    </w:t>
      </w:r>
      <w:r w:rsidRPr="00FA0D37">
        <w:rPr>
          <w:rFonts w:eastAsia="等线"/>
        </w:rPr>
        <w:t>bfd-RelaxtionReporting</w:t>
      </w:r>
      <w:r w:rsidRPr="00FA0D37">
        <w:t xml:space="preserve">ProhibitTimer   </w:t>
      </w:r>
      <w:r w:rsidRPr="00FA0D37">
        <w:rPr>
          <w:color w:val="993366"/>
        </w:rPr>
        <w:t>ENUMERATED</w:t>
      </w:r>
      <w:r w:rsidRPr="00FA0D37">
        <w:t xml:space="preserve"> {s0, s0dot5, s1, s2, s5, s10, s20, s30,</w:t>
      </w:r>
    </w:p>
    <w:p w14:paraId="1F2123A2" w14:textId="77777777" w:rsidR="00A73A2D" w:rsidRPr="00FA0D37" w:rsidRDefault="00A73A2D" w:rsidP="00FA0D37">
      <w:pPr>
        <w:pStyle w:val="PL"/>
      </w:pPr>
      <w:r w:rsidRPr="00FA0D37">
        <w:t xml:space="preserve">                                          s60, s90, s120, s300, s600, infinity, spare2, spare1}</w:t>
      </w:r>
    </w:p>
    <w:p w14:paraId="21BE3C58" w14:textId="5560B838" w:rsidR="00394471" w:rsidRPr="00FA0D37" w:rsidRDefault="00A73A2D" w:rsidP="00FA0D37">
      <w:pPr>
        <w:pStyle w:val="PL"/>
      </w:pPr>
      <w:r w:rsidRPr="00FA0D37">
        <w:t>}</w:t>
      </w:r>
    </w:p>
    <w:p w14:paraId="13ED3498" w14:textId="77777777" w:rsidR="00DB6B82" w:rsidRPr="00FA0D37" w:rsidRDefault="00DB6B82" w:rsidP="00FA0D37">
      <w:pPr>
        <w:pStyle w:val="PL"/>
      </w:pPr>
    </w:p>
    <w:p w14:paraId="0E0778B3" w14:textId="77777777" w:rsidR="00DB6B82" w:rsidRPr="00FA0D37" w:rsidRDefault="00DB6B82" w:rsidP="00FA0D37">
      <w:pPr>
        <w:pStyle w:val="PL"/>
      </w:pPr>
      <w:r w:rsidRPr="00FA0D37">
        <w:t xml:space="preserve">SCG-DeactivationPreferenceConfig-r17 ::=       </w:t>
      </w:r>
      <w:r w:rsidRPr="00FA0D37">
        <w:rPr>
          <w:color w:val="993366"/>
        </w:rPr>
        <w:t>SEQUENCE</w:t>
      </w:r>
      <w:r w:rsidRPr="00FA0D37">
        <w:t xml:space="preserve"> {</w:t>
      </w:r>
    </w:p>
    <w:p w14:paraId="4FAE2E76" w14:textId="77777777" w:rsidR="00DB6B82" w:rsidRPr="00FA0D37" w:rsidRDefault="00DB6B82" w:rsidP="00FA0D37">
      <w:pPr>
        <w:pStyle w:val="PL"/>
      </w:pPr>
      <w:r w:rsidRPr="00FA0D37">
        <w:t xml:space="preserve">    scg-DeactivationPreferenceProhibitTimer-r17    </w:t>
      </w:r>
      <w:r w:rsidRPr="00FA0D37">
        <w:rPr>
          <w:color w:val="993366"/>
        </w:rPr>
        <w:t>ENUMERATED</w:t>
      </w:r>
      <w:r w:rsidRPr="00FA0D37">
        <w:t xml:space="preserve"> {</w:t>
      </w:r>
    </w:p>
    <w:p w14:paraId="683950FD" w14:textId="77777777" w:rsidR="00DB6B82" w:rsidRPr="00FA0D37" w:rsidRDefault="00DB6B82" w:rsidP="00FA0D37">
      <w:pPr>
        <w:pStyle w:val="PL"/>
      </w:pPr>
      <w:r w:rsidRPr="00FA0D37">
        <w:t xml:space="preserve">                                                   s0, s1, s2, s4, s8, s10, s15, s30,</w:t>
      </w:r>
    </w:p>
    <w:p w14:paraId="79E4D7DE" w14:textId="77777777" w:rsidR="00DB6B82" w:rsidRPr="00FA0D37" w:rsidRDefault="00DB6B82" w:rsidP="00FA0D37">
      <w:pPr>
        <w:pStyle w:val="PL"/>
      </w:pPr>
      <w:r w:rsidRPr="00FA0D37">
        <w:t xml:space="preserve">                                                   s60, s120, s180, s240, s300, s600, s900, s1800}</w:t>
      </w:r>
    </w:p>
    <w:p w14:paraId="5B3A574F" w14:textId="77777777" w:rsidR="00DB6B82" w:rsidRPr="00FA0D37" w:rsidRDefault="00DB6B82" w:rsidP="00FA0D37">
      <w:pPr>
        <w:pStyle w:val="PL"/>
      </w:pPr>
      <w:r w:rsidRPr="00FA0D37">
        <w:t>}</w:t>
      </w:r>
    </w:p>
    <w:p w14:paraId="69747C88" w14:textId="77777777" w:rsidR="00C85859" w:rsidRPr="00FA0D37" w:rsidRDefault="00C85859" w:rsidP="00FA0D37">
      <w:pPr>
        <w:pStyle w:val="PL"/>
      </w:pPr>
    </w:p>
    <w:p w14:paraId="02A13156" w14:textId="3C49A5C5" w:rsidR="00C85859" w:rsidRPr="00FA0D37" w:rsidRDefault="00C85859" w:rsidP="00FA0D37">
      <w:pPr>
        <w:pStyle w:val="PL"/>
      </w:pPr>
      <w:r w:rsidRPr="00FA0D37">
        <w:t xml:space="preserve">RRM-MeasRelaxationReportingConfig-r17 ::= </w:t>
      </w:r>
      <w:r w:rsidRPr="00FA0D37">
        <w:rPr>
          <w:color w:val="993366"/>
        </w:rPr>
        <w:t>SEQUENCE</w:t>
      </w:r>
      <w:r w:rsidRPr="00FA0D37">
        <w:t xml:space="preserve"> {</w:t>
      </w:r>
    </w:p>
    <w:p w14:paraId="5FF8CC93" w14:textId="4300C8EB" w:rsidR="00C85859" w:rsidRPr="00FA0D37" w:rsidRDefault="00C85859" w:rsidP="00FA0D37">
      <w:pPr>
        <w:pStyle w:val="PL"/>
      </w:pPr>
      <w:r w:rsidRPr="00FA0D37">
        <w:t xml:space="preserve">    s-SearchDeltaP-Stationary-r17             </w:t>
      </w:r>
      <w:r w:rsidRPr="00FA0D37">
        <w:rPr>
          <w:color w:val="993366"/>
        </w:rPr>
        <w:t>ENUMERATED</w:t>
      </w:r>
      <w:r w:rsidRPr="00FA0D37">
        <w:t xml:space="preserve"> {</w:t>
      </w:r>
      <w:r w:rsidR="00740D03" w:rsidRPr="00FA0D37">
        <w:t xml:space="preserve">dB2, </w:t>
      </w:r>
      <w:r w:rsidRPr="00FA0D37">
        <w:t>dB3, dB6, dB9, dB12, dB15, spare2, spare1},</w:t>
      </w:r>
    </w:p>
    <w:p w14:paraId="635AEB54" w14:textId="3E28A5F4" w:rsidR="00C85859" w:rsidRPr="00FA0D37" w:rsidRDefault="00C85859" w:rsidP="00FA0D37">
      <w:pPr>
        <w:pStyle w:val="PL"/>
      </w:pPr>
      <w:r w:rsidRPr="00FA0D37">
        <w:t xml:space="preserve">    t-SearchDeltaP-Stationary-r17             </w:t>
      </w:r>
      <w:r w:rsidRPr="00FA0D37">
        <w:rPr>
          <w:color w:val="993366"/>
        </w:rPr>
        <w:t>ENUMERATED</w:t>
      </w:r>
      <w:r w:rsidRPr="00FA0D37">
        <w:t xml:space="preserve"> {s5, s10, s20, s30, s60, s120, s180, s240, s300, spare7, spare6, spare5,</w:t>
      </w:r>
    </w:p>
    <w:p w14:paraId="3202E2B0" w14:textId="44F07F64" w:rsidR="00C85859" w:rsidRPr="00FA0D37" w:rsidRDefault="00C85859" w:rsidP="00FA0D37">
      <w:pPr>
        <w:pStyle w:val="PL"/>
      </w:pPr>
      <w:r w:rsidRPr="00FA0D37">
        <w:t xml:space="preserve">                                                          spare4, spare3, spare2, spare1}</w:t>
      </w:r>
    </w:p>
    <w:p w14:paraId="33BF465E" w14:textId="77777777" w:rsidR="00C85859" w:rsidRPr="00FA0D37" w:rsidRDefault="00C85859" w:rsidP="00FA0D37">
      <w:pPr>
        <w:pStyle w:val="PL"/>
      </w:pPr>
      <w:r w:rsidRPr="00FA0D37">
        <w:t>}</w:t>
      </w:r>
    </w:p>
    <w:p w14:paraId="1A1DADE0" w14:textId="1A19275E" w:rsidR="00394471" w:rsidRPr="00FA0D37" w:rsidRDefault="00394471" w:rsidP="00FA0D37">
      <w:pPr>
        <w:pStyle w:val="PL"/>
      </w:pPr>
    </w:p>
    <w:p w14:paraId="11A09015" w14:textId="77777777" w:rsidR="0090199E" w:rsidRPr="00FA0D37" w:rsidRDefault="0090199E" w:rsidP="00FA0D37">
      <w:pPr>
        <w:pStyle w:val="PL"/>
      </w:pPr>
      <w:r w:rsidRPr="00FA0D37">
        <w:t xml:space="preserve">PropDelayDiffReportConfig-r17 ::= </w:t>
      </w:r>
      <w:r w:rsidRPr="00FA0D37">
        <w:rPr>
          <w:color w:val="993366"/>
        </w:rPr>
        <w:t>SEQUENCE</w:t>
      </w:r>
      <w:r w:rsidRPr="00FA0D37">
        <w:t xml:space="preserve"> {</w:t>
      </w:r>
    </w:p>
    <w:p w14:paraId="57C43C49" w14:textId="03455E33" w:rsidR="0090199E" w:rsidRPr="00FA0D37" w:rsidRDefault="0090199E" w:rsidP="00FA0D37">
      <w:pPr>
        <w:pStyle w:val="PL"/>
      </w:pPr>
      <w:r w:rsidRPr="00FA0D37">
        <w:t xml:space="preserve">    threshPropDelayDiff</w:t>
      </w:r>
      <w:r w:rsidR="00EA6373" w:rsidRPr="00FA0D37">
        <w:t>-r17</w:t>
      </w:r>
      <w:r w:rsidRPr="00FA0D37">
        <w:t xml:space="preserve">           </w:t>
      </w:r>
      <w:r w:rsidRPr="00FA0D37">
        <w:rPr>
          <w:color w:val="993366"/>
        </w:rPr>
        <w:t>ENUMERATED</w:t>
      </w:r>
      <w:r w:rsidRPr="00FA0D37">
        <w:t xml:space="preserve"> {ms0dot5, ms1, ms2, ms3, ms4, ms5, ms6 ,ms7, ms8, ms9, ms10, spare5,</w:t>
      </w:r>
    </w:p>
    <w:p w14:paraId="1E49A160" w14:textId="406B3D0A" w:rsidR="0090199E" w:rsidRPr="00FA0D37" w:rsidRDefault="0090199E" w:rsidP="00FA0D37">
      <w:pPr>
        <w:pStyle w:val="PL"/>
        <w:rPr>
          <w:color w:val="808080"/>
        </w:rPr>
      </w:pPr>
      <w:r w:rsidRPr="00FA0D37">
        <w:t xml:space="preserve">                                                          spare4, spare3, spare2, spare1}                </w:t>
      </w:r>
      <w:r w:rsidRPr="00FA0D37">
        <w:rPr>
          <w:color w:val="993366"/>
        </w:rPr>
        <w:t>OPTIONAL</w:t>
      </w:r>
      <w:r w:rsidRPr="00FA0D37">
        <w:t xml:space="preserve">,   </w:t>
      </w:r>
      <w:r w:rsidRPr="00FA0D37">
        <w:rPr>
          <w:color w:val="808080"/>
        </w:rPr>
        <w:t>-- Need M</w:t>
      </w:r>
    </w:p>
    <w:p w14:paraId="09C0A616" w14:textId="04EBC314" w:rsidR="0090199E" w:rsidRPr="00FA0D37" w:rsidRDefault="0090199E" w:rsidP="00FA0D37">
      <w:pPr>
        <w:pStyle w:val="PL"/>
        <w:rPr>
          <w:color w:val="808080"/>
        </w:rPr>
      </w:pPr>
      <w:r w:rsidRPr="00FA0D37">
        <w:t xml:space="preserve">    neighCellInfoList-r17             </w:t>
      </w:r>
      <w:r w:rsidRPr="00FA0D37">
        <w:rPr>
          <w:color w:val="993366"/>
        </w:rPr>
        <w:t>SEQUENCE</w:t>
      </w:r>
      <w:r w:rsidRPr="00FA0D37">
        <w:t xml:space="preserve"> (</w:t>
      </w:r>
      <w:r w:rsidRPr="00FA0D37">
        <w:rPr>
          <w:color w:val="993366"/>
        </w:rPr>
        <w:t>SIZE</w:t>
      </w:r>
      <w:r w:rsidRPr="00FA0D37">
        <w:t xml:space="preserve"> (1..maxCellNTN</w:t>
      </w:r>
      <w:r w:rsidR="009F3B91" w:rsidRPr="00FA0D37">
        <w:t>-r17</w:t>
      </w:r>
      <w:r w:rsidRPr="00FA0D37">
        <w:t>))</w:t>
      </w:r>
      <w:r w:rsidRPr="00FA0D37">
        <w:rPr>
          <w:color w:val="993366"/>
        </w:rPr>
        <w:t xml:space="preserve"> OF</w:t>
      </w:r>
      <w:r w:rsidRPr="00FA0D37">
        <w:t xml:space="preserve"> NeighbourCellInfo-r17         </w:t>
      </w:r>
      <w:r w:rsidRPr="00FA0D37">
        <w:rPr>
          <w:color w:val="993366"/>
        </w:rPr>
        <w:t>OPTIONAL</w:t>
      </w:r>
      <w:r w:rsidRPr="00FA0D37">
        <w:t xml:space="preserve">    </w:t>
      </w:r>
      <w:r w:rsidRPr="00FA0D37">
        <w:rPr>
          <w:color w:val="808080"/>
        </w:rPr>
        <w:t>-- Need M</w:t>
      </w:r>
    </w:p>
    <w:p w14:paraId="3EB05509" w14:textId="77777777" w:rsidR="0090199E" w:rsidRPr="00FA0D37" w:rsidRDefault="0090199E" w:rsidP="00FA0D37">
      <w:pPr>
        <w:pStyle w:val="PL"/>
      </w:pPr>
      <w:r w:rsidRPr="00FA0D37">
        <w:t>}</w:t>
      </w:r>
    </w:p>
    <w:p w14:paraId="0DBB1935" w14:textId="77777777" w:rsidR="0090199E" w:rsidRPr="00FA0D37" w:rsidRDefault="0090199E" w:rsidP="00FA0D37">
      <w:pPr>
        <w:pStyle w:val="PL"/>
      </w:pPr>
    </w:p>
    <w:p w14:paraId="5DC2BF0C" w14:textId="77777777" w:rsidR="0090199E" w:rsidRPr="00FA0D37" w:rsidRDefault="0090199E" w:rsidP="00FA0D37">
      <w:pPr>
        <w:pStyle w:val="PL"/>
      </w:pPr>
      <w:r w:rsidRPr="00FA0D37">
        <w:t xml:space="preserve">NeighbourCellInfo-r17  ::= </w:t>
      </w:r>
      <w:r w:rsidRPr="00FA0D37">
        <w:rPr>
          <w:color w:val="993366"/>
        </w:rPr>
        <w:t>SEQUENCE</w:t>
      </w:r>
      <w:r w:rsidRPr="00FA0D37">
        <w:t xml:space="preserve"> {</w:t>
      </w:r>
    </w:p>
    <w:p w14:paraId="1328236D" w14:textId="77777777" w:rsidR="0090199E" w:rsidRPr="00FA0D37" w:rsidRDefault="0090199E" w:rsidP="00FA0D37">
      <w:pPr>
        <w:pStyle w:val="PL"/>
      </w:pPr>
      <w:r w:rsidRPr="00FA0D37">
        <w:t>epochTime-r17                  EpochTime-r17,</w:t>
      </w:r>
    </w:p>
    <w:p w14:paraId="05E3CDF0" w14:textId="77777777" w:rsidR="0090199E" w:rsidRPr="00FA0D37" w:rsidRDefault="0090199E" w:rsidP="00FA0D37">
      <w:pPr>
        <w:pStyle w:val="PL"/>
      </w:pPr>
      <w:r w:rsidRPr="00FA0D37">
        <w:t>ephemerisInfo-r17              EphemerisInfo-r17</w:t>
      </w:r>
    </w:p>
    <w:p w14:paraId="5207F812" w14:textId="0A30F591" w:rsidR="0090199E" w:rsidRPr="00FA0D37" w:rsidRDefault="0090199E" w:rsidP="00FA0D37">
      <w:pPr>
        <w:pStyle w:val="PL"/>
      </w:pPr>
      <w:r w:rsidRPr="00FA0D37">
        <w:t>}</w:t>
      </w:r>
    </w:p>
    <w:p w14:paraId="13498389" w14:textId="77777777" w:rsidR="0090199E" w:rsidRPr="00FA0D37" w:rsidRDefault="0090199E" w:rsidP="00FA0D37">
      <w:pPr>
        <w:pStyle w:val="PL"/>
      </w:pPr>
    </w:p>
    <w:p w14:paraId="7FA41CCC" w14:textId="77777777" w:rsidR="00394471" w:rsidRPr="00FA0D37" w:rsidRDefault="00394471" w:rsidP="00FA0D37">
      <w:pPr>
        <w:pStyle w:val="PL"/>
        <w:rPr>
          <w:color w:val="808080"/>
        </w:rPr>
      </w:pPr>
      <w:r w:rsidRPr="00FA0D37">
        <w:rPr>
          <w:color w:val="808080"/>
        </w:rPr>
        <w:t>-- TAG-OTHERCONFIG-STOP</w:t>
      </w:r>
    </w:p>
    <w:p w14:paraId="55F1C7AD" w14:textId="77777777" w:rsidR="00394471" w:rsidRPr="00FA0D37" w:rsidRDefault="00394471" w:rsidP="00FA0D37">
      <w:pPr>
        <w:pStyle w:val="PL"/>
        <w:rPr>
          <w:color w:val="808080"/>
        </w:rPr>
      </w:pPr>
      <w:r w:rsidRPr="00FA0D37">
        <w:rPr>
          <w:color w:val="808080"/>
        </w:rPr>
        <w:t>-- ASN1STOP</w:t>
      </w:r>
    </w:p>
    <w:p w14:paraId="37862492" w14:textId="77777777" w:rsidR="00394471" w:rsidRPr="00FA0D37" w:rsidRDefault="00394471" w:rsidP="00394471"/>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5C7FF4" w:rsidRPr="00FA0D37" w14:paraId="18C79C83"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035BE05" w14:textId="77777777" w:rsidR="00394471" w:rsidRPr="00FA0D37" w:rsidRDefault="00394471" w:rsidP="00964CC4">
            <w:pPr>
              <w:pStyle w:val="TAH"/>
              <w:rPr>
                <w:lang w:eastAsia="en-GB"/>
              </w:rPr>
            </w:pPr>
            <w:r w:rsidRPr="00FA0D37">
              <w:rPr>
                <w:i/>
                <w:noProof/>
                <w:lang w:eastAsia="en-GB"/>
              </w:rPr>
              <w:lastRenderedPageBreak/>
              <w:t>OtherConfig</w:t>
            </w:r>
            <w:r w:rsidRPr="00FA0D37">
              <w:rPr>
                <w:iCs/>
                <w:noProof/>
                <w:lang w:eastAsia="en-GB"/>
              </w:rPr>
              <w:t xml:space="preserve"> field descriptions</w:t>
            </w:r>
          </w:p>
        </w:tc>
      </w:tr>
      <w:tr w:rsidR="005C7FF4" w:rsidRPr="00FA0D37" w14:paraId="432DA853"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CA7ED07" w14:textId="77777777" w:rsidR="00A73A2D" w:rsidRPr="00FA0D37" w:rsidRDefault="00A73A2D" w:rsidP="00A73A2D">
            <w:pPr>
              <w:pStyle w:val="TAL"/>
              <w:rPr>
                <w:b/>
                <w:bCs/>
                <w:i/>
                <w:iCs/>
                <w:noProof/>
                <w:lang w:eastAsia="en-GB"/>
              </w:rPr>
            </w:pPr>
            <w:r w:rsidRPr="00FA0D37">
              <w:rPr>
                <w:b/>
                <w:bCs/>
                <w:i/>
                <w:iCs/>
                <w:noProof/>
                <w:lang w:eastAsia="en-GB"/>
              </w:rPr>
              <w:t>bfd-RelaxationReportingConfig</w:t>
            </w:r>
          </w:p>
          <w:p w14:paraId="14635E84" w14:textId="63A78851" w:rsidR="00A73A2D" w:rsidRPr="00FA0D37" w:rsidRDefault="00A73A2D" w:rsidP="000830BB">
            <w:pPr>
              <w:pStyle w:val="TAL"/>
              <w:rPr>
                <w:noProof/>
                <w:lang w:eastAsia="en-GB"/>
              </w:rPr>
            </w:pPr>
            <w:r w:rsidRPr="00FA0D37">
              <w:rPr>
                <w:noProof/>
                <w:lang w:eastAsia="en-GB"/>
              </w:rPr>
              <w:t>Configuration for the UE to report the relaxation state of BF</w:t>
            </w:r>
            <w:r w:rsidR="005220C9" w:rsidRPr="00FA0D37">
              <w:rPr>
                <w:noProof/>
                <w:lang w:eastAsia="en-GB"/>
              </w:rPr>
              <w:t>D</w:t>
            </w:r>
            <w:r w:rsidRPr="00FA0D37">
              <w:rPr>
                <w:noProof/>
                <w:lang w:eastAsia="en-GB"/>
              </w:rPr>
              <w:t xml:space="preserve"> measurements.</w:t>
            </w:r>
          </w:p>
        </w:tc>
      </w:tr>
      <w:tr w:rsidR="00AD7F24" w:rsidRPr="00FA0D37" w14:paraId="2E0A6045" w14:textId="77777777" w:rsidTr="00CD007B">
        <w:trPr>
          <w:cantSplit/>
          <w:tblHeader/>
        </w:trPr>
        <w:tc>
          <w:tcPr>
            <w:tcW w:w="14310" w:type="dxa"/>
            <w:tcBorders>
              <w:top w:val="single" w:sz="4" w:space="0" w:color="auto"/>
              <w:left w:val="single" w:sz="4" w:space="0" w:color="auto"/>
              <w:bottom w:val="single" w:sz="4" w:space="0" w:color="auto"/>
              <w:right w:val="single" w:sz="4" w:space="0" w:color="auto"/>
            </w:tcBorders>
          </w:tcPr>
          <w:p w14:paraId="07CD3040" w14:textId="77777777" w:rsidR="00AD7F24" w:rsidRPr="00FA0D37" w:rsidRDefault="00AD7F24" w:rsidP="002B3C2B">
            <w:pPr>
              <w:pStyle w:val="TAL"/>
              <w:rPr>
                <w:b/>
                <w:bCs/>
                <w:i/>
                <w:iCs/>
                <w:lang w:eastAsia="sv-SE"/>
              </w:rPr>
            </w:pPr>
            <w:r w:rsidRPr="00FA0D37">
              <w:rPr>
                <w:b/>
                <w:bCs/>
                <w:i/>
                <w:iCs/>
                <w:lang w:eastAsia="sv-SE"/>
              </w:rPr>
              <w:t>btNameList</w:t>
            </w:r>
          </w:p>
          <w:p w14:paraId="65C0BC72" w14:textId="77777777" w:rsidR="00AD7F24" w:rsidRPr="00FA0D37" w:rsidRDefault="00AD7F24" w:rsidP="002B3C2B">
            <w:pPr>
              <w:pStyle w:val="TAL"/>
              <w:rPr>
                <w:bCs/>
                <w:iCs/>
                <w:noProof/>
                <w:lang w:eastAsia="en-GB"/>
              </w:rPr>
            </w:pPr>
            <w:r w:rsidRPr="00FA0D37">
              <w:rPr>
                <w:lang w:eastAsia="sv-SE"/>
              </w:rPr>
              <w:t xml:space="preserve">Configuration for the UE to report measurements from specific Bluetooth beacons. </w:t>
            </w:r>
            <w:r w:rsidRPr="00FA0D37">
              <w:rPr>
                <w:bCs/>
                <w:lang w:eastAsia="en-GB"/>
              </w:rPr>
              <w:t xml:space="preserve">NG-RAN configures the field if </w:t>
            </w:r>
            <w:r w:rsidRPr="00FA0D37">
              <w:rPr>
                <w:bCs/>
                <w:i/>
                <w:iCs/>
                <w:lang w:eastAsia="en-GB"/>
              </w:rPr>
              <w:t>includeBT-Meas</w:t>
            </w:r>
            <w:r w:rsidRPr="00FA0D37">
              <w:rPr>
                <w:bCs/>
                <w:lang w:eastAsia="en-GB"/>
              </w:rPr>
              <w:t xml:space="preserve"> is configured for one or more measurements.</w:t>
            </w:r>
          </w:p>
        </w:tc>
      </w:tr>
      <w:tr w:rsidR="005C7FF4" w:rsidRPr="00FA0D37" w14:paraId="33C1715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CC0723" w14:textId="77777777" w:rsidR="00394471" w:rsidRPr="00FA0D37" w:rsidRDefault="00394471" w:rsidP="00964CC4">
            <w:pPr>
              <w:pStyle w:val="TAL"/>
              <w:rPr>
                <w:b/>
                <w:bCs/>
                <w:i/>
                <w:iCs/>
                <w:lang w:eastAsia="sv-SE"/>
              </w:rPr>
            </w:pPr>
            <w:r w:rsidRPr="00FA0D37">
              <w:rPr>
                <w:b/>
                <w:bCs/>
                <w:i/>
                <w:iCs/>
                <w:lang w:eastAsia="sv-SE"/>
              </w:rPr>
              <w:t>candidateServingFreqListNR</w:t>
            </w:r>
          </w:p>
          <w:p w14:paraId="7A3A905E" w14:textId="77777777" w:rsidR="00394471" w:rsidRPr="00FA0D37" w:rsidRDefault="00394471" w:rsidP="00964CC4">
            <w:pPr>
              <w:pStyle w:val="TAL"/>
              <w:rPr>
                <w:lang w:eastAsia="x-none"/>
              </w:rPr>
            </w:pPr>
            <w:r w:rsidRPr="00FA0D37">
              <w:rPr>
                <w:rFonts w:eastAsia="Yu Mincho"/>
                <w:lang w:eastAsia="x-none"/>
              </w:rPr>
              <w:t>Indicates for each candidate NR serving cells, the center frequency around which UE is requested to report IDC issues.</w:t>
            </w:r>
          </w:p>
        </w:tc>
      </w:tr>
      <w:tr w:rsidR="005C7FF4" w:rsidRPr="00FA0D37" w14:paraId="46776C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F26E982" w14:textId="77777777" w:rsidR="00394471" w:rsidRPr="00FA0D37" w:rsidRDefault="00394471" w:rsidP="00964CC4">
            <w:pPr>
              <w:pStyle w:val="TAL"/>
              <w:rPr>
                <w:b/>
                <w:i/>
              </w:rPr>
            </w:pPr>
            <w:r w:rsidRPr="00FA0D37">
              <w:rPr>
                <w:b/>
                <w:i/>
              </w:rPr>
              <w:t>connectedReporting</w:t>
            </w:r>
          </w:p>
          <w:p w14:paraId="32D8E935" w14:textId="77777777" w:rsidR="00394471" w:rsidRPr="00FA0D37" w:rsidRDefault="00394471" w:rsidP="00964CC4">
            <w:pPr>
              <w:pStyle w:val="TAL"/>
              <w:rPr>
                <w:b/>
                <w:bCs/>
                <w:i/>
                <w:iCs/>
                <w:lang w:eastAsia="sv-SE"/>
              </w:rPr>
            </w:pPr>
            <w:r w:rsidRPr="00FA0D37">
              <w:t xml:space="preserve">Indicates that the UE can report a preference to remain in RRC_CONNECTED state following a </w:t>
            </w:r>
            <w:r w:rsidRPr="00FA0D37">
              <w:rPr>
                <w:noProof/>
              </w:rPr>
              <w:t>report to leave RRC_CONNECTED state. If absent, the UE cannot report a preference to stay in RRC_CONNECTED state.</w:t>
            </w:r>
          </w:p>
        </w:tc>
      </w:tr>
      <w:tr w:rsidR="005C7FF4" w:rsidRPr="00FA0D37" w14:paraId="7F5803A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B5FD2" w14:textId="77777777" w:rsidR="00394471" w:rsidRPr="00FA0D37" w:rsidRDefault="00394471" w:rsidP="00964CC4">
            <w:pPr>
              <w:pStyle w:val="TAL"/>
              <w:rPr>
                <w:b/>
                <w:bCs/>
                <w:i/>
                <w:noProof/>
                <w:lang w:eastAsia="en-GB"/>
              </w:rPr>
            </w:pPr>
            <w:r w:rsidRPr="00FA0D37">
              <w:rPr>
                <w:b/>
                <w:bCs/>
                <w:i/>
                <w:noProof/>
                <w:lang w:eastAsia="en-GB"/>
              </w:rPr>
              <w:t>delayBudgetReportingProhibitTimer</w:t>
            </w:r>
          </w:p>
          <w:p w14:paraId="59B7E84F" w14:textId="77777777" w:rsidR="00394471" w:rsidRPr="00FA0D37" w:rsidRDefault="00394471" w:rsidP="00964CC4">
            <w:pPr>
              <w:pStyle w:val="TAL"/>
              <w:rPr>
                <w:b/>
                <w:bCs/>
                <w:i/>
                <w:noProof/>
                <w:lang w:eastAsia="en-GB"/>
              </w:rPr>
            </w:pPr>
            <w:r w:rsidRPr="00FA0D37">
              <w:rPr>
                <w:bCs/>
                <w:noProof/>
                <w:lang w:eastAsia="en-GB"/>
              </w:rPr>
              <w:t xml:space="preserve">Prohibit timer for delay budget reporting. Value in seconds. Value </w:t>
            </w:r>
            <w:r w:rsidRPr="00FA0D37">
              <w:rPr>
                <w:i/>
                <w:lang w:eastAsia="sv-SE"/>
              </w:rPr>
              <w:t>s0</w:t>
            </w:r>
            <w:r w:rsidRPr="00FA0D37">
              <w:rPr>
                <w:bCs/>
                <w:noProof/>
                <w:lang w:eastAsia="en-GB"/>
              </w:rPr>
              <w:t xml:space="preserve"> means prohibit timer is set to 0 seconds, value </w:t>
            </w:r>
            <w:r w:rsidRPr="00FA0D37">
              <w:rPr>
                <w:i/>
                <w:lang w:eastAsia="sv-SE"/>
              </w:rPr>
              <w:t>s0dot4</w:t>
            </w:r>
            <w:r w:rsidRPr="00FA0D37">
              <w:rPr>
                <w:bCs/>
                <w:noProof/>
                <w:lang w:eastAsia="en-GB"/>
              </w:rPr>
              <w:t xml:space="preserve"> means prohibit timer is set to 0.4 seconds, and so on.</w:t>
            </w:r>
          </w:p>
        </w:tc>
      </w:tr>
      <w:tr w:rsidR="005C7FF4" w:rsidRPr="00FA0D37" w14:paraId="46F3041F"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004A9" w14:textId="77777777" w:rsidR="00394471" w:rsidRPr="00FA0D37" w:rsidRDefault="00394471" w:rsidP="00964CC4">
            <w:pPr>
              <w:pStyle w:val="TAL"/>
              <w:rPr>
                <w:b/>
                <w:i/>
                <w:noProof/>
                <w:lang w:eastAsia="sv-SE"/>
              </w:rPr>
            </w:pPr>
            <w:r w:rsidRPr="00FA0D37">
              <w:rPr>
                <w:b/>
                <w:i/>
                <w:noProof/>
                <w:lang w:eastAsia="sv-SE"/>
              </w:rPr>
              <w:t>drx-PreferenceConfig</w:t>
            </w:r>
          </w:p>
          <w:p w14:paraId="260FCB32" w14:textId="77777777" w:rsidR="00394471" w:rsidRPr="00FA0D37" w:rsidRDefault="00394471" w:rsidP="00964CC4">
            <w:pPr>
              <w:pStyle w:val="TAL"/>
              <w:rPr>
                <w:b/>
                <w:bCs/>
                <w:i/>
                <w:noProof/>
                <w:lang w:eastAsia="en-GB"/>
              </w:rPr>
            </w:pPr>
            <w:r w:rsidRPr="00FA0D37">
              <w:rPr>
                <w:noProof/>
                <w:lang w:eastAsia="sv-SE"/>
              </w:rPr>
              <w:t>Configuration for the UE to report assistance information to inform the gNB about the UE's DRX preferences for power saving.</w:t>
            </w:r>
          </w:p>
        </w:tc>
      </w:tr>
      <w:tr w:rsidR="005C7FF4" w:rsidRPr="00FA0D37" w14:paraId="65998398"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3F1F39F" w14:textId="77777777" w:rsidR="00394471" w:rsidRPr="00FA0D37" w:rsidRDefault="00394471" w:rsidP="00964CC4">
            <w:pPr>
              <w:pStyle w:val="TAL"/>
              <w:rPr>
                <w:b/>
                <w:i/>
                <w:noProof/>
                <w:lang w:eastAsia="sv-SE"/>
              </w:rPr>
            </w:pPr>
            <w:r w:rsidRPr="00FA0D37">
              <w:rPr>
                <w:b/>
                <w:i/>
                <w:noProof/>
                <w:lang w:eastAsia="sv-SE"/>
              </w:rPr>
              <w:t>drx-PreferenceProhibitTimer</w:t>
            </w:r>
          </w:p>
          <w:p w14:paraId="241C1D37" w14:textId="77777777" w:rsidR="00394471" w:rsidRPr="00FA0D37" w:rsidRDefault="00394471" w:rsidP="00964CC4">
            <w:pPr>
              <w:pStyle w:val="TAL"/>
              <w:rPr>
                <w:b/>
                <w:bCs/>
                <w:i/>
                <w:noProof/>
                <w:lang w:eastAsia="en-GB"/>
              </w:rPr>
            </w:pPr>
            <w:r w:rsidRPr="00FA0D37">
              <w:rPr>
                <w:noProof/>
                <w:lang w:eastAsia="sv-SE"/>
              </w:rPr>
              <w:t xml:space="preserve">Prohibit timer for DRX preferences assistance information reporting. Value in seconds. Value </w:t>
            </w:r>
            <w:r w:rsidRPr="00FA0D37">
              <w:rPr>
                <w:i/>
                <w:lang w:eastAsia="sv-SE"/>
              </w:rPr>
              <w:t>s0</w:t>
            </w:r>
            <w:r w:rsidRPr="00FA0D37">
              <w:rPr>
                <w:noProof/>
                <w:lang w:eastAsia="sv-SE"/>
              </w:rPr>
              <w:t xml:space="preserve"> means prohibit timer is set to 0 seconds, value </w:t>
            </w:r>
            <w:r w:rsidRPr="00FA0D37">
              <w:rPr>
                <w:i/>
                <w:lang w:eastAsia="sv-SE"/>
              </w:rPr>
              <w:t>s0dot5</w:t>
            </w:r>
            <w:r w:rsidRPr="00FA0D37">
              <w:rPr>
                <w:noProof/>
                <w:lang w:eastAsia="sv-SE"/>
              </w:rPr>
              <w:t xml:space="preserve"> means prohibit timer is set to 0.5 seconds, value </w:t>
            </w:r>
            <w:r w:rsidRPr="00FA0D37">
              <w:rPr>
                <w:i/>
                <w:lang w:eastAsia="sv-SE"/>
              </w:rPr>
              <w:t>s1</w:t>
            </w:r>
            <w:r w:rsidRPr="00FA0D37">
              <w:rPr>
                <w:noProof/>
                <w:lang w:eastAsia="sv-SE"/>
              </w:rPr>
              <w:t xml:space="preserve"> means prohibit timer is set to 1 second and so on.</w:t>
            </w:r>
          </w:p>
        </w:tc>
      </w:tr>
      <w:tr w:rsidR="005C7FF4" w:rsidRPr="00FA0D37" w14:paraId="36A540A0" w14:textId="77777777" w:rsidTr="00964CC4">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4D5A5C66" w14:textId="77777777" w:rsidR="00394471" w:rsidRPr="00FA0D37" w:rsidRDefault="00394471" w:rsidP="00964CC4">
            <w:pPr>
              <w:pStyle w:val="TAL"/>
              <w:rPr>
                <w:b/>
                <w:i/>
                <w:noProof/>
                <w:lang w:eastAsia="sv-SE"/>
              </w:rPr>
            </w:pPr>
            <w:r w:rsidRPr="00FA0D37">
              <w:rPr>
                <w:b/>
                <w:i/>
                <w:noProof/>
                <w:lang w:eastAsia="sv-SE"/>
              </w:rPr>
              <w:t>idc-AssistanceConfig</w:t>
            </w:r>
          </w:p>
          <w:p w14:paraId="1E978A66" w14:textId="77777777" w:rsidR="00394471" w:rsidRPr="00FA0D37" w:rsidRDefault="00394471" w:rsidP="00964CC4">
            <w:pPr>
              <w:pStyle w:val="TAL"/>
              <w:rPr>
                <w:b/>
                <w:bCs/>
                <w:i/>
                <w:noProof/>
                <w:lang w:eastAsia="en-GB"/>
              </w:rPr>
            </w:pPr>
            <w:r w:rsidRPr="00FA0D37">
              <w:rPr>
                <w:noProof/>
                <w:lang w:eastAsia="sv-SE"/>
              </w:rPr>
              <w:t xml:space="preserve">Configuration for the UE to report assistance information to </w:t>
            </w:r>
            <w:r w:rsidRPr="00FA0D37">
              <w:rPr>
                <w:lang w:eastAsia="sv-SE"/>
              </w:rPr>
              <w:t>inform the gNB about UE detected IDC problem</w:t>
            </w:r>
            <w:r w:rsidRPr="00FA0D37">
              <w:rPr>
                <w:noProof/>
                <w:lang w:eastAsia="sv-SE"/>
              </w:rPr>
              <w:t>.</w:t>
            </w:r>
          </w:p>
        </w:tc>
      </w:tr>
      <w:tr w:rsidR="005C7FF4" w:rsidRPr="00FA0D37" w14:paraId="4DFBA08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ACFE3B" w14:textId="77777777" w:rsidR="00394471" w:rsidRPr="00FA0D37" w:rsidRDefault="00394471" w:rsidP="00964CC4">
            <w:pPr>
              <w:pStyle w:val="TAL"/>
              <w:rPr>
                <w:b/>
                <w:i/>
                <w:noProof/>
                <w:lang w:eastAsia="sv-SE"/>
              </w:rPr>
            </w:pPr>
            <w:r w:rsidRPr="00FA0D37">
              <w:rPr>
                <w:b/>
                <w:i/>
                <w:noProof/>
                <w:lang w:eastAsia="sv-SE"/>
              </w:rPr>
              <w:t>maxBW-PreferenceConfig</w:t>
            </w:r>
          </w:p>
          <w:p w14:paraId="13A221E9" w14:textId="77777777" w:rsidR="00394471" w:rsidRPr="00FA0D37" w:rsidRDefault="00394471" w:rsidP="00964CC4">
            <w:pPr>
              <w:pStyle w:val="TAL"/>
              <w:rPr>
                <w:b/>
                <w:bCs/>
                <w:i/>
                <w:noProof/>
                <w:lang w:eastAsia="en-GB"/>
              </w:rPr>
            </w:pPr>
            <w:r w:rsidRPr="00FA0D37">
              <w:rPr>
                <w:noProof/>
                <w:lang w:eastAsia="sv-SE"/>
              </w:rPr>
              <w:t>Configuration for the UE to report assistance information to inform the gNB about the UE's preferred bandwidth for power saving.</w:t>
            </w:r>
          </w:p>
        </w:tc>
      </w:tr>
      <w:tr w:rsidR="005C7FF4" w:rsidRPr="00FA0D37" w14:paraId="294B09C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949BC9F" w14:textId="77777777" w:rsidR="00394471" w:rsidRPr="00FA0D37" w:rsidRDefault="00394471" w:rsidP="00964CC4">
            <w:pPr>
              <w:pStyle w:val="TAL"/>
              <w:rPr>
                <w:b/>
                <w:i/>
                <w:noProof/>
                <w:lang w:eastAsia="sv-SE"/>
              </w:rPr>
            </w:pPr>
            <w:r w:rsidRPr="00FA0D37">
              <w:rPr>
                <w:b/>
                <w:i/>
                <w:noProof/>
                <w:lang w:eastAsia="sv-SE"/>
              </w:rPr>
              <w:t>maxBW-PreferenceProhibitTimer</w:t>
            </w:r>
          </w:p>
          <w:p w14:paraId="2CD60358" w14:textId="77777777" w:rsidR="00394471" w:rsidRPr="00FA0D37" w:rsidRDefault="00394471" w:rsidP="00964CC4">
            <w:pPr>
              <w:pStyle w:val="TAL"/>
              <w:rPr>
                <w:b/>
                <w:bCs/>
                <w:i/>
                <w:noProof/>
                <w:lang w:eastAsia="en-GB"/>
              </w:rPr>
            </w:pPr>
            <w:r w:rsidRPr="00FA0D37">
              <w:rPr>
                <w:noProof/>
                <w:lang w:eastAsia="sv-SE"/>
              </w:rPr>
              <w:t xml:space="preserve">Prohibit timer for preferred bandwidth assistance information reporting. Value in seconds. Value </w:t>
            </w:r>
            <w:r w:rsidRPr="00FA0D37">
              <w:rPr>
                <w:i/>
                <w:lang w:eastAsia="sv-SE"/>
              </w:rPr>
              <w:t>s0</w:t>
            </w:r>
            <w:r w:rsidRPr="00FA0D37">
              <w:rPr>
                <w:noProof/>
                <w:lang w:eastAsia="sv-SE"/>
              </w:rPr>
              <w:t xml:space="preserve"> means prohibit timer is set to 0 seconds, value </w:t>
            </w:r>
            <w:r w:rsidRPr="00FA0D37">
              <w:rPr>
                <w:i/>
                <w:lang w:eastAsia="sv-SE"/>
              </w:rPr>
              <w:t>s0dot5</w:t>
            </w:r>
            <w:r w:rsidRPr="00FA0D37">
              <w:rPr>
                <w:noProof/>
                <w:lang w:eastAsia="sv-SE"/>
              </w:rPr>
              <w:t xml:space="preserve"> means prohibit timer is set to 0.5 seconds, value </w:t>
            </w:r>
            <w:r w:rsidRPr="00FA0D37">
              <w:rPr>
                <w:i/>
                <w:lang w:eastAsia="sv-SE"/>
              </w:rPr>
              <w:t>s1</w:t>
            </w:r>
            <w:r w:rsidRPr="00FA0D37">
              <w:rPr>
                <w:noProof/>
                <w:lang w:eastAsia="sv-SE"/>
              </w:rPr>
              <w:t xml:space="preserve"> means prohibit timer is set to 1 second and so on.</w:t>
            </w:r>
          </w:p>
        </w:tc>
      </w:tr>
      <w:tr w:rsidR="005C7FF4" w:rsidRPr="00FA0D37" w14:paraId="205F696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EC3FE93" w14:textId="77777777" w:rsidR="00394471" w:rsidRPr="00FA0D37" w:rsidRDefault="00394471" w:rsidP="00964CC4">
            <w:pPr>
              <w:pStyle w:val="TAL"/>
              <w:rPr>
                <w:b/>
                <w:i/>
                <w:noProof/>
                <w:lang w:eastAsia="sv-SE"/>
              </w:rPr>
            </w:pPr>
            <w:r w:rsidRPr="00FA0D37">
              <w:rPr>
                <w:b/>
                <w:i/>
                <w:noProof/>
                <w:lang w:eastAsia="sv-SE"/>
              </w:rPr>
              <w:t>maxCC-PreferenceConfig</w:t>
            </w:r>
          </w:p>
          <w:p w14:paraId="000A25F9" w14:textId="77777777" w:rsidR="00394471" w:rsidRPr="00FA0D37" w:rsidRDefault="00394471" w:rsidP="00964CC4">
            <w:pPr>
              <w:pStyle w:val="TAL"/>
              <w:rPr>
                <w:b/>
                <w:bCs/>
                <w:i/>
                <w:noProof/>
                <w:lang w:eastAsia="en-GB"/>
              </w:rPr>
            </w:pPr>
            <w:r w:rsidRPr="00FA0D37">
              <w:rPr>
                <w:noProof/>
                <w:lang w:eastAsia="sv-SE"/>
              </w:rPr>
              <w:t>Configuration for the UE to report assistance information to inform the gNB about the UE's preferred number of carriers for power saving.</w:t>
            </w:r>
          </w:p>
        </w:tc>
      </w:tr>
      <w:tr w:rsidR="005C7FF4" w:rsidRPr="00FA0D37" w14:paraId="520682D0" w14:textId="77777777" w:rsidTr="0077105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3519AD1" w14:textId="77777777" w:rsidR="00727F8C" w:rsidRPr="00FA0D37" w:rsidRDefault="00727F8C" w:rsidP="000830BB">
            <w:pPr>
              <w:pStyle w:val="TAL"/>
              <w:rPr>
                <w:b/>
                <w:bCs/>
                <w:i/>
                <w:iCs/>
                <w:noProof/>
                <w:lang w:eastAsia="sv-SE"/>
              </w:rPr>
            </w:pPr>
            <w:r w:rsidRPr="00FA0D37">
              <w:rPr>
                <w:b/>
                <w:bCs/>
                <w:i/>
                <w:iCs/>
                <w:noProof/>
                <w:lang w:eastAsia="sv-SE"/>
              </w:rPr>
              <w:t>maxBW-PreferenceConfigFR2-2</w:t>
            </w:r>
          </w:p>
          <w:p w14:paraId="3CACF381" w14:textId="77777777" w:rsidR="00727F8C" w:rsidRPr="00FA0D37" w:rsidRDefault="00727F8C" w:rsidP="000830BB">
            <w:pPr>
              <w:pStyle w:val="TAL"/>
              <w:rPr>
                <w:bCs/>
                <w:noProof/>
                <w:lang w:eastAsia="en-GB"/>
              </w:rPr>
            </w:pPr>
            <w:r w:rsidRPr="00FA0D37">
              <w:rPr>
                <w:noProof/>
                <w:lang w:eastAsia="sv-SE"/>
              </w:rPr>
              <w:t>Configuration for the UE to report assistance information to inform the gNB about the UE's preferred bandwidth for power saving for FR2-2.</w:t>
            </w:r>
          </w:p>
        </w:tc>
      </w:tr>
      <w:tr w:rsidR="005C7FF4" w:rsidRPr="00FA0D37" w14:paraId="2685258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5B1A6B" w14:textId="77777777" w:rsidR="00394471" w:rsidRPr="00FA0D37" w:rsidRDefault="00394471" w:rsidP="00964CC4">
            <w:pPr>
              <w:pStyle w:val="TAL"/>
              <w:rPr>
                <w:b/>
                <w:i/>
                <w:noProof/>
                <w:lang w:eastAsia="sv-SE"/>
              </w:rPr>
            </w:pPr>
            <w:r w:rsidRPr="00FA0D37">
              <w:rPr>
                <w:b/>
                <w:i/>
                <w:noProof/>
                <w:lang w:eastAsia="sv-SE"/>
              </w:rPr>
              <w:t>maxCC-PreferenceProhibitTimer</w:t>
            </w:r>
          </w:p>
          <w:p w14:paraId="4D112A00" w14:textId="77777777" w:rsidR="00394471" w:rsidRPr="00FA0D37" w:rsidRDefault="00394471" w:rsidP="00964CC4">
            <w:pPr>
              <w:pStyle w:val="TAL"/>
              <w:rPr>
                <w:b/>
                <w:bCs/>
                <w:i/>
                <w:noProof/>
                <w:lang w:eastAsia="en-GB"/>
              </w:rPr>
            </w:pPr>
            <w:r w:rsidRPr="00FA0D37">
              <w:rPr>
                <w:noProof/>
                <w:lang w:eastAsia="sv-SE"/>
              </w:rPr>
              <w:t xml:space="preserve">Prohibit timer for preferred number of carriers assistance information reporting. Value in seconds. Value </w:t>
            </w:r>
            <w:r w:rsidRPr="00FA0D37">
              <w:rPr>
                <w:i/>
                <w:lang w:eastAsia="sv-SE"/>
              </w:rPr>
              <w:t>s0</w:t>
            </w:r>
            <w:r w:rsidRPr="00FA0D37">
              <w:rPr>
                <w:noProof/>
                <w:lang w:eastAsia="sv-SE"/>
              </w:rPr>
              <w:t xml:space="preserve"> means prohibit timer is set to 0 seconds, value </w:t>
            </w:r>
            <w:r w:rsidRPr="00FA0D37">
              <w:rPr>
                <w:i/>
                <w:lang w:eastAsia="sv-SE"/>
              </w:rPr>
              <w:t>s0dot5</w:t>
            </w:r>
            <w:r w:rsidRPr="00FA0D37">
              <w:rPr>
                <w:noProof/>
                <w:lang w:eastAsia="sv-SE"/>
              </w:rPr>
              <w:t xml:space="preserve"> means prohibit timer is set to 0.5 seconds, value </w:t>
            </w:r>
            <w:r w:rsidRPr="00FA0D37">
              <w:rPr>
                <w:i/>
                <w:lang w:eastAsia="sv-SE"/>
              </w:rPr>
              <w:t>s1</w:t>
            </w:r>
            <w:r w:rsidRPr="00FA0D37">
              <w:rPr>
                <w:noProof/>
                <w:lang w:eastAsia="sv-SE"/>
              </w:rPr>
              <w:t xml:space="preserve"> means prohibit timer is set to 1 second and so on.</w:t>
            </w:r>
          </w:p>
        </w:tc>
      </w:tr>
      <w:tr w:rsidR="005C7FF4" w:rsidRPr="00FA0D37" w14:paraId="443028F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CFCA818" w14:textId="77777777" w:rsidR="00394471" w:rsidRPr="00FA0D37" w:rsidRDefault="00394471" w:rsidP="00964CC4">
            <w:pPr>
              <w:pStyle w:val="TAL"/>
              <w:rPr>
                <w:b/>
                <w:i/>
                <w:noProof/>
                <w:lang w:eastAsia="sv-SE"/>
              </w:rPr>
            </w:pPr>
            <w:r w:rsidRPr="00FA0D37">
              <w:rPr>
                <w:b/>
                <w:i/>
                <w:noProof/>
                <w:lang w:eastAsia="sv-SE"/>
              </w:rPr>
              <w:t>maxMIMO-LayerPreferenceConfig</w:t>
            </w:r>
          </w:p>
          <w:p w14:paraId="63C97F93" w14:textId="77777777" w:rsidR="00394471" w:rsidRPr="00FA0D37" w:rsidRDefault="00394471" w:rsidP="00964CC4">
            <w:pPr>
              <w:pStyle w:val="TAL"/>
              <w:rPr>
                <w:b/>
                <w:bCs/>
                <w:i/>
                <w:noProof/>
                <w:lang w:eastAsia="en-GB"/>
              </w:rPr>
            </w:pPr>
            <w:r w:rsidRPr="00FA0D37">
              <w:rPr>
                <w:noProof/>
                <w:lang w:eastAsia="sv-SE"/>
              </w:rPr>
              <w:t>Configuration for the UE to report assistance information to inform the gNB about the UE's preferred number of MIMO layers for power saving.</w:t>
            </w:r>
          </w:p>
        </w:tc>
      </w:tr>
      <w:tr w:rsidR="005C7FF4" w:rsidRPr="00FA0D37" w14:paraId="2B0E3AFF" w14:textId="77777777" w:rsidTr="0077105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118B218" w14:textId="77777777" w:rsidR="00727F8C" w:rsidRPr="00FA0D37" w:rsidRDefault="00727F8C" w:rsidP="000830BB">
            <w:pPr>
              <w:pStyle w:val="TAL"/>
              <w:rPr>
                <w:b/>
                <w:bCs/>
                <w:i/>
                <w:iCs/>
                <w:noProof/>
                <w:lang w:eastAsia="sv-SE"/>
              </w:rPr>
            </w:pPr>
            <w:r w:rsidRPr="00FA0D37">
              <w:rPr>
                <w:b/>
                <w:bCs/>
                <w:i/>
                <w:iCs/>
                <w:noProof/>
                <w:lang w:eastAsia="sv-SE"/>
              </w:rPr>
              <w:t>maxMIMO-LayerPreferenceConfigFR2-2</w:t>
            </w:r>
          </w:p>
          <w:p w14:paraId="0B7538BC" w14:textId="77777777" w:rsidR="00727F8C" w:rsidRPr="00FA0D37" w:rsidRDefault="00727F8C" w:rsidP="000830BB">
            <w:pPr>
              <w:pStyle w:val="TAL"/>
              <w:rPr>
                <w:bCs/>
                <w:noProof/>
                <w:lang w:eastAsia="en-GB"/>
              </w:rPr>
            </w:pPr>
            <w:r w:rsidRPr="00FA0D37">
              <w:rPr>
                <w:noProof/>
                <w:lang w:eastAsia="sv-SE"/>
              </w:rPr>
              <w:t>Configuration for the UE to report assistance information to inform the gNB about the UE's preferred number of MIMO layers for power saving for FR2-2.</w:t>
            </w:r>
          </w:p>
        </w:tc>
      </w:tr>
      <w:tr w:rsidR="005C7FF4" w:rsidRPr="00FA0D37" w14:paraId="6599442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A010D4" w14:textId="77777777" w:rsidR="00394471" w:rsidRPr="00FA0D37" w:rsidRDefault="00394471" w:rsidP="00964CC4">
            <w:pPr>
              <w:pStyle w:val="TAL"/>
              <w:rPr>
                <w:b/>
                <w:i/>
                <w:noProof/>
                <w:lang w:eastAsia="sv-SE"/>
              </w:rPr>
            </w:pPr>
            <w:r w:rsidRPr="00FA0D37">
              <w:rPr>
                <w:b/>
                <w:i/>
                <w:noProof/>
                <w:lang w:eastAsia="sv-SE"/>
              </w:rPr>
              <w:t>maxMIMO-LayerPreferenceProhibitTimer</w:t>
            </w:r>
          </w:p>
          <w:p w14:paraId="45B255FA" w14:textId="77777777" w:rsidR="00394471" w:rsidRPr="00FA0D37" w:rsidRDefault="00394471" w:rsidP="00964CC4">
            <w:pPr>
              <w:pStyle w:val="TAL"/>
              <w:rPr>
                <w:b/>
                <w:bCs/>
                <w:i/>
                <w:noProof/>
                <w:lang w:eastAsia="en-GB"/>
              </w:rPr>
            </w:pPr>
            <w:r w:rsidRPr="00FA0D37">
              <w:rPr>
                <w:noProof/>
                <w:lang w:eastAsia="sv-SE"/>
              </w:rPr>
              <w:t xml:space="preserve">Prohibit timer for preferred number of number of MIMO layers assistance information reporting. Value in seconds. Value </w:t>
            </w:r>
            <w:r w:rsidRPr="00FA0D37">
              <w:rPr>
                <w:i/>
                <w:lang w:eastAsia="sv-SE"/>
              </w:rPr>
              <w:t>s0</w:t>
            </w:r>
            <w:r w:rsidRPr="00FA0D37">
              <w:rPr>
                <w:noProof/>
                <w:lang w:eastAsia="sv-SE"/>
              </w:rPr>
              <w:t xml:space="preserve"> means prohibit timer is set to 0 seconds, value </w:t>
            </w:r>
            <w:r w:rsidRPr="00FA0D37">
              <w:rPr>
                <w:i/>
                <w:lang w:eastAsia="sv-SE"/>
              </w:rPr>
              <w:t>s0dot5</w:t>
            </w:r>
            <w:r w:rsidRPr="00FA0D37">
              <w:rPr>
                <w:noProof/>
                <w:lang w:eastAsia="sv-SE"/>
              </w:rPr>
              <w:t xml:space="preserve"> means prohibit timer is set to 0.5 seconds, value </w:t>
            </w:r>
            <w:r w:rsidRPr="00FA0D37">
              <w:rPr>
                <w:i/>
                <w:lang w:eastAsia="sv-SE"/>
              </w:rPr>
              <w:t>s1</w:t>
            </w:r>
            <w:r w:rsidRPr="00FA0D37">
              <w:rPr>
                <w:noProof/>
                <w:lang w:eastAsia="sv-SE"/>
              </w:rPr>
              <w:t xml:space="preserve"> means prohibit timer is set to 1 second and so on.</w:t>
            </w:r>
          </w:p>
        </w:tc>
      </w:tr>
      <w:tr w:rsidR="005C7FF4" w:rsidRPr="00FA0D37" w14:paraId="09E39DF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D8F21F" w14:textId="77777777" w:rsidR="00394471" w:rsidRPr="00FA0D37" w:rsidRDefault="00394471" w:rsidP="00964CC4">
            <w:pPr>
              <w:pStyle w:val="TAL"/>
              <w:rPr>
                <w:b/>
                <w:i/>
                <w:noProof/>
                <w:lang w:eastAsia="sv-SE"/>
              </w:rPr>
            </w:pPr>
            <w:r w:rsidRPr="00FA0D37">
              <w:rPr>
                <w:b/>
                <w:i/>
                <w:noProof/>
                <w:lang w:eastAsia="sv-SE"/>
              </w:rPr>
              <w:t>minSchedulingOffsetPreferenceConfig</w:t>
            </w:r>
          </w:p>
          <w:p w14:paraId="74CD7A8E" w14:textId="77777777" w:rsidR="00394471" w:rsidRPr="00FA0D37" w:rsidRDefault="00394471" w:rsidP="00964CC4">
            <w:pPr>
              <w:pStyle w:val="TAL"/>
              <w:rPr>
                <w:b/>
                <w:i/>
                <w:noProof/>
                <w:lang w:eastAsia="sv-SE"/>
              </w:rPr>
            </w:pPr>
            <w:r w:rsidRPr="00FA0D37">
              <w:rPr>
                <w:noProof/>
                <w:lang w:eastAsia="sv-SE"/>
              </w:rPr>
              <w:t xml:space="preserve">Configuration for the UE to report assistance information to inform the gNB about the UE's preferred </w:t>
            </w:r>
            <w:r w:rsidRPr="00FA0D37">
              <w:rPr>
                <w:i/>
                <w:noProof/>
                <w:lang w:eastAsia="sv-SE"/>
              </w:rPr>
              <w:t>minimumSchedulingOffset</w:t>
            </w:r>
            <w:r w:rsidRPr="00FA0D37">
              <w:rPr>
                <w:noProof/>
                <w:lang w:eastAsia="sv-SE"/>
              </w:rPr>
              <w:t xml:space="preserve"> value for cross-slot scheduling for power saving.</w:t>
            </w:r>
          </w:p>
        </w:tc>
      </w:tr>
      <w:tr w:rsidR="005C7FF4" w:rsidRPr="00FA0D37" w14:paraId="4FB09D44" w14:textId="77777777" w:rsidTr="0077105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BAA78B0" w14:textId="77777777" w:rsidR="00727F8C" w:rsidRPr="00FA0D37" w:rsidRDefault="00727F8C" w:rsidP="000830BB">
            <w:pPr>
              <w:pStyle w:val="TAL"/>
              <w:rPr>
                <w:b/>
                <w:bCs/>
                <w:i/>
                <w:iCs/>
                <w:noProof/>
                <w:lang w:eastAsia="sv-SE"/>
              </w:rPr>
            </w:pPr>
            <w:r w:rsidRPr="00FA0D37">
              <w:rPr>
                <w:b/>
                <w:bCs/>
                <w:i/>
                <w:iCs/>
                <w:noProof/>
                <w:lang w:eastAsia="sv-SE"/>
              </w:rPr>
              <w:t>minSchedulingOffsetPreferenceConfigExt</w:t>
            </w:r>
          </w:p>
          <w:p w14:paraId="25E4A592" w14:textId="1692973B" w:rsidR="00727F8C" w:rsidRPr="00FA0D37" w:rsidRDefault="00727F8C" w:rsidP="000830BB">
            <w:pPr>
              <w:pStyle w:val="TAL"/>
              <w:rPr>
                <w:noProof/>
                <w:lang w:eastAsia="sv-SE"/>
              </w:rPr>
            </w:pPr>
            <w:r w:rsidRPr="00FA0D37">
              <w:rPr>
                <w:noProof/>
                <w:lang w:eastAsia="sv-SE"/>
              </w:rPr>
              <w:t>Configuration for the UE to report assistance information to inform the gNB about the UE</w:t>
            </w:r>
            <w:r w:rsidR="00D537E2" w:rsidRPr="00FA0D37">
              <w:rPr>
                <w:noProof/>
                <w:lang w:eastAsia="sv-SE"/>
              </w:rPr>
              <w:t>'</w:t>
            </w:r>
            <w:r w:rsidRPr="00FA0D37">
              <w:rPr>
                <w:noProof/>
                <w:lang w:eastAsia="sv-SE"/>
              </w:rPr>
              <w:t xml:space="preserve">s preferred </w:t>
            </w:r>
            <w:r w:rsidRPr="00FA0D37">
              <w:rPr>
                <w:i/>
                <w:iCs/>
                <w:noProof/>
                <w:lang w:eastAsia="sv-SE"/>
              </w:rPr>
              <w:t>minimumSchedulingOffset</w:t>
            </w:r>
            <w:r w:rsidRPr="00FA0D37">
              <w:rPr>
                <w:noProof/>
                <w:lang w:eastAsia="sv-SE"/>
              </w:rPr>
              <w:t xml:space="preserve"> value for cross-slot scheduling for power saving for SCS 480 kHz and/or 960 kHz.</w:t>
            </w:r>
          </w:p>
        </w:tc>
      </w:tr>
      <w:tr w:rsidR="005C7FF4" w:rsidRPr="00FA0D37" w14:paraId="383B01F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30A4E2" w14:textId="77777777" w:rsidR="00394471" w:rsidRPr="00FA0D37" w:rsidRDefault="00394471" w:rsidP="00964CC4">
            <w:pPr>
              <w:pStyle w:val="TAL"/>
              <w:rPr>
                <w:b/>
                <w:i/>
                <w:noProof/>
                <w:lang w:eastAsia="sv-SE"/>
              </w:rPr>
            </w:pPr>
            <w:r w:rsidRPr="00FA0D37">
              <w:rPr>
                <w:b/>
                <w:i/>
                <w:noProof/>
                <w:lang w:eastAsia="sv-SE"/>
              </w:rPr>
              <w:lastRenderedPageBreak/>
              <w:t>minSchedulingOffsetPreferenceProhibitTimer</w:t>
            </w:r>
          </w:p>
          <w:p w14:paraId="71327838" w14:textId="77777777" w:rsidR="00394471" w:rsidRPr="00FA0D37" w:rsidRDefault="00394471" w:rsidP="00964CC4">
            <w:pPr>
              <w:pStyle w:val="TAL"/>
              <w:rPr>
                <w:b/>
                <w:i/>
                <w:noProof/>
                <w:lang w:eastAsia="sv-SE"/>
              </w:rPr>
            </w:pPr>
            <w:r w:rsidRPr="00FA0D37">
              <w:rPr>
                <w:noProof/>
                <w:lang w:eastAsia="sv-SE"/>
              </w:rPr>
              <w:t xml:space="preserve">Prohibit timer for preferred </w:t>
            </w:r>
            <w:r w:rsidRPr="00FA0D37">
              <w:rPr>
                <w:i/>
                <w:noProof/>
                <w:lang w:eastAsia="sv-SE"/>
              </w:rPr>
              <w:t>minimumSchedulingOffset</w:t>
            </w:r>
            <w:r w:rsidRPr="00FA0D37">
              <w:rPr>
                <w:noProof/>
                <w:lang w:eastAsia="sv-SE"/>
              </w:rPr>
              <w:t xml:space="preserve"> assistance information reporting. Value in seconds. Value </w:t>
            </w:r>
            <w:r w:rsidRPr="00FA0D37">
              <w:rPr>
                <w:i/>
                <w:lang w:eastAsia="sv-SE"/>
              </w:rPr>
              <w:t>s0</w:t>
            </w:r>
            <w:r w:rsidRPr="00FA0D37">
              <w:rPr>
                <w:noProof/>
                <w:lang w:eastAsia="sv-SE"/>
              </w:rPr>
              <w:t xml:space="preserve"> means prohibit timer is set to 0 seconds, value </w:t>
            </w:r>
            <w:r w:rsidRPr="00FA0D37">
              <w:rPr>
                <w:i/>
                <w:lang w:eastAsia="sv-SE"/>
              </w:rPr>
              <w:t>s0dot5</w:t>
            </w:r>
            <w:r w:rsidRPr="00FA0D37">
              <w:rPr>
                <w:noProof/>
                <w:lang w:eastAsia="sv-SE"/>
              </w:rPr>
              <w:t xml:space="preserve"> means prohibit timer is set to 0.5 seconds, value </w:t>
            </w:r>
            <w:r w:rsidRPr="00FA0D37">
              <w:rPr>
                <w:i/>
                <w:lang w:eastAsia="sv-SE"/>
              </w:rPr>
              <w:t>s1</w:t>
            </w:r>
            <w:r w:rsidRPr="00FA0D37">
              <w:rPr>
                <w:noProof/>
                <w:lang w:eastAsia="sv-SE"/>
              </w:rPr>
              <w:t xml:space="preserve"> means prohibit timer is set to 1 second and so on.</w:t>
            </w:r>
          </w:p>
        </w:tc>
      </w:tr>
      <w:tr w:rsidR="005C7FF4" w:rsidRPr="00FA0D37" w14:paraId="1B49C69C"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0AD1324" w14:textId="77777777" w:rsidR="001775F2" w:rsidRPr="00FA0D37" w:rsidRDefault="001775F2" w:rsidP="00771058">
            <w:pPr>
              <w:pStyle w:val="TAL"/>
              <w:rPr>
                <w:rFonts w:cs="Arial"/>
                <w:b/>
                <w:i/>
                <w:szCs w:val="18"/>
              </w:rPr>
            </w:pPr>
            <w:r w:rsidRPr="00FA0D37">
              <w:rPr>
                <w:rFonts w:cs="Arial"/>
                <w:b/>
                <w:i/>
                <w:szCs w:val="18"/>
              </w:rPr>
              <w:t>musim-GapAssistanceConfig</w:t>
            </w:r>
          </w:p>
          <w:p w14:paraId="0AC3F990" w14:textId="2D257227" w:rsidR="001775F2" w:rsidRPr="00FA0D37" w:rsidRDefault="001775F2" w:rsidP="000830BB">
            <w:pPr>
              <w:pStyle w:val="TAL"/>
              <w:rPr>
                <w:b/>
                <w:i/>
                <w:lang w:eastAsia="sv-SE"/>
              </w:rPr>
            </w:pPr>
            <w:r w:rsidRPr="00FA0D37">
              <w:rPr>
                <w:lang w:eastAsia="sv-SE"/>
              </w:rPr>
              <w:t xml:space="preserve">Configuration for the UE to report assistance information </w:t>
            </w:r>
            <w:r w:rsidR="001E5F8F" w:rsidRPr="00FA0D37">
              <w:rPr>
                <w:lang w:eastAsia="sv-SE"/>
              </w:rPr>
              <w:t>for gap preference</w:t>
            </w:r>
            <w:r w:rsidRPr="00FA0D37">
              <w:rPr>
                <w:lang w:eastAsia="sv-SE"/>
              </w:rPr>
              <w:t>.</w:t>
            </w:r>
          </w:p>
        </w:tc>
      </w:tr>
      <w:tr w:rsidR="005C7FF4" w:rsidRPr="00FA0D37" w14:paraId="5BDF445C"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7854FD9D" w14:textId="77777777" w:rsidR="001775F2" w:rsidRPr="00FA0D37" w:rsidRDefault="001775F2" w:rsidP="00771058">
            <w:pPr>
              <w:pStyle w:val="TAL"/>
              <w:rPr>
                <w:rFonts w:cs="Arial"/>
                <w:b/>
                <w:i/>
                <w:szCs w:val="18"/>
                <w:lang w:eastAsia="sv-SE"/>
              </w:rPr>
            </w:pPr>
            <w:r w:rsidRPr="00FA0D37">
              <w:rPr>
                <w:rFonts w:cs="Arial"/>
                <w:b/>
                <w:i/>
                <w:szCs w:val="18"/>
                <w:lang w:eastAsia="sv-SE"/>
              </w:rPr>
              <w:t>musim-GapProhibitTimer</w:t>
            </w:r>
          </w:p>
          <w:p w14:paraId="6F92554C" w14:textId="4D5738CE" w:rsidR="001775F2" w:rsidRPr="00FA0D37" w:rsidRDefault="001775F2" w:rsidP="00771058">
            <w:pPr>
              <w:pStyle w:val="TAL"/>
              <w:rPr>
                <w:rFonts w:cs="Arial"/>
                <w:b/>
                <w:i/>
                <w:szCs w:val="18"/>
              </w:rPr>
            </w:pPr>
            <w:r w:rsidRPr="00FA0D37">
              <w:rPr>
                <w:rFonts w:cs="Arial"/>
                <w:szCs w:val="18"/>
                <w:lang w:eastAsia="sv-SE"/>
              </w:rPr>
              <w:t xml:space="preserve">Prohibit timer for MUSIM assistance information reporting </w:t>
            </w:r>
            <w:r w:rsidR="001E5F8F" w:rsidRPr="00FA0D37">
              <w:rPr>
                <w:rFonts w:cs="Arial"/>
                <w:szCs w:val="18"/>
                <w:lang w:eastAsia="sv-SE"/>
              </w:rPr>
              <w:t>for gap preference</w:t>
            </w:r>
            <w:r w:rsidRPr="00FA0D37">
              <w:rPr>
                <w:rFonts w:cs="Arial"/>
                <w:szCs w:val="18"/>
                <w:lang w:eastAsia="sv-SE"/>
              </w:rPr>
              <w:t>.</w:t>
            </w:r>
          </w:p>
        </w:tc>
      </w:tr>
      <w:tr w:rsidR="005C7FF4" w:rsidRPr="00FA0D37" w14:paraId="61389C56"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1F4E7216" w14:textId="77777777" w:rsidR="001775F2" w:rsidRPr="00FA0D37" w:rsidRDefault="001775F2" w:rsidP="00771058">
            <w:pPr>
              <w:pStyle w:val="TAL"/>
              <w:rPr>
                <w:rFonts w:cs="Arial"/>
                <w:b/>
                <w:i/>
                <w:szCs w:val="18"/>
              </w:rPr>
            </w:pPr>
            <w:r w:rsidRPr="00FA0D37">
              <w:rPr>
                <w:rFonts w:cs="Arial"/>
                <w:b/>
                <w:i/>
                <w:szCs w:val="18"/>
              </w:rPr>
              <w:t>musim-LeaveAssistanceConfig</w:t>
            </w:r>
          </w:p>
          <w:p w14:paraId="1F7B88B7" w14:textId="77777777" w:rsidR="001775F2" w:rsidRPr="00FA0D37" w:rsidRDefault="001775F2" w:rsidP="000830BB">
            <w:pPr>
              <w:pStyle w:val="TAL"/>
              <w:rPr>
                <w:b/>
                <w:i/>
                <w:lang w:eastAsia="sv-SE"/>
              </w:rPr>
            </w:pPr>
            <w:r w:rsidRPr="00FA0D37">
              <w:rPr>
                <w:lang w:eastAsia="sv-SE"/>
              </w:rPr>
              <w:t>Configuration for the UE to report assistance information for leaving RRC_CONNECTED for MUSIM purpose.</w:t>
            </w:r>
          </w:p>
        </w:tc>
      </w:tr>
      <w:tr w:rsidR="005C7FF4" w:rsidRPr="00FA0D37" w14:paraId="72838289"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3D27080" w14:textId="77777777" w:rsidR="001775F2" w:rsidRPr="00FA0D37" w:rsidRDefault="001775F2" w:rsidP="00771058">
            <w:pPr>
              <w:pStyle w:val="TAL"/>
              <w:rPr>
                <w:rFonts w:cs="Arial"/>
                <w:b/>
                <w:i/>
                <w:szCs w:val="18"/>
              </w:rPr>
            </w:pPr>
            <w:r w:rsidRPr="00FA0D37">
              <w:rPr>
                <w:rFonts w:cs="Arial"/>
                <w:b/>
                <w:i/>
                <w:szCs w:val="18"/>
              </w:rPr>
              <w:t>musim-LeaveWithoutResponseTimer</w:t>
            </w:r>
          </w:p>
          <w:p w14:paraId="4B32AF7F" w14:textId="75064673" w:rsidR="001775F2" w:rsidRPr="00FA0D37" w:rsidRDefault="001775F2" w:rsidP="000830BB">
            <w:pPr>
              <w:pStyle w:val="TAL"/>
              <w:rPr>
                <w:b/>
                <w:i/>
                <w:lang w:eastAsia="sv-SE"/>
              </w:rPr>
            </w:pPr>
            <w:r w:rsidRPr="00FA0D37">
              <w:rPr>
                <w:lang w:eastAsia="ko-KR"/>
              </w:rPr>
              <w:t>Indicates the timer for</w:t>
            </w:r>
            <w:r w:rsidRPr="00FA0D37">
              <w:rPr>
                <w:lang w:eastAsia="sv-SE"/>
              </w:rPr>
              <w:t xml:space="preserve"> </w:t>
            </w:r>
            <w:r w:rsidR="001E5F8F" w:rsidRPr="00FA0D37">
              <w:rPr>
                <w:lang w:eastAsia="ko-KR"/>
              </w:rPr>
              <w:t>the UE</w:t>
            </w:r>
            <w:r w:rsidR="001E5F8F" w:rsidRPr="00FA0D37">
              <w:rPr>
                <w:rFonts w:cs="Arial"/>
                <w:szCs w:val="18"/>
                <w:lang w:eastAsia="sv-SE"/>
              </w:rPr>
              <w:t xml:space="preserve"> to enter RRC_IDLE for MUSIM purpose as defined in clause 5.3.8.6</w:t>
            </w:r>
            <w:r w:rsidRPr="00FA0D37">
              <w:rPr>
                <w:lang w:eastAsia="sv-SE"/>
              </w:rPr>
              <w:t>.</w:t>
            </w:r>
          </w:p>
        </w:tc>
      </w:tr>
      <w:tr w:rsidR="005C7FF4" w:rsidRPr="00FA0D37" w14:paraId="17C282D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AC64F4B" w14:textId="77777777" w:rsidR="00394471" w:rsidRPr="00FA0D37" w:rsidRDefault="00394471" w:rsidP="00964CC4">
            <w:pPr>
              <w:pStyle w:val="TAL"/>
              <w:rPr>
                <w:b/>
                <w:bCs/>
                <w:i/>
                <w:lang w:eastAsia="en-GB"/>
              </w:rPr>
            </w:pPr>
            <w:r w:rsidRPr="00FA0D37">
              <w:rPr>
                <w:b/>
                <w:bCs/>
                <w:i/>
                <w:lang w:eastAsia="en-GB"/>
              </w:rPr>
              <w:t>obtainCommonLocation</w:t>
            </w:r>
          </w:p>
          <w:p w14:paraId="34DCDACC" w14:textId="77777777" w:rsidR="00394471" w:rsidRPr="00FA0D37" w:rsidRDefault="00394471" w:rsidP="00964CC4">
            <w:pPr>
              <w:pStyle w:val="TAL"/>
              <w:rPr>
                <w:b/>
                <w:i/>
                <w:lang w:eastAsia="sv-SE"/>
              </w:rPr>
            </w:pPr>
            <w:r w:rsidRPr="00FA0D37">
              <w:rPr>
                <w:bCs/>
                <w:lang w:eastAsia="en-GB"/>
              </w:rPr>
              <w:t xml:space="preserve">Requests the UE to attempt to have detailed location information available using GNSS. NR configures the field if </w:t>
            </w:r>
            <w:r w:rsidRPr="00FA0D37">
              <w:rPr>
                <w:bCs/>
                <w:i/>
                <w:lang w:eastAsia="en-GB"/>
              </w:rPr>
              <w:t>includeCommonLocationInfo</w:t>
            </w:r>
            <w:r w:rsidRPr="00FA0D37">
              <w:rPr>
                <w:bCs/>
                <w:lang w:eastAsia="en-GB"/>
              </w:rPr>
              <w:t xml:space="preserve"> is configured for one or more measurements.</w:t>
            </w:r>
          </w:p>
        </w:tc>
      </w:tr>
      <w:tr w:rsidR="005C7FF4" w:rsidRPr="00FA0D37" w14:paraId="41BFBF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C21B3C5" w14:textId="77777777" w:rsidR="00394471" w:rsidRPr="00FA0D37" w:rsidRDefault="00394471" w:rsidP="00964CC4">
            <w:pPr>
              <w:pStyle w:val="TAL"/>
              <w:rPr>
                <w:b/>
                <w:i/>
                <w:noProof/>
                <w:lang w:eastAsia="sv-SE"/>
              </w:rPr>
            </w:pPr>
            <w:r w:rsidRPr="00FA0D37">
              <w:rPr>
                <w:b/>
                <w:i/>
                <w:noProof/>
                <w:lang w:eastAsia="sv-SE"/>
              </w:rPr>
              <w:t>overheatingAssistanceConfig</w:t>
            </w:r>
          </w:p>
          <w:p w14:paraId="53FA3B3F" w14:textId="77777777" w:rsidR="00394471" w:rsidRPr="00FA0D37" w:rsidRDefault="00394471" w:rsidP="00964CC4">
            <w:pPr>
              <w:pStyle w:val="TAL"/>
              <w:rPr>
                <w:noProof/>
                <w:lang w:eastAsia="sv-SE"/>
              </w:rPr>
            </w:pPr>
            <w:r w:rsidRPr="00FA0D37">
              <w:rPr>
                <w:noProof/>
                <w:lang w:eastAsia="sv-SE"/>
              </w:rPr>
              <w:t xml:space="preserve">Configuration for the UE to report assistance information to </w:t>
            </w:r>
            <w:r w:rsidRPr="00FA0D37">
              <w:rPr>
                <w:lang w:eastAsia="sv-SE"/>
              </w:rPr>
              <w:t>inform the gNB about UE detected internal overheating</w:t>
            </w:r>
            <w:r w:rsidRPr="00FA0D37">
              <w:rPr>
                <w:noProof/>
                <w:lang w:eastAsia="sv-SE"/>
              </w:rPr>
              <w:t>.</w:t>
            </w:r>
          </w:p>
        </w:tc>
      </w:tr>
      <w:tr w:rsidR="005C7FF4" w:rsidRPr="00FA0D37" w14:paraId="46112D1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4337B81" w14:textId="77777777" w:rsidR="00394471" w:rsidRPr="00FA0D37" w:rsidRDefault="00394471" w:rsidP="00964CC4">
            <w:pPr>
              <w:pStyle w:val="TAL"/>
              <w:rPr>
                <w:b/>
                <w:i/>
                <w:noProof/>
                <w:lang w:eastAsia="sv-SE"/>
              </w:rPr>
            </w:pPr>
            <w:r w:rsidRPr="00FA0D37">
              <w:rPr>
                <w:b/>
                <w:i/>
                <w:noProof/>
                <w:lang w:eastAsia="sv-SE"/>
              </w:rPr>
              <w:t>overheatingIndicationProhibitTimer</w:t>
            </w:r>
          </w:p>
          <w:p w14:paraId="761606D6" w14:textId="77777777" w:rsidR="00394471" w:rsidRPr="00FA0D37" w:rsidRDefault="00394471" w:rsidP="00964CC4">
            <w:pPr>
              <w:pStyle w:val="TAL"/>
              <w:rPr>
                <w:noProof/>
                <w:lang w:eastAsia="sv-SE"/>
              </w:rPr>
            </w:pPr>
            <w:r w:rsidRPr="00FA0D37">
              <w:rPr>
                <w:noProof/>
                <w:lang w:eastAsia="sv-SE"/>
              </w:rPr>
              <w:t xml:space="preserve">Prohibit timer for overheating assistance information reporting. Value in seconds. Value </w:t>
            </w:r>
            <w:r w:rsidRPr="00FA0D37">
              <w:rPr>
                <w:i/>
                <w:lang w:eastAsia="sv-SE"/>
              </w:rPr>
              <w:t>s0</w:t>
            </w:r>
            <w:r w:rsidRPr="00FA0D37">
              <w:rPr>
                <w:noProof/>
                <w:lang w:eastAsia="sv-SE"/>
              </w:rPr>
              <w:t xml:space="preserve"> means prohibit timer is set to 0 seconds, value </w:t>
            </w:r>
            <w:r w:rsidRPr="00FA0D37">
              <w:rPr>
                <w:i/>
                <w:lang w:eastAsia="sv-SE"/>
              </w:rPr>
              <w:t>s0dot5</w:t>
            </w:r>
            <w:r w:rsidRPr="00FA0D37">
              <w:rPr>
                <w:noProof/>
                <w:lang w:eastAsia="sv-SE"/>
              </w:rPr>
              <w:t xml:space="preserve"> means prohibit timer is set to 0.5 seconds, value </w:t>
            </w:r>
            <w:r w:rsidRPr="00FA0D37">
              <w:rPr>
                <w:i/>
                <w:lang w:eastAsia="sv-SE"/>
              </w:rPr>
              <w:t>s1</w:t>
            </w:r>
            <w:r w:rsidRPr="00FA0D37">
              <w:rPr>
                <w:noProof/>
                <w:lang w:eastAsia="sv-SE"/>
              </w:rPr>
              <w:t xml:space="preserve"> means prohibit timer is set to 1 second and so on.</w:t>
            </w:r>
          </w:p>
        </w:tc>
      </w:tr>
      <w:tr w:rsidR="005C7FF4" w:rsidRPr="00FA0D37" w14:paraId="6AD9EB0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5DF3391E" w14:textId="77777777" w:rsidR="0090199E" w:rsidRPr="00FA0D37" w:rsidRDefault="0090199E" w:rsidP="0090199E">
            <w:pPr>
              <w:pStyle w:val="TAL"/>
              <w:rPr>
                <w:b/>
                <w:i/>
                <w:szCs w:val="18"/>
                <w:lang w:eastAsia="sv-SE"/>
              </w:rPr>
            </w:pPr>
            <w:r w:rsidRPr="00FA0D37">
              <w:rPr>
                <w:b/>
                <w:i/>
                <w:szCs w:val="18"/>
                <w:lang w:eastAsia="sv-SE"/>
              </w:rPr>
              <w:t>propDelayDiffReportConfig</w:t>
            </w:r>
          </w:p>
          <w:p w14:paraId="71732EDE" w14:textId="56E3111C" w:rsidR="0090199E" w:rsidRPr="00FA0D37" w:rsidRDefault="0090199E" w:rsidP="0090199E">
            <w:pPr>
              <w:pStyle w:val="TAL"/>
              <w:rPr>
                <w:b/>
                <w:i/>
                <w:noProof/>
                <w:lang w:eastAsia="sv-SE"/>
              </w:rPr>
            </w:pPr>
            <w:r w:rsidRPr="00FA0D37">
              <w:rPr>
                <w:szCs w:val="18"/>
                <w:lang w:eastAsia="sv-SE"/>
              </w:rPr>
              <w:t>Configuration for the UE to report service link propagation delay difference between serving cell and neighbour cell(s).</w:t>
            </w:r>
          </w:p>
        </w:tc>
      </w:tr>
      <w:tr w:rsidR="005C7FF4" w:rsidRPr="00FA0D37" w14:paraId="6A16021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BFA9941" w14:textId="77777777" w:rsidR="0090199E" w:rsidRPr="00FA0D37" w:rsidRDefault="0090199E" w:rsidP="0090199E">
            <w:pPr>
              <w:pStyle w:val="TAL"/>
              <w:rPr>
                <w:b/>
                <w:i/>
                <w:noProof/>
              </w:rPr>
            </w:pPr>
            <w:r w:rsidRPr="00FA0D37">
              <w:rPr>
                <w:b/>
                <w:i/>
                <w:noProof/>
              </w:rPr>
              <w:t>referenceTimePreferenceReporting</w:t>
            </w:r>
          </w:p>
          <w:p w14:paraId="77D60F4D" w14:textId="77777777" w:rsidR="0090199E" w:rsidRPr="00FA0D37" w:rsidRDefault="0090199E" w:rsidP="0090199E">
            <w:pPr>
              <w:pStyle w:val="TAL"/>
              <w:rPr>
                <w:b/>
                <w:i/>
                <w:noProof/>
                <w:lang w:eastAsia="sv-SE"/>
              </w:rPr>
            </w:pPr>
            <w:r w:rsidRPr="00FA0D37">
              <w:rPr>
                <w:rFonts w:cs="Arial"/>
                <w:szCs w:val="18"/>
                <w:lang w:eastAsia="en-US"/>
              </w:rPr>
              <w:t>If present, the field indicates the UE is configured to provide reference time assistance information.</w:t>
            </w:r>
          </w:p>
        </w:tc>
      </w:tr>
      <w:tr w:rsidR="005C7FF4" w:rsidRPr="00FA0D37" w14:paraId="26706CC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95C308F" w14:textId="77777777" w:rsidR="0090199E" w:rsidRPr="00FA0D37" w:rsidRDefault="0090199E" w:rsidP="0090199E">
            <w:pPr>
              <w:pStyle w:val="TAL"/>
              <w:rPr>
                <w:b/>
                <w:i/>
                <w:noProof/>
                <w:lang w:eastAsia="sv-SE"/>
              </w:rPr>
            </w:pPr>
            <w:r w:rsidRPr="00FA0D37">
              <w:rPr>
                <w:b/>
                <w:i/>
                <w:noProof/>
                <w:lang w:eastAsia="sv-SE"/>
              </w:rPr>
              <w:t>releasePreferenceConfig</w:t>
            </w:r>
          </w:p>
          <w:p w14:paraId="10BFBADD" w14:textId="77777777" w:rsidR="0090199E" w:rsidRPr="00FA0D37" w:rsidRDefault="0090199E" w:rsidP="0090199E">
            <w:pPr>
              <w:pStyle w:val="TAL"/>
              <w:rPr>
                <w:noProof/>
                <w:lang w:eastAsia="sv-SE"/>
              </w:rPr>
            </w:pPr>
            <w:r w:rsidRPr="00FA0D37">
              <w:rPr>
                <w:noProof/>
                <w:lang w:eastAsia="sv-SE"/>
              </w:rPr>
              <w:t>Configuration for the UE to report assistance information to inform the gNB about the UE's preference to leave RRC_CONNECTED state.</w:t>
            </w:r>
          </w:p>
        </w:tc>
      </w:tr>
      <w:tr w:rsidR="005C7FF4" w:rsidRPr="00FA0D37" w14:paraId="13364B96"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2EC3A7AB" w14:textId="77777777" w:rsidR="0090199E" w:rsidRPr="00FA0D37" w:rsidRDefault="0090199E" w:rsidP="0090199E">
            <w:pPr>
              <w:pStyle w:val="TAL"/>
              <w:rPr>
                <w:rFonts w:eastAsia="等线"/>
                <w:b/>
                <w:i/>
                <w:noProof/>
                <w:lang w:eastAsia="zh-CN"/>
              </w:rPr>
            </w:pPr>
            <w:r w:rsidRPr="00FA0D37">
              <w:rPr>
                <w:b/>
                <w:i/>
                <w:noProof/>
                <w:lang w:eastAsia="sv-SE"/>
              </w:rPr>
              <w:t>rlm-RelaxationReportingConfig</w:t>
            </w:r>
          </w:p>
          <w:p w14:paraId="501365D4" w14:textId="230415FA" w:rsidR="0090199E" w:rsidRPr="00FA0D37" w:rsidRDefault="0090199E" w:rsidP="0090199E">
            <w:pPr>
              <w:pStyle w:val="TAL"/>
              <w:rPr>
                <w:bCs/>
                <w:iCs/>
                <w:noProof/>
                <w:lang w:eastAsia="sv-SE"/>
              </w:rPr>
            </w:pPr>
            <w:r w:rsidRPr="00FA0D37">
              <w:rPr>
                <w:noProof/>
                <w:lang w:eastAsia="sv-SE"/>
              </w:rPr>
              <w:t xml:space="preserve">Configuration for the UE to report the relaxation </w:t>
            </w:r>
            <w:r w:rsidRPr="00FA0D37">
              <w:t>state</w:t>
            </w:r>
            <w:r w:rsidRPr="00FA0D37">
              <w:rPr>
                <w:noProof/>
                <w:lang w:eastAsia="sv-SE"/>
              </w:rPr>
              <w:t xml:space="preserve"> of RLM measurements.</w:t>
            </w:r>
          </w:p>
        </w:tc>
      </w:tr>
      <w:tr w:rsidR="005C7FF4" w:rsidRPr="00FA0D37" w14:paraId="4DCE1EB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208F1FE" w14:textId="77777777" w:rsidR="0090199E" w:rsidRPr="00FA0D37" w:rsidRDefault="0090199E" w:rsidP="0090199E">
            <w:pPr>
              <w:pStyle w:val="TAL"/>
              <w:rPr>
                <w:b/>
                <w:i/>
                <w:noProof/>
                <w:lang w:eastAsia="sv-SE"/>
              </w:rPr>
            </w:pPr>
            <w:r w:rsidRPr="00FA0D37">
              <w:rPr>
                <w:b/>
                <w:i/>
                <w:noProof/>
                <w:lang w:eastAsia="sv-SE"/>
              </w:rPr>
              <w:t>releasePreferenceProhibitTimer</w:t>
            </w:r>
          </w:p>
          <w:p w14:paraId="6C387ADB" w14:textId="77777777" w:rsidR="0090199E" w:rsidRPr="00FA0D37" w:rsidRDefault="0090199E" w:rsidP="0090199E">
            <w:pPr>
              <w:pStyle w:val="TAL"/>
              <w:rPr>
                <w:noProof/>
                <w:lang w:eastAsia="sv-SE"/>
              </w:rPr>
            </w:pPr>
            <w:r w:rsidRPr="00FA0D37">
              <w:rPr>
                <w:noProof/>
                <w:lang w:eastAsia="sv-SE"/>
              </w:rPr>
              <w:t xml:space="preserve">Prohibit timer for release preference assistance information reporting. Value in seconds. Value </w:t>
            </w:r>
            <w:r w:rsidRPr="00FA0D37">
              <w:rPr>
                <w:i/>
                <w:lang w:eastAsia="sv-SE"/>
              </w:rPr>
              <w:t>s0</w:t>
            </w:r>
            <w:r w:rsidRPr="00FA0D37">
              <w:rPr>
                <w:noProof/>
                <w:lang w:eastAsia="sv-SE"/>
              </w:rPr>
              <w:t xml:space="preserve"> means prohibit timer is set to 0 seconds, value </w:t>
            </w:r>
            <w:r w:rsidRPr="00FA0D37">
              <w:rPr>
                <w:i/>
                <w:lang w:eastAsia="sv-SE"/>
              </w:rPr>
              <w:t>s0dot5</w:t>
            </w:r>
            <w:r w:rsidRPr="00FA0D37">
              <w:rPr>
                <w:noProof/>
                <w:lang w:eastAsia="sv-SE"/>
              </w:rPr>
              <w:t xml:space="preserve"> means prohibit timer is set to 0.5 seconds, value </w:t>
            </w:r>
            <w:r w:rsidRPr="00FA0D37">
              <w:rPr>
                <w:i/>
                <w:lang w:eastAsia="sv-SE"/>
              </w:rPr>
              <w:t>s1</w:t>
            </w:r>
            <w:r w:rsidRPr="00FA0D37">
              <w:rPr>
                <w:noProof/>
                <w:lang w:eastAsia="sv-SE"/>
              </w:rPr>
              <w:t xml:space="preserve"> means prohibit timer is set to 1 second and so on. Value </w:t>
            </w:r>
            <w:r w:rsidRPr="00FA0D37">
              <w:rPr>
                <w:i/>
                <w:noProof/>
                <w:lang w:eastAsia="sv-SE"/>
              </w:rPr>
              <w:t>infinity</w:t>
            </w:r>
            <w:r w:rsidRPr="00FA0D37">
              <w:rPr>
                <w:noProof/>
                <w:lang w:eastAsia="sv-SE"/>
              </w:rPr>
              <w:t xml:space="preserve"> means that once a UE has reported a release preference, the UE cannot report a release preference again during the RRC connection.</w:t>
            </w:r>
          </w:p>
        </w:tc>
      </w:tr>
      <w:tr w:rsidR="005C7FF4" w:rsidRPr="00FA0D37" w14:paraId="412403D6" w14:textId="77777777" w:rsidTr="00771058">
        <w:trPr>
          <w:cantSplit/>
          <w:tblHeader/>
        </w:trPr>
        <w:tc>
          <w:tcPr>
            <w:tcW w:w="14310" w:type="dxa"/>
            <w:tcBorders>
              <w:top w:val="single" w:sz="4" w:space="0" w:color="auto"/>
              <w:left w:val="single" w:sz="4" w:space="0" w:color="auto"/>
              <w:bottom w:val="single" w:sz="4" w:space="0" w:color="auto"/>
              <w:right w:val="single" w:sz="4" w:space="0" w:color="auto"/>
            </w:tcBorders>
          </w:tcPr>
          <w:p w14:paraId="7DD24397" w14:textId="77777777" w:rsidR="0090199E" w:rsidRPr="00FA0D37" w:rsidRDefault="0090199E" w:rsidP="0090199E">
            <w:pPr>
              <w:pStyle w:val="TAL"/>
              <w:rPr>
                <w:b/>
                <w:i/>
                <w:lang w:eastAsia="sv-SE"/>
              </w:rPr>
            </w:pPr>
            <w:r w:rsidRPr="00FA0D37">
              <w:rPr>
                <w:b/>
                <w:i/>
                <w:lang w:eastAsia="sv-SE"/>
              </w:rPr>
              <w:t>s-SearchDeltaP-Stationary</w:t>
            </w:r>
          </w:p>
          <w:p w14:paraId="0677E8A0" w14:textId="72F92CC8" w:rsidR="0090199E" w:rsidRPr="00FA0D37" w:rsidRDefault="0090199E" w:rsidP="0090199E">
            <w:pPr>
              <w:pStyle w:val="TAL"/>
              <w:rPr>
                <w:b/>
                <w:i/>
                <w:noProof/>
                <w:lang w:eastAsia="sv-SE"/>
              </w:rPr>
            </w:pPr>
            <w:r w:rsidRPr="00FA0D37">
              <w:rPr>
                <w:lang w:eastAsia="sv-SE"/>
              </w:rPr>
              <w:t>Parameter "S</w:t>
            </w:r>
            <w:r w:rsidRPr="00FA0D37">
              <w:rPr>
                <w:vertAlign w:val="subscript"/>
                <w:lang w:eastAsia="sv-SE"/>
              </w:rPr>
              <w:t>SearchDeltaP-StationaryConnected</w:t>
            </w:r>
            <w:r w:rsidRPr="00FA0D37">
              <w:rPr>
                <w:lang w:eastAsia="sv-SE"/>
              </w:rPr>
              <w:t xml:space="preserve">" in </w:t>
            </w:r>
            <w:r w:rsidRPr="00FA0D37">
              <w:rPr>
                <w:rFonts w:eastAsiaTheme="minorEastAsia"/>
              </w:rPr>
              <w:t>5.7.4.4</w:t>
            </w:r>
            <w:r w:rsidRPr="00FA0D37">
              <w:rPr>
                <w:lang w:eastAsia="sv-SE"/>
              </w:rPr>
              <w:t>. Value dB</w:t>
            </w:r>
            <w:r w:rsidR="00740D03" w:rsidRPr="00FA0D37">
              <w:rPr>
                <w:lang w:eastAsia="sv-SE"/>
              </w:rPr>
              <w:t>2</w:t>
            </w:r>
            <w:r w:rsidRPr="00FA0D37">
              <w:rPr>
                <w:lang w:eastAsia="sv-SE"/>
              </w:rPr>
              <w:t xml:space="preserve"> corresponds to </w:t>
            </w:r>
            <w:r w:rsidR="00740D03" w:rsidRPr="00FA0D37">
              <w:rPr>
                <w:lang w:eastAsia="sv-SE"/>
              </w:rPr>
              <w:t>2</w:t>
            </w:r>
            <w:r w:rsidRPr="00FA0D37">
              <w:rPr>
                <w:lang w:eastAsia="sv-SE"/>
              </w:rPr>
              <w:t xml:space="preserve"> dB, dB</w:t>
            </w:r>
            <w:r w:rsidR="00740D03" w:rsidRPr="00FA0D37">
              <w:rPr>
                <w:lang w:eastAsia="sv-SE"/>
              </w:rPr>
              <w:t>3</w:t>
            </w:r>
            <w:r w:rsidRPr="00FA0D37">
              <w:rPr>
                <w:lang w:eastAsia="sv-SE"/>
              </w:rPr>
              <w:t xml:space="preserve"> corresponds to </w:t>
            </w:r>
            <w:r w:rsidR="00740D03" w:rsidRPr="00FA0D37">
              <w:rPr>
                <w:lang w:eastAsia="sv-SE"/>
              </w:rPr>
              <w:t>3</w:t>
            </w:r>
            <w:r w:rsidRPr="00FA0D37">
              <w:rPr>
                <w:lang w:eastAsia="sv-SE"/>
              </w:rPr>
              <w:t xml:space="preserve"> dB and so on.</w:t>
            </w:r>
          </w:p>
        </w:tc>
      </w:tr>
      <w:tr w:rsidR="005C7FF4" w:rsidRPr="00FA0D37" w14:paraId="5192BF72"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66684F3" w14:textId="77777777" w:rsidR="0090199E" w:rsidRPr="00FA0D37" w:rsidRDefault="0090199E" w:rsidP="0090199E">
            <w:pPr>
              <w:pStyle w:val="TAL"/>
              <w:rPr>
                <w:b/>
                <w:i/>
                <w:lang w:eastAsia="sv-SE"/>
              </w:rPr>
            </w:pPr>
            <w:r w:rsidRPr="00FA0D37">
              <w:rPr>
                <w:b/>
                <w:i/>
                <w:lang w:eastAsia="sv-SE"/>
              </w:rPr>
              <w:t>scg-DeactivationPreferenceConfig</w:t>
            </w:r>
          </w:p>
          <w:p w14:paraId="36074FF2" w14:textId="77777777" w:rsidR="0090199E" w:rsidRPr="00FA0D37" w:rsidRDefault="0090199E" w:rsidP="0090199E">
            <w:pPr>
              <w:pStyle w:val="TAL"/>
              <w:rPr>
                <w:lang w:eastAsia="sv-SE"/>
              </w:rPr>
            </w:pPr>
            <w:r w:rsidRPr="00FA0D37">
              <w:rPr>
                <w:lang w:eastAsia="sv-SE"/>
              </w:rPr>
              <w:t>Configuration of the UE to indicate its preference for SCG deactivation.</w:t>
            </w:r>
          </w:p>
        </w:tc>
      </w:tr>
      <w:tr w:rsidR="005C7FF4" w:rsidRPr="00FA0D37" w14:paraId="4258B888"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5C74BAA" w14:textId="77777777" w:rsidR="0090199E" w:rsidRPr="00FA0D37" w:rsidRDefault="0090199E" w:rsidP="0090199E">
            <w:pPr>
              <w:pStyle w:val="TAL"/>
              <w:rPr>
                <w:b/>
                <w:i/>
                <w:lang w:eastAsia="sv-SE"/>
              </w:rPr>
            </w:pPr>
            <w:r w:rsidRPr="00FA0D37">
              <w:rPr>
                <w:b/>
                <w:i/>
                <w:lang w:eastAsia="sv-SE"/>
              </w:rPr>
              <w:t>scg -StatePreferenceProhibitTimer</w:t>
            </w:r>
          </w:p>
          <w:p w14:paraId="49AE64AA" w14:textId="77777777" w:rsidR="0090199E" w:rsidRPr="00FA0D37" w:rsidRDefault="0090199E" w:rsidP="0090199E">
            <w:pPr>
              <w:pStyle w:val="TAL"/>
              <w:rPr>
                <w:lang w:eastAsia="sv-SE"/>
              </w:rPr>
            </w:pPr>
            <w:r w:rsidRPr="00FA0D37">
              <w:rPr>
                <w:lang w:eastAsia="sv-SE"/>
              </w:rPr>
              <w:t xml:space="preserve">Prohibit timer for UE indication of its preference for SCG deactivation. Value in seconds. Value </w:t>
            </w:r>
            <w:r w:rsidRPr="00FA0D37">
              <w:rPr>
                <w:i/>
                <w:lang w:eastAsia="sv-SE"/>
              </w:rPr>
              <w:t>s0</w:t>
            </w:r>
            <w:r w:rsidRPr="00FA0D37">
              <w:rPr>
                <w:lang w:eastAsia="sv-SE"/>
              </w:rPr>
              <w:t xml:space="preserve"> means prohibit timer is set to 0 seconds, value </w:t>
            </w:r>
            <w:r w:rsidRPr="00FA0D37">
              <w:rPr>
                <w:i/>
                <w:lang w:eastAsia="sv-SE"/>
              </w:rPr>
              <w:t>s1</w:t>
            </w:r>
            <w:r w:rsidRPr="00FA0D37">
              <w:rPr>
                <w:lang w:eastAsia="sv-SE"/>
              </w:rPr>
              <w:t xml:space="preserve"> means prohibit timer is set to 1 second and so on.</w:t>
            </w:r>
          </w:p>
        </w:tc>
      </w:tr>
      <w:tr w:rsidR="005C7FF4" w:rsidRPr="00FA0D37" w14:paraId="27E448F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77E2A2C" w14:textId="77777777" w:rsidR="0090199E" w:rsidRPr="00FA0D37" w:rsidRDefault="0090199E" w:rsidP="0090199E">
            <w:pPr>
              <w:pStyle w:val="TAL"/>
              <w:rPr>
                <w:b/>
                <w:i/>
                <w:lang w:eastAsia="sv-SE"/>
              </w:rPr>
            </w:pPr>
            <w:r w:rsidRPr="00FA0D37">
              <w:rPr>
                <w:b/>
                <w:i/>
                <w:lang w:eastAsia="sv-SE"/>
              </w:rPr>
              <w:t>sensorNameList</w:t>
            </w:r>
          </w:p>
          <w:p w14:paraId="3E24E14E" w14:textId="72FF55AA" w:rsidR="0090199E" w:rsidRPr="00FA0D37" w:rsidRDefault="0090199E" w:rsidP="0090199E">
            <w:pPr>
              <w:pStyle w:val="TAL"/>
              <w:rPr>
                <w:b/>
                <w:i/>
                <w:lang w:eastAsia="sv-SE"/>
              </w:rPr>
            </w:pPr>
            <w:r w:rsidRPr="00FA0D37">
              <w:rPr>
                <w:lang w:eastAsia="sv-SE"/>
              </w:rPr>
              <w:t>Configuration for the UE to report measurements from specific sensors.</w:t>
            </w:r>
            <w:r w:rsidR="00AD7F24" w:rsidRPr="00FA0D37">
              <w:rPr>
                <w:lang w:eastAsia="sv-SE"/>
              </w:rPr>
              <w:t xml:space="preserve"> </w:t>
            </w:r>
            <w:r w:rsidR="00AD7F24" w:rsidRPr="00FA0D37">
              <w:rPr>
                <w:bCs/>
                <w:lang w:eastAsia="en-GB"/>
              </w:rPr>
              <w:t xml:space="preserve">NG-RAN configures the field if </w:t>
            </w:r>
            <w:r w:rsidR="00AD7F24" w:rsidRPr="00FA0D37">
              <w:rPr>
                <w:bCs/>
                <w:i/>
                <w:lang w:eastAsia="en-GB"/>
              </w:rPr>
              <w:t>includeSensor-Meas</w:t>
            </w:r>
            <w:r w:rsidR="00AD7F24" w:rsidRPr="00FA0D37">
              <w:rPr>
                <w:bCs/>
                <w:lang w:eastAsia="en-GB"/>
              </w:rPr>
              <w:t xml:space="preserve"> is configured for one or more measurements.</w:t>
            </w:r>
          </w:p>
        </w:tc>
      </w:tr>
      <w:tr w:rsidR="005C7FF4" w:rsidRPr="00FA0D37" w14:paraId="0A7C4C6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BD057EA" w14:textId="77777777" w:rsidR="0090199E" w:rsidRPr="00FA0D37" w:rsidRDefault="0090199E" w:rsidP="0090199E">
            <w:pPr>
              <w:pStyle w:val="TAL"/>
              <w:rPr>
                <w:b/>
                <w:bCs/>
                <w:i/>
                <w:iCs/>
                <w:noProof/>
                <w:lang w:eastAsia="sv-SE"/>
              </w:rPr>
            </w:pPr>
            <w:r w:rsidRPr="00FA0D37">
              <w:rPr>
                <w:b/>
                <w:bCs/>
                <w:i/>
                <w:iCs/>
                <w:noProof/>
                <w:lang w:eastAsia="sv-SE"/>
              </w:rPr>
              <w:t>sl-AssistanceConfigNR</w:t>
            </w:r>
          </w:p>
          <w:p w14:paraId="02C99596" w14:textId="77777777" w:rsidR="0090199E" w:rsidRPr="00FA0D37" w:rsidRDefault="0090199E" w:rsidP="0090199E">
            <w:pPr>
              <w:pStyle w:val="TAL"/>
              <w:rPr>
                <w:noProof/>
                <w:lang w:eastAsia="sv-SE"/>
              </w:rPr>
            </w:pPr>
            <w:r w:rsidRPr="00FA0D37">
              <w:rPr>
                <w:noProof/>
                <w:lang w:eastAsia="sv-SE"/>
              </w:rPr>
              <w:t>Indicate whether UE is configured to provide configured grant assistance information for NR sidelink communication.</w:t>
            </w:r>
          </w:p>
        </w:tc>
      </w:tr>
      <w:tr w:rsidR="005C7FF4" w:rsidRPr="00FA0D37" w14:paraId="0FA9F1D9"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312F517A" w14:textId="6AABD2AF" w:rsidR="0090199E" w:rsidRPr="00FA0D37" w:rsidRDefault="0090199E" w:rsidP="0090199E">
            <w:pPr>
              <w:pStyle w:val="TAL"/>
              <w:rPr>
                <w:b/>
                <w:bCs/>
                <w:i/>
                <w:iCs/>
                <w:lang w:eastAsia="sv-SE"/>
              </w:rPr>
            </w:pPr>
            <w:r w:rsidRPr="00FA0D37">
              <w:rPr>
                <w:b/>
                <w:bCs/>
                <w:i/>
                <w:iCs/>
                <w:lang w:eastAsia="sv-SE"/>
              </w:rPr>
              <w:lastRenderedPageBreak/>
              <w:t>sourceDAPS-FailureReporting</w:t>
            </w:r>
          </w:p>
          <w:p w14:paraId="7F558A5C" w14:textId="77777777" w:rsidR="0090199E" w:rsidRPr="00FA0D37" w:rsidRDefault="0090199E" w:rsidP="0090199E">
            <w:pPr>
              <w:pStyle w:val="TAL"/>
              <w:rPr>
                <w:b/>
                <w:bCs/>
                <w:i/>
                <w:iCs/>
                <w:lang w:eastAsia="sv-SE"/>
              </w:rPr>
            </w:pPr>
            <w:r w:rsidRPr="00FA0D37">
              <w:rPr>
                <w:lang w:eastAsia="sv-SE"/>
              </w:rPr>
              <w:t xml:space="preserve">This field indicates whether the UE shall generate the SHR upon successfully completing the DAPS handover to the target cell and if a radio link failure was experienced in the source PCell while executing the DAPS handover. This field is set in the </w:t>
            </w:r>
            <w:r w:rsidRPr="00FA0D37">
              <w:rPr>
                <w:i/>
                <w:lang w:eastAsia="sv-SE"/>
              </w:rPr>
              <w:t>otherConfig</w:t>
            </w:r>
            <w:r w:rsidRPr="00FA0D37">
              <w:rPr>
                <w:lang w:eastAsia="sv-SE"/>
              </w:rPr>
              <w:t xml:space="preserve"> configured by the source cell of the DAPS handover.</w:t>
            </w:r>
          </w:p>
        </w:tc>
      </w:tr>
      <w:tr w:rsidR="005C7FF4" w:rsidRPr="00FA0D37" w14:paraId="07BEAA57"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5AFC037" w14:textId="77777777" w:rsidR="0090199E" w:rsidRPr="00FA0D37" w:rsidRDefault="0090199E" w:rsidP="0090199E">
            <w:pPr>
              <w:pStyle w:val="TAL"/>
              <w:rPr>
                <w:b/>
                <w:bCs/>
                <w:i/>
                <w:iCs/>
              </w:rPr>
            </w:pPr>
            <w:r w:rsidRPr="00FA0D37">
              <w:rPr>
                <w:b/>
                <w:bCs/>
                <w:i/>
                <w:iCs/>
              </w:rPr>
              <w:t>successHO-Config</w:t>
            </w:r>
          </w:p>
          <w:p w14:paraId="426DC22A" w14:textId="77777777" w:rsidR="0090199E" w:rsidRPr="00FA0D37" w:rsidRDefault="0090199E" w:rsidP="0090199E">
            <w:pPr>
              <w:pStyle w:val="TAL"/>
              <w:rPr>
                <w:b/>
                <w:bCs/>
                <w:i/>
                <w:iCs/>
                <w:lang w:eastAsia="sv-SE"/>
              </w:rPr>
            </w:pPr>
            <w:r w:rsidRPr="00FA0D37">
              <w:rPr>
                <w:lang w:eastAsia="sv-SE"/>
              </w:rPr>
              <w:t>Configuration for the UE to report the successful handover information to the network.</w:t>
            </w:r>
          </w:p>
        </w:tc>
      </w:tr>
      <w:tr w:rsidR="005C7FF4" w:rsidRPr="00FA0D37" w14:paraId="4D174B58" w14:textId="77777777" w:rsidTr="00771058">
        <w:trPr>
          <w:cantSplit/>
          <w:tblHeader/>
        </w:trPr>
        <w:tc>
          <w:tcPr>
            <w:tcW w:w="14310" w:type="dxa"/>
            <w:tcBorders>
              <w:top w:val="single" w:sz="4" w:space="0" w:color="auto"/>
              <w:left w:val="single" w:sz="4" w:space="0" w:color="auto"/>
              <w:bottom w:val="single" w:sz="4" w:space="0" w:color="auto"/>
              <w:right w:val="single" w:sz="4" w:space="0" w:color="auto"/>
            </w:tcBorders>
          </w:tcPr>
          <w:p w14:paraId="006F04BB" w14:textId="77777777" w:rsidR="0090199E" w:rsidRPr="00FA0D37" w:rsidRDefault="0090199E" w:rsidP="0090199E">
            <w:pPr>
              <w:pStyle w:val="TAL"/>
              <w:rPr>
                <w:b/>
                <w:bCs/>
                <w:i/>
                <w:iCs/>
                <w:lang w:eastAsia="sv-SE"/>
              </w:rPr>
            </w:pPr>
            <w:r w:rsidRPr="00FA0D37">
              <w:rPr>
                <w:b/>
                <w:bCs/>
                <w:i/>
                <w:iCs/>
                <w:lang w:eastAsia="sv-SE"/>
              </w:rPr>
              <w:t>t-SearchDeltaP-Stationary</w:t>
            </w:r>
          </w:p>
          <w:p w14:paraId="3E152ACA" w14:textId="1742FC17" w:rsidR="0090199E" w:rsidRPr="00FA0D37" w:rsidRDefault="0090199E" w:rsidP="0090199E">
            <w:pPr>
              <w:pStyle w:val="TAL"/>
              <w:rPr>
                <w:b/>
                <w:bCs/>
                <w:i/>
                <w:iCs/>
                <w:noProof/>
                <w:lang w:eastAsia="sv-SE"/>
              </w:rPr>
            </w:pPr>
            <w:r w:rsidRPr="00FA0D37">
              <w:rPr>
                <w:lang w:eastAsia="sv-SE"/>
              </w:rPr>
              <w:t>Parameter "T</w:t>
            </w:r>
            <w:r w:rsidRPr="00FA0D37">
              <w:rPr>
                <w:vertAlign w:val="subscript"/>
                <w:lang w:eastAsia="sv-SE"/>
              </w:rPr>
              <w:t>SearchDeltaP-StationaryConnected</w:t>
            </w:r>
            <w:r w:rsidRPr="00FA0D37">
              <w:rPr>
                <w:lang w:eastAsia="sv-SE"/>
              </w:rPr>
              <w:t xml:space="preserve">" in </w:t>
            </w:r>
            <w:r w:rsidRPr="00FA0D37">
              <w:rPr>
                <w:rFonts w:eastAsiaTheme="minorEastAsia"/>
              </w:rPr>
              <w:t>5.7.4.4</w:t>
            </w:r>
            <w:r w:rsidRPr="00FA0D37">
              <w:rPr>
                <w:lang w:eastAsia="sv-SE"/>
              </w:rPr>
              <w:t>. Value in seconds. Value s5 means 5 seconds, value s10 means 10 seconds and so on.</w:t>
            </w:r>
          </w:p>
        </w:tc>
      </w:tr>
      <w:tr w:rsidR="005C7FF4" w:rsidRPr="00FA0D37" w14:paraId="2583DD81"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3899805B" w14:textId="77777777" w:rsidR="0090199E" w:rsidRPr="00FA0D37" w:rsidRDefault="0090199E" w:rsidP="0090199E">
            <w:pPr>
              <w:pStyle w:val="TAL"/>
              <w:rPr>
                <w:b/>
                <w:bCs/>
                <w:i/>
                <w:iCs/>
                <w:lang w:eastAsia="sv-SE"/>
              </w:rPr>
            </w:pPr>
            <w:r w:rsidRPr="00FA0D37">
              <w:rPr>
                <w:b/>
                <w:bCs/>
                <w:i/>
                <w:iCs/>
                <w:lang w:eastAsia="sv-SE"/>
              </w:rPr>
              <w:t>thresholdPercentageT304</w:t>
            </w:r>
          </w:p>
          <w:p w14:paraId="73DDF819" w14:textId="77777777" w:rsidR="0090199E" w:rsidRPr="00FA0D37" w:rsidRDefault="0090199E" w:rsidP="0090199E">
            <w:pPr>
              <w:pStyle w:val="TAL"/>
              <w:rPr>
                <w:lang w:eastAsia="sv-SE"/>
              </w:rPr>
            </w:pPr>
            <w:r w:rsidRPr="00FA0D37">
              <w:rPr>
                <w:lang w:eastAsia="sv-SE"/>
              </w:rPr>
              <w:t xml:space="preserve">This field indicates the threshold for the ratio in percentage between the elapsed T304 timer and the configured value of the T304 timer. Value </w:t>
            </w:r>
            <w:r w:rsidRPr="00FA0D37">
              <w:rPr>
                <w:i/>
                <w:lang w:eastAsia="sv-SE"/>
              </w:rPr>
              <w:t>p40</w:t>
            </w:r>
            <w:r w:rsidRPr="00FA0D37">
              <w:rPr>
                <w:lang w:eastAsia="sv-SE"/>
              </w:rPr>
              <w:t xml:space="preserve"> corresponds to 40%, value </w:t>
            </w:r>
            <w:r w:rsidRPr="00FA0D37">
              <w:rPr>
                <w:i/>
                <w:lang w:eastAsia="sv-SE"/>
              </w:rPr>
              <w:t>p60</w:t>
            </w:r>
            <w:r w:rsidRPr="00FA0D37">
              <w:rPr>
                <w:lang w:eastAsia="sv-SE"/>
              </w:rPr>
              <w:t xml:space="preserve"> corresponds to 60% and so on. This field is set in the </w:t>
            </w:r>
            <w:r w:rsidRPr="00FA0D37">
              <w:rPr>
                <w:i/>
                <w:iCs/>
                <w:lang w:eastAsia="sv-SE"/>
              </w:rPr>
              <w:t>otherConfig</w:t>
            </w:r>
            <w:r w:rsidRPr="00FA0D37">
              <w:rPr>
                <w:lang w:eastAsia="sv-SE"/>
              </w:rPr>
              <w:t xml:space="preserve"> configured by the target cell of the handover.</w:t>
            </w:r>
          </w:p>
        </w:tc>
      </w:tr>
      <w:tr w:rsidR="005C7FF4" w:rsidRPr="00FA0D37" w14:paraId="5D674CA3"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4ED5729B" w14:textId="77777777" w:rsidR="0090199E" w:rsidRPr="00FA0D37" w:rsidRDefault="0090199E" w:rsidP="0090199E">
            <w:pPr>
              <w:pStyle w:val="TAL"/>
              <w:rPr>
                <w:b/>
                <w:bCs/>
                <w:i/>
                <w:iCs/>
                <w:lang w:eastAsia="sv-SE"/>
              </w:rPr>
            </w:pPr>
            <w:r w:rsidRPr="00FA0D37">
              <w:rPr>
                <w:b/>
                <w:bCs/>
                <w:i/>
                <w:iCs/>
                <w:lang w:eastAsia="sv-SE"/>
              </w:rPr>
              <w:t>thresholdPercentageT310</w:t>
            </w:r>
          </w:p>
          <w:p w14:paraId="6D9A8EDB" w14:textId="77777777" w:rsidR="0090199E" w:rsidRPr="00FA0D37" w:rsidRDefault="0090199E" w:rsidP="0090199E">
            <w:pPr>
              <w:pStyle w:val="TAL"/>
              <w:rPr>
                <w:lang w:eastAsia="sv-SE"/>
              </w:rPr>
            </w:pPr>
            <w:r w:rsidRPr="00FA0D37">
              <w:rPr>
                <w:lang w:eastAsia="sv-SE"/>
              </w:rPr>
              <w:t xml:space="preserve">This field indicates the threshold for the ratio in percentage between the elapsed T310 timer and the configured value of the T310 timer. Value </w:t>
            </w:r>
            <w:r w:rsidRPr="00FA0D37">
              <w:rPr>
                <w:i/>
                <w:lang w:eastAsia="sv-SE"/>
              </w:rPr>
              <w:t>p40</w:t>
            </w:r>
            <w:r w:rsidRPr="00FA0D37">
              <w:rPr>
                <w:lang w:eastAsia="sv-SE"/>
              </w:rPr>
              <w:t xml:space="preserve"> corresponds to 40%, value </w:t>
            </w:r>
            <w:r w:rsidRPr="00FA0D37">
              <w:rPr>
                <w:i/>
                <w:lang w:eastAsia="sv-SE"/>
              </w:rPr>
              <w:t>p60</w:t>
            </w:r>
            <w:r w:rsidRPr="00FA0D37">
              <w:rPr>
                <w:lang w:eastAsia="sv-SE"/>
              </w:rPr>
              <w:t xml:space="preserve"> corresponds to 60% and so on. This field is set in the </w:t>
            </w:r>
            <w:r w:rsidRPr="00FA0D37">
              <w:rPr>
                <w:i/>
                <w:iCs/>
                <w:lang w:eastAsia="sv-SE"/>
              </w:rPr>
              <w:t>otherConfig</w:t>
            </w:r>
            <w:r w:rsidRPr="00FA0D37">
              <w:rPr>
                <w:lang w:eastAsia="sv-SE"/>
              </w:rPr>
              <w:t xml:space="preserve"> configured by the source cell of the handover.</w:t>
            </w:r>
          </w:p>
        </w:tc>
      </w:tr>
      <w:tr w:rsidR="005C7FF4" w:rsidRPr="00FA0D37" w14:paraId="60589AE5"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EF3E467" w14:textId="77777777" w:rsidR="0090199E" w:rsidRPr="00FA0D37" w:rsidRDefault="0090199E" w:rsidP="0090199E">
            <w:pPr>
              <w:pStyle w:val="TAL"/>
              <w:rPr>
                <w:b/>
                <w:bCs/>
                <w:i/>
                <w:iCs/>
                <w:lang w:eastAsia="sv-SE"/>
              </w:rPr>
            </w:pPr>
            <w:r w:rsidRPr="00FA0D37">
              <w:rPr>
                <w:b/>
                <w:bCs/>
                <w:i/>
                <w:iCs/>
                <w:lang w:eastAsia="sv-SE"/>
              </w:rPr>
              <w:t>thresholdPercentageT312</w:t>
            </w:r>
          </w:p>
          <w:p w14:paraId="4D8E1F6E" w14:textId="77777777" w:rsidR="0090199E" w:rsidRPr="00FA0D37" w:rsidRDefault="0090199E" w:rsidP="0090199E">
            <w:pPr>
              <w:pStyle w:val="TAL"/>
              <w:rPr>
                <w:lang w:eastAsia="sv-SE"/>
              </w:rPr>
            </w:pPr>
            <w:r w:rsidRPr="00FA0D37">
              <w:rPr>
                <w:lang w:eastAsia="sv-SE"/>
              </w:rPr>
              <w:t xml:space="preserve">This field indicates the threshold for the ratio in percentage between the elapsed T312 timer and the configured value(s) of the T312 timer. Value </w:t>
            </w:r>
            <w:r w:rsidRPr="00FA0D37">
              <w:rPr>
                <w:i/>
                <w:lang w:eastAsia="sv-SE"/>
              </w:rPr>
              <w:t>p20</w:t>
            </w:r>
            <w:r w:rsidRPr="00FA0D37">
              <w:rPr>
                <w:lang w:eastAsia="sv-SE"/>
              </w:rPr>
              <w:t xml:space="preserve"> corresponds to 20%, value </w:t>
            </w:r>
            <w:r w:rsidRPr="00FA0D37">
              <w:rPr>
                <w:i/>
                <w:lang w:eastAsia="sv-SE"/>
              </w:rPr>
              <w:t>p40</w:t>
            </w:r>
            <w:r w:rsidRPr="00FA0D37">
              <w:rPr>
                <w:lang w:eastAsia="sv-SE"/>
              </w:rPr>
              <w:t xml:space="preserve"> corresponds to 40% and so on. This field is set in the </w:t>
            </w:r>
            <w:r w:rsidRPr="00FA0D37">
              <w:rPr>
                <w:i/>
                <w:iCs/>
                <w:lang w:eastAsia="sv-SE"/>
              </w:rPr>
              <w:t>otherConfig</w:t>
            </w:r>
            <w:r w:rsidRPr="00FA0D37">
              <w:rPr>
                <w:lang w:eastAsia="sv-SE"/>
              </w:rPr>
              <w:t xml:space="preserve"> configured by the source cell of the handover.</w:t>
            </w:r>
          </w:p>
        </w:tc>
      </w:tr>
      <w:tr w:rsidR="005C7FF4" w:rsidRPr="00FA0D37" w14:paraId="7D179475" w14:textId="77777777" w:rsidTr="00771058">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7700289F" w14:textId="77777777" w:rsidR="0090199E" w:rsidRPr="00FA0D37" w:rsidRDefault="0090199E" w:rsidP="0090199E">
            <w:pPr>
              <w:pStyle w:val="TAL"/>
              <w:rPr>
                <w:b/>
                <w:bCs/>
                <w:i/>
                <w:iCs/>
                <w:szCs w:val="18"/>
                <w:lang w:eastAsia="sv-SE"/>
              </w:rPr>
            </w:pPr>
            <w:r w:rsidRPr="00FA0D37">
              <w:rPr>
                <w:b/>
                <w:bCs/>
                <w:i/>
                <w:iCs/>
                <w:szCs w:val="18"/>
                <w:lang w:eastAsia="sv-SE"/>
              </w:rPr>
              <w:t>threshPropDelayDiff</w:t>
            </w:r>
          </w:p>
          <w:p w14:paraId="326F90ED" w14:textId="26F636C3" w:rsidR="0090199E" w:rsidRPr="00FA0D37" w:rsidRDefault="0090199E" w:rsidP="0090199E">
            <w:pPr>
              <w:pStyle w:val="TAL"/>
              <w:rPr>
                <w:b/>
                <w:bCs/>
                <w:i/>
                <w:iCs/>
                <w:lang w:eastAsia="sv-SE"/>
              </w:rPr>
            </w:pPr>
            <w:r w:rsidRPr="00FA0D37">
              <w:rPr>
                <w:szCs w:val="18"/>
                <w:lang w:eastAsia="sv-SE"/>
              </w:rPr>
              <w:t xml:space="preserve">Threshold for </w:t>
            </w:r>
            <w:r w:rsidR="007311BD" w:rsidRPr="00FA0D37">
              <w:rPr>
                <w:szCs w:val="18"/>
                <w:lang w:eastAsia="sv-SE"/>
              </w:rPr>
              <w:t xml:space="preserve">one-way </w:t>
            </w:r>
            <w:r w:rsidRPr="00FA0D37">
              <w:rPr>
                <w:szCs w:val="18"/>
                <w:lang w:eastAsia="sv-SE"/>
              </w:rPr>
              <w:t>service link propagation delay difference report as specified in 5.7.4.2.</w:t>
            </w:r>
          </w:p>
        </w:tc>
      </w:tr>
      <w:tr w:rsidR="0090199E" w:rsidRPr="00FA0D37" w14:paraId="60A419B0" w14:textId="77777777" w:rsidTr="0024387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295E990" w14:textId="77777777" w:rsidR="0090199E" w:rsidRPr="00FA0D37" w:rsidRDefault="0090199E" w:rsidP="0090199E">
            <w:pPr>
              <w:pStyle w:val="TAL"/>
              <w:rPr>
                <w:b/>
                <w:bCs/>
                <w:i/>
                <w:iCs/>
                <w:noProof/>
                <w:lang w:eastAsia="sv-SE"/>
              </w:rPr>
            </w:pPr>
            <w:r w:rsidRPr="00FA0D37">
              <w:rPr>
                <w:b/>
                <w:bCs/>
                <w:i/>
                <w:iCs/>
                <w:noProof/>
                <w:lang w:eastAsia="sv-SE"/>
              </w:rPr>
              <w:t>ul-GapFR2-PreferenceConfig</w:t>
            </w:r>
          </w:p>
          <w:p w14:paraId="0C2E2091" w14:textId="77777777" w:rsidR="0090199E" w:rsidRPr="00FA0D37" w:rsidRDefault="0090199E" w:rsidP="0090199E">
            <w:pPr>
              <w:pStyle w:val="TAL"/>
              <w:rPr>
                <w:noProof/>
                <w:lang w:eastAsia="sv-SE"/>
              </w:rPr>
            </w:pPr>
            <w:r w:rsidRPr="00FA0D37">
              <w:rPr>
                <w:noProof/>
                <w:lang w:eastAsia="sv-SE"/>
              </w:rPr>
              <w:t>Indicates whether UE is configured to request for FR2 UL gap activation/deactivation and preferred FR2 UL gap pattern.</w:t>
            </w:r>
          </w:p>
        </w:tc>
      </w:tr>
      <w:tr w:rsidR="00AD7F24" w:rsidRPr="00FA0D37" w14:paraId="122516E4" w14:textId="77777777" w:rsidTr="00AD7F2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9515E6D" w14:textId="77777777" w:rsidR="00AD7F24" w:rsidRPr="00FA0D37" w:rsidRDefault="00AD7F24" w:rsidP="00AD7F24">
            <w:pPr>
              <w:pStyle w:val="TAL"/>
              <w:rPr>
                <w:b/>
                <w:bCs/>
                <w:i/>
                <w:iCs/>
                <w:noProof/>
                <w:lang w:eastAsia="sv-SE"/>
              </w:rPr>
            </w:pPr>
            <w:r w:rsidRPr="00FA0D37">
              <w:rPr>
                <w:b/>
                <w:bCs/>
                <w:i/>
                <w:iCs/>
                <w:noProof/>
                <w:lang w:eastAsia="sv-SE"/>
              </w:rPr>
              <w:t>wlanNameList</w:t>
            </w:r>
          </w:p>
          <w:p w14:paraId="51A06A91" w14:textId="77777777" w:rsidR="00AD7F24" w:rsidRPr="00FA0D37" w:rsidRDefault="00AD7F24" w:rsidP="00AD7F24">
            <w:pPr>
              <w:pStyle w:val="TAL"/>
              <w:rPr>
                <w:noProof/>
                <w:lang w:eastAsia="sv-SE"/>
              </w:rPr>
            </w:pPr>
            <w:r w:rsidRPr="00FA0D37">
              <w:rPr>
                <w:noProof/>
                <w:lang w:eastAsia="sv-SE"/>
              </w:rPr>
              <w:t xml:space="preserve">Configuration for the UE to report measurements from specific WLAN APs. NG-RAN configures the field if </w:t>
            </w:r>
            <w:r w:rsidRPr="00FA0D37">
              <w:rPr>
                <w:i/>
                <w:iCs/>
                <w:noProof/>
                <w:lang w:eastAsia="sv-SE"/>
              </w:rPr>
              <w:t>includeWLAN-Meas</w:t>
            </w:r>
            <w:r w:rsidRPr="00FA0D37">
              <w:rPr>
                <w:noProof/>
                <w:lang w:eastAsia="sv-SE"/>
              </w:rPr>
              <w:t xml:space="preserve"> is configured for one or more measurements.</w:t>
            </w:r>
          </w:p>
        </w:tc>
      </w:tr>
    </w:tbl>
    <w:p w14:paraId="4595AEA2" w14:textId="77777777" w:rsidR="003B3DEF" w:rsidRPr="00FA0D37" w:rsidRDefault="003B3DEF" w:rsidP="003B3DEF">
      <w:pPr>
        <w:spacing w:line="256" w:lineRule="auto"/>
        <w:rPr>
          <w:rFonts w:eastAsia="Yu Mincho"/>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5C7FF4" w:rsidRPr="00FA0D37" w14:paraId="70B01259" w14:textId="77777777" w:rsidTr="0071565C">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A5958CB" w14:textId="77777777" w:rsidR="003B3DEF" w:rsidRPr="00FA0D37" w:rsidRDefault="003B3DEF" w:rsidP="00651E87">
            <w:pPr>
              <w:pStyle w:val="TAH"/>
              <w:rPr>
                <w:lang w:eastAsia="en-GB"/>
              </w:rPr>
            </w:pPr>
            <w:r w:rsidRPr="00FA0D37">
              <w:rPr>
                <w:i/>
                <w:lang w:eastAsia="en-GB"/>
              </w:rPr>
              <w:t>NeighbourCellInfo</w:t>
            </w:r>
            <w:r w:rsidRPr="00FA0D37">
              <w:rPr>
                <w:lang w:eastAsia="en-GB"/>
              </w:rPr>
              <w:t xml:space="preserve"> field descriptions</w:t>
            </w:r>
          </w:p>
        </w:tc>
      </w:tr>
      <w:tr w:rsidR="003B3DEF" w:rsidRPr="00FA0D37" w14:paraId="155FBA68" w14:textId="77777777" w:rsidTr="0071565C">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DBCDFC9" w14:textId="77777777" w:rsidR="003B3DEF" w:rsidRPr="00FA0D37" w:rsidRDefault="003B3DEF" w:rsidP="00651E87">
            <w:pPr>
              <w:pStyle w:val="TAL"/>
              <w:rPr>
                <w:b/>
                <w:bCs/>
                <w:i/>
                <w:iCs/>
                <w:lang w:eastAsia="en-GB"/>
              </w:rPr>
            </w:pPr>
            <w:r w:rsidRPr="00FA0D37">
              <w:rPr>
                <w:b/>
                <w:bCs/>
                <w:i/>
                <w:iCs/>
                <w:lang w:eastAsia="en-GB"/>
              </w:rPr>
              <w:t>epochTime</w:t>
            </w:r>
          </w:p>
          <w:p w14:paraId="41E1FACF" w14:textId="77777777" w:rsidR="003B3DEF" w:rsidRPr="00FA0D37" w:rsidRDefault="003B3DEF" w:rsidP="00651E87">
            <w:pPr>
              <w:pStyle w:val="TAL"/>
              <w:rPr>
                <w:lang w:eastAsia="en-GB"/>
              </w:rPr>
            </w:pPr>
            <w:r w:rsidRPr="00FA0D37">
              <w:rPr>
                <w:lang w:eastAsia="en-GB"/>
              </w:rPr>
              <w:t xml:space="preserve">Indicates the epoch time used along with the </w:t>
            </w:r>
            <w:r w:rsidRPr="00FA0D37">
              <w:rPr>
                <w:i/>
                <w:iCs/>
                <w:lang w:eastAsia="en-GB"/>
              </w:rPr>
              <w:t>ephemerisInfo</w:t>
            </w:r>
            <w:r w:rsidRPr="00FA0D37">
              <w:rPr>
                <w:lang w:eastAsia="en-GB"/>
              </w:rPr>
              <w:t xml:space="preserve"> to derive the propagation delay difference for the associated neighbour cell. The UE considers epoch time, indicated by the SFN and sub-frame number in this field, to be the frame nearest to the frame in which the message indicating the epoch time is received.</w:t>
            </w:r>
            <w:r w:rsidRPr="00FA0D37">
              <w:t xml:space="preserve"> </w:t>
            </w:r>
            <w:r w:rsidRPr="00FA0D37">
              <w:rPr>
                <w:lang w:eastAsia="en-GB"/>
              </w:rPr>
              <w:t>This field is used based on the timing of the serving cell, i.e. the SFN and sub-frame number indicated in this field refers to the SFN and sub-frame of the serving cell.</w:t>
            </w:r>
          </w:p>
        </w:tc>
      </w:tr>
    </w:tbl>
    <w:p w14:paraId="5D8C962A" w14:textId="0A900044"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5C7FF4" w:rsidRPr="00FA0D37" w14:paraId="5FC07260" w14:textId="77777777" w:rsidTr="00771058">
        <w:tc>
          <w:tcPr>
            <w:tcW w:w="3402" w:type="dxa"/>
            <w:tcBorders>
              <w:top w:val="single" w:sz="4" w:space="0" w:color="auto"/>
              <w:left w:val="single" w:sz="4" w:space="0" w:color="auto"/>
              <w:bottom w:val="single" w:sz="4" w:space="0" w:color="auto"/>
              <w:right w:val="single" w:sz="4" w:space="0" w:color="auto"/>
            </w:tcBorders>
            <w:hideMark/>
          </w:tcPr>
          <w:p w14:paraId="1882243D" w14:textId="77777777" w:rsidR="00727F8C" w:rsidRPr="00FA0D37" w:rsidRDefault="00727F8C" w:rsidP="000830BB">
            <w:pPr>
              <w:pStyle w:val="TAH"/>
              <w:rPr>
                <w:rFonts w:eastAsia="宋体"/>
                <w:lang w:eastAsia="sv-SE"/>
              </w:rPr>
            </w:pPr>
            <w:r w:rsidRPr="00FA0D37">
              <w:rPr>
                <w:rFonts w:eastAsia="宋体"/>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3B4F24E" w14:textId="77777777" w:rsidR="00727F8C" w:rsidRPr="00FA0D37" w:rsidRDefault="00727F8C" w:rsidP="000830BB">
            <w:pPr>
              <w:pStyle w:val="TAH"/>
              <w:rPr>
                <w:rFonts w:eastAsia="宋体"/>
                <w:lang w:eastAsia="sv-SE"/>
              </w:rPr>
            </w:pPr>
            <w:r w:rsidRPr="00FA0D37">
              <w:rPr>
                <w:rFonts w:eastAsia="宋体"/>
                <w:lang w:eastAsia="sv-SE"/>
              </w:rPr>
              <w:t>Explanation</w:t>
            </w:r>
          </w:p>
        </w:tc>
      </w:tr>
      <w:tr w:rsidR="005C7FF4" w:rsidRPr="00FA0D37" w14:paraId="1DA223B1" w14:textId="77777777" w:rsidTr="00771058">
        <w:tc>
          <w:tcPr>
            <w:tcW w:w="3402" w:type="dxa"/>
            <w:tcBorders>
              <w:top w:val="single" w:sz="4" w:space="0" w:color="auto"/>
              <w:left w:val="single" w:sz="4" w:space="0" w:color="auto"/>
              <w:bottom w:val="single" w:sz="4" w:space="0" w:color="auto"/>
              <w:right w:val="single" w:sz="4" w:space="0" w:color="auto"/>
            </w:tcBorders>
          </w:tcPr>
          <w:p w14:paraId="74F0B71F" w14:textId="77777777" w:rsidR="00727F8C" w:rsidRPr="00FA0D37" w:rsidRDefault="00727F8C" w:rsidP="000830BB">
            <w:pPr>
              <w:pStyle w:val="TAL"/>
              <w:rPr>
                <w:rFonts w:eastAsia="宋体"/>
                <w:i/>
                <w:iCs/>
                <w:lang w:eastAsia="ko-KR"/>
              </w:rPr>
            </w:pPr>
            <w:r w:rsidRPr="00FA0D37">
              <w:rPr>
                <w:rFonts w:eastAsia="宋体"/>
                <w:i/>
                <w:iCs/>
                <w:lang w:eastAsia="ko-KR"/>
              </w:rPr>
              <w:t>maxBW</w:t>
            </w:r>
          </w:p>
        </w:tc>
        <w:tc>
          <w:tcPr>
            <w:tcW w:w="10773" w:type="dxa"/>
            <w:tcBorders>
              <w:top w:val="single" w:sz="4" w:space="0" w:color="auto"/>
              <w:left w:val="single" w:sz="4" w:space="0" w:color="auto"/>
              <w:bottom w:val="single" w:sz="4" w:space="0" w:color="auto"/>
              <w:right w:val="single" w:sz="4" w:space="0" w:color="auto"/>
            </w:tcBorders>
          </w:tcPr>
          <w:p w14:paraId="51AE0FD4" w14:textId="77777777" w:rsidR="00727F8C" w:rsidRPr="00FA0D37" w:rsidRDefault="00727F8C" w:rsidP="000830BB">
            <w:pPr>
              <w:pStyle w:val="TAL"/>
              <w:rPr>
                <w:rFonts w:eastAsia="宋体"/>
                <w:lang w:eastAsia="sv-SE"/>
              </w:rPr>
            </w:pPr>
            <w:r w:rsidRPr="00FA0D37">
              <w:rPr>
                <w:rFonts w:eastAsia="宋体"/>
                <w:lang w:eastAsia="sv-SE"/>
              </w:rPr>
              <w:t xml:space="preserve">This field is optionally present, need R, if </w:t>
            </w:r>
            <w:r w:rsidRPr="00FA0D37">
              <w:rPr>
                <w:rFonts w:eastAsia="宋体"/>
                <w:i/>
                <w:iCs/>
                <w:lang w:eastAsia="sv-SE"/>
              </w:rPr>
              <w:t>maxBW-PreferenceConfig-r16</w:t>
            </w:r>
            <w:r w:rsidRPr="00FA0D37">
              <w:rPr>
                <w:rFonts w:eastAsia="宋体"/>
                <w:lang w:eastAsia="sv-SE"/>
              </w:rPr>
              <w:t xml:space="preserve"> is setup; otherwise it is absent, need R</w:t>
            </w:r>
            <w:r w:rsidRPr="00FA0D37">
              <w:rPr>
                <w:rFonts w:eastAsia="宋体"/>
                <w:lang w:eastAsia="en-US"/>
              </w:rPr>
              <w:t>.</w:t>
            </w:r>
          </w:p>
        </w:tc>
      </w:tr>
      <w:tr w:rsidR="005C7FF4" w:rsidRPr="00FA0D37" w14:paraId="14BE3D37" w14:textId="77777777" w:rsidTr="00771058">
        <w:tc>
          <w:tcPr>
            <w:tcW w:w="3402" w:type="dxa"/>
            <w:tcBorders>
              <w:top w:val="single" w:sz="4" w:space="0" w:color="auto"/>
              <w:left w:val="single" w:sz="4" w:space="0" w:color="auto"/>
              <w:bottom w:val="single" w:sz="4" w:space="0" w:color="auto"/>
              <w:right w:val="single" w:sz="4" w:space="0" w:color="auto"/>
            </w:tcBorders>
          </w:tcPr>
          <w:p w14:paraId="703FF173" w14:textId="77777777" w:rsidR="00727F8C" w:rsidRPr="00FA0D37" w:rsidRDefault="00727F8C" w:rsidP="000830BB">
            <w:pPr>
              <w:pStyle w:val="TAL"/>
              <w:rPr>
                <w:rFonts w:eastAsia="宋体"/>
                <w:i/>
                <w:iCs/>
                <w:lang w:eastAsia="ko-KR"/>
              </w:rPr>
            </w:pPr>
            <w:r w:rsidRPr="00FA0D37">
              <w:rPr>
                <w:rFonts w:eastAsia="宋体"/>
                <w:i/>
                <w:iCs/>
                <w:lang w:eastAsia="ko-KR"/>
              </w:rPr>
              <w:t>maxMIMO</w:t>
            </w:r>
          </w:p>
        </w:tc>
        <w:tc>
          <w:tcPr>
            <w:tcW w:w="10773" w:type="dxa"/>
            <w:tcBorders>
              <w:top w:val="single" w:sz="4" w:space="0" w:color="auto"/>
              <w:left w:val="single" w:sz="4" w:space="0" w:color="auto"/>
              <w:bottom w:val="single" w:sz="4" w:space="0" w:color="auto"/>
              <w:right w:val="single" w:sz="4" w:space="0" w:color="auto"/>
            </w:tcBorders>
          </w:tcPr>
          <w:p w14:paraId="601EB2CD" w14:textId="77777777" w:rsidR="00727F8C" w:rsidRPr="00FA0D37" w:rsidRDefault="00727F8C" w:rsidP="000830BB">
            <w:pPr>
              <w:pStyle w:val="TAL"/>
              <w:rPr>
                <w:rFonts w:eastAsia="宋体"/>
                <w:lang w:eastAsia="sv-SE"/>
              </w:rPr>
            </w:pPr>
            <w:r w:rsidRPr="00FA0D37">
              <w:rPr>
                <w:rFonts w:eastAsia="宋体"/>
                <w:lang w:eastAsia="sv-SE"/>
              </w:rPr>
              <w:t xml:space="preserve">This field is optionally present, need R, if </w:t>
            </w:r>
            <w:r w:rsidRPr="00FA0D37">
              <w:rPr>
                <w:rFonts w:eastAsia="宋体"/>
                <w:i/>
                <w:iCs/>
                <w:lang w:eastAsia="sv-SE"/>
              </w:rPr>
              <w:t>maxMIMO-LayerPreferenceConfig-r16</w:t>
            </w:r>
            <w:r w:rsidRPr="00FA0D37">
              <w:rPr>
                <w:rFonts w:eastAsia="宋体"/>
                <w:lang w:eastAsia="sv-SE"/>
              </w:rPr>
              <w:t xml:space="preserve"> is setup; otherwise it is absent, need R</w:t>
            </w:r>
            <w:r w:rsidRPr="00FA0D37">
              <w:rPr>
                <w:rFonts w:eastAsia="宋体"/>
                <w:lang w:eastAsia="en-US"/>
              </w:rPr>
              <w:t>.</w:t>
            </w:r>
          </w:p>
        </w:tc>
      </w:tr>
      <w:tr w:rsidR="005C7FF4" w:rsidRPr="00FA0D37" w14:paraId="7A86AB98" w14:textId="77777777" w:rsidTr="00771058">
        <w:tc>
          <w:tcPr>
            <w:tcW w:w="3402" w:type="dxa"/>
            <w:tcBorders>
              <w:top w:val="single" w:sz="4" w:space="0" w:color="auto"/>
              <w:left w:val="single" w:sz="4" w:space="0" w:color="auto"/>
              <w:bottom w:val="single" w:sz="4" w:space="0" w:color="auto"/>
              <w:right w:val="single" w:sz="4" w:space="0" w:color="auto"/>
            </w:tcBorders>
          </w:tcPr>
          <w:p w14:paraId="613F192E" w14:textId="77777777" w:rsidR="00727F8C" w:rsidRPr="00FA0D37" w:rsidRDefault="00727F8C" w:rsidP="000830BB">
            <w:pPr>
              <w:pStyle w:val="TAL"/>
              <w:rPr>
                <w:rFonts w:eastAsia="宋体"/>
                <w:i/>
                <w:iCs/>
                <w:lang w:eastAsia="ko-KR"/>
              </w:rPr>
            </w:pPr>
            <w:r w:rsidRPr="00FA0D37">
              <w:rPr>
                <w:rFonts w:eastAsia="宋体"/>
                <w:i/>
                <w:iCs/>
                <w:lang w:eastAsia="ko-KR"/>
              </w:rPr>
              <w:t>minOffset</w:t>
            </w:r>
          </w:p>
        </w:tc>
        <w:tc>
          <w:tcPr>
            <w:tcW w:w="10773" w:type="dxa"/>
            <w:tcBorders>
              <w:top w:val="single" w:sz="4" w:space="0" w:color="auto"/>
              <w:left w:val="single" w:sz="4" w:space="0" w:color="auto"/>
              <w:bottom w:val="single" w:sz="4" w:space="0" w:color="auto"/>
              <w:right w:val="single" w:sz="4" w:space="0" w:color="auto"/>
            </w:tcBorders>
          </w:tcPr>
          <w:p w14:paraId="4CB5EE60" w14:textId="77777777" w:rsidR="00727F8C" w:rsidRPr="00FA0D37" w:rsidRDefault="00727F8C" w:rsidP="000830BB">
            <w:pPr>
              <w:pStyle w:val="TAL"/>
              <w:rPr>
                <w:rFonts w:eastAsia="宋体"/>
                <w:lang w:eastAsia="sv-SE"/>
              </w:rPr>
            </w:pPr>
            <w:r w:rsidRPr="00FA0D37">
              <w:rPr>
                <w:rFonts w:eastAsia="宋体"/>
                <w:lang w:eastAsia="sv-SE"/>
              </w:rPr>
              <w:t xml:space="preserve">This field is optionally present, need R, if </w:t>
            </w:r>
            <w:r w:rsidRPr="00FA0D37">
              <w:rPr>
                <w:rFonts w:eastAsia="宋体"/>
                <w:i/>
                <w:iCs/>
                <w:lang w:eastAsia="sv-SE"/>
              </w:rPr>
              <w:t>minSchedulingOffsetPreferenceConfig-r16</w:t>
            </w:r>
            <w:r w:rsidRPr="00FA0D37">
              <w:rPr>
                <w:rFonts w:eastAsia="宋体"/>
                <w:lang w:eastAsia="sv-SE"/>
              </w:rPr>
              <w:t xml:space="preserve"> is setup; otherwise it is absent, need R</w:t>
            </w:r>
            <w:r w:rsidRPr="00FA0D37">
              <w:rPr>
                <w:rFonts w:eastAsia="宋体"/>
                <w:lang w:eastAsia="en-US"/>
              </w:rPr>
              <w:t>.</w:t>
            </w:r>
          </w:p>
        </w:tc>
      </w:tr>
      <w:tr w:rsidR="009C015E" w:rsidRPr="00FA0D37" w14:paraId="70E6FD11" w14:textId="77777777" w:rsidTr="009C015E">
        <w:tc>
          <w:tcPr>
            <w:tcW w:w="3402" w:type="dxa"/>
            <w:tcBorders>
              <w:top w:val="single" w:sz="4" w:space="0" w:color="auto"/>
              <w:left w:val="single" w:sz="4" w:space="0" w:color="auto"/>
              <w:bottom w:val="single" w:sz="4" w:space="0" w:color="auto"/>
              <w:right w:val="single" w:sz="4" w:space="0" w:color="auto"/>
            </w:tcBorders>
          </w:tcPr>
          <w:p w14:paraId="3A716E28" w14:textId="77777777" w:rsidR="009C015E" w:rsidRPr="00FA0D37" w:rsidRDefault="009C015E" w:rsidP="0071565C">
            <w:pPr>
              <w:pStyle w:val="TAL"/>
              <w:rPr>
                <w:rFonts w:eastAsia="宋体"/>
                <w:i/>
                <w:iCs/>
                <w:lang w:eastAsia="ko-KR"/>
              </w:rPr>
            </w:pPr>
            <w:r w:rsidRPr="00FA0D37">
              <w:rPr>
                <w:rFonts w:eastAsia="宋体"/>
                <w:i/>
                <w:iCs/>
                <w:lang w:eastAsia="ko-KR"/>
              </w:rPr>
              <w:t>SCG</w:t>
            </w:r>
          </w:p>
        </w:tc>
        <w:tc>
          <w:tcPr>
            <w:tcW w:w="10773" w:type="dxa"/>
            <w:tcBorders>
              <w:top w:val="single" w:sz="4" w:space="0" w:color="auto"/>
              <w:left w:val="single" w:sz="4" w:space="0" w:color="auto"/>
              <w:bottom w:val="single" w:sz="4" w:space="0" w:color="auto"/>
              <w:right w:val="single" w:sz="4" w:space="0" w:color="auto"/>
            </w:tcBorders>
          </w:tcPr>
          <w:p w14:paraId="2C9BD27E" w14:textId="77777777" w:rsidR="009C015E" w:rsidRPr="00FA0D37" w:rsidRDefault="009C015E" w:rsidP="0071565C">
            <w:pPr>
              <w:pStyle w:val="TAL"/>
              <w:rPr>
                <w:rFonts w:eastAsia="宋体"/>
                <w:lang w:eastAsia="sv-SE"/>
              </w:rPr>
            </w:pPr>
            <w:r w:rsidRPr="00FA0D37">
              <w:rPr>
                <w:rFonts w:eastAsia="宋体"/>
                <w:lang w:eastAsia="sv-SE"/>
              </w:rPr>
              <w:t xml:space="preserve">This field is optionally present, need M, in an </w:t>
            </w:r>
            <w:r w:rsidRPr="00FA0D37">
              <w:rPr>
                <w:rFonts w:eastAsia="宋体"/>
                <w:i/>
                <w:iCs/>
                <w:lang w:eastAsia="sv-SE"/>
              </w:rPr>
              <w:t>RRCReconfiguration</w:t>
            </w:r>
            <w:r w:rsidRPr="00FA0D37">
              <w:rPr>
                <w:rFonts w:eastAsia="宋体"/>
                <w:lang w:eastAsia="sv-SE"/>
              </w:rPr>
              <w:t xml:space="preserve"> message not within </w:t>
            </w:r>
            <w:r w:rsidRPr="00FA0D37">
              <w:rPr>
                <w:rFonts w:eastAsia="宋体"/>
                <w:i/>
                <w:iCs/>
                <w:lang w:eastAsia="sv-SE"/>
              </w:rPr>
              <w:t>mrdc-SecondaryCellGroup</w:t>
            </w:r>
            <w:r w:rsidRPr="00FA0D37">
              <w:rPr>
                <w:rFonts w:eastAsia="宋体"/>
                <w:lang w:eastAsia="sv-SE"/>
              </w:rPr>
              <w:t xml:space="preserve"> and received, either via SRB3 within </w:t>
            </w:r>
            <w:r w:rsidRPr="00FA0D37">
              <w:rPr>
                <w:rFonts w:eastAsia="宋体"/>
                <w:i/>
                <w:iCs/>
                <w:lang w:eastAsia="sv-SE"/>
              </w:rPr>
              <w:t>DLInformationTransferMRDC</w:t>
            </w:r>
            <w:r w:rsidRPr="00FA0D37">
              <w:rPr>
                <w:rFonts w:eastAsia="宋体"/>
                <w:lang w:eastAsia="sv-SE"/>
              </w:rPr>
              <w:t xml:space="preserve"> or via SRB1. Otherwise, it is absent.</w:t>
            </w:r>
          </w:p>
        </w:tc>
      </w:tr>
    </w:tbl>
    <w:p w14:paraId="5166DF4F" w14:textId="77777777" w:rsidR="00727F8C" w:rsidRPr="00FA0D37" w:rsidRDefault="00727F8C" w:rsidP="00394471"/>
    <w:p w14:paraId="7569AC4D" w14:textId="30032A4B" w:rsidR="00394471" w:rsidRPr="00FA0D37" w:rsidRDefault="00394471" w:rsidP="00394471">
      <w:pPr>
        <w:pStyle w:val="4"/>
      </w:pPr>
      <w:bookmarkStart w:id="1696" w:name="_Toc60777513"/>
      <w:bookmarkStart w:id="1697" w:name="_Toc146781625"/>
      <w:r w:rsidRPr="00FA0D37">
        <w:t>–</w:t>
      </w:r>
      <w:r w:rsidRPr="00FA0D37">
        <w:tab/>
      </w:r>
      <w:r w:rsidRPr="00FA0D37">
        <w:rPr>
          <w:i/>
        </w:rPr>
        <w:t>PhysCellIdUTRA-FDD</w:t>
      </w:r>
      <w:bookmarkEnd w:id="1696"/>
      <w:bookmarkEnd w:id="1697"/>
    </w:p>
    <w:p w14:paraId="7203FBD5" w14:textId="77777777" w:rsidR="00394471" w:rsidRPr="00FA0D37" w:rsidRDefault="00394471" w:rsidP="00394471">
      <w:pPr>
        <w:rPr>
          <w:lang w:eastAsia="en-US"/>
        </w:rPr>
      </w:pPr>
      <w:r w:rsidRPr="00FA0D37">
        <w:t xml:space="preserve">The IE </w:t>
      </w:r>
      <w:r w:rsidRPr="00FA0D37">
        <w:rPr>
          <w:i/>
          <w:noProof/>
        </w:rPr>
        <w:t>PhysCellIdUTRA-FDD</w:t>
      </w:r>
      <w:r w:rsidRPr="00FA0D37">
        <w:t xml:space="preserve"> is used </w:t>
      </w:r>
      <w:r w:rsidRPr="00FA0D37">
        <w:rPr>
          <w:iCs/>
        </w:rPr>
        <w:t>to indicate the physical layer identity of the cell, i.e. the primary scrambling code, as defined in TS 25.331 [45].</w:t>
      </w:r>
    </w:p>
    <w:p w14:paraId="1DE10FF2" w14:textId="77777777" w:rsidR="00394471" w:rsidRPr="00FA0D37" w:rsidRDefault="00394471" w:rsidP="00394471">
      <w:pPr>
        <w:pStyle w:val="TH"/>
      </w:pPr>
      <w:r w:rsidRPr="00FA0D37">
        <w:rPr>
          <w:bCs/>
          <w:i/>
          <w:iCs/>
        </w:rPr>
        <w:lastRenderedPageBreak/>
        <w:t>PhysCellIdUTRA-FDD</w:t>
      </w:r>
      <w:r w:rsidRPr="00FA0D37">
        <w:t xml:space="preserve"> information element</w:t>
      </w:r>
    </w:p>
    <w:p w14:paraId="5E2D6A3D" w14:textId="77777777" w:rsidR="00394471" w:rsidRPr="00FA0D37" w:rsidRDefault="00394471" w:rsidP="00FA0D37">
      <w:pPr>
        <w:pStyle w:val="PL"/>
        <w:rPr>
          <w:color w:val="808080"/>
        </w:rPr>
      </w:pPr>
      <w:r w:rsidRPr="00FA0D37">
        <w:rPr>
          <w:color w:val="808080"/>
        </w:rPr>
        <w:t>-- ASN1START</w:t>
      </w:r>
    </w:p>
    <w:p w14:paraId="0F519043" w14:textId="77777777" w:rsidR="00394471" w:rsidRPr="00FA0D37" w:rsidRDefault="00394471" w:rsidP="00FA0D37">
      <w:pPr>
        <w:pStyle w:val="PL"/>
        <w:rPr>
          <w:color w:val="808080"/>
        </w:rPr>
      </w:pPr>
      <w:r w:rsidRPr="00FA0D37">
        <w:rPr>
          <w:color w:val="808080"/>
        </w:rPr>
        <w:t>-- TAG-PHYSCELLIDUTRA-FDD-START</w:t>
      </w:r>
    </w:p>
    <w:p w14:paraId="4718159C" w14:textId="77777777" w:rsidR="00394471" w:rsidRPr="00FA0D37" w:rsidRDefault="00394471" w:rsidP="00FA0D37">
      <w:pPr>
        <w:pStyle w:val="PL"/>
      </w:pPr>
    </w:p>
    <w:p w14:paraId="0201CF27" w14:textId="77777777" w:rsidR="00394471" w:rsidRPr="00FA0D37" w:rsidRDefault="00394471" w:rsidP="00FA0D37">
      <w:pPr>
        <w:pStyle w:val="PL"/>
      </w:pPr>
      <w:r w:rsidRPr="00FA0D37">
        <w:t xml:space="preserve">PhysCellIdUTRA-FDD-r16 ::=        </w:t>
      </w:r>
      <w:r w:rsidRPr="00FA0D37">
        <w:rPr>
          <w:color w:val="993366"/>
        </w:rPr>
        <w:t>INTEGER</w:t>
      </w:r>
      <w:r w:rsidRPr="00FA0D37">
        <w:t xml:space="preserve"> (0..511)</w:t>
      </w:r>
    </w:p>
    <w:p w14:paraId="1A74B79A" w14:textId="77777777" w:rsidR="00394471" w:rsidRPr="00FA0D37" w:rsidRDefault="00394471" w:rsidP="00FA0D37">
      <w:pPr>
        <w:pStyle w:val="PL"/>
      </w:pPr>
    </w:p>
    <w:p w14:paraId="0AB45DC7" w14:textId="77777777" w:rsidR="00394471" w:rsidRPr="00FA0D37" w:rsidRDefault="00394471" w:rsidP="00FA0D37">
      <w:pPr>
        <w:pStyle w:val="PL"/>
        <w:rPr>
          <w:color w:val="808080"/>
        </w:rPr>
      </w:pPr>
      <w:r w:rsidRPr="00FA0D37">
        <w:rPr>
          <w:color w:val="808080"/>
        </w:rPr>
        <w:t>-- TAG-PHYSCELLIDUTRA-FDD-STOP</w:t>
      </w:r>
    </w:p>
    <w:p w14:paraId="447E42B5" w14:textId="77777777" w:rsidR="00394471" w:rsidRPr="00FA0D37" w:rsidRDefault="00394471" w:rsidP="00FA0D37">
      <w:pPr>
        <w:pStyle w:val="PL"/>
        <w:rPr>
          <w:color w:val="808080"/>
        </w:rPr>
      </w:pPr>
      <w:r w:rsidRPr="00FA0D37">
        <w:rPr>
          <w:color w:val="808080"/>
        </w:rPr>
        <w:t>-- ASN1STOP</w:t>
      </w:r>
    </w:p>
    <w:p w14:paraId="3AD1E20F" w14:textId="77777777" w:rsidR="00394471" w:rsidRPr="00FA0D37" w:rsidRDefault="00394471" w:rsidP="00394471"/>
    <w:p w14:paraId="20DA3E28" w14:textId="4B7159CF" w:rsidR="00394471" w:rsidRPr="00FA0D37" w:rsidRDefault="00394471" w:rsidP="00394471">
      <w:pPr>
        <w:pStyle w:val="4"/>
      </w:pPr>
      <w:bookmarkStart w:id="1698" w:name="_Toc60777514"/>
      <w:bookmarkStart w:id="1699" w:name="_Toc146781626"/>
      <w:r w:rsidRPr="00FA0D37">
        <w:t>–</w:t>
      </w:r>
      <w:r w:rsidRPr="00FA0D37">
        <w:tab/>
      </w:r>
      <w:r w:rsidRPr="00FA0D37">
        <w:rPr>
          <w:i/>
        </w:rPr>
        <w:t>RRC-TransactionIdentifier</w:t>
      </w:r>
      <w:bookmarkEnd w:id="1698"/>
      <w:bookmarkEnd w:id="1699"/>
    </w:p>
    <w:p w14:paraId="6F8F3CCD" w14:textId="77777777" w:rsidR="00394471" w:rsidRPr="00FA0D37" w:rsidRDefault="00394471" w:rsidP="00394471">
      <w:r w:rsidRPr="00FA0D37">
        <w:t xml:space="preserve">The IE </w:t>
      </w:r>
      <w:r w:rsidRPr="00FA0D37">
        <w:rPr>
          <w:i/>
        </w:rPr>
        <w:t>RRC-TransactionIdentifier</w:t>
      </w:r>
      <w:r w:rsidRPr="00FA0D37">
        <w:t xml:space="preserve"> is used, together with the message type, for the identification of an RRC procedure (transaction).</w:t>
      </w:r>
    </w:p>
    <w:p w14:paraId="651C6E1F" w14:textId="77777777" w:rsidR="00394471" w:rsidRPr="00FA0D37" w:rsidRDefault="00394471" w:rsidP="00394471">
      <w:pPr>
        <w:pStyle w:val="TH"/>
      </w:pPr>
      <w:r w:rsidRPr="00FA0D37">
        <w:rPr>
          <w:i/>
        </w:rPr>
        <w:t>RRC-TransactionIdentifier</w:t>
      </w:r>
      <w:r w:rsidRPr="00FA0D37">
        <w:t xml:space="preserve"> information element</w:t>
      </w:r>
    </w:p>
    <w:p w14:paraId="0EB9799A" w14:textId="77777777" w:rsidR="00394471" w:rsidRPr="00FA0D37" w:rsidRDefault="00394471" w:rsidP="00FA0D37">
      <w:pPr>
        <w:pStyle w:val="PL"/>
        <w:rPr>
          <w:color w:val="808080"/>
        </w:rPr>
      </w:pPr>
      <w:r w:rsidRPr="00FA0D37">
        <w:rPr>
          <w:color w:val="808080"/>
        </w:rPr>
        <w:t>-- ASN1START</w:t>
      </w:r>
    </w:p>
    <w:p w14:paraId="7C7AB05B" w14:textId="77777777" w:rsidR="00394471" w:rsidRPr="00FA0D37" w:rsidRDefault="00394471" w:rsidP="00FA0D37">
      <w:pPr>
        <w:pStyle w:val="PL"/>
        <w:rPr>
          <w:color w:val="808080"/>
        </w:rPr>
      </w:pPr>
      <w:r w:rsidRPr="00FA0D37">
        <w:rPr>
          <w:color w:val="808080"/>
        </w:rPr>
        <w:t>-- TAG-RRC-TRANSACTIONIDENTIFIER-START</w:t>
      </w:r>
    </w:p>
    <w:p w14:paraId="09CC81BB" w14:textId="77777777" w:rsidR="00394471" w:rsidRPr="00FA0D37" w:rsidRDefault="00394471" w:rsidP="00FA0D37">
      <w:pPr>
        <w:pStyle w:val="PL"/>
      </w:pPr>
    </w:p>
    <w:p w14:paraId="0599A15A" w14:textId="77777777" w:rsidR="00394471" w:rsidRPr="00FA0D37" w:rsidRDefault="00394471" w:rsidP="00FA0D37">
      <w:pPr>
        <w:pStyle w:val="PL"/>
      </w:pPr>
      <w:r w:rsidRPr="00FA0D37">
        <w:t xml:space="preserve">RRC-TransactionIdentifier ::=       </w:t>
      </w:r>
      <w:r w:rsidRPr="00FA0D37">
        <w:rPr>
          <w:color w:val="993366"/>
        </w:rPr>
        <w:t>INTEGER</w:t>
      </w:r>
      <w:r w:rsidRPr="00FA0D37">
        <w:t xml:space="preserve"> (0..3)</w:t>
      </w:r>
    </w:p>
    <w:p w14:paraId="71CFB8EF" w14:textId="77777777" w:rsidR="00394471" w:rsidRPr="00FA0D37" w:rsidRDefault="00394471" w:rsidP="00FA0D37">
      <w:pPr>
        <w:pStyle w:val="PL"/>
      </w:pPr>
    </w:p>
    <w:p w14:paraId="48F68E5A" w14:textId="77777777" w:rsidR="00394471" w:rsidRPr="00FA0D37" w:rsidRDefault="00394471" w:rsidP="00FA0D37">
      <w:pPr>
        <w:pStyle w:val="PL"/>
        <w:rPr>
          <w:color w:val="808080"/>
        </w:rPr>
      </w:pPr>
      <w:r w:rsidRPr="00FA0D37">
        <w:rPr>
          <w:color w:val="808080"/>
        </w:rPr>
        <w:t>-- TAG-RRC-TRANSACTIONIDENTIFIER-STOP</w:t>
      </w:r>
    </w:p>
    <w:p w14:paraId="35BFF155" w14:textId="77777777" w:rsidR="00394471" w:rsidRPr="00FA0D37" w:rsidRDefault="00394471" w:rsidP="00FA0D37">
      <w:pPr>
        <w:pStyle w:val="PL"/>
        <w:rPr>
          <w:color w:val="808080"/>
        </w:rPr>
      </w:pPr>
      <w:r w:rsidRPr="00FA0D37">
        <w:rPr>
          <w:color w:val="808080"/>
        </w:rPr>
        <w:t>-- ASN1STOP</w:t>
      </w:r>
    </w:p>
    <w:p w14:paraId="1F9A0D2B" w14:textId="77777777" w:rsidR="00394471" w:rsidRPr="00FA0D37" w:rsidRDefault="00394471" w:rsidP="00394471">
      <w:pPr>
        <w:rPr>
          <w:rFonts w:eastAsiaTheme="minorEastAsia"/>
        </w:rPr>
      </w:pPr>
    </w:p>
    <w:p w14:paraId="73F7E271" w14:textId="2B48ACB7" w:rsidR="00394471" w:rsidRPr="00FA0D37" w:rsidRDefault="00394471" w:rsidP="00394471">
      <w:pPr>
        <w:pStyle w:val="4"/>
      </w:pPr>
      <w:bookmarkStart w:id="1700" w:name="_Toc60777515"/>
      <w:bookmarkStart w:id="1701" w:name="_Toc146781627"/>
      <w:r w:rsidRPr="00FA0D37">
        <w:t>–</w:t>
      </w:r>
      <w:r w:rsidRPr="00FA0D37">
        <w:tab/>
      </w:r>
      <w:r w:rsidRPr="00FA0D37">
        <w:rPr>
          <w:bCs/>
          <w:i/>
        </w:rPr>
        <w:t>Sensor-NameList</w:t>
      </w:r>
      <w:bookmarkEnd w:id="1700"/>
      <w:bookmarkEnd w:id="1701"/>
    </w:p>
    <w:p w14:paraId="07B6EF42" w14:textId="77777777" w:rsidR="00394471" w:rsidRPr="00FA0D37" w:rsidRDefault="00394471" w:rsidP="00394471">
      <w:r w:rsidRPr="00FA0D37">
        <w:t xml:space="preserve">The IE </w:t>
      </w:r>
      <w:r w:rsidRPr="00FA0D37">
        <w:rPr>
          <w:bCs/>
          <w:i/>
        </w:rPr>
        <w:t>Sensor-NameList</w:t>
      </w:r>
      <w:r w:rsidRPr="00FA0D37">
        <w:rPr>
          <w:iCs/>
        </w:rPr>
        <w:t xml:space="preserve"> </w:t>
      </w:r>
      <w:r w:rsidRPr="00FA0D37">
        <w:rPr>
          <w:iCs/>
          <w:lang w:eastAsia="zh-CN"/>
        </w:rPr>
        <w:t>is used to indicate the names of the sensors which the UE is configured to measure</w:t>
      </w:r>
      <w:r w:rsidRPr="00FA0D37">
        <w:t>.</w:t>
      </w:r>
    </w:p>
    <w:p w14:paraId="1005612A" w14:textId="77777777" w:rsidR="00394471" w:rsidRPr="00FA0D37" w:rsidRDefault="00394471" w:rsidP="00394471">
      <w:pPr>
        <w:pStyle w:val="TH"/>
      </w:pPr>
      <w:r w:rsidRPr="00FA0D37">
        <w:rPr>
          <w:i/>
        </w:rPr>
        <w:t xml:space="preserve">Sensor-NameList </w:t>
      </w:r>
      <w:r w:rsidRPr="00FA0D37">
        <w:t>information element</w:t>
      </w:r>
    </w:p>
    <w:p w14:paraId="396D45D9" w14:textId="77777777" w:rsidR="00394471" w:rsidRPr="00FA0D37" w:rsidRDefault="00394471" w:rsidP="00FA0D37">
      <w:pPr>
        <w:pStyle w:val="PL"/>
        <w:rPr>
          <w:color w:val="808080"/>
        </w:rPr>
      </w:pPr>
      <w:r w:rsidRPr="00FA0D37">
        <w:rPr>
          <w:color w:val="808080"/>
        </w:rPr>
        <w:t>-- ASN1START</w:t>
      </w:r>
    </w:p>
    <w:p w14:paraId="301D7B83" w14:textId="77777777" w:rsidR="00394471" w:rsidRPr="00FA0D37" w:rsidRDefault="00394471" w:rsidP="00FA0D37">
      <w:pPr>
        <w:pStyle w:val="PL"/>
        <w:rPr>
          <w:color w:val="808080"/>
        </w:rPr>
      </w:pPr>
      <w:r w:rsidRPr="00FA0D37">
        <w:rPr>
          <w:color w:val="808080"/>
        </w:rPr>
        <w:t>-- TAG-SENSORNAMELIST-START</w:t>
      </w:r>
    </w:p>
    <w:p w14:paraId="761816B8" w14:textId="77777777" w:rsidR="00394471" w:rsidRPr="00FA0D37" w:rsidRDefault="00394471" w:rsidP="00FA0D37">
      <w:pPr>
        <w:pStyle w:val="PL"/>
      </w:pPr>
    </w:p>
    <w:p w14:paraId="152C91A6" w14:textId="77777777" w:rsidR="00394471" w:rsidRPr="00FA0D37" w:rsidRDefault="00394471" w:rsidP="00FA0D37">
      <w:pPr>
        <w:pStyle w:val="PL"/>
        <w:rPr>
          <w:rFonts w:eastAsia="Malgun Gothic"/>
        </w:rPr>
      </w:pPr>
      <w:r w:rsidRPr="00FA0D37">
        <w:rPr>
          <w:rFonts w:eastAsia="Malgun Gothic"/>
        </w:rPr>
        <w:t xml:space="preserve">Sensor-NameList-r16 ::= </w:t>
      </w:r>
      <w:r w:rsidRPr="00FA0D37">
        <w:rPr>
          <w:color w:val="993366"/>
        </w:rPr>
        <w:t>SEQUENCE</w:t>
      </w:r>
      <w:r w:rsidRPr="00FA0D37">
        <w:rPr>
          <w:rFonts w:eastAsia="Malgun Gothic"/>
        </w:rPr>
        <w:t xml:space="preserve"> {</w:t>
      </w:r>
    </w:p>
    <w:p w14:paraId="69DC4A12" w14:textId="77777777" w:rsidR="00394471" w:rsidRPr="00FA0D37" w:rsidRDefault="00394471" w:rsidP="00FA0D37">
      <w:pPr>
        <w:pStyle w:val="PL"/>
        <w:rPr>
          <w:color w:val="808080"/>
        </w:rPr>
      </w:pPr>
      <w:r w:rsidRPr="00FA0D37">
        <w:t xml:space="preserve">    </w:t>
      </w:r>
      <w:r w:rsidRPr="00FA0D37">
        <w:rPr>
          <w:rFonts w:eastAsia="Malgun Gothic"/>
        </w:rPr>
        <w:t>measUncomBarPre-r16</w:t>
      </w:r>
      <w:r w:rsidRPr="00FA0D37">
        <w:t xml:space="preserv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43127A4B" w14:textId="77777777" w:rsidR="00394471" w:rsidRPr="00FA0D37" w:rsidRDefault="00394471" w:rsidP="00FA0D37">
      <w:pPr>
        <w:pStyle w:val="PL"/>
        <w:rPr>
          <w:color w:val="808080"/>
        </w:rPr>
      </w:pPr>
      <w:r w:rsidRPr="00FA0D37">
        <w:t xml:space="preserve">    </w:t>
      </w:r>
      <w:r w:rsidRPr="00FA0D37">
        <w:rPr>
          <w:rFonts w:eastAsia="Malgun Gothic"/>
        </w:rPr>
        <w:t>measUeSpeed</w:t>
      </w:r>
      <w:r w:rsidRPr="00FA0D37">
        <w:t xml:space="preserv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36EA5C59" w14:textId="77777777" w:rsidR="00394471" w:rsidRPr="00FA0D37" w:rsidRDefault="00394471" w:rsidP="00FA0D37">
      <w:pPr>
        <w:pStyle w:val="PL"/>
        <w:rPr>
          <w:color w:val="808080"/>
        </w:rPr>
      </w:pPr>
      <w:r w:rsidRPr="00FA0D37">
        <w:t xml:space="preserve">    </w:t>
      </w:r>
      <w:r w:rsidRPr="00FA0D37">
        <w:rPr>
          <w:rFonts w:eastAsia="Malgun Gothic"/>
        </w:rPr>
        <w:t>measUeOrientation</w:t>
      </w:r>
      <w:r w:rsidRPr="00FA0D37">
        <w:t xml:space="preserve">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57E598A6" w14:textId="77777777" w:rsidR="00394471" w:rsidRPr="00FA0D37" w:rsidRDefault="00394471" w:rsidP="00FA0D37">
      <w:pPr>
        <w:pStyle w:val="PL"/>
        <w:rPr>
          <w:rFonts w:eastAsia="Malgun Gothic"/>
        </w:rPr>
      </w:pPr>
      <w:r w:rsidRPr="00FA0D37">
        <w:rPr>
          <w:rFonts w:eastAsia="Malgun Gothic"/>
        </w:rPr>
        <w:t>}</w:t>
      </w:r>
    </w:p>
    <w:p w14:paraId="1E1DFBBD" w14:textId="77777777" w:rsidR="00394471" w:rsidRPr="00FA0D37" w:rsidRDefault="00394471" w:rsidP="00FA0D37">
      <w:pPr>
        <w:pStyle w:val="PL"/>
      </w:pPr>
    </w:p>
    <w:p w14:paraId="7F4F368E" w14:textId="77777777" w:rsidR="00394471" w:rsidRPr="00FA0D37" w:rsidRDefault="00394471" w:rsidP="00FA0D37">
      <w:pPr>
        <w:pStyle w:val="PL"/>
        <w:rPr>
          <w:color w:val="808080"/>
        </w:rPr>
      </w:pPr>
      <w:r w:rsidRPr="00FA0D37">
        <w:rPr>
          <w:color w:val="808080"/>
        </w:rPr>
        <w:t>-- TAG-SENSORNAMELIST-STOP</w:t>
      </w:r>
    </w:p>
    <w:p w14:paraId="1CECEEEF" w14:textId="77777777" w:rsidR="00394471" w:rsidRPr="00FA0D37" w:rsidRDefault="00394471" w:rsidP="00FA0D37">
      <w:pPr>
        <w:pStyle w:val="PL"/>
        <w:rPr>
          <w:color w:val="808080"/>
        </w:rPr>
      </w:pPr>
      <w:r w:rsidRPr="00FA0D37">
        <w:rPr>
          <w:color w:val="808080"/>
        </w:rPr>
        <w:t>-- ASN1STOP</w:t>
      </w:r>
    </w:p>
    <w:p w14:paraId="4896F85A" w14:textId="77777777" w:rsidR="00394471" w:rsidRPr="00FA0D37" w:rsidRDefault="00394471" w:rsidP="00394471">
      <w:pPr>
        <w:pStyle w:val="PL"/>
        <w:rPr>
          <w:lang w:eastAsia="zh-CN"/>
        </w:rPr>
      </w:pPr>
    </w:p>
    <w:p w14:paraId="62C27101" w14:textId="77777777" w:rsidR="00394471" w:rsidRPr="00FA0D3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486321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62B2C" w14:textId="77777777" w:rsidR="00394471" w:rsidRPr="00FA0D37" w:rsidRDefault="00394471" w:rsidP="00964CC4">
            <w:pPr>
              <w:pStyle w:val="TAH"/>
              <w:rPr>
                <w:szCs w:val="22"/>
                <w:lang w:eastAsia="sv-SE"/>
              </w:rPr>
            </w:pPr>
            <w:r w:rsidRPr="00FA0D37">
              <w:rPr>
                <w:i/>
                <w:lang w:eastAsia="sv-SE"/>
              </w:rPr>
              <w:lastRenderedPageBreak/>
              <w:t xml:space="preserve">Sensor-NameList </w:t>
            </w:r>
            <w:r w:rsidRPr="00FA0D37">
              <w:rPr>
                <w:szCs w:val="22"/>
                <w:lang w:eastAsia="sv-SE"/>
              </w:rPr>
              <w:t>field descriptions</w:t>
            </w:r>
          </w:p>
        </w:tc>
      </w:tr>
      <w:tr w:rsidR="005C7FF4" w:rsidRPr="00FA0D37" w14:paraId="53D585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5C2F8" w14:textId="77777777" w:rsidR="00394471" w:rsidRPr="00FA0D37" w:rsidRDefault="00394471" w:rsidP="00964CC4">
            <w:pPr>
              <w:pStyle w:val="TAL"/>
              <w:rPr>
                <w:b/>
                <w:i/>
                <w:szCs w:val="22"/>
                <w:lang w:eastAsia="sv-SE"/>
              </w:rPr>
            </w:pPr>
            <w:r w:rsidRPr="00FA0D37">
              <w:rPr>
                <w:b/>
                <w:i/>
                <w:szCs w:val="22"/>
                <w:lang w:eastAsia="sv-SE"/>
              </w:rPr>
              <w:t>measUncomBarPre</w:t>
            </w:r>
          </w:p>
          <w:p w14:paraId="43E56EB9" w14:textId="31831CA3" w:rsidR="00394471" w:rsidRPr="00FA0D37" w:rsidRDefault="00394471" w:rsidP="00964CC4">
            <w:pPr>
              <w:pStyle w:val="TAL"/>
              <w:rPr>
                <w:szCs w:val="22"/>
                <w:lang w:eastAsia="sv-SE"/>
              </w:rPr>
            </w:pPr>
            <w:r w:rsidRPr="00FA0D37">
              <w:rPr>
                <w:szCs w:val="22"/>
                <w:lang w:eastAsia="sv-SE"/>
              </w:rPr>
              <w:t xml:space="preserve">If configured, the UE reports the uncompensated Barometeric pressure measurement as defined in </w:t>
            </w:r>
            <w:r w:rsidR="00424C1A" w:rsidRPr="00FA0D37">
              <w:rPr>
                <w:szCs w:val="22"/>
                <w:lang w:eastAsia="sv-SE"/>
              </w:rPr>
              <w:t>TS 37.355 [49]</w:t>
            </w:r>
            <w:r w:rsidRPr="00FA0D37">
              <w:rPr>
                <w:szCs w:val="22"/>
                <w:lang w:eastAsia="sv-SE"/>
              </w:rPr>
              <w:t>.</w:t>
            </w:r>
          </w:p>
        </w:tc>
      </w:tr>
      <w:tr w:rsidR="005C7FF4" w:rsidRPr="00FA0D37" w14:paraId="40307F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8E8B9" w14:textId="77777777" w:rsidR="00394471" w:rsidRPr="00FA0D37" w:rsidRDefault="00394471" w:rsidP="00964CC4">
            <w:pPr>
              <w:pStyle w:val="TAL"/>
              <w:rPr>
                <w:b/>
                <w:bCs/>
                <w:i/>
                <w:iCs/>
                <w:szCs w:val="22"/>
                <w:lang w:eastAsia="sv-SE"/>
              </w:rPr>
            </w:pPr>
            <w:r w:rsidRPr="00FA0D37">
              <w:rPr>
                <w:b/>
                <w:bCs/>
                <w:i/>
                <w:iCs/>
                <w:szCs w:val="22"/>
                <w:lang w:eastAsia="sv-SE"/>
              </w:rPr>
              <w:t>measUeSpeed</w:t>
            </w:r>
          </w:p>
          <w:p w14:paraId="5684D01B" w14:textId="77777777" w:rsidR="00394471" w:rsidRPr="00FA0D37" w:rsidRDefault="00394471" w:rsidP="00964CC4">
            <w:pPr>
              <w:pStyle w:val="TAL"/>
              <w:rPr>
                <w:szCs w:val="22"/>
                <w:lang w:eastAsia="sv-SE"/>
              </w:rPr>
            </w:pPr>
            <w:r w:rsidRPr="00FA0D37">
              <w:rPr>
                <w:bCs/>
                <w:iCs/>
                <w:szCs w:val="22"/>
                <w:lang w:eastAsia="sv-SE"/>
              </w:rPr>
              <w:t xml:space="preserve">If configured, the UE reports the UE speed measurement as defined in </w:t>
            </w:r>
            <w:r w:rsidRPr="00FA0D37">
              <w:rPr>
                <w:snapToGrid w:val="0"/>
                <w:lang w:eastAsia="en-GB"/>
              </w:rPr>
              <w:t>TS 37.355 [49]</w:t>
            </w:r>
            <w:r w:rsidRPr="00FA0D37">
              <w:rPr>
                <w:bCs/>
                <w:iCs/>
                <w:szCs w:val="22"/>
                <w:lang w:eastAsia="sv-SE"/>
              </w:rPr>
              <w:t>.</w:t>
            </w:r>
          </w:p>
        </w:tc>
      </w:tr>
      <w:tr w:rsidR="00394471" w:rsidRPr="00FA0D37" w14:paraId="76B22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A80143" w14:textId="77777777" w:rsidR="00394471" w:rsidRPr="00FA0D37" w:rsidRDefault="00394471" w:rsidP="00964CC4">
            <w:pPr>
              <w:pStyle w:val="TAL"/>
              <w:rPr>
                <w:b/>
                <w:i/>
                <w:szCs w:val="22"/>
                <w:lang w:eastAsia="sv-SE"/>
              </w:rPr>
            </w:pPr>
            <w:r w:rsidRPr="00FA0D37">
              <w:rPr>
                <w:b/>
                <w:i/>
                <w:szCs w:val="22"/>
                <w:lang w:eastAsia="sv-SE"/>
              </w:rPr>
              <w:t>measUeOrientation</w:t>
            </w:r>
          </w:p>
          <w:p w14:paraId="0B45253C" w14:textId="77777777" w:rsidR="00394471" w:rsidRPr="00FA0D37" w:rsidRDefault="00394471" w:rsidP="00964CC4">
            <w:pPr>
              <w:pStyle w:val="TAL"/>
              <w:rPr>
                <w:szCs w:val="22"/>
                <w:lang w:eastAsia="sv-SE"/>
              </w:rPr>
            </w:pPr>
            <w:r w:rsidRPr="00FA0D37">
              <w:rPr>
                <w:szCs w:val="22"/>
                <w:lang w:eastAsia="sv-SE"/>
              </w:rPr>
              <w:t xml:space="preserve">If configured, the UE reports the UE orientation information as defined in </w:t>
            </w:r>
            <w:r w:rsidRPr="00FA0D37">
              <w:rPr>
                <w:snapToGrid w:val="0"/>
                <w:lang w:eastAsia="en-GB"/>
              </w:rPr>
              <w:t>TS 37.355 [49]</w:t>
            </w:r>
            <w:r w:rsidRPr="00FA0D37">
              <w:rPr>
                <w:szCs w:val="22"/>
                <w:lang w:eastAsia="sv-SE"/>
              </w:rPr>
              <w:t>.</w:t>
            </w:r>
          </w:p>
        </w:tc>
      </w:tr>
    </w:tbl>
    <w:p w14:paraId="2B0D66C6" w14:textId="77777777" w:rsidR="00394471" w:rsidRPr="00FA0D37" w:rsidRDefault="00394471" w:rsidP="00394471"/>
    <w:p w14:paraId="3C2C95DE" w14:textId="1798F0FB" w:rsidR="00394471" w:rsidRPr="00FA0D37" w:rsidRDefault="00394471" w:rsidP="00394471">
      <w:pPr>
        <w:pStyle w:val="4"/>
      </w:pPr>
      <w:bookmarkStart w:id="1702" w:name="_Toc60777516"/>
      <w:bookmarkStart w:id="1703" w:name="_Toc146781628"/>
      <w:r w:rsidRPr="00FA0D37">
        <w:t>–</w:t>
      </w:r>
      <w:r w:rsidRPr="00FA0D37">
        <w:tab/>
      </w:r>
      <w:r w:rsidRPr="00FA0D37">
        <w:rPr>
          <w:i/>
        </w:rPr>
        <w:t>TraceReference</w:t>
      </w:r>
      <w:bookmarkEnd w:id="1702"/>
      <w:bookmarkEnd w:id="1703"/>
    </w:p>
    <w:p w14:paraId="157E3A9F" w14:textId="77777777" w:rsidR="00394471" w:rsidRPr="00FA0D37" w:rsidRDefault="00394471" w:rsidP="00394471">
      <w:pPr>
        <w:keepNext/>
        <w:keepLines/>
        <w:rPr>
          <w:iCs/>
        </w:rPr>
      </w:pPr>
      <w:r w:rsidRPr="00FA0D37">
        <w:t xml:space="preserve">The </w:t>
      </w:r>
      <w:r w:rsidRPr="00FA0D37">
        <w:rPr>
          <w:i/>
        </w:rPr>
        <w:t>TraceReference</w:t>
      </w:r>
      <w:r w:rsidRPr="00FA0D37">
        <w:t xml:space="preserve"> contains parameter Trace Reference as defined in TS 32.422 [52]</w:t>
      </w:r>
      <w:r w:rsidRPr="00FA0D37">
        <w:rPr>
          <w:iCs/>
          <w:sz w:val="21"/>
        </w:rPr>
        <w:t>.</w:t>
      </w:r>
    </w:p>
    <w:p w14:paraId="269B987D" w14:textId="77777777" w:rsidR="00394471" w:rsidRPr="00FA0D37" w:rsidRDefault="00394471" w:rsidP="00394471">
      <w:pPr>
        <w:pStyle w:val="TH"/>
      </w:pPr>
      <w:r w:rsidRPr="00FA0D37">
        <w:rPr>
          <w:bCs/>
          <w:i/>
          <w:iCs/>
        </w:rPr>
        <w:t xml:space="preserve">TraceReference </w:t>
      </w:r>
      <w:r w:rsidRPr="00FA0D37">
        <w:t>information element</w:t>
      </w:r>
    </w:p>
    <w:p w14:paraId="3A35CC20" w14:textId="77777777" w:rsidR="00394471" w:rsidRPr="00FA0D37" w:rsidRDefault="00394471" w:rsidP="00FA0D37">
      <w:pPr>
        <w:pStyle w:val="PL"/>
        <w:rPr>
          <w:color w:val="808080"/>
        </w:rPr>
      </w:pPr>
      <w:r w:rsidRPr="00FA0D37">
        <w:rPr>
          <w:color w:val="808080"/>
        </w:rPr>
        <w:t>-- ASN1START</w:t>
      </w:r>
    </w:p>
    <w:p w14:paraId="3CE4C3DD" w14:textId="77777777" w:rsidR="00394471" w:rsidRPr="00FA0D37" w:rsidRDefault="00394471" w:rsidP="00FA0D37">
      <w:pPr>
        <w:pStyle w:val="PL"/>
        <w:rPr>
          <w:color w:val="808080"/>
        </w:rPr>
      </w:pPr>
      <w:r w:rsidRPr="00FA0D37">
        <w:rPr>
          <w:color w:val="808080"/>
        </w:rPr>
        <w:t>-- TAG-TRACEREFERENCE-START</w:t>
      </w:r>
    </w:p>
    <w:p w14:paraId="2F3ABFC4" w14:textId="77777777" w:rsidR="00394471" w:rsidRPr="00FA0D37" w:rsidRDefault="00394471" w:rsidP="00FA0D37">
      <w:pPr>
        <w:pStyle w:val="PL"/>
      </w:pPr>
    </w:p>
    <w:p w14:paraId="7BDB8ACE" w14:textId="77777777" w:rsidR="00394471" w:rsidRPr="00FA0D37" w:rsidRDefault="00394471" w:rsidP="00FA0D37">
      <w:pPr>
        <w:pStyle w:val="PL"/>
      </w:pPr>
      <w:r w:rsidRPr="00FA0D37">
        <w:t xml:space="preserve">TraceReference-r16 ::= </w:t>
      </w:r>
      <w:r w:rsidRPr="00FA0D37">
        <w:rPr>
          <w:color w:val="993366"/>
        </w:rPr>
        <w:t>SEQUENCE</w:t>
      </w:r>
      <w:r w:rsidRPr="00FA0D37">
        <w:t xml:space="preserve"> {</w:t>
      </w:r>
    </w:p>
    <w:p w14:paraId="3069016A" w14:textId="77777777" w:rsidR="00394471" w:rsidRPr="00FA0D37" w:rsidRDefault="00394471" w:rsidP="00FA0D37">
      <w:pPr>
        <w:pStyle w:val="PL"/>
      </w:pPr>
      <w:r w:rsidRPr="00FA0D37">
        <w:t xml:space="preserve">    plmn-Identity-r16      PLMN-Identity,</w:t>
      </w:r>
    </w:p>
    <w:p w14:paraId="47680DA8" w14:textId="77777777" w:rsidR="00394471" w:rsidRPr="00FA0D37" w:rsidRDefault="00394471" w:rsidP="00FA0D37">
      <w:pPr>
        <w:pStyle w:val="PL"/>
      </w:pPr>
      <w:r w:rsidRPr="00FA0D37">
        <w:t xml:space="preserve">    traceId-r16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(3))</w:t>
      </w:r>
    </w:p>
    <w:p w14:paraId="7DE0D12D" w14:textId="77777777" w:rsidR="00394471" w:rsidRPr="00FA0D37" w:rsidRDefault="00394471" w:rsidP="00FA0D37">
      <w:pPr>
        <w:pStyle w:val="PL"/>
      </w:pPr>
      <w:r w:rsidRPr="00FA0D37">
        <w:t>}</w:t>
      </w:r>
    </w:p>
    <w:p w14:paraId="34C5A1CF" w14:textId="77777777" w:rsidR="00394471" w:rsidRPr="00FA0D37" w:rsidRDefault="00394471" w:rsidP="00FA0D37">
      <w:pPr>
        <w:pStyle w:val="PL"/>
      </w:pPr>
    </w:p>
    <w:p w14:paraId="1CDD62C9" w14:textId="77777777" w:rsidR="00394471" w:rsidRPr="00FA0D37" w:rsidRDefault="00394471" w:rsidP="00FA0D37">
      <w:pPr>
        <w:pStyle w:val="PL"/>
        <w:rPr>
          <w:color w:val="808080"/>
        </w:rPr>
      </w:pPr>
      <w:r w:rsidRPr="00FA0D37">
        <w:rPr>
          <w:color w:val="808080"/>
        </w:rPr>
        <w:t>-- TAG-TRACEREFERENCE-STOP</w:t>
      </w:r>
    </w:p>
    <w:p w14:paraId="742371AA" w14:textId="77777777" w:rsidR="00394471" w:rsidRPr="00FA0D37" w:rsidRDefault="00394471" w:rsidP="00FA0D37">
      <w:pPr>
        <w:pStyle w:val="PL"/>
        <w:rPr>
          <w:color w:val="808080"/>
        </w:rPr>
      </w:pPr>
      <w:r w:rsidRPr="00FA0D37">
        <w:rPr>
          <w:color w:val="808080"/>
        </w:rPr>
        <w:t>-- ASN1STOP</w:t>
      </w:r>
    </w:p>
    <w:p w14:paraId="0ECC6CE3" w14:textId="77777777" w:rsidR="00394471" w:rsidRPr="00FA0D37" w:rsidRDefault="00394471" w:rsidP="00394471">
      <w:pPr>
        <w:rPr>
          <w:rFonts w:eastAsiaTheme="minorEastAsia"/>
        </w:rPr>
      </w:pPr>
    </w:p>
    <w:p w14:paraId="537A0A1E" w14:textId="0AC233C6" w:rsidR="00394471" w:rsidRPr="00FA0D37" w:rsidRDefault="00394471" w:rsidP="00394471">
      <w:pPr>
        <w:pStyle w:val="4"/>
        <w:rPr>
          <w:i/>
          <w:iCs/>
        </w:rPr>
      </w:pPr>
      <w:bookmarkStart w:id="1704" w:name="_Toc60777517"/>
      <w:bookmarkStart w:id="1705" w:name="_Toc146781629"/>
      <w:r w:rsidRPr="00FA0D37">
        <w:t>–</w:t>
      </w:r>
      <w:r w:rsidRPr="00FA0D37">
        <w:tab/>
      </w:r>
      <w:r w:rsidRPr="00FA0D37">
        <w:rPr>
          <w:i/>
          <w:iCs/>
        </w:rPr>
        <w:t>UE-MeasurementsAvailable</w:t>
      </w:r>
      <w:bookmarkEnd w:id="1704"/>
      <w:bookmarkEnd w:id="1705"/>
    </w:p>
    <w:p w14:paraId="0BE30FF2" w14:textId="04FE0486" w:rsidR="00394471" w:rsidRPr="00FA0D37" w:rsidRDefault="00394471" w:rsidP="00255542">
      <w:pPr>
        <w:tabs>
          <w:tab w:val="left" w:pos="8080"/>
        </w:tabs>
      </w:pPr>
      <w:r w:rsidRPr="00FA0D37">
        <w:t xml:space="preserve">The IE </w:t>
      </w:r>
      <w:r w:rsidRPr="00FA0D37">
        <w:rPr>
          <w:i/>
        </w:rPr>
        <w:t>UE-MeasurementsAvailable</w:t>
      </w:r>
      <w:r w:rsidRPr="00FA0D37">
        <w:t xml:space="preserve"> is used to indicate all relevant available indicators for UE me</w:t>
      </w:r>
      <w:r w:rsidR="00B1249E" w:rsidRPr="00FA0D37">
        <w:t>a</w:t>
      </w:r>
      <w:r w:rsidRPr="00FA0D37">
        <w:t>surements.</w:t>
      </w:r>
    </w:p>
    <w:p w14:paraId="20E771BC" w14:textId="77777777" w:rsidR="00394471" w:rsidRPr="00FA0D37" w:rsidRDefault="00394471" w:rsidP="00394471">
      <w:pPr>
        <w:pStyle w:val="TH"/>
      </w:pPr>
      <w:r w:rsidRPr="00FA0D37">
        <w:rPr>
          <w:bCs/>
          <w:i/>
          <w:iCs/>
        </w:rPr>
        <w:t xml:space="preserve">UE-MeasurementsAvailable </w:t>
      </w:r>
      <w:r w:rsidRPr="00FA0D37">
        <w:t>information element</w:t>
      </w:r>
    </w:p>
    <w:p w14:paraId="6A030353" w14:textId="77777777" w:rsidR="00394471" w:rsidRPr="00FA0D37" w:rsidRDefault="00394471" w:rsidP="00FA0D37">
      <w:pPr>
        <w:pStyle w:val="PL"/>
        <w:rPr>
          <w:color w:val="808080"/>
        </w:rPr>
      </w:pPr>
      <w:r w:rsidRPr="00FA0D37">
        <w:rPr>
          <w:color w:val="808080"/>
        </w:rPr>
        <w:t>-- ASN1START</w:t>
      </w:r>
    </w:p>
    <w:p w14:paraId="10A372AD" w14:textId="77777777" w:rsidR="00394471" w:rsidRPr="00FA0D37" w:rsidRDefault="00394471" w:rsidP="00FA0D37">
      <w:pPr>
        <w:pStyle w:val="PL"/>
        <w:rPr>
          <w:color w:val="808080"/>
        </w:rPr>
      </w:pPr>
      <w:r w:rsidRPr="00FA0D37">
        <w:rPr>
          <w:color w:val="808080"/>
        </w:rPr>
        <w:t>-- TAG-UE-MeasurementsAvailable-START</w:t>
      </w:r>
    </w:p>
    <w:p w14:paraId="6973236C" w14:textId="77777777" w:rsidR="00394471" w:rsidRPr="00FA0D37" w:rsidRDefault="00394471" w:rsidP="00FA0D37">
      <w:pPr>
        <w:pStyle w:val="PL"/>
      </w:pPr>
    </w:p>
    <w:p w14:paraId="0122D881" w14:textId="77777777" w:rsidR="00394471" w:rsidRPr="00FA0D37" w:rsidRDefault="00394471" w:rsidP="00FA0D37">
      <w:pPr>
        <w:pStyle w:val="PL"/>
      </w:pPr>
      <w:r w:rsidRPr="00FA0D37">
        <w:t xml:space="preserve">UE-MeasurementsAvailable-r16 ::=              </w:t>
      </w:r>
      <w:r w:rsidRPr="00FA0D37">
        <w:rPr>
          <w:color w:val="993366"/>
        </w:rPr>
        <w:t>SEQUENCE</w:t>
      </w:r>
      <w:r w:rsidRPr="00FA0D37">
        <w:t xml:space="preserve"> {</w:t>
      </w:r>
    </w:p>
    <w:p w14:paraId="30D8806A" w14:textId="77777777" w:rsidR="00394471" w:rsidRPr="00FA0D37" w:rsidRDefault="00394471" w:rsidP="00FA0D37">
      <w:pPr>
        <w:pStyle w:val="PL"/>
      </w:pPr>
      <w:r w:rsidRPr="00FA0D37">
        <w:t xml:space="preserve">    logMeasAvailable-r16                         </w:t>
      </w:r>
      <w:r w:rsidRPr="00FA0D37">
        <w:rPr>
          <w:color w:val="993366"/>
        </w:rPr>
        <w:t>ENUMERATED</w:t>
      </w:r>
      <w:r w:rsidRPr="00FA0D37">
        <w:t xml:space="preserve"> {true}               </w:t>
      </w:r>
      <w:r w:rsidRPr="00FA0D37">
        <w:rPr>
          <w:color w:val="993366"/>
        </w:rPr>
        <w:t>OPTIONAL</w:t>
      </w:r>
      <w:r w:rsidRPr="00FA0D37">
        <w:t>,</w:t>
      </w:r>
    </w:p>
    <w:p w14:paraId="7CC33B25" w14:textId="77777777" w:rsidR="00394471" w:rsidRPr="00FA0D37" w:rsidRDefault="00394471" w:rsidP="00FA0D37">
      <w:pPr>
        <w:pStyle w:val="PL"/>
      </w:pPr>
      <w:r w:rsidRPr="00FA0D37">
        <w:t xml:space="preserve">    logMeasAvailableBT-r16                       </w:t>
      </w:r>
      <w:r w:rsidRPr="00FA0D37">
        <w:rPr>
          <w:color w:val="993366"/>
        </w:rPr>
        <w:t>ENUMERATED</w:t>
      </w:r>
      <w:r w:rsidRPr="00FA0D37">
        <w:t xml:space="preserve"> {true}               </w:t>
      </w:r>
      <w:r w:rsidRPr="00FA0D37">
        <w:rPr>
          <w:color w:val="993366"/>
        </w:rPr>
        <w:t>OPTIONAL</w:t>
      </w:r>
      <w:r w:rsidRPr="00FA0D37">
        <w:t>,</w:t>
      </w:r>
    </w:p>
    <w:p w14:paraId="68C10193" w14:textId="77777777" w:rsidR="00394471" w:rsidRPr="00FA0D37" w:rsidRDefault="00394471" w:rsidP="00FA0D37">
      <w:pPr>
        <w:pStyle w:val="PL"/>
      </w:pPr>
      <w:r w:rsidRPr="00FA0D37">
        <w:t xml:space="preserve">    logMeasAvailableWLAN-r16                     </w:t>
      </w:r>
      <w:r w:rsidRPr="00FA0D37">
        <w:rPr>
          <w:color w:val="993366"/>
        </w:rPr>
        <w:t>ENUMERATED</w:t>
      </w:r>
      <w:r w:rsidRPr="00FA0D37">
        <w:t xml:space="preserve"> {true}               </w:t>
      </w:r>
      <w:r w:rsidRPr="00FA0D37">
        <w:rPr>
          <w:color w:val="993366"/>
        </w:rPr>
        <w:t>OPTIONAL</w:t>
      </w:r>
      <w:r w:rsidRPr="00FA0D37">
        <w:t>,</w:t>
      </w:r>
    </w:p>
    <w:p w14:paraId="4F6641B0" w14:textId="77777777" w:rsidR="00394471" w:rsidRPr="00FA0D37" w:rsidRDefault="00394471" w:rsidP="00FA0D37">
      <w:pPr>
        <w:pStyle w:val="PL"/>
      </w:pPr>
      <w:r w:rsidRPr="00FA0D37">
        <w:t xml:space="preserve">    connEstFailInfoAvailable-r16                 </w:t>
      </w:r>
      <w:r w:rsidRPr="00FA0D37">
        <w:rPr>
          <w:color w:val="993366"/>
        </w:rPr>
        <w:t>ENUMERATED</w:t>
      </w:r>
      <w:r w:rsidRPr="00FA0D37">
        <w:t xml:space="preserve"> {true}               </w:t>
      </w:r>
      <w:r w:rsidRPr="00FA0D37">
        <w:rPr>
          <w:color w:val="993366"/>
        </w:rPr>
        <w:t>OPTIONAL</w:t>
      </w:r>
      <w:r w:rsidRPr="00FA0D37">
        <w:t>,</w:t>
      </w:r>
    </w:p>
    <w:p w14:paraId="20F2DC40" w14:textId="77777777" w:rsidR="00394471" w:rsidRPr="00FA0D37" w:rsidRDefault="00394471" w:rsidP="00FA0D37">
      <w:pPr>
        <w:pStyle w:val="PL"/>
      </w:pPr>
      <w:r w:rsidRPr="00FA0D37">
        <w:t xml:space="preserve">    rlf-InfoAvailable-r16                        </w:t>
      </w:r>
      <w:r w:rsidRPr="00FA0D37">
        <w:rPr>
          <w:color w:val="993366"/>
        </w:rPr>
        <w:t>ENUMERATED</w:t>
      </w:r>
      <w:r w:rsidRPr="00FA0D37">
        <w:t xml:space="preserve"> {true}               </w:t>
      </w:r>
      <w:r w:rsidRPr="00FA0D37">
        <w:rPr>
          <w:color w:val="993366"/>
        </w:rPr>
        <w:t>OPTIONAL</w:t>
      </w:r>
      <w:r w:rsidRPr="00FA0D37">
        <w:t>,</w:t>
      </w:r>
    </w:p>
    <w:p w14:paraId="7EB2252F" w14:textId="1F8BB086" w:rsidR="00E84B6D" w:rsidRPr="00FA0D37" w:rsidRDefault="00394471" w:rsidP="00FA0D37">
      <w:pPr>
        <w:pStyle w:val="PL"/>
        <w:rPr>
          <w:rFonts w:eastAsia="等线"/>
        </w:rPr>
      </w:pPr>
      <w:r w:rsidRPr="00FA0D37">
        <w:t xml:space="preserve">    ...</w:t>
      </w:r>
      <w:r w:rsidR="00E84B6D" w:rsidRPr="00FA0D37">
        <w:rPr>
          <w:rFonts w:eastAsia="等线"/>
        </w:rPr>
        <w:t>,</w:t>
      </w:r>
    </w:p>
    <w:p w14:paraId="13496EA5" w14:textId="77777777" w:rsidR="00E84B6D" w:rsidRPr="00FA0D37" w:rsidRDefault="00E84B6D" w:rsidP="00FA0D37">
      <w:pPr>
        <w:pStyle w:val="PL"/>
        <w:rPr>
          <w:rFonts w:eastAsia="等线"/>
        </w:rPr>
      </w:pPr>
      <w:r w:rsidRPr="00FA0D37">
        <w:t xml:space="preserve">    </w:t>
      </w:r>
      <w:r w:rsidRPr="00FA0D37">
        <w:rPr>
          <w:rFonts w:eastAsia="等线"/>
        </w:rPr>
        <w:t>[[</w:t>
      </w:r>
    </w:p>
    <w:p w14:paraId="03265915" w14:textId="77777777" w:rsidR="00E84B6D" w:rsidRPr="00FA0D37" w:rsidRDefault="00E84B6D" w:rsidP="00FA0D37">
      <w:pPr>
        <w:pStyle w:val="PL"/>
        <w:rPr>
          <w:rFonts w:eastAsia="等线"/>
        </w:rPr>
      </w:pPr>
      <w:r w:rsidRPr="00FA0D37">
        <w:t xml:space="preserve">    </w:t>
      </w:r>
      <w:r w:rsidRPr="00FA0D37">
        <w:rPr>
          <w:rFonts w:eastAsia="等线"/>
        </w:rPr>
        <w:t>successHO-InfoAvailable-r17</w:t>
      </w:r>
      <w:r w:rsidRPr="00FA0D37">
        <w:t xml:space="preserve">                  </w:t>
      </w:r>
      <w:r w:rsidRPr="00FA0D37">
        <w:rPr>
          <w:rFonts w:eastAsia="等线"/>
          <w:color w:val="993366"/>
        </w:rPr>
        <w:t>ENUMERATED</w:t>
      </w:r>
      <w:r w:rsidRPr="00FA0D37">
        <w:rPr>
          <w:rFonts w:eastAsia="等线"/>
        </w:rPr>
        <w:t xml:space="preserve"> {true}</w:t>
      </w:r>
      <w:r w:rsidRPr="00FA0D37">
        <w:t xml:space="preserve">               </w:t>
      </w:r>
      <w:r w:rsidRPr="00FA0D37">
        <w:rPr>
          <w:rFonts w:eastAsia="等线"/>
          <w:color w:val="993366"/>
        </w:rPr>
        <w:t>OPTIONAL</w:t>
      </w:r>
      <w:r w:rsidRPr="00FA0D37">
        <w:rPr>
          <w:rFonts w:eastAsia="等线"/>
        </w:rPr>
        <w:t>,</w:t>
      </w:r>
    </w:p>
    <w:p w14:paraId="71342363" w14:textId="77777777" w:rsidR="00E84B6D" w:rsidRPr="00FA0D37" w:rsidRDefault="00E84B6D" w:rsidP="00FA0D37">
      <w:pPr>
        <w:pStyle w:val="PL"/>
        <w:rPr>
          <w:rFonts w:eastAsia="等线"/>
        </w:rPr>
      </w:pPr>
      <w:r w:rsidRPr="00FA0D37">
        <w:t xml:space="preserve">    </w:t>
      </w:r>
      <w:r w:rsidRPr="00FA0D37">
        <w:rPr>
          <w:rFonts w:eastAsia="等线"/>
        </w:rPr>
        <w:t>sigLogMeasConfigAvailable-r17</w:t>
      </w:r>
      <w:r w:rsidRPr="00FA0D37">
        <w:t xml:space="preserve">                </w:t>
      </w:r>
      <w:r w:rsidRPr="00FA0D37">
        <w:rPr>
          <w:rFonts w:eastAsia="等线"/>
          <w:color w:val="993366"/>
        </w:rPr>
        <w:t>BOOLEAN</w:t>
      </w:r>
      <w:r w:rsidRPr="00FA0D37">
        <w:t xml:space="preserve">                         </w:t>
      </w:r>
      <w:r w:rsidRPr="00FA0D37">
        <w:rPr>
          <w:rFonts w:eastAsia="等线"/>
          <w:color w:val="993366"/>
        </w:rPr>
        <w:t>OPTIONAL</w:t>
      </w:r>
    </w:p>
    <w:p w14:paraId="1FF83887" w14:textId="6DF65E47" w:rsidR="00394471" w:rsidRPr="00FA0D37" w:rsidRDefault="00E84B6D" w:rsidP="00FA0D37">
      <w:pPr>
        <w:pStyle w:val="PL"/>
      </w:pPr>
      <w:r w:rsidRPr="00FA0D37">
        <w:t xml:space="preserve">    </w:t>
      </w:r>
      <w:r w:rsidRPr="00FA0D37">
        <w:rPr>
          <w:rFonts w:eastAsia="等线"/>
        </w:rPr>
        <w:t>]]</w:t>
      </w:r>
    </w:p>
    <w:p w14:paraId="109D4C24" w14:textId="1C803D08" w:rsidR="00394471" w:rsidRPr="00FA0D37" w:rsidRDefault="00394471" w:rsidP="00FA0D37">
      <w:pPr>
        <w:pStyle w:val="PL"/>
      </w:pPr>
      <w:r w:rsidRPr="00FA0D37">
        <w:rPr>
          <w:rFonts w:eastAsia="等线"/>
        </w:rPr>
        <w:lastRenderedPageBreak/>
        <w:t>}</w:t>
      </w:r>
    </w:p>
    <w:p w14:paraId="7D7EC449" w14:textId="77777777" w:rsidR="00394471" w:rsidRPr="00FA0D37" w:rsidRDefault="00394471" w:rsidP="00FA0D37">
      <w:pPr>
        <w:pStyle w:val="PL"/>
      </w:pPr>
    </w:p>
    <w:p w14:paraId="033D221A" w14:textId="77777777" w:rsidR="00394471" w:rsidRPr="00FA0D37" w:rsidRDefault="00394471" w:rsidP="00FA0D37">
      <w:pPr>
        <w:pStyle w:val="PL"/>
        <w:rPr>
          <w:color w:val="808080"/>
        </w:rPr>
      </w:pPr>
      <w:r w:rsidRPr="00FA0D37">
        <w:rPr>
          <w:color w:val="808080"/>
        </w:rPr>
        <w:t>-- TAG-UE-MeasurementsAvailable-STOP</w:t>
      </w:r>
    </w:p>
    <w:p w14:paraId="5B520367" w14:textId="77777777" w:rsidR="00394471" w:rsidRPr="00FA0D37" w:rsidRDefault="00394471" w:rsidP="00FA0D37">
      <w:pPr>
        <w:pStyle w:val="PL"/>
        <w:rPr>
          <w:color w:val="808080"/>
        </w:rPr>
      </w:pPr>
      <w:r w:rsidRPr="00FA0D37">
        <w:rPr>
          <w:color w:val="808080"/>
        </w:rPr>
        <w:t>-- ASN1STOP</w:t>
      </w:r>
    </w:p>
    <w:p w14:paraId="74597CF4" w14:textId="77777777" w:rsidR="00394471" w:rsidRPr="00FA0D37" w:rsidRDefault="00394471" w:rsidP="00394471"/>
    <w:p w14:paraId="281B9B1F" w14:textId="39F314A4" w:rsidR="00394471" w:rsidRPr="00FA0D37" w:rsidRDefault="00394471" w:rsidP="00394471">
      <w:pPr>
        <w:pStyle w:val="4"/>
        <w:rPr>
          <w:i/>
          <w:iCs/>
        </w:rPr>
      </w:pPr>
      <w:bookmarkStart w:id="1706" w:name="_Toc60777518"/>
      <w:bookmarkStart w:id="1707" w:name="_Toc146781630"/>
      <w:r w:rsidRPr="00FA0D37">
        <w:t>–</w:t>
      </w:r>
      <w:r w:rsidRPr="00FA0D37">
        <w:tab/>
      </w:r>
      <w:r w:rsidRPr="00FA0D37">
        <w:rPr>
          <w:i/>
          <w:iCs/>
        </w:rPr>
        <w:t>UTRA-FDD-Q-OffsetRange</w:t>
      </w:r>
      <w:bookmarkEnd w:id="1706"/>
      <w:bookmarkEnd w:id="1707"/>
    </w:p>
    <w:p w14:paraId="461ABF1D" w14:textId="77777777" w:rsidR="00394471" w:rsidRPr="00FA0D37" w:rsidRDefault="00394471" w:rsidP="00394471">
      <w:r w:rsidRPr="00FA0D37">
        <w:t xml:space="preserve">The IE </w:t>
      </w:r>
      <w:r w:rsidRPr="00FA0D37">
        <w:rPr>
          <w:i/>
          <w:noProof/>
        </w:rPr>
        <w:t>UTRA-FDD-Q-OffsetRange</w:t>
      </w:r>
      <w:r w:rsidRPr="00FA0D37">
        <w:t xml:space="preserve"> is used to indicate a frequency specific offset to be applied when evaluating triggering conditions for measurement reporting. The value is in dB. Value </w:t>
      </w:r>
      <w:r w:rsidRPr="00FA0D37">
        <w:rPr>
          <w:i/>
        </w:rPr>
        <w:t>dB-24</w:t>
      </w:r>
      <w:r w:rsidRPr="00FA0D37">
        <w:t xml:space="preserve"> corresponds to -24 dB, value </w:t>
      </w:r>
      <w:r w:rsidRPr="00FA0D37">
        <w:rPr>
          <w:i/>
        </w:rPr>
        <w:t>dB-22</w:t>
      </w:r>
      <w:r w:rsidRPr="00FA0D37">
        <w:t xml:space="preserve"> corresponds to -22 dB and so on.</w:t>
      </w:r>
    </w:p>
    <w:p w14:paraId="0B22A6FC" w14:textId="77777777" w:rsidR="00394471" w:rsidRPr="00FA0D37" w:rsidRDefault="00394471" w:rsidP="00394471">
      <w:pPr>
        <w:pStyle w:val="TH"/>
      </w:pPr>
      <w:r w:rsidRPr="00FA0D37">
        <w:rPr>
          <w:bCs/>
          <w:i/>
          <w:iCs/>
        </w:rPr>
        <w:t xml:space="preserve">UTRA-FDD-Q-OffsetRange </w:t>
      </w:r>
      <w:r w:rsidRPr="00FA0D37">
        <w:t>information element</w:t>
      </w:r>
    </w:p>
    <w:p w14:paraId="4B6CD728" w14:textId="77777777" w:rsidR="00394471" w:rsidRPr="00FA0D37" w:rsidRDefault="00394471" w:rsidP="00FA0D37">
      <w:pPr>
        <w:pStyle w:val="PL"/>
        <w:rPr>
          <w:color w:val="808080"/>
        </w:rPr>
      </w:pPr>
      <w:r w:rsidRPr="00FA0D37">
        <w:rPr>
          <w:color w:val="808080"/>
        </w:rPr>
        <w:t>-- ASN1START</w:t>
      </w:r>
    </w:p>
    <w:p w14:paraId="2986E98E" w14:textId="77777777" w:rsidR="00394471" w:rsidRPr="00FA0D37" w:rsidRDefault="00394471" w:rsidP="00FA0D37">
      <w:pPr>
        <w:pStyle w:val="PL"/>
        <w:rPr>
          <w:color w:val="808080"/>
        </w:rPr>
      </w:pPr>
      <w:r w:rsidRPr="00FA0D37">
        <w:rPr>
          <w:color w:val="808080"/>
        </w:rPr>
        <w:t>-- TAG-UTRA-FDD-Q-OFFSETRANGE-START</w:t>
      </w:r>
    </w:p>
    <w:p w14:paraId="37BAC620" w14:textId="77777777" w:rsidR="00394471" w:rsidRPr="00FA0D37" w:rsidRDefault="00394471" w:rsidP="00FA0D37">
      <w:pPr>
        <w:pStyle w:val="PL"/>
      </w:pPr>
    </w:p>
    <w:p w14:paraId="134F95CA" w14:textId="77777777" w:rsidR="00394471" w:rsidRPr="00FA0D37" w:rsidRDefault="00394471" w:rsidP="00FA0D37">
      <w:pPr>
        <w:pStyle w:val="PL"/>
      </w:pPr>
      <w:r w:rsidRPr="00FA0D37">
        <w:t xml:space="preserve">UTRA-FDD-Q-OffsetRange-r16 ::=              </w:t>
      </w:r>
      <w:r w:rsidRPr="00FA0D37">
        <w:rPr>
          <w:color w:val="993366"/>
        </w:rPr>
        <w:t>ENUMERATED</w:t>
      </w:r>
      <w:r w:rsidRPr="00FA0D37">
        <w:t xml:space="preserve"> {</w:t>
      </w:r>
    </w:p>
    <w:p w14:paraId="6F3229E4" w14:textId="77777777" w:rsidR="00394471" w:rsidRPr="00FA0D37" w:rsidRDefault="00394471" w:rsidP="00FA0D37">
      <w:pPr>
        <w:pStyle w:val="PL"/>
      </w:pPr>
      <w:r w:rsidRPr="00FA0D37">
        <w:t xml:space="preserve">                                                dB-24, dB-22, dB-20, dB-18, dB-16, dB-14,</w:t>
      </w:r>
    </w:p>
    <w:p w14:paraId="727E02EA" w14:textId="77777777" w:rsidR="00394471" w:rsidRPr="00FA0D37" w:rsidRDefault="00394471" w:rsidP="00FA0D37">
      <w:pPr>
        <w:pStyle w:val="PL"/>
      </w:pPr>
      <w:r w:rsidRPr="00FA0D37">
        <w:t xml:space="preserve">                                                dB-12, dB-10, dB-8, dB-6, dB-5, dB-4, dB-3,</w:t>
      </w:r>
    </w:p>
    <w:p w14:paraId="6742CB35" w14:textId="77777777" w:rsidR="00394471" w:rsidRPr="00FA0D37" w:rsidRDefault="00394471" w:rsidP="00FA0D37">
      <w:pPr>
        <w:pStyle w:val="PL"/>
      </w:pPr>
      <w:r w:rsidRPr="00FA0D37">
        <w:t xml:space="preserve">                                                dB-2, dB-1, dB0, dB1, dB2, dB3, dB4, dB5,</w:t>
      </w:r>
    </w:p>
    <w:p w14:paraId="087AA85E" w14:textId="77777777" w:rsidR="00394471" w:rsidRPr="00FA0D37" w:rsidRDefault="00394471" w:rsidP="00FA0D37">
      <w:pPr>
        <w:pStyle w:val="PL"/>
      </w:pPr>
      <w:r w:rsidRPr="00FA0D37">
        <w:t xml:space="preserve">                                                dB6, dB8, dB10, dB12, dB14, dB16, dB18,</w:t>
      </w:r>
    </w:p>
    <w:p w14:paraId="6499D824" w14:textId="77777777" w:rsidR="00394471" w:rsidRPr="00FA0D37" w:rsidRDefault="00394471" w:rsidP="00FA0D37">
      <w:pPr>
        <w:pStyle w:val="PL"/>
      </w:pPr>
      <w:r w:rsidRPr="00FA0D37">
        <w:t xml:space="preserve">                                                dB20, dB22, dB24}</w:t>
      </w:r>
    </w:p>
    <w:p w14:paraId="7D05CD8B" w14:textId="77777777" w:rsidR="00394471" w:rsidRPr="00FA0D37" w:rsidRDefault="00394471" w:rsidP="00FA0D37">
      <w:pPr>
        <w:pStyle w:val="PL"/>
      </w:pPr>
    </w:p>
    <w:p w14:paraId="62AB3FFC" w14:textId="77777777" w:rsidR="00394471" w:rsidRPr="00FA0D37" w:rsidRDefault="00394471" w:rsidP="00FA0D37">
      <w:pPr>
        <w:pStyle w:val="PL"/>
        <w:rPr>
          <w:color w:val="808080"/>
        </w:rPr>
      </w:pPr>
      <w:r w:rsidRPr="00FA0D37">
        <w:rPr>
          <w:color w:val="808080"/>
        </w:rPr>
        <w:t>-- TAG-UTRA-FDD-Q-OFFSETRANGE-STOP</w:t>
      </w:r>
    </w:p>
    <w:p w14:paraId="5EC2955D" w14:textId="77777777" w:rsidR="00394471" w:rsidRPr="00FA0D37" w:rsidRDefault="00394471" w:rsidP="00FA0D37">
      <w:pPr>
        <w:pStyle w:val="PL"/>
        <w:rPr>
          <w:color w:val="808080"/>
        </w:rPr>
      </w:pPr>
      <w:r w:rsidRPr="00FA0D37">
        <w:rPr>
          <w:color w:val="808080"/>
        </w:rPr>
        <w:t>-- ASN1STOP</w:t>
      </w:r>
    </w:p>
    <w:p w14:paraId="69E9036C" w14:textId="77777777" w:rsidR="00394471" w:rsidRPr="00FA0D37" w:rsidRDefault="00394471" w:rsidP="00394471">
      <w:pPr>
        <w:rPr>
          <w:lang w:eastAsia="zh-CN"/>
        </w:rPr>
      </w:pPr>
    </w:p>
    <w:p w14:paraId="2B3542FE" w14:textId="29C670E1" w:rsidR="00394471" w:rsidRPr="00FA0D37" w:rsidRDefault="00394471" w:rsidP="00394471">
      <w:pPr>
        <w:pStyle w:val="4"/>
      </w:pPr>
      <w:bookmarkStart w:id="1708" w:name="_Toc60777519"/>
      <w:bookmarkStart w:id="1709" w:name="_Toc146781631"/>
      <w:r w:rsidRPr="00FA0D37">
        <w:t>–</w:t>
      </w:r>
      <w:r w:rsidRPr="00FA0D37">
        <w:tab/>
      </w:r>
      <w:r w:rsidRPr="00FA0D37">
        <w:rPr>
          <w:i/>
        </w:rPr>
        <w:t>VisitedCellInfoList</w:t>
      </w:r>
      <w:bookmarkEnd w:id="1708"/>
      <w:bookmarkEnd w:id="1709"/>
    </w:p>
    <w:p w14:paraId="3557CE4F" w14:textId="5C37E4D3" w:rsidR="00394471" w:rsidRPr="00FA0D37" w:rsidRDefault="00394471" w:rsidP="00394471">
      <w:pPr>
        <w:keepNext/>
        <w:keepLines/>
        <w:rPr>
          <w:iCs/>
        </w:rPr>
      </w:pPr>
      <w:r w:rsidRPr="00FA0D37">
        <w:t xml:space="preserve">The IE </w:t>
      </w:r>
      <w:r w:rsidRPr="00FA0D37">
        <w:rPr>
          <w:i/>
        </w:rPr>
        <w:t xml:space="preserve">VisitedCellInfoList </w:t>
      </w:r>
      <w:r w:rsidRPr="00FA0D37">
        <w:t xml:space="preserve">includes the mobility history information of maximum of 16 most recently visited </w:t>
      </w:r>
      <w:r w:rsidR="00E84B6D" w:rsidRPr="00FA0D37">
        <w:t xml:space="preserve">primary </w:t>
      </w:r>
      <w:r w:rsidRPr="00FA0D37">
        <w:t>cells or time spent in any cell selection state and/or camped on any cell state in NR or E-UTRA</w:t>
      </w:r>
      <w:r w:rsidR="00E84B6D" w:rsidRPr="00FA0D37">
        <w:t xml:space="preserve"> and, in case of Dual Connectivity, the mobility history information of </w:t>
      </w:r>
      <w:r w:rsidR="00E84B6D" w:rsidRPr="00FA0D37">
        <w:rPr>
          <w:i/>
          <w:iCs/>
        </w:rPr>
        <w:t>maxPSCellHistory</w:t>
      </w:r>
      <w:r w:rsidR="00E84B6D" w:rsidRPr="00FA0D37">
        <w:t xml:space="preserve"> most recently visited primary secondary cell group cells </w:t>
      </w:r>
      <w:r w:rsidR="00946331" w:rsidRPr="00FA0D37">
        <w:t>across all the</w:t>
      </w:r>
      <w:r w:rsidR="00E84B6D" w:rsidRPr="00FA0D37">
        <w:t xml:space="preserve"> primary cell</w:t>
      </w:r>
      <w:r w:rsidR="00946331" w:rsidRPr="00FA0D37">
        <w:t xml:space="preserve">s included in the </w:t>
      </w:r>
      <w:r w:rsidR="00946331" w:rsidRPr="00FA0D37">
        <w:rPr>
          <w:i/>
          <w:iCs/>
        </w:rPr>
        <w:t>VisitedCellInfoList</w:t>
      </w:r>
      <w:r w:rsidRPr="00FA0D37">
        <w:t>. The most recently visited cell is stored first in the list</w:t>
      </w:r>
      <w:r w:rsidRPr="00FA0D37">
        <w:rPr>
          <w:iCs/>
        </w:rPr>
        <w:t xml:space="preserve">. </w:t>
      </w:r>
      <w:r w:rsidRPr="00FA0D37">
        <w:t>The list includes cells visited in RRC_IDLE, RRC_INACTIVE and RRC_CONNECTED states for NR and RRC_IDLE and RRC_CONNECTED for E-UTRA.</w:t>
      </w:r>
    </w:p>
    <w:p w14:paraId="049283D8" w14:textId="77777777" w:rsidR="00394471" w:rsidRPr="00FA0D37" w:rsidRDefault="00394471" w:rsidP="00394471">
      <w:pPr>
        <w:pStyle w:val="TH"/>
      </w:pPr>
      <w:r w:rsidRPr="00FA0D37">
        <w:rPr>
          <w:bCs/>
          <w:i/>
          <w:iCs/>
        </w:rPr>
        <w:t>VisitedCellInfoList</w:t>
      </w:r>
      <w:r w:rsidRPr="00FA0D37">
        <w:t xml:space="preserve"> information element</w:t>
      </w:r>
    </w:p>
    <w:p w14:paraId="03D8B277" w14:textId="77777777" w:rsidR="00394471" w:rsidRPr="00FA0D37" w:rsidRDefault="00394471" w:rsidP="00FA0D37">
      <w:pPr>
        <w:pStyle w:val="PL"/>
        <w:rPr>
          <w:color w:val="808080"/>
        </w:rPr>
      </w:pPr>
      <w:r w:rsidRPr="00FA0D37">
        <w:rPr>
          <w:color w:val="808080"/>
        </w:rPr>
        <w:t>-- ASN1START</w:t>
      </w:r>
    </w:p>
    <w:p w14:paraId="2B432D2A" w14:textId="77777777" w:rsidR="00394471" w:rsidRPr="00FA0D37" w:rsidRDefault="00394471" w:rsidP="00FA0D37">
      <w:pPr>
        <w:pStyle w:val="PL"/>
        <w:rPr>
          <w:color w:val="808080"/>
        </w:rPr>
      </w:pPr>
      <w:r w:rsidRPr="00FA0D37">
        <w:rPr>
          <w:color w:val="808080"/>
        </w:rPr>
        <w:t>-- TAG-VISITEDCELLINFOLIST-START</w:t>
      </w:r>
    </w:p>
    <w:p w14:paraId="4B2864FF" w14:textId="77777777" w:rsidR="00394471" w:rsidRPr="00FA0D37" w:rsidRDefault="00394471" w:rsidP="00FA0D37">
      <w:pPr>
        <w:pStyle w:val="PL"/>
      </w:pPr>
    </w:p>
    <w:p w14:paraId="67B76213" w14:textId="77777777" w:rsidR="00394471" w:rsidRPr="00FA0D37" w:rsidRDefault="00394471" w:rsidP="00FA0D37">
      <w:pPr>
        <w:pStyle w:val="PL"/>
      </w:pPr>
      <w:r w:rsidRPr="00FA0D37">
        <w:t xml:space="preserve">VisitedCellInfoList-r16 ::= </w:t>
      </w:r>
      <w:r w:rsidRPr="00FA0D37">
        <w:rPr>
          <w:color w:val="993366"/>
        </w:rPr>
        <w:t>SEQUENCE</w:t>
      </w:r>
      <w:r w:rsidRPr="00FA0D37">
        <w:t xml:space="preserve"> (</w:t>
      </w:r>
      <w:r w:rsidRPr="00FA0D37">
        <w:rPr>
          <w:color w:val="993366"/>
        </w:rPr>
        <w:t>SIZE</w:t>
      </w:r>
      <w:r w:rsidRPr="00FA0D37">
        <w:t xml:space="preserve"> (1..maxCellHistory-r16))</w:t>
      </w:r>
      <w:r w:rsidRPr="00FA0D37">
        <w:rPr>
          <w:color w:val="993366"/>
        </w:rPr>
        <w:t xml:space="preserve"> OF</w:t>
      </w:r>
      <w:r w:rsidRPr="00FA0D37">
        <w:t xml:space="preserve"> VisitedCellInfo-r16</w:t>
      </w:r>
    </w:p>
    <w:p w14:paraId="013A7222" w14:textId="77777777" w:rsidR="00394471" w:rsidRPr="00FA0D37" w:rsidRDefault="00394471" w:rsidP="00FA0D37">
      <w:pPr>
        <w:pStyle w:val="PL"/>
      </w:pPr>
    </w:p>
    <w:p w14:paraId="3A39462A" w14:textId="77777777" w:rsidR="00394471" w:rsidRPr="00FA0D37" w:rsidRDefault="00394471" w:rsidP="00FA0D37">
      <w:pPr>
        <w:pStyle w:val="PL"/>
      </w:pPr>
      <w:r w:rsidRPr="00FA0D37">
        <w:t xml:space="preserve">VisitedCellInfo-r16 ::=  </w:t>
      </w:r>
      <w:r w:rsidRPr="00FA0D37">
        <w:rPr>
          <w:color w:val="993366"/>
        </w:rPr>
        <w:t>SEQUENCE</w:t>
      </w:r>
      <w:r w:rsidRPr="00FA0D37">
        <w:t xml:space="preserve"> {</w:t>
      </w:r>
    </w:p>
    <w:p w14:paraId="42457B7F" w14:textId="77777777" w:rsidR="00394471" w:rsidRPr="00FA0D37" w:rsidRDefault="00394471" w:rsidP="00FA0D37">
      <w:pPr>
        <w:pStyle w:val="PL"/>
      </w:pPr>
      <w:r w:rsidRPr="00FA0D37">
        <w:t xml:space="preserve">    visitedCellId-r16        </w:t>
      </w:r>
      <w:r w:rsidRPr="00FA0D37">
        <w:rPr>
          <w:color w:val="993366"/>
        </w:rPr>
        <w:t>CHOICE</w:t>
      </w:r>
      <w:r w:rsidRPr="00FA0D37">
        <w:t xml:space="preserve"> {</w:t>
      </w:r>
    </w:p>
    <w:p w14:paraId="7E9F8BF4" w14:textId="77777777" w:rsidR="00394471" w:rsidRPr="00FA0D37" w:rsidRDefault="00394471" w:rsidP="00FA0D37">
      <w:pPr>
        <w:pStyle w:val="PL"/>
      </w:pPr>
      <w:r w:rsidRPr="00FA0D37">
        <w:t xml:space="preserve">        nr-CellId-r16            </w:t>
      </w:r>
      <w:r w:rsidRPr="00FA0D37">
        <w:rPr>
          <w:color w:val="993366"/>
        </w:rPr>
        <w:t>CHOICE</w:t>
      </w:r>
      <w:r w:rsidRPr="00FA0D37">
        <w:t xml:space="preserve"> {</w:t>
      </w:r>
    </w:p>
    <w:p w14:paraId="49C90128" w14:textId="77777777" w:rsidR="00394471" w:rsidRPr="00FA0D37" w:rsidRDefault="00394471" w:rsidP="00FA0D37">
      <w:pPr>
        <w:pStyle w:val="PL"/>
      </w:pPr>
      <w:r w:rsidRPr="00FA0D37">
        <w:t xml:space="preserve">            cgi-Info                 CGI-Info-Logging-r16,</w:t>
      </w:r>
    </w:p>
    <w:p w14:paraId="3F3E3C90" w14:textId="28604266" w:rsidR="00394471" w:rsidRPr="00FA0D37" w:rsidRDefault="00394471" w:rsidP="00FA0D37">
      <w:pPr>
        <w:pStyle w:val="PL"/>
      </w:pPr>
      <w:r w:rsidRPr="00FA0D37">
        <w:t xml:space="preserve">            pci-arfcn-r16            </w:t>
      </w:r>
      <w:r w:rsidR="00262A29" w:rsidRPr="00FA0D37">
        <w:t>PCI-ARFCN-NR-r16</w:t>
      </w:r>
    </w:p>
    <w:p w14:paraId="0947DDAF" w14:textId="77777777" w:rsidR="00394471" w:rsidRPr="00FA0D37" w:rsidRDefault="00394471" w:rsidP="00FA0D37">
      <w:pPr>
        <w:pStyle w:val="PL"/>
      </w:pPr>
      <w:r w:rsidRPr="00FA0D37">
        <w:t xml:space="preserve">        },</w:t>
      </w:r>
    </w:p>
    <w:p w14:paraId="251038F9" w14:textId="77777777" w:rsidR="00394471" w:rsidRPr="00FA0D37" w:rsidRDefault="00394471" w:rsidP="00FA0D37">
      <w:pPr>
        <w:pStyle w:val="PL"/>
      </w:pPr>
      <w:r w:rsidRPr="00FA0D37">
        <w:lastRenderedPageBreak/>
        <w:t xml:space="preserve">        eutra-CellId-r16         </w:t>
      </w:r>
      <w:r w:rsidRPr="00FA0D37">
        <w:rPr>
          <w:color w:val="993366"/>
        </w:rPr>
        <w:t>CHOICE</w:t>
      </w:r>
      <w:r w:rsidRPr="00FA0D37">
        <w:t xml:space="preserve"> {</w:t>
      </w:r>
    </w:p>
    <w:p w14:paraId="7A667D59" w14:textId="77777777" w:rsidR="00394471" w:rsidRPr="00FA0D37" w:rsidRDefault="00394471" w:rsidP="00FA0D37">
      <w:pPr>
        <w:pStyle w:val="PL"/>
      </w:pPr>
      <w:r w:rsidRPr="00FA0D37">
        <w:t xml:space="preserve">            cellGlobalId-r16         CGI-InfoEUTRA,</w:t>
      </w:r>
    </w:p>
    <w:p w14:paraId="48E3B7D1" w14:textId="55B8F6F8" w:rsidR="00394471" w:rsidRPr="00FA0D37" w:rsidRDefault="00394471" w:rsidP="00FA0D37">
      <w:pPr>
        <w:pStyle w:val="PL"/>
      </w:pPr>
      <w:r w:rsidRPr="00FA0D37">
        <w:t xml:space="preserve">            pci-arfcn-r16                </w:t>
      </w:r>
      <w:r w:rsidR="00262A29" w:rsidRPr="00FA0D37">
        <w:t>PCI-ARFCN-EUTRA-r16</w:t>
      </w:r>
    </w:p>
    <w:p w14:paraId="273D259E" w14:textId="77777777" w:rsidR="00394471" w:rsidRPr="00FA0D37" w:rsidRDefault="00394471" w:rsidP="00FA0D37">
      <w:pPr>
        <w:pStyle w:val="PL"/>
      </w:pPr>
      <w:r w:rsidRPr="00FA0D37">
        <w:t xml:space="preserve">        }</w:t>
      </w:r>
    </w:p>
    <w:p w14:paraId="6FD8D757" w14:textId="77777777" w:rsidR="00394471" w:rsidRPr="00FA0D37" w:rsidRDefault="00394471" w:rsidP="00FA0D37">
      <w:pPr>
        <w:pStyle w:val="PL"/>
      </w:pPr>
      <w:r w:rsidRPr="00FA0D37">
        <w:t xml:space="preserve">    }                                        </w:t>
      </w:r>
      <w:r w:rsidRPr="00FA0D37">
        <w:rPr>
          <w:color w:val="993366"/>
        </w:rPr>
        <w:t>OPTIONAL</w:t>
      </w:r>
      <w:r w:rsidRPr="00FA0D37">
        <w:t>,</w:t>
      </w:r>
    </w:p>
    <w:p w14:paraId="6CCA269B" w14:textId="77777777" w:rsidR="00394471" w:rsidRPr="00FA0D37" w:rsidRDefault="00394471" w:rsidP="00FA0D37">
      <w:pPr>
        <w:pStyle w:val="PL"/>
      </w:pPr>
      <w:r w:rsidRPr="00FA0D37">
        <w:t xml:space="preserve">    timeSpent-r16            </w:t>
      </w:r>
      <w:r w:rsidRPr="00FA0D37">
        <w:rPr>
          <w:color w:val="993366"/>
        </w:rPr>
        <w:t>INTEGER</w:t>
      </w:r>
      <w:r w:rsidRPr="00FA0D37">
        <w:t xml:space="preserve"> (0..4095),</w:t>
      </w:r>
    </w:p>
    <w:p w14:paraId="214F5C66" w14:textId="090F82D5" w:rsidR="00E84B6D" w:rsidRPr="00FA0D37" w:rsidRDefault="00394471" w:rsidP="00FA0D37">
      <w:pPr>
        <w:pStyle w:val="PL"/>
      </w:pPr>
      <w:r w:rsidRPr="00FA0D37">
        <w:t xml:space="preserve">    ...</w:t>
      </w:r>
      <w:r w:rsidR="00E84B6D" w:rsidRPr="00FA0D37">
        <w:t>,</w:t>
      </w:r>
    </w:p>
    <w:p w14:paraId="7C9883CD" w14:textId="77777777" w:rsidR="00E84B6D" w:rsidRPr="00FA0D37" w:rsidRDefault="00E84B6D" w:rsidP="00FA0D37">
      <w:pPr>
        <w:pStyle w:val="PL"/>
      </w:pPr>
      <w:r w:rsidRPr="00FA0D37">
        <w:t xml:space="preserve">    [[</w:t>
      </w:r>
    </w:p>
    <w:p w14:paraId="02054C02" w14:textId="7F4D5EC5" w:rsidR="00E84B6D" w:rsidRPr="00FA0D37" w:rsidRDefault="00E84B6D" w:rsidP="00FA0D37">
      <w:pPr>
        <w:pStyle w:val="PL"/>
      </w:pPr>
      <w:r w:rsidRPr="00FA0D37">
        <w:t xml:space="preserve">    visitedPSCellInfoList</w:t>
      </w:r>
      <w:r w:rsidR="003431E3" w:rsidRPr="00FA0D37">
        <w:t>Report</w:t>
      </w:r>
      <w:r w:rsidRPr="00FA0D37">
        <w:t xml:space="preserve">-r17    VisitedPSCellInfoList-r17                   </w:t>
      </w:r>
      <w:r w:rsidRPr="00FA0D37">
        <w:rPr>
          <w:color w:val="993366"/>
        </w:rPr>
        <w:t>OPTIONAL</w:t>
      </w:r>
    </w:p>
    <w:p w14:paraId="2237E7D8" w14:textId="20419802" w:rsidR="00394471" w:rsidRPr="00FA0D37" w:rsidRDefault="00E84B6D" w:rsidP="00FA0D37">
      <w:pPr>
        <w:pStyle w:val="PL"/>
      </w:pPr>
      <w:r w:rsidRPr="00FA0D37">
        <w:t xml:space="preserve">    ]]</w:t>
      </w:r>
    </w:p>
    <w:p w14:paraId="55C613B9" w14:textId="77777777" w:rsidR="00394471" w:rsidRPr="00FA0D37" w:rsidRDefault="00394471" w:rsidP="00FA0D37">
      <w:pPr>
        <w:pStyle w:val="PL"/>
      </w:pPr>
      <w:r w:rsidRPr="00FA0D37">
        <w:t>}</w:t>
      </w:r>
    </w:p>
    <w:p w14:paraId="2AEF7A46" w14:textId="15DB0451" w:rsidR="00394471" w:rsidRPr="00FA0D37" w:rsidRDefault="00394471" w:rsidP="00FA0D37">
      <w:pPr>
        <w:pStyle w:val="PL"/>
      </w:pPr>
    </w:p>
    <w:p w14:paraId="7B47C18D" w14:textId="173B8593" w:rsidR="00E84B6D" w:rsidRPr="00FA0D37" w:rsidRDefault="001C77B5" w:rsidP="00FA0D37">
      <w:pPr>
        <w:pStyle w:val="PL"/>
      </w:pPr>
      <w:r w:rsidRPr="00FA0D37">
        <w:t>V</w:t>
      </w:r>
      <w:r w:rsidR="00E84B6D" w:rsidRPr="00FA0D37">
        <w:t xml:space="preserve">isitedPSCellInfoList-r17 ::= </w:t>
      </w:r>
      <w:r w:rsidR="00E84B6D" w:rsidRPr="00FA0D37">
        <w:rPr>
          <w:color w:val="993366"/>
        </w:rPr>
        <w:t>SEQUENCE</w:t>
      </w:r>
      <w:r w:rsidR="00E84B6D" w:rsidRPr="00FA0D37">
        <w:t xml:space="preserve"> (</w:t>
      </w:r>
      <w:r w:rsidR="00E84B6D" w:rsidRPr="00FA0D37">
        <w:rPr>
          <w:color w:val="993366"/>
        </w:rPr>
        <w:t>SIZE</w:t>
      </w:r>
      <w:r w:rsidR="00E84B6D" w:rsidRPr="00FA0D37">
        <w:t xml:space="preserve"> (1..maxPSCellHistory-r17))</w:t>
      </w:r>
      <w:r w:rsidR="00E84B6D" w:rsidRPr="00FA0D37">
        <w:rPr>
          <w:color w:val="993366"/>
        </w:rPr>
        <w:t xml:space="preserve"> OF</w:t>
      </w:r>
      <w:r w:rsidR="00E84B6D" w:rsidRPr="00FA0D37">
        <w:t xml:space="preserve"> VisitedPSCellInfo-r17</w:t>
      </w:r>
    </w:p>
    <w:p w14:paraId="0AD931B1" w14:textId="77777777" w:rsidR="00E84B6D" w:rsidRPr="00FA0D37" w:rsidRDefault="00E84B6D" w:rsidP="00FA0D37">
      <w:pPr>
        <w:pStyle w:val="PL"/>
      </w:pPr>
    </w:p>
    <w:p w14:paraId="49540354" w14:textId="25897985" w:rsidR="00E84B6D" w:rsidRPr="00FA0D37" w:rsidRDefault="00E84B6D" w:rsidP="00FA0D37">
      <w:pPr>
        <w:pStyle w:val="PL"/>
      </w:pPr>
      <w:r w:rsidRPr="00FA0D37">
        <w:t xml:space="preserve">VisitedPSCellInfo-r17 ::=    </w:t>
      </w:r>
      <w:r w:rsidRPr="00FA0D37">
        <w:rPr>
          <w:color w:val="993366"/>
        </w:rPr>
        <w:t>SEQUENCE</w:t>
      </w:r>
      <w:r w:rsidRPr="00FA0D37">
        <w:t xml:space="preserve"> {</w:t>
      </w:r>
    </w:p>
    <w:p w14:paraId="371097EA" w14:textId="2B7519EB" w:rsidR="00E84B6D" w:rsidRPr="00FA0D37" w:rsidRDefault="00E84B6D" w:rsidP="00FA0D37">
      <w:pPr>
        <w:pStyle w:val="PL"/>
      </w:pPr>
      <w:r w:rsidRPr="00FA0D37">
        <w:t xml:space="preserve">    visitedCellId-r17            </w:t>
      </w:r>
      <w:r w:rsidRPr="00FA0D37">
        <w:rPr>
          <w:color w:val="993366"/>
        </w:rPr>
        <w:t>CHOICE</w:t>
      </w:r>
      <w:r w:rsidRPr="00FA0D37">
        <w:t xml:space="preserve"> {</w:t>
      </w:r>
    </w:p>
    <w:p w14:paraId="12A0C327" w14:textId="3FAF8116" w:rsidR="00E84B6D" w:rsidRPr="00FA0D37" w:rsidRDefault="00E84B6D" w:rsidP="00FA0D37">
      <w:pPr>
        <w:pStyle w:val="PL"/>
      </w:pPr>
      <w:r w:rsidRPr="00FA0D37">
        <w:t xml:space="preserve">        nr-CellId-r17                </w:t>
      </w:r>
      <w:r w:rsidRPr="00FA0D37">
        <w:rPr>
          <w:color w:val="993366"/>
        </w:rPr>
        <w:t>CHOICE</w:t>
      </w:r>
      <w:r w:rsidRPr="00FA0D37">
        <w:t xml:space="preserve"> {</w:t>
      </w:r>
    </w:p>
    <w:p w14:paraId="3C6B6C29" w14:textId="05DD9491" w:rsidR="00E84B6D" w:rsidRPr="00FA0D37" w:rsidRDefault="00E84B6D" w:rsidP="00FA0D37">
      <w:pPr>
        <w:pStyle w:val="PL"/>
      </w:pPr>
      <w:r w:rsidRPr="00FA0D37">
        <w:t xml:space="preserve">            cgi-Info-r17                 CGI-Info-Logging-r16,</w:t>
      </w:r>
    </w:p>
    <w:p w14:paraId="00213531" w14:textId="45E8DEF8" w:rsidR="00E84B6D" w:rsidRPr="00FA0D37" w:rsidRDefault="00E84B6D" w:rsidP="00FA0D37">
      <w:pPr>
        <w:pStyle w:val="PL"/>
      </w:pPr>
      <w:r w:rsidRPr="00FA0D37">
        <w:t xml:space="preserve">            pci-arfcn-r17                </w:t>
      </w:r>
      <w:r w:rsidR="003A5AEE" w:rsidRPr="00FA0D37">
        <w:t>PCI-ARFCN-NR-r16</w:t>
      </w:r>
    </w:p>
    <w:p w14:paraId="073FD415" w14:textId="77777777" w:rsidR="00E84B6D" w:rsidRPr="00FA0D37" w:rsidRDefault="00E84B6D" w:rsidP="00FA0D37">
      <w:pPr>
        <w:pStyle w:val="PL"/>
      </w:pPr>
      <w:r w:rsidRPr="00FA0D37">
        <w:t xml:space="preserve">        },</w:t>
      </w:r>
    </w:p>
    <w:p w14:paraId="36B7DE83" w14:textId="77777777" w:rsidR="00E84B6D" w:rsidRPr="00FA0D37" w:rsidRDefault="00E84B6D" w:rsidP="00FA0D37">
      <w:pPr>
        <w:pStyle w:val="PL"/>
      </w:pPr>
      <w:r w:rsidRPr="00FA0D37">
        <w:t xml:space="preserve">        eutra-CellId-r17         </w:t>
      </w:r>
      <w:r w:rsidRPr="00FA0D37">
        <w:rPr>
          <w:color w:val="993366"/>
        </w:rPr>
        <w:t>CHOICE</w:t>
      </w:r>
      <w:r w:rsidRPr="00FA0D37">
        <w:t xml:space="preserve"> {</w:t>
      </w:r>
    </w:p>
    <w:p w14:paraId="46E00C0E" w14:textId="77777777" w:rsidR="00E84B6D" w:rsidRPr="00FA0D37" w:rsidRDefault="00E84B6D" w:rsidP="00FA0D37">
      <w:pPr>
        <w:pStyle w:val="PL"/>
      </w:pPr>
      <w:r w:rsidRPr="00FA0D37">
        <w:t xml:space="preserve">            cellGlobalId-r17         CGI-InfoEUTRALogging,</w:t>
      </w:r>
    </w:p>
    <w:p w14:paraId="1C3B578B" w14:textId="5F9C0303" w:rsidR="00E84B6D" w:rsidRPr="00FA0D37" w:rsidRDefault="00E84B6D" w:rsidP="00FA0D37">
      <w:pPr>
        <w:pStyle w:val="PL"/>
      </w:pPr>
      <w:r w:rsidRPr="00FA0D37">
        <w:t xml:space="preserve">            pci-arfcn-r17            </w:t>
      </w:r>
      <w:r w:rsidR="003A5AEE" w:rsidRPr="00FA0D37">
        <w:t>PCI-ARFCN-EUTRA-r16</w:t>
      </w:r>
    </w:p>
    <w:p w14:paraId="0FE1D8A0" w14:textId="77777777" w:rsidR="00E84B6D" w:rsidRPr="00FA0D37" w:rsidRDefault="00E84B6D" w:rsidP="00FA0D37">
      <w:pPr>
        <w:pStyle w:val="PL"/>
      </w:pPr>
      <w:r w:rsidRPr="00FA0D37">
        <w:t xml:space="preserve">        }</w:t>
      </w:r>
    </w:p>
    <w:p w14:paraId="664020A7" w14:textId="77777777" w:rsidR="00E84B6D" w:rsidRPr="00FA0D37" w:rsidRDefault="00E84B6D" w:rsidP="00FA0D37">
      <w:pPr>
        <w:pStyle w:val="PL"/>
      </w:pPr>
      <w:r w:rsidRPr="00FA0D37">
        <w:t xml:space="preserve">    }                                                 </w:t>
      </w:r>
      <w:r w:rsidRPr="00FA0D37">
        <w:rPr>
          <w:color w:val="993366"/>
        </w:rPr>
        <w:t>OPTIONAL</w:t>
      </w:r>
      <w:r w:rsidRPr="00FA0D37">
        <w:t>,</w:t>
      </w:r>
    </w:p>
    <w:p w14:paraId="45319F27" w14:textId="77777777" w:rsidR="00E84B6D" w:rsidRPr="00FA0D37" w:rsidRDefault="00E84B6D" w:rsidP="00FA0D37">
      <w:pPr>
        <w:pStyle w:val="PL"/>
      </w:pPr>
      <w:r w:rsidRPr="00FA0D37">
        <w:t xml:space="preserve">    timeSpent-r17            </w:t>
      </w:r>
      <w:r w:rsidRPr="00FA0D37">
        <w:rPr>
          <w:color w:val="993366"/>
        </w:rPr>
        <w:t>INTEGER</w:t>
      </w:r>
      <w:r w:rsidRPr="00FA0D37">
        <w:t xml:space="preserve"> (0..4095),</w:t>
      </w:r>
    </w:p>
    <w:p w14:paraId="1BB37802" w14:textId="77777777" w:rsidR="00E84B6D" w:rsidRPr="00FA0D37" w:rsidRDefault="00E84B6D" w:rsidP="00FA0D37">
      <w:pPr>
        <w:pStyle w:val="PL"/>
      </w:pPr>
      <w:r w:rsidRPr="00FA0D37">
        <w:t xml:space="preserve">    ...</w:t>
      </w:r>
    </w:p>
    <w:p w14:paraId="4F0F9A3A" w14:textId="77777777" w:rsidR="00E84B6D" w:rsidRPr="00FA0D37" w:rsidRDefault="00E84B6D" w:rsidP="00FA0D37">
      <w:pPr>
        <w:pStyle w:val="PL"/>
      </w:pPr>
      <w:r w:rsidRPr="00FA0D37">
        <w:t>}</w:t>
      </w:r>
    </w:p>
    <w:p w14:paraId="0E415432" w14:textId="77777777" w:rsidR="00E84B6D" w:rsidRPr="00FA0D37" w:rsidRDefault="00E84B6D" w:rsidP="00FA0D37">
      <w:pPr>
        <w:pStyle w:val="PL"/>
      </w:pPr>
    </w:p>
    <w:p w14:paraId="40328FA5" w14:textId="77777777" w:rsidR="00394471" w:rsidRPr="00FA0D37" w:rsidRDefault="00394471" w:rsidP="00FA0D37">
      <w:pPr>
        <w:pStyle w:val="PL"/>
        <w:rPr>
          <w:color w:val="808080"/>
        </w:rPr>
      </w:pPr>
      <w:r w:rsidRPr="00FA0D37">
        <w:rPr>
          <w:color w:val="808080"/>
        </w:rPr>
        <w:t>-- TAG-VISITEDCELLINFOLIST-STOP</w:t>
      </w:r>
    </w:p>
    <w:p w14:paraId="6EBD79F7" w14:textId="77777777" w:rsidR="00394471" w:rsidRPr="00FA0D37" w:rsidRDefault="00394471" w:rsidP="00FA0D37">
      <w:pPr>
        <w:pStyle w:val="PL"/>
        <w:rPr>
          <w:color w:val="808080"/>
        </w:rPr>
      </w:pPr>
      <w:r w:rsidRPr="00FA0D37">
        <w:rPr>
          <w:color w:val="808080"/>
        </w:rPr>
        <w:t>-- ASN1STOP</w:t>
      </w:r>
    </w:p>
    <w:p w14:paraId="75FCEE71" w14:textId="77777777" w:rsidR="00394471" w:rsidRPr="00FA0D3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540E6AC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544CAE" w14:textId="77777777" w:rsidR="00394471" w:rsidRPr="00FA0D37" w:rsidRDefault="00394471" w:rsidP="00964CC4">
            <w:pPr>
              <w:pStyle w:val="TAH"/>
              <w:rPr>
                <w:lang w:eastAsia="en-GB"/>
              </w:rPr>
            </w:pPr>
            <w:r w:rsidRPr="00FA0D37">
              <w:rPr>
                <w:i/>
                <w:lang w:eastAsia="en-GB"/>
              </w:rPr>
              <w:t>VisitedCellInfoList</w:t>
            </w:r>
            <w:r w:rsidRPr="00FA0D37">
              <w:rPr>
                <w:i/>
                <w:iCs/>
                <w:lang w:eastAsia="ko-KR"/>
              </w:rPr>
              <w:t xml:space="preserve"> </w:t>
            </w:r>
            <w:r w:rsidRPr="00FA0D37">
              <w:rPr>
                <w:iCs/>
                <w:lang w:eastAsia="en-GB"/>
              </w:rPr>
              <w:t>field descriptions</w:t>
            </w:r>
          </w:p>
        </w:tc>
      </w:tr>
      <w:tr w:rsidR="005C7FF4" w:rsidRPr="00FA0D37" w14:paraId="3642F7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33DA5" w14:textId="77777777" w:rsidR="00394471" w:rsidRPr="00FA0D37" w:rsidRDefault="00394471" w:rsidP="00964CC4">
            <w:pPr>
              <w:pStyle w:val="TAL"/>
              <w:rPr>
                <w:b/>
                <w:i/>
                <w:lang w:eastAsia="en-GB"/>
              </w:rPr>
            </w:pPr>
            <w:r w:rsidRPr="00FA0D37">
              <w:rPr>
                <w:b/>
                <w:i/>
                <w:lang w:eastAsia="en-GB"/>
              </w:rPr>
              <w:t>timeSpent</w:t>
            </w:r>
          </w:p>
          <w:p w14:paraId="0B00BC42" w14:textId="2D1BC15C" w:rsidR="00394471" w:rsidRPr="00FA0D37" w:rsidRDefault="00394471" w:rsidP="00964CC4">
            <w:pPr>
              <w:pStyle w:val="TAL"/>
              <w:rPr>
                <w:lang w:eastAsia="sv-SE"/>
              </w:rPr>
            </w:pPr>
            <w:r w:rsidRPr="00FA0D37">
              <w:rPr>
                <w:lang w:eastAsia="en-GB"/>
              </w:rPr>
              <w:t xml:space="preserve">This field indicates the duration of stay in the cell or in any cell selection state and/or camped on any cell state in NR or E-UTRA approximated to the closest second. </w:t>
            </w:r>
            <w:r w:rsidR="00946331" w:rsidRPr="00FA0D37">
              <w:rPr>
                <w:lang w:eastAsia="en-GB"/>
              </w:rPr>
              <w:t xml:space="preserve">If included in </w:t>
            </w:r>
            <w:r w:rsidR="00946331" w:rsidRPr="00FA0D37">
              <w:rPr>
                <w:i/>
                <w:iCs/>
              </w:rPr>
              <w:t>VisitedPSCellInfo</w:t>
            </w:r>
            <w:r w:rsidR="00946331" w:rsidRPr="00FA0D37">
              <w:rPr>
                <w:lang w:eastAsia="en-GB"/>
              </w:rPr>
              <w:t xml:space="preserve">, it indicates the duration of stay in the PSCell or without any PSCell. </w:t>
            </w:r>
            <w:r w:rsidRPr="00FA0D37">
              <w:rPr>
                <w:lang w:eastAsia="en-GB"/>
              </w:rPr>
              <w:t>If the duration of stay exceeds 4095s, the UE shall set it to 4095s.</w:t>
            </w:r>
          </w:p>
        </w:tc>
      </w:tr>
      <w:tr w:rsidR="00394471" w:rsidRPr="00FA0D37" w14:paraId="767D026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1388AC" w14:textId="77777777" w:rsidR="00394471" w:rsidRPr="00FA0D37" w:rsidRDefault="00394471" w:rsidP="00964CC4">
            <w:pPr>
              <w:pStyle w:val="TAL"/>
              <w:rPr>
                <w:b/>
                <w:i/>
                <w:lang w:eastAsia="en-GB"/>
              </w:rPr>
            </w:pPr>
            <w:r w:rsidRPr="00FA0D37">
              <w:rPr>
                <w:rFonts w:eastAsia="等线"/>
                <w:b/>
                <w:i/>
                <w:lang w:eastAsia="sv-SE"/>
              </w:rPr>
              <w:t>visitedCellId</w:t>
            </w:r>
          </w:p>
          <w:p w14:paraId="026EFA17" w14:textId="77777777" w:rsidR="00394471" w:rsidRPr="00FA0D37" w:rsidRDefault="00394471" w:rsidP="00964CC4">
            <w:pPr>
              <w:pStyle w:val="TAL"/>
              <w:rPr>
                <w:b/>
                <w:i/>
                <w:lang w:eastAsia="en-GB"/>
              </w:rPr>
            </w:pPr>
            <w:r w:rsidRPr="00FA0D37">
              <w:rPr>
                <w:lang w:eastAsia="en-GB"/>
              </w:rPr>
              <w:t>This field indicates the visited cell id including NR and E-UTRA cells.</w:t>
            </w:r>
          </w:p>
        </w:tc>
      </w:tr>
    </w:tbl>
    <w:p w14:paraId="34D1C5D2" w14:textId="77777777" w:rsidR="00394471" w:rsidRPr="00FA0D37" w:rsidRDefault="00394471" w:rsidP="00394471">
      <w:pPr>
        <w:rPr>
          <w:lang w:eastAsia="zh-CN"/>
        </w:rPr>
      </w:pPr>
    </w:p>
    <w:p w14:paraId="6E9ECDB2" w14:textId="0DD0D0FA" w:rsidR="00394471" w:rsidRPr="00FA0D37" w:rsidRDefault="00394471" w:rsidP="00394471">
      <w:pPr>
        <w:pStyle w:val="4"/>
      </w:pPr>
      <w:bookmarkStart w:id="1710" w:name="_Toc60777520"/>
      <w:bookmarkStart w:id="1711" w:name="_Toc146781632"/>
      <w:r w:rsidRPr="00FA0D37">
        <w:t>–</w:t>
      </w:r>
      <w:r w:rsidRPr="00FA0D37">
        <w:tab/>
      </w:r>
      <w:r w:rsidRPr="00FA0D37">
        <w:rPr>
          <w:bCs/>
          <w:i/>
        </w:rPr>
        <w:t>WLAN-NameList</w:t>
      </w:r>
      <w:bookmarkEnd w:id="1710"/>
      <w:bookmarkEnd w:id="1711"/>
    </w:p>
    <w:p w14:paraId="5D461FA5" w14:textId="77777777" w:rsidR="00394471" w:rsidRPr="00FA0D37" w:rsidRDefault="00394471" w:rsidP="00394471">
      <w:r w:rsidRPr="00FA0D37">
        <w:t xml:space="preserve">The IE </w:t>
      </w:r>
      <w:r w:rsidRPr="00FA0D37">
        <w:rPr>
          <w:bCs/>
          <w:i/>
        </w:rPr>
        <w:t>WLAN-NameList</w:t>
      </w:r>
      <w:r w:rsidRPr="00FA0D37">
        <w:rPr>
          <w:iCs/>
        </w:rPr>
        <w:t xml:space="preserve"> </w:t>
      </w:r>
      <w:r w:rsidRPr="00FA0D37">
        <w:rPr>
          <w:iCs/>
          <w:lang w:eastAsia="zh-CN"/>
        </w:rPr>
        <w:t>is used to indicate the names of the WLAN AP for which the UE is configured to measure</w:t>
      </w:r>
      <w:r w:rsidRPr="00FA0D37">
        <w:t>.</w:t>
      </w:r>
    </w:p>
    <w:p w14:paraId="6638F20D" w14:textId="77777777" w:rsidR="00394471" w:rsidRPr="00FA0D37" w:rsidRDefault="00394471" w:rsidP="00394471">
      <w:pPr>
        <w:pStyle w:val="TH"/>
      </w:pPr>
      <w:r w:rsidRPr="00FA0D37">
        <w:rPr>
          <w:bCs/>
          <w:i/>
        </w:rPr>
        <w:t>WLAN-NameList</w:t>
      </w:r>
      <w:r w:rsidRPr="00FA0D37">
        <w:rPr>
          <w:bCs/>
          <w:i/>
          <w:iCs/>
        </w:rPr>
        <w:t xml:space="preserve"> </w:t>
      </w:r>
      <w:r w:rsidRPr="00FA0D37">
        <w:t>information element</w:t>
      </w:r>
    </w:p>
    <w:p w14:paraId="31AAD941" w14:textId="77777777" w:rsidR="00394471" w:rsidRPr="00FA0D37" w:rsidRDefault="00394471" w:rsidP="00FA0D37">
      <w:pPr>
        <w:pStyle w:val="PL"/>
        <w:rPr>
          <w:color w:val="808080"/>
        </w:rPr>
      </w:pPr>
      <w:r w:rsidRPr="00FA0D37">
        <w:rPr>
          <w:color w:val="808080"/>
        </w:rPr>
        <w:t>-- ASN1START</w:t>
      </w:r>
    </w:p>
    <w:p w14:paraId="025D681C" w14:textId="77777777" w:rsidR="00394471" w:rsidRPr="00FA0D37" w:rsidRDefault="00394471" w:rsidP="00FA0D37">
      <w:pPr>
        <w:pStyle w:val="PL"/>
        <w:rPr>
          <w:color w:val="808080"/>
        </w:rPr>
      </w:pPr>
      <w:r w:rsidRPr="00FA0D37">
        <w:rPr>
          <w:color w:val="808080"/>
        </w:rPr>
        <w:lastRenderedPageBreak/>
        <w:t>-- TAG-WLANNAMELIST-START</w:t>
      </w:r>
    </w:p>
    <w:p w14:paraId="546FB750" w14:textId="77777777" w:rsidR="00394471" w:rsidRPr="00FA0D37" w:rsidRDefault="00394471" w:rsidP="00FA0D37">
      <w:pPr>
        <w:pStyle w:val="PL"/>
      </w:pPr>
    </w:p>
    <w:p w14:paraId="5CD85A4B" w14:textId="77777777" w:rsidR="00394471" w:rsidRPr="00FA0D37" w:rsidRDefault="00394471" w:rsidP="00FA0D37">
      <w:pPr>
        <w:pStyle w:val="PL"/>
      </w:pPr>
      <w:r w:rsidRPr="00FA0D37">
        <w:t xml:space="preserve">WLAN-NameList-r16 ::= </w:t>
      </w:r>
      <w:r w:rsidRPr="00FA0D37">
        <w:rPr>
          <w:color w:val="993366"/>
        </w:rPr>
        <w:t>SEQUENCE</w:t>
      </w:r>
      <w:r w:rsidRPr="00FA0D37">
        <w:t xml:space="preserve"> (</w:t>
      </w:r>
      <w:r w:rsidRPr="00FA0D37">
        <w:rPr>
          <w:color w:val="993366"/>
        </w:rPr>
        <w:t>SIZE</w:t>
      </w:r>
      <w:r w:rsidRPr="00FA0D37">
        <w:t xml:space="preserve"> (1..maxWLAN-Name-r16))</w:t>
      </w:r>
      <w:r w:rsidRPr="00FA0D37">
        <w:rPr>
          <w:color w:val="993366"/>
        </w:rPr>
        <w:t xml:space="preserve"> OF</w:t>
      </w:r>
      <w:r w:rsidRPr="00FA0D37">
        <w:t xml:space="preserve"> WLAN-Name-r16</w:t>
      </w:r>
    </w:p>
    <w:p w14:paraId="730CE51B" w14:textId="77777777" w:rsidR="00394471" w:rsidRPr="00FA0D37" w:rsidRDefault="00394471" w:rsidP="00FA0D37">
      <w:pPr>
        <w:pStyle w:val="PL"/>
      </w:pPr>
    </w:p>
    <w:p w14:paraId="50BE324C" w14:textId="77777777" w:rsidR="00394471" w:rsidRPr="00FA0D37" w:rsidRDefault="00394471" w:rsidP="00FA0D37">
      <w:pPr>
        <w:pStyle w:val="PL"/>
      </w:pPr>
      <w:r w:rsidRPr="00FA0D37">
        <w:t xml:space="preserve">WLAN-Name-r16 ::=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(1..32))</w:t>
      </w:r>
    </w:p>
    <w:p w14:paraId="2B9C6042" w14:textId="77777777" w:rsidR="00394471" w:rsidRPr="00FA0D37" w:rsidRDefault="00394471" w:rsidP="00FA0D37">
      <w:pPr>
        <w:pStyle w:val="PL"/>
      </w:pPr>
    </w:p>
    <w:p w14:paraId="292584DE" w14:textId="77777777" w:rsidR="00394471" w:rsidRPr="00FA0D37" w:rsidRDefault="00394471" w:rsidP="00FA0D37">
      <w:pPr>
        <w:pStyle w:val="PL"/>
        <w:rPr>
          <w:color w:val="808080"/>
        </w:rPr>
      </w:pPr>
      <w:r w:rsidRPr="00FA0D37">
        <w:rPr>
          <w:color w:val="808080"/>
        </w:rPr>
        <w:t>-- ASN1STOP</w:t>
      </w:r>
    </w:p>
    <w:p w14:paraId="1F66F7AA" w14:textId="77777777" w:rsidR="00394471" w:rsidRPr="00FA0D37" w:rsidRDefault="00394471" w:rsidP="00394471">
      <w:pPr>
        <w:pStyle w:val="PL"/>
        <w:rPr>
          <w:color w:val="808080"/>
        </w:rPr>
      </w:pPr>
      <w:r w:rsidRPr="00FA0D37">
        <w:rPr>
          <w:color w:val="808080"/>
        </w:rPr>
        <w:t>-- TAG-WLANNAMELIST-STOP</w:t>
      </w:r>
    </w:p>
    <w:p w14:paraId="4C380561" w14:textId="77777777" w:rsidR="00394471" w:rsidRPr="00FA0D3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5C7FF4" w:rsidRPr="00FA0D37" w14:paraId="75F1177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33452A" w14:textId="77777777" w:rsidR="00394471" w:rsidRPr="00FA0D37" w:rsidRDefault="00394471" w:rsidP="00964CC4">
            <w:pPr>
              <w:pStyle w:val="TAH"/>
              <w:rPr>
                <w:lang w:eastAsia="en-GB"/>
              </w:rPr>
            </w:pPr>
            <w:r w:rsidRPr="00FA0D37">
              <w:rPr>
                <w:bCs/>
                <w:i/>
                <w:lang w:eastAsia="sv-SE"/>
              </w:rPr>
              <w:t>WLAN-NameList</w:t>
            </w:r>
            <w:r w:rsidRPr="00FA0D37">
              <w:rPr>
                <w:bCs/>
                <w:i/>
                <w:iCs/>
                <w:lang w:eastAsia="sv-SE"/>
              </w:rPr>
              <w:t xml:space="preserve"> </w:t>
            </w:r>
            <w:r w:rsidRPr="00FA0D37">
              <w:rPr>
                <w:iCs/>
                <w:lang w:eastAsia="en-GB"/>
              </w:rPr>
              <w:t>field descriptions</w:t>
            </w:r>
          </w:p>
        </w:tc>
      </w:tr>
      <w:tr w:rsidR="00394471" w:rsidRPr="00FA0D37" w14:paraId="13D88F0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D1D83A6" w14:textId="77777777" w:rsidR="00394471" w:rsidRPr="00FA0D37" w:rsidRDefault="00394471" w:rsidP="00964CC4">
            <w:pPr>
              <w:pStyle w:val="TAL"/>
              <w:rPr>
                <w:b/>
                <w:i/>
                <w:lang w:eastAsia="en-GB"/>
              </w:rPr>
            </w:pPr>
            <w:r w:rsidRPr="00FA0D37">
              <w:rPr>
                <w:b/>
                <w:i/>
                <w:lang w:eastAsia="en-GB"/>
              </w:rPr>
              <w:t>WLAN-</w:t>
            </w:r>
            <w:r w:rsidRPr="00FA0D37">
              <w:rPr>
                <w:b/>
                <w:i/>
                <w:lang w:eastAsia="sv-SE"/>
              </w:rPr>
              <w:t>N</w:t>
            </w:r>
            <w:r w:rsidRPr="00FA0D37">
              <w:rPr>
                <w:b/>
                <w:i/>
                <w:lang w:eastAsia="en-GB"/>
              </w:rPr>
              <w:t>ame</w:t>
            </w:r>
          </w:p>
          <w:p w14:paraId="30504E4C" w14:textId="77777777" w:rsidR="00394471" w:rsidRPr="00FA0D37" w:rsidRDefault="00394471" w:rsidP="00964CC4">
            <w:pPr>
              <w:pStyle w:val="TAL"/>
              <w:rPr>
                <w:lang w:eastAsia="en-GB"/>
              </w:rPr>
            </w:pPr>
            <w:r w:rsidRPr="00FA0D37">
              <w:rPr>
                <w:bCs/>
                <w:kern w:val="2"/>
                <w:lang w:eastAsia="en-GB"/>
              </w:rPr>
              <w:t>If configured, the UE only performs WLAN measurements according to the names identified. For each name, it refers to Service Set Identifier (SSID) defined in IEEE 802.11-2012 [50].</w:t>
            </w:r>
          </w:p>
        </w:tc>
      </w:tr>
    </w:tbl>
    <w:p w14:paraId="75F3DC14" w14:textId="77777777" w:rsidR="00394471" w:rsidRPr="00FA0D37" w:rsidRDefault="00394471" w:rsidP="00394471"/>
    <w:p w14:paraId="274ED19F" w14:textId="21CD4748" w:rsidR="00394471" w:rsidRPr="00FA0D37" w:rsidRDefault="00394471" w:rsidP="00394471">
      <w:pPr>
        <w:pStyle w:val="3"/>
      </w:pPr>
      <w:bookmarkStart w:id="1712" w:name="_Toc60777521"/>
      <w:bookmarkStart w:id="1713" w:name="_Toc146781633"/>
      <w:r w:rsidRPr="00FA0D37">
        <w:t>6.3.</w:t>
      </w:r>
      <w:r w:rsidRPr="00FA0D37">
        <w:rPr>
          <w:lang w:eastAsia="zh-CN"/>
        </w:rPr>
        <w:t>5</w:t>
      </w:r>
      <w:r w:rsidRPr="00FA0D37">
        <w:tab/>
        <w:t>Sidelink information elements</w:t>
      </w:r>
      <w:bookmarkEnd w:id="1712"/>
      <w:bookmarkEnd w:id="1713"/>
    </w:p>
    <w:p w14:paraId="15CC7909" w14:textId="7D660A03" w:rsidR="00394471" w:rsidRPr="00FA0D37" w:rsidRDefault="00394471" w:rsidP="00394471">
      <w:pPr>
        <w:pStyle w:val="4"/>
        <w:rPr>
          <w:i/>
          <w:iCs/>
        </w:rPr>
      </w:pPr>
      <w:bookmarkStart w:id="1714" w:name="_Toc60777522"/>
      <w:bookmarkStart w:id="1715" w:name="_Toc146781634"/>
      <w:r w:rsidRPr="00FA0D37">
        <w:t>–</w:t>
      </w:r>
      <w:r w:rsidRPr="00FA0D37">
        <w:tab/>
      </w:r>
      <w:r w:rsidRPr="00FA0D37">
        <w:rPr>
          <w:i/>
          <w:iCs/>
        </w:rPr>
        <w:t>SL-BWP-Config</w:t>
      </w:r>
      <w:bookmarkEnd w:id="1714"/>
      <w:bookmarkEnd w:id="1715"/>
    </w:p>
    <w:p w14:paraId="604C118E" w14:textId="540A1A65" w:rsidR="00394471" w:rsidRPr="00FA0D37" w:rsidRDefault="00394471" w:rsidP="00394471">
      <w:r w:rsidRPr="00FA0D37">
        <w:t xml:space="preserve">The IE </w:t>
      </w:r>
      <w:r w:rsidRPr="00FA0D37">
        <w:rPr>
          <w:i/>
        </w:rPr>
        <w:t xml:space="preserve">SL-BWP-Config </w:t>
      </w:r>
      <w:r w:rsidRPr="00FA0D37">
        <w:t xml:space="preserve">is used to configure the UE specific </w:t>
      </w:r>
      <w:r w:rsidRPr="00FA0D37">
        <w:rPr>
          <w:iCs/>
        </w:rPr>
        <w:t>NR sidelink communication</w:t>
      </w:r>
      <w:r w:rsidR="00B7096F" w:rsidRPr="00FA0D37">
        <w:rPr>
          <w:iCs/>
        </w:rPr>
        <w:t>/discovery</w:t>
      </w:r>
      <w:r w:rsidRPr="00FA0D37">
        <w:rPr>
          <w:iCs/>
        </w:rPr>
        <w:t xml:space="preserve"> on one particular </w:t>
      </w:r>
      <w:r w:rsidRPr="00FA0D37">
        <w:t>sidelink bandwidth part.</w:t>
      </w:r>
    </w:p>
    <w:p w14:paraId="614A52C5" w14:textId="77777777" w:rsidR="00394471" w:rsidRPr="00FA0D37" w:rsidRDefault="00394471" w:rsidP="00394471">
      <w:pPr>
        <w:pStyle w:val="TH"/>
      </w:pPr>
      <w:r w:rsidRPr="00FA0D37">
        <w:rPr>
          <w:i/>
        </w:rPr>
        <w:t xml:space="preserve">SL-BWP-Config </w:t>
      </w:r>
      <w:r w:rsidRPr="00FA0D37">
        <w:t>information element</w:t>
      </w:r>
    </w:p>
    <w:p w14:paraId="7B5635C4" w14:textId="77777777" w:rsidR="00394471" w:rsidRPr="00FA0D37" w:rsidRDefault="00394471" w:rsidP="00FA0D37">
      <w:pPr>
        <w:pStyle w:val="PL"/>
        <w:rPr>
          <w:color w:val="808080"/>
        </w:rPr>
      </w:pPr>
      <w:r w:rsidRPr="00FA0D37">
        <w:rPr>
          <w:color w:val="808080"/>
        </w:rPr>
        <w:t>-- ASN1START</w:t>
      </w:r>
    </w:p>
    <w:p w14:paraId="3559971E" w14:textId="77777777" w:rsidR="00394471" w:rsidRPr="00FA0D37" w:rsidRDefault="00394471" w:rsidP="00FA0D37">
      <w:pPr>
        <w:pStyle w:val="PL"/>
        <w:rPr>
          <w:color w:val="808080"/>
        </w:rPr>
      </w:pPr>
      <w:r w:rsidRPr="00FA0D37">
        <w:rPr>
          <w:color w:val="808080"/>
        </w:rPr>
        <w:t>-- TAG-SL-BWP-CONFIG-START</w:t>
      </w:r>
    </w:p>
    <w:p w14:paraId="49071790" w14:textId="77777777" w:rsidR="00394471" w:rsidRPr="00FA0D37" w:rsidRDefault="00394471" w:rsidP="00FA0D37">
      <w:pPr>
        <w:pStyle w:val="PL"/>
      </w:pPr>
    </w:p>
    <w:p w14:paraId="301FDBF6" w14:textId="77777777" w:rsidR="00394471" w:rsidRPr="00FA0D37" w:rsidRDefault="00394471" w:rsidP="00FA0D37">
      <w:pPr>
        <w:pStyle w:val="PL"/>
      </w:pPr>
      <w:r w:rsidRPr="00FA0D37">
        <w:t xml:space="preserve">SL-BWP-Config-r16 ::=                    </w:t>
      </w:r>
      <w:r w:rsidRPr="00FA0D37">
        <w:rPr>
          <w:color w:val="993366"/>
        </w:rPr>
        <w:t>SEQUENCE</w:t>
      </w:r>
      <w:r w:rsidRPr="00FA0D37">
        <w:t xml:space="preserve"> {</w:t>
      </w:r>
    </w:p>
    <w:p w14:paraId="51462E61" w14:textId="77777777" w:rsidR="00394471" w:rsidRPr="00FA0D37" w:rsidRDefault="00394471" w:rsidP="00FA0D37">
      <w:pPr>
        <w:pStyle w:val="PL"/>
      </w:pPr>
      <w:r w:rsidRPr="00FA0D37">
        <w:t xml:space="preserve">    sl-BWP-Id                                BWP-Id,</w:t>
      </w:r>
    </w:p>
    <w:p w14:paraId="0C6E1A0E" w14:textId="77777777" w:rsidR="00394471" w:rsidRPr="00FA0D37" w:rsidRDefault="00394471" w:rsidP="00FA0D37">
      <w:pPr>
        <w:pStyle w:val="PL"/>
        <w:rPr>
          <w:color w:val="808080"/>
        </w:rPr>
      </w:pPr>
      <w:r w:rsidRPr="00FA0D37">
        <w:t xml:space="preserve">    sl-BWP-Generic-r16                       SL-BWP-Generic-r16                                   </w:t>
      </w:r>
      <w:r w:rsidRPr="00FA0D37">
        <w:rPr>
          <w:color w:val="993366"/>
        </w:rPr>
        <w:t>OPTIONAL</w:t>
      </w:r>
      <w:r w:rsidRPr="00FA0D37">
        <w:t xml:space="preserve">,    </w:t>
      </w:r>
      <w:r w:rsidRPr="00FA0D37">
        <w:rPr>
          <w:color w:val="808080"/>
        </w:rPr>
        <w:t>-- Need M</w:t>
      </w:r>
    </w:p>
    <w:p w14:paraId="76EA4441" w14:textId="77777777" w:rsidR="00394471" w:rsidRPr="00FA0D37" w:rsidRDefault="00394471" w:rsidP="00FA0D37">
      <w:pPr>
        <w:pStyle w:val="PL"/>
        <w:rPr>
          <w:color w:val="808080"/>
        </w:rPr>
      </w:pPr>
      <w:r w:rsidRPr="00FA0D37">
        <w:t xml:space="preserve">    sl-BWP-PoolConfig-r16                    SL-BWP-PoolConfig-r16                                </w:t>
      </w:r>
      <w:r w:rsidRPr="00FA0D37">
        <w:rPr>
          <w:color w:val="993366"/>
        </w:rPr>
        <w:t>OPTIONAL</w:t>
      </w:r>
      <w:r w:rsidRPr="00FA0D37">
        <w:t xml:space="preserve">,    </w:t>
      </w:r>
      <w:r w:rsidRPr="00FA0D37">
        <w:rPr>
          <w:color w:val="808080"/>
        </w:rPr>
        <w:t>-- Need M</w:t>
      </w:r>
    </w:p>
    <w:p w14:paraId="796F6CC0" w14:textId="522BCA5B" w:rsidR="00C26E98" w:rsidRPr="00FA0D37" w:rsidRDefault="00394471" w:rsidP="00FA0D37">
      <w:pPr>
        <w:pStyle w:val="PL"/>
      </w:pPr>
      <w:r w:rsidRPr="00FA0D37">
        <w:t xml:space="preserve">    ...</w:t>
      </w:r>
      <w:r w:rsidR="00C26E98" w:rsidRPr="00FA0D37">
        <w:t>,</w:t>
      </w:r>
    </w:p>
    <w:p w14:paraId="42AC0D6B" w14:textId="77777777" w:rsidR="00C26E98" w:rsidRPr="00FA0D37" w:rsidRDefault="00C26E98" w:rsidP="00FA0D37">
      <w:pPr>
        <w:pStyle w:val="PL"/>
      </w:pPr>
      <w:r w:rsidRPr="00FA0D37">
        <w:t xml:space="preserve">    [[</w:t>
      </w:r>
    </w:p>
    <w:p w14:paraId="5D8B8B86" w14:textId="636C08A7" w:rsidR="00C26E98" w:rsidRPr="00FA0D37" w:rsidRDefault="00C26E98" w:rsidP="00FA0D37">
      <w:pPr>
        <w:pStyle w:val="PL"/>
        <w:rPr>
          <w:color w:val="808080"/>
        </w:rPr>
      </w:pPr>
      <w:r w:rsidRPr="00FA0D37">
        <w:t xml:space="preserve">    sl-BWP-PoolConfigPS-r17              SetupRelease {SL-BWP-PoolConfig-r1</w:t>
      </w:r>
      <w:r w:rsidR="002714C6" w:rsidRPr="00FA0D37">
        <w:t>6</w:t>
      </w:r>
      <w:r w:rsidRPr="00FA0D37">
        <w:t xml:space="preserve">}                   </w:t>
      </w:r>
      <w:r w:rsidR="002714C6" w:rsidRPr="00FA0D37">
        <w:t xml:space="preserve">  </w:t>
      </w:r>
      <w:r w:rsidRPr="00FA0D37">
        <w:rPr>
          <w:color w:val="993366"/>
        </w:rPr>
        <w:t>OPTIONAL</w:t>
      </w:r>
      <w:r w:rsidR="001C77B5" w:rsidRPr="00FA0D37">
        <w:t>,</w:t>
      </w:r>
      <w:r w:rsidRPr="00FA0D37">
        <w:t xml:space="preserve">    </w:t>
      </w:r>
      <w:r w:rsidRPr="00FA0D37">
        <w:rPr>
          <w:color w:val="808080"/>
        </w:rPr>
        <w:t>-- Need M</w:t>
      </w:r>
    </w:p>
    <w:p w14:paraId="1A3C103F" w14:textId="2F75E917" w:rsidR="00BD2D2B" w:rsidRPr="00FA0D37" w:rsidRDefault="00BD2D2B" w:rsidP="00FA0D37">
      <w:pPr>
        <w:pStyle w:val="PL"/>
        <w:rPr>
          <w:color w:val="808080"/>
        </w:rPr>
      </w:pPr>
      <w:r w:rsidRPr="00FA0D37">
        <w:t xml:space="preserve">    sl-BWP-DiscPoolConfig-r17            SetupRelease {SL-BWP-DiscPoolConfig-r17}                 </w:t>
      </w:r>
      <w:r w:rsidRPr="00FA0D37">
        <w:rPr>
          <w:color w:val="993366"/>
        </w:rPr>
        <w:t>OPTIONAL</w:t>
      </w:r>
      <w:r w:rsidRPr="00FA0D37">
        <w:t xml:space="preserve">     </w:t>
      </w:r>
      <w:r w:rsidRPr="00FA0D37">
        <w:rPr>
          <w:color w:val="808080"/>
        </w:rPr>
        <w:t>-- Need M</w:t>
      </w:r>
    </w:p>
    <w:p w14:paraId="14496229" w14:textId="71A9CD76" w:rsidR="00394471" w:rsidRPr="00FA0D37" w:rsidRDefault="00C26E98" w:rsidP="00FA0D37">
      <w:pPr>
        <w:pStyle w:val="PL"/>
      </w:pPr>
      <w:r w:rsidRPr="00FA0D37">
        <w:t xml:space="preserve">    ]]</w:t>
      </w:r>
    </w:p>
    <w:p w14:paraId="5E476BC6" w14:textId="77777777" w:rsidR="00394471" w:rsidRPr="00FA0D37" w:rsidRDefault="00394471" w:rsidP="00FA0D37">
      <w:pPr>
        <w:pStyle w:val="PL"/>
      </w:pPr>
      <w:r w:rsidRPr="00FA0D37">
        <w:t>}</w:t>
      </w:r>
    </w:p>
    <w:p w14:paraId="74FE8390" w14:textId="77777777" w:rsidR="00394471" w:rsidRPr="00FA0D37" w:rsidRDefault="00394471" w:rsidP="00FA0D37">
      <w:pPr>
        <w:pStyle w:val="PL"/>
      </w:pPr>
    </w:p>
    <w:p w14:paraId="630A1615" w14:textId="77777777" w:rsidR="00394471" w:rsidRPr="00FA0D37" w:rsidRDefault="00394471" w:rsidP="00FA0D37">
      <w:pPr>
        <w:pStyle w:val="PL"/>
      </w:pPr>
      <w:r w:rsidRPr="00FA0D37">
        <w:t xml:space="preserve">SL-BWP-Generic-r16 ::=                   </w:t>
      </w:r>
      <w:r w:rsidRPr="00FA0D37">
        <w:rPr>
          <w:color w:val="993366"/>
        </w:rPr>
        <w:t>SEQUENCE</w:t>
      </w:r>
      <w:r w:rsidRPr="00FA0D37">
        <w:t xml:space="preserve"> {</w:t>
      </w:r>
    </w:p>
    <w:p w14:paraId="14FE1DB1" w14:textId="77777777" w:rsidR="00394471" w:rsidRPr="00FA0D37" w:rsidRDefault="00394471" w:rsidP="00FA0D37">
      <w:pPr>
        <w:pStyle w:val="PL"/>
        <w:rPr>
          <w:color w:val="808080"/>
        </w:rPr>
      </w:pPr>
      <w:r w:rsidRPr="00FA0D37">
        <w:t xml:space="preserve">    sl-BWP-r16                               BWP                                                                </w:t>
      </w:r>
      <w:r w:rsidRPr="00FA0D37">
        <w:rPr>
          <w:color w:val="993366"/>
        </w:rPr>
        <w:t>OPTIONAL</w:t>
      </w:r>
      <w:r w:rsidRPr="00FA0D37">
        <w:t xml:space="preserve">,    </w:t>
      </w:r>
      <w:r w:rsidRPr="00FA0D37">
        <w:rPr>
          <w:color w:val="808080"/>
        </w:rPr>
        <w:t>-- Need M</w:t>
      </w:r>
    </w:p>
    <w:p w14:paraId="73C5BEA7" w14:textId="77777777" w:rsidR="00394471" w:rsidRPr="00FA0D37" w:rsidRDefault="00394471" w:rsidP="00FA0D37">
      <w:pPr>
        <w:pStyle w:val="PL"/>
        <w:rPr>
          <w:color w:val="808080"/>
        </w:rPr>
      </w:pPr>
      <w:r w:rsidRPr="00FA0D37">
        <w:t xml:space="preserve">    sl-LengthSymbols-r16                     </w:t>
      </w:r>
      <w:r w:rsidRPr="00FA0D37">
        <w:rPr>
          <w:color w:val="993366"/>
        </w:rPr>
        <w:t>ENUMERATED</w:t>
      </w:r>
      <w:r w:rsidRPr="00FA0D37">
        <w:t xml:space="preserve"> {sym7, sym8, sym9, sym10, sym11, sym12, sym13, sym14}   </w:t>
      </w:r>
      <w:r w:rsidRPr="00FA0D37">
        <w:rPr>
          <w:color w:val="993366"/>
        </w:rPr>
        <w:t>OPTIONAL</w:t>
      </w:r>
      <w:r w:rsidRPr="00FA0D37">
        <w:t xml:space="preserve">,    </w:t>
      </w:r>
      <w:r w:rsidRPr="00FA0D37">
        <w:rPr>
          <w:color w:val="808080"/>
        </w:rPr>
        <w:t>-- Need M</w:t>
      </w:r>
    </w:p>
    <w:p w14:paraId="04300515" w14:textId="77777777" w:rsidR="00394471" w:rsidRPr="00FA0D37" w:rsidRDefault="00394471" w:rsidP="00FA0D37">
      <w:pPr>
        <w:pStyle w:val="PL"/>
        <w:rPr>
          <w:color w:val="808080"/>
        </w:rPr>
      </w:pPr>
      <w:r w:rsidRPr="00FA0D37">
        <w:t xml:space="preserve">    sl-StartSymbol-r16                       </w:t>
      </w:r>
      <w:r w:rsidRPr="00FA0D37">
        <w:rPr>
          <w:color w:val="993366"/>
        </w:rPr>
        <w:t>ENUMERATED</w:t>
      </w:r>
      <w:r w:rsidRPr="00FA0D37">
        <w:t xml:space="preserve"> {sym0, sym1, sym2, sym3, sym4, sym5, sym6, sym7}        </w:t>
      </w:r>
      <w:r w:rsidRPr="00FA0D37">
        <w:rPr>
          <w:color w:val="993366"/>
        </w:rPr>
        <w:t>OPTIONAL</w:t>
      </w:r>
      <w:r w:rsidRPr="00FA0D37">
        <w:t xml:space="preserve">,    </w:t>
      </w:r>
      <w:r w:rsidRPr="00FA0D37">
        <w:rPr>
          <w:color w:val="808080"/>
        </w:rPr>
        <w:t>-- Need M</w:t>
      </w:r>
    </w:p>
    <w:p w14:paraId="413FA635"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rPr>
        <w:t>sl-PSBCH-Config-r16</w:t>
      </w:r>
      <w:r w:rsidRPr="00FA0D37">
        <w:t xml:space="preserve">                      </w:t>
      </w:r>
      <w:r w:rsidRPr="00FA0D37">
        <w:rPr>
          <w:rFonts w:eastAsiaTheme="minorEastAsia"/>
        </w:rPr>
        <w:t>SetupRelease {SL-PSBCH-Config-r16}</w:t>
      </w:r>
      <w:r w:rsidRPr="00FA0D37">
        <w:t xml:space="preserve">                                 </w:t>
      </w:r>
      <w:r w:rsidRPr="00FA0D37">
        <w:rPr>
          <w:rFonts w:eastAsiaTheme="minorEastAsia"/>
          <w:color w:val="993366"/>
        </w:rPr>
        <w:t>OPTIONAL</w:t>
      </w:r>
      <w:r w:rsidRPr="00FA0D37">
        <w:rPr>
          <w:rFonts w:eastAsiaTheme="minorEastAsia"/>
        </w:rPr>
        <w:t>,</w:t>
      </w:r>
      <w:r w:rsidRPr="00FA0D37">
        <w:t xml:space="preserve">    </w:t>
      </w:r>
      <w:r w:rsidRPr="00FA0D37">
        <w:rPr>
          <w:rFonts w:eastAsiaTheme="minorEastAsia"/>
          <w:color w:val="808080"/>
        </w:rPr>
        <w:t>-- Need M</w:t>
      </w:r>
    </w:p>
    <w:p w14:paraId="41D82635" w14:textId="77777777" w:rsidR="00394471" w:rsidRPr="00FA0D37" w:rsidRDefault="00394471" w:rsidP="00FA0D37">
      <w:pPr>
        <w:pStyle w:val="PL"/>
        <w:rPr>
          <w:rFonts w:eastAsiaTheme="minorEastAsia"/>
          <w:color w:val="808080"/>
        </w:rPr>
      </w:pPr>
      <w:r w:rsidRPr="00FA0D37">
        <w:t xml:space="preserve">    </w:t>
      </w:r>
      <w:r w:rsidRPr="00FA0D37">
        <w:rPr>
          <w:rFonts w:eastAsiaTheme="minorEastAsia"/>
        </w:rPr>
        <w:t>sl-TxDirectCurrentLocation-r16</w:t>
      </w:r>
      <w:r w:rsidRPr="00FA0D37">
        <w:t xml:space="preserve">           </w:t>
      </w:r>
      <w:r w:rsidRPr="00FA0D37">
        <w:rPr>
          <w:rFonts w:eastAsiaTheme="minorEastAsia"/>
          <w:color w:val="993366"/>
        </w:rPr>
        <w:t>INTEGER</w:t>
      </w:r>
      <w:r w:rsidRPr="00FA0D37">
        <w:rPr>
          <w:rFonts w:eastAsiaTheme="minorEastAsia"/>
        </w:rPr>
        <w:t xml:space="preserve"> (0..3301)</w:t>
      </w:r>
      <w:r w:rsidRPr="00FA0D37">
        <w:t xml:space="preserve">                                                  </w:t>
      </w:r>
      <w:r w:rsidRPr="00FA0D37">
        <w:rPr>
          <w:rFonts w:eastAsiaTheme="minorEastAsia"/>
          <w:color w:val="993366"/>
        </w:rPr>
        <w:t>OPTIONAL</w:t>
      </w:r>
      <w:r w:rsidRPr="00FA0D37">
        <w:rPr>
          <w:rFonts w:eastAsiaTheme="minorEastAsia"/>
        </w:rPr>
        <w:t>,</w:t>
      </w:r>
      <w:r w:rsidRPr="00FA0D37">
        <w:t xml:space="preserve">    </w:t>
      </w:r>
      <w:r w:rsidRPr="00FA0D37">
        <w:rPr>
          <w:rFonts w:eastAsiaTheme="minorEastAsia"/>
          <w:color w:val="808080"/>
        </w:rPr>
        <w:t>-- Need M</w:t>
      </w:r>
    </w:p>
    <w:p w14:paraId="1C3E88C3" w14:textId="77777777" w:rsidR="00394471" w:rsidRPr="00FA0D37" w:rsidRDefault="00394471" w:rsidP="00FA0D37">
      <w:pPr>
        <w:pStyle w:val="PL"/>
        <w:rPr>
          <w:rFonts w:eastAsiaTheme="minorEastAsia"/>
        </w:rPr>
      </w:pPr>
      <w:r w:rsidRPr="00FA0D37">
        <w:t xml:space="preserve">    ...</w:t>
      </w:r>
    </w:p>
    <w:p w14:paraId="26115B96" w14:textId="77777777" w:rsidR="00394471" w:rsidRPr="00FA0D37" w:rsidRDefault="00394471" w:rsidP="00FA0D37">
      <w:pPr>
        <w:pStyle w:val="PL"/>
      </w:pPr>
      <w:r w:rsidRPr="00FA0D37">
        <w:t>}</w:t>
      </w:r>
    </w:p>
    <w:p w14:paraId="02F34C8F" w14:textId="77777777" w:rsidR="00394471" w:rsidRPr="00FA0D37" w:rsidRDefault="00394471" w:rsidP="00FA0D37">
      <w:pPr>
        <w:pStyle w:val="PL"/>
      </w:pPr>
    </w:p>
    <w:p w14:paraId="4ACCACDE" w14:textId="77777777" w:rsidR="00394471" w:rsidRPr="00FA0D37" w:rsidRDefault="00394471" w:rsidP="00FA0D37">
      <w:pPr>
        <w:pStyle w:val="PL"/>
        <w:rPr>
          <w:color w:val="808080"/>
        </w:rPr>
      </w:pPr>
      <w:r w:rsidRPr="00FA0D37">
        <w:rPr>
          <w:color w:val="808080"/>
        </w:rPr>
        <w:t>-- TAG-SL-BWP-CONFIG-STOP</w:t>
      </w:r>
    </w:p>
    <w:p w14:paraId="29108CDB" w14:textId="77777777" w:rsidR="00394471" w:rsidRPr="00FA0D37" w:rsidRDefault="00394471" w:rsidP="00FA0D37">
      <w:pPr>
        <w:pStyle w:val="PL"/>
        <w:rPr>
          <w:color w:val="808080"/>
        </w:rPr>
      </w:pPr>
      <w:r w:rsidRPr="00FA0D37">
        <w:rPr>
          <w:color w:val="808080"/>
        </w:rPr>
        <w:lastRenderedPageBreak/>
        <w:t>-- ASN1STOP</w:t>
      </w:r>
    </w:p>
    <w:p w14:paraId="7AF86D9E"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368DF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925237" w14:textId="77777777" w:rsidR="00394471" w:rsidRPr="00FA0D37" w:rsidRDefault="00394471" w:rsidP="00964CC4">
            <w:pPr>
              <w:pStyle w:val="TAH"/>
              <w:rPr>
                <w:lang w:eastAsia="sv-SE"/>
              </w:rPr>
            </w:pPr>
            <w:r w:rsidRPr="00FA0D37">
              <w:rPr>
                <w:i/>
                <w:lang w:eastAsia="sv-SE"/>
              </w:rPr>
              <w:t xml:space="preserve">SL-BWP-Config </w:t>
            </w:r>
            <w:r w:rsidRPr="00FA0D37">
              <w:rPr>
                <w:lang w:eastAsia="sv-SE"/>
              </w:rPr>
              <w:t>field descriptions</w:t>
            </w:r>
          </w:p>
        </w:tc>
      </w:tr>
      <w:tr w:rsidR="005C7FF4" w:rsidRPr="00FA0D37" w14:paraId="740B8A14" w14:textId="77777777" w:rsidTr="00771058">
        <w:tc>
          <w:tcPr>
            <w:tcW w:w="14173" w:type="dxa"/>
            <w:tcBorders>
              <w:top w:val="single" w:sz="4" w:space="0" w:color="auto"/>
              <w:left w:val="single" w:sz="4" w:space="0" w:color="auto"/>
              <w:bottom w:val="single" w:sz="4" w:space="0" w:color="auto"/>
              <w:right w:val="single" w:sz="4" w:space="0" w:color="auto"/>
            </w:tcBorders>
          </w:tcPr>
          <w:p w14:paraId="7723FBA6" w14:textId="77777777" w:rsidR="00BD2D2B" w:rsidRPr="00FA0D37" w:rsidRDefault="00BD2D2B" w:rsidP="000830BB">
            <w:pPr>
              <w:pStyle w:val="TAL"/>
              <w:rPr>
                <w:b/>
                <w:bCs/>
                <w:i/>
                <w:iCs/>
                <w:lang w:eastAsia="sv-SE"/>
              </w:rPr>
            </w:pPr>
            <w:r w:rsidRPr="00FA0D37">
              <w:rPr>
                <w:b/>
                <w:bCs/>
                <w:i/>
                <w:iCs/>
                <w:lang w:eastAsia="sv-SE"/>
              </w:rPr>
              <w:t>sl-BWP-DiscPoolConfig</w:t>
            </w:r>
          </w:p>
          <w:p w14:paraId="3A79F728" w14:textId="77777777" w:rsidR="00BD2D2B" w:rsidRPr="00FA0D37" w:rsidRDefault="00BD2D2B" w:rsidP="000830BB">
            <w:pPr>
              <w:pStyle w:val="TAL"/>
              <w:rPr>
                <w:lang w:eastAsia="sv-SE"/>
              </w:rPr>
            </w:pPr>
            <w:r w:rsidRPr="00FA0D37">
              <w:rPr>
                <w:lang w:eastAsia="sv-SE"/>
              </w:rPr>
              <w:t>This field indicates the NR sidelink discovery dedicated resource pool configurations on the configured sidelink BWP. The t</w:t>
            </w:r>
            <w:r w:rsidRPr="00FA0D37">
              <w:rPr>
                <w:lang w:eastAsia="ko-KR"/>
              </w:rPr>
              <w:t>otal number of Rx/Tx resource pools configured for communication and discovery does not exceed th</w:t>
            </w:r>
            <w:r w:rsidRPr="00FA0D37">
              <w:rPr>
                <w:lang w:eastAsia="sv-SE"/>
              </w:rPr>
              <w:t xml:space="preserve">e maximum number of Rx/Tx resource pool for NR sidelink communication (i.e. </w:t>
            </w:r>
            <w:r w:rsidRPr="00FA0D37">
              <w:rPr>
                <w:i/>
                <w:iCs/>
              </w:rPr>
              <w:t>maxNrofRXPool-r16/maxNrofTXPool-r16</w:t>
            </w:r>
            <w:r w:rsidRPr="00FA0D37">
              <w:t>)</w:t>
            </w:r>
            <w:r w:rsidRPr="00FA0D37">
              <w:rPr>
                <w:lang w:eastAsia="ko-KR"/>
              </w:rPr>
              <w:t>.</w:t>
            </w:r>
          </w:p>
        </w:tc>
      </w:tr>
      <w:tr w:rsidR="005C7FF4" w:rsidRPr="00FA0D37" w14:paraId="6362EF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B8A95" w14:textId="77777777" w:rsidR="00394471" w:rsidRPr="00FA0D37" w:rsidRDefault="00394471" w:rsidP="00964CC4">
            <w:pPr>
              <w:pStyle w:val="TAL"/>
              <w:rPr>
                <w:b/>
                <w:i/>
                <w:lang w:eastAsia="sv-SE"/>
              </w:rPr>
            </w:pPr>
            <w:r w:rsidRPr="00FA0D37">
              <w:rPr>
                <w:b/>
                <w:i/>
                <w:lang w:eastAsia="sv-SE"/>
              </w:rPr>
              <w:t>sl-BWP-Generic</w:t>
            </w:r>
          </w:p>
          <w:p w14:paraId="27E04FD2" w14:textId="77777777" w:rsidR="00394471" w:rsidRPr="00FA0D37" w:rsidRDefault="00394471" w:rsidP="00964CC4">
            <w:pPr>
              <w:pStyle w:val="TAL"/>
              <w:rPr>
                <w:i/>
                <w:szCs w:val="22"/>
                <w:lang w:eastAsia="sv-SE"/>
              </w:rPr>
            </w:pPr>
            <w:r w:rsidRPr="00FA0D37">
              <w:rPr>
                <w:lang w:eastAsia="sv-SE"/>
              </w:rPr>
              <w:t>This field indicates the generic parameters on the configured sidelink BWP.</w:t>
            </w:r>
          </w:p>
        </w:tc>
      </w:tr>
      <w:tr w:rsidR="005C7FF4" w:rsidRPr="00FA0D37" w14:paraId="1C60B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89ACF" w14:textId="77777777" w:rsidR="00394471" w:rsidRPr="00FA0D37" w:rsidRDefault="00394471" w:rsidP="00964CC4">
            <w:pPr>
              <w:pStyle w:val="TAL"/>
              <w:rPr>
                <w:b/>
                <w:i/>
                <w:lang w:eastAsia="sv-SE"/>
              </w:rPr>
            </w:pPr>
            <w:r w:rsidRPr="00FA0D37">
              <w:rPr>
                <w:b/>
                <w:i/>
                <w:lang w:eastAsia="sv-SE"/>
              </w:rPr>
              <w:t>sl-BWP-PoolConfig</w:t>
            </w:r>
          </w:p>
          <w:p w14:paraId="5ED7EB09" w14:textId="77777777" w:rsidR="00394471" w:rsidRPr="00FA0D37" w:rsidRDefault="00394471" w:rsidP="00964CC4">
            <w:pPr>
              <w:pStyle w:val="TAL"/>
              <w:rPr>
                <w:b/>
                <w:i/>
                <w:lang w:eastAsia="sv-SE"/>
              </w:rPr>
            </w:pPr>
            <w:r w:rsidRPr="00FA0D37">
              <w:rPr>
                <w:lang w:eastAsia="sv-SE"/>
              </w:rPr>
              <w:t>This field indicates the resource pool configurations on the configured sidelink BWP.</w:t>
            </w:r>
          </w:p>
        </w:tc>
      </w:tr>
      <w:tr w:rsidR="005C7FF4" w:rsidRPr="00FA0D37" w14:paraId="1D06C3DC" w14:textId="77777777" w:rsidTr="001473C7">
        <w:tc>
          <w:tcPr>
            <w:tcW w:w="14173" w:type="dxa"/>
            <w:tcBorders>
              <w:top w:val="single" w:sz="4" w:space="0" w:color="auto"/>
              <w:left w:val="single" w:sz="4" w:space="0" w:color="auto"/>
              <w:bottom w:val="single" w:sz="4" w:space="0" w:color="auto"/>
              <w:right w:val="single" w:sz="4" w:space="0" w:color="auto"/>
            </w:tcBorders>
            <w:hideMark/>
          </w:tcPr>
          <w:p w14:paraId="590431BC" w14:textId="77777777" w:rsidR="001473C7" w:rsidRPr="00FA0D37" w:rsidRDefault="001473C7" w:rsidP="00771058">
            <w:pPr>
              <w:pStyle w:val="TAL"/>
              <w:rPr>
                <w:b/>
                <w:i/>
                <w:lang w:eastAsia="sv-SE"/>
              </w:rPr>
            </w:pPr>
            <w:r w:rsidRPr="00FA0D37">
              <w:rPr>
                <w:b/>
                <w:i/>
                <w:lang w:eastAsia="sv-SE"/>
              </w:rPr>
              <w:t>sl-BWP-Id</w:t>
            </w:r>
          </w:p>
          <w:p w14:paraId="10F4DE74" w14:textId="3AEC2D04" w:rsidR="001473C7" w:rsidRPr="00FA0D37" w:rsidRDefault="001473C7" w:rsidP="00771058">
            <w:pPr>
              <w:pStyle w:val="TAL"/>
              <w:rPr>
                <w:bCs/>
                <w:iCs/>
                <w:lang w:eastAsia="sv-SE"/>
              </w:rPr>
            </w:pPr>
            <w:r w:rsidRPr="00FA0D37">
              <w:rPr>
                <w:bCs/>
                <w:iCs/>
                <w:lang w:eastAsia="sv-SE"/>
              </w:rPr>
              <w:t>An identifier for this sidelink bandwidth part.</w:t>
            </w:r>
          </w:p>
        </w:tc>
      </w:tr>
      <w:tr w:rsidR="000830BB" w:rsidRPr="00FA0D37" w14:paraId="3CA379C7" w14:textId="77777777" w:rsidTr="00C26E98">
        <w:tc>
          <w:tcPr>
            <w:tcW w:w="14173" w:type="dxa"/>
            <w:tcBorders>
              <w:top w:val="single" w:sz="4" w:space="0" w:color="auto"/>
              <w:left w:val="single" w:sz="4" w:space="0" w:color="auto"/>
              <w:bottom w:val="single" w:sz="4" w:space="0" w:color="auto"/>
              <w:right w:val="single" w:sz="4" w:space="0" w:color="auto"/>
            </w:tcBorders>
            <w:hideMark/>
          </w:tcPr>
          <w:p w14:paraId="7B7F32FE" w14:textId="77777777" w:rsidR="00C26E98" w:rsidRPr="00FA0D37" w:rsidRDefault="00C26E98" w:rsidP="00771058">
            <w:pPr>
              <w:pStyle w:val="TAL"/>
              <w:rPr>
                <w:b/>
                <w:i/>
                <w:lang w:eastAsia="sv-SE"/>
              </w:rPr>
            </w:pPr>
            <w:r w:rsidRPr="00FA0D37">
              <w:rPr>
                <w:b/>
                <w:i/>
                <w:lang w:eastAsia="sv-SE"/>
              </w:rPr>
              <w:t>sl-BWP-PoolConfigPS</w:t>
            </w:r>
          </w:p>
          <w:p w14:paraId="59D43288" w14:textId="1F420FB1" w:rsidR="00C26E98" w:rsidRPr="00FA0D37" w:rsidRDefault="00C26E98" w:rsidP="00771058">
            <w:pPr>
              <w:pStyle w:val="TAL"/>
              <w:rPr>
                <w:bCs/>
                <w:iCs/>
                <w:lang w:eastAsia="sv-SE"/>
              </w:rPr>
            </w:pPr>
            <w:r w:rsidRPr="00FA0D37">
              <w:rPr>
                <w:bCs/>
                <w:iCs/>
                <w:lang w:eastAsia="sv-SE"/>
              </w:rPr>
              <w:t>This field indicates the resource pool configurations for power saving on the configured sidelink BWP.</w:t>
            </w:r>
            <w:r w:rsidR="0007748F" w:rsidRPr="00FA0D37">
              <w:t xml:space="preserve"> </w:t>
            </w:r>
            <w:r w:rsidR="0007748F" w:rsidRPr="00FA0D37">
              <w:rPr>
                <w:bCs/>
                <w:iCs/>
                <w:lang w:eastAsia="sv-SE"/>
              </w:rPr>
              <w:t xml:space="preserve">This field does not include </w:t>
            </w:r>
            <w:r w:rsidR="0007748F" w:rsidRPr="00FA0D37">
              <w:rPr>
                <w:bCs/>
                <w:i/>
                <w:iCs/>
                <w:lang w:eastAsia="sv-SE"/>
              </w:rPr>
              <w:t>sl-TxPoolExceptional</w:t>
            </w:r>
            <w:r w:rsidR="0007748F" w:rsidRPr="00FA0D37">
              <w:rPr>
                <w:bCs/>
                <w:iCs/>
                <w:lang w:eastAsia="sv-SE"/>
              </w:rPr>
              <w:t>.</w:t>
            </w:r>
          </w:p>
        </w:tc>
      </w:tr>
    </w:tbl>
    <w:p w14:paraId="448397C9"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5E4EA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62D729" w14:textId="77777777" w:rsidR="00394471" w:rsidRPr="00FA0D37" w:rsidRDefault="00394471" w:rsidP="00964CC4">
            <w:pPr>
              <w:pStyle w:val="TAH"/>
              <w:rPr>
                <w:lang w:eastAsia="sv-SE"/>
              </w:rPr>
            </w:pPr>
            <w:r w:rsidRPr="00FA0D37">
              <w:rPr>
                <w:i/>
                <w:lang w:eastAsia="sv-SE"/>
              </w:rPr>
              <w:t xml:space="preserve">SL-BWP-Generic </w:t>
            </w:r>
            <w:r w:rsidRPr="00FA0D37">
              <w:rPr>
                <w:lang w:eastAsia="sv-SE"/>
              </w:rPr>
              <w:t>field descriptions</w:t>
            </w:r>
          </w:p>
        </w:tc>
      </w:tr>
      <w:tr w:rsidR="005C7FF4" w:rsidRPr="00FA0D37" w14:paraId="1868AD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483CC" w14:textId="77777777" w:rsidR="00394471" w:rsidRPr="00FA0D37" w:rsidRDefault="00394471" w:rsidP="00964CC4">
            <w:pPr>
              <w:pStyle w:val="TAL"/>
              <w:rPr>
                <w:b/>
                <w:bCs/>
                <w:i/>
                <w:iCs/>
                <w:lang w:eastAsia="sv-SE"/>
              </w:rPr>
            </w:pPr>
            <w:r w:rsidRPr="00FA0D37">
              <w:rPr>
                <w:b/>
                <w:bCs/>
                <w:i/>
                <w:iCs/>
                <w:lang w:eastAsia="sv-SE"/>
              </w:rPr>
              <w:t>sl-LengthSymbols</w:t>
            </w:r>
          </w:p>
          <w:p w14:paraId="301107E5" w14:textId="25E1411A" w:rsidR="00394471" w:rsidRPr="00FA0D37" w:rsidRDefault="00394471" w:rsidP="00964CC4">
            <w:pPr>
              <w:pStyle w:val="TAL"/>
              <w:rPr>
                <w:szCs w:val="22"/>
                <w:lang w:eastAsia="sv-SE"/>
              </w:rPr>
            </w:pPr>
            <w:r w:rsidRPr="00FA0D37">
              <w:rPr>
                <w:lang w:eastAsia="sv-SE"/>
              </w:rPr>
              <w:t>This field indicates the number of symbols used for sidelink in a slot without S-SSB. A single value can be (pre)configured per sidelink bandwidth part.</w:t>
            </w:r>
          </w:p>
        </w:tc>
      </w:tr>
      <w:tr w:rsidR="005C7FF4" w:rsidRPr="00FA0D37" w14:paraId="0BBF0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D19174" w14:textId="77777777" w:rsidR="00394471" w:rsidRPr="00FA0D37" w:rsidRDefault="00394471" w:rsidP="00964CC4">
            <w:pPr>
              <w:pStyle w:val="TAL"/>
              <w:rPr>
                <w:b/>
                <w:bCs/>
                <w:i/>
                <w:iCs/>
                <w:lang w:eastAsia="sv-SE"/>
              </w:rPr>
            </w:pPr>
            <w:r w:rsidRPr="00FA0D37">
              <w:rPr>
                <w:b/>
                <w:bCs/>
                <w:i/>
                <w:iCs/>
                <w:lang w:eastAsia="sv-SE"/>
              </w:rPr>
              <w:t>sl-StartSymbol</w:t>
            </w:r>
          </w:p>
          <w:p w14:paraId="3CC5CFBB" w14:textId="4D8B55B1" w:rsidR="00394471" w:rsidRPr="00FA0D37" w:rsidRDefault="00394471" w:rsidP="00964CC4">
            <w:pPr>
              <w:pStyle w:val="TAL"/>
              <w:rPr>
                <w:lang w:eastAsia="sv-SE"/>
              </w:rPr>
            </w:pPr>
            <w:r w:rsidRPr="00FA0D37">
              <w:rPr>
                <w:lang w:eastAsia="sv-SE"/>
              </w:rPr>
              <w:t>This field indicates the starting symbol used for sidelink in a slot without S-SSB. A single value can be (pre)configured per sidelink bandwidth part.</w:t>
            </w:r>
          </w:p>
        </w:tc>
      </w:tr>
      <w:tr w:rsidR="00394471" w:rsidRPr="00FA0D37" w14:paraId="0839F9B4" w14:textId="77777777" w:rsidTr="00964CC4">
        <w:tc>
          <w:tcPr>
            <w:tcW w:w="14173" w:type="dxa"/>
            <w:tcBorders>
              <w:top w:val="single" w:sz="4" w:space="0" w:color="auto"/>
              <w:left w:val="single" w:sz="4" w:space="0" w:color="auto"/>
              <w:bottom w:val="single" w:sz="4" w:space="0" w:color="auto"/>
              <w:right w:val="single" w:sz="4" w:space="0" w:color="auto"/>
            </w:tcBorders>
          </w:tcPr>
          <w:p w14:paraId="39CD7ACC" w14:textId="77777777" w:rsidR="00394471" w:rsidRPr="00FA0D37" w:rsidRDefault="00394471" w:rsidP="00964CC4">
            <w:pPr>
              <w:pStyle w:val="TAL"/>
              <w:rPr>
                <w:b/>
                <w:bCs/>
                <w:i/>
                <w:iCs/>
              </w:rPr>
            </w:pPr>
            <w:r w:rsidRPr="00FA0D37">
              <w:rPr>
                <w:b/>
                <w:bCs/>
                <w:i/>
                <w:iCs/>
              </w:rPr>
              <w:t>sl-TxDirectCurrentLocation</w:t>
            </w:r>
          </w:p>
          <w:p w14:paraId="1AECC478" w14:textId="77777777" w:rsidR="00394471" w:rsidRPr="00FA0D37" w:rsidRDefault="00394471" w:rsidP="00964CC4">
            <w:pPr>
              <w:pStyle w:val="TAL"/>
              <w:rPr>
                <w:b/>
                <w:bCs/>
                <w:i/>
                <w:iCs/>
                <w:lang w:eastAsia="sv-SE"/>
              </w:rPr>
            </w:pPr>
            <w:r w:rsidRPr="00FA0D37">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32D1428" w14:textId="77777777" w:rsidR="00394471" w:rsidRPr="00FA0D37" w:rsidRDefault="00394471" w:rsidP="00394471"/>
    <w:p w14:paraId="636B0AFC" w14:textId="79FA1548" w:rsidR="00394471" w:rsidRPr="00FA0D37" w:rsidRDefault="00394471" w:rsidP="00394471">
      <w:pPr>
        <w:pStyle w:val="4"/>
      </w:pPr>
      <w:bookmarkStart w:id="1716" w:name="_Toc60777523"/>
      <w:bookmarkStart w:id="1717" w:name="_Toc146781635"/>
      <w:r w:rsidRPr="00FA0D37">
        <w:t>–</w:t>
      </w:r>
      <w:r w:rsidRPr="00FA0D37">
        <w:tab/>
      </w:r>
      <w:r w:rsidRPr="00FA0D37">
        <w:rPr>
          <w:i/>
          <w:iCs/>
        </w:rPr>
        <w:t>SL-BWP-ConfigCommon</w:t>
      </w:r>
      <w:bookmarkEnd w:id="1716"/>
      <w:bookmarkEnd w:id="1717"/>
    </w:p>
    <w:p w14:paraId="1C915831" w14:textId="77777777" w:rsidR="00394471" w:rsidRPr="00FA0D37" w:rsidRDefault="00394471" w:rsidP="00394471">
      <w:r w:rsidRPr="00FA0D37">
        <w:t xml:space="preserve">The IE </w:t>
      </w:r>
      <w:r w:rsidRPr="00FA0D37">
        <w:rPr>
          <w:i/>
        </w:rPr>
        <w:t xml:space="preserve">SL-BWP-ConfigCommon </w:t>
      </w:r>
      <w:r w:rsidRPr="00FA0D37">
        <w:t>is used to configure</w:t>
      </w:r>
      <w:r w:rsidRPr="00FA0D37">
        <w:rPr>
          <w:iCs/>
        </w:rPr>
        <w:t xml:space="preserve"> the </w:t>
      </w:r>
      <w:r w:rsidRPr="00FA0D37">
        <w:rPr>
          <w:iCs/>
          <w:lang w:eastAsia="zh-CN"/>
        </w:rPr>
        <w:t xml:space="preserve">cell-specific </w:t>
      </w:r>
      <w:r w:rsidRPr="00FA0D37">
        <w:rPr>
          <w:iCs/>
        </w:rPr>
        <w:t>configuration information</w:t>
      </w:r>
      <w:r w:rsidRPr="00FA0D37">
        <w:t xml:space="preserve"> </w:t>
      </w:r>
      <w:r w:rsidRPr="00FA0D37">
        <w:rPr>
          <w:iCs/>
        </w:rPr>
        <w:t xml:space="preserve">on one particular </w:t>
      </w:r>
      <w:r w:rsidRPr="00FA0D37">
        <w:t>sidelink bandwidth part.</w:t>
      </w:r>
    </w:p>
    <w:p w14:paraId="0EF0FFD5" w14:textId="77777777" w:rsidR="00394471" w:rsidRPr="00FA0D37" w:rsidRDefault="00394471" w:rsidP="00394471">
      <w:pPr>
        <w:pStyle w:val="TH"/>
        <w:rPr>
          <w:b w:val="0"/>
        </w:rPr>
      </w:pPr>
      <w:r w:rsidRPr="00FA0D37">
        <w:rPr>
          <w:i/>
          <w:iCs/>
        </w:rPr>
        <w:t>SL-BWP-ConfigCommon</w:t>
      </w:r>
      <w:r w:rsidRPr="00FA0D37">
        <w:t xml:space="preserve"> information element</w:t>
      </w:r>
    </w:p>
    <w:p w14:paraId="4E93526A" w14:textId="77777777" w:rsidR="00394471" w:rsidRPr="00FA0D37" w:rsidRDefault="00394471" w:rsidP="00FA0D37">
      <w:pPr>
        <w:pStyle w:val="PL"/>
        <w:rPr>
          <w:color w:val="808080"/>
        </w:rPr>
      </w:pPr>
      <w:r w:rsidRPr="00FA0D37">
        <w:rPr>
          <w:color w:val="808080"/>
        </w:rPr>
        <w:t>-- ASN1START</w:t>
      </w:r>
    </w:p>
    <w:p w14:paraId="04CD83A7" w14:textId="77777777" w:rsidR="00394471" w:rsidRPr="00FA0D37" w:rsidRDefault="00394471" w:rsidP="00FA0D37">
      <w:pPr>
        <w:pStyle w:val="PL"/>
        <w:rPr>
          <w:color w:val="808080"/>
        </w:rPr>
      </w:pPr>
      <w:r w:rsidRPr="00FA0D37">
        <w:rPr>
          <w:color w:val="808080"/>
        </w:rPr>
        <w:t>-- TAG-SL-BWP-CONFIGCOMMON-START</w:t>
      </w:r>
    </w:p>
    <w:p w14:paraId="5B405AA9" w14:textId="77777777" w:rsidR="00394471" w:rsidRPr="00FA0D37" w:rsidRDefault="00394471" w:rsidP="00FA0D37">
      <w:pPr>
        <w:pStyle w:val="PL"/>
      </w:pPr>
    </w:p>
    <w:p w14:paraId="4EE2D9B0" w14:textId="77777777" w:rsidR="00394471" w:rsidRPr="00FA0D37" w:rsidRDefault="00394471" w:rsidP="00FA0D37">
      <w:pPr>
        <w:pStyle w:val="PL"/>
      </w:pPr>
      <w:r w:rsidRPr="00FA0D37">
        <w:t xml:space="preserve">SL-BWP-ConfigCommon-r16 ::=              </w:t>
      </w:r>
      <w:r w:rsidRPr="00FA0D37">
        <w:rPr>
          <w:color w:val="993366"/>
        </w:rPr>
        <w:t>SEQUENCE</w:t>
      </w:r>
      <w:r w:rsidRPr="00FA0D37">
        <w:t xml:space="preserve"> {</w:t>
      </w:r>
    </w:p>
    <w:p w14:paraId="6FC61C09" w14:textId="77777777" w:rsidR="00394471" w:rsidRPr="00FA0D37" w:rsidRDefault="00394471" w:rsidP="00FA0D37">
      <w:pPr>
        <w:pStyle w:val="PL"/>
        <w:rPr>
          <w:color w:val="808080"/>
        </w:rPr>
      </w:pPr>
      <w:r w:rsidRPr="00FA0D37">
        <w:t xml:space="preserve">    sl-BWP-Generic-r16                       SL-BWP-Generic-r16                                         </w:t>
      </w:r>
      <w:r w:rsidRPr="00FA0D37">
        <w:rPr>
          <w:color w:val="993366"/>
        </w:rPr>
        <w:t>OPTIONAL</w:t>
      </w:r>
      <w:r w:rsidRPr="00FA0D37">
        <w:t xml:space="preserve">,    </w:t>
      </w:r>
      <w:r w:rsidRPr="00FA0D37">
        <w:rPr>
          <w:color w:val="808080"/>
        </w:rPr>
        <w:t>-- Need R</w:t>
      </w:r>
    </w:p>
    <w:p w14:paraId="1E2E8314" w14:textId="77777777" w:rsidR="00394471" w:rsidRPr="00FA0D37" w:rsidRDefault="00394471" w:rsidP="00FA0D37">
      <w:pPr>
        <w:pStyle w:val="PL"/>
        <w:rPr>
          <w:color w:val="808080"/>
        </w:rPr>
      </w:pPr>
      <w:r w:rsidRPr="00FA0D37">
        <w:t xml:space="preserve">    sl-BWP-PoolConfigCommon-r16              SL-BWP-PoolConfigCommon-r16                                </w:t>
      </w:r>
      <w:r w:rsidRPr="00FA0D37">
        <w:rPr>
          <w:color w:val="993366"/>
        </w:rPr>
        <w:t>OPTIONAL</w:t>
      </w:r>
      <w:r w:rsidRPr="00FA0D37">
        <w:t xml:space="preserve">,    </w:t>
      </w:r>
      <w:r w:rsidRPr="00FA0D37">
        <w:rPr>
          <w:color w:val="808080"/>
        </w:rPr>
        <w:t>-- Need R</w:t>
      </w:r>
    </w:p>
    <w:p w14:paraId="707D1334" w14:textId="4834CB2E" w:rsidR="00C26E98" w:rsidRPr="00FA0D37" w:rsidRDefault="00394471" w:rsidP="00FA0D37">
      <w:pPr>
        <w:pStyle w:val="PL"/>
      </w:pPr>
      <w:r w:rsidRPr="00FA0D37">
        <w:t xml:space="preserve">    ...</w:t>
      </w:r>
      <w:r w:rsidR="00C26E98" w:rsidRPr="00FA0D37">
        <w:t>,</w:t>
      </w:r>
    </w:p>
    <w:p w14:paraId="0956A210" w14:textId="77777777" w:rsidR="00C26E98" w:rsidRPr="00FA0D37" w:rsidRDefault="00C26E98" w:rsidP="00FA0D37">
      <w:pPr>
        <w:pStyle w:val="PL"/>
      </w:pPr>
      <w:r w:rsidRPr="00FA0D37">
        <w:t xml:space="preserve">    [[</w:t>
      </w:r>
    </w:p>
    <w:p w14:paraId="5B93F024" w14:textId="650A44CA" w:rsidR="00C26E98" w:rsidRPr="00FA0D37" w:rsidRDefault="00C26E98" w:rsidP="00FA0D37">
      <w:pPr>
        <w:pStyle w:val="PL"/>
        <w:rPr>
          <w:color w:val="808080"/>
        </w:rPr>
      </w:pPr>
      <w:r w:rsidRPr="00FA0D37">
        <w:t xml:space="preserve">    sl-BWP-PoolConfigCommonPS-r17            SL-BWP-PoolConfigCommon-r1</w:t>
      </w:r>
      <w:r w:rsidR="002714C6" w:rsidRPr="00FA0D37">
        <w:t>6</w:t>
      </w:r>
      <w:r w:rsidRPr="00FA0D37">
        <w:t xml:space="preserve">                              </w:t>
      </w:r>
      <w:r w:rsidR="002714C6" w:rsidRPr="00FA0D37">
        <w:t xml:space="preserve">  </w:t>
      </w:r>
      <w:r w:rsidRPr="00FA0D37">
        <w:rPr>
          <w:color w:val="993366"/>
        </w:rPr>
        <w:t>OPTIONAL</w:t>
      </w:r>
      <w:r w:rsidR="001C77B5" w:rsidRPr="00FA0D37">
        <w:t>,</w:t>
      </w:r>
      <w:r w:rsidRPr="00FA0D37">
        <w:t xml:space="preserve">    </w:t>
      </w:r>
      <w:r w:rsidRPr="00FA0D37">
        <w:rPr>
          <w:color w:val="808080"/>
        </w:rPr>
        <w:t>-- Need R</w:t>
      </w:r>
    </w:p>
    <w:p w14:paraId="0D965422" w14:textId="77777777" w:rsidR="00BD2D2B" w:rsidRPr="00FA0D37" w:rsidRDefault="00BD2D2B" w:rsidP="00FA0D37">
      <w:pPr>
        <w:pStyle w:val="PL"/>
        <w:rPr>
          <w:color w:val="808080"/>
        </w:rPr>
      </w:pPr>
      <w:r w:rsidRPr="00FA0D37">
        <w:t xml:space="preserve">    sl-BWP-DiscPoolConfigCommon-r17          SL-BWP-DiscPoolConfigCommon-r17                            </w:t>
      </w:r>
      <w:r w:rsidRPr="00FA0D37">
        <w:rPr>
          <w:color w:val="993366"/>
        </w:rPr>
        <w:t>OPTIONAL</w:t>
      </w:r>
      <w:r w:rsidRPr="00FA0D37">
        <w:t xml:space="preserve">     </w:t>
      </w:r>
      <w:r w:rsidRPr="00FA0D37">
        <w:rPr>
          <w:color w:val="808080"/>
        </w:rPr>
        <w:t>-- Need R</w:t>
      </w:r>
    </w:p>
    <w:p w14:paraId="796748D7" w14:textId="55E6AD61" w:rsidR="00394471" w:rsidRPr="00FA0D37" w:rsidRDefault="00C26E98" w:rsidP="00FA0D37">
      <w:pPr>
        <w:pStyle w:val="PL"/>
      </w:pPr>
      <w:r w:rsidRPr="00FA0D37">
        <w:t xml:space="preserve">    ]]</w:t>
      </w:r>
    </w:p>
    <w:p w14:paraId="0A625140" w14:textId="77777777" w:rsidR="00394471" w:rsidRPr="00FA0D37" w:rsidRDefault="00394471" w:rsidP="00FA0D37">
      <w:pPr>
        <w:pStyle w:val="PL"/>
      </w:pPr>
      <w:r w:rsidRPr="00FA0D37">
        <w:lastRenderedPageBreak/>
        <w:t>}</w:t>
      </w:r>
    </w:p>
    <w:p w14:paraId="78D3C283" w14:textId="77777777" w:rsidR="00394471" w:rsidRPr="00FA0D37" w:rsidRDefault="00394471" w:rsidP="00FA0D37">
      <w:pPr>
        <w:pStyle w:val="PL"/>
      </w:pPr>
    </w:p>
    <w:p w14:paraId="6EDA199E" w14:textId="77777777" w:rsidR="00394471" w:rsidRPr="00FA0D37" w:rsidRDefault="00394471" w:rsidP="00FA0D37">
      <w:pPr>
        <w:pStyle w:val="PL"/>
        <w:rPr>
          <w:color w:val="808080"/>
        </w:rPr>
      </w:pPr>
      <w:r w:rsidRPr="00FA0D37">
        <w:rPr>
          <w:color w:val="808080"/>
        </w:rPr>
        <w:t>-- TAG-SL-BWP-CONFIGCOMMON-STOP</w:t>
      </w:r>
    </w:p>
    <w:p w14:paraId="4015B052" w14:textId="77777777" w:rsidR="00394471" w:rsidRPr="00FA0D37" w:rsidRDefault="00394471" w:rsidP="00FA0D37">
      <w:pPr>
        <w:pStyle w:val="PL"/>
        <w:rPr>
          <w:color w:val="808080"/>
        </w:rPr>
      </w:pPr>
      <w:r w:rsidRPr="00FA0D37">
        <w:rPr>
          <w:color w:val="808080"/>
        </w:rPr>
        <w:t>-- ASN1STOP</w:t>
      </w:r>
    </w:p>
    <w:p w14:paraId="1B19FF40"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D1A51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61FC56" w14:textId="77777777" w:rsidR="00394471" w:rsidRPr="00FA0D37" w:rsidRDefault="00394471" w:rsidP="00964CC4">
            <w:pPr>
              <w:pStyle w:val="TAH"/>
              <w:rPr>
                <w:b w:val="0"/>
                <w:lang w:eastAsia="sv-SE"/>
              </w:rPr>
            </w:pPr>
            <w:r w:rsidRPr="00FA0D37">
              <w:rPr>
                <w:i/>
                <w:iCs/>
                <w:lang w:eastAsia="sv-SE"/>
              </w:rPr>
              <w:t>SL-BWP-ConfigCommon</w:t>
            </w:r>
            <w:r w:rsidRPr="00FA0D37">
              <w:rPr>
                <w:lang w:eastAsia="sv-SE"/>
              </w:rPr>
              <w:t xml:space="preserve"> field descriptions</w:t>
            </w:r>
          </w:p>
        </w:tc>
      </w:tr>
      <w:tr w:rsidR="005C7FF4" w:rsidRPr="00FA0D37" w14:paraId="6F339424" w14:textId="77777777" w:rsidTr="00771058">
        <w:tc>
          <w:tcPr>
            <w:tcW w:w="14173" w:type="dxa"/>
            <w:tcBorders>
              <w:top w:val="single" w:sz="4" w:space="0" w:color="auto"/>
              <w:left w:val="single" w:sz="4" w:space="0" w:color="auto"/>
              <w:bottom w:val="single" w:sz="4" w:space="0" w:color="auto"/>
              <w:right w:val="single" w:sz="4" w:space="0" w:color="auto"/>
            </w:tcBorders>
          </w:tcPr>
          <w:p w14:paraId="30CA38D2" w14:textId="77777777" w:rsidR="00BD2D2B" w:rsidRPr="00FA0D37" w:rsidRDefault="00BD2D2B" w:rsidP="000830BB">
            <w:pPr>
              <w:pStyle w:val="TAL"/>
              <w:rPr>
                <w:b/>
                <w:bCs/>
                <w:i/>
                <w:iCs/>
                <w:lang w:eastAsia="sv-SE"/>
              </w:rPr>
            </w:pPr>
            <w:r w:rsidRPr="00FA0D37">
              <w:rPr>
                <w:b/>
                <w:bCs/>
                <w:i/>
                <w:iCs/>
                <w:lang w:eastAsia="sv-SE"/>
              </w:rPr>
              <w:t>sl-BWP-DiscPoolConfigCommon</w:t>
            </w:r>
          </w:p>
          <w:p w14:paraId="58F2A1BC" w14:textId="77777777" w:rsidR="00BD2D2B" w:rsidRPr="00FA0D37" w:rsidRDefault="00BD2D2B" w:rsidP="000830BB">
            <w:pPr>
              <w:pStyle w:val="TAL"/>
              <w:rPr>
                <w:bCs/>
                <w:iCs/>
                <w:lang w:eastAsia="sv-SE"/>
              </w:rPr>
            </w:pPr>
            <w:r w:rsidRPr="00FA0D37">
              <w:rPr>
                <w:lang w:eastAsia="sv-SE"/>
              </w:rPr>
              <w:t>This field indicates the NR sidelink discovery dedicated resource pool configurations on the configured sidelink BWP. The t</w:t>
            </w:r>
            <w:r w:rsidRPr="00FA0D37">
              <w:rPr>
                <w:lang w:eastAsia="ko-KR"/>
              </w:rPr>
              <w:t>otal number of Rx/Tx resource pools configured for communication and discovery does not e</w:t>
            </w:r>
            <w:r w:rsidRPr="00FA0D37">
              <w:rPr>
                <w:lang w:eastAsia="sv-SE"/>
              </w:rPr>
              <w:t xml:space="preserve">xceed the maximum number of Rx/Tx resource pool for NR sidelink communication (i.e. </w:t>
            </w:r>
            <w:r w:rsidRPr="00FA0D37">
              <w:rPr>
                <w:i/>
                <w:iCs/>
                <w:lang w:eastAsia="sv-SE"/>
              </w:rPr>
              <w:t>maxNrofRXPool-r16/maxNrofTXPool-r16</w:t>
            </w:r>
            <w:r w:rsidRPr="00FA0D37">
              <w:rPr>
                <w:lang w:eastAsia="sv-SE"/>
              </w:rPr>
              <w:t>).</w:t>
            </w:r>
          </w:p>
        </w:tc>
      </w:tr>
      <w:tr w:rsidR="005C7FF4" w:rsidRPr="00FA0D37" w14:paraId="66B1469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32E97" w14:textId="0D1A5048" w:rsidR="00394471" w:rsidRPr="00FA0D37" w:rsidRDefault="008D2002" w:rsidP="00964CC4">
            <w:pPr>
              <w:pStyle w:val="TAL"/>
              <w:rPr>
                <w:b/>
                <w:bCs/>
                <w:i/>
                <w:iCs/>
                <w:lang w:eastAsia="sv-SE"/>
              </w:rPr>
            </w:pPr>
            <w:r w:rsidRPr="00FA0D37">
              <w:rPr>
                <w:rFonts w:cs="Arial"/>
                <w:b/>
                <w:bCs/>
                <w:i/>
                <w:iCs/>
                <w:lang w:eastAsia="sv-SE"/>
              </w:rPr>
              <w:t>sl-BWP-Generic</w:t>
            </w:r>
          </w:p>
          <w:p w14:paraId="103F47C7" w14:textId="77777777" w:rsidR="00394471" w:rsidRPr="00FA0D37" w:rsidRDefault="00394471" w:rsidP="00964CC4">
            <w:pPr>
              <w:pStyle w:val="TAL"/>
              <w:rPr>
                <w:szCs w:val="22"/>
                <w:lang w:eastAsia="sv-SE"/>
              </w:rPr>
            </w:pPr>
            <w:r w:rsidRPr="00FA0D37">
              <w:rPr>
                <w:lang w:eastAsia="sv-SE"/>
              </w:rPr>
              <w:t>This field indicates the generic parameters on the configured sidelink BWP.</w:t>
            </w:r>
          </w:p>
        </w:tc>
      </w:tr>
      <w:tr w:rsidR="005C7FF4" w:rsidRPr="00FA0D37" w14:paraId="6C921B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ED78D4" w14:textId="77777777" w:rsidR="00394471" w:rsidRPr="00FA0D37" w:rsidRDefault="00394471" w:rsidP="00964CC4">
            <w:pPr>
              <w:pStyle w:val="TAL"/>
              <w:rPr>
                <w:b/>
                <w:bCs/>
                <w:i/>
                <w:iCs/>
                <w:lang w:eastAsia="sv-SE"/>
              </w:rPr>
            </w:pPr>
            <w:r w:rsidRPr="00FA0D37">
              <w:rPr>
                <w:b/>
                <w:bCs/>
                <w:i/>
                <w:iCs/>
                <w:lang w:eastAsia="sv-SE"/>
              </w:rPr>
              <w:t>sl-BWP-PoolConfigCommon</w:t>
            </w:r>
          </w:p>
          <w:p w14:paraId="6641276B" w14:textId="77777777" w:rsidR="00394471" w:rsidRPr="00FA0D37" w:rsidRDefault="00394471" w:rsidP="00964CC4">
            <w:pPr>
              <w:pStyle w:val="TAL"/>
              <w:rPr>
                <w:lang w:eastAsia="sv-SE"/>
              </w:rPr>
            </w:pPr>
            <w:r w:rsidRPr="00FA0D37">
              <w:rPr>
                <w:lang w:eastAsia="sv-SE"/>
              </w:rPr>
              <w:t>This field indicates the resource pool configurations on the configured sidelink BWP.</w:t>
            </w:r>
          </w:p>
        </w:tc>
      </w:tr>
      <w:tr w:rsidR="00C26E98" w:rsidRPr="00FA0D37" w14:paraId="578BBC0F" w14:textId="77777777" w:rsidTr="00C26E98">
        <w:tc>
          <w:tcPr>
            <w:tcW w:w="14173" w:type="dxa"/>
            <w:tcBorders>
              <w:top w:val="single" w:sz="4" w:space="0" w:color="auto"/>
              <w:left w:val="single" w:sz="4" w:space="0" w:color="auto"/>
              <w:bottom w:val="single" w:sz="4" w:space="0" w:color="auto"/>
              <w:right w:val="single" w:sz="4" w:space="0" w:color="auto"/>
            </w:tcBorders>
            <w:hideMark/>
          </w:tcPr>
          <w:p w14:paraId="5F05052A" w14:textId="77777777" w:rsidR="00C26E98" w:rsidRPr="00FA0D37" w:rsidRDefault="00C26E98" w:rsidP="00771058">
            <w:pPr>
              <w:pStyle w:val="TAL"/>
              <w:rPr>
                <w:b/>
                <w:bCs/>
                <w:i/>
                <w:iCs/>
                <w:lang w:eastAsia="sv-SE"/>
              </w:rPr>
            </w:pPr>
            <w:r w:rsidRPr="00FA0D37">
              <w:rPr>
                <w:b/>
                <w:bCs/>
                <w:i/>
                <w:iCs/>
                <w:lang w:eastAsia="sv-SE"/>
              </w:rPr>
              <w:t>sl-BWP-PoolConfigCommonPS</w:t>
            </w:r>
          </w:p>
          <w:p w14:paraId="5EA41378" w14:textId="153F6B10" w:rsidR="00C26E98" w:rsidRPr="00FA0D37" w:rsidRDefault="00C26E98" w:rsidP="00771058">
            <w:pPr>
              <w:pStyle w:val="TAL"/>
              <w:rPr>
                <w:lang w:eastAsia="sv-SE"/>
              </w:rPr>
            </w:pPr>
            <w:r w:rsidRPr="00FA0D37">
              <w:rPr>
                <w:lang w:eastAsia="sv-SE"/>
              </w:rPr>
              <w:t>This field indicates the resource pool configurations for power saving on the configured sidelink BWP.</w:t>
            </w:r>
            <w:r w:rsidR="0007748F" w:rsidRPr="00FA0D37">
              <w:t xml:space="preserve"> </w:t>
            </w:r>
            <w:r w:rsidR="0007748F" w:rsidRPr="00FA0D37">
              <w:rPr>
                <w:lang w:eastAsia="sv-SE"/>
              </w:rPr>
              <w:t xml:space="preserve">This field does not include </w:t>
            </w:r>
            <w:r w:rsidR="0007748F" w:rsidRPr="00FA0D37">
              <w:rPr>
                <w:i/>
                <w:lang w:eastAsia="sv-SE"/>
              </w:rPr>
              <w:t>sl-TxPoolExceptional</w:t>
            </w:r>
            <w:r w:rsidR="0007748F" w:rsidRPr="00FA0D37">
              <w:rPr>
                <w:lang w:eastAsia="sv-SE"/>
              </w:rPr>
              <w:t>.</w:t>
            </w:r>
          </w:p>
        </w:tc>
      </w:tr>
    </w:tbl>
    <w:p w14:paraId="3C441859" w14:textId="3B3D8B51" w:rsidR="00394471" w:rsidRPr="00FA0D37" w:rsidRDefault="00394471" w:rsidP="00394471">
      <w:pPr>
        <w:rPr>
          <w:rFonts w:eastAsia="MS Mincho"/>
        </w:rPr>
      </w:pPr>
    </w:p>
    <w:p w14:paraId="1A9C0085" w14:textId="4CD4D1CD" w:rsidR="00BD2D2B" w:rsidRPr="00FA0D37" w:rsidRDefault="00BD2D2B" w:rsidP="000830BB">
      <w:pPr>
        <w:pStyle w:val="4"/>
      </w:pPr>
      <w:bookmarkStart w:id="1718" w:name="_Toc146781636"/>
      <w:r w:rsidRPr="00FA0D37">
        <w:t>–</w:t>
      </w:r>
      <w:r w:rsidRPr="00FA0D37">
        <w:tab/>
      </w:r>
      <w:r w:rsidRPr="00FA0D37">
        <w:rPr>
          <w:i/>
          <w:iCs/>
        </w:rPr>
        <w:t>SL-BWP-DiscPoolConfig</w:t>
      </w:r>
      <w:bookmarkEnd w:id="1718"/>
    </w:p>
    <w:p w14:paraId="6DCCB9B1" w14:textId="77777777" w:rsidR="00BD2D2B" w:rsidRPr="00FA0D37" w:rsidRDefault="00BD2D2B" w:rsidP="00BD2D2B">
      <w:r w:rsidRPr="00FA0D37">
        <w:t xml:space="preserve">The IE </w:t>
      </w:r>
      <w:r w:rsidRPr="00FA0D37">
        <w:rPr>
          <w:i/>
        </w:rPr>
        <w:t>SL-BWP-DiscPoolConfig</w:t>
      </w:r>
      <w:r w:rsidRPr="00FA0D37">
        <w:t xml:space="preserve"> is used to configure </w:t>
      </w:r>
      <w:r w:rsidRPr="00FA0D37">
        <w:rPr>
          <w:rFonts w:eastAsia="宋体"/>
          <w:lang w:eastAsia="zh-CN"/>
        </w:rPr>
        <w:t>UE specific</w:t>
      </w:r>
      <w:r w:rsidRPr="00FA0D37">
        <w:rPr>
          <w:iCs/>
        </w:rPr>
        <w:t xml:space="preserve"> NR sidelink discovery dedicated resource pool</w:t>
      </w:r>
      <w:r w:rsidRPr="00FA0D37">
        <w:t>.</w:t>
      </w:r>
    </w:p>
    <w:p w14:paraId="61FCB129" w14:textId="77777777" w:rsidR="00BD2D2B" w:rsidRPr="00FA0D37" w:rsidRDefault="00BD2D2B" w:rsidP="000830BB">
      <w:pPr>
        <w:pStyle w:val="TH"/>
      </w:pPr>
      <w:r w:rsidRPr="00FA0D37">
        <w:rPr>
          <w:i/>
          <w:iCs/>
        </w:rPr>
        <w:t>SL-BWP-DiscPoolConfig</w:t>
      </w:r>
      <w:r w:rsidRPr="00FA0D37">
        <w:t xml:space="preserve"> information element</w:t>
      </w:r>
    </w:p>
    <w:p w14:paraId="010C2253" w14:textId="77777777" w:rsidR="00BD2D2B" w:rsidRPr="00FA0D37" w:rsidRDefault="00BD2D2B" w:rsidP="00FA0D37">
      <w:pPr>
        <w:pStyle w:val="PL"/>
        <w:rPr>
          <w:color w:val="808080"/>
        </w:rPr>
      </w:pPr>
      <w:r w:rsidRPr="00FA0D37">
        <w:rPr>
          <w:color w:val="808080"/>
        </w:rPr>
        <w:t>-- ASN1START</w:t>
      </w:r>
    </w:p>
    <w:p w14:paraId="4022E7CA" w14:textId="77777777" w:rsidR="00BD2D2B" w:rsidRPr="00FA0D37" w:rsidRDefault="00BD2D2B" w:rsidP="00FA0D37">
      <w:pPr>
        <w:pStyle w:val="PL"/>
        <w:rPr>
          <w:color w:val="808080"/>
        </w:rPr>
      </w:pPr>
      <w:r w:rsidRPr="00FA0D37">
        <w:rPr>
          <w:color w:val="808080"/>
        </w:rPr>
        <w:t>-- TAG-SL-BWP-DISCPOOLCONFIG-START</w:t>
      </w:r>
    </w:p>
    <w:p w14:paraId="16230CD9" w14:textId="77777777" w:rsidR="00BD2D2B" w:rsidRPr="00FA0D37" w:rsidRDefault="00BD2D2B" w:rsidP="00FA0D37">
      <w:pPr>
        <w:pStyle w:val="PL"/>
      </w:pPr>
    </w:p>
    <w:p w14:paraId="59B099DA" w14:textId="77777777" w:rsidR="00BD2D2B" w:rsidRPr="00FA0D37" w:rsidRDefault="00BD2D2B" w:rsidP="00FA0D37">
      <w:pPr>
        <w:pStyle w:val="PL"/>
      </w:pPr>
      <w:r w:rsidRPr="00FA0D37">
        <w:t xml:space="preserve">SL-BWP-DiscPoolConfig-r17 ::=        </w:t>
      </w:r>
      <w:r w:rsidRPr="00FA0D37">
        <w:rPr>
          <w:color w:val="993366"/>
        </w:rPr>
        <w:t>SEQUENCE</w:t>
      </w:r>
      <w:r w:rsidRPr="00FA0D37">
        <w:t xml:space="preserve"> {</w:t>
      </w:r>
    </w:p>
    <w:p w14:paraId="670B22CD" w14:textId="77777777" w:rsidR="00BD2D2B" w:rsidRPr="00FA0D37" w:rsidRDefault="00BD2D2B" w:rsidP="00FA0D37">
      <w:pPr>
        <w:pStyle w:val="PL"/>
        <w:rPr>
          <w:color w:val="808080"/>
        </w:rPr>
      </w:pPr>
      <w:r w:rsidRPr="00FA0D37">
        <w:t xml:space="preserve">    sl-DiscRxPool-r17                    </w:t>
      </w:r>
      <w:r w:rsidRPr="00FA0D37">
        <w:rPr>
          <w:color w:val="993366"/>
        </w:rPr>
        <w:t>SEQUENCE</w:t>
      </w:r>
      <w:r w:rsidRPr="00FA0D37">
        <w:t xml:space="preserve"> (</w:t>
      </w:r>
      <w:r w:rsidRPr="00FA0D37">
        <w:rPr>
          <w:color w:val="993366"/>
        </w:rPr>
        <w:t>SIZE</w:t>
      </w:r>
      <w:r w:rsidRPr="00FA0D37">
        <w:t xml:space="preserve"> (1..maxNrofRXPool-r16))</w:t>
      </w:r>
      <w:r w:rsidRPr="00FA0D37">
        <w:rPr>
          <w:color w:val="993366"/>
        </w:rPr>
        <w:t xml:space="preserve"> OF</w:t>
      </w:r>
      <w:r w:rsidRPr="00FA0D37">
        <w:t xml:space="preserve"> SL-ResourcePool-r16        </w:t>
      </w:r>
      <w:r w:rsidRPr="00FA0D37">
        <w:rPr>
          <w:color w:val="993366"/>
        </w:rPr>
        <w:t>OPTIONAL</w:t>
      </w:r>
      <w:r w:rsidRPr="00FA0D37">
        <w:t xml:space="preserve">,    </w:t>
      </w:r>
      <w:r w:rsidRPr="00FA0D37">
        <w:rPr>
          <w:color w:val="808080"/>
        </w:rPr>
        <w:t>-- Cond HO</w:t>
      </w:r>
    </w:p>
    <w:p w14:paraId="3142EDD0" w14:textId="77777777" w:rsidR="00BD2D2B" w:rsidRPr="00FA0D37" w:rsidRDefault="00BD2D2B" w:rsidP="00FA0D37">
      <w:pPr>
        <w:pStyle w:val="PL"/>
        <w:rPr>
          <w:color w:val="808080"/>
        </w:rPr>
      </w:pPr>
      <w:r w:rsidRPr="00FA0D37">
        <w:t xml:space="preserve">    sl-DiscTxPoolSelected-r17            SL-TxPoolDedicated-r16                                               </w:t>
      </w:r>
      <w:r w:rsidRPr="00FA0D37">
        <w:rPr>
          <w:color w:val="993366"/>
        </w:rPr>
        <w:t>OPTIONAL</w:t>
      </w:r>
      <w:r w:rsidRPr="00FA0D37">
        <w:t xml:space="preserve">,    </w:t>
      </w:r>
      <w:r w:rsidRPr="00FA0D37">
        <w:rPr>
          <w:color w:val="808080"/>
        </w:rPr>
        <w:t>-- Need M</w:t>
      </w:r>
    </w:p>
    <w:p w14:paraId="6FAA0825" w14:textId="77777777" w:rsidR="00BD2D2B" w:rsidRPr="00FA0D37" w:rsidRDefault="00BD2D2B" w:rsidP="00FA0D37">
      <w:pPr>
        <w:pStyle w:val="PL"/>
        <w:rPr>
          <w:color w:val="808080"/>
        </w:rPr>
      </w:pPr>
      <w:r w:rsidRPr="00FA0D37">
        <w:t xml:space="preserve">    sl-DiscTxPoolScheduling-r17          SL-TxPoolDedicated-r16                                               </w:t>
      </w:r>
      <w:r w:rsidRPr="00FA0D37">
        <w:rPr>
          <w:color w:val="993366"/>
        </w:rPr>
        <w:t>OPTIONAL</w:t>
      </w:r>
      <w:r w:rsidRPr="00FA0D37">
        <w:t xml:space="preserve">     </w:t>
      </w:r>
      <w:r w:rsidRPr="00FA0D37">
        <w:rPr>
          <w:color w:val="808080"/>
        </w:rPr>
        <w:t>-- Need N</w:t>
      </w:r>
    </w:p>
    <w:p w14:paraId="69076D7F" w14:textId="77777777" w:rsidR="00BD2D2B" w:rsidRPr="00FA0D37" w:rsidRDefault="00BD2D2B" w:rsidP="00FA0D37">
      <w:pPr>
        <w:pStyle w:val="PL"/>
      </w:pPr>
      <w:r w:rsidRPr="00FA0D37">
        <w:t>}</w:t>
      </w:r>
    </w:p>
    <w:p w14:paraId="5D009D4B" w14:textId="77777777" w:rsidR="00BD2D2B" w:rsidRPr="00FA0D37" w:rsidRDefault="00BD2D2B" w:rsidP="00FA0D37">
      <w:pPr>
        <w:pStyle w:val="PL"/>
      </w:pPr>
    </w:p>
    <w:p w14:paraId="63447602" w14:textId="77777777" w:rsidR="00BD2D2B" w:rsidRPr="00FA0D37" w:rsidRDefault="00BD2D2B" w:rsidP="00FA0D37">
      <w:pPr>
        <w:pStyle w:val="PL"/>
        <w:rPr>
          <w:color w:val="808080"/>
        </w:rPr>
      </w:pPr>
      <w:r w:rsidRPr="00FA0D37">
        <w:rPr>
          <w:color w:val="808080"/>
        </w:rPr>
        <w:t>-- TAG-SL-BWP-DISCPOOLCONFIG-STOP</w:t>
      </w:r>
    </w:p>
    <w:p w14:paraId="01FF40B6" w14:textId="15150A9A" w:rsidR="00BD2D2B" w:rsidRPr="00FA0D37" w:rsidRDefault="00BD2D2B" w:rsidP="00FA0D37">
      <w:pPr>
        <w:pStyle w:val="PL"/>
        <w:rPr>
          <w:color w:val="808080"/>
        </w:rPr>
      </w:pPr>
      <w:r w:rsidRPr="00FA0D37">
        <w:rPr>
          <w:color w:val="808080"/>
        </w:rPr>
        <w:t>-- ASN1STOP</w:t>
      </w:r>
    </w:p>
    <w:p w14:paraId="2FA1741A" w14:textId="77777777" w:rsidR="00984519" w:rsidRPr="00FA0D37" w:rsidRDefault="00984519" w:rsidP="00984519">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DD01D26"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EFCE74" w14:textId="77777777" w:rsidR="00984519" w:rsidRPr="00FA0D37" w:rsidRDefault="00984519" w:rsidP="00A12BD9">
            <w:pPr>
              <w:pStyle w:val="TAH"/>
              <w:rPr>
                <w:lang w:eastAsia="sv-SE"/>
              </w:rPr>
            </w:pPr>
            <w:r w:rsidRPr="00FA0D37">
              <w:rPr>
                <w:i/>
                <w:iCs/>
                <w:lang w:eastAsia="sv-SE"/>
              </w:rPr>
              <w:t>SL-BWP-DiscPoolConfig</w:t>
            </w:r>
            <w:r w:rsidRPr="00FA0D37">
              <w:rPr>
                <w:lang w:eastAsia="sv-SE"/>
              </w:rPr>
              <w:t xml:space="preserve"> field descriptions</w:t>
            </w:r>
          </w:p>
        </w:tc>
      </w:tr>
      <w:tr w:rsidR="00984519" w:rsidRPr="00FA0D37" w14:paraId="3EEC5399" w14:textId="77777777" w:rsidTr="0071565C">
        <w:tc>
          <w:tcPr>
            <w:tcW w:w="14173" w:type="dxa"/>
            <w:tcBorders>
              <w:top w:val="single" w:sz="4" w:space="0" w:color="auto"/>
              <w:left w:val="single" w:sz="4" w:space="0" w:color="auto"/>
              <w:bottom w:val="single" w:sz="4" w:space="0" w:color="auto"/>
              <w:right w:val="single" w:sz="4" w:space="0" w:color="auto"/>
            </w:tcBorders>
          </w:tcPr>
          <w:p w14:paraId="03FAE897" w14:textId="77777777" w:rsidR="00984519" w:rsidRPr="00FA0D37" w:rsidRDefault="00984519" w:rsidP="00A12BD9">
            <w:pPr>
              <w:pStyle w:val="TAL"/>
              <w:rPr>
                <w:b/>
                <w:bCs/>
                <w:i/>
                <w:iCs/>
                <w:lang w:eastAsia="sv-SE"/>
              </w:rPr>
            </w:pPr>
            <w:r w:rsidRPr="00FA0D37">
              <w:rPr>
                <w:b/>
                <w:bCs/>
                <w:i/>
                <w:iCs/>
                <w:lang w:eastAsia="sv-SE"/>
              </w:rPr>
              <w:t>sl-DiscTxPoolScheduling</w:t>
            </w:r>
          </w:p>
          <w:p w14:paraId="4BB99BA8" w14:textId="77777777" w:rsidR="00984519" w:rsidRPr="00FA0D37" w:rsidRDefault="00984519" w:rsidP="00A12BD9">
            <w:pPr>
              <w:pStyle w:val="TAL"/>
              <w:rPr>
                <w:lang w:eastAsia="sv-SE"/>
              </w:rPr>
            </w:pPr>
            <w:r w:rsidRPr="00FA0D37">
              <w:rPr>
                <w:kern w:val="2"/>
                <w:lang w:eastAsia="en-GB"/>
              </w:rPr>
              <w:t xml:space="preserve">Indicates the resources by which the UE is allowed to transmit </w:t>
            </w:r>
            <w:r w:rsidRPr="00FA0D37">
              <w:rPr>
                <w:kern w:val="2"/>
                <w:lang w:eastAsia="zh-CN"/>
              </w:rPr>
              <w:t>NR</w:t>
            </w:r>
            <w:r w:rsidRPr="00FA0D37">
              <w:rPr>
                <w:lang w:eastAsia="en-GB"/>
              </w:rPr>
              <w:t xml:space="preserve"> sidelink </w:t>
            </w:r>
            <w:r w:rsidRPr="00FA0D37">
              <w:rPr>
                <w:kern w:val="2"/>
                <w:lang w:eastAsia="en-GB"/>
              </w:rPr>
              <w:t>discover based on network scheduling on the configured BWP. For the PSFCH related configuration, if configured, will be used for PSFCH transmission/reception.</w:t>
            </w:r>
          </w:p>
          <w:p w14:paraId="2A955BB7" w14:textId="77777777" w:rsidR="00984519" w:rsidRPr="00FA0D37" w:rsidRDefault="00984519" w:rsidP="00A12BD9">
            <w:pPr>
              <w:pStyle w:val="TAL"/>
              <w:rPr>
                <w:lang w:eastAsia="sv-SE"/>
              </w:rPr>
            </w:pPr>
            <w:r w:rsidRPr="00FA0D37">
              <w:rPr>
                <w:kern w:val="2"/>
                <w:lang w:eastAsia="en-GB"/>
              </w:rPr>
              <w:t>When this field is configured together with</w:t>
            </w:r>
            <w:r w:rsidRPr="00FA0D37">
              <w:rPr>
                <w:lang w:eastAsia="sv-SE"/>
              </w:rPr>
              <w:t xml:space="preserve"> </w:t>
            </w:r>
            <w:r w:rsidRPr="00FA0D37">
              <w:rPr>
                <w:i/>
                <w:iCs/>
                <w:kern w:val="2"/>
                <w:lang w:eastAsia="en-GB"/>
              </w:rPr>
              <w:t>sl-TxPoolScheduling</w:t>
            </w:r>
            <w:r w:rsidRPr="00FA0D37">
              <w:rPr>
                <w:lang w:eastAsia="sv-SE"/>
              </w:rPr>
              <w:t xml:space="preserve">, </w:t>
            </w:r>
            <w:r w:rsidRPr="00FA0D37">
              <w:rPr>
                <w:kern w:val="2"/>
                <w:lang w:eastAsia="en-GB"/>
              </w:rPr>
              <w:t xml:space="preserve">the resource pool index (which is used in DCI Format 3_0 in TS 38.212 [17], clause 7.3.1.4.1) is defined as 0, 1,  …,  x-1 for the resource pools included in the </w:t>
            </w:r>
            <w:r w:rsidRPr="00FA0D37">
              <w:rPr>
                <w:i/>
                <w:iCs/>
                <w:kern w:val="2"/>
                <w:lang w:eastAsia="en-GB"/>
              </w:rPr>
              <w:t>sl-TxPoolScheduling</w:t>
            </w:r>
            <w:r w:rsidRPr="00FA0D37">
              <w:rPr>
                <w:kern w:val="2"/>
                <w:lang w:eastAsia="en-GB"/>
              </w:rPr>
              <w:t xml:space="preserve">, and x, x+1, …, x+y-1 for the resource pools included in </w:t>
            </w:r>
            <w:r w:rsidRPr="00FA0D37">
              <w:rPr>
                <w:i/>
                <w:iCs/>
                <w:kern w:val="2"/>
                <w:lang w:eastAsia="en-GB"/>
              </w:rPr>
              <w:t>sl-DiscTxPoolScheduling</w:t>
            </w:r>
            <w:r w:rsidRPr="00FA0D37">
              <w:rPr>
                <w:kern w:val="2"/>
                <w:lang w:eastAsia="en-GB"/>
              </w:rPr>
              <w:t xml:space="preserve">, where x is the number of the resource pools in </w:t>
            </w:r>
            <w:r w:rsidRPr="00FA0D37">
              <w:rPr>
                <w:i/>
                <w:iCs/>
                <w:kern w:val="2"/>
                <w:lang w:eastAsia="en-GB"/>
              </w:rPr>
              <w:t>sl-TxPoolScheduling</w:t>
            </w:r>
            <w:r w:rsidRPr="00FA0D37">
              <w:rPr>
                <w:kern w:val="2"/>
                <w:lang w:eastAsia="en-GB"/>
              </w:rPr>
              <w:t xml:space="preserve">, and y is the number of resource pools in </w:t>
            </w:r>
            <w:r w:rsidRPr="00FA0D37">
              <w:rPr>
                <w:i/>
                <w:iCs/>
                <w:kern w:val="2"/>
                <w:lang w:eastAsia="en-GB"/>
              </w:rPr>
              <w:t>sl-DiscTxPoolScheduling</w:t>
            </w:r>
            <w:r w:rsidRPr="00FA0D37">
              <w:rPr>
                <w:kern w:val="2"/>
                <w:lang w:eastAsia="en-GB"/>
              </w:rPr>
              <w:t>.</w:t>
            </w:r>
          </w:p>
        </w:tc>
      </w:tr>
    </w:tbl>
    <w:p w14:paraId="21D55AC3" w14:textId="77777777" w:rsidR="00BD2D2B" w:rsidRPr="00FA0D37" w:rsidRDefault="00BD2D2B" w:rsidP="00BD2D2B">
      <w:pPr>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5C7FF4" w:rsidRPr="00FA0D37" w14:paraId="50EDE3F9" w14:textId="77777777" w:rsidTr="00771058">
        <w:tc>
          <w:tcPr>
            <w:tcW w:w="3402" w:type="dxa"/>
            <w:tcBorders>
              <w:top w:val="single" w:sz="4" w:space="0" w:color="auto"/>
              <w:left w:val="single" w:sz="4" w:space="0" w:color="auto"/>
              <w:bottom w:val="single" w:sz="4" w:space="0" w:color="auto"/>
              <w:right w:val="single" w:sz="4" w:space="0" w:color="auto"/>
            </w:tcBorders>
          </w:tcPr>
          <w:p w14:paraId="1107A0B7" w14:textId="77777777" w:rsidR="00BD2D2B" w:rsidRPr="00FA0D37" w:rsidRDefault="00BD2D2B" w:rsidP="000830BB">
            <w:pPr>
              <w:pStyle w:val="TAH"/>
              <w:rPr>
                <w:lang w:eastAsia="sv-SE"/>
              </w:rPr>
            </w:pPr>
            <w:r w:rsidRPr="00FA0D37">
              <w:rPr>
                <w:lang w:eastAsia="sv-SE"/>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tcPr>
          <w:p w14:paraId="6CAD56F5" w14:textId="77777777" w:rsidR="00BD2D2B" w:rsidRPr="00FA0D37" w:rsidRDefault="00BD2D2B" w:rsidP="000830BB">
            <w:pPr>
              <w:pStyle w:val="TAH"/>
              <w:rPr>
                <w:lang w:eastAsia="sv-SE"/>
              </w:rPr>
            </w:pPr>
            <w:r w:rsidRPr="00FA0D37">
              <w:rPr>
                <w:lang w:eastAsia="sv-SE"/>
              </w:rPr>
              <w:t>Explanation</w:t>
            </w:r>
          </w:p>
        </w:tc>
      </w:tr>
      <w:tr w:rsidR="00BD2D2B" w:rsidRPr="00FA0D37" w14:paraId="60C9C8E3" w14:textId="77777777" w:rsidTr="00771058">
        <w:tc>
          <w:tcPr>
            <w:tcW w:w="3402" w:type="dxa"/>
            <w:tcBorders>
              <w:top w:val="single" w:sz="4" w:space="0" w:color="auto"/>
              <w:left w:val="single" w:sz="4" w:space="0" w:color="auto"/>
              <w:bottom w:val="single" w:sz="4" w:space="0" w:color="auto"/>
              <w:right w:val="single" w:sz="4" w:space="0" w:color="auto"/>
            </w:tcBorders>
          </w:tcPr>
          <w:p w14:paraId="514FA1BF" w14:textId="77777777" w:rsidR="00BD2D2B" w:rsidRPr="00FA0D37" w:rsidRDefault="00BD2D2B" w:rsidP="000830BB">
            <w:pPr>
              <w:pStyle w:val="TAL"/>
              <w:rPr>
                <w:b/>
                <w:i/>
                <w:iCs/>
                <w:lang w:eastAsia="sv-SE"/>
              </w:rPr>
            </w:pPr>
            <w:r w:rsidRPr="00FA0D37">
              <w:rPr>
                <w:i/>
                <w:iCs/>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76FCF181" w14:textId="77777777" w:rsidR="00BD2D2B" w:rsidRPr="00FA0D37" w:rsidRDefault="00BD2D2B" w:rsidP="000830BB">
            <w:pPr>
              <w:pStyle w:val="TAL"/>
              <w:rPr>
                <w:b/>
                <w:lang w:eastAsia="sv-SE"/>
              </w:rPr>
            </w:pPr>
            <w:r w:rsidRPr="00FA0D37">
              <w:rPr>
                <w:lang w:eastAsia="sv-SE"/>
              </w:rPr>
              <w:t xml:space="preserve">This field is optionally present, need M, in an </w:t>
            </w:r>
            <w:r w:rsidRPr="00FA0D37">
              <w:rPr>
                <w:i/>
                <w:iCs/>
                <w:lang w:eastAsia="sv-SE"/>
              </w:rPr>
              <w:t>RRCReconfiguration</w:t>
            </w:r>
            <w:r w:rsidRPr="00FA0D37">
              <w:rPr>
                <w:lang w:eastAsia="sv-SE"/>
              </w:rPr>
              <w:t xml:space="preserve"> message including </w:t>
            </w:r>
            <w:r w:rsidRPr="00FA0D37">
              <w:rPr>
                <w:i/>
                <w:iCs/>
                <w:lang w:eastAsia="sv-SE"/>
              </w:rPr>
              <w:t>reconfigurationWithSync</w:t>
            </w:r>
            <w:r w:rsidRPr="00FA0D37">
              <w:rPr>
                <w:lang w:eastAsia="sv-SE"/>
              </w:rPr>
              <w:t>; otherwise it is absent</w:t>
            </w:r>
            <w:r w:rsidRPr="00FA0D37">
              <w:t>, need M</w:t>
            </w:r>
            <w:r w:rsidRPr="00FA0D37">
              <w:rPr>
                <w:lang w:eastAsia="sv-SE"/>
              </w:rPr>
              <w:t>.</w:t>
            </w:r>
          </w:p>
        </w:tc>
      </w:tr>
    </w:tbl>
    <w:p w14:paraId="382CA360" w14:textId="77777777" w:rsidR="00BD2D2B" w:rsidRPr="00FA0D37" w:rsidRDefault="00BD2D2B" w:rsidP="00BD2D2B">
      <w:pPr>
        <w:rPr>
          <w:rFonts w:eastAsia="MS Mincho"/>
        </w:rPr>
      </w:pPr>
    </w:p>
    <w:p w14:paraId="23847DD5" w14:textId="44F5AB96" w:rsidR="00BD2D2B" w:rsidRPr="00FA0D37" w:rsidRDefault="00BD2D2B" w:rsidP="000830BB">
      <w:pPr>
        <w:pStyle w:val="4"/>
      </w:pPr>
      <w:bookmarkStart w:id="1719" w:name="_Toc146781637"/>
      <w:r w:rsidRPr="00FA0D37">
        <w:t>–</w:t>
      </w:r>
      <w:r w:rsidRPr="00FA0D37">
        <w:tab/>
      </w:r>
      <w:r w:rsidRPr="00FA0D37">
        <w:rPr>
          <w:i/>
          <w:iCs/>
        </w:rPr>
        <w:t>SL-BWP-DiscPoolConfigCommon</w:t>
      </w:r>
      <w:bookmarkEnd w:id="1719"/>
    </w:p>
    <w:p w14:paraId="2CDC13B2" w14:textId="77777777" w:rsidR="00BD2D2B" w:rsidRPr="00FA0D37" w:rsidRDefault="00BD2D2B" w:rsidP="00BD2D2B">
      <w:r w:rsidRPr="00FA0D37">
        <w:t xml:space="preserve">The IE </w:t>
      </w:r>
      <w:r w:rsidRPr="00FA0D37">
        <w:rPr>
          <w:i/>
        </w:rPr>
        <w:t xml:space="preserve">SL-BWP-DiscPoolConfigCommon </w:t>
      </w:r>
      <w:r w:rsidRPr="00FA0D37">
        <w:t>is used to configure</w:t>
      </w:r>
      <w:r w:rsidRPr="00FA0D37">
        <w:rPr>
          <w:iCs/>
        </w:rPr>
        <w:t xml:space="preserve"> the </w:t>
      </w:r>
      <w:r w:rsidRPr="00FA0D37">
        <w:rPr>
          <w:iCs/>
          <w:lang w:eastAsia="zh-CN"/>
        </w:rPr>
        <w:t>cell-specific</w:t>
      </w:r>
      <w:r w:rsidRPr="00FA0D37">
        <w:t xml:space="preserve"> </w:t>
      </w:r>
      <w:r w:rsidRPr="00FA0D37">
        <w:rPr>
          <w:iCs/>
        </w:rPr>
        <w:t>NR sidelink discovery dedicated resource pool</w:t>
      </w:r>
      <w:r w:rsidRPr="00FA0D37">
        <w:t>.</w:t>
      </w:r>
    </w:p>
    <w:p w14:paraId="11EC59CD" w14:textId="77777777" w:rsidR="00BD2D2B" w:rsidRPr="00FA0D37" w:rsidRDefault="00BD2D2B" w:rsidP="000830BB">
      <w:pPr>
        <w:pStyle w:val="TH"/>
      </w:pPr>
      <w:r w:rsidRPr="00FA0D37">
        <w:rPr>
          <w:i/>
          <w:iCs/>
        </w:rPr>
        <w:t>SL-BWP-DiscPoolConfigCommon</w:t>
      </w:r>
      <w:r w:rsidRPr="00FA0D37">
        <w:t xml:space="preserve"> information element</w:t>
      </w:r>
    </w:p>
    <w:p w14:paraId="68A2EF81" w14:textId="77777777" w:rsidR="00BD2D2B" w:rsidRPr="00FA0D37" w:rsidRDefault="00BD2D2B" w:rsidP="00FA0D37">
      <w:pPr>
        <w:pStyle w:val="PL"/>
        <w:rPr>
          <w:color w:val="808080"/>
        </w:rPr>
      </w:pPr>
      <w:r w:rsidRPr="00FA0D37">
        <w:rPr>
          <w:color w:val="808080"/>
        </w:rPr>
        <w:t>-- ASN1START</w:t>
      </w:r>
    </w:p>
    <w:p w14:paraId="4499553D" w14:textId="77777777" w:rsidR="00BD2D2B" w:rsidRPr="00FA0D37" w:rsidRDefault="00BD2D2B" w:rsidP="00FA0D37">
      <w:pPr>
        <w:pStyle w:val="PL"/>
        <w:rPr>
          <w:color w:val="808080"/>
        </w:rPr>
      </w:pPr>
      <w:r w:rsidRPr="00FA0D37">
        <w:rPr>
          <w:color w:val="808080"/>
        </w:rPr>
        <w:t>-- TAG-SL-BWP-DISCPOOLCONFIGCOMMON-START</w:t>
      </w:r>
    </w:p>
    <w:p w14:paraId="4967D0EA" w14:textId="77777777" w:rsidR="00BD2D2B" w:rsidRPr="00FA0D37" w:rsidRDefault="00BD2D2B" w:rsidP="00FA0D37">
      <w:pPr>
        <w:pStyle w:val="PL"/>
      </w:pPr>
    </w:p>
    <w:p w14:paraId="2EC66CFD" w14:textId="13E50E79" w:rsidR="00BD2D2B" w:rsidRPr="00FA0D37" w:rsidRDefault="00BD2D2B" w:rsidP="00FA0D37">
      <w:pPr>
        <w:pStyle w:val="PL"/>
      </w:pPr>
      <w:r w:rsidRPr="00FA0D37">
        <w:t xml:space="preserve">SL-BWP-DiscPoolConfigCommon-r17 ::= </w:t>
      </w:r>
      <w:r w:rsidRPr="00FA0D37">
        <w:rPr>
          <w:color w:val="993366"/>
        </w:rPr>
        <w:t>SEQUENCE</w:t>
      </w:r>
      <w:r w:rsidRPr="00FA0D37">
        <w:t xml:space="preserve"> {</w:t>
      </w:r>
    </w:p>
    <w:p w14:paraId="0D4FE06F" w14:textId="32F43982" w:rsidR="00BD2D2B" w:rsidRPr="00FA0D37" w:rsidRDefault="00BD2D2B" w:rsidP="00FA0D37">
      <w:pPr>
        <w:pStyle w:val="PL"/>
        <w:rPr>
          <w:color w:val="808080"/>
        </w:rPr>
      </w:pPr>
      <w:r w:rsidRPr="00FA0D37">
        <w:t xml:space="preserve">    sl-DiscRxPool-r17                   </w:t>
      </w:r>
      <w:r w:rsidRPr="00FA0D37">
        <w:rPr>
          <w:color w:val="993366"/>
        </w:rPr>
        <w:t>SEQUENCE</w:t>
      </w:r>
      <w:r w:rsidRPr="00FA0D37">
        <w:t xml:space="preserve"> (</w:t>
      </w:r>
      <w:r w:rsidRPr="00FA0D37">
        <w:rPr>
          <w:color w:val="993366"/>
        </w:rPr>
        <w:t>SIZE</w:t>
      </w:r>
      <w:r w:rsidRPr="00FA0D37">
        <w:t xml:space="preserve"> (1..maxNrofRXPool-r16))</w:t>
      </w:r>
      <w:r w:rsidRPr="00FA0D37">
        <w:rPr>
          <w:color w:val="993366"/>
        </w:rPr>
        <w:t xml:space="preserve"> OF</w:t>
      </w:r>
      <w:r w:rsidRPr="00FA0D37">
        <w:t xml:space="preserve"> SL-ResourcePool-r16         </w:t>
      </w:r>
      <w:r w:rsidRPr="00FA0D37">
        <w:rPr>
          <w:color w:val="993366"/>
        </w:rPr>
        <w:t>OPTIONAL</w:t>
      </w:r>
      <w:r w:rsidRPr="00FA0D37">
        <w:t xml:space="preserve">,    </w:t>
      </w:r>
      <w:r w:rsidRPr="00FA0D37">
        <w:rPr>
          <w:color w:val="808080"/>
        </w:rPr>
        <w:t>-- Need R</w:t>
      </w:r>
    </w:p>
    <w:p w14:paraId="4C61B07B" w14:textId="56A1D7AF" w:rsidR="00BD2D2B" w:rsidRPr="00FA0D37" w:rsidRDefault="00BD2D2B" w:rsidP="00FA0D37">
      <w:pPr>
        <w:pStyle w:val="PL"/>
        <w:rPr>
          <w:color w:val="808080"/>
        </w:rPr>
      </w:pPr>
      <w:r w:rsidRPr="00FA0D37">
        <w:t xml:space="preserve">    sl-DiscTxPoolSelected-r17           </w:t>
      </w:r>
      <w:r w:rsidRPr="00FA0D37">
        <w:rPr>
          <w:color w:val="993366"/>
        </w:rPr>
        <w:t>SEQUENCE</w:t>
      </w:r>
      <w:r w:rsidRPr="00FA0D37">
        <w:t xml:space="preserve"> (</w:t>
      </w:r>
      <w:r w:rsidRPr="00FA0D37">
        <w:rPr>
          <w:color w:val="993366"/>
        </w:rPr>
        <w:t>SIZE</w:t>
      </w:r>
      <w:r w:rsidRPr="00FA0D37">
        <w:t xml:space="preserve"> (1..maxNrofTXPool-r16))</w:t>
      </w:r>
      <w:r w:rsidRPr="00FA0D37">
        <w:rPr>
          <w:color w:val="993366"/>
        </w:rPr>
        <w:t xml:space="preserve"> OF</w:t>
      </w:r>
      <w:r w:rsidRPr="00FA0D37">
        <w:t xml:space="preserve"> SL-ResourcePoolConfig-r16   </w:t>
      </w:r>
      <w:r w:rsidRPr="00FA0D37">
        <w:rPr>
          <w:color w:val="993366"/>
        </w:rPr>
        <w:t>OPTIONAL</w:t>
      </w:r>
      <w:r w:rsidRPr="00FA0D37">
        <w:t xml:space="preserve">,    </w:t>
      </w:r>
      <w:r w:rsidRPr="00FA0D37">
        <w:rPr>
          <w:color w:val="808080"/>
        </w:rPr>
        <w:t>-- Need R</w:t>
      </w:r>
    </w:p>
    <w:p w14:paraId="5ABC3453" w14:textId="77777777" w:rsidR="00BD2D2B" w:rsidRPr="00FA0D37" w:rsidRDefault="00BD2D2B" w:rsidP="00FA0D37">
      <w:pPr>
        <w:pStyle w:val="PL"/>
      </w:pPr>
      <w:r w:rsidRPr="00FA0D37">
        <w:t xml:space="preserve">    ...</w:t>
      </w:r>
    </w:p>
    <w:p w14:paraId="01304599" w14:textId="77777777" w:rsidR="00BD2D2B" w:rsidRPr="00FA0D37" w:rsidRDefault="00BD2D2B" w:rsidP="00FA0D37">
      <w:pPr>
        <w:pStyle w:val="PL"/>
      </w:pPr>
      <w:r w:rsidRPr="00FA0D37">
        <w:t>}</w:t>
      </w:r>
    </w:p>
    <w:p w14:paraId="33EAB235" w14:textId="77777777" w:rsidR="00BD2D2B" w:rsidRPr="00FA0D37" w:rsidRDefault="00BD2D2B" w:rsidP="00FA0D37">
      <w:pPr>
        <w:pStyle w:val="PL"/>
      </w:pPr>
    </w:p>
    <w:p w14:paraId="00EECEBE" w14:textId="77777777" w:rsidR="00BD2D2B" w:rsidRPr="00FA0D37" w:rsidRDefault="00BD2D2B" w:rsidP="00FA0D37">
      <w:pPr>
        <w:pStyle w:val="PL"/>
        <w:rPr>
          <w:color w:val="808080"/>
        </w:rPr>
      </w:pPr>
      <w:r w:rsidRPr="00FA0D37">
        <w:rPr>
          <w:color w:val="808080"/>
        </w:rPr>
        <w:t>-- TAG-SL-BWP-DISCPOOLCONFIGCOMMON-STOP</w:t>
      </w:r>
    </w:p>
    <w:p w14:paraId="1F31EED2" w14:textId="1172ECB0" w:rsidR="00BD2D2B" w:rsidRPr="00FA0D37" w:rsidRDefault="00BD2D2B" w:rsidP="00FA0D37">
      <w:pPr>
        <w:pStyle w:val="PL"/>
        <w:rPr>
          <w:color w:val="808080"/>
        </w:rPr>
      </w:pPr>
      <w:r w:rsidRPr="00FA0D37">
        <w:rPr>
          <w:color w:val="808080"/>
        </w:rPr>
        <w:t>-- ASN1STOP</w:t>
      </w:r>
    </w:p>
    <w:p w14:paraId="43166377" w14:textId="77777777" w:rsidR="00BD2D2B" w:rsidRPr="00FA0D37" w:rsidRDefault="00BD2D2B" w:rsidP="00394471">
      <w:pPr>
        <w:rPr>
          <w:rFonts w:eastAsia="MS Mincho"/>
        </w:rPr>
      </w:pPr>
    </w:p>
    <w:p w14:paraId="1B66DC2F" w14:textId="58952877" w:rsidR="00394471" w:rsidRPr="00FA0D37" w:rsidRDefault="00394471" w:rsidP="00394471">
      <w:pPr>
        <w:pStyle w:val="4"/>
      </w:pPr>
      <w:bookmarkStart w:id="1720" w:name="_Toc60777524"/>
      <w:bookmarkStart w:id="1721" w:name="_Toc146781638"/>
      <w:r w:rsidRPr="00FA0D37">
        <w:t>–</w:t>
      </w:r>
      <w:r w:rsidRPr="00FA0D37">
        <w:tab/>
      </w:r>
      <w:r w:rsidRPr="00FA0D37">
        <w:rPr>
          <w:i/>
          <w:iCs/>
        </w:rPr>
        <w:t>SL-BWP-PoolConfig</w:t>
      </w:r>
      <w:bookmarkEnd w:id="1720"/>
      <w:bookmarkEnd w:id="1721"/>
    </w:p>
    <w:p w14:paraId="5419C659" w14:textId="77777777" w:rsidR="00394471" w:rsidRPr="00FA0D37" w:rsidRDefault="00394471" w:rsidP="00394471">
      <w:r w:rsidRPr="00FA0D37">
        <w:t xml:space="preserve">The IE </w:t>
      </w:r>
      <w:r w:rsidRPr="00FA0D37">
        <w:rPr>
          <w:i/>
        </w:rPr>
        <w:t>SL-BWP-PoolConfig</w:t>
      </w:r>
      <w:r w:rsidRPr="00FA0D37">
        <w:t xml:space="preserve"> is used to configure </w:t>
      </w:r>
      <w:r w:rsidRPr="00FA0D37">
        <w:rPr>
          <w:iCs/>
        </w:rPr>
        <w:t>NR sidelink communication resource pool</w:t>
      </w:r>
      <w:r w:rsidRPr="00FA0D37">
        <w:t>.</w:t>
      </w:r>
    </w:p>
    <w:p w14:paraId="7BDB24E9" w14:textId="77777777" w:rsidR="00394471" w:rsidRPr="00FA0D37" w:rsidRDefault="00394471" w:rsidP="00394471">
      <w:pPr>
        <w:pStyle w:val="TH"/>
      </w:pPr>
      <w:r w:rsidRPr="00FA0D37">
        <w:rPr>
          <w:i/>
        </w:rPr>
        <w:t>SL-BWP-PoolConfig</w:t>
      </w:r>
      <w:r w:rsidRPr="00FA0D37">
        <w:t xml:space="preserve"> information element</w:t>
      </w:r>
    </w:p>
    <w:p w14:paraId="21240405" w14:textId="77777777" w:rsidR="00394471" w:rsidRPr="00FA0D37" w:rsidRDefault="00394471" w:rsidP="00FA0D37">
      <w:pPr>
        <w:pStyle w:val="PL"/>
        <w:rPr>
          <w:color w:val="808080"/>
        </w:rPr>
      </w:pPr>
      <w:r w:rsidRPr="00FA0D37">
        <w:rPr>
          <w:color w:val="808080"/>
        </w:rPr>
        <w:t>-- ASN1START</w:t>
      </w:r>
    </w:p>
    <w:p w14:paraId="7DBAF394" w14:textId="77777777" w:rsidR="00394471" w:rsidRPr="00FA0D37" w:rsidRDefault="00394471" w:rsidP="00FA0D37">
      <w:pPr>
        <w:pStyle w:val="PL"/>
        <w:rPr>
          <w:color w:val="808080"/>
        </w:rPr>
      </w:pPr>
      <w:r w:rsidRPr="00FA0D37">
        <w:rPr>
          <w:color w:val="808080"/>
        </w:rPr>
        <w:t>-- TAG-SL-BWP-POOLCONFIG-START</w:t>
      </w:r>
    </w:p>
    <w:p w14:paraId="081F64B6" w14:textId="77777777" w:rsidR="00394471" w:rsidRPr="00FA0D37" w:rsidRDefault="00394471" w:rsidP="00FA0D37">
      <w:pPr>
        <w:pStyle w:val="PL"/>
      </w:pPr>
    </w:p>
    <w:p w14:paraId="37675BFB" w14:textId="77777777" w:rsidR="00394471" w:rsidRPr="00FA0D37" w:rsidRDefault="00394471" w:rsidP="00FA0D37">
      <w:pPr>
        <w:pStyle w:val="PL"/>
      </w:pPr>
      <w:r w:rsidRPr="00FA0D37">
        <w:t xml:space="preserve">SL-BWP-PoolConfig-r16 ::=        </w:t>
      </w:r>
      <w:r w:rsidRPr="00FA0D37">
        <w:rPr>
          <w:color w:val="993366"/>
        </w:rPr>
        <w:t>SEQUENCE</w:t>
      </w:r>
      <w:r w:rsidRPr="00FA0D37">
        <w:t xml:space="preserve"> {</w:t>
      </w:r>
    </w:p>
    <w:p w14:paraId="13407910" w14:textId="77777777" w:rsidR="00394471" w:rsidRPr="00FA0D37" w:rsidRDefault="00394471" w:rsidP="00FA0D37">
      <w:pPr>
        <w:pStyle w:val="PL"/>
        <w:rPr>
          <w:color w:val="808080"/>
        </w:rPr>
      </w:pPr>
      <w:r w:rsidRPr="00FA0D37">
        <w:t xml:space="preserve">    sl-RxPool-r16                    </w:t>
      </w:r>
      <w:r w:rsidRPr="00FA0D37">
        <w:rPr>
          <w:color w:val="993366"/>
        </w:rPr>
        <w:t>SEQUENCE</w:t>
      </w:r>
      <w:r w:rsidRPr="00FA0D37">
        <w:t xml:space="preserve"> (</w:t>
      </w:r>
      <w:r w:rsidRPr="00FA0D37">
        <w:rPr>
          <w:color w:val="993366"/>
        </w:rPr>
        <w:t>SIZE</w:t>
      </w:r>
      <w:r w:rsidRPr="00FA0D37">
        <w:t xml:space="preserve"> (1..maxNrofRXPool-r16))</w:t>
      </w:r>
      <w:r w:rsidRPr="00FA0D37">
        <w:rPr>
          <w:color w:val="993366"/>
        </w:rPr>
        <w:t xml:space="preserve"> OF</w:t>
      </w:r>
      <w:r w:rsidRPr="00FA0D37">
        <w:t xml:space="preserve"> SL-ResourcePool-r16        </w:t>
      </w:r>
      <w:r w:rsidRPr="00FA0D37">
        <w:rPr>
          <w:color w:val="993366"/>
        </w:rPr>
        <w:t>OPTIONAL</w:t>
      </w:r>
      <w:r w:rsidRPr="00FA0D37">
        <w:t xml:space="preserve">,    </w:t>
      </w:r>
      <w:r w:rsidRPr="00FA0D37">
        <w:rPr>
          <w:color w:val="808080"/>
        </w:rPr>
        <w:t>-- Cond HO</w:t>
      </w:r>
    </w:p>
    <w:p w14:paraId="2B711C3A" w14:textId="77777777" w:rsidR="00394471" w:rsidRPr="00FA0D37" w:rsidRDefault="00394471" w:rsidP="00FA0D37">
      <w:pPr>
        <w:pStyle w:val="PL"/>
        <w:rPr>
          <w:color w:val="808080"/>
        </w:rPr>
      </w:pPr>
      <w:r w:rsidRPr="00FA0D37">
        <w:t xml:space="preserve">    sl-TxPoolSelectedNormal-r16      SL-TxPoolDedicated-r16                                               </w:t>
      </w:r>
      <w:r w:rsidRPr="00FA0D37">
        <w:rPr>
          <w:color w:val="993366"/>
        </w:rPr>
        <w:t>OPTIONAL</w:t>
      </w:r>
      <w:r w:rsidRPr="00FA0D37">
        <w:t xml:space="preserve">,    </w:t>
      </w:r>
      <w:r w:rsidRPr="00FA0D37">
        <w:rPr>
          <w:color w:val="808080"/>
        </w:rPr>
        <w:t>-- Need M</w:t>
      </w:r>
    </w:p>
    <w:p w14:paraId="2D54A680" w14:textId="77777777" w:rsidR="00394471" w:rsidRPr="00FA0D37" w:rsidRDefault="00394471" w:rsidP="00FA0D37">
      <w:pPr>
        <w:pStyle w:val="PL"/>
        <w:rPr>
          <w:color w:val="808080"/>
        </w:rPr>
      </w:pPr>
      <w:r w:rsidRPr="00FA0D37">
        <w:t xml:space="preserve">    sl-TxPoolScheduling-r16          SL-TxPoolDedicated-r16                                               </w:t>
      </w:r>
      <w:r w:rsidRPr="00FA0D37">
        <w:rPr>
          <w:color w:val="993366"/>
        </w:rPr>
        <w:t>OPTIONAL</w:t>
      </w:r>
      <w:r w:rsidRPr="00FA0D37">
        <w:t xml:space="preserve">,    </w:t>
      </w:r>
      <w:r w:rsidRPr="00FA0D37">
        <w:rPr>
          <w:color w:val="808080"/>
        </w:rPr>
        <w:t>-- Need N</w:t>
      </w:r>
    </w:p>
    <w:p w14:paraId="238456A4" w14:textId="77777777" w:rsidR="00394471" w:rsidRPr="00FA0D37" w:rsidRDefault="00394471" w:rsidP="00FA0D37">
      <w:pPr>
        <w:pStyle w:val="PL"/>
        <w:rPr>
          <w:color w:val="808080"/>
        </w:rPr>
      </w:pPr>
      <w:r w:rsidRPr="00FA0D37">
        <w:t xml:space="preserve">    sl-TxPoolExceptional-r16         SL-ResourcePoolConfig-r16                                            </w:t>
      </w:r>
      <w:r w:rsidRPr="00FA0D37">
        <w:rPr>
          <w:color w:val="993366"/>
        </w:rPr>
        <w:t>OPTIONAL</w:t>
      </w:r>
      <w:r w:rsidRPr="00FA0D37">
        <w:t xml:space="preserve">     </w:t>
      </w:r>
      <w:r w:rsidRPr="00FA0D37">
        <w:rPr>
          <w:color w:val="808080"/>
        </w:rPr>
        <w:t>-- Need M</w:t>
      </w:r>
    </w:p>
    <w:p w14:paraId="26FC98C3" w14:textId="77777777" w:rsidR="00394471" w:rsidRPr="00FA0D37" w:rsidRDefault="00394471" w:rsidP="00FA0D37">
      <w:pPr>
        <w:pStyle w:val="PL"/>
        <w:rPr>
          <w:rFonts w:eastAsia="等线"/>
        </w:rPr>
      </w:pPr>
      <w:r w:rsidRPr="00FA0D37">
        <w:rPr>
          <w:rFonts w:eastAsia="等线"/>
        </w:rPr>
        <w:t>}</w:t>
      </w:r>
    </w:p>
    <w:p w14:paraId="437D39BF" w14:textId="77777777" w:rsidR="00394471" w:rsidRPr="00FA0D37" w:rsidRDefault="00394471" w:rsidP="00FA0D37">
      <w:pPr>
        <w:pStyle w:val="PL"/>
      </w:pPr>
    </w:p>
    <w:p w14:paraId="361D241D" w14:textId="77777777" w:rsidR="00394471" w:rsidRPr="00FA0D37" w:rsidRDefault="00394471" w:rsidP="00FA0D37">
      <w:pPr>
        <w:pStyle w:val="PL"/>
      </w:pPr>
      <w:r w:rsidRPr="00FA0D37">
        <w:t xml:space="preserve">SL-TxPoolDedicated-r16 ::=       </w:t>
      </w:r>
      <w:r w:rsidRPr="00FA0D37">
        <w:rPr>
          <w:color w:val="993366"/>
        </w:rPr>
        <w:t>SEQUENCE</w:t>
      </w:r>
      <w:r w:rsidRPr="00FA0D37">
        <w:t xml:space="preserve"> {</w:t>
      </w:r>
    </w:p>
    <w:p w14:paraId="16FF2A34" w14:textId="77777777" w:rsidR="00394471" w:rsidRPr="00FA0D37" w:rsidRDefault="00394471" w:rsidP="00FA0D37">
      <w:pPr>
        <w:pStyle w:val="PL"/>
        <w:rPr>
          <w:color w:val="808080"/>
        </w:rPr>
      </w:pPr>
      <w:r w:rsidRPr="00FA0D37">
        <w:t xml:space="preserve">    sl-PoolToReleaseList-r16         </w:t>
      </w:r>
      <w:r w:rsidRPr="00FA0D37">
        <w:rPr>
          <w:color w:val="993366"/>
        </w:rPr>
        <w:t>SEQUENCE</w:t>
      </w:r>
      <w:r w:rsidRPr="00FA0D37">
        <w:t xml:space="preserve"> (</w:t>
      </w:r>
      <w:r w:rsidRPr="00FA0D37">
        <w:rPr>
          <w:color w:val="993366"/>
        </w:rPr>
        <w:t>SIZE</w:t>
      </w:r>
      <w:r w:rsidRPr="00FA0D37">
        <w:t xml:space="preserve"> (1..maxNrofTXPool-r16))</w:t>
      </w:r>
      <w:r w:rsidRPr="00FA0D37">
        <w:rPr>
          <w:color w:val="993366"/>
        </w:rPr>
        <w:t xml:space="preserve"> OF</w:t>
      </w:r>
      <w:r w:rsidRPr="00FA0D37">
        <w:t xml:space="preserve"> SL-ResourcePoolID-r16      </w:t>
      </w:r>
      <w:r w:rsidRPr="00FA0D37">
        <w:rPr>
          <w:color w:val="993366"/>
        </w:rPr>
        <w:t>OPTIONAL</w:t>
      </w:r>
      <w:r w:rsidRPr="00FA0D37">
        <w:t xml:space="preserve">,    </w:t>
      </w:r>
      <w:r w:rsidRPr="00FA0D37">
        <w:rPr>
          <w:color w:val="808080"/>
        </w:rPr>
        <w:t>-- Need N</w:t>
      </w:r>
    </w:p>
    <w:p w14:paraId="5602D32C" w14:textId="77777777" w:rsidR="00394471" w:rsidRPr="00FA0D37" w:rsidRDefault="00394471" w:rsidP="00FA0D37">
      <w:pPr>
        <w:pStyle w:val="PL"/>
        <w:rPr>
          <w:color w:val="808080"/>
        </w:rPr>
      </w:pPr>
      <w:r w:rsidRPr="00FA0D37">
        <w:t xml:space="preserve">    sl-PoolToAddModList-r16          </w:t>
      </w:r>
      <w:r w:rsidRPr="00FA0D37">
        <w:rPr>
          <w:color w:val="993366"/>
        </w:rPr>
        <w:t>SEQUENCE</w:t>
      </w:r>
      <w:r w:rsidRPr="00FA0D37">
        <w:t xml:space="preserve"> (</w:t>
      </w:r>
      <w:r w:rsidRPr="00FA0D37">
        <w:rPr>
          <w:color w:val="993366"/>
        </w:rPr>
        <w:t>SIZE</w:t>
      </w:r>
      <w:r w:rsidRPr="00FA0D37">
        <w:t xml:space="preserve"> (1..maxNrofTXPool-r16))</w:t>
      </w:r>
      <w:r w:rsidRPr="00FA0D37">
        <w:rPr>
          <w:color w:val="993366"/>
        </w:rPr>
        <w:t xml:space="preserve"> OF</w:t>
      </w:r>
      <w:r w:rsidRPr="00FA0D37">
        <w:t xml:space="preserve"> SL-ResourcePoolConfig-r16  </w:t>
      </w:r>
      <w:r w:rsidRPr="00FA0D37">
        <w:rPr>
          <w:color w:val="993366"/>
        </w:rPr>
        <w:t>OPTIONAL</w:t>
      </w:r>
      <w:r w:rsidRPr="00FA0D37">
        <w:t xml:space="preserve">     </w:t>
      </w:r>
      <w:r w:rsidRPr="00FA0D37">
        <w:rPr>
          <w:color w:val="808080"/>
        </w:rPr>
        <w:t>-- Need N</w:t>
      </w:r>
    </w:p>
    <w:p w14:paraId="456C275C" w14:textId="77777777" w:rsidR="00394471" w:rsidRPr="00FA0D37" w:rsidRDefault="00394471" w:rsidP="00FA0D37">
      <w:pPr>
        <w:pStyle w:val="PL"/>
      </w:pPr>
      <w:r w:rsidRPr="00FA0D37">
        <w:t>}</w:t>
      </w:r>
    </w:p>
    <w:p w14:paraId="612ECF3C" w14:textId="77777777" w:rsidR="00394471" w:rsidRPr="00FA0D37" w:rsidRDefault="00394471" w:rsidP="00FA0D37">
      <w:pPr>
        <w:pStyle w:val="PL"/>
      </w:pPr>
    </w:p>
    <w:p w14:paraId="5BD11054" w14:textId="77777777" w:rsidR="00394471" w:rsidRPr="00FA0D37" w:rsidRDefault="00394471" w:rsidP="00FA0D37">
      <w:pPr>
        <w:pStyle w:val="PL"/>
      </w:pPr>
      <w:r w:rsidRPr="00FA0D37">
        <w:t xml:space="preserve">SL-ResourcePoolConfig-r16 ::=    </w:t>
      </w:r>
      <w:r w:rsidRPr="00FA0D37">
        <w:rPr>
          <w:color w:val="993366"/>
        </w:rPr>
        <w:t>SEQUENCE</w:t>
      </w:r>
      <w:r w:rsidRPr="00FA0D37">
        <w:t xml:space="preserve"> {</w:t>
      </w:r>
    </w:p>
    <w:p w14:paraId="7E6C570E" w14:textId="77777777" w:rsidR="00394471" w:rsidRPr="00FA0D37" w:rsidRDefault="00394471" w:rsidP="00FA0D37">
      <w:pPr>
        <w:pStyle w:val="PL"/>
      </w:pPr>
      <w:r w:rsidRPr="00FA0D37">
        <w:t xml:space="preserve">    sl-ResourcePoolID-r16            SL-ResourcePoolID-r16,</w:t>
      </w:r>
    </w:p>
    <w:p w14:paraId="1D54AD8C" w14:textId="77777777" w:rsidR="00394471" w:rsidRPr="00FA0D37" w:rsidRDefault="00394471" w:rsidP="00FA0D37">
      <w:pPr>
        <w:pStyle w:val="PL"/>
        <w:rPr>
          <w:color w:val="808080"/>
        </w:rPr>
      </w:pPr>
      <w:r w:rsidRPr="00FA0D37">
        <w:t xml:space="preserve">    sl-ResourcePool-r16              SL-ResourcePool-r16                                                  </w:t>
      </w:r>
      <w:r w:rsidRPr="00FA0D37">
        <w:rPr>
          <w:color w:val="993366"/>
        </w:rPr>
        <w:t>OPTIONAL</w:t>
      </w:r>
      <w:r w:rsidRPr="00FA0D37">
        <w:t xml:space="preserve">    </w:t>
      </w:r>
      <w:r w:rsidRPr="00FA0D37">
        <w:rPr>
          <w:color w:val="808080"/>
        </w:rPr>
        <w:t>-- Need M</w:t>
      </w:r>
    </w:p>
    <w:p w14:paraId="54929845" w14:textId="77777777" w:rsidR="00394471" w:rsidRPr="00FA0D37" w:rsidRDefault="00394471" w:rsidP="00FA0D37">
      <w:pPr>
        <w:pStyle w:val="PL"/>
      </w:pPr>
      <w:r w:rsidRPr="00FA0D37">
        <w:lastRenderedPageBreak/>
        <w:t>}</w:t>
      </w:r>
    </w:p>
    <w:p w14:paraId="16E862B0" w14:textId="77777777" w:rsidR="00394471" w:rsidRPr="00FA0D37" w:rsidRDefault="00394471" w:rsidP="00FA0D37">
      <w:pPr>
        <w:pStyle w:val="PL"/>
      </w:pPr>
    </w:p>
    <w:p w14:paraId="6C1EC8AF" w14:textId="77777777" w:rsidR="00394471" w:rsidRPr="00FA0D37" w:rsidRDefault="00394471" w:rsidP="00FA0D37">
      <w:pPr>
        <w:pStyle w:val="PL"/>
      </w:pPr>
      <w:r w:rsidRPr="00FA0D37">
        <w:t xml:space="preserve">SL-ResourcePoolID-r16 ::=        </w:t>
      </w:r>
      <w:r w:rsidRPr="00FA0D37">
        <w:rPr>
          <w:color w:val="993366"/>
        </w:rPr>
        <w:t>INTEGER</w:t>
      </w:r>
      <w:r w:rsidRPr="00FA0D37">
        <w:t xml:space="preserve"> (1..maxNrofPoolID-r16)</w:t>
      </w:r>
    </w:p>
    <w:p w14:paraId="7405DE1A" w14:textId="77777777" w:rsidR="00394471" w:rsidRPr="00FA0D37" w:rsidRDefault="00394471" w:rsidP="00FA0D37">
      <w:pPr>
        <w:pStyle w:val="PL"/>
      </w:pPr>
    </w:p>
    <w:p w14:paraId="20268774" w14:textId="77777777" w:rsidR="00394471" w:rsidRPr="00FA0D37" w:rsidRDefault="00394471" w:rsidP="00FA0D37">
      <w:pPr>
        <w:pStyle w:val="PL"/>
        <w:rPr>
          <w:color w:val="808080"/>
        </w:rPr>
      </w:pPr>
      <w:r w:rsidRPr="00FA0D37">
        <w:rPr>
          <w:color w:val="808080"/>
        </w:rPr>
        <w:t>-- TAG-SL-BWP-POOLCONFIG-STOP</w:t>
      </w:r>
    </w:p>
    <w:p w14:paraId="0127384C" w14:textId="77777777" w:rsidR="00394471" w:rsidRPr="00FA0D37" w:rsidRDefault="00394471" w:rsidP="00FA0D37">
      <w:pPr>
        <w:pStyle w:val="PL"/>
        <w:rPr>
          <w:color w:val="808080"/>
        </w:rPr>
      </w:pPr>
      <w:r w:rsidRPr="00FA0D37">
        <w:rPr>
          <w:color w:val="808080"/>
        </w:rPr>
        <w:t>-- ASN1STOP</w:t>
      </w:r>
    </w:p>
    <w:p w14:paraId="58A77634" w14:textId="77777777" w:rsidR="00394471" w:rsidRPr="00FA0D37" w:rsidRDefault="00394471" w:rsidP="00394471"/>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49D95A3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B6E8461" w14:textId="45869AAB" w:rsidR="00394471" w:rsidRPr="00FA0D37" w:rsidRDefault="00394471" w:rsidP="00964CC4">
            <w:pPr>
              <w:pStyle w:val="TAH"/>
              <w:rPr>
                <w:lang w:eastAsia="en-GB"/>
              </w:rPr>
            </w:pPr>
            <w:r w:rsidRPr="00FA0D37">
              <w:rPr>
                <w:i/>
                <w:noProof/>
                <w:lang w:eastAsia="en-GB"/>
              </w:rPr>
              <w:t>SL</w:t>
            </w:r>
            <w:r w:rsidRPr="00FA0D37">
              <w:rPr>
                <w:i/>
                <w:lang w:eastAsia="sv-SE"/>
              </w:rPr>
              <w:t>-BWP-PoolConfig</w:t>
            </w:r>
            <w:r w:rsidRPr="00FA0D37">
              <w:rPr>
                <w:noProof/>
                <w:lang w:eastAsia="en-GB"/>
              </w:rPr>
              <w:t xml:space="preserve"> field descriptions</w:t>
            </w:r>
          </w:p>
        </w:tc>
      </w:tr>
      <w:tr w:rsidR="005C7FF4" w:rsidRPr="00FA0D37" w14:paraId="5374B78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672682" w14:textId="77777777" w:rsidR="00394471" w:rsidRPr="00FA0D37" w:rsidRDefault="00394471" w:rsidP="00964CC4">
            <w:pPr>
              <w:pStyle w:val="TAL"/>
              <w:rPr>
                <w:b/>
                <w:bCs/>
                <w:i/>
                <w:iCs/>
                <w:lang w:eastAsia="en-GB"/>
              </w:rPr>
            </w:pPr>
            <w:r w:rsidRPr="00FA0D37">
              <w:rPr>
                <w:b/>
                <w:bCs/>
                <w:i/>
                <w:iCs/>
                <w:lang w:eastAsia="en-GB"/>
              </w:rPr>
              <w:t>sl-RxPool</w:t>
            </w:r>
          </w:p>
          <w:p w14:paraId="3A3D0EFC" w14:textId="77777777" w:rsidR="00394471" w:rsidRPr="00FA0D37" w:rsidRDefault="00394471" w:rsidP="00964CC4">
            <w:pPr>
              <w:pStyle w:val="TAL"/>
              <w:rPr>
                <w:bCs/>
                <w:noProof/>
                <w:lang w:eastAsia="en-GB"/>
              </w:rPr>
            </w:pPr>
            <w:r w:rsidRPr="00FA0D37">
              <w:rPr>
                <w:bCs/>
                <w:kern w:val="2"/>
                <w:lang w:eastAsia="en-GB"/>
              </w:rPr>
              <w:t>Indicates the receiving resource pool on the configured BWP. For the PSFCH related configuration, if configured, will be used for PSFCH transmission/reception.</w:t>
            </w:r>
            <w:r w:rsidRPr="00FA0D37">
              <w:t xml:space="preserve"> </w:t>
            </w:r>
            <w:r w:rsidRPr="00FA0D37">
              <w:rPr>
                <w:bCs/>
                <w:kern w:val="2"/>
                <w:lang w:eastAsia="en-GB"/>
              </w:rPr>
              <w:t xml:space="preserve">If the field is included, it replaces any previous list, i.e. all the entries of the list are replaced and each of the </w:t>
            </w:r>
            <w:r w:rsidRPr="00FA0D37">
              <w:rPr>
                <w:bCs/>
                <w:i/>
                <w:iCs/>
                <w:kern w:val="2"/>
                <w:lang w:eastAsia="en-GB"/>
              </w:rPr>
              <w:t>SL-ResourcePool</w:t>
            </w:r>
            <w:r w:rsidRPr="00FA0D37">
              <w:rPr>
                <w:bCs/>
                <w:kern w:val="2"/>
                <w:lang w:eastAsia="en-GB"/>
              </w:rPr>
              <w:t xml:space="preserve"> entries is considered to be newly created.</w:t>
            </w:r>
          </w:p>
        </w:tc>
      </w:tr>
      <w:tr w:rsidR="005C7FF4" w:rsidRPr="00FA0D37" w14:paraId="57984FAF"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FB0C786" w14:textId="77777777" w:rsidR="00394471" w:rsidRPr="00FA0D37" w:rsidRDefault="00394471" w:rsidP="00964CC4">
            <w:pPr>
              <w:pStyle w:val="TAL"/>
              <w:rPr>
                <w:b/>
                <w:bCs/>
                <w:i/>
                <w:iCs/>
                <w:lang w:eastAsia="en-GB"/>
              </w:rPr>
            </w:pPr>
            <w:r w:rsidRPr="00FA0D37">
              <w:rPr>
                <w:b/>
                <w:bCs/>
                <w:i/>
                <w:iCs/>
                <w:lang w:eastAsia="en-GB"/>
              </w:rPr>
              <w:t>sl-TxPoolExceptional</w:t>
            </w:r>
          </w:p>
          <w:p w14:paraId="7BE33C96" w14:textId="31F52C56" w:rsidR="00394471" w:rsidRPr="00FA0D37" w:rsidRDefault="00394471" w:rsidP="00964CC4">
            <w:pPr>
              <w:pStyle w:val="TAL"/>
              <w:rPr>
                <w:lang w:eastAsia="en-GB"/>
              </w:rPr>
            </w:pPr>
            <w:r w:rsidRPr="00FA0D37">
              <w:rPr>
                <w:bCs/>
                <w:kern w:val="2"/>
                <w:lang w:eastAsia="en-GB"/>
              </w:rPr>
              <w:t xml:space="preserve">Indicates the resources by which the UE is allowed to </w:t>
            </w:r>
            <w:r w:rsidR="00692909" w:rsidRPr="00FA0D37">
              <w:t>perform NR sidelink transmission</w:t>
            </w:r>
            <w:r w:rsidRPr="00FA0D37">
              <w:rPr>
                <w:bCs/>
                <w:kern w:val="2"/>
                <w:lang w:eastAsia="en-GB"/>
              </w:rPr>
              <w:t xml:space="preserve"> in exceptional conditions on the configured BWP. For the PSFCH related configuration, if configured, will be used for PSFCH transmission/reception.</w:t>
            </w:r>
          </w:p>
        </w:tc>
      </w:tr>
      <w:tr w:rsidR="005C7FF4" w:rsidRPr="00FA0D37" w14:paraId="1A23AF4D"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935DCE5" w14:textId="77777777" w:rsidR="00394471" w:rsidRPr="00FA0D37" w:rsidRDefault="00394471" w:rsidP="00964CC4">
            <w:pPr>
              <w:pStyle w:val="TAL"/>
              <w:rPr>
                <w:b/>
                <w:bCs/>
                <w:i/>
                <w:iCs/>
                <w:lang w:eastAsia="sv-SE"/>
              </w:rPr>
            </w:pPr>
            <w:r w:rsidRPr="00FA0D37">
              <w:rPr>
                <w:b/>
                <w:bCs/>
                <w:i/>
                <w:iCs/>
                <w:lang w:eastAsia="sv-SE"/>
              </w:rPr>
              <w:t>sl-TxPoolScheduling</w:t>
            </w:r>
          </w:p>
          <w:p w14:paraId="7267FB61" w14:textId="3F94DCC5" w:rsidR="00394471" w:rsidRPr="00FA0D37" w:rsidRDefault="00394471" w:rsidP="00964CC4">
            <w:pPr>
              <w:pStyle w:val="TAL"/>
              <w:rPr>
                <w:lang w:eastAsia="en-GB"/>
              </w:rPr>
            </w:pPr>
            <w:r w:rsidRPr="00FA0D37">
              <w:rPr>
                <w:bCs/>
                <w:kern w:val="2"/>
                <w:lang w:eastAsia="en-GB"/>
              </w:rPr>
              <w:t xml:space="preserve">Indicates the resources by which the UE is allowed to </w:t>
            </w:r>
            <w:r w:rsidR="00906CD1" w:rsidRPr="00FA0D37">
              <w:t>perform NR sidelink transmissio</w:t>
            </w:r>
            <w:r w:rsidR="00906CD1" w:rsidRPr="00FA0D37">
              <w:rPr>
                <w:lang w:eastAsia="zh-CN"/>
              </w:rPr>
              <w:t>n</w:t>
            </w:r>
            <w:r w:rsidRPr="00FA0D37">
              <w:rPr>
                <w:bCs/>
                <w:kern w:val="2"/>
                <w:lang w:eastAsia="en-GB"/>
              </w:rPr>
              <w:t xml:space="preserve"> based on network scheduling on the configured BWP. For the PSFCH related configuration, if configured, will be used for PSFCH transmission/reception.</w:t>
            </w:r>
          </w:p>
        </w:tc>
      </w:tr>
      <w:tr w:rsidR="00375B89" w:rsidRPr="00FA0D37" w14:paraId="6E034EF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608E893" w14:textId="77777777" w:rsidR="00394471" w:rsidRPr="00FA0D37" w:rsidRDefault="00394471" w:rsidP="00964CC4">
            <w:pPr>
              <w:pStyle w:val="TAL"/>
              <w:rPr>
                <w:b/>
                <w:bCs/>
                <w:i/>
                <w:iCs/>
                <w:lang w:eastAsia="en-GB"/>
              </w:rPr>
            </w:pPr>
            <w:r w:rsidRPr="00FA0D37">
              <w:rPr>
                <w:b/>
                <w:bCs/>
                <w:i/>
                <w:iCs/>
                <w:lang w:eastAsia="en-GB"/>
              </w:rPr>
              <w:t>sl-TxPoolSelectedNormal</w:t>
            </w:r>
          </w:p>
          <w:p w14:paraId="7ECF33CE" w14:textId="24068267" w:rsidR="00394471" w:rsidRPr="00FA0D37" w:rsidRDefault="00394471" w:rsidP="00964CC4">
            <w:pPr>
              <w:pStyle w:val="TAL"/>
              <w:rPr>
                <w:lang w:eastAsia="en-GB"/>
              </w:rPr>
            </w:pPr>
            <w:r w:rsidRPr="00FA0D37">
              <w:rPr>
                <w:bCs/>
                <w:kern w:val="2"/>
                <w:lang w:eastAsia="en-GB"/>
              </w:rPr>
              <w:t xml:space="preserve">Indicates the resources by which the UE is allowed to </w:t>
            </w:r>
            <w:r w:rsidR="00906CD1" w:rsidRPr="00FA0D37">
              <w:t>perform NR sidelink transmissio</w:t>
            </w:r>
            <w:r w:rsidR="00906CD1" w:rsidRPr="00FA0D37">
              <w:rPr>
                <w:lang w:eastAsia="zh-CN"/>
              </w:rPr>
              <w:t>n</w:t>
            </w:r>
            <w:r w:rsidRPr="00FA0D37">
              <w:rPr>
                <w:bCs/>
                <w:kern w:val="2"/>
                <w:lang w:eastAsia="en-GB"/>
              </w:rPr>
              <w:t xml:space="preserve"> by </w:t>
            </w:r>
            <w:r w:rsidRPr="00FA0D37">
              <w:rPr>
                <w:lang w:eastAsia="zh-CN"/>
              </w:rPr>
              <w:t>UE autonomous resource selection</w:t>
            </w:r>
            <w:r w:rsidRPr="00FA0D37">
              <w:rPr>
                <w:bCs/>
                <w:kern w:val="2"/>
                <w:lang w:eastAsia="en-GB"/>
              </w:rPr>
              <w:t xml:space="preserve"> on the configured BWP. For the PSFCH related configuration, if configured, will be used for PSFCH transmission/reception.</w:t>
            </w:r>
          </w:p>
        </w:tc>
      </w:tr>
    </w:tbl>
    <w:p w14:paraId="0FF90737" w14:textId="77777777" w:rsidR="00394471" w:rsidRPr="00FA0D3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5C7FF4" w:rsidRPr="00FA0D37" w14:paraId="7D783F4D"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5F968658" w14:textId="77777777" w:rsidR="00394471" w:rsidRPr="00FA0D37" w:rsidRDefault="00394471" w:rsidP="00964CC4">
            <w:pPr>
              <w:pStyle w:val="TAH"/>
              <w:rPr>
                <w:lang w:eastAsia="sv-SE"/>
              </w:rPr>
            </w:pPr>
            <w:r w:rsidRPr="00FA0D3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CACD51B" w14:textId="77777777" w:rsidR="00394471" w:rsidRPr="00FA0D37" w:rsidRDefault="00394471" w:rsidP="00964CC4">
            <w:pPr>
              <w:pStyle w:val="TAH"/>
              <w:rPr>
                <w:lang w:eastAsia="sv-SE"/>
              </w:rPr>
            </w:pPr>
            <w:r w:rsidRPr="00FA0D37">
              <w:rPr>
                <w:lang w:eastAsia="sv-SE"/>
              </w:rPr>
              <w:t>Explanation</w:t>
            </w:r>
          </w:p>
        </w:tc>
      </w:tr>
      <w:tr w:rsidR="00394471" w:rsidRPr="00FA0D37" w14:paraId="005398FA"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09216CA7" w14:textId="77777777" w:rsidR="00394471" w:rsidRPr="00FA0D37" w:rsidRDefault="00394471" w:rsidP="00964CC4">
            <w:pPr>
              <w:pStyle w:val="TAL"/>
              <w:rPr>
                <w:b/>
                <w:i/>
                <w:lang w:eastAsia="sv-SE"/>
              </w:rPr>
            </w:pPr>
            <w:r w:rsidRPr="00FA0D37">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625209EC" w14:textId="57E87B05" w:rsidR="00394471" w:rsidRPr="00FA0D37" w:rsidRDefault="00394471" w:rsidP="00964CC4">
            <w:pPr>
              <w:pStyle w:val="TAL"/>
              <w:rPr>
                <w:b/>
                <w:lang w:eastAsia="sv-SE"/>
              </w:rPr>
            </w:pPr>
            <w:r w:rsidRPr="00FA0D37">
              <w:rPr>
                <w:lang w:eastAsia="sv-SE"/>
              </w:rPr>
              <w:t xml:space="preserve">This field is optionally present, need M, in an </w:t>
            </w:r>
            <w:r w:rsidRPr="00FA0D37">
              <w:rPr>
                <w:i/>
                <w:lang w:eastAsia="sv-SE"/>
              </w:rPr>
              <w:t>RRCReconfiguration</w:t>
            </w:r>
            <w:r w:rsidRPr="00FA0D37">
              <w:rPr>
                <w:lang w:eastAsia="sv-SE"/>
              </w:rPr>
              <w:t xml:space="preserve"> message including </w:t>
            </w:r>
            <w:r w:rsidRPr="00FA0D37">
              <w:rPr>
                <w:i/>
                <w:lang w:eastAsia="sv-SE"/>
              </w:rPr>
              <w:t>reconfigurationWithSync</w:t>
            </w:r>
            <w:r w:rsidRPr="00FA0D37">
              <w:rPr>
                <w:lang w:eastAsia="sv-SE"/>
              </w:rPr>
              <w:t>; otherwise it is absent</w:t>
            </w:r>
            <w:r w:rsidRPr="00FA0D37">
              <w:t>, Need M</w:t>
            </w:r>
            <w:r w:rsidRPr="00FA0D37">
              <w:rPr>
                <w:lang w:eastAsia="sv-SE"/>
              </w:rPr>
              <w:t>.</w:t>
            </w:r>
          </w:p>
        </w:tc>
      </w:tr>
    </w:tbl>
    <w:p w14:paraId="22205410" w14:textId="77777777" w:rsidR="00394471" w:rsidRPr="00FA0D37" w:rsidRDefault="00394471" w:rsidP="00394471">
      <w:pPr>
        <w:rPr>
          <w:rFonts w:eastAsia="MS Mincho"/>
        </w:rPr>
      </w:pPr>
    </w:p>
    <w:p w14:paraId="4D45A7DB" w14:textId="367D9884" w:rsidR="00394471" w:rsidRPr="00FA0D37" w:rsidRDefault="00394471" w:rsidP="00394471">
      <w:pPr>
        <w:pStyle w:val="4"/>
      </w:pPr>
      <w:bookmarkStart w:id="1722" w:name="_Toc60777525"/>
      <w:bookmarkStart w:id="1723" w:name="_Toc146781639"/>
      <w:r w:rsidRPr="00FA0D37">
        <w:t>–</w:t>
      </w:r>
      <w:r w:rsidRPr="00FA0D37">
        <w:tab/>
      </w:r>
      <w:r w:rsidRPr="00FA0D37">
        <w:rPr>
          <w:i/>
          <w:iCs/>
        </w:rPr>
        <w:t>SL-BWP-PoolConfigCommon</w:t>
      </w:r>
      <w:bookmarkEnd w:id="1722"/>
      <w:bookmarkEnd w:id="1723"/>
    </w:p>
    <w:p w14:paraId="04454DB6" w14:textId="305A9588" w:rsidR="00394471" w:rsidRPr="00FA0D37" w:rsidRDefault="00394471" w:rsidP="00394471">
      <w:r w:rsidRPr="00FA0D37">
        <w:t xml:space="preserve">The IE </w:t>
      </w:r>
      <w:r w:rsidRPr="00FA0D37">
        <w:rPr>
          <w:i/>
        </w:rPr>
        <w:t xml:space="preserve">SL-BWP-PoolConfigCommon </w:t>
      </w:r>
      <w:r w:rsidRPr="00FA0D37">
        <w:t xml:space="preserve">is used to configure </w:t>
      </w:r>
      <w:r w:rsidRPr="00FA0D37">
        <w:rPr>
          <w:iCs/>
        </w:rPr>
        <w:t xml:space="preserve">the </w:t>
      </w:r>
      <w:r w:rsidRPr="00FA0D37">
        <w:rPr>
          <w:iCs/>
          <w:lang w:eastAsia="zh-CN"/>
        </w:rPr>
        <w:t>cell-specific</w:t>
      </w:r>
      <w:r w:rsidRPr="00FA0D37">
        <w:t xml:space="preserve"> </w:t>
      </w:r>
      <w:r w:rsidRPr="00FA0D37">
        <w:rPr>
          <w:iCs/>
        </w:rPr>
        <w:t>NR sidelink communication resource pool</w:t>
      </w:r>
      <w:r w:rsidRPr="00FA0D37">
        <w:t>.</w:t>
      </w:r>
    </w:p>
    <w:p w14:paraId="71C2E7BA" w14:textId="77777777" w:rsidR="00394471" w:rsidRPr="00FA0D37" w:rsidRDefault="00394471" w:rsidP="00394471">
      <w:pPr>
        <w:pStyle w:val="TH"/>
        <w:rPr>
          <w:b w:val="0"/>
        </w:rPr>
      </w:pPr>
      <w:r w:rsidRPr="00FA0D37">
        <w:rPr>
          <w:i/>
          <w:iCs/>
        </w:rPr>
        <w:t>SL-BWP-PoolConfigCommon</w:t>
      </w:r>
      <w:r w:rsidRPr="00FA0D37">
        <w:t xml:space="preserve"> information element</w:t>
      </w:r>
    </w:p>
    <w:p w14:paraId="5D40B5A4" w14:textId="77777777" w:rsidR="00394471" w:rsidRPr="00FA0D37" w:rsidRDefault="00394471" w:rsidP="00FA0D37">
      <w:pPr>
        <w:pStyle w:val="PL"/>
        <w:rPr>
          <w:color w:val="808080"/>
        </w:rPr>
      </w:pPr>
      <w:r w:rsidRPr="00FA0D37">
        <w:rPr>
          <w:color w:val="808080"/>
        </w:rPr>
        <w:t>-- ASN1START</w:t>
      </w:r>
    </w:p>
    <w:p w14:paraId="16854426" w14:textId="77777777" w:rsidR="00394471" w:rsidRPr="00FA0D37" w:rsidRDefault="00394471" w:rsidP="00FA0D37">
      <w:pPr>
        <w:pStyle w:val="PL"/>
        <w:rPr>
          <w:color w:val="808080"/>
        </w:rPr>
      </w:pPr>
      <w:r w:rsidRPr="00FA0D37">
        <w:rPr>
          <w:color w:val="808080"/>
        </w:rPr>
        <w:t>-- TAG-SL-BWP-POOLCONFIGCOMMON-START</w:t>
      </w:r>
    </w:p>
    <w:p w14:paraId="11942B0B" w14:textId="77777777" w:rsidR="00394471" w:rsidRPr="00FA0D37" w:rsidRDefault="00394471" w:rsidP="00FA0D37">
      <w:pPr>
        <w:pStyle w:val="PL"/>
      </w:pPr>
    </w:p>
    <w:p w14:paraId="7C43F22D" w14:textId="77777777" w:rsidR="00394471" w:rsidRPr="00FA0D37" w:rsidRDefault="00394471" w:rsidP="00FA0D37">
      <w:pPr>
        <w:pStyle w:val="PL"/>
      </w:pPr>
      <w:r w:rsidRPr="00FA0D37">
        <w:t xml:space="preserve">SL-BWP-PoolConfigCommon-r16 ::=      </w:t>
      </w:r>
      <w:r w:rsidRPr="00FA0D37">
        <w:rPr>
          <w:color w:val="993366"/>
        </w:rPr>
        <w:t>SEQUENCE</w:t>
      </w:r>
      <w:r w:rsidRPr="00FA0D37">
        <w:t xml:space="preserve"> {</w:t>
      </w:r>
    </w:p>
    <w:p w14:paraId="55AE967E" w14:textId="77777777" w:rsidR="00394471" w:rsidRPr="00FA0D37" w:rsidRDefault="00394471" w:rsidP="00FA0D37">
      <w:pPr>
        <w:pStyle w:val="PL"/>
        <w:rPr>
          <w:color w:val="808080"/>
        </w:rPr>
      </w:pPr>
      <w:r w:rsidRPr="00FA0D37">
        <w:t xml:space="preserve">    sl-RxPool-r16                        </w:t>
      </w:r>
      <w:r w:rsidRPr="00FA0D37">
        <w:rPr>
          <w:color w:val="993366"/>
        </w:rPr>
        <w:t>SEQUENCE</w:t>
      </w:r>
      <w:r w:rsidRPr="00FA0D37">
        <w:t xml:space="preserve"> (</w:t>
      </w:r>
      <w:r w:rsidRPr="00FA0D37">
        <w:rPr>
          <w:color w:val="993366"/>
        </w:rPr>
        <w:t>SIZE</w:t>
      </w:r>
      <w:r w:rsidRPr="00FA0D37">
        <w:t xml:space="preserve"> (1..maxNrofRXPool-r16))</w:t>
      </w:r>
      <w:r w:rsidRPr="00FA0D37">
        <w:rPr>
          <w:color w:val="993366"/>
        </w:rPr>
        <w:t xml:space="preserve"> OF</w:t>
      </w:r>
      <w:r w:rsidRPr="00FA0D37">
        <w:t xml:space="preserve"> SL-ResourcePool-r16         </w:t>
      </w:r>
      <w:r w:rsidRPr="00FA0D37">
        <w:rPr>
          <w:color w:val="993366"/>
        </w:rPr>
        <w:t>OPTIONAL</w:t>
      </w:r>
      <w:r w:rsidRPr="00FA0D37">
        <w:t xml:space="preserve">,    </w:t>
      </w:r>
      <w:r w:rsidRPr="00FA0D37">
        <w:rPr>
          <w:color w:val="808080"/>
        </w:rPr>
        <w:t>-- Need R</w:t>
      </w:r>
    </w:p>
    <w:p w14:paraId="25D03A37" w14:textId="77777777" w:rsidR="00394471" w:rsidRPr="00FA0D37" w:rsidRDefault="00394471" w:rsidP="00FA0D37">
      <w:pPr>
        <w:pStyle w:val="PL"/>
        <w:rPr>
          <w:color w:val="808080"/>
        </w:rPr>
      </w:pPr>
      <w:r w:rsidRPr="00FA0D37">
        <w:t xml:space="preserve">    sl-TxPoolSelectedNormal-r16          </w:t>
      </w:r>
      <w:r w:rsidRPr="00FA0D37">
        <w:rPr>
          <w:color w:val="993366"/>
        </w:rPr>
        <w:t>SEQUENCE</w:t>
      </w:r>
      <w:r w:rsidRPr="00FA0D37">
        <w:t xml:space="preserve"> (</w:t>
      </w:r>
      <w:r w:rsidRPr="00FA0D37">
        <w:rPr>
          <w:color w:val="993366"/>
        </w:rPr>
        <w:t>SIZE</w:t>
      </w:r>
      <w:r w:rsidRPr="00FA0D37">
        <w:t xml:space="preserve"> (1..maxNrofTXPool-r16))</w:t>
      </w:r>
      <w:r w:rsidRPr="00FA0D37">
        <w:rPr>
          <w:color w:val="993366"/>
        </w:rPr>
        <w:t xml:space="preserve"> OF</w:t>
      </w:r>
      <w:r w:rsidRPr="00FA0D37">
        <w:t xml:space="preserve"> SL-ResourcePoolConfig-r16   </w:t>
      </w:r>
      <w:r w:rsidRPr="00FA0D37">
        <w:rPr>
          <w:color w:val="993366"/>
        </w:rPr>
        <w:t>OPTIONAL</w:t>
      </w:r>
      <w:r w:rsidRPr="00FA0D37">
        <w:t xml:space="preserve">,    </w:t>
      </w:r>
      <w:r w:rsidRPr="00FA0D37">
        <w:rPr>
          <w:color w:val="808080"/>
        </w:rPr>
        <w:t>-- Need R</w:t>
      </w:r>
    </w:p>
    <w:p w14:paraId="40560CAC" w14:textId="77777777" w:rsidR="00394471" w:rsidRPr="00FA0D37" w:rsidRDefault="00394471" w:rsidP="00FA0D37">
      <w:pPr>
        <w:pStyle w:val="PL"/>
        <w:rPr>
          <w:color w:val="808080"/>
        </w:rPr>
      </w:pPr>
      <w:r w:rsidRPr="00FA0D37">
        <w:t xml:space="preserve">    sl-TxPoolExceptional-r16             SL-ResourcePoolConfig-r16                                             </w:t>
      </w:r>
      <w:r w:rsidRPr="00FA0D37">
        <w:rPr>
          <w:color w:val="993366"/>
        </w:rPr>
        <w:t>OPTIONAL</w:t>
      </w:r>
      <w:r w:rsidRPr="00FA0D37">
        <w:t xml:space="preserve">     </w:t>
      </w:r>
      <w:r w:rsidRPr="00FA0D37">
        <w:rPr>
          <w:color w:val="808080"/>
        </w:rPr>
        <w:t>-- Need R</w:t>
      </w:r>
    </w:p>
    <w:p w14:paraId="40310145" w14:textId="77777777" w:rsidR="00394471" w:rsidRPr="00FA0D37" w:rsidRDefault="00394471" w:rsidP="00FA0D37">
      <w:pPr>
        <w:pStyle w:val="PL"/>
        <w:rPr>
          <w:rFonts w:eastAsia="等线"/>
        </w:rPr>
      </w:pPr>
      <w:r w:rsidRPr="00FA0D37">
        <w:rPr>
          <w:rFonts w:eastAsia="等线"/>
        </w:rPr>
        <w:t>}</w:t>
      </w:r>
    </w:p>
    <w:p w14:paraId="330A854A" w14:textId="77777777" w:rsidR="00394471" w:rsidRPr="00FA0D37" w:rsidRDefault="00394471" w:rsidP="00FA0D37">
      <w:pPr>
        <w:pStyle w:val="PL"/>
      </w:pPr>
    </w:p>
    <w:p w14:paraId="35A83DD4" w14:textId="77777777" w:rsidR="00394471" w:rsidRPr="00FA0D37" w:rsidRDefault="00394471" w:rsidP="00FA0D37">
      <w:pPr>
        <w:pStyle w:val="PL"/>
        <w:rPr>
          <w:color w:val="808080"/>
        </w:rPr>
      </w:pPr>
      <w:r w:rsidRPr="00FA0D37">
        <w:rPr>
          <w:color w:val="808080"/>
        </w:rPr>
        <w:t>-- TAG-SL-BWP-POOLCONFIGCOMMON-STOP</w:t>
      </w:r>
    </w:p>
    <w:p w14:paraId="1258AE9B" w14:textId="77777777" w:rsidR="00394471" w:rsidRPr="00FA0D37" w:rsidRDefault="00394471" w:rsidP="00FA0D37">
      <w:pPr>
        <w:pStyle w:val="PL"/>
        <w:rPr>
          <w:color w:val="808080"/>
        </w:rPr>
      </w:pPr>
      <w:r w:rsidRPr="00FA0D37">
        <w:rPr>
          <w:color w:val="808080"/>
        </w:rPr>
        <w:t>-- ASN1STOP</w:t>
      </w:r>
    </w:p>
    <w:p w14:paraId="43A21DA1" w14:textId="77777777" w:rsidR="00D127B2" w:rsidRPr="00FA0D37" w:rsidRDefault="00D127B2" w:rsidP="00D127B2">
      <w:pPr>
        <w:rPr>
          <w:rFonts w:eastAsia="MS Mincho"/>
        </w:rPr>
      </w:pPr>
    </w:p>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5E4DE21B" w14:textId="77777777" w:rsidTr="0071565C">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D576F19" w14:textId="77777777" w:rsidR="00D127B2" w:rsidRPr="00FA0D37" w:rsidRDefault="00D127B2" w:rsidP="0071565C">
            <w:pPr>
              <w:pStyle w:val="TAH"/>
              <w:rPr>
                <w:lang w:eastAsia="en-GB"/>
              </w:rPr>
            </w:pPr>
            <w:r w:rsidRPr="00FA0D37">
              <w:rPr>
                <w:i/>
                <w:noProof/>
                <w:lang w:eastAsia="en-GB"/>
              </w:rPr>
              <w:lastRenderedPageBreak/>
              <w:t>SL</w:t>
            </w:r>
            <w:r w:rsidRPr="00FA0D37">
              <w:rPr>
                <w:i/>
                <w:lang w:eastAsia="sv-SE"/>
              </w:rPr>
              <w:t>-BWP-PoolConfigCommon</w:t>
            </w:r>
            <w:r w:rsidRPr="00FA0D37">
              <w:rPr>
                <w:noProof/>
                <w:lang w:eastAsia="en-GB"/>
              </w:rPr>
              <w:t xml:space="preserve"> field descriptions</w:t>
            </w:r>
          </w:p>
        </w:tc>
      </w:tr>
      <w:tr w:rsidR="00375B89" w:rsidRPr="00FA0D37" w14:paraId="617A2CCC" w14:textId="77777777" w:rsidTr="0071565C">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E7FF58" w14:textId="77777777" w:rsidR="00D127B2" w:rsidRPr="00FA0D37" w:rsidRDefault="00D127B2" w:rsidP="0071565C">
            <w:pPr>
              <w:pStyle w:val="TAL"/>
              <w:rPr>
                <w:b/>
                <w:i/>
                <w:lang w:eastAsia="en-GB"/>
              </w:rPr>
            </w:pPr>
            <w:r w:rsidRPr="00FA0D37">
              <w:rPr>
                <w:b/>
                <w:i/>
                <w:lang w:eastAsia="en-GB"/>
              </w:rPr>
              <w:t>sl-TxPoolExceptional</w:t>
            </w:r>
          </w:p>
          <w:p w14:paraId="1B3BD57F" w14:textId="57606B1C" w:rsidR="00D127B2" w:rsidRPr="00FA0D37" w:rsidRDefault="00D127B2" w:rsidP="0071565C">
            <w:pPr>
              <w:pStyle w:val="TAL"/>
              <w:rPr>
                <w:lang w:eastAsia="en-GB"/>
              </w:rPr>
            </w:pPr>
            <w:r w:rsidRPr="00FA0D37">
              <w:rPr>
                <w:kern w:val="2"/>
                <w:lang w:eastAsia="en-GB"/>
              </w:rPr>
              <w:t xml:space="preserve">Indicates the resources by which the UE is allowed to </w:t>
            </w:r>
            <w:r w:rsidR="00692909" w:rsidRPr="00FA0D37">
              <w:rPr>
                <w:bCs/>
                <w:kern w:val="2"/>
              </w:rPr>
              <w:t>perform NR sidelink transmission</w:t>
            </w:r>
            <w:r w:rsidRPr="00FA0D37">
              <w:rPr>
                <w:kern w:val="2"/>
                <w:lang w:eastAsia="en-GB"/>
              </w:rPr>
              <w:t xml:space="preserve"> in exceptional conditions on the configured BWP. For the PSFCH related configuration, if configured, will be used for PSFCH transmission/reception. This field is not present when </w:t>
            </w:r>
            <w:r w:rsidRPr="00FA0D37">
              <w:rPr>
                <w:i/>
                <w:kern w:val="2"/>
                <w:lang w:eastAsia="en-GB"/>
              </w:rPr>
              <w:t>SL-BWP-PoolConfigCommon</w:t>
            </w:r>
            <w:r w:rsidRPr="00FA0D37">
              <w:rPr>
                <w:kern w:val="2"/>
                <w:lang w:eastAsia="en-GB"/>
              </w:rPr>
              <w:t xml:space="preserve"> is included in </w:t>
            </w:r>
            <w:r w:rsidRPr="00FA0D37">
              <w:rPr>
                <w:i/>
                <w:kern w:val="2"/>
                <w:lang w:eastAsia="en-GB"/>
              </w:rPr>
              <w:t>SidelinkPreconfigNR</w:t>
            </w:r>
            <w:r w:rsidRPr="00FA0D37">
              <w:rPr>
                <w:kern w:val="2"/>
                <w:lang w:eastAsia="en-GB"/>
              </w:rPr>
              <w:t>.</w:t>
            </w:r>
          </w:p>
        </w:tc>
      </w:tr>
    </w:tbl>
    <w:p w14:paraId="6F2F39D0" w14:textId="5C1A0148" w:rsidR="00394471" w:rsidRPr="00FA0D37" w:rsidRDefault="00394471" w:rsidP="00394471">
      <w:pPr>
        <w:rPr>
          <w:rFonts w:eastAsia="MS Mincho"/>
        </w:rPr>
      </w:pPr>
    </w:p>
    <w:p w14:paraId="01C9C1AC" w14:textId="04822035" w:rsidR="00394471" w:rsidRPr="00FA0D37" w:rsidRDefault="00394471" w:rsidP="00394471">
      <w:pPr>
        <w:pStyle w:val="4"/>
      </w:pPr>
      <w:bookmarkStart w:id="1724" w:name="_Toc60777526"/>
      <w:bookmarkStart w:id="1725" w:name="_Toc146781640"/>
      <w:r w:rsidRPr="00FA0D37">
        <w:t>–</w:t>
      </w:r>
      <w:r w:rsidRPr="00FA0D37">
        <w:tab/>
      </w:r>
      <w:r w:rsidRPr="00FA0D37">
        <w:rPr>
          <w:i/>
          <w:iCs/>
        </w:rPr>
        <w:t>SL-CBR-PriorityTxConfigList</w:t>
      </w:r>
      <w:bookmarkEnd w:id="1724"/>
      <w:bookmarkEnd w:id="1725"/>
    </w:p>
    <w:p w14:paraId="3417A68C" w14:textId="2C71DAC6" w:rsidR="00394471" w:rsidRPr="00FA0D37" w:rsidRDefault="00394471" w:rsidP="00394471">
      <w:r w:rsidRPr="00FA0D37">
        <w:t xml:space="preserve">The IE </w:t>
      </w:r>
      <w:r w:rsidRPr="00FA0D37">
        <w:rPr>
          <w:i/>
        </w:rPr>
        <w:t>SL-CBR-PriorityTxConfigList</w:t>
      </w:r>
      <w:r w:rsidRPr="00FA0D37">
        <w:t xml:space="preserve"> indicates </w:t>
      </w:r>
      <w:r w:rsidRPr="00FA0D37">
        <w:rPr>
          <w:lang w:eastAsia="zh-CN"/>
        </w:rPr>
        <w:t xml:space="preserve">the mapping between </w:t>
      </w:r>
      <w:r w:rsidRPr="00FA0D37">
        <w:t xml:space="preserve">PSSCH </w:t>
      </w:r>
      <w:r w:rsidRPr="00FA0D37">
        <w:rPr>
          <w:lang w:eastAsia="zh-CN"/>
        </w:rPr>
        <w:t>transmission</w:t>
      </w:r>
      <w:r w:rsidRPr="00FA0D37">
        <w:t xml:space="preserve"> parameter </w:t>
      </w:r>
      <w:r w:rsidRPr="00FA0D37">
        <w:rPr>
          <w:lang w:eastAsia="zh-CN"/>
        </w:rPr>
        <w:t>(</w:t>
      </w:r>
      <w:r w:rsidRPr="00FA0D37">
        <w:t>such as MCS, PRB number, retransmission number</w:t>
      </w:r>
      <w:r w:rsidRPr="00FA0D37">
        <w:rPr>
          <w:lang w:eastAsia="zh-CN"/>
        </w:rPr>
        <w:t xml:space="preserve">, CR limit) sets </w:t>
      </w:r>
      <w:r w:rsidRPr="00FA0D37">
        <w:rPr>
          <w:bCs/>
          <w:kern w:val="2"/>
          <w:lang w:eastAsia="zh-CN"/>
        </w:rPr>
        <w:t xml:space="preserve">by using the </w:t>
      </w:r>
      <w:r w:rsidRPr="00FA0D37">
        <w:rPr>
          <w:rFonts w:eastAsia="MS Mincho"/>
          <w:bCs/>
          <w:kern w:val="2"/>
          <w:lang w:eastAsia="en-GB"/>
        </w:rPr>
        <w:t>index</w:t>
      </w:r>
      <w:r w:rsidRPr="00FA0D37">
        <w:rPr>
          <w:bCs/>
          <w:kern w:val="2"/>
          <w:lang w:eastAsia="zh-CN"/>
        </w:rPr>
        <w:t>es</w:t>
      </w:r>
      <w:r w:rsidRPr="00FA0D37">
        <w:rPr>
          <w:rFonts w:eastAsia="MS Mincho"/>
          <w:bCs/>
          <w:kern w:val="2"/>
          <w:lang w:eastAsia="en-GB"/>
        </w:rPr>
        <w:t xml:space="preserve"> of the configuration</w:t>
      </w:r>
      <w:r w:rsidRPr="00FA0D37">
        <w:rPr>
          <w:bCs/>
          <w:kern w:val="2"/>
          <w:lang w:eastAsia="zh-CN"/>
        </w:rPr>
        <w:t>s</w:t>
      </w:r>
      <w:r w:rsidRPr="00FA0D37">
        <w:rPr>
          <w:rFonts w:eastAsia="MS Mincho"/>
          <w:bCs/>
          <w:kern w:val="2"/>
          <w:lang w:eastAsia="en-GB"/>
        </w:rPr>
        <w:t xml:space="preserve"> </w:t>
      </w:r>
      <w:r w:rsidRPr="00FA0D37">
        <w:rPr>
          <w:bCs/>
          <w:kern w:val="2"/>
          <w:lang w:eastAsia="zh-CN"/>
        </w:rPr>
        <w:t>provided</w:t>
      </w:r>
      <w:r w:rsidRPr="00FA0D37">
        <w:rPr>
          <w:rFonts w:eastAsia="MS Mincho"/>
          <w:bCs/>
          <w:kern w:val="2"/>
          <w:lang w:eastAsia="en-GB"/>
        </w:rPr>
        <w:t xml:space="preserve"> in </w:t>
      </w:r>
      <w:r w:rsidRPr="00FA0D37">
        <w:rPr>
          <w:bCs/>
          <w:i/>
          <w:iCs/>
          <w:lang w:eastAsia="zh-CN"/>
        </w:rPr>
        <w:t>sl-CBR-PSSCH-TxConfigList</w:t>
      </w:r>
      <w:r w:rsidRPr="00FA0D37">
        <w:rPr>
          <w:lang w:eastAsia="zh-CN"/>
        </w:rPr>
        <w:t xml:space="preserve">, CBR ranges by an index </w:t>
      </w:r>
      <w:r w:rsidRPr="00FA0D37">
        <w:rPr>
          <w:rFonts w:eastAsia="MS Mincho"/>
          <w:bCs/>
          <w:kern w:val="2"/>
          <w:lang w:eastAsia="en-GB"/>
        </w:rPr>
        <w:t xml:space="preserve">to the entry of the </w:t>
      </w:r>
      <w:r w:rsidRPr="00FA0D37">
        <w:rPr>
          <w:bCs/>
          <w:kern w:val="2"/>
          <w:lang w:eastAsia="zh-CN"/>
        </w:rPr>
        <w:t>CBR range c</w:t>
      </w:r>
      <w:r w:rsidRPr="00FA0D37">
        <w:rPr>
          <w:rFonts w:eastAsia="MS Mincho"/>
          <w:bCs/>
          <w:kern w:val="2"/>
          <w:lang w:eastAsia="en-GB"/>
        </w:rPr>
        <w:t>onfiguration</w:t>
      </w:r>
      <w:r w:rsidRPr="00FA0D37">
        <w:rPr>
          <w:bCs/>
          <w:kern w:val="2"/>
          <w:lang w:eastAsia="zh-CN"/>
        </w:rPr>
        <w:t xml:space="preserve"> </w:t>
      </w:r>
      <w:r w:rsidRPr="00FA0D37">
        <w:rPr>
          <w:rFonts w:eastAsia="MS Mincho"/>
          <w:bCs/>
          <w:kern w:val="2"/>
          <w:lang w:eastAsia="en-GB"/>
        </w:rPr>
        <w:t xml:space="preserve">in </w:t>
      </w:r>
      <w:r w:rsidRPr="00FA0D37">
        <w:rPr>
          <w:rFonts w:eastAsia="MS Mincho"/>
          <w:bCs/>
          <w:i/>
          <w:kern w:val="2"/>
          <w:lang w:eastAsia="en-GB"/>
        </w:rPr>
        <w:t>sl-CBR-RangeConfigList</w:t>
      </w:r>
      <w:r w:rsidRPr="00FA0D37">
        <w:rPr>
          <w:rFonts w:cs="Courier New"/>
          <w:lang w:eastAsia="zh-CN"/>
        </w:rPr>
        <w:t>, and priority ranges</w:t>
      </w:r>
      <w:r w:rsidRPr="00FA0D37">
        <w:t>.</w:t>
      </w:r>
      <w:r w:rsidRPr="00FA0D37">
        <w:rPr>
          <w:lang w:eastAsia="zh-CN"/>
        </w:rPr>
        <w:t xml:space="preserve"> It also indicates the default PSSCH transmission parameters to be used when CBR measurement results are not available</w:t>
      </w:r>
      <w:r w:rsidR="000C0F63" w:rsidRPr="00FA0D37">
        <w:rPr>
          <w:lang w:eastAsia="zh-CN"/>
        </w:rPr>
        <w:t>, and MCS range for the MCS tables used in the resource pool</w:t>
      </w:r>
      <w:r w:rsidRPr="00FA0D37">
        <w:t>.</w:t>
      </w:r>
    </w:p>
    <w:p w14:paraId="0A5D1225" w14:textId="77777777" w:rsidR="00394471" w:rsidRPr="00FA0D37" w:rsidRDefault="00394471" w:rsidP="00394471">
      <w:pPr>
        <w:pStyle w:val="TH"/>
      </w:pPr>
      <w:r w:rsidRPr="00FA0D37">
        <w:rPr>
          <w:i/>
          <w:iCs/>
        </w:rPr>
        <w:t>SL-CBR-PriorityTxConfigList</w:t>
      </w:r>
      <w:r w:rsidRPr="00FA0D37">
        <w:t xml:space="preserve"> information element</w:t>
      </w:r>
    </w:p>
    <w:p w14:paraId="2F8DD249" w14:textId="77777777" w:rsidR="00394471" w:rsidRPr="00FA0D37" w:rsidRDefault="00394471" w:rsidP="00FA0D37">
      <w:pPr>
        <w:pStyle w:val="PL"/>
        <w:rPr>
          <w:color w:val="808080"/>
        </w:rPr>
      </w:pPr>
      <w:r w:rsidRPr="00FA0D37">
        <w:rPr>
          <w:color w:val="808080"/>
        </w:rPr>
        <w:t>-- ASN1START</w:t>
      </w:r>
    </w:p>
    <w:p w14:paraId="6EC900E0" w14:textId="77777777" w:rsidR="00394471" w:rsidRPr="00FA0D37" w:rsidRDefault="00394471" w:rsidP="00FA0D37">
      <w:pPr>
        <w:pStyle w:val="PL"/>
        <w:rPr>
          <w:color w:val="808080"/>
        </w:rPr>
      </w:pPr>
      <w:r w:rsidRPr="00FA0D37">
        <w:rPr>
          <w:color w:val="808080"/>
        </w:rPr>
        <w:t>-- TAG-SL-CBR-PRIORITYTXCONFIGLIST-START</w:t>
      </w:r>
    </w:p>
    <w:p w14:paraId="303380B8" w14:textId="77777777" w:rsidR="00394471" w:rsidRPr="00FA0D37" w:rsidRDefault="00394471" w:rsidP="00FA0D37">
      <w:pPr>
        <w:pStyle w:val="PL"/>
      </w:pPr>
    </w:p>
    <w:p w14:paraId="42DDE9B0" w14:textId="77777777" w:rsidR="00394471" w:rsidRPr="00FA0D37" w:rsidRDefault="00394471" w:rsidP="00FA0D37">
      <w:pPr>
        <w:pStyle w:val="PL"/>
      </w:pPr>
      <w:r w:rsidRPr="00FA0D37">
        <w:t xml:space="preserve">SL-CBR-PriorityTxConfigList-r16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SL-PriorityTxConfigIndex-r16</w:t>
      </w:r>
    </w:p>
    <w:p w14:paraId="355CF0F9" w14:textId="77777777" w:rsidR="000C0F63" w:rsidRPr="00FA0D37" w:rsidRDefault="000C0F63" w:rsidP="00FA0D37">
      <w:pPr>
        <w:pStyle w:val="PL"/>
      </w:pPr>
    </w:p>
    <w:p w14:paraId="565ACC6B" w14:textId="4B23A3EF" w:rsidR="00394471" w:rsidRPr="00FA0D37" w:rsidRDefault="000C0F63" w:rsidP="00FA0D37">
      <w:pPr>
        <w:pStyle w:val="PL"/>
      </w:pPr>
      <w:r w:rsidRPr="00FA0D37">
        <w:t>SL-CBR-PriorityTxConfigList-v16</w:t>
      </w:r>
      <w:r w:rsidR="001F631E" w:rsidRPr="00FA0D37">
        <w:t>50</w:t>
      </w:r>
      <w:r w:rsidRPr="00FA0D37">
        <w:t xml:space="preserve"> ::=</w:t>
      </w:r>
      <w:r w:rsidR="003D44C0" w:rsidRPr="00FA0D37">
        <w:t xml:space="preserve">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SL-PriorityTxConfigIndex-v16</w:t>
      </w:r>
      <w:r w:rsidR="001F631E" w:rsidRPr="00FA0D37">
        <w:t>50</w:t>
      </w:r>
    </w:p>
    <w:p w14:paraId="6657029F" w14:textId="77777777" w:rsidR="000C0F63" w:rsidRPr="00FA0D37" w:rsidRDefault="000C0F63" w:rsidP="00FA0D37">
      <w:pPr>
        <w:pStyle w:val="PL"/>
      </w:pPr>
    </w:p>
    <w:p w14:paraId="746109A6" w14:textId="77777777" w:rsidR="00394471" w:rsidRPr="00FA0D37" w:rsidRDefault="00394471" w:rsidP="00FA0D37">
      <w:pPr>
        <w:pStyle w:val="PL"/>
      </w:pPr>
      <w:r w:rsidRPr="00FA0D37">
        <w:t xml:space="preserve">SL-PriorityTxConfigIndex-r16 ::=    </w:t>
      </w:r>
      <w:r w:rsidRPr="00FA0D37">
        <w:rPr>
          <w:color w:val="993366"/>
        </w:rPr>
        <w:t>SEQUENCE</w:t>
      </w:r>
      <w:r w:rsidRPr="00FA0D37">
        <w:t xml:space="preserve"> {</w:t>
      </w:r>
    </w:p>
    <w:p w14:paraId="49BC0AE8" w14:textId="77777777" w:rsidR="00394471" w:rsidRPr="00FA0D37" w:rsidRDefault="00394471" w:rsidP="00FA0D37">
      <w:pPr>
        <w:pStyle w:val="PL"/>
        <w:rPr>
          <w:color w:val="808080"/>
        </w:rPr>
      </w:pPr>
      <w:r w:rsidRPr="00FA0D37">
        <w:t xml:space="preserve">    sl-PriorityThreshold-r16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M</w:t>
      </w:r>
    </w:p>
    <w:p w14:paraId="4DFB4BCF" w14:textId="77777777" w:rsidR="00394471" w:rsidRPr="00FA0D37" w:rsidRDefault="00394471" w:rsidP="00FA0D37">
      <w:pPr>
        <w:pStyle w:val="PL"/>
        <w:rPr>
          <w:rFonts w:eastAsia="等线"/>
          <w:color w:val="808080"/>
        </w:rPr>
      </w:pPr>
      <w:r w:rsidRPr="00FA0D37">
        <w:t xml:space="preserve">    </w:t>
      </w:r>
      <w:r w:rsidRPr="00FA0D37">
        <w:rPr>
          <w:rFonts w:eastAsia="等线"/>
        </w:rPr>
        <w:t>sl-DefaultTxConfigIndex-r16</w:t>
      </w:r>
      <w:r w:rsidRPr="00FA0D37">
        <w:t xml:space="preserve">          </w:t>
      </w:r>
      <w:r w:rsidRPr="00FA0D37">
        <w:rPr>
          <w:rFonts w:eastAsia="等线"/>
          <w:color w:val="993366"/>
        </w:rPr>
        <w:t>INTEGER</w:t>
      </w:r>
      <w:r w:rsidRPr="00FA0D37">
        <w:rPr>
          <w:rFonts w:eastAsia="等线"/>
        </w:rPr>
        <w:t xml:space="preserve"> (0..maxCBR-Level-1-r16)</w:t>
      </w:r>
      <w:r w:rsidRPr="00FA0D37">
        <w:t xml:space="preserve">                                  </w:t>
      </w:r>
      <w:r w:rsidRPr="00FA0D37">
        <w:rPr>
          <w:color w:val="993366"/>
        </w:rPr>
        <w:t>OPTIONAL</w:t>
      </w:r>
      <w:r w:rsidRPr="00FA0D37">
        <w:t xml:space="preserve">,    </w:t>
      </w:r>
      <w:r w:rsidRPr="00FA0D37">
        <w:rPr>
          <w:color w:val="808080"/>
        </w:rPr>
        <w:t>-- Need M</w:t>
      </w:r>
    </w:p>
    <w:p w14:paraId="3C9822C2" w14:textId="77777777" w:rsidR="00394471" w:rsidRPr="00FA0D37" w:rsidRDefault="00394471" w:rsidP="00FA0D37">
      <w:pPr>
        <w:pStyle w:val="PL"/>
        <w:rPr>
          <w:rFonts w:eastAsia="等线"/>
          <w:color w:val="808080"/>
        </w:rPr>
      </w:pPr>
      <w:r w:rsidRPr="00FA0D37">
        <w:t xml:space="preserve">    </w:t>
      </w:r>
      <w:r w:rsidRPr="00FA0D37">
        <w:rPr>
          <w:rFonts w:eastAsia="等线"/>
        </w:rPr>
        <w:t>sl-CBR-ConfigIndex-r16</w:t>
      </w:r>
      <w:r w:rsidRPr="00FA0D37">
        <w:t xml:space="preserve">               </w:t>
      </w:r>
      <w:r w:rsidRPr="00FA0D37">
        <w:rPr>
          <w:rFonts w:eastAsia="等线"/>
          <w:color w:val="993366"/>
        </w:rPr>
        <w:t>INTEGER</w:t>
      </w:r>
      <w:r w:rsidRPr="00FA0D37">
        <w:rPr>
          <w:rFonts w:eastAsia="等线"/>
        </w:rPr>
        <w:t xml:space="preserve"> (0..maxCBR-Config-1-r16)</w:t>
      </w:r>
      <w:r w:rsidRPr="00FA0D37">
        <w:t xml:space="preserve">                                 </w:t>
      </w:r>
      <w:r w:rsidRPr="00FA0D37">
        <w:rPr>
          <w:color w:val="993366"/>
        </w:rPr>
        <w:t>OPTIONAL</w:t>
      </w:r>
      <w:r w:rsidRPr="00FA0D37">
        <w:t xml:space="preserve">,    </w:t>
      </w:r>
      <w:r w:rsidRPr="00FA0D37">
        <w:rPr>
          <w:color w:val="808080"/>
        </w:rPr>
        <w:t>-- Need M</w:t>
      </w:r>
    </w:p>
    <w:p w14:paraId="337A4F29" w14:textId="77777777" w:rsidR="00394471" w:rsidRPr="00FA0D37" w:rsidRDefault="00394471" w:rsidP="00FA0D37">
      <w:pPr>
        <w:pStyle w:val="PL"/>
        <w:rPr>
          <w:rFonts w:eastAsia="等线"/>
          <w:color w:val="808080"/>
        </w:rPr>
      </w:pPr>
      <w:r w:rsidRPr="00FA0D37">
        <w:t xml:space="preserve">    </w:t>
      </w:r>
      <w:r w:rsidRPr="00FA0D37">
        <w:rPr>
          <w:rFonts w:eastAsia="等线"/>
        </w:rPr>
        <w:t>sl-Tx-ConfigIndexList-r16</w:t>
      </w:r>
      <w:r w:rsidRPr="00FA0D37">
        <w:t xml:space="preserve">            </w:t>
      </w:r>
      <w:r w:rsidRPr="00FA0D37">
        <w:rPr>
          <w:rFonts w:eastAsia="等线"/>
          <w:color w:val="993366"/>
        </w:rPr>
        <w:t>SEQUENCE</w:t>
      </w:r>
      <w:r w:rsidRPr="00FA0D37">
        <w:rPr>
          <w:rFonts w:eastAsia="等线"/>
        </w:rPr>
        <w:t xml:space="preserve"> (</w:t>
      </w:r>
      <w:r w:rsidRPr="00FA0D37">
        <w:rPr>
          <w:rFonts w:eastAsia="等线"/>
          <w:color w:val="993366"/>
        </w:rPr>
        <w:t>SIZE</w:t>
      </w:r>
      <w:r w:rsidRPr="00FA0D37">
        <w:rPr>
          <w:rFonts w:eastAsia="等线"/>
        </w:rPr>
        <w:t xml:space="preserve"> (1.. maxCBR-Level-r16))</w:t>
      </w:r>
      <w:r w:rsidRPr="00FA0D37">
        <w:rPr>
          <w:rFonts w:eastAsia="等线"/>
          <w:color w:val="993366"/>
        </w:rPr>
        <w:t xml:space="preserve"> OF</w:t>
      </w:r>
      <w:r w:rsidRPr="00FA0D37">
        <w:rPr>
          <w:rFonts w:eastAsia="等线"/>
        </w:rPr>
        <w:t xml:space="preserve"> SL-TxConfigIndex-r16</w:t>
      </w:r>
      <w:r w:rsidRPr="00FA0D37">
        <w:t xml:space="preserve">   </w:t>
      </w:r>
      <w:r w:rsidRPr="00FA0D37">
        <w:rPr>
          <w:color w:val="993366"/>
        </w:rPr>
        <w:t>OPTIONAL</w:t>
      </w:r>
      <w:r w:rsidRPr="00FA0D37">
        <w:t xml:space="preserve">     </w:t>
      </w:r>
      <w:r w:rsidRPr="00FA0D37">
        <w:rPr>
          <w:color w:val="808080"/>
        </w:rPr>
        <w:t>-- Need M</w:t>
      </w:r>
    </w:p>
    <w:p w14:paraId="763B93D6" w14:textId="77777777" w:rsidR="00394471" w:rsidRPr="00FA0D37" w:rsidRDefault="00394471" w:rsidP="00FA0D37">
      <w:pPr>
        <w:pStyle w:val="PL"/>
      </w:pPr>
      <w:r w:rsidRPr="00FA0D37">
        <w:t>}</w:t>
      </w:r>
    </w:p>
    <w:p w14:paraId="66A35E91" w14:textId="77777777" w:rsidR="00394471" w:rsidRPr="00FA0D37" w:rsidRDefault="00394471" w:rsidP="00FA0D37">
      <w:pPr>
        <w:pStyle w:val="PL"/>
      </w:pPr>
    </w:p>
    <w:p w14:paraId="3F214ECD" w14:textId="34944C9F" w:rsidR="000C0F63" w:rsidRPr="00FA0D37" w:rsidRDefault="000C0F63" w:rsidP="00FA0D37">
      <w:pPr>
        <w:pStyle w:val="PL"/>
      </w:pPr>
      <w:r w:rsidRPr="00FA0D37">
        <w:t>SL-PriorityTxConfigIndex-v16</w:t>
      </w:r>
      <w:r w:rsidR="001F631E" w:rsidRPr="00FA0D37">
        <w:t>50</w:t>
      </w:r>
      <w:r w:rsidRPr="00FA0D37">
        <w:t xml:space="preserve"> ::</w:t>
      </w:r>
      <w:r w:rsidR="00EC4FE7" w:rsidRPr="00FA0D37">
        <w:t>=</w:t>
      </w:r>
      <w:r w:rsidRPr="00FA0D37">
        <w:t xml:space="preserve">  </w:t>
      </w:r>
      <w:r w:rsidRPr="00FA0D37">
        <w:rPr>
          <w:color w:val="993366"/>
        </w:rPr>
        <w:t>SEQUENCE</w:t>
      </w:r>
      <w:r w:rsidRPr="00FA0D37">
        <w:t xml:space="preserve"> {</w:t>
      </w:r>
    </w:p>
    <w:p w14:paraId="7BD8F4BF" w14:textId="6443A902" w:rsidR="000C0F63" w:rsidRPr="00FA0D37" w:rsidRDefault="000C0F63" w:rsidP="00FA0D37">
      <w:pPr>
        <w:pStyle w:val="PL"/>
        <w:rPr>
          <w:color w:val="808080"/>
        </w:rPr>
      </w:pPr>
      <w:r w:rsidRPr="00FA0D37">
        <w:t xml:space="preserve">    sl-MCS-RangeList-r16                </w:t>
      </w:r>
      <w:r w:rsidRPr="00FA0D37">
        <w:rPr>
          <w:color w:val="993366"/>
        </w:rPr>
        <w:t>SEQUENCE</w:t>
      </w:r>
      <w:r w:rsidRPr="00FA0D37">
        <w:t xml:space="preserve"> (</w:t>
      </w:r>
      <w:r w:rsidRPr="00FA0D37">
        <w:rPr>
          <w:color w:val="993366"/>
        </w:rPr>
        <w:t>SIZE</w:t>
      </w:r>
      <w:r w:rsidRPr="00FA0D37">
        <w:t xml:space="preserve"> (1..maxCBR-Level-r16))</w:t>
      </w:r>
      <w:r w:rsidRPr="00FA0D37">
        <w:rPr>
          <w:color w:val="993366"/>
        </w:rPr>
        <w:t xml:space="preserve"> OF</w:t>
      </w:r>
      <w:r w:rsidRPr="00FA0D37">
        <w:t xml:space="preserve"> SL-MinMaxMCS-List-r16    </w:t>
      </w:r>
      <w:r w:rsidRPr="00FA0D37">
        <w:rPr>
          <w:color w:val="993366"/>
        </w:rPr>
        <w:t>OPTIONAL</w:t>
      </w:r>
      <w:r w:rsidRPr="00FA0D37">
        <w:t xml:space="preserve">     </w:t>
      </w:r>
      <w:r w:rsidRPr="00FA0D37">
        <w:rPr>
          <w:color w:val="808080"/>
        </w:rPr>
        <w:t>-- Need M</w:t>
      </w:r>
    </w:p>
    <w:p w14:paraId="7238733C" w14:textId="1472B1CE" w:rsidR="00394471" w:rsidRPr="00FA0D37" w:rsidRDefault="000C0F63" w:rsidP="00FA0D37">
      <w:pPr>
        <w:pStyle w:val="PL"/>
      </w:pPr>
      <w:r w:rsidRPr="00FA0D37">
        <w:t>}</w:t>
      </w:r>
    </w:p>
    <w:p w14:paraId="0F1BEFCD" w14:textId="77777777" w:rsidR="000C0F63" w:rsidRPr="00FA0D37" w:rsidRDefault="000C0F63" w:rsidP="00FA0D37">
      <w:pPr>
        <w:pStyle w:val="PL"/>
      </w:pPr>
    </w:p>
    <w:p w14:paraId="6344918D" w14:textId="77777777" w:rsidR="00EC4FE7" w:rsidRPr="00FA0D37" w:rsidRDefault="00EC4FE7" w:rsidP="00FA0D37">
      <w:pPr>
        <w:pStyle w:val="PL"/>
      </w:pPr>
      <w:r w:rsidRPr="00FA0D37">
        <w:rPr>
          <w:rFonts w:eastAsia="等线"/>
        </w:rPr>
        <w:t>SL-TxConfigIndex-r16</w:t>
      </w:r>
      <w:r w:rsidRPr="00FA0D37">
        <w:t xml:space="preserve"> ::=            </w:t>
      </w:r>
      <w:r w:rsidRPr="00FA0D37">
        <w:rPr>
          <w:color w:val="993366"/>
        </w:rPr>
        <w:t>INTEGER</w:t>
      </w:r>
      <w:r w:rsidRPr="00FA0D37">
        <w:t xml:space="preserve"> (0..maxTxConfig-1-r16)</w:t>
      </w:r>
    </w:p>
    <w:p w14:paraId="5890C761" w14:textId="77777777" w:rsidR="00EC4FE7" w:rsidRPr="00FA0D37" w:rsidRDefault="00EC4FE7" w:rsidP="00FA0D37">
      <w:pPr>
        <w:pStyle w:val="PL"/>
      </w:pPr>
    </w:p>
    <w:p w14:paraId="7AA9CAD7" w14:textId="77777777" w:rsidR="00394471" w:rsidRPr="00FA0D37" w:rsidRDefault="00394471" w:rsidP="00FA0D37">
      <w:pPr>
        <w:pStyle w:val="PL"/>
        <w:rPr>
          <w:color w:val="808080"/>
        </w:rPr>
      </w:pPr>
      <w:r w:rsidRPr="00FA0D37">
        <w:rPr>
          <w:color w:val="808080"/>
        </w:rPr>
        <w:t>-- TAG-SL-CBR-PRIORITYTXCONFIGLIST-STOP</w:t>
      </w:r>
    </w:p>
    <w:p w14:paraId="5ED798A8" w14:textId="77777777" w:rsidR="00394471" w:rsidRPr="00FA0D37" w:rsidRDefault="00394471" w:rsidP="00FA0D37">
      <w:pPr>
        <w:pStyle w:val="PL"/>
        <w:rPr>
          <w:color w:val="808080"/>
        </w:rPr>
      </w:pPr>
      <w:r w:rsidRPr="00FA0D37">
        <w:rPr>
          <w:color w:val="808080"/>
        </w:rPr>
        <w:t>-- ASN1STOP</w:t>
      </w:r>
    </w:p>
    <w:p w14:paraId="10085D4B" w14:textId="77777777" w:rsidR="00394471" w:rsidRPr="00FA0D3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29C57C93" w14:textId="77777777" w:rsidTr="000C0F63">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EFCE2E" w14:textId="77777777" w:rsidR="00394471" w:rsidRPr="00FA0D37" w:rsidRDefault="00394471" w:rsidP="00964CC4">
            <w:pPr>
              <w:pStyle w:val="TAH"/>
              <w:rPr>
                <w:b w:val="0"/>
                <w:lang w:eastAsia="en-GB"/>
              </w:rPr>
            </w:pPr>
            <w:r w:rsidRPr="00FA0D37">
              <w:rPr>
                <w:i/>
                <w:iCs/>
                <w:lang w:eastAsia="sv-SE"/>
              </w:rPr>
              <w:lastRenderedPageBreak/>
              <w:t>SL-CBR-PriorityTxConfigList</w:t>
            </w:r>
            <w:r w:rsidRPr="00FA0D37">
              <w:rPr>
                <w:iCs/>
                <w:noProof/>
                <w:lang w:eastAsia="en-GB"/>
              </w:rPr>
              <w:t xml:space="preserve"> field descriptions</w:t>
            </w:r>
          </w:p>
        </w:tc>
      </w:tr>
      <w:tr w:rsidR="005C7FF4" w:rsidRPr="00FA0D37" w14:paraId="6FEA0977"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848E048" w14:textId="77777777" w:rsidR="00394471" w:rsidRPr="00FA0D37" w:rsidRDefault="00394471" w:rsidP="00964CC4">
            <w:pPr>
              <w:pStyle w:val="TAL"/>
              <w:rPr>
                <w:b/>
                <w:bCs/>
                <w:i/>
                <w:iCs/>
                <w:lang w:eastAsia="en-GB"/>
              </w:rPr>
            </w:pPr>
            <w:r w:rsidRPr="00FA0D37">
              <w:rPr>
                <w:b/>
                <w:bCs/>
                <w:i/>
                <w:iCs/>
                <w:lang w:eastAsia="en-GB"/>
              </w:rPr>
              <w:t>sl-CBR-ConfigIndex</w:t>
            </w:r>
          </w:p>
          <w:p w14:paraId="3ED0EB92" w14:textId="77777777" w:rsidR="00394471" w:rsidRPr="00FA0D37" w:rsidRDefault="00394471" w:rsidP="00964CC4">
            <w:pPr>
              <w:pStyle w:val="TAL"/>
              <w:rPr>
                <w:bCs/>
                <w:noProof/>
                <w:lang w:eastAsia="en-GB"/>
              </w:rPr>
            </w:pPr>
            <w:r w:rsidRPr="00FA0D37">
              <w:rPr>
                <w:bCs/>
                <w:kern w:val="2"/>
                <w:lang w:eastAsia="en-GB"/>
              </w:rPr>
              <w:t xml:space="preserve">Indicates the CBR ranges to be used by an index to the entry of the CBR range configuration in </w:t>
            </w:r>
            <w:r w:rsidRPr="00FA0D37">
              <w:rPr>
                <w:bCs/>
                <w:i/>
                <w:iCs/>
                <w:kern w:val="2"/>
                <w:lang w:eastAsia="en-GB"/>
              </w:rPr>
              <w:t>sl-CBR-RangeConfigList</w:t>
            </w:r>
            <w:r w:rsidRPr="00FA0D37">
              <w:rPr>
                <w:bCs/>
                <w:kern w:val="2"/>
                <w:lang w:eastAsia="en-GB"/>
              </w:rPr>
              <w:t>.</w:t>
            </w:r>
          </w:p>
        </w:tc>
      </w:tr>
      <w:tr w:rsidR="005C7FF4" w:rsidRPr="00FA0D37" w14:paraId="7824C875"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7A1ABD" w14:textId="77777777" w:rsidR="00394471" w:rsidRPr="00FA0D37" w:rsidRDefault="00394471" w:rsidP="00964CC4">
            <w:pPr>
              <w:pStyle w:val="TAL"/>
              <w:rPr>
                <w:b/>
                <w:bCs/>
                <w:i/>
                <w:iCs/>
                <w:lang w:eastAsia="en-GB"/>
              </w:rPr>
            </w:pPr>
            <w:r w:rsidRPr="00FA0D37">
              <w:rPr>
                <w:b/>
                <w:bCs/>
                <w:i/>
                <w:iCs/>
                <w:lang w:eastAsia="en-GB"/>
              </w:rPr>
              <w:t>sl-DefaultTxConfigIndex</w:t>
            </w:r>
          </w:p>
          <w:p w14:paraId="6760658D" w14:textId="64F78DE7" w:rsidR="00394471" w:rsidRPr="00FA0D37" w:rsidRDefault="00394471" w:rsidP="00964CC4">
            <w:pPr>
              <w:pStyle w:val="TAL"/>
              <w:rPr>
                <w:lang w:eastAsia="en-GB"/>
              </w:rPr>
            </w:pPr>
            <w:r w:rsidRPr="00FA0D37">
              <w:rPr>
                <w:rFonts w:cs="Arial"/>
                <w:bCs/>
                <w:kern w:val="2"/>
                <w:lang w:eastAsia="zh-CN"/>
              </w:rPr>
              <w:t xml:space="preserve">Indicates the </w:t>
            </w:r>
            <w:r w:rsidRPr="00FA0D37">
              <w:rPr>
                <w:rFonts w:cs="Arial"/>
                <w:lang w:eastAsia="sv-SE"/>
              </w:rPr>
              <w:t xml:space="preserve">PSSCH </w:t>
            </w:r>
            <w:r w:rsidRPr="00FA0D37">
              <w:rPr>
                <w:rFonts w:cs="Arial"/>
                <w:lang w:eastAsia="zh-CN"/>
              </w:rPr>
              <w:t>transmission</w:t>
            </w:r>
            <w:r w:rsidRPr="00FA0D37">
              <w:rPr>
                <w:rFonts w:cs="Arial"/>
                <w:lang w:eastAsia="sv-SE"/>
              </w:rPr>
              <w:t xml:space="preserve"> parameters to be used by the UEs which do not have available CBR measurement results</w:t>
            </w:r>
            <w:r w:rsidRPr="00FA0D37">
              <w:rPr>
                <w:rFonts w:cs="Arial"/>
                <w:bCs/>
                <w:kern w:val="2"/>
                <w:lang w:eastAsia="zh-CN"/>
              </w:rPr>
              <w:t>, by means of an index to the corresponding entry in</w:t>
            </w:r>
            <w:r w:rsidRPr="00FA0D37">
              <w:rPr>
                <w:rFonts w:cs="Arial"/>
                <w:bCs/>
                <w:i/>
                <w:iCs/>
                <w:kern w:val="2"/>
                <w:lang w:eastAsia="zh-CN"/>
              </w:rPr>
              <w:t xml:space="preserve"> </w:t>
            </w:r>
            <w:r w:rsidR="00C12C0B" w:rsidRPr="00FA0D37">
              <w:rPr>
                <w:rFonts w:cs="Arial"/>
                <w:i/>
                <w:iCs/>
                <w:lang w:eastAsia="sv-SE"/>
              </w:rPr>
              <w:t>sl-Tx-ConfigIndexList</w:t>
            </w:r>
            <w:r w:rsidRPr="00FA0D37">
              <w:rPr>
                <w:rFonts w:cs="Arial"/>
                <w:bCs/>
                <w:kern w:val="2"/>
                <w:lang w:eastAsia="zh-CN"/>
              </w:rPr>
              <w:t xml:space="preserve">. Value 0 indicates the first entry in </w:t>
            </w:r>
            <w:r w:rsidR="00C12C0B" w:rsidRPr="00FA0D37">
              <w:rPr>
                <w:rFonts w:cs="Arial"/>
                <w:i/>
                <w:iCs/>
                <w:lang w:eastAsia="sv-SE"/>
              </w:rPr>
              <w:t>sl-Tx-ConfigIndexList</w:t>
            </w:r>
            <w:r w:rsidRPr="00FA0D37">
              <w:rPr>
                <w:rFonts w:cs="Arial"/>
                <w:bCs/>
                <w:kern w:val="2"/>
                <w:lang w:eastAsia="zh-CN"/>
              </w:rPr>
              <w:t xml:space="preserve">. The field is ignored if the UE has available </w:t>
            </w:r>
            <w:r w:rsidRPr="00FA0D37">
              <w:rPr>
                <w:rFonts w:cs="Arial"/>
                <w:lang w:eastAsia="sv-SE"/>
              </w:rPr>
              <w:t>CBR measurement results.</w:t>
            </w:r>
          </w:p>
        </w:tc>
      </w:tr>
      <w:tr w:rsidR="005C7FF4" w:rsidRPr="00FA0D37" w14:paraId="35E44C33"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4EC57A" w14:textId="39F3846B" w:rsidR="000C0F63" w:rsidRPr="00FA0D37" w:rsidRDefault="000C0F63" w:rsidP="003D44C0">
            <w:pPr>
              <w:pStyle w:val="TAL"/>
              <w:rPr>
                <w:b/>
                <w:bCs/>
                <w:i/>
                <w:iCs/>
                <w:lang w:eastAsia="en-GB"/>
              </w:rPr>
            </w:pPr>
            <w:r w:rsidRPr="00FA0D37">
              <w:rPr>
                <w:b/>
                <w:bCs/>
                <w:i/>
                <w:iCs/>
                <w:lang w:eastAsia="en-GB"/>
              </w:rPr>
              <w:t>sl-MCS-RangeList</w:t>
            </w:r>
          </w:p>
          <w:p w14:paraId="50FA859A" w14:textId="4DA5BB9A" w:rsidR="000C0F63" w:rsidRPr="00FA0D37" w:rsidRDefault="000C0F63" w:rsidP="003D44C0">
            <w:pPr>
              <w:pStyle w:val="TAL"/>
              <w:rPr>
                <w:rFonts w:cs="Arial"/>
                <w:lang w:eastAsia="en-GB"/>
              </w:rPr>
            </w:pPr>
            <w:r w:rsidRPr="00FA0D37">
              <w:rPr>
                <w:rFonts w:cs="Arial"/>
                <w:kern w:val="2"/>
                <w:lang w:eastAsia="zh-CN"/>
              </w:rPr>
              <w:t>Indicates the minimum MCS value and maximum MCS value for the associated MCS table(s).</w:t>
            </w:r>
            <w:r w:rsidRPr="00FA0D37">
              <w:t xml:space="preserve"> </w:t>
            </w:r>
            <w:r w:rsidRPr="00FA0D37">
              <w:rPr>
                <w:rFonts w:cs="Arial"/>
                <w:kern w:val="2"/>
                <w:lang w:eastAsia="zh-CN"/>
              </w:rPr>
              <w:t>UE shall ignore the minimum MCS value and maximum MCS value</w:t>
            </w:r>
            <w:r w:rsidRPr="00FA0D37">
              <w:rPr>
                <w:rFonts w:eastAsia="等线" w:cs="Arial"/>
                <w:lang w:eastAsia="zh-CN"/>
              </w:rPr>
              <w:t xml:space="preserve"> used for </w:t>
            </w:r>
            <w:r w:rsidRPr="00FA0D37">
              <w:rPr>
                <w:rFonts w:cs="Arial"/>
                <w:kern w:val="2"/>
                <w:lang w:eastAsia="en-GB"/>
              </w:rPr>
              <w:t>table</w:t>
            </w:r>
            <w:r w:rsidRPr="00FA0D37">
              <w:rPr>
                <w:rFonts w:eastAsia="等线" w:cs="Arial"/>
                <w:lang w:eastAsia="zh-CN"/>
              </w:rPr>
              <w:t xml:space="preserve"> of </w:t>
            </w:r>
            <w:r w:rsidRPr="00FA0D37">
              <w:rPr>
                <w:rFonts w:cs="Arial"/>
                <w:kern w:val="2"/>
                <w:lang w:eastAsia="en-GB"/>
              </w:rPr>
              <w:t>64QAM indicated in</w:t>
            </w:r>
            <w:r w:rsidRPr="00FA0D37">
              <w:rPr>
                <w:rFonts w:eastAsia="等线" w:cs="Arial"/>
                <w:lang w:eastAsia="zh-CN"/>
              </w:rPr>
              <w:t xml:space="preserve"> </w:t>
            </w:r>
            <w:r w:rsidRPr="00FA0D37">
              <w:rPr>
                <w:rFonts w:eastAsia="等线" w:cs="Arial"/>
                <w:i/>
                <w:iCs/>
                <w:lang w:eastAsia="zh-CN"/>
              </w:rPr>
              <w:t>SL-CBR-PriorityTxConfigList-r16</w:t>
            </w:r>
            <w:r w:rsidRPr="00FA0D37">
              <w:rPr>
                <w:rFonts w:cs="Arial"/>
                <w:kern w:val="2"/>
                <w:lang w:eastAsia="en-GB"/>
              </w:rPr>
              <w:t xml:space="preserve"> if </w:t>
            </w:r>
            <w:r w:rsidRPr="00FA0D37">
              <w:rPr>
                <w:rFonts w:eastAsia="等线" w:cs="Arial"/>
                <w:i/>
                <w:iCs/>
                <w:lang w:eastAsia="zh-CN"/>
              </w:rPr>
              <w:t>SL-CBR-PriorityTxConfigList-v16</w:t>
            </w:r>
            <w:r w:rsidR="001F631E" w:rsidRPr="00FA0D37">
              <w:rPr>
                <w:rFonts w:eastAsia="等线" w:cs="Arial"/>
                <w:i/>
                <w:iCs/>
                <w:lang w:eastAsia="zh-CN"/>
              </w:rPr>
              <w:t>50</w:t>
            </w:r>
            <w:r w:rsidRPr="00FA0D37">
              <w:rPr>
                <w:rFonts w:eastAsia="等线" w:cs="Arial"/>
                <w:lang w:eastAsia="zh-CN"/>
              </w:rPr>
              <w:t xml:space="preserve"> is present.</w:t>
            </w:r>
          </w:p>
        </w:tc>
      </w:tr>
      <w:tr w:rsidR="005C7FF4" w:rsidRPr="00FA0D37" w14:paraId="3096DDC6"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2B2DEF" w14:textId="77777777" w:rsidR="00394471" w:rsidRPr="00FA0D37" w:rsidRDefault="00394471" w:rsidP="00964CC4">
            <w:pPr>
              <w:pStyle w:val="TAL"/>
              <w:rPr>
                <w:b/>
                <w:bCs/>
                <w:i/>
                <w:iCs/>
                <w:lang w:eastAsia="en-GB"/>
              </w:rPr>
            </w:pPr>
            <w:r w:rsidRPr="00FA0D37">
              <w:rPr>
                <w:b/>
                <w:bCs/>
                <w:i/>
                <w:iCs/>
                <w:lang w:eastAsia="en-GB"/>
              </w:rPr>
              <w:t>sl-PriorityThreshold</w:t>
            </w:r>
          </w:p>
          <w:p w14:paraId="318E065D" w14:textId="61352E4D" w:rsidR="00394471" w:rsidRPr="00FA0D37" w:rsidRDefault="00394471" w:rsidP="00964CC4">
            <w:pPr>
              <w:pStyle w:val="TAL"/>
              <w:rPr>
                <w:lang w:eastAsia="en-GB"/>
              </w:rPr>
            </w:pPr>
            <w:r w:rsidRPr="00FA0D37">
              <w:rPr>
                <w:lang w:eastAsia="en-GB"/>
              </w:rPr>
              <w:t xml:space="preserve">Indicates the upper bound of priority range which is associated with the configurations in </w:t>
            </w:r>
            <w:r w:rsidRPr="00FA0D37">
              <w:rPr>
                <w:i/>
                <w:iCs/>
                <w:lang w:eastAsia="en-GB"/>
              </w:rPr>
              <w:t>sl-CBR-ConfigIndex</w:t>
            </w:r>
            <w:r w:rsidRPr="00FA0D37">
              <w:rPr>
                <w:lang w:eastAsia="en-GB"/>
              </w:rPr>
              <w:t xml:space="preserve"> and in </w:t>
            </w:r>
            <w:r w:rsidRPr="00FA0D37">
              <w:rPr>
                <w:i/>
                <w:iCs/>
                <w:lang w:eastAsia="en-GB"/>
              </w:rPr>
              <w:t>sl-Tx-ConfigIndexList</w:t>
            </w:r>
            <w:r w:rsidRPr="00FA0D37">
              <w:rPr>
                <w:lang w:eastAsia="en-GB"/>
              </w:rPr>
              <w:t xml:space="preserve">. The upper bounds of the priority ranges are configured in ascending order for consecutive entries of </w:t>
            </w:r>
            <w:r w:rsidRPr="00FA0D37">
              <w:rPr>
                <w:i/>
                <w:iCs/>
                <w:lang w:eastAsia="en-GB"/>
              </w:rPr>
              <w:t>SL-PriorityTxConfigIndex</w:t>
            </w:r>
            <w:r w:rsidRPr="00FA0D37">
              <w:rPr>
                <w:lang w:eastAsia="en-GB"/>
              </w:rPr>
              <w:t xml:space="preserve"> in </w:t>
            </w:r>
            <w:r w:rsidRPr="00FA0D37">
              <w:rPr>
                <w:i/>
                <w:iCs/>
                <w:lang w:eastAsia="en-GB"/>
              </w:rPr>
              <w:t>SL-CBR-PriorityTxConfigList</w:t>
            </w:r>
            <w:r w:rsidRPr="00FA0D37">
              <w:rPr>
                <w:lang w:eastAsia="en-GB"/>
              </w:rPr>
              <w:t>. For the first entry of S</w:t>
            </w:r>
            <w:r w:rsidRPr="00FA0D37">
              <w:rPr>
                <w:i/>
                <w:iCs/>
                <w:lang w:eastAsia="en-GB"/>
              </w:rPr>
              <w:t>L-PriorityTxConfigIndex</w:t>
            </w:r>
            <w:r w:rsidRPr="00FA0D37">
              <w:rPr>
                <w:lang w:eastAsia="en-GB"/>
              </w:rPr>
              <w:t>, the lower bound of the priority range is 1.</w:t>
            </w:r>
          </w:p>
        </w:tc>
      </w:tr>
      <w:tr w:rsidR="008E528F" w:rsidRPr="00FA0D37" w14:paraId="43BE310F"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9B9F25C" w14:textId="27BD4F80" w:rsidR="000C0F63" w:rsidRPr="00FA0D37" w:rsidRDefault="000C0F63" w:rsidP="000C0F63">
            <w:pPr>
              <w:pStyle w:val="TAL"/>
              <w:rPr>
                <w:b/>
                <w:bCs/>
                <w:i/>
                <w:iCs/>
                <w:lang w:eastAsia="en-GB"/>
              </w:rPr>
            </w:pPr>
            <w:r w:rsidRPr="00FA0D37">
              <w:rPr>
                <w:b/>
                <w:bCs/>
                <w:i/>
                <w:iCs/>
                <w:lang w:eastAsia="en-GB"/>
              </w:rPr>
              <w:t>SL-CBR-PriorityTxConfigList-v16</w:t>
            </w:r>
            <w:r w:rsidR="001F631E" w:rsidRPr="00FA0D37">
              <w:rPr>
                <w:b/>
                <w:bCs/>
                <w:i/>
                <w:iCs/>
                <w:lang w:eastAsia="en-GB"/>
              </w:rPr>
              <w:t>50</w:t>
            </w:r>
          </w:p>
          <w:p w14:paraId="1D93A218" w14:textId="1F3BE821" w:rsidR="000C0F63" w:rsidRPr="00FA0D37" w:rsidRDefault="000C0F63" w:rsidP="000C0F63">
            <w:pPr>
              <w:pStyle w:val="TAL"/>
              <w:rPr>
                <w:lang w:eastAsia="en-GB"/>
              </w:rPr>
            </w:pPr>
            <w:r w:rsidRPr="00FA0D37">
              <w:rPr>
                <w:lang w:eastAsia="en-GB"/>
              </w:rPr>
              <w:t xml:space="preserve">If included, </w:t>
            </w:r>
            <w:r w:rsidR="00521FFF" w:rsidRPr="00FA0D37">
              <w:rPr>
                <w:lang w:eastAsia="en-GB"/>
              </w:rPr>
              <w:t>it</w:t>
            </w:r>
            <w:r w:rsidRPr="00FA0D37">
              <w:rPr>
                <w:lang w:eastAsia="en-GB"/>
              </w:rPr>
              <w:t xml:space="preserve"> include</w:t>
            </w:r>
            <w:r w:rsidR="00521FFF" w:rsidRPr="00FA0D37">
              <w:rPr>
                <w:lang w:eastAsia="en-GB"/>
              </w:rPr>
              <w:t>s</w:t>
            </w:r>
            <w:r w:rsidRPr="00FA0D37">
              <w:rPr>
                <w:lang w:eastAsia="en-GB"/>
              </w:rPr>
              <w:t xml:space="preserve"> the same number of entries, and listed in the same order, as in </w:t>
            </w:r>
            <w:r w:rsidRPr="00FA0D37">
              <w:rPr>
                <w:i/>
                <w:iCs/>
                <w:lang w:eastAsia="en-GB"/>
              </w:rPr>
              <w:t>SL-CBR-PriorityTxConfigList-r16</w:t>
            </w:r>
            <w:r w:rsidRPr="00FA0D37">
              <w:rPr>
                <w:lang w:eastAsia="en-GB"/>
              </w:rPr>
              <w:t>.</w:t>
            </w:r>
          </w:p>
        </w:tc>
      </w:tr>
    </w:tbl>
    <w:p w14:paraId="26C6D36B" w14:textId="77777777" w:rsidR="00394471" w:rsidRPr="00FA0D37" w:rsidRDefault="00394471" w:rsidP="00394471"/>
    <w:p w14:paraId="34A96539" w14:textId="65FCB380" w:rsidR="00394471" w:rsidRPr="00FA0D37" w:rsidRDefault="00394471" w:rsidP="00394471">
      <w:pPr>
        <w:pStyle w:val="4"/>
      </w:pPr>
      <w:bookmarkStart w:id="1726" w:name="_Toc60777527"/>
      <w:bookmarkStart w:id="1727" w:name="_Toc146781641"/>
      <w:r w:rsidRPr="00FA0D37">
        <w:t>–</w:t>
      </w:r>
      <w:r w:rsidRPr="00FA0D37">
        <w:tab/>
      </w:r>
      <w:r w:rsidRPr="00FA0D37">
        <w:rPr>
          <w:i/>
          <w:iCs/>
        </w:rPr>
        <w:t>SL-CBR-CommonTxConfigList</w:t>
      </w:r>
      <w:bookmarkEnd w:id="1726"/>
      <w:bookmarkEnd w:id="1727"/>
    </w:p>
    <w:p w14:paraId="619CFBC5" w14:textId="22A484BB" w:rsidR="00394471" w:rsidRPr="00FA0D37" w:rsidRDefault="00394471" w:rsidP="00394471">
      <w:pPr>
        <w:rPr>
          <w:rFonts w:cs="Courier New"/>
          <w:lang w:eastAsia="zh-CN"/>
        </w:rPr>
      </w:pPr>
      <w:r w:rsidRPr="00FA0D37">
        <w:t xml:space="preserve">The IE </w:t>
      </w:r>
      <w:r w:rsidRPr="00FA0D37">
        <w:rPr>
          <w:i/>
        </w:rPr>
        <w:t>SL-CBR-CommonTxConfigList</w:t>
      </w:r>
      <w:r w:rsidRPr="00FA0D37">
        <w:t xml:space="preserve"> indicates the list of PSSCH transmission parameters </w:t>
      </w:r>
      <w:r w:rsidRPr="00FA0D37">
        <w:rPr>
          <w:lang w:eastAsia="zh-CN"/>
        </w:rPr>
        <w:t>(</w:t>
      </w:r>
      <w:r w:rsidRPr="00FA0D37">
        <w:t xml:space="preserve">such as MCS, </w:t>
      </w:r>
      <w:r w:rsidRPr="00FA0D37">
        <w:rPr>
          <w:lang w:eastAsia="zh-CN"/>
        </w:rPr>
        <w:t>sub-channel</w:t>
      </w:r>
      <w:r w:rsidRPr="00FA0D37">
        <w:t xml:space="preserve"> number, retransmission number</w:t>
      </w:r>
      <w:r w:rsidRPr="00FA0D37">
        <w:rPr>
          <w:lang w:eastAsia="zh-CN"/>
        </w:rPr>
        <w:t>, CR limit) in</w:t>
      </w:r>
      <w:r w:rsidRPr="00FA0D37">
        <w:rPr>
          <w:rFonts w:eastAsia="MS Mincho"/>
          <w:bCs/>
          <w:kern w:val="2"/>
          <w:lang w:eastAsia="en-GB"/>
        </w:rPr>
        <w:t xml:space="preserve"> </w:t>
      </w:r>
      <w:r w:rsidRPr="00FA0D37">
        <w:rPr>
          <w:bCs/>
          <w:i/>
          <w:iCs/>
          <w:lang w:eastAsia="zh-CN"/>
        </w:rPr>
        <w:t>sl-CBR-PSSCH-TxConfigList</w:t>
      </w:r>
      <w:r w:rsidRPr="00FA0D37">
        <w:rPr>
          <w:lang w:eastAsia="zh-CN"/>
        </w:rPr>
        <w:t xml:space="preserve">, and the list of </w:t>
      </w:r>
      <w:r w:rsidRPr="00FA0D37">
        <w:rPr>
          <w:bCs/>
          <w:kern w:val="2"/>
          <w:lang w:eastAsia="zh-CN"/>
        </w:rPr>
        <w:t xml:space="preserve">CBR ranges </w:t>
      </w:r>
      <w:r w:rsidRPr="00FA0D37">
        <w:rPr>
          <w:rFonts w:eastAsia="MS Mincho"/>
          <w:bCs/>
          <w:kern w:val="2"/>
          <w:lang w:eastAsia="en-GB"/>
        </w:rPr>
        <w:t xml:space="preserve">in </w:t>
      </w:r>
      <w:r w:rsidRPr="00FA0D37">
        <w:rPr>
          <w:rFonts w:eastAsia="MS Mincho"/>
          <w:bCs/>
          <w:i/>
          <w:kern w:val="2"/>
          <w:lang w:eastAsia="en-GB"/>
        </w:rPr>
        <w:t>sl-CBR-RangeConfigList</w:t>
      </w:r>
      <w:r w:rsidRPr="00FA0D37">
        <w:rPr>
          <w:rFonts w:cs="Courier New"/>
          <w:lang w:eastAsia="zh-CN"/>
        </w:rPr>
        <w:t>, to configure congestion control to the UE for sidelink communication.</w:t>
      </w:r>
    </w:p>
    <w:p w14:paraId="5E739A05" w14:textId="77777777" w:rsidR="00394471" w:rsidRPr="00FA0D37" w:rsidRDefault="00394471" w:rsidP="00394471">
      <w:pPr>
        <w:pStyle w:val="TH"/>
        <w:rPr>
          <w:b w:val="0"/>
        </w:rPr>
      </w:pPr>
      <w:r w:rsidRPr="00FA0D37">
        <w:rPr>
          <w:i/>
          <w:iCs/>
        </w:rPr>
        <w:t>SL-CBR-CommonTxConfigList</w:t>
      </w:r>
      <w:r w:rsidRPr="00FA0D37">
        <w:t xml:space="preserve"> information element</w:t>
      </w:r>
    </w:p>
    <w:p w14:paraId="13E88969" w14:textId="77777777" w:rsidR="00394471" w:rsidRPr="00FA0D37" w:rsidRDefault="00394471" w:rsidP="00FA0D37">
      <w:pPr>
        <w:pStyle w:val="PL"/>
        <w:rPr>
          <w:color w:val="808080"/>
        </w:rPr>
      </w:pPr>
      <w:r w:rsidRPr="00FA0D37">
        <w:rPr>
          <w:color w:val="808080"/>
        </w:rPr>
        <w:t>-- ASN1START</w:t>
      </w:r>
    </w:p>
    <w:p w14:paraId="5AEC4195" w14:textId="77777777" w:rsidR="00394471" w:rsidRPr="00FA0D37" w:rsidRDefault="00394471" w:rsidP="00FA0D37">
      <w:pPr>
        <w:pStyle w:val="PL"/>
        <w:rPr>
          <w:color w:val="808080"/>
        </w:rPr>
      </w:pPr>
      <w:r w:rsidRPr="00FA0D37">
        <w:rPr>
          <w:color w:val="808080"/>
        </w:rPr>
        <w:t>-- TAG-SL-CBR-COMMONTXCONFIGLIST-START</w:t>
      </w:r>
    </w:p>
    <w:p w14:paraId="349CD310" w14:textId="77777777" w:rsidR="00394471" w:rsidRPr="00FA0D37" w:rsidRDefault="00394471" w:rsidP="00FA0D37">
      <w:pPr>
        <w:pStyle w:val="PL"/>
      </w:pPr>
    </w:p>
    <w:p w14:paraId="7F59CFCB" w14:textId="77777777" w:rsidR="00394471" w:rsidRPr="00FA0D37" w:rsidRDefault="00394471" w:rsidP="00FA0D37">
      <w:pPr>
        <w:pStyle w:val="PL"/>
      </w:pPr>
      <w:r w:rsidRPr="00FA0D37">
        <w:t xml:space="preserve">SL-CBR-CommonTxConfigList-r16 ::=     </w:t>
      </w:r>
      <w:r w:rsidRPr="00FA0D37">
        <w:rPr>
          <w:color w:val="993366"/>
        </w:rPr>
        <w:t>SEQUENCE</w:t>
      </w:r>
      <w:r w:rsidRPr="00FA0D37">
        <w:t xml:space="preserve"> {</w:t>
      </w:r>
    </w:p>
    <w:p w14:paraId="3385ADC9" w14:textId="77777777" w:rsidR="00394471" w:rsidRPr="00FA0D37" w:rsidRDefault="00394471" w:rsidP="00FA0D37">
      <w:pPr>
        <w:pStyle w:val="PL"/>
        <w:rPr>
          <w:color w:val="808080"/>
        </w:rPr>
      </w:pPr>
      <w:r w:rsidRPr="00FA0D37">
        <w:t xml:space="preserve">    sl-CBR-RangeConfigList-r16            </w:t>
      </w:r>
      <w:r w:rsidRPr="00FA0D37">
        <w:rPr>
          <w:color w:val="993366"/>
        </w:rPr>
        <w:t>SEQUENCE</w:t>
      </w:r>
      <w:r w:rsidRPr="00FA0D37">
        <w:t xml:space="preserve"> (</w:t>
      </w:r>
      <w:r w:rsidRPr="00FA0D37">
        <w:rPr>
          <w:color w:val="993366"/>
        </w:rPr>
        <w:t>SIZE</w:t>
      </w:r>
      <w:r w:rsidRPr="00FA0D37">
        <w:t xml:space="preserve"> (1..maxCBR-Config-r16))</w:t>
      </w:r>
      <w:r w:rsidRPr="00FA0D37">
        <w:rPr>
          <w:color w:val="993366"/>
        </w:rPr>
        <w:t xml:space="preserve"> OF</w:t>
      </w:r>
      <w:r w:rsidRPr="00FA0D37">
        <w:t xml:space="preserve"> SL-CBR-LevelsConfig-r16     </w:t>
      </w:r>
      <w:r w:rsidRPr="00FA0D37">
        <w:rPr>
          <w:color w:val="993366"/>
        </w:rPr>
        <w:t>OPTIONAL</w:t>
      </w:r>
      <w:r w:rsidRPr="00FA0D37">
        <w:t xml:space="preserve">,   </w:t>
      </w:r>
      <w:r w:rsidRPr="00FA0D37">
        <w:rPr>
          <w:color w:val="808080"/>
        </w:rPr>
        <w:t>-- Need M</w:t>
      </w:r>
    </w:p>
    <w:p w14:paraId="2A68C86B" w14:textId="77777777" w:rsidR="00394471" w:rsidRPr="00FA0D37" w:rsidRDefault="00394471" w:rsidP="00FA0D37">
      <w:pPr>
        <w:pStyle w:val="PL"/>
        <w:rPr>
          <w:rFonts w:eastAsia="等线"/>
          <w:color w:val="808080"/>
        </w:rPr>
      </w:pPr>
      <w:r w:rsidRPr="00FA0D37">
        <w:t xml:space="preserve">    </w:t>
      </w:r>
      <w:r w:rsidRPr="00FA0D37">
        <w:rPr>
          <w:rFonts w:eastAsia="等线"/>
        </w:rPr>
        <w:t>sl-CBR-PSSCH-TxConfigList-r16</w:t>
      </w:r>
      <w:r w:rsidRPr="00FA0D37">
        <w:t xml:space="preserve">         </w:t>
      </w:r>
      <w:r w:rsidRPr="00FA0D37">
        <w:rPr>
          <w:rFonts w:eastAsia="等线"/>
          <w:color w:val="993366"/>
        </w:rPr>
        <w:t>SEQUENCE</w:t>
      </w:r>
      <w:r w:rsidRPr="00FA0D37">
        <w:rPr>
          <w:rFonts w:eastAsia="等线"/>
        </w:rPr>
        <w:t xml:space="preserve"> (</w:t>
      </w:r>
      <w:r w:rsidRPr="00FA0D37">
        <w:rPr>
          <w:rFonts w:eastAsia="等线"/>
          <w:color w:val="993366"/>
        </w:rPr>
        <w:t>SIZE</w:t>
      </w:r>
      <w:r w:rsidRPr="00FA0D37">
        <w:rPr>
          <w:rFonts w:eastAsia="等线"/>
        </w:rPr>
        <w:t xml:space="preserve"> (1.. maxTxConfig-r16))</w:t>
      </w:r>
      <w:r w:rsidRPr="00FA0D37">
        <w:rPr>
          <w:rFonts w:eastAsia="等线"/>
          <w:color w:val="993366"/>
        </w:rPr>
        <w:t xml:space="preserve"> OF</w:t>
      </w:r>
      <w:r w:rsidRPr="00FA0D37">
        <w:rPr>
          <w:rFonts w:eastAsia="等线"/>
        </w:rPr>
        <w:t xml:space="preserve"> SL-CBR-PSSCH-TxConfig-r16</w:t>
      </w:r>
      <w:r w:rsidRPr="00FA0D37">
        <w:t xml:space="preserve">    </w:t>
      </w:r>
      <w:r w:rsidRPr="00FA0D37">
        <w:rPr>
          <w:color w:val="993366"/>
        </w:rPr>
        <w:t>OPTIONAL</w:t>
      </w:r>
      <w:r w:rsidRPr="00FA0D37">
        <w:t xml:space="preserve">    </w:t>
      </w:r>
      <w:r w:rsidRPr="00FA0D37">
        <w:rPr>
          <w:color w:val="808080"/>
        </w:rPr>
        <w:t>-- Need M</w:t>
      </w:r>
    </w:p>
    <w:p w14:paraId="10DD86E4" w14:textId="77777777" w:rsidR="00394471" w:rsidRPr="00FA0D37" w:rsidRDefault="00394471" w:rsidP="00FA0D37">
      <w:pPr>
        <w:pStyle w:val="PL"/>
        <w:rPr>
          <w:rFonts w:eastAsia="等线"/>
        </w:rPr>
      </w:pPr>
      <w:r w:rsidRPr="00FA0D37">
        <w:rPr>
          <w:rFonts w:eastAsia="等线"/>
        </w:rPr>
        <w:t>}</w:t>
      </w:r>
    </w:p>
    <w:p w14:paraId="1D8CA063" w14:textId="77777777" w:rsidR="00394471" w:rsidRPr="00FA0D37" w:rsidRDefault="00394471" w:rsidP="00FA0D37">
      <w:pPr>
        <w:pStyle w:val="PL"/>
      </w:pPr>
    </w:p>
    <w:p w14:paraId="36F1BB59" w14:textId="77777777" w:rsidR="00394471" w:rsidRPr="00FA0D37" w:rsidRDefault="00394471" w:rsidP="00FA0D37">
      <w:pPr>
        <w:pStyle w:val="PL"/>
      </w:pPr>
      <w:r w:rsidRPr="00FA0D37">
        <w:rPr>
          <w:rFonts w:eastAsia="等线"/>
        </w:rPr>
        <w:t>SL-CBR-LevelsConfig-r16</w:t>
      </w:r>
      <w:r w:rsidRPr="00FA0D37">
        <w:t xml:space="preserve"> ::=           </w:t>
      </w:r>
      <w:r w:rsidRPr="00FA0D37">
        <w:rPr>
          <w:color w:val="993366"/>
        </w:rPr>
        <w:t>SEQUENCE</w:t>
      </w:r>
      <w:r w:rsidRPr="00FA0D37">
        <w:t xml:space="preserve"> (</w:t>
      </w:r>
      <w:r w:rsidRPr="00FA0D37">
        <w:rPr>
          <w:color w:val="993366"/>
        </w:rPr>
        <w:t>SIZE</w:t>
      </w:r>
      <w:r w:rsidRPr="00FA0D37">
        <w:t xml:space="preserve"> (1..maxCBR-Level-r16))</w:t>
      </w:r>
      <w:r w:rsidRPr="00FA0D37">
        <w:rPr>
          <w:color w:val="993366"/>
        </w:rPr>
        <w:t xml:space="preserve"> OF</w:t>
      </w:r>
      <w:r w:rsidRPr="00FA0D37">
        <w:t xml:space="preserve"> SL-CBR-r16</w:t>
      </w:r>
    </w:p>
    <w:p w14:paraId="72AD26D0" w14:textId="77777777" w:rsidR="00394471" w:rsidRPr="00FA0D37" w:rsidRDefault="00394471" w:rsidP="00FA0D37">
      <w:pPr>
        <w:pStyle w:val="PL"/>
      </w:pPr>
    </w:p>
    <w:p w14:paraId="77B6DF76" w14:textId="77777777" w:rsidR="00394471" w:rsidRPr="00FA0D37" w:rsidRDefault="00394471" w:rsidP="00FA0D37">
      <w:pPr>
        <w:pStyle w:val="PL"/>
      </w:pPr>
      <w:r w:rsidRPr="00FA0D37">
        <w:t xml:space="preserve">SL-CBR-PSSCH-TxConfig-r16 ::=         </w:t>
      </w:r>
      <w:r w:rsidRPr="00FA0D37">
        <w:rPr>
          <w:color w:val="993366"/>
        </w:rPr>
        <w:t>SEQUENCE</w:t>
      </w:r>
      <w:r w:rsidRPr="00FA0D37">
        <w:t xml:space="preserve"> {</w:t>
      </w:r>
    </w:p>
    <w:p w14:paraId="3DA7B345" w14:textId="77777777" w:rsidR="00394471" w:rsidRPr="00FA0D37" w:rsidRDefault="00394471" w:rsidP="00FA0D37">
      <w:pPr>
        <w:pStyle w:val="PL"/>
        <w:rPr>
          <w:color w:val="808080"/>
        </w:rPr>
      </w:pPr>
      <w:r w:rsidRPr="00FA0D37">
        <w:t xml:space="preserve">    sl-CR-Limit-r16                       </w:t>
      </w:r>
      <w:r w:rsidRPr="00FA0D37">
        <w:rPr>
          <w:color w:val="993366"/>
        </w:rPr>
        <w:t>INTEGER</w:t>
      </w:r>
      <w:r w:rsidRPr="00FA0D37">
        <w:t xml:space="preserve">(0..10000)                                                     </w:t>
      </w:r>
      <w:r w:rsidRPr="00FA0D37">
        <w:rPr>
          <w:color w:val="993366"/>
        </w:rPr>
        <w:t>OPTIONAL</w:t>
      </w:r>
      <w:r w:rsidRPr="00FA0D37">
        <w:t xml:space="preserve">,   </w:t>
      </w:r>
      <w:r w:rsidRPr="00FA0D37">
        <w:rPr>
          <w:color w:val="808080"/>
        </w:rPr>
        <w:t>-- Need M</w:t>
      </w:r>
    </w:p>
    <w:p w14:paraId="65952C37" w14:textId="77777777" w:rsidR="00394471" w:rsidRPr="00FA0D37" w:rsidRDefault="00394471" w:rsidP="00FA0D37">
      <w:pPr>
        <w:pStyle w:val="PL"/>
        <w:rPr>
          <w:rFonts w:eastAsia="等线"/>
          <w:color w:val="808080"/>
        </w:rPr>
      </w:pPr>
      <w:r w:rsidRPr="00FA0D37">
        <w:t xml:space="preserve">    </w:t>
      </w:r>
      <w:r w:rsidRPr="00FA0D37">
        <w:rPr>
          <w:rFonts w:eastAsia="等线"/>
        </w:rPr>
        <w:t>sl-TxParameters-r16</w:t>
      </w:r>
      <w:r w:rsidRPr="00FA0D37">
        <w:t xml:space="preserve">                   </w:t>
      </w:r>
      <w:r w:rsidRPr="00FA0D37">
        <w:rPr>
          <w:rFonts w:eastAsia="等线"/>
        </w:rPr>
        <w:t>SL-PSSCH-TxParameters-r16</w:t>
      </w:r>
      <w:r w:rsidRPr="00FA0D37">
        <w:t xml:space="preserve">                                             </w:t>
      </w:r>
      <w:r w:rsidRPr="00FA0D37">
        <w:rPr>
          <w:color w:val="993366"/>
        </w:rPr>
        <w:t>OPTIONAL</w:t>
      </w:r>
      <w:r w:rsidRPr="00FA0D37">
        <w:t xml:space="preserve">    </w:t>
      </w:r>
      <w:r w:rsidRPr="00FA0D37">
        <w:rPr>
          <w:color w:val="808080"/>
        </w:rPr>
        <w:t>-- Need M</w:t>
      </w:r>
    </w:p>
    <w:p w14:paraId="26CE2521" w14:textId="77777777" w:rsidR="00394471" w:rsidRPr="00FA0D37" w:rsidRDefault="00394471" w:rsidP="00FA0D37">
      <w:pPr>
        <w:pStyle w:val="PL"/>
        <w:rPr>
          <w:rFonts w:eastAsia="等线"/>
        </w:rPr>
      </w:pPr>
      <w:r w:rsidRPr="00FA0D37">
        <w:rPr>
          <w:rFonts w:eastAsia="等线"/>
        </w:rPr>
        <w:t>}</w:t>
      </w:r>
    </w:p>
    <w:p w14:paraId="4D733316" w14:textId="77777777" w:rsidR="00394471" w:rsidRPr="00FA0D37" w:rsidRDefault="00394471" w:rsidP="00FA0D37">
      <w:pPr>
        <w:pStyle w:val="PL"/>
      </w:pPr>
    </w:p>
    <w:p w14:paraId="577BB380" w14:textId="77777777" w:rsidR="00394471" w:rsidRPr="00FA0D37" w:rsidRDefault="00394471" w:rsidP="00FA0D37">
      <w:pPr>
        <w:pStyle w:val="PL"/>
      </w:pPr>
      <w:r w:rsidRPr="00FA0D37">
        <w:t xml:space="preserve">SL-CBR-r16 ::=                        </w:t>
      </w:r>
      <w:r w:rsidRPr="00FA0D37">
        <w:rPr>
          <w:color w:val="993366"/>
        </w:rPr>
        <w:t>INTEGER</w:t>
      </w:r>
      <w:r w:rsidRPr="00FA0D37">
        <w:t xml:space="preserve"> (0..100)</w:t>
      </w:r>
    </w:p>
    <w:p w14:paraId="3FA20D8B" w14:textId="77777777" w:rsidR="00394471" w:rsidRPr="00FA0D37" w:rsidRDefault="00394471" w:rsidP="00FA0D37">
      <w:pPr>
        <w:pStyle w:val="PL"/>
      </w:pPr>
    </w:p>
    <w:p w14:paraId="46EE5162" w14:textId="77777777" w:rsidR="00394471" w:rsidRPr="00FA0D37" w:rsidRDefault="00394471" w:rsidP="00FA0D37">
      <w:pPr>
        <w:pStyle w:val="PL"/>
        <w:rPr>
          <w:color w:val="808080"/>
        </w:rPr>
      </w:pPr>
      <w:r w:rsidRPr="00FA0D37">
        <w:rPr>
          <w:color w:val="808080"/>
        </w:rPr>
        <w:t>-- TAG-SL-CBR-COMMONTXCONFIGLIST-STOP</w:t>
      </w:r>
    </w:p>
    <w:p w14:paraId="3FB4E5CF" w14:textId="77777777" w:rsidR="00394471" w:rsidRPr="00FA0D37" w:rsidRDefault="00394471" w:rsidP="00FA0D37">
      <w:pPr>
        <w:pStyle w:val="PL"/>
        <w:rPr>
          <w:color w:val="808080"/>
        </w:rPr>
      </w:pPr>
      <w:r w:rsidRPr="00FA0D37">
        <w:rPr>
          <w:color w:val="808080"/>
        </w:rPr>
        <w:t>-- ASN1STOP</w:t>
      </w:r>
    </w:p>
    <w:p w14:paraId="19E0FB70" w14:textId="77777777" w:rsidR="00394471" w:rsidRPr="00FA0D3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0433C6C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1AA4DE" w14:textId="77777777" w:rsidR="00394471" w:rsidRPr="00FA0D37" w:rsidRDefault="00394471" w:rsidP="00964CC4">
            <w:pPr>
              <w:pStyle w:val="TAH"/>
              <w:rPr>
                <w:b w:val="0"/>
                <w:lang w:eastAsia="en-GB"/>
              </w:rPr>
            </w:pPr>
            <w:r w:rsidRPr="00FA0D37">
              <w:rPr>
                <w:i/>
                <w:iCs/>
                <w:lang w:eastAsia="sv-SE"/>
              </w:rPr>
              <w:lastRenderedPageBreak/>
              <w:t>SL-CBR-</w:t>
            </w:r>
            <w:r w:rsidRPr="00FA0D37">
              <w:rPr>
                <w:rFonts w:cs="Arial"/>
                <w:bCs/>
                <w:i/>
                <w:iCs/>
              </w:rPr>
              <w:t>Common</w:t>
            </w:r>
            <w:r w:rsidRPr="00FA0D37">
              <w:rPr>
                <w:i/>
                <w:iCs/>
                <w:lang w:eastAsia="sv-SE"/>
              </w:rPr>
              <w:t>TxConfigList</w:t>
            </w:r>
            <w:r w:rsidRPr="00FA0D37">
              <w:rPr>
                <w:iCs/>
                <w:noProof/>
                <w:lang w:eastAsia="en-GB"/>
              </w:rPr>
              <w:t xml:space="preserve"> field descriptions</w:t>
            </w:r>
          </w:p>
        </w:tc>
      </w:tr>
      <w:tr w:rsidR="005C7FF4" w:rsidRPr="00FA0D37" w14:paraId="457146F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15E3409" w14:textId="77777777" w:rsidR="00394471" w:rsidRPr="00FA0D37" w:rsidRDefault="00394471" w:rsidP="00964CC4">
            <w:pPr>
              <w:pStyle w:val="TAL"/>
              <w:rPr>
                <w:b/>
                <w:bCs/>
                <w:i/>
                <w:iCs/>
                <w:lang w:eastAsia="en-GB"/>
              </w:rPr>
            </w:pPr>
            <w:r w:rsidRPr="00FA0D37">
              <w:rPr>
                <w:b/>
                <w:bCs/>
                <w:i/>
                <w:iCs/>
                <w:lang w:eastAsia="en-GB"/>
              </w:rPr>
              <w:t>sl-CBR-RangeConfigList</w:t>
            </w:r>
          </w:p>
          <w:p w14:paraId="25FF1264" w14:textId="77777777" w:rsidR="00394471" w:rsidRPr="00FA0D37" w:rsidRDefault="00394471" w:rsidP="00964CC4">
            <w:pPr>
              <w:pStyle w:val="TAL"/>
              <w:rPr>
                <w:bCs/>
                <w:noProof/>
                <w:lang w:eastAsia="en-GB"/>
              </w:rPr>
            </w:pPr>
            <w:r w:rsidRPr="00FA0D37">
              <w:rPr>
                <w:bCs/>
                <w:kern w:val="2"/>
                <w:lang w:eastAsia="en-GB"/>
              </w:rPr>
              <w:t xml:space="preserve">Indicates the list of CBR ranges. Each entry of the list indicates in </w:t>
            </w:r>
            <w:r w:rsidRPr="00FA0D37">
              <w:rPr>
                <w:bCs/>
                <w:i/>
                <w:iCs/>
                <w:kern w:val="2"/>
                <w:lang w:eastAsia="en-GB"/>
              </w:rPr>
              <w:t>SL-CBR-LevelsConfig</w:t>
            </w:r>
            <w:r w:rsidRPr="00FA0D37">
              <w:rPr>
                <w:bCs/>
                <w:kern w:val="2"/>
                <w:lang w:eastAsia="en-GB"/>
              </w:rPr>
              <w:t xml:space="preserve"> the upper bound of the CBR range for the respective entry. The upper bounds of the CBR ranges are configured in ascending order for consecutive entries of </w:t>
            </w:r>
            <w:r w:rsidRPr="00FA0D37">
              <w:rPr>
                <w:bCs/>
                <w:i/>
                <w:iCs/>
                <w:kern w:val="2"/>
                <w:lang w:eastAsia="en-GB"/>
              </w:rPr>
              <w:t>sl-CBR-RangeConfigList.</w:t>
            </w:r>
            <w:r w:rsidRPr="00FA0D37">
              <w:rPr>
                <w:bCs/>
                <w:kern w:val="2"/>
                <w:lang w:eastAsia="en-GB"/>
              </w:rPr>
              <w:t xml:space="preserve"> For the first entry of </w:t>
            </w:r>
            <w:r w:rsidRPr="00FA0D37">
              <w:rPr>
                <w:bCs/>
                <w:i/>
                <w:iCs/>
                <w:kern w:val="2"/>
                <w:lang w:eastAsia="en-GB"/>
              </w:rPr>
              <w:t xml:space="preserve">sl-CBR-RangeConfigList </w:t>
            </w:r>
            <w:r w:rsidRPr="00FA0D37">
              <w:rPr>
                <w:bCs/>
                <w:kern w:val="2"/>
                <w:lang w:eastAsia="en-GB"/>
              </w:rPr>
              <w:t>the lower bound of the CBR range is 0.</w:t>
            </w:r>
            <w:r w:rsidRPr="00FA0D37">
              <w:rPr>
                <w:rFonts w:cs="Arial"/>
                <w:bCs/>
                <w:kern w:val="2"/>
                <w:lang w:eastAsia="zh-CN"/>
              </w:rPr>
              <w:t xml:space="preserve"> Value 0 corresponds to 0, value 1 to 0.01, value 2 to 0.02, and so on.</w:t>
            </w:r>
          </w:p>
        </w:tc>
      </w:tr>
      <w:tr w:rsidR="005C7FF4" w:rsidRPr="00FA0D37" w14:paraId="37CD705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5BD4EC0" w14:textId="77777777" w:rsidR="00394471" w:rsidRPr="00FA0D37" w:rsidRDefault="00394471" w:rsidP="00964CC4">
            <w:pPr>
              <w:pStyle w:val="TAL"/>
              <w:rPr>
                <w:b/>
                <w:bCs/>
                <w:i/>
                <w:iCs/>
                <w:lang w:eastAsia="en-GB"/>
              </w:rPr>
            </w:pPr>
            <w:r w:rsidRPr="00FA0D37">
              <w:rPr>
                <w:b/>
                <w:bCs/>
                <w:i/>
                <w:iCs/>
                <w:lang w:eastAsia="en-GB"/>
              </w:rPr>
              <w:t>sl-CR-Limit</w:t>
            </w:r>
          </w:p>
          <w:p w14:paraId="6A82D25F" w14:textId="77777777" w:rsidR="00394471" w:rsidRPr="00FA0D37" w:rsidRDefault="00394471" w:rsidP="00964CC4">
            <w:pPr>
              <w:pStyle w:val="TAL"/>
              <w:rPr>
                <w:lang w:eastAsia="en-GB"/>
              </w:rPr>
            </w:pPr>
            <w:r w:rsidRPr="00FA0D37">
              <w:rPr>
                <w:rFonts w:cs="Arial"/>
                <w:bCs/>
                <w:kern w:val="2"/>
                <w:lang w:eastAsia="zh-CN"/>
              </w:rPr>
              <w:t>Indicates the maximum limit on the occupancy ratio. Value 0 corresponds to 0, value 1 to 0.0001, value 2 to 0.0002, and so on (i.e. in steps of 0.0001) until value 10000, which corresponds to 1.</w:t>
            </w:r>
          </w:p>
        </w:tc>
      </w:tr>
      <w:tr w:rsidR="005C7FF4" w:rsidRPr="00FA0D37" w14:paraId="4123288C"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F5A72D2" w14:textId="77777777" w:rsidR="00394471" w:rsidRPr="00FA0D37" w:rsidRDefault="00394471" w:rsidP="00964CC4">
            <w:pPr>
              <w:pStyle w:val="TAL"/>
              <w:rPr>
                <w:b/>
                <w:bCs/>
                <w:i/>
                <w:iCs/>
                <w:lang w:eastAsia="en-GB"/>
              </w:rPr>
            </w:pPr>
            <w:r w:rsidRPr="00FA0D37">
              <w:rPr>
                <w:b/>
                <w:bCs/>
                <w:i/>
                <w:iCs/>
                <w:lang w:eastAsia="en-GB"/>
              </w:rPr>
              <w:t>sl-CBR-PSSCH-TxConfigList</w:t>
            </w:r>
          </w:p>
          <w:p w14:paraId="2BF3C040" w14:textId="77777777" w:rsidR="00394471" w:rsidRPr="00FA0D37" w:rsidRDefault="00394471" w:rsidP="00964CC4">
            <w:pPr>
              <w:pStyle w:val="TAL"/>
              <w:rPr>
                <w:lang w:eastAsia="en-GB"/>
              </w:rPr>
            </w:pPr>
            <w:r w:rsidRPr="00FA0D37">
              <w:rPr>
                <w:rFonts w:cs="Arial"/>
                <w:bCs/>
                <w:kern w:val="2"/>
                <w:lang w:eastAsia="zh-CN"/>
              </w:rPr>
              <w:t>Indicates the list of available PSSCH transmission parameters (such as MCS, sub-channel number, retransmission number and CR limit) configurations.</w:t>
            </w:r>
          </w:p>
        </w:tc>
      </w:tr>
      <w:tr w:rsidR="00394471" w:rsidRPr="00FA0D37" w14:paraId="2C30720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D75FC4" w14:textId="77777777" w:rsidR="00394471" w:rsidRPr="00FA0D37" w:rsidRDefault="00394471" w:rsidP="00964CC4">
            <w:pPr>
              <w:pStyle w:val="TAL"/>
              <w:rPr>
                <w:b/>
                <w:bCs/>
                <w:i/>
                <w:iCs/>
                <w:lang w:eastAsia="en-GB"/>
              </w:rPr>
            </w:pPr>
            <w:r w:rsidRPr="00FA0D37">
              <w:rPr>
                <w:b/>
                <w:bCs/>
                <w:i/>
                <w:iCs/>
                <w:lang w:eastAsia="en-GB"/>
              </w:rPr>
              <w:t>sl-TxParameters</w:t>
            </w:r>
          </w:p>
          <w:p w14:paraId="6D81EB65" w14:textId="77777777" w:rsidR="00394471" w:rsidRPr="00FA0D37" w:rsidRDefault="00394471" w:rsidP="00964CC4">
            <w:pPr>
              <w:pStyle w:val="TAL"/>
              <w:rPr>
                <w:lang w:eastAsia="en-GB"/>
              </w:rPr>
            </w:pPr>
            <w:r w:rsidRPr="00FA0D37">
              <w:rPr>
                <w:rFonts w:cs="Arial"/>
                <w:bCs/>
                <w:kern w:val="2"/>
                <w:lang w:eastAsia="zh-CN"/>
              </w:rPr>
              <w:t>Indicates PSSCH transmission parameters.</w:t>
            </w:r>
          </w:p>
        </w:tc>
      </w:tr>
    </w:tbl>
    <w:p w14:paraId="59929B5B" w14:textId="77777777" w:rsidR="00394471" w:rsidRPr="00FA0D37" w:rsidRDefault="00394471" w:rsidP="00394471"/>
    <w:p w14:paraId="685EC9B9" w14:textId="39523CFB" w:rsidR="00394471" w:rsidRPr="00FA0D37" w:rsidRDefault="00394471" w:rsidP="00394471">
      <w:pPr>
        <w:pStyle w:val="4"/>
      </w:pPr>
      <w:bookmarkStart w:id="1728" w:name="_Toc60777528"/>
      <w:bookmarkStart w:id="1729" w:name="_Toc146781642"/>
      <w:r w:rsidRPr="00FA0D37">
        <w:t>–</w:t>
      </w:r>
      <w:r w:rsidRPr="00FA0D37">
        <w:tab/>
      </w:r>
      <w:r w:rsidRPr="00FA0D37">
        <w:rPr>
          <w:i/>
          <w:iCs/>
        </w:rPr>
        <w:t>SL-ConfigDedicatedNR</w:t>
      </w:r>
      <w:bookmarkEnd w:id="1728"/>
      <w:bookmarkEnd w:id="1729"/>
    </w:p>
    <w:p w14:paraId="176DABFB" w14:textId="2105474D" w:rsidR="00394471" w:rsidRPr="00FA0D37" w:rsidRDefault="00394471" w:rsidP="00394471">
      <w:pPr>
        <w:keepNext/>
        <w:keepLines/>
        <w:rPr>
          <w:iCs/>
        </w:rPr>
      </w:pPr>
      <w:r w:rsidRPr="00FA0D37">
        <w:rPr>
          <w:iCs/>
        </w:rPr>
        <w:t xml:space="preserve">The IE </w:t>
      </w:r>
      <w:r w:rsidRPr="00FA0D37">
        <w:rPr>
          <w:i/>
          <w:iCs/>
        </w:rPr>
        <w:t xml:space="preserve">SL-ConfigDedicatedNR </w:t>
      </w:r>
      <w:r w:rsidRPr="00FA0D37">
        <w:rPr>
          <w:iCs/>
        </w:rPr>
        <w:t>specifies the dedicated configuration information for NR sidelink communication</w:t>
      </w:r>
      <w:r w:rsidR="00B7096F" w:rsidRPr="00FA0D37">
        <w:rPr>
          <w:iCs/>
        </w:rPr>
        <w:t>/discovery</w:t>
      </w:r>
      <w:r w:rsidRPr="00FA0D37">
        <w:rPr>
          <w:iCs/>
        </w:rPr>
        <w:t>.</w:t>
      </w:r>
    </w:p>
    <w:p w14:paraId="656B73A1" w14:textId="77777777" w:rsidR="00394471" w:rsidRPr="00FA0D37" w:rsidRDefault="00394471" w:rsidP="00394471">
      <w:pPr>
        <w:pStyle w:val="TH"/>
      </w:pPr>
      <w:r w:rsidRPr="00FA0D37">
        <w:rPr>
          <w:bCs/>
          <w:i/>
          <w:iCs/>
        </w:rPr>
        <w:t>SL-ConfigDedicatedNR</w:t>
      </w:r>
      <w:r w:rsidRPr="00FA0D37">
        <w:t xml:space="preserve"> information element</w:t>
      </w:r>
    </w:p>
    <w:p w14:paraId="663FD136" w14:textId="77777777" w:rsidR="00394471" w:rsidRPr="00FA0D37" w:rsidRDefault="00394471" w:rsidP="00FA0D37">
      <w:pPr>
        <w:pStyle w:val="PL"/>
        <w:rPr>
          <w:color w:val="808080"/>
        </w:rPr>
      </w:pPr>
      <w:r w:rsidRPr="00FA0D37">
        <w:rPr>
          <w:color w:val="808080"/>
        </w:rPr>
        <w:t>-- ASN1START</w:t>
      </w:r>
    </w:p>
    <w:p w14:paraId="3949E9C5" w14:textId="77777777" w:rsidR="00394471" w:rsidRPr="00FA0D37" w:rsidRDefault="00394471" w:rsidP="00FA0D37">
      <w:pPr>
        <w:pStyle w:val="PL"/>
        <w:rPr>
          <w:color w:val="808080"/>
        </w:rPr>
      </w:pPr>
      <w:r w:rsidRPr="00FA0D37">
        <w:rPr>
          <w:color w:val="808080"/>
        </w:rPr>
        <w:t>-- TAG-SL-CONFIGDEDICATEDNR-START</w:t>
      </w:r>
    </w:p>
    <w:p w14:paraId="639A0CA5" w14:textId="77777777" w:rsidR="00394471" w:rsidRPr="00FA0D37" w:rsidRDefault="00394471" w:rsidP="00FA0D37">
      <w:pPr>
        <w:pStyle w:val="PL"/>
      </w:pPr>
    </w:p>
    <w:p w14:paraId="27E40D3B" w14:textId="77777777" w:rsidR="00394471" w:rsidRPr="00FA0D37" w:rsidRDefault="00394471" w:rsidP="00FA0D37">
      <w:pPr>
        <w:pStyle w:val="PL"/>
      </w:pPr>
      <w:r w:rsidRPr="00FA0D37">
        <w:t xml:space="preserve">SL-ConfigDedicatedNR-r16 ::=         </w:t>
      </w:r>
      <w:r w:rsidRPr="00FA0D37">
        <w:rPr>
          <w:color w:val="993366"/>
        </w:rPr>
        <w:t>SEQUENCE</w:t>
      </w:r>
      <w:r w:rsidRPr="00FA0D37">
        <w:t xml:space="preserve"> {</w:t>
      </w:r>
    </w:p>
    <w:p w14:paraId="72DC4A80" w14:textId="77777777" w:rsidR="00394471" w:rsidRPr="00FA0D37" w:rsidRDefault="00394471" w:rsidP="00FA0D37">
      <w:pPr>
        <w:pStyle w:val="PL"/>
        <w:rPr>
          <w:color w:val="808080"/>
        </w:rPr>
      </w:pPr>
      <w:r w:rsidRPr="00FA0D37">
        <w:t xml:space="preserve">    sl-PHY-MAC-RLC-Config-r16            SL-PHY-MAC-RLC-Config-r16                                              </w:t>
      </w:r>
      <w:r w:rsidRPr="00FA0D37">
        <w:rPr>
          <w:color w:val="993366"/>
        </w:rPr>
        <w:t>OPTIONAL</w:t>
      </w:r>
      <w:r w:rsidRPr="00FA0D37">
        <w:t xml:space="preserve">,    </w:t>
      </w:r>
      <w:r w:rsidRPr="00FA0D37">
        <w:rPr>
          <w:color w:val="808080"/>
        </w:rPr>
        <w:t>-- Need M</w:t>
      </w:r>
    </w:p>
    <w:p w14:paraId="082307F0" w14:textId="77777777" w:rsidR="00394471" w:rsidRPr="00FA0D37" w:rsidRDefault="00394471" w:rsidP="00FA0D37">
      <w:pPr>
        <w:pStyle w:val="PL"/>
        <w:rPr>
          <w:color w:val="808080"/>
        </w:rPr>
      </w:pPr>
      <w:r w:rsidRPr="00FA0D37">
        <w:t xml:space="preserve">    sl-RadioBearerToReleaseList-r16      </w:t>
      </w:r>
      <w:r w:rsidRPr="00FA0D37">
        <w:rPr>
          <w:color w:val="993366"/>
        </w:rPr>
        <w:t>SEQUENCE</w:t>
      </w:r>
      <w:r w:rsidRPr="00FA0D37">
        <w:t xml:space="preserve"> (</w:t>
      </w:r>
      <w:r w:rsidRPr="00FA0D37">
        <w:rPr>
          <w:color w:val="993366"/>
        </w:rPr>
        <w:t>SIZE</w:t>
      </w:r>
      <w:r w:rsidRPr="00FA0D37">
        <w:t xml:space="preserve"> (1..maxNrofSLRB-r16))</w:t>
      </w:r>
      <w:r w:rsidRPr="00FA0D37">
        <w:rPr>
          <w:color w:val="993366"/>
        </w:rPr>
        <w:t xml:space="preserve"> OF</w:t>
      </w:r>
      <w:r w:rsidRPr="00FA0D37">
        <w:t xml:space="preserve"> SLRB-Uu-ConfigIndex-r16        </w:t>
      </w:r>
      <w:r w:rsidRPr="00FA0D37">
        <w:rPr>
          <w:color w:val="993366"/>
        </w:rPr>
        <w:t>OPTIONAL</w:t>
      </w:r>
      <w:r w:rsidRPr="00FA0D37">
        <w:t xml:space="preserve">,    </w:t>
      </w:r>
      <w:r w:rsidRPr="00FA0D37">
        <w:rPr>
          <w:color w:val="808080"/>
        </w:rPr>
        <w:t>-- Need N</w:t>
      </w:r>
    </w:p>
    <w:p w14:paraId="42F44A58" w14:textId="77777777" w:rsidR="00394471" w:rsidRPr="00FA0D37" w:rsidRDefault="00394471" w:rsidP="00FA0D37">
      <w:pPr>
        <w:pStyle w:val="PL"/>
        <w:rPr>
          <w:color w:val="808080"/>
        </w:rPr>
      </w:pPr>
      <w:r w:rsidRPr="00FA0D37">
        <w:t xml:space="preserve">    sl-RadioBearerToAddModList-r16       </w:t>
      </w:r>
      <w:r w:rsidRPr="00FA0D37">
        <w:rPr>
          <w:color w:val="993366"/>
        </w:rPr>
        <w:t>SEQUENCE</w:t>
      </w:r>
      <w:r w:rsidRPr="00FA0D37">
        <w:t xml:space="preserve"> (</w:t>
      </w:r>
      <w:r w:rsidRPr="00FA0D37">
        <w:rPr>
          <w:color w:val="993366"/>
        </w:rPr>
        <w:t>SIZE</w:t>
      </w:r>
      <w:r w:rsidRPr="00FA0D37">
        <w:t xml:space="preserve"> (1..maxNrofSLRB-r16))</w:t>
      </w:r>
      <w:r w:rsidRPr="00FA0D37">
        <w:rPr>
          <w:color w:val="993366"/>
        </w:rPr>
        <w:t xml:space="preserve"> OF</w:t>
      </w:r>
      <w:r w:rsidRPr="00FA0D37">
        <w:t xml:space="preserve"> SL-RadioBearerConfig-r16       </w:t>
      </w:r>
      <w:r w:rsidRPr="00FA0D37">
        <w:rPr>
          <w:color w:val="993366"/>
        </w:rPr>
        <w:t>OPTIONAL</w:t>
      </w:r>
      <w:r w:rsidRPr="00FA0D37">
        <w:t xml:space="preserve">,    </w:t>
      </w:r>
      <w:r w:rsidRPr="00FA0D37">
        <w:rPr>
          <w:color w:val="808080"/>
        </w:rPr>
        <w:t>-- Need N</w:t>
      </w:r>
    </w:p>
    <w:p w14:paraId="30D4E8BD" w14:textId="77777777" w:rsidR="00394471" w:rsidRPr="00FA0D37" w:rsidRDefault="00394471" w:rsidP="00FA0D37">
      <w:pPr>
        <w:pStyle w:val="PL"/>
        <w:rPr>
          <w:color w:val="808080"/>
        </w:rPr>
      </w:pPr>
      <w:r w:rsidRPr="00FA0D37">
        <w:t xml:space="preserve">    sl-MeasConfigInfoToReleaseList-r16   </w:t>
      </w:r>
      <w:r w:rsidRPr="00FA0D37">
        <w:rPr>
          <w:color w:val="993366"/>
        </w:rPr>
        <w:t>SEQUENCE</w:t>
      </w:r>
      <w:r w:rsidRPr="00FA0D37">
        <w:t xml:space="preserve"> (</w:t>
      </w:r>
      <w:r w:rsidRPr="00FA0D37">
        <w:rPr>
          <w:color w:val="993366"/>
        </w:rPr>
        <w:t>SIZE</w:t>
      </w:r>
      <w:r w:rsidRPr="00FA0D37">
        <w:t xml:space="preserve"> (1..maxNrofSL-Dest-r16))</w:t>
      </w:r>
      <w:r w:rsidRPr="00FA0D37">
        <w:rPr>
          <w:color w:val="993366"/>
        </w:rPr>
        <w:t xml:space="preserve"> OF</w:t>
      </w:r>
      <w:r w:rsidRPr="00FA0D37">
        <w:t xml:space="preserve"> SL-DestinationIndex-r16     </w:t>
      </w:r>
      <w:r w:rsidRPr="00FA0D37">
        <w:rPr>
          <w:color w:val="993366"/>
        </w:rPr>
        <w:t>OPTIONAL</w:t>
      </w:r>
      <w:r w:rsidRPr="00FA0D37">
        <w:t xml:space="preserve">,    </w:t>
      </w:r>
      <w:r w:rsidRPr="00FA0D37">
        <w:rPr>
          <w:color w:val="808080"/>
        </w:rPr>
        <w:t>-- Need N</w:t>
      </w:r>
    </w:p>
    <w:p w14:paraId="72F15B2C" w14:textId="618AF14C" w:rsidR="00394471" w:rsidRPr="00FA0D37" w:rsidRDefault="00394471" w:rsidP="00FA0D37">
      <w:pPr>
        <w:pStyle w:val="PL"/>
        <w:rPr>
          <w:color w:val="808080"/>
        </w:rPr>
      </w:pPr>
      <w:r w:rsidRPr="00FA0D37">
        <w:t xml:space="preserve">    sl-MeasConfigInfoToAddModList-r16    </w:t>
      </w:r>
      <w:r w:rsidRPr="00FA0D37">
        <w:rPr>
          <w:color w:val="993366"/>
        </w:rPr>
        <w:t>SEQUENCE</w:t>
      </w:r>
      <w:r w:rsidRPr="00FA0D37">
        <w:t xml:space="preserve"> (</w:t>
      </w:r>
      <w:r w:rsidRPr="00FA0D37">
        <w:rPr>
          <w:color w:val="993366"/>
        </w:rPr>
        <w:t>SIZE</w:t>
      </w:r>
      <w:r w:rsidRPr="00FA0D37">
        <w:t xml:space="preserve"> (1..maxNrofSL-Dest-r16))</w:t>
      </w:r>
      <w:r w:rsidRPr="00FA0D37">
        <w:rPr>
          <w:color w:val="993366"/>
        </w:rPr>
        <w:t xml:space="preserve"> OF</w:t>
      </w:r>
      <w:r w:rsidRPr="00FA0D37">
        <w:t xml:space="preserve"> SL-MeasConfigInfo-r16       </w:t>
      </w:r>
      <w:r w:rsidRPr="00FA0D37">
        <w:rPr>
          <w:color w:val="993366"/>
        </w:rPr>
        <w:t>OPTIONAL</w:t>
      </w:r>
      <w:r w:rsidRPr="00FA0D37">
        <w:t xml:space="preserve">,    </w:t>
      </w:r>
      <w:r w:rsidRPr="00FA0D37">
        <w:rPr>
          <w:color w:val="808080"/>
        </w:rPr>
        <w:t xml:space="preserve">-- Need </w:t>
      </w:r>
      <w:r w:rsidR="00C1392F" w:rsidRPr="00FA0D37">
        <w:rPr>
          <w:color w:val="808080"/>
        </w:rPr>
        <w:t>N</w:t>
      </w:r>
    </w:p>
    <w:p w14:paraId="30438FE3" w14:textId="77777777" w:rsidR="00394471" w:rsidRPr="00FA0D37" w:rsidRDefault="00394471" w:rsidP="00FA0D37">
      <w:pPr>
        <w:pStyle w:val="PL"/>
        <w:rPr>
          <w:color w:val="808080"/>
        </w:rPr>
      </w:pPr>
      <w:r w:rsidRPr="00FA0D37">
        <w:t xml:space="preserve">    t400-r16                             </w:t>
      </w:r>
      <w:r w:rsidRPr="00FA0D37">
        <w:rPr>
          <w:color w:val="993366"/>
        </w:rPr>
        <w:t>ENUMERATED</w:t>
      </w:r>
      <w:r w:rsidRPr="00FA0D37">
        <w:t xml:space="preserve"> {ms100, ms200, ms300, ms400, ms600, ms1000, ms1500, ms2000} </w:t>
      </w:r>
      <w:r w:rsidRPr="00FA0D37">
        <w:rPr>
          <w:color w:val="993366"/>
        </w:rPr>
        <w:t>OPTIONAL</w:t>
      </w:r>
      <w:r w:rsidRPr="00FA0D37">
        <w:t xml:space="preserve">,    </w:t>
      </w:r>
      <w:r w:rsidRPr="00FA0D37">
        <w:rPr>
          <w:color w:val="808080"/>
        </w:rPr>
        <w:t>-- Need M</w:t>
      </w:r>
    </w:p>
    <w:p w14:paraId="4D31A8B4" w14:textId="046E5FE5" w:rsidR="00C26E98" w:rsidRPr="00FA0D37" w:rsidRDefault="00394471" w:rsidP="00FA0D37">
      <w:pPr>
        <w:pStyle w:val="PL"/>
      </w:pPr>
      <w:r w:rsidRPr="00FA0D37">
        <w:t xml:space="preserve">    ...</w:t>
      </w:r>
      <w:r w:rsidR="00C26E98" w:rsidRPr="00FA0D37">
        <w:t>,</w:t>
      </w:r>
    </w:p>
    <w:p w14:paraId="0521CCD9" w14:textId="77777777" w:rsidR="00C26E98" w:rsidRPr="00FA0D37" w:rsidRDefault="00C26E98" w:rsidP="00FA0D37">
      <w:pPr>
        <w:pStyle w:val="PL"/>
      </w:pPr>
      <w:r w:rsidRPr="00FA0D37">
        <w:t xml:space="preserve">    [[</w:t>
      </w:r>
    </w:p>
    <w:p w14:paraId="7CBC50EF" w14:textId="080BC358" w:rsidR="00C26E98" w:rsidRPr="00FA0D37" w:rsidRDefault="00C26E98" w:rsidP="00FA0D37">
      <w:pPr>
        <w:pStyle w:val="PL"/>
        <w:rPr>
          <w:color w:val="808080"/>
        </w:rPr>
      </w:pPr>
      <w:r w:rsidRPr="00FA0D37">
        <w:t xml:space="preserve">    sl-PHY-MAC-RLC-Config-v1700          </w:t>
      </w:r>
      <w:r w:rsidR="00BC5252" w:rsidRPr="00FA0D37">
        <w:t xml:space="preserve">SetupRelease { </w:t>
      </w:r>
      <w:r w:rsidRPr="00FA0D37">
        <w:t>SL-PHY-MAC-RLC-Config-v17</w:t>
      </w:r>
      <w:r w:rsidR="005F190C" w:rsidRPr="00FA0D37">
        <w:t>00</w:t>
      </w:r>
      <w:r w:rsidRPr="00FA0D37">
        <w:t xml:space="preserve"> </w:t>
      </w:r>
      <w:r w:rsidR="00BC5252" w:rsidRPr="00FA0D37">
        <w:t>}</w:t>
      </w:r>
      <w:r w:rsidRPr="00FA0D37">
        <w:t xml:space="preserve">                           </w:t>
      </w:r>
      <w:r w:rsidRPr="00FA0D37">
        <w:rPr>
          <w:color w:val="993366"/>
        </w:rPr>
        <w:t>OPTIONAL</w:t>
      </w:r>
      <w:r w:rsidR="00E81DFA" w:rsidRPr="00FA0D37">
        <w:t>,</w:t>
      </w:r>
      <w:r w:rsidRPr="00FA0D37">
        <w:t xml:space="preserve">    </w:t>
      </w:r>
      <w:r w:rsidRPr="00FA0D37">
        <w:rPr>
          <w:color w:val="808080"/>
        </w:rPr>
        <w:t>-- Need M</w:t>
      </w:r>
    </w:p>
    <w:p w14:paraId="6D9890E3" w14:textId="4651B413" w:rsidR="00E81DFA" w:rsidRPr="00FA0D37" w:rsidRDefault="00E81DFA" w:rsidP="00FA0D37">
      <w:pPr>
        <w:pStyle w:val="PL"/>
        <w:rPr>
          <w:color w:val="808080"/>
        </w:rPr>
      </w:pPr>
      <w:r w:rsidRPr="00FA0D37">
        <w:t xml:space="preserve">    sl-DiscConfig-r17                    SetupRelease { SL-DiscConfig-r17}                                      </w:t>
      </w:r>
      <w:r w:rsidRPr="00FA0D37">
        <w:rPr>
          <w:color w:val="993366"/>
        </w:rPr>
        <w:t>OPTIONAL</w:t>
      </w:r>
      <w:r w:rsidR="009620A4" w:rsidRPr="00FA0D37">
        <w:t xml:space="preserve"> </w:t>
      </w:r>
      <w:r w:rsidRPr="00FA0D37">
        <w:t xml:space="preserve">    </w:t>
      </w:r>
      <w:r w:rsidRPr="00FA0D37">
        <w:rPr>
          <w:color w:val="808080"/>
        </w:rPr>
        <w:t>-- Need M</w:t>
      </w:r>
    </w:p>
    <w:p w14:paraId="2AF3B655" w14:textId="18BAFA56" w:rsidR="00394471" w:rsidRPr="00FA0D37" w:rsidRDefault="00C26E98" w:rsidP="00FA0D37">
      <w:pPr>
        <w:pStyle w:val="PL"/>
      </w:pPr>
      <w:r w:rsidRPr="00FA0D37">
        <w:t xml:space="preserve">    ]]</w:t>
      </w:r>
    </w:p>
    <w:p w14:paraId="62A69D90" w14:textId="77777777" w:rsidR="00394471" w:rsidRPr="00FA0D37" w:rsidRDefault="00394471" w:rsidP="00FA0D37">
      <w:pPr>
        <w:pStyle w:val="PL"/>
      </w:pPr>
      <w:r w:rsidRPr="00FA0D37">
        <w:t>}</w:t>
      </w:r>
    </w:p>
    <w:p w14:paraId="2CF7907B" w14:textId="77777777" w:rsidR="00394471" w:rsidRPr="00FA0D37" w:rsidRDefault="00394471" w:rsidP="00FA0D37">
      <w:pPr>
        <w:pStyle w:val="PL"/>
      </w:pPr>
    </w:p>
    <w:p w14:paraId="306E7921" w14:textId="77777777" w:rsidR="00394471" w:rsidRPr="00FA0D37" w:rsidRDefault="00394471" w:rsidP="00FA0D37">
      <w:pPr>
        <w:pStyle w:val="PL"/>
      </w:pPr>
      <w:r w:rsidRPr="00FA0D37">
        <w:t xml:space="preserve">SL-DestinationIndex-r16  ::=             </w:t>
      </w:r>
      <w:r w:rsidRPr="00FA0D37">
        <w:rPr>
          <w:rFonts w:eastAsia="等线"/>
          <w:color w:val="993366"/>
        </w:rPr>
        <w:t>INTEGER</w:t>
      </w:r>
      <w:r w:rsidRPr="00FA0D37">
        <w:rPr>
          <w:rFonts w:eastAsia="等线"/>
        </w:rPr>
        <w:t xml:space="preserve"> (0..</w:t>
      </w:r>
      <w:r w:rsidRPr="00FA0D37">
        <w:t>maxNrofSL-Dest-1-r16</w:t>
      </w:r>
      <w:r w:rsidRPr="00FA0D37">
        <w:rPr>
          <w:rFonts w:eastAsia="等线"/>
        </w:rPr>
        <w:t>)</w:t>
      </w:r>
    </w:p>
    <w:p w14:paraId="1929B48B" w14:textId="77777777" w:rsidR="00394471" w:rsidRPr="00FA0D37" w:rsidRDefault="00394471" w:rsidP="00FA0D37">
      <w:pPr>
        <w:pStyle w:val="PL"/>
      </w:pPr>
    </w:p>
    <w:p w14:paraId="6FFFEBE5" w14:textId="77777777" w:rsidR="00394471" w:rsidRPr="00FA0D37" w:rsidRDefault="00394471" w:rsidP="00FA0D37">
      <w:pPr>
        <w:pStyle w:val="PL"/>
      </w:pPr>
      <w:r w:rsidRPr="00FA0D37">
        <w:t xml:space="preserve">SL-PHY-MAC-RLC-Config-r16::=         </w:t>
      </w:r>
      <w:r w:rsidRPr="00FA0D37">
        <w:rPr>
          <w:color w:val="993366"/>
        </w:rPr>
        <w:t>SEQUENCE</w:t>
      </w:r>
      <w:r w:rsidRPr="00FA0D37">
        <w:t xml:space="preserve"> {</w:t>
      </w:r>
    </w:p>
    <w:p w14:paraId="4809A142" w14:textId="77777777" w:rsidR="00394471" w:rsidRPr="00FA0D37" w:rsidRDefault="00394471" w:rsidP="00FA0D37">
      <w:pPr>
        <w:pStyle w:val="PL"/>
        <w:rPr>
          <w:color w:val="808080"/>
        </w:rPr>
      </w:pPr>
      <w:r w:rsidRPr="00FA0D37">
        <w:t xml:space="preserve">    sl-ScheduledConfig-r16               SetupRelease { SL-ScheduledConfig-r16 }                                </w:t>
      </w:r>
      <w:r w:rsidRPr="00FA0D37">
        <w:rPr>
          <w:color w:val="993366"/>
        </w:rPr>
        <w:t>OPTIONAL</w:t>
      </w:r>
      <w:r w:rsidRPr="00FA0D37">
        <w:t xml:space="preserve">,    </w:t>
      </w:r>
      <w:r w:rsidRPr="00FA0D37">
        <w:rPr>
          <w:color w:val="808080"/>
        </w:rPr>
        <w:t>-- Need M</w:t>
      </w:r>
    </w:p>
    <w:p w14:paraId="347C3E90" w14:textId="77777777" w:rsidR="00394471" w:rsidRPr="00FA0D37" w:rsidRDefault="00394471" w:rsidP="00FA0D37">
      <w:pPr>
        <w:pStyle w:val="PL"/>
        <w:rPr>
          <w:color w:val="808080"/>
        </w:rPr>
      </w:pPr>
      <w:r w:rsidRPr="00FA0D37">
        <w:t xml:space="preserve">    sl-UE-SelectedConfig-r16             SetupRelease { SL-UE-SelectedConfig-r16 }                              </w:t>
      </w:r>
      <w:r w:rsidRPr="00FA0D37">
        <w:rPr>
          <w:color w:val="993366"/>
        </w:rPr>
        <w:t>OPTIONAL</w:t>
      </w:r>
      <w:r w:rsidRPr="00FA0D37">
        <w:t xml:space="preserve">,    </w:t>
      </w:r>
      <w:r w:rsidRPr="00FA0D37">
        <w:rPr>
          <w:color w:val="808080"/>
        </w:rPr>
        <w:t>-- Need M</w:t>
      </w:r>
    </w:p>
    <w:p w14:paraId="1D78EF22" w14:textId="77777777" w:rsidR="00394471" w:rsidRPr="00FA0D37" w:rsidRDefault="00394471" w:rsidP="00FA0D37">
      <w:pPr>
        <w:pStyle w:val="PL"/>
        <w:rPr>
          <w:color w:val="808080"/>
        </w:rPr>
      </w:pPr>
      <w:r w:rsidRPr="00FA0D37">
        <w:t xml:space="preserve">    sl-FreqInfoToReleaseList-r16         </w:t>
      </w:r>
      <w:r w:rsidRPr="00FA0D37">
        <w:rPr>
          <w:color w:val="993366"/>
        </w:rPr>
        <w:t>SEQUENCE</w:t>
      </w:r>
      <w:r w:rsidRPr="00FA0D37">
        <w:t xml:space="preserve"> (</w:t>
      </w:r>
      <w:r w:rsidRPr="00FA0D37">
        <w:rPr>
          <w:color w:val="993366"/>
        </w:rPr>
        <w:t>SIZE</w:t>
      </w:r>
      <w:r w:rsidRPr="00FA0D37">
        <w:t xml:space="preserve"> (1..maxNrofFreqSL-r16))</w:t>
      </w:r>
      <w:r w:rsidRPr="00FA0D37">
        <w:rPr>
          <w:color w:val="993366"/>
        </w:rPr>
        <w:t xml:space="preserve"> OF</w:t>
      </w:r>
      <w:r w:rsidRPr="00FA0D37">
        <w:t xml:space="preserve"> SL-Freq-Id-r16               </w:t>
      </w:r>
      <w:r w:rsidRPr="00FA0D37">
        <w:rPr>
          <w:color w:val="993366"/>
        </w:rPr>
        <w:t>OPTIONAL</w:t>
      </w:r>
      <w:r w:rsidRPr="00FA0D37">
        <w:t xml:space="preserve">,    </w:t>
      </w:r>
      <w:r w:rsidRPr="00FA0D37">
        <w:rPr>
          <w:color w:val="808080"/>
        </w:rPr>
        <w:t>-- Need N</w:t>
      </w:r>
    </w:p>
    <w:p w14:paraId="437AB681" w14:textId="77777777" w:rsidR="00394471" w:rsidRPr="00FA0D37" w:rsidRDefault="00394471" w:rsidP="00FA0D37">
      <w:pPr>
        <w:pStyle w:val="PL"/>
        <w:rPr>
          <w:color w:val="808080"/>
        </w:rPr>
      </w:pPr>
      <w:r w:rsidRPr="00FA0D37">
        <w:t xml:space="preserve">    sl-FreqInfoToAddModList-r16          </w:t>
      </w:r>
      <w:r w:rsidRPr="00FA0D37">
        <w:rPr>
          <w:color w:val="993366"/>
        </w:rPr>
        <w:t>SEQUENCE</w:t>
      </w:r>
      <w:r w:rsidRPr="00FA0D37">
        <w:t xml:space="preserve"> (</w:t>
      </w:r>
      <w:r w:rsidRPr="00FA0D37">
        <w:rPr>
          <w:color w:val="993366"/>
        </w:rPr>
        <w:t>SIZE</w:t>
      </w:r>
      <w:r w:rsidRPr="00FA0D37">
        <w:t xml:space="preserve"> (1..maxNrofFreqSL-r16))</w:t>
      </w:r>
      <w:r w:rsidRPr="00FA0D37">
        <w:rPr>
          <w:color w:val="993366"/>
        </w:rPr>
        <w:t xml:space="preserve"> OF</w:t>
      </w:r>
      <w:r w:rsidRPr="00FA0D37">
        <w:t xml:space="preserve"> SL-FreqConfig-r16            </w:t>
      </w:r>
      <w:r w:rsidRPr="00FA0D37">
        <w:rPr>
          <w:color w:val="993366"/>
        </w:rPr>
        <w:t>OPTIONAL</w:t>
      </w:r>
      <w:r w:rsidRPr="00FA0D37">
        <w:t xml:space="preserve">,    </w:t>
      </w:r>
      <w:r w:rsidRPr="00FA0D37">
        <w:rPr>
          <w:color w:val="808080"/>
        </w:rPr>
        <w:t>-- Need N</w:t>
      </w:r>
    </w:p>
    <w:p w14:paraId="55B853D2" w14:textId="77777777" w:rsidR="00394471" w:rsidRPr="00FA0D37" w:rsidRDefault="00394471" w:rsidP="00FA0D37">
      <w:pPr>
        <w:pStyle w:val="PL"/>
        <w:rPr>
          <w:color w:val="808080"/>
        </w:rPr>
      </w:pPr>
      <w:r w:rsidRPr="00FA0D37">
        <w:t xml:space="preserve">    sl-RLC-BearerToReleaseList-r16       </w:t>
      </w:r>
      <w:r w:rsidRPr="00FA0D37">
        <w:rPr>
          <w:color w:val="993366"/>
        </w:rPr>
        <w:t>SEQUENCE</w:t>
      </w:r>
      <w:r w:rsidRPr="00FA0D37">
        <w:t xml:space="preserve"> (</w:t>
      </w:r>
      <w:r w:rsidRPr="00FA0D37">
        <w:rPr>
          <w:color w:val="993366"/>
        </w:rPr>
        <w:t>SIZE</w:t>
      </w:r>
      <w:r w:rsidRPr="00FA0D37">
        <w:t xml:space="preserve"> (1..maxSL-LCID-r16))</w:t>
      </w:r>
      <w:r w:rsidRPr="00FA0D37">
        <w:rPr>
          <w:color w:val="993366"/>
        </w:rPr>
        <w:t xml:space="preserve"> OF</w:t>
      </w:r>
      <w:r w:rsidRPr="00FA0D37">
        <w:t xml:space="preserve"> SL-RLC-BearerConfigIndex-r16    </w:t>
      </w:r>
      <w:r w:rsidRPr="00FA0D37">
        <w:rPr>
          <w:color w:val="993366"/>
        </w:rPr>
        <w:t>OPTIONAL</w:t>
      </w:r>
      <w:r w:rsidRPr="00FA0D37">
        <w:t xml:space="preserve">,    </w:t>
      </w:r>
      <w:r w:rsidRPr="00FA0D37">
        <w:rPr>
          <w:color w:val="808080"/>
        </w:rPr>
        <w:t>-- Need N</w:t>
      </w:r>
    </w:p>
    <w:p w14:paraId="1B747AC7" w14:textId="77777777" w:rsidR="00394471" w:rsidRPr="00FA0D37" w:rsidRDefault="00394471" w:rsidP="00FA0D37">
      <w:pPr>
        <w:pStyle w:val="PL"/>
        <w:rPr>
          <w:color w:val="808080"/>
        </w:rPr>
      </w:pPr>
      <w:r w:rsidRPr="00FA0D37">
        <w:t xml:space="preserve">    sl-RLC-BearerToAddModList-r16        </w:t>
      </w:r>
      <w:r w:rsidRPr="00FA0D37">
        <w:rPr>
          <w:color w:val="993366"/>
        </w:rPr>
        <w:t>SEQUENCE</w:t>
      </w:r>
      <w:r w:rsidRPr="00FA0D37">
        <w:t xml:space="preserve"> (</w:t>
      </w:r>
      <w:r w:rsidRPr="00FA0D37">
        <w:rPr>
          <w:color w:val="993366"/>
        </w:rPr>
        <w:t>SIZE</w:t>
      </w:r>
      <w:r w:rsidRPr="00FA0D37">
        <w:t xml:space="preserve"> (1..maxSL-LCID-r16))</w:t>
      </w:r>
      <w:r w:rsidRPr="00FA0D37">
        <w:rPr>
          <w:color w:val="993366"/>
        </w:rPr>
        <w:t xml:space="preserve"> OF</w:t>
      </w:r>
      <w:r w:rsidRPr="00FA0D37">
        <w:t xml:space="preserve"> SL-RLC-BearerConfig-r16         </w:t>
      </w:r>
      <w:r w:rsidRPr="00FA0D37">
        <w:rPr>
          <w:color w:val="993366"/>
        </w:rPr>
        <w:t>OPTIONAL</w:t>
      </w:r>
      <w:r w:rsidRPr="00FA0D37">
        <w:t xml:space="preserve">,    </w:t>
      </w:r>
      <w:r w:rsidRPr="00FA0D37">
        <w:rPr>
          <w:color w:val="808080"/>
        </w:rPr>
        <w:t>-- Need N</w:t>
      </w:r>
    </w:p>
    <w:p w14:paraId="5E96F5D0" w14:textId="77777777" w:rsidR="00394471" w:rsidRPr="00FA0D37" w:rsidRDefault="00394471" w:rsidP="00FA0D37">
      <w:pPr>
        <w:pStyle w:val="PL"/>
        <w:rPr>
          <w:color w:val="808080"/>
        </w:rPr>
      </w:pPr>
      <w:r w:rsidRPr="00FA0D37">
        <w:t xml:space="preserve">    sl-MaxNumConsecutiveDTX-r16          </w:t>
      </w:r>
      <w:r w:rsidRPr="00FA0D37">
        <w:rPr>
          <w:color w:val="993366"/>
        </w:rPr>
        <w:t>ENUMERATED</w:t>
      </w:r>
      <w:r w:rsidRPr="00FA0D37">
        <w:t xml:space="preserve"> {n1, n2, n3, n4, n6, n8, n16, n32}                          </w:t>
      </w:r>
      <w:r w:rsidRPr="00FA0D37">
        <w:rPr>
          <w:color w:val="993366"/>
        </w:rPr>
        <w:t>OPTIONAL</w:t>
      </w:r>
      <w:r w:rsidRPr="00FA0D37">
        <w:t xml:space="preserve">,    </w:t>
      </w:r>
      <w:r w:rsidRPr="00FA0D37">
        <w:rPr>
          <w:color w:val="808080"/>
        </w:rPr>
        <w:t>-- Need M</w:t>
      </w:r>
    </w:p>
    <w:p w14:paraId="60611E60" w14:textId="77777777" w:rsidR="00394471" w:rsidRPr="00FA0D37" w:rsidRDefault="00394471" w:rsidP="00FA0D37">
      <w:pPr>
        <w:pStyle w:val="PL"/>
        <w:rPr>
          <w:color w:val="808080"/>
        </w:rPr>
      </w:pPr>
      <w:r w:rsidRPr="00FA0D37">
        <w:t xml:space="preserve">    sl-CSI-Acquisition-r16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R</w:t>
      </w:r>
    </w:p>
    <w:p w14:paraId="08D745B6" w14:textId="77777777" w:rsidR="00394471" w:rsidRPr="00FA0D37" w:rsidRDefault="00394471" w:rsidP="00FA0D37">
      <w:pPr>
        <w:pStyle w:val="PL"/>
        <w:rPr>
          <w:color w:val="808080"/>
        </w:rPr>
      </w:pPr>
      <w:r w:rsidRPr="00FA0D37">
        <w:lastRenderedPageBreak/>
        <w:t xml:space="preserve">    sl-CSI-SchedulingRequestId-r16       SetupRelease {SchedulingRequestId}                                     </w:t>
      </w:r>
      <w:r w:rsidRPr="00FA0D37">
        <w:rPr>
          <w:color w:val="993366"/>
        </w:rPr>
        <w:t>OPTIONAL</w:t>
      </w:r>
      <w:r w:rsidRPr="00FA0D37">
        <w:t xml:space="preserve">,    </w:t>
      </w:r>
      <w:r w:rsidRPr="00FA0D37">
        <w:rPr>
          <w:color w:val="808080"/>
        </w:rPr>
        <w:t>-- Need M</w:t>
      </w:r>
    </w:p>
    <w:p w14:paraId="4599FBC2" w14:textId="77777777" w:rsidR="00394471" w:rsidRPr="00FA0D37" w:rsidRDefault="00394471" w:rsidP="00FA0D37">
      <w:pPr>
        <w:pStyle w:val="PL"/>
        <w:rPr>
          <w:color w:val="808080"/>
        </w:rPr>
      </w:pPr>
      <w:r w:rsidRPr="00FA0D37">
        <w:t xml:space="preserve">    sl-SSB-PriorityNR-r16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3F5C147F" w14:textId="77777777" w:rsidR="00394471" w:rsidRPr="00FA0D37" w:rsidRDefault="00394471" w:rsidP="00FA0D37">
      <w:pPr>
        <w:pStyle w:val="PL"/>
        <w:rPr>
          <w:color w:val="808080"/>
        </w:rPr>
      </w:pPr>
      <w:r w:rsidRPr="00FA0D37">
        <w:t xml:space="preserve">    networkControlledSyncTx-r16          </w:t>
      </w:r>
      <w:r w:rsidRPr="00FA0D37">
        <w:rPr>
          <w:color w:val="993366"/>
        </w:rPr>
        <w:t>ENUMERATED</w:t>
      </w:r>
      <w:r w:rsidRPr="00FA0D37">
        <w:t xml:space="preserve"> {on, off}                                                   </w:t>
      </w:r>
      <w:r w:rsidRPr="00FA0D37">
        <w:rPr>
          <w:color w:val="993366"/>
        </w:rPr>
        <w:t>OPTIONAL</w:t>
      </w:r>
      <w:r w:rsidRPr="00FA0D37">
        <w:t xml:space="preserve">     </w:t>
      </w:r>
      <w:r w:rsidRPr="00FA0D37">
        <w:rPr>
          <w:color w:val="808080"/>
        </w:rPr>
        <w:t>-- Need M</w:t>
      </w:r>
    </w:p>
    <w:p w14:paraId="4A8B2FDE" w14:textId="77777777" w:rsidR="00394471" w:rsidRPr="00FA0D37" w:rsidRDefault="00394471" w:rsidP="00FA0D37">
      <w:pPr>
        <w:pStyle w:val="PL"/>
      </w:pPr>
      <w:r w:rsidRPr="00FA0D37">
        <w:t>}</w:t>
      </w:r>
    </w:p>
    <w:p w14:paraId="58B8286C" w14:textId="096F9C9B" w:rsidR="00394471" w:rsidRPr="00FA0D37" w:rsidRDefault="00394471" w:rsidP="00FA0D37">
      <w:pPr>
        <w:pStyle w:val="PL"/>
      </w:pPr>
    </w:p>
    <w:p w14:paraId="00785715" w14:textId="4CCE56F2" w:rsidR="00C26E98" w:rsidRPr="00FA0D37" w:rsidRDefault="00C26E98" w:rsidP="00FA0D37">
      <w:pPr>
        <w:pStyle w:val="PL"/>
      </w:pPr>
      <w:r w:rsidRPr="00FA0D37">
        <w:t xml:space="preserve">SL-PHY-MAC-RLC-Config-v1700 ::=      </w:t>
      </w:r>
      <w:r w:rsidRPr="00FA0D37">
        <w:rPr>
          <w:color w:val="993366"/>
        </w:rPr>
        <w:t>SEQUENCE</w:t>
      </w:r>
      <w:r w:rsidRPr="00FA0D37">
        <w:t xml:space="preserve"> {</w:t>
      </w:r>
    </w:p>
    <w:p w14:paraId="23B16E56" w14:textId="0977FBB2" w:rsidR="00C26E98" w:rsidRPr="00FA0D37" w:rsidRDefault="00C26E98" w:rsidP="00FA0D37">
      <w:pPr>
        <w:pStyle w:val="PL"/>
        <w:rPr>
          <w:color w:val="808080"/>
        </w:rPr>
      </w:pPr>
      <w:r w:rsidRPr="00FA0D37">
        <w:t xml:space="preserve">    sl-DRX-Config-r17                    SL-DRX-Config-r17                                      </w:t>
      </w:r>
      <w:r w:rsidR="00BC5252" w:rsidRPr="00FA0D37">
        <w:t xml:space="preserve">                </w:t>
      </w:r>
      <w:r w:rsidRPr="00FA0D37">
        <w:rPr>
          <w:color w:val="993366"/>
        </w:rPr>
        <w:t>OPTIONAL</w:t>
      </w:r>
      <w:r w:rsidR="001C77B5" w:rsidRPr="00FA0D37">
        <w:t>,</w:t>
      </w:r>
      <w:r w:rsidRPr="00FA0D37">
        <w:t xml:space="preserve">    </w:t>
      </w:r>
      <w:r w:rsidRPr="00FA0D37">
        <w:rPr>
          <w:color w:val="808080"/>
        </w:rPr>
        <w:t>-- Need M</w:t>
      </w:r>
    </w:p>
    <w:p w14:paraId="01849AF0" w14:textId="5918A0AF" w:rsidR="009620A4" w:rsidRPr="00FA0D37" w:rsidRDefault="009620A4" w:rsidP="00FA0D37">
      <w:pPr>
        <w:pStyle w:val="PL"/>
        <w:rPr>
          <w:color w:val="808080"/>
        </w:rPr>
      </w:pPr>
      <w:r w:rsidRPr="00FA0D37">
        <w:t xml:space="preserve">    sl-RLC-ChannelToReleaseList-r17      </w:t>
      </w:r>
      <w:r w:rsidRPr="00FA0D37">
        <w:rPr>
          <w:color w:val="993366"/>
        </w:rPr>
        <w:t>SEQUENCE</w:t>
      </w:r>
      <w:r w:rsidRPr="00FA0D37">
        <w:t xml:space="preserve"> (</w:t>
      </w:r>
      <w:r w:rsidRPr="00FA0D37">
        <w:rPr>
          <w:color w:val="993366"/>
        </w:rPr>
        <w:t>SIZE</w:t>
      </w:r>
      <w:r w:rsidRPr="00FA0D37">
        <w:t xml:space="preserve"> (1..maxSL-LCID-r16))</w:t>
      </w:r>
      <w:r w:rsidRPr="00FA0D37">
        <w:rPr>
          <w:color w:val="993366"/>
        </w:rPr>
        <w:t xml:space="preserve"> OF</w:t>
      </w:r>
      <w:r w:rsidRPr="00FA0D37">
        <w:t xml:space="preserve"> SL-RLC-ChannelID-r17            </w:t>
      </w:r>
      <w:r w:rsidRPr="00FA0D37">
        <w:rPr>
          <w:color w:val="993366"/>
        </w:rPr>
        <w:t>OPTIONAL</w:t>
      </w:r>
      <w:r w:rsidRPr="00FA0D37">
        <w:t xml:space="preserve">, </w:t>
      </w:r>
      <w:r w:rsidRPr="00FA0D37">
        <w:rPr>
          <w:color w:val="808080"/>
        </w:rPr>
        <w:t>-- Cond L2U2N</w:t>
      </w:r>
    </w:p>
    <w:p w14:paraId="573896D1" w14:textId="3DDFB91A" w:rsidR="009620A4" w:rsidRPr="00FA0D37" w:rsidRDefault="009620A4" w:rsidP="00FA0D37">
      <w:pPr>
        <w:pStyle w:val="PL"/>
        <w:rPr>
          <w:color w:val="808080"/>
        </w:rPr>
      </w:pPr>
      <w:r w:rsidRPr="00FA0D37">
        <w:t xml:space="preserve">    sl-RLC-ChannelToAddModList-r17       </w:t>
      </w:r>
      <w:r w:rsidRPr="00FA0D37">
        <w:rPr>
          <w:color w:val="993366"/>
        </w:rPr>
        <w:t>SEQUENCE</w:t>
      </w:r>
      <w:r w:rsidRPr="00FA0D37">
        <w:t xml:space="preserve"> (</w:t>
      </w:r>
      <w:r w:rsidRPr="00FA0D37">
        <w:rPr>
          <w:color w:val="993366"/>
        </w:rPr>
        <w:t>SIZE</w:t>
      </w:r>
      <w:r w:rsidRPr="00FA0D37">
        <w:t xml:space="preserve"> (1..maxSL-LCID-r16))</w:t>
      </w:r>
      <w:r w:rsidRPr="00FA0D37">
        <w:rPr>
          <w:color w:val="993366"/>
        </w:rPr>
        <w:t xml:space="preserve"> OF</w:t>
      </w:r>
      <w:r w:rsidRPr="00FA0D37">
        <w:t xml:space="preserve"> SL-RLC-ChannelConfig-r17        </w:t>
      </w:r>
      <w:r w:rsidRPr="00FA0D37">
        <w:rPr>
          <w:color w:val="993366"/>
        </w:rPr>
        <w:t>OPTIONAL</w:t>
      </w:r>
      <w:r w:rsidRPr="00FA0D37">
        <w:t xml:space="preserve">, </w:t>
      </w:r>
      <w:r w:rsidRPr="00FA0D37">
        <w:rPr>
          <w:color w:val="808080"/>
        </w:rPr>
        <w:t>-- Cond L2U2N</w:t>
      </w:r>
    </w:p>
    <w:p w14:paraId="68E2AB70" w14:textId="77777777" w:rsidR="00C26E98" w:rsidRPr="00FA0D37" w:rsidRDefault="00C26E98" w:rsidP="00FA0D37">
      <w:pPr>
        <w:pStyle w:val="PL"/>
      </w:pPr>
      <w:r w:rsidRPr="00FA0D37">
        <w:t xml:space="preserve">    ...</w:t>
      </w:r>
    </w:p>
    <w:p w14:paraId="19D7A241" w14:textId="3B9F0862" w:rsidR="00C26E98" w:rsidRPr="00FA0D37" w:rsidRDefault="00C26E98" w:rsidP="00FA0D37">
      <w:pPr>
        <w:pStyle w:val="PL"/>
      </w:pPr>
      <w:r w:rsidRPr="00FA0D37">
        <w:t>}</w:t>
      </w:r>
    </w:p>
    <w:p w14:paraId="084CDDEF" w14:textId="77777777" w:rsidR="00E81DFA" w:rsidRPr="00FA0D37" w:rsidRDefault="00E81DFA" w:rsidP="00FA0D37">
      <w:pPr>
        <w:pStyle w:val="PL"/>
      </w:pPr>
    </w:p>
    <w:p w14:paraId="7E103C5A" w14:textId="54F95D2F" w:rsidR="00E81DFA" w:rsidRPr="00FA0D37" w:rsidRDefault="00E81DFA" w:rsidP="00FA0D37">
      <w:pPr>
        <w:pStyle w:val="PL"/>
      </w:pPr>
      <w:r w:rsidRPr="00FA0D37">
        <w:t xml:space="preserve">SL-DiscConfig-r17::=                 </w:t>
      </w:r>
      <w:r w:rsidRPr="00FA0D37">
        <w:rPr>
          <w:color w:val="993366"/>
        </w:rPr>
        <w:t>SEQUENCE</w:t>
      </w:r>
      <w:r w:rsidRPr="00FA0D37">
        <w:t xml:space="preserve"> {</w:t>
      </w:r>
    </w:p>
    <w:p w14:paraId="4FE84035" w14:textId="5337931C" w:rsidR="00E81DFA" w:rsidRPr="00FA0D37" w:rsidRDefault="00E81DFA" w:rsidP="00FA0D37">
      <w:pPr>
        <w:pStyle w:val="PL"/>
        <w:rPr>
          <w:color w:val="808080"/>
        </w:rPr>
      </w:pPr>
      <w:r w:rsidRPr="00FA0D37">
        <w:t xml:space="preserve">    sl-RelayUE-Config-r17                SetupRelease { SL-RelayUE-Config-r17}                                  </w:t>
      </w:r>
      <w:r w:rsidRPr="00FA0D37">
        <w:rPr>
          <w:color w:val="993366"/>
        </w:rPr>
        <w:t>OPTIONAL</w:t>
      </w:r>
      <w:r w:rsidRPr="00FA0D37">
        <w:t xml:space="preserve">, </w:t>
      </w:r>
      <w:r w:rsidRPr="00FA0D37">
        <w:rPr>
          <w:color w:val="808080"/>
        </w:rPr>
        <w:t xml:space="preserve">-- </w:t>
      </w:r>
      <w:r w:rsidR="00697589" w:rsidRPr="00FA0D37">
        <w:rPr>
          <w:color w:val="808080"/>
        </w:rPr>
        <w:t xml:space="preserve">Cond </w:t>
      </w:r>
      <w:r w:rsidRPr="00FA0D37">
        <w:rPr>
          <w:color w:val="808080"/>
        </w:rPr>
        <w:t>L2RelayUE</w:t>
      </w:r>
    </w:p>
    <w:p w14:paraId="1BF4004E" w14:textId="19440010" w:rsidR="00E81DFA" w:rsidRPr="00FA0D37" w:rsidRDefault="00E81DFA" w:rsidP="00FA0D37">
      <w:pPr>
        <w:pStyle w:val="PL"/>
        <w:rPr>
          <w:color w:val="808080"/>
        </w:rPr>
      </w:pPr>
      <w:r w:rsidRPr="00FA0D37">
        <w:t xml:space="preserve">    sl-RemoteUE-Config-r17               SetupRelease { SL-RemoteUE-Config-r17}                                 </w:t>
      </w:r>
      <w:r w:rsidRPr="00FA0D37">
        <w:rPr>
          <w:color w:val="993366"/>
        </w:rPr>
        <w:t>OPTIONAL</w:t>
      </w:r>
      <w:r w:rsidRPr="00FA0D37">
        <w:t xml:space="preserve">  </w:t>
      </w:r>
      <w:r w:rsidRPr="00FA0D37">
        <w:rPr>
          <w:color w:val="808080"/>
        </w:rPr>
        <w:t xml:space="preserve">-- </w:t>
      </w:r>
      <w:r w:rsidR="00697589" w:rsidRPr="00FA0D37">
        <w:rPr>
          <w:color w:val="808080"/>
        </w:rPr>
        <w:t xml:space="preserve">Cond </w:t>
      </w:r>
      <w:r w:rsidRPr="00FA0D37">
        <w:rPr>
          <w:color w:val="808080"/>
        </w:rPr>
        <w:t>L2RemoteUE</w:t>
      </w:r>
    </w:p>
    <w:p w14:paraId="7ABC7C03" w14:textId="77777777" w:rsidR="00E81DFA" w:rsidRPr="00FA0D37" w:rsidRDefault="00E81DFA" w:rsidP="00FA0D37">
      <w:pPr>
        <w:pStyle w:val="PL"/>
      </w:pPr>
      <w:r w:rsidRPr="00FA0D37">
        <w:t>}</w:t>
      </w:r>
    </w:p>
    <w:p w14:paraId="5F117E07" w14:textId="77777777" w:rsidR="00C26E98" w:rsidRPr="00FA0D37" w:rsidRDefault="00C26E98" w:rsidP="00FA0D37">
      <w:pPr>
        <w:pStyle w:val="PL"/>
      </w:pPr>
    </w:p>
    <w:p w14:paraId="2BF389BB" w14:textId="77777777" w:rsidR="00394471" w:rsidRPr="00FA0D37" w:rsidRDefault="00394471" w:rsidP="00FA0D37">
      <w:pPr>
        <w:pStyle w:val="PL"/>
        <w:rPr>
          <w:color w:val="808080"/>
        </w:rPr>
      </w:pPr>
      <w:r w:rsidRPr="00FA0D37">
        <w:rPr>
          <w:color w:val="808080"/>
        </w:rPr>
        <w:t>-- TAG-SL-CONFIGDEDICATEDNR-STOP</w:t>
      </w:r>
    </w:p>
    <w:p w14:paraId="38F7A440" w14:textId="77777777" w:rsidR="00394471" w:rsidRPr="00FA0D37" w:rsidRDefault="00394471" w:rsidP="00FA0D37">
      <w:pPr>
        <w:pStyle w:val="PL"/>
        <w:rPr>
          <w:color w:val="808080"/>
        </w:rPr>
      </w:pPr>
      <w:r w:rsidRPr="00FA0D37">
        <w:rPr>
          <w:color w:val="808080"/>
        </w:rPr>
        <w:t>-- ASN1STOP</w:t>
      </w:r>
    </w:p>
    <w:p w14:paraId="0F64F283" w14:textId="77777777" w:rsidR="00394471" w:rsidRPr="00FA0D3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6BD9F20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B8351A" w14:textId="77777777" w:rsidR="00394471" w:rsidRPr="00FA0D37" w:rsidRDefault="00394471" w:rsidP="00964CC4">
            <w:pPr>
              <w:pStyle w:val="TAH"/>
              <w:rPr>
                <w:lang w:eastAsia="en-GB"/>
              </w:rPr>
            </w:pPr>
            <w:r w:rsidRPr="00FA0D37">
              <w:rPr>
                <w:i/>
                <w:iCs/>
                <w:lang w:eastAsia="sv-SE"/>
              </w:rPr>
              <w:t>SL-ConfigDedicatedNR</w:t>
            </w:r>
            <w:r w:rsidRPr="00FA0D37">
              <w:rPr>
                <w:lang w:eastAsia="sv-SE"/>
              </w:rPr>
              <w:t xml:space="preserve"> </w:t>
            </w:r>
            <w:r w:rsidRPr="00FA0D37">
              <w:rPr>
                <w:noProof/>
                <w:lang w:eastAsia="en-GB"/>
              </w:rPr>
              <w:t>field descriptions</w:t>
            </w:r>
          </w:p>
        </w:tc>
      </w:tr>
      <w:tr w:rsidR="005C7FF4" w:rsidRPr="00FA0D37" w14:paraId="772FBE7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279AC4" w14:textId="77777777" w:rsidR="00394471" w:rsidRPr="00FA0D37" w:rsidRDefault="00394471" w:rsidP="00964CC4">
            <w:pPr>
              <w:pStyle w:val="TAL"/>
              <w:rPr>
                <w:rFonts w:asciiTheme="minorEastAsia" w:eastAsiaTheme="minorEastAsia" w:hAnsiTheme="minorEastAsia"/>
                <w:b/>
                <w:bCs/>
                <w:i/>
                <w:iCs/>
                <w:lang w:eastAsia="zh-CN"/>
              </w:rPr>
            </w:pPr>
            <w:r w:rsidRPr="00FA0D37">
              <w:rPr>
                <w:b/>
                <w:bCs/>
                <w:i/>
                <w:iCs/>
                <w:lang w:eastAsia="zh-CN"/>
              </w:rPr>
              <w:t>sl-MeasConfigInfoToAddModList</w:t>
            </w:r>
          </w:p>
          <w:p w14:paraId="416913F7" w14:textId="77777777" w:rsidR="00394471" w:rsidRPr="00FA0D37" w:rsidRDefault="00394471" w:rsidP="00964CC4">
            <w:pPr>
              <w:pStyle w:val="TAL"/>
              <w:rPr>
                <w:lang w:eastAsia="en-GB"/>
              </w:rPr>
            </w:pPr>
            <w:r w:rsidRPr="00FA0D37">
              <w:rPr>
                <w:lang w:eastAsia="zh-CN"/>
              </w:rPr>
              <w:t>This field indicates the RSRP measurement configurations for unicast destinations</w:t>
            </w:r>
            <w:r w:rsidRPr="00FA0D37">
              <w:rPr>
                <w:lang w:eastAsia="en-GB"/>
              </w:rPr>
              <w:t xml:space="preserve"> to add and/or modify</w:t>
            </w:r>
            <w:r w:rsidRPr="00FA0D37">
              <w:rPr>
                <w:lang w:eastAsia="zh-CN"/>
              </w:rPr>
              <w:t>.</w:t>
            </w:r>
          </w:p>
        </w:tc>
      </w:tr>
      <w:tr w:rsidR="005C7FF4" w:rsidRPr="00FA0D37" w14:paraId="4CE1A1F9"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C112F" w14:textId="77777777" w:rsidR="00394471" w:rsidRPr="00FA0D37" w:rsidRDefault="00394471" w:rsidP="00964CC4">
            <w:pPr>
              <w:pStyle w:val="TAL"/>
              <w:rPr>
                <w:b/>
                <w:bCs/>
                <w:i/>
                <w:iCs/>
                <w:lang w:eastAsia="zh-CN"/>
              </w:rPr>
            </w:pPr>
            <w:r w:rsidRPr="00FA0D37">
              <w:rPr>
                <w:b/>
                <w:bCs/>
                <w:i/>
                <w:iCs/>
                <w:lang w:eastAsia="zh-CN"/>
              </w:rPr>
              <w:t>sl-MeasConfigInfoToReleaseList</w:t>
            </w:r>
          </w:p>
          <w:p w14:paraId="4D1C2C70" w14:textId="77777777" w:rsidR="00394471" w:rsidRPr="00FA0D37" w:rsidRDefault="00394471" w:rsidP="00964CC4">
            <w:pPr>
              <w:pStyle w:val="TAL"/>
              <w:rPr>
                <w:lang w:eastAsia="zh-CN"/>
              </w:rPr>
            </w:pPr>
            <w:r w:rsidRPr="00FA0D37">
              <w:rPr>
                <w:lang w:eastAsia="zh-CN"/>
              </w:rPr>
              <w:t>This field indicates the RSRP measurement configurations for unicast destinations</w:t>
            </w:r>
            <w:r w:rsidRPr="00FA0D37">
              <w:rPr>
                <w:lang w:eastAsia="en-GB"/>
              </w:rPr>
              <w:t xml:space="preserve"> to remove</w:t>
            </w:r>
            <w:r w:rsidRPr="00FA0D37">
              <w:rPr>
                <w:lang w:eastAsia="zh-CN"/>
              </w:rPr>
              <w:t>.</w:t>
            </w:r>
          </w:p>
        </w:tc>
      </w:tr>
      <w:tr w:rsidR="005C7FF4" w:rsidRPr="00FA0D37" w14:paraId="629F103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F9BC5A" w14:textId="77777777" w:rsidR="008D2002" w:rsidRPr="00FA0D37" w:rsidRDefault="008D2002" w:rsidP="008D2002">
            <w:pPr>
              <w:pStyle w:val="TAL"/>
              <w:rPr>
                <w:b/>
                <w:bCs/>
                <w:i/>
                <w:iCs/>
              </w:rPr>
            </w:pPr>
            <w:r w:rsidRPr="00FA0D37">
              <w:rPr>
                <w:b/>
                <w:bCs/>
                <w:i/>
                <w:iCs/>
              </w:rPr>
              <w:t>sl-PHY-MAC-RLC-Config</w:t>
            </w:r>
          </w:p>
          <w:p w14:paraId="3DBBA468" w14:textId="77777777" w:rsidR="008D2002" w:rsidRPr="00FA0D37" w:rsidRDefault="008D2002" w:rsidP="00255542">
            <w:pPr>
              <w:pStyle w:val="TAL"/>
              <w:rPr>
                <w:rFonts w:cs="Arial"/>
                <w:lang w:eastAsia="zh-CN"/>
              </w:rPr>
            </w:pPr>
            <w:r w:rsidRPr="00FA0D37">
              <w:rPr>
                <w:rFonts w:cs="Arial"/>
                <w:lang w:eastAsia="zh-CN"/>
              </w:rPr>
              <w:t>This field indicates the lower layer sidelink radio bearer configurations.</w:t>
            </w:r>
          </w:p>
        </w:tc>
      </w:tr>
      <w:tr w:rsidR="005C7FF4" w:rsidRPr="00FA0D37" w14:paraId="2F6A3591"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0FACC5" w14:textId="77777777" w:rsidR="00394471" w:rsidRPr="00FA0D37" w:rsidRDefault="00394471" w:rsidP="00964CC4">
            <w:pPr>
              <w:pStyle w:val="TAL"/>
              <w:rPr>
                <w:b/>
                <w:bCs/>
                <w:i/>
                <w:iCs/>
                <w:lang w:eastAsia="zh-CN"/>
              </w:rPr>
            </w:pPr>
            <w:r w:rsidRPr="00FA0D37">
              <w:rPr>
                <w:b/>
                <w:bCs/>
                <w:i/>
                <w:iCs/>
                <w:lang w:eastAsia="zh-CN"/>
              </w:rPr>
              <w:t>sl-RadioBearerToAddModList</w:t>
            </w:r>
          </w:p>
          <w:p w14:paraId="7F63B6D6" w14:textId="43322A50" w:rsidR="00394471" w:rsidRPr="00FA0D37" w:rsidRDefault="00394471" w:rsidP="00964CC4">
            <w:pPr>
              <w:pStyle w:val="TAL"/>
              <w:rPr>
                <w:lang w:eastAsia="en-GB"/>
              </w:rPr>
            </w:pPr>
            <w:r w:rsidRPr="00FA0D37">
              <w:rPr>
                <w:lang w:eastAsia="en-GB"/>
              </w:rPr>
              <w:t>This field indicates one or multiple sidelink radio bearer configurations</w:t>
            </w:r>
            <w:r w:rsidR="008D2002" w:rsidRPr="00FA0D37">
              <w:rPr>
                <w:lang w:eastAsia="en-GB"/>
              </w:rPr>
              <w:t xml:space="preserve"> </w:t>
            </w:r>
            <w:r w:rsidR="008D2002" w:rsidRPr="00FA0D37">
              <w:rPr>
                <w:rFonts w:cs="Arial"/>
                <w:szCs w:val="18"/>
                <w:lang w:eastAsia="en-GB"/>
              </w:rPr>
              <w:t>to add and/or modify</w:t>
            </w:r>
            <w:r w:rsidRPr="00FA0D37">
              <w:rPr>
                <w:lang w:eastAsia="en-GB"/>
              </w:rPr>
              <w:t>.</w:t>
            </w:r>
            <w:r w:rsidR="00E81DFA" w:rsidRPr="00FA0D37">
              <w:rPr>
                <w:lang w:eastAsia="en-GB"/>
              </w:rPr>
              <w:t xml:space="preserve"> This field is not configured to the PC5 connection used for L2 U2N relay operation.</w:t>
            </w:r>
          </w:p>
        </w:tc>
      </w:tr>
      <w:tr w:rsidR="008D2002" w:rsidRPr="00FA0D37" w14:paraId="1F58017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84ACB8" w14:textId="77777777" w:rsidR="008D2002" w:rsidRPr="00FA0D37" w:rsidRDefault="008D2002" w:rsidP="008D2002">
            <w:pPr>
              <w:pStyle w:val="TAL"/>
              <w:rPr>
                <w:b/>
                <w:bCs/>
                <w:i/>
                <w:iCs/>
                <w:lang w:eastAsia="zh-CN"/>
              </w:rPr>
            </w:pPr>
            <w:r w:rsidRPr="00FA0D37">
              <w:rPr>
                <w:b/>
                <w:bCs/>
                <w:i/>
                <w:iCs/>
                <w:lang w:eastAsia="zh-CN"/>
              </w:rPr>
              <w:t>sl-RadioBearerToReleaseList</w:t>
            </w:r>
          </w:p>
          <w:p w14:paraId="0BE30589" w14:textId="791A6B39" w:rsidR="008D2002" w:rsidRPr="00FA0D37" w:rsidRDefault="008D2002" w:rsidP="00255542">
            <w:pPr>
              <w:pStyle w:val="TAL"/>
              <w:rPr>
                <w:rFonts w:cs="Arial"/>
                <w:lang w:eastAsia="zh-CN"/>
              </w:rPr>
            </w:pPr>
            <w:r w:rsidRPr="00FA0D37">
              <w:rPr>
                <w:rFonts w:cs="Arial"/>
                <w:lang w:eastAsia="zh-CN"/>
              </w:rPr>
              <w:t>This field indicates one or multiple sidelink radio bearer configurations to remove.</w:t>
            </w:r>
            <w:r w:rsidR="00E81DFA" w:rsidRPr="00FA0D37">
              <w:rPr>
                <w:rFonts w:cs="Arial"/>
                <w:lang w:eastAsia="zh-CN"/>
              </w:rPr>
              <w:t xml:space="preserve"> This field is not configured to the PC5 connection used for L2 U2N relay operation.</w:t>
            </w:r>
          </w:p>
        </w:tc>
      </w:tr>
    </w:tbl>
    <w:p w14:paraId="1895BF0A" w14:textId="77777777" w:rsidR="00394471" w:rsidRPr="00FA0D37"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69138E50"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3CEA16C" w14:textId="77777777" w:rsidR="00394471" w:rsidRPr="00FA0D37" w:rsidRDefault="00394471" w:rsidP="00964CC4">
            <w:pPr>
              <w:pStyle w:val="TAH"/>
              <w:rPr>
                <w:lang w:eastAsia="en-GB"/>
              </w:rPr>
            </w:pPr>
            <w:r w:rsidRPr="00FA0D37">
              <w:rPr>
                <w:i/>
                <w:iCs/>
              </w:rPr>
              <w:lastRenderedPageBreak/>
              <w:t>SL-PHY-MAC-RLC-Config</w:t>
            </w:r>
            <w:r w:rsidRPr="00FA0D37">
              <w:t xml:space="preserve"> </w:t>
            </w:r>
            <w:r w:rsidRPr="00FA0D37">
              <w:rPr>
                <w:noProof/>
                <w:lang w:eastAsia="en-GB"/>
              </w:rPr>
              <w:t>field descriptions</w:t>
            </w:r>
          </w:p>
        </w:tc>
      </w:tr>
      <w:tr w:rsidR="005C7FF4" w:rsidRPr="00FA0D37" w14:paraId="74C12846"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478A5A" w14:textId="0CC4540C" w:rsidR="00394471" w:rsidRPr="00FA0D37" w:rsidRDefault="008D2002" w:rsidP="00964CC4">
            <w:pPr>
              <w:pStyle w:val="TAL"/>
              <w:rPr>
                <w:b/>
                <w:bCs/>
                <w:i/>
                <w:iCs/>
              </w:rPr>
            </w:pPr>
            <w:r w:rsidRPr="00FA0D37">
              <w:rPr>
                <w:rFonts w:cs="Arial"/>
                <w:b/>
                <w:bCs/>
                <w:i/>
                <w:iCs/>
              </w:rPr>
              <w:t>networkControlledSyncTx</w:t>
            </w:r>
          </w:p>
          <w:p w14:paraId="099358C5" w14:textId="3CBC8029" w:rsidR="00394471" w:rsidRPr="00FA0D37" w:rsidRDefault="00394471" w:rsidP="00964CC4">
            <w:pPr>
              <w:pStyle w:val="TAL"/>
            </w:pPr>
            <w:r w:rsidRPr="00FA0D37">
              <w:t xml:space="preserve">This field indicates whether the UE shall transmit synchronisation information (i.e. become synchronisation source). Value </w:t>
            </w:r>
            <w:r w:rsidR="008D2002" w:rsidRPr="00FA0D37">
              <w:rPr>
                <w:rFonts w:cs="Arial"/>
                <w:i/>
              </w:rPr>
              <w:t>on</w:t>
            </w:r>
            <w:r w:rsidRPr="00FA0D37">
              <w:t xml:space="preserve"> indicates the UE to transmit synchronisation information while value </w:t>
            </w:r>
            <w:r w:rsidR="008D2002" w:rsidRPr="00FA0D37">
              <w:rPr>
                <w:rFonts w:cs="Arial"/>
                <w:i/>
              </w:rPr>
              <w:t>off</w:t>
            </w:r>
            <w:r w:rsidRPr="00FA0D37">
              <w:t xml:space="preserve"> indicates the UE to not transmit such information.</w:t>
            </w:r>
          </w:p>
        </w:tc>
      </w:tr>
      <w:tr w:rsidR="005C7FF4" w:rsidRPr="00FA0D37" w14:paraId="5040AFBB"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97655C" w14:textId="77777777" w:rsidR="00C26E98" w:rsidRPr="00FA0D37" w:rsidRDefault="00C26E98" w:rsidP="00771058">
            <w:pPr>
              <w:pStyle w:val="TAL"/>
              <w:rPr>
                <w:rFonts w:cs="Arial"/>
                <w:b/>
                <w:bCs/>
                <w:i/>
                <w:iCs/>
              </w:rPr>
            </w:pPr>
            <w:r w:rsidRPr="00FA0D37">
              <w:rPr>
                <w:rFonts w:cs="Arial"/>
                <w:b/>
                <w:bCs/>
                <w:i/>
                <w:iCs/>
              </w:rPr>
              <w:t>sl-DRX-Config</w:t>
            </w:r>
          </w:p>
          <w:p w14:paraId="2418389D" w14:textId="0DBC36D4" w:rsidR="00C26E98" w:rsidRPr="00FA0D37" w:rsidRDefault="00C26E98" w:rsidP="00771058">
            <w:pPr>
              <w:pStyle w:val="TAL"/>
              <w:rPr>
                <w:b/>
                <w:bCs/>
                <w:i/>
                <w:iCs/>
                <w:lang w:eastAsia="zh-CN"/>
              </w:rPr>
            </w:pPr>
            <w:r w:rsidRPr="00FA0D37">
              <w:rPr>
                <w:rFonts w:cs="Arial"/>
                <w:bCs/>
                <w:iCs/>
              </w:rPr>
              <w:t>This field indicates the sidelink DRX configuration(s) for unicast, groupcast and/or broadcast communication, as specified in TS 38.321 [</w:t>
            </w:r>
            <w:r w:rsidR="005F190C" w:rsidRPr="00FA0D37">
              <w:rPr>
                <w:rFonts w:cs="Arial"/>
                <w:bCs/>
                <w:iCs/>
              </w:rPr>
              <w:t>3</w:t>
            </w:r>
            <w:r w:rsidRPr="00FA0D37">
              <w:rPr>
                <w:rFonts w:cs="Arial"/>
                <w:bCs/>
                <w:iCs/>
              </w:rPr>
              <w:t>].</w:t>
            </w:r>
          </w:p>
        </w:tc>
      </w:tr>
      <w:tr w:rsidR="005C7FF4" w:rsidRPr="00FA0D37" w14:paraId="7A7700F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32F3CD" w14:textId="268D85B4" w:rsidR="00394471" w:rsidRPr="00FA0D37" w:rsidRDefault="00394471" w:rsidP="00964CC4">
            <w:pPr>
              <w:pStyle w:val="TAL"/>
              <w:rPr>
                <w:b/>
                <w:bCs/>
                <w:i/>
                <w:iCs/>
                <w:lang w:eastAsia="zh-CN"/>
              </w:rPr>
            </w:pPr>
            <w:r w:rsidRPr="00FA0D37">
              <w:rPr>
                <w:b/>
                <w:bCs/>
                <w:i/>
                <w:iCs/>
                <w:lang w:eastAsia="zh-CN"/>
              </w:rPr>
              <w:t>sl-</w:t>
            </w:r>
            <w:r w:rsidR="008D2002" w:rsidRPr="00FA0D37">
              <w:rPr>
                <w:rFonts w:cs="Arial"/>
                <w:b/>
                <w:bCs/>
                <w:i/>
                <w:iCs/>
                <w:lang w:eastAsia="zh-CN"/>
              </w:rPr>
              <w:t>MaxNumConsecutiveDTX</w:t>
            </w:r>
          </w:p>
          <w:p w14:paraId="0ABFC862" w14:textId="77777777" w:rsidR="00394471" w:rsidRPr="00FA0D37" w:rsidRDefault="00394471" w:rsidP="00964CC4">
            <w:pPr>
              <w:pStyle w:val="TAL"/>
              <w:rPr>
                <w:lang w:eastAsia="en-GB"/>
              </w:rPr>
            </w:pPr>
            <w:r w:rsidRPr="00FA0D37">
              <w:t>This field indicates the maximum number of consecutive HARQ DTX before triggering sidelink RLF. Value n1 corresponds to 1, value n2 corresponds to 2, and so on.</w:t>
            </w:r>
          </w:p>
        </w:tc>
      </w:tr>
      <w:tr w:rsidR="005C7FF4" w:rsidRPr="00FA0D37" w14:paraId="0F68A77E"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6CC166" w14:textId="77777777" w:rsidR="00394471" w:rsidRPr="00FA0D37" w:rsidRDefault="00394471" w:rsidP="00964CC4">
            <w:pPr>
              <w:pStyle w:val="TAL"/>
              <w:rPr>
                <w:b/>
                <w:bCs/>
                <w:i/>
                <w:iCs/>
                <w:lang w:eastAsia="en-GB"/>
              </w:rPr>
            </w:pPr>
            <w:r w:rsidRPr="00FA0D37">
              <w:rPr>
                <w:b/>
                <w:bCs/>
                <w:i/>
                <w:iCs/>
                <w:lang w:eastAsia="en-GB"/>
              </w:rPr>
              <w:t>sl-FreqInfoToAddModList</w:t>
            </w:r>
          </w:p>
          <w:p w14:paraId="61442C69" w14:textId="59F0A195" w:rsidR="00394471" w:rsidRPr="00FA0D37" w:rsidRDefault="00394471" w:rsidP="00964CC4">
            <w:pPr>
              <w:pStyle w:val="TAL"/>
              <w:rPr>
                <w:lang w:eastAsia="en-GB"/>
              </w:rPr>
            </w:pPr>
            <w:r w:rsidRPr="00FA0D37">
              <w:rPr>
                <w:lang w:eastAsia="en-GB"/>
              </w:rPr>
              <w:t>This field indicates the NR sidelink communication configuration on some carrier frequency (ies)</w:t>
            </w:r>
            <w:r w:rsidR="008D2002" w:rsidRPr="00FA0D37">
              <w:rPr>
                <w:rFonts w:cs="Arial"/>
                <w:lang w:eastAsia="en-GB"/>
              </w:rPr>
              <w:t xml:space="preserve"> to add and/or modify</w:t>
            </w:r>
            <w:r w:rsidRPr="00FA0D37">
              <w:rPr>
                <w:lang w:eastAsia="en-GB"/>
              </w:rPr>
              <w:t xml:space="preserve">. In this release, only one </w:t>
            </w:r>
            <w:r w:rsidRPr="00FA0D37">
              <w:t>entry can be configured in the list.</w:t>
            </w:r>
          </w:p>
        </w:tc>
      </w:tr>
      <w:tr w:rsidR="005C7FF4" w:rsidRPr="00FA0D37" w14:paraId="6E9FFD46"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134CCE" w14:textId="77777777" w:rsidR="008D2002" w:rsidRPr="00FA0D37" w:rsidRDefault="008D2002" w:rsidP="008D2002">
            <w:pPr>
              <w:pStyle w:val="TAL"/>
              <w:rPr>
                <w:b/>
                <w:bCs/>
                <w:i/>
                <w:iCs/>
                <w:lang w:eastAsia="en-GB"/>
              </w:rPr>
            </w:pPr>
            <w:r w:rsidRPr="00FA0D37">
              <w:rPr>
                <w:b/>
                <w:bCs/>
                <w:i/>
                <w:iCs/>
                <w:lang w:eastAsia="en-GB"/>
              </w:rPr>
              <w:t>sl-FreqInfoToReleaseList</w:t>
            </w:r>
          </w:p>
          <w:p w14:paraId="3A767CD6" w14:textId="77777777" w:rsidR="008D2002" w:rsidRPr="00FA0D37" w:rsidRDefault="008D2002" w:rsidP="00255542">
            <w:pPr>
              <w:pStyle w:val="TAL"/>
              <w:rPr>
                <w:rFonts w:cs="Arial"/>
                <w:lang w:eastAsia="en-GB"/>
              </w:rPr>
            </w:pPr>
            <w:r w:rsidRPr="00FA0D37">
              <w:rPr>
                <w:rFonts w:cs="Arial"/>
                <w:lang w:eastAsia="en-GB"/>
              </w:rPr>
              <w:t>This field indicates the NR sidelink communication configuration on some carrier frequency (ies) to remove. In this release, only one entry can be configured in the list.</w:t>
            </w:r>
          </w:p>
        </w:tc>
      </w:tr>
      <w:tr w:rsidR="005C7FF4" w:rsidRPr="00FA0D37" w14:paraId="2A86DFB8"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EE3D1A" w14:textId="77777777" w:rsidR="00394471" w:rsidRPr="00FA0D37" w:rsidRDefault="00394471" w:rsidP="00964CC4">
            <w:pPr>
              <w:pStyle w:val="TAL"/>
              <w:rPr>
                <w:b/>
                <w:bCs/>
                <w:i/>
                <w:iCs/>
                <w:lang w:eastAsia="zh-CN"/>
              </w:rPr>
            </w:pPr>
            <w:r w:rsidRPr="00FA0D37">
              <w:rPr>
                <w:b/>
                <w:bCs/>
                <w:i/>
                <w:iCs/>
                <w:lang w:eastAsia="zh-CN"/>
              </w:rPr>
              <w:t>sl-RLC-BearerToAddModList</w:t>
            </w:r>
          </w:p>
          <w:p w14:paraId="1AAAEE5B" w14:textId="56F7262B" w:rsidR="00394471" w:rsidRPr="00FA0D37" w:rsidRDefault="00394471" w:rsidP="00964CC4">
            <w:pPr>
              <w:pStyle w:val="TAL"/>
              <w:rPr>
                <w:lang w:eastAsia="en-GB"/>
              </w:rPr>
            </w:pPr>
            <w:r w:rsidRPr="00FA0D37">
              <w:rPr>
                <w:lang w:eastAsia="en-GB"/>
              </w:rPr>
              <w:t>This field indicates one or multiple sidelink RLC bearer configurations</w:t>
            </w:r>
            <w:r w:rsidR="008D2002" w:rsidRPr="00FA0D37">
              <w:rPr>
                <w:rFonts w:cs="Arial"/>
                <w:lang w:eastAsia="en-GB"/>
              </w:rPr>
              <w:t xml:space="preserve"> to add and/or modify</w:t>
            </w:r>
            <w:r w:rsidRPr="00FA0D37">
              <w:rPr>
                <w:lang w:eastAsia="en-GB"/>
              </w:rPr>
              <w:t>.</w:t>
            </w:r>
          </w:p>
        </w:tc>
      </w:tr>
      <w:tr w:rsidR="005C7FF4" w:rsidRPr="00FA0D37" w14:paraId="4FF3544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84A65" w14:textId="77777777" w:rsidR="008D2002" w:rsidRPr="00FA0D37" w:rsidRDefault="008D2002" w:rsidP="00255542">
            <w:pPr>
              <w:pStyle w:val="TAL"/>
              <w:rPr>
                <w:b/>
                <w:bCs/>
                <w:i/>
                <w:iCs/>
                <w:lang w:eastAsia="zh-CN"/>
              </w:rPr>
            </w:pPr>
            <w:r w:rsidRPr="00FA0D37">
              <w:rPr>
                <w:b/>
                <w:bCs/>
                <w:i/>
                <w:iCs/>
                <w:lang w:eastAsia="zh-CN"/>
              </w:rPr>
              <w:t>sl-RLC-BearerToReleaseList</w:t>
            </w:r>
          </w:p>
          <w:p w14:paraId="4C5ABC36" w14:textId="77777777" w:rsidR="008D2002" w:rsidRPr="00FA0D37" w:rsidRDefault="008D2002" w:rsidP="00255542">
            <w:pPr>
              <w:pStyle w:val="TAL"/>
              <w:rPr>
                <w:lang w:eastAsia="zh-CN"/>
              </w:rPr>
            </w:pPr>
            <w:r w:rsidRPr="00FA0D37">
              <w:rPr>
                <w:lang w:eastAsia="zh-CN"/>
              </w:rPr>
              <w:t>This field indicates one or multiple sidelink RLC bearer configurations to remove.</w:t>
            </w:r>
          </w:p>
        </w:tc>
      </w:tr>
      <w:tr w:rsidR="005C7FF4" w:rsidRPr="00FA0D37" w14:paraId="22F7CB6D"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420582" w14:textId="77777777" w:rsidR="00984519" w:rsidRPr="00FA0D37" w:rsidRDefault="00984519" w:rsidP="00A12BD9">
            <w:pPr>
              <w:pStyle w:val="TAL"/>
              <w:rPr>
                <w:b/>
                <w:bCs/>
                <w:i/>
                <w:iCs/>
                <w:lang w:eastAsia="zh-CN"/>
              </w:rPr>
            </w:pPr>
            <w:r w:rsidRPr="00FA0D37">
              <w:rPr>
                <w:b/>
                <w:bCs/>
                <w:i/>
                <w:iCs/>
                <w:lang w:eastAsia="zh-CN"/>
              </w:rPr>
              <w:t>sl-RLC-ChannelToAddModList</w:t>
            </w:r>
          </w:p>
          <w:p w14:paraId="27E8A467" w14:textId="3ADA447D" w:rsidR="00984519" w:rsidRPr="00FA0D37" w:rsidRDefault="00984519" w:rsidP="00984519">
            <w:pPr>
              <w:pStyle w:val="TAL"/>
              <w:rPr>
                <w:b/>
                <w:bCs/>
                <w:i/>
                <w:iCs/>
                <w:lang w:eastAsia="zh-CN"/>
              </w:rPr>
            </w:pPr>
            <w:r w:rsidRPr="00FA0D37">
              <w:rPr>
                <w:rFonts w:cs="Arial"/>
                <w:lang w:eastAsia="zh-CN"/>
              </w:rPr>
              <w:t>This field indicates one or multiple PC5 Relay RLC Channel configurations to add and/or modify. Each PC5 Relay RLC channel configuration provided by network to L2 U2N Relay UE is uniquely associated with one L2 U2N Remote UE.</w:t>
            </w:r>
          </w:p>
        </w:tc>
      </w:tr>
      <w:tr w:rsidR="005C7FF4" w:rsidRPr="00FA0D37" w14:paraId="599120B3"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B8B6375" w14:textId="77777777" w:rsidR="00984519" w:rsidRPr="00FA0D37" w:rsidRDefault="00984519" w:rsidP="00A12BD9">
            <w:pPr>
              <w:pStyle w:val="TAL"/>
              <w:rPr>
                <w:b/>
                <w:bCs/>
                <w:i/>
                <w:iCs/>
                <w:lang w:eastAsia="zh-CN"/>
              </w:rPr>
            </w:pPr>
            <w:r w:rsidRPr="00FA0D37">
              <w:rPr>
                <w:b/>
                <w:bCs/>
                <w:i/>
                <w:iCs/>
                <w:lang w:eastAsia="zh-CN"/>
              </w:rPr>
              <w:t>sl-RLC-ChannelToReleaseList</w:t>
            </w:r>
          </w:p>
          <w:p w14:paraId="46E851A6" w14:textId="7D7347CE" w:rsidR="00984519" w:rsidRPr="00FA0D37" w:rsidRDefault="00984519" w:rsidP="00984519">
            <w:pPr>
              <w:pStyle w:val="TAL"/>
              <w:rPr>
                <w:b/>
                <w:bCs/>
                <w:i/>
                <w:iCs/>
                <w:lang w:eastAsia="zh-CN"/>
              </w:rPr>
            </w:pPr>
            <w:r w:rsidRPr="00FA0D37">
              <w:rPr>
                <w:rFonts w:cs="Arial"/>
                <w:lang w:eastAsia="zh-CN"/>
              </w:rPr>
              <w:t>This field indicates one or multiple PC5 Relay RLC Channel configurations to remove.</w:t>
            </w:r>
          </w:p>
        </w:tc>
      </w:tr>
      <w:tr w:rsidR="005C7FF4" w:rsidRPr="00FA0D37" w14:paraId="47D5762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415456" w14:textId="77777777" w:rsidR="00394471" w:rsidRPr="00FA0D37" w:rsidRDefault="00394471" w:rsidP="00964CC4">
            <w:pPr>
              <w:pStyle w:val="TAL"/>
              <w:rPr>
                <w:b/>
                <w:bCs/>
                <w:i/>
                <w:iCs/>
                <w:lang w:eastAsia="zh-CN"/>
              </w:rPr>
            </w:pPr>
            <w:r w:rsidRPr="00FA0D37">
              <w:rPr>
                <w:b/>
                <w:bCs/>
                <w:i/>
                <w:iCs/>
                <w:lang w:eastAsia="zh-CN"/>
              </w:rPr>
              <w:t>sl-ScheduledConfig</w:t>
            </w:r>
          </w:p>
          <w:p w14:paraId="4C4D2D73" w14:textId="11F87A80" w:rsidR="00394471" w:rsidRPr="00FA0D37" w:rsidRDefault="00394471" w:rsidP="00964CC4">
            <w:pPr>
              <w:pStyle w:val="TAL"/>
              <w:rPr>
                <w:lang w:eastAsia="zh-CN"/>
              </w:rPr>
            </w:pPr>
            <w:r w:rsidRPr="00FA0D37">
              <w:rPr>
                <w:lang w:eastAsia="zh-CN"/>
              </w:rPr>
              <w:t xml:space="preserve">Indicates the configuration for </w:t>
            </w:r>
            <w:r w:rsidRPr="00FA0D37">
              <w:rPr>
                <w:kern w:val="2"/>
                <w:lang w:eastAsia="en-GB"/>
              </w:rPr>
              <w:t xml:space="preserve">UE to transmit </w:t>
            </w:r>
            <w:r w:rsidRPr="00FA0D37">
              <w:rPr>
                <w:kern w:val="2"/>
                <w:lang w:eastAsia="zh-CN"/>
              </w:rPr>
              <w:t>NR</w:t>
            </w:r>
            <w:r w:rsidRPr="00FA0D37">
              <w:rPr>
                <w:lang w:eastAsia="en-GB"/>
              </w:rPr>
              <w:t xml:space="preserve"> sidelink </w:t>
            </w:r>
            <w:r w:rsidRPr="00FA0D37">
              <w:rPr>
                <w:kern w:val="2"/>
                <w:lang w:eastAsia="en-GB"/>
              </w:rPr>
              <w:t>communication based on network scheduling.</w:t>
            </w:r>
            <w:r w:rsidRPr="00FA0D37">
              <w:t xml:space="preserve"> </w:t>
            </w:r>
            <w:r w:rsidRPr="00FA0D37">
              <w:rPr>
                <w:kern w:val="2"/>
                <w:lang w:eastAsia="en-GB"/>
              </w:rPr>
              <w:t>This field is not configured simultaneously with sl-UE-SelectedConfig.</w:t>
            </w:r>
            <w:r w:rsidR="00E81DFA" w:rsidRPr="00FA0D37">
              <w:rPr>
                <w:kern w:val="2"/>
                <w:lang w:eastAsia="en-GB"/>
              </w:rPr>
              <w:t xml:space="preserve"> This field is not configured to a L2 U2N Remote UE.</w:t>
            </w:r>
          </w:p>
        </w:tc>
      </w:tr>
      <w:tr w:rsidR="005C7FF4" w:rsidRPr="00FA0D37" w14:paraId="5D1979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23C802" w14:textId="77777777" w:rsidR="00394471" w:rsidRPr="00FA0D37" w:rsidRDefault="00394471" w:rsidP="00964CC4">
            <w:pPr>
              <w:pStyle w:val="TAL"/>
              <w:rPr>
                <w:b/>
                <w:bCs/>
                <w:i/>
                <w:iCs/>
                <w:lang w:eastAsia="zh-CN"/>
              </w:rPr>
            </w:pPr>
            <w:r w:rsidRPr="00FA0D37">
              <w:rPr>
                <w:b/>
                <w:bCs/>
                <w:i/>
                <w:iCs/>
                <w:lang w:eastAsia="zh-CN"/>
              </w:rPr>
              <w:t>sl-UE-SelectedConfig</w:t>
            </w:r>
          </w:p>
          <w:p w14:paraId="6EBCD3E2" w14:textId="77777777" w:rsidR="00394471" w:rsidRPr="00FA0D37" w:rsidRDefault="00394471" w:rsidP="00964CC4">
            <w:pPr>
              <w:pStyle w:val="TAL"/>
              <w:rPr>
                <w:b/>
                <w:bCs/>
                <w:i/>
                <w:iCs/>
                <w:lang w:eastAsia="zh-CN"/>
              </w:rPr>
            </w:pPr>
            <w:r w:rsidRPr="00FA0D37">
              <w:rPr>
                <w:lang w:eastAsia="zh-CN"/>
              </w:rPr>
              <w:t xml:space="preserve">Indicates the configuration </w:t>
            </w:r>
            <w:r w:rsidRPr="00FA0D37">
              <w:rPr>
                <w:bCs/>
                <w:kern w:val="2"/>
                <w:lang w:eastAsia="zh-CN"/>
              </w:rPr>
              <w:t>used for UE autonomous resource selection</w:t>
            </w:r>
            <w:r w:rsidRPr="00FA0D37">
              <w:rPr>
                <w:kern w:val="2"/>
                <w:lang w:eastAsia="en-GB"/>
              </w:rPr>
              <w:t xml:space="preserve">. This field is not configured simultaneously with </w:t>
            </w:r>
            <w:r w:rsidRPr="00FA0D37">
              <w:rPr>
                <w:i/>
                <w:kern w:val="2"/>
                <w:lang w:eastAsia="en-GB"/>
              </w:rPr>
              <w:t>sl-ScheduledConfig</w:t>
            </w:r>
            <w:r w:rsidRPr="00FA0D37">
              <w:rPr>
                <w:kern w:val="2"/>
                <w:lang w:eastAsia="en-GB"/>
              </w:rPr>
              <w:t>.</w:t>
            </w:r>
          </w:p>
        </w:tc>
      </w:tr>
      <w:tr w:rsidR="005C7FF4" w:rsidRPr="00FA0D37" w14:paraId="77176F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4A2809" w14:textId="77777777" w:rsidR="00394471" w:rsidRPr="00FA0D37" w:rsidRDefault="00394471" w:rsidP="00964CC4">
            <w:pPr>
              <w:pStyle w:val="TAL"/>
              <w:rPr>
                <w:b/>
                <w:bCs/>
                <w:i/>
                <w:iCs/>
                <w:lang w:eastAsia="zh-CN"/>
              </w:rPr>
            </w:pPr>
            <w:r w:rsidRPr="00FA0D37">
              <w:rPr>
                <w:b/>
                <w:bCs/>
                <w:i/>
                <w:iCs/>
                <w:lang w:eastAsia="zh-CN"/>
              </w:rPr>
              <w:t>sl-CSI-Acquisition</w:t>
            </w:r>
          </w:p>
          <w:p w14:paraId="78EEAAB2" w14:textId="77777777" w:rsidR="00394471" w:rsidRPr="00FA0D37" w:rsidRDefault="00394471" w:rsidP="00964CC4">
            <w:pPr>
              <w:pStyle w:val="TAL"/>
              <w:rPr>
                <w:szCs w:val="22"/>
              </w:rPr>
            </w:pPr>
            <w:r w:rsidRPr="00FA0D37">
              <w:rPr>
                <w:lang w:eastAsia="zh-CN"/>
              </w:rPr>
              <w:t>Indicates whether CSI reporting is enabled in sidelink unicast</w:t>
            </w:r>
            <w:r w:rsidRPr="00FA0D37">
              <w:rPr>
                <w:kern w:val="2"/>
                <w:lang w:eastAsia="en-GB"/>
              </w:rPr>
              <w:t>. If the field is absent, sidelink CSI reporting is disabled.</w:t>
            </w:r>
          </w:p>
        </w:tc>
      </w:tr>
      <w:tr w:rsidR="005C7FF4" w:rsidRPr="00FA0D37" w14:paraId="3CB46082"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108BE0" w14:textId="77777777" w:rsidR="00394471" w:rsidRPr="00FA0D37" w:rsidRDefault="00394471" w:rsidP="00964CC4">
            <w:pPr>
              <w:pStyle w:val="TAL"/>
              <w:rPr>
                <w:b/>
                <w:bCs/>
                <w:i/>
                <w:iCs/>
                <w:lang w:eastAsia="zh-CN"/>
              </w:rPr>
            </w:pPr>
            <w:r w:rsidRPr="00FA0D37">
              <w:rPr>
                <w:b/>
                <w:bCs/>
                <w:i/>
                <w:iCs/>
                <w:lang w:eastAsia="zh-CN"/>
              </w:rPr>
              <w:t>sl-CSI-SchedulingRequestId</w:t>
            </w:r>
          </w:p>
          <w:p w14:paraId="6AD306AF" w14:textId="23957951" w:rsidR="00394471" w:rsidRPr="00FA0D37" w:rsidRDefault="00394471" w:rsidP="00964CC4">
            <w:pPr>
              <w:pStyle w:val="TAL"/>
              <w:rPr>
                <w:szCs w:val="22"/>
              </w:rPr>
            </w:pPr>
            <w:r w:rsidRPr="00FA0D37">
              <w:rPr>
                <w:lang w:eastAsia="en-GB"/>
              </w:rPr>
              <w:t xml:space="preserve">If present, it indicates the scheduling request configuration applicable for </w:t>
            </w:r>
            <w:r w:rsidR="00750AB7" w:rsidRPr="00FA0D37">
              <w:rPr>
                <w:lang w:eastAsia="en-GB"/>
              </w:rPr>
              <w:t>S</w:t>
            </w:r>
            <w:r w:rsidRPr="00FA0D37">
              <w:rPr>
                <w:lang w:eastAsia="en-GB"/>
              </w:rPr>
              <w:t xml:space="preserve">idelink CSI </w:t>
            </w:r>
            <w:r w:rsidR="00750AB7" w:rsidRPr="00FA0D37">
              <w:rPr>
                <w:lang w:eastAsia="en-GB"/>
              </w:rPr>
              <w:t xml:space="preserve">Reporting </w:t>
            </w:r>
            <w:r w:rsidRPr="00FA0D37">
              <w:rPr>
                <w:lang w:eastAsia="en-GB"/>
              </w:rPr>
              <w:t>MAC CE</w:t>
            </w:r>
            <w:r w:rsidR="00750AB7" w:rsidRPr="00FA0D37">
              <w:rPr>
                <w:lang w:eastAsia="en-GB"/>
              </w:rPr>
              <w:t xml:space="preserve"> and</w:t>
            </w:r>
            <w:r w:rsidR="00750AB7" w:rsidRPr="00FA0D37">
              <w:t xml:space="preserve"> </w:t>
            </w:r>
            <w:r w:rsidR="00750AB7" w:rsidRPr="00FA0D37">
              <w:rPr>
                <w:lang w:eastAsia="en-GB"/>
              </w:rPr>
              <w:t>Sidelink DRX Command MAC CE</w:t>
            </w:r>
            <w:r w:rsidRPr="00FA0D37">
              <w:rPr>
                <w:lang w:eastAsia="en-GB"/>
              </w:rPr>
              <w:t>, as specified in TS 38.321 [3].</w:t>
            </w:r>
          </w:p>
        </w:tc>
      </w:tr>
      <w:tr w:rsidR="000830BB" w:rsidRPr="00FA0D37" w14:paraId="706E2AB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73BA8" w14:textId="77777777" w:rsidR="00394471" w:rsidRPr="00FA0D37" w:rsidRDefault="00394471" w:rsidP="00964CC4">
            <w:pPr>
              <w:pStyle w:val="TAL"/>
              <w:rPr>
                <w:b/>
                <w:bCs/>
                <w:i/>
                <w:iCs/>
                <w:szCs w:val="22"/>
              </w:rPr>
            </w:pPr>
            <w:r w:rsidRPr="00FA0D37">
              <w:rPr>
                <w:b/>
                <w:bCs/>
                <w:i/>
                <w:iCs/>
                <w:szCs w:val="22"/>
              </w:rPr>
              <w:t>sl-SSB-PriorityNR</w:t>
            </w:r>
          </w:p>
          <w:p w14:paraId="37E89378" w14:textId="77777777" w:rsidR="00394471" w:rsidRPr="00FA0D37" w:rsidRDefault="00394471" w:rsidP="00964CC4">
            <w:pPr>
              <w:pStyle w:val="TAL"/>
              <w:rPr>
                <w:lang w:eastAsia="zh-CN"/>
              </w:rPr>
            </w:pPr>
            <w:r w:rsidRPr="00FA0D37">
              <w:rPr>
                <w:lang w:eastAsia="en-GB"/>
              </w:rPr>
              <w:t>This field indicates the priority of NR sidelink SSB transmission and reception</w:t>
            </w:r>
            <w:r w:rsidRPr="00FA0D37">
              <w:rPr>
                <w:noProof/>
                <w:lang w:eastAsia="en-GB"/>
              </w:rPr>
              <w:t>.</w:t>
            </w:r>
          </w:p>
        </w:tc>
      </w:tr>
    </w:tbl>
    <w:p w14:paraId="4D6ADE84" w14:textId="32FBB151"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53787E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1815268C" w14:textId="77777777" w:rsidR="00E81DFA" w:rsidRPr="00FA0D37" w:rsidRDefault="00E81DFA" w:rsidP="00771058">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747849" w14:textId="77777777" w:rsidR="00E81DFA" w:rsidRPr="00FA0D37" w:rsidRDefault="00E81DFA" w:rsidP="00771058">
            <w:pPr>
              <w:pStyle w:val="TAH"/>
              <w:rPr>
                <w:lang w:eastAsia="sv-SE"/>
              </w:rPr>
            </w:pPr>
            <w:r w:rsidRPr="00FA0D37">
              <w:rPr>
                <w:lang w:eastAsia="sv-SE"/>
              </w:rPr>
              <w:t>Explanation</w:t>
            </w:r>
          </w:p>
        </w:tc>
      </w:tr>
      <w:tr w:rsidR="005C7FF4" w:rsidRPr="00FA0D37" w14:paraId="1B46FC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E65544D" w14:textId="77777777" w:rsidR="00E81DFA" w:rsidRPr="00FA0D37" w:rsidRDefault="00E81DFA" w:rsidP="00771058">
            <w:pPr>
              <w:pStyle w:val="TAL"/>
              <w:rPr>
                <w:i/>
                <w:lang w:eastAsia="sv-SE"/>
              </w:rPr>
            </w:pPr>
            <w:r w:rsidRPr="00FA0D37">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205FEE55" w14:textId="77777777" w:rsidR="00E81DFA" w:rsidRPr="00FA0D37" w:rsidRDefault="00E81DFA" w:rsidP="00771058">
            <w:pPr>
              <w:pStyle w:val="TAL"/>
              <w:rPr>
                <w:lang w:eastAsia="sv-SE"/>
              </w:rPr>
            </w:pPr>
            <w:r w:rsidRPr="00FA0D37">
              <w:rPr>
                <w:lang w:eastAsia="sv-SE"/>
              </w:rPr>
              <w:t>For L2 U2N Relay UE, the field is optionally present, Need M. Otherwise, it is absent.</w:t>
            </w:r>
          </w:p>
        </w:tc>
      </w:tr>
      <w:tr w:rsidR="005C7FF4" w:rsidRPr="00FA0D37" w14:paraId="478E709D" w14:textId="77777777" w:rsidTr="00771058">
        <w:tc>
          <w:tcPr>
            <w:tcW w:w="4027" w:type="dxa"/>
            <w:tcBorders>
              <w:top w:val="single" w:sz="4" w:space="0" w:color="auto"/>
              <w:left w:val="single" w:sz="4" w:space="0" w:color="auto"/>
              <w:bottom w:val="single" w:sz="4" w:space="0" w:color="auto"/>
              <w:right w:val="single" w:sz="4" w:space="0" w:color="auto"/>
            </w:tcBorders>
          </w:tcPr>
          <w:p w14:paraId="0D641BAD" w14:textId="77777777" w:rsidR="00E81DFA" w:rsidRPr="00FA0D37" w:rsidRDefault="00E81DFA" w:rsidP="00771058">
            <w:pPr>
              <w:pStyle w:val="TAL"/>
              <w:rPr>
                <w:i/>
                <w:lang w:eastAsia="sv-SE"/>
              </w:rPr>
            </w:pPr>
            <w:r w:rsidRPr="00FA0D37">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486844D" w14:textId="77777777" w:rsidR="00E81DFA" w:rsidRPr="00FA0D37" w:rsidRDefault="00E81DFA" w:rsidP="00771058">
            <w:pPr>
              <w:pStyle w:val="TAL"/>
              <w:rPr>
                <w:lang w:eastAsia="sv-SE"/>
              </w:rPr>
            </w:pPr>
            <w:r w:rsidRPr="00FA0D37">
              <w:rPr>
                <w:lang w:eastAsia="sv-SE"/>
              </w:rPr>
              <w:t>For L2 U2N Remote UE, the field is optionally present, Need M. Otherwise, it is absent.</w:t>
            </w:r>
          </w:p>
        </w:tc>
      </w:tr>
      <w:tr w:rsidR="000830BB" w:rsidRPr="00FA0D37" w14:paraId="54AB25C7" w14:textId="77777777" w:rsidTr="00771058">
        <w:tc>
          <w:tcPr>
            <w:tcW w:w="4027" w:type="dxa"/>
            <w:tcBorders>
              <w:top w:val="single" w:sz="4" w:space="0" w:color="auto"/>
              <w:left w:val="single" w:sz="4" w:space="0" w:color="auto"/>
              <w:bottom w:val="single" w:sz="4" w:space="0" w:color="auto"/>
              <w:right w:val="single" w:sz="4" w:space="0" w:color="auto"/>
            </w:tcBorders>
          </w:tcPr>
          <w:p w14:paraId="3E830D6E" w14:textId="77777777" w:rsidR="00E81DFA" w:rsidRPr="00FA0D37" w:rsidRDefault="00E81DFA" w:rsidP="00771058">
            <w:pPr>
              <w:pStyle w:val="TAL"/>
              <w:rPr>
                <w:i/>
                <w:lang w:eastAsia="sv-SE"/>
              </w:rPr>
            </w:pPr>
            <w:r w:rsidRPr="00FA0D37">
              <w:rPr>
                <w:rFonts w:eastAsia="等线" w:cs="Arial"/>
                <w:i/>
                <w:iCs/>
                <w:lang w:eastAsia="zh-CN"/>
              </w:rPr>
              <w:t>L2U2N</w:t>
            </w:r>
          </w:p>
        </w:tc>
        <w:tc>
          <w:tcPr>
            <w:tcW w:w="10146" w:type="dxa"/>
            <w:tcBorders>
              <w:top w:val="single" w:sz="4" w:space="0" w:color="auto"/>
              <w:left w:val="single" w:sz="4" w:space="0" w:color="auto"/>
              <w:bottom w:val="single" w:sz="4" w:space="0" w:color="auto"/>
              <w:right w:val="single" w:sz="4" w:space="0" w:color="auto"/>
            </w:tcBorders>
          </w:tcPr>
          <w:p w14:paraId="44A6F8FF" w14:textId="5AFF991B" w:rsidR="00E81DFA" w:rsidRPr="00FA0D37" w:rsidRDefault="00E81DFA" w:rsidP="00771058">
            <w:pPr>
              <w:pStyle w:val="TAL"/>
              <w:rPr>
                <w:lang w:eastAsia="sv-SE"/>
              </w:rPr>
            </w:pPr>
            <w:r w:rsidRPr="00FA0D37">
              <w:rPr>
                <w:rFonts w:eastAsia="宋体" w:cs="Arial"/>
                <w:szCs w:val="22"/>
                <w:lang w:eastAsia="zh-CN"/>
              </w:rPr>
              <w:t xml:space="preserve">The field is optional present for L2 U2N Relay UE and L2 U2N Remote UE, need </w:t>
            </w:r>
            <w:r w:rsidR="009620A4" w:rsidRPr="00FA0D37">
              <w:rPr>
                <w:rFonts w:eastAsia="宋体" w:cs="Arial"/>
                <w:szCs w:val="22"/>
                <w:lang w:eastAsia="zh-CN"/>
              </w:rPr>
              <w:t>N</w:t>
            </w:r>
            <w:r w:rsidRPr="00FA0D37">
              <w:rPr>
                <w:rFonts w:eastAsia="宋体" w:cs="Arial"/>
                <w:szCs w:val="22"/>
                <w:lang w:eastAsia="zh-CN"/>
              </w:rPr>
              <w:t>. Otherwise, it is absent.</w:t>
            </w:r>
          </w:p>
        </w:tc>
      </w:tr>
    </w:tbl>
    <w:p w14:paraId="7CCE2E17" w14:textId="77777777" w:rsidR="00E81DFA" w:rsidRPr="00FA0D37" w:rsidRDefault="00E81DFA" w:rsidP="00394471"/>
    <w:p w14:paraId="17E754FB" w14:textId="3319D2A1" w:rsidR="00394471" w:rsidRPr="00FA0D37" w:rsidRDefault="00394471" w:rsidP="00394471">
      <w:pPr>
        <w:pStyle w:val="4"/>
      </w:pPr>
      <w:bookmarkStart w:id="1730" w:name="_Toc60777529"/>
      <w:bookmarkStart w:id="1731" w:name="_Toc146781643"/>
      <w:r w:rsidRPr="00FA0D37">
        <w:lastRenderedPageBreak/>
        <w:t>–</w:t>
      </w:r>
      <w:r w:rsidRPr="00FA0D37">
        <w:tab/>
      </w:r>
      <w:r w:rsidRPr="00FA0D37">
        <w:rPr>
          <w:i/>
          <w:iCs/>
        </w:rPr>
        <w:t>SL-Config</w:t>
      </w:r>
      <w:r w:rsidRPr="00FA0D37">
        <w:rPr>
          <w:i/>
          <w:iCs/>
          <w:lang w:eastAsia="zh-CN"/>
        </w:rPr>
        <w:t>uredGrantConfig</w:t>
      </w:r>
      <w:bookmarkEnd w:id="1730"/>
      <w:bookmarkEnd w:id="1731"/>
    </w:p>
    <w:p w14:paraId="20B3F1A9" w14:textId="77777777" w:rsidR="00394471" w:rsidRPr="00FA0D37" w:rsidRDefault="00394471" w:rsidP="00394471">
      <w:pPr>
        <w:keepNext/>
        <w:keepLines/>
        <w:rPr>
          <w:iCs/>
        </w:rPr>
      </w:pPr>
      <w:r w:rsidRPr="00FA0D37">
        <w:rPr>
          <w:iCs/>
        </w:rPr>
        <w:t xml:space="preserve">The IE </w:t>
      </w:r>
      <w:r w:rsidRPr="00FA0D37">
        <w:rPr>
          <w:i/>
          <w:iCs/>
        </w:rPr>
        <w:t xml:space="preserve">SL-ConfiguredGrantConfig </w:t>
      </w:r>
      <w:r w:rsidRPr="00FA0D37">
        <w:rPr>
          <w:iCs/>
        </w:rPr>
        <w:t>specifies the configured grant configuration information for NR sidelink communication.</w:t>
      </w:r>
    </w:p>
    <w:p w14:paraId="324A9705" w14:textId="77777777" w:rsidR="00394471" w:rsidRPr="00FA0D37" w:rsidRDefault="00394471" w:rsidP="00394471">
      <w:pPr>
        <w:pStyle w:val="TH"/>
        <w:rPr>
          <w:b w:val="0"/>
        </w:rPr>
      </w:pPr>
      <w:r w:rsidRPr="00FA0D37">
        <w:rPr>
          <w:i/>
          <w:iCs/>
        </w:rPr>
        <w:t>SL-ConfiguredGrantConfig</w:t>
      </w:r>
      <w:r w:rsidRPr="00FA0D37">
        <w:t xml:space="preserve"> information element</w:t>
      </w:r>
    </w:p>
    <w:p w14:paraId="72905E40" w14:textId="77777777" w:rsidR="00394471" w:rsidRPr="00FA0D37" w:rsidRDefault="00394471" w:rsidP="00FA0D37">
      <w:pPr>
        <w:pStyle w:val="PL"/>
        <w:rPr>
          <w:color w:val="808080"/>
        </w:rPr>
      </w:pPr>
      <w:r w:rsidRPr="00FA0D37">
        <w:rPr>
          <w:color w:val="808080"/>
        </w:rPr>
        <w:t>-- ASN1START</w:t>
      </w:r>
    </w:p>
    <w:p w14:paraId="277CA960" w14:textId="77777777" w:rsidR="00394471" w:rsidRPr="00FA0D37" w:rsidRDefault="00394471" w:rsidP="00FA0D37">
      <w:pPr>
        <w:pStyle w:val="PL"/>
        <w:rPr>
          <w:color w:val="808080"/>
        </w:rPr>
      </w:pPr>
      <w:r w:rsidRPr="00FA0D37">
        <w:rPr>
          <w:color w:val="808080"/>
        </w:rPr>
        <w:t>-- TAG-SL-CONFIGUREDGRANTCONFIG-START</w:t>
      </w:r>
    </w:p>
    <w:p w14:paraId="747A7F8B" w14:textId="77777777" w:rsidR="00394471" w:rsidRPr="00FA0D37" w:rsidRDefault="00394471" w:rsidP="00FA0D37">
      <w:pPr>
        <w:pStyle w:val="PL"/>
      </w:pPr>
    </w:p>
    <w:p w14:paraId="1A7BF621" w14:textId="77777777" w:rsidR="00394471" w:rsidRPr="00FA0D37" w:rsidRDefault="00394471" w:rsidP="00FA0D37">
      <w:pPr>
        <w:pStyle w:val="PL"/>
      </w:pPr>
      <w:r w:rsidRPr="00FA0D37">
        <w:t xml:space="preserve">SL-ConfiguredGrantConfig-r16 ::=           </w:t>
      </w:r>
      <w:r w:rsidRPr="00FA0D37">
        <w:rPr>
          <w:color w:val="993366"/>
        </w:rPr>
        <w:t>SEQUENCE</w:t>
      </w:r>
      <w:r w:rsidRPr="00FA0D37">
        <w:t xml:space="preserve"> {</w:t>
      </w:r>
    </w:p>
    <w:p w14:paraId="209E0291" w14:textId="77777777" w:rsidR="00394471" w:rsidRPr="00FA0D37" w:rsidRDefault="00394471" w:rsidP="00FA0D37">
      <w:pPr>
        <w:pStyle w:val="PL"/>
      </w:pPr>
      <w:r w:rsidRPr="00FA0D37">
        <w:t xml:space="preserve">    sl-ConfigIndexCG-r16                       SL-ConfigIndexCG-r16,</w:t>
      </w:r>
    </w:p>
    <w:p w14:paraId="68D53F74" w14:textId="77777777" w:rsidR="00394471" w:rsidRPr="00FA0D37" w:rsidRDefault="00394471" w:rsidP="00FA0D37">
      <w:pPr>
        <w:pStyle w:val="PL"/>
        <w:rPr>
          <w:color w:val="808080"/>
        </w:rPr>
      </w:pPr>
      <w:r w:rsidRPr="00FA0D37">
        <w:t xml:space="preserve">    sl-PeriodCG-r16                            SL-PeriodCG-r16                                                       </w:t>
      </w:r>
      <w:r w:rsidRPr="00FA0D37">
        <w:rPr>
          <w:color w:val="993366"/>
        </w:rPr>
        <w:t>OPTIONAL</w:t>
      </w:r>
      <w:r w:rsidRPr="00FA0D37">
        <w:t xml:space="preserve">, </w:t>
      </w:r>
      <w:r w:rsidRPr="00FA0D37">
        <w:rPr>
          <w:color w:val="808080"/>
        </w:rPr>
        <w:t>-- Need M</w:t>
      </w:r>
    </w:p>
    <w:p w14:paraId="57F0299E" w14:textId="77777777" w:rsidR="00394471" w:rsidRPr="00FA0D37" w:rsidRDefault="00394471" w:rsidP="00FA0D37">
      <w:pPr>
        <w:pStyle w:val="PL"/>
        <w:rPr>
          <w:color w:val="808080"/>
        </w:rPr>
      </w:pPr>
      <w:r w:rsidRPr="00FA0D37">
        <w:t xml:space="preserve">    sl-NrOfHARQ-Processes-r16                  </w:t>
      </w:r>
      <w:r w:rsidRPr="00FA0D37">
        <w:rPr>
          <w:color w:val="993366"/>
        </w:rPr>
        <w:t>INTEGER</w:t>
      </w:r>
      <w:r w:rsidRPr="00FA0D37">
        <w:t xml:space="preserve"> (1..16)                                                       </w:t>
      </w:r>
      <w:r w:rsidRPr="00FA0D37">
        <w:rPr>
          <w:color w:val="993366"/>
        </w:rPr>
        <w:t>OPTIONAL</w:t>
      </w:r>
      <w:r w:rsidRPr="00FA0D37">
        <w:t xml:space="preserve">, </w:t>
      </w:r>
      <w:r w:rsidRPr="00FA0D37">
        <w:rPr>
          <w:color w:val="808080"/>
        </w:rPr>
        <w:t>-- Need M</w:t>
      </w:r>
    </w:p>
    <w:p w14:paraId="3379827E" w14:textId="62AC0DEC" w:rsidR="00394471" w:rsidRPr="00FA0D37" w:rsidRDefault="00394471" w:rsidP="00FA0D37">
      <w:pPr>
        <w:pStyle w:val="PL"/>
        <w:rPr>
          <w:color w:val="808080"/>
        </w:rPr>
      </w:pPr>
      <w:r w:rsidRPr="00FA0D37">
        <w:t xml:space="preserve">    </w:t>
      </w:r>
      <w:r w:rsidRPr="00FA0D37">
        <w:rPr>
          <w:rFonts w:eastAsiaTheme="minorEastAsia"/>
        </w:rPr>
        <w:t>sl-</w:t>
      </w:r>
      <w:r w:rsidRPr="00FA0D37">
        <w:t>HARQ</w:t>
      </w:r>
      <w:r w:rsidRPr="00FA0D37">
        <w:rPr>
          <w:rFonts w:eastAsiaTheme="minorEastAsia"/>
        </w:rPr>
        <w:t>-ProcID-offset-r16</w:t>
      </w:r>
      <w:r w:rsidRPr="00FA0D37">
        <w:t xml:space="preserve">                  </w:t>
      </w:r>
      <w:r w:rsidRPr="00FA0D37">
        <w:rPr>
          <w:color w:val="993366"/>
        </w:rPr>
        <w:t>INTEGER</w:t>
      </w:r>
      <w:r w:rsidRPr="00FA0D37">
        <w:t xml:space="preserve"> (</w:t>
      </w:r>
      <w:r w:rsidR="009E5356" w:rsidRPr="00FA0D37">
        <w:t>0</w:t>
      </w:r>
      <w:r w:rsidRPr="00FA0D37">
        <w:t>..1</w:t>
      </w:r>
      <w:r w:rsidR="009E5356" w:rsidRPr="00FA0D37">
        <w:t>5</w:t>
      </w:r>
      <w:r w:rsidRPr="00FA0D37">
        <w:t xml:space="preserve">)                                                       </w:t>
      </w:r>
      <w:r w:rsidRPr="00FA0D37">
        <w:rPr>
          <w:color w:val="993366"/>
        </w:rPr>
        <w:t>OPTIONAL</w:t>
      </w:r>
      <w:r w:rsidRPr="00FA0D37">
        <w:t xml:space="preserve">, </w:t>
      </w:r>
      <w:r w:rsidRPr="00FA0D37">
        <w:rPr>
          <w:color w:val="808080"/>
        </w:rPr>
        <w:t>-- Need M</w:t>
      </w:r>
    </w:p>
    <w:p w14:paraId="578FEB6C" w14:textId="77777777" w:rsidR="00394471" w:rsidRPr="00FA0D37" w:rsidRDefault="00394471" w:rsidP="00FA0D37">
      <w:pPr>
        <w:pStyle w:val="PL"/>
        <w:rPr>
          <w:color w:val="808080"/>
        </w:rPr>
      </w:pPr>
      <w:r w:rsidRPr="00FA0D37">
        <w:t xml:space="preserve">    sl-CG-MaxTransNumList-r16                  SL-CG-MaxTransNumList-r16                                             </w:t>
      </w:r>
      <w:r w:rsidRPr="00FA0D37">
        <w:rPr>
          <w:color w:val="993366"/>
        </w:rPr>
        <w:t>OPTIONAL</w:t>
      </w:r>
      <w:r w:rsidRPr="00FA0D37">
        <w:t xml:space="preserve">, </w:t>
      </w:r>
      <w:r w:rsidRPr="00FA0D37">
        <w:rPr>
          <w:color w:val="808080"/>
        </w:rPr>
        <w:t>-- Need M</w:t>
      </w:r>
    </w:p>
    <w:p w14:paraId="47476B4C" w14:textId="77777777" w:rsidR="00394471" w:rsidRPr="00FA0D37" w:rsidRDefault="00394471" w:rsidP="00FA0D37">
      <w:pPr>
        <w:pStyle w:val="PL"/>
      </w:pPr>
      <w:r w:rsidRPr="00FA0D37">
        <w:t xml:space="preserve">    rrc-ConfiguredSidelinkGrant-r16            </w:t>
      </w:r>
      <w:r w:rsidRPr="00FA0D37">
        <w:rPr>
          <w:color w:val="993366"/>
        </w:rPr>
        <w:t>SEQUENCE</w:t>
      </w:r>
      <w:r w:rsidRPr="00FA0D37">
        <w:t xml:space="preserve"> {</w:t>
      </w:r>
    </w:p>
    <w:p w14:paraId="19EC0D04" w14:textId="77777777" w:rsidR="00394471" w:rsidRPr="00FA0D37" w:rsidRDefault="00394471" w:rsidP="00FA0D37">
      <w:pPr>
        <w:pStyle w:val="PL"/>
        <w:rPr>
          <w:color w:val="808080"/>
        </w:rPr>
      </w:pPr>
      <w:r w:rsidRPr="00FA0D37">
        <w:t xml:space="preserve">        sl-TimeResourceCG-Type1-r16                </w:t>
      </w:r>
      <w:r w:rsidRPr="00FA0D37">
        <w:rPr>
          <w:color w:val="993366"/>
        </w:rPr>
        <w:t>INTEGER</w:t>
      </w:r>
      <w:r w:rsidRPr="00FA0D37">
        <w:t xml:space="preserve"> (0..496)                                                  </w:t>
      </w:r>
      <w:r w:rsidRPr="00FA0D37">
        <w:rPr>
          <w:color w:val="993366"/>
        </w:rPr>
        <w:t>OPTIONAL</w:t>
      </w:r>
      <w:r w:rsidRPr="00FA0D37">
        <w:t xml:space="preserve">, </w:t>
      </w:r>
      <w:r w:rsidRPr="00FA0D37">
        <w:rPr>
          <w:color w:val="808080"/>
        </w:rPr>
        <w:t>-- Need M</w:t>
      </w:r>
    </w:p>
    <w:p w14:paraId="0FBC1418" w14:textId="77777777" w:rsidR="00394471" w:rsidRPr="00FA0D37" w:rsidRDefault="00394471" w:rsidP="00FA0D37">
      <w:pPr>
        <w:pStyle w:val="PL"/>
        <w:rPr>
          <w:color w:val="808080"/>
        </w:rPr>
      </w:pPr>
      <w:r w:rsidRPr="00FA0D37">
        <w:t xml:space="preserve">        sl-StartSubchannelCG-Type1-r16             </w:t>
      </w:r>
      <w:r w:rsidRPr="00FA0D37">
        <w:rPr>
          <w:color w:val="993366"/>
        </w:rPr>
        <w:t>INTEGER</w:t>
      </w:r>
      <w:r w:rsidRPr="00FA0D37">
        <w:t xml:space="preserve"> (0..26)                                                   </w:t>
      </w:r>
      <w:r w:rsidRPr="00FA0D37">
        <w:rPr>
          <w:color w:val="993366"/>
        </w:rPr>
        <w:t>OPTIONAL</w:t>
      </w:r>
      <w:r w:rsidRPr="00FA0D37">
        <w:t xml:space="preserve">, </w:t>
      </w:r>
      <w:r w:rsidRPr="00FA0D37">
        <w:rPr>
          <w:color w:val="808080"/>
        </w:rPr>
        <w:t>-- Need M</w:t>
      </w:r>
    </w:p>
    <w:p w14:paraId="3D5B94B1" w14:textId="77777777" w:rsidR="00394471" w:rsidRPr="00FA0D37" w:rsidRDefault="00394471" w:rsidP="00FA0D37">
      <w:pPr>
        <w:pStyle w:val="PL"/>
        <w:rPr>
          <w:color w:val="808080"/>
        </w:rPr>
      </w:pPr>
      <w:r w:rsidRPr="00FA0D37">
        <w:t xml:space="preserve">        sl-FreqResourceCG-Type1-r16                </w:t>
      </w:r>
      <w:r w:rsidRPr="00FA0D37">
        <w:rPr>
          <w:color w:val="993366"/>
        </w:rPr>
        <w:t>INTEGER</w:t>
      </w:r>
      <w:r w:rsidRPr="00FA0D37">
        <w:t xml:space="preserve"> (0..6929)                                                 </w:t>
      </w:r>
      <w:r w:rsidRPr="00FA0D37">
        <w:rPr>
          <w:color w:val="993366"/>
        </w:rPr>
        <w:t>OPTIONAL</w:t>
      </w:r>
      <w:r w:rsidRPr="00FA0D37">
        <w:t xml:space="preserve">, </w:t>
      </w:r>
      <w:r w:rsidRPr="00FA0D37">
        <w:rPr>
          <w:color w:val="808080"/>
        </w:rPr>
        <w:t>-- Need M</w:t>
      </w:r>
    </w:p>
    <w:p w14:paraId="7D641813" w14:textId="77777777" w:rsidR="00394471" w:rsidRPr="00FA0D37" w:rsidRDefault="00394471" w:rsidP="00FA0D37">
      <w:pPr>
        <w:pStyle w:val="PL"/>
        <w:rPr>
          <w:color w:val="808080"/>
        </w:rPr>
      </w:pPr>
      <w:r w:rsidRPr="00FA0D37">
        <w:t xml:space="preserve">        sl-TimeOffsetCG-Type1-r16                  </w:t>
      </w:r>
      <w:r w:rsidRPr="00FA0D37">
        <w:rPr>
          <w:color w:val="993366"/>
        </w:rPr>
        <w:t>INTEGER</w:t>
      </w:r>
      <w:r w:rsidRPr="00FA0D37">
        <w:t xml:space="preserve"> (0..7999)                                                 </w:t>
      </w:r>
      <w:r w:rsidRPr="00FA0D37">
        <w:rPr>
          <w:color w:val="993366"/>
        </w:rPr>
        <w:t>OPTIONAL</w:t>
      </w:r>
      <w:r w:rsidRPr="00FA0D37">
        <w:t xml:space="preserve">, </w:t>
      </w:r>
      <w:r w:rsidRPr="00FA0D37">
        <w:rPr>
          <w:color w:val="808080"/>
        </w:rPr>
        <w:t>-- Need R</w:t>
      </w:r>
    </w:p>
    <w:p w14:paraId="03FC7F93" w14:textId="77777777" w:rsidR="00394471" w:rsidRPr="00FA0D37" w:rsidRDefault="00394471" w:rsidP="00FA0D37">
      <w:pPr>
        <w:pStyle w:val="PL"/>
        <w:rPr>
          <w:color w:val="808080"/>
        </w:rPr>
      </w:pPr>
      <w:r w:rsidRPr="00FA0D37">
        <w:t xml:space="preserve">        sl-N1PUCCH-AN-r16                          PUCCH-ResourceId                                                  </w:t>
      </w:r>
      <w:r w:rsidRPr="00FA0D37">
        <w:rPr>
          <w:color w:val="993366"/>
        </w:rPr>
        <w:t>OPTIONAL</w:t>
      </w:r>
      <w:r w:rsidRPr="00FA0D37">
        <w:t xml:space="preserve">, </w:t>
      </w:r>
      <w:r w:rsidRPr="00FA0D37">
        <w:rPr>
          <w:color w:val="808080"/>
        </w:rPr>
        <w:t>-- Need M</w:t>
      </w:r>
    </w:p>
    <w:p w14:paraId="08B6E8D2" w14:textId="77777777" w:rsidR="00394471" w:rsidRPr="00FA0D37" w:rsidRDefault="00394471" w:rsidP="00FA0D37">
      <w:pPr>
        <w:pStyle w:val="PL"/>
        <w:rPr>
          <w:color w:val="808080"/>
        </w:rPr>
      </w:pPr>
      <w:r w:rsidRPr="00FA0D37">
        <w:t xml:space="preserve">        sl-PSFCH-ToPUCCH-CG-Type1-r16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M</w:t>
      </w:r>
    </w:p>
    <w:p w14:paraId="6C0E7F87" w14:textId="77777777" w:rsidR="00394471" w:rsidRPr="00FA0D37" w:rsidRDefault="00394471" w:rsidP="00FA0D37">
      <w:pPr>
        <w:pStyle w:val="PL"/>
        <w:rPr>
          <w:color w:val="808080"/>
        </w:rPr>
      </w:pPr>
      <w:r w:rsidRPr="00FA0D37">
        <w:t xml:space="preserve">        sl-ResourcePoolID-r16                      SL-ResourcePoolID-r16                                             </w:t>
      </w:r>
      <w:r w:rsidRPr="00FA0D37">
        <w:rPr>
          <w:color w:val="993366"/>
        </w:rPr>
        <w:t>OPTIONAL</w:t>
      </w:r>
      <w:r w:rsidRPr="00FA0D37">
        <w:t xml:space="preserve">, </w:t>
      </w:r>
      <w:r w:rsidRPr="00FA0D37">
        <w:rPr>
          <w:color w:val="808080"/>
        </w:rPr>
        <w:t>-- Need M</w:t>
      </w:r>
    </w:p>
    <w:p w14:paraId="033F4393" w14:textId="77777777" w:rsidR="00394471" w:rsidRPr="00FA0D37" w:rsidRDefault="00394471" w:rsidP="00FA0D37">
      <w:pPr>
        <w:pStyle w:val="PL"/>
        <w:rPr>
          <w:color w:val="808080"/>
        </w:rPr>
      </w:pPr>
      <w:r w:rsidRPr="00FA0D37">
        <w:t xml:space="preserve">        sl-TimeReferenceSFN-Type1-r16              </w:t>
      </w:r>
      <w:r w:rsidRPr="00FA0D37">
        <w:rPr>
          <w:color w:val="993366"/>
        </w:rPr>
        <w:t>ENUMERATED</w:t>
      </w:r>
      <w:r w:rsidRPr="00FA0D37">
        <w:t xml:space="preserve"> {sfn512}                                               </w:t>
      </w:r>
      <w:r w:rsidRPr="00FA0D37">
        <w:rPr>
          <w:color w:val="993366"/>
        </w:rPr>
        <w:t>OPTIONAL</w:t>
      </w:r>
      <w:r w:rsidRPr="00FA0D37">
        <w:t xml:space="preserve">  </w:t>
      </w:r>
      <w:r w:rsidRPr="00FA0D37">
        <w:rPr>
          <w:color w:val="808080"/>
        </w:rPr>
        <w:t>-- Need S</w:t>
      </w:r>
    </w:p>
    <w:p w14:paraId="2D1016AD"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5D42AE22" w14:textId="67A207CF" w:rsidR="00394471" w:rsidRPr="00FA0D37" w:rsidRDefault="00394471" w:rsidP="00FA0D37">
      <w:pPr>
        <w:pStyle w:val="PL"/>
      </w:pPr>
      <w:r w:rsidRPr="00FA0D37">
        <w:t xml:space="preserve">    ...</w:t>
      </w:r>
      <w:r w:rsidR="00FA1D56" w:rsidRPr="00FA0D37">
        <w:t>,</w:t>
      </w:r>
    </w:p>
    <w:p w14:paraId="30DB1B81" w14:textId="30DE1C9E" w:rsidR="00FA1D56" w:rsidRPr="00FA0D37" w:rsidRDefault="00FA1D56" w:rsidP="00FA0D37">
      <w:pPr>
        <w:pStyle w:val="PL"/>
      </w:pPr>
      <w:r w:rsidRPr="00FA0D37">
        <w:t xml:space="preserve">    [[</w:t>
      </w:r>
    </w:p>
    <w:p w14:paraId="60BAE2B0" w14:textId="006F201C" w:rsidR="00FA1D56" w:rsidRPr="00FA0D37" w:rsidRDefault="00FA1D56" w:rsidP="00FA0D37">
      <w:pPr>
        <w:pStyle w:val="PL"/>
        <w:rPr>
          <w:color w:val="808080"/>
        </w:rPr>
      </w:pPr>
      <w:r w:rsidRPr="00FA0D37">
        <w:t xml:space="preserve">    sl-N1PUCCH-AN-Type2-r16                    PUCCH-ResourceId                                                      </w:t>
      </w:r>
      <w:r w:rsidRPr="00FA0D37">
        <w:rPr>
          <w:color w:val="993366"/>
        </w:rPr>
        <w:t>OPTIONAL</w:t>
      </w:r>
      <w:r w:rsidRPr="00FA0D37">
        <w:t xml:space="preserve">  </w:t>
      </w:r>
      <w:r w:rsidRPr="00FA0D37">
        <w:rPr>
          <w:color w:val="808080"/>
        </w:rPr>
        <w:t>-- Need M</w:t>
      </w:r>
    </w:p>
    <w:p w14:paraId="7074DDD4" w14:textId="77777777" w:rsidR="00EC4FE7" w:rsidRPr="00FA0D37" w:rsidRDefault="00FA1D56" w:rsidP="00FA0D37">
      <w:pPr>
        <w:pStyle w:val="PL"/>
      </w:pPr>
      <w:r w:rsidRPr="00FA0D37">
        <w:t xml:space="preserve">    ]]</w:t>
      </w:r>
    </w:p>
    <w:p w14:paraId="621F438A" w14:textId="3E44CCE2" w:rsidR="00394471" w:rsidRPr="00FA0D37" w:rsidRDefault="00394471" w:rsidP="00FA0D37">
      <w:pPr>
        <w:pStyle w:val="PL"/>
      </w:pPr>
      <w:r w:rsidRPr="00FA0D37">
        <w:t>}</w:t>
      </w:r>
    </w:p>
    <w:p w14:paraId="646EE244" w14:textId="77777777" w:rsidR="00394471" w:rsidRPr="00FA0D37" w:rsidRDefault="00394471" w:rsidP="00FA0D37">
      <w:pPr>
        <w:pStyle w:val="PL"/>
      </w:pPr>
    </w:p>
    <w:p w14:paraId="0CEB4271" w14:textId="642ACFAA" w:rsidR="00394471" w:rsidRPr="00FA0D37" w:rsidRDefault="00394471" w:rsidP="00FA0D37">
      <w:pPr>
        <w:pStyle w:val="PL"/>
      </w:pPr>
      <w:r w:rsidRPr="00FA0D37">
        <w:t xml:space="preserve">SL-ConfigIndexCG-r16 ::=          </w:t>
      </w:r>
      <w:r w:rsidRPr="00FA0D37">
        <w:rPr>
          <w:color w:val="993366"/>
        </w:rPr>
        <w:t>INTEGER</w:t>
      </w:r>
      <w:r w:rsidRPr="00FA0D37">
        <w:t xml:space="preserve"> (</w:t>
      </w:r>
      <w:r w:rsidR="009E5356" w:rsidRPr="00FA0D37">
        <w:t>0</w:t>
      </w:r>
      <w:r w:rsidRPr="00FA0D37">
        <w:t>..maxNrofCG-SL-</w:t>
      </w:r>
      <w:r w:rsidR="00A371DB" w:rsidRPr="00FA0D37">
        <w:t>1-r16</w:t>
      </w:r>
      <w:r w:rsidRPr="00FA0D37">
        <w:t>)</w:t>
      </w:r>
    </w:p>
    <w:p w14:paraId="3860A691" w14:textId="77777777" w:rsidR="00394471" w:rsidRPr="00FA0D37" w:rsidRDefault="00394471" w:rsidP="00FA0D37">
      <w:pPr>
        <w:pStyle w:val="PL"/>
      </w:pPr>
    </w:p>
    <w:p w14:paraId="6EE2E762" w14:textId="77777777" w:rsidR="00394471" w:rsidRPr="00FA0D37" w:rsidRDefault="00394471" w:rsidP="00FA0D37">
      <w:pPr>
        <w:pStyle w:val="PL"/>
      </w:pPr>
      <w:r w:rsidRPr="00FA0D37">
        <w:t xml:space="preserve">SL-CG-MaxTransNumList-r16 ::=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SL-CG-MaxTransNum-r16</w:t>
      </w:r>
    </w:p>
    <w:p w14:paraId="11D38B39" w14:textId="77777777" w:rsidR="00394471" w:rsidRPr="00FA0D37" w:rsidRDefault="00394471" w:rsidP="00FA0D37">
      <w:pPr>
        <w:pStyle w:val="PL"/>
      </w:pPr>
    </w:p>
    <w:p w14:paraId="7B90BD7B" w14:textId="77777777" w:rsidR="00394471" w:rsidRPr="00FA0D37" w:rsidRDefault="00394471" w:rsidP="00FA0D37">
      <w:pPr>
        <w:pStyle w:val="PL"/>
      </w:pPr>
      <w:r w:rsidRPr="00FA0D37">
        <w:t xml:space="preserve">SL-CG-MaxTransNum-r16 ::=                  </w:t>
      </w:r>
      <w:r w:rsidRPr="00FA0D37">
        <w:rPr>
          <w:color w:val="993366"/>
        </w:rPr>
        <w:t>SEQUENCE</w:t>
      </w:r>
      <w:r w:rsidRPr="00FA0D37">
        <w:t xml:space="preserve"> {</w:t>
      </w:r>
    </w:p>
    <w:p w14:paraId="7AC2053A" w14:textId="77777777" w:rsidR="00394471" w:rsidRPr="00FA0D37" w:rsidRDefault="00394471" w:rsidP="00FA0D37">
      <w:pPr>
        <w:pStyle w:val="PL"/>
      </w:pPr>
      <w:r w:rsidRPr="00FA0D37">
        <w:t xml:space="preserve">    sl-Priority-r16                            </w:t>
      </w:r>
      <w:r w:rsidRPr="00FA0D37">
        <w:rPr>
          <w:color w:val="993366"/>
        </w:rPr>
        <w:t>INTEGER</w:t>
      </w:r>
      <w:r w:rsidRPr="00FA0D37">
        <w:t xml:space="preserve"> (1..8),</w:t>
      </w:r>
    </w:p>
    <w:p w14:paraId="004F717E" w14:textId="77777777" w:rsidR="00394471" w:rsidRPr="00FA0D37" w:rsidRDefault="00394471" w:rsidP="00FA0D37">
      <w:pPr>
        <w:pStyle w:val="PL"/>
      </w:pPr>
      <w:r w:rsidRPr="00FA0D37">
        <w:t xml:space="preserve">    sl-MaxTransNum-r16                         </w:t>
      </w:r>
      <w:r w:rsidRPr="00FA0D37">
        <w:rPr>
          <w:color w:val="993366"/>
        </w:rPr>
        <w:t>INTEGER</w:t>
      </w:r>
      <w:r w:rsidRPr="00FA0D37">
        <w:t xml:space="preserve"> (1..32)</w:t>
      </w:r>
    </w:p>
    <w:p w14:paraId="02C1A626" w14:textId="77777777" w:rsidR="00394471" w:rsidRPr="00FA0D37" w:rsidRDefault="00394471" w:rsidP="00FA0D37">
      <w:pPr>
        <w:pStyle w:val="PL"/>
      </w:pPr>
      <w:r w:rsidRPr="00FA0D37">
        <w:t>}</w:t>
      </w:r>
    </w:p>
    <w:p w14:paraId="5A0FBC32" w14:textId="77777777" w:rsidR="00394471" w:rsidRPr="00FA0D37" w:rsidRDefault="00394471" w:rsidP="00FA0D37">
      <w:pPr>
        <w:pStyle w:val="PL"/>
      </w:pPr>
    </w:p>
    <w:p w14:paraId="28B3C1D1" w14:textId="77777777" w:rsidR="00394471" w:rsidRPr="00FA0D37" w:rsidRDefault="00394471" w:rsidP="00FA0D37">
      <w:pPr>
        <w:pStyle w:val="PL"/>
      </w:pPr>
      <w:r w:rsidRPr="00FA0D37">
        <w:t xml:space="preserve">SL-PeriodCG-r16 ::=            </w:t>
      </w:r>
      <w:r w:rsidRPr="00FA0D37">
        <w:rPr>
          <w:color w:val="993366"/>
        </w:rPr>
        <w:t>CHOICE</w:t>
      </w:r>
      <w:r w:rsidRPr="00FA0D37">
        <w:t>{</w:t>
      </w:r>
    </w:p>
    <w:p w14:paraId="131F258D" w14:textId="77777777" w:rsidR="00394471" w:rsidRPr="00FA0D37" w:rsidRDefault="00394471" w:rsidP="00FA0D37">
      <w:pPr>
        <w:pStyle w:val="PL"/>
      </w:pPr>
      <w:r w:rsidRPr="00FA0D37">
        <w:t xml:space="preserve">    sl-PeriodCG1-r16               </w:t>
      </w:r>
      <w:r w:rsidRPr="00FA0D37">
        <w:rPr>
          <w:color w:val="993366"/>
        </w:rPr>
        <w:t>ENUMERATED</w:t>
      </w:r>
      <w:r w:rsidRPr="00FA0D37">
        <w:t xml:space="preserve"> {ms100, ms200, ms300, ms400, ms500, ms600, ms700, ms800, ms900, ms1000, spare6,</w:t>
      </w:r>
    </w:p>
    <w:p w14:paraId="2CF055A9" w14:textId="77777777" w:rsidR="00394471" w:rsidRPr="00FA0D37" w:rsidRDefault="00394471" w:rsidP="00FA0D37">
      <w:pPr>
        <w:pStyle w:val="PL"/>
      </w:pPr>
      <w:r w:rsidRPr="00FA0D37">
        <w:t xml:space="preserve">                                               spare5, spare4, spare3, spare2, spare1},</w:t>
      </w:r>
    </w:p>
    <w:p w14:paraId="1B12FA28" w14:textId="77777777" w:rsidR="00394471" w:rsidRPr="00FA0D37" w:rsidRDefault="00394471" w:rsidP="00FA0D37">
      <w:pPr>
        <w:pStyle w:val="PL"/>
      </w:pPr>
      <w:r w:rsidRPr="00FA0D37">
        <w:t xml:space="preserve">    sl-PeriodCG2-r16               </w:t>
      </w:r>
      <w:r w:rsidRPr="00FA0D37">
        <w:rPr>
          <w:color w:val="993366"/>
        </w:rPr>
        <w:t>INTEGER</w:t>
      </w:r>
      <w:r w:rsidRPr="00FA0D37">
        <w:t xml:space="preserve"> (1..99)</w:t>
      </w:r>
    </w:p>
    <w:p w14:paraId="42138821" w14:textId="77777777" w:rsidR="00394471" w:rsidRPr="00FA0D37" w:rsidRDefault="00394471" w:rsidP="00FA0D37">
      <w:pPr>
        <w:pStyle w:val="PL"/>
      </w:pPr>
      <w:r w:rsidRPr="00FA0D37">
        <w:t>}</w:t>
      </w:r>
    </w:p>
    <w:p w14:paraId="025A2B4A" w14:textId="77777777" w:rsidR="00394471" w:rsidRPr="00FA0D37" w:rsidRDefault="00394471" w:rsidP="00FA0D37">
      <w:pPr>
        <w:pStyle w:val="PL"/>
      </w:pPr>
    </w:p>
    <w:p w14:paraId="583B6C6E" w14:textId="77777777" w:rsidR="00394471" w:rsidRPr="00FA0D37" w:rsidRDefault="00394471" w:rsidP="00FA0D37">
      <w:pPr>
        <w:pStyle w:val="PL"/>
        <w:rPr>
          <w:color w:val="808080"/>
        </w:rPr>
      </w:pPr>
      <w:r w:rsidRPr="00FA0D37">
        <w:rPr>
          <w:color w:val="808080"/>
        </w:rPr>
        <w:t>-- TAG-SL-CONFIGUREDGRANTCONFIG-STOP</w:t>
      </w:r>
    </w:p>
    <w:p w14:paraId="7ABB9ACA" w14:textId="77777777" w:rsidR="00394471" w:rsidRPr="00FA0D37" w:rsidRDefault="00394471" w:rsidP="00FA0D37">
      <w:pPr>
        <w:pStyle w:val="PL"/>
        <w:rPr>
          <w:color w:val="808080"/>
        </w:rPr>
      </w:pPr>
      <w:r w:rsidRPr="00FA0D37">
        <w:rPr>
          <w:color w:val="808080"/>
        </w:rPr>
        <w:t>-- ASN1STOP</w:t>
      </w:r>
    </w:p>
    <w:p w14:paraId="0A2E3EA2" w14:textId="77777777" w:rsidR="00394471" w:rsidRPr="00FA0D3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57EFB13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257B15" w14:textId="1E4F17F2" w:rsidR="00394471" w:rsidRPr="00FA0D37" w:rsidRDefault="00394471" w:rsidP="00964CC4">
            <w:pPr>
              <w:pStyle w:val="TAH"/>
              <w:rPr>
                <w:lang w:eastAsia="en-GB"/>
              </w:rPr>
            </w:pPr>
            <w:r w:rsidRPr="00FA0D37">
              <w:rPr>
                <w:i/>
                <w:iCs/>
                <w:lang w:eastAsia="sv-SE"/>
              </w:rPr>
              <w:lastRenderedPageBreak/>
              <w:t>SL-ConfiguredGrantConfig</w:t>
            </w:r>
            <w:r w:rsidRPr="00FA0D37">
              <w:rPr>
                <w:lang w:eastAsia="sv-SE"/>
              </w:rPr>
              <w:t xml:space="preserve"> </w:t>
            </w:r>
            <w:r w:rsidRPr="00FA0D37">
              <w:rPr>
                <w:noProof/>
                <w:lang w:eastAsia="en-GB"/>
              </w:rPr>
              <w:t>field descriptions</w:t>
            </w:r>
          </w:p>
        </w:tc>
      </w:tr>
      <w:tr w:rsidR="005C7FF4" w:rsidRPr="00FA0D37" w14:paraId="3518F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6F5E7C" w14:textId="77777777" w:rsidR="00394471" w:rsidRPr="00FA0D37" w:rsidRDefault="00394471" w:rsidP="00964CC4">
            <w:pPr>
              <w:pStyle w:val="TAL"/>
              <w:rPr>
                <w:b/>
                <w:bCs/>
                <w:i/>
                <w:iCs/>
                <w:lang w:eastAsia="zh-CN"/>
              </w:rPr>
            </w:pPr>
            <w:r w:rsidRPr="00FA0D37">
              <w:rPr>
                <w:b/>
                <w:bCs/>
                <w:i/>
                <w:iCs/>
                <w:lang w:eastAsia="zh-CN"/>
              </w:rPr>
              <w:t>sl-ConfigIndexCG</w:t>
            </w:r>
          </w:p>
          <w:p w14:paraId="48886F0C" w14:textId="28C5758C" w:rsidR="00394471" w:rsidRPr="00FA0D37" w:rsidRDefault="00394471" w:rsidP="00964CC4">
            <w:pPr>
              <w:pStyle w:val="TAL"/>
              <w:rPr>
                <w:lang w:eastAsia="en-GB"/>
              </w:rPr>
            </w:pPr>
            <w:r w:rsidRPr="00FA0D37">
              <w:rPr>
                <w:lang w:eastAsia="en-GB"/>
              </w:rPr>
              <w:t xml:space="preserve">This field indicates the ID to identify </w:t>
            </w:r>
            <w:r w:rsidR="00806168" w:rsidRPr="00FA0D37">
              <w:rPr>
                <w:lang w:eastAsia="en-GB"/>
              </w:rPr>
              <w:t xml:space="preserve">sidelink </w:t>
            </w:r>
            <w:r w:rsidRPr="00FA0D37">
              <w:rPr>
                <w:lang w:eastAsia="en-GB"/>
              </w:rPr>
              <w:t>configured grant.</w:t>
            </w:r>
          </w:p>
        </w:tc>
      </w:tr>
      <w:tr w:rsidR="005C7FF4" w:rsidRPr="00FA0D37" w14:paraId="0E5457A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732752" w14:textId="77777777" w:rsidR="00394471" w:rsidRPr="00FA0D37" w:rsidRDefault="00394471" w:rsidP="00964CC4">
            <w:pPr>
              <w:pStyle w:val="TAL"/>
              <w:rPr>
                <w:b/>
                <w:bCs/>
                <w:i/>
                <w:iCs/>
                <w:lang w:eastAsia="zh-CN"/>
              </w:rPr>
            </w:pPr>
            <w:r w:rsidRPr="00FA0D37">
              <w:rPr>
                <w:b/>
                <w:bCs/>
                <w:i/>
                <w:iCs/>
                <w:lang w:eastAsia="zh-CN"/>
              </w:rPr>
              <w:t>sl-CG-MaxTransNumList</w:t>
            </w:r>
          </w:p>
          <w:p w14:paraId="4EB845A3" w14:textId="6E006F15" w:rsidR="00394471" w:rsidRPr="00FA0D37" w:rsidRDefault="00394471" w:rsidP="00964CC4">
            <w:pPr>
              <w:pStyle w:val="TAL"/>
              <w:rPr>
                <w:lang w:eastAsia="zh-CN"/>
              </w:rPr>
            </w:pPr>
            <w:r w:rsidRPr="00FA0D37">
              <w:rPr>
                <w:lang w:eastAsia="en-GB"/>
              </w:rPr>
              <w:t xml:space="preserve">This field indicates the maximum number of times that a TB can be transmitted using the resources provided by the </w:t>
            </w:r>
            <w:r w:rsidR="00806168" w:rsidRPr="00FA0D37">
              <w:rPr>
                <w:lang w:eastAsia="en-GB"/>
              </w:rPr>
              <w:t xml:space="preserve">sidelink </w:t>
            </w:r>
            <w:r w:rsidRPr="00FA0D37">
              <w:rPr>
                <w:lang w:eastAsia="en-GB"/>
              </w:rPr>
              <w:t xml:space="preserve">configured grant. </w:t>
            </w:r>
            <w:r w:rsidRPr="00FA0D37">
              <w:rPr>
                <w:i/>
                <w:iCs/>
                <w:lang w:eastAsia="en-GB"/>
              </w:rPr>
              <w:t>sl-Priority</w:t>
            </w:r>
            <w:r w:rsidRPr="00FA0D37">
              <w:rPr>
                <w:lang w:eastAsia="en-GB"/>
              </w:rPr>
              <w:t xml:space="preserve"> corresponds to the logical channel priority.</w:t>
            </w:r>
          </w:p>
        </w:tc>
      </w:tr>
      <w:tr w:rsidR="005C7FF4" w:rsidRPr="00FA0D37" w14:paraId="2DAA52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B48367" w14:textId="77777777" w:rsidR="00394471" w:rsidRPr="00FA0D37" w:rsidRDefault="00394471" w:rsidP="00964CC4">
            <w:pPr>
              <w:pStyle w:val="TAL"/>
              <w:rPr>
                <w:b/>
                <w:bCs/>
                <w:i/>
                <w:iCs/>
                <w:lang w:eastAsia="zh-CN"/>
              </w:rPr>
            </w:pPr>
            <w:r w:rsidRPr="00FA0D37">
              <w:rPr>
                <w:b/>
                <w:bCs/>
                <w:i/>
                <w:iCs/>
                <w:lang w:eastAsia="zh-CN"/>
              </w:rPr>
              <w:t>sl-FreqResourceCG-Type1</w:t>
            </w:r>
          </w:p>
          <w:p w14:paraId="2C21F46A" w14:textId="37AE8E98" w:rsidR="00394471" w:rsidRPr="00FA0D37" w:rsidRDefault="00394471" w:rsidP="00964CC4">
            <w:pPr>
              <w:pStyle w:val="TAL"/>
              <w:rPr>
                <w:lang w:eastAsia="zh-CN"/>
              </w:rPr>
            </w:pPr>
            <w:r w:rsidRPr="00FA0D37">
              <w:rPr>
                <w:lang w:eastAsia="en-GB"/>
              </w:rPr>
              <w:t>Indicates the frequency resource location of sidelink configured grant type 1. An index giving valid combinations of one or two starting sub-channel and length (join</w:t>
            </w:r>
            <w:r w:rsidR="00C813A9" w:rsidRPr="00FA0D37">
              <w:rPr>
                <w:lang w:eastAsia="en-GB"/>
              </w:rPr>
              <w:t>t</w:t>
            </w:r>
            <w:r w:rsidRPr="00FA0D37">
              <w:rPr>
                <w:lang w:eastAsia="en-GB"/>
              </w:rPr>
              <w:t xml:space="preserve">ly encoded) as resource indicator </w:t>
            </w:r>
            <w:r w:rsidR="002A2A7A" w:rsidRPr="00FA0D37">
              <w:rPr>
                <w:lang w:eastAsia="en-GB"/>
              </w:rPr>
              <w:t xml:space="preserve">value </w:t>
            </w:r>
            <w:r w:rsidRPr="00FA0D37">
              <w:rPr>
                <w:lang w:eastAsia="en-GB"/>
              </w:rPr>
              <w:t>(RIV), as defined in TS 38.214 [19].</w:t>
            </w:r>
          </w:p>
        </w:tc>
      </w:tr>
      <w:tr w:rsidR="005C7FF4" w:rsidRPr="00FA0D37" w14:paraId="20817E41" w14:textId="77777777" w:rsidTr="00F04E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56D56A" w14:textId="77777777" w:rsidR="009E5356" w:rsidRPr="00FA0D37" w:rsidRDefault="009E5356" w:rsidP="00F04E24">
            <w:pPr>
              <w:pStyle w:val="TAL"/>
              <w:rPr>
                <w:b/>
                <w:i/>
                <w:szCs w:val="22"/>
                <w:lang w:eastAsia="sv-SE"/>
              </w:rPr>
            </w:pPr>
            <w:r w:rsidRPr="00FA0D37">
              <w:rPr>
                <w:b/>
                <w:i/>
                <w:szCs w:val="22"/>
                <w:lang w:eastAsia="sv-SE"/>
              </w:rPr>
              <w:t>sl-HARQ-ProcID-Offset</w:t>
            </w:r>
          </w:p>
          <w:p w14:paraId="6A462836" w14:textId="0EB8A3B5" w:rsidR="009E5356" w:rsidRPr="00FA0D37" w:rsidRDefault="009E5356" w:rsidP="008E4C89">
            <w:pPr>
              <w:pStyle w:val="TAL"/>
              <w:rPr>
                <w:b/>
                <w:bCs/>
                <w:i/>
                <w:iCs/>
                <w:lang w:eastAsia="zh-CN"/>
              </w:rPr>
            </w:pPr>
            <w:r w:rsidRPr="00FA0D37">
              <w:rPr>
                <w:lang w:eastAsia="en-GB"/>
              </w:rPr>
              <w:t xml:space="preserve">Indicates the offset used in deriving the HARQ process ID for </w:t>
            </w:r>
            <w:r w:rsidR="00806168" w:rsidRPr="00FA0D37">
              <w:rPr>
                <w:lang w:eastAsia="en-GB"/>
              </w:rPr>
              <w:t>sidelink</w:t>
            </w:r>
            <w:r w:rsidRPr="00FA0D37">
              <w:rPr>
                <w:lang w:eastAsia="en-GB"/>
              </w:rPr>
              <w:t xml:space="preserve"> configured grant type 1 or </w:t>
            </w:r>
            <w:r w:rsidR="00806168" w:rsidRPr="00FA0D37">
              <w:rPr>
                <w:lang w:eastAsia="en-GB"/>
              </w:rPr>
              <w:t>sidelink</w:t>
            </w:r>
            <w:r w:rsidRPr="00FA0D37">
              <w:rPr>
                <w:lang w:eastAsia="en-GB"/>
              </w:rPr>
              <w:t xml:space="preserve"> configured </w:t>
            </w:r>
            <w:r w:rsidR="00806168" w:rsidRPr="00FA0D37">
              <w:rPr>
                <w:lang w:eastAsia="en-GB"/>
              </w:rPr>
              <w:t xml:space="preserve">grant </w:t>
            </w:r>
            <w:r w:rsidRPr="00FA0D37">
              <w:rPr>
                <w:lang w:eastAsia="en-GB"/>
              </w:rPr>
              <w:t>type 2, see TS 38.321 [3], clause 5.8.3.</w:t>
            </w:r>
          </w:p>
        </w:tc>
      </w:tr>
      <w:tr w:rsidR="005C7FF4" w:rsidRPr="00FA0D37" w14:paraId="197940E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399F48" w14:textId="77777777" w:rsidR="00394471" w:rsidRPr="00FA0D37" w:rsidRDefault="00394471" w:rsidP="00964CC4">
            <w:pPr>
              <w:pStyle w:val="TAL"/>
              <w:rPr>
                <w:b/>
                <w:bCs/>
                <w:i/>
                <w:iCs/>
                <w:lang w:eastAsia="zh-CN"/>
              </w:rPr>
            </w:pPr>
            <w:r w:rsidRPr="00FA0D37">
              <w:rPr>
                <w:b/>
                <w:bCs/>
                <w:i/>
                <w:iCs/>
                <w:lang w:eastAsia="zh-CN"/>
              </w:rPr>
              <w:t>sl-N1PUCCH-AN</w:t>
            </w:r>
          </w:p>
          <w:p w14:paraId="0FA07370" w14:textId="42A70A41" w:rsidR="00394471" w:rsidRPr="00FA0D37" w:rsidRDefault="00394471" w:rsidP="00964CC4">
            <w:pPr>
              <w:pStyle w:val="TAL"/>
              <w:rPr>
                <w:lang w:eastAsia="zh-CN"/>
              </w:rPr>
            </w:pPr>
            <w:r w:rsidRPr="00FA0D37">
              <w:rPr>
                <w:lang w:eastAsia="en-GB"/>
              </w:rPr>
              <w:t xml:space="preserve">This field indicates the </w:t>
            </w:r>
            <w:r w:rsidR="005E290A" w:rsidRPr="00FA0D37">
              <w:rPr>
                <w:lang w:eastAsia="en-GB"/>
              </w:rPr>
              <w:t>PUCCH</w:t>
            </w:r>
            <w:r w:rsidRPr="00FA0D37">
              <w:rPr>
                <w:lang w:eastAsia="en-GB"/>
              </w:rPr>
              <w:t xml:space="preserve"> resource for </w:t>
            </w:r>
            <w:r w:rsidR="005E290A" w:rsidRPr="00FA0D37">
              <w:rPr>
                <w:lang w:eastAsia="en-GB"/>
              </w:rPr>
              <w:t>HARQ feedback</w:t>
            </w:r>
            <w:r w:rsidRPr="00FA0D37">
              <w:rPr>
                <w:lang w:eastAsia="en-GB"/>
              </w:rPr>
              <w:t xml:space="preserve"> for </w:t>
            </w:r>
            <w:r w:rsidR="008D2002" w:rsidRPr="00FA0D37">
              <w:rPr>
                <w:lang w:eastAsia="en-GB"/>
              </w:rPr>
              <w:t>sidelink</w:t>
            </w:r>
            <w:r w:rsidRPr="00FA0D37">
              <w:rPr>
                <w:lang w:eastAsia="en-GB"/>
              </w:rPr>
              <w:t xml:space="preserve"> configured grant type 1. The actual PUCCH-Resource is configured in </w:t>
            </w:r>
            <w:r w:rsidRPr="00FA0D37">
              <w:rPr>
                <w:i/>
                <w:iCs/>
                <w:lang w:eastAsia="en-GB"/>
              </w:rPr>
              <w:t>sl-PUCCH-Config</w:t>
            </w:r>
            <w:r w:rsidRPr="00FA0D37">
              <w:rPr>
                <w:lang w:eastAsia="en-GB"/>
              </w:rPr>
              <w:t xml:space="preserve"> and referred to by its ID.</w:t>
            </w:r>
          </w:p>
        </w:tc>
      </w:tr>
      <w:tr w:rsidR="005C7FF4" w:rsidRPr="00FA0D37" w14:paraId="2D3755E3"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780EFF" w14:textId="77777777" w:rsidR="00FA1D56" w:rsidRPr="00FA0D37" w:rsidRDefault="00FA1D56" w:rsidP="003D44C0">
            <w:pPr>
              <w:pStyle w:val="TAL"/>
              <w:rPr>
                <w:b/>
                <w:bCs/>
                <w:i/>
                <w:iCs/>
                <w:lang w:eastAsia="zh-CN"/>
              </w:rPr>
            </w:pPr>
            <w:r w:rsidRPr="00FA0D37">
              <w:rPr>
                <w:b/>
                <w:bCs/>
                <w:i/>
                <w:iCs/>
                <w:lang w:eastAsia="zh-CN"/>
              </w:rPr>
              <w:t>sl-N1PUCCH-AN-Type2</w:t>
            </w:r>
          </w:p>
          <w:p w14:paraId="60E430F7" w14:textId="6962D307" w:rsidR="00FA1D56" w:rsidRPr="00FA0D37" w:rsidRDefault="00FA1D56" w:rsidP="003D44C0">
            <w:pPr>
              <w:pStyle w:val="TAL"/>
              <w:rPr>
                <w:lang w:eastAsia="zh-CN"/>
              </w:rPr>
            </w:pPr>
            <w:r w:rsidRPr="00FA0D37">
              <w:rPr>
                <w:lang w:eastAsia="en-GB"/>
              </w:rPr>
              <w:t xml:space="preserve">This field indicates the </w:t>
            </w:r>
            <w:r w:rsidR="005E290A" w:rsidRPr="00FA0D37">
              <w:rPr>
                <w:lang w:eastAsia="en-GB"/>
              </w:rPr>
              <w:t>PUCCH</w:t>
            </w:r>
            <w:r w:rsidRPr="00FA0D37">
              <w:rPr>
                <w:lang w:eastAsia="en-GB"/>
              </w:rPr>
              <w:t xml:space="preserve"> resource for </w:t>
            </w:r>
            <w:r w:rsidR="005E290A" w:rsidRPr="00FA0D37">
              <w:rPr>
                <w:lang w:eastAsia="en-GB"/>
              </w:rPr>
              <w:t>HARQ feedback</w:t>
            </w:r>
            <w:r w:rsidRPr="00FA0D37">
              <w:rPr>
                <w:lang w:eastAsia="en-GB"/>
              </w:rPr>
              <w:t xml:space="preserve"> for PSCCH/PSSCH transmissions without a corresponding PDCCH on sidelink configured grant type 2. The actual PUCCH-Resource is configured in </w:t>
            </w:r>
            <w:r w:rsidRPr="00FA0D37">
              <w:rPr>
                <w:i/>
                <w:iCs/>
                <w:lang w:eastAsia="en-GB"/>
              </w:rPr>
              <w:t>sl-PUCCH-Config</w:t>
            </w:r>
            <w:r w:rsidRPr="00FA0D37">
              <w:rPr>
                <w:lang w:eastAsia="en-GB"/>
              </w:rPr>
              <w:t xml:space="preserve"> and referred to by its ID.</w:t>
            </w:r>
          </w:p>
        </w:tc>
      </w:tr>
      <w:tr w:rsidR="005C7FF4" w:rsidRPr="00FA0D37" w14:paraId="02B0F55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BBC37CF" w14:textId="77777777" w:rsidR="00394471" w:rsidRPr="00FA0D37" w:rsidRDefault="00394471" w:rsidP="00964CC4">
            <w:pPr>
              <w:pStyle w:val="TAL"/>
              <w:rPr>
                <w:b/>
                <w:bCs/>
                <w:i/>
                <w:iCs/>
                <w:lang w:eastAsia="zh-CN"/>
              </w:rPr>
            </w:pPr>
            <w:r w:rsidRPr="00FA0D37">
              <w:rPr>
                <w:b/>
                <w:bCs/>
                <w:i/>
                <w:iCs/>
                <w:lang w:eastAsia="zh-CN"/>
              </w:rPr>
              <w:t>sl-NrOfHARQ-Processes</w:t>
            </w:r>
          </w:p>
          <w:p w14:paraId="5EB5E221" w14:textId="5DAA110E" w:rsidR="00394471" w:rsidRPr="00FA0D37" w:rsidRDefault="00394471" w:rsidP="00964CC4">
            <w:pPr>
              <w:pStyle w:val="TAL"/>
              <w:rPr>
                <w:lang w:eastAsia="zh-CN"/>
              </w:rPr>
            </w:pPr>
            <w:r w:rsidRPr="00FA0D37">
              <w:rPr>
                <w:lang w:eastAsia="en-GB"/>
              </w:rPr>
              <w:t xml:space="preserve">This field indicates the number of HARQ processes configured for a specific </w:t>
            </w:r>
            <w:r w:rsidR="00211036" w:rsidRPr="00FA0D37">
              <w:rPr>
                <w:lang w:eastAsia="en-GB"/>
              </w:rPr>
              <w:t xml:space="preserve">sidelink </w:t>
            </w:r>
            <w:r w:rsidRPr="00FA0D37">
              <w:rPr>
                <w:lang w:eastAsia="en-GB"/>
              </w:rPr>
              <w:t xml:space="preserve">configured grant. It applies for both </w:t>
            </w:r>
            <w:r w:rsidR="00211036" w:rsidRPr="00FA0D37">
              <w:rPr>
                <w:lang w:eastAsia="en-GB"/>
              </w:rPr>
              <w:t>type</w:t>
            </w:r>
            <w:r w:rsidRPr="00FA0D37">
              <w:rPr>
                <w:lang w:eastAsia="en-GB"/>
              </w:rPr>
              <w:t xml:space="preserve"> 1 and </w:t>
            </w:r>
            <w:r w:rsidR="00211036" w:rsidRPr="00FA0D37">
              <w:rPr>
                <w:lang w:eastAsia="en-GB"/>
              </w:rPr>
              <w:t>type</w:t>
            </w:r>
            <w:r w:rsidRPr="00FA0D37">
              <w:rPr>
                <w:lang w:eastAsia="en-GB"/>
              </w:rPr>
              <w:t xml:space="preserve"> 2.</w:t>
            </w:r>
          </w:p>
        </w:tc>
      </w:tr>
      <w:tr w:rsidR="005C7FF4" w:rsidRPr="00FA0D37" w14:paraId="1FA049B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C0CCEA" w14:textId="77777777" w:rsidR="00394471" w:rsidRPr="00FA0D37" w:rsidRDefault="00394471" w:rsidP="00964CC4">
            <w:pPr>
              <w:pStyle w:val="TAL"/>
              <w:rPr>
                <w:b/>
                <w:bCs/>
                <w:i/>
                <w:iCs/>
                <w:lang w:eastAsia="zh-CN"/>
              </w:rPr>
            </w:pPr>
            <w:r w:rsidRPr="00FA0D37">
              <w:rPr>
                <w:b/>
                <w:bCs/>
                <w:i/>
                <w:iCs/>
                <w:lang w:eastAsia="zh-CN"/>
              </w:rPr>
              <w:t>sl-PeriodCG</w:t>
            </w:r>
          </w:p>
          <w:p w14:paraId="548223B2" w14:textId="77777777" w:rsidR="00394471" w:rsidRPr="00FA0D37" w:rsidRDefault="00394471" w:rsidP="00964CC4">
            <w:pPr>
              <w:pStyle w:val="TAL"/>
              <w:rPr>
                <w:lang w:eastAsia="zh-CN"/>
              </w:rPr>
            </w:pPr>
            <w:r w:rsidRPr="00FA0D37">
              <w:rPr>
                <w:lang w:eastAsia="en-GB"/>
              </w:rPr>
              <w:t>This field indicates the period of sidelink configured grant</w:t>
            </w:r>
            <w:r w:rsidRPr="00FA0D37">
              <w:t xml:space="preserve"> </w:t>
            </w:r>
            <w:r w:rsidRPr="00FA0D37">
              <w:rPr>
                <w:rFonts w:cs="Arial"/>
                <w:lang w:eastAsia="en-GB"/>
              </w:rPr>
              <w:t>in the unit of ms</w:t>
            </w:r>
            <w:r w:rsidRPr="00FA0D37">
              <w:rPr>
                <w:lang w:eastAsia="en-GB"/>
              </w:rPr>
              <w:t>.</w:t>
            </w:r>
          </w:p>
        </w:tc>
      </w:tr>
      <w:tr w:rsidR="005C7FF4" w:rsidRPr="00FA0D37" w14:paraId="7B45482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8DA74" w14:textId="45C4A780" w:rsidR="00394471" w:rsidRPr="00FA0D37" w:rsidRDefault="00394471" w:rsidP="00964CC4">
            <w:pPr>
              <w:pStyle w:val="TAL"/>
              <w:rPr>
                <w:b/>
                <w:bCs/>
                <w:i/>
                <w:iCs/>
                <w:lang w:eastAsia="sv-SE"/>
              </w:rPr>
            </w:pPr>
            <w:r w:rsidRPr="00FA0D37">
              <w:rPr>
                <w:b/>
                <w:bCs/>
                <w:i/>
                <w:iCs/>
                <w:lang w:eastAsia="sv-SE"/>
              </w:rPr>
              <w:t>sl-PSFCH-ToPUCCH</w:t>
            </w:r>
            <w:r w:rsidRPr="00FA0D37">
              <w:rPr>
                <w:rFonts w:cs="Arial"/>
                <w:b/>
                <w:bCs/>
                <w:i/>
                <w:iCs/>
              </w:rPr>
              <w:t>-CG-Type1</w:t>
            </w:r>
          </w:p>
          <w:p w14:paraId="17218057" w14:textId="3EE4C164" w:rsidR="00394471" w:rsidRPr="00FA0D37" w:rsidRDefault="00394471" w:rsidP="00964CC4">
            <w:pPr>
              <w:pStyle w:val="TAL"/>
              <w:rPr>
                <w:lang w:eastAsia="zh-CN"/>
              </w:rPr>
            </w:pPr>
            <w:r w:rsidRPr="00FA0D37">
              <w:rPr>
                <w:lang w:eastAsia="sv-SE"/>
              </w:rPr>
              <w:t>This field</w:t>
            </w:r>
            <w:r w:rsidRPr="00FA0D37">
              <w:rPr>
                <w:rFonts w:cs="Arial"/>
              </w:rPr>
              <w:t>,</w:t>
            </w:r>
            <w:r w:rsidRPr="00FA0D37">
              <w:t xml:space="preserve"> </w:t>
            </w:r>
            <w:r w:rsidRPr="00FA0D37">
              <w:rPr>
                <w:rFonts w:cs="Arial"/>
              </w:rPr>
              <w:t xml:space="preserve">for </w:t>
            </w:r>
            <w:r w:rsidR="00211036" w:rsidRPr="00FA0D37">
              <w:rPr>
                <w:rFonts w:cs="Arial"/>
              </w:rPr>
              <w:t xml:space="preserve">sidelink </w:t>
            </w:r>
            <w:r w:rsidRPr="00FA0D37">
              <w:rPr>
                <w:rFonts w:cs="Arial"/>
              </w:rPr>
              <w:t>configured grant type 1,</w:t>
            </w:r>
            <w:r w:rsidRPr="00FA0D37">
              <w:rPr>
                <w:lang w:eastAsia="sv-SE"/>
              </w:rPr>
              <w:t xml:space="preserve"> indicates slot offset between the PSFCH associated with the last PSSCH resource of each period and the PUCCH occasion used for reporting sidelink HARQ.</w:t>
            </w:r>
          </w:p>
        </w:tc>
      </w:tr>
      <w:tr w:rsidR="005C7FF4" w:rsidRPr="00FA0D37" w14:paraId="12B2F2C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EE8D29" w14:textId="77777777" w:rsidR="00394471" w:rsidRPr="00FA0D37" w:rsidRDefault="00394471" w:rsidP="00964CC4">
            <w:pPr>
              <w:pStyle w:val="TAL"/>
              <w:rPr>
                <w:b/>
                <w:bCs/>
                <w:i/>
                <w:iCs/>
                <w:lang w:eastAsia="zh-CN"/>
              </w:rPr>
            </w:pPr>
            <w:r w:rsidRPr="00FA0D37">
              <w:rPr>
                <w:b/>
                <w:bCs/>
                <w:i/>
                <w:iCs/>
                <w:lang w:eastAsia="zh-CN"/>
              </w:rPr>
              <w:t>sl-ResourcePoolID</w:t>
            </w:r>
          </w:p>
          <w:p w14:paraId="79AA3B54" w14:textId="6F371D6C" w:rsidR="00394471" w:rsidRPr="00FA0D37" w:rsidRDefault="00394471" w:rsidP="00964CC4">
            <w:pPr>
              <w:pStyle w:val="TAL"/>
              <w:rPr>
                <w:b/>
                <w:bCs/>
                <w:i/>
                <w:iCs/>
                <w:lang w:eastAsia="zh-CN"/>
              </w:rPr>
            </w:pPr>
            <w:r w:rsidRPr="00FA0D37">
              <w:rPr>
                <w:lang w:eastAsia="en-GB"/>
              </w:rPr>
              <w:t xml:space="preserve">Indicates the resource pool in which the </w:t>
            </w:r>
            <w:r w:rsidR="00211036" w:rsidRPr="00FA0D37">
              <w:rPr>
                <w:lang w:eastAsia="en-GB"/>
              </w:rPr>
              <w:t xml:space="preserve">sidelink </w:t>
            </w:r>
            <w:r w:rsidRPr="00FA0D37">
              <w:rPr>
                <w:lang w:eastAsia="en-GB"/>
              </w:rPr>
              <w:t xml:space="preserve">configured grant </w:t>
            </w:r>
            <w:r w:rsidR="00211036" w:rsidRPr="00FA0D37">
              <w:rPr>
                <w:lang w:eastAsia="en-GB"/>
              </w:rPr>
              <w:t>type</w:t>
            </w:r>
            <w:r w:rsidRPr="00FA0D37">
              <w:rPr>
                <w:lang w:eastAsia="en-GB"/>
              </w:rPr>
              <w:t xml:space="preserve"> 1 is applied.</w:t>
            </w:r>
          </w:p>
        </w:tc>
      </w:tr>
      <w:tr w:rsidR="005C7FF4" w:rsidRPr="00FA0D37" w14:paraId="00EDA8D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617F662" w14:textId="77777777" w:rsidR="00394471" w:rsidRPr="00FA0D37" w:rsidRDefault="00394471" w:rsidP="00964CC4">
            <w:pPr>
              <w:pStyle w:val="TAL"/>
              <w:rPr>
                <w:b/>
                <w:bCs/>
                <w:i/>
                <w:iCs/>
                <w:lang w:eastAsia="zh-CN"/>
              </w:rPr>
            </w:pPr>
            <w:r w:rsidRPr="00FA0D37">
              <w:rPr>
                <w:b/>
                <w:bCs/>
                <w:i/>
                <w:iCs/>
                <w:lang w:eastAsia="zh-CN"/>
              </w:rPr>
              <w:t>sl-StartSubchannelCG-Type1</w:t>
            </w:r>
          </w:p>
          <w:p w14:paraId="1053FBC0" w14:textId="3070B2E5" w:rsidR="00394471" w:rsidRPr="00FA0D37" w:rsidRDefault="00394471" w:rsidP="00964CC4">
            <w:pPr>
              <w:pStyle w:val="TAL"/>
              <w:rPr>
                <w:lang w:eastAsia="zh-CN"/>
              </w:rPr>
            </w:pPr>
            <w:r w:rsidRPr="00FA0D37">
              <w:rPr>
                <w:lang w:eastAsia="en-GB"/>
              </w:rPr>
              <w:t xml:space="preserve">This field indicates the starting sub-channel of sidelink configured grant </w:t>
            </w:r>
            <w:r w:rsidR="00211036" w:rsidRPr="00FA0D37">
              <w:rPr>
                <w:lang w:eastAsia="en-GB"/>
              </w:rPr>
              <w:t>type</w:t>
            </w:r>
            <w:r w:rsidRPr="00FA0D37">
              <w:rPr>
                <w:lang w:eastAsia="en-GB"/>
              </w:rPr>
              <w:t xml:space="preserve"> 1. An index giving valid sub-channel index.</w:t>
            </w:r>
          </w:p>
        </w:tc>
      </w:tr>
      <w:tr w:rsidR="005C7FF4" w:rsidRPr="00FA0D37" w14:paraId="006F61D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87289B5" w14:textId="77777777" w:rsidR="00394471" w:rsidRPr="00FA0D37" w:rsidRDefault="00394471" w:rsidP="00964CC4">
            <w:pPr>
              <w:pStyle w:val="TAL"/>
              <w:rPr>
                <w:b/>
                <w:bCs/>
                <w:i/>
                <w:iCs/>
                <w:lang w:eastAsia="zh-CN"/>
              </w:rPr>
            </w:pPr>
            <w:r w:rsidRPr="00FA0D37">
              <w:rPr>
                <w:b/>
                <w:bCs/>
                <w:i/>
                <w:iCs/>
                <w:lang w:eastAsia="zh-CN"/>
              </w:rPr>
              <w:t>sl-TimeOffsetCG-Type1</w:t>
            </w:r>
          </w:p>
          <w:p w14:paraId="1D19C38B" w14:textId="24727E31" w:rsidR="00394471" w:rsidRPr="00FA0D37" w:rsidRDefault="00394471" w:rsidP="00964CC4">
            <w:pPr>
              <w:pStyle w:val="TAL"/>
              <w:rPr>
                <w:lang w:eastAsia="zh-CN"/>
              </w:rPr>
            </w:pPr>
            <w:r w:rsidRPr="00FA0D37">
              <w:rPr>
                <w:lang w:eastAsia="en-GB"/>
              </w:rPr>
              <w:t xml:space="preserve">This field indicates the </w:t>
            </w:r>
            <w:r w:rsidR="00EC7981" w:rsidRPr="00FA0D37">
              <w:rPr>
                <w:lang w:eastAsia="en-GB"/>
              </w:rPr>
              <w:t xml:space="preserve">slot </w:t>
            </w:r>
            <w:r w:rsidRPr="00FA0D37">
              <w:rPr>
                <w:lang w:eastAsia="en-GB"/>
              </w:rPr>
              <w:t xml:space="preserve">offset </w:t>
            </w:r>
            <w:r w:rsidR="00EC7981" w:rsidRPr="00FA0D37">
              <w:rPr>
                <w:lang w:eastAsia="en-GB"/>
              </w:rPr>
              <w:t xml:space="preserve">with respect </w:t>
            </w:r>
            <w:r w:rsidRPr="00FA0D37">
              <w:rPr>
                <w:lang w:eastAsia="en-GB"/>
              </w:rPr>
              <w:t xml:space="preserve">to </w:t>
            </w:r>
            <w:r w:rsidR="00EC7981" w:rsidRPr="00FA0D37">
              <w:rPr>
                <w:lang w:eastAsia="en-GB"/>
              </w:rPr>
              <w:t>logical slot defined by</w:t>
            </w:r>
            <w:r w:rsidRPr="00FA0D37">
              <w:rPr>
                <w:rFonts w:eastAsia="MS Mincho"/>
                <w:i/>
                <w:szCs w:val="22"/>
                <w:lang w:eastAsia="sv-SE"/>
              </w:rPr>
              <w:t xml:space="preserve"> sl-TimeReferenceSFN</w:t>
            </w:r>
            <w:r w:rsidRPr="00FA0D37">
              <w:rPr>
                <w:rFonts w:cs="Arial"/>
                <w:bCs/>
                <w:i/>
                <w:iCs/>
                <w:lang w:eastAsia="zh-CN"/>
              </w:rPr>
              <w:t>-Type1</w:t>
            </w:r>
            <w:r w:rsidRPr="00FA0D37">
              <w:rPr>
                <w:rFonts w:cs="Arial"/>
                <w:bCs/>
                <w:iCs/>
                <w:lang w:eastAsia="zh-CN"/>
              </w:rPr>
              <w:t>, as specified in TS 38.321 [3]</w:t>
            </w:r>
            <w:r w:rsidRPr="00FA0D37">
              <w:rPr>
                <w:lang w:eastAsia="en-GB"/>
              </w:rPr>
              <w:t>.</w:t>
            </w:r>
          </w:p>
        </w:tc>
      </w:tr>
      <w:tr w:rsidR="005C7FF4" w:rsidRPr="00FA0D37" w14:paraId="4B1B91A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088337" w14:textId="77777777" w:rsidR="00394471" w:rsidRPr="00FA0D37" w:rsidRDefault="00394471" w:rsidP="00964CC4">
            <w:pPr>
              <w:pStyle w:val="TAL"/>
              <w:rPr>
                <w:b/>
                <w:bCs/>
                <w:i/>
                <w:iCs/>
                <w:lang w:eastAsia="zh-CN"/>
              </w:rPr>
            </w:pPr>
            <w:r w:rsidRPr="00FA0D37">
              <w:rPr>
                <w:b/>
                <w:bCs/>
                <w:i/>
                <w:iCs/>
                <w:lang w:eastAsia="zh-CN"/>
              </w:rPr>
              <w:t>sl-TimeReferenceSFN-Type1</w:t>
            </w:r>
          </w:p>
          <w:p w14:paraId="7D9EAB38" w14:textId="6E8BBC00" w:rsidR="00394471" w:rsidRPr="00FA0D37" w:rsidRDefault="00394471" w:rsidP="00964CC4">
            <w:pPr>
              <w:pStyle w:val="TAL"/>
              <w:rPr>
                <w:lang w:eastAsia="zh-CN"/>
              </w:rPr>
            </w:pPr>
            <w:r w:rsidRPr="00FA0D37">
              <w:rPr>
                <w:lang w:eastAsia="zh-CN"/>
              </w:rPr>
              <w:t xml:space="preserve">Indicates SFN used for determination of the offset of a resource in time domain. If it is present, the UE uses the </w:t>
            </w:r>
            <w:r w:rsidR="00EC7981" w:rsidRPr="00FA0D37">
              <w:rPr>
                <w:lang w:eastAsia="zh-CN"/>
              </w:rPr>
              <w:t>1</w:t>
            </w:r>
            <w:r w:rsidR="00EC7981" w:rsidRPr="00FA0D37">
              <w:rPr>
                <w:vertAlign w:val="superscript"/>
                <w:lang w:eastAsia="zh-CN"/>
              </w:rPr>
              <w:t>st</w:t>
            </w:r>
            <w:r w:rsidR="00EC7981" w:rsidRPr="00FA0D37">
              <w:rPr>
                <w:lang w:eastAsia="zh-CN"/>
              </w:rPr>
              <w:t xml:space="preserve"> logical slot of associated resource pool after the starting time of the </w:t>
            </w:r>
            <w:r w:rsidRPr="00FA0D37">
              <w:rPr>
                <w:lang w:eastAsia="zh-CN"/>
              </w:rPr>
              <w:t xml:space="preserve">closest SFN with the indicated number preceding the reception of the sidelink configured grant configuration </w:t>
            </w:r>
            <w:r w:rsidR="00211036" w:rsidRPr="00FA0D37">
              <w:rPr>
                <w:lang w:eastAsia="en-GB"/>
              </w:rPr>
              <w:t>type</w:t>
            </w:r>
            <w:r w:rsidRPr="00FA0D37">
              <w:rPr>
                <w:lang w:eastAsia="zh-CN"/>
              </w:rPr>
              <w:t xml:space="preserve"> 1</w:t>
            </w:r>
            <w:r w:rsidR="00EC7981" w:rsidRPr="00FA0D37">
              <w:rPr>
                <w:lang w:eastAsia="zh-CN"/>
              </w:rPr>
              <w:t xml:space="preserve"> as reference logical slot</w:t>
            </w:r>
            <w:r w:rsidRPr="00FA0D37">
              <w:rPr>
                <w:lang w:eastAsia="zh-CN"/>
              </w:rPr>
              <w:t>, see TS 38.321 [3], clause 5.8.3. If it is not present, the reference SFN is 0.</w:t>
            </w:r>
          </w:p>
        </w:tc>
      </w:tr>
      <w:tr w:rsidR="00394471" w:rsidRPr="00FA0D37" w14:paraId="23317D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AECB4A" w14:textId="77777777" w:rsidR="00394471" w:rsidRPr="00FA0D37" w:rsidRDefault="00394471" w:rsidP="00964CC4">
            <w:pPr>
              <w:pStyle w:val="TAL"/>
              <w:rPr>
                <w:b/>
                <w:bCs/>
                <w:i/>
                <w:iCs/>
                <w:lang w:eastAsia="zh-CN"/>
              </w:rPr>
            </w:pPr>
            <w:r w:rsidRPr="00FA0D37">
              <w:rPr>
                <w:b/>
                <w:bCs/>
                <w:i/>
                <w:iCs/>
                <w:lang w:eastAsia="zh-CN"/>
              </w:rPr>
              <w:t>sl-TimeResourceCG-Type1</w:t>
            </w:r>
          </w:p>
          <w:p w14:paraId="7BB9D51C" w14:textId="01B850C7" w:rsidR="00394471" w:rsidRPr="00FA0D37" w:rsidRDefault="00394471" w:rsidP="00964CC4">
            <w:pPr>
              <w:pStyle w:val="TAL"/>
              <w:rPr>
                <w:lang w:eastAsia="zh-CN"/>
              </w:rPr>
            </w:pPr>
            <w:r w:rsidRPr="00FA0D37">
              <w:rPr>
                <w:lang w:eastAsia="en-GB"/>
              </w:rPr>
              <w:t xml:space="preserve">This field indicates the time resource location of sidelink configured grant </w:t>
            </w:r>
            <w:r w:rsidR="00211036" w:rsidRPr="00FA0D37">
              <w:rPr>
                <w:lang w:eastAsia="en-GB"/>
              </w:rPr>
              <w:t>type</w:t>
            </w:r>
            <w:r w:rsidRPr="00FA0D37">
              <w:rPr>
                <w:lang w:eastAsia="en-GB"/>
              </w:rPr>
              <w:t xml:space="preserve"> 1. An index giving valid combinations of up to two slot positions (jointly encoded) as time resource indicator </w:t>
            </w:r>
            <w:r w:rsidR="002A2A7A" w:rsidRPr="00FA0D37">
              <w:rPr>
                <w:lang w:eastAsia="en-GB"/>
              </w:rPr>
              <w:t xml:space="preserve">value </w:t>
            </w:r>
            <w:r w:rsidRPr="00FA0D37">
              <w:rPr>
                <w:lang w:eastAsia="en-GB"/>
              </w:rPr>
              <w:t>(TRIV),</w:t>
            </w:r>
            <w:r w:rsidRPr="00FA0D37">
              <w:rPr>
                <w:rFonts w:cs="Arial"/>
                <w:lang w:eastAsia="en-GB"/>
              </w:rPr>
              <w:t xml:space="preserve"> </w:t>
            </w:r>
            <w:r w:rsidRPr="00FA0D37">
              <w:rPr>
                <w:lang w:eastAsia="en-GB"/>
              </w:rPr>
              <w:t>as defined in TS 38.212 [17].</w:t>
            </w:r>
          </w:p>
        </w:tc>
      </w:tr>
    </w:tbl>
    <w:p w14:paraId="3CA84163" w14:textId="77777777" w:rsidR="00394471" w:rsidRPr="00FA0D37" w:rsidRDefault="00394471" w:rsidP="00394471"/>
    <w:p w14:paraId="1DE13B0C" w14:textId="32EB2DDE" w:rsidR="00394471" w:rsidRPr="00FA0D37" w:rsidRDefault="00394471" w:rsidP="00394471">
      <w:pPr>
        <w:pStyle w:val="4"/>
      </w:pPr>
      <w:bookmarkStart w:id="1732" w:name="_Toc60777530"/>
      <w:bookmarkStart w:id="1733" w:name="_Toc146781644"/>
      <w:r w:rsidRPr="00FA0D37">
        <w:t>–</w:t>
      </w:r>
      <w:r w:rsidRPr="00FA0D37">
        <w:tab/>
      </w:r>
      <w:r w:rsidRPr="00FA0D37">
        <w:rPr>
          <w:i/>
          <w:iCs/>
        </w:rPr>
        <w:t>SL-DestinationIdentity</w:t>
      </w:r>
      <w:bookmarkEnd w:id="1732"/>
      <w:bookmarkEnd w:id="1733"/>
    </w:p>
    <w:p w14:paraId="64A30B28" w14:textId="77777777" w:rsidR="00394471" w:rsidRPr="00FA0D37" w:rsidRDefault="00394471" w:rsidP="00394471">
      <w:r w:rsidRPr="00FA0D37">
        <w:t xml:space="preserve">The IE </w:t>
      </w:r>
      <w:r w:rsidRPr="00FA0D37">
        <w:rPr>
          <w:i/>
        </w:rPr>
        <w:t>SL-DestinationIdentity</w:t>
      </w:r>
      <w:r w:rsidRPr="00FA0D37">
        <w:t xml:space="preserve"> is used to identify a destination of a NR sidelink communication.</w:t>
      </w:r>
    </w:p>
    <w:p w14:paraId="5DEFE887" w14:textId="77777777" w:rsidR="00394471" w:rsidRPr="00FA0D37" w:rsidRDefault="00394471" w:rsidP="00394471">
      <w:pPr>
        <w:pStyle w:val="TH"/>
        <w:rPr>
          <w:b w:val="0"/>
        </w:rPr>
      </w:pPr>
      <w:r w:rsidRPr="00FA0D37">
        <w:rPr>
          <w:i/>
          <w:iCs/>
        </w:rPr>
        <w:lastRenderedPageBreak/>
        <w:t>SL-DestinationIdentity</w:t>
      </w:r>
      <w:r w:rsidRPr="00FA0D37">
        <w:t xml:space="preserve"> information element</w:t>
      </w:r>
    </w:p>
    <w:p w14:paraId="57B86B91" w14:textId="77777777" w:rsidR="00394471" w:rsidRPr="00FA0D37" w:rsidRDefault="00394471" w:rsidP="00FA0D37">
      <w:pPr>
        <w:pStyle w:val="PL"/>
        <w:rPr>
          <w:color w:val="808080"/>
        </w:rPr>
      </w:pPr>
      <w:r w:rsidRPr="00FA0D37">
        <w:rPr>
          <w:color w:val="808080"/>
        </w:rPr>
        <w:t>-- ASN1START</w:t>
      </w:r>
    </w:p>
    <w:p w14:paraId="5903826D" w14:textId="77777777" w:rsidR="00394471" w:rsidRPr="00FA0D37" w:rsidRDefault="00394471" w:rsidP="00FA0D37">
      <w:pPr>
        <w:pStyle w:val="PL"/>
        <w:rPr>
          <w:color w:val="808080"/>
        </w:rPr>
      </w:pPr>
      <w:r w:rsidRPr="00FA0D37">
        <w:rPr>
          <w:color w:val="808080"/>
        </w:rPr>
        <w:t>-- TAG-SL-DESTINATIONIDENTITY-START</w:t>
      </w:r>
    </w:p>
    <w:p w14:paraId="76AF66E3" w14:textId="77777777" w:rsidR="00394471" w:rsidRPr="00FA0D37" w:rsidRDefault="00394471" w:rsidP="00FA0D37">
      <w:pPr>
        <w:pStyle w:val="PL"/>
      </w:pPr>
    </w:p>
    <w:p w14:paraId="420B03C2" w14:textId="77777777" w:rsidR="00394471" w:rsidRPr="00FA0D37" w:rsidRDefault="00394471" w:rsidP="00FA0D37">
      <w:pPr>
        <w:pStyle w:val="PL"/>
      </w:pPr>
      <w:r w:rsidRPr="00FA0D37">
        <w:t xml:space="preserve">SL-DestinationIdentity-r16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(24))</w:t>
      </w:r>
    </w:p>
    <w:p w14:paraId="3B9BF588" w14:textId="77777777" w:rsidR="00394471" w:rsidRPr="00FA0D37" w:rsidRDefault="00394471" w:rsidP="00FA0D37">
      <w:pPr>
        <w:pStyle w:val="PL"/>
      </w:pPr>
    </w:p>
    <w:p w14:paraId="692723E4" w14:textId="77777777" w:rsidR="00394471" w:rsidRPr="00FA0D37" w:rsidRDefault="00394471" w:rsidP="00FA0D37">
      <w:pPr>
        <w:pStyle w:val="PL"/>
        <w:rPr>
          <w:color w:val="808080"/>
        </w:rPr>
      </w:pPr>
      <w:r w:rsidRPr="00FA0D37">
        <w:rPr>
          <w:color w:val="808080"/>
        </w:rPr>
        <w:t>-- TAG-SL-DESTINATIONIDENTITY-STOP</w:t>
      </w:r>
    </w:p>
    <w:p w14:paraId="1D98D898" w14:textId="77777777" w:rsidR="00394471" w:rsidRPr="00FA0D37" w:rsidRDefault="00394471" w:rsidP="00FA0D37">
      <w:pPr>
        <w:pStyle w:val="PL"/>
        <w:rPr>
          <w:color w:val="808080"/>
        </w:rPr>
      </w:pPr>
      <w:r w:rsidRPr="00FA0D37">
        <w:rPr>
          <w:color w:val="808080"/>
        </w:rPr>
        <w:t>-- ASN1STOP</w:t>
      </w:r>
    </w:p>
    <w:p w14:paraId="0BB9EEE0" w14:textId="7FEBCC50" w:rsidR="00394471" w:rsidRPr="00FA0D37" w:rsidRDefault="00394471" w:rsidP="00394471"/>
    <w:p w14:paraId="61BD3FEE" w14:textId="77777777" w:rsidR="00C26E98" w:rsidRPr="00FA0D37" w:rsidRDefault="00C26E98" w:rsidP="00C26E98">
      <w:pPr>
        <w:pStyle w:val="4"/>
        <w:rPr>
          <w:i/>
        </w:rPr>
      </w:pPr>
      <w:bookmarkStart w:id="1734" w:name="_Toc76423838"/>
      <w:bookmarkStart w:id="1735" w:name="_Toc146781645"/>
      <w:bookmarkStart w:id="1736" w:name="OLE_LINK20"/>
      <w:r w:rsidRPr="00FA0D37">
        <w:rPr>
          <w:i/>
        </w:rPr>
        <w:t>–</w:t>
      </w:r>
      <w:r w:rsidRPr="00FA0D37">
        <w:rPr>
          <w:i/>
        </w:rPr>
        <w:tab/>
        <w:t>SL-DRX-Config</w:t>
      </w:r>
      <w:bookmarkEnd w:id="1734"/>
      <w:bookmarkEnd w:id="1735"/>
    </w:p>
    <w:p w14:paraId="344A741D" w14:textId="3AE8DC20" w:rsidR="00C26E98" w:rsidRPr="00FA0D37" w:rsidRDefault="00C26E98" w:rsidP="00C26E98">
      <w:r w:rsidRPr="00FA0D37">
        <w:t>The IE</w:t>
      </w:r>
      <w:r w:rsidRPr="00FA0D37">
        <w:rPr>
          <w:i/>
        </w:rPr>
        <w:t xml:space="preserve"> SL-DRX-Config</w:t>
      </w:r>
      <w:r w:rsidRPr="00FA0D37">
        <w:rPr>
          <w:iCs/>
        </w:rPr>
        <w:t xml:space="preserve"> is </w:t>
      </w:r>
      <w:r w:rsidRPr="00FA0D37">
        <w:t>used to configure DRX related parameters for NR sidelink communication</w:t>
      </w:r>
      <w:r w:rsidR="0039645C" w:rsidRPr="00FA0D37">
        <w:t>/discovery</w:t>
      </w:r>
      <w:r w:rsidRPr="00FA0D37">
        <w:t>. The SL DRX timers should be calculated in the unit of physical slot.</w:t>
      </w:r>
    </w:p>
    <w:p w14:paraId="27555088" w14:textId="77777777" w:rsidR="00C26E98" w:rsidRPr="00FA0D37" w:rsidRDefault="00C26E98" w:rsidP="00C26E98">
      <w:pPr>
        <w:pStyle w:val="TH"/>
        <w:rPr>
          <w:bCs/>
          <w:i/>
          <w:iCs/>
        </w:rPr>
      </w:pPr>
      <w:r w:rsidRPr="00FA0D37">
        <w:rPr>
          <w:bCs/>
          <w:i/>
          <w:iCs/>
        </w:rPr>
        <w:t>SL-DRX-Config information element</w:t>
      </w:r>
    </w:p>
    <w:p w14:paraId="0EFF3CA3" w14:textId="77777777" w:rsidR="00C26E98" w:rsidRPr="00FA0D37" w:rsidRDefault="00C26E98" w:rsidP="00FA0D37">
      <w:pPr>
        <w:pStyle w:val="PL"/>
        <w:rPr>
          <w:color w:val="808080"/>
        </w:rPr>
      </w:pPr>
      <w:r w:rsidRPr="00FA0D37">
        <w:rPr>
          <w:color w:val="808080"/>
        </w:rPr>
        <w:t>-- ASN1START</w:t>
      </w:r>
    </w:p>
    <w:p w14:paraId="70C5FAC6" w14:textId="77777777" w:rsidR="00C26E98" w:rsidRPr="00FA0D37" w:rsidRDefault="00C26E98" w:rsidP="00FA0D37">
      <w:pPr>
        <w:pStyle w:val="PL"/>
        <w:rPr>
          <w:color w:val="808080"/>
        </w:rPr>
      </w:pPr>
      <w:r w:rsidRPr="00FA0D37">
        <w:rPr>
          <w:color w:val="808080"/>
        </w:rPr>
        <w:t>-- TAG-SL-DRX-CONFIG-START</w:t>
      </w:r>
    </w:p>
    <w:p w14:paraId="76327BA8" w14:textId="77777777" w:rsidR="00C26E98" w:rsidRPr="00FA0D37" w:rsidRDefault="00C26E98" w:rsidP="00FA0D37">
      <w:pPr>
        <w:pStyle w:val="PL"/>
      </w:pPr>
    </w:p>
    <w:p w14:paraId="09BED472" w14:textId="77777777" w:rsidR="00C26E98" w:rsidRPr="00FA0D37" w:rsidRDefault="00C26E98" w:rsidP="00FA0D37">
      <w:pPr>
        <w:pStyle w:val="PL"/>
      </w:pPr>
      <w:r w:rsidRPr="00FA0D37">
        <w:t xml:space="preserve">SL-DRX-Config-r17 ::=                      </w:t>
      </w:r>
      <w:r w:rsidRPr="00FA0D37">
        <w:rPr>
          <w:color w:val="993366"/>
        </w:rPr>
        <w:t>SEQUENCE</w:t>
      </w:r>
      <w:r w:rsidRPr="00FA0D37">
        <w:t xml:space="preserve"> {</w:t>
      </w:r>
    </w:p>
    <w:p w14:paraId="78E8C8FE" w14:textId="7C289665" w:rsidR="00C26E98" w:rsidRPr="00FA0D37" w:rsidRDefault="00C26E98" w:rsidP="00FA0D37">
      <w:pPr>
        <w:pStyle w:val="PL"/>
        <w:rPr>
          <w:color w:val="808080"/>
        </w:rPr>
      </w:pPr>
      <w:r w:rsidRPr="00FA0D37">
        <w:t xml:space="preserve">    sl-DRX-ConfigGC-BC-r17                    </w:t>
      </w:r>
      <w:r w:rsidR="0007748F" w:rsidRPr="00FA0D37">
        <w:t xml:space="preserve"> </w:t>
      </w:r>
      <w:r w:rsidRPr="00FA0D37">
        <w:t xml:space="preserve">SL-DRX-ConfigGC-BC-r17                                                </w:t>
      </w:r>
      <w:r w:rsidR="0007748F" w:rsidRPr="00FA0D37">
        <w:t xml:space="preserve"> </w:t>
      </w:r>
      <w:r w:rsidRPr="00FA0D37">
        <w:rPr>
          <w:color w:val="993366"/>
        </w:rPr>
        <w:t>OPTIONAL</w:t>
      </w:r>
      <w:r w:rsidRPr="00FA0D37">
        <w:t xml:space="preserve">,     </w:t>
      </w:r>
      <w:r w:rsidRPr="00FA0D37">
        <w:rPr>
          <w:color w:val="808080"/>
        </w:rPr>
        <w:t>-- Cond HO</w:t>
      </w:r>
    </w:p>
    <w:p w14:paraId="15739F3A" w14:textId="77777777" w:rsidR="00C26E98" w:rsidRPr="00FA0D37" w:rsidRDefault="00C26E98" w:rsidP="00FA0D37">
      <w:pPr>
        <w:pStyle w:val="PL"/>
        <w:rPr>
          <w:color w:val="808080"/>
        </w:rPr>
      </w:pPr>
      <w:r w:rsidRPr="00FA0D37">
        <w:t xml:space="preserve">    sl-DRX-ConfigUC-ToReleaseList-r17          </w:t>
      </w:r>
      <w:r w:rsidRPr="00FA0D37">
        <w:rPr>
          <w:color w:val="993366"/>
        </w:rPr>
        <w:t>SEQUENCE</w:t>
      </w:r>
      <w:r w:rsidRPr="00FA0D37">
        <w:t xml:space="preserve"> (</w:t>
      </w:r>
      <w:r w:rsidRPr="00FA0D37">
        <w:rPr>
          <w:color w:val="993366"/>
        </w:rPr>
        <w:t>SIZE</w:t>
      </w:r>
      <w:r w:rsidRPr="00FA0D37">
        <w:t xml:space="preserve"> (1..maxNrofSL-Dest-r16))</w:t>
      </w:r>
      <w:r w:rsidRPr="00FA0D37">
        <w:rPr>
          <w:color w:val="993366"/>
        </w:rPr>
        <w:t xml:space="preserve"> OF</w:t>
      </w:r>
      <w:r w:rsidRPr="00FA0D37">
        <w:t xml:space="preserve"> SL-DestinationIndex-r16     </w:t>
      </w:r>
      <w:r w:rsidRPr="00FA0D37">
        <w:rPr>
          <w:color w:val="993366"/>
        </w:rPr>
        <w:t>OPTIONAL</w:t>
      </w:r>
      <w:r w:rsidRPr="00FA0D37">
        <w:t xml:space="preserve">,     </w:t>
      </w:r>
      <w:r w:rsidRPr="00FA0D37">
        <w:rPr>
          <w:color w:val="808080"/>
        </w:rPr>
        <w:t>-- Need N</w:t>
      </w:r>
    </w:p>
    <w:p w14:paraId="0FB03DBA" w14:textId="77777777" w:rsidR="00C26E98" w:rsidRPr="00FA0D37" w:rsidRDefault="00C26E98" w:rsidP="00FA0D37">
      <w:pPr>
        <w:pStyle w:val="PL"/>
        <w:rPr>
          <w:color w:val="808080"/>
        </w:rPr>
      </w:pPr>
      <w:r w:rsidRPr="00FA0D37">
        <w:t xml:space="preserve">    sl-DRX-ConfigUC-ToAddModList-r17           </w:t>
      </w:r>
      <w:r w:rsidRPr="00FA0D37">
        <w:rPr>
          <w:color w:val="993366"/>
        </w:rPr>
        <w:t>SEQUENCE</w:t>
      </w:r>
      <w:r w:rsidRPr="00FA0D37">
        <w:t xml:space="preserve"> (</w:t>
      </w:r>
      <w:r w:rsidRPr="00FA0D37">
        <w:rPr>
          <w:color w:val="993366"/>
        </w:rPr>
        <w:t>SIZE</w:t>
      </w:r>
      <w:r w:rsidRPr="00FA0D37">
        <w:t xml:space="preserve"> (1..maxNrofSL-Dest-r16))</w:t>
      </w:r>
      <w:r w:rsidRPr="00FA0D37">
        <w:rPr>
          <w:color w:val="993366"/>
        </w:rPr>
        <w:t xml:space="preserve"> OF</w:t>
      </w:r>
      <w:r w:rsidRPr="00FA0D37">
        <w:t xml:space="preserve"> SL-DRX-ConfigUC-Info-r17    </w:t>
      </w:r>
      <w:r w:rsidRPr="00FA0D37">
        <w:rPr>
          <w:color w:val="993366"/>
        </w:rPr>
        <w:t>OPTIONAL</w:t>
      </w:r>
      <w:r w:rsidRPr="00FA0D37">
        <w:t xml:space="preserve">,     </w:t>
      </w:r>
      <w:r w:rsidRPr="00FA0D37">
        <w:rPr>
          <w:color w:val="808080"/>
        </w:rPr>
        <w:t>-- Need N</w:t>
      </w:r>
    </w:p>
    <w:p w14:paraId="773CD13F" w14:textId="77777777" w:rsidR="00C26E98" w:rsidRPr="00FA0D37" w:rsidRDefault="00C26E98" w:rsidP="00FA0D37">
      <w:pPr>
        <w:pStyle w:val="PL"/>
      </w:pPr>
      <w:r w:rsidRPr="00FA0D37">
        <w:t xml:space="preserve">    ...</w:t>
      </w:r>
    </w:p>
    <w:p w14:paraId="7334656E" w14:textId="77777777" w:rsidR="00C26E98" w:rsidRPr="00FA0D37" w:rsidRDefault="00C26E98" w:rsidP="00FA0D37">
      <w:pPr>
        <w:pStyle w:val="PL"/>
      </w:pPr>
      <w:r w:rsidRPr="00FA0D37">
        <w:t>}</w:t>
      </w:r>
    </w:p>
    <w:p w14:paraId="3C241D6E" w14:textId="77777777" w:rsidR="00C26E98" w:rsidRPr="00FA0D37" w:rsidRDefault="00C26E98" w:rsidP="00FA0D37">
      <w:pPr>
        <w:pStyle w:val="PL"/>
      </w:pPr>
    </w:p>
    <w:p w14:paraId="5089D12A" w14:textId="77777777" w:rsidR="00C26E98" w:rsidRPr="00FA0D37" w:rsidRDefault="00C26E98" w:rsidP="00FA0D37">
      <w:pPr>
        <w:pStyle w:val="PL"/>
      </w:pPr>
      <w:r w:rsidRPr="00FA0D37">
        <w:t xml:space="preserve">SL-DRX-ConfigUC-Info-r17 ::=               </w:t>
      </w:r>
      <w:r w:rsidRPr="00FA0D37">
        <w:rPr>
          <w:color w:val="993366"/>
        </w:rPr>
        <w:t>SEQUENCE</w:t>
      </w:r>
      <w:r w:rsidRPr="00FA0D37">
        <w:t xml:space="preserve"> {</w:t>
      </w:r>
    </w:p>
    <w:p w14:paraId="522A07AE" w14:textId="77777777" w:rsidR="00C26E98" w:rsidRPr="00FA0D37" w:rsidRDefault="00C26E98" w:rsidP="00FA0D37">
      <w:pPr>
        <w:pStyle w:val="PL"/>
        <w:rPr>
          <w:color w:val="808080"/>
        </w:rPr>
      </w:pPr>
      <w:r w:rsidRPr="00FA0D37">
        <w:t xml:space="preserve">    sl-DestinationIndex-r17                    SL-DestinationIndex-r16                                                </w:t>
      </w:r>
      <w:r w:rsidRPr="00FA0D37">
        <w:rPr>
          <w:color w:val="993366"/>
        </w:rPr>
        <w:t>OPTIONAL</w:t>
      </w:r>
      <w:r w:rsidRPr="00FA0D37">
        <w:t xml:space="preserve">,     </w:t>
      </w:r>
      <w:r w:rsidRPr="00FA0D37">
        <w:rPr>
          <w:color w:val="808080"/>
        </w:rPr>
        <w:t>-- Need N</w:t>
      </w:r>
    </w:p>
    <w:p w14:paraId="31758CBB" w14:textId="77777777" w:rsidR="00C26E98" w:rsidRPr="00FA0D37" w:rsidRDefault="00C26E98" w:rsidP="00FA0D37">
      <w:pPr>
        <w:pStyle w:val="PL"/>
        <w:rPr>
          <w:color w:val="808080"/>
        </w:rPr>
      </w:pPr>
      <w:r w:rsidRPr="00FA0D37">
        <w:t xml:space="preserve">    sl-DRX-ConfigUC-r17                        SL-DRX-ConfigUC-r17                                                    </w:t>
      </w:r>
      <w:r w:rsidRPr="00FA0D37">
        <w:rPr>
          <w:color w:val="993366"/>
        </w:rPr>
        <w:t>OPTIONAL</w:t>
      </w:r>
      <w:r w:rsidRPr="00FA0D37">
        <w:t xml:space="preserve">,     </w:t>
      </w:r>
      <w:r w:rsidRPr="00FA0D37">
        <w:rPr>
          <w:color w:val="808080"/>
        </w:rPr>
        <w:t>-- Need N</w:t>
      </w:r>
    </w:p>
    <w:p w14:paraId="05A4B8B4" w14:textId="77777777" w:rsidR="00C26E98" w:rsidRPr="00FA0D37" w:rsidRDefault="00C26E98" w:rsidP="00FA0D37">
      <w:pPr>
        <w:pStyle w:val="PL"/>
      </w:pPr>
      <w:r w:rsidRPr="00FA0D37">
        <w:t xml:space="preserve">    ...</w:t>
      </w:r>
    </w:p>
    <w:p w14:paraId="1B4E91E8" w14:textId="77777777" w:rsidR="00C26E98" w:rsidRPr="00FA0D37" w:rsidRDefault="00C26E98" w:rsidP="00FA0D37">
      <w:pPr>
        <w:pStyle w:val="PL"/>
      </w:pPr>
      <w:r w:rsidRPr="00FA0D37">
        <w:t>}</w:t>
      </w:r>
    </w:p>
    <w:p w14:paraId="304033D2" w14:textId="77777777" w:rsidR="00C26E98" w:rsidRPr="00FA0D37" w:rsidRDefault="00C26E98" w:rsidP="00FA0D37">
      <w:pPr>
        <w:pStyle w:val="PL"/>
      </w:pPr>
    </w:p>
    <w:bookmarkEnd w:id="1736"/>
    <w:p w14:paraId="2A10BE28" w14:textId="77777777" w:rsidR="00C26E98" w:rsidRPr="00FA0D37" w:rsidRDefault="00C26E98" w:rsidP="00FA0D37">
      <w:pPr>
        <w:pStyle w:val="PL"/>
        <w:rPr>
          <w:color w:val="808080"/>
        </w:rPr>
      </w:pPr>
      <w:r w:rsidRPr="00FA0D37">
        <w:rPr>
          <w:color w:val="808080"/>
        </w:rPr>
        <w:t>-- TAG-SL-DRX-CONFIG-STOP</w:t>
      </w:r>
    </w:p>
    <w:p w14:paraId="5F5BC737" w14:textId="77777777" w:rsidR="00C26E98" w:rsidRPr="00FA0D37" w:rsidRDefault="00C26E98" w:rsidP="00FA0D37">
      <w:pPr>
        <w:pStyle w:val="PL"/>
        <w:rPr>
          <w:color w:val="808080"/>
        </w:rPr>
      </w:pPr>
      <w:r w:rsidRPr="00FA0D37">
        <w:rPr>
          <w:color w:val="808080"/>
        </w:rPr>
        <w:t>-- ASN1STOP</w:t>
      </w:r>
    </w:p>
    <w:p w14:paraId="5EF67C25" w14:textId="77777777" w:rsidR="00C26E98" w:rsidRPr="00FA0D37" w:rsidRDefault="00C26E98" w:rsidP="00C26E98">
      <w:pPr>
        <w:pStyle w:val="PL"/>
      </w:pPr>
    </w:p>
    <w:p w14:paraId="31057840" w14:textId="77777777" w:rsidR="00C26E98" w:rsidRPr="00FA0D37" w:rsidRDefault="00C26E98" w:rsidP="00C26E98">
      <w:pPr>
        <w:pStyle w:val="af9"/>
        <w:spacing w:before="0" w:beforeAutospacing="0" w:after="180" w:afterAutospacing="0"/>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4091E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9E2FCCD" w14:textId="77777777" w:rsidR="00C26E98" w:rsidRPr="00FA0D37" w:rsidRDefault="00C26E98" w:rsidP="00771058">
            <w:pPr>
              <w:pStyle w:val="TAH"/>
              <w:rPr>
                <w:lang w:eastAsia="sv-SE"/>
              </w:rPr>
            </w:pPr>
            <w:r w:rsidRPr="00FA0D37">
              <w:rPr>
                <w:i/>
                <w:lang w:eastAsia="sv-SE"/>
              </w:rPr>
              <w:t xml:space="preserve">SL-DRX-Config </w:t>
            </w:r>
            <w:r w:rsidRPr="00FA0D37">
              <w:rPr>
                <w:lang w:eastAsia="sv-SE"/>
              </w:rPr>
              <w:t>field descriptions</w:t>
            </w:r>
          </w:p>
        </w:tc>
      </w:tr>
      <w:tr w:rsidR="005C7FF4" w:rsidRPr="00FA0D37" w14:paraId="52AD02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CD9D4DC" w14:textId="3C1E8938" w:rsidR="00C26E98" w:rsidRPr="00FA0D37" w:rsidRDefault="00C26E98" w:rsidP="00771058">
            <w:pPr>
              <w:pStyle w:val="TAL"/>
              <w:rPr>
                <w:b/>
                <w:i/>
              </w:rPr>
            </w:pPr>
            <w:r w:rsidRPr="00FA0D37">
              <w:rPr>
                <w:b/>
                <w:i/>
              </w:rPr>
              <w:t>sl-DRX-ConfigGC-BC</w:t>
            </w:r>
          </w:p>
          <w:p w14:paraId="4BC7FFCC" w14:textId="4C8AD80A" w:rsidR="00C26E98" w:rsidRPr="00FA0D37" w:rsidRDefault="00C26E98" w:rsidP="00771058">
            <w:pPr>
              <w:pStyle w:val="TAL"/>
            </w:pPr>
            <w:r w:rsidRPr="00FA0D37">
              <w:t>This field indicates the sidelink DRX configurations for groupcast and broadcast communication, as specified in TS 38.321 [</w:t>
            </w:r>
            <w:r w:rsidR="005F190C" w:rsidRPr="00FA0D37">
              <w:t>3</w:t>
            </w:r>
            <w:r w:rsidRPr="00FA0D37">
              <w:t>].</w:t>
            </w:r>
          </w:p>
        </w:tc>
      </w:tr>
      <w:tr w:rsidR="005C7FF4" w:rsidRPr="00FA0D37" w14:paraId="4DD33DE7" w14:textId="77777777" w:rsidTr="00771058">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hideMark/>
          </w:tcPr>
          <w:p w14:paraId="525766A4" w14:textId="77777777" w:rsidR="00C26E98" w:rsidRPr="00FA0D37" w:rsidRDefault="00C26E98" w:rsidP="00771058">
            <w:pPr>
              <w:pStyle w:val="TAL"/>
              <w:rPr>
                <w:b/>
                <w:i/>
              </w:rPr>
            </w:pPr>
            <w:r w:rsidRPr="00FA0D37">
              <w:rPr>
                <w:b/>
                <w:i/>
              </w:rPr>
              <w:t>sl-DRX-ConfigUC-ToReleaseList</w:t>
            </w:r>
          </w:p>
          <w:p w14:paraId="7E098228" w14:textId="77777777" w:rsidR="00C26E98" w:rsidRPr="00FA0D37" w:rsidRDefault="00C26E98" w:rsidP="00771058">
            <w:pPr>
              <w:pStyle w:val="TAL"/>
            </w:pPr>
            <w:r w:rsidRPr="00FA0D37">
              <w:t>This field indicates the sidelink DRX configurations for corresponding unicast destinations to remove.</w:t>
            </w:r>
          </w:p>
        </w:tc>
      </w:tr>
      <w:tr w:rsidR="00C26E98" w:rsidRPr="00FA0D37" w14:paraId="5625D543" w14:textId="77777777" w:rsidTr="00771058">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hideMark/>
          </w:tcPr>
          <w:p w14:paraId="3BFAAD0C" w14:textId="77777777" w:rsidR="00C26E98" w:rsidRPr="00FA0D37" w:rsidRDefault="00C26E98" w:rsidP="00771058">
            <w:pPr>
              <w:pStyle w:val="TAL"/>
              <w:rPr>
                <w:b/>
                <w:i/>
              </w:rPr>
            </w:pPr>
            <w:r w:rsidRPr="00FA0D37">
              <w:rPr>
                <w:b/>
                <w:i/>
              </w:rPr>
              <w:t>sl-DRX-ConfigUC-ToAddModList</w:t>
            </w:r>
          </w:p>
          <w:p w14:paraId="1ACD6EF1" w14:textId="77777777" w:rsidR="00C26E98" w:rsidRPr="00FA0D37" w:rsidRDefault="00C26E98" w:rsidP="00771058">
            <w:pPr>
              <w:pStyle w:val="TAL"/>
            </w:pPr>
            <w:r w:rsidRPr="00FA0D37">
              <w:t>This field indicates the sidelink DRX configurations for corresponding unicast destinations to add and/or modify.</w:t>
            </w:r>
          </w:p>
        </w:tc>
      </w:tr>
    </w:tbl>
    <w:p w14:paraId="047350A6" w14:textId="77777777" w:rsidR="00C26E98" w:rsidRPr="00FA0D37" w:rsidRDefault="00C26E98" w:rsidP="00C26E98"/>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10768"/>
      </w:tblGrid>
      <w:tr w:rsidR="005C7FF4" w:rsidRPr="00FA0D37" w14:paraId="1FFF7486" w14:textId="77777777" w:rsidTr="00771058">
        <w:tc>
          <w:tcPr>
            <w:tcW w:w="3407" w:type="dxa"/>
            <w:tcBorders>
              <w:top w:val="single" w:sz="4" w:space="0" w:color="auto"/>
              <w:left w:val="single" w:sz="4" w:space="0" w:color="auto"/>
              <w:bottom w:val="single" w:sz="4" w:space="0" w:color="auto"/>
              <w:right w:val="single" w:sz="4" w:space="0" w:color="auto"/>
            </w:tcBorders>
            <w:hideMark/>
          </w:tcPr>
          <w:p w14:paraId="56E99398" w14:textId="77777777" w:rsidR="00C26E98" w:rsidRPr="00FA0D37" w:rsidRDefault="00C26E98" w:rsidP="00771058">
            <w:pPr>
              <w:pStyle w:val="TAH"/>
              <w:rPr>
                <w:lang w:eastAsia="sv-SE"/>
              </w:rPr>
            </w:pPr>
            <w:r w:rsidRPr="00FA0D37">
              <w:rPr>
                <w:lang w:eastAsia="sv-SE"/>
              </w:rPr>
              <w:lastRenderedPageBreak/>
              <w:t>Conditional Presence</w:t>
            </w:r>
          </w:p>
        </w:tc>
        <w:tc>
          <w:tcPr>
            <w:tcW w:w="10768" w:type="dxa"/>
            <w:tcBorders>
              <w:top w:val="single" w:sz="4" w:space="0" w:color="auto"/>
              <w:left w:val="single" w:sz="4" w:space="0" w:color="auto"/>
              <w:bottom w:val="single" w:sz="4" w:space="0" w:color="auto"/>
              <w:right w:val="single" w:sz="4" w:space="0" w:color="auto"/>
            </w:tcBorders>
            <w:hideMark/>
          </w:tcPr>
          <w:p w14:paraId="59D01D43" w14:textId="77777777" w:rsidR="00C26E98" w:rsidRPr="00FA0D37" w:rsidRDefault="00C26E98" w:rsidP="00771058">
            <w:pPr>
              <w:pStyle w:val="TAH"/>
              <w:rPr>
                <w:lang w:eastAsia="sv-SE"/>
              </w:rPr>
            </w:pPr>
            <w:r w:rsidRPr="00FA0D37">
              <w:rPr>
                <w:lang w:eastAsia="sv-SE"/>
              </w:rPr>
              <w:t>Explanation</w:t>
            </w:r>
          </w:p>
        </w:tc>
      </w:tr>
      <w:tr w:rsidR="00375B89" w:rsidRPr="00FA0D37" w14:paraId="6B97015E" w14:textId="77777777" w:rsidTr="00771058">
        <w:tc>
          <w:tcPr>
            <w:tcW w:w="3407" w:type="dxa"/>
            <w:tcBorders>
              <w:top w:val="single" w:sz="4" w:space="0" w:color="auto"/>
              <w:left w:val="single" w:sz="4" w:space="0" w:color="auto"/>
              <w:bottom w:val="single" w:sz="4" w:space="0" w:color="auto"/>
              <w:right w:val="single" w:sz="4" w:space="0" w:color="auto"/>
            </w:tcBorders>
            <w:hideMark/>
          </w:tcPr>
          <w:p w14:paraId="262602B6" w14:textId="77777777" w:rsidR="00C26E98" w:rsidRPr="00FA0D37" w:rsidRDefault="00C26E98" w:rsidP="00771058">
            <w:pPr>
              <w:pStyle w:val="TAL"/>
              <w:rPr>
                <w:b/>
                <w:i/>
                <w:lang w:eastAsia="sv-SE"/>
              </w:rPr>
            </w:pPr>
            <w:r w:rsidRPr="00FA0D37">
              <w:rPr>
                <w:i/>
                <w:lang w:eastAsia="sv-SE"/>
              </w:rPr>
              <w:t>HO</w:t>
            </w:r>
          </w:p>
        </w:tc>
        <w:tc>
          <w:tcPr>
            <w:tcW w:w="10768" w:type="dxa"/>
            <w:tcBorders>
              <w:top w:val="single" w:sz="4" w:space="0" w:color="auto"/>
              <w:left w:val="single" w:sz="4" w:space="0" w:color="auto"/>
              <w:bottom w:val="single" w:sz="4" w:space="0" w:color="auto"/>
              <w:right w:val="single" w:sz="4" w:space="0" w:color="auto"/>
            </w:tcBorders>
            <w:hideMark/>
          </w:tcPr>
          <w:p w14:paraId="1B42C547" w14:textId="77777777" w:rsidR="00C26E98" w:rsidRPr="00FA0D37" w:rsidRDefault="00C26E98" w:rsidP="00771058">
            <w:pPr>
              <w:pStyle w:val="TAL"/>
              <w:rPr>
                <w:b/>
                <w:lang w:eastAsia="sv-SE"/>
              </w:rPr>
            </w:pPr>
            <w:r w:rsidRPr="00FA0D37">
              <w:rPr>
                <w:lang w:eastAsia="sv-SE"/>
              </w:rPr>
              <w:t xml:space="preserve">This field is optionally present, need M, in an </w:t>
            </w:r>
            <w:r w:rsidRPr="00FA0D37">
              <w:rPr>
                <w:i/>
                <w:lang w:eastAsia="sv-SE"/>
              </w:rPr>
              <w:t>RRCReconfiguration</w:t>
            </w:r>
            <w:r w:rsidRPr="00FA0D37">
              <w:rPr>
                <w:lang w:eastAsia="sv-SE"/>
              </w:rPr>
              <w:t xml:space="preserve"> message including </w:t>
            </w:r>
            <w:r w:rsidRPr="00FA0D37">
              <w:rPr>
                <w:i/>
                <w:lang w:eastAsia="sv-SE"/>
              </w:rPr>
              <w:t>reconfigurationWithSync</w:t>
            </w:r>
            <w:r w:rsidRPr="00FA0D37">
              <w:rPr>
                <w:lang w:eastAsia="sv-SE"/>
              </w:rPr>
              <w:t>; otherwise it is absent</w:t>
            </w:r>
            <w:r w:rsidRPr="00FA0D37">
              <w:t>, Need M</w:t>
            </w:r>
            <w:r w:rsidRPr="00FA0D37">
              <w:rPr>
                <w:lang w:eastAsia="sv-SE"/>
              </w:rPr>
              <w:t>.</w:t>
            </w:r>
          </w:p>
        </w:tc>
      </w:tr>
    </w:tbl>
    <w:p w14:paraId="1B1C656B" w14:textId="77777777" w:rsidR="00C26E98" w:rsidRPr="00FA0D37" w:rsidRDefault="00C26E98" w:rsidP="00C26E98">
      <w:pPr>
        <w:rPr>
          <w:rFonts w:eastAsia="MS Mincho"/>
        </w:rPr>
      </w:pPr>
    </w:p>
    <w:p w14:paraId="2B6B6D80" w14:textId="7A82EBCD" w:rsidR="00C26E98" w:rsidRPr="00FA0D37" w:rsidRDefault="00C26E98" w:rsidP="00C26E98">
      <w:pPr>
        <w:pStyle w:val="4"/>
        <w:rPr>
          <w:i/>
        </w:rPr>
      </w:pPr>
      <w:bookmarkStart w:id="1737" w:name="_Toc146781646"/>
      <w:r w:rsidRPr="00FA0D37">
        <w:rPr>
          <w:i/>
        </w:rPr>
        <w:t>–</w:t>
      </w:r>
      <w:r w:rsidRPr="00FA0D37">
        <w:rPr>
          <w:i/>
        </w:rPr>
        <w:tab/>
        <w:t>SL-DRX-ConfigGC-BC</w:t>
      </w:r>
      <w:bookmarkEnd w:id="1737"/>
    </w:p>
    <w:p w14:paraId="535480BF" w14:textId="15556888" w:rsidR="00C26E98" w:rsidRPr="00FA0D37" w:rsidRDefault="00C26E98" w:rsidP="00C26E98">
      <w:r w:rsidRPr="00FA0D37">
        <w:t>The IE</w:t>
      </w:r>
      <w:r w:rsidRPr="00FA0D37">
        <w:rPr>
          <w:i/>
        </w:rPr>
        <w:t xml:space="preserve"> SL-DRX-ConfigGC-BC</w:t>
      </w:r>
      <w:r w:rsidRPr="00FA0D37">
        <w:rPr>
          <w:iCs/>
        </w:rPr>
        <w:t xml:space="preserve"> is </w:t>
      </w:r>
      <w:r w:rsidRPr="00FA0D37">
        <w:t>used to configure DRX related parameters for NR sidelink groupcast and broadcast communication</w:t>
      </w:r>
      <w:r w:rsidR="0039645C" w:rsidRPr="00FA0D37">
        <w:t>,</w:t>
      </w:r>
      <w:r w:rsidR="001B1A88" w:rsidRPr="00FA0D37">
        <w:t xml:space="preserve"> unicast/broadcast based communication of Direct Link Establishment Request (TS 24.587 [57])</w:t>
      </w:r>
      <w:r w:rsidR="0039645C" w:rsidRPr="00FA0D37">
        <w:t>, and discovery message</w:t>
      </w:r>
      <w:r w:rsidR="00750AB7" w:rsidRPr="00FA0D37">
        <w:t xml:space="preserve"> (TS 24.554 [72])</w:t>
      </w:r>
      <w:r w:rsidRPr="00FA0D37">
        <w:t>.</w:t>
      </w:r>
    </w:p>
    <w:p w14:paraId="6BDBF088" w14:textId="63FA03FF" w:rsidR="00C26E98" w:rsidRPr="00FA0D37" w:rsidRDefault="00C26E98" w:rsidP="000830BB">
      <w:pPr>
        <w:pStyle w:val="TH"/>
      </w:pPr>
      <w:r w:rsidRPr="00FA0D37">
        <w:rPr>
          <w:i/>
          <w:iCs/>
        </w:rPr>
        <w:t>SL-DRX-ConfigGC-BC</w:t>
      </w:r>
      <w:r w:rsidRPr="00FA0D37">
        <w:t xml:space="preserve"> information element</w:t>
      </w:r>
    </w:p>
    <w:p w14:paraId="6FA786BE" w14:textId="77777777" w:rsidR="00C26E98" w:rsidRPr="00FA0D37" w:rsidRDefault="00C26E98" w:rsidP="00FA0D37">
      <w:pPr>
        <w:pStyle w:val="PL"/>
        <w:rPr>
          <w:color w:val="808080"/>
        </w:rPr>
      </w:pPr>
      <w:r w:rsidRPr="00FA0D37">
        <w:rPr>
          <w:color w:val="808080"/>
        </w:rPr>
        <w:t>-- ASN1START</w:t>
      </w:r>
    </w:p>
    <w:p w14:paraId="08E91240" w14:textId="097829BA" w:rsidR="00C26E98" w:rsidRPr="00FA0D37" w:rsidRDefault="00C26E98" w:rsidP="00FA0D37">
      <w:pPr>
        <w:pStyle w:val="PL"/>
        <w:rPr>
          <w:color w:val="808080"/>
        </w:rPr>
      </w:pPr>
      <w:r w:rsidRPr="00FA0D37">
        <w:rPr>
          <w:color w:val="808080"/>
        </w:rPr>
        <w:t>-- TAG-SL-DRX-CONFIGGC-BC-START</w:t>
      </w:r>
    </w:p>
    <w:p w14:paraId="706DD207" w14:textId="77777777" w:rsidR="00C26E98" w:rsidRPr="00FA0D37" w:rsidRDefault="00C26E98" w:rsidP="00FA0D37">
      <w:pPr>
        <w:pStyle w:val="PL"/>
      </w:pPr>
    </w:p>
    <w:p w14:paraId="401F39E6" w14:textId="61E5811C" w:rsidR="00C26E98" w:rsidRPr="00FA0D37" w:rsidRDefault="00C26E98" w:rsidP="00FA0D37">
      <w:pPr>
        <w:pStyle w:val="PL"/>
      </w:pPr>
      <w:r w:rsidRPr="00FA0D37">
        <w:t xml:space="preserve">SL-DRX-ConfigGC-BC-r17 ::=     </w:t>
      </w:r>
      <w:r w:rsidR="0007748F" w:rsidRPr="00FA0D37">
        <w:t xml:space="preserve"> </w:t>
      </w:r>
      <w:r w:rsidRPr="00FA0D37">
        <w:rPr>
          <w:color w:val="993366"/>
        </w:rPr>
        <w:t>SEQUENCE</w:t>
      </w:r>
      <w:r w:rsidRPr="00FA0D37">
        <w:t xml:space="preserve"> {</w:t>
      </w:r>
    </w:p>
    <w:p w14:paraId="08FD0101" w14:textId="57AE4578" w:rsidR="00C26E98" w:rsidRPr="00FA0D37" w:rsidRDefault="00C26E98" w:rsidP="00FA0D37">
      <w:pPr>
        <w:pStyle w:val="PL"/>
        <w:rPr>
          <w:color w:val="808080"/>
        </w:rPr>
      </w:pPr>
      <w:r w:rsidRPr="00FA0D37">
        <w:t xml:space="preserve">    sl-DRX-GC-BC-PerQoS-List-r17    </w:t>
      </w:r>
      <w:r w:rsidRPr="00FA0D37">
        <w:rPr>
          <w:color w:val="993366"/>
        </w:rPr>
        <w:t>SEQUENCE</w:t>
      </w:r>
      <w:r w:rsidRPr="00FA0D37">
        <w:t xml:space="preserve"> (</w:t>
      </w:r>
      <w:r w:rsidRPr="00FA0D37">
        <w:rPr>
          <w:color w:val="993366"/>
        </w:rPr>
        <w:t>SIZE</w:t>
      </w:r>
      <w:r w:rsidRPr="00FA0D37">
        <w:t xml:space="preserve"> (1..maxSL-GC-BC-DRX-QoS-r17))</w:t>
      </w:r>
      <w:r w:rsidRPr="00FA0D37">
        <w:rPr>
          <w:color w:val="993366"/>
        </w:rPr>
        <w:t xml:space="preserve"> OF</w:t>
      </w:r>
      <w:r w:rsidRPr="00FA0D37">
        <w:t xml:space="preserve"> </w:t>
      </w:r>
      <w:bookmarkStart w:id="1738" w:name="OLE_LINK23"/>
      <w:r w:rsidRPr="00FA0D37">
        <w:t>SL-DRX-GC-BC-QoS-r17</w:t>
      </w:r>
      <w:bookmarkEnd w:id="1738"/>
      <w:r w:rsidRPr="00FA0D37">
        <w:t xml:space="preserve">        </w:t>
      </w:r>
      <w:r w:rsidRPr="00FA0D37">
        <w:rPr>
          <w:color w:val="993366"/>
        </w:rPr>
        <w:t>OPTIONAL</w:t>
      </w:r>
      <w:r w:rsidRPr="00FA0D37">
        <w:t xml:space="preserve">,    </w:t>
      </w:r>
      <w:r w:rsidRPr="00FA0D37">
        <w:rPr>
          <w:color w:val="808080"/>
        </w:rPr>
        <w:t>-- Need M</w:t>
      </w:r>
    </w:p>
    <w:p w14:paraId="6D1C2BAC" w14:textId="7583728C" w:rsidR="00C26E98" w:rsidRPr="00FA0D37" w:rsidRDefault="00C26E98" w:rsidP="00FA0D37">
      <w:pPr>
        <w:pStyle w:val="PL"/>
        <w:rPr>
          <w:color w:val="808080"/>
        </w:rPr>
      </w:pPr>
      <w:r w:rsidRPr="00FA0D37">
        <w:t xml:space="preserve">    sl-DRX-GC-generic-r17           SL-DRX-GC-Generic-r17                                                       </w:t>
      </w:r>
      <w:r w:rsidRPr="00FA0D37">
        <w:rPr>
          <w:color w:val="993366"/>
        </w:rPr>
        <w:t>OPTIONAL</w:t>
      </w:r>
      <w:r w:rsidRPr="00FA0D37">
        <w:t xml:space="preserve">,    </w:t>
      </w:r>
      <w:r w:rsidRPr="00FA0D37">
        <w:rPr>
          <w:color w:val="808080"/>
        </w:rPr>
        <w:t>-- Need M</w:t>
      </w:r>
    </w:p>
    <w:p w14:paraId="6CC45B0B" w14:textId="74BFF0BA" w:rsidR="00C26E98" w:rsidRPr="00FA0D37" w:rsidRDefault="00C26E98" w:rsidP="00FA0D37">
      <w:pPr>
        <w:pStyle w:val="PL"/>
        <w:rPr>
          <w:color w:val="808080"/>
        </w:rPr>
      </w:pPr>
      <w:r w:rsidRPr="00FA0D37">
        <w:t xml:space="preserve">    sl-DefaultDRX-GC-BC-r17         SL-DRX-GC-BC-QoS-r17                                                        </w:t>
      </w:r>
      <w:r w:rsidRPr="00FA0D37">
        <w:rPr>
          <w:color w:val="993366"/>
        </w:rPr>
        <w:t>OPTIONAL</w:t>
      </w:r>
      <w:r w:rsidRPr="00FA0D37">
        <w:t xml:space="preserve">,    </w:t>
      </w:r>
      <w:r w:rsidRPr="00FA0D37">
        <w:rPr>
          <w:color w:val="808080"/>
        </w:rPr>
        <w:t>-- Need M</w:t>
      </w:r>
    </w:p>
    <w:p w14:paraId="43E5B50C" w14:textId="77777777" w:rsidR="00C26E98" w:rsidRPr="00FA0D37" w:rsidRDefault="00C26E98" w:rsidP="00FA0D37">
      <w:pPr>
        <w:pStyle w:val="PL"/>
      </w:pPr>
      <w:r w:rsidRPr="00FA0D37">
        <w:t xml:space="preserve">    ...</w:t>
      </w:r>
    </w:p>
    <w:p w14:paraId="5E5F7788" w14:textId="77777777" w:rsidR="00C26E98" w:rsidRPr="00FA0D37" w:rsidRDefault="00C26E98" w:rsidP="00FA0D37">
      <w:pPr>
        <w:pStyle w:val="PL"/>
      </w:pPr>
      <w:r w:rsidRPr="00FA0D37">
        <w:t>}</w:t>
      </w:r>
    </w:p>
    <w:p w14:paraId="0F798502" w14:textId="77777777" w:rsidR="00C26E98" w:rsidRPr="00FA0D37" w:rsidRDefault="00C26E98" w:rsidP="00FA0D37">
      <w:pPr>
        <w:pStyle w:val="PL"/>
      </w:pPr>
    </w:p>
    <w:p w14:paraId="43F06715" w14:textId="4CB47E10" w:rsidR="00C26E98" w:rsidRPr="00FA0D37" w:rsidRDefault="00C26E98" w:rsidP="00FA0D37">
      <w:pPr>
        <w:pStyle w:val="PL"/>
      </w:pPr>
      <w:bookmarkStart w:id="1739" w:name="OLE_LINK29"/>
      <w:r w:rsidRPr="00FA0D37">
        <w:t xml:space="preserve">SL-DRX-GC-BC-QoS-r17 ::=            </w:t>
      </w:r>
      <w:r w:rsidRPr="00FA0D37">
        <w:rPr>
          <w:color w:val="993366"/>
        </w:rPr>
        <w:t>SEQUENCE</w:t>
      </w:r>
      <w:r w:rsidRPr="00FA0D37">
        <w:t xml:space="preserve"> {</w:t>
      </w:r>
    </w:p>
    <w:p w14:paraId="78AF63CC" w14:textId="6101ED1A" w:rsidR="00C26E98" w:rsidRPr="00FA0D37" w:rsidRDefault="00C26E98" w:rsidP="00FA0D37">
      <w:pPr>
        <w:pStyle w:val="PL"/>
        <w:rPr>
          <w:color w:val="808080"/>
        </w:rPr>
      </w:pPr>
      <w:r w:rsidRPr="00FA0D37">
        <w:t xml:space="preserve">    </w:t>
      </w:r>
      <w:bookmarkStart w:id="1740" w:name="OLE_LINK32"/>
      <w:bookmarkEnd w:id="1739"/>
      <w:r w:rsidRPr="00FA0D37">
        <w:t xml:space="preserve">sl-DRX-GC-BC-MappedQoS-FlowList-r17 </w:t>
      </w:r>
      <w:r w:rsidRPr="00FA0D37">
        <w:rPr>
          <w:color w:val="993366"/>
        </w:rPr>
        <w:t>SEQUENCE</w:t>
      </w:r>
      <w:r w:rsidRPr="00FA0D37">
        <w:t xml:space="preserve"> (</w:t>
      </w:r>
      <w:r w:rsidRPr="00FA0D37">
        <w:rPr>
          <w:color w:val="993366"/>
        </w:rPr>
        <w:t>SIZE</w:t>
      </w:r>
      <w:r w:rsidRPr="00FA0D37">
        <w:t xml:space="preserve"> (1..maxNrofSL-QFIs-r16))</w:t>
      </w:r>
      <w:r w:rsidRPr="00FA0D37">
        <w:rPr>
          <w:color w:val="993366"/>
        </w:rPr>
        <w:t xml:space="preserve"> OF</w:t>
      </w:r>
      <w:r w:rsidRPr="00FA0D37">
        <w:t xml:space="preserve"> SL-QoS-Profile-r16       </w:t>
      </w:r>
      <w:r w:rsidRPr="00FA0D37">
        <w:rPr>
          <w:color w:val="993366"/>
        </w:rPr>
        <w:t>OPTIONAL</w:t>
      </w:r>
      <w:r w:rsidRPr="00FA0D37">
        <w:t xml:space="preserve">,    </w:t>
      </w:r>
      <w:r w:rsidRPr="00FA0D37">
        <w:rPr>
          <w:color w:val="808080"/>
        </w:rPr>
        <w:t>-- Need M</w:t>
      </w:r>
    </w:p>
    <w:bookmarkEnd w:id="1740"/>
    <w:p w14:paraId="7B947AC6" w14:textId="4A6B2D85" w:rsidR="00C26E98" w:rsidRPr="00FA0D37" w:rsidRDefault="00C26E98" w:rsidP="00FA0D37">
      <w:pPr>
        <w:pStyle w:val="PL"/>
      </w:pPr>
      <w:r w:rsidRPr="00FA0D37">
        <w:t xml:space="preserve">    sl-DRX-GC-BC-OnDurationTimer-r17        </w:t>
      </w:r>
      <w:r w:rsidRPr="00FA0D37">
        <w:rPr>
          <w:color w:val="993366"/>
        </w:rPr>
        <w:t>CHOICE</w:t>
      </w:r>
      <w:r w:rsidRPr="00FA0D37">
        <w:t xml:space="preserve"> {</w:t>
      </w:r>
    </w:p>
    <w:p w14:paraId="0A36ECE7" w14:textId="47011AAE" w:rsidR="00C26E98" w:rsidRPr="00FA0D37" w:rsidRDefault="00C26E98" w:rsidP="00FA0D37">
      <w:pPr>
        <w:pStyle w:val="PL"/>
      </w:pPr>
      <w:r w:rsidRPr="00FA0D37">
        <w:t xml:space="preserve">                                                subMilliSeconds </w:t>
      </w:r>
      <w:r w:rsidRPr="00FA0D37">
        <w:rPr>
          <w:color w:val="993366"/>
        </w:rPr>
        <w:t>INTEGER</w:t>
      </w:r>
      <w:r w:rsidRPr="00FA0D37">
        <w:t xml:space="preserve"> (1..31),</w:t>
      </w:r>
    </w:p>
    <w:p w14:paraId="782B0DD7" w14:textId="6AA39C8B" w:rsidR="00C26E98" w:rsidRPr="00FA0D37" w:rsidRDefault="00C26E98" w:rsidP="00FA0D37">
      <w:pPr>
        <w:pStyle w:val="PL"/>
      </w:pPr>
      <w:r w:rsidRPr="00FA0D37">
        <w:t xml:space="preserve">                                                milliSeconds    </w:t>
      </w:r>
      <w:r w:rsidRPr="00FA0D37">
        <w:rPr>
          <w:color w:val="993366"/>
        </w:rPr>
        <w:t>ENUMERATED</w:t>
      </w:r>
      <w:r w:rsidRPr="00FA0D37">
        <w:t xml:space="preserve"> {</w:t>
      </w:r>
    </w:p>
    <w:p w14:paraId="26BEEC97" w14:textId="33EA2095" w:rsidR="00C26E98" w:rsidRPr="00FA0D37" w:rsidRDefault="00C26E98" w:rsidP="00FA0D37">
      <w:pPr>
        <w:pStyle w:val="PL"/>
      </w:pPr>
      <w:r w:rsidRPr="00FA0D37">
        <w:t xml:space="preserve">                                                      ms1, ms2, ms3, ms4, ms5,ms6, ms8, ms10, ms20, ms30, ms40, ms50, ms60,</w:t>
      </w:r>
    </w:p>
    <w:p w14:paraId="05871D86" w14:textId="77BCCA05" w:rsidR="00C26E98" w:rsidRPr="00FA0D37" w:rsidRDefault="00C26E98" w:rsidP="00FA0D37">
      <w:pPr>
        <w:pStyle w:val="PL"/>
      </w:pPr>
      <w:r w:rsidRPr="00FA0D37">
        <w:t xml:space="preserve">                                                      ms80, ms100, ms200, ms300, ms400, ms500, ms600, ms800, ms1000, ms1200,</w:t>
      </w:r>
    </w:p>
    <w:p w14:paraId="2B8447CA" w14:textId="1AA1788D" w:rsidR="00C26E98" w:rsidRPr="00FA0D37" w:rsidRDefault="00C26E98" w:rsidP="00FA0D37">
      <w:pPr>
        <w:pStyle w:val="PL"/>
      </w:pPr>
      <w:r w:rsidRPr="00FA0D37">
        <w:t xml:space="preserve">                                                      ms1600, spare8, spare7, spare6, spare5, spare4, spare3, spare2, spare1}</w:t>
      </w:r>
    </w:p>
    <w:p w14:paraId="0CC2ED5F" w14:textId="04EE4530" w:rsidR="00C26E98" w:rsidRPr="00FA0D37" w:rsidRDefault="00C26E98" w:rsidP="00FA0D37">
      <w:pPr>
        <w:pStyle w:val="PL"/>
      </w:pPr>
      <w:r w:rsidRPr="00FA0D37">
        <w:t xml:space="preserve">                                            },</w:t>
      </w:r>
    </w:p>
    <w:p w14:paraId="2D1918F3" w14:textId="77BA3242" w:rsidR="00C26E98" w:rsidRPr="00FA0D37" w:rsidRDefault="00C26E98" w:rsidP="00FA0D37">
      <w:pPr>
        <w:pStyle w:val="PL"/>
      </w:pPr>
      <w:r w:rsidRPr="00FA0D37">
        <w:t xml:space="preserve">    sl-DRX-GC-InactivityTimer-r17           </w:t>
      </w:r>
      <w:r w:rsidRPr="00FA0D37">
        <w:rPr>
          <w:color w:val="993366"/>
        </w:rPr>
        <w:t>ENUMERATED</w:t>
      </w:r>
      <w:r w:rsidRPr="00FA0D37">
        <w:t xml:space="preserve"> {</w:t>
      </w:r>
    </w:p>
    <w:p w14:paraId="36DEE809" w14:textId="27F55114" w:rsidR="00C26E98" w:rsidRPr="00FA0D37" w:rsidRDefault="00C26E98" w:rsidP="00FA0D37">
      <w:pPr>
        <w:pStyle w:val="PL"/>
      </w:pPr>
      <w:r w:rsidRPr="00FA0D37">
        <w:t xml:space="preserve">                                                ms0, ms1, ms2, ms3, ms4, ms5, ms6, ms8, ms10, ms20, ms30, ms40, ms50, ms60, ms80,</w:t>
      </w:r>
    </w:p>
    <w:p w14:paraId="20787F3B" w14:textId="70E5A30F" w:rsidR="00C26E98" w:rsidRPr="00FA0D37" w:rsidRDefault="00C26E98" w:rsidP="00FA0D37">
      <w:pPr>
        <w:pStyle w:val="PL"/>
      </w:pPr>
      <w:r w:rsidRPr="00FA0D37">
        <w:t xml:space="preserve">                                                ms100, ms200, ms300, ms500, ms750, ms1280, ms1920, ms2560, spare9, spare8,</w:t>
      </w:r>
    </w:p>
    <w:p w14:paraId="49B5CBBB" w14:textId="03582BFB" w:rsidR="00C26E98" w:rsidRPr="00FA0D37" w:rsidRDefault="00C26E98" w:rsidP="00FA0D37">
      <w:pPr>
        <w:pStyle w:val="PL"/>
      </w:pPr>
      <w:r w:rsidRPr="00FA0D37">
        <w:t xml:space="preserve">                                                spare7, spare6, spare5, spare4, spare3, spare2, spare1},</w:t>
      </w:r>
    </w:p>
    <w:p w14:paraId="5E55A1D8" w14:textId="0717ADDC" w:rsidR="00C26E98" w:rsidRPr="00FA0D37" w:rsidRDefault="00C26E98" w:rsidP="00FA0D37">
      <w:pPr>
        <w:pStyle w:val="PL"/>
      </w:pPr>
      <w:bookmarkStart w:id="1741" w:name="OLE_LINK27"/>
      <w:bookmarkStart w:id="1742" w:name="OLE_LINK28"/>
      <w:r w:rsidRPr="00FA0D37">
        <w:t xml:space="preserve">    </w:t>
      </w:r>
      <w:bookmarkEnd w:id="1741"/>
      <w:bookmarkEnd w:id="1742"/>
      <w:r w:rsidRPr="00FA0D37">
        <w:t xml:space="preserve">sl-DRX-GC-BC-Cycle-r17                  </w:t>
      </w:r>
      <w:r w:rsidRPr="00FA0D37">
        <w:rPr>
          <w:color w:val="993366"/>
        </w:rPr>
        <w:t>ENUMERATED</w:t>
      </w:r>
      <w:r w:rsidRPr="00FA0D37">
        <w:t xml:space="preserve"> {</w:t>
      </w:r>
    </w:p>
    <w:p w14:paraId="162EBE4D" w14:textId="4CF34C05" w:rsidR="00C26E98" w:rsidRPr="00FA0D37" w:rsidRDefault="00C26E98" w:rsidP="00FA0D37">
      <w:pPr>
        <w:pStyle w:val="PL"/>
      </w:pPr>
      <w:r w:rsidRPr="00FA0D37">
        <w:t xml:space="preserve">                                                ms10, ms20, ms32, ms40, ms60, ms64, ms70, ms80, ms128, ms160, ms256, ms320, ms512,</w:t>
      </w:r>
    </w:p>
    <w:p w14:paraId="1A4759DB" w14:textId="1EC97056" w:rsidR="00C26E98" w:rsidRPr="00FA0D37" w:rsidRDefault="00C26E98" w:rsidP="00FA0D37">
      <w:pPr>
        <w:pStyle w:val="PL"/>
      </w:pPr>
      <w:r w:rsidRPr="00FA0D37">
        <w:t xml:space="preserve">                                                ms640, ms1024, ms1280, ms2048, ms2560, ms5120, ms10240, spare12, spare11, spare10,</w:t>
      </w:r>
    </w:p>
    <w:p w14:paraId="3E4EDDC8" w14:textId="3F9A8799" w:rsidR="00C26E98" w:rsidRPr="00FA0D37" w:rsidRDefault="00C26E98" w:rsidP="00FA0D37">
      <w:pPr>
        <w:pStyle w:val="PL"/>
      </w:pPr>
      <w:r w:rsidRPr="00FA0D37">
        <w:t xml:space="preserve">                                                spare9, spare8, spare7, spare6, spare5, spare4, spare3, spare2, spare1},</w:t>
      </w:r>
    </w:p>
    <w:p w14:paraId="5C2E1179" w14:textId="16252E9E" w:rsidR="00C26E98" w:rsidRPr="00FA0D37" w:rsidRDefault="00C26E98" w:rsidP="00FA0D37">
      <w:pPr>
        <w:pStyle w:val="PL"/>
      </w:pPr>
      <w:r w:rsidRPr="00FA0D37">
        <w:t xml:space="preserve">    ...</w:t>
      </w:r>
    </w:p>
    <w:p w14:paraId="6E612FFD" w14:textId="77777777" w:rsidR="00C26E98" w:rsidRPr="00FA0D37" w:rsidRDefault="00C26E98" w:rsidP="00FA0D37">
      <w:pPr>
        <w:pStyle w:val="PL"/>
      </w:pPr>
      <w:r w:rsidRPr="00FA0D37">
        <w:t>}</w:t>
      </w:r>
    </w:p>
    <w:p w14:paraId="217ADF5E" w14:textId="77777777" w:rsidR="00C26E98" w:rsidRPr="00FA0D37" w:rsidRDefault="00C26E98" w:rsidP="00FA0D37">
      <w:pPr>
        <w:pStyle w:val="PL"/>
      </w:pPr>
    </w:p>
    <w:p w14:paraId="01D7E6B4" w14:textId="551F9F68" w:rsidR="00C26E98" w:rsidRPr="00FA0D37" w:rsidRDefault="00C26E98" w:rsidP="00FA0D37">
      <w:pPr>
        <w:pStyle w:val="PL"/>
      </w:pPr>
      <w:r w:rsidRPr="00FA0D37">
        <w:t xml:space="preserve">SL-DRX-GC-Generic-r17 ::=           </w:t>
      </w:r>
      <w:r w:rsidR="001B1A88" w:rsidRPr="00FA0D37">
        <w:t xml:space="preserve">    </w:t>
      </w:r>
      <w:r w:rsidRPr="00FA0D37">
        <w:rPr>
          <w:color w:val="993366"/>
        </w:rPr>
        <w:t>SEQUENCE</w:t>
      </w:r>
      <w:r w:rsidRPr="00FA0D37">
        <w:t xml:space="preserve"> {</w:t>
      </w:r>
    </w:p>
    <w:p w14:paraId="52BA3ACA" w14:textId="3753EEB9" w:rsidR="00C26E98" w:rsidRPr="00FA0D37" w:rsidRDefault="00C26E98" w:rsidP="00FA0D37">
      <w:pPr>
        <w:pStyle w:val="PL"/>
        <w:rPr>
          <w:color w:val="808080"/>
        </w:rPr>
      </w:pPr>
      <w:r w:rsidRPr="00FA0D37">
        <w:t xml:space="preserve">    sl-DRX-GC-HARQ-RTT-Timer1</w:t>
      </w:r>
      <w:r w:rsidR="001B1A88" w:rsidRPr="00FA0D37">
        <w:t>-r17</w:t>
      </w:r>
      <w:r w:rsidRPr="00FA0D37">
        <w:t xml:space="preserve">           </w:t>
      </w:r>
      <w:r w:rsidRPr="00FA0D37">
        <w:rPr>
          <w:color w:val="993366"/>
        </w:rPr>
        <w:t>ENUMERATED</w:t>
      </w:r>
      <w:r w:rsidRPr="00FA0D37">
        <w:t xml:space="preserve"> {sl0, sl1, sl2, sl4, spare4, spare3, spare2, spare1}</w:t>
      </w:r>
      <w:r w:rsidR="001B1A88" w:rsidRPr="00FA0D37">
        <w:t xml:space="preserve">       </w:t>
      </w:r>
      <w:r w:rsidR="001B1A88" w:rsidRPr="00FA0D37">
        <w:rPr>
          <w:color w:val="993366"/>
        </w:rPr>
        <w:t>OPTIONAL</w:t>
      </w:r>
      <w:r w:rsidRPr="00FA0D37">
        <w:t>,</w:t>
      </w:r>
      <w:r w:rsidR="001B1A88" w:rsidRPr="00FA0D37">
        <w:t xml:space="preserve">  </w:t>
      </w:r>
      <w:r w:rsidR="001B1A88" w:rsidRPr="00FA0D37">
        <w:rPr>
          <w:color w:val="808080"/>
        </w:rPr>
        <w:t>-- Need M</w:t>
      </w:r>
    </w:p>
    <w:p w14:paraId="4D6E4874" w14:textId="4F4080E9" w:rsidR="00C26E98" w:rsidRPr="00FA0D37" w:rsidRDefault="00C26E98" w:rsidP="00FA0D37">
      <w:pPr>
        <w:pStyle w:val="PL"/>
        <w:rPr>
          <w:color w:val="808080"/>
        </w:rPr>
      </w:pPr>
      <w:r w:rsidRPr="00FA0D37">
        <w:t xml:space="preserve">    sl-DRX-GC-HARQ-RTT-Timer2</w:t>
      </w:r>
      <w:r w:rsidR="001B1A88" w:rsidRPr="00FA0D37">
        <w:t>-r17</w:t>
      </w:r>
      <w:r w:rsidRPr="00FA0D37">
        <w:t xml:space="preserve">           </w:t>
      </w:r>
      <w:r w:rsidRPr="00FA0D37">
        <w:rPr>
          <w:color w:val="993366"/>
        </w:rPr>
        <w:t>ENUMERATED</w:t>
      </w:r>
      <w:r w:rsidRPr="00FA0D37">
        <w:t xml:space="preserve"> {sl0, sl1, sl2, sl4, spare4, spare3, spare2, spare1}</w:t>
      </w:r>
      <w:r w:rsidR="001B1A88" w:rsidRPr="00FA0D37">
        <w:t xml:space="preserve">       </w:t>
      </w:r>
      <w:r w:rsidR="001B1A88" w:rsidRPr="00FA0D37">
        <w:rPr>
          <w:color w:val="993366"/>
        </w:rPr>
        <w:t>OPTIONAL</w:t>
      </w:r>
      <w:r w:rsidRPr="00FA0D37">
        <w:t>,</w:t>
      </w:r>
      <w:r w:rsidR="001B1A88" w:rsidRPr="00FA0D37">
        <w:t xml:space="preserve">  </w:t>
      </w:r>
      <w:r w:rsidR="001B1A88" w:rsidRPr="00FA0D37">
        <w:rPr>
          <w:color w:val="808080"/>
        </w:rPr>
        <w:t>-- Need M</w:t>
      </w:r>
    </w:p>
    <w:p w14:paraId="1ADE584B" w14:textId="22734065" w:rsidR="00C26E98" w:rsidRPr="00FA0D37" w:rsidRDefault="00C26E98" w:rsidP="00FA0D37">
      <w:pPr>
        <w:pStyle w:val="PL"/>
      </w:pPr>
      <w:r w:rsidRPr="00FA0D37">
        <w:t xml:space="preserve">    sl-DRX-GC-RetransmissionTimer</w:t>
      </w:r>
      <w:r w:rsidR="001B1A88" w:rsidRPr="00FA0D37">
        <w:t>-r17</w:t>
      </w:r>
      <w:r w:rsidRPr="00FA0D37">
        <w:t xml:space="preserve">       </w:t>
      </w:r>
      <w:r w:rsidRPr="00FA0D37">
        <w:rPr>
          <w:color w:val="993366"/>
        </w:rPr>
        <w:t>ENUMERATED</w:t>
      </w:r>
      <w:r w:rsidRPr="00FA0D37">
        <w:t xml:space="preserve"> {</w:t>
      </w:r>
    </w:p>
    <w:p w14:paraId="617939C7" w14:textId="77777777" w:rsidR="001B1A88" w:rsidRPr="00FA0D37" w:rsidRDefault="00C26E98" w:rsidP="00FA0D37">
      <w:pPr>
        <w:pStyle w:val="PL"/>
      </w:pPr>
      <w:r w:rsidRPr="00FA0D37">
        <w:t xml:space="preserve">                                            </w:t>
      </w:r>
      <w:r w:rsidR="001B1A88" w:rsidRPr="00FA0D37">
        <w:t xml:space="preserve">    </w:t>
      </w:r>
      <w:r w:rsidRPr="00FA0D37">
        <w:t>sl0, sl1, sl2, sl4, sl6, sl8, sl16, sl24, sl33, sl40, sl64, sl80, sl96, sl112, sl128,</w:t>
      </w:r>
    </w:p>
    <w:p w14:paraId="445400DB" w14:textId="059F8B2B" w:rsidR="001B1A88" w:rsidRPr="00FA0D37" w:rsidRDefault="001B1A88" w:rsidP="00FA0D37">
      <w:pPr>
        <w:pStyle w:val="PL"/>
      </w:pPr>
      <w:r w:rsidRPr="00FA0D37">
        <w:t xml:space="preserve">                                               </w:t>
      </w:r>
      <w:r w:rsidR="00C26E98" w:rsidRPr="00FA0D37">
        <w:t xml:space="preserve"> sl160, sl320, spare15, spare14, spare13, spare12, spare11, spare10, spare9, spare8,</w:t>
      </w:r>
    </w:p>
    <w:p w14:paraId="440167DF" w14:textId="3291174E" w:rsidR="00C26E98" w:rsidRPr="00FA0D37" w:rsidRDefault="001B1A88" w:rsidP="00FA0D37">
      <w:pPr>
        <w:pStyle w:val="PL"/>
      </w:pPr>
      <w:r w:rsidRPr="00FA0D37">
        <w:t xml:space="preserve">                                               </w:t>
      </w:r>
      <w:r w:rsidR="00C26E98" w:rsidRPr="00FA0D37">
        <w:t xml:space="preserve"> spare7, spare6, spare5, spare4, spare3, spare2, spare1}</w:t>
      </w:r>
    </w:p>
    <w:p w14:paraId="04FAAE0E" w14:textId="77777777" w:rsidR="00C26E98" w:rsidRPr="00FA0D37" w:rsidRDefault="00C26E98" w:rsidP="00FA0D37">
      <w:pPr>
        <w:pStyle w:val="PL"/>
      </w:pPr>
      <w:r w:rsidRPr="00FA0D37">
        <w:lastRenderedPageBreak/>
        <w:t>}</w:t>
      </w:r>
    </w:p>
    <w:p w14:paraId="1FF412F9" w14:textId="77777777" w:rsidR="00C26E98" w:rsidRPr="00FA0D37" w:rsidRDefault="00C26E98" w:rsidP="00FA0D37">
      <w:pPr>
        <w:pStyle w:val="PL"/>
      </w:pPr>
    </w:p>
    <w:p w14:paraId="7188A3A9" w14:textId="3C970662" w:rsidR="00C26E98" w:rsidRPr="00FA0D37" w:rsidRDefault="00C26E98" w:rsidP="00FA0D37">
      <w:pPr>
        <w:pStyle w:val="PL"/>
        <w:rPr>
          <w:color w:val="808080"/>
        </w:rPr>
      </w:pPr>
      <w:r w:rsidRPr="00FA0D37">
        <w:rPr>
          <w:color w:val="808080"/>
        </w:rPr>
        <w:t>-- TAG-SL-DRX-CONFIGGC-BC-STOP</w:t>
      </w:r>
    </w:p>
    <w:p w14:paraId="46EA64D2" w14:textId="385BD352" w:rsidR="00C26E98" w:rsidRPr="00FA0D37" w:rsidRDefault="00C26E98" w:rsidP="00FA0D37">
      <w:pPr>
        <w:pStyle w:val="PL"/>
        <w:rPr>
          <w:color w:val="808080"/>
        </w:rPr>
      </w:pPr>
      <w:r w:rsidRPr="00FA0D37">
        <w:rPr>
          <w:color w:val="808080"/>
        </w:rPr>
        <w:t>-- ASN1STOP</w:t>
      </w:r>
    </w:p>
    <w:p w14:paraId="143276CA" w14:textId="77777777" w:rsidR="00C26E98" w:rsidRPr="00FA0D37" w:rsidRDefault="00C26E98" w:rsidP="000830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2DA962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F03E0F9" w14:textId="08DCB712" w:rsidR="00C26E98" w:rsidRPr="00FA0D37" w:rsidRDefault="00C26E98" w:rsidP="00771058">
            <w:pPr>
              <w:pStyle w:val="TAH"/>
              <w:rPr>
                <w:i/>
                <w:lang w:eastAsia="sv-SE"/>
              </w:rPr>
            </w:pPr>
            <w:r w:rsidRPr="00FA0D37">
              <w:rPr>
                <w:i/>
                <w:lang w:eastAsia="sv-SE"/>
              </w:rPr>
              <w:t>SL-DRX-ConfigGC-BC</w:t>
            </w:r>
            <w:r w:rsidRPr="00FA0D37">
              <w:rPr>
                <w:iCs/>
                <w:lang w:eastAsia="sv-SE"/>
              </w:rPr>
              <w:t xml:space="preserve"> field descriptions</w:t>
            </w:r>
          </w:p>
        </w:tc>
      </w:tr>
      <w:tr w:rsidR="005C7FF4" w:rsidRPr="00FA0D37" w14:paraId="24815004" w14:textId="77777777" w:rsidTr="00771058">
        <w:tc>
          <w:tcPr>
            <w:tcW w:w="14173" w:type="dxa"/>
            <w:tcBorders>
              <w:top w:val="single" w:sz="4" w:space="0" w:color="auto"/>
              <w:left w:val="single" w:sz="4" w:space="0" w:color="auto"/>
              <w:bottom w:val="single" w:sz="4" w:space="0" w:color="auto"/>
              <w:right w:val="single" w:sz="4" w:space="0" w:color="auto"/>
            </w:tcBorders>
          </w:tcPr>
          <w:p w14:paraId="16BE82ED" w14:textId="1667DC5F" w:rsidR="00C26E98" w:rsidRPr="00FA0D37" w:rsidRDefault="00C26E98" w:rsidP="00771058">
            <w:pPr>
              <w:pStyle w:val="TAL"/>
              <w:rPr>
                <w:b/>
                <w:i/>
                <w:lang w:eastAsia="sv-SE"/>
              </w:rPr>
            </w:pPr>
            <w:r w:rsidRPr="00FA0D37">
              <w:rPr>
                <w:b/>
                <w:i/>
                <w:lang w:eastAsia="sv-SE"/>
              </w:rPr>
              <w:t>sl-DefaultDRX-GC-BC</w:t>
            </w:r>
          </w:p>
          <w:p w14:paraId="25B17925" w14:textId="306B11D2" w:rsidR="00C26E98" w:rsidRPr="00FA0D37" w:rsidRDefault="00C26E98" w:rsidP="00771058">
            <w:pPr>
              <w:pStyle w:val="TAL"/>
              <w:rPr>
                <w:b/>
                <w:i/>
                <w:lang w:eastAsia="sv-SE"/>
              </w:rPr>
            </w:pPr>
            <w:r w:rsidRPr="00FA0D37">
              <w:rPr>
                <w:lang w:eastAsia="sv-SE"/>
              </w:rPr>
              <w:t>Indicates the default sidelink DRX configuration for groupcast and broadcast communications, which is used for QoS profile(s) that cannot be mapped into DRX configuration(s) configured for dedicated QoS profile(s). This field can be applied for the broadcast based or unicast based communication of Direct Link Establishment Request as described in TS 24.587 [</w:t>
            </w:r>
            <w:r w:rsidR="008041FF" w:rsidRPr="00FA0D37">
              <w:rPr>
                <w:lang w:eastAsia="sv-SE"/>
              </w:rPr>
              <w:t>57</w:t>
            </w:r>
            <w:r w:rsidRPr="00FA0D37">
              <w:rPr>
                <w:lang w:eastAsia="sv-SE"/>
              </w:rPr>
              <w:t>]</w:t>
            </w:r>
            <w:r w:rsidR="00D25159" w:rsidRPr="00FA0D37">
              <w:rPr>
                <w:lang w:eastAsia="sv-SE"/>
              </w:rPr>
              <w:t>,</w:t>
            </w:r>
            <w:r w:rsidR="00D25159" w:rsidRPr="00FA0D37">
              <w:rPr>
                <w:rFonts w:cs="Arial"/>
                <w:lang w:eastAsia="sv-SE"/>
              </w:rPr>
              <w:t xml:space="preserve"> ProSe Direct Link Establishment Request message</w:t>
            </w:r>
            <w:r w:rsidR="0039645C" w:rsidRPr="00FA0D37">
              <w:rPr>
                <w:rFonts w:cs="Arial"/>
                <w:lang w:eastAsia="sv-SE"/>
              </w:rPr>
              <w:t xml:space="preserve"> and discovery message</w:t>
            </w:r>
            <w:r w:rsidR="00750AB7" w:rsidRPr="00FA0D37">
              <w:t xml:space="preserve"> </w:t>
            </w:r>
            <w:r w:rsidR="00750AB7" w:rsidRPr="00FA0D37">
              <w:rPr>
                <w:rFonts w:cs="Arial"/>
                <w:lang w:eastAsia="sv-SE"/>
              </w:rPr>
              <w:t>as described in TS 24.554 [72]</w:t>
            </w:r>
            <w:r w:rsidRPr="00FA0D37">
              <w:rPr>
                <w:lang w:eastAsia="sv-SE"/>
              </w:rPr>
              <w:t>.</w:t>
            </w:r>
          </w:p>
        </w:tc>
      </w:tr>
      <w:tr w:rsidR="005C7FF4" w:rsidRPr="00FA0D37" w14:paraId="20BD53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FE77F8D" w14:textId="77777777" w:rsidR="00C26E98" w:rsidRPr="00FA0D37" w:rsidRDefault="00C26E98" w:rsidP="00771058">
            <w:pPr>
              <w:pStyle w:val="TAL"/>
              <w:rPr>
                <w:b/>
                <w:i/>
                <w:lang w:eastAsia="sv-SE"/>
              </w:rPr>
            </w:pPr>
            <w:r w:rsidRPr="00FA0D37">
              <w:rPr>
                <w:b/>
                <w:i/>
                <w:lang w:eastAsia="sv-SE"/>
              </w:rPr>
              <w:t>sl-DRX-GC-BC-PerQoS-List</w:t>
            </w:r>
          </w:p>
          <w:p w14:paraId="3F14EC62" w14:textId="77777777" w:rsidR="00C26E98" w:rsidRPr="00FA0D37" w:rsidRDefault="00C26E98" w:rsidP="00771058">
            <w:pPr>
              <w:pStyle w:val="TAL"/>
              <w:rPr>
                <w:szCs w:val="22"/>
                <w:lang w:eastAsia="zh-CN"/>
              </w:rPr>
            </w:pPr>
            <w:r w:rsidRPr="00FA0D37">
              <w:rPr>
                <w:lang w:eastAsia="zh-CN"/>
              </w:rPr>
              <w:t>List of one or multiple sidelink DRX configurations for groupcast and broadcast communication, which are mapped from QoS profile(s).</w:t>
            </w:r>
          </w:p>
        </w:tc>
      </w:tr>
      <w:tr w:rsidR="005C7FF4" w:rsidRPr="00FA0D37" w14:paraId="3F1C841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2EB9EE" w14:textId="77777777" w:rsidR="00C26E98" w:rsidRPr="00FA0D37" w:rsidRDefault="00C26E98" w:rsidP="00771058">
            <w:pPr>
              <w:pStyle w:val="TAL"/>
              <w:rPr>
                <w:b/>
                <w:i/>
                <w:lang w:eastAsia="sv-SE"/>
              </w:rPr>
            </w:pPr>
            <w:r w:rsidRPr="00FA0D37">
              <w:rPr>
                <w:b/>
                <w:i/>
                <w:lang w:eastAsia="sv-SE"/>
              </w:rPr>
              <w:t>sl-DRX-GC-BC-Cycle</w:t>
            </w:r>
          </w:p>
          <w:p w14:paraId="0D9F9B7B" w14:textId="77777777" w:rsidR="00C26E98" w:rsidRPr="00FA0D37" w:rsidRDefault="00C26E98" w:rsidP="00771058">
            <w:pPr>
              <w:pStyle w:val="TAL"/>
              <w:rPr>
                <w:szCs w:val="22"/>
                <w:lang w:eastAsia="sv-SE"/>
              </w:rPr>
            </w:pPr>
            <w:r w:rsidRPr="00FA0D37">
              <w:rPr>
                <w:lang w:eastAsia="zh-CN"/>
              </w:rPr>
              <w:t xml:space="preserve">Value in ms, ms10 corresponds to 10ms, ms20 corresponds to 20 ms, ms32 corresponds to 32 ms, and so on. </w:t>
            </w:r>
          </w:p>
        </w:tc>
      </w:tr>
      <w:tr w:rsidR="005C7FF4" w:rsidRPr="00FA0D37" w14:paraId="3D59BCB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40542D9" w14:textId="77777777" w:rsidR="00C26E98" w:rsidRPr="00FA0D37" w:rsidRDefault="00C26E98" w:rsidP="00771058">
            <w:pPr>
              <w:pStyle w:val="TAL"/>
              <w:rPr>
                <w:b/>
                <w:i/>
                <w:lang w:eastAsia="sv-SE"/>
              </w:rPr>
            </w:pPr>
            <w:bookmarkStart w:id="1743" w:name="OLE_LINK34"/>
            <w:bookmarkStart w:id="1744" w:name="OLE_LINK35"/>
            <w:r w:rsidRPr="00FA0D37">
              <w:rPr>
                <w:b/>
                <w:i/>
                <w:lang w:eastAsia="sv-SE"/>
              </w:rPr>
              <w:t>sl-DRX-GC-BC-MappedQoS-FlowsList</w:t>
            </w:r>
          </w:p>
          <w:p w14:paraId="18E25168" w14:textId="77777777" w:rsidR="00C26E98" w:rsidRPr="00FA0D37" w:rsidRDefault="00C26E98" w:rsidP="00771058">
            <w:pPr>
              <w:pStyle w:val="TAL"/>
              <w:rPr>
                <w:szCs w:val="22"/>
                <w:lang w:eastAsia="sv-SE"/>
              </w:rPr>
            </w:pPr>
            <w:r w:rsidRPr="00FA0D37">
              <w:rPr>
                <w:lang w:eastAsia="zh-CN"/>
              </w:rPr>
              <w:t>List of QoS profiles of the NR sidelink communication, which are mapped to a sidelink DRX configuration.</w:t>
            </w:r>
            <w:bookmarkEnd w:id="1743"/>
            <w:bookmarkEnd w:id="1744"/>
          </w:p>
        </w:tc>
      </w:tr>
      <w:tr w:rsidR="005C7FF4" w:rsidRPr="00FA0D37" w14:paraId="0B5A4C5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A90887" w14:textId="77777777" w:rsidR="00C26E98" w:rsidRPr="00FA0D37" w:rsidRDefault="00C26E98" w:rsidP="00771058">
            <w:pPr>
              <w:pStyle w:val="TAL"/>
              <w:rPr>
                <w:b/>
                <w:i/>
                <w:szCs w:val="22"/>
                <w:lang w:eastAsia="sv-SE"/>
              </w:rPr>
            </w:pPr>
            <w:r w:rsidRPr="00FA0D37">
              <w:rPr>
                <w:b/>
                <w:i/>
                <w:lang w:eastAsia="sv-SE"/>
              </w:rPr>
              <w:t>sl-DRX-GC-BC-OnDurationTimer</w:t>
            </w:r>
          </w:p>
          <w:p w14:paraId="0DB8F34B" w14:textId="77777777" w:rsidR="00C26E98" w:rsidRPr="00FA0D37" w:rsidRDefault="00C26E98" w:rsidP="00771058">
            <w:pPr>
              <w:pStyle w:val="TAL"/>
              <w:rPr>
                <w:szCs w:val="22"/>
                <w:lang w:eastAsia="sv-SE"/>
              </w:rPr>
            </w:pPr>
            <w:r w:rsidRPr="00FA0D37">
              <w:rPr>
                <w:lang w:eastAsia="zh-CN"/>
              </w:rPr>
              <w:t>Value in multiples of 1/32 ms (subMilliSeconds) or in ms (milliSecond). For the latter, value ms1 corresponds to 1 ms, value ms2 corresponds to 2 ms, and so on.</w:t>
            </w:r>
          </w:p>
        </w:tc>
      </w:tr>
      <w:tr w:rsidR="005C7FF4" w:rsidRPr="00FA0D37" w14:paraId="2EEE01F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2F0251" w14:textId="77777777" w:rsidR="00C26E98" w:rsidRPr="00FA0D37" w:rsidRDefault="00C26E98" w:rsidP="00771058">
            <w:pPr>
              <w:pStyle w:val="TAL"/>
              <w:rPr>
                <w:b/>
                <w:i/>
                <w:lang w:eastAsia="zh-CN"/>
              </w:rPr>
            </w:pPr>
            <w:r w:rsidRPr="00FA0D37">
              <w:rPr>
                <w:b/>
                <w:i/>
                <w:lang w:eastAsia="zh-CN"/>
              </w:rPr>
              <w:t>sl-DRX-GC-HARQ-RTT-Timer1, sl-DRX-GC-HARQ-RTT-Timer2</w:t>
            </w:r>
          </w:p>
          <w:p w14:paraId="0078A210" w14:textId="4757B4D8" w:rsidR="00C26E98" w:rsidRPr="00FA0D37" w:rsidRDefault="00C26E98" w:rsidP="00771058">
            <w:pPr>
              <w:pStyle w:val="TAL"/>
              <w:rPr>
                <w:lang w:eastAsia="zh-CN"/>
              </w:rPr>
            </w:pPr>
            <w:r w:rsidRPr="00FA0D37">
              <w:rPr>
                <w:lang w:eastAsia="zh-CN"/>
              </w:rPr>
              <w:t xml:space="preserve">Value in number of slot lengths of the </w:t>
            </w:r>
            <w:r w:rsidR="00806168" w:rsidRPr="00FA0D37">
              <w:rPr>
                <w:lang w:eastAsia="zh-CN"/>
              </w:rPr>
              <w:t xml:space="preserve">sidelink </w:t>
            </w:r>
            <w:r w:rsidRPr="00FA0D37">
              <w:rPr>
                <w:lang w:eastAsia="zh-CN"/>
              </w:rPr>
              <w:t>BWP where the transport block was received.</w:t>
            </w:r>
            <w:r w:rsidRPr="00FA0D37">
              <w:t xml:space="preserve"> </w:t>
            </w:r>
            <w:r w:rsidRPr="00FA0D37">
              <w:rPr>
                <w:lang w:eastAsia="zh-CN"/>
              </w:rPr>
              <w:t xml:space="preserve">Value sl0 corresponds to 0 slots, sl1 corresponds to 1 slot, sl2 corresponds to 2 slots, and so on. </w:t>
            </w:r>
            <w:r w:rsidR="001B1A88" w:rsidRPr="00FA0D37">
              <w:rPr>
                <w:i/>
                <w:lang w:eastAsia="zh-CN"/>
              </w:rPr>
              <w:t>sl-DRX-GC-HARQ-RTT-Timer1</w:t>
            </w:r>
            <w:r w:rsidR="001B1A88" w:rsidRPr="00FA0D37">
              <w:rPr>
                <w:lang w:eastAsia="zh-CN"/>
              </w:rPr>
              <w:t xml:space="preserve"> is used for </w:t>
            </w:r>
            <w:r w:rsidR="00750AB7" w:rsidRPr="00FA0D37">
              <w:rPr>
                <w:lang w:eastAsia="zh-CN"/>
              </w:rPr>
              <w:t xml:space="preserve">HARQ </w:t>
            </w:r>
            <w:r w:rsidR="0007748F" w:rsidRPr="00FA0D37">
              <w:rPr>
                <w:lang w:eastAsia="zh-CN"/>
              </w:rPr>
              <w:t xml:space="preserve">feedback </w:t>
            </w:r>
            <w:r w:rsidR="001B1A88" w:rsidRPr="00FA0D37">
              <w:rPr>
                <w:lang w:eastAsia="zh-CN"/>
              </w:rPr>
              <w:t xml:space="preserve">enabled sidelink </w:t>
            </w:r>
            <w:r w:rsidR="00750AB7" w:rsidRPr="00FA0D37">
              <w:rPr>
                <w:lang w:eastAsia="zh-CN"/>
              </w:rPr>
              <w:t>re</w:t>
            </w:r>
            <w:r w:rsidR="001B1A88" w:rsidRPr="00FA0D37">
              <w:rPr>
                <w:lang w:eastAsia="zh-CN"/>
              </w:rPr>
              <w:t xml:space="preserve">transmission if SCI does not indicate retransmission resource(s). </w:t>
            </w:r>
            <w:r w:rsidR="001B1A88" w:rsidRPr="00FA0D37">
              <w:rPr>
                <w:i/>
                <w:lang w:eastAsia="zh-CN"/>
              </w:rPr>
              <w:t>sl-DRX-GC-HARQ-RTT-Timer2</w:t>
            </w:r>
            <w:r w:rsidR="001B1A88" w:rsidRPr="00FA0D37">
              <w:rPr>
                <w:lang w:eastAsia="zh-CN"/>
              </w:rPr>
              <w:t xml:space="preserve"> is used for </w:t>
            </w:r>
            <w:r w:rsidR="00750AB7" w:rsidRPr="00FA0D37">
              <w:rPr>
                <w:lang w:eastAsia="zh-CN"/>
              </w:rPr>
              <w:t xml:space="preserve">HARQ </w:t>
            </w:r>
            <w:r w:rsidR="0007748F" w:rsidRPr="00FA0D37">
              <w:rPr>
                <w:lang w:eastAsia="zh-CN"/>
              </w:rPr>
              <w:t xml:space="preserve">feedback </w:t>
            </w:r>
            <w:r w:rsidR="001B1A88" w:rsidRPr="00FA0D37">
              <w:rPr>
                <w:lang w:eastAsia="zh-CN"/>
              </w:rPr>
              <w:t xml:space="preserve">disabled sidelink </w:t>
            </w:r>
            <w:r w:rsidR="00750AB7" w:rsidRPr="00FA0D37">
              <w:rPr>
                <w:lang w:eastAsia="zh-CN"/>
              </w:rPr>
              <w:t>re</w:t>
            </w:r>
            <w:r w:rsidR="001B1A88" w:rsidRPr="00FA0D37">
              <w:rPr>
                <w:lang w:eastAsia="zh-CN"/>
              </w:rPr>
              <w:t>transmission in resource pool configured with PSFCH if SCI does not indicate retransmission resource(s)</w:t>
            </w:r>
            <w:r w:rsidRPr="00FA0D37">
              <w:rPr>
                <w:lang w:eastAsia="zh-CN"/>
              </w:rPr>
              <w:t>.</w:t>
            </w:r>
          </w:p>
        </w:tc>
      </w:tr>
      <w:tr w:rsidR="005C7FF4" w:rsidRPr="00FA0D37" w14:paraId="2D09700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CE9634" w14:textId="77777777" w:rsidR="00C26E98" w:rsidRPr="00FA0D37" w:rsidRDefault="00C26E98" w:rsidP="00771058">
            <w:pPr>
              <w:pStyle w:val="TAL"/>
              <w:rPr>
                <w:b/>
                <w:i/>
                <w:lang w:eastAsia="zh-CN"/>
              </w:rPr>
            </w:pPr>
            <w:r w:rsidRPr="00FA0D37">
              <w:rPr>
                <w:b/>
                <w:i/>
                <w:lang w:eastAsia="zh-CN"/>
              </w:rPr>
              <w:t>sl-DRX-GC-Generic</w:t>
            </w:r>
          </w:p>
          <w:p w14:paraId="3F65520C" w14:textId="202B3740" w:rsidR="00C26E98" w:rsidRPr="00FA0D37" w:rsidRDefault="00C26E98" w:rsidP="00771058">
            <w:pPr>
              <w:pStyle w:val="TAL"/>
              <w:rPr>
                <w:lang w:eastAsia="zh-CN"/>
              </w:rPr>
            </w:pPr>
            <w:r w:rsidRPr="00FA0D37">
              <w:rPr>
                <w:lang w:eastAsia="zh-CN"/>
              </w:rPr>
              <w:t>Indicates a sidelink DRX configuration</w:t>
            </w:r>
            <w:r w:rsidR="00750AB7" w:rsidRPr="00FA0D37">
              <w:rPr>
                <w:lang w:eastAsia="zh-CN"/>
              </w:rPr>
              <w:t xml:space="preserve"> for groupcast communication</w:t>
            </w:r>
            <w:r w:rsidRPr="00FA0D37">
              <w:rPr>
                <w:lang w:eastAsia="zh-CN"/>
              </w:rPr>
              <w:t>, which is applicable to any QoS profile or any Destination Layer-2 ID.</w:t>
            </w:r>
          </w:p>
        </w:tc>
      </w:tr>
      <w:tr w:rsidR="005C7FF4" w:rsidRPr="00FA0D37" w14:paraId="6E74A43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1C6675" w14:textId="77777777" w:rsidR="00C26E98" w:rsidRPr="00FA0D37" w:rsidRDefault="00C26E98" w:rsidP="00771058">
            <w:pPr>
              <w:pStyle w:val="TAL"/>
              <w:rPr>
                <w:b/>
                <w:i/>
                <w:szCs w:val="22"/>
                <w:lang w:eastAsia="sv-SE"/>
              </w:rPr>
            </w:pPr>
            <w:r w:rsidRPr="00FA0D37">
              <w:rPr>
                <w:b/>
                <w:i/>
                <w:lang w:eastAsia="sv-SE"/>
              </w:rPr>
              <w:t>sl-DRX-GC-InactivityTimer</w:t>
            </w:r>
          </w:p>
          <w:p w14:paraId="02937824" w14:textId="77777777" w:rsidR="00C26E98" w:rsidRPr="00FA0D37" w:rsidRDefault="00C26E98" w:rsidP="00771058">
            <w:pPr>
              <w:pStyle w:val="TAL"/>
              <w:rPr>
                <w:szCs w:val="22"/>
                <w:lang w:eastAsia="sv-SE"/>
              </w:rPr>
            </w:pPr>
            <w:r w:rsidRPr="00FA0D37">
              <w:rPr>
                <w:lang w:eastAsia="zh-CN"/>
              </w:rPr>
              <w:t>Value in multiple integers of 1 ms, ms0 corresponds to 0, ms1 corresponds to 1 ms, ms2 corresponds to 2 ms, and so on. This field is only valid for groupcast communication.</w:t>
            </w:r>
          </w:p>
        </w:tc>
      </w:tr>
      <w:tr w:rsidR="00C26E98" w:rsidRPr="00FA0D37" w14:paraId="38B0653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BCBBE9A" w14:textId="77777777" w:rsidR="00C26E98" w:rsidRPr="00FA0D37" w:rsidRDefault="00C26E98" w:rsidP="00771058">
            <w:pPr>
              <w:pStyle w:val="TAL"/>
              <w:rPr>
                <w:b/>
                <w:i/>
                <w:lang w:eastAsia="sv-SE"/>
              </w:rPr>
            </w:pPr>
            <w:r w:rsidRPr="00FA0D37">
              <w:rPr>
                <w:b/>
                <w:i/>
                <w:lang w:eastAsia="sv-SE"/>
              </w:rPr>
              <w:t>sl-DRX-GC-RetransmissionTimer</w:t>
            </w:r>
          </w:p>
          <w:p w14:paraId="225BD969" w14:textId="1EDA8168" w:rsidR="00C26E98" w:rsidRPr="00FA0D37" w:rsidRDefault="00C26E98" w:rsidP="00771058">
            <w:pPr>
              <w:pStyle w:val="TAL"/>
              <w:rPr>
                <w:lang w:eastAsia="sv-SE"/>
              </w:rPr>
            </w:pPr>
            <w:r w:rsidRPr="00FA0D37">
              <w:rPr>
                <w:lang w:eastAsia="sv-SE"/>
              </w:rPr>
              <w:t xml:space="preserve">Value in number of slot lengths of the </w:t>
            </w:r>
            <w:r w:rsidR="00806168" w:rsidRPr="00FA0D37">
              <w:rPr>
                <w:lang w:eastAsia="sv-SE"/>
              </w:rPr>
              <w:t xml:space="preserve">sidelink </w:t>
            </w:r>
            <w:r w:rsidRPr="00FA0D37">
              <w:rPr>
                <w:lang w:eastAsia="sv-SE"/>
              </w:rPr>
              <w:t>BWP where the transport block was received. Value sl0 corresponds to 0 slots, sl1 corresponds to 1 slot, sl2 corresponds to 2 slots, and so on.</w:t>
            </w:r>
          </w:p>
        </w:tc>
      </w:tr>
    </w:tbl>
    <w:p w14:paraId="6227C12D" w14:textId="77777777" w:rsidR="00C26E98" w:rsidRPr="00FA0D37" w:rsidRDefault="00C26E98" w:rsidP="00C26E98"/>
    <w:p w14:paraId="2A2ABF27" w14:textId="46171B28" w:rsidR="00C26E98" w:rsidRPr="00FA0D37" w:rsidRDefault="00C26E98" w:rsidP="00C26E98">
      <w:pPr>
        <w:pStyle w:val="4"/>
        <w:rPr>
          <w:i/>
        </w:rPr>
      </w:pPr>
      <w:bookmarkStart w:id="1745" w:name="_Toc76423520"/>
      <w:bookmarkStart w:id="1746" w:name="_Toc146781647"/>
      <w:r w:rsidRPr="00FA0D37">
        <w:rPr>
          <w:i/>
        </w:rPr>
        <w:t>–</w:t>
      </w:r>
      <w:r w:rsidRPr="00FA0D37">
        <w:rPr>
          <w:i/>
        </w:rPr>
        <w:tab/>
        <w:t>SL-DRX-Config</w:t>
      </w:r>
      <w:bookmarkEnd w:id="1745"/>
      <w:r w:rsidRPr="00FA0D37">
        <w:rPr>
          <w:i/>
        </w:rPr>
        <w:t>UC</w:t>
      </w:r>
      <w:bookmarkEnd w:id="1746"/>
    </w:p>
    <w:p w14:paraId="44F412E9" w14:textId="77777777" w:rsidR="00C26E98" w:rsidRPr="00FA0D37" w:rsidRDefault="00C26E98" w:rsidP="00C26E98">
      <w:r w:rsidRPr="00FA0D37">
        <w:t xml:space="preserve">The IE </w:t>
      </w:r>
      <w:r w:rsidRPr="00FA0D37">
        <w:rPr>
          <w:i/>
          <w:iCs/>
        </w:rPr>
        <w:t>SL-</w:t>
      </w:r>
      <w:r w:rsidRPr="00FA0D37">
        <w:rPr>
          <w:i/>
        </w:rPr>
        <w:t>DRX-ConfigUC</w:t>
      </w:r>
      <w:r w:rsidRPr="00FA0D37">
        <w:t xml:space="preserve"> is used to configure sidelink DRX related parameters for unicast communication.</w:t>
      </w:r>
    </w:p>
    <w:p w14:paraId="62864305" w14:textId="77777777" w:rsidR="00C26E98" w:rsidRPr="00FA0D37" w:rsidRDefault="00C26E98" w:rsidP="000830BB">
      <w:pPr>
        <w:pStyle w:val="TH"/>
      </w:pPr>
      <w:r w:rsidRPr="00FA0D37">
        <w:rPr>
          <w:i/>
          <w:iCs/>
        </w:rPr>
        <w:t>SL-DRX-ConfigUC</w:t>
      </w:r>
      <w:r w:rsidRPr="00FA0D37">
        <w:t xml:space="preserve"> information element</w:t>
      </w:r>
    </w:p>
    <w:p w14:paraId="53C5F081" w14:textId="77777777" w:rsidR="00C26E98" w:rsidRPr="00FA0D37" w:rsidRDefault="00C26E98" w:rsidP="00FA0D37">
      <w:pPr>
        <w:pStyle w:val="PL"/>
        <w:rPr>
          <w:color w:val="808080"/>
        </w:rPr>
      </w:pPr>
      <w:r w:rsidRPr="00FA0D37">
        <w:rPr>
          <w:color w:val="808080"/>
        </w:rPr>
        <w:t>-- ASN1START</w:t>
      </w:r>
    </w:p>
    <w:p w14:paraId="6BA86EF6" w14:textId="77777777" w:rsidR="00C26E98" w:rsidRPr="00FA0D37" w:rsidRDefault="00C26E98" w:rsidP="00FA0D37">
      <w:pPr>
        <w:pStyle w:val="PL"/>
        <w:rPr>
          <w:color w:val="808080"/>
        </w:rPr>
      </w:pPr>
      <w:r w:rsidRPr="00FA0D37">
        <w:rPr>
          <w:color w:val="808080"/>
        </w:rPr>
        <w:t>-- TAG-DRX-CONFIGUC-START</w:t>
      </w:r>
    </w:p>
    <w:p w14:paraId="37B5B500" w14:textId="77777777" w:rsidR="00C26E98" w:rsidRPr="00FA0D37" w:rsidRDefault="00C26E98" w:rsidP="00FA0D37">
      <w:pPr>
        <w:pStyle w:val="PL"/>
      </w:pPr>
    </w:p>
    <w:p w14:paraId="50ED8E8D" w14:textId="30EC0618" w:rsidR="00C26E98" w:rsidRPr="00FA0D37" w:rsidRDefault="00C26E98" w:rsidP="00FA0D37">
      <w:pPr>
        <w:pStyle w:val="PL"/>
      </w:pPr>
      <w:r w:rsidRPr="00FA0D37">
        <w:t>SL-DRX-ConfigUC</w:t>
      </w:r>
      <w:r w:rsidR="0048695E" w:rsidRPr="00FA0D37">
        <w:t>-r17</w:t>
      </w:r>
      <w:r w:rsidRPr="00FA0D37">
        <w:t xml:space="preserve"> ::=                 </w:t>
      </w:r>
      <w:r w:rsidRPr="00FA0D37">
        <w:rPr>
          <w:color w:val="993366"/>
        </w:rPr>
        <w:t>SEQUENCE</w:t>
      </w:r>
      <w:r w:rsidRPr="00FA0D37">
        <w:t xml:space="preserve"> {</w:t>
      </w:r>
    </w:p>
    <w:p w14:paraId="448290FD" w14:textId="69B28608" w:rsidR="00C26E98" w:rsidRPr="00FA0D37" w:rsidRDefault="00C26E98" w:rsidP="00FA0D37">
      <w:pPr>
        <w:pStyle w:val="PL"/>
      </w:pPr>
      <w:r w:rsidRPr="00FA0D37">
        <w:t xml:space="preserve">    sl-drx-onDurationTimer</w:t>
      </w:r>
      <w:r w:rsidR="00CB4613" w:rsidRPr="00FA0D37">
        <w:t>-r17</w:t>
      </w:r>
      <w:r w:rsidRPr="00FA0D37">
        <w:t xml:space="preserve">              </w:t>
      </w:r>
      <w:r w:rsidRPr="00FA0D37">
        <w:rPr>
          <w:color w:val="993366"/>
        </w:rPr>
        <w:t>CHOICE</w:t>
      </w:r>
      <w:r w:rsidRPr="00FA0D37">
        <w:t xml:space="preserve"> {</w:t>
      </w:r>
    </w:p>
    <w:p w14:paraId="6001049D" w14:textId="77777777" w:rsidR="00C26E98" w:rsidRPr="00FA0D37" w:rsidRDefault="00C26E98" w:rsidP="00FA0D37">
      <w:pPr>
        <w:pStyle w:val="PL"/>
      </w:pPr>
      <w:r w:rsidRPr="00FA0D37">
        <w:t xml:space="preserve">                                                subMilliSeconds </w:t>
      </w:r>
      <w:r w:rsidRPr="00FA0D37">
        <w:rPr>
          <w:color w:val="993366"/>
        </w:rPr>
        <w:t>INTEGER</w:t>
      </w:r>
      <w:r w:rsidRPr="00FA0D37">
        <w:t xml:space="preserve"> (1..31),</w:t>
      </w:r>
    </w:p>
    <w:p w14:paraId="221AD88C" w14:textId="77777777" w:rsidR="00C26E98" w:rsidRPr="00FA0D37" w:rsidRDefault="00C26E98" w:rsidP="00FA0D37">
      <w:pPr>
        <w:pStyle w:val="PL"/>
      </w:pPr>
      <w:r w:rsidRPr="00FA0D37">
        <w:t xml:space="preserve">                                                milliSeconds    </w:t>
      </w:r>
      <w:r w:rsidRPr="00FA0D37">
        <w:rPr>
          <w:color w:val="993366"/>
        </w:rPr>
        <w:t>ENUMERATED</w:t>
      </w:r>
      <w:r w:rsidRPr="00FA0D37">
        <w:t xml:space="preserve"> {</w:t>
      </w:r>
    </w:p>
    <w:p w14:paraId="7AF240B5" w14:textId="77777777" w:rsidR="00C26E98" w:rsidRPr="00FA0D37" w:rsidRDefault="00C26E98" w:rsidP="00FA0D37">
      <w:pPr>
        <w:pStyle w:val="PL"/>
      </w:pPr>
      <w:r w:rsidRPr="00FA0D37">
        <w:lastRenderedPageBreak/>
        <w:t xml:space="preserve">                                                    ms1, ms2, ms3, ms4, ms5, ms6, ms8, ms10, ms20, ms30, ms40, ms50, ms60,</w:t>
      </w:r>
    </w:p>
    <w:p w14:paraId="3AA95564" w14:textId="77777777" w:rsidR="00C26E98" w:rsidRPr="00FA0D37" w:rsidRDefault="00C26E98" w:rsidP="00FA0D37">
      <w:pPr>
        <w:pStyle w:val="PL"/>
      </w:pPr>
      <w:r w:rsidRPr="00FA0D37">
        <w:t xml:space="preserve">                                                    ms80, ms100, ms200, ms300, ms400, ms500, ms600, ms800, ms1000, ms1200,</w:t>
      </w:r>
    </w:p>
    <w:p w14:paraId="0D3DBE10" w14:textId="66726940" w:rsidR="00C26E98" w:rsidRPr="00FA0D37" w:rsidRDefault="00C26E98" w:rsidP="00FA0D37">
      <w:pPr>
        <w:pStyle w:val="PL"/>
      </w:pPr>
      <w:r w:rsidRPr="00FA0D37">
        <w:t xml:space="preserve">                                                    ms1600, spare8, spare7, spare6, spare5, spare4, spare3, spare2, spare1}</w:t>
      </w:r>
    </w:p>
    <w:p w14:paraId="14B13266" w14:textId="77777777" w:rsidR="00C26E98" w:rsidRPr="00FA0D37" w:rsidRDefault="00C26E98" w:rsidP="00FA0D37">
      <w:pPr>
        <w:pStyle w:val="PL"/>
      </w:pPr>
      <w:r w:rsidRPr="00FA0D37">
        <w:t xml:space="preserve">                                            },</w:t>
      </w:r>
    </w:p>
    <w:p w14:paraId="6CE72A93" w14:textId="00CCCD68" w:rsidR="00C26E98" w:rsidRPr="00FA0D37" w:rsidRDefault="00C26E98" w:rsidP="00FA0D37">
      <w:pPr>
        <w:pStyle w:val="PL"/>
      </w:pPr>
      <w:r w:rsidRPr="00FA0D37">
        <w:t xml:space="preserve">    sl-drx-InactivityTimer</w:t>
      </w:r>
      <w:r w:rsidR="00CB4613" w:rsidRPr="00FA0D37">
        <w:t>-r17</w:t>
      </w:r>
      <w:r w:rsidRPr="00FA0D37">
        <w:t xml:space="preserve">              </w:t>
      </w:r>
      <w:r w:rsidRPr="00FA0D37">
        <w:rPr>
          <w:color w:val="993366"/>
        </w:rPr>
        <w:t>ENUMERATED</w:t>
      </w:r>
      <w:r w:rsidRPr="00FA0D37">
        <w:t xml:space="preserve"> {</w:t>
      </w:r>
    </w:p>
    <w:p w14:paraId="7B593A17" w14:textId="77777777" w:rsidR="00C26E98" w:rsidRPr="00FA0D37" w:rsidRDefault="00C26E98" w:rsidP="00FA0D37">
      <w:pPr>
        <w:pStyle w:val="PL"/>
      </w:pPr>
      <w:r w:rsidRPr="00FA0D37">
        <w:t xml:space="preserve">                                                ms0, ms1, ms2, ms3, ms4, ms5, ms6, ms8, ms10, ms20, ms30, ms40, ms50, ms60, ms80,</w:t>
      </w:r>
    </w:p>
    <w:p w14:paraId="29168BC1" w14:textId="77777777" w:rsidR="00C26E98" w:rsidRPr="00FA0D37" w:rsidRDefault="00C26E98" w:rsidP="00FA0D37">
      <w:pPr>
        <w:pStyle w:val="PL"/>
      </w:pPr>
      <w:r w:rsidRPr="00FA0D37">
        <w:t xml:space="preserve">                                                ms100, ms200, ms300, ms500, ms750, ms1280, ms1920, ms2560, spare9, spare8,</w:t>
      </w:r>
    </w:p>
    <w:p w14:paraId="60FC2747" w14:textId="77777777" w:rsidR="00C26E98" w:rsidRPr="00FA0D37" w:rsidRDefault="00C26E98" w:rsidP="00FA0D37">
      <w:pPr>
        <w:pStyle w:val="PL"/>
      </w:pPr>
      <w:r w:rsidRPr="00FA0D37">
        <w:t xml:space="preserve">                                                spare7, spare6, spare5, spare4, spare3, spare2, spare1},</w:t>
      </w:r>
    </w:p>
    <w:p w14:paraId="447BC987" w14:textId="05CC9CBB" w:rsidR="00C26E98" w:rsidRPr="00FA0D37" w:rsidRDefault="00C26E98" w:rsidP="00FA0D37">
      <w:pPr>
        <w:pStyle w:val="PL"/>
        <w:rPr>
          <w:color w:val="808080"/>
        </w:rPr>
      </w:pPr>
      <w:r w:rsidRPr="00FA0D37">
        <w:t xml:space="preserve">    sl-drx-HARQ-RTT-Timer1</w:t>
      </w:r>
      <w:r w:rsidR="00CB4613" w:rsidRPr="00FA0D37">
        <w:t>-r17</w:t>
      </w:r>
      <w:r w:rsidRPr="00FA0D37">
        <w:t xml:space="preserve">              </w:t>
      </w:r>
      <w:r w:rsidR="001B1A88" w:rsidRPr="00FA0D37">
        <w:rPr>
          <w:color w:val="993366"/>
        </w:rPr>
        <w:t>ENUMERATED</w:t>
      </w:r>
      <w:r w:rsidR="001B1A88" w:rsidRPr="00FA0D37">
        <w:t xml:space="preserve"> {sl0, sl1, sl2, sl4, spare4, spare3, spare2, spare1}     </w:t>
      </w:r>
      <w:r w:rsidR="001B1A88" w:rsidRPr="00FA0D37">
        <w:rPr>
          <w:color w:val="993366"/>
        </w:rPr>
        <w:t>OPTIONAL</w:t>
      </w:r>
      <w:r w:rsidR="001B1A88" w:rsidRPr="00FA0D37">
        <w:t xml:space="preserve">,   </w:t>
      </w:r>
      <w:r w:rsidR="001B1A88" w:rsidRPr="00FA0D37">
        <w:rPr>
          <w:color w:val="808080"/>
        </w:rPr>
        <w:t>-- Need M</w:t>
      </w:r>
    </w:p>
    <w:p w14:paraId="5BEF07BF" w14:textId="02CBFA5E" w:rsidR="00C26E98" w:rsidRPr="00FA0D37" w:rsidRDefault="00C26E98" w:rsidP="00FA0D37">
      <w:pPr>
        <w:pStyle w:val="PL"/>
        <w:rPr>
          <w:color w:val="808080"/>
        </w:rPr>
      </w:pPr>
      <w:r w:rsidRPr="00FA0D37">
        <w:t xml:space="preserve">    sl-drx-HARQ-RTT-Timer2</w:t>
      </w:r>
      <w:r w:rsidR="00CB4613" w:rsidRPr="00FA0D37">
        <w:t>-r17</w:t>
      </w:r>
      <w:r w:rsidRPr="00FA0D37">
        <w:t xml:space="preserve">              </w:t>
      </w:r>
      <w:r w:rsidR="001B1A88" w:rsidRPr="00FA0D37">
        <w:rPr>
          <w:color w:val="993366"/>
        </w:rPr>
        <w:t>ENUMERATED</w:t>
      </w:r>
      <w:r w:rsidR="001B1A88" w:rsidRPr="00FA0D37">
        <w:t xml:space="preserve"> {sl0, sl1, sl2, sl4, spare4, spare3, spare2, spare1}     </w:t>
      </w:r>
      <w:r w:rsidR="001B1A88" w:rsidRPr="00FA0D37">
        <w:rPr>
          <w:color w:val="993366"/>
        </w:rPr>
        <w:t>OPTIONAL</w:t>
      </w:r>
      <w:r w:rsidR="001B1A88" w:rsidRPr="00FA0D37">
        <w:t xml:space="preserve">,   </w:t>
      </w:r>
      <w:r w:rsidR="001B1A88" w:rsidRPr="00FA0D37">
        <w:rPr>
          <w:color w:val="808080"/>
        </w:rPr>
        <w:t>-- Need M</w:t>
      </w:r>
    </w:p>
    <w:p w14:paraId="7C092411" w14:textId="60B92748" w:rsidR="00C26E98" w:rsidRPr="00FA0D37" w:rsidRDefault="00C26E98" w:rsidP="00FA0D37">
      <w:pPr>
        <w:pStyle w:val="PL"/>
      </w:pPr>
      <w:r w:rsidRPr="00FA0D37">
        <w:t xml:space="preserve">    sl-drx-RetransmissionTimer</w:t>
      </w:r>
      <w:r w:rsidR="00CB4613" w:rsidRPr="00FA0D37">
        <w:t>-r17</w:t>
      </w:r>
      <w:r w:rsidRPr="00FA0D37">
        <w:t xml:space="preserve">          </w:t>
      </w:r>
      <w:r w:rsidRPr="00FA0D37">
        <w:rPr>
          <w:color w:val="993366"/>
        </w:rPr>
        <w:t>ENUMERATED</w:t>
      </w:r>
      <w:r w:rsidRPr="00FA0D37">
        <w:t xml:space="preserve"> {</w:t>
      </w:r>
    </w:p>
    <w:p w14:paraId="05B99FC8" w14:textId="77777777" w:rsidR="00C26E98" w:rsidRPr="00FA0D37" w:rsidRDefault="00C26E98" w:rsidP="00FA0D37">
      <w:pPr>
        <w:pStyle w:val="PL"/>
      </w:pPr>
      <w:r w:rsidRPr="00FA0D37">
        <w:t xml:space="preserve">                                                sl0, sl1, sl2, sl4, sl6, sl8, sl16, sl24, sl33, sl40, sl64, sl80, sl96, sl112, sl128,</w:t>
      </w:r>
    </w:p>
    <w:p w14:paraId="3D337C05" w14:textId="77777777" w:rsidR="00C26E98" w:rsidRPr="00FA0D37" w:rsidRDefault="00C26E98" w:rsidP="00FA0D37">
      <w:pPr>
        <w:pStyle w:val="PL"/>
      </w:pPr>
      <w:r w:rsidRPr="00FA0D37">
        <w:t xml:space="preserve">                                                sl160, sl320, spare15, spare14, spare13, spare12, spare11, spare10, spare9,</w:t>
      </w:r>
    </w:p>
    <w:p w14:paraId="7B29A6C7" w14:textId="77777777" w:rsidR="00C26E98" w:rsidRPr="00FA0D37" w:rsidRDefault="00C26E98" w:rsidP="00FA0D37">
      <w:pPr>
        <w:pStyle w:val="PL"/>
      </w:pPr>
      <w:r w:rsidRPr="00FA0D37">
        <w:t xml:space="preserve">                                                spare8, spare7, spare6, spare5, spare4, spare3, spare2, spare1},</w:t>
      </w:r>
    </w:p>
    <w:p w14:paraId="07F00DC4" w14:textId="3A24E4E0" w:rsidR="00C26E98" w:rsidRPr="00FA0D37" w:rsidRDefault="00C26E98" w:rsidP="00FA0D37">
      <w:pPr>
        <w:pStyle w:val="PL"/>
      </w:pPr>
      <w:r w:rsidRPr="00FA0D37">
        <w:t xml:space="preserve">    sl-drx-CycleStartOffset</w:t>
      </w:r>
      <w:r w:rsidR="00CB4613" w:rsidRPr="00FA0D37">
        <w:t>-r17</w:t>
      </w:r>
      <w:r w:rsidRPr="00FA0D37">
        <w:t xml:space="preserve">         </w:t>
      </w:r>
      <w:r w:rsidRPr="00FA0D37">
        <w:rPr>
          <w:color w:val="993366"/>
        </w:rPr>
        <w:t>CHOICE</w:t>
      </w:r>
      <w:r w:rsidRPr="00FA0D37">
        <w:t xml:space="preserve"> {</w:t>
      </w:r>
    </w:p>
    <w:p w14:paraId="1F4CDA38" w14:textId="77777777" w:rsidR="00C26E98" w:rsidRPr="00FA0D37" w:rsidRDefault="00C26E98" w:rsidP="00FA0D37">
      <w:pPr>
        <w:pStyle w:val="PL"/>
      </w:pPr>
      <w:r w:rsidRPr="00FA0D37">
        <w:t xml:space="preserve">        ms10                                </w:t>
      </w:r>
      <w:r w:rsidRPr="00FA0D37">
        <w:rPr>
          <w:color w:val="993366"/>
        </w:rPr>
        <w:t>INTEGER</w:t>
      </w:r>
      <w:r w:rsidRPr="00FA0D37">
        <w:t>(0..9),</w:t>
      </w:r>
    </w:p>
    <w:p w14:paraId="625C4ACB" w14:textId="77777777" w:rsidR="00C26E98" w:rsidRPr="00FA0D37" w:rsidRDefault="00C26E98" w:rsidP="00FA0D37">
      <w:pPr>
        <w:pStyle w:val="PL"/>
      </w:pPr>
      <w:r w:rsidRPr="00FA0D37">
        <w:t xml:space="preserve">        ms20                                </w:t>
      </w:r>
      <w:r w:rsidRPr="00FA0D37">
        <w:rPr>
          <w:color w:val="993366"/>
        </w:rPr>
        <w:t>INTEGER</w:t>
      </w:r>
      <w:r w:rsidRPr="00FA0D37">
        <w:t>(0..19),</w:t>
      </w:r>
    </w:p>
    <w:p w14:paraId="09AE2D49" w14:textId="77777777" w:rsidR="00C26E98" w:rsidRPr="00FA0D37" w:rsidRDefault="00C26E98" w:rsidP="00FA0D37">
      <w:pPr>
        <w:pStyle w:val="PL"/>
      </w:pPr>
      <w:r w:rsidRPr="00FA0D37">
        <w:t xml:space="preserve">        ms32                                </w:t>
      </w:r>
      <w:r w:rsidRPr="00FA0D37">
        <w:rPr>
          <w:color w:val="993366"/>
        </w:rPr>
        <w:t>INTEGER</w:t>
      </w:r>
      <w:r w:rsidRPr="00FA0D37">
        <w:t>(0..31),</w:t>
      </w:r>
    </w:p>
    <w:p w14:paraId="7A0BED55" w14:textId="77777777" w:rsidR="00C26E98" w:rsidRPr="00FA0D37" w:rsidRDefault="00C26E98" w:rsidP="00FA0D37">
      <w:pPr>
        <w:pStyle w:val="PL"/>
      </w:pPr>
      <w:r w:rsidRPr="00FA0D37">
        <w:t xml:space="preserve">        ms40                                </w:t>
      </w:r>
      <w:r w:rsidRPr="00FA0D37">
        <w:rPr>
          <w:color w:val="993366"/>
        </w:rPr>
        <w:t>INTEGER</w:t>
      </w:r>
      <w:r w:rsidRPr="00FA0D37">
        <w:t>(0..39),</w:t>
      </w:r>
    </w:p>
    <w:p w14:paraId="369CCF57" w14:textId="77777777" w:rsidR="00C26E98" w:rsidRPr="00FA0D37" w:rsidRDefault="00C26E98" w:rsidP="00FA0D37">
      <w:pPr>
        <w:pStyle w:val="PL"/>
      </w:pPr>
      <w:r w:rsidRPr="00FA0D37">
        <w:t xml:space="preserve">        ms60                                </w:t>
      </w:r>
      <w:r w:rsidRPr="00FA0D37">
        <w:rPr>
          <w:color w:val="993366"/>
        </w:rPr>
        <w:t>INTEGER</w:t>
      </w:r>
      <w:r w:rsidRPr="00FA0D37">
        <w:t>(0..59),</w:t>
      </w:r>
    </w:p>
    <w:p w14:paraId="38CB0104" w14:textId="77777777" w:rsidR="00C26E98" w:rsidRPr="00FA0D37" w:rsidRDefault="00C26E98" w:rsidP="00FA0D37">
      <w:pPr>
        <w:pStyle w:val="PL"/>
      </w:pPr>
      <w:r w:rsidRPr="00FA0D37">
        <w:t xml:space="preserve">        ms64                                </w:t>
      </w:r>
      <w:r w:rsidRPr="00FA0D37">
        <w:rPr>
          <w:color w:val="993366"/>
        </w:rPr>
        <w:t>INTEGER</w:t>
      </w:r>
      <w:r w:rsidRPr="00FA0D37">
        <w:t>(0..63),</w:t>
      </w:r>
    </w:p>
    <w:p w14:paraId="5EF2CA12" w14:textId="77777777" w:rsidR="00C26E98" w:rsidRPr="00FA0D37" w:rsidRDefault="00C26E98" w:rsidP="00FA0D37">
      <w:pPr>
        <w:pStyle w:val="PL"/>
      </w:pPr>
      <w:r w:rsidRPr="00FA0D37">
        <w:t xml:space="preserve">        ms70                                </w:t>
      </w:r>
      <w:r w:rsidRPr="00FA0D37">
        <w:rPr>
          <w:color w:val="993366"/>
        </w:rPr>
        <w:t>INTEGER</w:t>
      </w:r>
      <w:r w:rsidRPr="00FA0D37">
        <w:t>(0..69),</w:t>
      </w:r>
    </w:p>
    <w:p w14:paraId="233F09A7" w14:textId="77777777" w:rsidR="00C26E98" w:rsidRPr="00FA0D37" w:rsidRDefault="00C26E98" w:rsidP="00FA0D37">
      <w:pPr>
        <w:pStyle w:val="PL"/>
      </w:pPr>
      <w:r w:rsidRPr="00FA0D37">
        <w:t xml:space="preserve">        ms80                                </w:t>
      </w:r>
      <w:r w:rsidRPr="00FA0D37">
        <w:rPr>
          <w:color w:val="993366"/>
        </w:rPr>
        <w:t>INTEGER</w:t>
      </w:r>
      <w:r w:rsidRPr="00FA0D37">
        <w:t>(0..79),</w:t>
      </w:r>
    </w:p>
    <w:p w14:paraId="446221D6" w14:textId="77777777" w:rsidR="00C26E98" w:rsidRPr="00FA0D37" w:rsidRDefault="00C26E98" w:rsidP="00FA0D37">
      <w:pPr>
        <w:pStyle w:val="PL"/>
      </w:pPr>
      <w:r w:rsidRPr="00FA0D37">
        <w:t xml:space="preserve">        ms128                               </w:t>
      </w:r>
      <w:r w:rsidRPr="00FA0D37">
        <w:rPr>
          <w:color w:val="993366"/>
        </w:rPr>
        <w:t>INTEGER</w:t>
      </w:r>
      <w:r w:rsidRPr="00FA0D37">
        <w:t>(0..127),</w:t>
      </w:r>
    </w:p>
    <w:p w14:paraId="03B8E43D" w14:textId="77777777" w:rsidR="00C26E98" w:rsidRPr="00FA0D37" w:rsidRDefault="00C26E98" w:rsidP="00FA0D37">
      <w:pPr>
        <w:pStyle w:val="PL"/>
      </w:pPr>
      <w:r w:rsidRPr="00FA0D37">
        <w:t xml:space="preserve">        ms160                               </w:t>
      </w:r>
      <w:r w:rsidRPr="00FA0D37">
        <w:rPr>
          <w:color w:val="993366"/>
        </w:rPr>
        <w:t>INTEGER</w:t>
      </w:r>
      <w:r w:rsidRPr="00FA0D37">
        <w:t>(0..159),</w:t>
      </w:r>
    </w:p>
    <w:p w14:paraId="6718B54D" w14:textId="77777777" w:rsidR="00C26E98" w:rsidRPr="00FA0D37" w:rsidRDefault="00C26E98" w:rsidP="00FA0D37">
      <w:pPr>
        <w:pStyle w:val="PL"/>
      </w:pPr>
      <w:r w:rsidRPr="00FA0D37">
        <w:t xml:space="preserve">        ms256                               </w:t>
      </w:r>
      <w:r w:rsidRPr="00FA0D37">
        <w:rPr>
          <w:color w:val="993366"/>
        </w:rPr>
        <w:t>INTEGER</w:t>
      </w:r>
      <w:r w:rsidRPr="00FA0D37">
        <w:t>(0..255),</w:t>
      </w:r>
    </w:p>
    <w:p w14:paraId="39F02D34" w14:textId="77777777" w:rsidR="00C26E98" w:rsidRPr="00FA0D37" w:rsidRDefault="00C26E98" w:rsidP="00FA0D37">
      <w:pPr>
        <w:pStyle w:val="PL"/>
      </w:pPr>
      <w:r w:rsidRPr="00FA0D37">
        <w:t xml:space="preserve">        ms320                               </w:t>
      </w:r>
      <w:r w:rsidRPr="00FA0D37">
        <w:rPr>
          <w:color w:val="993366"/>
        </w:rPr>
        <w:t>INTEGER</w:t>
      </w:r>
      <w:r w:rsidRPr="00FA0D37">
        <w:t>(0..319),</w:t>
      </w:r>
    </w:p>
    <w:p w14:paraId="4E0302C0" w14:textId="77777777" w:rsidR="00C26E98" w:rsidRPr="00FA0D37" w:rsidRDefault="00C26E98" w:rsidP="00FA0D37">
      <w:pPr>
        <w:pStyle w:val="PL"/>
      </w:pPr>
      <w:r w:rsidRPr="00FA0D37">
        <w:t xml:space="preserve">        ms512                               </w:t>
      </w:r>
      <w:r w:rsidRPr="00FA0D37">
        <w:rPr>
          <w:color w:val="993366"/>
        </w:rPr>
        <w:t>INTEGER</w:t>
      </w:r>
      <w:r w:rsidRPr="00FA0D37">
        <w:t>(0..511),</w:t>
      </w:r>
    </w:p>
    <w:p w14:paraId="648D57F0" w14:textId="77777777" w:rsidR="00C26E98" w:rsidRPr="00FA0D37" w:rsidRDefault="00C26E98" w:rsidP="00FA0D37">
      <w:pPr>
        <w:pStyle w:val="PL"/>
      </w:pPr>
      <w:r w:rsidRPr="00FA0D37">
        <w:t xml:space="preserve">        ms640                               </w:t>
      </w:r>
      <w:r w:rsidRPr="00FA0D37">
        <w:rPr>
          <w:color w:val="993366"/>
        </w:rPr>
        <w:t>INTEGER</w:t>
      </w:r>
      <w:r w:rsidRPr="00FA0D37">
        <w:t>(0..639),</w:t>
      </w:r>
    </w:p>
    <w:p w14:paraId="1D738A60" w14:textId="77777777" w:rsidR="00C26E98" w:rsidRPr="00FA0D37" w:rsidRDefault="00C26E98" w:rsidP="00FA0D37">
      <w:pPr>
        <w:pStyle w:val="PL"/>
      </w:pPr>
      <w:r w:rsidRPr="00FA0D37">
        <w:t xml:space="preserve">        ms1024                              </w:t>
      </w:r>
      <w:r w:rsidRPr="00FA0D37">
        <w:rPr>
          <w:color w:val="993366"/>
        </w:rPr>
        <w:t>INTEGER</w:t>
      </w:r>
      <w:r w:rsidRPr="00FA0D37">
        <w:t>(0..1023),</w:t>
      </w:r>
    </w:p>
    <w:p w14:paraId="749045D6" w14:textId="77777777" w:rsidR="00C26E98" w:rsidRPr="00FA0D37" w:rsidRDefault="00C26E98" w:rsidP="00FA0D37">
      <w:pPr>
        <w:pStyle w:val="PL"/>
      </w:pPr>
      <w:r w:rsidRPr="00FA0D37">
        <w:t xml:space="preserve">        ms1280                              </w:t>
      </w:r>
      <w:r w:rsidRPr="00FA0D37">
        <w:rPr>
          <w:color w:val="993366"/>
        </w:rPr>
        <w:t>INTEGER</w:t>
      </w:r>
      <w:r w:rsidRPr="00FA0D37">
        <w:t>(0..1279),</w:t>
      </w:r>
    </w:p>
    <w:p w14:paraId="5DD40F16" w14:textId="77777777" w:rsidR="00C26E98" w:rsidRPr="00FA0D37" w:rsidRDefault="00C26E98" w:rsidP="00FA0D37">
      <w:pPr>
        <w:pStyle w:val="PL"/>
      </w:pPr>
      <w:r w:rsidRPr="00FA0D37">
        <w:t xml:space="preserve">        ms2048                              </w:t>
      </w:r>
      <w:r w:rsidRPr="00FA0D37">
        <w:rPr>
          <w:color w:val="993366"/>
        </w:rPr>
        <w:t>INTEGER</w:t>
      </w:r>
      <w:r w:rsidRPr="00FA0D37">
        <w:t>(0..2047),</w:t>
      </w:r>
    </w:p>
    <w:p w14:paraId="2B53B202" w14:textId="77777777" w:rsidR="00C26E98" w:rsidRPr="00FA0D37" w:rsidRDefault="00C26E98" w:rsidP="00FA0D37">
      <w:pPr>
        <w:pStyle w:val="PL"/>
      </w:pPr>
      <w:r w:rsidRPr="00FA0D37">
        <w:t xml:space="preserve">        ms2560                              </w:t>
      </w:r>
      <w:r w:rsidRPr="00FA0D37">
        <w:rPr>
          <w:color w:val="993366"/>
        </w:rPr>
        <w:t>INTEGER</w:t>
      </w:r>
      <w:r w:rsidRPr="00FA0D37">
        <w:t>(0..2559),</w:t>
      </w:r>
    </w:p>
    <w:p w14:paraId="44E0C999" w14:textId="77777777" w:rsidR="00C26E98" w:rsidRPr="00FA0D37" w:rsidRDefault="00C26E98" w:rsidP="00FA0D37">
      <w:pPr>
        <w:pStyle w:val="PL"/>
      </w:pPr>
      <w:r w:rsidRPr="00FA0D37">
        <w:t xml:space="preserve">        ms5120                              </w:t>
      </w:r>
      <w:r w:rsidRPr="00FA0D37">
        <w:rPr>
          <w:color w:val="993366"/>
        </w:rPr>
        <w:t>INTEGER</w:t>
      </w:r>
      <w:r w:rsidRPr="00FA0D37">
        <w:t>(0..5119),</w:t>
      </w:r>
    </w:p>
    <w:p w14:paraId="7EA2C85F" w14:textId="77777777" w:rsidR="00C26E98" w:rsidRPr="00FA0D37" w:rsidRDefault="00C26E98" w:rsidP="00FA0D37">
      <w:pPr>
        <w:pStyle w:val="PL"/>
      </w:pPr>
      <w:r w:rsidRPr="00FA0D37">
        <w:t xml:space="preserve">        ms10240                             </w:t>
      </w:r>
      <w:r w:rsidRPr="00FA0D37">
        <w:rPr>
          <w:color w:val="993366"/>
        </w:rPr>
        <w:t>INTEGER</w:t>
      </w:r>
      <w:r w:rsidRPr="00FA0D37">
        <w:t>(0..10239)</w:t>
      </w:r>
    </w:p>
    <w:p w14:paraId="45EDE3E4" w14:textId="77777777" w:rsidR="00C26E98" w:rsidRPr="00FA0D37" w:rsidRDefault="00C26E98" w:rsidP="00FA0D37">
      <w:pPr>
        <w:pStyle w:val="PL"/>
      </w:pPr>
      <w:r w:rsidRPr="00FA0D37">
        <w:t xml:space="preserve">    },</w:t>
      </w:r>
    </w:p>
    <w:p w14:paraId="524C7393" w14:textId="77777777" w:rsidR="00C26E98" w:rsidRPr="00FA0D37" w:rsidRDefault="00C26E98" w:rsidP="00FA0D37">
      <w:pPr>
        <w:pStyle w:val="PL"/>
      </w:pPr>
      <w:r w:rsidRPr="00FA0D37">
        <w:t xml:space="preserve">    sl-drx-SlotOffset                       </w:t>
      </w:r>
      <w:r w:rsidRPr="00FA0D37">
        <w:rPr>
          <w:color w:val="993366"/>
        </w:rPr>
        <w:t>INTEGER</w:t>
      </w:r>
      <w:r w:rsidRPr="00FA0D37">
        <w:t xml:space="preserve"> (0..31)</w:t>
      </w:r>
    </w:p>
    <w:p w14:paraId="59FAAEC2" w14:textId="77777777" w:rsidR="00C26E98" w:rsidRPr="00FA0D37" w:rsidRDefault="00C26E98" w:rsidP="00FA0D37">
      <w:pPr>
        <w:pStyle w:val="PL"/>
      </w:pPr>
      <w:r w:rsidRPr="00FA0D37">
        <w:t>}</w:t>
      </w:r>
    </w:p>
    <w:p w14:paraId="010F38F3" w14:textId="77777777" w:rsidR="00C26E98" w:rsidRPr="00FA0D37" w:rsidRDefault="00C26E98" w:rsidP="00FA0D37">
      <w:pPr>
        <w:pStyle w:val="PL"/>
      </w:pPr>
    </w:p>
    <w:p w14:paraId="4008680B" w14:textId="77777777" w:rsidR="00C26E98" w:rsidRPr="00FA0D37" w:rsidRDefault="00C26E98" w:rsidP="00FA0D37">
      <w:pPr>
        <w:pStyle w:val="PL"/>
        <w:rPr>
          <w:color w:val="808080"/>
        </w:rPr>
      </w:pPr>
      <w:r w:rsidRPr="00FA0D37">
        <w:rPr>
          <w:color w:val="808080"/>
        </w:rPr>
        <w:t>-- TAG-SL-DRX-CONFIGUC-STOP</w:t>
      </w:r>
    </w:p>
    <w:p w14:paraId="1D8C3675" w14:textId="77777777" w:rsidR="00C26E98" w:rsidRPr="00FA0D37" w:rsidRDefault="00C26E98" w:rsidP="00FA0D37">
      <w:pPr>
        <w:pStyle w:val="PL"/>
        <w:rPr>
          <w:color w:val="808080"/>
        </w:rPr>
      </w:pPr>
      <w:r w:rsidRPr="00FA0D37">
        <w:rPr>
          <w:color w:val="808080"/>
        </w:rPr>
        <w:t>-- ASN1STOP</w:t>
      </w:r>
    </w:p>
    <w:p w14:paraId="2711D7E2" w14:textId="77777777" w:rsidR="00C26E98" w:rsidRPr="00FA0D37" w:rsidRDefault="00C26E98" w:rsidP="000830BB"/>
    <w:p w14:paraId="2A586D03" w14:textId="30C633A6" w:rsidR="00C26E98" w:rsidRPr="00FA0D37" w:rsidRDefault="00C26E98" w:rsidP="00C26E98">
      <w:pPr>
        <w:pStyle w:val="EditorsNote"/>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FE6932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D5ACFE7" w14:textId="77777777" w:rsidR="00C26E98" w:rsidRPr="00FA0D37" w:rsidRDefault="00C26E98" w:rsidP="00771058">
            <w:pPr>
              <w:pStyle w:val="TAH"/>
              <w:rPr>
                <w:lang w:eastAsia="sv-SE"/>
              </w:rPr>
            </w:pPr>
            <w:r w:rsidRPr="00FA0D37">
              <w:rPr>
                <w:i/>
                <w:lang w:eastAsia="sv-SE"/>
              </w:rPr>
              <w:lastRenderedPageBreak/>
              <w:t xml:space="preserve">SL-DRX-ConfigUC </w:t>
            </w:r>
            <w:r w:rsidRPr="00FA0D37">
              <w:rPr>
                <w:lang w:eastAsia="sv-SE"/>
              </w:rPr>
              <w:t>field descriptions</w:t>
            </w:r>
          </w:p>
        </w:tc>
      </w:tr>
      <w:tr w:rsidR="005C7FF4" w:rsidRPr="00FA0D37" w14:paraId="121571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BA82EE4" w14:textId="77777777" w:rsidR="00C26E98" w:rsidRPr="00FA0D37" w:rsidRDefault="00C26E98" w:rsidP="00771058">
            <w:pPr>
              <w:pStyle w:val="TAL"/>
              <w:rPr>
                <w:b/>
                <w:i/>
                <w:lang w:eastAsia="sv-SE"/>
              </w:rPr>
            </w:pPr>
            <w:r w:rsidRPr="00FA0D37">
              <w:rPr>
                <w:b/>
                <w:i/>
                <w:lang w:eastAsia="sv-SE"/>
              </w:rPr>
              <w:t>sl-drx-CycleStartOffset</w:t>
            </w:r>
          </w:p>
          <w:p w14:paraId="4E1B8DA2" w14:textId="2BEA93CA" w:rsidR="00C26E98" w:rsidRPr="00FA0D37" w:rsidRDefault="00750AB7" w:rsidP="00771058">
            <w:pPr>
              <w:pStyle w:val="TAL"/>
              <w:rPr>
                <w:lang w:eastAsia="sv-SE"/>
              </w:rPr>
            </w:pPr>
            <w:r w:rsidRPr="00FA0D37">
              <w:rPr>
                <w:lang w:eastAsia="sv-SE"/>
              </w:rPr>
              <w:t xml:space="preserve">Sidelink </w:t>
            </w:r>
            <w:r w:rsidR="00C26E98" w:rsidRPr="00FA0D37">
              <w:rPr>
                <w:i/>
                <w:lang w:eastAsia="sv-SE"/>
              </w:rPr>
              <w:t>drx-Cycle</w:t>
            </w:r>
            <w:r w:rsidR="00C26E98" w:rsidRPr="00FA0D37">
              <w:rPr>
                <w:lang w:eastAsia="sv-SE"/>
              </w:rPr>
              <w:t xml:space="preserve"> in ms and </w:t>
            </w:r>
            <w:r w:rsidRPr="00FA0D37">
              <w:rPr>
                <w:lang w:eastAsia="sv-SE"/>
              </w:rPr>
              <w:t xml:space="preserve">sidelink </w:t>
            </w:r>
            <w:r w:rsidR="00C26E98" w:rsidRPr="00FA0D37">
              <w:rPr>
                <w:i/>
                <w:lang w:eastAsia="sv-SE"/>
              </w:rPr>
              <w:t>drx-StartOffset</w:t>
            </w:r>
            <w:r w:rsidR="00C26E98" w:rsidRPr="00FA0D37">
              <w:rPr>
                <w:lang w:eastAsia="sv-SE"/>
              </w:rPr>
              <w:t xml:space="preserve"> in multiples of 1 ms.</w:t>
            </w:r>
          </w:p>
        </w:tc>
      </w:tr>
      <w:tr w:rsidR="005C7FF4" w:rsidRPr="00FA0D37" w14:paraId="3058E48A" w14:textId="77777777" w:rsidTr="00771058">
        <w:tc>
          <w:tcPr>
            <w:tcW w:w="14173" w:type="dxa"/>
            <w:tcBorders>
              <w:top w:val="single" w:sz="4" w:space="0" w:color="auto"/>
              <w:left w:val="single" w:sz="4" w:space="0" w:color="auto"/>
              <w:bottom w:val="single" w:sz="4" w:space="0" w:color="auto"/>
              <w:right w:val="single" w:sz="4" w:space="0" w:color="auto"/>
            </w:tcBorders>
          </w:tcPr>
          <w:p w14:paraId="5BB0C3D8" w14:textId="77777777" w:rsidR="00C26E98" w:rsidRPr="00FA0D37" w:rsidRDefault="00C26E98" w:rsidP="00771058">
            <w:pPr>
              <w:pStyle w:val="TAL"/>
              <w:rPr>
                <w:b/>
                <w:i/>
                <w:lang w:eastAsia="sv-SE"/>
              </w:rPr>
            </w:pPr>
            <w:r w:rsidRPr="00FA0D37">
              <w:rPr>
                <w:b/>
                <w:i/>
                <w:lang w:eastAsia="sv-SE"/>
              </w:rPr>
              <w:t>sl-drx-HARQ-RTT-Timer1, sl-drx-HARQ-RTT-Timer2</w:t>
            </w:r>
          </w:p>
          <w:p w14:paraId="27562F14" w14:textId="32F835BC" w:rsidR="00C26E98" w:rsidRPr="00FA0D37" w:rsidRDefault="00C26E98" w:rsidP="00771058">
            <w:pPr>
              <w:pStyle w:val="TAL"/>
              <w:rPr>
                <w:lang w:eastAsia="sv-SE"/>
              </w:rPr>
            </w:pPr>
            <w:r w:rsidRPr="00FA0D37">
              <w:rPr>
                <w:lang w:eastAsia="sv-SE"/>
              </w:rPr>
              <w:t xml:space="preserve">Value in number of </w:t>
            </w:r>
            <w:r w:rsidR="001B1A88" w:rsidRPr="00FA0D37">
              <w:rPr>
                <w:lang w:eastAsia="sv-SE"/>
              </w:rPr>
              <w:t>slot lengths</w:t>
            </w:r>
            <w:r w:rsidRPr="00FA0D37">
              <w:rPr>
                <w:lang w:eastAsia="sv-SE"/>
              </w:rPr>
              <w:t xml:space="preserve"> of the BWP where the transport block was received. </w:t>
            </w:r>
            <w:r w:rsidR="001B1A88" w:rsidRPr="00FA0D37">
              <w:rPr>
                <w:rFonts w:cs="Arial"/>
                <w:lang w:eastAsia="zh-CN"/>
              </w:rPr>
              <w:t>Value sl0 corresponds to 0 slots, sl1 corresponds to 1 slot, sl2 corresponds to 2 slots, and so on.</w:t>
            </w:r>
            <w:r w:rsidR="001B1A88" w:rsidRPr="00FA0D37">
              <w:rPr>
                <w:lang w:eastAsia="sv-SE"/>
              </w:rPr>
              <w:t xml:space="preserve"> </w:t>
            </w:r>
            <w:r w:rsidR="001B1A88" w:rsidRPr="00FA0D37">
              <w:rPr>
                <w:i/>
                <w:lang w:eastAsia="zh-CN"/>
              </w:rPr>
              <w:t>sl-drx-HARQ-RTT-Timer1</w:t>
            </w:r>
            <w:r w:rsidR="001B1A88" w:rsidRPr="00FA0D37">
              <w:rPr>
                <w:lang w:eastAsia="zh-CN"/>
              </w:rPr>
              <w:t xml:space="preserve"> is used for HARQ </w:t>
            </w:r>
            <w:r w:rsidR="00750AB7" w:rsidRPr="00FA0D37">
              <w:rPr>
                <w:lang w:eastAsia="zh-CN"/>
              </w:rPr>
              <w:t xml:space="preserve">feedback </w:t>
            </w:r>
            <w:r w:rsidR="001B1A88" w:rsidRPr="00FA0D37">
              <w:rPr>
                <w:lang w:eastAsia="zh-CN"/>
              </w:rPr>
              <w:t xml:space="preserve">enabled sidelink </w:t>
            </w:r>
            <w:r w:rsidR="00750AB7" w:rsidRPr="00FA0D37">
              <w:rPr>
                <w:lang w:eastAsia="zh-CN"/>
              </w:rPr>
              <w:t>re</w:t>
            </w:r>
            <w:r w:rsidR="001B1A88" w:rsidRPr="00FA0D37">
              <w:rPr>
                <w:lang w:eastAsia="zh-CN"/>
              </w:rPr>
              <w:t xml:space="preserve">transmission if SCI does not indicate retransmission resource(s). </w:t>
            </w:r>
            <w:r w:rsidR="001B1A88" w:rsidRPr="00FA0D37">
              <w:rPr>
                <w:i/>
                <w:lang w:eastAsia="zh-CN"/>
              </w:rPr>
              <w:t>sl-drx-HARQ-RTT-Timer2</w:t>
            </w:r>
            <w:r w:rsidR="001B1A88" w:rsidRPr="00FA0D37">
              <w:rPr>
                <w:lang w:eastAsia="zh-CN"/>
              </w:rPr>
              <w:t xml:space="preserve"> is used for HARQ </w:t>
            </w:r>
            <w:r w:rsidR="00750AB7" w:rsidRPr="00FA0D37">
              <w:rPr>
                <w:lang w:eastAsia="zh-CN"/>
              </w:rPr>
              <w:t xml:space="preserve">feedback </w:t>
            </w:r>
            <w:r w:rsidR="001B1A88" w:rsidRPr="00FA0D37">
              <w:rPr>
                <w:lang w:eastAsia="zh-CN"/>
              </w:rPr>
              <w:t xml:space="preserve">disabled sidelink </w:t>
            </w:r>
            <w:r w:rsidR="00750AB7" w:rsidRPr="00FA0D37">
              <w:rPr>
                <w:lang w:eastAsia="zh-CN"/>
              </w:rPr>
              <w:t>re</w:t>
            </w:r>
            <w:r w:rsidR="001B1A88" w:rsidRPr="00FA0D37">
              <w:rPr>
                <w:lang w:eastAsia="zh-CN"/>
              </w:rPr>
              <w:t>transmission in resource pool configured with PSFCH if SCI does not indicate retransmission resource(s)</w:t>
            </w:r>
            <w:r w:rsidRPr="00FA0D37">
              <w:rPr>
                <w:lang w:eastAsia="sv-SE"/>
              </w:rPr>
              <w:t>.</w:t>
            </w:r>
          </w:p>
        </w:tc>
      </w:tr>
      <w:tr w:rsidR="005C7FF4" w:rsidRPr="00FA0D37" w14:paraId="51844BA6" w14:textId="77777777" w:rsidTr="00771058">
        <w:tc>
          <w:tcPr>
            <w:tcW w:w="14173" w:type="dxa"/>
            <w:tcBorders>
              <w:top w:val="single" w:sz="4" w:space="0" w:color="auto"/>
              <w:left w:val="single" w:sz="4" w:space="0" w:color="auto"/>
              <w:bottom w:val="single" w:sz="4" w:space="0" w:color="auto"/>
              <w:right w:val="single" w:sz="4" w:space="0" w:color="auto"/>
            </w:tcBorders>
          </w:tcPr>
          <w:p w14:paraId="5D44468A" w14:textId="77777777" w:rsidR="00C26E98" w:rsidRPr="00FA0D37" w:rsidRDefault="00C26E98" w:rsidP="00771058">
            <w:pPr>
              <w:pStyle w:val="TAL"/>
              <w:rPr>
                <w:b/>
                <w:i/>
                <w:lang w:eastAsia="sv-SE"/>
              </w:rPr>
            </w:pPr>
            <w:r w:rsidRPr="00FA0D37">
              <w:rPr>
                <w:b/>
                <w:i/>
                <w:lang w:eastAsia="sv-SE"/>
              </w:rPr>
              <w:t>sl-drx-InactivityTimer</w:t>
            </w:r>
          </w:p>
          <w:p w14:paraId="1F53161E" w14:textId="77777777" w:rsidR="00C26E98" w:rsidRPr="00FA0D37" w:rsidRDefault="00C26E98" w:rsidP="00771058">
            <w:pPr>
              <w:pStyle w:val="TAL"/>
              <w:rPr>
                <w:lang w:eastAsia="sv-SE"/>
              </w:rPr>
            </w:pPr>
            <w:r w:rsidRPr="00FA0D37">
              <w:rPr>
                <w:lang w:eastAsia="sv-SE"/>
              </w:rPr>
              <w:t>Value in number of slot lengths of the BWP where the transport block was received, sl0 corresponds to 0, sl1 corresponds to 1 slot, sl2 corresponds to 2 slots, and so on.</w:t>
            </w:r>
          </w:p>
        </w:tc>
      </w:tr>
      <w:tr w:rsidR="005C7FF4" w:rsidRPr="00FA0D37" w14:paraId="432F374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B56F579" w14:textId="77777777" w:rsidR="00C26E98" w:rsidRPr="00FA0D37" w:rsidRDefault="00C26E98" w:rsidP="00771058">
            <w:pPr>
              <w:pStyle w:val="TAL"/>
              <w:rPr>
                <w:b/>
                <w:i/>
                <w:lang w:eastAsia="sv-SE"/>
              </w:rPr>
            </w:pPr>
            <w:r w:rsidRPr="00FA0D37">
              <w:rPr>
                <w:b/>
                <w:i/>
                <w:lang w:eastAsia="sv-SE"/>
              </w:rPr>
              <w:t>sl-drx-onDurationTimer</w:t>
            </w:r>
          </w:p>
          <w:p w14:paraId="3213F874" w14:textId="77777777" w:rsidR="00C26E98" w:rsidRPr="00FA0D37" w:rsidRDefault="00C26E98" w:rsidP="00771058">
            <w:pPr>
              <w:pStyle w:val="TAL"/>
              <w:rPr>
                <w:lang w:eastAsia="sv-SE"/>
              </w:rPr>
            </w:pPr>
            <w:r w:rsidRPr="00FA0D37">
              <w:rPr>
                <w:lang w:eastAsia="sv-SE"/>
              </w:rPr>
              <w:t>Value in multiples of 1/32 ms (subMilliSeconds) or in ms (milliSecond). For the latter, value ms1 corresponds to 1 ms, value ms2 corresponds to 2 ms, and so on.</w:t>
            </w:r>
          </w:p>
        </w:tc>
      </w:tr>
      <w:tr w:rsidR="005C7FF4" w:rsidRPr="00FA0D37" w14:paraId="2C6AF9D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568A764" w14:textId="77777777" w:rsidR="00C26E98" w:rsidRPr="00FA0D37" w:rsidRDefault="00C26E98" w:rsidP="00771058">
            <w:pPr>
              <w:pStyle w:val="TAL"/>
              <w:rPr>
                <w:b/>
                <w:i/>
                <w:lang w:eastAsia="sv-SE"/>
              </w:rPr>
            </w:pPr>
            <w:r w:rsidRPr="00FA0D37">
              <w:rPr>
                <w:b/>
                <w:i/>
                <w:lang w:eastAsia="sv-SE"/>
              </w:rPr>
              <w:t>sl-drx-RetransmissionTimer</w:t>
            </w:r>
          </w:p>
          <w:p w14:paraId="1AEA5FD4" w14:textId="77777777" w:rsidR="00C26E98" w:rsidRPr="00FA0D37" w:rsidRDefault="00C26E98" w:rsidP="00771058">
            <w:pPr>
              <w:pStyle w:val="TAL"/>
              <w:rPr>
                <w:lang w:eastAsia="sv-SE"/>
              </w:rPr>
            </w:pPr>
            <w:r w:rsidRPr="00FA0D37">
              <w:rPr>
                <w:lang w:eastAsia="sv-SE"/>
              </w:rPr>
              <w:t>Value in number of slot lengths of the BWP where the transport block was received. Value sl0 corresponds to 0 slots, sl1 corresponds to 1 slot, sl2 corresponds to 2 slots, and so on.</w:t>
            </w:r>
          </w:p>
        </w:tc>
      </w:tr>
      <w:tr w:rsidR="00C26E98" w:rsidRPr="00FA0D37" w14:paraId="3109B09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EFFA54B" w14:textId="77777777" w:rsidR="00C26E98" w:rsidRPr="00FA0D37" w:rsidRDefault="00C26E98" w:rsidP="00771058">
            <w:pPr>
              <w:pStyle w:val="TAL"/>
              <w:rPr>
                <w:b/>
                <w:i/>
                <w:lang w:eastAsia="sv-SE"/>
              </w:rPr>
            </w:pPr>
            <w:r w:rsidRPr="00FA0D37">
              <w:rPr>
                <w:b/>
                <w:i/>
                <w:lang w:eastAsia="sv-SE"/>
              </w:rPr>
              <w:t>sl-drx-SlotOffset</w:t>
            </w:r>
          </w:p>
          <w:p w14:paraId="5074EF35" w14:textId="77777777" w:rsidR="00C26E98" w:rsidRPr="00FA0D37" w:rsidRDefault="00C26E98" w:rsidP="00771058">
            <w:pPr>
              <w:pStyle w:val="TAL"/>
              <w:rPr>
                <w:lang w:eastAsia="sv-SE"/>
              </w:rPr>
            </w:pPr>
            <w:r w:rsidRPr="00FA0D37">
              <w:rPr>
                <w:lang w:eastAsia="sv-SE"/>
              </w:rPr>
              <w:t>Value in 1/32 ms. Value 0 corresponds to 0 ms, value 1 corresponds to 1/32 ms, value 2 corresponds to 2/32 ms, and so on.</w:t>
            </w:r>
          </w:p>
        </w:tc>
      </w:tr>
    </w:tbl>
    <w:p w14:paraId="5BC8D072" w14:textId="77777777" w:rsidR="00C26E98" w:rsidRPr="00FA0D37" w:rsidRDefault="00C26E98" w:rsidP="00C26E98">
      <w:pPr>
        <w:rPr>
          <w:rFonts w:eastAsia="MS Mincho"/>
        </w:rPr>
      </w:pPr>
    </w:p>
    <w:p w14:paraId="41F190B6" w14:textId="7682352B" w:rsidR="00C26E98" w:rsidRPr="00FA0D37" w:rsidRDefault="00C26E98" w:rsidP="00C26E98">
      <w:pPr>
        <w:pStyle w:val="4"/>
        <w:rPr>
          <w:i/>
        </w:rPr>
      </w:pPr>
      <w:bookmarkStart w:id="1747" w:name="_Toc146781648"/>
      <w:r w:rsidRPr="00FA0D37">
        <w:rPr>
          <w:i/>
        </w:rPr>
        <w:t>–</w:t>
      </w:r>
      <w:r w:rsidRPr="00FA0D37">
        <w:rPr>
          <w:i/>
        </w:rPr>
        <w:tab/>
        <w:t>SL-DRX-ConfigUC-SemiStatic</w:t>
      </w:r>
      <w:bookmarkEnd w:id="1747"/>
    </w:p>
    <w:p w14:paraId="6B497426" w14:textId="7E3DEF02" w:rsidR="00C26E98" w:rsidRPr="00FA0D37" w:rsidRDefault="00C26E98" w:rsidP="00C26E98">
      <w:r w:rsidRPr="00FA0D37">
        <w:t xml:space="preserve">The IE </w:t>
      </w:r>
      <w:r w:rsidRPr="00FA0D37">
        <w:rPr>
          <w:i/>
          <w:iCs/>
        </w:rPr>
        <w:t>SL-</w:t>
      </w:r>
      <w:r w:rsidRPr="00FA0D37">
        <w:rPr>
          <w:i/>
        </w:rPr>
        <w:t>DRX-ConfigUC-SemiStatic</w:t>
      </w:r>
      <w:r w:rsidRPr="00FA0D37">
        <w:t xml:space="preserve"> is used to </w:t>
      </w:r>
      <w:r w:rsidR="001B1A88" w:rsidRPr="00FA0D37">
        <w:t xml:space="preserve">indicate </w:t>
      </w:r>
      <w:r w:rsidRPr="00FA0D37">
        <w:t>the semi-static sidelink DRX related parameters for unicast communication.</w:t>
      </w:r>
    </w:p>
    <w:p w14:paraId="7BF9D46E" w14:textId="77777777" w:rsidR="00C26E98" w:rsidRPr="00FA0D37" w:rsidRDefault="00C26E98" w:rsidP="000830BB">
      <w:pPr>
        <w:pStyle w:val="TH"/>
      </w:pPr>
      <w:r w:rsidRPr="00FA0D37">
        <w:rPr>
          <w:i/>
          <w:iCs/>
        </w:rPr>
        <w:t>SL-DRX-ConfigUC</w:t>
      </w:r>
      <w:r w:rsidRPr="00FA0D37">
        <w:t>-SemiStatic information element</w:t>
      </w:r>
    </w:p>
    <w:p w14:paraId="3A577F44" w14:textId="77777777" w:rsidR="00C26E98" w:rsidRPr="00FA0D37" w:rsidRDefault="00C26E98" w:rsidP="00FA0D37">
      <w:pPr>
        <w:pStyle w:val="PL"/>
        <w:rPr>
          <w:color w:val="808080"/>
        </w:rPr>
      </w:pPr>
      <w:r w:rsidRPr="00FA0D37">
        <w:rPr>
          <w:color w:val="808080"/>
        </w:rPr>
        <w:t>-- ASN1START</w:t>
      </w:r>
    </w:p>
    <w:p w14:paraId="49BA1E8E" w14:textId="77777777" w:rsidR="00C26E98" w:rsidRPr="00FA0D37" w:rsidRDefault="00C26E98" w:rsidP="00FA0D37">
      <w:pPr>
        <w:pStyle w:val="PL"/>
        <w:rPr>
          <w:color w:val="808080"/>
        </w:rPr>
      </w:pPr>
      <w:r w:rsidRPr="00FA0D37">
        <w:rPr>
          <w:color w:val="808080"/>
        </w:rPr>
        <w:t>-- TAG-DRX-CONFIGUCSEMISTATIC-START</w:t>
      </w:r>
    </w:p>
    <w:p w14:paraId="04331909" w14:textId="77777777" w:rsidR="00C26E98" w:rsidRPr="00FA0D37" w:rsidRDefault="00C26E98" w:rsidP="00FA0D37">
      <w:pPr>
        <w:pStyle w:val="PL"/>
      </w:pPr>
    </w:p>
    <w:p w14:paraId="375433E1" w14:textId="77777777" w:rsidR="00C26E98" w:rsidRPr="00FA0D37" w:rsidRDefault="00C26E98" w:rsidP="00FA0D37">
      <w:pPr>
        <w:pStyle w:val="PL"/>
      </w:pPr>
      <w:r w:rsidRPr="00FA0D37">
        <w:t xml:space="preserve">SL-DRX-ConfigUC-SemiStatic-r17 ::=          </w:t>
      </w:r>
      <w:r w:rsidRPr="00FA0D37">
        <w:rPr>
          <w:color w:val="993366"/>
        </w:rPr>
        <w:t>SEQUENCE</w:t>
      </w:r>
      <w:r w:rsidRPr="00FA0D37">
        <w:t xml:space="preserve"> {</w:t>
      </w:r>
    </w:p>
    <w:p w14:paraId="34570EC3" w14:textId="77777777" w:rsidR="00C26E98" w:rsidRPr="00FA0D37" w:rsidRDefault="00C26E98" w:rsidP="00FA0D37">
      <w:pPr>
        <w:pStyle w:val="PL"/>
      </w:pPr>
      <w:r w:rsidRPr="00FA0D37">
        <w:t xml:space="preserve">    sl-drx-onDurationTimer-r17                  </w:t>
      </w:r>
      <w:r w:rsidRPr="00FA0D37">
        <w:rPr>
          <w:color w:val="993366"/>
        </w:rPr>
        <w:t>CHOICE</w:t>
      </w:r>
      <w:r w:rsidRPr="00FA0D37">
        <w:t xml:space="preserve"> {</w:t>
      </w:r>
    </w:p>
    <w:p w14:paraId="0ADE2862" w14:textId="77777777" w:rsidR="00C26E98" w:rsidRPr="00FA0D37" w:rsidRDefault="00C26E98" w:rsidP="00FA0D37">
      <w:pPr>
        <w:pStyle w:val="PL"/>
      </w:pPr>
      <w:r w:rsidRPr="00FA0D37">
        <w:t xml:space="preserve">                                                    subMilliSeconds </w:t>
      </w:r>
      <w:r w:rsidRPr="00FA0D37">
        <w:rPr>
          <w:color w:val="993366"/>
        </w:rPr>
        <w:t>INTEGER</w:t>
      </w:r>
      <w:r w:rsidRPr="00FA0D37">
        <w:t xml:space="preserve"> (1..31),</w:t>
      </w:r>
    </w:p>
    <w:p w14:paraId="07BFED67" w14:textId="77777777" w:rsidR="00C26E98" w:rsidRPr="00FA0D37" w:rsidRDefault="00C26E98" w:rsidP="00FA0D37">
      <w:pPr>
        <w:pStyle w:val="PL"/>
      </w:pPr>
      <w:r w:rsidRPr="00FA0D37">
        <w:t xml:space="preserve">                                                    milliSeconds    </w:t>
      </w:r>
      <w:r w:rsidRPr="00FA0D37">
        <w:rPr>
          <w:color w:val="993366"/>
        </w:rPr>
        <w:t>ENUMERATED</w:t>
      </w:r>
      <w:r w:rsidRPr="00FA0D37">
        <w:t xml:space="preserve"> {</w:t>
      </w:r>
    </w:p>
    <w:p w14:paraId="69034BED" w14:textId="77777777" w:rsidR="00C26E98" w:rsidRPr="00FA0D37" w:rsidRDefault="00C26E98" w:rsidP="00FA0D37">
      <w:pPr>
        <w:pStyle w:val="PL"/>
      </w:pPr>
      <w:r w:rsidRPr="00FA0D37">
        <w:t xml:space="preserve">                                                        ms1, ms2, ms3, ms4, ms5, ms6, ms8, ms10, ms20, ms30, ms40, ms50, ms60,</w:t>
      </w:r>
    </w:p>
    <w:p w14:paraId="3E84B630" w14:textId="77777777" w:rsidR="00C26E98" w:rsidRPr="00FA0D37" w:rsidRDefault="00C26E98" w:rsidP="00FA0D37">
      <w:pPr>
        <w:pStyle w:val="PL"/>
      </w:pPr>
      <w:r w:rsidRPr="00FA0D37">
        <w:t xml:space="preserve">                                                        ms80, ms100, ms200, ms300, ms400, ms500, ms600, ms800, ms1000, ms1200,</w:t>
      </w:r>
    </w:p>
    <w:p w14:paraId="044E2948" w14:textId="29072D58" w:rsidR="00C26E98" w:rsidRPr="00FA0D37" w:rsidRDefault="00C26E98" w:rsidP="00FA0D37">
      <w:pPr>
        <w:pStyle w:val="PL"/>
      </w:pPr>
      <w:r w:rsidRPr="00FA0D37">
        <w:t xml:space="preserve">                                                        ms1600, spare8, spare7, spare6, spare5, spare4, spare3, spare2, spare1}</w:t>
      </w:r>
    </w:p>
    <w:p w14:paraId="45925A77" w14:textId="77777777" w:rsidR="00C26E98" w:rsidRPr="00FA0D37" w:rsidRDefault="00C26E98" w:rsidP="00FA0D37">
      <w:pPr>
        <w:pStyle w:val="PL"/>
      </w:pPr>
      <w:r w:rsidRPr="00FA0D37">
        <w:t xml:space="preserve">                                            },</w:t>
      </w:r>
    </w:p>
    <w:p w14:paraId="1AA5609F" w14:textId="77777777" w:rsidR="00C26E98" w:rsidRPr="00FA0D37" w:rsidRDefault="00C26E98" w:rsidP="00FA0D37">
      <w:pPr>
        <w:pStyle w:val="PL"/>
      </w:pPr>
      <w:r w:rsidRPr="00FA0D37">
        <w:t xml:space="preserve">    sl-drx-CycleStartOffset-r17                 </w:t>
      </w:r>
      <w:r w:rsidRPr="00FA0D37">
        <w:rPr>
          <w:color w:val="993366"/>
        </w:rPr>
        <w:t>CHOICE</w:t>
      </w:r>
      <w:r w:rsidRPr="00FA0D37">
        <w:t xml:space="preserve"> {</w:t>
      </w:r>
    </w:p>
    <w:p w14:paraId="557881FC" w14:textId="77777777" w:rsidR="00C26E98" w:rsidRPr="00FA0D37" w:rsidRDefault="00C26E98" w:rsidP="00FA0D37">
      <w:pPr>
        <w:pStyle w:val="PL"/>
      </w:pPr>
      <w:r w:rsidRPr="00FA0D37">
        <w:t xml:space="preserve">        ms10                                        </w:t>
      </w:r>
      <w:r w:rsidRPr="00FA0D37">
        <w:rPr>
          <w:color w:val="993366"/>
        </w:rPr>
        <w:t>INTEGER</w:t>
      </w:r>
      <w:r w:rsidRPr="00FA0D37">
        <w:t>(0..9),</w:t>
      </w:r>
    </w:p>
    <w:p w14:paraId="0B1F92AB" w14:textId="77777777" w:rsidR="00C26E98" w:rsidRPr="00FA0D37" w:rsidRDefault="00C26E98" w:rsidP="00FA0D37">
      <w:pPr>
        <w:pStyle w:val="PL"/>
      </w:pPr>
      <w:r w:rsidRPr="00FA0D37">
        <w:t xml:space="preserve">        ms20                                        </w:t>
      </w:r>
      <w:r w:rsidRPr="00FA0D37">
        <w:rPr>
          <w:color w:val="993366"/>
        </w:rPr>
        <w:t>INTEGER</w:t>
      </w:r>
      <w:r w:rsidRPr="00FA0D37">
        <w:t>(0..19),</w:t>
      </w:r>
    </w:p>
    <w:p w14:paraId="554A4FBC" w14:textId="77777777" w:rsidR="00C26E98" w:rsidRPr="00FA0D37" w:rsidRDefault="00C26E98" w:rsidP="00FA0D37">
      <w:pPr>
        <w:pStyle w:val="PL"/>
      </w:pPr>
      <w:r w:rsidRPr="00FA0D37">
        <w:t xml:space="preserve">        ms32                                        </w:t>
      </w:r>
      <w:r w:rsidRPr="00FA0D37">
        <w:rPr>
          <w:color w:val="993366"/>
        </w:rPr>
        <w:t>INTEGER</w:t>
      </w:r>
      <w:r w:rsidRPr="00FA0D37">
        <w:t>(0..31),</w:t>
      </w:r>
    </w:p>
    <w:p w14:paraId="1EE1C02E" w14:textId="77777777" w:rsidR="00C26E98" w:rsidRPr="00FA0D37" w:rsidRDefault="00C26E98" w:rsidP="00FA0D37">
      <w:pPr>
        <w:pStyle w:val="PL"/>
      </w:pPr>
      <w:r w:rsidRPr="00FA0D37">
        <w:t xml:space="preserve">        ms40                                        </w:t>
      </w:r>
      <w:r w:rsidRPr="00FA0D37">
        <w:rPr>
          <w:color w:val="993366"/>
        </w:rPr>
        <w:t>INTEGER</w:t>
      </w:r>
      <w:r w:rsidRPr="00FA0D37">
        <w:t>(0..39),</w:t>
      </w:r>
    </w:p>
    <w:p w14:paraId="5596793B" w14:textId="77777777" w:rsidR="00C26E98" w:rsidRPr="00FA0D37" w:rsidRDefault="00C26E98" w:rsidP="00FA0D37">
      <w:pPr>
        <w:pStyle w:val="PL"/>
      </w:pPr>
      <w:r w:rsidRPr="00FA0D37">
        <w:t xml:space="preserve">        ms60                                        </w:t>
      </w:r>
      <w:r w:rsidRPr="00FA0D37">
        <w:rPr>
          <w:color w:val="993366"/>
        </w:rPr>
        <w:t>INTEGER</w:t>
      </w:r>
      <w:r w:rsidRPr="00FA0D37">
        <w:t>(0..59),</w:t>
      </w:r>
    </w:p>
    <w:p w14:paraId="08B5A215" w14:textId="77777777" w:rsidR="00C26E98" w:rsidRPr="00FA0D37" w:rsidRDefault="00C26E98" w:rsidP="00FA0D37">
      <w:pPr>
        <w:pStyle w:val="PL"/>
      </w:pPr>
      <w:r w:rsidRPr="00FA0D37">
        <w:t xml:space="preserve">        ms64                                        </w:t>
      </w:r>
      <w:r w:rsidRPr="00FA0D37">
        <w:rPr>
          <w:color w:val="993366"/>
        </w:rPr>
        <w:t>INTEGER</w:t>
      </w:r>
      <w:r w:rsidRPr="00FA0D37">
        <w:t>(0..63),</w:t>
      </w:r>
    </w:p>
    <w:p w14:paraId="3B17A458" w14:textId="77777777" w:rsidR="00C26E98" w:rsidRPr="00FA0D37" w:rsidRDefault="00C26E98" w:rsidP="00FA0D37">
      <w:pPr>
        <w:pStyle w:val="PL"/>
      </w:pPr>
      <w:r w:rsidRPr="00FA0D37">
        <w:t xml:space="preserve">        ms70                                        </w:t>
      </w:r>
      <w:r w:rsidRPr="00FA0D37">
        <w:rPr>
          <w:color w:val="993366"/>
        </w:rPr>
        <w:t>INTEGER</w:t>
      </w:r>
      <w:r w:rsidRPr="00FA0D37">
        <w:t>(0..69),</w:t>
      </w:r>
    </w:p>
    <w:p w14:paraId="15089DF6" w14:textId="77777777" w:rsidR="00C26E98" w:rsidRPr="00FA0D37" w:rsidRDefault="00C26E98" w:rsidP="00FA0D37">
      <w:pPr>
        <w:pStyle w:val="PL"/>
      </w:pPr>
      <w:r w:rsidRPr="00FA0D37">
        <w:t xml:space="preserve">        ms80                                        </w:t>
      </w:r>
      <w:r w:rsidRPr="00FA0D37">
        <w:rPr>
          <w:color w:val="993366"/>
        </w:rPr>
        <w:t>INTEGER</w:t>
      </w:r>
      <w:r w:rsidRPr="00FA0D37">
        <w:t>(0..79),</w:t>
      </w:r>
    </w:p>
    <w:p w14:paraId="06A09F9E" w14:textId="77777777" w:rsidR="00C26E98" w:rsidRPr="00FA0D37" w:rsidRDefault="00C26E98" w:rsidP="00FA0D37">
      <w:pPr>
        <w:pStyle w:val="PL"/>
      </w:pPr>
      <w:r w:rsidRPr="00FA0D37">
        <w:t xml:space="preserve">        ms128                                       </w:t>
      </w:r>
      <w:r w:rsidRPr="00FA0D37">
        <w:rPr>
          <w:color w:val="993366"/>
        </w:rPr>
        <w:t>INTEGER</w:t>
      </w:r>
      <w:r w:rsidRPr="00FA0D37">
        <w:t>(0..127),</w:t>
      </w:r>
    </w:p>
    <w:p w14:paraId="5B181B2E" w14:textId="77777777" w:rsidR="00C26E98" w:rsidRPr="00FA0D37" w:rsidRDefault="00C26E98" w:rsidP="00FA0D37">
      <w:pPr>
        <w:pStyle w:val="PL"/>
      </w:pPr>
      <w:r w:rsidRPr="00FA0D37">
        <w:t xml:space="preserve">        ms160                                       </w:t>
      </w:r>
      <w:r w:rsidRPr="00FA0D37">
        <w:rPr>
          <w:color w:val="993366"/>
        </w:rPr>
        <w:t>INTEGER</w:t>
      </w:r>
      <w:r w:rsidRPr="00FA0D37">
        <w:t>(0..159),</w:t>
      </w:r>
    </w:p>
    <w:p w14:paraId="46D7A90C" w14:textId="77777777" w:rsidR="00C26E98" w:rsidRPr="00FA0D37" w:rsidRDefault="00C26E98" w:rsidP="00FA0D37">
      <w:pPr>
        <w:pStyle w:val="PL"/>
      </w:pPr>
      <w:r w:rsidRPr="00FA0D37">
        <w:t xml:space="preserve">        ms256                                       </w:t>
      </w:r>
      <w:r w:rsidRPr="00FA0D37">
        <w:rPr>
          <w:color w:val="993366"/>
        </w:rPr>
        <w:t>INTEGER</w:t>
      </w:r>
      <w:r w:rsidRPr="00FA0D37">
        <w:t>(0..255),</w:t>
      </w:r>
    </w:p>
    <w:p w14:paraId="5A7D1C6E" w14:textId="77777777" w:rsidR="00C26E98" w:rsidRPr="00FA0D37" w:rsidRDefault="00C26E98" w:rsidP="00FA0D37">
      <w:pPr>
        <w:pStyle w:val="PL"/>
      </w:pPr>
      <w:r w:rsidRPr="00FA0D37">
        <w:lastRenderedPageBreak/>
        <w:t xml:space="preserve">        ms320                                       </w:t>
      </w:r>
      <w:r w:rsidRPr="00FA0D37">
        <w:rPr>
          <w:color w:val="993366"/>
        </w:rPr>
        <w:t>INTEGER</w:t>
      </w:r>
      <w:r w:rsidRPr="00FA0D37">
        <w:t>(0..319),</w:t>
      </w:r>
    </w:p>
    <w:p w14:paraId="0CB89775" w14:textId="77777777" w:rsidR="00C26E98" w:rsidRPr="00FA0D37" w:rsidRDefault="00C26E98" w:rsidP="00FA0D37">
      <w:pPr>
        <w:pStyle w:val="PL"/>
      </w:pPr>
      <w:r w:rsidRPr="00FA0D37">
        <w:t xml:space="preserve">        ms512                                       </w:t>
      </w:r>
      <w:r w:rsidRPr="00FA0D37">
        <w:rPr>
          <w:color w:val="993366"/>
        </w:rPr>
        <w:t>INTEGER</w:t>
      </w:r>
      <w:r w:rsidRPr="00FA0D37">
        <w:t>(0..511),</w:t>
      </w:r>
    </w:p>
    <w:p w14:paraId="209721C6" w14:textId="77777777" w:rsidR="00C26E98" w:rsidRPr="00FA0D37" w:rsidRDefault="00C26E98" w:rsidP="00FA0D37">
      <w:pPr>
        <w:pStyle w:val="PL"/>
      </w:pPr>
      <w:r w:rsidRPr="00FA0D37">
        <w:t xml:space="preserve">        ms640                                       </w:t>
      </w:r>
      <w:r w:rsidRPr="00FA0D37">
        <w:rPr>
          <w:color w:val="993366"/>
        </w:rPr>
        <w:t>INTEGER</w:t>
      </w:r>
      <w:r w:rsidRPr="00FA0D37">
        <w:t>(0..639),</w:t>
      </w:r>
    </w:p>
    <w:p w14:paraId="60F75A3B" w14:textId="77777777" w:rsidR="00C26E98" w:rsidRPr="00FA0D37" w:rsidRDefault="00C26E98" w:rsidP="00FA0D37">
      <w:pPr>
        <w:pStyle w:val="PL"/>
      </w:pPr>
      <w:r w:rsidRPr="00FA0D37">
        <w:t xml:space="preserve">        ms1024                                      </w:t>
      </w:r>
      <w:r w:rsidRPr="00FA0D37">
        <w:rPr>
          <w:color w:val="993366"/>
        </w:rPr>
        <w:t>INTEGER</w:t>
      </w:r>
      <w:r w:rsidRPr="00FA0D37">
        <w:t>(0..1023),</w:t>
      </w:r>
    </w:p>
    <w:p w14:paraId="0C4D7735" w14:textId="77777777" w:rsidR="00C26E98" w:rsidRPr="00FA0D37" w:rsidRDefault="00C26E98" w:rsidP="00FA0D37">
      <w:pPr>
        <w:pStyle w:val="PL"/>
      </w:pPr>
      <w:r w:rsidRPr="00FA0D37">
        <w:t xml:space="preserve">        ms1280                                      </w:t>
      </w:r>
      <w:r w:rsidRPr="00FA0D37">
        <w:rPr>
          <w:color w:val="993366"/>
        </w:rPr>
        <w:t>INTEGER</w:t>
      </w:r>
      <w:r w:rsidRPr="00FA0D37">
        <w:t>(0..1279),</w:t>
      </w:r>
    </w:p>
    <w:p w14:paraId="12E2E3B4" w14:textId="77777777" w:rsidR="00C26E98" w:rsidRPr="00FA0D37" w:rsidRDefault="00C26E98" w:rsidP="00FA0D37">
      <w:pPr>
        <w:pStyle w:val="PL"/>
      </w:pPr>
      <w:r w:rsidRPr="00FA0D37">
        <w:t xml:space="preserve">        ms2048                                      </w:t>
      </w:r>
      <w:r w:rsidRPr="00FA0D37">
        <w:rPr>
          <w:color w:val="993366"/>
        </w:rPr>
        <w:t>INTEGER</w:t>
      </w:r>
      <w:r w:rsidRPr="00FA0D37">
        <w:t>(0..2047),</w:t>
      </w:r>
    </w:p>
    <w:p w14:paraId="254633C1" w14:textId="77777777" w:rsidR="00C26E98" w:rsidRPr="00FA0D37" w:rsidRDefault="00C26E98" w:rsidP="00FA0D37">
      <w:pPr>
        <w:pStyle w:val="PL"/>
      </w:pPr>
      <w:r w:rsidRPr="00FA0D37">
        <w:t xml:space="preserve">        ms2560                                      </w:t>
      </w:r>
      <w:r w:rsidRPr="00FA0D37">
        <w:rPr>
          <w:color w:val="993366"/>
        </w:rPr>
        <w:t>INTEGER</w:t>
      </w:r>
      <w:r w:rsidRPr="00FA0D37">
        <w:t>(0..2559),</w:t>
      </w:r>
    </w:p>
    <w:p w14:paraId="113C31E8" w14:textId="77777777" w:rsidR="00C26E98" w:rsidRPr="00FA0D37" w:rsidRDefault="00C26E98" w:rsidP="00FA0D37">
      <w:pPr>
        <w:pStyle w:val="PL"/>
      </w:pPr>
      <w:r w:rsidRPr="00FA0D37">
        <w:t xml:space="preserve">        ms5120                                      </w:t>
      </w:r>
      <w:r w:rsidRPr="00FA0D37">
        <w:rPr>
          <w:color w:val="993366"/>
        </w:rPr>
        <w:t>INTEGER</w:t>
      </w:r>
      <w:r w:rsidRPr="00FA0D37">
        <w:t>(0..5119),</w:t>
      </w:r>
    </w:p>
    <w:p w14:paraId="4D534D00" w14:textId="77777777" w:rsidR="00C26E98" w:rsidRPr="00FA0D37" w:rsidRDefault="00C26E98" w:rsidP="00FA0D37">
      <w:pPr>
        <w:pStyle w:val="PL"/>
      </w:pPr>
      <w:r w:rsidRPr="00FA0D37">
        <w:t xml:space="preserve">        ms10240                                     </w:t>
      </w:r>
      <w:r w:rsidRPr="00FA0D37">
        <w:rPr>
          <w:color w:val="993366"/>
        </w:rPr>
        <w:t>INTEGER</w:t>
      </w:r>
      <w:r w:rsidRPr="00FA0D37">
        <w:t>(0..10239)</w:t>
      </w:r>
    </w:p>
    <w:p w14:paraId="0FBDC9ED" w14:textId="1E275EF3" w:rsidR="00C26E98" w:rsidRPr="00FA0D37" w:rsidRDefault="00BB6F93" w:rsidP="00FA0D37">
      <w:pPr>
        <w:pStyle w:val="PL"/>
      </w:pPr>
      <w:r w:rsidRPr="00FA0D37">
        <w:t xml:space="preserve">    </w:t>
      </w:r>
      <w:r w:rsidR="00C26E98" w:rsidRPr="00FA0D37">
        <w:t>}</w:t>
      </w:r>
      <w:r w:rsidR="001B1A88" w:rsidRPr="00FA0D37">
        <w:t>,</w:t>
      </w:r>
    </w:p>
    <w:p w14:paraId="20D7BD8E" w14:textId="77777777" w:rsidR="001B1A88" w:rsidRPr="00FA0D37" w:rsidRDefault="001B1A88" w:rsidP="00FA0D37">
      <w:pPr>
        <w:pStyle w:val="PL"/>
      </w:pPr>
      <w:r w:rsidRPr="00FA0D37">
        <w:t xml:space="preserve">    sl-drx-SlotOffset-r17                   </w:t>
      </w:r>
      <w:r w:rsidRPr="00FA0D37">
        <w:rPr>
          <w:color w:val="993366"/>
        </w:rPr>
        <w:t>INTEGER</w:t>
      </w:r>
      <w:r w:rsidRPr="00FA0D37">
        <w:t xml:space="preserve"> (0..31)</w:t>
      </w:r>
    </w:p>
    <w:p w14:paraId="7EF8432A" w14:textId="0DD4F9CB" w:rsidR="00C26E98" w:rsidRPr="00FA0D37" w:rsidRDefault="00C26E98" w:rsidP="00FA0D37">
      <w:pPr>
        <w:pStyle w:val="PL"/>
      </w:pPr>
      <w:r w:rsidRPr="00FA0D37">
        <w:t>}</w:t>
      </w:r>
    </w:p>
    <w:p w14:paraId="153599B2" w14:textId="77777777" w:rsidR="00C26E98" w:rsidRPr="00FA0D37" w:rsidRDefault="00C26E98" w:rsidP="00FA0D37">
      <w:pPr>
        <w:pStyle w:val="PL"/>
      </w:pPr>
    </w:p>
    <w:p w14:paraId="445609D2" w14:textId="77777777" w:rsidR="00C26E98" w:rsidRPr="00FA0D37" w:rsidRDefault="00C26E98" w:rsidP="00FA0D37">
      <w:pPr>
        <w:pStyle w:val="PL"/>
        <w:rPr>
          <w:color w:val="808080"/>
        </w:rPr>
      </w:pPr>
      <w:r w:rsidRPr="00FA0D37">
        <w:rPr>
          <w:color w:val="808080"/>
        </w:rPr>
        <w:t>-- TAG-SL-DRX-CONFIGUCSEMISTATIC-STOP</w:t>
      </w:r>
    </w:p>
    <w:p w14:paraId="33C3940F" w14:textId="77777777" w:rsidR="00C26E98" w:rsidRPr="00FA0D37" w:rsidRDefault="00C26E98" w:rsidP="00FA0D37">
      <w:pPr>
        <w:pStyle w:val="PL"/>
        <w:rPr>
          <w:color w:val="808080"/>
        </w:rPr>
      </w:pPr>
      <w:r w:rsidRPr="00FA0D37">
        <w:rPr>
          <w:color w:val="808080"/>
        </w:rPr>
        <w:t>-- ASN1STOP</w:t>
      </w:r>
    </w:p>
    <w:p w14:paraId="7113C3F6" w14:textId="77777777" w:rsidR="00C26E98" w:rsidRPr="00FA0D37" w:rsidRDefault="00C26E98" w:rsidP="000830BB"/>
    <w:p w14:paraId="770DCEEE" w14:textId="3E3910B2" w:rsidR="00394471" w:rsidRPr="00FA0D37" w:rsidRDefault="00394471" w:rsidP="00394471">
      <w:pPr>
        <w:pStyle w:val="4"/>
      </w:pPr>
      <w:bookmarkStart w:id="1748" w:name="_Toc60777531"/>
      <w:bookmarkStart w:id="1749" w:name="_Toc146781649"/>
      <w:r w:rsidRPr="00FA0D37">
        <w:t>–</w:t>
      </w:r>
      <w:r w:rsidRPr="00FA0D37">
        <w:tab/>
      </w:r>
      <w:r w:rsidRPr="00FA0D37">
        <w:rPr>
          <w:i/>
          <w:iCs/>
        </w:rPr>
        <w:t>SL-FreqConfig</w:t>
      </w:r>
      <w:bookmarkEnd w:id="1748"/>
      <w:bookmarkEnd w:id="1749"/>
    </w:p>
    <w:p w14:paraId="67C86C35" w14:textId="77777777" w:rsidR="00394471" w:rsidRPr="00FA0D37" w:rsidRDefault="00394471" w:rsidP="00394471">
      <w:pPr>
        <w:keepNext/>
        <w:keepLines/>
        <w:rPr>
          <w:iCs/>
        </w:rPr>
      </w:pPr>
      <w:r w:rsidRPr="00FA0D37">
        <w:rPr>
          <w:iCs/>
        </w:rPr>
        <w:t xml:space="preserve">The IE </w:t>
      </w:r>
      <w:r w:rsidRPr="00FA0D37">
        <w:rPr>
          <w:i/>
        </w:rPr>
        <w:t xml:space="preserve">SL-FreqConfig </w:t>
      </w:r>
      <w:r w:rsidRPr="00FA0D37">
        <w:rPr>
          <w:iCs/>
        </w:rPr>
        <w:t xml:space="preserve">specifies the </w:t>
      </w:r>
      <w:r w:rsidRPr="00FA0D37">
        <w:rPr>
          <w:iCs/>
          <w:lang w:eastAsia="zh-CN"/>
        </w:rPr>
        <w:t xml:space="preserve">dedicated </w:t>
      </w:r>
      <w:r w:rsidRPr="00FA0D37">
        <w:rPr>
          <w:iCs/>
        </w:rPr>
        <w:t>configuration information on one particular carrier frequency for NR sidelink communication.</w:t>
      </w:r>
    </w:p>
    <w:p w14:paraId="0EEC0EE4" w14:textId="77777777" w:rsidR="00394471" w:rsidRPr="00FA0D37" w:rsidRDefault="00394471" w:rsidP="00394471">
      <w:pPr>
        <w:pStyle w:val="TH"/>
        <w:rPr>
          <w:b w:val="0"/>
        </w:rPr>
      </w:pPr>
      <w:r w:rsidRPr="00FA0D37">
        <w:rPr>
          <w:bCs/>
          <w:i/>
          <w:iCs/>
        </w:rPr>
        <w:t>SL-FreqConfig</w:t>
      </w:r>
      <w:r w:rsidRPr="00FA0D37">
        <w:t xml:space="preserve"> information element</w:t>
      </w:r>
    </w:p>
    <w:p w14:paraId="1103E7F2" w14:textId="77777777" w:rsidR="00394471" w:rsidRPr="00FA0D37" w:rsidRDefault="00394471" w:rsidP="00FA0D37">
      <w:pPr>
        <w:pStyle w:val="PL"/>
        <w:rPr>
          <w:color w:val="808080"/>
        </w:rPr>
      </w:pPr>
      <w:r w:rsidRPr="00FA0D37">
        <w:rPr>
          <w:color w:val="808080"/>
        </w:rPr>
        <w:t>-- ASN1START</w:t>
      </w:r>
    </w:p>
    <w:p w14:paraId="5DE5DB58" w14:textId="77777777" w:rsidR="00394471" w:rsidRPr="00FA0D37" w:rsidRDefault="00394471" w:rsidP="00FA0D37">
      <w:pPr>
        <w:pStyle w:val="PL"/>
        <w:rPr>
          <w:color w:val="808080"/>
        </w:rPr>
      </w:pPr>
      <w:r w:rsidRPr="00FA0D37">
        <w:rPr>
          <w:color w:val="808080"/>
        </w:rPr>
        <w:t>-- TAG-SL-FREQCONFIG-START</w:t>
      </w:r>
    </w:p>
    <w:p w14:paraId="561CB428" w14:textId="77777777" w:rsidR="00394471" w:rsidRPr="00FA0D37" w:rsidRDefault="00394471" w:rsidP="00FA0D37">
      <w:pPr>
        <w:pStyle w:val="PL"/>
      </w:pPr>
    </w:p>
    <w:p w14:paraId="26383FAB" w14:textId="77777777" w:rsidR="00394471" w:rsidRPr="00FA0D37" w:rsidRDefault="00394471" w:rsidP="00FA0D37">
      <w:pPr>
        <w:pStyle w:val="PL"/>
      </w:pPr>
      <w:r w:rsidRPr="00FA0D37">
        <w:t xml:space="preserve">SL-FreqConfig-r16 ::=              </w:t>
      </w:r>
      <w:r w:rsidRPr="00FA0D37">
        <w:rPr>
          <w:color w:val="993366"/>
        </w:rPr>
        <w:t>SEQUENCE</w:t>
      </w:r>
      <w:r w:rsidRPr="00FA0D37">
        <w:t xml:space="preserve"> {</w:t>
      </w:r>
    </w:p>
    <w:p w14:paraId="56EF547E" w14:textId="77777777" w:rsidR="00394471" w:rsidRPr="00FA0D37" w:rsidRDefault="00394471" w:rsidP="00FA0D37">
      <w:pPr>
        <w:pStyle w:val="PL"/>
      </w:pPr>
      <w:r w:rsidRPr="00FA0D37">
        <w:t xml:space="preserve">    sl-Freq-Id-r16                     SL-Freq-Id-r16,</w:t>
      </w:r>
    </w:p>
    <w:p w14:paraId="368949A7" w14:textId="77777777" w:rsidR="00394471" w:rsidRPr="00FA0D37" w:rsidRDefault="00394471" w:rsidP="00FA0D37">
      <w:pPr>
        <w:pStyle w:val="PL"/>
      </w:pPr>
      <w:r w:rsidRPr="00FA0D37">
        <w:t xml:space="preserve">    sl-SCS-SpecificCarrierList-r16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SCS-SpecificCarrier,</w:t>
      </w:r>
    </w:p>
    <w:p w14:paraId="4BDB6A60" w14:textId="77777777" w:rsidR="00394471" w:rsidRPr="00FA0D37" w:rsidRDefault="00394471" w:rsidP="00FA0D37">
      <w:pPr>
        <w:pStyle w:val="PL"/>
        <w:rPr>
          <w:color w:val="808080"/>
        </w:rPr>
      </w:pPr>
      <w:r w:rsidRPr="00FA0D37">
        <w:t xml:space="preserve">    sl-AbsoluteFrequencyPointA-r16     ARFCN-ValueNR                                                   </w:t>
      </w:r>
      <w:r w:rsidRPr="00FA0D37">
        <w:rPr>
          <w:color w:val="993366"/>
        </w:rPr>
        <w:t>OPTIONAL</w:t>
      </w:r>
      <w:r w:rsidRPr="00FA0D37">
        <w:t xml:space="preserve">,  </w:t>
      </w:r>
      <w:r w:rsidRPr="00FA0D37">
        <w:rPr>
          <w:color w:val="808080"/>
        </w:rPr>
        <w:t>-- Need M</w:t>
      </w:r>
    </w:p>
    <w:p w14:paraId="3B8CD57E" w14:textId="77777777" w:rsidR="00394471" w:rsidRPr="00FA0D37" w:rsidRDefault="00394471" w:rsidP="00FA0D37">
      <w:pPr>
        <w:pStyle w:val="PL"/>
        <w:rPr>
          <w:rFonts w:eastAsia="等线"/>
          <w:color w:val="808080"/>
        </w:rPr>
      </w:pPr>
      <w:r w:rsidRPr="00FA0D37">
        <w:t xml:space="preserve">    sl-AbsoluteFrequencySSB-r16        ARFCN-ValueNR                                                   </w:t>
      </w:r>
      <w:r w:rsidRPr="00FA0D37">
        <w:rPr>
          <w:color w:val="993366"/>
        </w:rPr>
        <w:t>OPTIONAL</w:t>
      </w:r>
      <w:r w:rsidRPr="00FA0D37">
        <w:t xml:space="preserve">,  </w:t>
      </w:r>
      <w:r w:rsidRPr="00FA0D37">
        <w:rPr>
          <w:color w:val="808080"/>
        </w:rPr>
        <w:t>-- Need R</w:t>
      </w:r>
    </w:p>
    <w:p w14:paraId="24E71CD7" w14:textId="77777777" w:rsidR="00394471" w:rsidRPr="00FA0D37" w:rsidRDefault="00394471" w:rsidP="00FA0D37">
      <w:pPr>
        <w:pStyle w:val="PL"/>
        <w:rPr>
          <w:color w:val="808080"/>
        </w:rPr>
      </w:pPr>
      <w:r w:rsidRPr="00FA0D37">
        <w:t xml:space="preserve">    frequencyShift7p5khzSL-r16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V2X-SL-Shared</w:t>
      </w:r>
    </w:p>
    <w:p w14:paraId="514A2451" w14:textId="77777777" w:rsidR="00394471" w:rsidRPr="00FA0D37" w:rsidRDefault="00394471" w:rsidP="00FA0D37">
      <w:pPr>
        <w:pStyle w:val="PL"/>
      </w:pPr>
      <w:r w:rsidRPr="00FA0D37">
        <w:t xml:space="preserve">    valueN-r16                         </w:t>
      </w:r>
      <w:r w:rsidRPr="00FA0D37">
        <w:rPr>
          <w:color w:val="993366"/>
        </w:rPr>
        <w:t>INTEGER</w:t>
      </w:r>
      <w:r w:rsidRPr="00FA0D37">
        <w:t xml:space="preserve"> (-1..1),</w:t>
      </w:r>
    </w:p>
    <w:p w14:paraId="24602AD1" w14:textId="77777777" w:rsidR="00394471" w:rsidRPr="00FA0D37" w:rsidRDefault="00394471" w:rsidP="00FA0D37">
      <w:pPr>
        <w:pStyle w:val="PL"/>
        <w:rPr>
          <w:color w:val="808080"/>
        </w:rPr>
      </w:pPr>
      <w:r w:rsidRPr="00FA0D37">
        <w:t xml:space="preserve">    sl-BWP-ToReleaseList-r16           </w:t>
      </w:r>
      <w:r w:rsidRPr="00FA0D37">
        <w:rPr>
          <w:color w:val="993366"/>
        </w:rPr>
        <w:t>SEQUENCE</w:t>
      </w:r>
      <w:r w:rsidRPr="00FA0D37">
        <w:t xml:space="preserve"> (</w:t>
      </w:r>
      <w:r w:rsidRPr="00FA0D37">
        <w:rPr>
          <w:color w:val="993366"/>
        </w:rPr>
        <w:t>SIZE</w:t>
      </w:r>
      <w:r w:rsidRPr="00FA0D37">
        <w:t xml:space="preserve"> (1..maxNrofSL-BWPs-r16))</w:t>
      </w:r>
      <w:r w:rsidRPr="00FA0D37">
        <w:rPr>
          <w:color w:val="993366"/>
        </w:rPr>
        <w:t xml:space="preserve"> OF</w:t>
      </w:r>
      <w:r w:rsidRPr="00FA0D37">
        <w:t xml:space="preserve"> BWP-Id               </w:t>
      </w:r>
      <w:r w:rsidRPr="00FA0D37">
        <w:rPr>
          <w:color w:val="993366"/>
        </w:rPr>
        <w:t>OPTIONAL</w:t>
      </w:r>
      <w:r w:rsidRPr="00FA0D37">
        <w:t xml:space="preserve">,  </w:t>
      </w:r>
      <w:r w:rsidRPr="00FA0D37">
        <w:rPr>
          <w:color w:val="808080"/>
        </w:rPr>
        <w:t>-- Need N</w:t>
      </w:r>
    </w:p>
    <w:p w14:paraId="18576347" w14:textId="77777777" w:rsidR="00394471" w:rsidRPr="00FA0D37" w:rsidRDefault="00394471" w:rsidP="00FA0D37">
      <w:pPr>
        <w:pStyle w:val="PL"/>
        <w:rPr>
          <w:color w:val="808080"/>
        </w:rPr>
      </w:pPr>
      <w:r w:rsidRPr="00FA0D37">
        <w:t xml:space="preserve">    sl-BWP-ToAddModList-r16            </w:t>
      </w:r>
      <w:r w:rsidRPr="00FA0D37">
        <w:rPr>
          <w:color w:val="993366"/>
        </w:rPr>
        <w:t>SEQUENCE</w:t>
      </w:r>
      <w:r w:rsidRPr="00FA0D37">
        <w:t xml:space="preserve"> (</w:t>
      </w:r>
      <w:r w:rsidRPr="00FA0D37">
        <w:rPr>
          <w:color w:val="993366"/>
        </w:rPr>
        <w:t>SIZE</w:t>
      </w:r>
      <w:r w:rsidRPr="00FA0D37">
        <w:t xml:space="preserve"> (1..maxNrofSL-BWPs-r16))</w:t>
      </w:r>
      <w:r w:rsidRPr="00FA0D37">
        <w:rPr>
          <w:color w:val="993366"/>
        </w:rPr>
        <w:t xml:space="preserve"> OF</w:t>
      </w:r>
      <w:r w:rsidRPr="00FA0D37">
        <w:t xml:space="preserve"> SL-BWP-Config-r16    </w:t>
      </w:r>
      <w:r w:rsidRPr="00FA0D37">
        <w:rPr>
          <w:color w:val="993366"/>
        </w:rPr>
        <w:t>OPTIONAL</w:t>
      </w:r>
      <w:r w:rsidRPr="00FA0D37">
        <w:t xml:space="preserve">,  </w:t>
      </w:r>
      <w:r w:rsidRPr="00FA0D37">
        <w:rPr>
          <w:color w:val="808080"/>
        </w:rPr>
        <w:t>-- Need N</w:t>
      </w:r>
    </w:p>
    <w:p w14:paraId="6B885BFA" w14:textId="77777777" w:rsidR="00394471" w:rsidRPr="00FA0D37" w:rsidRDefault="00394471" w:rsidP="00FA0D37">
      <w:pPr>
        <w:pStyle w:val="PL"/>
        <w:rPr>
          <w:color w:val="808080"/>
        </w:rPr>
      </w:pPr>
      <w:r w:rsidRPr="00FA0D37">
        <w:t xml:space="preserve">    sl-SyncConfigList-r16              SL-SyncConfigList-r16                                           </w:t>
      </w:r>
      <w:r w:rsidRPr="00FA0D37">
        <w:rPr>
          <w:color w:val="993366"/>
        </w:rPr>
        <w:t>OPTIONAL</w:t>
      </w:r>
      <w:r w:rsidRPr="00FA0D37">
        <w:t xml:space="preserve">,  </w:t>
      </w:r>
      <w:r w:rsidRPr="00FA0D37">
        <w:rPr>
          <w:color w:val="808080"/>
        </w:rPr>
        <w:t>-- Need M</w:t>
      </w:r>
    </w:p>
    <w:p w14:paraId="693D8712" w14:textId="77777777" w:rsidR="00394471" w:rsidRPr="00FA0D37" w:rsidRDefault="00394471" w:rsidP="00FA0D37">
      <w:pPr>
        <w:pStyle w:val="PL"/>
        <w:rPr>
          <w:color w:val="808080"/>
        </w:rPr>
      </w:pPr>
      <w:r w:rsidRPr="00FA0D37">
        <w:t xml:space="preserve">    sl-SyncPriority-r16                </w:t>
      </w:r>
      <w:r w:rsidRPr="00FA0D37">
        <w:rPr>
          <w:color w:val="993366"/>
        </w:rPr>
        <w:t>ENUMERATED</w:t>
      </w:r>
      <w:r w:rsidRPr="00FA0D37">
        <w:t xml:space="preserve"> {gnss, gnbEnb}                                       </w:t>
      </w:r>
      <w:r w:rsidRPr="00FA0D37">
        <w:rPr>
          <w:color w:val="993366"/>
        </w:rPr>
        <w:t>OPTIONAL</w:t>
      </w:r>
      <w:r w:rsidRPr="00FA0D37">
        <w:t xml:space="preserve">   </w:t>
      </w:r>
      <w:r w:rsidRPr="00FA0D37">
        <w:rPr>
          <w:color w:val="808080"/>
        </w:rPr>
        <w:t>-- Need M</w:t>
      </w:r>
    </w:p>
    <w:p w14:paraId="7873A41D" w14:textId="77777777" w:rsidR="00394471" w:rsidRPr="00FA0D37" w:rsidRDefault="00394471" w:rsidP="00FA0D37">
      <w:pPr>
        <w:pStyle w:val="PL"/>
        <w:rPr>
          <w:rFonts w:eastAsia="等线"/>
        </w:rPr>
      </w:pPr>
      <w:r w:rsidRPr="00FA0D37">
        <w:rPr>
          <w:rFonts w:eastAsia="等线"/>
        </w:rPr>
        <w:t>}</w:t>
      </w:r>
    </w:p>
    <w:p w14:paraId="076BDFEE" w14:textId="77777777" w:rsidR="00394471" w:rsidRPr="00FA0D37" w:rsidRDefault="00394471" w:rsidP="00FA0D37">
      <w:pPr>
        <w:pStyle w:val="PL"/>
        <w:rPr>
          <w:rFonts w:eastAsia="等线"/>
        </w:rPr>
      </w:pPr>
    </w:p>
    <w:p w14:paraId="507A5672" w14:textId="77777777" w:rsidR="00394471" w:rsidRPr="00FA0D37" w:rsidRDefault="00394471" w:rsidP="00FA0D37">
      <w:pPr>
        <w:pStyle w:val="PL"/>
        <w:rPr>
          <w:rFonts w:eastAsia="等线"/>
        </w:rPr>
      </w:pPr>
      <w:r w:rsidRPr="00FA0D37">
        <w:rPr>
          <w:rFonts w:eastAsia="等线"/>
        </w:rPr>
        <w:t>SL-Freq-Id-r16 ::=</w:t>
      </w:r>
      <w:r w:rsidRPr="00FA0D37">
        <w:t xml:space="preserve">                  </w:t>
      </w:r>
      <w:r w:rsidRPr="00FA0D37">
        <w:rPr>
          <w:rFonts w:eastAsia="等线"/>
        </w:rPr>
        <w:t xml:space="preserve">   </w:t>
      </w:r>
      <w:r w:rsidRPr="00FA0D37">
        <w:rPr>
          <w:rFonts w:eastAsia="等线"/>
          <w:color w:val="993366"/>
        </w:rPr>
        <w:t>INTEGER</w:t>
      </w:r>
      <w:r w:rsidRPr="00FA0D37">
        <w:rPr>
          <w:rFonts w:eastAsia="等线"/>
        </w:rPr>
        <w:t xml:space="preserve"> (1.. maxNrofFreqSL-r16)</w:t>
      </w:r>
    </w:p>
    <w:p w14:paraId="00533AF8" w14:textId="77777777" w:rsidR="00394471" w:rsidRPr="00FA0D37" w:rsidRDefault="00394471" w:rsidP="00FA0D37">
      <w:pPr>
        <w:pStyle w:val="PL"/>
        <w:rPr>
          <w:rFonts w:eastAsia="等线"/>
        </w:rPr>
      </w:pPr>
    </w:p>
    <w:p w14:paraId="1409F09F" w14:textId="77777777" w:rsidR="00394471" w:rsidRPr="00FA0D37" w:rsidRDefault="00394471" w:rsidP="00FA0D37">
      <w:pPr>
        <w:pStyle w:val="PL"/>
        <w:rPr>
          <w:color w:val="808080"/>
        </w:rPr>
      </w:pPr>
      <w:r w:rsidRPr="00FA0D37">
        <w:rPr>
          <w:color w:val="808080"/>
        </w:rPr>
        <w:t>-- TAG-SL-FREQCONFIG-STOP</w:t>
      </w:r>
    </w:p>
    <w:p w14:paraId="5C60C3E7" w14:textId="77777777" w:rsidR="00394471" w:rsidRPr="00FA0D37" w:rsidRDefault="00394471" w:rsidP="00FA0D37">
      <w:pPr>
        <w:pStyle w:val="PL"/>
        <w:rPr>
          <w:color w:val="808080"/>
        </w:rPr>
      </w:pPr>
      <w:r w:rsidRPr="00FA0D37">
        <w:rPr>
          <w:color w:val="808080"/>
        </w:rPr>
        <w:t>-- ASN1STOP</w:t>
      </w:r>
    </w:p>
    <w:p w14:paraId="07484959" w14:textId="77777777" w:rsidR="00394471" w:rsidRPr="00FA0D3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5D1EF28F"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B328B82" w14:textId="77777777" w:rsidR="00394471" w:rsidRPr="00FA0D37" w:rsidRDefault="00394471" w:rsidP="00964CC4">
            <w:pPr>
              <w:pStyle w:val="TAH"/>
              <w:rPr>
                <w:lang w:eastAsia="en-GB"/>
              </w:rPr>
            </w:pPr>
            <w:r w:rsidRPr="00FA0D37">
              <w:rPr>
                <w:i/>
                <w:noProof/>
                <w:lang w:eastAsia="en-GB"/>
              </w:rPr>
              <w:lastRenderedPageBreak/>
              <w:t>SL</w:t>
            </w:r>
            <w:r w:rsidRPr="00FA0D37">
              <w:rPr>
                <w:i/>
                <w:lang w:eastAsia="sv-SE"/>
              </w:rPr>
              <w:t>-FreqConfig</w:t>
            </w:r>
            <w:r w:rsidRPr="00FA0D37">
              <w:rPr>
                <w:noProof/>
                <w:lang w:eastAsia="en-GB"/>
              </w:rPr>
              <w:t xml:space="preserve"> field descriptions</w:t>
            </w:r>
          </w:p>
        </w:tc>
      </w:tr>
      <w:tr w:rsidR="005C7FF4" w:rsidRPr="00FA0D37" w14:paraId="6E57FE3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4C4D5E" w14:textId="77777777" w:rsidR="00394471" w:rsidRPr="00FA0D37" w:rsidRDefault="00394471" w:rsidP="00964CC4">
            <w:pPr>
              <w:pStyle w:val="TAL"/>
              <w:rPr>
                <w:b/>
                <w:bCs/>
                <w:i/>
                <w:iCs/>
                <w:lang w:eastAsia="en-GB"/>
              </w:rPr>
            </w:pPr>
            <w:r w:rsidRPr="00FA0D37">
              <w:rPr>
                <w:b/>
                <w:bCs/>
                <w:i/>
                <w:iCs/>
                <w:lang w:eastAsia="en-GB"/>
              </w:rPr>
              <w:t>frequencyShift7p5khzSL</w:t>
            </w:r>
          </w:p>
          <w:p w14:paraId="1540B477" w14:textId="77777777" w:rsidR="00394471" w:rsidRPr="00FA0D37" w:rsidRDefault="00394471" w:rsidP="00964CC4">
            <w:pPr>
              <w:pStyle w:val="TAL"/>
              <w:rPr>
                <w:lang w:eastAsia="en-GB"/>
              </w:rPr>
            </w:pPr>
            <w:r w:rsidRPr="00FA0D37">
              <w:rPr>
                <w:bCs/>
                <w:kern w:val="2"/>
                <w:lang w:eastAsia="en-GB"/>
              </w:rPr>
              <w:t>Enable the NR SL transmission with a 7.5 kHz shift to the LTE raster. If the field is absent, the frequency shift is disabled.</w:t>
            </w:r>
          </w:p>
        </w:tc>
      </w:tr>
      <w:tr w:rsidR="005C7FF4" w:rsidRPr="00FA0D37" w14:paraId="47C2929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0C14F2A" w14:textId="77777777" w:rsidR="00394471" w:rsidRPr="00FA0D37" w:rsidRDefault="00394471" w:rsidP="00964CC4">
            <w:pPr>
              <w:pStyle w:val="TAL"/>
              <w:rPr>
                <w:b/>
                <w:bCs/>
                <w:i/>
                <w:iCs/>
                <w:lang w:eastAsia="en-GB"/>
              </w:rPr>
            </w:pPr>
            <w:r w:rsidRPr="00FA0D37">
              <w:rPr>
                <w:b/>
                <w:bCs/>
                <w:i/>
                <w:iCs/>
                <w:lang w:eastAsia="en-GB"/>
              </w:rPr>
              <w:t>sl-AbsoluteFrequencyPointA</w:t>
            </w:r>
          </w:p>
          <w:p w14:paraId="5306D267" w14:textId="77777777" w:rsidR="00394471" w:rsidRPr="00FA0D37" w:rsidRDefault="00394471" w:rsidP="00964CC4">
            <w:pPr>
              <w:pStyle w:val="TAL"/>
              <w:rPr>
                <w:lang w:eastAsia="en-GB"/>
              </w:rPr>
            </w:pPr>
            <w:r w:rsidRPr="00FA0D37">
              <w:rPr>
                <w:lang w:eastAsia="en-GB"/>
              </w:rPr>
              <w:t>Absolute frequency of the reference resource block (Common RB 0). Its lowest subcarrier is also known as Point A.</w:t>
            </w:r>
          </w:p>
        </w:tc>
      </w:tr>
      <w:tr w:rsidR="005C7FF4" w:rsidRPr="00FA0D37" w14:paraId="19BCDA1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E7E3DD1" w14:textId="77777777" w:rsidR="00394471" w:rsidRPr="00FA0D37" w:rsidRDefault="00394471" w:rsidP="00964CC4">
            <w:pPr>
              <w:pStyle w:val="TAL"/>
              <w:rPr>
                <w:b/>
                <w:bCs/>
                <w:i/>
                <w:iCs/>
                <w:lang w:eastAsia="zh-CN"/>
              </w:rPr>
            </w:pPr>
            <w:r w:rsidRPr="00FA0D37">
              <w:rPr>
                <w:b/>
                <w:bCs/>
                <w:i/>
                <w:iCs/>
                <w:lang w:eastAsia="zh-CN"/>
              </w:rPr>
              <w:t>sl-AbsoluteFrequencySSB</w:t>
            </w:r>
          </w:p>
          <w:p w14:paraId="1C162CAE" w14:textId="77777777" w:rsidR="00394471" w:rsidRPr="00FA0D37" w:rsidRDefault="00394471" w:rsidP="00964CC4">
            <w:pPr>
              <w:pStyle w:val="TAL"/>
              <w:rPr>
                <w:lang w:eastAsia="en-GB"/>
              </w:rPr>
            </w:pPr>
            <w:r w:rsidRPr="00FA0D37">
              <w:rPr>
                <w:iCs/>
                <w:szCs w:val="22"/>
                <w:lang w:eastAsia="en-GB"/>
              </w:rPr>
              <w:t>Indicates the frequency location of sidelink SSB. The transmission bandwidth for sidelink SSB is within the bandwidth of this sidelink BWP.</w:t>
            </w:r>
          </w:p>
        </w:tc>
      </w:tr>
      <w:tr w:rsidR="005C7FF4" w:rsidRPr="00FA0D37" w14:paraId="0B08486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068342" w14:textId="77777777" w:rsidR="00394471" w:rsidRPr="00FA0D37" w:rsidRDefault="00394471" w:rsidP="00964CC4">
            <w:pPr>
              <w:pStyle w:val="TAL"/>
              <w:rPr>
                <w:b/>
                <w:bCs/>
                <w:i/>
                <w:iCs/>
                <w:lang w:eastAsia="sv-SE"/>
              </w:rPr>
            </w:pPr>
            <w:r w:rsidRPr="00FA0D37">
              <w:rPr>
                <w:b/>
                <w:bCs/>
                <w:i/>
                <w:iCs/>
                <w:lang w:eastAsia="sv-SE"/>
              </w:rPr>
              <w:t>sl-BWP-ToAddModList</w:t>
            </w:r>
          </w:p>
          <w:p w14:paraId="7DE666F2" w14:textId="1C84B19C" w:rsidR="00394471" w:rsidRPr="00FA0D37" w:rsidRDefault="00394471" w:rsidP="00964CC4">
            <w:pPr>
              <w:pStyle w:val="TAL"/>
              <w:rPr>
                <w:lang w:eastAsia="en-GB"/>
              </w:rPr>
            </w:pPr>
            <w:r w:rsidRPr="00FA0D37">
              <w:rPr>
                <w:lang w:eastAsia="sv-SE"/>
              </w:rPr>
              <w:t xml:space="preserve">This field indicates the list of sidelink BWP(s) on which the </w:t>
            </w:r>
            <w:r w:rsidRPr="00FA0D37">
              <w:rPr>
                <w:iCs/>
                <w:lang w:eastAsia="sv-SE"/>
              </w:rPr>
              <w:t>NR sidelink communication configuration is to be added or reconfigured. In this release, only one BWP is allowed to be configured for NR sidelink co</w:t>
            </w:r>
            <w:r w:rsidR="00C813A9" w:rsidRPr="00FA0D37">
              <w:rPr>
                <w:iCs/>
                <w:lang w:eastAsia="sv-SE"/>
              </w:rPr>
              <w:t>m</w:t>
            </w:r>
            <w:r w:rsidRPr="00FA0D37">
              <w:rPr>
                <w:iCs/>
                <w:lang w:eastAsia="sv-SE"/>
              </w:rPr>
              <w:t>munication.</w:t>
            </w:r>
          </w:p>
        </w:tc>
      </w:tr>
      <w:tr w:rsidR="005C7FF4" w:rsidRPr="00FA0D37" w14:paraId="65BDF5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7CD6B75" w14:textId="77777777" w:rsidR="00394471" w:rsidRPr="00FA0D37" w:rsidRDefault="00394471" w:rsidP="00964CC4">
            <w:pPr>
              <w:pStyle w:val="TAL"/>
              <w:rPr>
                <w:b/>
                <w:bCs/>
                <w:i/>
                <w:iCs/>
                <w:lang w:eastAsia="en-GB"/>
              </w:rPr>
            </w:pPr>
            <w:r w:rsidRPr="00FA0D37">
              <w:rPr>
                <w:b/>
                <w:bCs/>
                <w:i/>
                <w:iCs/>
                <w:lang w:eastAsia="en-GB"/>
              </w:rPr>
              <w:t>sl-BWP-ToReleaseList</w:t>
            </w:r>
          </w:p>
          <w:p w14:paraId="7EA04682" w14:textId="77777777" w:rsidR="00394471" w:rsidRPr="00FA0D37" w:rsidRDefault="00394471" w:rsidP="00964CC4">
            <w:pPr>
              <w:pStyle w:val="TAL"/>
              <w:rPr>
                <w:lang w:eastAsia="en-GB"/>
              </w:rPr>
            </w:pPr>
            <w:r w:rsidRPr="00FA0D37">
              <w:rPr>
                <w:lang w:eastAsia="sv-SE"/>
              </w:rPr>
              <w:t xml:space="preserve">This field indicates the list of sidelink BWP(s) on which the </w:t>
            </w:r>
            <w:r w:rsidRPr="00FA0D37">
              <w:rPr>
                <w:iCs/>
                <w:lang w:eastAsia="sv-SE"/>
              </w:rPr>
              <w:t xml:space="preserve">NR sidelink communication configuration is to be released. </w:t>
            </w:r>
          </w:p>
        </w:tc>
      </w:tr>
      <w:tr w:rsidR="005C7FF4" w:rsidRPr="00FA0D37" w14:paraId="4A1485E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3885D80" w14:textId="77777777" w:rsidR="00394471" w:rsidRPr="00FA0D37" w:rsidRDefault="00394471" w:rsidP="00964CC4">
            <w:pPr>
              <w:keepNext/>
              <w:keepLines/>
              <w:spacing w:after="0"/>
              <w:rPr>
                <w:rFonts w:ascii="Arial" w:hAnsi="Arial"/>
                <w:b/>
                <w:bCs/>
                <w:i/>
                <w:iCs/>
                <w:sz w:val="18"/>
                <w:lang w:eastAsia="en-GB"/>
              </w:rPr>
            </w:pPr>
            <w:r w:rsidRPr="00FA0D37">
              <w:rPr>
                <w:rFonts w:ascii="Arial" w:hAnsi="Arial"/>
                <w:b/>
                <w:bCs/>
                <w:i/>
                <w:iCs/>
                <w:sz w:val="18"/>
                <w:lang w:eastAsia="en-GB"/>
              </w:rPr>
              <w:t>sl-Freq-Id</w:t>
            </w:r>
          </w:p>
          <w:p w14:paraId="6177C02E" w14:textId="245AA75A" w:rsidR="00394471" w:rsidRPr="00FA0D37" w:rsidRDefault="00394471" w:rsidP="00964CC4">
            <w:pPr>
              <w:pStyle w:val="TAL"/>
              <w:rPr>
                <w:b/>
                <w:bCs/>
                <w:i/>
                <w:iCs/>
                <w:lang w:eastAsia="en-GB"/>
              </w:rPr>
            </w:pPr>
            <w:r w:rsidRPr="00FA0D37">
              <w:rPr>
                <w:iCs/>
                <w:lang w:eastAsia="sv-SE"/>
              </w:rPr>
              <w:t xml:space="preserve">This field indicates the identity of the </w:t>
            </w:r>
            <w:r w:rsidR="008D2002" w:rsidRPr="00FA0D37">
              <w:rPr>
                <w:rFonts w:cs="Arial"/>
                <w:iCs/>
                <w:lang w:eastAsia="sv-SE"/>
              </w:rPr>
              <w:t>dedicated configuration information on the carrier frequency for NR sidelink communication</w:t>
            </w:r>
            <w:r w:rsidRPr="00FA0D37">
              <w:rPr>
                <w:iCs/>
                <w:lang w:eastAsia="sv-SE"/>
              </w:rPr>
              <w:t>.</w:t>
            </w:r>
          </w:p>
        </w:tc>
      </w:tr>
      <w:tr w:rsidR="005C7FF4" w:rsidRPr="00FA0D37" w14:paraId="78DF9039"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16C39" w14:textId="77777777" w:rsidR="00394471" w:rsidRPr="00FA0D37" w:rsidRDefault="00394471" w:rsidP="00964CC4">
            <w:pPr>
              <w:pStyle w:val="TAL"/>
              <w:rPr>
                <w:b/>
                <w:bCs/>
                <w:i/>
                <w:iCs/>
                <w:lang w:eastAsia="en-GB"/>
              </w:rPr>
            </w:pPr>
            <w:r w:rsidRPr="00FA0D37">
              <w:rPr>
                <w:b/>
                <w:bCs/>
                <w:i/>
                <w:iCs/>
                <w:lang w:eastAsia="en-GB"/>
              </w:rPr>
              <w:t>sl-SCS-SpecificCarrierList</w:t>
            </w:r>
          </w:p>
          <w:p w14:paraId="04818BDF" w14:textId="299E5F93" w:rsidR="00394471" w:rsidRPr="00FA0D37" w:rsidRDefault="00394471" w:rsidP="00964CC4">
            <w:pPr>
              <w:pStyle w:val="TAL"/>
              <w:rPr>
                <w:lang w:eastAsia="en-GB"/>
              </w:rPr>
            </w:pPr>
            <w:r w:rsidRPr="00FA0D37">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A0D37">
              <w:rPr>
                <w:iCs/>
                <w:lang w:eastAsia="sv-SE"/>
              </w:rPr>
              <w:t xml:space="preserve"> In this release, only one </w:t>
            </w:r>
            <w:r w:rsidRPr="00FA0D37">
              <w:rPr>
                <w:i/>
                <w:lang w:eastAsia="sv-SE"/>
              </w:rPr>
              <w:t>SCS-SpecificCarrier</w:t>
            </w:r>
            <w:r w:rsidRPr="00FA0D37">
              <w:rPr>
                <w:iCs/>
                <w:lang w:eastAsia="sv-SE"/>
              </w:rPr>
              <w:t xml:space="preserve"> is allowed to be configured for NR sidelink co</w:t>
            </w:r>
            <w:r w:rsidR="00C813A9" w:rsidRPr="00FA0D37">
              <w:rPr>
                <w:iCs/>
                <w:lang w:eastAsia="sv-SE"/>
              </w:rPr>
              <w:t>m</w:t>
            </w:r>
            <w:r w:rsidRPr="00FA0D37">
              <w:rPr>
                <w:iCs/>
                <w:lang w:eastAsia="sv-SE"/>
              </w:rPr>
              <w:t>munication.</w:t>
            </w:r>
          </w:p>
        </w:tc>
      </w:tr>
      <w:tr w:rsidR="005C7FF4" w:rsidRPr="00FA0D37" w14:paraId="47DB6306"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ACCCF9" w14:textId="77777777" w:rsidR="00394471" w:rsidRPr="00FA0D37" w:rsidRDefault="00394471" w:rsidP="00964CC4">
            <w:pPr>
              <w:pStyle w:val="TAL"/>
              <w:rPr>
                <w:b/>
                <w:bCs/>
                <w:i/>
                <w:iCs/>
                <w:lang w:eastAsia="en-GB"/>
              </w:rPr>
            </w:pPr>
            <w:r w:rsidRPr="00FA0D37">
              <w:rPr>
                <w:b/>
                <w:bCs/>
                <w:i/>
                <w:iCs/>
                <w:lang w:eastAsia="en-GB"/>
              </w:rPr>
              <w:t>sl-SyncPriority</w:t>
            </w:r>
          </w:p>
          <w:p w14:paraId="07404673" w14:textId="4573DA3F" w:rsidR="00394471" w:rsidRPr="00FA0D37" w:rsidRDefault="00394471" w:rsidP="00964CC4">
            <w:pPr>
              <w:pStyle w:val="TAL"/>
              <w:rPr>
                <w:lang w:eastAsia="en-GB"/>
              </w:rPr>
            </w:pPr>
            <w:r w:rsidRPr="00FA0D37">
              <w:rPr>
                <w:lang w:eastAsia="sv-SE"/>
              </w:rPr>
              <w:t xml:space="preserve">This field indicates synchronization priority order, as specified in </w:t>
            </w:r>
            <w:r w:rsidR="009C7196" w:rsidRPr="00FA0D37">
              <w:rPr>
                <w:lang w:eastAsia="sv-SE"/>
              </w:rPr>
              <w:t>clause</w:t>
            </w:r>
            <w:r w:rsidRPr="00FA0D37">
              <w:rPr>
                <w:lang w:eastAsia="sv-SE"/>
              </w:rPr>
              <w:t xml:space="preserve"> 5.8.6</w:t>
            </w:r>
            <w:r w:rsidRPr="00FA0D37">
              <w:rPr>
                <w:iCs/>
                <w:lang w:eastAsia="sv-SE"/>
              </w:rPr>
              <w:t>.</w:t>
            </w:r>
          </w:p>
        </w:tc>
      </w:tr>
      <w:tr w:rsidR="00394471" w:rsidRPr="00FA0D37" w14:paraId="04D7F57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2AE54" w14:textId="77777777" w:rsidR="00394471" w:rsidRPr="00FA0D37" w:rsidRDefault="00394471" w:rsidP="00964CC4">
            <w:pPr>
              <w:pStyle w:val="TAL"/>
              <w:rPr>
                <w:b/>
                <w:bCs/>
                <w:i/>
                <w:iCs/>
                <w:lang w:eastAsia="en-GB"/>
              </w:rPr>
            </w:pPr>
            <w:r w:rsidRPr="00FA0D37">
              <w:rPr>
                <w:b/>
                <w:bCs/>
                <w:i/>
                <w:iCs/>
                <w:lang w:eastAsia="en-GB"/>
              </w:rPr>
              <w:t>valueN</w:t>
            </w:r>
          </w:p>
          <w:p w14:paraId="38969B7E" w14:textId="72FB6BC2" w:rsidR="00394471" w:rsidRPr="00FA0D37" w:rsidRDefault="00394471" w:rsidP="00964CC4">
            <w:pPr>
              <w:pStyle w:val="TAL"/>
              <w:rPr>
                <w:lang w:eastAsia="en-GB"/>
              </w:rPr>
            </w:pPr>
            <w:r w:rsidRPr="00FA0D37">
              <w:rPr>
                <w:lang w:eastAsia="sv-SE"/>
              </w:rPr>
              <w:t xml:space="preserve">Indicate the NR SL transmission with a valueN *5kHz shift to the LTE raster. </w:t>
            </w:r>
            <w:r w:rsidRPr="00FA0D37">
              <w:rPr>
                <w:szCs w:val="22"/>
                <w:lang w:eastAsia="sv-SE"/>
              </w:rPr>
              <w:t xml:space="preserve">(see TS 38.101-1 [15], clause </w:t>
            </w:r>
            <w:r w:rsidR="00C1392F" w:rsidRPr="00FA0D37">
              <w:rPr>
                <w:szCs w:val="22"/>
                <w:lang w:eastAsia="sv-SE"/>
              </w:rPr>
              <w:t>5.4E.2</w:t>
            </w:r>
            <w:r w:rsidRPr="00FA0D37">
              <w:rPr>
                <w:szCs w:val="22"/>
                <w:lang w:eastAsia="sv-SE"/>
              </w:rPr>
              <w:t>).</w:t>
            </w:r>
          </w:p>
        </w:tc>
      </w:tr>
    </w:tbl>
    <w:p w14:paraId="6BF15F2D" w14:textId="77777777" w:rsidR="00394471" w:rsidRPr="00FA0D37" w:rsidRDefault="00394471" w:rsidP="00394471">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5C7FF4" w:rsidRPr="00FA0D37" w14:paraId="0DEFC5B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5DD25FA" w14:textId="77777777" w:rsidR="00394471" w:rsidRPr="00FA0D37" w:rsidRDefault="00394471" w:rsidP="00964CC4">
            <w:pPr>
              <w:pStyle w:val="TAH"/>
              <w:rPr>
                <w:b w:val="0"/>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06BF90" w14:textId="77777777" w:rsidR="00394471" w:rsidRPr="00FA0D37" w:rsidRDefault="00394471" w:rsidP="00964CC4">
            <w:pPr>
              <w:pStyle w:val="TAH"/>
              <w:rPr>
                <w:lang w:eastAsia="sv-SE"/>
              </w:rPr>
            </w:pPr>
            <w:r w:rsidRPr="00FA0D37">
              <w:rPr>
                <w:lang w:eastAsia="sv-SE"/>
              </w:rPr>
              <w:t>Explanation</w:t>
            </w:r>
          </w:p>
        </w:tc>
      </w:tr>
      <w:tr w:rsidR="00375B89" w:rsidRPr="00FA0D37" w14:paraId="35CBDA5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27FCAA0" w14:textId="77777777" w:rsidR="00394471" w:rsidRPr="00FA0D37" w:rsidRDefault="00394471" w:rsidP="00964CC4">
            <w:pPr>
              <w:pStyle w:val="TAL"/>
              <w:rPr>
                <w:i/>
                <w:iCs/>
                <w:lang w:eastAsia="sv-SE"/>
              </w:rPr>
            </w:pPr>
            <w:r w:rsidRPr="00FA0D37">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3B8D4639" w14:textId="77777777" w:rsidR="00394471" w:rsidRPr="00FA0D37" w:rsidRDefault="00394471" w:rsidP="00964CC4">
            <w:pPr>
              <w:pStyle w:val="TAL"/>
              <w:rPr>
                <w:rFonts w:eastAsiaTheme="minorEastAsia"/>
                <w:lang w:eastAsia="zh-CN"/>
              </w:rPr>
            </w:pPr>
            <w:r w:rsidRPr="00FA0D37">
              <w:rPr>
                <w:rFonts w:eastAsiaTheme="minorEastAsia"/>
                <w:lang w:eastAsia="zh-CN"/>
              </w:rPr>
              <w:t>This field is mandatory present if the carrier frequency configured for NR sidelink communication is shared by V2X sidelink communication. It is absent, Need R, otherwise.</w:t>
            </w:r>
          </w:p>
        </w:tc>
      </w:tr>
    </w:tbl>
    <w:p w14:paraId="68840914" w14:textId="77777777" w:rsidR="00394471" w:rsidRPr="00FA0D37" w:rsidRDefault="00394471" w:rsidP="00394471">
      <w:pPr>
        <w:rPr>
          <w:rFonts w:eastAsia="MS Mincho"/>
        </w:rPr>
      </w:pPr>
    </w:p>
    <w:p w14:paraId="2C5D3D6D" w14:textId="441AE0FB" w:rsidR="00394471" w:rsidRPr="00FA0D37" w:rsidRDefault="00394471" w:rsidP="00394471">
      <w:pPr>
        <w:pStyle w:val="4"/>
      </w:pPr>
      <w:bookmarkStart w:id="1750" w:name="_Toc60777532"/>
      <w:bookmarkStart w:id="1751" w:name="_Toc146781650"/>
      <w:r w:rsidRPr="00FA0D37">
        <w:t>–</w:t>
      </w:r>
      <w:r w:rsidRPr="00FA0D37">
        <w:tab/>
      </w:r>
      <w:r w:rsidRPr="00FA0D37">
        <w:rPr>
          <w:i/>
          <w:iCs/>
        </w:rPr>
        <w:t>SL-FreqConfigCommon</w:t>
      </w:r>
      <w:bookmarkEnd w:id="1750"/>
      <w:bookmarkEnd w:id="1751"/>
    </w:p>
    <w:p w14:paraId="100A4D6D" w14:textId="51C234CE" w:rsidR="00394471" w:rsidRPr="00FA0D37" w:rsidRDefault="00394471" w:rsidP="00394471">
      <w:pPr>
        <w:keepNext/>
        <w:keepLines/>
        <w:rPr>
          <w:iCs/>
        </w:rPr>
      </w:pPr>
      <w:r w:rsidRPr="00FA0D37">
        <w:rPr>
          <w:iCs/>
        </w:rPr>
        <w:t xml:space="preserve">The IE </w:t>
      </w:r>
      <w:r w:rsidR="00906CD1" w:rsidRPr="00FA0D37">
        <w:rPr>
          <w:rFonts w:eastAsia="宋体"/>
          <w:i/>
          <w:lang w:eastAsia="zh-CN"/>
        </w:rPr>
        <w:t>SL-</w:t>
      </w:r>
      <w:r w:rsidRPr="00FA0D37">
        <w:rPr>
          <w:i/>
        </w:rPr>
        <w:t xml:space="preserve">FreqConfigCommon </w:t>
      </w:r>
      <w:r w:rsidRPr="00FA0D37">
        <w:rPr>
          <w:iCs/>
        </w:rPr>
        <w:t xml:space="preserve">specifies the </w:t>
      </w:r>
      <w:r w:rsidRPr="00FA0D37">
        <w:rPr>
          <w:iCs/>
          <w:lang w:eastAsia="zh-CN"/>
        </w:rPr>
        <w:t xml:space="preserve">cell-specific </w:t>
      </w:r>
      <w:r w:rsidRPr="00FA0D37">
        <w:rPr>
          <w:iCs/>
        </w:rPr>
        <w:t>configuration information on one particular carrier frequency for NR sidelink communication.</w:t>
      </w:r>
    </w:p>
    <w:p w14:paraId="7649055E" w14:textId="77777777" w:rsidR="00394471" w:rsidRPr="00FA0D37" w:rsidRDefault="00394471" w:rsidP="00394471">
      <w:pPr>
        <w:pStyle w:val="TH"/>
        <w:rPr>
          <w:b w:val="0"/>
        </w:rPr>
      </w:pPr>
      <w:r w:rsidRPr="00FA0D37">
        <w:rPr>
          <w:i/>
          <w:iCs/>
        </w:rPr>
        <w:t>SL-FreqConfigCommon</w:t>
      </w:r>
      <w:r w:rsidRPr="00FA0D37">
        <w:t xml:space="preserve"> information element</w:t>
      </w:r>
    </w:p>
    <w:p w14:paraId="6A5FDEE2" w14:textId="77777777" w:rsidR="00394471" w:rsidRPr="00FA0D37" w:rsidRDefault="00394471" w:rsidP="00FA0D37">
      <w:pPr>
        <w:pStyle w:val="PL"/>
        <w:rPr>
          <w:color w:val="808080"/>
        </w:rPr>
      </w:pPr>
      <w:r w:rsidRPr="00FA0D37">
        <w:rPr>
          <w:color w:val="808080"/>
        </w:rPr>
        <w:t>-- ASN1START</w:t>
      </w:r>
    </w:p>
    <w:p w14:paraId="7AF66821" w14:textId="77777777" w:rsidR="00394471" w:rsidRPr="00FA0D37" w:rsidRDefault="00394471" w:rsidP="00FA0D37">
      <w:pPr>
        <w:pStyle w:val="PL"/>
        <w:rPr>
          <w:color w:val="808080"/>
        </w:rPr>
      </w:pPr>
      <w:r w:rsidRPr="00FA0D37">
        <w:rPr>
          <w:color w:val="808080"/>
        </w:rPr>
        <w:t>-- TAG-SL-FREQCONFIGCOMMON-START</w:t>
      </w:r>
    </w:p>
    <w:p w14:paraId="5A05A6A2" w14:textId="77777777" w:rsidR="00394471" w:rsidRPr="00FA0D37" w:rsidRDefault="00394471" w:rsidP="00FA0D37">
      <w:pPr>
        <w:pStyle w:val="PL"/>
      </w:pPr>
    </w:p>
    <w:p w14:paraId="25D67D61" w14:textId="77777777" w:rsidR="00394471" w:rsidRPr="00FA0D37" w:rsidRDefault="00394471" w:rsidP="00FA0D37">
      <w:pPr>
        <w:pStyle w:val="PL"/>
      </w:pPr>
      <w:r w:rsidRPr="00FA0D37">
        <w:t xml:space="preserve">SL-FreqConfigCommon-r16 ::=      </w:t>
      </w:r>
      <w:r w:rsidRPr="00FA0D37">
        <w:rPr>
          <w:color w:val="993366"/>
        </w:rPr>
        <w:t>SEQUENCE</w:t>
      </w:r>
      <w:r w:rsidRPr="00FA0D37">
        <w:t xml:space="preserve"> {</w:t>
      </w:r>
    </w:p>
    <w:p w14:paraId="3094B4A0" w14:textId="77777777" w:rsidR="00394471" w:rsidRPr="00FA0D37" w:rsidRDefault="00394471" w:rsidP="00FA0D37">
      <w:pPr>
        <w:pStyle w:val="PL"/>
      </w:pPr>
      <w:r w:rsidRPr="00FA0D37">
        <w:t xml:space="preserve">    sl-SCS-SpecificCarrierList-r16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SCS-SpecificCarrier,</w:t>
      </w:r>
    </w:p>
    <w:p w14:paraId="53E2356A" w14:textId="77777777" w:rsidR="00394471" w:rsidRPr="00FA0D37" w:rsidRDefault="00394471" w:rsidP="00FA0D37">
      <w:pPr>
        <w:pStyle w:val="PL"/>
      </w:pPr>
      <w:r w:rsidRPr="00FA0D37">
        <w:t xml:space="preserve">    sl-AbsoluteFrequencyPointA-r16   ARFCN-ValueNR,</w:t>
      </w:r>
    </w:p>
    <w:p w14:paraId="282814CD" w14:textId="77777777" w:rsidR="00394471" w:rsidRPr="00FA0D37" w:rsidRDefault="00394471" w:rsidP="00FA0D37">
      <w:pPr>
        <w:pStyle w:val="PL"/>
        <w:rPr>
          <w:color w:val="808080"/>
        </w:rPr>
      </w:pPr>
      <w:r w:rsidRPr="00FA0D37">
        <w:t xml:space="preserve">    sl-AbsoluteFrequencySSB-r16      ARFCN-ValueNR                                                       </w:t>
      </w:r>
      <w:r w:rsidRPr="00FA0D37">
        <w:rPr>
          <w:color w:val="993366"/>
        </w:rPr>
        <w:t>OPTIONAL</w:t>
      </w:r>
      <w:r w:rsidRPr="00FA0D37">
        <w:t xml:space="preserve">, </w:t>
      </w:r>
      <w:r w:rsidRPr="00FA0D37">
        <w:rPr>
          <w:color w:val="808080"/>
        </w:rPr>
        <w:t>-- Need R</w:t>
      </w:r>
    </w:p>
    <w:p w14:paraId="24B2C887" w14:textId="77777777" w:rsidR="00394471" w:rsidRPr="00FA0D37" w:rsidRDefault="00394471" w:rsidP="00FA0D37">
      <w:pPr>
        <w:pStyle w:val="PL"/>
        <w:rPr>
          <w:color w:val="808080"/>
        </w:rPr>
      </w:pPr>
      <w:r w:rsidRPr="00FA0D37">
        <w:t xml:space="preserve">    frequencyShift7p5khzSL-r16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Cond V2X-SL-Shared</w:t>
      </w:r>
    </w:p>
    <w:p w14:paraId="79C3A487" w14:textId="77777777" w:rsidR="00394471" w:rsidRPr="00FA0D37" w:rsidRDefault="00394471" w:rsidP="00FA0D37">
      <w:pPr>
        <w:pStyle w:val="PL"/>
      </w:pPr>
      <w:r w:rsidRPr="00FA0D37">
        <w:t xml:space="preserve">    valueN-r16                       </w:t>
      </w:r>
      <w:r w:rsidRPr="00FA0D37">
        <w:rPr>
          <w:color w:val="993366"/>
        </w:rPr>
        <w:t>INTEGER</w:t>
      </w:r>
      <w:r w:rsidRPr="00FA0D37">
        <w:t xml:space="preserve"> (-1..1),</w:t>
      </w:r>
    </w:p>
    <w:p w14:paraId="618BC5CD" w14:textId="77777777" w:rsidR="00394471" w:rsidRPr="00FA0D37" w:rsidRDefault="00394471" w:rsidP="00FA0D37">
      <w:pPr>
        <w:pStyle w:val="PL"/>
        <w:rPr>
          <w:color w:val="808080"/>
        </w:rPr>
      </w:pPr>
      <w:r w:rsidRPr="00FA0D37">
        <w:t xml:space="preserve">    sl-BWP-List-r16                  </w:t>
      </w:r>
      <w:r w:rsidRPr="00FA0D37">
        <w:rPr>
          <w:color w:val="993366"/>
        </w:rPr>
        <w:t>SEQUENCE</w:t>
      </w:r>
      <w:r w:rsidRPr="00FA0D37">
        <w:t xml:space="preserve"> (</w:t>
      </w:r>
      <w:r w:rsidRPr="00FA0D37">
        <w:rPr>
          <w:color w:val="993366"/>
        </w:rPr>
        <w:t>SIZE</w:t>
      </w:r>
      <w:r w:rsidRPr="00FA0D37">
        <w:t xml:space="preserve"> (1..maxNrofSL-BWPs-r16))</w:t>
      </w:r>
      <w:r w:rsidRPr="00FA0D37">
        <w:rPr>
          <w:color w:val="993366"/>
        </w:rPr>
        <w:t xml:space="preserve"> OF</w:t>
      </w:r>
      <w:r w:rsidRPr="00FA0D37">
        <w:t xml:space="preserve"> SL-BWP-ConfigCommon-r16  </w:t>
      </w:r>
      <w:r w:rsidRPr="00FA0D37">
        <w:rPr>
          <w:color w:val="993366"/>
        </w:rPr>
        <w:t>OPTIONAL</w:t>
      </w:r>
      <w:r w:rsidRPr="00FA0D37">
        <w:t xml:space="preserve">, </w:t>
      </w:r>
      <w:r w:rsidRPr="00FA0D37">
        <w:rPr>
          <w:color w:val="808080"/>
        </w:rPr>
        <w:t>-- Need R</w:t>
      </w:r>
    </w:p>
    <w:p w14:paraId="4A3045EE" w14:textId="77777777" w:rsidR="00394471" w:rsidRPr="00FA0D37" w:rsidRDefault="00394471" w:rsidP="00FA0D37">
      <w:pPr>
        <w:pStyle w:val="PL"/>
        <w:rPr>
          <w:color w:val="808080"/>
        </w:rPr>
      </w:pPr>
      <w:r w:rsidRPr="00FA0D37">
        <w:lastRenderedPageBreak/>
        <w:t xml:space="preserve">    sl-SyncPriority-r16              </w:t>
      </w:r>
      <w:r w:rsidRPr="00FA0D37">
        <w:rPr>
          <w:color w:val="993366"/>
        </w:rPr>
        <w:t>ENUMERATED</w:t>
      </w:r>
      <w:r w:rsidRPr="00FA0D37">
        <w:t xml:space="preserve"> {gnss, gnbEnb}                                           </w:t>
      </w:r>
      <w:r w:rsidRPr="00FA0D37">
        <w:rPr>
          <w:color w:val="993366"/>
        </w:rPr>
        <w:t>OPTIONAL</w:t>
      </w:r>
      <w:r w:rsidRPr="00FA0D37">
        <w:t xml:space="preserve">, </w:t>
      </w:r>
      <w:r w:rsidRPr="00FA0D37">
        <w:rPr>
          <w:color w:val="808080"/>
        </w:rPr>
        <w:t>-- Need R</w:t>
      </w:r>
    </w:p>
    <w:p w14:paraId="38F789FD" w14:textId="77777777" w:rsidR="00394471" w:rsidRPr="00FA0D37" w:rsidRDefault="00394471" w:rsidP="00FA0D37">
      <w:pPr>
        <w:pStyle w:val="PL"/>
        <w:rPr>
          <w:color w:val="808080"/>
        </w:rPr>
      </w:pPr>
      <w:r w:rsidRPr="00FA0D37">
        <w:t xml:space="preserve">    sl-NbAsSync-r16                  </w:t>
      </w:r>
      <w:r w:rsidRPr="00FA0D37">
        <w:rPr>
          <w:color w:val="993366"/>
        </w:rPr>
        <w:t>BOOLEAN</w:t>
      </w:r>
      <w:r w:rsidRPr="00FA0D37">
        <w:t xml:space="preserve">                                                             </w:t>
      </w:r>
      <w:r w:rsidRPr="00FA0D37">
        <w:rPr>
          <w:color w:val="993366"/>
        </w:rPr>
        <w:t>OPTIONAL</w:t>
      </w:r>
      <w:r w:rsidRPr="00FA0D37">
        <w:t xml:space="preserve">, </w:t>
      </w:r>
      <w:r w:rsidRPr="00FA0D37">
        <w:rPr>
          <w:color w:val="808080"/>
        </w:rPr>
        <w:t>-- Need R</w:t>
      </w:r>
    </w:p>
    <w:p w14:paraId="0B75702D" w14:textId="77777777" w:rsidR="00394471" w:rsidRPr="00FA0D37" w:rsidRDefault="00394471" w:rsidP="00FA0D37">
      <w:pPr>
        <w:pStyle w:val="PL"/>
        <w:rPr>
          <w:color w:val="808080"/>
        </w:rPr>
      </w:pPr>
      <w:r w:rsidRPr="00FA0D37">
        <w:t xml:space="preserve">    sl-SyncConfigList-r16            SL-SyncConfigList-r16                                               </w:t>
      </w:r>
      <w:r w:rsidRPr="00FA0D37">
        <w:rPr>
          <w:color w:val="993366"/>
        </w:rPr>
        <w:t>OPTIONAL</w:t>
      </w:r>
      <w:r w:rsidRPr="00FA0D37">
        <w:t xml:space="preserve">, </w:t>
      </w:r>
      <w:r w:rsidRPr="00FA0D37">
        <w:rPr>
          <w:color w:val="808080"/>
        </w:rPr>
        <w:t>-- Need R</w:t>
      </w:r>
    </w:p>
    <w:p w14:paraId="335D29D8" w14:textId="77777777" w:rsidR="00394471" w:rsidRPr="00FA0D37" w:rsidRDefault="00394471" w:rsidP="00FA0D37">
      <w:pPr>
        <w:pStyle w:val="PL"/>
      </w:pPr>
      <w:r w:rsidRPr="00FA0D37">
        <w:t xml:space="preserve">    ...</w:t>
      </w:r>
    </w:p>
    <w:p w14:paraId="181AFF7D" w14:textId="77777777" w:rsidR="00394471" w:rsidRPr="00FA0D37" w:rsidRDefault="00394471" w:rsidP="00FA0D37">
      <w:pPr>
        <w:pStyle w:val="PL"/>
        <w:rPr>
          <w:rFonts w:eastAsia="等线"/>
        </w:rPr>
      </w:pPr>
      <w:r w:rsidRPr="00FA0D37">
        <w:rPr>
          <w:rFonts w:eastAsia="等线"/>
        </w:rPr>
        <w:t>}</w:t>
      </w:r>
    </w:p>
    <w:p w14:paraId="5EC824D7" w14:textId="77777777" w:rsidR="00394471" w:rsidRPr="00FA0D37" w:rsidRDefault="00394471" w:rsidP="00FA0D37">
      <w:pPr>
        <w:pStyle w:val="PL"/>
        <w:rPr>
          <w:color w:val="808080"/>
        </w:rPr>
      </w:pPr>
      <w:r w:rsidRPr="00FA0D37">
        <w:rPr>
          <w:color w:val="808080"/>
        </w:rPr>
        <w:t>-- TAG-SL-FREQCONFIGCOMMON-STOP</w:t>
      </w:r>
    </w:p>
    <w:p w14:paraId="3F3A426B" w14:textId="77777777" w:rsidR="00394471" w:rsidRPr="00FA0D37" w:rsidRDefault="00394471" w:rsidP="00FA0D37">
      <w:pPr>
        <w:pStyle w:val="PL"/>
        <w:rPr>
          <w:color w:val="808080"/>
        </w:rPr>
      </w:pPr>
      <w:r w:rsidRPr="00FA0D37">
        <w:rPr>
          <w:color w:val="808080"/>
        </w:rPr>
        <w:t>-- ASN1STOP</w:t>
      </w:r>
    </w:p>
    <w:p w14:paraId="3912D571" w14:textId="77777777" w:rsidR="00394471" w:rsidRPr="00FA0D3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03B21662"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2933056" w14:textId="77777777" w:rsidR="00394471" w:rsidRPr="00FA0D37" w:rsidRDefault="00394471" w:rsidP="00964CC4">
            <w:pPr>
              <w:pStyle w:val="TAH"/>
              <w:rPr>
                <w:lang w:eastAsia="en-GB"/>
              </w:rPr>
            </w:pPr>
            <w:r w:rsidRPr="00FA0D37">
              <w:rPr>
                <w:i/>
                <w:iCs/>
                <w:noProof/>
                <w:lang w:eastAsia="en-GB"/>
              </w:rPr>
              <w:t>SL-FreqConfigCommon</w:t>
            </w:r>
            <w:r w:rsidRPr="00FA0D37">
              <w:rPr>
                <w:noProof/>
                <w:lang w:eastAsia="en-GB"/>
              </w:rPr>
              <w:t xml:space="preserve"> </w:t>
            </w:r>
            <w:r w:rsidRPr="00FA0D37">
              <w:rPr>
                <w:iCs/>
                <w:noProof/>
                <w:lang w:eastAsia="en-GB"/>
              </w:rPr>
              <w:t>field descriptions</w:t>
            </w:r>
          </w:p>
        </w:tc>
      </w:tr>
      <w:tr w:rsidR="005C7FF4" w:rsidRPr="00FA0D37" w14:paraId="58DC979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11577C" w14:textId="77777777" w:rsidR="00394471" w:rsidRPr="00FA0D37" w:rsidRDefault="00394471" w:rsidP="00964CC4">
            <w:pPr>
              <w:pStyle w:val="TAL"/>
              <w:rPr>
                <w:b/>
                <w:bCs/>
                <w:i/>
                <w:iCs/>
                <w:lang w:eastAsia="en-GB"/>
              </w:rPr>
            </w:pPr>
            <w:r w:rsidRPr="00FA0D37">
              <w:rPr>
                <w:b/>
                <w:bCs/>
                <w:i/>
                <w:iCs/>
                <w:lang w:eastAsia="en-GB"/>
              </w:rPr>
              <w:t>frequencyShift7p5khzSL</w:t>
            </w:r>
          </w:p>
          <w:p w14:paraId="4E561E7E" w14:textId="77777777" w:rsidR="00394471" w:rsidRPr="00FA0D37" w:rsidRDefault="00394471" w:rsidP="00964CC4">
            <w:pPr>
              <w:pStyle w:val="TAL"/>
              <w:rPr>
                <w:lang w:eastAsia="en-GB"/>
              </w:rPr>
            </w:pPr>
            <w:r w:rsidRPr="00FA0D37">
              <w:rPr>
                <w:bCs/>
                <w:kern w:val="2"/>
                <w:lang w:eastAsia="en-GB"/>
              </w:rPr>
              <w:t>Enable the NR SL transmission with a 7.5 kHz shift to the LTE raster. If the field is absent, the frequency shift is disabled.</w:t>
            </w:r>
          </w:p>
        </w:tc>
      </w:tr>
      <w:tr w:rsidR="005C7FF4" w:rsidRPr="00FA0D37" w14:paraId="473410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AFA70A" w14:textId="77777777" w:rsidR="00394471" w:rsidRPr="00FA0D37" w:rsidRDefault="00394471" w:rsidP="00964CC4">
            <w:pPr>
              <w:pStyle w:val="TAL"/>
              <w:rPr>
                <w:b/>
                <w:bCs/>
                <w:i/>
                <w:iCs/>
                <w:lang w:eastAsia="en-GB"/>
              </w:rPr>
            </w:pPr>
            <w:r w:rsidRPr="00FA0D37">
              <w:rPr>
                <w:b/>
                <w:bCs/>
                <w:i/>
                <w:iCs/>
                <w:lang w:eastAsia="en-GB"/>
              </w:rPr>
              <w:t>sl-AbsoluteFrequencyPointA</w:t>
            </w:r>
          </w:p>
          <w:p w14:paraId="6AA7ECCB" w14:textId="77777777" w:rsidR="00394471" w:rsidRPr="00FA0D37" w:rsidRDefault="00394471" w:rsidP="00964CC4">
            <w:pPr>
              <w:pStyle w:val="TAL"/>
              <w:rPr>
                <w:lang w:eastAsia="en-GB"/>
              </w:rPr>
            </w:pPr>
            <w:r w:rsidRPr="00FA0D37">
              <w:rPr>
                <w:lang w:eastAsia="en-GB"/>
              </w:rPr>
              <w:t>Absolute frequency of the reference resource block (Common RB 0). Its lowest subcarrier is also known as Point A.</w:t>
            </w:r>
          </w:p>
        </w:tc>
      </w:tr>
      <w:tr w:rsidR="005C7FF4" w:rsidRPr="00FA0D37" w14:paraId="4262CBE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69AF6E" w14:textId="77777777" w:rsidR="00394471" w:rsidRPr="00FA0D37" w:rsidRDefault="00394471" w:rsidP="00964CC4">
            <w:pPr>
              <w:pStyle w:val="TAL"/>
              <w:rPr>
                <w:b/>
                <w:bCs/>
                <w:i/>
                <w:iCs/>
                <w:lang w:eastAsia="zh-CN"/>
              </w:rPr>
            </w:pPr>
            <w:r w:rsidRPr="00FA0D37">
              <w:rPr>
                <w:b/>
                <w:bCs/>
                <w:i/>
                <w:iCs/>
                <w:lang w:eastAsia="zh-CN"/>
              </w:rPr>
              <w:t>sl-AbsoluteFrequencySSB</w:t>
            </w:r>
          </w:p>
          <w:p w14:paraId="787BD9E3" w14:textId="77777777" w:rsidR="00394471" w:rsidRPr="00FA0D37" w:rsidRDefault="00394471" w:rsidP="00964CC4">
            <w:pPr>
              <w:pStyle w:val="TAL"/>
              <w:rPr>
                <w:lang w:eastAsia="en-GB"/>
              </w:rPr>
            </w:pPr>
            <w:r w:rsidRPr="00FA0D37">
              <w:rPr>
                <w:iCs/>
                <w:szCs w:val="22"/>
                <w:lang w:eastAsia="en-GB"/>
              </w:rPr>
              <w:t>Indicates the frequency location of sidelink SSB. The transmission bandwidth for sidelink SSB is within the bandwidth of this sidelink BWP.</w:t>
            </w:r>
          </w:p>
        </w:tc>
      </w:tr>
      <w:tr w:rsidR="005C7FF4" w:rsidRPr="00FA0D37" w14:paraId="5786D88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45EA9" w14:textId="77777777" w:rsidR="00394471" w:rsidRPr="00FA0D37" w:rsidRDefault="00394471" w:rsidP="00964CC4">
            <w:pPr>
              <w:pStyle w:val="TAL"/>
              <w:rPr>
                <w:b/>
                <w:bCs/>
                <w:i/>
                <w:iCs/>
                <w:lang w:eastAsia="sv-SE"/>
              </w:rPr>
            </w:pPr>
            <w:r w:rsidRPr="00FA0D37">
              <w:rPr>
                <w:b/>
                <w:bCs/>
                <w:i/>
                <w:iCs/>
                <w:lang w:eastAsia="sv-SE"/>
              </w:rPr>
              <w:t>sl-BWP-List</w:t>
            </w:r>
          </w:p>
          <w:p w14:paraId="6B20771F" w14:textId="3BC56331" w:rsidR="00394471" w:rsidRPr="00FA0D37" w:rsidRDefault="00394471" w:rsidP="00964CC4">
            <w:pPr>
              <w:pStyle w:val="TAL"/>
              <w:rPr>
                <w:lang w:eastAsia="en-GB"/>
              </w:rPr>
            </w:pPr>
            <w:r w:rsidRPr="00FA0D37">
              <w:rPr>
                <w:lang w:eastAsia="sv-SE"/>
              </w:rPr>
              <w:t xml:space="preserve">This field indicates the list of sidelink BWP(s) on which the </w:t>
            </w:r>
            <w:r w:rsidRPr="00FA0D37">
              <w:rPr>
                <w:iCs/>
                <w:lang w:eastAsia="sv-SE"/>
              </w:rPr>
              <w:t>NR sidelink communication configuration. In this release, only one BWP is allowed to be configured for NR sidelink co</w:t>
            </w:r>
            <w:r w:rsidR="00C813A9" w:rsidRPr="00FA0D37">
              <w:rPr>
                <w:iCs/>
                <w:lang w:eastAsia="sv-SE"/>
              </w:rPr>
              <w:t>m</w:t>
            </w:r>
            <w:r w:rsidRPr="00FA0D37">
              <w:rPr>
                <w:iCs/>
                <w:lang w:eastAsia="sv-SE"/>
              </w:rPr>
              <w:t>munication.</w:t>
            </w:r>
          </w:p>
        </w:tc>
      </w:tr>
      <w:tr w:rsidR="005C7FF4" w:rsidRPr="00FA0D37" w14:paraId="11EECA5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B2D54AF" w14:textId="77777777" w:rsidR="00394471" w:rsidRPr="00FA0D37" w:rsidRDefault="00394471" w:rsidP="00964CC4">
            <w:pPr>
              <w:pStyle w:val="TAL"/>
              <w:rPr>
                <w:b/>
                <w:bCs/>
                <w:i/>
                <w:iCs/>
                <w:lang w:eastAsia="en-GB"/>
              </w:rPr>
            </w:pPr>
            <w:r w:rsidRPr="00FA0D37">
              <w:rPr>
                <w:b/>
                <w:bCs/>
                <w:i/>
                <w:iCs/>
                <w:lang w:eastAsia="en-GB"/>
              </w:rPr>
              <w:t>sl-NbAsSync</w:t>
            </w:r>
          </w:p>
          <w:p w14:paraId="4516ACC5" w14:textId="596D9954" w:rsidR="00394471" w:rsidRPr="00FA0D37" w:rsidRDefault="00394471" w:rsidP="00964CC4">
            <w:pPr>
              <w:pStyle w:val="TAL"/>
              <w:rPr>
                <w:lang w:eastAsia="sv-SE"/>
              </w:rPr>
            </w:pPr>
            <w:r w:rsidRPr="00FA0D37">
              <w:rPr>
                <w:lang w:eastAsia="sv-SE"/>
              </w:rPr>
              <w:t xml:space="preserve">This field indicates whether the network can be selected as synchronization reference directly/indirectly only, if </w:t>
            </w:r>
            <w:r w:rsidRPr="00FA0D37">
              <w:rPr>
                <w:i/>
                <w:iCs/>
                <w:lang w:eastAsia="sv-SE"/>
              </w:rPr>
              <w:t>sl-SyncPriority</w:t>
            </w:r>
            <w:r w:rsidRPr="00FA0D37">
              <w:rPr>
                <w:lang w:eastAsia="sv-SE"/>
              </w:rPr>
              <w:t xml:space="preserve"> is set to gnss</w:t>
            </w:r>
            <w:r w:rsidRPr="00FA0D37">
              <w:rPr>
                <w:iCs/>
                <w:lang w:eastAsia="sv-SE"/>
              </w:rPr>
              <w:t>. If this fie</w:t>
            </w:r>
            <w:r w:rsidR="00892E82" w:rsidRPr="00FA0D37">
              <w:rPr>
                <w:iCs/>
                <w:lang w:eastAsia="sv-SE"/>
              </w:rPr>
              <w:t>l</w:t>
            </w:r>
            <w:r w:rsidRPr="00FA0D37">
              <w:rPr>
                <w:iCs/>
                <w:lang w:eastAsia="sv-SE"/>
              </w:rPr>
              <w:t xml:space="preserve">d is set to TRUE, the network is enabled to be selected as </w:t>
            </w:r>
            <w:r w:rsidRPr="00FA0D37">
              <w:rPr>
                <w:lang w:eastAsia="sv-SE"/>
              </w:rPr>
              <w:t>synchronization reference directly/indirectly.</w:t>
            </w:r>
            <w:r w:rsidRPr="00FA0D37">
              <w:rPr>
                <w:rFonts w:eastAsia="Calibri"/>
                <w:szCs w:val="22"/>
                <w:lang w:eastAsia="sv-SE"/>
              </w:rPr>
              <w:t xml:space="preserve"> The field is only present in </w:t>
            </w:r>
            <w:r w:rsidRPr="00FA0D37">
              <w:rPr>
                <w:rFonts w:eastAsia="Calibri"/>
                <w:i/>
                <w:iCs/>
                <w:szCs w:val="22"/>
                <w:lang w:eastAsia="sv-SE"/>
              </w:rPr>
              <w:t>SidelinkPreconfigNR</w:t>
            </w:r>
            <w:r w:rsidRPr="00FA0D37">
              <w:rPr>
                <w:rFonts w:eastAsia="Calibri"/>
                <w:szCs w:val="22"/>
                <w:lang w:eastAsia="sv-SE"/>
              </w:rPr>
              <w:t>. Otherwise it is absent.</w:t>
            </w:r>
          </w:p>
        </w:tc>
      </w:tr>
      <w:tr w:rsidR="005C7FF4" w:rsidRPr="00FA0D37" w14:paraId="1201566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D493F1" w14:textId="77777777" w:rsidR="00394471" w:rsidRPr="00FA0D37" w:rsidRDefault="00394471" w:rsidP="00964CC4">
            <w:pPr>
              <w:pStyle w:val="TAL"/>
              <w:rPr>
                <w:b/>
                <w:bCs/>
                <w:i/>
                <w:iCs/>
                <w:lang w:eastAsia="en-GB"/>
              </w:rPr>
            </w:pPr>
            <w:r w:rsidRPr="00FA0D37">
              <w:rPr>
                <w:b/>
                <w:bCs/>
                <w:i/>
                <w:iCs/>
                <w:lang w:eastAsia="en-GB"/>
              </w:rPr>
              <w:t>sl-SyncPriority</w:t>
            </w:r>
          </w:p>
          <w:p w14:paraId="463C4A75" w14:textId="76C121C4" w:rsidR="00394471" w:rsidRPr="00FA0D37" w:rsidRDefault="00394471" w:rsidP="00964CC4">
            <w:pPr>
              <w:pStyle w:val="TAL"/>
              <w:rPr>
                <w:lang w:eastAsia="sv-SE"/>
              </w:rPr>
            </w:pPr>
            <w:r w:rsidRPr="00FA0D37">
              <w:rPr>
                <w:lang w:eastAsia="sv-SE"/>
              </w:rPr>
              <w:t xml:space="preserve">This field indicates synchronization priority order, as specified in </w:t>
            </w:r>
            <w:r w:rsidR="009C7196" w:rsidRPr="00FA0D37">
              <w:rPr>
                <w:lang w:eastAsia="sv-SE"/>
              </w:rPr>
              <w:t>clause</w:t>
            </w:r>
            <w:r w:rsidRPr="00FA0D37">
              <w:rPr>
                <w:lang w:eastAsia="sv-SE"/>
              </w:rPr>
              <w:t xml:space="preserve"> 5.8.6..</w:t>
            </w:r>
          </w:p>
        </w:tc>
      </w:tr>
      <w:tr w:rsidR="005C7FF4" w:rsidRPr="00FA0D37" w14:paraId="3CF7D230"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85C7679" w14:textId="77777777" w:rsidR="00394471" w:rsidRPr="00FA0D37" w:rsidRDefault="00394471" w:rsidP="00964CC4">
            <w:pPr>
              <w:pStyle w:val="TAL"/>
              <w:rPr>
                <w:b/>
                <w:bCs/>
                <w:i/>
                <w:iCs/>
                <w:lang w:eastAsia="en-GB"/>
              </w:rPr>
            </w:pPr>
            <w:r w:rsidRPr="00FA0D37">
              <w:rPr>
                <w:b/>
                <w:bCs/>
                <w:i/>
                <w:iCs/>
                <w:lang w:eastAsia="en-GB"/>
              </w:rPr>
              <w:t>sl-SyncConfigList</w:t>
            </w:r>
          </w:p>
          <w:p w14:paraId="6E39DD9D" w14:textId="417C8273" w:rsidR="00394471" w:rsidRPr="00FA0D37" w:rsidRDefault="00394471" w:rsidP="00964CC4">
            <w:pPr>
              <w:pStyle w:val="TAL"/>
              <w:rPr>
                <w:lang w:eastAsia="en-GB"/>
              </w:rPr>
            </w:pPr>
            <w:r w:rsidRPr="00FA0D37">
              <w:rPr>
                <w:lang w:eastAsia="sv-SE"/>
              </w:rPr>
              <w:t>This field indicates the configuration by which the UE is allowed to receive and transmit synchronisation information for NR sidelink communication.</w:t>
            </w:r>
            <w:r w:rsidRPr="00FA0D37">
              <w:t xml:space="preserve"> </w:t>
            </w:r>
            <w:r w:rsidRPr="00FA0D37">
              <w:rPr>
                <w:rFonts w:cs="Arial"/>
              </w:rPr>
              <w:t xml:space="preserve">Network configures </w:t>
            </w:r>
            <w:r w:rsidRPr="00FA0D37">
              <w:rPr>
                <w:rFonts w:cs="Arial"/>
                <w:i/>
              </w:rPr>
              <w:t>sl-SyncConfig</w:t>
            </w:r>
            <w:r w:rsidRPr="00FA0D37">
              <w:rPr>
                <w:rFonts w:cs="Arial"/>
              </w:rPr>
              <w:t xml:space="preserve"> including </w:t>
            </w:r>
            <w:r w:rsidRPr="00FA0D37">
              <w:rPr>
                <w:rFonts w:cs="Arial"/>
                <w:i/>
              </w:rPr>
              <w:t>txParameters</w:t>
            </w:r>
            <w:r w:rsidRPr="00FA0D37">
              <w:rPr>
                <w:rFonts w:cs="Arial"/>
              </w:rPr>
              <w:t xml:space="preserve"> when configuring UEs to transmit synchronisation information.</w:t>
            </w:r>
            <w:r w:rsidR="00C1392F" w:rsidRPr="00FA0D37">
              <w:t xml:space="preserve"> </w:t>
            </w:r>
            <w:r w:rsidR="00C1392F" w:rsidRPr="00FA0D37">
              <w:rPr>
                <w:rFonts w:cs="Arial"/>
              </w:rPr>
              <w:t xml:space="preserve">If this field is configured in </w:t>
            </w:r>
            <w:r w:rsidR="00C1392F" w:rsidRPr="00FA0D37">
              <w:rPr>
                <w:rFonts w:cs="Arial"/>
                <w:i/>
              </w:rPr>
              <w:t>SL-PreconfigurationNR-r16</w:t>
            </w:r>
            <w:r w:rsidR="00C1392F" w:rsidRPr="00FA0D37">
              <w:rPr>
                <w:rFonts w:cs="Arial"/>
              </w:rPr>
              <w:t xml:space="preserve">, only one entry is configured in </w:t>
            </w:r>
            <w:r w:rsidR="00C1392F" w:rsidRPr="00FA0D37">
              <w:rPr>
                <w:rFonts w:cs="Arial"/>
                <w:i/>
              </w:rPr>
              <w:t>sl-SyncConfigList</w:t>
            </w:r>
            <w:r w:rsidR="00C1392F" w:rsidRPr="00FA0D37">
              <w:rPr>
                <w:rFonts w:cs="Arial"/>
              </w:rPr>
              <w:t>.</w:t>
            </w:r>
          </w:p>
        </w:tc>
      </w:tr>
      <w:tr w:rsidR="00394471" w:rsidRPr="00FA0D37" w14:paraId="640183F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A47428C" w14:textId="77777777" w:rsidR="00394471" w:rsidRPr="00FA0D37" w:rsidRDefault="00394471" w:rsidP="00964CC4">
            <w:pPr>
              <w:pStyle w:val="TAL"/>
              <w:rPr>
                <w:b/>
                <w:bCs/>
                <w:i/>
                <w:iCs/>
                <w:lang w:eastAsia="en-GB"/>
              </w:rPr>
            </w:pPr>
            <w:r w:rsidRPr="00FA0D37">
              <w:rPr>
                <w:b/>
                <w:bCs/>
                <w:i/>
                <w:iCs/>
                <w:lang w:eastAsia="en-GB"/>
              </w:rPr>
              <w:t>valueN</w:t>
            </w:r>
          </w:p>
          <w:p w14:paraId="6AD0B6CB" w14:textId="7461753E" w:rsidR="00394471" w:rsidRPr="00FA0D37" w:rsidRDefault="00394471" w:rsidP="00964CC4">
            <w:pPr>
              <w:pStyle w:val="TAL"/>
              <w:rPr>
                <w:lang w:eastAsia="en-GB"/>
              </w:rPr>
            </w:pPr>
            <w:r w:rsidRPr="00FA0D37">
              <w:rPr>
                <w:lang w:eastAsia="sv-SE"/>
              </w:rPr>
              <w:t xml:space="preserve">Indicate the NR SL transmission with a valueN *5kHz shift to the LTE raster </w:t>
            </w:r>
            <w:r w:rsidRPr="00FA0D37">
              <w:rPr>
                <w:szCs w:val="22"/>
                <w:lang w:eastAsia="sv-SE"/>
              </w:rPr>
              <w:t xml:space="preserve">(see TS 38.101-1 [15], clause </w:t>
            </w:r>
            <w:r w:rsidR="00C1392F" w:rsidRPr="00FA0D37">
              <w:rPr>
                <w:szCs w:val="22"/>
                <w:lang w:eastAsia="sv-SE"/>
              </w:rPr>
              <w:t>5.4E.2</w:t>
            </w:r>
            <w:r w:rsidRPr="00FA0D37">
              <w:rPr>
                <w:szCs w:val="22"/>
                <w:lang w:eastAsia="sv-SE"/>
              </w:rPr>
              <w:t>).</w:t>
            </w:r>
          </w:p>
        </w:tc>
      </w:tr>
    </w:tbl>
    <w:p w14:paraId="29300B5F" w14:textId="77777777" w:rsidR="00394471" w:rsidRPr="00FA0D37"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5C7FF4" w:rsidRPr="00FA0D37" w14:paraId="54FFB5C4"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10C49" w14:textId="77777777" w:rsidR="00394471" w:rsidRPr="00FA0D37" w:rsidRDefault="00394471" w:rsidP="00964CC4">
            <w:pPr>
              <w:pStyle w:val="TAH"/>
              <w:rPr>
                <w:b w:val="0"/>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B11F03" w14:textId="77777777" w:rsidR="00394471" w:rsidRPr="00FA0D37" w:rsidRDefault="00394471" w:rsidP="00964CC4">
            <w:pPr>
              <w:pStyle w:val="TAH"/>
              <w:rPr>
                <w:lang w:eastAsia="sv-SE"/>
              </w:rPr>
            </w:pPr>
            <w:r w:rsidRPr="00FA0D37">
              <w:rPr>
                <w:lang w:eastAsia="sv-SE"/>
              </w:rPr>
              <w:t>Explanation</w:t>
            </w:r>
          </w:p>
        </w:tc>
      </w:tr>
      <w:tr w:rsidR="00375B89" w:rsidRPr="00FA0D37" w14:paraId="725131CB"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0ED0DD2" w14:textId="77777777" w:rsidR="00394471" w:rsidRPr="00FA0D37" w:rsidRDefault="00394471" w:rsidP="00964CC4">
            <w:pPr>
              <w:pStyle w:val="TAL"/>
              <w:rPr>
                <w:i/>
                <w:iCs/>
                <w:lang w:eastAsia="sv-SE"/>
              </w:rPr>
            </w:pPr>
            <w:r w:rsidRPr="00FA0D37">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51382786" w14:textId="77777777" w:rsidR="00394471" w:rsidRPr="00FA0D37" w:rsidRDefault="00394471" w:rsidP="00964CC4">
            <w:pPr>
              <w:pStyle w:val="TAL"/>
              <w:rPr>
                <w:lang w:eastAsia="sv-SE"/>
              </w:rPr>
            </w:pPr>
            <w:r w:rsidRPr="00FA0D37">
              <w:rPr>
                <w:rFonts w:eastAsiaTheme="minorEastAsia"/>
                <w:lang w:eastAsia="zh-CN"/>
              </w:rPr>
              <w:t>This field is mandatory present if the carrier frequency configured for NR sidelink communication is shared by V2X sidelink communication. It is absent, Need R, otherwise.</w:t>
            </w:r>
          </w:p>
        </w:tc>
      </w:tr>
    </w:tbl>
    <w:p w14:paraId="2FF02B17" w14:textId="773EE36D" w:rsidR="00394471" w:rsidRPr="00FA0D37" w:rsidRDefault="00394471" w:rsidP="00394471"/>
    <w:p w14:paraId="3B659AD7" w14:textId="75777B40" w:rsidR="006F46B2" w:rsidRPr="00FA0D37" w:rsidRDefault="006F46B2" w:rsidP="000830BB">
      <w:pPr>
        <w:pStyle w:val="4"/>
      </w:pPr>
      <w:bookmarkStart w:id="1752" w:name="_Toc146781651"/>
      <w:bookmarkStart w:id="1753" w:name="_Hlk97544730"/>
      <w:r w:rsidRPr="00FA0D37">
        <w:t>–</w:t>
      </w:r>
      <w:r w:rsidRPr="00FA0D37">
        <w:tab/>
      </w:r>
      <w:r w:rsidRPr="00FA0D37">
        <w:rPr>
          <w:i/>
          <w:iCs/>
        </w:rPr>
        <w:t>SL-InterUE-CoordinationConfig</w:t>
      </w:r>
      <w:bookmarkEnd w:id="1752"/>
    </w:p>
    <w:p w14:paraId="43F1F914" w14:textId="6C6BFAAE" w:rsidR="006F46B2" w:rsidRPr="00FA0D37" w:rsidRDefault="006F46B2" w:rsidP="006F46B2">
      <w:r w:rsidRPr="00FA0D37">
        <w:t xml:space="preserve">The IE </w:t>
      </w:r>
      <w:r w:rsidRPr="00FA0D37">
        <w:rPr>
          <w:i/>
        </w:rPr>
        <w:t>SL</w:t>
      </w:r>
      <w:r w:rsidRPr="00FA0D37">
        <w:t>-</w:t>
      </w:r>
      <w:r w:rsidRPr="00FA0D37">
        <w:rPr>
          <w:i/>
        </w:rPr>
        <w:t>InterUE-CoordinationConfig</w:t>
      </w:r>
      <w:r w:rsidRPr="00FA0D37">
        <w:t xml:space="preserve"> is used to configure the sidelink inter-UE coordination </w:t>
      </w:r>
      <w:r w:rsidR="009736C5" w:rsidRPr="00FA0D37">
        <w:t xml:space="preserve">(between a UE, UE-A, and a peer UE, UE-B) </w:t>
      </w:r>
      <w:r w:rsidRPr="00FA0D37">
        <w:t>parameters.</w:t>
      </w:r>
    </w:p>
    <w:p w14:paraId="34ED5F57" w14:textId="77777777" w:rsidR="006F46B2" w:rsidRPr="00FA0D37" w:rsidRDefault="006F46B2" w:rsidP="006F46B2">
      <w:pPr>
        <w:pStyle w:val="TH"/>
        <w:rPr>
          <w:b w:val="0"/>
        </w:rPr>
      </w:pPr>
      <w:r w:rsidRPr="00FA0D37">
        <w:rPr>
          <w:i/>
          <w:iCs/>
        </w:rPr>
        <w:t>SL-InterUE-CoordinationConfig</w:t>
      </w:r>
      <w:r w:rsidRPr="00FA0D37">
        <w:t xml:space="preserve"> information element</w:t>
      </w:r>
    </w:p>
    <w:p w14:paraId="116F55BD" w14:textId="77777777" w:rsidR="006F46B2" w:rsidRPr="00FA0D37" w:rsidRDefault="006F46B2" w:rsidP="00FA0D37">
      <w:pPr>
        <w:pStyle w:val="PL"/>
        <w:rPr>
          <w:color w:val="808080"/>
        </w:rPr>
      </w:pPr>
      <w:r w:rsidRPr="00FA0D37">
        <w:rPr>
          <w:color w:val="808080"/>
        </w:rPr>
        <w:t>-- ASN1START</w:t>
      </w:r>
    </w:p>
    <w:p w14:paraId="7738F1EC" w14:textId="77777777" w:rsidR="006F46B2" w:rsidRPr="00FA0D37" w:rsidRDefault="006F46B2" w:rsidP="00FA0D37">
      <w:pPr>
        <w:pStyle w:val="PL"/>
        <w:rPr>
          <w:color w:val="808080"/>
        </w:rPr>
      </w:pPr>
      <w:r w:rsidRPr="00FA0D37">
        <w:rPr>
          <w:color w:val="808080"/>
        </w:rPr>
        <w:t>-- TAG-SL</w:t>
      </w:r>
      <w:r w:rsidRPr="00FA0D37">
        <w:rPr>
          <w:rFonts w:eastAsia="等线"/>
          <w:color w:val="808080"/>
        </w:rPr>
        <w:t>-INTERUE-COORDINATIONCONFIG</w:t>
      </w:r>
      <w:r w:rsidRPr="00FA0D37">
        <w:rPr>
          <w:color w:val="808080"/>
        </w:rPr>
        <w:t>-START</w:t>
      </w:r>
    </w:p>
    <w:p w14:paraId="5EA5E8C3" w14:textId="77777777" w:rsidR="006F46B2" w:rsidRPr="00FA0D37" w:rsidRDefault="006F46B2" w:rsidP="00FA0D37">
      <w:pPr>
        <w:pStyle w:val="PL"/>
      </w:pPr>
    </w:p>
    <w:p w14:paraId="1DDF6EC3" w14:textId="01B060ED" w:rsidR="006F46B2" w:rsidRPr="00FA0D37" w:rsidRDefault="006F46B2" w:rsidP="00FA0D37">
      <w:pPr>
        <w:pStyle w:val="PL"/>
      </w:pPr>
      <w:r w:rsidRPr="00FA0D37">
        <w:t xml:space="preserve">SL-InterUE-CoordinationConfig-r17 ::=     </w:t>
      </w:r>
      <w:r w:rsidRPr="00FA0D37">
        <w:rPr>
          <w:color w:val="993366"/>
        </w:rPr>
        <w:t>SEQUENCE</w:t>
      </w:r>
      <w:r w:rsidRPr="00FA0D37">
        <w:t xml:space="preserve"> {</w:t>
      </w:r>
    </w:p>
    <w:p w14:paraId="1FA8F43A" w14:textId="04D9C847" w:rsidR="006F46B2" w:rsidRPr="00FA0D37" w:rsidRDefault="006F46B2" w:rsidP="00FA0D37">
      <w:pPr>
        <w:pStyle w:val="PL"/>
        <w:rPr>
          <w:color w:val="808080"/>
        </w:rPr>
      </w:pPr>
      <w:r w:rsidRPr="00FA0D37">
        <w:t xml:space="preserve">    sl-InterUE-CoordinationScheme1-r17        SL-InterUE-CoordinationScheme1-r17                                   </w:t>
      </w:r>
      <w:r w:rsidRPr="00FA0D37">
        <w:rPr>
          <w:color w:val="993366"/>
        </w:rPr>
        <w:t>OPTIONAL</w:t>
      </w:r>
      <w:r w:rsidRPr="00FA0D37">
        <w:t xml:space="preserve">,   </w:t>
      </w:r>
      <w:r w:rsidRPr="00FA0D37">
        <w:rPr>
          <w:color w:val="808080"/>
        </w:rPr>
        <w:t>-- Need M</w:t>
      </w:r>
    </w:p>
    <w:p w14:paraId="2FAE1031" w14:textId="69E5B034" w:rsidR="006F46B2" w:rsidRPr="00FA0D37" w:rsidRDefault="006F46B2" w:rsidP="00FA0D37">
      <w:pPr>
        <w:pStyle w:val="PL"/>
        <w:rPr>
          <w:color w:val="808080"/>
        </w:rPr>
      </w:pPr>
      <w:r w:rsidRPr="00FA0D37">
        <w:t xml:space="preserve">    sl-InterUE-CoordinationScheme2-r17        SL-InterUE-CoordinationScheme2-r17                                   </w:t>
      </w:r>
      <w:r w:rsidRPr="00FA0D37">
        <w:rPr>
          <w:color w:val="993366"/>
        </w:rPr>
        <w:t>OPTIONAL</w:t>
      </w:r>
      <w:r w:rsidRPr="00FA0D37">
        <w:t xml:space="preserve">,   </w:t>
      </w:r>
      <w:r w:rsidRPr="00FA0D37">
        <w:rPr>
          <w:color w:val="808080"/>
        </w:rPr>
        <w:t>-- Need M</w:t>
      </w:r>
    </w:p>
    <w:p w14:paraId="43AFE757" w14:textId="77777777" w:rsidR="006F46B2" w:rsidRPr="00FA0D37" w:rsidRDefault="006F46B2" w:rsidP="00FA0D37">
      <w:pPr>
        <w:pStyle w:val="PL"/>
      </w:pPr>
      <w:r w:rsidRPr="00FA0D37">
        <w:t xml:space="preserve">    ...</w:t>
      </w:r>
    </w:p>
    <w:p w14:paraId="4E4ACFA5" w14:textId="77777777" w:rsidR="006F46B2" w:rsidRPr="00FA0D37" w:rsidRDefault="006F46B2" w:rsidP="00FA0D37">
      <w:pPr>
        <w:pStyle w:val="PL"/>
      </w:pPr>
      <w:r w:rsidRPr="00FA0D37">
        <w:t>}</w:t>
      </w:r>
    </w:p>
    <w:p w14:paraId="270CBB05" w14:textId="77777777" w:rsidR="006F46B2" w:rsidRPr="00FA0D37" w:rsidRDefault="006F46B2" w:rsidP="00FA0D37">
      <w:pPr>
        <w:pStyle w:val="PL"/>
      </w:pPr>
    </w:p>
    <w:p w14:paraId="2E6F6CA2" w14:textId="3688A0D6" w:rsidR="006F46B2" w:rsidRPr="00FA0D37" w:rsidRDefault="006F46B2" w:rsidP="00FA0D37">
      <w:pPr>
        <w:pStyle w:val="PL"/>
      </w:pPr>
      <w:r w:rsidRPr="00FA0D37">
        <w:t xml:space="preserve">SL-InterUE-CoordinationScheme1-r17 ::=    </w:t>
      </w:r>
      <w:r w:rsidRPr="00FA0D37">
        <w:rPr>
          <w:color w:val="993366"/>
        </w:rPr>
        <w:t>SEQUENCE</w:t>
      </w:r>
      <w:r w:rsidRPr="00FA0D37">
        <w:t xml:space="preserve"> {</w:t>
      </w:r>
    </w:p>
    <w:p w14:paraId="03A75713" w14:textId="6638817D" w:rsidR="006F46B2" w:rsidRPr="00FA0D37" w:rsidRDefault="006F46B2" w:rsidP="00FA0D37">
      <w:pPr>
        <w:pStyle w:val="PL"/>
        <w:rPr>
          <w:color w:val="808080"/>
        </w:rPr>
      </w:pPr>
      <w:bookmarkStart w:id="1754" w:name="OLE_LINK41"/>
      <w:r w:rsidRPr="00FA0D37">
        <w:t xml:space="preserve">    </w:t>
      </w:r>
      <w:bookmarkEnd w:id="1754"/>
      <w:r w:rsidRPr="00FA0D37">
        <w:t xml:space="preserve">sl-IUC-Explicit-r17                       </w:t>
      </w:r>
      <w:r w:rsidRPr="00FA0D37">
        <w:rPr>
          <w:color w:val="993366"/>
        </w:rPr>
        <w:t>ENUMERATED</w:t>
      </w:r>
      <w:r w:rsidRPr="00FA0D37">
        <w:t xml:space="preserve"> </w:t>
      </w:r>
      <w:bookmarkStart w:id="1755" w:name="OLE_LINK31"/>
      <w:r w:rsidRPr="00FA0D37">
        <w:t>{enabled, disabled}</w:t>
      </w:r>
      <w:bookmarkEnd w:id="1755"/>
      <w:r w:rsidRPr="00FA0D37">
        <w:t xml:space="preserve">                                       </w:t>
      </w:r>
      <w:r w:rsidRPr="00FA0D37">
        <w:rPr>
          <w:color w:val="993366"/>
        </w:rPr>
        <w:t>OPTIONAL</w:t>
      </w:r>
      <w:r w:rsidRPr="00FA0D37">
        <w:t xml:space="preserve">,   </w:t>
      </w:r>
      <w:r w:rsidRPr="00FA0D37">
        <w:rPr>
          <w:color w:val="808080"/>
        </w:rPr>
        <w:t>-- Need M</w:t>
      </w:r>
    </w:p>
    <w:p w14:paraId="45C42DAC" w14:textId="0B1C5563" w:rsidR="006F46B2" w:rsidRPr="00FA0D37" w:rsidRDefault="006F46B2" w:rsidP="00FA0D37">
      <w:pPr>
        <w:pStyle w:val="PL"/>
        <w:rPr>
          <w:color w:val="808080"/>
        </w:rPr>
      </w:pPr>
      <w:r w:rsidRPr="00FA0D37">
        <w:t xml:space="preserve">    sl-IUC-Condition-r17                      </w:t>
      </w:r>
      <w:r w:rsidRPr="00FA0D37">
        <w:rPr>
          <w:color w:val="993366"/>
        </w:rPr>
        <w:t>ENUMERATED</w:t>
      </w:r>
      <w:r w:rsidRPr="00FA0D37">
        <w:t xml:space="preserve"> {enabled, disabled}                                       </w:t>
      </w:r>
      <w:r w:rsidRPr="00FA0D37">
        <w:rPr>
          <w:color w:val="993366"/>
        </w:rPr>
        <w:t>OPTIONAL</w:t>
      </w:r>
      <w:r w:rsidRPr="00FA0D37">
        <w:t xml:space="preserve">,   </w:t>
      </w:r>
      <w:r w:rsidRPr="00FA0D37">
        <w:rPr>
          <w:color w:val="808080"/>
        </w:rPr>
        <w:t>-- Need M</w:t>
      </w:r>
    </w:p>
    <w:p w14:paraId="1218FB0D" w14:textId="171A6093" w:rsidR="006F46B2" w:rsidRPr="00FA0D37" w:rsidRDefault="006F46B2" w:rsidP="00FA0D37">
      <w:pPr>
        <w:pStyle w:val="PL"/>
        <w:rPr>
          <w:color w:val="808080"/>
        </w:rPr>
      </w:pPr>
      <w:r w:rsidRPr="00FA0D37">
        <w:t xml:space="preserve">    </w:t>
      </w:r>
      <w:bookmarkStart w:id="1756" w:name="OLE_LINK42"/>
      <w:r w:rsidRPr="00FA0D37">
        <w:t>sl-Condition1-A-2-</w:t>
      </w:r>
      <w:bookmarkEnd w:id="1756"/>
      <w:r w:rsidRPr="00FA0D37">
        <w:t xml:space="preserve">r17                     </w:t>
      </w:r>
      <w:r w:rsidRPr="00FA0D37">
        <w:rPr>
          <w:color w:val="993366"/>
        </w:rPr>
        <w:t>ENUMERATED</w:t>
      </w:r>
      <w:r w:rsidRPr="00FA0D37">
        <w:t xml:space="preserve"> {disabled}                                                </w:t>
      </w:r>
      <w:r w:rsidRPr="00FA0D37">
        <w:rPr>
          <w:color w:val="993366"/>
        </w:rPr>
        <w:t>OPTIONAL</w:t>
      </w:r>
      <w:r w:rsidRPr="00FA0D37">
        <w:t xml:space="preserve">,   </w:t>
      </w:r>
      <w:r w:rsidRPr="00FA0D37">
        <w:rPr>
          <w:color w:val="808080"/>
        </w:rPr>
        <w:t>-- Need M</w:t>
      </w:r>
    </w:p>
    <w:p w14:paraId="6363D3D9" w14:textId="05E4C515" w:rsidR="006F46B2" w:rsidRPr="00FA0D37" w:rsidRDefault="006F46B2" w:rsidP="00FA0D37">
      <w:pPr>
        <w:pStyle w:val="PL"/>
        <w:rPr>
          <w:color w:val="808080"/>
        </w:rPr>
      </w:pPr>
      <w:r w:rsidRPr="00FA0D37">
        <w:t xml:space="preserve">    </w:t>
      </w:r>
      <w:bookmarkStart w:id="1757" w:name="OLE_LINK43"/>
      <w:r w:rsidRPr="00FA0D37">
        <w:t>sl-ThresholdRSRP-Condition1-B-1-Option1List</w:t>
      </w:r>
      <w:bookmarkEnd w:id="1757"/>
      <w:r w:rsidRPr="00FA0D37">
        <w:t xml:space="preserve">-r17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SL-ThresholdRSRP-Condition1-B-1-r17 </w:t>
      </w:r>
      <w:r w:rsidRPr="00FA0D37">
        <w:rPr>
          <w:color w:val="993366"/>
        </w:rPr>
        <w:t>OPTIONAL</w:t>
      </w:r>
      <w:r w:rsidRPr="00FA0D37">
        <w:t xml:space="preserve">,   </w:t>
      </w:r>
      <w:r w:rsidRPr="00FA0D37">
        <w:rPr>
          <w:color w:val="808080"/>
        </w:rPr>
        <w:t>-- Need M</w:t>
      </w:r>
    </w:p>
    <w:p w14:paraId="07C31988" w14:textId="28C7F553" w:rsidR="006F46B2" w:rsidRPr="00FA0D37" w:rsidRDefault="006F46B2" w:rsidP="00FA0D37">
      <w:pPr>
        <w:pStyle w:val="PL"/>
        <w:rPr>
          <w:color w:val="808080"/>
        </w:rPr>
      </w:pPr>
      <w:r w:rsidRPr="00FA0D37">
        <w:t xml:space="preserve">    sl-ThresholdRSRP-Condition1-B-1-Option2List-r17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SL-ThresholdRSRP-Condition1-B-1-r17 </w:t>
      </w:r>
      <w:r w:rsidRPr="00FA0D37">
        <w:rPr>
          <w:color w:val="993366"/>
        </w:rPr>
        <w:t>OPTIONAL</w:t>
      </w:r>
      <w:r w:rsidRPr="00FA0D37">
        <w:t xml:space="preserve">,   </w:t>
      </w:r>
      <w:r w:rsidRPr="00FA0D37">
        <w:rPr>
          <w:color w:val="808080"/>
        </w:rPr>
        <w:t>-- Need M</w:t>
      </w:r>
    </w:p>
    <w:p w14:paraId="62B726E2" w14:textId="7F61EDA2" w:rsidR="006F46B2" w:rsidRPr="00FA0D37" w:rsidRDefault="006F46B2" w:rsidP="00FA0D37">
      <w:pPr>
        <w:pStyle w:val="PL"/>
        <w:rPr>
          <w:color w:val="808080"/>
        </w:rPr>
      </w:pPr>
      <w:r w:rsidRPr="00FA0D37">
        <w:t xml:space="preserve">    sl-ContainerCoordInfo-r17                 </w:t>
      </w:r>
      <w:r w:rsidRPr="00FA0D37">
        <w:rPr>
          <w:color w:val="993366"/>
        </w:rPr>
        <w:t>ENUMERATED</w:t>
      </w:r>
      <w:r w:rsidRPr="00FA0D37">
        <w:t xml:space="preserve"> {enabled, disabled}                                       </w:t>
      </w:r>
      <w:r w:rsidRPr="00FA0D37">
        <w:rPr>
          <w:color w:val="993366"/>
        </w:rPr>
        <w:t>OPTIONAL</w:t>
      </w:r>
      <w:r w:rsidRPr="00FA0D37">
        <w:t xml:space="preserve">,   </w:t>
      </w:r>
      <w:r w:rsidRPr="00FA0D37">
        <w:rPr>
          <w:color w:val="808080"/>
        </w:rPr>
        <w:t>-- Need M</w:t>
      </w:r>
    </w:p>
    <w:p w14:paraId="275B99F3" w14:textId="2582E270" w:rsidR="006F46B2" w:rsidRPr="00FA0D37" w:rsidRDefault="006F46B2" w:rsidP="00FA0D37">
      <w:pPr>
        <w:pStyle w:val="PL"/>
        <w:rPr>
          <w:color w:val="808080"/>
        </w:rPr>
      </w:pPr>
      <w:bookmarkStart w:id="1758" w:name="OLE_LINK48"/>
      <w:r w:rsidRPr="00FA0D37">
        <w:t xml:space="preserve">    </w:t>
      </w:r>
      <w:bookmarkEnd w:id="1758"/>
      <w:r w:rsidRPr="00FA0D37">
        <w:t xml:space="preserve">sl-ContainerRequest-r17                   </w:t>
      </w:r>
      <w:r w:rsidRPr="00FA0D37">
        <w:rPr>
          <w:color w:val="993366"/>
        </w:rPr>
        <w:t>ENUMERATED</w:t>
      </w:r>
      <w:r w:rsidRPr="00FA0D37">
        <w:t xml:space="preserve"> {enabled, disabled}                                       </w:t>
      </w:r>
      <w:r w:rsidRPr="00FA0D37">
        <w:rPr>
          <w:color w:val="993366"/>
        </w:rPr>
        <w:t>OPTIONAL</w:t>
      </w:r>
      <w:r w:rsidRPr="00FA0D37">
        <w:t xml:space="preserve">,   </w:t>
      </w:r>
      <w:r w:rsidRPr="00FA0D37">
        <w:rPr>
          <w:color w:val="808080"/>
        </w:rPr>
        <w:t>-- Need M</w:t>
      </w:r>
    </w:p>
    <w:p w14:paraId="002DBDB2" w14:textId="0F523F72" w:rsidR="006F46B2" w:rsidRPr="00FA0D37" w:rsidRDefault="006F46B2" w:rsidP="00FA0D37">
      <w:pPr>
        <w:pStyle w:val="PL"/>
        <w:rPr>
          <w:color w:val="808080"/>
        </w:rPr>
      </w:pPr>
      <w:bookmarkStart w:id="1759" w:name="OLE_LINK51"/>
      <w:r w:rsidRPr="00FA0D37">
        <w:t xml:space="preserve">    </w:t>
      </w:r>
      <w:bookmarkEnd w:id="1759"/>
      <w:r w:rsidRPr="00FA0D37">
        <w:t xml:space="preserve">sl-TriggerConditionCoordInfo-r17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M</w:t>
      </w:r>
    </w:p>
    <w:p w14:paraId="75D314E7" w14:textId="53180291" w:rsidR="006F46B2" w:rsidRPr="00FA0D37" w:rsidRDefault="006F46B2" w:rsidP="00FA0D37">
      <w:pPr>
        <w:pStyle w:val="PL"/>
        <w:rPr>
          <w:color w:val="808080"/>
        </w:rPr>
      </w:pPr>
      <w:bookmarkStart w:id="1760" w:name="OLE_LINK52"/>
      <w:r w:rsidRPr="00FA0D37">
        <w:t xml:space="preserve">    </w:t>
      </w:r>
      <w:bookmarkEnd w:id="1760"/>
      <w:r w:rsidRPr="00FA0D37">
        <w:t xml:space="preserve">sl-TriggerConditionRequest-r17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M</w:t>
      </w:r>
    </w:p>
    <w:p w14:paraId="3DD5C773" w14:textId="455A40D4" w:rsidR="006F46B2" w:rsidRPr="00FA0D37" w:rsidRDefault="006F46B2" w:rsidP="00FA0D37">
      <w:pPr>
        <w:pStyle w:val="PL"/>
        <w:rPr>
          <w:color w:val="808080"/>
        </w:rPr>
      </w:pPr>
      <w:bookmarkStart w:id="1761" w:name="OLE_LINK53"/>
      <w:bookmarkStart w:id="1762" w:name="OLE_LINK54"/>
      <w:r w:rsidRPr="00FA0D37">
        <w:t xml:space="preserve">    </w:t>
      </w:r>
      <w:bookmarkEnd w:id="1761"/>
      <w:bookmarkEnd w:id="1762"/>
      <w:r w:rsidRPr="00FA0D37">
        <w:t xml:space="preserve">sl-PriorityCoordInfoExplicit-r17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M</w:t>
      </w:r>
    </w:p>
    <w:p w14:paraId="4D514D6F" w14:textId="401C0815" w:rsidR="006F46B2" w:rsidRPr="00FA0D37" w:rsidRDefault="006F46B2" w:rsidP="00FA0D37">
      <w:pPr>
        <w:pStyle w:val="PL"/>
        <w:rPr>
          <w:color w:val="808080"/>
        </w:rPr>
      </w:pPr>
      <w:bookmarkStart w:id="1763" w:name="OLE_LINK57"/>
      <w:r w:rsidRPr="00FA0D37">
        <w:t xml:space="preserve">    </w:t>
      </w:r>
      <w:bookmarkEnd w:id="1763"/>
      <w:r w:rsidRPr="00FA0D37">
        <w:t>sl-PriorityCoordInfoCondition-r17</w:t>
      </w:r>
      <w:bookmarkStart w:id="1764" w:name="OLE_LINK38"/>
      <w:r w:rsidRPr="00FA0D37">
        <w:t xml:space="preserve">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xml:space="preserve">-- Need </w:t>
      </w:r>
      <w:bookmarkEnd w:id="1764"/>
      <w:r w:rsidRPr="00FA0D37">
        <w:rPr>
          <w:color w:val="808080"/>
        </w:rPr>
        <w:t>M</w:t>
      </w:r>
    </w:p>
    <w:p w14:paraId="4314802E" w14:textId="2B954D59" w:rsidR="006F46B2" w:rsidRPr="00FA0D37" w:rsidRDefault="006F46B2" w:rsidP="00FA0D37">
      <w:pPr>
        <w:pStyle w:val="PL"/>
        <w:rPr>
          <w:color w:val="808080"/>
        </w:rPr>
      </w:pPr>
      <w:bookmarkStart w:id="1765" w:name="OLE_LINK55"/>
      <w:bookmarkStart w:id="1766" w:name="OLE_LINK56"/>
      <w:r w:rsidRPr="00FA0D37">
        <w:t xml:space="preserve">    </w:t>
      </w:r>
      <w:bookmarkEnd w:id="1765"/>
      <w:bookmarkEnd w:id="1766"/>
      <w:r w:rsidRPr="00FA0D37">
        <w:t xml:space="preserve">sl-PriorityRequest-r17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M</w:t>
      </w:r>
    </w:p>
    <w:p w14:paraId="04862AEC" w14:textId="68EA1364" w:rsidR="006F46B2" w:rsidRPr="00FA0D37" w:rsidRDefault="006F46B2" w:rsidP="00FA0D37">
      <w:pPr>
        <w:pStyle w:val="PL"/>
        <w:rPr>
          <w:color w:val="808080"/>
        </w:rPr>
      </w:pPr>
      <w:r w:rsidRPr="00FA0D37">
        <w:t xml:space="preserve">    sl-PriorityPreferredResourceSet-r17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M</w:t>
      </w:r>
    </w:p>
    <w:p w14:paraId="2A295AC8" w14:textId="37A61A2A" w:rsidR="006F46B2" w:rsidRPr="00FA0D37" w:rsidRDefault="006F46B2" w:rsidP="00FA0D37">
      <w:pPr>
        <w:pStyle w:val="PL"/>
        <w:rPr>
          <w:color w:val="808080"/>
        </w:rPr>
      </w:pPr>
      <w:r w:rsidRPr="00FA0D37">
        <w:t xml:space="preserve">    sl-MaxSlotOffsetTRIV-r17                  </w:t>
      </w:r>
      <w:r w:rsidRPr="00FA0D37">
        <w:rPr>
          <w:color w:val="993366"/>
        </w:rPr>
        <w:t>INTEGER</w:t>
      </w:r>
      <w:r w:rsidRPr="00FA0D37">
        <w:t xml:space="preserve"> (1..8000)                                                    </w:t>
      </w:r>
      <w:r w:rsidRPr="00FA0D37">
        <w:rPr>
          <w:color w:val="993366"/>
        </w:rPr>
        <w:t>OPTIONAL</w:t>
      </w:r>
      <w:r w:rsidRPr="00FA0D37">
        <w:t xml:space="preserve">,   </w:t>
      </w:r>
      <w:r w:rsidRPr="00FA0D37">
        <w:rPr>
          <w:color w:val="808080"/>
        </w:rPr>
        <w:t>-- Need M</w:t>
      </w:r>
    </w:p>
    <w:p w14:paraId="0F8C633B" w14:textId="6AF7F9E8" w:rsidR="006F46B2" w:rsidRPr="00FA0D37" w:rsidRDefault="006F46B2" w:rsidP="00FA0D37">
      <w:pPr>
        <w:pStyle w:val="PL"/>
        <w:rPr>
          <w:color w:val="808080"/>
        </w:rPr>
      </w:pPr>
      <w:bookmarkStart w:id="1767" w:name="OLE_LINK58"/>
      <w:r w:rsidRPr="00FA0D37">
        <w:t xml:space="preserve">    sl-NumSubCH-PreferredResourceSet</w:t>
      </w:r>
      <w:bookmarkEnd w:id="1767"/>
      <w:r w:rsidRPr="00FA0D37">
        <w:t xml:space="preserve">-r17      </w:t>
      </w:r>
      <w:r w:rsidRPr="00FA0D37">
        <w:rPr>
          <w:color w:val="993366"/>
        </w:rPr>
        <w:t>INTEGER</w:t>
      </w:r>
      <w:r w:rsidRPr="00FA0D37">
        <w:t xml:space="preserve"> (1..27)                                                      </w:t>
      </w:r>
      <w:r w:rsidRPr="00FA0D37">
        <w:rPr>
          <w:color w:val="993366"/>
        </w:rPr>
        <w:t>OPTIONAL</w:t>
      </w:r>
      <w:r w:rsidRPr="00FA0D37">
        <w:t xml:space="preserve">,   </w:t>
      </w:r>
      <w:r w:rsidRPr="00FA0D37">
        <w:rPr>
          <w:color w:val="808080"/>
        </w:rPr>
        <w:t>-- Need M</w:t>
      </w:r>
    </w:p>
    <w:p w14:paraId="17C7873B" w14:textId="65293F93" w:rsidR="006F46B2" w:rsidRPr="00FA0D37" w:rsidRDefault="006F46B2" w:rsidP="00FA0D37">
      <w:pPr>
        <w:pStyle w:val="PL"/>
        <w:rPr>
          <w:color w:val="808080"/>
        </w:rPr>
      </w:pPr>
      <w:bookmarkStart w:id="1768" w:name="OLE_LINK61"/>
      <w:r w:rsidRPr="00FA0D37">
        <w:t xml:space="preserve">    sl-ReservedPeriodPreferredResourceSet</w:t>
      </w:r>
      <w:bookmarkEnd w:id="1768"/>
      <w:r w:rsidRPr="00FA0D37">
        <w:t xml:space="preserve">-r17 </w:t>
      </w:r>
      <w:r w:rsidRPr="00FA0D37">
        <w:rPr>
          <w:color w:val="993366"/>
        </w:rPr>
        <w:t>INTEGER</w:t>
      </w:r>
      <w:r w:rsidRPr="00FA0D37">
        <w:t xml:space="preserve"> (1..16)                                                      </w:t>
      </w:r>
      <w:r w:rsidRPr="00FA0D37">
        <w:rPr>
          <w:color w:val="993366"/>
        </w:rPr>
        <w:t>OPTIONAL</w:t>
      </w:r>
      <w:r w:rsidRPr="00FA0D37">
        <w:t xml:space="preserve">,   </w:t>
      </w:r>
      <w:r w:rsidRPr="00FA0D37">
        <w:rPr>
          <w:color w:val="808080"/>
        </w:rPr>
        <w:t>-- Need M</w:t>
      </w:r>
    </w:p>
    <w:p w14:paraId="5C9BB022" w14:textId="7337B95B" w:rsidR="006F46B2" w:rsidRPr="00FA0D37" w:rsidRDefault="006F46B2" w:rsidP="00FA0D37">
      <w:pPr>
        <w:pStyle w:val="PL"/>
        <w:rPr>
          <w:color w:val="808080"/>
        </w:rPr>
      </w:pPr>
      <w:bookmarkStart w:id="1769" w:name="OLE_LINK62"/>
      <w:r w:rsidRPr="00FA0D37">
        <w:t xml:space="preserve">    sl-DetermineResourceType</w:t>
      </w:r>
      <w:bookmarkEnd w:id="1769"/>
      <w:r w:rsidRPr="00FA0D37">
        <w:t xml:space="preserve">-r17              </w:t>
      </w:r>
      <w:r w:rsidRPr="00FA0D37">
        <w:rPr>
          <w:color w:val="993366"/>
        </w:rPr>
        <w:t>ENUMERATED</w:t>
      </w:r>
      <w:r w:rsidRPr="00FA0D37">
        <w:t xml:space="preserve"> {uea, ueb}                                                </w:t>
      </w:r>
      <w:r w:rsidRPr="00FA0D37">
        <w:rPr>
          <w:color w:val="993366"/>
        </w:rPr>
        <w:t>OPTIONAL</w:t>
      </w:r>
      <w:r w:rsidRPr="00FA0D37">
        <w:t xml:space="preserve">,   </w:t>
      </w:r>
      <w:r w:rsidRPr="00FA0D37">
        <w:rPr>
          <w:color w:val="808080"/>
        </w:rPr>
        <w:t>-- Need M</w:t>
      </w:r>
    </w:p>
    <w:p w14:paraId="5BC0F00D" w14:textId="77777777" w:rsidR="006F46B2" w:rsidRPr="00FA0D37" w:rsidRDefault="006F46B2" w:rsidP="00FA0D37">
      <w:pPr>
        <w:pStyle w:val="PL"/>
      </w:pPr>
      <w:bookmarkStart w:id="1770" w:name="OLE_LINK60"/>
      <w:r w:rsidRPr="00FA0D37">
        <w:t xml:space="preserve">    ...</w:t>
      </w:r>
    </w:p>
    <w:p w14:paraId="13C60B8D" w14:textId="77777777" w:rsidR="006F46B2" w:rsidRPr="00FA0D37" w:rsidRDefault="006F46B2" w:rsidP="00FA0D37">
      <w:pPr>
        <w:pStyle w:val="PL"/>
      </w:pPr>
      <w:r w:rsidRPr="00FA0D37">
        <w:t>}</w:t>
      </w:r>
    </w:p>
    <w:bookmarkEnd w:id="1770"/>
    <w:p w14:paraId="2FB5D81F" w14:textId="77777777" w:rsidR="006F46B2" w:rsidRPr="00FA0D37" w:rsidRDefault="006F46B2" w:rsidP="00FA0D37">
      <w:pPr>
        <w:pStyle w:val="PL"/>
      </w:pPr>
    </w:p>
    <w:p w14:paraId="6E30E411" w14:textId="7CEADB5A" w:rsidR="006F46B2" w:rsidRPr="00FA0D37" w:rsidRDefault="006F46B2" w:rsidP="00FA0D37">
      <w:pPr>
        <w:pStyle w:val="PL"/>
      </w:pPr>
      <w:r w:rsidRPr="00FA0D37">
        <w:t xml:space="preserve">SL-InterUE-CoordinationScheme2-r17 ::=    </w:t>
      </w:r>
      <w:r w:rsidRPr="00FA0D37">
        <w:rPr>
          <w:color w:val="993366"/>
        </w:rPr>
        <w:t>SEQUENCE</w:t>
      </w:r>
      <w:r w:rsidRPr="00FA0D37">
        <w:t xml:space="preserve"> {</w:t>
      </w:r>
    </w:p>
    <w:p w14:paraId="64AA52F7" w14:textId="6ACD5975" w:rsidR="006F46B2" w:rsidRPr="00FA0D37" w:rsidRDefault="006F46B2" w:rsidP="00FA0D37">
      <w:pPr>
        <w:pStyle w:val="PL"/>
        <w:rPr>
          <w:color w:val="808080"/>
        </w:rPr>
      </w:pPr>
      <w:r w:rsidRPr="00FA0D37">
        <w:t xml:space="preserve">    sl-IUC-Scheme2-r17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xml:space="preserve">-- Need </w:t>
      </w:r>
      <w:r w:rsidR="001B1A88" w:rsidRPr="00FA0D37">
        <w:rPr>
          <w:color w:val="808080"/>
        </w:rPr>
        <w:t>R</w:t>
      </w:r>
    </w:p>
    <w:p w14:paraId="753DB20E" w14:textId="7B48F4E0" w:rsidR="006F46B2" w:rsidRPr="00FA0D37" w:rsidRDefault="006F46B2" w:rsidP="00FA0D37">
      <w:pPr>
        <w:pStyle w:val="PL"/>
        <w:rPr>
          <w:color w:val="808080"/>
        </w:rPr>
      </w:pPr>
      <w:bookmarkStart w:id="1771" w:name="OLE_LINK33"/>
      <w:r w:rsidRPr="00FA0D37">
        <w:t xml:space="preserve">    </w:t>
      </w:r>
      <w:bookmarkStart w:id="1772" w:name="OLE_LINK45"/>
      <w:bookmarkEnd w:id="1771"/>
      <w:r w:rsidRPr="00FA0D37">
        <w:t>sl-RB-SetPSFCH</w:t>
      </w:r>
      <w:bookmarkEnd w:id="1772"/>
      <w:r w:rsidRPr="00FA0D37">
        <w:t xml:space="preserve">-r17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(10..275))                                          </w:t>
      </w:r>
      <w:r w:rsidRPr="00FA0D37">
        <w:rPr>
          <w:color w:val="993366"/>
        </w:rPr>
        <w:t>OPTIONAL</w:t>
      </w:r>
      <w:r w:rsidRPr="00FA0D37">
        <w:t xml:space="preserve">,   </w:t>
      </w:r>
      <w:r w:rsidRPr="00FA0D37">
        <w:rPr>
          <w:color w:val="808080"/>
        </w:rPr>
        <w:t>-- Need M</w:t>
      </w:r>
    </w:p>
    <w:p w14:paraId="5AE4CB9B" w14:textId="62EDC354" w:rsidR="006F46B2" w:rsidRPr="00FA0D37" w:rsidRDefault="006F46B2" w:rsidP="00FA0D37">
      <w:pPr>
        <w:pStyle w:val="PL"/>
        <w:rPr>
          <w:color w:val="808080"/>
        </w:rPr>
      </w:pPr>
      <w:r w:rsidRPr="00FA0D37">
        <w:t xml:space="preserve">    </w:t>
      </w:r>
      <w:bookmarkStart w:id="1773" w:name="OLE_LINK46"/>
      <w:r w:rsidRPr="00FA0D37">
        <w:t>sl-TypeUE-A</w:t>
      </w:r>
      <w:bookmarkEnd w:id="1773"/>
      <w:r w:rsidRPr="00FA0D37">
        <w:t xml:space="preserve">-r17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xml:space="preserve">-- Need </w:t>
      </w:r>
      <w:r w:rsidR="001B1A88" w:rsidRPr="00FA0D37">
        <w:rPr>
          <w:color w:val="808080"/>
        </w:rPr>
        <w:t>R</w:t>
      </w:r>
    </w:p>
    <w:p w14:paraId="1663D15A" w14:textId="73D46801" w:rsidR="006F46B2" w:rsidRPr="00FA0D37" w:rsidRDefault="006F46B2" w:rsidP="00FA0D37">
      <w:pPr>
        <w:pStyle w:val="PL"/>
        <w:rPr>
          <w:color w:val="808080"/>
        </w:rPr>
      </w:pPr>
      <w:r w:rsidRPr="00FA0D37">
        <w:t xml:space="preserve">    sl-PSFCH-Occasion-r17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M</w:t>
      </w:r>
    </w:p>
    <w:p w14:paraId="0E632D95" w14:textId="566B6806" w:rsidR="006F46B2" w:rsidRPr="00FA0D37" w:rsidRDefault="006F46B2" w:rsidP="00FA0D37">
      <w:pPr>
        <w:pStyle w:val="PL"/>
        <w:rPr>
          <w:color w:val="808080"/>
        </w:rPr>
      </w:pPr>
      <w:bookmarkStart w:id="1774" w:name="OLE_LINK49"/>
      <w:r w:rsidRPr="00FA0D37">
        <w:t xml:space="preserve">    sl-SlotLevelResourceExclusion</w:t>
      </w:r>
      <w:bookmarkEnd w:id="1774"/>
      <w:r w:rsidRPr="00FA0D37">
        <w:t xml:space="preserve">-r17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xml:space="preserve">-- Need </w:t>
      </w:r>
      <w:r w:rsidR="001B1A88" w:rsidRPr="00FA0D37">
        <w:rPr>
          <w:color w:val="808080"/>
        </w:rPr>
        <w:t>R</w:t>
      </w:r>
    </w:p>
    <w:p w14:paraId="0DD87656" w14:textId="7FCBB9A9" w:rsidR="006F46B2" w:rsidRPr="00FA0D37" w:rsidRDefault="006F46B2" w:rsidP="00FA0D37">
      <w:pPr>
        <w:pStyle w:val="PL"/>
        <w:rPr>
          <w:color w:val="808080"/>
        </w:rPr>
      </w:pPr>
      <w:bookmarkStart w:id="1775" w:name="OLE_LINK50"/>
      <w:r w:rsidRPr="00FA0D37">
        <w:t xml:space="preserve">    sl-OptionForCondition2-A-1</w:t>
      </w:r>
      <w:bookmarkEnd w:id="1775"/>
      <w:r w:rsidRPr="00FA0D37">
        <w:t>-r17</w:t>
      </w:r>
      <w:bookmarkStart w:id="1776" w:name="OLE_LINK40"/>
      <w:r w:rsidRPr="00FA0D37">
        <w:t xml:space="preserve">            </w:t>
      </w:r>
      <w:r w:rsidRPr="00FA0D37">
        <w:rPr>
          <w:color w:val="993366"/>
        </w:rPr>
        <w:t>INTEGER</w:t>
      </w:r>
      <w:r w:rsidRPr="00FA0D37">
        <w:t xml:space="preserve"> (0..1)                                                       </w:t>
      </w:r>
      <w:r w:rsidRPr="00FA0D37">
        <w:rPr>
          <w:color w:val="993366"/>
        </w:rPr>
        <w:t>OPTIONAL</w:t>
      </w:r>
      <w:r w:rsidRPr="00FA0D37">
        <w:t xml:space="preserve">,   </w:t>
      </w:r>
      <w:r w:rsidRPr="00FA0D37">
        <w:rPr>
          <w:color w:val="808080"/>
        </w:rPr>
        <w:t>-- Need M</w:t>
      </w:r>
    </w:p>
    <w:p w14:paraId="4440867A" w14:textId="24806515" w:rsidR="006F46B2" w:rsidRPr="00FA0D37" w:rsidRDefault="006F46B2" w:rsidP="00FA0D37">
      <w:pPr>
        <w:pStyle w:val="PL"/>
        <w:rPr>
          <w:color w:val="808080"/>
        </w:rPr>
      </w:pPr>
      <w:bookmarkStart w:id="1777" w:name="OLE_LINK63"/>
      <w:bookmarkEnd w:id="1776"/>
      <w:r w:rsidRPr="00FA0D37">
        <w:t xml:space="preserve">    sl-IndicationUE-B</w:t>
      </w:r>
      <w:bookmarkEnd w:id="1777"/>
      <w:r w:rsidRPr="00FA0D37">
        <w:t xml:space="preserve">-r17                     </w:t>
      </w:r>
      <w:r w:rsidRPr="00FA0D37">
        <w:rPr>
          <w:color w:val="993366"/>
        </w:rPr>
        <w:t>ENUMERATED</w:t>
      </w:r>
      <w:r w:rsidRPr="00FA0D37">
        <w:t xml:space="preserve"> {enabled, disabled}                                       </w:t>
      </w:r>
      <w:r w:rsidRPr="00FA0D37">
        <w:rPr>
          <w:color w:val="993366"/>
        </w:rPr>
        <w:t>OPTIONAL</w:t>
      </w:r>
      <w:r w:rsidRPr="00FA0D37">
        <w:t xml:space="preserve">,   </w:t>
      </w:r>
      <w:r w:rsidRPr="00FA0D37">
        <w:rPr>
          <w:color w:val="808080"/>
        </w:rPr>
        <w:t>-- Need M</w:t>
      </w:r>
    </w:p>
    <w:p w14:paraId="47274966" w14:textId="53F59CD2" w:rsidR="0007748F" w:rsidRPr="00FA0D37" w:rsidRDefault="006F46B2" w:rsidP="00FA0D37">
      <w:pPr>
        <w:pStyle w:val="PL"/>
      </w:pPr>
      <w:r w:rsidRPr="00FA0D37">
        <w:t xml:space="preserve">    ...</w:t>
      </w:r>
      <w:r w:rsidR="0007748F" w:rsidRPr="00FA0D37">
        <w:t>,</w:t>
      </w:r>
    </w:p>
    <w:p w14:paraId="4937AD2C" w14:textId="77777777" w:rsidR="0007748F" w:rsidRPr="00FA0D37" w:rsidRDefault="0007748F" w:rsidP="00FA0D37">
      <w:pPr>
        <w:pStyle w:val="PL"/>
      </w:pPr>
      <w:r w:rsidRPr="00FA0D37">
        <w:t xml:space="preserve">    [[</w:t>
      </w:r>
    </w:p>
    <w:p w14:paraId="77FB46C6" w14:textId="4DE1FC01" w:rsidR="0007748F" w:rsidRPr="00FA0D37" w:rsidRDefault="0007748F" w:rsidP="00FA0D37">
      <w:pPr>
        <w:pStyle w:val="PL"/>
        <w:rPr>
          <w:color w:val="808080"/>
        </w:rPr>
      </w:pPr>
      <w:r w:rsidRPr="00FA0D37">
        <w:t xml:space="preserve">    sl-DeltaRSRP-Thresh-v1720                 </w:t>
      </w:r>
      <w:r w:rsidRPr="00FA0D37">
        <w:rPr>
          <w:color w:val="993366"/>
        </w:rPr>
        <w:t>INTEGER</w:t>
      </w:r>
      <w:r w:rsidRPr="00FA0D37">
        <w:t xml:space="preserve"> (-30..30)                                                    </w:t>
      </w:r>
      <w:r w:rsidRPr="00FA0D37">
        <w:rPr>
          <w:color w:val="993366"/>
        </w:rPr>
        <w:t>OPTIONAL</w:t>
      </w:r>
      <w:r w:rsidRPr="00FA0D37">
        <w:t xml:space="preserve">    </w:t>
      </w:r>
      <w:r w:rsidRPr="00FA0D37">
        <w:rPr>
          <w:color w:val="808080"/>
        </w:rPr>
        <w:t>-- Need M</w:t>
      </w:r>
    </w:p>
    <w:p w14:paraId="7A73C9DD" w14:textId="7DD7194E" w:rsidR="006F46B2" w:rsidRPr="00FA0D37" w:rsidRDefault="0007748F" w:rsidP="00FA0D37">
      <w:pPr>
        <w:pStyle w:val="PL"/>
      </w:pPr>
      <w:r w:rsidRPr="00FA0D37">
        <w:t xml:space="preserve">    ]]</w:t>
      </w:r>
    </w:p>
    <w:p w14:paraId="4714116E" w14:textId="77777777" w:rsidR="006F46B2" w:rsidRPr="00FA0D37" w:rsidRDefault="006F46B2" w:rsidP="00FA0D37">
      <w:pPr>
        <w:pStyle w:val="PL"/>
      </w:pPr>
      <w:r w:rsidRPr="00FA0D37">
        <w:t>}</w:t>
      </w:r>
    </w:p>
    <w:p w14:paraId="67ED8366" w14:textId="77777777" w:rsidR="006F46B2" w:rsidRPr="00FA0D37" w:rsidRDefault="006F46B2" w:rsidP="00FA0D37">
      <w:pPr>
        <w:pStyle w:val="PL"/>
      </w:pPr>
    </w:p>
    <w:p w14:paraId="1DD6C31D" w14:textId="77777777" w:rsidR="006F46B2" w:rsidRPr="00FA0D37" w:rsidRDefault="006F46B2" w:rsidP="00FA0D37">
      <w:pPr>
        <w:pStyle w:val="PL"/>
      </w:pPr>
    </w:p>
    <w:p w14:paraId="5307E7F5" w14:textId="7AA03B55" w:rsidR="006F46B2" w:rsidRPr="00FA0D37" w:rsidRDefault="006F46B2" w:rsidP="00FA0D37">
      <w:pPr>
        <w:pStyle w:val="PL"/>
      </w:pPr>
      <w:r w:rsidRPr="00FA0D37">
        <w:t xml:space="preserve">SL-ThresholdRSRP-Condition1-B-1-r17 ::=   </w:t>
      </w:r>
      <w:r w:rsidRPr="00FA0D37">
        <w:rPr>
          <w:color w:val="993366"/>
        </w:rPr>
        <w:t>SEQUENCE</w:t>
      </w:r>
      <w:r w:rsidRPr="00FA0D37">
        <w:t xml:space="preserve"> {</w:t>
      </w:r>
    </w:p>
    <w:p w14:paraId="715A7339" w14:textId="71828757" w:rsidR="006F46B2" w:rsidRPr="00FA0D37" w:rsidRDefault="006F46B2" w:rsidP="00FA0D37">
      <w:pPr>
        <w:pStyle w:val="PL"/>
      </w:pPr>
      <w:r w:rsidRPr="00FA0D37">
        <w:t xml:space="preserve">    sl-Priority-r1</w:t>
      </w:r>
      <w:r w:rsidR="00F50528" w:rsidRPr="00FA0D37">
        <w:t>7</w:t>
      </w:r>
      <w:r w:rsidRPr="00FA0D37">
        <w:t xml:space="preserve">                           </w:t>
      </w:r>
      <w:r w:rsidRPr="00FA0D37">
        <w:rPr>
          <w:color w:val="993366"/>
        </w:rPr>
        <w:t>INTEGER</w:t>
      </w:r>
      <w:r w:rsidRPr="00FA0D37">
        <w:t xml:space="preserve"> (1..8),</w:t>
      </w:r>
    </w:p>
    <w:p w14:paraId="36034E04" w14:textId="2F0A7CFA" w:rsidR="006F46B2" w:rsidRPr="00FA0D37" w:rsidRDefault="006F46B2" w:rsidP="00FA0D37">
      <w:pPr>
        <w:pStyle w:val="PL"/>
      </w:pPr>
      <w:r w:rsidRPr="00FA0D37">
        <w:t xml:space="preserve">    sl-ThresholdRSRP-Condition1-B-1-r17       </w:t>
      </w:r>
      <w:r w:rsidRPr="00FA0D37">
        <w:rPr>
          <w:color w:val="993366"/>
        </w:rPr>
        <w:t>INTEGER</w:t>
      </w:r>
      <w:r w:rsidRPr="00FA0D37">
        <w:t xml:space="preserve"> (0..66)</w:t>
      </w:r>
    </w:p>
    <w:p w14:paraId="37D4B01E" w14:textId="77777777" w:rsidR="006F46B2" w:rsidRPr="00FA0D37" w:rsidRDefault="006F46B2" w:rsidP="00FA0D37">
      <w:pPr>
        <w:pStyle w:val="PL"/>
      </w:pPr>
      <w:r w:rsidRPr="00FA0D37">
        <w:t>}</w:t>
      </w:r>
    </w:p>
    <w:p w14:paraId="75753F5E" w14:textId="77777777" w:rsidR="006F46B2" w:rsidRPr="00FA0D37" w:rsidRDefault="006F46B2" w:rsidP="00FA0D37">
      <w:pPr>
        <w:pStyle w:val="PL"/>
      </w:pPr>
    </w:p>
    <w:p w14:paraId="2E0CFC80" w14:textId="77777777" w:rsidR="006F46B2" w:rsidRPr="00FA0D37" w:rsidRDefault="006F46B2" w:rsidP="00FA0D37">
      <w:pPr>
        <w:pStyle w:val="PL"/>
        <w:rPr>
          <w:color w:val="808080"/>
        </w:rPr>
      </w:pPr>
      <w:r w:rsidRPr="00FA0D37">
        <w:rPr>
          <w:color w:val="808080"/>
        </w:rPr>
        <w:t>-- TAG-SL</w:t>
      </w:r>
      <w:r w:rsidRPr="00FA0D37">
        <w:rPr>
          <w:rFonts w:eastAsia="等线"/>
          <w:color w:val="808080"/>
        </w:rPr>
        <w:t>-INTERUE-COORDINATIONCONFIG</w:t>
      </w:r>
      <w:r w:rsidRPr="00FA0D37">
        <w:rPr>
          <w:color w:val="808080"/>
        </w:rPr>
        <w:t>-STOP</w:t>
      </w:r>
    </w:p>
    <w:p w14:paraId="433F7E03" w14:textId="77777777" w:rsidR="006F46B2" w:rsidRPr="00FA0D37" w:rsidRDefault="006F46B2" w:rsidP="00FA0D37">
      <w:pPr>
        <w:pStyle w:val="PL"/>
        <w:rPr>
          <w:color w:val="808080"/>
        </w:rPr>
      </w:pPr>
      <w:r w:rsidRPr="00FA0D37">
        <w:rPr>
          <w:color w:val="808080"/>
        </w:rPr>
        <w:t>-- ASN1STOP</w:t>
      </w:r>
    </w:p>
    <w:p w14:paraId="75D205D0" w14:textId="77777777" w:rsidR="006F46B2" w:rsidRPr="00FA0D37" w:rsidRDefault="006F46B2" w:rsidP="006F46B2">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532EBCF3"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535FCC5" w14:textId="77777777" w:rsidR="006F46B2" w:rsidRPr="00FA0D37" w:rsidRDefault="006F46B2" w:rsidP="00771058">
            <w:pPr>
              <w:pStyle w:val="TAH"/>
              <w:rPr>
                <w:lang w:eastAsia="en-GB"/>
              </w:rPr>
            </w:pPr>
            <w:r w:rsidRPr="00FA0D37">
              <w:rPr>
                <w:i/>
                <w:iCs/>
                <w:noProof/>
                <w:lang w:eastAsia="en-GB"/>
              </w:rPr>
              <w:lastRenderedPageBreak/>
              <w:t>SL-InterUE-CoordinationScheme1</w:t>
            </w:r>
            <w:r w:rsidRPr="00FA0D37">
              <w:rPr>
                <w:noProof/>
                <w:lang w:eastAsia="en-GB"/>
              </w:rPr>
              <w:t xml:space="preserve"> </w:t>
            </w:r>
            <w:r w:rsidRPr="00FA0D37">
              <w:rPr>
                <w:iCs/>
                <w:noProof/>
                <w:lang w:eastAsia="en-GB"/>
              </w:rPr>
              <w:t>field descriptions</w:t>
            </w:r>
          </w:p>
        </w:tc>
      </w:tr>
      <w:tr w:rsidR="005C7FF4" w:rsidRPr="00FA0D37" w14:paraId="07E6D6EC"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31396A3" w14:textId="77777777" w:rsidR="006F46B2" w:rsidRPr="00FA0D37" w:rsidRDefault="006F46B2" w:rsidP="00771058">
            <w:pPr>
              <w:pStyle w:val="TAL"/>
              <w:rPr>
                <w:b/>
                <w:bCs/>
                <w:i/>
                <w:iCs/>
                <w:lang w:eastAsia="sv-SE"/>
              </w:rPr>
            </w:pPr>
            <w:r w:rsidRPr="00FA0D37">
              <w:rPr>
                <w:b/>
                <w:bCs/>
                <w:i/>
                <w:iCs/>
                <w:lang w:eastAsia="sv-SE"/>
              </w:rPr>
              <w:t>sl-Condition1-A-2</w:t>
            </w:r>
          </w:p>
          <w:p w14:paraId="6186B551" w14:textId="77777777" w:rsidR="006F46B2" w:rsidRPr="00FA0D37" w:rsidRDefault="006F46B2" w:rsidP="00771058">
            <w:pPr>
              <w:pStyle w:val="TAL"/>
              <w:rPr>
                <w:b/>
                <w:i/>
              </w:rPr>
            </w:pPr>
            <w:r w:rsidRPr="00FA0D37">
              <w:rPr>
                <w:lang w:eastAsia="sv-SE"/>
              </w:rPr>
              <w:t>Indicates disabling the use of condition of excluding from preferred resource set resource(s) in slot(s) where UE-A, when it is intended receiver of UE-B, does not expect to perform SL reception from UE-B due to half duplex operation.</w:t>
            </w:r>
          </w:p>
        </w:tc>
      </w:tr>
      <w:tr w:rsidR="005C7FF4" w:rsidRPr="00FA0D37" w14:paraId="017325A4"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DCFBDD4" w14:textId="7EDAD1F7" w:rsidR="006F46B2" w:rsidRPr="00FA0D37" w:rsidRDefault="006F46B2" w:rsidP="00771058">
            <w:pPr>
              <w:pStyle w:val="TAL"/>
              <w:rPr>
                <w:b/>
                <w:i/>
              </w:rPr>
            </w:pPr>
            <w:r w:rsidRPr="00FA0D37">
              <w:rPr>
                <w:b/>
                <w:bCs/>
                <w:i/>
                <w:iCs/>
                <w:lang w:eastAsia="sv-SE"/>
              </w:rPr>
              <w:t>sl-C</w:t>
            </w:r>
            <w:r w:rsidRPr="00FA0D37">
              <w:rPr>
                <w:b/>
                <w:i/>
              </w:rPr>
              <w:t>ontainerCoordInfo</w:t>
            </w:r>
          </w:p>
          <w:p w14:paraId="65B23A4A" w14:textId="77777777" w:rsidR="006F46B2" w:rsidRPr="00FA0D37" w:rsidRDefault="006F46B2" w:rsidP="00771058">
            <w:pPr>
              <w:pStyle w:val="TAL"/>
              <w:rPr>
                <w:b/>
                <w:i/>
              </w:rPr>
            </w:pPr>
            <w:r w:rsidRPr="00FA0D37">
              <w:t>Indicates whether a SCI format 2-C can be used as the container of inter-UE coordination information transmission from UE-A to UE-B in Scheme 1 in addition to using MAC CE.</w:t>
            </w:r>
          </w:p>
        </w:tc>
      </w:tr>
      <w:tr w:rsidR="005C7FF4" w:rsidRPr="00FA0D37" w14:paraId="22F1DB2B"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977C89D" w14:textId="2BB5F714" w:rsidR="006F46B2" w:rsidRPr="00FA0D37" w:rsidRDefault="006F46B2" w:rsidP="00771058">
            <w:pPr>
              <w:pStyle w:val="TAL"/>
              <w:rPr>
                <w:rFonts w:eastAsia="等线"/>
                <w:b/>
                <w:i/>
                <w:lang w:eastAsia="zh-CN"/>
              </w:rPr>
            </w:pPr>
            <w:r w:rsidRPr="00FA0D37">
              <w:rPr>
                <w:b/>
                <w:bCs/>
                <w:i/>
                <w:iCs/>
                <w:lang w:eastAsia="sv-SE"/>
              </w:rPr>
              <w:t>sl-C</w:t>
            </w:r>
            <w:r w:rsidRPr="00FA0D37">
              <w:rPr>
                <w:rFonts w:eastAsia="等线"/>
                <w:b/>
                <w:i/>
                <w:lang w:eastAsia="zh-CN"/>
              </w:rPr>
              <w:t>ontainerRequest</w:t>
            </w:r>
          </w:p>
          <w:p w14:paraId="4358062E" w14:textId="47D0541B" w:rsidR="006F46B2" w:rsidRPr="00FA0D37" w:rsidRDefault="006F46B2" w:rsidP="00771058">
            <w:pPr>
              <w:pStyle w:val="TAL"/>
              <w:rPr>
                <w:b/>
                <w:i/>
              </w:rPr>
            </w:pPr>
            <w:r w:rsidRPr="00FA0D37">
              <w:rPr>
                <w:rFonts w:eastAsia="等线"/>
                <w:lang w:eastAsia="zh-CN"/>
              </w:rPr>
              <w:t>Indicates whether a SCI format 2-C can be used as the container of an explicit request for inter-UE coordination information transmission fr</w:t>
            </w:r>
            <w:r w:rsidR="003431E3" w:rsidRPr="00FA0D37">
              <w:rPr>
                <w:rFonts w:eastAsia="等线"/>
                <w:lang w:eastAsia="zh-CN"/>
              </w:rPr>
              <w:t>o</w:t>
            </w:r>
            <w:r w:rsidRPr="00FA0D37">
              <w:rPr>
                <w:rFonts w:eastAsia="等线"/>
                <w:lang w:eastAsia="zh-CN"/>
              </w:rPr>
              <w:t>m UE-B to UE-A in Scheme 1</w:t>
            </w:r>
            <w:r w:rsidRPr="00FA0D37">
              <w:t xml:space="preserve"> </w:t>
            </w:r>
            <w:r w:rsidRPr="00FA0D37">
              <w:rPr>
                <w:rFonts w:eastAsia="等线"/>
                <w:lang w:eastAsia="zh-CN"/>
              </w:rPr>
              <w:t>in addition to using MAC CE.</w:t>
            </w:r>
          </w:p>
        </w:tc>
      </w:tr>
      <w:tr w:rsidR="005C7FF4" w:rsidRPr="00FA0D37" w14:paraId="1CC35351"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371CCE6" w14:textId="77777777" w:rsidR="006F46B2" w:rsidRPr="00FA0D37" w:rsidRDefault="006F46B2" w:rsidP="006F46B2">
            <w:pPr>
              <w:pStyle w:val="TAL"/>
              <w:rPr>
                <w:b/>
                <w:i/>
              </w:rPr>
            </w:pPr>
            <w:r w:rsidRPr="00FA0D37">
              <w:rPr>
                <w:b/>
                <w:i/>
                <w:lang w:eastAsia="sv-SE"/>
              </w:rPr>
              <w:t>sl-D</w:t>
            </w:r>
            <w:r w:rsidRPr="00FA0D37">
              <w:rPr>
                <w:b/>
                <w:i/>
              </w:rPr>
              <w:t>etermineResourceType</w:t>
            </w:r>
          </w:p>
          <w:p w14:paraId="2FCE69F3" w14:textId="597548F3" w:rsidR="006F46B2" w:rsidRPr="00FA0D37" w:rsidRDefault="006F46B2" w:rsidP="000830BB">
            <w:pPr>
              <w:pStyle w:val="TAL"/>
              <w:rPr>
                <w:iCs/>
                <w:noProof/>
                <w:lang w:eastAsia="en-GB"/>
              </w:rPr>
            </w:pPr>
            <w:r w:rsidRPr="00FA0D37">
              <w:t>Indicates how to determine the resource set type to be provided by inter-UE coordination information transmission. Value "</w:t>
            </w:r>
            <w:r w:rsidRPr="00FA0D37">
              <w:rPr>
                <w:i/>
                <w:iCs/>
              </w:rPr>
              <w:t>uea</w:t>
            </w:r>
            <w:r w:rsidRPr="00FA0D37">
              <w:t>" means the resource set type is determined by UE-A</w:t>
            </w:r>
            <w:r w:rsidR="00D537E2" w:rsidRPr="00FA0D37">
              <w:t>'</w:t>
            </w:r>
            <w:r w:rsidRPr="00FA0D37">
              <w:t>s implementation. Value "</w:t>
            </w:r>
            <w:r w:rsidRPr="00FA0D37">
              <w:rPr>
                <w:i/>
                <w:iCs/>
              </w:rPr>
              <w:t>ueb</w:t>
            </w:r>
            <w:r w:rsidRPr="00FA0D37">
              <w:t>" means the resource set type is determined by UE-B</w:t>
            </w:r>
            <w:r w:rsidR="00D537E2" w:rsidRPr="00FA0D37">
              <w:t>'</w:t>
            </w:r>
            <w:r w:rsidRPr="00FA0D37">
              <w:t>s request.</w:t>
            </w:r>
          </w:p>
        </w:tc>
      </w:tr>
      <w:tr w:rsidR="005C7FF4" w:rsidRPr="00FA0D37" w14:paraId="5C188E2E"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C5FFB35" w14:textId="18F357EB" w:rsidR="006F46B2" w:rsidRPr="00FA0D37" w:rsidRDefault="006F46B2" w:rsidP="00771058">
            <w:pPr>
              <w:pStyle w:val="TAL"/>
              <w:rPr>
                <w:b/>
                <w:bCs/>
                <w:i/>
                <w:iCs/>
                <w:lang w:eastAsia="en-GB"/>
              </w:rPr>
            </w:pPr>
            <w:r w:rsidRPr="00FA0D37">
              <w:rPr>
                <w:b/>
                <w:bCs/>
                <w:i/>
                <w:iCs/>
                <w:lang w:eastAsia="sv-SE"/>
              </w:rPr>
              <w:t>sl-IUC</w:t>
            </w:r>
            <w:r w:rsidRPr="00FA0D37">
              <w:rPr>
                <w:b/>
                <w:bCs/>
                <w:i/>
                <w:iCs/>
                <w:lang w:eastAsia="en-GB"/>
              </w:rPr>
              <w:t>-Condition</w:t>
            </w:r>
          </w:p>
          <w:p w14:paraId="5934DD3F" w14:textId="77777777" w:rsidR="006F46B2" w:rsidRPr="00FA0D37" w:rsidRDefault="006F46B2" w:rsidP="00771058">
            <w:pPr>
              <w:pStyle w:val="TAL"/>
              <w:rPr>
                <w:b/>
                <w:i/>
              </w:rPr>
            </w:pPr>
            <w:r w:rsidRPr="00FA0D37">
              <w:rPr>
                <w:bCs/>
                <w:kern w:val="2"/>
                <w:lang w:eastAsia="en-GB"/>
              </w:rPr>
              <w:t>Indicates whether inter-UE coordination information triggered by a condition is enabled or not</w:t>
            </w:r>
            <w:r w:rsidRPr="00FA0D37">
              <w:t xml:space="preserve"> </w:t>
            </w:r>
            <w:r w:rsidRPr="00FA0D37">
              <w:rPr>
                <w:bCs/>
                <w:kern w:val="2"/>
                <w:lang w:eastAsia="en-GB"/>
              </w:rPr>
              <w:t>other than explicit request reception.</w:t>
            </w:r>
          </w:p>
        </w:tc>
      </w:tr>
      <w:tr w:rsidR="005C7FF4" w:rsidRPr="00FA0D37" w14:paraId="5C503F3A"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1361D0" w14:textId="7DCE8EA8" w:rsidR="006F46B2" w:rsidRPr="00FA0D37" w:rsidRDefault="006F46B2" w:rsidP="00771058">
            <w:pPr>
              <w:pStyle w:val="TAL"/>
              <w:rPr>
                <w:b/>
                <w:bCs/>
                <w:i/>
                <w:iCs/>
                <w:lang w:eastAsia="en-GB"/>
              </w:rPr>
            </w:pPr>
            <w:r w:rsidRPr="00FA0D37">
              <w:rPr>
                <w:b/>
                <w:bCs/>
                <w:i/>
                <w:iCs/>
                <w:lang w:eastAsia="sv-SE"/>
              </w:rPr>
              <w:t>sl-IUC</w:t>
            </w:r>
            <w:r w:rsidRPr="00FA0D37">
              <w:rPr>
                <w:b/>
                <w:bCs/>
                <w:i/>
                <w:iCs/>
                <w:lang w:eastAsia="en-GB"/>
              </w:rPr>
              <w:t>-Explicit</w:t>
            </w:r>
          </w:p>
          <w:p w14:paraId="439C4001" w14:textId="77777777" w:rsidR="006F46B2" w:rsidRPr="00FA0D37" w:rsidRDefault="006F46B2" w:rsidP="00771058">
            <w:pPr>
              <w:pStyle w:val="TAL"/>
              <w:rPr>
                <w:lang w:eastAsia="en-GB"/>
              </w:rPr>
            </w:pPr>
            <w:r w:rsidRPr="00FA0D37">
              <w:rPr>
                <w:bCs/>
                <w:kern w:val="2"/>
                <w:lang w:eastAsia="en-GB"/>
              </w:rPr>
              <w:t xml:space="preserve">Indicates whether inter-UE coordination information triggered by an explicit request is enabled or not. </w:t>
            </w:r>
          </w:p>
        </w:tc>
      </w:tr>
      <w:tr w:rsidR="005C7FF4" w:rsidRPr="00FA0D37" w14:paraId="05E309FC"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D967E3F" w14:textId="77777777" w:rsidR="006F46B2" w:rsidRPr="00FA0D37" w:rsidRDefault="006F46B2" w:rsidP="00771058">
            <w:pPr>
              <w:pStyle w:val="TAL"/>
              <w:rPr>
                <w:b/>
                <w:i/>
              </w:rPr>
            </w:pPr>
            <w:r w:rsidRPr="00FA0D37">
              <w:rPr>
                <w:b/>
                <w:bCs/>
                <w:i/>
                <w:iCs/>
                <w:lang w:eastAsia="sv-SE"/>
              </w:rPr>
              <w:t>sl-M</w:t>
            </w:r>
            <w:r w:rsidRPr="00FA0D37">
              <w:rPr>
                <w:b/>
                <w:i/>
              </w:rPr>
              <w:t>axSlotOffsetTRIV</w:t>
            </w:r>
          </w:p>
          <w:p w14:paraId="6175F91F" w14:textId="30FF0AB6" w:rsidR="006F46B2" w:rsidRPr="00FA0D37" w:rsidRDefault="006F46B2" w:rsidP="00771058">
            <w:pPr>
              <w:pStyle w:val="TAL"/>
              <w:rPr>
                <w:b/>
                <w:i/>
              </w:rPr>
            </w:pPr>
            <w:r w:rsidRPr="00FA0D37">
              <w:t>Indicates the maximum value of logical slot offset with respect to a reference slot that is used for representing the first resource location of each TRIV to indicate the set of resources in Scheme 1 as specified in TS 38.214 [</w:t>
            </w:r>
            <w:r w:rsidR="008041FF" w:rsidRPr="00FA0D37">
              <w:t>19</w:t>
            </w:r>
            <w:r w:rsidRPr="00FA0D37">
              <w:t>].</w:t>
            </w:r>
          </w:p>
        </w:tc>
      </w:tr>
      <w:tr w:rsidR="005C7FF4" w:rsidRPr="00FA0D37" w14:paraId="6EC9CB63"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202B55A" w14:textId="77777777" w:rsidR="006F46B2" w:rsidRPr="00FA0D37" w:rsidRDefault="006F46B2" w:rsidP="00771058">
            <w:pPr>
              <w:pStyle w:val="TAL"/>
              <w:rPr>
                <w:b/>
                <w:i/>
              </w:rPr>
            </w:pPr>
            <w:r w:rsidRPr="00FA0D37">
              <w:rPr>
                <w:b/>
                <w:bCs/>
                <w:i/>
                <w:iCs/>
                <w:lang w:eastAsia="sv-SE"/>
              </w:rPr>
              <w:t>sl-N</w:t>
            </w:r>
            <w:r w:rsidRPr="00FA0D37">
              <w:rPr>
                <w:b/>
                <w:i/>
              </w:rPr>
              <w:t>umSubCH-PreferredResousrceSet</w:t>
            </w:r>
          </w:p>
          <w:p w14:paraId="6CF42F5C" w14:textId="77777777" w:rsidR="006F46B2" w:rsidRPr="00FA0D37" w:rsidRDefault="006F46B2" w:rsidP="00771058">
            <w:pPr>
              <w:pStyle w:val="TAL"/>
              <w:rPr>
                <w:b/>
                <w:bCs/>
                <w:i/>
                <w:iCs/>
                <w:lang w:eastAsia="en-GB"/>
              </w:rPr>
            </w:pPr>
            <w:r w:rsidRPr="00FA0D37">
              <w:t>Indicates the number of sub-channels used for determining the preferred resource set in Scheme 1 when the inter-UE coordination information transmission is triggered by a condition other than explicit request reception.</w:t>
            </w:r>
          </w:p>
        </w:tc>
      </w:tr>
      <w:tr w:rsidR="005C7FF4" w:rsidRPr="00FA0D37" w14:paraId="0414C5DB"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E8C959E" w14:textId="095ADCA0" w:rsidR="006F46B2" w:rsidRPr="00FA0D37" w:rsidRDefault="006F46B2" w:rsidP="00771058">
            <w:pPr>
              <w:pStyle w:val="TAL"/>
              <w:rPr>
                <w:b/>
                <w:i/>
              </w:rPr>
            </w:pPr>
            <w:r w:rsidRPr="00FA0D37">
              <w:rPr>
                <w:b/>
                <w:bCs/>
                <w:i/>
                <w:iCs/>
                <w:lang w:eastAsia="sv-SE"/>
              </w:rPr>
              <w:t>sl-P</w:t>
            </w:r>
            <w:r w:rsidRPr="00FA0D37">
              <w:rPr>
                <w:b/>
                <w:i/>
              </w:rPr>
              <w:t>riorityCoordInfoCondition</w:t>
            </w:r>
          </w:p>
          <w:p w14:paraId="0254A399" w14:textId="512CB32F" w:rsidR="006F46B2" w:rsidRPr="00FA0D37" w:rsidRDefault="0007748F" w:rsidP="00771058">
            <w:pPr>
              <w:pStyle w:val="TAL"/>
              <w:rPr>
                <w:b/>
                <w:i/>
              </w:rPr>
            </w:pPr>
            <w:r w:rsidRPr="00FA0D37">
              <w:t xml:space="preserve">Parameter used to determine </w:t>
            </w:r>
            <w:r w:rsidR="00E36B13" w:rsidRPr="00FA0D37">
              <w:t xml:space="preserve">the priority values </w:t>
            </w:r>
            <w:r w:rsidRPr="00FA0D37">
              <w:t xml:space="preserve">for </w:t>
            </w:r>
            <w:r w:rsidRPr="00FA0D37">
              <w:rPr>
                <w:rFonts w:eastAsia="宋体" w:cs="Arial"/>
                <w:lang w:eastAsia="zh-CN"/>
              </w:rPr>
              <w:t xml:space="preserve">the purpose defined in TS 38.213 [13] and TS 38.214 [19] including, </w:t>
            </w:r>
            <w:r w:rsidR="006F46B2" w:rsidRPr="00FA0D37">
              <w:t xml:space="preserve">the priority value </w:t>
            </w:r>
            <w:r w:rsidRPr="00FA0D37">
              <w:rPr>
                <w:rFonts w:eastAsia="宋体" w:cs="Arial"/>
                <w:lang w:eastAsia="zh-CN"/>
              </w:rPr>
              <w:t>for sensing and candidate resource (re-)selection for transmitting the TB carrying the IUC MAC CE and the priority value in the SCI Format 1-A corresponding to the TB carrying the IUC MAC CE,</w:t>
            </w:r>
            <w:r w:rsidR="006F46B2" w:rsidRPr="00FA0D37">
              <w:t xml:space="preserve"> triggered by a condition other than explicit request reception in Scheme 1.</w:t>
            </w:r>
            <w:r w:rsidRPr="00FA0D37">
              <w:t xml:space="preserve"> The priority value of IUC MAC CE used in LCP procedure (see TS 38.321 [3]) is fixed as "1".</w:t>
            </w:r>
          </w:p>
        </w:tc>
      </w:tr>
      <w:tr w:rsidR="005C7FF4" w:rsidRPr="00FA0D37" w14:paraId="5DC026F1"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F7088D" w14:textId="77777777" w:rsidR="006F46B2" w:rsidRPr="00FA0D37" w:rsidRDefault="006F46B2" w:rsidP="00771058">
            <w:pPr>
              <w:pStyle w:val="TAL"/>
              <w:rPr>
                <w:b/>
                <w:i/>
              </w:rPr>
            </w:pPr>
            <w:r w:rsidRPr="00FA0D37">
              <w:rPr>
                <w:b/>
                <w:bCs/>
                <w:i/>
                <w:iCs/>
                <w:lang w:eastAsia="sv-SE"/>
              </w:rPr>
              <w:t>sl-P</w:t>
            </w:r>
            <w:r w:rsidRPr="00FA0D37">
              <w:rPr>
                <w:b/>
                <w:i/>
              </w:rPr>
              <w:t>riorityCoordInfoExplicit</w:t>
            </w:r>
          </w:p>
          <w:p w14:paraId="3F0FD737" w14:textId="3AE300D2" w:rsidR="006F46B2" w:rsidRPr="00FA0D37" w:rsidRDefault="0007748F" w:rsidP="00771058">
            <w:pPr>
              <w:pStyle w:val="TAL"/>
              <w:rPr>
                <w:b/>
                <w:i/>
              </w:rPr>
            </w:pPr>
            <w:r w:rsidRPr="00FA0D37">
              <w:t xml:space="preserve">Parameter used to determine </w:t>
            </w:r>
            <w:r w:rsidR="00E36B13" w:rsidRPr="00FA0D37">
              <w:t xml:space="preserve">the priority values </w:t>
            </w:r>
            <w:r w:rsidRPr="00FA0D37">
              <w:t xml:space="preserve">for the purpose defined in TS 38.213 [13] and TS 38.214 [19] including, </w:t>
            </w:r>
            <w:r w:rsidR="006F46B2" w:rsidRPr="00FA0D37">
              <w:t xml:space="preserve">the priority value </w:t>
            </w:r>
            <w:r w:rsidRPr="00FA0D37">
              <w:t xml:space="preserve">for sensing and candidate resource (re-)selection for transmitting the TB carrying the IUC MAC CE and the priority value in the SCI Format 1-A corresponding to the TB carrying the IUC MAC CE, </w:t>
            </w:r>
            <w:r w:rsidR="006F46B2" w:rsidRPr="00FA0D37">
              <w:t>triggered by an explicit request in Scheme 1.</w:t>
            </w:r>
            <w:r w:rsidR="00E36B13" w:rsidRPr="00FA0D37">
              <w:t xml:space="preserve"> The priority value of IUC MAC CE used in LCP procedure (see TS 38.321 [3]) is fixed as "1".</w:t>
            </w:r>
          </w:p>
        </w:tc>
      </w:tr>
      <w:tr w:rsidR="005C7FF4" w:rsidRPr="00FA0D37" w14:paraId="7A1BD681"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FA2D87F" w14:textId="77777777" w:rsidR="006F46B2" w:rsidRPr="00FA0D37" w:rsidRDefault="006F46B2" w:rsidP="00771058">
            <w:pPr>
              <w:pStyle w:val="TAL"/>
              <w:rPr>
                <w:b/>
                <w:i/>
              </w:rPr>
            </w:pPr>
            <w:r w:rsidRPr="00FA0D37">
              <w:rPr>
                <w:b/>
                <w:bCs/>
                <w:i/>
                <w:iCs/>
                <w:lang w:eastAsia="sv-SE"/>
              </w:rPr>
              <w:t>sl-P</w:t>
            </w:r>
            <w:r w:rsidRPr="00FA0D37">
              <w:rPr>
                <w:b/>
                <w:i/>
              </w:rPr>
              <w:t>riorityPreferredResourceSet</w:t>
            </w:r>
          </w:p>
          <w:p w14:paraId="15585E06" w14:textId="2B650E69" w:rsidR="006F46B2" w:rsidRPr="00FA0D37" w:rsidRDefault="006F46B2" w:rsidP="00771058">
            <w:pPr>
              <w:pStyle w:val="TAL"/>
              <w:rPr>
                <w:b/>
                <w:i/>
              </w:rPr>
            </w:pPr>
            <w:r w:rsidRPr="00FA0D37">
              <w:t>Indicates the priority value used for determining the preferred resource set in Scheme 1 when the inter-UE coordination information transmission is triggered by a condition other than explicit request reception.</w:t>
            </w:r>
          </w:p>
        </w:tc>
      </w:tr>
      <w:tr w:rsidR="005C7FF4" w:rsidRPr="00FA0D37" w14:paraId="2BD9A799"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011A43" w14:textId="77777777" w:rsidR="006F46B2" w:rsidRPr="00FA0D37" w:rsidRDefault="006F46B2" w:rsidP="00771058">
            <w:pPr>
              <w:pStyle w:val="TAL"/>
              <w:rPr>
                <w:b/>
                <w:i/>
              </w:rPr>
            </w:pPr>
            <w:r w:rsidRPr="00FA0D37">
              <w:rPr>
                <w:b/>
                <w:bCs/>
                <w:i/>
                <w:iCs/>
                <w:lang w:eastAsia="sv-SE"/>
              </w:rPr>
              <w:t>sl-P</w:t>
            </w:r>
            <w:r w:rsidRPr="00FA0D37">
              <w:rPr>
                <w:b/>
                <w:i/>
              </w:rPr>
              <w:t>riorityRequest</w:t>
            </w:r>
          </w:p>
          <w:p w14:paraId="5A593882" w14:textId="31A33D99" w:rsidR="006F46B2" w:rsidRPr="00FA0D37" w:rsidRDefault="002E7B14" w:rsidP="00771058">
            <w:pPr>
              <w:pStyle w:val="TAL"/>
              <w:rPr>
                <w:b/>
                <w:i/>
              </w:rPr>
            </w:pPr>
            <w:r w:rsidRPr="00FA0D37">
              <w:t xml:space="preserve">Parameter used to determine </w:t>
            </w:r>
            <w:r w:rsidR="00E36B13" w:rsidRPr="00FA0D37">
              <w:t xml:space="preserve">the priority values </w:t>
            </w:r>
            <w:r w:rsidRPr="00FA0D37">
              <w:t xml:space="preserve">for the purpose defined in TS 38.213 [13] and TS 38.214 [19] including, </w:t>
            </w:r>
            <w:r w:rsidR="006F46B2" w:rsidRPr="00FA0D37">
              <w:t xml:space="preserve">the priority value </w:t>
            </w:r>
            <w:r w:rsidRPr="00FA0D37">
              <w:t>for sensing and candidate resource (re-)selection for transmitting the TB carrying the IUC request MAC CE and the priority value in the SCI Format 1-A corresponding to the TB carrying the IUC request MAC CE,</w:t>
            </w:r>
            <w:r w:rsidR="006F46B2" w:rsidRPr="00FA0D37">
              <w:t xml:space="preserve"> </w:t>
            </w:r>
            <w:r w:rsidRPr="00FA0D37">
              <w:t xml:space="preserve">in </w:t>
            </w:r>
            <w:r w:rsidR="006F46B2" w:rsidRPr="00FA0D37">
              <w:t>an explicit request for inter-UE coordination information in Scheme 1.</w:t>
            </w:r>
            <w:r w:rsidRPr="00FA0D37">
              <w:t xml:space="preserve"> The priority value of IUC request MAC CE used in LCP procedure (see TS 38.321 [3]) is fixed as "1".</w:t>
            </w:r>
          </w:p>
        </w:tc>
      </w:tr>
      <w:tr w:rsidR="005C7FF4" w:rsidRPr="00FA0D37" w14:paraId="40E30621"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7FF604A" w14:textId="77777777" w:rsidR="006F46B2" w:rsidRPr="00FA0D37" w:rsidRDefault="006F46B2" w:rsidP="00771058">
            <w:pPr>
              <w:pStyle w:val="TAL"/>
              <w:rPr>
                <w:b/>
                <w:i/>
              </w:rPr>
            </w:pPr>
            <w:r w:rsidRPr="00FA0D37">
              <w:rPr>
                <w:b/>
                <w:bCs/>
                <w:i/>
                <w:iCs/>
                <w:lang w:eastAsia="sv-SE"/>
              </w:rPr>
              <w:t>sl-R</w:t>
            </w:r>
            <w:r w:rsidRPr="00FA0D37">
              <w:rPr>
                <w:b/>
                <w:i/>
              </w:rPr>
              <w:t>eservedPeriodPreferredResourceSet</w:t>
            </w:r>
          </w:p>
          <w:p w14:paraId="7B1DCA33" w14:textId="77777777" w:rsidR="006F46B2" w:rsidRPr="00FA0D37" w:rsidRDefault="006F46B2" w:rsidP="00771058">
            <w:pPr>
              <w:pStyle w:val="TAL"/>
              <w:rPr>
                <w:b/>
                <w:i/>
              </w:rPr>
            </w:pPr>
            <w:r w:rsidRPr="00FA0D37">
              <w:t>Indicates the resource reservation interval used for determining the preferred resource set in Scheme 1 when the inter-UE coordination information transmission is triggered by a condition,</w:t>
            </w:r>
            <w:r w:rsidRPr="00FA0D37">
              <w:rPr>
                <w:bCs/>
                <w:kern w:val="2"/>
                <w:lang w:eastAsia="en-GB"/>
              </w:rPr>
              <w:t xml:space="preserve"> by means of an index to the corresponding entry of </w:t>
            </w:r>
            <w:r w:rsidRPr="00FA0D37">
              <w:rPr>
                <w:bCs/>
                <w:i/>
                <w:iCs/>
                <w:kern w:val="2"/>
                <w:lang w:eastAsia="en-GB"/>
              </w:rPr>
              <w:t>sl-ResourceReservePeriodList-r16</w:t>
            </w:r>
            <w:r w:rsidRPr="00FA0D37">
              <w:rPr>
                <w:bCs/>
                <w:kern w:val="2"/>
                <w:lang w:eastAsia="en-GB"/>
              </w:rPr>
              <w:t>.</w:t>
            </w:r>
            <w:r w:rsidRPr="00FA0D37">
              <w:t xml:space="preserve"> </w:t>
            </w:r>
          </w:p>
        </w:tc>
      </w:tr>
      <w:tr w:rsidR="005C7FF4" w:rsidRPr="00FA0D37" w14:paraId="1BE35D86"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06F06B7" w14:textId="1DC77EDE" w:rsidR="006F46B2" w:rsidRPr="00FA0D37" w:rsidRDefault="006F46B2" w:rsidP="00771058">
            <w:pPr>
              <w:pStyle w:val="TAL"/>
              <w:rPr>
                <w:b/>
                <w:i/>
              </w:rPr>
            </w:pPr>
            <w:bookmarkStart w:id="1778" w:name="OLE_LINK7"/>
            <w:r w:rsidRPr="00FA0D37">
              <w:rPr>
                <w:b/>
                <w:bCs/>
                <w:i/>
                <w:iCs/>
                <w:lang w:eastAsia="sv-SE"/>
              </w:rPr>
              <w:lastRenderedPageBreak/>
              <w:t>sl-T</w:t>
            </w:r>
            <w:bookmarkEnd w:id="1778"/>
            <w:r w:rsidRPr="00FA0D37">
              <w:rPr>
                <w:b/>
                <w:i/>
              </w:rPr>
              <w:t>riggerConditionCoordInfo</w:t>
            </w:r>
          </w:p>
          <w:p w14:paraId="1E617572" w14:textId="50FE2822" w:rsidR="006F46B2" w:rsidRPr="00FA0D37" w:rsidRDefault="006F46B2" w:rsidP="00771058">
            <w:pPr>
              <w:pStyle w:val="TAL"/>
              <w:rPr>
                <w:b/>
                <w:i/>
              </w:rPr>
            </w:pPr>
            <w:r w:rsidRPr="00FA0D37">
              <w:t xml:space="preserve">Indicates the </w:t>
            </w:r>
            <w:r w:rsidR="002E7B14" w:rsidRPr="00FA0D37">
              <w:t xml:space="preserve">additional alternative </w:t>
            </w:r>
            <w:r w:rsidRPr="00FA0D37">
              <w:t xml:space="preserve">trigger condition of inter-UE coordination information </w:t>
            </w:r>
            <w:r w:rsidR="002E7B14" w:rsidRPr="00FA0D37">
              <w:t xml:space="preserve">triggered by a condition rather than request reception in Scheme-1 </w:t>
            </w:r>
            <w:r w:rsidRPr="00FA0D37">
              <w:t>from UE-A to UE-B. Value 0 means inter-UE coordination information is triggered by UE-A</w:t>
            </w:r>
            <w:r w:rsidR="00D537E2" w:rsidRPr="00FA0D37">
              <w:t>'</w:t>
            </w:r>
            <w:r w:rsidRPr="00FA0D37">
              <w:t xml:space="preserve">s implementation. Value 1 means inter-UE coordination information </w:t>
            </w:r>
            <w:r w:rsidR="002E7B14" w:rsidRPr="00FA0D37">
              <w:t>can be</w:t>
            </w:r>
            <w:r w:rsidRPr="00FA0D37">
              <w:t xml:space="preserve"> triggered only when UE-A has data to be transmitted together with the inter-UE coordination information to UE-B.</w:t>
            </w:r>
          </w:p>
        </w:tc>
      </w:tr>
      <w:tr w:rsidR="005C7FF4" w:rsidRPr="00FA0D37" w14:paraId="6A5DE240"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C879F9D" w14:textId="19E5BE70" w:rsidR="006F46B2" w:rsidRPr="00FA0D37" w:rsidRDefault="006F46B2" w:rsidP="00771058">
            <w:pPr>
              <w:pStyle w:val="TAL"/>
              <w:rPr>
                <w:b/>
                <w:i/>
              </w:rPr>
            </w:pPr>
            <w:r w:rsidRPr="00FA0D37">
              <w:rPr>
                <w:b/>
                <w:bCs/>
                <w:i/>
                <w:iCs/>
                <w:lang w:eastAsia="sv-SE"/>
              </w:rPr>
              <w:t>sl-T</w:t>
            </w:r>
            <w:r w:rsidRPr="00FA0D37">
              <w:rPr>
                <w:b/>
                <w:i/>
              </w:rPr>
              <w:t>riggerConditionRequest</w:t>
            </w:r>
          </w:p>
          <w:p w14:paraId="7A03443D" w14:textId="41567B8B" w:rsidR="006F46B2" w:rsidRPr="00FA0D37" w:rsidRDefault="006F46B2" w:rsidP="00771058">
            <w:pPr>
              <w:pStyle w:val="TAL"/>
              <w:rPr>
                <w:b/>
                <w:bCs/>
                <w:i/>
                <w:iCs/>
                <w:lang w:eastAsia="en-GB"/>
              </w:rPr>
            </w:pPr>
            <w:r w:rsidRPr="00FA0D37">
              <w:t>Indicates the trigger condition of an explicit request from UE-B to UE-A. Value 0 means the explicit request is triggered by UE-B</w:t>
            </w:r>
            <w:r w:rsidR="00D537E2" w:rsidRPr="00FA0D37">
              <w:t>'</w:t>
            </w:r>
            <w:r w:rsidRPr="00FA0D37">
              <w:t xml:space="preserve">s implementation. Value 1 means the explicit request </w:t>
            </w:r>
            <w:r w:rsidR="002E7B14" w:rsidRPr="00FA0D37">
              <w:t>can be</w:t>
            </w:r>
            <w:r w:rsidRPr="00FA0D37">
              <w:t xml:space="preserve"> triggered only when UE-B has data to be transmitted to UE-A.</w:t>
            </w:r>
          </w:p>
        </w:tc>
      </w:tr>
      <w:tr w:rsidR="005C7FF4" w:rsidRPr="00FA0D37" w14:paraId="0D51E213"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EBDA876" w14:textId="42282A26" w:rsidR="006F46B2" w:rsidRPr="00FA0D37" w:rsidRDefault="006F46B2" w:rsidP="00771058">
            <w:pPr>
              <w:pStyle w:val="TAL"/>
              <w:rPr>
                <w:b/>
                <w:bCs/>
                <w:i/>
                <w:iCs/>
                <w:lang w:eastAsia="en-GB"/>
              </w:rPr>
            </w:pPr>
            <w:bookmarkStart w:id="1779" w:name="OLE_LINK44"/>
            <w:r w:rsidRPr="00FA0D37">
              <w:rPr>
                <w:b/>
                <w:bCs/>
                <w:i/>
                <w:iCs/>
                <w:lang w:eastAsia="sv-SE"/>
              </w:rPr>
              <w:t>sl-T</w:t>
            </w:r>
            <w:r w:rsidRPr="00FA0D37">
              <w:rPr>
                <w:b/>
                <w:bCs/>
                <w:i/>
                <w:iCs/>
                <w:lang w:eastAsia="en-GB"/>
              </w:rPr>
              <w:t>hresholdRSRP-Condition1-B-1-Option1List</w:t>
            </w:r>
            <w:bookmarkEnd w:id="1779"/>
          </w:p>
          <w:p w14:paraId="3CF49055" w14:textId="55B82EE0" w:rsidR="006F46B2" w:rsidRPr="00FA0D37" w:rsidRDefault="006F46B2" w:rsidP="00771058">
            <w:pPr>
              <w:pStyle w:val="TAL"/>
              <w:rPr>
                <w:lang w:eastAsia="sv-SE"/>
              </w:rPr>
            </w:pPr>
            <w:r w:rsidRPr="00FA0D37">
              <w:rPr>
                <w:lang w:eastAsia="sv-SE"/>
              </w:rPr>
              <w:t>Indicates the RSRP threshold used to determine reserved resource(s) of other UE(s) whose RSRP measurement is larger than it as the set of resource(s) non-preferred for UE-B</w:t>
            </w:r>
            <w:r w:rsidR="00D537E2" w:rsidRPr="00FA0D37">
              <w:rPr>
                <w:lang w:eastAsia="sv-SE"/>
              </w:rPr>
              <w:t>'</w:t>
            </w:r>
            <w:r w:rsidRPr="00FA0D37">
              <w:rPr>
                <w:lang w:eastAsia="sv-SE"/>
              </w:rPr>
              <w:t>s transmission</w:t>
            </w:r>
            <w:r w:rsidRPr="00FA0D37">
              <w:t xml:space="preserve"> </w:t>
            </w:r>
            <w:r w:rsidRPr="00FA0D37">
              <w:rPr>
                <w:lang w:eastAsia="sv-SE"/>
              </w:rPr>
              <w:t>for Condition 1-B-1 of Scheme 1, as specified in TS 38.214 [</w:t>
            </w:r>
            <w:r w:rsidR="008041FF" w:rsidRPr="00FA0D37">
              <w:rPr>
                <w:lang w:eastAsia="sv-SE"/>
              </w:rPr>
              <w:t>19</w:t>
            </w:r>
            <w:r w:rsidRPr="00FA0D37">
              <w:rPr>
                <w:lang w:eastAsia="sv-SE"/>
              </w:rPr>
              <w:t>]. Value 0 corresponds to minus infinity dBm, value 1 corresponds to -128dBm, value 2 corresponds to -126dBm, value n corresponds to (-128 + (n-1)*2) dBm and so on, value 66 corresponds to infinity dBm.</w:t>
            </w:r>
          </w:p>
        </w:tc>
      </w:tr>
      <w:tr w:rsidR="006F46B2" w:rsidRPr="00FA0D37" w14:paraId="123310A0"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95ABA89" w14:textId="4A8096DB" w:rsidR="006F46B2" w:rsidRPr="00FA0D37" w:rsidRDefault="006F46B2" w:rsidP="00771058">
            <w:pPr>
              <w:pStyle w:val="TAL"/>
              <w:rPr>
                <w:lang w:eastAsia="sv-SE"/>
              </w:rPr>
            </w:pPr>
            <w:r w:rsidRPr="00FA0D37">
              <w:rPr>
                <w:b/>
                <w:bCs/>
                <w:i/>
                <w:iCs/>
                <w:lang w:eastAsia="sv-SE"/>
              </w:rPr>
              <w:t>sl-T</w:t>
            </w:r>
            <w:r w:rsidRPr="00FA0D37">
              <w:rPr>
                <w:b/>
                <w:bCs/>
                <w:i/>
                <w:iCs/>
                <w:lang w:eastAsia="en-GB"/>
              </w:rPr>
              <w:t>hresholdRSRP-Condition1-B-1-Option2List</w:t>
            </w:r>
          </w:p>
          <w:p w14:paraId="48B2E61F" w14:textId="7C683E7B" w:rsidR="006F46B2" w:rsidRPr="00FA0D37" w:rsidRDefault="006F46B2" w:rsidP="00771058">
            <w:pPr>
              <w:pStyle w:val="TAL"/>
              <w:rPr>
                <w:lang w:eastAsia="sv-SE"/>
              </w:rPr>
            </w:pPr>
            <w:r w:rsidRPr="00FA0D37">
              <w:rPr>
                <w:lang w:eastAsia="sv-SE"/>
              </w:rPr>
              <w:t>Indicates the RSRP threshold used to determine reserved resource(s) of other UE(s) whose RSRP measurement is smaller than it as the set of resource(s) non-preferred for UE-B</w:t>
            </w:r>
            <w:r w:rsidR="00D537E2" w:rsidRPr="00FA0D37">
              <w:rPr>
                <w:lang w:eastAsia="sv-SE"/>
              </w:rPr>
              <w:t>'</w:t>
            </w:r>
            <w:r w:rsidRPr="00FA0D37">
              <w:rPr>
                <w:lang w:eastAsia="sv-SE"/>
              </w:rPr>
              <w:t>s transmission</w:t>
            </w:r>
            <w:r w:rsidRPr="00FA0D37">
              <w:t xml:space="preserve"> </w:t>
            </w:r>
            <w:r w:rsidRPr="00FA0D37">
              <w:rPr>
                <w:lang w:eastAsia="sv-SE"/>
              </w:rPr>
              <w:t>for Condition 1-B-1 of Scheme 1, as specified in TS 38.214 [</w:t>
            </w:r>
            <w:r w:rsidR="008041FF" w:rsidRPr="00FA0D37">
              <w:rPr>
                <w:lang w:eastAsia="sv-SE"/>
              </w:rPr>
              <w:t>19</w:t>
            </w:r>
            <w:r w:rsidRPr="00FA0D37">
              <w:rPr>
                <w:lang w:eastAsia="sv-SE"/>
              </w:rPr>
              <w:t>]. Value 0 corresponds to minus infinity dBm, value 1 corresponds to -128dBm, value 2 corresponds to -126dBm, value n corresponds to (-128 + (n-1)*2) dBm and so on, value 66 corresponds to infinity dBm.</w:t>
            </w:r>
          </w:p>
        </w:tc>
      </w:tr>
    </w:tbl>
    <w:p w14:paraId="57E97926" w14:textId="77777777" w:rsidR="006F46B2" w:rsidRPr="00FA0D37" w:rsidRDefault="006F46B2" w:rsidP="006F46B2">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5E0F0144"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2D986A4" w14:textId="77777777" w:rsidR="006F46B2" w:rsidRPr="00FA0D37" w:rsidRDefault="006F46B2" w:rsidP="00771058">
            <w:pPr>
              <w:pStyle w:val="TAH"/>
              <w:rPr>
                <w:lang w:eastAsia="en-GB"/>
              </w:rPr>
            </w:pPr>
            <w:r w:rsidRPr="00FA0D37">
              <w:rPr>
                <w:i/>
                <w:iCs/>
                <w:noProof/>
                <w:lang w:eastAsia="en-GB"/>
              </w:rPr>
              <w:t>SL-InterUE-CoordinationScheme2</w:t>
            </w:r>
            <w:r w:rsidRPr="00FA0D37">
              <w:rPr>
                <w:noProof/>
                <w:lang w:eastAsia="en-GB"/>
              </w:rPr>
              <w:t xml:space="preserve"> </w:t>
            </w:r>
            <w:r w:rsidRPr="00FA0D37">
              <w:rPr>
                <w:iCs/>
                <w:noProof/>
                <w:lang w:eastAsia="en-GB"/>
              </w:rPr>
              <w:t>field descriptions</w:t>
            </w:r>
          </w:p>
        </w:tc>
      </w:tr>
      <w:tr w:rsidR="005C7FF4" w:rsidRPr="00FA0D37" w14:paraId="5086912E" w14:textId="77777777" w:rsidTr="0071565C">
        <w:tblPrEx>
          <w:tblLook w:val="04A0" w:firstRow="1" w:lastRow="0" w:firstColumn="1" w:lastColumn="0" w:noHBand="0" w:noVBand="1"/>
        </w:tblPrEx>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F316C26" w14:textId="77777777" w:rsidR="002E7B14" w:rsidRPr="00FA0D37" w:rsidRDefault="002E7B14" w:rsidP="0071565C">
            <w:pPr>
              <w:pStyle w:val="TAL"/>
              <w:rPr>
                <w:b/>
                <w:i/>
                <w:lang w:eastAsia="sv-SE"/>
              </w:rPr>
            </w:pPr>
            <w:bookmarkStart w:id="1780" w:name="_Hlk112586157"/>
            <w:r w:rsidRPr="00FA0D37">
              <w:rPr>
                <w:b/>
                <w:i/>
                <w:lang w:eastAsia="sv-SE"/>
              </w:rPr>
              <w:t>sl-DeltaRSRP-Thresh</w:t>
            </w:r>
          </w:p>
          <w:bookmarkEnd w:id="1780"/>
          <w:p w14:paraId="160ECACB" w14:textId="4A409093" w:rsidR="002E7B14" w:rsidRPr="00FA0D37" w:rsidRDefault="002E7B14" w:rsidP="0071565C">
            <w:pPr>
              <w:pStyle w:val="TAL"/>
              <w:rPr>
                <w:b/>
                <w:i/>
                <w:lang w:eastAsia="sv-SE"/>
              </w:rPr>
            </w:pPr>
            <w:r w:rsidRPr="00FA0D37">
              <w:rPr>
                <w:lang w:eastAsia="sv-SE"/>
              </w:rPr>
              <w:t xml:space="preserve">Indicates the RSRP threshold delta value corresponding to </w:t>
            </w:r>
            <w:r w:rsidRPr="00FA0D37">
              <w:rPr>
                <w:i/>
                <w:lang w:eastAsia="sv-SE"/>
              </w:rPr>
              <w:t>deltaRSRPThresh</w:t>
            </w:r>
            <w:r w:rsidRPr="00FA0D37">
              <w:rPr>
                <w:lang w:eastAsia="sv-SE"/>
              </w:rPr>
              <w:t xml:space="preserve"> specified in clause 16.3.0 of TS 38.213 [13] </w:t>
            </w:r>
            <w:r w:rsidR="00750AB7" w:rsidRPr="00FA0D37">
              <w:rPr>
                <w:lang w:eastAsia="sv-SE"/>
              </w:rPr>
              <w:t xml:space="preserve">and </w:t>
            </w:r>
            <w:r w:rsidRPr="00FA0D37">
              <w:rPr>
                <w:lang w:eastAsia="sv-SE"/>
              </w:rPr>
              <w:t>used to determine reserved resource(s) of other UE(s). Value in dB. Only even values (step size 2) allowed.</w:t>
            </w:r>
          </w:p>
        </w:tc>
      </w:tr>
      <w:tr w:rsidR="005C7FF4" w:rsidRPr="00FA0D37" w14:paraId="180C05EE"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0B076AF" w14:textId="77777777" w:rsidR="006F46B2" w:rsidRPr="00FA0D37" w:rsidRDefault="006F46B2" w:rsidP="006F46B2">
            <w:pPr>
              <w:pStyle w:val="TAL"/>
              <w:rPr>
                <w:b/>
                <w:i/>
              </w:rPr>
            </w:pPr>
            <w:r w:rsidRPr="00FA0D37">
              <w:rPr>
                <w:b/>
                <w:i/>
                <w:lang w:eastAsia="sv-SE"/>
              </w:rPr>
              <w:t>sl-I</w:t>
            </w:r>
            <w:r w:rsidRPr="00FA0D37">
              <w:rPr>
                <w:b/>
                <w:i/>
              </w:rPr>
              <w:t>ndicationUE-B</w:t>
            </w:r>
          </w:p>
          <w:p w14:paraId="0CC5B70C" w14:textId="77777777" w:rsidR="006F46B2" w:rsidRPr="00FA0D37" w:rsidRDefault="006F46B2" w:rsidP="000830BB">
            <w:pPr>
              <w:pStyle w:val="TAL"/>
              <w:rPr>
                <w:iCs/>
                <w:noProof/>
                <w:lang w:eastAsia="en-GB"/>
              </w:rPr>
            </w:pPr>
            <w:r w:rsidRPr="00FA0D37">
              <w:t>Indicates whether to enable or disable the usage of 1 LSB of reserved bits of a SCI format 1-A to indicate of whether UE scheduling a conflict TB can be UE-B or not.</w:t>
            </w:r>
          </w:p>
        </w:tc>
      </w:tr>
      <w:tr w:rsidR="005C7FF4" w:rsidRPr="00FA0D37" w14:paraId="78192E01"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04C2DC7" w14:textId="77777777" w:rsidR="006F46B2" w:rsidRPr="00FA0D37" w:rsidRDefault="006F46B2" w:rsidP="00771058">
            <w:pPr>
              <w:pStyle w:val="TAL"/>
              <w:rPr>
                <w:b/>
                <w:bCs/>
                <w:i/>
                <w:iCs/>
                <w:lang w:eastAsia="zh-CN"/>
              </w:rPr>
            </w:pPr>
            <w:r w:rsidRPr="00FA0D37">
              <w:rPr>
                <w:b/>
                <w:bCs/>
                <w:i/>
                <w:iCs/>
                <w:lang w:eastAsia="sv-SE"/>
              </w:rPr>
              <w:t>sl-IUC</w:t>
            </w:r>
            <w:r w:rsidRPr="00FA0D37">
              <w:rPr>
                <w:b/>
                <w:bCs/>
                <w:i/>
                <w:iCs/>
                <w:lang w:eastAsia="zh-CN"/>
              </w:rPr>
              <w:t>-Scheme2</w:t>
            </w:r>
          </w:p>
          <w:p w14:paraId="2584F0DE" w14:textId="5E7EF118" w:rsidR="006F46B2" w:rsidRPr="00FA0D37" w:rsidRDefault="006F46B2" w:rsidP="00771058">
            <w:pPr>
              <w:pStyle w:val="TAL"/>
              <w:rPr>
                <w:lang w:eastAsia="en-GB"/>
              </w:rPr>
            </w:pPr>
            <w:r w:rsidRPr="00FA0D37">
              <w:rPr>
                <w:bCs/>
                <w:kern w:val="2"/>
                <w:lang w:eastAsia="en-GB"/>
              </w:rPr>
              <w:t xml:space="preserve">Indicates whether inter-UE coordination </w:t>
            </w:r>
            <w:r w:rsidR="00E36B13" w:rsidRPr="00FA0D37">
              <w:rPr>
                <w:bCs/>
                <w:kern w:val="2"/>
                <w:lang w:eastAsia="en-GB"/>
              </w:rPr>
              <w:t>S</w:t>
            </w:r>
            <w:r w:rsidRPr="00FA0D37">
              <w:rPr>
                <w:bCs/>
                <w:kern w:val="2"/>
                <w:lang w:eastAsia="en-GB"/>
              </w:rPr>
              <w:t>cheme 2 is enabled or not.</w:t>
            </w:r>
          </w:p>
        </w:tc>
      </w:tr>
      <w:tr w:rsidR="005C7FF4" w:rsidRPr="00FA0D37" w14:paraId="2B4EEC06"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906CB24" w14:textId="77777777" w:rsidR="006F46B2" w:rsidRPr="00FA0D37" w:rsidRDefault="006F46B2" w:rsidP="00771058">
            <w:pPr>
              <w:pStyle w:val="TAL"/>
              <w:rPr>
                <w:b/>
                <w:i/>
              </w:rPr>
            </w:pPr>
            <w:r w:rsidRPr="00FA0D37">
              <w:rPr>
                <w:b/>
                <w:bCs/>
                <w:i/>
                <w:iCs/>
                <w:lang w:eastAsia="sv-SE"/>
              </w:rPr>
              <w:t>sl-O</w:t>
            </w:r>
            <w:r w:rsidRPr="00FA0D37">
              <w:rPr>
                <w:b/>
                <w:i/>
              </w:rPr>
              <w:t>ptionForCondition2-A-1</w:t>
            </w:r>
          </w:p>
          <w:p w14:paraId="14AC2688" w14:textId="288586A4" w:rsidR="006F46B2" w:rsidRPr="00FA0D37" w:rsidRDefault="006F46B2" w:rsidP="00771058">
            <w:pPr>
              <w:pStyle w:val="TAL"/>
              <w:rPr>
                <w:b/>
                <w:bCs/>
                <w:i/>
                <w:iCs/>
                <w:lang w:eastAsia="zh-CN"/>
              </w:rPr>
            </w:pPr>
            <w:r w:rsidRPr="00FA0D37">
              <w:t xml:space="preserve">Indicates the RSRP threshold used to consider additional criteria for condition 2-A-1. Value 0 corresponds to </w:t>
            </w:r>
            <w:r w:rsidR="002E7B14" w:rsidRPr="00FA0D37">
              <w:t xml:space="preserve">using </w:t>
            </w:r>
            <w:r w:rsidRPr="00FA0D37">
              <w:t>the RSRP threshold according to the priorities included in the SCI</w:t>
            </w:r>
            <w:r w:rsidR="002E7B14" w:rsidRPr="00FA0D37">
              <w:t xml:space="preserve">, UE uses thresholds </w:t>
            </w:r>
            <w:r w:rsidR="002E7B14" w:rsidRPr="00FA0D37">
              <w:rPr>
                <w:i/>
              </w:rPr>
              <w:t>sl-Thres-RSRP-List</w:t>
            </w:r>
            <w:r w:rsidR="002E7B14" w:rsidRPr="00FA0D37">
              <w:t xml:space="preserve">, in its resource pool configuration </w:t>
            </w:r>
            <w:r w:rsidR="002E7B14" w:rsidRPr="00FA0D37">
              <w:rPr>
                <w:i/>
              </w:rPr>
              <w:t>sl-UE-SelectedConfigRP</w:t>
            </w:r>
            <w:r w:rsidR="002E7B14" w:rsidRPr="00FA0D37">
              <w:t xml:space="preserve">, </w:t>
            </w:r>
            <w:bookmarkStart w:id="1781" w:name="_Hlk112587119"/>
            <w:r w:rsidR="002E7B14" w:rsidRPr="00FA0D37">
              <w:t xml:space="preserve">corresponding to </w:t>
            </w:r>
            <w:bookmarkEnd w:id="1781"/>
            <w:r w:rsidR="002E7B14" w:rsidRPr="00FA0D37">
              <w:rPr>
                <w:i/>
              </w:rPr>
              <w:t>ThresPSSCH-RSRP-List</w:t>
            </w:r>
            <w:r w:rsidR="002E7B14" w:rsidRPr="00FA0D37">
              <w:t xml:space="preserve"> specified in clause 16.3.0 of TS 38.213 [13]</w:t>
            </w:r>
            <w:r w:rsidRPr="00FA0D37">
              <w:t xml:space="preserve">. Value 1 corresponds to </w:t>
            </w:r>
            <w:r w:rsidR="002E7B14" w:rsidRPr="00FA0D37">
              <w:t xml:space="preserve">using </w:t>
            </w:r>
            <w:r w:rsidRPr="00FA0D37">
              <w:t xml:space="preserve">a (pre)configured RSRP threshold </w:t>
            </w:r>
            <w:r w:rsidR="002E7B14" w:rsidRPr="00FA0D37">
              <w:t xml:space="preserve">delta value </w:t>
            </w:r>
            <w:r w:rsidR="002E7B14" w:rsidRPr="00FA0D37">
              <w:rPr>
                <w:i/>
              </w:rPr>
              <w:t xml:space="preserve">sl-DeltaRSRP-Thresh, </w:t>
            </w:r>
            <w:r w:rsidR="002E7B14" w:rsidRPr="00FA0D37">
              <w:t xml:space="preserve">corresponding to </w:t>
            </w:r>
            <w:r w:rsidR="002E7B14" w:rsidRPr="00FA0D37">
              <w:rPr>
                <w:i/>
              </w:rPr>
              <w:t>deltaRSRPThresh</w:t>
            </w:r>
            <w:r w:rsidR="002E7B14" w:rsidRPr="00FA0D37">
              <w:t xml:space="preserve"> specified in clause 16.3.0 of TS 38.213 [13]</w:t>
            </w:r>
            <w:r w:rsidRPr="00FA0D37">
              <w:t>.</w:t>
            </w:r>
          </w:p>
        </w:tc>
      </w:tr>
      <w:tr w:rsidR="005C7FF4" w:rsidRPr="00FA0D37" w14:paraId="7A9C72C0"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DC17A00" w14:textId="77777777" w:rsidR="006F46B2" w:rsidRPr="00FA0D37" w:rsidRDefault="006F46B2" w:rsidP="00771058">
            <w:pPr>
              <w:pStyle w:val="TAL"/>
              <w:rPr>
                <w:b/>
                <w:i/>
              </w:rPr>
            </w:pPr>
            <w:r w:rsidRPr="00FA0D37">
              <w:rPr>
                <w:b/>
                <w:bCs/>
                <w:i/>
                <w:iCs/>
                <w:lang w:eastAsia="sv-SE"/>
              </w:rPr>
              <w:t>sl-PSFCH-</w:t>
            </w:r>
            <w:r w:rsidRPr="00FA0D37">
              <w:rPr>
                <w:b/>
                <w:i/>
              </w:rPr>
              <w:t>Occasion</w:t>
            </w:r>
          </w:p>
          <w:p w14:paraId="527200FB" w14:textId="5A17B434" w:rsidR="006F46B2" w:rsidRPr="00FA0D37" w:rsidRDefault="006F46B2" w:rsidP="00771058">
            <w:pPr>
              <w:pStyle w:val="TAL"/>
              <w:rPr>
                <w:b/>
                <w:bCs/>
                <w:i/>
                <w:iCs/>
                <w:lang w:eastAsia="zh-CN"/>
              </w:rPr>
            </w:pPr>
            <w:r w:rsidRPr="00FA0D37">
              <w:t>Indicates the reference slot from which a PSFCH occasion for inter-UE coordination information transmission is derived. Value 0 corresponds to the slot where UE-B</w:t>
            </w:r>
            <w:r w:rsidR="00D537E2" w:rsidRPr="00FA0D37">
              <w:t>'</w:t>
            </w:r>
            <w:r w:rsidRPr="00FA0D37">
              <w:t>s SCI is transmitted and value 1 corresponds to the slot where expected/potential resource conflict occurs on PSSCH resource indicated by UE-B</w:t>
            </w:r>
            <w:r w:rsidR="00D537E2" w:rsidRPr="00FA0D37">
              <w:t>'</w:t>
            </w:r>
            <w:r w:rsidRPr="00FA0D37">
              <w:t>s SCI.</w:t>
            </w:r>
          </w:p>
        </w:tc>
      </w:tr>
      <w:tr w:rsidR="005C7FF4" w:rsidRPr="00FA0D37" w14:paraId="1E2F4308"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EB1A39" w14:textId="77777777" w:rsidR="006F46B2" w:rsidRPr="00FA0D37" w:rsidRDefault="006F46B2" w:rsidP="00771058">
            <w:pPr>
              <w:pStyle w:val="TAL"/>
              <w:rPr>
                <w:b/>
                <w:bCs/>
                <w:i/>
                <w:iCs/>
                <w:lang w:eastAsia="en-GB"/>
              </w:rPr>
            </w:pPr>
            <w:r w:rsidRPr="00FA0D37">
              <w:rPr>
                <w:b/>
                <w:bCs/>
                <w:i/>
                <w:iCs/>
                <w:lang w:eastAsia="sv-SE"/>
              </w:rPr>
              <w:t>sl-RB-</w:t>
            </w:r>
            <w:r w:rsidRPr="00FA0D37">
              <w:rPr>
                <w:b/>
                <w:bCs/>
                <w:i/>
                <w:iCs/>
                <w:lang w:eastAsia="en-GB"/>
              </w:rPr>
              <w:t>SetPSFCH</w:t>
            </w:r>
          </w:p>
          <w:p w14:paraId="7C59DAE3" w14:textId="77777777" w:rsidR="006F46B2" w:rsidRPr="00FA0D37" w:rsidRDefault="006F46B2" w:rsidP="00771058">
            <w:pPr>
              <w:pStyle w:val="TAL"/>
              <w:rPr>
                <w:lang w:eastAsia="en-GB"/>
              </w:rPr>
            </w:pPr>
            <w:r w:rsidRPr="00FA0D37">
              <w:rPr>
                <w:lang w:eastAsia="sv-SE"/>
              </w:rPr>
              <w:t>Indicates the set of PRBs that are actually used for inter-UE coordination information transmission and reception in Scheme 2. The leftmost bit of the bitmap refers to the lowest RB index in the resource pool, and so on.</w:t>
            </w:r>
          </w:p>
        </w:tc>
      </w:tr>
      <w:tr w:rsidR="005C7FF4" w:rsidRPr="00FA0D37" w14:paraId="02EF9667"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2B5A75" w14:textId="77777777" w:rsidR="006F46B2" w:rsidRPr="00FA0D37" w:rsidRDefault="006F46B2" w:rsidP="006F46B2">
            <w:pPr>
              <w:pStyle w:val="TAL"/>
              <w:rPr>
                <w:b/>
                <w:i/>
              </w:rPr>
            </w:pPr>
            <w:r w:rsidRPr="00FA0D37">
              <w:rPr>
                <w:b/>
                <w:i/>
                <w:lang w:eastAsia="sv-SE"/>
              </w:rPr>
              <w:t>sl-S</w:t>
            </w:r>
            <w:r w:rsidRPr="00FA0D37">
              <w:rPr>
                <w:b/>
                <w:i/>
              </w:rPr>
              <w:t>lotLevelResourceExclusion</w:t>
            </w:r>
          </w:p>
          <w:p w14:paraId="1839F819" w14:textId="28F9FFFE" w:rsidR="006F46B2" w:rsidRPr="00FA0D37" w:rsidRDefault="006F46B2" w:rsidP="00AE6F6C">
            <w:pPr>
              <w:pStyle w:val="TAL"/>
              <w:rPr>
                <w:bCs/>
                <w:iCs/>
                <w:lang w:eastAsia="en-GB"/>
              </w:rPr>
            </w:pPr>
            <w:r w:rsidRPr="00FA0D37">
              <w:t>Indicates that physical layer of UE-B reports resources in a slot including the next reserved resource indicated by the corresponding UE-B</w:t>
            </w:r>
            <w:r w:rsidR="00D537E2" w:rsidRPr="00FA0D37">
              <w:t>'</w:t>
            </w:r>
            <w:r w:rsidRPr="00FA0D37">
              <w:t>s SCI to higher layer</w:t>
            </w:r>
            <w:r w:rsidRPr="00FA0D37">
              <w:rPr>
                <w:rFonts w:ascii="等线" w:eastAsia="等线" w:hAnsi="等线"/>
                <w:lang w:eastAsia="zh-CN"/>
              </w:rPr>
              <w:t>.</w:t>
            </w:r>
          </w:p>
        </w:tc>
      </w:tr>
      <w:tr w:rsidR="000830BB" w:rsidRPr="00FA0D37" w14:paraId="7A113F6E"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698D30" w14:textId="77777777" w:rsidR="006F46B2" w:rsidRPr="00FA0D37" w:rsidRDefault="006F46B2" w:rsidP="00771058">
            <w:pPr>
              <w:pStyle w:val="TAL"/>
              <w:rPr>
                <w:b/>
                <w:bCs/>
                <w:i/>
                <w:iCs/>
                <w:lang w:eastAsia="en-GB"/>
              </w:rPr>
            </w:pPr>
            <w:r w:rsidRPr="00FA0D37">
              <w:rPr>
                <w:b/>
                <w:bCs/>
                <w:i/>
                <w:iCs/>
                <w:lang w:eastAsia="sv-SE"/>
              </w:rPr>
              <w:t>sl-T</w:t>
            </w:r>
            <w:r w:rsidRPr="00FA0D37">
              <w:rPr>
                <w:b/>
                <w:bCs/>
                <w:i/>
                <w:iCs/>
                <w:lang w:eastAsia="en-GB"/>
              </w:rPr>
              <w:t>ypeUE-A</w:t>
            </w:r>
          </w:p>
          <w:p w14:paraId="385A44E1" w14:textId="76CB7446" w:rsidR="006F46B2" w:rsidRPr="00FA0D37" w:rsidRDefault="006F46B2" w:rsidP="00771058">
            <w:pPr>
              <w:pStyle w:val="TAL"/>
              <w:rPr>
                <w:szCs w:val="22"/>
                <w:lang w:eastAsia="sv-SE"/>
              </w:rPr>
            </w:pPr>
            <w:r w:rsidRPr="00FA0D37">
              <w:rPr>
                <w:lang w:eastAsia="sv-SE"/>
              </w:rPr>
              <w:t>Indicates that a non-destination UE of a TB transmitted by UE-B can be UE-A which sends inter-UE coordination information to UE-B, when UE-A is a destination UE of another TB conflicting with the TB transmitted by UE-B</w:t>
            </w:r>
            <w:r w:rsidRPr="00FA0D37">
              <w:rPr>
                <w:szCs w:val="22"/>
                <w:lang w:eastAsia="sv-SE"/>
              </w:rPr>
              <w:t>.</w:t>
            </w:r>
          </w:p>
        </w:tc>
      </w:tr>
      <w:bookmarkEnd w:id="1753"/>
    </w:tbl>
    <w:p w14:paraId="42A7D365" w14:textId="77777777" w:rsidR="006F46B2" w:rsidRPr="00FA0D37" w:rsidRDefault="006F46B2" w:rsidP="00394471"/>
    <w:p w14:paraId="2BB1CC07" w14:textId="24436DB7" w:rsidR="00394471" w:rsidRPr="00FA0D37" w:rsidRDefault="00394471" w:rsidP="00394471">
      <w:pPr>
        <w:pStyle w:val="4"/>
      </w:pPr>
      <w:bookmarkStart w:id="1782" w:name="_Toc60777533"/>
      <w:bookmarkStart w:id="1783" w:name="_Toc146781652"/>
      <w:r w:rsidRPr="00FA0D37">
        <w:lastRenderedPageBreak/>
        <w:t>–</w:t>
      </w:r>
      <w:r w:rsidRPr="00FA0D37">
        <w:tab/>
      </w:r>
      <w:r w:rsidRPr="00FA0D37">
        <w:rPr>
          <w:i/>
          <w:iCs/>
        </w:rPr>
        <w:t>SL-LogicalChannelConfig</w:t>
      </w:r>
      <w:bookmarkEnd w:id="1782"/>
      <w:bookmarkEnd w:id="1783"/>
    </w:p>
    <w:p w14:paraId="5EECE4A2" w14:textId="77777777" w:rsidR="00394471" w:rsidRPr="00FA0D37" w:rsidRDefault="00394471" w:rsidP="00394471">
      <w:r w:rsidRPr="00FA0D37">
        <w:t xml:space="preserve">The IE </w:t>
      </w:r>
      <w:r w:rsidRPr="00FA0D37">
        <w:rPr>
          <w:i/>
        </w:rPr>
        <w:t>SL</w:t>
      </w:r>
      <w:r w:rsidRPr="00FA0D37">
        <w:t>-</w:t>
      </w:r>
      <w:r w:rsidRPr="00FA0D37">
        <w:rPr>
          <w:i/>
        </w:rPr>
        <w:t>LogicalChannelConfig</w:t>
      </w:r>
      <w:r w:rsidRPr="00FA0D37">
        <w:t xml:space="preserve"> is used to configure the sidelink logical channel parameters.</w:t>
      </w:r>
    </w:p>
    <w:p w14:paraId="410C0E9E" w14:textId="77777777" w:rsidR="00394471" w:rsidRPr="00FA0D37" w:rsidRDefault="00394471" w:rsidP="00394471">
      <w:pPr>
        <w:pStyle w:val="TH"/>
        <w:rPr>
          <w:b w:val="0"/>
        </w:rPr>
      </w:pPr>
      <w:r w:rsidRPr="00FA0D37">
        <w:rPr>
          <w:i/>
          <w:iCs/>
        </w:rPr>
        <w:t>SL-LogicalChannelConfig</w:t>
      </w:r>
      <w:r w:rsidRPr="00FA0D37">
        <w:t xml:space="preserve"> information element</w:t>
      </w:r>
    </w:p>
    <w:p w14:paraId="06998F3B" w14:textId="77777777" w:rsidR="00394471" w:rsidRPr="00FA0D37" w:rsidRDefault="00394471" w:rsidP="00FA0D37">
      <w:pPr>
        <w:pStyle w:val="PL"/>
        <w:rPr>
          <w:color w:val="808080"/>
        </w:rPr>
      </w:pPr>
      <w:r w:rsidRPr="00FA0D37">
        <w:rPr>
          <w:color w:val="808080"/>
        </w:rPr>
        <w:t>-- ASN1START</w:t>
      </w:r>
    </w:p>
    <w:p w14:paraId="4C187704" w14:textId="77777777" w:rsidR="00394471" w:rsidRPr="00FA0D37" w:rsidRDefault="00394471" w:rsidP="00FA0D37">
      <w:pPr>
        <w:pStyle w:val="PL"/>
        <w:rPr>
          <w:color w:val="808080"/>
        </w:rPr>
      </w:pPr>
      <w:r w:rsidRPr="00FA0D37">
        <w:rPr>
          <w:color w:val="808080"/>
        </w:rPr>
        <w:t>-- TAG-SL</w:t>
      </w:r>
      <w:r w:rsidRPr="00FA0D37">
        <w:rPr>
          <w:rFonts w:eastAsia="等线"/>
          <w:color w:val="808080"/>
        </w:rPr>
        <w:t>-</w:t>
      </w:r>
      <w:r w:rsidRPr="00FA0D37">
        <w:rPr>
          <w:color w:val="808080"/>
        </w:rPr>
        <w:t>LOGICALCHANNELCONFIG-START</w:t>
      </w:r>
    </w:p>
    <w:p w14:paraId="619AB136" w14:textId="77777777" w:rsidR="00394471" w:rsidRPr="00FA0D37" w:rsidRDefault="00394471" w:rsidP="00FA0D37">
      <w:pPr>
        <w:pStyle w:val="PL"/>
      </w:pPr>
    </w:p>
    <w:p w14:paraId="068D5FE1" w14:textId="77777777" w:rsidR="00394471" w:rsidRPr="00FA0D37" w:rsidRDefault="00394471" w:rsidP="00FA0D37">
      <w:pPr>
        <w:pStyle w:val="PL"/>
      </w:pPr>
      <w:r w:rsidRPr="00FA0D37">
        <w:t xml:space="preserve">SL-LogicalChannelConfig-r16 ::=            </w:t>
      </w:r>
      <w:r w:rsidRPr="00FA0D37">
        <w:rPr>
          <w:color w:val="993366"/>
        </w:rPr>
        <w:t>SEQUENCE</w:t>
      </w:r>
      <w:r w:rsidRPr="00FA0D37">
        <w:t xml:space="preserve"> {</w:t>
      </w:r>
    </w:p>
    <w:p w14:paraId="78A3E67E" w14:textId="77777777" w:rsidR="00394471" w:rsidRPr="00FA0D37" w:rsidRDefault="00394471" w:rsidP="00FA0D37">
      <w:pPr>
        <w:pStyle w:val="PL"/>
      </w:pPr>
      <w:r w:rsidRPr="00FA0D37">
        <w:t xml:space="preserve">    sl-Priority-r16                            </w:t>
      </w:r>
      <w:r w:rsidRPr="00FA0D37">
        <w:rPr>
          <w:color w:val="993366"/>
        </w:rPr>
        <w:t>INTEGER</w:t>
      </w:r>
      <w:r w:rsidRPr="00FA0D37">
        <w:t xml:space="preserve"> (1..8),</w:t>
      </w:r>
    </w:p>
    <w:p w14:paraId="42CE72F9" w14:textId="77777777" w:rsidR="00394471" w:rsidRPr="00FA0D37" w:rsidRDefault="00394471" w:rsidP="00FA0D37">
      <w:pPr>
        <w:pStyle w:val="PL"/>
      </w:pPr>
      <w:r w:rsidRPr="00FA0D37">
        <w:t xml:space="preserve">    sl-PrioritisedBitRate-r16                  </w:t>
      </w:r>
      <w:r w:rsidRPr="00FA0D37">
        <w:rPr>
          <w:color w:val="993366"/>
        </w:rPr>
        <w:t>ENUMERATED</w:t>
      </w:r>
      <w:r w:rsidRPr="00FA0D37">
        <w:t xml:space="preserve"> {kBps0, kBps8, kBps16, kBps32, kBps64, kBps128, kBps256, kBps512,</w:t>
      </w:r>
    </w:p>
    <w:p w14:paraId="051D9666" w14:textId="77777777" w:rsidR="00394471" w:rsidRPr="00FA0D37" w:rsidRDefault="00394471" w:rsidP="00FA0D37">
      <w:pPr>
        <w:pStyle w:val="PL"/>
      </w:pPr>
      <w:r w:rsidRPr="00FA0D37">
        <w:t xml:space="preserve">                                               kBps1024, kBps2048, kBps4096, kBps8192, kBps16384, kBps32768, kBps65536, infinity},</w:t>
      </w:r>
    </w:p>
    <w:p w14:paraId="5B1F75A9" w14:textId="77777777" w:rsidR="00394471" w:rsidRPr="00FA0D37" w:rsidRDefault="00394471" w:rsidP="00FA0D37">
      <w:pPr>
        <w:pStyle w:val="PL"/>
      </w:pPr>
      <w:r w:rsidRPr="00FA0D37">
        <w:t xml:space="preserve">    sl-BucketSizeDuration-r16                  </w:t>
      </w:r>
      <w:r w:rsidRPr="00FA0D37">
        <w:rPr>
          <w:color w:val="993366"/>
        </w:rPr>
        <w:t>ENUMERATED</w:t>
      </w:r>
      <w:r w:rsidRPr="00FA0D37">
        <w:t xml:space="preserve"> {ms5, ms10, ms20, ms50, ms100, ms150, ms300, ms500, ms1000,</w:t>
      </w:r>
    </w:p>
    <w:p w14:paraId="60F1AD7C" w14:textId="77777777" w:rsidR="00394471" w:rsidRPr="00FA0D37" w:rsidRDefault="00394471" w:rsidP="00FA0D37">
      <w:pPr>
        <w:pStyle w:val="PL"/>
      </w:pPr>
      <w:r w:rsidRPr="00FA0D37">
        <w:t xml:space="preserve">                                               spare7, spare6, spare5, spare4, spare3,spare2, spare1},</w:t>
      </w:r>
    </w:p>
    <w:p w14:paraId="329946C3" w14:textId="77777777" w:rsidR="00394471" w:rsidRPr="00FA0D37" w:rsidRDefault="00394471" w:rsidP="00FA0D37">
      <w:pPr>
        <w:pStyle w:val="PL"/>
        <w:rPr>
          <w:color w:val="808080"/>
        </w:rPr>
      </w:pPr>
      <w:r w:rsidRPr="00FA0D37">
        <w:t xml:space="preserve">    sl-ConfiguredGrantType1Allowed-r16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3D3C8314" w14:textId="77777777" w:rsidR="00394471" w:rsidRPr="00FA0D37" w:rsidRDefault="00394471" w:rsidP="00FA0D37">
      <w:pPr>
        <w:pStyle w:val="PL"/>
        <w:rPr>
          <w:color w:val="808080"/>
        </w:rPr>
      </w:pPr>
      <w:r w:rsidRPr="00FA0D37">
        <w:t xml:space="preserve">    sl-HARQ-FeedbackEnabled-r16                </w:t>
      </w:r>
      <w:r w:rsidRPr="00FA0D37">
        <w:rPr>
          <w:color w:val="993366"/>
        </w:rPr>
        <w:t>ENUMERATED</w:t>
      </w:r>
      <w:r w:rsidRPr="00FA0D37">
        <w:t xml:space="preserve"> {enabled, disabled }                                          </w:t>
      </w:r>
      <w:r w:rsidRPr="00FA0D37">
        <w:rPr>
          <w:color w:val="993366"/>
        </w:rPr>
        <w:t>OPTIONAL</w:t>
      </w:r>
      <w:r w:rsidRPr="00FA0D37">
        <w:t xml:space="preserve">,   </w:t>
      </w:r>
      <w:r w:rsidRPr="00FA0D37">
        <w:rPr>
          <w:color w:val="808080"/>
        </w:rPr>
        <w:t>-- Need R</w:t>
      </w:r>
    </w:p>
    <w:p w14:paraId="557D60BE" w14:textId="5CA00CEC" w:rsidR="00394471" w:rsidRPr="00FA0D37" w:rsidRDefault="00394471" w:rsidP="00FA0D37">
      <w:pPr>
        <w:pStyle w:val="PL"/>
      </w:pPr>
      <w:r w:rsidRPr="00FA0D37">
        <w:t xml:space="preserve">    sl-AllowedCG-List-r16                      </w:t>
      </w:r>
      <w:r w:rsidRPr="00FA0D37">
        <w:rPr>
          <w:color w:val="993366"/>
        </w:rPr>
        <w:t>SEQUENCE</w:t>
      </w:r>
      <w:r w:rsidRPr="00FA0D37">
        <w:t xml:space="preserve"> (</w:t>
      </w:r>
      <w:r w:rsidRPr="00FA0D37">
        <w:rPr>
          <w:color w:val="993366"/>
        </w:rPr>
        <w:t>SIZE</w:t>
      </w:r>
      <w:r w:rsidRPr="00FA0D37">
        <w:t xml:space="preserve"> (0.. maxNrofCG-SL-</w:t>
      </w:r>
      <w:r w:rsidR="00A371DB" w:rsidRPr="00FA0D37">
        <w:t>1-r16</w:t>
      </w:r>
      <w:r w:rsidRPr="00FA0D37">
        <w:t>))</w:t>
      </w:r>
      <w:r w:rsidRPr="00FA0D37">
        <w:rPr>
          <w:color w:val="993366"/>
        </w:rPr>
        <w:t xml:space="preserve"> OF</w:t>
      </w:r>
      <w:r w:rsidRPr="00FA0D37">
        <w:t xml:space="preserve"> SL-ConfigIndexCG-r16</w:t>
      </w:r>
    </w:p>
    <w:p w14:paraId="45F547FE"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R</w:t>
      </w:r>
    </w:p>
    <w:p w14:paraId="6DD7B57C" w14:textId="77777777" w:rsidR="00394471" w:rsidRPr="00FA0D37" w:rsidRDefault="00394471" w:rsidP="00FA0D37">
      <w:pPr>
        <w:pStyle w:val="PL"/>
        <w:rPr>
          <w:color w:val="808080"/>
        </w:rPr>
      </w:pPr>
      <w:r w:rsidRPr="00FA0D37">
        <w:t xml:space="preserve">    sl-AllowedSCS-List-r16                     </w:t>
      </w:r>
      <w:r w:rsidRPr="00FA0D37">
        <w:rPr>
          <w:color w:val="993366"/>
        </w:rPr>
        <w:t>SEQUENCE</w:t>
      </w:r>
      <w:r w:rsidRPr="00FA0D37">
        <w:t xml:space="preserve"> (</w:t>
      </w:r>
      <w:r w:rsidRPr="00FA0D37">
        <w:rPr>
          <w:color w:val="993366"/>
        </w:rPr>
        <w:t>SIZE</w:t>
      </w:r>
      <w:r w:rsidRPr="00FA0D37">
        <w:t xml:space="preserve"> (1..maxSCSs))</w:t>
      </w:r>
      <w:r w:rsidRPr="00FA0D37">
        <w:rPr>
          <w:color w:val="993366"/>
        </w:rPr>
        <w:t xml:space="preserve"> OF</w:t>
      </w:r>
      <w:r w:rsidRPr="00FA0D37">
        <w:t xml:space="preserve"> SubcarrierSpacing                        </w:t>
      </w:r>
      <w:r w:rsidRPr="00FA0D37">
        <w:rPr>
          <w:color w:val="993366"/>
        </w:rPr>
        <w:t>OPTIONAL</w:t>
      </w:r>
      <w:r w:rsidRPr="00FA0D37">
        <w:t xml:space="preserve">,   </w:t>
      </w:r>
      <w:r w:rsidRPr="00FA0D37">
        <w:rPr>
          <w:color w:val="808080"/>
        </w:rPr>
        <w:t>-- Need R</w:t>
      </w:r>
    </w:p>
    <w:p w14:paraId="075A4A90" w14:textId="77777777" w:rsidR="00394471" w:rsidRPr="00FA0D37" w:rsidRDefault="00394471" w:rsidP="00FA0D37">
      <w:pPr>
        <w:pStyle w:val="PL"/>
      </w:pPr>
      <w:r w:rsidRPr="00FA0D37">
        <w:t xml:space="preserve">    sl-MaxPUSCH-Duration-r16                   </w:t>
      </w:r>
      <w:r w:rsidRPr="00FA0D37">
        <w:rPr>
          <w:color w:val="993366"/>
        </w:rPr>
        <w:t>ENUMERATED</w:t>
      </w:r>
      <w:r w:rsidRPr="00FA0D37">
        <w:t xml:space="preserve"> {ms0p02, ms0p04, ms0p0625, ms0p125, ms0p25, ms0p5, spare2, spare1}</w:t>
      </w:r>
    </w:p>
    <w:p w14:paraId="2DEB3B2C"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R</w:t>
      </w:r>
    </w:p>
    <w:p w14:paraId="3449DE0D" w14:textId="77777777" w:rsidR="00394471" w:rsidRPr="00FA0D37" w:rsidRDefault="00394471" w:rsidP="00FA0D37">
      <w:pPr>
        <w:pStyle w:val="PL"/>
        <w:rPr>
          <w:color w:val="808080"/>
        </w:rPr>
      </w:pPr>
      <w:r w:rsidRPr="00FA0D37">
        <w:t xml:space="preserve">    sl-LogicalChannelGroup-r16                 </w:t>
      </w:r>
      <w:r w:rsidRPr="00FA0D37">
        <w:rPr>
          <w:color w:val="993366"/>
        </w:rPr>
        <w:t>INTEGER</w:t>
      </w:r>
      <w:r w:rsidRPr="00FA0D37">
        <w:t xml:space="preserve"> (0..maxLCG-ID)                                                   </w:t>
      </w:r>
      <w:r w:rsidRPr="00FA0D37">
        <w:rPr>
          <w:color w:val="993366"/>
        </w:rPr>
        <w:t>OPTIONAL</w:t>
      </w:r>
      <w:r w:rsidRPr="00FA0D37">
        <w:t xml:space="preserve">,   </w:t>
      </w:r>
      <w:r w:rsidRPr="00FA0D37">
        <w:rPr>
          <w:color w:val="808080"/>
        </w:rPr>
        <w:t>-- Need R</w:t>
      </w:r>
    </w:p>
    <w:p w14:paraId="10D8751D" w14:textId="77777777" w:rsidR="00394471" w:rsidRPr="00FA0D37" w:rsidRDefault="00394471" w:rsidP="00FA0D37">
      <w:pPr>
        <w:pStyle w:val="PL"/>
        <w:rPr>
          <w:color w:val="808080"/>
        </w:rPr>
      </w:pPr>
      <w:r w:rsidRPr="00FA0D37">
        <w:t xml:space="preserve">    sl-SchedulingRequestId-r16                 SchedulingRequestId                                                      </w:t>
      </w:r>
      <w:r w:rsidRPr="00FA0D37">
        <w:rPr>
          <w:color w:val="993366"/>
        </w:rPr>
        <w:t>OPTIONAL</w:t>
      </w:r>
      <w:r w:rsidRPr="00FA0D37">
        <w:t xml:space="preserve">,   </w:t>
      </w:r>
      <w:r w:rsidRPr="00FA0D37">
        <w:rPr>
          <w:color w:val="808080"/>
        </w:rPr>
        <w:t>-- Need R</w:t>
      </w:r>
    </w:p>
    <w:p w14:paraId="5B118B96" w14:textId="77777777" w:rsidR="00394471" w:rsidRPr="00FA0D37" w:rsidRDefault="00394471" w:rsidP="00FA0D37">
      <w:pPr>
        <w:pStyle w:val="PL"/>
        <w:rPr>
          <w:color w:val="808080"/>
        </w:rPr>
      </w:pPr>
      <w:r w:rsidRPr="00FA0D37">
        <w:t xml:space="preserve">    sl-LogicalChannelSR-DelayTimerApplied-r16  </w:t>
      </w:r>
      <w:r w:rsidRPr="00FA0D37">
        <w:rPr>
          <w:color w:val="993366"/>
        </w:rPr>
        <w:t>BOOLEAN</w:t>
      </w:r>
      <w:r w:rsidRPr="00FA0D37">
        <w:t xml:space="preserve">                                                                  </w:t>
      </w:r>
      <w:r w:rsidRPr="00FA0D37">
        <w:rPr>
          <w:color w:val="993366"/>
        </w:rPr>
        <w:t>OPTIONAL</w:t>
      </w:r>
      <w:r w:rsidRPr="00FA0D37">
        <w:t xml:space="preserve">,   </w:t>
      </w:r>
      <w:r w:rsidRPr="00FA0D37">
        <w:rPr>
          <w:color w:val="808080"/>
        </w:rPr>
        <w:t>-- Need R</w:t>
      </w:r>
    </w:p>
    <w:p w14:paraId="4B24E038" w14:textId="77777777" w:rsidR="00394471" w:rsidRPr="00FA0D37" w:rsidRDefault="00394471" w:rsidP="00FA0D37">
      <w:pPr>
        <w:pStyle w:val="PL"/>
      </w:pPr>
      <w:r w:rsidRPr="00FA0D37">
        <w:t xml:space="preserve">    ...</w:t>
      </w:r>
    </w:p>
    <w:p w14:paraId="60BA9F4E" w14:textId="77777777" w:rsidR="00394471" w:rsidRPr="00FA0D37" w:rsidRDefault="00394471" w:rsidP="00FA0D37">
      <w:pPr>
        <w:pStyle w:val="PL"/>
      </w:pPr>
      <w:r w:rsidRPr="00FA0D37">
        <w:t>}</w:t>
      </w:r>
    </w:p>
    <w:p w14:paraId="727E60CE" w14:textId="77777777" w:rsidR="00394471" w:rsidRPr="00FA0D37" w:rsidRDefault="00394471" w:rsidP="00FA0D37">
      <w:pPr>
        <w:pStyle w:val="PL"/>
        <w:rPr>
          <w:color w:val="808080"/>
        </w:rPr>
      </w:pPr>
      <w:r w:rsidRPr="00FA0D37">
        <w:rPr>
          <w:color w:val="808080"/>
        </w:rPr>
        <w:t>-- TAG-SL-LOGICALCHANNELCONFIG-STOP</w:t>
      </w:r>
    </w:p>
    <w:p w14:paraId="7554A722" w14:textId="77777777" w:rsidR="00394471" w:rsidRPr="00FA0D37" w:rsidRDefault="00394471" w:rsidP="00FA0D37">
      <w:pPr>
        <w:pStyle w:val="PL"/>
        <w:rPr>
          <w:color w:val="808080"/>
        </w:rPr>
      </w:pPr>
      <w:r w:rsidRPr="00FA0D37">
        <w:rPr>
          <w:color w:val="808080"/>
        </w:rPr>
        <w:t>-- ASN1STOP</w:t>
      </w:r>
    </w:p>
    <w:p w14:paraId="4B9CBD8F" w14:textId="77777777" w:rsidR="00394471" w:rsidRPr="00FA0D37"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73DB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20FAAD" w14:textId="77777777" w:rsidR="00394471" w:rsidRPr="00FA0D37" w:rsidRDefault="00394471" w:rsidP="00964CC4">
            <w:pPr>
              <w:pStyle w:val="TAH"/>
              <w:rPr>
                <w:b w:val="0"/>
                <w:lang w:eastAsia="sv-SE"/>
              </w:rPr>
            </w:pPr>
            <w:r w:rsidRPr="00FA0D37">
              <w:rPr>
                <w:i/>
                <w:iCs/>
                <w:lang w:eastAsia="sv-SE"/>
              </w:rPr>
              <w:lastRenderedPageBreak/>
              <w:t>SL-LogicalChannelConfig field</w:t>
            </w:r>
            <w:r w:rsidRPr="00FA0D37">
              <w:rPr>
                <w:lang w:eastAsia="sv-SE"/>
              </w:rPr>
              <w:t xml:space="preserve"> descriptions</w:t>
            </w:r>
          </w:p>
        </w:tc>
      </w:tr>
      <w:tr w:rsidR="005C7FF4" w:rsidRPr="00FA0D37" w14:paraId="5C493651" w14:textId="77777777" w:rsidTr="00964CC4">
        <w:tc>
          <w:tcPr>
            <w:tcW w:w="14173" w:type="dxa"/>
            <w:tcBorders>
              <w:top w:val="single" w:sz="4" w:space="0" w:color="auto"/>
              <w:left w:val="single" w:sz="4" w:space="0" w:color="auto"/>
              <w:bottom w:val="single" w:sz="4" w:space="0" w:color="auto"/>
              <w:right w:val="single" w:sz="4" w:space="0" w:color="auto"/>
            </w:tcBorders>
          </w:tcPr>
          <w:p w14:paraId="057B570C" w14:textId="77777777" w:rsidR="00394471" w:rsidRPr="00FA0D37" w:rsidRDefault="00394471" w:rsidP="00964CC4">
            <w:pPr>
              <w:pStyle w:val="TAL"/>
              <w:rPr>
                <w:b/>
                <w:bCs/>
                <w:i/>
                <w:iCs/>
              </w:rPr>
            </w:pPr>
            <w:r w:rsidRPr="00FA0D37">
              <w:rPr>
                <w:b/>
                <w:bCs/>
                <w:i/>
                <w:iCs/>
              </w:rPr>
              <w:t>sl-AllowedCG-List</w:t>
            </w:r>
          </w:p>
          <w:p w14:paraId="67C71A4F" w14:textId="7C8FFE42" w:rsidR="00394471" w:rsidRPr="00FA0D37" w:rsidRDefault="00394471" w:rsidP="00964CC4">
            <w:pPr>
              <w:pStyle w:val="TAL"/>
              <w:rPr>
                <w:lang w:eastAsia="sv-SE"/>
              </w:rPr>
            </w:pPr>
            <w:r w:rsidRPr="00FA0D37">
              <w:rPr>
                <w:rFonts w:cs="Arial"/>
                <w:iCs/>
              </w:rPr>
              <w:t xml:space="preserve">This restriction applies only when the SL grant is a configured grant. If present, SL MAC SDUs from this logical channel can only be mapped to the indicated configured grant configuration. If the size of the sequence is zero, then </w:t>
            </w:r>
            <w:r w:rsidR="005A6755" w:rsidRPr="00FA0D37">
              <w:rPr>
                <w:rFonts w:cs="Arial"/>
                <w:iCs/>
              </w:rPr>
              <w:t>S</w:t>
            </w:r>
            <w:r w:rsidRPr="00FA0D37">
              <w:rPr>
                <w:rFonts w:cs="Arial"/>
                <w:iCs/>
              </w:rPr>
              <w:t xml:space="preserve">L MAC SDUs from this logical channel cannot be mapped to any configured grant configurations. If the field is not present, </w:t>
            </w:r>
            <w:r w:rsidR="005A6755" w:rsidRPr="00FA0D37">
              <w:rPr>
                <w:rFonts w:cs="Arial"/>
                <w:iCs/>
              </w:rPr>
              <w:t>S</w:t>
            </w:r>
            <w:r w:rsidRPr="00FA0D37">
              <w:rPr>
                <w:rFonts w:cs="Arial"/>
                <w:iCs/>
              </w:rPr>
              <w:t xml:space="preserve">L MAC SDUs from this logical channel can be mapped to any configured grant configurations. </w:t>
            </w:r>
            <w:r w:rsidR="005A6755" w:rsidRPr="00FA0D37">
              <w:rPr>
                <w:lang w:eastAsia="sv-SE"/>
              </w:rPr>
              <w:t xml:space="preserve">If the field </w:t>
            </w:r>
            <w:r w:rsidR="005A6755" w:rsidRPr="00FA0D37">
              <w:rPr>
                <w:i/>
                <w:lang w:eastAsia="sv-SE"/>
              </w:rPr>
              <w:t>sl</w:t>
            </w:r>
            <w:r w:rsidR="005A6755" w:rsidRPr="00FA0D37">
              <w:rPr>
                <w:i/>
                <w:lang w:eastAsia="zh-CN"/>
              </w:rPr>
              <w:t>-</w:t>
            </w:r>
            <w:r w:rsidR="005A6755" w:rsidRPr="00FA0D37">
              <w:rPr>
                <w:i/>
                <w:lang w:eastAsia="sv-SE"/>
              </w:rPr>
              <w:t>ConfiguredGrantType1Allowed</w:t>
            </w:r>
            <w:r w:rsidR="005A6755" w:rsidRPr="00FA0D37">
              <w:rPr>
                <w:lang w:eastAsia="sv-SE"/>
              </w:rPr>
              <w:t xml:space="preserve"> is present, only those sidelink configured grant type 1 configurations </w:t>
            </w:r>
            <w:r w:rsidR="005A6755" w:rsidRPr="00FA0D37">
              <w:rPr>
                <w:rFonts w:cs="Arial"/>
                <w:szCs w:val="18"/>
              </w:rPr>
              <w:t xml:space="preserve">indicated in this sequence are allowed for use by this sidelink logical channel; </w:t>
            </w:r>
            <w:r w:rsidR="005A6755" w:rsidRPr="00FA0D37">
              <w:rPr>
                <w:lang w:eastAsia="sv-SE"/>
              </w:rPr>
              <w:t xml:space="preserve">otherwise, </w:t>
            </w:r>
            <w:r w:rsidR="005A6755" w:rsidRPr="00FA0D37">
              <w:rPr>
                <w:rFonts w:cs="Arial"/>
                <w:szCs w:val="18"/>
              </w:rPr>
              <w:t xml:space="preserve">this sequence shall not include any sidelink </w:t>
            </w:r>
            <w:r w:rsidR="005A6755" w:rsidRPr="00FA0D37">
              <w:rPr>
                <w:lang w:eastAsia="sv-SE"/>
              </w:rPr>
              <w:t xml:space="preserve">configured grant type 1 configuration. </w:t>
            </w:r>
            <w:r w:rsidRPr="00FA0D37">
              <w:rPr>
                <w:rFonts w:cs="Arial"/>
                <w:iCs/>
              </w:rPr>
              <w:t>Corresponds to "sl-AllowedCG-List" as specified in TS 38.321 [3].</w:t>
            </w:r>
          </w:p>
        </w:tc>
      </w:tr>
      <w:tr w:rsidR="005C7FF4" w:rsidRPr="00FA0D37" w14:paraId="1D076DE7" w14:textId="77777777" w:rsidTr="00964CC4">
        <w:tc>
          <w:tcPr>
            <w:tcW w:w="14173" w:type="dxa"/>
            <w:tcBorders>
              <w:top w:val="single" w:sz="4" w:space="0" w:color="auto"/>
              <w:left w:val="single" w:sz="4" w:space="0" w:color="auto"/>
              <w:bottom w:val="single" w:sz="4" w:space="0" w:color="auto"/>
              <w:right w:val="single" w:sz="4" w:space="0" w:color="auto"/>
            </w:tcBorders>
          </w:tcPr>
          <w:p w14:paraId="7FB5B7A9" w14:textId="77777777" w:rsidR="00394471" w:rsidRPr="00FA0D37" w:rsidRDefault="00394471" w:rsidP="00964CC4">
            <w:pPr>
              <w:pStyle w:val="TAL"/>
              <w:rPr>
                <w:b/>
                <w:bCs/>
                <w:i/>
                <w:iCs/>
                <w:lang w:eastAsia="en-GB"/>
              </w:rPr>
            </w:pPr>
            <w:r w:rsidRPr="00FA0D37">
              <w:rPr>
                <w:b/>
                <w:bCs/>
                <w:i/>
                <w:iCs/>
                <w:lang w:eastAsia="en-GB"/>
              </w:rPr>
              <w:t>sl-AllowedSCS-List</w:t>
            </w:r>
          </w:p>
          <w:p w14:paraId="7953C05B" w14:textId="77777777" w:rsidR="00394471" w:rsidRPr="00FA0D37" w:rsidRDefault="00394471" w:rsidP="00964CC4">
            <w:pPr>
              <w:pStyle w:val="TAL"/>
              <w:rPr>
                <w:lang w:eastAsia="sv-SE"/>
              </w:rPr>
            </w:pPr>
            <w:r w:rsidRPr="00FA0D37">
              <w:rPr>
                <w:rFonts w:eastAsia="Arial Unicode MS" w:cs="Arial"/>
                <w:szCs w:val="18"/>
                <w:lang w:eastAsia="en-GB"/>
              </w:rPr>
              <w:t>If present, indicate the numerology of UL-SCH resources</w:t>
            </w:r>
            <w:r w:rsidRPr="00FA0D37">
              <w:t xml:space="preserve"> </w:t>
            </w:r>
            <w:r w:rsidRPr="00FA0D37">
              <w:rPr>
                <w:rFonts w:eastAsia="Arial Unicode MS" w:cs="Arial"/>
                <w:szCs w:val="18"/>
                <w:lang w:eastAsia="en-GB"/>
              </w:rPr>
              <w:t>that this sidelink logical channel is mapped to, when checking the SR trigger condition.</w:t>
            </w:r>
            <w:r w:rsidRPr="00FA0D37">
              <w:rPr>
                <w:rFonts w:cs="Arial"/>
              </w:rPr>
              <w:t xml:space="preserve"> Corresponds to '</w:t>
            </w:r>
            <w:r w:rsidRPr="00FA0D37">
              <w:t xml:space="preserve"> </w:t>
            </w:r>
            <w:r w:rsidRPr="00FA0D37">
              <w:rPr>
                <w:rFonts w:cs="Arial"/>
              </w:rPr>
              <w:t>sl-AllowedSCS-List' in TS 38.321 [3].</w:t>
            </w:r>
          </w:p>
        </w:tc>
      </w:tr>
      <w:tr w:rsidR="005C7FF4" w:rsidRPr="00FA0D37" w14:paraId="63B26A9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11000B9" w14:textId="77777777" w:rsidR="00394471" w:rsidRPr="00FA0D37" w:rsidRDefault="00394471" w:rsidP="00964CC4">
            <w:pPr>
              <w:pStyle w:val="TAL"/>
              <w:rPr>
                <w:b/>
                <w:bCs/>
                <w:i/>
                <w:iCs/>
                <w:lang w:eastAsia="sv-SE"/>
              </w:rPr>
            </w:pPr>
            <w:r w:rsidRPr="00FA0D37">
              <w:rPr>
                <w:b/>
                <w:bCs/>
                <w:i/>
                <w:iCs/>
                <w:lang w:eastAsia="sv-SE"/>
              </w:rPr>
              <w:t>sl-BucketSizeDuration</w:t>
            </w:r>
          </w:p>
          <w:p w14:paraId="1DF88FD4" w14:textId="77777777" w:rsidR="00394471" w:rsidRPr="00FA0D37" w:rsidRDefault="00394471" w:rsidP="00964CC4">
            <w:pPr>
              <w:pStyle w:val="TAL"/>
              <w:rPr>
                <w:lang w:eastAsia="sv-SE"/>
              </w:rPr>
            </w:pPr>
            <w:r w:rsidRPr="00FA0D37">
              <w:rPr>
                <w:iCs/>
                <w:lang w:eastAsia="en-GB"/>
              </w:rPr>
              <w:t xml:space="preserve">Value in ms. </w:t>
            </w:r>
            <w:r w:rsidRPr="00FA0D37">
              <w:rPr>
                <w:i/>
                <w:iCs/>
                <w:lang w:eastAsia="sv-SE"/>
              </w:rPr>
              <w:t>ms5</w:t>
            </w:r>
            <w:r w:rsidRPr="00FA0D37">
              <w:rPr>
                <w:iCs/>
                <w:lang w:eastAsia="en-GB"/>
              </w:rPr>
              <w:t xml:space="preserve"> corresponds to 5 ms, value </w:t>
            </w:r>
            <w:r w:rsidRPr="00FA0D37">
              <w:rPr>
                <w:i/>
                <w:iCs/>
                <w:lang w:eastAsia="sv-SE"/>
              </w:rPr>
              <w:t>ms10</w:t>
            </w:r>
            <w:r w:rsidRPr="00FA0D37">
              <w:rPr>
                <w:iCs/>
                <w:lang w:eastAsia="en-GB"/>
              </w:rPr>
              <w:t xml:space="preserve"> corresponds to 10 ms, and so on.</w:t>
            </w:r>
          </w:p>
        </w:tc>
      </w:tr>
      <w:tr w:rsidR="005C7FF4" w:rsidRPr="00FA0D37" w14:paraId="05EA02A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EB013FF" w14:textId="77777777" w:rsidR="00394471" w:rsidRPr="00FA0D37" w:rsidRDefault="00394471" w:rsidP="00964CC4">
            <w:pPr>
              <w:pStyle w:val="TAL"/>
              <w:rPr>
                <w:b/>
                <w:bCs/>
                <w:i/>
                <w:iCs/>
                <w:lang w:eastAsia="sv-SE"/>
              </w:rPr>
            </w:pPr>
            <w:r w:rsidRPr="00FA0D37">
              <w:rPr>
                <w:b/>
                <w:bCs/>
                <w:i/>
                <w:iCs/>
                <w:lang w:eastAsia="sv-SE"/>
              </w:rPr>
              <w:t>sl-ConfiguredGrantType1Allowed</w:t>
            </w:r>
          </w:p>
          <w:p w14:paraId="53FC021D" w14:textId="6CE8AD86" w:rsidR="00394471" w:rsidRPr="00FA0D37" w:rsidRDefault="00394471" w:rsidP="00964CC4">
            <w:pPr>
              <w:pStyle w:val="TAL"/>
              <w:rPr>
                <w:lang w:eastAsia="sv-SE"/>
              </w:rPr>
            </w:pPr>
            <w:r w:rsidRPr="00FA0D37">
              <w:rPr>
                <w:lang w:eastAsia="sv-SE"/>
              </w:rPr>
              <w:t>If present</w:t>
            </w:r>
            <w:r w:rsidR="005A6755" w:rsidRPr="00FA0D37">
              <w:rPr>
                <w:rFonts w:cs="Arial"/>
                <w:lang w:eastAsia="sv-SE"/>
              </w:rPr>
              <w:t xml:space="preserve"> and set to true</w:t>
            </w:r>
            <w:r w:rsidRPr="00FA0D37">
              <w:rPr>
                <w:lang w:eastAsia="sv-SE"/>
              </w:rPr>
              <w:t xml:space="preserve">, </w:t>
            </w:r>
            <w:r w:rsidR="005A6755" w:rsidRPr="00FA0D37">
              <w:rPr>
                <w:lang w:eastAsia="sv-SE"/>
              </w:rPr>
              <w:t xml:space="preserve">or if the capability </w:t>
            </w:r>
            <w:r w:rsidR="005A6755" w:rsidRPr="00FA0D37">
              <w:rPr>
                <w:i/>
                <w:lang w:eastAsia="sv-SE"/>
              </w:rPr>
              <w:t>lcp-</w:t>
            </w:r>
            <w:r w:rsidR="005A6755" w:rsidRPr="00FA0D37">
              <w:rPr>
                <w:i/>
                <w:lang w:eastAsia="zh-CN"/>
              </w:rPr>
              <w:t>R</w:t>
            </w:r>
            <w:r w:rsidR="005A6755" w:rsidRPr="00FA0D37">
              <w:rPr>
                <w:i/>
                <w:lang w:eastAsia="sv-SE"/>
              </w:rPr>
              <w:t>estrictionSidelink</w:t>
            </w:r>
            <w:r w:rsidR="005A6755" w:rsidRPr="00FA0D37">
              <w:rPr>
                <w:lang w:eastAsia="sv-SE"/>
              </w:rPr>
              <w:t xml:space="preserve"> as specified in TS 38.306 [26] is not indicated, </w:t>
            </w:r>
            <w:r w:rsidRPr="00FA0D37">
              <w:rPr>
                <w:lang w:eastAsia="sv-SE"/>
              </w:rPr>
              <w:t xml:space="preserve">SL MAC </w:t>
            </w:r>
            <w:r w:rsidRPr="00FA0D37">
              <w:rPr>
                <w:rFonts w:eastAsia="Yu Mincho"/>
                <w:lang w:eastAsia="sv-SE"/>
              </w:rPr>
              <w:t>S</w:t>
            </w:r>
            <w:r w:rsidRPr="00FA0D37">
              <w:rPr>
                <w:lang w:eastAsia="sv-SE"/>
              </w:rPr>
              <w:t xml:space="preserve">DUs from this sidelink logical channel </w:t>
            </w:r>
            <w:r w:rsidRPr="00FA0D37">
              <w:rPr>
                <w:rFonts w:eastAsia="Yu Mincho"/>
                <w:lang w:eastAsia="sv-SE"/>
              </w:rPr>
              <w:t xml:space="preserve">can </w:t>
            </w:r>
            <w:r w:rsidRPr="00FA0D37">
              <w:rPr>
                <w:lang w:eastAsia="sv-SE"/>
              </w:rPr>
              <w:t xml:space="preserve">be transmitted on a sidelink configured grant type 1. </w:t>
            </w:r>
            <w:r w:rsidR="005A6755" w:rsidRPr="00FA0D37">
              <w:rPr>
                <w:lang w:eastAsia="sv-SE"/>
              </w:rPr>
              <w:t xml:space="preserve">Otherwise, SL MAC SDUs from this logical channel cannot be transmitted on a sidelink configured grant type 1. </w:t>
            </w:r>
            <w:r w:rsidRPr="00FA0D37">
              <w:rPr>
                <w:lang w:eastAsia="sv-SE"/>
              </w:rPr>
              <w:t>Corresponds to 'sl-configuredGrantType1Allowed' in TS 38.321 [3].</w:t>
            </w:r>
          </w:p>
        </w:tc>
      </w:tr>
      <w:tr w:rsidR="005C7FF4" w:rsidRPr="00FA0D37" w14:paraId="5B12E5D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D73AA22" w14:textId="77777777" w:rsidR="00394471" w:rsidRPr="00FA0D37" w:rsidRDefault="00394471" w:rsidP="00964CC4">
            <w:pPr>
              <w:pStyle w:val="TAL"/>
              <w:rPr>
                <w:b/>
                <w:bCs/>
                <w:i/>
                <w:iCs/>
                <w:lang w:eastAsia="sv-SE"/>
              </w:rPr>
            </w:pPr>
            <w:r w:rsidRPr="00FA0D37">
              <w:rPr>
                <w:b/>
                <w:bCs/>
                <w:i/>
                <w:iCs/>
                <w:lang w:eastAsia="sv-SE"/>
              </w:rPr>
              <w:t>sl-HARQ-FeedbackEnabled</w:t>
            </w:r>
          </w:p>
          <w:p w14:paraId="5952DDC6" w14:textId="312F1F89" w:rsidR="00394471" w:rsidRPr="00FA0D37" w:rsidRDefault="00D71CF8" w:rsidP="00964CC4">
            <w:pPr>
              <w:pStyle w:val="TAL"/>
              <w:rPr>
                <w:lang w:eastAsia="sv-SE"/>
              </w:rPr>
            </w:pPr>
            <w:r w:rsidRPr="00FA0D37">
              <w:rPr>
                <w:rStyle w:val="TALCar"/>
              </w:rPr>
              <w:t>Network always includes this field.</w:t>
            </w:r>
            <w:r w:rsidR="00394471" w:rsidRPr="00FA0D37">
              <w:rPr>
                <w:lang w:eastAsia="sv-SE"/>
              </w:rPr>
              <w:t xml:space="preserve"> </w:t>
            </w:r>
            <w:r w:rsidRPr="00FA0D37">
              <w:rPr>
                <w:lang w:eastAsia="sv-SE"/>
              </w:rPr>
              <w:t xml:space="preserve">It </w:t>
            </w:r>
            <w:r w:rsidR="00394471" w:rsidRPr="00FA0D37">
              <w:rPr>
                <w:lang w:eastAsia="sv-SE"/>
              </w:rPr>
              <w:t>indicate</w:t>
            </w:r>
            <w:r w:rsidRPr="00FA0D37">
              <w:rPr>
                <w:lang w:eastAsia="sv-SE"/>
              </w:rPr>
              <w:t>s</w:t>
            </w:r>
            <w:r w:rsidR="00394471" w:rsidRPr="00FA0D37">
              <w:rPr>
                <w:lang w:eastAsia="sv-SE"/>
              </w:rPr>
              <w:t xml:space="preserve"> the HARQ feedback enabled/disabled restriction in LCP for this sidelink logical channel. If set to </w:t>
            </w:r>
            <w:r w:rsidR="00394471" w:rsidRPr="00FA0D37">
              <w:rPr>
                <w:i/>
                <w:iCs/>
                <w:lang w:eastAsia="sv-SE"/>
              </w:rPr>
              <w:t>enabled</w:t>
            </w:r>
            <w:r w:rsidR="00394471" w:rsidRPr="00FA0D37">
              <w:rPr>
                <w:lang w:eastAsia="sv-SE"/>
              </w:rPr>
              <w:t xml:space="preserve">, the sidelink logical channel will be multiplexed only with a logical channel which enabling the HARQ feedback. If set to </w:t>
            </w:r>
            <w:r w:rsidR="00394471" w:rsidRPr="00FA0D37">
              <w:rPr>
                <w:i/>
                <w:iCs/>
                <w:lang w:eastAsia="sv-SE"/>
              </w:rPr>
              <w:t>disabled</w:t>
            </w:r>
            <w:r w:rsidR="00394471" w:rsidRPr="00FA0D37">
              <w:rPr>
                <w:lang w:eastAsia="sv-SE"/>
              </w:rPr>
              <w:t>, the sidelink logical channel cannot be multiplexed with a logical channel which enabling the HARQ feedback. Corresponds to 'sl-HARQ-FeedbackEnabled' in TS 38.321 [3].</w:t>
            </w:r>
            <w:r w:rsidR="00394471" w:rsidRPr="00FA0D37">
              <w:t xml:space="preserve"> </w:t>
            </w:r>
            <w:r w:rsidR="00394471" w:rsidRPr="00FA0D37">
              <w:rPr>
                <w:rFonts w:cs="Arial"/>
              </w:rPr>
              <w:t xml:space="preserve">If this field of at least one sidelink logical channel for the UE is set to enabled, </w:t>
            </w:r>
            <w:r w:rsidR="00D127B2" w:rsidRPr="00FA0D37">
              <w:rPr>
                <w:rFonts w:cs="Arial"/>
                <w:i/>
                <w:iCs/>
              </w:rPr>
              <w:t xml:space="preserve">sl-PSFCH-Config </w:t>
            </w:r>
            <w:r w:rsidR="00D127B2" w:rsidRPr="00FA0D37">
              <w:rPr>
                <w:rFonts w:cs="Arial"/>
                <w:iCs/>
              </w:rPr>
              <w:t>should be mandatory present in configuration</w:t>
            </w:r>
            <w:r w:rsidR="00D127B2" w:rsidRPr="00FA0D37">
              <w:rPr>
                <w:rFonts w:cs="Arial"/>
                <w:i/>
                <w:iCs/>
              </w:rPr>
              <w:t xml:space="preserve"> SL-ResourcePool </w:t>
            </w:r>
            <w:r w:rsidR="00D127B2" w:rsidRPr="00FA0D37">
              <w:rPr>
                <w:rFonts w:cs="Arial"/>
                <w:iCs/>
              </w:rPr>
              <w:t>of at least one of the sidelink resource pools</w:t>
            </w:r>
            <w:r w:rsidR="00394471" w:rsidRPr="00FA0D37">
              <w:rPr>
                <w:rFonts w:cs="Arial"/>
              </w:rPr>
              <w:t>.</w:t>
            </w:r>
          </w:p>
        </w:tc>
      </w:tr>
      <w:tr w:rsidR="005C7FF4" w:rsidRPr="00FA0D37" w14:paraId="6F44ABF9"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F088567" w14:textId="77777777" w:rsidR="00394471" w:rsidRPr="00FA0D37" w:rsidRDefault="00394471" w:rsidP="00964CC4">
            <w:pPr>
              <w:pStyle w:val="TAL"/>
              <w:rPr>
                <w:b/>
                <w:bCs/>
                <w:i/>
                <w:iCs/>
                <w:lang w:eastAsia="sv-SE"/>
              </w:rPr>
            </w:pPr>
            <w:r w:rsidRPr="00FA0D37">
              <w:rPr>
                <w:b/>
                <w:bCs/>
                <w:i/>
                <w:iCs/>
                <w:lang w:eastAsia="sv-SE"/>
              </w:rPr>
              <w:t>sl-LogicalChannelGroup</w:t>
            </w:r>
          </w:p>
          <w:p w14:paraId="04F2BCE1" w14:textId="77777777" w:rsidR="00394471" w:rsidRPr="00FA0D37" w:rsidRDefault="00394471" w:rsidP="00964CC4">
            <w:pPr>
              <w:pStyle w:val="TAL"/>
              <w:rPr>
                <w:lang w:eastAsia="sv-SE"/>
              </w:rPr>
            </w:pPr>
            <w:r w:rsidRPr="00FA0D37">
              <w:rPr>
                <w:iCs/>
                <w:lang w:eastAsia="en-GB"/>
              </w:rPr>
              <w:t>ID of the sidelink logical channel group, as specified in TS 38.321 [3], which the sidelink logical channel belongs to.</w:t>
            </w:r>
          </w:p>
        </w:tc>
      </w:tr>
      <w:tr w:rsidR="005C7FF4" w:rsidRPr="00FA0D37" w14:paraId="5945C94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38865E0D" w14:textId="77777777" w:rsidR="00394471" w:rsidRPr="00FA0D37" w:rsidRDefault="00394471" w:rsidP="00964CC4">
            <w:pPr>
              <w:pStyle w:val="TAL"/>
              <w:rPr>
                <w:b/>
                <w:bCs/>
                <w:i/>
                <w:iCs/>
                <w:lang w:eastAsia="en-GB"/>
              </w:rPr>
            </w:pPr>
            <w:r w:rsidRPr="00FA0D37">
              <w:rPr>
                <w:b/>
                <w:bCs/>
                <w:i/>
                <w:iCs/>
                <w:lang w:eastAsia="en-GB"/>
              </w:rPr>
              <w:t>sl-LogicalChannelSR-DelayTimerApplied</w:t>
            </w:r>
          </w:p>
          <w:p w14:paraId="15D2F676" w14:textId="77777777" w:rsidR="00394471" w:rsidRPr="00FA0D37" w:rsidRDefault="00394471" w:rsidP="00964CC4">
            <w:pPr>
              <w:pStyle w:val="TAL"/>
              <w:rPr>
                <w:lang w:eastAsia="sv-SE"/>
              </w:rPr>
            </w:pPr>
            <w:r w:rsidRPr="00FA0D37">
              <w:rPr>
                <w:iCs/>
                <w:lang w:eastAsia="en-GB"/>
              </w:rPr>
              <w:t xml:space="preserve">Indicates whether to apply the delay timer for SR transmission for this sidelink logical channel. Set to false if </w:t>
            </w:r>
            <w:r w:rsidRPr="00FA0D37">
              <w:rPr>
                <w:i/>
                <w:lang w:eastAsia="en-GB"/>
              </w:rPr>
              <w:t>logicalChannelSR-DelayTimer</w:t>
            </w:r>
            <w:r w:rsidRPr="00FA0D37">
              <w:rPr>
                <w:iCs/>
                <w:lang w:eastAsia="en-GB"/>
              </w:rPr>
              <w:t xml:space="preserve"> is not included in </w:t>
            </w:r>
            <w:r w:rsidRPr="00FA0D37">
              <w:rPr>
                <w:i/>
                <w:lang w:eastAsia="en-GB"/>
              </w:rPr>
              <w:t>sl-BSR-Config</w:t>
            </w:r>
            <w:r w:rsidRPr="00FA0D37">
              <w:rPr>
                <w:iCs/>
                <w:lang w:eastAsia="en-GB"/>
              </w:rPr>
              <w:t>.</w:t>
            </w:r>
          </w:p>
        </w:tc>
      </w:tr>
      <w:tr w:rsidR="005C7FF4" w:rsidRPr="00FA0D37" w14:paraId="43D00573" w14:textId="77777777" w:rsidTr="00964CC4">
        <w:tc>
          <w:tcPr>
            <w:tcW w:w="14173" w:type="dxa"/>
            <w:tcBorders>
              <w:top w:val="single" w:sz="2" w:space="0" w:color="auto"/>
              <w:left w:val="single" w:sz="2" w:space="0" w:color="auto"/>
              <w:bottom w:val="single" w:sz="2" w:space="0" w:color="auto"/>
              <w:right w:val="single" w:sz="2" w:space="0" w:color="auto"/>
            </w:tcBorders>
          </w:tcPr>
          <w:p w14:paraId="6546D240" w14:textId="77777777" w:rsidR="00394471" w:rsidRPr="00FA0D37" w:rsidRDefault="00394471" w:rsidP="00964CC4">
            <w:pPr>
              <w:pStyle w:val="TAL"/>
              <w:rPr>
                <w:b/>
                <w:bCs/>
                <w:i/>
                <w:iCs/>
                <w:lang w:eastAsia="en-GB"/>
              </w:rPr>
            </w:pPr>
            <w:r w:rsidRPr="00FA0D37">
              <w:rPr>
                <w:b/>
                <w:bCs/>
                <w:i/>
                <w:iCs/>
                <w:lang w:eastAsia="en-GB"/>
              </w:rPr>
              <w:t>sl-MaxPUSCH-Duration</w:t>
            </w:r>
          </w:p>
          <w:p w14:paraId="68FCC2F4" w14:textId="77777777" w:rsidR="00394471" w:rsidRPr="00FA0D37" w:rsidRDefault="00394471" w:rsidP="00964CC4">
            <w:pPr>
              <w:pStyle w:val="TAL"/>
              <w:rPr>
                <w:lang w:eastAsia="en-GB"/>
              </w:rPr>
            </w:pPr>
            <w:r w:rsidRPr="00FA0D37">
              <w:rPr>
                <w:lang w:eastAsia="en-GB"/>
              </w:rPr>
              <w:t>If present, indicate the maximum PUSCH duration of UL-SCH resources that this sidelink logical channel is mapped to, when checking the SR trigger condition. Corresponds to "sl-MaxPUSCH-Duration" in TS 38.321 [3].</w:t>
            </w:r>
          </w:p>
        </w:tc>
      </w:tr>
      <w:tr w:rsidR="005C7FF4" w:rsidRPr="00FA0D37" w14:paraId="5447A33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1E6DDB74" w14:textId="77777777" w:rsidR="00394471" w:rsidRPr="00FA0D37" w:rsidRDefault="00394471" w:rsidP="00964CC4">
            <w:pPr>
              <w:pStyle w:val="TAL"/>
              <w:rPr>
                <w:b/>
                <w:bCs/>
                <w:i/>
                <w:iCs/>
                <w:lang w:eastAsia="sv-SE"/>
              </w:rPr>
            </w:pPr>
            <w:r w:rsidRPr="00FA0D37">
              <w:rPr>
                <w:b/>
                <w:bCs/>
                <w:i/>
                <w:iCs/>
                <w:lang w:eastAsia="sv-SE"/>
              </w:rPr>
              <w:t>sl-PrioritisedBitRate</w:t>
            </w:r>
          </w:p>
          <w:p w14:paraId="7788C056" w14:textId="77777777" w:rsidR="00394471" w:rsidRPr="00FA0D37" w:rsidRDefault="00394471" w:rsidP="00964CC4">
            <w:pPr>
              <w:pStyle w:val="TAL"/>
              <w:rPr>
                <w:lang w:eastAsia="en-GB"/>
              </w:rPr>
            </w:pPr>
            <w:r w:rsidRPr="00FA0D37">
              <w:rPr>
                <w:iCs/>
                <w:lang w:eastAsia="en-GB"/>
              </w:rPr>
              <w:t xml:space="preserve">Value in kiloBytes/s. Value </w:t>
            </w:r>
            <w:r w:rsidRPr="00FA0D37">
              <w:rPr>
                <w:i/>
                <w:iCs/>
                <w:lang w:eastAsia="sv-SE"/>
              </w:rPr>
              <w:t>kBps</w:t>
            </w:r>
            <w:r w:rsidRPr="00FA0D37">
              <w:rPr>
                <w:i/>
                <w:iCs/>
                <w:lang w:eastAsia="en-GB"/>
              </w:rPr>
              <w:t>0</w:t>
            </w:r>
            <w:r w:rsidRPr="00FA0D37">
              <w:rPr>
                <w:iCs/>
                <w:lang w:eastAsia="en-GB"/>
              </w:rPr>
              <w:t xml:space="preserve"> corresponds to 0 kiloBytes/s, value </w:t>
            </w:r>
            <w:r w:rsidRPr="00FA0D37">
              <w:rPr>
                <w:i/>
                <w:iCs/>
                <w:lang w:eastAsia="sv-SE"/>
              </w:rPr>
              <w:t>kBps</w:t>
            </w:r>
            <w:r w:rsidRPr="00FA0D37">
              <w:rPr>
                <w:i/>
                <w:iCs/>
                <w:lang w:eastAsia="en-GB"/>
              </w:rPr>
              <w:t>8</w:t>
            </w:r>
            <w:r w:rsidRPr="00FA0D37">
              <w:rPr>
                <w:iCs/>
                <w:lang w:eastAsia="en-GB"/>
              </w:rPr>
              <w:t xml:space="preserve"> corresponds to 8 kiloBytes/s, value </w:t>
            </w:r>
            <w:r w:rsidRPr="00FA0D37">
              <w:rPr>
                <w:i/>
                <w:lang w:eastAsia="en-GB"/>
              </w:rPr>
              <w:t>kBps16</w:t>
            </w:r>
            <w:r w:rsidRPr="00FA0D37">
              <w:rPr>
                <w:iCs/>
                <w:lang w:eastAsia="en-GB"/>
              </w:rPr>
              <w:t xml:space="preserve"> corresponds to 16 kiloBytes/s, and so on.</w:t>
            </w:r>
          </w:p>
        </w:tc>
      </w:tr>
      <w:tr w:rsidR="005C7FF4" w:rsidRPr="00FA0D37" w14:paraId="78558C3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5B4D7E79" w14:textId="77777777" w:rsidR="00394471" w:rsidRPr="00FA0D37" w:rsidRDefault="00394471" w:rsidP="00964CC4">
            <w:pPr>
              <w:pStyle w:val="TAL"/>
              <w:rPr>
                <w:b/>
                <w:bCs/>
                <w:i/>
                <w:iCs/>
                <w:lang w:eastAsia="en-GB"/>
              </w:rPr>
            </w:pPr>
            <w:r w:rsidRPr="00FA0D37">
              <w:rPr>
                <w:b/>
                <w:bCs/>
                <w:i/>
                <w:iCs/>
                <w:lang w:eastAsia="en-GB"/>
              </w:rPr>
              <w:t>sl-Priority</w:t>
            </w:r>
          </w:p>
          <w:p w14:paraId="46F9CDB6" w14:textId="77777777" w:rsidR="00394471" w:rsidRPr="00FA0D37" w:rsidRDefault="00394471" w:rsidP="00964CC4">
            <w:pPr>
              <w:pStyle w:val="TAL"/>
              <w:rPr>
                <w:lang w:eastAsia="en-GB"/>
              </w:rPr>
            </w:pPr>
            <w:r w:rsidRPr="00FA0D37">
              <w:rPr>
                <w:iCs/>
                <w:lang w:eastAsia="en-GB"/>
              </w:rPr>
              <w:t>Sidelink logical channel priority, as specified in TS 38.321 [3].</w:t>
            </w:r>
          </w:p>
        </w:tc>
      </w:tr>
      <w:tr w:rsidR="000830BB" w:rsidRPr="00FA0D37" w14:paraId="6C9A5DEA"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04F116AA" w14:textId="77777777" w:rsidR="00394471" w:rsidRPr="00FA0D37" w:rsidRDefault="00394471" w:rsidP="00964CC4">
            <w:pPr>
              <w:pStyle w:val="TAL"/>
              <w:rPr>
                <w:b/>
                <w:bCs/>
                <w:i/>
                <w:iCs/>
                <w:lang w:eastAsia="en-GB"/>
              </w:rPr>
            </w:pPr>
            <w:r w:rsidRPr="00FA0D37">
              <w:rPr>
                <w:b/>
                <w:bCs/>
                <w:i/>
                <w:iCs/>
                <w:lang w:eastAsia="en-GB"/>
              </w:rPr>
              <w:t>sl-SchedulingRequestId</w:t>
            </w:r>
          </w:p>
          <w:p w14:paraId="2FFF34D3" w14:textId="77777777" w:rsidR="00394471" w:rsidRPr="00FA0D37" w:rsidRDefault="00394471" w:rsidP="00964CC4">
            <w:pPr>
              <w:pStyle w:val="TAL"/>
              <w:rPr>
                <w:lang w:eastAsia="en-GB"/>
              </w:rPr>
            </w:pPr>
            <w:r w:rsidRPr="00FA0D37">
              <w:rPr>
                <w:lang w:eastAsia="en-GB"/>
              </w:rPr>
              <w:t>If present, it indicates the scheduling request configuration applicable for this sidelink logical channel, as specified in TS 38.321 [3].</w:t>
            </w:r>
          </w:p>
        </w:tc>
      </w:tr>
    </w:tbl>
    <w:p w14:paraId="7911BCFC" w14:textId="1B427FD1" w:rsidR="00394471" w:rsidRPr="00FA0D37" w:rsidRDefault="00394471" w:rsidP="00394471">
      <w:pPr>
        <w:rPr>
          <w:rFonts w:eastAsia="Yu Mincho"/>
        </w:rPr>
      </w:pPr>
    </w:p>
    <w:p w14:paraId="0FAD3F96" w14:textId="4BF3BA26" w:rsidR="00E81DFA" w:rsidRPr="00FA0D37" w:rsidRDefault="00E81DFA" w:rsidP="00E81DFA">
      <w:pPr>
        <w:pStyle w:val="4"/>
      </w:pPr>
      <w:bookmarkStart w:id="1784" w:name="_Toc146781653"/>
      <w:r w:rsidRPr="00FA0D37">
        <w:t>–</w:t>
      </w:r>
      <w:r w:rsidRPr="00FA0D37">
        <w:tab/>
      </w:r>
      <w:r w:rsidRPr="00FA0D37">
        <w:rPr>
          <w:i/>
          <w:iCs/>
        </w:rPr>
        <w:t>SL-L2RelayUE</w:t>
      </w:r>
      <w:r w:rsidR="009620A4" w:rsidRPr="00FA0D37">
        <w:rPr>
          <w:i/>
          <w:iCs/>
        </w:rPr>
        <w:t>-</w:t>
      </w:r>
      <w:r w:rsidRPr="00FA0D37">
        <w:rPr>
          <w:i/>
          <w:iCs/>
        </w:rPr>
        <w:t>Config</w:t>
      </w:r>
      <w:bookmarkEnd w:id="1784"/>
    </w:p>
    <w:p w14:paraId="046D1FA9" w14:textId="23653AD9" w:rsidR="00E81DFA" w:rsidRPr="00FA0D37" w:rsidRDefault="00E81DFA" w:rsidP="00E81DFA">
      <w:r w:rsidRPr="00FA0D37">
        <w:t xml:space="preserve">The IE </w:t>
      </w:r>
      <w:r w:rsidRPr="00FA0D37">
        <w:rPr>
          <w:i/>
        </w:rPr>
        <w:t>SL</w:t>
      </w:r>
      <w:r w:rsidRPr="00FA0D37">
        <w:t>-</w:t>
      </w:r>
      <w:r w:rsidRPr="00FA0D37">
        <w:rPr>
          <w:i/>
        </w:rPr>
        <w:t>L2RelayUE</w:t>
      </w:r>
      <w:r w:rsidR="009620A4" w:rsidRPr="00FA0D37">
        <w:rPr>
          <w:i/>
        </w:rPr>
        <w:t>-</w:t>
      </w:r>
      <w:r w:rsidRPr="00FA0D37">
        <w:rPr>
          <w:i/>
        </w:rPr>
        <w:t>Config</w:t>
      </w:r>
      <w:r w:rsidRPr="00FA0D37">
        <w:t xml:space="preserve"> is used to configure</w:t>
      </w:r>
      <w:r w:rsidRPr="00FA0D37">
        <w:rPr>
          <w:szCs w:val="22"/>
          <w:lang w:eastAsia="sv-SE"/>
        </w:rPr>
        <w:t xml:space="preserve"> L2 U2N relay operation related configurations used by L2 U2N Relay UE</w:t>
      </w:r>
      <w:r w:rsidRPr="00FA0D37">
        <w:t>.</w:t>
      </w:r>
    </w:p>
    <w:p w14:paraId="696440C8" w14:textId="4B0C4A95" w:rsidR="00E81DFA" w:rsidRPr="00FA0D37" w:rsidRDefault="00E81DFA" w:rsidP="00E81DFA">
      <w:pPr>
        <w:pStyle w:val="TH"/>
        <w:rPr>
          <w:b w:val="0"/>
        </w:rPr>
      </w:pPr>
      <w:r w:rsidRPr="00FA0D37">
        <w:rPr>
          <w:i/>
          <w:iCs/>
        </w:rPr>
        <w:t>SL-L2RelayUE</w:t>
      </w:r>
      <w:r w:rsidR="009620A4" w:rsidRPr="00FA0D37">
        <w:rPr>
          <w:i/>
          <w:iCs/>
        </w:rPr>
        <w:t>-</w:t>
      </w:r>
      <w:r w:rsidRPr="00FA0D37">
        <w:rPr>
          <w:i/>
          <w:iCs/>
        </w:rPr>
        <w:t>Config</w:t>
      </w:r>
      <w:r w:rsidRPr="00FA0D37">
        <w:t xml:space="preserve"> information element</w:t>
      </w:r>
    </w:p>
    <w:p w14:paraId="4616395D" w14:textId="77777777" w:rsidR="00E81DFA" w:rsidRPr="00FA0D37" w:rsidRDefault="00E81DFA" w:rsidP="00FA0D37">
      <w:pPr>
        <w:pStyle w:val="PL"/>
        <w:rPr>
          <w:color w:val="808080"/>
        </w:rPr>
      </w:pPr>
      <w:r w:rsidRPr="00FA0D37">
        <w:rPr>
          <w:color w:val="808080"/>
        </w:rPr>
        <w:t>-- ASN1START</w:t>
      </w:r>
    </w:p>
    <w:p w14:paraId="5DA388BD" w14:textId="5D8D973C" w:rsidR="00E81DFA" w:rsidRPr="00FA0D37" w:rsidRDefault="00E81DFA" w:rsidP="00FA0D37">
      <w:pPr>
        <w:pStyle w:val="PL"/>
        <w:rPr>
          <w:color w:val="808080"/>
        </w:rPr>
      </w:pPr>
      <w:r w:rsidRPr="00FA0D37">
        <w:rPr>
          <w:color w:val="808080"/>
        </w:rPr>
        <w:t>-- TAG-SL</w:t>
      </w:r>
      <w:r w:rsidRPr="00FA0D37">
        <w:rPr>
          <w:rFonts w:eastAsia="等线"/>
          <w:color w:val="808080"/>
        </w:rPr>
        <w:t>-</w:t>
      </w:r>
      <w:r w:rsidRPr="00FA0D37">
        <w:rPr>
          <w:color w:val="808080"/>
        </w:rPr>
        <w:t>L2RELAYUE</w:t>
      </w:r>
      <w:r w:rsidR="009620A4" w:rsidRPr="00FA0D37">
        <w:rPr>
          <w:color w:val="808080"/>
        </w:rPr>
        <w:t>-</w:t>
      </w:r>
      <w:r w:rsidRPr="00FA0D37">
        <w:rPr>
          <w:color w:val="808080"/>
        </w:rPr>
        <w:t>CONFIG-START</w:t>
      </w:r>
    </w:p>
    <w:p w14:paraId="65C1A056" w14:textId="77777777" w:rsidR="00E81DFA" w:rsidRPr="00FA0D37" w:rsidRDefault="00E81DFA" w:rsidP="00FA0D37">
      <w:pPr>
        <w:pStyle w:val="PL"/>
      </w:pPr>
    </w:p>
    <w:p w14:paraId="11294928" w14:textId="378F1AA7" w:rsidR="00E81DFA" w:rsidRPr="00FA0D37" w:rsidRDefault="00E81DFA" w:rsidP="00FA0D37">
      <w:pPr>
        <w:pStyle w:val="PL"/>
      </w:pPr>
      <w:r w:rsidRPr="00FA0D37">
        <w:t>SL-L2RelayUE</w:t>
      </w:r>
      <w:r w:rsidR="009620A4" w:rsidRPr="00FA0D37">
        <w:t>-</w:t>
      </w:r>
      <w:r w:rsidRPr="00FA0D37">
        <w:t xml:space="preserve">Config-r17 ::=        </w:t>
      </w:r>
      <w:r w:rsidRPr="00FA0D37">
        <w:rPr>
          <w:color w:val="993366"/>
        </w:rPr>
        <w:t>SEQUENCE</w:t>
      </w:r>
      <w:r w:rsidRPr="00FA0D37">
        <w:t xml:space="preserve"> {</w:t>
      </w:r>
    </w:p>
    <w:p w14:paraId="77E8337B" w14:textId="4270D9BE" w:rsidR="00E81DFA" w:rsidRPr="00FA0D37" w:rsidRDefault="00E81DFA" w:rsidP="00FA0D37">
      <w:pPr>
        <w:pStyle w:val="PL"/>
        <w:rPr>
          <w:color w:val="808080"/>
        </w:rPr>
      </w:pPr>
      <w:r w:rsidRPr="00FA0D37">
        <w:t xml:space="preserve">    sl-RemoteUE-ToAddModList-r17    </w:t>
      </w:r>
      <w:r w:rsidR="00DC765E" w:rsidRPr="00FA0D37">
        <w:t xml:space="preserve">   </w:t>
      </w:r>
      <w:r w:rsidRPr="00FA0D37">
        <w:rPr>
          <w:color w:val="993366"/>
        </w:rPr>
        <w:t>SEQUENCE</w:t>
      </w:r>
      <w:r w:rsidRPr="00FA0D37">
        <w:t xml:space="preserve"> (</w:t>
      </w:r>
      <w:r w:rsidRPr="00FA0D37">
        <w:rPr>
          <w:color w:val="993366"/>
        </w:rPr>
        <w:t>SIZE</w:t>
      </w:r>
      <w:r w:rsidRPr="00FA0D37">
        <w:t xml:space="preserve"> (1..max</w:t>
      </w:r>
      <w:r w:rsidR="009620A4" w:rsidRPr="00FA0D37">
        <w:t>Nrof</w:t>
      </w:r>
      <w:r w:rsidRPr="00FA0D37">
        <w:t>RemoteUE</w:t>
      </w:r>
      <w:r w:rsidR="0048695E" w:rsidRPr="00FA0D37">
        <w:t>-r17</w:t>
      </w:r>
      <w:r w:rsidRPr="00FA0D37">
        <w:t>))</w:t>
      </w:r>
      <w:r w:rsidRPr="00FA0D37">
        <w:rPr>
          <w:color w:val="993366"/>
        </w:rPr>
        <w:t xml:space="preserve"> OF</w:t>
      </w:r>
      <w:r w:rsidRPr="00FA0D37">
        <w:t xml:space="preserve"> SL-RemoteUE-ToAddMod-r17    </w:t>
      </w:r>
      <w:r w:rsidRPr="00FA0D37">
        <w:rPr>
          <w:color w:val="993366"/>
        </w:rPr>
        <w:t>OPTIONAL</w:t>
      </w:r>
      <w:r w:rsidRPr="00FA0D37">
        <w:t xml:space="preserve">,    </w:t>
      </w:r>
      <w:r w:rsidRPr="00FA0D37">
        <w:rPr>
          <w:color w:val="808080"/>
        </w:rPr>
        <w:t xml:space="preserve">-- Need </w:t>
      </w:r>
      <w:r w:rsidR="009620A4" w:rsidRPr="00FA0D37">
        <w:rPr>
          <w:color w:val="808080"/>
        </w:rPr>
        <w:t>N</w:t>
      </w:r>
    </w:p>
    <w:p w14:paraId="220BFF7B" w14:textId="7F3183AD" w:rsidR="00E81DFA" w:rsidRPr="00FA0D37" w:rsidRDefault="00E81DFA" w:rsidP="00FA0D37">
      <w:pPr>
        <w:pStyle w:val="PL"/>
        <w:rPr>
          <w:color w:val="808080"/>
        </w:rPr>
      </w:pPr>
      <w:r w:rsidRPr="00FA0D37">
        <w:t xml:space="preserve">    sl-RemoteUE-ToReleaseList-r17   </w:t>
      </w:r>
      <w:r w:rsidR="00DC765E" w:rsidRPr="00FA0D37">
        <w:t xml:space="preserve">   </w:t>
      </w:r>
      <w:r w:rsidRPr="00FA0D37">
        <w:rPr>
          <w:color w:val="993366"/>
        </w:rPr>
        <w:t>SEQUENCE</w:t>
      </w:r>
      <w:r w:rsidRPr="00FA0D37">
        <w:t xml:space="preserve"> (</w:t>
      </w:r>
      <w:r w:rsidRPr="00FA0D37">
        <w:rPr>
          <w:color w:val="993366"/>
        </w:rPr>
        <w:t>SIZE</w:t>
      </w:r>
      <w:r w:rsidRPr="00FA0D37">
        <w:t xml:space="preserve"> (1..max</w:t>
      </w:r>
      <w:r w:rsidR="009620A4" w:rsidRPr="00FA0D37">
        <w:t>Nrof</w:t>
      </w:r>
      <w:r w:rsidRPr="00FA0D37">
        <w:t>RemoteUE</w:t>
      </w:r>
      <w:r w:rsidR="0048695E" w:rsidRPr="00FA0D37">
        <w:t>-r17</w:t>
      </w:r>
      <w:r w:rsidRPr="00FA0D37">
        <w:t>))</w:t>
      </w:r>
      <w:r w:rsidRPr="00FA0D37">
        <w:rPr>
          <w:color w:val="993366"/>
        </w:rPr>
        <w:t xml:space="preserve"> OF</w:t>
      </w:r>
      <w:r w:rsidRPr="00FA0D37">
        <w:t xml:space="preserve"> SL-DestinationIdentity-r16  </w:t>
      </w:r>
      <w:r w:rsidRPr="00FA0D37">
        <w:rPr>
          <w:color w:val="993366"/>
        </w:rPr>
        <w:t>OPTIONAL</w:t>
      </w:r>
      <w:r w:rsidRPr="00FA0D37">
        <w:t xml:space="preserve">,    </w:t>
      </w:r>
      <w:r w:rsidRPr="00FA0D37">
        <w:rPr>
          <w:color w:val="808080"/>
        </w:rPr>
        <w:t xml:space="preserve">-- Need </w:t>
      </w:r>
      <w:r w:rsidR="009620A4" w:rsidRPr="00FA0D37">
        <w:rPr>
          <w:color w:val="808080"/>
        </w:rPr>
        <w:t>N</w:t>
      </w:r>
    </w:p>
    <w:p w14:paraId="4154C6A8" w14:textId="77777777" w:rsidR="00E81DFA" w:rsidRPr="00FA0D37" w:rsidRDefault="00E81DFA" w:rsidP="00FA0D37">
      <w:pPr>
        <w:pStyle w:val="PL"/>
      </w:pPr>
      <w:r w:rsidRPr="00FA0D37">
        <w:t xml:space="preserve">    ...</w:t>
      </w:r>
    </w:p>
    <w:p w14:paraId="6C5604FA" w14:textId="77777777" w:rsidR="00E81DFA" w:rsidRPr="00FA0D37" w:rsidRDefault="00E81DFA" w:rsidP="00FA0D37">
      <w:pPr>
        <w:pStyle w:val="PL"/>
      </w:pPr>
      <w:r w:rsidRPr="00FA0D37">
        <w:t>}</w:t>
      </w:r>
    </w:p>
    <w:p w14:paraId="3B09E4E1" w14:textId="77777777" w:rsidR="00E81DFA" w:rsidRPr="00FA0D37" w:rsidRDefault="00E81DFA" w:rsidP="00FA0D37">
      <w:pPr>
        <w:pStyle w:val="PL"/>
      </w:pPr>
    </w:p>
    <w:p w14:paraId="059E6189" w14:textId="1D7C98FC" w:rsidR="00E81DFA" w:rsidRPr="00FA0D37" w:rsidRDefault="00E81DFA" w:rsidP="00FA0D37">
      <w:pPr>
        <w:pStyle w:val="PL"/>
      </w:pPr>
      <w:r w:rsidRPr="00FA0D37">
        <w:t xml:space="preserve">SL-RemoteUE-ToAddMod-r17 ::=       </w:t>
      </w:r>
      <w:r w:rsidRPr="00FA0D37">
        <w:rPr>
          <w:color w:val="993366"/>
        </w:rPr>
        <w:t>SEQUENCE</w:t>
      </w:r>
      <w:r w:rsidRPr="00FA0D37">
        <w:t xml:space="preserve"> {</w:t>
      </w:r>
    </w:p>
    <w:p w14:paraId="2810776C" w14:textId="299576DD" w:rsidR="00E81DFA" w:rsidRPr="00FA0D37" w:rsidRDefault="00E81DFA" w:rsidP="00FA0D37">
      <w:pPr>
        <w:pStyle w:val="PL"/>
      </w:pPr>
      <w:r w:rsidRPr="00FA0D37">
        <w:t xml:space="preserve">    sl-L2IdentityRemote-r17           </w:t>
      </w:r>
      <w:r w:rsidR="009620A4" w:rsidRPr="00FA0D37">
        <w:t xml:space="preserve"> </w:t>
      </w:r>
      <w:r w:rsidRPr="00FA0D37">
        <w:t>SL-DestinationIdentity-r16,</w:t>
      </w:r>
    </w:p>
    <w:p w14:paraId="1AC23BFC" w14:textId="77D99D30" w:rsidR="00E81DFA" w:rsidRPr="00FA0D37" w:rsidRDefault="00E81DFA" w:rsidP="00FA0D37">
      <w:pPr>
        <w:pStyle w:val="PL"/>
        <w:rPr>
          <w:color w:val="808080"/>
        </w:rPr>
      </w:pPr>
      <w:r w:rsidRPr="00FA0D37">
        <w:t xml:space="preserve">    sl-SRAP-ConfigRelay-r17           SL-SRAP-Config-r17                                                    </w:t>
      </w:r>
      <w:r w:rsidRPr="00FA0D37">
        <w:rPr>
          <w:color w:val="993366"/>
        </w:rPr>
        <w:t>OPTIONAL</w:t>
      </w:r>
      <w:r w:rsidRPr="00FA0D37">
        <w:t xml:space="preserve">,    </w:t>
      </w:r>
      <w:r w:rsidRPr="00FA0D37">
        <w:rPr>
          <w:color w:val="808080"/>
        </w:rPr>
        <w:t xml:space="preserve">-- </w:t>
      </w:r>
      <w:r w:rsidR="009620A4" w:rsidRPr="00FA0D37">
        <w:rPr>
          <w:color w:val="808080"/>
        </w:rPr>
        <w:t>Need M</w:t>
      </w:r>
    </w:p>
    <w:p w14:paraId="2883EC8B" w14:textId="77777777" w:rsidR="00E81DFA" w:rsidRPr="00FA0D37" w:rsidRDefault="00E81DFA" w:rsidP="00FA0D37">
      <w:pPr>
        <w:pStyle w:val="PL"/>
      </w:pPr>
      <w:r w:rsidRPr="00FA0D37">
        <w:t xml:space="preserve">    ...</w:t>
      </w:r>
    </w:p>
    <w:p w14:paraId="5581F515" w14:textId="77777777" w:rsidR="00DC765E" w:rsidRPr="00FA0D37" w:rsidRDefault="00E81DFA" w:rsidP="00FA0D37">
      <w:pPr>
        <w:pStyle w:val="PL"/>
      </w:pPr>
      <w:r w:rsidRPr="00FA0D37">
        <w:t>}</w:t>
      </w:r>
    </w:p>
    <w:p w14:paraId="28405E10" w14:textId="77777777" w:rsidR="00DC765E" w:rsidRPr="00FA0D37" w:rsidRDefault="00DC765E" w:rsidP="00FA0D37">
      <w:pPr>
        <w:pStyle w:val="PL"/>
      </w:pPr>
    </w:p>
    <w:p w14:paraId="25247CB3" w14:textId="1A38F424" w:rsidR="00E81DFA" w:rsidRPr="00FA0D37" w:rsidRDefault="00E81DFA" w:rsidP="00FA0D37">
      <w:pPr>
        <w:pStyle w:val="PL"/>
        <w:rPr>
          <w:color w:val="808080"/>
        </w:rPr>
      </w:pPr>
      <w:r w:rsidRPr="00FA0D37">
        <w:rPr>
          <w:color w:val="808080"/>
        </w:rPr>
        <w:t>-- TAG-SL-L2RELAYUE</w:t>
      </w:r>
      <w:r w:rsidR="009620A4" w:rsidRPr="00FA0D37">
        <w:rPr>
          <w:color w:val="808080"/>
        </w:rPr>
        <w:t>-</w:t>
      </w:r>
      <w:r w:rsidRPr="00FA0D37">
        <w:rPr>
          <w:color w:val="808080"/>
        </w:rPr>
        <w:t>CONFIG-STOP</w:t>
      </w:r>
    </w:p>
    <w:p w14:paraId="03D0B74C" w14:textId="77777777" w:rsidR="00E81DFA" w:rsidRPr="00FA0D37" w:rsidRDefault="00E81DFA" w:rsidP="00FA0D37">
      <w:pPr>
        <w:pStyle w:val="PL"/>
        <w:rPr>
          <w:color w:val="808080"/>
        </w:rPr>
      </w:pPr>
      <w:r w:rsidRPr="00FA0D37">
        <w:rPr>
          <w:color w:val="808080"/>
        </w:rPr>
        <w:t>-- ASN1STOP</w:t>
      </w:r>
    </w:p>
    <w:p w14:paraId="79149108" w14:textId="77777777" w:rsidR="00E81DFA" w:rsidRPr="00FA0D37" w:rsidRDefault="00E81DFA" w:rsidP="00E81DF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7B65B3AD" w14:textId="77777777" w:rsidTr="00771058">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50CE97A" w14:textId="54D5E814" w:rsidR="00E81DFA" w:rsidRPr="00FA0D37" w:rsidRDefault="00E81DFA" w:rsidP="00771058">
            <w:pPr>
              <w:pStyle w:val="TAH"/>
              <w:rPr>
                <w:b w:val="0"/>
                <w:lang w:eastAsia="en-GB"/>
              </w:rPr>
            </w:pPr>
            <w:r w:rsidRPr="00FA0D37">
              <w:rPr>
                <w:i/>
                <w:noProof/>
                <w:lang w:eastAsia="en-GB"/>
              </w:rPr>
              <w:t>SL-L2RelayUE</w:t>
            </w:r>
            <w:r w:rsidR="009620A4" w:rsidRPr="00FA0D37">
              <w:rPr>
                <w:i/>
                <w:noProof/>
                <w:lang w:eastAsia="en-GB"/>
              </w:rPr>
              <w:t>-</w:t>
            </w:r>
            <w:r w:rsidRPr="00FA0D37">
              <w:rPr>
                <w:i/>
                <w:noProof/>
                <w:lang w:eastAsia="en-GB"/>
              </w:rPr>
              <w:t>Config</w:t>
            </w:r>
            <w:r w:rsidRPr="00FA0D37">
              <w:rPr>
                <w:iCs/>
                <w:noProof/>
                <w:lang w:eastAsia="en-GB"/>
              </w:rPr>
              <w:t xml:space="preserve"> field descriptions</w:t>
            </w:r>
          </w:p>
        </w:tc>
      </w:tr>
      <w:tr w:rsidR="005C7FF4" w:rsidRPr="00FA0D37" w14:paraId="7C11726B"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7AAE332" w14:textId="77777777" w:rsidR="00E81DFA" w:rsidRPr="00FA0D37" w:rsidRDefault="00E81DFA" w:rsidP="00771058">
            <w:pPr>
              <w:pStyle w:val="TAL"/>
              <w:rPr>
                <w:b/>
                <w:bCs/>
                <w:i/>
                <w:iCs/>
                <w:lang w:eastAsia="en-GB"/>
              </w:rPr>
            </w:pPr>
            <w:r w:rsidRPr="00FA0D37">
              <w:rPr>
                <w:b/>
                <w:bCs/>
                <w:i/>
                <w:iCs/>
                <w:lang w:eastAsia="en-GB"/>
              </w:rPr>
              <w:t>sl-RemoteUE-ToAddModList</w:t>
            </w:r>
          </w:p>
          <w:p w14:paraId="41DAA5A5" w14:textId="63E08CB1" w:rsidR="00E81DFA" w:rsidRPr="00FA0D37" w:rsidRDefault="00E81DFA" w:rsidP="00771058">
            <w:pPr>
              <w:pStyle w:val="TAL"/>
              <w:rPr>
                <w:noProof/>
                <w:lang w:eastAsia="en-GB"/>
              </w:rPr>
            </w:pPr>
            <w:r w:rsidRPr="00FA0D37">
              <w:rPr>
                <w:lang w:eastAsia="en-GB"/>
              </w:rPr>
              <w:t>List of L2 U2N Remote UEs to be added and modified</w:t>
            </w:r>
            <w:r w:rsidR="009620A4" w:rsidRPr="00FA0D37">
              <w:rPr>
                <w:lang w:eastAsia="en-GB"/>
              </w:rPr>
              <w:t xml:space="preserve"> to the L2 U2N Relay UE</w:t>
            </w:r>
            <w:r w:rsidRPr="00FA0D37">
              <w:rPr>
                <w:lang w:eastAsia="en-GB"/>
              </w:rPr>
              <w:t>.</w:t>
            </w:r>
          </w:p>
        </w:tc>
      </w:tr>
      <w:tr w:rsidR="00375B89" w:rsidRPr="00FA0D37" w14:paraId="1B1331B4"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45F7E03" w14:textId="77777777" w:rsidR="00E81DFA" w:rsidRPr="00FA0D37" w:rsidRDefault="00E81DFA" w:rsidP="00771058">
            <w:pPr>
              <w:pStyle w:val="TAL"/>
              <w:rPr>
                <w:b/>
                <w:bCs/>
                <w:i/>
                <w:iCs/>
                <w:lang w:eastAsia="en-GB"/>
              </w:rPr>
            </w:pPr>
            <w:r w:rsidRPr="00FA0D37">
              <w:rPr>
                <w:b/>
                <w:bCs/>
                <w:i/>
                <w:iCs/>
                <w:lang w:eastAsia="en-GB"/>
              </w:rPr>
              <w:t>sl-RemoteUE-ToReleaseList</w:t>
            </w:r>
          </w:p>
          <w:p w14:paraId="1E721EC5" w14:textId="015C7FF7" w:rsidR="00E81DFA" w:rsidRPr="00FA0D37" w:rsidRDefault="00E81DFA" w:rsidP="00771058">
            <w:pPr>
              <w:pStyle w:val="TAL"/>
              <w:rPr>
                <w:lang w:eastAsia="en-GB"/>
              </w:rPr>
            </w:pPr>
            <w:r w:rsidRPr="00FA0D37">
              <w:rPr>
                <w:lang w:eastAsia="en-GB"/>
              </w:rPr>
              <w:t>List of L2 U2N Remote UEs to be released</w:t>
            </w:r>
            <w:r w:rsidR="009620A4" w:rsidRPr="00FA0D37">
              <w:rPr>
                <w:lang w:eastAsia="en-GB"/>
              </w:rPr>
              <w:t xml:space="preserve"> by the L2 U2N Relay UE</w:t>
            </w:r>
            <w:r w:rsidRPr="00FA0D37">
              <w:rPr>
                <w:lang w:eastAsia="en-GB"/>
              </w:rPr>
              <w:t>.</w:t>
            </w:r>
          </w:p>
        </w:tc>
      </w:tr>
    </w:tbl>
    <w:p w14:paraId="4A667A77" w14:textId="77777777" w:rsidR="00E81DFA" w:rsidRPr="00FA0D37" w:rsidRDefault="00E81DFA" w:rsidP="00E81DFA">
      <w:pPr>
        <w:rPr>
          <w:rFonts w:eastAsia="Yu Mincho"/>
        </w:rPr>
      </w:pPr>
    </w:p>
    <w:p w14:paraId="58750A49" w14:textId="71E08502" w:rsidR="00E81DFA" w:rsidRPr="00FA0D37" w:rsidRDefault="00E81DFA" w:rsidP="00E81DFA">
      <w:pPr>
        <w:pStyle w:val="4"/>
      </w:pPr>
      <w:bookmarkStart w:id="1785" w:name="_Toc146781654"/>
      <w:r w:rsidRPr="00FA0D37">
        <w:t>–</w:t>
      </w:r>
      <w:r w:rsidRPr="00FA0D37">
        <w:tab/>
      </w:r>
      <w:r w:rsidRPr="00FA0D37">
        <w:rPr>
          <w:i/>
          <w:iCs/>
        </w:rPr>
        <w:t>SL-L2RemoteUE</w:t>
      </w:r>
      <w:r w:rsidR="009620A4" w:rsidRPr="00FA0D37">
        <w:rPr>
          <w:i/>
          <w:iCs/>
        </w:rPr>
        <w:t>-</w:t>
      </w:r>
      <w:r w:rsidRPr="00FA0D37">
        <w:rPr>
          <w:i/>
          <w:iCs/>
        </w:rPr>
        <w:t>Config</w:t>
      </w:r>
      <w:bookmarkEnd w:id="1785"/>
    </w:p>
    <w:p w14:paraId="1D18714E" w14:textId="655E0108" w:rsidR="00E81DFA" w:rsidRPr="00FA0D37" w:rsidRDefault="00E81DFA" w:rsidP="00E81DFA">
      <w:r w:rsidRPr="00FA0D37">
        <w:t xml:space="preserve">The IE </w:t>
      </w:r>
      <w:r w:rsidRPr="00FA0D37">
        <w:rPr>
          <w:i/>
        </w:rPr>
        <w:t>SL</w:t>
      </w:r>
      <w:r w:rsidRPr="00FA0D37">
        <w:t>-</w:t>
      </w:r>
      <w:r w:rsidRPr="00FA0D37">
        <w:rPr>
          <w:i/>
        </w:rPr>
        <w:t>L2RemoteUE</w:t>
      </w:r>
      <w:r w:rsidR="009620A4" w:rsidRPr="00FA0D37">
        <w:rPr>
          <w:i/>
        </w:rPr>
        <w:t>-</w:t>
      </w:r>
      <w:r w:rsidRPr="00FA0D37">
        <w:rPr>
          <w:i/>
        </w:rPr>
        <w:t>Config</w:t>
      </w:r>
      <w:r w:rsidRPr="00FA0D37">
        <w:t xml:space="preserve"> is used to</w:t>
      </w:r>
      <w:r w:rsidRPr="00FA0D37">
        <w:rPr>
          <w:szCs w:val="22"/>
          <w:lang w:eastAsia="sv-SE"/>
        </w:rPr>
        <w:t xml:space="preserve"> </w:t>
      </w:r>
      <w:r w:rsidR="009620A4" w:rsidRPr="00FA0D37">
        <w:rPr>
          <w:szCs w:val="22"/>
          <w:lang w:eastAsia="sv-SE"/>
        </w:rPr>
        <w:t xml:space="preserve">configure </w:t>
      </w:r>
      <w:r w:rsidRPr="00FA0D37">
        <w:rPr>
          <w:szCs w:val="22"/>
          <w:lang w:eastAsia="sv-SE"/>
        </w:rPr>
        <w:t>L2 U2N relay operation related configurations used by L2 U2N Remote UE</w:t>
      </w:r>
      <w:r w:rsidRPr="00FA0D37">
        <w:t>.</w:t>
      </w:r>
    </w:p>
    <w:p w14:paraId="4DBF8E8F" w14:textId="46EBFA32" w:rsidR="00E81DFA" w:rsidRPr="00FA0D37" w:rsidRDefault="00E81DFA" w:rsidP="00E81DFA">
      <w:pPr>
        <w:pStyle w:val="TH"/>
        <w:rPr>
          <w:b w:val="0"/>
        </w:rPr>
      </w:pPr>
      <w:r w:rsidRPr="00FA0D37">
        <w:rPr>
          <w:i/>
          <w:iCs/>
        </w:rPr>
        <w:t>SL-L2RemoteUE</w:t>
      </w:r>
      <w:r w:rsidR="009620A4" w:rsidRPr="00FA0D37">
        <w:rPr>
          <w:i/>
          <w:iCs/>
        </w:rPr>
        <w:t>-</w:t>
      </w:r>
      <w:r w:rsidRPr="00FA0D37">
        <w:rPr>
          <w:i/>
          <w:iCs/>
        </w:rPr>
        <w:t>Config</w:t>
      </w:r>
      <w:r w:rsidRPr="00FA0D37">
        <w:t xml:space="preserve"> information element</w:t>
      </w:r>
    </w:p>
    <w:p w14:paraId="48CCD9E4" w14:textId="77777777" w:rsidR="00E81DFA" w:rsidRPr="00FA0D37" w:rsidRDefault="00E81DFA" w:rsidP="00FA0D37">
      <w:pPr>
        <w:pStyle w:val="PL"/>
        <w:rPr>
          <w:color w:val="808080"/>
        </w:rPr>
      </w:pPr>
      <w:r w:rsidRPr="00FA0D37">
        <w:rPr>
          <w:color w:val="808080"/>
        </w:rPr>
        <w:t>-- ASN1START</w:t>
      </w:r>
    </w:p>
    <w:p w14:paraId="75CFE6C7" w14:textId="12B8E919" w:rsidR="00E81DFA" w:rsidRPr="00FA0D37" w:rsidRDefault="00E81DFA" w:rsidP="00FA0D37">
      <w:pPr>
        <w:pStyle w:val="PL"/>
        <w:rPr>
          <w:color w:val="808080"/>
        </w:rPr>
      </w:pPr>
      <w:r w:rsidRPr="00FA0D37">
        <w:rPr>
          <w:color w:val="808080"/>
        </w:rPr>
        <w:t>-- TAG-SL</w:t>
      </w:r>
      <w:r w:rsidRPr="00FA0D37">
        <w:rPr>
          <w:rFonts w:eastAsia="等线"/>
          <w:color w:val="808080"/>
        </w:rPr>
        <w:t>-</w:t>
      </w:r>
      <w:r w:rsidRPr="00FA0D37">
        <w:rPr>
          <w:color w:val="808080"/>
        </w:rPr>
        <w:t>L2REMOTEUE</w:t>
      </w:r>
      <w:r w:rsidR="009620A4" w:rsidRPr="00FA0D37">
        <w:rPr>
          <w:color w:val="808080"/>
        </w:rPr>
        <w:t>-</w:t>
      </w:r>
      <w:r w:rsidRPr="00FA0D37">
        <w:rPr>
          <w:color w:val="808080"/>
        </w:rPr>
        <w:t>CONFIG-START</w:t>
      </w:r>
    </w:p>
    <w:p w14:paraId="43D55029" w14:textId="77777777" w:rsidR="00E81DFA" w:rsidRPr="00FA0D37" w:rsidRDefault="00E81DFA" w:rsidP="00FA0D37">
      <w:pPr>
        <w:pStyle w:val="PL"/>
      </w:pPr>
    </w:p>
    <w:p w14:paraId="2527719F" w14:textId="5503E732" w:rsidR="00E81DFA" w:rsidRPr="00FA0D37" w:rsidRDefault="00E81DFA" w:rsidP="00FA0D37">
      <w:pPr>
        <w:pStyle w:val="PL"/>
      </w:pPr>
      <w:r w:rsidRPr="00FA0D37">
        <w:t>SL-L2RemoteUE</w:t>
      </w:r>
      <w:r w:rsidR="009620A4" w:rsidRPr="00FA0D37">
        <w:t>-</w:t>
      </w:r>
      <w:r w:rsidRPr="00FA0D37">
        <w:t xml:space="preserve">Config-r17 ::=      </w:t>
      </w:r>
      <w:r w:rsidRPr="00FA0D37">
        <w:rPr>
          <w:color w:val="993366"/>
        </w:rPr>
        <w:t>SEQUENCE</w:t>
      </w:r>
      <w:r w:rsidRPr="00FA0D37">
        <w:t xml:space="preserve"> {</w:t>
      </w:r>
    </w:p>
    <w:p w14:paraId="753EB1D5" w14:textId="705E9791" w:rsidR="00E81DFA" w:rsidRPr="00FA0D37" w:rsidRDefault="00E81DFA" w:rsidP="00FA0D37">
      <w:pPr>
        <w:pStyle w:val="PL"/>
        <w:rPr>
          <w:color w:val="808080"/>
        </w:rPr>
      </w:pPr>
      <w:r w:rsidRPr="00FA0D37">
        <w:t xml:space="preserve">    sl-SRAP-ConfigRemote-r17         </w:t>
      </w:r>
      <w:r w:rsidR="009620A4" w:rsidRPr="00FA0D37">
        <w:t xml:space="preserve"> </w:t>
      </w:r>
      <w:r w:rsidRPr="00FA0D37">
        <w:t xml:space="preserve">SL-SRAP-Config-r17                                    </w:t>
      </w:r>
      <w:r w:rsidRPr="00FA0D37">
        <w:rPr>
          <w:color w:val="993366"/>
        </w:rPr>
        <w:t>OPTIONAL</w:t>
      </w:r>
      <w:r w:rsidRPr="00FA0D37">
        <w:t xml:space="preserve">,  </w:t>
      </w:r>
      <w:r w:rsidRPr="00FA0D37">
        <w:rPr>
          <w:color w:val="808080"/>
        </w:rPr>
        <w:t>--Need M</w:t>
      </w:r>
    </w:p>
    <w:p w14:paraId="013926C1" w14:textId="579AA550" w:rsidR="00E81DFA" w:rsidRPr="00FA0D37" w:rsidRDefault="009620A4" w:rsidP="00FA0D37">
      <w:pPr>
        <w:pStyle w:val="PL"/>
        <w:rPr>
          <w:color w:val="808080"/>
        </w:rPr>
      </w:pPr>
      <w:r w:rsidRPr="00FA0D37">
        <w:t xml:space="preserve">    </w:t>
      </w:r>
      <w:r w:rsidRPr="00FA0D37">
        <w:rPr>
          <w:rFonts w:eastAsia="等线"/>
        </w:rPr>
        <w:t>sl-UEIdentityRemote-r17</w:t>
      </w:r>
      <w:r w:rsidRPr="00FA0D37">
        <w:t xml:space="preserve">           </w:t>
      </w:r>
      <w:r w:rsidRPr="00FA0D37">
        <w:rPr>
          <w:rFonts w:eastAsia="等线"/>
        </w:rPr>
        <w:t>RNTI-Value</w:t>
      </w:r>
      <w:r w:rsidR="00E81DFA" w:rsidRPr="00FA0D37">
        <w:t xml:space="preserve">                     </w:t>
      </w:r>
      <w:r w:rsidR="00B02B55" w:rsidRPr="00FA0D37">
        <w:t xml:space="preserve">                       </w:t>
      </w:r>
      <w:r w:rsidR="00E81DFA" w:rsidRPr="00FA0D37">
        <w:rPr>
          <w:color w:val="993366"/>
        </w:rPr>
        <w:t>OPTIONAL</w:t>
      </w:r>
      <w:r w:rsidR="00E81DFA" w:rsidRPr="00FA0D37">
        <w:t xml:space="preserve">, </w:t>
      </w:r>
      <w:r w:rsidR="00E81DFA" w:rsidRPr="00FA0D37">
        <w:rPr>
          <w:color w:val="808080"/>
        </w:rPr>
        <w:t xml:space="preserve">-- Cond </w:t>
      </w:r>
      <w:r w:rsidRPr="00FA0D37">
        <w:rPr>
          <w:color w:val="808080"/>
        </w:rPr>
        <w:t>FirstRRCReconfig</w:t>
      </w:r>
    </w:p>
    <w:p w14:paraId="08905CA9" w14:textId="77777777" w:rsidR="00E81DFA" w:rsidRPr="00FA0D37" w:rsidRDefault="00E81DFA" w:rsidP="00FA0D37">
      <w:pPr>
        <w:pStyle w:val="PL"/>
      </w:pPr>
      <w:r w:rsidRPr="00FA0D37">
        <w:t xml:space="preserve">    ...</w:t>
      </w:r>
    </w:p>
    <w:p w14:paraId="78CC05B2" w14:textId="253F68C2" w:rsidR="00E81DFA" w:rsidRPr="00FA0D37" w:rsidRDefault="00E81DFA" w:rsidP="00FA0D37">
      <w:pPr>
        <w:pStyle w:val="PL"/>
      </w:pPr>
      <w:r w:rsidRPr="00FA0D37">
        <w:t>}</w:t>
      </w:r>
    </w:p>
    <w:p w14:paraId="46037B65" w14:textId="16D7B659" w:rsidR="00E81DFA" w:rsidRPr="00FA0D37" w:rsidRDefault="00E81DFA" w:rsidP="00FA0D37">
      <w:pPr>
        <w:pStyle w:val="PL"/>
        <w:rPr>
          <w:color w:val="808080"/>
        </w:rPr>
      </w:pPr>
      <w:r w:rsidRPr="00FA0D37">
        <w:rPr>
          <w:color w:val="808080"/>
        </w:rPr>
        <w:t>-- TAG-SL-L2REMOTEUE</w:t>
      </w:r>
      <w:r w:rsidR="009620A4" w:rsidRPr="00FA0D37">
        <w:rPr>
          <w:color w:val="808080"/>
        </w:rPr>
        <w:t>-</w:t>
      </w:r>
      <w:r w:rsidRPr="00FA0D37">
        <w:rPr>
          <w:color w:val="808080"/>
        </w:rPr>
        <w:t>CONFIG-STOP</w:t>
      </w:r>
    </w:p>
    <w:p w14:paraId="0EA1A3BE" w14:textId="77777777" w:rsidR="00E81DFA" w:rsidRPr="00FA0D37" w:rsidRDefault="00E81DFA" w:rsidP="00FA0D37">
      <w:pPr>
        <w:pStyle w:val="PL"/>
        <w:rPr>
          <w:color w:val="808080"/>
        </w:rPr>
      </w:pPr>
      <w:r w:rsidRPr="00FA0D37">
        <w:rPr>
          <w:color w:val="808080"/>
        </w:rPr>
        <w:t>-- ASN1STOP</w:t>
      </w:r>
    </w:p>
    <w:p w14:paraId="6A135F87" w14:textId="77777777" w:rsidR="00E81DFA" w:rsidRPr="00FA0D37" w:rsidRDefault="00E81DFA" w:rsidP="00E81DFA">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76F402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4449E08" w14:textId="59424554" w:rsidR="00E81DFA" w:rsidRPr="00FA0D37" w:rsidRDefault="00E81DFA" w:rsidP="00771058">
            <w:pPr>
              <w:pStyle w:val="TAH"/>
              <w:rPr>
                <w:szCs w:val="22"/>
                <w:lang w:eastAsia="sv-SE"/>
              </w:rPr>
            </w:pPr>
            <w:r w:rsidRPr="00FA0D37">
              <w:rPr>
                <w:i/>
                <w:iCs/>
              </w:rPr>
              <w:lastRenderedPageBreak/>
              <w:t>SL-L2RemoteUE</w:t>
            </w:r>
            <w:r w:rsidR="00B02B55" w:rsidRPr="00FA0D37">
              <w:rPr>
                <w:i/>
                <w:iCs/>
              </w:rPr>
              <w:t>-</w:t>
            </w:r>
            <w:r w:rsidRPr="00FA0D37">
              <w:rPr>
                <w:i/>
                <w:iCs/>
              </w:rPr>
              <w:t>Config</w:t>
            </w:r>
            <w:r w:rsidRPr="00FA0D37">
              <w:rPr>
                <w:i/>
                <w:szCs w:val="22"/>
                <w:lang w:eastAsia="sv-SE"/>
              </w:rPr>
              <w:t xml:space="preserve"> </w:t>
            </w:r>
            <w:r w:rsidRPr="00FA0D37">
              <w:rPr>
                <w:szCs w:val="22"/>
                <w:lang w:eastAsia="sv-SE"/>
              </w:rPr>
              <w:t>field descriptions</w:t>
            </w:r>
          </w:p>
        </w:tc>
      </w:tr>
      <w:tr w:rsidR="005C7FF4" w:rsidRPr="00FA0D37" w14:paraId="723538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1FD925A" w14:textId="62C4C31B" w:rsidR="00E81DFA" w:rsidRPr="00FA0D37" w:rsidRDefault="00E81DFA" w:rsidP="00771058">
            <w:pPr>
              <w:pStyle w:val="TAL"/>
              <w:rPr>
                <w:szCs w:val="22"/>
                <w:lang w:eastAsia="sv-SE"/>
              </w:rPr>
            </w:pPr>
            <w:r w:rsidRPr="00FA0D37">
              <w:rPr>
                <w:b/>
                <w:i/>
                <w:szCs w:val="22"/>
                <w:lang w:eastAsia="sv-SE"/>
              </w:rPr>
              <w:t>sl-SRAP-ConfigRemote</w:t>
            </w:r>
          </w:p>
          <w:p w14:paraId="57E473A4" w14:textId="77777777" w:rsidR="00E81DFA" w:rsidRPr="00FA0D37" w:rsidRDefault="00E81DFA" w:rsidP="00771058">
            <w:pPr>
              <w:pStyle w:val="TAL"/>
              <w:rPr>
                <w:szCs w:val="22"/>
                <w:lang w:eastAsia="sv-SE"/>
              </w:rPr>
            </w:pPr>
            <w:r w:rsidRPr="00FA0D37">
              <w:rPr>
                <w:szCs w:val="22"/>
                <w:lang w:eastAsia="sv-SE"/>
              </w:rPr>
              <w:t>Indicates SRAP configuration used for L2 U2N Remote UE.</w:t>
            </w:r>
          </w:p>
        </w:tc>
      </w:tr>
      <w:tr w:rsidR="00E81DFA" w:rsidRPr="00FA0D37" w14:paraId="0C74C4B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C3F78E" w14:textId="317DC2DE" w:rsidR="00E81DFA" w:rsidRPr="00FA0D37" w:rsidRDefault="00B02B55" w:rsidP="00771058">
            <w:pPr>
              <w:pStyle w:val="TAL"/>
              <w:rPr>
                <w:szCs w:val="22"/>
                <w:lang w:eastAsia="sv-SE"/>
              </w:rPr>
            </w:pPr>
            <w:r w:rsidRPr="00FA0D37">
              <w:rPr>
                <w:b/>
                <w:i/>
                <w:szCs w:val="22"/>
                <w:lang w:eastAsia="sv-SE"/>
              </w:rPr>
              <w:t>sl</w:t>
            </w:r>
            <w:r w:rsidRPr="00FA0D37">
              <w:rPr>
                <w:b/>
                <w:bCs/>
                <w:i/>
                <w:iCs/>
                <w:lang w:eastAsia="en-GB"/>
              </w:rPr>
              <w:t>-UEIdentityRemote</w:t>
            </w:r>
          </w:p>
          <w:p w14:paraId="3EFD09FB" w14:textId="40A9933E" w:rsidR="00E81DFA" w:rsidRPr="00FA0D37" w:rsidRDefault="00E81DFA" w:rsidP="00771058">
            <w:pPr>
              <w:pStyle w:val="TAL"/>
              <w:rPr>
                <w:szCs w:val="22"/>
                <w:lang w:eastAsia="sv-SE"/>
              </w:rPr>
            </w:pPr>
            <w:r w:rsidRPr="00FA0D37">
              <w:rPr>
                <w:szCs w:val="22"/>
                <w:lang w:eastAsia="sv-SE"/>
              </w:rPr>
              <w:t xml:space="preserve">Indicates the </w:t>
            </w:r>
            <w:r w:rsidR="00B02B55" w:rsidRPr="00FA0D37">
              <w:rPr>
                <w:szCs w:val="22"/>
                <w:lang w:eastAsia="sv-SE"/>
              </w:rPr>
              <w:t>C-RNTI to the L2 U2N Remote UE</w:t>
            </w:r>
            <w:r w:rsidRPr="00FA0D37">
              <w:rPr>
                <w:szCs w:val="22"/>
                <w:lang w:eastAsia="sv-SE"/>
              </w:rPr>
              <w:t>.</w:t>
            </w:r>
          </w:p>
        </w:tc>
      </w:tr>
    </w:tbl>
    <w:p w14:paraId="76AB74D9" w14:textId="77777777" w:rsidR="00E81DFA" w:rsidRPr="00FA0D37"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57ECB045"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AAE96E7" w14:textId="77777777" w:rsidR="00E81DFA" w:rsidRPr="00FA0D37" w:rsidRDefault="00E81DFA" w:rsidP="00771058">
            <w:pPr>
              <w:pStyle w:val="TAH"/>
              <w:rPr>
                <w:szCs w:val="22"/>
                <w:lang w:eastAsia="sv-SE"/>
              </w:rPr>
            </w:pPr>
            <w:r w:rsidRPr="00FA0D3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6DFEF51" w14:textId="77777777" w:rsidR="00E81DFA" w:rsidRPr="00FA0D37" w:rsidRDefault="00E81DFA" w:rsidP="00771058">
            <w:pPr>
              <w:pStyle w:val="TAH"/>
              <w:rPr>
                <w:szCs w:val="22"/>
                <w:lang w:eastAsia="sv-SE"/>
              </w:rPr>
            </w:pPr>
            <w:r w:rsidRPr="00FA0D37">
              <w:rPr>
                <w:szCs w:val="22"/>
                <w:lang w:eastAsia="sv-SE"/>
              </w:rPr>
              <w:t>Explanation</w:t>
            </w:r>
          </w:p>
        </w:tc>
      </w:tr>
      <w:tr w:rsidR="000830BB" w:rsidRPr="00FA0D37" w14:paraId="6844A658"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E332999" w14:textId="44828E23" w:rsidR="00E81DFA" w:rsidRPr="00FA0D37" w:rsidRDefault="00B02B55" w:rsidP="00771058">
            <w:pPr>
              <w:pStyle w:val="TAL"/>
              <w:rPr>
                <w:i/>
                <w:szCs w:val="22"/>
                <w:lang w:eastAsia="sv-SE"/>
              </w:rPr>
            </w:pPr>
            <w:r w:rsidRPr="00FA0D37">
              <w:rPr>
                <w:i/>
                <w:szCs w:val="22"/>
                <w:lang w:eastAsia="sv-SE"/>
              </w:rPr>
              <w:t>First</w:t>
            </w:r>
            <w:r w:rsidR="00E81DFA" w:rsidRPr="00FA0D37">
              <w:rPr>
                <w:i/>
                <w:szCs w:val="22"/>
                <w:lang w:eastAsia="sv-SE"/>
              </w:rPr>
              <w:t>RRC</w:t>
            </w:r>
            <w:r w:rsidRPr="00FA0D37">
              <w:rPr>
                <w:i/>
                <w:szCs w:val="22"/>
                <w:lang w:eastAsia="sv-SE"/>
              </w:rPr>
              <w:t>Reconfig</w:t>
            </w:r>
          </w:p>
        </w:tc>
        <w:tc>
          <w:tcPr>
            <w:tcW w:w="10146" w:type="dxa"/>
            <w:tcBorders>
              <w:top w:val="single" w:sz="4" w:space="0" w:color="auto"/>
              <w:left w:val="single" w:sz="4" w:space="0" w:color="auto"/>
              <w:bottom w:val="single" w:sz="4" w:space="0" w:color="auto"/>
              <w:right w:val="single" w:sz="4" w:space="0" w:color="auto"/>
            </w:tcBorders>
            <w:hideMark/>
          </w:tcPr>
          <w:p w14:paraId="7BCFA6F3" w14:textId="3B1EFA0B" w:rsidR="00E81DFA" w:rsidRPr="00FA0D37" w:rsidRDefault="00E81DFA" w:rsidP="00771058">
            <w:pPr>
              <w:pStyle w:val="TAL"/>
              <w:rPr>
                <w:szCs w:val="22"/>
                <w:lang w:eastAsia="sv-SE"/>
              </w:rPr>
            </w:pPr>
            <w:r w:rsidRPr="00FA0D37">
              <w:rPr>
                <w:szCs w:val="22"/>
                <w:lang w:eastAsia="en-GB"/>
              </w:rPr>
              <w:t xml:space="preserve">This field is mandatory present in </w:t>
            </w:r>
            <w:r w:rsidR="00B02B55" w:rsidRPr="00FA0D37">
              <w:rPr>
                <w:szCs w:val="22"/>
                <w:lang w:eastAsia="en-GB"/>
              </w:rPr>
              <w:t xml:space="preserve">the first </w:t>
            </w:r>
            <w:r w:rsidRPr="00FA0D37">
              <w:rPr>
                <w:i/>
                <w:szCs w:val="22"/>
                <w:lang w:eastAsia="en-GB"/>
              </w:rPr>
              <w:t>RRC</w:t>
            </w:r>
            <w:r w:rsidR="00B02B55" w:rsidRPr="00FA0D37">
              <w:rPr>
                <w:i/>
                <w:szCs w:val="22"/>
                <w:lang w:eastAsia="en-GB"/>
              </w:rPr>
              <w:t>Reconfiguration</w:t>
            </w:r>
            <w:r w:rsidRPr="00FA0D37">
              <w:rPr>
                <w:szCs w:val="22"/>
                <w:lang w:eastAsia="en-GB"/>
              </w:rPr>
              <w:t>. Otherwise the field is absent.</w:t>
            </w:r>
          </w:p>
        </w:tc>
      </w:tr>
    </w:tbl>
    <w:p w14:paraId="612E2614" w14:textId="77777777" w:rsidR="00E81DFA" w:rsidRPr="00FA0D37" w:rsidRDefault="00E81DFA" w:rsidP="00394471">
      <w:pPr>
        <w:rPr>
          <w:rFonts w:eastAsia="Yu Mincho"/>
        </w:rPr>
      </w:pPr>
    </w:p>
    <w:p w14:paraId="388C0DCD" w14:textId="55D300EE" w:rsidR="00394471" w:rsidRPr="00FA0D37" w:rsidRDefault="00394471" w:rsidP="00394471">
      <w:pPr>
        <w:pStyle w:val="4"/>
      </w:pPr>
      <w:bookmarkStart w:id="1786" w:name="_Toc60777534"/>
      <w:bookmarkStart w:id="1787" w:name="_Toc146781655"/>
      <w:r w:rsidRPr="00FA0D37">
        <w:t>–</w:t>
      </w:r>
      <w:r w:rsidRPr="00FA0D37">
        <w:tab/>
      </w:r>
      <w:r w:rsidRPr="00FA0D37">
        <w:rPr>
          <w:i/>
          <w:iCs/>
        </w:rPr>
        <w:t>SL-MeasConfigCommon</w:t>
      </w:r>
      <w:bookmarkEnd w:id="1786"/>
      <w:bookmarkEnd w:id="1787"/>
    </w:p>
    <w:p w14:paraId="6FFA4DDB" w14:textId="773A3D15" w:rsidR="00394471" w:rsidRPr="00FA0D37" w:rsidRDefault="00394471" w:rsidP="00394471">
      <w:r w:rsidRPr="00FA0D37">
        <w:t xml:space="preserve">The IE </w:t>
      </w:r>
      <w:r w:rsidRPr="00FA0D37">
        <w:rPr>
          <w:i/>
        </w:rPr>
        <w:t>SL-MeasConfigCommon</w:t>
      </w:r>
      <w:r w:rsidRPr="00FA0D37">
        <w:t xml:space="preserve"> is used to set the cell specific SL RSRP measurement configurations for unicast destinations.</w:t>
      </w:r>
    </w:p>
    <w:p w14:paraId="7089C956" w14:textId="77777777" w:rsidR="00394471" w:rsidRPr="00FA0D37" w:rsidRDefault="00394471" w:rsidP="00394471">
      <w:pPr>
        <w:pStyle w:val="TH"/>
        <w:rPr>
          <w:b w:val="0"/>
          <w:lang w:eastAsia="zh-CN"/>
        </w:rPr>
      </w:pPr>
      <w:r w:rsidRPr="00FA0D37">
        <w:rPr>
          <w:i/>
          <w:lang w:eastAsia="zh-CN"/>
        </w:rPr>
        <w:t>SL-MeasConfigCommon</w:t>
      </w:r>
      <w:r w:rsidRPr="00FA0D37">
        <w:rPr>
          <w:lang w:eastAsia="zh-CN"/>
        </w:rPr>
        <w:t xml:space="preserve"> information element</w:t>
      </w:r>
    </w:p>
    <w:p w14:paraId="70FDCEF7" w14:textId="77777777" w:rsidR="00394471" w:rsidRPr="00FA0D37" w:rsidRDefault="00394471" w:rsidP="00FA0D37">
      <w:pPr>
        <w:pStyle w:val="PL"/>
        <w:rPr>
          <w:color w:val="808080"/>
        </w:rPr>
      </w:pPr>
      <w:r w:rsidRPr="00FA0D37">
        <w:rPr>
          <w:color w:val="808080"/>
        </w:rPr>
        <w:t>-- ASN1START</w:t>
      </w:r>
    </w:p>
    <w:p w14:paraId="53F9DB21" w14:textId="77777777" w:rsidR="00394471" w:rsidRPr="00FA0D37" w:rsidRDefault="00394471" w:rsidP="00FA0D37">
      <w:pPr>
        <w:pStyle w:val="PL"/>
        <w:rPr>
          <w:color w:val="808080"/>
        </w:rPr>
      </w:pPr>
      <w:r w:rsidRPr="00FA0D37">
        <w:rPr>
          <w:color w:val="808080"/>
        </w:rPr>
        <w:t>-- TAG-SL-MEASCONFIGCOMMON-START</w:t>
      </w:r>
    </w:p>
    <w:p w14:paraId="33587581" w14:textId="77777777" w:rsidR="00394471" w:rsidRPr="00FA0D37" w:rsidRDefault="00394471" w:rsidP="00FA0D37">
      <w:pPr>
        <w:pStyle w:val="PL"/>
      </w:pPr>
    </w:p>
    <w:p w14:paraId="63A09AA5" w14:textId="77777777" w:rsidR="00394471" w:rsidRPr="00FA0D37" w:rsidRDefault="00394471" w:rsidP="00FA0D37">
      <w:pPr>
        <w:pStyle w:val="PL"/>
      </w:pPr>
      <w:r w:rsidRPr="00FA0D37">
        <w:t xml:space="preserve">SL-MeasConfigCommon-r16 ::=          </w:t>
      </w:r>
      <w:r w:rsidRPr="00FA0D37">
        <w:rPr>
          <w:color w:val="993366"/>
        </w:rPr>
        <w:t>SEQUENCE</w:t>
      </w:r>
      <w:r w:rsidRPr="00FA0D37">
        <w:t xml:space="preserve"> {</w:t>
      </w:r>
    </w:p>
    <w:p w14:paraId="2359A268" w14:textId="77777777" w:rsidR="00394471" w:rsidRPr="00FA0D37" w:rsidRDefault="00394471" w:rsidP="00FA0D37">
      <w:pPr>
        <w:pStyle w:val="PL"/>
        <w:rPr>
          <w:color w:val="808080"/>
        </w:rPr>
      </w:pPr>
      <w:r w:rsidRPr="00FA0D37">
        <w:t xml:space="preserve">    sl-MeasObjectListCommon-r16          SL-MeasObjectList-r16                                           </w:t>
      </w:r>
      <w:r w:rsidRPr="00FA0D37">
        <w:rPr>
          <w:color w:val="993366"/>
        </w:rPr>
        <w:t>OPTIONAL</w:t>
      </w:r>
      <w:r w:rsidRPr="00FA0D37">
        <w:t xml:space="preserve">,   </w:t>
      </w:r>
      <w:r w:rsidRPr="00FA0D37">
        <w:rPr>
          <w:color w:val="808080"/>
        </w:rPr>
        <w:t>-- Need R</w:t>
      </w:r>
    </w:p>
    <w:p w14:paraId="40B829ED" w14:textId="77777777" w:rsidR="00394471" w:rsidRPr="00FA0D37" w:rsidRDefault="00394471" w:rsidP="00FA0D37">
      <w:pPr>
        <w:pStyle w:val="PL"/>
        <w:rPr>
          <w:color w:val="808080"/>
        </w:rPr>
      </w:pPr>
      <w:r w:rsidRPr="00FA0D37">
        <w:t xml:space="preserve">    sl-ReportConfigListCommon-r16        SL-ReportConfigList-r16                                         </w:t>
      </w:r>
      <w:r w:rsidRPr="00FA0D37">
        <w:rPr>
          <w:color w:val="993366"/>
        </w:rPr>
        <w:t>OPTIONAL</w:t>
      </w:r>
      <w:r w:rsidRPr="00FA0D37">
        <w:t xml:space="preserve">,   </w:t>
      </w:r>
      <w:r w:rsidRPr="00FA0D37">
        <w:rPr>
          <w:color w:val="808080"/>
        </w:rPr>
        <w:t>-- Need R</w:t>
      </w:r>
    </w:p>
    <w:p w14:paraId="742D4123" w14:textId="77777777" w:rsidR="00394471" w:rsidRPr="00FA0D37" w:rsidRDefault="00394471" w:rsidP="00FA0D37">
      <w:pPr>
        <w:pStyle w:val="PL"/>
        <w:rPr>
          <w:color w:val="808080"/>
        </w:rPr>
      </w:pPr>
      <w:r w:rsidRPr="00FA0D37">
        <w:t xml:space="preserve">    sl-MeasIdListCommon-r16              SL-MeasIdList-r16                                               </w:t>
      </w:r>
      <w:r w:rsidRPr="00FA0D37">
        <w:rPr>
          <w:color w:val="993366"/>
        </w:rPr>
        <w:t>OPTIONAL</w:t>
      </w:r>
      <w:r w:rsidRPr="00FA0D37">
        <w:t xml:space="preserve">,   </w:t>
      </w:r>
      <w:r w:rsidRPr="00FA0D37">
        <w:rPr>
          <w:color w:val="808080"/>
        </w:rPr>
        <w:t>-- Need R</w:t>
      </w:r>
    </w:p>
    <w:p w14:paraId="0728C5F8" w14:textId="77777777" w:rsidR="00394471" w:rsidRPr="00FA0D37" w:rsidRDefault="00394471" w:rsidP="00FA0D37">
      <w:pPr>
        <w:pStyle w:val="PL"/>
        <w:rPr>
          <w:color w:val="808080"/>
        </w:rPr>
      </w:pPr>
      <w:r w:rsidRPr="00FA0D37">
        <w:t xml:space="preserve">    sl-QuantityConfigCommon-r16          SL-QuantityConfig-r16                                           </w:t>
      </w:r>
      <w:r w:rsidRPr="00FA0D37">
        <w:rPr>
          <w:color w:val="993366"/>
        </w:rPr>
        <w:t>OPTIONAL</w:t>
      </w:r>
      <w:r w:rsidRPr="00FA0D37">
        <w:t xml:space="preserve">,   </w:t>
      </w:r>
      <w:r w:rsidRPr="00FA0D37">
        <w:rPr>
          <w:color w:val="808080"/>
        </w:rPr>
        <w:t>-- Need R</w:t>
      </w:r>
    </w:p>
    <w:p w14:paraId="423F5E16" w14:textId="77777777" w:rsidR="00394471" w:rsidRPr="00FA0D37" w:rsidRDefault="00394471" w:rsidP="00FA0D37">
      <w:pPr>
        <w:pStyle w:val="PL"/>
      </w:pPr>
      <w:r w:rsidRPr="00FA0D37">
        <w:t xml:space="preserve">    ...</w:t>
      </w:r>
    </w:p>
    <w:p w14:paraId="1409452A" w14:textId="77777777" w:rsidR="00394471" w:rsidRPr="00FA0D37" w:rsidRDefault="00394471" w:rsidP="00FA0D37">
      <w:pPr>
        <w:pStyle w:val="PL"/>
      </w:pPr>
      <w:r w:rsidRPr="00FA0D37">
        <w:t>}</w:t>
      </w:r>
    </w:p>
    <w:p w14:paraId="42AF2790" w14:textId="77777777" w:rsidR="00394471" w:rsidRPr="00FA0D37" w:rsidRDefault="00394471" w:rsidP="00FA0D37">
      <w:pPr>
        <w:pStyle w:val="PL"/>
      </w:pPr>
    </w:p>
    <w:p w14:paraId="548D87D8" w14:textId="77777777" w:rsidR="00394471" w:rsidRPr="00FA0D37" w:rsidRDefault="00394471" w:rsidP="00FA0D37">
      <w:pPr>
        <w:pStyle w:val="PL"/>
        <w:rPr>
          <w:color w:val="808080"/>
        </w:rPr>
      </w:pPr>
      <w:r w:rsidRPr="00FA0D37">
        <w:rPr>
          <w:color w:val="808080"/>
        </w:rPr>
        <w:t>-- TAG-SL-MEASCONFIGCOMMON-STOP</w:t>
      </w:r>
    </w:p>
    <w:p w14:paraId="54A13CB7" w14:textId="77777777" w:rsidR="00394471" w:rsidRPr="00FA0D37" w:rsidRDefault="00394471" w:rsidP="00FA0D37">
      <w:pPr>
        <w:pStyle w:val="PL"/>
        <w:rPr>
          <w:color w:val="808080"/>
        </w:rPr>
      </w:pPr>
      <w:r w:rsidRPr="00FA0D37">
        <w:rPr>
          <w:color w:val="808080"/>
        </w:rPr>
        <w:t>-- ASN1STOP</w:t>
      </w:r>
    </w:p>
    <w:p w14:paraId="48A30AC0"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05CAB24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1E05286" w14:textId="77777777" w:rsidR="00394471" w:rsidRPr="00FA0D37" w:rsidRDefault="00394471" w:rsidP="00964CC4">
            <w:pPr>
              <w:pStyle w:val="TAH"/>
              <w:rPr>
                <w:b w:val="0"/>
                <w:lang w:eastAsia="en-GB"/>
              </w:rPr>
            </w:pPr>
            <w:r w:rsidRPr="00FA0D37">
              <w:rPr>
                <w:i/>
                <w:noProof/>
                <w:lang w:eastAsia="en-GB"/>
              </w:rPr>
              <w:t>SL-MeasConfigCommon</w:t>
            </w:r>
            <w:r w:rsidRPr="00FA0D37">
              <w:rPr>
                <w:iCs/>
                <w:noProof/>
                <w:lang w:eastAsia="en-GB"/>
              </w:rPr>
              <w:t xml:space="preserve"> field descriptions</w:t>
            </w:r>
          </w:p>
        </w:tc>
      </w:tr>
      <w:tr w:rsidR="005C7FF4" w:rsidRPr="00FA0D37" w14:paraId="132BBD5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C2702B9" w14:textId="77777777" w:rsidR="00394471" w:rsidRPr="00FA0D37" w:rsidRDefault="00394471" w:rsidP="00964CC4">
            <w:pPr>
              <w:pStyle w:val="TAL"/>
              <w:rPr>
                <w:b/>
                <w:bCs/>
                <w:i/>
                <w:iCs/>
                <w:lang w:eastAsia="en-GB"/>
              </w:rPr>
            </w:pPr>
            <w:r w:rsidRPr="00FA0D37">
              <w:rPr>
                <w:b/>
                <w:bCs/>
                <w:i/>
                <w:iCs/>
                <w:lang w:eastAsia="en-GB"/>
              </w:rPr>
              <w:t>sl-MeasIdListCommon</w:t>
            </w:r>
          </w:p>
          <w:p w14:paraId="0FA04961" w14:textId="77777777" w:rsidR="00394471" w:rsidRPr="00FA0D37" w:rsidRDefault="00394471" w:rsidP="00964CC4">
            <w:pPr>
              <w:pStyle w:val="TAL"/>
              <w:rPr>
                <w:noProof/>
                <w:lang w:eastAsia="en-GB"/>
              </w:rPr>
            </w:pPr>
            <w:r w:rsidRPr="00FA0D37">
              <w:rPr>
                <w:lang w:eastAsia="en-GB"/>
              </w:rPr>
              <w:t>List of sidelink measurement identities</w:t>
            </w:r>
          </w:p>
        </w:tc>
      </w:tr>
      <w:tr w:rsidR="005C7FF4" w:rsidRPr="00FA0D37" w14:paraId="63E9D06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00CA2A8" w14:textId="77777777" w:rsidR="00394471" w:rsidRPr="00FA0D37" w:rsidRDefault="00394471" w:rsidP="00964CC4">
            <w:pPr>
              <w:pStyle w:val="TAL"/>
              <w:rPr>
                <w:b/>
                <w:bCs/>
                <w:i/>
                <w:iCs/>
                <w:lang w:eastAsia="en-GB"/>
              </w:rPr>
            </w:pPr>
            <w:r w:rsidRPr="00FA0D37">
              <w:rPr>
                <w:b/>
                <w:bCs/>
                <w:i/>
                <w:iCs/>
                <w:lang w:eastAsia="en-GB"/>
              </w:rPr>
              <w:t>sl-MeasObjectListCommon</w:t>
            </w:r>
          </w:p>
          <w:p w14:paraId="4FC8C2E6" w14:textId="77777777" w:rsidR="00394471" w:rsidRPr="00FA0D37" w:rsidRDefault="00394471" w:rsidP="00964CC4">
            <w:pPr>
              <w:pStyle w:val="TAL"/>
              <w:rPr>
                <w:lang w:eastAsia="en-GB"/>
              </w:rPr>
            </w:pPr>
            <w:r w:rsidRPr="00FA0D37">
              <w:rPr>
                <w:lang w:eastAsia="en-GB"/>
              </w:rPr>
              <w:t>List of sidelink measurement objects.</w:t>
            </w:r>
          </w:p>
        </w:tc>
      </w:tr>
      <w:tr w:rsidR="005C7FF4" w:rsidRPr="00FA0D37" w14:paraId="2DDD1A2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BED4AB3" w14:textId="77777777" w:rsidR="00394471" w:rsidRPr="00FA0D37" w:rsidRDefault="00394471" w:rsidP="00964CC4">
            <w:pPr>
              <w:pStyle w:val="TAL"/>
              <w:rPr>
                <w:b/>
                <w:bCs/>
                <w:i/>
                <w:iCs/>
                <w:lang w:eastAsia="en-GB"/>
              </w:rPr>
            </w:pPr>
            <w:r w:rsidRPr="00FA0D37">
              <w:rPr>
                <w:b/>
                <w:bCs/>
                <w:i/>
                <w:iCs/>
                <w:lang w:eastAsia="en-GB"/>
              </w:rPr>
              <w:t>sl-QuantityConfigCommon</w:t>
            </w:r>
          </w:p>
          <w:p w14:paraId="795786D9" w14:textId="77777777" w:rsidR="00394471" w:rsidRPr="00FA0D37" w:rsidRDefault="00394471" w:rsidP="00964CC4">
            <w:pPr>
              <w:pStyle w:val="TAL"/>
              <w:rPr>
                <w:lang w:eastAsia="en-GB"/>
              </w:rPr>
            </w:pPr>
            <w:r w:rsidRPr="00FA0D37">
              <w:rPr>
                <w:lang w:eastAsia="en-GB"/>
              </w:rPr>
              <w:t>Indicates the layer 3 filtering coefficient for sidelink measurement.</w:t>
            </w:r>
          </w:p>
        </w:tc>
      </w:tr>
      <w:tr w:rsidR="00375B89" w:rsidRPr="00FA0D37" w14:paraId="2F17A95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6415CF5" w14:textId="77777777" w:rsidR="00394471" w:rsidRPr="00FA0D37" w:rsidRDefault="00394471" w:rsidP="00964CC4">
            <w:pPr>
              <w:pStyle w:val="TAL"/>
              <w:rPr>
                <w:b/>
                <w:bCs/>
                <w:i/>
                <w:iCs/>
                <w:lang w:eastAsia="en-GB"/>
              </w:rPr>
            </w:pPr>
            <w:r w:rsidRPr="00FA0D37">
              <w:rPr>
                <w:b/>
                <w:bCs/>
                <w:i/>
                <w:iCs/>
                <w:lang w:eastAsia="en-GB"/>
              </w:rPr>
              <w:t>sl-ReportConfigListCommon</w:t>
            </w:r>
          </w:p>
          <w:p w14:paraId="6497D01C" w14:textId="77777777" w:rsidR="00394471" w:rsidRPr="00FA0D37" w:rsidRDefault="00394471" w:rsidP="00964CC4">
            <w:pPr>
              <w:pStyle w:val="TAL"/>
              <w:rPr>
                <w:lang w:eastAsia="en-GB"/>
              </w:rPr>
            </w:pPr>
            <w:r w:rsidRPr="00FA0D37">
              <w:rPr>
                <w:lang w:eastAsia="en-GB"/>
              </w:rPr>
              <w:t>List of sidelink measurement reporting configurations.</w:t>
            </w:r>
          </w:p>
        </w:tc>
      </w:tr>
    </w:tbl>
    <w:p w14:paraId="39C899BE" w14:textId="77777777" w:rsidR="00394471" w:rsidRPr="00FA0D37" w:rsidRDefault="00394471" w:rsidP="00394471">
      <w:pPr>
        <w:rPr>
          <w:rFonts w:eastAsia="Yu Mincho"/>
        </w:rPr>
      </w:pPr>
    </w:p>
    <w:p w14:paraId="5FBEE2C4" w14:textId="3E426874" w:rsidR="00394471" w:rsidRPr="00FA0D37" w:rsidRDefault="00394471" w:rsidP="00394471">
      <w:pPr>
        <w:pStyle w:val="4"/>
      </w:pPr>
      <w:bookmarkStart w:id="1788" w:name="_Toc60777535"/>
      <w:bookmarkStart w:id="1789" w:name="_Toc146781656"/>
      <w:r w:rsidRPr="00FA0D37">
        <w:lastRenderedPageBreak/>
        <w:t>–</w:t>
      </w:r>
      <w:r w:rsidRPr="00FA0D37">
        <w:tab/>
      </w:r>
      <w:r w:rsidRPr="00FA0D37">
        <w:rPr>
          <w:i/>
          <w:iCs/>
        </w:rPr>
        <w:t>SL-MeasConfigInfo</w:t>
      </w:r>
      <w:bookmarkEnd w:id="1788"/>
      <w:bookmarkEnd w:id="1789"/>
    </w:p>
    <w:p w14:paraId="390E63C0" w14:textId="77777777" w:rsidR="00394471" w:rsidRPr="00FA0D37" w:rsidRDefault="00394471" w:rsidP="00394471">
      <w:r w:rsidRPr="00FA0D37">
        <w:t xml:space="preserve">The IE </w:t>
      </w:r>
      <w:r w:rsidRPr="00FA0D37">
        <w:rPr>
          <w:i/>
        </w:rPr>
        <w:t>SL</w:t>
      </w:r>
      <w:r w:rsidRPr="00FA0D37">
        <w:t>-</w:t>
      </w:r>
      <w:r w:rsidRPr="00FA0D37">
        <w:rPr>
          <w:i/>
        </w:rPr>
        <w:t>MeasConfigInfo</w:t>
      </w:r>
      <w:r w:rsidRPr="00FA0D37">
        <w:t xml:space="preserve"> is used to set RSRP measurement configurations for unicast destinations.</w:t>
      </w:r>
    </w:p>
    <w:p w14:paraId="7815A1D3" w14:textId="77777777" w:rsidR="00394471" w:rsidRPr="00FA0D37" w:rsidRDefault="00394471" w:rsidP="00394471">
      <w:pPr>
        <w:pStyle w:val="TH"/>
        <w:rPr>
          <w:lang w:eastAsia="zh-CN"/>
        </w:rPr>
      </w:pPr>
      <w:r w:rsidRPr="00FA0D37">
        <w:rPr>
          <w:i/>
          <w:lang w:eastAsia="zh-CN"/>
        </w:rPr>
        <w:t>SL-MeasConfigInfo</w:t>
      </w:r>
      <w:r w:rsidRPr="00FA0D37">
        <w:rPr>
          <w:lang w:eastAsia="zh-CN"/>
        </w:rPr>
        <w:t xml:space="preserve"> information element</w:t>
      </w:r>
    </w:p>
    <w:p w14:paraId="70EE1D20" w14:textId="77777777" w:rsidR="00394471" w:rsidRPr="00FA0D37" w:rsidRDefault="00394471" w:rsidP="00FA0D37">
      <w:pPr>
        <w:pStyle w:val="PL"/>
        <w:rPr>
          <w:color w:val="808080"/>
        </w:rPr>
      </w:pPr>
      <w:r w:rsidRPr="00FA0D37">
        <w:rPr>
          <w:color w:val="808080"/>
        </w:rPr>
        <w:t>-- ASN1START</w:t>
      </w:r>
    </w:p>
    <w:p w14:paraId="79E05007" w14:textId="77777777" w:rsidR="00394471" w:rsidRPr="00FA0D37" w:rsidRDefault="00394471" w:rsidP="00FA0D37">
      <w:pPr>
        <w:pStyle w:val="PL"/>
        <w:rPr>
          <w:color w:val="808080"/>
        </w:rPr>
      </w:pPr>
      <w:r w:rsidRPr="00FA0D37">
        <w:rPr>
          <w:color w:val="808080"/>
        </w:rPr>
        <w:t>-- TAG-SL-MEASCONFIGINFO-START</w:t>
      </w:r>
    </w:p>
    <w:p w14:paraId="2D6B230A" w14:textId="77777777" w:rsidR="00394471" w:rsidRPr="00FA0D37" w:rsidRDefault="00394471" w:rsidP="00FA0D37">
      <w:pPr>
        <w:pStyle w:val="PL"/>
      </w:pPr>
    </w:p>
    <w:p w14:paraId="022C1246" w14:textId="77777777" w:rsidR="00394471" w:rsidRPr="00FA0D37" w:rsidRDefault="00394471" w:rsidP="00FA0D37">
      <w:pPr>
        <w:pStyle w:val="PL"/>
      </w:pPr>
      <w:r w:rsidRPr="00FA0D37">
        <w:t xml:space="preserve">SL-MeasConfigInfo-r16 ::=           </w:t>
      </w:r>
      <w:r w:rsidRPr="00FA0D37">
        <w:rPr>
          <w:color w:val="993366"/>
        </w:rPr>
        <w:t>SEQUENCE</w:t>
      </w:r>
      <w:r w:rsidRPr="00FA0D37">
        <w:t xml:space="preserve"> {</w:t>
      </w:r>
    </w:p>
    <w:p w14:paraId="6FC5C086" w14:textId="77777777" w:rsidR="00394471" w:rsidRPr="00FA0D37" w:rsidRDefault="00394471" w:rsidP="00FA0D37">
      <w:pPr>
        <w:pStyle w:val="PL"/>
      </w:pPr>
      <w:r w:rsidRPr="00FA0D37">
        <w:t xml:space="preserve">    sl-DestinationIndex-r16             SL-DestinationIndex-r16,</w:t>
      </w:r>
    </w:p>
    <w:p w14:paraId="1077BE42" w14:textId="77777777" w:rsidR="00394471" w:rsidRPr="00FA0D37" w:rsidRDefault="00394471" w:rsidP="00FA0D37">
      <w:pPr>
        <w:pStyle w:val="PL"/>
      </w:pPr>
      <w:r w:rsidRPr="00FA0D37">
        <w:t xml:space="preserve">    sl-MeasConfig-r16                   SL-MeasConfig-r16,</w:t>
      </w:r>
    </w:p>
    <w:p w14:paraId="5CCAB1D5" w14:textId="77777777" w:rsidR="00394471" w:rsidRPr="00FA0D37" w:rsidRDefault="00394471" w:rsidP="00FA0D37">
      <w:pPr>
        <w:pStyle w:val="PL"/>
      </w:pPr>
      <w:r w:rsidRPr="00FA0D37">
        <w:t xml:space="preserve">    ...</w:t>
      </w:r>
    </w:p>
    <w:p w14:paraId="671519A2" w14:textId="77777777" w:rsidR="00394471" w:rsidRPr="00FA0D37" w:rsidRDefault="00394471" w:rsidP="00FA0D37">
      <w:pPr>
        <w:pStyle w:val="PL"/>
      </w:pPr>
      <w:r w:rsidRPr="00FA0D37">
        <w:t>}</w:t>
      </w:r>
    </w:p>
    <w:p w14:paraId="2F855337" w14:textId="77777777" w:rsidR="00394471" w:rsidRPr="00FA0D37" w:rsidRDefault="00394471" w:rsidP="00FA0D37">
      <w:pPr>
        <w:pStyle w:val="PL"/>
      </w:pPr>
    </w:p>
    <w:p w14:paraId="28D62605" w14:textId="77777777" w:rsidR="00394471" w:rsidRPr="00FA0D37" w:rsidRDefault="00394471" w:rsidP="00FA0D37">
      <w:pPr>
        <w:pStyle w:val="PL"/>
      </w:pPr>
      <w:r w:rsidRPr="00FA0D37">
        <w:t xml:space="preserve">SL-MeasConfig-r16 ::=               </w:t>
      </w:r>
      <w:r w:rsidRPr="00FA0D37">
        <w:rPr>
          <w:color w:val="993366"/>
        </w:rPr>
        <w:t>SEQUENCE</w:t>
      </w:r>
      <w:r w:rsidRPr="00FA0D37">
        <w:t xml:space="preserve"> {</w:t>
      </w:r>
    </w:p>
    <w:p w14:paraId="3A7D5AC5" w14:textId="77777777" w:rsidR="00394471" w:rsidRPr="00FA0D37" w:rsidRDefault="00394471" w:rsidP="00FA0D37">
      <w:pPr>
        <w:pStyle w:val="PL"/>
        <w:rPr>
          <w:color w:val="808080"/>
        </w:rPr>
      </w:pPr>
      <w:r w:rsidRPr="00FA0D37">
        <w:t xml:space="preserve">    sl-MeasObjectToRemoveList-r16       SL-MeasObjectToRemoveList-r16                                           </w:t>
      </w:r>
      <w:r w:rsidRPr="00FA0D37">
        <w:rPr>
          <w:color w:val="993366"/>
        </w:rPr>
        <w:t>OPTIONAL</w:t>
      </w:r>
      <w:r w:rsidRPr="00FA0D37">
        <w:t xml:space="preserve">,   </w:t>
      </w:r>
      <w:r w:rsidRPr="00FA0D37">
        <w:rPr>
          <w:color w:val="808080"/>
        </w:rPr>
        <w:t>-- Need N</w:t>
      </w:r>
    </w:p>
    <w:p w14:paraId="760FFFF2" w14:textId="77777777" w:rsidR="00394471" w:rsidRPr="00FA0D37" w:rsidRDefault="00394471" w:rsidP="00FA0D37">
      <w:pPr>
        <w:pStyle w:val="PL"/>
        <w:rPr>
          <w:color w:val="808080"/>
        </w:rPr>
      </w:pPr>
      <w:r w:rsidRPr="00FA0D37">
        <w:t xml:space="preserve">    sl-MeasObjectToAddModList-r16       SL-MeasObjectList-r16                                                   </w:t>
      </w:r>
      <w:r w:rsidRPr="00FA0D37">
        <w:rPr>
          <w:color w:val="993366"/>
        </w:rPr>
        <w:t>OPTIONAL</w:t>
      </w:r>
      <w:r w:rsidRPr="00FA0D37">
        <w:t xml:space="preserve">,   </w:t>
      </w:r>
      <w:r w:rsidRPr="00FA0D37">
        <w:rPr>
          <w:color w:val="808080"/>
        </w:rPr>
        <w:t>-- Need N</w:t>
      </w:r>
    </w:p>
    <w:p w14:paraId="5EDAD296" w14:textId="77777777" w:rsidR="00394471" w:rsidRPr="00FA0D37" w:rsidRDefault="00394471" w:rsidP="00FA0D37">
      <w:pPr>
        <w:pStyle w:val="PL"/>
        <w:rPr>
          <w:color w:val="808080"/>
        </w:rPr>
      </w:pPr>
      <w:r w:rsidRPr="00FA0D37">
        <w:t xml:space="preserve">    sl-ReportConfigToRemoveList-r16     SL-ReportConfigToRemoveList-r16                                         </w:t>
      </w:r>
      <w:r w:rsidRPr="00FA0D37">
        <w:rPr>
          <w:color w:val="993366"/>
        </w:rPr>
        <w:t>OPTIONAL</w:t>
      </w:r>
      <w:r w:rsidRPr="00FA0D37">
        <w:t xml:space="preserve">,   </w:t>
      </w:r>
      <w:r w:rsidRPr="00FA0D37">
        <w:rPr>
          <w:color w:val="808080"/>
        </w:rPr>
        <w:t>-- Need N</w:t>
      </w:r>
    </w:p>
    <w:p w14:paraId="0BCD9F16" w14:textId="77777777" w:rsidR="00394471" w:rsidRPr="00FA0D37" w:rsidRDefault="00394471" w:rsidP="00FA0D37">
      <w:pPr>
        <w:pStyle w:val="PL"/>
        <w:rPr>
          <w:color w:val="808080"/>
        </w:rPr>
      </w:pPr>
      <w:r w:rsidRPr="00FA0D37">
        <w:t xml:space="preserve">    sl-ReportConfigToAddModList-r16     SL-ReportConfigList-r16                                                 </w:t>
      </w:r>
      <w:r w:rsidRPr="00FA0D37">
        <w:rPr>
          <w:color w:val="993366"/>
        </w:rPr>
        <w:t>OPTIONAL</w:t>
      </w:r>
      <w:r w:rsidRPr="00FA0D37">
        <w:t xml:space="preserve">,   </w:t>
      </w:r>
      <w:r w:rsidRPr="00FA0D37">
        <w:rPr>
          <w:color w:val="808080"/>
        </w:rPr>
        <w:t>-- Need N</w:t>
      </w:r>
    </w:p>
    <w:p w14:paraId="6A5CB341" w14:textId="77777777" w:rsidR="00394471" w:rsidRPr="00FA0D37" w:rsidRDefault="00394471" w:rsidP="00FA0D37">
      <w:pPr>
        <w:pStyle w:val="PL"/>
        <w:rPr>
          <w:color w:val="808080"/>
        </w:rPr>
      </w:pPr>
      <w:r w:rsidRPr="00FA0D37">
        <w:t xml:space="preserve">    sl-MeasIdToRemoveList-r16           SL-MeasIdToRemoveList-r16                                               </w:t>
      </w:r>
      <w:r w:rsidRPr="00FA0D37">
        <w:rPr>
          <w:color w:val="993366"/>
        </w:rPr>
        <w:t>OPTIONAL</w:t>
      </w:r>
      <w:r w:rsidRPr="00FA0D37">
        <w:t xml:space="preserve">,   </w:t>
      </w:r>
      <w:r w:rsidRPr="00FA0D37">
        <w:rPr>
          <w:color w:val="808080"/>
        </w:rPr>
        <w:t>-- Need N</w:t>
      </w:r>
    </w:p>
    <w:p w14:paraId="0155C186" w14:textId="77777777" w:rsidR="00394471" w:rsidRPr="00FA0D37" w:rsidRDefault="00394471" w:rsidP="00FA0D37">
      <w:pPr>
        <w:pStyle w:val="PL"/>
        <w:rPr>
          <w:color w:val="808080"/>
        </w:rPr>
      </w:pPr>
      <w:r w:rsidRPr="00FA0D37">
        <w:t xml:space="preserve">    sl-MeasIdToAddModList-r16           SL-MeasIdList-r16                                                       </w:t>
      </w:r>
      <w:r w:rsidRPr="00FA0D37">
        <w:rPr>
          <w:color w:val="993366"/>
        </w:rPr>
        <w:t>OPTIONAL</w:t>
      </w:r>
      <w:r w:rsidRPr="00FA0D37">
        <w:t xml:space="preserve">,   </w:t>
      </w:r>
      <w:r w:rsidRPr="00FA0D37">
        <w:rPr>
          <w:color w:val="808080"/>
        </w:rPr>
        <w:t>-- Need N</w:t>
      </w:r>
    </w:p>
    <w:p w14:paraId="51EDDD4A" w14:textId="77777777" w:rsidR="00394471" w:rsidRPr="00FA0D37" w:rsidRDefault="00394471" w:rsidP="00FA0D37">
      <w:pPr>
        <w:pStyle w:val="PL"/>
        <w:rPr>
          <w:color w:val="808080"/>
        </w:rPr>
      </w:pPr>
      <w:r w:rsidRPr="00FA0D37">
        <w:t xml:space="preserve">    sl-QuantityConfig-r16               SL-QuantityConfig-r16                                                   </w:t>
      </w:r>
      <w:r w:rsidRPr="00FA0D37">
        <w:rPr>
          <w:color w:val="993366"/>
        </w:rPr>
        <w:t>OPTIONAL</w:t>
      </w:r>
      <w:r w:rsidRPr="00FA0D37">
        <w:t xml:space="preserve">,   </w:t>
      </w:r>
      <w:r w:rsidRPr="00FA0D37">
        <w:rPr>
          <w:color w:val="808080"/>
        </w:rPr>
        <w:t>-- Need M</w:t>
      </w:r>
    </w:p>
    <w:p w14:paraId="2D4F2EC9" w14:textId="77777777" w:rsidR="00394471" w:rsidRPr="00FA0D37" w:rsidRDefault="00394471" w:rsidP="00FA0D37">
      <w:pPr>
        <w:pStyle w:val="PL"/>
      </w:pPr>
      <w:r w:rsidRPr="00FA0D37">
        <w:t xml:space="preserve">    ...</w:t>
      </w:r>
    </w:p>
    <w:p w14:paraId="51C29E39" w14:textId="77777777" w:rsidR="00394471" w:rsidRPr="00FA0D37" w:rsidRDefault="00394471" w:rsidP="00FA0D37">
      <w:pPr>
        <w:pStyle w:val="PL"/>
      </w:pPr>
      <w:r w:rsidRPr="00FA0D37">
        <w:t>}</w:t>
      </w:r>
    </w:p>
    <w:p w14:paraId="323CDC4E" w14:textId="77777777" w:rsidR="00394471" w:rsidRPr="00FA0D37" w:rsidRDefault="00394471" w:rsidP="00FA0D37">
      <w:pPr>
        <w:pStyle w:val="PL"/>
      </w:pPr>
    </w:p>
    <w:p w14:paraId="63DC6FE1" w14:textId="77777777" w:rsidR="00394471" w:rsidRPr="00FA0D37" w:rsidRDefault="00394471" w:rsidP="00FA0D37">
      <w:pPr>
        <w:pStyle w:val="PL"/>
      </w:pPr>
      <w:r w:rsidRPr="00FA0D37">
        <w:t xml:space="preserve">SL-MeasObjectToRemoveList-r16 ::=   </w:t>
      </w:r>
      <w:r w:rsidRPr="00FA0D37">
        <w:rPr>
          <w:color w:val="993366"/>
        </w:rPr>
        <w:t>SEQUENCE</w:t>
      </w:r>
      <w:r w:rsidRPr="00FA0D37">
        <w:t xml:space="preserve"> (</w:t>
      </w:r>
      <w:r w:rsidRPr="00FA0D37">
        <w:rPr>
          <w:color w:val="993366"/>
        </w:rPr>
        <w:t>SIZE</w:t>
      </w:r>
      <w:r w:rsidRPr="00FA0D37">
        <w:t xml:space="preserve"> (1..maxNrofSL-ObjectId-r16))</w:t>
      </w:r>
      <w:r w:rsidRPr="00FA0D37">
        <w:rPr>
          <w:color w:val="993366"/>
        </w:rPr>
        <w:t xml:space="preserve"> OF</w:t>
      </w:r>
      <w:r w:rsidRPr="00FA0D37">
        <w:t xml:space="preserve"> SL-MeasObjectId-r16</w:t>
      </w:r>
    </w:p>
    <w:p w14:paraId="1ABCF8E3" w14:textId="77777777" w:rsidR="00394471" w:rsidRPr="00FA0D37" w:rsidRDefault="00394471" w:rsidP="00FA0D37">
      <w:pPr>
        <w:pStyle w:val="PL"/>
      </w:pPr>
    </w:p>
    <w:p w14:paraId="5EA4D063" w14:textId="77777777" w:rsidR="00394471" w:rsidRPr="00FA0D37" w:rsidRDefault="00394471" w:rsidP="00FA0D37">
      <w:pPr>
        <w:pStyle w:val="PL"/>
      </w:pPr>
      <w:r w:rsidRPr="00FA0D37">
        <w:t xml:space="preserve">SL-ReportConfigToRemoveList-r16 ::= </w:t>
      </w:r>
      <w:r w:rsidRPr="00FA0D37">
        <w:rPr>
          <w:color w:val="993366"/>
        </w:rPr>
        <w:t>SEQUENCE</w:t>
      </w:r>
      <w:r w:rsidRPr="00FA0D37">
        <w:t xml:space="preserve"> (</w:t>
      </w:r>
      <w:r w:rsidRPr="00FA0D37">
        <w:rPr>
          <w:color w:val="993366"/>
        </w:rPr>
        <w:t>SIZE</w:t>
      </w:r>
      <w:r w:rsidRPr="00FA0D37">
        <w:t xml:space="preserve"> (1..maxNrofSL-ReportConfigId-r16))</w:t>
      </w:r>
      <w:r w:rsidRPr="00FA0D37">
        <w:rPr>
          <w:color w:val="993366"/>
        </w:rPr>
        <w:t xml:space="preserve"> OF</w:t>
      </w:r>
      <w:r w:rsidRPr="00FA0D37">
        <w:t xml:space="preserve"> SL-ReportConfigId-r16</w:t>
      </w:r>
    </w:p>
    <w:p w14:paraId="73DB6172" w14:textId="77777777" w:rsidR="00394471" w:rsidRPr="00FA0D37" w:rsidRDefault="00394471" w:rsidP="00FA0D37">
      <w:pPr>
        <w:pStyle w:val="PL"/>
      </w:pPr>
    </w:p>
    <w:p w14:paraId="42363971" w14:textId="77777777" w:rsidR="00394471" w:rsidRPr="00FA0D37" w:rsidRDefault="00394471" w:rsidP="00FA0D37">
      <w:pPr>
        <w:pStyle w:val="PL"/>
      </w:pPr>
      <w:r w:rsidRPr="00FA0D37">
        <w:t xml:space="preserve">SL-MeasIdToRemoveList-r16 ::=       </w:t>
      </w:r>
      <w:r w:rsidRPr="00FA0D37">
        <w:rPr>
          <w:color w:val="993366"/>
        </w:rPr>
        <w:t>SEQUENCE</w:t>
      </w:r>
      <w:r w:rsidRPr="00FA0D37">
        <w:t xml:space="preserve"> (</w:t>
      </w:r>
      <w:r w:rsidRPr="00FA0D37">
        <w:rPr>
          <w:color w:val="993366"/>
        </w:rPr>
        <w:t>SIZE</w:t>
      </w:r>
      <w:r w:rsidRPr="00FA0D37">
        <w:t xml:space="preserve"> (1..maxNrofSL-MeasId-r16))</w:t>
      </w:r>
      <w:r w:rsidRPr="00FA0D37">
        <w:rPr>
          <w:color w:val="993366"/>
        </w:rPr>
        <w:t xml:space="preserve"> OF</w:t>
      </w:r>
      <w:r w:rsidRPr="00FA0D37">
        <w:t xml:space="preserve"> SL-MeasId-r16</w:t>
      </w:r>
    </w:p>
    <w:p w14:paraId="3546749A" w14:textId="77777777" w:rsidR="00394471" w:rsidRPr="00FA0D37" w:rsidRDefault="00394471" w:rsidP="00FA0D37">
      <w:pPr>
        <w:pStyle w:val="PL"/>
      </w:pPr>
    </w:p>
    <w:p w14:paraId="6AF3F589" w14:textId="77777777" w:rsidR="00394471" w:rsidRPr="00FA0D37" w:rsidRDefault="00394471" w:rsidP="00FA0D37">
      <w:pPr>
        <w:pStyle w:val="PL"/>
        <w:rPr>
          <w:color w:val="808080"/>
        </w:rPr>
      </w:pPr>
      <w:r w:rsidRPr="00FA0D37">
        <w:rPr>
          <w:color w:val="808080"/>
        </w:rPr>
        <w:t>-- TAG-SL-MEASCONFIGINFO-STOP</w:t>
      </w:r>
    </w:p>
    <w:p w14:paraId="2C1F6E73" w14:textId="77777777" w:rsidR="00394471" w:rsidRPr="00FA0D37" w:rsidRDefault="00394471" w:rsidP="00FA0D37">
      <w:pPr>
        <w:pStyle w:val="PL"/>
        <w:rPr>
          <w:color w:val="808080"/>
        </w:rPr>
      </w:pPr>
      <w:r w:rsidRPr="00FA0D37">
        <w:rPr>
          <w:color w:val="808080"/>
        </w:rPr>
        <w:t>-- ASN1STOP</w:t>
      </w:r>
    </w:p>
    <w:p w14:paraId="4CDCF7FC"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45C7F293"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225FF4" w14:textId="77777777" w:rsidR="00394471" w:rsidRPr="00FA0D37" w:rsidRDefault="00394471" w:rsidP="00964CC4">
            <w:pPr>
              <w:pStyle w:val="TAH"/>
              <w:rPr>
                <w:b w:val="0"/>
                <w:lang w:eastAsia="en-GB"/>
              </w:rPr>
            </w:pPr>
            <w:r w:rsidRPr="00FA0D37">
              <w:rPr>
                <w:i/>
                <w:noProof/>
                <w:lang w:eastAsia="en-GB"/>
              </w:rPr>
              <w:lastRenderedPageBreak/>
              <w:t>SL-MeasConfigInfo</w:t>
            </w:r>
            <w:r w:rsidRPr="00FA0D37">
              <w:rPr>
                <w:noProof/>
                <w:lang w:eastAsia="en-GB"/>
              </w:rPr>
              <w:t xml:space="preserve"> field descriptions</w:t>
            </w:r>
          </w:p>
        </w:tc>
      </w:tr>
      <w:tr w:rsidR="005C7FF4" w:rsidRPr="00FA0D37" w14:paraId="454344CA"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2B1D090" w14:textId="77777777" w:rsidR="00394471" w:rsidRPr="00FA0D37" w:rsidRDefault="00394471" w:rsidP="00964CC4">
            <w:pPr>
              <w:pStyle w:val="TAL"/>
              <w:rPr>
                <w:b/>
                <w:bCs/>
                <w:i/>
                <w:iCs/>
                <w:lang w:eastAsia="en-GB"/>
              </w:rPr>
            </w:pPr>
            <w:r w:rsidRPr="00FA0D37">
              <w:rPr>
                <w:b/>
                <w:bCs/>
                <w:i/>
                <w:iCs/>
                <w:lang w:eastAsia="en-GB"/>
              </w:rPr>
              <w:t>sl-MeasIdToAddModList</w:t>
            </w:r>
          </w:p>
          <w:p w14:paraId="1A9AF204" w14:textId="77777777" w:rsidR="00394471" w:rsidRPr="00FA0D37" w:rsidRDefault="00394471" w:rsidP="00964CC4">
            <w:pPr>
              <w:pStyle w:val="TAL"/>
              <w:rPr>
                <w:noProof/>
                <w:lang w:eastAsia="en-GB"/>
              </w:rPr>
            </w:pPr>
            <w:r w:rsidRPr="00FA0D37">
              <w:rPr>
                <w:lang w:eastAsia="en-GB"/>
              </w:rPr>
              <w:t>List of sidelink measurement identities to add and/or modify.</w:t>
            </w:r>
          </w:p>
        </w:tc>
      </w:tr>
      <w:tr w:rsidR="005C7FF4" w:rsidRPr="00FA0D37" w14:paraId="03B733C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B2E235" w14:textId="77777777" w:rsidR="00394471" w:rsidRPr="00FA0D37" w:rsidRDefault="00394471" w:rsidP="00964CC4">
            <w:pPr>
              <w:pStyle w:val="TAL"/>
              <w:rPr>
                <w:b/>
                <w:bCs/>
                <w:i/>
                <w:iCs/>
                <w:lang w:eastAsia="en-GB"/>
              </w:rPr>
            </w:pPr>
            <w:r w:rsidRPr="00FA0D37">
              <w:rPr>
                <w:b/>
                <w:bCs/>
                <w:i/>
                <w:iCs/>
                <w:lang w:eastAsia="en-GB"/>
              </w:rPr>
              <w:t>sl-MeasIdToRemoveList</w:t>
            </w:r>
          </w:p>
          <w:p w14:paraId="299CE984" w14:textId="77777777" w:rsidR="00394471" w:rsidRPr="00FA0D37" w:rsidRDefault="00394471" w:rsidP="00964CC4">
            <w:pPr>
              <w:pStyle w:val="TAL"/>
              <w:rPr>
                <w:lang w:eastAsia="en-GB"/>
              </w:rPr>
            </w:pPr>
            <w:r w:rsidRPr="00FA0D37">
              <w:rPr>
                <w:lang w:eastAsia="en-GB"/>
              </w:rPr>
              <w:t>List of sidelink measurement identities to remove.</w:t>
            </w:r>
          </w:p>
        </w:tc>
      </w:tr>
      <w:tr w:rsidR="005C7FF4" w:rsidRPr="00FA0D37" w14:paraId="2FA9A21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6498C45" w14:textId="77777777" w:rsidR="00394471" w:rsidRPr="00FA0D37" w:rsidRDefault="00394471" w:rsidP="00964CC4">
            <w:pPr>
              <w:pStyle w:val="TAL"/>
              <w:rPr>
                <w:b/>
                <w:bCs/>
                <w:i/>
                <w:iCs/>
                <w:lang w:eastAsia="en-GB"/>
              </w:rPr>
            </w:pPr>
            <w:r w:rsidRPr="00FA0D37">
              <w:rPr>
                <w:b/>
                <w:bCs/>
                <w:i/>
                <w:iCs/>
                <w:lang w:eastAsia="en-GB"/>
              </w:rPr>
              <w:t>sl-MeasObjectToAddModList</w:t>
            </w:r>
          </w:p>
          <w:p w14:paraId="6E96F108" w14:textId="77777777" w:rsidR="00394471" w:rsidRPr="00FA0D37" w:rsidRDefault="00394471" w:rsidP="00964CC4">
            <w:pPr>
              <w:pStyle w:val="TAL"/>
              <w:rPr>
                <w:lang w:eastAsia="en-GB"/>
              </w:rPr>
            </w:pPr>
            <w:r w:rsidRPr="00FA0D37">
              <w:rPr>
                <w:lang w:eastAsia="en-GB"/>
              </w:rPr>
              <w:t>List of sidelink measurement objects to add and/or modify.</w:t>
            </w:r>
          </w:p>
        </w:tc>
      </w:tr>
      <w:tr w:rsidR="005C7FF4" w:rsidRPr="00FA0D37" w14:paraId="3BAB0E9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BB17DB" w14:textId="77777777" w:rsidR="00394471" w:rsidRPr="00FA0D37" w:rsidRDefault="00394471" w:rsidP="00964CC4">
            <w:pPr>
              <w:pStyle w:val="TAL"/>
              <w:rPr>
                <w:b/>
                <w:bCs/>
                <w:i/>
                <w:iCs/>
                <w:lang w:eastAsia="en-GB"/>
              </w:rPr>
            </w:pPr>
            <w:r w:rsidRPr="00FA0D37">
              <w:rPr>
                <w:b/>
                <w:bCs/>
                <w:i/>
                <w:iCs/>
                <w:lang w:eastAsia="en-GB"/>
              </w:rPr>
              <w:t>sl-MeasObjectToRemoveList</w:t>
            </w:r>
          </w:p>
          <w:p w14:paraId="398EF072" w14:textId="77777777" w:rsidR="00394471" w:rsidRPr="00FA0D37" w:rsidRDefault="00394471" w:rsidP="00964CC4">
            <w:pPr>
              <w:pStyle w:val="TAL"/>
              <w:rPr>
                <w:lang w:eastAsia="en-GB"/>
              </w:rPr>
            </w:pPr>
            <w:r w:rsidRPr="00FA0D37">
              <w:rPr>
                <w:noProof/>
                <w:lang w:eastAsia="en-GB"/>
              </w:rPr>
              <w:t>List of sidelink measurement objects to remove.</w:t>
            </w:r>
          </w:p>
        </w:tc>
      </w:tr>
      <w:tr w:rsidR="005C7FF4" w:rsidRPr="00FA0D37" w14:paraId="235512D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C5CAEFF" w14:textId="10463DFA" w:rsidR="00394471" w:rsidRPr="00FA0D37" w:rsidRDefault="00394471" w:rsidP="00964CC4">
            <w:pPr>
              <w:pStyle w:val="TAL"/>
              <w:rPr>
                <w:b/>
                <w:bCs/>
                <w:i/>
                <w:iCs/>
                <w:lang w:eastAsia="en-GB"/>
              </w:rPr>
            </w:pPr>
            <w:r w:rsidRPr="00FA0D37">
              <w:rPr>
                <w:b/>
                <w:bCs/>
                <w:i/>
                <w:iCs/>
                <w:lang w:eastAsia="en-GB"/>
              </w:rPr>
              <w:t>sl-QuantityConfig</w:t>
            </w:r>
          </w:p>
          <w:p w14:paraId="7AB2402E" w14:textId="77777777" w:rsidR="00394471" w:rsidRPr="00FA0D37" w:rsidRDefault="00394471" w:rsidP="00964CC4">
            <w:pPr>
              <w:pStyle w:val="TAL"/>
              <w:rPr>
                <w:lang w:eastAsia="en-GB"/>
              </w:rPr>
            </w:pPr>
            <w:r w:rsidRPr="00FA0D37">
              <w:rPr>
                <w:lang w:eastAsia="en-GB"/>
              </w:rPr>
              <w:t>Indicates the layer 3 filtering coefficient for sidelink measurement.</w:t>
            </w:r>
          </w:p>
        </w:tc>
      </w:tr>
      <w:tr w:rsidR="005C7FF4" w:rsidRPr="00FA0D37" w14:paraId="3241171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1C13600" w14:textId="77777777" w:rsidR="00394471" w:rsidRPr="00FA0D37" w:rsidRDefault="00394471" w:rsidP="00964CC4">
            <w:pPr>
              <w:pStyle w:val="TAL"/>
              <w:rPr>
                <w:b/>
                <w:bCs/>
                <w:i/>
                <w:iCs/>
                <w:lang w:eastAsia="en-GB"/>
              </w:rPr>
            </w:pPr>
            <w:r w:rsidRPr="00FA0D37">
              <w:rPr>
                <w:b/>
                <w:bCs/>
                <w:i/>
                <w:iCs/>
                <w:lang w:eastAsia="en-GB"/>
              </w:rPr>
              <w:t>sl-ReportConfigToAddModList</w:t>
            </w:r>
          </w:p>
          <w:p w14:paraId="3C415AB1" w14:textId="77777777" w:rsidR="00394471" w:rsidRPr="00FA0D37" w:rsidRDefault="00394471" w:rsidP="00964CC4">
            <w:pPr>
              <w:pStyle w:val="TAL"/>
              <w:rPr>
                <w:lang w:eastAsia="en-GB"/>
              </w:rPr>
            </w:pPr>
            <w:r w:rsidRPr="00FA0D37">
              <w:rPr>
                <w:lang w:eastAsia="en-GB"/>
              </w:rPr>
              <w:t>List of sidelink measurement reporting configurations to add and/or modify.</w:t>
            </w:r>
          </w:p>
        </w:tc>
      </w:tr>
      <w:tr w:rsidR="00375B89" w:rsidRPr="00FA0D37" w14:paraId="24F763B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61F7838" w14:textId="77777777" w:rsidR="00394471" w:rsidRPr="00FA0D37" w:rsidRDefault="00394471" w:rsidP="00964CC4">
            <w:pPr>
              <w:pStyle w:val="TAL"/>
              <w:rPr>
                <w:b/>
                <w:bCs/>
                <w:i/>
                <w:iCs/>
                <w:lang w:eastAsia="en-GB"/>
              </w:rPr>
            </w:pPr>
            <w:r w:rsidRPr="00FA0D37">
              <w:rPr>
                <w:b/>
                <w:bCs/>
                <w:i/>
                <w:iCs/>
                <w:lang w:eastAsia="en-GB"/>
              </w:rPr>
              <w:t>sl-ReportConfigToRemoveList</w:t>
            </w:r>
          </w:p>
          <w:p w14:paraId="0053ABED" w14:textId="77777777" w:rsidR="00394471" w:rsidRPr="00FA0D37" w:rsidRDefault="00394471" w:rsidP="00964CC4">
            <w:pPr>
              <w:pStyle w:val="TAL"/>
              <w:rPr>
                <w:lang w:eastAsia="en-GB"/>
              </w:rPr>
            </w:pPr>
            <w:r w:rsidRPr="00FA0D37">
              <w:rPr>
                <w:lang w:eastAsia="en-GB"/>
              </w:rPr>
              <w:t>List of sidelink measurement reporting configurations to remove.</w:t>
            </w:r>
          </w:p>
        </w:tc>
      </w:tr>
    </w:tbl>
    <w:p w14:paraId="41B82072" w14:textId="77777777" w:rsidR="00394471" w:rsidRPr="00FA0D37" w:rsidRDefault="00394471" w:rsidP="00394471">
      <w:pPr>
        <w:rPr>
          <w:rFonts w:eastAsia="Yu Mincho"/>
        </w:rPr>
      </w:pPr>
    </w:p>
    <w:p w14:paraId="4FC17E8B" w14:textId="636755C8" w:rsidR="00394471" w:rsidRPr="00FA0D37" w:rsidRDefault="00394471" w:rsidP="00394471">
      <w:pPr>
        <w:pStyle w:val="4"/>
      </w:pPr>
      <w:bookmarkStart w:id="1790" w:name="_Toc60777536"/>
      <w:bookmarkStart w:id="1791" w:name="_Toc146781657"/>
      <w:r w:rsidRPr="00FA0D37">
        <w:t>–</w:t>
      </w:r>
      <w:r w:rsidRPr="00FA0D37">
        <w:tab/>
      </w:r>
      <w:r w:rsidRPr="00FA0D37">
        <w:rPr>
          <w:i/>
          <w:iCs/>
        </w:rPr>
        <w:t>SL-MeasIdList</w:t>
      </w:r>
      <w:bookmarkEnd w:id="1790"/>
      <w:bookmarkEnd w:id="1791"/>
    </w:p>
    <w:p w14:paraId="4D207F20" w14:textId="77777777" w:rsidR="00394471" w:rsidRPr="00FA0D37" w:rsidRDefault="00394471" w:rsidP="00394471">
      <w:r w:rsidRPr="00FA0D37">
        <w:t xml:space="preserve">The IE </w:t>
      </w:r>
      <w:r w:rsidRPr="00FA0D37">
        <w:rPr>
          <w:i/>
        </w:rPr>
        <w:t>SL</w:t>
      </w:r>
      <w:r w:rsidRPr="00FA0D37">
        <w:t>-</w:t>
      </w:r>
      <w:r w:rsidRPr="00FA0D37">
        <w:rPr>
          <w:i/>
        </w:rPr>
        <w:t>MeasIdList</w:t>
      </w:r>
      <w:r w:rsidRPr="00FA0D37">
        <w:t xml:space="preserve"> concerns a list of SL measurement identities to add or modify for a destination, with for each entry the </w:t>
      </w:r>
      <w:r w:rsidRPr="00FA0D37">
        <w:rPr>
          <w:i/>
        </w:rPr>
        <w:t>sl-MeasId</w:t>
      </w:r>
      <w:r w:rsidRPr="00FA0D37">
        <w:t xml:space="preserve">, the associated </w:t>
      </w:r>
      <w:r w:rsidRPr="00FA0D37">
        <w:rPr>
          <w:i/>
        </w:rPr>
        <w:t>sl-MeasObjectId</w:t>
      </w:r>
      <w:r w:rsidRPr="00FA0D37">
        <w:t xml:space="preserve"> and the associated </w:t>
      </w:r>
      <w:r w:rsidRPr="00FA0D37">
        <w:rPr>
          <w:i/>
        </w:rPr>
        <w:t>sl-ReportConfigId</w:t>
      </w:r>
      <w:r w:rsidRPr="00FA0D37">
        <w:t>.</w:t>
      </w:r>
    </w:p>
    <w:p w14:paraId="72B9C64A" w14:textId="77777777" w:rsidR="00394471" w:rsidRPr="00FA0D37" w:rsidRDefault="00394471" w:rsidP="00394471">
      <w:pPr>
        <w:pStyle w:val="TH"/>
        <w:rPr>
          <w:lang w:eastAsia="zh-CN"/>
        </w:rPr>
      </w:pPr>
      <w:r w:rsidRPr="00FA0D37">
        <w:rPr>
          <w:i/>
          <w:lang w:eastAsia="zh-CN"/>
        </w:rPr>
        <w:t>SL-MeasIdList</w:t>
      </w:r>
      <w:r w:rsidRPr="00FA0D37">
        <w:rPr>
          <w:lang w:eastAsia="zh-CN"/>
        </w:rPr>
        <w:t xml:space="preserve"> information element</w:t>
      </w:r>
    </w:p>
    <w:p w14:paraId="5BF8F2A7" w14:textId="77777777" w:rsidR="00394471" w:rsidRPr="00FA0D37" w:rsidRDefault="00394471" w:rsidP="00FA0D37">
      <w:pPr>
        <w:pStyle w:val="PL"/>
        <w:rPr>
          <w:color w:val="808080"/>
        </w:rPr>
      </w:pPr>
      <w:r w:rsidRPr="00FA0D37">
        <w:rPr>
          <w:color w:val="808080"/>
        </w:rPr>
        <w:t>-- ASN1START</w:t>
      </w:r>
    </w:p>
    <w:p w14:paraId="7881CE8D" w14:textId="77777777" w:rsidR="00394471" w:rsidRPr="00FA0D37" w:rsidRDefault="00394471" w:rsidP="00FA0D37">
      <w:pPr>
        <w:pStyle w:val="PL"/>
        <w:rPr>
          <w:color w:val="808080"/>
        </w:rPr>
      </w:pPr>
      <w:r w:rsidRPr="00FA0D37">
        <w:rPr>
          <w:color w:val="808080"/>
        </w:rPr>
        <w:t>-- TAG-SL-MEASIDLIST-START</w:t>
      </w:r>
    </w:p>
    <w:p w14:paraId="26DDE7EB" w14:textId="77777777" w:rsidR="00394471" w:rsidRPr="00FA0D37" w:rsidRDefault="00394471" w:rsidP="00FA0D37">
      <w:pPr>
        <w:pStyle w:val="PL"/>
      </w:pPr>
    </w:p>
    <w:p w14:paraId="2A16DD0B" w14:textId="77777777" w:rsidR="00394471" w:rsidRPr="00FA0D37" w:rsidRDefault="00394471" w:rsidP="00FA0D37">
      <w:pPr>
        <w:pStyle w:val="PL"/>
      </w:pPr>
      <w:r w:rsidRPr="00FA0D37">
        <w:t xml:space="preserve">SL-MeasIdList-r16 ::=               </w:t>
      </w:r>
      <w:r w:rsidRPr="00FA0D37">
        <w:rPr>
          <w:color w:val="993366"/>
        </w:rPr>
        <w:t>SEQUENCE</w:t>
      </w:r>
      <w:r w:rsidRPr="00FA0D37">
        <w:t xml:space="preserve"> (</w:t>
      </w:r>
      <w:r w:rsidRPr="00FA0D37">
        <w:rPr>
          <w:color w:val="993366"/>
        </w:rPr>
        <w:t>SIZE</w:t>
      </w:r>
      <w:r w:rsidRPr="00FA0D37">
        <w:t xml:space="preserve"> (1..maxNrofSL-MeasId-r16))</w:t>
      </w:r>
      <w:r w:rsidRPr="00FA0D37">
        <w:rPr>
          <w:color w:val="993366"/>
        </w:rPr>
        <w:t xml:space="preserve"> OF</w:t>
      </w:r>
      <w:r w:rsidRPr="00FA0D37">
        <w:t xml:space="preserve"> SL-MeasIdInfo-r16</w:t>
      </w:r>
    </w:p>
    <w:p w14:paraId="4A2AAB17" w14:textId="77777777" w:rsidR="00394471" w:rsidRPr="00FA0D37" w:rsidRDefault="00394471" w:rsidP="00FA0D37">
      <w:pPr>
        <w:pStyle w:val="PL"/>
      </w:pPr>
    </w:p>
    <w:p w14:paraId="61F25EC1" w14:textId="77777777" w:rsidR="00394471" w:rsidRPr="00FA0D37" w:rsidRDefault="00394471" w:rsidP="00FA0D37">
      <w:pPr>
        <w:pStyle w:val="PL"/>
      </w:pPr>
      <w:r w:rsidRPr="00FA0D37">
        <w:t xml:space="preserve">SL-MeasIdInfo-r16 ::=               </w:t>
      </w:r>
      <w:r w:rsidRPr="00FA0D37">
        <w:rPr>
          <w:color w:val="993366"/>
        </w:rPr>
        <w:t>SEQUENCE</w:t>
      </w:r>
      <w:r w:rsidRPr="00FA0D37">
        <w:t xml:space="preserve"> {</w:t>
      </w:r>
    </w:p>
    <w:p w14:paraId="2A2A044E" w14:textId="77777777" w:rsidR="00394471" w:rsidRPr="00FA0D37" w:rsidRDefault="00394471" w:rsidP="00FA0D37">
      <w:pPr>
        <w:pStyle w:val="PL"/>
      </w:pPr>
      <w:r w:rsidRPr="00FA0D37">
        <w:t xml:space="preserve">    sl-MeasId-r16                       SL-MeasId-r16,</w:t>
      </w:r>
    </w:p>
    <w:p w14:paraId="28F3F749" w14:textId="77777777" w:rsidR="00394471" w:rsidRPr="00FA0D37" w:rsidRDefault="00394471" w:rsidP="00FA0D37">
      <w:pPr>
        <w:pStyle w:val="PL"/>
      </w:pPr>
      <w:r w:rsidRPr="00FA0D37">
        <w:t xml:space="preserve">    sl-MeasObjectId-r16                 SL-MeasObjectId-r16,</w:t>
      </w:r>
    </w:p>
    <w:p w14:paraId="326261EB" w14:textId="77777777" w:rsidR="00394471" w:rsidRPr="00FA0D37" w:rsidRDefault="00394471" w:rsidP="00FA0D37">
      <w:pPr>
        <w:pStyle w:val="PL"/>
      </w:pPr>
      <w:r w:rsidRPr="00FA0D37">
        <w:t xml:space="preserve">    sl-ReportConfigId-r16               SL-ReportConfigId-r16,</w:t>
      </w:r>
    </w:p>
    <w:p w14:paraId="03534945" w14:textId="77777777" w:rsidR="00394471" w:rsidRPr="00FA0D37" w:rsidRDefault="00394471" w:rsidP="00FA0D37">
      <w:pPr>
        <w:pStyle w:val="PL"/>
      </w:pPr>
      <w:r w:rsidRPr="00FA0D37">
        <w:t xml:space="preserve">    ...</w:t>
      </w:r>
    </w:p>
    <w:p w14:paraId="2D2E87D3" w14:textId="77777777" w:rsidR="00394471" w:rsidRPr="00FA0D37" w:rsidRDefault="00394471" w:rsidP="00FA0D37">
      <w:pPr>
        <w:pStyle w:val="PL"/>
      </w:pPr>
      <w:r w:rsidRPr="00FA0D37">
        <w:t>}</w:t>
      </w:r>
    </w:p>
    <w:p w14:paraId="6D1D867D" w14:textId="77777777" w:rsidR="00394471" w:rsidRPr="00FA0D37" w:rsidRDefault="00394471" w:rsidP="00FA0D37">
      <w:pPr>
        <w:pStyle w:val="PL"/>
      </w:pPr>
    </w:p>
    <w:p w14:paraId="20BD5C47" w14:textId="77777777" w:rsidR="00394471" w:rsidRPr="00FA0D37" w:rsidRDefault="00394471" w:rsidP="00FA0D37">
      <w:pPr>
        <w:pStyle w:val="PL"/>
      </w:pPr>
      <w:r w:rsidRPr="00FA0D37">
        <w:t xml:space="preserve">SL-MeasId-r16 ::=                   </w:t>
      </w:r>
      <w:r w:rsidRPr="00FA0D37">
        <w:rPr>
          <w:color w:val="993366"/>
        </w:rPr>
        <w:t>INTEGER</w:t>
      </w:r>
      <w:r w:rsidRPr="00FA0D37">
        <w:t xml:space="preserve"> (1..maxNrofSL-MeasId-r16)</w:t>
      </w:r>
    </w:p>
    <w:p w14:paraId="1B89D4CE" w14:textId="77777777" w:rsidR="00394471" w:rsidRPr="00FA0D37" w:rsidRDefault="00394471" w:rsidP="00FA0D37">
      <w:pPr>
        <w:pStyle w:val="PL"/>
      </w:pPr>
    </w:p>
    <w:p w14:paraId="11B5A17B" w14:textId="77777777" w:rsidR="00394471" w:rsidRPr="00FA0D37" w:rsidRDefault="00394471" w:rsidP="00FA0D37">
      <w:pPr>
        <w:pStyle w:val="PL"/>
        <w:rPr>
          <w:color w:val="808080"/>
        </w:rPr>
      </w:pPr>
      <w:r w:rsidRPr="00FA0D37">
        <w:rPr>
          <w:color w:val="808080"/>
        </w:rPr>
        <w:t>-- TAG-SL-MEASIDLIST-STOP</w:t>
      </w:r>
    </w:p>
    <w:p w14:paraId="00009978" w14:textId="77777777" w:rsidR="00394471" w:rsidRPr="00FA0D37" w:rsidRDefault="00394471" w:rsidP="00FA0D37">
      <w:pPr>
        <w:pStyle w:val="PL"/>
        <w:rPr>
          <w:color w:val="808080"/>
        </w:rPr>
      </w:pPr>
      <w:r w:rsidRPr="00FA0D37">
        <w:rPr>
          <w:color w:val="808080"/>
        </w:rPr>
        <w:t>-- ASN1STOP</w:t>
      </w:r>
    </w:p>
    <w:p w14:paraId="320C4365" w14:textId="77777777" w:rsidR="00394471" w:rsidRPr="00FA0D37" w:rsidRDefault="00394471" w:rsidP="00394471">
      <w:pPr>
        <w:rPr>
          <w:rFonts w:eastAsia="Yu Mincho"/>
        </w:rPr>
      </w:pPr>
    </w:p>
    <w:p w14:paraId="1B825961" w14:textId="3215B6CB" w:rsidR="00394471" w:rsidRPr="00FA0D37" w:rsidRDefault="00394471" w:rsidP="00394471">
      <w:pPr>
        <w:pStyle w:val="4"/>
      </w:pPr>
      <w:bookmarkStart w:id="1792" w:name="_Toc60777537"/>
      <w:bookmarkStart w:id="1793" w:name="_Toc146781658"/>
      <w:r w:rsidRPr="00FA0D37">
        <w:t>–</w:t>
      </w:r>
      <w:r w:rsidRPr="00FA0D37">
        <w:tab/>
      </w:r>
      <w:r w:rsidRPr="00FA0D37">
        <w:rPr>
          <w:i/>
          <w:iCs/>
        </w:rPr>
        <w:t>SL-MeasObjectList</w:t>
      </w:r>
      <w:bookmarkEnd w:id="1792"/>
      <w:bookmarkEnd w:id="1793"/>
    </w:p>
    <w:p w14:paraId="72AB9DC6" w14:textId="77777777" w:rsidR="00394471" w:rsidRPr="00FA0D37" w:rsidRDefault="00394471" w:rsidP="00394471">
      <w:r w:rsidRPr="00FA0D37">
        <w:t xml:space="preserve">The IE </w:t>
      </w:r>
      <w:r w:rsidRPr="00FA0D37">
        <w:rPr>
          <w:i/>
        </w:rPr>
        <w:t>SL</w:t>
      </w:r>
      <w:r w:rsidRPr="00FA0D37">
        <w:t>-</w:t>
      </w:r>
      <w:r w:rsidRPr="00FA0D37">
        <w:rPr>
          <w:i/>
        </w:rPr>
        <w:t>MeasObjectList</w:t>
      </w:r>
      <w:r w:rsidRPr="00FA0D37">
        <w:t xml:space="preserve"> concerns a list of SL measurement objects to add or modify for a destination.</w:t>
      </w:r>
    </w:p>
    <w:p w14:paraId="3CD0B655" w14:textId="77777777" w:rsidR="00394471" w:rsidRPr="00FA0D37" w:rsidRDefault="00394471" w:rsidP="00394471">
      <w:pPr>
        <w:pStyle w:val="TH"/>
        <w:rPr>
          <w:lang w:eastAsia="zh-CN"/>
        </w:rPr>
      </w:pPr>
      <w:r w:rsidRPr="00FA0D37">
        <w:rPr>
          <w:i/>
          <w:lang w:eastAsia="zh-CN"/>
        </w:rPr>
        <w:lastRenderedPageBreak/>
        <w:t>SL-MeasObjectList</w:t>
      </w:r>
      <w:r w:rsidRPr="00FA0D37">
        <w:rPr>
          <w:lang w:eastAsia="zh-CN"/>
        </w:rPr>
        <w:t xml:space="preserve"> information element</w:t>
      </w:r>
    </w:p>
    <w:p w14:paraId="2DEFA908" w14:textId="77777777" w:rsidR="00394471" w:rsidRPr="00FA0D37" w:rsidRDefault="00394471" w:rsidP="00FA0D37">
      <w:pPr>
        <w:pStyle w:val="PL"/>
        <w:rPr>
          <w:color w:val="808080"/>
        </w:rPr>
      </w:pPr>
      <w:r w:rsidRPr="00FA0D37">
        <w:rPr>
          <w:color w:val="808080"/>
        </w:rPr>
        <w:t>-- ASN1START</w:t>
      </w:r>
    </w:p>
    <w:p w14:paraId="5E345CB0" w14:textId="77777777" w:rsidR="00394471" w:rsidRPr="00FA0D37" w:rsidRDefault="00394471" w:rsidP="00FA0D37">
      <w:pPr>
        <w:pStyle w:val="PL"/>
        <w:rPr>
          <w:color w:val="808080"/>
        </w:rPr>
      </w:pPr>
      <w:r w:rsidRPr="00FA0D37">
        <w:rPr>
          <w:color w:val="808080"/>
        </w:rPr>
        <w:t>-- TAG-SL-MEASOBJECTLIST-START</w:t>
      </w:r>
    </w:p>
    <w:p w14:paraId="19D4C267" w14:textId="77777777" w:rsidR="00394471" w:rsidRPr="00FA0D37" w:rsidRDefault="00394471" w:rsidP="00FA0D37">
      <w:pPr>
        <w:pStyle w:val="PL"/>
      </w:pPr>
    </w:p>
    <w:p w14:paraId="1232A391" w14:textId="77777777" w:rsidR="00394471" w:rsidRPr="00FA0D37" w:rsidRDefault="00394471" w:rsidP="00FA0D37">
      <w:pPr>
        <w:pStyle w:val="PL"/>
      </w:pPr>
      <w:r w:rsidRPr="00FA0D37">
        <w:t xml:space="preserve">SL-MeasObjectList-r16 ::=               </w:t>
      </w:r>
      <w:r w:rsidRPr="00FA0D37">
        <w:rPr>
          <w:color w:val="993366"/>
        </w:rPr>
        <w:t>SEQUENCE</w:t>
      </w:r>
      <w:r w:rsidRPr="00FA0D37">
        <w:t xml:space="preserve"> (</w:t>
      </w:r>
      <w:r w:rsidRPr="00FA0D37">
        <w:rPr>
          <w:color w:val="993366"/>
        </w:rPr>
        <w:t>SIZE</w:t>
      </w:r>
      <w:r w:rsidRPr="00FA0D37">
        <w:t xml:space="preserve"> (1..maxNrofSL-ObjectId-r16))</w:t>
      </w:r>
      <w:r w:rsidRPr="00FA0D37">
        <w:rPr>
          <w:color w:val="993366"/>
        </w:rPr>
        <w:t xml:space="preserve"> OF</w:t>
      </w:r>
      <w:r w:rsidRPr="00FA0D37">
        <w:t xml:space="preserve"> SL-MeasObjectInfo-r16</w:t>
      </w:r>
    </w:p>
    <w:p w14:paraId="3BB9A35B" w14:textId="77777777" w:rsidR="00394471" w:rsidRPr="00FA0D37" w:rsidRDefault="00394471" w:rsidP="00FA0D37">
      <w:pPr>
        <w:pStyle w:val="PL"/>
      </w:pPr>
    </w:p>
    <w:p w14:paraId="5BBC9DF1" w14:textId="77777777" w:rsidR="00394471" w:rsidRPr="00FA0D37" w:rsidRDefault="00394471" w:rsidP="00FA0D37">
      <w:pPr>
        <w:pStyle w:val="PL"/>
      </w:pPr>
      <w:r w:rsidRPr="00FA0D37">
        <w:t xml:space="preserve">SL-MeasObjectInfo-r16 ::=               </w:t>
      </w:r>
      <w:r w:rsidRPr="00FA0D37">
        <w:rPr>
          <w:color w:val="993366"/>
        </w:rPr>
        <w:t>SEQUENCE</w:t>
      </w:r>
      <w:r w:rsidRPr="00FA0D37">
        <w:t xml:space="preserve"> {</w:t>
      </w:r>
    </w:p>
    <w:p w14:paraId="6E04161E" w14:textId="77777777" w:rsidR="00394471" w:rsidRPr="00FA0D37" w:rsidRDefault="00394471" w:rsidP="00FA0D37">
      <w:pPr>
        <w:pStyle w:val="PL"/>
      </w:pPr>
      <w:r w:rsidRPr="00FA0D37">
        <w:t xml:space="preserve">    sl-MeasObjectId-r16                     SL-MeasObjectId-r16,</w:t>
      </w:r>
    </w:p>
    <w:p w14:paraId="2DD1687F" w14:textId="77777777" w:rsidR="00394471" w:rsidRPr="00FA0D37" w:rsidRDefault="00394471" w:rsidP="00FA0D37">
      <w:pPr>
        <w:pStyle w:val="PL"/>
      </w:pPr>
      <w:r w:rsidRPr="00FA0D37">
        <w:t xml:space="preserve">    sl-MeasObject-r16                       SL-MeasObject-r16,</w:t>
      </w:r>
    </w:p>
    <w:p w14:paraId="55A2A3AE" w14:textId="77777777" w:rsidR="00394471" w:rsidRPr="00FA0D37" w:rsidRDefault="00394471" w:rsidP="00FA0D37">
      <w:pPr>
        <w:pStyle w:val="PL"/>
      </w:pPr>
      <w:r w:rsidRPr="00FA0D37">
        <w:t xml:space="preserve">    ...</w:t>
      </w:r>
    </w:p>
    <w:p w14:paraId="5B6E385B" w14:textId="77777777" w:rsidR="00394471" w:rsidRPr="00FA0D37" w:rsidRDefault="00394471" w:rsidP="00FA0D37">
      <w:pPr>
        <w:pStyle w:val="PL"/>
      </w:pPr>
      <w:r w:rsidRPr="00FA0D37">
        <w:t>}</w:t>
      </w:r>
    </w:p>
    <w:p w14:paraId="2E74D559" w14:textId="77777777" w:rsidR="00394471" w:rsidRPr="00FA0D37" w:rsidRDefault="00394471" w:rsidP="00FA0D37">
      <w:pPr>
        <w:pStyle w:val="PL"/>
      </w:pPr>
    </w:p>
    <w:p w14:paraId="53298C73" w14:textId="77777777" w:rsidR="00394471" w:rsidRPr="00FA0D37" w:rsidRDefault="00394471" w:rsidP="00FA0D37">
      <w:pPr>
        <w:pStyle w:val="PL"/>
      </w:pPr>
      <w:r w:rsidRPr="00FA0D37">
        <w:t xml:space="preserve">SL-MeasObjectId-r16 ::=                 </w:t>
      </w:r>
      <w:r w:rsidRPr="00FA0D37">
        <w:rPr>
          <w:color w:val="993366"/>
        </w:rPr>
        <w:t>INTEGER</w:t>
      </w:r>
      <w:r w:rsidRPr="00FA0D37">
        <w:t xml:space="preserve"> (1..maxNrofSL-ObjectId-r16)</w:t>
      </w:r>
    </w:p>
    <w:p w14:paraId="7BFDFECD" w14:textId="77777777" w:rsidR="00394471" w:rsidRPr="00FA0D37" w:rsidRDefault="00394471" w:rsidP="00FA0D37">
      <w:pPr>
        <w:pStyle w:val="PL"/>
      </w:pPr>
    </w:p>
    <w:p w14:paraId="5A24F54F" w14:textId="77777777" w:rsidR="00394471" w:rsidRPr="00FA0D37" w:rsidRDefault="00394471" w:rsidP="00FA0D37">
      <w:pPr>
        <w:pStyle w:val="PL"/>
      </w:pPr>
      <w:r w:rsidRPr="00FA0D37">
        <w:t xml:space="preserve">SL-MeasObject-r16 ::=                   </w:t>
      </w:r>
      <w:r w:rsidRPr="00FA0D37">
        <w:rPr>
          <w:color w:val="993366"/>
        </w:rPr>
        <w:t>SEQUENCE</w:t>
      </w:r>
      <w:r w:rsidRPr="00FA0D37">
        <w:t xml:space="preserve"> {</w:t>
      </w:r>
    </w:p>
    <w:p w14:paraId="56E3B4D6" w14:textId="77777777" w:rsidR="00394471" w:rsidRPr="00FA0D37" w:rsidRDefault="00394471" w:rsidP="00FA0D37">
      <w:pPr>
        <w:pStyle w:val="PL"/>
      </w:pPr>
      <w:r w:rsidRPr="00FA0D37">
        <w:t xml:space="preserve">    frequencyInfoSL-r16                     ARFCN-ValueNR,</w:t>
      </w:r>
    </w:p>
    <w:p w14:paraId="789D471C" w14:textId="77777777" w:rsidR="00394471" w:rsidRPr="00FA0D37" w:rsidRDefault="00394471" w:rsidP="00FA0D37">
      <w:pPr>
        <w:pStyle w:val="PL"/>
      </w:pPr>
      <w:r w:rsidRPr="00FA0D37">
        <w:t xml:space="preserve">    ...</w:t>
      </w:r>
    </w:p>
    <w:p w14:paraId="44BE076A" w14:textId="77777777" w:rsidR="00394471" w:rsidRPr="00FA0D37" w:rsidRDefault="00394471" w:rsidP="00FA0D37">
      <w:pPr>
        <w:pStyle w:val="PL"/>
      </w:pPr>
      <w:r w:rsidRPr="00FA0D37">
        <w:t>}</w:t>
      </w:r>
    </w:p>
    <w:p w14:paraId="492F4C4B" w14:textId="77777777" w:rsidR="00394471" w:rsidRPr="00FA0D37" w:rsidRDefault="00394471" w:rsidP="00FA0D37">
      <w:pPr>
        <w:pStyle w:val="PL"/>
      </w:pPr>
    </w:p>
    <w:p w14:paraId="368EAA78" w14:textId="77777777" w:rsidR="00394471" w:rsidRPr="00FA0D37" w:rsidRDefault="00394471" w:rsidP="00FA0D37">
      <w:pPr>
        <w:pStyle w:val="PL"/>
        <w:rPr>
          <w:color w:val="808080"/>
        </w:rPr>
      </w:pPr>
      <w:r w:rsidRPr="00FA0D37">
        <w:rPr>
          <w:color w:val="808080"/>
        </w:rPr>
        <w:t>-- TAG-SL-MEASOBJECTLIST-STOP</w:t>
      </w:r>
    </w:p>
    <w:p w14:paraId="1A2E938A" w14:textId="77777777" w:rsidR="00394471" w:rsidRPr="00FA0D37" w:rsidRDefault="00394471" w:rsidP="00FA0D37">
      <w:pPr>
        <w:pStyle w:val="PL"/>
        <w:rPr>
          <w:color w:val="808080"/>
        </w:rPr>
      </w:pPr>
      <w:r w:rsidRPr="00FA0D37">
        <w:rPr>
          <w:color w:val="808080"/>
        </w:rPr>
        <w:t>-- ASN1STOP</w:t>
      </w:r>
    </w:p>
    <w:p w14:paraId="07DED5BA"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18619E3A"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AB9E3B7" w14:textId="77777777" w:rsidR="00394471" w:rsidRPr="00FA0D37" w:rsidRDefault="00394471" w:rsidP="00964CC4">
            <w:pPr>
              <w:pStyle w:val="TAH"/>
              <w:rPr>
                <w:lang w:eastAsia="en-GB"/>
              </w:rPr>
            </w:pPr>
            <w:r w:rsidRPr="00FA0D37">
              <w:rPr>
                <w:i/>
                <w:noProof/>
                <w:lang w:eastAsia="en-GB"/>
              </w:rPr>
              <w:t>SL-MeasObjectList</w:t>
            </w:r>
            <w:r w:rsidRPr="00FA0D37">
              <w:rPr>
                <w:noProof/>
                <w:lang w:eastAsia="en-GB"/>
              </w:rPr>
              <w:t xml:space="preserve"> field descriptions</w:t>
            </w:r>
          </w:p>
        </w:tc>
      </w:tr>
      <w:tr w:rsidR="005C7FF4" w:rsidRPr="00FA0D37" w14:paraId="35DDFA3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FFDA21" w14:textId="77777777" w:rsidR="00394471" w:rsidRPr="00FA0D37" w:rsidRDefault="00394471" w:rsidP="00964CC4">
            <w:pPr>
              <w:pStyle w:val="TAL"/>
              <w:rPr>
                <w:b/>
                <w:bCs/>
                <w:i/>
                <w:iCs/>
                <w:lang w:eastAsia="en-GB"/>
              </w:rPr>
            </w:pPr>
            <w:r w:rsidRPr="00FA0D37">
              <w:rPr>
                <w:b/>
                <w:bCs/>
                <w:i/>
                <w:iCs/>
                <w:lang w:eastAsia="en-GB"/>
              </w:rPr>
              <w:t>sl-MeasObjectId</w:t>
            </w:r>
          </w:p>
          <w:p w14:paraId="396013A2" w14:textId="77777777" w:rsidR="00394471" w:rsidRPr="00FA0D37" w:rsidRDefault="00394471" w:rsidP="00964CC4">
            <w:pPr>
              <w:pStyle w:val="TAL"/>
              <w:rPr>
                <w:noProof/>
                <w:lang w:eastAsia="en-GB"/>
              </w:rPr>
            </w:pPr>
            <w:r w:rsidRPr="00FA0D37">
              <w:rPr>
                <w:noProof/>
                <w:lang w:eastAsia="en-GB"/>
              </w:rPr>
              <w:t>It is used to identify a sidelink measurement object configuration.</w:t>
            </w:r>
          </w:p>
        </w:tc>
      </w:tr>
      <w:tr w:rsidR="00375B89" w:rsidRPr="00FA0D37" w14:paraId="2AC0459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47A41" w14:textId="77777777" w:rsidR="00394471" w:rsidRPr="00FA0D37" w:rsidRDefault="00394471" w:rsidP="00964CC4">
            <w:pPr>
              <w:pStyle w:val="TAL"/>
              <w:rPr>
                <w:b/>
                <w:bCs/>
                <w:i/>
                <w:iCs/>
                <w:lang w:eastAsia="en-GB"/>
              </w:rPr>
            </w:pPr>
            <w:r w:rsidRPr="00FA0D37">
              <w:rPr>
                <w:b/>
                <w:bCs/>
                <w:i/>
                <w:iCs/>
                <w:lang w:eastAsia="en-GB"/>
              </w:rPr>
              <w:t>sl-MeasObject</w:t>
            </w:r>
          </w:p>
          <w:p w14:paraId="3562CF87" w14:textId="77777777" w:rsidR="00394471" w:rsidRPr="00FA0D37" w:rsidRDefault="00394471" w:rsidP="00964CC4">
            <w:pPr>
              <w:pStyle w:val="TAL"/>
              <w:rPr>
                <w:lang w:eastAsia="en-GB"/>
              </w:rPr>
            </w:pPr>
            <w:r w:rsidRPr="00FA0D37">
              <w:rPr>
                <w:lang w:eastAsia="en-GB"/>
              </w:rPr>
              <w:t>It specifies information applicable for sidelink DMRS measurement.</w:t>
            </w:r>
          </w:p>
        </w:tc>
      </w:tr>
    </w:tbl>
    <w:p w14:paraId="33D04F95" w14:textId="3B2132C7" w:rsidR="00E81DFA" w:rsidRPr="00FA0D37" w:rsidRDefault="00E81DFA" w:rsidP="00394471">
      <w:pPr>
        <w:rPr>
          <w:rFonts w:eastAsia="Yu Mincho"/>
        </w:rPr>
      </w:pPr>
    </w:p>
    <w:p w14:paraId="6F63AF01" w14:textId="11A3C989" w:rsidR="00E81DFA" w:rsidRPr="00FA0D37" w:rsidRDefault="00E81DFA" w:rsidP="000830BB">
      <w:pPr>
        <w:pStyle w:val="4"/>
        <w:rPr>
          <w:i/>
          <w:iCs/>
        </w:rPr>
      </w:pPr>
      <w:bookmarkStart w:id="1794" w:name="_Toc146781659"/>
      <w:r w:rsidRPr="00FA0D37">
        <w:t>–</w:t>
      </w:r>
      <w:r w:rsidRPr="00FA0D37">
        <w:tab/>
      </w:r>
      <w:r w:rsidRPr="00FA0D37">
        <w:rPr>
          <w:i/>
          <w:iCs/>
        </w:rPr>
        <w:t>SL-PagingIdentityRemoteUE</w:t>
      </w:r>
      <w:bookmarkEnd w:id="1794"/>
    </w:p>
    <w:p w14:paraId="5E3D9A3E" w14:textId="53775334" w:rsidR="00E81DFA" w:rsidRPr="00FA0D37" w:rsidRDefault="00E81DFA" w:rsidP="00E81DFA">
      <w:pPr>
        <w:keepNext/>
        <w:keepLines/>
        <w:rPr>
          <w:iCs/>
        </w:rPr>
      </w:pPr>
      <w:r w:rsidRPr="00FA0D37">
        <w:rPr>
          <w:iCs/>
        </w:rPr>
        <w:t xml:space="preserve">The IE </w:t>
      </w:r>
      <w:r w:rsidRPr="00FA0D37">
        <w:rPr>
          <w:i/>
          <w:iCs/>
        </w:rPr>
        <w:t xml:space="preserve">SL-PagingIdentityRemoteUE </w:t>
      </w:r>
      <w:r w:rsidRPr="00FA0D37">
        <w:rPr>
          <w:iCs/>
        </w:rPr>
        <w:t>includes the Remote UE</w:t>
      </w:r>
      <w:r w:rsidR="00D537E2" w:rsidRPr="00FA0D37">
        <w:rPr>
          <w:iCs/>
        </w:rPr>
        <w:t>'</w:t>
      </w:r>
      <w:r w:rsidRPr="00FA0D37">
        <w:rPr>
          <w:iCs/>
        </w:rPr>
        <w:t>s paging UE ID.</w:t>
      </w:r>
    </w:p>
    <w:p w14:paraId="7C53377A" w14:textId="23BFC1D7" w:rsidR="00E81DFA" w:rsidRPr="00FA0D37" w:rsidRDefault="00E81DFA" w:rsidP="000830BB">
      <w:pPr>
        <w:pStyle w:val="TH"/>
      </w:pPr>
      <w:r w:rsidRPr="00FA0D37">
        <w:rPr>
          <w:i/>
          <w:iCs/>
        </w:rPr>
        <w:t>SL-PagingIdentityRemoteUE</w:t>
      </w:r>
      <w:r w:rsidRPr="00FA0D37">
        <w:t xml:space="preserve"> information element</w:t>
      </w:r>
    </w:p>
    <w:p w14:paraId="180E8501" w14:textId="77777777" w:rsidR="00E81DFA" w:rsidRPr="00FA0D37" w:rsidRDefault="00E81DFA" w:rsidP="00FA0D37">
      <w:pPr>
        <w:pStyle w:val="PL"/>
        <w:rPr>
          <w:color w:val="808080"/>
        </w:rPr>
      </w:pPr>
      <w:r w:rsidRPr="00FA0D37">
        <w:rPr>
          <w:color w:val="808080"/>
        </w:rPr>
        <w:t>-- ASN1START</w:t>
      </w:r>
    </w:p>
    <w:p w14:paraId="380F1965" w14:textId="0E7C27AE" w:rsidR="00E81DFA" w:rsidRPr="00FA0D37" w:rsidRDefault="00E81DFA" w:rsidP="00FA0D37">
      <w:pPr>
        <w:pStyle w:val="PL"/>
        <w:rPr>
          <w:color w:val="808080"/>
        </w:rPr>
      </w:pPr>
      <w:r w:rsidRPr="00FA0D37">
        <w:rPr>
          <w:color w:val="808080"/>
        </w:rPr>
        <w:t>-- TAG-SL-PAGINGIDENTITYREMOTEUE-START</w:t>
      </w:r>
    </w:p>
    <w:p w14:paraId="364DFC1A" w14:textId="77777777" w:rsidR="00E81DFA" w:rsidRPr="00FA0D37" w:rsidRDefault="00E81DFA" w:rsidP="00FA0D37">
      <w:pPr>
        <w:pStyle w:val="PL"/>
      </w:pPr>
    </w:p>
    <w:p w14:paraId="68CD4510" w14:textId="4C0AF821" w:rsidR="00E81DFA" w:rsidRPr="00FA0D37" w:rsidRDefault="00E81DFA" w:rsidP="00FA0D37">
      <w:pPr>
        <w:pStyle w:val="PL"/>
      </w:pPr>
      <w:r w:rsidRPr="00FA0D37">
        <w:t>SL-PagingIdentityRemoteUE-r17 ::</w:t>
      </w:r>
      <w:r w:rsidR="00DC765E" w:rsidRPr="00FA0D37">
        <w:t>=</w:t>
      </w:r>
      <w:r w:rsidRPr="00FA0D37">
        <w:t xml:space="preserve">  </w:t>
      </w:r>
      <w:r w:rsidRPr="00FA0D37">
        <w:rPr>
          <w:color w:val="993366"/>
        </w:rPr>
        <w:t>SEQUENCE</w:t>
      </w:r>
      <w:r w:rsidRPr="00FA0D37">
        <w:t xml:space="preserve"> {</w:t>
      </w:r>
    </w:p>
    <w:p w14:paraId="25DF6BED" w14:textId="5BDDF37C" w:rsidR="00E81DFA" w:rsidRPr="00FA0D37" w:rsidRDefault="00E81DFA" w:rsidP="00FA0D37">
      <w:pPr>
        <w:pStyle w:val="PL"/>
      </w:pPr>
      <w:r w:rsidRPr="00FA0D37">
        <w:t xml:space="preserve">    ng-5G-S-TMSI-r17                   NG-5G-S-TMSI,</w:t>
      </w:r>
    </w:p>
    <w:p w14:paraId="073C3945" w14:textId="6CD2D2A8" w:rsidR="00E81DFA" w:rsidRPr="00FA0D37" w:rsidRDefault="00E81DFA" w:rsidP="00FA0D37">
      <w:pPr>
        <w:pStyle w:val="PL"/>
        <w:rPr>
          <w:color w:val="808080"/>
        </w:rPr>
      </w:pPr>
      <w:r w:rsidRPr="00FA0D37">
        <w:t xml:space="preserve">    fullI-RNTI-r17                     I-RNTI-Value                      </w:t>
      </w:r>
      <w:r w:rsidRPr="00FA0D37">
        <w:rPr>
          <w:color w:val="993366"/>
        </w:rPr>
        <w:t>OPTIONAL</w:t>
      </w:r>
      <w:r w:rsidR="00CA6F5E" w:rsidRPr="00FA0D37">
        <w:t xml:space="preserve">   </w:t>
      </w:r>
      <w:r w:rsidR="00CA6F5E" w:rsidRPr="00FA0D37">
        <w:rPr>
          <w:color w:val="808080"/>
        </w:rPr>
        <w:t>-- Need R</w:t>
      </w:r>
    </w:p>
    <w:p w14:paraId="2C6DBB33" w14:textId="77777777" w:rsidR="00E81DFA" w:rsidRPr="00FA0D37" w:rsidRDefault="00E81DFA" w:rsidP="00FA0D37">
      <w:pPr>
        <w:pStyle w:val="PL"/>
      </w:pPr>
      <w:r w:rsidRPr="00FA0D37">
        <w:t>}</w:t>
      </w:r>
    </w:p>
    <w:p w14:paraId="08B350AC" w14:textId="77777777" w:rsidR="00E81DFA" w:rsidRPr="00FA0D37" w:rsidRDefault="00E81DFA" w:rsidP="00FA0D37">
      <w:pPr>
        <w:pStyle w:val="PL"/>
      </w:pPr>
    </w:p>
    <w:p w14:paraId="4C6DD0C7" w14:textId="6EE86579" w:rsidR="00E81DFA" w:rsidRPr="00FA0D37" w:rsidRDefault="00E81DFA" w:rsidP="00FA0D37">
      <w:pPr>
        <w:pStyle w:val="PL"/>
        <w:rPr>
          <w:color w:val="808080"/>
        </w:rPr>
      </w:pPr>
      <w:r w:rsidRPr="00FA0D37">
        <w:rPr>
          <w:color w:val="808080"/>
        </w:rPr>
        <w:t>-- TAG-SL-PAGINGIDENTITYREMOTEUE-STOP</w:t>
      </w:r>
    </w:p>
    <w:p w14:paraId="57E8B783" w14:textId="163D658F" w:rsidR="00E81DFA" w:rsidRPr="00FA0D37" w:rsidRDefault="00E81DFA" w:rsidP="00FA0D37">
      <w:pPr>
        <w:pStyle w:val="PL"/>
        <w:rPr>
          <w:color w:val="808080"/>
        </w:rPr>
      </w:pPr>
      <w:r w:rsidRPr="00FA0D37">
        <w:rPr>
          <w:color w:val="808080"/>
        </w:rPr>
        <w:t>-- ASN1STOP</w:t>
      </w:r>
    </w:p>
    <w:p w14:paraId="03A5C846" w14:textId="77777777" w:rsidR="00E81DFA" w:rsidRPr="00FA0D37" w:rsidRDefault="00E81DFA" w:rsidP="00394471">
      <w:pPr>
        <w:rPr>
          <w:rFonts w:eastAsia="Yu Mincho"/>
        </w:rPr>
      </w:pPr>
    </w:p>
    <w:p w14:paraId="6AB1F790" w14:textId="3879B255" w:rsidR="00FC41F5" w:rsidRPr="00FA0D37" w:rsidRDefault="00FC41F5" w:rsidP="00FC41F5">
      <w:pPr>
        <w:pStyle w:val="4"/>
      </w:pPr>
      <w:bookmarkStart w:id="1795" w:name="_Toc146781660"/>
      <w:r w:rsidRPr="00FA0D37">
        <w:lastRenderedPageBreak/>
        <w:t>–</w:t>
      </w:r>
      <w:r w:rsidRPr="00FA0D37">
        <w:tab/>
      </w:r>
      <w:r w:rsidRPr="00FA0D37">
        <w:rPr>
          <w:i/>
          <w:iCs/>
        </w:rPr>
        <w:t>SL-PBPS-CPS-Config</w:t>
      </w:r>
      <w:bookmarkEnd w:id="1795"/>
    </w:p>
    <w:p w14:paraId="4873410E" w14:textId="77777777" w:rsidR="00FC41F5" w:rsidRPr="00FA0D37" w:rsidRDefault="00FC41F5" w:rsidP="00FC41F5">
      <w:r w:rsidRPr="00FA0D37">
        <w:t>The IE</w:t>
      </w:r>
      <w:r w:rsidRPr="00FA0D37">
        <w:rPr>
          <w:i/>
        </w:rPr>
        <w:t xml:space="preserve"> SL-PBPS-CPS-Config</w:t>
      </w:r>
      <w:r w:rsidRPr="00FA0D37">
        <w:rPr>
          <w:iCs/>
        </w:rPr>
        <w:t xml:space="preserve"> specifies the operation information for a resource pool which can be (pre-)configured to enable full sensing only, partial sensing only, random resource selection only, or any combination(s) thereof</w:t>
      </w:r>
      <w:r w:rsidRPr="00FA0D37">
        <w:t>.</w:t>
      </w:r>
    </w:p>
    <w:p w14:paraId="08938597" w14:textId="77777777" w:rsidR="00FC41F5" w:rsidRPr="00FA0D37" w:rsidRDefault="00FC41F5" w:rsidP="00FC41F5">
      <w:pPr>
        <w:pStyle w:val="TH"/>
      </w:pPr>
      <w:r w:rsidRPr="00FA0D37">
        <w:rPr>
          <w:i/>
        </w:rPr>
        <w:t xml:space="preserve">SL-PBPS-CPS-Config </w:t>
      </w:r>
      <w:r w:rsidRPr="00FA0D37">
        <w:t>information element</w:t>
      </w:r>
    </w:p>
    <w:p w14:paraId="1E789A9E" w14:textId="77777777" w:rsidR="00FC41F5" w:rsidRPr="00FA0D37" w:rsidRDefault="00FC41F5" w:rsidP="00FA0D37">
      <w:pPr>
        <w:pStyle w:val="PL"/>
        <w:rPr>
          <w:color w:val="808080"/>
        </w:rPr>
      </w:pPr>
      <w:r w:rsidRPr="00FA0D37">
        <w:rPr>
          <w:color w:val="808080"/>
        </w:rPr>
        <w:t>-- ASN1START</w:t>
      </w:r>
    </w:p>
    <w:p w14:paraId="13D0720C" w14:textId="77777777" w:rsidR="00FC41F5" w:rsidRPr="00FA0D37" w:rsidRDefault="00FC41F5" w:rsidP="00FA0D37">
      <w:pPr>
        <w:pStyle w:val="PL"/>
        <w:rPr>
          <w:color w:val="808080"/>
        </w:rPr>
      </w:pPr>
      <w:r w:rsidRPr="00FA0D37">
        <w:rPr>
          <w:color w:val="808080"/>
        </w:rPr>
        <w:t>-- TAG-SL-PBPS-CPS-CONFIG-START</w:t>
      </w:r>
    </w:p>
    <w:p w14:paraId="3EB3F73F" w14:textId="77777777" w:rsidR="00FC41F5" w:rsidRPr="00FA0D37" w:rsidRDefault="00FC41F5" w:rsidP="00FA0D37">
      <w:pPr>
        <w:pStyle w:val="PL"/>
      </w:pPr>
    </w:p>
    <w:p w14:paraId="19211144" w14:textId="77777777" w:rsidR="00FC41F5" w:rsidRPr="00FA0D37" w:rsidRDefault="00FC41F5" w:rsidP="00FA0D37">
      <w:pPr>
        <w:pStyle w:val="PL"/>
      </w:pPr>
      <w:r w:rsidRPr="00FA0D37">
        <w:t xml:space="preserve">SL-PBPS-CPS-Config-r17 ::=                </w:t>
      </w:r>
      <w:r w:rsidRPr="00FA0D37">
        <w:rPr>
          <w:color w:val="993366"/>
        </w:rPr>
        <w:t>SEQUENCE</w:t>
      </w:r>
      <w:r w:rsidRPr="00FA0D37">
        <w:t xml:space="preserve"> {</w:t>
      </w:r>
    </w:p>
    <w:p w14:paraId="24A02E54" w14:textId="5B3796B1" w:rsidR="00FC41F5" w:rsidRPr="00FA0D37" w:rsidRDefault="00FC41F5" w:rsidP="00FA0D37">
      <w:pPr>
        <w:pStyle w:val="PL"/>
        <w:rPr>
          <w:color w:val="808080"/>
        </w:rPr>
      </w:pPr>
      <w:r w:rsidRPr="00FA0D37">
        <w:t xml:space="preserve">sl-AllowedResourceSelectionConfig-r17     </w:t>
      </w:r>
      <w:r w:rsidRPr="00FA0D37">
        <w:rPr>
          <w:color w:val="993366"/>
        </w:rPr>
        <w:t>ENUMERATED</w:t>
      </w:r>
      <w:r w:rsidR="006665C6" w:rsidRPr="00FA0D37">
        <w:t xml:space="preserve"> </w:t>
      </w:r>
      <w:r w:rsidRPr="00FA0D37">
        <w:t xml:space="preserve">{c1, c2, c3, c4, c5, c6, c7}                             </w:t>
      </w:r>
      <w:r w:rsidRPr="00FA0D37">
        <w:rPr>
          <w:color w:val="993366"/>
        </w:rPr>
        <w:t>OPTIONAL</w:t>
      </w:r>
      <w:r w:rsidRPr="00FA0D37">
        <w:t xml:space="preserve">,   </w:t>
      </w:r>
      <w:r w:rsidRPr="00FA0D37">
        <w:rPr>
          <w:color w:val="808080"/>
        </w:rPr>
        <w:t>-- Need M</w:t>
      </w:r>
    </w:p>
    <w:p w14:paraId="301E1114" w14:textId="1B4CBDAF" w:rsidR="00FC41F5" w:rsidRPr="00FA0D37" w:rsidRDefault="00FC41F5" w:rsidP="00FA0D37">
      <w:pPr>
        <w:pStyle w:val="PL"/>
        <w:rPr>
          <w:color w:val="808080"/>
        </w:rPr>
      </w:pPr>
      <w:r w:rsidRPr="00FA0D37">
        <w:t xml:space="preserve">sl-MinNumCandidateSlotsPeriodic-r17       </w:t>
      </w:r>
      <w:r w:rsidRPr="00FA0D37">
        <w:rPr>
          <w:color w:val="993366"/>
        </w:rPr>
        <w:t>INTEGER</w:t>
      </w:r>
      <w:r w:rsidRPr="00FA0D37">
        <w:t xml:space="preserve"> (1..32)                                                     </w:t>
      </w:r>
      <w:r w:rsidRPr="00FA0D37">
        <w:rPr>
          <w:color w:val="993366"/>
        </w:rPr>
        <w:t>OPTIONAL</w:t>
      </w:r>
      <w:r w:rsidRPr="00FA0D37">
        <w:t xml:space="preserve">,   </w:t>
      </w:r>
      <w:r w:rsidRPr="00FA0D37">
        <w:rPr>
          <w:color w:val="808080"/>
        </w:rPr>
        <w:t>-- Need M</w:t>
      </w:r>
    </w:p>
    <w:p w14:paraId="0C81E776" w14:textId="6489C944" w:rsidR="00FC41F5" w:rsidRPr="00FA0D37" w:rsidRDefault="00FC41F5" w:rsidP="00FA0D37">
      <w:pPr>
        <w:pStyle w:val="PL"/>
        <w:rPr>
          <w:color w:val="808080"/>
        </w:rPr>
      </w:pPr>
      <w:r w:rsidRPr="00FA0D37">
        <w:t xml:space="preserve">sl-PBPS-OccasionReservePeriodList-r17     </w:t>
      </w:r>
      <w:r w:rsidRPr="00FA0D37">
        <w:rPr>
          <w:color w:val="993366"/>
        </w:rPr>
        <w:t>SEQUENCE</w:t>
      </w:r>
      <w:r w:rsidRPr="00FA0D37">
        <w:t xml:space="preserve"> (</w:t>
      </w:r>
      <w:r w:rsidRPr="00FA0D37">
        <w:rPr>
          <w:color w:val="993366"/>
        </w:rPr>
        <w:t>SIZE</w:t>
      </w:r>
      <w:r w:rsidRPr="00FA0D37">
        <w:t xml:space="preserve"> (1..16))</w:t>
      </w:r>
      <w:r w:rsidRPr="00FA0D37">
        <w:rPr>
          <w:color w:val="993366"/>
        </w:rPr>
        <w:t xml:space="preserve"> OF</w:t>
      </w:r>
      <w:r w:rsidRPr="00FA0D37">
        <w:t xml:space="preserve"> </w:t>
      </w:r>
      <w:r w:rsidR="001B1A88" w:rsidRPr="00FA0D37">
        <w:rPr>
          <w:color w:val="993366"/>
        </w:rPr>
        <w:t>INTEGER</w:t>
      </w:r>
      <w:r w:rsidR="001B1A88" w:rsidRPr="00FA0D37">
        <w:t xml:space="preserve"> (1..16)</w:t>
      </w:r>
      <w:r w:rsidRPr="00FA0D37">
        <w:t xml:space="preserve">             </w:t>
      </w:r>
      <w:r w:rsidR="001B1A88" w:rsidRPr="00FA0D37">
        <w:t xml:space="preserve">             </w:t>
      </w:r>
      <w:r w:rsidRPr="00FA0D37">
        <w:rPr>
          <w:color w:val="993366"/>
        </w:rPr>
        <w:t>OPTIONAL</w:t>
      </w:r>
      <w:r w:rsidRPr="00FA0D37">
        <w:t xml:space="preserve">,   </w:t>
      </w:r>
      <w:r w:rsidRPr="00FA0D37">
        <w:rPr>
          <w:color w:val="808080"/>
        </w:rPr>
        <w:t>-- Need M</w:t>
      </w:r>
    </w:p>
    <w:p w14:paraId="6E99605F" w14:textId="2B13B5DB" w:rsidR="00FC41F5" w:rsidRPr="00FA0D37" w:rsidRDefault="00FC41F5" w:rsidP="00FA0D37">
      <w:pPr>
        <w:pStyle w:val="PL"/>
        <w:rPr>
          <w:color w:val="808080"/>
        </w:rPr>
      </w:pPr>
      <w:r w:rsidRPr="00FA0D37">
        <w:t xml:space="preserve">sl-Additional-PBPS-Occasion-r17           </w:t>
      </w:r>
      <w:r w:rsidRPr="00FA0D37">
        <w:rPr>
          <w:color w:val="993366"/>
        </w:rPr>
        <w:t>ENUMERATED</w:t>
      </w:r>
      <w:r w:rsidRPr="00FA0D37">
        <w:t xml:space="preserve"> { monitored }                                            </w:t>
      </w:r>
      <w:r w:rsidRPr="00FA0D37">
        <w:rPr>
          <w:color w:val="993366"/>
        </w:rPr>
        <w:t>OPTIONAL</w:t>
      </w:r>
      <w:r w:rsidRPr="00FA0D37">
        <w:t xml:space="preserve">,   </w:t>
      </w:r>
      <w:r w:rsidRPr="00FA0D37">
        <w:rPr>
          <w:color w:val="808080"/>
        </w:rPr>
        <w:t>-- Need M</w:t>
      </w:r>
    </w:p>
    <w:p w14:paraId="0D1319CC" w14:textId="0CCC0AEE" w:rsidR="00FC41F5" w:rsidRPr="00FA0D37" w:rsidRDefault="00FC41F5" w:rsidP="00FA0D37">
      <w:pPr>
        <w:pStyle w:val="PL"/>
        <w:rPr>
          <w:color w:val="808080"/>
        </w:rPr>
      </w:pPr>
      <w:r w:rsidRPr="00FA0D37">
        <w:t xml:space="preserve">sl-CPS-WindowPeriodic-r17                 </w:t>
      </w:r>
      <w:r w:rsidRPr="00FA0D37">
        <w:rPr>
          <w:color w:val="993366"/>
        </w:rPr>
        <w:t>INTEGER</w:t>
      </w:r>
      <w:r w:rsidRPr="00FA0D37">
        <w:t xml:space="preserve"> (5..30)                                                     </w:t>
      </w:r>
      <w:r w:rsidRPr="00FA0D37">
        <w:rPr>
          <w:color w:val="993366"/>
        </w:rPr>
        <w:t>OPTIONAL</w:t>
      </w:r>
      <w:r w:rsidRPr="00FA0D37">
        <w:t xml:space="preserve">,   </w:t>
      </w:r>
      <w:r w:rsidRPr="00FA0D37">
        <w:rPr>
          <w:color w:val="808080"/>
        </w:rPr>
        <w:t>-- Need M</w:t>
      </w:r>
    </w:p>
    <w:p w14:paraId="30D14F33" w14:textId="4D25FF63" w:rsidR="00FC41F5" w:rsidRPr="00FA0D37" w:rsidRDefault="00FC41F5" w:rsidP="00FA0D37">
      <w:pPr>
        <w:pStyle w:val="PL"/>
        <w:rPr>
          <w:color w:val="808080"/>
        </w:rPr>
      </w:pPr>
      <w:r w:rsidRPr="00FA0D37">
        <w:t xml:space="preserve">sl-MinNumCandidateSlotsAperiodic-r17      </w:t>
      </w:r>
      <w:r w:rsidRPr="00FA0D37">
        <w:rPr>
          <w:color w:val="993366"/>
        </w:rPr>
        <w:t>INTEGER</w:t>
      </w:r>
      <w:r w:rsidRPr="00FA0D37">
        <w:t xml:space="preserve"> (1..32)                                                     </w:t>
      </w:r>
      <w:r w:rsidRPr="00FA0D37">
        <w:rPr>
          <w:color w:val="993366"/>
        </w:rPr>
        <w:t>OPTIONAL</w:t>
      </w:r>
      <w:r w:rsidRPr="00FA0D37">
        <w:t xml:space="preserve">,   </w:t>
      </w:r>
      <w:r w:rsidRPr="00FA0D37">
        <w:rPr>
          <w:color w:val="808080"/>
        </w:rPr>
        <w:t>-- Need M</w:t>
      </w:r>
    </w:p>
    <w:p w14:paraId="68D811D2" w14:textId="1E661F97" w:rsidR="00FC41F5" w:rsidRPr="00FA0D37" w:rsidRDefault="00FC41F5" w:rsidP="00FA0D37">
      <w:pPr>
        <w:pStyle w:val="PL"/>
        <w:rPr>
          <w:color w:val="808080"/>
        </w:rPr>
      </w:pPr>
      <w:r w:rsidRPr="00FA0D37">
        <w:t xml:space="preserve">sl-MinNumRssiMeasurementSlots-r17         </w:t>
      </w:r>
      <w:r w:rsidRPr="00FA0D37">
        <w:rPr>
          <w:color w:val="993366"/>
        </w:rPr>
        <w:t>INTEGER</w:t>
      </w:r>
      <w:r w:rsidRPr="00FA0D37">
        <w:t xml:space="preserve"> (1..800)                                                    </w:t>
      </w:r>
      <w:r w:rsidRPr="00FA0D37">
        <w:rPr>
          <w:color w:val="993366"/>
        </w:rPr>
        <w:t>OPTIONAL</w:t>
      </w:r>
      <w:r w:rsidRPr="00FA0D37">
        <w:t xml:space="preserve">,   </w:t>
      </w:r>
      <w:r w:rsidRPr="00FA0D37">
        <w:rPr>
          <w:color w:val="808080"/>
        </w:rPr>
        <w:t>-- Need M</w:t>
      </w:r>
    </w:p>
    <w:p w14:paraId="44308B44" w14:textId="2BE61510" w:rsidR="00FC41F5" w:rsidRPr="00FA0D37" w:rsidRDefault="00FC41F5" w:rsidP="00FA0D37">
      <w:pPr>
        <w:pStyle w:val="PL"/>
        <w:rPr>
          <w:color w:val="808080"/>
        </w:rPr>
      </w:pPr>
      <w:r w:rsidRPr="00FA0D37">
        <w:t xml:space="preserve">sl-DefaultCBR-RandomSelection-r17         </w:t>
      </w:r>
      <w:r w:rsidRPr="00FA0D37">
        <w:rPr>
          <w:color w:val="993366"/>
        </w:rPr>
        <w:t>INTEGER</w:t>
      </w:r>
      <w:r w:rsidRPr="00FA0D37">
        <w:t xml:space="preserve"> (0..100)                                                    </w:t>
      </w:r>
      <w:r w:rsidRPr="00FA0D37">
        <w:rPr>
          <w:color w:val="993366"/>
        </w:rPr>
        <w:t>OPTIONAL</w:t>
      </w:r>
      <w:r w:rsidRPr="00FA0D37">
        <w:t xml:space="preserve">,   </w:t>
      </w:r>
      <w:r w:rsidRPr="00FA0D37">
        <w:rPr>
          <w:color w:val="808080"/>
        </w:rPr>
        <w:t>-- Need M</w:t>
      </w:r>
    </w:p>
    <w:p w14:paraId="155B91B6" w14:textId="28F32977" w:rsidR="00FC41F5" w:rsidRPr="00FA0D37" w:rsidRDefault="00FC41F5" w:rsidP="00FA0D37">
      <w:pPr>
        <w:pStyle w:val="PL"/>
        <w:rPr>
          <w:color w:val="808080"/>
        </w:rPr>
      </w:pPr>
      <w:r w:rsidRPr="00FA0D37">
        <w:t xml:space="preserve">sl-DefaultCBR-PartialSensing-r17          </w:t>
      </w:r>
      <w:r w:rsidRPr="00FA0D37">
        <w:rPr>
          <w:color w:val="993366"/>
        </w:rPr>
        <w:t>INTEGER</w:t>
      </w:r>
      <w:r w:rsidRPr="00FA0D37">
        <w:t xml:space="preserve"> (0..100)                                                    </w:t>
      </w:r>
      <w:r w:rsidRPr="00FA0D37">
        <w:rPr>
          <w:color w:val="993366"/>
        </w:rPr>
        <w:t>OPTIONAL</w:t>
      </w:r>
      <w:r w:rsidRPr="00FA0D37">
        <w:t xml:space="preserve">,   </w:t>
      </w:r>
      <w:r w:rsidRPr="00FA0D37">
        <w:rPr>
          <w:color w:val="808080"/>
        </w:rPr>
        <w:t>-- Need M</w:t>
      </w:r>
    </w:p>
    <w:p w14:paraId="74F1BD12" w14:textId="1BD97F8F" w:rsidR="00FC41F5" w:rsidRPr="00FA0D37" w:rsidRDefault="00FC41F5" w:rsidP="00FA0D37">
      <w:pPr>
        <w:pStyle w:val="PL"/>
        <w:rPr>
          <w:color w:val="808080"/>
        </w:rPr>
      </w:pPr>
      <w:r w:rsidRPr="00FA0D37">
        <w:t xml:space="preserve">sl-CPS-WindowAperiodic-r17                </w:t>
      </w:r>
      <w:r w:rsidRPr="00FA0D37">
        <w:rPr>
          <w:color w:val="993366"/>
        </w:rPr>
        <w:t>INTEGER</w:t>
      </w:r>
      <w:r w:rsidRPr="00FA0D37">
        <w:t xml:space="preserve"> (0..30)                                                     </w:t>
      </w:r>
      <w:r w:rsidRPr="00FA0D37">
        <w:rPr>
          <w:color w:val="993366"/>
        </w:rPr>
        <w:t>OPTIONAL</w:t>
      </w:r>
      <w:r w:rsidRPr="00FA0D37">
        <w:t xml:space="preserve">,   </w:t>
      </w:r>
      <w:r w:rsidRPr="00FA0D37">
        <w:rPr>
          <w:color w:val="808080"/>
        </w:rPr>
        <w:t>-- Need M</w:t>
      </w:r>
    </w:p>
    <w:p w14:paraId="78EF4017" w14:textId="7CDC8957" w:rsidR="00FC41F5" w:rsidRPr="00FA0D37" w:rsidRDefault="00FC41F5" w:rsidP="00FA0D37">
      <w:pPr>
        <w:pStyle w:val="PL"/>
        <w:rPr>
          <w:color w:val="808080"/>
        </w:rPr>
      </w:pPr>
      <w:r w:rsidRPr="00FA0D37">
        <w:t xml:space="preserve">sl-PartialSensingInactiveTime-r17         </w:t>
      </w:r>
      <w:r w:rsidRPr="00FA0D37">
        <w:rPr>
          <w:color w:val="993366"/>
        </w:rPr>
        <w:t>ENUMERATED</w:t>
      </w:r>
      <w:r w:rsidRPr="00FA0D37">
        <w:t xml:space="preserve"> { enabled, disabled }                                    </w:t>
      </w:r>
      <w:r w:rsidRPr="00FA0D37">
        <w:rPr>
          <w:color w:val="993366"/>
        </w:rPr>
        <w:t>OPTIONAL</w:t>
      </w:r>
      <w:r w:rsidRPr="00FA0D37">
        <w:t xml:space="preserve">,   </w:t>
      </w:r>
      <w:r w:rsidRPr="00FA0D37">
        <w:rPr>
          <w:color w:val="808080"/>
        </w:rPr>
        <w:t>-- Need M</w:t>
      </w:r>
    </w:p>
    <w:p w14:paraId="0D7AA992" w14:textId="77777777" w:rsidR="00FC41F5" w:rsidRPr="00FA0D37" w:rsidRDefault="00FC41F5" w:rsidP="00FA0D37">
      <w:pPr>
        <w:pStyle w:val="PL"/>
      </w:pPr>
      <w:r w:rsidRPr="00FA0D37">
        <w:t xml:space="preserve">    ...</w:t>
      </w:r>
    </w:p>
    <w:p w14:paraId="35C7F937" w14:textId="77777777" w:rsidR="00FC41F5" w:rsidRPr="00FA0D37" w:rsidRDefault="00FC41F5" w:rsidP="00FA0D37">
      <w:pPr>
        <w:pStyle w:val="PL"/>
      </w:pPr>
      <w:r w:rsidRPr="00FA0D37">
        <w:t>}</w:t>
      </w:r>
    </w:p>
    <w:p w14:paraId="53B08F24" w14:textId="77777777" w:rsidR="00FC41F5" w:rsidRPr="00FA0D37" w:rsidRDefault="00FC41F5" w:rsidP="00FA0D37">
      <w:pPr>
        <w:pStyle w:val="PL"/>
      </w:pPr>
    </w:p>
    <w:p w14:paraId="377041F4" w14:textId="77777777" w:rsidR="00FC41F5" w:rsidRPr="00FA0D37" w:rsidRDefault="00FC41F5" w:rsidP="00FA0D37">
      <w:pPr>
        <w:pStyle w:val="PL"/>
        <w:rPr>
          <w:color w:val="808080"/>
        </w:rPr>
      </w:pPr>
      <w:r w:rsidRPr="00FA0D37">
        <w:rPr>
          <w:color w:val="808080"/>
        </w:rPr>
        <w:t>-- TAG-SL-PBPS-CPS-CONFIG-STOP</w:t>
      </w:r>
    </w:p>
    <w:p w14:paraId="689EFA5D" w14:textId="77777777" w:rsidR="00FC41F5" w:rsidRPr="00FA0D37" w:rsidRDefault="00FC41F5" w:rsidP="00FA0D37">
      <w:pPr>
        <w:pStyle w:val="PL"/>
        <w:rPr>
          <w:color w:val="808080"/>
        </w:rPr>
      </w:pPr>
      <w:r w:rsidRPr="00FA0D37">
        <w:rPr>
          <w:color w:val="808080"/>
        </w:rPr>
        <w:t>-- ASN1STOP</w:t>
      </w:r>
    </w:p>
    <w:p w14:paraId="35F7C1FD" w14:textId="77777777" w:rsidR="00FC41F5" w:rsidRPr="00FA0D37" w:rsidRDefault="00FC41F5" w:rsidP="00FC41F5">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4C56A585"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CD9D894" w14:textId="77777777" w:rsidR="00FC41F5" w:rsidRPr="00FA0D37" w:rsidRDefault="00FC41F5" w:rsidP="00771058">
            <w:pPr>
              <w:pStyle w:val="TAH"/>
              <w:rPr>
                <w:lang w:eastAsia="en-GB"/>
              </w:rPr>
            </w:pPr>
            <w:r w:rsidRPr="00FA0D37">
              <w:rPr>
                <w:i/>
                <w:noProof/>
                <w:lang w:eastAsia="en-GB"/>
              </w:rPr>
              <w:lastRenderedPageBreak/>
              <w:t xml:space="preserve">SL-PBPS-CPS-Config </w:t>
            </w:r>
            <w:r w:rsidRPr="00FA0D37">
              <w:rPr>
                <w:noProof/>
                <w:lang w:eastAsia="en-GB"/>
              </w:rPr>
              <w:t>field descriptions</w:t>
            </w:r>
          </w:p>
        </w:tc>
      </w:tr>
      <w:tr w:rsidR="005C7FF4" w:rsidRPr="00FA0D37" w14:paraId="4B6CC21E"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18AD9E" w14:textId="77777777" w:rsidR="00FC41F5" w:rsidRPr="00FA0D37" w:rsidRDefault="00FC41F5" w:rsidP="00771058">
            <w:pPr>
              <w:pStyle w:val="TAL"/>
              <w:rPr>
                <w:b/>
                <w:i/>
                <w:lang w:eastAsia="en-GB"/>
              </w:rPr>
            </w:pPr>
            <w:r w:rsidRPr="00FA0D37">
              <w:rPr>
                <w:b/>
                <w:i/>
                <w:lang w:eastAsia="en-GB"/>
              </w:rPr>
              <w:t>sl-Additional-PBPS-Occasion</w:t>
            </w:r>
          </w:p>
          <w:p w14:paraId="54C9591E" w14:textId="0384DA71" w:rsidR="00FC41F5" w:rsidRPr="00FA0D37" w:rsidRDefault="00FC41F5" w:rsidP="00771058">
            <w:pPr>
              <w:pStyle w:val="TAL"/>
              <w:rPr>
                <w:lang w:eastAsia="en-GB"/>
              </w:rPr>
            </w:pPr>
            <w:r w:rsidRPr="00FA0D37">
              <w:rPr>
                <w:lang w:eastAsia="en-GB"/>
              </w:rPr>
              <w:t>Indicates that UE additionally monitors periodic sensing occasions that correspond to a set of values.</w:t>
            </w:r>
            <w:r w:rsidRPr="00FA0D37">
              <w:t xml:space="preserve"> </w:t>
            </w:r>
            <w:r w:rsidRPr="00FA0D37">
              <w:rPr>
                <w:lang w:eastAsia="en-GB"/>
              </w:rPr>
              <w:t>(see TS 38.214 [</w:t>
            </w:r>
            <w:r w:rsidR="008041FF" w:rsidRPr="00FA0D37">
              <w:rPr>
                <w:lang w:eastAsia="en-GB"/>
              </w:rPr>
              <w:t>19</w:t>
            </w:r>
            <w:r w:rsidRPr="00FA0D37">
              <w:rPr>
                <w:lang w:eastAsia="en-GB"/>
              </w:rPr>
              <w:t>], clause 8.1.4).</w:t>
            </w:r>
          </w:p>
        </w:tc>
      </w:tr>
      <w:tr w:rsidR="005C7FF4" w:rsidRPr="00FA0D37" w14:paraId="3546190F"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65FDA28" w14:textId="77777777" w:rsidR="00FC41F5" w:rsidRPr="00FA0D37" w:rsidRDefault="00FC41F5" w:rsidP="00771058">
            <w:pPr>
              <w:pStyle w:val="TAL"/>
              <w:rPr>
                <w:b/>
                <w:i/>
                <w:lang w:eastAsia="en-GB"/>
              </w:rPr>
            </w:pPr>
            <w:r w:rsidRPr="00FA0D37">
              <w:rPr>
                <w:b/>
                <w:i/>
                <w:lang w:eastAsia="en-GB"/>
              </w:rPr>
              <w:t>sl-AllowedResourceSelectionConfig</w:t>
            </w:r>
          </w:p>
          <w:p w14:paraId="46410187" w14:textId="27E4CB92" w:rsidR="00FC41F5" w:rsidRPr="00FA0D37" w:rsidRDefault="00FC41F5" w:rsidP="00771058">
            <w:pPr>
              <w:pStyle w:val="TAL"/>
              <w:rPr>
                <w:lang w:eastAsia="en-GB"/>
              </w:rPr>
            </w:pPr>
            <w:r w:rsidRPr="00FA0D37">
              <w:rPr>
                <w:lang w:eastAsia="en-GB"/>
              </w:rPr>
              <w:t>Indicates the allowed resource selection mechanism(s), i.e. full sensing only, partial sensing only, random resource selection only, or any combination(s) thereof. (see TS 38.214 [</w:t>
            </w:r>
            <w:r w:rsidR="008041FF" w:rsidRPr="00FA0D37">
              <w:rPr>
                <w:lang w:eastAsia="en-GB"/>
              </w:rPr>
              <w:t>19</w:t>
            </w:r>
            <w:r w:rsidRPr="00FA0D37">
              <w:rPr>
                <w:lang w:eastAsia="en-GB"/>
              </w:rPr>
              <w:t>], clause 8.1.4). Only c1, c4 , c5 or c7 can be configured for a Rel-16 resource pool.</w:t>
            </w:r>
            <w:r w:rsidR="00750AB7" w:rsidRPr="00FA0D37">
              <w:t xml:space="preserve"> </w:t>
            </w:r>
            <w:r w:rsidR="00750AB7" w:rsidRPr="00FA0D37">
              <w:rPr>
                <w:lang w:eastAsia="en-GB"/>
              </w:rPr>
              <w:t xml:space="preserve">If this field is not configured for a resource pool included in </w:t>
            </w:r>
            <w:r w:rsidR="00750AB7" w:rsidRPr="00FA0D37">
              <w:rPr>
                <w:i/>
                <w:lang w:eastAsia="en-GB"/>
              </w:rPr>
              <w:t>sl-TxPoolSelectedNormal</w:t>
            </w:r>
            <w:r w:rsidR="00750AB7" w:rsidRPr="00FA0D37">
              <w:rPr>
                <w:lang w:eastAsia="en-GB"/>
              </w:rPr>
              <w:t>, only full sensing is allowed in the corresponding resource pool.</w:t>
            </w:r>
          </w:p>
          <w:p w14:paraId="46E47F72" w14:textId="77777777" w:rsidR="00FC41F5" w:rsidRPr="00FA0D37" w:rsidRDefault="00FC41F5" w:rsidP="00771058">
            <w:pPr>
              <w:pStyle w:val="TAL"/>
              <w:rPr>
                <w:lang w:eastAsia="en-GB"/>
              </w:rPr>
            </w:pPr>
            <w:r w:rsidRPr="00FA0D37">
              <w:rPr>
                <w:lang w:eastAsia="en-GB"/>
              </w:rPr>
              <w:t>c1: only full sensing allowed</w:t>
            </w:r>
          </w:p>
          <w:p w14:paraId="46FA055E" w14:textId="77777777" w:rsidR="00FC41F5" w:rsidRPr="00FA0D37" w:rsidRDefault="00FC41F5" w:rsidP="00771058">
            <w:pPr>
              <w:pStyle w:val="TAL"/>
              <w:rPr>
                <w:lang w:eastAsia="en-GB"/>
              </w:rPr>
            </w:pPr>
            <w:r w:rsidRPr="00FA0D37">
              <w:rPr>
                <w:lang w:eastAsia="en-GB"/>
              </w:rPr>
              <w:t>c2: only partial sensing allowed</w:t>
            </w:r>
          </w:p>
          <w:p w14:paraId="00ACAF89" w14:textId="77777777" w:rsidR="00FC41F5" w:rsidRPr="00FA0D37" w:rsidRDefault="00FC41F5" w:rsidP="00771058">
            <w:pPr>
              <w:pStyle w:val="TAL"/>
              <w:rPr>
                <w:lang w:eastAsia="en-GB"/>
              </w:rPr>
            </w:pPr>
            <w:r w:rsidRPr="00FA0D37">
              <w:rPr>
                <w:lang w:eastAsia="en-GB"/>
              </w:rPr>
              <w:t>c3: only random selection allowed</w:t>
            </w:r>
          </w:p>
          <w:p w14:paraId="7BD6B9B6" w14:textId="77777777" w:rsidR="00FC41F5" w:rsidRPr="00FA0D37" w:rsidRDefault="00FC41F5" w:rsidP="00771058">
            <w:pPr>
              <w:pStyle w:val="TAL"/>
              <w:rPr>
                <w:lang w:eastAsia="en-GB"/>
              </w:rPr>
            </w:pPr>
            <w:r w:rsidRPr="00FA0D37">
              <w:rPr>
                <w:lang w:eastAsia="en-GB"/>
              </w:rPr>
              <w:t>c4: full sensing+random selection allowed</w:t>
            </w:r>
          </w:p>
          <w:p w14:paraId="779F7BFE" w14:textId="77777777" w:rsidR="00FC41F5" w:rsidRPr="00FA0D37" w:rsidRDefault="00FC41F5" w:rsidP="00771058">
            <w:pPr>
              <w:pStyle w:val="TAL"/>
              <w:rPr>
                <w:lang w:eastAsia="en-GB"/>
              </w:rPr>
            </w:pPr>
            <w:r w:rsidRPr="00FA0D37">
              <w:rPr>
                <w:lang w:eastAsia="en-GB"/>
              </w:rPr>
              <w:t>c5: full sensing+ partial sensing allowed</w:t>
            </w:r>
          </w:p>
          <w:p w14:paraId="3C64B4D6" w14:textId="77777777" w:rsidR="00FC41F5" w:rsidRPr="00FA0D37" w:rsidRDefault="00FC41F5" w:rsidP="00771058">
            <w:pPr>
              <w:pStyle w:val="TAL"/>
              <w:rPr>
                <w:lang w:eastAsia="en-GB"/>
              </w:rPr>
            </w:pPr>
            <w:r w:rsidRPr="00FA0D37">
              <w:rPr>
                <w:lang w:eastAsia="en-GB"/>
              </w:rPr>
              <w:t>c6: partial sensing + random selection allowed</w:t>
            </w:r>
          </w:p>
          <w:p w14:paraId="7E7A4F6E" w14:textId="77777777" w:rsidR="00FC41F5" w:rsidRPr="00FA0D37" w:rsidRDefault="00FC41F5" w:rsidP="00771058">
            <w:pPr>
              <w:pStyle w:val="TAL"/>
              <w:rPr>
                <w:lang w:eastAsia="en-GB"/>
              </w:rPr>
            </w:pPr>
            <w:r w:rsidRPr="00FA0D37">
              <w:rPr>
                <w:lang w:eastAsia="en-GB"/>
              </w:rPr>
              <w:t>c7: full sensing+ partial sensing + random selection allowed.</w:t>
            </w:r>
          </w:p>
        </w:tc>
      </w:tr>
      <w:tr w:rsidR="005C7FF4" w:rsidRPr="00FA0D37" w14:paraId="40128B9B"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D3C3614" w14:textId="77777777" w:rsidR="00FC41F5" w:rsidRPr="00FA0D37" w:rsidRDefault="00FC41F5" w:rsidP="00771058">
            <w:pPr>
              <w:pStyle w:val="TAL"/>
              <w:rPr>
                <w:b/>
                <w:i/>
                <w:lang w:eastAsia="en-GB"/>
              </w:rPr>
            </w:pPr>
            <w:r w:rsidRPr="00FA0D37">
              <w:rPr>
                <w:b/>
                <w:i/>
                <w:lang w:eastAsia="en-GB"/>
              </w:rPr>
              <w:t>sl-CPS-WindowAperiodic</w:t>
            </w:r>
          </w:p>
          <w:p w14:paraId="69F3911A" w14:textId="75F7ED43" w:rsidR="00FC41F5" w:rsidRPr="00FA0D37" w:rsidRDefault="00FC41F5" w:rsidP="00771058">
            <w:pPr>
              <w:pStyle w:val="TAL"/>
              <w:rPr>
                <w:lang w:eastAsia="en-GB"/>
              </w:rPr>
            </w:pPr>
            <w:r w:rsidRPr="00FA0D37">
              <w:rPr>
                <w:lang w:eastAsia="en-GB"/>
              </w:rPr>
              <w:t>Parameter that indicates the minimum size of contiguous partial sensing window in logical slot units for a resource (re)selection procedure and re-evaluation/pre-emption checking triggered by aperiodic transmission. (see TS 38.214 [</w:t>
            </w:r>
            <w:r w:rsidR="008041FF" w:rsidRPr="00FA0D37">
              <w:rPr>
                <w:lang w:eastAsia="en-GB"/>
              </w:rPr>
              <w:t>19</w:t>
            </w:r>
            <w:r w:rsidRPr="00FA0D37">
              <w:rPr>
                <w:lang w:eastAsia="en-GB"/>
              </w:rPr>
              <w:t>], clause 8.1.4). If not configured, the size of contiguous partial sensing window in logical slot units is 31.</w:t>
            </w:r>
          </w:p>
        </w:tc>
      </w:tr>
      <w:tr w:rsidR="005C7FF4" w:rsidRPr="00FA0D37" w14:paraId="09E855C9"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2828823" w14:textId="77777777" w:rsidR="00FC41F5" w:rsidRPr="00FA0D37" w:rsidRDefault="00FC41F5" w:rsidP="00771058">
            <w:pPr>
              <w:pStyle w:val="TAL"/>
              <w:rPr>
                <w:b/>
                <w:i/>
                <w:lang w:eastAsia="en-GB"/>
              </w:rPr>
            </w:pPr>
            <w:r w:rsidRPr="00FA0D37">
              <w:rPr>
                <w:b/>
                <w:i/>
                <w:lang w:eastAsia="en-GB"/>
              </w:rPr>
              <w:t>sl-CPS-WindowPeriodic</w:t>
            </w:r>
          </w:p>
          <w:p w14:paraId="04AD5D7E" w14:textId="77777777" w:rsidR="00FC41F5" w:rsidRPr="00FA0D37" w:rsidRDefault="00FC41F5" w:rsidP="00771058">
            <w:pPr>
              <w:pStyle w:val="TAL"/>
              <w:rPr>
                <w:lang w:eastAsia="en-GB"/>
              </w:rPr>
            </w:pPr>
            <w:r w:rsidRPr="00FA0D37">
              <w:rPr>
                <w:lang w:eastAsia="en-GB"/>
              </w:rPr>
              <w:t>Indicates the size of contiguous partial sensing window in logical slot units when UE performs periodic-based and contiguous partial sensing for a resource (re)selection procedure triggered by periodic transmission. If not configured, the size of contiguous partial sensing window in logical slot units is 31.</w:t>
            </w:r>
          </w:p>
        </w:tc>
      </w:tr>
      <w:tr w:rsidR="005C7FF4" w:rsidRPr="00FA0D37" w14:paraId="4B69ABF0"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12FBD89" w14:textId="77777777" w:rsidR="00FC41F5" w:rsidRPr="00FA0D37" w:rsidRDefault="00FC41F5" w:rsidP="00771058">
            <w:pPr>
              <w:pStyle w:val="TAL"/>
              <w:rPr>
                <w:b/>
                <w:i/>
                <w:lang w:eastAsia="en-GB"/>
              </w:rPr>
            </w:pPr>
            <w:r w:rsidRPr="00FA0D37">
              <w:rPr>
                <w:b/>
                <w:i/>
                <w:lang w:eastAsia="en-GB"/>
              </w:rPr>
              <w:t>sl-DefaultCBR-PartialSensing</w:t>
            </w:r>
          </w:p>
          <w:p w14:paraId="0F870F7B" w14:textId="14FB2EB7" w:rsidR="00FC41F5" w:rsidRPr="00FA0D37" w:rsidRDefault="00FC41F5" w:rsidP="00771058">
            <w:pPr>
              <w:pStyle w:val="TAL"/>
              <w:rPr>
                <w:b/>
                <w:i/>
                <w:lang w:eastAsia="en-GB"/>
              </w:rPr>
            </w:pPr>
            <w:r w:rsidRPr="00FA0D37">
              <w:rPr>
                <w:lang w:eastAsia="en-GB"/>
              </w:rPr>
              <w:t xml:space="preserve">Indicates default value of SL CBR measurement for a UE that is configured to perform partial sensing by its higher layer (including when SL DRX is configured) if the number of SL RSSI measurement slots over CBR measurement window is below </w:t>
            </w:r>
            <w:r w:rsidR="001B1A88" w:rsidRPr="00FA0D37">
              <w:rPr>
                <w:i/>
                <w:lang w:eastAsia="en-GB"/>
              </w:rPr>
              <w:t>sl-MinNumRssiMeasurementSlots</w:t>
            </w:r>
            <w:r w:rsidRPr="00FA0D37">
              <w:rPr>
                <w:lang w:eastAsia="en-GB"/>
              </w:rPr>
              <w:t>, (see TS 38.214 [</w:t>
            </w:r>
            <w:r w:rsidR="008041FF" w:rsidRPr="00FA0D37">
              <w:rPr>
                <w:lang w:eastAsia="en-GB"/>
              </w:rPr>
              <w:t>19</w:t>
            </w:r>
            <w:r w:rsidRPr="00FA0D37">
              <w:rPr>
                <w:lang w:eastAsia="en-GB"/>
              </w:rPr>
              <w:t>], clause 8.1.6). Value 0 corresponds to 0, value 1 to 0.01, value 2 to 0.02, and so on.</w:t>
            </w:r>
          </w:p>
        </w:tc>
      </w:tr>
      <w:tr w:rsidR="005C7FF4" w:rsidRPr="00FA0D37" w14:paraId="132F6B0C"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FF5F041" w14:textId="77777777" w:rsidR="00FC41F5" w:rsidRPr="00FA0D37" w:rsidRDefault="00FC41F5" w:rsidP="00771058">
            <w:pPr>
              <w:pStyle w:val="TAL"/>
              <w:rPr>
                <w:b/>
                <w:i/>
                <w:lang w:eastAsia="en-GB"/>
              </w:rPr>
            </w:pPr>
            <w:r w:rsidRPr="00FA0D37">
              <w:rPr>
                <w:b/>
                <w:i/>
                <w:lang w:eastAsia="en-GB"/>
              </w:rPr>
              <w:t>sl-DefaultCBR-RandomSelection</w:t>
            </w:r>
          </w:p>
          <w:p w14:paraId="090EADD5" w14:textId="47B2A36B" w:rsidR="00FC41F5" w:rsidRPr="00FA0D37" w:rsidRDefault="00FC41F5" w:rsidP="00771058">
            <w:pPr>
              <w:pStyle w:val="TAL"/>
              <w:rPr>
                <w:lang w:eastAsia="en-GB"/>
              </w:rPr>
            </w:pPr>
            <w:r w:rsidRPr="00FA0D37">
              <w:rPr>
                <w:lang w:eastAsia="en-GB"/>
              </w:rPr>
              <w:t>Indicates default value of CBR measurement for a UE that performs random resource selection if no SL CBR measurement result over SL CBR measurement window, (see TS 38.214 [</w:t>
            </w:r>
            <w:r w:rsidR="008041FF" w:rsidRPr="00FA0D37">
              <w:rPr>
                <w:lang w:eastAsia="en-GB"/>
              </w:rPr>
              <w:t>19</w:t>
            </w:r>
            <w:r w:rsidRPr="00FA0D37">
              <w:rPr>
                <w:lang w:eastAsia="en-GB"/>
              </w:rPr>
              <w:t>], clause 8.1.6). Value 0 corresponds to 0, value 1 to 0.01, value 2 to 0.02, and so on.</w:t>
            </w:r>
          </w:p>
        </w:tc>
      </w:tr>
      <w:tr w:rsidR="005C7FF4" w:rsidRPr="00FA0D37" w14:paraId="25451835"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D2A5459" w14:textId="77777777" w:rsidR="00FC41F5" w:rsidRPr="00FA0D37" w:rsidRDefault="00FC41F5" w:rsidP="00771058">
            <w:pPr>
              <w:pStyle w:val="TAL"/>
              <w:rPr>
                <w:b/>
                <w:i/>
                <w:noProof/>
                <w:lang w:eastAsia="en-GB"/>
              </w:rPr>
            </w:pPr>
            <w:r w:rsidRPr="00FA0D37">
              <w:rPr>
                <w:b/>
                <w:i/>
                <w:noProof/>
                <w:lang w:eastAsia="en-GB"/>
              </w:rPr>
              <w:t>sl-MinNumCandidateSlotsAperiodic</w:t>
            </w:r>
          </w:p>
          <w:p w14:paraId="7BF29B84" w14:textId="406EE870" w:rsidR="00FC41F5" w:rsidRPr="00FA0D37" w:rsidRDefault="00FC41F5" w:rsidP="00771058">
            <w:pPr>
              <w:pStyle w:val="TAL"/>
              <w:rPr>
                <w:noProof/>
                <w:lang w:eastAsia="en-GB"/>
              </w:rPr>
            </w:pPr>
            <w:r w:rsidRPr="00FA0D37">
              <w:rPr>
                <w:noProof/>
                <w:lang w:eastAsia="en-GB"/>
              </w:rPr>
              <w:t>Indicates the minimum number of Y</w:t>
            </w:r>
            <w:r w:rsidR="00750AB7" w:rsidRPr="00FA0D37">
              <w:rPr>
                <w:noProof/>
                <w:lang w:eastAsia="en-GB"/>
              </w:rPr>
              <w:t>'</w:t>
            </w:r>
            <w:r w:rsidRPr="00FA0D37">
              <w:rPr>
                <w:noProof/>
                <w:lang w:eastAsia="en-GB"/>
              </w:rPr>
              <w:t xml:space="preserve"> slots that are included in the possible candidate resources corresponding to periodic-based partial sensing and/or contiguous partial sensing for resource (re)selection triggered by aperiodic transmission. (see TS 38.214 [</w:t>
            </w:r>
            <w:r w:rsidR="008041FF" w:rsidRPr="00FA0D37">
              <w:rPr>
                <w:noProof/>
                <w:lang w:eastAsia="en-GB"/>
              </w:rPr>
              <w:t>19</w:t>
            </w:r>
            <w:r w:rsidRPr="00FA0D37">
              <w:rPr>
                <w:noProof/>
                <w:lang w:eastAsia="en-GB"/>
              </w:rPr>
              <w:t>], clause 8.1.4).</w:t>
            </w:r>
          </w:p>
        </w:tc>
      </w:tr>
      <w:tr w:rsidR="005C7FF4" w:rsidRPr="00FA0D37" w14:paraId="1D08BC1D"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6BE6977" w14:textId="77777777" w:rsidR="00FC41F5" w:rsidRPr="00FA0D37" w:rsidRDefault="00FC41F5" w:rsidP="00771058">
            <w:pPr>
              <w:pStyle w:val="TAL"/>
              <w:rPr>
                <w:b/>
                <w:i/>
                <w:noProof/>
                <w:lang w:eastAsia="en-GB"/>
              </w:rPr>
            </w:pPr>
            <w:r w:rsidRPr="00FA0D37">
              <w:rPr>
                <w:b/>
                <w:i/>
                <w:noProof/>
                <w:lang w:eastAsia="en-GB"/>
              </w:rPr>
              <w:t>sl-MinNumCandidateSlotsPeriodic</w:t>
            </w:r>
          </w:p>
          <w:p w14:paraId="31E0ED9F" w14:textId="2B8E7287" w:rsidR="00FC41F5" w:rsidRPr="00FA0D37" w:rsidRDefault="00FC41F5" w:rsidP="00771058">
            <w:pPr>
              <w:pStyle w:val="TAL"/>
              <w:rPr>
                <w:noProof/>
                <w:lang w:eastAsia="en-GB"/>
              </w:rPr>
            </w:pPr>
            <w:r w:rsidRPr="00FA0D37">
              <w:rPr>
                <w:noProof/>
                <w:lang w:eastAsia="en-GB"/>
              </w:rPr>
              <w:t>Indicates</w:t>
            </w:r>
            <w:r w:rsidRPr="00FA0D37">
              <w:t xml:space="preserve"> </w:t>
            </w:r>
            <w:r w:rsidRPr="00FA0D37">
              <w:rPr>
                <w:noProof/>
                <w:lang w:eastAsia="en-GB"/>
              </w:rPr>
              <w:t>the minimum number of Y slots that are included in the possible candidate resources</w:t>
            </w:r>
            <w:r w:rsidR="001B1A88" w:rsidRPr="00FA0D37">
              <w:rPr>
                <w:noProof/>
                <w:lang w:eastAsia="en-GB"/>
              </w:rPr>
              <w:t xml:space="preserve"> </w:t>
            </w:r>
            <w:r w:rsidRPr="00FA0D37">
              <w:rPr>
                <w:noProof/>
                <w:lang w:eastAsia="en-GB"/>
              </w:rPr>
              <w:t>corresponding to periodic-based partial sensing for resource (re)selection triggered by periodic transmission.</w:t>
            </w:r>
            <w:r w:rsidRPr="00FA0D37">
              <w:t xml:space="preserve"> </w:t>
            </w:r>
            <w:r w:rsidRPr="00FA0D37">
              <w:rPr>
                <w:noProof/>
                <w:lang w:eastAsia="en-GB"/>
              </w:rPr>
              <w:t>(see TS 38.214 [</w:t>
            </w:r>
            <w:r w:rsidR="008041FF" w:rsidRPr="00FA0D37">
              <w:rPr>
                <w:noProof/>
                <w:lang w:eastAsia="en-GB"/>
              </w:rPr>
              <w:t>19</w:t>
            </w:r>
            <w:r w:rsidRPr="00FA0D37">
              <w:rPr>
                <w:noProof/>
                <w:lang w:eastAsia="en-GB"/>
              </w:rPr>
              <w:t>], clause 8.1.4).</w:t>
            </w:r>
          </w:p>
        </w:tc>
      </w:tr>
      <w:tr w:rsidR="005C7FF4" w:rsidRPr="00FA0D37" w14:paraId="5DB3904B"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32565B8" w14:textId="77777777" w:rsidR="00FC41F5" w:rsidRPr="00FA0D37" w:rsidRDefault="00FC41F5" w:rsidP="00771058">
            <w:pPr>
              <w:pStyle w:val="TAL"/>
              <w:rPr>
                <w:b/>
                <w:i/>
                <w:lang w:eastAsia="en-GB"/>
              </w:rPr>
            </w:pPr>
            <w:r w:rsidRPr="00FA0D37">
              <w:rPr>
                <w:b/>
                <w:i/>
                <w:lang w:eastAsia="en-GB"/>
              </w:rPr>
              <w:t>sl-MinNumRssiMeasurementSlots</w:t>
            </w:r>
          </w:p>
          <w:p w14:paraId="7CBC4517" w14:textId="44EF8B04" w:rsidR="00FC41F5" w:rsidRPr="00FA0D37" w:rsidRDefault="00FC41F5" w:rsidP="00771058">
            <w:pPr>
              <w:pStyle w:val="TAL"/>
              <w:rPr>
                <w:lang w:eastAsia="en-GB"/>
              </w:rPr>
            </w:pPr>
            <w:r w:rsidRPr="00FA0D37">
              <w:rPr>
                <w:lang w:eastAsia="en-GB"/>
              </w:rPr>
              <w:t>Indicates a threshold for a minimum number of SL RSSI measurement slots over CBR measurement window for which the SL RSSI is measured for a UE that is configured to perform partial sensing by its higher layer (including when SL DRX is configured). (see TS 38.214 [</w:t>
            </w:r>
            <w:r w:rsidR="008041FF" w:rsidRPr="00FA0D37">
              <w:rPr>
                <w:lang w:eastAsia="en-GB"/>
              </w:rPr>
              <w:t>19</w:t>
            </w:r>
            <w:r w:rsidRPr="00FA0D37">
              <w:rPr>
                <w:lang w:eastAsia="en-GB"/>
              </w:rPr>
              <w:t>], clause 8.1.6).</w:t>
            </w:r>
          </w:p>
        </w:tc>
      </w:tr>
      <w:tr w:rsidR="005C7FF4" w:rsidRPr="00FA0D37" w14:paraId="2B4731C1"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B380B6" w14:textId="77777777" w:rsidR="00FC41F5" w:rsidRPr="00FA0D37" w:rsidRDefault="00FC41F5" w:rsidP="00771058">
            <w:pPr>
              <w:pStyle w:val="TAL"/>
              <w:rPr>
                <w:b/>
                <w:i/>
                <w:lang w:eastAsia="en-GB"/>
              </w:rPr>
            </w:pPr>
            <w:r w:rsidRPr="00FA0D37">
              <w:rPr>
                <w:b/>
                <w:i/>
                <w:lang w:eastAsia="en-GB"/>
              </w:rPr>
              <w:t>sl-PartialSensingInactiveTime</w:t>
            </w:r>
          </w:p>
          <w:p w14:paraId="1D5D9C70" w14:textId="1A2353C2" w:rsidR="00FC41F5" w:rsidRPr="00FA0D37" w:rsidRDefault="00FC41F5" w:rsidP="00771058">
            <w:pPr>
              <w:pStyle w:val="TAL"/>
              <w:rPr>
                <w:lang w:eastAsia="en-GB"/>
              </w:rPr>
            </w:pPr>
            <w:r w:rsidRPr="00FA0D37">
              <w:rPr>
                <w:lang w:eastAsia="en-GB"/>
              </w:rPr>
              <w:t>Indicates whether or not UE is required to perform SL reception of PSCCH and RSRP measurement for partial sensing on slots in SL DRX inactive time when partial sensing is configured by its higher layer.</w:t>
            </w:r>
            <w:r w:rsidRPr="00FA0D37">
              <w:t xml:space="preserve"> </w:t>
            </w:r>
            <w:r w:rsidRPr="00FA0D37">
              <w:rPr>
                <w:lang w:eastAsia="en-GB"/>
              </w:rPr>
              <w:t>(see TS 38.214 [</w:t>
            </w:r>
            <w:r w:rsidR="008041FF" w:rsidRPr="00FA0D37">
              <w:rPr>
                <w:lang w:eastAsia="en-GB"/>
              </w:rPr>
              <w:t>19</w:t>
            </w:r>
            <w:r w:rsidRPr="00FA0D37">
              <w:rPr>
                <w:lang w:eastAsia="en-GB"/>
              </w:rPr>
              <w:t>], clause 8.1.4).</w:t>
            </w:r>
          </w:p>
        </w:tc>
      </w:tr>
      <w:tr w:rsidR="000830BB" w:rsidRPr="00FA0D37" w14:paraId="7EB7EE5F" w14:textId="77777777" w:rsidTr="0077105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54C9460" w14:textId="77777777" w:rsidR="00FC41F5" w:rsidRPr="00FA0D37" w:rsidRDefault="00FC41F5" w:rsidP="00771058">
            <w:pPr>
              <w:pStyle w:val="TAL"/>
              <w:rPr>
                <w:b/>
                <w:i/>
                <w:lang w:eastAsia="en-GB"/>
              </w:rPr>
            </w:pPr>
            <w:r w:rsidRPr="00FA0D37">
              <w:rPr>
                <w:b/>
                <w:i/>
                <w:lang w:eastAsia="en-GB"/>
              </w:rPr>
              <w:t>sl-PBPS-OccasionReservePeriodList</w:t>
            </w:r>
          </w:p>
          <w:p w14:paraId="45E509DB" w14:textId="258B1A98" w:rsidR="00FC41F5" w:rsidRPr="00FA0D37" w:rsidRDefault="00FC41F5" w:rsidP="00771058">
            <w:pPr>
              <w:pStyle w:val="TAL"/>
              <w:tabs>
                <w:tab w:val="left" w:pos="1350"/>
              </w:tabs>
              <w:rPr>
                <w:lang w:eastAsia="en-GB"/>
              </w:rPr>
            </w:pPr>
            <w:r w:rsidRPr="00FA0D37">
              <w:rPr>
                <w:lang w:eastAsia="en-GB"/>
              </w:rPr>
              <w:t>Indicates the subset of periodicity values from</w:t>
            </w:r>
            <w:r w:rsidRPr="00FA0D37">
              <w:rPr>
                <w:i/>
                <w:iCs/>
                <w:lang w:eastAsia="en-GB"/>
              </w:rPr>
              <w:t xml:space="preserve"> sl-ResourceReservePeriodList</w:t>
            </w:r>
            <w:r w:rsidRPr="00FA0D37">
              <w:rPr>
                <w:lang w:eastAsia="en-GB"/>
              </w:rPr>
              <w:t xml:space="preserve"> used to determine periodic sensing occasions in periodic-based partial sensing</w:t>
            </w:r>
            <w:r w:rsidR="001B1A88" w:rsidRPr="00FA0D37">
              <w:rPr>
                <w:lang w:eastAsia="en-GB"/>
              </w:rPr>
              <w:t>,</w:t>
            </w:r>
            <w:r w:rsidR="001B1A88" w:rsidRPr="00FA0D37">
              <w:t xml:space="preserve"> </w:t>
            </w:r>
            <w:r w:rsidR="001B1A88" w:rsidRPr="00FA0D37">
              <w:rPr>
                <w:lang w:eastAsia="en-GB"/>
              </w:rPr>
              <w:t xml:space="preserve">by means of an index to the corresponding entry in </w:t>
            </w:r>
            <w:r w:rsidR="001B1A88" w:rsidRPr="00FA0D37">
              <w:rPr>
                <w:i/>
                <w:lang w:eastAsia="en-GB"/>
              </w:rPr>
              <w:t>sl-ResourceReservePeriodList-r16</w:t>
            </w:r>
            <w:r w:rsidRPr="00FA0D37">
              <w:rPr>
                <w:lang w:eastAsia="en-GB"/>
              </w:rPr>
              <w:t xml:space="preserve">. If not configured, all periodicity values from </w:t>
            </w:r>
            <w:r w:rsidRPr="00FA0D37">
              <w:rPr>
                <w:i/>
                <w:iCs/>
                <w:lang w:eastAsia="en-GB"/>
              </w:rPr>
              <w:t>sl-ResourceReservePeriodList</w:t>
            </w:r>
            <w:r w:rsidRPr="00FA0D37">
              <w:rPr>
                <w:lang w:eastAsia="en-GB"/>
              </w:rPr>
              <w:t xml:space="preserve"> are used to determine periodic sensing occasions in periodic-based partial sensing</w:t>
            </w:r>
            <w:r w:rsidR="002E7B14" w:rsidRPr="00FA0D37">
              <w:rPr>
                <w:lang w:eastAsia="en-GB"/>
              </w:rPr>
              <w:t xml:space="preserve"> </w:t>
            </w:r>
            <w:r w:rsidRPr="00FA0D37">
              <w:rPr>
                <w:lang w:eastAsia="en-GB"/>
              </w:rPr>
              <w:t>(see TS 38.214 [</w:t>
            </w:r>
            <w:r w:rsidR="008041FF" w:rsidRPr="00FA0D37">
              <w:rPr>
                <w:lang w:eastAsia="en-GB"/>
              </w:rPr>
              <w:t>19</w:t>
            </w:r>
            <w:r w:rsidRPr="00FA0D37">
              <w:rPr>
                <w:lang w:eastAsia="en-GB"/>
              </w:rPr>
              <w:t>], clause 8.1.4).</w:t>
            </w:r>
          </w:p>
        </w:tc>
      </w:tr>
    </w:tbl>
    <w:p w14:paraId="6595F979" w14:textId="77777777" w:rsidR="00FC41F5" w:rsidRPr="00FA0D37" w:rsidRDefault="00FC41F5" w:rsidP="00394471">
      <w:pPr>
        <w:rPr>
          <w:rFonts w:eastAsia="Yu Mincho"/>
        </w:rPr>
      </w:pPr>
    </w:p>
    <w:p w14:paraId="0CF604B6" w14:textId="039AC777" w:rsidR="00394471" w:rsidRPr="00FA0D37" w:rsidRDefault="00394471" w:rsidP="00394471">
      <w:pPr>
        <w:pStyle w:val="4"/>
      </w:pPr>
      <w:bookmarkStart w:id="1796" w:name="_Toc60777538"/>
      <w:bookmarkStart w:id="1797" w:name="_Toc146781661"/>
      <w:r w:rsidRPr="00FA0D37">
        <w:lastRenderedPageBreak/>
        <w:t>–</w:t>
      </w:r>
      <w:r w:rsidRPr="00FA0D37">
        <w:tab/>
      </w:r>
      <w:r w:rsidRPr="00FA0D37">
        <w:rPr>
          <w:i/>
          <w:iCs/>
        </w:rPr>
        <w:t>SL-PDCP-Config</w:t>
      </w:r>
      <w:bookmarkEnd w:id="1796"/>
      <w:bookmarkEnd w:id="1797"/>
    </w:p>
    <w:p w14:paraId="551F7CBA" w14:textId="77777777" w:rsidR="00394471" w:rsidRPr="00FA0D37" w:rsidRDefault="00394471" w:rsidP="00394471">
      <w:r w:rsidRPr="00FA0D37">
        <w:t xml:space="preserve">The IE </w:t>
      </w:r>
      <w:r w:rsidRPr="00FA0D37">
        <w:rPr>
          <w:i/>
        </w:rPr>
        <w:t>SL</w:t>
      </w:r>
      <w:r w:rsidRPr="00FA0D37">
        <w:t>-</w:t>
      </w:r>
      <w:r w:rsidRPr="00FA0D37">
        <w:rPr>
          <w:i/>
        </w:rPr>
        <w:t>PDCP-Config</w:t>
      </w:r>
      <w:r w:rsidRPr="00FA0D37">
        <w:t xml:space="preserve"> is used to set the configurable PDCP parameters for a sidelink radio bearer.</w:t>
      </w:r>
    </w:p>
    <w:p w14:paraId="3400D7C5" w14:textId="77777777" w:rsidR="00394471" w:rsidRPr="00FA0D37" w:rsidRDefault="00394471" w:rsidP="00394471">
      <w:pPr>
        <w:pStyle w:val="TH"/>
        <w:rPr>
          <w:lang w:eastAsia="zh-CN"/>
        </w:rPr>
      </w:pPr>
      <w:r w:rsidRPr="00FA0D37">
        <w:rPr>
          <w:i/>
          <w:lang w:eastAsia="zh-CN"/>
        </w:rPr>
        <w:t>SL-PDCP-Config</w:t>
      </w:r>
      <w:r w:rsidRPr="00FA0D37">
        <w:rPr>
          <w:lang w:eastAsia="zh-CN"/>
        </w:rPr>
        <w:t xml:space="preserve"> information element</w:t>
      </w:r>
    </w:p>
    <w:p w14:paraId="1F625F22" w14:textId="77777777" w:rsidR="00394471" w:rsidRPr="00FA0D37" w:rsidRDefault="00394471" w:rsidP="00FA0D37">
      <w:pPr>
        <w:pStyle w:val="PL"/>
        <w:rPr>
          <w:color w:val="808080"/>
        </w:rPr>
      </w:pPr>
      <w:r w:rsidRPr="00FA0D37">
        <w:rPr>
          <w:color w:val="808080"/>
        </w:rPr>
        <w:t>-- ASN1START</w:t>
      </w:r>
    </w:p>
    <w:p w14:paraId="1BE86888" w14:textId="77777777" w:rsidR="00394471" w:rsidRPr="00FA0D37" w:rsidRDefault="00394471" w:rsidP="00FA0D37">
      <w:pPr>
        <w:pStyle w:val="PL"/>
        <w:rPr>
          <w:color w:val="808080"/>
        </w:rPr>
      </w:pPr>
      <w:r w:rsidRPr="00FA0D37">
        <w:rPr>
          <w:color w:val="808080"/>
        </w:rPr>
        <w:t>-- TAG-SL-PDCP-CONFIG-START</w:t>
      </w:r>
    </w:p>
    <w:p w14:paraId="3DFEE054" w14:textId="77777777" w:rsidR="00394471" w:rsidRPr="00FA0D37" w:rsidRDefault="00394471" w:rsidP="00FA0D37">
      <w:pPr>
        <w:pStyle w:val="PL"/>
      </w:pPr>
    </w:p>
    <w:p w14:paraId="75F0D5D2" w14:textId="77777777" w:rsidR="00394471" w:rsidRPr="00FA0D37" w:rsidRDefault="00394471" w:rsidP="00FA0D37">
      <w:pPr>
        <w:pStyle w:val="PL"/>
      </w:pPr>
      <w:r w:rsidRPr="00FA0D37">
        <w:t xml:space="preserve">SL-PDCP-Config-r16 ::=       </w:t>
      </w:r>
      <w:r w:rsidRPr="00FA0D37">
        <w:rPr>
          <w:color w:val="993366"/>
        </w:rPr>
        <w:t>SEQUENCE</w:t>
      </w:r>
      <w:r w:rsidRPr="00FA0D37">
        <w:t xml:space="preserve"> {</w:t>
      </w:r>
    </w:p>
    <w:p w14:paraId="3347DB4A" w14:textId="77777777" w:rsidR="00394471" w:rsidRPr="00FA0D37" w:rsidRDefault="00394471" w:rsidP="00FA0D37">
      <w:pPr>
        <w:pStyle w:val="PL"/>
      </w:pPr>
      <w:r w:rsidRPr="00FA0D37">
        <w:t xml:space="preserve">    sl-DiscardTimer-r16          </w:t>
      </w:r>
      <w:r w:rsidRPr="00FA0D37">
        <w:rPr>
          <w:color w:val="993366"/>
        </w:rPr>
        <w:t>ENUMERATED</w:t>
      </w:r>
      <w:r w:rsidRPr="00FA0D37">
        <w:t xml:space="preserve"> {ms3, ms10, ms20, ms25, ms30, ms40, ms50, ms60, ms75, ms100, ms150, ms200,</w:t>
      </w:r>
    </w:p>
    <w:p w14:paraId="66B4856A" w14:textId="49629EC6" w:rsidR="00394471" w:rsidRPr="00FA0D37" w:rsidRDefault="00394471" w:rsidP="00FA0D37">
      <w:pPr>
        <w:pStyle w:val="PL"/>
        <w:rPr>
          <w:color w:val="808080"/>
        </w:rPr>
      </w:pPr>
      <w:r w:rsidRPr="00FA0D37">
        <w:t xml:space="preserve">                                 ms250, ms300, ms500, ms750, ms1500, infinity}                                   </w:t>
      </w:r>
      <w:r w:rsidRPr="00FA0D37">
        <w:rPr>
          <w:color w:val="993366"/>
        </w:rPr>
        <w:t>OPTIONAL</w:t>
      </w:r>
      <w:r w:rsidRPr="00FA0D37">
        <w:t xml:space="preserve">, </w:t>
      </w:r>
      <w:r w:rsidRPr="00FA0D37">
        <w:rPr>
          <w:color w:val="808080"/>
        </w:rPr>
        <w:t>-- Cond Setup</w:t>
      </w:r>
    </w:p>
    <w:p w14:paraId="366F240D" w14:textId="58E390CD" w:rsidR="00394471" w:rsidRPr="00FA0D37" w:rsidRDefault="00394471" w:rsidP="00FA0D37">
      <w:pPr>
        <w:pStyle w:val="PL"/>
        <w:rPr>
          <w:color w:val="808080"/>
        </w:rPr>
      </w:pPr>
      <w:r w:rsidRPr="00FA0D37">
        <w:t xml:space="preserve">    sl-PDCP-SN-Size-r16          </w:t>
      </w:r>
      <w:r w:rsidRPr="00FA0D37">
        <w:rPr>
          <w:color w:val="993366"/>
        </w:rPr>
        <w:t>ENUMERATED</w:t>
      </w:r>
      <w:r w:rsidRPr="00FA0D37">
        <w:t xml:space="preserve"> {len12bits, len18bits}                                               </w:t>
      </w:r>
      <w:r w:rsidRPr="00FA0D37">
        <w:rPr>
          <w:color w:val="993366"/>
        </w:rPr>
        <w:t>OPTIONAL</w:t>
      </w:r>
      <w:r w:rsidRPr="00FA0D37">
        <w:t xml:space="preserve">, </w:t>
      </w:r>
      <w:r w:rsidRPr="00FA0D37">
        <w:rPr>
          <w:color w:val="808080"/>
        </w:rPr>
        <w:t>-- Cond Setup2</w:t>
      </w:r>
    </w:p>
    <w:p w14:paraId="60C6D9D1" w14:textId="3B1E1697" w:rsidR="00394471" w:rsidRPr="00FA0D37" w:rsidRDefault="00394471" w:rsidP="00FA0D37">
      <w:pPr>
        <w:pStyle w:val="PL"/>
        <w:rPr>
          <w:color w:val="808080"/>
        </w:rPr>
      </w:pPr>
      <w:r w:rsidRPr="00FA0D37">
        <w:t xml:space="preserve">    sl-OutOfOrderDelivery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Need R</w:t>
      </w:r>
    </w:p>
    <w:p w14:paraId="479F11A0" w14:textId="77777777" w:rsidR="00394471" w:rsidRPr="00FA0D37" w:rsidRDefault="00394471" w:rsidP="00FA0D37">
      <w:pPr>
        <w:pStyle w:val="PL"/>
      </w:pPr>
      <w:r w:rsidRPr="00FA0D37">
        <w:t xml:space="preserve">    ...</w:t>
      </w:r>
    </w:p>
    <w:p w14:paraId="3C73F3C7" w14:textId="77777777" w:rsidR="00394471" w:rsidRPr="00FA0D37" w:rsidRDefault="00394471" w:rsidP="00FA0D37">
      <w:pPr>
        <w:pStyle w:val="PL"/>
      </w:pPr>
      <w:r w:rsidRPr="00FA0D37">
        <w:t>}</w:t>
      </w:r>
    </w:p>
    <w:p w14:paraId="475BEC2A" w14:textId="77777777" w:rsidR="00394471" w:rsidRPr="00FA0D37" w:rsidRDefault="00394471" w:rsidP="00FA0D37">
      <w:pPr>
        <w:pStyle w:val="PL"/>
      </w:pPr>
    </w:p>
    <w:p w14:paraId="2C7FDD0D" w14:textId="77777777" w:rsidR="00394471" w:rsidRPr="00FA0D37" w:rsidRDefault="00394471" w:rsidP="00FA0D37">
      <w:pPr>
        <w:pStyle w:val="PL"/>
        <w:rPr>
          <w:color w:val="808080"/>
        </w:rPr>
      </w:pPr>
      <w:r w:rsidRPr="00FA0D37">
        <w:rPr>
          <w:color w:val="808080"/>
        </w:rPr>
        <w:t>-- TAG-SL-PDCP-CONFIG-STOP</w:t>
      </w:r>
    </w:p>
    <w:p w14:paraId="405014BD" w14:textId="77777777" w:rsidR="00394471" w:rsidRPr="00FA0D37" w:rsidRDefault="00394471" w:rsidP="00FA0D37">
      <w:pPr>
        <w:pStyle w:val="PL"/>
        <w:rPr>
          <w:color w:val="808080"/>
        </w:rPr>
      </w:pPr>
      <w:r w:rsidRPr="00FA0D37">
        <w:rPr>
          <w:color w:val="808080"/>
        </w:rPr>
        <w:t>-- ASN1STOP</w:t>
      </w:r>
    </w:p>
    <w:p w14:paraId="5B386868"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09FEB530"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E0A3E24" w14:textId="77777777" w:rsidR="00394471" w:rsidRPr="00FA0D37" w:rsidRDefault="00394471" w:rsidP="00964CC4">
            <w:pPr>
              <w:pStyle w:val="TAH"/>
              <w:rPr>
                <w:lang w:eastAsia="en-GB"/>
              </w:rPr>
            </w:pPr>
            <w:r w:rsidRPr="00FA0D37">
              <w:rPr>
                <w:i/>
                <w:noProof/>
                <w:lang w:eastAsia="en-GB"/>
              </w:rPr>
              <w:t>SL-PDCP-Config</w:t>
            </w:r>
            <w:r w:rsidRPr="00FA0D37">
              <w:rPr>
                <w:noProof/>
                <w:lang w:eastAsia="en-GB"/>
              </w:rPr>
              <w:t xml:space="preserve"> field descriptions</w:t>
            </w:r>
          </w:p>
        </w:tc>
      </w:tr>
      <w:tr w:rsidR="005C7FF4" w:rsidRPr="00FA0D37" w14:paraId="2F15E19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799834" w14:textId="77777777" w:rsidR="00394471" w:rsidRPr="00FA0D37" w:rsidRDefault="00394471" w:rsidP="00964CC4">
            <w:pPr>
              <w:pStyle w:val="TAL"/>
              <w:rPr>
                <w:b/>
                <w:bCs/>
                <w:i/>
                <w:iCs/>
                <w:lang w:eastAsia="en-GB"/>
              </w:rPr>
            </w:pPr>
            <w:r w:rsidRPr="00FA0D37">
              <w:rPr>
                <w:b/>
                <w:bCs/>
                <w:i/>
                <w:iCs/>
                <w:lang w:eastAsia="en-GB"/>
              </w:rPr>
              <w:t>sl-DiscardTimer</w:t>
            </w:r>
          </w:p>
          <w:p w14:paraId="52D0CB58" w14:textId="77777777" w:rsidR="00394471" w:rsidRPr="00FA0D37" w:rsidRDefault="00394471" w:rsidP="00964CC4">
            <w:pPr>
              <w:pStyle w:val="TAL"/>
              <w:rPr>
                <w:noProof/>
                <w:lang w:eastAsia="en-GB"/>
              </w:rPr>
            </w:pPr>
            <w:r w:rsidRPr="00FA0D37">
              <w:rPr>
                <w:lang w:eastAsia="en-GB"/>
              </w:rPr>
              <w:t xml:space="preserve">Value in ms of </w:t>
            </w:r>
            <w:r w:rsidRPr="00FA0D37">
              <w:rPr>
                <w:i/>
                <w:iCs/>
                <w:lang w:eastAsia="en-GB"/>
              </w:rPr>
              <w:t>discardTimer</w:t>
            </w:r>
            <w:r w:rsidRPr="00FA0D37">
              <w:rPr>
                <w:lang w:eastAsia="en-GB"/>
              </w:rPr>
              <w:t xml:space="preserve"> specified in TS 38.323 [5]. Value </w:t>
            </w:r>
            <w:r w:rsidRPr="00FA0D37">
              <w:rPr>
                <w:i/>
                <w:iCs/>
                <w:lang w:eastAsia="en-GB"/>
              </w:rPr>
              <w:t>ms50</w:t>
            </w:r>
            <w:r w:rsidRPr="00FA0D37">
              <w:rPr>
                <w:lang w:eastAsia="en-GB"/>
              </w:rPr>
              <w:t xml:space="preserve"> corresponds to 50 ms, value </w:t>
            </w:r>
            <w:r w:rsidRPr="00FA0D37">
              <w:rPr>
                <w:i/>
                <w:iCs/>
                <w:lang w:eastAsia="en-GB"/>
              </w:rPr>
              <w:t>ms100</w:t>
            </w:r>
            <w:r w:rsidRPr="00FA0D37">
              <w:rPr>
                <w:lang w:eastAsia="en-GB"/>
              </w:rPr>
              <w:t xml:space="preserve"> corresponds to 100 ms and so on.</w:t>
            </w:r>
          </w:p>
        </w:tc>
      </w:tr>
      <w:tr w:rsidR="005C7FF4" w:rsidRPr="00FA0D37" w14:paraId="40C492C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57CF410" w14:textId="77777777" w:rsidR="00394471" w:rsidRPr="00FA0D37" w:rsidRDefault="00394471" w:rsidP="00964CC4">
            <w:pPr>
              <w:pStyle w:val="TAL"/>
              <w:rPr>
                <w:b/>
                <w:bCs/>
                <w:i/>
                <w:iCs/>
                <w:lang w:eastAsia="en-GB"/>
              </w:rPr>
            </w:pPr>
            <w:r w:rsidRPr="00FA0D37">
              <w:rPr>
                <w:b/>
                <w:bCs/>
                <w:i/>
                <w:iCs/>
                <w:lang w:eastAsia="en-GB"/>
              </w:rPr>
              <w:t>sl-OutOfOrderDelivery</w:t>
            </w:r>
          </w:p>
          <w:p w14:paraId="55ABF436" w14:textId="77777777" w:rsidR="00394471" w:rsidRPr="00FA0D37" w:rsidRDefault="00394471" w:rsidP="00964CC4">
            <w:pPr>
              <w:pStyle w:val="TAL"/>
              <w:rPr>
                <w:lang w:eastAsia="en-GB"/>
              </w:rPr>
            </w:pPr>
            <w:r w:rsidRPr="00FA0D37">
              <w:rPr>
                <w:lang w:eastAsia="en-GB"/>
              </w:rPr>
              <w:t>Indicates whether or not outOfOrderDelivery specified in TS 38.323 [5] is configured. This field should be either always present or always absent, after the radio bearer is established.</w:t>
            </w:r>
          </w:p>
        </w:tc>
      </w:tr>
      <w:tr w:rsidR="00375B89" w:rsidRPr="00FA0D37" w14:paraId="637B4795" w14:textId="77777777" w:rsidTr="00964CC4">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503EFFD5" w14:textId="77777777" w:rsidR="00394471" w:rsidRPr="00FA0D37" w:rsidRDefault="00394471" w:rsidP="00964CC4">
            <w:pPr>
              <w:pStyle w:val="TAL"/>
              <w:rPr>
                <w:b/>
                <w:bCs/>
                <w:i/>
                <w:iCs/>
                <w:lang w:eastAsia="en-GB"/>
              </w:rPr>
            </w:pPr>
            <w:r w:rsidRPr="00FA0D37">
              <w:rPr>
                <w:b/>
                <w:bCs/>
                <w:i/>
                <w:iCs/>
                <w:lang w:eastAsia="en-GB"/>
              </w:rPr>
              <w:t>sl-PDCP-SN-Size</w:t>
            </w:r>
          </w:p>
          <w:p w14:paraId="1BE962AD" w14:textId="44D2F6F8" w:rsidR="00394471" w:rsidRPr="00FA0D37" w:rsidRDefault="00394471" w:rsidP="00964CC4">
            <w:pPr>
              <w:pStyle w:val="TAL"/>
              <w:rPr>
                <w:lang w:eastAsia="en-GB"/>
              </w:rPr>
            </w:pPr>
            <w:r w:rsidRPr="00FA0D37">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B761CF0" w14:textId="77777777" w:rsidR="00394471" w:rsidRPr="00FA0D37"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5C7FF4" w:rsidRPr="00FA0D37" w14:paraId="3D7B39C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D40D5B0" w14:textId="77777777" w:rsidR="00394471" w:rsidRPr="00FA0D37" w:rsidRDefault="00394471" w:rsidP="00964CC4">
            <w:pPr>
              <w:pStyle w:val="TAH"/>
              <w:rPr>
                <w:b w:val="0"/>
                <w:lang w:eastAsia="sv-SE"/>
              </w:rPr>
            </w:pPr>
            <w:r w:rsidRPr="00FA0D3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B52AB1C" w14:textId="77777777" w:rsidR="00394471" w:rsidRPr="00FA0D37" w:rsidRDefault="00394471" w:rsidP="00964CC4">
            <w:pPr>
              <w:pStyle w:val="TAH"/>
              <w:rPr>
                <w:lang w:eastAsia="sv-SE"/>
              </w:rPr>
            </w:pPr>
            <w:r w:rsidRPr="00FA0D37">
              <w:rPr>
                <w:lang w:eastAsia="sv-SE"/>
              </w:rPr>
              <w:t>Explanation</w:t>
            </w:r>
          </w:p>
        </w:tc>
      </w:tr>
      <w:tr w:rsidR="005C7FF4" w:rsidRPr="00FA0D37" w14:paraId="6462229A"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B642A49" w14:textId="77777777" w:rsidR="00394471" w:rsidRPr="00FA0D37" w:rsidRDefault="00394471" w:rsidP="00964CC4">
            <w:pPr>
              <w:pStyle w:val="TAL"/>
              <w:rPr>
                <w:i/>
                <w:iCs/>
                <w:lang w:eastAsia="sv-SE"/>
              </w:rPr>
            </w:pPr>
            <w:r w:rsidRPr="00FA0D37">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0CB705B2" w14:textId="77777777" w:rsidR="00394471" w:rsidRPr="00FA0D37" w:rsidRDefault="00394471" w:rsidP="00964CC4">
            <w:pPr>
              <w:pStyle w:val="TAL"/>
              <w:rPr>
                <w:lang w:eastAsia="sv-SE"/>
              </w:rPr>
            </w:pPr>
            <w:r w:rsidRPr="00FA0D37">
              <w:rPr>
                <w:lang w:eastAsia="sv-SE"/>
              </w:rPr>
              <w:t xml:space="preserve">The field is mandatory present in case of </w:t>
            </w:r>
            <w:r w:rsidRPr="00FA0D37">
              <w:rPr>
                <w:rFonts w:cs="Arial"/>
              </w:rPr>
              <w:t>sidelink DRB</w:t>
            </w:r>
            <w:r w:rsidRPr="00FA0D37">
              <w:rPr>
                <w:lang w:eastAsia="sv-SE"/>
              </w:rPr>
              <w:t xml:space="preserve"> setup via dedicated signaling and in case of </w:t>
            </w:r>
            <w:r w:rsidRPr="00FA0D37">
              <w:rPr>
                <w:rFonts w:cs="Arial"/>
              </w:rPr>
              <w:t>sidelink DRB</w:t>
            </w:r>
            <w:r w:rsidRPr="00FA0D37">
              <w:rPr>
                <w:lang w:eastAsia="sv-SE"/>
              </w:rPr>
              <w:t xml:space="preserve"> configuration via system information and pre-configuration; otherwise the field is </w:t>
            </w:r>
            <w:r w:rsidRPr="00FA0D37">
              <w:rPr>
                <w:rFonts w:cs="Arial"/>
              </w:rPr>
              <w:t>optional</w:t>
            </w:r>
            <w:r w:rsidRPr="00FA0D37">
              <w:rPr>
                <w:lang w:eastAsia="sv-SE"/>
              </w:rPr>
              <w:t>ly present, need M.</w:t>
            </w:r>
          </w:p>
        </w:tc>
      </w:tr>
      <w:tr w:rsidR="00375B89" w:rsidRPr="00FA0D37" w14:paraId="335389F8"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3D65CD7" w14:textId="77777777" w:rsidR="00394471" w:rsidRPr="00FA0D37" w:rsidRDefault="00394471" w:rsidP="00964CC4">
            <w:pPr>
              <w:pStyle w:val="TAL"/>
              <w:rPr>
                <w:rFonts w:eastAsia="等线"/>
                <w:i/>
                <w:iCs/>
                <w:lang w:eastAsia="zh-CN"/>
              </w:rPr>
            </w:pPr>
            <w:r w:rsidRPr="00FA0D37">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1B47759" w14:textId="77777777" w:rsidR="00394471" w:rsidRPr="00FA0D37" w:rsidRDefault="00394471" w:rsidP="00964CC4">
            <w:pPr>
              <w:pStyle w:val="TAL"/>
              <w:rPr>
                <w:lang w:eastAsia="sv-SE"/>
              </w:rPr>
            </w:pPr>
            <w:r w:rsidRPr="00FA0D37">
              <w:rPr>
                <w:lang w:eastAsia="sv-SE"/>
              </w:rPr>
              <w:t xml:space="preserve">The field is mandatory present in case of </w:t>
            </w:r>
            <w:r w:rsidRPr="00FA0D37">
              <w:rPr>
                <w:rFonts w:cs="Arial"/>
              </w:rPr>
              <w:t>sidelink DRB</w:t>
            </w:r>
            <w:r w:rsidRPr="00FA0D37">
              <w:rPr>
                <w:lang w:eastAsia="sv-SE"/>
              </w:rPr>
              <w:t xml:space="preserve"> setup via dedicated signaling and in case of </w:t>
            </w:r>
            <w:r w:rsidRPr="00FA0D37">
              <w:rPr>
                <w:rFonts w:cs="Arial"/>
              </w:rPr>
              <w:t>sidelink DRB</w:t>
            </w:r>
            <w:r w:rsidRPr="00FA0D37">
              <w:rPr>
                <w:lang w:eastAsia="sv-SE"/>
              </w:rPr>
              <w:t xml:space="preserve"> configuration via system information and pre-configuration for RLC-AM and RLC-UM for unicast NR sidelink communication; otherwise the field is not present, Need M.</w:t>
            </w:r>
          </w:p>
        </w:tc>
      </w:tr>
    </w:tbl>
    <w:p w14:paraId="26E0B3A8" w14:textId="77777777" w:rsidR="00394471" w:rsidRPr="00FA0D37" w:rsidRDefault="00394471" w:rsidP="00394471">
      <w:pPr>
        <w:rPr>
          <w:rFonts w:eastAsia="Yu Mincho"/>
        </w:rPr>
      </w:pPr>
    </w:p>
    <w:p w14:paraId="1558EF3A" w14:textId="77777777" w:rsidR="00394471" w:rsidRPr="00FA0D37" w:rsidRDefault="00394471" w:rsidP="00394471">
      <w:pPr>
        <w:keepNext/>
        <w:keepLines/>
        <w:spacing w:before="120"/>
        <w:ind w:left="1418" w:hanging="1418"/>
        <w:outlineLvl w:val="3"/>
        <w:rPr>
          <w:rFonts w:ascii="Arial" w:hAnsi="Arial"/>
          <w:sz w:val="24"/>
          <w:lang w:eastAsia="en-US"/>
        </w:rPr>
      </w:pPr>
      <w:r w:rsidRPr="00FA0D37">
        <w:rPr>
          <w:rFonts w:ascii="Arial" w:hAnsi="Arial"/>
          <w:sz w:val="24"/>
        </w:rPr>
        <w:t>–</w:t>
      </w:r>
      <w:r w:rsidRPr="00FA0D37">
        <w:rPr>
          <w:rFonts w:ascii="Arial" w:hAnsi="Arial"/>
          <w:sz w:val="24"/>
        </w:rPr>
        <w:tab/>
      </w:r>
      <w:r w:rsidRPr="00FA0D37">
        <w:rPr>
          <w:rFonts w:ascii="Arial" w:hAnsi="Arial"/>
          <w:i/>
          <w:sz w:val="24"/>
        </w:rPr>
        <w:t>SL-PSBCH-Config</w:t>
      </w:r>
    </w:p>
    <w:p w14:paraId="0FDE4A95" w14:textId="77777777" w:rsidR="00394471" w:rsidRPr="00FA0D37" w:rsidRDefault="00394471" w:rsidP="00394471">
      <w:r w:rsidRPr="00FA0D37">
        <w:t xml:space="preserve">The IE </w:t>
      </w:r>
      <w:r w:rsidRPr="00FA0D37">
        <w:rPr>
          <w:i/>
        </w:rPr>
        <w:t>SL-PSBCH-Config</w:t>
      </w:r>
      <w:r w:rsidRPr="00FA0D37">
        <w:rPr>
          <w:rFonts w:eastAsia="宋体"/>
        </w:rPr>
        <w:t xml:space="preserve"> indicates PSBCH transmission parameters on each sidelink bandwidth part</w:t>
      </w:r>
      <w:r w:rsidRPr="00FA0D37">
        <w:t>.</w:t>
      </w:r>
    </w:p>
    <w:p w14:paraId="5DDFE6AE" w14:textId="77777777" w:rsidR="00394471" w:rsidRPr="00FA0D37" w:rsidRDefault="00394471" w:rsidP="00394471">
      <w:pPr>
        <w:keepNext/>
        <w:keepLines/>
        <w:spacing w:before="60"/>
        <w:jc w:val="center"/>
        <w:rPr>
          <w:rFonts w:ascii="Arial" w:hAnsi="Arial"/>
          <w:b/>
          <w:lang w:eastAsia="en-US"/>
        </w:rPr>
      </w:pPr>
      <w:r w:rsidRPr="00FA0D37">
        <w:rPr>
          <w:rFonts w:ascii="Arial" w:hAnsi="Arial"/>
          <w:b/>
          <w:i/>
        </w:rPr>
        <w:lastRenderedPageBreak/>
        <w:t xml:space="preserve">SL-PSBCH-Config </w:t>
      </w:r>
      <w:r w:rsidRPr="00FA0D37">
        <w:rPr>
          <w:rFonts w:ascii="Arial" w:hAnsi="Arial"/>
          <w:b/>
        </w:rPr>
        <w:t>information element</w:t>
      </w:r>
    </w:p>
    <w:p w14:paraId="71A19605" w14:textId="77777777" w:rsidR="00394471" w:rsidRPr="00FA0D37" w:rsidRDefault="00394471" w:rsidP="00FA0D37">
      <w:pPr>
        <w:pStyle w:val="PL"/>
        <w:rPr>
          <w:color w:val="808080"/>
        </w:rPr>
      </w:pPr>
      <w:r w:rsidRPr="00FA0D37">
        <w:rPr>
          <w:color w:val="808080"/>
        </w:rPr>
        <w:t>-- ASN1START</w:t>
      </w:r>
    </w:p>
    <w:p w14:paraId="5F0544D6" w14:textId="77777777" w:rsidR="00394471" w:rsidRPr="00FA0D37" w:rsidRDefault="00394471" w:rsidP="00FA0D37">
      <w:pPr>
        <w:pStyle w:val="PL"/>
        <w:rPr>
          <w:color w:val="808080"/>
        </w:rPr>
      </w:pPr>
      <w:r w:rsidRPr="00FA0D37">
        <w:rPr>
          <w:color w:val="808080"/>
        </w:rPr>
        <w:t>-- TAG-SL-PSBCH-CONFIG-START</w:t>
      </w:r>
    </w:p>
    <w:p w14:paraId="682EABDE" w14:textId="77777777" w:rsidR="00394471" w:rsidRPr="00FA0D37" w:rsidRDefault="00394471" w:rsidP="00FA0D37">
      <w:pPr>
        <w:pStyle w:val="PL"/>
      </w:pPr>
    </w:p>
    <w:p w14:paraId="61845397" w14:textId="77777777" w:rsidR="00394471" w:rsidRPr="00FA0D37" w:rsidRDefault="00394471" w:rsidP="00FA0D37">
      <w:pPr>
        <w:pStyle w:val="PL"/>
      </w:pPr>
      <w:r w:rsidRPr="00FA0D37">
        <w:t xml:space="preserve">SL-PSBCH-Config-r16 ::= </w:t>
      </w:r>
      <w:r w:rsidRPr="00FA0D37">
        <w:rPr>
          <w:color w:val="993366"/>
        </w:rPr>
        <w:t>SEQUENCE</w:t>
      </w:r>
      <w:r w:rsidRPr="00FA0D37">
        <w:t xml:space="preserve"> {</w:t>
      </w:r>
    </w:p>
    <w:p w14:paraId="2C87AFEF" w14:textId="77777777" w:rsidR="00394471" w:rsidRPr="00FA0D37" w:rsidRDefault="00394471" w:rsidP="00FA0D37">
      <w:pPr>
        <w:pStyle w:val="PL"/>
        <w:rPr>
          <w:color w:val="808080"/>
        </w:rPr>
      </w:pPr>
      <w:r w:rsidRPr="00FA0D37">
        <w:t xml:space="preserve">    dl-P0-PSBCH-r16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M</w:t>
      </w:r>
    </w:p>
    <w:p w14:paraId="6C7522C3" w14:textId="77777777" w:rsidR="00394471" w:rsidRPr="00FA0D37" w:rsidRDefault="00394471" w:rsidP="00FA0D37">
      <w:pPr>
        <w:pStyle w:val="PL"/>
        <w:rPr>
          <w:color w:val="808080"/>
        </w:rPr>
      </w:pPr>
      <w:r w:rsidRPr="00FA0D37">
        <w:t xml:space="preserve">    dl-Alpha-PSBCH-r16      </w:t>
      </w:r>
      <w:r w:rsidRPr="00FA0D37">
        <w:rPr>
          <w:color w:val="993366"/>
        </w:rPr>
        <w:t>ENUMERATED</w:t>
      </w:r>
      <w:r w:rsidRPr="00FA0D37">
        <w:t xml:space="preserve"> {alpha0, alpha04, alpha05, alpha06, alpha07, alpha08, alpha09, alpha1}   </w:t>
      </w:r>
      <w:r w:rsidRPr="00FA0D37">
        <w:rPr>
          <w:color w:val="993366"/>
        </w:rPr>
        <w:t>OPTIONAL</w:t>
      </w:r>
      <w:r w:rsidRPr="00FA0D37">
        <w:t xml:space="preserve">,    </w:t>
      </w:r>
      <w:r w:rsidRPr="00FA0D37">
        <w:rPr>
          <w:color w:val="808080"/>
        </w:rPr>
        <w:t>-- Need M</w:t>
      </w:r>
    </w:p>
    <w:p w14:paraId="23A1E9F6" w14:textId="040EA774" w:rsidR="002E7B14" w:rsidRPr="00FA0D37" w:rsidRDefault="00394471" w:rsidP="00FA0D37">
      <w:pPr>
        <w:pStyle w:val="PL"/>
      </w:pPr>
      <w:r w:rsidRPr="00FA0D37">
        <w:t xml:space="preserve">    ...</w:t>
      </w:r>
      <w:r w:rsidR="002E7B14" w:rsidRPr="00FA0D37">
        <w:t>,</w:t>
      </w:r>
    </w:p>
    <w:p w14:paraId="159951DE" w14:textId="77777777" w:rsidR="002E7B14" w:rsidRPr="00FA0D37" w:rsidRDefault="002E7B14" w:rsidP="00FA0D37">
      <w:pPr>
        <w:pStyle w:val="PL"/>
      </w:pPr>
      <w:r w:rsidRPr="00FA0D37">
        <w:t xml:space="preserve">    [[</w:t>
      </w:r>
    </w:p>
    <w:p w14:paraId="35E680C6" w14:textId="77777777" w:rsidR="002E7B14" w:rsidRPr="00FA0D37" w:rsidRDefault="002E7B14" w:rsidP="00FA0D37">
      <w:pPr>
        <w:pStyle w:val="PL"/>
        <w:rPr>
          <w:color w:val="808080"/>
        </w:rPr>
      </w:pPr>
      <w:r w:rsidRPr="00FA0D37">
        <w:t xml:space="preserve">    dl-P0-PSBCH-r17         </w:t>
      </w:r>
      <w:r w:rsidRPr="00FA0D37">
        <w:rPr>
          <w:color w:val="993366"/>
        </w:rPr>
        <w:t>INTEGER</w:t>
      </w:r>
      <w:r w:rsidRPr="00FA0D37">
        <w:t xml:space="preserve"> (-202..24)                                                                  </w:t>
      </w:r>
      <w:r w:rsidRPr="00FA0D37">
        <w:rPr>
          <w:color w:val="993366"/>
        </w:rPr>
        <w:t>OPTIONAL</w:t>
      </w:r>
      <w:r w:rsidRPr="00FA0D37">
        <w:t xml:space="preserve">     </w:t>
      </w:r>
      <w:r w:rsidRPr="00FA0D37">
        <w:rPr>
          <w:color w:val="808080"/>
        </w:rPr>
        <w:t>-- Need M</w:t>
      </w:r>
    </w:p>
    <w:p w14:paraId="64C382DB" w14:textId="66E6FE93" w:rsidR="00394471" w:rsidRPr="00FA0D37" w:rsidRDefault="002E7B14" w:rsidP="00FA0D37">
      <w:pPr>
        <w:pStyle w:val="PL"/>
      </w:pPr>
      <w:r w:rsidRPr="00FA0D37">
        <w:t xml:space="preserve">    ]]</w:t>
      </w:r>
    </w:p>
    <w:p w14:paraId="3B7FFAAE" w14:textId="77777777" w:rsidR="00394471" w:rsidRPr="00FA0D37" w:rsidRDefault="00394471" w:rsidP="00FA0D37">
      <w:pPr>
        <w:pStyle w:val="PL"/>
      </w:pPr>
      <w:r w:rsidRPr="00FA0D37">
        <w:t>}</w:t>
      </w:r>
    </w:p>
    <w:p w14:paraId="37C0A700" w14:textId="77777777" w:rsidR="00394471" w:rsidRPr="00FA0D37" w:rsidRDefault="00394471" w:rsidP="00FA0D37">
      <w:pPr>
        <w:pStyle w:val="PL"/>
      </w:pPr>
    </w:p>
    <w:p w14:paraId="74D370E8" w14:textId="77777777" w:rsidR="00394471" w:rsidRPr="00FA0D37" w:rsidRDefault="00394471" w:rsidP="00FA0D37">
      <w:pPr>
        <w:pStyle w:val="PL"/>
        <w:rPr>
          <w:color w:val="808080"/>
        </w:rPr>
      </w:pPr>
      <w:r w:rsidRPr="00FA0D37">
        <w:rPr>
          <w:color w:val="808080"/>
        </w:rPr>
        <w:t>-- TAG-SL-PSBCH-CONFIG-STOP</w:t>
      </w:r>
    </w:p>
    <w:p w14:paraId="6E9F602D" w14:textId="77777777" w:rsidR="00394471" w:rsidRPr="00FA0D37" w:rsidRDefault="00394471" w:rsidP="00FA0D37">
      <w:pPr>
        <w:pStyle w:val="PL"/>
        <w:rPr>
          <w:color w:val="808080"/>
        </w:rPr>
      </w:pPr>
      <w:r w:rsidRPr="00FA0D37">
        <w:rPr>
          <w:color w:val="808080"/>
        </w:rPr>
        <w:t>-- ASN1STOP</w:t>
      </w:r>
    </w:p>
    <w:p w14:paraId="73398DC3" w14:textId="77777777" w:rsidR="00394471" w:rsidRPr="00FA0D3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66B95B04"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0075F1" w14:textId="77777777" w:rsidR="00394471" w:rsidRPr="00FA0D37" w:rsidRDefault="00394471" w:rsidP="00964CC4">
            <w:pPr>
              <w:pStyle w:val="TAH"/>
              <w:rPr>
                <w:lang w:eastAsia="en-GB"/>
              </w:rPr>
            </w:pPr>
            <w:r w:rsidRPr="00FA0D37">
              <w:rPr>
                <w:i/>
              </w:rPr>
              <w:t>SL-PSBCH-Config</w:t>
            </w:r>
            <w:r w:rsidRPr="00FA0D37">
              <w:rPr>
                <w:i/>
                <w:noProof/>
                <w:lang w:eastAsia="en-GB"/>
              </w:rPr>
              <w:t xml:space="preserve"> </w:t>
            </w:r>
            <w:r w:rsidRPr="00FA0D37">
              <w:rPr>
                <w:noProof/>
                <w:lang w:eastAsia="en-GB"/>
              </w:rPr>
              <w:t>field descriptions</w:t>
            </w:r>
          </w:p>
        </w:tc>
      </w:tr>
      <w:tr w:rsidR="005C7FF4" w:rsidRPr="00FA0D37" w14:paraId="1EDE5E5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E598B2" w14:textId="77777777" w:rsidR="00394471" w:rsidRPr="00FA0D37" w:rsidRDefault="00394471" w:rsidP="00964CC4">
            <w:pPr>
              <w:pStyle w:val="TAL"/>
              <w:rPr>
                <w:b/>
                <w:bCs/>
                <w:i/>
                <w:iCs/>
                <w:lang w:eastAsia="en-GB"/>
              </w:rPr>
            </w:pPr>
            <w:r w:rsidRPr="00FA0D37">
              <w:rPr>
                <w:b/>
                <w:bCs/>
                <w:i/>
                <w:iCs/>
                <w:lang w:eastAsia="en-GB"/>
              </w:rPr>
              <w:t>dl-Alpha-PSBCH</w:t>
            </w:r>
          </w:p>
          <w:p w14:paraId="561FD940" w14:textId="0293E8B3" w:rsidR="00394471" w:rsidRPr="00FA0D37" w:rsidRDefault="00394471" w:rsidP="00964CC4">
            <w:pPr>
              <w:pStyle w:val="TAL"/>
              <w:rPr>
                <w:lang w:eastAsia="en-GB"/>
              </w:rPr>
            </w:pPr>
            <w:r w:rsidRPr="00FA0D37">
              <w:rPr>
                <w:bCs/>
                <w:kern w:val="2"/>
                <w:lang w:eastAsia="en-GB"/>
              </w:rPr>
              <w:t xml:space="preserve">Indicates alpha value for DL pathloss based power control for PSBCH. When the field is </w:t>
            </w:r>
            <w:r w:rsidR="008106B1" w:rsidRPr="00FA0D37">
              <w:rPr>
                <w:rFonts w:cs="Arial"/>
                <w:bCs/>
                <w:kern w:val="2"/>
                <w:lang w:eastAsia="en-GB"/>
              </w:rPr>
              <w:t xml:space="preserve">not configured </w:t>
            </w:r>
            <w:r w:rsidRPr="00FA0D37">
              <w:rPr>
                <w:bCs/>
                <w:kern w:val="2"/>
                <w:lang w:eastAsia="en-GB"/>
              </w:rPr>
              <w:t>the UE applies the value 1</w:t>
            </w:r>
            <w:r w:rsidR="00750AB7" w:rsidRPr="00FA0D37">
              <w:rPr>
                <w:bCs/>
                <w:kern w:val="2"/>
                <w:lang w:eastAsia="en-GB"/>
              </w:rPr>
              <w:t>.</w:t>
            </w:r>
          </w:p>
        </w:tc>
      </w:tr>
      <w:tr w:rsidR="00394471" w:rsidRPr="00FA0D37" w14:paraId="1CD113C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D70820" w14:textId="77777777" w:rsidR="00394471" w:rsidRPr="00FA0D37" w:rsidRDefault="00394471" w:rsidP="00964CC4">
            <w:pPr>
              <w:pStyle w:val="TAL"/>
              <w:rPr>
                <w:b/>
                <w:bCs/>
                <w:i/>
                <w:iCs/>
                <w:lang w:eastAsia="en-GB"/>
              </w:rPr>
            </w:pPr>
            <w:r w:rsidRPr="00FA0D37">
              <w:rPr>
                <w:b/>
                <w:bCs/>
                <w:i/>
                <w:iCs/>
                <w:lang w:eastAsia="en-GB"/>
              </w:rPr>
              <w:t>dl-P0-PSBCH</w:t>
            </w:r>
          </w:p>
          <w:p w14:paraId="5618C561" w14:textId="77777777" w:rsidR="00BF5913" w:rsidRPr="00FA0D37" w:rsidRDefault="00394471" w:rsidP="00BF5913">
            <w:pPr>
              <w:pStyle w:val="TAL"/>
              <w:rPr>
                <w:kern w:val="2"/>
                <w:lang w:eastAsia="en-GB"/>
              </w:rPr>
            </w:pPr>
            <w:r w:rsidRPr="00FA0D37">
              <w:rPr>
                <w:bCs/>
                <w:kern w:val="2"/>
                <w:lang w:eastAsia="en-GB"/>
              </w:rPr>
              <w:t>Indicates P0 value for DL pathloss based power control for PSBCH. If not configured, DL pathloss based power control is disabled for PSBCH.</w:t>
            </w:r>
            <w:r w:rsidR="00750AB7" w:rsidRPr="00FA0D37">
              <w:rPr>
                <w:kern w:val="2"/>
                <w:lang w:eastAsia="en-GB"/>
              </w:rPr>
              <w:t xml:space="preserve"> When </w:t>
            </w:r>
            <w:r w:rsidR="00750AB7" w:rsidRPr="00FA0D37">
              <w:rPr>
                <w:i/>
                <w:kern w:val="2"/>
                <w:lang w:eastAsia="en-GB"/>
              </w:rPr>
              <w:t>dl-P0-PSBCH-r17</w:t>
            </w:r>
            <w:r w:rsidR="00750AB7" w:rsidRPr="00FA0D37">
              <w:rPr>
                <w:kern w:val="2"/>
                <w:lang w:eastAsia="en-GB"/>
              </w:rPr>
              <w:t xml:space="preserve"> is configured, the UE ignores </w:t>
            </w:r>
            <w:r w:rsidR="00750AB7" w:rsidRPr="00FA0D37">
              <w:rPr>
                <w:i/>
                <w:kern w:val="2"/>
                <w:lang w:eastAsia="en-GB"/>
              </w:rPr>
              <w:t>dl-P0-PSBCH-r16</w:t>
            </w:r>
            <w:r w:rsidR="00750AB7" w:rsidRPr="00FA0D37">
              <w:rPr>
                <w:kern w:val="2"/>
                <w:lang w:eastAsia="en-GB"/>
              </w:rPr>
              <w:t>.</w:t>
            </w:r>
          </w:p>
          <w:p w14:paraId="7B5F9481" w14:textId="0F590803" w:rsidR="00394471" w:rsidRPr="00FA0D37" w:rsidRDefault="00BF5913" w:rsidP="00BF5913">
            <w:pPr>
              <w:pStyle w:val="TAL"/>
              <w:rPr>
                <w:lang w:eastAsia="en-GB"/>
              </w:rPr>
            </w:pPr>
            <w:r w:rsidRPr="00FA0D37">
              <w:rPr>
                <w:kern w:val="2"/>
                <w:lang w:eastAsia="en-GB"/>
              </w:rPr>
              <w:t xml:space="preserve">A Remote UE which is out of coverage, considers downlink pathloss based power control is disabled for PSBCH when </w:t>
            </w:r>
            <w:r w:rsidRPr="00FA0D37">
              <w:rPr>
                <w:i/>
                <w:iCs/>
                <w:kern w:val="2"/>
                <w:lang w:eastAsia="en-GB"/>
              </w:rPr>
              <w:t>dl-P0-PSBCH</w:t>
            </w:r>
            <w:r w:rsidRPr="00FA0D37">
              <w:rPr>
                <w:kern w:val="2"/>
                <w:lang w:eastAsia="en-GB"/>
              </w:rPr>
              <w:t xml:space="preserve"> is configured.</w:t>
            </w:r>
          </w:p>
        </w:tc>
      </w:tr>
    </w:tbl>
    <w:p w14:paraId="1BEF5C08" w14:textId="77777777" w:rsidR="00394471" w:rsidRPr="00FA0D37" w:rsidRDefault="00394471" w:rsidP="00394471">
      <w:pPr>
        <w:rPr>
          <w:rFonts w:eastAsia="Yu Mincho"/>
        </w:rPr>
      </w:pPr>
    </w:p>
    <w:p w14:paraId="48AA69FC" w14:textId="2157937F" w:rsidR="00394471" w:rsidRPr="00FA0D37" w:rsidRDefault="00394471" w:rsidP="00394471">
      <w:pPr>
        <w:pStyle w:val="4"/>
      </w:pPr>
      <w:bookmarkStart w:id="1798" w:name="_Toc60777539"/>
      <w:bookmarkStart w:id="1799" w:name="_Toc146781662"/>
      <w:r w:rsidRPr="00FA0D37">
        <w:t>–</w:t>
      </w:r>
      <w:r w:rsidRPr="00FA0D37">
        <w:tab/>
      </w:r>
      <w:r w:rsidRPr="00FA0D37">
        <w:rPr>
          <w:i/>
          <w:iCs/>
        </w:rPr>
        <w:t>SL-PSSCH-TxConfigList</w:t>
      </w:r>
      <w:bookmarkEnd w:id="1798"/>
      <w:bookmarkEnd w:id="1799"/>
    </w:p>
    <w:p w14:paraId="4CB0C289" w14:textId="77777777" w:rsidR="00394471" w:rsidRPr="00FA0D37" w:rsidRDefault="00394471" w:rsidP="00394471">
      <w:r w:rsidRPr="00FA0D37">
        <w:t xml:space="preserve">The IE </w:t>
      </w:r>
      <w:r w:rsidRPr="00FA0D37">
        <w:rPr>
          <w:i/>
        </w:rPr>
        <w:t>SL-</w:t>
      </w:r>
      <w:r w:rsidRPr="00FA0D37">
        <w:rPr>
          <w:i/>
          <w:lang w:eastAsia="zh-CN"/>
        </w:rPr>
        <w:t>PSSCH-TxConfigList</w:t>
      </w:r>
      <w:r w:rsidRPr="00FA0D37">
        <w:t xml:space="preserve"> indicates PSSCH transmission parameters.</w:t>
      </w:r>
      <w:r w:rsidRPr="00FA0D37">
        <w:rPr>
          <w:lang w:eastAsia="zh-CN"/>
        </w:rPr>
        <w:t xml:space="preserve"> When lower layers select parameters from the range indicated in IE</w:t>
      </w:r>
      <w:r w:rsidRPr="00FA0D37">
        <w:rPr>
          <w:i/>
          <w:lang w:eastAsia="zh-CN"/>
        </w:rPr>
        <w:t xml:space="preserve"> SL-PSSCH-TxConfigList</w:t>
      </w:r>
      <w:r w:rsidRPr="00FA0D37">
        <w:rPr>
          <w:lang w:eastAsia="zh-CN"/>
        </w:rPr>
        <w:t xml:space="preserve">, the UE considers both configurations in IE </w:t>
      </w:r>
      <w:r w:rsidRPr="00FA0D37">
        <w:rPr>
          <w:i/>
        </w:rPr>
        <w:t>SL-PSSCH-TxConfigList</w:t>
      </w:r>
      <w:r w:rsidRPr="00FA0D37">
        <w:rPr>
          <w:lang w:eastAsia="zh-CN"/>
        </w:rPr>
        <w:t xml:space="preserve"> and the CBR-dependent configurations represented in IE </w:t>
      </w:r>
      <w:r w:rsidRPr="00FA0D37">
        <w:rPr>
          <w:i/>
        </w:rPr>
        <w:t>SL-</w:t>
      </w:r>
      <w:r w:rsidRPr="00FA0D37">
        <w:rPr>
          <w:i/>
          <w:lang w:eastAsia="zh-CN"/>
        </w:rPr>
        <w:t>CBR-Priority</w:t>
      </w:r>
      <w:r w:rsidRPr="00FA0D37">
        <w:rPr>
          <w:i/>
        </w:rPr>
        <w:t>TxConfigList</w:t>
      </w:r>
      <w:r w:rsidRPr="00FA0D37">
        <w:rPr>
          <w:lang w:eastAsia="zh-CN"/>
        </w:rPr>
        <w:t xml:space="preserve">. </w:t>
      </w:r>
      <w:r w:rsidRPr="00FA0D37">
        <w:t xml:space="preserve">Only one IE </w:t>
      </w:r>
      <w:r w:rsidRPr="00FA0D37">
        <w:rPr>
          <w:i/>
        </w:rPr>
        <w:t>SL-PSSCH-TxConfig</w:t>
      </w:r>
      <w:r w:rsidRPr="00FA0D37">
        <w:rPr>
          <w:rFonts w:cs="Courier New"/>
        </w:rPr>
        <w:t xml:space="preserve"> is provided per </w:t>
      </w:r>
      <w:r w:rsidRPr="00FA0D37">
        <w:rPr>
          <w:i/>
        </w:rPr>
        <w:t>SL-TypeTxSync</w:t>
      </w:r>
      <w:r w:rsidRPr="00FA0D37">
        <w:rPr>
          <w:rFonts w:cs="Courier New"/>
        </w:rPr>
        <w:t>.</w:t>
      </w:r>
    </w:p>
    <w:p w14:paraId="3423E161" w14:textId="77777777" w:rsidR="00394471" w:rsidRPr="00FA0D37" w:rsidRDefault="00394471" w:rsidP="00394471">
      <w:pPr>
        <w:pStyle w:val="TH"/>
        <w:rPr>
          <w:b w:val="0"/>
        </w:rPr>
      </w:pPr>
      <w:r w:rsidRPr="00FA0D37">
        <w:rPr>
          <w:i/>
          <w:iCs/>
        </w:rPr>
        <w:t>SL-PSSCH-TxConfigList</w:t>
      </w:r>
      <w:r w:rsidRPr="00FA0D37">
        <w:t xml:space="preserve"> information element</w:t>
      </w:r>
    </w:p>
    <w:p w14:paraId="5F8A1762" w14:textId="77777777" w:rsidR="00394471" w:rsidRPr="00FA0D37" w:rsidRDefault="00394471" w:rsidP="00FA0D37">
      <w:pPr>
        <w:pStyle w:val="PL"/>
        <w:rPr>
          <w:color w:val="808080"/>
        </w:rPr>
      </w:pPr>
      <w:r w:rsidRPr="00FA0D37">
        <w:rPr>
          <w:color w:val="808080"/>
        </w:rPr>
        <w:t>-- ASN1START</w:t>
      </w:r>
    </w:p>
    <w:p w14:paraId="4FAFFFF0" w14:textId="77777777" w:rsidR="00394471" w:rsidRPr="00FA0D37" w:rsidRDefault="00394471" w:rsidP="00FA0D37">
      <w:pPr>
        <w:pStyle w:val="PL"/>
        <w:rPr>
          <w:color w:val="808080"/>
        </w:rPr>
      </w:pPr>
      <w:r w:rsidRPr="00FA0D37">
        <w:rPr>
          <w:color w:val="808080"/>
        </w:rPr>
        <w:t>-- TAG-SL-PSSCH-TXCONFIGLIST-START</w:t>
      </w:r>
    </w:p>
    <w:p w14:paraId="2DFA8543" w14:textId="77777777" w:rsidR="00394471" w:rsidRPr="00FA0D37" w:rsidRDefault="00394471" w:rsidP="00FA0D37">
      <w:pPr>
        <w:pStyle w:val="PL"/>
      </w:pPr>
    </w:p>
    <w:p w14:paraId="7ED72477" w14:textId="77777777" w:rsidR="00394471" w:rsidRPr="00FA0D37" w:rsidRDefault="00394471" w:rsidP="00FA0D37">
      <w:pPr>
        <w:pStyle w:val="PL"/>
      </w:pPr>
      <w:r w:rsidRPr="00FA0D37">
        <w:t xml:space="preserve">SL-PSSCH-TxConfigList-r16 ::=    </w:t>
      </w:r>
      <w:r w:rsidRPr="00FA0D37">
        <w:rPr>
          <w:color w:val="993366"/>
        </w:rPr>
        <w:t>SEQUENCE</w:t>
      </w:r>
      <w:r w:rsidRPr="00FA0D37">
        <w:t xml:space="preserve"> (</w:t>
      </w:r>
      <w:r w:rsidRPr="00FA0D37">
        <w:rPr>
          <w:color w:val="993366"/>
        </w:rPr>
        <w:t>SIZE</w:t>
      </w:r>
      <w:r w:rsidRPr="00FA0D37">
        <w:t xml:space="preserve"> (1..maxPSSCH-TxConfig-r16))</w:t>
      </w:r>
      <w:r w:rsidRPr="00FA0D37">
        <w:rPr>
          <w:color w:val="993366"/>
        </w:rPr>
        <w:t xml:space="preserve"> OF</w:t>
      </w:r>
      <w:r w:rsidRPr="00FA0D37">
        <w:t xml:space="preserve"> SL-PSSCH-TxConfig-r16</w:t>
      </w:r>
    </w:p>
    <w:p w14:paraId="1E9EF43A" w14:textId="77777777" w:rsidR="00394471" w:rsidRPr="00FA0D37" w:rsidRDefault="00394471" w:rsidP="00FA0D37">
      <w:pPr>
        <w:pStyle w:val="PL"/>
      </w:pPr>
    </w:p>
    <w:p w14:paraId="530C0672" w14:textId="77777777" w:rsidR="00394471" w:rsidRPr="00FA0D37" w:rsidRDefault="00394471" w:rsidP="00FA0D37">
      <w:pPr>
        <w:pStyle w:val="PL"/>
      </w:pPr>
      <w:r w:rsidRPr="00FA0D37">
        <w:t xml:space="preserve">SL-PSSCH-TxConfig-r16 ::=        </w:t>
      </w:r>
      <w:r w:rsidRPr="00FA0D37">
        <w:rPr>
          <w:color w:val="993366"/>
        </w:rPr>
        <w:t>SEQUENCE</w:t>
      </w:r>
      <w:r w:rsidRPr="00FA0D37">
        <w:t xml:space="preserve"> {</w:t>
      </w:r>
    </w:p>
    <w:p w14:paraId="0F603828" w14:textId="77777777" w:rsidR="00394471" w:rsidRPr="00FA0D37" w:rsidRDefault="00394471" w:rsidP="00FA0D37">
      <w:pPr>
        <w:pStyle w:val="PL"/>
        <w:rPr>
          <w:color w:val="808080"/>
        </w:rPr>
      </w:pPr>
      <w:r w:rsidRPr="00FA0D37">
        <w:t xml:space="preserve">    sl-TypeTxSync-r16                SL-TypeTxSync-r16                                   </w:t>
      </w:r>
      <w:r w:rsidRPr="00FA0D37">
        <w:rPr>
          <w:color w:val="993366"/>
        </w:rPr>
        <w:t>OPTIONAL</w:t>
      </w:r>
      <w:r w:rsidRPr="00FA0D37">
        <w:t xml:space="preserve">,    </w:t>
      </w:r>
      <w:r w:rsidRPr="00FA0D37">
        <w:rPr>
          <w:color w:val="808080"/>
        </w:rPr>
        <w:t>-- Need R</w:t>
      </w:r>
    </w:p>
    <w:p w14:paraId="795709DB" w14:textId="77777777" w:rsidR="00394471" w:rsidRPr="00FA0D37" w:rsidRDefault="00394471" w:rsidP="00FA0D37">
      <w:pPr>
        <w:pStyle w:val="PL"/>
      </w:pPr>
      <w:r w:rsidRPr="00FA0D37">
        <w:t xml:space="preserve">    sl-ThresUE-Speed-r16             </w:t>
      </w:r>
      <w:r w:rsidRPr="00FA0D37">
        <w:rPr>
          <w:color w:val="993366"/>
        </w:rPr>
        <w:t>ENUMERATED</w:t>
      </w:r>
      <w:r w:rsidRPr="00FA0D37">
        <w:t xml:space="preserve"> {kmph60, kmph80, kmph100, kmph120,</w:t>
      </w:r>
    </w:p>
    <w:p w14:paraId="1B2200A9" w14:textId="77777777" w:rsidR="00394471" w:rsidRPr="00FA0D37" w:rsidRDefault="00394471" w:rsidP="00FA0D37">
      <w:pPr>
        <w:pStyle w:val="PL"/>
      </w:pPr>
      <w:r w:rsidRPr="00FA0D37">
        <w:t xml:space="preserve">                                                kmph140, kmph160, kmph180, kmph200},</w:t>
      </w:r>
    </w:p>
    <w:p w14:paraId="02800EAB" w14:textId="77777777" w:rsidR="00394471" w:rsidRPr="00FA0D37" w:rsidRDefault="00394471" w:rsidP="00FA0D37">
      <w:pPr>
        <w:pStyle w:val="PL"/>
      </w:pPr>
      <w:r w:rsidRPr="00FA0D37">
        <w:t xml:space="preserve">    sl-ParametersAboveThres-r16      SL-PSSCH-TxParameters-r16,</w:t>
      </w:r>
    </w:p>
    <w:p w14:paraId="05BF5D3D" w14:textId="77777777" w:rsidR="00394471" w:rsidRPr="00FA0D37" w:rsidRDefault="00394471" w:rsidP="00FA0D37">
      <w:pPr>
        <w:pStyle w:val="PL"/>
      </w:pPr>
      <w:r w:rsidRPr="00FA0D37">
        <w:t xml:space="preserve">    sl-ParametersBelowThres-r16      SL-PSSCH-TxParameters-r16,</w:t>
      </w:r>
    </w:p>
    <w:p w14:paraId="0E388EF0" w14:textId="1489FE56" w:rsidR="00FA1D56" w:rsidRPr="00FA0D37" w:rsidRDefault="00394471" w:rsidP="00FA0D37">
      <w:pPr>
        <w:pStyle w:val="PL"/>
      </w:pPr>
      <w:r w:rsidRPr="00FA0D37">
        <w:t xml:space="preserve">    ...</w:t>
      </w:r>
      <w:r w:rsidR="00FA1D56" w:rsidRPr="00FA0D37">
        <w:t>,</w:t>
      </w:r>
    </w:p>
    <w:p w14:paraId="2AD03460" w14:textId="50739887" w:rsidR="00FA1D56" w:rsidRPr="00FA0D37" w:rsidRDefault="00FA1D56" w:rsidP="00FA0D37">
      <w:pPr>
        <w:pStyle w:val="PL"/>
      </w:pPr>
      <w:r w:rsidRPr="00FA0D37">
        <w:lastRenderedPageBreak/>
        <w:t xml:space="preserve">    [[</w:t>
      </w:r>
    </w:p>
    <w:p w14:paraId="107620A4" w14:textId="5C212139" w:rsidR="00FA1D56" w:rsidRPr="00FA0D37" w:rsidRDefault="00FA1D56" w:rsidP="00FA0D37">
      <w:pPr>
        <w:pStyle w:val="PL"/>
        <w:rPr>
          <w:color w:val="808080"/>
        </w:rPr>
      </w:pPr>
      <w:r w:rsidRPr="00FA0D37">
        <w:t xml:space="preserve">    sl-ParametersAboveThres-v16</w:t>
      </w:r>
      <w:r w:rsidR="001F631E" w:rsidRPr="00FA0D37">
        <w:t>50</w:t>
      </w:r>
      <w:r w:rsidRPr="00FA0D37">
        <w:t xml:space="preserve">    SL-MinMaxMCS-List-r16                               </w:t>
      </w:r>
      <w:r w:rsidRPr="00FA0D37">
        <w:rPr>
          <w:color w:val="993366"/>
        </w:rPr>
        <w:t>OPTIONAL</w:t>
      </w:r>
      <w:r w:rsidRPr="00FA0D37">
        <w:t xml:space="preserve">,    </w:t>
      </w:r>
      <w:r w:rsidRPr="00FA0D37">
        <w:rPr>
          <w:color w:val="808080"/>
        </w:rPr>
        <w:t>-- Need R</w:t>
      </w:r>
    </w:p>
    <w:p w14:paraId="1ECEFE49" w14:textId="592C4D06" w:rsidR="00FA1D56" w:rsidRPr="00FA0D37" w:rsidRDefault="00FA1D56" w:rsidP="00FA0D37">
      <w:pPr>
        <w:pStyle w:val="PL"/>
        <w:rPr>
          <w:color w:val="808080"/>
        </w:rPr>
      </w:pPr>
      <w:r w:rsidRPr="00FA0D37">
        <w:t xml:space="preserve">    sl-ParametersBelowThres-v16</w:t>
      </w:r>
      <w:r w:rsidR="001F631E" w:rsidRPr="00FA0D37">
        <w:t>50</w:t>
      </w:r>
      <w:r w:rsidRPr="00FA0D37">
        <w:t xml:space="preserve">    SL-MinMaxMCS-List-r16                               </w:t>
      </w:r>
      <w:r w:rsidRPr="00FA0D37">
        <w:rPr>
          <w:color w:val="993366"/>
        </w:rPr>
        <w:t>OPTIONAL</w:t>
      </w:r>
      <w:r w:rsidR="005146CB" w:rsidRPr="00FA0D37">
        <w:t xml:space="preserve"> </w:t>
      </w:r>
      <w:r w:rsidRPr="00FA0D37">
        <w:t xml:space="preserve">    </w:t>
      </w:r>
      <w:r w:rsidRPr="00FA0D37">
        <w:rPr>
          <w:color w:val="808080"/>
        </w:rPr>
        <w:t>-- Need R</w:t>
      </w:r>
    </w:p>
    <w:p w14:paraId="19689999" w14:textId="1A1C2A38" w:rsidR="00394471" w:rsidRPr="00FA0D37" w:rsidRDefault="00FA1D56" w:rsidP="00FA0D37">
      <w:pPr>
        <w:pStyle w:val="PL"/>
      </w:pPr>
      <w:r w:rsidRPr="00FA0D37">
        <w:t xml:space="preserve">    ]]</w:t>
      </w:r>
    </w:p>
    <w:p w14:paraId="5CD94209" w14:textId="77777777" w:rsidR="00394471" w:rsidRPr="00FA0D37" w:rsidRDefault="00394471" w:rsidP="00FA0D37">
      <w:pPr>
        <w:pStyle w:val="PL"/>
      </w:pPr>
      <w:r w:rsidRPr="00FA0D37">
        <w:t>}</w:t>
      </w:r>
    </w:p>
    <w:p w14:paraId="15C73E75" w14:textId="77777777" w:rsidR="00394471" w:rsidRPr="00FA0D37" w:rsidRDefault="00394471" w:rsidP="00FA0D37">
      <w:pPr>
        <w:pStyle w:val="PL"/>
      </w:pPr>
    </w:p>
    <w:p w14:paraId="17B3CEF2" w14:textId="77777777" w:rsidR="00394471" w:rsidRPr="00FA0D37" w:rsidRDefault="00394471" w:rsidP="00FA0D37">
      <w:pPr>
        <w:pStyle w:val="PL"/>
      </w:pPr>
    </w:p>
    <w:p w14:paraId="6816D57B" w14:textId="77777777" w:rsidR="00394471" w:rsidRPr="00FA0D37" w:rsidRDefault="00394471" w:rsidP="00FA0D37">
      <w:pPr>
        <w:pStyle w:val="PL"/>
      </w:pPr>
      <w:r w:rsidRPr="00FA0D37">
        <w:t xml:space="preserve">SL-PSSCH-TxParameters-r16 ::=    </w:t>
      </w:r>
      <w:r w:rsidRPr="00FA0D37">
        <w:rPr>
          <w:color w:val="993366"/>
        </w:rPr>
        <w:t>SEQUENCE</w:t>
      </w:r>
      <w:r w:rsidRPr="00FA0D37">
        <w:t xml:space="preserve"> {</w:t>
      </w:r>
    </w:p>
    <w:p w14:paraId="4F08B908" w14:textId="77777777" w:rsidR="00394471" w:rsidRPr="00FA0D37" w:rsidRDefault="00394471" w:rsidP="00FA0D37">
      <w:pPr>
        <w:pStyle w:val="PL"/>
      </w:pPr>
      <w:r w:rsidRPr="00FA0D37">
        <w:t xml:space="preserve">    sl-MinMCS-PSSCH-r16              </w:t>
      </w:r>
      <w:r w:rsidRPr="00FA0D37">
        <w:rPr>
          <w:color w:val="993366"/>
        </w:rPr>
        <w:t>INTEGER</w:t>
      </w:r>
      <w:r w:rsidRPr="00FA0D37">
        <w:t xml:space="preserve"> (0..27),</w:t>
      </w:r>
    </w:p>
    <w:p w14:paraId="1CAF5095" w14:textId="77777777" w:rsidR="00394471" w:rsidRPr="00FA0D37" w:rsidRDefault="00394471" w:rsidP="00FA0D37">
      <w:pPr>
        <w:pStyle w:val="PL"/>
      </w:pPr>
      <w:r w:rsidRPr="00FA0D37">
        <w:t xml:space="preserve">    sl-MaxMCS-PSSCH-r16              </w:t>
      </w:r>
      <w:r w:rsidRPr="00FA0D37">
        <w:rPr>
          <w:color w:val="993366"/>
        </w:rPr>
        <w:t>INTEGER</w:t>
      </w:r>
      <w:r w:rsidRPr="00FA0D37">
        <w:t xml:space="preserve"> (0..31),</w:t>
      </w:r>
    </w:p>
    <w:p w14:paraId="0CB33475" w14:textId="77777777" w:rsidR="00394471" w:rsidRPr="00FA0D37" w:rsidRDefault="00394471" w:rsidP="00FA0D37">
      <w:pPr>
        <w:pStyle w:val="PL"/>
      </w:pPr>
      <w:r w:rsidRPr="00FA0D37">
        <w:t xml:space="preserve">    sl-MinSubChannelNumPSSCH-r16     </w:t>
      </w:r>
      <w:r w:rsidRPr="00FA0D37">
        <w:rPr>
          <w:color w:val="993366"/>
        </w:rPr>
        <w:t>INTEGER</w:t>
      </w:r>
      <w:r w:rsidRPr="00FA0D37">
        <w:t xml:space="preserve"> (1..27),</w:t>
      </w:r>
    </w:p>
    <w:p w14:paraId="51F01530" w14:textId="77777777" w:rsidR="00394471" w:rsidRPr="00FA0D37" w:rsidRDefault="00394471" w:rsidP="00FA0D37">
      <w:pPr>
        <w:pStyle w:val="PL"/>
      </w:pPr>
      <w:r w:rsidRPr="00FA0D37">
        <w:t xml:space="preserve">    sl-MaxSubchannelNumPSSCH-r16     </w:t>
      </w:r>
      <w:r w:rsidRPr="00FA0D37">
        <w:rPr>
          <w:color w:val="993366"/>
        </w:rPr>
        <w:t>INTEGER</w:t>
      </w:r>
      <w:r w:rsidRPr="00FA0D37">
        <w:t xml:space="preserve"> (1..27),</w:t>
      </w:r>
    </w:p>
    <w:p w14:paraId="0269C47C" w14:textId="77777777" w:rsidR="00394471" w:rsidRPr="00FA0D37" w:rsidRDefault="00394471" w:rsidP="00FA0D37">
      <w:pPr>
        <w:pStyle w:val="PL"/>
      </w:pPr>
      <w:r w:rsidRPr="00FA0D37">
        <w:t xml:space="preserve">    sl-MaxTxTransNumPSSCH-r16        </w:t>
      </w:r>
      <w:r w:rsidRPr="00FA0D37">
        <w:rPr>
          <w:color w:val="993366"/>
        </w:rPr>
        <w:t>INTEGER</w:t>
      </w:r>
      <w:r w:rsidRPr="00FA0D37">
        <w:t xml:space="preserve"> (1..32),</w:t>
      </w:r>
    </w:p>
    <w:p w14:paraId="2EA367B2" w14:textId="77777777" w:rsidR="00394471" w:rsidRPr="00FA0D37" w:rsidRDefault="00394471" w:rsidP="00FA0D37">
      <w:pPr>
        <w:pStyle w:val="PL"/>
        <w:rPr>
          <w:color w:val="808080"/>
        </w:rPr>
      </w:pPr>
      <w:r w:rsidRPr="00FA0D37">
        <w:t xml:space="preserve">    sl-MaxTxPower-r16                SL-TxPower-r16                                      </w:t>
      </w:r>
      <w:r w:rsidRPr="00FA0D37">
        <w:rPr>
          <w:color w:val="993366"/>
        </w:rPr>
        <w:t>OPTIONAL</w:t>
      </w:r>
      <w:r w:rsidRPr="00FA0D37">
        <w:t xml:space="preserve">    </w:t>
      </w:r>
      <w:r w:rsidRPr="00FA0D37">
        <w:rPr>
          <w:color w:val="808080"/>
        </w:rPr>
        <w:t>-- Cond CBR</w:t>
      </w:r>
    </w:p>
    <w:p w14:paraId="4DCDD64E" w14:textId="77777777" w:rsidR="00394471" w:rsidRPr="00FA0D37" w:rsidRDefault="00394471" w:rsidP="00FA0D37">
      <w:pPr>
        <w:pStyle w:val="PL"/>
      </w:pPr>
      <w:r w:rsidRPr="00FA0D37">
        <w:t>}</w:t>
      </w:r>
    </w:p>
    <w:p w14:paraId="6CA3597B" w14:textId="77777777" w:rsidR="00394471" w:rsidRPr="00FA0D37" w:rsidRDefault="00394471" w:rsidP="00FA0D37">
      <w:pPr>
        <w:pStyle w:val="PL"/>
      </w:pPr>
    </w:p>
    <w:p w14:paraId="51ACBA25" w14:textId="77777777" w:rsidR="00394471" w:rsidRPr="00FA0D37" w:rsidRDefault="00394471" w:rsidP="00FA0D37">
      <w:pPr>
        <w:pStyle w:val="PL"/>
        <w:rPr>
          <w:color w:val="808080"/>
        </w:rPr>
      </w:pPr>
      <w:r w:rsidRPr="00FA0D37">
        <w:rPr>
          <w:color w:val="808080"/>
        </w:rPr>
        <w:t>-- TAG-SL-PSSCH-TXCONFIGLIST-STOP</w:t>
      </w:r>
    </w:p>
    <w:p w14:paraId="6A6DFE06" w14:textId="77777777" w:rsidR="00394471" w:rsidRPr="00FA0D37" w:rsidRDefault="00394471" w:rsidP="00FA0D37">
      <w:pPr>
        <w:pStyle w:val="PL"/>
        <w:rPr>
          <w:color w:val="808080"/>
        </w:rPr>
      </w:pPr>
      <w:r w:rsidRPr="00FA0D37">
        <w:rPr>
          <w:color w:val="808080"/>
        </w:rPr>
        <w:t>-- ASN1STOP</w:t>
      </w:r>
    </w:p>
    <w:p w14:paraId="18B70B31"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2CAF824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1351691" w14:textId="77777777" w:rsidR="00394471" w:rsidRPr="00FA0D37" w:rsidRDefault="00394471" w:rsidP="00964CC4">
            <w:pPr>
              <w:pStyle w:val="TAH"/>
              <w:rPr>
                <w:lang w:eastAsia="en-GB"/>
              </w:rPr>
            </w:pPr>
            <w:r w:rsidRPr="00FA0D37">
              <w:rPr>
                <w:i/>
                <w:iCs/>
                <w:noProof/>
                <w:lang w:eastAsia="en-GB"/>
              </w:rPr>
              <w:t>SL-PSSCH-TxConfigList</w:t>
            </w:r>
            <w:r w:rsidRPr="00FA0D37">
              <w:rPr>
                <w:noProof/>
                <w:lang w:eastAsia="en-GB"/>
              </w:rPr>
              <w:t xml:space="preserve"> </w:t>
            </w:r>
            <w:r w:rsidRPr="00FA0D37">
              <w:rPr>
                <w:iCs/>
                <w:noProof/>
                <w:lang w:eastAsia="en-GB"/>
              </w:rPr>
              <w:t>field descriptions</w:t>
            </w:r>
          </w:p>
        </w:tc>
      </w:tr>
      <w:tr w:rsidR="005C7FF4" w:rsidRPr="00FA0D37" w14:paraId="072E3C2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424DFB0" w14:textId="77777777" w:rsidR="00394471" w:rsidRPr="00FA0D37" w:rsidRDefault="00394471" w:rsidP="00964CC4">
            <w:pPr>
              <w:pStyle w:val="TAL"/>
              <w:rPr>
                <w:rFonts w:eastAsia="等线"/>
                <w:b/>
                <w:bCs/>
                <w:i/>
                <w:iCs/>
                <w:lang w:eastAsia="zh-CN"/>
              </w:rPr>
            </w:pPr>
            <w:r w:rsidRPr="00FA0D37">
              <w:rPr>
                <w:rFonts w:eastAsia="等线"/>
                <w:b/>
                <w:bCs/>
                <w:i/>
                <w:iCs/>
                <w:lang w:eastAsia="zh-CN"/>
              </w:rPr>
              <w:t>sl-MaxTxTransNumPSSCH</w:t>
            </w:r>
          </w:p>
          <w:p w14:paraId="75A6483D" w14:textId="77777777" w:rsidR="00394471" w:rsidRPr="00FA0D37" w:rsidRDefault="00394471" w:rsidP="00964CC4">
            <w:pPr>
              <w:pStyle w:val="TAL"/>
              <w:rPr>
                <w:rFonts w:cs="Arial"/>
                <w:lang w:eastAsia="en-GB"/>
              </w:rPr>
            </w:pPr>
            <w:r w:rsidRPr="00FA0D37">
              <w:rPr>
                <w:rFonts w:eastAsia="等线"/>
                <w:lang w:eastAsia="zh-CN"/>
              </w:rPr>
              <w:t>Indicates the maximum transmission number (including new transmission and retransmission) for PSSCH.</w:t>
            </w:r>
          </w:p>
        </w:tc>
      </w:tr>
      <w:tr w:rsidR="005C7FF4" w:rsidRPr="00FA0D37" w14:paraId="18471F8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3C77978" w14:textId="77777777" w:rsidR="00394471" w:rsidRPr="00FA0D37" w:rsidRDefault="00394471" w:rsidP="00964CC4">
            <w:pPr>
              <w:pStyle w:val="TAL"/>
              <w:rPr>
                <w:rFonts w:eastAsia="等线"/>
                <w:b/>
                <w:bCs/>
                <w:i/>
                <w:iCs/>
                <w:lang w:eastAsia="zh-CN"/>
              </w:rPr>
            </w:pPr>
            <w:r w:rsidRPr="00FA0D37">
              <w:rPr>
                <w:rFonts w:eastAsia="等线"/>
                <w:b/>
                <w:bCs/>
                <w:i/>
                <w:iCs/>
                <w:lang w:eastAsia="zh-CN"/>
              </w:rPr>
              <w:t>sl-MaxTxPower</w:t>
            </w:r>
          </w:p>
          <w:p w14:paraId="668BB261" w14:textId="6C5968AD" w:rsidR="00394471" w:rsidRPr="00FA0D37" w:rsidRDefault="00394471" w:rsidP="00964CC4">
            <w:pPr>
              <w:pStyle w:val="TAL"/>
              <w:rPr>
                <w:rFonts w:eastAsia="等线"/>
                <w:lang w:eastAsia="zh-CN"/>
              </w:rPr>
            </w:pPr>
            <w:r w:rsidRPr="00FA0D37">
              <w:rPr>
                <w:rFonts w:eastAsia="等线"/>
                <w:lang w:eastAsia="zh-CN"/>
              </w:rPr>
              <w:t xml:space="preserve">This </w:t>
            </w:r>
            <w:r w:rsidR="008D2002" w:rsidRPr="00FA0D37">
              <w:rPr>
                <w:rFonts w:eastAsia="等线" w:cs="Arial"/>
                <w:lang w:eastAsia="zh-CN"/>
              </w:rPr>
              <w:t xml:space="preserve">field </w:t>
            </w:r>
            <w:r w:rsidRPr="00FA0D37">
              <w:rPr>
                <w:rFonts w:eastAsia="等线"/>
                <w:lang w:eastAsia="zh-CN"/>
              </w:rPr>
              <w:t>indicates the maximum transmission power for transmission on PSSCH and PSCCH</w:t>
            </w:r>
            <w:r w:rsidRPr="00FA0D37">
              <w:rPr>
                <w:iCs/>
                <w:lang w:eastAsia="sv-SE"/>
              </w:rPr>
              <w:t>.</w:t>
            </w:r>
          </w:p>
        </w:tc>
      </w:tr>
      <w:tr w:rsidR="005C7FF4" w:rsidRPr="00FA0D37" w14:paraId="34992EF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B90AA1F" w14:textId="77777777" w:rsidR="00394471" w:rsidRPr="00FA0D37" w:rsidRDefault="00394471" w:rsidP="00964CC4">
            <w:pPr>
              <w:pStyle w:val="TAL"/>
              <w:rPr>
                <w:rFonts w:cs="Arial"/>
                <w:b/>
                <w:bCs/>
                <w:i/>
                <w:iCs/>
                <w:lang w:eastAsia="en-GB"/>
              </w:rPr>
            </w:pPr>
            <w:r w:rsidRPr="00FA0D37">
              <w:rPr>
                <w:rFonts w:cs="Arial"/>
                <w:b/>
                <w:bCs/>
                <w:i/>
                <w:iCs/>
                <w:lang w:eastAsia="en-GB"/>
              </w:rPr>
              <w:t>sl-MinMCS-PSSCH, sl-MaxMCS-PSSCH</w:t>
            </w:r>
          </w:p>
          <w:p w14:paraId="77DB56AD" w14:textId="027113D7" w:rsidR="00394471" w:rsidRPr="00FA0D37" w:rsidRDefault="00394471" w:rsidP="00964CC4">
            <w:pPr>
              <w:pStyle w:val="TAL"/>
              <w:rPr>
                <w:rFonts w:cs="Arial"/>
                <w:lang w:eastAsia="en-GB"/>
              </w:rPr>
            </w:pPr>
            <w:r w:rsidRPr="00FA0D37">
              <w:rPr>
                <w:rFonts w:eastAsia="等线" w:cs="Arial"/>
                <w:lang w:eastAsia="zh-CN"/>
              </w:rPr>
              <w:t>This field indicates the minimum and maximum MCS values used for transmissions on PSSCH.</w:t>
            </w:r>
            <w:r w:rsidR="005146CB" w:rsidRPr="00FA0D37">
              <w:rPr>
                <w:rFonts w:cs="Arial"/>
                <w:bCs/>
                <w:kern w:val="2"/>
                <w:lang w:eastAsia="en-GB"/>
              </w:rPr>
              <w:t xml:space="preserve"> The UE shall ignore the </w:t>
            </w:r>
            <w:r w:rsidR="005146CB" w:rsidRPr="00FA0D37">
              <w:rPr>
                <w:rFonts w:eastAsia="等线" w:cs="Arial"/>
                <w:lang w:eastAsia="zh-CN"/>
              </w:rPr>
              <w:t xml:space="preserve">minimum and maximum MCS values used for the associated MCS </w:t>
            </w:r>
            <w:r w:rsidR="005146CB" w:rsidRPr="00FA0D37">
              <w:rPr>
                <w:rFonts w:cs="Arial"/>
                <w:bCs/>
                <w:kern w:val="2"/>
                <w:lang w:eastAsia="en-GB"/>
              </w:rPr>
              <w:t>table(s)</w:t>
            </w:r>
            <w:r w:rsidR="005146CB" w:rsidRPr="00FA0D37">
              <w:rPr>
                <w:rFonts w:eastAsia="等线" w:cs="Arial"/>
                <w:lang w:eastAsia="zh-CN"/>
              </w:rPr>
              <w:t xml:space="preserve"> </w:t>
            </w:r>
            <w:r w:rsidR="005146CB" w:rsidRPr="00FA0D37">
              <w:rPr>
                <w:rFonts w:cs="Arial"/>
                <w:bCs/>
                <w:kern w:val="2"/>
                <w:lang w:eastAsia="en-GB"/>
              </w:rPr>
              <w:t>in</w:t>
            </w:r>
            <w:r w:rsidR="005146CB" w:rsidRPr="00FA0D37">
              <w:rPr>
                <w:rFonts w:eastAsia="等线" w:cs="Arial"/>
                <w:i/>
                <w:lang w:eastAsia="zh-CN"/>
              </w:rPr>
              <w:t xml:space="preserve"> sl-ParametersAboveThres-r16</w:t>
            </w:r>
            <w:r w:rsidR="005146CB" w:rsidRPr="00FA0D37">
              <w:rPr>
                <w:rFonts w:eastAsia="等线" w:cs="Arial"/>
                <w:lang w:eastAsia="zh-CN"/>
              </w:rPr>
              <w:t xml:space="preserve"> and </w:t>
            </w:r>
            <w:r w:rsidR="005146CB" w:rsidRPr="00FA0D37">
              <w:rPr>
                <w:rFonts w:eastAsia="等线" w:cs="Arial"/>
                <w:i/>
                <w:lang w:eastAsia="zh-CN"/>
              </w:rPr>
              <w:t>sl-ParametersBelowThres-r16</w:t>
            </w:r>
            <w:r w:rsidR="005146CB" w:rsidRPr="00FA0D37">
              <w:rPr>
                <w:rFonts w:cs="Arial"/>
                <w:bCs/>
                <w:kern w:val="2"/>
                <w:lang w:eastAsia="en-GB"/>
              </w:rPr>
              <w:t xml:space="preserve"> if </w:t>
            </w:r>
            <w:r w:rsidR="005146CB" w:rsidRPr="00FA0D37">
              <w:rPr>
                <w:rFonts w:eastAsia="等线" w:cs="Arial"/>
                <w:i/>
                <w:lang w:eastAsia="zh-CN"/>
              </w:rPr>
              <w:t>sl-ParametersAboveThres-v16</w:t>
            </w:r>
            <w:r w:rsidR="001F631E" w:rsidRPr="00FA0D37">
              <w:rPr>
                <w:rFonts w:eastAsia="等线" w:cs="Arial"/>
                <w:i/>
                <w:lang w:eastAsia="zh-CN"/>
              </w:rPr>
              <w:t>50</w:t>
            </w:r>
            <w:r w:rsidR="005146CB" w:rsidRPr="00FA0D37">
              <w:rPr>
                <w:rFonts w:eastAsia="等线" w:cs="Arial"/>
                <w:lang w:eastAsia="zh-CN"/>
              </w:rPr>
              <w:t xml:space="preserve"> and </w:t>
            </w:r>
            <w:r w:rsidR="005146CB" w:rsidRPr="00FA0D37">
              <w:rPr>
                <w:rFonts w:eastAsia="等线" w:cs="Arial"/>
                <w:i/>
                <w:lang w:eastAsia="zh-CN"/>
              </w:rPr>
              <w:t>sl-ParametersBelowThres-v16</w:t>
            </w:r>
            <w:r w:rsidR="001F631E" w:rsidRPr="00FA0D37">
              <w:rPr>
                <w:rFonts w:eastAsia="等线" w:cs="Arial"/>
                <w:i/>
                <w:lang w:eastAsia="zh-CN"/>
              </w:rPr>
              <w:t>50</w:t>
            </w:r>
            <w:r w:rsidR="005146CB" w:rsidRPr="00FA0D37">
              <w:rPr>
                <w:rFonts w:eastAsia="等线" w:cs="Arial"/>
                <w:b/>
                <w:lang w:eastAsia="zh-CN"/>
              </w:rPr>
              <w:t xml:space="preserve"> </w:t>
            </w:r>
            <w:r w:rsidR="005146CB" w:rsidRPr="00FA0D37">
              <w:rPr>
                <w:rFonts w:eastAsia="等线" w:cs="Arial"/>
                <w:lang w:eastAsia="zh-CN"/>
              </w:rPr>
              <w:t>are present, respectively.</w:t>
            </w:r>
          </w:p>
        </w:tc>
      </w:tr>
      <w:tr w:rsidR="005C7FF4" w:rsidRPr="00FA0D37" w14:paraId="384AEF7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AADCBE" w14:textId="77777777" w:rsidR="00394471" w:rsidRPr="00FA0D37" w:rsidRDefault="00394471" w:rsidP="00964CC4">
            <w:pPr>
              <w:pStyle w:val="TAL"/>
              <w:rPr>
                <w:rFonts w:cs="Arial"/>
                <w:b/>
                <w:bCs/>
                <w:i/>
                <w:iCs/>
                <w:lang w:eastAsia="en-GB"/>
              </w:rPr>
            </w:pPr>
            <w:r w:rsidRPr="00FA0D37">
              <w:rPr>
                <w:rFonts w:cs="Arial"/>
                <w:b/>
                <w:bCs/>
                <w:i/>
                <w:iCs/>
                <w:lang w:eastAsia="en-GB"/>
              </w:rPr>
              <w:t>sl-MinSubChannelNumPSSCH, sl-MaxSubChannelNumPSSCH</w:t>
            </w:r>
          </w:p>
          <w:p w14:paraId="7CE35543" w14:textId="77777777" w:rsidR="00394471" w:rsidRPr="00FA0D37" w:rsidRDefault="00394471" w:rsidP="00964CC4">
            <w:pPr>
              <w:pStyle w:val="TAL"/>
              <w:rPr>
                <w:rFonts w:cs="Arial"/>
                <w:lang w:eastAsia="en-GB"/>
              </w:rPr>
            </w:pPr>
            <w:r w:rsidRPr="00FA0D37">
              <w:rPr>
                <w:rFonts w:eastAsia="等线" w:cs="Arial"/>
                <w:lang w:eastAsia="zh-CN"/>
              </w:rPr>
              <w:t>This field indicates the minimum and maximum number of sub-channels which may be used for transmissions on PSSCH.</w:t>
            </w:r>
          </w:p>
        </w:tc>
      </w:tr>
      <w:tr w:rsidR="005C7FF4" w:rsidRPr="00FA0D37" w14:paraId="390021C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DD07E85" w14:textId="77777777" w:rsidR="00394471" w:rsidRPr="00FA0D37" w:rsidRDefault="00394471" w:rsidP="00964CC4">
            <w:pPr>
              <w:pStyle w:val="TAL"/>
              <w:rPr>
                <w:rFonts w:eastAsia="等线"/>
                <w:b/>
                <w:bCs/>
                <w:i/>
                <w:iCs/>
                <w:lang w:eastAsia="zh-CN"/>
              </w:rPr>
            </w:pPr>
            <w:r w:rsidRPr="00FA0D37">
              <w:rPr>
                <w:rFonts w:eastAsia="等线"/>
                <w:b/>
                <w:bCs/>
                <w:i/>
                <w:iCs/>
                <w:lang w:eastAsia="zh-CN"/>
              </w:rPr>
              <w:t>sl-TypeTxSync</w:t>
            </w:r>
          </w:p>
          <w:p w14:paraId="32927E32" w14:textId="66621EAF" w:rsidR="00394471" w:rsidRPr="00FA0D37" w:rsidRDefault="00394471" w:rsidP="00964CC4">
            <w:pPr>
              <w:pStyle w:val="TAL"/>
              <w:rPr>
                <w:rFonts w:cs="Arial"/>
                <w:lang w:eastAsia="en-GB"/>
              </w:rPr>
            </w:pPr>
            <w:r w:rsidRPr="00FA0D37">
              <w:rPr>
                <w:rFonts w:eastAsia="等线"/>
                <w:lang w:eastAsia="zh-CN"/>
              </w:rPr>
              <w:t xml:space="preserve">This </w:t>
            </w:r>
            <w:r w:rsidR="008D2002" w:rsidRPr="00FA0D37">
              <w:rPr>
                <w:rFonts w:eastAsia="等线" w:cs="Arial"/>
                <w:lang w:eastAsia="zh-CN"/>
              </w:rPr>
              <w:t xml:space="preserve">field </w:t>
            </w:r>
            <w:r w:rsidRPr="00FA0D37">
              <w:rPr>
                <w:rFonts w:eastAsia="等线"/>
                <w:lang w:eastAsia="zh-CN"/>
              </w:rPr>
              <w:t>indicates the synchronization reference type</w:t>
            </w:r>
            <w:r w:rsidRPr="00FA0D37">
              <w:rPr>
                <w:iCs/>
                <w:lang w:eastAsia="sv-SE"/>
              </w:rPr>
              <w:t xml:space="preserve">. </w:t>
            </w:r>
            <w:r w:rsidRPr="00FA0D37">
              <w:rPr>
                <w:rFonts w:cs="Arial"/>
                <w:lang w:eastAsia="zh-CN"/>
              </w:rPr>
              <w:t xml:space="preserve">For configurations by the eNB/gNB, only </w:t>
            </w:r>
            <w:r w:rsidRPr="00FA0D37">
              <w:rPr>
                <w:rFonts w:cs="Arial"/>
                <w:i/>
                <w:iCs/>
                <w:lang w:eastAsia="zh-CN"/>
              </w:rPr>
              <w:t>gnbEnb</w:t>
            </w:r>
            <w:r w:rsidRPr="00FA0D37">
              <w:rPr>
                <w:rFonts w:cs="Arial"/>
                <w:lang w:eastAsia="zh-CN"/>
              </w:rPr>
              <w:t xml:space="preserve"> can be configured; and for pre-configuration or when this </w:t>
            </w:r>
            <w:r w:rsidR="008D2002" w:rsidRPr="00FA0D37">
              <w:rPr>
                <w:rFonts w:eastAsia="等线" w:cs="Arial"/>
                <w:lang w:eastAsia="zh-CN"/>
              </w:rPr>
              <w:t xml:space="preserve">field </w:t>
            </w:r>
            <w:r w:rsidRPr="00FA0D37">
              <w:rPr>
                <w:rFonts w:cs="Arial"/>
                <w:lang w:eastAsia="zh-CN"/>
              </w:rPr>
              <w:t xml:space="preserve">is absent, the configuration is applicable for all synchronization reference types. </w:t>
            </w:r>
          </w:p>
        </w:tc>
      </w:tr>
      <w:tr w:rsidR="00375B89" w:rsidRPr="00FA0D37" w14:paraId="765943C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51B9791" w14:textId="77777777" w:rsidR="00394471" w:rsidRPr="00FA0D37" w:rsidRDefault="00394471" w:rsidP="00964CC4">
            <w:pPr>
              <w:pStyle w:val="TAL"/>
              <w:rPr>
                <w:rFonts w:eastAsia="等线"/>
                <w:b/>
                <w:bCs/>
                <w:i/>
                <w:iCs/>
                <w:lang w:eastAsia="zh-CN"/>
              </w:rPr>
            </w:pPr>
            <w:r w:rsidRPr="00FA0D37">
              <w:rPr>
                <w:rFonts w:eastAsia="等线"/>
                <w:b/>
                <w:bCs/>
                <w:i/>
                <w:iCs/>
                <w:lang w:eastAsia="zh-CN"/>
              </w:rPr>
              <w:t>sl-ThresUE-Speed</w:t>
            </w:r>
          </w:p>
          <w:p w14:paraId="1E928732" w14:textId="5D400F84" w:rsidR="00394471" w:rsidRPr="00FA0D37" w:rsidRDefault="00394471" w:rsidP="00964CC4">
            <w:pPr>
              <w:pStyle w:val="TAL"/>
              <w:rPr>
                <w:rFonts w:eastAsia="等线"/>
                <w:lang w:eastAsia="zh-CN"/>
              </w:rPr>
            </w:pPr>
            <w:r w:rsidRPr="00FA0D37">
              <w:rPr>
                <w:rFonts w:eastAsia="等线"/>
                <w:lang w:eastAsia="zh-CN"/>
              </w:rPr>
              <w:t xml:space="preserve">This </w:t>
            </w:r>
            <w:r w:rsidR="008D2002" w:rsidRPr="00FA0D37">
              <w:rPr>
                <w:rFonts w:eastAsia="等线" w:cs="Arial"/>
                <w:lang w:eastAsia="zh-CN"/>
              </w:rPr>
              <w:t xml:space="preserve">field </w:t>
            </w:r>
            <w:r w:rsidRPr="00FA0D37">
              <w:rPr>
                <w:rFonts w:eastAsia="等线"/>
                <w:lang w:eastAsia="zh-CN"/>
              </w:rPr>
              <w:t>indicates a UE absolute speed threshold</w:t>
            </w:r>
            <w:r w:rsidRPr="00FA0D37">
              <w:rPr>
                <w:rFonts w:cs="Arial"/>
                <w:lang w:eastAsia="zh-CN"/>
              </w:rPr>
              <w:t>.</w:t>
            </w:r>
          </w:p>
        </w:tc>
      </w:tr>
    </w:tbl>
    <w:p w14:paraId="598944F6" w14:textId="77777777" w:rsidR="00394471" w:rsidRPr="00FA0D37"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5C7FF4" w:rsidRPr="00FA0D37" w14:paraId="510B228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2278955" w14:textId="77777777" w:rsidR="00394471" w:rsidRPr="00FA0D37" w:rsidRDefault="00394471" w:rsidP="00964CC4">
            <w:pPr>
              <w:pStyle w:val="TAH"/>
              <w:rPr>
                <w:b w:val="0"/>
                <w:lang w:eastAsia="sv-SE"/>
              </w:rPr>
            </w:pPr>
            <w:r w:rsidRPr="00FA0D3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1CC2DF0" w14:textId="77777777" w:rsidR="00394471" w:rsidRPr="00FA0D37" w:rsidRDefault="00394471" w:rsidP="00964CC4">
            <w:pPr>
              <w:pStyle w:val="TAH"/>
              <w:rPr>
                <w:lang w:eastAsia="sv-SE"/>
              </w:rPr>
            </w:pPr>
            <w:r w:rsidRPr="00FA0D37">
              <w:rPr>
                <w:lang w:eastAsia="sv-SE"/>
              </w:rPr>
              <w:t>Explanation</w:t>
            </w:r>
          </w:p>
        </w:tc>
      </w:tr>
      <w:tr w:rsidR="00375B89" w:rsidRPr="00FA0D37" w14:paraId="10A12DE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8C427" w14:textId="77777777" w:rsidR="00394471" w:rsidRPr="00FA0D37" w:rsidRDefault="00394471" w:rsidP="00964CC4">
            <w:pPr>
              <w:pStyle w:val="TAL"/>
              <w:rPr>
                <w:i/>
                <w:iCs/>
                <w:lang w:eastAsia="sv-SE"/>
              </w:rPr>
            </w:pPr>
            <w:r w:rsidRPr="00FA0D37">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23C9D29A" w14:textId="036CA8DA" w:rsidR="00394471" w:rsidRPr="00FA0D37" w:rsidRDefault="00394471" w:rsidP="00964CC4">
            <w:pPr>
              <w:pStyle w:val="TAL"/>
              <w:rPr>
                <w:lang w:eastAsia="sv-SE"/>
              </w:rPr>
            </w:pPr>
            <w:r w:rsidRPr="00FA0D37">
              <w:rPr>
                <w:lang w:eastAsia="sv-SE"/>
              </w:rPr>
              <w:t xml:space="preserve">The field is </w:t>
            </w:r>
            <w:r w:rsidRPr="00FA0D37">
              <w:rPr>
                <w:rFonts w:cs="Arial"/>
              </w:rPr>
              <w:t>optional</w:t>
            </w:r>
            <w:r w:rsidRPr="00FA0D37">
              <w:rPr>
                <w:lang w:eastAsia="sv-SE"/>
              </w:rPr>
              <w:t xml:space="preserve">ly present, Need R, when </w:t>
            </w:r>
            <w:r w:rsidR="008D2002" w:rsidRPr="00FA0D37">
              <w:rPr>
                <w:rFonts w:cs="Arial"/>
                <w:lang w:eastAsia="sv-SE"/>
              </w:rPr>
              <w:t xml:space="preserve">the IE </w:t>
            </w:r>
            <w:r w:rsidR="008D2002" w:rsidRPr="00FA0D37">
              <w:rPr>
                <w:rFonts w:cs="Arial"/>
                <w:i/>
                <w:lang w:eastAsia="sv-SE"/>
              </w:rPr>
              <w:t>SL-PSSCH-TxParameters</w:t>
            </w:r>
            <w:r w:rsidR="008D2002" w:rsidRPr="00FA0D37">
              <w:rPr>
                <w:rFonts w:cs="Arial"/>
                <w:lang w:eastAsia="sv-SE"/>
              </w:rPr>
              <w:t xml:space="preserve"> is present </w:t>
            </w:r>
            <w:r w:rsidRPr="00FA0D37">
              <w:rPr>
                <w:rFonts w:cs="Arial"/>
              </w:rPr>
              <w:t xml:space="preserve">in </w:t>
            </w:r>
            <w:r w:rsidRPr="00FA0D37">
              <w:rPr>
                <w:rFonts w:cs="Arial"/>
                <w:i/>
              </w:rPr>
              <w:t>SL-CBR-CommonTxConfigList</w:t>
            </w:r>
            <w:r w:rsidR="008D2002" w:rsidRPr="00FA0D37">
              <w:rPr>
                <w:rFonts w:cs="Arial"/>
                <w:i/>
              </w:rPr>
              <w:t>,</w:t>
            </w:r>
            <w:r w:rsidRPr="00FA0D37">
              <w:rPr>
                <w:lang w:eastAsia="sv-SE"/>
              </w:rPr>
              <w:t xml:space="preserve"> </w:t>
            </w:r>
            <w:r w:rsidRPr="00FA0D37">
              <w:rPr>
                <w:i/>
                <w:iCs/>
                <w:lang w:eastAsia="sv-SE"/>
              </w:rPr>
              <w:t>SL-UE-SelectedConfig</w:t>
            </w:r>
            <w:r w:rsidR="008D2002" w:rsidRPr="00FA0D37">
              <w:rPr>
                <w:i/>
                <w:iCs/>
                <w:lang w:eastAsia="sv-SE"/>
              </w:rPr>
              <w:t>,</w:t>
            </w:r>
            <w:r w:rsidRPr="00FA0D37">
              <w:rPr>
                <w:lang w:eastAsia="sv-SE"/>
              </w:rPr>
              <w:t xml:space="preserve"> </w:t>
            </w:r>
            <w:r w:rsidRPr="00FA0D37">
              <w:rPr>
                <w:i/>
                <w:iCs/>
                <w:lang w:eastAsia="sv-SE"/>
              </w:rPr>
              <w:t>SIB12</w:t>
            </w:r>
            <w:r w:rsidRPr="00FA0D37">
              <w:rPr>
                <w:lang w:eastAsia="sv-SE"/>
              </w:rPr>
              <w:t xml:space="preserve"> or </w:t>
            </w:r>
            <w:r w:rsidRPr="00FA0D37">
              <w:rPr>
                <w:i/>
                <w:iCs/>
                <w:lang w:eastAsia="sv-SE"/>
              </w:rPr>
              <w:t>SidelinkPreconfigNR</w:t>
            </w:r>
            <w:r w:rsidRPr="00FA0D37">
              <w:rPr>
                <w:lang w:eastAsia="sv-SE"/>
              </w:rPr>
              <w:t>; otherwise the field is not present, need R.</w:t>
            </w:r>
          </w:p>
        </w:tc>
      </w:tr>
    </w:tbl>
    <w:p w14:paraId="126A7CC4" w14:textId="77777777" w:rsidR="00394471" w:rsidRPr="00FA0D37" w:rsidRDefault="00394471" w:rsidP="00394471">
      <w:pPr>
        <w:rPr>
          <w:rFonts w:eastAsia="Yu Mincho"/>
        </w:rPr>
      </w:pPr>
    </w:p>
    <w:p w14:paraId="1A412520" w14:textId="3768A52C" w:rsidR="00394471" w:rsidRPr="00FA0D37" w:rsidRDefault="00394471" w:rsidP="00394471">
      <w:pPr>
        <w:pStyle w:val="4"/>
      </w:pPr>
      <w:bookmarkStart w:id="1800" w:name="_Toc60777540"/>
      <w:bookmarkStart w:id="1801" w:name="_Toc146781663"/>
      <w:r w:rsidRPr="00FA0D37">
        <w:t>–</w:t>
      </w:r>
      <w:r w:rsidRPr="00FA0D37">
        <w:tab/>
      </w:r>
      <w:r w:rsidRPr="00FA0D37">
        <w:rPr>
          <w:i/>
          <w:iCs/>
        </w:rPr>
        <w:t>SL-QoS-FlowIdentity</w:t>
      </w:r>
      <w:bookmarkEnd w:id="1800"/>
      <w:bookmarkEnd w:id="1801"/>
    </w:p>
    <w:p w14:paraId="5039FFC3" w14:textId="77777777" w:rsidR="00394471" w:rsidRPr="00FA0D37" w:rsidRDefault="00394471" w:rsidP="00394471">
      <w:r w:rsidRPr="00FA0D37">
        <w:t xml:space="preserve">The IE </w:t>
      </w:r>
      <w:r w:rsidRPr="00FA0D37">
        <w:rPr>
          <w:i/>
        </w:rPr>
        <w:t xml:space="preserve">SL-QoS-FlowIdentity </w:t>
      </w:r>
      <w:r w:rsidRPr="00FA0D37">
        <w:t>is used to identify a sidelink QoS flow.</w:t>
      </w:r>
    </w:p>
    <w:p w14:paraId="5C15AC16" w14:textId="77777777" w:rsidR="00394471" w:rsidRPr="00FA0D37" w:rsidRDefault="00394471" w:rsidP="00394471">
      <w:pPr>
        <w:pStyle w:val="TH"/>
        <w:rPr>
          <w:b w:val="0"/>
        </w:rPr>
      </w:pPr>
      <w:r w:rsidRPr="00FA0D37">
        <w:rPr>
          <w:i/>
          <w:iCs/>
        </w:rPr>
        <w:lastRenderedPageBreak/>
        <w:t>SL-QoS-FlowIdentity</w:t>
      </w:r>
      <w:r w:rsidRPr="00FA0D37">
        <w:t xml:space="preserve"> information element</w:t>
      </w:r>
    </w:p>
    <w:p w14:paraId="4677B670" w14:textId="77777777" w:rsidR="00394471" w:rsidRPr="00FA0D37" w:rsidRDefault="00394471" w:rsidP="00FA0D37">
      <w:pPr>
        <w:pStyle w:val="PL"/>
        <w:rPr>
          <w:color w:val="808080"/>
        </w:rPr>
      </w:pPr>
      <w:r w:rsidRPr="00FA0D37">
        <w:rPr>
          <w:color w:val="808080"/>
        </w:rPr>
        <w:t>-- ASN1START</w:t>
      </w:r>
    </w:p>
    <w:p w14:paraId="799EB67C" w14:textId="77777777" w:rsidR="00394471" w:rsidRPr="00FA0D37" w:rsidRDefault="00394471" w:rsidP="00FA0D37">
      <w:pPr>
        <w:pStyle w:val="PL"/>
        <w:rPr>
          <w:color w:val="808080"/>
        </w:rPr>
      </w:pPr>
      <w:r w:rsidRPr="00FA0D37">
        <w:rPr>
          <w:color w:val="808080"/>
        </w:rPr>
        <w:t>-- TAG-SL-QOS-FLOWIDENTITY-START</w:t>
      </w:r>
    </w:p>
    <w:p w14:paraId="58CB9E0B" w14:textId="77777777" w:rsidR="00394471" w:rsidRPr="00FA0D37" w:rsidRDefault="00394471" w:rsidP="00FA0D37">
      <w:pPr>
        <w:pStyle w:val="PL"/>
      </w:pPr>
    </w:p>
    <w:p w14:paraId="167AF486" w14:textId="77777777" w:rsidR="00394471" w:rsidRPr="00FA0D37" w:rsidRDefault="00394471" w:rsidP="00FA0D37">
      <w:pPr>
        <w:pStyle w:val="PL"/>
      </w:pPr>
      <w:r w:rsidRPr="00FA0D37">
        <w:t xml:space="preserve">SL-QoS-FlowIdentity-r16 ::=                    </w:t>
      </w:r>
      <w:r w:rsidRPr="00FA0D37">
        <w:rPr>
          <w:color w:val="993366"/>
        </w:rPr>
        <w:t>INTEGER</w:t>
      </w:r>
      <w:r w:rsidRPr="00FA0D37">
        <w:t xml:space="preserve"> (1..maxNrofSL-QFIs-r16)</w:t>
      </w:r>
    </w:p>
    <w:p w14:paraId="06037B12" w14:textId="77777777" w:rsidR="00394471" w:rsidRPr="00FA0D37" w:rsidRDefault="00394471" w:rsidP="00FA0D37">
      <w:pPr>
        <w:pStyle w:val="PL"/>
      </w:pPr>
    </w:p>
    <w:p w14:paraId="4E951277" w14:textId="77777777" w:rsidR="00394471" w:rsidRPr="00FA0D37" w:rsidRDefault="00394471" w:rsidP="00FA0D37">
      <w:pPr>
        <w:pStyle w:val="PL"/>
        <w:rPr>
          <w:color w:val="808080"/>
        </w:rPr>
      </w:pPr>
      <w:r w:rsidRPr="00FA0D37">
        <w:rPr>
          <w:color w:val="808080"/>
        </w:rPr>
        <w:t>-- TAG-SL-QOS-FLOWIDENTITY-STOP</w:t>
      </w:r>
    </w:p>
    <w:p w14:paraId="47F25086" w14:textId="77777777" w:rsidR="00394471" w:rsidRPr="00FA0D37" w:rsidRDefault="00394471" w:rsidP="00FA0D37">
      <w:pPr>
        <w:pStyle w:val="PL"/>
        <w:rPr>
          <w:color w:val="808080"/>
        </w:rPr>
      </w:pPr>
      <w:r w:rsidRPr="00FA0D37">
        <w:rPr>
          <w:color w:val="808080"/>
        </w:rPr>
        <w:t>-- ASN1STOP</w:t>
      </w:r>
    </w:p>
    <w:p w14:paraId="3607F0BC" w14:textId="77777777" w:rsidR="00394471" w:rsidRPr="00FA0D37" w:rsidRDefault="00394471" w:rsidP="00394471"/>
    <w:p w14:paraId="69AB1DC8" w14:textId="1FCF498A" w:rsidR="00394471" w:rsidRPr="00FA0D37" w:rsidRDefault="00394471" w:rsidP="00394471">
      <w:pPr>
        <w:pStyle w:val="4"/>
      </w:pPr>
      <w:bookmarkStart w:id="1802" w:name="_Toc60777541"/>
      <w:bookmarkStart w:id="1803" w:name="_Toc146781664"/>
      <w:r w:rsidRPr="00FA0D37">
        <w:t>–</w:t>
      </w:r>
      <w:r w:rsidRPr="00FA0D37">
        <w:tab/>
      </w:r>
      <w:r w:rsidRPr="00FA0D37">
        <w:rPr>
          <w:i/>
          <w:iCs/>
        </w:rPr>
        <w:t>SL-QoS-Profile</w:t>
      </w:r>
      <w:bookmarkEnd w:id="1802"/>
      <w:bookmarkEnd w:id="1803"/>
    </w:p>
    <w:p w14:paraId="64A2786A" w14:textId="77777777" w:rsidR="00394471" w:rsidRPr="00FA0D37" w:rsidRDefault="00394471" w:rsidP="00394471">
      <w:r w:rsidRPr="00FA0D37">
        <w:t xml:space="preserve">The IE </w:t>
      </w:r>
      <w:r w:rsidRPr="00FA0D37">
        <w:rPr>
          <w:i/>
        </w:rPr>
        <w:t xml:space="preserve">SL-QoS-Profile </w:t>
      </w:r>
      <w:r w:rsidRPr="00FA0D37">
        <w:t xml:space="preserve">is used to give the QoS parameters for a sidelink QoS flow. Need codes or conditions specified for </w:t>
      </w:r>
      <w:r w:rsidRPr="00FA0D37">
        <w:rPr>
          <w:i/>
        </w:rPr>
        <w:t>SL-QoS-Profile</w:t>
      </w:r>
      <w:r w:rsidRPr="00FA0D37">
        <w:t xml:space="preserve"> do not apply, in case </w:t>
      </w:r>
      <w:r w:rsidRPr="00FA0D37">
        <w:rPr>
          <w:i/>
        </w:rPr>
        <w:t>SL-QoS-Profile</w:t>
      </w:r>
      <w:r w:rsidRPr="00FA0D37">
        <w:t xml:space="preserve"> is included in </w:t>
      </w:r>
      <w:r w:rsidRPr="00FA0D37">
        <w:rPr>
          <w:i/>
        </w:rPr>
        <w:t>SidelinkUEInformationNR</w:t>
      </w:r>
      <w:r w:rsidRPr="00FA0D37">
        <w:t>.</w:t>
      </w:r>
    </w:p>
    <w:p w14:paraId="47F276E3" w14:textId="77777777" w:rsidR="00394471" w:rsidRPr="00FA0D37" w:rsidRDefault="00394471" w:rsidP="00394471">
      <w:pPr>
        <w:pStyle w:val="TH"/>
      </w:pPr>
      <w:r w:rsidRPr="00FA0D37">
        <w:rPr>
          <w:i/>
        </w:rPr>
        <w:t xml:space="preserve">SL-QoS-Profile </w:t>
      </w:r>
      <w:r w:rsidRPr="00FA0D37">
        <w:t>information element</w:t>
      </w:r>
    </w:p>
    <w:p w14:paraId="3BC7D063" w14:textId="77777777" w:rsidR="00394471" w:rsidRPr="00FA0D37" w:rsidRDefault="00394471" w:rsidP="00FA0D37">
      <w:pPr>
        <w:pStyle w:val="PL"/>
        <w:rPr>
          <w:color w:val="808080"/>
        </w:rPr>
      </w:pPr>
      <w:r w:rsidRPr="00FA0D37">
        <w:rPr>
          <w:color w:val="808080"/>
        </w:rPr>
        <w:t>-- ASN1START</w:t>
      </w:r>
    </w:p>
    <w:p w14:paraId="7B922B58" w14:textId="77777777" w:rsidR="00394471" w:rsidRPr="00FA0D37" w:rsidRDefault="00394471" w:rsidP="00FA0D37">
      <w:pPr>
        <w:pStyle w:val="PL"/>
        <w:rPr>
          <w:color w:val="808080"/>
        </w:rPr>
      </w:pPr>
      <w:r w:rsidRPr="00FA0D37">
        <w:rPr>
          <w:color w:val="808080"/>
        </w:rPr>
        <w:t>-- TAG-SL-QOS-PROFILE-START</w:t>
      </w:r>
    </w:p>
    <w:p w14:paraId="3195D6D1" w14:textId="77777777" w:rsidR="00394471" w:rsidRPr="00FA0D37" w:rsidRDefault="00394471" w:rsidP="00FA0D37">
      <w:pPr>
        <w:pStyle w:val="PL"/>
      </w:pPr>
    </w:p>
    <w:p w14:paraId="5C5ECF8A" w14:textId="77777777" w:rsidR="00394471" w:rsidRPr="00FA0D37" w:rsidRDefault="00394471" w:rsidP="00FA0D37">
      <w:pPr>
        <w:pStyle w:val="PL"/>
      </w:pPr>
      <w:r w:rsidRPr="00FA0D37">
        <w:t xml:space="preserve">SL-QoS-Profile-r16 ::=        </w:t>
      </w:r>
      <w:r w:rsidRPr="00FA0D37">
        <w:rPr>
          <w:color w:val="993366"/>
        </w:rPr>
        <w:t>SEQUENCE</w:t>
      </w:r>
      <w:r w:rsidRPr="00FA0D37">
        <w:t xml:space="preserve"> {</w:t>
      </w:r>
    </w:p>
    <w:p w14:paraId="3C4CC324" w14:textId="77777777" w:rsidR="00394471" w:rsidRPr="00FA0D37" w:rsidRDefault="00394471" w:rsidP="00FA0D37">
      <w:pPr>
        <w:pStyle w:val="PL"/>
        <w:rPr>
          <w:color w:val="808080"/>
        </w:rPr>
      </w:pPr>
      <w:r w:rsidRPr="00FA0D37">
        <w:t xml:space="preserve">    sl-PQI-r16                    SL-PQI-r16                                                  </w:t>
      </w:r>
      <w:r w:rsidRPr="00FA0D37">
        <w:rPr>
          <w:color w:val="993366"/>
        </w:rPr>
        <w:t>OPTIONAL</w:t>
      </w:r>
      <w:r w:rsidRPr="00FA0D37">
        <w:t xml:space="preserve">,   </w:t>
      </w:r>
      <w:r w:rsidRPr="00FA0D37">
        <w:rPr>
          <w:color w:val="808080"/>
        </w:rPr>
        <w:t>-- Need R</w:t>
      </w:r>
    </w:p>
    <w:p w14:paraId="67E70608" w14:textId="77777777" w:rsidR="00394471" w:rsidRPr="00FA0D37" w:rsidRDefault="00394471" w:rsidP="00FA0D37">
      <w:pPr>
        <w:pStyle w:val="PL"/>
        <w:rPr>
          <w:color w:val="808080"/>
        </w:rPr>
      </w:pPr>
      <w:r w:rsidRPr="00FA0D37">
        <w:t xml:space="preserve">    sl-GFBR-r16                   </w:t>
      </w:r>
      <w:r w:rsidRPr="00FA0D37">
        <w:rPr>
          <w:color w:val="993366"/>
        </w:rPr>
        <w:t>INTEGER</w:t>
      </w:r>
      <w:r w:rsidRPr="00FA0D37">
        <w:t xml:space="preserve"> (0..4000000000)                                     </w:t>
      </w:r>
      <w:r w:rsidRPr="00FA0D37">
        <w:rPr>
          <w:color w:val="993366"/>
        </w:rPr>
        <w:t>OPTIONAL</w:t>
      </w:r>
      <w:r w:rsidRPr="00FA0D37">
        <w:t xml:space="preserve">,   </w:t>
      </w:r>
      <w:r w:rsidRPr="00FA0D37">
        <w:rPr>
          <w:color w:val="808080"/>
        </w:rPr>
        <w:t>-- Need R</w:t>
      </w:r>
    </w:p>
    <w:p w14:paraId="24DF4576" w14:textId="77777777" w:rsidR="00394471" w:rsidRPr="00FA0D37" w:rsidRDefault="00394471" w:rsidP="00FA0D37">
      <w:pPr>
        <w:pStyle w:val="PL"/>
        <w:rPr>
          <w:color w:val="808080"/>
        </w:rPr>
      </w:pPr>
      <w:r w:rsidRPr="00FA0D37">
        <w:t xml:space="preserve">    sl-MFBR-r16                   </w:t>
      </w:r>
      <w:r w:rsidRPr="00FA0D37">
        <w:rPr>
          <w:color w:val="993366"/>
        </w:rPr>
        <w:t>INTEGER</w:t>
      </w:r>
      <w:r w:rsidRPr="00FA0D37">
        <w:t xml:space="preserve"> (0..4000000000)                                     </w:t>
      </w:r>
      <w:r w:rsidRPr="00FA0D37">
        <w:rPr>
          <w:color w:val="993366"/>
        </w:rPr>
        <w:t>OPTIONAL</w:t>
      </w:r>
      <w:r w:rsidRPr="00FA0D37">
        <w:t xml:space="preserve">,   </w:t>
      </w:r>
      <w:r w:rsidRPr="00FA0D37">
        <w:rPr>
          <w:color w:val="808080"/>
        </w:rPr>
        <w:t>-- Need R</w:t>
      </w:r>
    </w:p>
    <w:p w14:paraId="24789091" w14:textId="77777777" w:rsidR="00394471" w:rsidRPr="00FA0D37" w:rsidRDefault="00394471" w:rsidP="00FA0D37">
      <w:pPr>
        <w:pStyle w:val="PL"/>
        <w:rPr>
          <w:color w:val="808080"/>
        </w:rPr>
      </w:pPr>
      <w:r w:rsidRPr="00FA0D37">
        <w:t xml:space="preserve">    sl-Range-r16                  </w:t>
      </w:r>
      <w:r w:rsidRPr="00FA0D37">
        <w:rPr>
          <w:color w:val="993366"/>
        </w:rPr>
        <w:t>INTEGER</w:t>
      </w:r>
      <w:r w:rsidRPr="00FA0D37">
        <w:t xml:space="preserve"> (1..1000)                                           </w:t>
      </w:r>
      <w:r w:rsidRPr="00FA0D37">
        <w:rPr>
          <w:color w:val="993366"/>
        </w:rPr>
        <w:t>OPTIONAL</w:t>
      </w:r>
      <w:r w:rsidRPr="00FA0D37">
        <w:t xml:space="preserve">,   </w:t>
      </w:r>
      <w:r w:rsidRPr="00FA0D37">
        <w:rPr>
          <w:color w:val="808080"/>
        </w:rPr>
        <w:t>-- Need R</w:t>
      </w:r>
    </w:p>
    <w:p w14:paraId="404ED634" w14:textId="77777777" w:rsidR="00394471" w:rsidRPr="00FA0D37" w:rsidRDefault="00394471" w:rsidP="00FA0D37">
      <w:pPr>
        <w:pStyle w:val="PL"/>
      </w:pPr>
      <w:r w:rsidRPr="00FA0D37">
        <w:t xml:space="preserve">    ...</w:t>
      </w:r>
    </w:p>
    <w:p w14:paraId="2B7C6654" w14:textId="77777777" w:rsidR="00394471" w:rsidRPr="00FA0D37" w:rsidRDefault="00394471" w:rsidP="00FA0D37">
      <w:pPr>
        <w:pStyle w:val="PL"/>
      </w:pPr>
      <w:r w:rsidRPr="00FA0D37">
        <w:t>}</w:t>
      </w:r>
    </w:p>
    <w:p w14:paraId="5E6E6B65" w14:textId="77777777" w:rsidR="00394471" w:rsidRPr="00FA0D37" w:rsidRDefault="00394471" w:rsidP="00FA0D37">
      <w:pPr>
        <w:pStyle w:val="PL"/>
      </w:pPr>
    </w:p>
    <w:p w14:paraId="4D1AFB73" w14:textId="77777777" w:rsidR="00394471" w:rsidRPr="00FA0D37" w:rsidRDefault="00394471" w:rsidP="00FA0D37">
      <w:pPr>
        <w:pStyle w:val="PL"/>
      </w:pPr>
      <w:r w:rsidRPr="00FA0D37">
        <w:t xml:space="preserve">SL-PQI-r16 ::=                </w:t>
      </w:r>
      <w:r w:rsidRPr="00FA0D37">
        <w:rPr>
          <w:color w:val="993366"/>
        </w:rPr>
        <w:t>CHOICE</w:t>
      </w:r>
      <w:r w:rsidRPr="00FA0D37">
        <w:t xml:space="preserve"> {</w:t>
      </w:r>
    </w:p>
    <w:p w14:paraId="1F2D4AFD" w14:textId="77777777" w:rsidR="00394471" w:rsidRPr="00FA0D37" w:rsidRDefault="00394471" w:rsidP="00FA0D37">
      <w:pPr>
        <w:pStyle w:val="PL"/>
      </w:pPr>
      <w:r w:rsidRPr="00FA0D37">
        <w:t xml:space="preserve">    sl-StandardizedPQI-r16        </w:t>
      </w:r>
      <w:r w:rsidRPr="00FA0D37">
        <w:rPr>
          <w:color w:val="993366"/>
        </w:rPr>
        <w:t>INTEGER</w:t>
      </w:r>
      <w:r w:rsidRPr="00FA0D37">
        <w:t xml:space="preserve"> (0..255),</w:t>
      </w:r>
    </w:p>
    <w:p w14:paraId="27A28814" w14:textId="77777777" w:rsidR="00394471" w:rsidRPr="00FA0D37" w:rsidRDefault="00394471" w:rsidP="00FA0D37">
      <w:pPr>
        <w:pStyle w:val="PL"/>
      </w:pPr>
      <w:r w:rsidRPr="00FA0D37">
        <w:t xml:space="preserve">    sl-Non-StandardizedPQI-r16    </w:t>
      </w:r>
      <w:r w:rsidRPr="00FA0D37">
        <w:rPr>
          <w:color w:val="993366"/>
        </w:rPr>
        <w:t>SEQUENCE</w:t>
      </w:r>
      <w:r w:rsidRPr="00FA0D37">
        <w:t xml:space="preserve"> {</w:t>
      </w:r>
    </w:p>
    <w:p w14:paraId="214B3BA3" w14:textId="77777777" w:rsidR="00394471" w:rsidRPr="00FA0D37" w:rsidRDefault="00394471" w:rsidP="00FA0D37">
      <w:pPr>
        <w:pStyle w:val="PL"/>
        <w:rPr>
          <w:color w:val="808080"/>
        </w:rPr>
      </w:pPr>
      <w:r w:rsidRPr="00FA0D37">
        <w:t xml:space="preserve">        sl-ResourceType-r16           </w:t>
      </w:r>
      <w:r w:rsidRPr="00FA0D37">
        <w:rPr>
          <w:color w:val="993366"/>
        </w:rPr>
        <w:t>ENUMERATED</w:t>
      </w:r>
      <w:r w:rsidRPr="00FA0D37">
        <w:t xml:space="preserve"> {gbr, non-GBR, delayCriticalGBR, spare1}     </w:t>
      </w:r>
      <w:r w:rsidRPr="00FA0D37">
        <w:rPr>
          <w:color w:val="993366"/>
        </w:rPr>
        <w:t>OPTIONAL</w:t>
      </w:r>
      <w:r w:rsidRPr="00FA0D37">
        <w:t xml:space="preserve">,   </w:t>
      </w:r>
      <w:r w:rsidRPr="00FA0D37">
        <w:rPr>
          <w:color w:val="808080"/>
        </w:rPr>
        <w:t>-- Need R</w:t>
      </w:r>
    </w:p>
    <w:p w14:paraId="5E3BA3EB" w14:textId="77777777" w:rsidR="00394471" w:rsidRPr="00FA0D37" w:rsidRDefault="00394471" w:rsidP="00FA0D37">
      <w:pPr>
        <w:pStyle w:val="PL"/>
        <w:rPr>
          <w:color w:val="808080"/>
        </w:rPr>
      </w:pPr>
      <w:r w:rsidRPr="00FA0D37">
        <w:t xml:space="preserve">        sl-PriorityLevel-r16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310C680E" w14:textId="77777777" w:rsidR="00394471" w:rsidRPr="00FA0D37" w:rsidRDefault="00394471" w:rsidP="00FA0D37">
      <w:pPr>
        <w:pStyle w:val="PL"/>
        <w:rPr>
          <w:color w:val="808080"/>
        </w:rPr>
      </w:pPr>
      <w:r w:rsidRPr="00FA0D37">
        <w:t xml:space="preserve">        sl-PacketDelayBudget-r16      </w:t>
      </w:r>
      <w:r w:rsidRPr="00FA0D37">
        <w:rPr>
          <w:color w:val="993366"/>
        </w:rPr>
        <w:t>INTEGER</w:t>
      </w:r>
      <w:r w:rsidRPr="00FA0D37">
        <w:t xml:space="preserve"> (0..1023)                                       </w:t>
      </w:r>
      <w:r w:rsidRPr="00FA0D37">
        <w:rPr>
          <w:color w:val="993366"/>
        </w:rPr>
        <w:t>OPTIONAL</w:t>
      </w:r>
      <w:r w:rsidRPr="00FA0D37">
        <w:t xml:space="preserve">,   </w:t>
      </w:r>
      <w:r w:rsidRPr="00FA0D37">
        <w:rPr>
          <w:color w:val="808080"/>
        </w:rPr>
        <w:t>-- Need R</w:t>
      </w:r>
    </w:p>
    <w:p w14:paraId="4400BA53" w14:textId="77777777" w:rsidR="00394471" w:rsidRPr="00FA0D37" w:rsidRDefault="00394471" w:rsidP="00FA0D37">
      <w:pPr>
        <w:pStyle w:val="PL"/>
        <w:rPr>
          <w:color w:val="808080"/>
        </w:rPr>
      </w:pPr>
      <w:r w:rsidRPr="00FA0D37">
        <w:t xml:space="preserve">        sl-PacketErrorRate-r16        </w:t>
      </w:r>
      <w:r w:rsidRPr="00FA0D37">
        <w:rPr>
          <w:color w:val="993366"/>
        </w:rPr>
        <w:t>INTEGER</w:t>
      </w:r>
      <w:r w:rsidRPr="00FA0D37">
        <w:t xml:space="preserve"> (0..9)                                          </w:t>
      </w:r>
      <w:r w:rsidRPr="00FA0D37">
        <w:rPr>
          <w:color w:val="993366"/>
        </w:rPr>
        <w:t>OPTIONAL</w:t>
      </w:r>
      <w:r w:rsidRPr="00FA0D37">
        <w:t xml:space="preserve">,   </w:t>
      </w:r>
      <w:r w:rsidRPr="00FA0D37">
        <w:rPr>
          <w:color w:val="808080"/>
        </w:rPr>
        <w:t>-- Need R</w:t>
      </w:r>
    </w:p>
    <w:p w14:paraId="6AF8E8CD" w14:textId="77777777" w:rsidR="00394471" w:rsidRPr="00FA0D37" w:rsidRDefault="00394471" w:rsidP="00FA0D37">
      <w:pPr>
        <w:pStyle w:val="PL"/>
        <w:rPr>
          <w:color w:val="808080"/>
        </w:rPr>
      </w:pPr>
      <w:r w:rsidRPr="00FA0D37">
        <w:t xml:space="preserve">        sl-AveragingWindow-r16        </w:t>
      </w:r>
      <w:r w:rsidRPr="00FA0D37">
        <w:rPr>
          <w:color w:val="993366"/>
        </w:rPr>
        <w:t>INTEGER</w:t>
      </w:r>
      <w:r w:rsidRPr="00FA0D37">
        <w:t xml:space="preserve"> (0..4095)                                       </w:t>
      </w:r>
      <w:r w:rsidRPr="00FA0D37">
        <w:rPr>
          <w:color w:val="993366"/>
        </w:rPr>
        <w:t>OPTIONAL</w:t>
      </w:r>
      <w:r w:rsidRPr="00FA0D37">
        <w:t xml:space="preserve">,   </w:t>
      </w:r>
      <w:r w:rsidRPr="00FA0D37">
        <w:rPr>
          <w:color w:val="808080"/>
        </w:rPr>
        <w:t>-- Need R</w:t>
      </w:r>
    </w:p>
    <w:p w14:paraId="6A07FAD4" w14:textId="77777777" w:rsidR="00394471" w:rsidRPr="00FA0D37" w:rsidRDefault="00394471" w:rsidP="00FA0D37">
      <w:pPr>
        <w:pStyle w:val="PL"/>
        <w:rPr>
          <w:color w:val="808080"/>
        </w:rPr>
      </w:pPr>
      <w:r w:rsidRPr="00FA0D37">
        <w:t xml:space="preserve">        sl-MaxDataBurstVolume-r16     </w:t>
      </w:r>
      <w:r w:rsidRPr="00FA0D37">
        <w:rPr>
          <w:color w:val="993366"/>
        </w:rPr>
        <w:t>INTEGER</w:t>
      </w:r>
      <w:r w:rsidRPr="00FA0D37">
        <w:t xml:space="preserve"> (0..4095)                                       </w:t>
      </w:r>
      <w:r w:rsidRPr="00FA0D37">
        <w:rPr>
          <w:color w:val="993366"/>
        </w:rPr>
        <w:t>OPTIONAL</w:t>
      </w:r>
      <w:r w:rsidRPr="00FA0D37">
        <w:t xml:space="preserve">,   </w:t>
      </w:r>
      <w:r w:rsidRPr="00FA0D37">
        <w:rPr>
          <w:color w:val="808080"/>
        </w:rPr>
        <w:t>-- Need R</w:t>
      </w:r>
    </w:p>
    <w:p w14:paraId="4F2E88AE" w14:textId="77777777" w:rsidR="00394471" w:rsidRPr="00FA0D37" w:rsidRDefault="00394471" w:rsidP="00FA0D37">
      <w:pPr>
        <w:pStyle w:val="PL"/>
      </w:pPr>
      <w:r w:rsidRPr="00FA0D37">
        <w:t xml:space="preserve">    ...</w:t>
      </w:r>
    </w:p>
    <w:p w14:paraId="473E6A1B" w14:textId="77777777" w:rsidR="00394471" w:rsidRPr="00FA0D37" w:rsidRDefault="00394471" w:rsidP="00FA0D37">
      <w:pPr>
        <w:pStyle w:val="PL"/>
        <w:rPr>
          <w:rFonts w:eastAsiaTheme="minorEastAsia"/>
        </w:rPr>
      </w:pPr>
      <w:r w:rsidRPr="00FA0D37">
        <w:rPr>
          <w:rFonts w:eastAsiaTheme="minorEastAsia"/>
        </w:rPr>
        <w:t xml:space="preserve">   }</w:t>
      </w:r>
    </w:p>
    <w:p w14:paraId="4079610E" w14:textId="77777777" w:rsidR="00394471" w:rsidRPr="00FA0D37" w:rsidRDefault="00394471" w:rsidP="00FA0D37">
      <w:pPr>
        <w:pStyle w:val="PL"/>
      </w:pPr>
      <w:r w:rsidRPr="00FA0D37">
        <w:t>}</w:t>
      </w:r>
    </w:p>
    <w:p w14:paraId="0B8D285C" w14:textId="77777777" w:rsidR="00394471" w:rsidRPr="00FA0D37" w:rsidRDefault="00394471" w:rsidP="00FA0D37">
      <w:pPr>
        <w:pStyle w:val="PL"/>
      </w:pPr>
    </w:p>
    <w:p w14:paraId="415215D5" w14:textId="77777777" w:rsidR="00394471" w:rsidRPr="00FA0D37" w:rsidRDefault="00394471" w:rsidP="00FA0D37">
      <w:pPr>
        <w:pStyle w:val="PL"/>
        <w:rPr>
          <w:color w:val="808080"/>
        </w:rPr>
      </w:pPr>
      <w:r w:rsidRPr="00FA0D37">
        <w:rPr>
          <w:color w:val="808080"/>
        </w:rPr>
        <w:t>-- TAG-SL-QOS-PROFILE-STOP</w:t>
      </w:r>
    </w:p>
    <w:p w14:paraId="051C6001" w14:textId="77777777" w:rsidR="00394471" w:rsidRPr="00FA0D37" w:rsidRDefault="00394471" w:rsidP="00FA0D37">
      <w:pPr>
        <w:pStyle w:val="PL"/>
        <w:rPr>
          <w:color w:val="808080"/>
        </w:rPr>
      </w:pPr>
      <w:r w:rsidRPr="00FA0D37">
        <w:rPr>
          <w:color w:val="808080"/>
        </w:rPr>
        <w:t>-- ASN1STOP</w:t>
      </w:r>
    </w:p>
    <w:p w14:paraId="2C9BAEC0"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6E00F9D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B8BD1EA" w14:textId="77777777" w:rsidR="00394471" w:rsidRPr="00FA0D37" w:rsidRDefault="00394471" w:rsidP="00964CC4">
            <w:pPr>
              <w:pStyle w:val="TAH"/>
              <w:rPr>
                <w:b w:val="0"/>
                <w:lang w:eastAsia="en-GB"/>
              </w:rPr>
            </w:pPr>
            <w:r w:rsidRPr="00FA0D37">
              <w:rPr>
                <w:i/>
                <w:noProof/>
                <w:lang w:eastAsia="en-GB"/>
              </w:rPr>
              <w:lastRenderedPageBreak/>
              <w:t xml:space="preserve">SL-QoS-Profile </w:t>
            </w:r>
            <w:r w:rsidRPr="00FA0D37">
              <w:rPr>
                <w:noProof/>
                <w:lang w:eastAsia="en-GB"/>
              </w:rPr>
              <w:t>field descriptions</w:t>
            </w:r>
          </w:p>
        </w:tc>
      </w:tr>
      <w:tr w:rsidR="005C7FF4" w:rsidRPr="00FA0D37" w14:paraId="004D80A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67E76DE" w14:textId="77777777" w:rsidR="00394471" w:rsidRPr="00FA0D37" w:rsidRDefault="00394471" w:rsidP="00964CC4">
            <w:pPr>
              <w:pStyle w:val="TAL"/>
              <w:rPr>
                <w:rFonts w:eastAsia="等线"/>
                <w:b/>
                <w:bCs/>
                <w:i/>
                <w:iCs/>
                <w:lang w:eastAsia="zh-CN"/>
              </w:rPr>
            </w:pPr>
            <w:r w:rsidRPr="00FA0D37">
              <w:rPr>
                <w:rFonts w:eastAsia="等线"/>
                <w:b/>
                <w:bCs/>
                <w:i/>
                <w:iCs/>
                <w:lang w:eastAsia="zh-CN"/>
              </w:rPr>
              <w:t>sl-GFBR</w:t>
            </w:r>
          </w:p>
          <w:p w14:paraId="2CA2E590" w14:textId="77777777" w:rsidR="00394471" w:rsidRPr="00FA0D37" w:rsidRDefault="00394471" w:rsidP="00964CC4">
            <w:pPr>
              <w:pStyle w:val="TAL"/>
              <w:rPr>
                <w:rFonts w:eastAsia="等线"/>
                <w:lang w:eastAsia="zh-CN"/>
              </w:rPr>
            </w:pPr>
            <w:r w:rsidRPr="00FA0D37">
              <w:rPr>
                <w:rFonts w:eastAsia="等线"/>
                <w:lang w:eastAsia="zh-CN"/>
              </w:rPr>
              <w:t>Indicate the guaranteed bit rate for a GBR QoS flow.</w:t>
            </w:r>
            <w:r w:rsidRPr="00FA0D37">
              <w:rPr>
                <w:lang w:eastAsia="sv-SE"/>
              </w:rPr>
              <w:t xml:space="preserve"> </w:t>
            </w:r>
            <w:r w:rsidRPr="00FA0D37">
              <w:rPr>
                <w:rFonts w:eastAsia="等线"/>
                <w:lang w:eastAsia="zh-CN"/>
              </w:rPr>
              <w:t>The unit is: Kbit/s</w:t>
            </w:r>
          </w:p>
        </w:tc>
      </w:tr>
      <w:tr w:rsidR="005C7FF4" w:rsidRPr="00FA0D37" w14:paraId="3ED95B3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4D817A" w14:textId="77777777" w:rsidR="00394471" w:rsidRPr="00FA0D37" w:rsidRDefault="00394471" w:rsidP="00964CC4">
            <w:pPr>
              <w:pStyle w:val="TAL"/>
              <w:rPr>
                <w:rFonts w:eastAsia="等线"/>
                <w:b/>
                <w:bCs/>
                <w:i/>
                <w:iCs/>
                <w:lang w:eastAsia="zh-CN"/>
              </w:rPr>
            </w:pPr>
            <w:r w:rsidRPr="00FA0D37">
              <w:rPr>
                <w:rFonts w:eastAsia="等线"/>
                <w:b/>
                <w:bCs/>
                <w:i/>
                <w:iCs/>
                <w:lang w:eastAsia="zh-CN"/>
              </w:rPr>
              <w:t>sl-MFBR</w:t>
            </w:r>
          </w:p>
          <w:p w14:paraId="106CF400" w14:textId="77777777" w:rsidR="00394471" w:rsidRPr="00FA0D37" w:rsidRDefault="00394471" w:rsidP="00964CC4">
            <w:pPr>
              <w:pStyle w:val="TAL"/>
              <w:rPr>
                <w:rFonts w:eastAsia="等线"/>
                <w:lang w:eastAsia="zh-CN"/>
              </w:rPr>
            </w:pPr>
            <w:r w:rsidRPr="00FA0D37">
              <w:rPr>
                <w:rFonts w:eastAsia="等线"/>
                <w:lang w:eastAsia="zh-CN"/>
              </w:rPr>
              <w:t>Indicate the maximum bit rate for a GBR QoS flow. The unit is: Kbit/s</w:t>
            </w:r>
          </w:p>
        </w:tc>
      </w:tr>
      <w:tr w:rsidR="005C7FF4" w:rsidRPr="00FA0D37" w14:paraId="5338EB1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38D6E87" w14:textId="77777777" w:rsidR="00394471" w:rsidRPr="00FA0D37" w:rsidRDefault="00394471" w:rsidP="00964CC4">
            <w:pPr>
              <w:pStyle w:val="TAL"/>
              <w:rPr>
                <w:rFonts w:eastAsia="等线"/>
                <w:b/>
                <w:bCs/>
                <w:i/>
                <w:iCs/>
                <w:lang w:eastAsia="zh-CN"/>
              </w:rPr>
            </w:pPr>
            <w:r w:rsidRPr="00FA0D37">
              <w:rPr>
                <w:rFonts w:eastAsia="等线"/>
                <w:b/>
                <w:bCs/>
                <w:i/>
                <w:iCs/>
                <w:lang w:eastAsia="zh-CN"/>
              </w:rPr>
              <w:t>sl-PQI</w:t>
            </w:r>
          </w:p>
          <w:p w14:paraId="53D5FC32" w14:textId="7A96567C" w:rsidR="00394471" w:rsidRPr="00FA0D37" w:rsidRDefault="00394471" w:rsidP="00964CC4">
            <w:pPr>
              <w:pStyle w:val="TAL"/>
              <w:rPr>
                <w:rFonts w:eastAsia="等线"/>
                <w:lang w:eastAsia="zh-CN"/>
              </w:rPr>
            </w:pPr>
            <w:r w:rsidRPr="00FA0D37">
              <w:rPr>
                <w:rFonts w:eastAsia="等线"/>
                <w:lang w:eastAsia="zh-CN"/>
              </w:rPr>
              <w:t xml:space="preserve">This </w:t>
            </w:r>
            <w:r w:rsidR="008D2002" w:rsidRPr="00FA0D37">
              <w:rPr>
                <w:rFonts w:eastAsia="等线" w:cs="Arial"/>
                <w:lang w:eastAsia="zh-CN"/>
              </w:rPr>
              <w:t xml:space="preserve">field </w:t>
            </w:r>
            <w:r w:rsidRPr="00FA0D37">
              <w:rPr>
                <w:rFonts w:eastAsia="等线"/>
                <w:lang w:eastAsia="zh-CN"/>
              </w:rPr>
              <w:t>indicates either the PQI for standardized PQI or non-standardized QoS parameters</w:t>
            </w:r>
            <w:r w:rsidRPr="00FA0D37">
              <w:rPr>
                <w:iCs/>
                <w:lang w:eastAsia="sv-SE"/>
              </w:rPr>
              <w:t>.</w:t>
            </w:r>
          </w:p>
        </w:tc>
      </w:tr>
      <w:tr w:rsidR="00375B89" w:rsidRPr="00FA0D37" w14:paraId="1A8F3AE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9A0DFC0" w14:textId="77777777" w:rsidR="00394471" w:rsidRPr="00FA0D37" w:rsidRDefault="00394471" w:rsidP="00964CC4">
            <w:pPr>
              <w:pStyle w:val="TAL"/>
              <w:rPr>
                <w:rFonts w:cs="Arial"/>
                <w:b/>
                <w:bCs/>
                <w:i/>
                <w:iCs/>
                <w:lang w:eastAsia="en-GB"/>
              </w:rPr>
            </w:pPr>
            <w:r w:rsidRPr="00FA0D37">
              <w:rPr>
                <w:rFonts w:cs="Arial"/>
                <w:b/>
                <w:bCs/>
                <w:i/>
                <w:iCs/>
                <w:lang w:eastAsia="en-GB"/>
              </w:rPr>
              <w:t>sl-Range</w:t>
            </w:r>
          </w:p>
          <w:p w14:paraId="3BB49A46" w14:textId="77777777" w:rsidR="00394471" w:rsidRPr="00FA0D37" w:rsidRDefault="00394471" w:rsidP="00964CC4">
            <w:pPr>
              <w:pStyle w:val="TAL"/>
              <w:rPr>
                <w:rFonts w:cs="Arial"/>
                <w:lang w:eastAsia="en-GB"/>
              </w:rPr>
            </w:pPr>
            <w:r w:rsidRPr="00FA0D37">
              <w:rPr>
                <w:rFonts w:eastAsia="等线" w:cs="Arial"/>
                <w:lang w:eastAsia="zh-CN"/>
              </w:rPr>
              <w:t>This field indicates the range parameter of the Qos flow, as defined in clause 5.4.1.1.1, TS 23.287 [55]. It is present only for groupcast. The unit is meter.</w:t>
            </w:r>
          </w:p>
        </w:tc>
      </w:tr>
    </w:tbl>
    <w:p w14:paraId="03D2C693"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72DA6B0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189A0B" w14:textId="77777777" w:rsidR="00394471" w:rsidRPr="00FA0D37" w:rsidRDefault="00394471" w:rsidP="00964CC4">
            <w:pPr>
              <w:pStyle w:val="TAH"/>
              <w:rPr>
                <w:lang w:eastAsia="en-GB"/>
              </w:rPr>
            </w:pPr>
            <w:r w:rsidRPr="00FA0D37">
              <w:rPr>
                <w:i/>
                <w:noProof/>
                <w:lang w:eastAsia="en-GB"/>
              </w:rPr>
              <w:t xml:space="preserve">SL-PQI </w:t>
            </w:r>
            <w:r w:rsidRPr="00FA0D37">
              <w:rPr>
                <w:noProof/>
                <w:lang w:eastAsia="en-GB"/>
              </w:rPr>
              <w:t>field descriptions</w:t>
            </w:r>
          </w:p>
        </w:tc>
      </w:tr>
      <w:tr w:rsidR="005C7FF4" w:rsidRPr="00FA0D37" w14:paraId="6CA502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0485C2F" w14:textId="77777777" w:rsidR="00394471" w:rsidRPr="00FA0D37" w:rsidRDefault="00394471" w:rsidP="00964CC4">
            <w:pPr>
              <w:pStyle w:val="TAL"/>
              <w:rPr>
                <w:b/>
                <w:bCs/>
                <w:i/>
                <w:iCs/>
                <w:lang w:eastAsia="en-GB"/>
              </w:rPr>
            </w:pPr>
            <w:r w:rsidRPr="00FA0D37">
              <w:rPr>
                <w:b/>
                <w:bCs/>
                <w:i/>
                <w:iCs/>
                <w:lang w:eastAsia="en-GB"/>
              </w:rPr>
              <w:t>sl-AveragingWindow</w:t>
            </w:r>
          </w:p>
          <w:p w14:paraId="330547EC" w14:textId="77777777" w:rsidR="00394471" w:rsidRPr="00FA0D37" w:rsidRDefault="00394471" w:rsidP="00964CC4">
            <w:pPr>
              <w:pStyle w:val="TAL"/>
              <w:rPr>
                <w:noProof/>
                <w:lang w:eastAsia="en-GB"/>
              </w:rPr>
            </w:pPr>
            <w:r w:rsidRPr="00FA0D37">
              <w:rPr>
                <w:lang w:eastAsia="en-GB"/>
              </w:rPr>
              <w:t>Indicates the Averaging Window for a QoS flow, and applies to GBR QoS flows only.</w:t>
            </w:r>
            <w:r w:rsidRPr="00FA0D37">
              <w:rPr>
                <w:lang w:eastAsia="sv-SE"/>
              </w:rPr>
              <w:t xml:space="preserve"> </w:t>
            </w:r>
            <w:r w:rsidRPr="00FA0D37">
              <w:rPr>
                <w:lang w:eastAsia="en-GB"/>
              </w:rPr>
              <w:t>Unit: ms. The default value of the IE is 2000ms.</w:t>
            </w:r>
          </w:p>
        </w:tc>
      </w:tr>
      <w:tr w:rsidR="005C7FF4" w:rsidRPr="00FA0D37" w14:paraId="52176F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15233B9" w14:textId="77777777" w:rsidR="00394471" w:rsidRPr="00FA0D37" w:rsidRDefault="00394471" w:rsidP="00964CC4">
            <w:pPr>
              <w:pStyle w:val="TAL"/>
              <w:rPr>
                <w:b/>
                <w:bCs/>
                <w:i/>
                <w:iCs/>
                <w:lang w:eastAsia="en-GB"/>
              </w:rPr>
            </w:pPr>
            <w:r w:rsidRPr="00FA0D37">
              <w:rPr>
                <w:b/>
                <w:bCs/>
                <w:i/>
                <w:iCs/>
                <w:lang w:eastAsia="en-GB"/>
              </w:rPr>
              <w:t>sl-MaxDataBurstVolume</w:t>
            </w:r>
          </w:p>
          <w:p w14:paraId="199707EB" w14:textId="77777777" w:rsidR="00394471" w:rsidRPr="00FA0D37" w:rsidRDefault="00394471" w:rsidP="00964CC4">
            <w:pPr>
              <w:pStyle w:val="TAL"/>
              <w:rPr>
                <w:lang w:eastAsia="en-GB"/>
              </w:rPr>
            </w:pPr>
            <w:r w:rsidRPr="00FA0D37">
              <w:rPr>
                <w:lang w:eastAsia="en-GB"/>
              </w:rPr>
              <w:t>Indicates the Maximum Data Burst Volume for a QoS flow, and applies to delay critical GBR QoS flows only. Unit: byte.</w:t>
            </w:r>
          </w:p>
        </w:tc>
      </w:tr>
      <w:tr w:rsidR="005C7FF4" w:rsidRPr="00FA0D37" w14:paraId="739FCF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816C2C1" w14:textId="77777777" w:rsidR="00394471" w:rsidRPr="00FA0D37" w:rsidRDefault="00394471" w:rsidP="00964CC4">
            <w:pPr>
              <w:pStyle w:val="TAL"/>
              <w:rPr>
                <w:b/>
                <w:bCs/>
                <w:i/>
                <w:iCs/>
                <w:lang w:eastAsia="en-GB"/>
              </w:rPr>
            </w:pPr>
            <w:r w:rsidRPr="00FA0D37">
              <w:rPr>
                <w:b/>
                <w:bCs/>
                <w:i/>
                <w:iCs/>
                <w:lang w:eastAsia="en-GB"/>
              </w:rPr>
              <w:t>sl-PacketDelayBudget</w:t>
            </w:r>
          </w:p>
          <w:p w14:paraId="4C3A4CC4" w14:textId="77777777" w:rsidR="00394471" w:rsidRPr="00FA0D37" w:rsidRDefault="00394471" w:rsidP="00964CC4">
            <w:pPr>
              <w:pStyle w:val="TAL"/>
              <w:rPr>
                <w:lang w:eastAsia="en-GB"/>
              </w:rPr>
            </w:pPr>
            <w:r w:rsidRPr="00FA0D37">
              <w:rPr>
                <w:lang w:eastAsia="en-GB"/>
              </w:rPr>
              <w:t>Indicates the Packet Delay Budget for a QoS flow. Upper bound value for the delay that a packet may experience expressed in unit of 0.5ms.</w:t>
            </w:r>
          </w:p>
        </w:tc>
      </w:tr>
      <w:tr w:rsidR="005C7FF4" w:rsidRPr="00FA0D37" w14:paraId="118D8D0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DCA2C1" w14:textId="77777777" w:rsidR="00394471" w:rsidRPr="00FA0D37" w:rsidRDefault="00394471" w:rsidP="00964CC4">
            <w:pPr>
              <w:pStyle w:val="TAL"/>
              <w:rPr>
                <w:b/>
                <w:bCs/>
                <w:i/>
                <w:iCs/>
                <w:lang w:eastAsia="en-GB"/>
              </w:rPr>
            </w:pPr>
            <w:r w:rsidRPr="00FA0D37">
              <w:rPr>
                <w:b/>
                <w:bCs/>
                <w:i/>
                <w:iCs/>
                <w:lang w:eastAsia="en-GB"/>
              </w:rPr>
              <w:t>sl-PacketErrorRate</w:t>
            </w:r>
          </w:p>
          <w:p w14:paraId="2F5CAE0A" w14:textId="77777777" w:rsidR="00394471" w:rsidRPr="00FA0D37" w:rsidRDefault="00394471" w:rsidP="00964CC4">
            <w:pPr>
              <w:pStyle w:val="TAL"/>
              <w:rPr>
                <w:lang w:eastAsia="en-GB"/>
              </w:rPr>
            </w:pPr>
            <w:r w:rsidRPr="00FA0D37">
              <w:rPr>
                <w:lang w:eastAsia="en-GB"/>
              </w:rPr>
              <w:t>Indicates the Packet Error Rate for a QoS flow. The packet error rate is expressed as Scalar x 10-k where k is the Exponent.</w:t>
            </w:r>
          </w:p>
        </w:tc>
      </w:tr>
      <w:tr w:rsidR="005C7FF4" w:rsidRPr="00FA0D37" w14:paraId="45EC3A4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670AE5" w14:textId="77777777" w:rsidR="00394471" w:rsidRPr="00FA0D37" w:rsidRDefault="00394471" w:rsidP="00964CC4">
            <w:pPr>
              <w:pStyle w:val="TAL"/>
              <w:rPr>
                <w:b/>
                <w:bCs/>
                <w:i/>
                <w:iCs/>
                <w:lang w:eastAsia="en-GB"/>
              </w:rPr>
            </w:pPr>
            <w:r w:rsidRPr="00FA0D37">
              <w:rPr>
                <w:b/>
                <w:bCs/>
                <w:i/>
                <w:iCs/>
                <w:lang w:eastAsia="en-GB"/>
              </w:rPr>
              <w:t>sl-PriorityLevel</w:t>
            </w:r>
          </w:p>
          <w:p w14:paraId="5219E17C" w14:textId="77777777" w:rsidR="00394471" w:rsidRPr="00FA0D37" w:rsidRDefault="00394471" w:rsidP="00964CC4">
            <w:pPr>
              <w:pStyle w:val="TAL"/>
              <w:rPr>
                <w:lang w:eastAsia="en-GB"/>
              </w:rPr>
            </w:pPr>
            <w:r w:rsidRPr="00FA0D37">
              <w:rPr>
                <w:lang w:eastAsia="en-GB"/>
              </w:rPr>
              <w:t>Indicates the Priority Level for a QoS flow.</w:t>
            </w:r>
            <w:r w:rsidRPr="00FA0D37">
              <w:rPr>
                <w:lang w:eastAsia="sv-SE"/>
              </w:rPr>
              <w:t xml:space="preserve"> </w:t>
            </w:r>
            <w:r w:rsidRPr="00FA0D37">
              <w:rPr>
                <w:lang w:eastAsia="en-GB"/>
              </w:rPr>
              <w:t>Values ordered in decreasing order of priority, i.e. with 1 as the highest priority and 8 as the lowest priority.</w:t>
            </w:r>
          </w:p>
        </w:tc>
      </w:tr>
      <w:tr w:rsidR="00375B89" w:rsidRPr="00FA0D37" w14:paraId="7F6895F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2845C4F" w14:textId="77777777" w:rsidR="00394471" w:rsidRPr="00FA0D37" w:rsidRDefault="00394471" w:rsidP="00964CC4">
            <w:pPr>
              <w:pStyle w:val="TAL"/>
              <w:rPr>
                <w:rFonts w:eastAsia="等线"/>
                <w:b/>
                <w:bCs/>
                <w:i/>
                <w:iCs/>
                <w:lang w:eastAsia="zh-CN"/>
              </w:rPr>
            </w:pPr>
            <w:r w:rsidRPr="00FA0D37">
              <w:rPr>
                <w:rFonts w:eastAsia="等线"/>
                <w:b/>
                <w:bCs/>
                <w:i/>
                <w:iCs/>
                <w:lang w:eastAsia="zh-CN"/>
              </w:rPr>
              <w:t>sl-StandardizedPQI</w:t>
            </w:r>
          </w:p>
          <w:p w14:paraId="7AD6041C" w14:textId="77777777" w:rsidR="00394471" w:rsidRPr="00FA0D37" w:rsidRDefault="00394471" w:rsidP="00964CC4">
            <w:pPr>
              <w:pStyle w:val="TAL"/>
              <w:rPr>
                <w:rFonts w:eastAsia="等线"/>
                <w:lang w:eastAsia="zh-CN"/>
              </w:rPr>
            </w:pPr>
            <w:r w:rsidRPr="00FA0D37">
              <w:rPr>
                <w:rFonts w:eastAsia="等线"/>
                <w:lang w:eastAsia="zh-CN"/>
              </w:rPr>
              <w:t>Indicate the PQI for standardized PQI.</w:t>
            </w:r>
          </w:p>
        </w:tc>
      </w:tr>
    </w:tbl>
    <w:p w14:paraId="6A4DFEDE" w14:textId="77777777" w:rsidR="00394471" w:rsidRPr="00FA0D37" w:rsidRDefault="00394471" w:rsidP="00394471">
      <w:pPr>
        <w:rPr>
          <w:rFonts w:eastAsia="Yu Mincho"/>
        </w:rPr>
      </w:pPr>
    </w:p>
    <w:p w14:paraId="4D377845" w14:textId="1D9EE6E3" w:rsidR="00394471" w:rsidRPr="00FA0D37" w:rsidRDefault="00394471" w:rsidP="00394471">
      <w:pPr>
        <w:pStyle w:val="4"/>
      </w:pPr>
      <w:bookmarkStart w:id="1804" w:name="_Toc60777542"/>
      <w:bookmarkStart w:id="1805" w:name="_Toc146781665"/>
      <w:r w:rsidRPr="00FA0D37">
        <w:t>–</w:t>
      </w:r>
      <w:r w:rsidRPr="00FA0D37">
        <w:tab/>
      </w:r>
      <w:r w:rsidRPr="00FA0D37">
        <w:rPr>
          <w:i/>
        </w:rPr>
        <w:t>SL-QuantityConfig</w:t>
      </w:r>
      <w:bookmarkEnd w:id="1804"/>
      <w:bookmarkEnd w:id="1805"/>
    </w:p>
    <w:p w14:paraId="640DBEF0" w14:textId="77777777" w:rsidR="00394471" w:rsidRPr="00FA0D37" w:rsidRDefault="00394471" w:rsidP="00394471">
      <w:r w:rsidRPr="00FA0D37">
        <w:t xml:space="preserve">The IE </w:t>
      </w:r>
      <w:r w:rsidRPr="00FA0D37">
        <w:rPr>
          <w:i/>
        </w:rPr>
        <w:t>SL</w:t>
      </w:r>
      <w:r w:rsidRPr="00FA0D37">
        <w:t>-</w:t>
      </w:r>
      <w:r w:rsidRPr="00FA0D37">
        <w:rPr>
          <w:i/>
        </w:rPr>
        <w:t>QuantityConfig</w:t>
      </w:r>
      <w:r w:rsidRPr="00FA0D37">
        <w:t xml:space="preserve"> specifies the layer 3 filtering coefficients for NR SL RSRP measurement for a destination.</w:t>
      </w:r>
    </w:p>
    <w:p w14:paraId="7E62EF26" w14:textId="77777777" w:rsidR="00394471" w:rsidRPr="00FA0D37" w:rsidRDefault="00394471" w:rsidP="00394471">
      <w:pPr>
        <w:pStyle w:val="TH"/>
        <w:rPr>
          <w:lang w:eastAsia="zh-CN"/>
        </w:rPr>
      </w:pPr>
      <w:r w:rsidRPr="00FA0D37">
        <w:rPr>
          <w:i/>
          <w:lang w:eastAsia="zh-CN"/>
        </w:rPr>
        <w:t>SL-QuantityConfig</w:t>
      </w:r>
      <w:r w:rsidRPr="00FA0D37">
        <w:rPr>
          <w:lang w:eastAsia="zh-CN"/>
        </w:rPr>
        <w:t xml:space="preserve"> information element</w:t>
      </w:r>
    </w:p>
    <w:p w14:paraId="347D8F93" w14:textId="77777777" w:rsidR="00394471" w:rsidRPr="00FA0D37" w:rsidRDefault="00394471" w:rsidP="00FA0D37">
      <w:pPr>
        <w:pStyle w:val="PL"/>
        <w:rPr>
          <w:color w:val="808080"/>
        </w:rPr>
      </w:pPr>
      <w:r w:rsidRPr="00FA0D37">
        <w:rPr>
          <w:color w:val="808080"/>
        </w:rPr>
        <w:t>-- ASN1START</w:t>
      </w:r>
    </w:p>
    <w:p w14:paraId="4FF9BD2A" w14:textId="77777777" w:rsidR="00394471" w:rsidRPr="00FA0D37" w:rsidRDefault="00394471" w:rsidP="00FA0D37">
      <w:pPr>
        <w:pStyle w:val="PL"/>
        <w:rPr>
          <w:color w:val="808080"/>
        </w:rPr>
      </w:pPr>
      <w:r w:rsidRPr="00FA0D37">
        <w:rPr>
          <w:color w:val="808080"/>
        </w:rPr>
        <w:t>-- TAG-SL-QUANTITYCONFIG-START</w:t>
      </w:r>
    </w:p>
    <w:p w14:paraId="3ADAC807" w14:textId="77777777" w:rsidR="00394471" w:rsidRPr="00FA0D37" w:rsidRDefault="00394471" w:rsidP="00FA0D37">
      <w:pPr>
        <w:pStyle w:val="PL"/>
      </w:pPr>
    </w:p>
    <w:p w14:paraId="7638913A" w14:textId="77777777" w:rsidR="00394471" w:rsidRPr="00FA0D37" w:rsidRDefault="00394471" w:rsidP="00FA0D37">
      <w:pPr>
        <w:pStyle w:val="PL"/>
      </w:pPr>
      <w:r w:rsidRPr="00FA0D37">
        <w:t xml:space="preserve">SL-QuantityConfig-r16 ::=               </w:t>
      </w:r>
      <w:r w:rsidRPr="00FA0D37">
        <w:rPr>
          <w:color w:val="993366"/>
        </w:rPr>
        <w:t>SEQUENCE</w:t>
      </w:r>
      <w:r w:rsidRPr="00FA0D37">
        <w:t xml:space="preserve"> {</w:t>
      </w:r>
    </w:p>
    <w:p w14:paraId="7328525B" w14:textId="77777777" w:rsidR="00394471" w:rsidRPr="00FA0D37" w:rsidRDefault="00394471" w:rsidP="00FA0D37">
      <w:pPr>
        <w:pStyle w:val="PL"/>
      </w:pPr>
      <w:r w:rsidRPr="00FA0D37">
        <w:t xml:space="preserve">    sl-FilterCoefficientDMRS-r16            FilterCoefficient                             DEFAULT fc4,</w:t>
      </w:r>
    </w:p>
    <w:p w14:paraId="6CEC69A9" w14:textId="77777777" w:rsidR="00394471" w:rsidRPr="00FA0D37" w:rsidRDefault="00394471" w:rsidP="00FA0D37">
      <w:pPr>
        <w:pStyle w:val="PL"/>
      </w:pPr>
      <w:r w:rsidRPr="00FA0D37">
        <w:t xml:space="preserve">    ...</w:t>
      </w:r>
    </w:p>
    <w:p w14:paraId="449E7B4B" w14:textId="77777777" w:rsidR="00394471" w:rsidRPr="00FA0D37" w:rsidRDefault="00394471" w:rsidP="00FA0D37">
      <w:pPr>
        <w:pStyle w:val="PL"/>
      </w:pPr>
      <w:r w:rsidRPr="00FA0D37">
        <w:t>}</w:t>
      </w:r>
    </w:p>
    <w:p w14:paraId="0EECD2AD" w14:textId="77777777" w:rsidR="00394471" w:rsidRPr="00FA0D37" w:rsidRDefault="00394471" w:rsidP="00FA0D37">
      <w:pPr>
        <w:pStyle w:val="PL"/>
      </w:pPr>
    </w:p>
    <w:p w14:paraId="2E5AF5F0" w14:textId="77777777" w:rsidR="00394471" w:rsidRPr="00FA0D37" w:rsidRDefault="00394471" w:rsidP="00FA0D37">
      <w:pPr>
        <w:pStyle w:val="PL"/>
        <w:rPr>
          <w:color w:val="808080"/>
        </w:rPr>
      </w:pPr>
      <w:r w:rsidRPr="00FA0D37">
        <w:rPr>
          <w:color w:val="808080"/>
        </w:rPr>
        <w:t>-- TAG-SL-QuantityConfig-STOP</w:t>
      </w:r>
    </w:p>
    <w:p w14:paraId="7299CFC7" w14:textId="77777777" w:rsidR="00394471" w:rsidRPr="00FA0D37" w:rsidRDefault="00394471" w:rsidP="00FA0D37">
      <w:pPr>
        <w:pStyle w:val="PL"/>
        <w:rPr>
          <w:color w:val="808080"/>
        </w:rPr>
      </w:pPr>
      <w:r w:rsidRPr="00FA0D37">
        <w:rPr>
          <w:color w:val="808080"/>
        </w:rPr>
        <w:t>-- ASN1STOP</w:t>
      </w:r>
    </w:p>
    <w:p w14:paraId="11C4EC19"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4C1767A7"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A236A6" w14:textId="77777777" w:rsidR="00394471" w:rsidRPr="00FA0D37" w:rsidRDefault="00394471" w:rsidP="00964CC4">
            <w:pPr>
              <w:pStyle w:val="TAH"/>
              <w:rPr>
                <w:b w:val="0"/>
                <w:lang w:eastAsia="en-GB"/>
              </w:rPr>
            </w:pPr>
            <w:r w:rsidRPr="00FA0D37">
              <w:rPr>
                <w:i/>
                <w:noProof/>
                <w:lang w:eastAsia="en-GB"/>
              </w:rPr>
              <w:lastRenderedPageBreak/>
              <w:t>SL-QuantityConfig</w:t>
            </w:r>
            <w:r w:rsidRPr="00FA0D37">
              <w:rPr>
                <w:noProof/>
                <w:lang w:eastAsia="en-GB"/>
              </w:rPr>
              <w:t xml:space="preserve"> field descriptions</w:t>
            </w:r>
          </w:p>
        </w:tc>
      </w:tr>
      <w:tr w:rsidR="00375B89" w:rsidRPr="00FA0D37" w14:paraId="0F084D5D"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F05A58" w14:textId="77777777" w:rsidR="00394471" w:rsidRPr="00FA0D37" w:rsidRDefault="00394471" w:rsidP="00964CC4">
            <w:pPr>
              <w:pStyle w:val="TAL"/>
              <w:rPr>
                <w:b/>
                <w:bCs/>
                <w:i/>
                <w:iCs/>
                <w:lang w:eastAsia="en-GB"/>
              </w:rPr>
            </w:pPr>
            <w:r w:rsidRPr="00FA0D37">
              <w:rPr>
                <w:b/>
                <w:bCs/>
                <w:i/>
                <w:iCs/>
                <w:lang w:eastAsia="en-GB"/>
              </w:rPr>
              <w:t>sl-FilterCoefficientDMRS</w:t>
            </w:r>
          </w:p>
          <w:p w14:paraId="77C6B24A" w14:textId="77777777" w:rsidR="00394471" w:rsidRPr="00FA0D37" w:rsidRDefault="00394471" w:rsidP="00964CC4">
            <w:pPr>
              <w:pStyle w:val="TAL"/>
              <w:rPr>
                <w:noProof/>
                <w:lang w:eastAsia="en-GB"/>
              </w:rPr>
            </w:pPr>
            <w:r w:rsidRPr="00FA0D37">
              <w:rPr>
                <w:noProof/>
                <w:lang w:eastAsia="en-GB"/>
              </w:rPr>
              <w:t>DMRS based L3 filter configuration:</w:t>
            </w:r>
          </w:p>
          <w:p w14:paraId="1CB2B64C" w14:textId="12CC75AC" w:rsidR="00394471" w:rsidRPr="00FA0D37" w:rsidRDefault="00394471" w:rsidP="00964CC4">
            <w:pPr>
              <w:pStyle w:val="TAL"/>
              <w:rPr>
                <w:noProof/>
                <w:lang w:eastAsia="en-GB"/>
              </w:rPr>
            </w:pPr>
            <w:r w:rsidRPr="00FA0D37">
              <w:rPr>
                <w:noProof/>
                <w:lang w:eastAsia="en-GB"/>
              </w:rPr>
              <w:t>Specifies L3 fil</w:t>
            </w:r>
            <w:r w:rsidR="00B547B2" w:rsidRPr="00FA0D37">
              <w:rPr>
                <w:noProof/>
                <w:lang w:eastAsia="en-GB"/>
              </w:rPr>
              <w:t>t</w:t>
            </w:r>
            <w:r w:rsidRPr="00FA0D37">
              <w:rPr>
                <w:noProof/>
                <w:lang w:eastAsia="en-GB"/>
              </w:rPr>
              <w:t>er configuration for sidelink RSRP measur</w:t>
            </w:r>
            <w:r w:rsidR="00B547B2" w:rsidRPr="00FA0D37">
              <w:rPr>
                <w:noProof/>
                <w:lang w:eastAsia="en-GB"/>
              </w:rPr>
              <w:t>e</w:t>
            </w:r>
            <w:r w:rsidRPr="00FA0D37">
              <w:rPr>
                <w:noProof/>
                <w:lang w:eastAsia="en-GB"/>
              </w:rPr>
              <w:t>ment result from the L1 fiter(s), as defined in TS 38.215 [9].</w:t>
            </w:r>
          </w:p>
        </w:tc>
      </w:tr>
    </w:tbl>
    <w:p w14:paraId="4C8CB4C3" w14:textId="77777777" w:rsidR="00394471" w:rsidRPr="00FA0D37" w:rsidRDefault="00394471" w:rsidP="00394471">
      <w:pPr>
        <w:rPr>
          <w:rFonts w:eastAsia="Yu Mincho"/>
        </w:rPr>
      </w:pPr>
    </w:p>
    <w:p w14:paraId="4CFF7DB9" w14:textId="08E2F9F5" w:rsidR="00394471" w:rsidRPr="00FA0D37" w:rsidRDefault="00394471" w:rsidP="00394471">
      <w:pPr>
        <w:pStyle w:val="4"/>
      </w:pPr>
      <w:bookmarkStart w:id="1806" w:name="_Toc60777543"/>
      <w:bookmarkStart w:id="1807" w:name="_Toc146781666"/>
      <w:r w:rsidRPr="00FA0D37">
        <w:t>–</w:t>
      </w:r>
      <w:r w:rsidRPr="00FA0D37">
        <w:tab/>
      </w:r>
      <w:r w:rsidRPr="00FA0D37">
        <w:rPr>
          <w:i/>
          <w:iCs/>
        </w:rPr>
        <w:t>SL-RadioBearerConfig</w:t>
      </w:r>
      <w:bookmarkEnd w:id="1806"/>
      <w:bookmarkEnd w:id="1807"/>
    </w:p>
    <w:p w14:paraId="0086F6BB" w14:textId="77777777" w:rsidR="00394471" w:rsidRPr="00FA0D37" w:rsidRDefault="00394471" w:rsidP="00394471">
      <w:pPr>
        <w:keepNext/>
        <w:keepLines/>
        <w:rPr>
          <w:iCs/>
        </w:rPr>
      </w:pPr>
      <w:r w:rsidRPr="00FA0D37">
        <w:rPr>
          <w:iCs/>
        </w:rPr>
        <w:t xml:space="preserve">The IE </w:t>
      </w:r>
      <w:r w:rsidRPr="00FA0D37">
        <w:rPr>
          <w:i/>
        </w:rPr>
        <w:t>SL-RadioBearerConfig</w:t>
      </w:r>
      <w:r w:rsidRPr="00FA0D37">
        <w:rPr>
          <w:iCs/>
        </w:rPr>
        <w:t xml:space="preserve"> specifies the sidelink DRB configuration information for NR sidelink communication.</w:t>
      </w:r>
    </w:p>
    <w:p w14:paraId="54B41336" w14:textId="77777777" w:rsidR="00394471" w:rsidRPr="00FA0D37" w:rsidRDefault="00394471" w:rsidP="00394471">
      <w:pPr>
        <w:pStyle w:val="TH"/>
      </w:pPr>
      <w:r w:rsidRPr="00FA0D37">
        <w:rPr>
          <w:i/>
        </w:rPr>
        <w:t>SL-RadioBearerConfig</w:t>
      </w:r>
      <w:r w:rsidRPr="00FA0D37">
        <w:t xml:space="preserve"> information element</w:t>
      </w:r>
    </w:p>
    <w:p w14:paraId="1B51F010" w14:textId="77777777" w:rsidR="00394471" w:rsidRPr="00FA0D37" w:rsidRDefault="00394471" w:rsidP="00FA0D37">
      <w:pPr>
        <w:pStyle w:val="PL"/>
        <w:rPr>
          <w:color w:val="808080"/>
        </w:rPr>
      </w:pPr>
      <w:r w:rsidRPr="00FA0D37">
        <w:rPr>
          <w:color w:val="808080"/>
        </w:rPr>
        <w:t>-- ASN1START</w:t>
      </w:r>
    </w:p>
    <w:p w14:paraId="317354E7" w14:textId="77777777" w:rsidR="00394471" w:rsidRPr="00FA0D37" w:rsidRDefault="00394471" w:rsidP="00FA0D37">
      <w:pPr>
        <w:pStyle w:val="PL"/>
        <w:rPr>
          <w:color w:val="808080"/>
        </w:rPr>
      </w:pPr>
      <w:r w:rsidRPr="00FA0D37">
        <w:rPr>
          <w:color w:val="808080"/>
        </w:rPr>
        <w:t>-- TAG-SL-RADIOBEARERCONFIG-START</w:t>
      </w:r>
    </w:p>
    <w:p w14:paraId="308CF983" w14:textId="77777777" w:rsidR="00394471" w:rsidRPr="00FA0D37" w:rsidRDefault="00394471" w:rsidP="00FA0D37">
      <w:pPr>
        <w:pStyle w:val="PL"/>
      </w:pPr>
    </w:p>
    <w:p w14:paraId="2B4CD708" w14:textId="77777777" w:rsidR="00394471" w:rsidRPr="00FA0D37" w:rsidRDefault="00394471" w:rsidP="00FA0D37">
      <w:pPr>
        <w:pStyle w:val="PL"/>
      </w:pPr>
      <w:r w:rsidRPr="00FA0D37">
        <w:t xml:space="preserve">SL-RadioBearerConfig-r16 ::=     </w:t>
      </w:r>
      <w:r w:rsidRPr="00FA0D37">
        <w:rPr>
          <w:color w:val="993366"/>
        </w:rPr>
        <w:t>SEQUENCE</w:t>
      </w:r>
      <w:r w:rsidRPr="00FA0D37">
        <w:t xml:space="preserve"> {</w:t>
      </w:r>
    </w:p>
    <w:p w14:paraId="3DE2097A" w14:textId="77777777" w:rsidR="00394471" w:rsidRPr="00FA0D37" w:rsidRDefault="00394471" w:rsidP="00FA0D37">
      <w:pPr>
        <w:pStyle w:val="PL"/>
      </w:pPr>
      <w:r w:rsidRPr="00FA0D37">
        <w:rPr>
          <w:rFonts w:eastAsia="等线"/>
        </w:rPr>
        <w:t xml:space="preserve">    slrb-Uu-ConfigIndex-r16</w:t>
      </w:r>
      <w:r w:rsidRPr="00FA0D37">
        <w:t xml:space="preserve">           </w:t>
      </w:r>
      <w:r w:rsidRPr="00FA0D37">
        <w:rPr>
          <w:rFonts w:eastAsia="等线"/>
        </w:rPr>
        <w:t>SLRB-Uu-ConfigIndex</w:t>
      </w:r>
      <w:r w:rsidRPr="00FA0D37">
        <w:t>-r16,</w:t>
      </w:r>
    </w:p>
    <w:p w14:paraId="2392504F" w14:textId="77777777" w:rsidR="00394471" w:rsidRPr="00FA0D37" w:rsidRDefault="00394471" w:rsidP="00FA0D37">
      <w:pPr>
        <w:pStyle w:val="PL"/>
        <w:rPr>
          <w:color w:val="808080"/>
        </w:rPr>
      </w:pPr>
      <w:r w:rsidRPr="00FA0D37">
        <w:rPr>
          <w:rFonts w:eastAsia="等线"/>
        </w:rPr>
        <w:t xml:space="preserve">    </w:t>
      </w:r>
      <w:r w:rsidRPr="00FA0D37">
        <w:t xml:space="preserve">sl-SDAP-Config-r16                SL-SDAP-Config-r16                                                 </w:t>
      </w:r>
      <w:r w:rsidRPr="00FA0D37">
        <w:rPr>
          <w:color w:val="993366"/>
        </w:rPr>
        <w:t>OPTIONAL</w:t>
      </w:r>
      <w:r w:rsidRPr="00FA0D37">
        <w:t xml:space="preserve">,    </w:t>
      </w:r>
      <w:r w:rsidRPr="00FA0D37">
        <w:rPr>
          <w:color w:val="808080"/>
        </w:rPr>
        <w:t>-- Cond SLRBSetup</w:t>
      </w:r>
    </w:p>
    <w:p w14:paraId="3F1FA903" w14:textId="77777777" w:rsidR="00394471" w:rsidRPr="00FA0D37" w:rsidRDefault="00394471" w:rsidP="00FA0D37">
      <w:pPr>
        <w:pStyle w:val="PL"/>
        <w:rPr>
          <w:rFonts w:eastAsia="等线"/>
          <w:color w:val="808080"/>
        </w:rPr>
      </w:pPr>
      <w:r w:rsidRPr="00FA0D37">
        <w:rPr>
          <w:rFonts w:eastAsia="等线"/>
        </w:rPr>
        <w:t xml:space="preserve">    sl-PDCP-Config</w:t>
      </w:r>
      <w:r w:rsidRPr="00FA0D37">
        <w:t xml:space="preserve">-r16                SL-PDCP-Config-r16                                                 </w:t>
      </w:r>
      <w:r w:rsidRPr="00FA0D37">
        <w:rPr>
          <w:color w:val="993366"/>
        </w:rPr>
        <w:t>OPTIONAL</w:t>
      </w:r>
      <w:r w:rsidRPr="00FA0D37">
        <w:t xml:space="preserve">,    </w:t>
      </w:r>
      <w:r w:rsidRPr="00FA0D37">
        <w:rPr>
          <w:color w:val="808080"/>
        </w:rPr>
        <w:t>-- Cond SLRBSetup</w:t>
      </w:r>
    </w:p>
    <w:p w14:paraId="3CA3A86A" w14:textId="77777777" w:rsidR="00394471" w:rsidRPr="00FA0D37" w:rsidRDefault="00394471" w:rsidP="00FA0D37">
      <w:pPr>
        <w:pStyle w:val="PL"/>
      </w:pPr>
      <w:r w:rsidRPr="00FA0D37">
        <w:rPr>
          <w:rFonts w:eastAsia="等线"/>
        </w:rPr>
        <w:t xml:space="preserve">    sl-TransRange</w:t>
      </w:r>
      <w:r w:rsidRPr="00FA0D37">
        <w:t xml:space="preserve">-r16                 </w:t>
      </w:r>
      <w:r w:rsidRPr="00FA0D37">
        <w:rPr>
          <w:color w:val="993366"/>
        </w:rPr>
        <w:t>ENUMERATED</w:t>
      </w:r>
      <w:r w:rsidRPr="00FA0D37">
        <w:t xml:space="preserve"> {m20, m50, m80, m100, m120, m150, m180, m200, m220, m250, m270, m300, m350, m370,</w:t>
      </w:r>
    </w:p>
    <w:p w14:paraId="6D80B98E" w14:textId="77777777" w:rsidR="00394471" w:rsidRPr="00FA0D37" w:rsidRDefault="00394471" w:rsidP="00FA0D37">
      <w:pPr>
        <w:pStyle w:val="PL"/>
      </w:pPr>
      <w:r w:rsidRPr="00FA0D37">
        <w:t xml:space="preserve">                                                 m400, m420, m450, m480, m500, m550, m600, m700, m1000, spare9, spare8, spare7, spare6,</w:t>
      </w:r>
    </w:p>
    <w:p w14:paraId="7E5B6EA0" w14:textId="77777777" w:rsidR="00394471" w:rsidRPr="00FA0D37" w:rsidRDefault="00394471" w:rsidP="00FA0D37">
      <w:pPr>
        <w:pStyle w:val="PL"/>
        <w:rPr>
          <w:rFonts w:eastAsia="等线"/>
          <w:color w:val="808080"/>
        </w:rPr>
      </w:pPr>
      <w:r w:rsidRPr="00FA0D37">
        <w:t xml:space="preserve">                                                 spare5, spare4, spare3, spare2, spare1}                </w:t>
      </w:r>
      <w:r w:rsidRPr="00FA0D37">
        <w:rPr>
          <w:color w:val="993366"/>
        </w:rPr>
        <w:t>OPTIONAL</w:t>
      </w:r>
      <w:r w:rsidRPr="00FA0D37">
        <w:t xml:space="preserve">,    </w:t>
      </w:r>
      <w:r w:rsidRPr="00FA0D37">
        <w:rPr>
          <w:color w:val="808080"/>
        </w:rPr>
        <w:t>-- Need R</w:t>
      </w:r>
    </w:p>
    <w:p w14:paraId="14AFDBA6" w14:textId="77777777" w:rsidR="00394471" w:rsidRPr="00FA0D37" w:rsidRDefault="00394471" w:rsidP="00FA0D37">
      <w:pPr>
        <w:pStyle w:val="PL"/>
      </w:pPr>
      <w:r w:rsidRPr="00FA0D37">
        <w:t xml:space="preserve">    ...</w:t>
      </w:r>
    </w:p>
    <w:p w14:paraId="398A3BF5" w14:textId="77777777" w:rsidR="00394471" w:rsidRPr="00FA0D37" w:rsidRDefault="00394471" w:rsidP="00FA0D37">
      <w:pPr>
        <w:pStyle w:val="PL"/>
        <w:rPr>
          <w:rFonts w:eastAsia="等线"/>
        </w:rPr>
      </w:pPr>
      <w:r w:rsidRPr="00FA0D37">
        <w:rPr>
          <w:rFonts w:eastAsia="等线"/>
        </w:rPr>
        <w:t>}</w:t>
      </w:r>
    </w:p>
    <w:p w14:paraId="072AF8E1" w14:textId="77777777" w:rsidR="00394471" w:rsidRPr="00FA0D37" w:rsidRDefault="00394471" w:rsidP="00FA0D37">
      <w:pPr>
        <w:pStyle w:val="PL"/>
      </w:pPr>
    </w:p>
    <w:p w14:paraId="169A7F2C" w14:textId="77777777" w:rsidR="00394471" w:rsidRPr="00FA0D37" w:rsidRDefault="00394471" w:rsidP="00FA0D37">
      <w:pPr>
        <w:pStyle w:val="PL"/>
        <w:rPr>
          <w:color w:val="808080"/>
        </w:rPr>
      </w:pPr>
      <w:r w:rsidRPr="00FA0D37">
        <w:rPr>
          <w:color w:val="808080"/>
        </w:rPr>
        <w:t>-- TAG-SL-RADIOBEARERCONFIG-STOP</w:t>
      </w:r>
    </w:p>
    <w:p w14:paraId="400D6DA3" w14:textId="77777777" w:rsidR="00394471" w:rsidRPr="00FA0D37" w:rsidRDefault="00394471" w:rsidP="00FA0D37">
      <w:pPr>
        <w:pStyle w:val="PL"/>
        <w:rPr>
          <w:color w:val="808080"/>
        </w:rPr>
      </w:pPr>
      <w:r w:rsidRPr="00FA0D37">
        <w:rPr>
          <w:color w:val="808080"/>
        </w:rPr>
        <w:t>-- ASN1STOP</w:t>
      </w:r>
    </w:p>
    <w:p w14:paraId="5E33D7F6"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03B721A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5F0D8BB" w14:textId="48CAFCAF" w:rsidR="00394471" w:rsidRPr="00FA0D37" w:rsidRDefault="00394471" w:rsidP="00964CC4">
            <w:pPr>
              <w:pStyle w:val="TAH"/>
              <w:rPr>
                <w:b w:val="0"/>
                <w:lang w:eastAsia="en-GB"/>
              </w:rPr>
            </w:pPr>
            <w:r w:rsidRPr="00FA0D37">
              <w:rPr>
                <w:i/>
                <w:iCs/>
                <w:noProof/>
                <w:lang w:eastAsia="en-GB"/>
              </w:rPr>
              <w:t>SL</w:t>
            </w:r>
            <w:r w:rsidRPr="00FA0D37">
              <w:rPr>
                <w:i/>
                <w:iCs/>
                <w:lang w:eastAsia="sv-SE"/>
              </w:rPr>
              <w:t>-RadioBearerConfig</w:t>
            </w:r>
            <w:r w:rsidRPr="00FA0D37">
              <w:rPr>
                <w:iCs/>
                <w:noProof/>
                <w:lang w:eastAsia="en-GB"/>
              </w:rPr>
              <w:t xml:space="preserve"> field descriptions</w:t>
            </w:r>
          </w:p>
        </w:tc>
      </w:tr>
      <w:tr w:rsidR="005C7FF4" w:rsidRPr="00FA0D37" w14:paraId="784C701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93B5FA" w14:textId="77777777" w:rsidR="00394471" w:rsidRPr="00FA0D37" w:rsidRDefault="00394471" w:rsidP="00964CC4">
            <w:pPr>
              <w:pStyle w:val="TAL"/>
              <w:rPr>
                <w:rFonts w:eastAsia="等线"/>
                <w:b/>
                <w:bCs/>
                <w:i/>
                <w:iCs/>
                <w:lang w:eastAsia="zh-CN"/>
              </w:rPr>
            </w:pPr>
            <w:r w:rsidRPr="00FA0D37">
              <w:rPr>
                <w:rFonts w:eastAsia="等线"/>
                <w:b/>
                <w:bCs/>
                <w:i/>
                <w:iCs/>
                <w:lang w:eastAsia="zh-CN"/>
              </w:rPr>
              <w:t>sl-PDCP-Config</w:t>
            </w:r>
          </w:p>
          <w:p w14:paraId="74B90046" w14:textId="77777777" w:rsidR="00394471" w:rsidRPr="00FA0D37" w:rsidRDefault="00394471" w:rsidP="00964CC4">
            <w:pPr>
              <w:pStyle w:val="TAL"/>
              <w:rPr>
                <w:rFonts w:cs="Arial"/>
                <w:lang w:eastAsia="en-GB"/>
              </w:rPr>
            </w:pPr>
            <w:r w:rsidRPr="00FA0D37">
              <w:rPr>
                <w:rFonts w:eastAsia="等线"/>
                <w:lang w:eastAsia="zh-CN"/>
              </w:rPr>
              <w:t xml:space="preserve">This field indicates the PDCP parameters for the </w:t>
            </w:r>
            <w:r w:rsidRPr="00FA0D37">
              <w:rPr>
                <w:rFonts w:eastAsia="等线" w:cs="Arial"/>
                <w:lang w:eastAsia="zh-CN"/>
              </w:rPr>
              <w:t>sidelink DRB</w:t>
            </w:r>
            <w:r w:rsidRPr="00FA0D37">
              <w:rPr>
                <w:rFonts w:eastAsia="等线"/>
                <w:lang w:eastAsia="zh-CN"/>
              </w:rPr>
              <w:t>.</w:t>
            </w:r>
          </w:p>
        </w:tc>
      </w:tr>
      <w:tr w:rsidR="005C7FF4" w:rsidRPr="00FA0D37" w14:paraId="1DF33EB8"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743915" w14:textId="77777777" w:rsidR="00394471" w:rsidRPr="00FA0D37" w:rsidRDefault="00394471" w:rsidP="00964CC4">
            <w:pPr>
              <w:pStyle w:val="TAL"/>
              <w:rPr>
                <w:rFonts w:cs="Arial"/>
                <w:b/>
                <w:bCs/>
                <w:i/>
                <w:iCs/>
                <w:lang w:eastAsia="en-GB"/>
              </w:rPr>
            </w:pPr>
            <w:r w:rsidRPr="00FA0D37">
              <w:rPr>
                <w:rFonts w:cs="Arial"/>
                <w:b/>
                <w:bCs/>
                <w:i/>
                <w:iCs/>
                <w:lang w:eastAsia="en-GB"/>
              </w:rPr>
              <w:t>sl</w:t>
            </w:r>
            <w:r w:rsidRPr="00FA0D37">
              <w:rPr>
                <w:rFonts w:eastAsia="等线" w:cs="Arial"/>
                <w:b/>
                <w:bCs/>
                <w:i/>
                <w:iCs/>
                <w:lang w:eastAsia="zh-CN"/>
              </w:rPr>
              <w:t>-SDAP-Config</w:t>
            </w:r>
          </w:p>
          <w:p w14:paraId="30BEACAD" w14:textId="77777777" w:rsidR="00394471" w:rsidRPr="00FA0D37" w:rsidRDefault="00394471" w:rsidP="00964CC4">
            <w:pPr>
              <w:pStyle w:val="TAL"/>
              <w:rPr>
                <w:rFonts w:cs="Arial"/>
                <w:lang w:eastAsia="en-GB"/>
              </w:rPr>
            </w:pPr>
            <w:r w:rsidRPr="00FA0D37">
              <w:rPr>
                <w:rFonts w:eastAsia="等线" w:cs="Arial"/>
                <w:lang w:eastAsia="zh-CN"/>
              </w:rPr>
              <w:t>This field indicates how to map sidelink QoS flows to sidelink DRB.</w:t>
            </w:r>
          </w:p>
        </w:tc>
      </w:tr>
      <w:tr w:rsidR="005C7FF4" w:rsidRPr="00FA0D37" w14:paraId="004A6E4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7B9D277" w14:textId="77777777" w:rsidR="00394471" w:rsidRPr="00FA0D37" w:rsidRDefault="00394471" w:rsidP="00964CC4">
            <w:pPr>
              <w:pStyle w:val="TAL"/>
              <w:rPr>
                <w:rFonts w:eastAsia="等线"/>
                <w:b/>
                <w:bCs/>
                <w:i/>
                <w:iCs/>
                <w:lang w:eastAsia="zh-CN"/>
              </w:rPr>
            </w:pPr>
            <w:r w:rsidRPr="00FA0D37">
              <w:rPr>
                <w:rFonts w:eastAsia="等线"/>
                <w:b/>
                <w:bCs/>
                <w:i/>
                <w:iCs/>
                <w:lang w:eastAsia="zh-CN"/>
              </w:rPr>
              <w:t>slrb-Uu-ConfigIndex</w:t>
            </w:r>
          </w:p>
          <w:p w14:paraId="4ECBECDB" w14:textId="77777777" w:rsidR="00394471" w:rsidRPr="00FA0D37" w:rsidRDefault="00394471" w:rsidP="00964CC4">
            <w:pPr>
              <w:pStyle w:val="TAL"/>
              <w:rPr>
                <w:rFonts w:cs="Arial"/>
                <w:lang w:eastAsia="en-GB"/>
              </w:rPr>
            </w:pPr>
            <w:r w:rsidRPr="00FA0D37">
              <w:rPr>
                <w:rFonts w:eastAsia="等线"/>
                <w:lang w:eastAsia="zh-CN"/>
              </w:rPr>
              <w:t xml:space="preserve">This field indicates the index of </w:t>
            </w:r>
            <w:r w:rsidRPr="00FA0D37">
              <w:rPr>
                <w:rFonts w:eastAsia="等线" w:cs="Arial"/>
                <w:lang w:eastAsia="zh-CN"/>
              </w:rPr>
              <w:t>sidelink DRB</w:t>
            </w:r>
            <w:r w:rsidRPr="00FA0D37">
              <w:rPr>
                <w:iCs/>
                <w:lang w:eastAsia="sv-SE"/>
              </w:rPr>
              <w:t xml:space="preserve"> configuration.</w:t>
            </w:r>
          </w:p>
        </w:tc>
      </w:tr>
      <w:tr w:rsidR="00375B89" w:rsidRPr="00FA0D37" w14:paraId="28E7D1A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75F9D4" w14:textId="77777777" w:rsidR="00394471" w:rsidRPr="00FA0D37" w:rsidRDefault="00394471" w:rsidP="00964CC4">
            <w:pPr>
              <w:pStyle w:val="TAL"/>
              <w:rPr>
                <w:rFonts w:eastAsia="等线"/>
                <w:b/>
                <w:bCs/>
                <w:i/>
                <w:iCs/>
                <w:lang w:eastAsia="zh-CN"/>
              </w:rPr>
            </w:pPr>
            <w:r w:rsidRPr="00FA0D37">
              <w:rPr>
                <w:rFonts w:eastAsia="等线"/>
                <w:b/>
                <w:bCs/>
                <w:i/>
                <w:iCs/>
                <w:lang w:eastAsia="zh-CN"/>
              </w:rPr>
              <w:t>sl-TransRange</w:t>
            </w:r>
          </w:p>
          <w:p w14:paraId="42FE17E7" w14:textId="77777777" w:rsidR="00394471" w:rsidRPr="00FA0D37" w:rsidRDefault="00394471" w:rsidP="00964CC4">
            <w:pPr>
              <w:pStyle w:val="TAL"/>
              <w:rPr>
                <w:rFonts w:eastAsia="等线"/>
                <w:lang w:eastAsia="zh-CN"/>
              </w:rPr>
            </w:pPr>
            <w:r w:rsidRPr="00FA0D37">
              <w:rPr>
                <w:rFonts w:eastAsia="等线"/>
                <w:lang w:eastAsia="zh-CN"/>
              </w:rPr>
              <w:t xml:space="preserve">This field indicates the transmission range of the </w:t>
            </w:r>
            <w:r w:rsidRPr="00FA0D37">
              <w:rPr>
                <w:rFonts w:eastAsia="等线" w:cs="Arial"/>
                <w:lang w:eastAsia="zh-CN"/>
              </w:rPr>
              <w:t>sidelink DRB</w:t>
            </w:r>
            <w:r w:rsidRPr="00FA0D37">
              <w:rPr>
                <w:iCs/>
                <w:lang w:eastAsia="sv-SE"/>
              </w:rPr>
              <w:t>. The unit is meter.</w:t>
            </w:r>
          </w:p>
        </w:tc>
      </w:tr>
    </w:tbl>
    <w:p w14:paraId="60621016" w14:textId="77777777" w:rsidR="00394471" w:rsidRPr="00FA0D37"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5C7FF4" w:rsidRPr="00FA0D37" w14:paraId="5136CE8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D100CD6" w14:textId="77777777" w:rsidR="00394471" w:rsidRPr="00FA0D37" w:rsidRDefault="00394471" w:rsidP="00964CC4">
            <w:pPr>
              <w:pStyle w:val="TAH"/>
              <w:rPr>
                <w:b w:val="0"/>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C93659" w14:textId="77777777" w:rsidR="00394471" w:rsidRPr="00FA0D37" w:rsidRDefault="00394471" w:rsidP="00964CC4">
            <w:pPr>
              <w:pStyle w:val="TAH"/>
              <w:rPr>
                <w:lang w:eastAsia="sv-SE"/>
              </w:rPr>
            </w:pPr>
            <w:r w:rsidRPr="00FA0D37">
              <w:rPr>
                <w:lang w:eastAsia="sv-SE"/>
              </w:rPr>
              <w:t>Explanation</w:t>
            </w:r>
          </w:p>
        </w:tc>
      </w:tr>
      <w:tr w:rsidR="00375B89" w:rsidRPr="00FA0D37" w14:paraId="4C13337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E9E9F03" w14:textId="77777777" w:rsidR="00394471" w:rsidRPr="00FA0D37" w:rsidRDefault="00394471" w:rsidP="00964CC4">
            <w:pPr>
              <w:pStyle w:val="TAL"/>
              <w:rPr>
                <w:i/>
                <w:iCs/>
                <w:lang w:eastAsia="sv-SE"/>
              </w:rPr>
            </w:pPr>
            <w:r w:rsidRPr="00FA0D37">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6646FADF" w14:textId="77777777" w:rsidR="00394471" w:rsidRPr="00FA0D37" w:rsidRDefault="00394471" w:rsidP="00964CC4">
            <w:pPr>
              <w:pStyle w:val="TAL"/>
              <w:rPr>
                <w:lang w:eastAsia="sv-SE"/>
              </w:rPr>
            </w:pPr>
            <w:r w:rsidRPr="00FA0D37">
              <w:rPr>
                <w:lang w:eastAsia="sv-SE"/>
              </w:rPr>
              <w:t xml:space="preserve">The field is mandatory present in case of </w:t>
            </w:r>
            <w:r w:rsidRPr="00FA0D37">
              <w:rPr>
                <w:rFonts w:eastAsia="等线" w:cs="Arial"/>
                <w:lang w:eastAsia="zh-CN"/>
              </w:rPr>
              <w:t>sidelink DRB</w:t>
            </w:r>
            <w:r w:rsidRPr="00FA0D37">
              <w:rPr>
                <w:lang w:eastAsia="sv-SE"/>
              </w:rPr>
              <w:t xml:space="preserve"> setup via the dedicated signalling and in case of </w:t>
            </w:r>
            <w:r w:rsidRPr="00FA0D37">
              <w:rPr>
                <w:rFonts w:eastAsia="等线" w:cs="Arial"/>
                <w:lang w:eastAsia="zh-CN"/>
              </w:rPr>
              <w:t>sidelink DRB</w:t>
            </w:r>
            <w:r w:rsidRPr="00FA0D37">
              <w:rPr>
                <w:lang w:eastAsia="sv-SE"/>
              </w:rPr>
              <w:t xml:space="preserve"> configuration via system information and pre-configuration; otherwise the field is optionally present, need M.</w:t>
            </w:r>
          </w:p>
        </w:tc>
      </w:tr>
    </w:tbl>
    <w:p w14:paraId="17AA8978" w14:textId="07D30328" w:rsidR="00394471" w:rsidRPr="00FA0D37" w:rsidRDefault="00394471" w:rsidP="00394471">
      <w:pPr>
        <w:rPr>
          <w:rFonts w:eastAsia="Yu Mincho"/>
        </w:rPr>
      </w:pPr>
    </w:p>
    <w:p w14:paraId="44792A88" w14:textId="77777777" w:rsidR="00E81DFA" w:rsidRPr="00FA0D37" w:rsidRDefault="00E81DFA" w:rsidP="00E81DFA">
      <w:pPr>
        <w:keepNext/>
        <w:keepLines/>
        <w:spacing w:before="120"/>
        <w:ind w:left="1418" w:hanging="1418"/>
        <w:outlineLvl w:val="3"/>
        <w:rPr>
          <w:rFonts w:ascii="Arial" w:hAnsi="Arial"/>
          <w:sz w:val="24"/>
        </w:rPr>
      </w:pPr>
      <w:r w:rsidRPr="00FA0D37">
        <w:rPr>
          <w:rFonts w:ascii="Arial" w:hAnsi="Arial"/>
          <w:sz w:val="24"/>
        </w:rPr>
        <w:lastRenderedPageBreak/>
        <w:t>–</w:t>
      </w:r>
      <w:r w:rsidRPr="00FA0D37">
        <w:rPr>
          <w:rFonts w:ascii="Arial" w:hAnsi="Arial"/>
          <w:sz w:val="24"/>
        </w:rPr>
        <w:tab/>
      </w:r>
      <w:r w:rsidRPr="00FA0D37">
        <w:rPr>
          <w:rFonts w:ascii="Arial" w:hAnsi="Arial"/>
          <w:i/>
          <w:iCs/>
          <w:sz w:val="24"/>
        </w:rPr>
        <w:t>SL-RelayUE-Config</w:t>
      </w:r>
    </w:p>
    <w:p w14:paraId="77617FDD" w14:textId="77777777" w:rsidR="00E81DFA" w:rsidRPr="00FA0D37" w:rsidRDefault="00E81DFA" w:rsidP="00E81DFA">
      <w:pPr>
        <w:keepNext/>
        <w:keepLines/>
        <w:rPr>
          <w:iCs/>
        </w:rPr>
      </w:pPr>
      <w:r w:rsidRPr="00FA0D37">
        <w:rPr>
          <w:iCs/>
        </w:rPr>
        <w:t xml:space="preserve">The IE </w:t>
      </w:r>
      <w:r w:rsidRPr="00FA0D37">
        <w:rPr>
          <w:i/>
          <w:iCs/>
        </w:rPr>
        <w:t xml:space="preserve">SL-RelayUE-Config </w:t>
      </w:r>
      <w:r w:rsidRPr="00FA0D37">
        <w:rPr>
          <w:iCs/>
        </w:rPr>
        <w:t>specifies the configuration information for NR sidelink U2N Relay UE.</w:t>
      </w:r>
    </w:p>
    <w:p w14:paraId="72734708" w14:textId="77777777" w:rsidR="00E81DFA" w:rsidRPr="00FA0D37" w:rsidRDefault="00E81DFA" w:rsidP="00E81DFA">
      <w:pPr>
        <w:keepNext/>
        <w:keepLines/>
        <w:spacing w:before="60"/>
        <w:jc w:val="center"/>
        <w:rPr>
          <w:rFonts w:ascii="Arial" w:hAnsi="Arial"/>
          <w:b/>
        </w:rPr>
      </w:pPr>
      <w:r w:rsidRPr="00FA0D37">
        <w:rPr>
          <w:rFonts w:ascii="Arial" w:hAnsi="Arial"/>
          <w:b/>
          <w:bCs/>
          <w:i/>
          <w:iCs/>
        </w:rPr>
        <w:t>SL-RelayUE-Config</w:t>
      </w:r>
      <w:r w:rsidRPr="00FA0D37">
        <w:rPr>
          <w:rFonts w:ascii="Arial" w:hAnsi="Arial"/>
          <w:b/>
        </w:rPr>
        <w:t xml:space="preserve"> information element</w:t>
      </w:r>
    </w:p>
    <w:p w14:paraId="44A9B14E" w14:textId="77777777" w:rsidR="00E81DFA" w:rsidRPr="00FA0D37" w:rsidRDefault="00E81DFA" w:rsidP="00FA0D37">
      <w:pPr>
        <w:pStyle w:val="PL"/>
        <w:rPr>
          <w:color w:val="808080"/>
        </w:rPr>
      </w:pPr>
      <w:r w:rsidRPr="00FA0D37">
        <w:rPr>
          <w:color w:val="808080"/>
        </w:rPr>
        <w:t>-- ASN1START</w:t>
      </w:r>
    </w:p>
    <w:p w14:paraId="5FD8B255" w14:textId="77777777" w:rsidR="00E81DFA" w:rsidRPr="00FA0D37" w:rsidRDefault="00E81DFA" w:rsidP="00FA0D37">
      <w:pPr>
        <w:pStyle w:val="PL"/>
        <w:rPr>
          <w:color w:val="808080"/>
        </w:rPr>
      </w:pPr>
      <w:r w:rsidRPr="00FA0D37">
        <w:rPr>
          <w:color w:val="808080"/>
        </w:rPr>
        <w:t>-- TAG-SL-RELAYUE-CONFIG-START</w:t>
      </w:r>
    </w:p>
    <w:p w14:paraId="173E6091" w14:textId="77777777" w:rsidR="00E81DFA" w:rsidRPr="00FA0D37" w:rsidRDefault="00E81DFA" w:rsidP="00FA0D37">
      <w:pPr>
        <w:pStyle w:val="PL"/>
      </w:pPr>
    </w:p>
    <w:p w14:paraId="4F0B4D8D" w14:textId="375EBB37" w:rsidR="00E81DFA" w:rsidRPr="00FA0D37" w:rsidRDefault="00E81DFA" w:rsidP="00FA0D37">
      <w:pPr>
        <w:pStyle w:val="PL"/>
      </w:pPr>
      <w:r w:rsidRPr="00FA0D37">
        <w:t xml:space="preserve">SL-RelayUE-Config-r17::=           </w:t>
      </w:r>
      <w:r w:rsidRPr="00FA0D37">
        <w:rPr>
          <w:color w:val="993366"/>
        </w:rPr>
        <w:t>SEQUENCE</w:t>
      </w:r>
      <w:r w:rsidRPr="00FA0D37">
        <w:t xml:space="preserve"> {</w:t>
      </w:r>
    </w:p>
    <w:p w14:paraId="7FAB00DF" w14:textId="77D12985" w:rsidR="00E81DFA" w:rsidRPr="00FA0D37" w:rsidRDefault="00E81DFA" w:rsidP="00FA0D37">
      <w:pPr>
        <w:pStyle w:val="PL"/>
        <w:rPr>
          <w:color w:val="808080"/>
        </w:rPr>
      </w:pPr>
      <w:r w:rsidRPr="00FA0D37">
        <w:t xml:space="preserve">    threshHighRelay-r17                RSRP-Range                              </w:t>
      </w:r>
      <w:r w:rsidRPr="00FA0D37">
        <w:rPr>
          <w:color w:val="993366"/>
        </w:rPr>
        <w:t>OPTIONAL</w:t>
      </w:r>
      <w:r w:rsidRPr="00FA0D37">
        <w:t xml:space="preserve">,     </w:t>
      </w:r>
      <w:r w:rsidRPr="00FA0D37">
        <w:rPr>
          <w:color w:val="808080"/>
        </w:rPr>
        <w:t>-- Need R</w:t>
      </w:r>
    </w:p>
    <w:p w14:paraId="5E4D655E" w14:textId="43CA5001" w:rsidR="00E81DFA" w:rsidRPr="00FA0D37" w:rsidRDefault="00E81DFA" w:rsidP="00FA0D37">
      <w:pPr>
        <w:pStyle w:val="PL"/>
        <w:rPr>
          <w:color w:val="808080"/>
        </w:rPr>
      </w:pPr>
      <w:r w:rsidRPr="00FA0D37">
        <w:t xml:space="preserve">    threshLowRelay-r17                 RSRP-Range                              </w:t>
      </w:r>
      <w:r w:rsidRPr="00FA0D37">
        <w:rPr>
          <w:color w:val="993366"/>
        </w:rPr>
        <w:t>OPTIONAL</w:t>
      </w:r>
      <w:r w:rsidRPr="00FA0D37">
        <w:t xml:space="preserve">,     </w:t>
      </w:r>
      <w:r w:rsidRPr="00FA0D37">
        <w:rPr>
          <w:color w:val="808080"/>
        </w:rPr>
        <w:t>-- Need R</w:t>
      </w:r>
    </w:p>
    <w:p w14:paraId="5A36B8D0" w14:textId="77777777" w:rsidR="00E81DFA" w:rsidRPr="00FA0D37" w:rsidRDefault="00E81DFA" w:rsidP="00FA0D37">
      <w:pPr>
        <w:pStyle w:val="PL"/>
        <w:rPr>
          <w:color w:val="808080"/>
        </w:rPr>
      </w:pPr>
      <w:r w:rsidRPr="00FA0D37">
        <w:t xml:space="preserve">    hystMaxRelay-r17                   Hysteresis                              </w:t>
      </w:r>
      <w:r w:rsidRPr="00FA0D37">
        <w:rPr>
          <w:color w:val="993366"/>
        </w:rPr>
        <w:t>OPTIONAL</w:t>
      </w:r>
      <w:r w:rsidRPr="00FA0D37">
        <w:t xml:space="preserve">,     </w:t>
      </w:r>
      <w:r w:rsidRPr="00FA0D37">
        <w:rPr>
          <w:color w:val="808080"/>
        </w:rPr>
        <w:t>-- Cond ThreshHighRelay</w:t>
      </w:r>
    </w:p>
    <w:p w14:paraId="005CF276" w14:textId="77777777" w:rsidR="00E81DFA" w:rsidRPr="00FA0D37" w:rsidRDefault="00E81DFA" w:rsidP="00FA0D37">
      <w:pPr>
        <w:pStyle w:val="PL"/>
        <w:rPr>
          <w:color w:val="808080"/>
        </w:rPr>
      </w:pPr>
      <w:r w:rsidRPr="00FA0D37">
        <w:t xml:space="preserve">    hystMinRelay-r17                   Hysteresis                              </w:t>
      </w:r>
      <w:r w:rsidRPr="00FA0D37">
        <w:rPr>
          <w:color w:val="993366"/>
        </w:rPr>
        <w:t>OPTIONAL</w:t>
      </w:r>
      <w:r w:rsidRPr="00FA0D37">
        <w:t xml:space="preserve">      </w:t>
      </w:r>
      <w:r w:rsidRPr="00FA0D37">
        <w:rPr>
          <w:color w:val="808080"/>
        </w:rPr>
        <w:t>-- Cond ThreshLowRelay</w:t>
      </w:r>
    </w:p>
    <w:p w14:paraId="08CE45C1" w14:textId="77777777" w:rsidR="00E81DFA" w:rsidRPr="00FA0D37" w:rsidRDefault="00E81DFA" w:rsidP="00FA0D37">
      <w:pPr>
        <w:pStyle w:val="PL"/>
      </w:pPr>
      <w:r w:rsidRPr="00FA0D37">
        <w:t>}</w:t>
      </w:r>
    </w:p>
    <w:p w14:paraId="6C56A905" w14:textId="77777777" w:rsidR="00E81DFA" w:rsidRPr="00FA0D37" w:rsidRDefault="00E81DFA" w:rsidP="00FA0D37">
      <w:pPr>
        <w:pStyle w:val="PL"/>
      </w:pPr>
    </w:p>
    <w:p w14:paraId="28366BC3" w14:textId="77777777" w:rsidR="00E81DFA" w:rsidRPr="00FA0D37" w:rsidRDefault="00E81DFA" w:rsidP="00FA0D37">
      <w:pPr>
        <w:pStyle w:val="PL"/>
        <w:rPr>
          <w:color w:val="808080"/>
        </w:rPr>
      </w:pPr>
      <w:r w:rsidRPr="00FA0D37">
        <w:rPr>
          <w:color w:val="808080"/>
        </w:rPr>
        <w:t>-- TAG-SL-RELAYUE-CONFIG-STOP</w:t>
      </w:r>
    </w:p>
    <w:p w14:paraId="770352A7" w14:textId="1A4D72B6" w:rsidR="00E81DFA" w:rsidRPr="00FA0D37" w:rsidRDefault="00E81DFA" w:rsidP="00FA0D37">
      <w:pPr>
        <w:pStyle w:val="PL"/>
        <w:rPr>
          <w:color w:val="808080"/>
        </w:rPr>
      </w:pPr>
      <w:r w:rsidRPr="00FA0D37">
        <w:rPr>
          <w:color w:val="808080"/>
        </w:rPr>
        <w:t>-- ASN1STOP</w:t>
      </w:r>
    </w:p>
    <w:p w14:paraId="5698C6D8" w14:textId="77777777" w:rsidR="00CA6F5E" w:rsidRPr="00FA0D37"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5C7FF4" w:rsidRPr="00FA0D37" w14:paraId="3680EDA2" w14:textId="77777777" w:rsidTr="0071565C">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E113DE9" w14:textId="77777777" w:rsidR="00CA6F5E" w:rsidRPr="00FA0D37" w:rsidRDefault="00CA6F5E" w:rsidP="0071565C">
            <w:pPr>
              <w:pStyle w:val="TAH"/>
              <w:rPr>
                <w:b w:val="0"/>
                <w:lang w:eastAsia="en-GB"/>
              </w:rPr>
            </w:pPr>
            <w:r w:rsidRPr="00FA0D37">
              <w:rPr>
                <w:i/>
                <w:iCs/>
                <w:lang w:eastAsia="en-GB"/>
              </w:rPr>
              <w:t>SL</w:t>
            </w:r>
            <w:r w:rsidRPr="00FA0D37">
              <w:rPr>
                <w:i/>
                <w:iCs/>
                <w:lang w:eastAsia="sv-SE"/>
              </w:rPr>
              <w:t xml:space="preserve">-RelayUE-Config </w:t>
            </w:r>
            <w:r w:rsidRPr="00FA0D37">
              <w:rPr>
                <w:iCs/>
                <w:lang w:eastAsia="en-GB"/>
              </w:rPr>
              <w:t>field descriptions</w:t>
            </w:r>
          </w:p>
        </w:tc>
      </w:tr>
      <w:tr w:rsidR="005C7FF4" w:rsidRPr="00FA0D37" w14:paraId="34075F6E"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B293F77" w14:textId="1A5918BE" w:rsidR="00CA6F5E" w:rsidRPr="00FA0D37" w:rsidRDefault="00CA6F5E" w:rsidP="0071565C">
            <w:pPr>
              <w:pStyle w:val="TAL"/>
              <w:rPr>
                <w:rFonts w:eastAsia="等线"/>
                <w:b/>
                <w:bCs/>
                <w:i/>
                <w:iCs/>
                <w:lang w:eastAsia="zh-CN"/>
              </w:rPr>
            </w:pPr>
            <w:r w:rsidRPr="00FA0D37">
              <w:rPr>
                <w:rFonts w:eastAsia="等线"/>
                <w:b/>
                <w:bCs/>
                <w:i/>
                <w:iCs/>
                <w:lang w:eastAsia="zh-CN"/>
              </w:rPr>
              <w:t>thres</w:t>
            </w:r>
            <w:r w:rsidR="00B547B2" w:rsidRPr="00FA0D37">
              <w:rPr>
                <w:rFonts w:eastAsia="等线"/>
                <w:b/>
                <w:bCs/>
                <w:i/>
                <w:iCs/>
                <w:lang w:eastAsia="zh-CN"/>
              </w:rPr>
              <w:t>h</w:t>
            </w:r>
            <w:r w:rsidRPr="00FA0D37">
              <w:rPr>
                <w:rFonts w:eastAsia="等线"/>
                <w:b/>
                <w:bCs/>
                <w:i/>
                <w:iCs/>
                <w:lang w:eastAsia="zh-CN"/>
              </w:rPr>
              <w:t>HighRelay</w:t>
            </w:r>
          </w:p>
          <w:p w14:paraId="48746304" w14:textId="64880AF7" w:rsidR="00CA6F5E" w:rsidRPr="00FA0D37" w:rsidRDefault="00CA6F5E" w:rsidP="0071565C">
            <w:pPr>
              <w:pStyle w:val="TAL"/>
              <w:rPr>
                <w:rFonts w:cs="Arial"/>
                <w:lang w:eastAsia="en-GB"/>
              </w:rPr>
            </w:pPr>
            <w:r w:rsidRPr="00FA0D37">
              <w:rPr>
                <w:bCs/>
                <w:kern w:val="2"/>
                <w:lang w:eastAsia="en-GB"/>
              </w:rPr>
              <w:t>Indicates the upper threshold of Uu RSRP for a UE that is in network coverage to evaluate AS layer conditions</w:t>
            </w:r>
            <w:r w:rsidRPr="00FA0D37">
              <w:rPr>
                <w:rFonts w:eastAsia="等线"/>
                <w:lang w:eastAsia="zh-CN"/>
              </w:rPr>
              <w:t xml:space="preserve"> for U2N relay UE operation</w:t>
            </w:r>
            <w:r w:rsidR="00EA6373" w:rsidRPr="00FA0D37">
              <w:rPr>
                <w:bCs/>
                <w:kern w:val="2"/>
                <w:lang w:eastAsia="en-GB"/>
              </w:rPr>
              <w:t>.</w:t>
            </w:r>
          </w:p>
        </w:tc>
      </w:tr>
      <w:tr w:rsidR="00375B89" w:rsidRPr="00FA0D37" w14:paraId="66F479A9"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E4C3AC" w14:textId="60A4E656" w:rsidR="00CA6F5E" w:rsidRPr="00FA0D37" w:rsidRDefault="00CA6F5E" w:rsidP="0071565C">
            <w:pPr>
              <w:pStyle w:val="TAL"/>
              <w:rPr>
                <w:rFonts w:eastAsia="等线"/>
                <w:b/>
                <w:bCs/>
                <w:i/>
                <w:iCs/>
                <w:lang w:eastAsia="zh-CN"/>
              </w:rPr>
            </w:pPr>
            <w:r w:rsidRPr="00FA0D37">
              <w:rPr>
                <w:rFonts w:eastAsia="等线"/>
                <w:b/>
                <w:bCs/>
                <w:i/>
                <w:iCs/>
                <w:lang w:eastAsia="zh-CN"/>
              </w:rPr>
              <w:t>thres</w:t>
            </w:r>
            <w:r w:rsidR="00B547B2" w:rsidRPr="00FA0D37">
              <w:rPr>
                <w:rFonts w:eastAsia="等线"/>
                <w:b/>
                <w:bCs/>
                <w:i/>
                <w:iCs/>
                <w:lang w:eastAsia="zh-CN"/>
              </w:rPr>
              <w:t>h</w:t>
            </w:r>
            <w:r w:rsidRPr="00FA0D37">
              <w:rPr>
                <w:rFonts w:eastAsia="等线"/>
                <w:b/>
                <w:bCs/>
                <w:i/>
                <w:iCs/>
                <w:lang w:eastAsia="zh-CN"/>
              </w:rPr>
              <w:t>LowRelay</w:t>
            </w:r>
          </w:p>
          <w:p w14:paraId="7833669C" w14:textId="77777777" w:rsidR="00CA6F5E" w:rsidRPr="00FA0D37" w:rsidRDefault="00CA6F5E" w:rsidP="0071565C">
            <w:pPr>
              <w:pStyle w:val="TAL"/>
              <w:rPr>
                <w:rFonts w:eastAsia="等线"/>
                <w:lang w:eastAsia="zh-CN"/>
              </w:rPr>
            </w:pPr>
            <w:r w:rsidRPr="00FA0D37">
              <w:rPr>
                <w:rFonts w:eastAsia="等线"/>
                <w:lang w:eastAsia="zh-CN"/>
              </w:rPr>
              <w:t>Indicates the lower threshold of Uu RSRP for a UE that is in network coverage to evaluate AS layer conditions for U2N relay UE operation</w:t>
            </w:r>
            <w:r w:rsidRPr="00FA0D37">
              <w:rPr>
                <w:iCs/>
                <w:lang w:eastAsia="sv-SE"/>
              </w:rPr>
              <w:t>.</w:t>
            </w:r>
          </w:p>
        </w:tc>
      </w:tr>
    </w:tbl>
    <w:p w14:paraId="76637FEF" w14:textId="77777777" w:rsidR="00E81DFA" w:rsidRPr="00FA0D37" w:rsidRDefault="00E81DFA" w:rsidP="00E81DFA">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5C7FF4" w:rsidRPr="00FA0D37" w14:paraId="6DE540E5" w14:textId="77777777" w:rsidTr="00771058">
        <w:tc>
          <w:tcPr>
            <w:tcW w:w="3890" w:type="dxa"/>
            <w:tcBorders>
              <w:top w:val="single" w:sz="4" w:space="0" w:color="auto"/>
              <w:left w:val="single" w:sz="4" w:space="0" w:color="auto"/>
              <w:bottom w:val="single" w:sz="4" w:space="0" w:color="auto"/>
              <w:right w:val="single" w:sz="4" w:space="0" w:color="auto"/>
            </w:tcBorders>
          </w:tcPr>
          <w:p w14:paraId="622FDCDF" w14:textId="77777777" w:rsidR="00E81DFA" w:rsidRPr="00FA0D37" w:rsidRDefault="00E81DFA" w:rsidP="000830BB">
            <w:pPr>
              <w:pStyle w:val="TAH"/>
              <w:rPr>
                <w:lang w:eastAsia="sv-SE"/>
              </w:rPr>
            </w:pPr>
            <w:r w:rsidRPr="00FA0D37">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61394A53" w14:textId="77777777" w:rsidR="00E81DFA" w:rsidRPr="00FA0D37" w:rsidRDefault="00E81DFA" w:rsidP="000830BB">
            <w:pPr>
              <w:pStyle w:val="TAH"/>
              <w:rPr>
                <w:lang w:eastAsia="sv-SE"/>
              </w:rPr>
            </w:pPr>
            <w:r w:rsidRPr="00FA0D37">
              <w:rPr>
                <w:lang w:eastAsia="sv-SE"/>
              </w:rPr>
              <w:t>Explanation</w:t>
            </w:r>
          </w:p>
        </w:tc>
      </w:tr>
      <w:tr w:rsidR="005C7FF4" w:rsidRPr="00FA0D37" w14:paraId="488DD001" w14:textId="77777777" w:rsidTr="00771058">
        <w:tc>
          <w:tcPr>
            <w:tcW w:w="3890" w:type="dxa"/>
            <w:tcBorders>
              <w:top w:val="single" w:sz="4" w:space="0" w:color="auto"/>
              <w:left w:val="single" w:sz="4" w:space="0" w:color="auto"/>
              <w:bottom w:val="single" w:sz="4" w:space="0" w:color="auto"/>
              <w:right w:val="single" w:sz="4" w:space="0" w:color="auto"/>
            </w:tcBorders>
          </w:tcPr>
          <w:p w14:paraId="0EF77CDE" w14:textId="77777777" w:rsidR="00E81DFA" w:rsidRPr="00FA0D37" w:rsidRDefault="00E81DFA" w:rsidP="000830BB">
            <w:pPr>
              <w:pStyle w:val="TAL"/>
              <w:rPr>
                <w:i/>
                <w:iCs/>
                <w:lang w:eastAsia="sv-SE"/>
              </w:rPr>
            </w:pPr>
            <w:r w:rsidRPr="00FA0D37">
              <w:rPr>
                <w:i/>
                <w:iCs/>
                <w:lang w:eastAsia="sv-SE"/>
              </w:rPr>
              <w:t>ThreshHighRelay</w:t>
            </w:r>
          </w:p>
        </w:tc>
        <w:tc>
          <w:tcPr>
            <w:tcW w:w="10261" w:type="dxa"/>
            <w:tcBorders>
              <w:top w:val="single" w:sz="4" w:space="0" w:color="auto"/>
              <w:left w:val="single" w:sz="4" w:space="0" w:color="auto"/>
              <w:bottom w:val="single" w:sz="4" w:space="0" w:color="auto"/>
              <w:right w:val="single" w:sz="4" w:space="0" w:color="auto"/>
            </w:tcBorders>
          </w:tcPr>
          <w:p w14:paraId="477E04E0" w14:textId="77777777" w:rsidR="00E81DFA" w:rsidRPr="00FA0D37" w:rsidRDefault="00E81DFA" w:rsidP="000830BB">
            <w:pPr>
              <w:pStyle w:val="TAL"/>
              <w:rPr>
                <w:lang w:eastAsia="sv-SE"/>
              </w:rPr>
            </w:pPr>
            <w:r w:rsidRPr="00FA0D37">
              <w:rPr>
                <w:lang w:eastAsia="sv-SE"/>
              </w:rPr>
              <w:t>This field is mandatory present if threshHighRelay is included. Otherwise, the field is absent, Need R.</w:t>
            </w:r>
          </w:p>
        </w:tc>
      </w:tr>
      <w:tr w:rsidR="00E81DFA" w:rsidRPr="00FA0D37" w14:paraId="0826F684" w14:textId="77777777" w:rsidTr="00771058">
        <w:tc>
          <w:tcPr>
            <w:tcW w:w="3890" w:type="dxa"/>
            <w:tcBorders>
              <w:top w:val="single" w:sz="4" w:space="0" w:color="auto"/>
              <w:left w:val="single" w:sz="4" w:space="0" w:color="auto"/>
              <w:bottom w:val="single" w:sz="4" w:space="0" w:color="auto"/>
              <w:right w:val="single" w:sz="4" w:space="0" w:color="auto"/>
            </w:tcBorders>
          </w:tcPr>
          <w:p w14:paraId="03718CE9" w14:textId="77777777" w:rsidR="00E81DFA" w:rsidRPr="00FA0D37" w:rsidRDefault="00E81DFA" w:rsidP="000830BB">
            <w:pPr>
              <w:pStyle w:val="TAL"/>
              <w:rPr>
                <w:i/>
                <w:iCs/>
                <w:lang w:eastAsia="sv-SE"/>
              </w:rPr>
            </w:pPr>
            <w:r w:rsidRPr="00FA0D37">
              <w:rPr>
                <w:i/>
                <w:iCs/>
                <w:lang w:eastAsia="sv-SE"/>
              </w:rPr>
              <w:t>ThreshLowRelay</w:t>
            </w:r>
          </w:p>
        </w:tc>
        <w:tc>
          <w:tcPr>
            <w:tcW w:w="10261" w:type="dxa"/>
            <w:tcBorders>
              <w:top w:val="single" w:sz="4" w:space="0" w:color="auto"/>
              <w:left w:val="single" w:sz="4" w:space="0" w:color="auto"/>
              <w:bottom w:val="single" w:sz="4" w:space="0" w:color="auto"/>
              <w:right w:val="single" w:sz="4" w:space="0" w:color="auto"/>
            </w:tcBorders>
          </w:tcPr>
          <w:p w14:paraId="36377241" w14:textId="77777777" w:rsidR="00E81DFA" w:rsidRPr="00FA0D37" w:rsidRDefault="00E81DFA" w:rsidP="000830BB">
            <w:pPr>
              <w:pStyle w:val="TAL"/>
              <w:rPr>
                <w:lang w:eastAsia="sv-SE"/>
              </w:rPr>
            </w:pPr>
            <w:r w:rsidRPr="00FA0D37">
              <w:rPr>
                <w:lang w:eastAsia="sv-SE"/>
              </w:rPr>
              <w:t>This field is mandatory present if threshLowRelay is included. Otherwise, the field is absent, Need R.</w:t>
            </w:r>
          </w:p>
        </w:tc>
      </w:tr>
    </w:tbl>
    <w:p w14:paraId="59CBE3B1" w14:textId="77777777" w:rsidR="00E81DFA" w:rsidRPr="00FA0D37" w:rsidRDefault="00E81DFA" w:rsidP="00E81DFA">
      <w:pPr>
        <w:rPr>
          <w:rFonts w:eastAsia="Yu Mincho"/>
        </w:rPr>
      </w:pPr>
    </w:p>
    <w:p w14:paraId="7DEAF0E9" w14:textId="09B2143F" w:rsidR="00E81DFA" w:rsidRPr="00FA0D37" w:rsidRDefault="00E81DFA" w:rsidP="000830BB">
      <w:pPr>
        <w:pStyle w:val="4"/>
      </w:pPr>
      <w:bookmarkStart w:id="1808" w:name="_Toc146781667"/>
      <w:r w:rsidRPr="00FA0D37">
        <w:t>–</w:t>
      </w:r>
      <w:r w:rsidRPr="00FA0D37">
        <w:tab/>
      </w:r>
      <w:r w:rsidRPr="00FA0D37">
        <w:rPr>
          <w:i/>
          <w:iCs/>
        </w:rPr>
        <w:t>SL-RemoteUE-Config</w:t>
      </w:r>
      <w:bookmarkEnd w:id="1808"/>
    </w:p>
    <w:p w14:paraId="39292543" w14:textId="77777777" w:rsidR="00E81DFA" w:rsidRPr="00FA0D37" w:rsidRDefault="00E81DFA" w:rsidP="00E81DFA">
      <w:pPr>
        <w:keepNext/>
        <w:keepLines/>
        <w:rPr>
          <w:iCs/>
        </w:rPr>
      </w:pPr>
      <w:r w:rsidRPr="00FA0D37">
        <w:rPr>
          <w:iCs/>
        </w:rPr>
        <w:t xml:space="preserve">The IE </w:t>
      </w:r>
      <w:r w:rsidRPr="00FA0D37">
        <w:rPr>
          <w:i/>
          <w:iCs/>
        </w:rPr>
        <w:t xml:space="preserve">SL-RemoteUE-Config </w:t>
      </w:r>
      <w:r w:rsidRPr="00FA0D37">
        <w:rPr>
          <w:iCs/>
        </w:rPr>
        <w:t>specifies the configuration information for NR sidelink U2N Remote UE.</w:t>
      </w:r>
    </w:p>
    <w:p w14:paraId="7A8756AD" w14:textId="77777777" w:rsidR="00E81DFA" w:rsidRPr="00FA0D37" w:rsidRDefault="00E81DFA" w:rsidP="000830BB">
      <w:pPr>
        <w:pStyle w:val="TH"/>
      </w:pPr>
      <w:r w:rsidRPr="00FA0D37">
        <w:rPr>
          <w:bCs/>
          <w:i/>
          <w:iCs/>
        </w:rPr>
        <w:t>SL-RemoteUE-Config</w:t>
      </w:r>
      <w:r w:rsidRPr="00FA0D37">
        <w:t xml:space="preserve"> information element</w:t>
      </w:r>
    </w:p>
    <w:p w14:paraId="57B8E723" w14:textId="77777777" w:rsidR="00E81DFA" w:rsidRPr="00FA0D37" w:rsidRDefault="00E81DFA" w:rsidP="00FA0D37">
      <w:pPr>
        <w:pStyle w:val="PL"/>
        <w:rPr>
          <w:color w:val="808080"/>
        </w:rPr>
      </w:pPr>
      <w:r w:rsidRPr="00FA0D37">
        <w:rPr>
          <w:color w:val="808080"/>
        </w:rPr>
        <w:t>-- ASN1START</w:t>
      </w:r>
    </w:p>
    <w:p w14:paraId="2F776047" w14:textId="77777777" w:rsidR="00E81DFA" w:rsidRPr="00FA0D37" w:rsidRDefault="00E81DFA" w:rsidP="00FA0D37">
      <w:pPr>
        <w:pStyle w:val="PL"/>
        <w:rPr>
          <w:color w:val="808080"/>
        </w:rPr>
      </w:pPr>
      <w:r w:rsidRPr="00FA0D37">
        <w:rPr>
          <w:color w:val="808080"/>
        </w:rPr>
        <w:t>-- TAG-SL-REMOTEUE-CONFIG-START</w:t>
      </w:r>
    </w:p>
    <w:p w14:paraId="11B54B6D" w14:textId="77777777" w:rsidR="00E81DFA" w:rsidRPr="00FA0D37" w:rsidRDefault="00E81DFA" w:rsidP="00FA0D37">
      <w:pPr>
        <w:pStyle w:val="PL"/>
      </w:pPr>
    </w:p>
    <w:p w14:paraId="731B60F2" w14:textId="436C1958" w:rsidR="00E81DFA" w:rsidRPr="00FA0D37" w:rsidRDefault="00E81DFA" w:rsidP="00FA0D37">
      <w:pPr>
        <w:pStyle w:val="PL"/>
      </w:pPr>
      <w:r w:rsidRPr="00FA0D37">
        <w:t xml:space="preserve">SL-RemoteUE-Config-r17::=           </w:t>
      </w:r>
      <w:r w:rsidRPr="00FA0D37">
        <w:rPr>
          <w:color w:val="993366"/>
        </w:rPr>
        <w:t>SEQUENCE</w:t>
      </w:r>
      <w:r w:rsidRPr="00FA0D37">
        <w:t xml:space="preserve"> {</w:t>
      </w:r>
    </w:p>
    <w:p w14:paraId="7C6327A2" w14:textId="22C45A5D" w:rsidR="00E81DFA" w:rsidRPr="00FA0D37" w:rsidRDefault="00E81DFA" w:rsidP="00FA0D37">
      <w:pPr>
        <w:pStyle w:val="PL"/>
        <w:rPr>
          <w:color w:val="808080"/>
        </w:rPr>
      </w:pPr>
      <w:r w:rsidRPr="00FA0D37">
        <w:t xml:space="preserve">    threshHighRemote-r17                RSRP-Range                                       </w:t>
      </w:r>
      <w:r w:rsidRPr="00FA0D37">
        <w:rPr>
          <w:color w:val="993366"/>
        </w:rPr>
        <w:t>OPTIONAL</w:t>
      </w:r>
      <w:r w:rsidRPr="00FA0D37">
        <w:t xml:space="preserve">,     </w:t>
      </w:r>
      <w:r w:rsidRPr="00FA0D37">
        <w:rPr>
          <w:color w:val="808080"/>
        </w:rPr>
        <w:t>-- Need R</w:t>
      </w:r>
    </w:p>
    <w:p w14:paraId="02F47EA5" w14:textId="2F9FF687" w:rsidR="00E81DFA" w:rsidRPr="00FA0D37" w:rsidRDefault="00E81DFA" w:rsidP="00FA0D37">
      <w:pPr>
        <w:pStyle w:val="PL"/>
        <w:rPr>
          <w:color w:val="808080"/>
        </w:rPr>
      </w:pPr>
      <w:r w:rsidRPr="00FA0D37">
        <w:t xml:space="preserve">    hystMaxRemote-r17                   Hysteresis                                       </w:t>
      </w:r>
      <w:r w:rsidRPr="00FA0D37">
        <w:rPr>
          <w:color w:val="993366"/>
        </w:rPr>
        <w:t>OPTIONAL</w:t>
      </w:r>
      <w:r w:rsidRPr="00FA0D37">
        <w:t xml:space="preserve">,     </w:t>
      </w:r>
      <w:r w:rsidRPr="00FA0D37">
        <w:rPr>
          <w:color w:val="808080"/>
        </w:rPr>
        <w:t>-- Cond ThreshHighRemote</w:t>
      </w:r>
    </w:p>
    <w:p w14:paraId="78AB3F1A" w14:textId="151906D5" w:rsidR="00E81DFA" w:rsidRPr="00FA0D37" w:rsidRDefault="00E81DFA" w:rsidP="00FA0D37">
      <w:pPr>
        <w:pStyle w:val="PL"/>
        <w:rPr>
          <w:color w:val="808080"/>
        </w:rPr>
      </w:pPr>
      <w:r w:rsidRPr="00FA0D37">
        <w:t xml:space="preserve">    sl-ReselectionConfig-r17            SL-ReselectionConfig-r17                         </w:t>
      </w:r>
      <w:r w:rsidRPr="00FA0D37">
        <w:rPr>
          <w:color w:val="993366"/>
        </w:rPr>
        <w:t>OPTIONAL</w:t>
      </w:r>
      <w:r w:rsidRPr="00FA0D37">
        <w:t xml:space="preserve">      </w:t>
      </w:r>
      <w:r w:rsidRPr="00FA0D37">
        <w:rPr>
          <w:color w:val="808080"/>
        </w:rPr>
        <w:t>-- Need R</w:t>
      </w:r>
    </w:p>
    <w:p w14:paraId="5CA0CD5E" w14:textId="77777777" w:rsidR="00E81DFA" w:rsidRPr="00FA0D37" w:rsidRDefault="00E81DFA" w:rsidP="00FA0D37">
      <w:pPr>
        <w:pStyle w:val="PL"/>
      </w:pPr>
      <w:r w:rsidRPr="00FA0D37">
        <w:t>}</w:t>
      </w:r>
    </w:p>
    <w:p w14:paraId="1FF388E9" w14:textId="77777777" w:rsidR="00E81DFA" w:rsidRPr="00FA0D37" w:rsidRDefault="00E81DFA" w:rsidP="00FA0D37">
      <w:pPr>
        <w:pStyle w:val="PL"/>
      </w:pPr>
    </w:p>
    <w:p w14:paraId="5CD80C7D" w14:textId="3432116B" w:rsidR="00E81DFA" w:rsidRPr="00FA0D37" w:rsidRDefault="00E81DFA" w:rsidP="00FA0D37">
      <w:pPr>
        <w:pStyle w:val="PL"/>
      </w:pPr>
      <w:r w:rsidRPr="00FA0D37">
        <w:t xml:space="preserve">SL-ReselectionConfig-r17::=         </w:t>
      </w:r>
      <w:r w:rsidRPr="00FA0D37">
        <w:rPr>
          <w:color w:val="993366"/>
        </w:rPr>
        <w:t>SEQUENCE</w:t>
      </w:r>
      <w:r w:rsidRPr="00FA0D37">
        <w:t xml:space="preserve"> {</w:t>
      </w:r>
    </w:p>
    <w:p w14:paraId="6763F9F0" w14:textId="3988C501" w:rsidR="00E81DFA" w:rsidRPr="00FA0D37" w:rsidRDefault="00E81DFA" w:rsidP="00FA0D37">
      <w:pPr>
        <w:pStyle w:val="PL"/>
        <w:rPr>
          <w:color w:val="808080"/>
        </w:rPr>
      </w:pPr>
      <w:r w:rsidRPr="00FA0D37">
        <w:t xml:space="preserve">    sl-RSRP-Thresh-r17                  SL-RSRP-Range-r16                                </w:t>
      </w:r>
      <w:r w:rsidRPr="00FA0D37">
        <w:rPr>
          <w:color w:val="993366"/>
        </w:rPr>
        <w:t>OPTIONAL</w:t>
      </w:r>
      <w:r w:rsidRPr="00FA0D37">
        <w:t xml:space="preserve">,     </w:t>
      </w:r>
      <w:r w:rsidRPr="00FA0D37">
        <w:rPr>
          <w:color w:val="808080"/>
        </w:rPr>
        <w:t>-- Need R</w:t>
      </w:r>
    </w:p>
    <w:p w14:paraId="017866ED" w14:textId="2E4C9E11" w:rsidR="00E81DFA" w:rsidRPr="00FA0D37" w:rsidRDefault="00E81DFA" w:rsidP="00FA0D37">
      <w:pPr>
        <w:pStyle w:val="PL"/>
        <w:rPr>
          <w:color w:val="808080"/>
        </w:rPr>
      </w:pPr>
      <w:r w:rsidRPr="00FA0D37">
        <w:t xml:space="preserve">    sl-FilterCoefficientRSRP-r17       </w:t>
      </w:r>
      <w:r w:rsidR="00CA6F5E" w:rsidRPr="00FA0D37">
        <w:t xml:space="preserve"> </w:t>
      </w:r>
      <w:r w:rsidRPr="00FA0D37">
        <w:t xml:space="preserve">FilterCoefficient                                </w:t>
      </w:r>
      <w:r w:rsidRPr="00FA0D37">
        <w:rPr>
          <w:color w:val="993366"/>
        </w:rPr>
        <w:t>OPTIONAL</w:t>
      </w:r>
      <w:r w:rsidRPr="00FA0D37">
        <w:t xml:space="preserve">,     </w:t>
      </w:r>
      <w:r w:rsidRPr="00FA0D37">
        <w:rPr>
          <w:color w:val="808080"/>
        </w:rPr>
        <w:t>-- Need R</w:t>
      </w:r>
    </w:p>
    <w:p w14:paraId="03113372" w14:textId="4C58B982" w:rsidR="00E81DFA" w:rsidRPr="00FA0D37" w:rsidRDefault="00E81DFA" w:rsidP="00FA0D37">
      <w:pPr>
        <w:pStyle w:val="PL"/>
        <w:rPr>
          <w:color w:val="808080"/>
        </w:rPr>
      </w:pPr>
      <w:r w:rsidRPr="00FA0D37">
        <w:t xml:space="preserve">    sl-HystMin-r17                      Hysteresis                                       </w:t>
      </w:r>
      <w:r w:rsidRPr="00FA0D37">
        <w:rPr>
          <w:color w:val="993366"/>
        </w:rPr>
        <w:t>OPTIONAL</w:t>
      </w:r>
      <w:r w:rsidRPr="00FA0D37">
        <w:t xml:space="preserve">      </w:t>
      </w:r>
      <w:r w:rsidRPr="00FA0D37">
        <w:rPr>
          <w:color w:val="808080"/>
        </w:rPr>
        <w:t xml:space="preserve">-- </w:t>
      </w:r>
      <w:r w:rsidR="00CA6F5E" w:rsidRPr="00FA0D37">
        <w:rPr>
          <w:color w:val="808080"/>
        </w:rPr>
        <w:t>Cond SL-RSRP-Thresh</w:t>
      </w:r>
    </w:p>
    <w:p w14:paraId="45EF495F" w14:textId="77777777" w:rsidR="00E81DFA" w:rsidRPr="00FA0D37" w:rsidRDefault="00E81DFA" w:rsidP="00FA0D37">
      <w:pPr>
        <w:pStyle w:val="PL"/>
      </w:pPr>
      <w:r w:rsidRPr="00FA0D37">
        <w:t>}</w:t>
      </w:r>
    </w:p>
    <w:p w14:paraId="07DEA641" w14:textId="77777777" w:rsidR="00E81DFA" w:rsidRPr="00FA0D37" w:rsidRDefault="00E81DFA" w:rsidP="00FA0D37">
      <w:pPr>
        <w:pStyle w:val="PL"/>
      </w:pPr>
    </w:p>
    <w:p w14:paraId="42A4625F" w14:textId="77777777" w:rsidR="00E81DFA" w:rsidRPr="00FA0D37" w:rsidRDefault="00E81DFA" w:rsidP="00FA0D37">
      <w:pPr>
        <w:pStyle w:val="PL"/>
        <w:rPr>
          <w:color w:val="808080"/>
        </w:rPr>
      </w:pPr>
      <w:r w:rsidRPr="00FA0D37">
        <w:rPr>
          <w:color w:val="808080"/>
        </w:rPr>
        <w:t>-- TAG-SL-REMOTEUE-CONFIG-STOP</w:t>
      </w:r>
    </w:p>
    <w:p w14:paraId="2F63F435" w14:textId="30081F45" w:rsidR="00E81DFA" w:rsidRPr="00FA0D37" w:rsidRDefault="00E81DFA" w:rsidP="00FA0D37">
      <w:pPr>
        <w:pStyle w:val="PL"/>
        <w:rPr>
          <w:color w:val="808080"/>
        </w:rPr>
      </w:pPr>
      <w:r w:rsidRPr="00FA0D37">
        <w:rPr>
          <w:color w:val="808080"/>
        </w:rPr>
        <w:t>-- ASN1STOP</w:t>
      </w:r>
    </w:p>
    <w:p w14:paraId="681F6BE0" w14:textId="77777777" w:rsidR="00CA6F5E" w:rsidRPr="00FA0D37"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5C7FF4" w:rsidRPr="00FA0D37" w14:paraId="28697B8A" w14:textId="77777777" w:rsidTr="0071565C">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87A5708" w14:textId="77777777" w:rsidR="00CA6F5E" w:rsidRPr="00FA0D37" w:rsidRDefault="00CA6F5E" w:rsidP="0071565C">
            <w:pPr>
              <w:pStyle w:val="TAH"/>
              <w:rPr>
                <w:b w:val="0"/>
                <w:lang w:eastAsia="en-GB"/>
              </w:rPr>
            </w:pPr>
            <w:r w:rsidRPr="00FA0D37">
              <w:rPr>
                <w:i/>
                <w:iCs/>
                <w:lang w:eastAsia="en-GB"/>
              </w:rPr>
              <w:t>SL</w:t>
            </w:r>
            <w:r w:rsidRPr="00FA0D37">
              <w:rPr>
                <w:i/>
                <w:iCs/>
                <w:lang w:eastAsia="sv-SE"/>
              </w:rPr>
              <w:t xml:space="preserve">-RemoteUE-Config </w:t>
            </w:r>
            <w:r w:rsidRPr="00FA0D37">
              <w:rPr>
                <w:iCs/>
                <w:lang w:eastAsia="en-GB"/>
              </w:rPr>
              <w:t>field descriptions</w:t>
            </w:r>
          </w:p>
        </w:tc>
      </w:tr>
      <w:tr w:rsidR="005C7FF4" w:rsidRPr="00FA0D37" w14:paraId="47D6E2C6"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B5285C" w14:textId="77777777" w:rsidR="00CA6F5E" w:rsidRPr="00FA0D37" w:rsidRDefault="00CA6F5E" w:rsidP="0071565C">
            <w:pPr>
              <w:pStyle w:val="TAL"/>
              <w:rPr>
                <w:rFonts w:eastAsia="等线"/>
                <w:b/>
                <w:bCs/>
                <w:i/>
                <w:iCs/>
                <w:lang w:eastAsia="zh-CN"/>
              </w:rPr>
            </w:pPr>
            <w:r w:rsidRPr="00FA0D37">
              <w:rPr>
                <w:rFonts w:eastAsia="等线"/>
                <w:b/>
                <w:bCs/>
                <w:i/>
                <w:iCs/>
                <w:lang w:eastAsia="zh-CN"/>
              </w:rPr>
              <w:t>sl-ReselectionConfig</w:t>
            </w:r>
          </w:p>
          <w:p w14:paraId="4DDA3959" w14:textId="77777777" w:rsidR="00CA6F5E" w:rsidRPr="00FA0D37" w:rsidRDefault="00CA6F5E" w:rsidP="0071565C">
            <w:pPr>
              <w:pStyle w:val="TAL"/>
              <w:rPr>
                <w:rFonts w:cs="Arial"/>
                <w:lang w:eastAsia="en-GB"/>
              </w:rPr>
            </w:pPr>
            <w:r w:rsidRPr="00FA0D37">
              <w:rPr>
                <w:lang w:eastAsia="en-GB"/>
              </w:rPr>
              <w:t>Includes the parameters used by the U2N remote UE when selecting/ reselecting a U2N relay UE.</w:t>
            </w:r>
          </w:p>
        </w:tc>
      </w:tr>
      <w:tr w:rsidR="00375B89" w:rsidRPr="00FA0D37" w14:paraId="2A240EF9"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C69ECC" w14:textId="77777777" w:rsidR="00CA6F5E" w:rsidRPr="00FA0D37" w:rsidRDefault="00CA6F5E" w:rsidP="0071565C">
            <w:pPr>
              <w:pStyle w:val="TAL"/>
              <w:rPr>
                <w:rFonts w:eastAsia="等线"/>
                <w:b/>
                <w:bCs/>
                <w:i/>
                <w:iCs/>
                <w:lang w:eastAsia="zh-CN"/>
              </w:rPr>
            </w:pPr>
            <w:r w:rsidRPr="00FA0D37">
              <w:rPr>
                <w:rFonts w:eastAsia="等线"/>
                <w:b/>
                <w:bCs/>
                <w:i/>
                <w:iCs/>
                <w:lang w:eastAsia="zh-CN"/>
              </w:rPr>
              <w:t>thresHighRemote</w:t>
            </w:r>
          </w:p>
          <w:p w14:paraId="73C6BBEB" w14:textId="77777777" w:rsidR="00CA6F5E" w:rsidRPr="00FA0D37" w:rsidRDefault="00CA6F5E" w:rsidP="0071565C">
            <w:pPr>
              <w:pStyle w:val="TAL"/>
              <w:rPr>
                <w:rFonts w:eastAsia="等线"/>
                <w:lang w:eastAsia="zh-CN"/>
              </w:rPr>
            </w:pPr>
            <w:r w:rsidRPr="00FA0D37">
              <w:rPr>
                <w:rFonts w:eastAsia="等线"/>
                <w:lang w:eastAsia="zh-CN"/>
              </w:rPr>
              <w:t>Indicates the threshold of Uu RSRP for a UE that is in network coverage to evaluate AS layer conditions for U2N remote UE operation</w:t>
            </w:r>
            <w:r w:rsidRPr="00FA0D37">
              <w:rPr>
                <w:iCs/>
                <w:lang w:eastAsia="sv-SE"/>
              </w:rPr>
              <w:t>.</w:t>
            </w:r>
          </w:p>
        </w:tc>
      </w:tr>
    </w:tbl>
    <w:p w14:paraId="445F2FD0" w14:textId="77777777" w:rsidR="00CA6F5E" w:rsidRPr="00FA0D37"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5C7FF4" w:rsidRPr="00FA0D37" w14:paraId="0747249B" w14:textId="77777777" w:rsidTr="0071565C">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2BA11BC" w14:textId="77777777" w:rsidR="00CA6F5E" w:rsidRPr="00FA0D37" w:rsidRDefault="00CA6F5E" w:rsidP="0071565C">
            <w:pPr>
              <w:pStyle w:val="TAH"/>
              <w:rPr>
                <w:b w:val="0"/>
                <w:lang w:eastAsia="en-GB"/>
              </w:rPr>
            </w:pPr>
            <w:r w:rsidRPr="00FA0D37">
              <w:rPr>
                <w:i/>
                <w:iCs/>
                <w:lang w:eastAsia="en-GB"/>
              </w:rPr>
              <w:t>SL</w:t>
            </w:r>
            <w:r w:rsidRPr="00FA0D37">
              <w:rPr>
                <w:i/>
                <w:iCs/>
                <w:lang w:eastAsia="sv-SE"/>
              </w:rPr>
              <w:t xml:space="preserve">-ReselectionConfig </w:t>
            </w:r>
            <w:r w:rsidRPr="00FA0D37">
              <w:rPr>
                <w:iCs/>
                <w:lang w:eastAsia="en-GB"/>
              </w:rPr>
              <w:t>field descriptions</w:t>
            </w:r>
          </w:p>
        </w:tc>
      </w:tr>
      <w:tr w:rsidR="005C7FF4" w:rsidRPr="00FA0D37" w14:paraId="6488CBF2" w14:textId="77777777" w:rsidTr="0071565C">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F53F07A" w14:textId="77777777" w:rsidR="00CA6F5E" w:rsidRPr="00FA0D37" w:rsidRDefault="00CA6F5E" w:rsidP="0071565C">
            <w:pPr>
              <w:pStyle w:val="TAL"/>
              <w:rPr>
                <w:rFonts w:eastAsia="等线"/>
                <w:b/>
                <w:bCs/>
                <w:i/>
                <w:iCs/>
                <w:lang w:eastAsia="zh-CN"/>
              </w:rPr>
            </w:pPr>
            <w:r w:rsidRPr="00FA0D37">
              <w:rPr>
                <w:rFonts w:eastAsia="等线"/>
                <w:b/>
                <w:bCs/>
                <w:i/>
                <w:iCs/>
                <w:lang w:eastAsia="zh-CN"/>
              </w:rPr>
              <w:t>sl-FilterCoefficientRSRP</w:t>
            </w:r>
          </w:p>
          <w:p w14:paraId="623D4B90" w14:textId="77777777" w:rsidR="00CA6F5E" w:rsidRPr="00FA0D37" w:rsidRDefault="00CA6F5E" w:rsidP="0071565C">
            <w:pPr>
              <w:pStyle w:val="TAL"/>
              <w:rPr>
                <w:rFonts w:cs="Arial"/>
                <w:lang w:eastAsia="en-GB"/>
              </w:rPr>
            </w:pPr>
            <w:r w:rsidRPr="00FA0D37">
              <w:rPr>
                <w:lang w:eastAsia="en-GB"/>
              </w:rPr>
              <w:t>Specifies L3 filter coefficient for SL communication/ discovery RSRP measurement results from L1 filter.</w:t>
            </w:r>
          </w:p>
        </w:tc>
      </w:tr>
      <w:tr w:rsidR="00375B89" w:rsidRPr="00FA0D37" w14:paraId="6AC8D8B2" w14:textId="77777777" w:rsidTr="0071565C">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F04EDAF" w14:textId="77777777" w:rsidR="00CA6F5E" w:rsidRPr="00FA0D37" w:rsidRDefault="00CA6F5E" w:rsidP="0071565C">
            <w:pPr>
              <w:pStyle w:val="TAL"/>
              <w:rPr>
                <w:rFonts w:eastAsia="等线"/>
                <w:b/>
                <w:bCs/>
                <w:i/>
                <w:iCs/>
                <w:lang w:eastAsia="zh-CN"/>
              </w:rPr>
            </w:pPr>
            <w:r w:rsidRPr="00FA0D37">
              <w:rPr>
                <w:rFonts w:eastAsia="等线"/>
                <w:b/>
                <w:bCs/>
                <w:i/>
                <w:iCs/>
                <w:lang w:eastAsia="zh-CN"/>
              </w:rPr>
              <w:t>sl-RSRP-Thresh</w:t>
            </w:r>
          </w:p>
          <w:p w14:paraId="2B1F4C8F" w14:textId="77777777" w:rsidR="00CA6F5E" w:rsidRPr="00FA0D37" w:rsidRDefault="00CA6F5E" w:rsidP="0071565C">
            <w:pPr>
              <w:pStyle w:val="TAL"/>
              <w:rPr>
                <w:rFonts w:eastAsia="等线"/>
                <w:lang w:eastAsia="zh-CN"/>
              </w:rPr>
            </w:pPr>
            <w:r w:rsidRPr="00FA0D37">
              <w:rPr>
                <w:rFonts w:eastAsia="等线"/>
                <w:lang w:eastAsia="zh-CN"/>
              </w:rPr>
              <w:t>Indicates the threshold of SL communication/ discovery RSRP for a U2N remote UE to perform relay UE selection/ reselection.</w:t>
            </w:r>
          </w:p>
        </w:tc>
      </w:tr>
    </w:tbl>
    <w:p w14:paraId="567189F9" w14:textId="77777777" w:rsidR="00E81DFA" w:rsidRPr="00FA0D37" w:rsidRDefault="00E81DFA" w:rsidP="00E81DFA">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5C7FF4" w:rsidRPr="00FA0D37" w14:paraId="2383901F" w14:textId="77777777" w:rsidTr="00771058">
        <w:tc>
          <w:tcPr>
            <w:tcW w:w="3890" w:type="dxa"/>
            <w:tcBorders>
              <w:top w:val="single" w:sz="4" w:space="0" w:color="auto"/>
              <w:left w:val="single" w:sz="4" w:space="0" w:color="auto"/>
              <w:bottom w:val="single" w:sz="4" w:space="0" w:color="auto"/>
              <w:right w:val="single" w:sz="4" w:space="0" w:color="auto"/>
            </w:tcBorders>
          </w:tcPr>
          <w:p w14:paraId="5CC70792" w14:textId="77777777" w:rsidR="00E81DFA" w:rsidRPr="00FA0D37" w:rsidRDefault="00E81DFA" w:rsidP="000830BB">
            <w:pPr>
              <w:pStyle w:val="TAH"/>
              <w:rPr>
                <w:lang w:eastAsia="sv-SE"/>
              </w:rPr>
            </w:pPr>
            <w:r w:rsidRPr="00FA0D37">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5A7A5E61" w14:textId="77777777" w:rsidR="00E81DFA" w:rsidRPr="00FA0D37" w:rsidRDefault="00E81DFA" w:rsidP="000830BB">
            <w:pPr>
              <w:pStyle w:val="TAH"/>
              <w:rPr>
                <w:lang w:eastAsia="sv-SE"/>
              </w:rPr>
            </w:pPr>
            <w:r w:rsidRPr="00FA0D37">
              <w:rPr>
                <w:lang w:eastAsia="sv-SE"/>
              </w:rPr>
              <w:t>Explanation</w:t>
            </w:r>
          </w:p>
        </w:tc>
      </w:tr>
      <w:tr w:rsidR="005C7FF4" w:rsidRPr="00FA0D37" w14:paraId="3CEDC5AF" w14:textId="77777777" w:rsidTr="0071565C">
        <w:tc>
          <w:tcPr>
            <w:tcW w:w="3890" w:type="dxa"/>
            <w:tcBorders>
              <w:top w:val="single" w:sz="4" w:space="0" w:color="auto"/>
              <w:left w:val="single" w:sz="4" w:space="0" w:color="auto"/>
              <w:bottom w:val="single" w:sz="4" w:space="0" w:color="auto"/>
              <w:right w:val="single" w:sz="4" w:space="0" w:color="auto"/>
            </w:tcBorders>
          </w:tcPr>
          <w:p w14:paraId="037BD168" w14:textId="3113FC2C" w:rsidR="00CA6F5E" w:rsidRPr="00FA0D37" w:rsidRDefault="00CA6F5E" w:rsidP="0071565C">
            <w:pPr>
              <w:pStyle w:val="TAL"/>
              <w:rPr>
                <w:b/>
                <w:i/>
                <w:iCs/>
                <w:lang w:eastAsia="sv-SE"/>
              </w:rPr>
            </w:pPr>
            <w:r w:rsidRPr="00FA0D37">
              <w:rPr>
                <w:i/>
                <w:iCs/>
                <w:lang w:eastAsia="sv-SE"/>
              </w:rPr>
              <w:t>SL-RSRP-Thresh</w:t>
            </w:r>
          </w:p>
        </w:tc>
        <w:tc>
          <w:tcPr>
            <w:tcW w:w="10261" w:type="dxa"/>
            <w:tcBorders>
              <w:top w:val="single" w:sz="4" w:space="0" w:color="auto"/>
              <w:left w:val="single" w:sz="4" w:space="0" w:color="auto"/>
              <w:bottom w:val="single" w:sz="4" w:space="0" w:color="auto"/>
              <w:right w:val="single" w:sz="4" w:space="0" w:color="auto"/>
            </w:tcBorders>
          </w:tcPr>
          <w:p w14:paraId="401D3E59" w14:textId="77777777" w:rsidR="00CA6F5E" w:rsidRPr="00FA0D37" w:rsidRDefault="00CA6F5E" w:rsidP="0071565C">
            <w:pPr>
              <w:pStyle w:val="TAL"/>
              <w:rPr>
                <w:lang w:eastAsia="sv-SE"/>
              </w:rPr>
            </w:pPr>
            <w:r w:rsidRPr="00FA0D37">
              <w:rPr>
                <w:lang w:eastAsia="sv-SE"/>
              </w:rPr>
              <w:t xml:space="preserve">This field is mandatory present if </w:t>
            </w:r>
            <w:r w:rsidRPr="00FA0D37">
              <w:rPr>
                <w:i/>
                <w:lang w:eastAsia="sv-SE"/>
              </w:rPr>
              <w:t>sl-RSRP-Thresh</w:t>
            </w:r>
            <w:r w:rsidRPr="00FA0D37">
              <w:rPr>
                <w:lang w:eastAsia="sv-SE"/>
              </w:rPr>
              <w:t xml:space="preserve"> is included. Otherwise, the field is absent, Need R.</w:t>
            </w:r>
          </w:p>
        </w:tc>
      </w:tr>
      <w:tr w:rsidR="000830BB" w:rsidRPr="00FA0D37" w14:paraId="6C57FC0C" w14:textId="77777777" w:rsidTr="00771058">
        <w:tc>
          <w:tcPr>
            <w:tcW w:w="3890" w:type="dxa"/>
            <w:tcBorders>
              <w:top w:val="single" w:sz="4" w:space="0" w:color="auto"/>
              <w:left w:val="single" w:sz="4" w:space="0" w:color="auto"/>
              <w:bottom w:val="single" w:sz="4" w:space="0" w:color="auto"/>
              <w:right w:val="single" w:sz="4" w:space="0" w:color="auto"/>
            </w:tcBorders>
          </w:tcPr>
          <w:p w14:paraId="093CC9C9" w14:textId="77777777" w:rsidR="00E81DFA" w:rsidRPr="00FA0D37" w:rsidRDefault="00E81DFA" w:rsidP="000830BB">
            <w:pPr>
              <w:pStyle w:val="TAL"/>
              <w:rPr>
                <w:i/>
                <w:iCs/>
                <w:lang w:eastAsia="sv-SE"/>
              </w:rPr>
            </w:pPr>
            <w:r w:rsidRPr="00FA0D37">
              <w:rPr>
                <w:i/>
                <w:iCs/>
                <w:lang w:eastAsia="sv-SE"/>
              </w:rPr>
              <w:t>ThreshHighRemote</w:t>
            </w:r>
          </w:p>
        </w:tc>
        <w:tc>
          <w:tcPr>
            <w:tcW w:w="10261" w:type="dxa"/>
            <w:tcBorders>
              <w:top w:val="single" w:sz="4" w:space="0" w:color="auto"/>
              <w:left w:val="single" w:sz="4" w:space="0" w:color="auto"/>
              <w:bottom w:val="single" w:sz="4" w:space="0" w:color="auto"/>
              <w:right w:val="single" w:sz="4" w:space="0" w:color="auto"/>
            </w:tcBorders>
          </w:tcPr>
          <w:p w14:paraId="7C15D34C" w14:textId="77777777" w:rsidR="00E81DFA" w:rsidRPr="00FA0D37" w:rsidRDefault="00E81DFA" w:rsidP="000830BB">
            <w:pPr>
              <w:pStyle w:val="TAL"/>
              <w:rPr>
                <w:lang w:eastAsia="sv-SE"/>
              </w:rPr>
            </w:pPr>
            <w:r w:rsidRPr="00FA0D37">
              <w:rPr>
                <w:lang w:eastAsia="sv-SE"/>
              </w:rPr>
              <w:t>This field is mandatory present if threshHighRemote is included. Otherwise, the field is absent, Need R.</w:t>
            </w:r>
          </w:p>
        </w:tc>
      </w:tr>
    </w:tbl>
    <w:p w14:paraId="452CD392" w14:textId="77777777" w:rsidR="00E81DFA" w:rsidRPr="00FA0D37" w:rsidRDefault="00E81DFA" w:rsidP="00394471">
      <w:pPr>
        <w:rPr>
          <w:rFonts w:eastAsia="Yu Mincho"/>
        </w:rPr>
      </w:pPr>
    </w:p>
    <w:p w14:paraId="04687246" w14:textId="7336BD16" w:rsidR="00394471" w:rsidRPr="00FA0D37" w:rsidRDefault="00394471" w:rsidP="00394471">
      <w:pPr>
        <w:pStyle w:val="4"/>
      </w:pPr>
      <w:bookmarkStart w:id="1809" w:name="_Toc60777544"/>
      <w:bookmarkStart w:id="1810" w:name="_Toc146781668"/>
      <w:r w:rsidRPr="00FA0D37">
        <w:t>–</w:t>
      </w:r>
      <w:r w:rsidRPr="00FA0D37">
        <w:tab/>
      </w:r>
      <w:r w:rsidRPr="00FA0D37">
        <w:rPr>
          <w:i/>
          <w:iCs/>
        </w:rPr>
        <w:t>SL-ReportConfigList</w:t>
      </w:r>
      <w:bookmarkEnd w:id="1809"/>
      <w:bookmarkEnd w:id="1810"/>
    </w:p>
    <w:p w14:paraId="35F4AB51" w14:textId="77777777" w:rsidR="00394471" w:rsidRPr="00FA0D37" w:rsidRDefault="00394471" w:rsidP="00394471">
      <w:r w:rsidRPr="00FA0D37">
        <w:t xml:space="preserve">The IE </w:t>
      </w:r>
      <w:r w:rsidRPr="00FA0D37">
        <w:rPr>
          <w:i/>
        </w:rPr>
        <w:t>SL</w:t>
      </w:r>
      <w:r w:rsidRPr="00FA0D37">
        <w:t>-</w:t>
      </w:r>
      <w:r w:rsidRPr="00FA0D37">
        <w:rPr>
          <w:i/>
        </w:rPr>
        <w:t>ReportConfigList</w:t>
      </w:r>
      <w:r w:rsidRPr="00FA0D37">
        <w:t xml:space="preserve"> concerns a list of SL measurement reporting configurations to add or modify for a destination.</w:t>
      </w:r>
    </w:p>
    <w:p w14:paraId="065D0BA2" w14:textId="77777777" w:rsidR="00394471" w:rsidRPr="00FA0D37" w:rsidRDefault="00394471" w:rsidP="00394471">
      <w:pPr>
        <w:pStyle w:val="TH"/>
        <w:rPr>
          <w:lang w:eastAsia="zh-CN"/>
        </w:rPr>
      </w:pPr>
      <w:r w:rsidRPr="00FA0D37">
        <w:rPr>
          <w:i/>
          <w:lang w:eastAsia="zh-CN"/>
        </w:rPr>
        <w:t>SL-ReportConfigList</w:t>
      </w:r>
      <w:r w:rsidRPr="00FA0D37">
        <w:rPr>
          <w:lang w:eastAsia="zh-CN"/>
        </w:rPr>
        <w:t xml:space="preserve"> information element</w:t>
      </w:r>
    </w:p>
    <w:p w14:paraId="3A940B16" w14:textId="77777777" w:rsidR="00394471" w:rsidRPr="00FA0D37" w:rsidRDefault="00394471" w:rsidP="00FA0D37">
      <w:pPr>
        <w:pStyle w:val="PL"/>
        <w:rPr>
          <w:color w:val="808080"/>
        </w:rPr>
      </w:pPr>
      <w:r w:rsidRPr="00FA0D37">
        <w:rPr>
          <w:color w:val="808080"/>
        </w:rPr>
        <w:t>-- ASN1START</w:t>
      </w:r>
    </w:p>
    <w:p w14:paraId="5C7A1E89" w14:textId="77777777" w:rsidR="00394471" w:rsidRPr="00FA0D37" w:rsidRDefault="00394471" w:rsidP="00FA0D37">
      <w:pPr>
        <w:pStyle w:val="PL"/>
        <w:rPr>
          <w:color w:val="808080"/>
        </w:rPr>
      </w:pPr>
      <w:r w:rsidRPr="00FA0D37">
        <w:rPr>
          <w:color w:val="808080"/>
        </w:rPr>
        <w:t>-- TAG-SL-REPORTCONFIGLIST-START</w:t>
      </w:r>
    </w:p>
    <w:p w14:paraId="53F25BEA" w14:textId="77777777" w:rsidR="00394471" w:rsidRPr="00FA0D37" w:rsidRDefault="00394471" w:rsidP="00FA0D37">
      <w:pPr>
        <w:pStyle w:val="PL"/>
      </w:pPr>
    </w:p>
    <w:p w14:paraId="13BCFA4D" w14:textId="77777777" w:rsidR="00394471" w:rsidRPr="00FA0D37" w:rsidRDefault="00394471" w:rsidP="00FA0D37">
      <w:pPr>
        <w:pStyle w:val="PL"/>
      </w:pPr>
      <w:r w:rsidRPr="00FA0D37">
        <w:t xml:space="preserve">SL-ReportConfigList-r16 ::=           </w:t>
      </w:r>
      <w:r w:rsidRPr="00FA0D37">
        <w:rPr>
          <w:color w:val="993366"/>
        </w:rPr>
        <w:t>SEQUENCE</w:t>
      </w:r>
      <w:r w:rsidRPr="00FA0D37">
        <w:t xml:space="preserve"> (</w:t>
      </w:r>
      <w:r w:rsidRPr="00FA0D37">
        <w:rPr>
          <w:color w:val="993366"/>
        </w:rPr>
        <w:t>SIZE</w:t>
      </w:r>
      <w:r w:rsidRPr="00FA0D37">
        <w:t xml:space="preserve"> (1..maxNrofSL-ReportConfigId-r16))</w:t>
      </w:r>
      <w:r w:rsidRPr="00FA0D37">
        <w:rPr>
          <w:color w:val="993366"/>
        </w:rPr>
        <w:t xml:space="preserve"> OF</w:t>
      </w:r>
      <w:r w:rsidRPr="00FA0D37">
        <w:t xml:space="preserve"> SL-ReportConfigInfo-r16</w:t>
      </w:r>
    </w:p>
    <w:p w14:paraId="53DB0ABA" w14:textId="77777777" w:rsidR="00394471" w:rsidRPr="00FA0D37" w:rsidRDefault="00394471" w:rsidP="00FA0D37">
      <w:pPr>
        <w:pStyle w:val="PL"/>
      </w:pPr>
    </w:p>
    <w:p w14:paraId="1537689A" w14:textId="77777777" w:rsidR="00394471" w:rsidRPr="00FA0D37" w:rsidRDefault="00394471" w:rsidP="00FA0D37">
      <w:pPr>
        <w:pStyle w:val="PL"/>
      </w:pPr>
      <w:r w:rsidRPr="00FA0D37">
        <w:t xml:space="preserve">SL-ReportConfigInfo-r16 ::=           </w:t>
      </w:r>
      <w:r w:rsidRPr="00FA0D37">
        <w:rPr>
          <w:color w:val="993366"/>
        </w:rPr>
        <w:t>SEQUENCE</w:t>
      </w:r>
      <w:r w:rsidRPr="00FA0D37">
        <w:t xml:space="preserve"> {</w:t>
      </w:r>
    </w:p>
    <w:p w14:paraId="09B4860F" w14:textId="77777777" w:rsidR="00394471" w:rsidRPr="00FA0D37" w:rsidRDefault="00394471" w:rsidP="00FA0D37">
      <w:pPr>
        <w:pStyle w:val="PL"/>
      </w:pPr>
      <w:r w:rsidRPr="00FA0D37">
        <w:t xml:space="preserve">    sl-ReportConfigId-r16                     SL-ReportConfigId-r16,</w:t>
      </w:r>
    </w:p>
    <w:p w14:paraId="6D87A412" w14:textId="77777777" w:rsidR="00394471" w:rsidRPr="00FA0D37" w:rsidRDefault="00394471" w:rsidP="00FA0D37">
      <w:pPr>
        <w:pStyle w:val="PL"/>
      </w:pPr>
      <w:r w:rsidRPr="00FA0D37">
        <w:t xml:space="preserve">    sl-ReportConfig-r16                       SL-ReportConfig-r16,</w:t>
      </w:r>
    </w:p>
    <w:p w14:paraId="07AE3057" w14:textId="77777777" w:rsidR="00394471" w:rsidRPr="00FA0D37" w:rsidRDefault="00394471" w:rsidP="00FA0D37">
      <w:pPr>
        <w:pStyle w:val="PL"/>
      </w:pPr>
      <w:r w:rsidRPr="00FA0D37">
        <w:t xml:space="preserve">    ...</w:t>
      </w:r>
    </w:p>
    <w:p w14:paraId="40813F5D" w14:textId="77777777" w:rsidR="00394471" w:rsidRPr="00FA0D37" w:rsidRDefault="00394471" w:rsidP="00FA0D37">
      <w:pPr>
        <w:pStyle w:val="PL"/>
      </w:pPr>
      <w:r w:rsidRPr="00FA0D37">
        <w:t>}</w:t>
      </w:r>
    </w:p>
    <w:p w14:paraId="3968B0BF" w14:textId="77777777" w:rsidR="00394471" w:rsidRPr="00FA0D37" w:rsidRDefault="00394471" w:rsidP="00FA0D37">
      <w:pPr>
        <w:pStyle w:val="PL"/>
      </w:pPr>
    </w:p>
    <w:p w14:paraId="005160B0" w14:textId="77777777" w:rsidR="00394471" w:rsidRPr="00FA0D37" w:rsidRDefault="00394471" w:rsidP="00FA0D37">
      <w:pPr>
        <w:pStyle w:val="PL"/>
      </w:pPr>
      <w:r w:rsidRPr="00FA0D37">
        <w:t xml:space="preserve">SL-ReportConfigId-r16 ::=             </w:t>
      </w:r>
      <w:r w:rsidRPr="00FA0D37">
        <w:rPr>
          <w:color w:val="993366"/>
        </w:rPr>
        <w:t>INTEGER</w:t>
      </w:r>
      <w:r w:rsidRPr="00FA0D37">
        <w:t xml:space="preserve"> (1..maxNrofSL-ReportConfigId-r16)</w:t>
      </w:r>
    </w:p>
    <w:p w14:paraId="4CF6F67C" w14:textId="77777777" w:rsidR="00394471" w:rsidRPr="00FA0D37" w:rsidRDefault="00394471" w:rsidP="00FA0D37">
      <w:pPr>
        <w:pStyle w:val="PL"/>
      </w:pPr>
    </w:p>
    <w:p w14:paraId="395AD5E1" w14:textId="77777777" w:rsidR="00394471" w:rsidRPr="00FA0D37" w:rsidRDefault="00394471" w:rsidP="00FA0D37">
      <w:pPr>
        <w:pStyle w:val="PL"/>
      </w:pPr>
      <w:r w:rsidRPr="00FA0D37">
        <w:t xml:space="preserve">SL-ReportConfig-r16 ::=               </w:t>
      </w:r>
      <w:r w:rsidRPr="00FA0D37">
        <w:rPr>
          <w:color w:val="993366"/>
        </w:rPr>
        <w:t>SEQUENCE</w:t>
      </w:r>
      <w:r w:rsidRPr="00FA0D37">
        <w:t xml:space="preserve"> {</w:t>
      </w:r>
    </w:p>
    <w:p w14:paraId="6CCBF100" w14:textId="77777777" w:rsidR="00394471" w:rsidRPr="00FA0D37" w:rsidRDefault="00394471" w:rsidP="00FA0D37">
      <w:pPr>
        <w:pStyle w:val="PL"/>
      </w:pPr>
      <w:r w:rsidRPr="00FA0D37">
        <w:t xml:space="preserve">    sl-ReportType-r16                     </w:t>
      </w:r>
      <w:r w:rsidRPr="00FA0D37">
        <w:rPr>
          <w:color w:val="993366"/>
        </w:rPr>
        <w:t>CHOICE</w:t>
      </w:r>
      <w:r w:rsidRPr="00FA0D37">
        <w:t xml:space="preserve"> {</w:t>
      </w:r>
    </w:p>
    <w:p w14:paraId="66E98C27" w14:textId="77777777" w:rsidR="00394471" w:rsidRPr="00FA0D37" w:rsidRDefault="00394471" w:rsidP="00FA0D37">
      <w:pPr>
        <w:pStyle w:val="PL"/>
      </w:pPr>
      <w:r w:rsidRPr="00FA0D37">
        <w:t xml:space="preserve">        sl-Periodical-r16                     SL-PeriodicalReportConfig-r16,</w:t>
      </w:r>
    </w:p>
    <w:p w14:paraId="28B29773" w14:textId="77777777" w:rsidR="00394471" w:rsidRPr="00FA0D37" w:rsidRDefault="00394471" w:rsidP="00FA0D37">
      <w:pPr>
        <w:pStyle w:val="PL"/>
      </w:pPr>
      <w:r w:rsidRPr="00FA0D37">
        <w:t xml:space="preserve">        sl-EventTriggered-r16                 SL-EventTriggerConfig-r16,</w:t>
      </w:r>
    </w:p>
    <w:p w14:paraId="6668E41A" w14:textId="77777777" w:rsidR="00394471" w:rsidRPr="00FA0D37" w:rsidRDefault="00394471" w:rsidP="00FA0D37">
      <w:pPr>
        <w:pStyle w:val="PL"/>
      </w:pPr>
      <w:r w:rsidRPr="00FA0D37">
        <w:t xml:space="preserve">        ...</w:t>
      </w:r>
    </w:p>
    <w:p w14:paraId="6103A4AA" w14:textId="77777777" w:rsidR="00394471" w:rsidRPr="00FA0D37" w:rsidRDefault="00394471" w:rsidP="00FA0D37">
      <w:pPr>
        <w:pStyle w:val="PL"/>
      </w:pPr>
      <w:r w:rsidRPr="00FA0D37">
        <w:t xml:space="preserve">    },</w:t>
      </w:r>
    </w:p>
    <w:p w14:paraId="63D10B30" w14:textId="77777777" w:rsidR="00394471" w:rsidRPr="00FA0D37" w:rsidRDefault="00394471" w:rsidP="00FA0D37">
      <w:pPr>
        <w:pStyle w:val="PL"/>
      </w:pPr>
      <w:r w:rsidRPr="00FA0D37">
        <w:t xml:space="preserve">    ...</w:t>
      </w:r>
    </w:p>
    <w:p w14:paraId="65A70CD2" w14:textId="77777777" w:rsidR="00394471" w:rsidRPr="00FA0D37" w:rsidRDefault="00394471" w:rsidP="00FA0D37">
      <w:pPr>
        <w:pStyle w:val="PL"/>
      </w:pPr>
      <w:r w:rsidRPr="00FA0D37">
        <w:t>}</w:t>
      </w:r>
    </w:p>
    <w:p w14:paraId="54A3D311" w14:textId="77777777" w:rsidR="00394471" w:rsidRPr="00FA0D37" w:rsidRDefault="00394471" w:rsidP="00FA0D37">
      <w:pPr>
        <w:pStyle w:val="PL"/>
      </w:pPr>
    </w:p>
    <w:p w14:paraId="2BE519E7" w14:textId="77777777" w:rsidR="00394471" w:rsidRPr="00FA0D37" w:rsidRDefault="00394471" w:rsidP="00FA0D37">
      <w:pPr>
        <w:pStyle w:val="PL"/>
      </w:pPr>
      <w:r w:rsidRPr="00FA0D37">
        <w:t xml:space="preserve">SL-PeriodicalReportConfig-r16 ::=     </w:t>
      </w:r>
      <w:r w:rsidRPr="00FA0D37">
        <w:rPr>
          <w:color w:val="993366"/>
        </w:rPr>
        <w:t>SEQUENCE</w:t>
      </w:r>
      <w:r w:rsidRPr="00FA0D37">
        <w:t xml:space="preserve"> {</w:t>
      </w:r>
    </w:p>
    <w:p w14:paraId="0F1F8DE2" w14:textId="77777777" w:rsidR="00394471" w:rsidRPr="00FA0D37" w:rsidRDefault="00394471" w:rsidP="00FA0D37">
      <w:pPr>
        <w:pStyle w:val="PL"/>
      </w:pPr>
      <w:r w:rsidRPr="00FA0D37">
        <w:t xml:space="preserve">    sl-ReportInterval-r16                 ReportInterval,</w:t>
      </w:r>
    </w:p>
    <w:p w14:paraId="4892DE35" w14:textId="77777777" w:rsidR="00394471" w:rsidRPr="00FA0D37" w:rsidRDefault="00394471" w:rsidP="00FA0D37">
      <w:pPr>
        <w:pStyle w:val="PL"/>
      </w:pPr>
      <w:r w:rsidRPr="00FA0D37">
        <w:t xml:space="preserve">    sl-ReportAmount-r16                   </w:t>
      </w:r>
      <w:r w:rsidRPr="00FA0D37">
        <w:rPr>
          <w:color w:val="993366"/>
        </w:rPr>
        <w:t>ENUMERATED</w:t>
      </w:r>
      <w:r w:rsidRPr="00FA0D37">
        <w:t xml:space="preserve"> {r1, r2, r4, r8, r16, r32, r64, infinity},</w:t>
      </w:r>
    </w:p>
    <w:p w14:paraId="45637F8E" w14:textId="77777777" w:rsidR="00394471" w:rsidRPr="00FA0D37" w:rsidRDefault="00394471" w:rsidP="00FA0D37">
      <w:pPr>
        <w:pStyle w:val="PL"/>
      </w:pPr>
      <w:r w:rsidRPr="00FA0D37">
        <w:t xml:space="preserve">    sl-ReportQuantity-r16                 SL-MeasReportQuantity-r16,</w:t>
      </w:r>
    </w:p>
    <w:p w14:paraId="15213E6F" w14:textId="77777777" w:rsidR="00394471" w:rsidRPr="00FA0D37" w:rsidRDefault="00394471" w:rsidP="00FA0D37">
      <w:pPr>
        <w:pStyle w:val="PL"/>
      </w:pPr>
      <w:r w:rsidRPr="00FA0D37">
        <w:t xml:space="preserve">    sl-RS-Type-r16                        SL-RS-Type-r16,</w:t>
      </w:r>
    </w:p>
    <w:p w14:paraId="3764E59E" w14:textId="77777777" w:rsidR="00394471" w:rsidRPr="00FA0D37" w:rsidRDefault="00394471" w:rsidP="00FA0D37">
      <w:pPr>
        <w:pStyle w:val="PL"/>
      </w:pPr>
      <w:r w:rsidRPr="00FA0D37">
        <w:t xml:space="preserve">    ...</w:t>
      </w:r>
    </w:p>
    <w:p w14:paraId="34C9A834" w14:textId="77777777" w:rsidR="00394471" w:rsidRPr="00FA0D37" w:rsidRDefault="00394471" w:rsidP="00FA0D37">
      <w:pPr>
        <w:pStyle w:val="PL"/>
      </w:pPr>
      <w:r w:rsidRPr="00FA0D37">
        <w:t>}</w:t>
      </w:r>
    </w:p>
    <w:p w14:paraId="3746A982" w14:textId="77777777" w:rsidR="00394471" w:rsidRPr="00FA0D37" w:rsidRDefault="00394471" w:rsidP="00FA0D37">
      <w:pPr>
        <w:pStyle w:val="PL"/>
      </w:pPr>
    </w:p>
    <w:p w14:paraId="2CE1B92B" w14:textId="77777777" w:rsidR="00394471" w:rsidRPr="00FA0D37" w:rsidRDefault="00394471" w:rsidP="00FA0D37">
      <w:pPr>
        <w:pStyle w:val="PL"/>
      </w:pPr>
      <w:r w:rsidRPr="00FA0D37">
        <w:t xml:space="preserve">SL-EventTriggerConfig-r16 ::=        </w:t>
      </w:r>
      <w:r w:rsidRPr="00FA0D37">
        <w:rPr>
          <w:color w:val="993366"/>
        </w:rPr>
        <w:t>SEQUENCE</w:t>
      </w:r>
      <w:r w:rsidRPr="00FA0D37">
        <w:t xml:space="preserve"> {</w:t>
      </w:r>
    </w:p>
    <w:p w14:paraId="6A897166" w14:textId="77777777" w:rsidR="00394471" w:rsidRPr="00FA0D37" w:rsidRDefault="00394471" w:rsidP="00FA0D37">
      <w:pPr>
        <w:pStyle w:val="PL"/>
      </w:pPr>
      <w:r w:rsidRPr="00FA0D37">
        <w:t xml:space="preserve">    sl-EventId-r16                       </w:t>
      </w:r>
      <w:r w:rsidRPr="00FA0D37">
        <w:rPr>
          <w:color w:val="993366"/>
        </w:rPr>
        <w:t>CHOICE</w:t>
      </w:r>
      <w:r w:rsidRPr="00FA0D37">
        <w:t xml:space="preserve"> {</w:t>
      </w:r>
    </w:p>
    <w:p w14:paraId="35D03A89" w14:textId="77777777" w:rsidR="00394471" w:rsidRPr="00FA0D37" w:rsidRDefault="00394471" w:rsidP="00FA0D37">
      <w:pPr>
        <w:pStyle w:val="PL"/>
      </w:pPr>
      <w:r w:rsidRPr="00FA0D37">
        <w:t xml:space="preserve">        eventS1-r16                          </w:t>
      </w:r>
      <w:r w:rsidRPr="00FA0D37">
        <w:rPr>
          <w:color w:val="993366"/>
        </w:rPr>
        <w:t>SEQUENCE</w:t>
      </w:r>
      <w:r w:rsidRPr="00FA0D37">
        <w:t xml:space="preserve"> {</w:t>
      </w:r>
    </w:p>
    <w:p w14:paraId="10626381" w14:textId="77777777" w:rsidR="00394471" w:rsidRPr="00FA0D37" w:rsidRDefault="00394471" w:rsidP="00FA0D37">
      <w:pPr>
        <w:pStyle w:val="PL"/>
      </w:pPr>
      <w:r w:rsidRPr="00FA0D37">
        <w:t xml:space="preserve">            s1-Threshold-r16                     SL-MeasTriggerQuantity-r16,</w:t>
      </w:r>
    </w:p>
    <w:p w14:paraId="298FF527" w14:textId="77777777" w:rsidR="00394471" w:rsidRPr="00FA0D37" w:rsidRDefault="00394471" w:rsidP="00FA0D37">
      <w:pPr>
        <w:pStyle w:val="PL"/>
      </w:pPr>
      <w:r w:rsidRPr="00FA0D37">
        <w:t xml:space="preserve">            sl-ReportOnLeave-r16                 </w:t>
      </w:r>
      <w:r w:rsidRPr="00FA0D37">
        <w:rPr>
          <w:color w:val="993366"/>
        </w:rPr>
        <w:t>BOOLEAN</w:t>
      </w:r>
      <w:r w:rsidRPr="00FA0D37">
        <w:t>,</w:t>
      </w:r>
    </w:p>
    <w:p w14:paraId="12BC8FDE" w14:textId="77777777" w:rsidR="00394471" w:rsidRPr="00FA0D37" w:rsidRDefault="00394471" w:rsidP="00FA0D37">
      <w:pPr>
        <w:pStyle w:val="PL"/>
      </w:pPr>
      <w:r w:rsidRPr="00FA0D37">
        <w:t xml:space="preserve">            sl-Hysteresis-r16                    Hysteresis,</w:t>
      </w:r>
    </w:p>
    <w:p w14:paraId="66E8020D" w14:textId="77777777" w:rsidR="00394471" w:rsidRPr="00FA0D37" w:rsidRDefault="00394471" w:rsidP="00FA0D37">
      <w:pPr>
        <w:pStyle w:val="PL"/>
      </w:pPr>
      <w:r w:rsidRPr="00FA0D37">
        <w:t xml:space="preserve">            sl-TimeToTrigger-r16                 TimeToTrigger,</w:t>
      </w:r>
    </w:p>
    <w:p w14:paraId="6DA394B8" w14:textId="77777777" w:rsidR="00394471" w:rsidRPr="00FA0D37" w:rsidRDefault="00394471" w:rsidP="00FA0D37">
      <w:pPr>
        <w:pStyle w:val="PL"/>
      </w:pPr>
      <w:r w:rsidRPr="00FA0D37">
        <w:t xml:space="preserve">            ...</w:t>
      </w:r>
    </w:p>
    <w:p w14:paraId="378D5B8B" w14:textId="77777777" w:rsidR="00394471" w:rsidRPr="00FA0D37" w:rsidRDefault="00394471" w:rsidP="00FA0D37">
      <w:pPr>
        <w:pStyle w:val="PL"/>
      </w:pPr>
      <w:r w:rsidRPr="00FA0D37">
        <w:t xml:space="preserve">        },</w:t>
      </w:r>
    </w:p>
    <w:p w14:paraId="44FDB159" w14:textId="77777777" w:rsidR="00394471" w:rsidRPr="00FA0D37" w:rsidRDefault="00394471" w:rsidP="00FA0D37">
      <w:pPr>
        <w:pStyle w:val="PL"/>
      </w:pPr>
      <w:r w:rsidRPr="00FA0D37">
        <w:t xml:space="preserve">        eventS2-r16                          </w:t>
      </w:r>
      <w:r w:rsidRPr="00FA0D37">
        <w:rPr>
          <w:color w:val="993366"/>
        </w:rPr>
        <w:t>SEQUENCE</w:t>
      </w:r>
      <w:r w:rsidRPr="00FA0D37">
        <w:t xml:space="preserve"> {</w:t>
      </w:r>
    </w:p>
    <w:p w14:paraId="5389729B" w14:textId="77777777" w:rsidR="00394471" w:rsidRPr="00FA0D37" w:rsidRDefault="00394471" w:rsidP="00FA0D37">
      <w:pPr>
        <w:pStyle w:val="PL"/>
      </w:pPr>
      <w:r w:rsidRPr="00FA0D37">
        <w:t xml:space="preserve">            s2-Threshold-r16                     SL-MeasTriggerQuantity-r16,</w:t>
      </w:r>
    </w:p>
    <w:p w14:paraId="5AFE84E4" w14:textId="77777777" w:rsidR="00394471" w:rsidRPr="00FA0D37" w:rsidRDefault="00394471" w:rsidP="00FA0D37">
      <w:pPr>
        <w:pStyle w:val="PL"/>
      </w:pPr>
      <w:r w:rsidRPr="00FA0D37">
        <w:t xml:space="preserve">            sl-ReportOnLeave-r16                 </w:t>
      </w:r>
      <w:r w:rsidRPr="00FA0D37">
        <w:rPr>
          <w:color w:val="993366"/>
        </w:rPr>
        <w:t>BOOLEAN</w:t>
      </w:r>
      <w:r w:rsidRPr="00FA0D37">
        <w:t>,</w:t>
      </w:r>
    </w:p>
    <w:p w14:paraId="713CFDD6" w14:textId="77777777" w:rsidR="00394471" w:rsidRPr="00FA0D37" w:rsidRDefault="00394471" w:rsidP="00FA0D37">
      <w:pPr>
        <w:pStyle w:val="PL"/>
      </w:pPr>
      <w:r w:rsidRPr="00FA0D37">
        <w:t xml:space="preserve">            sl-Hysteresis-r16                    Hysteresis,</w:t>
      </w:r>
    </w:p>
    <w:p w14:paraId="4BE2E0DE" w14:textId="77777777" w:rsidR="00394471" w:rsidRPr="00FA0D37" w:rsidRDefault="00394471" w:rsidP="00FA0D37">
      <w:pPr>
        <w:pStyle w:val="PL"/>
      </w:pPr>
      <w:r w:rsidRPr="00FA0D37">
        <w:t xml:space="preserve">            sl-TimeToTrigger-r16                 TimeToTrigger,</w:t>
      </w:r>
    </w:p>
    <w:p w14:paraId="59D994AA" w14:textId="77777777" w:rsidR="00394471" w:rsidRPr="00FA0D37" w:rsidRDefault="00394471" w:rsidP="00FA0D37">
      <w:pPr>
        <w:pStyle w:val="PL"/>
      </w:pPr>
      <w:r w:rsidRPr="00FA0D37">
        <w:t xml:space="preserve">            ...</w:t>
      </w:r>
    </w:p>
    <w:p w14:paraId="0B292CCE" w14:textId="77777777" w:rsidR="00394471" w:rsidRPr="00FA0D37" w:rsidRDefault="00394471" w:rsidP="00FA0D37">
      <w:pPr>
        <w:pStyle w:val="PL"/>
      </w:pPr>
      <w:r w:rsidRPr="00FA0D37">
        <w:t xml:space="preserve">        },</w:t>
      </w:r>
    </w:p>
    <w:p w14:paraId="45A895A8" w14:textId="77777777" w:rsidR="00394471" w:rsidRPr="00FA0D37" w:rsidRDefault="00394471" w:rsidP="00FA0D37">
      <w:pPr>
        <w:pStyle w:val="PL"/>
      </w:pPr>
      <w:r w:rsidRPr="00FA0D37">
        <w:t xml:space="preserve">        ...</w:t>
      </w:r>
    </w:p>
    <w:p w14:paraId="6F82180F" w14:textId="77777777" w:rsidR="00394471" w:rsidRPr="00FA0D37" w:rsidRDefault="00394471" w:rsidP="00FA0D37">
      <w:pPr>
        <w:pStyle w:val="PL"/>
      </w:pPr>
      <w:r w:rsidRPr="00FA0D37">
        <w:t xml:space="preserve">    },</w:t>
      </w:r>
    </w:p>
    <w:p w14:paraId="6CE1E2F8" w14:textId="77777777" w:rsidR="00394471" w:rsidRPr="00FA0D37" w:rsidRDefault="00394471" w:rsidP="00FA0D37">
      <w:pPr>
        <w:pStyle w:val="PL"/>
      </w:pPr>
      <w:r w:rsidRPr="00FA0D37">
        <w:t xml:space="preserve">    sl-ReportInterval-r16                ReportInterval,</w:t>
      </w:r>
    </w:p>
    <w:p w14:paraId="30CD371C" w14:textId="77777777" w:rsidR="00394471" w:rsidRPr="00FA0D37" w:rsidRDefault="00394471" w:rsidP="00FA0D37">
      <w:pPr>
        <w:pStyle w:val="PL"/>
      </w:pPr>
      <w:r w:rsidRPr="00FA0D37">
        <w:t xml:space="preserve">    sl-ReportAmount-r16                      </w:t>
      </w:r>
      <w:r w:rsidRPr="00FA0D37">
        <w:rPr>
          <w:color w:val="993366"/>
        </w:rPr>
        <w:t>ENUMERATED</w:t>
      </w:r>
      <w:r w:rsidRPr="00FA0D37">
        <w:t xml:space="preserve"> {r1, r2, r4, r8, r16, r32, r64, infinity},</w:t>
      </w:r>
    </w:p>
    <w:p w14:paraId="4BC8001E" w14:textId="77777777" w:rsidR="00394471" w:rsidRPr="00FA0D37" w:rsidRDefault="00394471" w:rsidP="00FA0D37">
      <w:pPr>
        <w:pStyle w:val="PL"/>
      </w:pPr>
      <w:r w:rsidRPr="00FA0D37">
        <w:t xml:space="preserve">    sl-ReportQuantity-r16                    SL-MeasReportQuantity-r16,</w:t>
      </w:r>
    </w:p>
    <w:p w14:paraId="52B95BA9" w14:textId="77777777" w:rsidR="00394471" w:rsidRPr="00FA0D37" w:rsidRDefault="00394471" w:rsidP="00FA0D37">
      <w:pPr>
        <w:pStyle w:val="PL"/>
      </w:pPr>
      <w:r w:rsidRPr="00FA0D37">
        <w:t xml:space="preserve">    sl-RS-Type-r16                           SL-RS-Type-r16,</w:t>
      </w:r>
    </w:p>
    <w:p w14:paraId="2BFE374A" w14:textId="77777777" w:rsidR="00394471" w:rsidRPr="00FA0D37" w:rsidRDefault="00394471" w:rsidP="00FA0D37">
      <w:pPr>
        <w:pStyle w:val="PL"/>
      </w:pPr>
      <w:r w:rsidRPr="00FA0D37">
        <w:t xml:space="preserve">    ...</w:t>
      </w:r>
    </w:p>
    <w:p w14:paraId="529BE401" w14:textId="77777777" w:rsidR="00394471" w:rsidRPr="00FA0D37" w:rsidRDefault="00394471" w:rsidP="00FA0D37">
      <w:pPr>
        <w:pStyle w:val="PL"/>
      </w:pPr>
      <w:r w:rsidRPr="00FA0D37">
        <w:t>}</w:t>
      </w:r>
    </w:p>
    <w:p w14:paraId="4186D733" w14:textId="77777777" w:rsidR="00394471" w:rsidRPr="00FA0D37" w:rsidRDefault="00394471" w:rsidP="00FA0D37">
      <w:pPr>
        <w:pStyle w:val="PL"/>
      </w:pPr>
    </w:p>
    <w:p w14:paraId="6CFA9B63" w14:textId="77777777" w:rsidR="00394471" w:rsidRPr="00FA0D37" w:rsidRDefault="00394471" w:rsidP="00FA0D37">
      <w:pPr>
        <w:pStyle w:val="PL"/>
      </w:pPr>
      <w:r w:rsidRPr="00FA0D37">
        <w:t xml:space="preserve">SL-MeasReportQuantity-r16 ::=         </w:t>
      </w:r>
      <w:r w:rsidRPr="00FA0D37">
        <w:rPr>
          <w:color w:val="993366"/>
        </w:rPr>
        <w:t>CHOICE</w:t>
      </w:r>
      <w:r w:rsidRPr="00FA0D37">
        <w:t xml:space="preserve"> {</w:t>
      </w:r>
    </w:p>
    <w:p w14:paraId="65281954" w14:textId="77777777" w:rsidR="00394471" w:rsidRPr="00FA0D37" w:rsidRDefault="00394471" w:rsidP="00FA0D37">
      <w:pPr>
        <w:pStyle w:val="PL"/>
      </w:pPr>
      <w:r w:rsidRPr="00FA0D37">
        <w:t xml:space="preserve">    sl-RSRP-r16                           </w:t>
      </w:r>
      <w:r w:rsidRPr="00FA0D37">
        <w:rPr>
          <w:color w:val="993366"/>
        </w:rPr>
        <w:t>BOOLEAN</w:t>
      </w:r>
      <w:r w:rsidRPr="00FA0D37">
        <w:t>,</w:t>
      </w:r>
    </w:p>
    <w:p w14:paraId="4E6088CD" w14:textId="77777777" w:rsidR="00394471" w:rsidRPr="00FA0D37" w:rsidRDefault="00394471" w:rsidP="00FA0D37">
      <w:pPr>
        <w:pStyle w:val="PL"/>
      </w:pPr>
      <w:r w:rsidRPr="00FA0D37">
        <w:t xml:space="preserve">    ...</w:t>
      </w:r>
    </w:p>
    <w:p w14:paraId="686CFFC8" w14:textId="77777777" w:rsidR="00394471" w:rsidRPr="00FA0D37" w:rsidRDefault="00394471" w:rsidP="00FA0D37">
      <w:pPr>
        <w:pStyle w:val="PL"/>
      </w:pPr>
      <w:r w:rsidRPr="00FA0D37">
        <w:t>}</w:t>
      </w:r>
    </w:p>
    <w:p w14:paraId="389D774B" w14:textId="77777777" w:rsidR="00394471" w:rsidRPr="00FA0D37" w:rsidRDefault="00394471" w:rsidP="00FA0D37">
      <w:pPr>
        <w:pStyle w:val="PL"/>
      </w:pPr>
    </w:p>
    <w:p w14:paraId="0BF657B5" w14:textId="77777777" w:rsidR="00394471" w:rsidRPr="00FA0D37" w:rsidRDefault="00394471" w:rsidP="00FA0D37">
      <w:pPr>
        <w:pStyle w:val="PL"/>
      </w:pPr>
      <w:r w:rsidRPr="00FA0D37">
        <w:t xml:space="preserve">SL-MeasTriggerQuantity-r16 ::=        </w:t>
      </w:r>
      <w:r w:rsidRPr="00FA0D37">
        <w:rPr>
          <w:color w:val="993366"/>
        </w:rPr>
        <w:t>CHOICE</w:t>
      </w:r>
      <w:r w:rsidRPr="00FA0D37">
        <w:t xml:space="preserve"> {</w:t>
      </w:r>
    </w:p>
    <w:p w14:paraId="048F7DF8" w14:textId="77777777" w:rsidR="00394471" w:rsidRPr="00FA0D37" w:rsidRDefault="00394471" w:rsidP="00FA0D37">
      <w:pPr>
        <w:pStyle w:val="PL"/>
      </w:pPr>
      <w:r w:rsidRPr="00FA0D37">
        <w:lastRenderedPageBreak/>
        <w:t xml:space="preserve">    sl-RSRP-r16                           RSRP-Range,</w:t>
      </w:r>
    </w:p>
    <w:p w14:paraId="0FE043F3" w14:textId="77777777" w:rsidR="00394471" w:rsidRPr="00FA0D37" w:rsidRDefault="00394471" w:rsidP="00FA0D37">
      <w:pPr>
        <w:pStyle w:val="PL"/>
      </w:pPr>
      <w:r w:rsidRPr="00FA0D37">
        <w:t xml:space="preserve">    ...</w:t>
      </w:r>
    </w:p>
    <w:p w14:paraId="299B853D" w14:textId="77777777" w:rsidR="00394471" w:rsidRPr="00FA0D37" w:rsidRDefault="00394471" w:rsidP="00FA0D37">
      <w:pPr>
        <w:pStyle w:val="PL"/>
      </w:pPr>
      <w:r w:rsidRPr="00FA0D37">
        <w:t>}</w:t>
      </w:r>
    </w:p>
    <w:p w14:paraId="4E534555" w14:textId="77777777" w:rsidR="00394471" w:rsidRPr="00FA0D37" w:rsidRDefault="00394471" w:rsidP="00FA0D37">
      <w:pPr>
        <w:pStyle w:val="PL"/>
      </w:pPr>
    </w:p>
    <w:p w14:paraId="6B97B55A" w14:textId="77777777" w:rsidR="00394471" w:rsidRPr="00FA0D37" w:rsidRDefault="00394471" w:rsidP="00FA0D37">
      <w:pPr>
        <w:pStyle w:val="PL"/>
      </w:pPr>
      <w:r w:rsidRPr="00FA0D37">
        <w:t xml:space="preserve">SL-RS-Type-r16 ::=                    </w:t>
      </w:r>
      <w:r w:rsidRPr="00FA0D37">
        <w:rPr>
          <w:color w:val="993366"/>
        </w:rPr>
        <w:t>ENUMERATED</w:t>
      </w:r>
      <w:r w:rsidRPr="00FA0D37">
        <w:t xml:space="preserve"> {dmrs, spare3, spare2, spare1}</w:t>
      </w:r>
    </w:p>
    <w:p w14:paraId="361537FB" w14:textId="77777777" w:rsidR="00394471" w:rsidRPr="00FA0D37" w:rsidRDefault="00394471" w:rsidP="00FA0D37">
      <w:pPr>
        <w:pStyle w:val="PL"/>
      </w:pPr>
    </w:p>
    <w:p w14:paraId="67115C71" w14:textId="77777777" w:rsidR="00394471" w:rsidRPr="00FA0D37" w:rsidRDefault="00394471" w:rsidP="00FA0D37">
      <w:pPr>
        <w:pStyle w:val="PL"/>
        <w:rPr>
          <w:color w:val="808080"/>
        </w:rPr>
      </w:pPr>
      <w:r w:rsidRPr="00FA0D37">
        <w:rPr>
          <w:color w:val="808080"/>
        </w:rPr>
        <w:t>-- TAG-SL-REPORTCONFIGLIST-STOP</w:t>
      </w:r>
    </w:p>
    <w:p w14:paraId="2014471A" w14:textId="77777777" w:rsidR="00394471" w:rsidRPr="00FA0D37" w:rsidRDefault="00394471" w:rsidP="00FA0D37">
      <w:pPr>
        <w:pStyle w:val="PL"/>
        <w:rPr>
          <w:color w:val="808080"/>
        </w:rPr>
      </w:pPr>
      <w:r w:rsidRPr="00FA0D37">
        <w:rPr>
          <w:color w:val="808080"/>
        </w:rPr>
        <w:t>-- ASN1STOP</w:t>
      </w:r>
    </w:p>
    <w:p w14:paraId="44F86113"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294085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7B0EB53" w14:textId="77777777" w:rsidR="00394471" w:rsidRPr="00FA0D37" w:rsidRDefault="00394471" w:rsidP="00964CC4">
            <w:pPr>
              <w:pStyle w:val="TAH"/>
              <w:rPr>
                <w:lang w:eastAsia="en-GB"/>
              </w:rPr>
            </w:pPr>
            <w:r w:rsidRPr="00FA0D37">
              <w:rPr>
                <w:i/>
                <w:noProof/>
                <w:lang w:eastAsia="en-GB"/>
              </w:rPr>
              <w:t>SL-ReportConfig</w:t>
            </w:r>
            <w:r w:rsidRPr="00FA0D37">
              <w:rPr>
                <w:noProof/>
                <w:lang w:eastAsia="en-GB"/>
              </w:rPr>
              <w:t xml:space="preserve"> field descriptions</w:t>
            </w:r>
          </w:p>
        </w:tc>
      </w:tr>
      <w:tr w:rsidR="00375B89" w:rsidRPr="00FA0D37" w14:paraId="37EBD80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B47A782" w14:textId="77777777" w:rsidR="00394471" w:rsidRPr="00FA0D37" w:rsidRDefault="00394471" w:rsidP="00964CC4">
            <w:pPr>
              <w:pStyle w:val="TAL"/>
              <w:rPr>
                <w:b/>
                <w:bCs/>
                <w:i/>
                <w:iCs/>
                <w:lang w:eastAsia="en-GB"/>
              </w:rPr>
            </w:pPr>
            <w:r w:rsidRPr="00FA0D37">
              <w:rPr>
                <w:b/>
                <w:bCs/>
                <w:i/>
                <w:iCs/>
                <w:lang w:eastAsia="en-GB"/>
              </w:rPr>
              <w:t>sl-ReportType</w:t>
            </w:r>
          </w:p>
          <w:p w14:paraId="76F1DE58" w14:textId="77777777" w:rsidR="00394471" w:rsidRPr="00FA0D37" w:rsidRDefault="00394471" w:rsidP="00964CC4">
            <w:pPr>
              <w:pStyle w:val="TAL"/>
              <w:rPr>
                <w:noProof/>
                <w:lang w:eastAsia="en-GB"/>
              </w:rPr>
            </w:pPr>
            <w:r w:rsidRPr="00FA0D37">
              <w:rPr>
                <w:noProof/>
                <w:lang w:eastAsia="en-GB"/>
              </w:rPr>
              <w:t>Type of the configured sidelink measurement report.</w:t>
            </w:r>
          </w:p>
        </w:tc>
      </w:tr>
    </w:tbl>
    <w:p w14:paraId="6DCC046C" w14:textId="77777777" w:rsidR="00394471" w:rsidRPr="00FA0D37" w:rsidRDefault="00394471" w:rsidP="00394471">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5C7FF4" w:rsidRPr="00FA0D37" w14:paraId="15D29FAE" w14:textId="77777777" w:rsidTr="00964CC4">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46D288B0" w14:textId="77777777" w:rsidR="00394471" w:rsidRPr="00FA0D37" w:rsidRDefault="00394471" w:rsidP="00964CC4">
            <w:pPr>
              <w:pStyle w:val="TAH"/>
              <w:rPr>
                <w:b w:val="0"/>
                <w:lang w:eastAsia="en-GB"/>
              </w:rPr>
            </w:pPr>
            <w:r w:rsidRPr="00FA0D37">
              <w:rPr>
                <w:i/>
                <w:iCs/>
                <w:noProof/>
                <w:lang w:eastAsia="en-GB"/>
              </w:rPr>
              <w:t>SL-EventTriggerConfig</w:t>
            </w:r>
            <w:r w:rsidRPr="00FA0D37">
              <w:rPr>
                <w:iCs/>
                <w:noProof/>
                <w:lang w:eastAsia="en-GB"/>
              </w:rPr>
              <w:t xml:space="preserve"> field descriptions</w:t>
            </w:r>
          </w:p>
        </w:tc>
      </w:tr>
      <w:tr w:rsidR="005C7FF4" w:rsidRPr="00FA0D37" w14:paraId="205A16D0"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44A496" w14:textId="77777777" w:rsidR="00394471" w:rsidRPr="00FA0D37" w:rsidRDefault="00394471" w:rsidP="00964CC4">
            <w:pPr>
              <w:pStyle w:val="TAL"/>
              <w:rPr>
                <w:b/>
                <w:bCs/>
                <w:i/>
                <w:iCs/>
                <w:lang w:eastAsia="en-GB"/>
              </w:rPr>
            </w:pPr>
            <w:r w:rsidRPr="00FA0D37">
              <w:rPr>
                <w:b/>
                <w:bCs/>
                <w:i/>
                <w:iCs/>
                <w:lang w:eastAsia="en-GB"/>
              </w:rPr>
              <w:t>sl-EventId</w:t>
            </w:r>
          </w:p>
          <w:p w14:paraId="006AE830" w14:textId="77777777" w:rsidR="00394471" w:rsidRPr="00FA0D37" w:rsidRDefault="00394471" w:rsidP="00964CC4">
            <w:pPr>
              <w:pStyle w:val="TAL"/>
              <w:rPr>
                <w:lang w:eastAsia="en-GB"/>
              </w:rPr>
            </w:pPr>
            <w:r w:rsidRPr="00FA0D37">
              <w:rPr>
                <w:lang w:eastAsia="en-GB"/>
              </w:rPr>
              <w:t>Choice of sidelink measurement event triggered reporting criteria.</w:t>
            </w:r>
          </w:p>
        </w:tc>
      </w:tr>
      <w:tr w:rsidR="005C7FF4" w:rsidRPr="00FA0D37" w14:paraId="1CADBC78"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B29E4D5" w14:textId="77777777" w:rsidR="00394471" w:rsidRPr="00FA0D37" w:rsidRDefault="00394471" w:rsidP="00964CC4">
            <w:pPr>
              <w:pStyle w:val="TAL"/>
              <w:rPr>
                <w:b/>
                <w:bCs/>
                <w:i/>
                <w:iCs/>
                <w:lang w:eastAsia="en-GB"/>
              </w:rPr>
            </w:pPr>
            <w:r w:rsidRPr="00FA0D37">
              <w:rPr>
                <w:b/>
                <w:bCs/>
                <w:i/>
                <w:iCs/>
                <w:lang w:eastAsia="en-GB"/>
              </w:rPr>
              <w:t>sl-ReportAmount</w:t>
            </w:r>
          </w:p>
          <w:p w14:paraId="513C985B" w14:textId="77777777" w:rsidR="00394471" w:rsidRPr="00FA0D37" w:rsidRDefault="00394471" w:rsidP="00964CC4">
            <w:pPr>
              <w:pStyle w:val="TAL"/>
              <w:rPr>
                <w:lang w:eastAsia="en-GB"/>
              </w:rPr>
            </w:pPr>
            <w:r w:rsidRPr="00FA0D37">
              <w:rPr>
                <w:lang w:eastAsia="en-GB"/>
              </w:rPr>
              <w:t xml:space="preserve">Number of sidelink measurement reports applicable for </w:t>
            </w:r>
            <w:r w:rsidRPr="00FA0D37">
              <w:rPr>
                <w:i/>
                <w:iCs/>
                <w:lang w:eastAsia="en-GB"/>
              </w:rPr>
              <w:t>sl-EventTriggered</w:t>
            </w:r>
            <w:r w:rsidRPr="00FA0D37">
              <w:rPr>
                <w:lang w:eastAsia="en-GB"/>
              </w:rPr>
              <w:t xml:space="preserve"> report type.</w:t>
            </w:r>
          </w:p>
        </w:tc>
      </w:tr>
      <w:tr w:rsidR="005C7FF4" w:rsidRPr="00FA0D37" w14:paraId="49931892"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024002A" w14:textId="77777777" w:rsidR="00394471" w:rsidRPr="00FA0D37" w:rsidRDefault="00394471" w:rsidP="00964CC4">
            <w:pPr>
              <w:pStyle w:val="TAL"/>
              <w:rPr>
                <w:b/>
                <w:bCs/>
                <w:i/>
                <w:iCs/>
                <w:lang w:eastAsia="en-GB"/>
              </w:rPr>
            </w:pPr>
            <w:r w:rsidRPr="00FA0D37">
              <w:rPr>
                <w:b/>
                <w:bCs/>
                <w:i/>
                <w:iCs/>
                <w:lang w:eastAsia="en-GB"/>
              </w:rPr>
              <w:t>sl-ReportInterval</w:t>
            </w:r>
          </w:p>
          <w:p w14:paraId="10272A6C" w14:textId="77777777" w:rsidR="00394471" w:rsidRPr="00FA0D37" w:rsidRDefault="00394471" w:rsidP="00964CC4">
            <w:pPr>
              <w:pStyle w:val="TAL"/>
              <w:rPr>
                <w:lang w:eastAsia="en-GB"/>
              </w:rPr>
            </w:pPr>
            <w:r w:rsidRPr="00FA0D37">
              <w:rPr>
                <w:lang w:eastAsia="en-GB"/>
              </w:rPr>
              <w:t xml:space="preserve">Indicates the interval between periodical reports (i.e., when </w:t>
            </w:r>
            <w:r w:rsidRPr="00FA0D37">
              <w:rPr>
                <w:i/>
                <w:iCs/>
                <w:lang w:eastAsia="en-GB"/>
              </w:rPr>
              <w:t>sl-ReportAmount</w:t>
            </w:r>
            <w:r w:rsidRPr="00FA0D37">
              <w:rPr>
                <w:lang w:eastAsia="en-GB"/>
              </w:rPr>
              <w:t xml:space="preserve"> exceeds 1) for </w:t>
            </w:r>
            <w:r w:rsidRPr="00FA0D37">
              <w:rPr>
                <w:i/>
                <w:iCs/>
                <w:lang w:eastAsia="en-GB"/>
              </w:rPr>
              <w:t>sl-EventTriggered</w:t>
            </w:r>
            <w:r w:rsidRPr="00FA0D37">
              <w:rPr>
                <w:lang w:eastAsia="en-GB"/>
              </w:rPr>
              <w:t xml:space="preserve"> report type.</w:t>
            </w:r>
          </w:p>
        </w:tc>
      </w:tr>
      <w:tr w:rsidR="005C7FF4" w:rsidRPr="00FA0D37" w14:paraId="6E72624E"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B2280BE" w14:textId="77777777" w:rsidR="00394471" w:rsidRPr="00FA0D37" w:rsidRDefault="00394471" w:rsidP="00964CC4">
            <w:pPr>
              <w:pStyle w:val="TAL"/>
              <w:rPr>
                <w:b/>
                <w:bCs/>
                <w:i/>
                <w:iCs/>
                <w:lang w:eastAsia="en-GB"/>
              </w:rPr>
            </w:pPr>
            <w:r w:rsidRPr="00FA0D37">
              <w:rPr>
                <w:b/>
                <w:bCs/>
                <w:i/>
                <w:iCs/>
                <w:lang w:eastAsia="en-GB"/>
              </w:rPr>
              <w:t>sl-ReportOnLeave</w:t>
            </w:r>
          </w:p>
          <w:p w14:paraId="65B1BB7C" w14:textId="7480C216" w:rsidR="00394471" w:rsidRPr="00FA0D37" w:rsidRDefault="00394471" w:rsidP="00964CC4">
            <w:pPr>
              <w:pStyle w:val="TAL"/>
              <w:rPr>
                <w:lang w:eastAsia="en-GB"/>
              </w:rPr>
            </w:pPr>
            <w:r w:rsidRPr="00FA0D37">
              <w:rPr>
                <w:lang w:eastAsia="en-GB"/>
              </w:rPr>
              <w:t xml:space="preserve">indicates whether or not the UE shall initiate the sidelink measurement reporting procedure when the leaving condition is met for a frequency in </w:t>
            </w:r>
            <w:r w:rsidRPr="00FA0D37">
              <w:rPr>
                <w:i/>
                <w:iCs/>
                <w:lang w:eastAsia="en-GB"/>
              </w:rPr>
              <w:t>sl-FrequencyTriggeredList</w:t>
            </w:r>
            <w:r w:rsidRPr="00FA0D37">
              <w:rPr>
                <w:lang w:eastAsia="en-GB"/>
              </w:rPr>
              <w:t>, as specified in 5.8.10.4.1.</w:t>
            </w:r>
          </w:p>
        </w:tc>
      </w:tr>
      <w:tr w:rsidR="005C7FF4" w:rsidRPr="00FA0D37" w14:paraId="2074C4DF"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323782" w14:textId="77777777" w:rsidR="00394471" w:rsidRPr="00FA0D37" w:rsidRDefault="00394471" w:rsidP="00964CC4">
            <w:pPr>
              <w:pStyle w:val="TAL"/>
              <w:rPr>
                <w:b/>
                <w:bCs/>
                <w:i/>
                <w:iCs/>
                <w:lang w:eastAsia="en-GB"/>
              </w:rPr>
            </w:pPr>
            <w:r w:rsidRPr="00FA0D37">
              <w:rPr>
                <w:b/>
                <w:bCs/>
                <w:i/>
                <w:iCs/>
                <w:lang w:eastAsia="en-GB"/>
              </w:rPr>
              <w:t>sl-ReportQuantity</w:t>
            </w:r>
          </w:p>
          <w:p w14:paraId="628842BA" w14:textId="77777777" w:rsidR="00394471" w:rsidRPr="00FA0D37" w:rsidRDefault="00394471" w:rsidP="00964CC4">
            <w:pPr>
              <w:pStyle w:val="TAL"/>
              <w:rPr>
                <w:lang w:eastAsia="en-GB"/>
              </w:rPr>
            </w:pPr>
            <w:r w:rsidRPr="00FA0D37">
              <w:rPr>
                <w:lang w:eastAsia="en-GB"/>
              </w:rPr>
              <w:t>The sidelink measurement quantities to be included in the sidelink measurement report.</w:t>
            </w:r>
          </w:p>
        </w:tc>
      </w:tr>
      <w:tr w:rsidR="005C7FF4" w:rsidRPr="00FA0D37" w14:paraId="709EC3E5"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AB156AF" w14:textId="77777777" w:rsidR="00394471" w:rsidRPr="00FA0D37" w:rsidRDefault="00394471" w:rsidP="00964CC4">
            <w:pPr>
              <w:pStyle w:val="TAL"/>
              <w:rPr>
                <w:b/>
                <w:bCs/>
                <w:i/>
                <w:iCs/>
                <w:lang w:eastAsia="en-GB"/>
              </w:rPr>
            </w:pPr>
            <w:r w:rsidRPr="00FA0D37">
              <w:rPr>
                <w:b/>
                <w:bCs/>
                <w:i/>
                <w:iCs/>
                <w:lang w:eastAsia="en-GB"/>
              </w:rPr>
              <w:t>sl-TimeToTrigger</w:t>
            </w:r>
          </w:p>
          <w:p w14:paraId="40574FD7" w14:textId="77777777" w:rsidR="00394471" w:rsidRPr="00FA0D37" w:rsidRDefault="00394471" w:rsidP="00964CC4">
            <w:pPr>
              <w:pStyle w:val="TAL"/>
              <w:rPr>
                <w:lang w:eastAsia="en-GB"/>
              </w:rPr>
            </w:pPr>
            <w:r w:rsidRPr="00FA0D37">
              <w:rPr>
                <w:lang w:eastAsia="en-GB"/>
              </w:rPr>
              <w:t>Time during which specific criteria for the event needs to be met in order to trigger a sidelink measurement report.</w:t>
            </w:r>
          </w:p>
        </w:tc>
      </w:tr>
      <w:tr w:rsidR="00375B89" w:rsidRPr="00FA0D37" w14:paraId="106DC17E" w14:textId="77777777" w:rsidTr="00964CC4">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15CE0B66" w14:textId="77777777" w:rsidR="00394471" w:rsidRPr="00FA0D37" w:rsidRDefault="00394471" w:rsidP="00964CC4">
            <w:pPr>
              <w:pStyle w:val="TAL"/>
              <w:rPr>
                <w:b/>
                <w:bCs/>
                <w:i/>
                <w:iCs/>
                <w:lang w:eastAsia="ko-KR"/>
              </w:rPr>
            </w:pPr>
            <w:r w:rsidRPr="00FA0D37">
              <w:rPr>
                <w:b/>
                <w:bCs/>
                <w:i/>
                <w:iCs/>
                <w:lang w:eastAsia="ko-KR"/>
              </w:rPr>
              <w:t>sN-Threshold</w:t>
            </w:r>
          </w:p>
          <w:p w14:paraId="1C980E6A" w14:textId="02474920" w:rsidR="00394471" w:rsidRPr="00FA0D37" w:rsidRDefault="00394471" w:rsidP="00964CC4">
            <w:pPr>
              <w:pStyle w:val="TAL"/>
              <w:rPr>
                <w:lang w:eastAsia="en-GB"/>
              </w:rPr>
            </w:pPr>
            <w:r w:rsidRPr="00FA0D37">
              <w:rPr>
                <w:lang w:eastAsia="ko-KR"/>
              </w:rPr>
              <w:t xml:space="preserve">Threshold used for </w:t>
            </w:r>
            <w:r w:rsidRPr="00FA0D37">
              <w:t xml:space="preserve">events S1 and S2 specified in </w:t>
            </w:r>
            <w:r w:rsidR="009C7196" w:rsidRPr="00FA0D37">
              <w:t>clause</w:t>
            </w:r>
            <w:r w:rsidRPr="00FA0D37">
              <w:t>s 5.8.10.4.2 and 5.8.10.4.3, respectively.</w:t>
            </w:r>
          </w:p>
        </w:tc>
      </w:tr>
    </w:tbl>
    <w:p w14:paraId="5DA4AF1A"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19F061B8" w14:textId="77777777" w:rsidTr="00964CC4">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11DE585B" w14:textId="6CA8A005" w:rsidR="00394471" w:rsidRPr="00FA0D37" w:rsidRDefault="00394471" w:rsidP="00964CC4">
            <w:pPr>
              <w:pStyle w:val="TAH"/>
              <w:rPr>
                <w:b w:val="0"/>
                <w:lang w:eastAsia="en-GB"/>
              </w:rPr>
            </w:pPr>
            <w:r w:rsidRPr="00FA0D37">
              <w:rPr>
                <w:i/>
                <w:iCs/>
                <w:noProof/>
                <w:lang w:eastAsia="en-GB"/>
              </w:rPr>
              <w:t>SL-Periodic</w:t>
            </w:r>
            <w:r w:rsidR="008D2002" w:rsidRPr="00FA0D37">
              <w:rPr>
                <w:i/>
                <w:iCs/>
                <w:noProof/>
                <w:lang w:eastAsia="en-GB"/>
              </w:rPr>
              <w:t>al</w:t>
            </w:r>
            <w:r w:rsidRPr="00FA0D37">
              <w:rPr>
                <w:i/>
                <w:iCs/>
                <w:noProof/>
                <w:lang w:eastAsia="en-GB"/>
              </w:rPr>
              <w:t>ReportConfig</w:t>
            </w:r>
            <w:r w:rsidRPr="00FA0D37">
              <w:rPr>
                <w:iCs/>
                <w:noProof/>
                <w:lang w:eastAsia="en-GB"/>
              </w:rPr>
              <w:t xml:space="preserve"> field descriptions</w:t>
            </w:r>
          </w:p>
        </w:tc>
      </w:tr>
      <w:tr w:rsidR="005C7FF4" w:rsidRPr="00FA0D37" w14:paraId="08750030"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E18E56" w14:textId="77777777" w:rsidR="00394471" w:rsidRPr="00FA0D37" w:rsidRDefault="00394471" w:rsidP="00964CC4">
            <w:pPr>
              <w:pStyle w:val="TAL"/>
              <w:rPr>
                <w:b/>
                <w:bCs/>
                <w:i/>
                <w:iCs/>
                <w:lang w:eastAsia="en-GB"/>
              </w:rPr>
            </w:pPr>
            <w:r w:rsidRPr="00FA0D37">
              <w:rPr>
                <w:b/>
                <w:bCs/>
                <w:i/>
                <w:iCs/>
                <w:lang w:eastAsia="en-GB"/>
              </w:rPr>
              <w:t>sl-ReportAmount</w:t>
            </w:r>
          </w:p>
          <w:p w14:paraId="291E3F74" w14:textId="77777777" w:rsidR="00394471" w:rsidRPr="00FA0D37" w:rsidRDefault="00394471" w:rsidP="00964CC4">
            <w:pPr>
              <w:pStyle w:val="TAL"/>
              <w:rPr>
                <w:lang w:eastAsia="en-GB"/>
              </w:rPr>
            </w:pPr>
            <w:r w:rsidRPr="00FA0D37">
              <w:rPr>
                <w:lang w:eastAsia="en-GB"/>
              </w:rPr>
              <w:t xml:space="preserve">Number of sidelink measurement reports applicable for </w:t>
            </w:r>
            <w:r w:rsidRPr="00FA0D37">
              <w:rPr>
                <w:i/>
                <w:iCs/>
                <w:lang w:eastAsia="en-GB"/>
              </w:rPr>
              <w:t>sl-Periodical</w:t>
            </w:r>
            <w:r w:rsidRPr="00FA0D37">
              <w:rPr>
                <w:lang w:eastAsia="en-GB"/>
              </w:rPr>
              <w:t xml:space="preserve"> report type.</w:t>
            </w:r>
          </w:p>
        </w:tc>
      </w:tr>
      <w:tr w:rsidR="005C7FF4" w:rsidRPr="00FA0D37" w14:paraId="02072B2B"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B94EA03" w14:textId="77777777" w:rsidR="00394471" w:rsidRPr="00FA0D37" w:rsidRDefault="00394471" w:rsidP="00964CC4">
            <w:pPr>
              <w:pStyle w:val="TAL"/>
              <w:rPr>
                <w:b/>
                <w:bCs/>
                <w:i/>
                <w:iCs/>
                <w:lang w:eastAsia="en-GB"/>
              </w:rPr>
            </w:pPr>
            <w:r w:rsidRPr="00FA0D37">
              <w:rPr>
                <w:b/>
                <w:bCs/>
                <w:i/>
                <w:iCs/>
                <w:lang w:eastAsia="en-GB"/>
              </w:rPr>
              <w:t>sl-ReportInterval</w:t>
            </w:r>
          </w:p>
          <w:p w14:paraId="6AE22DE2" w14:textId="77777777" w:rsidR="00394471" w:rsidRPr="00FA0D37" w:rsidRDefault="00394471" w:rsidP="00964CC4">
            <w:pPr>
              <w:pStyle w:val="TAL"/>
              <w:rPr>
                <w:lang w:eastAsia="en-GB"/>
              </w:rPr>
            </w:pPr>
            <w:r w:rsidRPr="00FA0D37">
              <w:rPr>
                <w:lang w:eastAsia="en-GB"/>
              </w:rPr>
              <w:t xml:space="preserve">Indicates the interval between periodical reports (i.e., when </w:t>
            </w:r>
            <w:r w:rsidRPr="00FA0D37">
              <w:rPr>
                <w:i/>
                <w:iCs/>
                <w:lang w:eastAsia="en-GB"/>
              </w:rPr>
              <w:t>sl-ReportAmount</w:t>
            </w:r>
            <w:r w:rsidRPr="00FA0D37">
              <w:rPr>
                <w:lang w:eastAsia="en-GB"/>
              </w:rPr>
              <w:t xml:space="preserve"> exceeds 1) for </w:t>
            </w:r>
            <w:r w:rsidRPr="00FA0D37">
              <w:rPr>
                <w:i/>
                <w:iCs/>
                <w:lang w:eastAsia="en-GB"/>
              </w:rPr>
              <w:t>sl-Periodical</w:t>
            </w:r>
            <w:r w:rsidRPr="00FA0D37">
              <w:rPr>
                <w:lang w:eastAsia="en-GB"/>
              </w:rPr>
              <w:t xml:space="preserve"> report type.</w:t>
            </w:r>
          </w:p>
        </w:tc>
      </w:tr>
      <w:tr w:rsidR="00375B89" w:rsidRPr="00FA0D37" w14:paraId="18CC002C"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80FD208" w14:textId="77777777" w:rsidR="00394471" w:rsidRPr="00FA0D37" w:rsidRDefault="00394471" w:rsidP="00964CC4">
            <w:pPr>
              <w:pStyle w:val="TAL"/>
              <w:rPr>
                <w:b/>
                <w:bCs/>
                <w:i/>
                <w:iCs/>
                <w:lang w:eastAsia="en-GB"/>
              </w:rPr>
            </w:pPr>
            <w:r w:rsidRPr="00FA0D37">
              <w:rPr>
                <w:b/>
                <w:bCs/>
                <w:i/>
                <w:iCs/>
                <w:lang w:eastAsia="en-GB"/>
              </w:rPr>
              <w:t>sl-ReportQuantity</w:t>
            </w:r>
          </w:p>
          <w:p w14:paraId="41F96CB4" w14:textId="77777777" w:rsidR="00394471" w:rsidRPr="00FA0D37" w:rsidRDefault="00394471" w:rsidP="00964CC4">
            <w:pPr>
              <w:pStyle w:val="TAL"/>
              <w:rPr>
                <w:lang w:eastAsia="en-GB"/>
              </w:rPr>
            </w:pPr>
            <w:r w:rsidRPr="00FA0D37">
              <w:rPr>
                <w:lang w:eastAsia="en-GB"/>
              </w:rPr>
              <w:t>The sidelink measurement quantities to be included in the sidelink measurement report.</w:t>
            </w:r>
          </w:p>
        </w:tc>
      </w:tr>
    </w:tbl>
    <w:p w14:paraId="652F5619" w14:textId="77777777" w:rsidR="00394471" w:rsidRPr="00FA0D37" w:rsidRDefault="00394471" w:rsidP="00394471">
      <w:pPr>
        <w:rPr>
          <w:rFonts w:eastAsia="MS Mincho"/>
        </w:rPr>
      </w:pPr>
    </w:p>
    <w:p w14:paraId="6406ED2C" w14:textId="40C58BF0" w:rsidR="00394471" w:rsidRPr="00FA0D37" w:rsidRDefault="00394471" w:rsidP="00394471">
      <w:pPr>
        <w:pStyle w:val="4"/>
      </w:pPr>
      <w:bookmarkStart w:id="1811" w:name="_Toc60777545"/>
      <w:bookmarkStart w:id="1812" w:name="_Toc146781669"/>
      <w:r w:rsidRPr="00FA0D37">
        <w:lastRenderedPageBreak/>
        <w:t>–</w:t>
      </w:r>
      <w:r w:rsidRPr="00FA0D37">
        <w:tab/>
      </w:r>
      <w:r w:rsidRPr="00FA0D37">
        <w:rPr>
          <w:i/>
          <w:iCs/>
        </w:rPr>
        <w:t>SL-ResourcePool</w:t>
      </w:r>
      <w:bookmarkEnd w:id="1811"/>
      <w:bookmarkEnd w:id="1812"/>
    </w:p>
    <w:p w14:paraId="78C5A6FE" w14:textId="77777777" w:rsidR="00394471" w:rsidRPr="00FA0D37" w:rsidRDefault="00394471" w:rsidP="00394471">
      <w:r w:rsidRPr="00FA0D37">
        <w:t>The IE</w:t>
      </w:r>
      <w:r w:rsidRPr="00FA0D37">
        <w:rPr>
          <w:i/>
        </w:rPr>
        <w:t xml:space="preserve"> SL-ResourcePool</w:t>
      </w:r>
      <w:r w:rsidRPr="00FA0D37">
        <w:rPr>
          <w:iCs/>
        </w:rPr>
        <w:t xml:space="preserve"> specifies the configuration information for NR sidelink communication resource pool</w:t>
      </w:r>
      <w:r w:rsidRPr="00FA0D37">
        <w:t>.</w:t>
      </w:r>
    </w:p>
    <w:p w14:paraId="51A461B2" w14:textId="77777777" w:rsidR="00394471" w:rsidRPr="00FA0D37" w:rsidRDefault="00394471" w:rsidP="00394471">
      <w:pPr>
        <w:pStyle w:val="TH"/>
      </w:pPr>
      <w:r w:rsidRPr="00FA0D37">
        <w:rPr>
          <w:i/>
        </w:rPr>
        <w:t xml:space="preserve">SL-ResourcePool </w:t>
      </w:r>
      <w:r w:rsidRPr="00FA0D37">
        <w:t>information element</w:t>
      </w:r>
    </w:p>
    <w:p w14:paraId="2A44DA95" w14:textId="77777777" w:rsidR="00394471" w:rsidRPr="00FA0D37" w:rsidRDefault="00394471" w:rsidP="00FA0D37">
      <w:pPr>
        <w:pStyle w:val="PL"/>
        <w:rPr>
          <w:color w:val="808080"/>
        </w:rPr>
      </w:pPr>
      <w:r w:rsidRPr="00FA0D37">
        <w:rPr>
          <w:color w:val="808080"/>
        </w:rPr>
        <w:t>-- ASN1START</w:t>
      </w:r>
    </w:p>
    <w:p w14:paraId="2E8255B4" w14:textId="77777777" w:rsidR="00394471" w:rsidRPr="00FA0D37" w:rsidRDefault="00394471" w:rsidP="00FA0D37">
      <w:pPr>
        <w:pStyle w:val="PL"/>
        <w:rPr>
          <w:color w:val="808080"/>
        </w:rPr>
      </w:pPr>
      <w:r w:rsidRPr="00FA0D37">
        <w:rPr>
          <w:color w:val="808080"/>
        </w:rPr>
        <w:t>-- TAG-SL-RESOURCEPOOL-START</w:t>
      </w:r>
    </w:p>
    <w:p w14:paraId="591EB07B" w14:textId="77777777" w:rsidR="00394471" w:rsidRPr="00FA0D37" w:rsidRDefault="00394471" w:rsidP="00FA0D37">
      <w:pPr>
        <w:pStyle w:val="PL"/>
      </w:pPr>
    </w:p>
    <w:p w14:paraId="09655393" w14:textId="77777777" w:rsidR="00394471" w:rsidRPr="00FA0D37" w:rsidRDefault="00394471" w:rsidP="00FA0D37">
      <w:pPr>
        <w:pStyle w:val="PL"/>
      </w:pPr>
      <w:r w:rsidRPr="00FA0D37">
        <w:t xml:space="preserve">SL-ResourcePool-r16 ::=            </w:t>
      </w:r>
      <w:r w:rsidRPr="00FA0D37">
        <w:rPr>
          <w:color w:val="993366"/>
        </w:rPr>
        <w:t>SEQUENCE</w:t>
      </w:r>
      <w:r w:rsidRPr="00FA0D37">
        <w:t xml:space="preserve"> {</w:t>
      </w:r>
    </w:p>
    <w:p w14:paraId="0F43EFAB" w14:textId="77777777" w:rsidR="00394471" w:rsidRPr="00FA0D37" w:rsidRDefault="00394471" w:rsidP="00FA0D37">
      <w:pPr>
        <w:pStyle w:val="PL"/>
        <w:rPr>
          <w:color w:val="808080"/>
        </w:rPr>
      </w:pPr>
      <w:r w:rsidRPr="00FA0D37">
        <w:t xml:space="preserve">    sl-PSCCH-Config-r16                SetupRelease { SL-PSCCH-Config-r16 }                                  </w:t>
      </w:r>
      <w:r w:rsidRPr="00FA0D37">
        <w:rPr>
          <w:color w:val="993366"/>
        </w:rPr>
        <w:t>OPTIONAL</w:t>
      </w:r>
      <w:r w:rsidRPr="00FA0D37">
        <w:t xml:space="preserve">,   </w:t>
      </w:r>
      <w:r w:rsidRPr="00FA0D37">
        <w:rPr>
          <w:color w:val="808080"/>
        </w:rPr>
        <w:t>-- Need M</w:t>
      </w:r>
    </w:p>
    <w:p w14:paraId="3C4E2E9D" w14:textId="77777777" w:rsidR="00394471" w:rsidRPr="00FA0D37" w:rsidRDefault="00394471" w:rsidP="00FA0D37">
      <w:pPr>
        <w:pStyle w:val="PL"/>
        <w:rPr>
          <w:color w:val="808080"/>
        </w:rPr>
      </w:pPr>
      <w:r w:rsidRPr="00FA0D37">
        <w:t xml:space="preserve">    sl-PSSCH-Config-r16                SetupRelease { SL-PSSCH-Config-r16 }                                  </w:t>
      </w:r>
      <w:r w:rsidRPr="00FA0D37">
        <w:rPr>
          <w:color w:val="993366"/>
        </w:rPr>
        <w:t>OPTIONAL</w:t>
      </w:r>
      <w:r w:rsidRPr="00FA0D37">
        <w:t xml:space="preserve">,   </w:t>
      </w:r>
      <w:r w:rsidRPr="00FA0D37">
        <w:rPr>
          <w:color w:val="808080"/>
        </w:rPr>
        <w:t>-- Need M</w:t>
      </w:r>
    </w:p>
    <w:p w14:paraId="1E5F1F6B" w14:textId="77777777" w:rsidR="00394471" w:rsidRPr="00FA0D37" w:rsidRDefault="00394471" w:rsidP="00FA0D37">
      <w:pPr>
        <w:pStyle w:val="PL"/>
        <w:rPr>
          <w:color w:val="808080"/>
        </w:rPr>
      </w:pPr>
      <w:r w:rsidRPr="00FA0D37">
        <w:t xml:space="preserve">    sl-PSFCH</w:t>
      </w:r>
      <w:r w:rsidRPr="00FA0D37">
        <w:rPr>
          <w:rFonts w:eastAsia="等线"/>
        </w:rPr>
        <w:t>-Config</w:t>
      </w:r>
      <w:r w:rsidRPr="00FA0D37">
        <w:t xml:space="preserve">-r16                SetupRelease { SL-PSFCH-Config-r16 }                                  </w:t>
      </w:r>
      <w:r w:rsidRPr="00FA0D37">
        <w:rPr>
          <w:color w:val="993366"/>
        </w:rPr>
        <w:t>OPTIONAL</w:t>
      </w:r>
      <w:r w:rsidRPr="00FA0D37">
        <w:t xml:space="preserve">,   </w:t>
      </w:r>
      <w:r w:rsidRPr="00FA0D37">
        <w:rPr>
          <w:color w:val="808080"/>
        </w:rPr>
        <w:t>-- Need M</w:t>
      </w:r>
    </w:p>
    <w:p w14:paraId="4245124E" w14:textId="77777777" w:rsidR="00394471" w:rsidRPr="00FA0D37" w:rsidRDefault="00394471" w:rsidP="00FA0D37">
      <w:pPr>
        <w:pStyle w:val="PL"/>
        <w:rPr>
          <w:color w:val="808080"/>
        </w:rPr>
      </w:pPr>
      <w:r w:rsidRPr="00FA0D37">
        <w:t xml:space="preserve">    sl-SyncAllowed-r16                 SL-SyncAllowed-r16                                                    </w:t>
      </w:r>
      <w:r w:rsidRPr="00FA0D37">
        <w:rPr>
          <w:color w:val="993366"/>
        </w:rPr>
        <w:t>OPTIONAL</w:t>
      </w:r>
      <w:r w:rsidRPr="00FA0D37">
        <w:t xml:space="preserve">,   </w:t>
      </w:r>
      <w:r w:rsidRPr="00FA0D37">
        <w:rPr>
          <w:color w:val="808080"/>
        </w:rPr>
        <w:t>-- Need M</w:t>
      </w:r>
    </w:p>
    <w:p w14:paraId="6EDC0A48" w14:textId="77777777" w:rsidR="00394471" w:rsidRPr="00FA0D37" w:rsidRDefault="00394471" w:rsidP="00FA0D37">
      <w:pPr>
        <w:pStyle w:val="PL"/>
        <w:rPr>
          <w:color w:val="808080"/>
        </w:rPr>
      </w:pPr>
      <w:r w:rsidRPr="00FA0D37">
        <w:t xml:space="preserve">    sl-SubchannelSize-r16              </w:t>
      </w:r>
      <w:r w:rsidRPr="00FA0D37">
        <w:rPr>
          <w:color w:val="993366"/>
        </w:rPr>
        <w:t>ENUMERATED</w:t>
      </w:r>
      <w:r w:rsidRPr="00FA0D37">
        <w:t xml:space="preserve"> {n10, n12, n15, n20, n25, n50, n75, n100}                  </w:t>
      </w:r>
      <w:r w:rsidRPr="00FA0D37">
        <w:rPr>
          <w:color w:val="993366"/>
        </w:rPr>
        <w:t>OPTIONAL</w:t>
      </w:r>
      <w:r w:rsidRPr="00FA0D37">
        <w:t xml:space="preserve">,   </w:t>
      </w:r>
      <w:r w:rsidRPr="00FA0D37">
        <w:rPr>
          <w:color w:val="808080"/>
        </w:rPr>
        <w:t>-- Need M</w:t>
      </w:r>
    </w:p>
    <w:p w14:paraId="0A836518" w14:textId="0AA2CDB1" w:rsidR="00394471" w:rsidRPr="00FA0D37" w:rsidRDefault="00394471" w:rsidP="00FA0D37">
      <w:pPr>
        <w:pStyle w:val="PL"/>
        <w:rPr>
          <w:color w:val="808080"/>
        </w:rPr>
      </w:pPr>
      <w:r w:rsidRPr="00FA0D37">
        <w:t xml:space="preserve">    </w:t>
      </w:r>
      <w:r w:rsidR="00A105BD" w:rsidRPr="00FA0D37">
        <w:t>dummy</w:t>
      </w:r>
      <w:r w:rsidRPr="00FA0D37">
        <w:t xml:space="preserve">                </w:t>
      </w:r>
      <w:r w:rsidR="00A105BD" w:rsidRPr="00FA0D37">
        <w:t xml:space="preserve">              </w:t>
      </w:r>
      <w:r w:rsidRPr="00FA0D37">
        <w:rPr>
          <w:color w:val="993366"/>
        </w:rPr>
        <w:t>INTEGER</w:t>
      </w:r>
      <w:r w:rsidRPr="00FA0D37">
        <w:t xml:space="preserve"> (10..160)                                                     </w:t>
      </w:r>
      <w:r w:rsidRPr="00FA0D37">
        <w:rPr>
          <w:color w:val="993366"/>
        </w:rPr>
        <w:t>OPTIONAL</w:t>
      </w:r>
      <w:r w:rsidRPr="00FA0D37">
        <w:t xml:space="preserve">,   </w:t>
      </w:r>
      <w:r w:rsidRPr="00FA0D37">
        <w:rPr>
          <w:color w:val="808080"/>
        </w:rPr>
        <w:t>-- Need M</w:t>
      </w:r>
    </w:p>
    <w:p w14:paraId="6DCA03C9" w14:textId="77777777" w:rsidR="00394471" w:rsidRPr="00FA0D37" w:rsidRDefault="00394471" w:rsidP="00FA0D37">
      <w:pPr>
        <w:pStyle w:val="PL"/>
        <w:rPr>
          <w:color w:val="808080"/>
        </w:rPr>
      </w:pPr>
      <w:r w:rsidRPr="00FA0D37">
        <w:t xml:space="preserve">    sl-StartRB-Subchannel-r16          </w:t>
      </w:r>
      <w:r w:rsidRPr="00FA0D37">
        <w:rPr>
          <w:color w:val="993366"/>
        </w:rPr>
        <w:t>INTEGER</w:t>
      </w:r>
      <w:r w:rsidRPr="00FA0D37">
        <w:t xml:space="preserve"> (0..265)                                                      </w:t>
      </w:r>
      <w:r w:rsidRPr="00FA0D37">
        <w:rPr>
          <w:color w:val="993366"/>
        </w:rPr>
        <w:t>OPTIONAL</w:t>
      </w:r>
      <w:r w:rsidRPr="00FA0D37">
        <w:t xml:space="preserve">,   </w:t>
      </w:r>
      <w:r w:rsidRPr="00FA0D37">
        <w:rPr>
          <w:color w:val="808080"/>
        </w:rPr>
        <w:t>-- Need M</w:t>
      </w:r>
    </w:p>
    <w:p w14:paraId="7A002D74" w14:textId="77777777" w:rsidR="00394471" w:rsidRPr="00FA0D37" w:rsidRDefault="00394471" w:rsidP="00FA0D37">
      <w:pPr>
        <w:pStyle w:val="PL"/>
        <w:rPr>
          <w:color w:val="808080"/>
        </w:rPr>
      </w:pPr>
      <w:r w:rsidRPr="00FA0D37">
        <w:t xml:space="preserve">    sl-NumSubchannel-r16               </w:t>
      </w:r>
      <w:r w:rsidRPr="00FA0D37">
        <w:rPr>
          <w:color w:val="993366"/>
        </w:rPr>
        <w:t>INTEGER</w:t>
      </w:r>
      <w:r w:rsidRPr="00FA0D37">
        <w:t xml:space="preserve"> (1..27)                                                       </w:t>
      </w:r>
      <w:r w:rsidRPr="00FA0D37">
        <w:rPr>
          <w:color w:val="993366"/>
        </w:rPr>
        <w:t>OPTIONAL</w:t>
      </w:r>
      <w:r w:rsidRPr="00FA0D37">
        <w:t xml:space="preserve">,   </w:t>
      </w:r>
      <w:r w:rsidRPr="00FA0D37">
        <w:rPr>
          <w:color w:val="808080"/>
        </w:rPr>
        <w:t>-- Need M</w:t>
      </w:r>
    </w:p>
    <w:p w14:paraId="73DCA9A8" w14:textId="77777777" w:rsidR="00394471" w:rsidRPr="00FA0D37" w:rsidRDefault="00394471" w:rsidP="00FA0D37">
      <w:pPr>
        <w:pStyle w:val="PL"/>
        <w:rPr>
          <w:color w:val="808080"/>
        </w:rPr>
      </w:pPr>
      <w:r w:rsidRPr="00FA0D37">
        <w:t xml:space="preserve">    sl-Additional-MCS-Table-r16        </w:t>
      </w:r>
      <w:r w:rsidRPr="00FA0D37">
        <w:rPr>
          <w:color w:val="993366"/>
        </w:rPr>
        <w:t>ENUMERATED</w:t>
      </w:r>
      <w:r w:rsidRPr="00FA0D37">
        <w:t xml:space="preserve"> {qam256, qam64LowSE, qam256-qam64LowSE }                   </w:t>
      </w:r>
      <w:r w:rsidRPr="00FA0D37">
        <w:rPr>
          <w:color w:val="993366"/>
        </w:rPr>
        <w:t>OPTIONAL</w:t>
      </w:r>
      <w:r w:rsidRPr="00FA0D37">
        <w:t xml:space="preserve">,   </w:t>
      </w:r>
      <w:r w:rsidRPr="00FA0D37">
        <w:rPr>
          <w:color w:val="808080"/>
        </w:rPr>
        <w:t>-- Need M</w:t>
      </w:r>
    </w:p>
    <w:p w14:paraId="73658F3C" w14:textId="77777777" w:rsidR="00394471" w:rsidRPr="00FA0D37" w:rsidRDefault="00394471" w:rsidP="00FA0D37">
      <w:pPr>
        <w:pStyle w:val="PL"/>
        <w:rPr>
          <w:color w:val="808080"/>
        </w:rPr>
      </w:pPr>
      <w:r w:rsidRPr="00FA0D37">
        <w:t xml:space="preserve">    sl-ThreshS-RSSI-CBR-r16            </w:t>
      </w:r>
      <w:r w:rsidRPr="00FA0D37">
        <w:rPr>
          <w:color w:val="993366"/>
        </w:rPr>
        <w:t>INTEGER</w:t>
      </w:r>
      <w:r w:rsidRPr="00FA0D37">
        <w:t xml:space="preserve"> (0..45)                                                       </w:t>
      </w:r>
      <w:r w:rsidRPr="00FA0D37">
        <w:rPr>
          <w:color w:val="993366"/>
        </w:rPr>
        <w:t>OPTIONAL</w:t>
      </w:r>
      <w:r w:rsidRPr="00FA0D37">
        <w:t xml:space="preserve">,   </w:t>
      </w:r>
      <w:r w:rsidRPr="00FA0D37">
        <w:rPr>
          <w:color w:val="808080"/>
        </w:rPr>
        <w:t>-- Need M</w:t>
      </w:r>
    </w:p>
    <w:p w14:paraId="1A34DEB8" w14:textId="77777777" w:rsidR="00394471" w:rsidRPr="00FA0D37" w:rsidRDefault="00394471" w:rsidP="00FA0D37">
      <w:pPr>
        <w:pStyle w:val="PL"/>
        <w:rPr>
          <w:color w:val="808080"/>
        </w:rPr>
      </w:pPr>
      <w:r w:rsidRPr="00FA0D37">
        <w:t xml:space="preserve">    sl-TimeWindowSizeCBR-r16           </w:t>
      </w:r>
      <w:r w:rsidRPr="00FA0D37">
        <w:rPr>
          <w:color w:val="993366"/>
        </w:rPr>
        <w:t>ENUMERATED</w:t>
      </w:r>
      <w:r w:rsidRPr="00FA0D37">
        <w:t xml:space="preserve"> {ms100, slot100}                                           </w:t>
      </w:r>
      <w:r w:rsidRPr="00FA0D37">
        <w:rPr>
          <w:color w:val="993366"/>
        </w:rPr>
        <w:t>OPTIONAL</w:t>
      </w:r>
      <w:r w:rsidRPr="00FA0D37">
        <w:t xml:space="preserve">,   </w:t>
      </w:r>
      <w:r w:rsidRPr="00FA0D37">
        <w:rPr>
          <w:color w:val="808080"/>
        </w:rPr>
        <w:t>-- Need M</w:t>
      </w:r>
    </w:p>
    <w:p w14:paraId="7950FE4D" w14:textId="77777777" w:rsidR="00394471" w:rsidRPr="00FA0D37" w:rsidRDefault="00394471" w:rsidP="00FA0D37">
      <w:pPr>
        <w:pStyle w:val="PL"/>
        <w:rPr>
          <w:color w:val="808080"/>
        </w:rPr>
      </w:pPr>
      <w:r w:rsidRPr="00FA0D37">
        <w:t xml:space="preserve">    sl-TimeWindowSizeCR-r16            </w:t>
      </w:r>
      <w:r w:rsidRPr="00FA0D37">
        <w:rPr>
          <w:color w:val="993366"/>
        </w:rPr>
        <w:t>ENUMERATED</w:t>
      </w:r>
      <w:r w:rsidRPr="00FA0D37">
        <w:t xml:space="preserve"> {ms1000, slot1000}                                         </w:t>
      </w:r>
      <w:r w:rsidRPr="00FA0D37">
        <w:rPr>
          <w:color w:val="993366"/>
        </w:rPr>
        <w:t>OPTIONAL</w:t>
      </w:r>
      <w:r w:rsidRPr="00FA0D37">
        <w:t xml:space="preserve">,   </w:t>
      </w:r>
      <w:r w:rsidRPr="00FA0D37">
        <w:rPr>
          <w:color w:val="808080"/>
        </w:rPr>
        <w:t>-- Need M</w:t>
      </w:r>
    </w:p>
    <w:p w14:paraId="3338B86C" w14:textId="77777777" w:rsidR="00394471" w:rsidRPr="00FA0D37" w:rsidRDefault="00394471" w:rsidP="00FA0D37">
      <w:pPr>
        <w:pStyle w:val="PL"/>
        <w:rPr>
          <w:rFonts w:eastAsia="等线"/>
          <w:color w:val="808080"/>
        </w:rPr>
      </w:pPr>
      <w:r w:rsidRPr="00FA0D37">
        <w:t xml:space="preserve">    </w:t>
      </w:r>
      <w:r w:rsidRPr="00FA0D37">
        <w:rPr>
          <w:rFonts w:eastAsia="等线"/>
        </w:rPr>
        <w:t>sl-PTRS-Config-r16</w:t>
      </w:r>
      <w:r w:rsidRPr="00FA0D37">
        <w:t xml:space="preserve">                 </w:t>
      </w:r>
      <w:r w:rsidRPr="00FA0D37">
        <w:rPr>
          <w:rFonts w:eastAsia="等线"/>
        </w:rPr>
        <w:t>SL-PTRS-Config-r16</w:t>
      </w:r>
      <w:r w:rsidRPr="00FA0D37">
        <w:t xml:space="preserve">                                                    </w:t>
      </w:r>
      <w:r w:rsidRPr="00FA0D37">
        <w:rPr>
          <w:rFonts w:eastAsia="等线"/>
          <w:color w:val="993366"/>
        </w:rPr>
        <w:t>OPTIONAL</w:t>
      </w:r>
      <w:r w:rsidRPr="00FA0D37">
        <w:rPr>
          <w:rFonts w:eastAsia="等线"/>
        </w:rPr>
        <w:t xml:space="preserve">,    </w:t>
      </w:r>
      <w:r w:rsidRPr="00FA0D37">
        <w:rPr>
          <w:rFonts w:eastAsia="等线"/>
          <w:color w:val="808080"/>
        </w:rPr>
        <w:t>-- Need M</w:t>
      </w:r>
    </w:p>
    <w:p w14:paraId="2207E92B" w14:textId="77777777" w:rsidR="00394471" w:rsidRPr="00FA0D37" w:rsidRDefault="00394471" w:rsidP="00FA0D37">
      <w:pPr>
        <w:pStyle w:val="PL"/>
        <w:rPr>
          <w:rFonts w:eastAsia="等线"/>
          <w:color w:val="808080"/>
        </w:rPr>
      </w:pPr>
      <w:r w:rsidRPr="00FA0D37">
        <w:t xml:space="preserve">    </w:t>
      </w:r>
      <w:r w:rsidRPr="00FA0D37">
        <w:rPr>
          <w:rFonts w:eastAsia="等线"/>
        </w:rPr>
        <w:t>sl-UE-SelectedConfigRP-r16</w:t>
      </w:r>
      <w:r w:rsidRPr="00FA0D37">
        <w:t xml:space="preserve">         </w:t>
      </w:r>
      <w:r w:rsidRPr="00FA0D37">
        <w:rPr>
          <w:rFonts w:eastAsia="等线"/>
        </w:rPr>
        <w:t>SL-UE-SelectedConfigRP-r16</w:t>
      </w:r>
      <w:r w:rsidRPr="00FA0D37">
        <w:t xml:space="preserve">                                            </w:t>
      </w:r>
      <w:r w:rsidRPr="00FA0D37">
        <w:rPr>
          <w:color w:val="993366"/>
        </w:rPr>
        <w:t>OPTIONAL</w:t>
      </w:r>
      <w:r w:rsidRPr="00FA0D37">
        <w:t xml:space="preserve">,   </w:t>
      </w:r>
      <w:r w:rsidRPr="00FA0D37">
        <w:rPr>
          <w:color w:val="808080"/>
        </w:rPr>
        <w:t>-- Need M</w:t>
      </w:r>
    </w:p>
    <w:p w14:paraId="2488D99C" w14:textId="77777777" w:rsidR="00394471" w:rsidRPr="00FA0D37" w:rsidRDefault="00394471" w:rsidP="00FA0D37">
      <w:pPr>
        <w:pStyle w:val="PL"/>
        <w:rPr>
          <w:rFonts w:eastAsia="等线"/>
        </w:rPr>
      </w:pPr>
      <w:r w:rsidRPr="00FA0D37">
        <w:t xml:space="preserve">    </w:t>
      </w:r>
      <w:r w:rsidRPr="00FA0D37">
        <w:rPr>
          <w:rFonts w:eastAsia="等线"/>
        </w:rPr>
        <w:t>sl-RxParametersNcell-r16</w:t>
      </w:r>
      <w:r w:rsidRPr="00FA0D37">
        <w:t xml:space="preserve">           </w:t>
      </w:r>
      <w:r w:rsidRPr="00FA0D37">
        <w:rPr>
          <w:rFonts w:eastAsia="等线"/>
          <w:color w:val="993366"/>
        </w:rPr>
        <w:t>SEQUENCE</w:t>
      </w:r>
      <w:r w:rsidRPr="00FA0D37">
        <w:rPr>
          <w:rFonts w:eastAsia="等线"/>
        </w:rPr>
        <w:t xml:space="preserve"> {</w:t>
      </w:r>
    </w:p>
    <w:p w14:paraId="3110F7FC" w14:textId="77777777" w:rsidR="00394471" w:rsidRPr="00FA0D37" w:rsidRDefault="00394471" w:rsidP="00FA0D37">
      <w:pPr>
        <w:pStyle w:val="PL"/>
        <w:rPr>
          <w:rFonts w:eastAsia="等线"/>
          <w:color w:val="808080"/>
        </w:rPr>
      </w:pPr>
      <w:r w:rsidRPr="00FA0D37">
        <w:t xml:space="preserve">        </w:t>
      </w:r>
      <w:r w:rsidRPr="00FA0D37">
        <w:rPr>
          <w:rFonts w:eastAsia="等线"/>
        </w:rPr>
        <w:t>sl-TDD-Config</w:t>
      </w:r>
      <w:r w:rsidRPr="00FA0D37">
        <w:t>uration</w:t>
      </w:r>
      <w:r w:rsidRPr="00FA0D37">
        <w:rPr>
          <w:rFonts w:eastAsia="等线"/>
        </w:rPr>
        <w:t>-r16</w:t>
      </w:r>
      <w:r w:rsidRPr="00FA0D37">
        <w:t xml:space="preserve">           </w:t>
      </w:r>
      <w:r w:rsidRPr="00FA0D37">
        <w:rPr>
          <w:rFonts w:eastAsia="等线"/>
        </w:rPr>
        <w:t>TDD-UL-DL-ConfigCommon</w:t>
      </w:r>
      <w:r w:rsidRPr="00FA0D37">
        <w:t xml:space="preserve">                                            </w:t>
      </w:r>
      <w:r w:rsidRPr="00FA0D37">
        <w:rPr>
          <w:rFonts w:eastAsia="等线"/>
          <w:color w:val="993366"/>
        </w:rPr>
        <w:t>OPTIONAL</w:t>
      </w:r>
      <w:r w:rsidRPr="00FA0D37">
        <w:rPr>
          <w:rFonts w:eastAsia="等线"/>
        </w:rPr>
        <w:t>,</w:t>
      </w:r>
      <w:r w:rsidRPr="00FA0D37">
        <w:t xml:space="preserve">   </w:t>
      </w:r>
      <w:r w:rsidRPr="00FA0D37">
        <w:rPr>
          <w:color w:val="808080"/>
        </w:rPr>
        <w:t>-- Need M</w:t>
      </w:r>
    </w:p>
    <w:p w14:paraId="73064EDE" w14:textId="77777777" w:rsidR="00394471" w:rsidRPr="00FA0D37" w:rsidRDefault="00394471" w:rsidP="00FA0D37">
      <w:pPr>
        <w:pStyle w:val="PL"/>
        <w:rPr>
          <w:rFonts w:eastAsia="等线"/>
        </w:rPr>
      </w:pPr>
      <w:r w:rsidRPr="00FA0D37">
        <w:t xml:space="preserve">        </w:t>
      </w:r>
      <w:r w:rsidRPr="00FA0D37">
        <w:rPr>
          <w:rFonts w:eastAsia="等线"/>
        </w:rPr>
        <w:t>sl-SyncConfigIndex-r16</w:t>
      </w:r>
      <w:r w:rsidRPr="00FA0D37">
        <w:t xml:space="preserve">             </w:t>
      </w:r>
      <w:r w:rsidRPr="00FA0D37">
        <w:rPr>
          <w:rFonts w:eastAsia="等线"/>
          <w:color w:val="993366"/>
        </w:rPr>
        <w:t>INTEGER</w:t>
      </w:r>
      <w:r w:rsidRPr="00FA0D37">
        <w:rPr>
          <w:rFonts w:eastAsia="等线"/>
        </w:rPr>
        <w:t xml:space="preserve"> (0..15)</w:t>
      </w:r>
    </w:p>
    <w:p w14:paraId="540C900F" w14:textId="77777777" w:rsidR="00394471" w:rsidRPr="00FA0D37" w:rsidRDefault="00394471" w:rsidP="00FA0D37">
      <w:pPr>
        <w:pStyle w:val="PL"/>
        <w:rPr>
          <w:rFonts w:eastAsia="等线"/>
          <w:color w:val="808080"/>
        </w:rPr>
      </w:pPr>
      <w:r w:rsidRPr="00FA0D37">
        <w:t xml:space="preserve">    </w:t>
      </w:r>
      <w:r w:rsidRPr="00FA0D37">
        <w:rPr>
          <w:rFonts w:eastAsia="等线"/>
        </w:rPr>
        <w:t>}</w:t>
      </w:r>
      <w:r w:rsidRPr="00FA0D37">
        <w:t xml:space="preserve">                                                                                                        </w:t>
      </w:r>
      <w:r w:rsidRPr="00FA0D37">
        <w:rPr>
          <w:color w:val="993366"/>
        </w:rPr>
        <w:t>OPTIONAL</w:t>
      </w:r>
      <w:r w:rsidRPr="00FA0D37">
        <w:t xml:space="preserve">,   </w:t>
      </w:r>
      <w:r w:rsidRPr="00FA0D37">
        <w:rPr>
          <w:color w:val="808080"/>
        </w:rPr>
        <w:t>-- Need M</w:t>
      </w:r>
    </w:p>
    <w:p w14:paraId="00FF8192" w14:textId="77777777" w:rsidR="00394471" w:rsidRPr="00FA0D37" w:rsidRDefault="00394471" w:rsidP="00FA0D37">
      <w:pPr>
        <w:pStyle w:val="PL"/>
        <w:rPr>
          <w:rFonts w:eastAsia="等线"/>
          <w:color w:val="808080"/>
        </w:rPr>
      </w:pPr>
      <w:r w:rsidRPr="00FA0D37">
        <w:t xml:space="preserve">    sl-ZoneConfigMCR-List-r16          </w:t>
      </w:r>
      <w:r w:rsidRPr="00FA0D37">
        <w:rPr>
          <w:color w:val="993366"/>
        </w:rPr>
        <w:t>SEQUENCE</w:t>
      </w:r>
      <w:r w:rsidRPr="00FA0D37">
        <w:t xml:space="preserve"> (</w:t>
      </w:r>
      <w:r w:rsidRPr="00FA0D37">
        <w:rPr>
          <w:color w:val="993366"/>
        </w:rPr>
        <w:t>SIZE</w:t>
      </w:r>
      <w:r w:rsidRPr="00FA0D37">
        <w:t xml:space="preserve"> (16))</w:t>
      </w:r>
      <w:r w:rsidRPr="00FA0D37">
        <w:rPr>
          <w:color w:val="993366"/>
        </w:rPr>
        <w:t xml:space="preserve"> OF</w:t>
      </w:r>
      <w:r w:rsidRPr="00FA0D37">
        <w:t xml:space="preserve"> SL-ZoneConfigMCR-r16                          </w:t>
      </w:r>
      <w:r w:rsidRPr="00FA0D37">
        <w:rPr>
          <w:color w:val="993366"/>
        </w:rPr>
        <w:t>OPTIONAL</w:t>
      </w:r>
      <w:r w:rsidRPr="00FA0D37">
        <w:t xml:space="preserve">,   </w:t>
      </w:r>
      <w:r w:rsidRPr="00FA0D37">
        <w:rPr>
          <w:color w:val="808080"/>
        </w:rPr>
        <w:t>-- Need M</w:t>
      </w:r>
    </w:p>
    <w:p w14:paraId="651A63A7" w14:textId="77777777" w:rsidR="00394471" w:rsidRPr="00FA0D37" w:rsidRDefault="00394471" w:rsidP="00FA0D37">
      <w:pPr>
        <w:pStyle w:val="PL"/>
        <w:rPr>
          <w:color w:val="808080"/>
        </w:rPr>
      </w:pPr>
      <w:r w:rsidRPr="00FA0D37">
        <w:t xml:space="preserve">    sl-FilterCoefficient-r16           FilterCoefficient                                                     </w:t>
      </w:r>
      <w:r w:rsidRPr="00FA0D37">
        <w:rPr>
          <w:color w:val="993366"/>
        </w:rPr>
        <w:t>OPTIONAL</w:t>
      </w:r>
      <w:r w:rsidRPr="00FA0D37">
        <w:t xml:space="preserve">,   </w:t>
      </w:r>
      <w:r w:rsidRPr="00FA0D37">
        <w:rPr>
          <w:color w:val="808080"/>
        </w:rPr>
        <w:t>-- Need M</w:t>
      </w:r>
    </w:p>
    <w:p w14:paraId="406DDE8D" w14:textId="77777777" w:rsidR="00394471" w:rsidRPr="00FA0D37" w:rsidRDefault="00394471" w:rsidP="00FA0D37">
      <w:pPr>
        <w:pStyle w:val="PL"/>
        <w:rPr>
          <w:color w:val="808080"/>
        </w:rPr>
      </w:pPr>
      <w:r w:rsidRPr="00FA0D37">
        <w:t xml:space="preserve">    sl-RB-Number-r16                   </w:t>
      </w:r>
      <w:r w:rsidRPr="00FA0D37">
        <w:rPr>
          <w:color w:val="993366"/>
        </w:rPr>
        <w:t>INTEGER</w:t>
      </w:r>
      <w:r w:rsidRPr="00FA0D37">
        <w:t xml:space="preserve"> (10..275)                                                     </w:t>
      </w:r>
      <w:r w:rsidRPr="00FA0D37">
        <w:rPr>
          <w:color w:val="993366"/>
        </w:rPr>
        <w:t>OPTIONAL</w:t>
      </w:r>
      <w:r w:rsidRPr="00FA0D37">
        <w:t xml:space="preserve">,   </w:t>
      </w:r>
      <w:r w:rsidRPr="00FA0D37">
        <w:rPr>
          <w:color w:val="808080"/>
        </w:rPr>
        <w:t>-- Need M</w:t>
      </w:r>
    </w:p>
    <w:p w14:paraId="51FFA734" w14:textId="77777777" w:rsidR="00394471" w:rsidRPr="00FA0D37" w:rsidRDefault="00394471" w:rsidP="00FA0D37">
      <w:pPr>
        <w:pStyle w:val="PL"/>
        <w:rPr>
          <w:color w:val="808080"/>
        </w:rPr>
      </w:pPr>
      <w:r w:rsidRPr="00FA0D37">
        <w:t xml:space="preserve">    sl-PreemptionEnable-r16            </w:t>
      </w:r>
      <w:r w:rsidRPr="00FA0D37">
        <w:rPr>
          <w:color w:val="993366"/>
        </w:rPr>
        <w:t>ENUMERATED</w:t>
      </w:r>
      <w:r w:rsidRPr="00FA0D37">
        <w:t xml:space="preserve"> {enabled, pl1, pl2, pl3, pl4, pl5, pl6, pl7, pl8}          </w:t>
      </w:r>
      <w:r w:rsidRPr="00FA0D37">
        <w:rPr>
          <w:color w:val="993366"/>
        </w:rPr>
        <w:t>OPTIONAL</w:t>
      </w:r>
      <w:r w:rsidRPr="00FA0D37">
        <w:t xml:space="preserve">,   </w:t>
      </w:r>
      <w:r w:rsidRPr="00FA0D37">
        <w:rPr>
          <w:color w:val="808080"/>
        </w:rPr>
        <w:t>-- Need R</w:t>
      </w:r>
    </w:p>
    <w:p w14:paraId="57BE69E1" w14:textId="77777777" w:rsidR="00394471" w:rsidRPr="00FA0D37" w:rsidRDefault="00394471" w:rsidP="00FA0D37">
      <w:pPr>
        <w:pStyle w:val="PL"/>
        <w:rPr>
          <w:color w:val="808080"/>
        </w:rPr>
      </w:pPr>
      <w:r w:rsidRPr="00FA0D37">
        <w:t xml:space="preserve">    sl-PriorityThreshold-UL-URLLC-r16  </w:t>
      </w:r>
      <w:r w:rsidRPr="00FA0D37">
        <w:rPr>
          <w:color w:val="993366"/>
        </w:rPr>
        <w:t>INTEGER</w:t>
      </w:r>
      <w:r w:rsidRPr="00FA0D37">
        <w:t xml:space="preserve"> (1..9)                                                        </w:t>
      </w:r>
      <w:r w:rsidRPr="00FA0D37">
        <w:rPr>
          <w:color w:val="993366"/>
        </w:rPr>
        <w:t>OPTIONAL</w:t>
      </w:r>
      <w:r w:rsidRPr="00FA0D37">
        <w:t xml:space="preserve">,   </w:t>
      </w:r>
      <w:r w:rsidRPr="00FA0D37">
        <w:rPr>
          <w:color w:val="808080"/>
        </w:rPr>
        <w:t>-- Need M</w:t>
      </w:r>
    </w:p>
    <w:p w14:paraId="3EF0BD79" w14:textId="77777777" w:rsidR="00394471" w:rsidRPr="00FA0D37" w:rsidRDefault="00394471" w:rsidP="00FA0D37">
      <w:pPr>
        <w:pStyle w:val="PL"/>
        <w:rPr>
          <w:color w:val="808080"/>
        </w:rPr>
      </w:pPr>
      <w:r w:rsidRPr="00FA0D37">
        <w:t xml:space="preserve">    sl-PriorityThreshold-r16           </w:t>
      </w:r>
      <w:r w:rsidRPr="00FA0D37">
        <w:rPr>
          <w:color w:val="993366"/>
        </w:rPr>
        <w:t>INTEGER</w:t>
      </w:r>
      <w:r w:rsidRPr="00FA0D37">
        <w:t xml:space="preserve"> (1..9)                                                        </w:t>
      </w:r>
      <w:r w:rsidRPr="00FA0D37">
        <w:rPr>
          <w:color w:val="993366"/>
        </w:rPr>
        <w:t>OPTIONAL</w:t>
      </w:r>
      <w:r w:rsidRPr="00FA0D37">
        <w:t xml:space="preserve">,   </w:t>
      </w:r>
      <w:r w:rsidRPr="00FA0D37">
        <w:rPr>
          <w:color w:val="808080"/>
        </w:rPr>
        <w:t>-- Need M</w:t>
      </w:r>
    </w:p>
    <w:p w14:paraId="34A1918A" w14:textId="77777777" w:rsidR="00394471" w:rsidRPr="00FA0D37" w:rsidRDefault="00394471" w:rsidP="00FA0D37">
      <w:pPr>
        <w:pStyle w:val="PL"/>
        <w:rPr>
          <w:color w:val="808080"/>
        </w:rPr>
      </w:pPr>
      <w:r w:rsidRPr="00FA0D37">
        <w:t xml:space="preserve">    sl-X-Overhead-r16                  </w:t>
      </w:r>
      <w:r w:rsidRPr="00FA0D37">
        <w:rPr>
          <w:color w:val="993366"/>
        </w:rPr>
        <w:t>ENUMERATED</w:t>
      </w:r>
      <w:r w:rsidRPr="00FA0D37">
        <w:t xml:space="preserve"> {n0,n3, n6, n9}                                            </w:t>
      </w:r>
      <w:r w:rsidRPr="00FA0D37">
        <w:rPr>
          <w:color w:val="993366"/>
        </w:rPr>
        <w:t>OPTIONAL</w:t>
      </w:r>
      <w:r w:rsidRPr="00FA0D37">
        <w:t xml:space="preserve">,   </w:t>
      </w:r>
      <w:r w:rsidRPr="00FA0D37">
        <w:rPr>
          <w:color w:val="808080"/>
        </w:rPr>
        <w:t>-- Need S</w:t>
      </w:r>
    </w:p>
    <w:p w14:paraId="35593905" w14:textId="77777777" w:rsidR="00394471" w:rsidRPr="00FA0D37" w:rsidRDefault="00394471" w:rsidP="00FA0D37">
      <w:pPr>
        <w:pStyle w:val="PL"/>
        <w:rPr>
          <w:color w:val="808080"/>
        </w:rPr>
      </w:pPr>
      <w:r w:rsidRPr="00FA0D37">
        <w:t xml:space="preserve">    sl-PowerControl-r16                SL-PowerControl-r16                                                   </w:t>
      </w:r>
      <w:r w:rsidRPr="00FA0D37">
        <w:rPr>
          <w:color w:val="993366"/>
        </w:rPr>
        <w:t>OPTIONAL</w:t>
      </w:r>
      <w:r w:rsidRPr="00FA0D37">
        <w:t xml:space="preserve">,   </w:t>
      </w:r>
      <w:r w:rsidRPr="00FA0D37">
        <w:rPr>
          <w:color w:val="808080"/>
        </w:rPr>
        <w:t>-- Need M</w:t>
      </w:r>
    </w:p>
    <w:p w14:paraId="3AED3F25" w14:textId="77777777" w:rsidR="00394471" w:rsidRPr="00FA0D37" w:rsidRDefault="00394471" w:rsidP="00FA0D37">
      <w:pPr>
        <w:pStyle w:val="PL"/>
        <w:rPr>
          <w:color w:val="808080"/>
        </w:rPr>
      </w:pPr>
      <w:r w:rsidRPr="00FA0D37">
        <w:t xml:space="preserve">    sl-TxPercentageList-r16            SL-TxPercentageList-r16                                               </w:t>
      </w:r>
      <w:r w:rsidRPr="00FA0D37">
        <w:rPr>
          <w:color w:val="993366"/>
        </w:rPr>
        <w:t>OPTIONAL</w:t>
      </w:r>
      <w:r w:rsidRPr="00FA0D37">
        <w:t xml:space="preserve">,   </w:t>
      </w:r>
      <w:r w:rsidRPr="00FA0D37">
        <w:rPr>
          <w:color w:val="808080"/>
        </w:rPr>
        <w:t>-- Need M</w:t>
      </w:r>
    </w:p>
    <w:p w14:paraId="3A9C4F79" w14:textId="77777777" w:rsidR="00394471" w:rsidRPr="00FA0D37" w:rsidRDefault="00394471" w:rsidP="00FA0D37">
      <w:pPr>
        <w:pStyle w:val="PL"/>
        <w:rPr>
          <w:color w:val="808080"/>
        </w:rPr>
      </w:pPr>
      <w:r w:rsidRPr="00FA0D37">
        <w:t xml:space="preserve">    sl-MinMaxMCS-List-r16              SL-MinMaxMCS-List-r16                                                 </w:t>
      </w:r>
      <w:r w:rsidRPr="00FA0D37">
        <w:rPr>
          <w:color w:val="993366"/>
        </w:rPr>
        <w:t>OPTIONAL</w:t>
      </w:r>
      <w:r w:rsidRPr="00FA0D37">
        <w:t xml:space="preserve">,   </w:t>
      </w:r>
      <w:r w:rsidRPr="00FA0D37">
        <w:rPr>
          <w:color w:val="808080"/>
        </w:rPr>
        <w:t>-- Need M</w:t>
      </w:r>
    </w:p>
    <w:p w14:paraId="23997158" w14:textId="7DF9E0F2" w:rsidR="00A105BD" w:rsidRPr="00FA0D37" w:rsidRDefault="00394471" w:rsidP="00FA0D37">
      <w:pPr>
        <w:pStyle w:val="PL"/>
      </w:pPr>
      <w:r w:rsidRPr="00FA0D37">
        <w:t xml:space="preserve">    ...</w:t>
      </w:r>
      <w:r w:rsidR="00A105BD" w:rsidRPr="00FA0D37">
        <w:t>,</w:t>
      </w:r>
    </w:p>
    <w:p w14:paraId="509E0EF1" w14:textId="77777777" w:rsidR="00A105BD" w:rsidRPr="00FA0D37" w:rsidRDefault="00A105BD" w:rsidP="00FA0D37">
      <w:pPr>
        <w:pStyle w:val="PL"/>
      </w:pPr>
      <w:r w:rsidRPr="00FA0D37">
        <w:t xml:space="preserve">    [[</w:t>
      </w:r>
    </w:p>
    <w:p w14:paraId="5AB00273" w14:textId="77777777" w:rsidR="00A105BD" w:rsidRPr="00FA0D37" w:rsidRDefault="00A105BD" w:rsidP="00FA0D37">
      <w:pPr>
        <w:pStyle w:val="PL"/>
        <w:rPr>
          <w:color w:val="808080"/>
        </w:rPr>
      </w:pPr>
      <w:r w:rsidRPr="00FA0D37">
        <w:t xml:space="preserve">    sl-TimeResource-r16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(10..160))                                           </w:t>
      </w:r>
      <w:r w:rsidRPr="00FA0D37">
        <w:rPr>
          <w:color w:val="993366"/>
        </w:rPr>
        <w:t>OPTIONAL</w:t>
      </w:r>
      <w:r w:rsidRPr="00FA0D37">
        <w:t xml:space="preserve">    </w:t>
      </w:r>
      <w:r w:rsidRPr="00FA0D37">
        <w:rPr>
          <w:color w:val="808080"/>
        </w:rPr>
        <w:t>-- Need M</w:t>
      </w:r>
    </w:p>
    <w:p w14:paraId="0743C827" w14:textId="729BB9FB" w:rsidR="00FC41F5" w:rsidRPr="00FA0D37" w:rsidRDefault="00A105BD" w:rsidP="00FA0D37">
      <w:pPr>
        <w:pStyle w:val="PL"/>
      </w:pPr>
      <w:r w:rsidRPr="00FA0D37">
        <w:t xml:space="preserve">    ]]</w:t>
      </w:r>
      <w:r w:rsidR="00FC41F5" w:rsidRPr="00FA0D37">
        <w:t>,</w:t>
      </w:r>
    </w:p>
    <w:p w14:paraId="4E62354B" w14:textId="77777777" w:rsidR="00FC41F5" w:rsidRPr="00FA0D37" w:rsidRDefault="00FC41F5" w:rsidP="00FA0D37">
      <w:pPr>
        <w:pStyle w:val="PL"/>
      </w:pPr>
      <w:r w:rsidRPr="00FA0D37">
        <w:t xml:space="preserve">    [[</w:t>
      </w:r>
    </w:p>
    <w:p w14:paraId="28A34FC5" w14:textId="77777777" w:rsidR="00FC41F5" w:rsidRPr="00FA0D37" w:rsidRDefault="00FC41F5" w:rsidP="00FA0D37">
      <w:pPr>
        <w:pStyle w:val="PL"/>
        <w:rPr>
          <w:color w:val="808080"/>
        </w:rPr>
      </w:pPr>
      <w:r w:rsidRPr="00FA0D37">
        <w:t xml:space="preserve">    sl-PBPS-CPS-Config-r17             SetupRelease { SL-PBPS-CPS-Config-r17 }                               </w:t>
      </w:r>
      <w:r w:rsidRPr="00FA0D37">
        <w:rPr>
          <w:color w:val="993366"/>
        </w:rPr>
        <w:t>OPTIONAL</w:t>
      </w:r>
      <w:r w:rsidRPr="00FA0D37">
        <w:t xml:space="preserve">,   </w:t>
      </w:r>
      <w:r w:rsidRPr="00FA0D37">
        <w:rPr>
          <w:color w:val="808080"/>
        </w:rPr>
        <w:t>-- Need M</w:t>
      </w:r>
    </w:p>
    <w:p w14:paraId="1C380406" w14:textId="77777777" w:rsidR="00FC41F5" w:rsidRPr="00FA0D37" w:rsidRDefault="00FC41F5" w:rsidP="00FA0D37">
      <w:pPr>
        <w:pStyle w:val="PL"/>
        <w:rPr>
          <w:color w:val="808080"/>
        </w:rPr>
      </w:pPr>
      <w:r w:rsidRPr="00FA0D37">
        <w:t xml:space="preserve">    sl-InterUE-CoordinationConfig-r17  SetupRelease { SL-InterUE-CoordinationConfig-r17 }                    </w:t>
      </w:r>
      <w:r w:rsidRPr="00FA0D37">
        <w:rPr>
          <w:color w:val="993366"/>
        </w:rPr>
        <w:t>OPTIONAL</w:t>
      </w:r>
      <w:r w:rsidRPr="00FA0D37">
        <w:t xml:space="preserve">    </w:t>
      </w:r>
      <w:r w:rsidRPr="00FA0D37">
        <w:rPr>
          <w:color w:val="808080"/>
        </w:rPr>
        <w:t>-- Need M</w:t>
      </w:r>
    </w:p>
    <w:p w14:paraId="19A1B76A" w14:textId="550F526F" w:rsidR="00394471" w:rsidRPr="00FA0D37" w:rsidRDefault="00FC41F5" w:rsidP="00FA0D37">
      <w:pPr>
        <w:pStyle w:val="PL"/>
      </w:pPr>
      <w:r w:rsidRPr="00FA0D37">
        <w:t xml:space="preserve">    ]]</w:t>
      </w:r>
    </w:p>
    <w:p w14:paraId="6C062AE8" w14:textId="77777777" w:rsidR="00394471" w:rsidRPr="00FA0D37" w:rsidRDefault="00394471" w:rsidP="00FA0D37">
      <w:pPr>
        <w:pStyle w:val="PL"/>
      </w:pPr>
      <w:r w:rsidRPr="00FA0D37">
        <w:t>}</w:t>
      </w:r>
    </w:p>
    <w:p w14:paraId="43A8F879" w14:textId="77777777" w:rsidR="00394471" w:rsidRPr="00FA0D37" w:rsidRDefault="00394471" w:rsidP="00FA0D37">
      <w:pPr>
        <w:pStyle w:val="PL"/>
      </w:pPr>
    </w:p>
    <w:p w14:paraId="44510CE7" w14:textId="77777777" w:rsidR="00394471" w:rsidRPr="00FA0D37" w:rsidRDefault="00394471" w:rsidP="00FA0D37">
      <w:pPr>
        <w:pStyle w:val="PL"/>
      </w:pPr>
      <w:r w:rsidRPr="00FA0D37">
        <w:t xml:space="preserve">SL-ZoneConfigMCR-r16 ::=               </w:t>
      </w:r>
      <w:r w:rsidRPr="00FA0D37">
        <w:rPr>
          <w:color w:val="993366"/>
        </w:rPr>
        <w:t>SEQUENCE</w:t>
      </w:r>
      <w:r w:rsidRPr="00FA0D37">
        <w:t xml:space="preserve"> {</w:t>
      </w:r>
    </w:p>
    <w:p w14:paraId="7468D6AD" w14:textId="77777777" w:rsidR="00394471" w:rsidRPr="00FA0D37" w:rsidRDefault="00394471" w:rsidP="00FA0D37">
      <w:pPr>
        <w:pStyle w:val="PL"/>
        <w:rPr>
          <w:rFonts w:eastAsia="等线"/>
        </w:rPr>
      </w:pPr>
      <w:r w:rsidRPr="00FA0D37">
        <w:t xml:space="preserve">    sl-ZoneConfigMCR-Index-r16             </w:t>
      </w:r>
      <w:r w:rsidRPr="00FA0D37">
        <w:rPr>
          <w:color w:val="993366"/>
        </w:rPr>
        <w:t>INTEGER</w:t>
      </w:r>
      <w:r w:rsidRPr="00FA0D37">
        <w:t xml:space="preserve"> (0..15),</w:t>
      </w:r>
    </w:p>
    <w:p w14:paraId="7500A61A" w14:textId="77777777" w:rsidR="00394471" w:rsidRPr="00FA0D37" w:rsidRDefault="00394471" w:rsidP="00FA0D37">
      <w:pPr>
        <w:pStyle w:val="PL"/>
      </w:pPr>
      <w:r w:rsidRPr="00FA0D37">
        <w:lastRenderedPageBreak/>
        <w:t xml:space="preserve">    </w:t>
      </w:r>
      <w:r w:rsidRPr="00FA0D37">
        <w:rPr>
          <w:rFonts w:eastAsia="等线"/>
        </w:rPr>
        <w:t>sl-TransRange</w:t>
      </w:r>
      <w:r w:rsidRPr="00FA0D37">
        <w:t xml:space="preserve">-r16                      </w:t>
      </w:r>
      <w:r w:rsidRPr="00FA0D37">
        <w:rPr>
          <w:color w:val="993366"/>
        </w:rPr>
        <w:t>ENUMERATED</w:t>
      </w:r>
      <w:r w:rsidRPr="00FA0D37">
        <w:t xml:space="preserve"> {m20, m50, m80, m100, m120, m150, m180, m200, m220, m250, m270, m300, m350,</w:t>
      </w:r>
    </w:p>
    <w:p w14:paraId="34F12C02" w14:textId="77777777" w:rsidR="00394471" w:rsidRPr="00FA0D37" w:rsidRDefault="00394471" w:rsidP="00FA0D37">
      <w:pPr>
        <w:pStyle w:val="PL"/>
      </w:pPr>
      <w:r w:rsidRPr="00FA0D37">
        <w:t xml:space="preserve">                                                       m370, m400, m420, m450, m480, m500, m550, m600, m700, m1000, spare9, spare8,</w:t>
      </w:r>
    </w:p>
    <w:p w14:paraId="2332063F" w14:textId="77777777" w:rsidR="00394471" w:rsidRPr="00FA0D37" w:rsidRDefault="00394471" w:rsidP="00FA0D37">
      <w:pPr>
        <w:pStyle w:val="PL"/>
      </w:pPr>
      <w:r w:rsidRPr="00FA0D37">
        <w:t xml:space="preserve">                                                       spare7, spare6, spare5, spare4, spare3, spare2, spare1}</w:t>
      </w:r>
    </w:p>
    <w:p w14:paraId="5126573B" w14:textId="77777777" w:rsidR="00394471" w:rsidRPr="00FA0D37" w:rsidRDefault="00394471" w:rsidP="00FA0D37">
      <w:pPr>
        <w:pStyle w:val="PL"/>
        <w:rPr>
          <w:color w:val="808080"/>
        </w:rPr>
      </w:pPr>
      <w:r w:rsidRPr="00FA0D37">
        <w:t xml:space="preserve">                                                                                                             </w:t>
      </w:r>
      <w:r w:rsidRPr="00FA0D37">
        <w:rPr>
          <w:color w:val="993366"/>
        </w:rPr>
        <w:t>OPTIONAL</w:t>
      </w:r>
      <w:r w:rsidRPr="00FA0D37">
        <w:t xml:space="preserve">,   </w:t>
      </w:r>
      <w:r w:rsidRPr="00FA0D37">
        <w:rPr>
          <w:color w:val="808080"/>
        </w:rPr>
        <w:t>-- Need M</w:t>
      </w:r>
    </w:p>
    <w:p w14:paraId="46ED630D" w14:textId="77777777" w:rsidR="00394471" w:rsidRPr="00FA0D37" w:rsidRDefault="00394471" w:rsidP="00FA0D37">
      <w:pPr>
        <w:pStyle w:val="PL"/>
        <w:rPr>
          <w:color w:val="808080"/>
        </w:rPr>
      </w:pPr>
      <w:r w:rsidRPr="00FA0D37">
        <w:t xml:space="preserve">    sl-ZoneConfig-r16                      SL-ZoneConfig-r16                                                 </w:t>
      </w:r>
      <w:r w:rsidRPr="00FA0D37">
        <w:rPr>
          <w:color w:val="993366"/>
        </w:rPr>
        <w:t>OPTIONAL</w:t>
      </w:r>
      <w:r w:rsidRPr="00FA0D37">
        <w:t xml:space="preserve">,   </w:t>
      </w:r>
      <w:r w:rsidRPr="00FA0D37">
        <w:rPr>
          <w:color w:val="808080"/>
        </w:rPr>
        <w:t>-- Need M</w:t>
      </w:r>
    </w:p>
    <w:p w14:paraId="1BFDC3CA" w14:textId="77777777" w:rsidR="00394471" w:rsidRPr="00FA0D37" w:rsidRDefault="00394471" w:rsidP="00FA0D37">
      <w:pPr>
        <w:pStyle w:val="PL"/>
      </w:pPr>
      <w:r w:rsidRPr="00FA0D37">
        <w:t xml:space="preserve">    ...</w:t>
      </w:r>
    </w:p>
    <w:p w14:paraId="714CDC98" w14:textId="77777777" w:rsidR="00394471" w:rsidRPr="00FA0D37" w:rsidRDefault="00394471" w:rsidP="00FA0D37">
      <w:pPr>
        <w:pStyle w:val="PL"/>
      </w:pPr>
      <w:r w:rsidRPr="00FA0D37">
        <w:t>}</w:t>
      </w:r>
    </w:p>
    <w:p w14:paraId="2CB7A69C" w14:textId="77777777" w:rsidR="00394471" w:rsidRPr="00FA0D37" w:rsidRDefault="00394471" w:rsidP="00FA0D37">
      <w:pPr>
        <w:pStyle w:val="PL"/>
      </w:pPr>
    </w:p>
    <w:p w14:paraId="1C7F7E06" w14:textId="77777777" w:rsidR="00394471" w:rsidRPr="00FA0D37" w:rsidRDefault="00394471" w:rsidP="00FA0D37">
      <w:pPr>
        <w:pStyle w:val="PL"/>
      </w:pPr>
      <w:r w:rsidRPr="00FA0D37">
        <w:t xml:space="preserve">SL-SyncAllowed-r16 ::=                 </w:t>
      </w:r>
      <w:r w:rsidRPr="00FA0D37">
        <w:rPr>
          <w:color w:val="993366"/>
        </w:rPr>
        <w:t>SEQUENCE</w:t>
      </w:r>
      <w:r w:rsidRPr="00FA0D37">
        <w:t xml:space="preserve"> {</w:t>
      </w:r>
    </w:p>
    <w:p w14:paraId="62126D5E" w14:textId="77777777" w:rsidR="00394471" w:rsidRPr="00FA0D37" w:rsidRDefault="00394471" w:rsidP="00FA0D37">
      <w:pPr>
        <w:pStyle w:val="PL"/>
        <w:rPr>
          <w:rFonts w:eastAsia="等线"/>
          <w:color w:val="808080"/>
        </w:rPr>
      </w:pPr>
      <w:r w:rsidRPr="00FA0D37">
        <w:t xml:space="preserve">    gnss-Sync-r16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77FA8A09" w14:textId="77777777" w:rsidR="00394471" w:rsidRPr="00FA0D37" w:rsidRDefault="00394471" w:rsidP="00FA0D37">
      <w:pPr>
        <w:pStyle w:val="PL"/>
        <w:rPr>
          <w:rFonts w:eastAsia="等线"/>
          <w:color w:val="808080"/>
        </w:rPr>
      </w:pPr>
      <w:r w:rsidRPr="00FA0D37">
        <w:t xml:space="preserve">    gnbEnb-Sync-r16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618E61C5" w14:textId="77777777" w:rsidR="00394471" w:rsidRPr="00FA0D37" w:rsidRDefault="00394471" w:rsidP="00FA0D37">
      <w:pPr>
        <w:pStyle w:val="PL"/>
        <w:rPr>
          <w:rFonts w:eastAsia="等线"/>
          <w:color w:val="808080"/>
        </w:rPr>
      </w:pPr>
      <w:r w:rsidRPr="00FA0D37">
        <w:t xml:space="preserve">    ue-Sync-r16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2E49AEFD" w14:textId="77777777" w:rsidR="00394471" w:rsidRPr="00FA0D37" w:rsidRDefault="00394471" w:rsidP="00FA0D37">
      <w:pPr>
        <w:pStyle w:val="PL"/>
      </w:pPr>
      <w:r w:rsidRPr="00FA0D37">
        <w:t>}</w:t>
      </w:r>
    </w:p>
    <w:p w14:paraId="5BCAF361" w14:textId="77777777" w:rsidR="00394471" w:rsidRPr="00FA0D37" w:rsidRDefault="00394471" w:rsidP="00FA0D37">
      <w:pPr>
        <w:pStyle w:val="PL"/>
      </w:pPr>
    </w:p>
    <w:p w14:paraId="13E7B76B" w14:textId="77777777" w:rsidR="00394471" w:rsidRPr="00FA0D37" w:rsidRDefault="00394471" w:rsidP="00FA0D37">
      <w:pPr>
        <w:pStyle w:val="PL"/>
      </w:pPr>
      <w:r w:rsidRPr="00FA0D37">
        <w:t xml:space="preserve">SL-PSCCH-Config-r16 ::=                </w:t>
      </w:r>
      <w:r w:rsidRPr="00FA0D37">
        <w:rPr>
          <w:color w:val="993366"/>
        </w:rPr>
        <w:t>SEQUENCE</w:t>
      </w:r>
      <w:r w:rsidRPr="00FA0D37">
        <w:t xml:space="preserve"> {</w:t>
      </w:r>
    </w:p>
    <w:p w14:paraId="3B743BEB" w14:textId="77777777" w:rsidR="00394471" w:rsidRPr="00FA0D37" w:rsidRDefault="00394471" w:rsidP="00FA0D37">
      <w:pPr>
        <w:pStyle w:val="PL"/>
        <w:rPr>
          <w:color w:val="808080"/>
        </w:rPr>
      </w:pPr>
      <w:r w:rsidRPr="00FA0D37">
        <w:t xml:space="preserve">    sl-TimeResourcePSCCH-r16               </w:t>
      </w:r>
      <w:r w:rsidRPr="00FA0D37">
        <w:rPr>
          <w:color w:val="993366"/>
        </w:rPr>
        <w:t>ENUMERATED</w:t>
      </w:r>
      <w:r w:rsidRPr="00FA0D37">
        <w:t xml:space="preserve"> {n2, n3}                                               </w:t>
      </w:r>
      <w:r w:rsidRPr="00FA0D37">
        <w:rPr>
          <w:color w:val="993366"/>
        </w:rPr>
        <w:t>OPTIONAL</w:t>
      </w:r>
      <w:r w:rsidRPr="00FA0D37">
        <w:t xml:space="preserve">,   </w:t>
      </w:r>
      <w:r w:rsidRPr="00FA0D37">
        <w:rPr>
          <w:color w:val="808080"/>
        </w:rPr>
        <w:t>-- Need M</w:t>
      </w:r>
    </w:p>
    <w:p w14:paraId="752B7B1D" w14:textId="77777777" w:rsidR="00394471" w:rsidRPr="00FA0D37" w:rsidRDefault="00394471" w:rsidP="00FA0D37">
      <w:pPr>
        <w:pStyle w:val="PL"/>
        <w:rPr>
          <w:color w:val="808080"/>
        </w:rPr>
      </w:pPr>
      <w:r w:rsidRPr="00FA0D37">
        <w:t xml:space="preserve">    sl-FreqResourcePSCCH-r16               </w:t>
      </w:r>
      <w:r w:rsidRPr="00FA0D37">
        <w:rPr>
          <w:color w:val="993366"/>
        </w:rPr>
        <w:t>ENUMERATED</w:t>
      </w:r>
      <w:r w:rsidRPr="00FA0D37">
        <w:t xml:space="preserve"> {n10,n12, n15, n20, n25}                               </w:t>
      </w:r>
      <w:r w:rsidRPr="00FA0D37">
        <w:rPr>
          <w:color w:val="993366"/>
        </w:rPr>
        <w:t>OPTIONAL</w:t>
      </w:r>
      <w:r w:rsidRPr="00FA0D37">
        <w:t xml:space="preserve">,   </w:t>
      </w:r>
      <w:r w:rsidRPr="00FA0D37">
        <w:rPr>
          <w:color w:val="808080"/>
        </w:rPr>
        <w:t>-- Need M</w:t>
      </w:r>
    </w:p>
    <w:p w14:paraId="201EF216" w14:textId="77777777" w:rsidR="00394471" w:rsidRPr="00FA0D37" w:rsidRDefault="00394471" w:rsidP="00FA0D37">
      <w:pPr>
        <w:pStyle w:val="PL"/>
        <w:rPr>
          <w:color w:val="808080"/>
        </w:rPr>
      </w:pPr>
      <w:r w:rsidRPr="00FA0D37">
        <w:t xml:space="preserve">    sl-DMRS-ScrambleID-r16                 </w:t>
      </w:r>
      <w:r w:rsidRPr="00FA0D37">
        <w:rPr>
          <w:color w:val="993366"/>
        </w:rPr>
        <w:t>INTEGER</w:t>
      </w:r>
      <w:r w:rsidRPr="00FA0D37">
        <w:t xml:space="preserve"> (0..65535)                                                </w:t>
      </w:r>
      <w:r w:rsidRPr="00FA0D37">
        <w:rPr>
          <w:color w:val="993366"/>
        </w:rPr>
        <w:t>OPTIONAL</w:t>
      </w:r>
      <w:r w:rsidRPr="00FA0D37">
        <w:t xml:space="preserve">,   </w:t>
      </w:r>
      <w:r w:rsidRPr="00FA0D37">
        <w:rPr>
          <w:color w:val="808080"/>
        </w:rPr>
        <w:t>-- Need M</w:t>
      </w:r>
    </w:p>
    <w:p w14:paraId="5E39F4DB" w14:textId="77777777" w:rsidR="00394471" w:rsidRPr="00FA0D37" w:rsidRDefault="00394471" w:rsidP="00FA0D37">
      <w:pPr>
        <w:pStyle w:val="PL"/>
        <w:rPr>
          <w:color w:val="808080"/>
        </w:rPr>
      </w:pPr>
      <w:r w:rsidRPr="00FA0D37">
        <w:t xml:space="preserve">    sl-NumReservedBits-r16                 </w:t>
      </w:r>
      <w:r w:rsidRPr="00FA0D37">
        <w:rPr>
          <w:color w:val="993366"/>
        </w:rPr>
        <w:t>INTEGER</w:t>
      </w:r>
      <w:r w:rsidRPr="00FA0D37">
        <w:t xml:space="preserve"> (2..4)                                                    </w:t>
      </w:r>
      <w:r w:rsidRPr="00FA0D37">
        <w:rPr>
          <w:color w:val="993366"/>
        </w:rPr>
        <w:t>OPTIONAL</w:t>
      </w:r>
      <w:r w:rsidRPr="00FA0D37">
        <w:t xml:space="preserve">,   </w:t>
      </w:r>
      <w:r w:rsidRPr="00FA0D37">
        <w:rPr>
          <w:color w:val="808080"/>
        </w:rPr>
        <w:t>-- Need M</w:t>
      </w:r>
    </w:p>
    <w:p w14:paraId="70735E9B" w14:textId="77777777" w:rsidR="00394471" w:rsidRPr="00FA0D37" w:rsidRDefault="00394471" w:rsidP="00FA0D37">
      <w:pPr>
        <w:pStyle w:val="PL"/>
      </w:pPr>
      <w:r w:rsidRPr="00FA0D37">
        <w:t xml:space="preserve">   ...</w:t>
      </w:r>
    </w:p>
    <w:p w14:paraId="1501537A" w14:textId="77777777" w:rsidR="00394471" w:rsidRPr="00FA0D37" w:rsidRDefault="00394471" w:rsidP="00FA0D37">
      <w:pPr>
        <w:pStyle w:val="PL"/>
      </w:pPr>
      <w:r w:rsidRPr="00FA0D37">
        <w:t>}</w:t>
      </w:r>
    </w:p>
    <w:p w14:paraId="6EEC29D6" w14:textId="77777777" w:rsidR="00394471" w:rsidRPr="00FA0D37" w:rsidRDefault="00394471" w:rsidP="00FA0D37">
      <w:pPr>
        <w:pStyle w:val="PL"/>
      </w:pPr>
    </w:p>
    <w:p w14:paraId="750DF19F" w14:textId="77777777" w:rsidR="00394471" w:rsidRPr="00FA0D37" w:rsidRDefault="00394471" w:rsidP="00FA0D37">
      <w:pPr>
        <w:pStyle w:val="PL"/>
      </w:pPr>
      <w:r w:rsidRPr="00FA0D37">
        <w:t xml:space="preserve">SL-PSSCH-Config-r16 ::=                </w:t>
      </w:r>
      <w:r w:rsidRPr="00FA0D37">
        <w:rPr>
          <w:color w:val="993366"/>
        </w:rPr>
        <w:t>SEQUENCE</w:t>
      </w:r>
      <w:r w:rsidRPr="00FA0D37">
        <w:t xml:space="preserve"> {</w:t>
      </w:r>
    </w:p>
    <w:p w14:paraId="32FB5CC5" w14:textId="77777777" w:rsidR="00394471" w:rsidRPr="00FA0D37" w:rsidRDefault="00394471" w:rsidP="00FA0D37">
      <w:pPr>
        <w:pStyle w:val="PL"/>
        <w:rPr>
          <w:rFonts w:eastAsia="等线"/>
          <w:color w:val="808080"/>
        </w:rPr>
      </w:pPr>
      <w:r w:rsidRPr="00FA0D37">
        <w:t xml:space="preserve">    sl-PSSCH-DMRS-TimePatternList-r16      </w:t>
      </w:r>
      <w:r w:rsidRPr="00FA0D37">
        <w:rPr>
          <w:color w:val="993366"/>
        </w:rPr>
        <w:t>SEQUENCE</w:t>
      </w:r>
      <w:r w:rsidRPr="00FA0D37">
        <w:t xml:space="preserve"> (</w:t>
      </w:r>
      <w:r w:rsidRPr="00FA0D37">
        <w:rPr>
          <w:color w:val="993366"/>
        </w:rPr>
        <w:t>SIZE</w:t>
      </w:r>
      <w:r w:rsidRPr="00FA0D37">
        <w:t xml:space="preserve"> (1..3))</w:t>
      </w:r>
      <w:r w:rsidRPr="00FA0D37">
        <w:rPr>
          <w:color w:val="993366"/>
        </w:rPr>
        <w:t xml:space="preserve"> OF</w:t>
      </w:r>
      <w:r w:rsidRPr="00FA0D37">
        <w:t xml:space="preserve"> </w:t>
      </w:r>
      <w:r w:rsidRPr="00FA0D37">
        <w:rPr>
          <w:color w:val="993366"/>
        </w:rPr>
        <w:t>INTEGER</w:t>
      </w:r>
      <w:r w:rsidRPr="00FA0D37">
        <w:t xml:space="preserve"> (2..4)                          </w:t>
      </w:r>
      <w:r w:rsidRPr="00FA0D37">
        <w:rPr>
          <w:color w:val="993366"/>
        </w:rPr>
        <w:t>OPTIONAL</w:t>
      </w:r>
      <w:r w:rsidRPr="00FA0D37">
        <w:t xml:space="preserve">,   </w:t>
      </w:r>
      <w:r w:rsidRPr="00FA0D37">
        <w:rPr>
          <w:color w:val="808080"/>
        </w:rPr>
        <w:t>-- Need M</w:t>
      </w:r>
    </w:p>
    <w:p w14:paraId="7022BCB8" w14:textId="77777777" w:rsidR="00394471" w:rsidRPr="00FA0D37" w:rsidRDefault="00394471" w:rsidP="00FA0D37">
      <w:pPr>
        <w:pStyle w:val="PL"/>
        <w:rPr>
          <w:color w:val="808080"/>
        </w:rPr>
      </w:pPr>
      <w:r w:rsidRPr="00FA0D37">
        <w:t xml:space="preserve">    sl-BetaOffsets2ndSCI-r16               </w:t>
      </w:r>
      <w:r w:rsidRPr="00FA0D37">
        <w:rPr>
          <w:color w:val="993366"/>
        </w:rPr>
        <w:t>SEQUENCE</w:t>
      </w:r>
      <w:r w:rsidRPr="00FA0D37">
        <w:t xml:space="preserve"> (</w:t>
      </w:r>
      <w:r w:rsidRPr="00FA0D37">
        <w:rPr>
          <w:color w:val="993366"/>
        </w:rPr>
        <w:t>SIZE</w:t>
      </w:r>
      <w:r w:rsidRPr="00FA0D37">
        <w:t xml:space="preserve"> (4))</w:t>
      </w:r>
      <w:r w:rsidRPr="00FA0D37">
        <w:rPr>
          <w:color w:val="993366"/>
        </w:rPr>
        <w:t xml:space="preserve"> OF</w:t>
      </w:r>
      <w:r w:rsidRPr="00FA0D37">
        <w:t xml:space="preserve"> SL-BetaOffsets-r16                         </w:t>
      </w:r>
      <w:r w:rsidRPr="00FA0D37">
        <w:rPr>
          <w:color w:val="993366"/>
        </w:rPr>
        <w:t>OPTIONAL</w:t>
      </w:r>
      <w:r w:rsidRPr="00FA0D37">
        <w:t xml:space="preserve">,   </w:t>
      </w:r>
      <w:r w:rsidRPr="00FA0D37">
        <w:rPr>
          <w:color w:val="808080"/>
        </w:rPr>
        <w:t>-- Need M</w:t>
      </w:r>
    </w:p>
    <w:p w14:paraId="7FAEBFCC" w14:textId="77777777" w:rsidR="00394471" w:rsidRPr="00FA0D37" w:rsidRDefault="00394471" w:rsidP="00FA0D37">
      <w:pPr>
        <w:pStyle w:val="PL"/>
        <w:rPr>
          <w:color w:val="808080"/>
        </w:rPr>
      </w:pPr>
      <w:r w:rsidRPr="00FA0D37">
        <w:t xml:space="preserve">    sl-Scaling-r16                         </w:t>
      </w:r>
      <w:r w:rsidRPr="00FA0D37">
        <w:rPr>
          <w:color w:val="993366"/>
        </w:rPr>
        <w:t>ENUMERATED</w:t>
      </w:r>
      <w:r w:rsidRPr="00FA0D37">
        <w:t xml:space="preserve"> {f0p5, f0p65, f0p8, f1}                                </w:t>
      </w:r>
      <w:r w:rsidRPr="00FA0D37">
        <w:rPr>
          <w:color w:val="993366"/>
        </w:rPr>
        <w:t>OPTIONAL</w:t>
      </w:r>
      <w:r w:rsidRPr="00FA0D37">
        <w:t xml:space="preserve">,   </w:t>
      </w:r>
      <w:r w:rsidRPr="00FA0D37">
        <w:rPr>
          <w:color w:val="808080"/>
        </w:rPr>
        <w:t>-- Need M</w:t>
      </w:r>
    </w:p>
    <w:p w14:paraId="6E00F71C" w14:textId="77777777" w:rsidR="00394471" w:rsidRPr="00FA0D37" w:rsidRDefault="00394471" w:rsidP="00FA0D37">
      <w:pPr>
        <w:pStyle w:val="PL"/>
      </w:pPr>
      <w:r w:rsidRPr="00FA0D37">
        <w:t xml:space="preserve">   ...</w:t>
      </w:r>
    </w:p>
    <w:p w14:paraId="3614CCB5" w14:textId="77777777" w:rsidR="00394471" w:rsidRPr="00FA0D37" w:rsidRDefault="00394471" w:rsidP="00FA0D37">
      <w:pPr>
        <w:pStyle w:val="PL"/>
      </w:pPr>
      <w:r w:rsidRPr="00FA0D37">
        <w:t>}</w:t>
      </w:r>
    </w:p>
    <w:p w14:paraId="56FE0602" w14:textId="77777777" w:rsidR="00394471" w:rsidRPr="00FA0D37" w:rsidRDefault="00394471" w:rsidP="00FA0D37">
      <w:pPr>
        <w:pStyle w:val="PL"/>
      </w:pPr>
    </w:p>
    <w:p w14:paraId="6A3954CA" w14:textId="77777777" w:rsidR="00394471" w:rsidRPr="00FA0D37" w:rsidRDefault="00394471" w:rsidP="00FA0D37">
      <w:pPr>
        <w:pStyle w:val="PL"/>
      </w:pPr>
      <w:r w:rsidRPr="00FA0D37">
        <w:t xml:space="preserve">SL-PSFCH-Config-r16 ::=                </w:t>
      </w:r>
      <w:r w:rsidRPr="00FA0D37">
        <w:rPr>
          <w:color w:val="993366"/>
        </w:rPr>
        <w:t>SEQUENCE</w:t>
      </w:r>
      <w:r w:rsidRPr="00FA0D37">
        <w:t xml:space="preserve"> {</w:t>
      </w:r>
    </w:p>
    <w:p w14:paraId="3476AFF6" w14:textId="77777777" w:rsidR="00394471" w:rsidRPr="00FA0D37" w:rsidRDefault="00394471" w:rsidP="00FA0D37">
      <w:pPr>
        <w:pStyle w:val="PL"/>
        <w:rPr>
          <w:rFonts w:eastAsia="等线"/>
          <w:color w:val="808080"/>
        </w:rPr>
      </w:pPr>
      <w:r w:rsidRPr="00FA0D37">
        <w:t xml:space="preserve">    sl-PSFCH-Period-r16                    </w:t>
      </w:r>
      <w:r w:rsidRPr="00FA0D37">
        <w:rPr>
          <w:color w:val="993366"/>
        </w:rPr>
        <w:t>ENUMERATED</w:t>
      </w:r>
      <w:r w:rsidRPr="00FA0D37">
        <w:t xml:space="preserve"> {sl0, sl1, sl2, sl4}                                   </w:t>
      </w:r>
      <w:r w:rsidRPr="00FA0D37">
        <w:rPr>
          <w:color w:val="993366"/>
        </w:rPr>
        <w:t>OPTIONAL</w:t>
      </w:r>
      <w:r w:rsidRPr="00FA0D37">
        <w:t xml:space="preserve">,   </w:t>
      </w:r>
      <w:r w:rsidRPr="00FA0D37">
        <w:rPr>
          <w:color w:val="808080"/>
        </w:rPr>
        <w:t>-- Need M</w:t>
      </w:r>
    </w:p>
    <w:p w14:paraId="48493D65" w14:textId="77777777" w:rsidR="00394471" w:rsidRPr="00FA0D37" w:rsidRDefault="00394471" w:rsidP="00FA0D37">
      <w:pPr>
        <w:pStyle w:val="PL"/>
        <w:rPr>
          <w:color w:val="808080"/>
        </w:rPr>
      </w:pPr>
      <w:r w:rsidRPr="00FA0D37">
        <w:t xml:space="preserve">    sl-PSFCH-RB-Set-r16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(10..275))                                       </w:t>
      </w:r>
      <w:r w:rsidRPr="00FA0D37">
        <w:rPr>
          <w:color w:val="993366"/>
        </w:rPr>
        <w:t>OPTIONAL</w:t>
      </w:r>
      <w:r w:rsidRPr="00FA0D37">
        <w:t xml:space="preserve">,   </w:t>
      </w:r>
      <w:r w:rsidRPr="00FA0D37">
        <w:rPr>
          <w:color w:val="808080"/>
        </w:rPr>
        <w:t>-- Need M</w:t>
      </w:r>
    </w:p>
    <w:p w14:paraId="3CC51B0A" w14:textId="77777777" w:rsidR="00394471" w:rsidRPr="00FA0D37" w:rsidRDefault="00394471" w:rsidP="00FA0D37">
      <w:pPr>
        <w:pStyle w:val="PL"/>
        <w:rPr>
          <w:color w:val="808080"/>
        </w:rPr>
      </w:pPr>
      <w:r w:rsidRPr="00FA0D37">
        <w:t xml:space="preserve">    sl-NumMuxCS-Pair-r16                   </w:t>
      </w:r>
      <w:r w:rsidRPr="00FA0D37">
        <w:rPr>
          <w:color w:val="993366"/>
        </w:rPr>
        <w:t>ENUMERATED</w:t>
      </w:r>
      <w:r w:rsidRPr="00FA0D37">
        <w:t xml:space="preserve"> {n1, n2, n3, n6}                                       </w:t>
      </w:r>
      <w:r w:rsidRPr="00FA0D37">
        <w:rPr>
          <w:color w:val="993366"/>
        </w:rPr>
        <w:t>OPTIONAL</w:t>
      </w:r>
      <w:r w:rsidRPr="00FA0D37">
        <w:t xml:space="preserve">,   </w:t>
      </w:r>
      <w:r w:rsidRPr="00FA0D37">
        <w:rPr>
          <w:color w:val="808080"/>
        </w:rPr>
        <w:t>-- Need M</w:t>
      </w:r>
    </w:p>
    <w:p w14:paraId="70AB362E" w14:textId="77777777" w:rsidR="00394471" w:rsidRPr="00FA0D37" w:rsidRDefault="00394471" w:rsidP="00FA0D37">
      <w:pPr>
        <w:pStyle w:val="PL"/>
        <w:rPr>
          <w:color w:val="808080"/>
        </w:rPr>
      </w:pPr>
      <w:r w:rsidRPr="00FA0D37">
        <w:t xml:space="preserve">    sl-MinTimeGapPSFCH-r16                 </w:t>
      </w:r>
      <w:r w:rsidRPr="00FA0D37">
        <w:rPr>
          <w:color w:val="993366"/>
        </w:rPr>
        <w:t>ENUMERATED</w:t>
      </w:r>
      <w:r w:rsidRPr="00FA0D37">
        <w:t xml:space="preserve"> {sl2, sl3}                                             </w:t>
      </w:r>
      <w:r w:rsidRPr="00FA0D37">
        <w:rPr>
          <w:color w:val="993366"/>
        </w:rPr>
        <w:t>OPTIONAL</w:t>
      </w:r>
      <w:r w:rsidRPr="00FA0D37">
        <w:t xml:space="preserve">,   </w:t>
      </w:r>
      <w:r w:rsidRPr="00FA0D37">
        <w:rPr>
          <w:color w:val="808080"/>
        </w:rPr>
        <w:t>-- Need M</w:t>
      </w:r>
    </w:p>
    <w:p w14:paraId="734A83F6" w14:textId="77777777" w:rsidR="00394471" w:rsidRPr="00FA0D37" w:rsidRDefault="00394471" w:rsidP="00FA0D37">
      <w:pPr>
        <w:pStyle w:val="PL"/>
        <w:rPr>
          <w:rFonts w:eastAsia="等线"/>
          <w:color w:val="808080"/>
        </w:rPr>
      </w:pPr>
      <w:r w:rsidRPr="00FA0D37">
        <w:t xml:space="preserve">    sl-PSFCH-HopID-r16                     </w:t>
      </w:r>
      <w:r w:rsidRPr="00FA0D37">
        <w:rPr>
          <w:color w:val="993366"/>
        </w:rPr>
        <w:t>INTEGER</w:t>
      </w:r>
      <w:r w:rsidRPr="00FA0D37">
        <w:t xml:space="preserve"> (0..1023)                                                 </w:t>
      </w:r>
      <w:r w:rsidRPr="00FA0D37">
        <w:rPr>
          <w:color w:val="993366"/>
        </w:rPr>
        <w:t>OPTIONAL</w:t>
      </w:r>
      <w:r w:rsidRPr="00FA0D37">
        <w:t xml:space="preserve">,   </w:t>
      </w:r>
      <w:r w:rsidRPr="00FA0D37">
        <w:rPr>
          <w:color w:val="808080"/>
        </w:rPr>
        <w:t>-- Need M</w:t>
      </w:r>
    </w:p>
    <w:p w14:paraId="0CB55AF3" w14:textId="77777777" w:rsidR="00394471" w:rsidRPr="00FA0D37" w:rsidRDefault="00394471" w:rsidP="00FA0D37">
      <w:pPr>
        <w:pStyle w:val="PL"/>
        <w:rPr>
          <w:rFonts w:eastAsia="等线"/>
          <w:color w:val="808080"/>
        </w:rPr>
      </w:pPr>
      <w:r w:rsidRPr="00FA0D37">
        <w:t xml:space="preserve">    sl-PSFCH-CandidateResourceType-r16     </w:t>
      </w:r>
      <w:r w:rsidRPr="00FA0D37">
        <w:rPr>
          <w:color w:val="993366"/>
        </w:rPr>
        <w:t>ENUMERATED</w:t>
      </w:r>
      <w:r w:rsidRPr="00FA0D37">
        <w:t xml:space="preserve"> {startSubCH, allocSubCH}                               </w:t>
      </w:r>
      <w:r w:rsidRPr="00FA0D37">
        <w:rPr>
          <w:color w:val="993366"/>
        </w:rPr>
        <w:t>OPTIONAL</w:t>
      </w:r>
      <w:r w:rsidRPr="00FA0D37">
        <w:t xml:space="preserve">,   </w:t>
      </w:r>
      <w:r w:rsidRPr="00FA0D37">
        <w:rPr>
          <w:color w:val="808080"/>
        </w:rPr>
        <w:t>-- Need M</w:t>
      </w:r>
    </w:p>
    <w:p w14:paraId="246EC304" w14:textId="77777777" w:rsidR="00394471" w:rsidRPr="00FA0D37" w:rsidRDefault="00394471" w:rsidP="00FA0D37">
      <w:pPr>
        <w:pStyle w:val="PL"/>
      </w:pPr>
      <w:r w:rsidRPr="00FA0D37">
        <w:t xml:space="preserve">   ...</w:t>
      </w:r>
    </w:p>
    <w:p w14:paraId="483C46C5" w14:textId="77777777" w:rsidR="00394471" w:rsidRPr="00FA0D37" w:rsidRDefault="00394471" w:rsidP="00FA0D37">
      <w:pPr>
        <w:pStyle w:val="PL"/>
      </w:pPr>
      <w:r w:rsidRPr="00FA0D37">
        <w:t>}</w:t>
      </w:r>
    </w:p>
    <w:p w14:paraId="4B73D6FF" w14:textId="77777777" w:rsidR="00394471" w:rsidRPr="00FA0D37" w:rsidRDefault="00394471" w:rsidP="00FA0D37">
      <w:pPr>
        <w:pStyle w:val="PL"/>
      </w:pPr>
      <w:r w:rsidRPr="00FA0D37">
        <w:t xml:space="preserve">SL-PTRS-Config-r16 ::=                 </w:t>
      </w:r>
      <w:r w:rsidRPr="00FA0D37">
        <w:rPr>
          <w:color w:val="993366"/>
        </w:rPr>
        <w:t>SEQUENCE</w:t>
      </w:r>
      <w:r w:rsidRPr="00FA0D37">
        <w:t xml:space="preserve"> {</w:t>
      </w:r>
    </w:p>
    <w:p w14:paraId="360BCFE6" w14:textId="77777777" w:rsidR="00394471" w:rsidRPr="00FA0D37" w:rsidRDefault="00394471" w:rsidP="00FA0D37">
      <w:pPr>
        <w:pStyle w:val="PL"/>
        <w:rPr>
          <w:color w:val="808080"/>
        </w:rPr>
      </w:pPr>
      <w:r w:rsidRPr="00FA0D37">
        <w:t xml:space="preserve">    sl-PTRS-FreqDensity-r16                </w:t>
      </w:r>
      <w:r w:rsidRPr="00FA0D37">
        <w:rPr>
          <w:color w:val="993366"/>
        </w:rPr>
        <w:t>SEQUENCE</w:t>
      </w:r>
      <w:r w:rsidRPr="00FA0D37">
        <w:t xml:space="preserve"> (</w:t>
      </w:r>
      <w:r w:rsidRPr="00FA0D37">
        <w:rPr>
          <w:color w:val="993366"/>
        </w:rPr>
        <w:t>SIZE</w:t>
      </w:r>
      <w:r w:rsidRPr="00FA0D37">
        <w:t xml:space="preserve"> (2))</w:t>
      </w:r>
      <w:r w:rsidRPr="00FA0D37">
        <w:rPr>
          <w:color w:val="993366"/>
        </w:rPr>
        <w:t xml:space="preserve"> OF</w:t>
      </w:r>
      <w:r w:rsidRPr="00FA0D37">
        <w:t xml:space="preserve"> </w:t>
      </w:r>
      <w:r w:rsidRPr="00FA0D37">
        <w:rPr>
          <w:color w:val="993366"/>
        </w:rPr>
        <w:t>INTEGER</w:t>
      </w:r>
      <w:r w:rsidRPr="00FA0D37">
        <w:t xml:space="preserve"> (1..276)                           </w:t>
      </w:r>
      <w:r w:rsidRPr="00FA0D37">
        <w:rPr>
          <w:color w:val="993366"/>
        </w:rPr>
        <w:t>OPTIONAL</w:t>
      </w:r>
      <w:r w:rsidRPr="00FA0D37">
        <w:t xml:space="preserve">,   </w:t>
      </w:r>
      <w:r w:rsidRPr="00FA0D37">
        <w:rPr>
          <w:color w:val="808080"/>
        </w:rPr>
        <w:t>-- Need M</w:t>
      </w:r>
    </w:p>
    <w:p w14:paraId="7E338D88" w14:textId="77777777" w:rsidR="00394471" w:rsidRPr="00FA0D37" w:rsidRDefault="00394471" w:rsidP="00FA0D37">
      <w:pPr>
        <w:pStyle w:val="PL"/>
        <w:rPr>
          <w:color w:val="808080"/>
        </w:rPr>
      </w:pPr>
      <w:r w:rsidRPr="00FA0D37">
        <w:t xml:space="preserve">    sl-PTRS-TimeDensity-r16                </w:t>
      </w:r>
      <w:r w:rsidRPr="00FA0D37">
        <w:rPr>
          <w:color w:val="993366"/>
        </w:rPr>
        <w:t>SEQUENCE</w:t>
      </w:r>
      <w:r w:rsidRPr="00FA0D37">
        <w:t xml:space="preserve"> (</w:t>
      </w:r>
      <w:r w:rsidRPr="00FA0D37">
        <w:rPr>
          <w:color w:val="993366"/>
        </w:rPr>
        <w:t>SIZE</w:t>
      </w:r>
      <w:r w:rsidRPr="00FA0D37">
        <w:t xml:space="preserve"> (3))</w:t>
      </w:r>
      <w:r w:rsidRPr="00FA0D37">
        <w:rPr>
          <w:color w:val="993366"/>
        </w:rPr>
        <w:t xml:space="preserve"> OF</w:t>
      </w:r>
      <w:r w:rsidRPr="00FA0D37">
        <w:t xml:space="preserve"> </w:t>
      </w:r>
      <w:r w:rsidRPr="00FA0D37">
        <w:rPr>
          <w:color w:val="993366"/>
        </w:rPr>
        <w:t>INTEGER</w:t>
      </w:r>
      <w:r w:rsidRPr="00FA0D37">
        <w:t xml:space="preserve"> (0..29)                            </w:t>
      </w:r>
      <w:r w:rsidRPr="00FA0D37">
        <w:rPr>
          <w:color w:val="993366"/>
        </w:rPr>
        <w:t>OPTIONAL</w:t>
      </w:r>
      <w:r w:rsidRPr="00FA0D37">
        <w:t xml:space="preserve">,   </w:t>
      </w:r>
      <w:r w:rsidRPr="00FA0D37">
        <w:rPr>
          <w:color w:val="808080"/>
        </w:rPr>
        <w:t>-- Need M</w:t>
      </w:r>
    </w:p>
    <w:p w14:paraId="1AC99897" w14:textId="77777777" w:rsidR="00394471" w:rsidRPr="00FA0D37" w:rsidRDefault="00394471" w:rsidP="00FA0D37">
      <w:pPr>
        <w:pStyle w:val="PL"/>
        <w:rPr>
          <w:color w:val="808080"/>
        </w:rPr>
      </w:pPr>
      <w:r w:rsidRPr="00FA0D37">
        <w:t xml:space="preserve">    sl-PTRS-RE-Offset-r16                  </w:t>
      </w:r>
      <w:r w:rsidRPr="00FA0D37">
        <w:rPr>
          <w:color w:val="993366"/>
        </w:rPr>
        <w:t>ENUMERATED</w:t>
      </w:r>
      <w:r w:rsidRPr="00FA0D37">
        <w:t xml:space="preserve"> {offset01, offset10, offset11}                         </w:t>
      </w:r>
      <w:r w:rsidRPr="00FA0D37">
        <w:rPr>
          <w:color w:val="993366"/>
        </w:rPr>
        <w:t>OPTIONAL</w:t>
      </w:r>
      <w:r w:rsidRPr="00FA0D37">
        <w:t xml:space="preserve">,   </w:t>
      </w:r>
      <w:r w:rsidRPr="00FA0D37">
        <w:rPr>
          <w:color w:val="808080"/>
        </w:rPr>
        <w:t>-- Need M</w:t>
      </w:r>
    </w:p>
    <w:p w14:paraId="42EF87D6" w14:textId="77777777" w:rsidR="00394471" w:rsidRPr="00FA0D37" w:rsidRDefault="00394471" w:rsidP="00FA0D37">
      <w:pPr>
        <w:pStyle w:val="PL"/>
        <w:rPr>
          <w:rFonts w:eastAsia="等线"/>
        </w:rPr>
      </w:pPr>
      <w:r w:rsidRPr="00FA0D37">
        <w:t xml:space="preserve">    </w:t>
      </w:r>
      <w:r w:rsidRPr="00FA0D37">
        <w:rPr>
          <w:rFonts w:eastAsia="等线"/>
        </w:rPr>
        <w:t>...</w:t>
      </w:r>
    </w:p>
    <w:p w14:paraId="7A3AF24F" w14:textId="77777777" w:rsidR="00394471" w:rsidRPr="00FA0D37" w:rsidRDefault="00394471" w:rsidP="00FA0D37">
      <w:pPr>
        <w:pStyle w:val="PL"/>
      </w:pPr>
      <w:r w:rsidRPr="00FA0D37">
        <w:t>}</w:t>
      </w:r>
    </w:p>
    <w:p w14:paraId="426EAB2C" w14:textId="77777777" w:rsidR="00394471" w:rsidRPr="00FA0D37" w:rsidRDefault="00394471" w:rsidP="00FA0D37">
      <w:pPr>
        <w:pStyle w:val="PL"/>
      </w:pPr>
    </w:p>
    <w:p w14:paraId="2AA9952C" w14:textId="77777777" w:rsidR="00394471" w:rsidRPr="00FA0D37" w:rsidRDefault="00394471" w:rsidP="00FA0D37">
      <w:pPr>
        <w:pStyle w:val="PL"/>
      </w:pPr>
      <w:r w:rsidRPr="00FA0D37">
        <w:t>SL-</w:t>
      </w:r>
      <w:r w:rsidRPr="00FA0D37">
        <w:rPr>
          <w:rFonts w:eastAsia="等线"/>
        </w:rPr>
        <w:t>UE-SelectedConfigRP</w:t>
      </w:r>
      <w:r w:rsidRPr="00FA0D37">
        <w:t xml:space="preserve">-r16 ::=         </w:t>
      </w:r>
      <w:r w:rsidRPr="00FA0D37">
        <w:rPr>
          <w:color w:val="993366"/>
        </w:rPr>
        <w:t>SEQUENCE</w:t>
      </w:r>
      <w:r w:rsidRPr="00FA0D37">
        <w:t xml:space="preserve"> {</w:t>
      </w:r>
    </w:p>
    <w:p w14:paraId="46CC78D3" w14:textId="77777777" w:rsidR="00394471" w:rsidRPr="00FA0D37" w:rsidRDefault="00394471" w:rsidP="00FA0D37">
      <w:pPr>
        <w:pStyle w:val="PL"/>
        <w:rPr>
          <w:rFonts w:eastAsia="等线"/>
          <w:color w:val="808080"/>
        </w:rPr>
      </w:pPr>
      <w:r w:rsidRPr="00FA0D37">
        <w:t xml:space="preserve">    sl-CBR-PriorityTxConfigList-r16        SL-CBR-PriorityTxConfigList-r16                                  </w:t>
      </w:r>
      <w:r w:rsidRPr="00FA0D37">
        <w:rPr>
          <w:color w:val="993366"/>
        </w:rPr>
        <w:t>OPTIONAL</w:t>
      </w:r>
      <w:r w:rsidRPr="00FA0D37">
        <w:t xml:space="preserve">,   </w:t>
      </w:r>
      <w:r w:rsidRPr="00FA0D37">
        <w:rPr>
          <w:color w:val="808080"/>
        </w:rPr>
        <w:t>-- Need M</w:t>
      </w:r>
    </w:p>
    <w:p w14:paraId="2D440734" w14:textId="3B7C6688" w:rsidR="00394471" w:rsidRPr="00FA0D37" w:rsidRDefault="00394471" w:rsidP="00FA0D37">
      <w:pPr>
        <w:pStyle w:val="PL"/>
        <w:rPr>
          <w:color w:val="808080"/>
        </w:rPr>
      </w:pPr>
      <w:r w:rsidRPr="00FA0D37">
        <w:t xml:space="preserve">    sl-Thres-RSRP-List-r16            </w:t>
      </w:r>
      <w:r w:rsidR="005A6755" w:rsidRPr="00FA0D37">
        <w:t xml:space="preserve">     </w:t>
      </w:r>
      <w:r w:rsidRPr="00FA0D37">
        <w:t xml:space="preserve">SL-Thres-RSRP-List-r16                                       </w:t>
      </w:r>
      <w:r w:rsidR="005A6755" w:rsidRPr="00FA0D37">
        <w:t xml:space="preserve">     </w:t>
      </w:r>
      <w:r w:rsidRPr="00FA0D37">
        <w:rPr>
          <w:color w:val="993366"/>
        </w:rPr>
        <w:t>OPTIONAL</w:t>
      </w:r>
      <w:r w:rsidRPr="00FA0D37">
        <w:t xml:space="preserve">,   </w:t>
      </w:r>
      <w:r w:rsidRPr="00FA0D37">
        <w:rPr>
          <w:color w:val="808080"/>
        </w:rPr>
        <w:t>-- Need M</w:t>
      </w:r>
    </w:p>
    <w:p w14:paraId="25D5137C" w14:textId="77777777" w:rsidR="00394471" w:rsidRPr="00FA0D37" w:rsidRDefault="00394471" w:rsidP="00FA0D37">
      <w:pPr>
        <w:pStyle w:val="PL"/>
        <w:rPr>
          <w:color w:val="808080"/>
        </w:rPr>
      </w:pPr>
      <w:r w:rsidRPr="00FA0D37">
        <w:t xml:space="preserve">    sl-MultiReserveResource-r16            </w:t>
      </w:r>
      <w:r w:rsidRPr="00FA0D37">
        <w:rPr>
          <w:color w:val="993366"/>
        </w:rPr>
        <w:t>ENUMERATED</w:t>
      </w:r>
      <w:r w:rsidRPr="00FA0D37">
        <w:t xml:space="preserve"> {enabled}                                              </w:t>
      </w:r>
      <w:r w:rsidRPr="00FA0D37">
        <w:rPr>
          <w:color w:val="993366"/>
        </w:rPr>
        <w:t>OPTIONAL</w:t>
      </w:r>
      <w:r w:rsidRPr="00FA0D37">
        <w:t xml:space="preserve">,   </w:t>
      </w:r>
      <w:r w:rsidRPr="00FA0D37">
        <w:rPr>
          <w:color w:val="808080"/>
        </w:rPr>
        <w:t>-- Need M</w:t>
      </w:r>
    </w:p>
    <w:p w14:paraId="7A593B5C" w14:textId="77777777" w:rsidR="00394471" w:rsidRPr="00FA0D37" w:rsidRDefault="00394471" w:rsidP="00FA0D37">
      <w:pPr>
        <w:pStyle w:val="PL"/>
        <w:rPr>
          <w:color w:val="808080"/>
        </w:rPr>
      </w:pPr>
      <w:r w:rsidRPr="00FA0D37">
        <w:t xml:space="preserve">    sl-MaxNumPerReserve-r16                </w:t>
      </w:r>
      <w:r w:rsidRPr="00FA0D37">
        <w:rPr>
          <w:color w:val="993366"/>
        </w:rPr>
        <w:t>ENUMERATED</w:t>
      </w:r>
      <w:r w:rsidRPr="00FA0D37">
        <w:t xml:space="preserve"> {n2, n3}                                               </w:t>
      </w:r>
      <w:r w:rsidRPr="00FA0D37">
        <w:rPr>
          <w:color w:val="993366"/>
        </w:rPr>
        <w:t>OPTIONAL</w:t>
      </w:r>
      <w:r w:rsidRPr="00FA0D37">
        <w:t xml:space="preserve">,   </w:t>
      </w:r>
      <w:r w:rsidRPr="00FA0D37">
        <w:rPr>
          <w:color w:val="808080"/>
        </w:rPr>
        <w:t>-- Need M</w:t>
      </w:r>
    </w:p>
    <w:p w14:paraId="4C4724EB" w14:textId="77777777" w:rsidR="00394471" w:rsidRPr="00FA0D37" w:rsidRDefault="00394471" w:rsidP="00FA0D37">
      <w:pPr>
        <w:pStyle w:val="PL"/>
        <w:rPr>
          <w:color w:val="808080"/>
        </w:rPr>
      </w:pPr>
      <w:r w:rsidRPr="00FA0D37">
        <w:t xml:space="preserve">    sl-SensingWindow-r16                   </w:t>
      </w:r>
      <w:r w:rsidRPr="00FA0D37">
        <w:rPr>
          <w:color w:val="993366"/>
        </w:rPr>
        <w:t>ENUMERATED</w:t>
      </w:r>
      <w:r w:rsidRPr="00FA0D37">
        <w:t xml:space="preserve"> {ms100, ms1100}                                        </w:t>
      </w:r>
      <w:r w:rsidRPr="00FA0D37">
        <w:rPr>
          <w:color w:val="993366"/>
        </w:rPr>
        <w:t>OPTIONAL</w:t>
      </w:r>
      <w:r w:rsidRPr="00FA0D37">
        <w:t xml:space="preserve">,   </w:t>
      </w:r>
      <w:r w:rsidRPr="00FA0D37">
        <w:rPr>
          <w:color w:val="808080"/>
        </w:rPr>
        <w:t>-- Need M</w:t>
      </w:r>
    </w:p>
    <w:p w14:paraId="606025CF" w14:textId="77777777" w:rsidR="00394471" w:rsidRPr="00FA0D37" w:rsidRDefault="00394471" w:rsidP="00FA0D37">
      <w:pPr>
        <w:pStyle w:val="PL"/>
        <w:rPr>
          <w:color w:val="808080"/>
        </w:rPr>
      </w:pPr>
      <w:r w:rsidRPr="00FA0D37">
        <w:lastRenderedPageBreak/>
        <w:t xml:space="preserve">    sl-SelectionWindowList-r16             SL-SelectionWindowList-r16                                        </w:t>
      </w:r>
      <w:r w:rsidRPr="00FA0D37">
        <w:rPr>
          <w:color w:val="993366"/>
        </w:rPr>
        <w:t>OPTIONAL</w:t>
      </w:r>
      <w:r w:rsidRPr="00FA0D37">
        <w:t xml:space="preserve">,   </w:t>
      </w:r>
      <w:r w:rsidRPr="00FA0D37">
        <w:rPr>
          <w:color w:val="808080"/>
        </w:rPr>
        <w:t>-- Need M</w:t>
      </w:r>
    </w:p>
    <w:p w14:paraId="63975941" w14:textId="77777777" w:rsidR="00394471" w:rsidRPr="00FA0D37" w:rsidRDefault="00394471" w:rsidP="00FA0D37">
      <w:pPr>
        <w:pStyle w:val="PL"/>
        <w:rPr>
          <w:color w:val="808080"/>
        </w:rPr>
      </w:pPr>
      <w:r w:rsidRPr="00FA0D37">
        <w:t xml:space="preserve">    sl-ResourceReservePeriodList-r16       </w:t>
      </w:r>
      <w:r w:rsidRPr="00FA0D37">
        <w:rPr>
          <w:color w:val="993366"/>
        </w:rPr>
        <w:t>SEQUENCE</w:t>
      </w:r>
      <w:r w:rsidRPr="00FA0D37">
        <w:t xml:space="preserve"> (</w:t>
      </w:r>
      <w:r w:rsidRPr="00FA0D37">
        <w:rPr>
          <w:color w:val="993366"/>
        </w:rPr>
        <w:t>SIZE</w:t>
      </w:r>
      <w:r w:rsidRPr="00FA0D37">
        <w:t xml:space="preserve"> (1..16))</w:t>
      </w:r>
      <w:r w:rsidRPr="00FA0D37">
        <w:rPr>
          <w:color w:val="993366"/>
        </w:rPr>
        <w:t xml:space="preserve"> OF</w:t>
      </w:r>
      <w:r w:rsidRPr="00FA0D37">
        <w:t xml:space="preserve"> SL-ResourceReservePeriod-r16           </w:t>
      </w:r>
      <w:r w:rsidRPr="00FA0D37">
        <w:rPr>
          <w:color w:val="993366"/>
        </w:rPr>
        <w:t>OPTIONAL</w:t>
      </w:r>
      <w:r w:rsidRPr="00FA0D37">
        <w:t xml:space="preserve">,   </w:t>
      </w:r>
      <w:r w:rsidRPr="00FA0D37">
        <w:rPr>
          <w:color w:val="808080"/>
        </w:rPr>
        <w:t>-- Need M</w:t>
      </w:r>
    </w:p>
    <w:p w14:paraId="4047F166" w14:textId="77777777" w:rsidR="00394471" w:rsidRPr="00FA0D37" w:rsidRDefault="00394471" w:rsidP="00FA0D37">
      <w:pPr>
        <w:pStyle w:val="PL"/>
        <w:rPr>
          <w:rFonts w:eastAsia="等线"/>
        </w:rPr>
      </w:pPr>
      <w:r w:rsidRPr="00FA0D37">
        <w:t xml:space="preserve">    sl-RS-ForSensing-r16                   </w:t>
      </w:r>
      <w:r w:rsidRPr="00FA0D37">
        <w:rPr>
          <w:color w:val="993366"/>
        </w:rPr>
        <w:t>ENUMERATED</w:t>
      </w:r>
      <w:r w:rsidRPr="00FA0D37">
        <w:t xml:space="preserve"> {pscch, pssch},</w:t>
      </w:r>
    </w:p>
    <w:p w14:paraId="1F0A38B2" w14:textId="42227A1D" w:rsidR="005146CB" w:rsidRPr="00FA0D37" w:rsidRDefault="00394471" w:rsidP="00FA0D37">
      <w:pPr>
        <w:pStyle w:val="PL"/>
        <w:rPr>
          <w:rFonts w:eastAsia="等线"/>
        </w:rPr>
      </w:pPr>
      <w:r w:rsidRPr="00FA0D37">
        <w:t xml:space="preserve">    </w:t>
      </w:r>
      <w:r w:rsidRPr="00FA0D37">
        <w:rPr>
          <w:rFonts w:eastAsia="等线"/>
        </w:rPr>
        <w:t>...</w:t>
      </w:r>
      <w:r w:rsidR="005146CB" w:rsidRPr="00FA0D37">
        <w:rPr>
          <w:rFonts w:eastAsia="等线"/>
        </w:rPr>
        <w:t>,</w:t>
      </w:r>
    </w:p>
    <w:p w14:paraId="662DD79C" w14:textId="59717D8E" w:rsidR="005146CB" w:rsidRPr="00FA0D37" w:rsidRDefault="005146CB" w:rsidP="00FA0D37">
      <w:pPr>
        <w:pStyle w:val="PL"/>
        <w:rPr>
          <w:rFonts w:eastAsia="等线"/>
        </w:rPr>
      </w:pPr>
      <w:r w:rsidRPr="00FA0D37">
        <w:t xml:space="preserve">    </w:t>
      </w:r>
      <w:r w:rsidRPr="00FA0D37">
        <w:rPr>
          <w:rFonts w:eastAsia="等线"/>
        </w:rPr>
        <w:t>[[</w:t>
      </w:r>
    </w:p>
    <w:p w14:paraId="07B55870" w14:textId="627E2DEA" w:rsidR="005146CB" w:rsidRPr="00FA0D37" w:rsidRDefault="005146CB" w:rsidP="00FA0D37">
      <w:pPr>
        <w:pStyle w:val="PL"/>
        <w:rPr>
          <w:rFonts w:eastAsia="等线"/>
          <w:color w:val="808080"/>
        </w:rPr>
      </w:pPr>
      <w:r w:rsidRPr="00FA0D37">
        <w:t xml:space="preserve">    </w:t>
      </w:r>
      <w:r w:rsidRPr="00FA0D37">
        <w:rPr>
          <w:rFonts w:eastAsia="等线"/>
        </w:rPr>
        <w:t>sl-CBR-PriorityTxConfigList-v16</w:t>
      </w:r>
      <w:r w:rsidR="001F631E" w:rsidRPr="00FA0D37">
        <w:rPr>
          <w:rFonts w:eastAsia="等线"/>
        </w:rPr>
        <w:t>50</w:t>
      </w:r>
      <w:r w:rsidRPr="00FA0D37">
        <w:t xml:space="preserve">      </w:t>
      </w:r>
      <w:r w:rsidRPr="00FA0D37">
        <w:rPr>
          <w:rFonts w:eastAsia="等线"/>
        </w:rPr>
        <w:t>SL-CBR-PriorityTxConfigList-v16</w:t>
      </w:r>
      <w:r w:rsidR="001F631E" w:rsidRPr="00FA0D37">
        <w:rPr>
          <w:rFonts w:eastAsia="等线"/>
        </w:rPr>
        <w:t>50</w:t>
      </w:r>
      <w:r w:rsidRPr="00FA0D37">
        <w:t xml:space="preserve">                                 </w:t>
      </w:r>
      <w:r w:rsidRPr="00FA0D37">
        <w:rPr>
          <w:rFonts w:eastAsia="等线"/>
          <w:color w:val="993366"/>
        </w:rPr>
        <w:t>OPTIONAL</w:t>
      </w:r>
      <w:r w:rsidRPr="00FA0D37">
        <w:t xml:space="preserve">    </w:t>
      </w:r>
      <w:r w:rsidRPr="00FA0D37">
        <w:rPr>
          <w:rFonts w:eastAsia="等线"/>
          <w:color w:val="808080"/>
        </w:rPr>
        <w:t>--</w:t>
      </w:r>
      <w:r w:rsidRPr="00FA0D37">
        <w:rPr>
          <w:color w:val="808080"/>
        </w:rPr>
        <w:t xml:space="preserve"> </w:t>
      </w:r>
      <w:r w:rsidRPr="00FA0D37">
        <w:rPr>
          <w:rFonts w:eastAsia="等线"/>
          <w:color w:val="808080"/>
        </w:rPr>
        <w:t>Need M</w:t>
      </w:r>
    </w:p>
    <w:p w14:paraId="2304A747" w14:textId="49F0161B" w:rsidR="00394471" w:rsidRPr="00FA0D37" w:rsidRDefault="005146CB" w:rsidP="00FA0D37">
      <w:pPr>
        <w:pStyle w:val="PL"/>
        <w:rPr>
          <w:rFonts w:eastAsia="等线"/>
        </w:rPr>
      </w:pPr>
      <w:r w:rsidRPr="00FA0D37">
        <w:t xml:space="preserve">    </w:t>
      </w:r>
      <w:r w:rsidRPr="00FA0D37">
        <w:rPr>
          <w:rFonts w:eastAsia="等线"/>
        </w:rPr>
        <w:t>]]</w:t>
      </w:r>
    </w:p>
    <w:p w14:paraId="049224BD" w14:textId="77777777" w:rsidR="00394471" w:rsidRPr="00FA0D37" w:rsidRDefault="00394471" w:rsidP="00FA0D37">
      <w:pPr>
        <w:pStyle w:val="PL"/>
      </w:pPr>
      <w:r w:rsidRPr="00FA0D37">
        <w:t>}</w:t>
      </w:r>
    </w:p>
    <w:p w14:paraId="7598273F" w14:textId="77777777" w:rsidR="00394471" w:rsidRPr="00FA0D37" w:rsidRDefault="00394471" w:rsidP="00FA0D37">
      <w:pPr>
        <w:pStyle w:val="PL"/>
      </w:pPr>
    </w:p>
    <w:p w14:paraId="69268BC1" w14:textId="77777777" w:rsidR="00394471" w:rsidRPr="00FA0D37" w:rsidRDefault="00394471" w:rsidP="00FA0D37">
      <w:pPr>
        <w:pStyle w:val="PL"/>
      </w:pPr>
      <w:r w:rsidRPr="00FA0D37">
        <w:t xml:space="preserve">SL-ResourceReservePeriod-r16 ::=       </w:t>
      </w:r>
      <w:r w:rsidRPr="00FA0D37">
        <w:rPr>
          <w:color w:val="993366"/>
        </w:rPr>
        <w:t>CHOICE</w:t>
      </w:r>
      <w:r w:rsidRPr="00FA0D37">
        <w:t xml:space="preserve"> {</w:t>
      </w:r>
    </w:p>
    <w:p w14:paraId="06CC4C4D" w14:textId="77777777" w:rsidR="00394471" w:rsidRPr="00FA0D37" w:rsidRDefault="00394471" w:rsidP="00FA0D37">
      <w:pPr>
        <w:pStyle w:val="PL"/>
      </w:pPr>
      <w:r w:rsidRPr="00FA0D37">
        <w:t xml:space="preserve">    sl-ResourceReservePeriod1-r16          </w:t>
      </w:r>
      <w:r w:rsidRPr="00FA0D37">
        <w:rPr>
          <w:color w:val="993366"/>
        </w:rPr>
        <w:t>ENUMERATED</w:t>
      </w:r>
      <w:r w:rsidRPr="00FA0D37">
        <w:t xml:space="preserve"> {ms0, ms100, ms200, ms300, ms400, ms500, ms600, ms700, ms800, ms900, ms1000},</w:t>
      </w:r>
    </w:p>
    <w:p w14:paraId="6697C9A3" w14:textId="77777777" w:rsidR="00394471" w:rsidRPr="00FA0D37" w:rsidRDefault="00394471" w:rsidP="00FA0D37">
      <w:pPr>
        <w:pStyle w:val="PL"/>
      </w:pPr>
      <w:r w:rsidRPr="00FA0D37">
        <w:t xml:space="preserve">    sl-ResourceReservePeriod2-r16          </w:t>
      </w:r>
      <w:r w:rsidRPr="00FA0D37">
        <w:rPr>
          <w:color w:val="993366"/>
        </w:rPr>
        <w:t>INTEGER</w:t>
      </w:r>
      <w:r w:rsidRPr="00FA0D37">
        <w:t xml:space="preserve"> (1..99)</w:t>
      </w:r>
    </w:p>
    <w:p w14:paraId="681F5DBC" w14:textId="77777777" w:rsidR="00394471" w:rsidRPr="00FA0D37" w:rsidRDefault="00394471" w:rsidP="00FA0D37">
      <w:pPr>
        <w:pStyle w:val="PL"/>
      </w:pPr>
      <w:r w:rsidRPr="00FA0D37">
        <w:t>}</w:t>
      </w:r>
    </w:p>
    <w:p w14:paraId="165BE83D" w14:textId="77777777" w:rsidR="00394471" w:rsidRPr="00FA0D37" w:rsidRDefault="00394471" w:rsidP="00FA0D37">
      <w:pPr>
        <w:pStyle w:val="PL"/>
      </w:pPr>
    </w:p>
    <w:p w14:paraId="5EE93810" w14:textId="77777777" w:rsidR="00394471" w:rsidRPr="00FA0D37" w:rsidRDefault="00394471" w:rsidP="00FA0D37">
      <w:pPr>
        <w:pStyle w:val="PL"/>
      </w:pPr>
      <w:r w:rsidRPr="00FA0D37">
        <w:t xml:space="preserve">SL-SelectionWindowList-r16 ::=         </w:t>
      </w:r>
      <w:r w:rsidRPr="00FA0D37">
        <w:rPr>
          <w:color w:val="993366"/>
        </w:rPr>
        <w:t>SEQUENCE</w:t>
      </w:r>
      <w:r w:rsidRPr="00FA0D37">
        <w:t xml:space="preserve"> (</w:t>
      </w:r>
      <w:r w:rsidRPr="00FA0D37">
        <w:rPr>
          <w:color w:val="993366"/>
        </w:rPr>
        <w:t>SIZE</w:t>
      </w:r>
      <w:r w:rsidRPr="00FA0D37">
        <w:t xml:space="preserve"> (8))</w:t>
      </w:r>
      <w:r w:rsidRPr="00FA0D37">
        <w:rPr>
          <w:color w:val="993366"/>
        </w:rPr>
        <w:t xml:space="preserve"> OF</w:t>
      </w:r>
      <w:r w:rsidRPr="00FA0D37">
        <w:t xml:space="preserve"> SL-SelectionWindowConfig-r16</w:t>
      </w:r>
    </w:p>
    <w:p w14:paraId="341897BA" w14:textId="77777777" w:rsidR="00394471" w:rsidRPr="00FA0D37" w:rsidRDefault="00394471" w:rsidP="00FA0D37">
      <w:pPr>
        <w:pStyle w:val="PL"/>
      </w:pPr>
    </w:p>
    <w:p w14:paraId="2E819336" w14:textId="77777777" w:rsidR="00394471" w:rsidRPr="00FA0D37" w:rsidRDefault="00394471" w:rsidP="00FA0D37">
      <w:pPr>
        <w:pStyle w:val="PL"/>
      </w:pPr>
      <w:r w:rsidRPr="00FA0D37">
        <w:t xml:space="preserve">SL-SelectionWindowConfig-r16 ::=       </w:t>
      </w:r>
      <w:r w:rsidRPr="00FA0D37">
        <w:rPr>
          <w:color w:val="993366"/>
        </w:rPr>
        <w:t>SEQUENCE</w:t>
      </w:r>
      <w:r w:rsidRPr="00FA0D37">
        <w:t xml:space="preserve"> {</w:t>
      </w:r>
    </w:p>
    <w:p w14:paraId="3BF953E3" w14:textId="77777777" w:rsidR="00394471" w:rsidRPr="00FA0D37" w:rsidRDefault="00394471" w:rsidP="00FA0D37">
      <w:pPr>
        <w:pStyle w:val="PL"/>
      </w:pPr>
      <w:r w:rsidRPr="00FA0D37">
        <w:t xml:space="preserve">    sl-Priority-r16                        </w:t>
      </w:r>
      <w:r w:rsidRPr="00FA0D37">
        <w:rPr>
          <w:color w:val="993366"/>
        </w:rPr>
        <w:t>INTEGER</w:t>
      </w:r>
      <w:r w:rsidRPr="00FA0D37">
        <w:t xml:space="preserve"> (1..8),</w:t>
      </w:r>
    </w:p>
    <w:p w14:paraId="6713FA10" w14:textId="77777777" w:rsidR="00394471" w:rsidRPr="00FA0D37" w:rsidRDefault="00394471" w:rsidP="00FA0D37">
      <w:pPr>
        <w:pStyle w:val="PL"/>
      </w:pPr>
      <w:r w:rsidRPr="00FA0D37">
        <w:t xml:space="preserve">    sl-SelectionWindow-r16                 </w:t>
      </w:r>
      <w:r w:rsidRPr="00FA0D37">
        <w:rPr>
          <w:color w:val="993366"/>
        </w:rPr>
        <w:t>ENUMERATED</w:t>
      </w:r>
      <w:r w:rsidRPr="00FA0D37">
        <w:t xml:space="preserve"> {n1, n5, n10, n20}</w:t>
      </w:r>
    </w:p>
    <w:p w14:paraId="046D2669" w14:textId="77777777" w:rsidR="00394471" w:rsidRPr="00FA0D37" w:rsidRDefault="00394471" w:rsidP="00FA0D37">
      <w:pPr>
        <w:pStyle w:val="PL"/>
      </w:pPr>
      <w:r w:rsidRPr="00FA0D37">
        <w:t>}</w:t>
      </w:r>
    </w:p>
    <w:p w14:paraId="6A674184" w14:textId="77777777" w:rsidR="00394471" w:rsidRPr="00FA0D37" w:rsidRDefault="00394471" w:rsidP="00FA0D37">
      <w:pPr>
        <w:pStyle w:val="PL"/>
      </w:pPr>
    </w:p>
    <w:p w14:paraId="164947B6" w14:textId="77777777" w:rsidR="00394471" w:rsidRPr="00FA0D37" w:rsidRDefault="00394471" w:rsidP="00FA0D37">
      <w:pPr>
        <w:pStyle w:val="PL"/>
      </w:pPr>
      <w:r w:rsidRPr="00FA0D37">
        <w:t xml:space="preserve">SL-TxPercentageList-r16 ::=            </w:t>
      </w:r>
      <w:r w:rsidRPr="00FA0D37">
        <w:rPr>
          <w:color w:val="993366"/>
        </w:rPr>
        <w:t>SEQUENCE</w:t>
      </w:r>
      <w:r w:rsidRPr="00FA0D37">
        <w:t xml:space="preserve"> (</w:t>
      </w:r>
      <w:r w:rsidRPr="00FA0D37">
        <w:rPr>
          <w:color w:val="993366"/>
        </w:rPr>
        <w:t>SIZE</w:t>
      </w:r>
      <w:r w:rsidRPr="00FA0D37">
        <w:t xml:space="preserve"> (8))</w:t>
      </w:r>
      <w:r w:rsidRPr="00FA0D37">
        <w:rPr>
          <w:color w:val="993366"/>
        </w:rPr>
        <w:t xml:space="preserve"> OF</w:t>
      </w:r>
      <w:r w:rsidRPr="00FA0D37">
        <w:t xml:space="preserve"> SL-TxPercentageConfig-r16</w:t>
      </w:r>
    </w:p>
    <w:p w14:paraId="1450D408" w14:textId="77777777" w:rsidR="00394471" w:rsidRPr="00FA0D37" w:rsidRDefault="00394471" w:rsidP="00FA0D37">
      <w:pPr>
        <w:pStyle w:val="PL"/>
      </w:pPr>
    </w:p>
    <w:p w14:paraId="7BE2F23F" w14:textId="77777777" w:rsidR="00394471" w:rsidRPr="00FA0D37" w:rsidRDefault="00394471" w:rsidP="00FA0D37">
      <w:pPr>
        <w:pStyle w:val="PL"/>
      </w:pPr>
      <w:r w:rsidRPr="00FA0D37">
        <w:t xml:space="preserve">SL-TxPercentageConfig-r16 ::=          </w:t>
      </w:r>
      <w:r w:rsidRPr="00FA0D37">
        <w:rPr>
          <w:color w:val="993366"/>
        </w:rPr>
        <w:t>SEQUENCE</w:t>
      </w:r>
      <w:r w:rsidRPr="00FA0D37">
        <w:t xml:space="preserve"> {</w:t>
      </w:r>
    </w:p>
    <w:p w14:paraId="4C7455B2" w14:textId="77777777" w:rsidR="00394471" w:rsidRPr="00FA0D37" w:rsidRDefault="00394471" w:rsidP="00FA0D37">
      <w:pPr>
        <w:pStyle w:val="PL"/>
      </w:pPr>
      <w:r w:rsidRPr="00FA0D37">
        <w:t xml:space="preserve">    sl-Priority-r16                        </w:t>
      </w:r>
      <w:r w:rsidRPr="00FA0D37">
        <w:rPr>
          <w:color w:val="993366"/>
        </w:rPr>
        <w:t>INTEGER</w:t>
      </w:r>
      <w:r w:rsidRPr="00FA0D37">
        <w:t xml:space="preserve"> (1..8),</w:t>
      </w:r>
    </w:p>
    <w:p w14:paraId="26085C6A" w14:textId="77777777" w:rsidR="00394471" w:rsidRPr="00FA0D37" w:rsidRDefault="00394471" w:rsidP="00FA0D37">
      <w:pPr>
        <w:pStyle w:val="PL"/>
      </w:pPr>
      <w:r w:rsidRPr="00FA0D37">
        <w:t xml:space="preserve">    sl-TxPercentage-r16                    </w:t>
      </w:r>
      <w:r w:rsidRPr="00FA0D37">
        <w:rPr>
          <w:color w:val="993366"/>
        </w:rPr>
        <w:t>ENUMERATED</w:t>
      </w:r>
      <w:r w:rsidRPr="00FA0D37">
        <w:t xml:space="preserve"> {p20, p35, p50}</w:t>
      </w:r>
    </w:p>
    <w:p w14:paraId="29CE24AD" w14:textId="77777777" w:rsidR="00394471" w:rsidRPr="00FA0D37" w:rsidRDefault="00394471" w:rsidP="00FA0D37">
      <w:pPr>
        <w:pStyle w:val="PL"/>
      </w:pPr>
      <w:r w:rsidRPr="00FA0D37">
        <w:t>}</w:t>
      </w:r>
    </w:p>
    <w:p w14:paraId="6461D657" w14:textId="77777777" w:rsidR="00394471" w:rsidRPr="00FA0D37" w:rsidRDefault="00394471" w:rsidP="00FA0D37">
      <w:pPr>
        <w:pStyle w:val="PL"/>
      </w:pPr>
    </w:p>
    <w:p w14:paraId="1868AB1D" w14:textId="77777777" w:rsidR="00394471" w:rsidRPr="00FA0D37" w:rsidRDefault="00394471" w:rsidP="00FA0D37">
      <w:pPr>
        <w:pStyle w:val="PL"/>
      </w:pPr>
      <w:r w:rsidRPr="00FA0D37">
        <w:t xml:space="preserve">SL-MinMaxMCS-List-r16 ::=              </w:t>
      </w:r>
      <w:r w:rsidRPr="00FA0D37">
        <w:rPr>
          <w:color w:val="993366"/>
        </w:rPr>
        <w:t>SEQUENCE</w:t>
      </w:r>
      <w:r w:rsidRPr="00FA0D37">
        <w:t xml:space="preserve"> (</w:t>
      </w:r>
      <w:r w:rsidRPr="00FA0D37">
        <w:rPr>
          <w:color w:val="993366"/>
        </w:rPr>
        <w:t>SIZE</w:t>
      </w:r>
      <w:r w:rsidRPr="00FA0D37">
        <w:t xml:space="preserve"> (1..3))</w:t>
      </w:r>
      <w:r w:rsidRPr="00FA0D37">
        <w:rPr>
          <w:color w:val="993366"/>
        </w:rPr>
        <w:t xml:space="preserve"> OF</w:t>
      </w:r>
      <w:r w:rsidRPr="00FA0D37">
        <w:t xml:space="preserve"> SL-MinMaxMCS-Config-r16</w:t>
      </w:r>
    </w:p>
    <w:p w14:paraId="02793368" w14:textId="77777777" w:rsidR="00394471" w:rsidRPr="00FA0D37" w:rsidRDefault="00394471" w:rsidP="00FA0D37">
      <w:pPr>
        <w:pStyle w:val="PL"/>
      </w:pPr>
    </w:p>
    <w:p w14:paraId="7EB5D546" w14:textId="77777777" w:rsidR="00394471" w:rsidRPr="00FA0D37" w:rsidRDefault="00394471" w:rsidP="00FA0D37">
      <w:pPr>
        <w:pStyle w:val="PL"/>
      </w:pPr>
      <w:r w:rsidRPr="00FA0D37">
        <w:t xml:space="preserve">SL-MinMaxMCS-Config-r16 ::=            </w:t>
      </w:r>
      <w:r w:rsidRPr="00FA0D37">
        <w:rPr>
          <w:color w:val="993366"/>
        </w:rPr>
        <w:t>SEQUENCE</w:t>
      </w:r>
      <w:r w:rsidRPr="00FA0D37">
        <w:t xml:space="preserve"> {</w:t>
      </w:r>
    </w:p>
    <w:p w14:paraId="20C3DCFD" w14:textId="77777777" w:rsidR="00394471" w:rsidRPr="00FA0D37" w:rsidRDefault="00394471" w:rsidP="00FA0D37">
      <w:pPr>
        <w:pStyle w:val="PL"/>
      </w:pPr>
      <w:r w:rsidRPr="00FA0D37">
        <w:t xml:space="preserve">    sl-MCS-Table-r16                       </w:t>
      </w:r>
      <w:r w:rsidRPr="00FA0D37">
        <w:rPr>
          <w:color w:val="993366"/>
        </w:rPr>
        <w:t>ENUMERATED</w:t>
      </w:r>
      <w:r w:rsidRPr="00FA0D37">
        <w:t xml:space="preserve"> {qam64, qam256, qam64LowSE},</w:t>
      </w:r>
    </w:p>
    <w:p w14:paraId="15019860" w14:textId="77777777" w:rsidR="00394471" w:rsidRPr="00FA0D37" w:rsidRDefault="00394471" w:rsidP="00FA0D37">
      <w:pPr>
        <w:pStyle w:val="PL"/>
      </w:pPr>
      <w:r w:rsidRPr="00FA0D37">
        <w:t xml:space="preserve">    sl-MinMCS-PSSCH-r16                    </w:t>
      </w:r>
      <w:r w:rsidRPr="00FA0D37">
        <w:rPr>
          <w:color w:val="993366"/>
        </w:rPr>
        <w:t>INTEGER</w:t>
      </w:r>
      <w:r w:rsidRPr="00FA0D37">
        <w:t xml:space="preserve"> (0..27),</w:t>
      </w:r>
    </w:p>
    <w:p w14:paraId="793F52C5" w14:textId="77777777" w:rsidR="00394471" w:rsidRPr="00FA0D37" w:rsidRDefault="00394471" w:rsidP="00FA0D37">
      <w:pPr>
        <w:pStyle w:val="PL"/>
      </w:pPr>
      <w:r w:rsidRPr="00FA0D37">
        <w:t xml:space="preserve">    sl-MaxMCS-PSSCH-r16                    </w:t>
      </w:r>
      <w:r w:rsidRPr="00FA0D37">
        <w:rPr>
          <w:color w:val="993366"/>
        </w:rPr>
        <w:t>INTEGER</w:t>
      </w:r>
      <w:r w:rsidRPr="00FA0D37">
        <w:t xml:space="preserve"> (0..31)</w:t>
      </w:r>
    </w:p>
    <w:p w14:paraId="0D573CBE" w14:textId="77777777" w:rsidR="00394471" w:rsidRPr="00FA0D37" w:rsidRDefault="00394471" w:rsidP="00FA0D37">
      <w:pPr>
        <w:pStyle w:val="PL"/>
      </w:pPr>
      <w:r w:rsidRPr="00FA0D37">
        <w:t>}</w:t>
      </w:r>
    </w:p>
    <w:p w14:paraId="66C1EB29" w14:textId="77777777" w:rsidR="00394471" w:rsidRPr="00FA0D37" w:rsidRDefault="00394471" w:rsidP="00FA0D37">
      <w:pPr>
        <w:pStyle w:val="PL"/>
      </w:pPr>
    </w:p>
    <w:p w14:paraId="38676F31" w14:textId="77777777" w:rsidR="00394471" w:rsidRPr="00FA0D37" w:rsidRDefault="00394471" w:rsidP="00FA0D37">
      <w:pPr>
        <w:pStyle w:val="PL"/>
      </w:pPr>
      <w:r w:rsidRPr="00FA0D37">
        <w:t xml:space="preserve">SL-BetaOffsets-r16 ::=                 </w:t>
      </w:r>
      <w:r w:rsidRPr="00FA0D37">
        <w:rPr>
          <w:color w:val="993366"/>
        </w:rPr>
        <w:t>INTEGER</w:t>
      </w:r>
      <w:r w:rsidRPr="00FA0D37">
        <w:t xml:space="preserve"> (0..31)</w:t>
      </w:r>
    </w:p>
    <w:p w14:paraId="732188D5" w14:textId="77777777" w:rsidR="00394471" w:rsidRPr="00FA0D37" w:rsidRDefault="00394471" w:rsidP="00FA0D37">
      <w:pPr>
        <w:pStyle w:val="PL"/>
      </w:pPr>
    </w:p>
    <w:p w14:paraId="688B5201" w14:textId="77777777" w:rsidR="00394471" w:rsidRPr="00FA0D37" w:rsidRDefault="00394471" w:rsidP="00FA0D37">
      <w:pPr>
        <w:pStyle w:val="PL"/>
      </w:pPr>
      <w:r w:rsidRPr="00FA0D37">
        <w:t xml:space="preserve">SL-PowerControl-r16 ::=    </w:t>
      </w:r>
      <w:r w:rsidRPr="00FA0D37">
        <w:rPr>
          <w:color w:val="993366"/>
        </w:rPr>
        <w:t>SEQUENCE</w:t>
      </w:r>
      <w:r w:rsidRPr="00FA0D37">
        <w:t xml:space="preserve"> {</w:t>
      </w:r>
    </w:p>
    <w:p w14:paraId="43D5EFAB" w14:textId="77777777" w:rsidR="00394471" w:rsidRPr="00FA0D37" w:rsidRDefault="00394471" w:rsidP="00FA0D37">
      <w:pPr>
        <w:pStyle w:val="PL"/>
      </w:pPr>
      <w:r w:rsidRPr="00FA0D37">
        <w:t xml:space="preserve">    sl-MaxTransPower-r16       </w:t>
      </w:r>
      <w:r w:rsidRPr="00FA0D37">
        <w:rPr>
          <w:color w:val="993366"/>
        </w:rPr>
        <w:t>INTEGER</w:t>
      </w:r>
      <w:r w:rsidRPr="00FA0D37">
        <w:t xml:space="preserve"> (-30..33),</w:t>
      </w:r>
    </w:p>
    <w:p w14:paraId="01583DE7" w14:textId="77777777" w:rsidR="00394471" w:rsidRPr="00FA0D37" w:rsidRDefault="00394471" w:rsidP="00FA0D37">
      <w:pPr>
        <w:pStyle w:val="PL"/>
        <w:rPr>
          <w:color w:val="808080"/>
        </w:rPr>
      </w:pPr>
      <w:r w:rsidRPr="00FA0D37">
        <w:t xml:space="preserve">    sl-Alpha-PSSCH-PSCCH-r16   </w:t>
      </w:r>
      <w:r w:rsidRPr="00FA0D37">
        <w:rPr>
          <w:color w:val="993366"/>
        </w:rPr>
        <w:t>ENUMERATED</w:t>
      </w:r>
      <w:r w:rsidRPr="00FA0D37">
        <w:t xml:space="preserve"> {alpha0, alpha04, alpha05, alpha06, alpha07, alpha08, alpha09, alpha1}  </w:t>
      </w:r>
      <w:r w:rsidRPr="00FA0D37">
        <w:rPr>
          <w:color w:val="993366"/>
        </w:rPr>
        <w:t>OPTIONAL</w:t>
      </w:r>
      <w:r w:rsidRPr="00FA0D37">
        <w:t xml:space="preserve">,   </w:t>
      </w:r>
      <w:r w:rsidRPr="00FA0D37">
        <w:rPr>
          <w:color w:val="808080"/>
        </w:rPr>
        <w:t>-- Need M</w:t>
      </w:r>
    </w:p>
    <w:p w14:paraId="314B8509" w14:textId="77777777" w:rsidR="00394471" w:rsidRPr="00FA0D37" w:rsidRDefault="00394471" w:rsidP="00FA0D37">
      <w:pPr>
        <w:pStyle w:val="PL"/>
        <w:rPr>
          <w:color w:val="808080"/>
        </w:rPr>
      </w:pPr>
      <w:r w:rsidRPr="00FA0D37">
        <w:t xml:space="preserve">    dl-Alpha-PSSCH-PSCCH-r16   </w:t>
      </w:r>
      <w:r w:rsidRPr="00FA0D37">
        <w:rPr>
          <w:color w:val="993366"/>
        </w:rPr>
        <w:t>ENUMERATED</w:t>
      </w:r>
      <w:r w:rsidRPr="00FA0D37">
        <w:t xml:space="preserve"> {alpha0, alpha04, alpha05, alpha06, alpha07, alpha08, alpha09, alpha1}  </w:t>
      </w:r>
      <w:r w:rsidRPr="00FA0D37">
        <w:rPr>
          <w:color w:val="993366"/>
        </w:rPr>
        <w:t>OPTIONAL</w:t>
      </w:r>
      <w:r w:rsidRPr="00FA0D37">
        <w:t xml:space="preserve">,   </w:t>
      </w:r>
      <w:r w:rsidRPr="00FA0D37">
        <w:rPr>
          <w:color w:val="808080"/>
        </w:rPr>
        <w:t>-- Need S</w:t>
      </w:r>
    </w:p>
    <w:p w14:paraId="393B7400" w14:textId="77777777" w:rsidR="00394471" w:rsidRPr="00FA0D37" w:rsidRDefault="00394471" w:rsidP="00FA0D37">
      <w:pPr>
        <w:pStyle w:val="PL"/>
        <w:rPr>
          <w:color w:val="808080"/>
        </w:rPr>
      </w:pPr>
      <w:r w:rsidRPr="00FA0D37">
        <w:t xml:space="preserve">    sl-P0-PSSCH-PSCCH-r16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S</w:t>
      </w:r>
    </w:p>
    <w:p w14:paraId="38DDFF27" w14:textId="77777777" w:rsidR="00394471" w:rsidRPr="00FA0D37" w:rsidRDefault="00394471" w:rsidP="00FA0D37">
      <w:pPr>
        <w:pStyle w:val="PL"/>
        <w:rPr>
          <w:color w:val="808080"/>
        </w:rPr>
      </w:pPr>
      <w:r w:rsidRPr="00FA0D37">
        <w:t xml:space="preserve">    dl-P0-PSSCH-PSCCH-r16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M</w:t>
      </w:r>
    </w:p>
    <w:p w14:paraId="3792408D" w14:textId="77777777" w:rsidR="00394471" w:rsidRPr="00FA0D37" w:rsidRDefault="00394471" w:rsidP="00FA0D37">
      <w:pPr>
        <w:pStyle w:val="PL"/>
        <w:rPr>
          <w:color w:val="808080"/>
        </w:rPr>
      </w:pPr>
      <w:r w:rsidRPr="00FA0D37">
        <w:t xml:space="preserve">    dl-Alpha-PSFCH-r16         </w:t>
      </w:r>
      <w:r w:rsidRPr="00FA0D37">
        <w:rPr>
          <w:color w:val="993366"/>
        </w:rPr>
        <w:t>ENUMERATED</w:t>
      </w:r>
      <w:r w:rsidRPr="00FA0D37">
        <w:t xml:space="preserve"> {alpha0, alpha04, alpha05, alpha06, alpha07, alpha08, alpha09, alpha1}  </w:t>
      </w:r>
      <w:r w:rsidRPr="00FA0D37">
        <w:rPr>
          <w:color w:val="993366"/>
        </w:rPr>
        <w:t>OPTIONAL</w:t>
      </w:r>
      <w:r w:rsidRPr="00FA0D37">
        <w:t xml:space="preserve">,   </w:t>
      </w:r>
      <w:r w:rsidRPr="00FA0D37">
        <w:rPr>
          <w:color w:val="808080"/>
        </w:rPr>
        <w:t>-- Need S</w:t>
      </w:r>
    </w:p>
    <w:p w14:paraId="00C342B5" w14:textId="77777777" w:rsidR="00394471" w:rsidRPr="00FA0D37" w:rsidRDefault="00394471" w:rsidP="00FA0D37">
      <w:pPr>
        <w:pStyle w:val="PL"/>
        <w:rPr>
          <w:color w:val="808080"/>
        </w:rPr>
      </w:pPr>
      <w:r w:rsidRPr="00FA0D37">
        <w:t xml:space="preserve">    dl-P0-PSFCH-r16            </w:t>
      </w:r>
      <w:r w:rsidRPr="00FA0D37">
        <w:rPr>
          <w:color w:val="993366"/>
        </w:rPr>
        <w:t>INTEGER</w:t>
      </w:r>
      <w:r w:rsidRPr="00FA0D37">
        <w:t xml:space="preserve"> (-16..15)                                                                  </w:t>
      </w:r>
      <w:r w:rsidRPr="00FA0D37">
        <w:rPr>
          <w:color w:val="993366"/>
        </w:rPr>
        <w:t>OPTIONAL</w:t>
      </w:r>
      <w:r w:rsidRPr="00FA0D37">
        <w:t xml:space="preserve">,   </w:t>
      </w:r>
      <w:r w:rsidRPr="00FA0D37">
        <w:rPr>
          <w:color w:val="808080"/>
        </w:rPr>
        <w:t>-- Need M</w:t>
      </w:r>
    </w:p>
    <w:p w14:paraId="08C6937F" w14:textId="11F3DE53" w:rsidR="002E7B14" w:rsidRPr="00FA0D37" w:rsidRDefault="00394471" w:rsidP="00FA0D37">
      <w:pPr>
        <w:pStyle w:val="PL"/>
      </w:pPr>
      <w:r w:rsidRPr="00FA0D37">
        <w:t xml:space="preserve">    ...</w:t>
      </w:r>
      <w:r w:rsidR="002E7B14" w:rsidRPr="00FA0D37">
        <w:t>,</w:t>
      </w:r>
    </w:p>
    <w:p w14:paraId="4515186C" w14:textId="77777777" w:rsidR="002E7B14" w:rsidRPr="00FA0D37" w:rsidRDefault="002E7B14" w:rsidP="00FA0D37">
      <w:pPr>
        <w:pStyle w:val="PL"/>
      </w:pPr>
      <w:r w:rsidRPr="00FA0D37">
        <w:t xml:space="preserve">    [[</w:t>
      </w:r>
    </w:p>
    <w:p w14:paraId="5556C44B" w14:textId="77777777" w:rsidR="002E7B14" w:rsidRPr="00FA0D37" w:rsidRDefault="002E7B14" w:rsidP="00FA0D37">
      <w:pPr>
        <w:pStyle w:val="PL"/>
        <w:rPr>
          <w:color w:val="808080"/>
        </w:rPr>
      </w:pPr>
      <w:r w:rsidRPr="00FA0D37">
        <w:t xml:space="preserve">    dl-P0-PSSCH-PSCCH-r17      </w:t>
      </w:r>
      <w:r w:rsidRPr="00FA0D37">
        <w:rPr>
          <w:color w:val="993366"/>
        </w:rPr>
        <w:t>INTEGER</w:t>
      </w:r>
      <w:r w:rsidRPr="00FA0D37">
        <w:t xml:space="preserve"> (-202..24)                                                                 </w:t>
      </w:r>
      <w:r w:rsidRPr="00FA0D37">
        <w:rPr>
          <w:color w:val="993366"/>
        </w:rPr>
        <w:t>OPTIONAL</w:t>
      </w:r>
      <w:r w:rsidRPr="00FA0D37">
        <w:t xml:space="preserve">,   </w:t>
      </w:r>
      <w:r w:rsidRPr="00FA0D37">
        <w:rPr>
          <w:color w:val="808080"/>
        </w:rPr>
        <w:t>-- Need M</w:t>
      </w:r>
    </w:p>
    <w:p w14:paraId="7CB56203" w14:textId="77777777" w:rsidR="002E7B14" w:rsidRPr="00FA0D37" w:rsidRDefault="002E7B14" w:rsidP="00FA0D37">
      <w:pPr>
        <w:pStyle w:val="PL"/>
        <w:rPr>
          <w:color w:val="808080"/>
        </w:rPr>
      </w:pPr>
      <w:r w:rsidRPr="00FA0D37">
        <w:t xml:space="preserve">    sl-P0-PSSCH-PSCCH-r17      </w:t>
      </w:r>
      <w:r w:rsidRPr="00FA0D37">
        <w:rPr>
          <w:color w:val="993366"/>
        </w:rPr>
        <w:t>INTEGER</w:t>
      </w:r>
      <w:r w:rsidRPr="00FA0D37">
        <w:t xml:space="preserve"> (-202..24)                                                                 </w:t>
      </w:r>
      <w:r w:rsidRPr="00FA0D37">
        <w:rPr>
          <w:color w:val="993366"/>
        </w:rPr>
        <w:t>OPTIONAL</w:t>
      </w:r>
      <w:r w:rsidRPr="00FA0D37">
        <w:t xml:space="preserve">,   </w:t>
      </w:r>
      <w:r w:rsidRPr="00FA0D37">
        <w:rPr>
          <w:color w:val="808080"/>
        </w:rPr>
        <w:t>-- Need S</w:t>
      </w:r>
    </w:p>
    <w:p w14:paraId="557DF517" w14:textId="77777777" w:rsidR="002E7B14" w:rsidRPr="00FA0D37" w:rsidRDefault="002E7B14" w:rsidP="00FA0D37">
      <w:pPr>
        <w:pStyle w:val="PL"/>
        <w:rPr>
          <w:color w:val="808080"/>
        </w:rPr>
      </w:pPr>
      <w:r w:rsidRPr="00FA0D37">
        <w:t xml:space="preserve">    dl-P0-PSFCH-r17            </w:t>
      </w:r>
      <w:r w:rsidRPr="00FA0D37">
        <w:rPr>
          <w:color w:val="993366"/>
        </w:rPr>
        <w:t>INTEGER</w:t>
      </w:r>
      <w:r w:rsidRPr="00FA0D37">
        <w:t xml:space="preserve"> (-202..24)                                                                 </w:t>
      </w:r>
      <w:r w:rsidRPr="00FA0D37">
        <w:rPr>
          <w:color w:val="993366"/>
        </w:rPr>
        <w:t>OPTIONAL</w:t>
      </w:r>
      <w:r w:rsidRPr="00FA0D37">
        <w:t xml:space="preserve">    </w:t>
      </w:r>
      <w:r w:rsidRPr="00FA0D37">
        <w:rPr>
          <w:color w:val="808080"/>
        </w:rPr>
        <w:t>-- Need M</w:t>
      </w:r>
    </w:p>
    <w:p w14:paraId="5DE2D94B" w14:textId="5C3051B0" w:rsidR="00394471" w:rsidRPr="00FA0D37" w:rsidRDefault="002E7B14" w:rsidP="00FA0D37">
      <w:pPr>
        <w:pStyle w:val="PL"/>
      </w:pPr>
      <w:r w:rsidRPr="00FA0D37">
        <w:lastRenderedPageBreak/>
        <w:t xml:space="preserve">    ]]</w:t>
      </w:r>
    </w:p>
    <w:p w14:paraId="62B6ED49" w14:textId="77777777" w:rsidR="00394471" w:rsidRPr="00FA0D37" w:rsidRDefault="00394471" w:rsidP="00FA0D37">
      <w:pPr>
        <w:pStyle w:val="PL"/>
      </w:pPr>
      <w:r w:rsidRPr="00FA0D37">
        <w:t>}</w:t>
      </w:r>
    </w:p>
    <w:p w14:paraId="1EB9E310" w14:textId="77777777" w:rsidR="00394471" w:rsidRPr="00FA0D37" w:rsidRDefault="00394471" w:rsidP="00FA0D37">
      <w:pPr>
        <w:pStyle w:val="PL"/>
      </w:pPr>
    </w:p>
    <w:p w14:paraId="5C48929C" w14:textId="77777777" w:rsidR="00394471" w:rsidRPr="00FA0D37" w:rsidRDefault="00394471" w:rsidP="00FA0D37">
      <w:pPr>
        <w:pStyle w:val="PL"/>
        <w:rPr>
          <w:color w:val="808080"/>
        </w:rPr>
      </w:pPr>
      <w:r w:rsidRPr="00FA0D37">
        <w:rPr>
          <w:color w:val="808080"/>
        </w:rPr>
        <w:t>-- TAG-SL-RESOURCEPOOL-STOP</w:t>
      </w:r>
    </w:p>
    <w:p w14:paraId="672D548B" w14:textId="77777777" w:rsidR="00394471" w:rsidRPr="00FA0D37" w:rsidRDefault="00394471" w:rsidP="00FA0D37">
      <w:pPr>
        <w:pStyle w:val="PL"/>
        <w:rPr>
          <w:color w:val="808080"/>
        </w:rPr>
      </w:pPr>
      <w:r w:rsidRPr="00FA0D37">
        <w:rPr>
          <w:color w:val="808080"/>
        </w:rPr>
        <w:t>-- ASN1STOP</w:t>
      </w:r>
    </w:p>
    <w:p w14:paraId="51114B96" w14:textId="77777777" w:rsidR="00394471" w:rsidRPr="00FA0D37"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1559F58E"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F8D9355" w14:textId="77777777" w:rsidR="00394471" w:rsidRPr="00FA0D37" w:rsidRDefault="00394471" w:rsidP="00964CC4">
            <w:pPr>
              <w:pStyle w:val="TAH"/>
              <w:rPr>
                <w:lang w:eastAsia="en-GB"/>
              </w:rPr>
            </w:pPr>
            <w:r w:rsidRPr="00FA0D37">
              <w:rPr>
                <w:i/>
                <w:noProof/>
                <w:lang w:eastAsia="en-GB"/>
              </w:rPr>
              <w:t xml:space="preserve">SL-ZoneConfigMCR </w:t>
            </w:r>
            <w:r w:rsidRPr="00FA0D37">
              <w:rPr>
                <w:noProof/>
                <w:lang w:eastAsia="en-GB"/>
              </w:rPr>
              <w:t>field descriptions</w:t>
            </w:r>
          </w:p>
        </w:tc>
      </w:tr>
      <w:tr w:rsidR="005C7FF4" w:rsidRPr="00FA0D37" w14:paraId="6650CA17"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72DFB9D" w14:textId="77777777" w:rsidR="00394471" w:rsidRPr="00FA0D37" w:rsidRDefault="00394471" w:rsidP="00964CC4">
            <w:pPr>
              <w:pStyle w:val="TAL"/>
              <w:rPr>
                <w:b/>
                <w:bCs/>
                <w:i/>
                <w:iCs/>
                <w:noProof/>
                <w:lang w:eastAsia="en-GB"/>
              </w:rPr>
            </w:pPr>
            <w:r w:rsidRPr="00FA0D37">
              <w:rPr>
                <w:b/>
                <w:bCs/>
                <w:i/>
                <w:iCs/>
                <w:noProof/>
                <w:lang w:eastAsia="en-GB"/>
              </w:rPr>
              <w:t>sl-TransRange</w:t>
            </w:r>
          </w:p>
          <w:p w14:paraId="7A1A8442" w14:textId="4F9B245C" w:rsidR="00394471" w:rsidRPr="00FA0D37" w:rsidRDefault="00394471" w:rsidP="00964CC4">
            <w:pPr>
              <w:pStyle w:val="TAL"/>
              <w:rPr>
                <w:lang w:eastAsia="en-GB"/>
              </w:rPr>
            </w:pPr>
            <w:r w:rsidRPr="00FA0D37">
              <w:rPr>
                <w:iCs/>
                <w:szCs w:val="22"/>
                <w:lang w:eastAsia="en-GB"/>
              </w:rPr>
              <w:t xml:space="preserve">Indicates the communication range requirement for the corresponding </w:t>
            </w:r>
            <w:r w:rsidRPr="00FA0D37">
              <w:rPr>
                <w:i/>
                <w:szCs w:val="22"/>
                <w:lang w:eastAsia="en-GB"/>
              </w:rPr>
              <w:t>sl-ZoneConfigMCR-Index</w:t>
            </w:r>
            <w:r w:rsidRPr="00FA0D37">
              <w:rPr>
                <w:iCs/>
                <w:szCs w:val="22"/>
                <w:lang w:eastAsia="en-GB"/>
              </w:rPr>
              <w:t>.</w:t>
            </w:r>
            <w:r w:rsidR="00806168" w:rsidRPr="00FA0D37">
              <w:rPr>
                <w:iCs/>
                <w:lang w:eastAsia="sv-SE"/>
              </w:rPr>
              <w:t xml:space="preserve"> The unit is meter.</w:t>
            </w:r>
          </w:p>
        </w:tc>
      </w:tr>
      <w:tr w:rsidR="005C7FF4" w:rsidRPr="00FA0D37" w14:paraId="56CAE84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65C6C5" w14:textId="77777777" w:rsidR="00394471" w:rsidRPr="00FA0D37" w:rsidRDefault="00394471" w:rsidP="00964CC4">
            <w:pPr>
              <w:pStyle w:val="TAL"/>
              <w:rPr>
                <w:b/>
                <w:bCs/>
                <w:i/>
                <w:iCs/>
                <w:noProof/>
                <w:lang w:eastAsia="en-GB"/>
              </w:rPr>
            </w:pPr>
            <w:r w:rsidRPr="00FA0D37">
              <w:rPr>
                <w:b/>
                <w:bCs/>
                <w:i/>
                <w:iCs/>
                <w:noProof/>
                <w:lang w:eastAsia="en-GB"/>
              </w:rPr>
              <w:t>sl-ZoneConfig</w:t>
            </w:r>
          </w:p>
          <w:p w14:paraId="0F875B6C" w14:textId="77777777" w:rsidR="00394471" w:rsidRPr="00FA0D37" w:rsidRDefault="00394471" w:rsidP="00964CC4">
            <w:pPr>
              <w:pStyle w:val="TAL"/>
              <w:rPr>
                <w:noProof/>
                <w:lang w:eastAsia="en-GB"/>
              </w:rPr>
            </w:pPr>
            <w:r w:rsidRPr="00FA0D37">
              <w:rPr>
                <w:iCs/>
                <w:szCs w:val="22"/>
                <w:lang w:eastAsia="en-GB"/>
              </w:rPr>
              <w:t>Indicates the zone configuration for the corresponding</w:t>
            </w:r>
            <w:r w:rsidRPr="00FA0D37">
              <w:rPr>
                <w:i/>
                <w:szCs w:val="22"/>
                <w:lang w:eastAsia="en-GB"/>
              </w:rPr>
              <w:t xml:space="preserve"> sl-ZoneConfigMCR-Index</w:t>
            </w:r>
            <w:r w:rsidRPr="00FA0D37">
              <w:rPr>
                <w:iCs/>
                <w:szCs w:val="22"/>
                <w:lang w:eastAsia="en-GB"/>
              </w:rPr>
              <w:t>.</w:t>
            </w:r>
          </w:p>
        </w:tc>
      </w:tr>
      <w:tr w:rsidR="00394471" w:rsidRPr="00FA0D37" w14:paraId="366CAA9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13D7516" w14:textId="77777777" w:rsidR="00394471" w:rsidRPr="00FA0D37" w:rsidRDefault="00394471" w:rsidP="00964CC4">
            <w:pPr>
              <w:pStyle w:val="TAL"/>
              <w:rPr>
                <w:b/>
                <w:bCs/>
                <w:i/>
                <w:iCs/>
                <w:noProof/>
                <w:lang w:eastAsia="en-GB"/>
              </w:rPr>
            </w:pPr>
            <w:r w:rsidRPr="00FA0D37">
              <w:rPr>
                <w:b/>
                <w:bCs/>
                <w:i/>
                <w:iCs/>
                <w:noProof/>
                <w:lang w:eastAsia="en-GB"/>
              </w:rPr>
              <w:t>sl-ZoneConfigMCR-Index</w:t>
            </w:r>
          </w:p>
          <w:p w14:paraId="6DC1948C" w14:textId="77777777" w:rsidR="00394471" w:rsidRPr="00FA0D37" w:rsidRDefault="00394471" w:rsidP="00964CC4">
            <w:pPr>
              <w:pStyle w:val="TAL"/>
              <w:rPr>
                <w:lang w:eastAsia="en-GB"/>
              </w:rPr>
            </w:pPr>
            <w:r w:rsidRPr="00FA0D37">
              <w:rPr>
                <w:iCs/>
                <w:szCs w:val="22"/>
                <w:lang w:eastAsia="en-GB"/>
              </w:rPr>
              <w:t>Indicates the codepoint of the communication range requirement field in SCI.</w:t>
            </w:r>
          </w:p>
        </w:tc>
      </w:tr>
    </w:tbl>
    <w:p w14:paraId="01D9DDF2" w14:textId="77777777" w:rsidR="00394471" w:rsidRPr="00FA0D3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DEC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43407" w14:textId="77777777" w:rsidR="00394471" w:rsidRPr="00FA0D37" w:rsidRDefault="00394471" w:rsidP="00964CC4">
            <w:pPr>
              <w:pStyle w:val="TAH"/>
              <w:rPr>
                <w:b w:val="0"/>
                <w:lang w:eastAsia="sv-SE"/>
              </w:rPr>
            </w:pPr>
            <w:r w:rsidRPr="00FA0D37">
              <w:rPr>
                <w:i/>
                <w:lang w:eastAsia="sv-SE"/>
              </w:rPr>
              <w:lastRenderedPageBreak/>
              <w:t xml:space="preserve">SL-ResourcePool </w:t>
            </w:r>
            <w:r w:rsidRPr="00FA0D37">
              <w:rPr>
                <w:lang w:eastAsia="sv-SE"/>
              </w:rPr>
              <w:t>field descriptions</w:t>
            </w:r>
          </w:p>
        </w:tc>
      </w:tr>
      <w:tr w:rsidR="005C7FF4" w:rsidRPr="00FA0D37" w14:paraId="0EAFEC1B" w14:textId="77777777" w:rsidTr="003B657B">
        <w:tc>
          <w:tcPr>
            <w:tcW w:w="14173" w:type="dxa"/>
            <w:tcBorders>
              <w:top w:val="single" w:sz="4" w:space="0" w:color="auto"/>
              <w:left w:val="single" w:sz="4" w:space="0" w:color="auto"/>
              <w:bottom w:val="single" w:sz="4" w:space="0" w:color="auto"/>
              <w:right w:val="single" w:sz="4" w:space="0" w:color="auto"/>
            </w:tcBorders>
          </w:tcPr>
          <w:p w14:paraId="526B3BED" w14:textId="77777777" w:rsidR="00A105BD" w:rsidRPr="00FA0D37" w:rsidRDefault="00A105BD" w:rsidP="00255542">
            <w:pPr>
              <w:pStyle w:val="TAL"/>
              <w:rPr>
                <w:rFonts w:eastAsiaTheme="minorEastAsia"/>
                <w:b/>
                <w:bCs/>
                <w:i/>
                <w:iCs/>
                <w:lang w:eastAsia="zh-CN"/>
              </w:rPr>
            </w:pPr>
            <w:r w:rsidRPr="00FA0D37">
              <w:rPr>
                <w:rFonts w:eastAsiaTheme="minorEastAsia"/>
                <w:b/>
                <w:bCs/>
                <w:i/>
                <w:iCs/>
                <w:lang w:eastAsia="zh-CN"/>
              </w:rPr>
              <w:t>dummy</w:t>
            </w:r>
          </w:p>
          <w:p w14:paraId="76E6C8BD" w14:textId="77777777" w:rsidR="00A105BD" w:rsidRPr="00FA0D37" w:rsidRDefault="00A105BD" w:rsidP="00255542">
            <w:pPr>
              <w:pStyle w:val="TAL"/>
              <w:rPr>
                <w:rFonts w:eastAsiaTheme="minorEastAsia"/>
                <w:lang w:eastAsia="zh-CN"/>
              </w:rPr>
            </w:pPr>
            <w:r w:rsidRPr="00FA0D37">
              <w:rPr>
                <w:lang w:eastAsia="sv-SE"/>
              </w:rPr>
              <w:t>This field is not used in the specification. If received it shall be ignored by the UE.</w:t>
            </w:r>
          </w:p>
        </w:tc>
      </w:tr>
      <w:tr w:rsidR="005C7FF4" w:rsidRPr="00FA0D37" w14:paraId="30F0F0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E7A29" w14:textId="77777777" w:rsidR="00394471" w:rsidRPr="00FA0D37" w:rsidRDefault="00394471" w:rsidP="00964CC4">
            <w:pPr>
              <w:pStyle w:val="TAL"/>
              <w:rPr>
                <w:b/>
                <w:bCs/>
                <w:i/>
                <w:iCs/>
                <w:lang w:eastAsia="en-GB"/>
              </w:rPr>
            </w:pPr>
            <w:r w:rsidRPr="00FA0D37">
              <w:rPr>
                <w:b/>
                <w:bCs/>
                <w:i/>
                <w:iCs/>
                <w:lang w:eastAsia="en-GB"/>
              </w:rPr>
              <w:t>sl-</w:t>
            </w:r>
            <w:r w:rsidRPr="00FA0D37">
              <w:rPr>
                <w:rFonts w:cs="Arial"/>
                <w:b/>
                <w:bCs/>
                <w:i/>
                <w:iCs/>
                <w:lang w:eastAsia="en-GB"/>
              </w:rPr>
              <w:t>Additional-</w:t>
            </w:r>
            <w:r w:rsidRPr="00FA0D37">
              <w:rPr>
                <w:b/>
                <w:bCs/>
                <w:i/>
                <w:iCs/>
                <w:lang w:eastAsia="en-GB"/>
              </w:rPr>
              <w:t>MCS-Table</w:t>
            </w:r>
          </w:p>
          <w:p w14:paraId="57714F02" w14:textId="7763240D" w:rsidR="00394471" w:rsidRPr="00FA0D37" w:rsidRDefault="00394471" w:rsidP="00964CC4">
            <w:pPr>
              <w:pStyle w:val="TAL"/>
              <w:rPr>
                <w:lang w:eastAsia="sv-SE"/>
              </w:rPr>
            </w:pPr>
            <w:r w:rsidRPr="00FA0D37">
              <w:rPr>
                <w:bCs/>
                <w:kern w:val="2"/>
                <w:lang w:eastAsia="en-GB"/>
              </w:rPr>
              <w:t>Indicates the MCS table</w:t>
            </w:r>
            <w:r w:rsidRPr="00FA0D37">
              <w:rPr>
                <w:rFonts w:cs="Arial"/>
                <w:bCs/>
                <w:kern w:val="2"/>
                <w:lang w:eastAsia="en-GB"/>
              </w:rPr>
              <w:t>(s) additionally</w:t>
            </w:r>
            <w:r w:rsidRPr="00FA0D37">
              <w:rPr>
                <w:bCs/>
                <w:kern w:val="2"/>
                <w:lang w:eastAsia="en-GB"/>
              </w:rPr>
              <w:t xml:space="preserve"> used in the resource pool.</w:t>
            </w:r>
            <w:r w:rsidRPr="00FA0D37">
              <w:t xml:space="preserve"> </w:t>
            </w:r>
            <w:r w:rsidRPr="00FA0D37">
              <w:rPr>
                <w:rFonts w:cs="Arial"/>
                <w:bCs/>
                <w:kern w:val="2"/>
                <w:lang w:eastAsia="en-GB"/>
              </w:rPr>
              <w:t>64QAM table is (pre-)configured as default. Zero, one or two can be additionally (pre-)configured using the 256QAM and/or low-SE MCS tables</w:t>
            </w:r>
            <w:r w:rsidR="00C1392F" w:rsidRPr="00FA0D37">
              <w:rPr>
                <w:rFonts w:cs="Arial"/>
                <w:bCs/>
                <w:kern w:val="2"/>
                <w:lang w:eastAsia="en-GB"/>
              </w:rPr>
              <w:t>. If two MCS tables are indicated, 256QAM MCS table is the 1</w:t>
            </w:r>
            <w:r w:rsidR="00C1392F" w:rsidRPr="00FA0D37">
              <w:rPr>
                <w:rFonts w:cs="Arial"/>
                <w:bCs/>
                <w:kern w:val="2"/>
                <w:vertAlign w:val="superscript"/>
                <w:lang w:eastAsia="en-GB"/>
              </w:rPr>
              <w:t>st</w:t>
            </w:r>
            <w:r w:rsidR="00C1392F" w:rsidRPr="00FA0D37">
              <w:rPr>
                <w:rFonts w:cs="Arial"/>
                <w:bCs/>
                <w:kern w:val="2"/>
                <w:lang w:eastAsia="en-GB"/>
              </w:rPr>
              <w:t xml:space="preserve"> table and qam64lowSE MCS table is the 2</w:t>
            </w:r>
            <w:r w:rsidR="00C1392F" w:rsidRPr="00FA0D37">
              <w:rPr>
                <w:rFonts w:cs="Arial"/>
                <w:bCs/>
                <w:kern w:val="2"/>
                <w:vertAlign w:val="superscript"/>
                <w:lang w:eastAsia="en-GB"/>
              </w:rPr>
              <w:t>nd</w:t>
            </w:r>
            <w:r w:rsidR="00C1392F" w:rsidRPr="00FA0D37">
              <w:rPr>
                <w:rFonts w:cs="Arial"/>
                <w:bCs/>
                <w:kern w:val="2"/>
                <w:lang w:eastAsia="zh-CN"/>
              </w:rPr>
              <w:t xml:space="preserve"> </w:t>
            </w:r>
            <w:r w:rsidR="00C1392F" w:rsidRPr="00FA0D37">
              <w:rPr>
                <w:rFonts w:cs="Arial"/>
                <w:bCs/>
                <w:kern w:val="2"/>
                <w:lang w:eastAsia="en-GB"/>
              </w:rPr>
              <w:t>table as specified in TS 38.214 [19], clause 8.1.3.1.</w:t>
            </w:r>
          </w:p>
        </w:tc>
      </w:tr>
      <w:tr w:rsidR="005C7FF4" w:rsidRPr="00FA0D37" w14:paraId="278C9169" w14:textId="77777777" w:rsidTr="00771058">
        <w:tc>
          <w:tcPr>
            <w:tcW w:w="14173" w:type="dxa"/>
            <w:tcBorders>
              <w:top w:val="single" w:sz="4" w:space="0" w:color="auto"/>
              <w:left w:val="single" w:sz="4" w:space="0" w:color="auto"/>
              <w:bottom w:val="single" w:sz="4" w:space="0" w:color="auto"/>
              <w:right w:val="single" w:sz="4" w:space="0" w:color="auto"/>
            </w:tcBorders>
          </w:tcPr>
          <w:p w14:paraId="73BE2F14" w14:textId="77777777" w:rsidR="00FC41F5" w:rsidRPr="00FA0D37" w:rsidRDefault="00FC41F5" w:rsidP="00771058">
            <w:pPr>
              <w:pStyle w:val="TAL"/>
              <w:rPr>
                <w:b/>
                <w:bCs/>
                <w:i/>
                <w:iCs/>
                <w:lang w:eastAsia="sv-SE"/>
              </w:rPr>
            </w:pPr>
            <w:r w:rsidRPr="00FA0D37">
              <w:rPr>
                <w:b/>
                <w:bCs/>
                <w:i/>
                <w:iCs/>
                <w:lang w:eastAsia="sv-SE"/>
              </w:rPr>
              <w:t>sl-FilterCoefficient</w:t>
            </w:r>
          </w:p>
          <w:p w14:paraId="62210368" w14:textId="77777777" w:rsidR="00FC41F5" w:rsidRPr="00FA0D37" w:rsidRDefault="00FC41F5" w:rsidP="00771058">
            <w:pPr>
              <w:pStyle w:val="TAL"/>
              <w:rPr>
                <w:lang w:eastAsia="sv-SE"/>
              </w:rPr>
            </w:pPr>
            <w:r w:rsidRPr="00FA0D37">
              <w:rPr>
                <w:lang w:eastAsia="sv-SE"/>
              </w:rPr>
              <w:t>This field indicates the filtering coefficient for long-term measurement and reference signal power derivation used for sidelink open-loop power control.</w:t>
            </w:r>
          </w:p>
        </w:tc>
      </w:tr>
      <w:tr w:rsidR="005C7FF4" w:rsidRPr="00FA0D37" w14:paraId="2E983948" w14:textId="77777777" w:rsidTr="00771058">
        <w:tc>
          <w:tcPr>
            <w:tcW w:w="14173" w:type="dxa"/>
            <w:tcBorders>
              <w:top w:val="single" w:sz="4" w:space="0" w:color="auto"/>
              <w:left w:val="single" w:sz="4" w:space="0" w:color="auto"/>
              <w:bottom w:val="single" w:sz="4" w:space="0" w:color="auto"/>
              <w:right w:val="single" w:sz="4" w:space="0" w:color="auto"/>
            </w:tcBorders>
          </w:tcPr>
          <w:p w14:paraId="7B2845DB" w14:textId="77777777" w:rsidR="00FC41F5" w:rsidRPr="00FA0D37" w:rsidRDefault="00FC41F5" w:rsidP="00771058">
            <w:pPr>
              <w:pStyle w:val="TAL"/>
              <w:rPr>
                <w:b/>
                <w:bCs/>
                <w:i/>
                <w:iCs/>
                <w:lang w:eastAsia="sv-SE"/>
              </w:rPr>
            </w:pPr>
            <w:r w:rsidRPr="00FA0D37">
              <w:rPr>
                <w:b/>
                <w:bCs/>
                <w:i/>
                <w:iCs/>
                <w:lang w:eastAsia="sv-SE"/>
              </w:rPr>
              <w:t>sl-InterUE-CoordinationConfig</w:t>
            </w:r>
          </w:p>
          <w:p w14:paraId="530CD6C6" w14:textId="77777777" w:rsidR="00FC41F5" w:rsidRPr="00FA0D37" w:rsidRDefault="00FC41F5" w:rsidP="00771058">
            <w:pPr>
              <w:pStyle w:val="TAL"/>
              <w:rPr>
                <w:b/>
                <w:bCs/>
                <w:i/>
                <w:iCs/>
                <w:lang w:eastAsia="sv-SE"/>
              </w:rPr>
            </w:pPr>
            <w:r w:rsidRPr="00FA0D37">
              <w:rPr>
                <w:bCs/>
                <w:iCs/>
                <w:lang w:eastAsia="sv-SE"/>
              </w:rPr>
              <w:t>Indicates the configured sidelink inter-UE coordination parameters.</w:t>
            </w:r>
          </w:p>
        </w:tc>
      </w:tr>
      <w:tr w:rsidR="005C7FF4" w:rsidRPr="00FA0D37" w14:paraId="185F82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83900" w14:textId="77777777" w:rsidR="00394471" w:rsidRPr="00FA0D37" w:rsidRDefault="00394471" w:rsidP="00964CC4">
            <w:pPr>
              <w:pStyle w:val="TAL"/>
              <w:rPr>
                <w:b/>
                <w:bCs/>
                <w:i/>
                <w:iCs/>
                <w:lang w:eastAsia="en-GB"/>
              </w:rPr>
            </w:pPr>
            <w:r w:rsidRPr="00FA0D37">
              <w:rPr>
                <w:b/>
                <w:bCs/>
                <w:i/>
                <w:iCs/>
                <w:lang w:eastAsia="en-GB"/>
              </w:rPr>
              <w:t>sl-NumSubchannel</w:t>
            </w:r>
          </w:p>
          <w:p w14:paraId="218F7A9C" w14:textId="77777777" w:rsidR="00394471" w:rsidRPr="00FA0D37" w:rsidRDefault="00394471" w:rsidP="00964CC4">
            <w:pPr>
              <w:pStyle w:val="TAL"/>
              <w:rPr>
                <w:lang w:eastAsia="en-GB"/>
              </w:rPr>
            </w:pPr>
            <w:r w:rsidRPr="00FA0D37">
              <w:rPr>
                <w:bCs/>
                <w:kern w:val="2"/>
                <w:lang w:eastAsia="en-GB"/>
              </w:rPr>
              <w:t>Indicates the number of subchannels in the corresponding resource pool, which consists of contiguous PRBs only.</w:t>
            </w:r>
          </w:p>
        </w:tc>
      </w:tr>
      <w:tr w:rsidR="005C7FF4" w:rsidRPr="00FA0D37" w14:paraId="4FBA5855" w14:textId="77777777" w:rsidTr="00771058">
        <w:tc>
          <w:tcPr>
            <w:tcW w:w="14173" w:type="dxa"/>
            <w:tcBorders>
              <w:top w:val="single" w:sz="4" w:space="0" w:color="auto"/>
              <w:left w:val="single" w:sz="4" w:space="0" w:color="auto"/>
              <w:bottom w:val="single" w:sz="4" w:space="0" w:color="auto"/>
              <w:right w:val="single" w:sz="4" w:space="0" w:color="auto"/>
            </w:tcBorders>
          </w:tcPr>
          <w:p w14:paraId="3DC784BA" w14:textId="77777777" w:rsidR="00FC41F5" w:rsidRPr="00FA0D37" w:rsidRDefault="00FC41F5" w:rsidP="00771058">
            <w:pPr>
              <w:pStyle w:val="TAL"/>
              <w:rPr>
                <w:b/>
                <w:bCs/>
                <w:i/>
                <w:iCs/>
                <w:lang w:eastAsia="en-GB"/>
              </w:rPr>
            </w:pPr>
            <w:r w:rsidRPr="00FA0D37">
              <w:rPr>
                <w:b/>
                <w:bCs/>
                <w:i/>
                <w:iCs/>
                <w:lang w:eastAsia="en-GB"/>
              </w:rPr>
              <w:t>sl-PBPS-CPS-Config</w:t>
            </w:r>
          </w:p>
          <w:p w14:paraId="2A3BB5CE" w14:textId="367DE70C" w:rsidR="00FC41F5" w:rsidRPr="00FA0D37" w:rsidRDefault="00FC41F5" w:rsidP="00771058">
            <w:pPr>
              <w:pStyle w:val="TAL"/>
              <w:rPr>
                <w:b/>
                <w:bCs/>
                <w:i/>
                <w:iCs/>
                <w:lang w:eastAsia="en-GB"/>
              </w:rPr>
            </w:pPr>
            <w:r w:rsidRPr="00FA0D37">
              <w:rPr>
                <w:bCs/>
                <w:iCs/>
                <w:lang w:eastAsia="en-GB"/>
              </w:rPr>
              <w:t xml:space="preserve">Indicates </w:t>
            </w:r>
            <w:r w:rsidR="00DC187A" w:rsidRPr="00FA0D37">
              <w:rPr>
                <w:bCs/>
                <w:iCs/>
                <w:lang w:eastAsia="en-GB"/>
              </w:rPr>
              <w:t>the allowed resource allocation schemes</w:t>
            </w:r>
            <w:r w:rsidRPr="00FA0D37">
              <w:rPr>
                <w:bCs/>
                <w:iCs/>
                <w:lang w:eastAsia="en-GB"/>
              </w:rPr>
              <w:t xml:space="preserve"> of full sensing only, partial sensing only, random resource selection only, or any combination(s)</w:t>
            </w:r>
            <w:r w:rsidR="00DC187A" w:rsidRPr="00FA0D37">
              <w:rPr>
                <w:bCs/>
                <w:iCs/>
                <w:lang w:eastAsia="en-GB"/>
              </w:rPr>
              <w:t>, and the related configuration for power saving resource allocation schemes</w:t>
            </w:r>
            <w:r w:rsidRPr="00FA0D37">
              <w:rPr>
                <w:bCs/>
                <w:iCs/>
                <w:lang w:eastAsia="en-GB"/>
              </w:rPr>
              <w:t>.</w:t>
            </w:r>
            <w:r w:rsidR="002E7B14" w:rsidRPr="00FA0D37">
              <w:rPr>
                <w:bCs/>
                <w:iCs/>
                <w:lang w:eastAsia="en-GB"/>
              </w:rPr>
              <w:t xml:space="preserve"> This field is absent for </w:t>
            </w:r>
            <w:r w:rsidR="002E7B14" w:rsidRPr="00FA0D37">
              <w:rPr>
                <w:bCs/>
                <w:i/>
                <w:iCs/>
                <w:lang w:eastAsia="en-GB"/>
              </w:rPr>
              <w:t>sl-TxPoolExceptional</w:t>
            </w:r>
            <w:r w:rsidR="002E7B14" w:rsidRPr="00FA0D37">
              <w:rPr>
                <w:bCs/>
                <w:iCs/>
                <w:lang w:eastAsia="en-GB"/>
              </w:rPr>
              <w:t>.</w:t>
            </w:r>
          </w:p>
        </w:tc>
      </w:tr>
      <w:tr w:rsidR="005C7FF4" w:rsidRPr="00FA0D37" w:rsidDel="008770D5" w14:paraId="39BD4799" w14:textId="77777777" w:rsidTr="00964CC4">
        <w:tc>
          <w:tcPr>
            <w:tcW w:w="14173" w:type="dxa"/>
            <w:tcBorders>
              <w:top w:val="single" w:sz="4" w:space="0" w:color="auto"/>
              <w:left w:val="single" w:sz="4" w:space="0" w:color="auto"/>
              <w:bottom w:val="single" w:sz="4" w:space="0" w:color="auto"/>
              <w:right w:val="single" w:sz="4" w:space="0" w:color="auto"/>
            </w:tcBorders>
          </w:tcPr>
          <w:p w14:paraId="2325C035" w14:textId="77777777" w:rsidR="00394471" w:rsidRPr="00FA0D37" w:rsidRDefault="00394471" w:rsidP="00964CC4">
            <w:pPr>
              <w:pStyle w:val="TAL"/>
              <w:rPr>
                <w:b/>
                <w:bCs/>
                <w:i/>
                <w:iCs/>
                <w:lang w:eastAsia="en-GB"/>
              </w:rPr>
            </w:pPr>
            <w:r w:rsidRPr="00FA0D37">
              <w:rPr>
                <w:b/>
                <w:bCs/>
                <w:i/>
                <w:iCs/>
                <w:lang w:eastAsia="en-GB"/>
              </w:rPr>
              <w:t>sl-PreemptionEnable</w:t>
            </w:r>
          </w:p>
          <w:p w14:paraId="7A4B670D" w14:textId="771C7849" w:rsidR="00394471" w:rsidRPr="00FA0D37" w:rsidDel="008770D5" w:rsidRDefault="00394471" w:rsidP="00964CC4">
            <w:pPr>
              <w:pStyle w:val="TAL"/>
              <w:rPr>
                <w:b/>
                <w:bCs/>
                <w:i/>
                <w:iCs/>
                <w:lang w:eastAsia="en-GB"/>
              </w:rPr>
            </w:pPr>
            <w:r w:rsidRPr="00FA0D37">
              <w:rPr>
                <w:rFonts w:cs="Arial"/>
                <w:bCs/>
                <w:iCs/>
                <w:lang w:eastAsia="en-GB"/>
              </w:rPr>
              <w:t>Indi</w:t>
            </w:r>
            <w:r w:rsidR="008D2002" w:rsidRPr="00FA0D37">
              <w:rPr>
                <w:rFonts w:cs="Arial"/>
                <w:bCs/>
                <w:iCs/>
                <w:lang w:eastAsia="en-GB"/>
              </w:rPr>
              <w:t>c</w:t>
            </w:r>
            <w:r w:rsidRPr="00FA0D37">
              <w:rPr>
                <w:rFonts w:cs="Arial"/>
                <w:bCs/>
                <w:iCs/>
                <w:lang w:eastAsia="en-GB"/>
              </w:rPr>
              <w:t xml:space="preserve">ates whether pre-emption is disabled or enabled in a resource pool. If </w:t>
            </w:r>
            <w:r w:rsidR="00E92072" w:rsidRPr="00FA0D37">
              <w:rPr>
                <w:rFonts w:cs="Arial"/>
                <w:bCs/>
                <w:iCs/>
                <w:lang w:eastAsia="en-GB"/>
              </w:rPr>
              <w:t xml:space="preserve">the field is present and the value is </w:t>
            </w:r>
            <w:r w:rsidR="004B73A1" w:rsidRPr="00FA0D37">
              <w:rPr>
                <w:rFonts w:cs="Arial"/>
                <w:bCs/>
                <w:i/>
                <w:iCs/>
                <w:lang w:eastAsia="en-GB"/>
              </w:rPr>
              <w:t>pl1</w:t>
            </w:r>
            <w:r w:rsidR="00E92072" w:rsidRPr="00FA0D37">
              <w:rPr>
                <w:rFonts w:cs="Arial"/>
                <w:bCs/>
                <w:iCs/>
                <w:lang w:eastAsia="en-GB"/>
              </w:rPr>
              <w:t xml:space="preserve">, </w:t>
            </w:r>
            <w:r w:rsidR="004B73A1" w:rsidRPr="00FA0D37">
              <w:rPr>
                <w:rFonts w:cs="Arial"/>
                <w:bCs/>
                <w:i/>
                <w:iCs/>
                <w:lang w:eastAsia="en-GB"/>
              </w:rPr>
              <w:t>pl2</w:t>
            </w:r>
            <w:r w:rsidR="00E92072" w:rsidRPr="00FA0D37">
              <w:rPr>
                <w:rFonts w:cs="Arial"/>
                <w:bCs/>
                <w:iCs/>
                <w:lang w:eastAsia="en-GB"/>
              </w:rPr>
              <w:t xml:space="preserve">, and so on (but not </w:t>
            </w:r>
            <w:r w:rsidR="00E92072" w:rsidRPr="00FA0D37">
              <w:rPr>
                <w:rFonts w:cs="Arial"/>
                <w:bCs/>
                <w:i/>
                <w:iCs/>
                <w:lang w:eastAsia="en-GB"/>
              </w:rPr>
              <w:t>enabled</w:t>
            </w:r>
            <w:r w:rsidR="00E92072" w:rsidRPr="00FA0D37">
              <w:rPr>
                <w:rFonts w:cs="Arial"/>
                <w:bCs/>
                <w:iCs/>
                <w:lang w:eastAsia="en-GB"/>
              </w:rPr>
              <w:t xml:space="preserve">), it means that pre-emption is enabled and </w:t>
            </w:r>
            <w:r w:rsidRPr="00FA0D37">
              <w:rPr>
                <w:rFonts w:cs="Arial"/>
                <w:bCs/>
                <w:iCs/>
                <w:lang w:eastAsia="en-GB"/>
              </w:rPr>
              <w:t xml:space="preserve">a priority level p_preemption </w:t>
            </w:r>
            <w:r w:rsidR="00E92072" w:rsidRPr="00FA0D37">
              <w:rPr>
                <w:rFonts w:cs="Arial"/>
                <w:bCs/>
                <w:iCs/>
                <w:lang w:eastAsia="en-GB"/>
              </w:rPr>
              <w:t>is</w:t>
            </w:r>
            <w:r w:rsidRPr="00FA0D37">
              <w:rPr>
                <w:rFonts w:cs="Arial"/>
                <w:bCs/>
                <w:iCs/>
                <w:lang w:eastAsia="en-GB"/>
              </w:rPr>
              <w:t xml:space="preserve"> configured. If</w:t>
            </w:r>
            <w:r w:rsidR="00E92072" w:rsidRPr="00FA0D37">
              <w:rPr>
                <w:rFonts w:cs="Arial"/>
                <w:bCs/>
                <w:iCs/>
                <w:lang w:eastAsia="en-GB"/>
              </w:rPr>
              <w:t xml:space="preserve"> the field is present and the value is </w:t>
            </w:r>
            <w:r w:rsidR="00E92072" w:rsidRPr="00FA0D37">
              <w:rPr>
                <w:rFonts w:cs="Arial"/>
                <w:bCs/>
                <w:i/>
                <w:iCs/>
                <w:lang w:eastAsia="en-GB"/>
              </w:rPr>
              <w:t>enabled</w:t>
            </w:r>
            <w:r w:rsidR="00E92072" w:rsidRPr="00FA0D37">
              <w:rPr>
                <w:rFonts w:cs="Arial"/>
                <w:bCs/>
                <w:iCs/>
                <w:lang w:eastAsia="en-GB"/>
              </w:rPr>
              <w:t>,</w:t>
            </w:r>
            <w:r w:rsidRPr="00FA0D37">
              <w:rPr>
                <w:rFonts w:cs="Arial"/>
                <w:bCs/>
                <w:iCs/>
                <w:lang w:eastAsia="en-GB"/>
              </w:rPr>
              <w:t xml:space="preserve"> the pre-emption is enabled </w:t>
            </w:r>
            <w:r w:rsidR="00E92072" w:rsidRPr="00FA0D37">
              <w:rPr>
                <w:rFonts w:cs="Arial"/>
                <w:bCs/>
                <w:iCs/>
                <w:lang w:eastAsia="en-GB"/>
              </w:rPr>
              <w:t>(</w:t>
            </w:r>
            <w:r w:rsidRPr="00FA0D37">
              <w:rPr>
                <w:rFonts w:cs="Arial"/>
                <w:bCs/>
                <w:iCs/>
                <w:lang w:eastAsia="en-GB"/>
              </w:rPr>
              <w:t>but p_preemption is not configured</w:t>
            </w:r>
            <w:r w:rsidR="00E92072" w:rsidRPr="00FA0D37">
              <w:rPr>
                <w:rFonts w:cs="Arial"/>
                <w:bCs/>
                <w:iCs/>
                <w:lang w:eastAsia="en-GB"/>
              </w:rPr>
              <w:t>) and</w:t>
            </w:r>
            <w:r w:rsidRPr="00FA0D37">
              <w:rPr>
                <w:rFonts w:cs="Arial"/>
                <w:bCs/>
                <w:iCs/>
                <w:lang w:eastAsia="en-GB"/>
              </w:rPr>
              <w:t xml:space="preserve"> pre-emption is applicable to all levels.</w:t>
            </w:r>
          </w:p>
        </w:tc>
      </w:tr>
      <w:tr w:rsidR="005C7FF4" w:rsidRPr="00FA0D37" w:rsidDel="008770D5" w14:paraId="060946B3" w14:textId="77777777" w:rsidTr="00964CC4">
        <w:tc>
          <w:tcPr>
            <w:tcW w:w="14173" w:type="dxa"/>
            <w:tcBorders>
              <w:top w:val="single" w:sz="4" w:space="0" w:color="auto"/>
              <w:left w:val="single" w:sz="4" w:space="0" w:color="auto"/>
              <w:bottom w:val="single" w:sz="4" w:space="0" w:color="auto"/>
              <w:right w:val="single" w:sz="4" w:space="0" w:color="auto"/>
            </w:tcBorders>
          </w:tcPr>
          <w:p w14:paraId="2D708563" w14:textId="77777777" w:rsidR="00394471" w:rsidRPr="00FA0D37" w:rsidRDefault="00394471" w:rsidP="00964CC4">
            <w:pPr>
              <w:pStyle w:val="TAL"/>
              <w:rPr>
                <w:b/>
                <w:bCs/>
                <w:i/>
                <w:iCs/>
                <w:lang w:eastAsia="en-GB"/>
              </w:rPr>
            </w:pPr>
            <w:r w:rsidRPr="00FA0D37">
              <w:rPr>
                <w:b/>
                <w:bCs/>
                <w:i/>
                <w:iCs/>
                <w:lang w:eastAsia="en-GB"/>
              </w:rPr>
              <w:t>sl-PriorityThreshold-UL-URLLC</w:t>
            </w:r>
          </w:p>
          <w:p w14:paraId="50B9E169" w14:textId="22B9B0FB" w:rsidR="00394471" w:rsidRPr="00FA0D37" w:rsidDel="008770D5" w:rsidRDefault="00394471" w:rsidP="00964CC4">
            <w:pPr>
              <w:pStyle w:val="TAL"/>
              <w:rPr>
                <w:b/>
                <w:bCs/>
                <w:i/>
                <w:iCs/>
                <w:lang w:eastAsia="en-GB"/>
              </w:rPr>
            </w:pPr>
            <w:r w:rsidRPr="00FA0D37">
              <w:rPr>
                <w:rFonts w:cs="Arial"/>
                <w:bCs/>
                <w:iCs/>
                <w:lang w:eastAsia="en-GB"/>
              </w:rPr>
              <w:t xml:space="preserve">Indicates the threshold used to determine whether NR sidelink transmission </w:t>
            </w:r>
            <w:r w:rsidR="008D2002" w:rsidRPr="00FA0D37">
              <w:rPr>
                <w:rFonts w:cs="Arial"/>
                <w:bCs/>
                <w:iCs/>
                <w:lang w:eastAsia="en-GB"/>
              </w:rPr>
              <w:t xml:space="preserve">is prioritized over uplink transmission of priority index 1 as specified in TS 38.213[13], clause 16.2.4.3, </w:t>
            </w:r>
            <w:r w:rsidRPr="00FA0D37">
              <w:rPr>
                <w:rFonts w:cs="Arial"/>
                <w:bCs/>
                <w:iCs/>
                <w:lang w:eastAsia="en-GB"/>
              </w:rPr>
              <w:t xml:space="preserve">or </w:t>
            </w:r>
            <w:r w:rsidR="008D2002" w:rsidRPr="00FA0D37">
              <w:rPr>
                <w:rFonts w:cs="Arial"/>
                <w:bCs/>
                <w:iCs/>
                <w:lang w:eastAsia="en-GB"/>
              </w:rPr>
              <w:t xml:space="preserve">whether </w:t>
            </w:r>
            <w:r w:rsidRPr="00FA0D37">
              <w:rPr>
                <w:rFonts w:cs="Arial"/>
                <w:bCs/>
                <w:iCs/>
                <w:lang w:eastAsia="en-GB"/>
              </w:rPr>
              <w:t xml:space="preserve">PUCCH transmission carrying SL HARQ is prioritized over </w:t>
            </w:r>
            <w:r w:rsidR="008D2002" w:rsidRPr="00FA0D37">
              <w:rPr>
                <w:rFonts w:cs="Arial"/>
                <w:bCs/>
                <w:iCs/>
                <w:lang w:eastAsia="en-GB"/>
              </w:rPr>
              <w:t xml:space="preserve">PUCCH </w:t>
            </w:r>
            <w:r w:rsidRPr="00FA0D37">
              <w:rPr>
                <w:rFonts w:cs="Arial"/>
                <w:bCs/>
                <w:iCs/>
                <w:lang w:eastAsia="en-GB"/>
              </w:rPr>
              <w:t xml:space="preserve">transmission </w:t>
            </w:r>
            <w:r w:rsidR="008D2002" w:rsidRPr="00FA0D37">
              <w:rPr>
                <w:rFonts w:cs="Arial"/>
                <w:bCs/>
                <w:iCs/>
                <w:lang w:eastAsia="en-GB"/>
              </w:rPr>
              <w:t xml:space="preserve">carrying UCI </w:t>
            </w:r>
            <w:r w:rsidRPr="00FA0D37">
              <w:rPr>
                <w:rFonts w:cs="Arial"/>
                <w:bCs/>
                <w:iCs/>
                <w:lang w:eastAsia="en-GB"/>
              </w:rPr>
              <w:t>of priority index 1 if they overlap in time</w:t>
            </w:r>
            <w:r w:rsidR="008D2002" w:rsidRPr="00FA0D37">
              <w:rPr>
                <w:rFonts w:cs="Arial"/>
                <w:bCs/>
                <w:iCs/>
                <w:lang w:eastAsia="en-GB"/>
              </w:rPr>
              <w:t xml:space="preserve"> as specified in TS 38.213</w:t>
            </w:r>
            <w:r w:rsidR="001C7BC7" w:rsidRPr="00FA0D37">
              <w:rPr>
                <w:rFonts w:cs="Arial"/>
                <w:bCs/>
                <w:iCs/>
                <w:lang w:eastAsia="en-GB"/>
              </w:rPr>
              <w:t xml:space="preserve"> </w:t>
            </w:r>
            <w:r w:rsidR="008D2002" w:rsidRPr="00FA0D37">
              <w:rPr>
                <w:rFonts w:cs="Arial"/>
                <w:bCs/>
                <w:iCs/>
                <w:lang w:eastAsia="en-GB"/>
              </w:rPr>
              <w:t>[13], clause 9.2.5.0</w:t>
            </w:r>
            <w:r w:rsidRPr="00FA0D37">
              <w:rPr>
                <w:rFonts w:cs="Arial"/>
                <w:bCs/>
                <w:iCs/>
                <w:lang w:eastAsia="en-GB"/>
              </w:rPr>
              <w:t>.</w:t>
            </w:r>
          </w:p>
        </w:tc>
      </w:tr>
      <w:tr w:rsidR="005C7FF4" w:rsidRPr="00FA0D37" w:rsidDel="008770D5" w14:paraId="56015944" w14:textId="77777777" w:rsidTr="00964CC4">
        <w:tc>
          <w:tcPr>
            <w:tcW w:w="14173" w:type="dxa"/>
            <w:tcBorders>
              <w:top w:val="single" w:sz="4" w:space="0" w:color="auto"/>
              <w:left w:val="single" w:sz="4" w:space="0" w:color="auto"/>
              <w:bottom w:val="single" w:sz="4" w:space="0" w:color="auto"/>
              <w:right w:val="single" w:sz="4" w:space="0" w:color="auto"/>
            </w:tcBorders>
          </w:tcPr>
          <w:p w14:paraId="2CE9F46E" w14:textId="77777777" w:rsidR="00394471" w:rsidRPr="00FA0D37" w:rsidRDefault="00394471" w:rsidP="00964CC4">
            <w:pPr>
              <w:pStyle w:val="TAL"/>
              <w:rPr>
                <w:b/>
                <w:bCs/>
                <w:i/>
                <w:iCs/>
                <w:lang w:eastAsia="en-GB"/>
              </w:rPr>
            </w:pPr>
            <w:r w:rsidRPr="00FA0D37">
              <w:rPr>
                <w:b/>
                <w:bCs/>
                <w:i/>
                <w:iCs/>
                <w:lang w:eastAsia="en-GB"/>
              </w:rPr>
              <w:t>sl-PriorityThreshold</w:t>
            </w:r>
          </w:p>
          <w:p w14:paraId="2652EAAB" w14:textId="48C75112" w:rsidR="00394471" w:rsidRPr="00FA0D37" w:rsidDel="008770D5" w:rsidRDefault="00394471" w:rsidP="00964CC4">
            <w:pPr>
              <w:pStyle w:val="TAL"/>
              <w:rPr>
                <w:b/>
                <w:bCs/>
                <w:i/>
                <w:iCs/>
                <w:lang w:eastAsia="en-GB"/>
              </w:rPr>
            </w:pPr>
            <w:r w:rsidRPr="00FA0D37">
              <w:rPr>
                <w:rFonts w:cs="Arial"/>
                <w:bCs/>
                <w:iCs/>
                <w:lang w:eastAsia="en-GB"/>
              </w:rPr>
              <w:t xml:space="preserve">Indicates the threshold used to determine whether NR sidelink transmission </w:t>
            </w:r>
            <w:r w:rsidR="008D2002" w:rsidRPr="00FA0D37">
              <w:rPr>
                <w:rFonts w:cs="Arial"/>
                <w:bCs/>
                <w:iCs/>
                <w:lang w:eastAsia="en-GB"/>
              </w:rPr>
              <w:t xml:space="preserve">is prioritized over uplink transmission of priority index 0 as specified in TS 38.213[13], clause 16.2.4.3, </w:t>
            </w:r>
            <w:r w:rsidRPr="00FA0D37">
              <w:rPr>
                <w:rFonts w:cs="Arial"/>
                <w:bCs/>
                <w:iCs/>
                <w:lang w:eastAsia="en-GB"/>
              </w:rPr>
              <w:t xml:space="preserve">or </w:t>
            </w:r>
            <w:r w:rsidR="008D2002" w:rsidRPr="00FA0D37">
              <w:rPr>
                <w:rFonts w:cs="Arial"/>
                <w:bCs/>
                <w:iCs/>
                <w:lang w:eastAsia="en-GB"/>
              </w:rPr>
              <w:t xml:space="preserve">whether </w:t>
            </w:r>
            <w:r w:rsidRPr="00FA0D37">
              <w:rPr>
                <w:rFonts w:cs="Arial"/>
                <w:bCs/>
                <w:iCs/>
                <w:lang w:eastAsia="en-GB"/>
              </w:rPr>
              <w:t xml:space="preserve">PUCCH transmission carrying SL HARQ is prioritized over </w:t>
            </w:r>
            <w:r w:rsidR="008D2002" w:rsidRPr="00FA0D37">
              <w:rPr>
                <w:rFonts w:cs="Arial"/>
                <w:bCs/>
                <w:iCs/>
                <w:lang w:eastAsia="en-GB"/>
              </w:rPr>
              <w:t xml:space="preserve">PUCCH </w:t>
            </w:r>
            <w:r w:rsidRPr="00FA0D37">
              <w:rPr>
                <w:rFonts w:cs="Arial"/>
                <w:bCs/>
                <w:iCs/>
                <w:lang w:eastAsia="en-GB"/>
              </w:rPr>
              <w:t xml:space="preserve">transmission </w:t>
            </w:r>
            <w:r w:rsidR="008D2002" w:rsidRPr="00FA0D37">
              <w:rPr>
                <w:rFonts w:cs="Arial"/>
                <w:bCs/>
                <w:iCs/>
                <w:lang w:eastAsia="en-GB"/>
              </w:rPr>
              <w:t xml:space="preserve">carrying UCI </w:t>
            </w:r>
            <w:r w:rsidRPr="00FA0D37">
              <w:rPr>
                <w:rFonts w:cs="Arial"/>
                <w:bCs/>
                <w:iCs/>
                <w:lang w:eastAsia="en-GB"/>
              </w:rPr>
              <w:t>of priority index 0 if they overlap in time</w:t>
            </w:r>
            <w:r w:rsidR="008D2002" w:rsidRPr="00FA0D37">
              <w:rPr>
                <w:rFonts w:cs="Arial"/>
                <w:bCs/>
                <w:iCs/>
                <w:lang w:eastAsia="en-GB"/>
              </w:rPr>
              <w:t xml:space="preserve"> as specified in TS 38.213</w:t>
            </w:r>
            <w:r w:rsidR="001C7BC7" w:rsidRPr="00FA0D37">
              <w:rPr>
                <w:rFonts w:cs="Arial"/>
                <w:bCs/>
                <w:iCs/>
                <w:lang w:eastAsia="en-GB"/>
              </w:rPr>
              <w:t xml:space="preserve"> </w:t>
            </w:r>
            <w:r w:rsidR="008D2002" w:rsidRPr="00FA0D37">
              <w:rPr>
                <w:rFonts w:cs="Arial"/>
                <w:bCs/>
                <w:iCs/>
                <w:lang w:eastAsia="en-GB"/>
              </w:rPr>
              <w:t>[13], clause 9.2.5.0</w:t>
            </w:r>
            <w:r w:rsidRPr="00FA0D37">
              <w:rPr>
                <w:rFonts w:cs="Arial"/>
                <w:bCs/>
                <w:iCs/>
                <w:lang w:eastAsia="en-GB"/>
              </w:rPr>
              <w:t>.</w:t>
            </w:r>
          </w:p>
        </w:tc>
      </w:tr>
      <w:tr w:rsidR="005C7FF4" w:rsidRPr="00FA0D37" w:rsidDel="008770D5" w14:paraId="69C9C986" w14:textId="77777777" w:rsidTr="00964CC4">
        <w:tc>
          <w:tcPr>
            <w:tcW w:w="14173" w:type="dxa"/>
            <w:tcBorders>
              <w:top w:val="single" w:sz="4" w:space="0" w:color="auto"/>
              <w:left w:val="single" w:sz="4" w:space="0" w:color="auto"/>
              <w:bottom w:val="single" w:sz="4" w:space="0" w:color="auto"/>
              <w:right w:val="single" w:sz="4" w:space="0" w:color="auto"/>
            </w:tcBorders>
          </w:tcPr>
          <w:p w14:paraId="0CCA79EC" w14:textId="77777777" w:rsidR="00394471" w:rsidRPr="00FA0D37" w:rsidRDefault="00394471" w:rsidP="00964CC4">
            <w:pPr>
              <w:pStyle w:val="TAL"/>
              <w:rPr>
                <w:b/>
                <w:bCs/>
                <w:i/>
                <w:iCs/>
                <w:lang w:eastAsia="en-GB"/>
              </w:rPr>
            </w:pPr>
            <w:r w:rsidRPr="00FA0D37">
              <w:rPr>
                <w:b/>
                <w:bCs/>
                <w:i/>
                <w:iCs/>
                <w:lang w:eastAsia="en-GB"/>
              </w:rPr>
              <w:t>sl-RB-Number</w:t>
            </w:r>
          </w:p>
          <w:p w14:paraId="4EB3FBA5" w14:textId="77777777" w:rsidR="00394471" w:rsidRPr="00FA0D37" w:rsidRDefault="00394471" w:rsidP="00964CC4">
            <w:pPr>
              <w:pStyle w:val="TAL"/>
              <w:rPr>
                <w:lang w:eastAsia="en-GB"/>
              </w:rPr>
            </w:pPr>
            <w:r w:rsidRPr="00FA0D37">
              <w:rPr>
                <w:lang w:eastAsia="en-GB"/>
              </w:rPr>
              <w:t>Indicates the number of PRBs in the corresponding resource pool, which consists of contiguous PRBs only. The remaining RB cannot be used (See TS 38.214[19], clause 8).</w:t>
            </w:r>
          </w:p>
        </w:tc>
      </w:tr>
      <w:tr w:rsidR="005C7FF4" w:rsidRPr="00FA0D37" w14:paraId="1AF67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44F8AF" w14:textId="77777777" w:rsidR="00394471" w:rsidRPr="00FA0D37" w:rsidRDefault="00394471" w:rsidP="00964CC4">
            <w:pPr>
              <w:pStyle w:val="TAL"/>
              <w:rPr>
                <w:b/>
                <w:bCs/>
                <w:i/>
                <w:iCs/>
                <w:lang w:eastAsia="en-GB"/>
              </w:rPr>
            </w:pPr>
            <w:r w:rsidRPr="00FA0D37">
              <w:rPr>
                <w:b/>
                <w:bCs/>
                <w:i/>
                <w:iCs/>
                <w:lang w:eastAsia="en-GB"/>
              </w:rPr>
              <w:t>sl-StartRB-Subchannel</w:t>
            </w:r>
          </w:p>
          <w:p w14:paraId="5A055E10" w14:textId="77777777" w:rsidR="00394471" w:rsidRPr="00FA0D37" w:rsidRDefault="00394471" w:rsidP="00964CC4">
            <w:pPr>
              <w:pStyle w:val="TAL"/>
              <w:rPr>
                <w:lang w:eastAsia="en-GB"/>
              </w:rPr>
            </w:pPr>
            <w:r w:rsidRPr="00FA0D37">
              <w:rPr>
                <w:bCs/>
                <w:kern w:val="2"/>
                <w:lang w:eastAsia="en-GB"/>
              </w:rPr>
              <w:t>Indicates the lowest RB index of the subchannel with the lowest index in the resource pool</w:t>
            </w:r>
            <w:r w:rsidRPr="00FA0D37">
              <w:t xml:space="preserve"> </w:t>
            </w:r>
            <w:r w:rsidRPr="00FA0D37">
              <w:rPr>
                <w:rFonts w:cs="Arial"/>
                <w:bCs/>
                <w:kern w:val="2"/>
                <w:lang w:eastAsia="en-GB"/>
              </w:rPr>
              <w:t>with respect to the lowest RB index of a SL BWP</w:t>
            </w:r>
            <w:r w:rsidRPr="00FA0D37">
              <w:rPr>
                <w:bCs/>
                <w:kern w:val="2"/>
                <w:lang w:eastAsia="en-GB"/>
              </w:rPr>
              <w:t>.</w:t>
            </w:r>
          </w:p>
        </w:tc>
      </w:tr>
      <w:tr w:rsidR="005C7FF4" w:rsidRPr="00FA0D37" w14:paraId="49496B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F9630E" w14:textId="77777777" w:rsidR="00394471" w:rsidRPr="00FA0D37" w:rsidRDefault="00394471" w:rsidP="00964CC4">
            <w:pPr>
              <w:pStyle w:val="TAL"/>
              <w:rPr>
                <w:b/>
                <w:bCs/>
                <w:i/>
                <w:iCs/>
                <w:lang w:eastAsia="en-GB"/>
              </w:rPr>
            </w:pPr>
            <w:r w:rsidRPr="00FA0D37">
              <w:rPr>
                <w:b/>
                <w:bCs/>
                <w:i/>
                <w:iCs/>
                <w:lang w:eastAsia="en-GB"/>
              </w:rPr>
              <w:t>sl-SubchannelSize</w:t>
            </w:r>
          </w:p>
          <w:p w14:paraId="065A17A3" w14:textId="77777777" w:rsidR="00394471" w:rsidRPr="00FA0D37" w:rsidRDefault="00394471" w:rsidP="00964CC4">
            <w:pPr>
              <w:pStyle w:val="TAL"/>
              <w:rPr>
                <w:lang w:eastAsia="en-GB"/>
              </w:rPr>
            </w:pPr>
            <w:r w:rsidRPr="00FA0D37">
              <w:rPr>
                <w:bCs/>
                <w:kern w:val="2"/>
                <w:lang w:eastAsia="en-GB"/>
              </w:rPr>
              <w:t>Indicates the minimum granularity in frequency domain for the sensing for PSSCH resource selection in the unit of PRB.</w:t>
            </w:r>
          </w:p>
        </w:tc>
      </w:tr>
      <w:tr w:rsidR="005C7FF4" w:rsidRPr="00FA0D37" w14:paraId="37882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BF6222" w14:textId="77777777" w:rsidR="00394471" w:rsidRPr="00FA0D37" w:rsidRDefault="00394471" w:rsidP="00964CC4">
            <w:pPr>
              <w:pStyle w:val="TAL"/>
              <w:rPr>
                <w:b/>
                <w:bCs/>
                <w:i/>
                <w:iCs/>
                <w:lang w:eastAsia="en-GB"/>
              </w:rPr>
            </w:pPr>
            <w:r w:rsidRPr="00FA0D37">
              <w:rPr>
                <w:b/>
                <w:bCs/>
                <w:i/>
                <w:iCs/>
                <w:lang w:eastAsia="en-GB"/>
              </w:rPr>
              <w:t>sl-SyncAllowed</w:t>
            </w:r>
          </w:p>
          <w:p w14:paraId="69247ACE" w14:textId="77777777" w:rsidR="00394471" w:rsidRPr="00FA0D37" w:rsidRDefault="00394471" w:rsidP="00964CC4">
            <w:pPr>
              <w:pStyle w:val="TAL"/>
              <w:rPr>
                <w:lang w:eastAsia="sv-SE"/>
              </w:rPr>
            </w:pPr>
            <w:r w:rsidRPr="00FA0D37">
              <w:rPr>
                <w:bCs/>
                <w:kern w:val="2"/>
                <w:lang w:eastAsia="en-GB"/>
              </w:rPr>
              <w:t>Indicates the allowed synchronization reference(s) which is (are) allowed to use the configured resource pool.</w:t>
            </w:r>
          </w:p>
        </w:tc>
      </w:tr>
      <w:tr w:rsidR="005C7FF4" w:rsidRPr="00FA0D37" w14:paraId="606F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5D5B6" w14:textId="77777777" w:rsidR="00394471" w:rsidRPr="00FA0D37" w:rsidRDefault="00394471" w:rsidP="00964CC4">
            <w:pPr>
              <w:pStyle w:val="TAL"/>
              <w:rPr>
                <w:b/>
                <w:bCs/>
                <w:i/>
                <w:iCs/>
                <w:lang w:eastAsia="en-GB"/>
              </w:rPr>
            </w:pPr>
            <w:r w:rsidRPr="00FA0D37">
              <w:rPr>
                <w:b/>
                <w:bCs/>
                <w:i/>
                <w:iCs/>
                <w:lang w:eastAsia="en-GB"/>
              </w:rPr>
              <w:t>sl-SyncConfigIndex</w:t>
            </w:r>
          </w:p>
          <w:p w14:paraId="4CA49184" w14:textId="77777777" w:rsidR="00394471" w:rsidRPr="00FA0D37" w:rsidRDefault="00394471" w:rsidP="00964CC4">
            <w:pPr>
              <w:pStyle w:val="TAL"/>
              <w:rPr>
                <w:lang w:eastAsia="en-GB"/>
              </w:rPr>
            </w:pPr>
            <w:r w:rsidRPr="00FA0D37">
              <w:rPr>
                <w:bCs/>
                <w:kern w:val="2"/>
                <w:lang w:eastAsia="en-GB"/>
              </w:rPr>
              <w:t xml:space="preserve">Indicates the synchronisation configuration that is associated with a reception pool, by means of an index to the corresponding entry </w:t>
            </w:r>
            <w:r w:rsidRPr="00FA0D37">
              <w:rPr>
                <w:bCs/>
                <w:i/>
                <w:iCs/>
                <w:kern w:val="2"/>
                <w:lang w:eastAsia="en-GB"/>
              </w:rPr>
              <w:t>SL-SyncConfigList</w:t>
            </w:r>
            <w:r w:rsidRPr="00FA0D37">
              <w:rPr>
                <w:bCs/>
                <w:kern w:val="2"/>
                <w:lang w:eastAsia="en-GB"/>
              </w:rPr>
              <w:t xml:space="preserve"> of in </w:t>
            </w:r>
            <w:r w:rsidRPr="00FA0D37">
              <w:rPr>
                <w:bCs/>
                <w:i/>
                <w:iCs/>
                <w:kern w:val="2"/>
                <w:lang w:eastAsia="en-GB"/>
              </w:rPr>
              <w:t>SIB12</w:t>
            </w:r>
            <w:r w:rsidRPr="00FA0D37">
              <w:rPr>
                <w:bCs/>
                <w:kern w:val="2"/>
                <w:lang w:eastAsia="en-GB"/>
              </w:rPr>
              <w:t xml:space="preserve"> for NR sidelink communication.</w:t>
            </w:r>
          </w:p>
        </w:tc>
      </w:tr>
      <w:tr w:rsidR="005C7FF4" w:rsidRPr="00FA0D37" w14:paraId="2C7E16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C71813" w14:textId="77777777" w:rsidR="00394471" w:rsidRPr="00FA0D37" w:rsidRDefault="00394471" w:rsidP="00964CC4">
            <w:pPr>
              <w:pStyle w:val="TAL"/>
              <w:rPr>
                <w:b/>
                <w:bCs/>
                <w:i/>
                <w:iCs/>
                <w:lang w:eastAsia="en-GB"/>
              </w:rPr>
            </w:pPr>
            <w:r w:rsidRPr="00FA0D37">
              <w:rPr>
                <w:b/>
                <w:bCs/>
                <w:i/>
                <w:iCs/>
                <w:lang w:eastAsia="en-GB"/>
              </w:rPr>
              <w:t>sl-TDD-Config</w:t>
            </w:r>
            <w:r w:rsidRPr="00FA0D37">
              <w:rPr>
                <w:rFonts w:cs="Arial"/>
                <w:b/>
                <w:bCs/>
                <w:i/>
                <w:iCs/>
                <w:lang w:eastAsia="en-GB"/>
              </w:rPr>
              <w:t>uration</w:t>
            </w:r>
          </w:p>
          <w:p w14:paraId="78F36532" w14:textId="77777777" w:rsidR="00394471" w:rsidRPr="00FA0D37" w:rsidRDefault="00394471" w:rsidP="00964CC4">
            <w:pPr>
              <w:pStyle w:val="TAL"/>
              <w:rPr>
                <w:lang w:eastAsia="en-GB"/>
              </w:rPr>
            </w:pPr>
            <w:r w:rsidRPr="00FA0D37">
              <w:rPr>
                <w:bCs/>
                <w:kern w:val="2"/>
                <w:lang w:eastAsia="en-GB"/>
              </w:rPr>
              <w:t xml:space="preserve">Indicates the TDD configuration associated with the reception pool of the cell indicated by </w:t>
            </w:r>
            <w:r w:rsidRPr="00FA0D37">
              <w:rPr>
                <w:bCs/>
                <w:i/>
                <w:iCs/>
                <w:kern w:val="2"/>
                <w:lang w:eastAsia="en-GB"/>
              </w:rPr>
              <w:t>sl-SyncConfigIndex</w:t>
            </w:r>
            <w:r w:rsidRPr="00FA0D37">
              <w:rPr>
                <w:bCs/>
                <w:kern w:val="2"/>
                <w:lang w:eastAsia="en-GB"/>
              </w:rPr>
              <w:t>.</w:t>
            </w:r>
          </w:p>
        </w:tc>
      </w:tr>
      <w:tr w:rsidR="005C7FF4" w:rsidRPr="00FA0D37" w14:paraId="6B42A4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90624" w14:textId="77777777" w:rsidR="00394471" w:rsidRPr="00FA0D37" w:rsidRDefault="00394471" w:rsidP="00964CC4">
            <w:pPr>
              <w:pStyle w:val="TAL"/>
              <w:rPr>
                <w:b/>
                <w:bCs/>
                <w:i/>
                <w:iCs/>
                <w:lang w:eastAsia="en-GB"/>
              </w:rPr>
            </w:pPr>
            <w:r w:rsidRPr="00FA0D37">
              <w:rPr>
                <w:b/>
                <w:bCs/>
                <w:i/>
                <w:iCs/>
                <w:lang w:eastAsia="en-GB"/>
              </w:rPr>
              <w:t>sl-ThreshS-RSSI-CBR</w:t>
            </w:r>
          </w:p>
          <w:p w14:paraId="4CDD924E" w14:textId="77777777" w:rsidR="00394471" w:rsidRPr="00FA0D37" w:rsidRDefault="00394471" w:rsidP="00964CC4">
            <w:pPr>
              <w:pStyle w:val="TAL"/>
              <w:rPr>
                <w:lang w:eastAsia="en-GB"/>
              </w:rPr>
            </w:pPr>
            <w:r w:rsidRPr="00FA0D37">
              <w:rPr>
                <w:bCs/>
                <w:kern w:val="2"/>
                <w:lang w:eastAsia="en-GB"/>
              </w:rPr>
              <w:t>Indicates the S-RSSI threshold for determining the contribution of a sub-channel to the CBR measurement. Value 0 corresponds to -112 dBm, value 1 to -110 dBm, value n to (-112 + n*2) dBm, and so on.</w:t>
            </w:r>
          </w:p>
        </w:tc>
      </w:tr>
      <w:tr w:rsidR="005C7FF4" w:rsidRPr="00FA0D37" w14:paraId="04EEF4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3B791" w14:textId="77777777" w:rsidR="00394471" w:rsidRPr="00FA0D37" w:rsidRDefault="00394471" w:rsidP="00964CC4">
            <w:pPr>
              <w:pStyle w:val="TAL"/>
              <w:rPr>
                <w:b/>
                <w:bCs/>
                <w:i/>
                <w:iCs/>
                <w:lang w:eastAsia="en-GB"/>
              </w:rPr>
            </w:pPr>
            <w:r w:rsidRPr="00FA0D37">
              <w:rPr>
                <w:b/>
                <w:bCs/>
                <w:i/>
                <w:iCs/>
                <w:lang w:eastAsia="en-GB"/>
              </w:rPr>
              <w:lastRenderedPageBreak/>
              <w:t>sl-TimeResource</w:t>
            </w:r>
          </w:p>
          <w:p w14:paraId="67961D4D" w14:textId="77777777" w:rsidR="00394471" w:rsidRPr="00FA0D37" w:rsidRDefault="00394471" w:rsidP="00964CC4">
            <w:pPr>
              <w:pStyle w:val="TAL"/>
              <w:rPr>
                <w:lang w:eastAsia="en-GB"/>
              </w:rPr>
            </w:pPr>
            <w:r w:rsidRPr="00FA0D37">
              <w:rPr>
                <w:bCs/>
                <w:kern w:val="2"/>
                <w:lang w:eastAsia="en-GB"/>
              </w:rPr>
              <w:t>Indicates the bitmap of the resource pool, which is defined by repeating the bitmap with a periodicity during a SFN or DFN cycle.</w:t>
            </w:r>
          </w:p>
        </w:tc>
      </w:tr>
      <w:tr w:rsidR="005C7FF4" w:rsidRPr="00FA0D37" w14:paraId="6B7C31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362B44" w14:textId="77777777" w:rsidR="00394471" w:rsidRPr="00FA0D37" w:rsidRDefault="00394471" w:rsidP="00964CC4">
            <w:pPr>
              <w:pStyle w:val="TAL"/>
              <w:rPr>
                <w:b/>
                <w:bCs/>
                <w:i/>
                <w:iCs/>
                <w:lang w:eastAsia="en-GB"/>
              </w:rPr>
            </w:pPr>
            <w:r w:rsidRPr="00FA0D37">
              <w:rPr>
                <w:b/>
                <w:bCs/>
                <w:i/>
                <w:iCs/>
                <w:lang w:eastAsia="en-GB"/>
              </w:rPr>
              <w:t>sl-TimeWindowSizeCBR</w:t>
            </w:r>
          </w:p>
          <w:p w14:paraId="5F26B860" w14:textId="77777777" w:rsidR="00394471" w:rsidRPr="00FA0D37" w:rsidRDefault="00394471" w:rsidP="00964CC4">
            <w:pPr>
              <w:pStyle w:val="TAL"/>
              <w:rPr>
                <w:lang w:eastAsia="en-GB"/>
              </w:rPr>
            </w:pPr>
            <w:r w:rsidRPr="00FA0D37">
              <w:rPr>
                <w:bCs/>
                <w:kern w:val="2"/>
                <w:lang w:eastAsia="en-GB"/>
              </w:rPr>
              <w:t>Indicates the time window size for CBR measurement.</w:t>
            </w:r>
          </w:p>
        </w:tc>
      </w:tr>
      <w:tr w:rsidR="005C7FF4" w:rsidRPr="00FA0D37" w14:paraId="7C6519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86305D" w14:textId="77777777" w:rsidR="00394471" w:rsidRPr="00FA0D37" w:rsidRDefault="00394471" w:rsidP="00964CC4">
            <w:pPr>
              <w:pStyle w:val="TAL"/>
              <w:rPr>
                <w:b/>
                <w:bCs/>
                <w:i/>
                <w:iCs/>
                <w:lang w:eastAsia="en-GB"/>
              </w:rPr>
            </w:pPr>
            <w:r w:rsidRPr="00FA0D37">
              <w:rPr>
                <w:b/>
                <w:bCs/>
                <w:i/>
                <w:iCs/>
                <w:lang w:eastAsia="en-GB"/>
              </w:rPr>
              <w:t>sl-TimeWindowSizeCR</w:t>
            </w:r>
          </w:p>
          <w:p w14:paraId="34FA2B8A" w14:textId="77777777" w:rsidR="00394471" w:rsidRPr="00FA0D37" w:rsidRDefault="00394471" w:rsidP="00964CC4">
            <w:pPr>
              <w:pStyle w:val="TAL"/>
              <w:rPr>
                <w:lang w:eastAsia="en-GB"/>
              </w:rPr>
            </w:pPr>
            <w:r w:rsidRPr="00FA0D37">
              <w:rPr>
                <w:bCs/>
                <w:kern w:val="2"/>
                <w:lang w:eastAsia="en-GB"/>
              </w:rPr>
              <w:t>Indicates the time window size for CR evaluation.</w:t>
            </w:r>
          </w:p>
        </w:tc>
      </w:tr>
      <w:tr w:rsidR="005C7FF4" w:rsidRPr="00FA0D37" w14:paraId="33B17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81280E" w14:textId="77777777" w:rsidR="00394471" w:rsidRPr="00FA0D37" w:rsidRDefault="00394471" w:rsidP="00964CC4">
            <w:pPr>
              <w:pStyle w:val="TAL"/>
              <w:rPr>
                <w:b/>
                <w:bCs/>
                <w:i/>
                <w:iCs/>
                <w:lang w:eastAsia="en-GB"/>
              </w:rPr>
            </w:pPr>
            <w:r w:rsidRPr="00FA0D37">
              <w:rPr>
                <w:b/>
                <w:bCs/>
                <w:i/>
                <w:iCs/>
                <w:lang w:eastAsia="en-GB"/>
              </w:rPr>
              <w:t>sl-TxPercentageList</w:t>
            </w:r>
          </w:p>
          <w:p w14:paraId="6EEA75AD" w14:textId="08994468" w:rsidR="00394471" w:rsidRPr="00FA0D37" w:rsidRDefault="00394471" w:rsidP="00964CC4">
            <w:pPr>
              <w:pStyle w:val="TAL"/>
              <w:rPr>
                <w:lang w:eastAsia="en-GB"/>
              </w:rPr>
            </w:pPr>
            <w:r w:rsidRPr="00FA0D37">
              <w:rPr>
                <w:lang w:eastAsia="en-GB"/>
              </w:rPr>
              <w:t>Indicates the portion of candidate single-slot PSSCH resources over the to</w:t>
            </w:r>
            <w:r w:rsidR="00C813A9" w:rsidRPr="00FA0D37">
              <w:rPr>
                <w:lang w:eastAsia="en-GB"/>
              </w:rPr>
              <w:t>t</w:t>
            </w:r>
            <w:r w:rsidRPr="00FA0D37">
              <w:rPr>
                <w:lang w:eastAsia="en-GB"/>
              </w:rPr>
              <w:t>al resources. Value p20 corresponds to 20%, and so on.</w:t>
            </w:r>
          </w:p>
        </w:tc>
      </w:tr>
      <w:tr w:rsidR="00394471" w:rsidRPr="00FA0D37" w14:paraId="415D21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159C" w14:textId="77777777" w:rsidR="00394471" w:rsidRPr="00FA0D37" w:rsidRDefault="00394471" w:rsidP="00964CC4">
            <w:pPr>
              <w:pStyle w:val="TAL"/>
              <w:rPr>
                <w:b/>
                <w:bCs/>
                <w:i/>
                <w:iCs/>
                <w:lang w:eastAsia="en-GB"/>
              </w:rPr>
            </w:pPr>
            <w:r w:rsidRPr="00FA0D37">
              <w:rPr>
                <w:b/>
                <w:bCs/>
                <w:i/>
                <w:iCs/>
                <w:lang w:eastAsia="en-GB"/>
              </w:rPr>
              <w:t>sl-X-Overhead</w:t>
            </w:r>
          </w:p>
          <w:p w14:paraId="3743DC09" w14:textId="77777777" w:rsidR="00394471" w:rsidRPr="00FA0D37" w:rsidRDefault="00394471" w:rsidP="00964CC4">
            <w:pPr>
              <w:pStyle w:val="TAL"/>
              <w:rPr>
                <w:lang w:eastAsia="en-GB"/>
              </w:rPr>
            </w:pPr>
            <w:r w:rsidRPr="00FA0D37">
              <w:rPr>
                <w:lang w:eastAsia="en-GB"/>
              </w:rPr>
              <w:t xml:space="preserve">Accounts for overhead from CSI-RS, PT-RS. If the field is absent, the UE applies value </w:t>
            </w:r>
            <w:r w:rsidRPr="00FA0D37">
              <w:rPr>
                <w:i/>
                <w:lang w:eastAsia="en-GB"/>
              </w:rPr>
              <w:t>n0</w:t>
            </w:r>
            <w:r w:rsidRPr="00FA0D37">
              <w:rPr>
                <w:lang w:eastAsia="en-GB"/>
              </w:rPr>
              <w:t xml:space="preserve"> (see TS 38.214 [19], clause 5.1.3.2).</w:t>
            </w:r>
          </w:p>
        </w:tc>
      </w:tr>
    </w:tbl>
    <w:p w14:paraId="2CD582F7" w14:textId="77777777" w:rsidR="00394471" w:rsidRPr="00FA0D3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34521D3B"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60E0E95" w14:textId="77777777" w:rsidR="00394471" w:rsidRPr="00FA0D37" w:rsidRDefault="00394471" w:rsidP="00964CC4">
            <w:pPr>
              <w:pStyle w:val="TAH"/>
              <w:rPr>
                <w:lang w:eastAsia="en-GB"/>
              </w:rPr>
            </w:pPr>
            <w:r w:rsidRPr="00FA0D37">
              <w:rPr>
                <w:i/>
                <w:noProof/>
                <w:lang w:eastAsia="en-GB"/>
              </w:rPr>
              <w:t xml:space="preserve">SL-SyncAllowed </w:t>
            </w:r>
            <w:r w:rsidRPr="00FA0D37">
              <w:rPr>
                <w:noProof/>
                <w:lang w:eastAsia="en-GB"/>
              </w:rPr>
              <w:t>field descriptions</w:t>
            </w:r>
          </w:p>
        </w:tc>
      </w:tr>
      <w:tr w:rsidR="005C7FF4" w:rsidRPr="00FA0D37" w14:paraId="1D2C569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D3835A0" w14:textId="77777777" w:rsidR="00394471" w:rsidRPr="00FA0D37" w:rsidRDefault="00394471" w:rsidP="00964CC4">
            <w:pPr>
              <w:pStyle w:val="TAL"/>
              <w:rPr>
                <w:b/>
                <w:bCs/>
                <w:i/>
                <w:iCs/>
                <w:lang w:eastAsia="en-GB"/>
              </w:rPr>
            </w:pPr>
            <w:r w:rsidRPr="00FA0D37">
              <w:rPr>
                <w:b/>
                <w:bCs/>
                <w:i/>
                <w:iCs/>
                <w:lang w:eastAsia="en-GB"/>
              </w:rPr>
              <w:t>gnbEnb-Sync</w:t>
            </w:r>
          </w:p>
          <w:p w14:paraId="006E2920" w14:textId="77777777" w:rsidR="00394471" w:rsidRPr="00FA0D37" w:rsidRDefault="00394471" w:rsidP="00964CC4">
            <w:pPr>
              <w:pStyle w:val="TAL"/>
              <w:rPr>
                <w:lang w:eastAsia="en-GB"/>
              </w:rPr>
            </w:pPr>
            <w:r w:rsidRPr="00FA0D37">
              <w:rPr>
                <w:bCs/>
                <w:kern w:val="2"/>
                <w:lang w:eastAsia="en-GB"/>
              </w:rPr>
              <w:t>If configured, the (pre-) configured resources can be used if the UE is directly or indirectly synchronized to eNB or gNB (i.e., synchronized to a reference UE which is directly synchronized to eNB or gNB).</w:t>
            </w:r>
          </w:p>
        </w:tc>
      </w:tr>
      <w:tr w:rsidR="005C7FF4" w:rsidRPr="00FA0D37" w14:paraId="7FBE57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03A266" w14:textId="77777777" w:rsidR="00394471" w:rsidRPr="00FA0D37" w:rsidRDefault="00394471" w:rsidP="00964CC4">
            <w:pPr>
              <w:pStyle w:val="TAL"/>
              <w:rPr>
                <w:b/>
                <w:bCs/>
                <w:i/>
                <w:iCs/>
                <w:lang w:eastAsia="en-GB"/>
              </w:rPr>
            </w:pPr>
            <w:r w:rsidRPr="00FA0D37">
              <w:rPr>
                <w:b/>
                <w:bCs/>
                <w:i/>
                <w:iCs/>
                <w:lang w:eastAsia="en-GB"/>
              </w:rPr>
              <w:t>gnss-Sync</w:t>
            </w:r>
          </w:p>
          <w:p w14:paraId="2B79EE79" w14:textId="77777777" w:rsidR="00394471" w:rsidRPr="00FA0D37" w:rsidRDefault="00394471" w:rsidP="00964CC4">
            <w:pPr>
              <w:pStyle w:val="TAL"/>
              <w:rPr>
                <w:lang w:eastAsia="en-GB"/>
              </w:rPr>
            </w:pPr>
            <w:r w:rsidRPr="00FA0D37">
              <w:rPr>
                <w:bCs/>
                <w:kern w:val="2"/>
                <w:lang w:eastAsia="en-GB"/>
              </w:rPr>
              <w:t>If configured, the (pre-) configured resources can be used if the UE is directly or indirectly synchronized to GNSS (i.e., synchronized to a reference UE which is directly synchronized to GNSS).</w:t>
            </w:r>
          </w:p>
        </w:tc>
      </w:tr>
      <w:tr w:rsidR="00394471" w:rsidRPr="00FA0D37" w14:paraId="0082FE19"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3AFDA8" w14:textId="77777777" w:rsidR="00394471" w:rsidRPr="00FA0D37" w:rsidRDefault="00394471" w:rsidP="00964CC4">
            <w:pPr>
              <w:pStyle w:val="TAL"/>
              <w:rPr>
                <w:b/>
                <w:bCs/>
                <w:i/>
                <w:iCs/>
                <w:lang w:eastAsia="en-GB"/>
              </w:rPr>
            </w:pPr>
            <w:r w:rsidRPr="00FA0D37">
              <w:rPr>
                <w:b/>
                <w:bCs/>
                <w:i/>
                <w:iCs/>
                <w:lang w:eastAsia="en-GB"/>
              </w:rPr>
              <w:t>ue-Sync</w:t>
            </w:r>
          </w:p>
          <w:p w14:paraId="2621FA10" w14:textId="77777777" w:rsidR="00394471" w:rsidRPr="00FA0D37" w:rsidRDefault="00394471" w:rsidP="00964CC4">
            <w:pPr>
              <w:pStyle w:val="TAL"/>
              <w:rPr>
                <w:lang w:eastAsia="en-GB"/>
              </w:rPr>
            </w:pPr>
            <w:r w:rsidRPr="00FA0D37">
              <w:rPr>
                <w:bCs/>
                <w:kern w:val="2"/>
                <w:lang w:eastAsia="en-GB"/>
              </w:rPr>
              <w:t>If configured, the (pre-) configured resources can be used if the UE is synchronized to a reference UE which is not synchronized to eNB, gNB and GNSS directly or indirectly.</w:t>
            </w:r>
          </w:p>
        </w:tc>
      </w:tr>
    </w:tbl>
    <w:p w14:paraId="3C5AC718" w14:textId="77777777" w:rsidR="00394471" w:rsidRPr="00FA0D3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425E5267"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194BE8A" w14:textId="2D8F213A" w:rsidR="00394471" w:rsidRPr="00FA0D37" w:rsidRDefault="00394471" w:rsidP="00964CC4">
            <w:pPr>
              <w:pStyle w:val="TAH"/>
              <w:rPr>
                <w:b w:val="0"/>
                <w:lang w:eastAsia="en-GB"/>
              </w:rPr>
            </w:pPr>
            <w:r w:rsidRPr="00FA0D37">
              <w:rPr>
                <w:i/>
                <w:noProof/>
                <w:lang w:eastAsia="en-GB"/>
              </w:rPr>
              <w:t>SL-PSCCH</w:t>
            </w:r>
            <w:r w:rsidR="008D2002" w:rsidRPr="00FA0D37">
              <w:rPr>
                <w:i/>
                <w:noProof/>
                <w:lang w:eastAsia="en-GB"/>
              </w:rPr>
              <w:t>-Config</w:t>
            </w:r>
            <w:r w:rsidRPr="00FA0D37">
              <w:rPr>
                <w:i/>
                <w:noProof/>
                <w:lang w:eastAsia="en-GB"/>
              </w:rPr>
              <w:t xml:space="preserve"> </w:t>
            </w:r>
            <w:r w:rsidRPr="00FA0D37">
              <w:rPr>
                <w:noProof/>
                <w:lang w:eastAsia="en-GB"/>
              </w:rPr>
              <w:t>field descriptions</w:t>
            </w:r>
          </w:p>
        </w:tc>
      </w:tr>
      <w:tr w:rsidR="005C7FF4" w:rsidRPr="00FA0D37" w14:paraId="74E6447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78C21F2" w14:textId="77777777" w:rsidR="00394471" w:rsidRPr="00FA0D37" w:rsidRDefault="00394471" w:rsidP="00964CC4">
            <w:pPr>
              <w:pStyle w:val="TAL"/>
              <w:rPr>
                <w:b/>
                <w:bCs/>
                <w:i/>
                <w:iCs/>
                <w:lang w:eastAsia="en-GB"/>
              </w:rPr>
            </w:pPr>
            <w:r w:rsidRPr="00FA0D37">
              <w:rPr>
                <w:b/>
                <w:bCs/>
                <w:i/>
                <w:iCs/>
                <w:lang w:eastAsia="en-GB"/>
              </w:rPr>
              <w:t>sl-FreqResourcePSCCH</w:t>
            </w:r>
          </w:p>
          <w:p w14:paraId="15FF0EC4" w14:textId="77777777" w:rsidR="00394471" w:rsidRPr="00FA0D37" w:rsidRDefault="00394471" w:rsidP="00964CC4">
            <w:pPr>
              <w:pStyle w:val="TAL"/>
              <w:rPr>
                <w:noProof/>
                <w:lang w:eastAsia="en-GB"/>
              </w:rPr>
            </w:pPr>
            <w:r w:rsidRPr="00FA0D37">
              <w:rPr>
                <w:bCs/>
                <w:kern w:val="2"/>
                <w:lang w:eastAsia="en-GB"/>
              </w:rPr>
              <w:t>Indicates the number of PRBs for PSCCH in a resource pool where it is not greater than the number PRBs of the subchannel.</w:t>
            </w:r>
          </w:p>
        </w:tc>
      </w:tr>
      <w:tr w:rsidR="005C7FF4" w:rsidRPr="00FA0D37" w14:paraId="6579121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0DDDCE7" w14:textId="77777777" w:rsidR="00394471" w:rsidRPr="00FA0D37" w:rsidRDefault="00394471" w:rsidP="00964CC4">
            <w:pPr>
              <w:pStyle w:val="TAL"/>
              <w:rPr>
                <w:b/>
                <w:bCs/>
                <w:i/>
                <w:iCs/>
                <w:lang w:eastAsia="en-GB"/>
              </w:rPr>
            </w:pPr>
            <w:r w:rsidRPr="00FA0D37">
              <w:rPr>
                <w:b/>
                <w:bCs/>
                <w:i/>
                <w:iCs/>
                <w:lang w:eastAsia="en-GB"/>
              </w:rPr>
              <w:t>sl-DMRS-ScrambleID</w:t>
            </w:r>
          </w:p>
          <w:p w14:paraId="1A706901" w14:textId="77777777" w:rsidR="00394471" w:rsidRPr="00FA0D37" w:rsidRDefault="00394471" w:rsidP="00964CC4">
            <w:pPr>
              <w:pStyle w:val="TAL"/>
              <w:rPr>
                <w:noProof/>
                <w:lang w:eastAsia="en-GB"/>
              </w:rPr>
            </w:pPr>
            <w:r w:rsidRPr="00FA0D37">
              <w:rPr>
                <w:bCs/>
                <w:kern w:val="2"/>
                <w:lang w:eastAsia="en-GB"/>
              </w:rPr>
              <w:t>Indicates the initialization value for PSCCH DMRS scrambling.</w:t>
            </w:r>
          </w:p>
        </w:tc>
      </w:tr>
      <w:tr w:rsidR="005C7FF4" w:rsidRPr="00FA0D37" w14:paraId="4773B20F"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0B80E8A" w14:textId="77777777" w:rsidR="00394471" w:rsidRPr="00FA0D37" w:rsidRDefault="00394471" w:rsidP="00964CC4">
            <w:pPr>
              <w:pStyle w:val="TAL"/>
              <w:rPr>
                <w:b/>
                <w:bCs/>
                <w:i/>
                <w:iCs/>
                <w:lang w:eastAsia="en-GB"/>
              </w:rPr>
            </w:pPr>
            <w:r w:rsidRPr="00FA0D37">
              <w:rPr>
                <w:b/>
                <w:bCs/>
                <w:i/>
                <w:iCs/>
                <w:lang w:eastAsia="en-GB"/>
              </w:rPr>
              <w:t>sl-NumReservedBits</w:t>
            </w:r>
          </w:p>
          <w:p w14:paraId="6012AC95" w14:textId="77777777" w:rsidR="00394471" w:rsidRPr="00FA0D37" w:rsidRDefault="00394471" w:rsidP="00964CC4">
            <w:pPr>
              <w:pStyle w:val="TAL"/>
              <w:rPr>
                <w:noProof/>
                <w:lang w:eastAsia="en-GB"/>
              </w:rPr>
            </w:pPr>
            <w:r w:rsidRPr="00FA0D37">
              <w:rPr>
                <w:bCs/>
                <w:kern w:val="2"/>
                <w:lang w:eastAsia="en-GB"/>
              </w:rPr>
              <w:t>Indicates the number of reserved bits in first stage SCI.</w:t>
            </w:r>
          </w:p>
        </w:tc>
      </w:tr>
      <w:tr w:rsidR="00F747EB" w:rsidRPr="00FA0D37" w14:paraId="33D32358"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C82D2CD" w14:textId="77777777" w:rsidR="00394471" w:rsidRPr="00FA0D37" w:rsidRDefault="00394471" w:rsidP="00964CC4">
            <w:pPr>
              <w:pStyle w:val="TAL"/>
              <w:rPr>
                <w:b/>
                <w:bCs/>
                <w:i/>
                <w:iCs/>
                <w:lang w:eastAsia="en-GB"/>
              </w:rPr>
            </w:pPr>
            <w:r w:rsidRPr="00FA0D37">
              <w:rPr>
                <w:b/>
                <w:bCs/>
                <w:i/>
                <w:iCs/>
                <w:lang w:eastAsia="en-GB"/>
              </w:rPr>
              <w:t>sl-TimeResourcePSCCH</w:t>
            </w:r>
          </w:p>
          <w:p w14:paraId="01DDC4CA" w14:textId="77777777" w:rsidR="00394471" w:rsidRPr="00FA0D37" w:rsidRDefault="00394471" w:rsidP="00964CC4">
            <w:pPr>
              <w:pStyle w:val="TAL"/>
              <w:rPr>
                <w:bCs/>
                <w:noProof/>
                <w:lang w:eastAsia="en-GB"/>
              </w:rPr>
            </w:pPr>
            <w:r w:rsidRPr="00FA0D37">
              <w:rPr>
                <w:bCs/>
                <w:kern w:val="2"/>
                <w:lang w:eastAsia="en-GB"/>
              </w:rPr>
              <w:t>Indicates the number of symbols of PSCCH in a resource pool.</w:t>
            </w:r>
          </w:p>
        </w:tc>
      </w:tr>
    </w:tbl>
    <w:p w14:paraId="45FFB605" w14:textId="77777777" w:rsidR="00394471" w:rsidRPr="00FA0D3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7E43AA7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DF6C07E" w14:textId="23062F4C" w:rsidR="00394471" w:rsidRPr="00FA0D37" w:rsidRDefault="00394471" w:rsidP="00964CC4">
            <w:pPr>
              <w:pStyle w:val="TAH"/>
              <w:rPr>
                <w:lang w:eastAsia="en-GB"/>
              </w:rPr>
            </w:pPr>
            <w:r w:rsidRPr="00FA0D37">
              <w:rPr>
                <w:i/>
                <w:noProof/>
                <w:lang w:eastAsia="en-GB"/>
              </w:rPr>
              <w:lastRenderedPageBreak/>
              <w:t>SL-PSSCH</w:t>
            </w:r>
            <w:r w:rsidR="008D2002" w:rsidRPr="00FA0D37">
              <w:rPr>
                <w:i/>
                <w:noProof/>
                <w:lang w:eastAsia="en-GB"/>
              </w:rPr>
              <w:t>-Config</w:t>
            </w:r>
            <w:r w:rsidRPr="00FA0D37">
              <w:rPr>
                <w:i/>
                <w:noProof/>
                <w:lang w:eastAsia="en-GB"/>
              </w:rPr>
              <w:t xml:space="preserve"> </w:t>
            </w:r>
            <w:r w:rsidRPr="00FA0D37">
              <w:rPr>
                <w:noProof/>
                <w:lang w:eastAsia="en-GB"/>
              </w:rPr>
              <w:t>field descriptions</w:t>
            </w:r>
          </w:p>
        </w:tc>
      </w:tr>
      <w:tr w:rsidR="005C7FF4" w:rsidRPr="00FA0D37" w14:paraId="51CAFC4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4EE96E2" w14:textId="77777777" w:rsidR="00394471" w:rsidRPr="00FA0D37" w:rsidRDefault="00394471" w:rsidP="00964CC4">
            <w:pPr>
              <w:pStyle w:val="TAL"/>
              <w:rPr>
                <w:b/>
                <w:bCs/>
                <w:i/>
                <w:iCs/>
                <w:lang w:eastAsia="en-GB"/>
              </w:rPr>
            </w:pPr>
            <w:r w:rsidRPr="00FA0D37">
              <w:rPr>
                <w:b/>
                <w:bCs/>
                <w:i/>
                <w:iCs/>
                <w:lang w:eastAsia="en-GB"/>
              </w:rPr>
              <w:t>sl-BetaOffsets2ndSCI</w:t>
            </w:r>
          </w:p>
          <w:p w14:paraId="501F09E2" w14:textId="3DA4BDFD" w:rsidR="00394471" w:rsidRPr="00FA0D37" w:rsidRDefault="00394471" w:rsidP="00964CC4">
            <w:pPr>
              <w:pStyle w:val="TAL"/>
              <w:rPr>
                <w:noProof/>
                <w:lang w:eastAsia="en-GB"/>
              </w:rPr>
            </w:pPr>
            <w:r w:rsidRPr="00FA0D37">
              <w:rPr>
                <w:bCs/>
                <w:kern w:val="2"/>
                <w:lang w:eastAsia="en-GB"/>
              </w:rPr>
              <w:t>Indicates candidates of beta-offset values to determine the number of coded modulation symbols for second stage SCI.</w:t>
            </w:r>
            <w:r w:rsidRPr="00FA0D37">
              <w:t xml:space="preserve"> </w:t>
            </w:r>
            <w:r w:rsidRPr="00FA0D37">
              <w:rPr>
                <w:rFonts w:cs="Arial"/>
                <w:bCs/>
                <w:kern w:val="2"/>
                <w:lang w:eastAsia="en-GB"/>
              </w:rPr>
              <w:t>The value indicates the index of Table 9.3-2 of TS 38.213</w:t>
            </w:r>
            <w:r w:rsidR="008D2002" w:rsidRPr="00FA0D37">
              <w:rPr>
                <w:rFonts w:cs="Arial"/>
                <w:bCs/>
                <w:kern w:val="2"/>
                <w:lang w:eastAsia="en-GB"/>
              </w:rPr>
              <w:t xml:space="preserve"> [13].</w:t>
            </w:r>
          </w:p>
        </w:tc>
      </w:tr>
      <w:tr w:rsidR="005C7FF4" w:rsidRPr="00FA0D37" w14:paraId="2DB4A27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3C9C62" w14:textId="77777777" w:rsidR="00394471" w:rsidRPr="00FA0D37" w:rsidRDefault="00394471" w:rsidP="00964CC4">
            <w:pPr>
              <w:pStyle w:val="TAL"/>
              <w:rPr>
                <w:b/>
                <w:bCs/>
                <w:i/>
                <w:iCs/>
                <w:lang w:eastAsia="en-GB"/>
              </w:rPr>
            </w:pPr>
            <w:r w:rsidRPr="00FA0D37">
              <w:rPr>
                <w:b/>
                <w:bCs/>
                <w:i/>
                <w:iCs/>
                <w:lang w:eastAsia="en-GB"/>
              </w:rPr>
              <w:t>sl-PSSCH-DMRS-TimePattern</w:t>
            </w:r>
            <w:r w:rsidRPr="00FA0D37">
              <w:rPr>
                <w:rFonts w:cs="Arial"/>
                <w:b/>
                <w:bCs/>
                <w:i/>
                <w:iCs/>
                <w:lang w:eastAsia="en-GB"/>
              </w:rPr>
              <w:t>List</w:t>
            </w:r>
          </w:p>
          <w:p w14:paraId="77485A14" w14:textId="77777777" w:rsidR="00394471" w:rsidRPr="00FA0D37" w:rsidRDefault="00394471" w:rsidP="00964CC4">
            <w:pPr>
              <w:pStyle w:val="TAL"/>
              <w:rPr>
                <w:bCs/>
                <w:noProof/>
                <w:lang w:eastAsia="en-GB"/>
              </w:rPr>
            </w:pPr>
            <w:r w:rsidRPr="00FA0D37">
              <w:rPr>
                <w:bCs/>
                <w:kern w:val="2"/>
                <w:lang w:eastAsia="en-GB"/>
              </w:rPr>
              <w:t>Indicates the set of PSSCH DMRS time domain patterns in terms of PSSCH DMRS symbols in a slot that can be used in the resource pool.</w:t>
            </w:r>
          </w:p>
        </w:tc>
      </w:tr>
      <w:tr w:rsidR="00394471" w:rsidRPr="00FA0D37" w14:paraId="25EA344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CA3436" w14:textId="77777777" w:rsidR="00394471" w:rsidRPr="00FA0D37" w:rsidRDefault="00394471" w:rsidP="00964CC4">
            <w:pPr>
              <w:pStyle w:val="TAL"/>
              <w:rPr>
                <w:b/>
                <w:bCs/>
                <w:i/>
                <w:iCs/>
                <w:lang w:eastAsia="en-GB"/>
              </w:rPr>
            </w:pPr>
            <w:r w:rsidRPr="00FA0D37">
              <w:rPr>
                <w:b/>
                <w:bCs/>
                <w:i/>
                <w:iCs/>
                <w:lang w:eastAsia="en-GB"/>
              </w:rPr>
              <w:t>sl-Scaling</w:t>
            </w:r>
          </w:p>
          <w:p w14:paraId="3941A1D5" w14:textId="77777777" w:rsidR="00394471" w:rsidRPr="00FA0D37" w:rsidRDefault="00394471" w:rsidP="00964CC4">
            <w:pPr>
              <w:pStyle w:val="TAL"/>
              <w:rPr>
                <w:lang w:eastAsia="en-GB"/>
              </w:rPr>
            </w:pPr>
            <w:r w:rsidRPr="00FA0D37">
              <w:rPr>
                <w:bCs/>
                <w:kern w:val="2"/>
                <w:lang w:eastAsia="en-GB"/>
              </w:rPr>
              <w:t xml:space="preserve">Indicates a scaling factor to limit the number of resource elements assigned to the second stage SCI on PSSCH. Value </w:t>
            </w:r>
            <w:r w:rsidRPr="00FA0D37">
              <w:rPr>
                <w:bCs/>
                <w:i/>
                <w:iCs/>
                <w:kern w:val="2"/>
                <w:lang w:eastAsia="en-GB"/>
              </w:rPr>
              <w:t>f0p5</w:t>
            </w:r>
            <w:r w:rsidRPr="00FA0D37">
              <w:rPr>
                <w:bCs/>
                <w:kern w:val="2"/>
                <w:lang w:eastAsia="en-GB"/>
              </w:rPr>
              <w:t xml:space="preserve"> corresponds to 0.5, value </w:t>
            </w:r>
            <w:r w:rsidRPr="00FA0D37">
              <w:rPr>
                <w:bCs/>
                <w:i/>
                <w:iCs/>
                <w:kern w:val="2"/>
                <w:lang w:eastAsia="en-GB"/>
              </w:rPr>
              <w:t>f0p65</w:t>
            </w:r>
            <w:r w:rsidRPr="00FA0D37">
              <w:rPr>
                <w:bCs/>
                <w:kern w:val="2"/>
                <w:lang w:eastAsia="en-GB"/>
              </w:rPr>
              <w:t xml:space="preserve"> corresponds to 0.65, and so on.</w:t>
            </w:r>
          </w:p>
        </w:tc>
      </w:tr>
    </w:tbl>
    <w:p w14:paraId="24E48812" w14:textId="77777777" w:rsidR="00394471" w:rsidRPr="00FA0D3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663200FA"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44F32D" w14:textId="2D9ED08E" w:rsidR="00394471" w:rsidRPr="00FA0D37" w:rsidRDefault="00394471" w:rsidP="00964CC4">
            <w:pPr>
              <w:pStyle w:val="TAH"/>
              <w:rPr>
                <w:lang w:eastAsia="en-GB"/>
              </w:rPr>
            </w:pPr>
            <w:r w:rsidRPr="00FA0D37">
              <w:rPr>
                <w:i/>
                <w:noProof/>
                <w:lang w:eastAsia="en-GB"/>
              </w:rPr>
              <w:t>SL-PSFCH</w:t>
            </w:r>
            <w:r w:rsidR="008D2002" w:rsidRPr="00FA0D37">
              <w:rPr>
                <w:i/>
                <w:noProof/>
                <w:lang w:eastAsia="en-GB"/>
              </w:rPr>
              <w:t>-Config</w:t>
            </w:r>
            <w:r w:rsidRPr="00FA0D37">
              <w:rPr>
                <w:i/>
                <w:noProof/>
                <w:lang w:eastAsia="en-GB"/>
              </w:rPr>
              <w:t xml:space="preserve"> </w:t>
            </w:r>
            <w:r w:rsidRPr="00FA0D37">
              <w:rPr>
                <w:noProof/>
                <w:lang w:eastAsia="en-GB"/>
              </w:rPr>
              <w:t>field descriptions</w:t>
            </w:r>
          </w:p>
        </w:tc>
      </w:tr>
      <w:tr w:rsidR="005C7FF4" w:rsidRPr="00FA0D37" w14:paraId="6E1A35E4"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BF8F427" w14:textId="77777777" w:rsidR="00E92072" w:rsidRPr="00FA0D37" w:rsidRDefault="00E92072" w:rsidP="008E4C89">
            <w:pPr>
              <w:pStyle w:val="TAL"/>
              <w:rPr>
                <w:b/>
                <w:bCs/>
                <w:i/>
                <w:iCs/>
                <w:noProof/>
                <w:lang w:eastAsia="en-GB"/>
              </w:rPr>
            </w:pPr>
            <w:r w:rsidRPr="00FA0D37">
              <w:rPr>
                <w:b/>
                <w:bCs/>
                <w:i/>
                <w:iCs/>
                <w:noProof/>
                <w:lang w:eastAsia="en-GB"/>
              </w:rPr>
              <w:t>sl-MinTimeGapPSFCH</w:t>
            </w:r>
          </w:p>
          <w:p w14:paraId="68BB2228" w14:textId="77777777" w:rsidR="00E92072" w:rsidRPr="00FA0D37" w:rsidRDefault="00E92072" w:rsidP="008E4C89">
            <w:pPr>
              <w:pStyle w:val="TAL"/>
              <w:rPr>
                <w:noProof/>
                <w:lang w:eastAsia="en-GB"/>
              </w:rPr>
            </w:pPr>
            <w:r w:rsidRPr="00FA0D37">
              <w:rPr>
                <w:noProof/>
                <w:lang w:eastAsia="en-GB"/>
              </w:rPr>
              <w:t>The minimum time gap between PSFCH and the associated PSSCH in the unit of slots.</w:t>
            </w:r>
          </w:p>
        </w:tc>
      </w:tr>
      <w:tr w:rsidR="005C7FF4" w:rsidRPr="00FA0D37" w14:paraId="075D08EF"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92521A" w14:textId="77777777" w:rsidR="00E92072" w:rsidRPr="00FA0D37" w:rsidRDefault="00E92072" w:rsidP="008E4C89">
            <w:pPr>
              <w:pStyle w:val="TAL"/>
              <w:rPr>
                <w:b/>
                <w:bCs/>
                <w:i/>
                <w:iCs/>
                <w:lang w:eastAsia="en-GB"/>
              </w:rPr>
            </w:pPr>
            <w:r w:rsidRPr="00FA0D37">
              <w:rPr>
                <w:b/>
                <w:bCs/>
                <w:i/>
                <w:iCs/>
                <w:lang w:eastAsia="en-GB"/>
              </w:rPr>
              <w:t>sl-NumMuxCS-Pair</w:t>
            </w:r>
          </w:p>
          <w:p w14:paraId="4E64AD66" w14:textId="77777777" w:rsidR="00E92072" w:rsidRPr="00FA0D37" w:rsidRDefault="00E92072" w:rsidP="008E4C89">
            <w:pPr>
              <w:pStyle w:val="TAL"/>
              <w:rPr>
                <w:noProof/>
                <w:lang w:eastAsia="en-GB"/>
              </w:rPr>
            </w:pPr>
            <w:r w:rsidRPr="00FA0D37">
              <w:rPr>
                <w:noProof/>
                <w:lang w:eastAsia="en-GB"/>
              </w:rPr>
              <w:t>Indicates the number of cyclic shift pairs used for a PSFCH transmission that can be multiplexed in a PRB.</w:t>
            </w:r>
          </w:p>
        </w:tc>
      </w:tr>
      <w:tr w:rsidR="005C7FF4" w:rsidRPr="00FA0D37" w14:paraId="2C1236C5"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75C6BEF" w14:textId="77777777" w:rsidR="00394471" w:rsidRPr="00FA0D37" w:rsidRDefault="00394471" w:rsidP="00964CC4">
            <w:pPr>
              <w:pStyle w:val="TAL"/>
              <w:rPr>
                <w:b/>
                <w:bCs/>
                <w:i/>
                <w:iCs/>
                <w:noProof/>
                <w:lang w:eastAsia="en-GB"/>
              </w:rPr>
            </w:pPr>
            <w:r w:rsidRPr="00FA0D37">
              <w:rPr>
                <w:b/>
                <w:bCs/>
                <w:i/>
                <w:iCs/>
                <w:noProof/>
                <w:lang w:eastAsia="en-GB"/>
              </w:rPr>
              <w:t>sl-PSFCH-CandidateResourceType</w:t>
            </w:r>
          </w:p>
          <w:p w14:paraId="1FA585FE" w14:textId="589A5F9B" w:rsidR="00394471" w:rsidRPr="00FA0D37" w:rsidRDefault="00394471" w:rsidP="00964CC4">
            <w:pPr>
              <w:pStyle w:val="TAL"/>
              <w:rPr>
                <w:noProof/>
                <w:lang w:eastAsia="en-GB"/>
              </w:rPr>
            </w:pPr>
            <w:r w:rsidRPr="00FA0D37">
              <w:rPr>
                <w:noProof/>
                <w:lang w:eastAsia="en-GB"/>
              </w:rPr>
              <w:t xml:space="preserve">Indicates the number of PSFCH resources available for multiplexing HARQ-ACK information in a PSFCH transmission (see TS 38.213 </w:t>
            </w:r>
            <w:r w:rsidR="008D2002" w:rsidRPr="00FA0D37">
              <w:rPr>
                <w:rFonts w:cs="Arial"/>
                <w:noProof/>
                <w:lang w:eastAsia="en-GB"/>
              </w:rPr>
              <w:t xml:space="preserve">[13], </w:t>
            </w:r>
            <w:r w:rsidRPr="00FA0D37">
              <w:rPr>
                <w:noProof/>
                <w:lang w:eastAsia="en-GB"/>
              </w:rPr>
              <w:t>clause 16.3)</w:t>
            </w:r>
            <w:r w:rsidR="008D2002" w:rsidRPr="00FA0D37">
              <w:rPr>
                <w:noProof/>
                <w:lang w:eastAsia="en-GB"/>
              </w:rPr>
              <w:t>.</w:t>
            </w:r>
          </w:p>
        </w:tc>
      </w:tr>
      <w:tr w:rsidR="005C7FF4" w:rsidRPr="00FA0D37" w14:paraId="69F04BDB"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0C5712" w14:textId="77777777" w:rsidR="00E92072" w:rsidRPr="00FA0D37" w:rsidRDefault="00E92072" w:rsidP="008E4C89">
            <w:pPr>
              <w:pStyle w:val="TAL"/>
              <w:rPr>
                <w:b/>
                <w:bCs/>
                <w:i/>
                <w:iCs/>
                <w:lang w:eastAsia="en-GB"/>
              </w:rPr>
            </w:pPr>
            <w:r w:rsidRPr="00FA0D37">
              <w:rPr>
                <w:b/>
                <w:bCs/>
                <w:i/>
                <w:iCs/>
                <w:lang w:eastAsia="en-GB"/>
              </w:rPr>
              <w:t>sl-PSFCH-HopID</w:t>
            </w:r>
          </w:p>
          <w:p w14:paraId="357523EF" w14:textId="17848ECC" w:rsidR="00E92072" w:rsidRPr="00FA0D37" w:rsidRDefault="00E92072" w:rsidP="008E4C89">
            <w:pPr>
              <w:pStyle w:val="TAL"/>
              <w:rPr>
                <w:lang w:eastAsia="en-GB"/>
              </w:rPr>
            </w:pPr>
            <w:r w:rsidRPr="00FA0D37">
              <w:rPr>
                <w:kern w:val="2"/>
                <w:lang w:eastAsia="en-GB"/>
              </w:rPr>
              <w:t>Scrambling ID for sequence hopping of the PSFCH used in the resource pool.</w:t>
            </w:r>
          </w:p>
        </w:tc>
      </w:tr>
      <w:tr w:rsidR="005C7FF4" w:rsidRPr="00FA0D37" w14:paraId="4653DF68"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CBE0B5" w14:textId="77777777" w:rsidR="00394471" w:rsidRPr="00FA0D37" w:rsidRDefault="00394471" w:rsidP="00964CC4">
            <w:pPr>
              <w:pStyle w:val="TAL"/>
              <w:rPr>
                <w:b/>
                <w:bCs/>
                <w:i/>
                <w:iCs/>
                <w:lang w:eastAsia="en-GB"/>
              </w:rPr>
            </w:pPr>
            <w:r w:rsidRPr="00FA0D37">
              <w:rPr>
                <w:b/>
                <w:bCs/>
                <w:i/>
                <w:iCs/>
                <w:lang w:eastAsia="en-GB"/>
              </w:rPr>
              <w:t>sl-PSFCH-Period</w:t>
            </w:r>
          </w:p>
          <w:p w14:paraId="157861FD" w14:textId="77777777" w:rsidR="00394471" w:rsidRPr="00FA0D37" w:rsidRDefault="00394471" w:rsidP="00964CC4">
            <w:pPr>
              <w:pStyle w:val="TAL"/>
              <w:rPr>
                <w:bCs/>
                <w:noProof/>
                <w:lang w:eastAsia="en-GB"/>
              </w:rPr>
            </w:pPr>
            <w:r w:rsidRPr="00FA0D37">
              <w:rPr>
                <w:bCs/>
                <w:kern w:val="2"/>
                <w:lang w:eastAsia="en-GB"/>
              </w:rPr>
              <w:t xml:space="preserve">Indicates the period of PSFCH resource in the unit of slots within this resource pool. If set to </w:t>
            </w:r>
            <w:r w:rsidRPr="00FA0D37">
              <w:rPr>
                <w:rFonts w:cs="Arial"/>
                <w:bCs/>
                <w:i/>
                <w:kern w:val="2"/>
                <w:lang w:eastAsia="en-GB"/>
              </w:rPr>
              <w:t>sl</w:t>
            </w:r>
            <w:r w:rsidRPr="00FA0D37">
              <w:rPr>
                <w:bCs/>
                <w:i/>
                <w:iCs/>
                <w:kern w:val="2"/>
                <w:lang w:eastAsia="en-GB"/>
              </w:rPr>
              <w:t>0</w:t>
            </w:r>
            <w:r w:rsidRPr="00FA0D37">
              <w:rPr>
                <w:bCs/>
                <w:kern w:val="2"/>
                <w:lang w:eastAsia="en-GB"/>
              </w:rPr>
              <w:t>, no resource for PSFCH, and HARQ feedback for all transmissions in the resource pool is disabled.</w:t>
            </w:r>
          </w:p>
        </w:tc>
      </w:tr>
      <w:tr w:rsidR="000F3B47" w:rsidRPr="00FA0D37" w14:paraId="38FFD51F"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AE70F9" w14:textId="77777777" w:rsidR="00394471" w:rsidRPr="00FA0D37" w:rsidRDefault="00394471" w:rsidP="00964CC4">
            <w:pPr>
              <w:pStyle w:val="TAL"/>
              <w:rPr>
                <w:b/>
                <w:bCs/>
                <w:i/>
                <w:iCs/>
                <w:lang w:eastAsia="en-GB"/>
              </w:rPr>
            </w:pPr>
            <w:r w:rsidRPr="00FA0D37">
              <w:rPr>
                <w:b/>
                <w:bCs/>
                <w:i/>
                <w:iCs/>
                <w:lang w:eastAsia="en-GB"/>
              </w:rPr>
              <w:t>sl-PSFCH-RB-Set</w:t>
            </w:r>
          </w:p>
          <w:p w14:paraId="3130D248" w14:textId="0436E07B" w:rsidR="00394471" w:rsidRPr="00FA0D37" w:rsidRDefault="00394471" w:rsidP="00964CC4">
            <w:pPr>
              <w:pStyle w:val="TAL"/>
              <w:rPr>
                <w:lang w:eastAsia="en-GB"/>
              </w:rPr>
            </w:pPr>
            <w:r w:rsidRPr="00FA0D37">
              <w:rPr>
                <w:bCs/>
                <w:kern w:val="2"/>
                <w:lang w:eastAsia="en-GB"/>
              </w:rPr>
              <w:t xml:space="preserve">Indicates the set of PRBs that are actually used for PSFCH transmission and reception. </w:t>
            </w:r>
            <w:r w:rsidRPr="00FA0D37">
              <w:rPr>
                <w:rFonts w:cs="Arial"/>
                <w:bCs/>
                <w:kern w:val="2"/>
                <w:lang w:eastAsia="en-GB"/>
              </w:rPr>
              <w:t>The leftmost bit of the bitmap refers to the lowest RB index in the resource pool, and so on</w:t>
            </w:r>
            <w:r w:rsidR="0054501B" w:rsidRPr="00FA0D37">
              <w:rPr>
                <w:rFonts w:cs="Arial"/>
                <w:bCs/>
                <w:kern w:val="2"/>
                <w:lang w:eastAsia="en-GB"/>
              </w:rPr>
              <w:t>. Value 0 in the bitmap indicates that the corresponding PRB is not used for PSFCH transmission and reception while value 1 indicates that the corresponding PRB is used for PSFCH transmission and reception (see TS 38.213 [13]).</w:t>
            </w:r>
          </w:p>
        </w:tc>
      </w:tr>
    </w:tbl>
    <w:p w14:paraId="499FCC3F" w14:textId="517A4418" w:rsidR="00394471" w:rsidRPr="00FA0D3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39AD270E"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3B09E13" w14:textId="6171246F" w:rsidR="00E92072" w:rsidRPr="00FA0D37" w:rsidRDefault="00E92072" w:rsidP="00815664">
            <w:pPr>
              <w:pStyle w:val="TAH"/>
              <w:rPr>
                <w:lang w:eastAsia="en-GB"/>
              </w:rPr>
            </w:pPr>
            <w:r w:rsidRPr="00FA0D37">
              <w:rPr>
                <w:i/>
                <w:noProof/>
                <w:lang w:eastAsia="en-GB"/>
              </w:rPr>
              <w:t xml:space="preserve">SL-PTRS-Config </w:t>
            </w:r>
            <w:r w:rsidRPr="00FA0D37">
              <w:rPr>
                <w:noProof/>
                <w:lang w:eastAsia="en-GB"/>
              </w:rPr>
              <w:t>field descriptions</w:t>
            </w:r>
          </w:p>
        </w:tc>
      </w:tr>
      <w:tr w:rsidR="005C7FF4" w:rsidRPr="00FA0D37" w14:paraId="746CFE09"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E13F94" w14:textId="77777777" w:rsidR="00E92072" w:rsidRPr="00FA0D37" w:rsidRDefault="00E92072" w:rsidP="00E92072">
            <w:pPr>
              <w:pStyle w:val="TAL"/>
              <w:rPr>
                <w:b/>
                <w:bCs/>
                <w:i/>
                <w:iCs/>
                <w:noProof/>
                <w:lang w:eastAsia="en-GB"/>
              </w:rPr>
            </w:pPr>
            <w:r w:rsidRPr="00FA0D37">
              <w:rPr>
                <w:b/>
                <w:bCs/>
                <w:i/>
                <w:iCs/>
                <w:noProof/>
                <w:lang w:eastAsia="en-GB"/>
              </w:rPr>
              <w:t>sl-PTRS-FreqDensity</w:t>
            </w:r>
          </w:p>
          <w:p w14:paraId="5C4C412B" w14:textId="23511684" w:rsidR="00E92072" w:rsidRPr="00FA0D37" w:rsidRDefault="00E92072" w:rsidP="008E4C89">
            <w:pPr>
              <w:pStyle w:val="TAL"/>
              <w:rPr>
                <w:b/>
                <w:i/>
                <w:lang w:eastAsia="en-GB"/>
              </w:rPr>
            </w:pPr>
            <w:r w:rsidRPr="00FA0D37">
              <w:rPr>
                <w:noProof/>
                <w:lang w:eastAsia="en-GB"/>
              </w:rPr>
              <w:t>Presence and frequency density of SL PT-RS  as a function of scheduled BW. If the field is not configured, the UE uses K_PT-RS = 2</w:t>
            </w:r>
          </w:p>
        </w:tc>
      </w:tr>
      <w:tr w:rsidR="005C7FF4" w:rsidRPr="00FA0D37" w14:paraId="090BF00C"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9EF90C" w14:textId="77777777" w:rsidR="00E92072" w:rsidRPr="00FA0D37" w:rsidRDefault="00E92072" w:rsidP="008E4C89">
            <w:pPr>
              <w:pStyle w:val="TAN"/>
              <w:rPr>
                <w:b/>
                <w:bCs/>
                <w:i/>
                <w:iCs/>
                <w:lang w:eastAsia="en-GB"/>
              </w:rPr>
            </w:pPr>
            <w:r w:rsidRPr="00FA0D37">
              <w:rPr>
                <w:b/>
                <w:bCs/>
                <w:i/>
                <w:iCs/>
                <w:lang w:eastAsia="en-GB"/>
              </w:rPr>
              <w:t>sl-PTRS-TimeDensity</w:t>
            </w:r>
          </w:p>
          <w:p w14:paraId="7437502E" w14:textId="49C4FECD" w:rsidR="00E92072" w:rsidRPr="00FA0D37" w:rsidRDefault="00E92072" w:rsidP="008E4C89">
            <w:pPr>
              <w:pStyle w:val="TAL"/>
              <w:rPr>
                <w:b/>
                <w:i/>
                <w:lang w:eastAsia="en-GB"/>
              </w:rPr>
            </w:pPr>
            <w:r w:rsidRPr="00FA0D37">
              <w:rPr>
                <w:noProof/>
                <w:lang w:eastAsia="en-GB"/>
              </w:rPr>
              <w:t>Presence and time density of SL PT-RS  as a function of MCS. If the field is not configured, the UE uses L_PT-RS = 1</w:t>
            </w:r>
          </w:p>
        </w:tc>
      </w:tr>
      <w:tr w:rsidR="000F3B47" w:rsidRPr="00FA0D37" w14:paraId="35CA4AC6"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CB23BB" w14:textId="77777777" w:rsidR="00E92072" w:rsidRPr="00FA0D37" w:rsidRDefault="00E92072" w:rsidP="00E92072">
            <w:pPr>
              <w:pStyle w:val="TAL"/>
              <w:rPr>
                <w:b/>
                <w:bCs/>
                <w:i/>
                <w:iCs/>
                <w:noProof/>
                <w:lang w:eastAsia="en-GB"/>
              </w:rPr>
            </w:pPr>
            <w:r w:rsidRPr="00FA0D37">
              <w:rPr>
                <w:b/>
                <w:bCs/>
                <w:i/>
                <w:iCs/>
                <w:noProof/>
                <w:lang w:eastAsia="en-GB"/>
              </w:rPr>
              <w:t>sl-PTRS-RE-Offset</w:t>
            </w:r>
          </w:p>
          <w:p w14:paraId="10C37774" w14:textId="749CA972" w:rsidR="00E92072" w:rsidRPr="00FA0D37" w:rsidRDefault="00E92072" w:rsidP="00E92072">
            <w:pPr>
              <w:pStyle w:val="TAL"/>
              <w:rPr>
                <w:b/>
                <w:bCs/>
                <w:i/>
                <w:noProof/>
                <w:lang w:eastAsia="en-GB"/>
              </w:rPr>
            </w:pPr>
            <w:r w:rsidRPr="00FA0D37">
              <w:rPr>
                <w:noProof/>
                <w:lang w:eastAsia="en-GB"/>
              </w:rPr>
              <w:t xml:space="preserve">Indicates the subcarrier offset for SL PT-RS . If the field is not configured, the UE applies the value </w:t>
            </w:r>
            <w:r w:rsidRPr="00FA0D37">
              <w:rPr>
                <w:i/>
                <w:iCs/>
                <w:noProof/>
                <w:lang w:eastAsia="en-GB"/>
              </w:rPr>
              <w:t>offset00</w:t>
            </w:r>
            <w:r w:rsidR="00C12C0B" w:rsidRPr="00FA0D37">
              <w:rPr>
                <w:iCs/>
                <w:noProof/>
                <w:lang w:eastAsia="en-GB"/>
              </w:rPr>
              <w:t xml:space="preserve"> </w:t>
            </w:r>
            <w:r w:rsidR="00C12C0B" w:rsidRPr="00FA0D37">
              <w:rPr>
                <w:noProof/>
                <w:lang w:eastAsia="en-GB"/>
              </w:rPr>
              <w:t>(see TS 38.211 [16], clause 8.4.1.2.2).</w:t>
            </w:r>
          </w:p>
        </w:tc>
      </w:tr>
    </w:tbl>
    <w:p w14:paraId="26EFBA0F" w14:textId="77777777" w:rsidR="00E92072" w:rsidRPr="00FA0D37" w:rsidRDefault="00E92072"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3B511643"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6B5964" w14:textId="77777777" w:rsidR="00394471" w:rsidRPr="00FA0D37" w:rsidRDefault="00394471" w:rsidP="00964CC4">
            <w:pPr>
              <w:pStyle w:val="TAH"/>
              <w:rPr>
                <w:lang w:eastAsia="en-GB"/>
              </w:rPr>
            </w:pPr>
            <w:r w:rsidRPr="00FA0D37">
              <w:rPr>
                <w:i/>
                <w:iCs/>
                <w:noProof/>
                <w:lang w:eastAsia="en-GB"/>
              </w:rPr>
              <w:lastRenderedPageBreak/>
              <w:t>SL-UE-SelectedConfigRP</w:t>
            </w:r>
            <w:r w:rsidRPr="00FA0D37">
              <w:rPr>
                <w:noProof/>
                <w:lang w:eastAsia="en-GB"/>
              </w:rPr>
              <w:t xml:space="preserve"> </w:t>
            </w:r>
            <w:r w:rsidRPr="00FA0D37">
              <w:rPr>
                <w:iCs/>
                <w:noProof/>
                <w:lang w:eastAsia="en-GB"/>
              </w:rPr>
              <w:t>field descriptions</w:t>
            </w:r>
          </w:p>
        </w:tc>
      </w:tr>
      <w:tr w:rsidR="005C7FF4" w:rsidRPr="00FA0D37" w14:paraId="06E3CB66"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7832D02" w14:textId="77777777" w:rsidR="005146CB" w:rsidRPr="00FA0D37" w:rsidRDefault="005146CB" w:rsidP="003D44C0">
            <w:pPr>
              <w:pStyle w:val="TAL"/>
              <w:rPr>
                <w:b/>
                <w:bCs/>
                <w:i/>
                <w:iCs/>
                <w:noProof/>
                <w:lang w:eastAsia="en-GB"/>
              </w:rPr>
            </w:pPr>
            <w:r w:rsidRPr="00FA0D37">
              <w:rPr>
                <w:b/>
                <w:bCs/>
                <w:i/>
                <w:iCs/>
                <w:noProof/>
                <w:lang w:eastAsia="en-GB"/>
              </w:rPr>
              <w:t>sl-CBR-PriorityTxConfigList</w:t>
            </w:r>
          </w:p>
          <w:p w14:paraId="5E629465" w14:textId="680C710E" w:rsidR="005146CB" w:rsidRPr="00FA0D37" w:rsidRDefault="005146CB" w:rsidP="003D44C0">
            <w:pPr>
              <w:pStyle w:val="TAL"/>
              <w:rPr>
                <w:noProof/>
                <w:lang w:eastAsia="en-GB"/>
              </w:rPr>
            </w:pPr>
            <w:r w:rsidRPr="00FA0D37">
              <w:rPr>
                <w:noProof/>
                <w:lang w:eastAsia="en-GB"/>
              </w:rPr>
              <w:t xml:space="preserve">Indicates the mapping between PSSCH transmission parameter (such as MCS, PRB number, retransmission number, CR limit) sets by using the indexes of the configurations in </w:t>
            </w:r>
            <w:r w:rsidRPr="00FA0D37">
              <w:rPr>
                <w:i/>
                <w:iCs/>
                <w:noProof/>
                <w:lang w:eastAsia="en-GB"/>
              </w:rPr>
              <w:t>sl-CBR-PSSCH-TxConfigList</w:t>
            </w:r>
            <w:r w:rsidRPr="00FA0D37">
              <w:rPr>
                <w:noProof/>
                <w:lang w:eastAsia="en-GB"/>
              </w:rPr>
              <w:t xml:space="preserve">, CBR ranges by using the indexes to the entry of the CBR range configurations in </w:t>
            </w:r>
            <w:r w:rsidRPr="00FA0D37">
              <w:rPr>
                <w:i/>
                <w:iCs/>
                <w:noProof/>
                <w:lang w:eastAsia="en-GB"/>
              </w:rPr>
              <w:t>sl-CBR-RangeConfigList</w:t>
            </w:r>
            <w:r w:rsidRPr="00FA0D37">
              <w:rPr>
                <w:noProof/>
                <w:lang w:eastAsia="en-GB"/>
              </w:rPr>
              <w:t xml:space="preserve">, and priority ranges. It also indicates the default PSSCH transmission parameters to be used when CBR measurement results are not available, and MCS range for the MCS tables used in the resource pool. The field </w:t>
            </w:r>
            <w:r w:rsidRPr="00FA0D37">
              <w:rPr>
                <w:i/>
                <w:iCs/>
                <w:noProof/>
                <w:lang w:eastAsia="en-GB"/>
              </w:rPr>
              <w:t>sl-CBR-PriorityTxConfigList-v16</w:t>
            </w:r>
            <w:r w:rsidR="001F631E" w:rsidRPr="00FA0D37">
              <w:rPr>
                <w:i/>
                <w:iCs/>
                <w:noProof/>
                <w:lang w:eastAsia="en-GB"/>
              </w:rPr>
              <w:t>50</w:t>
            </w:r>
            <w:r w:rsidRPr="00FA0D37">
              <w:rPr>
                <w:noProof/>
                <w:lang w:eastAsia="en-GB"/>
              </w:rPr>
              <w:t xml:space="preserve"> is present only when </w:t>
            </w:r>
            <w:r w:rsidRPr="00FA0D37">
              <w:rPr>
                <w:i/>
                <w:iCs/>
                <w:noProof/>
                <w:lang w:eastAsia="en-GB"/>
              </w:rPr>
              <w:t>sl-CBR-PriorityTxConfigList-r16</w:t>
            </w:r>
            <w:r w:rsidRPr="00FA0D37">
              <w:rPr>
                <w:noProof/>
                <w:lang w:eastAsia="zh-CN"/>
              </w:rPr>
              <w:t xml:space="preserve"> is configured.</w:t>
            </w:r>
          </w:p>
        </w:tc>
      </w:tr>
      <w:tr w:rsidR="005C7FF4" w:rsidRPr="00FA0D37" w14:paraId="68C242D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0CFE660" w14:textId="77777777" w:rsidR="00394471" w:rsidRPr="00FA0D37" w:rsidRDefault="00394471" w:rsidP="00964CC4">
            <w:pPr>
              <w:pStyle w:val="TAL"/>
              <w:rPr>
                <w:b/>
                <w:bCs/>
                <w:i/>
                <w:noProof/>
                <w:lang w:eastAsia="zh-CN"/>
              </w:rPr>
            </w:pPr>
            <w:r w:rsidRPr="00FA0D37">
              <w:rPr>
                <w:b/>
                <w:bCs/>
                <w:i/>
                <w:noProof/>
                <w:lang w:eastAsia="en-GB"/>
              </w:rPr>
              <w:t>sl-MaxNumPerReserve</w:t>
            </w:r>
          </w:p>
          <w:p w14:paraId="32C5C924" w14:textId="77777777" w:rsidR="00394471" w:rsidRPr="00FA0D37" w:rsidRDefault="00394471" w:rsidP="00964CC4">
            <w:pPr>
              <w:keepNext/>
              <w:keepLines/>
              <w:spacing w:after="0"/>
              <w:rPr>
                <w:rFonts w:ascii="Arial" w:hAnsi="Arial"/>
                <w:b/>
                <w:i/>
                <w:sz w:val="18"/>
                <w:lang w:eastAsia="en-GB"/>
              </w:rPr>
            </w:pPr>
            <w:r w:rsidRPr="00FA0D37">
              <w:rPr>
                <w:rFonts w:ascii="Arial" w:hAnsi="Arial"/>
                <w:iCs/>
                <w:sz w:val="18"/>
                <w:szCs w:val="22"/>
                <w:lang w:eastAsia="en-GB"/>
              </w:rPr>
              <w:t>Indicates the maximum number of reserved PSCCH/PSSCH resources that can be indicated by an SCI.</w:t>
            </w:r>
          </w:p>
        </w:tc>
      </w:tr>
      <w:tr w:rsidR="005C7FF4" w:rsidRPr="00FA0D37" w14:paraId="778CC46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F8C21DA" w14:textId="77777777" w:rsidR="00394471" w:rsidRPr="00FA0D37" w:rsidRDefault="00394471" w:rsidP="00964CC4">
            <w:pPr>
              <w:pStyle w:val="TAL"/>
              <w:rPr>
                <w:b/>
                <w:bCs/>
                <w:i/>
                <w:noProof/>
                <w:lang w:eastAsia="zh-CN"/>
              </w:rPr>
            </w:pPr>
            <w:r w:rsidRPr="00FA0D37">
              <w:rPr>
                <w:b/>
                <w:bCs/>
                <w:i/>
                <w:noProof/>
                <w:lang w:eastAsia="en-GB"/>
              </w:rPr>
              <w:t>sl-MultiReserveResource</w:t>
            </w:r>
          </w:p>
          <w:p w14:paraId="3DFB94EB" w14:textId="77777777" w:rsidR="00394471" w:rsidRPr="00FA0D37" w:rsidRDefault="00394471" w:rsidP="00964CC4">
            <w:pPr>
              <w:keepNext/>
              <w:keepLines/>
              <w:spacing w:after="0"/>
              <w:rPr>
                <w:rFonts w:ascii="Arial" w:hAnsi="Arial"/>
                <w:b/>
                <w:i/>
                <w:sz w:val="18"/>
                <w:lang w:eastAsia="en-GB"/>
              </w:rPr>
            </w:pPr>
            <w:r w:rsidRPr="00FA0D37">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5C7FF4" w:rsidRPr="00FA0D37" w14:paraId="1341280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586741" w14:textId="77777777" w:rsidR="00394471" w:rsidRPr="00FA0D37" w:rsidRDefault="00394471" w:rsidP="00964CC4">
            <w:pPr>
              <w:pStyle w:val="TAL"/>
              <w:rPr>
                <w:b/>
                <w:bCs/>
                <w:i/>
                <w:noProof/>
                <w:lang w:eastAsia="zh-CN"/>
              </w:rPr>
            </w:pPr>
            <w:r w:rsidRPr="00FA0D37">
              <w:rPr>
                <w:b/>
                <w:bCs/>
                <w:i/>
                <w:noProof/>
                <w:lang w:eastAsia="en-GB"/>
              </w:rPr>
              <w:t>sl-ResourceReservePeriod</w:t>
            </w:r>
            <w:r w:rsidRPr="00FA0D37">
              <w:rPr>
                <w:rFonts w:cs="Arial"/>
                <w:b/>
                <w:bCs/>
                <w:i/>
                <w:noProof/>
                <w:lang w:eastAsia="en-GB"/>
              </w:rPr>
              <w:t>List</w:t>
            </w:r>
          </w:p>
          <w:p w14:paraId="507E2AEA" w14:textId="41CEC0F2" w:rsidR="00394471" w:rsidRPr="00FA0D37" w:rsidRDefault="00394471" w:rsidP="00964CC4">
            <w:pPr>
              <w:pStyle w:val="TAL"/>
              <w:rPr>
                <w:b/>
                <w:bCs/>
                <w:i/>
                <w:noProof/>
                <w:lang w:eastAsia="en-GB"/>
              </w:rPr>
            </w:pPr>
            <w:r w:rsidRPr="00FA0D37">
              <w:rPr>
                <w:iCs/>
                <w:szCs w:val="22"/>
                <w:lang w:eastAsia="en-GB"/>
              </w:rPr>
              <w:t>Set of possible resource reservation period allowed in the resource pool</w:t>
            </w:r>
            <w:r w:rsidRPr="00FA0D37">
              <w:rPr>
                <w:rFonts w:cs="Arial"/>
                <w:iCs/>
                <w:szCs w:val="22"/>
                <w:lang w:eastAsia="en-GB"/>
              </w:rPr>
              <w:t xml:space="preserve"> in the unit of ms</w:t>
            </w:r>
            <w:r w:rsidRPr="00FA0D37">
              <w:rPr>
                <w:iCs/>
                <w:szCs w:val="22"/>
                <w:lang w:eastAsia="en-GB"/>
              </w:rPr>
              <w:t>. Up to 16 values can be configured per resource pool.</w:t>
            </w:r>
            <w:r w:rsidR="00D71CF8" w:rsidRPr="00FA0D37">
              <w:t xml:space="preserve"> </w:t>
            </w:r>
            <w:r w:rsidR="00D71CF8" w:rsidRPr="00FA0D37">
              <w:rPr>
                <w:iCs/>
                <w:szCs w:val="22"/>
                <w:lang w:eastAsia="en-GB"/>
              </w:rPr>
              <w:t xml:space="preserve">The value </w:t>
            </w:r>
            <w:r w:rsidR="00D71CF8" w:rsidRPr="00FA0D37">
              <w:rPr>
                <w:i/>
                <w:szCs w:val="22"/>
                <w:lang w:eastAsia="en-GB"/>
              </w:rPr>
              <w:t>ms0</w:t>
            </w:r>
            <w:r w:rsidR="00D71CF8" w:rsidRPr="00FA0D37">
              <w:rPr>
                <w:iCs/>
                <w:szCs w:val="22"/>
                <w:lang w:eastAsia="en-GB"/>
              </w:rPr>
              <w:t xml:space="preserve"> is always configured.</w:t>
            </w:r>
          </w:p>
        </w:tc>
      </w:tr>
      <w:tr w:rsidR="005C7FF4" w:rsidRPr="00FA0D37" w14:paraId="714396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AA5AC8" w14:textId="77777777" w:rsidR="00394471" w:rsidRPr="00FA0D37" w:rsidRDefault="00394471" w:rsidP="00964CC4">
            <w:pPr>
              <w:pStyle w:val="TAL"/>
              <w:rPr>
                <w:b/>
                <w:bCs/>
                <w:i/>
                <w:noProof/>
                <w:lang w:eastAsia="zh-CN"/>
              </w:rPr>
            </w:pPr>
            <w:r w:rsidRPr="00FA0D37">
              <w:rPr>
                <w:b/>
                <w:bCs/>
                <w:i/>
                <w:noProof/>
                <w:lang w:eastAsia="en-GB"/>
              </w:rPr>
              <w:t>sl-RS-ForSensing</w:t>
            </w:r>
          </w:p>
          <w:p w14:paraId="33697F40" w14:textId="77777777" w:rsidR="00394471" w:rsidRPr="00FA0D37" w:rsidRDefault="00394471" w:rsidP="00964CC4">
            <w:pPr>
              <w:pStyle w:val="TAL"/>
              <w:rPr>
                <w:b/>
                <w:bCs/>
                <w:i/>
                <w:noProof/>
                <w:lang w:eastAsia="en-GB"/>
              </w:rPr>
            </w:pPr>
            <w:r w:rsidRPr="00FA0D37">
              <w:rPr>
                <w:iCs/>
                <w:szCs w:val="22"/>
                <w:lang w:eastAsia="en-GB"/>
              </w:rPr>
              <w:t>Indicates whether DMRS of PSCCH or PSSCH is used for L1 RSRP measurement in the sensing operation.</w:t>
            </w:r>
          </w:p>
        </w:tc>
      </w:tr>
      <w:tr w:rsidR="005C7FF4" w:rsidRPr="00FA0D37" w14:paraId="75308F6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FF633E" w14:textId="77777777" w:rsidR="00394471" w:rsidRPr="00FA0D37" w:rsidRDefault="00394471" w:rsidP="00964CC4">
            <w:pPr>
              <w:pStyle w:val="TAL"/>
              <w:rPr>
                <w:b/>
                <w:bCs/>
                <w:i/>
                <w:noProof/>
                <w:lang w:eastAsia="zh-CN"/>
              </w:rPr>
            </w:pPr>
            <w:r w:rsidRPr="00FA0D37">
              <w:rPr>
                <w:b/>
                <w:bCs/>
                <w:i/>
                <w:noProof/>
                <w:lang w:eastAsia="en-GB"/>
              </w:rPr>
              <w:t>sl-SensingWindow</w:t>
            </w:r>
          </w:p>
          <w:p w14:paraId="088F1BF7" w14:textId="77777777" w:rsidR="00394471" w:rsidRPr="00FA0D37" w:rsidRDefault="00394471" w:rsidP="00964CC4">
            <w:pPr>
              <w:keepNext/>
              <w:keepLines/>
              <w:spacing w:after="0"/>
              <w:rPr>
                <w:rFonts w:ascii="Arial" w:hAnsi="Arial"/>
                <w:b/>
                <w:i/>
                <w:sz w:val="18"/>
                <w:lang w:eastAsia="en-GB"/>
              </w:rPr>
            </w:pPr>
            <w:r w:rsidRPr="00FA0D37">
              <w:rPr>
                <w:rFonts w:ascii="Arial" w:hAnsi="Arial"/>
                <w:iCs/>
                <w:sz w:val="18"/>
                <w:szCs w:val="22"/>
                <w:lang w:eastAsia="en-GB"/>
              </w:rPr>
              <w:t>Parameter that indicates the start of the sensing window.</w:t>
            </w:r>
          </w:p>
        </w:tc>
      </w:tr>
      <w:tr w:rsidR="005C7FF4" w:rsidRPr="00FA0D37" w14:paraId="3855A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FB0104" w14:textId="77777777" w:rsidR="00394471" w:rsidRPr="00FA0D37" w:rsidRDefault="00394471" w:rsidP="00964CC4">
            <w:pPr>
              <w:pStyle w:val="TAL"/>
              <w:rPr>
                <w:b/>
                <w:bCs/>
                <w:i/>
                <w:noProof/>
                <w:lang w:eastAsia="zh-CN"/>
              </w:rPr>
            </w:pPr>
            <w:r w:rsidRPr="00FA0D37">
              <w:rPr>
                <w:b/>
                <w:bCs/>
                <w:i/>
                <w:noProof/>
                <w:lang w:eastAsia="en-GB"/>
              </w:rPr>
              <w:t>sl-SelectionWindow</w:t>
            </w:r>
            <w:r w:rsidRPr="00FA0D37">
              <w:rPr>
                <w:rFonts w:cs="Arial"/>
                <w:b/>
                <w:bCs/>
                <w:i/>
                <w:noProof/>
                <w:lang w:eastAsia="en-GB"/>
              </w:rPr>
              <w:t>List</w:t>
            </w:r>
          </w:p>
          <w:p w14:paraId="5262EE1D" w14:textId="217DE8BF" w:rsidR="00394471" w:rsidRPr="00FA0D37" w:rsidRDefault="00394471" w:rsidP="00964CC4">
            <w:pPr>
              <w:keepNext/>
              <w:keepLines/>
              <w:spacing w:after="0"/>
              <w:rPr>
                <w:rFonts w:ascii="Arial" w:hAnsi="Arial"/>
                <w:b/>
                <w:i/>
                <w:sz w:val="18"/>
                <w:lang w:eastAsia="en-GB"/>
              </w:rPr>
            </w:pPr>
            <w:r w:rsidRPr="00FA0D37">
              <w:rPr>
                <w:rFonts w:ascii="Arial" w:hAnsi="Arial"/>
                <w:iCs/>
                <w:sz w:val="18"/>
                <w:szCs w:val="22"/>
                <w:lang w:eastAsia="en-GB"/>
              </w:rPr>
              <w:t>Parameter that determines the end of the selection window in the resource selection for a TB with respect to priority indicated in SCI. Value n1 corresponds to 1</w:t>
            </w:r>
            <w:r w:rsidRPr="00FA0D37">
              <w:rPr>
                <w:lang w:eastAsia="x-none"/>
              </w:rPr>
              <w:t>*2</w:t>
            </w:r>
            <w:r w:rsidRPr="00FA0D37">
              <w:rPr>
                <w:vertAlign w:val="superscript"/>
                <w:lang w:eastAsia="x-none"/>
              </w:rPr>
              <w:t>µ</w:t>
            </w:r>
            <w:r w:rsidRPr="00FA0D37">
              <w:rPr>
                <w:rFonts w:ascii="Arial" w:hAnsi="Arial"/>
                <w:iCs/>
                <w:sz w:val="18"/>
                <w:szCs w:val="22"/>
                <w:lang w:eastAsia="en-GB"/>
              </w:rPr>
              <w:t>, value n5 corresponds to 5*</w:t>
            </w:r>
            <w:r w:rsidRPr="00FA0D37">
              <w:rPr>
                <w:lang w:eastAsia="x-none"/>
              </w:rPr>
              <w:t>2</w:t>
            </w:r>
            <w:r w:rsidRPr="00FA0D37">
              <w:rPr>
                <w:vertAlign w:val="superscript"/>
                <w:lang w:eastAsia="x-none"/>
              </w:rPr>
              <w:t>µ</w:t>
            </w:r>
            <w:r w:rsidRPr="00FA0D37">
              <w:rPr>
                <w:rFonts w:ascii="Arial" w:hAnsi="Arial"/>
                <w:iCs/>
                <w:sz w:val="18"/>
                <w:szCs w:val="22"/>
                <w:lang w:eastAsia="en-GB"/>
              </w:rPr>
              <w:t xml:space="preserve">, and so on, where µ = 0,1,2,3 </w:t>
            </w:r>
            <w:r w:rsidR="008D2002" w:rsidRPr="00FA0D37">
              <w:rPr>
                <w:rFonts w:ascii="Arial" w:hAnsi="Arial"/>
                <w:iCs/>
                <w:sz w:val="18"/>
                <w:szCs w:val="22"/>
                <w:lang w:eastAsia="en-GB"/>
              </w:rPr>
              <w:t xml:space="preserve">refers to </w:t>
            </w:r>
            <w:r w:rsidRPr="00FA0D37">
              <w:rPr>
                <w:rFonts w:ascii="Arial" w:hAnsi="Arial"/>
                <w:iCs/>
                <w:sz w:val="18"/>
                <w:szCs w:val="22"/>
                <w:lang w:eastAsia="en-GB"/>
              </w:rPr>
              <w:t>SCS 15,30,60,120 kHz respectively.</w:t>
            </w:r>
          </w:p>
        </w:tc>
      </w:tr>
      <w:tr w:rsidR="00394471" w:rsidRPr="00FA0D37" w14:paraId="29BD5DCA"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9F173F" w14:textId="3C1CAD76" w:rsidR="00394471" w:rsidRPr="00FA0D37" w:rsidRDefault="00394471" w:rsidP="00964CC4">
            <w:pPr>
              <w:pStyle w:val="TAL"/>
              <w:rPr>
                <w:b/>
                <w:bCs/>
                <w:i/>
                <w:iCs/>
                <w:lang w:eastAsia="en-GB"/>
              </w:rPr>
            </w:pPr>
            <w:r w:rsidRPr="00FA0D37">
              <w:rPr>
                <w:b/>
                <w:bCs/>
                <w:i/>
                <w:iCs/>
                <w:lang w:eastAsia="en-GB"/>
              </w:rPr>
              <w:t>sl-Thres-RSRP-List</w:t>
            </w:r>
          </w:p>
          <w:p w14:paraId="774B95C3" w14:textId="30C6819F" w:rsidR="00394471" w:rsidRPr="00FA0D37" w:rsidRDefault="00394471" w:rsidP="00964CC4">
            <w:pPr>
              <w:pStyle w:val="TAL"/>
              <w:rPr>
                <w:lang w:eastAsia="en-GB"/>
              </w:rPr>
            </w:pPr>
            <w:r w:rsidRPr="00FA0D37">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w:t>
            </w:r>
            <w:r w:rsidR="00E92072" w:rsidRPr="00FA0D37">
              <w:rPr>
                <w:bCs/>
                <w:kern w:val="2"/>
                <w:lang w:eastAsia="en-GB"/>
              </w:rPr>
              <w:t>/PSCCH</w:t>
            </w:r>
            <w:r w:rsidRPr="00FA0D37">
              <w:rPr>
                <w:bCs/>
                <w:kern w:val="2"/>
                <w:lang w:eastAsia="en-GB"/>
              </w:rPr>
              <w:t xml:space="preserve"> RSRP in the associated data resource is above a threshold.</w:t>
            </w:r>
          </w:p>
        </w:tc>
      </w:tr>
    </w:tbl>
    <w:p w14:paraId="60C3E346" w14:textId="77777777" w:rsidR="00394471" w:rsidRPr="00FA0D37" w:rsidRDefault="00394471" w:rsidP="00394471">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5C7FF4" w:rsidRPr="00FA0D37" w14:paraId="6377A9D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F2ECEA" w14:textId="77777777" w:rsidR="00394471" w:rsidRPr="00FA0D37" w:rsidRDefault="00394471" w:rsidP="00964CC4">
            <w:pPr>
              <w:pStyle w:val="TAH"/>
              <w:rPr>
                <w:lang w:eastAsia="en-GB"/>
              </w:rPr>
            </w:pPr>
            <w:r w:rsidRPr="00FA0D37">
              <w:rPr>
                <w:i/>
                <w:noProof/>
                <w:lang w:eastAsia="en-GB"/>
              </w:rPr>
              <w:lastRenderedPageBreak/>
              <w:t xml:space="preserve">SL-PowerControl </w:t>
            </w:r>
            <w:r w:rsidRPr="00FA0D37">
              <w:rPr>
                <w:noProof/>
                <w:lang w:eastAsia="en-GB"/>
              </w:rPr>
              <w:t>field descriptions</w:t>
            </w:r>
          </w:p>
        </w:tc>
      </w:tr>
      <w:tr w:rsidR="005C7FF4" w:rsidRPr="00FA0D37" w14:paraId="76A48DF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0BB9F56" w14:textId="77777777" w:rsidR="00394471" w:rsidRPr="00FA0D37" w:rsidRDefault="00394471" w:rsidP="00964CC4">
            <w:pPr>
              <w:pStyle w:val="TAL"/>
              <w:rPr>
                <w:b/>
                <w:bCs/>
                <w:i/>
                <w:iCs/>
                <w:lang w:eastAsia="en-GB"/>
              </w:rPr>
            </w:pPr>
            <w:r w:rsidRPr="00FA0D37">
              <w:rPr>
                <w:b/>
                <w:bCs/>
                <w:i/>
                <w:iCs/>
                <w:lang w:eastAsia="en-GB"/>
              </w:rPr>
              <w:t>sl-MaxTransPower</w:t>
            </w:r>
          </w:p>
          <w:p w14:paraId="38DC4DE1" w14:textId="375BEBCD" w:rsidR="00394471" w:rsidRPr="00FA0D37" w:rsidRDefault="00394471" w:rsidP="00964CC4">
            <w:pPr>
              <w:pStyle w:val="TAL"/>
              <w:rPr>
                <w:noProof/>
                <w:lang w:eastAsia="en-GB"/>
              </w:rPr>
            </w:pPr>
            <w:r w:rsidRPr="00FA0D37">
              <w:rPr>
                <w:kern w:val="2"/>
                <w:lang w:eastAsia="en-GB"/>
              </w:rPr>
              <w:t>Indicates the maximum value of the UE's sidelink transmission power on this resource pool</w:t>
            </w:r>
            <w:r w:rsidR="003606BE" w:rsidRPr="00FA0D37">
              <w:rPr>
                <w:lang w:eastAsia="en-GB"/>
              </w:rPr>
              <w:t xml:space="preserve"> when the sidelink transmission is performed only on this resource pool</w:t>
            </w:r>
            <w:r w:rsidRPr="00FA0D37">
              <w:rPr>
                <w:kern w:val="2"/>
                <w:lang w:eastAsia="en-GB"/>
              </w:rPr>
              <w:t>. The unit is dBm.</w:t>
            </w:r>
            <w:r w:rsidR="003606BE" w:rsidRPr="00FA0D37">
              <w:rPr>
                <w:lang w:eastAsia="en-GB"/>
              </w:rPr>
              <w:t xml:space="preserve"> If the sidelink transmission is PSFCH, and multiple resource pools are used, the maximum transmission power for PSFCH is configured as sum of fields </w:t>
            </w:r>
            <w:r w:rsidR="003606BE" w:rsidRPr="00FA0D37">
              <w:rPr>
                <w:i/>
                <w:lang w:eastAsia="en-GB"/>
              </w:rPr>
              <w:t>sl-maxTransPower</w:t>
            </w:r>
            <w:r w:rsidR="003606BE" w:rsidRPr="00FA0D37">
              <w:rPr>
                <w:lang w:eastAsia="en-GB"/>
              </w:rPr>
              <w:t xml:space="preserve"> over multiple resource pools, as specified in </w:t>
            </w:r>
            <w:r w:rsidR="002247AB" w:rsidRPr="00FA0D37">
              <w:rPr>
                <w:lang w:eastAsia="en-GB"/>
              </w:rPr>
              <w:t xml:space="preserve">TS </w:t>
            </w:r>
            <w:r w:rsidR="003606BE" w:rsidRPr="00FA0D37">
              <w:rPr>
                <w:lang w:eastAsia="en-GB"/>
              </w:rPr>
              <w:t>38.101-1</w:t>
            </w:r>
            <w:r w:rsidR="002247AB" w:rsidRPr="00FA0D37">
              <w:rPr>
                <w:lang w:eastAsia="en-GB"/>
              </w:rPr>
              <w:t xml:space="preserve"> </w:t>
            </w:r>
            <w:r w:rsidR="003606BE" w:rsidRPr="00FA0D37">
              <w:rPr>
                <w:lang w:eastAsia="en-GB"/>
              </w:rPr>
              <w:t>[15].</w:t>
            </w:r>
          </w:p>
        </w:tc>
      </w:tr>
      <w:tr w:rsidR="005C7FF4" w:rsidRPr="00FA0D37" w14:paraId="5822F2E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1E68716" w14:textId="77777777" w:rsidR="00394471" w:rsidRPr="00FA0D37" w:rsidRDefault="00394471" w:rsidP="00964CC4">
            <w:pPr>
              <w:pStyle w:val="TAL"/>
              <w:rPr>
                <w:b/>
                <w:bCs/>
                <w:i/>
                <w:iCs/>
                <w:lang w:eastAsia="en-GB"/>
              </w:rPr>
            </w:pPr>
            <w:r w:rsidRPr="00FA0D37">
              <w:rPr>
                <w:b/>
                <w:bCs/>
                <w:i/>
                <w:iCs/>
                <w:lang w:eastAsia="en-GB"/>
              </w:rPr>
              <w:t>sl-Alpha-PSSCH-PSCCH</w:t>
            </w:r>
          </w:p>
          <w:p w14:paraId="23D9085F" w14:textId="11477C78" w:rsidR="00394471" w:rsidRPr="00FA0D37" w:rsidRDefault="00394471" w:rsidP="00964CC4">
            <w:pPr>
              <w:pStyle w:val="TAL"/>
              <w:rPr>
                <w:lang w:eastAsia="en-GB"/>
              </w:rPr>
            </w:pPr>
            <w:r w:rsidRPr="00FA0D37">
              <w:rPr>
                <w:kern w:val="2"/>
                <w:lang w:eastAsia="en-GB"/>
              </w:rPr>
              <w:t xml:space="preserve">Indicates alpha value for sidelink pathloss based power control for PSCCH/PSSCH when </w:t>
            </w:r>
            <w:r w:rsidRPr="00FA0D37">
              <w:rPr>
                <w:i/>
                <w:iCs/>
                <w:kern w:val="2"/>
                <w:lang w:eastAsia="en-GB"/>
              </w:rPr>
              <w:t>sl-P0-PSSCH</w:t>
            </w:r>
            <w:r w:rsidR="00811373" w:rsidRPr="00FA0D37">
              <w:rPr>
                <w:i/>
                <w:iCs/>
                <w:kern w:val="2"/>
                <w:lang w:eastAsia="en-GB"/>
              </w:rPr>
              <w:t>-</w:t>
            </w:r>
            <w:r w:rsidR="00811373" w:rsidRPr="00FA0D37">
              <w:rPr>
                <w:i/>
                <w:kern w:val="2"/>
                <w:lang w:eastAsia="en-GB"/>
              </w:rPr>
              <w:t>PSCCH</w:t>
            </w:r>
            <w:r w:rsidRPr="00FA0D37">
              <w:rPr>
                <w:kern w:val="2"/>
                <w:lang w:eastAsia="en-GB"/>
              </w:rPr>
              <w:t xml:space="preserve"> is configured. When the field is absent the UE applies the value 1. </w:t>
            </w:r>
          </w:p>
        </w:tc>
      </w:tr>
      <w:tr w:rsidR="005C7FF4" w:rsidRPr="00FA0D37" w14:paraId="49249456"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FCCC827" w14:textId="77777777" w:rsidR="00394471" w:rsidRPr="00FA0D37" w:rsidRDefault="00394471" w:rsidP="00964CC4">
            <w:pPr>
              <w:pStyle w:val="TAL"/>
              <w:rPr>
                <w:b/>
                <w:bCs/>
                <w:i/>
                <w:iCs/>
                <w:lang w:eastAsia="en-GB"/>
              </w:rPr>
            </w:pPr>
            <w:r w:rsidRPr="00FA0D37">
              <w:rPr>
                <w:b/>
                <w:bCs/>
                <w:i/>
                <w:iCs/>
                <w:lang w:eastAsia="en-GB"/>
              </w:rPr>
              <w:t>sl-P0-PSSCH-PSCCH</w:t>
            </w:r>
          </w:p>
          <w:p w14:paraId="7E276A43" w14:textId="4313AA07" w:rsidR="00394471" w:rsidRPr="00FA0D37" w:rsidRDefault="00394471" w:rsidP="00964CC4">
            <w:pPr>
              <w:pStyle w:val="TAL"/>
              <w:rPr>
                <w:lang w:eastAsia="en-GB"/>
              </w:rPr>
            </w:pPr>
            <w:r w:rsidRPr="00FA0D37">
              <w:rPr>
                <w:kern w:val="2"/>
                <w:lang w:eastAsia="en-GB"/>
              </w:rPr>
              <w:t>Indicates P0 value for sidelink pathloss based power control for PSCCH/PSSCH. If not configured, sidelink pathloss based power control is disabled for PSCCH/PSSCH.</w:t>
            </w:r>
            <w:r w:rsidR="00750AB7" w:rsidRPr="00FA0D37">
              <w:rPr>
                <w:kern w:val="2"/>
                <w:lang w:eastAsia="en-GB"/>
              </w:rPr>
              <w:t xml:space="preserve"> When </w:t>
            </w:r>
            <w:r w:rsidR="00750AB7" w:rsidRPr="00FA0D37">
              <w:rPr>
                <w:i/>
                <w:kern w:val="2"/>
                <w:lang w:eastAsia="en-GB"/>
              </w:rPr>
              <w:t>sl-P0-PSSCH-PSCCH-r17</w:t>
            </w:r>
            <w:r w:rsidR="00750AB7" w:rsidRPr="00FA0D37">
              <w:rPr>
                <w:kern w:val="2"/>
                <w:lang w:eastAsia="en-GB"/>
              </w:rPr>
              <w:t xml:space="preserve"> is configured, the UE ignores </w:t>
            </w:r>
            <w:r w:rsidR="00750AB7" w:rsidRPr="00FA0D37">
              <w:rPr>
                <w:i/>
                <w:kern w:val="2"/>
                <w:lang w:eastAsia="en-GB"/>
              </w:rPr>
              <w:t>sl-P0-PSSCH-PSCCH-r16</w:t>
            </w:r>
            <w:r w:rsidR="00750AB7" w:rsidRPr="00FA0D37">
              <w:rPr>
                <w:kern w:val="2"/>
                <w:lang w:eastAsia="en-GB"/>
              </w:rPr>
              <w:t>.</w:t>
            </w:r>
          </w:p>
        </w:tc>
      </w:tr>
      <w:tr w:rsidR="005C7FF4" w:rsidRPr="00FA0D37" w14:paraId="7188914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B5B74CC" w14:textId="77777777" w:rsidR="00394471" w:rsidRPr="00FA0D37" w:rsidRDefault="00394471" w:rsidP="00964CC4">
            <w:pPr>
              <w:pStyle w:val="TAL"/>
              <w:rPr>
                <w:b/>
                <w:bCs/>
                <w:i/>
                <w:iCs/>
                <w:lang w:eastAsia="en-GB"/>
              </w:rPr>
            </w:pPr>
            <w:r w:rsidRPr="00FA0D37">
              <w:rPr>
                <w:b/>
                <w:bCs/>
                <w:i/>
                <w:iCs/>
                <w:lang w:eastAsia="en-GB"/>
              </w:rPr>
              <w:t>dl-Alpha-PSSCH-PSCCH</w:t>
            </w:r>
          </w:p>
          <w:p w14:paraId="1E9C6983" w14:textId="2A592339" w:rsidR="00394471" w:rsidRPr="00FA0D37" w:rsidRDefault="00394471" w:rsidP="00964CC4">
            <w:pPr>
              <w:pStyle w:val="TAL"/>
              <w:rPr>
                <w:lang w:eastAsia="en-GB"/>
              </w:rPr>
            </w:pPr>
            <w:r w:rsidRPr="00FA0D37">
              <w:rPr>
                <w:kern w:val="2"/>
                <w:lang w:eastAsia="en-GB"/>
              </w:rPr>
              <w:t xml:space="preserve">Indicates alpha value for downlink pathloss based power control for PSCCH/PSSCH when </w:t>
            </w:r>
            <w:r w:rsidRPr="00FA0D37">
              <w:rPr>
                <w:i/>
                <w:iCs/>
                <w:kern w:val="2"/>
                <w:lang w:eastAsia="en-GB"/>
              </w:rPr>
              <w:t>dl-P0-PSSCH</w:t>
            </w:r>
            <w:r w:rsidR="00811373" w:rsidRPr="00FA0D37">
              <w:rPr>
                <w:i/>
                <w:kern w:val="2"/>
                <w:lang w:eastAsia="en-GB"/>
              </w:rPr>
              <w:t>-PSCCH</w:t>
            </w:r>
            <w:r w:rsidRPr="00FA0D37">
              <w:rPr>
                <w:kern w:val="2"/>
                <w:lang w:eastAsia="en-GB"/>
              </w:rPr>
              <w:t xml:space="preserve"> is configured. When the field is absent the UE applies the value 1. </w:t>
            </w:r>
          </w:p>
        </w:tc>
      </w:tr>
      <w:tr w:rsidR="005C7FF4" w:rsidRPr="00FA0D37" w14:paraId="13A104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F3AC7C2" w14:textId="77777777" w:rsidR="00394471" w:rsidRPr="00FA0D37" w:rsidRDefault="00394471" w:rsidP="00964CC4">
            <w:pPr>
              <w:pStyle w:val="TAL"/>
              <w:rPr>
                <w:b/>
                <w:bCs/>
                <w:i/>
                <w:iCs/>
                <w:lang w:eastAsia="en-GB"/>
              </w:rPr>
            </w:pPr>
            <w:r w:rsidRPr="00FA0D37">
              <w:rPr>
                <w:b/>
                <w:bCs/>
                <w:i/>
                <w:iCs/>
                <w:lang w:eastAsia="en-GB"/>
              </w:rPr>
              <w:t>dl-P0-PSSCH-PSCCH</w:t>
            </w:r>
          </w:p>
          <w:p w14:paraId="0B7E77FA" w14:textId="77777777" w:rsidR="00BF5913" w:rsidRPr="00FA0D37" w:rsidRDefault="00394471" w:rsidP="00BF5913">
            <w:pPr>
              <w:pStyle w:val="TAL"/>
              <w:rPr>
                <w:kern w:val="2"/>
                <w:lang w:eastAsia="en-GB"/>
              </w:rPr>
            </w:pPr>
            <w:r w:rsidRPr="00FA0D37">
              <w:rPr>
                <w:kern w:val="2"/>
                <w:lang w:eastAsia="en-GB"/>
              </w:rPr>
              <w:t>Indicates P0 value for downlink pathloss based power control for PSCCH/PSSCH. If not configured, downlink pathloss based power control is disabled for PSCCH/PSSCH.</w:t>
            </w:r>
            <w:r w:rsidR="00750AB7" w:rsidRPr="00FA0D37">
              <w:rPr>
                <w:kern w:val="2"/>
                <w:lang w:eastAsia="en-GB"/>
              </w:rPr>
              <w:t xml:space="preserve"> When </w:t>
            </w:r>
            <w:r w:rsidR="00750AB7" w:rsidRPr="00FA0D37">
              <w:rPr>
                <w:i/>
                <w:kern w:val="2"/>
                <w:lang w:eastAsia="en-GB"/>
              </w:rPr>
              <w:t>dl-P0-PSSCH-PSCCH-r17</w:t>
            </w:r>
            <w:r w:rsidR="00750AB7" w:rsidRPr="00FA0D37">
              <w:rPr>
                <w:kern w:val="2"/>
                <w:lang w:eastAsia="en-GB"/>
              </w:rPr>
              <w:t xml:space="preserve"> is configured, the UE ignores </w:t>
            </w:r>
            <w:r w:rsidR="00750AB7" w:rsidRPr="00FA0D37">
              <w:rPr>
                <w:i/>
                <w:kern w:val="2"/>
                <w:lang w:eastAsia="en-GB"/>
              </w:rPr>
              <w:t>dl-P0-PSSCH-PSCCH-r16</w:t>
            </w:r>
            <w:r w:rsidR="00750AB7" w:rsidRPr="00FA0D37">
              <w:rPr>
                <w:kern w:val="2"/>
                <w:lang w:eastAsia="en-GB"/>
              </w:rPr>
              <w:t>.</w:t>
            </w:r>
          </w:p>
          <w:p w14:paraId="2D0E2B54" w14:textId="0DCD6F44" w:rsidR="00394471" w:rsidRPr="00FA0D37" w:rsidRDefault="00BF5913" w:rsidP="00BF5913">
            <w:pPr>
              <w:pStyle w:val="TAL"/>
              <w:rPr>
                <w:lang w:eastAsia="en-GB"/>
              </w:rPr>
            </w:pPr>
            <w:r w:rsidRPr="00FA0D37">
              <w:rPr>
                <w:kern w:val="2"/>
                <w:lang w:eastAsia="en-GB"/>
              </w:rPr>
              <w:t xml:space="preserve">A Remote UE which is out of coverage, considers downlink pathloss based power control is disabled for PSCCH/PSSCH when </w:t>
            </w:r>
            <w:r w:rsidRPr="00FA0D37">
              <w:rPr>
                <w:i/>
                <w:iCs/>
                <w:kern w:val="2"/>
                <w:lang w:eastAsia="en-GB"/>
              </w:rPr>
              <w:t>dl-P0-PSSCH-PSCCH</w:t>
            </w:r>
            <w:r w:rsidRPr="00FA0D37">
              <w:rPr>
                <w:kern w:val="2"/>
                <w:lang w:eastAsia="en-GB"/>
              </w:rPr>
              <w:t xml:space="preserve"> is configured.</w:t>
            </w:r>
          </w:p>
        </w:tc>
      </w:tr>
      <w:tr w:rsidR="005C7FF4" w:rsidRPr="00FA0D37" w14:paraId="274A73C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34199F8" w14:textId="77777777" w:rsidR="00394471" w:rsidRPr="00FA0D37" w:rsidRDefault="00394471" w:rsidP="00964CC4">
            <w:pPr>
              <w:pStyle w:val="TAL"/>
              <w:rPr>
                <w:b/>
                <w:bCs/>
                <w:i/>
                <w:iCs/>
                <w:lang w:eastAsia="en-GB"/>
              </w:rPr>
            </w:pPr>
            <w:r w:rsidRPr="00FA0D37">
              <w:rPr>
                <w:b/>
                <w:bCs/>
                <w:i/>
                <w:iCs/>
                <w:lang w:eastAsia="en-GB"/>
              </w:rPr>
              <w:t>dl-Alpha-PSFCH</w:t>
            </w:r>
          </w:p>
          <w:p w14:paraId="26BC77BE" w14:textId="1DE75342" w:rsidR="00394471" w:rsidRPr="00FA0D37" w:rsidRDefault="00394471" w:rsidP="00964CC4">
            <w:pPr>
              <w:pStyle w:val="TAL"/>
              <w:rPr>
                <w:lang w:eastAsia="en-GB"/>
              </w:rPr>
            </w:pPr>
            <w:r w:rsidRPr="00FA0D37">
              <w:rPr>
                <w:kern w:val="2"/>
                <w:lang w:eastAsia="en-GB"/>
              </w:rPr>
              <w:t xml:space="preserve">Indicates alpha value for downlink pathloss based power control for PSFCH when </w:t>
            </w:r>
            <w:r w:rsidRPr="00FA0D37">
              <w:rPr>
                <w:i/>
                <w:iCs/>
                <w:kern w:val="2"/>
                <w:lang w:eastAsia="en-GB"/>
              </w:rPr>
              <w:t>dl-P0-PSFCH</w:t>
            </w:r>
            <w:r w:rsidRPr="00FA0D37">
              <w:rPr>
                <w:kern w:val="2"/>
                <w:lang w:eastAsia="en-GB"/>
              </w:rPr>
              <w:t xml:space="preserve"> is configured. When the field is absent the UE applies the value 1. </w:t>
            </w:r>
            <w:r w:rsidR="003606BE" w:rsidRPr="00FA0D37">
              <w:rPr>
                <w:kern w:val="2"/>
                <w:lang w:eastAsia="en-GB"/>
              </w:rPr>
              <w:t>For resource pools configured with PSFCH resources overlapping in time, this field is either not configured in any of the resource pools or configured with the same value for all the resource pools.</w:t>
            </w:r>
          </w:p>
        </w:tc>
      </w:tr>
      <w:tr w:rsidR="00394471" w:rsidRPr="00FA0D37" w14:paraId="26E0A26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48D5F6" w14:textId="77777777" w:rsidR="00394471" w:rsidRPr="00FA0D37" w:rsidRDefault="00394471" w:rsidP="00964CC4">
            <w:pPr>
              <w:pStyle w:val="TAL"/>
              <w:rPr>
                <w:b/>
                <w:bCs/>
                <w:i/>
                <w:iCs/>
                <w:lang w:eastAsia="en-GB"/>
              </w:rPr>
            </w:pPr>
            <w:r w:rsidRPr="00FA0D37">
              <w:rPr>
                <w:b/>
                <w:bCs/>
                <w:i/>
                <w:iCs/>
                <w:lang w:eastAsia="en-GB"/>
              </w:rPr>
              <w:t>dl-P0-PSFCH</w:t>
            </w:r>
          </w:p>
          <w:p w14:paraId="11B88D9C" w14:textId="64041C3C" w:rsidR="00BF5913" w:rsidRPr="00FA0D37" w:rsidRDefault="00394471" w:rsidP="00BF5913">
            <w:pPr>
              <w:pStyle w:val="TAL"/>
              <w:rPr>
                <w:i/>
                <w:kern w:val="2"/>
                <w:lang w:eastAsia="en-GB"/>
              </w:rPr>
            </w:pPr>
            <w:r w:rsidRPr="00FA0D37">
              <w:rPr>
                <w:kern w:val="2"/>
                <w:lang w:eastAsia="en-GB"/>
              </w:rPr>
              <w:t>Indicates P0 value for downlink pathloss based power control for PSFCH. If not configured, downlink pathloss based power control is disabled for PSFCH.</w:t>
            </w:r>
            <w:r w:rsidR="00750AB7" w:rsidRPr="00FA0D37">
              <w:rPr>
                <w:kern w:val="2"/>
                <w:lang w:eastAsia="en-GB"/>
              </w:rPr>
              <w:t xml:space="preserve"> When </w:t>
            </w:r>
            <w:r w:rsidR="00750AB7" w:rsidRPr="00FA0D37">
              <w:rPr>
                <w:i/>
                <w:kern w:val="2"/>
                <w:lang w:eastAsia="en-GB"/>
              </w:rPr>
              <w:t>dl-P0-PSFCH-r17</w:t>
            </w:r>
            <w:r w:rsidR="00750AB7" w:rsidRPr="00FA0D37">
              <w:rPr>
                <w:kern w:val="2"/>
                <w:lang w:eastAsia="en-GB"/>
              </w:rPr>
              <w:t xml:space="preserve"> is configured, the UE ignores </w:t>
            </w:r>
            <w:r w:rsidR="00750AB7" w:rsidRPr="00FA0D37">
              <w:rPr>
                <w:i/>
                <w:kern w:val="2"/>
                <w:lang w:eastAsia="en-GB"/>
              </w:rPr>
              <w:t>dl-P0-PSFCH-r16.</w:t>
            </w:r>
            <w:r w:rsidR="003606BE" w:rsidRPr="00FA0D37">
              <w:rPr>
                <w:kern w:val="2"/>
                <w:lang w:eastAsia="en-GB"/>
              </w:rPr>
              <w:t xml:space="preserve"> For resource pools configured with PSFCH resources overlapping in time, this field is either not configured in any of the resource pools or configured with the same value for all the resource pools.</w:t>
            </w:r>
          </w:p>
          <w:p w14:paraId="7B452670" w14:textId="701D4A56" w:rsidR="00394471" w:rsidRPr="00FA0D37" w:rsidRDefault="00BF5913" w:rsidP="00BF5913">
            <w:pPr>
              <w:pStyle w:val="TAL"/>
              <w:rPr>
                <w:iCs/>
                <w:lang w:eastAsia="en-GB"/>
              </w:rPr>
            </w:pPr>
            <w:r w:rsidRPr="00FA0D37">
              <w:rPr>
                <w:iCs/>
                <w:kern w:val="2"/>
                <w:lang w:eastAsia="en-GB"/>
              </w:rPr>
              <w:t xml:space="preserve">A Remote UE which is out of coverage, considers downlink pathloss based power control is disabled for PSFCH when </w:t>
            </w:r>
            <w:r w:rsidRPr="00FA0D37">
              <w:rPr>
                <w:i/>
                <w:kern w:val="2"/>
                <w:lang w:eastAsia="en-GB"/>
              </w:rPr>
              <w:t>dl-P0-PSFCH</w:t>
            </w:r>
            <w:r w:rsidRPr="00FA0D37">
              <w:rPr>
                <w:iCs/>
                <w:kern w:val="2"/>
                <w:lang w:eastAsia="en-GB"/>
              </w:rPr>
              <w:t xml:space="preserve"> is configured.</w:t>
            </w:r>
          </w:p>
        </w:tc>
      </w:tr>
    </w:tbl>
    <w:p w14:paraId="12C426A9" w14:textId="77777777" w:rsidR="00394471" w:rsidRPr="00FA0D3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068CF72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A0BECED" w14:textId="77777777" w:rsidR="00394471" w:rsidRPr="00FA0D37" w:rsidRDefault="00394471" w:rsidP="00964CC4">
            <w:pPr>
              <w:pStyle w:val="TAH"/>
              <w:rPr>
                <w:lang w:eastAsia="en-GB"/>
              </w:rPr>
            </w:pPr>
            <w:r w:rsidRPr="00FA0D37">
              <w:rPr>
                <w:i/>
                <w:iCs/>
              </w:rPr>
              <w:t>SL-MinMaxMCS-Config</w:t>
            </w:r>
            <w:r w:rsidRPr="00FA0D37">
              <w:t xml:space="preserve"> </w:t>
            </w:r>
            <w:r w:rsidRPr="00FA0D37">
              <w:rPr>
                <w:noProof/>
                <w:lang w:eastAsia="en-GB"/>
              </w:rPr>
              <w:t>field descriptions</w:t>
            </w:r>
          </w:p>
        </w:tc>
      </w:tr>
      <w:tr w:rsidR="005C7FF4" w:rsidRPr="00FA0D37" w14:paraId="59B0DF34"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8F319DD" w14:textId="77777777" w:rsidR="00394471" w:rsidRPr="00FA0D37" w:rsidRDefault="00394471" w:rsidP="00964CC4">
            <w:pPr>
              <w:pStyle w:val="TAL"/>
              <w:rPr>
                <w:b/>
                <w:bCs/>
                <w:i/>
                <w:iCs/>
                <w:lang w:eastAsia="zh-CN"/>
              </w:rPr>
            </w:pPr>
            <w:r w:rsidRPr="00FA0D37">
              <w:rPr>
                <w:b/>
                <w:bCs/>
                <w:i/>
                <w:iCs/>
                <w:lang w:eastAsia="zh-CN"/>
              </w:rPr>
              <w:t>sl-MaxMCS-PSSCH</w:t>
            </w:r>
          </w:p>
          <w:p w14:paraId="51342D0B" w14:textId="11076F8B" w:rsidR="00394471" w:rsidRPr="00FA0D37" w:rsidRDefault="00394471" w:rsidP="00964CC4">
            <w:pPr>
              <w:pStyle w:val="TAL"/>
              <w:rPr>
                <w:lang w:eastAsia="zh-CN"/>
              </w:rPr>
            </w:pPr>
            <w:r w:rsidRPr="00FA0D37">
              <w:rPr>
                <w:lang w:eastAsia="zh-CN"/>
              </w:rPr>
              <w:t>Indicates the maximum MCS value when using the associated MCS table. If no MCS is configured, UE autonomously selects MCS from the full range of values.</w:t>
            </w:r>
          </w:p>
        </w:tc>
      </w:tr>
      <w:tr w:rsidR="00394471" w:rsidRPr="00FA0D37" w14:paraId="18C1492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16FB06B" w14:textId="77777777" w:rsidR="00394471" w:rsidRPr="00FA0D37" w:rsidRDefault="00394471" w:rsidP="00964CC4">
            <w:pPr>
              <w:pStyle w:val="TAL"/>
              <w:rPr>
                <w:b/>
                <w:bCs/>
                <w:i/>
                <w:iCs/>
                <w:lang w:eastAsia="zh-CN"/>
              </w:rPr>
            </w:pPr>
            <w:r w:rsidRPr="00FA0D37">
              <w:rPr>
                <w:b/>
                <w:bCs/>
                <w:i/>
                <w:iCs/>
                <w:lang w:eastAsia="zh-CN"/>
              </w:rPr>
              <w:t>sl-MinMCS-PSSCH</w:t>
            </w:r>
          </w:p>
          <w:p w14:paraId="64CFF39A" w14:textId="36483487" w:rsidR="00394471" w:rsidRPr="00FA0D37" w:rsidRDefault="00394471" w:rsidP="00964CC4">
            <w:pPr>
              <w:pStyle w:val="TAL"/>
              <w:rPr>
                <w:lang w:eastAsia="zh-CN"/>
              </w:rPr>
            </w:pPr>
            <w:r w:rsidRPr="00FA0D37">
              <w:rPr>
                <w:lang w:eastAsia="zh-CN"/>
              </w:rPr>
              <w:t>Indicates the minimum MCS value when using the associated MCS table. If no MCS is configured, UE autonomously selects MCS from the full range of values.</w:t>
            </w:r>
          </w:p>
        </w:tc>
      </w:tr>
    </w:tbl>
    <w:p w14:paraId="4A20B184" w14:textId="77777777" w:rsidR="00394471" w:rsidRPr="00FA0D37" w:rsidRDefault="00394471" w:rsidP="00394471">
      <w:pPr>
        <w:rPr>
          <w:rFonts w:eastAsia="Yu Mincho"/>
        </w:rPr>
      </w:pPr>
    </w:p>
    <w:p w14:paraId="6346E5F3" w14:textId="014972B8" w:rsidR="00394471" w:rsidRPr="00FA0D37" w:rsidRDefault="00394471" w:rsidP="00394471">
      <w:pPr>
        <w:pStyle w:val="4"/>
      </w:pPr>
      <w:bookmarkStart w:id="1813" w:name="_Toc60777546"/>
      <w:bookmarkStart w:id="1814" w:name="_Toc146781670"/>
      <w:r w:rsidRPr="00FA0D37">
        <w:t>–</w:t>
      </w:r>
      <w:r w:rsidRPr="00FA0D37">
        <w:tab/>
      </w:r>
      <w:r w:rsidRPr="00FA0D37">
        <w:rPr>
          <w:i/>
          <w:iCs/>
        </w:rPr>
        <w:t>SL-RLC-BearerConfig</w:t>
      </w:r>
      <w:bookmarkEnd w:id="1813"/>
      <w:bookmarkEnd w:id="1814"/>
    </w:p>
    <w:p w14:paraId="31F082AE" w14:textId="77777777" w:rsidR="00394471" w:rsidRPr="00FA0D37" w:rsidRDefault="00394471" w:rsidP="00394471">
      <w:pPr>
        <w:keepNext/>
        <w:keepLines/>
        <w:rPr>
          <w:iCs/>
        </w:rPr>
      </w:pPr>
      <w:r w:rsidRPr="00FA0D37">
        <w:rPr>
          <w:iCs/>
        </w:rPr>
        <w:t xml:space="preserve">The IE </w:t>
      </w:r>
      <w:r w:rsidRPr="00FA0D37">
        <w:rPr>
          <w:i/>
        </w:rPr>
        <w:t>SL-RLC-BearerConfig</w:t>
      </w:r>
      <w:r w:rsidRPr="00FA0D37">
        <w:rPr>
          <w:iCs/>
        </w:rPr>
        <w:t xml:space="preserve"> specifies the SL RLC bearer configuration information for NR sidelink communication.</w:t>
      </w:r>
    </w:p>
    <w:p w14:paraId="72D21A29" w14:textId="77777777" w:rsidR="00394471" w:rsidRPr="00FA0D37" w:rsidRDefault="00394471" w:rsidP="00394471">
      <w:pPr>
        <w:pStyle w:val="TH"/>
      </w:pPr>
      <w:r w:rsidRPr="00FA0D37">
        <w:rPr>
          <w:i/>
        </w:rPr>
        <w:t>SL-RLC-BearerConfig</w:t>
      </w:r>
      <w:r w:rsidRPr="00FA0D37">
        <w:t xml:space="preserve"> information element</w:t>
      </w:r>
    </w:p>
    <w:p w14:paraId="014285A5" w14:textId="77777777" w:rsidR="00394471" w:rsidRPr="00FA0D37" w:rsidRDefault="00394471" w:rsidP="00FA0D37">
      <w:pPr>
        <w:pStyle w:val="PL"/>
        <w:rPr>
          <w:color w:val="808080"/>
        </w:rPr>
      </w:pPr>
      <w:r w:rsidRPr="00FA0D37">
        <w:rPr>
          <w:color w:val="808080"/>
        </w:rPr>
        <w:t>-- ASN1START</w:t>
      </w:r>
    </w:p>
    <w:p w14:paraId="700DAA09" w14:textId="77777777" w:rsidR="00394471" w:rsidRPr="00FA0D37" w:rsidRDefault="00394471" w:rsidP="00FA0D37">
      <w:pPr>
        <w:pStyle w:val="PL"/>
        <w:rPr>
          <w:color w:val="808080"/>
        </w:rPr>
      </w:pPr>
      <w:r w:rsidRPr="00FA0D37">
        <w:rPr>
          <w:color w:val="808080"/>
        </w:rPr>
        <w:t>-- TAG-SL-RLC-BEARERCONFIG-START</w:t>
      </w:r>
    </w:p>
    <w:p w14:paraId="574103B8" w14:textId="77777777" w:rsidR="00394471" w:rsidRPr="00FA0D37" w:rsidRDefault="00394471" w:rsidP="00FA0D37">
      <w:pPr>
        <w:pStyle w:val="PL"/>
      </w:pPr>
    </w:p>
    <w:p w14:paraId="74389729" w14:textId="77777777" w:rsidR="00394471" w:rsidRPr="00FA0D37" w:rsidRDefault="00394471" w:rsidP="00FA0D37">
      <w:pPr>
        <w:pStyle w:val="PL"/>
      </w:pPr>
      <w:r w:rsidRPr="00FA0D37">
        <w:t xml:space="preserve">SL-RLC-BearerConfig-r16 ::=                   </w:t>
      </w:r>
      <w:r w:rsidRPr="00FA0D37">
        <w:rPr>
          <w:color w:val="993366"/>
        </w:rPr>
        <w:t>SEQUENCE</w:t>
      </w:r>
      <w:r w:rsidRPr="00FA0D37">
        <w:t xml:space="preserve"> {</w:t>
      </w:r>
    </w:p>
    <w:p w14:paraId="3A0C009F" w14:textId="77777777" w:rsidR="00394471" w:rsidRPr="00FA0D37" w:rsidRDefault="00394471" w:rsidP="00FA0D37">
      <w:pPr>
        <w:pStyle w:val="PL"/>
      </w:pPr>
      <w:r w:rsidRPr="00FA0D37">
        <w:t xml:space="preserve">    sl-RLC-BearerConfigIndex-r16                  SL-RLC-BearerConfigIndex-r16,</w:t>
      </w:r>
    </w:p>
    <w:p w14:paraId="7980AFFF" w14:textId="77777777" w:rsidR="00394471" w:rsidRPr="00FA0D37" w:rsidRDefault="00394471" w:rsidP="00FA0D37">
      <w:pPr>
        <w:pStyle w:val="PL"/>
        <w:rPr>
          <w:color w:val="808080"/>
        </w:rPr>
      </w:pPr>
      <w:r w:rsidRPr="00FA0D37">
        <w:t xml:space="preserve">    sl-ServedRadioBearer-r16                      SLRB-Uu-ConfigIndex-r16                          </w:t>
      </w:r>
      <w:r w:rsidRPr="00FA0D37">
        <w:rPr>
          <w:color w:val="993366"/>
        </w:rPr>
        <w:t>OPTIONAL</w:t>
      </w:r>
      <w:r w:rsidRPr="00FA0D37">
        <w:t xml:space="preserve">,   </w:t>
      </w:r>
      <w:r w:rsidRPr="00FA0D37">
        <w:rPr>
          <w:color w:val="808080"/>
        </w:rPr>
        <w:t>-- Cond LCH-SetupOnly</w:t>
      </w:r>
    </w:p>
    <w:p w14:paraId="58ECBA7A" w14:textId="77777777" w:rsidR="00394471" w:rsidRPr="00FA0D37" w:rsidRDefault="00394471" w:rsidP="00FA0D37">
      <w:pPr>
        <w:pStyle w:val="PL"/>
        <w:rPr>
          <w:color w:val="808080"/>
        </w:rPr>
      </w:pPr>
      <w:r w:rsidRPr="00FA0D37">
        <w:t xml:space="preserve">    sl-RLC-Config-r16                             SL-RLC-Config-r16                                </w:t>
      </w:r>
      <w:r w:rsidRPr="00FA0D37">
        <w:rPr>
          <w:color w:val="993366"/>
        </w:rPr>
        <w:t>OPTIONAL</w:t>
      </w:r>
      <w:r w:rsidRPr="00FA0D37">
        <w:t xml:space="preserve">,   </w:t>
      </w:r>
      <w:r w:rsidRPr="00FA0D37">
        <w:rPr>
          <w:color w:val="808080"/>
        </w:rPr>
        <w:t>-- Cond LCH-Setup</w:t>
      </w:r>
    </w:p>
    <w:p w14:paraId="0CBAC971" w14:textId="77777777" w:rsidR="00394471" w:rsidRPr="00FA0D37" w:rsidRDefault="00394471" w:rsidP="00FA0D37">
      <w:pPr>
        <w:pStyle w:val="PL"/>
        <w:rPr>
          <w:color w:val="808080"/>
        </w:rPr>
      </w:pPr>
      <w:r w:rsidRPr="00FA0D37">
        <w:t xml:space="preserve">    sl-MAC-LogicalChannelConfig-r16               SL-LogicalChannelConfig-r16                      </w:t>
      </w:r>
      <w:r w:rsidRPr="00FA0D37">
        <w:rPr>
          <w:color w:val="993366"/>
        </w:rPr>
        <w:t>OPTIONAL</w:t>
      </w:r>
      <w:r w:rsidRPr="00FA0D37">
        <w:t xml:space="preserve">,   </w:t>
      </w:r>
      <w:r w:rsidRPr="00FA0D37">
        <w:rPr>
          <w:color w:val="808080"/>
        </w:rPr>
        <w:t>-- Cond LCH-Setup</w:t>
      </w:r>
    </w:p>
    <w:p w14:paraId="74CEB5D6" w14:textId="77777777" w:rsidR="00394471" w:rsidRPr="00FA0D37" w:rsidRDefault="00394471" w:rsidP="00FA0D37">
      <w:pPr>
        <w:pStyle w:val="PL"/>
      </w:pPr>
      <w:r w:rsidRPr="00FA0D37">
        <w:t xml:space="preserve">    ...</w:t>
      </w:r>
    </w:p>
    <w:p w14:paraId="3922BF04" w14:textId="77777777" w:rsidR="00394471" w:rsidRPr="00FA0D37" w:rsidRDefault="00394471" w:rsidP="00FA0D37">
      <w:pPr>
        <w:pStyle w:val="PL"/>
      </w:pPr>
      <w:r w:rsidRPr="00FA0D37">
        <w:t>}</w:t>
      </w:r>
    </w:p>
    <w:p w14:paraId="0506C211" w14:textId="77777777" w:rsidR="00394471" w:rsidRPr="00FA0D37" w:rsidRDefault="00394471" w:rsidP="00FA0D37">
      <w:pPr>
        <w:pStyle w:val="PL"/>
        <w:rPr>
          <w:rFonts w:eastAsia="等线"/>
        </w:rPr>
      </w:pPr>
    </w:p>
    <w:p w14:paraId="6F4FAFD5" w14:textId="77777777" w:rsidR="00394471" w:rsidRPr="00FA0D37" w:rsidRDefault="00394471" w:rsidP="00FA0D37">
      <w:pPr>
        <w:pStyle w:val="PL"/>
        <w:rPr>
          <w:color w:val="808080"/>
        </w:rPr>
      </w:pPr>
      <w:r w:rsidRPr="00FA0D37">
        <w:rPr>
          <w:color w:val="808080"/>
        </w:rPr>
        <w:t>-- TAG-SL-RLC-BEARERCONFIG-STOP</w:t>
      </w:r>
    </w:p>
    <w:p w14:paraId="5F197E48" w14:textId="77777777" w:rsidR="00394471" w:rsidRPr="00FA0D37" w:rsidRDefault="00394471" w:rsidP="00FA0D37">
      <w:pPr>
        <w:pStyle w:val="PL"/>
        <w:rPr>
          <w:color w:val="808080"/>
        </w:rPr>
      </w:pPr>
      <w:r w:rsidRPr="00FA0D37">
        <w:rPr>
          <w:color w:val="808080"/>
        </w:rPr>
        <w:t>-- ASN1STOP</w:t>
      </w:r>
    </w:p>
    <w:p w14:paraId="700E6C64" w14:textId="77777777" w:rsidR="00394471" w:rsidRPr="00FA0D3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4E7545B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461292B" w14:textId="7656AC9E" w:rsidR="00394471" w:rsidRPr="00FA0D37" w:rsidRDefault="00394471" w:rsidP="00964CC4">
            <w:pPr>
              <w:pStyle w:val="TAH"/>
              <w:rPr>
                <w:b w:val="0"/>
                <w:lang w:eastAsia="en-GB"/>
              </w:rPr>
            </w:pPr>
            <w:r w:rsidRPr="00FA0D37">
              <w:rPr>
                <w:i/>
                <w:iCs/>
                <w:noProof/>
                <w:lang w:eastAsia="en-GB"/>
              </w:rPr>
              <w:t>SL</w:t>
            </w:r>
            <w:r w:rsidRPr="00FA0D37">
              <w:rPr>
                <w:i/>
                <w:iCs/>
                <w:lang w:eastAsia="sv-SE"/>
              </w:rPr>
              <w:t>-RLC-BearerConfig</w:t>
            </w:r>
            <w:r w:rsidRPr="00FA0D37">
              <w:rPr>
                <w:iCs/>
                <w:noProof/>
                <w:lang w:eastAsia="en-GB"/>
              </w:rPr>
              <w:t xml:space="preserve"> field descriptions</w:t>
            </w:r>
          </w:p>
        </w:tc>
      </w:tr>
      <w:tr w:rsidR="005C7FF4" w:rsidRPr="00FA0D37" w14:paraId="7C84C16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04014BE4" w14:textId="77777777" w:rsidR="00394471" w:rsidRPr="00FA0D37" w:rsidRDefault="00394471" w:rsidP="00964CC4">
            <w:pPr>
              <w:pStyle w:val="TAL"/>
              <w:rPr>
                <w:b/>
                <w:bCs/>
                <w:i/>
                <w:iCs/>
                <w:noProof/>
                <w:lang w:eastAsia="en-GB"/>
              </w:rPr>
            </w:pPr>
            <w:r w:rsidRPr="00FA0D37">
              <w:rPr>
                <w:b/>
                <w:bCs/>
                <w:i/>
                <w:iCs/>
                <w:noProof/>
                <w:lang w:eastAsia="en-GB"/>
              </w:rPr>
              <w:t>sl-MAC-LogicalChannelConfig</w:t>
            </w:r>
          </w:p>
          <w:p w14:paraId="40C91057" w14:textId="5BF6F599" w:rsidR="00394471" w:rsidRPr="00FA0D37" w:rsidRDefault="00394471" w:rsidP="00964CC4">
            <w:pPr>
              <w:pStyle w:val="TAL"/>
              <w:rPr>
                <w:noProof/>
                <w:lang w:eastAsia="en-GB"/>
              </w:rPr>
            </w:pPr>
            <w:r w:rsidRPr="00FA0D37">
              <w:rPr>
                <w:noProof/>
                <w:lang w:eastAsia="en-GB"/>
              </w:rPr>
              <w:t>The field is used to configure MAC SL logical channel parameters.</w:t>
            </w:r>
          </w:p>
        </w:tc>
      </w:tr>
      <w:tr w:rsidR="005C7FF4" w:rsidRPr="00FA0D37" w14:paraId="155E128B"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FB9609" w14:textId="77777777" w:rsidR="00394471" w:rsidRPr="00FA0D37" w:rsidRDefault="00394471" w:rsidP="00964CC4">
            <w:pPr>
              <w:pStyle w:val="TAL"/>
              <w:rPr>
                <w:rFonts w:eastAsia="等线"/>
                <w:b/>
                <w:bCs/>
                <w:i/>
                <w:iCs/>
                <w:lang w:eastAsia="zh-CN"/>
              </w:rPr>
            </w:pPr>
            <w:r w:rsidRPr="00FA0D37">
              <w:rPr>
                <w:rFonts w:eastAsia="等线"/>
                <w:b/>
                <w:bCs/>
                <w:i/>
                <w:iCs/>
                <w:lang w:eastAsia="zh-CN"/>
              </w:rPr>
              <w:t>sl-RLC-BearerConfigIndex</w:t>
            </w:r>
          </w:p>
          <w:p w14:paraId="4DB78B0B" w14:textId="77777777" w:rsidR="00394471" w:rsidRPr="00FA0D37" w:rsidRDefault="00394471" w:rsidP="00964CC4">
            <w:pPr>
              <w:pStyle w:val="TAL"/>
              <w:rPr>
                <w:lang w:eastAsia="en-GB"/>
              </w:rPr>
            </w:pPr>
            <w:r w:rsidRPr="00FA0D37">
              <w:rPr>
                <w:lang w:eastAsia="en-GB"/>
              </w:rPr>
              <w:t xml:space="preserve">The index of the </w:t>
            </w:r>
            <w:r w:rsidRPr="00FA0D37">
              <w:rPr>
                <w:iCs/>
                <w:lang w:eastAsia="sv-SE"/>
              </w:rPr>
              <w:t>RLC bearer configuration.</w:t>
            </w:r>
          </w:p>
        </w:tc>
      </w:tr>
      <w:tr w:rsidR="005C7FF4" w:rsidRPr="00FA0D37" w14:paraId="25E2CB1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FA2766" w14:textId="77777777" w:rsidR="00394471" w:rsidRPr="00FA0D37" w:rsidRDefault="00394471" w:rsidP="00964CC4">
            <w:pPr>
              <w:pStyle w:val="TAL"/>
              <w:rPr>
                <w:b/>
                <w:bCs/>
                <w:i/>
                <w:iCs/>
                <w:lang w:eastAsia="en-GB"/>
              </w:rPr>
            </w:pPr>
            <w:r w:rsidRPr="00FA0D37">
              <w:rPr>
                <w:rFonts w:eastAsia="等线"/>
                <w:b/>
                <w:bCs/>
                <w:i/>
                <w:iCs/>
                <w:lang w:eastAsia="zh-CN"/>
              </w:rPr>
              <w:t>sl-RLC-Config</w:t>
            </w:r>
          </w:p>
          <w:p w14:paraId="1BC66A25" w14:textId="77777777" w:rsidR="00394471" w:rsidRPr="00FA0D37" w:rsidRDefault="00394471" w:rsidP="00964CC4">
            <w:pPr>
              <w:pStyle w:val="TAL"/>
              <w:rPr>
                <w:rFonts w:eastAsia="等线"/>
                <w:lang w:eastAsia="zh-CN"/>
              </w:rPr>
            </w:pPr>
            <w:r w:rsidRPr="00FA0D37">
              <w:rPr>
                <w:szCs w:val="22"/>
                <w:lang w:eastAsia="sv-SE"/>
              </w:rPr>
              <w:t>Determines the RLC mode (UM, AM) and provides corresponding parameters.</w:t>
            </w:r>
          </w:p>
        </w:tc>
      </w:tr>
      <w:tr w:rsidR="00375B89" w:rsidRPr="00FA0D37" w14:paraId="008E33C5"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896B775" w14:textId="77777777" w:rsidR="00394471" w:rsidRPr="00FA0D37" w:rsidRDefault="00394471" w:rsidP="00964CC4">
            <w:pPr>
              <w:pStyle w:val="TAL"/>
              <w:rPr>
                <w:rFonts w:eastAsia="等线"/>
                <w:b/>
                <w:bCs/>
                <w:i/>
                <w:iCs/>
                <w:lang w:eastAsia="zh-CN"/>
              </w:rPr>
            </w:pPr>
            <w:r w:rsidRPr="00FA0D37">
              <w:rPr>
                <w:rFonts w:eastAsia="等线"/>
                <w:b/>
                <w:bCs/>
                <w:i/>
                <w:iCs/>
                <w:lang w:eastAsia="zh-CN"/>
              </w:rPr>
              <w:t>sl-ServedRadioBearer</w:t>
            </w:r>
          </w:p>
          <w:p w14:paraId="1908C585" w14:textId="77777777" w:rsidR="00394471" w:rsidRPr="00FA0D37" w:rsidRDefault="00394471" w:rsidP="00964CC4">
            <w:pPr>
              <w:pStyle w:val="TAL"/>
              <w:rPr>
                <w:rFonts w:eastAsia="等线"/>
                <w:lang w:eastAsia="zh-CN"/>
              </w:rPr>
            </w:pPr>
            <w:r w:rsidRPr="00FA0D37">
              <w:rPr>
                <w:szCs w:val="22"/>
                <w:lang w:eastAsia="sv-SE"/>
              </w:rPr>
              <w:t xml:space="preserve">Associates the sidelink RLC Bearer with a </w:t>
            </w:r>
            <w:r w:rsidRPr="00FA0D37">
              <w:rPr>
                <w:rFonts w:eastAsia="等线" w:cs="Arial"/>
                <w:lang w:eastAsia="zh-CN"/>
              </w:rPr>
              <w:t>sidelink DRB</w:t>
            </w:r>
            <w:r w:rsidRPr="00FA0D37">
              <w:rPr>
                <w:szCs w:val="22"/>
                <w:lang w:eastAsia="sv-SE"/>
              </w:rPr>
              <w:t xml:space="preserve">. It </w:t>
            </w:r>
            <w:r w:rsidRPr="00FA0D37">
              <w:rPr>
                <w:lang w:eastAsia="en-GB"/>
              </w:rPr>
              <w:t xml:space="preserve">indicates the index of SL radio bearer configuration, which is corresponding to the </w:t>
            </w:r>
            <w:r w:rsidRPr="00FA0D37">
              <w:rPr>
                <w:iCs/>
                <w:lang w:eastAsia="sv-SE"/>
              </w:rPr>
              <w:t>RLC bearer configuration.</w:t>
            </w:r>
          </w:p>
        </w:tc>
      </w:tr>
    </w:tbl>
    <w:p w14:paraId="6A64C5BC" w14:textId="77777777" w:rsidR="00394471" w:rsidRPr="00FA0D37"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5C7FF4" w:rsidRPr="00FA0D37" w14:paraId="699E2F70"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702ADD7" w14:textId="77777777" w:rsidR="00394471" w:rsidRPr="00FA0D37" w:rsidRDefault="00394471" w:rsidP="00964CC4">
            <w:pPr>
              <w:pStyle w:val="TAH"/>
              <w:rPr>
                <w:b w:val="0"/>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D3EFA9" w14:textId="77777777" w:rsidR="00394471" w:rsidRPr="00FA0D37" w:rsidRDefault="00394471" w:rsidP="00964CC4">
            <w:pPr>
              <w:pStyle w:val="TAH"/>
              <w:rPr>
                <w:lang w:eastAsia="sv-SE"/>
              </w:rPr>
            </w:pPr>
            <w:r w:rsidRPr="00FA0D37">
              <w:rPr>
                <w:lang w:eastAsia="sv-SE"/>
              </w:rPr>
              <w:t>Explanation</w:t>
            </w:r>
          </w:p>
        </w:tc>
      </w:tr>
      <w:tr w:rsidR="005C7FF4" w:rsidRPr="00FA0D37" w14:paraId="63F9E66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48EBE11" w14:textId="77777777" w:rsidR="00394471" w:rsidRPr="00FA0D37" w:rsidRDefault="00394471" w:rsidP="00964CC4">
            <w:pPr>
              <w:pStyle w:val="TAL"/>
              <w:rPr>
                <w:i/>
                <w:iCs/>
                <w:lang w:eastAsia="sv-SE"/>
              </w:rPr>
            </w:pPr>
            <w:r w:rsidRPr="00FA0D37">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231E7EF9" w14:textId="77777777" w:rsidR="00394471" w:rsidRPr="00FA0D37" w:rsidRDefault="00394471" w:rsidP="00964CC4">
            <w:pPr>
              <w:pStyle w:val="TAL"/>
              <w:rPr>
                <w:lang w:eastAsia="sv-SE"/>
              </w:rPr>
            </w:pPr>
            <w:r w:rsidRPr="00FA0D37">
              <w:rPr>
                <w:lang w:eastAsia="sv-SE"/>
              </w:rPr>
              <w:t xml:space="preserve">The field is mandatory present upon creation of a new sidelink logical channel via the dedicated signalling and in case of </w:t>
            </w:r>
            <w:r w:rsidRPr="00FA0D37">
              <w:rPr>
                <w:rFonts w:eastAsia="等线" w:cs="Arial"/>
                <w:lang w:eastAsia="zh-CN"/>
              </w:rPr>
              <w:t>sidelink DRB</w:t>
            </w:r>
            <w:r w:rsidRPr="00FA0D37">
              <w:rPr>
                <w:lang w:eastAsia="sv-SE"/>
              </w:rPr>
              <w:t xml:space="preserve"> configuration via system information</w:t>
            </w:r>
            <w:r w:rsidRPr="00FA0D37">
              <w:rPr>
                <w:rFonts w:cs="Arial"/>
                <w:szCs w:val="22"/>
              </w:rPr>
              <w:t xml:space="preserve"> and pre-configuration</w:t>
            </w:r>
            <w:r w:rsidRPr="00FA0D37">
              <w:rPr>
                <w:lang w:eastAsia="sv-SE"/>
              </w:rPr>
              <w:t>; otherwise the field is optionally present, Need M.</w:t>
            </w:r>
          </w:p>
        </w:tc>
      </w:tr>
      <w:tr w:rsidR="00375B89" w:rsidRPr="00FA0D37" w14:paraId="7914F25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508F65B" w14:textId="77777777" w:rsidR="00394471" w:rsidRPr="00FA0D37" w:rsidRDefault="00394471" w:rsidP="00964CC4">
            <w:pPr>
              <w:pStyle w:val="TAL"/>
              <w:rPr>
                <w:rFonts w:cs="Arial"/>
                <w:i/>
                <w:iCs/>
                <w:lang w:eastAsia="sv-SE"/>
              </w:rPr>
            </w:pPr>
            <w:r w:rsidRPr="00FA0D37">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DFBAFA" w14:textId="77777777" w:rsidR="00394471" w:rsidRPr="00FA0D37" w:rsidRDefault="00394471" w:rsidP="00964CC4">
            <w:pPr>
              <w:pStyle w:val="TAL"/>
              <w:rPr>
                <w:lang w:eastAsia="sv-SE"/>
              </w:rPr>
            </w:pPr>
            <w:r w:rsidRPr="00FA0D37">
              <w:rPr>
                <w:szCs w:val="22"/>
                <w:lang w:eastAsia="sv-SE"/>
              </w:rPr>
              <w:t>This field is mandatory present upon creation of a new</w:t>
            </w:r>
            <w:r w:rsidRPr="00FA0D37">
              <w:rPr>
                <w:szCs w:val="22"/>
                <w:lang w:eastAsia="zh-CN"/>
              </w:rPr>
              <w:t xml:space="preserve"> </w:t>
            </w:r>
            <w:r w:rsidRPr="00FA0D37">
              <w:rPr>
                <w:szCs w:val="22"/>
                <w:lang w:eastAsia="sv-SE"/>
              </w:rPr>
              <w:t xml:space="preserve">sidelink logical channel </w:t>
            </w:r>
            <w:r w:rsidRPr="00FA0D37">
              <w:rPr>
                <w:rFonts w:cs="Arial"/>
              </w:rPr>
              <w:t xml:space="preserve">via the dedicated signalling </w:t>
            </w:r>
            <w:r w:rsidRPr="00FA0D37">
              <w:rPr>
                <w:szCs w:val="22"/>
                <w:lang w:eastAsia="sv-SE"/>
              </w:rPr>
              <w:t xml:space="preserve">and in case of </w:t>
            </w:r>
            <w:r w:rsidRPr="00FA0D37">
              <w:rPr>
                <w:rFonts w:eastAsia="等线" w:cs="Arial"/>
                <w:lang w:eastAsia="zh-CN"/>
              </w:rPr>
              <w:t>sidelink DRB</w:t>
            </w:r>
            <w:r w:rsidRPr="00FA0D37">
              <w:rPr>
                <w:szCs w:val="22"/>
                <w:lang w:eastAsia="sv-SE"/>
              </w:rPr>
              <w:t xml:space="preserve"> configuration via system information and pre-configuration. Otherwise, it is </w:t>
            </w:r>
            <w:r w:rsidRPr="00FA0D37">
              <w:rPr>
                <w:rFonts w:cs="Arial"/>
                <w:szCs w:val="22"/>
              </w:rPr>
              <w:t>absent</w:t>
            </w:r>
            <w:r w:rsidRPr="00FA0D37">
              <w:rPr>
                <w:szCs w:val="22"/>
                <w:lang w:eastAsia="sv-SE"/>
              </w:rPr>
              <w:t>, Need M.</w:t>
            </w:r>
          </w:p>
        </w:tc>
      </w:tr>
    </w:tbl>
    <w:p w14:paraId="33A1040A" w14:textId="77777777" w:rsidR="00394471" w:rsidRPr="00FA0D37" w:rsidRDefault="00394471" w:rsidP="00394471">
      <w:pPr>
        <w:rPr>
          <w:rFonts w:eastAsia="Yu Mincho"/>
        </w:rPr>
      </w:pPr>
    </w:p>
    <w:p w14:paraId="4324BBCA" w14:textId="1D8CB62F" w:rsidR="00394471" w:rsidRPr="00FA0D37" w:rsidRDefault="00394471" w:rsidP="00394471">
      <w:pPr>
        <w:pStyle w:val="4"/>
      </w:pPr>
      <w:bookmarkStart w:id="1815" w:name="_Toc60777547"/>
      <w:bookmarkStart w:id="1816" w:name="_Toc146781671"/>
      <w:r w:rsidRPr="00FA0D37">
        <w:t>–</w:t>
      </w:r>
      <w:r w:rsidRPr="00FA0D37">
        <w:tab/>
      </w:r>
      <w:r w:rsidRPr="00FA0D37">
        <w:rPr>
          <w:i/>
          <w:iCs/>
        </w:rPr>
        <w:t>SL-RLC-BearerConfigIndex</w:t>
      </w:r>
      <w:bookmarkEnd w:id="1815"/>
      <w:bookmarkEnd w:id="1816"/>
    </w:p>
    <w:p w14:paraId="73450B26" w14:textId="18E3AF1E" w:rsidR="00394471" w:rsidRPr="00FA0D37" w:rsidRDefault="00394471" w:rsidP="00394471">
      <w:r w:rsidRPr="00FA0D37">
        <w:t xml:space="preserve">The IE </w:t>
      </w:r>
      <w:r w:rsidR="00C12C0B" w:rsidRPr="00FA0D37">
        <w:rPr>
          <w:i/>
        </w:rPr>
        <w:t>SL-RLC-BearerConfigIndex</w:t>
      </w:r>
      <w:r w:rsidRPr="00FA0D37">
        <w:t xml:space="preserve"> is used to identify a </w:t>
      </w:r>
      <w:r w:rsidRPr="00FA0D37">
        <w:rPr>
          <w:iCs/>
        </w:rPr>
        <w:t>SL RLC bearer configuration</w:t>
      </w:r>
      <w:r w:rsidRPr="00FA0D37">
        <w:t>.</w:t>
      </w:r>
    </w:p>
    <w:p w14:paraId="3AC997AF" w14:textId="71C1CAEB" w:rsidR="00394471" w:rsidRPr="00FA0D37" w:rsidRDefault="00C12C0B" w:rsidP="00394471">
      <w:pPr>
        <w:pStyle w:val="TH"/>
        <w:rPr>
          <w:b w:val="0"/>
        </w:rPr>
      </w:pPr>
      <w:r w:rsidRPr="00FA0D37">
        <w:rPr>
          <w:i/>
          <w:iCs/>
        </w:rPr>
        <w:t>SL-RLC-BearerConfigIndex</w:t>
      </w:r>
      <w:r w:rsidR="00394471" w:rsidRPr="00FA0D37">
        <w:t xml:space="preserve"> information element</w:t>
      </w:r>
    </w:p>
    <w:p w14:paraId="62CCD72F" w14:textId="77777777" w:rsidR="00394471" w:rsidRPr="00FA0D37" w:rsidRDefault="00394471" w:rsidP="00FA0D37">
      <w:pPr>
        <w:pStyle w:val="PL"/>
        <w:rPr>
          <w:color w:val="808080"/>
        </w:rPr>
      </w:pPr>
      <w:r w:rsidRPr="00FA0D37">
        <w:rPr>
          <w:color w:val="808080"/>
        </w:rPr>
        <w:t>-- ASN1START</w:t>
      </w:r>
    </w:p>
    <w:p w14:paraId="67681245" w14:textId="77777777" w:rsidR="00394471" w:rsidRPr="00FA0D37" w:rsidRDefault="00394471" w:rsidP="00FA0D37">
      <w:pPr>
        <w:pStyle w:val="PL"/>
        <w:rPr>
          <w:color w:val="808080"/>
        </w:rPr>
      </w:pPr>
      <w:r w:rsidRPr="00FA0D37">
        <w:rPr>
          <w:color w:val="808080"/>
        </w:rPr>
        <w:t>-- TAG-SL-RLC-BEARERCONFIGINDEX-START</w:t>
      </w:r>
    </w:p>
    <w:p w14:paraId="1E91C5FF" w14:textId="77777777" w:rsidR="00394471" w:rsidRPr="00FA0D37" w:rsidRDefault="00394471" w:rsidP="00FA0D37">
      <w:pPr>
        <w:pStyle w:val="PL"/>
      </w:pPr>
    </w:p>
    <w:p w14:paraId="596594D0" w14:textId="77777777" w:rsidR="00394471" w:rsidRPr="00FA0D37" w:rsidRDefault="00394471" w:rsidP="00FA0D37">
      <w:pPr>
        <w:pStyle w:val="PL"/>
      </w:pPr>
      <w:r w:rsidRPr="00FA0D37">
        <w:t xml:space="preserve">SL-RLC-BearerConfigIndex-r16 ::=                    </w:t>
      </w:r>
      <w:r w:rsidRPr="00FA0D37">
        <w:rPr>
          <w:color w:val="993366"/>
        </w:rPr>
        <w:t>INTEGER</w:t>
      </w:r>
      <w:r w:rsidRPr="00FA0D37">
        <w:t xml:space="preserve"> (1..maxSL-LCID-r16)</w:t>
      </w:r>
    </w:p>
    <w:p w14:paraId="290ACCDA" w14:textId="77777777" w:rsidR="00394471" w:rsidRPr="00FA0D37" w:rsidRDefault="00394471" w:rsidP="00FA0D37">
      <w:pPr>
        <w:pStyle w:val="PL"/>
      </w:pPr>
    </w:p>
    <w:p w14:paraId="1E618025" w14:textId="77777777" w:rsidR="00394471" w:rsidRPr="00FA0D37" w:rsidRDefault="00394471" w:rsidP="00FA0D37">
      <w:pPr>
        <w:pStyle w:val="PL"/>
        <w:rPr>
          <w:color w:val="808080"/>
        </w:rPr>
      </w:pPr>
      <w:r w:rsidRPr="00FA0D37">
        <w:rPr>
          <w:color w:val="808080"/>
        </w:rPr>
        <w:t>-- TAG-RLC-BEARERCONFIGINDEX-STOP</w:t>
      </w:r>
    </w:p>
    <w:p w14:paraId="1D7DC0B8" w14:textId="77777777" w:rsidR="00394471" w:rsidRPr="00FA0D37" w:rsidRDefault="00394471" w:rsidP="00FA0D37">
      <w:pPr>
        <w:pStyle w:val="PL"/>
        <w:rPr>
          <w:color w:val="808080"/>
        </w:rPr>
      </w:pPr>
      <w:r w:rsidRPr="00FA0D37">
        <w:rPr>
          <w:color w:val="808080"/>
        </w:rPr>
        <w:t>-- ASN1STOP</w:t>
      </w:r>
    </w:p>
    <w:p w14:paraId="7C570BF0" w14:textId="6E7B1A05" w:rsidR="00394471" w:rsidRPr="00FA0D37" w:rsidRDefault="00394471" w:rsidP="00394471">
      <w:pPr>
        <w:rPr>
          <w:rFonts w:eastAsia="Yu Mincho"/>
        </w:rPr>
      </w:pPr>
    </w:p>
    <w:p w14:paraId="3CBDBA58" w14:textId="79222EBA" w:rsidR="00E81DFA" w:rsidRPr="00FA0D37" w:rsidRDefault="00E81DFA" w:rsidP="00E81DFA">
      <w:pPr>
        <w:pStyle w:val="4"/>
      </w:pPr>
      <w:bookmarkStart w:id="1817" w:name="_Toc146781672"/>
      <w:r w:rsidRPr="00FA0D37">
        <w:lastRenderedPageBreak/>
        <w:t>–</w:t>
      </w:r>
      <w:r w:rsidRPr="00FA0D37">
        <w:tab/>
      </w:r>
      <w:r w:rsidRPr="00FA0D37">
        <w:rPr>
          <w:i/>
          <w:iCs/>
        </w:rPr>
        <w:t>SL-RLC-ChannelConfig</w:t>
      </w:r>
      <w:bookmarkEnd w:id="1817"/>
    </w:p>
    <w:p w14:paraId="55A29776" w14:textId="32927BFA" w:rsidR="00E81DFA" w:rsidRPr="00FA0D37" w:rsidRDefault="00E81DFA" w:rsidP="00E81DFA">
      <w:pPr>
        <w:keepNext/>
        <w:keepLines/>
        <w:rPr>
          <w:iCs/>
        </w:rPr>
      </w:pPr>
      <w:r w:rsidRPr="00FA0D37">
        <w:rPr>
          <w:iCs/>
        </w:rPr>
        <w:t xml:space="preserve">The IE </w:t>
      </w:r>
      <w:r w:rsidRPr="00FA0D37">
        <w:rPr>
          <w:i/>
        </w:rPr>
        <w:t>SL-RLC-</w:t>
      </w:r>
      <w:r w:rsidRPr="00FA0D37">
        <w:rPr>
          <w:rFonts w:eastAsia="宋体"/>
          <w:i/>
        </w:rPr>
        <w:t>ChannelConfig</w:t>
      </w:r>
      <w:r w:rsidRPr="00FA0D37">
        <w:rPr>
          <w:iCs/>
        </w:rPr>
        <w:t xml:space="preserve"> specifies the configuration information </w:t>
      </w:r>
      <w:r w:rsidRPr="00FA0D37">
        <w:rPr>
          <w:rFonts w:eastAsia="宋体"/>
        </w:rPr>
        <w:t>for PC5 Relay RLC channel between L2 U2N Relay UE and L2 U2N Remote UE</w:t>
      </w:r>
      <w:r w:rsidRPr="00FA0D37">
        <w:rPr>
          <w:iCs/>
        </w:rPr>
        <w:t>.</w:t>
      </w:r>
    </w:p>
    <w:p w14:paraId="59996D5F" w14:textId="77777777" w:rsidR="00E81DFA" w:rsidRPr="00FA0D37" w:rsidRDefault="00E81DFA" w:rsidP="00E81DFA">
      <w:pPr>
        <w:pStyle w:val="TH"/>
      </w:pPr>
      <w:r w:rsidRPr="00FA0D37">
        <w:rPr>
          <w:i/>
        </w:rPr>
        <w:t>SL-RLC-ChannelConfig</w:t>
      </w:r>
      <w:r w:rsidRPr="00FA0D37">
        <w:t xml:space="preserve"> information element</w:t>
      </w:r>
    </w:p>
    <w:p w14:paraId="6E05B7BD" w14:textId="77777777" w:rsidR="00E81DFA" w:rsidRPr="00FA0D37" w:rsidRDefault="00E81DFA" w:rsidP="00FA0D37">
      <w:pPr>
        <w:pStyle w:val="PL"/>
        <w:rPr>
          <w:color w:val="808080"/>
        </w:rPr>
      </w:pPr>
      <w:r w:rsidRPr="00FA0D37">
        <w:rPr>
          <w:color w:val="808080"/>
        </w:rPr>
        <w:t>-- ASN1START</w:t>
      </w:r>
    </w:p>
    <w:p w14:paraId="6C66D2E1" w14:textId="77777777" w:rsidR="00E81DFA" w:rsidRPr="00FA0D37" w:rsidRDefault="00E81DFA" w:rsidP="00FA0D37">
      <w:pPr>
        <w:pStyle w:val="PL"/>
        <w:rPr>
          <w:color w:val="808080"/>
        </w:rPr>
      </w:pPr>
      <w:r w:rsidRPr="00FA0D37">
        <w:rPr>
          <w:color w:val="808080"/>
        </w:rPr>
        <w:t>-- TAG-SL-RLC-RLC-CHANNEL-CONFIG-START</w:t>
      </w:r>
    </w:p>
    <w:p w14:paraId="3FB50071" w14:textId="77777777" w:rsidR="00E81DFA" w:rsidRPr="00FA0D37" w:rsidRDefault="00E81DFA" w:rsidP="00FA0D37">
      <w:pPr>
        <w:pStyle w:val="PL"/>
      </w:pPr>
    </w:p>
    <w:p w14:paraId="1DDECEE3" w14:textId="79DF37EF" w:rsidR="00E81DFA" w:rsidRPr="00FA0D37" w:rsidRDefault="00E81DFA" w:rsidP="00FA0D37">
      <w:pPr>
        <w:pStyle w:val="PL"/>
      </w:pPr>
      <w:r w:rsidRPr="00FA0D37">
        <w:t xml:space="preserve">SL-RLC-ChannelConfig-r17 ::=                  </w:t>
      </w:r>
      <w:r w:rsidRPr="00FA0D37">
        <w:rPr>
          <w:color w:val="993366"/>
        </w:rPr>
        <w:t>SEQUENCE</w:t>
      </w:r>
      <w:r w:rsidRPr="00FA0D37">
        <w:t xml:space="preserve"> {</w:t>
      </w:r>
    </w:p>
    <w:p w14:paraId="07B39A28" w14:textId="77777777" w:rsidR="00E81DFA" w:rsidRPr="00FA0D37" w:rsidRDefault="00E81DFA" w:rsidP="00FA0D37">
      <w:pPr>
        <w:pStyle w:val="PL"/>
      </w:pPr>
      <w:r w:rsidRPr="00FA0D37">
        <w:t xml:space="preserve">    sl-RLC-ChannelID-r17                          SL-RLC-ChannelID-r17,</w:t>
      </w:r>
    </w:p>
    <w:p w14:paraId="102DB325" w14:textId="488ABFA9" w:rsidR="00E81DFA" w:rsidRPr="00FA0D37" w:rsidRDefault="00E81DFA" w:rsidP="00FA0D37">
      <w:pPr>
        <w:pStyle w:val="PL"/>
        <w:rPr>
          <w:color w:val="808080"/>
        </w:rPr>
      </w:pPr>
      <w:r w:rsidRPr="00FA0D37">
        <w:t xml:space="preserve">    sl-RLC-Config-r17                             SL-RLC-Config-r16                                </w:t>
      </w:r>
      <w:r w:rsidR="00DC765E" w:rsidRPr="00FA0D37">
        <w:t xml:space="preserve"> </w:t>
      </w:r>
      <w:r w:rsidRPr="00FA0D37">
        <w:rPr>
          <w:color w:val="993366"/>
        </w:rPr>
        <w:t>OPTIONAL</w:t>
      </w:r>
      <w:r w:rsidRPr="00FA0D37">
        <w:t>,</w:t>
      </w:r>
      <w:r w:rsidR="00CA6F5E" w:rsidRPr="00FA0D37">
        <w:t xml:space="preserve">   </w:t>
      </w:r>
      <w:r w:rsidR="00CA6F5E" w:rsidRPr="00FA0D37">
        <w:rPr>
          <w:color w:val="808080"/>
        </w:rPr>
        <w:t>-- Need M</w:t>
      </w:r>
    </w:p>
    <w:p w14:paraId="443E5846" w14:textId="1A1FD149" w:rsidR="00E81DFA" w:rsidRPr="00FA0D37" w:rsidRDefault="00E81DFA" w:rsidP="00FA0D37">
      <w:pPr>
        <w:pStyle w:val="PL"/>
        <w:rPr>
          <w:color w:val="808080"/>
        </w:rPr>
      </w:pPr>
      <w:r w:rsidRPr="00FA0D37">
        <w:t xml:space="preserve">    sl-MAC-LogicalChannelConfig-r17               SL-LogicalChannelConfig-r16                       </w:t>
      </w:r>
      <w:r w:rsidRPr="00FA0D37">
        <w:rPr>
          <w:color w:val="993366"/>
        </w:rPr>
        <w:t>OPTIONAL</w:t>
      </w:r>
      <w:r w:rsidRPr="00FA0D37">
        <w:t>,</w:t>
      </w:r>
      <w:r w:rsidR="00CA6F5E" w:rsidRPr="00FA0D37">
        <w:t xml:space="preserve">   </w:t>
      </w:r>
      <w:r w:rsidR="00CA6F5E" w:rsidRPr="00FA0D37">
        <w:rPr>
          <w:color w:val="808080"/>
        </w:rPr>
        <w:t>-- Need M</w:t>
      </w:r>
    </w:p>
    <w:p w14:paraId="70B1BFC4" w14:textId="37B2229D" w:rsidR="00E81DFA" w:rsidRPr="00FA0D37" w:rsidRDefault="00E81DFA" w:rsidP="00FA0D37">
      <w:pPr>
        <w:pStyle w:val="PL"/>
        <w:rPr>
          <w:color w:val="808080"/>
        </w:rPr>
      </w:pPr>
      <w:r w:rsidRPr="00FA0D37">
        <w:t xml:space="preserve">    sl-PacketDelayBudget-r17                      </w:t>
      </w:r>
      <w:r w:rsidRPr="00FA0D37">
        <w:rPr>
          <w:color w:val="993366"/>
        </w:rPr>
        <w:t>INTEGER</w:t>
      </w:r>
      <w:r w:rsidRPr="00FA0D37">
        <w:t xml:space="preserve"> (0..1023)                                 </w:t>
      </w:r>
      <w:r w:rsidRPr="00FA0D37">
        <w:rPr>
          <w:color w:val="993366"/>
        </w:rPr>
        <w:t>OPTIONAL</w:t>
      </w:r>
      <w:r w:rsidRPr="00FA0D37">
        <w:t>,</w:t>
      </w:r>
      <w:r w:rsidR="00CA6F5E" w:rsidRPr="00FA0D37">
        <w:t xml:space="preserve">   </w:t>
      </w:r>
      <w:r w:rsidR="00CA6F5E" w:rsidRPr="00FA0D37">
        <w:rPr>
          <w:color w:val="808080"/>
        </w:rPr>
        <w:t>-- Need M</w:t>
      </w:r>
    </w:p>
    <w:p w14:paraId="1EBDF2DF" w14:textId="6E16B511" w:rsidR="00E81DFA" w:rsidRPr="00FA0D37" w:rsidRDefault="00E81DFA" w:rsidP="00FA0D37">
      <w:pPr>
        <w:pStyle w:val="PL"/>
      </w:pPr>
      <w:r w:rsidRPr="00FA0D37">
        <w:t xml:space="preserve">    ...}</w:t>
      </w:r>
    </w:p>
    <w:p w14:paraId="781B0DF4" w14:textId="77777777" w:rsidR="00E81DFA" w:rsidRPr="00FA0D37" w:rsidRDefault="00E81DFA" w:rsidP="00FA0D37">
      <w:pPr>
        <w:pStyle w:val="PL"/>
        <w:rPr>
          <w:rFonts w:eastAsia="等线"/>
        </w:rPr>
      </w:pPr>
    </w:p>
    <w:p w14:paraId="40F34BA4" w14:textId="77777777" w:rsidR="00E81DFA" w:rsidRPr="00FA0D37" w:rsidRDefault="00E81DFA" w:rsidP="00FA0D37">
      <w:pPr>
        <w:pStyle w:val="PL"/>
        <w:rPr>
          <w:color w:val="808080"/>
        </w:rPr>
      </w:pPr>
      <w:r w:rsidRPr="00FA0D37">
        <w:rPr>
          <w:color w:val="808080"/>
        </w:rPr>
        <w:t>-- TAG-SL-RLC-CHANNEL-CONFIG-STOP</w:t>
      </w:r>
    </w:p>
    <w:p w14:paraId="50A9B21C" w14:textId="77777777" w:rsidR="00E81DFA" w:rsidRPr="00FA0D37" w:rsidRDefault="00E81DFA" w:rsidP="00FA0D37">
      <w:pPr>
        <w:pStyle w:val="PL"/>
        <w:rPr>
          <w:color w:val="808080"/>
        </w:rPr>
      </w:pPr>
      <w:r w:rsidRPr="00FA0D37">
        <w:rPr>
          <w:color w:val="808080"/>
        </w:rPr>
        <w:t>-- ASN1STOP</w:t>
      </w:r>
    </w:p>
    <w:p w14:paraId="1922CCB8" w14:textId="77777777" w:rsidR="00E81DFA" w:rsidRPr="00FA0D37" w:rsidRDefault="00E81DFA" w:rsidP="00E81DFA">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5C7FF4" w:rsidRPr="00FA0D37" w14:paraId="130A011A"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67145B93" w14:textId="77777777" w:rsidR="00E81DFA" w:rsidRPr="00FA0D37" w:rsidRDefault="00E81DFA" w:rsidP="000830BB">
            <w:pPr>
              <w:pStyle w:val="TAH"/>
              <w:rPr>
                <w:szCs w:val="22"/>
                <w:lang w:eastAsia="sv-SE"/>
              </w:rPr>
            </w:pPr>
            <w:r w:rsidRPr="00FA0D37">
              <w:rPr>
                <w:rFonts w:eastAsia="宋体"/>
                <w:i/>
                <w:iCs/>
                <w:lang w:eastAsia="sv-SE"/>
              </w:rPr>
              <w:t>SL-RLC-ChannelConfig</w:t>
            </w:r>
            <w:r w:rsidRPr="00FA0D37">
              <w:rPr>
                <w:rFonts w:eastAsia="宋体"/>
                <w:lang w:eastAsia="sv-SE"/>
              </w:rPr>
              <w:t xml:space="preserve"> </w:t>
            </w:r>
            <w:r w:rsidRPr="00FA0D37">
              <w:rPr>
                <w:szCs w:val="22"/>
                <w:lang w:eastAsia="sv-SE"/>
              </w:rPr>
              <w:t>field descriptions</w:t>
            </w:r>
          </w:p>
        </w:tc>
      </w:tr>
      <w:tr w:rsidR="005C7FF4" w:rsidRPr="00FA0D37" w14:paraId="4A3BDA70"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1D90F1A" w14:textId="77777777" w:rsidR="00E81DFA" w:rsidRPr="00FA0D37" w:rsidRDefault="00E81DFA" w:rsidP="000830BB">
            <w:pPr>
              <w:pStyle w:val="TAL"/>
              <w:rPr>
                <w:b/>
                <w:bCs/>
                <w:i/>
                <w:iCs/>
                <w:noProof/>
                <w:lang w:eastAsia="en-GB"/>
              </w:rPr>
            </w:pPr>
            <w:r w:rsidRPr="00FA0D37">
              <w:rPr>
                <w:b/>
                <w:bCs/>
                <w:i/>
                <w:iCs/>
                <w:noProof/>
                <w:lang w:eastAsia="en-GB"/>
              </w:rPr>
              <w:t>sl-MAC-LogicalChannelConfig</w:t>
            </w:r>
          </w:p>
          <w:p w14:paraId="7F2504F3" w14:textId="38AB0129" w:rsidR="00E81DFA" w:rsidRPr="00FA0D37" w:rsidRDefault="00E81DFA" w:rsidP="000830BB">
            <w:pPr>
              <w:pStyle w:val="TAL"/>
              <w:rPr>
                <w:szCs w:val="22"/>
                <w:lang w:eastAsia="sv-SE"/>
              </w:rPr>
            </w:pPr>
            <w:r w:rsidRPr="00FA0D37">
              <w:rPr>
                <w:noProof/>
                <w:lang w:eastAsia="en-GB"/>
              </w:rPr>
              <w:t>The field is used to configure MAC SL logical channel parameters.</w:t>
            </w:r>
          </w:p>
        </w:tc>
      </w:tr>
      <w:tr w:rsidR="005C7FF4" w:rsidRPr="00FA0D37" w14:paraId="3EE1BDA3"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7537C457" w14:textId="7A1625AA" w:rsidR="00E81DFA" w:rsidRPr="00FA0D37" w:rsidRDefault="00E81DFA" w:rsidP="000830BB">
            <w:pPr>
              <w:pStyle w:val="TAL"/>
              <w:rPr>
                <w:rFonts w:eastAsia="等线"/>
                <w:b/>
                <w:bCs/>
                <w:i/>
                <w:iCs/>
                <w:lang w:eastAsia="zh-CN"/>
              </w:rPr>
            </w:pPr>
            <w:r w:rsidRPr="00FA0D37">
              <w:rPr>
                <w:rFonts w:eastAsia="等线"/>
                <w:b/>
                <w:bCs/>
                <w:i/>
                <w:iCs/>
                <w:lang w:eastAsia="zh-CN"/>
              </w:rPr>
              <w:t>sl-RLC-ChannelID</w:t>
            </w:r>
          </w:p>
          <w:p w14:paraId="77742CA5" w14:textId="77777777" w:rsidR="00E81DFA" w:rsidRPr="00FA0D37" w:rsidRDefault="00E81DFA" w:rsidP="000830BB">
            <w:pPr>
              <w:pStyle w:val="TAL"/>
              <w:rPr>
                <w:szCs w:val="22"/>
                <w:lang w:eastAsia="sv-SE"/>
              </w:rPr>
            </w:pPr>
            <w:r w:rsidRPr="00FA0D37">
              <w:rPr>
                <w:szCs w:val="22"/>
                <w:lang w:eastAsia="sv-SE"/>
              </w:rPr>
              <w:t>Indicates the PC5</w:t>
            </w:r>
            <w:r w:rsidRPr="00FA0D37">
              <w:rPr>
                <w:rFonts w:eastAsia="宋体"/>
                <w:szCs w:val="22"/>
                <w:lang w:eastAsia="zh-CN"/>
              </w:rPr>
              <w:t xml:space="preserve"> Relay RLC</w:t>
            </w:r>
            <w:r w:rsidRPr="00FA0D37">
              <w:rPr>
                <w:szCs w:val="22"/>
                <w:lang w:eastAsia="sv-SE"/>
              </w:rPr>
              <w:t xml:space="preserve"> channel in the link between L2 U2N Relay UE</w:t>
            </w:r>
            <w:r w:rsidRPr="00FA0D37">
              <w:rPr>
                <w:rFonts w:eastAsia="宋体"/>
                <w:szCs w:val="22"/>
                <w:lang w:eastAsia="sv-SE"/>
              </w:rPr>
              <w:t xml:space="preserve"> </w:t>
            </w:r>
            <w:r w:rsidRPr="00FA0D37">
              <w:rPr>
                <w:szCs w:val="22"/>
                <w:lang w:eastAsia="sv-SE"/>
              </w:rPr>
              <w:t>and L2 U2N Remote UE</w:t>
            </w:r>
            <w:r w:rsidRPr="00FA0D37">
              <w:rPr>
                <w:lang w:eastAsia="sv-SE"/>
              </w:rPr>
              <w:t>.</w:t>
            </w:r>
          </w:p>
        </w:tc>
      </w:tr>
      <w:tr w:rsidR="005C7FF4" w:rsidRPr="00FA0D37" w14:paraId="7B7770A3"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7534EE41" w14:textId="77777777" w:rsidR="00E81DFA" w:rsidRPr="00FA0D37" w:rsidRDefault="00E81DFA" w:rsidP="000830BB">
            <w:pPr>
              <w:pStyle w:val="TAL"/>
              <w:rPr>
                <w:b/>
                <w:bCs/>
                <w:i/>
                <w:iCs/>
                <w:lang w:eastAsia="en-GB"/>
              </w:rPr>
            </w:pPr>
            <w:r w:rsidRPr="00FA0D37">
              <w:rPr>
                <w:rFonts w:eastAsia="等线"/>
                <w:b/>
                <w:bCs/>
                <w:i/>
                <w:iCs/>
                <w:lang w:eastAsia="zh-CN"/>
              </w:rPr>
              <w:t>sl-RLC-Config</w:t>
            </w:r>
          </w:p>
          <w:p w14:paraId="0AA51DDD" w14:textId="77777777" w:rsidR="00E81DFA" w:rsidRPr="00FA0D37" w:rsidRDefault="00E81DFA" w:rsidP="000830BB">
            <w:pPr>
              <w:pStyle w:val="TAL"/>
              <w:rPr>
                <w:szCs w:val="22"/>
                <w:lang w:eastAsia="sv-SE"/>
              </w:rPr>
            </w:pPr>
            <w:r w:rsidRPr="00FA0D37">
              <w:rPr>
                <w:szCs w:val="22"/>
                <w:lang w:eastAsia="sv-SE"/>
              </w:rPr>
              <w:t>Determines the RLC mode (UM, AM) and provides corresponding parameters.</w:t>
            </w:r>
          </w:p>
        </w:tc>
      </w:tr>
      <w:tr w:rsidR="00E81DFA" w:rsidRPr="00FA0D37" w14:paraId="3434945C"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02916C0" w14:textId="77777777" w:rsidR="00E81DFA" w:rsidRPr="00FA0D37" w:rsidRDefault="00E81DFA" w:rsidP="000830BB">
            <w:pPr>
              <w:pStyle w:val="TAL"/>
              <w:rPr>
                <w:rFonts w:eastAsia="等线"/>
                <w:b/>
                <w:bCs/>
                <w:i/>
                <w:iCs/>
                <w:lang w:eastAsia="zh-CN"/>
              </w:rPr>
            </w:pPr>
            <w:r w:rsidRPr="00FA0D37">
              <w:rPr>
                <w:rFonts w:eastAsia="等线"/>
                <w:b/>
                <w:bCs/>
                <w:i/>
                <w:iCs/>
                <w:lang w:eastAsia="zh-CN"/>
              </w:rPr>
              <w:t>sl-PacketDelayBudget</w:t>
            </w:r>
          </w:p>
          <w:p w14:paraId="335A8F34" w14:textId="1358457C" w:rsidR="00E81DFA" w:rsidRPr="00FA0D37" w:rsidRDefault="00E81DFA" w:rsidP="000830BB">
            <w:pPr>
              <w:pStyle w:val="TAL"/>
              <w:rPr>
                <w:szCs w:val="22"/>
                <w:lang w:eastAsia="sv-SE"/>
              </w:rPr>
            </w:pPr>
            <w:r w:rsidRPr="00FA0D37">
              <w:rPr>
                <w:noProof/>
                <w:lang w:eastAsia="en-GB"/>
              </w:rPr>
              <w:t xml:space="preserve">Indicates the Packet Delay Budget for a </w:t>
            </w:r>
            <w:r w:rsidR="00CA6F5E" w:rsidRPr="00FA0D37">
              <w:rPr>
                <w:lang w:eastAsia="en-GB"/>
              </w:rPr>
              <w:t>PC5 Relay RLC channel</w:t>
            </w:r>
            <w:r w:rsidRPr="00FA0D37">
              <w:rPr>
                <w:noProof/>
                <w:lang w:eastAsia="en-GB"/>
              </w:rPr>
              <w:t>. Upper bound value for the delay that a packet may experience expressed in unit of 0.5ms.</w:t>
            </w:r>
          </w:p>
        </w:tc>
      </w:tr>
    </w:tbl>
    <w:p w14:paraId="602C586C" w14:textId="77777777" w:rsidR="00E81DFA" w:rsidRPr="00FA0D37" w:rsidRDefault="00E81DFA" w:rsidP="00E81DFA">
      <w:pPr>
        <w:rPr>
          <w:rFonts w:eastAsia="宋体"/>
        </w:rPr>
      </w:pPr>
    </w:p>
    <w:p w14:paraId="2049209F" w14:textId="2BA3BC2C" w:rsidR="00E81DFA" w:rsidRPr="00FA0D37" w:rsidRDefault="00E81DFA" w:rsidP="000830BB">
      <w:pPr>
        <w:pStyle w:val="4"/>
        <w:rPr>
          <w:rFonts w:eastAsia="宋体"/>
        </w:rPr>
      </w:pPr>
      <w:bookmarkStart w:id="1818" w:name="_Toc146781673"/>
      <w:r w:rsidRPr="00FA0D37">
        <w:rPr>
          <w:rFonts w:eastAsia="宋体"/>
        </w:rPr>
        <w:t>–</w:t>
      </w:r>
      <w:r w:rsidRPr="00FA0D37">
        <w:rPr>
          <w:rFonts w:eastAsia="宋体"/>
        </w:rPr>
        <w:tab/>
      </w:r>
      <w:r w:rsidRPr="00FA0D37">
        <w:rPr>
          <w:rFonts w:eastAsia="宋体"/>
          <w:i/>
          <w:iCs/>
        </w:rPr>
        <w:t>SL-RLC-ChannelID</w:t>
      </w:r>
      <w:bookmarkEnd w:id="1818"/>
    </w:p>
    <w:p w14:paraId="30753121" w14:textId="3C6E5361" w:rsidR="00E81DFA" w:rsidRPr="00FA0D37" w:rsidRDefault="00E81DFA" w:rsidP="00E81DFA">
      <w:pPr>
        <w:rPr>
          <w:rFonts w:eastAsia="宋体"/>
        </w:rPr>
      </w:pPr>
      <w:r w:rsidRPr="00FA0D37">
        <w:rPr>
          <w:rFonts w:eastAsia="宋体"/>
        </w:rPr>
        <w:t xml:space="preserve">The IE </w:t>
      </w:r>
      <w:r w:rsidRPr="00FA0D37">
        <w:rPr>
          <w:rFonts w:eastAsia="宋体"/>
          <w:i/>
        </w:rPr>
        <w:t xml:space="preserve">SL-RLC-ChannelID </w:t>
      </w:r>
      <w:r w:rsidRPr="00FA0D37">
        <w:rPr>
          <w:rFonts w:eastAsia="宋体"/>
        </w:rPr>
        <w:t xml:space="preserve">is used to identify </w:t>
      </w:r>
      <w:r w:rsidRPr="00FA0D37">
        <w:t xml:space="preserve">a </w:t>
      </w:r>
      <w:r w:rsidR="00CA6F5E" w:rsidRPr="00FA0D37">
        <w:t>PC5 Relay RLC channel</w:t>
      </w:r>
      <w:r w:rsidRPr="00FA0D37">
        <w:t xml:space="preserve"> in the link between L2 U2N Relay UE</w:t>
      </w:r>
      <w:r w:rsidRPr="00FA0D37">
        <w:rPr>
          <w:rFonts w:eastAsia="宋体"/>
        </w:rPr>
        <w:t xml:space="preserve"> </w:t>
      </w:r>
      <w:r w:rsidRPr="00FA0D37">
        <w:t>and L2 U2N Remote UE.</w:t>
      </w:r>
    </w:p>
    <w:p w14:paraId="1AEA8FC3" w14:textId="77777777" w:rsidR="00E81DFA" w:rsidRPr="00FA0D37" w:rsidRDefault="00E81DFA" w:rsidP="000830BB">
      <w:pPr>
        <w:pStyle w:val="TH"/>
        <w:rPr>
          <w:rFonts w:eastAsia="宋体"/>
        </w:rPr>
      </w:pPr>
      <w:r w:rsidRPr="00FA0D37">
        <w:rPr>
          <w:i/>
        </w:rPr>
        <w:t>SL-RLC-ChannelID</w:t>
      </w:r>
      <w:r w:rsidRPr="00FA0D37">
        <w:rPr>
          <w:rFonts w:eastAsia="宋体"/>
          <w:i/>
        </w:rPr>
        <w:t xml:space="preserve"> </w:t>
      </w:r>
      <w:r w:rsidRPr="00FA0D37">
        <w:rPr>
          <w:rFonts w:eastAsia="宋体"/>
        </w:rPr>
        <w:t>information element</w:t>
      </w:r>
    </w:p>
    <w:p w14:paraId="40C76F9E" w14:textId="77777777" w:rsidR="00E81DFA" w:rsidRPr="00FA0D37" w:rsidRDefault="00E81DFA" w:rsidP="00FA0D37">
      <w:pPr>
        <w:pStyle w:val="PL"/>
        <w:rPr>
          <w:color w:val="808080"/>
        </w:rPr>
      </w:pPr>
      <w:r w:rsidRPr="00FA0D37">
        <w:rPr>
          <w:color w:val="808080"/>
        </w:rPr>
        <w:t>-- ASN1START</w:t>
      </w:r>
    </w:p>
    <w:p w14:paraId="145A189E" w14:textId="77777777" w:rsidR="00E81DFA" w:rsidRPr="00FA0D37" w:rsidRDefault="00E81DFA" w:rsidP="00FA0D37">
      <w:pPr>
        <w:pStyle w:val="PL"/>
        <w:rPr>
          <w:color w:val="808080"/>
        </w:rPr>
      </w:pPr>
      <w:r w:rsidRPr="00FA0D37">
        <w:rPr>
          <w:color w:val="808080"/>
        </w:rPr>
        <w:t>-- TAG-SL-RLC-CHANNELID-START</w:t>
      </w:r>
    </w:p>
    <w:p w14:paraId="5F6F150D" w14:textId="77777777" w:rsidR="00E81DFA" w:rsidRPr="00FA0D37" w:rsidRDefault="00E81DFA" w:rsidP="00FA0D37">
      <w:pPr>
        <w:pStyle w:val="PL"/>
      </w:pPr>
    </w:p>
    <w:p w14:paraId="438781A4" w14:textId="77777777" w:rsidR="00E81DFA" w:rsidRPr="00FA0D37" w:rsidRDefault="00E81DFA" w:rsidP="00FA0D37">
      <w:pPr>
        <w:pStyle w:val="PL"/>
      </w:pPr>
      <w:r w:rsidRPr="00FA0D37">
        <w:t xml:space="preserve">SL-RLC-ChannelID-r17 ::=    </w:t>
      </w:r>
      <w:r w:rsidRPr="00FA0D37">
        <w:rPr>
          <w:color w:val="993366"/>
        </w:rPr>
        <w:t>INTEGER</w:t>
      </w:r>
      <w:r w:rsidRPr="00FA0D37">
        <w:t xml:space="preserve"> (1..maxSL-LCID-r16)</w:t>
      </w:r>
    </w:p>
    <w:p w14:paraId="40855C53" w14:textId="77777777" w:rsidR="00E81DFA" w:rsidRPr="00FA0D37" w:rsidRDefault="00E81DFA" w:rsidP="00FA0D37">
      <w:pPr>
        <w:pStyle w:val="PL"/>
      </w:pPr>
    </w:p>
    <w:p w14:paraId="295B2827" w14:textId="77777777" w:rsidR="00E81DFA" w:rsidRPr="00FA0D37" w:rsidRDefault="00E81DFA" w:rsidP="00FA0D37">
      <w:pPr>
        <w:pStyle w:val="PL"/>
        <w:rPr>
          <w:color w:val="808080"/>
        </w:rPr>
      </w:pPr>
      <w:r w:rsidRPr="00FA0D37">
        <w:rPr>
          <w:color w:val="808080"/>
        </w:rPr>
        <w:t>-- TAG-SL-RLC-CHANNELID-STOP</w:t>
      </w:r>
    </w:p>
    <w:p w14:paraId="66648F3E" w14:textId="76FED5C0" w:rsidR="00E81DFA" w:rsidRPr="00FA0D37" w:rsidRDefault="00E81DFA" w:rsidP="00FA0D37">
      <w:pPr>
        <w:pStyle w:val="PL"/>
        <w:rPr>
          <w:color w:val="808080"/>
        </w:rPr>
      </w:pPr>
      <w:r w:rsidRPr="00FA0D37">
        <w:rPr>
          <w:color w:val="808080"/>
        </w:rPr>
        <w:t>-- ASN1STOP</w:t>
      </w:r>
    </w:p>
    <w:p w14:paraId="03A22ECD" w14:textId="77777777" w:rsidR="00E81DFA" w:rsidRPr="00FA0D37" w:rsidRDefault="00E81DFA" w:rsidP="00394471">
      <w:pPr>
        <w:rPr>
          <w:rFonts w:eastAsia="Yu Mincho"/>
        </w:rPr>
      </w:pPr>
    </w:p>
    <w:p w14:paraId="3271DFC3" w14:textId="79D2F2A4" w:rsidR="00394471" w:rsidRPr="00FA0D37" w:rsidRDefault="00394471" w:rsidP="00394471">
      <w:pPr>
        <w:pStyle w:val="4"/>
      </w:pPr>
      <w:bookmarkStart w:id="1819" w:name="_Toc60777548"/>
      <w:bookmarkStart w:id="1820" w:name="_Toc146781674"/>
      <w:r w:rsidRPr="00FA0D37">
        <w:lastRenderedPageBreak/>
        <w:t>–</w:t>
      </w:r>
      <w:r w:rsidRPr="00FA0D37">
        <w:tab/>
      </w:r>
      <w:r w:rsidRPr="00FA0D37">
        <w:rPr>
          <w:i/>
          <w:iCs/>
        </w:rPr>
        <w:t>SL-RLC-Config</w:t>
      </w:r>
      <w:bookmarkEnd w:id="1819"/>
      <w:bookmarkEnd w:id="1820"/>
    </w:p>
    <w:p w14:paraId="55A21321" w14:textId="77777777" w:rsidR="00394471" w:rsidRPr="00FA0D37" w:rsidRDefault="00394471" w:rsidP="00394471">
      <w:r w:rsidRPr="00FA0D37">
        <w:rPr>
          <w:iCs/>
        </w:rPr>
        <w:t xml:space="preserve">The IE </w:t>
      </w:r>
      <w:r w:rsidRPr="00FA0D37">
        <w:rPr>
          <w:i/>
        </w:rPr>
        <w:t>SL-RLC-Config</w:t>
      </w:r>
      <w:r w:rsidRPr="00FA0D37">
        <w:rPr>
          <w:iCs/>
        </w:rPr>
        <w:t xml:space="preserve"> </w:t>
      </w:r>
      <w:r w:rsidRPr="00FA0D37">
        <w:rPr>
          <w:rFonts w:eastAsia="等线"/>
          <w:iCs/>
          <w:lang w:eastAsia="zh-CN"/>
        </w:rPr>
        <w:t>is used to</w:t>
      </w:r>
      <w:r w:rsidRPr="00FA0D37">
        <w:rPr>
          <w:rFonts w:ascii="等线" w:eastAsia="等线" w:hAnsi="等线"/>
          <w:iCs/>
          <w:lang w:eastAsia="zh-CN"/>
        </w:rPr>
        <w:t xml:space="preserve"> </w:t>
      </w:r>
      <w:r w:rsidRPr="00FA0D37">
        <w:rPr>
          <w:iCs/>
        </w:rPr>
        <w:t>specify the RLC configuration of sidelink DRB. RLC AM configuration is only applicable to the unicast NR sidelink communication.</w:t>
      </w:r>
    </w:p>
    <w:p w14:paraId="45C4CA48" w14:textId="77777777" w:rsidR="00394471" w:rsidRPr="00FA0D37" w:rsidRDefault="00394471" w:rsidP="00394471">
      <w:pPr>
        <w:pStyle w:val="TH"/>
      </w:pPr>
      <w:r w:rsidRPr="00FA0D37">
        <w:rPr>
          <w:i/>
        </w:rPr>
        <w:t>SL-RLC-Config</w:t>
      </w:r>
      <w:r w:rsidRPr="00FA0D37">
        <w:t xml:space="preserve"> information element</w:t>
      </w:r>
    </w:p>
    <w:p w14:paraId="2990F836" w14:textId="77777777" w:rsidR="00394471" w:rsidRPr="00FA0D37" w:rsidRDefault="00394471" w:rsidP="00FA0D37">
      <w:pPr>
        <w:pStyle w:val="PL"/>
        <w:rPr>
          <w:color w:val="808080"/>
        </w:rPr>
      </w:pPr>
      <w:r w:rsidRPr="00FA0D37">
        <w:rPr>
          <w:color w:val="808080"/>
        </w:rPr>
        <w:t>-- ASN1START</w:t>
      </w:r>
    </w:p>
    <w:p w14:paraId="398EF11B" w14:textId="77777777" w:rsidR="00394471" w:rsidRPr="00FA0D37" w:rsidRDefault="00394471" w:rsidP="00FA0D37">
      <w:pPr>
        <w:pStyle w:val="PL"/>
        <w:rPr>
          <w:color w:val="808080"/>
        </w:rPr>
      </w:pPr>
      <w:r w:rsidRPr="00FA0D37">
        <w:rPr>
          <w:color w:val="808080"/>
        </w:rPr>
        <w:t>-- TAG-SL-RLC-CONFIG-START</w:t>
      </w:r>
    </w:p>
    <w:p w14:paraId="3BC46935" w14:textId="77777777" w:rsidR="00394471" w:rsidRPr="00FA0D37" w:rsidRDefault="00394471" w:rsidP="00FA0D37">
      <w:pPr>
        <w:pStyle w:val="PL"/>
      </w:pPr>
    </w:p>
    <w:p w14:paraId="7904EC45" w14:textId="77777777" w:rsidR="00394471" w:rsidRPr="00FA0D37" w:rsidRDefault="00394471" w:rsidP="00FA0D37">
      <w:pPr>
        <w:pStyle w:val="PL"/>
      </w:pPr>
      <w:r w:rsidRPr="00FA0D37">
        <w:t xml:space="preserve">SL-RLC-Config-r16 ::=                        </w:t>
      </w:r>
      <w:r w:rsidRPr="00FA0D37">
        <w:rPr>
          <w:color w:val="993366"/>
        </w:rPr>
        <w:t>CHOICE</w:t>
      </w:r>
      <w:r w:rsidRPr="00FA0D37">
        <w:t xml:space="preserve"> {</w:t>
      </w:r>
    </w:p>
    <w:p w14:paraId="4CE900FC" w14:textId="77777777" w:rsidR="00394471" w:rsidRPr="00FA0D37" w:rsidRDefault="00394471" w:rsidP="00FA0D37">
      <w:pPr>
        <w:pStyle w:val="PL"/>
      </w:pPr>
      <w:r w:rsidRPr="00FA0D37">
        <w:t xml:space="preserve">    sl-AM-RLC-r16                                </w:t>
      </w:r>
      <w:r w:rsidRPr="00FA0D37">
        <w:rPr>
          <w:color w:val="993366"/>
        </w:rPr>
        <w:t>SEQUENCE</w:t>
      </w:r>
      <w:r w:rsidRPr="00FA0D37">
        <w:t xml:space="preserve"> {</w:t>
      </w:r>
    </w:p>
    <w:p w14:paraId="21D7AF5F" w14:textId="77777777" w:rsidR="00394471" w:rsidRPr="00FA0D37" w:rsidRDefault="00394471" w:rsidP="00FA0D37">
      <w:pPr>
        <w:pStyle w:val="PL"/>
        <w:rPr>
          <w:color w:val="808080"/>
        </w:rPr>
      </w:pPr>
      <w:r w:rsidRPr="00FA0D37">
        <w:t xml:space="preserve">        sl-SN-FieldLengthAM-r16                      SN-FieldLengthAM                               </w:t>
      </w:r>
      <w:r w:rsidRPr="00FA0D37">
        <w:rPr>
          <w:color w:val="993366"/>
        </w:rPr>
        <w:t>OPTIONAL</w:t>
      </w:r>
      <w:r w:rsidRPr="00FA0D37">
        <w:t xml:space="preserve">,   </w:t>
      </w:r>
      <w:r w:rsidRPr="00FA0D37">
        <w:rPr>
          <w:color w:val="808080"/>
        </w:rPr>
        <w:t>-- Cond SLRBSetup</w:t>
      </w:r>
    </w:p>
    <w:p w14:paraId="6A6F9199" w14:textId="77777777" w:rsidR="00394471" w:rsidRPr="00FA0D37" w:rsidRDefault="00394471" w:rsidP="00FA0D37">
      <w:pPr>
        <w:pStyle w:val="PL"/>
      </w:pPr>
      <w:r w:rsidRPr="00FA0D37">
        <w:t xml:space="preserve">        sl-T-PollRetransmit-r16                      T-PollRetransmit,</w:t>
      </w:r>
    </w:p>
    <w:p w14:paraId="55317C5D" w14:textId="77777777" w:rsidR="00394471" w:rsidRPr="00FA0D37" w:rsidRDefault="00394471" w:rsidP="00FA0D37">
      <w:pPr>
        <w:pStyle w:val="PL"/>
      </w:pPr>
      <w:r w:rsidRPr="00FA0D37">
        <w:t xml:space="preserve">        sl-PollPDU-r16                                   PollPDU,</w:t>
      </w:r>
    </w:p>
    <w:p w14:paraId="667CD732" w14:textId="77777777" w:rsidR="00394471" w:rsidRPr="00FA0D37" w:rsidRDefault="00394471" w:rsidP="00FA0D37">
      <w:pPr>
        <w:pStyle w:val="PL"/>
      </w:pPr>
      <w:r w:rsidRPr="00FA0D37">
        <w:t xml:space="preserve">        sl-PollByte-r16                                  PollByte,</w:t>
      </w:r>
    </w:p>
    <w:p w14:paraId="5E588A14" w14:textId="77777777" w:rsidR="00394471" w:rsidRPr="00FA0D37" w:rsidRDefault="00394471" w:rsidP="00FA0D37">
      <w:pPr>
        <w:pStyle w:val="PL"/>
      </w:pPr>
      <w:r w:rsidRPr="00FA0D37">
        <w:t xml:space="preserve">        sl-MaxRetxThreshold-r16                          </w:t>
      </w:r>
      <w:r w:rsidRPr="00FA0D37">
        <w:rPr>
          <w:color w:val="993366"/>
        </w:rPr>
        <w:t>ENUMERATED</w:t>
      </w:r>
      <w:r w:rsidRPr="00FA0D37">
        <w:t xml:space="preserve"> { t1, t2, t3, t4, t6, t8, t16, t32 },</w:t>
      </w:r>
    </w:p>
    <w:p w14:paraId="05B61735" w14:textId="77777777" w:rsidR="00394471" w:rsidRPr="00FA0D37" w:rsidRDefault="00394471" w:rsidP="00FA0D37">
      <w:pPr>
        <w:pStyle w:val="PL"/>
      </w:pPr>
      <w:r w:rsidRPr="00FA0D37">
        <w:t xml:space="preserve">    ...</w:t>
      </w:r>
    </w:p>
    <w:p w14:paraId="35A4FBFC" w14:textId="77777777" w:rsidR="00394471" w:rsidRPr="00FA0D37" w:rsidRDefault="00394471" w:rsidP="00FA0D37">
      <w:pPr>
        <w:pStyle w:val="PL"/>
        <w:rPr>
          <w:rFonts w:eastAsia="等线"/>
        </w:rPr>
      </w:pPr>
      <w:r w:rsidRPr="00FA0D37">
        <w:t xml:space="preserve">    </w:t>
      </w:r>
      <w:r w:rsidRPr="00FA0D37">
        <w:rPr>
          <w:rFonts w:eastAsia="等线"/>
        </w:rPr>
        <w:t>},</w:t>
      </w:r>
    </w:p>
    <w:p w14:paraId="1563C113" w14:textId="77777777" w:rsidR="00394471" w:rsidRPr="00FA0D37" w:rsidRDefault="00394471" w:rsidP="00FA0D37">
      <w:pPr>
        <w:pStyle w:val="PL"/>
      </w:pPr>
      <w:r w:rsidRPr="00FA0D37">
        <w:t xml:space="preserve">    </w:t>
      </w:r>
      <w:r w:rsidRPr="00FA0D37">
        <w:rPr>
          <w:rFonts w:eastAsia="等线"/>
        </w:rPr>
        <w:t>sl-UM-RLC-r16</w:t>
      </w:r>
      <w:r w:rsidRPr="00FA0D37">
        <w:t xml:space="preserve">                                </w:t>
      </w:r>
      <w:r w:rsidRPr="00FA0D37">
        <w:rPr>
          <w:color w:val="993366"/>
        </w:rPr>
        <w:t>SEQUENCE</w:t>
      </w:r>
      <w:r w:rsidRPr="00FA0D37">
        <w:t xml:space="preserve"> {</w:t>
      </w:r>
    </w:p>
    <w:p w14:paraId="2EF2B72B" w14:textId="77777777" w:rsidR="00394471" w:rsidRPr="00FA0D37" w:rsidRDefault="00394471" w:rsidP="00FA0D37">
      <w:pPr>
        <w:pStyle w:val="PL"/>
        <w:rPr>
          <w:color w:val="808080"/>
        </w:rPr>
      </w:pPr>
      <w:r w:rsidRPr="00FA0D37">
        <w:t xml:space="preserve">        sl-SN-FieldLengthUM-r16                      SN-FieldLengthUM                               </w:t>
      </w:r>
      <w:r w:rsidRPr="00FA0D37">
        <w:rPr>
          <w:color w:val="993366"/>
        </w:rPr>
        <w:t>OPTIONAL</w:t>
      </w:r>
      <w:r w:rsidRPr="00FA0D37">
        <w:t xml:space="preserve">,    </w:t>
      </w:r>
      <w:r w:rsidRPr="00FA0D37">
        <w:rPr>
          <w:color w:val="808080"/>
        </w:rPr>
        <w:t>-- Cond SLRBSetup</w:t>
      </w:r>
    </w:p>
    <w:p w14:paraId="3069A81E" w14:textId="77777777" w:rsidR="00394471" w:rsidRPr="00FA0D37" w:rsidRDefault="00394471" w:rsidP="00FA0D37">
      <w:pPr>
        <w:pStyle w:val="PL"/>
      </w:pPr>
      <w:r w:rsidRPr="00FA0D37">
        <w:t xml:space="preserve">    ...</w:t>
      </w:r>
    </w:p>
    <w:p w14:paraId="606342EA" w14:textId="77777777" w:rsidR="00394471" w:rsidRPr="00FA0D37" w:rsidRDefault="00394471" w:rsidP="00FA0D37">
      <w:pPr>
        <w:pStyle w:val="PL"/>
        <w:rPr>
          <w:rFonts w:eastAsia="等线"/>
        </w:rPr>
      </w:pPr>
      <w:r w:rsidRPr="00FA0D37">
        <w:t xml:space="preserve">    },</w:t>
      </w:r>
    </w:p>
    <w:p w14:paraId="5B0AF7CD" w14:textId="77777777" w:rsidR="00394471" w:rsidRPr="00FA0D37" w:rsidRDefault="00394471" w:rsidP="00FA0D37">
      <w:pPr>
        <w:pStyle w:val="PL"/>
      </w:pPr>
      <w:r w:rsidRPr="00FA0D37">
        <w:t xml:space="preserve">    ...</w:t>
      </w:r>
    </w:p>
    <w:p w14:paraId="4ED169C9" w14:textId="77777777" w:rsidR="00394471" w:rsidRPr="00FA0D37" w:rsidRDefault="00394471" w:rsidP="00FA0D37">
      <w:pPr>
        <w:pStyle w:val="PL"/>
      </w:pPr>
      <w:r w:rsidRPr="00FA0D37">
        <w:t>}</w:t>
      </w:r>
    </w:p>
    <w:p w14:paraId="52D41697" w14:textId="77777777" w:rsidR="00394471" w:rsidRPr="00FA0D37" w:rsidRDefault="00394471" w:rsidP="00FA0D37">
      <w:pPr>
        <w:pStyle w:val="PL"/>
      </w:pPr>
    </w:p>
    <w:p w14:paraId="2D737F24" w14:textId="77777777" w:rsidR="00394471" w:rsidRPr="00FA0D37" w:rsidRDefault="00394471" w:rsidP="00FA0D37">
      <w:pPr>
        <w:pStyle w:val="PL"/>
        <w:rPr>
          <w:color w:val="808080"/>
        </w:rPr>
      </w:pPr>
      <w:r w:rsidRPr="00FA0D37">
        <w:rPr>
          <w:color w:val="808080"/>
        </w:rPr>
        <w:t>-- TAG-SL-RLC-CONFIG-STOP</w:t>
      </w:r>
    </w:p>
    <w:p w14:paraId="42E14B37" w14:textId="77777777" w:rsidR="00394471" w:rsidRPr="00FA0D37" w:rsidRDefault="00394471" w:rsidP="00FA0D37">
      <w:pPr>
        <w:pStyle w:val="PL"/>
        <w:rPr>
          <w:color w:val="808080"/>
        </w:rPr>
      </w:pPr>
      <w:r w:rsidRPr="00FA0D37">
        <w:rPr>
          <w:color w:val="808080"/>
        </w:rPr>
        <w:t>-- ASN1STOP</w:t>
      </w:r>
    </w:p>
    <w:p w14:paraId="580F4D3A" w14:textId="77777777" w:rsidR="00394471" w:rsidRPr="00FA0D3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0A71CFC1"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E129883" w14:textId="77777777" w:rsidR="00394471" w:rsidRPr="00FA0D37" w:rsidRDefault="00394471" w:rsidP="00964CC4">
            <w:pPr>
              <w:pStyle w:val="TAH"/>
              <w:rPr>
                <w:lang w:eastAsia="en-GB"/>
              </w:rPr>
            </w:pPr>
            <w:r w:rsidRPr="00FA0D37">
              <w:rPr>
                <w:i/>
                <w:noProof/>
                <w:lang w:eastAsia="en-GB"/>
              </w:rPr>
              <w:t xml:space="preserve">SL-RLC-Config </w:t>
            </w:r>
            <w:r w:rsidRPr="00FA0D37">
              <w:rPr>
                <w:noProof/>
                <w:lang w:eastAsia="en-GB"/>
              </w:rPr>
              <w:t>field descriptions</w:t>
            </w:r>
          </w:p>
        </w:tc>
      </w:tr>
      <w:tr w:rsidR="005C7FF4" w:rsidRPr="00FA0D37" w14:paraId="292BE8A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4A2139D" w14:textId="77777777" w:rsidR="008D2002" w:rsidRPr="00FA0D37" w:rsidRDefault="008D2002" w:rsidP="008D2002">
            <w:pPr>
              <w:pStyle w:val="TAL"/>
              <w:rPr>
                <w:b/>
                <w:bCs/>
                <w:i/>
                <w:iCs/>
              </w:rPr>
            </w:pPr>
            <w:r w:rsidRPr="00FA0D37">
              <w:rPr>
                <w:b/>
                <w:bCs/>
                <w:i/>
                <w:iCs/>
              </w:rPr>
              <w:t>sl-MaxRetxThreshold</w:t>
            </w:r>
          </w:p>
          <w:p w14:paraId="68D75D87" w14:textId="4CC2ACCA" w:rsidR="008D2002" w:rsidRPr="00FA0D37" w:rsidRDefault="008D2002" w:rsidP="00255542">
            <w:pPr>
              <w:pStyle w:val="TAL"/>
              <w:rPr>
                <w:rFonts w:cs="Arial"/>
                <w:noProof/>
                <w:szCs w:val="18"/>
                <w:lang w:eastAsia="en-GB"/>
              </w:rPr>
            </w:pPr>
            <w:r w:rsidRPr="00FA0D37">
              <w:rPr>
                <w:rFonts w:cs="Arial"/>
                <w:szCs w:val="18"/>
                <w:lang w:eastAsia="en-GB"/>
              </w:rPr>
              <w:t xml:space="preserve">Parameter </w:t>
            </w:r>
            <w:r w:rsidR="00D71CF8" w:rsidRPr="00FA0D37">
              <w:rPr>
                <w:rFonts w:cs="Arial"/>
                <w:szCs w:val="18"/>
                <w:lang w:eastAsia="en-GB"/>
              </w:rPr>
              <w:t xml:space="preserve">value of </w:t>
            </w:r>
            <w:r w:rsidR="00D71CF8" w:rsidRPr="00FA0D37">
              <w:rPr>
                <w:rFonts w:cs="Arial"/>
                <w:i/>
                <w:szCs w:val="18"/>
                <w:lang w:eastAsia="en-GB"/>
              </w:rPr>
              <w:t>maxRetxThreshold</w:t>
            </w:r>
            <w:r w:rsidR="00D71CF8" w:rsidRPr="00FA0D37">
              <w:rPr>
                <w:rFonts w:cs="Arial"/>
                <w:szCs w:val="18"/>
                <w:lang w:eastAsia="en-GB"/>
              </w:rPr>
              <w:t xml:space="preserve"> </w:t>
            </w:r>
            <w:r w:rsidRPr="00FA0D37">
              <w:rPr>
                <w:rFonts w:cs="Arial"/>
                <w:szCs w:val="18"/>
                <w:lang w:eastAsia="en-GB"/>
              </w:rPr>
              <w:t xml:space="preserve">for RLC AM for NR sidelink communications, see TS 38.322 [4]. Value </w:t>
            </w:r>
            <w:r w:rsidRPr="00FA0D37">
              <w:rPr>
                <w:rFonts w:cs="Arial"/>
                <w:i/>
                <w:iCs/>
                <w:szCs w:val="18"/>
                <w:lang w:eastAsia="sv-SE"/>
              </w:rPr>
              <w:t>t1</w:t>
            </w:r>
            <w:r w:rsidRPr="00FA0D37">
              <w:rPr>
                <w:rFonts w:cs="Arial"/>
                <w:szCs w:val="18"/>
                <w:lang w:eastAsia="en-GB"/>
              </w:rPr>
              <w:t xml:space="preserve"> corresponds to 1 retransmission, value </w:t>
            </w:r>
            <w:r w:rsidRPr="00FA0D37">
              <w:rPr>
                <w:rFonts w:cs="Arial"/>
                <w:i/>
                <w:iCs/>
                <w:szCs w:val="18"/>
                <w:lang w:eastAsia="sv-SE"/>
              </w:rPr>
              <w:t>t2</w:t>
            </w:r>
            <w:r w:rsidRPr="00FA0D37">
              <w:rPr>
                <w:rFonts w:cs="Arial"/>
                <w:szCs w:val="18"/>
                <w:lang w:eastAsia="en-GB"/>
              </w:rPr>
              <w:t xml:space="preserve"> corresponds to 2 retransmissions and so on.</w:t>
            </w:r>
          </w:p>
        </w:tc>
      </w:tr>
      <w:tr w:rsidR="005C7FF4" w:rsidRPr="00FA0D37" w14:paraId="3D943E37"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489E627" w14:textId="77777777" w:rsidR="008D2002" w:rsidRPr="00FA0D37" w:rsidRDefault="008D2002" w:rsidP="008D2002">
            <w:pPr>
              <w:pStyle w:val="TAL"/>
              <w:rPr>
                <w:b/>
                <w:bCs/>
                <w:i/>
                <w:iCs/>
                <w:lang w:eastAsia="en-GB"/>
              </w:rPr>
            </w:pPr>
            <w:r w:rsidRPr="00FA0D37">
              <w:rPr>
                <w:b/>
                <w:bCs/>
                <w:i/>
                <w:iCs/>
                <w:lang w:eastAsia="en-GB"/>
              </w:rPr>
              <w:t>sl-PollByte</w:t>
            </w:r>
          </w:p>
          <w:p w14:paraId="094F2D94" w14:textId="1262C8EC" w:rsidR="008D2002" w:rsidRPr="00FA0D37" w:rsidRDefault="008D2002" w:rsidP="00255542">
            <w:pPr>
              <w:pStyle w:val="TAL"/>
              <w:rPr>
                <w:rFonts w:cs="Arial"/>
                <w:noProof/>
                <w:szCs w:val="18"/>
                <w:lang w:eastAsia="en-GB"/>
              </w:rPr>
            </w:pPr>
            <w:r w:rsidRPr="00FA0D37">
              <w:rPr>
                <w:rFonts w:cs="Arial"/>
                <w:szCs w:val="18"/>
                <w:lang w:eastAsia="en-GB"/>
              </w:rPr>
              <w:t xml:space="preserve">Parameter </w:t>
            </w:r>
            <w:r w:rsidR="00D71CF8" w:rsidRPr="00FA0D37">
              <w:rPr>
                <w:rFonts w:cs="Arial"/>
                <w:szCs w:val="18"/>
                <w:lang w:eastAsia="en-GB"/>
              </w:rPr>
              <w:t xml:space="preserve">value of </w:t>
            </w:r>
            <w:r w:rsidR="00D71CF8" w:rsidRPr="00FA0D37">
              <w:rPr>
                <w:rFonts w:cs="Arial"/>
                <w:i/>
                <w:szCs w:val="18"/>
                <w:lang w:eastAsia="en-GB"/>
              </w:rPr>
              <w:t>pollByte</w:t>
            </w:r>
            <w:r w:rsidR="00D71CF8" w:rsidRPr="00FA0D37">
              <w:rPr>
                <w:rFonts w:cs="Arial"/>
                <w:szCs w:val="18"/>
                <w:lang w:eastAsia="en-GB"/>
              </w:rPr>
              <w:t xml:space="preserve"> </w:t>
            </w:r>
            <w:r w:rsidRPr="00FA0D37">
              <w:rPr>
                <w:rFonts w:cs="Arial"/>
                <w:szCs w:val="18"/>
                <w:lang w:eastAsia="en-GB"/>
              </w:rPr>
              <w:t xml:space="preserve">for RLC AM for NR sidelink communications, see TS 38.322 [4]. Value </w:t>
            </w:r>
            <w:r w:rsidRPr="00FA0D37">
              <w:rPr>
                <w:rFonts w:cs="Arial"/>
                <w:i/>
                <w:iCs/>
                <w:szCs w:val="18"/>
                <w:lang w:eastAsia="sv-SE"/>
              </w:rPr>
              <w:t>kB25</w:t>
            </w:r>
            <w:r w:rsidRPr="00FA0D37">
              <w:rPr>
                <w:rFonts w:cs="Arial"/>
                <w:szCs w:val="18"/>
                <w:lang w:eastAsia="en-GB"/>
              </w:rPr>
              <w:t xml:space="preserve"> corresponds to 25 kBytes, value </w:t>
            </w:r>
            <w:r w:rsidRPr="00FA0D37">
              <w:rPr>
                <w:rFonts w:cs="Arial"/>
                <w:i/>
                <w:iCs/>
                <w:szCs w:val="18"/>
                <w:lang w:eastAsia="sv-SE"/>
              </w:rPr>
              <w:t>kB50</w:t>
            </w:r>
            <w:r w:rsidRPr="00FA0D37">
              <w:rPr>
                <w:rFonts w:cs="Arial"/>
                <w:szCs w:val="18"/>
                <w:lang w:eastAsia="en-GB"/>
              </w:rPr>
              <w:t xml:space="preserve"> corresponds to 50 kBytes and so on. </w:t>
            </w:r>
            <w:r w:rsidRPr="00FA0D37">
              <w:rPr>
                <w:rFonts w:cs="Arial"/>
                <w:i/>
                <w:iCs/>
                <w:szCs w:val="18"/>
                <w:lang w:eastAsia="sv-SE"/>
              </w:rPr>
              <w:t>infinity</w:t>
            </w:r>
            <w:r w:rsidRPr="00FA0D37">
              <w:rPr>
                <w:rFonts w:cs="Arial"/>
                <w:szCs w:val="18"/>
                <w:lang w:eastAsia="en-GB"/>
              </w:rPr>
              <w:t xml:space="preserve"> corresponds to an infinite amount of kBytes.</w:t>
            </w:r>
          </w:p>
        </w:tc>
      </w:tr>
      <w:tr w:rsidR="005C7FF4" w:rsidRPr="00FA0D37" w14:paraId="6F7969B4"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B238756" w14:textId="77777777" w:rsidR="008D2002" w:rsidRPr="00FA0D37" w:rsidRDefault="008D2002" w:rsidP="008D2002">
            <w:pPr>
              <w:pStyle w:val="TAL"/>
              <w:rPr>
                <w:b/>
                <w:bCs/>
                <w:i/>
                <w:iCs/>
                <w:lang w:eastAsia="en-GB"/>
              </w:rPr>
            </w:pPr>
            <w:r w:rsidRPr="00FA0D37">
              <w:rPr>
                <w:b/>
                <w:bCs/>
                <w:i/>
                <w:iCs/>
                <w:lang w:eastAsia="en-GB"/>
              </w:rPr>
              <w:t>sl-PollPDU</w:t>
            </w:r>
          </w:p>
          <w:p w14:paraId="1D0BF9C3" w14:textId="000E6668" w:rsidR="008D2002" w:rsidRPr="00FA0D37" w:rsidRDefault="008D2002" w:rsidP="00255542">
            <w:pPr>
              <w:pStyle w:val="TAL"/>
              <w:rPr>
                <w:rFonts w:cs="Arial"/>
                <w:noProof/>
                <w:szCs w:val="18"/>
                <w:lang w:eastAsia="en-GB"/>
              </w:rPr>
            </w:pPr>
            <w:r w:rsidRPr="00FA0D37">
              <w:rPr>
                <w:rFonts w:cs="Arial"/>
                <w:szCs w:val="18"/>
                <w:lang w:eastAsia="en-GB"/>
              </w:rPr>
              <w:t xml:space="preserve">Parameter </w:t>
            </w:r>
            <w:r w:rsidR="00D71CF8" w:rsidRPr="00FA0D37">
              <w:rPr>
                <w:rFonts w:cs="Arial"/>
                <w:szCs w:val="18"/>
                <w:lang w:eastAsia="en-GB"/>
              </w:rPr>
              <w:t xml:space="preserve">value of </w:t>
            </w:r>
            <w:r w:rsidR="00D71CF8" w:rsidRPr="00FA0D37">
              <w:rPr>
                <w:rFonts w:cs="Arial"/>
                <w:i/>
                <w:szCs w:val="18"/>
                <w:lang w:eastAsia="en-GB"/>
              </w:rPr>
              <w:t>pollPDU</w:t>
            </w:r>
            <w:r w:rsidR="00D71CF8" w:rsidRPr="00FA0D37">
              <w:rPr>
                <w:rFonts w:cs="Arial"/>
                <w:szCs w:val="18"/>
                <w:lang w:eastAsia="en-GB"/>
              </w:rPr>
              <w:t xml:space="preserve"> </w:t>
            </w:r>
            <w:r w:rsidRPr="00FA0D37">
              <w:rPr>
                <w:rFonts w:cs="Arial"/>
                <w:szCs w:val="18"/>
                <w:lang w:eastAsia="en-GB"/>
              </w:rPr>
              <w:t xml:space="preserve">for RLC AM for NR sidelink communications, seeTS 38.322 [4]. Value </w:t>
            </w:r>
            <w:r w:rsidRPr="00FA0D37">
              <w:rPr>
                <w:rFonts w:cs="Arial"/>
                <w:i/>
                <w:iCs/>
                <w:szCs w:val="18"/>
                <w:lang w:eastAsia="sv-SE"/>
              </w:rPr>
              <w:t>p4</w:t>
            </w:r>
            <w:r w:rsidRPr="00FA0D37">
              <w:rPr>
                <w:rFonts w:cs="Arial"/>
                <w:szCs w:val="18"/>
                <w:lang w:eastAsia="en-GB"/>
              </w:rPr>
              <w:t xml:space="preserve"> corresponds to 4 PDUs, value </w:t>
            </w:r>
            <w:r w:rsidRPr="00FA0D37">
              <w:rPr>
                <w:rFonts w:cs="Arial"/>
                <w:i/>
                <w:iCs/>
                <w:szCs w:val="18"/>
                <w:lang w:eastAsia="sv-SE"/>
              </w:rPr>
              <w:t>p8</w:t>
            </w:r>
            <w:r w:rsidRPr="00FA0D37">
              <w:rPr>
                <w:rFonts w:cs="Arial"/>
                <w:szCs w:val="18"/>
                <w:lang w:eastAsia="en-GB"/>
              </w:rPr>
              <w:t xml:space="preserve"> corresponds to 8 PDUs and so on. </w:t>
            </w:r>
            <w:r w:rsidRPr="00FA0D37">
              <w:rPr>
                <w:rFonts w:cs="Arial"/>
                <w:i/>
                <w:iCs/>
                <w:szCs w:val="18"/>
                <w:lang w:eastAsia="sv-SE"/>
              </w:rPr>
              <w:t>infinity</w:t>
            </w:r>
            <w:r w:rsidRPr="00FA0D37">
              <w:rPr>
                <w:rFonts w:cs="Arial"/>
                <w:szCs w:val="18"/>
                <w:lang w:eastAsia="en-GB"/>
              </w:rPr>
              <w:t xml:space="preserve"> corresponds to an infinite number of PDUs.</w:t>
            </w:r>
          </w:p>
        </w:tc>
      </w:tr>
      <w:tr w:rsidR="005C7FF4" w:rsidRPr="00FA0D37" w14:paraId="48EC196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B3BE3BF" w14:textId="7629234E" w:rsidR="00394471" w:rsidRPr="00FA0D37" w:rsidRDefault="00394471" w:rsidP="00964CC4">
            <w:pPr>
              <w:pStyle w:val="TAL"/>
              <w:rPr>
                <w:b/>
                <w:bCs/>
                <w:i/>
                <w:iCs/>
                <w:lang w:eastAsia="en-GB"/>
              </w:rPr>
            </w:pPr>
            <w:r w:rsidRPr="00FA0D37">
              <w:rPr>
                <w:b/>
                <w:bCs/>
                <w:i/>
                <w:iCs/>
                <w:lang w:eastAsia="en-GB"/>
              </w:rPr>
              <w:t>sl-SN-FieldLength</w:t>
            </w:r>
          </w:p>
          <w:p w14:paraId="539CFEE9" w14:textId="5CAB09EB" w:rsidR="00394471" w:rsidRPr="00FA0D37" w:rsidRDefault="008D2002" w:rsidP="00964CC4">
            <w:pPr>
              <w:pStyle w:val="TAL"/>
              <w:rPr>
                <w:lang w:eastAsia="en-GB"/>
              </w:rPr>
            </w:pPr>
            <w:r w:rsidRPr="00FA0D37">
              <w:rPr>
                <w:lang w:eastAsia="en-GB"/>
              </w:rPr>
              <w:t xml:space="preserve">This field indicates the RLC SN field size for NR sidelink communication, see TS 38.322 [4]. </w:t>
            </w:r>
            <w:r w:rsidR="00394471" w:rsidRPr="00FA0D37">
              <w:rPr>
                <w:lang w:eastAsia="en-GB"/>
              </w:rPr>
              <w:t xml:space="preserve">For groupcast and broadcast, only </w:t>
            </w:r>
            <w:r w:rsidRPr="00FA0D37">
              <w:rPr>
                <w:lang w:eastAsia="en-GB"/>
              </w:rPr>
              <w:t xml:space="preserve">value </w:t>
            </w:r>
            <w:r w:rsidRPr="00FA0D37">
              <w:rPr>
                <w:i/>
                <w:iCs/>
                <w:lang w:eastAsia="en-GB"/>
              </w:rPr>
              <w:t>size6</w:t>
            </w:r>
            <w:r w:rsidRPr="00FA0D37">
              <w:rPr>
                <w:lang w:eastAsia="en-GB"/>
              </w:rPr>
              <w:t xml:space="preserve"> (</w:t>
            </w:r>
            <w:r w:rsidR="00394471" w:rsidRPr="00FA0D37">
              <w:rPr>
                <w:lang w:eastAsia="en-GB"/>
              </w:rPr>
              <w:t>6 bits</w:t>
            </w:r>
            <w:r w:rsidRPr="00FA0D37">
              <w:rPr>
                <w:lang w:eastAsia="en-GB"/>
              </w:rPr>
              <w:t>)</w:t>
            </w:r>
            <w:r w:rsidR="00394471" w:rsidRPr="00FA0D37">
              <w:rPr>
                <w:lang w:eastAsia="en-GB"/>
              </w:rPr>
              <w:t xml:space="preserve"> is </w:t>
            </w:r>
            <w:r w:rsidRPr="00FA0D37">
              <w:rPr>
                <w:rFonts w:cs="Arial"/>
                <w:szCs w:val="18"/>
                <w:lang w:eastAsia="en-GB"/>
              </w:rPr>
              <w:t xml:space="preserve">configured for the field </w:t>
            </w:r>
            <w:r w:rsidRPr="00FA0D37">
              <w:rPr>
                <w:rFonts w:cs="Arial"/>
                <w:i/>
                <w:iCs/>
                <w:szCs w:val="18"/>
              </w:rPr>
              <w:t>sl-SN-FieldLengthUM</w:t>
            </w:r>
            <w:r w:rsidR="00394471" w:rsidRPr="00FA0D37">
              <w:rPr>
                <w:lang w:eastAsia="en-GB"/>
              </w:rPr>
              <w:t>.</w:t>
            </w:r>
          </w:p>
        </w:tc>
      </w:tr>
      <w:tr w:rsidR="008D2002" w:rsidRPr="00FA0D37" w14:paraId="34FED0D6" w14:textId="77777777" w:rsidTr="008D2002">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3FFA76F" w14:textId="77777777" w:rsidR="008D2002" w:rsidRPr="00FA0D37" w:rsidRDefault="008D2002" w:rsidP="008D2002">
            <w:pPr>
              <w:pStyle w:val="TAL"/>
              <w:rPr>
                <w:b/>
                <w:bCs/>
                <w:i/>
                <w:iCs/>
                <w:lang w:eastAsia="en-GB"/>
              </w:rPr>
            </w:pPr>
            <w:r w:rsidRPr="00FA0D37">
              <w:rPr>
                <w:b/>
                <w:bCs/>
                <w:i/>
                <w:iCs/>
                <w:lang w:eastAsia="en-GB"/>
              </w:rPr>
              <w:t>sl-T-PollRetransmit</w:t>
            </w:r>
          </w:p>
          <w:p w14:paraId="61C74715" w14:textId="403B7F9F" w:rsidR="008D2002" w:rsidRPr="00FA0D37" w:rsidRDefault="008D2002" w:rsidP="00255542">
            <w:pPr>
              <w:pStyle w:val="TAL"/>
              <w:rPr>
                <w:rFonts w:cs="Arial"/>
                <w:bCs/>
                <w:iCs/>
                <w:szCs w:val="18"/>
                <w:lang w:eastAsia="en-GB"/>
              </w:rPr>
            </w:pPr>
            <w:r w:rsidRPr="00FA0D37">
              <w:rPr>
                <w:rFonts w:cs="Arial"/>
                <w:szCs w:val="18"/>
                <w:lang w:eastAsia="en-GB"/>
              </w:rPr>
              <w:t xml:space="preserve">Timer </w:t>
            </w:r>
            <w:r w:rsidR="00D71CF8" w:rsidRPr="00FA0D37">
              <w:rPr>
                <w:rFonts w:cs="Arial"/>
                <w:szCs w:val="18"/>
                <w:lang w:eastAsia="en-GB"/>
              </w:rPr>
              <w:t xml:space="preserve">value of </w:t>
            </w:r>
            <w:r w:rsidR="00D71CF8" w:rsidRPr="00FA0D37">
              <w:rPr>
                <w:rFonts w:cs="Arial"/>
                <w:i/>
                <w:szCs w:val="18"/>
                <w:lang w:eastAsia="en-GB"/>
              </w:rPr>
              <w:t>t-PollRetransmit</w:t>
            </w:r>
            <w:r w:rsidR="00D71CF8" w:rsidRPr="00FA0D37">
              <w:rPr>
                <w:rFonts w:cs="Arial"/>
                <w:szCs w:val="18"/>
                <w:lang w:eastAsia="en-GB"/>
              </w:rPr>
              <w:t xml:space="preserve"> </w:t>
            </w:r>
            <w:r w:rsidRPr="00FA0D37">
              <w:rPr>
                <w:rFonts w:cs="Arial"/>
                <w:szCs w:val="18"/>
                <w:lang w:eastAsia="en-GB"/>
              </w:rPr>
              <w:t xml:space="preserve">for RLC AM for NR sidelink communications, see TS 38.322 [4], in milliseconds. Value </w:t>
            </w:r>
            <w:r w:rsidRPr="00FA0D37">
              <w:rPr>
                <w:rFonts w:cs="Arial"/>
                <w:i/>
                <w:iCs/>
                <w:szCs w:val="18"/>
                <w:lang w:eastAsia="sv-SE"/>
              </w:rPr>
              <w:t>ms5</w:t>
            </w:r>
            <w:r w:rsidRPr="00FA0D37">
              <w:rPr>
                <w:rFonts w:cs="Arial"/>
                <w:szCs w:val="18"/>
                <w:lang w:eastAsia="en-GB"/>
              </w:rPr>
              <w:t xml:space="preserve"> means 5 ms, value </w:t>
            </w:r>
            <w:r w:rsidRPr="00FA0D37">
              <w:rPr>
                <w:rFonts w:cs="Arial"/>
                <w:i/>
                <w:iCs/>
                <w:szCs w:val="18"/>
                <w:lang w:eastAsia="sv-SE"/>
              </w:rPr>
              <w:t>ms10</w:t>
            </w:r>
            <w:r w:rsidRPr="00FA0D37">
              <w:rPr>
                <w:rFonts w:cs="Arial"/>
                <w:szCs w:val="18"/>
                <w:lang w:eastAsia="en-GB"/>
              </w:rPr>
              <w:t xml:space="preserve"> means 10 ms and so on.</w:t>
            </w:r>
          </w:p>
        </w:tc>
      </w:tr>
    </w:tbl>
    <w:p w14:paraId="24970EFC" w14:textId="77777777" w:rsidR="00394471" w:rsidRPr="00FA0D37"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5C7FF4" w:rsidRPr="00FA0D37" w14:paraId="75C82C5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5226A479" w14:textId="77777777" w:rsidR="00394471" w:rsidRPr="00FA0D37" w:rsidRDefault="00394471" w:rsidP="00964CC4">
            <w:pPr>
              <w:pStyle w:val="TAH"/>
              <w:rPr>
                <w:b w:val="0"/>
                <w:lang w:eastAsia="sv-SE"/>
              </w:rPr>
            </w:pPr>
            <w:r w:rsidRPr="00FA0D37">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80A860" w14:textId="77777777" w:rsidR="00394471" w:rsidRPr="00FA0D37" w:rsidRDefault="00394471" w:rsidP="00964CC4">
            <w:pPr>
              <w:pStyle w:val="TAH"/>
              <w:rPr>
                <w:lang w:eastAsia="sv-SE"/>
              </w:rPr>
            </w:pPr>
            <w:r w:rsidRPr="00FA0D37">
              <w:rPr>
                <w:lang w:eastAsia="sv-SE"/>
              </w:rPr>
              <w:t>Explanation</w:t>
            </w:r>
          </w:p>
        </w:tc>
      </w:tr>
      <w:tr w:rsidR="00375B89" w:rsidRPr="00FA0D37" w14:paraId="1FBB992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1B5ABC30" w14:textId="77777777" w:rsidR="00394471" w:rsidRPr="00FA0D37" w:rsidRDefault="00394471" w:rsidP="00964CC4">
            <w:pPr>
              <w:pStyle w:val="TAL"/>
              <w:rPr>
                <w:i/>
                <w:iCs/>
                <w:lang w:eastAsia="sv-SE"/>
              </w:rPr>
            </w:pPr>
            <w:r w:rsidRPr="00FA0D37">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02F22D2C" w14:textId="77777777" w:rsidR="00394471" w:rsidRPr="00FA0D37" w:rsidRDefault="00394471" w:rsidP="00964CC4">
            <w:pPr>
              <w:pStyle w:val="TAL"/>
              <w:rPr>
                <w:lang w:eastAsia="sv-SE"/>
              </w:rPr>
            </w:pPr>
            <w:r w:rsidRPr="00FA0D37">
              <w:rPr>
                <w:lang w:eastAsia="sv-SE"/>
              </w:rPr>
              <w:t xml:space="preserve">The field is mandatory present in case of </w:t>
            </w:r>
            <w:r w:rsidRPr="00FA0D37">
              <w:rPr>
                <w:rFonts w:cs="Arial"/>
              </w:rPr>
              <w:t xml:space="preserve">sidelink DRB </w:t>
            </w:r>
            <w:r w:rsidRPr="00FA0D37">
              <w:rPr>
                <w:lang w:eastAsia="sv-SE"/>
              </w:rPr>
              <w:t xml:space="preserve">setup via the dedicated signalling and in case of </w:t>
            </w:r>
            <w:r w:rsidRPr="00FA0D37">
              <w:rPr>
                <w:rFonts w:cs="Arial"/>
              </w:rPr>
              <w:t xml:space="preserve">sidelink DRB </w:t>
            </w:r>
            <w:r w:rsidRPr="00FA0D37">
              <w:rPr>
                <w:lang w:eastAsia="sv-SE"/>
              </w:rPr>
              <w:t xml:space="preserve"> configuration via system information and pre-configuration; otherwise the field is optionally present, need M.</w:t>
            </w:r>
          </w:p>
        </w:tc>
      </w:tr>
    </w:tbl>
    <w:p w14:paraId="7AEF0811" w14:textId="77777777" w:rsidR="00394471" w:rsidRPr="00FA0D37" w:rsidRDefault="00394471" w:rsidP="00394471">
      <w:pPr>
        <w:rPr>
          <w:rFonts w:eastAsia="Yu Mincho"/>
        </w:rPr>
      </w:pPr>
    </w:p>
    <w:p w14:paraId="3F156D09" w14:textId="2B36EFCE" w:rsidR="00394471" w:rsidRPr="00FA0D37" w:rsidRDefault="00394471" w:rsidP="00394471">
      <w:pPr>
        <w:pStyle w:val="4"/>
      </w:pPr>
      <w:bookmarkStart w:id="1821" w:name="_Toc60777549"/>
      <w:bookmarkStart w:id="1822" w:name="_Toc146781675"/>
      <w:r w:rsidRPr="00FA0D37">
        <w:t>–</w:t>
      </w:r>
      <w:r w:rsidRPr="00FA0D37">
        <w:tab/>
      </w:r>
      <w:r w:rsidRPr="00FA0D37">
        <w:rPr>
          <w:i/>
          <w:iCs/>
        </w:rPr>
        <w:t>SL-ScheduledConfig</w:t>
      </w:r>
      <w:bookmarkEnd w:id="1821"/>
      <w:bookmarkEnd w:id="1822"/>
    </w:p>
    <w:p w14:paraId="3404CBA9" w14:textId="77777777" w:rsidR="00394471" w:rsidRPr="00FA0D37" w:rsidRDefault="00394471" w:rsidP="00394471">
      <w:r w:rsidRPr="00FA0D37">
        <w:t>The IE</w:t>
      </w:r>
      <w:r w:rsidRPr="00FA0D37">
        <w:rPr>
          <w:i/>
        </w:rPr>
        <w:t xml:space="preserve"> SL-ScheduledConfig </w:t>
      </w:r>
      <w:r w:rsidRPr="00FA0D37">
        <w:rPr>
          <w:bCs/>
          <w:kern w:val="2"/>
          <w:lang w:eastAsia="zh-CN"/>
        </w:rPr>
        <w:t>specifies sidelink communication configurations used for network scheduled NR sidelink communication</w:t>
      </w:r>
      <w:r w:rsidRPr="00FA0D37">
        <w:t>.</w:t>
      </w:r>
    </w:p>
    <w:p w14:paraId="3705E09F" w14:textId="77777777" w:rsidR="00394471" w:rsidRPr="00FA0D37" w:rsidRDefault="00394471" w:rsidP="00394471">
      <w:pPr>
        <w:pStyle w:val="TH"/>
      </w:pPr>
      <w:r w:rsidRPr="00FA0D37">
        <w:rPr>
          <w:i/>
        </w:rPr>
        <w:t xml:space="preserve">SL-ScheduledConfig </w:t>
      </w:r>
      <w:r w:rsidRPr="00FA0D37">
        <w:t>information element</w:t>
      </w:r>
    </w:p>
    <w:p w14:paraId="7786FF83" w14:textId="77777777" w:rsidR="00394471" w:rsidRPr="00FA0D37" w:rsidRDefault="00394471" w:rsidP="00FA0D37">
      <w:pPr>
        <w:pStyle w:val="PL"/>
        <w:rPr>
          <w:color w:val="808080"/>
        </w:rPr>
      </w:pPr>
      <w:r w:rsidRPr="00FA0D37">
        <w:rPr>
          <w:color w:val="808080"/>
        </w:rPr>
        <w:t>-- ASN1START</w:t>
      </w:r>
    </w:p>
    <w:p w14:paraId="110536EF" w14:textId="77777777" w:rsidR="00394471" w:rsidRPr="00FA0D37" w:rsidRDefault="00394471" w:rsidP="00FA0D37">
      <w:pPr>
        <w:pStyle w:val="PL"/>
        <w:rPr>
          <w:color w:val="808080"/>
        </w:rPr>
      </w:pPr>
      <w:r w:rsidRPr="00FA0D37">
        <w:rPr>
          <w:color w:val="808080"/>
        </w:rPr>
        <w:t>-- TAG-SL-SCHEDULEDCONFIG-START</w:t>
      </w:r>
    </w:p>
    <w:p w14:paraId="1019297F" w14:textId="77777777" w:rsidR="00394471" w:rsidRPr="00FA0D37" w:rsidRDefault="00394471" w:rsidP="00FA0D37">
      <w:pPr>
        <w:pStyle w:val="PL"/>
      </w:pPr>
    </w:p>
    <w:p w14:paraId="3059A93B" w14:textId="77777777" w:rsidR="00394471" w:rsidRPr="00FA0D37" w:rsidRDefault="00394471" w:rsidP="00FA0D37">
      <w:pPr>
        <w:pStyle w:val="PL"/>
      </w:pPr>
      <w:r w:rsidRPr="00FA0D37">
        <w:t xml:space="preserve">SL-ScheduledConfig-r16 ::=                   </w:t>
      </w:r>
      <w:r w:rsidRPr="00FA0D37">
        <w:rPr>
          <w:color w:val="993366"/>
        </w:rPr>
        <w:t>SEQUENCE</w:t>
      </w:r>
      <w:r w:rsidRPr="00FA0D37">
        <w:t xml:space="preserve"> {</w:t>
      </w:r>
    </w:p>
    <w:p w14:paraId="7ABE09D5" w14:textId="77777777" w:rsidR="00394471" w:rsidRPr="00FA0D37" w:rsidRDefault="00394471" w:rsidP="00FA0D37">
      <w:pPr>
        <w:pStyle w:val="PL"/>
      </w:pPr>
      <w:r w:rsidRPr="00FA0D37">
        <w:t xml:space="preserve">    sl-RNTI-r16                                  RNTI-Value,</w:t>
      </w:r>
    </w:p>
    <w:p w14:paraId="678C2291" w14:textId="77777777" w:rsidR="00394471" w:rsidRPr="00FA0D37" w:rsidRDefault="00394471" w:rsidP="00FA0D37">
      <w:pPr>
        <w:pStyle w:val="PL"/>
        <w:rPr>
          <w:color w:val="808080"/>
        </w:rPr>
      </w:pPr>
      <w:r w:rsidRPr="00FA0D37">
        <w:t xml:space="preserve">    mac-MainConfigSL-r16                         MAC-MainConfigSL-r16                                     </w:t>
      </w:r>
      <w:r w:rsidRPr="00FA0D37">
        <w:rPr>
          <w:color w:val="993366"/>
        </w:rPr>
        <w:t>OPTIONAL</w:t>
      </w:r>
      <w:r w:rsidRPr="00FA0D37">
        <w:t xml:space="preserve">,    </w:t>
      </w:r>
      <w:r w:rsidRPr="00FA0D37">
        <w:rPr>
          <w:color w:val="808080"/>
        </w:rPr>
        <w:t>-- Need M</w:t>
      </w:r>
    </w:p>
    <w:p w14:paraId="06170DFD" w14:textId="77777777" w:rsidR="00394471" w:rsidRPr="00FA0D37" w:rsidRDefault="00394471" w:rsidP="00FA0D37">
      <w:pPr>
        <w:pStyle w:val="PL"/>
        <w:rPr>
          <w:color w:val="808080"/>
        </w:rPr>
      </w:pPr>
      <w:r w:rsidRPr="00FA0D37">
        <w:t xml:space="preserve">    sl-CS-RNTI-r16                               RNTI-Value                                               </w:t>
      </w:r>
      <w:r w:rsidRPr="00FA0D37">
        <w:rPr>
          <w:color w:val="993366"/>
        </w:rPr>
        <w:t>OPTIONAL</w:t>
      </w:r>
      <w:r w:rsidRPr="00FA0D37">
        <w:t xml:space="preserve">,    </w:t>
      </w:r>
      <w:r w:rsidRPr="00FA0D37">
        <w:rPr>
          <w:color w:val="808080"/>
        </w:rPr>
        <w:t>-- Need M</w:t>
      </w:r>
    </w:p>
    <w:p w14:paraId="3D80594F" w14:textId="77777777" w:rsidR="00394471" w:rsidRPr="00FA0D37" w:rsidRDefault="00394471" w:rsidP="00FA0D37">
      <w:pPr>
        <w:pStyle w:val="PL"/>
        <w:rPr>
          <w:color w:val="808080"/>
        </w:rPr>
      </w:pPr>
      <w:r w:rsidRPr="00FA0D37">
        <w:t xml:space="preserve">    sl-PSFCH-ToPUCCH-r16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w:t>
      </w:r>
      <w:r w:rsidRPr="00FA0D37">
        <w:rPr>
          <w:color w:val="993366"/>
        </w:rPr>
        <w:t>INTEGER</w:t>
      </w:r>
      <w:r w:rsidRPr="00FA0D37">
        <w:t xml:space="preserve"> (0..15)                </w:t>
      </w:r>
      <w:r w:rsidRPr="00FA0D37">
        <w:rPr>
          <w:color w:val="993366"/>
        </w:rPr>
        <w:t>OPTIONAL</w:t>
      </w:r>
      <w:r w:rsidRPr="00FA0D37">
        <w:t xml:space="preserve">,    </w:t>
      </w:r>
      <w:r w:rsidRPr="00FA0D37">
        <w:rPr>
          <w:color w:val="808080"/>
        </w:rPr>
        <w:t>-- Need M</w:t>
      </w:r>
    </w:p>
    <w:p w14:paraId="7FEF0097" w14:textId="77777777" w:rsidR="00394471" w:rsidRPr="00FA0D37" w:rsidRDefault="00394471" w:rsidP="00FA0D37">
      <w:pPr>
        <w:pStyle w:val="PL"/>
        <w:rPr>
          <w:color w:val="808080"/>
        </w:rPr>
      </w:pPr>
      <w:r w:rsidRPr="00FA0D37">
        <w:t xml:space="preserve">    sl-ConfiguredGrantConfigList-r16             SL-ConfiguredGrantConfigList-r16                         </w:t>
      </w:r>
      <w:r w:rsidRPr="00FA0D37">
        <w:rPr>
          <w:color w:val="993366"/>
        </w:rPr>
        <w:t>OPTIONAL</w:t>
      </w:r>
      <w:r w:rsidRPr="00FA0D37">
        <w:t xml:space="preserve">,    </w:t>
      </w:r>
      <w:r w:rsidRPr="00FA0D37">
        <w:rPr>
          <w:color w:val="808080"/>
        </w:rPr>
        <w:t>-- Need M</w:t>
      </w:r>
    </w:p>
    <w:p w14:paraId="677F0643" w14:textId="5E9417E7" w:rsidR="00A105BD" w:rsidRPr="00FA0D37" w:rsidRDefault="00394471" w:rsidP="00FA0D37">
      <w:pPr>
        <w:pStyle w:val="PL"/>
      </w:pPr>
      <w:r w:rsidRPr="00FA0D37">
        <w:t xml:space="preserve">    ...</w:t>
      </w:r>
      <w:r w:rsidR="00A105BD" w:rsidRPr="00FA0D37">
        <w:t>,</w:t>
      </w:r>
    </w:p>
    <w:p w14:paraId="0F203746" w14:textId="77777777" w:rsidR="00A105BD" w:rsidRPr="00FA0D37" w:rsidRDefault="00A105BD" w:rsidP="00FA0D37">
      <w:pPr>
        <w:pStyle w:val="PL"/>
      </w:pPr>
      <w:r w:rsidRPr="00FA0D37">
        <w:t xml:space="preserve">    [[</w:t>
      </w:r>
    </w:p>
    <w:p w14:paraId="61F5205D" w14:textId="77777777" w:rsidR="00A105BD" w:rsidRPr="00FA0D37" w:rsidRDefault="00A105BD" w:rsidP="00FA0D37">
      <w:pPr>
        <w:pStyle w:val="PL"/>
        <w:rPr>
          <w:color w:val="808080"/>
        </w:rPr>
      </w:pPr>
      <w:r w:rsidRPr="00FA0D37">
        <w:t xml:space="preserve">    sl-DCI-ToSL-Trans-r16                        </w:t>
      </w:r>
      <w:r w:rsidRPr="00FA0D37">
        <w:rPr>
          <w:color w:val="993366"/>
        </w:rPr>
        <w:t>SEQUENCE</w:t>
      </w:r>
      <w:r w:rsidRPr="00FA0D37">
        <w:t xml:space="preserve"> (</w:t>
      </w:r>
      <w:r w:rsidRPr="00FA0D37">
        <w:rPr>
          <w:color w:val="993366"/>
        </w:rPr>
        <w:t>SIZE</w:t>
      </w:r>
      <w:r w:rsidRPr="00FA0D37">
        <w:t xml:space="preserve"> (1..8))</w:t>
      </w:r>
      <w:r w:rsidRPr="00FA0D37">
        <w:rPr>
          <w:color w:val="993366"/>
        </w:rPr>
        <w:t xml:space="preserve"> OF</w:t>
      </w:r>
      <w:r w:rsidRPr="00FA0D37">
        <w:t xml:space="preserve"> </w:t>
      </w:r>
      <w:r w:rsidRPr="00FA0D37">
        <w:rPr>
          <w:color w:val="993366"/>
        </w:rPr>
        <w:t>INTEGER</w:t>
      </w:r>
      <w:r w:rsidRPr="00FA0D37">
        <w:t xml:space="preserve"> (1..32)                </w:t>
      </w:r>
      <w:r w:rsidRPr="00FA0D37">
        <w:rPr>
          <w:color w:val="993366"/>
        </w:rPr>
        <w:t>OPTIONAL</w:t>
      </w:r>
      <w:r w:rsidRPr="00FA0D37">
        <w:t xml:space="preserve">     </w:t>
      </w:r>
      <w:r w:rsidRPr="00FA0D37">
        <w:rPr>
          <w:color w:val="808080"/>
        </w:rPr>
        <w:t>-- Need M</w:t>
      </w:r>
    </w:p>
    <w:p w14:paraId="0EF69958" w14:textId="13E788DF" w:rsidR="00394471" w:rsidRPr="00FA0D37" w:rsidRDefault="00A105BD" w:rsidP="00FA0D37">
      <w:pPr>
        <w:pStyle w:val="PL"/>
      </w:pPr>
      <w:r w:rsidRPr="00FA0D37">
        <w:t xml:space="preserve">    ]]</w:t>
      </w:r>
    </w:p>
    <w:p w14:paraId="25657B72" w14:textId="77777777" w:rsidR="00394471" w:rsidRPr="00FA0D37" w:rsidRDefault="00394471" w:rsidP="00FA0D37">
      <w:pPr>
        <w:pStyle w:val="PL"/>
      </w:pPr>
      <w:r w:rsidRPr="00FA0D37">
        <w:t>}</w:t>
      </w:r>
    </w:p>
    <w:p w14:paraId="413D79EA" w14:textId="77777777" w:rsidR="00394471" w:rsidRPr="00FA0D37" w:rsidRDefault="00394471" w:rsidP="00FA0D37">
      <w:pPr>
        <w:pStyle w:val="PL"/>
      </w:pPr>
    </w:p>
    <w:p w14:paraId="6E7AD401" w14:textId="77777777" w:rsidR="00394471" w:rsidRPr="00FA0D37" w:rsidRDefault="00394471" w:rsidP="00FA0D37">
      <w:pPr>
        <w:pStyle w:val="PL"/>
        <w:rPr>
          <w:rFonts w:eastAsia="等线"/>
        </w:rPr>
      </w:pPr>
      <w:r w:rsidRPr="00FA0D37">
        <w:t xml:space="preserve">MAC-MainConfigSL-r16 ::=                     </w:t>
      </w:r>
      <w:r w:rsidRPr="00FA0D37">
        <w:rPr>
          <w:color w:val="993366"/>
        </w:rPr>
        <w:t>SEQUENCE</w:t>
      </w:r>
      <w:r w:rsidRPr="00FA0D37">
        <w:t xml:space="preserve"> {</w:t>
      </w:r>
    </w:p>
    <w:p w14:paraId="79242DEF" w14:textId="77777777" w:rsidR="00394471" w:rsidRPr="00FA0D37" w:rsidRDefault="00394471" w:rsidP="00FA0D37">
      <w:pPr>
        <w:pStyle w:val="PL"/>
        <w:rPr>
          <w:color w:val="808080"/>
        </w:rPr>
      </w:pPr>
      <w:r w:rsidRPr="00FA0D37">
        <w:t xml:space="preserve">    sl-BSR-Config-r16                            BSR-Config                                           </w:t>
      </w:r>
      <w:r w:rsidRPr="00FA0D37">
        <w:rPr>
          <w:color w:val="993366"/>
        </w:rPr>
        <w:t>OPTIONAL</w:t>
      </w:r>
      <w:r w:rsidRPr="00FA0D37">
        <w:t xml:space="preserve">,    </w:t>
      </w:r>
      <w:r w:rsidRPr="00FA0D37">
        <w:rPr>
          <w:color w:val="808080"/>
        </w:rPr>
        <w:t>-- Need M</w:t>
      </w:r>
    </w:p>
    <w:p w14:paraId="7C032886" w14:textId="28A85457" w:rsidR="00394471" w:rsidRPr="00FA0D37" w:rsidRDefault="00394471" w:rsidP="00FA0D37">
      <w:pPr>
        <w:pStyle w:val="PL"/>
        <w:rPr>
          <w:color w:val="808080"/>
        </w:rPr>
      </w:pPr>
      <w:r w:rsidRPr="00FA0D37">
        <w:t xml:space="preserve">    ul-PrioritizationThres-r16                   </w:t>
      </w:r>
      <w:r w:rsidRPr="00FA0D37">
        <w:rPr>
          <w:color w:val="993366"/>
        </w:rPr>
        <w:t>INTEGER</w:t>
      </w:r>
      <w:r w:rsidRPr="00FA0D37">
        <w:t xml:space="preserve"> (1..16)                                      </w:t>
      </w:r>
      <w:r w:rsidRPr="00FA0D37">
        <w:rPr>
          <w:color w:val="993366"/>
        </w:rPr>
        <w:t>OPTIONAL</w:t>
      </w:r>
      <w:r w:rsidRPr="00FA0D37">
        <w:t xml:space="preserve">,    </w:t>
      </w:r>
      <w:r w:rsidRPr="00FA0D37">
        <w:rPr>
          <w:color w:val="808080"/>
        </w:rPr>
        <w:t xml:space="preserve">-- </w:t>
      </w:r>
      <w:r w:rsidR="00A105BD" w:rsidRPr="00FA0D37">
        <w:rPr>
          <w:color w:val="808080"/>
        </w:rPr>
        <w:t>Need M</w:t>
      </w:r>
    </w:p>
    <w:p w14:paraId="2036A2E1" w14:textId="5CB84A85" w:rsidR="00394471" w:rsidRPr="00FA0D37" w:rsidRDefault="00394471" w:rsidP="00FA0D37">
      <w:pPr>
        <w:pStyle w:val="PL"/>
        <w:rPr>
          <w:color w:val="808080"/>
        </w:rPr>
      </w:pPr>
      <w:r w:rsidRPr="00FA0D37">
        <w:t xml:space="preserve">    sl-PrioritizationThres-r16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xml:space="preserve">-- </w:t>
      </w:r>
      <w:r w:rsidR="00A105BD" w:rsidRPr="00FA0D37">
        <w:rPr>
          <w:color w:val="808080"/>
        </w:rPr>
        <w:t>Need M</w:t>
      </w:r>
    </w:p>
    <w:p w14:paraId="6B135180" w14:textId="77777777" w:rsidR="00394471" w:rsidRPr="00FA0D37" w:rsidRDefault="00394471" w:rsidP="00FA0D37">
      <w:pPr>
        <w:pStyle w:val="PL"/>
      </w:pPr>
      <w:r w:rsidRPr="00FA0D37">
        <w:t xml:space="preserve">    ...</w:t>
      </w:r>
    </w:p>
    <w:p w14:paraId="7E345646" w14:textId="77777777" w:rsidR="00394471" w:rsidRPr="00FA0D37" w:rsidRDefault="00394471" w:rsidP="00FA0D37">
      <w:pPr>
        <w:pStyle w:val="PL"/>
      </w:pPr>
      <w:r w:rsidRPr="00FA0D37">
        <w:t>}</w:t>
      </w:r>
    </w:p>
    <w:p w14:paraId="38DEAEAC" w14:textId="77777777" w:rsidR="00394471" w:rsidRPr="00FA0D37" w:rsidRDefault="00394471" w:rsidP="00FA0D37">
      <w:pPr>
        <w:pStyle w:val="PL"/>
      </w:pPr>
    </w:p>
    <w:p w14:paraId="51DFBE0C" w14:textId="77777777" w:rsidR="00394471" w:rsidRPr="00FA0D37" w:rsidRDefault="00394471" w:rsidP="00FA0D37">
      <w:pPr>
        <w:pStyle w:val="PL"/>
      </w:pPr>
      <w:r w:rsidRPr="00FA0D37">
        <w:t xml:space="preserve">SL-ConfiguredGrantConfigList-r16 ::=       </w:t>
      </w:r>
      <w:r w:rsidRPr="00FA0D37">
        <w:rPr>
          <w:color w:val="993366"/>
        </w:rPr>
        <w:t>SEQUENCE</w:t>
      </w:r>
      <w:r w:rsidRPr="00FA0D37">
        <w:t xml:space="preserve"> {</w:t>
      </w:r>
    </w:p>
    <w:p w14:paraId="0F8AA9BB" w14:textId="77777777" w:rsidR="00394471" w:rsidRPr="00FA0D37" w:rsidRDefault="00394471" w:rsidP="00FA0D37">
      <w:pPr>
        <w:pStyle w:val="PL"/>
        <w:rPr>
          <w:color w:val="808080"/>
        </w:rPr>
      </w:pPr>
      <w:r w:rsidRPr="00FA0D37">
        <w:t xml:space="preserve">    sl-ConfiguredGrantConfigToReleaseList-r16  </w:t>
      </w:r>
      <w:r w:rsidRPr="00FA0D37">
        <w:rPr>
          <w:color w:val="993366"/>
        </w:rPr>
        <w:t>SEQUENCE</w:t>
      </w:r>
      <w:r w:rsidRPr="00FA0D37">
        <w:t xml:space="preserve"> (</w:t>
      </w:r>
      <w:r w:rsidRPr="00FA0D37">
        <w:rPr>
          <w:color w:val="993366"/>
        </w:rPr>
        <w:t>SIZE</w:t>
      </w:r>
      <w:r w:rsidRPr="00FA0D37">
        <w:t xml:space="preserve"> (1..maxNrofCG-SL-r16))</w:t>
      </w:r>
      <w:r w:rsidRPr="00FA0D37">
        <w:rPr>
          <w:color w:val="993366"/>
        </w:rPr>
        <w:t xml:space="preserve"> OF</w:t>
      </w:r>
      <w:r w:rsidRPr="00FA0D37">
        <w:t xml:space="preserve"> SL-ConfigIndexCG-r16         </w:t>
      </w:r>
      <w:r w:rsidRPr="00FA0D37">
        <w:rPr>
          <w:color w:val="993366"/>
        </w:rPr>
        <w:t>OPTIONAL</w:t>
      </w:r>
      <w:r w:rsidRPr="00FA0D37">
        <w:t xml:space="preserve">, </w:t>
      </w:r>
      <w:r w:rsidRPr="00FA0D37">
        <w:rPr>
          <w:color w:val="808080"/>
        </w:rPr>
        <w:t>-- Need N</w:t>
      </w:r>
    </w:p>
    <w:p w14:paraId="559E1677" w14:textId="77777777" w:rsidR="00394471" w:rsidRPr="00FA0D37" w:rsidRDefault="00394471" w:rsidP="00FA0D37">
      <w:pPr>
        <w:pStyle w:val="PL"/>
        <w:rPr>
          <w:color w:val="808080"/>
        </w:rPr>
      </w:pPr>
      <w:r w:rsidRPr="00FA0D37">
        <w:t xml:space="preserve">    sl-ConfiguredGrantConfigToAddModList-r16   </w:t>
      </w:r>
      <w:r w:rsidRPr="00FA0D37">
        <w:rPr>
          <w:color w:val="993366"/>
        </w:rPr>
        <w:t>SEQUENCE</w:t>
      </w:r>
      <w:r w:rsidRPr="00FA0D37">
        <w:t xml:space="preserve"> (</w:t>
      </w:r>
      <w:r w:rsidRPr="00FA0D37">
        <w:rPr>
          <w:color w:val="993366"/>
        </w:rPr>
        <w:t>SIZE</w:t>
      </w:r>
      <w:r w:rsidRPr="00FA0D37">
        <w:t xml:space="preserve"> (1..maxNrofCG-SL-r16))</w:t>
      </w:r>
      <w:r w:rsidRPr="00FA0D37">
        <w:rPr>
          <w:color w:val="993366"/>
        </w:rPr>
        <w:t xml:space="preserve"> OF</w:t>
      </w:r>
      <w:r w:rsidRPr="00FA0D37">
        <w:t xml:space="preserve"> SL-ConfiguredGrantConfig-r16 </w:t>
      </w:r>
      <w:r w:rsidRPr="00FA0D37">
        <w:rPr>
          <w:color w:val="993366"/>
        </w:rPr>
        <w:t>OPTIONAL</w:t>
      </w:r>
      <w:r w:rsidRPr="00FA0D37">
        <w:t xml:space="preserve">  </w:t>
      </w:r>
      <w:r w:rsidRPr="00FA0D37">
        <w:rPr>
          <w:color w:val="808080"/>
        </w:rPr>
        <w:t>-- Need N</w:t>
      </w:r>
    </w:p>
    <w:p w14:paraId="2CD0C187" w14:textId="77777777" w:rsidR="00394471" w:rsidRPr="00FA0D37" w:rsidRDefault="00394471" w:rsidP="00FA0D37">
      <w:pPr>
        <w:pStyle w:val="PL"/>
      </w:pPr>
      <w:r w:rsidRPr="00FA0D37">
        <w:t>}</w:t>
      </w:r>
    </w:p>
    <w:p w14:paraId="5F9D19E7" w14:textId="77777777" w:rsidR="00394471" w:rsidRPr="00FA0D37" w:rsidRDefault="00394471" w:rsidP="00FA0D37">
      <w:pPr>
        <w:pStyle w:val="PL"/>
      </w:pPr>
    </w:p>
    <w:p w14:paraId="28F7A629" w14:textId="77777777" w:rsidR="00394471" w:rsidRPr="00FA0D37" w:rsidRDefault="00394471" w:rsidP="00FA0D37">
      <w:pPr>
        <w:pStyle w:val="PL"/>
        <w:rPr>
          <w:color w:val="808080"/>
        </w:rPr>
      </w:pPr>
      <w:r w:rsidRPr="00FA0D37">
        <w:rPr>
          <w:color w:val="808080"/>
        </w:rPr>
        <w:t>-- TAG-SL-SCHEDULEDCONFIG-STOP</w:t>
      </w:r>
    </w:p>
    <w:p w14:paraId="3FAE344F" w14:textId="77777777" w:rsidR="00394471" w:rsidRPr="00FA0D37" w:rsidRDefault="00394471" w:rsidP="00FA0D37">
      <w:pPr>
        <w:pStyle w:val="PL"/>
        <w:rPr>
          <w:color w:val="808080"/>
        </w:rPr>
      </w:pPr>
      <w:r w:rsidRPr="00FA0D37">
        <w:rPr>
          <w:color w:val="808080"/>
        </w:rPr>
        <w:t>-- ASN1STOP</w:t>
      </w:r>
    </w:p>
    <w:p w14:paraId="19198422" w14:textId="77777777" w:rsidR="00394471" w:rsidRPr="00FA0D3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1C4D792C"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2EEC022" w14:textId="77777777" w:rsidR="00394471" w:rsidRPr="00FA0D37" w:rsidRDefault="00394471" w:rsidP="00964CC4">
            <w:pPr>
              <w:pStyle w:val="TAH"/>
              <w:rPr>
                <w:lang w:eastAsia="en-GB"/>
              </w:rPr>
            </w:pPr>
            <w:r w:rsidRPr="00FA0D37">
              <w:rPr>
                <w:i/>
                <w:iCs/>
                <w:lang w:eastAsia="sv-SE"/>
              </w:rPr>
              <w:lastRenderedPageBreak/>
              <w:t>SL-ScheduledConfig</w:t>
            </w:r>
            <w:r w:rsidRPr="00FA0D37">
              <w:rPr>
                <w:lang w:eastAsia="sv-SE"/>
              </w:rPr>
              <w:t xml:space="preserve"> </w:t>
            </w:r>
            <w:r w:rsidRPr="00FA0D37">
              <w:rPr>
                <w:noProof/>
                <w:lang w:eastAsia="en-GB"/>
              </w:rPr>
              <w:t>field descriptions</w:t>
            </w:r>
          </w:p>
        </w:tc>
      </w:tr>
      <w:tr w:rsidR="005C7FF4" w:rsidRPr="00FA0D37" w14:paraId="76E30C8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2E55E4" w14:textId="77777777" w:rsidR="00394471" w:rsidRPr="00FA0D37" w:rsidRDefault="00394471" w:rsidP="00964CC4">
            <w:pPr>
              <w:pStyle w:val="TAL"/>
              <w:rPr>
                <w:b/>
                <w:bCs/>
                <w:i/>
                <w:iCs/>
                <w:lang w:eastAsia="zh-CN"/>
              </w:rPr>
            </w:pPr>
            <w:r w:rsidRPr="00FA0D37">
              <w:rPr>
                <w:b/>
                <w:bCs/>
                <w:i/>
                <w:iCs/>
                <w:lang w:eastAsia="zh-CN"/>
              </w:rPr>
              <w:t>sl-CS-RNTI</w:t>
            </w:r>
          </w:p>
          <w:p w14:paraId="03A1F28F" w14:textId="77777777" w:rsidR="00394471" w:rsidRPr="00FA0D37" w:rsidRDefault="00394471" w:rsidP="00964CC4">
            <w:pPr>
              <w:pStyle w:val="TAL"/>
              <w:rPr>
                <w:lang w:eastAsia="sv-SE"/>
              </w:rPr>
            </w:pPr>
            <w:r w:rsidRPr="00FA0D37">
              <w:rPr>
                <w:lang w:eastAsia="zh-CN"/>
              </w:rPr>
              <w:t xml:space="preserve">Indicate </w:t>
            </w:r>
            <w:r w:rsidRPr="00FA0D37">
              <w:rPr>
                <w:lang w:eastAsia="sv-SE"/>
              </w:rPr>
              <w:t xml:space="preserve">the RNTI </w:t>
            </w:r>
            <w:r w:rsidRPr="00FA0D37">
              <w:rPr>
                <w:lang w:eastAsia="zh-CN"/>
              </w:rPr>
              <w:t>used to scramble CRC of DCI format 3_0</w:t>
            </w:r>
            <w:r w:rsidRPr="00FA0D37">
              <w:rPr>
                <w:bCs/>
                <w:kern w:val="2"/>
                <w:lang w:eastAsia="en-GB"/>
              </w:rPr>
              <w:t>, see TS 38.321 [3].</w:t>
            </w:r>
          </w:p>
        </w:tc>
      </w:tr>
      <w:tr w:rsidR="005C7FF4" w:rsidRPr="00FA0D37" w14:paraId="27268591" w14:textId="77777777" w:rsidTr="003B657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5B43617" w14:textId="77777777" w:rsidR="00A105BD" w:rsidRPr="00FA0D37" w:rsidRDefault="00A105BD" w:rsidP="00255542">
            <w:pPr>
              <w:pStyle w:val="TAL"/>
              <w:rPr>
                <w:b/>
                <w:bCs/>
                <w:i/>
                <w:iCs/>
                <w:lang w:eastAsia="zh-CN"/>
              </w:rPr>
            </w:pPr>
            <w:r w:rsidRPr="00FA0D37">
              <w:rPr>
                <w:b/>
                <w:bCs/>
                <w:i/>
                <w:iCs/>
                <w:lang w:eastAsia="zh-CN"/>
              </w:rPr>
              <w:t>sl-DCI-ToSL-Trans</w:t>
            </w:r>
          </w:p>
          <w:p w14:paraId="6D8BCC39" w14:textId="77777777" w:rsidR="00A105BD" w:rsidRPr="00FA0D37" w:rsidRDefault="00A105BD" w:rsidP="00255542">
            <w:pPr>
              <w:pStyle w:val="TAL"/>
              <w:rPr>
                <w:lang w:eastAsia="zh-CN"/>
              </w:rPr>
            </w:pPr>
            <w:r w:rsidRPr="00FA0D37">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5C7FF4" w:rsidRPr="00FA0D37" w14:paraId="41DC2F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654453" w14:textId="77777777" w:rsidR="00394471" w:rsidRPr="00FA0D37" w:rsidRDefault="00394471" w:rsidP="00964CC4">
            <w:pPr>
              <w:pStyle w:val="TAL"/>
              <w:rPr>
                <w:b/>
                <w:bCs/>
                <w:i/>
                <w:iCs/>
                <w:lang w:eastAsia="zh-CN"/>
              </w:rPr>
            </w:pPr>
            <w:r w:rsidRPr="00FA0D37">
              <w:rPr>
                <w:b/>
                <w:bCs/>
                <w:i/>
                <w:iCs/>
                <w:lang w:eastAsia="zh-CN"/>
              </w:rPr>
              <w:t>sl-PSFCH-ToPUCCH</w:t>
            </w:r>
          </w:p>
          <w:p w14:paraId="6AFB32E3" w14:textId="634FDAA7" w:rsidR="00394471" w:rsidRPr="00FA0D37" w:rsidRDefault="00394471" w:rsidP="00964CC4">
            <w:pPr>
              <w:pStyle w:val="TAL"/>
              <w:rPr>
                <w:lang w:eastAsia="zh-CN"/>
              </w:rPr>
            </w:pPr>
            <w:r w:rsidRPr="00FA0D37">
              <w:rPr>
                <w:lang w:eastAsia="zh-CN"/>
              </w:rPr>
              <w:t xml:space="preserve">For dynamic grant and configured grant type 2, </w:t>
            </w:r>
            <w:r w:rsidR="008D2002" w:rsidRPr="00FA0D37">
              <w:rPr>
                <w:rFonts w:cs="Arial"/>
                <w:lang w:eastAsia="zh-CN"/>
              </w:rPr>
              <w:t xml:space="preserve">this field </w:t>
            </w:r>
            <w:r w:rsidRPr="00FA0D37">
              <w:rPr>
                <w:lang w:eastAsia="zh-CN"/>
              </w:rPr>
              <w:t>configure</w:t>
            </w:r>
            <w:r w:rsidR="008D2002" w:rsidRPr="00FA0D37">
              <w:rPr>
                <w:lang w:eastAsia="zh-CN"/>
              </w:rPr>
              <w:t>s</w:t>
            </w:r>
            <w:r w:rsidRPr="00FA0D37">
              <w:rPr>
                <w:lang w:eastAsia="zh-CN"/>
              </w:rPr>
              <w:t xml:space="preserve"> the values </w:t>
            </w:r>
            <w:r w:rsidR="002A2A7A" w:rsidRPr="00FA0D37">
              <w:rPr>
                <w:lang w:eastAsia="zh-CN"/>
              </w:rPr>
              <w:t xml:space="preserve">(in number of slot lengths) </w:t>
            </w:r>
            <w:r w:rsidRPr="00FA0D37">
              <w:rPr>
                <w:lang w:eastAsia="zh-CN"/>
              </w:rPr>
              <w:t>of the PSFCH to PUCCH gap. The field PSFCH-to-HARQ_feedback timing indicator in DCI format 3_0 selects one of the configured values of the PSFCH to PUCCH gap.</w:t>
            </w:r>
          </w:p>
        </w:tc>
      </w:tr>
      <w:tr w:rsidR="00394471" w:rsidRPr="00FA0D37" w14:paraId="3B5389A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71F660F" w14:textId="77777777" w:rsidR="00394471" w:rsidRPr="00FA0D37" w:rsidRDefault="00394471" w:rsidP="00964CC4">
            <w:pPr>
              <w:pStyle w:val="TAL"/>
              <w:rPr>
                <w:b/>
                <w:bCs/>
                <w:i/>
                <w:iCs/>
                <w:lang w:eastAsia="zh-CN"/>
              </w:rPr>
            </w:pPr>
            <w:r w:rsidRPr="00FA0D37">
              <w:rPr>
                <w:b/>
                <w:bCs/>
                <w:i/>
                <w:iCs/>
                <w:lang w:eastAsia="zh-CN"/>
              </w:rPr>
              <w:t>sl-RNTI</w:t>
            </w:r>
          </w:p>
          <w:p w14:paraId="4A9B1A7A" w14:textId="7D8F6C3F" w:rsidR="00394471" w:rsidRPr="00FA0D37" w:rsidRDefault="00394471" w:rsidP="00964CC4">
            <w:pPr>
              <w:pStyle w:val="TAL"/>
              <w:rPr>
                <w:lang w:eastAsia="en-GB"/>
              </w:rPr>
            </w:pPr>
            <w:r w:rsidRPr="00FA0D37">
              <w:rPr>
                <w:lang w:eastAsia="zh-CN"/>
              </w:rPr>
              <w:t xml:space="preserve">Indicate </w:t>
            </w:r>
            <w:r w:rsidRPr="00FA0D37">
              <w:rPr>
                <w:lang w:eastAsia="sv-SE"/>
              </w:rPr>
              <w:t xml:space="preserve">the </w:t>
            </w:r>
            <w:r w:rsidR="00C04802" w:rsidRPr="00FA0D37">
              <w:rPr>
                <w:lang w:eastAsia="sv-SE"/>
              </w:rPr>
              <w:t>SL</w:t>
            </w:r>
            <w:r w:rsidRPr="00FA0D37">
              <w:rPr>
                <w:lang w:eastAsia="sv-SE"/>
              </w:rPr>
              <w:t xml:space="preserve">-RNTI </w:t>
            </w:r>
            <w:r w:rsidRPr="00FA0D37">
              <w:rPr>
                <w:lang w:eastAsia="zh-CN"/>
              </w:rPr>
              <w:t xml:space="preserve">used for monitoring the network scheduling </w:t>
            </w:r>
            <w:r w:rsidRPr="00FA0D37">
              <w:rPr>
                <w:bCs/>
                <w:kern w:val="2"/>
                <w:lang w:eastAsia="en-GB"/>
              </w:rPr>
              <w:t xml:space="preserve">to transmit </w:t>
            </w:r>
            <w:r w:rsidRPr="00FA0D37">
              <w:rPr>
                <w:bCs/>
                <w:kern w:val="2"/>
                <w:lang w:eastAsia="zh-CN"/>
              </w:rPr>
              <w:t>NR</w:t>
            </w:r>
            <w:r w:rsidRPr="00FA0D37">
              <w:rPr>
                <w:lang w:eastAsia="en-GB"/>
              </w:rPr>
              <w:t xml:space="preserve"> sidelink </w:t>
            </w:r>
            <w:r w:rsidRPr="00FA0D37">
              <w:rPr>
                <w:bCs/>
                <w:kern w:val="2"/>
                <w:lang w:eastAsia="en-GB"/>
              </w:rPr>
              <w:t>communication (i.e. the mode 1).</w:t>
            </w:r>
          </w:p>
        </w:tc>
      </w:tr>
    </w:tbl>
    <w:p w14:paraId="0ED54CAD" w14:textId="77777777" w:rsidR="00394471" w:rsidRPr="00FA0D37" w:rsidRDefault="00394471" w:rsidP="00394471">
      <w:pPr>
        <w:rPr>
          <w:rFonts w:eastAsia="宋体"/>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5C7FF4" w:rsidRPr="00FA0D37" w14:paraId="069E4C0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7EB3D60" w14:textId="77777777" w:rsidR="00394471" w:rsidRPr="00FA0D37" w:rsidRDefault="00394471" w:rsidP="00964CC4">
            <w:pPr>
              <w:pStyle w:val="TAH"/>
              <w:rPr>
                <w:lang w:eastAsia="en-GB"/>
              </w:rPr>
            </w:pPr>
            <w:r w:rsidRPr="00FA0D37">
              <w:rPr>
                <w:i/>
                <w:iCs/>
              </w:rPr>
              <w:t xml:space="preserve">MAC-MainConfigSL </w:t>
            </w:r>
            <w:r w:rsidRPr="00FA0D37">
              <w:rPr>
                <w:noProof/>
                <w:lang w:eastAsia="en-GB"/>
              </w:rPr>
              <w:t>field descriptions</w:t>
            </w:r>
          </w:p>
        </w:tc>
      </w:tr>
      <w:tr w:rsidR="005C7FF4" w:rsidRPr="00FA0D37" w14:paraId="3551BAA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1D6FB84" w14:textId="77777777" w:rsidR="00394471" w:rsidRPr="00FA0D37" w:rsidRDefault="00394471" w:rsidP="00964CC4">
            <w:pPr>
              <w:pStyle w:val="TAL"/>
              <w:rPr>
                <w:b/>
                <w:bCs/>
                <w:i/>
                <w:iCs/>
              </w:rPr>
            </w:pPr>
            <w:r w:rsidRPr="00FA0D37">
              <w:rPr>
                <w:b/>
                <w:bCs/>
                <w:i/>
                <w:iCs/>
              </w:rPr>
              <w:t>sl-BSR-Config</w:t>
            </w:r>
          </w:p>
          <w:p w14:paraId="2F7BA410" w14:textId="77777777" w:rsidR="00394471" w:rsidRPr="00FA0D37" w:rsidRDefault="00394471" w:rsidP="00964CC4">
            <w:pPr>
              <w:pStyle w:val="TAL"/>
              <w:rPr>
                <w:lang w:eastAsia="en-GB"/>
              </w:rPr>
            </w:pPr>
            <w:r w:rsidRPr="00FA0D37">
              <w:t>This field is to configure the sidelink buffer status report.</w:t>
            </w:r>
          </w:p>
        </w:tc>
      </w:tr>
      <w:tr w:rsidR="005C7FF4" w:rsidRPr="00FA0D37" w14:paraId="05A62E9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71818A" w14:textId="77777777" w:rsidR="00394471" w:rsidRPr="00FA0D37" w:rsidRDefault="00394471" w:rsidP="00964CC4">
            <w:pPr>
              <w:pStyle w:val="TAL"/>
              <w:rPr>
                <w:b/>
                <w:bCs/>
                <w:i/>
                <w:iCs/>
                <w:lang w:eastAsia="zh-CN"/>
              </w:rPr>
            </w:pPr>
            <w:r w:rsidRPr="00FA0D37">
              <w:rPr>
                <w:b/>
                <w:bCs/>
                <w:i/>
                <w:iCs/>
                <w:lang w:eastAsia="zh-CN"/>
              </w:rPr>
              <w:t>sl-PrioritizationThres</w:t>
            </w:r>
          </w:p>
          <w:p w14:paraId="6C8356CF" w14:textId="4EAC9320" w:rsidR="00394471" w:rsidRPr="00FA0D37" w:rsidRDefault="00394471" w:rsidP="00964CC4">
            <w:pPr>
              <w:pStyle w:val="TAL"/>
              <w:rPr>
                <w:lang w:eastAsia="zh-CN"/>
              </w:rPr>
            </w:pPr>
            <w:r w:rsidRPr="00FA0D37">
              <w:rPr>
                <w:lang w:eastAsia="zh-CN"/>
              </w:rPr>
              <w:t xml:space="preserve">Indicates the SL priority threshold, which is used to determine whether SL TX is prioritized over UL TX, </w:t>
            </w:r>
            <w:r w:rsidRPr="00FA0D37">
              <w:rPr>
                <w:lang w:eastAsia="en-GB"/>
              </w:rPr>
              <w:t>as specified in TS 38.321 [3].</w:t>
            </w:r>
            <w:r w:rsidR="00A105BD" w:rsidRPr="00FA0D37">
              <w:rPr>
                <w:lang w:eastAsia="en-GB"/>
              </w:rPr>
              <w:t xml:space="preserve"> Network does not configure the </w:t>
            </w:r>
            <w:r w:rsidR="00A105BD" w:rsidRPr="00FA0D37">
              <w:rPr>
                <w:i/>
                <w:lang w:eastAsia="en-GB"/>
              </w:rPr>
              <w:t>sl-PrioritizationThres</w:t>
            </w:r>
            <w:r w:rsidR="00A105BD" w:rsidRPr="00FA0D37">
              <w:rPr>
                <w:lang w:eastAsia="en-GB"/>
              </w:rPr>
              <w:t xml:space="preserve"> and the </w:t>
            </w:r>
            <w:r w:rsidR="00A105BD" w:rsidRPr="00FA0D37">
              <w:rPr>
                <w:i/>
                <w:lang w:eastAsia="en-GB"/>
              </w:rPr>
              <w:t>ul-PrioritizationThres</w:t>
            </w:r>
            <w:r w:rsidR="00A105BD" w:rsidRPr="00FA0D37">
              <w:rPr>
                <w:lang w:eastAsia="en-GB"/>
              </w:rPr>
              <w:t xml:space="preserve"> to the UE separately.</w:t>
            </w:r>
          </w:p>
        </w:tc>
      </w:tr>
      <w:tr w:rsidR="00394471" w:rsidRPr="00FA0D37" w14:paraId="1261562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3557C1E" w14:textId="77777777" w:rsidR="00394471" w:rsidRPr="00FA0D37" w:rsidRDefault="00394471" w:rsidP="00964CC4">
            <w:pPr>
              <w:pStyle w:val="TAL"/>
              <w:rPr>
                <w:b/>
                <w:bCs/>
                <w:i/>
                <w:iCs/>
                <w:lang w:eastAsia="zh-CN"/>
              </w:rPr>
            </w:pPr>
            <w:r w:rsidRPr="00FA0D37">
              <w:rPr>
                <w:b/>
                <w:bCs/>
                <w:i/>
                <w:iCs/>
                <w:lang w:eastAsia="zh-CN"/>
              </w:rPr>
              <w:t>ul-PrioritizationThres</w:t>
            </w:r>
          </w:p>
          <w:p w14:paraId="11876604" w14:textId="5344174F" w:rsidR="00394471" w:rsidRPr="00FA0D37" w:rsidRDefault="00394471" w:rsidP="00964CC4">
            <w:pPr>
              <w:pStyle w:val="TAL"/>
              <w:rPr>
                <w:lang w:eastAsia="zh-CN"/>
              </w:rPr>
            </w:pPr>
            <w:r w:rsidRPr="00FA0D37">
              <w:rPr>
                <w:lang w:eastAsia="zh-CN"/>
              </w:rPr>
              <w:t xml:space="preserve">Indicates the UL priority threshold, which is used to determine whether SL TX is prioritized over UL TX, </w:t>
            </w:r>
            <w:r w:rsidRPr="00FA0D37">
              <w:rPr>
                <w:lang w:eastAsia="en-GB"/>
              </w:rPr>
              <w:t>as specified in TS 38.321 [3].</w:t>
            </w:r>
            <w:r w:rsidR="00A105BD" w:rsidRPr="00FA0D37">
              <w:rPr>
                <w:lang w:eastAsia="en-GB"/>
              </w:rPr>
              <w:t xml:space="preserve"> Network does not configure the </w:t>
            </w:r>
            <w:r w:rsidR="00A105BD" w:rsidRPr="00FA0D37">
              <w:rPr>
                <w:i/>
                <w:lang w:eastAsia="en-GB"/>
              </w:rPr>
              <w:t>sl-PrioritizationThres</w:t>
            </w:r>
            <w:r w:rsidR="00A105BD" w:rsidRPr="00FA0D37">
              <w:rPr>
                <w:lang w:eastAsia="en-GB"/>
              </w:rPr>
              <w:t xml:space="preserve"> and the </w:t>
            </w:r>
            <w:r w:rsidR="00A105BD" w:rsidRPr="00FA0D37">
              <w:rPr>
                <w:i/>
                <w:lang w:eastAsia="en-GB"/>
              </w:rPr>
              <w:t>ul-PrioritizationThres</w:t>
            </w:r>
            <w:r w:rsidR="00A105BD" w:rsidRPr="00FA0D37">
              <w:rPr>
                <w:lang w:eastAsia="en-GB"/>
              </w:rPr>
              <w:t xml:space="preserve"> to the UE separately.</w:t>
            </w:r>
          </w:p>
        </w:tc>
      </w:tr>
    </w:tbl>
    <w:p w14:paraId="3B323669" w14:textId="77777777" w:rsidR="00394471" w:rsidRPr="00FA0D37" w:rsidRDefault="00394471" w:rsidP="00394471">
      <w:pPr>
        <w:rPr>
          <w:rFonts w:eastAsiaTheme="minorEastAsia"/>
        </w:rPr>
      </w:pPr>
    </w:p>
    <w:p w14:paraId="295D2AF1" w14:textId="66B8D43D" w:rsidR="00394471" w:rsidRPr="00FA0D37" w:rsidRDefault="00394471" w:rsidP="00394471">
      <w:pPr>
        <w:pStyle w:val="4"/>
      </w:pPr>
      <w:bookmarkStart w:id="1823" w:name="_Toc60777550"/>
      <w:bookmarkStart w:id="1824" w:name="_Toc146781676"/>
      <w:r w:rsidRPr="00FA0D37">
        <w:t>–</w:t>
      </w:r>
      <w:r w:rsidRPr="00FA0D37">
        <w:tab/>
      </w:r>
      <w:r w:rsidRPr="00FA0D37">
        <w:rPr>
          <w:i/>
          <w:iCs/>
        </w:rPr>
        <w:t>SL-SDAP-Config</w:t>
      </w:r>
      <w:bookmarkEnd w:id="1823"/>
      <w:bookmarkEnd w:id="1824"/>
    </w:p>
    <w:p w14:paraId="76451B0A" w14:textId="77777777" w:rsidR="00394471" w:rsidRPr="00FA0D37" w:rsidRDefault="00394471" w:rsidP="00394471">
      <w:r w:rsidRPr="00FA0D37">
        <w:t>The IE</w:t>
      </w:r>
      <w:r w:rsidRPr="00FA0D37">
        <w:rPr>
          <w:i/>
        </w:rPr>
        <w:t xml:space="preserve"> SL-SDAP-Config</w:t>
      </w:r>
      <w:r w:rsidRPr="00FA0D37">
        <w:rPr>
          <w:iCs/>
        </w:rPr>
        <w:t xml:space="preserve"> is </w:t>
      </w:r>
      <w:r w:rsidRPr="00FA0D37">
        <w:rPr>
          <w:lang w:eastAsia="zh-CN"/>
        </w:rPr>
        <w:t>used to set the configurable SDAP parameters for a Sidelink DRB</w:t>
      </w:r>
      <w:r w:rsidRPr="00FA0D37">
        <w:t>.</w:t>
      </w:r>
    </w:p>
    <w:p w14:paraId="542B5760" w14:textId="77777777" w:rsidR="00394471" w:rsidRPr="00FA0D37" w:rsidRDefault="00394471" w:rsidP="00394471">
      <w:pPr>
        <w:pStyle w:val="TH"/>
      </w:pPr>
      <w:r w:rsidRPr="00FA0D37">
        <w:rPr>
          <w:i/>
        </w:rPr>
        <w:t>SL-SDAP-Config</w:t>
      </w:r>
      <w:r w:rsidRPr="00FA0D37">
        <w:t xml:space="preserve"> information element</w:t>
      </w:r>
    </w:p>
    <w:p w14:paraId="1DC3EAC0" w14:textId="77777777" w:rsidR="00394471" w:rsidRPr="00FA0D37" w:rsidRDefault="00394471" w:rsidP="00FA0D37">
      <w:pPr>
        <w:pStyle w:val="PL"/>
        <w:rPr>
          <w:color w:val="808080"/>
        </w:rPr>
      </w:pPr>
      <w:r w:rsidRPr="00FA0D37">
        <w:rPr>
          <w:color w:val="808080"/>
        </w:rPr>
        <w:t>-- ASN1START</w:t>
      </w:r>
    </w:p>
    <w:p w14:paraId="0011784F" w14:textId="77777777" w:rsidR="00394471" w:rsidRPr="00FA0D37" w:rsidRDefault="00394471" w:rsidP="00FA0D37">
      <w:pPr>
        <w:pStyle w:val="PL"/>
        <w:rPr>
          <w:color w:val="808080"/>
        </w:rPr>
      </w:pPr>
      <w:r w:rsidRPr="00FA0D37">
        <w:rPr>
          <w:color w:val="808080"/>
        </w:rPr>
        <w:t>-- TAG-SL-SDAP-CONFIG-START</w:t>
      </w:r>
    </w:p>
    <w:p w14:paraId="394116C9" w14:textId="77777777" w:rsidR="00394471" w:rsidRPr="00FA0D37" w:rsidRDefault="00394471" w:rsidP="00FA0D37">
      <w:pPr>
        <w:pStyle w:val="PL"/>
      </w:pPr>
    </w:p>
    <w:p w14:paraId="1113FDAE" w14:textId="77777777" w:rsidR="00394471" w:rsidRPr="00FA0D37" w:rsidRDefault="00394471" w:rsidP="00FA0D37">
      <w:pPr>
        <w:pStyle w:val="PL"/>
      </w:pPr>
      <w:r w:rsidRPr="00FA0D37">
        <w:t xml:space="preserve">SL-SDAP-Config-r16 ::=                  </w:t>
      </w:r>
      <w:r w:rsidRPr="00FA0D37">
        <w:rPr>
          <w:color w:val="993366"/>
        </w:rPr>
        <w:t>SEQUENCE</w:t>
      </w:r>
      <w:r w:rsidRPr="00FA0D37">
        <w:t xml:space="preserve"> {</w:t>
      </w:r>
    </w:p>
    <w:p w14:paraId="46F7C976" w14:textId="77777777" w:rsidR="00394471" w:rsidRPr="00FA0D37" w:rsidRDefault="00394471" w:rsidP="00FA0D37">
      <w:pPr>
        <w:pStyle w:val="PL"/>
      </w:pPr>
      <w:r w:rsidRPr="00FA0D37">
        <w:t xml:space="preserve">    sl-SDAP-Header-r16                      </w:t>
      </w:r>
      <w:r w:rsidRPr="00FA0D37">
        <w:rPr>
          <w:color w:val="993366"/>
        </w:rPr>
        <w:t>ENUMERATED</w:t>
      </w:r>
      <w:r w:rsidRPr="00FA0D37">
        <w:t xml:space="preserve"> {present, absent},</w:t>
      </w:r>
    </w:p>
    <w:p w14:paraId="2AF8981F" w14:textId="77777777" w:rsidR="00394471" w:rsidRPr="00FA0D37" w:rsidRDefault="00394471" w:rsidP="00FA0D37">
      <w:pPr>
        <w:pStyle w:val="PL"/>
      </w:pPr>
      <w:r w:rsidRPr="00FA0D37">
        <w:t xml:space="preserve">    sl-DefaultRB-r16                        </w:t>
      </w:r>
      <w:r w:rsidRPr="00FA0D37">
        <w:rPr>
          <w:color w:val="993366"/>
        </w:rPr>
        <w:t>BOOLEAN</w:t>
      </w:r>
      <w:r w:rsidRPr="00FA0D37">
        <w:t>,</w:t>
      </w:r>
    </w:p>
    <w:p w14:paraId="1DF0B874" w14:textId="77777777" w:rsidR="00394471" w:rsidRPr="00FA0D37" w:rsidRDefault="00394471" w:rsidP="00FA0D37">
      <w:pPr>
        <w:pStyle w:val="PL"/>
      </w:pPr>
      <w:r w:rsidRPr="00FA0D37">
        <w:t xml:space="preserve">    sl-MappedQoS-Flows-r16                  </w:t>
      </w:r>
      <w:r w:rsidRPr="00FA0D37">
        <w:rPr>
          <w:color w:val="993366"/>
        </w:rPr>
        <w:t>CHOICE</w:t>
      </w:r>
      <w:r w:rsidRPr="00FA0D37">
        <w:t xml:space="preserve"> {</w:t>
      </w:r>
    </w:p>
    <w:p w14:paraId="36E0EFCA" w14:textId="77777777" w:rsidR="00394471" w:rsidRPr="00FA0D37" w:rsidRDefault="00394471" w:rsidP="00FA0D37">
      <w:pPr>
        <w:pStyle w:val="PL"/>
      </w:pPr>
      <w:r w:rsidRPr="00FA0D37">
        <w:t xml:space="preserve">        sl-MappedQoS-FlowsList-r16              </w:t>
      </w:r>
      <w:r w:rsidRPr="00FA0D37">
        <w:rPr>
          <w:color w:val="993366"/>
        </w:rPr>
        <w:t>SEQUENCE</w:t>
      </w:r>
      <w:r w:rsidRPr="00FA0D37">
        <w:t xml:space="preserve"> (</w:t>
      </w:r>
      <w:r w:rsidRPr="00FA0D37">
        <w:rPr>
          <w:color w:val="993366"/>
        </w:rPr>
        <w:t>SIZE</w:t>
      </w:r>
      <w:r w:rsidRPr="00FA0D37">
        <w:t xml:space="preserve"> (1..maxNrofSL-QFIs-r16))</w:t>
      </w:r>
      <w:r w:rsidRPr="00FA0D37">
        <w:rPr>
          <w:color w:val="993366"/>
        </w:rPr>
        <w:t xml:space="preserve"> OF</w:t>
      </w:r>
      <w:r w:rsidRPr="00FA0D37">
        <w:t xml:space="preserve"> SL-QoS-Profile-r16,</w:t>
      </w:r>
    </w:p>
    <w:p w14:paraId="6E5BF451" w14:textId="77777777" w:rsidR="00394471" w:rsidRPr="00FA0D37" w:rsidRDefault="00394471" w:rsidP="00FA0D37">
      <w:pPr>
        <w:pStyle w:val="PL"/>
      </w:pPr>
      <w:r w:rsidRPr="00FA0D37">
        <w:t xml:space="preserve">        sl-MappedQoS-FlowsListDedicated-r16     SL-MappedQoS-FlowsListDedicated-r16</w:t>
      </w:r>
    </w:p>
    <w:p w14:paraId="58B8C2C2"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431465B7" w14:textId="77777777" w:rsidR="00394471" w:rsidRPr="00FA0D37" w:rsidRDefault="00394471" w:rsidP="00FA0D37">
      <w:pPr>
        <w:pStyle w:val="PL"/>
        <w:rPr>
          <w:color w:val="808080"/>
        </w:rPr>
      </w:pPr>
      <w:r w:rsidRPr="00FA0D37">
        <w:t xml:space="preserve">    sl-CastType-r16                        </w:t>
      </w:r>
      <w:r w:rsidRPr="00FA0D37">
        <w:rPr>
          <w:color w:val="993366"/>
        </w:rPr>
        <w:t>ENUMERATED</w:t>
      </w:r>
      <w:r w:rsidRPr="00FA0D37">
        <w:t xml:space="preserve"> {broadcast, groupcast, unicast, spare1}                   </w:t>
      </w:r>
      <w:r w:rsidRPr="00FA0D37">
        <w:rPr>
          <w:color w:val="993366"/>
        </w:rPr>
        <w:t>OPTIONAL</w:t>
      </w:r>
      <w:r w:rsidRPr="00FA0D37">
        <w:t xml:space="preserve">,   </w:t>
      </w:r>
      <w:r w:rsidRPr="00FA0D37">
        <w:rPr>
          <w:color w:val="808080"/>
        </w:rPr>
        <w:t>-- Need M</w:t>
      </w:r>
    </w:p>
    <w:p w14:paraId="008F0423" w14:textId="77777777" w:rsidR="00394471" w:rsidRPr="00FA0D37" w:rsidRDefault="00394471" w:rsidP="00FA0D37">
      <w:pPr>
        <w:pStyle w:val="PL"/>
      </w:pPr>
      <w:r w:rsidRPr="00FA0D37">
        <w:t xml:space="preserve">    ...</w:t>
      </w:r>
    </w:p>
    <w:p w14:paraId="099E605A" w14:textId="77777777" w:rsidR="00394471" w:rsidRPr="00FA0D37" w:rsidRDefault="00394471" w:rsidP="00FA0D37">
      <w:pPr>
        <w:pStyle w:val="PL"/>
      </w:pPr>
      <w:r w:rsidRPr="00FA0D37">
        <w:t>}</w:t>
      </w:r>
    </w:p>
    <w:p w14:paraId="1BE30190" w14:textId="77777777" w:rsidR="00394471" w:rsidRPr="00FA0D37" w:rsidRDefault="00394471" w:rsidP="00FA0D37">
      <w:pPr>
        <w:pStyle w:val="PL"/>
      </w:pPr>
    </w:p>
    <w:p w14:paraId="6EBFBE60" w14:textId="77777777" w:rsidR="00394471" w:rsidRPr="00FA0D37" w:rsidRDefault="00394471" w:rsidP="00FA0D37">
      <w:pPr>
        <w:pStyle w:val="PL"/>
      </w:pPr>
      <w:r w:rsidRPr="00FA0D37">
        <w:t xml:space="preserve">SL-MappedQoS-FlowsListDedicated-r16 ::= </w:t>
      </w:r>
      <w:r w:rsidRPr="00FA0D37">
        <w:rPr>
          <w:color w:val="993366"/>
        </w:rPr>
        <w:t>SEQUENCE</w:t>
      </w:r>
      <w:r w:rsidRPr="00FA0D37">
        <w:t xml:space="preserve"> {</w:t>
      </w:r>
    </w:p>
    <w:p w14:paraId="4CF74EE4" w14:textId="77777777" w:rsidR="00394471" w:rsidRPr="00FA0D37" w:rsidRDefault="00394471" w:rsidP="00FA0D37">
      <w:pPr>
        <w:pStyle w:val="PL"/>
        <w:rPr>
          <w:color w:val="808080"/>
        </w:rPr>
      </w:pPr>
      <w:r w:rsidRPr="00FA0D37">
        <w:t xml:space="preserve">    sl-MappedQoS-FlowsToAddList-r16         </w:t>
      </w:r>
      <w:r w:rsidRPr="00FA0D37">
        <w:rPr>
          <w:color w:val="993366"/>
        </w:rPr>
        <w:t>SEQUENCE</w:t>
      </w:r>
      <w:r w:rsidRPr="00FA0D37">
        <w:t xml:space="preserve"> (</w:t>
      </w:r>
      <w:r w:rsidRPr="00FA0D37">
        <w:rPr>
          <w:color w:val="993366"/>
        </w:rPr>
        <w:t>SIZE</w:t>
      </w:r>
      <w:r w:rsidRPr="00FA0D37">
        <w:t xml:space="preserve"> (1..maxNrofSL-QFIs-r16))</w:t>
      </w:r>
      <w:r w:rsidRPr="00FA0D37">
        <w:rPr>
          <w:color w:val="993366"/>
        </w:rPr>
        <w:t xml:space="preserve"> OF</w:t>
      </w:r>
      <w:r w:rsidRPr="00FA0D37">
        <w:t xml:space="preserve"> SL-QoS-FlowIdentity-r16  </w:t>
      </w:r>
      <w:r w:rsidRPr="00FA0D37">
        <w:rPr>
          <w:color w:val="993366"/>
        </w:rPr>
        <w:t>OPTIONAL</w:t>
      </w:r>
      <w:r w:rsidRPr="00FA0D37">
        <w:t xml:space="preserve">,    </w:t>
      </w:r>
      <w:r w:rsidRPr="00FA0D37">
        <w:rPr>
          <w:color w:val="808080"/>
        </w:rPr>
        <w:t>-- Need N</w:t>
      </w:r>
    </w:p>
    <w:p w14:paraId="469A532D" w14:textId="22F00BC8" w:rsidR="00394471" w:rsidRPr="00FA0D37" w:rsidRDefault="00394471" w:rsidP="00FA0D37">
      <w:pPr>
        <w:pStyle w:val="PL"/>
        <w:rPr>
          <w:color w:val="808080"/>
        </w:rPr>
      </w:pPr>
      <w:r w:rsidRPr="00FA0D37">
        <w:lastRenderedPageBreak/>
        <w:t xml:space="preserve">    sl-MappedQoS-FlowsToReleaseList-</w:t>
      </w:r>
      <w:r w:rsidR="00297A1D" w:rsidRPr="00FA0D37">
        <w:t>r</w:t>
      </w:r>
      <w:r w:rsidRPr="00FA0D37">
        <w:t xml:space="preserve">16      </w:t>
      </w:r>
      <w:r w:rsidRPr="00FA0D37">
        <w:rPr>
          <w:color w:val="993366"/>
        </w:rPr>
        <w:t>SEQUENCE</w:t>
      </w:r>
      <w:r w:rsidRPr="00FA0D37">
        <w:t xml:space="preserve"> (</w:t>
      </w:r>
      <w:r w:rsidRPr="00FA0D37">
        <w:rPr>
          <w:color w:val="993366"/>
        </w:rPr>
        <w:t>SIZE</w:t>
      </w:r>
      <w:r w:rsidRPr="00FA0D37">
        <w:t xml:space="preserve"> (1..maxNrofSL-QFIs-r16))</w:t>
      </w:r>
      <w:r w:rsidRPr="00FA0D37">
        <w:rPr>
          <w:color w:val="993366"/>
        </w:rPr>
        <w:t xml:space="preserve"> OF</w:t>
      </w:r>
      <w:r w:rsidRPr="00FA0D37">
        <w:t xml:space="preserve"> SL-QoS-FlowIdentity-r16  </w:t>
      </w:r>
      <w:r w:rsidRPr="00FA0D37">
        <w:rPr>
          <w:color w:val="993366"/>
        </w:rPr>
        <w:t>OPTIONAL</w:t>
      </w:r>
      <w:r w:rsidRPr="00FA0D37">
        <w:t xml:space="preserve">     </w:t>
      </w:r>
      <w:r w:rsidRPr="00FA0D37">
        <w:rPr>
          <w:color w:val="808080"/>
        </w:rPr>
        <w:t>-- Need N</w:t>
      </w:r>
    </w:p>
    <w:p w14:paraId="2975B0BA" w14:textId="77777777" w:rsidR="00394471" w:rsidRPr="00FA0D37" w:rsidRDefault="00394471" w:rsidP="00FA0D37">
      <w:pPr>
        <w:pStyle w:val="PL"/>
      </w:pPr>
      <w:r w:rsidRPr="00FA0D37">
        <w:t>}</w:t>
      </w:r>
    </w:p>
    <w:p w14:paraId="23099F12" w14:textId="77777777" w:rsidR="00394471" w:rsidRPr="00FA0D37" w:rsidRDefault="00394471" w:rsidP="00FA0D37">
      <w:pPr>
        <w:pStyle w:val="PL"/>
      </w:pPr>
    </w:p>
    <w:p w14:paraId="432844AA" w14:textId="77777777" w:rsidR="00394471" w:rsidRPr="00FA0D37" w:rsidRDefault="00394471" w:rsidP="00FA0D37">
      <w:pPr>
        <w:pStyle w:val="PL"/>
        <w:rPr>
          <w:color w:val="808080"/>
        </w:rPr>
      </w:pPr>
      <w:r w:rsidRPr="00FA0D37">
        <w:rPr>
          <w:color w:val="808080"/>
        </w:rPr>
        <w:t>-- TAG-SL-SDAP-CONFIG-STOP</w:t>
      </w:r>
    </w:p>
    <w:p w14:paraId="7ADF0067" w14:textId="77777777" w:rsidR="00394471" w:rsidRPr="00FA0D37" w:rsidRDefault="00394471" w:rsidP="00FA0D37">
      <w:pPr>
        <w:pStyle w:val="PL"/>
        <w:rPr>
          <w:color w:val="808080"/>
        </w:rPr>
      </w:pPr>
      <w:r w:rsidRPr="00FA0D37">
        <w:rPr>
          <w:color w:val="808080"/>
        </w:rPr>
        <w:t>-- ASN1STOP</w:t>
      </w:r>
    </w:p>
    <w:p w14:paraId="581F56AB" w14:textId="77777777" w:rsidR="00394471" w:rsidRPr="00FA0D37"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2CFA95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4CC3A6" w14:textId="77777777" w:rsidR="00394471" w:rsidRPr="00FA0D37" w:rsidRDefault="00394471" w:rsidP="00964CC4">
            <w:pPr>
              <w:pStyle w:val="TAH"/>
              <w:rPr>
                <w:lang w:eastAsia="sv-SE"/>
              </w:rPr>
            </w:pPr>
            <w:r w:rsidRPr="00FA0D37">
              <w:rPr>
                <w:i/>
                <w:lang w:eastAsia="sv-SE"/>
              </w:rPr>
              <w:t xml:space="preserve">SL-SDAP-Config </w:t>
            </w:r>
            <w:r w:rsidRPr="00FA0D37">
              <w:rPr>
                <w:lang w:eastAsia="sv-SE"/>
              </w:rPr>
              <w:t>field descriptions</w:t>
            </w:r>
          </w:p>
        </w:tc>
      </w:tr>
      <w:tr w:rsidR="005C7FF4" w:rsidRPr="00FA0D37" w14:paraId="25BDB61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5421F8" w14:textId="77777777" w:rsidR="00394471" w:rsidRPr="00FA0D37" w:rsidRDefault="00394471" w:rsidP="00964CC4">
            <w:pPr>
              <w:pStyle w:val="TAL"/>
              <w:rPr>
                <w:b/>
                <w:bCs/>
                <w:i/>
                <w:iCs/>
                <w:lang w:eastAsia="en-GB"/>
              </w:rPr>
            </w:pPr>
            <w:r w:rsidRPr="00FA0D37">
              <w:rPr>
                <w:b/>
                <w:bCs/>
                <w:i/>
                <w:iCs/>
                <w:lang w:eastAsia="en-GB"/>
              </w:rPr>
              <w:t>sl-DefaultRB</w:t>
            </w:r>
          </w:p>
          <w:p w14:paraId="4AA7E309" w14:textId="68DF4595" w:rsidR="00394471" w:rsidRPr="00FA0D37" w:rsidRDefault="00394471" w:rsidP="00964CC4">
            <w:pPr>
              <w:pStyle w:val="TAL"/>
              <w:rPr>
                <w:lang w:eastAsia="en-GB"/>
              </w:rPr>
            </w:pPr>
            <w:r w:rsidRPr="00FA0D37">
              <w:rPr>
                <w:lang w:eastAsia="en-GB"/>
              </w:rPr>
              <w:t xml:space="preserve">Indicates whether or not this is the default </w:t>
            </w:r>
            <w:r w:rsidRPr="00FA0D37">
              <w:rPr>
                <w:rFonts w:cs="Arial"/>
                <w:lang w:eastAsia="en-GB"/>
              </w:rPr>
              <w:t>sidelink DRB</w:t>
            </w:r>
            <w:r w:rsidRPr="00FA0D37">
              <w:rPr>
                <w:lang w:eastAsia="en-GB"/>
              </w:rPr>
              <w:t xml:space="preserve"> for this </w:t>
            </w:r>
            <w:r w:rsidRPr="00FA0D37">
              <w:rPr>
                <w:iCs/>
                <w:lang w:eastAsia="en-GB"/>
              </w:rPr>
              <w:t>NR</w:t>
            </w:r>
            <w:r w:rsidRPr="00FA0D37">
              <w:rPr>
                <w:lang w:eastAsia="en-GB"/>
              </w:rPr>
              <w:t xml:space="preserve"> sidelink communication transmission destination. Among all configured instances of </w:t>
            </w:r>
            <w:r w:rsidRPr="00FA0D37">
              <w:rPr>
                <w:i/>
                <w:iCs/>
                <w:lang w:eastAsia="en-GB"/>
              </w:rPr>
              <w:t>SL-SDAP-Config</w:t>
            </w:r>
            <w:r w:rsidRPr="00FA0D37">
              <w:rPr>
                <w:lang w:eastAsia="en-GB"/>
              </w:rPr>
              <w:t xml:space="preserve"> </w:t>
            </w:r>
            <w:r w:rsidR="006A5241" w:rsidRPr="00FA0D37">
              <w:rPr>
                <w:lang w:eastAsia="en-GB"/>
              </w:rPr>
              <w:t>for this destination</w:t>
            </w:r>
            <w:r w:rsidRPr="00FA0D37">
              <w:rPr>
                <w:lang w:eastAsia="en-GB"/>
              </w:rPr>
              <w:t xml:space="preserve">, this field shall be set to </w:t>
            </w:r>
            <w:r w:rsidRPr="00FA0D37">
              <w:rPr>
                <w:i/>
                <w:lang w:eastAsia="en-GB"/>
              </w:rPr>
              <w:t>true</w:t>
            </w:r>
            <w:r w:rsidRPr="00FA0D37">
              <w:rPr>
                <w:lang w:eastAsia="en-GB"/>
              </w:rPr>
              <w:t xml:space="preserve"> in at most one instance of </w:t>
            </w:r>
            <w:r w:rsidRPr="00FA0D37">
              <w:rPr>
                <w:i/>
                <w:iCs/>
                <w:lang w:eastAsia="en-GB"/>
              </w:rPr>
              <w:t>SL-SDAP-Config</w:t>
            </w:r>
            <w:r w:rsidRPr="00FA0D37">
              <w:rPr>
                <w:lang w:eastAsia="en-GB"/>
              </w:rPr>
              <w:t xml:space="preserve"> and to </w:t>
            </w:r>
            <w:r w:rsidRPr="00FA0D37">
              <w:rPr>
                <w:i/>
                <w:iCs/>
                <w:lang w:eastAsia="en-GB"/>
              </w:rPr>
              <w:t>false</w:t>
            </w:r>
            <w:r w:rsidRPr="00FA0D37">
              <w:rPr>
                <w:lang w:eastAsia="en-GB"/>
              </w:rPr>
              <w:t xml:space="preserve"> in all other instances.</w:t>
            </w:r>
          </w:p>
        </w:tc>
      </w:tr>
      <w:tr w:rsidR="005C7FF4" w:rsidRPr="00FA0D37" w14:paraId="548D8EA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FFB126" w14:textId="77777777" w:rsidR="00394471" w:rsidRPr="00FA0D37" w:rsidRDefault="00394471" w:rsidP="00964CC4">
            <w:pPr>
              <w:pStyle w:val="TAL"/>
              <w:rPr>
                <w:b/>
                <w:bCs/>
                <w:i/>
                <w:iCs/>
                <w:lang w:eastAsia="en-GB"/>
              </w:rPr>
            </w:pPr>
            <w:r w:rsidRPr="00FA0D37">
              <w:rPr>
                <w:b/>
                <w:bCs/>
                <w:i/>
                <w:iCs/>
                <w:lang w:eastAsia="en-GB"/>
              </w:rPr>
              <w:t>sl-MappedQoS-Flows</w:t>
            </w:r>
          </w:p>
          <w:p w14:paraId="613BF75D" w14:textId="13496175" w:rsidR="00394471" w:rsidRPr="00FA0D37" w:rsidRDefault="00394471" w:rsidP="00964CC4">
            <w:pPr>
              <w:pStyle w:val="TAL"/>
              <w:rPr>
                <w:lang w:eastAsia="en-GB"/>
              </w:rPr>
            </w:pPr>
            <w:r w:rsidRPr="00FA0D37">
              <w:rPr>
                <w:lang w:eastAsia="en-GB"/>
              </w:rPr>
              <w:t xml:space="preserve">Indicates QoS flows to be mapped to the </w:t>
            </w:r>
            <w:r w:rsidRPr="00FA0D37">
              <w:rPr>
                <w:rFonts w:cs="Arial"/>
                <w:lang w:eastAsia="en-GB"/>
              </w:rPr>
              <w:t>sidelink DRB</w:t>
            </w:r>
            <w:r w:rsidRPr="00FA0D37">
              <w:rPr>
                <w:lang w:eastAsia="en-GB"/>
              </w:rPr>
              <w:t xml:space="preserve">. </w:t>
            </w:r>
            <w:r w:rsidRPr="00FA0D37">
              <w:rPr>
                <w:rFonts w:cs="Arial"/>
                <w:lang w:eastAsia="en-GB"/>
              </w:rPr>
              <w:t xml:space="preserve">If the field is included in dedicated signalling, it is set to </w:t>
            </w:r>
            <w:r w:rsidRPr="00FA0D37">
              <w:rPr>
                <w:rFonts w:cs="Arial"/>
                <w:i/>
                <w:lang w:eastAsia="en-GB"/>
              </w:rPr>
              <w:t>sl-MappedQoS-FlowsListDedicated</w:t>
            </w:r>
            <w:r w:rsidRPr="00FA0D37">
              <w:rPr>
                <w:rFonts w:cs="Arial"/>
                <w:lang w:eastAsia="en-GB"/>
              </w:rPr>
              <w:t xml:space="preserve">; otherwise, it is set </w:t>
            </w:r>
            <w:r w:rsidR="00C813A9" w:rsidRPr="00FA0D37">
              <w:rPr>
                <w:rFonts w:cs="Arial"/>
                <w:lang w:eastAsia="en-GB"/>
              </w:rPr>
              <w:t>t</w:t>
            </w:r>
            <w:r w:rsidRPr="00FA0D37">
              <w:rPr>
                <w:rFonts w:cs="Arial"/>
                <w:lang w:eastAsia="en-GB"/>
              </w:rPr>
              <w:t xml:space="preserve">o </w:t>
            </w:r>
            <w:r w:rsidRPr="00FA0D37">
              <w:rPr>
                <w:rFonts w:cs="Arial"/>
                <w:i/>
                <w:lang w:eastAsia="en-GB"/>
              </w:rPr>
              <w:t>sl-MappedQoS-FlowsList</w:t>
            </w:r>
            <w:r w:rsidRPr="00FA0D37">
              <w:rPr>
                <w:lang w:eastAsia="sv-SE"/>
              </w:rPr>
              <w:t>.</w:t>
            </w:r>
          </w:p>
        </w:tc>
      </w:tr>
      <w:tr w:rsidR="005C7FF4" w:rsidRPr="00FA0D37" w14:paraId="165FCD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5A6EE77" w14:textId="77777777" w:rsidR="00394471" w:rsidRPr="00FA0D37" w:rsidRDefault="00394471" w:rsidP="00964CC4">
            <w:pPr>
              <w:pStyle w:val="TAL"/>
              <w:rPr>
                <w:b/>
                <w:bCs/>
                <w:i/>
                <w:iCs/>
                <w:lang w:eastAsia="en-GB"/>
              </w:rPr>
            </w:pPr>
            <w:r w:rsidRPr="00FA0D37">
              <w:rPr>
                <w:b/>
                <w:bCs/>
                <w:i/>
                <w:iCs/>
                <w:lang w:eastAsia="en-GB"/>
              </w:rPr>
              <w:t>sl-MappedQoS-FlowsList</w:t>
            </w:r>
          </w:p>
          <w:p w14:paraId="00173BDA" w14:textId="5D3AE456" w:rsidR="00394471" w:rsidRPr="00FA0D37" w:rsidRDefault="00394471" w:rsidP="00964CC4">
            <w:pPr>
              <w:pStyle w:val="TAL"/>
              <w:rPr>
                <w:lang w:eastAsia="en-GB"/>
              </w:rPr>
            </w:pPr>
            <w:r w:rsidRPr="00FA0D37">
              <w:rPr>
                <w:lang w:eastAsia="en-GB"/>
              </w:rPr>
              <w:t xml:space="preserve">Indicates the list of QoS </w:t>
            </w:r>
            <w:r w:rsidR="006A5241" w:rsidRPr="00FA0D37">
              <w:rPr>
                <w:lang w:eastAsia="en-GB"/>
              </w:rPr>
              <w:t>profile</w:t>
            </w:r>
            <w:r w:rsidR="005F4180" w:rsidRPr="00FA0D37">
              <w:rPr>
                <w:lang w:eastAsia="en-GB"/>
              </w:rPr>
              <w:t>s</w:t>
            </w:r>
            <w:r w:rsidR="006A5241" w:rsidRPr="00FA0D37">
              <w:rPr>
                <w:lang w:eastAsia="en-GB"/>
              </w:rPr>
              <w:t xml:space="preserve"> </w:t>
            </w:r>
            <w:r w:rsidRPr="00FA0D37">
              <w:rPr>
                <w:lang w:eastAsia="en-GB"/>
              </w:rPr>
              <w:t>of the</w:t>
            </w:r>
            <w:r w:rsidRPr="00FA0D37">
              <w:rPr>
                <w:iCs/>
                <w:lang w:eastAsia="en-GB"/>
              </w:rPr>
              <w:t xml:space="preserve"> NR</w:t>
            </w:r>
            <w:r w:rsidRPr="00FA0D37">
              <w:rPr>
                <w:lang w:eastAsia="en-GB"/>
              </w:rPr>
              <w:t xml:space="preserve"> sidelink communication transmission destination mapped to this </w:t>
            </w:r>
            <w:r w:rsidRPr="00FA0D37">
              <w:rPr>
                <w:rFonts w:cs="Arial"/>
                <w:lang w:eastAsia="en-GB"/>
              </w:rPr>
              <w:t>sidelink DRB</w:t>
            </w:r>
            <w:r w:rsidRPr="00FA0D37">
              <w:rPr>
                <w:lang w:eastAsia="en-GB"/>
              </w:rPr>
              <w:t>.</w:t>
            </w:r>
          </w:p>
        </w:tc>
      </w:tr>
      <w:tr w:rsidR="005C7FF4" w:rsidRPr="00FA0D37" w14:paraId="3F6F710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6AB0C4" w14:textId="77777777" w:rsidR="00394471" w:rsidRPr="00FA0D37" w:rsidRDefault="00394471" w:rsidP="00964CC4">
            <w:pPr>
              <w:pStyle w:val="TAL"/>
              <w:rPr>
                <w:b/>
                <w:bCs/>
                <w:i/>
                <w:iCs/>
                <w:lang w:eastAsia="en-GB"/>
              </w:rPr>
            </w:pPr>
            <w:r w:rsidRPr="00FA0D37">
              <w:rPr>
                <w:b/>
                <w:bCs/>
                <w:i/>
                <w:iCs/>
                <w:lang w:eastAsia="en-GB"/>
              </w:rPr>
              <w:t>sl-MappedQoS-FlowsToAddList</w:t>
            </w:r>
          </w:p>
          <w:p w14:paraId="3C0C5040" w14:textId="77777777" w:rsidR="00394471" w:rsidRPr="00FA0D37" w:rsidRDefault="00394471" w:rsidP="00964CC4">
            <w:pPr>
              <w:pStyle w:val="TAL"/>
              <w:rPr>
                <w:lang w:eastAsia="en-GB"/>
              </w:rPr>
            </w:pPr>
            <w:r w:rsidRPr="00FA0D37">
              <w:rPr>
                <w:lang w:eastAsia="en-GB"/>
              </w:rPr>
              <w:t>Indicates the list of SL QoS flows ID of the</w:t>
            </w:r>
            <w:r w:rsidRPr="00FA0D37">
              <w:rPr>
                <w:iCs/>
                <w:lang w:eastAsia="en-GB"/>
              </w:rPr>
              <w:t xml:space="preserve"> NR</w:t>
            </w:r>
            <w:r w:rsidRPr="00FA0D37">
              <w:rPr>
                <w:lang w:eastAsia="en-GB"/>
              </w:rPr>
              <w:t xml:space="preserve"> sidelink communication transmission destination to be additionally mapped to this </w:t>
            </w:r>
            <w:r w:rsidRPr="00FA0D37">
              <w:rPr>
                <w:rFonts w:cs="Arial"/>
                <w:lang w:eastAsia="en-GB"/>
              </w:rPr>
              <w:t>sidelink DRB</w:t>
            </w:r>
            <w:r w:rsidRPr="00FA0D37">
              <w:rPr>
                <w:lang w:eastAsia="en-GB"/>
              </w:rPr>
              <w:t>.</w:t>
            </w:r>
          </w:p>
        </w:tc>
      </w:tr>
      <w:tr w:rsidR="005C7FF4" w:rsidRPr="00FA0D37" w14:paraId="685EAD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50FCB4" w14:textId="77777777" w:rsidR="00394471" w:rsidRPr="00FA0D37" w:rsidRDefault="00394471" w:rsidP="00964CC4">
            <w:pPr>
              <w:pStyle w:val="TAL"/>
              <w:rPr>
                <w:b/>
                <w:bCs/>
                <w:i/>
                <w:iCs/>
                <w:lang w:eastAsia="en-GB"/>
              </w:rPr>
            </w:pPr>
            <w:r w:rsidRPr="00FA0D37">
              <w:rPr>
                <w:b/>
                <w:bCs/>
                <w:i/>
                <w:iCs/>
                <w:lang w:eastAsia="en-GB"/>
              </w:rPr>
              <w:t>sl-MappedQoS-FlowsToReleaseList</w:t>
            </w:r>
          </w:p>
          <w:p w14:paraId="0AFB5E56" w14:textId="77777777" w:rsidR="00394471" w:rsidRPr="00FA0D37" w:rsidRDefault="00394471" w:rsidP="00964CC4">
            <w:pPr>
              <w:pStyle w:val="TAL"/>
              <w:rPr>
                <w:lang w:eastAsia="en-GB"/>
              </w:rPr>
            </w:pPr>
            <w:r w:rsidRPr="00FA0D37">
              <w:rPr>
                <w:lang w:eastAsia="en-GB"/>
              </w:rPr>
              <w:t xml:space="preserve">Indicates the list of SL QoS flows ID of the </w:t>
            </w:r>
            <w:r w:rsidRPr="00FA0D37">
              <w:rPr>
                <w:iCs/>
                <w:lang w:eastAsia="en-GB"/>
              </w:rPr>
              <w:t>NR</w:t>
            </w:r>
            <w:r w:rsidRPr="00FA0D37">
              <w:rPr>
                <w:lang w:eastAsia="en-GB"/>
              </w:rPr>
              <w:t xml:space="preserve"> sidelink communication transmission destination to be released from existing QoS flow to SLRB mapping of this </w:t>
            </w:r>
            <w:r w:rsidRPr="00FA0D37">
              <w:rPr>
                <w:rFonts w:cs="Arial"/>
                <w:lang w:eastAsia="en-GB"/>
              </w:rPr>
              <w:t>sidelink DRB</w:t>
            </w:r>
            <w:r w:rsidRPr="00FA0D37">
              <w:rPr>
                <w:lang w:eastAsia="en-GB"/>
              </w:rPr>
              <w:t xml:space="preserve">. </w:t>
            </w:r>
          </w:p>
        </w:tc>
      </w:tr>
      <w:tr w:rsidR="000830BB" w:rsidRPr="00FA0D37" w14:paraId="7833B26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338EA83" w14:textId="77777777" w:rsidR="00394471" w:rsidRPr="00FA0D37" w:rsidRDefault="00394471" w:rsidP="00964CC4">
            <w:pPr>
              <w:pStyle w:val="TAL"/>
              <w:rPr>
                <w:b/>
                <w:bCs/>
                <w:i/>
                <w:iCs/>
                <w:lang w:eastAsia="en-GB"/>
              </w:rPr>
            </w:pPr>
            <w:r w:rsidRPr="00FA0D37">
              <w:rPr>
                <w:b/>
                <w:bCs/>
                <w:i/>
                <w:iCs/>
                <w:lang w:eastAsia="en-GB"/>
              </w:rPr>
              <w:t>sl-SDAP-Header</w:t>
            </w:r>
          </w:p>
          <w:p w14:paraId="09896D53" w14:textId="77777777" w:rsidR="00394471" w:rsidRPr="00FA0D37" w:rsidRDefault="00394471" w:rsidP="00964CC4">
            <w:pPr>
              <w:pStyle w:val="TAL"/>
              <w:rPr>
                <w:lang w:eastAsia="en-GB"/>
              </w:rPr>
            </w:pPr>
            <w:r w:rsidRPr="00FA0D37">
              <w:rPr>
                <w:lang w:eastAsia="en-GB"/>
              </w:rPr>
              <w:t xml:space="preserve">Indicates whether or not a SDAP header is present on this sidelink DRB. The field cannot be changed after a sidelink DRB is established. This field is set to present if the field </w:t>
            </w:r>
            <w:r w:rsidRPr="00FA0D37">
              <w:rPr>
                <w:i/>
                <w:iCs/>
                <w:lang w:eastAsia="en-GB"/>
              </w:rPr>
              <w:t>sl-DefaultRB</w:t>
            </w:r>
            <w:r w:rsidRPr="00FA0D37">
              <w:rPr>
                <w:lang w:eastAsia="en-GB"/>
              </w:rPr>
              <w:t xml:space="preserve"> is set to </w:t>
            </w:r>
            <w:r w:rsidRPr="00FA0D37">
              <w:rPr>
                <w:i/>
                <w:iCs/>
                <w:lang w:eastAsia="en-GB"/>
              </w:rPr>
              <w:t>true</w:t>
            </w:r>
            <w:r w:rsidRPr="00FA0D37">
              <w:rPr>
                <w:lang w:eastAsia="en-GB"/>
              </w:rPr>
              <w:t>.</w:t>
            </w:r>
          </w:p>
        </w:tc>
      </w:tr>
    </w:tbl>
    <w:p w14:paraId="72514FBF" w14:textId="651DB419" w:rsidR="00394471" w:rsidRPr="00FA0D37" w:rsidRDefault="00394471" w:rsidP="00394471">
      <w:pPr>
        <w:rPr>
          <w:rFonts w:eastAsia="Yu Mincho"/>
        </w:rPr>
      </w:pPr>
    </w:p>
    <w:p w14:paraId="5AC6B9A6" w14:textId="11A29BF1" w:rsidR="00E81DFA" w:rsidRPr="00FA0D37" w:rsidRDefault="00E81DFA" w:rsidP="00E81DFA">
      <w:pPr>
        <w:pStyle w:val="4"/>
      </w:pPr>
      <w:bookmarkStart w:id="1825" w:name="_Toc146781677"/>
      <w:r w:rsidRPr="00FA0D37">
        <w:t>–</w:t>
      </w:r>
      <w:r w:rsidRPr="00FA0D37">
        <w:tab/>
      </w:r>
      <w:r w:rsidRPr="00FA0D37">
        <w:rPr>
          <w:i/>
          <w:iCs/>
        </w:rPr>
        <w:t>SL-ServingCellInfo</w:t>
      </w:r>
      <w:bookmarkEnd w:id="1825"/>
    </w:p>
    <w:p w14:paraId="14CCFF7B" w14:textId="2ED1372D" w:rsidR="00E81DFA" w:rsidRPr="00FA0D37" w:rsidRDefault="00E81DFA" w:rsidP="00E81DFA">
      <w:r w:rsidRPr="00FA0D37">
        <w:t xml:space="preserve">The IE </w:t>
      </w:r>
      <w:r w:rsidRPr="00FA0D37">
        <w:rPr>
          <w:i/>
        </w:rPr>
        <w:t>SL-</w:t>
      </w:r>
      <w:r w:rsidRPr="00FA0D37">
        <w:rPr>
          <w:i/>
          <w:iCs/>
        </w:rPr>
        <w:t>ServingCellInfo</w:t>
      </w:r>
      <w:r w:rsidRPr="00FA0D37">
        <w:t xml:space="preserve"> is used to indicate </w:t>
      </w:r>
      <w:r w:rsidR="0039645C" w:rsidRPr="00FA0D37">
        <w:t>the L2 U2N Relay UE</w:t>
      </w:r>
      <w:r w:rsidR="00432ECC" w:rsidRPr="00FA0D37">
        <w:t>'</w:t>
      </w:r>
      <w:r w:rsidR="0039645C" w:rsidRPr="00FA0D37">
        <w:t>s</w:t>
      </w:r>
      <w:r w:rsidR="0039645C" w:rsidRPr="00FA0D37">
        <w:rPr>
          <w:rFonts w:eastAsia="宋体"/>
        </w:rPr>
        <w:t xml:space="preserve"> PCell/camping cell</w:t>
      </w:r>
      <w:r w:rsidR="0039645C" w:rsidRPr="00FA0D37">
        <w:t>, which is considered as PCell/camping cell by the L2 U2N Remote UEs connecting with this L2 U2N Relay UE</w:t>
      </w:r>
      <w:r w:rsidRPr="00FA0D37">
        <w:t>.</w:t>
      </w:r>
    </w:p>
    <w:p w14:paraId="1771D3EC" w14:textId="77777777" w:rsidR="00E81DFA" w:rsidRPr="00FA0D37" w:rsidRDefault="00E81DFA" w:rsidP="00E81DFA">
      <w:pPr>
        <w:pStyle w:val="TH"/>
        <w:rPr>
          <w:b w:val="0"/>
          <w:lang w:eastAsia="zh-CN"/>
        </w:rPr>
      </w:pPr>
      <w:r w:rsidRPr="00FA0D37">
        <w:rPr>
          <w:i/>
          <w:lang w:eastAsia="zh-CN"/>
        </w:rPr>
        <w:t>SL-ServingCellInfo</w:t>
      </w:r>
      <w:r w:rsidRPr="00FA0D37">
        <w:rPr>
          <w:lang w:eastAsia="zh-CN"/>
        </w:rPr>
        <w:t xml:space="preserve"> information element</w:t>
      </w:r>
    </w:p>
    <w:p w14:paraId="04DBCE18" w14:textId="77777777" w:rsidR="00E81DFA" w:rsidRPr="00FA0D37" w:rsidRDefault="00E81DFA" w:rsidP="00FA0D37">
      <w:pPr>
        <w:pStyle w:val="PL"/>
        <w:rPr>
          <w:color w:val="808080"/>
        </w:rPr>
      </w:pPr>
      <w:r w:rsidRPr="00FA0D37">
        <w:rPr>
          <w:color w:val="808080"/>
        </w:rPr>
        <w:t>-- ASN1START</w:t>
      </w:r>
    </w:p>
    <w:p w14:paraId="7F7E1B86" w14:textId="77777777" w:rsidR="00E81DFA" w:rsidRPr="00FA0D37" w:rsidRDefault="00E81DFA" w:rsidP="00FA0D37">
      <w:pPr>
        <w:pStyle w:val="PL"/>
        <w:rPr>
          <w:color w:val="808080"/>
        </w:rPr>
      </w:pPr>
      <w:r w:rsidRPr="00FA0D37">
        <w:rPr>
          <w:color w:val="808080"/>
        </w:rPr>
        <w:t>-- TAG-SL-SERVINGCELLINFO-START</w:t>
      </w:r>
    </w:p>
    <w:p w14:paraId="23F2D559" w14:textId="77777777" w:rsidR="00E81DFA" w:rsidRPr="00FA0D37" w:rsidRDefault="00E81DFA" w:rsidP="00FA0D37">
      <w:pPr>
        <w:pStyle w:val="PL"/>
      </w:pPr>
    </w:p>
    <w:p w14:paraId="35EF7FF0" w14:textId="00BC25D5" w:rsidR="00E81DFA" w:rsidRPr="00FA0D37" w:rsidRDefault="00E81DFA" w:rsidP="00FA0D37">
      <w:pPr>
        <w:pStyle w:val="PL"/>
      </w:pPr>
      <w:r w:rsidRPr="00FA0D37">
        <w:rPr>
          <w:rFonts w:eastAsia="等线"/>
        </w:rPr>
        <w:t>SL-S</w:t>
      </w:r>
      <w:r w:rsidRPr="00FA0D37">
        <w:rPr>
          <w:rFonts w:eastAsia="宋体"/>
        </w:rPr>
        <w:t>ervingCellInfo-r17</w:t>
      </w:r>
      <w:r w:rsidRPr="00FA0D37">
        <w:t xml:space="preserve"> ::=     </w:t>
      </w:r>
      <w:r w:rsidRPr="00FA0D37">
        <w:rPr>
          <w:color w:val="993366"/>
        </w:rPr>
        <w:t>SEQUENCE</w:t>
      </w:r>
      <w:r w:rsidRPr="00FA0D37">
        <w:t xml:space="preserve"> {</w:t>
      </w:r>
    </w:p>
    <w:p w14:paraId="2E6BAD81" w14:textId="77777777" w:rsidR="00CA6F5E" w:rsidRPr="00FA0D37" w:rsidRDefault="00E81DFA" w:rsidP="00FA0D37">
      <w:pPr>
        <w:pStyle w:val="PL"/>
        <w:rPr>
          <w:rFonts w:eastAsia="等线"/>
        </w:rPr>
      </w:pPr>
      <w:r w:rsidRPr="00FA0D37">
        <w:t xml:space="preserve">    </w:t>
      </w:r>
      <w:r w:rsidRPr="00FA0D37">
        <w:rPr>
          <w:rFonts w:eastAsia="等线"/>
        </w:rPr>
        <w:t>sl-PhysCellId-r17</w:t>
      </w:r>
      <w:r w:rsidRPr="00FA0D37">
        <w:t xml:space="preserve">              </w:t>
      </w:r>
      <w:r w:rsidRPr="00FA0D37">
        <w:rPr>
          <w:rFonts w:eastAsia="等线"/>
        </w:rPr>
        <w:t>PhysCellId</w:t>
      </w:r>
      <w:r w:rsidR="00CA6F5E" w:rsidRPr="00FA0D37">
        <w:rPr>
          <w:rFonts w:eastAsia="等线"/>
        </w:rPr>
        <w:t>,</w:t>
      </w:r>
    </w:p>
    <w:p w14:paraId="4DF962D3" w14:textId="73EC00A8" w:rsidR="00E81DFA" w:rsidRPr="00FA0D37" w:rsidRDefault="00CA6F5E" w:rsidP="00FA0D37">
      <w:pPr>
        <w:pStyle w:val="PL"/>
        <w:rPr>
          <w:rFonts w:eastAsia="等线"/>
        </w:rPr>
      </w:pPr>
      <w:r w:rsidRPr="00FA0D37">
        <w:t xml:space="preserve">    sl-CarrierFreqNR-r17           ARFCN-ValueNR</w:t>
      </w:r>
    </w:p>
    <w:p w14:paraId="735108BF" w14:textId="77777777" w:rsidR="00E81DFA" w:rsidRPr="00FA0D37" w:rsidRDefault="00E81DFA" w:rsidP="00FA0D37">
      <w:pPr>
        <w:pStyle w:val="PL"/>
        <w:rPr>
          <w:rFonts w:eastAsia="等线"/>
        </w:rPr>
      </w:pPr>
      <w:r w:rsidRPr="00FA0D37">
        <w:rPr>
          <w:rFonts w:eastAsia="等线"/>
        </w:rPr>
        <w:t>}</w:t>
      </w:r>
    </w:p>
    <w:p w14:paraId="06C98E43" w14:textId="77777777" w:rsidR="00E81DFA" w:rsidRPr="00FA0D37" w:rsidRDefault="00E81DFA" w:rsidP="00FA0D37">
      <w:pPr>
        <w:pStyle w:val="PL"/>
        <w:rPr>
          <w:rFonts w:eastAsia="等线"/>
        </w:rPr>
      </w:pPr>
    </w:p>
    <w:p w14:paraId="7D635204" w14:textId="77777777" w:rsidR="00E81DFA" w:rsidRPr="00FA0D37" w:rsidRDefault="00E81DFA" w:rsidP="00FA0D37">
      <w:pPr>
        <w:pStyle w:val="PL"/>
        <w:rPr>
          <w:color w:val="808080"/>
        </w:rPr>
      </w:pPr>
      <w:r w:rsidRPr="00FA0D37">
        <w:rPr>
          <w:color w:val="808080"/>
        </w:rPr>
        <w:t>-- TAG-SL-SERVINGCELLINFO-STOP</w:t>
      </w:r>
    </w:p>
    <w:p w14:paraId="664E4DB3" w14:textId="77777777" w:rsidR="00E81DFA" w:rsidRPr="00FA0D37" w:rsidRDefault="00E81DFA" w:rsidP="00FA0D37">
      <w:pPr>
        <w:pStyle w:val="PL"/>
        <w:rPr>
          <w:color w:val="808080"/>
        </w:rPr>
      </w:pPr>
      <w:r w:rsidRPr="00FA0D37">
        <w:rPr>
          <w:color w:val="808080"/>
        </w:rPr>
        <w:t>-- ASN1STOP</w:t>
      </w:r>
    </w:p>
    <w:p w14:paraId="6507BBBE" w14:textId="77777777" w:rsidR="00E81DFA" w:rsidRPr="00FA0D37" w:rsidRDefault="00E81DFA" w:rsidP="00E81DF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5C7FF4" w:rsidRPr="00FA0D37" w14:paraId="2D3D7641" w14:textId="77777777" w:rsidTr="00771058">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74BA618E" w14:textId="77777777" w:rsidR="00E81DFA" w:rsidRPr="00FA0D37" w:rsidRDefault="00E81DFA" w:rsidP="00771058">
            <w:pPr>
              <w:pStyle w:val="TAH"/>
              <w:rPr>
                <w:b w:val="0"/>
                <w:lang w:eastAsia="en-GB"/>
              </w:rPr>
            </w:pPr>
            <w:r w:rsidRPr="00FA0D37">
              <w:rPr>
                <w:i/>
                <w:noProof/>
                <w:lang w:eastAsia="en-GB"/>
              </w:rPr>
              <w:lastRenderedPageBreak/>
              <w:t>SL-ServingCellInfo</w:t>
            </w:r>
            <w:r w:rsidRPr="00FA0D37">
              <w:rPr>
                <w:iCs/>
                <w:noProof/>
                <w:lang w:eastAsia="en-GB"/>
              </w:rPr>
              <w:t xml:space="preserve"> field descriptions</w:t>
            </w:r>
          </w:p>
        </w:tc>
      </w:tr>
      <w:tr w:rsidR="005C7FF4" w:rsidRPr="00FA0D37" w14:paraId="210E461A"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9EE6438" w14:textId="75DC399E" w:rsidR="00E81DFA" w:rsidRPr="00FA0D37" w:rsidRDefault="00E81DFA" w:rsidP="00771058">
            <w:pPr>
              <w:pStyle w:val="TAL"/>
              <w:rPr>
                <w:b/>
                <w:bCs/>
                <w:i/>
                <w:iCs/>
                <w:lang w:eastAsia="en-GB"/>
              </w:rPr>
            </w:pPr>
            <w:r w:rsidRPr="00FA0D37">
              <w:rPr>
                <w:b/>
                <w:bCs/>
                <w:i/>
                <w:iCs/>
                <w:lang w:eastAsia="en-GB"/>
              </w:rPr>
              <w:t>sl-</w:t>
            </w:r>
            <w:r w:rsidR="00CA6F5E" w:rsidRPr="00FA0D37">
              <w:rPr>
                <w:b/>
                <w:bCs/>
                <w:i/>
                <w:iCs/>
                <w:lang w:eastAsia="en-GB"/>
              </w:rPr>
              <w:t>CarrierFreqNR</w:t>
            </w:r>
          </w:p>
          <w:p w14:paraId="3987928F" w14:textId="1C9B69DF" w:rsidR="00E81DFA" w:rsidRPr="00FA0D37" w:rsidRDefault="00E81DFA" w:rsidP="00771058">
            <w:pPr>
              <w:pStyle w:val="TAL"/>
              <w:rPr>
                <w:noProof/>
                <w:lang w:eastAsia="en-GB"/>
              </w:rPr>
            </w:pPr>
            <w:r w:rsidRPr="00FA0D37">
              <w:rPr>
                <w:lang w:eastAsia="en-GB"/>
              </w:rPr>
              <w:t>Indicate</w:t>
            </w:r>
            <w:r w:rsidR="00B547B2" w:rsidRPr="00FA0D37">
              <w:rPr>
                <w:lang w:eastAsia="en-GB"/>
              </w:rPr>
              <w:t>s</w:t>
            </w:r>
            <w:r w:rsidRPr="00FA0D37">
              <w:rPr>
                <w:lang w:eastAsia="en-GB"/>
              </w:rPr>
              <w:t xml:space="preserve"> the </w:t>
            </w:r>
            <w:r w:rsidR="00CA6F5E" w:rsidRPr="00FA0D37">
              <w:rPr>
                <w:bCs/>
                <w:lang w:eastAsia="en-GB"/>
              </w:rPr>
              <w:t xml:space="preserve">DL </w:t>
            </w:r>
            <w:r w:rsidR="00CA6F5E" w:rsidRPr="00FA0D37">
              <w:rPr>
                <w:lang w:eastAsia="en-GB"/>
              </w:rPr>
              <w:t>frequency</w:t>
            </w:r>
            <w:r w:rsidR="00CA6F5E" w:rsidRPr="00FA0D37">
              <w:rPr>
                <w:bCs/>
                <w:lang w:eastAsia="en-GB"/>
              </w:rPr>
              <w:t xml:space="preserve"> of the cell </w:t>
            </w:r>
            <w:r w:rsidR="00CA6F5E" w:rsidRPr="00FA0D37">
              <w:rPr>
                <w:bCs/>
                <w:lang w:eastAsia="zh-CN"/>
              </w:rPr>
              <w:t>indicated</w:t>
            </w:r>
            <w:r w:rsidR="00CA6F5E" w:rsidRPr="00FA0D37">
              <w:rPr>
                <w:bCs/>
                <w:lang w:eastAsia="en-GB"/>
              </w:rPr>
              <w:t xml:space="preserve"> by </w:t>
            </w:r>
            <w:r w:rsidR="00CA6F5E" w:rsidRPr="00FA0D37">
              <w:rPr>
                <w:bCs/>
                <w:i/>
                <w:lang w:eastAsia="en-GB"/>
              </w:rPr>
              <w:t>sl-PhysCellId</w:t>
            </w:r>
            <w:r w:rsidRPr="00FA0D37">
              <w:rPr>
                <w:lang w:eastAsia="en-GB"/>
              </w:rPr>
              <w:t>.</w:t>
            </w:r>
          </w:p>
        </w:tc>
      </w:tr>
      <w:tr w:rsidR="00375B89" w:rsidRPr="00FA0D37" w14:paraId="0A57C4EB"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BA4183B" w14:textId="77777777" w:rsidR="00E81DFA" w:rsidRPr="00FA0D37" w:rsidRDefault="00E81DFA" w:rsidP="00771058">
            <w:pPr>
              <w:pStyle w:val="TAL"/>
              <w:rPr>
                <w:b/>
                <w:bCs/>
                <w:i/>
                <w:iCs/>
                <w:lang w:eastAsia="en-GB"/>
              </w:rPr>
            </w:pPr>
            <w:r w:rsidRPr="00FA0D37">
              <w:rPr>
                <w:b/>
                <w:bCs/>
                <w:i/>
                <w:iCs/>
                <w:lang w:eastAsia="en-GB"/>
              </w:rPr>
              <w:t>sl-PhysCellId</w:t>
            </w:r>
          </w:p>
          <w:p w14:paraId="21425F89" w14:textId="77777777" w:rsidR="00E81DFA" w:rsidRPr="00FA0D37" w:rsidRDefault="00E81DFA" w:rsidP="00771058">
            <w:pPr>
              <w:pStyle w:val="TAL"/>
              <w:rPr>
                <w:lang w:eastAsia="en-GB"/>
              </w:rPr>
            </w:pPr>
            <w:r w:rsidRPr="00FA0D37">
              <w:rPr>
                <w:lang w:eastAsia="en-GB"/>
              </w:rPr>
              <w:t>Indicates the PCI of the PCell.</w:t>
            </w:r>
          </w:p>
        </w:tc>
      </w:tr>
    </w:tbl>
    <w:p w14:paraId="3F9321C9" w14:textId="7932FB09" w:rsidR="00E81DFA" w:rsidRPr="00FA0D37" w:rsidRDefault="00E81DFA" w:rsidP="00394471">
      <w:pPr>
        <w:rPr>
          <w:rFonts w:eastAsia="Yu Mincho"/>
        </w:rPr>
      </w:pPr>
    </w:p>
    <w:p w14:paraId="1B21AAFF" w14:textId="6AECB88F" w:rsidR="00E81DFA" w:rsidRPr="00FA0D37" w:rsidRDefault="00E81DFA" w:rsidP="000830BB">
      <w:pPr>
        <w:pStyle w:val="4"/>
      </w:pPr>
      <w:bookmarkStart w:id="1826" w:name="_Toc146781678"/>
      <w:r w:rsidRPr="00FA0D37">
        <w:t>–</w:t>
      </w:r>
      <w:r w:rsidRPr="00FA0D37">
        <w:tab/>
      </w:r>
      <w:r w:rsidRPr="00FA0D37">
        <w:rPr>
          <w:i/>
          <w:iCs/>
        </w:rPr>
        <w:t>SL-SourceIdentity</w:t>
      </w:r>
      <w:bookmarkEnd w:id="1826"/>
    </w:p>
    <w:p w14:paraId="75A9C5E3" w14:textId="77777777" w:rsidR="00E81DFA" w:rsidRPr="00FA0D37" w:rsidRDefault="00E81DFA" w:rsidP="00E81DFA">
      <w:r w:rsidRPr="00FA0D37">
        <w:t xml:space="preserve">The IE </w:t>
      </w:r>
      <w:r w:rsidRPr="00FA0D37">
        <w:rPr>
          <w:i/>
        </w:rPr>
        <w:t>SL-SourceIdentity</w:t>
      </w:r>
      <w:r w:rsidRPr="00FA0D37">
        <w:t xml:space="preserve"> is used to identify a source of a NR sidelink communication.</w:t>
      </w:r>
    </w:p>
    <w:p w14:paraId="0D1979B9" w14:textId="77777777" w:rsidR="00E81DFA" w:rsidRPr="00FA0D37" w:rsidRDefault="00E81DFA" w:rsidP="00E81DFA">
      <w:pPr>
        <w:keepNext/>
        <w:keepLines/>
        <w:spacing w:before="60"/>
        <w:jc w:val="center"/>
        <w:rPr>
          <w:rFonts w:ascii="Arial" w:hAnsi="Arial"/>
        </w:rPr>
      </w:pPr>
      <w:r w:rsidRPr="00FA0D37">
        <w:rPr>
          <w:rFonts w:ascii="Arial" w:hAnsi="Arial"/>
          <w:b/>
          <w:i/>
          <w:iCs/>
        </w:rPr>
        <w:t xml:space="preserve">SL-SourceIdentity </w:t>
      </w:r>
      <w:r w:rsidRPr="00FA0D37">
        <w:rPr>
          <w:rFonts w:ascii="Arial" w:hAnsi="Arial"/>
          <w:b/>
        </w:rPr>
        <w:t>information element</w:t>
      </w:r>
    </w:p>
    <w:p w14:paraId="33F927A8" w14:textId="77777777" w:rsidR="00E81DFA" w:rsidRPr="00FA0D37" w:rsidRDefault="00E81DFA" w:rsidP="00FA0D37">
      <w:pPr>
        <w:pStyle w:val="PL"/>
        <w:rPr>
          <w:color w:val="808080"/>
        </w:rPr>
      </w:pPr>
      <w:r w:rsidRPr="00FA0D37">
        <w:rPr>
          <w:color w:val="808080"/>
        </w:rPr>
        <w:t>-- ASN1START</w:t>
      </w:r>
    </w:p>
    <w:p w14:paraId="107FE43E" w14:textId="77777777" w:rsidR="00E81DFA" w:rsidRPr="00FA0D37" w:rsidRDefault="00E81DFA" w:rsidP="00FA0D37">
      <w:pPr>
        <w:pStyle w:val="PL"/>
        <w:rPr>
          <w:color w:val="808080"/>
        </w:rPr>
      </w:pPr>
      <w:r w:rsidRPr="00FA0D37">
        <w:rPr>
          <w:color w:val="808080"/>
        </w:rPr>
        <w:t>-- TAG-SL-SOURCEIDENTITY-START</w:t>
      </w:r>
    </w:p>
    <w:p w14:paraId="1563E1F6" w14:textId="77777777" w:rsidR="00E81DFA" w:rsidRPr="00FA0D37" w:rsidRDefault="00E81DFA" w:rsidP="00FA0D37">
      <w:pPr>
        <w:pStyle w:val="PL"/>
      </w:pPr>
    </w:p>
    <w:p w14:paraId="33E06020" w14:textId="1D15C24F" w:rsidR="00E81DFA" w:rsidRPr="00FA0D37" w:rsidRDefault="00E81DFA" w:rsidP="00FA0D37">
      <w:pPr>
        <w:pStyle w:val="PL"/>
      </w:pPr>
      <w:r w:rsidRPr="00FA0D37">
        <w:t xml:space="preserve">SL-SourceIdentity-r17 ::=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(24))</w:t>
      </w:r>
    </w:p>
    <w:p w14:paraId="41D48996" w14:textId="77777777" w:rsidR="00E81DFA" w:rsidRPr="00FA0D37" w:rsidRDefault="00E81DFA" w:rsidP="00FA0D37">
      <w:pPr>
        <w:pStyle w:val="PL"/>
      </w:pPr>
    </w:p>
    <w:p w14:paraId="72130A13" w14:textId="77777777" w:rsidR="00E81DFA" w:rsidRPr="00FA0D37" w:rsidRDefault="00E81DFA" w:rsidP="00FA0D37">
      <w:pPr>
        <w:pStyle w:val="PL"/>
        <w:rPr>
          <w:color w:val="808080"/>
        </w:rPr>
      </w:pPr>
      <w:r w:rsidRPr="00FA0D37">
        <w:rPr>
          <w:color w:val="808080"/>
        </w:rPr>
        <w:t>-- TAG-SL-SOURCEIDENTITY-STOP</w:t>
      </w:r>
    </w:p>
    <w:p w14:paraId="3BF02938" w14:textId="0423F24C" w:rsidR="00E81DFA" w:rsidRPr="00FA0D37" w:rsidRDefault="00E81DFA" w:rsidP="00FA0D37">
      <w:pPr>
        <w:pStyle w:val="PL"/>
        <w:rPr>
          <w:color w:val="808080"/>
        </w:rPr>
      </w:pPr>
      <w:r w:rsidRPr="00FA0D37">
        <w:rPr>
          <w:color w:val="808080"/>
        </w:rPr>
        <w:t>-- ASN1STOP</w:t>
      </w:r>
    </w:p>
    <w:p w14:paraId="33D58121" w14:textId="77777777" w:rsidR="00E81DFA" w:rsidRPr="00FA0D37" w:rsidRDefault="00E81DFA" w:rsidP="00394471">
      <w:pPr>
        <w:rPr>
          <w:rFonts w:eastAsia="Yu Mincho"/>
        </w:rPr>
      </w:pPr>
    </w:p>
    <w:p w14:paraId="23A36F25" w14:textId="63F1AE7C" w:rsidR="00E81DFA" w:rsidRPr="00FA0D37" w:rsidRDefault="00E81DFA" w:rsidP="000830BB">
      <w:pPr>
        <w:pStyle w:val="4"/>
        <w:rPr>
          <w:rFonts w:eastAsia="宋体"/>
        </w:rPr>
      </w:pPr>
      <w:bookmarkStart w:id="1827" w:name="_Toc83740326"/>
      <w:bookmarkStart w:id="1828" w:name="_Toc146781679"/>
      <w:r w:rsidRPr="00FA0D37">
        <w:rPr>
          <w:rFonts w:eastAsia="宋体"/>
        </w:rPr>
        <w:t>–</w:t>
      </w:r>
      <w:r w:rsidRPr="00FA0D37">
        <w:rPr>
          <w:rFonts w:eastAsia="宋体"/>
        </w:rPr>
        <w:tab/>
      </w:r>
      <w:r w:rsidRPr="00FA0D37">
        <w:rPr>
          <w:rFonts w:eastAsia="宋体"/>
          <w:i/>
          <w:iCs/>
        </w:rPr>
        <w:t>SL-SRAP-Config</w:t>
      </w:r>
      <w:bookmarkEnd w:id="1827"/>
      <w:bookmarkEnd w:id="1828"/>
    </w:p>
    <w:p w14:paraId="4FEBB1C3" w14:textId="6035F0B9" w:rsidR="00E81DFA" w:rsidRPr="00FA0D37" w:rsidRDefault="00E81DFA" w:rsidP="00E81DFA">
      <w:pPr>
        <w:rPr>
          <w:rFonts w:eastAsia="宋体"/>
          <w:lang w:eastAsia="zh-CN"/>
        </w:rPr>
      </w:pPr>
      <w:r w:rsidRPr="00FA0D37">
        <w:rPr>
          <w:rFonts w:eastAsia="宋体"/>
          <w:lang w:eastAsia="zh-CN"/>
        </w:rPr>
        <w:t>The IE SL-</w:t>
      </w:r>
      <w:r w:rsidRPr="00FA0D37">
        <w:rPr>
          <w:rFonts w:eastAsia="宋体"/>
          <w:i/>
          <w:lang w:eastAsia="zh-CN"/>
        </w:rPr>
        <w:t>SRAP-Config</w:t>
      </w:r>
      <w:r w:rsidRPr="00FA0D37">
        <w:rPr>
          <w:rFonts w:eastAsia="宋体"/>
          <w:lang w:eastAsia="zh-CN"/>
        </w:rPr>
        <w:t xml:space="preserve"> is used to set the configurable SRAP parameters used by L2 U2N Relay UE and L2 U2N Remote UE as specified in TS 38.351 </w:t>
      </w:r>
      <w:r w:rsidR="003050BB" w:rsidRPr="00FA0D37">
        <w:rPr>
          <w:rFonts w:eastAsia="宋体"/>
          <w:lang w:eastAsia="zh-CN"/>
        </w:rPr>
        <w:t>[66]</w:t>
      </w:r>
      <w:r w:rsidRPr="00FA0D37">
        <w:rPr>
          <w:rFonts w:eastAsia="宋体"/>
          <w:lang w:eastAsia="zh-CN"/>
        </w:rPr>
        <w:t>.</w:t>
      </w:r>
    </w:p>
    <w:p w14:paraId="200F5F15" w14:textId="77777777" w:rsidR="00E81DFA" w:rsidRPr="00FA0D37" w:rsidRDefault="00E81DFA" w:rsidP="00E81DFA">
      <w:pPr>
        <w:keepNext/>
        <w:keepLines/>
        <w:spacing w:before="60"/>
        <w:jc w:val="center"/>
        <w:rPr>
          <w:rFonts w:ascii="Arial" w:eastAsia="宋体" w:hAnsi="Arial"/>
          <w:b/>
          <w:lang w:eastAsia="zh-CN"/>
        </w:rPr>
      </w:pPr>
      <w:r w:rsidRPr="00FA0D37">
        <w:rPr>
          <w:rFonts w:ascii="Arial" w:hAnsi="Arial"/>
          <w:b/>
          <w:i/>
          <w:lang w:eastAsia="zh-CN"/>
        </w:rPr>
        <w:t>SL-SRAP-Config</w:t>
      </w:r>
      <w:r w:rsidRPr="00FA0D37">
        <w:rPr>
          <w:rFonts w:ascii="Arial" w:hAnsi="Arial"/>
          <w:b/>
          <w:lang w:eastAsia="zh-CN"/>
        </w:rPr>
        <w:t xml:space="preserve"> information element</w:t>
      </w:r>
    </w:p>
    <w:p w14:paraId="77893B74" w14:textId="77777777" w:rsidR="00E81DFA" w:rsidRPr="00FA0D37" w:rsidRDefault="00E81DFA" w:rsidP="00FA0D37">
      <w:pPr>
        <w:pStyle w:val="PL"/>
        <w:rPr>
          <w:color w:val="808080"/>
        </w:rPr>
      </w:pPr>
      <w:r w:rsidRPr="00FA0D37">
        <w:rPr>
          <w:color w:val="808080"/>
        </w:rPr>
        <w:t>-- ASN1START</w:t>
      </w:r>
    </w:p>
    <w:p w14:paraId="6218617F" w14:textId="77777777" w:rsidR="00E81DFA" w:rsidRPr="00FA0D37" w:rsidRDefault="00E81DFA" w:rsidP="00FA0D37">
      <w:pPr>
        <w:pStyle w:val="PL"/>
        <w:rPr>
          <w:color w:val="808080"/>
        </w:rPr>
      </w:pPr>
      <w:r w:rsidRPr="00FA0D37">
        <w:rPr>
          <w:color w:val="808080"/>
        </w:rPr>
        <w:t>-- TAG-SL-SRAP-CONFIG-START</w:t>
      </w:r>
    </w:p>
    <w:p w14:paraId="5C6131C8" w14:textId="77777777" w:rsidR="00E81DFA" w:rsidRPr="00FA0D37" w:rsidRDefault="00E81DFA" w:rsidP="00FA0D37">
      <w:pPr>
        <w:pStyle w:val="PL"/>
      </w:pPr>
    </w:p>
    <w:p w14:paraId="17BFAE09" w14:textId="1EB08DC2" w:rsidR="00E81DFA" w:rsidRPr="00FA0D37" w:rsidRDefault="00E81DFA" w:rsidP="00FA0D37">
      <w:pPr>
        <w:pStyle w:val="PL"/>
      </w:pPr>
      <w:r w:rsidRPr="00FA0D37">
        <w:t xml:space="preserve">SL-SRAP-Config-r17 ::=                  </w:t>
      </w:r>
      <w:r w:rsidRPr="00FA0D37">
        <w:rPr>
          <w:color w:val="993366"/>
        </w:rPr>
        <w:t>SEQUENCE</w:t>
      </w:r>
      <w:r w:rsidRPr="00FA0D37">
        <w:t xml:space="preserve"> {</w:t>
      </w:r>
    </w:p>
    <w:p w14:paraId="2F8443B8" w14:textId="5084861D" w:rsidR="00E81DFA" w:rsidRPr="00FA0D37" w:rsidRDefault="00E81DFA" w:rsidP="00FA0D37">
      <w:pPr>
        <w:pStyle w:val="PL"/>
        <w:rPr>
          <w:color w:val="808080"/>
        </w:rPr>
      </w:pPr>
      <w:r w:rsidRPr="00FA0D37">
        <w:t xml:space="preserve">    sl-LocalIdentity-r17                    </w:t>
      </w:r>
      <w:r w:rsidRPr="00FA0D37">
        <w:rPr>
          <w:color w:val="993366"/>
        </w:rPr>
        <w:t>INTEGER</w:t>
      </w:r>
      <w:r w:rsidRPr="00FA0D37">
        <w:t xml:space="preserve"> (0..255)                                                 </w:t>
      </w:r>
      <w:r w:rsidRPr="00FA0D37">
        <w:rPr>
          <w:color w:val="993366"/>
        </w:rPr>
        <w:t>OPTIONAL</w:t>
      </w:r>
      <w:r w:rsidRPr="00FA0D37">
        <w:t xml:space="preserve">, </w:t>
      </w:r>
      <w:r w:rsidRPr="00FA0D37">
        <w:rPr>
          <w:color w:val="808080"/>
        </w:rPr>
        <w:t>-- Need M</w:t>
      </w:r>
    </w:p>
    <w:p w14:paraId="0026C962" w14:textId="11395313" w:rsidR="00E81DFA" w:rsidRPr="00FA0D37" w:rsidRDefault="00E81DFA" w:rsidP="00FA0D37">
      <w:pPr>
        <w:pStyle w:val="PL"/>
        <w:rPr>
          <w:color w:val="808080"/>
        </w:rPr>
      </w:pPr>
      <w:r w:rsidRPr="00FA0D37">
        <w:t xml:space="preserve">    sl-MappingToAddModList-r17              </w:t>
      </w:r>
      <w:r w:rsidRPr="00FA0D37">
        <w:rPr>
          <w:color w:val="993366"/>
        </w:rPr>
        <w:t>SEQUENCE</w:t>
      </w:r>
      <w:r w:rsidRPr="00FA0D37">
        <w:t xml:space="preserve"> (</w:t>
      </w:r>
      <w:r w:rsidRPr="00FA0D37">
        <w:rPr>
          <w:color w:val="993366"/>
        </w:rPr>
        <w:t>SIZE</w:t>
      </w:r>
      <w:r w:rsidRPr="00FA0D37">
        <w:t xml:space="preserve"> (1..maxLC-ID))</w:t>
      </w:r>
      <w:r w:rsidRPr="00FA0D37">
        <w:rPr>
          <w:color w:val="993366"/>
        </w:rPr>
        <w:t xml:space="preserve"> OF</w:t>
      </w:r>
      <w:r w:rsidRPr="00FA0D37">
        <w:t xml:space="preserve"> SL-MappingToAddMod-r17          </w:t>
      </w:r>
      <w:r w:rsidRPr="00FA0D37">
        <w:rPr>
          <w:color w:val="993366"/>
        </w:rPr>
        <w:t>OPTIONAL</w:t>
      </w:r>
      <w:r w:rsidRPr="00FA0D37">
        <w:t xml:space="preserve">, </w:t>
      </w:r>
      <w:r w:rsidRPr="00FA0D37">
        <w:rPr>
          <w:color w:val="808080"/>
        </w:rPr>
        <w:t xml:space="preserve">-- Need </w:t>
      </w:r>
      <w:r w:rsidR="00CA6F5E" w:rsidRPr="00FA0D37">
        <w:rPr>
          <w:color w:val="808080"/>
        </w:rPr>
        <w:t>N</w:t>
      </w:r>
    </w:p>
    <w:p w14:paraId="6B08586A" w14:textId="5F34C92E" w:rsidR="00E81DFA" w:rsidRPr="00FA0D37" w:rsidRDefault="00E81DFA" w:rsidP="00FA0D37">
      <w:pPr>
        <w:pStyle w:val="PL"/>
        <w:rPr>
          <w:color w:val="808080"/>
        </w:rPr>
      </w:pPr>
      <w:r w:rsidRPr="00FA0D37">
        <w:t xml:space="preserve">    sl-MappingToReleaseList-r17             </w:t>
      </w:r>
      <w:r w:rsidRPr="00FA0D37">
        <w:rPr>
          <w:color w:val="993366"/>
        </w:rPr>
        <w:t>SEQUENCE</w:t>
      </w:r>
      <w:r w:rsidRPr="00FA0D37">
        <w:t xml:space="preserve"> (</w:t>
      </w:r>
      <w:r w:rsidRPr="00FA0D37">
        <w:rPr>
          <w:color w:val="993366"/>
        </w:rPr>
        <w:t>SIZE</w:t>
      </w:r>
      <w:r w:rsidRPr="00FA0D37">
        <w:t xml:space="preserve"> (1..maxLC-ID))</w:t>
      </w:r>
      <w:r w:rsidRPr="00FA0D37">
        <w:rPr>
          <w:color w:val="993366"/>
        </w:rPr>
        <w:t xml:space="preserve"> OF</w:t>
      </w:r>
      <w:r w:rsidRPr="00FA0D37">
        <w:t xml:space="preserve"> SL-RemoteUE-RB-Identity-r17     </w:t>
      </w:r>
      <w:r w:rsidRPr="00FA0D37">
        <w:rPr>
          <w:color w:val="993366"/>
        </w:rPr>
        <w:t>OPTIONAL</w:t>
      </w:r>
      <w:r w:rsidRPr="00FA0D37">
        <w:t xml:space="preserve">, </w:t>
      </w:r>
      <w:r w:rsidRPr="00FA0D37">
        <w:rPr>
          <w:color w:val="808080"/>
        </w:rPr>
        <w:t xml:space="preserve">-- Need </w:t>
      </w:r>
      <w:r w:rsidR="00CA6F5E" w:rsidRPr="00FA0D37">
        <w:rPr>
          <w:color w:val="808080"/>
        </w:rPr>
        <w:t>N</w:t>
      </w:r>
    </w:p>
    <w:p w14:paraId="3A34D3F8" w14:textId="77777777" w:rsidR="00E81DFA" w:rsidRPr="00FA0D37" w:rsidRDefault="00E81DFA" w:rsidP="00FA0D37">
      <w:pPr>
        <w:pStyle w:val="PL"/>
      </w:pPr>
      <w:r w:rsidRPr="00FA0D37">
        <w:t xml:space="preserve">    ...</w:t>
      </w:r>
    </w:p>
    <w:p w14:paraId="17B4A3E4" w14:textId="77777777" w:rsidR="00E81DFA" w:rsidRPr="00FA0D37" w:rsidRDefault="00E81DFA" w:rsidP="00FA0D37">
      <w:pPr>
        <w:pStyle w:val="PL"/>
      </w:pPr>
      <w:r w:rsidRPr="00FA0D37">
        <w:t>}</w:t>
      </w:r>
    </w:p>
    <w:p w14:paraId="080030A8" w14:textId="77777777" w:rsidR="00E81DFA" w:rsidRPr="00FA0D37" w:rsidRDefault="00E81DFA" w:rsidP="00FA0D37">
      <w:pPr>
        <w:pStyle w:val="PL"/>
      </w:pPr>
    </w:p>
    <w:p w14:paraId="0A5753CF" w14:textId="085A4CDA" w:rsidR="00E81DFA" w:rsidRPr="00FA0D37" w:rsidRDefault="00E81DFA" w:rsidP="00FA0D37">
      <w:pPr>
        <w:pStyle w:val="PL"/>
      </w:pPr>
      <w:r w:rsidRPr="00FA0D37">
        <w:t xml:space="preserve">SL-MappingToAddMod-r17 ::=              </w:t>
      </w:r>
      <w:r w:rsidRPr="00FA0D37">
        <w:rPr>
          <w:color w:val="993366"/>
        </w:rPr>
        <w:t>SEQUENCE</w:t>
      </w:r>
      <w:r w:rsidRPr="00FA0D37">
        <w:t xml:space="preserve"> {</w:t>
      </w:r>
    </w:p>
    <w:p w14:paraId="5336D735" w14:textId="1F5CC6F7" w:rsidR="00E81DFA" w:rsidRPr="00FA0D37" w:rsidRDefault="00E81DFA" w:rsidP="00FA0D37">
      <w:pPr>
        <w:pStyle w:val="PL"/>
      </w:pPr>
      <w:r w:rsidRPr="00FA0D37">
        <w:t xml:space="preserve">    sl-RemoteUE-RB-Identity-r17             SL-RemoteUE-RB-Identity-r17,</w:t>
      </w:r>
    </w:p>
    <w:p w14:paraId="79EAF021" w14:textId="4BFB9844" w:rsidR="00E81DFA" w:rsidRPr="00FA0D37" w:rsidRDefault="00E81DFA" w:rsidP="00FA0D37">
      <w:pPr>
        <w:pStyle w:val="PL"/>
        <w:rPr>
          <w:color w:val="808080"/>
        </w:rPr>
      </w:pPr>
      <w:r w:rsidRPr="00FA0D37">
        <w:t xml:space="preserve">    sl-EgressRLC-ChannelUu-r17            </w:t>
      </w:r>
      <w:r w:rsidR="00CA6F5E" w:rsidRPr="00FA0D37">
        <w:t xml:space="preserve">  </w:t>
      </w:r>
      <w:r w:rsidRPr="00FA0D37">
        <w:t xml:space="preserve">Uu-RelayRLC-ChannelID-r17                                       </w:t>
      </w:r>
      <w:r w:rsidR="00CA6F5E" w:rsidRPr="00FA0D37">
        <w:t xml:space="preserve"> </w:t>
      </w:r>
      <w:r w:rsidRPr="00FA0D37">
        <w:rPr>
          <w:color w:val="993366"/>
        </w:rPr>
        <w:t>OPTIONAL</w:t>
      </w:r>
      <w:r w:rsidRPr="00FA0D37">
        <w:t xml:space="preserve">, </w:t>
      </w:r>
      <w:r w:rsidRPr="00FA0D37">
        <w:rPr>
          <w:color w:val="808080"/>
        </w:rPr>
        <w:t xml:space="preserve">-- </w:t>
      </w:r>
      <w:r w:rsidR="00C72BC5" w:rsidRPr="00FA0D37">
        <w:rPr>
          <w:color w:val="808080"/>
        </w:rPr>
        <w:t xml:space="preserve">Cond </w:t>
      </w:r>
      <w:r w:rsidRPr="00FA0D37">
        <w:rPr>
          <w:color w:val="808080"/>
        </w:rPr>
        <w:t>L2RelayUE</w:t>
      </w:r>
    </w:p>
    <w:p w14:paraId="450B2710" w14:textId="7C61DC48" w:rsidR="00E81DFA" w:rsidRPr="00FA0D37" w:rsidRDefault="00E81DFA" w:rsidP="00FA0D37">
      <w:pPr>
        <w:pStyle w:val="PL"/>
        <w:rPr>
          <w:color w:val="808080"/>
        </w:rPr>
      </w:pPr>
      <w:r w:rsidRPr="00FA0D37">
        <w:t xml:space="preserve">    sl-EgressRLC-ChannelPC5-r17           </w:t>
      </w:r>
      <w:r w:rsidR="00CA6F5E" w:rsidRPr="00FA0D37">
        <w:t xml:space="preserve">  </w:t>
      </w:r>
      <w:r w:rsidRPr="00FA0D37">
        <w:t xml:space="preserve">SL-RLC-ChannelID-r17                                             </w:t>
      </w:r>
      <w:r w:rsidRPr="00FA0D37">
        <w:rPr>
          <w:color w:val="993366"/>
        </w:rPr>
        <w:t>OPTIONAL</w:t>
      </w:r>
      <w:r w:rsidRPr="00FA0D37">
        <w:t xml:space="preserve">, </w:t>
      </w:r>
      <w:r w:rsidRPr="00FA0D37">
        <w:rPr>
          <w:color w:val="808080"/>
        </w:rPr>
        <w:t>-- Need N</w:t>
      </w:r>
    </w:p>
    <w:p w14:paraId="57E65B11" w14:textId="77777777" w:rsidR="00E81DFA" w:rsidRPr="00FA0D37" w:rsidRDefault="00E81DFA" w:rsidP="00FA0D37">
      <w:pPr>
        <w:pStyle w:val="PL"/>
      </w:pPr>
      <w:r w:rsidRPr="00FA0D37">
        <w:t xml:space="preserve">    ...</w:t>
      </w:r>
    </w:p>
    <w:p w14:paraId="3B40753D" w14:textId="77777777" w:rsidR="00E81DFA" w:rsidRPr="00FA0D37" w:rsidRDefault="00E81DFA" w:rsidP="00FA0D37">
      <w:pPr>
        <w:pStyle w:val="PL"/>
      </w:pPr>
      <w:r w:rsidRPr="00FA0D37">
        <w:t>}</w:t>
      </w:r>
    </w:p>
    <w:p w14:paraId="32DE8BBD" w14:textId="77777777" w:rsidR="00E81DFA" w:rsidRPr="00FA0D37" w:rsidRDefault="00E81DFA" w:rsidP="00FA0D37">
      <w:pPr>
        <w:pStyle w:val="PL"/>
      </w:pPr>
    </w:p>
    <w:p w14:paraId="1EA39EB0" w14:textId="25D39E5E" w:rsidR="00E81DFA" w:rsidRPr="00FA0D37" w:rsidRDefault="00E81DFA" w:rsidP="00FA0D37">
      <w:pPr>
        <w:pStyle w:val="PL"/>
      </w:pPr>
      <w:r w:rsidRPr="00FA0D37">
        <w:t xml:space="preserve">SL-RemoteUE-RB-Identity-r17 ::=         </w:t>
      </w:r>
      <w:r w:rsidRPr="00FA0D37">
        <w:rPr>
          <w:color w:val="993366"/>
        </w:rPr>
        <w:t>CHOICE</w:t>
      </w:r>
      <w:r w:rsidRPr="00FA0D37">
        <w:t xml:space="preserve"> {</w:t>
      </w:r>
    </w:p>
    <w:p w14:paraId="060B954A" w14:textId="1069B8DE" w:rsidR="00E81DFA" w:rsidRPr="00FA0D37" w:rsidRDefault="00E81DFA" w:rsidP="00FA0D37">
      <w:pPr>
        <w:pStyle w:val="PL"/>
      </w:pPr>
      <w:r w:rsidRPr="00FA0D37">
        <w:t xml:space="preserve">    srb-Identity-r17                        </w:t>
      </w:r>
      <w:r w:rsidRPr="00FA0D37">
        <w:rPr>
          <w:color w:val="993366"/>
        </w:rPr>
        <w:t>INTEGER</w:t>
      </w:r>
      <w:r w:rsidRPr="00FA0D37">
        <w:t xml:space="preserve"> (0..</w:t>
      </w:r>
      <w:r w:rsidR="00CA6F5E" w:rsidRPr="00FA0D37">
        <w:t>3</w:t>
      </w:r>
      <w:r w:rsidRPr="00FA0D37">
        <w:t>),</w:t>
      </w:r>
    </w:p>
    <w:p w14:paraId="056AF913" w14:textId="1A129B49" w:rsidR="00E81DFA" w:rsidRPr="00FA0D37" w:rsidRDefault="00E81DFA" w:rsidP="00FA0D37">
      <w:pPr>
        <w:pStyle w:val="PL"/>
      </w:pPr>
      <w:r w:rsidRPr="00FA0D37">
        <w:lastRenderedPageBreak/>
        <w:t xml:space="preserve">    drb-Identity-r17                        DRB-Identity,</w:t>
      </w:r>
    </w:p>
    <w:p w14:paraId="73E2026D" w14:textId="77777777" w:rsidR="00E81DFA" w:rsidRPr="00FA0D37" w:rsidRDefault="00E81DFA" w:rsidP="00FA0D37">
      <w:pPr>
        <w:pStyle w:val="PL"/>
      </w:pPr>
      <w:r w:rsidRPr="00FA0D37">
        <w:t xml:space="preserve">    ...</w:t>
      </w:r>
    </w:p>
    <w:p w14:paraId="21850981" w14:textId="77777777" w:rsidR="00E81DFA" w:rsidRPr="00FA0D37" w:rsidRDefault="00E81DFA" w:rsidP="00FA0D37">
      <w:pPr>
        <w:pStyle w:val="PL"/>
      </w:pPr>
      <w:r w:rsidRPr="00FA0D37">
        <w:t>}</w:t>
      </w:r>
    </w:p>
    <w:p w14:paraId="07CA6D56" w14:textId="77777777" w:rsidR="00E81DFA" w:rsidRPr="00FA0D37" w:rsidRDefault="00E81DFA" w:rsidP="00FA0D37">
      <w:pPr>
        <w:pStyle w:val="PL"/>
      </w:pPr>
    </w:p>
    <w:p w14:paraId="5C8B7CE1" w14:textId="77777777" w:rsidR="00E81DFA" w:rsidRPr="00FA0D37" w:rsidRDefault="00E81DFA" w:rsidP="00FA0D37">
      <w:pPr>
        <w:pStyle w:val="PL"/>
        <w:rPr>
          <w:color w:val="808080"/>
        </w:rPr>
      </w:pPr>
      <w:r w:rsidRPr="00FA0D37">
        <w:rPr>
          <w:color w:val="808080"/>
        </w:rPr>
        <w:t>-- TAG-SL-SRAP-CONFIG-STOP</w:t>
      </w:r>
    </w:p>
    <w:p w14:paraId="0AA9F838" w14:textId="2520207F" w:rsidR="00E81DFA" w:rsidRPr="00FA0D37" w:rsidRDefault="00E81DFA" w:rsidP="00FA0D37">
      <w:pPr>
        <w:pStyle w:val="PL"/>
        <w:rPr>
          <w:color w:val="808080"/>
        </w:rPr>
      </w:pPr>
      <w:r w:rsidRPr="00FA0D37">
        <w:rPr>
          <w:color w:val="808080"/>
        </w:rPr>
        <w:t>-- ASN1STOP</w:t>
      </w:r>
    </w:p>
    <w:p w14:paraId="29CD50F0" w14:textId="77777777" w:rsidR="00E81DFA" w:rsidRPr="00FA0D37"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DD4E097"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44A6CB5F" w14:textId="77777777" w:rsidR="00E81DFA" w:rsidRPr="00FA0D37" w:rsidRDefault="00E81DFA" w:rsidP="000830BB">
            <w:pPr>
              <w:pStyle w:val="TAH"/>
              <w:rPr>
                <w:lang w:eastAsia="sv-SE"/>
              </w:rPr>
            </w:pPr>
            <w:r w:rsidRPr="00FA0D37">
              <w:rPr>
                <w:i/>
                <w:lang w:eastAsia="sv-SE"/>
              </w:rPr>
              <w:t xml:space="preserve">SL-SRAP-Config </w:t>
            </w:r>
            <w:r w:rsidRPr="00FA0D37">
              <w:rPr>
                <w:lang w:eastAsia="sv-SE"/>
              </w:rPr>
              <w:t>field descriptions</w:t>
            </w:r>
          </w:p>
        </w:tc>
      </w:tr>
      <w:tr w:rsidR="005C7FF4" w:rsidRPr="00FA0D37" w14:paraId="21E8B4D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7AB8DBF7" w14:textId="77777777" w:rsidR="00E81DFA" w:rsidRPr="00FA0D37" w:rsidRDefault="00E81DFA" w:rsidP="000830BB">
            <w:pPr>
              <w:pStyle w:val="TAL"/>
              <w:rPr>
                <w:b/>
                <w:bCs/>
                <w:i/>
                <w:iCs/>
                <w:lang w:eastAsia="en-GB"/>
              </w:rPr>
            </w:pPr>
            <w:r w:rsidRPr="00FA0D37">
              <w:rPr>
                <w:b/>
                <w:bCs/>
                <w:i/>
                <w:iCs/>
                <w:lang w:eastAsia="en-GB"/>
              </w:rPr>
              <w:t>sl-LocalIdentity</w:t>
            </w:r>
          </w:p>
          <w:p w14:paraId="20DB8E24" w14:textId="442BA42B" w:rsidR="00E81DFA" w:rsidRPr="00FA0D37" w:rsidRDefault="00E81DFA" w:rsidP="000830BB">
            <w:pPr>
              <w:pStyle w:val="TAL"/>
              <w:rPr>
                <w:lang w:eastAsia="sv-SE"/>
              </w:rPr>
            </w:pPr>
            <w:r w:rsidRPr="00FA0D37">
              <w:rPr>
                <w:lang w:eastAsia="en-GB"/>
              </w:rPr>
              <w:t xml:space="preserve">Indicates the local UE ID of the L2 U2N Remote UE used in SRAP as specified in </w:t>
            </w:r>
            <w:r w:rsidRPr="00FA0D37">
              <w:rPr>
                <w:rFonts w:eastAsia="宋体"/>
                <w:lang w:eastAsia="zh-CN"/>
              </w:rPr>
              <w:t xml:space="preserve">TS 38.351 </w:t>
            </w:r>
            <w:r w:rsidR="003050BB" w:rsidRPr="00FA0D37">
              <w:rPr>
                <w:rFonts w:eastAsia="宋体"/>
                <w:lang w:eastAsia="zh-CN"/>
              </w:rPr>
              <w:t>[66]</w:t>
            </w:r>
            <w:r w:rsidRPr="00FA0D37">
              <w:rPr>
                <w:lang w:eastAsia="en-GB"/>
              </w:rPr>
              <w:t>.</w:t>
            </w:r>
          </w:p>
        </w:tc>
      </w:tr>
      <w:tr w:rsidR="005C7FF4" w:rsidRPr="00FA0D37" w14:paraId="642BE57B"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776EC464" w14:textId="42E5D00D" w:rsidR="00E81DFA" w:rsidRPr="00FA0D37" w:rsidRDefault="00CA6F5E" w:rsidP="000830BB">
            <w:pPr>
              <w:pStyle w:val="TAL"/>
              <w:rPr>
                <w:b/>
                <w:bCs/>
                <w:i/>
                <w:iCs/>
                <w:lang w:eastAsia="en-GB"/>
              </w:rPr>
            </w:pPr>
            <w:r w:rsidRPr="00FA0D37">
              <w:rPr>
                <w:b/>
                <w:bCs/>
                <w:i/>
                <w:iCs/>
                <w:lang w:eastAsia="en-GB"/>
              </w:rPr>
              <w:t>sl</w:t>
            </w:r>
            <w:r w:rsidR="00E81DFA" w:rsidRPr="00FA0D37">
              <w:rPr>
                <w:b/>
                <w:bCs/>
                <w:i/>
                <w:iCs/>
                <w:lang w:eastAsia="en-GB"/>
              </w:rPr>
              <w:t>-MappingToAddModList</w:t>
            </w:r>
          </w:p>
          <w:p w14:paraId="6F712F2E" w14:textId="5F8779F3" w:rsidR="00E81DFA" w:rsidRPr="00FA0D37" w:rsidRDefault="00E81DFA" w:rsidP="000830BB">
            <w:pPr>
              <w:pStyle w:val="TAL"/>
              <w:rPr>
                <w:lang w:eastAsia="en-GB"/>
              </w:rPr>
            </w:pPr>
            <w:r w:rsidRPr="00FA0D37">
              <w:rPr>
                <w:lang w:eastAsia="en-GB"/>
              </w:rPr>
              <w:t>Indicates the list of mapping</w:t>
            </w:r>
            <w:r w:rsidR="00AC27B6" w:rsidRPr="00FA0D37">
              <w:rPr>
                <w:lang w:eastAsia="en-GB"/>
              </w:rPr>
              <w:t>s</w:t>
            </w:r>
            <w:r w:rsidRPr="00FA0D37">
              <w:rPr>
                <w:lang w:eastAsia="en-GB"/>
              </w:rPr>
              <w:t xml:space="preserve"> between the bearer identity of the L2 U2N Remote UE and the egress RLC channel as specified in </w:t>
            </w:r>
            <w:r w:rsidRPr="00FA0D37">
              <w:rPr>
                <w:rFonts w:eastAsia="宋体"/>
                <w:lang w:eastAsia="zh-CN"/>
              </w:rPr>
              <w:t xml:space="preserve">TS 38.351 </w:t>
            </w:r>
            <w:r w:rsidR="003050BB" w:rsidRPr="00FA0D37">
              <w:rPr>
                <w:rFonts w:eastAsia="宋体"/>
                <w:lang w:eastAsia="zh-CN"/>
              </w:rPr>
              <w:t>[66]</w:t>
            </w:r>
            <w:r w:rsidR="00AC27B6" w:rsidRPr="00FA0D37">
              <w:rPr>
                <w:rFonts w:eastAsia="宋体"/>
                <w:lang w:eastAsia="zh-CN"/>
              </w:rPr>
              <w:t xml:space="preserve"> to be added or modified</w:t>
            </w:r>
            <w:r w:rsidRPr="00FA0D37">
              <w:rPr>
                <w:lang w:eastAsia="en-GB"/>
              </w:rPr>
              <w:t>.</w:t>
            </w:r>
          </w:p>
        </w:tc>
      </w:tr>
      <w:tr w:rsidR="005C7FF4" w:rsidRPr="00FA0D37" w14:paraId="35873B2F"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30F7D93" w14:textId="056B4D6E" w:rsidR="00E81DFA" w:rsidRPr="00FA0D37" w:rsidRDefault="00CA6F5E" w:rsidP="000830BB">
            <w:pPr>
              <w:pStyle w:val="TAL"/>
              <w:rPr>
                <w:b/>
                <w:bCs/>
                <w:i/>
                <w:iCs/>
                <w:lang w:eastAsia="en-GB"/>
              </w:rPr>
            </w:pPr>
            <w:r w:rsidRPr="00FA0D37">
              <w:rPr>
                <w:b/>
                <w:bCs/>
                <w:i/>
                <w:iCs/>
                <w:lang w:eastAsia="en-GB"/>
              </w:rPr>
              <w:t>sl</w:t>
            </w:r>
            <w:r w:rsidR="00E81DFA" w:rsidRPr="00FA0D37">
              <w:rPr>
                <w:b/>
                <w:bCs/>
                <w:i/>
                <w:iCs/>
                <w:lang w:eastAsia="en-GB"/>
              </w:rPr>
              <w:t>-MappingToReleaseList</w:t>
            </w:r>
          </w:p>
          <w:p w14:paraId="0451145F" w14:textId="53D0BF21" w:rsidR="00E81DFA" w:rsidRPr="00FA0D37" w:rsidRDefault="00E81DFA" w:rsidP="000830BB">
            <w:pPr>
              <w:pStyle w:val="TAL"/>
              <w:rPr>
                <w:lang w:eastAsia="en-GB"/>
              </w:rPr>
            </w:pPr>
            <w:r w:rsidRPr="00FA0D37">
              <w:rPr>
                <w:lang w:eastAsia="en-GB"/>
              </w:rPr>
              <w:t>Indicates the list of mapping</w:t>
            </w:r>
            <w:r w:rsidR="00AC27B6" w:rsidRPr="00FA0D37">
              <w:rPr>
                <w:lang w:eastAsia="en-GB"/>
              </w:rPr>
              <w:t>s between the bearer identity of the L2 U2N Remote UE and the egress RLC channel as specified in TS 38.351 [66]</w:t>
            </w:r>
            <w:r w:rsidRPr="00FA0D37">
              <w:rPr>
                <w:lang w:eastAsia="en-GB"/>
              </w:rPr>
              <w:t xml:space="preserve"> to be released.</w:t>
            </w:r>
          </w:p>
        </w:tc>
      </w:tr>
      <w:tr w:rsidR="005C7FF4" w:rsidRPr="00FA0D37" w14:paraId="253B1641"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FF64D2A" w14:textId="77777777" w:rsidR="00E81DFA" w:rsidRPr="00FA0D37" w:rsidRDefault="00E81DFA" w:rsidP="000830BB">
            <w:pPr>
              <w:pStyle w:val="TAL"/>
              <w:rPr>
                <w:b/>
                <w:bCs/>
                <w:i/>
                <w:lang w:eastAsia="en-GB"/>
              </w:rPr>
            </w:pPr>
            <w:r w:rsidRPr="00FA0D37">
              <w:rPr>
                <w:b/>
                <w:bCs/>
                <w:i/>
                <w:lang w:eastAsia="en-GB"/>
              </w:rPr>
              <w:t>sl-RemoteUE-RB-Identity</w:t>
            </w:r>
          </w:p>
          <w:p w14:paraId="46FAF94F" w14:textId="2BF7A774" w:rsidR="00E81DFA" w:rsidRPr="00FA0D37" w:rsidRDefault="00E81DFA" w:rsidP="000830BB">
            <w:pPr>
              <w:pStyle w:val="TAL"/>
              <w:rPr>
                <w:lang w:eastAsia="en-GB"/>
              </w:rPr>
            </w:pPr>
            <w:r w:rsidRPr="00FA0D37">
              <w:rPr>
                <w:iCs/>
                <w:lang w:eastAsia="en-GB"/>
              </w:rPr>
              <w:t xml:space="preserve">Identity of </w:t>
            </w:r>
            <w:r w:rsidRPr="00FA0D37">
              <w:rPr>
                <w:lang w:eastAsia="en-GB"/>
              </w:rPr>
              <w:t>the end-to-end Uu bearer identity of the L2 U2N Remote UE</w:t>
            </w:r>
            <w:r w:rsidRPr="00FA0D37">
              <w:rPr>
                <w:iCs/>
                <w:lang w:eastAsia="en-GB"/>
              </w:rPr>
              <w:t>.</w:t>
            </w:r>
            <w:r w:rsidR="0039645C" w:rsidRPr="00FA0D37">
              <w:rPr>
                <w:rFonts w:cs="Arial"/>
                <w:iCs/>
                <w:lang w:eastAsia="en-GB"/>
              </w:rPr>
              <w:t xml:space="preserve"> The value 3 for the field </w:t>
            </w:r>
            <w:r w:rsidR="0039645C" w:rsidRPr="00FA0D37">
              <w:rPr>
                <w:rFonts w:cs="Arial"/>
                <w:i/>
                <w:lang w:eastAsia="en-GB"/>
              </w:rPr>
              <w:t>srb-identity-r17</w:t>
            </w:r>
            <w:r w:rsidR="0039645C" w:rsidRPr="00FA0D37">
              <w:rPr>
                <w:rFonts w:cs="Arial"/>
                <w:iCs/>
                <w:lang w:eastAsia="en-GB"/>
              </w:rPr>
              <w:t xml:space="preserve"> (i.e., for configuring SRB3) is not supported in this version of the specification.</w:t>
            </w:r>
          </w:p>
        </w:tc>
      </w:tr>
      <w:tr w:rsidR="005C7FF4" w:rsidRPr="00FA0D37" w14:paraId="0D96DDEF"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66D18B2F" w14:textId="3656FC06" w:rsidR="00E81DFA" w:rsidRPr="00FA0D37" w:rsidRDefault="00E81DFA" w:rsidP="000830BB">
            <w:pPr>
              <w:pStyle w:val="TAL"/>
              <w:rPr>
                <w:b/>
                <w:bCs/>
                <w:i/>
                <w:iCs/>
                <w:lang w:eastAsia="en-GB"/>
              </w:rPr>
            </w:pPr>
            <w:r w:rsidRPr="00FA0D37">
              <w:rPr>
                <w:b/>
                <w:bCs/>
                <w:i/>
                <w:iCs/>
                <w:lang w:eastAsia="en-GB"/>
              </w:rPr>
              <w:t>sl-EgressRLC-ChannelUu</w:t>
            </w:r>
          </w:p>
          <w:p w14:paraId="0FD58689" w14:textId="28998B75" w:rsidR="00E81DFA" w:rsidRPr="00FA0D37" w:rsidRDefault="00E81DFA" w:rsidP="000830BB">
            <w:pPr>
              <w:pStyle w:val="TAL"/>
              <w:rPr>
                <w:lang w:eastAsia="en-GB"/>
              </w:rPr>
            </w:pPr>
            <w:r w:rsidRPr="00FA0D37">
              <w:rPr>
                <w:lang w:eastAsia="en-GB"/>
              </w:rPr>
              <w:t>Indicates the egress RLC channel on Uu Hop</w:t>
            </w:r>
            <w:r w:rsidR="00AC27B6" w:rsidRPr="00FA0D37">
              <w:rPr>
                <w:lang w:eastAsia="en-GB"/>
              </w:rPr>
              <w:t xml:space="preserve"> for uplink transmissions at the L2 U2N Relay UE</w:t>
            </w:r>
            <w:r w:rsidRPr="00FA0D37">
              <w:rPr>
                <w:lang w:eastAsia="en-GB"/>
              </w:rPr>
              <w:t>.</w:t>
            </w:r>
          </w:p>
        </w:tc>
      </w:tr>
      <w:tr w:rsidR="00E81DFA" w:rsidRPr="00FA0D37" w14:paraId="4142B35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6FCCDB16" w14:textId="5E4EEB30" w:rsidR="00E81DFA" w:rsidRPr="00FA0D37" w:rsidRDefault="00E81DFA" w:rsidP="000830BB">
            <w:pPr>
              <w:pStyle w:val="TAL"/>
              <w:rPr>
                <w:b/>
                <w:bCs/>
                <w:i/>
                <w:iCs/>
                <w:lang w:eastAsia="en-GB"/>
              </w:rPr>
            </w:pPr>
            <w:r w:rsidRPr="00FA0D37">
              <w:rPr>
                <w:b/>
                <w:bCs/>
                <w:i/>
                <w:iCs/>
                <w:lang w:eastAsia="en-GB"/>
              </w:rPr>
              <w:t>sl-EgressRLC-ChannelPC5</w:t>
            </w:r>
          </w:p>
          <w:p w14:paraId="20FDBCDA" w14:textId="090142B5" w:rsidR="00E81DFA" w:rsidRPr="00FA0D37" w:rsidRDefault="00E81DFA" w:rsidP="000830BB">
            <w:pPr>
              <w:pStyle w:val="TAL"/>
              <w:rPr>
                <w:lang w:eastAsia="en-GB"/>
              </w:rPr>
            </w:pPr>
            <w:r w:rsidRPr="00FA0D37">
              <w:rPr>
                <w:lang w:eastAsia="en-GB"/>
              </w:rPr>
              <w:t>Indicates the egress RLC channel on PC5 Hop</w:t>
            </w:r>
            <w:r w:rsidR="00AC27B6" w:rsidRPr="00FA0D37">
              <w:rPr>
                <w:lang w:eastAsia="en-GB"/>
              </w:rPr>
              <w:t xml:space="preserve"> for downlink transmissions at the L2 U2N Relay UE and for uplink transmissions at the L2 U2N Remote UE</w:t>
            </w:r>
            <w:r w:rsidRPr="00FA0D37">
              <w:rPr>
                <w:lang w:eastAsia="en-GB"/>
              </w:rPr>
              <w:t>.</w:t>
            </w:r>
          </w:p>
        </w:tc>
      </w:tr>
    </w:tbl>
    <w:p w14:paraId="36E7CB28" w14:textId="77777777" w:rsidR="00E81DFA" w:rsidRPr="00FA0D37" w:rsidRDefault="00E81DFA" w:rsidP="00E81DFA"/>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5C7FF4" w:rsidRPr="00FA0D37" w14:paraId="06CE6FED" w14:textId="77777777" w:rsidTr="00771058">
        <w:tc>
          <w:tcPr>
            <w:tcW w:w="4032" w:type="dxa"/>
            <w:tcBorders>
              <w:top w:val="single" w:sz="4" w:space="0" w:color="auto"/>
              <w:left w:val="single" w:sz="4" w:space="0" w:color="auto"/>
              <w:bottom w:val="single" w:sz="4" w:space="0" w:color="auto"/>
              <w:right w:val="single" w:sz="4" w:space="0" w:color="auto"/>
            </w:tcBorders>
            <w:hideMark/>
          </w:tcPr>
          <w:p w14:paraId="7569853C" w14:textId="77777777" w:rsidR="00E81DFA" w:rsidRPr="00FA0D37" w:rsidRDefault="00E81DFA" w:rsidP="000830BB">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29487A" w14:textId="77777777" w:rsidR="00E81DFA" w:rsidRPr="00FA0D37" w:rsidRDefault="00E81DFA" w:rsidP="000830BB">
            <w:pPr>
              <w:pStyle w:val="TAH"/>
              <w:rPr>
                <w:lang w:eastAsia="sv-SE"/>
              </w:rPr>
            </w:pPr>
            <w:r w:rsidRPr="00FA0D37">
              <w:rPr>
                <w:lang w:eastAsia="sv-SE"/>
              </w:rPr>
              <w:t>Explanation</w:t>
            </w:r>
          </w:p>
        </w:tc>
      </w:tr>
      <w:tr w:rsidR="00375B89" w:rsidRPr="00FA0D37" w14:paraId="1A74067D" w14:textId="77777777" w:rsidTr="00771058">
        <w:tc>
          <w:tcPr>
            <w:tcW w:w="4032" w:type="dxa"/>
            <w:tcBorders>
              <w:top w:val="single" w:sz="4" w:space="0" w:color="auto"/>
              <w:left w:val="single" w:sz="4" w:space="0" w:color="auto"/>
              <w:bottom w:val="single" w:sz="4" w:space="0" w:color="auto"/>
              <w:right w:val="single" w:sz="4" w:space="0" w:color="auto"/>
            </w:tcBorders>
            <w:hideMark/>
          </w:tcPr>
          <w:p w14:paraId="38A89776" w14:textId="77777777" w:rsidR="00E81DFA" w:rsidRPr="00FA0D37" w:rsidRDefault="00E81DFA" w:rsidP="00771058">
            <w:pPr>
              <w:pStyle w:val="TAL"/>
              <w:rPr>
                <w:i/>
                <w:lang w:eastAsia="sv-SE"/>
              </w:rPr>
            </w:pPr>
            <w:r w:rsidRPr="00FA0D37">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36C764D5" w14:textId="77777777" w:rsidR="00E81DFA" w:rsidRPr="00FA0D37" w:rsidRDefault="00E81DFA" w:rsidP="00771058">
            <w:pPr>
              <w:pStyle w:val="TAL"/>
              <w:rPr>
                <w:lang w:eastAsia="sv-SE"/>
              </w:rPr>
            </w:pPr>
            <w:r w:rsidRPr="00FA0D37">
              <w:rPr>
                <w:lang w:eastAsia="sv-SE"/>
              </w:rPr>
              <w:t>For L2 U2N Relay UE, the field is optionally present, Need M. Otherwise, it is absent.</w:t>
            </w:r>
          </w:p>
        </w:tc>
      </w:tr>
    </w:tbl>
    <w:p w14:paraId="66806F82" w14:textId="77777777" w:rsidR="00E81DFA" w:rsidRPr="00FA0D37" w:rsidRDefault="00E81DFA" w:rsidP="00394471">
      <w:pPr>
        <w:rPr>
          <w:rFonts w:eastAsia="Yu Mincho"/>
        </w:rPr>
      </w:pPr>
    </w:p>
    <w:p w14:paraId="346D434E" w14:textId="2251C49F" w:rsidR="00394471" w:rsidRPr="00FA0D37" w:rsidRDefault="00394471" w:rsidP="00394471">
      <w:pPr>
        <w:pStyle w:val="4"/>
      </w:pPr>
      <w:bookmarkStart w:id="1829" w:name="_Toc60777551"/>
      <w:bookmarkStart w:id="1830" w:name="_Toc146781680"/>
      <w:r w:rsidRPr="00FA0D37">
        <w:t>–</w:t>
      </w:r>
      <w:r w:rsidRPr="00FA0D37">
        <w:tab/>
      </w:r>
      <w:r w:rsidRPr="00FA0D37">
        <w:rPr>
          <w:i/>
          <w:iCs/>
        </w:rPr>
        <w:t>SL-SyncConfig</w:t>
      </w:r>
      <w:bookmarkEnd w:id="1829"/>
      <w:bookmarkEnd w:id="1830"/>
    </w:p>
    <w:p w14:paraId="5EBBD6FC" w14:textId="77777777" w:rsidR="00394471" w:rsidRPr="00FA0D37" w:rsidRDefault="00394471" w:rsidP="00394471">
      <w:pPr>
        <w:rPr>
          <w:lang w:eastAsia="zh-CN"/>
        </w:rPr>
      </w:pPr>
      <w:r w:rsidRPr="00FA0D37">
        <w:t>The IE</w:t>
      </w:r>
      <w:r w:rsidRPr="00FA0D37">
        <w:rPr>
          <w:i/>
        </w:rPr>
        <w:t xml:space="preserve"> SL-SyncConfig </w:t>
      </w:r>
      <w:r w:rsidRPr="00FA0D37">
        <w:rPr>
          <w:iCs/>
        </w:rPr>
        <w:t>specifies the configuration information concerning reception of synchronisation signals from neighbouring cells as well as concerning the transmission of synchronisation signals for sidelink communication</w:t>
      </w:r>
      <w:r w:rsidRPr="00FA0D37">
        <w:rPr>
          <w:lang w:eastAsia="zh-CN"/>
        </w:rPr>
        <w:t>.</w:t>
      </w:r>
    </w:p>
    <w:p w14:paraId="67335E9B" w14:textId="77777777" w:rsidR="00394471" w:rsidRPr="00FA0D37" w:rsidRDefault="00394471" w:rsidP="00394471">
      <w:pPr>
        <w:pStyle w:val="TH"/>
        <w:rPr>
          <w:b w:val="0"/>
        </w:rPr>
      </w:pPr>
      <w:r w:rsidRPr="00FA0D37">
        <w:rPr>
          <w:i/>
          <w:iCs/>
        </w:rPr>
        <w:t>SL-SyncConfig</w:t>
      </w:r>
      <w:r w:rsidRPr="00FA0D37">
        <w:t xml:space="preserve"> information element</w:t>
      </w:r>
    </w:p>
    <w:p w14:paraId="38C15114" w14:textId="77777777" w:rsidR="00394471" w:rsidRPr="00FA0D37" w:rsidRDefault="00394471" w:rsidP="00FA0D37">
      <w:pPr>
        <w:pStyle w:val="PL"/>
        <w:rPr>
          <w:color w:val="808080"/>
        </w:rPr>
      </w:pPr>
      <w:r w:rsidRPr="00FA0D37">
        <w:rPr>
          <w:color w:val="808080"/>
        </w:rPr>
        <w:t>-- ASN1START</w:t>
      </w:r>
    </w:p>
    <w:p w14:paraId="6B502DE7" w14:textId="77777777" w:rsidR="00394471" w:rsidRPr="00FA0D37" w:rsidRDefault="00394471" w:rsidP="00FA0D37">
      <w:pPr>
        <w:pStyle w:val="PL"/>
        <w:rPr>
          <w:color w:val="808080"/>
        </w:rPr>
      </w:pPr>
      <w:r w:rsidRPr="00FA0D37">
        <w:rPr>
          <w:color w:val="808080"/>
        </w:rPr>
        <w:t>-- TAG-SL-SYNCCONFIG-START</w:t>
      </w:r>
    </w:p>
    <w:p w14:paraId="7DFDD540" w14:textId="77777777" w:rsidR="00394471" w:rsidRPr="00FA0D37" w:rsidRDefault="00394471" w:rsidP="00FA0D37">
      <w:pPr>
        <w:pStyle w:val="PL"/>
      </w:pPr>
    </w:p>
    <w:p w14:paraId="0DEAEC78" w14:textId="77777777" w:rsidR="00394471" w:rsidRPr="00FA0D37" w:rsidRDefault="00394471" w:rsidP="00FA0D37">
      <w:pPr>
        <w:pStyle w:val="PL"/>
      </w:pPr>
      <w:r w:rsidRPr="00FA0D37">
        <w:t xml:space="preserve">SL-SyncConfigList-r16 ::=          </w:t>
      </w:r>
      <w:r w:rsidRPr="00FA0D37">
        <w:rPr>
          <w:color w:val="993366"/>
        </w:rPr>
        <w:t>SEQUENCE</w:t>
      </w:r>
      <w:r w:rsidRPr="00FA0D37">
        <w:t xml:space="preserve"> (</w:t>
      </w:r>
      <w:r w:rsidRPr="00FA0D37">
        <w:rPr>
          <w:color w:val="993366"/>
        </w:rPr>
        <w:t>SIZE</w:t>
      </w:r>
      <w:r w:rsidRPr="00FA0D37">
        <w:t xml:space="preserve"> (1..maxSL-SyncConfig-r16))</w:t>
      </w:r>
      <w:r w:rsidRPr="00FA0D37">
        <w:rPr>
          <w:color w:val="993366"/>
        </w:rPr>
        <w:t xml:space="preserve"> OF</w:t>
      </w:r>
      <w:r w:rsidRPr="00FA0D37">
        <w:t xml:space="preserve"> SL-SyncConfig-r16</w:t>
      </w:r>
    </w:p>
    <w:p w14:paraId="087E6095" w14:textId="77777777" w:rsidR="00394471" w:rsidRPr="00FA0D37" w:rsidRDefault="00394471" w:rsidP="00FA0D37">
      <w:pPr>
        <w:pStyle w:val="PL"/>
      </w:pPr>
    </w:p>
    <w:p w14:paraId="734BF550" w14:textId="77777777" w:rsidR="00394471" w:rsidRPr="00FA0D37" w:rsidRDefault="00394471" w:rsidP="00FA0D37">
      <w:pPr>
        <w:pStyle w:val="PL"/>
      </w:pPr>
      <w:r w:rsidRPr="00FA0D37">
        <w:t xml:space="preserve">SL-SyncConfig-r16 ::=              </w:t>
      </w:r>
      <w:r w:rsidRPr="00FA0D37">
        <w:rPr>
          <w:color w:val="993366"/>
        </w:rPr>
        <w:t>SEQUENCE</w:t>
      </w:r>
      <w:r w:rsidRPr="00FA0D37">
        <w:t xml:space="preserve"> {</w:t>
      </w:r>
    </w:p>
    <w:p w14:paraId="440EFF50" w14:textId="77777777" w:rsidR="00394471" w:rsidRPr="00FA0D37" w:rsidRDefault="00394471" w:rsidP="00FA0D37">
      <w:pPr>
        <w:pStyle w:val="PL"/>
        <w:rPr>
          <w:color w:val="808080"/>
        </w:rPr>
      </w:pPr>
      <w:r w:rsidRPr="00FA0D37">
        <w:t xml:space="preserve">    sl-SyncRefMinHyst-r16              </w:t>
      </w:r>
      <w:r w:rsidRPr="00FA0D37">
        <w:rPr>
          <w:color w:val="993366"/>
        </w:rPr>
        <w:t>ENUMERATED</w:t>
      </w:r>
      <w:r w:rsidRPr="00FA0D37">
        <w:t xml:space="preserve"> {dB0, dB3, dB6, dB9, dB12}                                   </w:t>
      </w:r>
      <w:r w:rsidRPr="00FA0D37">
        <w:rPr>
          <w:color w:val="993366"/>
        </w:rPr>
        <w:t>OPTIONAL</w:t>
      </w:r>
      <w:r w:rsidRPr="00FA0D37">
        <w:t xml:space="preserve">,    </w:t>
      </w:r>
      <w:r w:rsidRPr="00FA0D37">
        <w:rPr>
          <w:color w:val="808080"/>
        </w:rPr>
        <w:t>-- Need R</w:t>
      </w:r>
    </w:p>
    <w:p w14:paraId="0E6586A5" w14:textId="77777777" w:rsidR="00394471" w:rsidRPr="00FA0D37" w:rsidRDefault="00394471" w:rsidP="00FA0D37">
      <w:pPr>
        <w:pStyle w:val="PL"/>
        <w:rPr>
          <w:color w:val="808080"/>
        </w:rPr>
      </w:pPr>
      <w:r w:rsidRPr="00FA0D37">
        <w:t xml:space="preserve">    sl-SyncRefDiffHyst-r16             </w:t>
      </w:r>
      <w:r w:rsidRPr="00FA0D37">
        <w:rPr>
          <w:color w:val="993366"/>
        </w:rPr>
        <w:t>ENUMERATED</w:t>
      </w:r>
      <w:r w:rsidRPr="00FA0D37">
        <w:t xml:space="preserve"> {dB0, dB3, dB6, dB9, dB12, dBinf}                            </w:t>
      </w:r>
      <w:r w:rsidRPr="00FA0D37">
        <w:rPr>
          <w:color w:val="993366"/>
        </w:rPr>
        <w:t>OPTIONAL</w:t>
      </w:r>
      <w:r w:rsidRPr="00FA0D37">
        <w:t xml:space="preserve">,    </w:t>
      </w:r>
      <w:r w:rsidRPr="00FA0D37">
        <w:rPr>
          <w:color w:val="808080"/>
        </w:rPr>
        <w:t>-- Need R</w:t>
      </w:r>
    </w:p>
    <w:p w14:paraId="67EB0E9A" w14:textId="77777777" w:rsidR="00394471" w:rsidRPr="00FA0D37" w:rsidRDefault="00394471" w:rsidP="00FA0D37">
      <w:pPr>
        <w:pStyle w:val="PL"/>
        <w:rPr>
          <w:color w:val="808080"/>
        </w:rPr>
      </w:pPr>
      <w:r w:rsidRPr="00FA0D37">
        <w:t xml:space="preserve">    sl-filterCoefficient-r16           FilterCoefficient                                                       </w:t>
      </w:r>
      <w:r w:rsidRPr="00FA0D37">
        <w:rPr>
          <w:color w:val="993366"/>
        </w:rPr>
        <w:t>OPTIONAL</w:t>
      </w:r>
      <w:r w:rsidRPr="00FA0D37">
        <w:t xml:space="preserve">,    </w:t>
      </w:r>
      <w:r w:rsidRPr="00FA0D37">
        <w:rPr>
          <w:color w:val="808080"/>
        </w:rPr>
        <w:t>-- Need R</w:t>
      </w:r>
    </w:p>
    <w:p w14:paraId="3F9C1FA8" w14:textId="77777777" w:rsidR="00394471" w:rsidRPr="00FA0D37" w:rsidRDefault="00394471" w:rsidP="00FA0D37">
      <w:pPr>
        <w:pStyle w:val="PL"/>
        <w:rPr>
          <w:color w:val="808080"/>
        </w:rPr>
      </w:pPr>
      <w:r w:rsidRPr="00FA0D37">
        <w:t xml:space="preserve">    sl-SSB-TimeAllocation1-r16         SL-SSB-TimeAllocation-r16                                               </w:t>
      </w:r>
      <w:r w:rsidRPr="00FA0D37">
        <w:rPr>
          <w:color w:val="993366"/>
        </w:rPr>
        <w:t>OPTIONAL</w:t>
      </w:r>
      <w:r w:rsidRPr="00FA0D37">
        <w:t xml:space="preserve">,    </w:t>
      </w:r>
      <w:r w:rsidRPr="00FA0D37">
        <w:rPr>
          <w:color w:val="808080"/>
        </w:rPr>
        <w:t>-- Need R</w:t>
      </w:r>
    </w:p>
    <w:p w14:paraId="63775795" w14:textId="77777777" w:rsidR="00394471" w:rsidRPr="00FA0D37" w:rsidRDefault="00394471" w:rsidP="00FA0D37">
      <w:pPr>
        <w:pStyle w:val="PL"/>
        <w:rPr>
          <w:color w:val="808080"/>
        </w:rPr>
      </w:pPr>
      <w:r w:rsidRPr="00FA0D37">
        <w:t xml:space="preserve">    sl-SSB-TimeAllocation2-r16         SL-SSB-TimeAllocation-r16                                               </w:t>
      </w:r>
      <w:r w:rsidRPr="00FA0D37">
        <w:rPr>
          <w:color w:val="993366"/>
        </w:rPr>
        <w:t>OPTIONAL</w:t>
      </w:r>
      <w:r w:rsidRPr="00FA0D37">
        <w:t xml:space="preserve">,    </w:t>
      </w:r>
      <w:r w:rsidRPr="00FA0D37">
        <w:rPr>
          <w:color w:val="808080"/>
        </w:rPr>
        <w:t>-- Need R</w:t>
      </w:r>
    </w:p>
    <w:p w14:paraId="7467CA04" w14:textId="77777777" w:rsidR="00394471" w:rsidRPr="00FA0D37" w:rsidRDefault="00394471" w:rsidP="00FA0D37">
      <w:pPr>
        <w:pStyle w:val="PL"/>
        <w:rPr>
          <w:color w:val="808080"/>
        </w:rPr>
      </w:pPr>
      <w:r w:rsidRPr="00FA0D37">
        <w:lastRenderedPageBreak/>
        <w:t xml:space="preserve">    sl-SSB-TimeAllocation3-r16         SL-SSB-TimeAllocation-r16                                               </w:t>
      </w:r>
      <w:r w:rsidRPr="00FA0D37">
        <w:rPr>
          <w:color w:val="993366"/>
        </w:rPr>
        <w:t>OPTIONAL</w:t>
      </w:r>
      <w:r w:rsidRPr="00FA0D37">
        <w:t xml:space="preserve">,    </w:t>
      </w:r>
      <w:r w:rsidRPr="00FA0D37">
        <w:rPr>
          <w:color w:val="808080"/>
        </w:rPr>
        <w:t>-- Need R</w:t>
      </w:r>
    </w:p>
    <w:p w14:paraId="4CBDE1F4" w14:textId="77777777" w:rsidR="00394471" w:rsidRPr="00FA0D37" w:rsidRDefault="00394471" w:rsidP="00FA0D37">
      <w:pPr>
        <w:pStyle w:val="PL"/>
        <w:rPr>
          <w:color w:val="808080"/>
        </w:rPr>
      </w:pPr>
      <w:r w:rsidRPr="00FA0D37">
        <w:t xml:space="preserve">    sl-SSID-r16                        </w:t>
      </w:r>
      <w:r w:rsidRPr="00FA0D37">
        <w:rPr>
          <w:color w:val="993366"/>
        </w:rPr>
        <w:t>INTEGER</w:t>
      </w:r>
      <w:r w:rsidRPr="00FA0D37">
        <w:t xml:space="preserve"> (0..671)                                                        </w:t>
      </w:r>
      <w:r w:rsidRPr="00FA0D37">
        <w:rPr>
          <w:color w:val="993366"/>
        </w:rPr>
        <w:t>OPTIONAL</w:t>
      </w:r>
      <w:r w:rsidRPr="00FA0D37">
        <w:t xml:space="preserve">,    </w:t>
      </w:r>
      <w:r w:rsidRPr="00FA0D37">
        <w:rPr>
          <w:color w:val="808080"/>
        </w:rPr>
        <w:t>-- Need R</w:t>
      </w:r>
    </w:p>
    <w:p w14:paraId="2B923A10" w14:textId="77777777" w:rsidR="00394471" w:rsidRPr="00FA0D37" w:rsidRDefault="00394471" w:rsidP="00FA0D37">
      <w:pPr>
        <w:pStyle w:val="PL"/>
      </w:pPr>
      <w:r w:rsidRPr="00FA0D37">
        <w:t xml:space="preserve">    txParameters-r16                   </w:t>
      </w:r>
      <w:r w:rsidRPr="00FA0D37">
        <w:rPr>
          <w:color w:val="993366"/>
        </w:rPr>
        <w:t>SEQUENCE</w:t>
      </w:r>
      <w:r w:rsidRPr="00FA0D37">
        <w:t xml:space="preserve"> {</w:t>
      </w:r>
    </w:p>
    <w:p w14:paraId="23CA4B49" w14:textId="77777777" w:rsidR="00394471" w:rsidRPr="00FA0D37" w:rsidRDefault="00394471" w:rsidP="00FA0D37">
      <w:pPr>
        <w:pStyle w:val="PL"/>
        <w:rPr>
          <w:color w:val="808080"/>
        </w:rPr>
      </w:pPr>
      <w:r w:rsidRPr="00FA0D37">
        <w:t xml:space="preserve">        syncTxThreshIC-r16                 SL-RSRP-Range-r16                                                   </w:t>
      </w:r>
      <w:r w:rsidRPr="00FA0D37">
        <w:rPr>
          <w:color w:val="993366"/>
        </w:rPr>
        <w:t>OPTIONAL</w:t>
      </w:r>
      <w:r w:rsidRPr="00FA0D37">
        <w:t xml:space="preserve">,    </w:t>
      </w:r>
      <w:r w:rsidRPr="00FA0D37">
        <w:rPr>
          <w:color w:val="808080"/>
        </w:rPr>
        <w:t>-- Need R</w:t>
      </w:r>
    </w:p>
    <w:p w14:paraId="22B6F056" w14:textId="77777777" w:rsidR="00394471" w:rsidRPr="00FA0D37" w:rsidRDefault="00394471" w:rsidP="00FA0D37">
      <w:pPr>
        <w:pStyle w:val="PL"/>
        <w:rPr>
          <w:color w:val="808080"/>
        </w:rPr>
      </w:pPr>
      <w:r w:rsidRPr="00FA0D37">
        <w:t xml:space="preserve">        syncTxThreshOoC-r16                SL-RSRP-Range-r16                                                   </w:t>
      </w:r>
      <w:r w:rsidRPr="00FA0D37">
        <w:rPr>
          <w:color w:val="993366"/>
        </w:rPr>
        <w:t>OPTIONAL</w:t>
      </w:r>
      <w:r w:rsidRPr="00FA0D37">
        <w:t xml:space="preserve">,    </w:t>
      </w:r>
      <w:r w:rsidRPr="00FA0D37">
        <w:rPr>
          <w:color w:val="808080"/>
        </w:rPr>
        <w:t>-- Need R</w:t>
      </w:r>
    </w:p>
    <w:p w14:paraId="5F2ECB49" w14:textId="77777777" w:rsidR="00394471" w:rsidRPr="00FA0D37" w:rsidRDefault="00394471" w:rsidP="00FA0D37">
      <w:pPr>
        <w:pStyle w:val="PL"/>
        <w:rPr>
          <w:color w:val="808080"/>
        </w:rPr>
      </w:pPr>
      <w:r w:rsidRPr="00FA0D37">
        <w:t xml:space="preserve">        syncInfoReserved-r16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                                               </w:t>
      </w:r>
      <w:r w:rsidRPr="00FA0D37">
        <w:rPr>
          <w:color w:val="993366"/>
        </w:rPr>
        <w:t>OPTIONAL</w:t>
      </w:r>
      <w:r w:rsidRPr="00FA0D37">
        <w:t xml:space="preserve">     </w:t>
      </w:r>
      <w:r w:rsidRPr="00FA0D37">
        <w:rPr>
          <w:color w:val="808080"/>
        </w:rPr>
        <w:t>-- Need R</w:t>
      </w:r>
    </w:p>
    <w:p w14:paraId="2139AAA1" w14:textId="77777777" w:rsidR="00394471" w:rsidRPr="00FA0D37" w:rsidRDefault="00394471" w:rsidP="00FA0D37">
      <w:pPr>
        <w:pStyle w:val="PL"/>
      </w:pPr>
      <w:r w:rsidRPr="00FA0D37">
        <w:t xml:space="preserve">    },</w:t>
      </w:r>
    </w:p>
    <w:p w14:paraId="3C53A6AC" w14:textId="77777777" w:rsidR="00394471" w:rsidRPr="00FA0D37" w:rsidRDefault="00394471" w:rsidP="00FA0D37">
      <w:pPr>
        <w:pStyle w:val="PL"/>
        <w:rPr>
          <w:color w:val="808080"/>
        </w:rPr>
      </w:pPr>
      <w:r w:rsidRPr="00FA0D37">
        <w:t xml:space="preserve">    gnss-Sync-r16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R</w:t>
      </w:r>
    </w:p>
    <w:p w14:paraId="702DF98F" w14:textId="77777777" w:rsidR="00394471" w:rsidRPr="00FA0D37" w:rsidRDefault="00394471" w:rsidP="00FA0D37">
      <w:pPr>
        <w:pStyle w:val="PL"/>
      </w:pPr>
      <w:r w:rsidRPr="00FA0D37">
        <w:t xml:space="preserve">    ...</w:t>
      </w:r>
    </w:p>
    <w:p w14:paraId="2ECBE46D" w14:textId="77777777" w:rsidR="00394471" w:rsidRPr="00FA0D37" w:rsidRDefault="00394471" w:rsidP="00FA0D37">
      <w:pPr>
        <w:pStyle w:val="PL"/>
      </w:pPr>
      <w:r w:rsidRPr="00FA0D37">
        <w:t>}</w:t>
      </w:r>
    </w:p>
    <w:p w14:paraId="5F06FEA4" w14:textId="77777777" w:rsidR="00394471" w:rsidRPr="00FA0D37" w:rsidRDefault="00394471" w:rsidP="00FA0D37">
      <w:pPr>
        <w:pStyle w:val="PL"/>
      </w:pPr>
    </w:p>
    <w:p w14:paraId="2A63B9A3" w14:textId="77777777" w:rsidR="00394471" w:rsidRPr="00FA0D37" w:rsidRDefault="00394471" w:rsidP="00FA0D37">
      <w:pPr>
        <w:pStyle w:val="PL"/>
      </w:pPr>
      <w:r w:rsidRPr="00FA0D37">
        <w:t xml:space="preserve">SL-RSRP-Range-r16 ::=                  </w:t>
      </w:r>
      <w:r w:rsidRPr="00FA0D37">
        <w:rPr>
          <w:color w:val="993366"/>
        </w:rPr>
        <w:t>INTEGER</w:t>
      </w:r>
      <w:r w:rsidRPr="00FA0D37">
        <w:t xml:space="preserve"> (0..13)</w:t>
      </w:r>
    </w:p>
    <w:p w14:paraId="4ED576CF" w14:textId="77777777" w:rsidR="00394471" w:rsidRPr="00FA0D37" w:rsidRDefault="00394471" w:rsidP="00FA0D37">
      <w:pPr>
        <w:pStyle w:val="PL"/>
      </w:pPr>
    </w:p>
    <w:p w14:paraId="6E3BBFCF" w14:textId="77777777" w:rsidR="00394471" w:rsidRPr="00FA0D37" w:rsidRDefault="00394471" w:rsidP="00FA0D37">
      <w:pPr>
        <w:pStyle w:val="PL"/>
      </w:pPr>
      <w:r w:rsidRPr="00FA0D37">
        <w:t xml:space="preserve">SL-SSB-TimeAllocation-r16 ::=          </w:t>
      </w:r>
      <w:r w:rsidRPr="00FA0D37">
        <w:rPr>
          <w:color w:val="993366"/>
        </w:rPr>
        <w:t>SEQUENCE</w:t>
      </w:r>
      <w:r w:rsidRPr="00FA0D37">
        <w:t xml:space="preserve"> {</w:t>
      </w:r>
    </w:p>
    <w:p w14:paraId="053A5586" w14:textId="77777777" w:rsidR="00394471" w:rsidRPr="00FA0D37" w:rsidRDefault="00394471" w:rsidP="00FA0D37">
      <w:pPr>
        <w:pStyle w:val="PL"/>
        <w:rPr>
          <w:color w:val="808080"/>
        </w:rPr>
      </w:pPr>
      <w:r w:rsidRPr="00FA0D37">
        <w:t xml:space="preserve">    sl-NumSSB-WithinPeriod-r16             </w:t>
      </w:r>
      <w:r w:rsidRPr="00FA0D37">
        <w:rPr>
          <w:color w:val="993366"/>
        </w:rPr>
        <w:t>ENUMERATED</w:t>
      </w:r>
      <w:r w:rsidRPr="00FA0D37">
        <w:t xml:space="preserve"> {n1, n2, n4, n8, n16, n32, n64}                          </w:t>
      </w:r>
      <w:r w:rsidRPr="00FA0D37">
        <w:rPr>
          <w:color w:val="993366"/>
        </w:rPr>
        <w:t>OPTIONAL</w:t>
      </w:r>
      <w:r w:rsidRPr="00FA0D37">
        <w:t xml:space="preserve">,    </w:t>
      </w:r>
      <w:r w:rsidRPr="00FA0D37">
        <w:rPr>
          <w:color w:val="808080"/>
        </w:rPr>
        <w:t>-- Need R</w:t>
      </w:r>
    </w:p>
    <w:p w14:paraId="29EFA9C2" w14:textId="77777777" w:rsidR="00394471" w:rsidRPr="00FA0D37" w:rsidRDefault="00394471" w:rsidP="00FA0D37">
      <w:pPr>
        <w:pStyle w:val="PL"/>
        <w:rPr>
          <w:color w:val="808080"/>
        </w:rPr>
      </w:pPr>
      <w:r w:rsidRPr="00FA0D37">
        <w:t xml:space="preserve">    sl-TimeOffsetSSB-r16                   </w:t>
      </w:r>
      <w:r w:rsidRPr="00FA0D37">
        <w:rPr>
          <w:color w:val="993366"/>
        </w:rPr>
        <w:t>INTEGER</w:t>
      </w:r>
      <w:r w:rsidRPr="00FA0D37">
        <w:t xml:space="preserve"> (0..1279)                                                   </w:t>
      </w:r>
      <w:r w:rsidRPr="00FA0D37">
        <w:rPr>
          <w:color w:val="993366"/>
        </w:rPr>
        <w:t>OPTIONAL</w:t>
      </w:r>
      <w:r w:rsidRPr="00FA0D37">
        <w:t xml:space="preserve">,    </w:t>
      </w:r>
      <w:r w:rsidRPr="00FA0D37">
        <w:rPr>
          <w:color w:val="808080"/>
        </w:rPr>
        <w:t>-- Need R</w:t>
      </w:r>
    </w:p>
    <w:p w14:paraId="6A50342B" w14:textId="77777777" w:rsidR="00394471" w:rsidRPr="00FA0D37" w:rsidRDefault="00394471" w:rsidP="00FA0D37">
      <w:pPr>
        <w:pStyle w:val="PL"/>
        <w:rPr>
          <w:color w:val="808080"/>
        </w:rPr>
      </w:pPr>
      <w:r w:rsidRPr="00FA0D37">
        <w:t xml:space="preserve">    sl-TimeInterval-r16                    </w:t>
      </w:r>
      <w:r w:rsidRPr="00FA0D37">
        <w:rPr>
          <w:color w:val="993366"/>
        </w:rPr>
        <w:t>INTEGER</w:t>
      </w:r>
      <w:r w:rsidRPr="00FA0D37">
        <w:t xml:space="preserve"> (0..639)                                                    </w:t>
      </w:r>
      <w:r w:rsidRPr="00FA0D37">
        <w:rPr>
          <w:color w:val="993366"/>
        </w:rPr>
        <w:t>OPTIONAL</w:t>
      </w:r>
      <w:r w:rsidRPr="00FA0D37">
        <w:t xml:space="preserve">     </w:t>
      </w:r>
      <w:r w:rsidRPr="00FA0D37">
        <w:rPr>
          <w:color w:val="808080"/>
        </w:rPr>
        <w:t>-- Need R</w:t>
      </w:r>
    </w:p>
    <w:p w14:paraId="21EE3468" w14:textId="77777777" w:rsidR="00394471" w:rsidRPr="00FA0D37" w:rsidRDefault="00394471" w:rsidP="00FA0D37">
      <w:pPr>
        <w:pStyle w:val="PL"/>
      </w:pPr>
      <w:r w:rsidRPr="00FA0D37">
        <w:t>}</w:t>
      </w:r>
    </w:p>
    <w:p w14:paraId="4A5D4B01" w14:textId="77777777" w:rsidR="00394471" w:rsidRPr="00FA0D37" w:rsidRDefault="00394471" w:rsidP="00FA0D37">
      <w:pPr>
        <w:pStyle w:val="PL"/>
      </w:pPr>
    </w:p>
    <w:p w14:paraId="78133B4E" w14:textId="77777777" w:rsidR="00394471" w:rsidRPr="00FA0D37" w:rsidRDefault="00394471" w:rsidP="00FA0D37">
      <w:pPr>
        <w:pStyle w:val="PL"/>
        <w:rPr>
          <w:color w:val="808080"/>
        </w:rPr>
      </w:pPr>
      <w:r w:rsidRPr="00FA0D37">
        <w:rPr>
          <w:color w:val="808080"/>
        </w:rPr>
        <w:t>-- TAG-SL-SYNCCONFIG-STOP</w:t>
      </w:r>
    </w:p>
    <w:p w14:paraId="14D7064A" w14:textId="77777777" w:rsidR="00394471" w:rsidRPr="00FA0D37" w:rsidRDefault="00394471" w:rsidP="00FA0D37">
      <w:pPr>
        <w:pStyle w:val="PL"/>
        <w:rPr>
          <w:color w:val="808080"/>
        </w:rPr>
      </w:pPr>
      <w:r w:rsidRPr="00FA0D37">
        <w:rPr>
          <w:color w:val="808080"/>
        </w:rPr>
        <w:t>-- ASN1STOP</w:t>
      </w:r>
    </w:p>
    <w:p w14:paraId="18190E8A" w14:textId="77777777" w:rsidR="00394471" w:rsidRPr="00FA0D3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4AD9E8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44F8CD1" w14:textId="77777777" w:rsidR="00394471" w:rsidRPr="00FA0D37" w:rsidRDefault="00394471" w:rsidP="00964CC4">
            <w:pPr>
              <w:pStyle w:val="TAH"/>
              <w:rPr>
                <w:b w:val="0"/>
                <w:lang w:eastAsia="sv-SE"/>
              </w:rPr>
            </w:pPr>
            <w:r w:rsidRPr="00FA0D37">
              <w:rPr>
                <w:i/>
                <w:lang w:eastAsia="sv-SE"/>
              </w:rPr>
              <w:lastRenderedPageBreak/>
              <w:t>SL-SyncConfig</w:t>
            </w:r>
            <w:r w:rsidRPr="00FA0D37">
              <w:rPr>
                <w:lang w:eastAsia="sv-SE"/>
              </w:rPr>
              <w:t xml:space="preserve"> field descriptions</w:t>
            </w:r>
          </w:p>
        </w:tc>
      </w:tr>
      <w:tr w:rsidR="005C7FF4" w:rsidRPr="00FA0D37" w14:paraId="63A2CE7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C2B16B" w14:textId="77777777" w:rsidR="00394471" w:rsidRPr="00FA0D37" w:rsidRDefault="00394471" w:rsidP="00964CC4">
            <w:pPr>
              <w:pStyle w:val="TAL"/>
              <w:rPr>
                <w:rFonts w:eastAsiaTheme="minorEastAsia"/>
                <w:b/>
                <w:bCs/>
                <w:i/>
                <w:iCs/>
                <w:lang w:eastAsia="zh-CN"/>
              </w:rPr>
            </w:pPr>
            <w:r w:rsidRPr="00FA0D37">
              <w:rPr>
                <w:rFonts w:eastAsiaTheme="minorEastAsia"/>
                <w:b/>
                <w:bCs/>
                <w:i/>
                <w:iCs/>
                <w:lang w:eastAsia="zh-CN"/>
              </w:rPr>
              <w:t>gnss-Sync</w:t>
            </w:r>
          </w:p>
          <w:p w14:paraId="5C1D1B07" w14:textId="012C8413" w:rsidR="00394471" w:rsidRPr="00FA0D37" w:rsidRDefault="00D71CF8" w:rsidP="00964CC4">
            <w:pPr>
              <w:pStyle w:val="TAL"/>
              <w:rPr>
                <w:rFonts w:eastAsiaTheme="minorEastAsia"/>
                <w:lang w:eastAsia="zh-CN"/>
              </w:rPr>
            </w:pPr>
            <w:r w:rsidRPr="00FA0D37">
              <w:rPr>
                <w:rFonts w:eastAsiaTheme="minorEastAsia"/>
                <w:lang w:eastAsia="zh-CN"/>
              </w:rPr>
              <w:t>I</w:t>
            </w:r>
            <w:r w:rsidR="00394471" w:rsidRPr="00FA0D37">
              <w:rPr>
                <w:rFonts w:eastAsiaTheme="minorEastAsia"/>
                <w:lang w:eastAsia="zh-CN"/>
              </w:rPr>
              <w:t>f configured, the synchronization configuration is used for SLSS transmission/reception when the UE is synchronized to GNSS. If not configured, the synchronization configuration is used for SLSS transmission/reception when the UE is synchronized to eNB/gNB.</w:t>
            </w:r>
          </w:p>
        </w:tc>
      </w:tr>
      <w:tr w:rsidR="005C7FF4" w:rsidRPr="00FA0D37" w14:paraId="4EB24A7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836F2" w14:textId="77777777" w:rsidR="00394471" w:rsidRPr="00FA0D37" w:rsidRDefault="00394471" w:rsidP="00964CC4">
            <w:pPr>
              <w:pStyle w:val="TAL"/>
              <w:rPr>
                <w:b/>
                <w:bCs/>
                <w:i/>
                <w:iCs/>
                <w:lang w:eastAsia="zh-CN"/>
              </w:rPr>
            </w:pPr>
            <w:r w:rsidRPr="00FA0D37">
              <w:rPr>
                <w:b/>
                <w:bCs/>
                <w:i/>
                <w:iCs/>
                <w:lang w:eastAsia="zh-CN"/>
              </w:rPr>
              <w:t>sl-SyncRefMinHyst</w:t>
            </w:r>
          </w:p>
          <w:p w14:paraId="3CC0E231" w14:textId="77777777" w:rsidR="00394471" w:rsidRPr="00FA0D37" w:rsidRDefault="00394471" w:rsidP="00964CC4">
            <w:pPr>
              <w:pStyle w:val="TAL"/>
              <w:rPr>
                <w:bCs/>
                <w:lang w:eastAsia="en-GB"/>
              </w:rPr>
            </w:pPr>
            <w:r w:rsidRPr="00FA0D37">
              <w:rPr>
                <w:iCs/>
                <w:lang w:eastAsia="en-GB"/>
              </w:rPr>
              <w:t>Hysteresis when evaluating a SyncRef UE using absolute comparison.</w:t>
            </w:r>
          </w:p>
        </w:tc>
      </w:tr>
      <w:tr w:rsidR="005C7FF4" w:rsidRPr="00FA0D37" w14:paraId="7E27D2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8DEA652" w14:textId="77777777" w:rsidR="00394471" w:rsidRPr="00FA0D37" w:rsidRDefault="00394471" w:rsidP="00964CC4">
            <w:pPr>
              <w:pStyle w:val="TAL"/>
              <w:rPr>
                <w:lang w:eastAsia="zh-CN"/>
              </w:rPr>
            </w:pPr>
            <w:r w:rsidRPr="00FA0D37">
              <w:rPr>
                <w:b/>
                <w:bCs/>
                <w:i/>
                <w:iCs/>
                <w:lang w:eastAsia="zh-CN"/>
              </w:rPr>
              <w:t>sl-SyncRefDiffHyst</w:t>
            </w:r>
          </w:p>
          <w:p w14:paraId="009F6665" w14:textId="77777777" w:rsidR="00394471" w:rsidRPr="00FA0D37" w:rsidRDefault="00394471" w:rsidP="00964CC4">
            <w:pPr>
              <w:pStyle w:val="TAL"/>
              <w:rPr>
                <w:lang w:eastAsia="zh-CN"/>
              </w:rPr>
            </w:pPr>
            <w:r w:rsidRPr="00FA0D37">
              <w:rPr>
                <w:iCs/>
                <w:lang w:eastAsia="en-GB"/>
              </w:rPr>
              <w:t xml:space="preserve">Hysteresis when evaluating a SyncRef UE using </w:t>
            </w:r>
            <w:r w:rsidRPr="00FA0D37">
              <w:rPr>
                <w:bCs/>
                <w:iCs/>
                <w:kern w:val="2"/>
                <w:lang w:eastAsia="en-GB"/>
              </w:rPr>
              <w:t xml:space="preserve">relative </w:t>
            </w:r>
            <w:r w:rsidRPr="00FA0D37">
              <w:rPr>
                <w:iCs/>
                <w:lang w:eastAsia="en-GB"/>
              </w:rPr>
              <w:t>comparison.</w:t>
            </w:r>
          </w:p>
        </w:tc>
      </w:tr>
      <w:tr w:rsidR="005C7FF4" w:rsidRPr="00FA0D37" w14:paraId="7A71A49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8C595AF" w14:textId="77777777" w:rsidR="00394471" w:rsidRPr="00FA0D37" w:rsidRDefault="00394471" w:rsidP="00964CC4">
            <w:pPr>
              <w:pStyle w:val="TAL"/>
              <w:rPr>
                <w:b/>
                <w:bCs/>
                <w:i/>
                <w:iCs/>
                <w:lang w:eastAsia="zh-CN"/>
              </w:rPr>
            </w:pPr>
            <w:r w:rsidRPr="00FA0D37">
              <w:rPr>
                <w:b/>
                <w:bCs/>
                <w:i/>
                <w:iCs/>
                <w:lang w:eastAsia="zh-CN"/>
              </w:rPr>
              <w:t>sl-NumSSB-WithinPeriod</w:t>
            </w:r>
          </w:p>
          <w:p w14:paraId="2F0C48F2" w14:textId="77777777" w:rsidR="00394471" w:rsidRPr="00FA0D37" w:rsidRDefault="00394471" w:rsidP="00964CC4">
            <w:pPr>
              <w:pStyle w:val="TAL"/>
              <w:rPr>
                <w:iCs/>
                <w:lang w:eastAsia="en-GB"/>
              </w:rPr>
            </w:pPr>
            <w:r w:rsidRPr="00FA0D37">
              <w:rPr>
                <w:iCs/>
                <w:lang w:eastAsia="en-GB"/>
              </w:rPr>
              <w:t>Indicates the number of sidelink SSB transmissions within one sidelink SSB period. The applicable values are related to the subcarrier spacing and frequency as follows:</w:t>
            </w:r>
          </w:p>
          <w:p w14:paraId="055734C0" w14:textId="37568FA9" w:rsidR="00394471" w:rsidRPr="00FA0D37" w:rsidRDefault="00394471" w:rsidP="00964CC4">
            <w:pPr>
              <w:pStyle w:val="TAL"/>
              <w:rPr>
                <w:iCs/>
                <w:lang w:eastAsia="en-GB"/>
              </w:rPr>
            </w:pPr>
            <w:r w:rsidRPr="00FA0D37">
              <w:rPr>
                <w:iCs/>
                <w:lang w:eastAsia="en-GB"/>
              </w:rPr>
              <w:t>FR1, SCS = 15 kHz: 1</w:t>
            </w:r>
          </w:p>
          <w:p w14:paraId="7D8F4C23" w14:textId="0ED206C3" w:rsidR="00394471" w:rsidRPr="00FA0D37" w:rsidRDefault="00394471" w:rsidP="00964CC4">
            <w:pPr>
              <w:pStyle w:val="TAL"/>
              <w:rPr>
                <w:iCs/>
                <w:lang w:eastAsia="en-GB"/>
              </w:rPr>
            </w:pPr>
            <w:r w:rsidRPr="00FA0D37">
              <w:rPr>
                <w:iCs/>
                <w:lang w:eastAsia="en-GB"/>
              </w:rPr>
              <w:t>FR1, SCS = 30 kHz: 1, 2</w:t>
            </w:r>
          </w:p>
          <w:p w14:paraId="7D68E93A" w14:textId="2A5A1B71" w:rsidR="00394471" w:rsidRPr="00FA0D37" w:rsidRDefault="00394471" w:rsidP="00964CC4">
            <w:pPr>
              <w:pStyle w:val="TAL"/>
              <w:rPr>
                <w:iCs/>
                <w:lang w:eastAsia="en-GB"/>
              </w:rPr>
            </w:pPr>
            <w:r w:rsidRPr="00FA0D37">
              <w:rPr>
                <w:iCs/>
                <w:lang w:eastAsia="en-GB"/>
              </w:rPr>
              <w:t>FR1, SCS = 60 kHz: 1, 2, 4</w:t>
            </w:r>
          </w:p>
          <w:p w14:paraId="3CC8427E" w14:textId="77777777" w:rsidR="00394471" w:rsidRPr="00FA0D37" w:rsidRDefault="00394471" w:rsidP="00964CC4">
            <w:pPr>
              <w:pStyle w:val="TAL"/>
              <w:rPr>
                <w:iCs/>
                <w:lang w:eastAsia="en-GB"/>
              </w:rPr>
            </w:pPr>
            <w:r w:rsidRPr="00FA0D37">
              <w:rPr>
                <w:iCs/>
                <w:lang w:eastAsia="en-GB"/>
              </w:rPr>
              <w:t>FR2, SCS = 60 kHz: 1, 2, 4, 8, 16, 32</w:t>
            </w:r>
          </w:p>
          <w:p w14:paraId="69ABAF51" w14:textId="77777777" w:rsidR="00394471" w:rsidRPr="00FA0D37" w:rsidRDefault="00394471" w:rsidP="00964CC4">
            <w:pPr>
              <w:pStyle w:val="TAL"/>
              <w:rPr>
                <w:lang w:eastAsia="zh-CN"/>
              </w:rPr>
            </w:pPr>
            <w:r w:rsidRPr="00FA0D37">
              <w:rPr>
                <w:iCs/>
                <w:lang w:eastAsia="en-GB"/>
              </w:rPr>
              <w:t>FR2, SCS = 120 kHz: 1, 2, 4, 8, 16, 32, 64</w:t>
            </w:r>
          </w:p>
        </w:tc>
      </w:tr>
      <w:tr w:rsidR="005C7FF4" w:rsidRPr="00FA0D37" w14:paraId="08F1F3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C34F53" w14:textId="77777777" w:rsidR="00394471" w:rsidRPr="00FA0D37" w:rsidRDefault="00394471" w:rsidP="00964CC4">
            <w:pPr>
              <w:pStyle w:val="TAL"/>
              <w:rPr>
                <w:b/>
                <w:bCs/>
                <w:i/>
                <w:iCs/>
                <w:lang w:eastAsia="zh-CN"/>
              </w:rPr>
            </w:pPr>
            <w:r w:rsidRPr="00FA0D37">
              <w:rPr>
                <w:b/>
                <w:bCs/>
                <w:i/>
                <w:iCs/>
                <w:lang w:eastAsia="zh-CN"/>
              </w:rPr>
              <w:t>sl-TimeOffsetSSB</w:t>
            </w:r>
          </w:p>
          <w:p w14:paraId="03C71EB7" w14:textId="77777777" w:rsidR="00394471" w:rsidRPr="00FA0D37" w:rsidRDefault="00394471" w:rsidP="00964CC4">
            <w:pPr>
              <w:pStyle w:val="TAL"/>
              <w:rPr>
                <w:lang w:eastAsia="zh-CN"/>
              </w:rPr>
            </w:pPr>
            <w:r w:rsidRPr="00FA0D37">
              <w:rPr>
                <w:iCs/>
                <w:lang w:eastAsia="en-GB"/>
              </w:rPr>
              <w:t>Indicates the slot offset from the start of sidelink SSB period to the first sidelink SSB.</w:t>
            </w:r>
          </w:p>
        </w:tc>
      </w:tr>
      <w:tr w:rsidR="005C7FF4" w:rsidRPr="00FA0D37" w14:paraId="5E59F05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23B8F9" w14:textId="77777777" w:rsidR="00394471" w:rsidRPr="00FA0D37" w:rsidRDefault="00394471" w:rsidP="00964CC4">
            <w:pPr>
              <w:pStyle w:val="TAL"/>
              <w:rPr>
                <w:b/>
                <w:bCs/>
                <w:i/>
                <w:iCs/>
                <w:lang w:eastAsia="zh-CN"/>
              </w:rPr>
            </w:pPr>
            <w:r w:rsidRPr="00FA0D37">
              <w:rPr>
                <w:b/>
                <w:bCs/>
                <w:i/>
                <w:iCs/>
                <w:lang w:eastAsia="zh-CN"/>
              </w:rPr>
              <w:t>sl-TimeInterval</w:t>
            </w:r>
          </w:p>
          <w:p w14:paraId="067C01B3" w14:textId="77777777" w:rsidR="00394471" w:rsidRPr="00FA0D37" w:rsidRDefault="00394471" w:rsidP="00964CC4">
            <w:pPr>
              <w:pStyle w:val="TAL"/>
              <w:rPr>
                <w:lang w:eastAsia="zh-CN"/>
              </w:rPr>
            </w:pPr>
            <w:r w:rsidRPr="00FA0D37">
              <w:rPr>
                <w:iCs/>
                <w:lang w:eastAsia="en-GB"/>
              </w:rPr>
              <w:t>Indicates the slot interval between neighboring sidelink SSBs. This value is applicable when there are more than one sidelink SSBs within one sidelink SSB period.</w:t>
            </w:r>
          </w:p>
        </w:tc>
      </w:tr>
      <w:tr w:rsidR="005C7FF4" w:rsidRPr="00FA0D37" w14:paraId="2AF807C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65276C" w14:textId="77777777" w:rsidR="00394471" w:rsidRPr="00FA0D37" w:rsidRDefault="00394471" w:rsidP="00964CC4">
            <w:pPr>
              <w:pStyle w:val="TAL"/>
              <w:rPr>
                <w:b/>
                <w:bCs/>
                <w:i/>
                <w:iCs/>
                <w:lang w:eastAsia="zh-CN"/>
              </w:rPr>
            </w:pPr>
            <w:r w:rsidRPr="00FA0D37">
              <w:rPr>
                <w:b/>
                <w:bCs/>
                <w:i/>
                <w:iCs/>
                <w:lang w:eastAsia="zh-CN"/>
              </w:rPr>
              <w:t>sl-SSID</w:t>
            </w:r>
          </w:p>
          <w:p w14:paraId="32A62577" w14:textId="23D373B8" w:rsidR="00394471" w:rsidRPr="00FA0D37" w:rsidRDefault="00394471" w:rsidP="00964CC4">
            <w:pPr>
              <w:pStyle w:val="TAL"/>
              <w:rPr>
                <w:lang w:eastAsia="zh-CN"/>
              </w:rPr>
            </w:pPr>
            <w:r w:rsidRPr="00FA0D37">
              <w:rPr>
                <w:iCs/>
                <w:lang w:eastAsia="en-GB"/>
              </w:rPr>
              <w:t>Indicates the ID of sidelink synchronization signal assoc</w:t>
            </w:r>
            <w:r w:rsidR="00C813A9" w:rsidRPr="00FA0D37">
              <w:rPr>
                <w:iCs/>
                <w:lang w:eastAsia="en-GB"/>
              </w:rPr>
              <w:t>i</w:t>
            </w:r>
            <w:r w:rsidRPr="00FA0D37">
              <w:rPr>
                <w:iCs/>
                <w:lang w:eastAsia="en-GB"/>
              </w:rPr>
              <w:t>ated with different synchronization priorities.</w:t>
            </w:r>
          </w:p>
        </w:tc>
      </w:tr>
      <w:tr w:rsidR="005C7FF4" w:rsidRPr="00FA0D37" w14:paraId="333397F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17D27D6" w14:textId="77777777" w:rsidR="00394471" w:rsidRPr="00FA0D37" w:rsidRDefault="00394471" w:rsidP="00964CC4">
            <w:pPr>
              <w:pStyle w:val="TAL"/>
              <w:rPr>
                <w:b/>
                <w:bCs/>
                <w:i/>
                <w:iCs/>
                <w:lang w:eastAsia="zh-CN"/>
              </w:rPr>
            </w:pPr>
            <w:r w:rsidRPr="00FA0D37">
              <w:rPr>
                <w:b/>
                <w:bCs/>
                <w:i/>
                <w:iCs/>
                <w:lang w:eastAsia="zh-CN"/>
              </w:rPr>
              <w:t>syncInfoReserved</w:t>
            </w:r>
          </w:p>
          <w:p w14:paraId="196E2FFC" w14:textId="77777777" w:rsidR="00394471" w:rsidRPr="00FA0D37" w:rsidRDefault="00394471" w:rsidP="00964CC4">
            <w:pPr>
              <w:pStyle w:val="TAL"/>
              <w:rPr>
                <w:lang w:eastAsia="zh-CN"/>
              </w:rPr>
            </w:pPr>
            <w:r w:rsidRPr="00FA0D37">
              <w:rPr>
                <w:iCs/>
                <w:lang w:eastAsia="en-GB"/>
              </w:rPr>
              <w:t>Reserved for future use.</w:t>
            </w:r>
          </w:p>
        </w:tc>
      </w:tr>
      <w:tr w:rsidR="00D27132" w:rsidRPr="00FA0D37" w14:paraId="2BF19533" w14:textId="77777777" w:rsidTr="00D71CF8">
        <w:tc>
          <w:tcPr>
            <w:tcW w:w="0" w:type="auto"/>
            <w:tcBorders>
              <w:top w:val="single" w:sz="4" w:space="0" w:color="auto"/>
              <w:left w:val="single" w:sz="4" w:space="0" w:color="auto"/>
              <w:bottom w:val="single" w:sz="4" w:space="0" w:color="auto"/>
              <w:right w:val="single" w:sz="4" w:space="0" w:color="auto"/>
            </w:tcBorders>
            <w:hideMark/>
          </w:tcPr>
          <w:p w14:paraId="4EEFD13D" w14:textId="77777777" w:rsidR="00D71CF8" w:rsidRPr="00FA0D37" w:rsidRDefault="00D71CF8" w:rsidP="00AF0F64">
            <w:pPr>
              <w:pStyle w:val="TAL"/>
              <w:rPr>
                <w:b/>
                <w:bCs/>
                <w:i/>
                <w:iCs/>
                <w:lang w:eastAsia="zh-CN"/>
              </w:rPr>
            </w:pPr>
            <w:r w:rsidRPr="00FA0D37">
              <w:rPr>
                <w:b/>
                <w:bCs/>
                <w:i/>
                <w:iCs/>
                <w:lang w:eastAsia="zh-CN"/>
              </w:rPr>
              <w:t>syncTxThreshIC, syncTxThreshOoC</w:t>
            </w:r>
          </w:p>
          <w:p w14:paraId="613AE860" w14:textId="130BA76A" w:rsidR="00D71CF8" w:rsidRPr="00FA0D37" w:rsidRDefault="00D71CF8" w:rsidP="00AF0F64">
            <w:pPr>
              <w:pStyle w:val="TAL"/>
              <w:rPr>
                <w:lang w:eastAsia="zh-CN"/>
              </w:rPr>
            </w:pPr>
            <w:r w:rsidRPr="00FA0D37">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5D5981CC" w14:textId="77777777" w:rsidR="00394471" w:rsidRPr="00FA0D37" w:rsidRDefault="00394471" w:rsidP="00394471">
      <w:pPr>
        <w:rPr>
          <w:rFonts w:eastAsia="Yu Mincho"/>
        </w:rPr>
      </w:pPr>
    </w:p>
    <w:p w14:paraId="4DD5493F" w14:textId="4D091DAE" w:rsidR="00394471" w:rsidRPr="00FA0D37" w:rsidRDefault="00394471" w:rsidP="00394471">
      <w:pPr>
        <w:pStyle w:val="4"/>
      </w:pPr>
      <w:bookmarkStart w:id="1831" w:name="_Toc60777552"/>
      <w:bookmarkStart w:id="1832" w:name="_Toc146781681"/>
      <w:r w:rsidRPr="00FA0D37">
        <w:t>–</w:t>
      </w:r>
      <w:r w:rsidRPr="00FA0D37">
        <w:tab/>
      </w:r>
      <w:r w:rsidRPr="00FA0D37">
        <w:rPr>
          <w:i/>
          <w:iCs/>
        </w:rPr>
        <w:t>SL-Thres-RSRP-List</w:t>
      </w:r>
      <w:bookmarkEnd w:id="1831"/>
      <w:bookmarkEnd w:id="1832"/>
    </w:p>
    <w:p w14:paraId="0A67E36F" w14:textId="12F4EAF9" w:rsidR="00394471" w:rsidRPr="00FA0D37" w:rsidRDefault="00394471" w:rsidP="00394471">
      <w:r w:rsidRPr="00FA0D37">
        <w:t xml:space="preserve">IE </w:t>
      </w:r>
      <w:r w:rsidRPr="00FA0D37">
        <w:rPr>
          <w:i/>
        </w:rPr>
        <w:t>SL-Thres-RSRP-List</w:t>
      </w:r>
      <w:r w:rsidRPr="00FA0D37">
        <w:rPr>
          <w:bCs/>
          <w:kern w:val="2"/>
          <w:lang w:eastAsia="zh-CN"/>
        </w:rPr>
        <w:t xml:space="preserve"> indicates a threshold used for sensing based UE autonomous resource selection</w:t>
      </w:r>
      <w:r w:rsidRPr="00FA0D37">
        <w:rPr>
          <w:bCs/>
          <w:noProof/>
          <w:lang w:eastAsia="zh-CN"/>
        </w:rPr>
        <w:t xml:space="preserve"> (see TS 38.215 [9])</w:t>
      </w:r>
      <w:r w:rsidRPr="00FA0D37">
        <w:rPr>
          <w:bCs/>
          <w:kern w:val="2"/>
          <w:lang w:eastAsia="zh-CN"/>
        </w:rPr>
        <w:t>. A</w:t>
      </w:r>
      <w:r w:rsidRPr="00FA0D37">
        <w:rPr>
          <w:bCs/>
          <w:kern w:val="2"/>
          <w:lang w:eastAsia="en-GB"/>
        </w:rPr>
        <w:t xml:space="preserve"> resource is excluded if it is indicated or reserved by a decoded S</w:t>
      </w:r>
      <w:r w:rsidRPr="00FA0D37">
        <w:rPr>
          <w:bCs/>
          <w:kern w:val="2"/>
          <w:lang w:eastAsia="zh-CN"/>
        </w:rPr>
        <w:t>CI</w:t>
      </w:r>
      <w:r w:rsidRPr="00FA0D37">
        <w:rPr>
          <w:bCs/>
          <w:kern w:val="2"/>
          <w:lang w:eastAsia="en-GB"/>
        </w:rPr>
        <w:t xml:space="preserve"> and PSSCH</w:t>
      </w:r>
      <w:r w:rsidR="00E92072" w:rsidRPr="00FA0D37">
        <w:rPr>
          <w:bCs/>
          <w:kern w:val="2"/>
          <w:lang w:eastAsia="en-GB"/>
        </w:rPr>
        <w:t>/PSCCH</w:t>
      </w:r>
      <w:r w:rsidRPr="00FA0D37">
        <w:rPr>
          <w:bCs/>
          <w:kern w:val="2"/>
          <w:lang w:eastAsia="en-GB"/>
        </w:rPr>
        <w:t xml:space="preserve"> RSRP in the associated data resource is above </w:t>
      </w:r>
      <w:r w:rsidRPr="00FA0D37">
        <w:rPr>
          <w:bCs/>
          <w:kern w:val="2"/>
          <w:lang w:eastAsia="zh-CN"/>
        </w:rPr>
        <w:t>the</w:t>
      </w:r>
      <w:r w:rsidRPr="00FA0D37">
        <w:rPr>
          <w:bCs/>
          <w:kern w:val="2"/>
          <w:lang w:eastAsia="en-GB"/>
        </w:rPr>
        <w:t xml:space="preserve"> </w:t>
      </w:r>
      <w:r w:rsidRPr="00FA0D37">
        <w:rPr>
          <w:bCs/>
          <w:kern w:val="2"/>
          <w:lang w:eastAsia="zh-CN"/>
        </w:rPr>
        <w:t xml:space="preserve">threshold defined by </w:t>
      </w:r>
      <w:r w:rsidRPr="00FA0D37">
        <w:t xml:space="preserve">IE </w:t>
      </w:r>
      <w:r w:rsidRPr="00FA0D37">
        <w:rPr>
          <w:i/>
        </w:rPr>
        <w:t>SL-Thres-RSRP-List</w:t>
      </w:r>
      <w:r w:rsidRPr="00FA0D37">
        <w:rPr>
          <w:bCs/>
          <w:kern w:val="2"/>
          <w:lang w:eastAsia="en-GB"/>
        </w:rPr>
        <w:t>.</w:t>
      </w:r>
      <w:r w:rsidR="00811373" w:rsidRPr="00FA0D37">
        <w:rPr>
          <w:bCs/>
          <w:kern w:val="2"/>
          <w:lang w:eastAsia="en-GB"/>
        </w:rPr>
        <w:t xml:space="preserve"> Value 0 corresponds to minus infinity dBm, value 1 corresponds to -128dBm, value 2 corresponds to -126dBm, value n corresponds to (-128 + (n-1)*2) dBm and so on, value 66 corresponds to infinity dBm.</w:t>
      </w:r>
    </w:p>
    <w:p w14:paraId="4E8CE23B" w14:textId="3813D6AE" w:rsidR="00394471" w:rsidRPr="00FA0D37" w:rsidRDefault="00394471" w:rsidP="00394471">
      <w:pPr>
        <w:pStyle w:val="TH"/>
        <w:rPr>
          <w:b w:val="0"/>
        </w:rPr>
      </w:pPr>
      <w:r w:rsidRPr="00FA0D37">
        <w:rPr>
          <w:i/>
          <w:iCs/>
        </w:rPr>
        <w:t>SL-Thres-RSRP-List</w:t>
      </w:r>
      <w:r w:rsidRPr="00FA0D37">
        <w:t xml:space="preserve"> information element</w:t>
      </w:r>
    </w:p>
    <w:p w14:paraId="0DCFC129" w14:textId="77777777" w:rsidR="00394471" w:rsidRPr="00FA0D37" w:rsidRDefault="00394471" w:rsidP="00FA0D37">
      <w:pPr>
        <w:pStyle w:val="PL"/>
        <w:rPr>
          <w:color w:val="808080"/>
        </w:rPr>
      </w:pPr>
      <w:r w:rsidRPr="00FA0D37">
        <w:rPr>
          <w:color w:val="808080"/>
        </w:rPr>
        <w:t>-- ASN1START</w:t>
      </w:r>
    </w:p>
    <w:p w14:paraId="7631FF8F" w14:textId="6C1FACEC" w:rsidR="00394471" w:rsidRPr="00FA0D37" w:rsidRDefault="00394471" w:rsidP="00FA0D37">
      <w:pPr>
        <w:pStyle w:val="PL"/>
        <w:rPr>
          <w:color w:val="808080"/>
        </w:rPr>
      </w:pPr>
      <w:r w:rsidRPr="00FA0D37">
        <w:rPr>
          <w:color w:val="808080"/>
        </w:rPr>
        <w:t>-- TAG-SL-THRES-RSRP-LIST-START</w:t>
      </w:r>
    </w:p>
    <w:p w14:paraId="7725FD98" w14:textId="77777777" w:rsidR="00394471" w:rsidRPr="00FA0D37" w:rsidRDefault="00394471" w:rsidP="00FA0D37">
      <w:pPr>
        <w:pStyle w:val="PL"/>
      </w:pPr>
    </w:p>
    <w:p w14:paraId="077E98BF" w14:textId="408DCA6C" w:rsidR="00394471" w:rsidRPr="00FA0D37" w:rsidRDefault="00394471" w:rsidP="00FA0D37">
      <w:pPr>
        <w:pStyle w:val="PL"/>
      </w:pPr>
      <w:r w:rsidRPr="00FA0D37">
        <w:t xml:space="preserve">SL-Thres-RSRP-List-r16 ::=    </w:t>
      </w:r>
      <w:r w:rsidRPr="00FA0D37">
        <w:rPr>
          <w:color w:val="993366"/>
        </w:rPr>
        <w:t>SEQUENCE</w:t>
      </w:r>
      <w:r w:rsidRPr="00FA0D37">
        <w:t xml:space="preserve"> (</w:t>
      </w:r>
      <w:r w:rsidRPr="00FA0D37">
        <w:rPr>
          <w:color w:val="993366"/>
        </w:rPr>
        <w:t>SIZE</w:t>
      </w:r>
      <w:r w:rsidRPr="00FA0D37">
        <w:t xml:space="preserve"> (64))</w:t>
      </w:r>
      <w:r w:rsidRPr="00FA0D37">
        <w:rPr>
          <w:color w:val="993366"/>
        </w:rPr>
        <w:t xml:space="preserve"> OF</w:t>
      </w:r>
      <w:r w:rsidRPr="00FA0D37">
        <w:t xml:space="preserve"> SL-Thres-RSRP-r16</w:t>
      </w:r>
    </w:p>
    <w:p w14:paraId="1EB699DA" w14:textId="77777777" w:rsidR="00394471" w:rsidRPr="00FA0D37" w:rsidRDefault="00394471" w:rsidP="00FA0D37">
      <w:pPr>
        <w:pStyle w:val="PL"/>
      </w:pPr>
    </w:p>
    <w:p w14:paraId="5E38F817" w14:textId="1A9B6FCC" w:rsidR="00394471" w:rsidRPr="00FA0D37" w:rsidRDefault="00394471" w:rsidP="00FA0D37">
      <w:pPr>
        <w:pStyle w:val="PL"/>
      </w:pPr>
      <w:r w:rsidRPr="00FA0D37">
        <w:t xml:space="preserve">SL-Thres-RSRP-r16 ::=         </w:t>
      </w:r>
      <w:r w:rsidRPr="00FA0D37">
        <w:rPr>
          <w:color w:val="993366"/>
        </w:rPr>
        <w:t>INTEGER</w:t>
      </w:r>
      <w:r w:rsidRPr="00FA0D37">
        <w:t xml:space="preserve"> (0..66)</w:t>
      </w:r>
    </w:p>
    <w:p w14:paraId="4A927787" w14:textId="77777777" w:rsidR="00394471" w:rsidRPr="00FA0D37" w:rsidRDefault="00394471" w:rsidP="00FA0D37">
      <w:pPr>
        <w:pStyle w:val="PL"/>
      </w:pPr>
    </w:p>
    <w:p w14:paraId="70004278" w14:textId="581CA16D" w:rsidR="00394471" w:rsidRPr="00FA0D37" w:rsidRDefault="00394471" w:rsidP="00FA0D37">
      <w:pPr>
        <w:pStyle w:val="PL"/>
        <w:rPr>
          <w:color w:val="808080"/>
        </w:rPr>
      </w:pPr>
      <w:r w:rsidRPr="00FA0D37">
        <w:rPr>
          <w:color w:val="808080"/>
        </w:rPr>
        <w:t>-- TAG-SL-THRES-RSRP-LIST-STOP</w:t>
      </w:r>
    </w:p>
    <w:p w14:paraId="5502D9EC" w14:textId="77777777" w:rsidR="00394471" w:rsidRPr="00FA0D37" w:rsidRDefault="00394471" w:rsidP="00FA0D37">
      <w:pPr>
        <w:pStyle w:val="PL"/>
        <w:rPr>
          <w:color w:val="808080"/>
        </w:rPr>
      </w:pPr>
      <w:r w:rsidRPr="00FA0D37">
        <w:rPr>
          <w:color w:val="808080"/>
        </w:rPr>
        <w:t>-- ASN1STOP</w:t>
      </w:r>
    </w:p>
    <w:p w14:paraId="696F14F7" w14:textId="77777777" w:rsidR="00394471" w:rsidRPr="00FA0D37" w:rsidRDefault="00394471" w:rsidP="00394471">
      <w:pPr>
        <w:rPr>
          <w:rFonts w:eastAsia="Yu Mincho"/>
        </w:rPr>
      </w:pPr>
    </w:p>
    <w:p w14:paraId="704EF997" w14:textId="04A70EF5" w:rsidR="00394471" w:rsidRPr="00FA0D37" w:rsidRDefault="00394471" w:rsidP="00394471">
      <w:pPr>
        <w:pStyle w:val="4"/>
      </w:pPr>
      <w:bookmarkStart w:id="1833" w:name="_Toc60777553"/>
      <w:bookmarkStart w:id="1834" w:name="_Toc146781682"/>
      <w:r w:rsidRPr="00FA0D37">
        <w:t>–</w:t>
      </w:r>
      <w:r w:rsidRPr="00FA0D37">
        <w:tab/>
      </w:r>
      <w:r w:rsidRPr="00FA0D37">
        <w:rPr>
          <w:i/>
          <w:iCs/>
        </w:rPr>
        <w:t>SL-TxPower</w:t>
      </w:r>
      <w:bookmarkEnd w:id="1833"/>
      <w:bookmarkEnd w:id="1834"/>
    </w:p>
    <w:p w14:paraId="20CA1204" w14:textId="77777777" w:rsidR="00394471" w:rsidRPr="00FA0D37" w:rsidRDefault="00394471" w:rsidP="00394471">
      <w:r w:rsidRPr="00FA0D37">
        <w:t xml:space="preserve">The IE </w:t>
      </w:r>
      <w:r w:rsidRPr="00FA0D37">
        <w:rPr>
          <w:i/>
          <w:lang w:eastAsia="zh-CN"/>
        </w:rPr>
        <w:t>SL</w:t>
      </w:r>
      <w:r w:rsidRPr="00FA0D37">
        <w:rPr>
          <w:i/>
        </w:rPr>
        <w:t>-</w:t>
      </w:r>
      <w:r w:rsidRPr="00FA0D37">
        <w:rPr>
          <w:i/>
          <w:lang w:eastAsia="zh-CN"/>
        </w:rPr>
        <w:t>TxPower</w:t>
      </w:r>
      <w:r w:rsidRPr="00FA0D37">
        <w:t xml:space="preserve"> is used to limit the UE's </w:t>
      </w:r>
      <w:r w:rsidRPr="00FA0D37">
        <w:rPr>
          <w:lang w:eastAsia="zh-CN"/>
        </w:rPr>
        <w:t>sidelink</w:t>
      </w:r>
      <w:r w:rsidRPr="00FA0D37">
        <w:t xml:space="preserve"> transmission power on a carrier frequency.</w:t>
      </w:r>
      <w:r w:rsidRPr="00FA0D37">
        <w:rPr>
          <w:lang w:eastAsia="zh-CN"/>
        </w:rPr>
        <w:t xml:space="preserve"> The unit is dBm. Value </w:t>
      </w:r>
      <w:r w:rsidRPr="00FA0D37">
        <w:t>minusinfinity</w:t>
      </w:r>
      <w:r w:rsidRPr="00FA0D37">
        <w:rPr>
          <w:lang w:eastAsia="zh-CN"/>
        </w:rPr>
        <w:t xml:space="preserve"> </w:t>
      </w:r>
      <w:r w:rsidRPr="00FA0D37">
        <w:rPr>
          <w:lang w:eastAsia="en-GB"/>
        </w:rPr>
        <w:t>corresponds to –infinity</w:t>
      </w:r>
      <w:r w:rsidRPr="00FA0D37">
        <w:rPr>
          <w:lang w:eastAsia="zh-CN"/>
        </w:rPr>
        <w:t>.</w:t>
      </w:r>
    </w:p>
    <w:p w14:paraId="0321D62F" w14:textId="77777777" w:rsidR="00394471" w:rsidRPr="00FA0D37" w:rsidRDefault="00394471" w:rsidP="00394471">
      <w:pPr>
        <w:pStyle w:val="TH"/>
      </w:pPr>
      <w:r w:rsidRPr="00FA0D37">
        <w:rPr>
          <w:i/>
        </w:rPr>
        <w:t xml:space="preserve">SL-TxPower </w:t>
      </w:r>
      <w:r w:rsidRPr="00FA0D37">
        <w:t>information element</w:t>
      </w:r>
    </w:p>
    <w:p w14:paraId="44227B6D" w14:textId="77777777" w:rsidR="00394471" w:rsidRPr="00FA0D37" w:rsidRDefault="00394471" w:rsidP="00FA0D37">
      <w:pPr>
        <w:pStyle w:val="PL"/>
        <w:rPr>
          <w:color w:val="808080"/>
        </w:rPr>
      </w:pPr>
      <w:r w:rsidRPr="00FA0D37">
        <w:rPr>
          <w:color w:val="808080"/>
        </w:rPr>
        <w:t>-- ASN1START</w:t>
      </w:r>
    </w:p>
    <w:p w14:paraId="79E5E0D5" w14:textId="77777777" w:rsidR="00394471" w:rsidRPr="00FA0D37" w:rsidRDefault="00394471" w:rsidP="00FA0D37">
      <w:pPr>
        <w:pStyle w:val="PL"/>
        <w:rPr>
          <w:color w:val="808080"/>
        </w:rPr>
      </w:pPr>
      <w:r w:rsidRPr="00FA0D37">
        <w:rPr>
          <w:color w:val="808080"/>
        </w:rPr>
        <w:t>-- TAG-SL-TXPOWER-START</w:t>
      </w:r>
    </w:p>
    <w:p w14:paraId="02EF533A" w14:textId="77777777" w:rsidR="00394471" w:rsidRPr="00FA0D37" w:rsidRDefault="00394471" w:rsidP="00FA0D37">
      <w:pPr>
        <w:pStyle w:val="PL"/>
      </w:pPr>
    </w:p>
    <w:p w14:paraId="325897B0" w14:textId="77777777" w:rsidR="00394471" w:rsidRPr="00FA0D37" w:rsidRDefault="00394471" w:rsidP="00FA0D37">
      <w:pPr>
        <w:pStyle w:val="PL"/>
      </w:pPr>
      <w:r w:rsidRPr="00FA0D37">
        <w:t xml:space="preserve">SL-TxPower-r16 ::=                    </w:t>
      </w:r>
      <w:r w:rsidRPr="00FA0D37">
        <w:rPr>
          <w:color w:val="993366"/>
        </w:rPr>
        <w:t>CHOICE</w:t>
      </w:r>
      <w:r w:rsidRPr="00FA0D37">
        <w:t>{</w:t>
      </w:r>
    </w:p>
    <w:p w14:paraId="0BBFF696" w14:textId="77777777" w:rsidR="00394471" w:rsidRPr="00FA0D37" w:rsidRDefault="00394471" w:rsidP="00FA0D37">
      <w:pPr>
        <w:pStyle w:val="PL"/>
      </w:pPr>
      <w:r w:rsidRPr="00FA0D37">
        <w:t xml:space="preserve">    minusinfinity-r16                     </w:t>
      </w:r>
      <w:r w:rsidRPr="00FA0D37">
        <w:rPr>
          <w:color w:val="993366"/>
        </w:rPr>
        <w:t>NULL</w:t>
      </w:r>
      <w:r w:rsidRPr="00FA0D37">
        <w:t>,</w:t>
      </w:r>
    </w:p>
    <w:p w14:paraId="5E639316" w14:textId="77777777" w:rsidR="00394471" w:rsidRPr="00FA0D37" w:rsidRDefault="00394471" w:rsidP="00FA0D37">
      <w:pPr>
        <w:pStyle w:val="PL"/>
      </w:pPr>
      <w:r w:rsidRPr="00FA0D37">
        <w:t xml:space="preserve">    txPower-r16                           </w:t>
      </w:r>
      <w:r w:rsidRPr="00FA0D37">
        <w:rPr>
          <w:color w:val="993366"/>
        </w:rPr>
        <w:t>INTEGER</w:t>
      </w:r>
      <w:r w:rsidRPr="00FA0D37">
        <w:t xml:space="preserve"> (-30..33)</w:t>
      </w:r>
    </w:p>
    <w:p w14:paraId="2D0E8E7B" w14:textId="77777777" w:rsidR="00394471" w:rsidRPr="00FA0D37" w:rsidRDefault="00394471" w:rsidP="00FA0D37">
      <w:pPr>
        <w:pStyle w:val="PL"/>
      </w:pPr>
      <w:r w:rsidRPr="00FA0D37">
        <w:t>}</w:t>
      </w:r>
    </w:p>
    <w:p w14:paraId="227CD635" w14:textId="77777777" w:rsidR="00394471" w:rsidRPr="00FA0D37" w:rsidRDefault="00394471" w:rsidP="00FA0D37">
      <w:pPr>
        <w:pStyle w:val="PL"/>
      </w:pPr>
    </w:p>
    <w:p w14:paraId="2A327AB5" w14:textId="77777777" w:rsidR="00394471" w:rsidRPr="00FA0D37" w:rsidRDefault="00394471" w:rsidP="00FA0D37">
      <w:pPr>
        <w:pStyle w:val="PL"/>
        <w:rPr>
          <w:color w:val="808080"/>
        </w:rPr>
      </w:pPr>
      <w:r w:rsidRPr="00FA0D37">
        <w:rPr>
          <w:color w:val="808080"/>
        </w:rPr>
        <w:t>-- TAG-SL-TXPOWER-STOP</w:t>
      </w:r>
    </w:p>
    <w:p w14:paraId="6D9A4838" w14:textId="77777777" w:rsidR="00394471" w:rsidRPr="00FA0D37" w:rsidRDefault="00394471" w:rsidP="00FA0D37">
      <w:pPr>
        <w:pStyle w:val="PL"/>
        <w:rPr>
          <w:color w:val="808080"/>
        </w:rPr>
      </w:pPr>
      <w:r w:rsidRPr="00FA0D37">
        <w:rPr>
          <w:color w:val="808080"/>
        </w:rPr>
        <w:t>-- ASN1STOP</w:t>
      </w:r>
    </w:p>
    <w:p w14:paraId="52D17DB6" w14:textId="77777777" w:rsidR="00394471" w:rsidRPr="00FA0D37" w:rsidRDefault="00394471" w:rsidP="00394471"/>
    <w:p w14:paraId="49D08236" w14:textId="67E71194" w:rsidR="00394471" w:rsidRPr="00FA0D37" w:rsidRDefault="00394471" w:rsidP="00394471">
      <w:pPr>
        <w:pStyle w:val="4"/>
      </w:pPr>
      <w:bookmarkStart w:id="1835" w:name="_Toc60777554"/>
      <w:bookmarkStart w:id="1836" w:name="_Toc146781683"/>
      <w:r w:rsidRPr="00FA0D37">
        <w:t>–</w:t>
      </w:r>
      <w:r w:rsidRPr="00FA0D37">
        <w:tab/>
      </w:r>
      <w:r w:rsidRPr="00FA0D37">
        <w:rPr>
          <w:i/>
          <w:iCs/>
        </w:rPr>
        <w:t>SL-TypeTxSync</w:t>
      </w:r>
      <w:bookmarkEnd w:id="1835"/>
      <w:bookmarkEnd w:id="1836"/>
    </w:p>
    <w:p w14:paraId="5F203C50" w14:textId="77777777" w:rsidR="00394471" w:rsidRPr="00FA0D37" w:rsidRDefault="00394471" w:rsidP="00394471">
      <w:r w:rsidRPr="00FA0D37">
        <w:t>The IE</w:t>
      </w:r>
      <w:r w:rsidRPr="00FA0D37">
        <w:rPr>
          <w:i/>
        </w:rPr>
        <w:t xml:space="preserve"> SL-TypeTxSync</w:t>
      </w:r>
      <w:r w:rsidRPr="00FA0D37">
        <w:rPr>
          <w:iCs/>
        </w:rPr>
        <w:t xml:space="preserve"> </w:t>
      </w:r>
      <w:r w:rsidRPr="00FA0D37">
        <w:rPr>
          <w:lang w:eastAsia="zh-CN"/>
        </w:rPr>
        <w:t>indicates the synchronization reference type</w:t>
      </w:r>
      <w:r w:rsidRPr="00FA0D37">
        <w:t>.</w:t>
      </w:r>
    </w:p>
    <w:p w14:paraId="72B6BC13" w14:textId="77777777" w:rsidR="00394471" w:rsidRPr="00FA0D37" w:rsidRDefault="00394471" w:rsidP="00394471">
      <w:pPr>
        <w:pStyle w:val="TH"/>
      </w:pPr>
      <w:r w:rsidRPr="00FA0D37">
        <w:rPr>
          <w:i/>
        </w:rPr>
        <w:t>SL-TypeTxSync</w:t>
      </w:r>
      <w:r w:rsidRPr="00FA0D37">
        <w:t xml:space="preserve"> information element</w:t>
      </w:r>
    </w:p>
    <w:p w14:paraId="675A1E22" w14:textId="77777777" w:rsidR="00394471" w:rsidRPr="00FA0D37" w:rsidRDefault="00394471" w:rsidP="00FA0D37">
      <w:pPr>
        <w:pStyle w:val="PL"/>
        <w:rPr>
          <w:color w:val="808080"/>
        </w:rPr>
      </w:pPr>
      <w:r w:rsidRPr="00FA0D37">
        <w:rPr>
          <w:color w:val="808080"/>
        </w:rPr>
        <w:t>-- ASN1START</w:t>
      </w:r>
    </w:p>
    <w:p w14:paraId="0742FAA9" w14:textId="77777777" w:rsidR="00394471" w:rsidRPr="00FA0D37" w:rsidRDefault="00394471" w:rsidP="00FA0D37">
      <w:pPr>
        <w:pStyle w:val="PL"/>
        <w:rPr>
          <w:color w:val="808080"/>
        </w:rPr>
      </w:pPr>
      <w:r w:rsidRPr="00FA0D37">
        <w:rPr>
          <w:color w:val="808080"/>
        </w:rPr>
        <w:t>-- TAG-SL-TYPETXSYNC-START</w:t>
      </w:r>
    </w:p>
    <w:p w14:paraId="2F96E5FC" w14:textId="77777777" w:rsidR="00394471" w:rsidRPr="00FA0D37" w:rsidRDefault="00394471" w:rsidP="00FA0D37">
      <w:pPr>
        <w:pStyle w:val="PL"/>
      </w:pPr>
    </w:p>
    <w:p w14:paraId="4B01BE0D" w14:textId="77777777" w:rsidR="00394471" w:rsidRPr="00FA0D37" w:rsidRDefault="00394471" w:rsidP="00FA0D37">
      <w:pPr>
        <w:pStyle w:val="PL"/>
      </w:pPr>
      <w:r w:rsidRPr="00FA0D37">
        <w:t xml:space="preserve">SL-TypeTxSync-r16 ::=                     </w:t>
      </w:r>
      <w:r w:rsidRPr="00FA0D37">
        <w:rPr>
          <w:color w:val="993366"/>
        </w:rPr>
        <w:t>ENUMERATED</w:t>
      </w:r>
      <w:r w:rsidRPr="00FA0D37">
        <w:t xml:space="preserve"> {gnss, gnbEnb, ue}</w:t>
      </w:r>
    </w:p>
    <w:p w14:paraId="1CE4D9D5" w14:textId="77777777" w:rsidR="00394471" w:rsidRPr="00FA0D37" w:rsidRDefault="00394471" w:rsidP="00FA0D37">
      <w:pPr>
        <w:pStyle w:val="PL"/>
      </w:pPr>
    </w:p>
    <w:p w14:paraId="12858371" w14:textId="77777777" w:rsidR="00394471" w:rsidRPr="00FA0D37" w:rsidRDefault="00394471" w:rsidP="00FA0D37">
      <w:pPr>
        <w:pStyle w:val="PL"/>
        <w:rPr>
          <w:color w:val="808080"/>
        </w:rPr>
      </w:pPr>
      <w:r w:rsidRPr="00FA0D37">
        <w:rPr>
          <w:color w:val="808080"/>
        </w:rPr>
        <w:t>-- TAG-SL-TYPETXSYNC-STOP</w:t>
      </w:r>
    </w:p>
    <w:p w14:paraId="27104F55" w14:textId="77777777" w:rsidR="00394471" w:rsidRPr="00FA0D37" w:rsidRDefault="00394471" w:rsidP="00FA0D37">
      <w:pPr>
        <w:pStyle w:val="PL"/>
        <w:rPr>
          <w:color w:val="808080"/>
        </w:rPr>
      </w:pPr>
      <w:r w:rsidRPr="00FA0D37">
        <w:rPr>
          <w:color w:val="808080"/>
        </w:rPr>
        <w:t>-- ASN1STOP</w:t>
      </w:r>
    </w:p>
    <w:p w14:paraId="37C03C15" w14:textId="77777777" w:rsidR="00394471" w:rsidRPr="00FA0D37" w:rsidRDefault="00394471" w:rsidP="00394471"/>
    <w:p w14:paraId="64CDC10D" w14:textId="4FEF1D9A" w:rsidR="00394471" w:rsidRPr="00FA0D37" w:rsidRDefault="00394471" w:rsidP="00394471">
      <w:pPr>
        <w:pStyle w:val="4"/>
      </w:pPr>
      <w:bookmarkStart w:id="1837" w:name="_Toc60777555"/>
      <w:bookmarkStart w:id="1838" w:name="_Toc146781684"/>
      <w:r w:rsidRPr="00FA0D37">
        <w:t>–</w:t>
      </w:r>
      <w:r w:rsidRPr="00FA0D37">
        <w:tab/>
      </w:r>
      <w:r w:rsidRPr="00FA0D37">
        <w:rPr>
          <w:i/>
          <w:iCs/>
        </w:rPr>
        <w:t>SL-UE-SelectedConfig</w:t>
      </w:r>
      <w:bookmarkEnd w:id="1837"/>
      <w:bookmarkEnd w:id="1838"/>
    </w:p>
    <w:p w14:paraId="4473FE3E" w14:textId="77777777" w:rsidR="00394471" w:rsidRPr="00FA0D37" w:rsidRDefault="00394471" w:rsidP="00394471">
      <w:r w:rsidRPr="00FA0D37">
        <w:t xml:space="preserve">IE </w:t>
      </w:r>
      <w:r w:rsidRPr="00FA0D37">
        <w:rPr>
          <w:i/>
        </w:rPr>
        <w:t>SL-UE-SelectedConfig</w:t>
      </w:r>
      <w:r w:rsidRPr="00FA0D37">
        <w:rPr>
          <w:bCs/>
          <w:kern w:val="2"/>
          <w:lang w:eastAsia="zh-CN"/>
        </w:rPr>
        <w:t xml:space="preserve"> specifies sidelink communication configurations used for UE autonomous resource selection</w:t>
      </w:r>
      <w:r w:rsidRPr="00FA0D37">
        <w:rPr>
          <w:bCs/>
          <w:kern w:val="2"/>
          <w:lang w:eastAsia="en-GB"/>
        </w:rPr>
        <w:t>.</w:t>
      </w:r>
    </w:p>
    <w:p w14:paraId="30ED674B" w14:textId="77777777" w:rsidR="00394471" w:rsidRPr="00FA0D37" w:rsidRDefault="00394471" w:rsidP="00394471">
      <w:pPr>
        <w:pStyle w:val="TH"/>
        <w:rPr>
          <w:b w:val="0"/>
        </w:rPr>
      </w:pPr>
      <w:r w:rsidRPr="00FA0D37">
        <w:rPr>
          <w:i/>
          <w:iCs/>
        </w:rPr>
        <w:t>SL-UE-SelectedConfig</w:t>
      </w:r>
      <w:r w:rsidRPr="00FA0D37">
        <w:t xml:space="preserve"> information element</w:t>
      </w:r>
    </w:p>
    <w:p w14:paraId="1EA068C3" w14:textId="77777777" w:rsidR="00394471" w:rsidRPr="00FA0D37" w:rsidRDefault="00394471" w:rsidP="00FA0D37">
      <w:pPr>
        <w:pStyle w:val="PL"/>
        <w:rPr>
          <w:color w:val="808080"/>
        </w:rPr>
      </w:pPr>
      <w:r w:rsidRPr="00FA0D37">
        <w:rPr>
          <w:color w:val="808080"/>
        </w:rPr>
        <w:t>-- ASN1START</w:t>
      </w:r>
    </w:p>
    <w:p w14:paraId="0ADFC361" w14:textId="77777777" w:rsidR="00394471" w:rsidRPr="00FA0D37" w:rsidRDefault="00394471" w:rsidP="00FA0D37">
      <w:pPr>
        <w:pStyle w:val="PL"/>
        <w:rPr>
          <w:color w:val="808080"/>
        </w:rPr>
      </w:pPr>
      <w:r w:rsidRPr="00FA0D37">
        <w:rPr>
          <w:color w:val="808080"/>
        </w:rPr>
        <w:t>-- TAG-SL-UE-SELECTEDCONFIG-START</w:t>
      </w:r>
    </w:p>
    <w:p w14:paraId="45571F1A" w14:textId="77777777" w:rsidR="00394471" w:rsidRPr="00FA0D37" w:rsidRDefault="00394471" w:rsidP="00FA0D37">
      <w:pPr>
        <w:pStyle w:val="PL"/>
      </w:pPr>
    </w:p>
    <w:p w14:paraId="3A51117F" w14:textId="77777777" w:rsidR="00394471" w:rsidRPr="00FA0D37" w:rsidRDefault="00394471" w:rsidP="00FA0D37">
      <w:pPr>
        <w:pStyle w:val="PL"/>
      </w:pPr>
      <w:r w:rsidRPr="00FA0D37">
        <w:t xml:space="preserve">SL-UE-SelectedConfig-r16 ::=                 </w:t>
      </w:r>
      <w:r w:rsidRPr="00FA0D37">
        <w:rPr>
          <w:color w:val="993366"/>
        </w:rPr>
        <w:t>SEQUENCE</w:t>
      </w:r>
      <w:r w:rsidRPr="00FA0D37">
        <w:t xml:space="preserve"> {</w:t>
      </w:r>
    </w:p>
    <w:p w14:paraId="531901F0" w14:textId="77777777" w:rsidR="00394471" w:rsidRPr="00FA0D37" w:rsidRDefault="00394471" w:rsidP="00FA0D37">
      <w:pPr>
        <w:pStyle w:val="PL"/>
        <w:rPr>
          <w:color w:val="808080"/>
        </w:rPr>
      </w:pPr>
      <w:r w:rsidRPr="00FA0D37">
        <w:t xml:space="preserve">    sl-PSSCH-TxConfigList-r16                    SL-PSSCH-TxConfigList-r16                                   </w:t>
      </w:r>
      <w:r w:rsidRPr="00FA0D37">
        <w:rPr>
          <w:color w:val="993366"/>
        </w:rPr>
        <w:t>OPTIONAL</w:t>
      </w:r>
      <w:r w:rsidRPr="00FA0D37">
        <w:t xml:space="preserve">,    </w:t>
      </w:r>
      <w:r w:rsidRPr="00FA0D37">
        <w:rPr>
          <w:color w:val="808080"/>
        </w:rPr>
        <w:t>-- Need R</w:t>
      </w:r>
    </w:p>
    <w:p w14:paraId="016C3500" w14:textId="77777777" w:rsidR="00394471" w:rsidRPr="00FA0D37" w:rsidRDefault="00394471" w:rsidP="00FA0D37">
      <w:pPr>
        <w:pStyle w:val="PL"/>
        <w:rPr>
          <w:color w:val="808080"/>
        </w:rPr>
      </w:pPr>
      <w:r w:rsidRPr="00FA0D37">
        <w:t xml:space="preserve">    sl-ProbResourceKeep-r16                      </w:t>
      </w:r>
      <w:r w:rsidRPr="00FA0D37">
        <w:rPr>
          <w:color w:val="993366"/>
        </w:rPr>
        <w:t>ENUMERATED</w:t>
      </w:r>
      <w:r w:rsidRPr="00FA0D37">
        <w:t xml:space="preserve"> {v0, v0dot2, v0dot4, v0dot6, v0dot8}             </w:t>
      </w:r>
      <w:r w:rsidRPr="00FA0D37">
        <w:rPr>
          <w:color w:val="993366"/>
        </w:rPr>
        <w:t>OPTIONAL</w:t>
      </w:r>
      <w:r w:rsidRPr="00FA0D37">
        <w:t xml:space="preserve">,    </w:t>
      </w:r>
      <w:r w:rsidRPr="00FA0D37">
        <w:rPr>
          <w:color w:val="808080"/>
        </w:rPr>
        <w:t>-- Need R</w:t>
      </w:r>
    </w:p>
    <w:p w14:paraId="2F39E830" w14:textId="77777777" w:rsidR="00394471" w:rsidRPr="00FA0D37" w:rsidRDefault="00394471" w:rsidP="00FA0D37">
      <w:pPr>
        <w:pStyle w:val="PL"/>
        <w:rPr>
          <w:color w:val="808080"/>
        </w:rPr>
      </w:pPr>
      <w:r w:rsidRPr="00FA0D37">
        <w:lastRenderedPageBreak/>
        <w:t xml:space="preserve">    sl-ReselectAfter-r16                         </w:t>
      </w:r>
      <w:r w:rsidRPr="00FA0D37">
        <w:rPr>
          <w:color w:val="993366"/>
        </w:rPr>
        <w:t>ENUMERATED</w:t>
      </w:r>
      <w:r w:rsidRPr="00FA0D37">
        <w:t xml:space="preserve"> {n1, n2, n3, n4, n5, n6, n7, n8, n9}             </w:t>
      </w:r>
      <w:r w:rsidRPr="00FA0D37">
        <w:rPr>
          <w:color w:val="993366"/>
        </w:rPr>
        <w:t>OPTIONAL</w:t>
      </w:r>
      <w:r w:rsidRPr="00FA0D37">
        <w:t xml:space="preserve">,    </w:t>
      </w:r>
      <w:r w:rsidRPr="00FA0D37">
        <w:rPr>
          <w:color w:val="808080"/>
        </w:rPr>
        <w:t>-- Need R</w:t>
      </w:r>
    </w:p>
    <w:p w14:paraId="5B8D5334" w14:textId="77777777" w:rsidR="00394471" w:rsidRPr="00FA0D37" w:rsidRDefault="00394471" w:rsidP="00FA0D37">
      <w:pPr>
        <w:pStyle w:val="PL"/>
        <w:rPr>
          <w:rFonts w:eastAsia="等线"/>
          <w:color w:val="808080"/>
        </w:rPr>
      </w:pPr>
      <w:r w:rsidRPr="00FA0D37">
        <w:t xml:space="preserve">    sl-CBR-CommonTxConfigList-r16                SL-CBR-CommonTxConfigList-r16                               </w:t>
      </w:r>
      <w:r w:rsidRPr="00FA0D37">
        <w:rPr>
          <w:color w:val="993366"/>
        </w:rPr>
        <w:t>OPTIONAL</w:t>
      </w:r>
      <w:r w:rsidRPr="00FA0D37">
        <w:t xml:space="preserve">,    </w:t>
      </w:r>
      <w:r w:rsidRPr="00FA0D37">
        <w:rPr>
          <w:color w:val="808080"/>
        </w:rPr>
        <w:t>-- Need R</w:t>
      </w:r>
    </w:p>
    <w:p w14:paraId="57BDC818" w14:textId="77777777" w:rsidR="00394471" w:rsidRPr="00FA0D37" w:rsidRDefault="00394471" w:rsidP="00FA0D37">
      <w:pPr>
        <w:pStyle w:val="PL"/>
        <w:rPr>
          <w:color w:val="808080"/>
        </w:rPr>
      </w:pPr>
      <w:r w:rsidRPr="00FA0D37">
        <w:t xml:space="preserve">    ul-PrioritizationThres-r16                   </w:t>
      </w:r>
      <w:r w:rsidRPr="00FA0D37">
        <w:rPr>
          <w:color w:val="993366"/>
        </w:rPr>
        <w:t>INTEGER</w:t>
      </w:r>
      <w:r w:rsidRPr="00FA0D37">
        <w:t xml:space="preserve"> (1..16)                                             </w:t>
      </w:r>
      <w:r w:rsidRPr="00FA0D37">
        <w:rPr>
          <w:color w:val="993366"/>
        </w:rPr>
        <w:t>OPTIONAL</w:t>
      </w:r>
      <w:r w:rsidRPr="00FA0D37">
        <w:t xml:space="preserve">,    </w:t>
      </w:r>
      <w:r w:rsidRPr="00FA0D37">
        <w:rPr>
          <w:color w:val="808080"/>
        </w:rPr>
        <w:t>-- Need R</w:t>
      </w:r>
    </w:p>
    <w:p w14:paraId="26B22CEB" w14:textId="77777777" w:rsidR="00394471" w:rsidRPr="00FA0D37" w:rsidRDefault="00394471" w:rsidP="00FA0D37">
      <w:pPr>
        <w:pStyle w:val="PL"/>
        <w:rPr>
          <w:color w:val="808080"/>
        </w:rPr>
      </w:pPr>
      <w:r w:rsidRPr="00FA0D37">
        <w:t xml:space="preserve">    sl-PrioritizationThres-r16                   </w:t>
      </w:r>
      <w:r w:rsidRPr="00FA0D37">
        <w:rPr>
          <w:color w:val="993366"/>
        </w:rPr>
        <w:t>INTEGER</w:t>
      </w:r>
      <w:r w:rsidRPr="00FA0D37">
        <w:t xml:space="preserve"> (1..8)                                              </w:t>
      </w:r>
      <w:r w:rsidRPr="00FA0D37">
        <w:rPr>
          <w:color w:val="993366"/>
        </w:rPr>
        <w:t>OPTIONAL</w:t>
      </w:r>
      <w:r w:rsidRPr="00FA0D37">
        <w:t xml:space="preserve">,    </w:t>
      </w:r>
      <w:r w:rsidRPr="00FA0D37">
        <w:rPr>
          <w:color w:val="808080"/>
        </w:rPr>
        <w:t>-- Need R</w:t>
      </w:r>
    </w:p>
    <w:p w14:paraId="1C71F1F0" w14:textId="77777777" w:rsidR="00394471" w:rsidRPr="00FA0D37" w:rsidRDefault="00394471" w:rsidP="00FA0D37">
      <w:pPr>
        <w:pStyle w:val="PL"/>
      </w:pPr>
      <w:r w:rsidRPr="00FA0D37">
        <w:t xml:space="preserve">    ...</w:t>
      </w:r>
    </w:p>
    <w:p w14:paraId="5A5B515D" w14:textId="77777777" w:rsidR="00394471" w:rsidRPr="00FA0D37" w:rsidRDefault="00394471" w:rsidP="00FA0D37">
      <w:pPr>
        <w:pStyle w:val="PL"/>
      </w:pPr>
      <w:r w:rsidRPr="00FA0D37">
        <w:t>}</w:t>
      </w:r>
    </w:p>
    <w:p w14:paraId="7C4D3A11" w14:textId="77777777" w:rsidR="00394471" w:rsidRPr="00FA0D37" w:rsidRDefault="00394471" w:rsidP="00FA0D37">
      <w:pPr>
        <w:pStyle w:val="PL"/>
      </w:pPr>
    </w:p>
    <w:p w14:paraId="39B9A3D9" w14:textId="77777777" w:rsidR="00394471" w:rsidRPr="00FA0D37" w:rsidRDefault="00394471" w:rsidP="00FA0D37">
      <w:pPr>
        <w:pStyle w:val="PL"/>
        <w:rPr>
          <w:color w:val="808080"/>
        </w:rPr>
      </w:pPr>
      <w:r w:rsidRPr="00FA0D37">
        <w:rPr>
          <w:color w:val="808080"/>
        </w:rPr>
        <w:t>-- TAG-SL-UE-SELECTEDCONFIG-STOP</w:t>
      </w:r>
    </w:p>
    <w:p w14:paraId="21CF9779" w14:textId="77777777" w:rsidR="00394471" w:rsidRPr="00FA0D37" w:rsidRDefault="00394471" w:rsidP="00FA0D37">
      <w:pPr>
        <w:pStyle w:val="PL"/>
        <w:rPr>
          <w:color w:val="808080"/>
        </w:rPr>
      </w:pPr>
      <w:r w:rsidRPr="00FA0D37">
        <w:rPr>
          <w:color w:val="808080"/>
        </w:rPr>
        <w:t>-- ASN1STOP</w:t>
      </w:r>
    </w:p>
    <w:p w14:paraId="33F2B60E" w14:textId="77777777" w:rsidR="00394471" w:rsidRPr="00FA0D37"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8150CD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13EFA4D" w14:textId="77777777" w:rsidR="00394471" w:rsidRPr="00FA0D37" w:rsidRDefault="00394471" w:rsidP="00964CC4">
            <w:pPr>
              <w:pStyle w:val="TAH"/>
              <w:rPr>
                <w:b w:val="0"/>
                <w:lang w:eastAsia="sv-SE"/>
              </w:rPr>
            </w:pPr>
            <w:r w:rsidRPr="00FA0D37">
              <w:rPr>
                <w:i/>
                <w:iCs/>
                <w:lang w:eastAsia="sv-SE"/>
              </w:rPr>
              <w:t>SL-UE-SelectedConfig</w:t>
            </w:r>
            <w:r w:rsidRPr="00FA0D37">
              <w:rPr>
                <w:lang w:eastAsia="sv-SE"/>
              </w:rPr>
              <w:t xml:space="preserve"> field descriptions</w:t>
            </w:r>
          </w:p>
        </w:tc>
      </w:tr>
      <w:tr w:rsidR="005C7FF4" w:rsidRPr="00FA0D37" w14:paraId="00BA3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A99E4FB" w14:textId="77777777" w:rsidR="00394471" w:rsidRPr="00FA0D37" w:rsidRDefault="00394471" w:rsidP="00964CC4">
            <w:pPr>
              <w:pStyle w:val="TAL"/>
              <w:rPr>
                <w:b/>
                <w:bCs/>
                <w:i/>
                <w:iCs/>
                <w:lang w:eastAsia="zh-CN"/>
              </w:rPr>
            </w:pPr>
            <w:r w:rsidRPr="00FA0D37">
              <w:rPr>
                <w:b/>
                <w:bCs/>
                <w:i/>
                <w:iCs/>
                <w:lang w:eastAsia="zh-CN"/>
              </w:rPr>
              <w:t>sl-PrioritizationThres</w:t>
            </w:r>
          </w:p>
          <w:p w14:paraId="4CF22675" w14:textId="045BB7BD" w:rsidR="00394471" w:rsidRPr="00FA0D37" w:rsidRDefault="00394471" w:rsidP="00964CC4">
            <w:pPr>
              <w:pStyle w:val="TAL"/>
              <w:rPr>
                <w:szCs w:val="22"/>
                <w:lang w:eastAsia="sv-SE"/>
              </w:rPr>
            </w:pPr>
            <w:r w:rsidRPr="00FA0D37">
              <w:rPr>
                <w:lang w:eastAsia="zh-CN"/>
              </w:rPr>
              <w:t xml:space="preserve">Indicates the SL priority threshold, which is used to determine whether SL TX is prioritized over UL TX, </w:t>
            </w:r>
            <w:r w:rsidRPr="00FA0D37">
              <w:rPr>
                <w:lang w:eastAsia="en-GB"/>
              </w:rPr>
              <w:t>as specified in TS 38.321 [3].</w:t>
            </w:r>
            <w:r w:rsidR="00A105BD" w:rsidRPr="00FA0D37">
              <w:rPr>
                <w:lang w:eastAsia="en-GB"/>
              </w:rPr>
              <w:t xml:space="preserve"> Network does not configure the </w:t>
            </w:r>
            <w:r w:rsidR="00A105BD" w:rsidRPr="00FA0D37">
              <w:rPr>
                <w:i/>
                <w:lang w:eastAsia="en-GB"/>
              </w:rPr>
              <w:t>sl-PrioritizationThres</w:t>
            </w:r>
            <w:r w:rsidR="00A105BD" w:rsidRPr="00FA0D37">
              <w:rPr>
                <w:lang w:eastAsia="en-GB"/>
              </w:rPr>
              <w:t xml:space="preserve"> and the </w:t>
            </w:r>
            <w:r w:rsidR="00A105BD" w:rsidRPr="00FA0D37">
              <w:rPr>
                <w:i/>
                <w:lang w:eastAsia="en-GB"/>
              </w:rPr>
              <w:t>ul-PrioritizationThres</w:t>
            </w:r>
            <w:r w:rsidR="00A105BD" w:rsidRPr="00FA0D37">
              <w:rPr>
                <w:lang w:eastAsia="en-GB"/>
              </w:rPr>
              <w:t xml:space="preserve"> to the UE separately.</w:t>
            </w:r>
          </w:p>
        </w:tc>
      </w:tr>
      <w:tr w:rsidR="005C7FF4" w:rsidRPr="00FA0D37" w14:paraId="3F7878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B507F2" w14:textId="77777777" w:rsidR="00394471" w:rsidRPr="00FA0D37" w:rsidRDefault="00394471" w:rsidP="00964CC4">
            <w:pPr>
              <w:pStyle w:val="TAL"/>
              <w:rPr>
                <w:b/>
                <w:i/>
                <w:iCs/>
                <w:noProof/>
                <w:lang w:eastAsia="zh-CN"/>
              </w:rPr>
            </w:pPr>
            <w:r w:rsidRPr="00FA0D37">
              <w:rPr>
                <w:b/>
                <w:i/>
                <w:iCs/>
                <w:noProof/>
                <w:lang w:eastAsia="en-GB"/>
              </w:rPr>
              <w:t>sl-ProbResourceKeep</w:t>
            </w:r>
          </w:p>
          <w:p w14:paraId="75FE7FC4" w14:textId="77777777" w:rsidR="00394471" w:rsidRPr="00FA0D37" w:rsidRDefault="00394471" w:rsidP="00964CC4">
            <w:pPr>
              <w:pStyle w:val="TAL"/>
              <w:rPr>
                <w:bCs/>
                <w:noProof/>
                <w:lang w:eastAsia="en-GB"/>
              </w:rPr>
            </w:pPr>
            <w:r w:rsidRPr="00FA0D37">
              <w:rPr>
                <w:iCs/>
                <w:szCs w:val="22"/>
                <w:lang w:eastAsia="en-GB"/>
              </w:rPr>
              <w:t>Indicates the probability with which the UE keeps the current resource when the resource reselection counter reaches zero for sensing based UE autonomous resource selection (see TS 38.321 [3]).</w:t>
            </w:r>
          </w:p>
        </w:tc>
      </w:tr>
      <w:tr w:rsidR="005C7FF4" w:rsidRPr="00FA0D37" w14:paraId="0509DC1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BA16C67" w14:textId="77777777" w:rsidR="00394471" w:rsidRPr="00FA0D37" w:rsidRDefault="00394471" w:rsidP="00964CC4">
            <w:pPr>
              <w:pStyle w:val="TAL"/>
              <w:rPr>
                <w:b/>
                <w:i/>
                <w:iCs/>
                <w:noProof/>
                <w:lang w:eastAsia="zh-CN"/>
              </w:rPr>
            </w:pPr>
            <w:r w:rsidRPr="00FA0D37">
              <w:rPr>
                <w:b/>
                <w:i/>
                <w:iCs/>
                <w:noProof/>
                <w:lang w:eastAsia="en-GB"/>
              </w:rPr>
              <w:t>sl-PSSCH-TxConfigList</w:t>
            </w:r>
          </w:p>
          <w:p w14:paraId="4AC86650" w14:textId="77777777" w:rsidR="00394471" w:rsidRPr="00FA0D37" w:rsidRDefault="00394471" w:rsidP="00964CC4">
            <w:pPr>
              <w:pStyle w:val="TAL"/>
              <w:rPr>
                <w:bCs/>
                <w:noProof/>
                <w:lang w:eastAsia="en-GB"/>
              </w:rPr>
            </w:pPr>
            <w:r w:rsidRPr="00FA0D37">
              <w:rPr>
                <w:iCs/>
                <w:szCs w:val="22"/>
                <w:lang w:eastAsia="en-GB"/>
              </w:rPr>
              <w:t xml:space="preserve">Indicates </w:t>
            </w:r>
            <w:r w:rsidRPr="00FA0D37">
              <w:rPr>
                <w:bCs/>
                <w:kern w:val="2"/>
                <w:lang w:eastAsia="zh-CN"/>
              </w:rPr>
              <w:t xml:space="preserve">PSSCH TX parameters such as MCS, </w:t>
            </w:r>
            <w:r w:rsidRPr="00FA0D37">
              <w:rPr>
                <w:rFonts w:eastAsia="等线" w:cs="Arial"/>
                <w:lang w:eastAsia="zh-CN"/>
              </w:rPr>
              <w:t>sub-channel</w:t>
            </w:r>
            <w:r w:rsidRPr="00FA0D37">
              <w:rPr>
                <w:bCs/>
                <w:kern w:val="2"/>
                <w:lang w:eastAsia="zh-CN"/>
              </w:rPr>
              <w:t xml:space="preserve"> number, retransmission number, associated to different UE absolute speeds and</w:t>
            </w:r>
            <w:r w:rsidRPr="00FA0D37">
              <w:rPr>
                <w:lang w:eastAsia="sv-SE"/>
              </w:rPr>
              <w:t xml:space="preserve"> </w:t>
            </w:r>
            <w:r w:rsidRPr="00FA0D37">
              <w:rPr>
                <w:bCs/>
                <w:kern w:val="2"/>
                <w:lang w:eastAsia="zh-CN"/>
              </w:rPr>
              <w:t>different synchronization reference types for UE autonomous resource selection</w:t>
            </w:r>
            <w:r w:rsidRPr="00FA0D37">
              <w:rPr>
                <w:iCs/>
                <w:szCs w:val="22"/>
                <w:lang w:eastAsia="en-GB"/>
              </w:rPr>
              <w:t>.</w:t>
            </w:r>
          </w:p>
        </w:tc>
      </w:tr>
      <w:tr w:rsidR="005C7FF4" w:rsidRPr="00FA0D37" w14:paraId="236B343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4C12D9" w14:textId="77777777" w:rsidR="00394471" w:rsidRPr="00FA0D37" w:rsidRDefault="00394471" w:rsidP="00964CC4">
            <w:pPr>
              <w:pStyle w:val="TAL"/>
              <w:rPr>
                <w:b/>
                <w:i/>
                <w:iCs/>
                <w:noProof/>
                <w:lang w:eastAsia="zh-CN"/>
              </w:rPr>
            </w:pPr>
            <w:r w:rsidRPr="00FA0D37">
              <w:rPr>
                <w:b/>
                <w:i/>
                <w:iCs/>
                <w:noProof/>
                <w:lang w:eastAsia="en-GB"/>
              </w:rPr>
              <w:t>sl-ReselectAfter</w:t>
            </w:r>
          </w:p>
          <w:p w14:paraId="0F7C0226" w14:textId="77777777" w:rsidR="00394471" w:rsidRPr="00FA0D37" w:rsidRDefault="00394471" w:rsidP="00964CC4">
            <w:pPr>
              <w:pStyle w:val="TAL"/>
              <w:rPr>
                <w:bCs/>
                <w:noProof/>
                <w:lang w:eastAsia="en-GB"/>
              </w:rPr>
            </w:pPr>
            <w:r w:rsidRPr="00FA0D37">
              <w:rPr>
                <w:iCs/>
                <w:szCs w:val="22"/>
                <w:lang w:eastAsia="en-GB"/>
              </w:rPr>
              <w:t xml:space="preserve">Indicates </w:t>
            </w:r>
            <w:r w:rsidRPr="00FA0D37">
              <w:rPr>
                <w:bCs/>
                <w:noProof/>
                <w:lang w:eastAsia="en-GB"/>
              </w:rPr>
              <w:t xml:space="preserve">the number of consecutive </w:t>
            </w:r>
            <w:r w:rsidRPr="00FA0D37">
              <w:rPr>
                <w:bCs/>
                <w:noProof/>
                <w:lang w:eastAsia="zh-CN"/>
              </w:rPr>
              <w:t>skipped</w:t>
            </w:r>
            <w:r w:rsidRPr="00FA0D37">
              <w:rPr>
                <w:bCs/>
                <w:noProof/>
                <w:lang w:eastAsia="en-GB"/>
              </w:rPr>
              <w:t xml:space="preserve"> transmissions before triggering resource reselection for sidelink communication</w:t>
            </w:r>
            <w:r w:rsidRPr="00FA0D37">
              <w:rPr>
                <w:iCs/>
                <w:szCs w:val="22"/>
                <w:lang w:eastAsia="en-GB"/>
              </w:rPr>
              <w:t xml:space="preserve"> (see TS 38.321 [3]).</w:t>
            </w:r>
          </w:p>
        </w:tc>
      </w:tr>
      <w:tr w:rsidR="00394471" w:rsidRPr="00FA0D37" w14:paraId="7838809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BDDABF" w14:textId="77777777" w:rsidR="00394471" w:rsidRPr="00FA0D37" w:rsidRDefault="00394471" w:rsidP="00964CC4">
            <w:pPr>
              <w:pStyle w:val="TAL"/>
              <w:rPr>
                <w:b/>
                <w:bCs/>
                <w:i/>
                <w:iCs/>
                <w:lang w:eastAsia="zh-CN"/>
              </w:rPr>
            </w:pPr>
            <w:r w:rsidRPr="00FA0D37">
              <w:rPr>
                <w:b/>
                <w:bCs/>
                <w:i/>
                <w:iCs/>
                <w:lang w:eastAsia="zh-CN"/>
              </w:rPr>
              <w:t>ul-PrioritizationThres</w:t>
            </w:r>
          </w:p>
          <w:p w14:paraId="287DABE7" w14:textId="310605DF" w:rsidR="00394471" w:rsidRPr="00FA0D37" w:rsidRDefault="00394471" w:rsidP="00964CC4">
            <w:pPr>
              <w:pStyle w:val="TAL"/>
              <w:rPr>
                <w:bCs/>
                <w:noProof/>
                <w:lang w:eastAsia="en-GB"/>
              </w:rPr>
            </w:pPr>
            <w:r w:rsidRPr="00FA0D37">
              <w:rPr>
                <w:lang w:eastAsia="zh-CN"/>
              </w:rPr>
              <w:t xml:space="preserve">Indicates the UL priority threshold, which is used to determine whether SL TX is prioritized over UL TX, </w:t>
            </w:r>
            <w:r w:rsidRPr="00FA0D37">
              <w:rPr>
                <w:lang w:eastAsia="en-GB"/>
              </w:rPr>
              <w:t>as specified in TS 38.321 [3].</w:t>
            </w:r>
            <w:r w:rsidR="00A105BD" w:rsidRPr="00FA0D37">
              <w:rPr>
                <w:lang w:eastAsia="en-GB"/>
              </w:rPr>
              <w:t xml:space="preserve"> Network does not configure the </w:t>
            </w:r>
            <w:r w:rsidR="00A105BD" w:rsidRPr="00FA0D37">
              <w:rPr>
                <w:i/>
                <w:lang w:eastAsia="en-GB"/>
              </w:rPr>
              <w:t>sl-PrioritizationThres</w:t>
            </w:r>
            <w:r w:rsidR="00A105BD" w:rsidRPr="00FA0D37">
              <w:rPr>
                <w:lang w:eastAsia="en-GB"/>
              </w:rPr>
              <w:t xml:space="preserve"> and the </w:t>
            </w:r>
            <w:r w:rsidR="00A105BD" w:rsidRPr="00FA0D37">
              <w:rPr>
                <w:i/>
                <w:lang w:eastAsia="en-GB"/>
              </w:rPr>
              <w:t>ul-PrioritizationThres</w:t>
            </w:r>
            <w:r w:rsidR="00A105BD" w:rsidRPr="00FA0D37">
              <w:rPr>
                <w:lang w:eastAsia="en-GB"/>
              </w:rPr>
              <w:t xml:space="preserve"> to the UE separately.</w:t>
            </w:r>
          </w:p>
        </w:tc>
      </w:tr>
    </w:tbl>
    <w:p w14:paraId="2AA9886E" w14:textId="77777777" w:rsidR="00394471" w:rsidRPr="00FA0D37" w:rsidRDefault="00394471" w:rsidP="00394471"/>
    <w:p w14:paraId="44E3B5B5" w14:textId="2E37659B" w:rsidR="00394471" w:rsidRPr="00FA0D37" w:rsidRDefault="00394471" w:rsidP="00394471">
      <w:pPr>
        <w:pStyle w:val="4"/>
        <w:rPr>
          <w:i/>
          <w:iCs/>
        </w:rPr>
      </w:pPr>
      <w:bookmarkStart w:id="1839" w:name="_Toc60777556"/>
      <w:bookmarkStart w:id="1840" w:name="_Toc146781685"/>
      <w:r w:rsidRPr="00FA0D37">
        <w:t>–</w:t>
      </w:r>
      <w:r w:rsidRPr="00FA0D37">
        <w:tab/>
      </w:r>
      <w:r w:rsidRPr="00FA0D37">
        <w:rPr>
          <w:i/>
          <w:iCs/>
        </w:rPr>
        <w:t>SL-ZoneConfig</w:t>
      </w:r>
      <w:bookmarkEnd w:id="1839"/>
      <w:bookmarkEnd w:id="1840"/>
    </w:p>
    <w:p w14:paraId="6EBEC11C" w14:textId="77777777" w:rsidR="00394471" w:rsidRPr="00FA0D37" w:rsidRDefault="00394471" w:rsidP="00394471">
      <w:r w:rsidRPr="00FA0D37">
        <w:t>The IE</w:t>
      </w:r>
      <w:r w:rsidRPr="00FA0D37">
        <w:rPr>
          <w:i/>
        </w:rPr>
        <w:t xml:space="preserve"> SL-ZoneConfig </w:t>
      </w:r>
      <w:r w:rsidRPr="00FA0D37">
        <w:rPr>
          <w:iCs/>
        </w:rPr>
        <w:t xml:space="preserve">is </w:t>
      </w:r>
      <w:r w:rsidRPr="00FA0D37">
        <w:rPr>
          <w:lang w:eastAsia="zh-CN"/>
        </w:rPr>
        <w:t>used to configure the zone ID related parameters</w:t>
      </w:r>
      <w:r w:rsidRPr="00FA0D37">
        <w:t>.</w:t>
      </w:r>
    </w:p>
    <w:p w14:paraId="27033FA4" w14:textId="77777777" w:rsidR="00394471" w:rsidRPr="00FA0D37" w:rsidRDefault="00394471" w:rsidP="00394471">
      <w:pPr>
        <w:pStyle w:val="TH"/>
      </w:pPr>
      <w:r w:rsidRPr="00FA0D37">
        <w:rPr>
          <w:i/>
        </w:rPr>
        <w:t xml:space="preserve">SL-ZoneConfig </w:t>
      </w:r>
      <w:r w:rsidRPr="00FA0D37">
        <w:t>information element</w:t>
      </w:r>
    </w:p>
    <w:p w14:paraId="42AD42C8" w14:textId="77777777" w:rsidR="00394471" w:rsidRPr="00FA0D37" w:rsidRDefault="00394471" w:rsidP="00FA0D37">
      <w:pPr>
        <w:pStyle w:val="PL"/>
        <w:rPr>
          <w:color w:val="808080"/>
        </w:rPr>
      </w:pPr>
      <w:r w:rsidRPr="00FA0D37">
        <w:rPr>
          <w:color w:val="808080"/>
        </w:rPr>
        <w:t>-- ASN1START</w:t>
      </w:r>
    </w:p>
    <w:p w14:paraId="0BE7C215" w14:textId="77777777" w:rsidR="00394471" w:rsidRPr="00FA0D37" w:rsidRDefault="00394471" w:rsidP="00FA0D37">
      <w:pPr>
        <w:pStyle w:val="PL"/>
        <w:rPr>
          <w:color w:val="808080"/>
        </w:rPr>
      </w:pPr>
      <w:r w:rsidRPr="00FA0D37">
        <w:rPr>
          <w:color w:val="808080"/>
        </w:rPr>
        <w:t>-- TAG-SL-ZONECONFIG-START</w:t>
      </w:r>
    </w:p>
    <w:p w14:paraId="550D67C9" w14:textId="77777777" w:rsidR="00394471" w:rsidRPr="00FA0D37" w:rsidRDefault="00394471" w:rsidP="00FA0D37">
      <w:pPr>
        <w:pStyle w:val="PL"/>
      </w:pPr>
    </w:p>
    <w:p w14:paraId="7E5360C8" w14:textId="77777777" w:rsidR="00394471" w:rsidRPr="00FA0D37" w:rsidRDefault="00394471" w:rsidP="00FA0D37">
      <w:pPr>
        <w:pStyle w:val="PL"/>
      </w:pPr>
      <w:r w:rsidRPr="00FA0D37">
        <w:t xml:space="preserve">SL-ZoneConfig-r16 ::=              </w:t>
      </w:r>
      <w:r w:rsidRPr="00FA0D37">
        <w:rPr>
          <w:color w:val="993366"/>
        </w:rPr>
        <w:t>SEQUENCE</w:t>
      </w:r>
      <w:r w:rsidRPr="00FA0D37">
        <w:t xml:space="preserve"> {</w:t>
      </w:r>
    </w:p>
    <w:p w14:paraId="5FB4E5E5" w14:textId="77777777" w:rsidR="00394471" w:rsidRPr="00FA0D37" w:rsidRDefault="00394471" w:rsidP="00FA0D37">
      <w:pPr>
        <w:pStyle w:val="PL"/>
      </w:pPr>
      <w:r w:rsidRPr="00FA0D37">
        <w:t xml:space="preserve">    sl-ZoneLength-r16                  </w:t>
      </w:r>
      <w:r w:rsidRPr="00FA0D37">
        <w:rPr>
          <w:color w:val="993366"/>
        </w:rPr>
        <w:t>ENUMERATED</w:t>
      </w:r>
      <w:r w:rsidRPr="00FA0D37">
        <w:t xml:space="preserve"> { m5, m10, m20, m30, m40, m50, spare2, spare1},</w:t>
      </w:r>
    </w:p>
    <w:p w14:paraId="39E46B2B" w14:textId="77777777" w:rsidR="00394471" w:rsidRPr="00FA0D37" w:rsidRDefault="00394471" w:rsidP="00FA0D37">
      <w:pPr>
        <w:pStyle w:val="PL"/>
      </w:pPr>
      <w:r w:rsidRPr="00FA0D37">
        <w:t xml:space="preserve">    ...</w:t>
      </w:r>
    </w:p>
    <w:p w14:paraId="0AF01675" w14:textId="77777777" w:rsidR="00394471" w:rsidRPr="00FA0D37" w:rsidRDefault="00394471" w:rsidP="00FA0D37">
      <w:pPr>
        <w:pStyle w:val="PL"/>
      </w:pPr>
      <w:r w:rsidRPr="00FA0D37">
        <w:t>}</w:t>
      </w:r>
    </w:p>
    <w:p w14:paraId="379A4512" w14:textId="77777777" w:rsidR="00394471" w:rsidRPr="00FA0D37" w:rsidRDefault="00394471" w:rsidP="00FA0D37">
      <w:pPr>
        <w:pStyle w:val="PL"/>
      </w:pPr>
    </w:p>
    <w:p w14:paraId="345890B7" w14:textId="77777777" w:rsidR="00394471" w:rsidRPr="00FA0D37" w:rsidRDefault="00394471" w:rsidP="00FA0D37">
      <w:pPr>
        <w:pStyle w:val="PL"/>
        <w:rPr>
          <w:color w:val="808080"/>
        </w:rPr>
      </w:pPr>
      <w:r w:rsidRPr="00FA0D37">
        <w:rPr>
          <w:color w:val="808080"/>
        </w:rPr>
        <w:t>-- TAG-SL-ZONECONFIG-STOP</w:t>
      </w:r>
    </w:p>
    <w:p w14:paraId="44B499C4" w14:textId="77777777" w:rsidR="00394471" w:rsidRPr="00FA0D37" w:rsidRDefault="00394471" w:rsidP="00FA0D37">
      <w:pPr>
        <w:pStyle w:val="PL"/>
        <w:rPr>
          <w:color w:val="808080"/>
        </w:rPr>
      </w:pPr>
      <w:r w:rsidRPr="00FA0D37">
        <w:rPr>
          <w:color w:val="808080"/>
        </w:rPr>
        <w:t>-- ASN1STOP</w:t>
      </w:r>
    </w:p>
    <w:p w14:paraId="5F7BD383" w14:textId="77777777" w:rsidR="00394471" w:rsidRPr="00FA0D37"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870A48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6E243B" w14:textId="77777777" w:rsidR="00394471" w:rsidRPr="00FA0D37" w:rsidRDefault="00394471" w:rsidP="00964CC4">
            <w:pPr>
              <w:pStyle w:val="TAH"/>
              <w:rPr>
                <w:b w:val="0"/>
                <w:lang w:eastAsia="sv-SE"/>
              </w:rPr>
            </w:pPr>
            <w:r w:rsidRPr="00FA0D37">
              <w:rPr>
                <w:i/>
                <w:lang w:eastAsia="sv-SE"/>
              </w:rPr>
              <w:lastRenderedPageBreak/>
              <w:t xml:space="preserve">SL-ZoneConfig </w:t>
            </w:r>
            <w:r w:rsidRPr="00FA0D37">
              <w:rPr>
                <w:lang w:eastAsia="sv-SE"/>
              </w:rPr>
              <w:t>field descriptions</w:t>
            </w:r>
          </w:p>
        </w:tc>
      </w:tr>
      <w:tr w:rsidR="00394471" w:rsidRPr="00FA0D37" w14:paraId="29ECDD5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464B89E" w14:textId="77777777" w:rsidR="00394471" w:rsidRPr="00FA0D37" w:rsidRDefault="00394471" w:rsidP="00964CC4">
            <w:pPr>
              <w:pStyle w:val="TAL"/>
              <w:rPr>
                <w:b/>
                <w:bCs/>
                <w:i/>
                <w:iCs/>
                <w:lang w:eastAsia="en-GB"/>
              </w:rPr>
            </w:pPr>
            <w:r w:rsidRPr="00FA0D37">
              <w:rPr>
                <w:b/>
                <w:bCs/>
                <w:i/>
                <w:iCs/>
                <w:lang w:eastAsia="en-GB"/>
              </w:rPr>
              <w:t>sl-ZoneLength</w:t>
            </w:r>
          </w:p>
          <w:p w14:paraId="170B5C9E" w14:textId="77777777" w:rsidR="00394471" w:rsidRPr="00FA0D37" w:rsidRDefault="00394471" w:rsidP="00964CC4">
            <w:pPr>
              <w:pStyle w:val="TAL"/>
              <w:rPr>
                <w:lang w:eastAsia="en-GB"/>
              </w:rPr>
            </w:pPr>
            <w:r w:rsidRPr="00FA0D37">
              <w:rPr>
                <w:lang w:eastAsia="en-GB"/>
              </w:rPr>
              <w:t>Indicates the length of each geographic zone.</w:t>
            </w:r>
          </w:p>
        </w:tc>
      </w:tr>
    </w:tbl>
    <w:p w14:paraId="7EF4E297" w14:textId="77777777" w:rsidR="00394471" w:rsidRPr="00FA0D37" w:rsidRDefault="00394471" w:rsidP="00394471"/>
    <w:p w14:paraId="13A5C8B3" w14:textId="39DD98F0" w:rsidR="00394471" w:rsidRPr="00FA0D37" w:rsidRDefault="00394471" w:rsidP="00394471">
      <w:pPr>
        <w:pStyle w:val="4"/>
      </w:pPr>
      <w:bookmarkStart w:id="1841" w:name="_Toc60777557"/>
      <w:bookmarkStart w:id="1842" w:name="_Toc146781686"/>
      <w:r w:rsidRPr="00FA0D37">
        <w:t>–</w:t>
      </w:r>
      <w:r w:rsidRPr="00FA0D37">
        <w:tab/>
      </w:r>
      <w:r w:rsidRPr="00FA0D37">
        <w:rPr>
          <w:i/>
          <w:iCs/>
        </w:rPr>
        <w:t>SLRB-Uu-ConfigIndex</w:t>
      </w:r>
      <w:bookmarkEnd w:id="1841"/>
      <w:bookmarkEnd w:id="1842"/>
    </w:p>
    <w:p w14:paraId="5A1128A8" w14:textId="77777777" w:rsidR="00394471" w:rsidRPr="00FA0D37" w:rsidRDefault="00394471" w:rsidP="00394471">
      <w:r w:rsidRPr="00FA0D37">
        <w:t xml:space="preserve">The IE </w:t>
      </w:r>
      <w:r w:rsidRPr="00FA0D37">
        <w:rPr>
          <w:i/>
        </w:rPr>
        <w:t xml:space="preserve">SLRB-Uu-ConfigIndex </w:t>
      </w:r>
      <w:r w:rsidRPr="00FA0D37">
        <w:t>is used to identify a sidelink DRB configuration from the network side.</w:t>
      </w:r>
    </w:p>
    <w:p w14:paraId="5F51A69F" w14:textId="77777777" w:rsidR="00394471" w:rsidRPr="00FA0D37" w:rsidRDefault="00394471" w:rsidP="00394471">
      <w:pPr>
        <w:pStyle w:val="TH"/>
        <w:rPr>
          <w:b w:val="0"/>
        </w:rPr>
      </w:pPr>
      <w:r w:rsidRPr="00FA0D37">
        <w:rPr>
          <w:i/>
          <w:iCs/>
        </w:rPr>
        <w:t>SLRB-Uu-ConfigIndex</w:t>
      </w:r>
      <w:r w:rsidRPr="00FA0D37">
        <w:t xml:space="preserve"> information element</w:t>
      </w:r>
    </w:p>
    <w:p w14:paraId="5A7209B0" w14:textId="77777777" w:rsidR="00394471" w:rsidRPr="00FA0D37" w:rsidRDefault="00394471" w:rsidP="00FA0D37">
      <w:pPr>
        <w:pStyle w:val="PL"/>
        <w:rPr>
          <w:color w:val="808080"/>
        </w:rPr>
      </w:pPr>
      <w:r w:rsidRPr="00FA0D37">
        <w:rPr>
          <w:color w:val="808080"/>
        </w:rPr>
        <w:t>-- ASN1START</w:t>
      </w:r>
    </w:p>
    <w:p w14:paraId="63EA7C4D" w14:textId="77777777" w:rsidR="00394471" w:rsidRPr="00FA0D37" w:rsidRDefault="00394471" w:rsidP="00FA0D37">
      <w:pPr>
        <w:pStyle w:val="PL"/>
        <w:rPr>
          <w:color w:val="808080"/>
        </w:rPr>
      </w:pPr>
      <w:r w:rsidRPr="00FA0D37">
        <w:rPr>
          <w:color w:val="808080"/>
        </w:rPr>
        <w:t>-- TAG-SLRB-UU-CONFIGINDEX-START</w:t>
      </w:r>
    </w:p>
    <w:p w14:paraId="35AF8E3C" w14:textId="77777777" w:rsidR="00394471" w:rsidRPr="00FA0D37" w:rsidRDefault="00394471" w:rsidP="00FA0D37">
      <w:pPr>
        <w:pStyle w:val="PL"/>
      </w:pPr>
    </w:p>
    <w:p w14:paraId="2AF05BBB" w14:textId="77777777" w:rsidR="00394471" w:rsidRPr="00FA0D37" w:rsidRDefault="00394471" w:rsidP="00FA0D37">
      <w:pPr>
        <w:pStyle w:val="PL"/>
      </w:pPr>
      <w:r w:rsidRPr="00FA0D37">
        <w:t xml:space="preserve">SLRB-Uu-ConfigIndex-r16 ::=                    </w:t>
      </w:r>
      <w:r w:rsidRPr="00FA0D37">
        <w:rPr>
          <w:color w:val="993366"/>
        </w:rPr>
        <w:t>INTEGER</w:t>
      </w:r>
      <w:r w:rsidRPr="00FA0D37">
        <w:t xml:space="preserve"> (1..maxNrofSLRB-r16)</w:t>
      </w:r>
    </w:p>
    <w:p w14:paraId="61FBD6CB" w14:textId="77777777" w:rsidR="00394471" w:rsidRPr="00FA0D37" w:rsidRDefault="00394471" w:rsidP="00FA0D37">
      <w:pPr>
        <w:pStyle w:val="PL"/>
      </w:pPr>
    </w:p>
    <w:p w14:paraId="156C1CFD" w14:textId="77777777" w:rsidR="00394471" w:rsidRPr="00FA0D37" w:rsidRDefault="00394471" w:rsidP="00FA0D37">
      <w:pPr>
        <w:pStyle w:val="PL"/>
        <w:rPr>
          <w:color w:val="808080"/>
        </w:rPr>
      </w:pPr>
      <w:r w:rsidRPr="00FA0D37">
        <w:rPr>
          <w:color w:val="808080"/>
        </w:rPr>
        <w:t>-- TAG-SLRB-UU-CONFIGINDEX-STOP</w:t>
      </w:r>
    </w:p>
    <w:p w14:paraId="6FA0D752" w14:textId="77777777" w:rsidR="00394471" w:rsidRPr="00FA0D37" w:rsidRDefault="00394471" w:rsidP="00FA0D37">
      <w:pPr>
        <w:pStyle w:val="PL"/>
        <w:rPr>
          <w:color w:val="808080"/>
        </w:rPr>
      </w:pPr>
      <w:r w:rsidRPr="00FA0D37">
        <w:rPr>
          <w:color w:val="808080"/>
        </w:rPr>
        <w:t>-- ASN1STOP</w:t>
      </w:r>
    </w:p>
    <w:p w14:paraId="08715496" w14:textId="5A804AA0" w:rsidR="00394471" w:rsidRPr="00FA0D37" w:rsidRDefault="00394471" w:rsidP="00394471"/>
    <w:p w14:paraId="06C90BF7" w14:textId="2392F316" w:rsidR="00807B1C" w:rsidRPr="00FA0D37" w:rsidRDefault="00807B1C" w:rsidP="00807B1C">
      <w:pPr>
        <w:pStyle w:val="3"/>
      </w:pPr>
      <w:bookmarkStart w:id="1843" w:name="_Toc146781687"/>
      <w:r w:rsidRPr="00FA0D37">
        <w:t>6.3.</w:t>
      </w:r>
      <w:r w:rsidR="0064192E" w:rsidRPr="00FA0D37">
        <w:rPr>
          <w:lang w:eastAsia="zh-CN"/>
        </w:rPr>
        <w:t>6</w:t>
      </w:r>
      <w:r w:rsidRPr="00FA0D37">
        <w:tab/>
        <w:t>MBS information elements</w:t>
      </w:r>
      <w:bookmarkEnd w:id="1843"/>
    </w:p>
    <w:p w14:paraId="69DCB4EE" w14:textId="321112F2" w:rsidR="00807B1C" w:rsidRPr="00FA0D37" w:rsidRDefault="00807B1C" w:rsidP="00807B1C">
      <w:pPr>
        <w:pStyle w:val="4"/>
      </w:pPr>
      <w:bookmarkStart w:id="1844" w:name="_Toc146781688"/>
      <w:r w:rsidRPr="00FA0D37">
        <w:t>–</w:t>
      </w:r>
      <w:r w:rsidRPr="00FA0D37">
        <w:tab/>
      </w:r>
      <w:r w:rsidRPr="00FA0D37">
        <w:rPr>
          <w:i/>
          <w:iCs/>
        </w:rPr>
        <w:t>CarrierFreqListMBS</w:t>
      </w:r>
      <w:bookmarkEnd w:id="1844"/>
    </w:p>
    <w:p w14:paraId="53160320" w14:textId="5737030B" w:rsidR="00807B1C" w:rsidRPr="00FA0D37" w:rsidRDefault="00807B1C" w:rsidP="00807B1C">
      <w:r w:rsidRPr="00FA0D37">
        <w:t xml:space="preserve">The IE </w:t>
      </w:r>
      <w:r w:rsidRPr="00FA0D37">
        <w:rPr>
          <w:i/>
          <w:lang w:eastAsia="zh-CN"/>
        </w:rPr>
        <w:t xml:space="preserve">CarrierFreqListMBS </w:t>
      </w:r>
      <w:r w:rsidRPr="00FA0D37">
        <w:t xml:space="preserve">is used to inform network of the frequencies </w:t>
      </w:r>
      <w:r w:rsidRPr="00FA0D37">
        <w:rPr>
          <w:lang w:eastAsia="zh-CN"/>
        </w:rPr>
        <w:t xml:space="preserve">on which the UE is receiving or interested to receive MBS broadcast service via a </w:t>
      </w:r>
      <w:r w:rsidRPr="00FA0D37">
        <w:rPr>
          <w:lang w:eastAsia="en-GB"/>
        </w:rPr>
        <w:t>broadcast</w:t>
      </w:r>
      <w:r w:rsidRPr="00FA0D37">
        <w:rPr>
          <w:lang w:eastAsia="zh-CN"/>
        </w:rPr>
        <w:t xml:space="preserve"> MRB</w:t>
      </w:r>
      <w:r w:rsidR="00280BA7" w:rsidRPr="00FA0D37">
        <w:rPr>
          <w:lang w:eastAsia="zh-CN"/>
        </w:rPr>
        <w:t>.</w:t>
      </w:r>
    </w:p>
    <w:p w14:paraId="0E82B559" w14:textId="77777777" w:rsidR="00807B1C" w:rsidRPr="00FA0D37" w:rsidRDefault="00807B1C" w:rsidP="00807B1C">
      <w:pPr>
        <w:pStyle w:val="TH"/>
        <w:rPr>
          <w:bCs/>
          <w:i/>
          <w:iCs/>
        </w:rPr>
      </w:pPr>
      <w:r w:rsidRPr="00FA0D37">
        <w:rPr>
          <w:i/>
          <w:iCs/>
        </w:rPr>
        <w:t>CarrierFreqListMBS</w:t>
      </w:r>
      <w:r w:rsidRPr="00FA0D37">
        <w:rPr>
          <w:bCs/>
          <w:i/>
          <w:iCs/>
        </w:rPr>
        <w:t xml:space="preserve"> </w:t>
      </w:r>
      <w:r w:rsidRPr="00FA0D37">
        <w:t>information element</w:t>
      </w:r>
    </w:p>
    <w:p w14:paraId="4773DF30" w14:textId="77777777" w:rsidR="00807B1C" w:rsidRPr="00FA0D37" w:rsidRDefault="00807B1C" w:rsidP="00FA0D37">
      <w:pPr>
        <w:pStyle w:val="PL"/>
        <w:rPr>
          <w:color w:val="808080"/>
        </w:rPr>
      </w:pPr>
      <w:r w:rsidRPr="00FA0D37">
        <w:rPr>
          <w:color w:val="808080"/>
        </w:rPr>
        <w:t>-- ASN1START</w:t>
      </w:r>
    </w:p>
    <w:p w14:paraId="434615B2" w14:textId="7A23892C" w:rsidR="00807B1C" w:rsidRPr="00FA0D37" w:rsidRDefault="00807B1C" w:rsidP="00FA0D37">
      <w:pPr>
        <w:pStyle w:val="PL"/>
        <w:rPr>
          <w:color w:val="808080"/>
        </w:rPr>
      </w:pPr>
      <w:r w:rsidRPr="00FA0D37">
        <w:rPr>
          <w:color w:val="808080"/>
        </w:rPr>
        <w:t>-- TAG-CARRIERFREQLISTMBS-START</w:t>
      </w:r>
    </w:p>
    <w:p w14:paraId="40524D01" w14:textId="77777777" w:rsidR="00807B1C" w:rsidRPr="00FA0D37" w:rsidRDefault="00807B1C" w:rsidP="00FA0D37">
      <w:pPr>
        <w:pStyle w:val="PL"/>
      </w:pPr>
    </w:p>
    <w:p w14:paraId="72BB1EA9" w14:textId="77777777" w:rsidR="00807B1C" w:rsidRPr="00FA0D37" w:rsidRDefault="00807B1C" w:rsidP="00FA0D37">
      <w:pPr>
        <w:pStyle w:val="PL"/>
      </w:pPr>
      <w:r w:rsidRPr="00FA0D37">
        <w:t xml:space="preserve">CarrierFreqListMBS-r17 ::=      </w:t>
      </w:r>
      <w:r w:rsidRPr="00FA0D37">
        <w:rPr>
          <w:color w:val="993366"/>
        </w:rPr>
        <w:t>SEQUENCE</w:t>
      </w:r>
      <w:r w:rsidRPr="00FA0D37">
        <w:t xml:space="preserve"> (</w:t>
      </w:r>
      <w:r w:rsidRPr="00FA0D37">
        <w:rPr>
          <w:color w:val="993366"/>
        </w:rPr>
        <w:t>SIZE</w:t>
      </w:r>
      <w:r w:rsidRPr="00FA0D37">
        <w:t xml:space="preserve"> (1..maxFreqMBS-r17))</w:t>
      </w:r>
      <w:r w:rsidRPr="00FA0D37">
        <w:rPr>
          <w:color w:val="993366"/>
        </w:rPr>
        <w:t xml:space="preserve"> OF</w:t>
      </w:r>
      <w:r w:rsidRPr="00FA0D37">
        <w:t xml:space="preserve"> ARFCN-ValueNR</w:t>
      </w:r>
    </w:p>
    <w:p w14:paraId="0F9420CD" w14:textId="77777777" w:rsidR="00807B1C" w:rsidRPr="00FA0D37" w:rsidRDefault="00807B1C" w:rsidP="00FA0D37">
      <w:pPr>
        <w:pStyle w:val="PL"/>
      </w:pPr>
    </w:p>
    <w:p w14:paraId="40BAFF10" w14:textId="77777777" w:rsidR="00807B1C" w:rsidRPr="00FA0D37" w:rsidRDefault="00807B1C" w:rsidP="00FA0D37">
      <w:pPr>
        <w:pStyle w:val="PL"/>
        <w:rPr>
          <w:color w:val="808080"/>
        </w:rPr>
      </w:pPr>
      <w:r w:rsidRPr="00FA0D37">
        <w:rPr>
          <w:color w:val="808080"/>
        </w:rPr>
        <w:t>-- TAG-CARRIERFREQLISTMBS-STOP</w:t>
      </w:r>
    </w:p>
    <w:p w14:paraId="60D7D131" w14:textId="77777777" w:rsidR="00807B1C" w:rsidRPr="00FA0D37" w:rsidRDefault="00807B1C" w:rsidP="00FA0D37">
      <w:pPr>
        <w:pStyle w:val="PL"/>
        <w:rPr>
          <w:color w:val="808080"/>
        </w:rPr>
      </w:pPr>
      <w:r w:rsidRPr="00FA0D37">
        <w:rPr>
          <w:color w:val="808080"/>
        </w:rPr>
        <w:t>-- ASN1STOP</w:t>
      </w:r>
    </w:p>
    <w:p w14:paraId="52813079" w14:textId="77777777" w:rsidR="00807B1C" w:rsidRPr="00FA0D37" w:rsidRDefault="00807B1C" w:rsidP="00807B1C"/>
    <w:p w14:paraId="412D6C78" w14:textId="5BBBD664" w:rsidR="00807B1C" w:rsidRPr="00FA0D37" w:rsidRDefault="00807B1C" w:rsidP="00807B1C">
      <w:pPr>
        <w:pStyle w:val="4"/>
      </w:pPr>
      <w:bookmarkStart w:id="1845" w:name="_Toc146781689"/>
      <w:r w:rsidRPr="00FA0D37">
        <w:t>–</w:t>
      </w:r>
      <w:r w:rsidRPr="00FA0D37">
        <w:tab/>
      </w:r>
      <w:r w:rsidRPr="00FA0D37">
        <w:rPr>
          <w:i/>
        </w:rPr>
        <w:t>CFR-</w:t>
      </w:r>
      <w:r w:rsidRPr="00FA0D37">
        <w:rPr>
          <w:i/>
          <w:iCs/>
        </w:rPr>
        <w:t>ConfigMCCH</w:t>
      </w:r>
      <w:r w:rsidRPr="00FA0D37">
        <w:rPr>
          <w:i/>
        </w:rPr>
        <w:t>-MTCH</w:t>
      </w:r>
      <w:bookmarkEnd w:id="1845"/>
    </w:p>
    <w:p w14:paraId="06A7219F" w14:textId="77777777" w:rsidR="00807B1C" w:rsidRPr="00FA0D37" w:rsidRDefault="00807B1C" w:rsidP="00807B1C">
      <w:r w:rsidRPr="00FA0D37">
        <w:t xml:space="preserve">The IE </w:t>
      </w:r>
      <w:r w:rsidRPr="00FA0D37">
        <w:rPr>
          <w:i/>
          <w:lang w:eastAsia="zh-CN"/>
        </w:rPr>
        <w:t xml:space="preserve">CFR-ConfigMCCH-MTCH </w:t>
      </w:r>
      <w:r w:rsidRPr="00FA0D37">
        <w:t>is used to configure the common frequency resource used for MCCH and MTCH reception.</w:t>
      </w:r>
    </w:p>
    <w:p w14:paraId="54C18510" w14:textId="77777777" w:rsidR="00807B1C" w:rsidRPr="00FA0D37" w:rsidRDefault="00807B1C" w:rsidP="00807B1C">
      <w:pPr>
        <w:pStyle w:val="TH"/>
        <w:rPr>
          <w:bCs/>
          <w:i/>
          <w:iCs/>
        </w:rPr>
      </w:pPr>
      <w:r w:rsidRPr="00FA0D37">
        <w:rPr>
          <w:bCs/>
          <w:i/>
          <w:iCs/>
          <w:lang w:eastAsia="zh-CN"/>
        </w:rPr>
        <w:t>CFR-</w:t>
      </w:r>
      <w:r w:rsidRPr="00FA0D37">
        <w:rPr>
          <w:i/>
          <w:iCs/>
        </w:rPr>
        <w:t>ConfigMCCH</w:t>
      </w:r>
      <w:r w:rsidRPr="00FA0D37">
        <w:rPr>
          <w:bCs/>
          <w:i/>
          <w:iCs/>
          <w:lang w:eastAsia="zh-CN"/>
        </w:rPr>
        <w:t>-MTCH</w:t>
      </w:r>
      <w:r w:rsidRPr="00FA0D37">
        <w:rPr>
          <w:bCs/>
          <w:i/>
          <w:iCs/>
        </w:rPr>
        <w:t xml:space="preserve"> </w:t>
      </w:r>
      <w:r w:rsidRPr="00FA0D37">
        <w:t>information element</w:t>
      </w:r>
    </w:p>
    <w:p w14:paraId="1F1A8869" w14:textId="77777777" w:rsidR="00807B1C" w:rsidRPr="00FA0D37" w:rsidRDefault="00807B1C" w:rsidP="00FA0D37">
      <w:pPr>
        <w:pStyle w:val="PL"/>
        <w:rPr>
          <w:color w:val="808080"/>
        </w:rPr>
      </w:pPr>
      <w:r w:rsidRPr="00FA0D37">
        <w:rPr>
          <w:color w:val="808080"/>
        </w:rPr>
        <w:t>-- ASN1START</w:t>
      </w:r>
    </w:p>
    <w:p w14:paraId="57EFF691" w14:textId="1A08966B" w:rsidR="00807B1C" w:rsidRPr="00FA0D37" w:rsidRDefault="00807B1C" w:rsidP="00FA0D37">
      <w:pPr>
        <w:pStyle w:val="PL"/>
        <w:rPr>
          <w:color w:val="808080"/>
        </w:rPr>
      </w:pPr>
      <w:r w:rsidRPr="00FA0D37">
        <w:rPr>
          <w:color w:val="808080"/>
        </w:rPr>
        <w:t>-- TAG-CFR</w:t>
      </w:r>
      <w:r w:rsidR="00280BA7" w:rsidRPr="00FA0D37">
        <w:rPr>
          <w:color w:val="808080"/>
        </w:rPr>
        <w:t>-</w:t>
      </w:r>
      <w:r w:rsidRPr="00FA0D37">
        <w:rPr>
          <w:color w:val="808080"/>
        </w:rPr>
        <w:t>CONFIGMCCH</w:t>
      </w:r>
      <w:r w:rsidR="00280BA7" w:rsidRPr="00FA0D37">
        <w:rPr>
          <w:color w:val="808080"/>
        </w:rPr>
        <w:t>-</w:t>
      </w:r>
      <w:r w:rsidRPr="00FA0D37">
        <w:rPr>
          <w:color w:val="808080"/>
        </w:rPr>
        <w:t>MTCH-START</w:t>
      </w:r>
    </w:p>
    <w:p w14:paraId="2BD2EB06" w14:textId="77777777" w:rsidR="00807B1C" w:rsidRPr="00FA0D37" w:rsidRDefault="00807B1C" w:rsidP="00FA0D37">
      <w:pPr>
        <w:pStyle w:val="PL"/>
      </w:pPr>
    </w:p>
    <w:p w14:paraId="558F108E" w14:textId="2F266015" w:rsidR="00807B1C" w:rsidRPr="00FA0D37" w:rsidRDefault="00807B1C" w:rsidP="00FA0D37">
      <w:pPr>
        <w:pStyle w:val="PL"/>
      </w:pPr>
      <w:r w:rsidRPr="00FA0D37">
        <w:lastRenderedPageBreak/>
        <w:t>CFR-ConfigMCCH-MTCH-r17</w:t>
      </w:r>
      <w:r w:rsidR="00280BA7" w:rsidRPr="00FA0D37">
        <w:t xml:space="preserve"> </w:t>
      </w:r>
      <w:r w:rsidRPr="00FA0D37">
        <w:t xml:space="preserve">::= </w:t>
      </w:r>
      <w:r w:rsidRPr="00FA0D37">
        <w:rPr>
          <w:color w:val="993366"/>
        </w:rPr>
        <w:t>SEQUENCE</w:t>
      </w:r>
      <w:r w:rsidRPr="00FA0D37">
        <w:t xml:space="preserve"> {</w:t>
      </w:r>
    </w:p>
    <w:p w14:paraId="6C7B0D72" w14:textId="6E9978B3" w:rsidR="00807B1C" w:rsidRPr="00FA0D37" w:rsidRDefault="00807B1C" w:rsidP="00FA0D37">
      <w:pPr>
        <w:pStyle w:val="PL"/>
        <w:rPr>
          <w:color w:val="808080"/>
        </w:rPr>
      </w:pPr>
      <w:r w:rsidRPr="00FA0D37">
        <w:t xml:space="preserve">    locationAndBandwidthBroadcast-r17          LocationAndBandwidthBroadcast-r17</w:t>
      </w:r>
      <w:r w:rsidR="00280BA7" w:rsidRPr="00FA0D37">
        <w:t xml:space="preserve">  </w:t>
      </w:r>
      <w:r w:rsidR="00280BA7" w:rsidRPr="00FA0D37">
        <w:rPr>
          <w:color w:val="993366"/>
        </w:rPr>
        <w:t>OPTIONAL</w:t>
      </w:r>
      <w:r w:rsidRPr="00FA0D37">
        <w:t>,</w:t>
      </w:r>
      <w:r w:rsidR="00280BA7" w:rsidRPr="00FA0D37">
        <w:t xml:space="preserve">  </w:t>
      </w:r>
      <w:r w:rsidR="00280BA7" w:rsidRPr="00FA0D37">
        <w:rPr>
          <w:color w:val="808080"/>
        </w:rPr>
        <w:t>-- Need S</w:t>
      </w:r>
    </w:p>
    <w:p w14:paraId="47BFC3E7" w14:textId="154029D8" w:rsidR="00807B1C" w:rsidRPr="00FA0D37" w:rsidRDefault="00807B1C" w:rsidP="00FA0D37">
      <w:pPr>
        <w:pStyle w:val="PL"/>
        <w:rPr>
          <w:color w:val="808080"/>
        </w:rPr>
      </w:pPr>
      <w:r w:rsidRPr="00FA0D37">
        <w:t xml:space="preserve">    pdsch-ConfigMCCH-r17                       PDSCH-ConfigBroadcast-r17</w:t>
      </w:r>
      <w:r w:rsidR="00280BA7" w:rsidRPr="00FA0D37">
        <w:t xml:space="preserve">          </w:t>
      </w:r>
      <w:r w:rsidR="00280BA7" w:rsidRPr="00FA0D37">
        <w:rPr>
          <w:color w:val="993366"/>
        </w:rPr>
        <w:t>OPTIONAL</w:t>
      </w:r>
      <w:r w:rsidRPr="00FA0D37">
        <w:t>,</w:t>
      </w:r>
      <w:r w:rsidR="00280BA7" w:rsidRPr="00FA0D37">
        <w:t xml:space="preserve">  </w:t>
      </w:r>
      <w:r w:rsidR="00280BA7" w:rsidRPr="00FA0D37">
        <w:rPr>
          <w:color w:val="808080"/>
        </w:rPr>
        <w:t>-- Need S</w:t>
      </w:r>
    </w:p>
    <w:p w14:paraId="22CB4791" w14:textId="77777777" w:rsidR="00807B1C" w:rsidRPr="00FA0D37" w:rsidRDefault="00807B1C" w:rsidP="00FA0D37">
      <w:pPr>
        <w:pStyle w:val="PL"/>
        <w:rPr>
          <w:color w:val="808080"/>
        </w:rPr>
      </w:pPr>
      <w:r w:rsidRPr="00FA0D37">
        <w:t xml:space="preserve">    commonControlResourceSetExt-r17            ControlResourceSet                 </w:t>
      </w:r>
      <w:r w:rsidRPr="00FA0D37">
        <w:rPr>
          <w:color w:val="993366"/>
        </w:rPr>
        <w:t>OPTIONAL</w:t>
      </w:r>
      <w:r w:rsidRPr="00FA0D37">
        <w:t xml:space="preserve">   </w:t>
      </w:r>
      <w:r w:rsidRPr="00FA0D37">
        <w:rPr>
          <w:color w:val="808080"/>
        </w:rPr>
        <w:t>-- Cond NotSIB1CommonControlResource</w:t>
      </w:r>
    </w:p>
    <w:p w14:paraId="6B854690" w14:textId="77777777" w:rsidR="00807B1C" w:rsidRPr="00FA0D37" w:rsidRDefault="00807B1C" w:rsidP="00FA0D37">
      <w:pPr>
        <w:pStyle w:val="PL"/>
      </w:pPr>
      <w:r w:rsidRPr="00FA0D37">
        <w:t>}</w:t>
      </w:r>
    </w:p>
    <w:p w14:paraId="72F0E7B0" w14:textId="77777777" w:rsidR="00807B1C" w:rsidRPr="00FA0D37" w:rsidRDefault="00807B1C" w:rsidP="00FA0D37">
      <w:pPr>
        <w:pStyle w:val="PL"/>
      </w:pPr>
    </w:p>
    <w:p w14:paraId="1EF54200" w14:textId="29F89BA3" w:rsidR="00807B1C" w:rsidRPr="00FA0D37" w:rsidRDefault="00807B1C" w:rsidP="00FA0D37">
      <w:pPr>
        <w:pStyle w:val="PL"/>
      </w:pPr>
      <w:r w:rsidRPr="00FA0D37">
        <w:t>LocationAndBandwidthBroadcast-r17</w:t>
      </w:r>
      <w:r w:rsidR="00280BA7" w:rsidRPr="00FA0D37">
        <w:t xml:space="preserve"> </w:t>
      </w:r>
      <w:r w:rsidRPr="00FA0D37">
        <w:t xml:space="preserve">::= </w:t>
      </w:r>
      <w:r w:rsidRPr="00FA0D37">
        <w:rPr>
          <w:color w:val="993366"/>
        </w:rPr>
        <w:t>CHOICE</w:t>
      </w:r>
      <w:r w:rsidRPr="00FA0D37">
        <w:t xml:space="preserve"> {</w:t>
      </w:r>
    </w:p>
    <w:p w14:paraId="73368959" w14:textId="478CDF48" w:rsidR="00807B1C" w:rsidRPr="00FA0D37" w:rsidRDefault="00807B1C" w:rsidP="00FA0D37">
      <w:pPr>
        <w:pStyle w:val="PL"/>
      </w:pPr>
      <w:r w:rsidRPr="00FA0D37">
        <w:t xml:space="preserve">    sameAsSib1ConfiguredLocationAndBW      </w:t>
      </w:r>
      <w:r w:rsidR="00853B2B" w:rsidRPr="00FA0D37">
        <w:t xml:space="preserve">    </w:t>
      </w:r>
      <w:r w:rsidRPr="00FA0D37">
        <w:rPr>
          <w:color w:val="993366"/>
        </w:rPr>
        <w:t>NULL</w:t>
      </w:r>
      <w:r w:rsidRPr="00FA0D37">
        <w:t>,</w:t>
      </w:r>
    </w:p>
    <w:p w14:paraId="0E400476" w14:textId="025EABA5" w:rsidR="00807B1C" w:rsidRPr="00FA0D37" w:rsidRDefault="00807B1C" w:rsidP="00FA0D37">
      <w:pPr>
        <w:pStyle w:val="PL"/>
      </w:pPr>
      <w:r w:rsidRPr="00FA0D37">
        <w:t xml:space="preserve">    locationAndBandwidth                   </w:t>
      </w:r>
      <w:r w:rsidR="00853B2B" w:rsidRPr="00FA0D37">
        <w:t xml:space="preserve">    </w:t>
      </w:r>
      <w:r w:rsidRPr="00FA0D37">
        <w:rPr>
          <w:color w:val="993366"/>
        </w:rPr>
        <w:t>INTEGER</w:t>
      </w:r>
      <w:r w:rsidRPr="00FA0D37">
        <w:t xml:space="preserve"> (0..37949)</w:t>
      </w:r>
    </w:p>
    <w:p w14:paraId="48F7D059" w14:textId="77777777" w:rsidR="00807B1C" w:rsidRPr="00FA0D37" w:rsidRDefault="00807B1C" w:rsidP="00FA0D37">
      <w:pPr>
        <w:pStyle w:val="PL"/>
      </w:pPr>
      <w:r w:rsidRPr="00FA0D37">
        <w:t>}</w:t>
      </w:r>
    </w:p>
    <w:p w14:paraId="6600C9FC" w14:textId="77777777" w:rsidR="00807B1C" w:rsidRPr="00FA0D37" w:rsidRDefault="00807B1C" w:rsidP="00FA0D37">
      <w:pPr>
        <w:pStyle w:val="PL"/>
      </w:pPr>
    </w:p>
    <w:p w14:paraId="4751B8B7" w14:textId="2FA7F899" w:rsidR="00807B1C" w:rsidRPr="00FA0D37" w:rsidRDefault="00807B1C" w:rsidP="00FA0D37">
      <w:pPr>
        <w:pStyle w:val="PL"/>
        <w:rPr>
          <w:color w:val="808080"/>
        </w:rPr>
      </w:pPr>
      <w:r w:rsidRPr="00FA0D37">
        <w:rPr>
          <w:color w:val="808080"/>
        </w:rPr>
        <w:t>-- TAG-CFR</w:t>
      </w:r>
      <w:r w:rsidR="00280BA7" w:rsidRPr="00FA0D37">
        <w:rPr>
          <w:color w:val="808080"/>
        </w:rPr>
        <w:t>-</w:t>
      </w:r>
      <w:r w:rsidRPr="00FA0D37">
        <w:rPr>
          <w:color w:val="808080"/>
        </w:rPr>
        <w:t>CONFIGMCCH</w:t>
      </w:r>
      <w:r w:rsidR="00280BA7" w:rsidRPr="00FA0D37">
        <w:rPr>
          <w:color w:val="808080"/>
        </w:rPr>
        <w:t>-</w:t>
      </w:r>
      <w:r w:rsidRPr="00FA0D37">
        <w:rPr>
          <w:color w:val="808080"/>
        </w:rPr>
        <w:t>MTCH-STOP</w:t>
      </w:r>
    </w:p>
    <w:p w14:paraId="25281B19" w14:textId="77777777" w:rsidR="00807B1C" w:rsidRPr="00FA0D37" w:rsidRDefault="00807B1C" w:rsidP="00FA0D37">
      <w:pPr>
        <w:pStyle w:val="PL"/>
        <w:rPr>
          <w:color w:val="808080"/>
        </w:rPr>
      </w:pPr>
      <w:r w:rsidRPr="00FA0D37">
        <w:rPr>
          <w:color w:val="808080"/>
        </w:rPr>
        <w:t>-- ASN1STOP</w:t>
      </w:r>
    </w:p>
    <w:p w14:paraId="0EA46706" w14:textId="77777777" w:rsidR="00807B1C" w:rsidRPr="00FA0D37" w:rsidRDefault="00807B1C" w:rsidP="000830BB"/>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5C7FF4" w:rsidRPr="00FA0D37" w14:paraId="2F6A6A7C" w14:textId="77777777" w:rsidTr="00771058">
        <w:trPr>
          <w:cantSplit/>
          <w:tblHeader/>
        </w:trPr>
        <w:tc>
          <w:tcPr>
            <w:tcW w:w="14204" w:type="dxa"/>
          </w:tcPr>
          <w:p w14:paraId="54111BF5" w14:textId="77777777" w:rsidR="00807B1C" w:rsidRPr="00FA0D37" w:rsidRDefault="00807B1C" w:rsidP="00771058">
            <w:pPr>
              <w:pStyle w:val="TAH"/>
              <w:rPr>
                <w:b w:val="0"/>
                <w:lang w:eastAsia="zh-CN"/>
              </w:rPr>
            </w:pPr>
            <w:r w:rsidRPr="00FA0D37">
              <w:rPr>
                <w:i/>
                <w:iCs/>
                <w:lang w:eastAsia="zh-CN"/>
              </w:rPr>
              <w:t>CFR-</w:t>
            </w:r>
            <w:r w:rsidRPr="00FA0D37">
              <w:rPr>
                <w:i/>
                <w:lang w:eastAsia="sv-SE"/>
              </w:rPr>
              <w:t>ConfigMCCH</w:t>
            </w:r>
            <w:r w:rsidRPr="00FA0D37">
              <w:rPr>
                <w:i/>
                <w:iCs/>
                <w:lang w:eastAsia="zh-CN"/>
              </w:rPr>
              <w:t xml:space="preserve">-MTCH </w:t>
            </w:r>
            <w:r w:rsidRPr="00FA0D37">
              <w:rPr>
                <w:iCs/>
                <w:lang w:eastAsia="zh-CN"/>
              </w:rPr>
              <w:t>field descriptions</w:t>
            </w:r>
          </w:p>
        </w:tc>
      </w:tr>
      <w:tr w:rsidR="005C7FF4" w:rsidRPr="00FA0D37" w14:paraId="517E579C" w14:textId="77777777" w:rsidTr="00771058">
        <w:trPr>
          <w:cantSplit/>
          <w:tblHeader/>
        </w:trPr>
        <w:tc>
          <w:tcPr>
            <w:tcW w:w="14204" w:type="dxa"/>
          </w:tcPr>
          <w:p w14:paraId="2083E0C7" w14:textId="50055F8F" w:rsidR="00807B1C" w:rsidRPr="00FA0D37" w:rsidRDefault="00807B1C" w:rsidP="00771058">
            <w:pPr>
              <w:pStyle w:val="TAL"/>
              <w:rPr>
                <w:b/>
                <w:bCs/>
                <w:i/>
              </w:rPr>
            </w:pPr>
            <w:r w:rsidRPr="00FA0D37">
              <w:rPr>
                <w:b/>
                <w:bCs/>
                <w:i/>
                <w:iCs/>
                <w:lang w:eastAsia="en-GB"/>
              </w:rPr>
              <w:t>commonControlResourceSetExt</w:t>
            </w:r>
          </w:p>
          <w:p w14:paraId="7E5301F0" w14:textId="75343AD1" w:rsidR="00807B1C" w:rsidRPr="00FA0D37" w:rsidRDefault="00807B1C" w:rsidP="00771058">
            <w:pPr>
              <w:pStyle w:val="TAL"/>
              <w:rPr>
                <w:lang w:eastAsia="en-GB"/>
              </w:rPr>
            </w:pPr>
            <w:r w:rsidRPr="00FA0D37">
              <w:rPr>
                <w:rFonts w:eastAsia="宋体"/>
                <w:szCs w:val="22"/>
                <w:lang w:eastAsia="sv-SE"/>
              </w:rPr>
              <w:t xml:space="preserve">An additional common control resource set which may be configured and used for </w:t>
            </w:r>
            <w:r w:rsidRPr="00FA0D37">
              <w:rPr>
                <w:i/>
              </w:rPr>
              <w:t>searchSpaceMCCH</w:t>
            </w:r>
            <w:r w:rsidRPr="00FA0D37">
              <w:t>/</w:t>
            </w:r>
            <w:r w:rsidRPr="00FA0D37">
              <w:rPr>
                <w:i/>
              </w:rPr>
              <w:t>searchSpaceMTCH</w:t>
            </w:r>
            <w:r w:rsidRPr="00FA0D37">
              <w:rPr>
                <w:rFonts w:eastAsia="宋体"/>
                <w:szCs w:val="22"/>
                <w:lang w:eastAsia="sv-SE"/>
              </w:rPr>
              <w:t xml:space="preserve"> or UE-specific search space in the BWP where </w:t>
            </w:r>
            <w:r w:rsidRPr="00FA0D37">
              <w:rPr>
                <w:i/>
              </w:rPr>
              <w:t>searchSpaceMCCH</w:t>
            </w:r>
            <w:r w:rsidRPr="00FA0D37">
              <w:t xml:space="preserve"> is configured</w:t>
            </w:r>
            <w:r w:rsidRPr="00FA0D37">
              <w:rPr>
                <w:rFonts w:eastAsia="宋体"/>
                <w:szCs w:val="22"/>
                <w:lang w:eastAsia="sv-SE"/>
              </w:rPr>
              <w:t xml:space="preserve">. It is contained in the bandwidth of </w:t>
            </w:r>
            <w:r w:rsidR="002C350C" w:rsidRPr="00FA0D37">
              <w:rPr>
                <w:rFonts w:eastAsia="宋体"/>
                <w:szCs w:val="22"/>
                <w:lang w:eastAsia="sv-SE"/>
              </w:rPr>
              <w:t>the CFR for broadcast</w:t>
            </w:r>
            <w:r w:rsidR="006740DB" w:rsidRPr="00FA0D37">
              <w:rPr>
                <w:szCs w:val="22"/>
                <w:lang w:eastAsia="sv-SE"/>
              </w:rPr>
              <w:t xml:space="preserve"> and larger than CORESET#0</w:t>
            </w:r>
            <w:r w:rsidRPr="00FA0D37">
              <w:rPr>
                <w:rFonts w:eastAsia="宋体"/>
                <w:szCs w:val="22"/>
                <w:lang w:eastAsia="sv-SE"/>
              </w:rPr>
              <w:t>.</w:t>
            </w:r>
          </w:p>
        </w:tc>
      </w:tr>
      <w:tr w:rsidR="005C7FF4" w:rsidRPr="00FA0D37" w14:paraId="118FF2E0"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76F3EC96" w14:textId="5B2E04BD" w:rsidR="00807B1C" w:rsidRPr="00FA0D37" w:rsidRDefault="00807B1C" w:rsidP="00771058">
            <w:pPr>
              <w:pStyle w:val="TAL"/>
              <w:rPr>
                <w:b/>
                <w:bCs/>
                <w:i/>
              </w:rPr>
            </w:pPr>
            <w:r w:rsidRPr="00FA0D37">
              <w:rPr>
                <w:b/>
                <w:bCs/>
                <w:i/>
                <w:iCs/>
                <w:lang w:eastAsia="en-GB"/>
              </w:rPr>
              <w:t>locationAndBandwidthBroadcast</w:t>
            </w:r>
          </w:p>
          <w:p w14:paraId="06C82C6F" w14:textId="77777777" w:rsidR="00807B1C" w:rsidRPr="00FA0D37" w:rsidRDefault="00807B1C" w:rsidP="00771058">
            <w:pPr>
              <w:pStyle w:val="TAL"/>
              <w:rPr>
                <w:lang w:eastAsia="en-GB"/>
              </w:rPr>
            </w:pPr>
            <w:r w:rsidRPr="00FA0D37">
              <w:rPr>
                <w:lang w:eastAsia="en-GB"/>
              </w:rPr>
              <w:t>Indicates starting PRB and the number of PRBs of CFR used for MCCH and MTCH reception.</w:t>
            </w:r>
          </w:p>
          <w:p w14:paraId="3E8DFD5A" w14:textId="77777777" w:rsidR="00807B1C" w:rsidRPr="00FA0D37" w:rsidRDefault="00807B1C" w:rsidP="00771058">
            <w:pPr>
              <w:pStyle w:val="TAL"/>
              <w:rPr>
                <w:lang w:eastAsia="en-GB"/>
              </w:rPr>
            </w:pPr>
            <w:r w:rsidRPr="00FA0D37">
              <w:rPr>
                <w:lang w:eastAsia="en-GB"/>
              </w:rPr>
              <w:t xml:space="preserve">Value </w:t>
            </w:r>
            <w:r w:rsidRPr="00FA0D37">
              <w:rPr>
                <w:i/>
                <w:lang w:eastAsia="en-GB"/>
              </w:rPr>
              <w:t xml:space="preserve">sameAsSib1ConfiguredLocationAndBW </w:t>
            </w:r>
            <w:r w:rsidRPr="00FA0D37">
              <w:rPr>
                <w:lang w:eastAsia="en-GB"/>
              </w:rPr>
              <w:t xml:space="preserve">means the CFR for broadcast has the same location and size as the </w:t>
            </w:r>
            <w:r w:rsidRPr="00FA0D37">
              <w:rPr>
                <w:i/>
                <w:lang w:eastAsia="en-GB"/>
              </w:rPr>
              <w:t>locationAndBandwidth</w:t>
            </w:r>
            <w:r w:rsidRPr="00FA0D37">
              <w:rPr>
                <w:lang w:eastAsia="en-GB"/>
              </w:rPr>
              <w:t xml:space="preserve"> for initial BWP configured in SIB1.</w:t>
            </w:r>
          </w:p>
          <w:p w14:paraId="484E790E" w14:textId="7A7D3B3E" w:rsidR="00853B2B" w:rsidRPr="00FA0D37" w:rsidRDefault="00807B1C" w:rsidP="00853B2B">
            <w:pPr>
              <w:pStyle w:val="TAL"/>
              <w:rPr>
                <w:lang w:eastAsia="en-GB"/>
              </w:rPr>
            </w:pPr>
            <w:r w:rsidRPr="00FA0D37">
              <w:rPr>
                <w:lang w:eastAsia="en-GB"/>
              </w:rPr>
              <w:t xml:space="preserve">Value </w:t>
            </w:r>
            <w:r w:rsidRPr="00FA0D37">
              <w:rPr>
                <w:i/>
                <w:lang w:eastAsia="en-GB"/>
              </w:rPr>
              <w:t xml:space="preserve">locationAndBandwidth </w:t>
            </w:r>
            <w:r w:rsidRPr="00FA0D37">
              <w:rPr>
                <w:lang w:eastAsia="en-GB"/>
              </w:rPr>
              <w:t xml:space="preserve">is used to configure CFR with bandwidth that is larger than </w:t>
            </w:r>
            <w:r w:rsidR="00853B2B" w:rsidRPr="00FA0D37">
              <w:rPr>
                <w:lang w:eastAsia="en-GB"/>
              </w:rPr>
              <w:t xml:space="preserve">and fully contains </w:t>
            </w:r>
            <w:r w:rsidRPr="00FA0D37">
              <w:rPr>
                <w:lang w:eastAsia="en-GB"/>
              </w:rPr>
              <w:t>the bandwidth for</w:t>
            </w:r>
            <w:r w:rsidR="00853B2B" w:rsidRPr="00FA0D37">
              <w:rPr>
                <w:lang w:eastAsia="en-GB"/>
              </w:rPr>
              <w:t xml:space="preserve"> the</w:t>
            </w:r>
            <w:r w:rsidRPr="00FA0D37">
              <w:rPr>
                <w:lang w:eastAsia="en-GB"/>
              </w:rPr>
              <w:t xml:space="preserve"> initial </w:t>
            </w:r>
            <w:r w:rsidR="00853B2B" w:rsidRPr="00FA0D37">
              <w:rPr>
                <w:lang w:eastAsia="en-GB"/>
              </w:rPr>
              <w:t xml:space="preserve">DL </w:t>
            </w:r>
            <w:r w:rsidRPr="00FA0D37">
              <w:rPr>
                <w:lang w:eastAsia="en-GB"/>
              </w:rPr>
              <w:t xml:space="preserve">BWP </w:t>
            </w:r>
            <w:r w:rsidR="006740DB" w:rsidRPr="00FA0D37">
              <w:rPr>
                <w:lang w:eastAsia="en-GB"/>
              </w:rPr>
              <w:t xml:space="preserve">configured in SIB1 </w:t>
            </w:r>
            <w:r w:rsidR="00853B2B" w:rsidRPr="00FA0D37">
              <w:rPr>
                <w:lang w:eastAsia="en-GB"/>
              </w:rPr>
              <w:t>and CORESET#0</w:t>
            </w:r>
            <w:r w:rsidRPr="00FA0D37">
              <w:rPr>
                <w:lang w:eastAsia="en-GB"/>
              </w:rPr>
              <w:t>.</w:t>
            </w:r>
            <w:r w:rsidR="00173E4B" w:rsidRPr="00FA0D37">
              <w:rPr>
                <w:rFonts w:cs="Arial"/>
                <w:szCs w:val="18"/>
                <w:lang w:eastAsia="en-GB"/>
              </w:rPr>
              <w:t xml:space="preserve"> The value of the field shall be interpreted as defined </w:t>
            </w:r>
            <w:r w:rsidR="002B2F9B" w:rsidRPr="00FA0D37">
              <w:rPr>
                <w:rFonts w:cs="Arial"/>
                <w:szCs w:val="18"/>
                <w:lang w:eastAsia="en-GB"/>
              </w:rPr>
              <w:t xml:space="preserve">in </w:t>
            </w:r>
            <w:r w:rsidR="00173E4B" w:rsidRPr="00FA0D37">
              <w:rPr>
                <w:rFonts w:cs="Arial"/>
                <w:szCs w:val="18"/>
                <w:lang w:eastAsia="en-GB"/>
              </w:rPr>
              <w:t>TS 38.214 [19] with assumptions as described in TS 38.213 [13].</w:t>
            </w:r>
          </w:p>
          <w:p w14:paraId="683D4514" w14:textId="13D8DC63" w:rsidR="00807B1C" w:rsidRPr="00FA0D37" w:rsidRDefault="00853B2B" w:rsidP="00853B2B">
            <w:pPr>
              <w:pStyle w:val="TAL"/>
              <w:rPr>
                <w:rFonts w:ascii="等线" w:eastAsia="等线" w:hAnsi="等线"/>
                <w:lang w:eastAsia="zh-CN"/>
              </w:rPr>
            </w:pPr>
            <w:r w:rsidRPr="00FA0D37">
              <w:rPr>
                <w:lang w:eastAsia="en-GB"/>
              </w:rPr>
              <w:t>If the field is absent, the CFR for broadcast has the same location and size as CORESET</w:t>
            </w:r>
            <w:r w:rsidR="002C350C" w:rsidRPr="00FA0D37">
              <w:rPr>
                <w:lang w:eastAsia="en-GB"/>
              </w:rPr>
              <w:t>#</w:t>
            </w:r>
            <w:r w:rsidRPr="00FA0D37">
              <w:rPr>
                <w:lang w:eastAsia="en-GB"/>
              </w:rPr>
              <w:t>0.</w:t>
            </w:r>
          </w:p>
        </w:tc>
      </w:tr>
      <w:tr w:rsidR="00F747EB" w:rsidRPr="00FA0D37" w14:paraId="091A322A"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3C539933" w14:textId="77777777" w:rsidR="00853B2B" w:rsidRPr="00FA0D37" w:rsidRDefault="00853B2B" w:rsidP="00853B2B">
            <w:pPr>
              <w:pStyle w:val="TAL"/>
              <w:rPr>
                <w:b/>
                <w:bCs/>
                <w:i/>
                <w:iCs/>
                <w:lang w:eastAsia="en-GB"/>
              </w:rPr>
            </w:pPr>
            <w:r w:rsidRPr="00FA0D37">
              <w:rPr>
                <w:b/>
                <w:bCs/>
                <w:i/>
                <w:iCs/>
                <w:lang w:eastAsia="en-GB"/>
              </w:rPr>
              <w:t>pdsch-ConfigMCCH</w:t>
            </w:r>
          </w:p>
          <w:p w14:paraId="733D134C" w14:textId="3D4338CC" w:rsidR="00853B2B" w:rsidRPr="00FA0D37" w:rsidRDefault="00853B2B" w:rsidP="00853B2B">
            <w:pPr>
              <w:pStyle w:val="TAL"/>
              <w:rPr>
                <w:b/>
                <w:bCs/>
                <w:i/>
                <w:iCs/>
                <w:lang w:eastAsia="en-GB"/>
              </w:rPr>
            </w:pPr>
            <w:r w:rsidRPr="00FA0D37">
              <w:rPr>
                <w:lang w:eastAsia="en-GB"/>
              </w:rPr>
              <w:t>Indicates PDSCH parameters used for MCCH transmission. If the field is absent, PDSCH parame</w:t>
            </w:r>
            <w:r w:rsidR="002C350C" w:rsidRPr="00FA0D37">
              <w:rPr>
                <w:lang w:eastAsia="en-GB"/>
              </w:rPr>
              <w:t>te</w:t>
            </w:r>
            <w:r w:rsidRPr="00FA0D37">
              <w:rPr>
                <w:lang w:eastAsia="en-GB"/>
              </w:rPr>
              <w:t xml:space="preserve">rs used for MCCH are the same as those of PDSCH configuration provided in </w:t>
            </w:r>
            <w:r w:rsidRPr="00FA0D37">
              <w:rPr>
                <w:i/>
              </w:rPr>
              <w:t>initialDownlinkBWP</w:t>
            </w:r>
            <w:r w:rsidRPr="00FA0D37">
              <w:rPr>
                <w:lang w:eastAsia="en-GB"/>
              </w:rPr>
              <w:t xml:space="preserve"> in </w:t>
            </w:r>
            <w:r w:rsidRPr="00FA0D37">
              <w:rPr>
                <w:i/>
                <w:lang w:eastAsia="en-GB"/>
              </w:rPr>
              <w:t>SIB1</w:t>
            </w:r>
            <w:r w:rsidRPr="00FA0D37">
              <w:rPr>
                <w:lang w:eastAsia="en-GB"/>
              </w:rPr>
              <w:t>.</w:t>
            </w:r>
          </w:p>
        </w:tc>
      </w:tr>
    </w:tbl>
    <w:p w14:paraId="5A653059" w14:textId="77777777" w:rsidR="00807B1C" w:rsidRPr="00FA0D37" w:rsidRDefault="00807B1C" w:rsidP="004D393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3E65B9F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6FCB047" w14:textId="77777777" w:rsidR="00807B1C" w:rsidRPr="00FA0D37" w:rsidRDefault="00807B1C" w:rsidP="00771058">
            <w:pPr>
              <w:pStyle w:val="TAH"/>
              <w:rPr>
                <w:szCs w:val="22"/>
                <w:lang w:eastAsia="sv-SE"/>
              </w:rPr>
            </w:pPr>
            <w:r w:rsidRPr="00FA0D3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038DDA" w14:textId="77777777" w:rsidR="00807B1C" w:rsidRPr="00FA0D37" w:rsidRDefault="00807B1C" w:rsidP="00771058">
            <w:pPr>
              <w:pStyle w:val="TAH"/>
              <w:rPr>
                <w:szCs w:val="22"/>
                <w:lang w:eastAsia="sv-SE"/>
              </w:rPr>
            </w:pPr>
            <w:r w:rsidRPr="00FA0D37">
              <w:rPr>
                <w:szCs w:val="22"/>
                <w:lang w:eastAsia="sv-SE"/>
              </w:rPr>
              <w:t>Explanation</w:t>
            </w:r>
          </w:p>
        </w:tc>
      </w:tr>
      <w:tr w:rsidR="00807B1C" w:rsidRPr="00FA0D37" w14:paraId="65F30ED3"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F9CF7EC" w14:textId="77777777" w:rsidR="00807B1C" w:rsidRPr="00FA0D37" w:rsidRDefault="00807B1C" w:rsidP="00771058">
            <w:pPr>
              <w:pStyle w:val="TAL"/>
              <w:rPr>
                <w:i/>
                <w:szCs w:val="22"/>
                <w:lang w:eastAsia="sv-SE"/>
              </w:rPr>
            </w:pPr>
            <w:r w:rsidRPr="00FA0D37">
              <w:rPr>
                <w:i/>
                <w:szCs w:val="22"/>
                <w:lang w:eastAsia="sv-SE"/>
              </w:rPr>
              <w:t>NotSIB1CommonControlResource</w:t>
            </w:r>
          </w:p>
        </w:tc>
        <w:tc>
          <w:tcPr>
            <w:tcW w:w="10146" w:type="dxa"/>
            <w:tcBorders>
              <w:top w:val="single" w:sz="4" w:space="0" w:color="auto"/>
              <w:left w:val="single" w:sz="4" w:space="0" w:color="auto"/>
              <w:bottom w:val="single" w:sz="4" w:space="0" w:color="auto"/>
              <w:right w:val="single" w:sz="4" w:space="0" w:color="auto"/>
            </w:tcBorders>
            <w:hideMark/>
          </w:tcPr>
          <w:p w14:paraId="23E010D9" w14:textId="77777777" w:rsidR="00807B1C" w:rsidRPr="00FA0D37" w:rsidRDefault="00807B1C" w:rsidP="00771058">
            <w:pPr>
              <w:pStyle w:val="TAL"/>
              <w:rPr>
                <w:szCs w:val="22"/>
                <w:lang w:eastAsia="sv-SE"/>
              </w:rPr>
            </w:pPr>
            <w:r w:rsidRPr="00FA0D37">
              <w:rPr>
                <w:szCs w:val="22"/>
                <w:lang w:eastAsia="sv-SE"/>
              </w:rPr>
              <w:t xml:space="preserve">The field is optional present in case </w:t>
            </w:r>
            <w:r w:rsidRPr="00FA0D37">
              <w:rPr>
                <w:i/>
              </w:rPr>
              <w:t>commonControlResourceSet</w:t>
            </w:r>
            <w:r w:rsidRPr="00FA0D37">
              <w:rPr>
                <w:szCs w:val="22"/>
                <w:lang w:eastAsia="sv-SE"/>
              </w:rPr>
              <w:t xml:space="preserve"> is not configured in SIB1, Need R, otherwise it is </w:t>
            </w:r>
            <w:r w:rsidRPr="00FA0D37">
              <w:rPr>
                <w:szCs w:val="22"/>
                <w:lang w:eastAsia="en-GB"/>
              </w:rPr>
              <w:t>absent</w:t>
            </w:r>
            <w:r w:rsidRPr="00FA0D37">
              <w:rPr>
                <w:szCs w:val="22"/>
                <w:lang w:eastAsia="sv-SE"/>
              </w:rPr>
              <w:t>.</w:t>
            </w:r>
          </w:p>
        </w:tc>
      </w:tr>
    </w:tbl>
    <w:p w14:paraId="388CA51F" w14:textId="77777777" w:rsidR="00807B1C" w:rsidRPr="00FA0D37" w:rsidRDefault="00807B1C" w:rsidP="00807B1C">
      <w:pPr>
        <w:rPr>
          <w:rFonts w:eastAsiaTheme="minorEastAsia"/>
        </w:rPr>
      </w:pPr>
    </w:p>
    <w:p w14:paraId="06A76265" w14:textId="33DCF9FC" w:rsidR="00807B1C" w:rsidRPr="00FA0D37" w:rsidRDefault="00807B1C" w:rsidP="00807B1C">
      <w:pPr>
        <w:pStyle w:val="4"/>
      </w:pPr>
      <w:bookmarkStart w:id="1846" w:name="_Toc146781690"/>
      <w:r w:rsidRPr="00FA0D37">
        <w:t>–</w:t>
      </w:r>
      <w:r w:rsidRPr="00FA0D37">
        <w:tab/>
      </w:r>
      <w:r w:rsidRPr="00FA0D37">
        <w:rPr>
          <w:i/>
        </w:rPr>
        <w:t>DRX-</w:t>
      </w:r>
      <w:r w:rsidRPr="00FA0D37">
        <w:rPr>
          <w:i/>
          <w:iCs/>
        </w:rPr>
        <w:t>ConfigPTM</w:t>
      </w:r>
      <w:bookmarkEnd w:id="1846"/>
    </w:p>
    <w:p w14:paraId="5E765EC8" w14:textId="77777777" w:rsidR="00807B1C" w:rsidRPr="00FA0D37" w:rsidRDefault="00807B1C" w:rsidP="00807B1C">
      <w:r w:rsidRPr="00FA0D37">
        <w:t xml:space="preserve">The IE </w:t>
      </w:r>
      <w:r w:rsidRPr="00FA0D37">
        <w:rPr>
          <w:i/>
        </w:rPr>
        <w:t>DRX-Config-PTM</w:t>
      </w:r>
      <w:r w:rsidRPr="00FA0D37">
        <w:t xml:space="preserve"> is used to configure DRX related parameters for PTM transmission as specified in TS 38.321 [3].</w:t>
      </w:r>
    </w:p>
    <w:p w14:paraId="7E1F114B" w14:textId="77777777" w:rsidR="00807B1C" w:rsidRPr="00FA0D37" w:rsidRDefault="00807B1C" w:rsidP="00807B1C">
      <w:pPr>
        <w:pStyle w:val="TH"/>
        <w:rPr>
          <w:b w:val="0"/>
        </w:rPr>
      </w:pPr>
      <w:r w:rsidRPr="00FA0D37">
        <w:rPr>
          <w:i/>
        </w:rPr>
        <w:t xml:space="preserve">DRX-Config-PTM </w:t>
      </w:r>
      <w:r w:rsidRPr="00FA0D37">
        <w:t>information element</w:t>
      </w:r>
    </w:p>
    <w:p w14:paraId="08E76701" w14:textId="77777777" w:rsidR="00807B1C" w:rsidRPr="00FA0D37" w:rsidRDefault="00807B1C" w:rsidP="00FA0D37">
      <w:pPr>
        <w:pStyle w:val="PL"/>
        <w:rPr>
          <w:color w:val="808080"/>
        </w:rPr>
      </w:pPr>
      <w:r w:rsidRPr="00FA0D37">
        <w:rPr>
          <w:color w:val="808080"/>
        </w:rPr>
        <w:t>-- ASN1START</w:t>
      </w:r>
    </w:p>
    <w:p w14:paraId="30675579" w14:textId="77777777" w:rsidR="00807B1C" w:rsidRPr="00FA0D37" w:rsidRDefault="00807B1C" w:rsidP="00FA0D37">
      <w:pPr>
        <w:pStyle w:val="PL"/>
        <w:rPr>
          <w:color w:val="808080"/>
        </w:rPr>
      </w:pPr>
      <w:r w:rsidRPr="00FA0D37">
        <w:rPr>
          <w:color w:val="808080"/>
        </w:rPr>
        <w:t>-- TAG-DRX-CONFIGPTM-START</w:t>
      </w:r>
    </w:p>
    <w:p w14:paraId="0746E112" w14:textId="77777777" w:rsidR="00807B1C" w:rsidRPr="00FA0D37" w:rsidRDefault="00807B1C" w:rsidP="00FA0D37">
      <w:pPr>
        <w:pStyle w:val="PL"/>
      </w:pPr>
    </w:p>
    <w:p w14:paraId="45352869" w14:textId="7818CAAC" w:rsidR="00807B1C" w:rsidRPr="00FA0D37" w:rsidRDefault="00807B1C" w:rsidP="00FA0D37">
      <w:pPr>
        <w:pStyle w:val="PL"/>
      </w:pPr>
      <w:r w:rsidRPr="00FA0D37">
        <w:t xml:space="preserve">DRX-ConfigPTM-r17 ::=             </w:t>
      </w:r>
      <w:r w:rsidRPr="00FA0D37">
        <w:rPr>
          <w:color w:val="993366"/>
        </w:rPr>
        <w:t>SEQUENCE</w:t>
      </w:r>
      <w:r w:rsidRPr="00FA0D37">
        <w:t xml:space="preserve"> {</w:t>
      </w:r>
    </w:p>
    <w:p w14:paraId="235C18D1" w14:textId="40D133AD" w:rsidR="00807B1C" w:rsidRPr="00FA0D37" w:rsidRDefault="00807B1C" w:rsidP="00FA0D37">
      <w:pPr>
        <w:pStyle w:val="PL"/>
      </w:pPr>
      <w:r w:rsidRPr="00FA0D37">
        <w:t xml:space="preserve">    drx-onDurationTimerPTM-r17        </w:t>
      </w:r>
      <w:r w:rsidRPr="00FA0D37">
        <w:rPr>
          <w:color w:val="993366"/>
        </w:rPr>
        <w:t>CHOICE</w:t>
      </w:r>
      <w:r w:rsidRPr="00FA0D37">
        <w:t xml:space="preserve"> {</w:t>
      </w:r>
    </w:p>
    <w:p w14:paraId="1F30C725" w14:textId="02A8C18F" w:rsidR="00807B1C" w:rsidRPr="00FA0D37" w:rsidRDefault="00807B1C" w:rsidP="00FA0D37">
      <w:pPr>
        <w:pStyle w:val="PL"/>
      </w:pPr>
      <w:r w:rsidRPr="00FA0D37">
        <w:t xml:space="preserve">        subMilliSeconds                   </w:t>
      </w:r>
      <w:r w:rsidRPr="00FA0D37">
        <w:rPr>
          <w:color w:val="993366"/>
        </w:rPr>
        <w:t>INTEGER</w:t>
      </w:r>
      <w:r w:rsidRPr="00FA0D37">
        <w:t xml:space="preserve"> (1..31),</w:t>
      </w:r>
    </w:p>
    <w:p w14:paraId="2D549947" w14:textId="119E9D32" w:rsidR="00807B1C" w:rsidRPr="00FA0D37" w:rsidRDefault="00807B1C" w:rsidP="00FA0D37">
      <w:pPr>
        <w:pStyle w:val="PL"/>
      </w:pPr>
      <w:r w:rsidRPr="00FA0D37">
        <w:lastRenderedPageBreak/>
        <w:t xml:space="preserve">        milliSeconds                      </w:t>
      </w:r>
      <w:r w:rsidRPr="00FA0D37">
        <w:rPr>
          <w:color w:val="993366"/>
        </w:rPr>
        <w:t>ENUMERATED</w:t>
      </w:r>
      <w:r w:rsidRPr="00FA0D37">
        <w:t xml:space="preserve"> {</w:t>
      </w:r>
    </w:p>
    <w:p w14:paraId="21891389" w14:textId="31A9C566" w:rsidR="00807B1C" w:rsidRPr="00FA0D37" w:rsidRDefault="00807B1C" w:rsidP="00FA0D37">
      <w:pPr>
        <w:pStyle w:val="PL"/>
      </w:pPr>
      <w:r w:rsidRPr="00FA0D37">
        <w:t xml:space="preserve">            ms1, ms2, ms3, ms4, ms5, ms6, ms8, ms10, ms20, ms30, ms40, ms50, ms60,</w:t>
      </w:r>
    </w:p>
    <w:p w14:paraId="22BF20F9" w14:textId="59069E3D" w:rsidR="00807B1C" w:rsidRPr="00FA0D37" w:rsidRDefault="00807B1C" w:rsidP="00FA0D37">
      <w:pPr>
        <w:pStyle w:val="PL"/>
      </w:pPr>
      <w:r w:rsidRPr="00FA0D37">
        <w:t xml:space="preserve">            ms80, ms100, ms200, ms300, ms400, ms500, ms600, ms800, ms1000, ms1200,</w:t>
      </w:r>
    </w:p>
    <w:p w14:paraId="088E314C" w14:textId="77777777" w:rsidR="00F747EB" w:rsidRPr="00FA0D37" w:rsidRDefault="00807B1C" w:rsidP="00FA0D37">
      <w:pPr>
        <w:pStyle w:val="PL"/>
      </w:pPr>
      <w:r w:rsidRPr="00FA0D37">
        <w:t xml:space="preserve">            ms1600, spare8, spare7, spare6, spare5, spare4, spare3, spare2, spare1</w:t>
      </w:r>
    </w:p>
    <w:p w14:paraId="2F82EB33" w14:textId="5205E416" w:rsidR="00807B1C" w:rsidRPr="00FA0D37" w:rsidRDefault="00807B1C" w:rsidP="00FA0D37">
      <w:pPr>
        <w:pStyle w:val="PL"/>
      </w:pPr>
      <w:r w:rsidRPr="00FA0D37">
        <w:t xml:space="preserve">        }</w:t>
      </w:r>
    </w:p>
    <w:p w14:paraId="4C85CB62" w14:textId="77777777" w:rsidR="00807B1C" w:rsidRPr="00FA0D37" w:rsidRDefault="00807B1C" w:rsidP="00FA0D37">
      <w:pPr>
        <w:pStyle w:val="PL"/>
      </w:pPr>
      <w:r w:rsidRPr="00FA0D37">
        <w:t xml:space="preserve">    },</w:t>
      </w:r>
    </w:p>
    <w:p w14:paraId="43D84FDC" w14:textId="5A6AA0D7" w:rsidR="00807B1C" w:rsidRPr="00FA0D37" w:rsidRDefault="00807B1C" w:rsidP="00FA0D37">
      <w:pPr>
        <w:pStyle w:val="PL"/>
      </w:pPr>
      <w:r w:rsidRPr="00FA0D37">
        <w:t xml:space="preserve">    drx-InactivityTimerPTM-r17        </w:t>
      </w:r>
      <w:r w:rsidRPr="00FA0D37">
        <w:rPr>
          <w:color w:val="993366"/>
        </w:rPr>
        <w:t>ENUMERATED</w:t>
      </w:r>
      <w:r w:rsidRPr="00FA0D37">
        <w:t xml:space="preserve"> {</w:t>
      </w:r>
    </w:p>
    <w:p w14:paraId="5C7C7BEB" w14:textId="62455245" w:rsidR="00807B1C" w:rsidRPr="00FA0D37" w:rsidRDefault="00807B1C" w:rsidP="00FA0D37">
      <w:pPr>
        <w:pStyle w:val="PL"/>
      </w:pPr>
      <w:r w:rsidRPr="00FA0D37">
        <w:t xml:space="preserve">            ms0, ms1, ms2, ms3, ms4, ms5, ms6, ms8, ms10, ms20, ms30, ms40, ms50, ms60, ms80,</w:t>
      </w:r>
    </w:p>
    <w:p w14:paraId="2EAACDC6" w14:textId="18721C7A" w:rsidR="00807B1C" w:rsidRPr="00FA0D37" w:rsidRDefault="00807B1C" w:rsidP="00FA0D37">
      <w:pPr>
        <w:pStyle w:val="PL"/>
      </w:pPr>
      <w:r w:rsidRPr="00FA0D37">
        <w:t xml:space="preserve">            ms100, ms200, ms300, ms500, ms750, ms1280, ms1920, ms2560, spare9, spare8,</w:t>
      </w:r>
    </w:p>
    <w:p w14:paraId="69A4F1E1" w14:textId="6CBB2E03" w:rsidR="00807B1C" w:rsidRPr="00FA0D37" w:rsidRDefault="00807B1C" w:rsidP="00FA0D37">
      <w:pPr>
        <w:pStyle w:val="PL"/>
      </w:pPr>
      <w:r w:rsidRPr="00FA0D37">
        <w:t xml:space="preserve">            spare7, spare6, spare5, spare4, spare3, spare2, spare1</w:t>
      </w:r>
    </w:p>
    <w:p w14:paraId="77E0337B" w14:textId="251B03A0" w:rsidR="00807B1C" w:rsidRPr="00FA0D37" w:rsidRDefault="00807B1C" w:rsidP="00FA0D37">
      <w:pPr>
        <w:pStyle w:val="PL"/>
      </w:pPr>
      <w:r w:rsidRPr="00FA0D37">
        <w:t xml:space="preserve">    },</w:t>
      </w:r>
    </w:p>
    <w:p w14:paraId="6F23E15A" w14:textId="66454567" w:rsidR="00807B1C" w:rsidRPr="00FA0D37" w:rsidRDefault="00807B1C" w:rsidP="00FA0D37">
      <w:pPr>
        <w:pStyle w:val="PL"/>
        <w:rPr>
          <w:color w:val="808080"/>
        </w:rPr>
      </w:pPr>
      <w:r w:rsidRPr="00FA0D37">
        <w:t xml:space="preserve">    drx-HARQ-RTT-TimerDL-PTM-r17      </w:t>
      </w:r>
      <w:r w:rsidRPr="00FA0D37">
        <w:rPr>
          <w:color w:val="993366"/>
        </w:rPr>
        <w:t>INTEGER</w:t>
      </w:r>
      <w:r w:rsidRPr="00FA0D37">
        <w:t xml:space="preserve"> (0..56)                      </w:t>
      </w:r>
      <w:r w:rsidRPr="00FA0D37">
        <w:rPr>
          <w:color w:val="993366"/>
        </w:rPr>
        <w:t>OPTIONAL</w:t>
      </w:r>
      <w:r w:rsidRPr="00FA0D37">
        <w:t xml:space="preserve">,  </w:t>
      </w:r>
      <w:r w:rsidRPr="00FA0D37">
        <w:rPr>
          <w:color w:val="808080"/>
        </w:rPr>
        <w:t>-- Cond HARQFeedback</w:t>
      </w:r>
    </w:p>
    <w:p w14:paraId="4E893AA5" w14:textId="14C3F3BB" w:rsidR="00807B1C" w:rsidRPr="00FA0D37" w:rsidRDefault="00807B1C" w:rsidP="00FA0D37">
      <w:pPr>
        <w:pStyle w:val="PL"/>
      </w:pPr>
      <w:r w:rsidRPr="00FA0D37">
        <w:t xml:space="preserve">    drx-RetransmissionTimerDL-PTM-r17 </w:t>
      </w:r>
      <w:r w:rsidRPr="00FA0D37">
        <w:rPr>
          <w:color w:val="993366"/>
        </w:rPr>
        <w:t>ENUMERATED</w:t>
      </w:r>
      <w:r w:rsidRPr="00FA0D37">
        <w:t xml:space="preserve"> {</w:t>
      </w:r>
    </w:p>
    <w:p w14:paraId="019BBD03" w14:textId="63E1240C" w:rsidR="00807B1C" w:rsidRPr="00FA0D37" w:rsidRDefault="00807B1C" w:rsidP="00FA0D37">
      <w:pPr>
        <w:pStyle w:val="PL"/>
      </w:pPr>
      <w:r w:rsidRPr="00FA0D37">
        <w:t xml:space="preserve">            sl0, sl1, sl2, sl4, sl6, sl8, sl16, sl24, sl33, sl40, sl64, sl80, sl96, sl112, sl128,</w:t>
      </w:r>
    </w:p>
    <w:p w14:paraId="4EAED33D" w14:textId="4F30BD0C" w:rsidR="00807B1C" w:rsidRPr="00FA0D37" w:rsidRDefault="00807B1C" w:rsidP="00FA0D37">
      <w:pPr>
        <w:pStyle w:val="PL"/>
      </w:pPr>
      <w:r w:rsidRPr="00FA0D37">
        <w:t xml:space="preserve">            sl160, sl320, spare15, spare14, spare13, spare12, spare11, spare10, spare9,</w:t>
      </w:r>
    </w:p>
    <w:p w14:paraId="23EA9904" w14:textId="1BD1434A" w:rsidR="00807B1C" w:rsidRPr="00FA0D37" w:rsidRDefault="00807B1C" w:rsidP="00FA0D37">
      <w:pPr>
        <w:pStyle w:val="PL"/>
      </w:pPr>
      <w:r w:rsidRPr="00FA0D37">
        <w:t xml:space="preserve">            spare8, spare7, spare6, spare5, spare4, spare3, spare2, spare1</w:t>
      </w:r>
    </w:p>
    <w:p w14:paraId="6205AB37" w14:textId="298E52C8" w:rsidR="00C148E4" w:rsidRPr="00FA0D37" w:rsidRDefault="00807B1C" w:rsidP="00FA0D37">
      <w:pPr>
        <w:pStyle w:val="PL"/>
        <w:rPr>
          <w:color w:val="808080"/>
        </w:rPr>
      </w:pPr>
      <w:r w:rsidRPr="00FA0D37">
        <w:t xml:space="preserve">    }                                                                      </w:t>
      </w:r>
      <w:r w:rsidRPr="00FA0D37">
        <w:rPr>
          <w:color w:val="993366"/>
        </w:rPr>
        <w:t>OPTIONAL</w:t>
      </w:r>
      <w:r w:rsidRPr="00FA0D37">
        <w:t xml:space="preserve">,   </w:t>
      </w:r>
      <w:r w:rsidRPr="00FA0D37">
        <w:rPr>
          <w:color w:val="808080"/>
        </w:rPr>
        <w:t>-- Cond HARQFeedback</w:t>
      </w:r>
    </w:p>
    <w:p w14:paraId="320D9D94" w14:textId="0E86534C" w:rsidR="00807B1C" w:rsidRPr="00FA0D37" w:rsidRDefault="00807B1C" w:rsidP="00FA0D37">
      <w:pPr>
        <w:pStyle w:val="PL"/>
      </w:pPr>
      <w:r w:rsidRPr="00FA0D37">
        <w:t xml:space="preserve">    drx-LongCycleStartOffsetPTM-r17   </w:t>
      </w:r>
      <w:r w:rsidRPr="00FA0D37">
        <w:rPr>
          <w:color w:val="993366"/>
        </w:rPr>
        <w:t>CHOICE</w:t>
      </w:r>
      <w:r w:rsidRPr="00FA0D37">
        <w:t xml:space="preserve"> {</w:t>
      </w:r>
    </w:p>
    <w:p w14:paraId="4F63177F" w14:textId="51080431" w:rsidR="00807B1C" w:rsidRPr="00FA0D37" w:rsidRDefault="00807B1C" w:rsidP="00FA0D37">
      <w:pPr>
        <w:pStyle w:val="PL"/>
      </w:pPr>
      <w:r w:rsidRPr="00FA0D37">
        <w:t xml:space="preserve">        ms10                              </w:t>
      </w:r>
      <w:r w:rsidRPr="00FA0D37">
        <w:rPr>
          <w:color w:val="993366"/>
        </w:rPr>
        <w:t>INTEGER</w:t>
      </w:r>
      <w:r w:rsidRPr="00FA0D37">
        <w:t>(0..9),</w:t>
      </w:r>
    </w:p>
    <w:p w14:paraId="27895016" w14:textId="76B5999C" w:rsidR="00807B1C" w:rsidRPr="00FA0D37" w:rsidRDefault="00807B1C" w:rsidP="00FA0D37">
      <w:pPr>
        <w:pStyle w:val="PL"/>
      </w:pPr>
      <w:r w:rsidRPr="00FA0D37">
        <w:t xml:space="preserve">        ms20                              </w:t>
      </w:r>
      <w:r w:rsidRPr="00FA0D37">
        <w:rPr>
          <w:color w:val="993366"/>
        </w:rPr>
        <w:t>INTEGER</w:t>
      </w:r>
      <w:r w:rsidRPr="00FA0D37">
        <w:t>(0..19),</w:t>
      </w:r>
    </w:p>
    <w:p w14:paraId="59D21383" w14:textId="49ED729B" w:rsidR="00807B1C" w:rsidRPr="00FA0D37" w:rsidRDefault="00807B1C" w:rsidP="00FA0D37">
      <w:pPr>
        <w:pStyle w:val="PL"/>
      </w:pPr>
      <w:r w:rsidRPr="00FA0D37">
        <w:t xml:space="preserve">        ms32                              </w:t>
      </w:r>
      <w:r w:rsidRPr="00FA0D37">
        <w:rPr>
          <w:color w:val="993366"/>
        </w:rPr>
        <w:t>INTEGER</w:t>
      </w:r>
      <w:r w:rsidRPr="00FA0D37">
        <w:t>(0..31),</w:t>
      </w:r>
    </w:p>
    <w:p w14:paraId="6B437948" w14:textId="39E65C28" w:rsidR="00807B1C" w:rsidRPr="00FA0D37" w:rsidRDefault="00807B1C" w:rsidP="00FA0D37">
      <w:pPr>
        <w:pStyle w:val="PL"/>
      </w:pPr>
      <w:r w:rsidRPr="00FA0D37">
        <w:t xml:space="preserve">        ms40                              </w:t>
      </w:r>
      <w:r w:rsidRPr="00FA0D37">
        <w:rPr>
          <w:color w:val="993366"/>
        </w:rPr>
        <w:t>INTEGER</w:t>
      </w:r>
      <w:r w:rsidRPr="00FA0D37">
        <w:t>(0..39),</w:t>
      </w:r>
    </w:p>
    <w:p w14:paraId="1690A031" w14:textId="685DA73A" w:rsidR="00807B1C" w:rsidRPr="00FA0D37" w:rsidRDefault="00807B1C" w:rsidP="00FA0D37">
      <w:pPr>
        <w:pStyle w:val="PL"/>
      </w:pPr>
      <w:r w:rsidRPr="00FA0D37">
        <w:t xml:space="preserve">        ms60                              </w:t>
      </w:r>
      <w:r w:rsidRPr="00FA0D37">
        <w:rPr>
          <w:color w:val="993366"/>
        </w:rPr>
        <w:t>INTEGER</w:t>
      </w:r>
      <w:r w:rsidRPr="00FA0D37">
        <w:t>(0..59),</w:t>
      </w:r>
    </w:p>
    <w:p w14:paraId="455E33F8" w14:textId="5457918C" w:rsidR="00807B1C" w:rsidRPr="00FA0D37" w:rsidRDefault="00807B1C" w:rsidP="00FA0D37">
      <w:pPr>
        <w:pStyle w:val="PL"/>
      </w:pPr>
      <w:r w:rsidRPr="00FA0D37">
        <w:t xml:space="preserve">        ms64                              </w:t>
      </w:r>
      <w:r w:rsidRPr="00FA0D37">
        <w:rPr>
          <w:color w:val="993366"/>
        </w:rPr>
        <w:t>INTEGER</w:t>
      </w:r>
      <w:r w:rsidRPr="00FA0D37">
        <w:t>(0..63),</w:t>
      </w:r>
    </w:p>
    <w:p w14:paraId="49FC8576" w14:textId="0AF3B37A" w:rsidR="00807B1C" w:rsidRPr="00FA0D37" w:rsidRDefault="00807B1C" w:rsidP="00FA0D37">
      <w:pPr>
        <w:pStyle w:val="PL"/>
      </w:pPr>
      <w:r w:rsidRPr="00FA0D37">
        <w:t xml:space="preserve">        ms70                              </w:t>
      </w:r>
      <w:r w:rsidRPr="00FA0D37">
        <w:rPr>
          <w:color w:val="993366"/>
        </w:rPr>
        <w:t>INTEGER</w:t>
      </w:r>
      <w:r w:rsidRPr="00FA0D37">
        <w:t>(0..69),</w:t>
      </w:r>
    </w:p>
    <w:p w14:paraId="7798EDEF" w14:textId="212A1267" w:rsidR="00807B1C" w:rsidRPr="00FA0D37" w:rsidRDefault="00807B1C" w:rsidP="00FA0D37">
      <w:pPr>
        <w:pStyle w:val="PL"/>
      </w:pPr>
      <w:r w:rsidRPr="00FA0D37">
        <w:t xml:space="preserve">        ms80                              </w:t>
      </w:r>
      <w:r w:rsidRPr="00FA0D37">
        <w:rPr>
          <w:color w:val="993366"/>
        </w:rPr>
        <w:t>INTEGER</w:t>
      </w:r>
      <w:r w:rsidRPr="00FA0D37">
        <w:t>(0..79),</w:t>
      </w:r>
    </w:p>
    <w:p w14:paraId="40ECE382" w14:textId="2BD93B6E" w:rsidR="00807B1C" w:rsidRPr="00FA0D37" w:rsidRDefault="00807B1C" w:rsidP="00FA0D37">
      <w:pPr>
        <w:pStyle w:val="PL"/>
      </w:pPr>
      <w:r w:rsidRPr="00FA0D37">
        <w:t xml:space="preserve">        ms128                             </w:t>
      </w:r>
      <w:r w:rsidRPr="00FA0D37">
        <w:rPr>
          <w:color w:val="993366"/>
        </w:rPr>
        <w:t>INTEGER</w:t>
      </w:r>
      <w:r w:rsidRPr="00FA0D37">
        <w:t>(0..127),</w:t>
      </w:r>
    </w:p>
    <w:p w14:paraId="5AE0CB77" w14:textId="20005BA2" w:rsidR="00807B1C" w:rsidRPr="00FA0D37" w:rsidRDefault="00807B1C" w:rsidP="00FA0D37">
      <w:pPr>
        <w:pStyle w:val="PL"/>
      </w:pPr>
      <w:r w:rsidRPr="00FA0D37">
        <w:t xml:space="preserve">        ms160                             </w:t>
      </w:r>
      <w:r w:rsidRPr="00FA0D37">
        <w:rPr>
          <w:color w:val="993366"/>
        </w:rPr>
        <w:t>INTEGER</w:t>
      </w:r>
      <w:r w:rsidRPr="00FA0D37">
        <w:t>(0..159),</w:t>
      </w:r>
    </w:p>
    <w:p w14:paraId="7CEA7AE1" w14:textId="3FDDCD60" w:rsidR="00807B1C" w:rsidRPr="00FA0D37" w:rsidRDefault="00807B1C" w:rsidP="00FA0D37">
      <w:pPr>
        <w:pStyle w:val="PL"/>
      </w:pPr>
      <w:r w:rsidRPr="00FA0D37">
        <w:t xml:space="preserve">        ms256                             </w:t>
      </w:r>
      <w:r w:rsidRPr="00FA0D37">
        <w:rPr>
          <w:color w:val="993366"/>
        </w:rPr>
        <w:t>INTEGER</w:t>
      </w:r>
      <w:r w:rsidRPr="00FA0D37">
        <w:t>(0..255),</w:t>
      </w:r>
    </w:p>
    <w:p w14:paraId="4A790419" w14:textId="54F01C1F" w:rsidR="00807B1C" w:rsidRPr="00FA0D37" w:rsidRDefault="00807B1C" w:rsidP="00FA0D37">
      <w:pPr>
        <w:pStyle w:val="PL"/>
      </w:pPr>
      <w:r w:rsidRPr="00FA0D37">
        <w:t xml:space="preserve">        ms320                             </w:t>
      </w:r>
      <w:r w:rsidRPr="00FA0D37">
        <w:rPr>
          <w:color w:val="993366"/>
        </w:rPr>
        <w:t>INTEGER</w:t>
      </w:r>
      <w:r w:rsidRPr="00FA0D37">
        <w:t>(0..319),</w:t>
      </w:r>
    </w:p>
    <w:p w14:paraId="1F9EFE63" w14:textId="62C292C1" w:rsidR="00807B1C" w:rsidRPr="00FA0D37" w:rsidRDefault="00807B1C" w:rsidP="00FA0D37">
      <w:pPr>
        <w:pStyle w:val="PL"/>
      </w:pPr>
      <w:r w:rsidRPr="00FA0D37">
        <w:t xml:space="preserve">        ms512                             </w:t>
      </w:r>
      <w:r w:rsidRPr="00FA0D37">
        <w:rPr>
          <w:color w:val="993366"/>
        </w:rPr>
        <w:t>INTEGER</w:t>
      </w:r>
      <w:r w:rsidRPr="00FA0D37">
        <w:t>(0..511),</w:t>
      </w:r>
    </w:p>
    <w:p w14:paraId="3191E47F" w14:textId="4C4A0861" w:rsidR="00807B1C" w:rsidRPr="00FA0D37" w:rsidRDefault="00807B1C" w:rsidP="00FA0D37">
      <w:pPr>
        <w:pStyle w:val="PL"/>
      </w:pPr>
      <w:r w:rsidRPr="00FA0D37">
        <w:t xml:space="preserve">        ms640                             </w:t>
      </w:r>
      <w:r w:rsidRPr="00FA0D37">
        <w:rPr>
          <w:color w:val="993366"/>
        </w:rPr>
        <w:t>INTEGER</w:t>
      </w:r>
      <w:r w:rsidRPr="00FA0D37">
        <w:t>(0..639),</w:t>
      </w:r>
    </w:p>
    <w:p w14:paraId="44F7AF62" w14:textId="0C273FA5" w:rsidR="00807B1C" w:rsidRPr="00FA0D37" w:rsidRDefault="00807B1C" w:rsidP="00FA0D37">
      <w:pPr>
        <w:pStyle w:val="PL"/>
      </w:pPr>
      <w:r w:rsidRPr="00FA0D37">
        <w:t xml:space="preserve">        ms1024                            </w:t>
      </w:r>
      <w:r w:rsidRPr="00FA0D37">
        <w:rPr>
          <w:color w:val="993366"/>
        </w:rPr>
        <w:t>INTEGER</w:t>
      </w:r>
      <w:r w:rsidRPr="00FA0D37">
        <w:t>(0..1023),</w:t>
      </w:r>
    </w:p>
    <w:p w14:paraId="6D1014DF" w14:textId="0DD1CC8B" w:rsidR="00807B1C" w:rsidRPr="00FA0D37" w:rsidRDefault="00807B1C" w:rsidP="00FA0D37">
      <w:pPr>
        <w:pStyle w:val="PL"/>
      </w:pPr>
      <w:r w:rsidRPr="00FA0D37">
        <w:t xml:space="preserve">        ms1280                            </w:t>
      </w:r>
      <w:r w:rsidRPr="00FA0D37">
        <w:rPr>
          <w:color w:val="993366"/>
        </w:rPr>
        <w:t>INTEGER</w:t>
      </w:r>
      <w:r w:rsidRPr="00FA0D37">
        <w:t>(0..1279),</w:t>
      </w:r>
    </w:p>
    <w:p w14:paraId="1CFD99C9" w14:textId="622114BB" w:rsidR="00807B1C" w:rsidRPr="00FA0D37" w:rsidRDefault="00807B1C" w:rsidP="00FA0D37">
      <w:pPr>
        <w:pStyle w:val="PL"/>
      </w:pPr>
      <w:r w:rsidRPr="00FA0D37">
        <w:t xml:space="preserve">        ms2048                            </w:t>
      </w:r>
      <w:r w:rsidRPr="00FA0D37">
        <w:rPr>
          <w:color w:val="993366"/>
        </w:rPr>
        <w:t>INTEGER</w:t>
      </w:r>
      <w:r w:rsidRPr="00FA0D37">
        <w:t>(0..2047),</w:t>
      </w:r>
    </w:p>
    <w:p w14:paraId="480187B7" w14:textId="6FC89E5B" w:rsidR="00807B1C" w:rsidRPr="00FA0D37" w:rsidRDefault="00807B1C" w:rsidP="00FA0D37">
      <w:pPr>
        <w:pStyle w:val="PL"/>
      </w:pPr>
      <w:r w:rsidRPr="00FA0D37">
        <w:t xml:space="preserve">        ms2560                            </w:t>
      </w:r>
      <w:r w:rsidRPr="00FA0D37">
        <w:rPr>
          <w:color w:val="993366"/>
        </w:rPr>
        <w:t>INTEGER</w:t>
      </w:r>
      <w:r w:rsidRPr="00FA0D37">
        <w:t>(0..2559),</w:t>
      </w:r>
    </w:p>
    <w:p w14:paraId="7DC04D32" w14:textId="2851816B" w:rsidR="00807B1C" w:rsidRPr="00FA0D37" w:rsidRDefault="00807B1C" w:rsidP="00FA0D37">
      <w:pPr>
        <w:pStyle w:val="PL"/>
      </w:pPr>
      <w:r w:rsidRPr="00FA0D37">
        <w:t xml:space="preserve">        ms5120                            </w:t>
      </w:r>
      <w:r w:rsidRPr="00FA0D37">
        <w:rPr>
          <w:color w:val="993366"/>
        </w:rPr>
        <w:t>INTEGER</w:t>
      </w:r>
      <w:r w:rsidRPr="00FA0D37">
        <w:t>(0..5119),</w:t>
      </w:r>
    </w:p>
    <w:p w14:paraId="555E6F93" w14:textId="5195B8FA" w:rsidR="00807B1C" w:rsidRPr="00FA0D37" w:rsidRDefault="00807B1C" w:rsidP="00FA0D37">
      <w:pPr>
        <w:pStyle w:val="PL"/>
      </w:pPr>
      <w:r w:rsidRPr="00FA0D37">
        <w:t xml:space="preserve">        ms10240                           </w:t>
      </w:r>
      <w:r w:rsidRPr="00FA0D37">
        <w:rPr>
          <w:color w:val="993366"/>
        </w:rPr>
        <w:t>INTEGER</w:t>
      </w:r>
      <w:r w:rsidRPr="00FA0D37">
        <w:t>(0..10239)</w:t>
      </w:r>
    </w:p>
    <w:p w14:paraId="22EB3059" w14:textId="77777777" w:rsidR="00807B1C" w:rsidRPr="00FA0D37" w:rsidRDefault="00807B1C" w:rsidP="00FA0D37">
      <w:pPr>
        <w:pStyle w:val="PL"/>
      </w:pPr>
      <w:r w:rsidRPr="00FA0D37">
        <w:t xml:space="preserve">    },</w:t>
      </w:r>
    </w:p>
    <w:p w14:paraId="33AA86EC" w14:textId="567B8CFE" w:rsidR="00807B1C" w:rsidRPr="00FA0D37" w:rsidRDefault="00807B1C" w:rsidP="00FA0D37">
      <w:pPr>
        <w:pStyle w:val="PL"/>
      </w:pPr>
      <w:r w:rsidRPr="00FA0D37">
        <w:t xml:space="preserve">    drx-SlotOffsetPTM-r17                 </w:t>
      </w:r>
      <w:r w:rsidRPr="00FA0D37">
        <w:rPr>
          <w:color w:val="993366"/>
        </w:rPr>
        <w:t>INTEGER</w:t>
      </w:r>
      <w:r w:rsidRPr="00FA0D37">
        <w:t xml:space="preserve"> (0..31)</w:t>
      </w:r>
    </w:p>
    <w:p w14:paraId="112F6645" w14:textId="77777777" w:rsidR="00807B1C" w:rsidRPr="00FA0D37" w:rsidRDefault="00807B1C" w:rsidP="00FA0D37">
      <w:pPr>
        <w:pStyle w:val="PL"/>
      </w:pPr>
      <w:r w:rsidRPr="00FA0D37">
        <w:t>}</w:t>
      </w:r>
    </w:p>
    <w:p w14:paraId="62732820" w14:textId="77777777" w:rsidR="00807B1C" w:rsidRPr="00FA0D37" w:rsidRDefault="00807B1C" w:rsidP="00FA0D37">
      <w:pPr>
        <w:pStyle w:val="PL"/>
      </w:pPr>
    </w:p>
    <w:p w14:paraId="76D74344" w14:textId="77777777" w:rsidR="00807B1C" w:rsidRPr="00FA0D37" w:rsidRDefault="00807B1C" w:rsidP="00FA0D37">
      <w:pPr>
        <w:pStyle w:val="PL"/>
        <w:rPr>
          <w:color w:val="808080"/>
        </w:rPr>
      </w:pPr>
      <w:r w:rsidRPr="00FA0D37">
        <w:rPr>
          <w:color w:val="808080"/>
        </w:rPr>
        <w:t>-- TAG-DRX-CONFIGPTM-STOP</w:t>
      </w:r>
    </w:p>
    <w:p w14:paraId="3B3C7A45" w14:textId="77777777" w:rsidR="00807B1C" w:rsidRPr="00FA0D37" w:rsidRDefault="00807B1C" w:rsidP="00FA0D37">
      <w:pPr>
        <w:pStyle w:val="PL"/>
        <w:rPr>
          <w:color w:val="808080"/>
        </w:rPr>
      </w:pPr>
      <w:r w:rsidRPr="00FA0D37">
        <w:rPr>
          <w:color w:val="808080"/>
        </w:rPr>
        <w:t>-- ASN1STOP</w:t>
      </w:r>
    </w:p>
    <w:p w14:paraId="1A2B7891" w14:textId="77777777" w:rsidR="00807B1C" w:rsidRPr="00FA0D37" w:rsidRDefault="00807B1C" w:rsidP="00807B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42C6881E" w14:textId="77777777" w:rsidTr="00771058">
        <w:tc>
          <w:tcPr>
            <w:tcW w:w="14173" w:type="dxa"/>
            <w:tcBorders>
              <w:top w:val="single" w:sz="4" w:space="0" w:color="auto"/>
              <w:left w:val="single" w:sz="4" w:space="0" w:color="auto"/>
              <w:bottom w:val="single" w:sz="4" w:space="0" w:color="auto"/>
              <w:right w:val="single" w:sz="4" w:space="0" w:color="auto"/>
            </w:tcBorders>
          </w:tcPr>
          <w:p w14:paraId="10BD21CE" w14:textId="77777777" w:rsidR="00807B1C" w:rsidRPr="00FA0D37" w:rsidRDefault="00807B1C" w:rsidP="00771058">
            <w:pPr>
              <w:pStyle w:val="TAH"/>
              <w:rPr>
                <w:b w:val="0"/>
                <w:szCs w:val="22"/>
                <w:lang w:eastAsia="sv-SE"/>
              </w:rPr>
            </w:pPr>
            <w:r w:rsidRPr="00FA0D37">
              <w:rPr>
                <w:i/>
                <w:szCs w:val="22"/>
                <w:lang w:eastAsia="sv-SE"/>
              </w:rPr>
              <w:lastRenderedPageBreak/>
              <w:t>DRX-</w:t>
            </w:r>
            <w:r w:rsidRPr="00FA0D37">
              <w:rPr>
                <w:i/>
                <w:lang w:eastAsia="sv-SE"/>
              </w:rPr>
              <w:t>Config</w:t>
            </w:r>
            <w:r w:rsidRPr="00FA0D37">
              <w:rPr>
                <w:i/>
                <w:szCs w:val="22"/>
                <w:lang w:eastAsia="sv-SE"/>
              </w:rPr>
              <w:t xml:space="preserve">-PTM </w:t>
            </w:r>
            <w:r w:rsidRPr="00FA0D37">
              <w:rPr>
                <w:szCs w:val="22"/>
                <w:lang w:eastAsia="sv-SE"/>
              </w:rPr>
              <w:t>field descriptions</w:t>
            </w:r>
          </w:p>
        </w:tc>
      </w:tr>
      <w:tr w:rsidR="005C7FF4" w:rsidRPr="00FA0D37" w14:paraId="665674B2" w14:textId="77777777" w:rsidTr="00771058">
        <w:tc>
          <w:tcPr>
            <w:tcW w:w="14173" w:type="dxa"/>
            <w:tcBorders>
              <w:top w:val="single" w:sz="4" w:space="0" w:color="auto"/>
              <w:left w:val="single" w:sz="4" w:space="0" w:color="auto"/>
              <w:bottom w:val="single" w:sz="4" w:space="0" w:color="auto"/>
              <w:right w:val="single" w:sz="4" w:space="0" w:color="auto"/>
            </w:tcBorders>
          </w:tcPr>
          <w:p w14:paraId="5560CE26" w14:textId="77777777" w:rsidR="00807B1C" w:rsidRPr="00FA0D37" w:rsidRDefault="00807B1C" w:rsidP="00771058">
            <w:pPr>
              <w:pStyle w:val="TAL"/>
              <w:rPr>
                <w:szCs w:val="22"/>
                <w:lang w:eastAsia="sv-SE"/>
              </w:rPr>
            </w:pPr>
            <w:r w:rsidRPr="00FA0D37">
              <w:rPr>
                <w:b/>
                <w:i/>
                <w:szCs w:val="22"/>
                <w:lang w:eastAsia="sv-SE"/>
              </w:rPr>
              <w:t>drx-HARQ-RTT-</w:t>
            </w:r>
            <w:r w:rsidRPr="00FA0D37">
              <w:rPr>
                <w:b/>
                <w:bCs/>
                <w:i/>
                <w:iCs/>
                <w:lang w:eastAsia="en-GB"/>
              </w:rPr>
              <w:t>Timer</w:t>
            </w:r>
            <w:r w:rsidRPr="00FA0D37">
              <w:rPr>
                <w:b/>
                <w:i/>
                <w:szCs w:val="22"/>
                <w:lang w:eastAsia="sv-SE"/>
              </w:rPr>
              <w:t>-DL-PTM</w:t>
            </w:r>
          </w:p>
          <w:p w14:paraId="7DD16D2E" w14:textId="77777777" w:rsidR="00807B1C" w:rsidRPr="00FA0D37" w:rsidRDefault="00807B1C" w:rsidP="00771058">
            <w:pPr>
              <w:pStyle w:val="TAL"/>
              <w:rPr>
                <w:szCs w:val="22"/>
                <w:lang w:eastAsia="sv-SE"/>
              </w:rPr>
            </w:pPr>
            <w:r w:rsidRPr="00FA0D37">
              <w:rPr>
                <w:szCs w:val="22"/>
                <w:lang w:eastAsia="sv-SE"/>
              </w:rPr>
              <w:t xml:space="preserve">Value in </w:t>
            </w:r>
            <w:r w:rsidRPr="00FA0D37">
              <w:rPr>
                <w:lang w:eastAsia="en-GB"/>
              </w:rPr>
              <w:t>number</w:t>
            </w:r>
            <w:r w:rsidRPr="00FA0D37">
              <w:rPr>
                <w:szCs w:val="22"/>
                <w:lang w:eastAsia="sv-SE"/>
              </w:rPr>
              <w:t xml:space="preserve"> of symbols of the CFR where the transport block was received.</w:t>
            </w:r>
          </w:p>
        </w:tc>
      </w:tr>
      <w:tr w:rsidR="005C7FF4" w:rsidRPr="00FA0D37" w14:paraId="126FF83C" w14:textId="77777777" w:rsidTr="00771058">
        <w:tc>
          <w:tcPr>
            <w:tcW w:w="14173" w:type="dxa"/>
            <w:tcBorders>
              <w:top w:val="single" w:sz="4" w:space="0" w:color="auto"/>
              <w:left w:val="single" w:sz="4" w:space="0" w:color="auto"/>
              <w:bottom w:val="single" w:sz="4" w:space="0" w:color="auto"/>
              <w:right w:val="single" w:sz="4" w:space="0" w:color="auto"/>
            </w:tcBorders>
          </w:tcPr>
          <w:p w14:paraId="1DC7BB97" w14:textId="77777777" w:rsidR="00807B1C" w:rsidRPr="00FA0D37" w:rsidRDefault="00807B1C" w:rsidP="00771058">
            <w:pPr>
              <w:pStyle w:val="TAL"/>
              <w:rPr>
                <w:szCs w:val="22"/>
                <w:lang w:eastAsia="sv-SE"/>
              </w:rPr>
            </w:pPr>
            <w:r w:rsidRPr="00FA0D37">
              <w:rPr>
                <w:b/>
                <w:i/>
                <w:szCs w:val="22"/>
                <w:lang w:eastAsia="sv-SE"/>
              </w:rPr>
              <w:t>drx-</w:t>
            </w:r>
            <w:r w:rsidRPr="00FA0D37">
              <w:rPr>
                <w:b/>
                <w:bCs/>
                <w:i/>
                <w:iCs/>
                <w:lang w:eastAsia="en-GB"/>
              </w:rPr>
              <w:t>InactivityTimerPTM</w:t>
            </w:r>
          </w:p>
          <w:p w14:paraId="12744B0D" w14:textId="77777777" w:rsidR="00807B1C" w:rsidRPr="00FA0D37" w:rsidRDefault="00807B1C" w:rsidP="00771058">
            <w:pPr>
              <w:pStyle w:val="TAL"/>
              <w:rPr>
                <w:szCs w:val="22"/>
                <w:lang w:eastAsia="sv-SE"/>
              </w:rPr>
            </w:pPr>
            <w:r w:rsidRPr="00FA0D37">
              <w:rPr>
                <w:szCs w:val="22"/>
                <w:lang w:eastAsia="sv-SE"/>
              </w:rPr>
              <w:t xml:space="preserve">Value in </w:t>
            </w:r>
            <w:r w:rsidRPr="00FA0D37">
              <w:rPr>
                <w:lang w:eastAsia="en-GB"/>
              </w:rPr>
              <w:t>multiple</w:t>
            </w:r>
            <w:r w:rsidRPr="00FA0D37">
              <w:rPr>
                <w:szCs w:val="22"/>
                <w:lang w:eastAsia="sv-SE"/>
              </w:rPr>
              <w:t xml:space="preserve"> integers of 1 ms. </w:t>
            </w:r>
            <w:r w:rsidRPr="00FA0D37">
              <w:rPr>
                <w:i/>
                <w:lang w:eastAsia="sv-SE"/>
              </w:rPr>
              <w:t>ms0</w:t>
            </w:r>
            <w:r w:rsidRPr="00FA0D37">
              <w:rPr>
                <w:szCs w:val="22"/>
                <w:lang w:eastAsia="sv-SE"/>
              </w:rPr>
              <w:t xml:space="preserve"> corresponds to 0, </w:t>
            </w:r>
            <w:r w:rsidRPr="00FA0D37">
              <w:rPr>
                <w:i/>
                <w:lang w:eastAsia="sv-SE"/>
              </w:rPr>
              <w:t>ms1</w:t>
            </w:r>
            <w:r w:rsidRPr="00FA0D37">
              <w:rPr>
                <w:szCs w:val="22"/>
                <w:lang w:eastAsia="sv-SE"/>
              </w:rPr>
              <w:t xml:space="preserve"> corresponds to 1 ms, </w:t>
            </w:r>
            <w:r w:rsidRPr="00FA0D37">
              <w:rPr>
                <w:i/>
                <w:lang w:eastAsia="sv-SE"/>
              </w:rPr>
              <w:t>ms2</w:t>
            </w:r>
            <w:r w:rsidRPr="00FA0D37">
              <w:rPr>
                <w:szCs w:val="22"/>
                <w:lang w:eastAsia="sv-SE"/>
              </w:rPr>
              <w:t xml:space="preserve"> corresponds to 2 ms, and so on.</w:t>
            </w:r>
          </w:p>
        </w:tc>
      </w:tr>
      <w:tr w:rsidR="005C7FF4" w:rsidRPr="00FA0D37" w14:paraId="302D212D" w14:textId="77777777" w:rsidTr="00771058">
        <w:tc>
          <w:tcPr>
            <w:tcW w:w="14173" w:type="dxa"/>
            <w:tcBorders>
              <w:top w:val="single" w:sz="4" w:space="0" w:color="auto"/>
              <w:left w:val="single" w:sz="4" w:space="0" w:color="auto"/>
              <w:bottom w:val="single" w:sz="4" w:space="0" w:color="auto"/>
              <w:right w:val="single" w:sz="4" w:space="0" w:color="auto"/>
            </w:tcBorders>
          </w:tcPr>
          <w:p w14:paraId="6C92C659" w14:textId="77777777" w:rsidR="00807B1C" w:rsidRPr="00FA0D37" w:rsidRDefault="00807B1C" w:rsidP="00771058">
            <w:pPr>
              <w:pStyle w:val="TAL"/>
              <w:rPr>
                <w:szCs w:val="22"/>
                <w:lang w:eastAsia="sv-SE"/>
              </w:rPr>
            </w:pPr>
            <w:r w:rsidRPr="00FA0D37">
              <w:rPr>
                <w:b/>
                <w:i/>
                <w:szCs w:val="22"/>
                <w:lang w:eastAsia="sv-SE"/>
              </w:rPr>
              <w:t>drx-</w:t>
            </w:r>
            <w:r w:rsidRPr="00FA0D37">
              <w:rPr>
                <w:b/>
                <w:bCs/>
                <w:i/>
                <w:iCs/>
                <w:lang w:eastAsia="en-GB"/>
              </w:rPr>
              <w:t>LongCycleStartOffsetPTM</w:t>
            </w:r>
          </w:p>
          <w:p w14:paraId="55D03925" w14:textId="77777777" w:rsidR="00807B1C" w:rsidRPr="00FA0D37" w:rsidRDefault="00807B1C" w:rsidP="00771058">
            <w:pPr>
              <w:pStyle w:val="TAL"/>
              <w:rPr>
                <w:szCs w:val="22"/>
                <w:lang w:eastAsia="sv-SE"/>
              </w:rPr>
            </w:pPr>
            <w:r w:rsidRPr="00FA0D37">
              <w:rPr>
                <w:i/>
                <w:lang w:eastAsia="sv-SE"/>
              </w:rPr>
              <w:t>drx-LongCycle-PTM</w:t>
            </w:r>
            <w:r w:rsidRPr="00FA0D37">
              <w:rPr>
                <w:szCs w:val="22"/>
                <w:lang w:eastAsia="sv-SE"/>
              </w:rPr>
              <w:t xml:space="preserve"> in </w:t>
            </w:r>
            <w:r w:rsidRPr="00FA0D37">
              <w:rPr>
                <w:lang w:eastAsia="en-GB"/>
              </w:rPr>
              <w:t>ms</w:t>
            </w:r>
            <w:r w:rsidRPr="00FA0D37">
              <w:rPr>
                <w:szCs w:val="22"/>
                <w:lang w:eastAsia="sv-SE"/>
              </w:rPr>
              <w:t xml:space="preserve"> and </w:t>
            </w:r>
            <w:r w:rsidRPr="00FA0D37">
              <w:rPr>
                <w:i/>
                <w:lang w:eastAsia="sv-SE"/>
              </w:rPr>
              <w:t>drx-StartOffset-PTM</w:t>
            </w:r>
            <w:r w:rsidRPr="00FA0D37">
              <w:rPr>
                <w:szCs w:val="22"/>
                <w:lang w:eastAsia="sv-SE"/>
              </w:rPr>
              <w:t xml:space="preserve"> in multiples of 1 ms.</w:t>
            </w:r>
          </w:p>
        </w:tc>
      </w:tr>
      <w:tr w:rsidR="005C7FF4" w:rsidRPr="00FA0D37" w14:paraId="3C5BD1A9" w14:textId="77777777" w:rsidTr="00771058">
        <w:tc>
          <w:tcPr>
            <w:tcW w:w="14173" w:type="dxa"/>
            <w:tcBorders>
              <w:top w:val="single" w:sz="4" w:space="0" w:color="auto"/>
              <w:left w:val="single" w:sz="4" w:space="0" w:color="auto"/>
              <w:bottom w:val="single" w:sz="4" w:space="0" w:color="auto"/>
              <w:right w:val="single" w:sz="4" w:space="0" w:color="auto"/>
            </w:tcBorders>
          </w:tcPr>
          <w:p w14:paraId="4E5E81EE" w14:textId="77777777" w:rsidR="00807B1C" w:rsidRPr="00FA0D37" w:rsidRDefault="00807B1C" w:rsidP="00771058">
            <w:pPr>
              <w:pStyle w:val="TAL"/>
              <w:rPr>
                <w:szCs w:val="22"/>
                <w:lang w:eastAsia="sv-SE"/>
              </w:rPr>
            </w:pPr>
            <w:r w:rsidRPr="00FA0D37">
              <w:rPr>
                <w:b/>
                <w:i/>
                <w:szCs w:val="22"/>
                <w:lang w:eastAsia="sv-SE"/>
              </w:rPr>
              <w:t>drx-</w:t>
            </w:r>
            <w:r w:rsidRPr="00FA0D37">
              <w:rPr>
                <w:b/>
                <w:bCs/>
                <w:i/>
                <w:iCs/>
                <w:lang w:eastAsia="en-GB"/>
              </w:rPr>
              <w:t>onDurationTimerPTM</w:t>
            </w:r>
          </w:p>
          <w:p w14:paraId="1AAB6559" w14:textId="77777777" w:rsidR="00807B1C" w:rsidRPr="00FA0D37" w:rsidRDefault="00807B1C" w:rsidP="00771058">
            <w:pPr>
              <w:pStyle w:val="TAL"/>
              <w:rPr>
                <w:szCs w:val="22"/>
                <w:lang w:eastAsia="sv-SE"/>
              </w:rPr>
            </w:pPr>
            <w:r w:rsidRPr="00FA0D37">
              <w:rPr>
                <w:szCs w:val="22"/>
                <w:lang w:eastAsia="sv-SE"/>
              </w:rPr>
              <w:t xml:space="preserve">Value in </w:t>
            </w:r>
            <w:r w:rsidRPr="00FA0D37">
              <w:rPr>
                <w:lang w:eastAsia="en-GB"/>
              </w:rPr>
              <w:t>multiples</w:t>
            </w:r>
            <w:r w:rsidRPr="00FA0D37">
              <w:rPr>
                <w:szCs w:val="22"/>
                <w:lang w:eastAsia="sv-SE"/>
              </w:rPr>
              <w:t xml:space="preserve"> of 1/32 ms (subMilliSeconds) or in ms (milliSecond). For the latter, value </w:t>
            </w:r>
            <w:r w:rsidRPr="00FA0D37">
              <w:rPr>
                <w:i/>
                <w:lang w:eastAsia="sv-SE"/>
              </w:rPr>
              <w:t>ms1</w:t>
            </w:r>
            <w:r w:rsidRPr="00FA0D37">
              <w:rPr>
                <w:szCs w:val="22"/>
                <w:lang w:eastAsia="sv-SE"/>
              </w:rPr>
              <w:t xml:space="preserve"> corresponds to 1 ms, value </w:t>
            </w:r>
            <w:r w:rsidRPr="00FA0D37">
              <w:rPr>
                <w:i/>
                <w:lang w:eastAsia="sv-SE"/>
              </w:rPr>
              <w:t>ms2</w:t>
            </w:r>
            <w:r w:rsidRPr="00FA0D37">
              <w:rPr>
                <w:szCs w:val="22"/>
                <w:lang w:eastAsia="sv-SE"/>
              </w:rPr>
              <w:t xml:space="preserve"> corresponds to 2 ms, and so on.</w:t>
            </w:r>
          </w:p>
        </w:tc>
      </w:tr>
      <w:tr w:rsidR="005C7FF4" w:rsidRPr="00FA0D37" w14:paraId="4872277D" w14:textId="77777777" w:rsidTr="00771058">
        <w:tc>
          <w:tcPr>
            <w:tcW w:w="14173" w:type="dxa"/>
            <w:tcBorders>
              <w:top w:val="single" w:sz="4" w:space="0" w:color="auto"/>
              <w:left w:val="single" w:sz="4" w:space="0" w:color="auto"/>
              <w:bottom w:val="single" w:sz="4" w:space="0" w:color="auto"/>
              <w:right w:val="single" w:sz="4" w:space="0" w:color="auto"/>
            </w:tcBorders>
          </w:tcPr>
          <w:p w14:paraId="2987216E" w14:textId="77777777" w:rsidR="00807B1C" w:rsidRPr="00FA0D37" w:rsidRDefault="00807B1C" w:rsidP="00771058">
            <w:pPr>
              <w:pStyle w:val="TAL"/>
              <w:rPr>
                <w:szCs w:val="22"/>
                <w:lang w:eastAsia="sv-SE"/>
              </w:rPr>
            </w:pPr>
            <w:r w:rsidRPr="00FA0D37">
              <w:rPr>
                <w:b/>
                <w:i/>
                <w:szCs w:val="22"/>
                <w:lang w:eastAsia="sv-SE"/>
              </w:rPr>
              <w:t>drx-</w:t>
            </w:r>
            <w:r w:rsidRPr="00FA0D37">
              <w:rPr>
                <w:b/>
                <w:bCs/>
                <w:i/>
                <w:iCs/>
                <w:lang w:eastAsia="en-GB"/>
              </w:rPr>
              <w:t>RetransmissionTimer</w:t>
            </w:r>
            <w:r w:rsidRPr="00FA0D37">
              <w:rPr>
                <w:b/>
                <w:i/>
                <w:szCs w:val="22"/>
                <w:lang w:eastAsia="sv-SE"/>
              </w:rPr>
              <w:t>-DL-PTM</w:t>
            </w:r>
          </w:p>
          <w:p w14:paraId="401A350E" w14:textId="77777777" w:rsidR="00807B1C" w:rsidRPr="00FA0D37" w:rsidRDefault="00807B1C" w:rsidP="00771058">
            <w:pPr>
              <w:pStyle w:val="TAL"/>
              <w:rPr>
                <w:szCs w:val="22"/>
                <w:lang w:eastAsia="sv-SE"/>
              </w:rPr>
            </w:pPr>
            <w:r w:rsidRPr="00FA0D37">
              <w:rPr>
                <w:szCs w:val="22"/>
                <w:lang w:eastAsia="sv-SE"/>
              </w:rPr>
              <w:t xml:space="preserve">Value in </w:t>
            </w:r>
            <w:r w:rsidRPr="00FA0D37">
              <w:rPr>
                <w:lang w:eastAsia="en-GB"/>
              </w:rPr>
              <w:t>number</w:t>
            </w:r>
            <w:r w:rsidRPr="00FA0D37">
              <w:rPr>
                <w:szCs w:val="22"/>
                <w:lang w:eastAsia="sv-SE"/>
              </w:rPr>
              <w:t xml:space="preserve"> of slot lengths of the CFR where the transport block was received. value </w:t>
            </w:r>
            <w:r w:rsidRPr="00FA0D37">
              <w:rPr>
                <w:i/>
                <w:lang w:eastAsia="sv-SE"/>
              </w:rPr>
              <w:t>sl0</w:t>
            </w:r>
            <w:r w:rsidRPr="00FA0D37">
              <w:rPr>
                <w:szCs w:val="22"/>
                <w:lang w:eastAsia="sv-SE"/>
              </w:rPr>
              <w:t xml:space="preserve"> corresponds to 0 slots, </w:t>
            </w:r>
            <w:r w:rsidRPr="00FA0D37">
              <w:rPr>
                <w:i/>
                <w:lang w:eastAsia="sv-SE"/>
              </w:rPr>
              <w:t>sl1</w:t>
            </w:r>
            <w:r w:rsidRPr="00FA0D37">
              <w:rPr>
                <w:szCs w:val="22"/>
                <w:lang w:eastAsia="sv-SE"/>
              </w:rPr>
              <w:t xml:space="preserve"> corresponds to 1 slot, </w:t>
            </w:r>
            <w:r w:rsidRPr="00FA0D37">
              <w:rPr>
                <w:i/>
                <w:lang w:eastAsia="sv-SE"/>
              </w:rPr>
              <w:t>sl2</w:t>
            </w:r>
            <w:r w:rsidRPr="00FA0D37">
              <w:rPr>
                <w:szCs w:val="22"/>
                <w:lang w:eastAsia="sv-SE"/>
              </w:rPr>
              <w:t xml:space="preserve"> corresponds to 2 slots, and so on.</w:t>
            </w:r>
          </w:p>
        </w:tc>
      </w:tr>
      <w:tr w:rsidR="00807B1C" w:rsidRPr="00FA0D37" w14:paraId="3DD46592" w14:textId="77777777" w:rsidTr="00771058">
        <w:tc>
          <w:tcPr>
            <w:tcW w:w="14173" w:type="dxa"/>
            <w:tcBorders>
              <w:top w:val="single" w:sz="4" w:space="0" w:color="auto"/>
              <w:left w:val="single" w:sz="4" w:space="0" w:color="auto"/>
              <w:bottom w:val="single" w:sz="4" w:space="0" w:color="auto"/>
              <w:right w:val="single" w:sz="4" w:space="0" w:color="auto"/>
            </w:tcBorders>
          </w:tcPr>
          <w:p w14:paraId="5E61B23C" w14:textId="77777777" w:rsidR="00807B1C" w:rsidRPr="00FA0D37" w:rsidRDefault="00807B1C" w:rsidP="00771058">
            <w:pPr>
              <w:pStyle w:val="TAL"/>
              <w:rPr>
                <w:szCs w:val="22"/>
                <w:lang w:eastAsia="sv-SE"/>
              </w:rPr>
            </w:pPr>
            <w:r w:rsidRPr="00FA0D37">
              <w:rPr>
                <w:b/>
                <w:i/>
                <w:szCs w:val="22"/>
                <w:lang w:eastAsia="sv-SE"/>
              </w:rPr>
              <w:t>drx-</w:t>
            </w:r>
            <w:r w:rsidRPr="00FA0D37">
              <w:rPr>
                <w:b/>
                <w:bCs/>
                <w:i/>
                <w:iCs/>
                <w:lang w:eastAsia="en-GB"/>
              </w:rPr>
              <w:t>SlotOffsetPTM</w:t>
            </w:r>
          </w:p>
          <w:p w14:paraId="64FFA11B" w14:textId="77777777" w:rsidR="00807B1C" w:rsidRPr="00FA0D37" w:rsidRDefault="00807B1C" w:rsidP="00771058">
            <w:pPr>
              <w:pStyle w:val="TAL"/>
              <w:rPr>
                <w:szCs w:val="22"/>
                <w:lang w:eastAsia="sv-SE"/>
              </w:rPr>
            </w:pPr>
            <w:r w:rsidRPr="00FA0D37">
              <w:rPr>
                <w:lang w:eastAsia="en-GB"/>
              </w:rPr>
              <w:t>Value</w:t>
            </w:r>
            <w:r w:rsidRPr="00FA0D37">
              <w:rPr>
                <w:szCs w:val="22"/>
                <w:lang w:eastAsia="sv-SE"/>
              </w:rPr>
              <w:t xml:space="preserve"> in 1/32 ms. Value 0 corresponds to 0 ms, value 1 corresponds to 1/32 ms, value 2 corresponds to 2/32 ms, and so on.</w:t>
            </w:r>
          </w:p>
        </w:tc>
      </w:tr>
    </w:tbl>
    <w:p w14:paraId="184966F0" w14:textId="77777777" w:rsidR="00807B1C" w:rsidRPr="00FA0D37" w:rsidRDefault="00807B1C" w:rsidP="00807B1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5C7FF4" w:rsidRPr="00FA0D37" w14:paraId="48AA719D" w14:textId="77777777" w:rsidTr="00771058">
        <w:tc>
          <w:tcPr>
            <w:tcW w:w="4027" w:type="dxa"/>
            <w:tcBorders>
              <w:top w:val="single" w:sz="4" w:space="0" w:color="auto"/>
              <w:left w:val="single" w:sz="4" w:space="0" w:color="auto"/>
              <w:bottom w:val="single" w:sz="4" w:space="0" w:color="auto"/>
              <w:right w:val="single" w:sz="4" w:space="0" w:color="auto"/>
            </w:tcBorders>
          </w:tcPr>
          <w:p w14:paraId="52FEB0F2" w14:textId="77777777" w:rsidR="00807B1C" w:rsidRPr="00FA0D37" w:rsidRDefault="00807B1C" w:rsidP="00771058">
            <w:pPr>
              <w:pStyle w:val="TAH"/>
              <w:rPr>
                <w:lang w:eastAsia="sv-SE"/>
              </w:rPr>
            </w:pPr>
            <w:r w:rsidRPr="00FA0D3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FD710C1" w14:textId="77777777" w:rsidR="00807B1C" w:rsidRPr="00FA0D37" w:rsidRDefault="00807B1C" w:rsidP="00771058">
            <w:pPr>
              <w:pStyle w:val="TAH"/>
              <w:rPr>
                <w:lang w:eastAsia="sv-SE"/>
              </w:rPr>
            </w:pPr>
            <w:r w:rsidRPr="00FA0D37">
              <w:rPr>
                <w:lang w:eastAsia="sv-SE"/>
              </w:rPr>
              <w:t>Explanation</w:t>
            </w:r>
          </w:p>
        </w:tc>
      </w:tr>
      <w:tr w:rsidR="000830BB" w:rsidRPr="00FA0D37" w14:paraId="4F30D706" w14:textId="77777777" w:rsidTr="00771058">
        <w:tc>
          <w:tcPr>
            <w:tcW w:w="4027" w:type="dxa"/>
            <w:tcBorders>
              <w:top w:val="single" w:sz="4" w:space="0" w:color="auto"/>
              <w:left w:val="single" w:sz="4" w:space="0" w:color="auto"/>
              <w:bottom w:val="single" w:sz="4" w:space="0" w:color="auto"/>
              <w:right w:val="single" w:sz="4" w:space="0" w:color="auto"/>
            </w:tcBorders>
          </w:tcPr>
          <w:p w14:paraId="4DD56209" w14:textId="77777777" w:rsidR="00807B1C" w:rsidRPr="00FA0D37" w:rsidRDefault="00807B1C" w:rsidP="00771058">
            <w:pPr>
              <w:pStyle w:val="TAL"/>
              <w:rPr>
                <w:i/>
                <w:lang w:eastAsia="sv-SE"/>
              </w:rPr>
            </w:pPr>
            <w:r w:rsidRPr="00FA0D37">
              <w:rPr>
                <w:i/>
                <w:lang w:eastAsia="sv-SE"/>
              </w:rPr>
              <w:t>HARQFeedback</w:t>
            </w:r>
          </w:p>
        </w:tc>
        <w:tc>
          <w:tcPr>
            <w:tcW w:w="10146" w:type="dxa"/>
            <w:tcBorders>
              <w:top w:val="single" w:sz="4" w:space="0" w:color="auto"/>
              <w:left w:val="single" w:sz="4" w:space="0" w:color="auto"/>
              <w:bottom w:val="single" w:sz="4" w:space="0" w:color="auto"/>
              <w:right w:val="single" w:sz="4" w:space="0" w:color="auto"/>
            </w:tcBorders>
          </w:tcPr>
          <w:p w14:paraId="0E1ED07C" w14:textId="4E6F0659" w:rsidR="00807B1C" w:rsidRPr="00FA0D37" w:rsidRDefault="00807B1C" w:rsidP="00771058">
            <w:pPr>
              <w:pStyle w:val="TAL"/>
              <w:rPr>
                <w:rFonts w:cs="Arial"/>
                <w:szCs w:val="18"/>
                <w:lang w:eastAsia="sv-SE"/>
              </w:rPr>
            </w:pPr>
            <w:r w:rsidRPr="00FA0D37">
              <w:rPr>
                <w:lang w:eastAsia="sv-SE"/>
              </w:rPr>
              <w:t>The field is mandatory present if HARQ feedback is enabled for a G-RNTI</w:t>
            </w:r>
            <w:r w:rsidR="00853B2B" w:rsidRPr="00FA0D37">
              <w:rPr>
                <w:lang w:eastAsia="sv-SE"/>
              </w:rPr>
              <w:t>/G-CS-RNTI</w:t>
            </w:r>
            <w:r w:rsidRPr="00FA0D37">
              <w:rPr>
                <w:lang w:eastAsia="sv-SE"/>
              </w:rPr>
              <w:t xml:space="preserve"> associated with this DRX configuration.</w:t>
            </w:r>
            <w:r w:rsidRPr="00FA0D37">
              <w:rPr>
                <w:rFonts w:eastAsiaTheme="minorEastAsia" w:cs="Arial"/>
                <w:szCs w:val="18"/>
                <w:lang w:eastAsia="zh-CN"/>
              </w:rPr>
              <w:t xml:space="preserve"> </w:t>
            </w:r>
            <w:ins w:id="1847" w:author="Huawei, HiSilicon" w:date="2023-12-06T15:45:00Z">
              <w:r w:rsidR="00EF781F">
                <w:rPr>
                  <w:lang w:eastAsia="sv-SE"/>
                </w:rPr>
                <w:t xml:space="preserve">The field is optionally present if the IE </w:t>
              </w:r>
              <w:r w:rsidR="00EF781F">
                <w:rPr>
                  <w:i/>
                </w:rPr>
                <w:t>DRX-</w:t>
              </w:r>
              <w:r w:rsidR="00EF781F">
                <w:rPr>
                  <w:i/>
                  <w:iCs/>
                </w:rPr>
                <w:t>ConfigPTM</w:t>
              </w:r>
              <w:r w:rsidR="00EF781F">
                <w:rPr>
                  <w:lang w:eastAsia="sv-SE"/>
                </w:rPr>
                <w:t xml:space="preserve"> is included in </w:t>
              </w:r>
              <w:r w:rsidR="00EF781F">
                <w:rPr>
                  <w:i/>
                  <w:lang w:eastAsia="sv-SE"/>
                </w:rPr>
                <w:t>MBSMulticastConfiguration</w:t>
              </w:r>
              <w:r w:rsidR="00EF781F">
                <w:rPr>
                  <w:lang w:eastAsia="sv-SE"/>
                </w:rPr>
                <w:t>, need R.</w:t>
              </w:r>
              <w:r w:rsidR="00EF781F">
                <w:rPr>
                  <w:rFonts w:eastAsia="Yu Mincho" w:cs="Arial"/>
                  <w:szCs w:val="18"/>
                  <w:lang w:eastAsia="zh-CN"/>
                </w:rPr>
                <w:t xml:space="preserve"> </w:t>
              </w:r>
            </w:ins>
            <w:r w:rsidRPr="00FA0D37">
              <w:rPr>
                <w:lang w:eastAsia="sv-SE"/>
              </w:rPr>
              <w:t xml:space="preserve">It is absent otherwise. </w:t>
            </w:r>
          </w:p>
        </w:tc>
      </w:tr>
    </w:tbl>
    <w:p w14:paraId="1FB5E0F1" w14:textId="77777777" w:rsidR="00807B1C" w:rsidRPr="00FA0D37" w:rsidRDefault="00807B1C" w:rsidP="000830BB"/>
    <w:p w14:paraId="1F833646" w14:textId="57974B2A" w:rsidR="00807B1C" w:rsidRPr="00FA0D37" w:rsidRDefault="00807B1C" w:rsidP="00807B1C">
      <w:pPr>
        <w:pStyle w:val="4"/>
      </w:pPr>
      <w:bookmarkStart w:id="1848" w:name="_Toc146781691"/>
      <w:r w:rsidRPr="00FA0D37">
        <w:t>–</w:t>
      </w:r>
      <w:r w:rsidRPr="00FA0D37">
        <w:tab/>
      </w:r>
      <w:r w:rsidRPr="00FA0D37">
        <w:rPr>
          <w:i/>
        </w:rPr>
        <w:t>MBS-</w:t>
      </w:r>
      <w:r w:rsidRPr="00FA0D37">
        <w:rPr>
          <w:i/>
          <w:iCs/>
        </w:rPr>
        <w:t>NeighbourCellList</w:t>
      </w:r>
      <w:bookmarkEnd w:id="1848"/>
    </w:p>
    <w:p w14:paraId="07C5E22A" w14:textId="07D01A9E" w:rsidR="00807B1C" w:rsidRPr="00FA0D37" w:rsidRDefault="00807B1C" w:rsidP="00807B1C">
      <w:pPr>
        <w:rPr>
          <w:lang w:eastAsia="zh-CN"/>
        </w:rPr>
      </w:pPr>
      <w:r w:rsidRPr="00FA0D37">
        <w:rPr>
          <w:lang w:eastAsia="zh-CN"/>
        </w:rPr>
        <w:t xml:space="preserve">The IE </w:t>
      </w:r>
      <w:r w:rsidRPr="00FA0D37">
        <w:rPr>
          <w:i/>
          <w:lang w:eastAsia="zh-CN"/>
        </w:rPr>
        <w:t>MBS</w:t>
      </w:r>
      <w:r w:rsidRPr="00FA0D37">
        <w:rPr>
          <w:i/>
        </w:rPr>
        <w:t>-</w:t>
      </w:r>
      <w:r w:rsidRPr="00FA0D37">
        <w:rPr>
          <w:i/>
          <w:lang w:eastAsia="zh-CN"/>
        </w:rPr>
        <w:t>NeighbourCellList</w:t>
      </w:r>
      <w:r w:rsidRPr="00FA0D37">
        <w:rPr>
          <w:lang w:eastAsia="zh-CN"/>
        </w:rPr>
        <w:t xml:space="preserve"> </w:t>
      </w:r>
      <w:r w:rsidRPr="00FA0D37">
        <w:t>indicates</w:t>
      </w:r>
      <w:r w:rsidRPr="00FA0D37">
        <w:rPr>
          <w:lang w:eastAsia="zh-CN"/>
        </w:rPr>
        <w:t xml:space="preserve"> a list of neighbour cells where ongoing MBS sessions provided via broadcast MRB in the current cell </w:t>
      </w:r>
      <w:r w:rsidR="002C350C" w:rsidRPr="00FA0D37">
        <w:rPr>
          <w:lang w:eastAsia="zh-CN"/>
        </w:rPr>
        <w:t>may</w:t>
      </w:r>
      <w:r w:rsidRPr="00FA0D37">
        <w:rPr>
          <w:lang w:eastAsia="zh-CN"/>
        </w:rPr>
        <w:t xml:space="preserve"> also </w:t>
      </w:r>
      <w:r w:rsidR="002C350C" w:rsidRPr="00FA0D37">
        <w:rPr>
          <w:lang w:eastAsia="zh-CN"/>
        </w:rPr>
        <w:t xml:space="preserve">be </w:t>
      </w:r>
      <w:r w:rsidRPr="00FA0D37">
        <w:rPr>
          <w:lang w:eastAsia="zh-CN"/>
        </w:rPr>
        <w:t>provided</w:t>
      </w:r>
      <w:r w:rsidR="002C350C" w:rsidRPr="00FA0D37">
        <w:rPr>
          <w:lang w:eastAsia="zh-CN"/>
        </w:rPr>
        <w:t xml:space="preserve">, as indicated in the </w:t>
      </w:r>
      <w:r w:rsidR="002C350C" w:rsidRPr="00FA0D37">
        <w:rPr>
          <w:i/>
          <w:iCs/>
          <w:lang w:eastAsia="zh-CN"/>
        </w:rPr>
        <w:t>mtch-NeighbourCell</w:t>
      </w:r>
      <w:r w:rsidRPr="00FA0D37">
        <w:rPr>
          <w:lang w:eastAsia="zh-CN"/>
        </w:rPr>
        <w:t>.</w:t>
      </w:r>
    </w:p>
    <w:p w14:paraId="637AE1CF" w14:textId="19DACD46" w:rsidR="00F50528" w:rsidRPr="00FA0D37" w:rsidRDefault="00F50528" w:rsidP="00F747EB">
      <w:pPr>
        <w:pStyle w:val="TH"/>
        <w:rPr>
          <w:rFonts w:eastAsiaTheme="minorEastAsia"/>
          <w:lang w:eastAsia="zh-CN"/>
        </w:rPr>
      </w:pPr>
      <w:r w:rsidRPr="00FA0D37">
        <w:rPr>
          <w:rFonts w:eastAsiaTheme="minorEastAsia"/>
          <w:i/>
          <w:iCs/>
          <w:lang w:eastAsia="zh-CN"/>
        </w:rPr>
        <w:t>MBS-NeighbourCellList</w:t>
      </w:r>
      <w:r w:rsidRPr="00FA0D37">
        <w:rPr>
          <w:rFonts w:eastAsiaTheme="minorEastAsia"/>
          <w:lang w:eastAsia="zh-CN"/>
        </w:rPr>
        <w:t xml:space="preserve"> information element</w:t>
      </w:r>
    </w:p>
    <w:p w14:paraId="4D822AB7" w14:textId="77777777" w:rsidR="00807B1C" w:rsidRPr="00FA0D37" w:rsidRDefault="00807B1C" w:rsidP="00FA0D37">
      <w:pPr>
        <w:pStyle w:val="PL"/>
        <w:rPr>
          <w:color w:val="808080"/>
        </w:rPr>
      </w:pPr>
      <w:r w:rsidRPr="00FA0D37">
        <w:rPr>
          <w:color w:val="808080"/>
        </w:rPr>
        <w:t>-- ASN1START</w:t>
      </w:r>
    </w:p>
    <w:p w14:paraId="15AD96EF" w14:textId="77777777" w:rsidR="00807B1C" w:rsidRPr="00FA0D37" w:rsidRDefault="00807B1C" w:rsidP="00FA0D37">
      <w:pPr>
        <w:pStyle w:val="PL"/>
        <w:rPr>
          <w:color w:val="808080"/>
        </w:rPr>
      </w:pPr>
      <w:r w:rsidRPr="00FA0D37">
        <w:rPr>
          <w:color w:val="808080"/>
        </w:rPr>
        <w:t>-- TAG-MBS-NEIGHBOURCELLLIST-START</w:t>
      </w:r>
    </w:p>
    <w:p w14:paraId="3F840A3E" w14:textId="77777777" w:rsidR="00807B1C" w:rsidRPr="00FA0D37" w:rsidRDefault="00807B1C" w:rsidP="00FA0D37">
      <w:pPr>
        <w:pStyle w:val="PL"/>
      </w:pPr>
    </w:p>
    <w:p w14:paraId="4789C7F0" w14:textId="0B5D2287" w:rsidR="00807B1C" w:rsidRPr="00FA0D37" w:rsidRDefault="00807B1C" w:rsidP="00FA0D37">
      <w:pPr>
        <w:pStyle w:val="PL"/>
      </w:pPr>
      <w:r w:rsidRPr="00FA0D37">
        <w:t xml:space="preserve">MBS-NeighbourCellList-r17 ::=     </w:t>
      </w:r>
      <w:r w:rsidRPr="00FA0D37">
        <w:rPr>
          <w:color w:val="993366"/>
        </w:rPr>
        <w:t>SEQUENCE</w:t>
      </w:r>
      <w:r w:rsidRPr="00FA0D37">
        <w:t xml:space="preserve"> (</w:t>
      </w:r>
      <w:r w:rsidRPr="00FA0D37">
        <w:rPr>
          <w:color w:val="993366"/>
        </w:rPr>
        <w:t>SIZE</w:t>
      </w:r>
      <w:r w:rsidRPr="00FA0D37">
        <w:t xml:space="preserve"> (0..maxNeighCellMBS-r17))</w:t>
      </w:r>
      <w:r w:rsidRPr="00FA0D37">
        <w:rPr>
          <w:color w:val="993366"/>
        </w:rPr>
        <w:t xml:space="preserve"> OF</w:t>
      </w:r>
      <w:r w:rsidRPr="00FA0D37">
        <w:t xml:space="preserve"> </w:t>
      </w:r>
      <w:r w:rsidR="005500DB" w:rsidRPr="00FA0D37">
        <w:t>MBS-NeighbourCell</w:t>
      </w:r>
      <w:r w:rsidRPr="00FA0D37">
        <w:t>-r17</w:t>
      </w:r>
    </w:p>
    <w:p w14:paraId="0BC80CBF" w14:textId="77777777" w:rsidR="00807B1C" w:rsidRPr="00FA0D37" w:rsidRDefault="00807B1C" w:rsidP="00FA0D37">
      <w:pPr>
        <w:pStyle w:val="PL"/>
      </w:pPr>
    </w:p>
    <w:p w14:paraId="149DA49A" w14:textId="25B8BD6A" w:rsidR="00807B1C" w:rsidRPr="00FA0D37" w:rsidRDefault="005500DB" w:rsidP="00FA0D37">
      <w:pPr>
        <w:pStyle w:val="PL"/>
      </w:pPr>
      <w:r w:rsidRPr="00FA0D37">
        <w:t>MBS-NeighbourCell</w:t>
      </w:r>
      <w:r w:rsidR="00807B1C" w:rsidRPr="00FA0D37">
        <w:t xml:space="preserve">-r17 ::=         </w:t>
      </w:r>
      <w:r w:rsidR="00807B1C" w:rsidRPr="00FA0D37">
        <w:rPr>
          <w:color w:val="993366"/>
        </w:rPr>
        <w:t>SEQUENCE</w:t>
      </w:r>
      <w:r w:rsidR="00807B1C" w:rsidRPr="00FA0D37">
        <w:t xml:space="preserve"> {</w:t>
      </w:r>
    </w:p>
    <w:p w14:paraId="7EC057AC" w14:textId="77777777" w:rsidR="00807B1C" w:rsidRPr="00FA0D37" w:rsidRDefault="00807B1C" w:rsidP="00FA0D37">
      <w:pPr>
        <w:pStyle w:val="PL"/>
      </w:pPr>
      <w:r w:rsidRPr="00FA0D37">
        <w:t xml:space="preserve">    physCellId-r17                    PhysCellId,</w:t>
      </w:r>
    </w:p>
    <w:p w14:paraId="33F05660" w14:textId="7274B99A" w:rsidR="00807B1C" w:rsidRPr="00FA0D37" w:rsidRDefault="00807B1C" w:rsidP="00FA0D37">
      <w:pPr>
        <w:pStyle w:val="PL"/>
        <w:rPr>
          <w:color w:val="808080"/>
        </w:rPr>
      </w:pPr>
      <w:r w:rsidRPr="00FA0D37">
        <w:t xml:space="preserve">    carrierFreq-r17                   ARFCN-ValueNR                                  </w:t>
      </w:r>
      <w:r w:rsidRPr="00FA0D37">
        <w:rPr>
          <w:color w:val="993366"/>
        </w:rPr>
        <w:t>OPTIONAL</w:t>
      </w:r>
      <w:r w:rsidRPr="00FA0D37">
        <w:t xml:space="preserve">  </w:t>
      </w:r>
      <w:r w:rsidRPr="00FA0D37">
        <w:rPr>
          <w:color w:val="808080"/>
        </w:rPr>
        <w:t>-- Need S</w:t>
      </w:r>
    </w:p>
    <w:p w14:paraId="262E6224" w14:textId="77777777" w:rsidR="00807B1C" w:rsidRPr="00FA0D37" w:rsidRDefault="00807B1C" w:rsidP="00FA0D37">
      <w:pPr>
        <w:pStyle w:val="PL"/>
      </w:pPr>
      <w:r w:rsidRPr="00FA0D37">
        <w:t>}</w:t>
      </w:r>
    </w:p>
    <w:p w14:paraId="5C77BA92" w14:textId="77777777" w:rsidR="00807B1C" w:rsidRPr="00FA0D37" w:rsidRDefault="00807B1C" w:rsidP="00FA0D37">
      <w:pPr>
        <w:pStyle w:val="PL"/>
      </w:pPr>
    </w:p>
    <w:p w14:paraId="783D556B" w14:textId="77777777" w:rsidR="00807B1C" w:rsidRPr="00FA0D37" w:rsidRDefault="00807B1C" w:rsidP="00FA0D37">
      <w:pPr>
        <w:pStyle w:val="PL"/>
        <w:rPr>
          <w:color w:val="808080"/>
        </w:rPr>
      </w:pPr>
      <w:r w:rsidRPr="00FA0D37">
        <w:rPr>
          <w:color w:val="808080"/>
        </w:rPr>
        <w:t>-- TAG-MBS-NEIGHBOURCELLLIST-STOP</w:t>
      </w:r>
    </w:p>
    <w:p w14:paraId="6402D6AA" w14:textId="77777777" w:rsidR="00807B1C" w:rsidRPr="00FA0D37" w:rsidRDefault="00807B1C" w:rsidP="00FA0D37">
      <w:pPr>
        <w:pStyle w:val="PL"/>
        <w:rPr>
          <w:color w:val="808080"/>
        </w:rPr>
      </w:pPr>
      <w:r w:rsidRPr="00FA0D37">
        <w:rPr>
          <w:color w:val="808080"/>
        </w:rPr>
        <w:t>-- ASN1STOP</w:t>
      </w:r>
    </w:p>
    <w:p w14:paraId="5BF22E11" w14:textId="77777777" w:rsidR="00807B1C" w:rsidRPr="00FA0D37" w:rsidRDefault="00807B1C" w:rsidP="00807B1C">
      <w:pPr>
        <w:rPr>
          <w:iCs/>
          <w:lang w:eastAsia="zh-CN"/>
        </w:rPr>
      </w:pPr>
    </w:p>
    <w:tbl>
      <w:tblPr>
        <w:tblW w:w="140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17"/>
      </w:tblGrid>
      <w:tr w:rsidR="005C7FF4" w:rsidRPr="00FA0D37" w14:paraId="0C8E8175" w14:textId="77777777" w:rsidTr="00771058">
        <w:trPr>
          <w:cantSplit/>
          <w:tblHeader/>
        </w:trPr>
        <w:tc>
          <w:tcPr>
            <w:tcW w:w="14017" w:type="dxa"/>
          </w:tcPr>
          <w:p w14:paraId="74DE3B1B" w14:textId="7E2F01BD" w:rsidR="00807B1C" w:rsidRPr="00FA0D37" w:rsidRDefault="00807B1C" w:rsidP="00771058">
            <w:pPr>
              <w:pStyle w:val="TAH"/>
              <w:rPr>
                <w:b w:val="0"/>
                <w:lang w:eastAsia="en-GB"/>
              </w:rPr>
            </w:pPr>
            <w:r w:rsidRPr="00FA0D37">
              <w:rPr>
                <w:i/>
                <w:iCs/>
                <w:lang w:eastAsia="en-GB"/>
              </w:rPr>
              <w:lastRenderedPageBreak/>
              <w:t>MBS-</w:t>
            </w:r>
            <w:r w:rsidRPr="00FA0D37">
              <w:rPr>
                <w:i/>
                <w:szCs w:val="22"/>
                <w:lang w:eastAsia="sv-SE"/>
              </w:rPr>
              <w:t>NeighbourCellList</w:t>
            </w:r>
            <w:r w:rsidRPr="00FA0D37">
              <w:rPr>
                <w:iCs/>
                <w:lang w:eastAsia="en-GB"/>
              </w:rPr>
              <w:t xml:space="preserve"> field description</w:t>
            </w:r>
            <w:r w:rsidR="00C72BC5" w:rsidRPr="00FA0D37">
              <w:rPr>
                <w:iCs/>
                <w:lang w:eastAsia="en-GB"/>
              </w:rPr>
              <w:t>s</w:t>
            </w:r>
          </w:p>
        </w:tc>
      </w:tr>
      <w:tr w:rsidR="00807B1C" w:rsidRPr="00FA0D37" w14:paraId="767255FC" w14:textId="77777777" w:rsidTr="00771058">
        <w:trPr>
          <w:cantSplit/>
        </w:trPr>
        <w:tc>
          <w:tcPr>
            <w:tcW w:w="14017" w:type="dxa"/>
            <w:tcBorders>
              <w:top w:val="single" w:sz="4" w:space="0" w:color="808080"/>
              <w:left w:val="single" w:sz="4" w:space="0" w:color="808080"/>
              <w:bottom w:val="single" w:sz="4" w:space="0" w:color="808080"/>
              <w:right w:val="single" w:sz="4" w:space="0" w:color="808080"/>
            </w:tcBorders>
          </w:tcPr>
          <w:p w14:paraId="520928B7" w14:textId="77777777" w:rsidR="00807B1C" w:rsidRPr="00FA0D37" w:rsidRDefault="00807B1C" w:rsidP="00771058">
            <w:pPr>
              <w:pStyle w:val="TAL"/>
              <w:rPr>
                <w:b/>
                <w:bCs/>
                <w:i/>
                <w:lang w:eastAsia="en-GB"/>
              </w:rPr>
            </w:pPr>
            <w:r w:rsidRPr="00FA0D37">
              <w:rPr>
                <w:b/>
                <w:bCs/>
                <w:i/>
                <w:iCs/>
                <w:lang w:eastAsia="en-GB"/>
              </w:rPr>
              <w:t>carrierFreq</w:t>
            </w:r>
          </w:p>
          <w:p w14:paraId="446BCBB2" w14:textId="77777777" w:rsidR="00807B1C" w:rsidRPr="00FA0D37" w:rsidRDefault="00807B1C" w:rsidP="00771058">
            <w:pPr>
              <w:pStyle w:val="TAL"/>
              <w:rPr>
                <w:b/>
                <w:bCs/>
                <w:i/>
                <w:lang w:eastAsia="zh-CN"/>
              </w:rPr>
            </w:pPr>
            <w:r w:rsidRPr="00FA0D37">
              <w:rPr>
                <w:bCs/>
                <w:lang w:eastAsia="en-GB"/>
              </w:rPr>
              <w:t xml:space="preserve">Indicates the </w:t>
            </w:r>
            <w:r w:rsidRPr="00FA0D37">
              <w:rPr>
                <w:lang w:eastAsia="en-GB"/>
              </w:rPr>
              <w:t>frequency</w:t>
            </w:r>
            <w:r w:rsidRPr="00FA0D37">
              <w:rPr>
                <w:bCs/>
                <w:lang w:eastAsia="en-GB"/>
              </w:rPr>
              <w:t xml:space="preserve"> of the </w:t>
            </w:r>
            <w:r w:rsidRPr="00FA0D37">
              <w:rPr>
                <w:lang w:eastAsia="zh-CN"/>
              </w:rPr>
              <w:t xml:space="preserve">neighbour </w:t>
            </w:r>
            <w:r w:rsidRPr="00FA0D37">
              <w:rPr>
                <w:bCs/>
                <w:lang w:eastAsia="en-GB"/>
              </w:rPr>
              <w:t xml:space="preserve">cell </w:t>
            </w:r>
            <w:r w:rsidRPr="00FA0D37">
              <w:rPr>
                <w:bCs/>
                <w:lang w:eastAsia="zh-CN"/>
              </w:rPr>
              <w:t>indicated</w:t>
            </w:r>
            <w:r w:rsidRPr="00FA0D37">
              <w:rPr>
                <w:bCs/>
                <w:lang w:eastAsia="en-GB"/>
              </w:rPr>
              <w:t xml:space="preserve"> by </w:t>
            </w:r>
            <w:r w:rsidRPr="00FA0D37">
              <w:rPr>
                <w:bCs/>
                <w:i/>
                <w:lang w:eastAsia="en-GB"/>
              </w:rPr>
              <w:t>physCellId</w:t>
            </w:r>
            <w:r w:rsidRPr="00FA0D37">
              <w:rPr>
                <w:bCs/>
                <w:lang w:eastAsia="en-GB"/>
              </w:rPr>
              <w:t xml:space="preserve">. Absence of the IE means that the </w:t>
            </w:r>
            <w:r w:rsidRPr="00FA0D37">
              <w:rPr>
                <w:lang w:eastAsia="zh-CN"/>
              </w:rPr>
              <w:t xml:space="preserve">neighbour </w:t>
            </w:r>
            <w:r w:rsidRPr="00FA0D37">
              <w:rPr>
                <w:bCs/>
                <w:lang w:eastAsia="en-GB"/>
              </w:rPr>
              <w:t xml:space="preserve">cell is on the same frequency </w:t>
            </w:r>
            <w:r w:rsidRPr="00FA0D37">
              <w:rPr>
                <w:bCs/>
                <w:lang w:eastAsia="zh-CN"/>
              </w:rPr>
              <w:t>as</w:t>
            </w:r>
            <w:r w:rsidRPr="00FA0D37">
              <w:rPr>
                <w:bCs/>
                <w:lang w:eastAsia="en-GB"/>
              </w:rPr>
              <w:t xml:space="preserve"> </w:t>
            </w:r>
            <w:r w:rsidRPr="00FA0D37">
              <w:rPr>
                <w:bCs/>
                <w:lang w:eastAsia="zh-CN"/>
              </w:rPr>
              <w:t xml:space="preserve">the </w:t>
            </w:r>
            <w:r w:rsidRPr="00FA0D37">
              <w:rPr>
                <w:bCs/>
                <w:lang w:eastAsia="en-GB"/>
              </w:rPr>
              <w:t>current cell.</w:t>
            </w:r>
          </w:p>
        </w:tc>
      </w:tr>
    </w:tbl>
    <w:p w14:paraId="1B599B16" w14:textId="0906C2DE" w:rsidR="00807B1C" w:rsidRDefault="00807B1C" w:rsidP="00807B1C">
      <w:pPr>
        <w:rPr>
          <w:rFonts w:eastAsiaTheme="minorEastAsia"/>
          <w:iCs/>
        </w:rPr>
      </w:pPr>
    </w:p>
    <w:p w14:paraId="3D3E338E" w14:textId="77777777" w:rsidR="00EF781F" w:rsidRDefault="00EF781F" w:rsidP="00EF781F">
      <w:pPr>
        <w:pStyle w:val="4"/>
        <w:rPr>
          <w:ins w:id="1849" w:author="Huawei, HiSilicon" w:date="2023-11-02T14:40:00Z"/>
          <w:rFonts w:eastAsia="MS Mincho"/>
        </w:rPr>
      </w:pPr>
      <w:ins w:id="1850" w:author="Huawei, HiSilicon" w:date="2023-11-02T14:40:00Z">
        <w:r>
          <w:t>–</w:t>
        </w:r>
        <w:r>
          <w:tab/>
        </w:r>
        <w:r w:rsidRPr="00EF781F">
          <w:rPr>
            <w:i/>
          </w:rPr>
          <w:t>MBS-NonServingInfoList</w:t>
        </w:r>
      </w:ins>
    </w:p>
    <w:p w14:paraId="164C9593" w14:textId="77777777" w:rsidR="00EF781F" w:rsidRDefault="00EF781F" w:rsidP="00EF781F">
      <w:pPr>
        <w:rPr>
          <w:ins w:id="1851" w:author="Huawei, HiSilicon" w:date="2023-11-02T14:40:00Z"/>
        </w:rPr>
      </w:pPr>
      <w:ins w:id="1852" w:author="Huawei, HiSilicon" w:date="2023-11-02T14:40:00Z">
        <w:r>
          <w:t xml:space="preserve">The IE </w:t>
        </w:r>
        <w:r>
          <w:rPr>
            <w:i/>
            <w:lang w:eastAsia="zh-CN"/>
          </w:rPr>
          <w:t xml:space="preserve">MBS-NonServingInfoList </w:t>
        </w:r>
        <w:r>
          <w:t xml:space="preserve">is used to inform network of the frequencies, CFR information and subcarrier spacing </w:t>
        </w:r>
        <w:r>
          <w:rPr>
            <w:lang w:eastAsia="zh-CN"/>
          </w:rPr>
          <w:t>for MBS broadcast reception on the non-serving cell.</w:t>
        </w:r>
      </w:ins>
    </w:p>
    <w:p w14:paraId="1312E3D3" w14:textId="77777777" w:rsidR="00EF781F" w:rsidRPr="00EF781F" w:rsidRDefault="00EF781F" w:rsidP="00EF781F">
      <w:pPr>
        <w:pStyle w:val="TH"/>
        <w:rPr>
          <w:ins w:id="1853" w:author="Huawei, HiSilicon" w:date="2023-11-02T14:40:00Z"/>
          <w:rFonts w:eastAsiaTheme="minorEastAsia"/>
          <w:i/>
          <w:iCs/>
          <w:lang w:eastAsia="zh-CN"/>
        </w:rPr>
      </w:pPr>
      <w:ins w:id="1854" w:author="Huawei, HiSilicon" w:date="2023-11-02T14:40:00Z">
        <w:r w:rsidRPr="00EF781F">
          <w:rPr>
            <w:rFonts w:eastAsiaTheme="minorEastAsia"/>
            <w:i/>
            <w:iCs/>
            <w:lang w:eastAsia="zh-CN"/>
          </w:rPr>
          <w:t>MBS-NonServingInfoList information element</w:t>
        </w:r>
      </w:ins>
    </w:p>
    <w:p w14:paraId="56BACAB3" w14:textId="77777777" w:rsidR="00EF781F" w:rsidRDefault="00EF781F" w:rsidP="00EF781F">
      <w:pPr>
        <w:pStyle w:val="PL"/>
        <w:rPr>
          <w:ins w:id="1855" w:author="Huawei, HiSilicon" w:date="2023-11-02T14:40:00Z"/>
        </w:rPr>
      </w:pPr>
      <w:ins w:id="1856" w:author="Huawei, HiSilicon" w:date="2023-11-02T14:40:00Z">
        <w:r>
          <w:t>-- ASN1START</w:t>
        </w:r>
      </w:ins>
    </w:p>
    <w:p w14:paraId="56FF25F1" w14:textId="77777777" w:rsidR="00EF781F" w:rsidRDefault="00EF781F" w:rsidP="00EF781F">
      <w:pPr>
        <w:pStyle w:val="PL"/>
        <w:rPr>
          <w:ins w:id="1857" w:author="Huawei, HiSilicon" w:date="2023-11-02T14:40:00Z"/>
        </w:rPr>
      </w:pPr>
      <w:ins w:id="1858" w:author="Huawei, HiSilicon" w:date="2023-11-02T14:40:00Z">
        <w:r>
          <w:t>-- TAG-MBS</w:t>
        </w:r>
      </w:ins>
      <w:ins w:id="1859" w:author="Huawei, HiSilicon" w:date="2023-12-04T20:02:00Z">
        <w:r>
          <w:t>-</w:t>
        </w:r>
      </w:ins>
      <w:ins w:id="1860" w:author="Huawei, HiSilicon" w:date="2023-11-02T14:40:00Z">
        <w:r>
          <w:t>NONSERVINGINFOLIST-START</w:t>
        </w:r>
      </w:ins>
    </w:p>
    <w:p w14:paraId="155F847E" w14:textId="77777777" w:rsidR="00EF781F" w:rsidRDefault="00EF781F" w:rsidP="00EF781F">
      <w:pPr>
        <w:pStyle w:val="PL"/>
        <w:rPr>
          <w:ins w:id="1861" w:author="Huawei, HiSilicon" w:date="2023-11-02T14:40:00Z"/>
        </w:rPr>
      </w:pPr>
    </w:p>
    <w:p w14:paraId="0C6A8582" w14:textId="77777777" w:rsidR="00EF781F" w:rsidRDefault="00EF781F" w:rsidP="00EF781F">
      <w:pPr>
        <w:pStyle w:val="PL"/>
        <w:rPr>
          <w:ins w:id="1862" w:author="Huawei, HiSilicon" w:date="2023-11-02T14:40:00Z"/>
        </w:rPr>
      </w:pPr>
      <w:ins w:id="1863" w:author="Huawei, HiSilicon" w:date="2023-11-02T14:40:00Z">
        <w:r>
          <w:t xml:space="preserve">MBS-NonServingInfoList-r18 ::= </w:t>
        </w:r>
      </w:ins>
      <w:ins w:id="1864" w:author="Huawei, HiSilicon" w:date="2023-11-03T15:09:00Z">
        <w:r>
          <w:t xml:space="preserve">   </w:t>
        </w:r>
      </w:ins>
      <w:ins w:id="1865" w:author="Huawei, HiSilicon" w:date="2023-11-02T14:40:00Z">
        <w:r>
          <w:rPr>
            <w:color w:val="993366"/>
          </w:rPr>
          <w:t>SEQUENCE</w:t>
        </w:r>
        <w:r>
          <w:t xml:space="preserve"> (</w:t>
        </w:r>
        <w:r>
          <w:rPr>
            <w:color w:val="993366"/>
          </w:rPr>
          <w:t>SIZE</w:t>
        </w:r>
        <w:r>
          <w:t xml:space="preserve"> (1..maxFreqMBS-r17))</w:t>
        </w:r>
        <w:r>
          <w:rPr>
            <w:color w:val="993366"/>
          </w:rPr>
          <w:t xml:space="preserve"> OF</w:t>
        </w:r>
        <w:r>
          <w:t xml:space="preserve"> NonServingInfo-r18</w:t>
        </w:r>
      </w:ins>
    </w:p>
    <w:p w14:paraId="6D907463" w14:textId="77777777" w:rsidR="00EF781F" w:rsidRDefault="00EF781F" w:rsidP="00EF781F">
      <w:pPr>
        <w:pStyle w:val="PL"/>
        <w:rPr>
          <w:ins w:id="1866" w:author="Huawei, HiSilicon" w:date="2023-11-02T14:40:00Z"/>
        </w:rPr>
      </w:pPr>
    </w:p>
    <w:p w14:paraId="59CDE197" w14:textId="77777777" w:rsidR="00EF781F" w:rsidRDefault="00EF781F" w:rsidP="00EF781F">
      <w:pPr>
        <w:pStyle w:val="PL"/>
        <w:rPr>
          <w:ins w:id="1867" w:author="Huawei, HiSilicon" w:date="2023-11-02T14:40:00Z"/>
        </w:rPr>
      </w:pPr>
      <w:ins w:id="1868" w:author="Huawei, HiSilicon" w:date="2023-11-02T14:40:00Z">
        <w:r>
          <w:t xml:space="preserve">NonServingInfo-r18 ::= </w:t>
        </w:r>
      </w:ins>
      <w:ins w:id="1869" w:author="Huawei, HiSilicon" w:date="2023-11-03T15:10:00Z">
        <w:r>
          <w:t xml:space="preserve">           </w:t>
        </w:r>
      </w:ins>
      <w:ins w:id="1870" w:author="Huawei, HiSilicon" w:date="2023-11-02T14:40:00Z">
        <w:r>
          <w:rPr>
            <w:color w:val="993366"/>
          </w:rPr>
          <w:t>SEQUENCE</w:t>
        </w:r>
        <w:r>
          <w:t xml:space="preserve"> {</w:t>
        </w:r>
      </w:ins>
    </w:p>
    <w:p w14:paraId="4A543FC9" w14:textId="77777777" w:rsidR="00EF781F" w:rsidRDefault="00EF781F" w:rsidP="00EF781F">
      <w:pPr>
        <w:pStyle w:val="PL"/>
        <w:rPr>
          <w:ins w:id="1871" w:author="Huawei, HiSilicon" w:date="2023-11-02T14:40:00Z"/>
        </w:rPr>
      </w:pPr>
      <w:ins w:id="1872" w:author="Huawei, HiSilicon" w:date="2023-11-03T15:04:00Z">
        <w:r>
          <w:t xml:space="preserve">    </w:t>
        </w:r>
      </w:ins>
      <w:ins w:id="1873" w:author="Huawei, HiSilicon" w:date="2023-11-02T14:40:00Z">
        <w:r>
          <w:t xml:space="preserve">freqInfoMBS-r18       </w:t>
        </w:r>
      </w:ins>
      <w:ins w:id="1874" w:author="Huawei, HiSilicon" w:date="2023-11-03T15:04:00Z">
        <w:r>
          <w:t xml:space="preserve">            </w:t>
        </w:r>
      </w:ins>
      <w:ins w:id="1875" w:author="Huawei, HiSilicon" w:date="2023-11-02T14:40:00Z">
        <w:r>
          <w:t>FreqInfoMBS-r18</w:t>
        </w:r>
        <w:r>
          <w:rPr>
            <w:color w:val="993366"/>
          </w:rPr>
          <w:t xml:space="preserve">                                     </w:t>
        </w:r>
      </w:ins>
      <w:ins w:id="1876" w:author="Huawei, HiSilicon" w:date="2023-12-01T18:07:00Z">
        <w:r>
          <w:rPr>
            <w:color w:val="993366"/>
          </w:rPr>
          <w:t xml:space="preserve"> </w:t>
        </w:r>
      </w:ins>
      <w:ins w:id="1877" w:author="Huawei, HiSilicon" w:date="2023-11-02T14:40:00Z">
        <w:r>
          <w:rPr>
            <w:color w:val="993366"/>
          </w:rPr>
          <w:t xml:space="preserve">    OPTIONAL</w:t>
        </w:r>
        <w:r>
          <w:rPr>
            <w:lang w:eastAsia="zh-CN"/>
          </w:rPr>
          <w:t>,</w:t>
        </w:r>
      </w:ins>
    </w:p>
    <w:p w14:paraId="1D1FEB5F" w14:textId="77777777" w:rsidR="00EF781F" w:rsidRDefault="00EF781F" w:rsidP="00EF781F">
      <w:pPr>
        <w:pStyle w:val="PL"/>
        <w:rPr>
          <w:ins w:id="1878" w:author="Huawei, HiSilicon" w:date="2023-11-02T14:40:00Z"/>
        </w:rPr>
      </w:pPr>
      <w:ins w:id="1879" w:author="Huawei, HiSilicon" w:date="2023-11-03T15:04:00Z">
        <w:r>
          <w:t xml:space="preserve">    </w:t>
        </w:r>
      </w:ins>
      <w:ins w:id="1880" w:author="Huawei, HiSilicon" w:date="2023-11-02T14:40:00Z">
        <w:r>
          <w:t xml:space="preserve">cfr-InfoMBS-r18                </w:t>
        </w:r>
      </w:ins>
      <w:ins w:id="1881" w:author="Huawei, HiSilicon" w:date="2023-11-03T15:04:00Z">
        <w:r>
          <w:t xml:space="preserve">   </w:t>
        </w:r>
      </w:ins>
      <w:ins w:id="1882" w:author="Huawei, HiSilicon" w:date="2023-11-02T14:40:00Z">
        <w:r>
          <w:t xml:space="preserve">CHOICE </w:t>
        </w:r>
        <w:r>
          <w:rPr>
            <w:color w:val="993366"/>
          </w:rPr>
          <w:t>{</w:t>
        </w:r>
      </w:ins>
    </w:p>
    <w:p w14:paraId="6C955DD2" w14:textId="77777777" w:rsidR="00EF781F" w:rsidRDefault="00EF781F" w:rsidP="00EF781F">
      <w:pPr>
        <w:pStyle w:val="PL"/>
        <w:rPr>
          <w:ins w:id="1883" w:author="Huawei, HiSilicon" w:date="2023-11-02T14:40:00Z"/>
        </w:rPr>
      </w:pPr>
      <w:ins w:id="1884" w:author="Huawei, HiSilicon" w:date="2023-11-03T15:05:00Z">
        <w:r>
          <w:t xml:space="preserve">        </w:t>
        </w:r>
      </w:ins>
      <w:ins w:id="1885" w:author="Huawei, HiSilicon" w:date="2023-11-02T14:40:00Z">
        <w:r>
          <w:rPr>
            <w:color w:val="000000"/>
          </w:rPr>
          <w:t>cfr-Bandwidth-r18</w:t>
        </w:r>
        <w:r>
          <w:rPr>
            <w:color w:val="993366"/>
          </w:rPr>
          <w:t xml:space="preserve">             INTEGER</w:t>
        </w:r>
        <w:r>
          <w:t xml:space="preserve"> (1..maxNrofPhysicalResourceBlocks),</w:t>
        </w:r>
      </w:ins>
    </w:p>
    <w:p w14:paraId="393D37FA" w14:textId="77777777" w:rsidR="00EF781F" w:rsidRDefault="00EF781F" w:rsidP="00EF781F">
      <w:pPr>
        <w:pStyle w:val="PL"/>
        <w:rPr>
          <w:ins w:id="1886" w:author="Huawei, HiSilicon" w:date="2023-11-02T14:40:00Z"/>
          <w:color w:val="993366"/>
        </w:rPr>
      </w:pPr>
      <w:ins w:id="1887" w:author="Huawei, HiSilicon" w:date="2023-11-03T15:05:00Z">
        <w:r>
          <w:t xml:space="preserve">        </w:t>
        </w:r>
      </w:ins>
      <w:ins w:id="1888" w:author="Huawei, HiSilicon" w:date="2023-11-02T14:40:00Z">
        <w:r>
          <w:t>cfr-Location</w:t>
        </w:r>
        <w:r>
          <w:rPr>
            <w:color w:val="000000"/>
          </w:rPr>
          <w:t>AndBW-r18</w:t>
        </w:r>
      </w:ins>
      <w:ins w:id="1889" w:author="Huawei, HiSilicon" w:date="2023-11-03T15:05:00Z">
        <w:r>
          <w:t xml:space="preserve">             </w:t>
        </w:r>
      </w:ins>
      <w:ins w:id="1890" w:author="Huawei, HiSilicon" w:date="2023-11-02T14:40:00Z">
        <w:r>
          <w:rPr>
            <w:color w:val="000000"/>
          </w:rPr>
          <w:t>CFR-LocationAndBW-r18</w:t>
        </w:r>
      </w:ins>
    </w:p>
    <w:p w14:paraId="7C9940DE" w14:textId="77777777" w:rsidR="00EF781F" w:rsidRDefault="00EF781F" w:rsidP="00EF781F">
      <w:pPr>
        <w:pStyle w:val="PL"/>
        <w:rPr>
          <w:ins w:id="1891" w:author="Huawei, HiSilicon" w:date="2023-11-02T14:40:00Z"/>
          <w:lang w:eastAsia="zh-CN"/>
        </w:rPr>
      </w:pPr>
      <w:ins w:id="1892" w:author="Huawei, HiSilicon" w:date="2023-11-02T14:40:00Z">
        <w:r>
          <w:rPr>
            <w:lang w:eastAsia="zh-CN"/>
          </w:rPr>
          <w:t>}</w:t>
        </w:r>
        <w:r>
          <w:rPr>
            <w:color w:val="993366"/>
          </w:rPr>
          <w:t xml:space="preserve">                                                                                    </w:t>
        </w:r>
      </w:ins>
      <w:ins w:id="1893" w:author="Huawei, HiSilicon" w:date="2023-12-01T18:06:00Z">
        <w:r>
          <w:rPr>
            <w:color w:val="993366"/>
          </w:rPr>
          <w:t xml:space="preserve">    </w:t>
        </w:r>
      </w:ins>
      <w:ins w:id="1894" w:author="Huawei, HiSilicon" w:date="2023-11-02T14:40:00Z">
        <w:r>
          <w:rPr>
            <w:color w:val="993366"/>
          </w:rPr>
          <w:t xml:space="preserve">      OPTIONAL</w:t>
        </w:r>
        <w:r>
          <w:rPr>
            <w:lang w:eastAsia="zh-CN"/>
          </w:rPr>
          <w:t>,</w:t>
        </w:r>
      </w:ins>
    </w:p>
    <w:p w14:paraId="1E5A76B1" w14:textId="77777777" w:rsidR="00EF781F" w:rsidRDefault="00EF781F" w:rsidP="00EF781F">
      <w:pPr>
        <w:pStyle w:val="PL"/>
        <w:rPr>
          <w:ins w:id="1895" w:author="Huawei, HiSilicon" w:date="2023-11-02T14:40:00Z"/>
          <w:color w:val="993366"/>
        </w:rPr>
      </w:pPr>
      <w:ins w:id="1896" w:author="Huawei, HiSilicon" w:date="2023-11-03T15:05:00Z">
        <w:r>
          <w:t xml:space="preserve">    </w:t>
        </w:r>
      </w:ins>
      <w:ins w:id="1897" w:author="Huawei, HiSilicon" w:date="2023-11-02T14:40:00Z">
        <w:r>
          <w:t xml:space="preserve">subcarrierSpacing-r18            </w:t>
        </w:r>
      </w:ins>
      <w:ins w:id="1898" w:author="Huawei, HiSilicon" w:date="2023-11-03T15:06:00Z">
        <w:r>
          <w:t xml:space="preserve"> </w:t>
        </w:r>
      </w:ins>
      <w:ins w:id="1899" w:author="Huawei, HiSilicon" w:date="2023-11-02T14:40:00Z">
        <w:r>
          <w:t>SubcarrierSpacing</w:t>
        </w:r>
      </w:ins>
      <w:ins w:id="1900" w:author="Huawei, HiSilicon" w:date="2023-11-03T15:06:00Z">
        <w:r>
          <w:t xml:space="preserve">                   </w:t>
        </w:r>
      </w:ins>
      <w:ins w:id="1901" w:author="Huawei, HiSilicon" w:date="2023-11-03T15:11:00Z">
        <w:r>
          <w:t xml:space="preserve">                </w:t>
        </w:r>
      </w:ins>
      <w:ins w:id="1902" w:author="Huawei, HiSilicon" w:date="2023-11-03T15:06:00Z">
        <w:r>
          <w:t xml:space="preserve">     </w:t>
        </w:r>
      </w:ins>
      <w:ins w:id="1903" w:author="Huawei, HiSilicon" w:date="2023-11-02T14:40:00Z">
        <w:r>
          <w:rPr>
            <w:color w:val="993366"/>
          </w:rPr>
          <w:t>OPTIONAL</w:t>
        </w:r>
      </w:ins>
    </w:p>
    <w:p w14:paraId="0F882976" w14:textId="77777777" w:rsidR="00EF781F" w:rsidRDefault="00EF781F" w:rsidP="00EF781F">
      <w:pPr>
        <w:pStyle w:val="PL"/>
        <w:rPr>
          <w:ins w:id="1904" w:author="Huawei, HiSilicon" w:date="2023-11-02T14:40:00Z"/>
        </w:rPr>
      </w:pPr>
      <w:ins w:id="1905" w:author="Huawei, HiSilicon" w:date="2023-11-02T14:40:00Z">
        <w:r>
          <w:t>}</w:t>
        </w:r>
      </w:ins>
    </w:p>
    <w:p w14:paraId="75AB6071" w14:textId="77777777" w:rsidR="00EF781F" w:rsidRDefault="00EF781F" w:rsidP="00EF781F">
      <w:pPr>
        <w:pStyle w:val="PL"/>
        <w:rPr>
          <w:ins w:id="1906" w:author="Huawei, HiSilicon" w:date="2023-11-02T14:40:00Z"/>
        </w:rPr>
      </w:pPr>
    </w:p>
    <w:p w14:paraId="4A9FC151" w14:textId="77777777" w:rsidR="00EF781F" w:rsidRDefault="00EF781F" w:rsidP="00EF781F">
      <w:pPr>
        <w:pStyle w:val="PL"/>
        <w:rPr>
          <w:ins w:id="1907" w:author="Huawei, HiSilicon" w:date="2023-11-02T14:40:00Z"/>
          <w:lang w:eastAsia="zh-CN"/>
        </w:rPr>
      </w:pPr>
      <w:ins w:id="1908" w:author="Huawei, HiSilicon" w:date="2023-11-02T14:40:00Z">
        <w:r>
          <w:rPr>
            <w:lang w:eastAsia="zh-CN"/>
          </w:rPr>
          <w:t xml:space="preserve">FreqInfoMBS-r18 ::= </w:t>
        </w:r>
      </w:ins>
      <w:ins w:id="1909" w:author="Huawei, HiSilicon" w:date="2023-11-03T15:10:00Z">
        <w:r>
          <w:rPr>
            <w:lang w:eastAsia="zh-CN"/>
          </w:rPr>
          <w:t xml:space="preserve">                 </w:t>
        </w:r>
      </w:ins>
      <w:ins w:id="1910" w:author="Huawei, HiSilicon" w:date="2023-11-02T14:40:00Z">
        <w:r>
          <w:rPr>
            <w:color w:val="993366"/>
          </w:rPr>
          <w:t>SEQUENCE</w:t>
        </w:r>
        <w:r>
          <w:rPr>
            <w:lang w:eastAsia="zh-CN"/>
          </w:rPr>
          <w:t xml:space="preserve"> {</w:t>
        </w:r>
      </w:ins>
    </w:p>
    <w:p w14:paraId="6DC81A6A" w14:textId="77777777" w:rsidR="00EF781F" w:rsidRDefault="00EF781F" w:rsidP="00EF781F">
      <w:pPr>
        <w:pStyle w:val="PL"/>
        <w:rPr>
          <w:ins w:id="1911" w:author="Huawei, HiSilicon" w:date="2023-11-02T14:40:00Z"/>
          <w:lang w:eastAsia="zh-CN"/>
        </w:rPr>
      </w:pPr>
      <w:ins w:id="1912" w:author="Huawei, HiSilicon" w:date="2023-11-03T15:05:00Z">
        <w:r>
          <w:t xml:space="preserve">    </w:t>
        </w:r>
      </w:ins>
      <w:ins w:id="1913" w:author="Huawei, HiSilicon" w:date="2023-11-02T14:40:00Z">
        <w:r>
          <w:rPr>
            <w:lang w:eastAsia="zh-CN"/>
          </w:rPr>
          <w:t>carrierFreqMBS-r18</w:t>
        </w:r>
      </w:ins>
      <w:ins w:id="1914" w:author="Huawei, HiSilicon" w:date="2023-11-03T15:05:00Z">
        <w:r>
          <w:t xml:space="preserve">                </w:t>
        </w:r>
      </w:ins>
      <w:ins w:id="1915" w:author="Huawei, HiSilicon" w:date="2023-11-02T14:40:00Z">
        <w:r>
          <w:rPr>
            <w:lang w:eastAsia="zh-CN"/>
          </w:rPr>
          <w:t>ARFCN-ValueNR,</w:t>
        </w:r>
      </w:ins>
    </w:p>
    <w:p w14:paraId="30AA341E" w14:textId="77777777" w:rsidR="00EF781F" w:rsidRDefault="00EF781F" w:rsidP="00EF781F">
      <w:pPr>
        <w:pStyle w:val="PL"/>
        <w:rPr>
          <w:ins w:id="1916" w:author="Huawei, HiSilicon" w:date="2023-11-02T14:40:00Z"/>
          <w:lang w:eastAsia="zh-CN"/>
        </w:rPr>
      </w:pPr>
      <w:ins w:id="1917" w:author="Huawei, HiSilicon" w:date="2023-11-03T15:05:00Z">
        <w:r>
          <w:t xml:space="preserve">    </w:t>
        </w:r>
      </w:ins>
      <w:ins w:id="1918" w:author="Huawei, HiSilicon" w:date="2023-11-02T14:40:00Z">
        <w:r>
          <w:rPr>
            <w:lang w:eastAsia="zh-CN"/>
          </w:rPr>
          <w:t>freqBandIndicatorMBS-r18</w:t>
        </w:r>
      </w:ins>
      <w:ins w:id="1919" w:author="Huawei, HiSilicon" w:date="2023-11-03T15:05:00Z">
        <w:r>
          <w:t xml:space="preserve">          </w:t>
        </w:r>
      </w:ins>
      <w:ins w:id="1920" w:author="Huawei, HiSilicon" w:date="2023-11-02T14:40:00Z">
        <w:r>
          <w:rPr>
            <w:lang w:eastAsia="zh-CN"/>
          </w:rPr>
          <w:t>FreqBandIndicatorNR</w:t>
        </w:r>
      </w:ins>
    </w:p>
    <w:p w14:paraId="0C9E340D" w14:textId="77777777" w:rsidR="00EF781F" w:rsidRDefault="00EF781F" w:rsidP="00EF781F">
      <w:pPr>
        <w:pStyle w:val="PL"/>
        <w:rPr>
          <w:ins w:id="1921" w:author="Huawei, HiSilicon" w:date="2023-11-02T14:40:00Z"/>
          <w:lang w:eastAsia="zh-CN"/>
        </w:rPr>
      </w:pPr>
      <w:ins w:id="1922" w:author="Huawei, HiSilicon" w:date="2023-11-02T14:40:00Z">
        <w:r>
          <w:rPr>
            <w:lang w:eastAsia="zh-CN"/>
          </w:rPr>
          <w:t>}</w:t>
        </w:r>
      </w:ins>
    </w:p>
    <w:p w14:paraId="2C3F7F56" w14:textId="77777777" w:rsidR="00EF781F" w:rsidRDefault="00EF781F" w:rsidP="00EF781F">
      <w:pPr>
        <w:pStyle w:val="PL"/>
        <w:rPr>
          <w:ins w:id="1923" w:author="Huawei, HiSilicon" w:date="2023-11-02T14:40:00Z"/>
        </w:rPr>
      </w:pPr>
    </w:p>
    <w:p w14:paraId="1B04CAF4" w14:textId="77777777" w:rsidR="00EF781F" w:rsidRDefault="00EF781F" w:rsidP="00EF781F">
      <w:pPr>
        <w:pStyle w:val="PL"/>
        <w:rPr>
          <w:ins w:id="1924" w:author="Huawei, HiSilicon" w:date="2023-11-02T14:40:00Z"/>
          <w:color w:val="000000"/>
        </w:rPr>
      </w:pPr>
      <w:ins w:id="1925" w:author="Huawei, HiSilicon" w:date="2023-11-02T14:40:00Z">
        <w:r>
          <w:rPr>
            <w:color w:val="000000"/>
          </w:rPr>
          <w:t xml:space="preserve">CFR-LocationAndBW-r18 ::= </w:t>
        </w:r>
      </w:ins>
      <w:ins w:id="1926" w:author="Huawei, HiSilicon" w:date="2023-11-03T15:10:00Z">
        <w:r>
          <w:rPr>
            <w:color w:val="000000"/>
          </w:rPr>
          <w:t xml:space="preserve">        </w:t>
        </w:r>
      </w:ins>
      <w:ins w:id="1927" w:author="Huawei, HiSilicon" w:date="2023-11-02T14:40:00Z">
        <w:r>
          <w:rPr>
            <w:color w:val="993366"/>
          </w:rPr>
          <w:t>SEQUENCE</w:t>
        </w:r>
        <w:r>
          <w:rPr>
            <w:color w:val="000000"/>
          </w:rPr>
          <w:t xml:space="preserve"> {</w:t>
        </w:r>
      </w:ins>
    </w:p>
    <w:p w14:paraId="21EABBC6" w14:textId="77777777" w:rsidR="00EF781F" w:rsidRDefault="00EF781F" w:rsidP="00EF781F">
      <w:pPr>
        <w:pStyle w:val="PL"/>
        <w:rPr>
          <w:ins w:id="1928" w:author="Huawei, HiSilicon" w:date="2023-11-02T14:40:00Z"/>
          <w:color w:val="993366"/>
        </w:rPr>
      </w:pPr>
      <w:ins w:id="1929" w:author="Huawei, HiSilicon" w:date="2023-11-03T15:05:00Z">
        <w:r>
          <w:t xml:space="preserve">    </w:t>
        </w:r>
      </w:ins>
      <w:ins w:id="1930" w:author="Huawei, HiSilicon" w:date="2023-11-02T14:40:00Z">
        <w:r>
          <w:t>locationAndBandwidthMBS-r18</w:t>
        </w:r>
      </w:ins>
      <w:ins w:id="1931" w:author="Huawei, HiSilicon" w:date="2023-11-03T15:05:00Z">
        <w:r>
          <w:t xml:space="preserve">       </w:t>
        </w:r>
      </w:ins>
      <w:ins w:id="1932" w:author="Huawei, HiSilicon" w:date="2023-11-02T14:40:00Z">
        <w:r>
          <w:rPr>
            <w:color w:val="993366"/>
          </w:rPr>
          <w:t>INTEGER</w:t>
        </w:r>
        <w:r>
          <w:t xml:space="preserve"> (0..37949)</w:t>
        </w:r>
      </w:ins>
      <w:ins w:id="1933" w:author="Huawei, HiSilicon" w:date="2023-11-03T15:06:00Z">
        <w:r>
          <w:t xml:space="preserve">                    </w:t>
        </w:r>
      </w:ins>
      <w:ins w:id="1934" w:author="Huawei, HiSilicon" w:date="2023-11-03T15:11:00Z">
        <w:r>
          <w:t xml:space="preserve">                </w:t>
        </w:r>
      </w:ins>
      <w:ins w:id="1935" w:author="Huawei, HiSilicon" w:date="2023-11-03T15:06:00Z">
        <w:r>
          <w:t xml:space="preserve">   </w:t>
        </w:r>
      </w:ins>
      <w:ins w:id="1936" w:author="Huawei, HiSilicon" w:date="2023-11-02T14:40:00Z">
        <w:r>
          <w:rPr>
            <w:color w:val="993366"/>
          </w:rPr>
          <w:t>OPTIONAL,</w:t>
        </w:r>
      </w:ins>
    </w:p>
    <w:p w14:paraId="45325932" w14:textId="77777777" w:rsidR="00EF781F" w:rsidRDefault="00EF781F" w:rsidP="00EF781F">
      <w:pPr>
        <w:pStyle w:val="PL"/>
        <w:rPr>
          <w:ins w:id="1937" w:author="Huawei, HiSilicon" w:date="2023-11-02T14:40:00Z"/>
          <w:color w:val="993366"/>
        </w:rPr>
      </w:pPr>
      <w:ins w:id="1938" w:author="Huawei, HiSilicon" w:date="2023-11-03T15:05:00Z">
        <w:r>
          <w:t xml:space="preserve">    </w:t>
        </w:r>
      </w:ins>
      <w:ins w:id="1939" w:author="Huawei, HiSilicon" w:date="2023-11-02T14:40:00Z">
        <w:r>
          <w:t>absoluteFrequencyPointA-MBS-r18</w:t>
        </w:r>
      </w:ins>
      <w:ins w:id="1940" w:author="Huawei, HiSilicon" w:date="2023-11-03T15:05:00Z">
        <w:r>
          <w:t xml:space="preserve">   </w:t>
        </w:r>
      </w:ins>
      <w:ins w:id="1941" w:author="Huawei, HiSilicon" w:date="2023-11-02T14:40:00Z">
        <w:r>
          <w:t>ARFCN-ValueNR</w:t>
        </w:r>
      </w:ins>
      <w:ins w:id="1942" w:author="Huawei, HiSilicon" w:date="2023-11-03T15:06:00Z">
        <w:r>
          <w:t xml:space="preserve">                           </w:t>
        </w:r>
      </w:ins>
      <w:ins w:id="1943" w:author="Huawei, HiSilicon" w:date="2023-11-03T15:11:00Z">
        <w:r>
          <w:t xml:space="preserve">             </w:t>
        </w:r>
      </w:ins>
      <w:ins w:id="1944" w:author="Huawei, HiSilicon" w:date="2023-11-03T15:06:00Z">
        <w:r>
          <w:t xml:space="preserve">    </w:t>
        </w:r>
      </w:ins>
      <w:ins w:id="1945" w:author="Huawei, HiSilicon" w:date="2023-11-02T14:40:00Z">
        <w:r>
          <w:rPr>
            <w:color w:val="993366"/>
          </w:rPr>
          <w:t>OPTIONAL,</w:t>
        </w:r>
      </w:ins>
    </w:p>
    <w:p w14:paraId="3794AAD5" w14:textId="77777777" w:rsidR="00EF781F" w:rsidRDefault="00EF781F" w:rsidP="00EF781F">
      <w:pPr>
        <w:pStyle w:val="PL"/>
        <w:rPr>
          <w:ins w:id="1946" w:author="Huawei, HiSilicon" w:date="2023-11-02T14:40:00Z"/>
          <w:color w:val="993366"/>
        </w:rPr>
      </w:pPr>
      <w:ins w:id="1947" w:author="Huawei, HiSilicon" w:date="2023-11-03T15:05:00Z">
        <w:r>
          <w:t xml:space="preserve">    </w:t>
        </w:r>
      </w:ins>
      <w:ins w:id="1948" w:author="Huawei, HiSilicon" w:date="2023-11-02T14:40:00Z">
        <w:r>
          <w:t>offsetToCarrierMBS-r18</w:t>
        </w:r>
      </w:ins>
      <w:ins w:id="1949" w:author="Huawei, HiSilicon" w:date="2023-11-03T15:05:00Z">
        <w:r>
          <w:t xml:space="preserve">            </w:t>
        </w:r>
      </w:ins>
      <w:ins w:id="1950" w:author="Huawei, HiSilicon" w:date="2023-11-02T14:40:00Z">
        <w:r>
          <w:rPr>
            <w:color w:val="993366"/>
          </w:rPr>
          <w:t>INTEGER</w:t>
        </w:r>
        <w:r>
          <w:t xml:space="preserve"> (0..2199)                        </w:t>
        </w:r>
      </w:ins>
      <w:ins w:id="1951" w:author="Huawei, HiSilicon" w:date="2023-11-03T15:11:00Z">
        <w:r>
          <w:t xml:space="preserve"> </w:t>
        </w:r>
      </w:ins>
      <w:ins w:id="1952" w:author="Huawei, HiSilicon" w:date="2023-11-02T14:40:00Z">
        <w:r>
          <w:t xml:space="preserve">               </w:t>
        </w:r>
        <w:r>
          <w:rPr>
            <w:color w:val="993366"/>
          </w:rPr>
          <w:t>OPTIONAL</w:t>
        </w:r>
      </w:ins>
    </w:p>
    <w:p w14:paraId="5D6A74C9" w14:textId="77777777" w:rsidR="00EF781F" w:rsidRDefault="00EF781F" w:rsidP="00EF781F">
      <w:pPr>
        <w:pStyle w:val="PL"/>
        <w:rPr>
          <w:ins w:id="1953" w:author="Huawei, HiSilicon" w:date="2023-11-02T14:40:00Z"/>
          <w:lang w:eastAsia="zh-CN"/>
        </w:rPr>
      </w:pPr>
      <w:ins w:id="1954" w:author="Huawei, HiSilicon" w:date="2023-11-02T14:40:00Z">
        <w:r>
          <w:rPr>
            <w:lang w:eastAsia="zh-CN"/>
          </w:rPr>
          <w:t>}</w:t>
        </w:r>
      </w:ins>
    </w:p>
    <w:p w14:paraId="580F20D4" w14:textId="77777777" w:rsidR="00EF781F" w:rsidRDefault="00EF781F" w:rsidP="00EF781F">
      <w:pPr>
        <w:pStyle w:val="PL"/>
        <w:rPr>
          <w:ins w:id="1955" w:author="Huawei, HiSilicon" w:date="2023-11-02T14:40:00Z"/>
        </w:rPr>
      </w:pPr>
    </w:p>
    <w:p w14:paraId="576B4EBD" w14:textId="77777777" w:rsidR="00EF781F" w:rsidRDefault="00EF781F" w:rsidP="00EF781F">
      <w:pPr>
        <w:pStyle w:val="PL"/>
        <w:rPr>
          <w:ins w:id="1956" w:author="Huawei, HiSilicon" w:date="2023-11-02T14:40:00Z"/>
        </w:rPr>
      </w:pPr>
      <w:ins w:id="1957" w:author="Huawei, HiSilicon" w:date="2023-11-02T14:40:00Z">
        <w:r>
          <w:t>-- TAG-MBS</w:t>
        </w:r>
      </w:ins>
      <w:ins w:id="1958" w:author="Huawei, HiSilicon" w:date="2023-12-04T20:02:00Z">
        <w:r>
          <w:t>-</w:t>
        </w:r>
      </w:ins>
      <w:ins w:id="1959" w:author="Huawei, HiSilicon" w:date="2023-11-02T14:40:00Z">
        <w:r>
          <w:t>NONSERVINGINFOLIST-STOP</w:t>
        </w:r>
      </w:ins>
    </w:p>
    <w:p w14:paraId="4AB88DD0" w14:textId="77777777" w:rsidR="00EF781F" w:rsidRDefault="00EF781F" w:rsidP="00EF781F">
      <w:pPr>
        <w:pStyle w:val="PL"/>
        <w:rPr>
          <w:ins w:id="1960" w:author="Huawei, HiSilicon" w:date="2023-11-02T14:40:00Z"/>
        </w:rPr>
      </w:pPr>
      <w:ins w:id="1961" w:author="Huawei, HiSilicon" w:date="2023-11-02T14:40:00Z">
        <w:r>
          <w:t>-- ASN1STOP</w:t>
        </w:r>
      </w:ins>
    </w:p>
    <w:p w14:paraId="2213F8DE" w14:textId="77777777" w:rsidR="00EF781F" w:rsidRPr="00EF781F" w:rsidRDefault="00EF781F" w:rsidP="00EF781F">
      <w:pPr>
        <w:rPr>
          <w:ins w:id="1962" w:author="Huawei, HiSilicon" w:date="2023-11-02T14:40:00Z"/>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781F" w14:paraId="565761EA" w14:textId="77777777" w:rsidTr="00EF781F">
        <w:trPr>
          <w:cantSplit/>
          <w:tblHeader/>
          <w:ins w:id="1963"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733F16B7" w14:textId="77777777" w:rsidR="00EF781F" w:rsidRDefault="00EF781F">
            <w:pPr>
              <w:keepNext/>
              <w:keepLines/>
              <w:spacing w:after="0"/>
              <w:jc w:val="center"/>
              <w:rPr>
                <w:ins w:id="1964" w:author="Huawei, HiSilicon" w:date="2023-11-02T14:40:00Z"/>
                <w:rFonts w:ascii="Arial" w:hAnsi="Arial" w:cs="Arial"/>
                <w:b/>
                <w:sz w:val="18"/>
                <w:szCs w:val="18"/>
                <w:lang w:eastAsia="zh-CN"/>
              </w:rPr>
            </w:pPr>
            <w:ins w:id="1965" w:author="Huawei, HiSilicon" w:date="2023-11-02T14:40:00Z">
              <w:r>
                <w:lastRenderedPageBreak/>
                <w:t xml:space="preserve"> </w:t>
              </w:r>
              <w:r>
                <w:rPr>
                  <w:rFonts w:ascii="Arial" w:hAnsi="Arial" w:cs="Arial"/>
                  <w:b/>
                  <w:i/>
                  <w:sz w:val="18"/>
                  <w:szCs w:val="18"/>
                  <w:lang w:eastAsia="zh-CN"/>
                </w:rPr>
                <w:t xml:space="preserve">MBS-NonServingInfoList </w:t>
              </w:r>
              <w:r>
                <w:rPr>
                  <w:rFonts w:ascii="Arial" w:hAnsi="Arial" w:cs="Arial"/>
                  <w:b/>
                  <w:sz w:val="18"/>
                  <w:szCs w:val="18"/>
                  <w:lang w:eastAsia="zh-CN"/>
                </w:rPr>
                <w:t>field descriptions</w:t>
              </w:r>
            </w:ins>
          </w:p>
        </w:tc>
      </w:tr>
      <w:tr w:rsidR="00EF781F" w14:paraId="4E24353A" w14:textId="77777777" w:rsidTr="00EF781F">
        <w:trPr>
          <w:cantSplit/>
          <w:tblHeader/>
          <w:ins w:id="1966"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71543C86" w14:textId="77777777" w:rsidR="00EF781F" w:rsidRDefault="00EF781F">
            <w:pPr>
              <w:keepNext/>
              <w:keepLines/>
              <w:spacing w:after="0"/>
              <w:rPr>
                <w:ins w:id="1967" w:author="Huawei, HiSilicon" w:date="2023-11-02T14:40:00Z"/>
                <w:rFonts w:ascii="Arial" w:hAnsi="Arial" w:cs="Arial"/>
                <w:b/>
                <w:bCs/>
                <w:i/>
                <w:sz w:val="18"/>
                <w:szCs w:val="18"/>
              </w:rPr>
            </w:pPr>
            <w:ins w:id="1968" w:author="Huawei, HiSilicon" w:date="2023-11-02T14:40:00Z">
              <w:r>
                <w:rPr>
                  <w:rFonts w:ascii="Arial" w:hAnsi="Arial" w:cs="Arial"/>
                  <w:b/>
                  <w:bCs/>
                  <w:i/>
                  <w:sz w:val="18"/>
                  <w:szCs w:val="18"/>
                </w:rPr>
                <w:t>freqInfoMBS</w:t>
              </w:r>
            </w:ins>
          </w:p>
          <w:p w14:paraId="47A2DDCF" w14:textId="77777777" w:rsidR="00EF781F" w:rsidRDefault="00EF781F">
            <w:pPr>
              <w:keepNext/>
              <w:keepLines/>
              <w:spacing w:after="0"/>
              <w:rPr>
                <w:ins w:id="1969" w:author="Huawei, HiSilicon" w:date="2023-11-02T14:40:00Z"/>
                <w:rFonts w:ascii="Arial" w:hAnsi="Arial" w:cs="Arial"/>
                <w:sz w:val="18"/>
                <w:szCs w:val="18"/>
                <w:lang w:eastAsia="zh-CN"/>
              </w:rPr>
            </w:pPr>
            <w:ins w:id="1970" w:author="Huawei, HiSilicon" w:date="2023-11-02T14:40:00Z">
              <w:r>
                <w:rPr>
                  <w:rFonts w:ascii="Arial" w:hAnsi="Arial" w:cs="Arial"/>
                  <w:sz w:val="18"/>
                  <w:szCs w:val="18"/>
                  <w:lang w:eastAsia="en-GB"/>
                </w:rPr>
                <w:t>Indicates MBS frequency of interest and the frequency band</w:t>
              </w:r>
              <w:r>
                <w:rPr>
                  <w:rFonts w:ascii="Arial" w:eastAsia="Calibri" w:hAnsi="Arial" w:cs="Arial"/>
                  <w:sz w:val="18"/>
                  <w:szCs w:val="18"/>
                  <w:lang w:eastAsia="sv-SE"/>
                </w:rPr>
                <w:t xml:space="preserve"> of the non-serving cell for MBS broadcast reception acquired from the </w:t>
              </w:r>
              <w:r>
                <w:rPr>
                  <w:rFonts w:ascii="Arial" w:eastAsia="Calibri" w:hAnsi="Arial" w:cs="Arial"/>
                  <w:i/>
                  <w:sz w:val="18"/>
                  <w:szCs w:val="18"/>
                  <w:lang w:eastAsia="sv-SE"/>
                </w:rPr>
                <w:t>SIB21</w:t>
              </w:r>
              <w:r>
                <w:rPr>
                  <w:rFonts w:ascii="Arial" w:eastAsia="Calibri" w:hAnsi="Arial" w:cs="Arial"/>
                  <w:sz w:val="18"/>
                  <w:szCs w:val="18"/>
                  <w:lang w:eastAsia="sv-SE"/>
                </w:rPr>
                <w:t xml:space="preserve"> or the USD as specified in clause 5.9.4.3.</w:t>
              </w:r>
            </w:ins>
          </w:p>
        </w:tc>
      </w:tr>
      <w:tr w:rsidR="00EF781F" w14:paraId="58DEF77B" w14:textId="77777777" w:rsidTr="00EF781F">
        <w:trPr>
          <w:cantSplit/>
          <w:tblHeader/>
          <w:ins w:id="1971"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5E1AC28B" w14:textId="77777777" w:rsidR="00EF781F" w:rsidRDefault="00EF781F">
            <w:pPr>
              <w:keepNext/>
              <w:keepLines/>
              <w:spacing w:after="0"/>
              <w:rPr>
                <w:ins w:id="1972" w:author="Huawei, HiSilicon" w:date="2023-11-02T14:40:00Z"/>
                <w:rFonts w:ascii="Arial" w:hAnsi="Arial" w:cs="Arial"/>
                <w:b/>
                <w:bCs/>
                <w:i/>
                <w:sz w:val="18"/>
                <w:szCs w:val="18"/>
              </w:rPr>
            </w:pPr>
            <w:ins w:id="1973" w:author="Huawei, HiSilicon" w:date="2023-11-02T14:40:00Z">
              <w:r>
                <w:rPr>
                  <w:rFonts w:ascii="Arial" w:hAnsi="Arial" w:cs="Arial"/>
                  <w:b/>
                  <w:bCs/>
                  <w:i/>
                  <w:sz w:val="18"/>
                  <w:szCs w:val="18"/>
                </w:rPr>
                <w:t>cfr-infoMBS</w:t>
              </w:r>
            </w:ins>
          </w:p>
          <w:p w14:paraId="43A62B7B" w14:textId="77777777" w:rsidR="00EF781F" w:rsidRDefault="00EF781F">
            <w:pPr>
              <w:keepNext/>
              <w:keepLines/>
              <w:spacing w:after="0"/>
              <w:rPr>
                <w:ins w:id="1974" w:author="Huawei, HiSilicon" w:date="2023-11-02T14:40:00Z"/>
                <w:rFonts w:ascii="Arial" w:hAnsi="Arial" w:cs="Arial"/>
                <w:b/>
                <w:bCs/>
                <w:i/>
                <w:sz w:val="18"/>
                <w:szCs w:val="18"/>
              </w:rPr>
            </w:pPr>
            <w:ins w:id="1975" w:author="Huawei, HiSilicon" w:date="2023-11-02T14:40:00Z">
              <w:r>
                <w:rPr>
                  <w:rFonts w:ascii="Arial" w:eastAsia="Calibri" w:hAnsi="Arial" w:cs="Arial"/>
                  <w:sz w:val="18"/>
                  <w:szCs w:val="18"/>
                  <w:lang w:eastAsia="sv-SE"/>
                </w:rPr>
                <w:t>Indicates the CFR information of the non-serving cell for MBS broadcast reception.</w:t>
              </w:r>
            </w:ins>
          </w:p>
        </w:tc>
      </w:tr>
      <w:tr w:rsidR="00EF781F" w14:paraId="11592C8F" w14:textId="77777777" w:rsidTr="00EF781F">
        <w:trPr>
          <w:cantSplit/>
          <w:tblHeader/>
          <w:ins w:id="1976"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7CC915CD" w14:textId="77777777" w:rsidR="00EF781F" w:rsidRDefault="00EF781F">
            <w:pPr>
              <w:keepNext/>
              <w:keepLines/>
              <w:spacing w:after="0"/>
              <w:rPr>
                <w:ins w:id="1977" w:author="Huawei, HiSilicon" w:date="2023-11-02T14:40:00Z"/>
                <w:rFonts w:ascii="Arial" w:hAnsi="Arial" w:cs="Arial"/>
                <w:b/>
                <w:bCs/>
                <w:i/>
                <w:sz w:val="18"/>
                <w:szCs w:val="18"/>
              </w:rPr>
            </w:pPr>
            <w:ins w:id="1978" w:author="Huawei, HiSilicon" w:date="2023-11-02T14:40:00Z">
              <w:r>
                <w:rPr>
                  <w:rFonts w:ascii="Arial" w:hAnsi="Arial" w:cs="Arial"/>
                  <w:b/>
                  <w:bCs/>
                  <w:i/>
                  <w:sz w:val="18"/>
                  <w:szCs w:val="18"/>
                </w:rPr>
                <w:t>cfr-BandwidthMBS</w:t>
              </w:r>
            </w:ins>
          </w:p>
          <w:p w14:paraId="49565DCC" w14:textId="77777777" w:rsidR="00EF781F" w:rsidRDefault="00EF781F">
            <w:pPr>
              <w:keepNext/>
              <w:keepLines/>
              <w:spacing w:after="0"/>
              <w:rPr>
                <w:ins w:id="1979" w:author="Huawei, HiSilicon" w:date="2023-11-02T14:40:00Z"/>
                <w:rFonts w:ascii="Arial" w:hAnsi="Arial" w:cs="Arial"/>
                <w:b/>
                <w:bCs/>
                <w:i/>
                <w:sz w:val="18"/>
                <w:szCs w:val="18"/>
              </w:rPr>
            </w:pPr>
            <w:ins w:id="1980" w:author="Huawei, HiSilicon" w:date="2023-11-02T14:40:00Z">
              <w:r>
                <w:rPr>
                  <w:rFonts w:ascii="Arial" w:eastAsia="Calibri" w:hAnsi="Arial" w:cs="Arial"/>
                  <w:sz w:val="18"/>
                  <w:szCs w:val="18"/>
                  <w:lang w:eastAsia="sv-SE"/>
                </w:rPr>
                <w:t>Indicates the CFR bandwidth of the non-serving cell for MBS broadcast reception.</w:t>
              </w:r>
            </w:ins>
          </w:p>
        </w:tc>
      </w:tr>
      <w:tr w:rsidR="00EF781F" w14:paraId="752F05A2" w14:textId="77777777" w:rsidTr="00EF781F">
        <w:trPr>
          <w:cantSplit/>
          <w:tblHeader/>
          <w:ins w:id="1981"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250F2E70" w14:textId="77777777" w:rsidR="00EF781F" w:rsidRDefault="00EF781F">
            <w:pPr>
              <w:keepNext/>
              <w:keepLines/>
              <w:spacing w:after="0"/>
              <w:rPr>
                <w:ins w:id="1982" w:author="Huawei, HiSilicon" w:date="2023-11-02T14:40:00Z"/>
                <w:rFonts w:ascii="Arial" w:hAnsi="Arial" w:cs="Arial"/>
                <w:b/>
                <w:bCs/>
                <w:i/>
                <w:sz w:val="18"/>
                <w:szCs w:val="18"/>
              </w:rPr>
            </w:pPr>
            <w:ins w:id="1983" w:author="Huawei, HiSilicon" w:date="2023-11-02T14:40:00Z">
              <w:r>
                <w:rPr>
                  <w:rFonts w:ascii="Arial" w:hAnsi="Arial" w:cs="Arial"/>
                  <w:b/>
                  <w:bCs/>
                  <w:i/>
                  <w:sz w:val="18"/>
                  <w:szCs w:val="18"/>
                </w:rPr>
                <w:t>cfr-LocationAndBW</w:t>
              </w:r>
            </w:ins>
          </w:p>
          <w:p w14:paraId="527532E9" w14:textId="77777777" w:rsidR="00EF781F" w:rsidRDefault="00EF781F">
            <w:pPr>
              <w:keepNext/>
              <w:keepLines/>
              <w:spacing w:after="0"/>
              <w:rPr>
                <w:ins w:id="1984" w:author="Huawei, HiSilicon" w:date="2023-11-02T14:40:00Z"/>
                <w:rFonts w:ascii="Arial" w:hAnsi="Arial" w:cs="Arial"/>
                <w:b/>
                <w:bCs/>
                <w:i/>
                <w:sz w:val="18"/>
                <w:szCs w:val="18"/>
              </w:rPr>
            </w:pPr>
            <w:ins w:id="1985" w:author="Huawei, HiSilicon" w:date="2023-11-02T14:40:00Z">
              <w:r>
                <w:rPr>
                  <w:rFonts w:ascii="Arial" w:eastAsia="Calibri" w:hAnsi="Arial" w:cs="Arial"/>
                  <w:sz w:val="18"/>
                  <w:szCs w:val="18"/>
                  <w:lang w:eastAsia="sv-SE"/>
                </w:rPr>
                <w:t>Indicates the CFR location and bandwidth of the non-serving cell for MBS broadcast reception.</w:t>
              </w:r>
            </w:ins>
          </w:p>
        </w:tc>
      </w:tr>
      <w:tr w:rsidR="00EF781F" w14:paraId="25BC728D" w14:textId="77777777" w:rsidTr="00EF781F">
        <w:trPr>
          <w:cantSplit/>
          <w:tblHeader/>
          <w:ins w:id="1986"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27F814C2" w14:textId="77777777" w:rsidR="00EF781F" w:rsidRDefault="00EF781F">
            <w:pPr>
              <w:keepNext/>
              <w:keepLines/>
              <w:spacing w:after="0"/>
              <w:rPr>
                <w:ins w:id="1987" w:author="Huawei, HiSilicon" w:date="2023-11-02T14:40:00Z"/>
                <w:rFonts w:ascii="Arial" w:hAnsi="Arial" w:cs="Arial"/>
                <w:b/>
                <w:bCs/>
                <w:i/>
                <w:sz w:val="18"/>
                <w:szCs w:val="18"/>
              </w:rPr>
            </w:pPr>
            <w:ins w:id="1988" w:author="Huawei, HiSilicon" w:date="2023-11-02T14:40:00Z">
              <w:r>
                <w:rPr>
                  <w:rFonts w:ascii="Arial" w:hAnsi="Arial" w:cs="Arial"/>
                  <w:b/>
                  <w:bCs/>
                  <w:i/>
                  <w:sz w:val="18"/>
                  <w:szCs w:val="18"/>
                </w:rPr>
                <w:t>subcarrierSpacing</w:t>
              </w:r>
            </w:ins>
          </w:p>
          <w:p w14:paraId="73412885" w14:textId="77777777" w:rsidR="00EF781F" w:rsidRDefault="00EF781F">
            <w:pPr>
              <w:keepNext/>
              <w:keepLines/>
              <w:spacing w:after="0"/>
              <w:rPr>
                <w:ins w:id="1989" w:author="Huawei, HiSilicon" w:date="2023-11-02T14:40:00Z"/>
                <w:rFonts w:ascii="Arial" w:hAnsi="Arial" w:cs="Arial"/>
                <w:b/>
                <w:bCs/>
                <w:i/>
                <w:sz w:val="18"/>
                <w:szCs w:val="18"/>
              </w:rPr>
            </w:pPr>
            <w:ins w:id="1990" w:author="Huawei, HiSilicon" w:date="2023-11-02T14:40:00Z">
              <w:r>
                <w:rPr>
                  <w:rFonts w:ascii="Arial" w:eastAsia="Calibri" w:hAnsi="Arial" w:cs="Arial"/>
                  <w:sz w:val="18"/>
                  <w:szCs w:val="18"/>
                  <w:lang w:eastAsia="sv-SE"/>
                </w:rPr>
                <w:t>Indicates the subcarrier spacing of the CORESET#0 of the non-serving cell for MBS broadcast reception.</w:t>
              </w:r>
            </w:ins>
          </w:p>
        </w:tc>
      </w:tr>
    </w:tbl>
    <w:p w14:paraId="498344FE" w14:textId="77777777" w:rsidR="00EF781F" w:rsidRDefault="00EF781F" w:rsidP="00EF781F">
      <w:pPr>
        <w:rPr>
          <w:ins w:id="1991" w:author="Huawei, HiSilicon" w:date="2023-11-02T14:56:00Z"/>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F781F" w14:paraId="68D2AD3B" w14:textId="77777777" w:rsidTr="00EF781F">
        <w:trPr>
          <w:cantSplit/>
          <w:tblHeader/>
          <w:ins w:id="1992"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4BFA9FD6" w14:textId="77777777" w:rsidR="00EF781F" w:rsidRDefault="00EF781F">
            <w:pPr>
              <w:keepNext/>
              <w:keepLines/>
              <w:spacing w:after="0"/>
              <w:jc w:val="center"/>
              <w:rPr>
                <w:ins w:id="1993" w:author="Huawei, HiSilicon" w:date="2023-11-02T14:40:00Z"/>
                <w:rFonts w:ascii="Arial" w:hAnsi="Arial" w:cs="Arial"/>
                <w:b/>
                <w:sz w:val="18"/>
                <w:szCs w:val="18"/>
                <w:lang w:eastAsia="zh-CN"/>
              </w:rPr>
            </w:pPr>
            <w:ins w:id="1994" w:author="Huawei, HiSilicon" w:date="2023-11-02T14:40:00Z">
              <w:r>
                <w:rPr>
                  <w:rFonts w:ascii="Arial" w:hAnsi="Arial" w:cs="Arial"/>
                  <w:b/>
                  <w:i/>
                  <w:sz w:val="18"/>
                  <w:szCs w:val="18"/>
                  <w:lang w:eastAsia="zh-CN"/>
                </w:rPr>
                <w:t xml:space="preserve">CFR-LocationAndBW </w:t>
              </w:r>
              <w:r>
                <w:rPr>
                  <w:rFonts w:ascii="Arial" w:hAnsi="Arial" w:cs="Arial"/>
                  <w:b/>
                  <w:sz w:val="18"/>
                  <w:szCs w:val="18"/>
                  <w:lang w:eastAsia="zh-CN"/>
                </w:rPr>
                <w:t>field descriptions</w:t>
              </w:r>
            </w:ins>
          </w:p>
        </w:tc>
      </w:tr>
      <w:tr w:rsidR="00EF781F" w14:paraId="202068F0" w14:textId="77777777" w:rsidTr="00EF781F">
        <w:trPr>
          <w:cantSplit/>
          <w:tblHeader/>
          <w:ins w:id="1995"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754C9E20" w14:textId="77777777" w:rsidR="00EF781F" w:rsidRDefault="00EF781F">
            <w:pPr>
              <w:keepNext/>
              <w:keepLines/>
              <w:spacing w:after="0"/>
              <w:rPr>
                <w:ins w:id="1996" w:author="Huawei, HiSilicon" w:date="2023-11-02T14:40:00Z"/>
                <w:rFonts w:ascii="Arial" w:hAnsi="Arial" w:cs="Arial"/>
                <w:b/>
                <w:bCs/>
                <w:i/>
                <w:sz w:val="18"/>
                <w:szCs w:val="18"/>
                <w:lang w:eastAsia="zh-CN"/>
              </w:rPr>
            </w:pPr>
            <w:ins w:id="1997" w:author="Huawei, HiSilicon" w:date="2023-11-02T14:40:00Z">
              <w:r>
                <w:rPr>
                  <w:rFonts w:ascii="Arial" w:hAnsi="Arial" w:cs="Arial"/>
                  <w:b/>
                  <w:bCs/>
                  <w:i/>
                  <w:sz w:val="18"/>
                  <w:szCs w:val="18"/>
                  <w:lang w:eastAsia="zh-CN"/>
                </w:rPr>
                <w:t xml:space="preserve">locationAndBandwidthMBS </w:t>
              </w:r>
            </w:ins>
          </w:p>
          <w:p w14:paraId="175B2ED5" w14:textId="77777777" w:rsidR="00EF781F" w:rsidRDefault="00EF781F">
            <w:pPr>
              <w:keepNext/>
              <w:keepLines/>
              <w:spacing w:after="0"/>
              <w:rPr>
                <w:ins w:id="1998" w:author="Huawei, HiSilicon" w:date="2023-11-02T14:40:00Z"/>
                <w:rFonts w:ascii="Arial" w:hAnsi="Arial" w:cs="Arial"/>
                <w:bCs/>
                <w:sz w:val="18"/>
                <w:szCs w:val="18"/>
                <w:lang w:eastAsia="zh-CN"/>
              </w:rPr>
            </w:pPr>
            <w:ins w:id="1999" w:author="Huawei, HiSilicon" w:date="2023-11-02T14:40:00Z">
              <w:r>
                <w:rPr>
                  <w:rFonts w:ascii="Arial" w:hAnsi="Arial" w:cs="Arial"/>
                  <w:bCs/>
                  <w:sz w:val="18"/>
                  <w:szCs w:val="18"/>
                  <w:lang w:eastAsia="zh-CN"/>
                </w:rPr>
                <w:t xml:space="preserve">Indicates the starting PRB and the number of PRBs of CFR used for MBS broadcast reception from non-serving cell. The value of the field shall be interpreted as resource indicator value (RIV) as defined TS 38.214 [19] with assumptions as described in TS 38.213 [13]. The first PRB is a PRB determined by </w:t>
              </w:r>
              <w:r>
                <w:rPr>
                  <w:rFonts w:ascii="Arial" w:hAnsi="Arial" w:cs="Arial"/>
                  <w:bCs/>
                  <w:i/>
                  <w:sz w:val="18"/>
                  <w:szCs w:val="18"/>
                  <w:lang w:eastAsia="zh-CN"/>
                </w:rPr>
                <w:t>subcarrierSpacing,</w:t>
              </w:r>
              <w:r>
                <w:rPr>
                  <w:rFonts w:ascii="Arial" w:hAnsi="Arial" w:cs="Arial"/>
                  <w:bCs/>
                  <w:sz w:val="18"/>
                  <w:szCs w:val="18"/>
                  <w:lang w:eastAsia="zh-CN"/>
                </w:rPr>
                <w:t xml:space="preserve"> </w:t>
              </w:r>
              <w:r>
                <w:rPr>
                  <w:rFonts w:ascii="Arial" w:hAnsi="Arial" w:cs="Arial"/>
                  <w:bCs/>
                  <w:i/>
                  <w:sz w:val="18"/>
                  <w:szCs w:val="18"/>
                  <w:lang w:eastAsia="zh-CN"/>
                </w:rPr>
                <w:t>offsetToCarrierMBS</w:t>
              </w:r>
              <w:r>
                <w:rPr>
                  <w:rFonts w:ascii="Arial" w:hAnsi="Arial" w:cs="Arial"/>
                  <w:bCs/>
                  <w:sz w:val="18"/>
                  <w:szCs w:val="18"/>
                  <w:lang w:eastAsia="zh-CN"/>
                </w:rPr>
                <w:t xml:space="preserve"> and </w:t>
              </w:r>
              <w:r>
                <w:rPr>
                  <w:rFonts w:ascii="Arial" w:hAnsi="Arial" w:cs="Arial"/>
                  <w:bCs/>
                  <w:i/>
                  <w:sz w:val="18"/>
                  <w:szCs w:val="18"/>
                  <w:lang w:eastAsia="zh-CN"/>
                </w:rPr>
                <w:t>absoluteFrequencyPointA-MBS</w:t>
              </w:r>
              <w:r>
                <w:rPr>
                  <w:rFonts w:ascii="Arial" w:hAnsi="Arial" w:cs="Arial"/>
                  <w:bCs/>
                  <w:sz w:val="18"/>
                  <w:szCs w:val="18"/>
                  <w:lang w:eastAsia="zh-CN"/>
                </w:rPr>
                <w:t xml:space="preserve"> of the non-serving cell.</w:t>
              </w:r>
            </w:ins>
          </w:p>
        </w:tc>
      </w:tr>
      <w:tr w:rsidR="00EF781F" w14:paraId="75F8B685" w14:textId="77777777" w:rsidTr="00EF781F">
        <w:trPr>
          <w:cantSplit/>
          <w:tblHeader/>
          <w:ins w:id="2000"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16668493" w14:textId="77777777" w:rsidR="00EF781F" w:rsidRDefault="00EF781F">
            <w:pPr>
              <w:keepNext/>
              <w:keepLines/>
              <w:spacing w:after="0"/>
              <w:rPr>
                <w:ins w:id="2001" w:author="Huawei, HiSilicon" w:date="2023-11-02T14:40:00Z"/>
                <w:rFonts w:ascii="Arial" w:hAnsi="Arial" w:cs="Arial"/>
                <w:bCs/>
                <w:sz w:val="18"/>
                <w:szCs w:val="18"/>
                <w:lang w:eastAsia="zh-CN"/>
              </w:rPr>
            </w:pPr>
            <w:ins w:id="2002" w:author="Huawei, HiSilicon" w:date="2023-11-02T14:40:00Z">
              <w:r>
                <w:rPr>
                  <w:rFonts w:ascii="Arial" w:hAnsi="Arial" w:cs="Arial"/>
                  <w:b/>
                  <w:bCs/>
                  <w:i/>
                  <w:sz w:val="18"/>
                  <w:szCs w:val="18"/>
                  <w:lang w:eastAsia="zh-CN"/>
                </w:rPr>
                <w:t>absoluteFrequencyPointA-MBS</w:t>
              </w:r>
              <w:r>
                <w:rPr>
                  <w:rFonts w:ascii="Arial" w:hAnsi="Arial" w:cs="Arial"/>
                  <w:b/>
                  <w:bCs/>
                  <w:i/>
                  <w:sz w:val="18"/>
                  <w:szCs w:val="18"/>
                  <w:lang w:eastAsia="zh-CN"/>
                </w:rPr>
                <w:br/>
              </w:r>
              <w:r>
                <w:rPr>
                  <w:rFonts w:ascii="Arial" w:hAnsi="Arial" w:cs="Arial"/>
                  <w:bCs/>
                  <w:sz w:val="18"/>
                  <w:szCs w:val="18"/>
                  <w:lang w:eastAsia="zh-CN"/>
                </w:rPr>
                <w:t xml:space="preserve">Indicates the absolute frequency position of the reference resource block (Common RB 0) of the non-serving cell for MBS broadcast reception. Its lowest subcarrier is also known as Point A (see TS 38.211 [16], clause 4.4.4.2). </w:t>
              </w:r>
            </w:ins>
          </w:p>
        </w:tc>
      </w:tr>
      <w:tr w:rsidR="00EF781F" w14:paraId="6C8362AD" w14:textId="77777777" w:rsidTr="00EF781F">
        <w:trPr>
          <w:cantSplit/>
          <w:tblHeader/>
          <w:ins w:id="2003" w:author="Huawei, HiSilicon" w:date="2023-11-02T14:40:00Z"/>
        </w:trPr>
        <w:tc>
          <w:tcPr>
            <w:tcW w:w="14204" w:type="dxa"/>
            <w:tcBorders>
              <w:top w:val="single" w:sz="4" w:space="0" w:color="808080"/>
              <w:left w:val="single" w:sz="4" w:space="0" w:color="808080"/>
              <w:bottom w:val="single" w:sz="4" w:space="0" w:color="808080"/>
              <w:right w:val="single" w:sz="4" w:space="0" w:color="808080"/>
            </w:tcBorders>
            <w:hideMark/>
          </w:tcPr>
          <w:p w14:paraId="617EF238" w14:textId="77777777" w:rsidR="00EF781F" w:rsidRDefault="00EF781F">
            <w:pPr>
              <w:keepNext/>
              <w:keepLines/>
              <w:spacing w:after="0"/>
              <w:rPr>
                <w:ins w:id="2004" w:author="Huawei, HiSilicon" w:date="2023-11-02T14:40:00Z"/>
                <w:rFonts w:ascii="Arial" w:hAnsi="Arial" w:cs="Arial"/>
                <w:b/>
                <w:bCs/>
                <w:i/>
                <w:sz w:val="18"/>
                <w:szCs w:val="18"/>
                <w:lang w:eastAsia="zh-CN"/>
              </w:rPr>
            </w:pPr>
            <w:ins w:id="2005" w:author="Huawei, HiSilicon" w:date="2023-11-02T14:40:00Z">
              <w:r>
                <w:rPr>
                  <w:rFonts w:ascii="Arial" w:hAnsi="Arial" w:cs="Arial"/>
                  <w:b/>
                  <w:bCs/>
                  <w:i/>
                  <w:sz w:val="18"/>
                  <w:szCs w:val="18"/>
                  <w:lang w:eastAsia="zh-CN"/>
                </w:rPr>
                <w:t>offsetToCarrierMBS</w:t>
              </w:r>
            </w:ins>
          </w:p>
          <w:p w14:paraId="5E1F2961" w14:textId="77777777" w:rsidR="00EF781F" w:rsidRDefault="00EF781F">
            <w:pPr>
              <w:keepNext/>
              <w:keepLines/>
              <w:spacing w:after="0"/>
              <w:rPr>
                <w:ins w:id="2006" w:author="Huawei, HiSilicon" w:date="2023-11-02T14:40:00Z"/>
                <w:rFonts w:ascii="Arial" w:hAnsi="Arial" w:cs="Arial"/>
                <w:bCs/>
                <w:sz w:val="18"/>
                <w:szCs w:val="18"/>
                <w:lang w:eastAsia="zh-CN"/>
              </w:rPr>
            </w:pPr>
            <w:ins w:id="2007" w:author="Huawei, HiSilicon" w:date="2023-11-02T14:40:00Z">
              <w:r>
                <w:rPr>
                  <w:rFonts w:ascii="Arial" w:hAnsi="Arial" w:cs="Arial"/>
                  <w:bCs/>
                  <w:sz w:val="18"/>
                  <w:szCs w:val="18"/>
                  <w:lang w:eastAsia="zh-CN"/>
                </w:rPr>
                <w:t xml:space="preserve">Indicates the offset in frequency domain between Point A (lowest subcarrier of common RB 0) and the lowest usable subcarrier on this carrier in number of PRBs (using the </w:t>
              </w:r>
              <w:r>
                <w:rPr>
                  <w:rFonts w:ascii="Arial" w:hAnsi="Arial" w:cs="Arial"/>
                  <w:bCs/>
                  <w:i/>
                  <w:sz w:val="18"/>
                  <w:szCs w:val="18"/>
                  <w:lang w:eastAsia="zh-CN"/>
                </w:rPr>
                <w:t>subcarrierSpacing</w:t>
              </w:r>
              <w:r>
                <w:rPr>
                  <w:rFonts w:ascii="Arial" w:hAnsi="Arial" w:cs="Arial"/>
                  <w:bCs/>
                  <w:sz w:val="18"/>
                  <w:szCs w:val="18"/>
                  <w:lang w:eastAsia="zh-CN"/>
                </w:rPr>
                <w:t xml:space="preserve"> indicated for the non-serving cell).</w:t>
              </w:r>
            </w:ins>
          </w:p>
        </w:tc>
      </w:tr>
    </w:tbl>
    <w:p w14:paraId="636E64EF" w14:textId="77777777" w:rsidR="00EF781F" w:rsidRPr="008D7C7E" w:rsidRDefault="00EF781F" w:rsidP="00807B1C">
      <w:pPr>
        <w:rPr>
          <w:iCs/>
        </w:rPr>
      </w:pPr>
    </w:p>
    <w:p w14:paraId="17A30B79" w14:textId="3F3A7793" w:rsidR="00807B1C" w:rsidRPr="00FA0D37" w:rsidRDefault="00807B1C" w:rsidP="00807B1C">
      <w:pPr>
        <w:pStyle w:val="4"/>
      </w:pPr>
      <w:bookmarkStart w:id="2008" w:name="_Toc146781692"/>
      <w:r w:rsidRPr="00FA0D37">
        <w:t>–</w:t>
      </w:r>
      <w:r w:rsidRPr="00FA0D37">
        <w:tab/>
      </w:r>
      <w:r w:rsidRPr="00FA0D37">
        <w:rPr>
          <w:i/>
        </w:rPr>
        <w:t>MBS-</w:t>
      </w:r>
      <w:r w:rsidRPr="00FA0D37">
        <w:rPr>
          <w:i/>
          <w:iCs/>
        </w:rPr>
        <w:t>ServiceList</w:t>
      </w:r>
      <w:bookmarkEnd w:id="2008"/>
    </w:p>
    <w:p w14:paraId="64FBDCF9" w14:textId="77777777" w:rsidR="00807B1C" w:rsidRPr="00FA0D37" w:rsidRDefault="00807B1C" w:rsidP="00807B1C">
      <w:r w:rsidRPr="00FA0D37">
        <w:t xml:space="preserve">The IE </w:t>
      </w:r>
      <w:r w:rsidRPr="00FA0D37">
        <w:rPr>
          <w:i/>
          <w:lang w:eastAsia="zh-CN"/>
        </w:rPr>
        <w:t>MBS-</w:t>
      </w:r>
      <w:r w:rsidRPr="00FA0D37">
        <w:t xml:space="preserve"> </w:t>
      </w:r>
      <w:r w:rsidRPr="00FA0D37">
        <w:rPr>
          <w:i/>
          <w:lang w:eastAsia="zh-CN"/>
        </w:rPr>
        <w:t>ServiceList</w:t>
      </w:r>
      <w:r w:rsidRPr="00FA0D37">
        <w:t xml:space="preserve"> is used to inform the network of the MBS services that the UE is receiving or interested to receive.</w:t>
      </w:r>
    </w:p>
    <w:p w14:paraId="2D592941" w14:textId="77777777" w:rsidR="00807B1C" w:rsidRPr="00FA0D37" w:rsidRDefault="00807B1C" w:rsidP="00807B1C">
      <w:pPr>
        <w:pStyle w:val="TH"/>
        <w:rPr>
          <w:bCs/>
          <w:i/>
          <w:iCs/>
        </w:rPr>
      </w:pPr>
      <w:r w:rsidRPr="00FA0D37">
        <w:rPr>
          <w:bCs/>
          <w:i/>
          <w:iCs/>
          <w:lang w:eastAsia="zh-CN"/>
        </w:rPr>
        <w:t>MBS-</w:t>
      </w:r>
      <w:r w:rsidRPr="00FA0D37">
        <w:rPr>
          <w:i/>
        </w:rPr>
        <w:t>ServiceList</w:t>
      </w:r>
      <w:r w:rsidRPr="00FA0D37">
        <w:rPr>
          <w:bCs/>
          <w:i/>
          <w:iCs/>
        </w:rPr>
        <w:t xml:space="preserve"> </w:t>
      </w:r>
      <w:r w:rsidRPr="00FA0D37">
        <w:t>information element</w:t>
      </w:r>
    </w:p>
    <w:p w14:paraId="50907290" w14:textId="77777777" w:rsidR="00807B1C" w:rsidRPr="00FA0D37" w:rsidRDefault="00807B1C" w:rsidP="00FA0D37">
      <w:pPr>
        <w:pStyle w:val="PL"/>
        <w:rPr>
          <w:color w:val="808080"/>
        </w:rPr>
      </w:pPr>
      <w:r w:rsidRPr="00FA0D37">
        <w:rPr>
          <w:color w:val="808080"/>
        </w:rPr>
        <w:t>-- ASN1START</w:t>
      </w:r>
    </w:p>
    <w:p w14:paraId="5087D0E2" w14:textId="2DBCF441" w:rsidR="00807B1C" w:rsidRPr="00FA0D37" w:rsidRDefault="00807B1C" w:rsidP="00FA0D37">
      <w:pPr>
        <w:pStyle w:val="PL"/>
        <w:rPr>
          <w:color w:val="808080"/>
        </w:rPr>
      </w:pPr>
      <w:r w:rsidRPr="00FA0D37">
        <w:rPr>
          <w:color w:val="808080"/>
        </w:rPr>
        <w:t>-- TAG-MBS</w:t>
      </w:r>
      <w:r w:rsidR="00853B2B" w:rsidRPr="00FA0D37">
        <w:rPr>
          <w:color w:val="808080"/>
        </w:rPr>
        <w:t>-</w:t>
      </w:r>
      <w:r w:rsidRPr="00FA0D37">
        <w:rPr>
          <w:color w:val="808080"/>
        </w:rPr>
        <w:t>SERVICELIST-START</w:t>
      </w:r>
    </w:p>
    <w:p w14:paraId="05654E63" w14:textId="77777777" w:rsidR="00807B1C" w:rsidRPr="00FA0D37" w:rsidRDefault="00807B1C" w:rsidP="00FA0D37">
      <w:pPr>
        <w:pStyle w:val="PL"/>
      </w:pPr>
    </w:p>
    <w:p w14:paraId="1A7CEF1A" w14:textId="3B474AF9" w:rsidR="00807B1C" w:rsidRPr="00FA0D37" w:rsidRDefault="00807B1C" w:rsidP="00FA0D37">
      <w:pPr>
        <w:pStyle w:val="PL"/>
      </w:pPr>
      <w:r w:rsidRPr="00FA0D37">
        <w:t xml:space="preserve">MBS-ServiceList-r17 ::=         </w:t>
      </w:r>
      <w:r w:rsidRPr="00FA0D37">
        <w:rPr>
          <w:color w:val="993366"/>
        </w:rPr>
        <w:t>SEQUENCE</w:t>
      </w:r>
      <w:r w:rsidRPr="00FA0D37">
        <w:t xml:space="preserve"> (</w:t>
      </w:r>
      <w:r w:rsidRPr="00FA0D37">
        <w:rPr>
          <w:color w:val="993366"/>
        </w:rPr>
        <w:t>SIZE</w:t>
      </w:r>
      <w:r w:rsidRPr="00FA0D37">
        <w:t xml:space="preserve"> (</w:t>
      </w:r>
      <w:r w:rsidR="00853B2B" w:rsidRPr="00FA0D37">
        <w:t>1</w:t>
      </w:r>
      <w:r w:rsidRPr="00FA0D37">
        <w:t>..maxNrofMBS-ServiceListPerUE-r17))</w:t>
      </w:r>
      <w:r w:rsidRPr="00FA0D37">
        <w:rPr>
          <w:color w:val="993366"/>
        </w:rPr>
        <w:t xml:space="preserve"> OF</w:t>
      </w:r>
      <w:r w:rsidRPr="00FA0D37">
        <w:t xml:space="preserve"> MBS-ServiceInfo-r17</w:t>
      </w:r>
    </w:p>
    <w:p w14:paraId="45ED88B2" w14:textId="77777777" w:rsidR="00807B1C" w:rsidRPr="00FA0D37" w:rsidRDefault="00807B1C" w:rsidP="00FA0D37">
      <w:pPr>
        <w:pStyle w:val="PL"/>
      </w:pPr>
    </w:p>
    <w:p w14:paraId="44A1DCBF" w14:textId="7B343EC3" w:rsidR="00807B1C" w:rsidRPr="00FA0D37" w:rsidRDefault="00807B1C" w:rsidP="00FA0D37">
      <w:pPr>
        <w:pStyle w:val="PL"/>
      </w:pPr>
      <w:r w:rsidRPr="00FA0D37">
        <w:t xml:space="preserve">MBS-ServiceInfo-r17 ::=         </w:t>
      </w:r>
      <w:r w:rsidRPr="00FA0D37">
        <w:rPr>
          <w:color w:val="993366"/>
        </w:rPr>
        <w:t>SEQUENCE</w:t>
      </w:r>
      <w:r w:rsidRPr="00FA0D37">
        <w:t xml:space="preserve"> {</w:t>
      </w:r>
    </w:p>
    <w:p w14:paraId="109E5B30" w14:textId="18A4894E" w:rsidR="00807B1C" w:rsidRPr="00FA0D37" w:rsidRDefault="00807B1C" w:rsidP="00FA0D37">
      <w:pPr>
        <w:pStyle w:val="PL"/>
      </w:pPr>
      <w:r w:rsidRPr="00FA0D37">
        <w:t xml:space="preserve">    tmgi-r17                        TMGI-r17</w:t>
      </w:r>
    </w:p>
    <w:p w14:paraId="261D0513" w14:textId="77777777" w:rsidR="00807B1C" w:rsidRPr="00FA0D37" w:rsidRDefault="00807B1C" w:rsidP="00FA0D37">
      <w:pPr>
        <w:pStyle w:val="PL"/>
      </w:pPr>
      <w:r w:rsidRPr="00FA0D37">
        <w:t>}</w:t>
      </w:r>
    </w:p>
    <w:p w14:paraId="42586C10" w14:textId="77777777" w:rsidR="00807B1C" w:rsidRPr="00FA0D37" w:rsidRDefault="00807B1C" w:rsidP="00FA0D37">
      <w:pPr>
        <w:pStyle w:val="PL"/>
      </w:pPr>
    </w:p>
    <w:p w14:paraId="55368A90" w14:textId="020B1185" w:rsidR="00807B1C" w:rsidRPr="00FA0D37" w:rsidRDefault="00807B1C" w:rsidP="00FA0D37">
      <w:pPr>
        <w:pStyle w:val="PL"/>
        <w:rPr>
          <w:color w:val="808080"/>
        </w:rPr>
      </w:pPr>
      <w:r w:rsidRPr="00FA0D37">
        <w:rPr>
          <w:color w:val="808080"/>
        </w:rPr>
        <w:t>-- TAG-MBS</w:t>
      </w:r>
      <w:r w:rsidR="00853B2B" w:rsidRPr="00FA0D37">
        <w:rPr>
          <w:color w:val="808080"/>
        </w:rPr>
        <w:t>-</w:t>
      </w:r>
      <w:r w:rsidRPr="00FA0D37">
        <w:rPr>
          <w:color w:val="808080"/>
        </w:rPr>
        <w:t>SERVICELIST-STOP</w:t>
      </w:r>
    </w:p>
    <w:p w14:paraId="286E8D9B" w14:textId="77777777" w:rsidR="00807B1C" w:rsidRPr="00FA0D37" w:rsidRDefault="00807B1C" w:rsidP="00FA0D37">
      <w:pPr>
        <w:pStyle w:val="PL"/>
        <w:rPr>
          <w:color w:val="808080"/>
        </w:rPr>
      </w:pPr>
      <w:r w:rsidRPr="00FA0D37">
        <w:rPr>
          <w:color w:val="808080"/>
        </w:rPr>
        <w:t>-- ASN1STOP</w:t>
      </w:r>
    </w:p>
    <w:p w14:paraId="343B3E3D" w14:textId="77777777" w:rsidR="00807B1C" w:rsidRPr="00FA0D37" w:rsidRDefault="00807B1C" w:rsidP="00807B1C"/>
    <w:p w14:paraId="5FCF7636" w14:textId="37AF11C1" w:rsidR="00807B1C" w:rsidRPr="00FA0D37" w:rsidRDefault="00807B1C" w:rsidP="00807B1C">
      <w:pPr>
        <w:pStyle w:val="4"/>
      </w:pPr>
      <w:bookmarkStart w:id="2009" w:name="_Toc146781693"/>
      <w:r w:rsidRPr="00FA0D37">
        <w:lastRenderedPageBreak/>
        <w:t>–</w:t>
      </w:r>
      <w:r w:rsidRPr="00FA0D37">
        <w:tab/>
      </w:r>
      <w:r w:rsidRPr="00FA0D37">
        <w:rPr>
          <w:i/>
        </w:rPr>
        <w:t>MBS-</w:t>
      </w:r>
      <w:r w:rsidRPr="00FA0D37">
        <w:rPr>
          <w:i/>
          <w:iCs/>
        </w:rPr>
        <w:t>SessionInfoList</w:t>
      </w:r>
      <w:bookmarkEnd w:id="2009"/>
    </w:p>
    <w:p w14:paraId="34F6DD78" w14:textId="77777777" w:rsidR="00807B1C" w:rsidRPr="00FA0D37" w:rsidRDefault="00807B1C" w:rsidP="00807B1C">
      <w:pPr>
        <w:rPr>
          <w:iCs/>
          <w:lang w:eastAsia="zh-CN"/>
        </w:rPr>
      </w:pPr>
      <w:r w:rsidRPr="00FA0D37">
        <w:rPr>
          <w:iCs/>
          <w:lang w:eastAsia="zh-CN"/>
        </w:rPr>
        <w:t xml:space="preserve">The IE </w:t>
      </w:r>
      <w:r w:rsidRPr="00FA0D37">
        <w:rPr>
          <w:i/>
        </w:rPr>
        <w:t>MBS-SessionInfoList</w:t>
      </w:r>
      <w:r w:rsidRPr="00FA0D37">
        <w:rPr>
          <w:iCs/>
          <w:lang w:eastAsia="zh-CN"/>
        </w:rPr>
        <w:t xml:space="preserve"> provides the list of </w:t>
      </w:r>
      <w:r w:rsidRPr="00FA0D37">
        <w:t>ongoing</w:t>
      </w:r>
      <w:r w:rsidRPr="00FA0D37">
        <w:rPr>
          <w:iCs/>
          <w:lang w:eastAsia="zh-CN"/>
        </w:rPr>
        <w:t xml:space="preserve"> MBS broadcast sessions transmitted via broadcast MRB and, for each MBS broadcast session, the associated G-RNTI and scheduling information.</w:t>
      </w:r>
    </w:p>
    <w:p w14:paraId="7D9B14FD" w14:textId="77777777" w:rsidR="00807B1C" w:rsidRPr="00FA0D37" w:rsidRDefault="00807B1C" w:rsidP="00807B1C">
      <w:pPr>
        <w:pStyle w:val="TH"/>
        <w:rPr>
          <w:b w:val="0"/>
        </w:rPr>
      </w:pPr>
      <w:r w:rsidRPr="00FA0D37">
        <w:rPr>
          <w:i/>
        </w:rPr>
        <w:t>MBS-SessionInfoList</w:t>
      </w:r>
      <w:r w:rsidRPr="00FA0D37">
        <w:t xml:space="preserve"> information element</w:t>
      </w:r>
    </w:p>
    <w:p w14:paraId="41812A4B" w14:textId="77777777" w:rsidR="00807B1C" w:rsidRPr="00FA0D37" w:rsidRDefault="00807B1C" w:rsidP="00FA0D37">
      <w:pPr>
        <w:pStyle w:val="PL"/>
        <w:rPr>
          <w:color w:val="808080"/>
        </w:rPr>
      </w:pPr>
      <w:r w:rsidRPr="00FA0D37">
        <w:rPr>
          <w:color w:val="808080"/>
        </w:rPr>
        <w:t>-- ASN1START</w:t>
      </w:r>
    </w:p>
    <w:p w14:paraId="134046CE" w14:textId="77777777" w:rsidR="00807B1C" w:rsidRPr="00FA0D37" w:rsidRDefault="00807B1C" w:rsidP="00FA0D37">
      <w:pPr>
        <w:pStyle w:val="PL"/>
        <w:rPr>
          <w:color w:val="808080"/>
        </w:rPr>
      </w:pPr>
      <w:r w:rsidRPr="00FA0D37">
        <w:rPr>
          <w:color w:val="808080"/>
        </w:rPr>
        <w:t>-- TAG-MBS-SESSIONINFOLIST-START</w:t>
      </w:r>
    </w:p>
    <w:p w14:paraId="23E91239" w14:textId="77777777" w:rsidR="00807B1C" w:rsidRPr="00FA0D37" w:rsidRDefault="00807B1C" w:rsidP="00FA0D37">
      <w:pPr>
        <w:pStyle w:val="PL"/>
      </w:pPr>
    </w:p>
    <w:p w14:paraId="3F6CCFD3" w14:textId="39140687" w:rsidR="00807B1C" w:rsidRPr="00FA0D37" w:rsidRDefault="00807B1C" w:rsidP="00FA0D37">
      <w:pPr>
        <w:pStyle w:val="PL"/>
      </w:pPr>
      <w:r w:rsidRPr="00FA0D37">
        <w:t xml:space="preserve">MBS-SessionInfoList-r17 ::=      </w:t>
      </w:r>
      <w:r w:rsidRPr="00FA0D37">
        <w:rPr>
          <w:color w:val="993366"/>
        </w:rPr>
        <w:t>SEQUENCE</w:t>
      </w:r>
      <w:r w:rsidRPr="00FA0D37">
        <w:t xml:space="preserve"> (</w:t>
      </w:r>
      <w:r w:rsidRPr="00FA0D37">
        <w:rPr>
          <w:color w:val="993366"/>
        </w:rPr>
        <w:t>SIZE</w:t>
      </w:r>
      <w:r w:rsidRPr="00FA0D37">
        <w:t xml:space="preserve"> (</w:t>
      </w:r>
      <w:r w:rsidR="00853B2B" w:rsidRPr="00FA0D37">
        <w:t>1</w:t>
      </w:r>
      <w:r w:rsidRPr="00FA0D37">
        <w:t>..maxNrofMBS-Session-r17))</w:t>
      </w:r>
      <w:r w:rsidRPr="00FA0D37">
        <w:rPr>
          <w:color w:val="993366"/>
        </w:rPr>
        <w:t xml:space="preserve"> OF</w:t>
      </w:r>
      <w:r w:rsidRPr="00FA0D37">
        <w:t xml:space="preserve"> MBS-SessionInfo-r17</w:t>
      </w:r>
    </w:p>
    <w:p w14:paraId="4C6DB78E" w14:textId="77777777" w:rsidR="00807B1C" w:rsidRPr="00FA0D37" w:rsidRDefault="00807B1C" w:rsidP="00FA0D37">
      <w:pPr>
        <w:pStyle w:val="PL"/>
      </w:pPr>
    </w:p>
    <w:p w14:paraId="28279DA0" w14:textId="0EA22BDD" w:rsidR="00807B1C" w:rsidRPr="00FA0D37" w:rsidRDefault="00807B1C" w:rsidP="00FA0D37">
      <w:pPr>
        <w:pStyle w:val="PL"/>
      </w:pPr>
      <w:r w:rsidRPr="00FA0D37">
        <w:t xml:space="preserve">MBS-SessionInfo-r17 ::=          </w:t>
      </w:r>
      <w:r w:rsidRPr="00FA0D37">
        <w:rPr>
          <w:color w:val="993366"/>
        </w:rPr>
        <w:t>SEQUENCE</w:t>
      </w:r>
      <w:r w:rsidRPr="00FA0D37">
        <w:t xml:space="preserve"> {</w:t>
      </w:r>
    </w:p>
    <w:p w14:paraId="12D6D134" w14:textId="5B685571" w:rsidR="00807B1C" w:rsidRPr="00FA0D37" w:rsidRDefault="00807B1C" w:rsidP="00FA0D37">
      <w:pPr>
        <w:pStyle w:val="PL"/>
      </w:pPr>
      <w:r w:rsidRPr="00FA0D37">
        <w:t xml:space="preserve">    mbs-SessionId-r17                TMGI-r17,</w:t>
      </w:r>
    </w:p>
    <w:p w14:paraId="562475B5" w14:textId="0F66190C" w:rsidR="00807B1C" w:rsidRPr="00FA0D37" w:rsidRDefault="00807B1C" w:rsidP="00FA0D37">
      <w:pPr>
        <w:pStyle w:val="PL"/>
      </w:pPr>
      <w:r w:rsidRPr="00FA0D37">
        <w:t xml:space="preserve">    g-RNTI-r17                       RNTI-Value,</w:t>
      </w:r>
    </w:p>
    <w:p w14:paraId="4FC474F9" w14:textId="712C76F6" w:rsidR="00807B1C" w:rsidRPr="00FA0D37" w:rsidRDefault="00807B1C" w:rsidP="00FA0D37">
      <w:pPr>
        <w:pStyle w:val="PL"/>
      </w:pPr>
      <w:r w:rsidRPr="00FA0D37">
        <w:t xml:space="preserve">    mrb-ListBroadcast-r17            MRB-ListBroadcast-r17,</w:t>
      </w:r>
    </w:p>
    <w:p w14:paraId="3EC85497" w14:textId="246E01B2" w:rsidR="00807B1C" w:rsidRPr="00FA0D37" w:rsidRDefault="00807B1C" w:rsidP="00FA0D37">
      <w:pPr>
        <w:pStyle w:val="PL"/>
        <w:rPr>
          <w:color w:val="808080"/>
        </w:rPr>
      </w:pPr>
      <w:r w:rsidRPr="00FA0D37">
        <w:t xml:space="preserve">    mtch-SchedulingInfo-r17          DRX-ConfigPTM-Index-r17                      </w:t>
      </w:r>
      <w:r w:rsidRPr="00FA0D37">
        <w:rPr>
          <w:color w:val="993366"/>
        </w:rPr>
        <w:t>OPTIONAL</w:t>
      </w:r>
      <w:r w:rsidRPr="00FA0D37">
        <w:t xml:space="preserve">, </w:t>
      </w:r>
      <w:r w:rsidRPr="00FA0D37">
        <w:rPr>
          <w:color w:val="808080"/>
        </w:rPr>
        <w:t>-- Need S</w:t>
      </w:r>
    </w:p>
    <w:p w14:paraId="2662006B" w14:textId="1BC42569" w:rsidR="00807B1C" w:rsidRPr="00FA0D37" w:rsidRDefault="00807B1C" w:rsidP="00FA0D37">
      <w:pPr>
        <w:pStyle w:val="PL"/>
        <w:rPr>
          <w:color w:val="808080"/>
        </w:rPr>
      </w:pPr>
      <w:r w:rsidRPr="00FA0D37">
        <w:t xml:space="preserve">    mtch-NeighbourCell-r17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(maxNeighCellMBS-r17))      </w:t>
      </w:r>
      <w:r w:rsidR="00853B2B" w:rsidRPr="00FA0D37">
        <w:t xml:space="preserve"> </w:t>
      </w:r>
      <w:r w:rsidRPr="00FA0D37">
        <w:rPr>
          <w:color w:val="993366"/>
        </w:rPr>
        <w:t>OPTIONAL</w:t>
      </w:r>
      <w:r w:rsidRPr="00FA0D37">
        <w:t xml:space="preserve">, </w:t>
      </w:r>
      <w:r w:rsidRPr="00FA0D37">
        <w:rPr>
          <w:color w:val="808080"/>
        </w:rPr>
        <w:t xml:space="preserve">-- Need </w:t>
      </w:r>
      <w:r w:rsidR="00853B2B" w:rsidRPr="00FA0D37">
        <w:rPr>
          <w:color w:val="808080"/>
        </w:rPr>
        <w:t>S</w:t>
      </w:r>
    </w:p>
    <w:p w14:paraId="18B6E15D" w14:textId="53624960" w:rsidR="00807B1C" w:rsidRPr="00FA0D37" w:rsidRDefault="00807B1C" w:rsidP="00FA0D37">
      <w:pPr>
        <w:pStyle w:val="PL"/>
        <w:rPr>
          <w:color w:val="808080"/>
        </w:rPr>
      </w:pPr>
      <w:r w:rsidRPr="00FA0D37">
        <w:t xml:space="preserve">    pdsch-ConfigIndex-r17            PDSCH-ConfigIndex-r17                        </w:t>
      </w:r>
      <w:r w:rsidRPr="00FA0D37">
        <w:rPr>
          <w:color w:val="993366"/>
        </w:rPr>
        <w:t>OPTIONAL</w:t>
      </w:r>
      <w:r w:rsidRPr="00FA0D37">
        <w:t xml:space="preserve">, </w:t>
      </w:r>
      <w:r w:rsidRPr="00FA0D37">
        <w:rPr>
          <w:color w:val="808080"/>
        </w:rPr>
        <w:t>-- Need S</w:t>
      </w:r>
    </w:p>
    <w:p w14:paraId="3AF0741E" w14:textId="55670442" w:rsidR="00807B1C" w:rsidRPr="00FA0D37" w:rsidRDefault="00807B1C" w:rsidP="00FA0D37">
      <w:pPr>
        <w:pStyle w:val="PL"/>
        <w:rPr>
          <w:color w:val="808080"/>
        </w:rPr>
      </w:pPr>
      <w:r w:rsidRPr="00FA0D37">
        <w:t xml:space="preserve">    mtch-SSB-MappingWindowIndex-r17  MTCH-SSB-MappingWindowIndex-r17              </w:t>
      </w:r>
      <w:r w:rsidRPr="00FA0D37">
        <w:rPr>
          <w:color w:val="993366"/>
        </w:rPr>
        <w:t>OPTIONAL</w:t>
      </w:r>
      <w:r w:rsidRPr="00FA0D37">
        <w:t xml:space="preserve">  </w:t>
      </w:r>
      <w:r w:rsidRPr="00FA0D37">
        <w:rPr>
          <w:color w:val="808080"/>
        </w:rPr>
        <w:t xml:space="preserve">-- </w:t>
      </w:r>
      <w:r w:rsidR="002A4990" w:rsidRPr="00FA0D37">
        <w:rPr>
          <w:color w:val="808080"/>
        </w:rPr>
        <w:t>Cond MTCH-Mapping</w:t>
      </w:r>
    </w:p>
    <w:p w14:paraId="35A379BE" w14:textId="77777777" w:rsidR="00807B1C" w:rsidRPr="00FA0D37" w:rsidRDefault="00807B1C" w:rsidP="00FA0D37">
      <w:pPr>
        <w:pStyle w:val="PL"/>
      </w:pPr>
      <w:r w:rsidRPr="00FA0D37">
        <w:t>}</w:t>
      </w:r>
    </w:p>
    <w:p w14:paraId="5B823581" w14:textId="77777777" w:rsidR="00807B1C" w:rsidRPr="00FA0D37" w:rsidRDefault="00807B1C" w:rsidP="00FA0D37">
      <w:pPr>
        <w:pStyle w:val="PL"/>
      </w:pPr>
    </w:p>
    <w:p w14:paraId="2D4B7AA5" w14:textId="2E457862" w:rsidR="00807B1C" w:rsidRPr="00FA0D37" w:rsidRDefault="00807B1C" w:rsidP="00FA0D37">
      <w:pPr>
        <w:pStyle w:val="PL"/>
      </w:pPr>
      <w:r w:rsidRPr="00FA0D37">
        <w:t xml:space="preserve">DRX-ConfigPTM-Index-r17 ::=          </w:t>
      </w:r>
      <w:r w:rsidRPr="00FA0D37">
        <w:rPr>
          <w:color w:val="993366"/>
        </w:rPr>
        <w:t>INTEGER</w:t>
      </w:r>
      <w:r w:rsidRPr="00FA0D37">
        <w:t xml:space="preserve"> (0..maxNrofDRX-ConfigPTM-1-r17)</w:t>
      </w:r>
    </w:p>
    <w:p w14:paraId="43ACCB2E" w14:textId="77777777" w:rsidR="00807B1C" w:rsidRPr="00FA0D37" w:rsidRDefault="00807B1C" w:rsidP="00FA0D37">
      <w:pPr>
        <w:pStyle w:val="PL"/>
      </w:pPr>
    </w:p>
    <w:p w14:paraId="56FB893D" w14:textId="292D4BEF" w:rsidR="00807B1C" w:rsidRPr="00FA0D37" w:rsidRDefault="00807B1C" w:rsidP="00FA0D37">
      <w:pPr>
        <w:pStyle w:val="PL"/>
      </w:pPr>
      <w:r w:rsidRPr="00FA0D37">
        <w:t xml:space="preserve">PDSCH-ConfigIndex-r17  ::=           </w:t>
      </w:r>
      <w:r w:rsidRPr="00FA0D37">
        <w:rPr>
          <w:color w:val="993366"/>
        </w:rPr>
        <w:t>INTEGER</w:t>
      </w:r>
      <w:r w:rsidRPr="00FA0D37">
        <w:t xml:space="preserve"> (0..maxNrofPDSCH-ConfigPTM-1-r17)</w:t>
      </w:r>
    </w:p>
    <w:p w14:paraId="0ACCC7B9" w14:textId="77777777" w:rsidR="00807B1C" w:rsidRPr="00FA0D37" w:rsidRDefault="00807B1C" w:rsidP="00FA0D37">
      <w:pPr>
        <w:pStyle w:val="PL"/>
      </w:pPr>
    </w:p>
    <w:p w14:paraId="6D16C086" w14:textId="66A7ED0A" w:rsidR="00807B1C" w:rsidRPr="00FA0D37" w:rsidRDefault="00807B1C" w:rsidP="00FA0D37">
      <w:pPr>
        <w:pStyle w:val="PL"/>
      </w:pPr>
      <w:r w:rsidRPr="00FA0D37">
        <w:t>MTCH</w:t>
      </w:r>
      <w:r w:rsidRPr="00FA0D37">
        <w:rPr>
          <w:rFonts w:eastAsia="等线"/>
        </w:rPr>
        <w:t>-</w:t>
      </w:r>
      <w:r w:rsidRPr="00FA0D37">
        <w:t xml:space="preserve">SSB-MappingWindowIndex-r17  ::= </w:t>
      </w:r>
      <w:r w:rsidRPr="00FA0D37">
        <w:rPr>
          <w:color w:val="993366"/>
        </w:rPr>
        <w:t>INTEGER</w:t>
      </w:r>
      <w:r w:rsidRPr="00FA0D37">
        <w:t xml:space="preserve"> (0..maxNrofMTCH-SSB-MappingWindow-1-r17)</w:t>
      </w:r>
    </w:p>
    <w:p w14:paraId="1CE4B6FD" w14:textId="77777777" w:rsidR="00807B1C" w:rsidRPr="00FA0D37" w:rsidRDefault="00807B1C" w:rsidP="00FA0D37">
      <w:pPr>
        <w:pStyle w:val="PL"/>
      </w:pPr>
    </w:p>
    <w:p w14:paraId="0D4CC761" w14:textId="7E934A04" w:rsidR="00807B1C" w:rsidRPr="00FA0D37" w:rsidRDefault="00807B1C" w:rsidP="00FA0D37">
      <w:pPr>
        <w:pStyle w:val="PL"/>
      </w:pPr>
      <w:r w:rsidRPr="00FA0D37">
        <w:t xml:space="preserve">MRB-ListBroadcast-r17 ::=            </w:t>
      </w:r>
      <w:r w:rsidRPr="00FA0D37">
        <w:rPr>
          <w:color w:val="993366"/>
        </w:rPr>
        <w:t>SEQUENCE</w:t>
      </w:r>
      <w:r w:rsidRPr="00FA0D37">
        <w:t xml:space="preserve"> (</w:t>
      </w:r>
      <w:r w:rsidRPr="00FA0D37">
        <w:rPr>
          <w:color w:val="993366"/>
        </w:rPr>
        <w:t>SIZE</w:t>
      </w:r>
      <w:r w:rsidRPr="00FA0D37">
        <w:t xml:space="preserve"> (1..maxNrofMRB-Broadcast-r17))</w:t>
      </w:r>
      <w:r w:rsidRPr="00FA0D37">
        <w:rPr>
          <w:color w:val="993366"/>
        </w:rPr>
        <w:t xml:space="preserve"> OF</w:t>
      </w:r>
      <w:r w:rsidRPr="00FA0D37">
        <w:t xml:space="preserve"> MRB-InfoBroadcast-r17</w:t>
      </w:r>
    </w:p>
    <w:p w14:paraId="558981F2" w14:textId="77777777" w:rsidR="00807B1C" w:rsidRPr="00FA0D37" w:rsidRDefault="00807B1C" w:rsidP="00FA0D37">
      <w:pPr>
        <w:pStyle w:val="PL"/>
      </w:pPr>
    </w:p>
    <w:p w14:paraId="174AF31D" w14:textId="4273BAB3" w:rsidR="00807B1C" w:rsidRPr="00FA0D37" w:rsidRDefault="00807B1C" w:rsidP="00FA0D37">
      <w:pPr>
        <w:pStyle w:val="PL"/>
      </w:pPr>
      <w:r w:rsidRPr="00FA0D37">
        <w:t xml:space="preserve">MRB-InfoBroadcast-r17 ::=            </w:t>
      </w:r>
      <w:r w:rsidRPr="00FA0D37">
        <w:rPr>
          <w:color w:val="993366"/>
        </w:rPr>
        <w:t>SEQUENCE</w:t>
      </w:r>
      <w:r w:rsidRPr="00FA0D37">
        <w:t xml:space="preserve"> {</w:t>
      </w:r>
    </w:p>
    <w:p w14:paraId="315D5CFA" w14:textId="245CEE55" w:rsidR="00807B1C" w:rsidRPr="00FA0D37" w:rsidRDefault="00807B1C" w:rsidP="00FA0D37">
      <w:pPr>
        <w:pStyle w:val="PL"/>
      </w:pPr>
      <w:r w:rsidRPr="00FA0D37">
        <w:t xml:space="preserve">    pdcp-Config-r17                      MRB-PDCP-ConfigBroadcast-r17,</w:t>
      </w:r>
    </w:p>
    <w:p w14:paraId="65C4BA8F" w14:textId="07682C2F" w:rsidR="00807B1C" w:rsidRPr="00FA0D37" w:rsidRDefault="00807B1C" w:rsidP="00FA0D37">
      <w:pPr>
        <w:pStyle w:val="PL"/>
      </w:pPr>
      <w:r w:rsidRPr="00FA0D37">
        <w:t xml:space="preserve">    rlc-Config-r17                       MRB-RLC-ConfigBroadcast-r17,</w:t>
      </w:r>
    </w:p>
    <w:p w14:paraId="4735F4B0" w14:textId="77777777" w:rsidR="00807B1C" w:rsidRPr="00FA0D37" w:rsidRDefault="00807B1C" w:rsidP="00FA0D37">
      <w:pPr>
        <w:pStyle w:val="PL"/>
      </w:pPr>
      <w:r w:rsidRPr="00FA0D37">
        <w:t xml:space="preserve">    ...</w:t>
      </w:r>
    </w:p>
    <w:p w14:paraId="7BF8DDA0" w14:textId="77777777" w:rsidR="00807B1C" w:rsidRPr="00FA0D37" w:rsidRDefault="00807B1C" w:rsidP="00FA0D37">
      <w:pPr>
        <w:pStyle w:val="PL"/>
      </w:pPr>
      <w:r w:rsidRPr="00FA0D37">
        <w:t>}</w:t>
      </w:r>
    </w:p>
    <w:p w14:paraId="155B2D3A" w14:textId="77777777" w:rsidR="00807B1C" w:rsidRPr="00FA0D37" w:rsidRDefault="00807B1C" w:rsidP="00FA0D37">
      <w:pPr>
        <w:pStyle w:val="PL"/>
      </w:pPr>
    </w:p>
    <w:p w14:paraId="76CEAD35" w14:textId="77777777" w:rsidR="00F747EB" w:rsidRPr="00FA0D37" w:rsidRDefault="00807B1C" w:rsidP="00FA0D37">
      <w:pPr>
        <w:pStyle w:val="PL"/>
      </w:pPr>
      <w:r w:rsidRPr="00FA0D37">
        <w:t xml:space="preserve">MRB-PDCP-ConfigBroadcast-r17 ::=     </w:t>
      </w:r>
      <w:r w:rsidRPr="00FA0D37">
        <w:rPr>
          <w:color w:val="993366"/>
        </w:rPr>
        <w:t>SEQUENCE</w:t>
      </w:r>
      <w:r w:rsidRPr="00FA0D37">
        <w:t xml:space="preserve"> {</w:t>
      </w:r>
    </w:p>
    <w:p w14:paraId="47B96815" w14:textId="71D7C642" w:rsidR="00807B1C" w:rsidRPr="00FA0D37" w:rsidRDefault="00807B1C" w:rsidP="00FA0D37">
      <w:pPr>
        <w:pStyle w:val="PL"/>
        <w:rPr>
          <w:color w:val="808080"/>
        </w:rPr>
      </w:pPr>
      <w:r w:rsidRPr="00FA0D37">
        <w:t xml:space="preserve">    pdcp-SN-SizeDL-r17                   </w:t>
      </w:r>
      <w:r w:rsidRPr="00FA0D37">
        <w:rPr>
          <w:color w:val="993366"/>
        </w:rPr>
        <w:t>ENUMERATED</w:t>
      </w:r>
      <w:r w:rsidRPr="00FA0D37">
        <w:t xml:space="preserve"> {len12bits}                   </w:t>
      </w:r>
      <w:r w:rsidRPr="00FA0D37">
        <w:rPr>
          <w:color w:val="993366"/>
        </w:rPr>
        <w:t>OPTIONAL</w:t>
      </w:r>
      <w:r w:rsidRPr="00FA0D37">
        <w:t xml:space="preserve">, </w:t>
      </w:r>
      <w:r w:rsidRPr="00FA0D37">
        <w:rPr>
          <w:color w:val="808080"/>
        </w:rPr>
        <w:t>-- Need S</w:t>
      </w:r>
    </w:p>
    <w:p w14:paraId="2EDAC06D" w14:textId="5EA36683" w:rsidR="00807B1C" w:rsidRPr="00FA0D37" w:rsidRDefault="00807B1C" w:rsidP="00FA0D37">
      <w:pPr>
        <w:pStyle w:val="PL"/>
      </w:pPr>
      <w:r w:rsidRPr="00FA0D37">
        <w:t xml:space="preserve">    headerCompression-r17                </w:t>
      </w:r>
      <w:r w:rsidRPr="00FA0D37">
        <w:rPr>
          <w:color w:val="993366"/>
        </w:rPr>
        <w:t>CHOICE</w:t>
      </w:r>
      <w:r w:rsidRPr="00FA0D37">
        <w:t xml:space="preserve"> {</w:t>
      </w:r>
    </w:p>
    <w:p w14:paraId="1914E46D" w14:textId="4EDBE770" w:rsidR="00807B1C" w:rsidRPr="00FA0D37" w:rsidRDefault="00807B1C" w:rsidP="00FA0D37">
      <w:pPr>
        <w:pStyle w:val="PL"/>
      </w:pPr>
      <w:r w:rsidRPr="00FA0D37">
        <w:t xml:space="preserve">        notUsed                          </w:t>
      </w:r>
      <w:r w:rsidR="00853B2B" w:rsidRPr="00FA0D37">
        <w:t xml:space="preserve">    </w:t>
      </w:r>
      <w:r w:rsidRPr="00FA0D37">
        <w:rPr>
          <w:color w:val="993366"/>
        </w:rPr>
        <w:t>NULL</w:t>
      </w:r>
      <w:r w:rsidRPr="00FA0D37">
        <w:t>,</w:t>
      </w:r>
    </w:p>
    <w:p w14:paraId="518BE05F" w14:textId="654A99AA" w:rsidR="00807B1C" w:rsidRPr="00FA0D37" w:rsidRDefault="00807B1C" w:rsidP="00FA0D37">
      <w:pPr>
        <w:pStyle w:val="PL"/>
      </w:pPr>
      <w:r w:rsidRPr="00FA0D37">
        <w:t xml:space="preserve">        rohc                             </w:t>
      </w:r>
      <w:r w:rsidR="00853B2B" w:rsidRPr="00FA0D37">
        <w:t xml:space="preserve">    </w:t>
      </w:r>
      <w:r w:rsidRPr="00FA0D37">
        <w:rPr>
          <w:color w:val="993366"/>
        </w:rPr>
        <w:t>SEQUENCE</w:t>
      </w:r>
      <w:r w:rsidRPr="00FA0D37">
        <w:t xml:space="preserve"> {</w:t>
      </w:r>
    </w:p>
    <w:p w14:paraId="7E2B6DE1" w14:textId="79F5F0C3" w:rsidR="00807B1C" w:rsidRPr="00FA0D37" w:rsidRDefault="00807B1C" w:rsidP="00FA0D37">
      <w:pPr>
        <w:pStyle w:val="PL"/>
      </w:pPr>
      <w:r w:rsidRPr="00FA0D37">
        <w:t xml:space="preserve">            maxCID-r17                           </w:t>
      </w:r>
      <w:r w:rsidRPr="00FA0D37">
        <w:rPr>
          <w:color w:val="993366"/>
        </w:rPr>
        <w:t>INTEGER</w:t>
      </w:r>
      <w:r w:rsidRPr="00FA0D37">
        <w:t xml:space="preserve"> (1..16)               DEFAULT 15,</w:t>
      </w:r>
    </w:p>
    <w:p w14:paraId="63235AFB" w14:textId="610B97BC" w:rsidR="00807B1C" w:rsidRPr="00FA0D37" w:rsidRDefault="00807B1C" w:rsidP="00FA0D37">
      <w:pPr>
        <w:pStyle w:val="PL"/>
      </w:pPr>
      <w:r w:rsidRPr="00FA0D37">
        <w:t xml:space="preserve">            profiles-r17                         </w:t>
      </w:r>
      <w:r w:rsidRPr="00FA0D37">
        <w:rPr>
          <w:color w:val="993366"/>
        </w:rPr>
        <w:t>SEQUENCE</w:t>
      </w:r>
      <w:r w:rsidRPr="00FA0D37">
        <w:t xml:space="preserve"> {</w:t>
      </w:r>
    </w:p>
    <w:p w14:paraId="5E662DF7" w14:textId="6B225928" w:rsidR="00807B1C" w:rsidRPr="00FA0D37" w:rsidRDefault="00807B1C" w:rsidP="00FA0D37">
      <w:pPr>
        <w:pStyle w:val="PL"/>
      </w:pPr>
      <w:r w:rsidRPr="00FA0D37">
        <w:t xml:space="preserve">                </w:t>
      </w:r>
      <w:r w:rsidR="00853B2B" w:rsidRPr="00FA0D37">
        <w:t>profile0x0000</w:t>
      </w:r>
      <w:r w:rsidRPr="00FA0D37">
        <w:t xml:space="preserve">-r17                    </w:t>
      </w:r>
      <w:r w:rsidRPr="00FA0D37">
        <w:rPr>
          <w:color w:val="993366"/>
        </w:rPr>
        <w:t>BOOLEAN</w:t>
      </w:r>
      <w:r w:rsidRPr="00FA0D37">
        <w:t>,</w:t>
      </w:r>
    </w:p>
    <w:p w14:paraId="10FE5452" w14:textId="1FC3382A" w:rsidR="00807B1C" w:rsidRPr="00FA0D37" w:rsidRDefault="00807B1C" w:rsidP="00FA0D37">
      <w:pPr>
        <w:pStyle w:val="PL"/>
      </w:pPr>
      <w:r w:rsidRPr="00FA0D37">
        <w:t xml:space="preserve">                </w:t>
      </w:r>
      <w:r w:rsidR="00853B2B" w:rsidRPr="00FA0D37">
        <w:t>profile0x0001</w:t>
      </w:r>
      <w:r w:rsidRPr="00FA0D37">
        <w:t xml:space="preserve">-r17                    </w:t>
      </w:r>
      <w:r w:rsidRPr="00FA0D37">
        <w:rPr>
          <w:color w:val="993366"/>
        </w:rPr>
        <w:t>BOOLEAN</w:t>
      </w:r>
      <w:r w:rsidRPr="00FA0D37">
        <w:t>,</w:t>
      </w:r>
    </w:p>
    <w:p w14:paraId="07F57D5F" w14:textId="1F4E54A3" w:rsidR="00807B1C" w:rsidRPr="00FA0D37" w:rsidRDefault="00807B1C" w:rsidP="00FA0D37">
      <w:pPr>
        <w:pStyle w:val="PL"/>
      </w:pPr>
      <w:r w:rsidRPr="00FA0D37">
        <w:t xml:space="preserve">                </w:t>
      </w:r>
      <w:r w:rsidR="00853B2B" w:rsidRPr="00FA0D37">
        <w:t>profile0x0002</w:t>
      </w:r>
      <w:r w:rsidRPr="00FA0D37">
        <w:t xml:space="preserve">-r17                    </w:t>
      </w:r>
      <w:r w:rsidRPr="00FA0D37">
        <w:rPr>
          <w:color w:val="993366"/>
        </w:rPr>
        <w:t>BOOLEAN</w:t>
      </w:r>
    </w:p>
    <w:p w14:paraId="6FD76619" w14:textId="345763CD" w:rsidR="00807B1C" w:rsidRPr="00FA0D37" w:rsidRDefault="00807B1C" w:rsidP="00FA0D37">
      <w:pPr>
        <w:pStyle w:val="PL"/>
      </w:pPr>
      <w:r w:rsidRPr="00FA0D37">
        <w:t xml:space="preserve">           }</w:t>
      </w:r>
    </w:p>
    <w:p w14:paraId="3574BCF3" w14:textId="7A187A4E" w:rsidR="00807B1C" w:rsidRPr="00FA0D37" w:rsidRDefault="00807B1C" w:rsidP="00FA0D37">
      <w:pPr>
        <w:pStyle w:val="PL"/>
      </w:pPr>
      <w:r w:rsidRPr="00FA0D37">
        <w:t xml:space="preserve">        }</w:t>
      </w:r>
    </w:p>
    <w:p w14:paraId="5A819775" w14:textId="501733DA" w:rsidR="00807B1C" w:rsidRPr="00FA0D37" w:rsidRDefault="00807B1C" w:rsidP="00FA0D37">
      <w:pPr>
        <w:pStyle w:val="PL"/>
      </w:pPr>
      <w:r w:rsidRPr="00FA0D37">
        <w:t xml:space="preserve">    }</w:t>
      </w:r>
      <w:r w:rsidR="00853B2B" w:rsidRPr="00FA0D37">
        <w:t>,</w:t>
      </w:r>
    </w:p>
    <w:p w14:paraId="389C53E6" w14:textId="56FB58F6" w:rsidR="00807B1C" w:rsidRPr="00FA0D37" w:rsidRDefault="00807B1C" w:rsidP="00FA0D37">
      <w:pPr>
        <w:pStyle w:val="PL"/>
        <w:rPr>
          <w:color w:val="808080"/>
        </w:rPr>
      </w:pPr>
      <w:r w:rsidRPr="00FA0D37">
        <w:t xml:space="preserve">    t-Reordering-r17                     </w:t>
      </w:r>
      <w:r w:rsidRPr="00FA0D37">
        <w:rPr>
          <w:color w:val="993366"/>
        </w:rPr>
        <w:t>ENUMERATED</w:t>
      </w:r>
      <w:r w:rsidRPr="00FA0D37">
        <w:t xml:space="preserve"> {ms1, ms10, ms40, ms160, ms500, ms1000, ms1250, ms2750}    </w:t>
      </w:r>
      <w:r w:rsidRPr="00FA0D37">
        <w:rPr>
          <w:color w:val="993366"/>
        </w:rPr>
        <w:t>OPTIONAL</w:t>
      </w:r>
      <w:r w:rsidRPr="00FA0D37">
        <w:t xml:space="preserve"> </w:t>
      </w:r>
      <w:r w:rsidRPr="00FA0D37">
        <w:rPr>
          <w:color w:val="808080"/>
        </w:rPr>
        <w:t>-- Need S</w:t>
      </w:r>
    </w:p>
    <w:p w14:paraId="604B63B6" w14:textId="77777777" w:rsidR="00807B1C" w:rsidRPr="00FA0D37" w:rsidRDefault="00807B1C" w:rsidP="00FA0D37">
      <w:pPr>
        <w:pStyle w:val="PL"/>
      </w:pPr>
      <w:r w:rsidRPr="00FA0D37">
        <w:lastRenderedPageBreak/>
        <w:t>}</w:t>
      </w:r>
    </w:p>
    <w:p w14:paraId="473D300F" w14:textId="77777777" w:rsidR="00807B1C" w:rsidRPr="00FA0D37" w:rsidRDefault="00807B1C" w:rsidP="00FA0D37">
      <w:pPr>
        <w:pStyle w:val="PL"/>
      </w:pPr>
    </w:p>
    <w:p w14:paraId="11697B5B" w14:textId="11CB8D62" w:rsidR="00807B1C" w:rsidRPr="00FA0D37" w:rsidRDefault="00807B1C" w:rsidP="00FA0D37">
      <w:pPr>
        <w:pStyle w:val="PL"/>
      </w:pPr>
      <w:r w:rsidRPr="00FA0D37">
        <w:t xml:space="preserve">MRB-RLC-ConfigBroadcast-r17 ::=      </w:t>
      </w:r>
      <w:r w:rsidRPr="00FA0D37">
        <w:rPr>
          <w:color w:val="993366"/>
        </w:rPr>
        <w:t>SEQUENCE</w:t>
      </w:r>
      <w:r w:rsidRPr="00FA0D37">
        <w:t xml:space="preserve"> {</w:t>
      </w:r>
    </w:p>
    <w:p w14:paraId="16AE059D" w14:textId="0FB024E4" w:rsidR="00807B1C" w:rsidRPr="00FA0D37" w:rsidRDefault="00807B1C" w:rsidP="00FA0D37">
      <w:pPr>
        <w:pStyle w:val="PL"/>
      </w:pPr>
      <w:r w:rsidRPr="00FA0D37">
        <w:t xml:space="preserve">    logicalChannelIdentity-r17           LogicalChannelIdentity,</w:t>
      </w:r>
    </w:p>
    <w:p w14:paraId="2D1A0A50" w14:textId="01388F20" w:rsidR="00807B1C" w:rsidRPr="00FA0D37" w:rsidRDefault="00807B1C" w:rsidP="00FA0D37">
      <w:pPr>
        <w:pStyle w:val="PL"/>
        <w:rPr>
          <w:color w:val="808080"/>
        </w:rPr>
      </w:pPr>
      <w:r w:rsidRPr="00FA0D37">
        <w:t xml:space="preserve">    sn-FieldLength-r17                   </w:t>
      </w:r>
      <w:r w:rsidRPr="00FA0D37">
        <w:rPr>
          <w:color w:val="993366"/>
        </w:rPr>
        <w:t>ENUMERATED</w:t>
      </w:r>
      <w:r w:rsidRPr="00FA0D37">
        <w:t xml:space="preserve"> {size6}                       </w:t>
      </w:r>
      <w:r w:rsidRPr="00FA0D37">
        <w:rPr>
          <w:color w:val="993366"/>
        </w:rPr>
        <w:t>OPTIONAL</w:t>
      </w:r>
      <w:r w:rsidRPr="00FA0D37">
        <w:t xml:space="preserve">, </w:t>
      </w:r>
      <w:r w:rsidRPr="00FA0D37">
        <w:rPr>
          <w:color w:val="808080"/>
        </w:rPr>
        <w:t>-- Need S</w:t>
      </w:r>
    </w:p>
    <w:p w14:paraId="5B0A7454" w14:textId="22D81594" w:rsidR="00807B1C" w:rsidRPr="00FA0D37" w:rsidRDefault="00807B1C" w:rsidP="00FA0D37">
      <w:pPr>
        <w:pStyle w:val="PL"/>
        <w:rPr>
          <w:color w:val="808080"/>
        </w:rPr>
      </w:pPr>
      <w:r w:rsidRPr="00FA0D37">
        <w:t xml:space="preserve">    t-Reassembly-r17                     T-Reassembly                             </w:t>
      </w:r>
      <w:r w:rsidRPr="00FA0D37">
        <w:rPr>
          <w:color w:val="993366"/>
        </w:rPr>
        <w:t>OPTIONAL</w:t>
      </w:r>
      <w:r w:rsidRPr="00FA0D37">
        <w:t xml:space="preserve">  </w:t>
      </w:r>
      <w:r w:rsidRPr="00FA0D37">
        <w:rPr>
          <w:color w:val="808080"/>
        </w:rPr>
        <w:t>-- Need S</w:t>
      </w:r>
    </w:p>
    <w:p w14:paraId="3B1DAF7B" w14:textId="77777777" w:rsidR="00807B1C" w:rsidRPr="00FA0D37" w:rsidRDefault="00807B1C" w:rsidP="00FA0D37">
      <w:pPr>
        <w:pStyle w:val="PL"/>
      </w:pPr>
      <w:r w:rsidRPr="00FA0D37">
        <w:t>}</w:t>
      </w:r>
    </w:p>
    <w:p w14:paraId="7CE1C9E9" w14:textId="77777777" w:rsidR="00807B1C" w:rsidRPr="00FA0D37" w:rsidRDefault="00807B1C" w:rsidP="00FA0D37">
      <w:pPr>
        <w:pStyle w:val="PL"/>
      </w:pPr>
    </w:p>
    <w:p w14:paraId="018624E5" w14:textId="77777777" w:rsidR="00807B1C" w:rsidRPr="00FA0D37" w:rsidRDefault="00807B1C" w:rsidP="00FA0D37">
      <w:pPr>
        <w:pStyle w:val="PL"/>
        <w:rPr>
          <w:color w:val="808080"/>
        </w:rPr>
      </w:pPr>
      <w:r w:rsidRPr="00FA0D37">
        <w:rPr>
          <w:color w:val="808080"/>
        </w:rPr>
        <w:t>-- TAG-MBS-SESSIONINFOLIST-STOP</w:t>
      </w:r>
    </w:p>
    <w:p w14:paraId="12422017" w14:textId="77777777" w:rsidR="00807B1C" w:rsidRPr="00FA0D37" w:rsidRDefault="00807B1C" w:rsidP="00FA0D37">
      <w:pPr>
        <w:pStyle w:val="PL"/>
        <w:rPr>
          <w:color w:val="808080"/>
        </w:rPr>
      </w:pPr>
      <w:r w:rsidRPr="00FA0D37">
        <w:rPr>
          <w:color w:val="808080"/>
        </w:rPr>
        <w:t>-- ASN1STOP</w:t>
      </w:r>
    </w:p>
    <w:p w14:paraId="0DD5BCFF" w14:textId="77777777" w:rsidR="00807B1C" w:rsidRPr="00FA0D37" w:rsidRDefault="00807B1C" w:rsidP="00807B1C">
      <w:pPr>
        <w:rPr>
          <w:rFonts w:eastAsia="等线"/>
          <w:iC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42830717" w14:textId="77777777" w:rsidTr="00771058">
        <w:tc>
          <w:tcPr>
            <w:tcW w:w="14173" w:type="dxa"/>
            <w:tcBorders>
              <w:top w:val="single" w:sz="4" w:space="0" w:color="auto"/>
              <w:left w:val="single" w:sz="4" w:space="0" w:color="auto"/>
              <w:bottom w:val="single" w:sz="4" w:space="0" w:color="auto"/>
              <w:right w:val="single" w:sz="4" w:space="0" w:color="auto"/>
            </w:tcBorders>
          </w:tcPr>
          <w:p w14:paraId="75EA8F29" w14:textId="77777777" w:rsidR="00807B1C" w:rsidRPr="00FA0D37" w:rsidRDefault="00807B1C" w:rsidP="00771058">
            <w:pPr>
              <w:pStyle w:val="TAH"/>
              <w:rPr>
                <w:lang w:eastAsia="sv-SE"/>
              </w:rPr>
            </w:pPr>
            <w:r w:rsidRPr="00FA0D37">
              <w:rPr>
                <w:i/>
              </w:rPr>
              <w:lastRenderedPageBreak/>
              <w:t>MBS-SessionInfoList</w:t>
            </w:r>
            <w:r w:rsidRPr="00FA0D37">
              <w:t xml:space="preserve"> </w:t>
            </w:r>
            <w:r w:rsidRPr="00FA0D37">
              <w:rPr>
                <w:lang w:eastAsia="sv-SE"/>
              </w:rPr>
              <w:t>field descriptions</w:t>
            </w:r>
          </w:p>
        </w:tc>
      </w:tr>
      <w:tr w:rsidR="005C7FF4" w:rsidRPr="00FA0D37" w14:paraId="29801E10" w14:textId="77777777" w:rsidTr="00771058">
        <w:tc>
          <w:tcPr>
            <w:tcW w:w="14173" w:type="dxa"/>
            <w:tcBorders>
              <w:top w:val="single" w:sz="4" w:space="0" w:color="auto"/>
              <w:left w:val="single" w:sz="4" w:space="0" w:color="auto"/>
              <w:bottom w:val="single" w:sz="4" w:space="0" w:color="auto"/>
              <w:right w:val="single" w:sz="4" w:space="0" w:color="auto"/>
            </w:tcBorders>
          </w:tcPr>
          <w:p w14:paraId="37B3C61D" w14:textId="77777777" w:rsidR="00807B1C" w:rsidRPr="00FA0D37" w:rsidRDefault="00807B1C" w:rsidP="00771058">
            <w:pPr>
              <w:pStyle w:val="TAL"/>
              <w:rPr>
                <w:b/>
                <w:bCs/>
                <w:i/>
                <w:lang w:eastAsia="en-GB"/>
              </w:rPr>
            </w:pPr>
            <w:r w:rsidRPr="00FA0D37">
              <w:rPr>
                <w:b/>
                <w:bCs/>
                <w:i/>
                <w:lang w:eastAsia="en-GB"/>
              </w:rPr>
              <w:t>g-RNTI</w:t>
            </w:r>
          </w:p>
          <w:p w14:paraId="06C40853" w14:textId="77777777" w:rsidR="00807B1C" w:rsidRPr="00FA0D37" w:rsidRDefault="00807B1C" w:rsidP="00771058">
            <w:pPr>
              <w:pStyle w:val="TAL"/>
              <w:rPr>
                <w:b/>
                <w:bCs/>
                <w:i/>
                <w:lang w:eastAsia="en-GB"/>
              </w:rPr>
            </w:pPr>
            <w:r w:rsidRPr="00FA0D37">
              <w:rPr>
                <w:lang w:eastAsia="en-GB"/>
              </w:rPr>
              <w:t xml:space="preserve">G-RNTI used to </w:t>
            </w:r>
            <w:r w:rsidRPr="00FA0D37">
              <w:t>scramble</w:t>
            </w:r>
            <w:r w:rsidRPr="00FA0D37">
              <w:rPr>
                <w:lang w:eastAsia="en-GB"/>
              </w:rPr>
              <w:t xml:space="preserve"> the scheduling and transmission of MTCH.</w:t>
            </w:r>
          </w:p>
        </w:tc>
      </w:tr>
      <w:tr w:rsidR="005C7FF4" w:rsidRPr="00FA0D37" w14:paraId="7BCB4F9F" w14:textId="77777777" w:rsidTr="00771058">
        <w:tc>
          <w:tcPr>
            <w:tcW w:w="14173" w:type="dxa"/>
            <w:tcBorders>
              <w:top w:val="single" w:sz="4" w:space="0" w:color="auto"/>
              <w:left w:val="single" w:sz="4" w:space="0" w:color="auto"/>
              <w:bottom w:val="single" w:sz="4" w:space="0" w:color="auto"/>
              <w:right w:val="single" w:sz="4" w:space="0" w:color="auto"/>
            </w:tcBorders>
          </w:tcPr>
          <w:p w14:paraId="330E1159" w14:textId="77777777" w:rsidR="00807B1C" w:rsidRPr="00FA0D37" w:rsidRDefault="00807B1C" w:rsidP="00771058">
            <w:pPr>
              <w:pStyle w:val="TAL"/>
              <w:rPr>
                <w:b/>
                <w:i/>
                <w:lang w:eastAsia="en-GB"/>
              </w:rPr>
            </w:pPr>
            <w:r w:rsidRPr="00FA0D37">
              <w:rPr>
                <w:b/>
                <w:i/>
                <w:lang w:eastAsia="en-GB"/>
              </w:rPr>
              <w:t>headerCompression</w:t>
            </w:r>
          </w:p>
          <w:p w14:paraId="3DBC4C63" w14:textId="7BCB7380" w:rsidR="00807B1C" w:rsidRPr="00FA0D37" w:rsidRDefault="00807B1C" w:rsidP="00771058">
            <w:pPr>
              <w:pStyle w:val="TAL"/>
              <w:rPr>
                <w:b/>
                <w:bCs/>
                <w:i/>
                <w:lang w:eastAsia="en-GB"/>
              </w:rPr>
            </w:pPr>
            <w:r w:rsidRPr="00FA0D37">
              <w:rPr>
                <w:lang w:eastAsia="zh-CN"/>
              </w:rPr>
              <w:t xml:space="preserve">If </w:t>
            </w:r>
            <w:r w:rsidRPr="00FA0D37">
              <w:rPr>
                <w:i/>
                <w:lang w:eastAsia="zh-CN"/>
              </w:rPr>
              <w:t>rohc</w:t>
            </w:r>
            <w:r w:rsidRPr="00FA0D37">
              <w:rPr>
                <w:lang w:eastAsia="zh-CN"/>
              </w:rPr>
              <w:t xml:space="preserve"> is configured, the UE shall apply the configured ROHC profile(s) in downlink.</w:t>
            </w:r>
          </w:p>
        </w:tc>
      </w:tr>
      <w:tr w:rsidR="005C7FF4" w:rsidRPr="00FA0D37" w14:paraId="5F5F80D5" w14:textId="77777777" w:rsidTr="00771058">
        <w:tc>
          <w:tcPr>
            <w:tcW w:w="14173" w:type="dxa"/>
            <w:tcBorders>
              <w:top w:val="single" w:sz="4" w:space="0" w:color="auto"/>
              <w:left w:val="single" w:sz="4" w:space="0" w:color="auto"/>
              <w:bottom w:val="single" w:sz="4" w:space="0" w:color="auto"/>
              <w:right w:val="single" w:sz="4" w:space="0" w:color="auto"/>
            </w:tcBorders>
          </w:tcPr>
          <w:p w14:paraId="3596565E" w14:textId="710AEB80" w:rsidR="00F747EB" w:rsidRPr="00FA0D37" w:rsidRDefault="00807B1C" w:rsidP="00771058">
            <w:pPr>
              <w:pStyle w:val="TAL"/>
              <w:rPr>
                <w:b/>
                <w:i/>
                <w:lang w:eastAsia="en-GB"/>
              </w:rPr>
            </w:pPr>
            <w:r w:rsidRPr="00FA0D37">
              <w:rPr>
                <w:b/>
                <w:i/>
                <w:lang w:eastAsia="en-GB"/>
              </w:rPr>
              <w:t>mbs</w:t>
            </w:r>
            <w:r w:rsidR="00FD05B6" w:rsidRPr="00FA0D37">
              <w:rPr>
                <w:b/>
                <w:i/>
                <w:lang w:eastAsia="en-GB"/>
              </w:rPr>
              <w:t>-</w:t>
            </w:r>
            <w:r w:rsidRPr="00FA0D37">
              <w:rPr>
                <w:b/>
                <w:i/>
                <w:lang w:eastAsia="en-GB"/>
              </w:rPr>
              <w:t>SessionId</w:t>
            </w:r>
          </w:p>
          <w:p w14:paraId="2C23401E" w14:textId="637C2884" w:rsidR="00807B1C" w:rsidRPr="00FA0D37" w:rsidRDefault="00807B1C" w:rsidP="00771058">
            <w:pPr>
              <w:pStyle w:val="TAL"/>
              <w:rPr>
                <w:b/>
                <w:bCs/>
                <w:i/>
                <w:lang w:eastAsia="en-GB"/>
              </w:rPr>
            </w:pPr>
            <w:r w:rsidRPr="00FA0D37">
              <w:rPr>
                <w:lang w:eastAsia="en-GB"/>
              </w:rPr>
              <w:t>Indicates an identifier of the MBS session provided by the MTCH.</w:t>
            </w:r>
          </w:p>
        </w:tc>
      </w:tr>
      <w:tr w:rsidR="005C7FF4" w:rsidRPr="00FA0D37" w14:paraId="060DEEC3" w14:textId="77777777" w:rsidTr="00771058">
        <w:tc>
          <w:tcPr>
            <w:tcW w:w="14173" w:type="dxa"/>
            <w:tcBorders>
              <w:top w:val="single" w:sz="4" w:space="0" w:color="auto"/>
              <w:left w:val="single" w:sz="4" w:space="0" w:color="auto"/>
              <w:bottom w:val="single" w:sz="4" w:space="0" w:color="auto"/>
              <w:right w:val="single" w:sz="4" w:space="0" w:color="auto"/>
            </w:tcBorders>
          </w:tcPr>
          <w:p w14:paraId="6DDE6596" w14:textId="77777777" w:rsidR="00807B1C" w:rsidRPr="00FA0D37" w:rsidRDefault="00807B1C" w:rsidP="00771058">
            <w:pPr>
              <w:pStyle w:val="TAL"/>
              <w:rPr>
                <w:b/>
                <w:bCs/>
                <w:i/>
                <w:iCs/>
                <w:lang w:eastAsia="en-GB"/>
              </w:rPr>
            </w:pPr>
            <w:r w:rsidRPr="00FA0D37">
              <w:rPr>
                <w:b/>
                <w:bCs/>
                <w:i/>
                <w:iCs/>
                <w:lang w:eastAsia="en-GB"/>
              </w:rPr>
              <w:t>mrb-</w:t>
            </w:r>
            <w:r w:rsidRPr="00FA0D37">
              <w:rPr>
                <w:b/>
                <w:i/>
                <w:lang w:eastAsia="en-GB"/>
              </w:rPr>
              <w:t>listBroadcast</w:t>
            </w:r>
          </w:p>
          <w:p w14:paraId="07EC0F27" w14:textId="77777777" w:rsidR="00807B1C" w:rsidRPr="00FA0D37" w:rsidRDefault="00807B1C" w:rsidP="00771058">
            <w:pPr>
              <w:pStyle w:val="TAL"/>
              <w:rPr>
                <w:b/>
                <w:bCs/>
                <w:i/>
                <w:lang w:eastAsia="en-GB"/>
              </w:rPr>
            </w:pPr>
            <w:r w:rsidRPr="00FA0D37">
              <w:rPr>
                <w:lang w:eastAsia="en-GB"/>
              </w:rPr>
              <w:t>A list of broadcast MRBs to which the associated broadcast MBS session is mapped to.</w:t>
            </w:r>
          </w:p>
        </w:tc>
      </w:tr>
      <w:tr w:rsidR="005C7FF4" w:rsidRPr="00FA0D37" w14:paraId="4630B1D6" w14:textId="77777777" w:rsidTr="00771058">
        <w:tc>
          <w:tcPr>
            <w:tcW w:w="14173" w:type="dxa"/>
            <w:tcBorders>
              <w:top w:val="single" w:sz="4" w:space="0" w:color="auto"/>
              <w:left w:val="single" w:sz="4" w:space="0" w:color="auto"/>
              <w:bottom w:val="single" w:sz="4" w:space="0" w:color="auto"/>
              <w:right w:val="single" w:sz="4" w:space="0" w:color="auto"/>
            </w:tcBorders>
          </w:tcPr>
          <w:p w14:paraId="5F8D6D07" w14:textId="77777777" w:rsidR="00807B1C" w:rsidRPr="00FA0D37" w:rsidRDefault="00807B1C" w:rsidP="00771058">
            <w:pPr>
              <w:pStyle w:val="TAL"/>
              <w:rPr>
                <w:b/>
                <w:bCs/>
                <w:i/>
                <w:lang w:eastAsia="zh-CN"/>
              </w:rPr>
            </w:pPr>
            <w:r w:rsidRPr="00FA0D37">
              <w:rPr>
                <w:b/>
                <w:bCs/>
                <w:i/>
              </w:rPr>
              <w:t>mtch-</w:t>
            </w:r>
            <w:r w:rsidRPr="00FA0D37">
              <w:rPr>
                <w:b/>
                <w:i/>
                <w:lang w:eastAsia="en-GB"/>
              </w:rPr>
              <w:t>neighbourCell</w:t>
            </w:r>
          </w:p>
          <w:p w14:paraId="4F9C9C9A" w14:textId="39584BEB" w:rsidR="00807B1C" w:rsidRPr="00FA0D37" w:rsidRDefault="00807B1C" w:rsidP="00771058">
            <w:pPr>
              <w:pStyle w:val="TAL"/>
              <w:rPr>
                <w:b/>
                <w:i/>
                <w:iCs/>
                <w:lang w:eastAsia="en-GB"/>
              </w:rPr>
            </w:pPr>
            <w:r w:rsidRPr="00FA0D37">
              <w:t xml:space="preserve">Indicates neighbour cells which provide this service on MTCH. The first bit is set to 1 if the service is provided on MTCH in the first cell in </w:t>
            </w:r>
            <w:r w:rsidRPr="00FA0D37">
              <w:rPr>
                <w:i/>
              </w:rPr>
              <w:t>mbs-NeighbourCellList</w:t>
            </w:r>
            <w:r w:rsidRPr="00FA0D37">
              <w:t xml:space="preserve">, otherwise it is set to 0. The second bit is set to 1 if the service is provided on MTCH in the second cell in </w:t>
            </w:r>
            <w:r w:rsidRPr="00FA0D37">
              <w:rPr>
                <w:i/>
              </w:rPr>
              <w:t>mbs-NeighbourCellList</w:t>
            </w:r>
            <w:r w:rsidRPr="00FA0D37">
              <w:t xml:space="preserve">, and so on. If the service is not available in any neighbouring cell and </w:t>
            </w:r>
            <w:r w:rsidRPr="00FA0D37">
              <w:rPr>
                <w:i/>
              </w:rPr>
              <w:t>mbs-NeighbourCellList</w:t>
            </w:r>
            <w:r w:rsidRPr="00FA0D37">
              <w:t xml:space="preserve"> is signalled, the network sets all bits in this field to 0. </w:t>
            </w:r>
            <w:r w:rsidR="00E51E08" w:rsidRPr="00FA0D37">
              <w:t xml:space="preserve">The field is absent when </w:t>
            </w:r>
            <w:r w:rsidR="00E51E08" w:rsidRPr="00FA0D37">
              <w:rPr>
                <w:i/>
                <w:iCs/>
              </w:rPr>
              <w:t>mbs-NeighbourCellList</w:t>
            </w:r>
            <w:r w:rsidR="00E51E08" w:rsidRPr="00FA0D37">
              <w:t xml:space="preserve"> is absent or an empty </w:t>
            </w:r>
            <w:r w:rsidR="00E51E08" w:rsidRPr="00FA0D37">
              <w:rPr>
                <w:i/>
                <w:iCs/>
              </w:rPr>
              <w:t>mbs-NeighbourCellList</w:t>
            </w:r>
            <w:r w:rsidR="00E51E08" w:rsidRPr="00FA0D37">
              <w:t xml:space="preserve"> is signalled.</w:t>
            </w:r>
            <w:r w:rsidR="00E51E08" w:rsidRPr="00FA0D37">
              <w:rPr>
                <w:rFonts w:eastAsia="宋体"/>
                <w:lang w:eastAsia="zh-CN"/>
              </w:rPr>
              <w:t xml:space="preserve"> </w:t>
            </w:r>
            <w:r w:rsidRPr="00FA0D37">
              <w:t>If this field is absent</w:t>
            </w:r>
            <w:r w:rsidR="00E51E08" w:rsidRPr="00FA0D37">
              <w:rPr>
                <w:rFonts w:eastAsia="宋体"/>
                <w:lang w:eastAsia="zh-CN"/>
              </w:rPr>
              <w:t xml:space="preserve"> when </w:t>
            </w:r>
            <w:r w:rsidR="00E51E08" w:rsidRPr="00FA0D37">
              <w:rPr>
                <w:rFonts w:eastAsia="宋体"/>
                <w:i/>
                <w:iCs/>
                <w:lang w:eastAsia="zh-CN"/>
              </w:rPr>
              <w:t>mbs-NeighbourCellList</w:t>
            </w:r>
            <w:r w:rsidR="00E51E08" w:rsidRPr="00FA0D37">
              <w:rPr>
                <w:rFonts w:eastAsia="宋体"/>
                <w:lang w:eastAsia="zh-CN"/>
              </w:rPr>
              <w:t xml:space="preserve"> is absent or a non-empty </w:t>
            </w:r>
            <w:r w:rsidR="00E51E08" w:rsidRPr="00FA0D37">
              <w:rPr>
                <w:rFonts w:eastAsia="宋体"/>
                <w:i/>
                <w:iCs/>
                <w:lang w:eastAsia="zh-CN"/>
              </w:rPr>
              <w:t>mbs-NeighbourCellList</w:t>
            </w:r>
            <w:r w:rsidR="00E51E08" w:rsidRPr="00FA0D37">
              <w:rPr>
                <w:rFonts w:eastAsia="宋体"/>
                <w:lang w:eastAsia="zh-CN"/>
              </w:rPr>
              <w:t xml:space="preserve"> is signalled</w:t>
            </w:r>
            <w:r w:rsidRPr="00FA0D37">
              <w:t>, the related service may or may not be available in any neighbouring cell,</w:t>
            </w:r>
            <w:r w:rsidRPr="00FA0D37">
              <w:rPr>
                <w:lang w:eastAsia="en-GB"/>
              </w:rPr>
              <w:t xml:space="preserve"> i.e. the UE cannot determine the presence or absence of an MBS service in neighbouring cells based on the absence of this field.</w:t>
            </w:r>
            <w:r w:rsidR="00E51E08" w:rsidRPr="00FA0D37">
              <w:rPr>
                <w:lang w:eastAsia="en-GB"/>
              </w:rPr>
              <w:t xml:space="preserve"> If this field is absent and an empty </w:t>
            </w:r>
            <w:r w:rsidR="00E51E08" w:rsidRPr="00FA0D37">
              <w:rPr>
                <w:i/>
                <w:iCs/>
                <w:lang w:eastAsia="en-GB"/>
              </w:rPr>
              <w:t>mbs-NeighbourCellList</w:t>
            </w:r>
            <w:r w:rsidR="00E51E08" w:rsidRPr="00FA0D37">
              <w:rPr>
                <w:lang w:eastAsia="en-GB"/>
              </w:rPr>
              <w:t xml:space="preserve"> is signalled, then the UE shall assume that MBS broadcast services signalled in </w:t>
            </w:r>
            <w:r w:rsidR="00E51E08" w:rsidRPr="00FA0D37">
              <w:rPr>
                <w:i/>
                <w:iCs/>
                <w:lang w:eastAsia="en-GB"/>
              </w:rPr>
              <w:t>mbs-SessionInfoList</w:t>
            </w:r>
            <w:r w:rsidR="00E51E08" w:rsidRPr="00FA0D37">
              <w:rPr>
                <w:lang w:eastAsia="en-GB"/>
              </w:rPr>
              <w:t xml:space="preserve"> in the </w:t>
            </w:r>
            <w:r w:rsidR="00E51E08" w:rsidRPr="00FA0D37">
              <w:rPr>
                <w:i/>
                <w:iCs/>
                <w:lang w:eastAsia="en-GB"/>
              </w:rPr>
              <w:t>MBSBroadcastConfiguration</w:t>
            </w:r>
            <w:r w:rsidR="00E51E08" w:rsidRPr="00FA0D37">
              <w:rPr>
                <w:lang w:eastAsia="en-GB"/>
              </w:rPr>
              <w:t xml:space="preserve"> message are not provided in any neighbour cell.</w:t>
            </w:r>
          </w:p>
        </w:tc>
      </w:tr>
      <w:tr w:rsidR="005C7FF4" w:rsidRPr="00FA0D37" w14:paraId="7CA0D59C" w14:textId="77777777" w:rsidTr="00771058">
        <w:tc>
          <w:tcPr>
            <w:tcW w:w="14173" w:type="dxa"/>
            <w:tcBorders>
              <w:top w:val="single" w:sz="4" w:space="0" w:color="auto"/>
              <w:left w:val="single" w:sz="4" w:space="0" w:color="auto"/>
              <w:bottom w:val="single" w:sz="4" w:space="0" w:color="auto"/>
              <w:right w:val="single" w:sz="4" w:space="0" w:color="auto"/>
            </w:tcBorders>
          </w:tcPr>
          <w:p w14:paraId="55233C2D" w14:textId="77777777" w:rsidR="00807B1C" w:rsidRPr="00FA0D37" w:rsidRDefault="00807B1C" w:rsidP="00771058">
            <w:pPr>
              <w:pStyle w:val="TAL"/>
              <w:rPr>
                <w:b/>
                <w:bCs/>
                <w:i/>
                <w:iCs/>
                <w:lang w:eastAsia="en-GB"/>
              </w:rPr>
            </w:pPr>
            <w:r w:rsidRPr="00FA0D37">
              <w:rPr>
                <w:b/>
                <w:bCs/>
                <w:i/>
                <w:iCs/>
                <w:lang w:eastAsia="en-GB"/>
              </w:rPr>
              <w:t>mtch-</w:t>
            </w:r>
            <w:r w:rsidRPr="00FA0D37">
              <w:rPr>
                <w:b/>
                <w:i/>
                <w:lang w:eastAsia="en-GB"/>
              </w:rPr>
              <w:t>schedulingInfo</w:t>
            </w:r>
          </w:p>
          <w:p w14:paraId="43C87798" w14:textId="77777777" w:rsidR="00807B1C" w:rsidRPr="00FA0D37" w:rsidRDefault="00807B1C" w:rsidP="00771058">
            <w:pPr>
              <w:pStyle w:val="TAL"/>
              <w:rPr>
                <w:b/>
                <w:bCs/>
                <w:i/>
                <w:lang w:eastAsia="en-GB"/>
              </w:rPr>
            </w:pPr>
            <w:r w:rsidRPr="00FA0D37">
              <w:rPr>
                <w:rFonts w:cs="Arial"/>
                <w:szCs w:val="18"/>
                <w:lang w:eastAsia="en-GB"/>
              </w:rPr>
              <w:t>Indicates the index of DRX configuration entry in</w:t>
            </w:r>
            <w:r w:rsidRPr="00FA0D37">
              <w:rPr>
                <w:rFonts w:cs="Arial"/>
                <w:szCs w:val="18"/>
                <w:lang w:eastAsia="sv-SE"/>
              </w:rPr>
              <w:t xml:space="preserve"> </w:t>
            </w:r>
            <w:r w:rsidRPr="00FA0D37">
              <w:rPr>
                <w:rFonts w:cs="Arial"/>
                <w:i/>
                <w:szCs w:val="18"/>
                <w:lang w:eastAsia="sv-SE"/>
              </w:rPr>
              <w:t>drx-ConfigPTM-List</w:t>
            </w:r>
            <w:r w:rsidRPr="00FA0D37">
              <w:rPr>
                <w:rFonts w:cs="Arial"/>
                <w:szCs w:val="18"/>
                <w:lang w:eastAsia="sv-SE"/>
              </w:rPr>
              <w:t xml:space="preserve"> that is used for scheduling the MTCH. </w:t>
            </w:r>
            <w:r w:rsidRPr="00FA0D37">
              <w:rPr>
                <w:rFonts w:cs="Arial"/>
                <w:szCs w:val="18"/>
                <w:lang w:eastAsia="en-GB"/>
              </w:rPr>
              <w:t xml:space="preserve">The value 0 corresponds to the first entry in </w:t>
            </w:r>
            <w:r w:rsidRPr="00FA0D37">
              <w:rPr>
                <w:rFonts w:cs="Arial"/>
                <w:i/>
                <w:szCs w:val="18"/>
                <w:lang w:eastAsia="en-GB"/>
              </w:rPr>
              <w:t>drx-ConfigPTM-List</w:t>
            </w:r>
            <w:r w:rsidRPr="00FA0D37">
              <w:rPr>
                <w:rFonts w:cs="Arial"/>
                <w:szCs w:val="18"/>
                <w:lang w:eastAsia="en-GB"/>
              </w:rPr>
              <w:t>, the value 1 corresponds to the second entry in</w:t>
            </w:r>
            <w:r w:rsidRPr="00FA0D37">
              <w:rPr>
                <w:rFonts w:cs="Arial"/>
                <w:szCs w:val="18"/>
                <w:lang w:eastAsia="sv-SE"/>
              </w:rPr>
              <w:t xml:space="preserve"> </w:t>
            </w:r>
            <w:r w:rsidRPr="00FA0D37">
              <w:rPr>
                <w:rFonts w:cs="Arial"/>
                <w:i/>
                <w:szCs w:val="18"/>
                <w:lang w:eastAsia="sv-SE"/>
              </w:rPr>
              <w:t>drx-ConfigPTM-List</w:t>
            </w:r>
            <w:r w:rsidRPr="00FA0D37">
              <w:rPr>
                <w:rFonts w:cs="Arial"/>
                <w:szCs w:val="18"/>
                <w:lang w:eastAsia="sv-SE"/>
              </w:rPr>
              <w:t xml:space="preserve"> and so on.</w:t>
            </w:r>
            <w:r w:rsidRPr="00FA0D37">
              <w:rPr>
                <w:rFonts w:cs="Arial"/>
                <w:szCs w:val="18"/>
                <w:lang w:eastAsia="en-GB"/>
              </w:rPr>
              <w:t xml:space="preserve"> In case </w:t>
            </w:r>
            <w:r w:rsidRPr="00FA0D37">
              <w:rPr>
                <w:rFonts w:cs="Arial"/>
                <w:i/>
                <w:szCs w:val="18"/>
                <w:lang w:eastAsia="en-GB"/>
              </w:rPr>
              <w:t>mtch-schedulingInfo</w:t>
            </w:r>
            <w:r w:rsidRPr="00FA0D37">
              <w:rPr>
                <w:rFonts w:cs="Arial"/>
                <w:szCs w:val="18"/>
                <w:lang w:eastAsia="en-GB"/>
              </w:rPr>
              <w:t xml:space="preserve"> is absent for a G-RNTI (i.e. no PTM DRX), the UE shall monitor for PDCCH scrambled with G-RNTI in any slot according to the search space configured for MTCH [</w:t>
            </w:r>
            <w:r w:rsidRPr="00FA0D37">
              <w:t>see TS 38.213 [13], clause 10.1</w:t>
            </w:r>
            <w:r w:rsidRPr="00FA0D37">
              <w:rPr>
                <w:rFonts w:cs="Arial"/>
                <w:szCs w:val="18"/>
                <w:lang w:eastAsia="en-GB"/>
              </w:rPr>
              <w:t>].</w:t>
            </w:r>
          </w:p>
        </w:tc>
      </w:tr>
      <w:tr w:rsidR="005C7FF4" w:rsidRPr="00FA0D37" w14:paraId="69F74E74" w14:textId="77777777" w:rsidTr="00771058">
        <w:tc>
          <w:tcPr>
            <w:tcW w:w="14173" w:type="dxa"/>
            <w:tcBorders>
              <w:top w:val="single" w:sz="4" w:space="0" w:color="auto"/>
              <w:left w:val="single" w:sz="4" w:space="0" w:color="auto"/>
              <w:bottom w:val="single" w:sz="4" w:space="0" w:color="auto"/>
              <w:right w:val="single" w:sz="4" w:space="0" w:color="auto"/>
            </w:tcBorders>
          </w:tcPr>
          <w:p w14:paraId="412FC83E" w14:textId="77777777" w:rsidR="00807B1C" w:rsidRPr="00FA0D37" w:rsidRDefault="00807B1C" w:rsidP="00771058">
            <w:pPr>
              <w:pStyle w:val="TAL"/>
              <w:rPr>
                <w:b/>
                <w:bCs/>
                <w:i/>
                <w:iCs/>
                <w:lang w:eastAsia="en-GB"/>
              </w:rPr>
            </w:pPr>
            <w:r w:rsidRPr="00FA0D37">
              <w:rPr>
                <w:b/>
                <w:bCs/>
                <w:i/>
                <w:iCs/>
                <w:lang w:eastAsia="en-GB"/>
              </w:rPr>
              <w:t>mtch-SSB-MappingWindowIndex</w:t>
            </w:r>
          </w:p>
          <w:p w14:paraId="6121D50D" w14:textId="77777777" w:rsidR="00807B1C" w:rsidRPr="00FA0D37" w:rsidRDefault="00807B1C" w:rsidP="00771058">
            <w:pPr>
              <w:pStyle w:val="TAL"/>
              <w:rPr>
                <w:bCs/>
                <w:iCs/>
                <w:lang w:eastAsia="en-GB"/>
              </w:rPr>
            </w:pPr>
            <w:r w:rsidRPr="00FA0D37">
              <w:rPr>
                <w:bCs/>
                <w:iCs/>
                <w:lang w:eastAsia="en-GB"/>
              </w:rPr>
              <w:t xml:space="preserve">Indicates the index of </w:t>
            </w:r>
            <w:r w:rsidRPr="00FA0D37">
              <w:rPr>
                <w:i/>
                <w:iCs/>
              </w:rPr>
              <w:t>MTCH-SSB-MappingWindowCycleOffset</w:t>
            </w:r>
            <w:r w:rsidRPr="00FA0D37">
              <w:t xml:space="preserve"> configuration entry in </w:t>
            </w:r>
            <w:r w:rsidRPr="00FA0D37">
              <w:rPr>
                <w:i/>
              </w:rPr>
              <w:t>MTCH-SSB-MappingWindowList</w:t>
            </w:r>
            <w:r w:rsidRPr="00FA0D37">
              <w:t xml:space="preserve">. </w:t>
            </w:r>
            <w:r w:rsidRPr="00FA0D37">
              <w:rPr>
                <w:rFonts w:cs="Arial"/>
                <w:szCs w:val="18"/>
                <w:lang w:eastAsia="en-GB"/>
              </w:rPr>
              <w:t xml:space="preserve">The value 0 corresponds to the first entry in </w:t>
            </w:r>
            <w:r w:rsidRPr="00FA0D37">
              <w:rPr>
                <w:i/>
              </w:rPr>
              <w:t>MTCH-SSB-MappingWindowList</w:t>
            </w:r>
            <w:r w:rsidRPr="00FA0D37">
              <w:rPr>
                <w:rFonts w:cs="Arial"/>
                <w:szCs w:val="18"/>
                <w:lang w:eastAsia="en-GB"/>
              </w:rPr>
              <w:t>, the value 1 corresponds to the second entry in</w:t>
            </w:r>
            <w:r w:rsidRPr="00FA0D37">
              <w:rPr>
                <w:rFonts w:cs="Arial"/>
                <w:szCs w:val="18"/>
                <w:lang w:eastAsia="sv-SE"/>
              </w:rPr>
              <w:t xml:space="preserve"> </w:t>
            </w:r>
            <w:r w:rsidRPr="00FA0D37">
              <w:rPr>
                <w:i/>
              </w:rPr>
              <w:t>MTCH-SSB-MappingWindowList</w:t>
            </w:r>
            <w:r w:rsidRPr="00FA0D37">
              <w:rPr>
                <w:rFonts w:cs="Arial"/>
                <w:i/>
                <w:szCs w:val="18"/>
                <w:lang w:eastAsia="sv-SE"/>
              </w:rPr>
              <w:t xml:space="preserve"> </w:t>
            </w:r>
            <w:r w:rsidRPr="00FA0D37">
              <w:rPr>
                <w:rFonts w:cs="Arial"/>
                <w:szCs w:val="18"/>
                <w:lang w:eastAsia="sv-SE"/>
              </w:rPr>
              <w:t>and so on. This field is set to the same value for all MBS sessions mapped to the same G-RNTI.</w:t>
            </w:r>
          </w:p>
        </w:tc>
      </w:tr>
      <w:tr w:rsidR="005C7FF4" w:rsidRPr="00FA0D37" w14:paraId="7927286D" w14:textId="77777777" w:rsidTr="00771058">
        <w:tc>
          <w:tcPr>
            <w:tcW w:w="14173" w:type="dxa"/>
            <w:tcBorders>
              <w:top w:val="single" w:sz="4" w:space="0" w:color="auto"/>
              <w:left w:val="single" w:sz="4" w:space="0" w:color="auto"/>
              <w:bottom w:val="single" w:sz="4" w:space="0" w:color="auto"/>
              <w:right w:val="single" w:sz="4" w:space="0" w:color="auto"/>
            </w:tcBorders>
          </w:tcPr>
          <w:p w14:paraId="4F89A636" w14:textId="77777777" w:rsidR="00807B1C" w:rsidRPr="00FA0D37" w:rsidRDefault="00807B1C" w:rsidP="00771058">
            <w:pPr>
              <w:pStyle w:val="TAL"/>
              <w:rPr>
                <w:b/>
                <w:bCs/>
                <w:lang w:eastAsia="en-GB"/>
              </w:rPr>
            </w:pPr>
            <w:r w:rsidRPr="00FA0D37">
              <w:rPr>
                <w:b/>
                <w:bCs/>
                <w:i/>
                <w:lang w:eastAsia="en-GB"/>
              </w:rPr>
              <w:t>pdcp-SN-SizeDL</w:t>
            </w:r>
          </w:p>
          <w:p w14:paraId="6EBA38EF" w14:textId="131877AA" w:rsidR="00807B1C" w:rsidRPr="00FA0D37" w:rsidRDefault="00807B1C" w:rsidP="00771058">
            <w:pPr>
              <w:pStyle w:val="TAL"/>
              <w:rPr>
                <w:b/>
                <w:i/>
                <w:iCs/>
                <w:lang w:eastAsia="en-GB"/>
              </w:rPr>
            </w:pPr>
            <w:r w:rsidRPr="00FA0D37">
              <w:t xml:space="preserve">Indicates that PDCP sequence number size of 12 bits is used, as specified in TS 38.323 [5]. When the field is absent the UE applies the value as specified in </w:t>
            </w:r>
            <w:r w:rsidR="0064192E" w:rsidRPr="00FA0D37">
              <w:t>9.1.1.7</w:t>
            </w:r>
            <w:r w:rsidRPr="00FA0D37">
              <w:t>.</w:t>
            </w:r>
          </w:p>
        </w:tc>
      </w:tr>
      <w:tr w:rsidR="005C7FF4" w:rsidRPr="00FA0D37" w14:paraId="44AA48F3" w14:textId="77777777" w:rsidTr="00771058">
        <w:trPr>
          <w:trHeight w:val="693"/>
        </w:trPr>
        <w:tc>
          <w:tcPr>
            <w:tcW w:w="14173" w:type="dxa"/>
            <w:tcBorders>
              <w:top w:val="single" w:sz="4" w:space="0" w:color="auto"/>
              <w:left w:val="single" w:sz="4" w:space="0" w:color="auto"/>
              <w:bottom w:val="single" w:sz="4" w:space="0" w:color="auto"/>
              <w:right w:val="single" w:sz="4" w:space="0" w:color="auto"/>
            </w:tcBorders>
          </w:tcPr>
          <w:p w14:paraId="1E4BEABE" w14:textId="77777777" w:rsidR="00F747EB" w:rsidRPr="00FA0D37" w:rsidRDefault="00807B1C" w:rsidP="00771058">
            <w:pPr>
              <w:pStyle w:val="TAL"/>
              <w:rPr>
                <w:b/>
                <w:bCs/>
                <w:i/>
                <w:iCs/>
                <w:lang w:eastAsia="en-GB"/>
              </w:rPr>
            </w:pPr>
            <w:r w:rsidRPr="00FA0D37">
              <w:rPr>
                <w:b/>
                <w:bCs/>
                <w:i/>
                <w:lang w:eastAsia="en-GB"/>
              </w:rPr>
              <w:t>pdschConfigIndex</w:t>
            </w:r>
          </w:p>
          <w:p w14:paraId="2BE67F31" w14:textId="61793B63" w:rsidR="00807B1C" w:rsidRPr="00FA0D37" w:rsidRDefault="00807B1C" w:rsidP="00771058">
            <w:pPr>
              <w:pStyle w:val="TAL"/>
              <w:rPr>
                <w:b/>
                <w:i/>
                <w:lang w:eastAsia="en-GB"/>
              </w:rPr>
            </w:pPr>
            <w:r w:rsidRPr="00FA0D37">
              <w:t xml:space="preserve">Indicates the index of PDSCH configuration entry in </w:t>
            </w:r>
            <w:r w:rsidRPr="00FA0D37">
              <w:rPr>
                <w:i/>
              </w:rPr>
              <w:t>pdschConfigList</w:t>
            </w:r>
            <w:r w:rsidRPr="00FA0D37">
              <w:t xml:space="preserve"> for MTCH. Value 0 corresponds to the first entry in </w:t>
            </w:r>
            <w:r w:rsidRPr="00FA0D37">
              <w:rPr>
                <w:i/>
              </w:rPr>
              <w:t>pdschConfigList</w:t>
            </w:r>
            <w:r w:rsidRPr="00FA0D37">
              <w:t xml:space="preserve">, the value 1 corresponds to the second entry in </w:t>
            </w:r>
            <w:r w:rsidRPr="00FA0D37">
              <w:rPr>
                <w:i/>
              </w:rPr>
              <w:t>pdschConfigList</w:t>
            </w:r>
            <w:r w:rsidRPr="00FA0D37">
              <w:t xml:space="preserve"> and so on. When the field is absent the UE applies the first entry in pdschConfigList for MTCH.</w:t>
            </w:r>
          </w:p>
        </w:tc>
      </w:tr>
      <w:tr w:rsidR="005C7FF4" w:rsidRPr="00FA0D37" w14:paraId="304C232C" w14:textId="77777777" w:rsidTr="00771058">
        <w:tc>
          <w:tcPr>
            <w:tcW w:w="14173" w:type="dxa"/>
            <w:tcBorders>
              <w:top w:val="single" w:sz="4" w:space="0" w:color="auto"/>
              <w:left w:val="single" w:sz="4" w:space="0" w:color="auto"/>
              <w:bottom w:val="single" w:sz="4" w:space="0" w:color="auto"/>
              <w:right w:val="single" w:sz="4" w:space="0" w:color="auto"/>
            </w:tcBorders>
          </w:tcPr>
          <w:p w14:paraId="53BD7D6D" w14:textId="77777777" w:rsidR="00807B1C" w:rsidRPr="00FA0D37" w:rsidRDefault="00807B1C" w:rsidP="00771058">
            <w:pPr>
              <w:pStyle w:val="TAL"/>
              <w:rPr>
                <w:b/>
                <w:bCs/>
                <w:i/>
                <w:iCs/>
                <w:lang w:eastAsia="en-GB"/>
              </w:rPr>
            </w:pPr>
            <w:r w:rsidRPr="00FA0D37">
              <w:rPr>
                <w:b/>
                <w:bCs/>
                <w:i/>
                <w:iCs/>
                <w:lang w:eastAsia="en-GB"/>
              </w:rPr>
              <w:t>sn-</w:t>
            </w:r>
            <w:r w:rsidRPr="00FA0D37">
              <w:rPr>
                <w:b/>
                <w:bCs/>
                <w:i/>
                <w:lang w:eastAsia="en-GB"/>
              </w:rPr>
              <w:t>FieldLength</w:t>
            </w:r>
          </w:p>
          <w:p w14:paraId="27818EB3" w14:textId="67294743" w:rsidR="00807B1C" w:rsidRPr="00FA0D37" w:rsidRDefault="00807B1C" w:rsidP="00771058">
            <w:pPr>
              <w:pStyle w:val="TAL"/>
              <w:rPr>
                <w:b/>
                <w:bCs/>
                <w:i/>
                <w:lang w:eastAsia="en-GB"/>
              </w:rPr>
            </w:pPr>
            <w:r w:rsidRPr="00FA0D37">
              <w:rPr>
                <w:rFonts w:eastAsia="Malgun Gothic"/>
                <w:bCs/>
                <w:kern w:val="2"/>
              </w:rPr>
              <w:t xml:space="preserve">Indicates that the RLC SN field size of 6 bits is used, see TS 38.322 [4]. When the field is absent the UE applies the value as specified in </w:t>
            </w:r>
            <w:r w:rsidR="0064192E" w:rsidRPr="00FA0D37">
              <w:rPr>
                <w:rFonts w:eastAsia="Malgun Gothic"/>
                <w:bCs/>
                <w:kern w:val="2"/>
              </w:rPr>
              <w:t>9.1.1.7</w:t>
            </w:r>
            <w:r w:rsidRPr="00FA0D37">
              <w:rPr>
                <w:bCs/>
                <w:lang w:eastAsia="en-GB"/>
              </w:rPr>
              <w:t>.</w:t>
            </w:r>
          </w:p>
        </w:tc>
      </w:tr>
      <w:tr w:rsidR="005C7FF4" w:rsidRPr="00FA0D37" w14:paraId="6DC97450" w14:textId="77777777" w:rsidTr="00771058">
        <w:tc>
          <w:tcPr>
            <w:tcW w:w="14173" w:type="dxa"/>
            <w:tcBorders>
              <w:top w:val="single" w:sz="4" w:space="0" w:color="auto"/>
              <w:left w:val="single" w:sz="4" w:space="0" w:color="auto"/>
              <w:bottom w:val="single" w:sz="4" w:space="0" w:color="auto"/>
              <w:right w:val="single" w:sz="4" w:space="0" w:color="auto"/>
            </w:tcBorders>
          </w:tcPr>
          <w:p w14:paraId="73EE2706" w14:textId="77777777" w:rsidR="00807B1C" w:rsidRPr="00FA0D37" w:rsidRDefault="00807B1C" w:rsidP="00771058">
            <w:pPr>
              <w:pStyle w:val="TAL"/>
            </w:pPr>
            <w:r w:rsidRPr="00FA0D37">
              <w:rPr>
                <w:b/>
                <w:bCs/>
                <w:i/>
                <w:iCs/>
                <w:lang w:eastAsia="en-GB"/>
              </w:rPr>
              <w:t>t-</w:t>
            </w:r>
            <w:r w:rsidRPr="00FA0D37">
              <w:rPr>
                <w:b/>
                <w:bCs/>
                <w:i/>
                <w:lang w:eastAsia="en-GB"/>
              </w:rPr>
              <w:t>Reassembly</w:t>
            </w:r>
          </w:p>
          <w:p w14:paraId="125BFB6E" w14:textId="07121741" w:rsidR="00807B1C" w:rsidRPr="00FA0D37" w:rsidRDefault="00807B1C" w:rsidP="00771058">
            <w:pPr>
              <w:pStyle w:val="TAL"/>
              <w:rPr>
                <w:lang w:eastAsia="en-GB"/>
              </w:rPr>
            </w:pPr>
            <w:r w:rsidRPr="00FA0D37">
              <w:t xml:space="preserve">Timer for reassembly in TS 38.322 [4], in milliseconds. Value ms0 means 0 ms, value ms5 means 5 ms and so on. When the field is absent the UE applies the value in specified in </w:t>
            </w:r>
            <w:r w:rsidR="0064192E" w:rsidRPr="00FA0D37">
              <w:t>9.1.1.7</w:t>
            </w:r>
            <w:r w:rsidRPr="00FA0D37">
              <w:t>.</w:t>
            </w:r>
          </w:p>
        </w:tc>
      </w:tr>
      <w:tr w:rsidR="00807B1C" w:rsidRPr="00FA0D37" w14:paraId="2644CEBD" w14:textId="77777777" w:rsidTr="00771058">
        <w:tc>
          <w:tcPr>
            <w:tcW w:w="14173" w:type="dxa"/>
            <w:tcBorders>
              <w:top w:val="single" w:sz="4" w:space="0" w:color="auto"/>
              <w:left w:val="single" w:sz="4" w:space="0" w:color="auto"/>
              <w:bottom w:val="single" w:sz="4" w:space="0" w:color="auto"/>
              <w:right w:val="single" w:sz="4" w:space="0" w:color="auto"/>
            </w:tcBorders>
          </w:tcPr>
          <w:p w14:paraId="64801A98" w14:textId="77777777" w:rsidR="00807B1C" w:rsidRPr="00FA0D37" w:rsidRDefault="00807B1C" w:rsidP="00771058">
            <w:pPr>
              <w:pStyle w:val="TAL"/>
              <w:rPr>
                <w:b/>
                <w:bCs/>
                <w:i/>
                <w:iCs/>
                <w:lang w:eastAsia="en-GB"/>
              </w:rPr>
            </w:pPr>
            <w:r w:rsidRPr="00FA0D37">
              <w:rPr>
                <w:b/>
                <w:bCs/>
                <w:i/>
                <w:iCs/>
                <w:lang w:eastAsia="en-GB"/>
              </w:rPr>
              <w:t>t-</w:t>
            </w:r>
            <w:r w:rsidRPr="00FA0D37">
              <w:rPr>
                <w:b/>
                <w:bCs/>
                <w:i/>
                <w:lang w:eastAsia="en-GB"/>
              </w:rPr>
              <w:t>Reordering</w:t>
            </w:r>
          </w:p>
          <w:p w14:paraId="21892B09" w14:textId="59314721" w:rsidR="00807B1C" w:rsidRPr="00FA0D37" w:rsidRDefault="00807B1C" w:rsidP="00771058">
            <w:pPr>
              <w:pStyle w:val="TAL"/>
              <w:rPr>
                <w:b/>
                <w:i/>
                <w:iCs/>
                <w:lang w:eastAsia="en-GB"/>
              </w:rPr>
            </w:pPr>
            <w:r w:rsidRPr="00FA0D37">
              <w:t xml:space="preserve">Value in ms of t-Reordering specified in TS 38.323 [5]. Value ms1 corresponds to 1 ms, value ms10 corresponds to 10 ms, and so on.  When the field is absent the UE applies the value as specified in </w:t>
            </w:r>
            <w:r w:rsidR="0064192E" w:rsidRPr="00FA0D37">
              <w:t>9.1.1.7</w:t>
            </w:r>
            <w:r w:rsidRPr="00FA0D37">
              <w:t>.</w:t>
            </w:r>
          </w:p>
        </w:tc>
      </w:tr>
    </w:tbl>
    <w:p w14:paraId="38BBF3AA" w14:textId="085DCB2C" w:rsidR="00807B1C" w:rsidRPr="00FA0D37" w:rsidRDefault="00807B1C" w:rsidP="00807B1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C7FF4" w:rsidRPr="00FA0D37" w14:paraId="04873C3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39DF5835" w14:textId="77777777" w:rsidR="002A4990" w:rsidRPr="00FA0D37" w:rsidRDefault="002A4990" w:rsidP="0071565C">
            <w:pPr>
              <w:pStyle w:val="TAH"/>
              <w:rPr>
                <w:szCs w:val="22"/>
                <w:lang w:eastAsia="sv-SE"/>
              </w:rPr>
            </w:pPr>
            <w:r w:rsidRPr="00FA0D37">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847C617" w14:textId="77777777" w:rsidR="002A4990" w:rsidRPr="00FA0D37" w:rsidRDefault="002A4990" w:rsidP="0071565C">
            <w:pPr>
              <w:pStyle w:val="TAH"/>
              <w:rPr>
                <w:szCs w:val="22"/>
                <w:lang w:eastAsia="sv-SE"/>
              </w:rPr>
            </w:pPr>
            <w:r w:rsidRPr="00FA0D37">
              <w:rPr>
                <w:szCs w:val="22"/>
                <w:lang w:eastAsia="sv-SE"/>
              </w:rPr>
              <w:t>Explanation</w:t>
            </w:r>
          </w:p>
        </w:tc>
      </w:tr>
      <w:tr w:rsidR="002A4990" w:rsidRPr="00FA0D37" w14:paraId="3A8AE40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31DFE58" w14:textId="77777777" w:rsidR="002A4990" w:rsidRPr="00FA0D37" w:rsidRDefault="002A4990" w:rsidP="0071565C">
            <w:pPr>
              <w:pStyle w:val="TAL"/>
              <w:rPr>
                <w:i/>
                <w:szCs w:val="22"/>
                <w:lang w:eastAsia="sv-SE"/>
              </w:rPr>
            </w:pPr>
            <w:r w:rsidRPr="00FA0D37">
              <w:rPr>
                <w:i/>
                <w:szCs w:val="22"/>
                <w:lang w:eastAsia="sv-SE"/>
              </w:rPr>
              <w:t>MTCH-Mapping</w:t>
            </w:r>
          </w:p>
        </w:tc>
        <w:tc>
          <w:tcPr>
            <w:tcW w:w="10146" w:type="dxa"/>
            <w:tcBorders>
              <w:top w:val="single" w:sz="4" w:space="0" w:color="auto"/>
              <w:left w:val="single" w:sz="4" w:space="0" w:color="auto"/>
              <w:bottom w:val="single" w:sz="4" w:space="0" w:color="auto"/>
              <w:right w:val="single" w:sz="4" w:space="0" w:color="auto"/>
            </w:tcBorders>
            <w:hideMark/>
          </w:tcPr>
          <w:p w14:paraId="40B3532E" w14:textId="77777777" w:rsidR="002A4990" w:rsidRPr="00FA0D37" w:rsidRDefault="002A4990" w:rsidP="00A12BD9">
            <w:pPr>
              <w:pStyle w:val="TAL"/>
              <w:rPr>
                <w:lang w:eastAsia="sv-SE"/>
              </w:rPr>
            </w:pPr>
            <w:r w:rsidRPr="00FA0D37">
              <w:rPr>
                <w:lang w:eastAsia="sv-SE"/>
              </w:rPr>
              <w:t xml:space="preserve">The field is mandatory present if the number of actual transmitted SSBs determined according to </w:t>
            </w:r>
            <w:r w:rsidRPr="00FA0D37">
              <w:rPr>
                <w:i/>
                <w:lang w:eastAsia="sv-SE"/>
              </w:rPr>
              <w:t>ssb-PositionsInBurst</w:t>
            </w:r>
            <w:r w:rsidRPr="00FA0D37">
              <w:rPr>
                <w:lang w:eastAsia="sv-SE"/>
              </w:rPr>
              <w:t xml:space="preserve"> in SIB1 is more than 1, and </w:t>
            </w:r>
            <w:r w:rsidRPr="00FA0D37">
              <w:rPr>
                <w:i/>
                <w:lang w:eastAsia="sv-SE"/>
              </w:rPr>
              <w:t>searchspaceMTCH</w:t>
            </w:r>
            <w:r w:rsidRPr="00FA0D37">
              <w:rPr>
                <w:lang w:eastAsia="sv-SE"/>
              </w:rPr>
              <w:t xml:space="preserve"> is not set to zero (including the case where </w:t>
            </w:r>
            <w:r w:rsidRPr="00FA0D37">
              <w:rPr>
                <w:i/>
                <w:lang w:eastAsia="sv-SE"/>
              </w:rPr>
              <w:t>searchSpaceMTCH</w:t>
            </w:r>
            <w:r w:rsidRPr="00FA0D37">
              <w:rPr>
                <w:lang w:eastAsia="sv-SE"/>
              </w:rPr>
              <w:t xml:space="preserve"> is absent and </w:t>
            </w:r>
            <w:r w:rsidRPr="00FA0D37">
              <w:rPr>
                <w:i/>
                <w:lang w:eastAsia="sv-SE"/>
              </w:rPr>
              <w:t>searchSpaceMCCH</w:t>
            </w:r>
            <w:r w:rsidRPr="00FA0D37">
              <w:rPr>
                <w:lang w:eastAsia="sv-SE"/>
              </w:rPr>
              <w:t xml:space="preserve"> is not set to zero). Otherwise, it is absent, Need R.</w:t>
            </w:r>
          </w:p>
        </w:tc>
      </w:tr>
    </w:tbl>
    <w:p w14:paraId="79E8B9D4" w14:textId="77777777" w:rsidR="00EF781F" w:rsidRDefault="00EF781F" w:rsidP="00EF781F">
      <w:pPr>
        <w:rPr>
          <w:rFonts w:eastAsia="Yu Mincho"/>
        </w:rPr>
      </w:pPr>
    </w:p>
    <w:p w14:paraId="702DF319" w14:textId="77777777" w:rsidR="00EF781F" w:rsidRPr="00EF781F" w:rsidRDefault="00EF781F" w:rsidP="00EF781F">
      <w:pPr>
        <w:pStyle w:val="4"/>
        <w:rPr>
          <w:ins w:id="2010" w:author="Huawei, HiSilicon" w:date="2023-11-02T14:40:00Z"/>
          <w:i/>
        </w:rPr>
      </w:pPr>
      <w:ins w:id="2011" w:author="Huawei, HiSilicon" w:date="2023-11-02T14:40:00Z">
        <w:r>
          <w:t>–</w:t>
        </w:r>
        <w:r>
          <w:tab/>
        </w:r>
        <w:r w:rsidRPr="00EF781F">
          <w:rPr>
            <w:i/>
          </w:rPr>
          <w:t>MBS-SessionInfoListMulticast</w:t>
        </w:r>
      </w:ins>
    </w:p>
    <w:p w14:paraId="2DD3F44E" w14:textId="77777777" w:rsidR="00EF781F" w:rsidRDefault="00EF781F" w:rsidP="00EF781F">
      <w:pPr>
        <w:rPr>
          <w:ins w:id="2012" w:author="Huawei, HiSilicon" w:date="2023-11-02T14:40:00Z"/>
          <w:iCs/>
          <w:lang w:eastAsia="zh-CN"/>
        </w:rPr>
      </w:pPr>
      <w:ins w:id="2013" w:author="Huawei, HiSilicon" w:date="2023-11-02T14:40:00Z">
        <w:r>
          <w:rPr>
            <w:iCs/>
            <w:lang w:eastAsia="zh-CN"/>
          </w:rPr>
          <w:t xml:space="preserve">The IE </w:t>
        </w:r>
        <w:r>
          <w:rPr>
            <w:i/>
          </w:rPr>
          <w:t>MBS-SessionInfoListMulticast</w:t>
        </w:r>
        <w:r>
          <w:rPr>
            <w:iCs/>
            <w:lang w:eastAsia="zh-CN"/>
          </w:rPr>
          <w:t xml:space="preserve"> provides </w:t>
        </w:r>
        <w:r>
          <w:rPr>
            <w:rFonts w:ascii="Yu Mincho" w:hAnsi="Yu Mincho" w:hint="eastAsia"/>
            <w:iCs/>
            <w:lang w:eastAsia="zh-CN"/>
          </w:rPr>
          <w:t>a</w:t>
        </w:r>
        <w:r>
          <w:rPr>
            <w:iCs/>
            <w:lang w:eastAsia="zh-CN"/>
          </w:rPr>
          <w:t xml:space="preserve"> list of MBS multicast sessions transmitted via multicast MRB for RRC_INACTIVE UEs and, for each MBS multicast session, the associated G-RNTI and scheduling information.</w:t>
        </w:r>
      </w:ins>
    </w:p>
    <w:p w14:paraId="37500F4E" w14:textId="77777777" w:rsidR="00EF781F" w:rsidRPr="00EF781F" w:rsidRDefault="00EF781F" w:rsidP="00EF781F">
      <w:pPr>
        <w:pStyle w:val="TH"/>
        <w:rPr>
          <w:ins w:id="2014" w:author="Huawei, HiSilicon" w:date="2023-11-02T14:40:00Z"/>
          <w:i/>
        </w:rPr>
      </w:pPr>
      <w:ins w:id="2015" w:author="Huawei, HiSilicon" w:date="2023-11-02T14:40:00Z">
        <w:r w:rsidRPr="00EF781F">
          <w:rPr>
            <w:i/>
          </w:rPr>
          <w:t>MBS-SessionInfoListMulticast information element</w:t>
        </w:r>
      </w:ins>
    </w:p>
    <w:p w14:paraId="1567FB4E" w14:textId="77777777" w:rsidR="00EF781F" w:rsidRPr="008D7C7E" w:rsidRDefault="00EF781F" w:rsidP="00EF781F">
      <w:pPr>
        <w:pStyle w:val="PL"/>
        <w:rPr>
          <w:ins w:id="2016" w:author="Huawei, HiSilicon" w:date="2023-11-02T14:40:00Z"/>
          <w:color w:val="808080"/>
        </w:rPr>
      </w:pPr>
      <w:ins w:id="2017" w:author="Huawei, HiSilicon" w:date="2023-11-02T14:40:00Z">
        <w:r w:rsidRPr="008D7C7E">
          <w:rPr>
            <w:color w:val="808080"/>
          </w:rPr>
          <w:t>-- ASN1START</w:t>
        </w:r>
      </w:ins>
    </w:p>
    <w:p w14:paraId="51209C40" w14:textId="77777777" w:rsidR="00EF781F" w:rsidRPr="008D7C7E" w:rsidRDefault="00EF781F" w:rsidP="00EF781F">
      <w:pPr>
        <w:pStyle w:val="PL"/>
        <w:rPr>
          <w:ins w:id="2018" w:author="Huawei, HiSilicon" w:date="2023-11-02T14:40:00Z"/>
          <w:color w:val="808080"/>
        </w:rPr>
      </w:pPr>
      <w:ins w:id="2019" w:author="Huawei, HiSilicon" w:date="2023-11-02T14:40:00Z">
        <w:r w:rsidRPr="008D7C7E">
          <w:rPr>
            <w:color w:val="808080"/>
          </w:rPr>
          <w:t>-- TAG-MBS-SESSIONINFOLISTMULTICAST-START</w:t>
        </w:r>
      </w:ins>
    </w:p>
    <w:p w14:paraId="6B1736F0" w14:textId="77777777" w:rsidR="00EF781F" w:rsidRDefault="00EF781F" w:rsidP="00EF781F">
      <w:pPr>
        <w:pStyle w:val="PL"/>
        <w:rPr>
          <w:ins w:id="2020" w:author="Huawei, HiSilicon" w:date="2023-11-02T14:40:00Z"/>
        </w:rPr>
      </w:pPr>
    </w:p>
    <w:p w14:paraId="74A38068" w14:textId="77777777" w:rsidR="00EF781F" w:rsidRDefault="00EF781F" w:rsidP="00EF781F">
      <w:pPr>
        <w:pStyle w:val="PL"/>
        <w:rPr>
          <w:ins w:id="2021" w:author="Huawei, HiSilicon" w:date="2023-11-02T14:40:00Z"/>
        </w:rPr>
      </w:pPr>
      <w:ins w:id="2022" w:author="Huawei, HiSilicon" w:date="2023-11-02T14:40:00Z">
        <w:r>
          <w:t xml:space="preserve">MBS-SessionInfoListMulticast-r18 ::=      </w:t>
        </w:r>
        <w:r>
          <w:rPr>
            <w:color w:val="993366"/>
          </w:rPr>
          <w:t>SEQUENCE</w:t>
        </w:r>
        <w:r>
          <w:t xml:space="preserve"> (</w:t>
        </w:r>
        <w:r>
          <w:rPr>
            <w:color w:val="993366"/>
          </w:rPr>
          <w:t>SIZE</w:t>
        </w:r>
        <w:r>
          <w:t xml:space="preserve"> (1..maxNrofMBS-Session-r17))</w:t>
        </w:r>
        <w:r>
          <w:rPr>
            <w:color w:val="993366"/>
          </w:rPr>
          <w:t xml:space="preserve"> OF</w:t>
        </w:r>
        <w:r>
          <w:t xml:space="preserve"> MBS-SessionInfoMulticast-r18</w:t>
        </w:r>
      </w:ins>
    </w:p>
    <w:p w14:paraId="3F821349" w14:textId="77777777" w:rsidR="00EF781F" w:rsidRDefault="00EF781F" w:rsidP="00EF781F">
      <w:pPr>
        <w:pStyle w:val="PL"/>
        <w:rPr>
          <w:ins w:id="2023" w:author="Huawei, HiSilicon" w:date="2023-11-02T14:40:00Z"/>
        </w:rPr>
      </w:pPr>
    </w:p>
    <w:p w14:paraId="7C2ABAF2" w14:textId="77777777" w:rsidR="00EF781F" w:rsidRDefault="00EF781F" w:rsidP="00EF781F">
      <w:pPr>
        <w:pStyle w:val="PL"/>
        <w:rPr>
          <w:ins w:id="2024" w:author="Huawei, HiSilicon" w:date="2023-11-02T14:40:00Z"/>
        </w:rPr>
      </w:pPr>
      <w:ins w:id="2025" w:author="Huawei, HiSilicon" w:date="2023-11-02T14:40:00Z">
        <w:r>
          <w:t xml:space="preserve">MBS-SessionInfoMulticast-r18 ::=   </w:t>
        </w:r>
        <w:r>
          <w:rPr>
            <w:color w:val="993366"/>
          </w:rPr>
          <w:t>SEQUENCE</w:t>
        </w:r>
        <w:r>
          <w:t xml:space="preserve"> {</w:t>
        </w:r>
      </w:ins>
    </w:p>
    <w:p w14:paraId="0E52D78B" w14:textId="77777777" w:rsidR="00EF781F" w:rsidRDefault="00EF781F" w:rsidP="00EF781F">
      <w:pPr>
        <w:pStyle w:val="PL"/>
        <w:rPr>
          <w:ins w:id="2026" w:author="Huawei, HiSilicon" w:date="2023-11-02T14:40:00Z"/>
        </w:rPr>
      </w:pPr>
      <w:ins w:id="2027" w:author="Huawei, HiSilicon" w:date="2023-11-02T14:40:00Z">
        <w:r>
          <w:t xml:space="preserve">    mbs-SessionId-r18                  TMGI-r17,</w:t>
        </w:r>
      </w:ins>
    </w:p>
    <w:p w14:paraId="1B23AC44" w14:textId="77777777" w:rsidR="00EF781F" w:rsidRDefault="00EF781F" w:rsidP="00EF781F">
      <w:pPr>
        <w:pStyle w:val="PL"/>
        <w:rPr>
          <w:ins w:id="2028" w:author="Huawei, HiSilicon" w:date="2023-11-02T14:40:00Z"/>
        </w:rPr>
      </w:pPr>
      <w:ins w:id="2029" w:author="Huawei, HiSilicon" w:date="2023-11-02T14:40:00Z">
        <w:r>
          <w:t xml:space="preserve">    g-RNTI-r18                         RNTI-Value                                   </w:t>
        </w:r>
        <w:r>
          <w:rPr>
            <w:color w:val="993366"/>
          </w:rPr>
          <w:t>OPTIONAL</w:t>
        </w:r>
        <w:r>
          <w:t>, -- Need R</w:t>
        </w:r>
      </w:ins>
    </w:p>
    <w:p w14:paraId="42946C18" w14:textId="77777777" w:rsidR="00EF781F" w:rsidRDefault="00EF781F" w:rsidP="00EF781F">
      <w:pPr>
        <w:pStyle w:val="PL"/>
        <w:rPr>
          <w:ins w:id="2030" w:author="Huawei, HiSilicon" w:date="2023-11-02T14:40:00Z"/>
        </w:rPr>
      </w:pPr>
      <w:ins w:id="2031" w:author="Huawei, HiSilicon" w:date="2023-11-02T14:40:00Z">
        <w:r>
          <w:t xml:space="preserve">    mrb-ListMulticast-r18              MRB-List</w:t>
        </w:r>
      </w:ins>
      <w:ins w:id="2032" w:author="Huawei, HiSilicon" w:date="2023-12-01T16:13:00Z">
        <w:r>
          <w:t>Multicast</w:t>
        </w:r>
      </w:ins>
      <w:ins w:id="2033" w:author="Huawei, HiSilicon" w:date="2023-11-02T14:40:00Z">
        <w:r>
          <w:t>-r1</w:t>
        </w:r>
      </w:ins>
      <w:ins w:id="2034" w:author="Huawei, HiSilicon" w:date="2023-12-01T16:13:00Z">
        <w:r>
          <w:t>8</w:t>
        </w:r>
      </w:ins>
      <w:ins w:id="2035" w:author="Huawei, HiSilicon" w:date="2023-11-02T14:40:00Z">
        <w:r>
          <w:t xml:space="preserve">                        </w:t>
        </w:r>
        <w:r>
          <w:rPr>
            <w:color w:val="993366"/>
          </w:rPr>
          <w:t>OPTIONAL</w:t>
        </w:r>
        <w:r>
          <w:t>, -- Need R</w:t>
        </w:r>
      </w:ins>
    </w:p>
    <w:p w14:paraId="5303A1D2" w14:textId="77777777" w:rsidR="00EF781F" w:rsidRDefault="00EF781F" w:rsidP="00EF781F">
      <w:pPr>
        <w:pStyle w:val="PL"/>
        <w:rPr>
          <w:ins w:id="2036" w:author="Huawei, HiSilicon" w:date="2023-11-02T14:40:00Z"/>
        </w:rPr>
      </w:pPr>
      <w:ins w:id="2037" w:author="Huawei, HiSilicon" w:date="2023-11-02T14:40:00Z">
        <w:r>
          <w:t xml:space="preserve">    mtch-SchedulingInfo-r18            DRX-ConfigPTM-Index-r17                      </w:t>
        </w:r>
        <w:r>
          <w:rPr>
            <w:color w:val="993366"/>
          </w:rPr>
          <w:t>OPTIONAL</w:t>
        </w:r>
        <w:r>
          <w:t>, -- Need S</w:t>
        </w:r>
      </w:ins>
    </w:p>
    <w:p w14:paraId="4D63CB9B" w14:textId="77777777" w:rsidR="00EF781F" w:rsidRDefault="00EF781F" w:rsidP="00EF781F">
      <w:pPr>
        <w:pStyle w:val="PL"/>
        <w:rPr>
          <w:ins w:id="2038" w:author="Huawei, HiSilicon" w:date="2023-11-02T14:40:00Z"/>
        </w:rPr>
      </w:pPr>
      <w:ins w:id="2039" w:author="Huawei, HiSilicon" w:date="2023-11-02T14:40:00Z">
        <w:r>
          <w:t xml:space="preserve">    mtch-NeighbourCell-r18             </w:t>
        </w:r>
        <w:r>
          <w:rPr>
            <w:color w:val="993366"/>
          </w:rPr>
          <w:t>BIT</w:t>
        </w:r>
        <w:r>
          <w:t xml:space="preserve"> </w:t>
        </w:r>
        <w:r>
          <w:rPr>
            <w:color w:val="993366"/>
          </w:rPr>
          <w:t>STRING</w:t>
        </w:r>
        <w:r>
          <w:t xml:space="preserve"> (</w:t>
        </w:r>
        <w:r>
          <w:rPr>
            <w:color w:val="993366"/>
          </w:rPr>
          <w:t>SIZE</w:t>
        </w:r>
        <w:r>
          <w:t xml:space="preserve">(maxNeighCellMBS-r17))       </w:t>
        </w:r>
        <w:r>
          <w:rPr>
            <w:color w:val="993366"/>
          </w:rPr>
          <w:t>OPTIONAL</w:t>
        </w:r>
        <w:r>
          <w:t>, -- Need S</w:t>
        </w:r>
      </w:ins>
    </w:p>
    <w:p w14:paraId="0886DCBE" w14:textId="77777777" w:rsidR="00EF781F" w:rsidRDefault="00EF781F" w:rsidP="00EF781F">
      <w:pPr>
        <w:pStyle w:val="PL"/>
        <w:rPr>
          <w:ins w:id="2040" w:author="Huawei, HiSilicon" w:date="2023-11-02T14:40:00Z"/>
        </w:rPr>
      </w:pPr>
      <w:ins w:id="2041" w:author="Huawei, HiSilicon" w:date="2023-11-02T14:40:00Z">
        <w:r>
          <w:t xml:space="preserve">    pdsch-ConfigIndex-r18              PDSCH-ConfigIndex-r17                        </w:t>
        </w:r>
        <w:r>
          <w:rPr>
            <w:color w:val="993366"/>
          </w:rPr>
          <w:t>OPTIONAL</w:t>
        </w:r>
        <w:r>
          <w:t>, -- Need S</w:t>
        </w:r>
      </w:ins>
    </w:p>
    <w:p w14:paraId="38CF19EC" w14:textId="77777777" w:rsidR="00EF781F" w:rsidRDefault="00EF781F" w:rsidP="00EF781F">
      <w:pPr>
        <w:pStyle w:val="PL"/>
        <w:rPr>
          <w:ins w:id="2042" w:author="Huawei, HiSilicon" w:date="2023-11-02T14:40:00Z"/>
        </w:rPr>
      </w:pPr>
      <w:ins w:id="2043" w:author="Huawei, HiSilicon" w:date="2023-11-02T14:40:00Z">
        <w:r>
          <w:t xml:space="preserve">    mtch-SSB-MappingWindowIndex-r18    MTCH-SSB-MappingWindowIndex-r17              </w:t>
        </w:r>
        <w:r>
          <w:rPr>
            <w:color w:val="993366"/>
          </w:rPr>
          <w:t>OPTIONAL</w:t>
        </w:r>
        <w:r>
          <w:t>, -- Cond MTCH-Mapping</w:t>
        </w:r>
      </w:ins>
    </w:p>
    <w:p w14:paraId="7C2255B6" w14:textId="77777777" w:rsidR="00EF781F" w:rsidRDefault="00EF781F" w:rsidP="00EF781F">
      <w:pPr>
        <w:pStyle w:val="PL"/>
        <w:rPr>
          <w:ins w:id="2044" w:author="Huawei, HiSilicon" w:date="2023-11-02T14:40:00Z"/>
        </w:rPr>
      </w:pPr>
      <w:ins w:id="2045" w:author="Huawei, HiSilicon" w:date="2023-11-02T14:40:00Z">
        <w:r>
          <w:t xml:space="preserve">    thresholdIndex-r18                 INTEGER (0..maxNrofThresholdMBS-r18)         </w:t>
        </w:r>
        <w:r>
          <w:rPr>
            <w:color w:val="993366"/>
          </w:rPr>
          <w:t>OPTIONAL</w:t>
        </w:r>
        <w:r>
          <w:t>, -- Need R</w:t>
        </w:r>
      </w:ins>
    </w:p>
    <w:p w14:paraId="4C3F254C" w14:textId="77777777" w:rsidR="00EF781F" w:rsidRDefault="00EF781F" w:rsidP="00EF781F">
      <w:pPr>
        <w:pStyle w:val="PL"/>
        <w:rPr>
          <w:ins w:id="2046" w:author="Huawei, HiSilicon" w:date="2023-11-02T14:40:00Z"/>
        </w:rPr>
      </w:pPr>
      <w:ins w:id="2047" w:author="Huawei, HiSilicon" w:date="2023-11-02T14:40:00Z">
        <w:r>
          <w:t xml:space="preserve">    pdcp-SYNC-Indicator-r18            </w:t>
        </w:r>
        <w:r>
          <w:rPr>
            <w:color w:val="993366"/>
          </w:rPr>
          <w:t>ENUMERATED</w:t>
        </w:r>
        <w:r>
          <w:t xml:space="preserve"> {true}                            </w:t>
        </w:r>
        <w:r>
          <w:rPr>
            <w:color w:val="993366"/>
          </w:rPr>
          <w:t>OPTIONAL</w:t>
        </w:r>
        <w:r>
          <w:t>, -- Cond RRCRelease</w:t>
        </w:r>
      </w:ins>
    </w:p>
    <w:p w14:paraId="2D86A9F4" w14:textId="77777777" w:rsidR="00EF781F" w:rsidRDefault="00EF781F" w:rsidP="00EF781F">
      <w:pPr>
        <w:pStyle w:val="PL"/>
        <w:rPr>
          <w:ins w:id="2048" w:author="Huawei, HiSilicon" w:date="2023-11-02T14:40:00Z"/>
          <w:lang w:eastAsia="zh-CN"/>
        </w:rPr>
      </w:pPr>
      <w:ins w:id="2049" w:author="Huawei, HiSilicon" w:date="2023-11-02T14:40:00Z">
        <w:r>
          <w:t xml:space="preserve">    stopMonitoringRNTI-r18             </w:t>
        </w:r>
        <w:r>
          <w:rPr>
            <w:color w:val="993366"/>
          </w:rPr>
          <w:t>ENUMERATED</w:t>
        </w:r>
        <w:r>
          <w:t xml:space="preserve"> {true}                            </w:t>
        </w:r>
        <w:r>
          <w:rPr>
            <w:color w:val="993366"/>
          </w:rPr>
          <w:t>OPTIONAL</w:t>
        </w:r>
        <w:r>
          <w:t xml:space="preserve">  -- Need R</w:t>
        </w:r>
      </w:ins>
    </w:p>
    <w:p w14:paraId="2232CB36" w14:textId="77777777" w:rsidR="00EF781F" w:rsidRDefault="00EF781F" w:rsidP="00EF781F">
      <w:pPr>
        <w:pStyle w:val="PL"/>
        <w:rPr>
          <w:ins w:id="2050" w:author="Huawei, HiSilicon" w:date="2023-11-02T14:40:00Z"/>
        </w:rPr>
      </w:pPr>
      <w:ins w:id="2051" w:author="Huawei, HiSilicon" w:date="2023-11-02T14:40:00Z">
        <w:r>
          <w:t>}</w:t>
        </w:r>
      </w:ins>
    </w:p>
    <w:p w14:paraId="11AA9ABB" w14:textId="77777777" w:rsidR="00EF781F" w:rsidRDefault="00EF781F" w:rsidP="00EF781F">
      <w:pPr>
        <w:pStyle w:val="PL"/>
      </w:pPr>
    </w:p>
    <w:p w14:paraId="58FEAFAE" w14:textId="77777777" w:rsidR="00EF781F" w:rsidRDefault="00EF781F" w:rsidP="00EF781F">
      <w:pPr>
        <w:pStyle w:val="PL"/>
        <w:rPr>
          <w:ins w:id="2052" w:author="Huawei, HiSilicon" w:date="2023-12-01T16:14:00Z"/>
        </w:rPr>
      </w:pPr>
      <w:ins w:id="2053" w:author="Huawei, HiSilicon" w:date="2023-12-01T16:14:00Z">
        <w:r>
          <w:t xml:space="preserve">MRB-ListMulticast-r18 ::=            </w:t>
        </w:r>
        <w:r>
          <w:rPr>
            <w:color w:val="993366"/>
          </w:rPr>
          <w:t>SEQUENCE</w:t>
        </w:r>
        <w:r>
          <w:t xml:space="preserve"> (</w:t>
        </w:r>
        <w:r>
          <w:rPr>
            <w:color w:val="993366"/>
          </w:rPr>
          <w:t>SIZE</w:t>
        </w:r>
        <w:r>
          <w:t xml:space="preserve"> (1.. maxMRB-r17))</w:t>
        </w:r>
        <w:r>
          <w:rPr>
            <w:color w:val="993366"/>
          </w:rPr>
          <w:t xml:space="preserve"> OF</w:t>
        </w:r>
        <w:r>
          <w:t xml:space="preserve"> MRB-InfoMulticast-r18</w:t>
        </w:r>
      </w:ins>
    </w:p>
    <w:p w14:paraId="3DA68572" w14:textId="77777777" w:rsidR="00EF781F" w:rsidRDefault="00EF781F" w:rsidP="00EF781F">
      <w:pPr>
        <w:pStyle w:val="PL"/>
        <w:rPr>
          <w:ins w:id="2054" w:author="Huawei, HiSilicon" w:date="2023-12-01T16:14:00Z"/>
        </w:rPr>
      </w:pPr>
    </w:p>
    <w:p w14:paraId="385A3B15" w14:textId="77777777" w:rsidR="00EF781F" w:rsidRDefault="00EF781F" w:rsidP="00EF781F">
      <w:pPr>
        <w:pStyle w:val="PL"/>
        <w:rPr>
          <w:ins w:id="2055" w:author="Huawei, HiSilicon" w:date="2023-12-01T16:14:00Z"/>
        </w:rPr>
      </w:pPr>
      <w:ins w:id="2056" w:author="Huawei, HiSilicon" w:date="2023-12-01T16:14:00Z">
        <w:r>
          <w:t xml:space="preserve">MRB-InfoMulticast-r18 ::=            </w:t>
        </w:r>
        <w:r>
          <w:rPr>
            <w:color w:val="993366"/>
          </w:rPr>
          <w:t>SEQUENCE</w:t>
        </w:r>
        <w:r>
          <w:t xml:space="preserve"> {</w:t>
        </w:r>
      </w:ins>
    </w:p>
    <w:p w14:paraId="78997835" w14:textId="77777777" w:rsidR="00EF781F" w:rsidRDefault="00EF781F" w:rsidP="00EF781F">
      <w:pPr>
        <w:pStyle w:val="PL"/>
        <w:rPr>
          <w:ins w:id="2057" w:author="Huawei, HiSilicon" w:date="2023-12-01T16:14:00Z"/>
        </w:rPr>
      </w:pPr>
      <w:ins w:id="2058" w:author="Huawei, HiSilicon" w:date="2023-12-01T16:14:00Z">
        <w:r>
          <w:t xml:space="preserve">    pdcp-Config-r18                      MRB-PDCP-ConfigMulticast-r18,</w:t>
        </w:r>
      </w:ins>
    </w:p>
    <w:p w14:paraId="32A57274" w14:textId="77777777" w:rsidR="00EF781F" w:rsidRDefault="00EF781F" w:rsidP="00EF781F">
      <w:pPr>
        <w:pStyle w:val="PL"/>
        <w:rPr>
          <w:ins w:id="2059" w:author="Huawei, HiSilicon" w:date="2023-12-01T16:14:00Z"/>
        </w:rPr>
      </w:pPr>
      <w:ins w:id="2060" w:author="Huawei, HiSilicon" w:date="2023-12-01T16:14:00Z">
        <w:r>
          <w:t xml:space="preserve">    rlc-Config-r18                       MRB-RLC-ConfigMulticast-r18,</w:t>
        </w:r>
      </w:ins>
    </w:p>
    <w:p w14:paraId="1024A6E2" w14:textId="77777777" w:rsidR="00EF781F" w:rsidRDefault="00EF781F" w:rsidP="00EF781F">
      <w:pPr>
        <w:pStyle w:val="PL"/>
        <w:rPr>
          <w:ins w:id="2061" w:author="Huawei, HiSilicon" w:date="2023-12-01T16:14:00Z"/>
        </w:rPr>
      </w:pPr>
      <w:ins w:id="2062" w:author="Huawei, HiSilicon" w:date="2023-12-01T16:14:00Z">
        <w:r>
          <w:t xml:space="preserve">    ...</w:t>
        </w:r>
      </w:ins>
    </w:p>
    <w:p w14:paraId="6922DE4D" w14:textId="77777777" w:rsidR="00EF781F" w:rsidRDefault="00EF781F" w:rsidP="00EF781F">
      <w:pPr>
        <w:pStyle w:val="PL"/>
        <w:rPr>
          <w:ins w:id="2063" w:author="Huawei, HiSilicon" w:date="2023-12-01T16:14:00Z"/>
        </w:rPr>
      </w:pPr>
      <w:ins w:id="2064" w:author="Huawei, HiSilicon" w:date="2023-12-01T16:14:00Z">
        <w:r>
          <w:t>}</w:t>
        </w:r>
      </w:ins>
    </w:p>
    <w:p w14:paraId="79B724A2" w14:textId="77777777" w:rsidR="00EF781F" w:rsidRDefault="00EF781F" w:rsidP="00EF781F">
      <w:pPr>
        <w:pStyle w:val="PL"/>
        <w:rPr>
          <w:ins w:id="2065" w:author="Huawei, HiSilicon" w:date="2023-12-01T16:14:00Z"/>
        </w:rPr>
      </w:pPr>
    </w:p>
    <w:p w14:paraId="020553F1" w14:textId="77777777" w:rsidR="00EF781F" w:rsidRDefault="00EF781F" w:rsidP="00EF781F">
      <w:pPr>
        <w:pStyle w:val="PL"/>
        <w:rPr>
          <w:ins w:id="2066" w:author="Huawei, HiSilicon" w:date="2023-12-01T16:14:00Z"/>
        </w:rPr>
      </w:pPr>
      <w:ins w:id="2067" w:author="Huawei, HiSilicon" w:date="2023-12-01T16:14:00Z">
        <w:r>
          <w:t xml:space="preserve">MRB-PDCP-ConfigMulticast-r18 ::=     </w:t>
        </w:r>
        <w:r>
          <w:rPr>
            <w:color w:val="993366"/>
          </w:rPr>
          <w:t>SEQUENCE</w:t>
        </w:r>
        <w:r>
          <w:t xml:space="preserve"> {</w:t>
        </w:r>
      </w:ins>
    </w:p>
    <w:p w14:paraId="2171E60C" w14:textId="77777777" w:rsidR="00EF781F" w:rsidRDefault="00EF781F" w:rsidP="00EF781F">
      <w:pPr>
        <w:pStyle w:val="PL"/>
        <w:rPr>
          <w:ins w:id="2068" w:author="Huawei, HiSilicon" w:date="2023-12-01T16:14:00Z"/>
        </w:rPr>
      </w:pPr>
      <w:ins w:id="2069" w:author="Huawei, HiSilicon" w:date="2023-12-01T16:14:00Z">
        <w:r>
          <w:t xml:space="preserve">    pdcp-SN-SizeDL-r18                   </w:t>
        </w:r>
        <w:r>
          <w:rPr>
            <w:rFonts w:eastAsia="等线" w:cs="Courier New"/>
            <w:color w:val="993366"/>
          </w:rPr>
          <w:t>ENUMERATED</w:t>
        </w:r>
        <w:r>
          <w:rPr>
            <w:rFonts w:eastAsia="等线" w:cs="Courier New"/>
          </w:rPr>
          <w:t xml:space="preserve"> {len12bits, len18bits},</w:t>
        </w:r>
      </w:ins>
    </w:p>
    <w:p w14:paraId="29931542" w14:textId="77777777" w:rsidR="00EF781F" w:rsidRDefault="00EF781F" w:rsidP="00EF781F">
      <w:pPr>
        <w:pStyle w:val="PL"/>
        <w:rPr>
          <w:ins w:id="2070" w:author="Huawei, HiSilicon" w:date="2023-12-01T16:14:00Z"/>
        </w:rPr>
      </w:pPr>
      <w:ins w:id="2071" w:author="Huawei, HiSilicon" w:date="2023-12-01T16:14:00Z">
        <w:r>
          <w:t xml:space="preserve">    headerCompression-r18                </w:t>
        </w:r>
        <w:r>
          <w:rPr>
            <w:color w:val="993366"/>
          </w:rPr>
          <w:t>CHOICE</w:t>
        </w:r>
        <w:r>
          <w:t xml:space="preserve"> {</w:t>
        </w:r>
      </w:ins>
    </w:p>
    <w:p w14:paraId="0AA3469E" w14:textId="77777777" w:rsidR="00EF781F" w:rsidRDefault="00EF781F" w:rsidP="00EF781F">
      <w:pPr>
        <w:pStyle w:val="PL"/>
        <w:rPr>
          <w:ins w:id="2072" w:author="Huawei, HiSilicon" w:date="2023-12-01T16:14:00Z"/>
        </w:rPr>
      </w:pPr>
      <w:ins w:id="2073" w:author="Huawei, HiSilicon" w:date="2023-12-01T16:14:00Z">
        <w:r>
          <w:t xml:space="preserve">        notUsed                              </w:t>
        </w:r>
        <w:r>
          <w:rPr>
            <w:color w:val="993366"/>
          </w:rPr>
          <w:t>NULL</w:t>
        </w:r>
        <w:r>
          <w:t>,</w:t>
        </w:r>
      </w:ins>
    </w:p>
    <w:p w14:paraId="34D8D35F" w14:textId="77777777" w:rsidR="00EF781F" w:rsidRDefault="00EF781F" w:rsidP="00EF781F">
      <w:pPr>
        <w:pStyle w:val="PL"/>
        <w:rPr>
          <w:ins w:id="2074" w:author="Huawei, HiSilicon" w:date="2023-12-01T16:14:00Z"/>
        </w:rPr>
      </w:pPr>
      <w:ins w:id="2075" w:author="Huawei, HiSilicon" w:date="2023-12-01T16:14:00Z">
        <w:r>
          <w:t xml:space="preserve">        rohc                                 </w:t>
        </w:r>
        <w:r>
          <w:rPr>
            <w:color w:val="993366"/>
          </w:rPr>
          <w:t>SEQUENCE</w:t>
        </w:r>
        <w:r>
          <w:t xml:space="preserve"> {</w:t>
        </w:r>
      </w:ins>
    </w:p>
    <w:p w14:paraId="7D31B149" w14:textId="77777777" w:rsidR="00EF781F" w:rsidRDefault="00EF781F" w:rsidP="00EF781F">
      <w:pPr>
        <w:pStyle w:val="PL"/>
        <w:rPr>
          <w:ins w:id="2076" w:author="Huawei, HiSilicon" w:date="2023-12-01T16:14:00Z"/>
        </w:rPr>
      </w:pPr>
      <w:ins w:id="2077" w:author="Huawei, HiSilicon" w:date="2023-12-01T16:14:00Z">
        <w:r>
          <w:t xml:space="preserve">            maxCID-r18                           </w:t>
        </w:r>
        <w:r>
          <w:rPr>
            <w:color w:val="993366"/>
          </w:rPr>
          <w:t>INTEGER</w:t>
        </w:r>
        <w:r>
          <w:t xml:space="preserve"> (1..16)               DEFAULT 15,</w:t>
        </w:r>
      </w:ins>
    </w:p>
    <w:p w14:paraId="766B2C30" w14:textId="77777777" w:rsidR="00EF781F" w:rsidRDefault="00EF781F" w:rsidP="00EF781F">
      <w:pPr>
        <w:pStyle w:val="PL"/>
        <w:rPr>
          <w:ins w:id="2078" w:author="Huawei, HiSilicon" w:date="2023-12-01T16:14:00Z"/>
        </w:rPr>
      </w:pPr>
      <w:ins w:id="2079" w:author="Huawei, HiSilicon" w:date="2023-12-01T16:14:00Z">
        <w:r>
          <w:t xml:space="preserve">            profiles-r18                         </w:t>
        </w:r>
        <w:r>
          <w:rPr>
            <w:color w:val="993366"/>
          </w:rPr>
          <w:t>SEQUENCE</w:t>
        </w:r>
        <w:r>
          <w:t xml:space="preserve"> {</w:t>
        </w:r>
      </w:ins>
    </w:p>
    <w:p w14:paraId="088B1238" w14:textId="77777777" w:rsidR="00EF781F" w:rsidRDefault="00EF781F" w:rsidP="00EF781F">
      <w:pPr>
        <w:pStyle w:val="PL"/>
        <w:rPr>
          <w:ins w:id="2080" w:author="Huawei, HiSilicon" w:date="2023-12-01T16:14:00Z"/>
        </w:rPr>
      </w:pPr>
      <w:ins w:id="2081" w:author="Huawei, HiSilicon" w:date="2023-12-01T16:14:00Z">
        <w:r>
          <w:t xml:space="preserve">                profile0x0000-r18                    </w:t>
        </w:r>
        <w:r>
          <w:rPr>
            <w:color w:val="993366"/>
          </w:rPr>
          <w:t>BOOLEAN</w:t>
        </w:r>
        <w:r>
          <w:t>,</w:t>
        </w:r>
      </w:ins>
    </w:p>
    <w:p w14:paraId="5A46ADA8" w14:textId="77777777" w:rsidR="00EF781F" w:rsidRDefault="00EF781F" w:rsidP="00EF781F">
      <w:pPr>
        <w:pStyle w:val="PL"/>
        <w:rPr>
          <w:ins w:id="2082" w:author="Huawei, HiSilicon" w:date="2023-12-01T16:14:00Z"/>
        </w:rPr>
      </w:pPr>
      <w:ins w:id="2083" w:author="Huawei, HiSilicon" w:date="2023-12-01T16:14:00Z">
        <w:r>
          <w:t xml:space="preserve">                profile0x0001-r18                    </w:t>
        </w:r>
        <w:r>
          <w:rPr>
            <w:color w:val="993366"/>
          </w:rPr>
          <w:t>BOOLEAN</w:t>
        </w:r>
        <w:r>
          <w:t>,</w:t>
        </w:r>
      </w:ins>
    </w:p>
    <w:p w14:paraId="6480F287" w14:textId="77777777" w:rsidR="00EF781F" w:rsidRDefault="00EF781F" w:rsidP="00EF781F">
      <w:pPr>
        <w:pStyle w:val="PL"/>
        <w:rPr>
          <w:ins w:id="2084" w:author="Huawei, HiSilicon" w:date="2023-12-01T16:14:00Z"/>
        </w:rPr>
      </w:pPr>
      <w:ins w:id="2085" w:author="Huawei, HiSilicon" w:date="2023-12-01T16:14:00Z">
        <w:r>
          <w:lastRenderedPageBreak/>
          <w:t xml:space="preserve">                profile0x0002-r18                    </w:t>
        </w:r>
        <w:r>
          <w:rPr>
            <w:color w:val="993366"/>
          </w:rPr>
          <w:t>BOOLEAN</w:t>
        </w:r>
      </w:ins>
    </w:p>
    <w:p w14:paraId="41E4FF7B" w14:textId="77777777" w:rsidR="00EF781F" w:rsidRDefault="00EF781F" w:rsidP="00EF781F">
      <w:pPr>
        <w:pStyle w:val="PL"/>
        <w:rPr>
          <w:ins w:id="2086" w:author="Huawei, HiSilicon" w:date="2023-12-01T16:14:00Z"/>
        </w:rPr>
      </w:pPr>
      <w:ins w:id="2087" w:author="Huawei, HiSilicon" w:date="2023-12-01T16:14:00Z">
        <w:r>
          <w:t xml:space="preserve">           }</w:t>
        </w:r>
      </w:ins>
    </w:p>
    <w:p w14:paraId="0929F4BE" w14:textId="77777777" w:rsidR="00EF781F" w:rsidRDefault="00EF781F" w:rsidP="00EF781F">
      <w:pPr>
        <w:pStyle w:val="PL"/>
        <w:rPr>
          <w:ins w:id="2088" w:author="Huawei, HiSilicon" w:date="2023-12-01T16:14:00Z"/>
        </w:rPr>
      </w:pPr>
      <w:ins w:id="2089" w:author="Huawei, HiSilicon" w:date="2023-12-01T16:14:00Z">
        <w:r>
          <w:t xml:space="preserve">        }</w:t>
        </w:r>
      </w:ins>
    </w:p>
    <w:p w14:paraId="299ED572" w14:textId="77777777" w:rsidR="00EF781F" w:rsidRDefault="00EF781F" w:rsidP="00EF781F">
      <w:pPr>
        <w:pStyle w:val="PL"/>
        <w:rPr>
          <w:ins w:id="2090" w:author="Huawei, HiSilicon" w:date="2023-12-01T16:14:00Z"/>
        </w:rPr>
      </w:pPr>
      <w:ins w:id="2091" w:author="Huawei, HiSilicon" w:date="2023-12-01T16:14:00Z">
        <w:r>
          <w:t xml:space="preserve">    },</w:t>
        </w:r>
      </w:ins>
    </w:p>
    <w:p w14:paraId="4D6F47A3" w14:textId="77777777" w:rsidR="00EF781F" w:rsidRDefault="00EF781F" w:rsidP="00EF781F">
      <w:pPr>
        <w:pStyle w:val="PL"/>
        <w:rPr>
          <w:ins w:id="2092" w:author="Huawei, HiSilicon" w:date="2023-12-01T16:14:00Z"/>
        </w:rPr>
      </w:pPr>
      <w:ins w:id="2093" w:author="Huawei, HiSilicon" w:date="2023-12-01T16:14:00Z">
        <w:r>
          <w:t xml:space="preserve">    t-Reordering-r17                     </w:t>
        </w:r>
        <w:r>
          <w:rPr>
            <w:color w:val="993366"/>
          </w:rPr>
          <w:t>ENUMERATED</w:t>
        </w:r>
        <w:r>
          <w:t xml:space="preserve"> {ms1, ms10, ms40, ms160, ms500, ms1000, ms1250, ms2750}    </w:t>
        </w:r>
        <w:r>
          <w:rPr>
            <w:color w:val="993366"/>
          </w:rPr>
          <w:t>OPTIONAL</w:t>
        </w:r>
        <w:r>
          <w:t xml:space="preserve"> -- Need R</w:t>
        </w:r>
      </w:ins>
    </w:p>
    <w:p w14:paraId="411C0E28" w14:textId="77777777" w:rsidR="00EF781F" w:rsidRDefault="00EF781F" w:rsidP="00EF781F">
      <w:pPr>
        <w:pStyle w:val="PL"/>
        <w:rPr>
          <w:ins w:id="2094" w:author="Huawei, HiSilicon" w:date="2023-12-01T16:14:00Z"/>
        </w:rPr>
      </w:pPr>
      <w:ins w:id="2095" w:author="Huawei, HiSilicon" w:date="2023-12-01T16:14:00Z">
        <w:r>
          <w:t>}</w:t>
        </w:r>
      </w:ins>
    </w:p>
    <w:p w14:paraId="6C57FB7B" w14:textId="77777777" w:rsidR="00EF781F" w:rsidRDefault="00EF781F" w:rsidP="00EF781F">
      <w:pPr>
        <w:pStyle w:val="PL"/>
        <w:rPr>
          <w:ins w:id="2096" w:author="Huawei, HiSilicon" w:date="2023-12-01T16:14:00Z"/>
        </w:rPr>
      </w:pPr>
    </w:p>
    <w:p w14:paraId="06578D8E" w14:textId="77777777" w:rsidR="00EF781F" w:rsidRDefault="00EF781F" w:rsidP="00EF781F">
      <w:pPr>
        <w:pStyle w:val="PL"/>
        <w:rPr>
          <w:ins w:id="2097" w:author="Huawei, HiSilicon" w:date="2023-12-01T16:14:00Z"/>
        </w:rPr>
      </w:pPr>
      <w:ins w:id="2098" w:author="Huawei, HiSilicon" w:date="2023-12-01T16:14:00Z">
        <w:r>
          <w:t xml:space="preserve">MRB-RLC-ConfigMulticast-r18 ::=      </w:t>
        </w:r>
        <w:r>
          <w:rPr>
            <w:color w:val="993366"/>
          </w:rPr>
          <w:t>SEQUENCE</w:t>
        </w:r>
        <w:r>
          <w:t xml:space="preserve"> {</w:t>
        </w:r>
      </w:ins>
    </w:p>
    <w:p w14:paraId="67DE3B67" w14:textId="77777777" w:rsidR="00EF781F" w:rsidRDefault="00EF781F" w:rsidP="00EF781F">
      <w:pPr>
        <w:pStyle w:val="PL"/>
        <w:rPr>
          <w:ins w:id="2099" w:author="Huawei, HiSilicon" w:date="2023-12-01T16:14:00Z"/>
        </w:rPr>
      </w:pPr>
      <w:ins w:id="2100" w:author="Huawei, HiSilicon" w:date="2023-12-01T16:14:00Z">
        <w:r>
          <w:t xml:space="preserve">    logicalChannelIdentity-r18           </w:t>
        </w:r>
        <w:r>
          <w:rPr>
            <w:color w:val="993366"/>
          </w:rPr>
          <w:t>CHOICE</w:t>
        </w:r>
        <w:r>
          <w:t xml:space="preserve"> {</w:t>
        </w:r>
      </w:ins>
    </w:p>
    <w:p w14:paraId="5399CECF" w14:textId="77777777" w:rsidR="00EF781F" w:rsidRDefault="00EF781F" w:rsidP="00EF781F">
      <w:pPr>
        <w:pStyle w:val="PL"/>
        <w:rPr>
          <w:ins w:id="2101" w:author="Huawei, HiSilicon" w:date="2023-12-01T16:14:00Z"/>
        </w:rPr>
      </w:pPr>
      <w:ins w:id="2102" w:author="Huawei, HiSilicon" w:date="2023-12-01T16:14:00Z">
        <w:r>
          <w:t xml:space="preserve">        logicalChannelIdentitymulticast-r18    LogicalChannelIdentity,</w:t>
        </w:r>
      </w:ins>
    </w:p>
    <w:p w14:paraId="4E9FC6B9" w14:textId="77777777" w:rsidR="00EF781F" w:rsidRDefault="00EF781F" w:rsidP="00EF781F">
      <w:pPr>
        <w:pStyle w:val="PL"/>
        <w:rPr>
          <w:ins w:id="2103" w:author="Huawei, HiSilicon" w:date="2023-12-01T16:14:00Z"/>
        </w:rPr>
      </w:pPr>
      <w:ins w:id="2104" w:author="Huawei, HiSilicon" w:date="2023-12-01T16:14:00Z">
        <w:r>
          <w:t xml:space="preserve">        logicalChannelIdentityExt-r18          LogicalChannelIdentityExt-r17</w:t>
        </w:r>
      </w:ins>
    </w:p>
    <w:p w14:paraId="629773C8" w14:textId="77777777" w:rsidR="00EF781F" w:rsidRDefault="00EF781F" w:rsidP="00EF781F">
      <w:pPr>
        <w:pStyle w:val="PL"/>
        <w:rPr>
          <w:ins w:id="2105" w:author="Huawei, HiSilicon" w:date="2023-12-01T16:14:00Z"/>
          <w:lang w:eastAsia="zh-CN"/>
        </w:rPr>
      </w:pPr>
      <w:ins w:id="2106" w:author="Huawei, HiSilicon" w:date="2023-12-01T16:14:00Z">
        <w:r>
          <w:t xml:space="preserve">    </w:t>
        </w:r>
        <w:r>
          <w:rPr>
            <w:lang w:eastAsia="zh-CN"/>
          </w:rPr>
          <w:t>},</w:t>
        </w:r>
      </w:ins>
    </w:p>
    <w:p w14:paraId="6741B1EB" w14:textId="77777777" w:rsidR="00EF781F" w:rsidRDefault="00EF781F" w:rsidP="00EF781F">
      <w:pPr>
        <w:pStyle w:val="PL"/>
        <w:rPr>
          <w:ins w:id="2107" w:author="Huawei, HiSilicon" w:date="2023-12-01T16:14:00Z"/>
        </w:rPr>
      </w:pPr>
      <w:ins w:id="2108" w:author="Huawei, HiSilicon" w:date="2023-12-01T16:14:00Z">
        <w:r>
          <w:t xml:space="preserve">    sn-FieldLength-r18                   </w:t>
        </w:r>
        <w:r>
          <w:rPr>
            <w:color w:val="993366"/>
          </w:rPr>
          <w:t xml:space="preserve">ENUMERATED </w:t>
        </w:r>
        <w:r>
          <w:t>{size6, size12}</w:t>
        </w:r>
        <w:r>
          <w:rPr>
            <w:color w:val="993366"/>
          </w:rPr>
          <w:t>,</w:t>
        </w:r>
        <w:r>
          <w:t xml:space="preserve"> </w:t>
        </w:r>
      </w:ins>
    </w:p>
    <w:p w14:paraId="5E5384A6" w14:textId="77777777" w:rsidR="00EF781F" w:rsidRDefault="00EF781F" w:rsidP="00EF781F">
      <w:pPr>
        <w:pStyle w:val="PL"/>
        <w:rPr>
          <w:ins w:id="2109" w:author="Huawei, HiSilicon" w:date="2023-12-01T16:14:00Z"/>
        </w:rPr>
      </w:pPr>
      <w:ins w:id="2110" w:author="Huawei, HiSilicon" w:date="2023-12-01T16:14:00Z">
        <w:r>
          <w:t xml:space="preserve">    t-Reassembly-r18                     T-Reassembly                             </w:t>
        </w:r>
        <w:r>
          <w:rPr>
            <w:color w:val="993366"/>
          </w:rPr>
          <w:t>OPTIONAL</w:t>
        </w:r>
        <w:r>
          <w:t xml:space="preserve">  -- Need R</w:t>
        </w:r>
      </w:ins>
    </w:p>
    <w:p w14:paraId="4514ACF2" w14:textId="77777777" w:rsidR="00EF781F" w:rsidRDefault="00EF781F" w:rsidP="00EF781F">
      <w:pPr>
        <w:pStyle w:val="PL"/>
        <w:rPr>
          <w:ins w:id="2111" w:author="Huawei, HiSilicon" w:date="2023-12-01T16:14:00Z"/>
        </w:rPr>
      </w:pPr>
      <w:ins w:id="2112" w:author="Huawei, HiSilicon" w:date="2023-12-01T16:14:00Z">
        <w:r>
          <w:t>}</w:t>
        </w:r>
      </w:ins>
    </w:p>
    <w:p w14:paraId="453B952F" w14:textId="77777777" w:rsidR="00EF781F" w:rsidRDefault="00EF781F" w:rsidP="00EF781F">
      <w:pPr>
        <w:pStyle w:val="PL"/>
        <w:rPr>
          <w:ins w:id="2113" w:author="Huawei, HiSilicon" w:date="2023-11-02T14:40:00Z"/>
        </w:rPr>
      </w:pPr>
    </w:p>
    <w:p w14:paraId="19D6FAAD" w14:textId="77777777" w:rsidR="00EF781F" w:rsidRPr="008D7C7E" w:rsidRDefault="00EF781F" w:rsidP="00EF781F">
      <w:pPr>
        <w:pStyle w:val="PL"/>
        <w:rPr>
          <w:ins w:id="2114" w:author="Huawei, HiSilicon" w:date="2023-11-02T14:40:00Z"/>
          <w:color w:val="808080"/>
        </w:rPr>
      </w:pPr>
      <w:ins w:id="2115" w:author="Huawei, HiSilicon" w:date="2023-11-02T14:40:00Z">
        <w:r w:rsidRPr="008D7C7E">
          <w:rPr>
            <w:color w:val="808080"/>
          </w:rPr>
          <w:t>-- TAG-MBS-SESSIONINFOLISTMULTICAST-STOP</w:t>
        </w:r>
      </w:ins>
    </w:p>
    <w:p w14:paraId="675B8714" w14:textId="77777777" w:rsidR="00EF781F" w:rsidRPr="008D7C7E" w:rsidRDefault="00EF781F" w:rsidP="00EF781F">
      <w:pPr>
        <w:pStyle w:val="PL"/>
        <w:rPr>
          <w:ins w:id="2116" w:author="Huawei, HiSilicon" w:date="2023-11-02T14:40:00Z"/>
          <w:color w:val="808080"/>
        </w:rPr>
      </w:pPr>
      <w:ins w:id="2117" w:author="Huawei, HiSilicon" w:date="2023-11-02T14:40:00Z">
        <w:r w:rsidRPr="008D7C7E">
          <w:rPr>
            <w:color w:val="808080"/>
          </w:rPr>
          <w:t>-- ASN1STOP</w:t>
        </w:r>
      </w:ins>
    </w:p>
    <w:p w14:paraId="3D59E800" w14:textId="77777777" w:rsidR="00EF781F" w:rsidRDefault="00EF781F" w:rsidP="00EF781F">
      <w:pPr>
        <w:rPr>
          <w:ins w:id="2118" w:author="Huawei, HiSilicon" w:date="2023-11-02T14:40:00Z"/>
          <w:rFonts w:eastAsia="等线"/>
          <w:iCs/>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F781F" w14:paraId="7C431762" w14:textId="77777777" w:rsidTr="00EF781F">
        <w:trPr>
          <w:ins w:id="2119"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3D262AC2" w14:textId="77777777" w:rsidR="00EF781F" w:rsidRDefault="00EF781F">
            <w:pPr>
              <w:keepNext/>
              <w:keepLines/>
              <w:spacing w:after="0"/>
              <w:jc w:val="center"/>
              <w:rPr>
                <w:ins w:id="2120" w:author="Huawei, HiSilicon" w:date="2023-11-02T14:40:00Z"/>
                <w:rFonts w:ascii="Arial" w:hAnsi="Arial"/>
                <w:b/>
                <w:sz w:val="18"/>
                <w:lang w:eastAsia="sv-SE"/>
              </w:rPr>
            </w:pPr>
            <w:ins w:id="2121" w:author="Huawei, HiSilicon" w:date="2023-11-02T14:40:00Z">
              <w:r>
                <w:rPr>
                  <w:rFonts w:ascii="Arial" w:hAnsi="Arial"/>
                  <w:b/>
                  <w:i/>
                  <w:sz w:val="18"/>
                </w:rPr>
                <w:lastRenderedPageBreak/>
                <w:t>MBS-SessionInfoListMulticast</w:t>
              </w:r>
              <w:r>
                <w:rPr>
                  <w:rFonts w:ascii="Arial" w:hAnsi="Arial"/>
                  <w:b/>
                  <w:sz w:val="18"/>
                </w:rPr>
                <w:t xml:space="preserve"> </w:t>
              </w:r>
              <w:r>
                <w:rPr>
                  <w:rFonts w:ascii="Arial" w:hAnsi="Arial"/>
                  <w:b/>
                  <w:sz w:val="18"/>
                  <w:lang w:eastAsia="sv-SE"/>
                </w:rPr>
                <w:t>field descriptions</w:t>
              </w:r>
            </w:ins>
          </w:p>
        </w:tc>
      </w:tr>
      <w:tr w:rsidR="00EF781F" w14:paraId="47378D23" w14:textId="77777777" w:rsidTr="00EF781F">
        <w:trPr>
          <w:ins w:id="2122"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34E512AC" w14:textId="77777777" w:rsidR="00EF781F" w:rsidRDefault="00EF781F">
            <w:pPr>
              <w:keepNext/>
              <w:keepLines/>
              <w:spacing w:after="0"/>
              <w:rPr>
                <w:ins w:id="2123" w:author="Huawei, HiSilicon" w:date="2023-11-02T14:40:00Z"/>
                <w:rFonts w:ascii="Arial" w:hAnsi="Arial"/>
                <w:b/>
                <w:bCs/>
                <w:i/>
                <w:sz w:val="18"/>
                <w:lang w:eastAsia="en-GB"/>
              </w:rPr>
            </w:pPr>
            <w:ins w:id="2124" w:author="Huawei, HiSilicon" w:date="2023-11-02T14:40:00Z">
              <w:r>
                <w:rPr>
                  <w:rFonts w:ascii="Arial" w:hAnsi="Arial"/>
                  <w:b/>
                  <w:bCs/>
                  <w:i/>
                  <w:sz w:val="18"/>
                  <w:lang w:eastAsia="en-GB"/>
                </w:rPr>
                <w:t>g-RNTI</w:t>
              </w:r>
            </w:ins>
          </w:p>
          <w:p w14:paraId="530A24ED" w14:textId="77777777" w:rsidR="00EF781F" w:rsidRDefault="00EF781F">
            <w:pPr>
              <w:keepNext/>
              <w:keepLines/>
              <w:spacing w:after="0"/>
              <w:rPr>
                <w:ins w:id="2125" w:author="Huawei, HiSilicon" w:date="2023-11-02T14:40:00Z"/>
                <w:rFonts w:ascii="Arial" w:hAnsi="Arial"/>
                <w:b/>
                <w:bCs/>
                <w:i/>
                <w:sz w:val="18"/>
                <w:lang w:eastAsia="en-GB"/>
              </w:rPr>
            </w:pPr>
            <w:ins w:id="2126" w:author="Huawei, HiSilicon" w:date="2023-11-02T14:40:00Z">
              <w:r>
                <w:rPr>
                  <w:rFonts w:ascii="Arial" w:hAnsi="Arial"/>
                  <w:sz w:val="18"/>
                  <w:lang w:eastAsia="en-GB"/>
                </w:rPr>
                <w:t xml:space="preserve">G-RNTI used to </w:t>
              </w:r>
              <w:r>
                <w:rPr>
                  <w:rFonts w:ascii="Arial" w:hAnsi="Arial"/>
                  <w:sz w:val="18"/>
                </w:rPr>
                <w:t>scramble</w:t>
              </w:r>
              <w:r>
                <w:rPr>
                  <w:rFonts w:ascii="Arial" w:hAnsi="Arial"/>
                  <w:sz w:val="18"/>
                  <w:lang w:eastAsia="en-GB"/>
                </w:rPr>
                <w:t xml:space="preserve"> the scheduling and transmission of multicast MTCH. </w:t>
              </w:r>
            </w:ins>
          </w:p>
        </w:tc>
      </w:tr>
      <w:tr w:rsidR="00EF781F" w14:paraId="614BAEE4" w14:textId="77777777" w:rsidTr="00EF781F">
        <w:trPr>
          <w:ins w:id="2127"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392E46EA" w14:textId="77777777" w:rsidR="00EF781F" w:rsidRDefault="00EF781F">
            <w:pPr>
              <w:keepNext/>
              <w:keepLines/>
              <w:spacing w:after="0"/>
              <w:rPr>
                <w:ins w:id="2128" w:author="Huawei, HiSilicon" w:date="2023-11-02T14:40:00Z"/>
                <w:rFonts w:ascii="Arial" w:hAnsi="Arial"/>
                <w:b/>
                <w:i/>
                <w:sz w:val="18"/>
                <w:lang w:eastAsia="en-GB"/>
              </w:rPr>
            </w:pPr>
            <w:ins w:id="2129" w:author="Huawei, HiSilicon" w:date="2023-11-02T14:40:00Z">
              <w:r>
                <w:rPr>
                  <w:rFonts w:ascii="Arial" w:hAnsi="Arial"/>
                  <w:b/>
                  <w:i/>
                  <w:sz w:val="18"/>
                  <w:lang w:eastAsia="en-GB"/>
                </w:rPr>
                <w:t>mbs-SessionId</w:t>
              </w:r>
            </w:ins>
          </w:p>
          <w:p w14:paraId="3F63589F" w14:textId="77777777" w:rsidR="00EF781F" w:rsidRDefault="00EF781F">
            <w:pPr>
              <w:keepNext/>
              <w:keepLines/>
              <w:spacing w:after="0"/>
              <w:rPr>
                <w:ins w:id="2130" w:author="Huawei, HiSilicon" w:date="2023-11-02T14:40:00Z"/>
                <w:rFonts w:ascii="Arial" w:hAnsi="Arial"/>
                <w:b/>
                <w:bCs/>
                <w:i/>
                <w:sz w:val="18"/>
                <w:lang w:eastAsia="en-GB"/>
              </w:rPr>
            </w:pPr>
            <w:ins w:id="2131" w:author="Huawei, HiSilicon" w:date="2023-11-02T14:40:00Z">
              <w:r>
                <w:rPr>
                  <w:rFonts w:ascii="Arial" w:hAnsi="Arial"/>
                  <w:sz w:val="18"/>
                  <w:lang w:eastAsia="en-GB"/>
                </w:rPr>
                <w:t>Indicates an identifier of the MBS session to be received by the UE in RRC_INACTIVE.</w:t>
              </w:r>
            </w:ins>
          </w:p>
        </w:tc>
      </w:tr>
      <w:tr w:rsidR="00EF781F" w14:paraId="24ECA0C1" w14:textId="77777777" w:rsidTr="00EF781F">
        <w:trPr>
          <w:ins w:id="2132"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2F814695" w14:textId="77777777" w:rsidR="00EF781F" w:rsidRDefault="00EF781F">
            <w:pPr>
              <w:keepNext/>
              <w:keepLines/>
              <w:spacing w:after="0"/>
              <w:rPr>
                <w:ins w:id="2133" w:author="Huawei, HiSilicon" w:date="2023-11-02T14:40:00Z"/>
                <w:rFonts w:ascii="Arial" w:hAnsi="Arial"/>
                <w:b/>
                <w:bCs/>
                <w:i/>
                <w:iCs/>
                <w:sz w:val="18"/>
                <w:lang w:eastAsia="en-GB"/>
              </w:rPr>
            </w:pPr>
            <w:ins w:id="2134" w:author="Huawei, HiSilicon" w:date="2023-11-02T14:40:00Z">
              <w:r>
                <w:rPr>
                  <w:rFonts w:ascii="Arial" w:hAnsi="Arial"/>
                  <w:b/>
                  <w:bCs/>
                  <w:i/>
                  <w:iCs/>
                  <w:sz w:val="18"/>
                  <w:lang w:eastAsia="en-GB"/>
                </w:rPr>
                <w:t>mrb-</w:t>
              </w:r>
              <w:r>
                <w:rPr>
                  <w:rFonts w:ascii="Arial" w:hAnsi="Arial"/>
                  <w:b/>
                  <w:i/>
                  <w:sz w:val="18"/>
                  <w:lang w:eastAsia="en-GB"/>
                </w:rPr>
                <w:t>listMulticast</w:t>
              </w:r>
            </w:ins>
          </w:p>
          <w:p w14:paraId="0D7D8F3C" w14:textId="77777777" w:rsidR="00EF781F" w:rsidRDefault="00EF781F">
            <w:pPr>
              <w:keepNext/>
              <w:keepLines/>
              <w:spacing w:after="0"/>
              <w:rPr>
                <w:ins w:id="2135" w:author="Huawei, HiSilicon" w:date="2023-11-02T14:40:00Z"/>
                <w:rFonts w:ascii="Arial" w:hAnsi="Arial"/>
                <w:b/>
                <w:bCs/>
                <w:i/>
                <w:sz w:val="18"/>
                <w:lang w:eastAsia="en-GB"/>
              </w:rPr>
            </w:pPr>
            <w:ins w:id="2136" w:author="Huawei, HiSilicon" w:date="2023-11-02T14:40:00Z">
              <w:r>
                <w:rPr>
                  <w:rFonts w:ascii="Arial" w:hAnsi="Arial"/>
                  <w:sz w:val="18"/>
                  <w:lang w:eastAsia="en-GB"/>
                </w:rPr>
                <w:t>A list of multicast MRBs to which the associated MBS multicast session is mapped to.</w:t>
              </w:r>
            </w:ins>
          </w:p>
        </w:tc>
      </w:tr>
      <w:tr w:rsidR="00EF781F" w14:paraId="01D26771" w14:textId="77777777" w:rsidTr="00EF781F">
        <w:trPr>
          <w:ins w:id="2137"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24DFC92F" w14:textId="77777777" w:rsidR="00EF781F" w:rsidRDefault="00EF781F">
            <w:pPr>
              <w:keepNext/>
              <w:keepLines/>
              <w:spacing w:after="0"/>
              <w:rPr>
                <w:ins w:id="2138" w:author="Huawei, HiSilicon" w:date="2023-11-02T14:40:00Z"/>
                <w:rFonts w:ascii="Arial" w:hAnsi="Arial"/>
                <w:b/>
                <w:bCs/>
                <w:i/>
                <w:sz w:val="18"/>
                <w:lang w:eastAsia="zh-CN"/>
              </w:rPr>
            </w:pPr>
            <w:ins w:id="2139" w:author="Huawei, HiSilicon" w:date="2023-11-02T14:40:00Z">
              <w:r>
                <w:rPr>
                  <w:rFonts w:ascii="Arial" w:hAnsi="Arial"/>
                  <w:b/>
                  <w:bCs/>
                  <w:i/>
                  <w:sz w:val="18"/>
                </w:rPr>
                <w:t>mtch-</w:t>
              </w:r>
              <w:r>
                <w:rPr>
                  <w:rFonts w:ascii="Arial" w:hAnsi="Arial"/>
                  <w:b/>
                  <w:i/>
                  <w:sz w:val="18"/>
                  <w:lang w:eastAsia="en-GB"/>
                </w:rPr>
                <w:t>neighbourCell</w:t>
              </w:r>
            </w:ins>
          </w:p>
          <w:p w14:paraId="3835C4F9" w14:textId="77777777" w:rsidR="00EF781F" w:rsidRDefault="00EF781F">
            <w:pPr>
              <w:keepNext/>
              <w:keepLines/>
              <w:spacing w:after="0"/>
              <w:rPr>
                <w:ins w:id="2140" w:author="Huawei, HiSilicon" w:date="2023-11-02T14:40:00Z"/>
                <w:rFonts w:ascii="Arial" w:hAnsi="Arial"/>
                <w:b/>
                <w:i/>
                <w:iCs/>
                <w:sz w:val="18"/>
                <w:lang w:eastAsia="en-GB"/>
              </w:rPr>
            </w:pPr>
            <w:ins w:id="2141" w:author="Huawei, HiSilicon" w:date="2023-11-02T14:40:00Z">
              <w:r>
                <w:rPr>
                  <w:rFonts w:ascii="Arial" w:hAnsi="Arial"/>
                  <w:sz w:val="18"/>
                </w:rPr>
                <w:t xml:space="preserve">Indicates neighbour cells which provide this service on MTCH for RRC_INACTIVE. The first bit is set to 1 if the service is provided on MTCH in the first cell in </w:t>
              </w:r>
              <w:r>
                <w:rPr>
                  <w:rFonts w:ascii="Arial" w:hAnsi="Arial"/>
                  <w:i/>
                  <w:sz w:val="18"/>
                </w:rPr>
                <w:t>mbs-NeighbourCellList</w:t>
              </w:r>
              <w:r>
                <w:rPr>
                  <w:rFonts w:ascii="Arial" w:hAnsi="Arial"/>
                  <w:sz w:val="18"/>
                </w:rPr>
                <w:t xml:space="preserve">, otherwise it is set to 0. The second bit is set to 1 if the service is provided on MTCH in the second cell in </w:t>
              </w:r>
              <w:r>
                <w:rPr>
                  <w:rFonts w:ascii="Arial" w:hAnsi="Arial"/>
                  <w:i/>
                  <w:sz w:val="18"/>
                </w:rPr>
                <w:t>mbs-NeighbourCellList</w:t>
              </w:r>
              <w:r>
                <w:rPr>
                  <w:rFonts w:ascii="Arial" w:hAnsi="Arial"/>
                  <w:sz w:val="18"/>
                </w:rPr>
                <w:t xml:space="preserve">, and so on. If the service is not available in any neighbouring cell and </w:t>
              </w:r>
              <w:r>
                <w:rPr>
                  <w:rFonts w:ascii="Arial" w:hAnsi="Arial"/>
                  <w:i/>
                  <w:sz w:val="18"/>
                </w:rPr>
                <w:t>mbs-NeighbourCellList</w:t>
              </w:r>
              <w:r>
                <w:rPr>
                  <w:rFonts w:ascii="Arial" w:hAnsi="Arial"/>
                  <w:sz w:val="18"/>
                </w:rPr>
                <w:t xml:space="preserve"> is signalled, the network sets all bits in this field to 0. The field is absent when </w:t>
              </w:r>
              <w:r>
                <w:rPr>
                  <w:rFonts w:ascii="Arial" w:hAnsi="Arial"/>
                  <w:i/>
                  <w:iCs/>
                  <w:sz w:val="18"/>
                </w:rPr>
                <w:t>mbs-NeighbourCellList</w:t>
              </w:r>
              <w:r>
                <w:rPr>
                  <w:rFonts w:ascii="Arial" w:hAnsi="Arial"/>
                  <w:sz w:val="18"/>
                </w:rPr>
                <w:t xml:space="preserve"> is absent or an empty </w:t>
              </w:r>
              <w:r>
                <w:rPr>
                  <w:rFonts w:ascii="Arial" w:hAnsi="Arial"/>
                  <w:i/>
                  <w:iCs/>
                  <w:sz w:val="18"/>
                </w:rPr>
                <w:t>mbs-NeighbourCellList</w:t>
              </w:r>
              <w:r>
                <w:rPr>
                  <w:rFonts w:ascii="Arial" w:hAnsi="Arial"/>
                  <w:sz w:val="18"/>
                </w:rPr>
                <w:t xml:space="preserve"> is signalled.</w:t>
              </w:r>
              <w:r>
                <w:rPr>
                  <w:rFonts w:ascii="Arial" w:eastAsia="宋体" w:hAnsi="Arial"/>
                  <w:sz w:val="18"/>
                  <w:lang w:eastAsia="zh-CN"/>
                </w:rPr>
                <w:t xml:space="preserve"> </w:t>
              </w:r>
              <w:r>
                <w:rPr>
                  <w:rFonts w:ascii="Arial" w:hAnsi="Arial"/>
                  <w:sz w:val="18"/>
                </w:rPr>
                <w:t>If this field is absent</w:t>
              </w:r>
              <w:r>
                <w:rPr>
                  <w:rFonts w:ascii="Arial" w:eastAsia="宋体" w:hAnsi="Arial"/>
                  <w:sz w:val="18"/>
                  <w:lang w:eastAsia="zh-CN"/>
                </w:rPr>
                <w:t xml:space="preserve"> when </w:t>
              </w:r>
              <w:r>
                <w:rPr>
                  <w:rFonts w:ascii="Arial" w:eastAsia="宋体" w:hAnsi="Arial"/>
                  <w:i/>
                  <w:iCs/>
                  <w:sz w:val="18"/>
                  <w:lang w:eastAsia="zh-CN"/>
                </w:rPr>
                <w:t>mbs-NeighbourCellList</w:t>
              </w:r>
              <w:r>
                <w:rPr>
                  <w:rFonts w:ascii="Arial" w:eastAsia="宋体" w:hAnsi="Arial"/>
                  <w:sz w:val="18"/>
                  <w:lang w:eastAsia="zh-CN"/>
                </w:rPr>
                <w:t xml:space="preserve"> is absent or a non-empty </w:t>
              </w:r>
              <w:r>
                <w:rPr>
                  <w:rFonts w:ascii="Arial" w:eastAsia="宋体" w:hAnsi="Arial"/>
                  <w:i/>
                  <w:iCs/>
                  <w:sz w:val="18"/>
                  <w:lang w:eastAsia="zh-CN"/>
                </w:rPr>
                <w:t>mbs-NeighbourCellList</w:t>
              </w:r>
              <w:r>
                <w:rPr>
                  <w:rFonts w:ascii="Arial" w:eastAsia="宋体" w:hAnsi="Arial"/>
                  <w:sz w:val="18"/>
                  <w:lang w:eastAsia="zh-CN"/>
                </w:rPr>
                <w:t xml:space="preserve"> is signalled</w:t>
              </w:r>
              <w:r>
                <w:rPr>
                  <w:rFonts w:ascii="Arial" w:hAnsi="Arial"/>
                  <w:sz w:val="18"/>
                </w:rPr>
                <w:t>, the related service may or may not be available in any neighbouring cell,</w:t>
              </w:r>
              <w:r>
                <w:rPr>
                  <w:rFonts w:ascii="Arial" w:hAnsi="Arial"/>
                  <w:sz w:val="18"/>
                  <w:lang w:eastAsia="en-GB"/>
                </w:rPr>
                <w:t xml:space="preserve"> i.e. the UE cannot determine the presence or absence of an MBS service in neighbouring cells based on the absence of this field. If this field is absent and an empty </w:t>
              </w:r>
              <w:r>
                <w:rPr>
                  <w:rFonts w:ascii="Arial" w:hAnsi="Arial"/>
                  <w:i/>
                  <w:iCs/>
                  <w:sz w:val="18"/>
                  <w:lang w:eastAsia="en-GB"/>
                </w:rPr>
                <w:t>mbs-NeighbourCellList</w:t>
              </w:r>
              <w:r>
                <w:rPr>
                  <w:rFonts w:ascii="Arial" w:hAnsi="Arial"/>
                  <w:sz w:val="18"/>
                  <w:lang w:eastAsia="en-GB"/>
                </w:rPr>
                <w:t xml:space="preserve"> is signalled, then the UE shall assume that MBS multicast services signalled in </w:t>
              </w:r>
              <w:r>
                <w:rPr>
                  <w:rFonts w:ascii="Arial" w:hAnsi="Arial"/>
                  <w:i/>
                  <w:iCs/>
                  <w:sz w:val="18"/>
                  <w:lang w:eastAsia="en-GB"/>
                </w:rPr>
                <w:t>mbs-SessionInfoListMulticast</w:t>
              </w:r>
              <w:r>
                <w:rPr>
                  <w:rFonts w:ascii="Arial" w:hAnsi="Arial"/>
                  <w:sz w:val="18"/>
                  <w:lang w:eastAsia="en-GB"/>
                </w:rPr>
                <w:t xml:space="preserve"> in the </w:t>
              </w:r>
              <w:r>
                <w:rPr>
                  <w:rFonts w:ascii="Arial" w:hAnsi="Arial"/>
                  <w:i/>
                  <w:iCs/>
                  <w:sz w:val="18"/>
                  <w:lang w:eastAsia="en-GB"/>
                </w:rPr>
                <w:t>MBSMulticastConfiguration</w:t>
              </w:r>
              <w:r>
                <w:rPr>
                  <w:rFonts w:ascii="Arial" w:hAnsi="Arial"/>
                  <w:sz w:val="18"/>
                  <w:lang w:eastAsia="en-GB"/>
                </w:rPr>
                <w:t xml:space="preserve"> message are not provided in any neighbour cell.</w:t>
              </w:r>
            </w:ins>
          </w:p>
        </w:tc>
      </w:tr>
      <w:tr w:rsidR="00EF781F" w14:paraId="13F6C2D4" w14:textId="77777777" w:rsidTr="00EF781F">
        <w:trPr>
          <w:ins w:id="2142"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7FD70B80" w14:textId="77777777" w:rsidR="00EF781F" w:rsidRDefault="00EF781F">
            <w:pPr>
              <w:keepNext/>
              <w:keepLines/>
              <w:spacing w:after="0"/>
              <w:rPr>
                <w:ins w:id="2143" w:author="Huawei, HiSilicon" w:date="2023-11-02T14:40:00Z"/>
                <w:rFonts w:ascii="Arial" w:hAnsi="Arial"/>
                <w:b/>
                <w:bCs/>
                <w:i/>
                <w:iCs/>
                <w:sz w:val="18"/>
                <w:lang w:eastAsia="en-GB"/>
              </w:rPr>
            </w:pPr>
            <w:ins w:id="2144" w:author="Huawei, HiSilicon" w:date="2023-11-02T14:40:00Z">
              <w:r>
                <w:rPr>
                  <w:rFonts w:ascii="Arial" w:hAnsi="Arial"/>
                  <w:b/>
                  <w:bCs/>
                  <w:i/>
                  <w:iCs/>
                  <w:sz w:val="18"/>
                  <w:lang w:eastAsia="en-GB"/>
                </w:rPr>
                <w:t>mtch-</w:t>
              </w:r>
              <w:r>
                <w:rPr>
                  <w:rFonts w:ascii="Arial" w:hAnsi="Arial"/>
                  <w:b/>
                  <w:i/>
                  <w:sz w:val="18"/>
                  <w:lang w:eastAsia="en-GB"/>
                </w:rPr>
                <w:t>schedulingInfo</w:t>
              </w:r>
            </w:ins>
          </w:p>
          <w:p w14:paraId="77E12935" w14:textId="77777777" w:rsidR="00EF781F" w:rsidRDefault="00EF781F">
            <w:pPr>
              <w:keepNext/>
              <w:keepLines/>
              <w:spacing w:after="0"/>
              <w:rPr>
                <w:ins w:id="2145" w:author="Huawei, HiSilicon" w:date="2023-11-02T14:40:00Z"/>
                <w:rFonts w:ascii="Arial" w:hAnsi="Arial"/>
                <w:b/>
                <w:bCs/>
                <w:i/>
                <w:sz w:val="18"/>
                <w:lang w:eastAsia="en-GB"/>
              </w:rPr>
            </w:pPr>
            <w:ins w:id="2146" w:author="Huawei, HiSilicon" w:date="2023-11-02T14:40:00Z">
              <w:r>
                <w:rPr>
                  <w:rFonts w:ascii="Arial" w:hAnsi="Arial" w:cs="Arial"/>
                  <w:sz w:val="18"/>
                  <w:szCs w:val="18"/>
                  <w:lang w:eastAsia="en-GB"/>
                </w:rPr>
                <w:t>Indicates the index of DRX configuration entry in</w:t>
              </w:r>
              <w:r>
                <w:rPr>
                  <w:rFonts w:ascii="Arial" w:hAnsi="Arial" w:cs="Arial"/>
                  <w:sz w:val="18"/>
                  <w:szCs w:val="18"/>
                  <w:lang w:eastAsia="sv-SE"/>
                </w:rPr>
                <w:t xml:space="preserve"> </w:t>
              </w:r>
              <w:r>
                <w:rPr>
                  <w:rFonts w:ascii="Arial" w:hAnsi="Arial" w:cs="Arial"/>
                  <w:i/>
                  <w:sz w:val="18"/>
                  <w:szCs w:val="18"/>
                  <w:lang w:eastAsia="sv-SE"/>
                </w:rPr>
                <w:t>drx-ConfigPTM-List</w:t>
              </w:r>
              <w:r>
                <w:rPr>
                  <w:rFonts w:ascii="Arial" w:hAnsi="Arial" w:cs="Arial"/>
                  <w:sz w:val="18"/>
                  <w:szCs w:val="18"/>
                  <w:lang w:eastAsia="sv-SE"/>
                </w:rPr>
                <w:t xml:space="preserve"> that is used for scheduling the MTCH. </w:t>
              </w:r>
              <w:r>
                <w:rPr>
                  <w:rFonts w:ascii="Arial" w:hAnsi="Arial" w:cs="Arial"/>
                  <w:sz w:val="18"/>
                  <w:szCs w:val="18"/>
                  <w:lang w:eastAsia="en-GB"/>
                </w:rPr>
                <w:t xml:space="preserve">The value 0 corresponds to the first entry in </w:t>
              </w:r>
              <w:r>
                <w:rPr>
                  <w:rFonts w:ascii="Arial" w:hAnsi="Arial" w:cs="Arial"/>
                  <w:i/>
                  <w:sz w:val="18"/>
                  <w:szCs w:val="18"/>
                  <w:lang w:eastAsia="en-GB"/>
                </w:rPr>
                <w:t>drx-ConfigPTM-List</w:t>
              </w:r>
              <w:r>
                <w:rPr>
                  <w:rFonts w:ascii="Arial" w:hAnsi="Arial" w:cs="Arial"/>
                  <w:sz w:val="18"/>
                  <w:szCs w:val="18"/>
                  <w:lang w:eastAsia="en-GB"/>
                </w:rPr>
                <w:t>, the value 1 corresponds to the second entry in</w:t>
              </w:r>
              <w:r>
                <w:rPr>
                  <w:rFonts w:ascii="Arial" w:hAnsi="Arial" w:cs="Arial"/>
                  <w:sz w:val="18"/>
                  <w:szCs w:val="18"/>
                  <w:lang w:eastAsia="sv-SE"/>
                </w:rPr>
                <w:t xml:space="preserve"> </w:t>
              </w:r>
              <w:r>
                <w:rPr>
                  <w:rFonts w:ascii="Arial" w:hAnsi="Arial" w:cs="Arial"/>
                  <w:i/>
                  <w:sz w:val="18"/>
                  <w:szCs w:val="18"/>
                  <w:lang w:eastAsia="sv-SE"/>
                </w:rPr>
                <w:t>drx-ConfigPTM-List</w:t>
              </w:r>
              <w:r>
                <w:rPr>
                  <w:rFonts w:ascii="Arial" w:hAnsi="Arial" w:cs="Arial"/>
                  <w:sz w:val="18"/>
                  <w:szCs w:val="18"/>
                  <w:lang w:eastAsia="sv-SE"/>
                </w:rPr>
                <w:t xml:space="preserve"> and so on.</w:t>
              </w:r>
              <w:r>
                <w:rPr>
                  <w:rFonts w:ascii="Arial" w:hAnsi="Arial" w:cs="Arial"/>
                  <w:sz w:val="18"/>
                  <w:szCs w:val="18"/>
                  <w:lang w:eastAsia="en-GB"/>
                </w:rPr>
                <w:t xml:space="preserve"> In case </w:t>
              </w:r>
              <w:r>
                <w:rPr>
                  <w:rFonts w:ascii="Arial" w:hAnsi="Arial" w:cs="Arial"/>
                  <w:i/>
                  <w:sz w:val="18"/>
                  <w:szCs w:val="18"/>
                  <w:lang w:eastAsia="en-GB"/>
                </w:rPr>
                <w:t>mtch-schedulingInfo</w:t>
              </w:r>
              <w:r>
                <w:rPr>
                  <w:rFonts w:ascii="Arial" w:hAnsi="Arial" w:cs="Arial"/>
                  <w:sz w:val="18"/>
                  <w:szCs w:val="18"/>
                  <w:lang w:eastAsia="en-GB"/>
                </w:rPr>
                <w:t xml:space="preserve"> is absent for a G-RNTI (i.e. no PTM DRX), the UE shall monitor for PDCCH scrambled with G-RNTI in any slot according to the search space configured for MTCH.</w:t>
              </w:r>
            </w:ins>
          </w:p>
        </w:tc>
      </w:tr>
      <w:tr w:rsidR="00EF781F" w14:paraId="5E2628A6" w14:textId="77777777" w:rsidTr="00EF781F">
        <w:trPr>
          <w:ins w:id="2147"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7C9CFA21" w14:textId="77777777" w:rsidR="00EF781F" w:rsidRDefault="00EF781F">
            <w:pPr>
              <w:keepNext/>
              <w:keepLines/>
              <w:spacing w:after="0"/>
              <w:rPr>
                <w:ins w:id="2148" w:author="Huawei, HiSilicon" w:date="2023-11-02T14:40:00Z"/>
                <w:rFonts w:ascii="Arial" w:hAnsi="Arial"/>
                <w:b/>
                <w:bCs/>
                <w:i/>
                <w:iCs/>
                <w:sz w:val="18"/>
                <w:lang w:eastAsia="en-GB"/>
              </w:rPr>
            </w:pPr>
            <w:ins w:id="2149" w:author="Huawei, HiSilicon" w:date="2023-11-02T14:40:00Z">
              <w:r>
                <w:rPr>
                  <w:rFonts w:ascii="Arial" w:hAnsi="Arial"/>
                  <w:b/>
                  <w:bCs/>
                  <w:i/>
                  <w:iCs/>
                  <w:sz w:val="18"/>
                  <w:lang w:eastAsia="en-GB"/>
                </w:rPr>
                <w:t>mtch-SSB-MappingWindowIndex</w:t>
              </w:r>
            </w:ins>
          </w:p>
          <w:p w14:paraId="2D34D041" w14:textId="77777777" w:rsidR="00EF781F" w:rsidRDefault="00EF781F">
            <w:pPr>
              <w:keepNext/>
              <w:keepLines/>
              <w:spacing w:after="0"/>
              <w:rPr>
                <w:ins w:id="2150" w:author="Huawei, HiSilicon" w:date="2023-11-02T14:40:00Z"/>
                <w:rFonts w:ascii="Arial" w:hAnsi="Arial"/>
                <w:bCs/>
                <w:iCs/>
                <w:sz w:val="18"/>
                <w:lang w:eastAsia="en-GB"/>
              </w:rPr>
            </w:pPr>
            <w:ins w:id="2151" w:author="Huawei, HiSilicon" w:date="2023-11-02T14:40:00Z">
              <w:r>
                <w:rPr>
                  <w:rFonts w:ascii="Arial" w:hAnsi="Arial"/>
                  <w:bCs/>
                  <w:iCs/>
                  <w:sz w:val="18"/>
                  <w:lang w:eastAsia="en-GB"/>
                </w:rPr>
                <w:t xml:space="preserve">Indicates the index of </w:t>
              </w:r>
              <w:r>
                <w:rPr>
                  <w:rFonts w:ascii="Arial" w:hAnsi="Arial"/>
                  <w:i/>
                  <w:iCs/>
                  <w:sz w:val="18"/>
                </w:rPr>
                <w:t>MTCH-SSB-MappingWindowCycleOffset</w:t>
              </w:r>
              <w:r>
                <w:rPr>
                  <w:rFonts w:ascii="Arial" w:hAnsi="Arial"/>
                  <w:sz w:val="18"/>
                </w:rPr>
                <w:t xml:space="preserve"> configuration entry in </w:t>
              </w:r>
              <w:r>
                <w:rPr>
                  <w:rFonts w:ascii="Arial" w:hAnsi="Arial"/>
                  <w:i/>
                  <w:sz w:val="18"/>
                </w:rPr>
                <w:t>MTCH-SSB-MappingWindowList</w:t>
              </w:r>
              <w:r>
                <w:rPr>
                  <w:rFonts w:ascii="Arial" w:hAnsi="Arial"/>
                  <w:sz w:val="18"/>
                </w:rPr>
                <w:t xml:space="preserve">. </w:t>
              </w:r>
              <w:r>
                <w:rPr>
                  <w:rFonts w:ascii="Arial" w:hAnsi="Arial" w:cs="Arial"/>
                  <w:sz w:val="18"/>
                  <w:szCs w:val="18"/>
                  <w:lang w:eastAsia="en-GB"/>
                </w:rPr>
                <w:t xml:space="preserve">The value 0 corresponds to the first entry in </w:t>
              </w:r>
              <w:r>
                <w:rPr>
                  <w:rFonts w:ascii="Arial" w:hAnsi="Arial"/>
                  <w:i/>
                  <w:sz w:val="18"/>
                </w:rPr>
                <w:t>MTCH-SSB-MappingWindowList</w:t>
              </w:r>
              <w:r>
                <w:rPr>
                  <w:rFonts w:ascii="Arial" w:hAnsi="Arial" w:cs="Arial"/>
                  <w:sz w:val="18"/>
                  <w:szCs w:val="18"/>
                  <w:lang w:eastAsia="en-GB"/>
                </w:rPr>
                <w:t>, the value 1 corresponds to the second entry in</w:t>
              </w:r>
              <w:r>
                <w:rPr>
                  <w:rFonts w:ascii="Arial" w:hAnsi="Arial" w:cs="Arial"/>
                  <w:sz w:val="18"/>
                  <w:szCs w:val="18"/>
                  <w:lang w:eastAsia="sv-SE"/>
                </w:rPr>
                <w:t xml:space="preserve"> </w:t>
              </w:r>
              <w:r>
                <w:rPr>
                  <w:rFonts w:ascii="Arial" w:hAnsi="Arial"/>
                  <w:i/>
                  <w:sz w:val="18"/>
                </w:rPr>
                <w:t>MTCH-SSB-MappingWindowList</w:t>
              </w:r>
              <w:r>
                <w:rPr>
                  <w:rFonts w:ascii="Arial" w:hAnsi="Arial" w:cs="Arial"/>
                  <w:i/>
                  <w:sz w:val="18"/>
                  <w:szCs w:val="18"/>
                  <w:lang w:eastAsia="sv-SE"/>
                </w:rPr>
                <w:t xml:space="preserve"> </w:t>
              </w:r>
              <w:r>
                <w:rPr>
                  <w:rFonts w:ascii="Arial" w:hAnsi="Arial" w:cs="Arial"/>
                  <w:sz w:val="18"/>
                  <w:szCs w:val="18"/>
                  <w:lang w:eastAsia="sv-SE"/>
                </w:rPr>
                <w:t>and so on. This field is set to the same value for all MBS sessions mapped to the same G-RNTI.</w:t>
              </w:r>
            </w:ins>
          </w:p>
        </w:tc>
      </w:tr>
      <w:tr w:rsidR="00EF781F" w14:paraId="251FA430" w14:textId="77777777" w:rsidTr="00EF781F">
        <w:trPr>
          <w:ins w:id="2152" w:author="Huawei, HiSilicon" w:date="2023-12-01T16:15:00Z"/>
        </w:trPr>
        <w:tc>
          <w:tcPr>
            <w:tcW w:w="14173" w:type="dxa"/>
            <w:tcBorders>
              <w:top w:val="single" w:sz="4" w:space="0" w:color="auto"/>
              <w:left w:val="single" w:sz="4" w:space="0" w:color="auto"/>
              <w:bottom w:val="single" w:sz="4" w:space="0" w:color="auto"/>
              <w:right w:val="single" w:sz="4" w:space="0" w:color="auto"/>
            </w:tcBorders>
            <w:hideMark/>
          </w:tcPr>
          <w:p w14:paraId="78F25CBD" w14:textId="77777777" w:rsidR="00EF781F" w:rsidRDefault="00EF781F">
            <w:pPr>
              <w:keepNext/>
              <w:keepLines/>
              <w:spacing w:after="0"/>
              <w:rPr>
                <w:ins w:id="2153" w:author="Huawei, HiSilicon" w:date="2023-12-01T16:15:00Z"/>
                <w:rFonts w:ascii="Arial" w:hAnsi="Arial" w:cs="Arial"/>
                <w:b/>
                <w:bCs/>
                <w:sz w:val="18"/>
                <w:szCs w:val="18"/>
                <w:lang w:eastAsia="en-GB"/>
              </w:rPr>
            </w:pPr>
            <w:ins w:id="2154" w:author="Huawei, HiSilicon" w:date="2023-12-01T16:15:00Z">
              <w:r>
                <w:rPr>
                  <w:rFonts w:ascii="Arial" w:hAnsi="Arial" w:cs="Arial"/>
                  <w:b/>
                  <w:bCs/>
                  <w:i/>
                  <w:sz w:val="18"/>
                  <w:szCs w:val="18"/>
                  <w:lang w:eastAsia="en-GB"/>
                </w:rPr>
                <w:t>pdcp-SN-SizeDL</w:t>
              </w:r>
            </w:ins>
          </w:p>
          <w:p w14:paraId="04DCC935" w14:textId="77777777" w:rsidR="00EF781F" w:rsidRDefault="00EF781F">
            <w:pPr>
              <w:keepNext/>
              <w:keepLines/>
              <w:spacing w:after="0"/>
              <w:rPr>
                <w:ins w:id="2155" w:author="Huawei, HiSilicon" w:date="2023-12-01T16:15:00Z"/>
                <w:rFonts w:ascii="Arial" w:hAnsi="Arial"/>
                <w:b/>
                <w:bCs/>
                <w:i/>
                <w:iCs/>
                <w:sz w:val="18"/>
                <w:lang w:eastAsia="en-GB"/>
              </w:rPr>
            </w:pPr>
            <w:ins w:id="2156" w:author="Huawei, HiSilicon" w:date="2023-12-01T16:15:00Z">
              <w:r>
                <w:rPr>
                  <w:rFonts w:ascii="Arial" w:hAnsi="Arial" w:cs="Arial"/>
                  <w:sz w:val="18"/>
                  <w:szCs w:val="18"/>
                </w:rPr>
                <w:t xml:space="preserve">Indicates PDCP sequence number size of 12 </w:t>
              </w:r>
              <w:r>
                <w:rPr>
                  <w:rFonts w:ascii="Arial" w:hAnsi="Arial" w:cs="Arial"/>
                  <w:sz w:val="18"/>
                  <w:szCs w:val="18"/>
                  <w:lang w:eastAsia="zh-CN"/>
                </w:rPr>
                <w:t xml:space="preserve">or </w:t>
              </w:r>
              <w:r>
                <w:rPr>
                  <w:rFonts w:ascii="Arial" w:hAnsi="Arial" w:cs="Arial"/>
                  <w:sz w:val="18"/>
                  <w:szCs w:val="18"/>
                </w:rPr>
                <w:t>18 bits, as specified in TS 38.323 [5].</w:t>
              </w:r>
            </w:ins>
          </w:p>
        </w:tc>
      </w:tr>
      <w:tr w:rsidR="00EF781F" w14:paraId="01777540" w14:textId="77777777" w:rsidTr="00EF781F">
        <w:trPr>
          <w:trHeight w:val="693"/>
          <w:ins w:id="2157"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49EA862D" w14:textId="77777777" w:rsidR="00EF781F" w:rsidRDefault="00EF781F">
            <w:pPr>
              <w:keepNext/>
              <w:keepLines/>
              <w:spacing w:after="0"/>
              <w:rPr>
                <w:ins w:id="2158" w:author="Huawei, HiSilicon" w:date="2023-11-02T14:40:00Z"/>
                <w:rFonts w:ascii="Arial" w:hAnsi="Arial"/>
                <w:b/>
                <w:bCs/>
                <w:i/>
                <w:iCs/>
                <w:sz w:val="18"/>
                <w:lang w:eastAsia="en-GB"/>
              </w:rPr>
            </w:pPr>
            <w:ins w:id="2159" w:author="Huawei, HiSilicon" w:date="2023-11-02T14:40:00Z">
              <w:r>
                <w:rPr>
                  <w:rFonts w:ascii="Arial" w:hAnsi="Arial"/>
                  <w:b/>
                  <w:bCs/>
                  <w:i/>
                  <w:sz w:val="18"/>
                  <w:lang w:eastAsia="en-GB"/>
                </w:rPr>
                <w:t>pdschConfigIndex</w:t>
              </w:r>
            </w:ins>
          </w:p>
          <w:p w14:paraId="452A43CA" w14:textId="77777777" w:rsidR="00EF781F" w:rsidRDefault="00EF781F">
            <w:pPr>
              <w:keepNext/>
              <w:keepLines/>
              <w:spacing w:after="0"/>
              <w:rPr>
                <w:ins w:id="2160" w:author="Huawei, HiSilicon" w:date="2023-11-02T14:40:00Z"/>
                <w:rFonts w:ascii="Arial" w:hAnsi="Arial"/>
                <w:b/>
                <w:i/>
                <w:sz w:val="18"/>
                <w:lang w:eastAsia="en-GB"/>
              </w:rPr>
            </w:pPr>
            <w:ins w:id="2161" w:author="Huawei, HiSilicon" w:date="2023-11-02T14:40:00Z">
              <w:r>
                <w:rPr>
                  <w:rFonts w:ascii="Arial" w:hAnsi="Arial"/>
                  <w:sz w:val="18"/>
                </w:rPr>
                <w:t xml:space="preserve">Indicates the index of PDSCH configuration entry in </w:t>
              </w:r>
              <w:r>
                <w:rPr>
                  <w:rFonts w:ascii="Arial" w:hAnsi="Arial"/>
                  <w:i/>
                  <w:sz w:val="18"/>
                </w:rPr>
                <w:t>pdschConfigList</w:t>
              </w:r>
              <w:r>
                <w:rPr>
                  <w:rFonts w:ascii="Arial" w:hAnsi="Arial"/>
                  <w:sz w:val="18"/>
                </w:rPr>
                <w:t xml:space="preserve"> for MTCH. Value 0 corresponds to the first entry in </w:t>
              </w:r>
              <w:r>
                <w:rPr>
                  <w:rFonts w:ascii="Arial" w:hAnsi="Arial"/>
                  <w:i/>
                  <w:sz w:val="18"/>
                </w:rPr>
                <w:t>pdschConfigList</w:t>
              </w:r>
              <w:r>
                <w:rPr>
                  <w:rFonts w:ascii="Arial" w:hAnsi="Arial"/>
                  <w:sz w:val="18"/>
                </w:rPr>
                <w:t xml:space="preserve">, the value 1 corresponds to the second entry in </w:t>
              </w:r>
              <w:r>
                <w:rPr>
                  <w:rFonts w:ascii="Arial" w:hAnsi="Arial"/>
                  <w:i/>
                  <w:sz w:val="18"/>
                </w:rPr>
                <w:t>pdschConfigList</w:t>
              </w:r>
              <w:r>
                <w:rPr>
                  <w:rFonts w:ascii="Arial" w:hAnsi="Arial"/>
                  <w:sz w:val="18"/>
                </w:rPr>
                <w:t xml:space="preserve"> and so on. When the field is absent the UE applies the first entry in </w:t>
              </w:r>
              <w:r>
                <w:rPr>
                  <w:rFonts w:ascii="Arial" w:hAnsi="Arial"/>
                  <w:i/>
                  <w:sz w:val="18"/>
                </w:rPr>
                <w:t>pdschConfigList</w:t>
              </w:r>
              <w:r>
                <w:rPr>
                  <w:rFonts w:ascii="Arial" w:hAnsi="Arial"/>
                  <w:sz w:val="18"/>
                </w:rPr>
                <w:t xml:space="preserve"> for MTCH.</w:t>
              </w:r>
            </w:ins>
          </w:p>
        </w:tc>
      </w:tr>
      <w:tr w:rsidR="00EF781F" w14:paraId="23FA0B8B" w14:textId="77777777" w:rsidTr="00EF781F">
        <w:trPr>
          <w:trHeight w:val="693"/>
          <w:ins w:id="2162"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5ED9DC0F" w14:textId="77777777" w:rsidR="00EF781F" w:rsidRDefault="00EF781F">
            <w:pPr>
              <w:keepNext/>
              <w:keepLines/>
              <w:spacing w:after="0"/>
              <w:rPr>
                <w:ins w:id="2163" w:author="Huawei, HiSilicon" w:date="2023-11-02T14:40:00Z"/>
                <w:rFonts w:ascii="Arial" w:hAnsi="Arial"/>
                <w:b/>
                <w:bCs/>
                <w:i/>
                <w:iCs/>
                <w:sz w:val="18"/>
                <w:lang w:eastAsia="en-GB"/>
              </w:rPr>
            </w:pPr>
            <w:ins w:id="2164" w:author="Huawei, HiSilicon" w:date="2023-11-02T14:40:00Z">
              <w:r>
                <w:rPr>
                  <w:rFonts w:ascii="Arial" w:hAnsi="Arial"/>
                  <w:b/>
                  <w:bCs/>
                  <w:i/>
                  <w:iCs/>
                  <w:sz w:val="18"/>
                  <w:lang w:eastAsia="en-GB"/>
                </w:rPr>
                <w:t>thresholdIndex</w:t>
              </w:r>
            </w:ins>
          </w:p>
          <w:p w14:paraId="66DC140C" w14:textId="77777777" w:rsidR="00EF781F" w:rsidRDefault="00EF781F">
            <w:pPr>
              <w:keepNext/>
              <w:keepLines/>
              <w:spacing w:after="0"/>
              <w:rPr>
                <w:ins w:id="2165" w:author="Huawei, HiSilicon" w:date="2023-11-02T14:40:00Z"/>
                <w:rFonts w:ascii="Arial" w:hAnsi="Arial"/>
                <w:b/>
                <w:bCs/>
                <w:i/>
                <w:sz w:val="18"/>
                <w:lang w:eastAsia="en-GB"/>
              </w:rPr>
            </w:pPr>
            <w:ins w:id="2166" w:author="Huawei, HiSilicon" w:date="2023-11-02T14:40:00Z">
              <w:r>
                <w:rPr>
                  <w:rFonts w:ascii="Arial" w:hAnsi="Arial" w:cs="Arial"/>
                  <w:sz w:val="18"/>
                  <w:szCs w:val="18"/>
                  <w:lang w:eastAsia="en-GB"/>
                </w:rPr>
                <w:t xml:space="preserve">Indicates the index of </w:t>
              </w:r>
              <w:r>
                <w:rPr>
                  <w:rFonts w:ascii="Arial" w:hAnsi="Arial" w:cs="Arial"/>
                  <w:i/>
                  <w:sz w:val="18"/>
                  <w:szCs w:val="18"/>
                  <w:lang w:eastAsia="en-GB"/>
                </w:rPr>
                <w:t>thresholdMBS</w:t>
              </w:r>
              <w:r>
                <w:rPr>
                  <w:rFonts w:ascii="Arial" w:hAnsi="Arial" w:cs="Arial"/>
                  <w:sz w:val="18"/>
                  <w:szCs w:val="18"/>
                  <w:lang w:eastAsia="en-GB"/>
                </w:rPr>
                <w:t xml:space="preserve"> entry in</w:t>
              </w:r>
              <w:r>
                <w:rPr>
                  <w:rFonts w:ascii="Arial" w:hAnsi="Arial" w:cs="Arial"/>
                  <w:sz w:val="18"/>
                  <w:szCs w:val="18"/>
                  <w:lang w:eastAsia="sv-SE"/>
                </w:rPr>
                <w:t xml:space="preserve"> </w:t>
              </w:r>
              <w:r>
                <w:rPr>
                  <w:rFonts w:ascii="Arial" w:hAnsi="Arial" w:cs="Arial"/>
                  <w:i/>
                  <w:sz w:val="18"/>
                  <w:szCs w:val="18"/>
                  <w:lang w:eastAsia="sv-SE"/>
                </w:rPr>
                <w:t xml:space="preserve">thresholdMBS-List </w:t>
              </w:r>
              <w:r>
                <w:rPr>
                  <w:rFonts w:ascii="Arial" w:hAnsi="Arial" w:cs="Arial"/>
                  <w:sz w:val="18"/>
                  <w:szCs w:val="18"/>
                  <w:lang w:eastAsia="sv-SE"/>
                </w:rPr>
                <w:t xml:space="preserve">that is used for </w:t>
              </w:r>
              <w:r>
                <w:rPr>
                  <w:rFonts w:ascii="Arial" w:hAnsi="Arial" w:cs="Arial"/>
                  <w:sz w:val="18"/>
                  <w:szCs w:val="18"/>
                  <w:lang w:eastAsia="en-GB"/>
                </w:rPr>
                <w:t>RRC connection resume for a UE receiving the corresponding multicast session in RRC_INACTIVE</w:t>
              </w:r>
              <w:r>
                <w:rPr>
                  <w:rFonts w:ascii="Arial" w:hAnsi="Arial" w:cs="Arial"/>
                  <w:sz w:val="18"/>
                  <w:szCs w:val="18"/>
                  <w:lang w:eastAsia="sv-SE"/>
                </w:rPr>
                <w:t xml:space="preserve">. </w:t>
              </w:r>
              <w:r>
                <w:rPr>
                  <w:rFonts w:ascii="Arial" w:hAnsi="Arial" w:cs="Arial"/>
                  <w:sz w:val="18"/>
                  <w:szCs w:val="18"/>
                  <w:lang w:eastAsia="en-GB"/>
                </w:rPr>
                <w:t xml:space="preserve">Value 0 corresponds to the first entry in </w:t>
              </w:r>
              <w:r>
                <w:rPr>
                  <w:rFonts w:ascii="Arial" w:hAnsi="Arial" w:cs="Arial"/>
                  <w:i/>
                  <w:sz w:val="18"/>
                  <w:szCs w:val="18"/>
                  <w:lang w:eastAsia="sv-SE"/>
                </w:rPr>
                <w:t>thresholdMBS-Lis</w:t>
              </w:r>
              <w:r>
                <w:rPr>
                  <w:rFonts w:ascii="Arial" w:hAnsi="Arial" w:cs="Arial"/>
                  <w:i/>
                  <w:sz w:val="18"/>
                  <w:szCs w:val="18"/>
                  <w:lang w:eastAsia="en-GB"/>
                </w:rPr>
                <w:t>t</w:t>
              </w:r>
              <w:r>
                <w:rPr>
                  <w:rFonts w:ascii="Arial" w:hAnsi="Arial" w:cs="Arial"/>
                  <w:sz w:val="18"/>
                  <w:szCs w:val="18"/>
                  <w:lang w:eastAsia="en-GB"/>
                </w:rPr>
                <w:t>, the value 1 corresponds to the second entry in</w:t>
              </w:r>
              <w:r>
                <w:rPr>
                  <w:rFonts w:ascii="Arial" w:hAnsi="Arial" w:cs="Arial"/>
                  <w:sz w:val="18"/>
                  <w:szCs w:val="18"/>
                  <w:lang w:eastAsia="sv-SE"/>
                </w:rPr>
                <w:t xml:space="preserve"> </w:t>
              </w:r>
              <w:r>
                <w:rPr>
                  <w:rFonts w:ascii="Arial" w:hAnsi="Arial" w:cs="Arial"/>
                  <w:i/>
                  <w:sz w:val="18"/>
                  <w:szCs w:val="18"/>
                  <w:lang w:eastAsia="sv-SE"/>
                </w:rPr>
                <w:t>thresholdMBS-List</w:t>
              </w:r>
              <w:r>
                <w:rPr>
                  <w:rFonts w:ascii="Arial" w:hAnsi="Arial" w:cs="Arial"/>
                  <w:sz w:val="18"/>
                  <w:szCs w:val="18"/>
                  <w:lang w:eastAsia="sv-SE"/>
                </w:rPr>
                <w:t xml:space="preserve"> and so on.</w:t>
              </w:r>
            </w:ins>
          </w:p>
        </w:tc>
      </w:tr>
      <w:tr w:rsidR="00EF781F" w14:paraId="70B710D3" w14:textId="77777777" w:rsidTr="00EF781F">
        <w:trPr>
          <w:trHeight w:val="624"/>
          <w:ins w:id="2167"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4A999EA6" w14:textId="77777777" w:rsidR="00EF781F" w:rsidRDefault="00EF781F">
            <w:pPr>
              <w:keepNext/>
              <w:keepLines/>
              <w:spacing w:after="0"/>
              <w:rPr>
                <w:ins w:id="2168" w:author="Huawei, HiSilicon" w:date="2023-11-02T14:40:00Z"/>
                <w:rFonts w:ascii="Arial" w:hAnsi="Arial"/>
                <w:b/>
                <w:bCs/>
                <w:i/>
                <w:iCs/>
                <w:sz w:val="18"/>
                <w:lang w:eastAsia="en-GB"/>
              </w:rPr>
            </w:pPr>
            <w:ins w:id="2169" w:author="Huawei, HiSilicon" w:date="2023-11-02T14:40:00Z">
              <w:r>
                <w:rPr>
                  <w:rFonts w:ascii="Arial" w:hAnsi="Arial"/>
                  <w:b/>
                  <w:bCs/>
                  <w:i/>
                  <w:iCs/>
                  <w:sz w:val="18"/>
                  <w:lang w:eastAsia="en-GB"/>
                </w:rPr>
                <w:t xml:space="preserve">pdcp-SYNC-indicator </w:t>
              </w:r>
            </w:ins>
          </w:p>
          <w:p w14:paraId="02682744" w14:textId="77777777" w:rsidR="00EF781F" w:rsidRDefault="00EF781F">
            <w:pPr>
              <w:keepNext/>
              <w:keepLines/>
              <w:spacing w:after="0"/>
              <w:rPr>
                <w:ins w:id="2170" w:author="Huawei, HiSilicon" w:date="2023-11-02T14:40:00Z"/>
                <w:rFonts w:ascii="Arial" w:hAnsi="Arial"/>
                <w:b/>
                <w:bCs/>
                <w:i/>
                <w:iCs/>
                <w:sz w:val="18"/>
                <w:lang w:eastAsia="en-GB"/>
              </w:rPr>
            </w:pPr>
            <w:ins w:id="2171" w:author="Huawei, HiSilicon" w:date="2023-11-02T14:40:00Z">
              <w:r>
                <w:rPr>
                  <w:rFonts w:ascii="Arial" w:hAnsi="Arial" w:cs="Arial"/>
                  <w:sz w:val="18"/>
                  <w:szCs w:val="18"/>
                  <w:lang w:eastAsia="en-GB"/>
                </w:rPr>
                <w:t>Indicates the PDCP COUNT of the corresponding multicast session is synchronized in the RNA, i.e. the cell</w:t>
              </w:r>
              <w:r>
                <w:rPr>
                  <w:rFonts w:ascii="Arial" w:hAnsi="Arial" w:cs="Arial"/>
                  <w:sz w:val="18"/>
                  <w:szCs w:val="18"/>
                  <w:lang w:eastAsia="zh-CN"/>
                </w:rPr>
                <w:t>s in the RNA</w:t>
              </w:r>
              <w:r>
                <w:rPr>
                  <w:rFonts w:ascii="Arial" w:hAnsi="Arial" w:cs="Arial"/>
                  <w:sz w:val="18"/>
                  <w:szCs w:val="18"/>
                  <w:lang w:eastAsia="en-GB"/>
                </w:rPr>
                <w:t xml:space="preserve"> follow a common QoS flow to MRB mapping rule and at the same time PDCP COUNT is set according to the MBS QoS Flow SN.</w:t>
              </w:r>
            </w:ins>
          </w:p>
        </w:tc>
      </w:tr>
      <w:tr w:rsidR="00EF781F" w14:paraId="048AB422" w14:textId="77777777" w:rsidTr="00EF781F">
        <w:trPr>
          <w:trHeight w:val="475"/>
          <w:ins w:id="2172" w:author="Huawei, HiSilicon" w:date="2023-12-01T16:15:00Z"/>
        </w:trPr>
        <w:tc>
          <w:tcPr>
            <w:tcW w:w="14173" w:type="dxa"/>
            <w:tcBorders>
              <w:top w:val="single" w:sz="4" w:space="0" w:color="auto"/>
              <w:left w:val="single" w:sz="4" w:space="0" w:color="auto"/>
              <w:bottom w:val="single" w:sz="4" w:space="0" w:color="auto"/>
              <w:right w:val="single" w:sz="4" w:space="0" w:color="auto"/>
            </w:tcBorders>
            <w:hideMark/>
          </w:tcPr>
          <w:p w14:paraId="3A0D668A" w14:textId="77777777" w:rsidR="00EF781F" w:rsidRDefault="00EF781F">
            <w:pPr>
              <w:keepNext/>
              <w:keepLines/>
              <w:spacing w:after="0"/>
              <w:rPr>
                <w:ins w:id="2173" w:author="Huawei, HiSilicon" w:date="2023-12-01T16:16:00Z"/>
                <w:rFonts w:ascii="Arial" w:hAnsi="Arial" w:cs="Arial"/>
                <w:b/>
                <w:bCs/>
                <w:i/>
                <w:iCs/>
                <w:sz w:val="18"/>
                <w:szCs w:val="18"/>
                <w:lang w:eastAsia="en-GB"/>
              </w:rPr>
            </w:pPr>
            <w:ins w:id="2174" w:author="Huawei, HiSilicon" w:date="2023-12-01T16:16:00Z">
              <w:r>
                <w:rPr>
                  <w:rFonts w:ascii="Arial" w:hAnsi="Arial" w:cs="Arial"/>
                  <w:b/>
                  <w:bCs/>
                  <w:i/>
                  <w:iCs/>
                  <w:sz w:val="18"/>
                  <w:szCs w:val="18"/>
                  <w:lang w:eastAsia="en-GB"/>
                </w:rPr>
                <w:t>sn-</w:t>
              </w:r>
              <w:r>
                <w:rPr>
                  <w:rFonts w:ascii="Arial" w:hAnsi="Arial" w:cs="Arial"/>
                  <w:b/>
                  <w:bCs/>
                  <w:i/>
                  <w:sz w:val="18"/>
                  <w:szCs w:val="18"/>
                  <w:lang w:eastAsia="en-GB"/>
                </w:rPr>
                <w:t>FieldLength</w:t>
              </w:r>
            </w:ins>
          </w:p>
          <w:p w14:paraId="2F239EAA" w14:textId="77777777" w:rsidR="00EF781F" w:rsidRDefault="00EF781F">
            <w:pPr>
              <w:keepNext/>
              <w:keepLines/>
              <w:spacing w:after="0"/>
              <w:rPr>
                <w:ins w:id="2175" w:author="Huawei, HiSilicon" w:date="2023-12-01T16:15:00Z"/>
                <w:rFonts w:ascii="Arial" w:hAnsi="Arial"/>
                <w:b/>
                <w:bCs/>
                <w:i/>
                <w:iCs/>
                <w:sz w:val="18"/>
                <w:lang w:eastAsia="en-GB"/>
              </w:rPr>
            </w:pPr>
            <w:ins w:id="2176" w:author="Huawei, HiSilicon" w:date="2023-12-01T16:16:00Z">
              <w:r>
                <w:rPr>
                  <w:rFonts w:ascii="Arial" w:eastAsia="Malgun Gothic" w:hAnsi="Arial" w:cs="Arial"/>
                  <w:bCs/>
                  <w:kern w:val="2"/>
                  <w:sz w:val="18"/>
                  <w:szCs w:val="18"/>
                </w:rPr>
                <w:t xml:space="preserve">Indicates RLC SN field size of 6 </w:t>
              </w:r>
              <w:r>
                <w:rPr>
                  <w:rFonts w:ascii="Arial" w:hAnsi="Arial" w:cs="Arial"/>
                  <w:bCs/>
                  <w:kern w:val="2"/>
                  <w:sz w:val="18"/>
                  <w:szCs w:val="18"/>
                  <w:lang w:eastAsia="zh-CN"/>
                </w:rPr>
                <w:t>or</w:t>
              </w:r>
              <w:r>
                <w:rPr>
                  <w:rFonts w:ascii="Arial" w:eastAsia="Malgun Gothic" w:hAnsi="Arial" w:cs="Arial"/>
                  <w:bCs/>
                  <w:kern w:val="2"/>
                  <w:sz w:val="18"/>
                  <w:szCs w:val="18"/>
                </w:rPr>
                <w:t xml:space="preserve">12 bits, </w:t>
              </w:r>
              <w:r>
                <w:rPr>
                  <w:rFonts w:ascii="Arial" w:hAnsi="Arial" w:cs="Arial"/>
                  <w:sz w:val="18"/>
                  <w:szCs w:val="18"/>
                </w:rPr>
                <w:t>as specified in</w:t>
              </w:r>
              <w:r>
                <w:rPr>
                  <w:rFonts w:ascii="Arial" w:eastAsia="Malgun Gothic" w:hAnsi="Arial" w:cs="Arial"/>
                  <w:bCs/>
                  <w:kern w:val="2"/>
                  <w:sz w:val="18"/>
                  <w:szCs w:val="18"/>
                </w:rPr>
                <w:t xml:space="preserve"> TS 38.322 [4].</w:t>
              </w:r>
            </w:ins>
          </w:p>
        </w:tc>
      </w:tr>
      <w:tr w:rsidR="00EF781F" w14:paraId="023A84CA" w14:textId="77777777" w:rsidTr="00EF781F">
        <w:trPr>
          <w:trHeight w:val="454"/>
          <w:ins w:id="2177" w:author="Huawei, HiSilicon" w:date="2023-11-02T14:40:00Z"/>
        </w:trPr>
        <w:tc>
          <w:tcPr>
            <w:tcW w:w="14173" w:type="dxa"/>
            <w:tcBorders>
              <w:top w:val="single" w:sz="4" w:space="0" w:color="auto"/>
              <w:left w:val="single" w:sz="4" w:space="0" w:color="auto"/>
              <w:bottom w:val="single" w:sz="4" w:space="0" w:color="auto"/>
              <w:right w:val="single" w:sz="4" w:space="0" w:color="auto"/>
            </w:tcBorders>
            <w:hideMark/>
          </w:tcPr>
          <w:p w14:paraId="582D1DB2" w14:textId="77777777" w:rsidR="00EF781F" w:rsidRDefault="00EF781F">
            <w:pPr>
              <w:keepNext/>
              <w:keepLines/>
              <w:spacing w:after="0"/>
              <w:rPr>
                <w:ins w:id="2178" w:author="Huawei, HiSilicon" w:date="2023-11-02T14:40:00Z"/>
                <w:rFonts w:ascii="Arial" w:hAnsi="Arial"/>
                <w:b/>
                <w:bCs/>
                <w:i/>
                <w:iCs/>
                <w:sz w:val="18"/>
                <w:lang w:eastAsia="en-GB"/>
              </w:rPr>
            </w:pPr>
            <w:ins w:id="2179" w:author="Huawei, HiSilicon" w:date="2023-11-02T14:40:00Z">
              <w:r>
                <w:rPr>
                  <w:rFonts w:ascii="Arial" w:hAnsi="Arial"/>
                  <w:b/>
                  <w:bCs/>
                  <w:i/>
                  <w:iCs/>
                  <w:sz w:val="18"/>
                  <w:lang w:eastAsia="en-GB"/>
                </w:rPr>
                <w:t>stopMonitoringRNTI</w:t>
              </w:r>
            </w:ins>
          </w:p>
          <w:p w14:paraId="55D908FC" w14:textId="77777777" w:rsidR="00EF781F" w:rsidRDefault="00EF781F">
            <w:pPr>
              <w:keepNext/>
              <w:keepLines/>
              <w:spacing w:after="0"/>
              <w:rPr>
                <w:ins w:id="2180" w:author="Huawei, HiSilicon" w:date="2023-11-02T14:40:00Z"/>
                <w:rFonts w:ascii="Arial" w:hAnsi="Arial"/>
                <w:b/>
                <w:bCs/>
                <w:i/>
                <w:iCs/>
                <w:sz w:val="18"/>
                <w:lang w:eastAsia="en-GB"/>
              </w:rPr>
            </w:pPr>
            <w:ins w:id="2181" w:author="Huawei, HiSilicon" w:date="2023-11-02T14:40:00Z">
              <w:r>
                <w:rPr>
                  <w:rFonts w:ascii="Arial" w:hAnsi="Arial" w:cs="Arial"/>
                  <w:sz w:val="18"/>
                  <w:szCs w:val="18"/>
                  <w:lang w:eastAsia="en-GB"/>
                </w:rPr>
                <w:t>Indicates the UE to stop monitoring the G-RNTI for the corresponding multicast session.</w:t>
              </w:r>
            </w:ins>
          </w:p>
        </w:tc>
      </w:tr>
      <w:tr w:rsidR="00EF781F" w14:paraId="13BDC3EB" w14:textId="77777777" w:rsidTr="00EF781F">
        <w:trPr>
          <w:trHeight w:val="454"/>
          <w:ins w:id="2182" w:author="Huawei, HiSilicon" w:date="2023-12-01T16:16:00Z"/>
        </w:trPr>
        <w:tc>
          <w:tcPr>
            <w:tcW w:w="14173" w:type="dxa"/>
            <w:tcBorders>
              <w:top w:val="single" w:sz="4" w:space="0" w:color="auto"/>
              <w:left w:val="single" w:sz="4" w:space="0" w:color="auto"/>
              <w:bottom w:val="single" w:sz="4" w:space="0" w:color="auto"/>
              <w:right w:val="single" w:sz="4" w:space="0" w:color="auto"/>
            </w:tcBorders>
            <w:hideMark/>
          </w:tcPr>
          <w:p w14:paraId="1A04F9AD" w14:textId="77777777" w:rsidR="00EF781F" w:rsidRDefault="00EF781F">
            <w:pPr>
              <w:keepNext/>
              <w:keepLines/>
              <w:spacing w:after="0"/>
              <w:rPr>
                <w:ins w:id="2183" w:author="Huawei, HiSilicon" w:date="2023-12-01T16:16:00Z"/>
                <w:rFonts w:ascii="Arial" w:hAnsi="Arial" w:cs="Arial"/>
                <w:sz w:val="18"/>
                <w:szCs w:val="18"/>
              </w:rPr>
            </w:pPr>
            <w:ins w:id="2184" w:author="Huawei, HiSilicon" w:date="2023-12-01T16:16:00Z">
              <w:r>
                <w:rPr>
                  <w:rFonts w:ascii="Arial" w:hAnsi="Arial" w:cs="Arial"/>
                  <w:b/>
                  <w:bCs/>
                  <w:i/>
                  <w:iCs/>
                  <w:sz w:val="18"/>
                  <w:szCs w:val="18"/>
                  <w:lang w:eastAsia="en-GB"/>
                </w:rPr>
                <w:t>t-</w:t>
              </w:r>
              <w:r>
                <w:rPr>
                  <w:rFonts w:ascii="Arial" w:hAnsi="Arial" w:cs="Arial"/>
                  <w:b/>
                  <w:bCs/>
                  <w:i/>
                  <w:sz w:val="18"/>
                  <w:szCs w:val="18"/>
                  <w:lang w:eastAsia="en-GB"/>
                </w:rPr>
                <w:t>Reassembly</w:t>
              </w:r>
            </w:ins>
          </w:p>
          <w:p w14:paraId="4BEB0F7B" w14:textId="77777777" w:rsidR="00EF781F" w:rsidRDefault="00EF781F">
            <w:pPr>
              <w:keepNext/>
              <w:keepLines/>
              <w:spacing w:after="0"/>
              <w:rPr>
                <w:ins w:id="2185" w:author="Huawei, HiSilicon" w:date="2023-12-01T16:16:00Z"/>
                <w:rFonts w:ascii="Arial" w:hAnsi="Arial"/>
                <w:b/>
                <w:bCs/>
                <w:i/>
                <w:iCs/>
                <w:sz w:val="18"/>
                <w:lang w:eastAsia="en-GB"/>
              </w:rPr>
            </w:pPr>
            <w:ins w:id="2186" w:author="Huawei, HiSilicon" w:date="2023-12-01T16:16:00Z">
              <w:r>
                <w:rPr>
                  <w:rFonts w:ascii="Arial" w:hAnsi="Arial" w:cs="Arial"/>
                  <w:sz w:val="18"/>
                  <w:szCs w:val="18"/>
                </w:rPr>
                <w:t>Timer for reassembly in TS 38.322 [4], in milliseconds. Value ms0 means 0 ms, value ms5 means 5 ms and so on.</w:t>
              </w:r>
            </w:ins>
          </w:p>
        </w:tc>
      </w:tr>
      <w:tr w:rsidR="00EF781F" w14:paraId="3C37AC01" w14:textId="77777777" w:rsidTr="00EF781F">
        <w:trPr>
          <w:trHeight w:val="454"/>
          <w:ins w:id="2187" w:author="Huawei, HiSilicon" w:date="2023-12-01T16:16:00Z"/>
        </w:trPr>
        <w:tc>
          <w:tcPr>
            <w:tcW w:w="14173" w:type="dxa"/>
            <w:tcBorders>
              <w:top w:val="single" w:sz="4" w:space="0" w:color="auto"/>
              <w:left w:val="single" w:sz="4" w:space="0" w:color="auto"/>
              <w:bottom w:val="single" w:sz="4" w:space="0" w:color="auto"/>
              <w:right w:val="single" w:sz="4" w:space="0" w:color="auto"/>
            </w:tcBorders>
            <w:hideMark/>
          </w:tcPr>
          <w:p w14:paraId="7211C6DD" w14:textId="77777777" w:rsidR="00EF781F" w:rsidRDefault="00EF781F">
            <w:pPr>
              <w:keepNext/>
              <w:keepLines/>
              <w:spacing w:after="0"/>
              <w:rPr>
                <w:ins w:id="2188" w:author="Huawei, HiSilicon" w:date="2023-12-01T16:16:00Z"/>
                <w:rFonts w:ascii="Arial" w:hAnsi="Arial" w:cs="Arial"/>
                <w:b/>
                <w:bCs/>
                <w:i/>
                <w:iCs/>
                <w:sz w:val="18"/>
                <w:szCs w:val="18"/>
                <w:lang w:eastAsia="en-GB"/>
              </w:rPr>
            </w:pPr>
            <w:ins w:id="2189" w:author="Huawei, HiSilicon" w:date="2023-12-01T16:16:00Z">
              <w:r>
                <w:rPr>
                  <w:rFonts w:ascii="Arial" w:hAnsi="Arial" w:cs="Arial"/>
                  <w:b/>
                  <w:bCs/>
                  <w:i/>
                  <w:iCs/>
                  <w:sz w:val="18"/>
                  <w:szCs w:val="18"/>
                  <w:lang w:eastAsia="en-GB"/>
                </w:rPr>
                <w:t>t-</w:t>
              </w:r>
              <w:r>
                <w:rPr>
                  <w:rFonts w:ascii="Arial" w:hAnsi="Arial" w:cs="Arial"/>
                  <w:b/>
                  <w:bCs/>
                  <w:i/>
                  <w:sz w:val="18"/>
                  <w:szCs w:val="18"/>
                  <w:lang w:eastAsia="en-GB"/>
                </w:rPr>
                <w:t>Reordering</w:t>
              </w:r>
            </w:ins>
          </w:p>
          <w:p w14:paraId="2F070AD7" w14:textId="77777777" w:rsidR="00EF781F" w:rsidRDefault="00EF781F">
            <w:pPr>
              <w:keepNext/>
              <w:keepLines/>
              <w:spacing w:after="0"/>
              <w:rPr>
                <w:ins w:id="2190" w:author="Huawei, HiSilicon" w:date="2023-12-01T16:16:00Z"/>
                <w:rFonts w:ascii="Arial" w:hAnsi="Arial" w:cs="Arial"/>
                <w:b/>
                <w:bCs/>
                <w:i/>
                <w:iCs/>
                <w:sz w:val="18"/>
                <w:szCs w:val="18"/>
                <w:lang w:eastAsia="en-GB"/>
              </w:rPr>
            </w:pPr>
            <w:ins w:id="2191" w:author="Huawei, HiSilicon" w:date="2023-12-01T16:16:00Z">
              <w:r>
                <w:rPr>
                  <w:rFonts w:ascii="Arial" w:hAnsi="Arial" w:cs="Arial"/>
                  <w:sz w:val="18"/>
                  <w:szCs w:val="18"/>
                </w:rPr>
                <w:t xml:space="preserve">Value in ms of </w:t>
              </w:r>
              <w:r>
                <w:rPr>
                  <w:rFonts w:ascii="Arial" w:hAnsi="Arial" w:cs="Arial"/>
                  <w:i/>
                  <w:sz w:val="18"/>
                  <w:szCs w:val="18"/>
                </w:rPr>
                <w:t>t-Reordering</w:t>
              </w:r>
              <w:r>
                <w:rPr>
                  <w:rFonts w:ascii="Arial" w:hAnsi="Arial" w:cs="Arial"/>
                  <w:sz w:val="18"/>
                  <w:szCs w:val="18"/>
                </w:rPr>
                <w:t xml:space="preserve"> specified in TS 38.323 [5]. Value ms1 corresponds to 1 ms, value ms10 corresponds to 10 ms, and so on.</w:t>
              </w:r>
            </w:ins>
          </w:p>
        </w:tc>
      </w:tr>
    </w:tbl>
    <w:p w14:paraId="3ECE6A4B" w14:textId="77777777" w:rsidR="00EF781F" w:rsidRDefault="00EF781F" w:rsidP="00EF781F">
      <w:pPr>
        <w:rPr>
          <w:ins w:id="2192" w:author="Huawei, HiSilicon" w:date="2023-11-02T14:40:00Z"/>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F781F" w14:paraId="1BDB6828" w14:textId="77777777" w:rsidTr="00EF781F">
        <w:trPr>
          <w:ins w:id="2193" w:author="Huawei, HiSilicon" w:date="2023-11-02T14:40:00Z"/>
        </w:trPr>
        <w:tc>
          <w:tcPr>
            <w:tcW w:w="4027" w:type="dxa"/>
            <w:tcBorders>
              <w:top w:val="single" w:sz="4" w:space="0" w:color="auto"/>
              <w:left w:val="single" w:sz="4" w:space="0" w:color="auto"/>
              <w:bottom w:val="single" w:sz="4" w:space="0" w:color="auto"/>
              <w:right w:val="single" w:sz="4" w:space="0" w:color="auto"/>
            </w:tcBorders>
            <w:hideMark/>
          </w:tcPr>
          <w:p w14:paraId="0FD0A77A" w14:textId="77777777" w:rsidR="00EF781F" w:rsidRDefault="00EF781F">
            <w:pPr>
              <w:keepNext/>
              <w:keepLines/>
              <w:spacing w:after="0"/>
              <w:jc w:val="center"/>
              <w:rPr>
                <w:ins w:id="2194" w:author="Huawei, HiSilicon" w:date="2023-11-02T14:40:00Z"/>
                <w:rFonts w:ascii="Arial" w:hAnsi="Arial"/>
                <w:b/>
                <w:sz w:val="18"/>
                <w:szCs w:val="22"/>
                <w:lang w:eastAsia="sv-SE"/>
              </w:rPr>
            </w:pPr>
            <w:ins w:id="2195" w:author="Huawei, HiSilicon" w:date="2023-11-02T14:40:00Z">
              <w:r>
                <w:rPr>
                  <w:rFonts w:ascii="Arial" w:hAnsi="Arial"/>
                  <w:b/>
                  <w:sz w:val="18"/>
                  <w:szCs w:val="22"/>
                  <w:lang w:eastAsia="sv-SE"/>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52B599D5" w14:textId="77777777" w:rsidR="00EF781F" w:rsidRDefault="00EF781F">
            <w:pPr>
              <w:keepNext/>
              <w:keepLines/>
              <w:spacing w:after="0"/>
              <w:jc w:val="center"/>
              <w:rPr>
                <w:ins w:id="2196" w:author="Huawei, HiSilicon" w:date="2023-11-02T14:40:00Z"/>
                <w:rFonts w:ascii="Arial" w:hAnsi="Arial"/>
                <w:b/>
                <w:sz w:val="18"/>
                <w:szCs w:val="22"/>
                <w:lang w:eastAsia="sv-SE"/>
              </w:rPr>
            </w:pPr>
            <w:ins w:id="2197" w:author="Huawei, HiSilicon" w:date="2023-11-02T14:40:00Z">
              <w:r>
                <w:rPr>
                  <w:rFonts w:ascii="Arial" w:hAnsi="Arial"/>
                  <w:b/>
                  <w:sz w:val="18"/>
                  <w:szCs w:val="22"/>
                  <w:lang w:eastAsia="sv-SE"/>
                </w:rPr>
                <w:t>Explanation</w:t>
              </w:r>
            </w:ins>
          </w:p>
        </w:tc>
      </w:tr>
      <w:tr w:rsidR="00EF781F" w14:paraId="218C0469" w14:textId="77777777" w:rsidTr="00EF781F">
        <w:trPr>
          <w:ins w:id="2198" w:author="Huawei, HiSilicon" w:date="2023-11-02T14:40:00Z"/>
        </w:trPr>
        <w:tc>
          <w:tcPr>
            <w:tcW w:w="4027" w:type="dxa"/>
            <w:tcBorders>
              <w:top w:val="single" w:sz="4" w:space="0" w:color="auto"/>
              <w:left w:val="single" w:sz="4" w:space="0" w:color="auto"/>
              <w:bottom w:val="single" w:sz="4" w:space="0" w:color="auto"/>
              <w:right w:val="single" w:sz="4" w:space="0" w:color="auto"/>
            </w:tcBorders>
            <w:hideMark/>
          </w:tcPr>
          <w:p w14:paraId="4B378FF6" w14:textId="77777777" w:rsidR="00EF781F" w:rsidRDefault="00EF781F">
            <w:pPr>
              <w:keepNext/>
              <w:keepLines/>
              <w:spacing w:after="0"/>
              <w:rPr>
                <w:ins w:id="2199" w:author="Huawei, HiSilicon" w:date="2023-11-02T14:40:00Z"/>
                <w:rFonts w:ascii="Arial" w:hAnsi="Arial"/>
                <w:i/>
                <w:sz w:val="18"/>
                <w:szCs w:val="22"/>
                <w:lang w:eastAsia="sv-SE"/>
              </w:rPr>
            </w:pPr>
            <w:ins w:id="2200" w:author="Huawei, HiSilicon" w:date="2023-11-02T14:40:00Z">
              <w:r>
                <w:rPr>
                  <w:rFonts w:ascii="Arial" w:hAnsi="Arial"/>
                  <w:i/>
                  <w:sz w:val="18"/>
                  <w:szCs w:val="22"/>
                  <w:lang w:eastAsia="sv-SE"/>
                </w:rPr>
                <w:t>MTCH-Mapping</w:t>
              </w:r>
            </w:ins>
          </w:p>
        </w:tc>
        <w:tc>
          <w:tcPr>
            <w:tcW w:w="10146" w:type="dxa"/>
            <w:tcBorders>
              <w:top w:val="single" w:sz="4" w:space="0" w:color="auto"/>
              <w:left w:val="single" w:sz="4" w:space="0" w:color="auto"/>
              <w:bottom w:val="single" w:sz="4" w:space="0" w:color="auto"/>
              <w:right w:val="single" w:sz="4" w:space="0" w:color="auto"/>
            </w:tcBorders>
            <w:hideMark/>
          </w:tcPr>
          <w:p w14:paraId="2D9AAA82" w14:textId="77777777" w:rsidR="00EF781F" w:rsidRDefault="00EF781F">
            <w:pPr>
              <w:keepNext/>
              <w:keepLines/>
              <w:spacing w:after="0"/>
              <w:rPr>
                <w:ins w:id="2201" w:author="Huawei, HiSilicon" w:date="2023-11-02T14:40:00Z"/>
                <w:rFonts w:ascii="Arial" w:hAnsi="Arial"/>
                <w:sz w:val="18"/>
                <w:lang w:eastAsia="sv-SE"/>
              </w:rPr>
            </w:pPr>
            <w:ins w:id="2202" w:author="Huawei, HiSilicon" w:date="2023-11-02T14:40:00Z">
              <w:r>
                <w:rPr>
                  <w:rFonts w:ascii="Arial" w:hAnsi="Arial"/>
                  <w:sz w:val="18"/>
                  <w:lang w:eastAsia="sv-SE"/>
                </w:rPr>
                <w:t xml:space="preserve">The field is mandatory present if the number of actual transmitted SSBs determined according to </w:t>
              </w:r>
              <w:r>
                <w:rPr>
                  <w:rFonts w:ascii="Arial" w:hAnsi="Arial"/>
                  <w:i/>
                  <w:sz w:val="18"/>
                  <w:lang w:eastAsia="sv-SE"/>
                </w:rPr>
                <w:t>ssb-PositionsInBurst</w:t>
              </w:r>
              <w:r>
                <w:rPr>
                  <w:rFonts w:ascii="Arial" w:hAnsi="Arial"/>
                  <w:sz w:val="18"/>
                  <w:lang w:eastAsia="sv-SE"/>
                </w:rPr>
                <w:t xml:space="preserve"> in SIB1 is more than 1, and </w:t>
              </w:r>
              <w:r>
                <w:rPr>
                  <w:rFonts w:ascii="Arial" w:hAnsi="Arial"/>
                  <w:i/>
                  <w:sz w:val="18"/>
                  <w:lang w:eastAsia="sv-SE"/>
                </w:rPr>
                <w:t>searchspaceMulticastMTCH</w:t>
              </w:r>
              <w:r>
                <w:rPr>
                  <w:rFonts w:ascii="Arial" w:hAnsi="Arial"/>
                  <w:sz w:val="18"/>
                  <w:lang w:eastAsia="sv-SE"/>
                </w:rPr>
                <w:t xml:space="preserve"> is not set to zero (including the case where </w:t>
              </w:r>
              <w:r>
                <w:rPr>
                  <w:rFonts w:ascii="Arial" w:hAnsi="Arial"/>
                  <w:i/>
                  <w:sz w:val="18"/>
                  <w:lang w:eastAsia="sv-SE"/>
                </w:rPr>
                <w:t>searchSpaceMulticastMTCH</w:t>
              </w:r>
              <w:r>
                <w:rPr>
                  <w:rFonts w:ascii="Arial" w:hAnsi="Arial"/>
                  <w:sz w:val="18"/>
                  <w:lang w:eastAsia="sv-SE"/>
                </w:rPr>
                <w:t xml:space="preserve"> is absent and </w:t>
              </w:r>
              <w:r>
                <w:rPr>
                  <w:rFonts w:ascii="Arial" w:hAnsi="Arial"/>
                  <w:i/>
                  <w:sz w:val="18"/>
                  <w:lang w:eastAsia="sv-SE"/>
                </w:rPr>
                <w:t>searchSpaceMulticastMCCH</w:t>
              </w:r>
              <w:r>
                <w:rPr>
                  <w:rFonts w:ascii="Arial" w:hAnsi="Arial"/>
                  <w:sz w:val="18"/>
                  <w:lang w:eastAsia="sv-SE"/>
                </w:rPr>
                <w:t xml:space="preserve"> is not set to zero). Otherwise, it is absent, Need R.</w:t>
              </w:r>
            </w:ins>
          </w:p>
        </w:tc>
      </w:tr>
      <w:tr w:rsidR="00EF781F" w14:paraId="09B7F472" w14:textId="77777777" w:rsidTr="00EF781F">
        <w:trPr>
          <w:ins w:id="2203" w:author="Huawei, HiSilicon" w:date="2023-11-02T14:40:00Z"/>
        </w:trPr>
        <w:tc>
          <w:tcPr>
            <w:tcW w:w="4027" w:type="dxa"/>
            <w:tcBorders>
              <w:top w:val="single" w:sz="4" w:space="0" w:color="auto"/>
              <w:left w:val="single" w:sz="4" w:space="0" w:color="auto"/>
              <w:bottom w:val="single" w:sz="4" w:space="0" w:color="auto"/>
              <w:right w:val="single" w:sz="4" w:space="0" w:color="auto"/>
            </w:tcBorders>
            <w:hideMark/>
          </w:tcPr>
          <w:p w14:paraId="1391F90E" w14:textId="77777777" w:rsidR="00EF781F" w:rsidRDefault="00EF781F">
            <w:pPr>
              <w:keepNext/>
              <w:keepLines/>
              <w:spacing w:after="0"/>
              <w:rPr>
                <w:ins w:id="2204" w:author="Huawei, HiSilicon" w:date="2023-11-02T14:40:00Z"/>
                <w:rFonts w:ascii="Arial" w:hAnsi="Arial"/>
                <w:i/>
                <w:sz w:val="18"/>
                <w:szCs w:val="22"/>
                <w:lang w:eastAsia="zh-CN"/>
              </w:rPr>
            </w:pPr>
            <w:ins w:id="2205" w:author="Huawei, HiSilicon" w:date="2023-11-02T14:40:00Z">
              <w:r>
                <w:rPr>
                  <w:rFonts w:ascii="Arial" w:hAnsi="Arial"/>
                  <w:i/>
                  <w:sz w:val="18"/>
                  <w:szCs w:val="22"/>
                  <w:lang w:eastAsia="zh-CN"/>
                </w:rPr>
                <w:t>RRCRelease</w:t>
              </w:r>
            </w:ins>
          </w:p>
        </w:tc>
        <w:tc>
          <w:tcPr>
            <w:tcW w:w="10146" w:type="dxa"/>
            <w:tcBorders>
              <w:top w:val="single" w:sz="4" w:space="0" w:color="auto"/>
              <w:left w:val="single" w:sz="4" w:space="0" w:color="auto"/>
              <w:bottom w:val="single" w:sz="4" w:space="0" w:color="auto"/>
              <w:right w:val="single" w:sz="4" w:space="0" w:color="auto"/>
            </w:tcBorders>
            <w:hideMark/>
          </w:tcPr>
          <w:p w14:paraId="620C3772" w14:textId="77777777" w:rsidR="00EF781F" w:rsidRDefault="00EF781F">
            <w:pPr>
              <w:keepNext/>
              <w:keepLines/>
              <w:spacing w:after="0"/>
              <w:rPr>
                <w:ins w:id="2206" w:author="Huawei, HiSilicon" w:date="2023-11-02T14:40:00Z"/>
                <w:rFonts w:ascii="Arial" w:hAnsi="Arial"/>
                <w:sz w:val="18"/>
                <w:lang w:eastAsia="sv-SE"/>
              </w:rPr>
            </w:pPr>
            <w:ins w:id="2207" w:author="Huawei, HiSilicon" w:date="2023-11-02T14:40:00Z">
              <w:r>
                <w:rPr>
                  <w:rFonts w:ascii="Arial" w:hAnsi="Arial"/>
                  <w:sz w:val="18"/>
                  <w:lang w:eastAsia="sv-SE"/>
                </w:rPr>
                <w:t xml:space="preserve">The field is optionally present if </w:t>
              </w:r>
              <w:r>
                <w:rPr>
                  <w:rFonts w:ascii="Arial" w:hAnsi="Arial"/>
                  <w:i/>
                  <w:sz w:val="18"/>
                  <w:lang w:eastAsia="sv-SE"/>
                </w:rPr>
                <w:t xml:space="preserve">MBS-SessionInfoListMulticast </w:t>
              </w:r>
              <w:r>
                <w:rPr>
                  <w:rFonts w:ascii="Arial" w:hAnsi="Arial"/>
                  <w:sz w:val="18"/>
                  <w:lang w:eastAsia="sv-SE"/>
                </w:rPr>
                <w:t xml:space="preserve">is included in </w:t>
              </w:r>
              <w:r>
                <w:rPr>
                  <w:rFonts w:ascii="Arial" w:hAnsi="Arial"/>
                  <w:i/>
                  <w:sz w:val="18"/>
                  <w:lang w:eastAsia="sv-SE"/>
                </w:rPr>
                <w:t xml:space="preserve">RRCRelease </w:t>
              </w:r>
              <w:r>
                <w:rPr>
                  <w:rFonts w:ascii="Arial" w:hAnsi="Arial"/>
                  <w:sz w:val="18"/>
                  <w:lang w:eastAsia="sv-SE"/>
                </w:rPr>
                <w:t>message. Otherwise, it is absent.</w:t>
              </w:r>
            </w:ins>
          </w:p>
        </w:tc>
      </w:tr>
    </w:tbl>
    <w:p w14:paraId="1147F928" w14:textId="77777777" w:rsidR="002A4990" w:rsidRPr="00FA0D37" w:rsidRDefault="002A4990" w:rsidP="00807B1C">
      <w:pPr>
        <w:rPr>
          <w:rFonts w:eastAsiaTheme="minorEastAsia"/>
        </w:rPr>
      </w:pPr>
    </w:p>
    <w:p w14:paraId="1D7F93C8" w14:textId="4A0C54C9" w:rsidR="00807B1C" w:rsidRPr="00FA0D37" w:rsidRDefault="00807B1C" w:rsidP="00807B1C">
      <w:pPr>
        <w:pStyle w:val="4"/>
      </w:pPr>
      <w:bookmarkStart w:id="2208" w:name="_Toc146781694"/>
      <w:r w:rsidRPr="00FA0D37">
        <w:t>–</w:t>
      </w:r>
      <w:r w:rsidRPr="00FA0D37">
        <w:tab/>
      </w:r>
      <w:r w:rsidRPr="00FA0D37">
        <w:rPr>
          <w:i/>
        </w:rPr>
        <w:t>MTCH-SSB-MappingWindowList</w:t>
      </w:r>
      <w:bookmarkEnd w:id="2208"/>
    </w:p>
    <w:p w14:paraId="42551D06" w14:textId="5CFA77D2" w:rsidR="00807B1C" w:rsidRPr="00FA0D37" w:rsidRDefault="00807B1C" w:rsidP="00807B1C">
      <w:pPr>
        <w:rPr>
          <w:iCs/>
          <w:lang w:eastAsia="zh-CN"/>
        </w:rPr>
      </w:pPr>
      <w:r w:rsidRPr="00FA0D37">
        <w:rPr>
          <w:iCs/>
          <w:lang w:eastAsia="zh-CN"/>
        </w:rPr>
        <w:t xml:space="preserve">The IE </w:t>
      </w:r>
      <w:r w:rsidRPr="00FA0D37">
        <w:rPr>
          <w:i/>
        </w:rPr>
        <w:t>MTCH-SSB-MappingWindowList</w:t>
      </w:r>
      <w:r w:rsidRPr="00FA0D37">
        <w:rPr>
          <w:iCs/>
          <w:lang w:eastAsia="zh-CN"/>
        </w:rPr>
        <w:t xml:space="preserve"> is used to configure MTCH PDCCH ocassions to SSB mapping window related periodic and offset parameters.</w:t>
      </w:r>
    </w:p>
    <w:p w14:paraId="56473FF4" w14:textId="77777777" w:rsidR="00807B1C" w:rsidRPr="00FA0D37" w:rsidRDefault="00807B1C" w:rsidP="00807B1C">
      <w:pPr>
        <w:pStyle w:val="TH"/>
        <w:rPr>
          <w:b w:val="0"/>
        </w:rPr>
      </w:pPr>
      <w:r w:rsidRPr="00FA0D37">
        <w:rPr>
          <w:i/>
        </w:rPr>
        <w:t>MTCH-SSB-MappingWindowList</w:t>
      </w:r>
      <w:r w:rsidRPr="00FA0D37">
        <w:t xml:space="preserve"> information element</w:t>
      </w:r>
    </w:p>
    <w:p w14:paraId="066D4624" w14:textId="77777777" w:rsidR="00807B1C" w:rsidRPr="00FA0D37" w:rsidRDefault="00807B1C" w:rsidP="00FA0D37">
      <w:pPr>
        <w:pStyle w:val="PL"/>
        <w:rPr>
          <w:color w:val="808080"/>
        </w:rPr>
      </w:pPr>
      <w:r w:rsidRPr="00FA0D37">
        <w:rPr>
          <w:color w:val="808080"/>
        </w:rPr>
        <w:t>-- ASN1START</w:t>
      </w:r>
    </w:p>
    <w:p w14:paraId="29288608" w14:textId="77777777" w:rsidR="00807B1C" w:rsidRPr="00FA0D37" w:rsidRDefault="00807B1C" w:rsidP="00FA0D37">
      <w:pPr>
        <w:pStyle w:val="PL"/>
        <w:rPr>
          <w:color w:val="808080"/>
        </w:rPr>
      </w:pPr>
      <w:r w:rsidRPr="00FA0D37">
        <w:rPr>
          <w:color w:val="808080"/>
        </w:rPr>
        <w:t>-- TAG-MTCH-SSB-MAPPINGWINDOWLIST-START</w:t>
      </w:r>
    </w:p>
    <w:p w14:paraId="12AAA82B" w14:textId="77777777" w:rsidR="00807B1C" w:rsidRPr="00FA0D37" w:rsidRDefault="00807B1C" w:rsidP="00FA0D37">
      <w:pPr>
        <w:pStyle w:val="PL"/>
      </w:pPr>
    </w:p>
    <w:p w14:paraId="38022322" w14:textId="77777777" w:rsidR="00807B1C" w:rsidRPr="00FA0D37" w:rsidRDefault="00807B1C" w:rsidP="00FA0D37">
      <w:pPr>
        <w:pStyle w:val="PL"/>
      </w:pPr>
      <w:r w:rsidRPr="00FA0D37">
        <w:t xml:space="preserve">MTCH-SSB-MappingWindowList-r17 ::= </w:t>
      </w:r>
      <w:r w:rsidRPr="00FA0D37">
        <w:rPr>
          <w:color w:val="993366"/>
        </w:rPr>
        <w:t>SEQUENCE</w:t>
      </w:r>
      <w:r w:rsidRPr="00FA0D37">
        <w:t xml:space="preserve"> (</w:t>
      </w:r>
      <w:r w:rsidRPr="00FA0D37">
        <w:rPr>
          <w:color w:val="993366"/>
        </w:rPr>
        <w:t>SIZE</w:t>
      </w:r>
      <w:r w:rsidRPr="00FA0D37">
        <w:t xml:space="preserve"> (1..maxNrofMTCH-SSB-MappingWindow</w:t>
      </w:r>
      <w:r w:rsidRPr="00FA0D37">
        <w:rPr>
          <w:rFonts w:eastAsia="等线"/>
        </w:rPr>
        <w:t>-</w:t>
      </w:r>
      <w:r w:rsidRPr="00FA0D37">
        <w:t>r17))</w:t>
      </w:r>
      <w:r w:rsidRPr="00FA0D37">
        <w:rPr>
          <w:color w:val="993366"/>
        </w:rPr>
        <w:t xml:space="preserve"> OF</w:t>
      </w:r>
      <w:r w:rsidRPr="00FA0D37">
        <w:t xml:space="preserve"> MTCH-SSB-MappingWindowCycleOffset-r17</w:t>
      </w:r>
    </w:p>
    <w:p w14:paraId="450A9AF4" w14:textId="77777777" w:rsidR="00807B1C" w:rsidRPr="00FA0D37" w:rsidRDefault="00807B1C" w:rsidP="00FA0D37">
      <w:pPr>
        <w:pStyle w:val="PL"/>
      </w:pPr>
    </w:p>
    <w:p w14:paraId="42E7670B" w14:textId="74901A8B" w:rsidR="00807B1C" w:rsidRPr="00FA0D37" w:rsidRDefault="00807B1C" w:rsidP="00FA0D37">
      <w:pPr>
        <w:pStyle w:val="PL"/>
      </w:pPr>
      <w:r w:rsidRPr="00FA0D37">
        <w:t xml:space="preserve">MTCH-SSB-MappingWindowCycleOffset-r17 ::= </w:t>
      </w:r>
      <w:r w:rsidRPr="00FA0D37">
        <w:rPr>
          <w:color w:val="993366"/>
        </w:rPr>
        <w:t>CHOICE</w:t>
      </w:r>
      <w:r w:rsidRPr="00FA0D37">
        <w:t xml:space="preserve"> {</w:t>
      </w:r>
    </w:p>
    <w:p w14:paraId="4268FA1F" w14:textId="065C327F" w:rsidR="00807B1C" w:rsidRPr="00FA0D37" w:rsidRDefault="00807B1C" w:rsidP="00FA0D37">
      <w:pPr>
        <w:pStyle w:val="PL"/>
      </w:pPr>
      <w:r w:rsidRPr="00FA0D37">
        <w:t xml:space="preserve">    ms10                                      </w:t>
      </w:r>
      <w:r w:rsidRPr="00FA0D37">
        <w:rPr>
          <w:color w:val="993366"/>
        </w:rPr>
        <w:t>INTEGER</w:t>
      </w:r>
      <w:r w:rsidRPr="00FA0D37">
        <w:t>(0..9),</w:t>
      </w:r>
    </w:p>
    <w:p w14:paraId="50504B08" w14:textId="1061D8D2" w:rsidR="00807B1C" w:rsidRPr="00FA0D37" w:rsidRDefault="00807B1C" w:rsidP="00FA0D37">
      <w:pPr>
        <w:pStyle w:val="PL"/>
      </w:pPr>
      <w:r w:rsidRPr="00FA0D37">
        <w:t xml:space="preserve">    ms20                                      </w:t>
      </w:r>
      <w:r w:rsidRPr="00FA0D37">
        <w:rPr>
          <w:color w:val="993366"/>
        </w:rPr>
        <w:t>INTEGER</w:t>
      </w:r>
      <w:r w:rsidRPr="00FA0D37">
        <w:t>(0..19),</w:t>
      </w:r>
    </w:p>
    <w:p w14:paraId="335B4E98" w14:textId="31BDEA8F" w:rsidR="00807B1C" w:rsidRPr="00FA0D37" w:rsidRDefault="00807B1C" w:rsidP="00FA0D37">
      <w:pPr>
        <w:pStyle w:val="PL"/>
      </w:pPr>
      <w:r w:rsidRPr="00FA0D37">
        <w:t xml:space="preserve">    ms32                                      </w:t>
      </w:r>
      <w:r w:rsidRPr="00FA0D37">
        <w:rPr>
          <w:color w:val="993366"/>
        </w:rPr>
        <w:t>INTEGER</w:t>
      </w:r>
      <w:r w:rsidRPr="00FA0D37">
        <w:t>(0..31),</w:t>
      </w:r>
    </w:p>
    <w:p w14:paraId="50E2EB25" w14:textId="045D5244" w:rsidR="00807B1C" w:rsidRPr="00FA0D37" w:rsidRDefault="00807B1C" w:rsidP="00FA0D37">
      <w:pPr>
        <w:pStyle w:val="PL"/>
      </w:pPr>
      <w:r w:rsidRPr="00FA0D37">
        <w:t xml:space="preserve">    ms64                                      </w:t>
      </w:r>
      <w:r w:rsidRPr="00FA0D37">
        <w:rPr>
          <w:color w:val="993366"/>
        </w:rPr>
        <w:t>INTEGER</w:t>
      </w:r>
      <w:r w:rsidRPr="00FA0D37">
        <w:t>(0..63),</w:t>
      </w:r>
    </w:p>
    <w:p w14:paraId="2C63C0AF" w14:textId="4151A21E" w:rsidR="00807B1C" w:rsidRPr="00FA0D37" w:rsidRDefault="00807B1C" w:rsidP="00FA0D37">
      <w:pPr>
        <w:pStyle w:val="PL"/>
      </w:pPr>
      <w:r w:rsidRPr="00FA0D37">
        <w:t xml:space="preserve">    ms128                                     </w:t>
      </w:r>
      <w:r w:rsidRPr="00FA0D37">
        <w:rPr>
          <w:color w:val="993366"/>
        </w:rPr>
        <w:t>INTEGER</w:t>
      </w:r>
      <w:r w:rsidRPr="00FA0D37">
        <w:t>(0..127),</w:t>
      </w:r>
    </w:p>
    <w:p w14:paraId="09E3D60A" w14:textId="24147ECF" w:rsidR="00807B1C" w:rsidRPr="00FA0D37" w:rsidRDefault="00807B1C" w:rsidP="00FA0D37">
      <w:pPr>
        <w:pStyle w:val="PL"/>
      </w:pPr>
      <w:r w:rsidRPr="00FA0D37">
        <w:t xml:space="preserve">    ms256                                     </w:t>
      </w:r>
      <w:r w:rsidRPr="00FA0D37">
        <w:rPr>
          <w:color w:val="993366"/>
        </w:rPr>
        <w:t>INTEGER</w:t>
      </w:r>
      <w:r w:rsidRPr="00FA0D37">
        <w:t>(0..255)</w:t>
      </w:r>
    </w:p>
    <w:p w14:paraId="0496F6A8" w14:textId="77777777" w:rsidR="00807B1C" w:rsidRPr="00FA0D37" w:rsidRDefault="00807B1C" w:rsidP="00FA0D37">
      <w:pPr>
        <w:pStyle w:val="PL"/>
      </w:pPr>
      <w:r w:rsidRPr="00FA0D37">
        <w:t>}</w:t>
      </w:r>
    </w:p>
    <w:p w14:paraId="2E814746" w14:textId="77777777" w:rsidR="00807B1C" w:rsidRPr="00FA0D37" w:rsidRDefault="00807B1C" w:rsidP="00FA0D37">
      <w:pPr>
        <w:pStyle w:val="PL"/>
      </w:pPr>
    </w:p>
    <w:p w14:paraId="309823C5" w14:textId="77777777" w:rsidR="00807B1C" w:rsidRPr="00FA0D37" w:rsidRDefault="00807B1C" w:rsidP="00FA0D37">
      <w:pPr>
        <w:pStyle w:val="PL"/>
        <w:rPr>
          <w:color w:val="808080"/>
        </w:rPr>
      </w:pPr>
      <w:r w:rsidRPr="00FA0D37">
        <w:rPr>
          <w:color w:val="808080"/>
        </w:rPr>
        <w:t>-- TAG-MTCH-SSB-MAPPINGWINDOWLIST-STOP</w:t>
      </w:r>
    </w:p>
    <w:p w14:paraId="57A10027" w14:textId="77777777" w:rsidR="00807B1C" w:rsidRPr="00FA0D37" w:rsidRDefault="00807B1C" w:rsidP="00FA0D37">
      <w:pPr>
        <w:pStyle w:val="PL"/>
        <w:rPr>
          <w:color w:val="808080"/>
        </w:rPr>
      </w:pPr>
      <w:r w:rsidRPr="00FA0D37">
        <w:rPr>
          <w:color w:val="808080"/>
        </w:rPr>
        <w:t>-- ASN1STOP</w:t>
      </w:r>
    </w:p>
    <w:p w14:paraId="568FABDD" w14:textId="77777777" w:rsidR="00807B1C" w:rsidRPr="00FA0D37" w:rsidRDefault="00807B1C" w:rsidP="00807B1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6A02DF68" w14:textId="77777777" w:rsidTr="00771058">
        <w:tc>
          <w:tcPr>
            <w:tcW w:w="14173" w:type="dxa"/>
            <w:tcBorders>
              <w:top w:val="single" w:sz="4" w:space="0" w:color="auto"/>
              <w:left w:val="single" w:sz="4" w:space="0" w:color="auto"/>
              <w:bottom w:val="single" w:sz="4" w:space="0" w:color="auto"/>
              <w:right w:val="single" w:sz="4" w:space="0" w:color="auto"/>
            </w:tcBorders>
          </w:tcPr>
          <w:p w14:paraId="60C11300" w14:textId="77777777" w:rsidR="00807B1C" w:rsidRPr="00FA0D37" w:rsidRDefault="00807B1C" w:rsidP="00771058">
            <w:pPr>
              <w:pStyle w:val="TAH"/>
              <w:rPr>
                <w:b w:val="0"/>
                <w:szCs w:val="22"/>
                <w:lang w:eastAsia="sv-SE"/>
              </w:rPr>
            </w:pPr>
            <w:r w:rsidRPr="00FA0D37">
              <w:rPr>
                <w:i/>
                <w:szCs w:val="22"/>
                <w:lang w:eastAsia="sv-SE"/>
              </w:rPr>
              <w:t xml:space="preserve">MTCH-SSB-MappingWindowList </w:t>
            </w:r>
            <w:r w:rsidRPr="00FA0D37">
              <w:rPr>
                <w:szCs w:val="22"/>
                <w:lang w:eastAsia="sv-SE"/>
              </w:rPr>
              <w:t>field descriptions</w:t>
            </w:r>
          </w:p>
        </w:tc>
      </w:tr>
      <w:tr w:rsidR="00807B1C" w:rsidRPr="00FA0D37" w14:paraId="13A301E1" w14:textId="77777777" w:rsidTr="00771058">
        <w:tc>
          <w:tcPr>
            <w:tcW w:w="14173" w:type="dxa"/>
            <w:tcBorders>
              <w:top w:val="single" w:sz="4" w:space="0" w:color="auto"/>
              <w:left w:val="single" w:sz="4" w:space="0" w:color="auto"/>
              <w:bottom w:val="single" w:sz="4" w:space="0" w:color="auto"/>
              <w:right w:val="single" w:sz="4" w:space="0" w:color="auto"/>
            </w:tcBorders>
          </w:tcPr>
          <w:p w14:paraId="0B419504" w14:textId="77777777" w:rsidR="00807B1C" w:rsidRPr="00FA0D37" w:rsidRDefault="00807B1C" w:rsidP="00771058">
            <w:pPr>
              <w:pStyle w:val="TAL"/>
              <w:rPr>
                <w:b/>
                <w:i/>
                <w:szCs w:val="22"/>
                <w:lang w:eastAsia="sv-SE"/>
              </w:rPr>
            </w:pPr>
            <w:r w:rsidRPr="00FA0D37">
              <w:rPr>
                <w:b/>
                <w:i/>
                <w:szCs w:val="22"/>
                <w:lang w:eastAsia="sv-SE"/>
              </w:rPr>
              <w:t>MTCH-SSB-MappingWindowCycleOffset</w:t>
            </w:r>
          </w:p>
          <w:p w14:paraId="6DFE7412" w14:textId="23B8B191" w:rsidR="00807B1C" w:rsidRPr="00FA0D37" w:rsidRDefault="00807B1C" w:rsidP="00771058">
            <w:pPr>
              <w:pStyle w:val="TAL"/>
              <w:rPr>
                <w:i/>
                <w:szCs w:val="22"/>
                <w:lang w:eastAsia="sv-SE"/>
              </w:rPr>
            </w:pPr>
            <w:r w:rsidRPr="00FA0D37">
              <w:rPr>
                <w:szCs w:val="22"/>
                <w:lang w:eastAsia="sv-SE"/>
              </w:rPr>
              <w:t xml:space="preserve">Indicates the </w:t>
            </w:r>
            <w:r w:rsidRPr="00FA0D37">
              <w:rPr>
                <w:i/>
                <w:szCs w:val="22"/>
                <w:lang w:eastAsia="sv-SE"/>
              </w:rPr>
              <w:t>cycle</w:t>
            </w:r>
            <w:r w:rsidRPr="00FA0D37">
              <w:rPr>
                <w:szCs w:val="22"/>
                <w:lang w:eastAsia="sv-SE"/>
              </w:rPr>
              <w:t xml:space="preserve"> and </w:t>
            </w:r>
            <w:r w:rsidRPr="00FA0D37">
              <w:rPr>
                <w:i/>
                <w:szCs w:val="22"/>
                <w:lang w:eastAsia="sv-SE"/>
              </w:rPr>
              <w:t xml:space="preserve">offset </w:t>
            </w:r>
            <w:r w:rsidRPr="00FA0D37">
              <w:rPr>
                <w:szCs w:val="22"/>
                <w:lang w:eastAsia="sv-SE"/>
              </w:rPr>
              <w:t xml:space="preserve">for </w:t>
            </w:r>
            <w:r w:rsidRPr="00FA0D37">
              <w:rPr>
                <w:iCs/>
                <w:lang w:eastAsia="zh-CN"/>
              </w:rPr>
              <w:t>MTCH PDCCH ocassions to SSB mapping</w:t>
            </w:r>
            <w:r w:rsidRPr="00FA0D37">
              <w:rPr>
                <w:szCs w:val="22"/>
                <w:lang w:eastAsia="sv-SE"/>
              </w:rPr>
              <w:t>. Value</w:t>
            </w:r>
            <w:r w:rsidR="00853B2B" w:rsidRPr="00FA0D37">
              <w:rPr>
                <w:szCs w:val="22"/>
                <w:lang w:eastAsia="sv-SE"/>
              </w:rPr>
              <w:t>s</w:t>
            </w:r>
            <w:r w:rsidRPr="00FA0D37">
              <w:rPr>
                <w:szCs w:val="22"/>
                <w:lang w:eastAsia="sv-SE"/>
              </w:rPr>
              <w:t xml:space="preserve"> in </w:t>
            </w:r>
            <w:r w:rsidR="00853B2B" w:rsidRPr="00FA0D37">
              <w:rPr>
                <w:szCs w:val="22"/>
                <w:lang w:eastAsia="sv-SE"/>
              </w:rPr>
              <w:t>unit of</w:t>
            </w:r>
            <w:r w:rsidRPr="00FA0D37">
              <w:rPr>
                <w:szCs w:val="22"/>
                <w:lang w:eastAsia="sv-SE"/>
              </w:rPr>
              <w:t xml:space="preserve"> ms. </w:t>
            </w:r>
            <w:r w:rsidR="00853B2B" w:rsidRPr="00FA0D37">
              <w:rPr>
                <w:i/>
                <w:lang w:eastAsia="sv-SE"/>
              </w:rPr>
              <w:t>ms10</w:t>
            </w:r>
            <w:r w:rsidR="00853B2B" w:rsidRPr="00FA0D37">
              <w:rPr>
                <w:szCs w:val="22"/>
                <w:lang w:eastAsia="sv-SE"/>
              </w:rPr>
              <w:t xml:space="preserve"> corresponds to </w:t>
            </w:r>
            <w:r w:rsidR="00853B2B" w:rsidRPr="00FA0D37">
              <w:rPr>
                <w:iCs/>
                <w:szCs w:val="22"/>
                <w:lang w:eastAsia="sv-SE"/>
              </w:rPr>
              <w:t>cycle</w:t>
            </w:r>
            <w:r w:rsidR="00853B2B" w:rsidRPr="00FA0D37">
              <w:rPr>
                <w:szCs w:val="22"/>
                <w:lang w:eastAsia="sv-SE"/>
              </w:rPr>
              <w:t xml:space="preserve"> of 10 ms with corresponding offset between 0 and 9 ms, value </w:t>
            </w:r>
            <w:r w:rsidRPr="00FA0D37">
              <w:rPr>
                <w:i/>
                <w:lang w:eastAsia="sv-SE"/>
              </w:rPr>
              <w:t>ms20</w:t>
            </w:r>
            <w:r w:rsidRPr="00FA0D37">
              <w:rPr>
                <w:szCs w:val="22"/>
                <w:lang w:eastAsia="sv-SE"/>
              </w:rPr>
              <w:t xml:space="preserve"> corresponds to </w:t>
            </w:r>
            <w:r w:rsidR="00853B2B" w:rsidRPr="00FA0D37">
              <w:rPr>
                <w:szCs w:val="22"/>
                <w:lang w:eastAsia="sv-SE"/>
              </w:rPr>
              <w:t xml:space="preserve">cycle of </w:t>
            </w:r>
            <w:r w:rsidRPr="00FA0D37">
              <w:rPr>
                <w:szCs w:val="22"/>
                <w:lang w:eastAsia="sv-SE"/>
              </w:rPr>
              <w:t>20</w:t>
            </w:r>
            <w:r w:rsidR="00853B2B" w:rsidRPr="00FA0D37">
              <w:rPr>
                <w:szCs w:val="22"/>
                <w:lang w:eastAsia="sv-SE"/>
              </w:rPr>
              <w:t xml:space="preserve"> </w:t>
            </w:r>
            <w:r w:rsidRPr="00FA0D37">
              <w:rPr>
                <w:szCs w:val="22"/>
                <w:lang w:eastAsia="sv-SE"/>
              </w:rPr>
              <w:t>ms</w:t>
            </w:r>
            <w:r w:rsidR="00853B2B" w:rsidRPr="00FA0D37">
              <w:rPr>
                <w:szCs w:val="22"/>
                <w:lang w:eastAsia="sv-SE"/>
              </w:rPr>
              <w:t xml:space="preserve"> with corresponding offset between 0 and 19 ms</w:t>
            </w:r>
            <w:r w:rsidRPr="00FA0D37">
              <w:rPr>
                <w:szCs w:val="22"/>
                <w:lang w:eastAsia="sv-SE"/>
              </w:rPr>
              <w:t xml:space="preserve">, and so on. The mapping window starts at a subframe in a SFN where </w:t>
            </w:r>
            <w:r w:rsidRPr="00FA0D37">
              <w:rPr>
                <w:noProof/>
                <w:lang w:eastAsia="ko-KR"/>
              </w:rPr>
              <w:t>[(SFN number × 10) + subframe number] modulo (</w:t>
            </w:r>
            <w:r w:rsidRPr="00FA0D37">
              <w:rPr>
                <w:i/>
                <w:szCs w:val="22"/>
                <w:lang w:eastAsia="sv-SE"/>
              </w:rPr>
              <w:t>cycle</w:t>
            </w:r>
            <w:r w:rsidRPr="00FA0D37">
              <w:rPr>
                <w:noProof/>
                <w:lang w:eastAsia="ko-KR"/>
              </w:rPr>
              <w:t xml:space="preserve">) = </w:t>
            </w:r>
            <w:r w:rsidRPr="00FA0D37">
              <w:rPr>
                <w:i/>
                <w:szCs w:val="22"/>
                <w:lang w:eastAsia="sv-SE"/>
              </w:rPr>
              <w:t>offset.</w:t>
            </w:r>
          </w:p>
          <w:p w14:paraId="06E17DC7" w14:textId="1E3405D7" w:rsidR="00807B1C" w:rsidRPr="00FA0D37" w:rsidRDefault="00853B2B" w:rsidP="00F747EB">
            <w:pPr>
              <w:pStyle w:val="TAL"/>
              <w:rPr>
                <w:lang w:eastAsia="sv-SE"/>
              </w:rPr>
            </w:pPr>
            <w:r w:rsidRPr="00FA0D37">
              <w:t xml:space="preserve">PDCCH monitoring occasions for MTCH in a mapping window which are not overlapping with UL symbols (determined according to </w:t>
            </w:r>
            <w:r w:rsidRPr="00FA0D37">
              <w:rPr>
                <w:i/>
                <w:iCs/>
              </w:rPr>
              <w:t>tdd-UL-DL-ConfigurationCommon</w:t>
            </w:r>
            <w:r w:rsidRPr="00FA0D37">
              <w:t xml:space="preserve">) are sequentially numbered starting from 1 in the maping window. </w:t>
            </w:r>
            <w:r w:rsidR="00807B1C" w:rsidRPr="00FA0D37">
              <w:t>The [x×N+K]</w:t>
            </w:r>
            <w:r w:rsidR="00807B1C" w:rsidRPr="00FA0D37">
              <w:rPr>
                <w:vertAlign w:val="superscript"/>
              </w:rPr>
              <w:t>th</w:t>
            </w:r>
            <w:r w:rsidR="00807B1C" w:rsidRPr="00FA0D37">
              <w:t xml:space="preserve"> PDCCH monitoring occasion for MTCH in this mapping window corresponds to the K</w:t>
            </w:r>
            <w:r w:rsidR="00807B1C" w:rsidRPr="00FA0D37">
              <w:rPr>
                <w:vertAlign w:val="superscript"/>
              </w:rPr>
              <w:t>th</w:t>
            </w:r>
            <w:r w:rsidR="00807B1C" w:rsidRPr="00FA0D37">
              <w:t xml:space="preserve"> transmitted SSB, where x = 0, 1, ...X-1, K = 1, 2, …N, N is the number of actual transmitted SSBs determined according to </w:t>
            </w:r>
            <w:r w:rsidR="00807B1C" w:rsidRPr="00FA0D37">
              <w:rPr>
                <w:i/>
              </w:rPr>
              <w:t>ssb-PositionsInBurst</w:t>
            </w:r>
            <w:r w:rsidR="00807B1C" w:rsidRPr="00FA0D37">
              <w:t xml:space="preserve"> in </w:t>
            </w:r>
            <w:r w:rsidR="00807B1C" w:rsidRPr="00FA0D37">
              <w:rPr>
                <w:i/>
              </w:rPr>
              <w:t>SIB1</w:t>
            </w:r>
            <w:r w:rsidR="00807B1C" w:rsidRPr="00FA0D37">
              <w:t xml:space="preserve"> and X is equal to CEIL(number of PDCCH monitoring occasions in MTCH to SSB mapping transmission window/N). The actual transmitted SSBs are sequentially numbered from one in ascending order of their SSB indexes.</w:t>
            </w:r>
          </w:p>
        </w:tc>
      </w:tr>
    </w:tbl>
    <w:p w14:paraId="6F8BCC42" w14:textId="77777777" w:rsidR="00807B1C" w:rsidRPr="00FA0D37" w:rsidRDefault="00807B1C" w:rsidP="00807B1C">
      <w:pPr>
        <w:rPr>
          <w:rFonts w:eastAsiaTheme="minorEastAsia"/>
        </w:rPr>
      </w:pPr>
    </w:p>
    <w:p w14:paraId="6127F0AB" w14:textId="1CE8CE86" w:rsidR="00807B1C" w:rsidRPr="00FA0D37" w:rsidRDefault="00807B1C" w:rsidP="00807B1C">
      <w:pPr>
        <w:pStyle w:val="4"/>
      </w:pPr>
      <w:bookmarkStart w:id="2209" w:name="_Toc146781695"/>
      <w:r w:rsidRPr="00FA0D37">
        <w:lastRenderedPageBreak/>
        <w:t>–</w:t>
      </w:r>
      <w:r w:rsidRPr="00FA0D37">
        <w:tab/>
      </w:r>
      <w:r w:rsidRPr="00FA0D37">
        <w:rPr>
          <w:i/>
        </w:rPr>
        <w:t>PDSCH-ConfigBroadcast</w:t>
      </w:r>
      <w:bookmarkEnd w:id="2209"/>
    </w:p>
    <w:p w14:paraId="74A506FA" w14:textId="77777777" w:rsidR="00F747EB" w:rsidRPr="00FA0D37" w:rsidRDefault="00807B1C" w:rsidP="00807B1C">
      <w:r w:rsidRPr="00FA0D37">
        <w:t xml:space="preserve">The IE </w:t>
      </w:r>
      <w:r w:rsidRPr="00FA0D37">
        <w:rPr>
          <w:i/>
        </w:rPr>
        <w:t xml:space="preserve">PDSCH-ConfigBroadcast </w:t>
      </w:r>
      <w:r w:rsidRPr="00FA0D37">
        <w:t>is used to configure parameters for acquiring the PDSCH for MCCH and MTCH.</w:t>
      </w:r>
    </w:p>
    <w:p w14:paraId="03C107A1" w14:textId="7A098FAA" w:rsidR="00807B1C" w:rsidRPr="00FA0D37" w:rsidRDefault="00807B1C" w:rsidP="00807B1C">
      <w:pPr>
        <w:pStyle w:val="TH"/>
        <w:rPr>
          <w:bCs/>
          <w:i/>
          <w:iCs/>
        </w:rPr>
      </w:pPr>
      <w:r w:rsidRPr="00FA0D37">
        <w:rPr>
          <w:bCs/>
          <w:i/>
          <w:iCs/>
          <w:lang w:eastAsia="zh-CN"/>
        </w:rPr>
        <w:t>PDSCH-</w:t>
      </w:r>
      <w:r w:rsidRPr="00FA0D37">
        <w:rPr>
          <w:i/>
        </w:rPr>
        <w:t>ConfigBroadcast</w:t>
      </w:r>
      <w:r w:rsidRPr="00FA0D37">
        <w:rPr>
          <w:bCs/>
          <w:i/>
          <w:iCs/>
        </w:rPr>
        <w:t xml:space="preserve"> </w:t>
      </w:r>
      <w:r w:rsidRPr="00FA0D37">
        <w:t>information element</w:t>
      </w:r>
    </w:p>
    <w:p w14:paraId="1F4E5287" w14:textId="77777777" w:rsidR="00807B1C" w:rsidRPr="00FA0D37" w:rsidRDefault="00807B1C" w:rsidP="00FA0D37">
      <w:pPr>
        <w:pStyle w:val="PL"/>
        <w:rPr>
          <w:color w:val="808080"/>
        </w:rPr>
      </w:pPr>
      <w:r w:rsidRPr="00FA0D37">
        <w:rPr>
          <w:color w:val="808080"/>
        </w:rPr>
        <w:t>-- ASN1START</w:t>
      </w:r>
    </w:p>
    <w:p w14:paraId="1AC0D0DF" w14:textId="77777777" w:rsidR="00807B1C" w:rsidRPr="00FA0D37" w:rsidRDefault="00807B1C" w:rsidP="00FA0D37">
      <w:pPr>
        <w:pStyle w:val="PL"/>
        <w:rPr>
          <w:color w:val="808080"/>
        </w:rPr>
      </w:pPr>
      <w:r w:rsidRPr="00FA0D37">
        <w:rPr>
          <w:color w:val="808080"/>
        </w:rPr>
        <w:t>-- TAG-PDSCH-CONFIGBROADCAST-START</w:t>
      </w:r>
    </w:p>
    <w:p w14:paraId="7219CDF4" w14:textId="77777777" w:rsidR="00807B1C" w:rsidRPr="00FA0D37" w:rsidRDefault="00807B1C" w:rsidP="00FA0D37">
      <w:pPr>
        <w:pStyle w:val="PL"/>
      </w:pPr>
    </w:p>
    <w:p w14:paraId="62FF0CC3" w14:textId="7AED4AE3" w:rsidR="00807B1C" w:rsidRPr="00FA0D37" w:rsidRDefault="00807B1C" w:rsidP="00FA0D37">
      <w:pPr>
        <w:pStyle w:val="PL"/>
      </w:pPr>
      <w:r w:rsidRPr="00FA0D37">
        <w:t xml:space="preserve">PDSCH-ConfigBroadcast-r17 ::= </w:t>
      </w:r>
      <w:r w:rsidRPr="00FA0D37">
        <w:rPr>
          <w:color w:val="993366"/>
        </w:rPr>
        <w:t>SEQUENCE</w:t>
      </w:r>
      <w:r w:rsidRPr="00FA0D37">
        <w:t xml:space="preserve"> {</w:t>
      </w:r>
    </w:p>
    <w:p w14:paraId="6D99903F" w14:textId="77777777" w:rsidR="00807B1C" w:rsidRPr="00FA0D37" w:rsidRDefault="00807B1C" w:rsidP="00FA0D37">
      <w:pPr>
        <w:pStyle w:val="PL"/>
      </w:pPr>
      <w:r w:rsidRPr="00FA0D37">
        <w:t xml:space="preserve">    pdschConfigList-r17                    </w:t>
      </w:r>
      <w:r w:rsidRPr="00FA0D37">
        <w:rPr>
          <w:color w:val="993366"/>
        </w:rPr>
        <w:t>SEQUENCE</w:t>
      </w:r>
      <w:r w:rsidRPr="00FA0D37">
        <w:t xml:space="preserve"> (</w:t>
      </w:r>
      <w:r w:rsidRPr="00FA0D37">
        <w:rPr>
          <w:color w:val="993366"/>
        </w:rPr>
        <w:t>SIZE</w:t>
      </w:r>
      <w:r w:rsidRPr="00FA0D37">
        <w:t xml:space="preserve"> (1..maxNrofPDSCH-ConfigPTM-r17) )</w:t>
      </w:r>
      <w:r w:rsidRPr="00FA0D37">
        <w:rPr>
          <w:color w:val="993366"/>
        </w:rPr>
        <w:t xml:space="preserve"> OF</w:t>
      </w:r>
      <w:r w:rsidRPr="00FA0D37">
        <w:t xml:space="preserve"> PDSCH-ConfigPTM-r17,</w:t>
      </w:r>
    </w:p>
    <w:p w14:paraId="373FA0F2" w14:textId="77777777" w:rsidR="00807B1C" w:rsidRPr="00FA0D37" w:rsidRDefault="00807B1C" w:rsidP="00FA0D37">
      <w:pPr>
        <w:pStyle w:val="PL"/>
        <w:rPr>
          <w:color w:val="808080"/>
        </w:rPr>
      </w:pPr>
      <w:r w:rsidRPr="00FA0D37">
        <w:t xml:space="preserve">    pdsch-TimeDomainAllocationList-r17     PDSCH-TimeDomainResourceAllocationList-r16                          </w:t>
      </w:r>
      <w:r w:rsidRPr="00FA0D37">
        <w:rPr>
          <w:color w:val="993366"/>
        </w:rPr>
        <w:t>OPTIONAL</w:t>
      </w:r>
      <w:r w:rsidRPr="00FA0D37">
        <w:t xml:space="preserve">,   </w:t>
      </w:r>
      <w:r w:rsidRPr="00FA0D37">
        <w:rPr>
          <w:color w:val="808080"/>
        </w:rPr>
        <w:t>-- Need R</w:t>
      </w:r>
    </w:p>
    <w:p w14:paraId="1F0E38A9" w14:textId="77777777" w:rsidR="00807B1C" w:rsidRPr="00FA0D37" w:rsidRDefault="00807B1C" w:rsidP="00FA0D37">
      <w:pPr>
        <w:pStyle w:val="PL"/>
        <w:rPr>
          <w:color w:val="808080"/>
        </w:rPr>
      </w:pPr>
      <w:r w:rsidRPr="00FA0D37">
        <w:t xml:space="preserve">    rateMatchPatternToAddModList-r17       </w:t>
      </w:r>
      <w:r w:rsidRPr="00FA0D37">
        <w:rPr>
          <w:color w:val="993366"/>
        </w:rPr>
        <w:t>SEQUENCE</w:t>
      </w:r>
      <w:r w:rsidRPr="00FA0D37">
        <w:t xml:space="preserve"> (</w:t>
      </w:r>
      <w:r w:rsidRPr="00FA0D37">
        <w:rPr>
          <w:color w:val="993366"/>
        </w:rPr>
        <w:t>SIZE</w:t>
      </w:r>
      <w:r w:rsidRPr="00FA0D37">
        <w:t xml:space="preserve"> (1..maxNrofRateMatchPatterns))</w:t>
      </w:r>
      <w:r w:rsidRPr="00FA0D37">
        <w:rPr>
          <w:color w:val="993366"/>
        </w:rPr>
        <w:t xml:space="preserve"> OF</w:t>
      </w:r>
      <w:r w:rsidRPr="00FA0D37">
        <w:t xml:space="preserve"> RateMatchPattern   </w:t>
      </w:r>
      <w:r w:rsidRPr="00FA0D37">
        <w:rPr>
          <w:color w:val="993366"/>
        </w:rPr>
        <w:t>OPTIONAL</w:t>
      </w:r>
      <w:r w:rsidRPr="00FA0D37">
        <w:t xml:space="preserve">,   </w:t>
      </w:r>
      <w:r w:rsidRPr="00FA0D37">
        <w:rPr>
          <w:color w:val="808080"/>
        </w:rPr>
        <w:t>-- Need R</w:t>
      </w:r>
    </w:p>
    <w:p w14:paraId="7FA06F93" w14:textId="4CD0CD4A" w:rsidR="00807B1C" w:rsidRPr="00FA0D37" w:rsidRDefault="00807B1C" w:rsidP="00FA0D37">
      <w:pPr>
        <w:pStyle w:val="PL"/>
        <w:rPr>
          <w:color w:val="808080"/>
        </w:rPr>
      </w:pPr>
      <w:r w:rsidRPr="00FA0D37">
        <w:t xml:space="preserve">    lte-CRS-ToMatchAround</w:t>
      </w:r>
      <w:r w:rsidR="00853B2B" w:rsidRPr="00FA0D37">
        <w:t>-r17</w:t>
      </w:r>
      <w:r w:rsidRPr="00FA0D37">
        <w:t xml:space="preserve">              RateMatchPatternLTE-CRS                                             </w:t>
      </w:r>
      <w:r w:rsidRPr="00FA0D37">
        <w:rPr>
          <w:color w:val="993366"/>
        </w:rPr>
        <w:t>OPTIONAL</w:t>
      </w:r>
      <w:r w:rsidRPr="00FA0D37">
        <w:t xml:space="preserve">,   </w:t>
      </w:r>
      <w:r w:rsidRPr="00FA0D37">
        <w:rPr>
          <w:color w:val="808080"/>
        </w:rPr>
        <w:t>-- Need R</w:t>
      </w:r>
    </w:p>
    <w:p w14:paraId="48E565D8" w14:textId="77777777" w:rsidR="00807B1C" w:rsidRPr="00FA0D37" w:rsidRDefault="00807B1C" w:rsidP="00FA0D37">
      <w:pPr>
        <w:pStyle w:val="PL"/>
        <w:rPr>
          <w:color w:val="808080"/>
        </w:rPr>
      </w:pPr>
      <w:r w:rsidRPr="00FA0D37">
        <w:t xml:space="preserve">    mcs-Table-r17                          </w:t>
      </w:r>
      <w:r w:rsidRPr="00FA0D37">
        <w:rPr>
          <w:color w:val="993366"/>
        </w:rPr>
        <w:t>ENUMERATED</w:t>
      </w:r>
      <w:r w:rsidRPr="00FA0D37">
        <w:t xml:space="preserve"> {qam256, qam64LowSE}                                     </w:t>
      </w:r>
      <w:r w:rsidRPr="00FA0D37">
        <w:rPr>
          <w:color w:val="993366"/>
        </w:rPr>
        <w:t>OPTIONAL</w:t>
      </w:r>
      <w:r w:rsidRPr="00FA0D37">
        <w:t xml:space="preserve">,   </w:t>
      </w:r>
      <w:r w:rsidRPr="00FA0D37">
        <w:rPr>
          <w:color w:val="808080"/>
        </w:rPr>
        <w:t>-- Need S</w:t>
      </w:r>
    </w:p>
    <w:p w14:paraId="2380EAA9" w14:textId="77777777" w:rsidR="00807B1C" w:rsidRPr="00FA0D37" w:rsidRDefault="00807B1C" w:rsidP="00FA0D37">
      <w:pPr>
        <w:pStyle w:val="PL"/>
        <w:rPr>
          <w:color w:val="808080"/>
        </w:rPr>
      </w:pPr>
      <w:r w:rsidRPr="00FA0D37">
        <w:t xml:space="preserve">    xOverhead-r17                          </w:t>
      </w:r>
      <w:r w:rsidRPr="00FA0D37">
        <w:rPr>
          <w:color w:val="993366"/>
        </w:rPr>
        <w:t>ENUMERATED</w:t>
      </w:r>
      <w:r w:rsidRPr="00FA0D37">
        <w:t xml:space="preserve"> {xOh6, xOh12, xOh18}                                     </w:t>
      </w:r>
      <w:r w:rsidRPr="00FA0D37">
        <w:rPr>
          <w:color w:val="993366"/>
        </w:rPr>
        <w:t>OPTIONAL</w:t>
      </w:r>
      <w:r w:rsidRPr="00FA0D37">
        <w:t xml:space="preserve">    </w:t>
      </w:r>
      <w:r w:rsidRPr="00FA0D37">
        <w:rPr>
          <w:color w:val="808080"/>
        </w:rPr>
        <w:t>-- Need S</w:t>
      </w:r>
    </w:p>
    <w:p w14:paraId="23B70B0C" w14:textId="77777777" w:rsidR="00807B1C" w:rsidRPr="00FA0D37" w:rsidRDefault="00807B1C" w:rsidP="00FA0D37">
      <w:pPr>
        <w:pStyle w:val="PL"/>
      </w:pPr>
      <w:r w:rsidRPr="00FA0D37">
        <w:t>}</w:t>
      </w:r>
    </w:p>
    <w:p w14:paraId="402F80EF" w14:textId="77777777" w:rsidR="00807B1C" w:rsidRPr="00FA0D37" w:rsidRDefault="00807B1C" w:rsidP="00FA0D37">
      <w:pPr>
        <w:pStyle w:val="PL"/>
      </w:pPr>
    </w:p>
    <w:p w14:paraId="797225CA" w14:textId="0457FC0F" w:rsidR="00807B1C" w:rsidRPr="00FA0D37" w:rsidRDefault="00807B1C" w:rsidP="00FA0D37">
      <w:pPr>
        <w:pStyle w:val="PL"/>
      </w:pPr>
      <w:r w:rsidRPr="00FA0D37">
        <w:t xml:space="preserve">PDSCH-ConfigPTM-r17 ::= </w:t>
      </w:r>
      <w:r w:rsidRPr="00FA0D37">
        <w:rPr>
          <w:color w:val="993366"/>
        </w:rPr>
        <w:t>SEQUENCE</w:t>
      </w:r>
      <w:r w:rsidRPr="00FA0D37">
        <w:t xml:space="preserve"> {</w:t>
      </w:r>
    </w:p>
    <w:p w14:paraId="2B20B5D6" w14:textId="016074F7" w:rsidR="00807B1C" w:rsidRPr="00FA0D37" w:rsidRDefault="00807B1C" w:rsidP="00FA0D37">
      <w:pPr>
        <w:pStyle w:val="PL"/>
        <w:rPr>
          <w:color w:val="808080"/>
        </w:rPr>
      </w:pPr>
      <w:r w:rsidRPr="00FA0D37">
        <w:t xml:space="preserve">    dataScramblingIdentityPDSCH-r17        </w:t>
      </w:r>
      <w:r w:rsidRPr="00FA0D37">
        <w:rPr>
          <w:color w:val="993366"/>
        </w:rPr>
        <w:t>INTEGER</w:t>
      </w:r>
      <w:r w:rsidRPr="00FA0D37">
        <w:t xml:space="preserve"> (0..1023) </w:t>
      </w:r>
      <w:r w:rsidR="00853B2B" w:rsidRPr="00FA0D37">
        <w:t xml:space="preserve">        </w:t>
      </w:r>
      <w:r w:rsidRPr="00FA0D37">
        <w:rPr>
          <w:color w:val="993366"/>
        </w:rPr>
        <w:t>OPTIONAL</w:t>
      </w:r>
      <w:r w:rsidRPr="00FA0D37">
        <w:t>,</w:t>
      </w:r>
      <w:r w:rsidR="00853B2B" w:rsidRPr="00FA0D37">
        <w:t xml:space="preserve">  </w:t>
      </w:r>
      <w:r w:rsidRPr="00FA0D37">
        <w:t xml:space="preserve"> </w:t>
      </w:r>
      <w:r w:rsidRPr="00FA0D37">
        <w:rPr>
          <w:color w:val="808080"/>
        </w:rPr>
        <w:t>-- N</w:t>
      </w:r>
      <w:r w:rsidR="00853B2B" w:rsidRPr="00FA0D37">
        <w:rPr>
          <w:color w:val="808080"/>
        </w:rPr>
        <w:t>eed</w:t>
      </w:r>
      <w:r w:rsidRPr="00FA0D37">
        <w:rPr>
          <w:color w:val="808080"/>
        </w:rPr>
        <w:t xml:space="preserve"> S</w:t>
      </w:r>
    </w:p>
    <w:p w14:paraId="20ECAB89" w14:textId="1D11A1E1" w:rsidR="00807B1C" w:rsidRPr="00FA0D37" w:rsidRDefault="00807B1C" w:rsidP="00FA0D37">
      <w:pPr>
        <w:pStyle w:val="PL"/>
        <w:rPr>
          <w:color w:val="808080"/>
        </w:rPr>
      </w:pPr>
      <w:r w:rsidRPr="00FA0D37">
        <w:t xml:space="preserve">    dmrs-ScramblingID0-r17                 </w:t>
      </w:r>
      <w:r w:rsidRPr="00FA0D37">
        <w:rPr>
          <w:color w:val="993366"/>
        </w:rPr>
        <w:t>INTEGER</w:t>
      </w:r>
      <w:r w:rsidRPr="00FA0D37">
        <w:t xml:space="preserve"> (0..65535)  </w:t>
      </w:r>
      <w:r w:rsidR="00853B2B" w:rsidRPr="00FA0D37">
        <w:t xml:space="preserve">      </w:t>
      </w:r>
      <w:r w:rsidRPr="00FA0D37">
        <w:rPr>
          <w:color w:val="993366"/>
        </w:rPr>
        <w:t>OPTIONAL</w:t>
      </w:r>
      <w:r w:rsidRPr="00FA0D37">
        <w:t xml:space="preserve">,   </w:t>
      </w:r>
      <w:r w:rsidRPr="00FA0D37">
        <w:rPr>
          <w:color w:val="808080"/>
        </w:rPr>
        <w:t>-- Need S</w:t>
      </w:r>
    </w:p>
    <w:p w14:paraId="327D639D" w14:textId="56FE4083" w:rsidR="00807B1C" w:rsidRPr="00FA0D37" w:rsidRDefault="00807B1C" w:rsidP="00FA0D37">
      <w:pPr>
        <w:pStyle w:val="PL"/>
        <w:rPr>
          <w:color w:val="808080"/>
        </w:rPr>
      </w:pPr>
      <w:r w:rsidRPr="00FA0D37">
        <w:t xml:space="preserve">    pdsch-AggregationFactor-r17            </w:t>
      </w:r>
      <w:r w:rsidRPr="00FA0D37">
        <w:rPr>
          <w:color w:val="993366"/>
        </w:rPr>
        <w:t>ENUMERATED</w:t>
      </w:r>
      <w:r w:rsidRPr="00FA0D37">
        <w:t xml:space="preserve"> {n2, n4, n8}   </w:t>
      </w:r>
      <w:r w:rsidRPr="00FA0D37">
        <w:rPr>
          <w:color w:val="993366"/>
        </w:rPr>
        <w:t>OPTIONAL</w:t>
      </w:r>
      <w:r w:rsidR="00853B2B" w:rsidRPr="00FA0D37">
        <w:t xml:space="preserve"> </w:t>
      </w:r>
      <w:r w:rsidRPr="00FA0D37">
        <w:t xml:space="preserve">   </w:t>
      </w:r>
      <w:r w:rsidRPr="00FA0D37">
        <w:rPr>
          <w:color w:val="808080"/>
        </w:rPr>
        <w:t>-- Need S</w:t>
      </w:r>
    </w:p>
    <w:p w14:paraId="0F634465" w14:textId="77777777" w:rsidR="00807B1C" w:rsidRPr="00FA0D37" w:rsidRDefault="00807B1C" w:rsidP="00FA0D37">
      <w:pPr>
        <w:pStyle w:val="PL"/>
      </w:pPr>
      <w:r w:rsidRPr="00FA0D37">
        <w:t>}</w:t>
      </w:r>
    </w:p>
    <w:p w14:paraId="6E439FAB" w14:textId="77777777" w:rsidR="00807B1C" w:rsidRPr="00FA0D37" w:rsidRDefault="00807B1C" w:rsidP="00FA0D37">
      <w:pPr>
        <w:pStyle w:val="PL"/>
      </w:pPr>
    </w:p>
    <w:p w14:paraId="3351602D" w14:textId="77777777" w:rsidR="00807B1C" w:rsidRPr="00FA0D37" w:rsidRDefault="00807B1C" w:rsidP="00FA0D37">
      <w:pPr>
        <w:pStyle w:val="PL"/>
        <w:rPr>
          <w:color w:val="808080"/>
        </w:rPr>
      </w:pPr>
      <w:r w:rsidRPr="00FA0D37">
        <w:rPr>
          <w:color w:val="808080"/>
        </w:rPr>
        <w:t>-- TAG-PDSCH-CONFIGBROADCAST-STOP</w:t>
      </w:r>
    </w:p>
    <w:p w14:paraId="53E37E54" w14:textId="77777777" w:rsidR="00807B1C" w:rsidRPr="00FA0D37" w:rsidRDefault="00807B1C" w:rsidP="00FA0D37">
      <w:pPr>
        <w:pStyle w:val="PL"/>
        <w:rPr>
          <w:color w:val="808080"/>
        </w:rPr>
      </w:pPr>
      <w:r w:rsidRPr="00FA0D37">
        <w:rPr>
          <w:color w:val="808080"/>
        </w:rPr>
        <w:t>-- ASN1STOP</w:t>
      </w:r>
    </w:p>
    <w:p w14:paraId="59725081" w14:textId="77777777" w:rsidR="00807B1C" w:rsidRPr="00FA0D37" w:rsidRDefault="00807B1C" w:rsidP="00807B1C">
      <w:pPr>
        <w:pStyle w:val="EditorsNote"/>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0D85C52B" w14:textId="77777777" w:rsidTr="00771058">
        <w:tc>
          <w:tcPr>
            <w:tcW w:w="14173" w:type="dxa"/>
            <w:tcBorders>
              <w:top w:val="single" w:sz="4" w:space="0" w:color="auto"/>
              <w:left w:val="single" w:sz="4" w:space="0" w:color="auto"/>
              <w:bottom w:val="single" w:sz="4" w:space="0" w:color="auto"/>
              <w:right w:val="single" w:sz="4" w:space="0" w:color="auto"/>
            </w:tcBorders>
          </w:tcPr>
          <w:p w14:paraId="11874599" w14:textId="77777777" w:rsidR="00807B1C" w:rsidRPr="00FA0D37" w:rsidRDefault="00807B1C" w:rsidP="00771058">
            <w:pPr>
              <w:pStyle w:val="TAH"/>
              <w:rPr>
                <w:rFonts w:cs="Arial"/>
                <w:b w:val="0"/>
                <w:szCs w:val="22"/>
                <w:lang w:eastAsia="sv-SE"/>
              </w:rPr>
            </w:pPr>
            <w:r w:rsidRPr="00FA0D37">
              <w:rPr>
                <w:rFonts w:cs="Arial"/>
                <w:i/>
                <w:szCs w:val="22"/>
                <w:lang w:eastAsia="sv-SE"/>
              </w:rPr>
              <w:t>PDSCH-</w:t>
            </w:r>
            <w:r w:rsidRPr="00FA0D37">
              <w:rPr>
                <w:i/>
                <w:lang w:eastAsia="zh-CN"/>
              </w:rPr>
              <w:t>ConfigBroadcast</w:t>
            </w:r>
            <w:r w:rsidRPr="00FA0D37">
              <w:rPr>
                <w:rFonts w:cs="Arial"/>
                <w:i/>
                <w:szCs w:val="22"/>
                <w:lang w:eastAsia="sv-SE"/>
              </w:rPr>
              <w:t xml:space="preserve"> </w:t>
            </w:r>
            <w:r w:rsidRPr="00FA0D37">
              <w:rPr>
                <w:rFonts w:cs="Arial"/>
                <w:szCs w:val="22"/>
                <w:lang w:eastAsia="sv-SE"/>
              </w:rPr>
              <w:t>field descriptions</w:t>
            </w:r>
          </w:p>
        </w:tc>
      </w:tr>
      <w:tr w:rsidR="005C7FF4" w:rsidRPr="00FA0D37" w14:paraId="4C465199" w14:textId="77777777" w:rsidTr="00771058">
        <w:tc>
          <w:tcPr>
            <w:tcW w:w="14173" w:type="dxa"/>
            <w:tcBorders>
              <w:top w:val="single" w:sz="4" w:space="0" w:color="auto"/>
              <w:left w:val="single" w:sz="4" w:space="0" w:color="auto"/>
              <w:bottom w:val="single" w:sz="4" w:space="0" w:color="auto"/>
              <w:right w:val="single" w:sz="4" w:space="0" w:color="auto"/>
            </w:tcBorders>
          </w:tcPr>
          <w:p w14:paraId="5FE9BA24" w14:textId="77777777" w:rsidR="00807B1C" w:rsidRPr="00FA0D37" w:rsidRDefault="00807B1C" w:rsidP="00771058">
            <w:pPr>
              <w:pStyle w:val="TAL"/>
              <w:rPr>
                <w:szCs w:val="22"/>
              </w:rPr>
            </w:pPr>
            <w:r w:rsidRPr="00FA0D37">
              <w:rPr>
                <w:b/>
                <w:i/>
                <w:szCs w:val="22"/>
              </w:rPr>
              <w:t>lte-CRS-ToMatchAround</w:t>
            </w:r>
          </w:p>
          <w:p w14:paraId="2496E7C6" w14:textId="77777777" w:rsidR="00807B1C" w:rsidRPr="00FA0D37" w:rsidRDefault="00807B1C" w:rsidP="000830BB">
            <w:pPr>
              <w:pStyle w:val="TAL"/>
              <w:rPr>
                <w:i/>
                <w:szCs w:val="22"/>
                <w:lang w:eastAsia="sv-SE"/>
              </w:rPr>
            </w:pPr>
            <w:r w:rsidRPr="00FA0D37">
              <w:rPr>
                <w:lang w:eastAsia="sv-SE"/>
              </w:rPr>
              <w:t>Parameters to determine an LTE CRS pattern that the UE shall rate match around.</w:t>
            </w:r>
          </w:p>
        </w:tc>
      </w:tr>
      <w:tr w:rsidR="005C7FF4" w:rsidRPr="00FA0D37" w14:paraId="2E040319" w14:textId="77777777" w:rsidTr="00771058">
        <w:tc>
          <w:tcPr>
            <w:tcW w:w="14173" w:type="dxa"/>
            <w:tcBorders>
              <w:top w:val="single" w:sz="4" w:space="0" w:color="auto"/>
              <w:left w:val="single" w:sz="4" w:space="0" w:color="auto"/>
              <w:bottom w:val="single" w:sz="4" w:space="0" w:color="auto"/>
              <w:right w:val="single" w:sz="4" w:space="0" w:color="auto"/>
            </w:tcBorders>
          </w:tcPr>
          <w:p w14:paraId="40B53D0A" w14:textId="77777777" w:rsidR="00807B1C" w:rsidRPr="00FA0D37" w:rsidRDefault="00807B1C" w:rsidP="00771058">
            <w:pPr>
              <w:pStyle w:val="TAL"/>
              <w:rPr>
                <w:rFonts w:cs="Arial"/>
                <w:b/>
                <w:i/>
                <w:szCs w:val="22"/>
                <w:lang w:eastAsia="sv-SE"/>
              </w:rPr>
            </w:pPr>
            <w:r w:rsidRPr="00FA0D37">
              <w:rPr>
                <w:b/>
                <w:bCs/>
                <w:i/>
                <w:lang w:eastAsia="en-GB"/>
              </w:rPr>
              <w:t>pdschConfigList</w:t>
            </w:r>
          </w:p>
          <w:p w14:paraId="03F3760A" w14:textId="4D3B6680" w:rsidR="00807B1C" w:rsidRPr="00FA0D37" w:rsidRDefault="00807B1C" w:rsidP="00771058">
            <w:pPr>
              <w:pStyle w:val="TAL"/>
              <w:rPr>
                <w:rFonts w:cs="Arial"/>
                <w:b/>
                <w:i/>
                <w:lang w:eastAsia="sv-SE"/>
              </w:rPr>
            </w:pPr>
            <w:r w:rsidRPr="00FA0D37">
              <w:rPr>
                <w:rFonts w:cs="Arial"/>
                <w:lang w:eastAsia="sv-SE"/>
              </w:rPr>
              <w:t xml:space="preserve">List of PDSCH parameters which can be configured per G-RNTI. Only one entity is allowed to be configured if included in </w:t>
            </w:r>
            <w:r w:rsidR="004D393F" w:rsidRPr="00FA0D37">
              <w:rPr>
                <w:rFonts w:cs="Arial"/>
                <w:lang w:eastAsia="sv-SE"/>
              </w:rPr>
              <w:t>SIB20</w:t>
            </w:r>
            <w:r w:rsidRPr="00FA0D37">
              <w:rPr>
                <w:rFonts w:cs="Arial"/>
                <w:lang w:eastAsia="sv-SE"/>
              </w:rPr>
              <w:t>.</w:t>
            </w:r>
          </w:p>
        </w:tc>
      </w:tr>
      <w:tr w:rsidR="005C7FF4" w:rsidRPr="00FA0D37" w14:paraId="4E90F84C" w14:textId="77777777" w:rsidTr="00771058">
        <w:tc>
          <w:tcPr>
            <w:tcW w:w="14173" w:type="dxa"/>
            <w:tcBorders>
              <w:top w:val="single" w:sz="4" w:space="0" w:color="auto"/>
              <w:left w:val="single" w:sz="4" w:space="0" w:color="auto"/>
              <w:bottom w:val="single" w:sz="4" w:space="0" w:color="auto"/>
              <w:right w:val="single" w:sz="4" w:space="0" w:color="auto"/>
            </w:tcBorders>
          </w:tcPr>
          <w:p w14:paraId="6AF7A906" w14:textId="77777777" w:rsidR="00807B1C" w:rsidRPr="00FA0D37" w:rsidRDefault="00807B1C" w:rsidP="00771058">
            <w:pPr>
              <w:pStyle w:val="TAL"/>
              <w:rPr>
                <w:rFonts w:cs="Arial"/>
                <w:szCs w:val="22"/>
                <w:lang w:eastAsia="sv-SE"/>
              </w:rPr>
            </w:pPr>
            <w:r w:rsidRPr="00FA0D37">
              <w:rPr>
                <w:b/>
                <w:bCs/>
                <w:i/>
                <w:lang w:eastAsia="en-GB"/>
              </w:rPr>
              <w:t>pdsch</w:t>
            </w:r>
            <w:r w:rsidRPr="00FA0D37">
              <w:rPr>
                <w:rFonts w:cs="Arial"/>
                <w:b/>
                <w:i/>
                <w:szCs w:val="22"/>
                <w:lang w:eastAsia="sv-SE"/>
              </w:rPr>
              <w:t>-TimeDomainAllocationList</w:t>
            </w:r>
          </w:p>
          <w:p w14:paraId="3A1C4E4E" w14:textId="77777777" w:rsidR="00807B1C" w:rsidRPr="00FA0D37" w:rsidRDefault="00807B1C" w:rsidP="00771058">
            <w:pPr>
              <w:pStyle w:val="TAL"/>
              <w:rPr>
                <w:rFonts w:cs="Arial"/>
                <w:lang w:eastAsia="sv-SE"/>
              </w:rPr>
            </w:pPr>
            <w:r w:rsidRPr="00FA0D37">
              <w:rPr>
                <w:rFonts w:cs="Arial"/>
                <w:lang w:eastAsia="sv-SE"/>
              </w:rPr>
              <w:t>List of time-domain configurations for timing of DL assignment to DL data.</w:t>
            </w:r>
          </w:p>
          <w:p w14:paraId="6AF4DB61" w14:textId="77777777" w:rsidR="00807B1C" w:rsidRPr="00FA0D37" w:rsidRDefault="00807B1C" w:rsidP="00771058">
            <w:pPr>
              <w:pStyle w:val="TAL"/>
              <w:rPr>
                <w:rFonts w:cs="Arial"/>
                <w:lang w:eastAsia="sv-SE"/>
              </w:rPr>
            </w:pPr>
            <w:r w:rsidRPr="00FA0D37">
              <w:rPr>
                <w:rFonts w:cs="Arial"/>
                <w:lang w:eastAsia="sv-SE"/>
              </w:rPr>
              <w:t xml:space="preserve">The field </w:t>
            </w:r>
            <w:r w:rsidRPr="00FA0D37">
              <w:rPr>
                <w:rFonts w:cs="Arial"/>
                <w:i/>
                <w:lang w:eastAsia="sv-SE"/>
              </w:rPr>
              <w:t>pdsch-TimeDomainAllocationList</w:t>
            </w:r>
            <w:r w:rsidRPr="00FA0D37">
              <w:rPr>
                <w:rFonts w:cs="Arial"/>
                <w:iCs/>
                <w:lang w:eastAsia="sv-SE"/>
              </w:rPr>
              <w:t xml:space="preserve"> </w:t>
            </w:r>
            <w:r w:rsidRPr="00FA0D37">
              <w:rPr>
                <w:rFonts w:cs="Arial"/>
              </w:rPr>
              <w:t>applies</w:t>
            </w:r>
            <w:r w:rsidRPr="00FA0D37">
              <w:rPr>
                <w:rFonts w:cs="Arial"/>
                <w:lang w:eastAsia="sv-SE"/>
              </w:rPr>
              <w:t xml:space="preserve"> to DCI format 4_0 (see table 5.1.2.1.1-1 in TS 38.214 [19]).</w:t>
            </w:r>
            <w:r w:rsidRPr="00FA0D37">
              <w:rPr>
                <w:rFonts w:eastAsia="Calibri" w:cs="Arial"/>
                <w:szCs w:val="24"/>
              </w:rPr>
              <w:t xml:space="preserve"> </w:t>
            </w:r>
            <w:r w:rsidRPr="00FA0D37">
              <w:rPr>
                <w:rFonts w:cs="Arial"/>
                <w:lang w:eastAsia="sv-SE"/>
              </w:rPr>
              <w:t xml:space="preserve">When </w:t>
            </w:r>
            <w:r w:rsidRPr="00FA0D37">
              <w:rPr>
                <w:rFonts w:cs="Arial"/>
              </w:rPr>
              <w:t>the</w:t>
            </w:r>
            <w:r w:rsidRPr="00FA0D37">
              <w:rPr>
                <w:rFonts w:cs="Arial"/>
                <w:lang w:eastAsia="sv-SE"/>
              </w:rPr>
              <w:t xml:space="preserve"> field is absent</w:t>
            </w:r>
            <w:r w:rsidRPr="00FA0D37">
              <w:rPr>
                <w:rFonts w:eastAsia="Calibri" w:cs="Arial"/>
                <w:szCs w:val="24"/>
              </w:rPr>
              <w:t xml:space="preserve">, the UE follows PDSCH </w:t>
            </w:r>
            <w:r w:rsidRPr="00FA0D37">
              <w:rPr>
                <w:szCs w:val="22"/>
                <w:lang w:eastAsia="sv-SE"/>
              </w:rPr>
              <w:t>time domain resource allocation</w:t>
            </w:r>
            <w:r w:rsidRPr="00FA0D37">
              <w:rPr>
                <w:rFonts w:eastAsia="Calibri" w:cs="Arial"/>
                <w:szCs w:val="24"/>
              </w:rPr>
              <w:t xml:space="preserve"> determina</w:t>
            </w:r>
            <w:r w:rsidRPr="00FA0D37">
              <w:rPr>
                <w:rFonts w:eastAsia="Calibri" w:cs="Arial"/>
              </w:rPr>
              <w:t>t</w:t>
            </w:r>
            <w:r w:rsidRPr="00FA0D37">
              <w:rPr>
                <w:rFonts w:eastAsia="Calibri" w:cs="Arial"/>
                <w:szCs w:val="24"/>
              </w:rPr>
              <w:t>ion rule as specified in TS 38.214 [19], clause 5.1.2.1.1.</w:t>
            </w:r>
          </w:p>
        </w:tc>
      </w:tr>
      <w:tr w:rsidR="005C7FF4" w:rsidRPr="00FA0D37" w14:paraId="00E86A9B" w14:textId="77777777" w:rsidTr="00771058">
        <w:tc>
          <w:tcPr>
            <w:tcW w:w="14173" w:type="dxa"/>
            <w:tcBorders>
              <w:top w:val="single" w:sz="4" w:space="0" w:color="auto"/>
              <w:left w:val="single" w:sz="4" w:space="0" w:color="auto"/>
              <w:bottom w:val="single" w:sz="4" w:space="0" w:color="auto"/>
              <w:right w:val="single" w:sz="4" w:space="0" w:color="auto"/>
            </w:tcBorders>
          </w:tcPr>
          <w:p w14:paraId="2A92505B" w14:textId="77777777" w:rsidR="00807B1C" w:rsidRPr="00FA0D37" w:rsidRDefault="00807B1C" w:rsidP="004D393F">
            <w:pPr>
              <w:pStyle w:val="TAL"/>
              <w:rPr>
                <w:rFonts w:cs="Arial"/>
                <w:b/>
                <w:bCs/>
                <w:i/>
                <w:iCs/>
                <w:szCs w:val="22"/>
                <w:lang w:eastAsia="sv-SE"/>
              </w:rPr>
            </w:pPr>
            <w:r w:rsidRPr="00FA0D37">
              <w:rPr>
                <w:b/>
                <w:bCs/>
                <w:i/>
                <w:iCs/>
                <w:lang w:eastAsia="en-GB"/>
              </w:rPr>
              <w:t>rateMatchPatternToAddModList</w:t>
            </w:r>
          </w:p>
          <w:p w14:paraId="4A21773E" w14:textId="77777777" w:rsidR="00807B1C" w:rsidRPr="00FA0D37" w:rsidRDefault="00807B1C" w:rsidP="000830BB">
            <w:pPr>
              <w:pStyle w:val="TAL"/>
              <w:rPr>
                <w:rFonts w:cs="Arial"/>
                <w:szCs w:val="22"/>
                <w:lang w:eastAsia="sv-SE"/>
              </w:rPr>
            </w:pPr>
            <w:r w:rsidRPr="00FA0D37">
              <w:rPr>
                <w:rFonts w:cs="Arial"/>
                <w:szCs w:val="22"/>
                <w:lang w:eastAsia="sv-SE"/>
              </w:rPr>
              <w:t>Resources patterns which the UE should rate match PDSCH around. The UE rate matches around the union of all resources indicated in the rate match patterns (see TS 38.214 [19], clause 5.1.4.1).</w:t>
            </w:r>
          </w:p>
        </w:tc>
      </w:tr>
      <w:tr w:rsidR="005C7FF4" w:rsidRPr="00FA0D37" w14:paraId="4995CA72" w14:textId="77777777" w:rsidTr="00771058">
        <w:tc>
          <w:tcPr>
            <w:tcW w:w="14173" w:type="dxa"/>
            <w:tcBorders>
              <w:top w:val="single" w:sz="4" w:space="0" w:color="auto"/>
              <w:left w:val="single" w:sz="4" w:space="0" w:color="auto"/>
              <w:bottom w:val="single" w:sz="4" w:space="0" w:color="auto"/>
              <w:right w:val="single" w:sz="4" w:space="0" w:color="auto"/>
            </w:tcBorders>
          </w:tcPr>
          <w:p w14:paraId="6F4E710E" w14:textId="77777777" w:rsidR="00807B1C" w:rsidRPr="00FA0D37" w:rsidRDefault="00807B1C" w:rsidP="00771058">
            <w:pPr>
              <w:pStyle w:val="TAL"/>
              <w:rPr>
                <w:rFonts w:cs="Arial"/>
                <w:szCs w:val="22"/>
                <w:lang w:eastAsia="sv-SE"/>
              </w:rPr>
            </w:pPr>
            <w:r w:rsidRPr="00FA0D37">
              <w:rPr>
                <w:b/>
                <w:bCs/>
                <w:i/>
                <w:lang w:eastAsia="en-GB"/>
              </w:rPr>
              <w:t>mcs</w:t>
            </w:r>
            <w:r w:rsidRPr="00FA0D37">
              <w:rPr>
                <w:rFonts w:cs="Arial"/>
                <w:b/>
                <w:i/>
                <w:szCs w:val="22"/>
                <w:lang w:eastAsia="sv-SE"/>
              </w:rPr>
              <w:t>-Table</w:t>
            </w:r>
          </w:p>
          <w:p w14:paraId="2F54217F" w14:textId="77777777" w:rsidR="00807B1C" w:rsidRPr="00FA0D37" w:rsidRDefault="00807B1C" w:rsidP="000830BB">
            <w:pPr>
              <w:pStyle w:val="TAL"/>
              <w:rPr>
                <w:lang w:eastAsia="sv-SE"/>
              </w:rPr>
            </w:pPr>
            <w:r w:rsidRPr="00FA0D37">
              <w:rPr>
                <w:lang w:eastAsia="sv-SE"/>
              </w:rPr>
              <w:t xml:space="preserve">Indicates which MCS table the UE shall use for PDSCH. If the field is absent the UE applies the value 64QAM. The field </w:t>
            </w:r>
            <w:r w:rsidRPr="00FA0D37">
              <w:rPr>
                <w:i/>
                <w:lang w:eastAsia="sv-SE"/>
              </w:rPr>
              <w:t xml:space="preserve">mcs-Table </w:t>
            </w:r>
            <w:r w:rsidRPr="00FA0D37">
              <w:t>applies</w:t>
            </w:r>
            <w:r w:rsidRPr="00FA0D37">
              <w:rPr>
                <w:lang w:eastAsia="sv-SE"/>
              </w:rPr>
              <w:t xml:space="preserve"> to DCI format 4_0 with CRC scrambled by MCCH-RNTI/G-RNTI (see TS 38.214 [19], clause 5.1.3.1).</w:t>
            </w:r>
          </w:p>
        </w:tc>
      </w:tr>
      <w:tr w:rsidR="00807B1C" w:rsidRPr="00FA0D37" w14:paraId="54AE0EED" w14:textId="77777777" w:rsidTr="00771058">
        <w:tc>
          <w:tcPr>
            <w:tcW w:w="14173" w:type="dxa"/>
            <w:tcBorders>
              <w:top w:val="single" w:sz="4" w:space="0" w:color="auto"/>
              <w:left w:val="single" w:sz="4" w:space="0" w:color="auto"/>
              <w:bottom w:val="single" w:sz="4" w:space="0" w:color="auto"/>
              <w:right w:val="single" w:sz="4" w:space="0" w:color="auto"/>
            </w:tcBorders>
          </w:tcPr>
          <w:p w14:paraId="128451EE" w14:textId="77777777" w:rsidR="00807B1C" w:rsidRPr="00FA0D37" w:rsidRDefault="00807B1C" w:rsidP="00771058">
            <w:pPr>
              <w:pStyle w:val="TAL"/>
              <w:rPr>
                <w:rFonts w:cs="Arial"/>
                <w:szCs w:val="22"/>
                <w:lang w:eastAsia="sv-SE"/>
              </w:rPr>
            </w:pPr>
            <w:r w:rsidRPr="00FA0D37">
              <w:rPr>
                <w:b/>
                <w:bCs/>
                <w:i/>
                <w:lang w:eastAsia="en-GB"/>
              </w:rPr>
              <w:t>xOverhead</w:t>
            </w:r>
          </w:p>
          <w:p w14:paraId="7947DB1E" w14:textId="77777777" w:rsidR="00807B1C" w:rsidRPr="00FA0D37" w:rsidRDefault="00807B1C" w:rsidP="000830BB">
            <w:pPr>
              <w:pStyle w:val="TAL"/>
              <w:rPr>
                <w:b/>
                <w:i/>
                <w:lang w:eastAsia="sv-SE"/>
              </w:rPr>
            </w:pPr>
            <w:r w:rsidRPr="00FA0D37">
              <w:rPr>
                <w:lang w:eastAsia="sv-SE"/>
              </w:rPr>
              <w:t>Accounts for an overhead from CSI-RS, CORESET, etc. If the field is absent, the UE applies value xOh0 (see TS 38.214 [19], clause 5.1.3.2).</w:t>
            </w:r>
          </w:p>
        </w:tc>
      </w:tr>
    </w:tbl>
    <w:p w14:paraId="347F6BD8" w14:textId="77777777" w:rsidR="00807B1C" w:rsidRPr="00FA0D37" w:rsidRDefault="00807B1C" w:rsidP="00807B1C">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50DA181E" w14:textId="77777777" w:rsidTr="00771058">
        <w:tc>
          <w:tcPr>
            <w:tcW w:w="14173" w:type="dxa"/>
            <w:tcBorders>
              <w:top w:val="single" w:sz="4" w:space="0" w:color="auto"/>
              <w:left w:val="single" w:sz="4" w:space="0" w:color="auto"/>
              <w:bottom w:val="single" w:sz="4" w:space="0" w:color="auto"/>
              <w:right w:val="single" w:sz="4" w:space="0" w:color="auto"/>
            </w:tcBorders>
          </w:tcPr>
          <w:p w14:paraId="17591DD4" w14:textId="77777777" w:rsidR="00807B1C" w:rsidRPr="00FA0D37" w:rsidRDefault="00807B1C" w:rsidP="00771058">
            <w:pPr>
              <w:pStyle w:val="TAH"/>
              <w:rPr>
                <w:rFonts w:cs="Arial"/>
                <w:szCs w:val="18"/>
                <w:lang w:eastAsia="sv-SE"/>
              </w:rPr>
            </w:pPr>
            <w:r w:rsidRPr="00FA0D37">
              <w:rPr>
                <w:rFonts w:cs="Arial"/>
                <w:i/>
                <w:szCs w:val="18"/>
                <w:lang w:eastAsia="sv-SE"/>
              </w:rPr>
              <w:lastRenderedPageBreak/>
              <w:t xml:space="preserve">PDSCH-ConfigPTM </w:t>
            </w:r>
            <w:r w:rsidRPr="00FA0D37">
              <w:rPr>
                <w:rFonts w:cs="Arial"/>
                <w:szCs w:val="18"/>
                <w:lang w:eastAsia="sv-SE"/>
              </w:rPr>
              <w:t>field descriptions</w:t>
            </w:r>
          </w:p>
        </w:tc>
      </w:tr>
      <w:tr w:rsidR="005C7FF4" w:rsidRPr="00FA0D37" w14:paraId="427A504C" w14:textId="77777777" w:rsidTr="00771058">
        <w:tc>
          <w:tcPr>
            <w:tcW w:w="14173" w:type="dxa"/>
            <w:tcBorders>
              <w:top w:val="single" w:sz="4" w:space="0" w:color="auto"/>
              <w:left w:val="single" w:sz="4" w:space="0" w:color="auto"/>
              <w:bottom w:val="single" w:sz="4" w:space="0" w:color="auto"/>
              <w:right w:val="single" w:sz="4" w:space="0" w:color="auto"/>
            </w:tcBorders>
          </w:tcPr>
          <w:p w14:paraId="59DC2963" w14:textId="77777777" w:rsidR="00807B1C" w:rsidRPr="00FA0D37" w:rsidRDefault="00807B1C" w:rsidP="00771058">
            <w:pPr>
              <w:pStyle w:val="TAL"/>
              <w:rPr>
                <w:rFonts w:cs="Arial"/>
                <w:szCs w:val="18"/>
                <w:lang w:eastAsia="sv-SE"/>
              </w:rPr>
            </w:pPr>
            <w:r w:rsidRPr="00FA0D37">
              <w:rPr>
                <w:rFonts w:cs="Arial"/>
                <w:b/>
                <w:bCs/>
                <w:i/>
                <w:szCs w:val="18"/>
                <w:lang w:eastAsia="en-GB"/>
              </w:rPr>
              <w:t>dataScramblingIdentityPDSCH</w:t>
            </w:r>
          </w:p>
          <w:p w14:paraId="6E2CA9C8" w14:textId="77777777" w:rsidR="00807B1C" w:rsidRPr="00FA0D37" w:rsidRDefault="00807B1C" w:rsidP="00771058">
            <w:pPr>
              <w:pStyle w:val="TAL"/>
              <w:rPr>
                <w:lang w:eastAsia="sv-SE"/>
              </w:rPr>
            </w:pPr>
            <w:r w:rsidRPr="00FA0D37">
              <w:rPr>
                <w:lang w:eastAsia="sv-SE"/>
              </w:rPr>
              <w:t xml:space="preserve">Identifier(s) used to initialize data scrambling (c_init) for PDSCH as specified in TS 38.211 [16], clause 7.3.1.1. </w:t>
            </w:r>
            <w:r w:rsidRPr="00FA0D37">
              <w:rPr>
                <w:szCs w:val="22"/>
                <w:lang w:eastAsia="sv-SE"/>
              </w:rPr>
              <w:t>When the field is absent the UE applies the value physCellId configured for this serving cell.</w:t>
            </w:r>
          </w:p>
        </w:tc>
      </w:tr>
      <w:tr w:rsidR="005C7FF4" w:rsidRPr="00FA0D37" w14:paraId="6FD10FFA" w14:textId="77777777" w:rsidTr="00771058">
        <w:tc>
          <w:tcPr>
            <w:tcW w:w="14173" w:type="dxa"/>
            <w:tcBorders>
              <w:top w:val="single" w:sz="4" w:space="0" w:color="auto"/>
              <w:left w:val="single" w:sz="4" w:space="0" w:color="auto"/>
              <w:bottom w:val="single" w:sz="4" w:space="0" w:color="auto"/>
              <w:right w:val="single" w:sz="4" w:space="0" w:color="auto"/>
            </w:tcBorders>
          </w:tcPr>
          <w:p w14:paraId="69674A26" w14:textId="77777777" w:rsidR="00807B1C" w:rsidRPr="00FA0D37" w:rsidRDefault="00807B1C" w:rsidP="00771058">
            <w:pPr>
              <w:pStyle w:val="TAL"/>
              <w:rPr>
                <w:rFonts w:cs="Arial"/>
                <w:szCs w:val="18"/>
                <w:lang w:eastAsia="sv-SE"/>
              </w:rPr>
            </w:pPr>
            <w:r w:rsidRPr="00FA0D37">
              <w:rPr>
                <w:rFonts w:cs="Arial"/>
                <w:b/>
                <w:bCs/>
                <w:i/>
                <w:szCs w:val="18"/>
                <w:lang w:eastAsia="en-GB"/>
              </w:rPr>
              <w:t>dmrs-ScramblingID0</w:t>
            </w:r>
          </w:p>
          <w:p w14:paraId="3A948C24" w14:textId="77777777" w:rsidR="00807B1C" w:rsidRPr="00FA0D37" w:rsidRDefault="00807B1C" w:rsidP="00771058">
            <w:pPr>
              <w:pStyle w:val="TAL"/>
              <w:rPr>
                <w:lang w:eastAsia="sv-SE"/>
              </w:rPr>
            </w:pPr>
            <w:r w:rsidRPr="00FA0D37">
              <w:rPr>
                <w:lang w:eastAsia="sv-SE"/>
              </w:rPr>
              <w:t xml:space="preserve">DL DMRS scrambling initialization (see TS 38.211 [16], clause 7.4.1.1.1). When the field is absent the UE applies the value </w:t>
            </w:r>
            <w:r w:rsidRPr="00FA0D37">
              <w:rPr>
                <w:i/>
                <w:lang w:eastAsia="sv-SE"/>
              </w:rPr>
              <w:t>physCellId</w:t>
            </w:r>
            <w:r w:rsidRPr="00FA0D37">
              <w:rPr>
                <w:lang w:eastAsia="sv-SE"/>
              </w:rPr>
              <w:t xml:space="preserve"> configured for this serving cell.</w:t>
            </w:r>
          </w:p>
        </w:tc>
      </w:tr>
      <w:tr w:rsidR="00F747EB" w:rsidRPr="00FA0D37" w14:paraId="34759C96" w14:textId="77777777" w:rsidTr="00771058">
        <w:tc>
          <w:tcPr>
            <w:tcW w:w="14173" w:type="dxa"/>
            <w:tcBorders>
              <w:top w:val="single" w:sz="4" w:space="0" w:color="auto"/>
              <w:left w:val="single" w:sz="4" w:space="0" w:color="auto"/>
              <w:bottom w:val="single" w:sz="4" w:space="0" w:color="auto"/>
              <w:right w:val="single" w:sz="4" w:space="0" w:color="auto"/>
            </w:tcBorders>
          </w:tcPr>
          <w:p w14:paraId="425ECDED" w14:textId="77777777" w:rsidR="00807B1C" w:rsidRPr="00FA0D37" w:rsidRDefault="00807B1C" w:rsidP="00771058">
            <w:pPr>
              <w:pStyle w:val="TAL"/>
              <w:rPr>
                <w:rFonts w:cs="Arial"/>
                <w:szCs w:val="18"/>
                <w:lang w:eastAsia="sv-SE"/>
              </w:rPr>
            </w:pPr>
            <w:r w:rsidRPr="00FA0D37">
              <w:rPr>
                <w:rFonts w:cs="Arial"/>
                <w:b/>
                <w:bCs/>
                <w:i/>
                <w:szCs w:val="18"/>
                <w:lang w:eastAsia="en-GB"/>
              </w:rPr>
              <w:t>pdsch</w:t>
            </w:r>
            <w:r w:rsidRPr="00FA0D37">
              <w:rPr>
                <w:rFonts w:cs="Arial"/>
                <w:b/>
                <w:i/>
                <w:szCs w:val="18"/>
                <w:lang w:eastAsia="sv-SE"/>
              </w:rPr>
              <w:t>-AggregationFactor</w:t>
            </w:r>
          </w:p>
          <w:p w14:paraId="4A0ECA59" w14:textId="77777777" w:rsidR="00807B1C" w:rsidRPr="00FA0D37" w:rsidRDefault="00807B1C" w:rsidP="00771058">
            <w:pPr>
              <w:pStyle w:val="TAL"/>
              <w:rPr>
                <w:b/>
                <w:i/>
                <w:lang w:eastAsia="sv-SE"/>
              </w:rPr>
            </w:pPr>
            <w:r w:rsidRPr="00FA0D37">
              <w:rPr>
                <w:lang w:eastAsia="sv-SE"/>
              </w:rPr>
              <w:t>Number of repetitions for dynamic scheduling of MBS broadcast data for MTCH PDSCH (see TS 38.214 [19], clause 5.1.2.1)</w:t>
            </w:r>
            <w:r w:rsidRPr="00FA0D37">
              <w:rPr>
                <w:rFonts w:eastAsiaTheme="minorEastAsia"/>
                <w:lang w:eastAsia="zh-CN"/>
              </w:rPr>
              <w:t>.</w:t>
            </w:r>
            <w:r w:rsidRPr="00FA0D37">
              <w:rPr>
                <w:lang w:eastAsia="sv-SE"/>
              </w:rPr>
              <w:t xml:space="preserve"> When the field is absent the UE applies the value 1.</w:t>
            </w:r>
          </w:p>
        </w:tc>
      </w:tr>
    </w:tbl>
    <w:p w14:paraId="06BBCEFE" w14:textId="7E7747C6" w:rsidR="00807B1C" w:rsidRPr="00FA0D37" w:rsidRDefault="00807B1C" w:rsidP="00394471"/>
    <w:p w14:paraId="4BA91CDD" w14:textId="77777777" w:rsidR="00853B2B" w:rsidRPr="00FA0D37" w:rsidRDefault="00853B2B" w:rsidP="00853B2B">
      <w:pPr>
        <w:pStyle w:val="4"/>
      </w:pPr>
      <w:bookmarkStart w:id="2210" w:name="_Toc146781696"/>
      <w:r w:rsidRPr="00FA0D37">
        <w:t>–</w:t>
      </w:r>
      <w:r w:rsidRPr="00FA0D37">
        <w:tab/>
      </w:r>
      <w:r w:rsidRPr="00FA0D37">
        <w:rPr>
          <w:i/>
        </w:rPr>
        <w:t>TMGI</w:t>
      </w:r>
      <w:bookmarkEnd w:id="2210"/>
    </w:p>
    <w:p w14:paraId="31C5173D" w14:textId="77777777" w:rsidR="00853B2B" w:rsidRPr="00FA0D37" w:rsidRDefault="00853B2B" w:rsidP="00853B2B">
      <w:r w:rsidRPr="00FA0D37">
        <w:t xml:space="preserve">The IE </w:t>
      </w:r>
      <w:r w:rsidRPr="00FA0D37">
        <w:rPr>
          <w:i/>
        </w:rPr>
        <w:t xml:space="preserve">TMGI </w:t>
      </w:r>
      <w:r w:rsidRPr="00FA0D37">
        <w:rPr>
          <w:iCs/>
          <w:lang w:eastAsia="zh-CN"/>
        </w:rPr>
        <w:t xml:space="preserve">is used to </w:t>
      </w:r>
      <w:r w:rsidRPr="00FA0D37">
        <w:t xml:space="preserve">identify </w:t>
      </w:r>
      <w:r w:rsidRPr="00FA0D37">
        <w:rPr>
          <w:rFonts w:eastAsia="宋体"/>
          <w:bCs/>
          <w:iCs/>
          <w:szCs w:val="22"/>
          <w:lang w:eastAsia="sv-SE"/>
        </w:rPr>
        <w:t>the MBS session</w:t>
      </w:r>
      <w:r w:rsidRPr="00FA0D37">
        <w:t>.</w:t>
      </w:r>
    </w:p>
    <w:p w14:paraId="7119478A" w14:textId="77777777" w:rsidR="00853B2B" w:rsidRPr="00FA0D37" w:rsidRDefault="00853B2B" w:rsidP="00853B2B">
      <w:pPr>
        <w:pStyle w:val="TH"/>
        <w:rPr>
          <w:bCs/>
          <w:i/>
          <w:iCs/>
        </w:rPr>
      </w:pPr>
      <w:r w:rsidRPr="00FA0D37">
        <w:rPr>
          <w:bCs/>
          <w:i/>
          <w:iCs/>
          <w:lang w:eastAsia="zh-CN"/>
        </w:rPr>
        <w:t>TMGI</w:t>
      </w:r>
      <w:r w:rsidRPr="00FA0D37">
        <w:rPr>
          <w:bCs/>
          <w:i/>
          <w:iCs/>
        </w:rPr>
        <w:t xml:space="preserve"> </w:t>
      </w:r>
      <w:r w:rsidRPr="00FA0D37">
        <w:t>information element</w:t>
      </w:r>
    </w:p>
    <w:p w14:paraId="71DA64CD" w14:textId="77777777" w:rsidR="00853B2B" w:rsidRPr="00FA0D37" w:rsidRDefault="00853B2B" w:rsidP="00FA0D37">
      <w:pPr>
        <w:pStyle w:val="PL"/>
        <w:rPr>
          <w:color w:val="808080"/>
        </w:rPr>
      </w:pPr>
      <w:r w:rsidRPr="00FA0D37">
        <w:rPr>
          <w:color w:val="808080"/>
        </w:rPr>
        <w:t>-- ASN1START</w:t>
      </w:r>
    </w:p>
    <w:p w14:paraId="625A0D6C" w14:textId="77777777" w:rsidR="00853B2B" w:rsidRPr="00FA0D37" w:rsidRDefault="00853B2B" w:rsidP="00FA0D37">
      <w:pPr>
        <w:pStyle w:val="PL"/>
        <w:rPr>
          <w:color w:val="808080"/>
        </w:rPr>
      </w:pPr>
      <w:r w:rsidRPr="00FA0D37">
        <w:rPr>
          <w:color w:val="808080"/>
        </w:rPr>
        <w:t>-- TAG-TMGI-START</w:t>
      </w:r>
    </w:p>
    <w:p w14:paraId="33C1D94D" w14:textId="77777777" w:rsidR="00853B2B" w:rsidRPr="00FA0D37" w:rsidRDefault="00853B2B" w:rsidP="00FA0D37">
      <w:pPr>
        <w:pStyle w:val="PL"/>
      </w:pPr>
    </w:p>
    <w:p w14:paraId="2EBA3C7C" w14:textId="5D8002A1" w:rsidR="00853B2B" w:rsidRPr="00FA0D37" w:rsidRDefault="00853B2B" w:rsidP="00FA0D37">
      <w:pPr>
        <w:pStyle w:val="PL"/>
      </w:pPr>
      <w:r w:rsidRPr="00FA0D37">
        <w:t xml:space="preserve">TMGI-r17 ::=                     </w:t>
      </w:r>
      <w:r w:rsidRPr="00FA0D37">
        <w:rPr>
          <w:color w:val="993366"/>
        </w:rPr>
        <w:t>SEQUENCE</w:t>
      </w:r>
      <w:r w:rsidRPr="00FA0D37">
        <w:t xml:space="preserve"> {</w:t>
      </w:r>
    </w:p>
    <w:p w14:paraId="39AF2EE6" w14:textId="46B14C76" w:rsidR="00853B2B" w:rsidRPr="00FA0D37" w:rsidRDefault="00853B2B" w:rsidP="00FA0D37">
      <w:pPr>
        <w:pStyle w:val="PL"/>
      </w:pPr>
      <w:r w:rsidRPr="00FA0D37">
        <w:t xml:space="preserve">    plmn-Id-r17                      </w:t>
      </w:r>
      <w:r w:rsidRPr="00FA0D37">
        <w:rPr>
          <w:color w:val="993366"/>
        </w:rPr>
        <w:t>CHOICE</w:t>
      </w:r>
      <w:r w:rsidRPr="00FA0D37">
        <w:t xml:space="preserve"> {</w:t>
      </w:r>
    </w:p>
    <w:p w14:paraId="10A6FCD5" w14:textId="77777777" w:rsidR="00853B2B" w:rsidRPr="00FA0D37" w:rsidRDefault="00853B2B" w:rsidP="00FA0D37">
      <w:pPr>
        <w:pStyle w:val="PL"/>
      </w:pPr>
      <w:r w:rsidRPr="00FA0D37">
        <w:t xml:space="preserve">        plmn-Index                       </w:t>
      </w:r>
      <w:r w:rsidRPr="00FA0D37">
        <w:rPr>
          <w:color w:val="993366"/>
        </w:rPr>
        <w:t>INTEGER</w:t>
      </w:r>
      <w:r w:rsidRPr="00FA0D37">
        <w:t xml:space="preserve"> (1..maxPLMN),</w:t>
      </w:r>
    </w:p>
    <w:p w14:paraId="713E3198" w14:textId="77777777" w:rsidR="00853B2B" w:rsidRPr="00FA0D37" w:rsidRDefault="00853B2B" w:rsidP="00FA0D37">
      <w:pPr>
        <w:pStyle w:val="PL"/>
      </w:pPr>
      <w:r w:rsidRPr="00FA0D37">
        <w:t xml:space="preserve">        explicitValue                    PLMN-Identity</w:t>
      </w:r>
    </w:p>
    <w:p w14:paraId="7A019996" w14:textId="77777777" w:rsidR="00853B2B" w:rsidRPr="00FA0D37" w:rsidRDefault="00853B2B" w:rsidP="00FA0D37">
      <w:pPr>
        <w:pStyle w:val="PL"/>
      </w:pPr>
      <w:r w:rsidRPr="00FA0D37">
        <w:t xml:space="preserve">    },</w:t>
      </w:r>
    </w:p>
    <w:p w14:paraId="2A6E1BFC" w14:textId="012925A1" w:rsidR="00853B2B" w:rsidRPr="00FA0D37" w:rsidRDefault="00853B2B" w:rsidP="00FA0D37">
      <w:pPr>
        <w:pStyle w:val="PL"/>
      </w:pPr>
      <w:r w:rsidRPr="00FA0D37">
        <w:t xml:space="preserve">    serviceId-r17                    </w:t>
      </w:r>
      <w:r w:rsidRPr="00FA0D37">
        <w:rPr>
          <w:color w:val="993366"/>
        </w:rPr>
        <w:t>OCTET</w:t>
      </w:r>
      <w:r w:rsidRPr="00FA0D37">
        <w:t xml:space="preserve"> </w:t>
      </w:r>
      <w:r w:rsidRPr="00FA0D37">
        <w:rPr>
          <w:color w:val="993366"/>
        </w:rPr>
        <w:t>STRING</w:t>
      </w:r>
      <w:r w:rsidRPr="00FA0D37">
        <w:t xml:space="preserve"> (</w:t>
      </w:r>
      <w:r w:rsidRPr="00FA0D37">
        <w:rPr>
          <w:color w:val="993366"/>
        </w:rPr>
        <w:t>SIZE</w:t>
      </w:r>
      <w:r w:rsidRPr="00FA0D37">
        <w:t xml:space="preserve"> (3))</w:t>
      </w:r>
    </w:p>
    <w:p w14:paraId="5D345C33" w14:textId="77777777" w:rsidR="00853B2B" w:rsidRPr="00FA0D37" w:rsidRDefault="00853B2B" w:rsidP="00FA0D37">
      <w:pPr>
        <w:pStyle w:val="PL"/>
      </w:pPr>
      <w:r w:rsidRPr="00FA0D37">
        <w:t>}</w:t>
      </w:r>
    </w:p>
    <w:p w14:paraId="3CC1FF92" w14:textId="77777777" w:rsidR="00853B2B" w:rsidRPr="00FA0D37" w:rsidRDefault="00853B2B" w:rsidP="00FA0D37">
      <w:pPr>
        <w:pStyle w:val="PL"/>
      </w:pPr>
    </w:p>
    <w:p w14:paraId="79766538" w14:textId="77777777" w:rsidR="00853B2B" w:rsidRPr="00FA0D37" w:rsidRDefault="00853B2B" w:rsidP="00FA0D37">
      <w:pPr>
        <w:pStyle w:val="PL"/>
        <w:rPr>
          <w:color w:val="808080"/>
        </w:rPr>
      </w:pPr>
      <w:r w:rsidRPr="00FA0D37">
        <w:rPr>
          <w:color w:val="808080"/>
        </w:rPr>
        <w:t>-- TAG-TMGI-STOP</w:t>
      </w:r>
    </w:p>
    <w:p w14:paraId="4E1605BC" w14:textId="77777777" w:rsidR="00853B2B" w:rsidRPr="00FA0D37" w:rsidRDefault="00853B2B" w:rsidP="00FA0D37">
      <w:pPr>
        <w:pStyle w:val="PL"/>
        <w:rPr>
          <w:color w:val="808080"/>
        </w:rPr>
      </w:pPr>
      <w:r w:rsidRPr="00FA0D37">
        <w:rPr>
          <w:color w:val="808080"/>
        </w:rPr>
        <w:t>-- ASN1STOP</w:t>
      </w:r>
    </w:p>
    <w:p w14:paraId="3DE6E8D2" w14:textId="77777777" w:rsidR="00853B2B" w:rsidRPr="00FA0D37" w:rsidRDefault="00853B2B"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C7FF4" w:rsidRPr="00FA0D37" w14:paraId="37EEEC8D" w14:textId="77777777" w:rsidTr="0071565C">
        <w:tc>
          <w:tcPr>
            <w:tcW w:w="14173" w:type="dxa"/>
            <w:tcBorders>
              <w:top w:val="single" w:sz="4" w:space="0" w:color="auto"/>
              <w:left w:val="single" w:sz="4" w:space="0" w:color="auto"/>
              <w:bottom w:val="single" w:sz="4" w:space="0" w:color="auto"/>
              <w:right w:val="single" w:sz="4" w:space="0" w:color="auto"/>
            </w:tcBorders>
          </w:tcPr>
          <w:p w14:paraId="5E7E8CDD" w14:textId="77777777" w:rsidR="00853B2B" w:rsidRPr="00FA0D37" w:rsidRDefault="00853B2B" w:rsidP="0071565C">
            <w:pPr>
              <w:pStyle w:val="TAH"/>
              <w:rPr>
                <w:rFonts w:cs="Arial"/>
                <w:b w:val="0"/>
                <w:szCs w:val="22"/>
                <w:lang w:eastAsia="sv-SE"/>
              </w:rPr>
            </w:pPr>
            <w:r w:rsidRPr="00FA0D37">
              <w:rPr>
                <w:rFonts w:cs="Arial"/>
                <w:i/>
                <w:szCs w:val="22"/>
                <w:lang w:eastAsia="sv-SE"/>
              </w:rPr>
              <w:t xml:space="preserve">TMGI </w:t>
            </w:r>
            <w:r w:rsidRPr="00FA0D37">
              <w:rPr>
                <w:rFonts w:cs="Arial"/>
                <w:szCs w:val="22"/>
                <w:lang w:eastAsia="sv-SE"/>
              </w:rPr>
              <w:t>field descriptions</w:t>
            </w:r>
          </w:p>
        </w:tc>
      </w:tr>
      <w:tr w:rsidR="005C7FF4" w:rsidRPr="00FA0D37" w14:paraId="28B84487" w14:textId="77777777" w:rsidTr="0071565C">
        <w:trPr>
          <w:trHeight w:val="693"/>
        </w:trPr>
        <w:tc>
          <w:tcPr>
            <w:tcW w:w="14173" w:type="dxa"/>
            <w:tcBorders>
              <w:top w:val="single" w:sz="4" w:space="0" w:color="auto"/>
              <w:left w:val="single" w:sz="4" w:space="0" w:color="auto"/>
              <w:bottom w:val="single" w:sz="4" w:space="0" w:color="auto"/>
              <w:right w:val="single" w:sz="4" w:space="0" w:color="auto"/>
            </w:tcBorders>
          </w:tcPr>
          <w:p w14:paraId="631E4734" w14:textId="77777777" w:rsidR="00E36333" w:rsidRPr="00FA0D37" w:rsidRDefault="00E36333" w:rsidP="0071565C">
            <w:pPr>
              <w:pStyle w:val="TAL"/>
              <w:rPr>
                <w:b/>
                <w:bCs/>
                <w:i/>
                <w:noProof/>
                <w:lang w:eastAsia="en-GB"/>
              </w:rPr>
            </w:pPr>
            <w:r w:rsidRPr="00FA0D37">
              <w:rPr>
                <w:b/>
                <w:bCs/>
                <w:i/>
                <w:noProof/>
                <w:lang w:eastAsia="en-GB"/>
              </w:rPr>
              <w:t>plmn-Index</w:t>
            </w:r>
          </w:p>
          <w:p w14:paraId="1B9E7341" w14:textId="0B806E1A" w:rsidR="00E36333" w:rsidRPr="00FA0D37" w:rsidRDefault="00E36333" w:rsidP="0071565C">
            <w:pPr>
              <w:pStyle w:val="TAL"/>
              <w:rPr>
                <w:iCs/>
                <w:noProof/>
                <w:lang w:eastAsia="en-GB"/>
              </w:rPr>
            </w:pPr>
            <w:r w:rsidRPr="00FA0D37">
              <w:rPr>
                <w:iCs/>
                <w:noProof/>
                <w:lang w:eastAsia="en-GB"/>
              </w:rPr>
              <w:t xml:space="preserve">PLMN index or NPN index according to the </w:t>
            </w:r>
            <w:r w:rsidRPr="00FA0D37">
              <w:rPr>
                <w:i/>
                <w:noProof/>
                <w:lang w:eastAsia="en-GB"/>
              </w:rPr>
              <w:t>plmn-IdentityInfoList</w:t>
            </w:r>
            <w:r w:rsidRPr="00FA0D37">
              <w:rPr>
                <w:iCs/>
                <w:noProof/>
                <w:lang w:eastAsia="en-GB"/>
              </w:rPr>
              <w:t xml:space="preserve"> and </w:t>
            </w:r>
            <w:r w:rsidRPr="00FA0D37">
              <w:rPr>
                <w:i/>
                <w:noProof/>
                <w:lang w:eastAsia="en-GB"/>
              </w:rPr>
              <w:t>npn-IdentityInfoList</w:t>
            </w:r>
            <w:r w:rsidRPr="00FA0D37">
              <w:rPr>
                <w:iCs/>
                <w:noProof/>
                <w:lang w:eastAsia="en-GB"/>
              </w:rPr>
              <w:t xml:space="preserve"> fields included in </w:t>
            </w:r>
            <w:r w:rsidRPr="00FA0D37">
              <w:rPr>
                <w:i/>
                <w:noProof/>
                <w:lang w:eastAsia="en-GB"/>
              </w:rPr>
              <w:t>SIB1</w:t>
            </w:r>
            <w:r w:rsidRPr="00FA0D37">
              <w:rPr>
                <w:iCs/>
                <w:noProof/>
                <w:lang w:eastAsia="en-GB"/>
              </w:rPr>
              <w:t xml:space="preserve">. If this field is included in the </w:t>
            </w:r>
            <w:r w:rsidRPr="00FA0D37">
              <w:rPr>
                <w:i/>
                <w:noProof/>
                <w:lang w:eastAsia="en-GB"/>
              </w:rPr>
              <w:t>MRB-ToAddMod-r17</w:t>
            </w:r>
            <w:r w:rsidRPr="00FA0D37">
              <w:rPr>
                <w:iCs/>
                <w:noProof/>
                <w:lang w:eastAsia="en-GB"/>
              </w:rPr>
              <w:t xml:space="preserve">, the UE translates the </w:t>
            </w:r>
            <w:r w:rsidRPr="00FA0D37">
              <w:rPr>
                <w:i/>
                <w:noProof/>
                <w:lang w:eastAsia="en-GB"/>
              </w:rPr>
              <w:t>plmn-Index</w:t>
            </w:r>
            <w:r w:rsidRPr="00FA0D37">
              <w:rPr>
                <w:iCs/>
                <w:noProof/>
                <w:lang w:eastAsia="en-GB"/>
              </w:rPr>
              <w:t xml:space="preserve"> into the PLMN Identity or SNPN Identity based on the configuration in </w:t>
            </w:r>
            <w:r w:rsidRPr="00FA0D37">
              <w:rPr>
                <w:i/>
                <w:noProof/>
                <w:lang w:eastAsia="en-GB"/>
              </w:rPr>
              <w:t>SIB1</w:t>
            </w:r>
            <w:r w:rsidRPr="00FA0D37">
              <w:rPr>
                <w:iCs/>
                <w:noProof/>
                <w:lang w:eastAsia="en-GB"/>
              </w:rPr>
              <w:t xml:space="preserve"> (which is the </w:t>
            </w:r>
            <w:r w:rsidRPr="00FA0D37">
              <w:rPr>
                <w:i/>
                <w:noProof/>
                <w:lang w:eastAsia="en-GB"/>
              </w:rPr>
              <w:t>SIB1</w:t>
            </w:r>
            <w:r w:rsidRPr="00FA0D37">
              <w:rPr>
                <w:iCs/>
                <w:noProof/>
                <w:lang w:eastAsia="en-GB"/>
              </w:rPr>
              <w:t xml:space="preserve"> of the target cell in case of handover).</w:t>
            </w:r>
            <w:r w:rsidR="007305C3" w:rsidRPr="00FA0D37">
              <w:t xml:space="preserve"> </w:t>
            </w:r>
            <w:r w:rsidR="007305C3" w:rsidRPr="00FA0D37">
              <w:rPr>
                <w:iCs/>
                <w:noProof/>
                <w:lang w:eastAsia="en-GB"/>
              </w:rPr>
              <w:t xml:space="preserve">The </w:t>
            </w:r>
            <w:r w:rsidR="007305C3" w:rsidRPr="00FA0D37">
              <w:rPr>
                <w:i/>
                <w:noProof/>
                <w:lang w:eastAsia="en-GB"/>
              </w:rPr>
              <w:t>explicitValue</w:t>
            </w:r>
            <w:r w:rsidR="007305C3" w:rsidRPr="00FA0D37">
              <w:rPr>
                <w:iCs/>
                <w:noProof/>
                <w:lang w:eastAsia="en-GB"/>
              </w:rPr>
              <w:t xml:space="preserve"> is not used for MBS service(s) of an SNPN.</w:t>
            </w:r>
          </w:p>
        </w:tc>
      </w:tr>
      <w:tr w:rsidR="005C7FF4" w:rsidRPr="00FA0D37" w14:paraId="0D1E8255" w14:textId="77777777" w:rsidTr="0071565C">
        <w:trPr>
          <w:trHeight w:val="693"/>
        </w:trPr>
        <w:tc>
          <w:tcPr>
            <w:tcW w:w="14173" w:type="dxa"/>
            <w:tcBorders>
              <w:top w:val="single" w:sz="4" w:space="0" w:color="auto"/>
              <w:left w:val="single" w:sz="4" w:space="0" w:color="auto"/>
              <w:bottom w:val="single" w:sz="4" w:space="0" w:color="auto"/>
              <w:right w:val="single" w:sz="4" w:space="0" w:color="auto"/>
            </w:tcBorders>
          </w:tcPr>
          <w:p w14:paraId="63F5B722" w14:textId="77777777" w:rsidR="00853B2B" w:rsidRPr="00FA0D37" w:rsidRDefault="00853B2B" w:rsidP="0071565C">
            <w:pPr>
              <w:pStyle w:val="TAL"/>
              <w:rPr>
                <w:b/>
                <w:bCs/>
                <w:i/>
                <w:noProof/>
                <w:lang w:eastAsia="en-GB"/>
              </w:rPr>
            </w:pPr>
            <w:r w:rsidRPr="00FA0D37">
              <w:rPr>
                <w:b/>
                <w:bCs/>
                <w:i/>
                <w:noProof/>
                <w:lang w:eastAsia="en-GB"/>
              </w:rPr>
              <w:t>serviceId</w:t>
            </w:r>
          </w:p>
          <w:p w14:paraId="647F925A" w14:textId="789C0B17" w:rsidR="00853B2B" w:rsidRPr="00FA0D37" w:rsidRDefault="00853B2B" w:rsidP="0071565C">
            <w:pPr>
              <w:pStyle w:val="TAL"/>
              <w:rPr>
                <w:b/>
                <w:bCs/>
                <w:i/>
                <w:lang w:eastAsia="en-GB"/>
              </w:rPr>
            </w:pPr>
            <w:r w:rsidRPr="00FA0D37">
              <w:rPr>
                <w:bCs/>
                <w:noProof/>
                <w:lang w:eastAsia="en-GB"/>
              </w:rPr>
              <w:t>Uniquely identifies the identity of an MBS service within a PLMN. The field contains octet 3- 5 of the IE Temporary Mobile Group Identity (TMGI) as defined in TS 24.008 [38]. The first octet contains the third octet of the TMGI, the second octet contains the fourth octet of the TMGI and so on.</w:t>
            </w:r>
          </w:p>
        </w:tc>
      </w:tr>
    </w:tbl>
    <w:p w14:paraId="410963E0" w14:textId="77777777" w:rsidR="00853B2B" w:rsidRPr="00FA0D37" w:rsidRDefault="00853B2B" w:rsidP="00394471"/>
    <w:p w14:paraId="7EC6B244" w14:textId="1241B707" w:rsidR="00394471" w:rsidRPr="00FA0D37" w:rsidRDefault="00394471" w:rsidP="00394471">
      <w:pPr>
        <w:pStyle w:val="2"/>
      </w:pPr>
      <w:bookmarkStart w:id="2211" w:name="_Toc60777558"/>
      <w:bookmarkStart w:id="2212" w:name="_Toc146781697"/>
      <w:r w:rsidRPr="00FA0D37">
        <w:lastRenderedPageBreak/>
        <w:t>6.4</w:t>
      </w:r>
      <w:r w:rsidRPr="00FA0D37">
        <w:tab/>
        <w:t>RRC multiplicity and type constraint values</w:t>
      </w:r>
      <w:bookmarkEnd w:id="2211"/>
      <w:bookmarkEnd w:id="2212"/>
    </w:p>
    <w:p w14:paraId="27B1C840" w14:textId="37441C44" w:rsidR="00394471" w:rsidRPr="00FA0D37" w:rsidRDefault="00394471" w:rsidP="00394471">
      <w:pPr>
        <w:pStyle w:val="3"/>
      </w:pPr>
      <w:bookmarkStart w:id="2213" w:name="_Toc60777559"/>
      <w:bookmarkStart w:id="2214" w:name="_Toc146781698"/>
      <w:r w:rsidRPr="00FA0D37">
        <w:t>–</w:t>
      </w:r>
      <w:r w:rsidRPr="00FA0D37">
        <w:tab/>
        <w:t>Multiplicity and type constraint definitions</w:t>
      </w:r>
      <w:bookmarkEnd w:id="2213"/>
      <w:bookmarkEnd w:id="2214"/>
    </w:p>
    <w:p w14:paraId="6A5C084E" w14:textId="77777777" w:rsidR="00394471" w:rsidRPr="00FA0D37" w:rsidRDefault="00394471" w:rsidP="00FA0D37">
      <w:pPr>
        <w:pStyle w:val="PL"/>
        <w:rPr>
          <w:color w:val="808080"/>
        </w:rPr>
      </w:pPr>
      <w:r w:rsidRPr="00FA0D37">
        <w:rPr>
          <w:color w:val="808080"/>
        </w:rPr>
        <w:t>-- ASN1START</w:t>
      </w:r>
    </w:p>
    <w:p w14:paraId="67B775FF" w14:textId="77777777" w:rsidR="00394471" w:rsidRPr="00FA0D37" w:rsidRDefault="00394471" w:rsidP="00FA0D37">
      <w:pPr>
        <w:pStyle w:val="PL"/>
        <w:rPr>
          <w:color w:val="808080"/>
        </w:rPr>
      </w:pPr>
      <w:r w:rsidRPr="00FA0D37">
        <w:rPr>
          <w:color w:val="808080"/>
        </w:rPr>
        <w:t>-- TAG-MULTIPLICITY-AND-TYPE-CONSTRAINT-DEFINITIONS-START</w:t>
      </w:r>
    </w:p>
    <w:p w14:paraId="0436936E" w14:textId="77777777" w:rsidR="00394471" w:rsidRPr="00FA0D37" w:rsidRDefault="00394471" w:rsidP="00FA0D37">
      <w:pPr>
        <w:pStyle w:val="PL"/>
      </w:pPr>
    </w:p>
    <w:p w14:paraId="5BEA4F83" w14:textId="6DD9DE3D" w:rsidR="00276C79" w:rsidRPr="00FA0D37" w:rsidRDefault="00276C79" w:rsidP="00FA0D37">
      <w:pPr>
        <w:pStyle w:val="PL"/>
        <w:rPr>
          <w:color w:val="808080"/>
        </w:rPr>
      </w:pPr>
      <w:r w:rsidRPr="00FA0D37">
        <w:t xml:space="preserve">maxAdditionalRACH-r17                   </w:t>
      </w:r>
      <w:r w:rsidRPr="00FA0D37">
        <w:rPr>
          <w:color w:val="993366"/>
        </w:rPr>
        <w:t>INTEGER</w:t>
      </w:r>
      <w:r w:rsidRPr="00FA0D37">
        <w:t xml:space="preserve"> ::= </w:t>
      </w:r>
      <w:r w:rsidR="0071669F" w:rsidRPr="00FA0D37">
        <w:t>256</w:t>
      </w:r>
      <w:r w:rsidRPr="00FA0D37">
        <w:t xml:space="preserve">     </w:t>
      </w:r>
      <w:r w:rsidRPr="00FA0D37">
        <w:rPr>
          <w:color w:val="808080"/>
        </w:rPr>
        <w:t>-- Maximum number of additional RACH configurations</w:t>
      </w:r>
      <w:r w:rsidR="0071669F" w:rsidRPr="00FA0D37">
        <w:rPr>
          <w:color w:val="808080"/>
        </w:rPr>
        <w:t>.</w:t>
      </w:r>
    </w:p>
    <w:p w14:paraId="3CC283A1" w14:textId="77777777" w:rsidR="00394471" w:rsidRPr="00FA0D37" w:rsidRDefault="00394471" w:rsidP="00FA0D37">
      <w:pPr>
        <w:pStyle w:val="PL"/>
        <w:rPr>
          <w:color w:val="808080"/>
        </w:rPr>
      </w:pPr>
      <w:r w:rsidRPr="00FA0D37">
        <w:t xml:space="preserve">maxAI-DCI-PayloadSize-r16               </w:t>
      </w:r>
      <w:r w:rsidRPr="00FA0D37">
        <w:rPr>
          <w:color w:val="993366"/>
        </w:rPr>
        <w:t>INTEGER</w:t>
      </w:r>
      <w:r w:rsidRPr="00FA0D37">
        <w:t xml:space="preserve"> ::= 128      </w:t>
      </w:r>
      <w:r w:rsidRPr="00FA0D37">
        <w:rPr>
          <w:color w:val="808080"/>
        </w:rPr>
        <w:t>--Maximum size of the DCI payload scrambled with ai-RNTI</w:t>
      </w:r>
    </w:p>
    <w:p w14:paraId="0D4098D3" w14:textId="031C98AC" w:rsidR="00394471" w:rsidRPr="00FA0D37" w:rsidRDefault="00394471" w:rsidP="00FA0D37">
      <w:pPr>
        <w:pStyle w:val="PL"/>
        <w:rPr>
          <w:color w:val="808080"/>
        </w:rPr>
      </w:pPr>
      <w:r w:rsidRPr="00FA0D37">
        <w:t>maxAI-DCI-PayloadSize-</w:t>
      </w:r>
      <w:r w:rsidR="00A371DB" w:rsidRPr="00FA0D37">
        <w:t>1-r16</w:t>
      </w:r>
      <w:r w:rsidRPr="00FA0D37">
        <w:t xml:space="preserve">             </w:t>
      </w:r>
      <w:r w:rsidRPr="00FA0D37">
        <w:rPr>
          <w:color w:val="993366"/>
        </w:rPr>
        <w:t>INTEGER</w:t>
      </w:r>
      <w:r w:rsidRPr="00FA0D37">
        <w:t xml:space="preserve"> ::= 127      </w:t>
      </w:r>
      <w:r w:rsidRPr="00FA0D37">
        <w:rPr>
          <w:color w:val="808080"/>
        </w:rPr>
        <w:t>--Maximum size of the DCI payload scrambled with ai-RNTI minus 1</w:t>
      </w:r>
    </w:p>
    <w:p w14:paraId="02338842" w14:textId="77777777" w:rsidR="00394471" w:rsidRPr="00FA0D37" w:rsidRDefault="00394471" w:rsidP="00FA0D37">
      <w:pPr>
        <w:pStyle w:val="PL"/>
        <w:rPr>
          <w:color w:val="808080"/>
        </w:rPr>
      </w:pPr>
      <w:r w:rsidRPr="00FA0D37">
        <w:t xml:space="preserve">maxBandComb                             </w:t>
      </w:r>
      <w:r w:rsidRPr="00FA0D37">
        <w:rPr>
          <w:color w:val="993366"/>
        </w:rPr>
        <w:t>INTEGER</w:t>
      </w:r>
      <w:r w:rsidRPr="00FA0D37">
        <w:t xml:space="preserve"> ::= 65536   </w:t>
      </w:r>
      <w:r w:rsidRPr="00FA0D37">
        <w:rPr>
          <w:color w:val="808080"/>
        </w:rPr>
        <w:t>-- Maximum number of DL band combinations</w:t>
      </w:r>
    </w:p>
    <w:p w14:paraId="0DFF08E6" w14:textId="77777777" w:rsidR="00394471" w:rsidRPr="00FA0D37" w:rsidRDefault="00394471" w:rsidP="00FA0D37">
      <w:pPr>
        <w:pStyle w:val="PL"/>
        <w:rPr>
          <w:color w:val="808080"/>
        </w:rPr>
      </w:pPr>
      <w:r w:rsidRPr="00FA0D37">
        <w:t xml:space="preserve">maxBandsUTRA-FDD-r16                    </w:t>
      </w:r>
      <w:r w:rsidRPr="00FA0D37">
        <w:rPr>
          <w:color w:val="993366"/>
        </w:rPr>
        <w:t>INTEGER</w:t>
      </w:r>
      <w:r w:rsidRPr="00FA0D37">
        <w:t xml:space="preserve"> ::= 64      </w:t>
      </w:r>
      <w:r w:rsidRPr="00FA0D37">
        <w:rPr>
          <w:color w:val="808080"/>
        </w:rPr>
        <w:t>-- Maximum number of bands listed in UTRA-FDD UE caps</w:t>
      </w:r>
    </w:p>
    <w:p w14:paraId="0C050686" w14:textId="77777777" w:rsidR="00394471" w:rsidRPr="00FA0D37" w:rsidRDefault="00394471" w:rsidP="00FA0D37">
      <w:pPr>
        <w:pStyle w:val="PL"/>
        <w:rPr>
          <w:color w:val="808080"/>
        </w:rPr>
      </w:pPr>
      <w:r w:rsidRPr="00FA0D37">
        <w:t xml:space="preserve">maxBH-RLC-ChannelID-r16                 </w:t>
      </w:r>
      <w:r w:rsidRPr="00FA0D37">
        <w:rPr>
          <w:color w:val="993366"/>
        </w:rPr>
        <w:t>INTEGER</w:t>
      </w:r>
      <w:r w:rsidRPr="00FA0D37">
        <w:t xml:space="preserve"> ::= 65536   </w:t>
      </w:r>
      <w:r w:rsidRPr="00FA0D37">
        <w:rPr>
          <w:color w:val="808080"/>
        </w:rPr>
        <w:t>-- Maximum value of BH RLC Channel ID</w:t>
      </w:r>
    </w:p>
    <w:p w14:paraId="37D7F82E" w14:textId="77777777" w:rsidR="00394471" w:rsidRPr="00FA0D37" w:rsidRDefault="00394471" w:rsidP="00FA0D37">
      <w:pPr>
        <w:pStyle w:val="PL"/>
        <w:rPr>
          <w:color w:val="808080"/>
        </w:rPr>
      </w:pPr>
      <w:r w:rsidRPr="00FA0D37">
        <w:t xml:space="preserve">maxBT-IdReport-r16                      </w:t>
      </w:r>
      <w:r w:rsidRPr="00FA0D37">
        <w:rPr>
          <w:color w:val="993366"/>
        </w:rPr>
        <w:t>INTEGER</w:t>
      </w:r>
      <w:r w:rsidRPr="00FA0D37">
        <w:t xml:space="preserve"> ::= 32      </w:t>
      </w:r>
      <w:r w:rsidRPr="00FA0D37">
        <w:rPr>
          <w:color w:val="808080"/>
        </w:rPr>
        <w:t>-- Maximum number of Bluetooth IDs to report</w:t>
      </w:r>
    </w:p>
    <w:p w14:paraId="7358CAB5" w14:textId="77777777" w:rsidR="00394471" w:rsidRPr="00FA0D37" w:rsidRDefault="00394471" w:rsidP="00FA0D37">
      <w:pPr>
        <w:pStyle w:val="PL"/>
        <w:rPr>
          <w:color w:val="808080"/>
        </w:rPr>
      </w:pPr>
      <w:r w:rsidRPr="00FA0D37">
        <w:t xml:space="preserve">maxBT-Name-r16                          </w:t>
      </w:r>
      <w:r w:rsidRPr="00FA0D37">
        <w:rPr>
          <w:color w:val="993366"/>
        </w:rPr>
        <w:t>INTEGER</w:t>
      </w:r>
      <w:r w:rsidRPr="00FA0D37">
        <w:t xml:space="preserve"> ::= 4       </w:t>
      </w:r>
      <w:r w:rsidRPr="00FA0D37">
        <w:rPr>
          <w:color w:val="808080"/>
        </w:rPr>
        <w:t>-- Maximum number of Bluetooth name</w:t>
      </w:r>
    </w:p>
    <w:p w14:paraId="30658554" w14:textId="77777777" w:rsidR="00394471" w:rsidRPr="00FA0D37" w:rsidRDefault="00394471" w:rsidP="00FA0D37">
      <w:pPr>
        <w:pStyle w:val="PL"/>
        <w:rPr>
          <w:color w:val="808080"/>
        </w:rPr>
      </w:pPr>
      <w:r w:rsidRPr="00FA0D37">
        <w:t xml:space="preserve">maxCAG-Cell-r16                         </w:t>
      </w:r>
      <w:r w:rsidRPr="00FA0D37">
        <w:rPr>
          <w:color w:val="993366"/>
        </w:rPr>
        <w:t>INTEGER</w:t>
      </w:r>
      <w:r w:rsidRPr="00FA0D37">
        <w:t xml:space="preserve"> ::= 16      </w:t>
      </w:r>
      <w:r w:rsidRPr="00FA0D37">
        <w:rPr>
          <w:color w:val="808080"/>
        </w:rPr>
        <w:t>-- Maximum number of NR CAG cell ranges in SIB3, SIB4</w:t>
      </w:r>
    </w:p>
    <w:p w14:paraId="3CC8027C" w14:textId="77777777" w:rsidR="00B323A7" w:rsidRPr="00FA0D37" w:rsidRDefault="00B323A7" w:rsidP="00FA0D37">
      <w:pPr>
        <w:pStyle w:val="PL"/>
        <w:rPr>
          <w:color w:val="808080"/>
        </w:rPr>
      </w:pPr>
      <w:r w:rsidRPr="00FA0D37">
        <w:t xml:space="preserve">maxTwoPUCCH-Grp-ConfigList-r16          </w:t>
      </w:r>
      <w:r w:rsidRPr="00FA0D37">
        <w:rPr>
          <w:color w:val="993366"/>
        </w:rPr>
        <w:t>INTEGER</w:t>
      </w:r>
      <w:r w:rsidRPr="00FA0D37">
        <w:t xml:space="preserve"> ::= 32      </w:t>
      </w:r>
      <w:r w:rsidRPr="00FA0D37">
        <w:rPr>
          <w:color w:val="808080"/>
        </w:rPr>
        <w:t>-- Maximum number of supported configuration(s) of {primary PUCCH group</w:t>
      </w:r>
    </w:p>
    <w:p w14:paraId="411C4DD5" w14:textId="77777777" w:rsidR="00D20678" w:rsidRPr="00FA0D37" w:rsidRDefault="00B323A7" w:rsidP="00FA0D37">
      <w:pPr>
        <w:pStyle w:val="PL"/>
        <w:rPr>
          <w:color w:val="808080"/>
        </w:rPr>
      </w:pPr>
      <w:r w:rsidRPr="00FA0D37">
        <w:t xml:space="preserve">                                                            </w:t>
      </w:r>
      <w:r w:rsidRPr="00FA0D37">
        <w:rPr>
          <w:color w:val="808080"/>
        </w:rPr>
        <w:t>-- config, secondary PUCCH group config}</w:t>
      </w:r>
    </w:p>
    <w:p w14:paraId="75E2B48D" w14:textId="77777777" w:rsidR="00D20678" w:rsidRPr="00FA0D37" w:rsidRDefault="00D20678" w:rsidP="00FA0D37">
      <w:pPr>
        <w:pStyle w:val="PL"/>
        <w:rPr>
          <w:color w:val="808080"/>
        </w:rPr>
      </w:pPr>
      <w:r w:rsidRPr="00FA0D37">
        <w:t xml:space="preserve">maxTwoPUCCH-Grp-ConfigList-r17          </w:t>
      </w:r>
      <w:r w:rsidRPr="00FA0D37">
        <w:rPr>
          <w:color w:val="993366"/>
        </w:rPr>
        <w:t>INTEGER</w:t>
      </w:r>
      <w:r w:rsidRPr="00FA0D37">
        <w:t xml:space="preserve"> ::= 16      </w:t>
      </w:r>
      <w:r w:rsidRPr="00FA0D37">
        <w:rPr>
          <w:color w:val="808080"/>
        </w:rPr>
        <w:t>-- Maximum number of supported configuration(s) of {primary PUCCH group</w:t>
      </w:r>
    </w:p>
    <w:p w14:paraId="0B2F817F" w14:textId="15356CB4" w:rsidR="00B323A7" w:rsidRPr="00FA0D37" w:rsidRDefault="00D20678" w:rsidP="00FA0D37">
      <w:pPr>
        <w:pStyle w:val="PL"/>
        <w:rPr>
          <w:color w:val="808080"/>
        </w:rPr>
      </w:pPr>
      <w:r w:rsidRPr="00FA0D37">
        <w:t xml:space="preserve">                                                            </w:t>
      </w:r>
      <w:r w:rsidRPr="00FA0D37">
        <w:rPr>
          <w:color w:val="808080"/>
        </w:rPr>
        <w:t>-- config, secondary PUCCH group config} for PUCCH cell switching</w:t>
      </w:r>
    </w:p>
    <w:p w14:paraId="41B8BFDB" w14:textId="37C7E881" w:rsidR="00394471" w:rsidRPr="00FA0D37" w:rsidRDefault="00394471" w:rsidP="00FA0D37">
      <w:pPr>
        <w:pStyle w:val="PL"/>
        <w:rPr>
          <w:color w:val="808080"/>
        </w:rPr>
      </w:pPr>
      <w:r w:rsidRPr="00FA0D37">
        <w:t xml:space="preserve">maxCBR-Config-r16                       </w:t>
      </w:r>
      <w:r w:rsidRPr="00FA0D37">
        <w:rPr>
          <w:color w:val="993366"/>
        </w:rPr>
        <w:t>INTEGER</w:t>
      </w:r>
      <w:r w:rsidRPr="00FA0D37">
        <w:t xml:space="preserve"> ::= 8       </w:t>
      </w:r>
      <w:r w:rsidRPr="00FA0D37">
        <w:rPr>
          <w:color w:val="808080"/>
        </w:rPr>
        <w:t>-- Maximum number of CBR range configurations for sidelink communication</w:t>
      </w:r>
    </w:p>
    <w:p w14:paraId="67A51451" w14:textId="77777777" w:rsidR="00394471" w:rsidRPr="00FA0D37" w:rsidRDefault="00394471" w:rsidP="00FA0D37">
      <w:pPr>
        <w:pStyle w:val="PL"/>
        <w:rPr>
          <w:color w:val="808080"/>
        </w:rPr>
      </w:pPr>
      <w:r w:rsidRPr="00FA0D37">
        <w:t xml:space="preserve">                                                            </w:t>
      </w:r>
      <w:r w:rsidRPr="00FA0D37">
        <w:rPr>
          <w:color w:val="808080"/>
        </w:rPr>
        <w:t>-- congestion control</w:t>
      </w:r>
    </w:p>
    <w:p w14:paraId="43094683" w14:textId="77777777" w:rsidR="00394471" w:rsidRPr="00FA0D37" w:rsidRDefault="00394471" w:rsidP="00FA0D37">
      <w:pPr>
        <w:pStyle w:val="PL"/>
        <w:rPr>
          <w:color w:val="808080"/>
        </w:rPr>
      </w:pPr>
      <w:r w:rsidRPr="00FA0D37">
        <w:t xml:space="preserve">maxCBR-Config-1-r16                     </w:t>
      </w:r>
      <w:r w:rsidRPr="00FA0D37">
        <w:rPr>
          <w:color w:val="993366"/>
        </w:rPr>
        <w:t>INTEGER</w:t>
      </w:r>
      <w:r w:rsidRPr="00FA0D37">
        <w:t xml:space="preserve"> ::= 7       </w:t>
      </w:r>
      <w:r w:rsidRPr="00FA0D37">
        <w:rPr>
          <w:color w:val="808080"/>
        </w:rPr>
        <w:t>-- Maximum number of CBR range configurations for sidelink communication</w:t>
      </w:r>
    </w:p>
    <w:p w14:paraId="55E2D652" w14:textId="77777777" w:rsidR="00394471" w:rsidRPr="00FA0D37" w:rsidRDefault="00394471" w:rsidP="00FA0D37">
      <w:pPr>
        <w:pStyle w:val="PL"/>
        <w:rPr>
          <w:color w:val="808080"/>
        </w:rPr>
      </w:pPr>
      <w:r w:rsidRPr="00FA0D37">
        <w:t xml:space="preserve">                                                            </w:t>
      </w:r>
      <w:r w:rsidRPr="00FA0D37">
        <w:rPr>
          <w:color w:val="808080"/>
        </w:rPr>
        <w:t>-- congestion control minus 1</w:t>
      </w:r>
    </w:p>
    <w:p w14:paraId="7A44F39C" w14:textId="6E0F3D04" w:rsidR="00394471" w:rsidRPr="00FA0D37" w:rsidRDefault="00394471" w:rsidP="00FA0D37">
      <w:pPr>
        <w:pStyle w:val="PL"/>
        <w:rPr>
          <w:color w:val="808080"/>
        </w:rPr>
      </w:pPr>
      <w:r w:rsidRPr="00FA0D37">
        <w:t xml:space="preserve">maxCBR-Level-r16                        </w:t>
      </w:r>
      <w:r w:rsidRPr="00FA0D37">
        <w:rPr>
          <w:color w:val="993366"/>
        </w:rPr>
        <w:t>INTEGER</w:t>
      </w:r>
      <w:r w:rsidRPr="00FA0D37">
        <w:t xml:space="preserve"> ::= 16      </w:t>
      </w:r>
      <w:r w:rsidRPr="00FA0D37">
        <w:rPr>
          <w:color w:val="808080"/>
        </w:rPr>
        <w:t>-- Maximum nu</w:t>
      </w:r>
      <w:r w:rsidR="00926AC0" w:rsidRPr="00FA0D37">
        <w:rPr>
          <w:color w:val="808080"/>
        </w:rPr>
        <w:t>m</w:t>
      </w:r>
      <w:r w:rsidRPr="00FA0D37">
        <w:rPr>
          <w:color w:val="808080"/>
        </w:rPr>
        <w:t>ber of CBR levels</w:t>
      </w:r>
    </w:p>
    <w:p w14:paraId="4242901F" w14:textId="77777777" w:rsidR="00394471" w:rsidRPr="00FA0D37" w:rsidRDefault="00394471" w:rsidP="00FA0D37">
      <w:pPr>
        <w:pStyle w:val="PL"/>
        <w:rPr>
          <w:color w:val="808080"/>
        </w:rPr>
      </w:pPr>
      <w:r w:rsidRPr="00FA0D37">
        <w:t xml:space="preserve">maxCBR-Level-1-r16                      </w:t>
      </w:r>
      <w:r w:rsidRPr="00FA0D37">
        <w:rPr>
          <w:color w:val="993366"/>
        </w:rPr>
        <w:t>INTEGER</w:t>
      </w:r>
      <w:r w:rsidRPr="00FA0D37">
        <w:t xml:space="preserve"> ::= 15      </w:t>
      </w:r>
      <w:r w:rsidRPr="00FA0D37">
        <w:rPr>
          <w:color w:val="808080"/>
        </w:rPr>
        <w:t>-- Maximum number of CBR levels minus 1</w:t>
      </w:r>
    </w:p>
    <w:p w14:paraId="0E9FD732" w14:textId="149E739D" w:rsidR="00394471" w:rsidRPr="00FA0D37" w:rsidRDefault="00394471" w:rsidP="00FA0D37">
      <w:pPr>
        <w:pStyle w:val="PL"/>
        <w:rPr>
          <w:color w:val="808080"/>
        </w:rPr>
      </w:pPr>
      <w:r w:rsidRPr="00FA0D37">
        <w:t>maxCell</w:t>
      </w:r>
      <w:r w:rsidR="005B6C6E" w:rsidRPr="00FA0D37">
        <w:t>Excluded</w:t>
      </w:r>
      <w:r w:rsidRPr="00FA0D37">
        <w:t xml:space="preserve">                         </w:t>
      </w:r>
      <w:r w:rsidRPr="00FA0D37">
        <w:rPr>
          <w:color w:val="993366"/>
        </w:rPr>
        <w:t>INTEGER</w:t>
      </w:r>
      <w:r w:rsidRPr="00FA0D37">
        <w:t xml:space="preserve"> ::= 16      </w:t>
      </w:r>
      <w:r w:rsidRPr="00FA0D37">
        <w:rPr>
          <w:color w:val="808080"/>
        </w:rPr>
        <w:t xml:space="preserve">-- Maximum number of NR </w:t>
      </w:r>
      <w:r w:rsidR="005B6C6E" w:rsidRPr="00FA0D37">
        <w:rPr>
          <w:color w:val="808080"/>
        </w:rPr>
        <w:t>exclude-</w:t>
      </w:r>
      <w:r w:rsidRPr="00FA0D37">
        <w:rPr>
          <w:color w:val="808080"/>
        </w:rPr>
        <w:t>listed cell ranges in SIB3, SIB4</w:t>
      </w:r>
    </w:p>
    <w:p w14:paraId="741528AB" w14:textId="77777777" w:rsidR="007830B1" w:rsidRPr="00FA0D37" w:rsidRDefault="007830B1" w:rsidP="00FA0D37">
      <w:pPr>
        <w:pStyle w:val="PL"/>
        <w:rPr>
          <w:color w:val="808080"/>
        </w:rPr>
      </w:pPr>
      <w:r w:rsidRPr="00FA0D37">
        <w:t xml:space="preserve">maxCellGroupings-r16                    </w:t>
      </w:r>
      <w:r w:rsidRPr="00FA0D37">
        <w:rPr>
          <w:color w:val="993366"/>
        </w:rPr>
        <w:t>INTEGER</w:t>
      </w:r>
      <w:r w:rsidRPr="00FA0D37">
        <w:t xml:space="preserve"> ::= 32      </w:t>
      </w:r>
      <w:r w:rsidRPr="00FA0D37">
        <w:rPr>
          <w:color w:val="808080"/>
        </w:rPr>
        <w:t>-- Maximum number of cell groupings for NR-DC</w:t>
      </w:r>
    </w:p>
    <w:p w14:paraId="250F5C27" w14:textId="1DC61392" w:rsidR="00394471" w:rsidRPr="00FA0D37" w:rsidRDefault="00394471" w:rsidP="00FA0D37">
      <w:pPr>
        <w:pStyle w:val="PL"/>
        <w:rPr>
          <w:color w:val="808080"/>
        </w:rPr>
      </w:pPr>
      <w:r w:rsidRPr="00FA0D37">
        <w:t xml:space="preserve">maxCellHistory-r16                      </w:t>
      </w:r>
      <w:r w:rsidRPr="00FA0D37">
        <w:rPr>
          <w:color w:val="993366"/>
        </w:rPr>
        <w:t>INTEGER</w:t>
      </w:r>
      <w:r w:rsidRPr="00FA0D37">
        <w:t xml:space="preserve"> ::= 16      </w:t>
      </w:r>
      <w:r w:rsidRPr="00FA0D37">
        <w:rPr>
          <w:color w:val="808080"/>
        </w:rPr>
        <w:t xml:space="preserve">-- Maximum number of visited </w:t>
      </w:r>
      <w:r w:rsidR="00E84B6D" w:rsidRPr="00FA0D37">
        <w:rPr>
          <w:color w:val="808080"/>
        </w:rPr>
        <w:t>PC</w:t>
      </w:r>
      <w:r w:rsidRPr="00FA0D37">
        <w:rPr>
          <w:color w:val="808080"/>
        </w:rPr>
        <w:t>ells reported</w:t>
      </w:r>
    </w:p>
    <w:p w14:paraId="50B35473" w14:textId="44D75C8E" w:rsidR="00E84B6D" w:rsidRPr="00FA0D37" w:rsidRDefault="00E84B6D" w:rsidP="00FA0D37">
      <w:pPr>
        <w:pStyle w:val="PL"/>
        <w:rPr>
          <w:color w:val="808080"/>
        </w:rPr>
      </w:pPr>
      <w:r w:rsidRPr="00FA0D37">
        <w:t xml:space="preserve">maxPSCellHistory-r17                    </w:t>
      </w:r>
      <w:r w:rsidRPr="00FA0D37">
        <w:rPr>
          <w:color w:val="993366"/>
        </w:rPr>
        <w:t>INTEGER</w:t>
      </w:r>
      <w:r w:rsidRPr="00FA0D37">
        <w:t xml:space="preserve"> ::= 16      </w:t>
      </w:r>
      <w:r w:rsidRPr="00FA0D37">
        <w:rPr>
          <w:color w:val="808080"/>
        </w:rPr>
        <w:t xml:space="preserve">-- Maximum number of visited PSCells </w:t>
      </w:r>
      <w:r w:rsidR="00946331" w:rsidRPr="00FA0D37">
        <w:rPr>
          <w:color w:val="808080"/>
        </w:rPr>
        <w:t xml:space="preserve">across all </w:t>
      </w:r>
      <w:r w:rsidRPr="00FA0D37">
        <w:rPr>
          <w:color w:val="808080"/>
        </w:rPr>
        <w:t>reported</w:t>
      </w:r>
      <w:r w:rsidR="00946331" w:rsidRPr="00FA0D37">
        <w:rPr>
          <w:color w:val="808080"/>
        </w:rPr>
        <w:t xml:space="preserve"> PCells</w:t>
      </w:r>
    </w:p>
    <w:p w14:paraId="594F067A" w14:textId="77777777" w:rsidR="00394471" w:rsidRPr="00FA0D37" w:rsidRDefault="00394471" w:rsidP="00FA0D37">
      <w:pPr>
        <w:pStyle w:val="PL"/>
        <w:rPr>
          <w:color w:val="808080"/>
        </w:rPr>
      </w:pPr>
      <w:r w:rsidRPr="00FA0D37">
        <w:t xml:space="preserve">maxCellInter                            </w:t>
      </w:r>
      <w:r w:rsidRPr="00FA0D37">
        <w:rPr>
          <w:color w:val="993366"/>
        </w:rPr>
        <w:t>INTEGER</w:t>
      </w:r>
      <w:r w:rsidRPr="00FA0D37">
        <w:t xml:space="preserve"> ::= 16      </w:t>
      </w:r>
      <w:r w:rsidRPr="00FA0D37">
        <w:rPr>
          <w:color w:val="808080"/>
        </w:rPr>
        <w:t>-- Maximum number of inter-Freq cells listed in SIB4</w:t>
      </w:r>
    </w:p>
    <w:p w14:paraId="47B86D02" w14:textId="77777777" w:rsidR="00394471" w:rsidRPr="00FA0D37" w:rsidRDefault="00394471" w:rsidP="00FA0D37">
      <w:pPr>
        <w:pStyle w:val="PL"/>
        <w:rPr>
          <w:color w:val="808080"/>
        </w:rPr>
      </w:pPr>
      <w:r w:rsidRPr="00FA0D37">
        <w:t xml:space="preserve">maxCellIntra                            </w:t>
      </w:r>
      <w:r w:rsidRPr="00FA0D37">
        <w:rPr>
          <w:color w:val="993366"/>
        </w:rPr>
        <w:t>INTEGER</w:t>
      </w:r>
      <w:r w:rsidRPr="00FA0D37">
        <w:t xml:space="preserve"> ::= 16      </w:t>
      </w:r>
      <w:r w:rsidRPr="00FA0D37">
        <w:rPr>
          <w:color w:val="808080"/>
        </w:rPr>
        <w:t>-- Maximum number of intra-Freq cells listed in SIB3</w:t>
      </w:r>
    </w:p>
    <w:p w14:paraId="093AB4C8" w14:textId="77777777" w:rsidR="00394471" w:rsidRPr="00FA0D37" w:rsidRDefault="00394471" w:rsidP="00FA0D37">
      <w:pPr>
        <w:pStyle w:val="PL"/>
        <w:rPr>
          <w:color w:val="808080"/>
        </w:rPr>
      </w:pPr>
      <w:r w:rsidRPr="00FA0D37">
        <w:t xml:space="preserve">maxCellMeasEUTRA                        </w:t>
      </w:r>
      <w:r w:rsidRPr="00FA0D37">
        <w:rPr>
          <w:color w:val="993366"/>
        </w:rPr>
        <w:t>INTEGER</w:t>
      </w:r>
      <w:r w:rsidRPr="00FA0D37">
        <w:t xml:space="preserve"> ::= 32      </w:t>
      </w:r>
      <w:r w:rsidRPr="00FA0D37">
        <w:rPr>
          <w:color w:val="808080"/>
        </w:rPr>
        <w:t>-- Maximum number of cells in E-UTRAN</w:t>
      </w:r>
    </w:p>
    <w:p w14:paraId="2C3601F9" w14:textId="77777777" w:rsidR="00394471" w:rsidRPr="00FA0D37" w:rsidRDefault="00394471" w:rsidP="00FA0D37">
      <w:pPr>
        <w:pStyle w:val="PL"/>
        <w:rPr>
          <w:color w:val="808080"/>
        </w:rPr>
      </w:pPr>
      <w:r w:rsidRPr="00FA0D37">
        <w:t xml:space="preserve">maxCellMeasIdle-r16                     </w:t>
      </w:r>
      <w:r w:rsidRPr="00FA0D37">
        <w:rPr>
          <w:color w:val="993366"/>
        </w:rPr>
        <w:t>INTEGER</w:t>
      </w:r>
      <w:r w:rsidRPr="00FA0D37">
        <w:t xml:space="preserve"> ::= 8       </w:t>
      </w:r>
      <w:r w:rsidRPr="00FA0D37">
        <w:rPr>
          <w:color w:val="808080"/>
        </w:rPr>
        <w:t>-- Maximum number of cells per carrier for idle/inactive measurements</w:t>
      </w:r>
    </w:p>
    <w:p w14:paraId="2EF67278" w14:textId="77777777" w:rsidR="00394471" w:rsidRPr="00FA0D37" w:rsidRDefault="00394471" w:rsidP="00FA0D37">
      <w:pPr>
        <w:pStyle w:val="PL"/>
        <w:rPr>
          <w:color w:val="808080"/>
        </w:rPr>
      </w:pPr>
      <w:r w:rsidRPr="00FA0D37">
        <w:t xml:space="preserve">maxCellMeasUTRA-FDD-r16                 </w:t>
      </w:r>
      <w:r w:rsidRPr="00FA0D37">
        <w:rPr>
          <w:color w:val="993366"/>
        </w:rPr>
        <w:t>INTEGER</w:t>
      </w:r>
      <w:r w:rsidRPr="00FA0D37">
        <w:t xml:space="preserve"> ::= 32      </w:t>
      </w:r>
      <w:r w:rsidRPr="00FA0D37">
        <w:rPr>
          <w:color w:val="808080"/>
        </w:rPr>
        <w:t>-- Maximum number of cells in FDD UTRAN</w:t>
      </w:r>
    </w:p>
    <w:p w14:paraId="52DA2040" w14:textId="1A9DD1E9" w:rsidR="0090199E" w:rsidRPr="00FA0D37" w:rsidRDefault="0090199E" w:rsidP="00FA0D37">
      <w:pPr>
        <w:pStyle w:val="PL"/>
        <w:rPr>
          <w:color w:val="808080"/>
        </w:rPr>
      </w:pPr>
      <w:r w:rsidRPr="00FA0D37">
        <w:t>maxCellNTN</w:t>
      </w:r>
      <w:r w:rsidR="00C92928" w:rsidRPr="00FA0D37">
        <w:t>-r17</w:t>
      </w:r>
      <w:r w:rsidRPr="00FA0D37">
        <w:t xml:space="preserve">                          </w:t>
      </w:r>
      <w:r w:rsidRPr="00FA0D37">
        <w:rPr>
          <w:color w:val="993366"/>
        </w:rPr>
        <w:t>INTEGER</w:t>
      </w:r>
      <w:r w:rsidRPr="00FA0D37">
        <w:t xml:space="preserve"> ::= 4       </w:t>
      </w:r>
      <w:r w:rsidRPr="00FA0D37">
        <w:rPr>
          <w:color w:val="808080"/>
        </w:rPr>
        <w:t>-- Maximum number of NTN neighbour cells for which assistance information is</w:t>
      </w:r>
    </w:p>
    <w:p w14:paraId="671DD8F1" w14:textId="5017D3E5" w:rsidR="0090199E" w:rsidRPr="00FA0D37" w:rsidRDefault="0090199E" w:rsidP="00FA0D37">
      <w:pPr>
        <w:pStyle w:val="PL"/>
        <w:rPr>
          <w:color w:val="808080"/>
        </w:rPr>
      </w:pPr>
      <w:r w:rsidRPr="00FA0D37">
        <w:t xml:space="preserve">                                                            </w:t>
      </w:r>
      <w:r w:rsidRPr="00FA0D37">
        <w:rPr>
          <w:color w:val="808080"/>
        </w:rPr>
        <w:t>-- provided</w:t>
      </w:r>
    </w:p>
    <w:p w14:paraId="010B7427" w14:textId="5E5D61A1" w:rsidR="005337F6" w:rsidRPr="00FA0D37" w:rsidRDefault="005337F6" w:rsidP="00FA0D37">
      <w:pPr>
        <w:pStyle w:val="PL"/>
        <w:rPr>
          <w:color w:val="808080"/>
        </w:rPr>
      </w:pPr>
      <w:r w:rsidRPr="00FA0D37">
        <w:t xml:space="preserve">maxCarrierTypePairList-r16              </w:t>
      </w:r>
      <w:r w:rsidRPr="00FA0D37">
        <w:rPr>
          <w:color w:val="993366"/>
        </w:rPr>
        <w:t>INTEGER</w:t>
      </w:r>
      <w:r w:rsidRPr="00FA0D37">
        <w:t xml:space="preserve"> ::= 16      </w:t>
      </w:r>
      <w:r w:rsidRPr="00FA0D37">
        <w:rPr>
          <w:color w:val="808080"/>
        </w:rPr>
        <w:t>-- Maximum number of supported carrier type pair of (carrier type on which</w:t>
      </w:r>
    </w:p>
    <w:p w14:paraId="77F51590" w14:textId="77777777" w:rsidR="005337F6" w:rsidRPr="00FA0D37" w:rsidRDefault="005337F6" w:rsidP="00FA0D37">
      <w:pPr>
        <w:pStyle w:val="PL"/>
        <w:rPr>
          <w:color w:val="808080"/>
        </w:rPr>
      </w:pPr>
      <w:r w:rsidRPr="00FA0D37">
        <w:t xml:space="preserve">                                                            </w:t>
      </w:r>
      <w:r w:rsidRPr="00FA0D37">
        <w:rPr>
          <w:color w:val="808080"/>
        </w:rPr>
        <w:t>-- CSI measurement is performed, carrier type on which CSI reporting is</w:t>
      </w:r>
    </w:p>
    <w:p w14:paraId="2A808160" w14:textId="5E136659" w:rsidR="005337F6" w:rsidRPr="00FA0D37" w:rsidRDefault="005337F6" w:rsidP="00FA0D37">
      <w:pPr>
        <w:pStyle w:val="PL"/>
        <w:rPr>
          <w:color w:val="808080"/>
        </w:rPr>
      </w:pPr>
      <w:r w:rsidRPr="00FA0D37">
        <w:t xml:space="preserve">                                                            </w:t>
      </w:r>
      <w:r w:rsidRPr="00FA0D37">
        <w:rPr>
          <w:color w:val="808080"/>
        </w:rPr>
        <w:t>-- performed) for CSI reporting cross PUCCH group</w:t>
      </w:r>
    </w:p>
    <w:p w14:paraId="3F92243C" w14:textId="06A95DCF" w:rsidR="00394471" w:rsidRPr="00FA0D37" w:rsidRDefault="00394471" w:rsidP="00FA0D37">
      <w:pPr>
        <w:pStyle w:val="PL"/>
        <w:rPr>
          <w:color w:val="808080"/>
        </w:rPr>
      </w:pPr>
      <w:r w:rsidRPr="00FA0D37">
        <w:t>maxCell</w:t>
      </w:r>
      <w:r w:rsidR="005B6C6E" w:rsidRPr="00FA0D37">
        <w:t>Allowed</w:t>
      </w:r>
      <w:r w:rsidRPr="00FA0D37">
        <w:t xml:space="preserve">                          </w:t>
      </w:r>
      <w:r w:rsidRPr="00FA0D37">
        <w:rPr>
          <w:color w:val="993366"/>
        </w:rPr>
        <w:t>INTEGER</w:t>
      </w:r>
      <w:r w:rsidRPr="00FA0D37">
        <w:t xml:space="preserve"> ::= 16      </w:t>
      </w:r>
      <w:r w:rsidRPr="00FA0D37">
        <w:rPr>
          <w:color w:val="808080"/>
        </w:rPr>
        <w:t xml:space="preserve">-- Maximum number of NR </w:t>
      </w:r>
      <w:r w:rsidR="005B6C6E" w:rsidRPr="00FA0D37">
        <w:rPr>
          <w:color w:val="808080"/>
        </w:rPr>
        <w:t>allow-</w:t>
      </w:r>
      <w:r w:rsidRPr="00FA0D37">
        <w:rPr>
          <w:color w:val="808080"/>
        </w:rPr>
        <w:t>listed cell ranges in SIB3, SIB4</w:t>
      </w:r>
    </w:p>
    <w:p w14:paraId="6484E5F0" w14:textId="77777777" w:rsidR="00394471" w:rsidRPr="00FA0D37" w:rsidRDefault="00394471" w:rsidP="00FA0D37">
      <w:pPr>
        <w:pStyle w:val="PL"/>
        <w:rPr>
          <w:color w:val="808080"/>
        </w:rPr>
      </w:pPr>
      <w:r w:rsidRPr="00FA0D37">
        <w:t xml:space="preserve">maxEARFCN                               </w:t>
      </w:r>
      <w:r w:rsidRPr="00FA0D37">
        <w:rPr>
          <w:color w:val="993366"/>
        </w:rPr>
        <w:t>INTEGER</w:t>
      </w:r>
      <w:r w:rsidRPr="00FA0D37">
        <w:t xml:space="preserve"> ::= 262143  </w:t>
      </w:r>
      <w:r w:rsidRPr="00FA0D37">
        <w:rPr>
          <w:color w:val="808080"/>
        </w:rPr>
        <w:t>-- Maximum value of E-UTRA carrier frequency</w:t>
      </w:r>
    </w:p>
    <w:p w14:paraId="597627B7" w14:textId="00FB8344" w:rsidR="00394471" w:rsidRPr="00FA0D37" w:rsidRDefault="00394471" w:rsidP="00FA0D37">
      <w:pPr>
        <w:pStyle w:val="PL"/>
        <w:rPr>
          <w:color w:val="808080"/>
        </w:rPr>
      </w:pPr>
      <w:r w:rsidRPr="00FA0D37">
        <w:t>maxEUTRA-Cell</w:t>
      </w:r>
      <w:r w:rsidR="005B6C6E" w:rsidRPr="00FA0D37">
        <w:t>Excluded</w:t>
      </w:r>
      <w:r w:rsidRPr="00FA0D37">
        <w:t xml:space="preserve">                   </w:t>
      </w:r>
      <w:r w:rsidRPr="00FA0D37">
        <w:rPr>
          <w:color w:val="993366"/>
        </w:rPr>
        <w:t>INTEGER</w:t>
      </w:r>
      <w:r w:rsidRPr="00FA0D37">
        <w:t xml:space="preserve"> ::= 16      </w:t>
      </w:r>
      <w:r w:rsidRPr="00FA0D37">
        <w:rPr>
          <w:color w:val="808080"/>
        </w:rPr>
        <w:t xml:space="preserve">-- Maximum number of E-UTRA </w:t>
      </w:r>
      <w:r w:rsidR="005B6C6E" w:rsidRPr="00FA0D37">
        <w:rPr>
          <w:color w:val="808080"/>
        </w:rPr>
        <w:t>exclude-</w:t>
      </w:r>
      <w:r w:rsidRPr="00FA0D37">
        <w:rPr>
          <w:color w:val="808080"/>
        </w:rPr>
        <w:t>listed physical cell identity ranges</w:t>
      </w:r>
    </w:p>
    <w:p w14:paraId="24DE772A" w14:textId="77777777" w:rsidR="00394471" w:rsidRPr="00FA0D37" w:rsidRDefault="00394471" w:rsidP="00FA0D37">
      <w:pPr>
        <w:pStyle w:val="PL"/>
        <w:rPr>
          <w:color w:val="808080"/>
        </w:rPr>
      </w:pPr>
      <w:r w:rsidRPr="00FA0D37">
        <w:t xml:space="preserve">                                                            </w:t>
      </w:r>
      <w:r w:rsidRPr="00FA0D37">
        <w:rPr>
          <w:color w:val="808080"/>
        </w:rPr>
        <w:t>-- in SIB5</w:t>
      </w:r>
    </w:p>
    <w:p w14:paraId="058E5E61" w14:textId="77777777" w:rsidR="00394471" w:rsidRPr="00FA0D37" w:rsidRDefault="00394471" w:rsidP="00FA0D37">
      <w:pPr>
        <w:pStyle w:val="PL"/>
        <w:rPr>
          <w:color w:val="808080"/>
        </w:rPr>
      </w:pPr>
      <w:r w:rsidRPr="00FA0D37">
        <w:t xml:space="preserve">maxEUTRA-NS-Pmax                        </w:t>
      </w:r>
      <w:r w:rsidRPr="00FA0D37">
        <w:rPr>
          <w:color w:val="993366"/>
        </w:rPr>
        <w:t>INTEGER</w:t>
      </w:r>
      <w:r w:rsidRPr="00FA0D37">
        <w:t xml:space="preserve"> ::= 8       </w:t>
      </w:r>
      <w:r w:rsidRPr="00FA0D37">
        <w:rPr>
          <w:color w:val="808080"/>
        </w:rPr>
        <w:t>-- Maximum number of NS and P-Max values per band</w:t>
      </w:r>
    </w:p>
    <w:p w14:paraId="0E52A772" w14:textId="439D3D15" w:rsidR="00276C79" w:rsidRPr="00FA0D37" w:rsidRDefault="00276C79" w:rsidP="00FA0D37">
      <w:pPr>
        <w:pStyle w:val="PL"/>
        <w:rPr>
          <w:color w:val="808080"/>
        </w:rPr>
      </w:pPr>
      <w:r w:rsidRPr="00FA0D37">
        <w:t>maxFeatureCombPreambles</w:t>
      </w:r>
      <w:r w:rsidR="0071669F" w:rsidRPr="00FA0D37">
        <w:t>PerRACHResource</w:t>
      </w:r>
      <w:r w:rsidRPr="00FA0D37">
        <w:t xml:space="preserve">-r17 </w:t>
      </w:r>
      <w:r w:rsidRPr="00FA0D37">
        <w:rPr>
          <w:color w:val="993366"/>
        </w:rPr>
        <w:t>INTEGER</w:t>
      </w:r>
      <w:r w:rsidRPr="00FA0D37">
        <w:t xml:space="preserve"> ::= </w:t>
      </w:r>
      <w:r w:rsidR="0071669F" w:rsidRPr="00FA0D37">
        <w:t>256</w:t>
      </w:r>
      <w:r w:rsidRPr="00FA0D37">
        <w:t xml:space="preserve">  </w:t>
      </w:r>
      <w:r w:rsidRPr="00FA0D37">
        <w:rPr>
          <w:color w:val="808080"/>
        </w:rPr>
        <w:t>-- Maximum number of feature combination preambles</w:t>
      </w:r>
      <w:r w:rsidR="0071669F" w:rsidRPr="00FA0D37">
        <w:rPr>
          <w:color w:val="808080"/>
        </w:rPr>
        <w:t>.</w:t>
      </w:r>
    </w:p>
    <w:p w14:paraId="41C753BB" w14:textId="77777777" w:rsidR="00394471" w:rsidRPr="00FA0D37" w:rsidRDefault="00394471" w:rsidP="00FA0D37">
      <w:pPr>
        <w:pStyle w:val="PL"/>
        <w:rPr>
          <w:color w:val="808080"/>
        </w:rPr>
      </w:pPr>
      <w:r w:rsidRPr="00FA0D37">
        <w:t xml:space="preserve">maxLogMeasReport-r16                    </w:t>
      </w:r>
      <w:r w:rsidRPr="00FA0D37">
        <w:rPr>
          <w:color w:val="993366"/>
        </w:rPr>
        <w:t>INTEGER</w:t>
      </w:r>
      <w:r w:rsidRPr="00FA0D37">
        <w:t xml:space="preserve"> ::= 520     </w:t>
      </w:r>
      <w:r w:rsidRPr="00FA0D37">
        <w:rPr>
          <w:color w:val="808080"/>
        </w:rPr>
        <w:t>-- Maximum number of entries for logged measurements</w:t>
      </w:r>
    </w:p>
    <w:p w14:paraId="16E3F205" w14:textId="77777777" w:rsidR="00394471" w:rsidRPr="00FA0D37" w:rsidRDefault="00394471" w:rsidP="00FA0D37">
      <w:pPr>
        <w:pStyle w:val="PL"/>
        <w:rPr>
          <w:color w:val="808080"/>
        </w:rPr>
      </w:pPr>
      <w:r w:rsidRPr="00FA0D37">
        <w:t xml:space="preserve">maxMultiBands                           </w:t>
      </w:r>
      <w:r w:rsidRPr="00FA0D37">
        <w:rPr>
          <w:color w:val="993366"/>
        </w:rPr>
        <w:t>INTEGER</w:t>
      </w:r>
      <w:r w:rsidRPr="00FA0D37">
        <w:t xml:space="preserve"> ::= 8       </w:t>
      </w:r>
      <w:r w:rsidRPr="00FA0D37">
        <w:rPr>
          <w:color w:val="808080"/>
        </w:rPr>
        <w:t>-- Maximum number of additional frequency bands that a cell belongs to</w:t>
      </w:r>
    </w:p>
    <w:p w14:paraId="41C86F6D" w14:textId="77777777" w:rsidR="00394471" w:rsidRPr="00FA0D37" w:rsidRDefault="00394471" w:rsidP="00FA0D37">
      <w:pPr>
        <w:pStyle w:val="PL"/>
        <w:rPr>
          <w:color w:val="808080"/>
        </w:rPr>
      </w:pPr>
      <w:r w:rsidRPr="00FA0D37">
        <w:t xml:space="preserve">maxNARFCN                               </w:t>
      </w:r>
      <w:r w:rsidRPr="00FA0D37">
        <w:rPr>
          <w:color w:val="993366"/>
        </w:rPr>
        <w:t>INTEGER</w:t>
      </w:r>
      <w:r w:rsidRPr="00FA0D37">
        <w:t xml:space="preserve"> ::= 3279165 </w:t>
      </w:r>
      <w:r w:rsidRPr="00FA0D37">
        <w:rPr>
          <w:color w:val="808080"/>
        </w:rPr>
        <w:t>-- Maximum value of NR carrier frequency</w:t>
      </w:r>
    </w:p>
    <w:p w14:paraId="4167789F" w14:textId="77777777" w:rsidR="00394471" w:rsidRPr="00FA0D37" w:rsidRDefault="00394471" w:rsidP="00FA0D37">
      <w:pPr>
        <w:pStyle w:val="PL"/>
        <w:rPr>
          <w:color w:val="808080"/>
        </w:rPr>
      </w:pPr>
      <w:r w:rsidRPr="00FA0D37">
        <w:lastRenderedPageBreak/>
        <w:t xml:space="preserve">maxNR-NS-Pmax                           </w:t>
      </w:r>
      <w:r w:rsidRPr="00FA0D37">
        <w:rPr>
          <w:color w:val="993366"/>
        </w:rPr>
        <w:t>INTEGER</w:t>
      </w:r>
      <w:r w:rsidRPr="00FA0D37">
        <w:t xml:space="preserve"> ::= 8       </w:t>
      </w:r>
      <w:r w:rsidRPr="00FA0D37">
        <w:rPr>
          <w:color w:val="808080"/>
        </w:rPr>
        <w:t>-- Maximum number of NS and P-Max values per band</w:t>
      </w:r>
    </w:p>
    <w:p w14:paraId="398B454D" w14:textId="77777777" w:rsidR="00394471" w:rsidRPr="00FA0D37" w:rsidRDefault="00394471" w:rsidP="00FA0D37">
      <w:pPr>
        <w:pStyle w:val="PL"/>
        <w:rPr>
          <w:color w:val="808080"/>
        </w:rPr>
      </w:pPr>
      <w:r w:rsidRPr="00FA0D37">
        <w:t xml:space="preserve">maxFreqIdle-r16                         </w:t>
      </w:r>
      <w:r w:rsidRPr="00FA0D37">
        <w:rPr>
          <w:color w:val="993366"/>
        </w:rPr>
        <w:t>INTEGER</w:t>
      </w:r>
      <w:r w:rsidRPr="00FA0D37">
        <w:t xml:space="preserve"> ::= 8       </w:t>
      </w:r>
      <w:r w:rsidRPr="00FA0D37">
        <w:rPr>
          <w:color w:val="808080"/>
        </w:rPr>
        <w:t>-- Maximum number of carrier frequencies for idle/inactive measurements</w:t>
      </w:r>
    </w:p>
    <w:p w14:paraId="2EEE7723" w14:textId="77777777" w:rsidR="00394471" w:rsidRPr="00FA0D37" w:rsidRDefault="00394471" w:rsidP="00FA0D37">
      <w:pPr>
        <w:pStyle w:val="PL"/>
        <w:rPr>
          <w:color w:val="808080"/>
        </w:rPr>
      </w:pPr>
      <w:r w:rsidRPr="00FA0D37">
        <w:t xml:space="preserve">maxNrofServingCells                     </w:t>
      </w:r>
      <w:r w:rsidRPr="00FA0D37">
        <w:rPr>
          <w:color w:val="993366"/>
        </w:rPr>
        <w:t>INTEGER</w:t>
      </w:r>
      <w:r w:rsidRPr="00FA0D37">
        <w:t xml:space="preserve"> ::= 32      </w:t>
      </w:r>
      <w:r w:rsidRPr="00FA0D37">
        <w:rPr>
          <w:color w:val="808080"/>
        </w:rPr>
        <w:t>-- Max number of serving cells (SpCells + SCells)</w:t>
      </w:r>
    </w:p>
    <w:p w14:paraId="0D5D3D3B" w14:textId="020B10C5" w:rsidR="00394471" w:rsidRPr="00FA0D37" w:rsidRDefault="00394471" w:rsidP="00FA0D37">
      <w:pPr>
        <w:pStyle w:val="PL"/>
        <w:rPr>
          <w:color w:val="808080"/>
        </w:rPr>
      </w:pPr>
      <w:r w:rsidRPr="00FA0D37">
        <w:t xml:space="preserve">maxNrofServingCells-1                   </w:t>
      </w:r>
      <w:r w:rsidRPr="00FA0D37">
        <w:rPr>
          <w:color w:val="993366"/>
        </w:rPr>
        <w:t>INTEGER</w:t>
      </w:r>
      <w:r w:rsidRPr="00FA0D37">
        <w:t xml:space="preserve"> ::= 31      </w:t>
      </w:r>
      <w:r w:rsidRPr="00FA0D37">
        <w:rPr>
          <w:color w:val="808080"/>
        </w:rPr>
        <w:t>-- Max number of serving cells (SpCell</w:t>
      </w:r>
      <w:r w:rsidR="00926AC0" w:rsidRPr="00FA0D37">
        <w:rPr>
          <w:color w:val="808080"/>
        </w:rPr>
        <w:t>s</w:t>
      </w:r>
      <w:r w:rsidRPr="00FA0D37">
        <w:rPr>
          <w:color w:val="808080"/>
        </w:rPr>
        <w:t xml:space="preserve"> + SCells) </w:t>
      </w:r>
      <w:r w:rsidR="00926AC0" w:rsidRPr="00FA0D37">
        <w:rPr>
          <w:color w:val="808080"/>
        </w:rPr>
        <w:t>minus 1</w:t>
      </w:r>
    </w:p>
    <w:p w14:paraId="4D02A6CC" w14:textId="77777777" w:rsidR="00394471" w:rsidRPr="00FA0D37" w:rsidRDefault="00394471" w:rsidP="00FA0D37">
      <w:pPr>
        <w:pStyle w:val="PL"/>
      </w:pPr>
      <w:r w:rsidRPr="00FA0D37">
        <w:t xml:space="preserve">maxNrofAggregatedCellsPerCellGroup      </w:t>
      </w:r>
      <w:r w:rsidRPr="00FA0D37">
        <w:rPr>
          <w:color w:val="993366"/>
        </w:rPr>
        <w:t>INTEGER</w:t>
      </w:r>
      <w:r w:rsidRPr="00FA0D37">
        <w:t xml:space="preserve"> ::= 16</w:t>
      </w:r>
    </w:p>
    <w:p w14:paraId="3490EB75" w14:textId="4BE7849F" w:rsidR="00BB1623" w:rsidRPr="00FA0D37" w:rsidRDefault="00BB1623" w:rsidP="00FA0D37">
      <w:pPr>
        <w:pStyle w:val="PL"/>
      </w:pPr>
      <w:r w:rsidRPr="00FA0D37">
        <w:t xml:space="preserve">maxNrofAggregatedCellsPerCellGroupMinus4-r16 </w:t>
      </w:r>
      <w:r w:rsidRPr="00FA0D37">
        <w:rPr>
          <w:color w:val="993366"/>
        </w:rPr>
        <w:t>INTEGER</w:t>
      </w:r>
      <w:r w:rsidRPr="00FA0D37">
        <w:t xml:space="preserve"> ::= 12</w:t>
      </w:r>
    </w:p>
    <w:p w14:paraId="79C5B9F2" w14:textId="71D93346" w:rsidR="00394471" w:rsidRPr="00FA0D37" w:rsidRDefault="00394471" w:rsidP="00FA0D37">
      <w:pPr>
        <w:pStyle w:val="PL"/>
        <w:rPr>
          <w:color w:val="808080"/>
        </w:rPr>
      </w:pPr>
      <w:r w:rsidRPr="00FA0D37">
        <w:t xml:space="preserve">maxNrofDUCells-r16                      </w:t>
      </w:r>
      <w:r w:rsidRPr="00FA0D37">
        <w:rPr>
          <w:color w:val="993366"/>
        </w:rPr>
        <w:t>INTEGER</w:t>
      </w:r>
      <w:r w:rsidRPr="00FA0D37">
        <w:t xml:space="preserve"> ::= 512     </w:t>
      </w:r>
      <w:r w:rsidRPr="00FA0D37">
        <w:rPr>
          <w:color w:val="808080"/>
        </w:rPr>
        <w:t>-- Max number of cells configured on the collocated IAB-DU</w:t>
      </w:r>
    </w:p>
    <w:p w14:paraId="1F63CDC1" w14:textId="77B337DB" w:rsidR="0046275D" w:rsidRPr="00FA0D37" w:rsidRDefault="0046275D" w:rsidP="00FA0D37">
      <w:pPr>
        <w:pStyle w:val="PL"/>
        <w:rPr>
          <w:color w:val="808080"/>
        </w:rPr>
      </w:pPr>
      <w:r w:rsidRPr="00FA0D37">
        <w:t xml:space="preserve">maxNrofAppLayerMeas-r17                 </w:t>
      </w:r>
      <w:r w:rsidRPr="00FA0D37">
        <w:rPr>
          <w:color w:val="993366"/>
        </w:rPr>
        <w:t>INTEGER</w:t>
      </w:r>
      <w:r w:rsidRPr="00FA0D37">
        <w:t xml:space="preserve"> ::= 16      </w:t>
      </w:r>
      <w:r w:rsidRPr="00FA0D37">
        <w:rPr>
          <w:color w:val="808080"/>
        </w:rPr>
        <w:t>-- Max number of simultaneous application layer measurements</w:t>
      </w:r>
    </w:p>
    <w:p w14:paraId="52D932F7" w14:textId="43BE5937" w:rsidR="0046275D" w:rsidRPr="00FA0D37" w:rsidRDefault="0046275D" w:rsidP="00FA0D37">
      <w:pPr>
        <w:pStyle w:val="PL"/>
        <w:rPr>
          <w:color w:val="808080"/>
        </w:rPr>
      </w:pPr>
      <w:r w:rsidRPr="00FA0D37">
        <w:t xml:space="preserve">maxNrofAppLayerMeas-1-r17               </w:t>
      </w:r>
      <w:r w:rsidRPr="00FA0D37">
        <w:rPr>
          <w:color w:val="993366"/>
        </w:rPr>
        <w:t>INTEGER</w:t>
      </w:r>
      <w:r w:rsidRPr="00FA0D37">
        <w:t xml:space="preserve"> ::= 15      </w:t>
      </w:r>
      <w:r w:rsidRPr="00FA0D37">
        <w:rPr>
          <w:color w:val="808080"/>
        </w:rPr>
        <w:t>-- Max number of simultaneous application layer measurements</w:t>
      </w:r>
      <w:r w:rsidR="00BD1021" w:rsidRPr="00FA0D37">
        <w:rPr>
          <w:color w:val="808080"/>
        </w:rPr>
        <w:t xml:space="preserve"> </w:t>
      </w:r>
      <w:r w:rsidR="00D7262D" w:rsidRPr="00FA0D37">
        <w:rPr>
          <w:color w:val="808080"/>
        </w:rPr>
        <w:t xml:space="preserve">minus </w:t>
      </w:r>
      <w:r w:rsidRPr="00FA0D37">
        <w:rPr>
          <w:color w:val="808080"/>
        </w:rPr>
        <w:t>1</w:t>
      </w:r>
    </w:p>
    <w:p w14:paraId="67A8F3D1" w14:textId="77777777" w:rsidR="00394471" w:rsidRPr="00FA0D37" w:rsidRDefault="00394471" w:rsidP="00FA0D37">
      <w:pPr>
        <w:pStyle w:val="PL"/>
        <w:rPr>
          <w:color w:val="808080"/>
        </w:rPr>
      </w:pPr>
      <w:r w:rsidRPr="00FA0D37">
        <w:t xml:space="preserve">maxNrofAvailabilityCombinationsPerSet-r16   </w:t>
      </w:r>
      <w:r w:rsidRPr="00FA0D37">
        <w:rPr>
          <w:color w:val="993366"/>
        </w:rPr>
        <w:t>INTEGER</w:t>
      </w:r>
      <w:r w:rsidRPr="00FA0D37">
        <w:t xml:space="preserve"> ::= 512 </w:t>
      </w:r>
      <w:r w:rsidRPr="00FA0D37">
        <w:rPr>
          <w:color w:val="808080"/>
        </w:rPr>
        <w:t>-- Max number of AvailabilityCombinationId used in the DCI format 2_5</w:t>
      </w:r>
    </w:p>
    <w:p w14:paraId="579E7516" w14:textId="34AA28FD" w:rsidR="00394471" w:rsidRPr="00FA0D37" w:rsidRDefault="00394471" w:rsidP="00FA0D37">
      <w:pPr>
        <w:pStyle w:val="PL"/>
        <w:rPr>
          <w:color w:val="808080"/>
        </w:rPr>
      </w:pPr>
      <w:r w:rsidRPr="00FA0D37">
        <w:t>maxNrofAvailabilityCombinationsPerSet-</w:t>
      </w:r>
      <w:r w:rsidR="00A371DB" w:rsidRPr="00FA0D37">
        <w:t>1-r16</w:t>
      </w:r>
      <w:r w:rsidRPr="00FA0D37">
        <w:t xml:space="preserve"> </w:t>
      </w:r>
      <w:r w:rsidRPr="00FA0D37">
        <w:rPr>
          <w:color w:val="993366"/>
        </w:rPr>
        <w:t>INTEGER</w:t>
      </w:r>
      <w:r w:rsidRPr="00FA0D37">
        <w:t xml:space="preserve"> ::= 511 </w:t>
      </w:r>
      <w:r w:rsidRPr="00FA0D37">
        <w:rPr>
          <w:color w:val="808080"/>
        </w:rPr>
        <w:t>-- Max number of AvailabilityCombinationId used in the DCI format 2_5 minus 1</w:t>
      </w:r>
    </w:p>
    <w:p w14:paraId="34A18DE2" w14:textId="4EF02852" w:rsidR="00974104" w:rsidRPr="00FA0D37" w:rsidRDefault="00974104" w:rsidP="00FA0D37">
      <w:pPr>
        <w:pStyle w:val="PL"/>
        <w:rPr>
          <w:color w:val="808080"/>
        </w:rPr>
      </w:pPr>
      <w:r w:rsidRPr="00FA0D37">
        <w:t xml:space="preserve">maxNrofIABResourceConfig-r17        </w:t>
      </w:r>
      <w:r w:rsidR="003A5AEE" w:rsidRPr="00FA0D37">
        <w:t xml:space="preserve">    </w:t>
      </w:r>
      <w:r w:rsidRPr="00FA0D37">
        <w:rPr>
          <w:color w:val="993366"/>
        </w:rPr>
        <w:t>INTEGER</w:t>
      </w:r>
      <w:r w:rsidRPr="00FA0D37">
        <w:t xml:space="preserve"> ::= 65536   </w:t>
      </w:r>
      <w:r w:rsidRPr="00FA0D37">
        <w:rPr>
          <w:color w:val="808080"/>
        </w:rPr>
        <w:t>-- Max number of IAB-ResourceConfigID used in MAC CE</w:t>
      </w:r>
    </w:p>
    <w:p w14:paraId="34CCD6B7" w14:textId="77777777" w:rsidR="00974104" w:rsidRPr="00FA0D37" w:rsidRDefault="00974104" w:rsidP="00FA0D37">
      <w:pPr>
        <w:pStyle w:val="PL"/>
        <w:rPr>
          <w:color w:val="808080"/>
        </w:rPr>
      </w:pPr>
      <w:r w:rsidRPr="00FA0D37">
        <w:t xml:space="preserve">maxNrofIABResourceConfig-1-r17          </w:t>
      </w:r>
      <w:r w:rsidRPr="00FA0D37">
        <w:rPr>
          <w:color w:val="993366"/>
        </w:rPr>
        <w:t>INTEGER</w:t>
      </w:r>
      <w:r w:rsidRPr="00FA0D37">
        <w:t xml:space="preserve"> ::= 65535   </w:t>
      </w:r>
      <w:r w:rsidRPr="00FA0D37">
        <w:rPr>
          <w:color w:val="808080"/>
        </w:rPr>
        <w:t>-- Max number of IAB-ResourceConfigID used in MAC CE minus 1</w:t>
      </w:r>
    </w:p>
    <w:p w14:paraId="779AA21D" w14:textId="77777777" w:rsidR="00DB6B82" w:rsidRPr="00FA0D37" w:rsidRDefault="00DB6B82" w:rsidP="00FA0D37">
      <w:pPr>
        <w:pStyle w:val="PL"/>
        <w:rPr>
          <w:color w:val="808080"/>
        </w:rPr>
      </w:pPr>
      <w:r w:rsidRPr="00FA0D37">
        <w:t xml:space="preserve">maxNrofSCellActRS-r17                   </w:t>
      </w:r>
      <w:r w:rsidRPr="00FA0D37">
        <w:rPr>
          <w:color w:val="993366"/>
        </w:rPr>
        <w:t>INTEGER</w:t>
      </w:r>
      <w:r w:rsidRPr="00FA0D37">
        <w:t xml:space="preserve"> ::= 255     </w:t>
      </w:r>
      <w:r w:rsidRPr="00FA0D37">
        <w:rPr>
          <w:color w:val="808080"/>
        </w:rPr>
        <w:t>-- Max number of RS configurations per SCell for SCell activation</w:t>
      </w:r>
    </w:p>
    <w:p w14:paraId="74FEB6DD" w14:textId="77777777" w:rsidR="00394471" w:rsidRPr="00FA0D37" w:rsidRDefault="00394471" w:rsidP="00FA0D37">
      <w:pPr>
        <w:pStyle w:val="PL"/>
        <w:rPr>
          <w:color w:val="808080"/>
        </w:rPr>
      </w:pPr>
      <w:r w:rsidRPr="00FA0D37">
        <w:t xml:space="preserve">maxNrofSCells                           </w:t>
      </w:r>
      <w:r w:rsidRPr="00FA0D37">
        <w:rPr>
          <w:color w:val="993366"/>
        </w:rPr>
        <w:t>INTEGER</w:t>
      </w:r>
      <w:r w:rsidRPr="00FA0D37">
        <w:t xml:space="preserve"> ::= 31      </w:t>
      </w:r>
      <w:r w:rsidRPr="00FA0D37">
        <w:rPr>
          <w:color w:val="808080"/>
        </w:rPr>
        <w:t>-- Max number of secondary serving cells per cell group</w:t>
      </w:r>
    </w:p>
    <w:p w14:paraId="6ABA2F5F" w14:textId="77777777" w:rsidR="00394471" w:rsidRPr="00FA0D37" w:rsidRDefault="00394471" w:rsidP="00FA0D37">
      <w:pPr>
        <w:pStyle w:val="PL"/>
        <w:rPr>
          <w:color w:val="808080"/>
        </w:rPr>
      </w:pPr>
      <w:r w:rsidRPr="00FA0D37">
        <w:t xml:space="preserve">maxNrofCellMeas                         </w:t>
      </w:r>
      <w:r w:rsidRPr="00FA0D37">
        <w:rPr>
          <w:color w:val="993366"/>
        </w:rPr>
        <w:t>INTEGER</w:t>
      </w:r>
      <w:r w:rsidRPr="00FA0D37">
        <w:t xml:space="preserve"> ::= 32      </w:t>
      </w:r>
      <w:r w:rsidRPr="00FA0D37">
        <w:rPr>
          <w:color w:val="808080"/>
        </w:rPr>
        <w:t>-- Maximum number of entries in each of the cell lists in a measurement object</w:t>
      </w:r>
    </w:p>
    <w:p w14:paraId="03860415" w14:textId="6E94BDB3" w:rsidR="000F7D20" w:rsidRPr="00FA0D37" w:rsidRDefault="000F7D20" w:rsidP="00FA0D37">
      <w:pPr>
        <w:pStyle w:val="PL"/>
        <w:rPr>
          <w:color w:val="808080"/>
        </w:rPr>
      </w:pPr>
      <w:r w:rsidRPr="00FA0D37">
        <w:t xml:space="preserve">maxNrofCRS-IM-InterfCell-r17            </w:t>
      </w:r>
      <w:r w:rsidRPr="00FA0D37">
        <w:rPr>
          <w:color w:val="993366"/>
        </w:rPr>
        <w:t>INTEGER</w:t>
      </w:r>
      <w:r w:rsidRPr="00FA0D37">
        <w:t xml:space="preserve"> ::= 8       </w:t>
      </w:r>
      <w:r w:rsidRPr="00FA0D37">
        <w:rPr>
          <w:color w:val="808080"/>
        </w:rPr>
        <w:t>-- Maximum number of LTE interference cells for CRS-IM per UE</w:t>
      </w:r>
    </w:p>
    <w:p w14:paraId="17057EF3" w14:textId="4FACA45B" w:rsidR="00E81DFA" w:rsidRPr="00FA0D37" w:rsidRDefault="00E81DFA" w:rsidP="00FA0D37">
      <w:pPr>
        <w:pStyle w:val="PL"/>
        <w:rPr>
          <w:color w:val="808080"/>
        </w:rPr>
      </w:pPr>
      <w:r w:rsidRPr="00FA0D37">
        <w:t xml:space="preserve">maxNrofRelayMeas-r17               </w:t>
      </w:r>
      <w:r w:rsidR="00CA6F5E" w:rsidRPr="00FA0D37">
        <w:t xml:space="preserve">     </w:t>
      </w:r>
      <w:r w:rsidRPr="00FA0D37">
        <w:rPr>
          <w:color w:val="993366"/>
        </w:rPr>
        <w:t>INTEGER</w:t>
      </w:r>
      <w:r w:rsidRPr="00FA0D37">
        <w:t xml:space="preserve"> ::= 32      </w:t>
      </w:r>
      <w:r w:rsidRPr="00FA0D37">
        <w:rPr>
          <w:color w:val="808080"/>
        </w:rPr>
        <w:t>-- Maximum number of L2 U2N Relay UEs to measure for each measurement object</w:t>
      </w:r>
    </w:p>
    <w:p w14:paraId="69945188" w14:textId="76428214" w:rsidR="00E81DFA" w:rsidRPr="00FA0D37" w:rsidRDefault="00E81DFA" w:rsidP="00FA0D37">
      <w:pPr>
        <w:pStyle w:val="PL"/>
        <w:rPr>
          <w:color w:val="808080"/>
        </w:rPr>
      </w:pPr>
      <w:r w:rsidRPr="00FA0D37">
        <w:t xml:space="preserve">                                                            </w:t>
      </w:r>
      <w:r w:rsidRPr="00FA0D37">
        <w:rPr>
          <w:color w:val="808080"/>
        </w:rPr>
        <w:t>-- on sidelink frequency</w:t>
      </w:r>
    </w:p>
    <w:p w14:paraId="03B84FB8" w14:textId="77777777" w:rsidR="00394471" w:rsidRPr="00FA0D37" w:rsidRDefault="00394471" w:rsidP="00FA0D37">
      <w:pPr>
        <w:pStyle w:val="PL"/>
        <w:rPr>
          <w:color w:val="808080"/>
        </w:rPr>
      </w:pPr>
      <w:r w:rsidRPr="00FA0D37">
        <w:t xml:space="preserve">maxNrofCG-SL-r16                        </w:t>
      </w:r>
      <w:r w:rsidRPr="00FA0D37">
        <w:rPr>
          <w:color w:val="993366"/>
        </w:rPr>
        <w:t>INTEGER</w:t>
      </w:r>
      <w:r w:rsidRPr="00FA0D37">
        <w:t xml:space="preserve"> ::= 8       </w:t>
      </w:r>
      <w:r w:rsidRPr="00FA0D37">
        <w:rPr>
          <w:color w:val="808080"/>
        </w:rPr>
        <w:t>-- Max number of sidelink configured grant</w:t>
      </w:r>
    </w:p>
    <w:p w14:paraId="50D6F127" w14:textId="4A9E6DA6" w:rsidR="00394471" w:rsidRPr="00FA0D37" w:rsidRDefault="00394471" w:rsidP="00FA0D37">
      <w:pPr>
        <w:pStyle w:val="PL"/>
        <w:rPr>
          <w:color w:val="808080"/>
        </w:rPr>
      </w:pPr>
      <w:r w:rsidRPr="00FA0D37">
        <w:t>maxNrofCG-SL-</w:t>
      </w:r>
      <w:r w:rsidR="00A371DB" w:rsidRPr="00FA0D37">
        <w:t>1-r16</w:t>
      </w:r>
      <w:r w:rsidRPr="00FA0D37">
        <w:t xml:space="preserve">                      </w:t>
      </w:r>
      <w:r w:rsidRPr="00FA0D37">
        <w:rPr>
          <w:color w:val="993366"/>
        </w:rPr>
        <w:t>INTEGER</w:t>
      </w:r>
      <w:r w:rsidRPr="00FA0D37">
        <w:t xml:space="preserve"> ::= 7       </w:t>
      </w:r>
      <w:r w:rsidRPr="00FA0D37">
        <w:rPr>
          <w:color w:val="808080"/>
        </w:rPr>
        <w:t>-- Max number of sidelink configured grant minus 1</w:t>
      </w:r>
    </w:p>
    <w:p w14:paraId="425B24C8" w14:textId="43E241B0" w:rsidR="00DC187A" w:rsidRPr="00FA0D37" w:rsidRDefault="0048695E" w:rsidP="00FA0D37">
      <w:pPr>
        <w:pStyle w:val="PL"/>
        <w:rPr>
          <w:color w:val="808080"/>
        </w:rPr>
      </w:pPr>
      <w:r w:rsidRPr="00FA0D37">
        <w:t xml:space="preserve">maxSL-GC-BC-DRX-QoS-r17                 </w:t>
      </w:r>
      <w:r w:rsidRPr="00FA0D37">
        <w:rPr>
          <w:color w:val="993366"/>
        </w:rPr>
        <w:t>INTEGER</w:t>
      </w:r>
      <w:r w:rsidRPr="00FA0D37">
        <w:t xml:space="preserve"> ::= </w:t>
      </w:r>
      <w:r w:rsidR="00DC187A" w:rsidRPr="00FA0D37">
        <w:t xml:space="preserve">16      </w:t>
      </w:r>
      <w:r w:rsidRPr="00FA0D37">
        <w:rPr>
          <w:color w:val="808080"/>
        </w:rPr>
        <w:t xml:space="preserve">-- </w:t>
      </w:r>
      <w:r w:rsidR="00DC187A" w:rsidRPr="00FA0D37">
        <w:rPr>
          <w:color w:val="808080"/>
        </w:rPr>
        <w:t>Max number of sidelink DRX configurations for NR</w:t>
      </w:r>
    </w:p>
    <w:p w14:paraId="6D2BCC18" w14:textId="59FEE78F" w:rsidR="0048695E" w:rsidRPr="00FA0D37" w:rsidRDefault="00DC187A" w:rsidP="00FA0D37">
      <w:pPr>
        <w:pStyle w:val="PL"/>
        <w:rPr>
          <w:color w:val="808080"/>
        </w:rPr>
      </w:pPr>
      <w:r w:rsidRPr="00FA0D37">
        <w:t xml:space="preserve">                                                            </w:t>
      </w:r>
      <w:r w:rsidRPr="00FA0D37">
        <w:rPr>
          <w:color w:val="808080"/>
        </w:rPr>
        <w:t>-- sidelink groupcast/broadcast communication</w:t>
      </w:r>
    </w:p>
    <w:p w14:paraId="40F8FA28" w14:textId="230644FF" w:rsidR="00DC187A" w:rsidRPr="00FA0D37" w:rsidRDefault="00FC41F5" w:rsidP="00FA0D37">
      <w:pPr>
        <w:pStyle w:val="PL"/>
        <w:rPr>
          <w:color w:val="808080"/>
        </w:rPr>
      </w:pPr>
      <w:r w:rsidRPr="00FA0D37">
        <w:t xml:space="preserve">maxNrofSL-RxInfoSet-r17                </w:t>
      </w:r>
      <w:r w:rsidR="00DC187A" w:rsidRPr="00FA0D37">
        <w:t xml:space="preserve"> </w:t>
      </w:r>
      <w:r w:rsidRPr="00FA0D37">
        <w:rPr>
          <w:color w:val="993366"/>
        </w:rPr>
        <w:t>INTEGER</w:t>
      </w:r>
      <w:r w:rsidRPr="00FA0D37">
        <w:t xml:space="preserve"> ::= 4       </w:t>
      </w:r>
      <w:r w:rsidRPr="00FA0D37">
        <w:rPr>
          <w:color w:val="808080"/>
        </w:rPr>
        <w:t xml:space="preserve">-- Max number of </w:t>
      </w:r>
      <w:r w:rsidR="00DC187A" w:rsidRPr="00FA0D37">
        <w:rPr>
          <w:color w:val="808080"/>
        </w:rPr>
        <w:t xml:space="preserve">sidelink DRX configuration sets in </w:t>
      </w:r>
      <w:r w:rsidRPr="00FA0D37">
        <w:rPr>
          <w:color w:val="808080"/>
        </w:rPr>
        <w:t>sidelink DRX assistant</w:t>
      </w:r>
    </w:p>
    <w:p w14:paraId="2EE65CA6" w14:textId="4291C1A1" w:rsidR="00FC41F5" w:rsidRPr="00FA0D37" w:rsidRDefault="00DC187A" w:rsidP="00FA0D37">
      <w:pPr>
        <w:pStyle w:val="PL"/>
        <w:rPr>
          <w:color w:val="808080"/>
        </w:rPr>
      </w:pPr>
      <w:r w:rsidRPr="00FA0D37">
        <w:t xml:space="preserve">                                                            </w:t>
      </w:r>
      <w:r w:rsidRPr="00FA0D37">
        <w:rPr>
          <w:color w:val="808080"/>
        </w:rPr>
        <w:t>--</w:t>
      </w:r>
      <w:r w:rsidR="00FC41F5" w:rsidRPr="00FA0D37">
        <w:rPr>
          <w:color w:val="808080"/>
        </w:rPr>
        <w:t xml:space="preserve"> information</w:t>
      </w:r>
    </w:p>
    <w:p w14:paraId="60EE3E8E" w14:textId="77777777" w:rsidR="00394471" w:rsidRPr="00FA0D37" w:rsidRDefault="00394471" w:rsidP="00FA0D37">
      <w:pPr>
        <w:pStyle w:val="PL"/>
        <w:rPr>
          <w:color w:val="808080"/>
        </w:rPr>
      </w:pPr>
      <w:r w:rsidRPr="00FA0D37">
        <w:t xml:space="preserve">maxNrofSS-BlocksToAverage               </w:t>
      </w:r>
      <w:r w:rsidRPr="00FA0D37">
        <w:rPr>
          <w:color w:val="993366"/>
        </w:rPr>
        <w:t>INTEGER</w:t>
      </w:r>
      <w:r w:rsidRPr="00FA0D37">
        <w:t xml:space="preserve"> ::= 16      </w:t>
      </w:r>
      <w:r w:rsidRPr="00FA0D37">
        <w:rPr>
          <w:color w:val="808080"/>
        </w:rPr>
        <w:t>-- Max number for the (max) number of SS blocks to average to determine cell measurement</w:t>
      </w:r>
    </w:p>
    <w:p w14:paraId="2EE2C22D" w14:textId="77777777" w:rsidR="00394471" w:rsidRPr="00FA0D37" w:rsidRDefault="00394471" w:rsidP="00FA0D37">
      <w:pPr>
        <w:pStyle w:val="PL"/>
        <w:rPr>
          <w:color w:val="808080"/>
        </w:rPr>
      </w:pPr>
      <w:r w:rsidRPr="00FA0D37">
        <w:t xml:space="preserve">maxNrofCondCells-r16                    </w:t>
      </w:r>
      <w:r w:rsidRPr="00FA0D37">
        <w:rPr>
          <w:color w:val="993366"/>
        </w:rPr>
        <w:t>INTEGER</w:t>
      </w:r>
      <w:r w:rsidRPr="00FA0D37">
        <w:t xml:space="preserve"> ::= 8       </w:t>
      </w:r>
      <w:r w:rsidRPr="00FA0D37">
        <w:rPr>
          <w:color w:val="808080"/>
        </w:rPr>
        <w:t>-- Max number of conditional candidate SpCells</w:t>
      </w:r>
    </w:p>
    <w:p w14:paraId="055C0806" w14:textId="77777777" w:rsidR="009C015E" w:rsidRPr="00FA0D37" w:rsidRDefault="009C015E" w:rsidP="00FA0D37">
      <w:pPr>
        <w:pStyle w:val="PL"/>
        <w:rPr>
          <w:color w:val="808080"/>
        </w:rPr>
      </w:pPr>
      <w:r w:rsidRPr="00FA0D37">
        <w:t xml:space="preserve">maxNrofCondCells-1-r17                  </w:t>
      </w:r>
      <w:r w:rsidRPr="00FA0D37">
        <w:rPr>
          <w:color w:val="993366"/>
        </w:rPr>
        <w:t>INTEGER</w:t>
      </w:r>
      <w:r w:rsidRPr="00FA0D37">
        <w:t xml:space="preserve"> ::= 7       </w:t>
      </w:r>
      <w:r w:rsidRPr="00FA0D37">
        <w:rPr>
          <w:color w:val="808080"/>
        </w:rPr>
        <w:t>-- Max number of conditional candidate SpCells minus 1</w:t>
      </w:r>
    </w:p>
    <w:p w14:paraId="4C40041A" w14:textId="77777777" w:rsidR="00394471" w:rsidRPr="00FA0D37" w:rsidRDefault="00394471" w:rsidP="00FA0D37">
      <w:pPr>
        <w:pStyle w:val="PL"/>
        <w:rPr>
          <w:color w:val="808080"/>
        </w:rPr>
      </w:pPr>
      <w:r w:rsidRPr="00FA0D37">
        <w:t xml:space="preserve">maxNrofCSI-RS-ResourcesToAverage        </w:t>
      </w:r>
      <w:r w:rsidRPr="00FA0D37">
        <w:rPr>
          <w:color w:val="993366"/>
        </w:rPr>
        <w:t>INTEGER</w:t>
      </w:r>
      <w:r w:rsidRPr="00FA0D37">
        <w:t xml:space="preserve"> ::= 16      </w:t>
      </w:r>
      <w:r w:rsidRPr="00FA0D37">
        <w:rPr>
          <w:color w:val="808080"/>
        </w:rPr>
        <w:t>-- Max number for the (max) number of CSI-RS to average to determine cell measurement</w:t>
      </w:r>
    </w:p>
    <w:p w14:paraId="4EEA256C" w14:textId="77777777" w:rsidR="00394471" w:rsidRPr="00FA0D37" w:rsidRDefault="00394471" w:rsidP="00FA0D37">
      <w:pPr>
        <w:pStyle w:val="PL"/>
        <w:rPr>
          <w:color w:val="808080"/>
        </w:rPr>
      </w:pPr>
      <w:r w:rsidRPr="00FA0D37">
        <w:t xml:space="preserve">maxNrofDL-Allocations                   </w:t>
      </w:r>
      <w:r w:rsidRPr="00FA0D37">
        <w:rPr>
          <w:color w:val="993366"/>
        </w:rPr>
        <w:t>INTEGER</w:t>
      </w:r>
      <w:r w:rsidRPr="00FA0D37">
        <w:t xml:space="preserve"> ::= 16      </w:t>
      </w:r>
      <w:r w:rsidRPr="00FA0D37">
        <w:rPr>
          <w:color w:val="808080"/>
        </w:rPr>
        <w:t>-- Maximum number of PDSCH time domain resource allocations</w:t>
      </w:r>
    </w:p>
    <w:p w14:paraId="4FAC43B6" w14:textId="77777777" w:rsidR="001B0D59" w:rsidRPr="00FA0D37" w:rsidRDefault="001B0D59" w:rsidP="00FA0D37">
      <w:pPr>
        <w:pStyle w:val="PL"/>
        <w:rPr>
          <w:color w:val="808080"/>
        </w:rPr>
      </w:pPr>
      <w:r w:rsidRPr="00FA0D37">
        <w:t xml:space="preserve">maxNrofDL-AllocationsExt-r17            </w:t>
      </w:r>
      <w:r w:rsidRPr="00FA0D37">
        <w:rPr>
          <w:color w:val="993366"/>
        </w:rPr>
        <w:t>INTEGER</w:t>
      </w:r>
      <w:r w:rsidRPr="00FA0D37">
        <w:t xml:space="preserve"> ::= 64      </w:t>
      </w:r>
      <w:r w:rsidRPr="00FA0D37">
        <w:rPr>
          <w:color w:val="808080"/>
        </w:rPr>
        <w:t>-- Maximum number of PDSCH time domain resource allocations for multi-PDSCH</w:t>
      </w:r>
    </w:p>
    <w:p w14:paraId="13C70FC7" w14:textId="2D2270A4" w:rsidR="001B0D59" w:rsidRPr="00FA0D37" w:rsidRDefault="001B0D59" w:rsidP="00FA0D37">
      <w:pPr>
        <w:pStyle w:val="PL"/>
        <w:rPr>
          <w:color w:val="808080"/>
        </w:rPr>
      </w:pPr>
      <w:r w:rsidRPr="00FA0D37">
        <w:t xml:space="preserve">                                                            </w:t>
      </w:r>
      <w:r w:rsidRPr="00FA0D37">
        <w:rPr>
          <w:color w:val="808080"/>
        </w:rPr>
        <w:t>-- scheduling</w:t>
      </w:r>
    </w:p>
    <w:p w14:paraId="2E9624A6" w14:textId="763CC10D" w:rsidR="0046275D" w:rsidRPr="00FA0D37" w:rsidRDefault="0046275D" w:rsidP="00FA0D37">
      <w:pPr>
        <w:pStyle w:val="PL"/>
        <w:rPr>
          <w:color w:val="808080"/>
        </w:rPr>
      </w:pPr>
      <w:r w:rsidRPr="00FA0D37">
        <w:t xml:space="preserve">maxNrofPDU-Sessions-r17                 </w:t>
      </w:r>
      <w:r w:rsidRPr="00FA0D37">
        <w:rPr>
          <w:color w:val="993366"/>
        </w:rPr>
        <w:t>INTEGER</w:t>
      </w:r>
      <w:r w:rsidRPr="00FA0D37">
        <w:t xml:space="preserve"> ::= 256     </w:t>
      </w:r>
      <w:r w:rsidRPr="00FA0D37">
        <w:rPr>
          <w:color w:val="808080"/>
        </w:rPr>
        <w:t>-- Maximum number of PDU Sessions</w:t>
      </w:r>
    </w:p>
    <w:p w14:paraId="07AA811F" w14:textId="76442040" w:rsidR="00394471" w:rsidRPr="00FA0D37" w:rsidRDefault="00394471" w:rsidP="00FA0D37">
      <w:pPr>
        <w:pStyle w:val="PL"/>
        <w:rPr>
          <w:color w:val="808080"/>
        </w:rPr>
      </w:pPr>
      <w:r w:rsidRPr="00FA0D37">
        <w:t xml:space="preserve">maxNrofSR-ConfigPerCellGroup            </w:t>
      </w:r>
      <w:r w:rsidRPr="00FA0D37">
        <w:rPr>
          <w:color w:val="993366"/>
        </w:rPr>
        <w:t>INTEGER</w:t>
      </w:r>
      <w:r w:rsidRPr="00FA0D37">
        <w:t xml:space="preserve"> ::= 8       </w:t>
      </w:r>
      <w:r w:rsidRPr="00FA0D37">
        <w:rPr>
          <w:color w:val="808080"/>
        </w:rPr>
        <w:t>-- Maximum number of SR configurations per cell group</w:t>
      </w:r>
    </w:p>
    <w:p w14:paraId="3328306B" w14:textId="77777777" w:rsidR="00394471" w:rsidRPr="00FA0D37" w:rsidRDefault="00394471" w:rsidP="00FA0D37">
      <w:pPr>
        <w:pStyle w:val="PL"/>
        <w:rPr>
          <w:color w:val="808080"/>
        </w:rPr>
      </w:pPr>
      <w:r w:rsidRPr="00FA0D37">
        <w:t xml:space="preserve">maxLCG-ID                               </w:t>
      </w:r>
      <w:r w:rsidRPr="00FA0D37">
        <w:rPr>
          <w:color w:val="993366"/>
        </w:rPr>
        <w:t>INTEGER</w:t>
      </w:r>
      <w:r w:rsidRPr="00FA0D37">
        <w:t xml:space="preserve"> ::= 7       </w:t>
      </w:r>
      <w:r w:rsidRPr="00FA0D37">
        <w:rPr>
          <w:color w:val="808080"/>
        </w:rPr>
        <w:t>-- Maximum value of LCG ID</w:t>
      </w:r>
    </w:p>
    <w:p w14:paraId="0F9B1E49" w14:textId="77777777" w:rsidR="00CF0B27" w:rsidRPr="00FA0D37" w:rsidRDefault="00CF0B27" w:rsidP="00FA0D37">
      <w:pPr>
        <w:pStyle w:val="PL"/>
        <w:rPr>
          <w:color w:val="808080"/>
        </w:rPr>
      </w:pPr>
      <w:r w:rsidRPr="00FA0D37">
        <w:t xml:space="preserve">maxLCG-ID-IAB-r17                       </w:t>
      </w:r>
      <w:r w:rsidRPr="00FA0D37">
        <w:rPr>
          <w:color w:val="993366"/>
        </w:rPr>
        <w:t>INTEGER</w:t>
      </w:r>
      <w:r w:rsidRPr="00FA0D37">
        <w:t xml:space="preserve"> ::= 255     </w:t>
      </w:r>
      <w:r w:rsidRPr="00FA0D37">
        <w:rPr>
          <w:color w:val="808080"/>
        </w:rPr>
        <w:t>-- Maximum value of LCG ID for IAB-MT</w:t>
      </w:r>
    </w:p>
    <w:p w14:paraId="27D64E84" w14:textId="2A440C5D" w:rsidR="00394471" w:rsidRPr="00FA0D37" w:rsidRDefault="00394471" w:rsidP="00FA0D37">
      <w:pPr>
        <w:pStyle w:val="PL"/>
        <w:rPr>
          <w:color w:val="808080"/>
        </w:rPr>
      </w:pPr>
      <w:r w:rsidRPr="00FA0D37">
        <w:t xml:space="preserve">maxLC-ID                                </w:t>
      </w:r>
      <w:r w:rsidRPr="00FA0D37">
        <w:rPr>
          <w:color w:val="993366"/>
        </w:rPr>
        <w:t>INTEGER</w:t>
      </w:r>
      <w:r w:rsidRPr="00FA0D37">
        <w:t xml:space="preserve"> ::= 32      </w:t>
      </w:r>
      <w:r w:rsidRPr="00FA0D37">
        <w:rPr>
          <w:color w:val="808080"/>
        </w:rPr>
        <w:t>-- Maximum value of Logical Channel ID</w:t>
      </w:r>
    </w:p>
    <w:p w14:paraId="638EE908" w14:textId="77777777" w:rsidR="00394471" w:rsidRPr="00FA0D37" w:rsidRDefault="00394471" w:rsidP="00FA0D37">
      <w:pPr>
        <w:pStyle w:val="PL"/>
        <w:rPr>
          <w:color w:val="808080"/>
        </w:rPr>
      </w:pPr>
      <w:r w:rsidRPr="00FA0D37">
        <w:t xml:space="preserve">maxLC-ID-Iab-r16                        </w:t>
      </w:r>
      <w:r w:rsidRPr="00FA0D37">
        <w:rPr>
          <w:color w:val="993366"/>
        </w:rPr>
        <w:t>INTEGER</w:t>
      </w:r>
      <w:r w:rsidRPr="00FA0D37">
        <w:t xml:space="preserve"> ::= 65855   </w:t>
      </w:r>
      <w:r w:rsidRPr="00FA0D37">
        <w:rPr>
          <w:color w:val="808080"/>
        </w:rPr>
        <w:t>-- Maximum value of BH Logical Channel ID extension</w:t>
      </w:r>
    </w:p>
    <w:p w14:paraId="7C8EB1E4" w14:textId="77777777" w:rsidR="00394471" w:rsidRPr="00FA0D37" w:rsidRDefault="00394471" w:rsidP="00FA0D37">
      <w:pPr>
        <w:pStyle w:val="PL"/>
        <w:rPr>
          <w:color w:val="808080"/>
        </w:rPr>
      </w:pPr>
      <w:r w:rsidRPr="00FA0D37">
        <w:t xml:space="preserve">maxLTE-CRS-Patterns-r16                 </w:t>
      </w:r>
      <w:r w:rsidRPr="00FA0D37">
        <w:rPr>
          <w:color w:val="993366"/>
        </w:rPr>
        <w:t>INTEGER</w:t>
      </w:r>
      <w:r w:rsidRPr="00FA0D37">
        <w:t xml:space="preserve"> ::= 3       </w:t>
      </w:r>
      <w:r w:rsidRPr="00FA0D37">
        <w:rPr>
          <w:color w:val="808080"/>
        </w:rPr>
        <w:t>-- Maximum number of additional LTE CRS rate matching patterns</w:t>
      </w:r>
    </w:p>
    <w:p w14:paraId="094B7DCE" w14:textId="77777777" w:rsidR="00394471" w:rsidRPr="00FA0D37" w:rsidRDefault="00394471" w:rsidP="00FA0D37">
      <w:pPr>
        <w:pStyle w:val="PL"/>
        <w:rPr>
          <w:color w:val="808080"/>
        </w:rPr>
      </w:pPr>
      <w:r w:rsidRPr="00FA0D37">
        <w:t xml:space="preserve">maxNrofTAGs                             </w:t>
      </w:r>
      <w:r w:rsidRPr="00FA0D37">
        <w:rPr>
          <w:color w:val="993366"/>
        </w:rPr>
        <w:t>INTEGER</w:t>
      </w:r>
      <w:r w:rsidRPr="00FA0D37">
        <w:t xml:space="preserve"> ::= 4       </w:t>
      </w:r>
      <w:r w:rsidRPr="00FA0D37">
        <w:rPr>
          <w:color w:val="808080"/>
        </w:rPr>
        <w:t>-- Maximum number of Timing Advance Groups</w:t>
      </w:r>
    </w:p>
    <w:p w14:paraId="3025F29F" w14:textId="77777777" w:rsidR="00394471" w:rsidRPr="00FA0D37" w:rsidRDefault="00394471" w:rsidP="00FA0D37">
      <w:pPr>
        <w:pStyle w:val="PL"/>
        <w:rPr>
          <w:color w:val="808080"/>
        </w:rPr>
      </w:pPr>
      <w:r w:rsidRPr="00FA0D37">
        <w:t xml:space="preserve">maxNrofTAGs-1                           </w:t>
      </w:r>
      <w:r w:rsidRPr="00FA0D37">
        <w:rPr>
          <w:color w:val="993366"/>
        </w:rPr>
        <w:t>INTEGER</w:t>
      </w:r>
      <w:r w:rsidRPr="00FA0D37">
        <w:t xml:space="preserve"> ::= 3       </w:t>
      </w:r>
      <w:r w:rsidRPr="00FA0D37">
        <w:rPr>
          <w:color w:val="808080"/>
        </w:rPr>
        <w:t>-- Maximum number of Timing Advance Groups minus 1</w:t>
      </w:r>
    </w:p>
    <w:p w14:paraId="3AD98CBD" w14:textId="77777777" w:rsidR="00394471" w:rsidRPr="00FA0D37" w:rsidRDefault="00394471" w:rsidP="00FA0D37">
      <w:pPr>
        <w:pStyle w:val="PL"/>
        <w:rPr>
          <w:color w:val="808080"/>
        </w:rPr>
      </w:pPr>
      <w:r w:rsidRPr="00FA0D37">
        <w:t xml:space="preserve">maxNrofBWPs                             </w:t>
      </w:r>
      <w:r w:rsidRPr="00FA0D37">
        <w:rPr>
          <w:color w:val="993366"/>
        </w:rPr>
        <w:t>INTEGER</w:t>
      </w:r>
      <w:r w:rsidRPr="00FA0D37">
        <w:t xml:space="preserve"> ::= 4       </w:t>
      </w:r>
      <w:r w:rsidRPr="00FA0D37">
        <w:rPr>
          <w:color w:val="808080"/>
        </w:rPr>
        <w:t>-- Maximum number of BWPs per serving cell</w:t>
      </w:r>
    </w:p>
    <w:p w14:paraId="46F8F35F" w14:textId="77777777" w:rsidR="00394471" w:rsidRPr="00FA0D37" w:rsidRDefault="00394471" w:rsidP="00FA0D37">
      <w:pPr>
        <w:pStyle w:val="PL"/>
        <w:rPr>
          <w:color w:val="808080"/>
        </w:rPr>
      </w:pPr>
      <w:r w:rsidRPr="00FA0D37">
        <w:t xml:space="preserve">maxNrofCombIDC                          </w:t>
      </w:r>
      <w:r w:rsidRPr="00FA0D37">
        <w:rPr>
          <w:color w:val="993366"/>
        </w:rPr>
        <w:t>INTEGER</w:t>
      </w:r>
      <w:r w:rsidRPr="00FA0D37">
        <w:t xml:space="preserve"> ::= 128     </w:t>
      </w:r>
      <w:r w:rsidRPr="00FA0D37">
        <w:rPr>
          <w:color w:val="808080"/>
        </w:rPr>
        <w:t>-- Maximum number of reported MR-DC combinations for IDC</w:t>
      </w:r>
    </w:p>
    <w:p w14:paraId="579D4CA4" w14:textId="77777777" w:rsidR="00394471" w:rsidRPr="00FA0D37" w:rsidRDefault="00394471" w:rsidP="00FA0D37">
      <w:pPr>
        <w:pStyle w:val="PL"/>
        <w:rPr>
          <w:color w:val="808080"/>
        </w:rPr>
      </w:pPr>
      <w:r w:rsidRPr="00FA0D37">
        <w:t xml:space="preserve">maxNrofSymbols-1                        </w:t>
      </w:r>
      <w:r w:rsidRPr="00FA0D37">
        <w:rPr>
          <w:color w:val="993366"/>
        </w:rPr>
        <w:t>INTEGER</w:t>
      </w:r>
      <w:r w:rsidRPr="00FA0D37">
        <w:t xml:space="preserve"> ::= 13      </w:t>
      </w:r>
      <w:r w:rsidRPr="00FA0D37">
        <w:rPr>
          <w:color w:val="808080"/>
        </w:rPr>
        <w:t>-- Maximum index identifying a symbol within a slot (14 symbols, indexed from 0..13)</w:t>
      </w:r>
    </w:p>
    <w:p w14:paraId="48921435" w14:textId="77777777" w:rsidR="00394471" w:rsidRPr="00FA0D37" w:rsidRDefault="00394471" w:rsidP="00FA0D37">
      <w:pPr>
        <w:pStyle w:val="PL"/>
        <w:rPr>
          <w:color w:val="808080"/>
        </w:rPr>
      </w:pPr>
      <w:r w:rsidRPr="00FA0D37">
        <w:t xml:space="preserve">maxNrofSlots                            </w:t>
      </w:r>
      <w:r w:rsidRPr="00FA0D37">
        <w:rPr>
          <w:color w:val="993366"/>
        </w:rPr>
        <w:t>INTEGER</w:t>
      </w:r>
      <w:r w:rsidRPr="00FA0D37">
        <w:t xml:space="preserve"> ::= 320     </w:t>
      </w:r>
      <w:r w:rsidRPr="00FA0D37">
        <w:rPr>
          <w:color w:val="808080"/>
        </w:rPr>
        <w:t>-- Maximum number of slots in a 10 ms period</w:t>
      </w:r>
    </w:p>
    <w:p w14:paraId="271E0CEC" w14:textId="77777777" w:rsidR="00394471" w:rsidRPr="00FA0D37" w:rsidRDefault="00394471" w:rsidP="00FA0D37">
      <w:pPr>
        <w:pStyle w:val="PL"/>
        <w:rPr>
          <w:color w:val="808080"/>
        </w:rPr>
      </w:pPr>
      <w:r w:rsidRPr="00FA0D37">
        <w:t xml:space="preserve">maxNrofSlots-1                          </w:t>
      </w:r>
      <w:r w:rsidRPr="00FA0D37">
        <w:rPr>
          <w:color w:val="993366"/>
        </w:rPr>
        <w:t>INTEGER</w:t>
      </w:r>
      <w:r w:rsidRPr="00FA0D37">
        <w:t xml:space="preserve"> ::= 319     </w:t>
      </w:r>
      <w:r w:rsidRPr="00FA0D37">
        <w:rPr>
          <w:color w:val="808080"/>
        </w:rPr>
        <w:t>-- Maximum number of slots in a 10 ms period minus 1</w:t>
      </w:r>
    </w:p>
    <w:p w14:paraId="46E28124" w14:textId="77777777" w:rsidR="00394471" w:rsidRPr="00FA0D37" w:rsidRDefault="00394471" w:rsidP="00FA0D37">
      <w:pPr>
        <w:pStyle w:val="PL"/>
        <w:rPr>
          <w:color w:val="808080"/>
        </w:rPr>
      </w:pPr>
      <w:r w:rsidRPr="00FA0D37">
        <w:t xml:space="preserve">maxNrofPhysicalResourceBlocks           </w:t>
      </w:r>
      <w:r w:rsidRPr="00FA0D37">
        <w:rPr>
          <w:color w:val="993366"/>
        </w:rPr>
        <w:t>INTEGER</w:t>
      </w:r>
      <w:r w:rsidRPr="00FA0D37">
        <w:t xml:space="preserve"> ::= 275     </w:t>
      </w:r>
      <w:r w:rsidRPr="00FA0D37">
        <w:rPr>
          <w:color w:val="808080"/>
        </w:rPr>
        <w:t>-- Maximum number of PRBs</w:t>
      </w:r>
    </w:p>
    <w:p w14:paraId="7A811FE3" w14:textId="77777777" w:rsidR="00394471" w:rsidRPr="00FA0D37" w:rsidRDefault="00394471" w:rsidP="00FA0D37">
      <w:pPr>
        <w:pStyle w:val="PL"/>
        <w:rPr>
          <w:color w:val="808080"/>
        </w:rPr>
      </w:pPr>
      <w:r w:rsidRPr="00FA0D37">
        <w:t xml:space="preserve">maxNrofPhysicalResourceBlocks-1         </w:t>
      </w:r>
      <w:r w:rsidRPr="00FA0D37">
        <w:rPr>
          <w:color w:val="993366"/>
        </w:rPr>
        <w:t>INTEGER</w:t>
      </w:r>
      <w:r w:rsidRPr="00FA0D37">
        <w:t xml:space="preserve"> ::= 274     </w:t>
      </w:r>
      <w:r w:rsidRPr="00FA0D37">
        <w:rPr>
          <w:color w:val="808080"/>
        </w:rPr>
        <w:t>-- Maximum number of PRBs minus 1</w:t>
      </w:r>
    </w:p>
    <w:p w14:paraId="46B13130" w14:textId="77777777" w:rsidR="00394471" w:rsidRPr="00FA0D37" w:rsidRDefault="00394471" w:rsidP="00FA0D37">
      <w:pPr>
        <w:pStyle w:val="PL"/>
        <w:rPr>
          <w:color w:val="808080"/>
        </w:rPr>
      </w:pPr>
      <w:r w:rsidRPr="00FA0D37">
        <w:t xml:space="preserve">maxNrofPhysicalResourceBlocksPlus1      </w:t>
      </w:r>
      <w:r w:rsidRPr="00FA0D37">
        <w:rPr>
          <w:color w:val="993366"/>
        </w:rPr>
        <w:t>INTEGER</w:t>
      </w:r>
      <w:r w:rsidRPr="00FA0D37">
        <w:t xml:space="preserve"> ::= 276     </w:t>
      </w:r>
      <w:r w:rsidRPr="00FA0D37">
        <w:rPr>
          <w:color w:val="808080"/>
        </w:rPr>
        <w:t>-- Maximum number of PRBs plus 1</w:t>
      </w:r>
    </w:p>
    <w:p w14:paraId="16B8E3AB" w14:textId="77777777" w:rsidR="00394471" w:rsidRPr="00FA0D37" w:rsidRDefault="00394471" w:rsidP="00FA0D37">
      <w:pPr>
        <w:pStyle w:val="PL"/>
        <w:rPr>
          <w:color w:val="808080"/>
        </w:rPr>
      </w:pPr>
      <w:r w:rsidRPr="00FA0D37">
        <w:t xml:space="preserve">maxNrofControlResourceSets              </w:t>
      </w:r>
      <w:r w:rsidRPr="00FA0D37">
        <w:rPr>
          <w:color w:val="993366"/>
        </w:rPr>
        <w:t>INTEGER</w:t>
      </w:r>
      <w:r w:rsidRPr="00FA0D37">
        <w:t xml:space="preserve"> ::= 12      </w:t>
      </w:r>
      <w:r w:rsidRPr="00FA0D37">
        <w:rPr>
          <w:color w:val="808080"/>
        </w:rPr>
        <w:t>-- Max number of CoReSets configurable on a serving cell</w:t>
      </w:r>
    </w:p>
    <w:p w14:paraId="4E02D9CF" w14:textId="77777777" w:rsidR="00394471" w:rsidRPr="00FA0D37" w:rsidRDefault="00394471" w:rsidP="00FA0D37">
      <w:pPr>
        <w:pStyle w:val="PL"/>
        <w:rPr>
          <w:color w:val="808080"/>
        </w:rPr>
      </w:pPr>
      <w:r w:rsidRPr="00FA0D37">
        <w:t xml:space="preserve">maxNrofControlResourceSets-1            </w:t>
      </w:r>
      <w:r w:rsidRPr="00FA0D37">
        <w:rPr>
          <w:color w:val="993366"/>
        </w:rPr>
        <w:t>INTEGER</w:t>
      </w:r>
      <w:r w:rsidRPr="00FA0D37">
        <w:t xml:space="preserve"> ::= 11      </w:t>
      </w:r>
      <w:r w:rsidRPr="00FA0D37">
        <w:rPr>
          <w:color w:val="808080"/>
        </w:rPr>
        <w:t>-- Max number of CoReSets configurable on a serving cell minus 1</w:t>
      </w:r>
    </w:p>
    <w:p w14:paraId="5E6AA700" w14:textId="77777777" w:rsidR="00394471" w:rsidRPr="00FA0D37" w:rsidRDefault="00394471" w:rsidP="00FA0D37">
      <w:pPr>
        <w:pStyle w:val="PL"/>
        <w:rPr>
          <w:color w:val="808080"/>
        </w:rPr>
      </w:pPr>
      <w:r w:rsidRPr="00FA0D37">
        <w:lastRenderedPageBreak/>
        <w:t xml:space="preserve">maxNrofControlResourceSets-1-r16        </w:t>
      </w:r>
      <w:r w:rsidRPr="00FA0D37">
        <w:rPr>
          <w:color w:val="993366"/>
        </w:rPr>
        <w:t>INTEGER</w:t>
      </w:r>
      <w:r w:rsidRPr="00FA0D37">
        <w:t xml:space="preserve"> ::= 15      </w:t>
      </w:r>
      <w:r w:rsidRPr="00FA0D37">
        <w:rPr>
          <w:color w:val="808080"/>
        </w:rPr>
        <w:t>-- Max number of CoReSets configurable on a serving cell extended in minus 1</w:t>
      </w:r>
    </w:p>
    <w:p w14:paraId="3C958BCF" w14:textId="77777777" w:rsidR="00394471" w:rsidRPr="00FA0D37" w:rsidRDefault="00394471" w:rsidP="00FA0D37">
      <w:pPr>
        <w:pStyle w:val="PL"/>
        <w:rPr>
          <w:color w:val="808080"/>
        </w:rPr>
      </w:pPr>
      <w:r w:rsidRPr="00FA0D37">
        <w:t xml:space="preserve">maxNrofCoresetPools-r16                 </w:t>
      </w:r>
      <w:r w:rsidRPr="00FA0D37">
        <w:rPr>
          <w:color w:val="993366"/>
        </w:rPr>
        <w:t>INTEGER</w:t>
      </w:r>
      <w:r w:rsidRPr="00FA0D37">
        <w:t xml:space="preserve"> ::= 2       </w:t>
      </w:r>
      <w:r w:rsidRPr="00FA0D37">
        <w:rPr>
          <w:color w:val="808080"/>
        </w:rPr>
        <w:t>-- Maximum number of CORESET pools</w:t>
      </w:r>
    </w:p>
    <w:p w14:paraId="502151C0" w14:textId="77777777" w:rsidR="00394471" w:rsidRPr="00FA0D37" w:rsidRDefault="00394471" w:rsidP="00FA0D37">
      <w:pPr>
        <w:pStyle w:val="PL"/>
        <w:rPr>
          <w:color w:val="808080"/>
        </w:rPr>
      </w:pPr>
      <w:r w:rsidRPr="00FA0D37">
        <w:t xml:space="preserve">maxCoReSetDuration                      </w:t>
      </w:r>
      <w:r w:rsidRPr="00FA0D37">
        <w:rPr>
          <w:color w:val="993366"/>
        </w:rPr>
        <w:t>INTEGER</w:t>
      </w:r>
      <w:r w:rsidRPr="00FA0D37">
        <w:t xml:space="preserve"> ::= 3       </w:t>
      </w:r>
      <w:r w:rsidRPr="00FA0D37">
        <w:rPr>
          <w:color w:val="808080"/>
        </w:rPr>
        <w:t>-- Max number of OFDM symbols in a control resource set</w:t>
      </w:r>
    </w:p>
    <w:p w14:paraId="294A0C84" w14:textId="77777777" w:rsidR="00394471" w:rsidRPr="00FA0D37" w:rsidRDefault="00394471" w:rsidP="00FA0D37">
      <w:pPr>
        <w:pStyle w:val="PL"/>
        <w:rPr>
          <w:color w:val="808080"/>
        </w:rPr>
      </w:pPr>
      <w:r w:rsidRPr="00FA0D37">
        <w:t xml:space="preserve">maxNrofSearchSpaces-1                   </w:t>
      </w:r>
      <w:r w:rsidRPr="00FA0D37">
        <w:rPr>
          <w:color w:val="993366"/>
        </w:rPr>
        <w:t>INTEGER</w:t>
      </w:r>
      <w:r w:rsidRPr="00FA0D37">
        <w:t xml:space="preserve"> ::= 39      </w:t>
      </w:r>
      <w:r w:rsidRPr="00FA0D37">
        <w:rPr>
          <w:color w:val="808080"/>
        </w:rPr>
        <w:t>-- Max number of Search Spaces minus 1</w:t>
      </w:r>
    </w:p>
    <w:p w14:paraId="059D8A75" w14:textId="3051DE04" w:rsidR="00064591" w:rsidRPr="00FA0D37" w:rsidRDefault="00064591" w:rsidP="00FA0D37">
      <w:pPr>
        <w:pStyle w:val="PL"/>
        <w:rPr>
          <w:color w:val="808080"/>
        </w:rPr>
      </w:pPr>
      <w:r w:rsidRPr="00FA0D37">
        <w:t>maxNrofSearchSpacesLinks</w:t>
      </w:r>
      <w:r w:rsidR="004F1B8A" w:rsidRPr="00FA0D37">
        <w:t>-1</w:t>
      </w:r>
      <w:r w:rsidR="006665C6" w:rsidRPr="00FA0D37">
        <w:t>-r17</w:t>
      </w:r>
      <w:r w:rsidRPr="00FA0D37">
        <w:t xml:space="preserve">          </w:t>
      </w:r>
      <w:r w:rsidRPr="00FA0D37">
        <w:rPr>
          <w:color w:val="993366"/>
        </w:rPr>
        <w:t>INTEGER</w:t>
      </w:r>
      <w:r w:rsidRPr="00FA0D37">
        <w:t xml:space="preserve"> ::= </w:t>
      </w:r>
      <w:r w:rsidR="001D1854" w:rsidRPr="00FA0D37">
        <w:t>39</w:t>
      </w:r>
      <w:r w:rsidRPr="00FA0D37">
        <w:t xml:space="preserve">    </w:t>
      </w:r>
      <w:r w:rsidR="001D1854" w:rsidRPr="00FA0D37">
        <w:t xml:space="preserve">  </w:t>
      </w:r>
      <w:r w:rsidRPr="00FA0D37">
        <w:rPr>
          <w:color w:val="808080"/>
        </w:rPr>
        <w:t>-- Max number of Search Space links</w:t>
      </w:r>
      <w:r w:rsidR="004F1B8A" w:rsidRPr="00FA0D37">
        <w:rPr>
          <w:color w:val="808080"/>
        </w:rPr>
        <w:t xml:space="preserve"> minus 1</w:t>
      </w:r>
    </w:p>
    <w:p w14:paraId="4BD57C78" w14:textId="28C57D7E" w:rsidR="004F1B8A" w:rsidRPr="00FA0D37" w:rsidRDefault="004F1B8A" w:rsidP="00FA0D37">
      <w:pPr>
        <w:pStyle w:val="PL"/>
        <w:rPr>
          <w:color w:val="808080"/>
        </w:rPr>
      </w:pPr>
      <w:r w:rsidRPr="00FA0D37">
        <w:t xml:space="preserve">maxNrofBFDResourcePerSet-r17            </w:t>
      </w:r>
      <w:r w:rsidRPr="00FA0D37">
        <w:rPr>
          <w:color w:val="993366"/>
        </w:rPr>
        <w:t>INTEGER</w:t>
      </w:r>
      <w:r w:rsidRPr="00FA0D37">
        <w:t xml:space="preserve"> ::= </w:t>
      </w:r>
      <w:r w:rsidR="007B122D" w:rsidRPr="00FA0D37">
        <w:t xml:space="preserve">64   </w:t>
      </w:r>
      <w:r w:rsidRPr="00FA0D37">
        <w:t xml:space="preserve">   </w:t>
      </w:r>
      <w:r w:rsidRPr="00FA0D37">
        <w:rPr>
          <w:color w:val="808080"/>
        </w:rPr>
        <w:t xml:space="preserve">-- </w:t>
      </w:r>
      <w:r w:rsidR="007B122D" w:rsidRPr="00FA0D37">
        <w:rPr>
          <w:color w:val="808080"/>
        </w:rPr>
        <w:t>Max number of refer</w:t>
      </w:r>
      <w:r w:rsidR="00EA6373" w:rsidRPr="00FA0D37">
        <w:rPr>
          <w:color w:val="808080"/>
        </w:rPr>
        <w:t>e</w:t>
      </w:r>
      <w:r w:rsidR="007B122D" w:rsidRPr="00FA0D37">
        <w:rPr>
          <w:color w:val="808080"/>
        </w:rPr>
        <w:t>nce signal in one BFD set</w:t>
      </w:r>
    </w:p>
    <w:p w14:paraId="18CEEEA9" w14:textId="2BDD36E6" w:rsidR="00394471" w:rsidRPr="00FA0D37" w:rsidRDefault="00394471" w:rsidP="00FA0D37">
      <w:pPr>
        <w:pStyle w:val="PL"/>
        <w:rPr>
          <w:color w:val="808080"/>
        </w:rPr>
      </w:pPr>
      <w:r w:rsidRPr="00FA0D37">
        <w:t xml:space="preserve">maxSFI-DCI-PayloadSize                  </w:t>
      </w:r>
      <w:r w:rsidRPr="00FA0D37">
        <w:rPr>
          <w:color w:val="993366"/>
        </w:rPr>
        <w:t>INTEGER</w:t>
      </w:r>
      <w:r w:rsidRPr="00FA0D37">
        <w:t xml:space="preserve"> ::= 128     </w:t>
      </w:r>
      <w:r w:rsidRPr="00FA0D37">
        <w:rPr>
          <w:color w:val="808080"/>
        </w:rPr>
        <w:t>-- Max number payload of a DCI scrambled with SFI-RNTI</w:t>
      </w:r>
    </w:p>
    <w:p w14:paraId="55A6808A" w14:textId="77777777" w:rsidR="00394471" w:rsidRPr="00FA0D37" w:rsidRDefault="00394471" w:rsidP="00FA0D37">
      <w:pPr>
        <w:pStyle w:val="PL"/>
        <w:rPr>
          <w:color w:val="808080"/>
        </w:rPr>
      </w:pPr>
      <w:r w:rsidRPr="00FA0D37">
        <w:t xml:space="preserve">maxSFI-DCI-PayloadSize-1                </w:t>
      </w:r>
      <w:r w:rsidRPr="00FA0D37">
        <w:rPr>
          <w:color w:val="993366"/>
        </w:rPr>
        <w:t>INTEGER</w:t>
      </w:r>
      <w:r w:rsidRPr="00FA0D37">
        <w:t xml:space="preserve"> ::= 127     </w:t>
      </w:r>
      <w:r w:rsidRPr="00FA0D37">
        <w:rPr>
          <w:color w:val="808080"/>
        </w:rPr>
        <w:t>-- Max number payload of a DCI scrambled with SFI-RNTI minus 1</w:t>
      </w:r>
    </w:p>
    <w:p w14:paraId="6F9E2258" w14:textId="77777777" w:rsidR="00394471" w:rsidRPr="00FA0D37" w:rsidRDefault="00394471" w:rsidP="00FA0D37">
      <w:pPr>
        <w:pStyle w:val="PL"/>
        <w:rPr>
          <w:color w:val="808080"/>
        </w:rPr>
      </w:pPr>
      <w:r w:rsidRPr="00FA0D37">
        <w:t xml:space="preserve">maxIAB-IP-Address-r16                   </w:t>
      </w:r>
      <w:r w:rsidRPr="00FA0D37">
        <w:rPr>
          <w:color w:val="993366"/>
        </w:rPr>
        <w:t>INTEGER</w:t>
      </w:r>
      <w:r w:rsidRPr="00FA0D37">
        <w:t xml:space="preserve"> ::= 32      </w:t>
      </w:r>
      <w:r w:rsidRPr="00FA0D37">
        <w:rPr>
          <w:color w:val="808080"/>
        </w:rPr>
        <w:t>-- Max number of assigned IP addresses</w:t>
      </w:r>
    </w:p>
    <w:p w14:paraId="20987F9C" w14:textId="77777777" w:rsidR="00394471" w:rsidRPr="00FA0D37" w:rsidRDefault="00394471" w:rsidP="00FA0D37">
      <w:pPr>
        <w:pStyle w:val="PL"/>
        <w:rPr>
          <w:color w:val="808080"/>
        </w:rPr>
      </w:pPr>
      <w:r w:rsidRPr="00FA0D37">
        <w:t xml:space="preserve">maxINT-DCI-PayloadSize                  </w:t>
      </w:r>
      <w:r w:rsidRPr="00FA0D37">
        <w:rPr>
          <w:color w:val="993366"/>
        </w:rPr>
        <w:t>INTEGER</w:t>
      </w:r>
      <w:r w:rsidRPr="00FA0D37">
        <w:t xml:space="preserve"> ::= 126     </w:t>
      </w:r>
      <w:r w:rsidRPr="00FA0D37">
        <w:rPr>
          <w:color w:val="808080"/>
        </w:rPr>
        <w:t>-- Max number payload of a DCI scrambled with INT-RNTI</w:t>
      </w:r>
    </w:p>
    <w:p w14:paraId="15643E0B" w14:textId="77777777" w:rsidR="00394471" w:rsidRPr="00FA0D37" w:rsidRDefault="00394471" w:rsidP="00FA0D37">
      <w:pPr>
        <w:pStyle w:val="PL"/>
        <w:rPr>
          <w:color w:val="808080"/>
        </w:rPr>
      </w:pPr>
      <w:r w:rsidRPr="00FA0D37">
        <w:t xml:space="preserve">maxINT-DCI-PayloadSize-1                </w:t>
      </w:r>
      <w:r w:rsidRPr="00FA0D37">
        <w:rPr>
          <w:color w:val="993366"/>
        </w:rPr>
        <w:t>INTEGER</w:t>
      </w:r>
      <w:r w:rsidRPr="00FA0D37">
        <w:t xml:space="preserve"> ::= 125     </w:t>
      </w:r>
      <w:r w:rsidRPr="00FA0D37">
        <w:rPr>
          <w:color w:val="808080"/>
        </w:rPr>
        <w:t>-- Max number payload of a DCI scrambled with INT-RNTI minus 1</w:t>
      </w:r>
    </w:p>
    <w:p w14:paraId="41ACF294" w14:textId="77777777" w:rsidR="00394471" w:rsidRPr="00FA0D37" w:rsidRDefault="00394471" w:rsidP="00FA0D37">
      <w:pPr>
        <w:pStyle w:val="PL"/>
        <w:rPr>
          <w:color w:val="808080"/>
        </w:rPr>
      </w:pPr>
      <w:r w:rsidRPr="00FA0D37">
        <w:t xml:space="preserve">maxNrofRateMatchPatterns                </w:t>
      </w:r>
      <w:r w:rsidRPr="00FA0D37">
        <w:rPr>
          <w:color w:val="993366"/>
        </w:rPr>
        <w:t>INTEGER</w:t>
      </w:r>
      <w:r w:rsidRPr="00FA0D37">
        <w:t xml:space="preserve"> ::= 4       </w:t>
      </w:r>
      <w:r w:rsidRPr="00FA0D37">
        <w:rPr>
          <w:color w:val="808080"/>
        </w:rPr>
        <w:t>-- Max number of rate matching patterns that may be configured</w:t>
      </w:r>
    </w:p>
    <w:p w14:paraId="22E2F5A7" w14:textId="77777777" w:rsidR="00394471" w:rsidRPr="00FA0D37" w:rsidRDefault="00394471" w:rsidP="00FA0D37">
      <w:pPr>
        <w:pStyle w:val="PL"/>
        <w:rPr>
          <w:color w:val="808080"/>
        </w:rPr>
      </w:pPr>
      <w:r w:rsidRPr="00FA0D37">
        <w:t xml:space="preserve">maxNrofRateMatchPatterns-1              </w:t>
      </w:r>
      <w:r w:rsidRPr="00FA0D37">
        <w:rPr>
          <w:color w:val="993366"/>
        </w:rPr>
        <w:t>INTEGER</w:t>
      </w:r>
      <w:r w:rsidRPr="00FA0D37">
        <w:t xml:space="preserve"> ::= 3       </w:t>
      </w:r>
      <w:r w:rsidRPr="00FA0D37">
        <w:rPr>
          <w:color w:val="808080"/>
        </w:rPr>
        <w:t>-- Max number of rate matching patterns that may be configured minus 1</w:t>
      </w:r>
    </w:p>
    <w:p w14:paraId="77F6D1FE" w14:textId="77777777" w:rsidR="00394471" w:rsidRPr="00FA0D37" w:rsidRDefault="00394471" w:rsidP="00FA0D37">
      <w:pPr>
        <w:pStyle w:val="PL"/>
        <w:rPr>
          <w:color w:val="808080"/>
        </w:rPr>
      </w:pPr>
      <w:r w:rsidRPr="00FA0D37">
        <w:t xml:space="preserve">maxNrofRateMatchPatternsPerGroup        </w:t>
      </w:r>
      <w:r w:rsidRPr="00FA0D37">
        <w:rPr>
          <w:color w:val="993366"/>
        </w:rPr>
        <w:t>INTEGER</w:t>
      </w:r>
      <w:r w:rsidRPr="00FA0D37">
        <w:t xml:space="preserve"> ::= 8       </w:t>
      </w:r>
      <w:r w:rsidRPr="00FA0D37">
        <w:rPr>
          <w:color w:val="808080"/>
        </w:rPr>
        <w:t>-- Max number of rate matching patterns that may be configured in one group</w:t>
      </w:r>
    </w:p>
    <w:p w14:paraId="52E304AB" w14:textId="77777777" w:rsidR="00394471" w:rsidRPr="00FA0D37" w:rsidRDefault="00394471" w:rsidP="00FA0D37">
      <w:pPr>
        <w:pStyle w:val="PL"/>
        <w:rPr>
          <w:color w:val="808080"/>
        </w:rPr>
      </w:pPr>
      <w:r w:rsidRPr="00FA0D37">
        <w:t xml:space="preserve">maxNrofCSI-ReportConfigurations         </w:t>
      </w:r>
      <w:r w:rsidRPr="00FA0D37">
        <w:rPr>
          <w:color w:val="993366"/>
        </w:rPr>
        <w:t>INTEGER</w:t>
      </w:r>
      <w:r w:rsidRPr="00FA0D37">
        <w:t xml:space="preserve"> ::= 48      </w:t>
      </w:r>
      <w:r w:rsidRPr="00FA0D37">
        <w:rPr>
          <w:color w:val="808080"/>
        </w:rPr>
        <w:t>-- Maximum number of report configurations</w:t>
      </w:r>
    </w:p>
    <w:p w14:paraId="6A36F6A6" w14:textId="77777777" w:rsidR="00394471" w:rsidRPr="00FA0D37" w:rsidRDefault="00394471" w:rsidP="00FA0D37">
      <w:pPr>
        <w:pStyle w:val="PL"/>
        <w:rPr>
          <w:color w:val="808080"/>
        </w:rPr>
      </w:pPr>
      <w:r w:rsidRPr="00FA0D37">
        <w:t xml:space="preserve">maxNrofCSI-ReportConfigurations-1       </w:t>
      </w:r>
      <w:r w:rsidRPr="00FA0D37">
        <w:rPr>
          <w:color w:val="993366"/>
        </w:rPr>
        <w:t>INTEGER</w:t>
      </w:r>
      <w:r w:rsidRPr="00FA0D37">
        <w:t xml:space="preserve"> ::= 47      </w:t>
      </w:r>
      <w:r w:rsidRPr="00FA0D37">
        <w:rPr>
          <w:color w:val="808080"/>
        </w:rPr>
        <w:t>-- Maximum number of report configurations minus 1</w:t>
      </w:r>
    </w:p>
    <w:p w14:paraId="59A13909" w14:textId="77777777" w:rsidR="00394471" w:rsidRPr="00FA0D37" w:rsidRDefault="00394471" w:rsidP="00FA0D37">
      <w:pPr>
        <w:pStyle w:val="PL"/>
        <w:rPr>
          <w:color w:val="808080"/>
        </w:rPr>
      </w:pPr>
      <w:r w:rsidRPr="00FA0D37">
        <w:t xml:space="preserve">maxNrofCSI-ResourceConfigurations       </w:t>
      </w:r>
      <w:r w:rsidRPr="00FA0D37">
        <w:rPr>
          <w:color w:val="993366"/>
        </w:rPr>
        <w:t>INTEGER</w:t>
      </w:r>
      <w:r w:rsidRPr="00FA0D37">
        <w:t xml:space="preserve"> ::= 112     </w:t>
      </w:r>
      <w:r w:rsidRPr="00FA0D37">
        <w:rPr>
          <w:color w:val="808080"/>
        </w:rPr>
        <w:t>-- Maximum number of resource configurations</w:t>
      </w:r>
    </w:p>
    <w:p w14:paraId="1915FC58" w14:textId="77777777" w:rsidR="00394471" w:rsidRPr="00FA0D37" w:rsidRDefault="00394471" w:rsidP="00FA0D37">
      <w:pPr>
        <w:pStyle w:val="PL"/>
        <w:rPr>
          <w:color w:val="808080"/>
        </w:rPr>
      </w:pPr>
      <w:r w:rsidRPr="00FA0D37">
        <w:t xml:space="preserve">maxNrofCSI-ResourceConfigurations-1     </w:t>
      </w:r>
      <w:r w:rsidRPr="00FA0D37">
        <w:rPr>
          <w:color w:val="993366"/>
        </w:rPr>
        <w:t>INTEGER</w:t>
      </w:r>
      <w:r w:rsidRPr="00FA0D37">
        <w:t xml:space="preserve"> ::= 111     </w:t>
      </w:r>
      <w:r w:rsidRPr="00FA0D37">
        <w:rPr>
          <w:color w:val="808080"/>
        </w:rPr>
        <w:t>-- Maximum number of resource configurations minus 1</w:t>
      </w:r>
    </w:p>
    <w:p w14:paraId="7B7E68EC" w14:textId="77777777" w:rsidR="00394471" w:rsidRPr="00FA0D37" w:rsidRDefault="00394471" w:rsidP="00FA0D37">
      <w:pPr>
        <w:pStyle w:val="PL"/>
      </w:pPr>
      <w:r w:rsidRPr="00FA0D37">
        <w:t xml:space="preserve">maxNrofAP-CSI-RS-ResourcesPerSet        </w:t>
      </w:r>
      <w:r w:rsidRPr="00FA0D37">
        <w:rPr>
          <w:color w:val="993366"/>
        </w:rPr>
        <w:t>INTEGER</w:t>
      </w:r>
      <w:r w:rsidRPr="00FA0D37">
        <w:t xml:space="preserve"> ::= 16</w:t>
      </w:r>
    </w:p>
    <w:p w14:paraId="3B8C2556" w14:textId="77777777" w:rsidR="00394471" w:rsidRPr="00FA0D37" w:rsidRDefault="00394471" w:rsidP="00FA0D37">
      <w:pPr>
        <w:pStyle w:val="PL"/>
        <w:rPr>
          <w:color w:val="808080"/>
        </w:rPr>
      </w:pPr>
      <w:r w:rsidRPr="00FA0D37">
        <w:t xml:space="preserve">maxNrOfCSI-AperiodicTriggers            </w:t>
      </w:r>
      <w:r w:rsidRPr="00FA0D37">
        <w:rPr>
          <w:color w:val="993366"/>
        </w:rPr>
        <w:t>INTEGER</w:t>
      </w:r>
      <w:r w:rsidRPr="00FA0D37">
        <w:t xml:space="preserve"> ::= 128     </w:t>
      </w:r>
      <w:r w:rsidRPr="00FA0D37">
        <w:rPr>
          <w:color w:val="808080"/>
        </w:rPr>
        <w:t>-- Maximum number of triggers for aperiodic CSI reporting</w:t>
      </w:r>
    </w:p>
    <w:p w14:paraId="0A813AF9" w14:textId="77777777" w:rsidR="00394471" w:rsidRPr="00FA0D37" w:rsidRDefault="00394471" w:rsidP="00FA0D37">
      <w:pPr>
        <w:pStyle w:val="PL"/>
        <w:rPr>
          <w:color w:val="808080"/>
        </w:rPr>
      </w:pPr>
      <w:r w:rsidRPr="00FA0D37">
        <w:t xml:space="preserve">maxNrofReportConfigPerAperiodicTrigger  </w:t>
      </w:r>
      <w:r w:rsidRPr="00FA0D37">
        <w:rPr>
          <w:color w:val="993366"/>
        </w:rPr>
        <w:t>INTEGER</w:t>
      </w:r>
      <w:r w:rsidRPr="00FA0D37">
        <w:t xml:space="preserve"> ::= 16      </w:t>
      </w:r>
      <w:r w:rsidRPr="00FA0D37">
        <w:rPr>
          <w:color w:val="808080"/>
        </w:rPr>
        <w:t>-- Maximum number of report configurations per trigger state for aperiodic reporting</w:t>
      </w:r>
    </w:p>
    <w:p w14:paraId="1AC0170F" w14:textId="77777777" w:rsidR="00394471" w:rsidRPr="00FA0D37" w:rsidRDefault="00394471" w:rsidP="00FA0D37">
      <w:pPr>
        <w:pStyle w:val="PL"/>
        <w:rPr>
          <w:color w:val="808080"/>
        </w:rPr>
      </w:pPr>
      <w:r w:rsidRPr="00FA0D37">
        <w:t xml:space="preserve">maxNrofNZP-CSI-RS-Resources             </w:t>
      </w:r>
      <w:r w:rsidRPr="00FA0D37">
        <w:rPr>
          <w:color w:val="993366"/>
        </w:rPr>
        <w:t>INTEGER</w:t>
      </w:r>
      <w:r w:rsidRPr="00FA0D37">
        <w:t xml:space="preserve"> ::= 192     </w:t>
      </w:r>
      <w:r w:rsidRPr="00FA0D37">
        <w:rPr>
          <w:color w:val="808080"/>
        </w:rPr>
        <w:t>-- Maximum number of Non-Zero-Power (NZP) CSI-RS resources</w:t>
      </w:r>
    </w:p>
    <w:p w14:paraId="5641618E" w14:textId="77777777" w:rsidR="00394471" w:rsidRPr="00FA0D37" w:rsidRDefault="00394471" w:rsidP="00FA0D37">
      <w:pPr>
        <w:pStyle w:val="PL"/>
        <w:rPr>
          <w:color w:val="808080"/>
        </w:rPr>
      </w:pPr>
      <w:r w:rsidRPr="00FA0D37">
        <w:t xml:space="preserve">maxNrofNZP-CSI-RS-Resources-1           </w:t>
      </w:r>
      <w:r w:rsidRPr="00FA0D37">
        <w:rPr>
          <w:color w:val="993366"/>
        </w:rPr>
        <w:t>INTEGER</w:t>
      </w:r>
      <w:r w:rsidRPr="00FA0D37">
        <w:t xml:space="preserve"> ::= 191     </w:t>
      </w:r>
      <w:r w:rsidRPr="00FA0D37">
        <w:rPr>
          <w:color w:val="808080"/>
        </w:rPr>
        <w:t>-- Maximum number of Non-Zero-Power (NZP) CSI-RS resources minus 1</w:t>
      </w:r>
    </w:p>
    <w:p w14:paraId="25486CE3" w14:textId="77777777" w:rsidR="00394471" w:rsidRPr="00FA0D37" w:rsidRDefault="00394471" w:rsidP="00FA0D37">
      <w:pPr>
        <w:pStyle w:val="PL"/>
        <w:rPr>
          <w:color w:val="808080"/>
        </w:rPr>
      </w:pPr>
      <w:r w:rsidRPr="00FA0D37">
        <w:t xml:space="preserve">maxNrofNZP-CSI-RS-ResourcesPerSet       </w:t>
      </w:r>
      <w:r w:rsidRPr="00FA0D37">
        <w:rPr>
          <w:color w:val="993366"/>
        </w:rPr>
        <w:t>INTEGER</w:t>
      </w:r>
      <w:r w:rsidRPr="00FA0D37">
        <w:t xml:space="preserve"> ::= 64      </w:t>
      </w:r>
      <w:r w:rsidRPr="00FA0D37">
        <w:rPr>
          <w:color w:val="808080"/>
        </w:rPr>
        <w:t>-- Maximum number of NZP CSI-RS resources per resource set</w:t>
      </w:r>
    </w:p>
    <w:p w14:paraId="6686144F" w14:textId="3F281E08" w:rsidR="00394471" w:rsidRPr="00FA0D37" w:rsidRDefault="00394471" w:rsidP="00FA0D37">
      <w:pPr>
        <w:pStyle w:val="PL"/>
        <w:rPr>
          <w:color w:val="808080"/>
        </w:rPr>
      </w:pPr>
      <w:r w:rsidRPr="00FA0D37">
        <w:t xml:space="preserve">maxNrofNZP-CSI-RS-ResourceSets          </w:t>
      </w:r>
      <w:r w:rsidRPr="00FA0D37">
        <w:rPr>
          <w:color w:val="993366"/>
        </w:rPr>
        <w:t>INTEGER</w:t>
      </w:r>
      <w:r w:rsidRPr="00FA0D37">
        <w:t xml:space="preserve"> ::= 64      </w:t>
      </w:r>
      <w:r w:rsidRPr="00FA0D37">
        <w:rPr>
          <w:color w:val="808080"/>
        </w:rPr>
        <w:t>-- Maximum number of NZP CSI-RS resource</w:t>
      </w:r>
      <w:r w:rsidR="00297A1D" w:rsidRPr="00FA0D37">
        <w:rPr>
          <w:color w:val="808080"/>
        </w:rPr>
        <w:t xml:space="preserve"> set</w:t>
      </w:r>
      <w:r w:rsidRPr="00FA0D37">
        <w:rPr>
          <w:color w:val="808080"/>
        </w:rPr>
        <w:t>s per cell</w:t>
      </w:r>
    </w:p>
    <w:p w14:paraId="40C5FE5B" w14:textId="13C4ACE2" w:rsidR="00394471" w:rsidRPr="00FA0D37" w:rsidRDefault="00394471" w:rsidP="00FA0D37">
      <w:pPr>
        <w:pStyle w:val="PL"/>
        <w:rPr>
          <w:color w:val="808080"/>
        </w:rPr>
      </w:pPr>
      <w:r w:rsidRPr="00FA0D37">
        <w:t xml:space="preserve">maxNrofNZP-CSI-RS-ResourceSets-1        </w:t>
      </w:r>
      <w:r w:rsidRPr="00FA0D37">
        <w:rPr>
          <w:color w:val="993366"/>
        </w:rPr>
        <w:t>INTEGER</w:t>
      </w:r>
      <w:r w:rsidRPr="00FA0D37">
        <w:t xml:space="preserve"> ::= 63      </w:t>
      </w:r>
      <w:r w:rsidRPr="00FA0D37">
        <w:rPr>
          <w:color w:val="808080"/>
        </w:rPr>
        <w:t>-- Maximum number of NZP CSI-RS resource</w:t>
      </w:r>
      <w:r w:rsidR="00297A1D" w:rsidRPr="00FA0D37">
        <w:rPr>
          <w:color w:val="808080"/>
        </w:rPr>
        <w:t xml:space="preserve"> set</w:t>
      </w:r>
      <w:r w:rsidRPr="00FA0D37">
        <w:rPr>
          <w:color w:val="808080"/>
        </w:rPr>
        <w:t>s per cell minus 1</w:t>
      </w:r>
    </w:p>
    <w:p w14:paraId="06BBB2DE" w14:textId="77777777" w:rsidR="00394471" w:rsidRPr="00FA0D37" w:rsidRDefault="00394471" w:rsidP="00FA0D37">
      <w:pPr>
        <w:pStyle w:val="PL"/>
        <w:rPr>
          <w:color w:val="808080"/>
        </w:rPr>
      </w:pPr>
      <w:r w:rsidRPr="00FA0D37">
        <w:t xml:space="preserve">maxNrofNZP-CSI-RS-ResourceSetsPerConfig </w:t>
      </w:r>
      <w:r w:rsidRPr="00FA0D37">
        <w:rPr>
          <w:color w:val="993366"/>
        </w:rPr>
        <w:t>INTEGER</w:t>
      </w:r>
      <w:r w:rsidRPr="00FA0D37">
        <w:t xml:space="preserve"> ::= 16      </w:t>
      </w:r>
      <w:r w:rsidRPr="00FA0D37">
        <w:rPr>
          <w:color w:val="808080"/>
        </w:rPr>
        <w:t>-- Maximum number of resource sets per resource configuration</w:t>
      </w:r>
    </w:p>
    <w:p w14:paraId="69C99EE6" w14:textId="77777777" w:rsidR="00394471" w:rsidRPr="00FA0D37" w:rsidRDefault="00394471" w:rsidP="00FA0D37">
      <w:pPr>
        <w:pStyle w:val="PL"/>
        <w:rPr>
          <w:color w:val="808080"/>
        </w:rPr>
      </w:pPr>
      <w:r w:rsidRPr="00FA0D37">
        <w:t xml:space="preserve">maxNrofNZP-CSI-RS-ResourcesPerConfig    </w:t>
      </w:r>
      <w:r w:rsidRPr="00FA0D37">
        <w:rPr>
          <w:color w:val="993366"/>
        </w:rPr>
        <w:t>INTEGER</w:t>
      </w:r>
      <w:r w:rsidRPr="00FA0D37">
        <w:t xml:space="preserve"> ::= 128     </w:t>
      </w:r>
      <w:r w:rsidRPr="00FA0D37">
        <w:rPr>
          <w:color w:val="808080"/>
        </w:rPr>
        <w:t>-- Maximum number of resources per resource configuration</w:t>
      </w:r>
    </w:p>
    <w:p w14:paraId="76E1DCDB" w14:textId="77777777" w:rsidR="00394471" w:rsidRPr="00FA0D37" w:rsidRDefault="00394471" w:rsidP="00FA0D37">
      <w:pPr>
        <w:pStyle w:val="PL"/>
        <w:rPr>
          <w:color w:val="808080"/>
        </w:rPr>
      </w:pPr>
      <w:r w:rsidRPr="00FA0D37">
        <w:t xml:space="preserve">maxNrofZP-CSI-RS-Resources              </w:t>
      </w:r>
      <w:r w:rsidRPr="00FA0D37">
        <w:rPr>
          <w:color w:val="993366"/>
        </w:rPr>
        <w:t>INTEGER</w:t>
      </w:r>
      <w:r w:rsidRPr="00FA0D37">
        <w:t xml:space="preserve"> ::= 32      </w:t>
      </w:r>
      <w:r w:rsidRPr="00FA0D37">
        <w:rPr>
          <w:color w:val="808080"/>
        </w:rPr>
        <w:t>-- Maximum number of Zero-Power (ZP) CSI-RS resources</w:t>
      </w:r>
    </w:p>
    <w:p w14:paraId="51E2AEB3" w14:textId="77777777" w:rsidR="00394471" w:rsidRPr="00FA0D37" w:rsidRDefault="00394471" w:rsidP="00FA0D37">
      <w:pPr>
        <w:pStyle w:val="PL"/>
        <w:rPr>
          <w:color w:val="808080"/>
        </w:rPr>
      </w:pPr>
      <w:r w:rsidRPr="00FA0D37">
        <w:t xml:space="preserve">maxNrofZP-CSI-RS-Resources-1            </w:t>
      </w:r>
      <w:r w:rsidRPr="00FA0D37">
        <w:rPr>
          <w:color w:val="993366"/>
        </w:rPr>
        <w:t>INTEGER</w:t>
      </w:r>
      <w:r w:rsidRPr="00FA0D37">
        <w:t xml:space="preserve"> ::= 31      </w:t>
      </w:r>
      <w:r w:rsidRPr="00FA0D37">
        <w:rPr>
          <w:color w:val="808080"/>
        </w:rPr>
        <w:t>-- Maximum number of Zero-Power (ZP) CSI-RS resources minus 1</w:t>
      </w:r>
    </w:p>
    <w:p w14:paraId="0054EDA9" w14:textId="77777777" w:rsidR="00394471" w:rsidRPr="00FA0D37" w:rsidRDefault="00394471" w:rsidP="00FA0D37">
      <w:pPr>
        <w:pStyle w:val="PL"/>
      </w:pPr>
      <w:r w:rsidRPr="00FA0D37">
        <w:t xml:space="preserve">maxNrofZP-CSI-RS-ResourceSets-1         </w:t>
      </w:r>
      <w:r w:rsidRPr="00FA0D37">
        <w:rPr>
          <w:color w:val="993366"/>
        </w:rPr>
        <w:t>INTEGER</w:t>
      </w:r>
      <w:r w:rsidRPr="00FA0D37">
        <w:t xml:space="preserve"> ::= 15</w:t>
      </w:r>
    </w:p>
    <w:p w14:paraId="552E1DB2" w14:textId="77777777" w:rsidR="00394471" w:rsidRPr="00FA0D37" w:rsidRDefault="00394471" w:rsidP="00FA0D37">
      <w:pPr>
        <w:pStyle w:val="PL"/>
      </w:pPr>
      <w:r w:rsidRPr="00FA0D37">
        <w:t xml:space="preserve">maxNrofZP-CSI-RS-ResourcesPerSet        </w:t>
      </w:r>
      <w:r w:rsidRPr="00FA0D37">
        <w:rPr>
          <w:color w:val="993366"/>
        </w:rPr>
        <w:t>INTEGER</w:t>
      </w:r>
      <w:r w:rsidRPr="00FA0D37">
        <w:t xml:space="preserve"> ::= 16</w:t>
      </w:r>
    </w:p>
    <w:p w14:paraId="6536236F" w14:textId="77777777" w:rsidR="00394471" w:rsidRPr="00FA0D37" w:rsidRDefault="00394471" w:rsidP="00FA0D37">
      <w:pPr>
        <w:pStyle w:val="PL"/>
      </w:pPr>
      <w:r w:rsidRPr="00FA0D37">
        <w:t xml:space="preserve">maxNrofZP-CSI-RS-ResourceSets           </w:t>
      </w:r>
      <w:r w:rsidRPr="00FA0D37">
        <w:rPr>
          <w:color w:val="993366"/>
        </w:rPr>
        <w:t>INTEGER</w:t>
      </w:r>
      <w:r w:rsidRPr="00FA0D37">
        <w:t xml:space="preserve"> ::= 16</w:t>
      </w:r>
    </w:p>
    <w:p w14:paraId="68FA4585" w14:textId="15FD3897" w:rsidR="00394471" w:rsidRPr="00FA0D37" w:rsidRDefault="00394471" w:rsidP="00FA0D37">
      <w:pPr>
        <w:pStyle w:val="PL"/>
        <w:rPr>
          <w:color w:val="808080"/>
        </w:rPr>
      </w:pPr>
      <w:r w:rsidRPr="00FA0D37">
        <w:t xml:space="preserve">maxNrofCSI-IM-Resources                 </w:t>
      </w:r>
      <w:r w:rsidRPr="00FA0D37">
        <w:rPr>
          <w:color w:val="993366"/>
        </w:rPr>
        <w:t>INTEGER</w:t>
      </w:r>
      <w:r w:rsidRPr="00FA0D37">
        <w:t xml:space="preserve"> ::= 32      </w:t>
      </w:r>
      <w:r w:rsidRPr="00FA0D37">
        <w:rPr>
          <w:color w:val="808080"/>
        </w:rPr>
        <w:t>-- Maximum number of CSI-IM resources</w:t>
      </w:r>
    </w:p>
    <w:p w14:paraId="6449E43E" w14:textId="27323085" w:rsidR="00394471" w:rsidRPr="00FA0D37" w:rsidRDefault="00394471" w:rsidP="00FA0D37">
      <w:pPr>
        <w:pStyle w:val="PL"/>
        <w:rPr>
          <w:color w:val="808080"/>
        </w:rPr>
      </w:pPr>
      <w:r w:rsidRPr="00FA0D37">
        <w:t xml:space="preserve">maxNrofCSI-IM-Resources-1               </w:t>
      </w:r>
      <w:r w:rsidRPr="00FA0D37">
        <w:rPr>
          <w:color w:val="993366"/>
        </w:rPr>
        <w:t>INTEGER</w:t>
      </w:r>
      <w:r w:rsidRPr="00FA0D37">
        <w:t xml:space="preserve"> ::= 31      </w:t>
      </w:r>
      <w:r w:rsidRPr="00FA0D37">
        <w:rPr>
          <w:color w:val="808080"/>
        </w:rPr>
        <w:t>-- Maximum number of CSI-IM resources minus 1</w:t>
      </w:r>
    </w:p>
    <w:p w14:paraId="01C61211" w14:textId="636D1DEF" w:rsidR="00394471" w:rsidRPr="00FA0D37" w:rsidRDefault="00394471" w:rsidP="00FA0D37">
      <w:pPr>
        <w:pStyle w:val="PL"/>
        <w:rPr>
          <w:color w:val="808080"/>
        </w:rPr>
      </w:pPr>
      <w:r w:rsidRPr="00FA0D37">
        <w:t xml:space="preserve">maxNrofCSI-IM-ResourcesPerSet           </w:t>
      </w:r>
      <w:r w:rsidRPr="00FA0D37">
        <w:rPr>
          <w:color w:val="993366"/>
        </w:rPr>
        <w:t>INTEGER</w:t>
      </w:r>
      <w:r w:rsidRPr="00FA0D37">
        <w:t xml:space="preserve"> ::= 8       </w:t>
      </w:r>
      <w:r w:rsidRPr="00FA0D37">
        <w:rPr>
          <w:color w:val="808080"/>
        </w:rPr>
        <w:t>-- Maximum number of CSI-IM resources per set</w:t>
      </w:r>
    </w:p>
    <w:p w14:paraId="26AFCD1A" w14:textId="71311004" w:rsidR="00394471" w:rsidRPr="00FA0D37" w:rsidRDefault="00394471" w:rsidP="00FA0D37">
      <w:pPr>
        <w:pStyle w:val="PL"/>
        <w:rPr>
          <w:color w:val="808080"/>
        </w:rPr>
      </w:pPr>
      <w:r w:rsidRPr="00FA0D37">
        <w:t xml:space="preserve">maxNrofCSI-IM-ResourceSets              </w:t>
      </w:r>
      <w:r w:rsidRPr="00FA0D37">
        <w:rPr>
          <w:color w:val="993366"/>
        </w:rPr>
        <w:t>INTEGER</w:t>
      </w:r>
      <w:r w:rsidRPr="00FA0D37">
        <w:t xml:space="preserve"> ::= 64      </w:t>
      </w:r>
      <w:r w:rsidRPr="00FA0D37">
        <w:rPr>
          <w:color w:val="808080"/>
        </w:rPr>
        <w:t>-- Maximum number of NZP CSI-IM resource</w:t>
      </w:r>
      <w:r w:rsidR="00297A1D" w:rsidRPr="00FA0D37">
        <w:rPr>
          <w:color w:val="808080"/>
        </w:rPr>
        <w:t xml:space="preserve"> set</w:t>
      </w:r>
      <w:r w:rsidRPr="00FA0D37">
        <w:rPr>
          <w:color w:val="808080"/>
        </w:rPr>
        <w:t>s per cell</w:t>
      </w:r>
    </w:p>
    <w:p w14:paraId="415C1765" w14:textId="3EEE0890" w:rsidR="00394471" w:rsidRPr="00FA0D37" w:rsidRDefault="00394471" w:rsidP="00FA0D37">
      <w:pPr>
        <w:pStyle w:val="PL"/>
        <w:rPr>
          <w:color w:val="808080"/>
        </w:rPr>
      </w:pPr>
      <w:r w:rsidRPr="00FA0D37">
        <w:t xml:space="preserve">maxNrofCSI-IM-ResourceSets-1            </w:t>
      </w:r>
      <w:r w:rsidRPr="00FA0D37">
        <w:rPr>
          <w:color w:val="993366"/>
        </w:rPr>
        <w:t>INTEGER</w:t>
      </w:r>
      <w:r w:rsidRPr="00FA0D37">
        <w:t xml:space="preserve"> ::= 63      </w:t>
      </w:r>
      <w:r w:rsidRPr="00FA0D37">
        <w:rPr>
          <w:color w:val="808080"/>
        </w:rPr>
        <w:t>-- Maximum number of NZP CSI-IM resource</w:t>
      </w:r>
      <w:r w:rsidR="00297A1D" w:rsidRPr="00FA0D37">
        <w:rPr>
          <w:color w:val="808080"/>
        </w:rPr>
        <w:t xml:space="preserve"> set</w:t>
      </w:r>
      <w:r w:rsidRPr="00FA0D37">
        <w:rPr>
          <w:color w:val="808080"/>
        </w:rPr>
        <w:t>s per cell minus 1</w:t>
      </w:r>
    </w:p>
    <w:p w14:paraId="04FA49F9" w14:textId="77777777" w:rsidR="00394471" w:rsidRPr="00FA0D37" w:rsidRDefault="00394471" w:rsidP="00FA0D37">
      <w:pPr>
        <w:pStyle w:val="PL"/>
        <w:rPr>
          <w:color w:val="808080"/>
        </w:rPr>
      </w:pPr>
      <w:r w:rsidRPr="00FA0D37">
        <w:t xml:space="preserve">maxNrofCSI-IM-ResourceSetsPerConfig     </w:t>
      </w:r>
      <w:r w:rsidRPr="00FA0D37">
        <w:rPr>
          <w:color w:val="993366"/>
        </w:rPr>
        <w:t>INTEGER</w:t>
      </w:r>
      <w:r w:rsidRPr="00FA0D37">
        <w:t xml:space="preserve"> ::= 16      </w:t>
      </w:r>
      <w:r w:rsidRPr="00FA0D37">
        <w:rPr>
          <w:color w:val="808080"/>
        </w:rPr>
        <w:t>-- Maximum number of CSI IM resource sets per resource configuration</w:t>
      </w:r>
    </w:p>
    <w:p w14:paraId="10F4857D" w14:textId="77777777" w:rsidR="00394471" w:rsidRPr="00FA0D37" w:rsidRDefault="00394471" w:rsidP="00FA0D37">
      <w:pPr>
        <w:pStyle w:val="PL"/>
        <w:rPr>
          <w:color w:val="808080"/>
        </w:rPr>
      </w:pPr>
      <w:r w:rsidRPr="00FA0D37">
        <w:t xml:space="preserve">maxNrofCSI-SSB-ResourcePerSet           </w:t>
      </w:r>
      <w:r w:rsidRPr="00FA0D37">
        <w:rPr>
          <w:color w:val="993366"/>
        </w:rPr>
        <w:t>INTEGER</w:t>
      </w:r>
      <w:r w:rsidRPr="00FA0D37">
        <w:t xml:space="preserve"> ::= 64      </w:t>
      </w:r>
      <w:r w:rsidRPr="00FA0D37">
        <w:rPr>
          <w:color w:val="808080"/>
        </w:rPr>
        <w:t>-- Maximum number of SSB resources in a resource set</w:t>
      </w:r>
    </w:p>
    <w:p w14:paraId="0FB1D073" w14:textId="77777777" w:rsidR="00394471" w:rsidRPr="00FA0D37" w:rsidRDefault="00394471" w:rsidP="00FA0D37">
      <w:pPr>
        <w:pStyle w:val="PL"/>
        <w:rPr>
          <w:color w:val="808080"/>
        </w:rPr>
      </w:pPr>
      <w:r w:rsidRPr="00FA0D37">
        <w:t xml:space="preserve">maxNrofCSI-SSB-ResourceSets             </w:t>
      </w:r>
      <w:r w:rsidRPr="00FA0D37">
        <w:rPr>
          <w:color w:val="993366"/>
        </w:rPr>
        <w:t>INTEGER</w:t>
      </w:r>
      <w:r w:rsidRPr="00FA0D37">
        <w:t xml:space="preserve"> ::= 64      </w:t>
      </w:r>
      <w:r w:rsidRPr="00FA0D37">
        <w:rPr>
          <w:color w:val="808080"/>
        </w:rPr>
        <w:t>-- Maximum number of CSI SSB resource sets per cell</w:t>
      </w:r>
    </w:p>
    <w:p w14:paraId="33967C8F" w14:textId="77777777" w:rsidR="00394471" w:rsidRPr="00FA0D37" w:rsidRDefault="00394471" w:rsidP="00FA0D37">
      <w:pPr>
        <w:pStyle w:val="PL"/>
        <w:rPr>
          <w:color w:val="808080"/>
        </w:rPr>
      </w:pPr>
      <w:r w:rsidRPr="00FA0D37">
        <w:t xml:space="preserve">maxNrofCSI-SSB-ResourceSets-1           </w:t>
      </w:r>
      <w:r w:rsidRPr="00FA0D37">
        <w:rPr>
          <w:color w:val="993366"/>
        </w:rPr>
        <w:t>INTEGER</w:t>
      </w:r>
      <w:r w:rsidRPr="00FA0D37">
        <w:t xml:space="preserve"> ::= 63      </w:t>
      </w:r>
      <w:r w:rsidRPr="00FA0D37">
        <w:rPr>
          <w:color w:val="808080"/>
        </w:rPr>
        <w:t>-- Maximum number of CSI SSB resource sets per cell minus 1</w:t>
      </w:r>
    </w:p>
    <w:p w14:paraId="2F3536F1" w14:textId="77777777" w:rsidR="00394471" w:rsidRPr="00FA0D37" w:rsidRDefault="00394471" w:rsidP="00FA0D37">
      <w:pPr>
        <w:pStyle w:val="PL"/>
        <w:rPr>
          <w:color w:val="808080"/>
        </w:rPr>
      </w:pPr>
      <w:r w:rsidRPr="00FA0D37">
        <w:t xml:space="preserve">maxNrofCSI-SSB-ResourceSetsPerConfig    </w:t>
      </w:r>
      <w:r w:rsidRPr="00FA0D37">
        <w:rPr>
          <w:color w:val="993366"/>
        </w:rPr>
        <w:t>INTEGER</w:t>
      </w:r>
      <w:r w:rsidRPr="00FA0D37">
        <w:t xml:space="preserve"> ::= 1       </w:t>
      </w:r>
      <w:r w:rsidRPr="00FA0D37">
        <w:rPr>
          <w:color w:val="808080"/>
        </w:rPr>
        <w:t>-- Maximum number of CSI SSB resource sets per resource configuration</w:t>
      </w:r>
    </w:p>
    <w:p w14:paraId="3E59DF54" w14:textId="77777777" w:rsidR="00064591" w:rsidRPr="00FA0D37" w:rsidRDefault="00064591" w:rsidP="00FA0D37">
      <w:pPr>
        <w:pStyle w:val="PL"/>
        <w:rPr>
          <w:color w:val="808080"/>
        </w:rPr>
      </w:pPr>
      <w:r w:rsidRPr="00FA0D37">
        <w:t xml:space="preserve">maxNrofCSI-SSB-ResourceSetsPerConfigExt </w:t>
      </w:r>
      <w:r w:rsidRPr="00FA0D37">
        <w:rPr>
          <w:color w:val="993366"/>
        </w:rPr>
        <w:t>INTEGER</w:t>
      </w:r>
      <w:r w:rsidRPr="00FA0D37">
        <w:t xml:space="preserve"> ::= 2       </w:t>
      </w:r>
      <w:r w:rsidRPr="00FA0D37">
        <w:rPr>
          <w:color w:val="808080"/>
        </w:rPr>
        <w:t>-- Maximum number of CSI SSB resource sets per resource configuration</w:t>
      </w:r>
    </w:p>
    <w:p w14:paraId="028B42CC" w14:textId="7F4B87CD" w:rsidR="00064591" w:rsidRPr="00FA0D37" w:rsidRDefault="00064591" w:rsidP="00FA0D37">
      <w:pPr>
        <w:pStyle w:val="PL"/>
        <w:rPr>
          <w:color w:val="808080"/>
        </w:rPr>
      </w:pPr>
      <w:r w:rsidRPr="00FA0D37">
        <w:t xml:space="preserve">                                                            </w:t>
      </w:r>
      <w:r w:rsidRPr="00FA0D37">
        <w:rPr>
          <w:color w:val="808080"/>
        </w:rPr>
        <w:t>-- extended</w:t>
      </w:r>
    </w:p>
    <w:p w14:paraId="27898FD9" w14:textId="77777777" w:rsidR="00394471" w:rsidRPr="00FA0D37" w:rsidRDefault="00394471" w:rsidP="00FA0D37">
      <w:pPr>
        <w:pStyle w:val="PL"/>
        <w:rPr>
          <w:color w:val="808080"/>
        </w:rPr>
      </w:pPr>
      <w:r w:rsidRPr="00FA0D37">
        <w:t xml:space="preserve">maxNrofFailureDetectionResources        </w:t>
      </w:r>
      <w:r w:rsidRPr="00FA0D37">
        <w:rPr>
          <w:color w:val="993366"/>
        </w:rPr>
        <w:t>INTEGER</w:t>
      </w:r>
      <w:r w:rsidRPr="00FA0D37">
        <w:t xml:space="preserve"> ::= 10      </w:t>
      </w:r>
      <w:r w:rsidRPr="00FA0D37">
        <w:rPr>
          <w:color w:val="808080"/>
        </w:rPr>
        <w:t>-- Maximum number of failure detection resources</w:t>
      </w:r>
    </w:p>
    <w:p w14:paraId="63603891" w14:textId="77777777" w:rsidR="00394471" w:rsidRPr="00FA0D37" w:rsidRDefault="00394471" w:rsidP="00FA0D37">
      <w:pPr>
        <w:pStyle w:val="PL"/>
        <w:rPr>
          <w:color w:val="808080"/>
        </w:rPr>
      </w:pPr>
      <w:r w:rsidRPr="00FA0D37">
        <w:t xml:space="preserve">maxNrofFailureDetectionResources-1      </w:t>
      </w:r>
      <w:r w:rsidRPr="00FA0D37">
        <w:rPr>
          <w:color w:val="993366"/>
        </w:rPr>
        <w:t>INTEGER</w:t>
      </w:r>
      <w:r w:rsidRPr="00FA0D37">
        <w:t xml:space="preserve"> ::= 9       </w:t>
      </w:r>
      <w:r w:rsidRPr="00FA0D37">
        <w:rPr>
          <w:color w:val="808080"/>
        </w:rPr>
        <w:t>-- Maximum number of failure detection resources minus 1</w:t>
      </w:r>
    </w:p>
    <w:p w14:paraId="1B12A6B5" w14:textId="5E0A6036" w:rsidR="007B122D" w:rsidRPr="00FA0D37" w:rsidRDefault="007B122D" w:rsidP="00FA0D37">
      <w:pPr>
        <w:pStyle w:val="PL"/>
        <w:rPr>
          <w:color w:val="808080"/>
        </w:rPr>
      </w:pPr>
      <w:r w:rsidRPr="00FA0D37">
        <w:t xml:space="preserve">maxNrofFailureDetectionResources-1-r17  </w:t>
      </w:r>
      <w:r w:rsidRPr="00FA0D37">
        <w:rPr>
          <w:color w:val="993366"/>
        </w:rPr>
        <w:t>INTEGER</w:t>
      </w:r>
      <w:r w:rsidRPr="00FA0D37">
        <w:t xml:space="preserve"> ::= 63      </w:t>
      </w:r>
      <w:r w:rsidRPr="00FA0D37">
        <w:rPr>
          <w:color w:val="808080"/>
        </w:rPr>
        <w:t>-- Maximum number of the enhanced failure detection resources minus 1</w:t>
      </w:r>
    </w:p>
    <w:p w14:paraId="7D67107A" w14:textId="7D8F1A03" w:rsidR="00394471" w:rsidRPr="00FA0D37" w:rsidRDefault="00394471" w:rsidP="00FA0D37">
      <w:pPr>
        <w:pStyle w:val="PL"/>
        <w:rPr>
          <w:color w:val="808080"/>
        </w:rPr>
      </w:pPr>
      <w:r w:rsidRPr="00FA0D37">
        <w:t xml:space="preserve">maxNrofFreqSL-r16                       </w:t>
      </w:r>
      <w:r w:rsidRPr="00FA0D37">
        <w:rPr>
          <w:color w:val="993366"/>
        </w:rPr>
        <w:t>INTEGER</w:t>
      </w:r>
      <w:r w:rsidRPr="00FA0D37">
        <w:t xml:space="preserve"> ::= 8       </w:t>
      </w:r>
      <w:r w:rsidRPr="00FA0D37">
        <w:rPr>
          <w:color w:val="808080"/>
        </w:rPr>
        <w:t>-- Maximum number of carrier frequ</w:t>
      </w:r>
      <w:r w:rsidR="002372B3" w:rsidRPr="00FA0D37">
        <w:rPr>
          <w:color w:val="808080"/>
        </w:rPr>
        <w:t>e</w:t>
      </w:r>
      <w:r w:rsidRPr="00FA0D37">
        <w:rPr>
          <w:color w:val="808080"/>
        </w:rPr>
        <w:t>ncy for NR sidelink communication</w:t>
      </w:r>
    </w:p>
    <w:p w14:paraId="75F0178C" w14:textId="75E5CF60" w:rsidR="00394471" w:rsidRPr="00FA0D37" w:rsidRDefault="00394471" w:rsidP="00FA0D37">
      <w:pPr>
        <w:pStyle w:val="PL"/>
        <w:rPr>
          <w:color w:val="808080"/>
        </w:rPr>
      </w:pPr>
      <w:r w:rsidRPr="00FA0D37">
        <w:t xml:space="preserve">maxNrofSL-BWPs-r16                      </w:t>
      </w:r>
      <w:r w:rsidRPr="00FA0D37">
        <w:rPr>
          <w:color w:val="993366"/>
        </w:rPr>
        <w:t>INTEGER</w:t>
      </w:r>
      <w:r w:rsidRPr="00FA0D37">
        <w:t xml:space="preserve"> ::= 4       </w:t>
      </w:r>
      <w:r w:rsidRPr="00FA0D37">
        <w:rPr>
          <w:color w:val="808080"/>
        </w:rPr>
        <w:t>-- Maximum number of BWP for NR sidelink communication</w:t>
      </w:r>
    </w:p>
    <w:p w14:paraId="16C4402F" w14:textId="56391FE4" w:rsidR="00394471" w:rsidRPr="00FA0D37" w:rsidRDefault="00394471" w:rsidP="00FA0D37">
      <w:pPr>
        <w:pStyle w:val="PL"/>
        <w:rPr>
          <w:color w:val="808080"/>
        </w:rPr>
      </w:pPr>
      <w:r w:rsidRPr="00FA0D37">
        <w:t xml:space="preserve">maxFreqSL-EUTRA-r16                     </w:t>
      </w:r>
      <w:r w:rsidRPr="00FA0D37">
        <w:rPr>
          <w:color w:val="993366"/>
        </w:rPr>
        <w:t>INTEGER</w:t>
      </w:r>
      <w:r w:rsidRPr="00FA0D37">
        <w:t xml:space="preserve"> ::= 8       </w:t>
      </w:r>
      <w:r w:rsidRPr="00FA0D37">
        <w:rPr>
          <w:color w:val="808080"/>
        </w:rPr>
        <w:t>-- Maximum number of EUTRA anchor carrier frequ</w:t>
      </w:r>
      <w:r w:rsidR="00926AC0" w:rsidRPr="00FA0D37">
        <w:rPr>
          <w:color w:val="808080"/>
        </w:rPr>
        <w:t>e</w:t>
      </w:r>
      <w:r w:rsidRPr="00FA0D37">
        <w:rPr>
          <w:color w:val="808080"/>
        </w:rPr>
        <w:t>ncy for NR sidelink communication</w:t>
      </w:r>
    </w:p>
    <w:p w14:paraId="01DF1B54" w14:textId="77777777" w:rsidR="00394471" w:rsidRPr="00FA0D37" w:rsidRDefault="00394471" w:rsidP="00FA0D37">
      <w:pPr>
        <w:pStyle w:val="PL"/>
        <w:rPr>
          <w:color w:val="808080"/>
        </w:rPr>
      </w:pPr>
      <w:r w:rsidRPr="00FA0D37">
        <w:lastRenderedPageBreak/>
        <w:t xml:space="preserve">maxNrofSL-MeasId-r16                    </w:t>
      </w:r>
      <w:r w:rsidRPr="00FA0D37">
        <w:rPr>
          <w:color w:val="993366"/>
        </w:rPr>
        <w:t>INTEGER</w:t>
      </w:r>
      <w:r w:rsidRPr="00FA0D37">
        <w:t xml:space="preserve"> ::= 64      </w:t>
      </w:r>
      <w:r w:rsidRPr="00FA0D37">
        <w:rPr>
          <w:color w:val="808080"/>
        </w:rPr>
        <w:t>-- Maximum number of sidelink measurement identity (RSRP) per destination</w:t>
      </w:r>
    </w:p>
    <w:p w14:paraId="6728073B" w14:textId="77777777" w:rsidR="00394471" w:rsidRPr="00FA0D37" w:rsidRDefault="00394471" w:rsidP="00FA0D37">
      <w:pPr>
        <w:pStyle w:val="PL"/>
        <w:rPr>
          <w:color w:val="808080"/>
        </w:rPr>
      </w:pPr>
      <w:r w:rsidRPr="00FA0D37">
        <w:t xml:space="preserve">maxNrofSL-ObjectId-r16                  </w:t>
      </w:r>
      <w:r w:rsidRPr="00FA0D37">
        <w:rPr>
          <w:color w:val="993366"/>
        </w:rPr>
        <w:t>INTEGER</w:t>
      </w:r>
      <w:r w:rsidRPr="00FA0D37">
        <w:t xml:space="preserve"> ::= 64      </w:t>
      </w:r>
      <w:r w:rsidRPr="00FA0D37">
        <w:rPr>
          <w:color w:val="808080"/>
        </w:rPr>
        <w:t>-- Maximum number of sidelink measurement objects (RSRP) per destination</w:t>
      </w:r>
    </w:p>
    <w:p w14:paraId="05AA589A" w14:textId="77777777" w:rsidR="00394471" w:rsidRPr="00FA0D37" w:rsidRDefault="00394471" w:rsidP="00FA0D37">
      <w:pPr>
        <w:pStyle w:val="PL"/>
        <w:rPr>
          <w:color w:val="808080"/>
        </w:rPr>
      </w:pPr>
      <w:r w:rsidRPr="00FA0D37">
        <w:t xml:space="preserve">maxNrofSL-ReportConfigId-r16            </w:t>
      </w:r>
      <w:r w:rsidRPr="00FA0D37">
        <w:rPr>
          <w:color w:val="993366"/>
        </w:rPr>
        <w:t>INTEGER</w:t>
      </w:r>
      <w:r w:rsidRPr="00FA0D37">
        <w:t xml:space="preserve"> ::= 64      </w:t>
      </w:r>
      <w:r w:rsidRPr="00FA0D37">
        <w:rPr>
          <w:color w:val="808080"/>
        </w:rPr>
        <w:t>-- Maximum number of sidelink measurement reporting configuration(RSRP) per destination</w:t>
      </w:r>
    </w:p>
    <w:p w14:paraId="7315C137" w14:textId="27BC33CC" w:rsidR="00394471" w:rsidRPr="00FA0D37" w:rsidRDefault="00394471" w:rsidP="00FA0D37">
      <w:pPr>
        <w:pStyle w:val="PL"/>
        <w:rPr>
          <w:color w:val="808080"/>
        </w:rPr>
      </w:pPr>
      <w:r w:rsidRPr="00FA0D37">
        <w:t xml:space="preserve">maxNrofSL-PoolToMeasureNR-r16           </w:t>
      </w:r>
      <w:r w:rsidRPr="00FA0D37">
        <w:rPr>
          <w:color w:val="993366"/>
        </w:rPr>
        <w:t>INTEGER</w:t>
      </w:r>
      <w:r w:rsidRPr="00FA0D37">
        <w:t xml:space="preserve"> ::= 8       </w:t>
      </w:r>
      <w:r w:rsidRPr="00FA0D37">
        <w:rPr>
          <w:color w:val="808080"/>
        </w:rPr>
        <w:t>-- Maximum number of resour</w:t>
      </w:r>
      <w:r w:rsidR="00926AC0" w:rsidRPr="00FA0D37">
        <w:rPr>
          <w:color w:val="808080"/>
        </w:rPr>
        <w:t>c</w:t>
      </w:r>
      <w:r w:rsidRPr="00FA0D37">
        <w:rPr>
          <w:color w:val="808080"/>
        </w:rPr>
        <w:t>e pool for NR sidelink measurement to measure for</w:t>
      </w:r>
    </w:p>
    <w:p w14:paraId="24A260CE" w14:textId="77777777" w:rsidR="00394471" w:rsidRPr="00FA0D37" w:rsidRDefault="00394471" w:rsidP="00FA0D37">
      <w:pPr>
        <w:pStyle w:val="PL"/>
        <w:rPr>
          <w:color w:val="808080"/>
        </w:rPr>
      </w:pPr>
      <w:r w:rsidRPr="00FA0D37">
        <w:t xml:space="preserve">                                                            </w:t>
      </w:r>
      <w:r w:rsidRPr="00FA0D37">
        <w:rPr>
          <w:color w:val="808080"/>
        </w:rPr>
        <w:t>-- each measurement object (for CBR)</w:t>
      </w:r>
    </w:p>
    <w:p w14:paraId="04688233" w14:textId="216DCD72" w:rsidR="00394471" w:rsidRPr="00FA0D37" w:rsidRDefault="00394471" w:rsidP="00FA0D37">
      <w:pPr>
        <w:pStyle w:val="PL"/>
        <w:rPr>
          <w:color w:val="808080"/>
        </w:rPr>
      </w:pPr>
      <w:r w:rsidRPr="00FA0D37">
        <w:t xml:space="preserve">maxFreqSL-NR-r16                        </w:t>
      </w:r>
      <w:r w:rsidRPr="00FA0D37">
        <w:rPr>
          <w:color w:val="993366"/>
        </w:rPr>
        <w:t>INTEGER</w:t>
      </w:r>
      <w:r w:rsidRPr="00FA0D37">
        <w:t xml:space="preserve"> ::= 8       </w:t>
      </w:r>
      <w:r w:rsidRPr="00FA0D37">
        <w:rPr>
          <w:color w:val="808080"/>
        </w:rPr>
        <w:t>-- Maximum number of NR anchor carrier frequ</w:t>
      </w:r>
      <w:r w:rsidR="00926AC0" w:rsidRPr="00FA0D37">
        <w:rPr>
          <w:color w:val="808080"/>
        </w:rPr>
        <w:t>e</w:t>
      </w:r>
      <w:r w:rsidRPr="00FA0D37">
        <w:rPr>
          <w:color w:val="808080"/>
        </w:rPr>
        <w:t>ncy for NR sidelink communication</w:t>
      </w:r>
    </w:p>
    <w:p w14:paraId="38579D51" w14:textId="77777777" w:rsidR="00394471" w:rsidRPr="00FA0D37" w:rsidRDefault="00394471" w:rsidP="00FA0D37">
      <w:pPr>
        <w:pStyle w:val="PL"/>
        <w:rPr>
          <w:color w:val="808080"/>
        </w:rPr>
      </w:pPr>
      <w:r w:rsidRPr="00FA0D37">
        <w:t xml:space="preserve">maxNrofSL-QFIs-r16                      </w:t>
      </w:r>
      <w:r w:rsidRPr="00FA0D37">
        <w:rPr>
          <w:color w:val="993366"/>
        </w:rPr>
        <w:t>INTEGER</w:t>
      </w:r>
      <w:r w:rsidRPr="00FA0D37">
        <w:t xml:space="preserve"> ::= 2048    </w:t>
      </w:r>
      <w:r w:rsidRPr="00FA0D37">
        <w:rPr>
          <w:color w:val="808080"/>
        </w:rPr>
        <w:t>-- Maximum number of QoS flow for NR sidelink communication per UE</w:t>
      </w:r>
    </w:p>
    <w:p w14:paraId="143B0E83" w14:textId="77777777" w:rsidR="00394471" w:rsidRPr="00FA0D37" w:rsidRDefault="00394471" w:rsidP="00FA0D37">
      <w:pPr>
        <w:pStyle w:val="PL"/>
        <w:rPr>
          <w:color w:val="808080"/>
        </w:rPr>
      </w:pPr>
      <w:r w:rsidRPr="00FA0D37">
        <w:t xml:space="preserve">maxNrofSL-QFIsPerDest-r16               </w:t>
      </w:r>
      <w:r w:rsidRPr="00FA0D37">
        <w:rPr>
          <w:color w:val="993366"/>
        </w:rPr>
        <w:t>INTEGER</w:t>
      </w:r>
      <w:r w:rsidRPr="00FA0D37">
        <w:t xml:space="preserve"> ::= 64      </w:t>
      </w:r>
      <w:r w:rsidRPr="00FA0D37">
        <w:rPr>
          <w:color w:val="808080"/>
        </w:rPr>
        <w:t>-- Maximum number of QoS flow per destination for NR sidelink communication</w:t>
      </w:r>
    </w:p>
    <w:p w14:paraId="38A86226" w14:textId="77777777" w:rsidR="00394471" w:rsidRPr="00FA0D37" w:rsidRDefault="00394471" w:rsidP="00FA0D37">
      <w:pPr>
        <w:pStyle w:val="PL"/>
        <w:rPr>
          <w:color w:val="808080"/>
        </w:rPr>
      </w:pPr>
      <w:r w:rsidRPr="00FA0D37">
        <w:t xml:space="preserve">maxNrofObjectId                         </w:t>
      </w:r>
      <w:r w:rsidRPr="00FA0D37">
        <w:rPr>
          <w:color w:val="993366"/>
        </w:rPr>
        <w:t>INTEGER</w:t>
      </w:r>
      <w:r w:rsidRPr="00FA0D37">
        <w:t xml:space="preserve"> ::= 64      </w:t>
      </w:r>
      <w:r w:rsidRPr="00FA0D37">
        <w:rPr>
          <w:color w:val="808080"/>
        </w:rPr>
        <w:t>-- Maximum number of measurement objects</w:t>
      </w:r>
    </w:p>
    <w:p w14:paraId="2ECA2C3D" w14:textId="77777777" w:rsidR="00394471" w:rsidRPr="00FA0D37" w:rsidRDefault="00394471" w:rsidP="00FA0D37">
      <w:pPr>
        <w:pStyle w:val="PL"/>
        <w:rPr>
          <w:color w:val="808080"/>
        </w:rPr>
      </w:pPr>
      <w:r w:rsidRPr="00FA0D37">
        <w:t xml:space="preserve">maxNrofPageRec                          </w:t>
      </w:r>
      <w:r w:rsidRPr="00FA0D37">
        <w:rPr>
          <w:color w:val="993366"/>
        </w:rPr>
        <w:t>INTEGER</w:t>
      </w:r>
      <w:r w:rsidRPr="00FA0D37">
        <w:t xml:space="preserve"> ::= 32      </w:t>
      </w:r>
      <w:r w:rsidRPr="00FA0D37">
        <w:rPr>
          <w:color w:val="808080"/>
        </w:rPr>
        <w:t>-- Maximum number of page records</w:t>
      </w:r>
    </w:p>
    <w:p w14:paraId="1D0FF13C" w14:textId="77777777" w:rsidR="00394471" w:rsidRPr="00FA0D37" w:rsidRDefault="00394471" w:rsidP="00FA0D37">
      <w:pPr>
        <w:pStyle w:val="PL"/>
        <w:rPr>
          <w:color w:val="808080"/>
        </w:rPr>
      </w:pPr>
      <w:r w:rsidRPr="00FA0D37">
        <w:t xml:space="preserve">maxNrofPCI-Ranges                       </w:t>
      </w:r>
      <w:r w:rsidRPr="00FA0D37">
        <w:rPr>
          <w:color w:val="993366"/>
        </w:rPr>
        <w:t>INTEGER</w:t>
      </w:r>
      <w:r w:rsidRPr="00FA0D37">
        <w:t xml:space="preserve"> ::= 8       </w:t>
      </w:r>
      <w:r w:rsidRPr="00FA0D37">
        <w:rPr>
          <w:color w:val="808080"/>
        </w:rPr>
        <w:t>-- Maximum number of PCI ranges</w:t>
      </w:r>
    </w:p>
    <w:p w14:paraId="07A652CF" w14:textId="0C518CCA" w:rsidR="00394471" w:rsidRPr="00FA0D37" w:rsidRDefault="00394471" w:rsidP="00FA0D37">
      <w:pPr>
        <w:pStyle w:val="PL"/>
        <w:rPr>
          <w:color w:val="808080"/>
        </w:rPr>
      </w:pPr>
      <w:r w:rsidRPr="00FA0D37">
        <w:t xml:space="preserve">maxPLMN                                 </w:t>
      </w:r>
      <w:r w:rsidRPr="00FA0D37">
        <w:rPr>
          <w:color w:val="993366"/>
        </w:rPr>
        <w:t>INTEGER</w:t>
      </w:r>
      <w:r w:rsidRPr="00FA0D37">
        <w:t xml:space="preserve"> ::= 12      </w:t>
      </w:r>
      <w:r w:rsidRPr="00FA0D37">
        <w:rPr>
          <w:color w:val="808080"/>
        </w:rPr>
        <w:t>-- Maximum number of PLMNs broadcast and reported by UE at establishment</w:t>
      </w:r>
    </w:p>
    <w:p w14:paraId="5B6D50DC" w14:textId="78D87314" w:rsidR="005B7637" w:rsidRPr="00FA0D37" w:rsidRDefault="005B7637" w:rsidP="00FA0D37">
      <w:pPr>
        <w:pStyle w:val="PL"/>
        <w:rPr>
          <w:color w:val="808080"/>
        </w:rPr>
      </w:pPr>
      <w:r w:rsidRPr="00FA0D37">
        <w:t xml:space="preserve">maxTAC-r17                              </w:t>
      </w:r>
      <w:r w:rsidRPr="00FA0D37">
        <w:rPr>
          <w:color w:val="993366"/>
        </w:rPr>
        <w:t>INTEGER</w:t>
      </w:r>
      <w:r w:rsidRPr="00FA0D37">
        <w:t xml:space="preserve"> ::= 12      </w:t>
      </w:r>
      <w:r w:rsidRPr="00FA0D37">
        <w:rPr>
          <w:color w:val="808080"/>
        </w:rPr>
        <w:t>-- Maximum number of Tracking Area Codes to which a cell belongs to</w:t>
      </w:r>
    </w:p>
    <w:p w14:paraId="12C371AB" w14:textId="376B9187" w:rsidR="00394471" w:rsidRPr="00FA0D37" w:rsidRDefault="00394471" w:rsidP="00FA0D37">
      <w:pPr>
        <w:pStyle w:val="PL"/>
        <w:rPr>
          <w:color w:val="808080"/>
        </w:rPr>
      </w:pPr>
      <w:r w:rsidRPr="00FA0D37">
        <w:t xml:space="preserve">maxNrofCSI-RS-ResourcesRRM              </w:t>
      </w:r>
      <w:r w:rsidRPr="00FA0D37">
        <w:rPr>
          <w:color w:val="993366"/>
        </w:rPr>
        <w:t>INTEGER</w:t>
      </w:r>
      <w:r w:rsidRPr="00FA0D37">
        <w:t xml:space="preserve"> ::= 96      </w:t>
      </w:r>
      <w:r w:rsidRPr="00FA0D37">
        <w:rPr>
          <w:color w:val="808080"/>
        </w:rPr>
        <w:t xml:space="preserve">-- Maximum number of CSI-RS resources </w:t>
      </w:r>
      <w:r w:rsidR="002E5C20" w:rsidRPr="00FA0D37">
        <w:rPr>
          <w:color w:val="808080"/>
        </w:rPr>
        <w:t xml:space="preserve">per cell </w:t>
      </w:r>
      <w:r w:rsidRPr="00FA0D37">
        <w:rPr>
          <w:color w:val="808080"/>
        </w:rPr>
        <w:t>for an RRM measurement object</w:t>
      </w:r>
    </w:p>
    <w:p w14:paraId="263EBCE9" w14:textId="77777777" w:rsidR="00D47B04" w:rsidRPr="00FA0D37" w:rsidRDefault="00394471" w:rsidP="00FA0D37">
      <w:pPr>
        <w:pStyle w:val="PL"/>
        <w:rPr>
          <w:color w:val="808080"/>
        </w:rPr>
      </w:pPr>
      <w:r w:rsidRPr="00FA0D37">
        <w:t xml:space="preserve">maxNrofCSI-RS-ResourcesRRM-1            </w:t>
      </w:r>
      <w:r w:rsidRPr="00FA0D37">
        <w:rPr>
          <w:color w:val="993366"/>
        </w:rPr>
        <w:t>INTEGER</w:t>
      </w:r>
      <w:r w:rsidRPr="00FA0D37">
        <w:t xml:space="preserve"> ::= 95      </w:t>
      </w:r>
      <w:r w:rsidRPr="00FA0D37">
        <w:rPr>
          <w:color w:val="808080"/>
        </w:rPr>
        <w:t xml:space="preserve">-- Maximum number of CSI-RS resources </w:t>
      </w:r>
      <w:r w:rsidR="002E5C20" w:rsidRPr="00FA0D37">
        <w:rPr>
          <w:color w:val="808080"/>
        </w:rPr>
        <w:t xml:space="preserve">per cell </w:t>
      </w:r>
      <w:r w:rsidRPr="00FA0D37">
        <w:rPr>
          <w:color w:val="808080"/>
        </w:rPr>
        <w:t>for an RRM measurement object</w:t>
      </w:r>
    </w:p>
    <w:p w14:paraId="6EEC75E0" w14:textId="5D8C2398" w:rsidR="00394471" w:rsidRPr="00FA0D37" w:rsidRDefault="00D47B04" w:rsidP="00FA0D37">
      <w:pPr>
        <w:pStyle w:val="PL"/>
        <w:rPr>
          <w:color w:val="808080"/>
        </w:rPr>
      </w:pPr>
      <w:r w:rsidRPr="00FA0D37">
        <w:t xml:space="preserve">                                                            </w:t>
      </w:r>
      <w:r w:rsidRPr="00FA0D37">
        <w:rPr>
          <w:color w:val="808080"/>
        </w:rPr>
        <w:t>--</w:t>
      </w:r>
      <w:r w:rsidR="00394471" w:rsidRPr="00FA0D37">
        <w:rPr>
          <w:color w:val="808080"/>
        </w:rPr>
        <w:t xml:space="preserve"> minus 1</w:t>
      </w:r>
      <w:r w:rsidRPr="00FA0D37">
        <w:rPr>
          <w:color w:val="808080"/>
        </w:rPr>
        <w:t>.</w:t>
      </w:r>
    </w:p>
    <w:p w14:paraId="0072FA88" w14:textId="77777777" w:rsidR="00394471" w:rsidRPr="00FA0D37" w:rsidRDefault="00394471" w:rsidP="00FA0D37">
      <w:pPr>
        <w:pStyle w:val="PL"/>
        <w:rPr>
          <w:color w:val="808080"/>
        </w:rPr>
      </w:pPr>
      <w:r w:rsidRPr="00FA0D37">
        <w:t xml:space="preserve">maxNrofMeasId                           </w:t>
      </w:r>
      <w:r w:rsidRPr="00FA0D37">
        <w:rPr>
          <w:color w:val="993366"/>
        </w:rPr>
        <w:t>INTEGER</w:t>
      </w:r>
      <w:r w:rsidRPr="00FA0D37">
        <w:t xml:space="preserve"> ::= 64      </w:t>
      </w:r>
      <w:r w:rsidRPr="00FA0D37">
        <w:rPr>
          <w:color w:val="808080"/>
        </w:rPr>
        <w:t>-- Maximum number of configured measurements</w:t>
      </w:r>
    </w:p>
    <w:p w14:paraId="5601D31A" w14:textId="77777777" w:rsidR="00394471" w:rsidRPr="00FA0D37" w:rsidRDefault="00394471" w:rsidP="00FA0D37">
      <w:pPr>
        <w:pStyle w:val="PL"/>
        <w:rPr>
          <w:color w:val="808080"/>
        </w:rPr>
      </w:pPr>
      <w:r w:rsidRPr="00FA0D37">
        <w:t xml:space="preserve">maxNrofQuantityConfig                   </w:t>
      </w:r>
      <w:r w:rsidRPr="00FA0D37">
        <w:rPr>
          <w:color w:val="993366"/>
        </w:rPr>
        <w:t>INTEGER</w:t>
      </w:r>
      <w:r w:rsidRPr="00FA0D37">
        <w:t xml:space="preserve"> ::= 2       </w:t>
      </w:r>
      <w:r w:rsidRPr="00FA0D37">
        <w:rPr>
          <w:color w:val="808080"/>
        </w:rPr>
        <w:t>-- Maximum number of quantity configurations</w:t>
      </w:r>
    </w:p>
    <w:p w14:paraId="1F0C5FEB" w14:textId="77777777" w:rsidR="00394471" w:rsidRPr="00FA0D37" w:rsidRDefault="00394471" w:rsidP="00FA0D37">
      <w:pPr>
        <w:pStyle w:val="PL"/>
        <w:rPr>
          <w:color w:val="808080"/>
        </w:rPr>
      </w:pPr>
      <w:r w:rsidRPr="00FA0D37">
        <w:t xml:space="preserve">maxNrofCSI-RS-CellsRRM                  </w:t>
      </w:r>
      <w:r w:rsidRPr="00FA0D37">
        <w:rPr>
          <w:color w:val="993366"/>
        </w:rPr>
        <w:t>INTEGER</w:t>
      </w:r>
      <w:r w:rsidRPr="00FA0D37">
        <w:t xml:space="preserve"> ::= 96      </w:t>
      </w:r>
      <w:r w:rsidRPr="00FA0D37">
        <w:rPr>
          <w:color w:val="808080"/>
        </w:rPr>
        <w:t>-- Maximum number of cells with CSI-RS resources for an RRM measurement object</w:t>
      </w:r>
    </w:p>
    <w:p w14:paraId="38C886A6" w14:textId="5BCF0AF5" w:rsidR="00394471" w:rsidRPr="00FA0D37" w:rsidRDefault="00394471" w:rsidP="00FA0D37">
      <w:pPr>
        <w:pStyle w:val="PL"/>
        <w:rPr>
          <w:color w:val="808080"/>
        </w:rPr>
      </w:pPr>
      <w:r w:rsidRPr="00FA0D37">
        <w:t xml:space="preserve">maxNrofSL-Dest-r16                      </w:t>
      </w:r>
      <w:r w:rsidRPr="00FA0D37">
        <w:rPr>
          <w:color w:val="993366"/>
        </w:rPr>
        <w:t>INTEGER</w:t>
      </w:r>
      <w:r w:rsidRPr="00FA0D37">
        <w:t xml:space="preserve"> ::= 32      </w:t>
      </w:r>
      <w:r w:rsidRPr="00FA0D37">
        <w:rPr>
          <w:color w:val="808080"/>
        </w:rPr>
        <w:t>-- Maximum number of destination for NR sidelink communication</w:t>
      </w:r>
      <w:r w:rsidR="00FA35A8" w:rsidRPr="00FA0D37">
        <w:rPr>
          <w:color w:val="808080"/>
        </w:rPr>
        <w:t xml:space="preserve"> and discovery</w:t>
      </w:r>
    </w:p>
    <w:p w14:paraId="7FE264B2" w14:textId="211AAE9C" w:rsidR="00394471" w:rsidRPr="00FA0D37" w:rsidRDefault="00394471" w:rsidP="00FA0D37">
      <w:pPr>
        <w:pStyle w:val="PL"/>
        <w:rPr>
          <w:color w:val="808080"/>
        </w:rPr>
      </w:pPr>
      <w:r w:rsidRPr="00FA0D37">
        <w:t xml:space="preserve">maxNrofSL-Dest-1-r16                    </w:t>
      </w:r>
      <w:r w:rsidRPr="00FA0D37">
        <w:rPr>
          <w:color w:val="993366"/>
        </w:rPr>
        <w:t>INTEGER</w:t>
      </w:r>
      <w:r w:rsidRPr="00FA0D37">
        <w:t xml:space="preserve"> ::= 31      </w:t>
      </w:r>
      <w:r w:rsidRPr="00FA0D37">
        <w:rPr>
          <w:color w:val="808080"/>
        </w:rPr>
        <w:t>-- Highest index of destination for NR sidelink communication</w:t>
      </w:r>
      <w:r w:rsidR="00FA35A8" w:rsidRPr="00FA0D37">
        <w:rPr>
          <w:color w:val="808080"/>
        </w:rPr>
        <w:t xml:space="preserve"> and discovery</w:t>
      </w:r>
    </w:p>
    <w:p w14:paraId="2B3DEB10" w14:textId="77777777" w:rsidR="00394471" w:rsidRPr="00FA0D37" w:rsidRDefault="00394471" w:rsidP="00FA0D37">
      <w:pPr>
        <w:pStyle w:val="PL"/>
        <w:rPr>
          <w:color w:val="808080"/>
        </w:rPr>
      </w:pPr>
      <w:r w:rsidRPr="00FA0D37">
        <w:t xml:space="preserve">maxNrofSLRB-r16                         </w:t>
      </w:r>
      <w:r w:rsidRPr="00FA0D37">
        <w:rPr>
          <w:color w:val="993366"/>
        </w:rPr>
        <w:t>INTEGER</w:t>
      </w:r>
      <w:r w:rsidRPr="00FA0D37">
        <w:t xml:space="preserve"> ::= 512     </w:t>
      </w:r>
      <w:r w:rsidRPr="00FA0D37">
        <w:rPr>
          <w:color w:val="808080"/>
        </w:rPr>
        <w:t>-- Maximum number of radio bearer for NR sidelink communication per UE</w:t>
      </w:r>
    </w:p>
    <w:p w14:paraId="016F9BF5" w14:textId="77777777" w:rsidR="00394471" w:rsidRPr="00FA0D37" w:rsidRDefault="00394471" w:rsidP="00FA0D37">
      <w:pPr>
        <w:pStyle w:val="PL"/>
        <w:rPr>
          <w:color w:val="808080"/>
        </w:rPr>
      </w:pPr>
      <w:r w:rsidRPr="00FA0D37">
        <w:t xml:space="preserve">maxSL-LCID-r16                          </w:t>
      </w:r>
      <w:r w:rsidRPr="00FA0D37">
        <w:rPr>
          <w:color w:val="993366"/>
        </w:rPr>
        <w:t>INTEGER</w:t>
      </w:r>
      <w:r w:rsidRPr="00FA0D37">
        <w:t xml:space="preserve"> ::= 512     </w:t>
      </w:r>
      <w:r w:rsidRPr="00FA0D37">
        <w:rPr>
          <w:color w:val="808080"/>
        </w:rPr>
        <w:t>-- Maximum number of RLC bearer for NR sidelink communication per UE</w:t>
      </w:r>
    </w:p>
    <w:p w14:paraId="31BEC2FF" w14:textId="77777777" w:rsidR="00394471" w:rsidRPr="00FA0D37" w:rsidRDefault="00394471" w:rsidP="00FA0D37">
      <w:pPr>
        <w:pStyle w:val="PL"/>
        <w:rPr>
          <w:color w:val="808080"/>
        </w:rPr>
      </w:pPr>
      <w:r w:rsidRPr="00FA0D37">
        <w:t xml:space="preserve">maxSL-SyncConfig-r16                    </w:t>
      </w:r>
      <w:r w:rsidRPr="00FA0D37">
        <w:rPr>
          <w:color w:val="993366"/>
        </w:rPr>
        <w:t>INTEGER</w:t>
      </w:r>
      <w:r w:rsidRPr="00FA0D37">
        <w:t xml:space="preserve"> ::= 16      </w:t>
      </w:r>
      <w:r w:rsidRPr="00FA0D37">
        <w:rPr>
          <w:color w:val="808080"/>
        </w:rPr>
        <w:t>-- Maximum number of sidelink Sync configurations</w:t>
      </w:r>
    </w:p>
    <w:p w14:paraId="66AAC2E2" w14:textId="77777777" w:rsidR="00FA35A8" w:rsidRPr="00FA0D37" w:rsidRDefault="00394471" w:rsidP="00FA0D37">
      <w:pPr>
        <w:pStyle w:val="PL"/>
        <w:rPr>
          <w:color w:val="808080"/>
        </w:rPr>
      </w:pPr>
      <w:r w:rsidRPr="00FA0D37">
        <w:t xml:space="preserve">maxNrofRXPool-r16                       </w:t>
      </w:r>
      <w:r w:rsidRPr="00FA0D37">
        <w:rPr>
          <w:color w:val="993366"/>
        </w:rPr>
        <w:t>INTEGER</w:t>
      </w:r>
      <w:r w:rsidRPr="00FA0D37">
        <w:t xml:space="preserve"> ::= 16      </w:t>
      </w:r>
      <w:r w:rsidRPr="00FA0D37">
        <w:rPr>
          <w:color w:val="808080"/>
        </w:rPr>
        <w:t>-- Maximum number of Rx resource pool</w:t>
      </w:r>
      <w:r w:rsidR="00926AC0" w:rsidRPr="00FA0D37">
        <w:rPr>
          <w:color w:val="808080"/>
        </w:rPr>
        <w:t xml:space="preserve"> </w:t>
      </w:r>
      <w:r w:rsidRPr="00FA0D37">
        <w:rPr>
          <w:color w:val="808080"/>
        </w:rPr>
        <w:t>for NR sidelink communication</w:t>
      </w:r>
      <w:r w:rsidR="00FA35A8" w:rsidRPr="00FA0D37">
        <w:rPr>
          <w:color w:val="808080"/>
        </w:rPr>
        <w:t xml:space="preserve"> and</w:t>
      </w:r>
    </w:p>
    <w:p w14:paraId="7E4B84EE" w14:textId="79C0DB8E" w:rsidR="00394471" w:rsidRPr="00FA0D37" w:rsidRDefault="00FA35A8" w:rsidP="00FA0D37">
      <w:pPr>
        <w:pStyle w:val="PL"/>
        <w:rPr>
          <w:color w:val="808080"/>
        </w:rPr>
      </w:pPr>
      <w:r w:rsidRPr="00FA0D37">
        <w:t xml:space="preserve">                                                            </w:t>
      </w:r>
      <w:r w:rsidRPr="00FA0D37">
        <w:rPr>
          <w:color w:val="808080"/>
        </w:rPr>
        <w:t>-- discovery</w:t>
      </w:r>
    </w:p>
    <w:p w14:paraId="0901C34C" w14:textId="77777777" w:rsidR="00FA35A8" w:rsidRPr="00FA0D37" w:rsidRDefault="00394471" w:rsidP="00FA0D37">
      <w:pPr>
        <w:pStyle w:val="PL"/>
        <w:rPr>
          <w:color w:val="808080"/>
        </w:rPr>
      </w:pPr>
      <w:r w:rsidRPr="00FA0D37">
        <w:t xml:space="preserve">maxNrofTXPool-r16                       </w:t>
      </w:r>
      <w:r w:rsidRPr="00FA0D37">
        <w:rPr>
          <w:color w:val="993366"/>
        </w:rPr>
        <w:t>INTEGER</w:t>
      </w:r>
      <w:r w:rsidRPr="00FA0D37">
        <w:t xml:space="preserve"> ::= 8       </w:t>
      </w:r>
      <w:r w:rsidRPr="00FA0D37">
        <w:rPr>
          <w:color w:val="808080"/>
        </w:rPr>
        <w:t>-- Maximum number of Tx resource</w:t>
      </w:r>
      <w:r w:rsidR="00926AC0" w:rsidRPr="00FA0D37">
        <w:rPr>
          <w:color w:val="808080"/>
        </w:rPr>
        <w:t xml:space="preserve"> </w:t>
      </w:r>
      <w:r w:rsidRPr="00FA0D37">
        <w:rPr>
          <w:color w:val="808080"/>
        </w:rPr>
        <w:t>pool</w:t>
      </w:r>
      <w:r w:rsidR="00926AC0" w:rsidRPr="00FA0D37">
        <w:rPr>
          <w:color w:val="808080"/>
        </w:rPr>
        <w:t xml:space="preserve"> </w:t>
      </w:r>
      <w:r w:rsidRPr="00FA0D37">
        <w:rPr>
          <w:color w:val="808080"/>
        </w:rPr>
        <w:t>for NR sidelink communication</w:t>
      </w:r>
      <w:r w:rsidR="00FA35A8" w:rsidRPr="00FA0D37">
        <w:rPr>
          <w:color w:val="808080"/>
        </w:rPr>
        <w:t xml:space="preserve"> and</w:t>
      </w:r>
    </w:p>
    <w:p w14:paraId="32379111" w14:textId="15119714" w:rsidR="00394471" w:rsidRPr="00FA0D37" w:rsidRDefault="00FA35A8" w:rsidP="00FA0D37">
      <w:pPr>
        <w:pStyle w:val="PL"/>
        <w:rPr>
          <w:color w:val="808080"/>
        </w:rPr>
      </w:pPr>
      <w:r w:rsidRPr="00FA0D37">
        <w:t xml:space="preserve">                                                            </w:t>
      </w:r>
      <w:r w:rsidRPr="00FA0D37">
        <w:rPr>
          <w:color w:val="808080"/>
        </w:rPr>
        <w:t>-- discovery</w:t>
      </w:r>
    </w:p>
    <w:p w14:paraId="74AA20DE" w14:textId="77777777" w:rsidR="00FA35A8" w:rsidRPr="00FA0D37" w:rsidRDefault="00394471" w:rsidP="00FA0D37">
      <w:pPr>
        <w:pStyle w:val="PL"/>
        <w:rPr>
          <w:color w:val="808080"/>
        </w:rPr>
      </w:pPr>
      <w:r w:rsidRPr="00FA0D37">
        <w:t xml:space="preserve">maxNrofPoolID-r16                       </w:t>
      </w:r>
      <w:r w:rsidRPr="00FA0D37">
        <w:rPr>
          <w:color w:val="993366"/>
        </w:rPr>
        <w:t>INTEGER</w:t>
      </w:r>
      <w:r w:rsidRPr="00FA0D37">
        <w:t xml:space="preserve"> ::= 16      </w:t>
      </w:r>
      <w:r w:rsidRPr="00FA0D37">
        <w:rPr>
          <w:color w:val="808080"/>
        </w:rPr>
        <w:t>-- Maximum index of resource pool for NR sidelink communication</w:t>
      </w:r>
      <w:r w:rsidR="00FA35A8" w:rsidRPr="00FA0D37">
        <w:rPr>
          <w:color w:val="808080"/>
        </w:rPr>
        <w:t xml:space="preserve"> and</w:t>
      </w:r>
    </w:p>
    <w:p w14:paraId="18C4F8F1" w14:textId="25D40CDE" w:rsidR="00394471" w:rsidRPr="00FA0D37" w:rsidRDefault="00FA35A8" w:rsidP="00FA0D37">
      <w:pPr>
        <w:pStyle w:val="PL"/>
        <w:rPr>
          <w:color w:val="808080"/>
        </w:rPr>
      </w:pPr>
      <w:r w:rsidRPr="00FA0D37">
        <w:t xml:space="preserve">                                                            </w:t>
      </w:r>
      <w:r w:rsidRPr="00FA0D37">
        <w:rPr>
          <w:color w:val="808080"/>
        </w:rPr>
        <w:t>-- discovery</w:t>
      </w:r>
    </w:p>
    <w:p w14:paraId="578EFF21" w14:textId="77777777" w:rsidR="00394471" w:rsidRPr="00FA0D37" w:rsidRDefault="00394471" w:rsidP="00FA0D37">
      <w:pPr>
        <w:pStyle w:val="PL"/>
        <w:rPr>
          <w:color w:val="808080"/>
        </w:rPr>
      </w:pPr>
      <w:r w:rsidRPr="00FA0D37">
        <w:t xml:space="preserve">maxNrofSRS-PathlossReferenceRS-r16      </w:t>
      </w:r>
      <w:r w:rsidRPr="00FA0D37">
        <w:rPr>
          <w:color w:val="993366"/>
        </w:rPr>
        <w:t>INTEGER</w:t>
      </w:r>
      <w:r w:rsidRPr="00FA0D37">
        <w:t xml:space="preserve"> ::= 64      </w:t>
      </w:r>
      <w:r w:rsidRPr="00FA0D37">
        <w:rPr>
          <w:color w:val="808080"/>
        </w:rPr>
        <w:t>-- Maximum number of RSs used as pathloss reference for SRS power control.</w:t>
      </w:r>
    </w:p>
    <w:p w14:paraId="2D593C70" w14:textId="77777777" w:rsidR="00D47B04" w:rsidRPr="00FA0D37" w:rsidRDefault="00394471" w:rsidP="00FA0D37">
      <w:pPr>
        <w:pStyle w:val="PL"/>
        <w:rPr>
          <w:color w:val="808080"/>
        </w:rPr>
      </w:pPr>
      <w:r w:rsidRPr="00FA0D37">
        <w:t xml:space="preserve">maxNrofSRS-PathlossReferenceRS-1-r16    </w:t>
      </w:r>
      <w:r w:rsidRPr="00FA0D37">
        <w:rPr>
          <w:color w:val="993366"/>
        </w:rPr>
        <w:t>INTEGER</w:t>
      </w:r>
      <w:r w:rsidRPr="00FA0D37">
        <w:t xml:space="preserve"> ::= 63      </w:t>
      </w:r>
      <w:r w:rsidRPr="00FA0D37">
        <w:rPr>
          <w:color w:val="808080"/>
        </w:rPr>
        <w:t>-- Maximum number of RSs used as pathloss reference for SRS power control</w:t>
      </w:r>
    </w:p>
    <w:p w14:paraId="23DE7D11" w14:textId="72C290F3" w:rsidR="00394471" w:rsidRPr="00FA0D37" w:rsidRDefault="00D47B04" w:rsidP="00FA0D37">
      <w:pPr>
        <w:pStyle w:val="PL"/>
        <w:rPr>
          <w:color w:val="808080"/>
        </w:rPr>
      </w:pPr>
      <w:r w:rsidRPr="00FA0D37">
        <w:t xml:space="preserve">                                                            </w:t>
      </w:r>
      <w:r w:rsidRPr="00FA0D37">
        <w:rPr>
          <w:color w:val="808080"/>
        </w:rPr>
        <w:t>--</w:t>
      </w:r>
      <w:r w:rsidR="00926AC0" w:rsidRPr="00FA0D37">
        <w:rPr>
          <w:color w:val="808080"/>
        </w:rPr>
        <w:t xml:space="preserve"> minus</w:t>
      </w:r>
      <w:r w:rsidRPr="00FA0D37">
        <w:rPr>
          <w:color w:val="808080"/>
        </w:rPr>
        <w:t xml:space="preserve"> </w:t>
      </w:r>
      <w:r w:rsidR="00394471" w:rsidRPr="00FA0D37">
        <w:rPr>
          <w:color w:val="808080"/>
        </w:rPr>
        <w:t>1.</w:t>
      </w:r>
    </w:p>
    <w:p w14:paraId="2970B41E" w14:textId="77777777" w:rsidR="00394471" w:rsidRPr="00FA0D37" w:rsidRDefault="00394471" w:rsidP="00FA0D37">
      <w:pPr>
        <w:pStyle w:val="PL"/>
        <w:rPr>
          <w:color w:val="808080"/>
        </w:rPr>
      </w:pPr>
      <w:r w:rsidRPr="00FA0D37">
        <w:t xml:space="preserve">maxNrofSRS-ResourceSets                 </w:t>
      </w:r>
      <w:r w:rsidRPr="00FA0D37">
        <w:rPr>
          <w:color w:val="993366"/>
        </w:rPr>
        <w:t>INTEGER</w:t>
      </w:r>
      <w:r w:rsidRPr="00FA0D37">
        <w:t xml:space="preserve"> ::= 16      </w:t>
      </w:r>
      <w:r w:rsidRPr="00FA0D37">
        <w:rPr>
          <w:color w:val="808080"/>
        </w:rPr>
        <w:t>-- Maximum number of SRS resource sets in a BWP.</w:t>
      </w:r>
    </w:p>
    <w:p w14:paraId="63BAAC8D" w14:textId="77777777" w:rsidR="00394471" w:rsidRPr="00FA0D37" w:rsidRDefault="00394471" w:rsidP="00FA0D37">
      <w:pPr>
        <w:pStyle w:val="PL"/>
        <w:rPr>
          <w:color w:val="808080"/>
        </w:rPr>
      </w:pPr>
      <w:r w:rsidRPr="00FA0D37">
        <w:t xml:space="preserve">maxNrofSRS-ResourceSets-1               </w:t>
      </w:r>
      <w:r w:rsidRPr="00FA0D37">
        <w:rPr>
          <w:color w:val="993366"/>
        </w:rPr>
        <w:t>INTEGER</w:t>
      </w:r>
      <w:r w:rsidRPr="00FA0D37">
        <w:t xml:space="preserve"> ::= 15      </w:t>
      </w:r>
      <w:r w:rsidRPr="00FA0D37">
        <w:rPr>
          <w:color w:val="808080"/>
        </w:rPr>
        <w:t>-- Maximum number of SRS resource sets in a BWP minus 1.</w:t>
      </w:r>
    </w:p>
    <w:p w14:paraId="0B7A8C45" w14:textId="77777777" w:rsidR="00394471" w:rsidRPr="00FA0D37" w:rsidRDefault="00394471" w:rsidP="00FA0D37">
      <w:pPr>
        <w:pStyle w:val="PL"/>
        <w:rPr>
          <w:color w:val="808080"/>
        </w:rPr>
      </w:pPr>
      <w:r w:rsidRPr="00FA0D37">
        <w:t xml:space="preserve">maxNrofSRS-PosResourceSets-r16          </w:t>
      </w:r>
      <w:r w:rsidRPr="00FA0D37">
        <w:rPr>
          <w:color w:val="993366"/>
        </w:rPr>
        <w:t>INTEGER</w:t>
      </w:r>
      <w:r w:rsidRPr="00FA0D37">
        <w:t xml:space="preserve"> ::= 16      </w:t>
      </w:r>
      <w:r w:rsidRPr="00FA0D37">
        <w:rPr>
          <w:color w:val="808080"/>
        </w:rPr>
        <w:t>-- Maximum number of SRS Positioning resource sets in a BWP.</w:t>
      </w:r>
    </w:p>
    <w:p w14:paraId="7763EDE2" w14:textId="77777777" w:rsidR="00394471" w:rsidRPr="00FA0D37" w:rsidRDefault="00394471" w:rsidP="00FA0D37">
      <w:pPr>
        <w:pStyle w:val="PL"/>
        <w:rPr>
          <w:color w:val="808080"/>
        </w:rPr>
      </w:pPr>
      <w:r w:rsidRPr="00FA0D37">
        <w:t xml:space="preserve">maxNrofSRS-PosResourceSets-1-r16        </w:t>
      </w:r>
      <w:r w:rsidRPr="00FA0D37">
        <w:rPr>
          <w:color w:val="993366"/>
        </w:rPr>
        <w:t>INTEGER</w:t>
      </w:r>
      <w:r w:rsidRPr="00FA0D37">
        <w:t xml:space="preserve"> ::= 15      </w:t>
      </w:r>
      <w:r w:rsidRPr="00FA0D37">
        <w:rPr>
          <w:color w:val="808080"/>
        </w:rPr>
        <w:t>-- Maximum number of SRS Positioning resource sets in a BWP minus 1.</w:t>
      </w:r>
    </w:p>
    <w:p w14:paraId="4FA9E77E" w14:textId="77777777" w:rsidR="00394471" w:rsidRPr="00FA0D37" w:rsidRDefault="00394471" w:rsidP="00FA0D37">
      <w:pPr>
        <w:pStyle w:val="PL"/>
        <w:rPr>
          <w:color w:val="808080"/>
        </w:rPr>
      </w:pPr>
      <w:r w:rsidRPr="00FA0D37">
        <w:t xml:space="preserve">maxNrofSRS-Resources                    </w:t>
      </w:r>
      <w:r w:rsidRPr="00FA0D37">
        <w:rPr>
          <w:color w:val="993366"/>
        </w:rPr>
        <w:t>INTEGER</w:t>
      </w:r>
      <w:r w:rsidRPr="00FA0D37">
        <w:t xml:space="preserve"> ::= 64      </w:t>
      </w:r>
      <w:r w:rsidRPr="00FA0D37">
        <w:rPr>
          <w:color w:val="808080"/>
        </w:rPr>
        <w:t>-- Maximum number of SRS resources.</w:t>
      </w:r>
    </w:p>
    <w:p w14:paraId="4422B84C" w14:textId="499037D5" w:rsidR="00394471" w:rsidRPr="00FA0D37" w:rsidRDefault="00394471" w:rsidP="00FA0D37">
      <w:pPr>
        <w:pStyle w:val="PL"/>
        <w:rPr>
          <w:color w:val="808080"/>
        </w:rPr>
      </w:pPr>
      <w:r w:rsidRPr="00FA0D37">
        <w:t xml:space="preserve">maxNrofSRS-Resources-1                  </w:t>
      </w:r>
      <w:r w:rsidRPr="00FA0D37">
        <w:rPr>
          <w:color w:val="993366"/>
        </w:rPr>
        <w:t>INTEGER</w:t>
      </w:r>
      <w:r w:rsidRPr="00FA0D37">
        <w:t xml:space="preserve"> ::= 63      </w:t>
      </w:r>
      <w:r w:rsidRPr="00FA0D37">
        <w:rPr>
          <w:color w:val="808080"/>
        </w:rPr>
        <w:t>-- Maximum number of SRS resources minus 1.</w:t>
      </w:r>
    </w:p>
    <w:p w14:paraId="03050831" w14:textId="77777777" w:rsidR="00394471" w:rsidRPr="00FA0D37" w:rsidRDefault="00394471" w:rsidP="00FA0D37">
      <w:pPr>
        <w:pStyle w:val="PL"/>
        <w:rPr>
          <w:color w:val="808080"/>
        </w:rPr>
      </w:pPr>
      <w:r w:rsidRPr="00FA0D37">
        <w:t xml:space="preserve">maxNrofSRS-PosResources-r16             </w:t>
      </w:r>
      <w:r w:rsidRPr="00FA0D37">
        <w:rPr>
          <w:color w:val="993366"/>
        </w:rPr>
        <w:t>INTEGER</w:t>
      </w:r>
      <w:r w:rsidRPr="00FA0D37">
        <w:t xml:space="preserve"> ::= 64      </w:t>
      </w:r>
      <w:r w:rsidRPr="00FA0D37">
        <w:rPr>
          <w:color w:val="808080"/>
        </w:rPr>
        <w:t>-- Maximum number of SRS Positioning resources.</w:t>
      </w:r>
    </w:p>
    <w:p w14:paraId="76C61485" w14:textId="41F445E4" w:rsidR="00394471" w:rsidRPr="00FA0D37" w:rsidRDefault="00394471" w:rsidP="00FA0D37">
      <w:pPr>
        <w:pStyle w:val="PL"/>
        <w:rPr>
          <w:color w:val="808080"/>
        </w:rPr>
      </w:pPr>
      <w:r w:rsidRPr="00FA0D37">
        <w:t xml:space="preserve">maxNrofSRS-PosResources-1-r16           </w:t>
      </w:r>
      <w:r w:rsidRPr="00FA0D37">
        <w:rPr>
          <w:color w:val="993366"/>
        </w:rPr>
        <w:t>INTEGER</w:t>
      </w:r>
      <w:r w:rsidRPr="00FA0D37">
        <w:t xml:space="preserve"> ::= 63      </w:t>
      </w:r>
      <w:r w:rsidRPr="00FA0D37">
        <w:rPr>
          <w:color w:val="808080"/>
        </w:rPr>
        <w:t>-- Maximum number of SRS Positioning resources minus 1.</w:t>
      </w:r>
    </w:p>
    <w:p w14:paraId="280E2209" w14:textId="77777777" w:rsidR="00394471" w:rsidRPr="00FA0D37" w:rsidRDefault="00394471" w:rsidP="00FA0D37">
      <w:pPr>
        <w:pStyle w:val="PL"/>
        <w:rPr>
          <w:color w:val="808080"/>
        </w:rPr>
      </w:pPr>
      <w:r w:rsidRPr="00FA0D37">
        <w:t xml:space="preserve">maxNrofSRS-ResourcesPerSet              </w:t>
      </w:r>
      <w:r w:rsidRPr="00FA0D37">
        <w:rPr>
          <w:color w:val="993366"/>
        </w:rPr>
        <w:t>INTEGER</w:t>
      </w:r>
      <w:r w:rsidRPr="00FA0D37">
        <w:t xml:space="preserve"> ::= 16      </w:t>
      </w:r>
      <w:r w:rsidRPr="00FA0D37">
        <w:rPr>
          <w:color w:val="808080"/>
        </w:rPr>
        <w:t>-- Maximum number of SRS resources in an SRS resource set</w:t>
      </w:r>
    </w:p>
    <w:p w14:paraId="413C8684" w14:textId="77777777" w:rsidR="00394471" w:rsidRPr="00FA0D37" w:rsidRDefault="00394471" w:rsidP="00FA0D37">
      <w:pPr>
        <w:pStyle w:val="PL"/>
        <w:rPr>
          <w:color w:val="808080"/>
        </w:rPr>
      </w:pPr>
      <w:r w:rsidRPr="00FA0D37">
        <w:t xml:space="preserve">maxNrofSRS-TriggerStates-1              </w:t>
      </w:r>
      <w:r w:rsidRPr="00FA0D37">
        <w:rPr>
          <w:color w:val="993366"/>
        </w:rPr>
        <w:t>INTEGER</w:t>
      </w:r>
      <w:r w:rsidRPr="00FA0D37">
        <w:t xml:space="preserve"> ::= 3       </w:t>
      </w:r>
      <w:r w:rsidRPr="00FA0D37">
        <w:rPr>
          <w:color w:val="808080"/>
        </w:rPr>
        <w:t>-- Maximum number of SRS trigger states minus 1, i.e., the largest code point.</w:t>
      </w:r>
    </w:p>
    <w:p w14:paraId="4A014839" w14:textId="77777777" w:rsidR="00394471" w:rsidRPr="00FA0D37" w:rsidRDefault="00394471" w:rsidP="00FA0D37">
      <w:pPr>
        <w:pStyle w:val="PL"/>
        <w:rPr>
          <w:color w:val="808080"/>
        </w:rPr>
      </w:pPr>
      <w:r w:rsidRPr="00FA0D37">
        <w:t xml:space="preserve">maxNrofSRS-TriggerStates-2              </w:t>
      </w:r>
      <w:r w:rsidRPr="00FA0D37">
        <w:rPr>
          <w:color w:val="993366"/>
        </w:rPr>
        <w:t>INTEGER</w:t>
      </w:r>
      <w:r w:rsidRPr="00FA0D37">
        <w:t xml:space="preserve"> ::= 2       </w:t>
      </w:r>
      <w:r w:rsidRPr="00FA0D37">
        <w:rPr>
          <w:color w:val="808080"/>
        </w:rPr>
        <w:t>-- Maximum number of SRS trigger states minus 2.</w:t>
      </w:r>
    </w:p>
    <w:p w14:paraId="2E3C9D7B" w14:textId="77777777" w:rsidR="00394471" w:rsidRPr="00FA0D37" w:rsidRDefault="00394471" w:rsidP="00FA0D37">
      <w:pPr>
        <w:pStyle w:val="PL"/>
        <w:rPr>
          <w:color w:val="808080"/>
        </w:rPr>
      </w:pPr>
      <w:r w:rsidRPr="00FA0D37">
        <w:t xml:space="preserve">maxRAT-CapabilityContainers             </w:t>
      </w:r>
      <w:r w:rsidRPr="00FA0D37">
        <w:rPr>
          <w:color w:val="993366"/>
        </w:rPr>
        <w:t>INTEGER</w:t>
      </w:r>
      <w:r w:rsidRPr="00FA0D37">
        <w:t xml:space="preserve"> ::= 8       </w:t>
      </w:r>
      <w:r w:rsidRPr="00FA0D37">
        <w:rPr>
          <w:color w:val="808080"/>
        </w:rPr>
        <w:t>-- Maximum number of interworking RAT containers (incl NR and MRDC)</w:t>
      </w:r>
    </w:p>
    <w:p w14:paraId="66724B4D" w14:textId="77777777" w:rsidR="00394471" w:rsidRPr="00FA0D37" w:rsidRDefault="00394471" w:rsidP="00FA0D37">
      <w:pPr>
        <w:pStyle w:val="PL"/>
        <w:rPr>
          <w:color w:val="808080"/>
        </w:rPr>
      </w:pPr>
      <w:r w:rsidRPr="00FA0D37">
        <w:t xml:space="preserve">maxSimultaneousBands                    </w:t>
      </w:r>
      <w:r w:rsidRPr="00FA0D37">
        <w:rPr>
          <w:color w:val="993366"/>
        </w:rPr>
        <w:t>INTEGER</w:t>
      </w:r>
      <w:r w:rsidRPr="00FA0D37">
        <w:t xml:space="preserve"> ::= 32      </w:t>
      </w:r>
      <w:r w:rsidRPr="00FA0D37">
        <w:rPr>
          <w:color w:val="808080"/>
        </w:rPr>
        <w:t>-- Maximum number of simultaneously aggregated bands</w:t>
      </w:r>
    </w:p>
    <w:p w14:paraId="16C47D5E" w14:textId="77777777" w:rsidR="00D47B04" w:rsidRPr="00FA0D37" w:rsidRDefault="00394471" w:rsidP="00FA0D37">
      <w:pPr>
        <w:pStyle w:val="PL"/>
        <w:rPr>
          <w:color w:val="808080"/>
        </w:rPr>
      </w:pPr>
      <w:r w:rsidRPr="00FA0D37">
        <w:t xml:space="preserve">maxULTxSwitchingBandPairs               </w:t>
      </w:r>
      <w:r w:rsidRPr="00FA0D37">
        <w:rPr>
          <w:color w:val="993366"/>
        </w:rPr>
        <w:t>INTEGER</w:t>
      </w:r>
      <w:r w:rsidRPr="00FA0D37">
        <w:t xml:space="preserve"> ::= 32      </w:t>
      </w:r>
      <w:r w:rsidRPr="00FA0D37">
        <w:rPr>
          <w:color w:val="808080"/>
        </w:rPr>
        <w:t>-- Maximum number of band pairs supporting dynamic UL Tx switching in a band</w:t>
      </w:r>
    </w:p>
    <w:p w14:paraId="49BFBE16" w14:textId="3415482F" w:rsidR="00394471" w:rsidRPr="00FA0D37" w:rsidRDefault="00D47B04" w:rsidP="00FA0D37">
      <w:pPr>
        <w:pStyle w:val="PL"/>
        <w:rPr>
          <w:color w:val="808080"/>
        </w:rPr>
      </w:pPr>
      <w:r w:rsidRPr="00FA0D37">
        <w:t xml:space="preserve">                                                            </w:t>
      </w:r>
      <w:r w:rsidRPr="00FA0D37">
        <w:rPr>
          <w:color w:val="808080"/>
        </w:rPr>
        <w:t>--</w:t>
      </w:r>
      <w:r w:rsidR="00394471" w:rsidRPr="00FA0D37">
        <w:rPr>
          <w:color w:val="808080"/>
        </w:rPr>
        <w:t xml:space="preserve"> combination</w:t>
      </w:r>
      <w:r w:rsidRPr="00FA0D37">
        <w:rPr>
          <w:color w:val="808080"/>
        </w:rPr>
        <w:t>.</w:t>
      </w:r>
    </w:p>
    <w:p w14:paraId="5BEC2829" w14:textId="77777777" w:rsidR="00394471" w:rsidRPr="00FA0D37" w:rsidRDefault="00394471" w:rsidP="00FA0D37">
      <w:pPr>
        <w:pStyle w:val="PL"/>
        <w:rPr>
          <w:color w:val="808080"/>
        </w:rPr>
      </w:pPr>
      <w:r w:rsidRPr="00FA0D37">
        <w:t xml:space="preserve">maxNrofSlotFormatCombinationsPerSet     </w:t>
      </w:r>
      <w:r w:rsidRPr="00FA0D37">
        <w:rPr>
          <w:color w:val="993366"/>
        </w:rPr>
        <w:t>INTEGER</w:t>
      </w:r>
      <w:r w:rsidRPr="00FA0D37">
        <w:t xml:space="preserve"> ::= 512     </w:t>
      </w:r>
      <w:r w:rsidRPr="00FA0D37">
        <w:rPr>
          <w:color w:val="808080"/>
        </w:rPr>
        <w:t>-- Maximum number of Slot Format Combinations in a SF-Set.</w:t>
      </w:r>
    </w:p>
    <w:p w14:paraId="0DCD8264" w14:textId="77777777" w:rsidR="00394471" w:rsidRPr="00FA0D37" w:rsidRDefault="00394471" w:rsidP="00FA0D37">
      <w:pPr>
        <w:pStyle w:val="PL"/>
        <w:rPr>
          <w:color w:val="808080"/>
        </w:rPr>
      </w:pPr>
      <w:r w:rsidRPr="00FA0D37">
        <w:t xml:space="preserve">maxNrofSlotFormatCombinationsPerSet-1   </w:t>
      </w:r>
      <w:r w:rsidRPr="00FA0D37">
        <w:rPr>
          <w:color w:val="993366"/>
        </w:rPr>
        <w:t>INTEGER</w:t>
      </w:r>
      <w:r w:rsidRPr="00FA0D37">
        <w:t xml:space="preserve"> ::= 511     </w:t>
      </w:r>
      <w:r w:rsidRPr="00FA0D37">
        <w:rPr>
          <w:color w:val="808080"/>
        </w:rPr>
        <w:t>-- Maximum number of Slot Format Combinations in a SF-Set minus 1.</w:t>
      </w:r>
    </w:p>
    <w:p w14:paraId="200FF379" w14:textId="77777777" w:rsidR="00394471" w:rsidRPr="00FA0D37" w:rsidRDefault="00394471" w:rsidP="00FA0D37">
      <w:pPr>
        <w:pStyle w:val="PL"/>
        <w:rPr>
          <w:color w:val="808080"/>
        </w:rPr>
      </w:pPr>
      <w:r w:rsidRPr="00FA0D37">
        <w:t xml:space="preserve">maxNrofTrafficPattern-r16               </w:t>
      </w:r>
      <w:r w:rsidRPr="00FA0D37">
        <w:rPr>
          <w:color w:val="993366"/>
        </w:rPr>
        <w:t>INTEGER</w:t>
      </w:r>
      <w:r w:rsidRPr="00FA0D37">
        <w:t xml:space="preserve"> ::= 8       </w:t>
      </w:r>
      <w:r w:rsidRPr="00FA0D37">
        <w:rPr>
          <w:color w:val="808080"/>
        </w:rPr>
        <w:t>-- Maximum number of Traffic Pattern for NR sidelink communication.</w:t>
      </w:r>
    </w:p>
    <w:p w14:paraId="1EFC24D4" w14:textId="77777777" w:rsidR="00394471" w:rsidRPr="00FA0D37" w:rsidRDefault="00394471" w:rsidP="00FA0D37">
      <w:pPr>
        <w:pStyle w:val="PL"/>
      </w:pPr>
      <w:r w:rsidRPr="00FA0D37">
        <w:lastRenderedPageBreak/>
        <w:t xml:space="preserve">maxNrofPUCCH-Resources                  </w:t>
      </w:r>
      <w:r w:rsidRPr="00FA0D37">
        <w:rPr>
          <w:color w:val="993366"/>
        </w:rPr>
        <w:t>INTEGER</w:t>
      </w:r>
      <w:r w:rsidRPr="00FA0D37">
        <w:t xml:space="preserve"> ::= 128</w:t>
      </w:r>
    </w:p>
    <w:p w14:paraId="4A1D9183" w14:textId="77777777" w:rsidR="00394471" w:rsidRPr="00FA0D37" w:rsidRDefault="00394471" w:rsidP="00FA0D37">
      <w:pPr>
        <w:pStyle w:val="PL"/>
      </w:pPr>
      <w:r w:rsidRPr="00FA0D37">
        <w:t xml:space="preserve">maxNrofPUCCH-Resources-1                </w:t>
      </w:r>
      <w:r w:rsidRPr="00FA0D37">
        <w:rPr>
          <w:color w:val="993366"/>
        </w:rPr>
        <w:t>INTEGER</w:t>
      </w:r>
      <w:r w:rsidRPr="00FA0D37">
        <w:t xml:space="preserve"> ::= 127</w:t>
      </w:r>
    </w:p>
    <w:p w14:paraId="6B6426C7" w14:textId="77777777" w:rsidR="00394471" w:rsidRPr="00FA0D37" w:rsidRDefault="00394471" w:rsidP="00FA0D37">
      <w:pPr>
        <w:pStyle w:val="PL"/>
        <w:rPr>
          <w:color w:val="808080"/>
        </w:rPr>
      </w:pPr>
      <w:r w:rsidRPr="00FA0D37">
        <w:t xml:space="preserve">maxNrofPUCCH-ResourceSets               </w:t>
      </w:r>
      <w:r w:rsidRPr="00FA0D37">
        <w:rPr>
          <w:color w:val="993366"/>
        </w:rPr>
        <w:t>INTEGER</w:t>
      </w:r>
      <w:r w:rsidRPr="00FA0D37">
        <w:t xml:space="preserve"> ::= 4       </w:t>
      </w:r>
      <w:r w:rsidRPr="00FA0D37">
        <w:rPr>
          <w:color w:val="808080"/>
        </w:rPr>
        <w:t>-- Maximum number of PUCCH Resource Sets</w:t>
      </w:r>
    </w:p>
    <w:p w14:paraId="7C309879" w14:textId="77777777" w:rsidR="00394471" w:rsidRPr="00FA0D37" w:rsidRDefault="00394471" w:rsidP="00FA0D37">
      <w:pPr>
        <w:pStyle w:val="PL"/>
        <w:rPr>
          <w:color w:val="808080"/>
        </w:rPr>
      </w:pPr>
      <w:r w:rsidRPr="00FA0D37">
        <w:t xml:space="preserve">maxNrofPUCCH-ResourceSets-1             </w:t>
      </w:r>
      <w:r w:rsidRPr="00FA0D37">
        <w:rPr>
          <w:color w:val="993366"/>
        </w:rPr>
        <w:t>INTEGER</w:t>
      </w:r>
      <w:r w:rsidRPr="00FA0D37">
        <w:t xml:space="preserve"> ::= 3       </w:t>
      </w:r>
      <w:r w:rsidRPr="00FA0D37">
        <w:rPr>
          <w:color w:val="808080"/>
        </w:rPr>
        <w:t>-- Maximum number of PUCCH Resource Sets minus 1.</w:t>
      </w:r>
    </w:p>
    <w:p w14:paraId="6F5667A5" w14:textId="77777777" w:rsidR="00394471" w:rsidRPr="00FA0D37" w:rsidRDefault="00394471" w:rsidP="00FA0D37">
      <w:pPr>
        <w:pStyle w:val="PL"/>
        <w:rPr>
          <w:color w:val="808080"/>
        </w:rPr>
      </w:pPr>
      <w:r w:rsidRPr="00FA0D37">
        <w:t xml:space="preserve">maxNrofPUCCH-ResourcesPerSet            </w:t>
      </w:r>
      <w:r w:rsidRPr="00FA0D37">
        <w:rPr>
          <w:color w:val="993366"/>
        </w:rPr>
        <w:t>INTEGER</w:t>
      </w:r>
      <w:r w:rsidRPr="00FA0D37">
        <w:t xml:space="preserve"> ::= 32      </w:t>
      </w:r>
      <w:r w:rsidRPr="00FA0D37">
        <w:rPr>
          <w:color w:val="808080"/>
        </w:rPr>
        <w:t>-- Maximum number of PUCCH Resources per PUCCH-ResourceSet</w:t>
      </w:r>
    </w:p>
    <w:p w14:paraId="60D3115C" w14:textId="77777777" w:rsidR="00394471" w:rsidRPr="00FA0D37" w:rsidRDefault="00394471" w:rsidP="00FA0D37">
      <w:pPr>
        <w:pStyle w:val="PL"/>
        <w:rPr>
          <w:color w:val="808080"/>
        </w:rPr>
      </w:pPr>
      <w:r w:rsidRPr="00FA0D37">
        <w:t xml:space="preserve">maxNrofPUCCH-P0-PerSet                  </w:t>
      </w:r>
      <w:r w:rsidRPr="00FA0D37">
        <w:rPr>
          <w:color w:val="993366"/>
        </w:rPr>
        <w:t>INTEGER</w:t>
      </w:r>
      <w:r w:rsidRPr="00FA0D37">
        <w:t xml:space="preserve"> ::= 8       </w:t>
      </w:r>
      <w:r w:rsidRPr="00FA0D37">
        <w:rPr>
          <w:color w:val="808080"/>
        </w:rPr>
        <w:t>-- Maximum number of P0-pucch present in a p0-pucch set</w:t>
      </w:r>
    </w:p>
    <w:p w14:paraId="1C4DF055" w14:textId="77777777" w:rsidR="00394471" w:rsidRPr="00FA0D37" w:rsidRDefault="00394471" w:rsidP="00FA0D37">
      <w:pPr>
        <w:pStyle w:val="PL"/>
        <w:rPr>
          <w:color w:val="808080"/>
        </w:rPr>
      </w:pPr>
      <w:r w:rsidRPr="00FA0D37">
        <w:t xml:space="preserve">maxNrofPUCCH-PathlossReferenceRSs       </w:t>
      </w:r>
      <w:r w:rsidRPr="00FA0D37">
        <w:rPr>
          <w:color w:val="993366"/>
        </w:rPr>
        <w:t>INTEGER</w:t>
      </w:r>
      <w:r w:rsidRPr="00FA0D37">
        <w:t xml:space="preserve"> ::= 4       </w:t>
      </w:r>
      <w:r w:rsidRPr="00FA0D37">
        <w:rPr>
          <w:color w:val="808080"/>
        </w:rPr>
        <w:t>-- Maximum number of RSs used as pathloss reference for PUCCH power control.</w:t>
      </w:r>
    </w:p>
    <w:p w14:paraId="38DA1646" w14:textId="77777777" w:rsidR="00D47B04" w:rsidRPr="00FA0D37" w:rsidRDefault="00394471" w:rsidP="00FA0D37">
      <w:pPr>
        <w:pStyle w:val="PL"/>
        <w:rPr>
          <w:color w:val="808080"/>
        </w:rPr>
      </w:pPr>
      <w:r w:rsidRPr="00FA0D37">
        <w:t xml:space="preserve">maxNrofPUCCH-PathlossReferenceRSs-1     </w:t>
      </w:r>
      <w:r w:rsidRPr="00FA0D37">
        <w:rPr>
          <w:color w:val="993366"/>
        </w:rPr>
        <w:t>INTEGER</w:t>
      </w:r>
      <w:r w:rsidRPr="00FA0D37">
        <w:t xml:space="preserve"> ::= 3       </w:t>
      </w:r>
      <w:r w:rsidRPr="00FA0D37">
        <w:rPr>
          <w:color w:val="808080"/>
        </w:rPr>
        <w:t>-- Maximum number of RSs used as pathloss reference for PUCCH power control</w:t>
      </w:r>
    </w:p>
    <w:p w14:paraId="7509B4A8" w14:textId="0B1AD8FE" w:rsidR="00394471" w:rsidRPr="00FA0D37" w:rsidRDefault="00D47B04" w:rsidP="00FA0D37">
      <w:pPr>
        <w:pStyle w:val="PL"/>
        <w:rPr>
          <w:color w:val="808080"/>
        </w:rPr>
      </w:pPr>
      <w:r w:rsidRPr="00FA0D37">
        <w:t xml:space="preserve">                                                            </w:t>
      </w:r>
      <w:r w:rsidRPr="00FA0D37">
        <w:rPr>
          <w:color w:val="808080"/>
        </w:rPr>
        <w:t>--</w:t>
      </w:r>
      <w:r w:rsidR="00394471" w:rsidRPr="00FA0D37">
        <w:rPr>
          <w:color w:val="808080"/>
        </w:rPr>
        <w:t xml:space="preserve"> minus 1.</w:t>
      </w:r>
    </w:p>
    <w:p w14:paraId="1E95B49A" w14:textId="77777777" w:rsidR="00D47B04" w:rsidRPr="00FA0D37" w:rsidRDefault="00394471" w:rsidP="00FA0D37">
      <w:pPr>
        <w:pStyle w:val="PL"/>
        <w:rPr>
          <w:color w:val="808080"/>
        </w:rPr>
      </w:pPr>
      <w:r w:rsidRPr="00FA0D37">
        <w:t xml:space="preserve">maxNrofPUCCH-PathlossReferenceRSs-r16   </w:t>
      </w:r>
      <w:r w:rsidRPr="00FA0D37">
        <w:rPr>
          <w:color w:val="993366"/>
        </w:rPr>
        <w:t>INTEGER</w:t>
      </w:r>
      <w:r w:rsidRPr="00FA0D37">
        <w:t xml:space="preserve"> ::= 64      </w:t>
      </w:r>
      <w:r w:rsidRPr="00FA0D37">
        <w:rPr>
          <w:color w:val="808080"/>
        </w:rPr>
        <w:t>-- Maximum number of RSs used as pathloss reference for PUCCH power control</w:t>
      </w:r>
    </w:p>
    <w:p w14:paraId="106491B0" w14:textId="07EDBC33" w:rsidR="00394471" w:rsidRPr="00FA0D37" w:rsidRDefault="00D47B04" w:rsidP="00FA0D37">
      <w:pPr>
        <w:pStyle w:val="PL"/>
        <w:rPr>
          <w:color w:val="808080"/>
        </w:rPr>
      </w:pPr>
      <w:r w:rsidRPr="00FA0D37">
        <w:t xml:space="preserve">                                                            </w:t>
      </w:r>
      <w:r w:rsidRPr="00FA0D37">
        <w:rPr>
          <w:color w:val="808080"/>
        </w:rPr>
        <w:t xml:space="preserve">-- </w:t>
      </w:r>
      <w:r w:rsidR="00394471" w:rsidRPr="00FA0D37">
        <w:rPr>
          <w:color w:val="808080"/>
        </w:rPr>
        <w:t>extended.</w:t>
      </w:r>
    </w:p>
    <w:p w14:paraId="7D35BBC4" w14:textId="77777777" w:rsidR="00394471" w:rsidRPr="00FA0D37" w:rsidRDefault="00394471" w:rsidP="00FA0D37">
      <w:pPr>
        <w:pStyle w:val="PL"/>
        <w:rPr>
          <w:color w:val="808080"/>
        </w:rPr>
      </w:pPr>
      <w:r w:rsidRPr="00FA0D37">
        <w:t xml:space="preserve">maxNrofPUCCH-PathlossReferenceRSs-1-r16 </w:t>
      </w:r>
      <w:r w:rsidRPr="00FA0D37">
        <w:rPr>
          <w:color w:val="993366"/>
        </w:rPr>
        <w:t>INTEGER</w:t>
      </w:r>
      <w:r w:rsidRPr="00FA0D37">
        <w:t xml:space="preserve"> ::= 63      </w:t>
      </w:r>
      <w:r w:rsidRPr="00FA0D37">
        <w:rPr>
          <w:color w:val="808080"/>
        </w:rPr>
        <w:t>-- Maximum number of RSs used as pathloss reference for PUCCH power control</w:t>
      </w:r>
    </w:p>
    <w:p w14:paraId="11713C33" w14:textId="77777777" w:rsidR="00394471" w:rsidRPr="00FA0D37" w:rsidRDefault="00394471" w:rsidP="00FA0D37">
      <w:pPr>
        <w:pStyle w:val="PL"/>
        <w:rPr>
          <w:color w:val="808080"/>
        </w:rPr>
      </w:pPr>
      <w:r w:rsidRPr="00FA0D37">
        <w:t xml:space="preserve">                                                            </w:t>
      </w:r>
      <w:r w:rsidRPr="00FA0D37">
        <w:rPr>
          <w:color w:val="808080"/>
        </w:rPr>
        <w:t>-- minus 1 extended.</w:t>
      </w:r>
    </w:p>
    <w:p w14:paraId="162CBBEE" w14:textId="5793D7E9" w:rsidR="00073DAF" w:rsidRPr="00FA0D37" w:rsidRDefault="00073DAF" w:rsidP="00FA0D37">
      <w:pPr>
        <w:pStyle w:val="PL"/>
        <w:rPr>
          <w:color w:val="808080"/>
        </w:rPr>
      </w:pPr>
      <w:r w:rsidRPr="00FA0D37">
        <w:t xml:space="preserve">maxNrofPUCCH-PathlossReferenceRSs-1-r17 </w:t>
      </w:r>
      <w:r w:rsidRPr="00FA0D37">
        <w:rPr>
          <w:color w:val="993366"/>
        </w:rPr>
        <w:t>INTEGER</w:t>
      </w:r>
      <w:r w:rsidRPr="00FA0D37">
        <w:t xml:space="preserve"> ::= 7       </w:t>
      </w:r>
      <w:r w:rsidRPr="00FA0D37">
        <w:rPr>
          <w:color w:val="808080"/>
        </w:rPr>
        <w:t>-- Maximum number of RSs used as pathloss reference for PUCCH power control</w:t>
      </w:r>
    </w:p>
    <w:p w14:paraId="4D3265BD" w14:textId="77777777" w:rsidR="00073DAF" w:rsidRPr="00FA0D37" w:rsidRDefault="00073DAF" w:rsidP="00FA0D37">
      <w:pPr>
        <w:pStyle w:val="PL"/>
        <w:rPr>
          <w:color w:val="808080"/>
        </w:rPr>
      </w:pPr>
      <w:r w:rsidRPr="00FA0D37">
        <w:t xml:space="preserve">                                                            </w:t>
      </w:r>
      <w:r w:rsidRPr="00FA0D37">
        <w:rPr>
          <w:color w:val="808080"/>
        </w:rPr>
        <w:t>-- minus 1.</w:t>
      </w:r>
    </w:p>
    <w:p w14:paraId="401F3CE1" w14:textId="77777777" w:rsidR="00394471" w:rsidRPr="00FA0D37" w:rsidRDefault="00394471" w:rsidP="00FA0D37">
      <w:pPr>
        <w:pStyle w:val="PL"/>
        <w:rPr>
          <w:color w:val="808080"/>
        </w:rPr>
      </w:pPr>
      <w:r w:rsidRPr="00FA0D37">
        <w:t xml:space="preserve">maxNrofPUCCH-PathlossReferenceRSsDiff-r16 </w:t>
      </w:r>
      <w:r w:rsidRPr="00FA0D37">
        <w:rPr>
          <w:color w:val="993366"/>
        </w:rPr>
        <w:t>INTEGER</w:t>
      </w:r>
      <w:r w:rsidRPr="00FA0D37">
        <w:t xml:space="preserve"> ::= 60    </w:t>
      </w:r>
      <w:r w:rsidRPr="00FA0D37">
        <w:rPr>
          <w:color w:val="808080"/>
        </w:rPr>
        <w:t>-- Difference between the extended maximum and the non-extended maximum</w:t>
      </w:r>
    </w:p>
    <w:p w14:paraId="096F611A" w14:textId="77777777" w:rsidR="00394471" w:rsidRPr="00FA0D37" w:rsidRDefault="00394471" w:rsidP="00FA0D37">
      <w:pPr>
        <w:pStyle w:val="PL"/>
        <w:rPr>
          <w:color w:val="808080"/>
        </w:rPr>
      </w:pPr>
      <w:r w:rsidRPr="00FA0D37">
        <w:t xml:space="preserve">maxNrofPUCCH-ResourceGroups-r16         </w:t>
      </w:r>
      <w:r w:rsidRPr="00FA0D37">
        <w:rPr>
          <w:color w:val="993366"/>
        </w:rPr>
        <w:t>INTEGER</w:t>
      </w:r>
      <w:r w:rsidRPr="00FA0D37">
        <w:t xml:space="preserve"> ::= 4       </w:t>
      </w:r>
      <w:r w:rsidRPr="00FA0D37">
        <w:rPr>
          <w:color w:val="808080"/>
        </w:rPr>
        <w:t>-- Maximum number of PUCCH resources groups.</w:t>
      </w:r>
    </w:p>
    <w:p w14:paraId="10ECE25D" w14:textId="77777777" w:rsidR="00394471" w:rsidRPr="00FA0D37" w:rsidRDefault="00394471" w:rsidP="00FA0D37">
      <w:pPr>
        <w:pStyle w:val="PL"/>
        <w:rPr>
          <w:color w:val="808080"/>
        </w:rPr>
      </w:pPr>
      <w:r w:rsidRPr="00FA0D37">
        <w:t xml:space="preserve">maxNrofPUCCH-ResourcesPerGroup-r16      </w:t>
      </w:r>
      <w:r w:rsidRPr="00FA0D37">
        <w:rPr>
          <w:color w:val="993366"/>
        </w:rPr>
        <w:t>INTEGER</w:t>
      </w:r>
      <w:r w:rsidRPr="00FA0D37">
        <w:t xml:space="preserve"> ::= 128     </w:t>
      </w:r>
      <w:r w:rsidRPr="00FA0D37">
        <w:rPr>
          <w:color w:val="808080"/>
        </w:rPr>
        <w:t>-- Maximum number of PUCCH resources in a PUCCH group.</w:t>
      </w:r>
    </w:p>
    <w:p w14:paraId="7D292AB7" w14:textId="77777777" w:rsidR="00064591" w:rsidRPr="00FA0D37" w:rsidRDefault="00064591" w:rsidP="00FA0D37">
      <w:pPr>
        <w:pStyle w:val="PL"/>
        <w:rPr>
          <w:color w:val="808080"/>
        </w:rPr>
      </w:pPr>
      <w:r w:rsidRPr="00FA0D37">
        <w:t xml:space="preserve">maxNrofPowerControlSetInfos-r17         </w:t>
      </w:r>
      <w:r w:rsidRPr="00FA0D37">
        <w:rPr>
          <w:color w:val="993366"/>
        </w:rPr>
        <w:t>INTEGER</w:t>
      </w:r>
      <w:r w:rsidRPr="00FA0D37">
        <w:t xml:space="preserve"> ::= 8       </w:t>
      </w:r>
      <w:r w:rsidRPr="00FA0D37">
        <w:rPr>
          <w:color w:val="808080"/>
        </w:rPr>
        <w:t>-- Maximum number of PUCCH power control set infos</w:t>
      </w:r>
    </w:p>
    <w:p w14:paraId="6AB4BAF0" w14:textId="77777777" w:rsidR="00394471" w:rsidRPr="00FA0D37" w:rsidRDefault="00394471" w:rsidP="00FA0D37">
      <w:pPr>
        <w:pStyle w:val="PL"/>
        <w:rPr>
          <w:color w:val="808080"/>
        </w:rPr>
      </w:pPr>
      <w:r w:rsidRPr="00FA0D37">
        <w:t xml:space="preserve">maxNrofMultiplePUSCHs-r16               </w:t>
      </w:r>
      <w:r w:rsidRPr="00FA0D37">
        <w:rPr>
          <w:color w:val="993366"/>
        </w:rPr>
        <w:t>INTEGER</w:t>
      </w:r>
      <w:r w:rsidRPr="00FA0D37">
        <w:t xml:space="preserve"> ::= 8       </w:t>
      </w:r>
      <w:r w:rsidRPr="00FA0D37">
        <w:rPr>
          <w:color w:val="808080"/>
        </w:rPr>
        <w:t>-- Maximum number of multiple PUSCHs in PUSCH TDRA list</w:t>
      </w:r>
    </w:p>
    <w:p w14:paraId="32746906" w14:textId="3083BC02" w:rsidR="00394471" w:rsidRPr="00FA0D37" w:rsidRDefault="00394471" w:rsidP="00FA0D37">
      <w:pPr>
        <w:pStyle w:val="PL"/>
        <w:rPr>
          <w:color w:val="808080"/>
        </w:rPr>
      </w:pPr>
      <w:r w:rsidRPr="00FA0D37">
        <w:t xml:space="preserve">maxNrofP0-PUSCH-AlphaSets               </w:t>
      </w:r>
      <w:r w:rsidRPr="00FA0D37">
        <w:rPr>
          <w:color w:val="993366"/>
        </w:rPr>
        <w:t>INTEGER</w:t>
      </w:r>
      <w:r w:rsidRPr="00FA0D37">
        <w:t xml:space="preserve"> ::= 30      </w:t>
      </w:r>
      <w:r w:rsidRPr="00FA0D37">
        <w:rPr>
          <w:color w:val="808080"/>
        </w:rPr>
        <w:t xml:space="preserve">-- Maximum number of P0-pusch-alpha-sets (see </w:t>
      </w:r>
      <w:r w:rsidR="00B05906" w:rsidRPr="00FA0D37">
        <w:rPr>
          <w:color w:val="808080"/>
        </w:rPr>
        <w:t xml:space="preserve">TS </w:t>
      </w:r>
      <w:r w:rsidRPr="00FA0D37">
        <w:rPr>
          <w:color w:val="808080"/>
        </w:rPr>
        <w:t>38</w:t>
      </w:r>
      <w:r w:rsidR="00B05906" w:rsidRPr="00FA0D37">
        <w:rPr>
          <w:color w:val="808080"/>
        </w:rPr>
        <w:t>.</w:t>
      </w:r>
      <w:r w:rsidRPr="00FA0D37">
        <w:rPr>
          <w:color w:val="808080"/>
        </w:rPr>
        <w:t>213</w:t>
      </w:r>
      <w:r w:rsidR="00B05906" w:rsidRPr="00FA0D37">
        <w:rPr>
          <w:color w:val="808080"/>
        </w:rPr>
        <w:t xml:space="preserve"> [13]</w:t>
      </w:r>
      <w:r w:rsidRPr="00FA0D37">
        <w:rPr>
          <w:color w:val="808080"/>
        </w:rPr>
        <w:t>, clause 7.1)</w:t>
      </w:r>
    </w:p>
    <w:p w14:paraId="36EDCADF" w14:textId="48D05ABD" w:rsidR="00394471" w:rsidRPr="00FA0D37" w:rsidRDefault="00394471" w:rsidP="00FA0D37">
      <w:pPr>
        <w:pStyle w:val="PL"/>
        <w:rPr>
          <w:color w:val="808080"/>
        </w:rPr>
      </w:pPr>
      <w:r w:rsidRPr="00FA0D37">
        <w:t xml:space="preserve">maxNrofP0-PUSCH-AlphaSets-1             </w:t>
      </w:r>
      <w:r w:rsidRPr="00FA0D37">
        <w:rPr>
          <w:color w:val="993366"/>
        </w:rPr>
        <w:t>INTEGER</w:t>
      </w:r>
      <w:r w:rsidRPr="00FA0D37">
        <w:t xml:space="preserve"> ::= 29      </w:t>
      </w:r>
      <w:r w:rsidRPr="00FA0D37">
        <w:rPr>
          <w:color w:val="808080"/>
        </w:rPr>
        <w:t xml:space="preserve">-- Maximum number of P0-pusch-alpha-sets minus 1 (see </w:t>
      </w:r>
      <w:r w:rsidR="00B05906" w:rsidRPr="00FA0D37">
        <w:rPr>
          <w:color w:val="808080"/>
        </w:rPr>
        <w:t xml:space="preserve">TS </w:t>
      </w:r>
      <w:r w:rsidRPr="00FA0D37">
        <w:rPr>
          <w:color w:val="808080"/>
        </w:rPr>
        <w:t>38</w:t>
      </w:r>
      <w:r w:rsidR="00B05906" w:rsidRPr="00FA0D37">
        <w:rPr>
          <w:color w:val="808080"/>
        </w:rPr>
        <w:t>.</w:t>
      </w:r>
      <w:r w:rsidRPr="00FA0D37">
        <w:rPr>
          <w:color w:val="808080"/>
        </w:rPr>
        <w:t>213</w:t>
      </w:r>
      <w:r w:rsidR="00B05906" w:rsidRPr="00FA0D37">
        <w:rPr>
          <w:color w:val="808080"/>
        </w:rPr>
        <w:t xml:space="preserve"> [13]</w:t>
      </w:r>
      <w:r w:rsidRPr="00FA0D37">
        <w:rPr>
          <w:color w:val="808080"/>
        </w:rPr>
        <w:t>, clause 7.1)</w:t>
      </w:r>
    </w:p>
    <w:p w14:paraId="5B8C8F9F" w14:textId="77777777" w:rsidR="00394471" w:rsidRPr="00FA0D37" w:rsidRDefault="00394471" w:rsidP="00FA0D37">
      <w:pPr>
        <w:pStyle w:val="PL"/>
        <w:rPr>
          <w:color w:val="808080"/>
        </w:rPr>
      </w:pPr>
      <w:r w:rsidRPr="00FA0D37">
        <w:t xml:space="preserve">maxNrofPUSCH-PathlossReferenceRSs       </w:t>
      </w:r>
      <w:r w:rsidRPr="00FA0D37">
        <w:rPr>
          <w:color w:val="993366"/>
        </w:rPr>
        <w:t>INTEGER</w:t>
      </w:r>
      <w:r w:rsidRPr="00FA0D37">
        <w:t xml:space="preserve"> ::= 4       </w:t>
      </w:r>
      <w:r w:rsidRPr="00FA0D37">
        <w:rPr>
          <w:color w:val="808080"/>
        </w:rPr>
        <w:t>-- Maximum number of RSs used as pathloss reference for PUSCH power control.</w:t>
      </w:r>
    </w:p>
    <w:p w14:paraId="33EBA918" w14:textId="77777777" w:rsidR="00D47B04" w:rsidRPr="00FA0D37" w:rsidRDefault="00394471" w:rsidP="00FA0D37">
      <w:pPr>
        <w:pStyle w:val="PL"/>
        <w:rPr>
          <w:color w:val="808080"/>
        </w:rPr>
      </w:pPr>
      <w:r w:rsidRPr="00FA0D37">
        <w:t xml:space="preserve">maxNrofPUSCH-PathlossReferenceRSs-1     </w:t>
      </w:r>
      <w:r w:rsidRPr="00FA0D37">
        <w:rPr>
          <w:color w:val="993366"/>
        </w:rPr>
        <w:t>INTEGER</w:t>
      </w:r>
      <w:r w:rsidRPr="00FA0D37">
        <w:t xml:space="preserve"> ::= 3       </w:t>
      </w:r>
      <w:r w:rsidRPr="00FA0D37">
        <w:rPr>
          <w:color w:val="808080"/>
        </w:rPr>
        <w:t>-- Maximum number of RSs used as pathloss reference for PUSCH power control</w:t>
      </w:r>
    </w:p>
    <w:p w14:paraId="3A6EB2F5" w14:textId="55F564E3" w:rsidR="00394471" w:rsidRPr="00FA0D37" w:rsidRDefault="00D47B04" w:rsidP="00FA0D37">
      <w:pPr>
        <w:pStyle w:val="PL"/>
        <w:rPr>
          <w:color w:val="808080"/>
        </w:rPr>
      </w:pPr>
      <w:r w:rsidRPr="00FA0D37">
        <w:t xml:space="preserve">                                                            </w:t>
      </w:r>
      <w:r w:rsidRPr="00FA0D37">
        <w:rPr>
          <w:color w:val="808080"/>
        </w:rPr>
        <w:t>--</w:t>
      </w:r>
      <w:r w:rsidR="00394471" w:rsidRPr="00FA0D37">
        <w:rPr>
          <w:color w:val="808080"/>
        </w:rPr>
        <w:t xml:space="preserve"> minus 1.</w:t>
      </w:r>
    </w:p>
    <w:p w14:paraId="2F0A6472" w14:textId="77777777" w:rsidR="00D47B04" w:rsidRPr="00FA0D37" w:rsidRDefault="00394471" w:rsidP="00FA0D37">
      <w:pPr>
        <w:pStyle w:val="PL"/>
        <w:rPr>
          <w:color w:val="808080"/>
        </w:rPr>
      </w:pPr>
      <w:r w:rsidRPr="00FA0D37">
        <w:t xml:space="preserve">maxNrofPUSCH-PathlossReferenceRSs-r16   </w:t>
      </w:r>
      <w:r w:rsidRPr="00FA0D37">
        <w:rPr>
          <w:color w:val="993366"/>
        </w:rPr>
        <w:t>INTEGER</w:t>
      </w:r>
      <w:r w:rsidRPr="00FA0D37">
        <w:t xml:space="preserve"> ::= 64      </w:t>
      </w:r>
      <w:r w:rsidRPr="00FA0D37">
        <w:rPr>
          <w:color w:val="808080"/>
        </w:rPr>
        <w:t>-- Maximum number of RSs used as pathloss reference for PUSCH power control</w:t>
      </w:r>
    </w:p>
    <w:p w14:paraId="43D445EF" w14:textId="3C31CF8C" w:rsidR="00394471" w:rsidRPr="00FA0D37" w:rsidRDefault="00D47B04" w:rsidP="00FA0D37">
      <w:pPr>
        <w:pStyle w:val="PL"/>
        <w:rPr>
          <w:color w:val="808080"/>
        </w:rPr>
      </w:pPr>
      <w:r w:rsidRPr="00FA0D37">
        <w:t xml:space="preserve">                                                            </w:t>
      </w:r>
      <w:r w:rsidRPr="00FA0D37">
        <w:rPr>
          <w:color w:val="808080"/>
        </w:rPr>
        <w:t xml:space="preserve">-- </w:t>
      </w:r>
      <w:r w:rsidR="00394471" w:rsidRPr="00FA0D37">
        <w:rPr>
          <w:color w:val="808080"/>
        </w:rPr>
        <w:t>extended</w:t>
      </w:r>
    </w:p>
    <w:p w14:paraId="418BAF00" w14:textId="7C35DF78" w:rsidR="00394471" w:rsidRPr="00FA0D37" w:rsidRDefault="00394471" w:rsidP="00FA0D37">
      <w:pPr>
        <w:pStyle w:val="PL"/>
        <w:rPr>
          <w:color w:val="808080"/>
        </w:rPr>
      </w:pPr>
      <w:r w:rsidRPr="00FA0D37">
        <w:t xml:space="preserve">maxNrofPUSCH-PathlossReferenceRSs-1-r16 </w:t>
      </w:r>
      <w:r w:rsidRPr="00FA0D37">
        <w:rPr>
          <w:color w:val="993366"/>
        </w:rPr>
        <w:t>INTEGER</w:t>
      </w:r>
      <w:r w:rsidRPr="00FA0D37">
        <w:t xml:space="preserve"> ::= 63      </w:t>
      </w:r>
      <w:r w:rsidRPr="00FA0D37">
        <w:rPr>
          <w:color w:val="808080"/>
        </w:rPr>
        <w:t>-- Maximum number of RSs used as pathloss reference for PUSCH power control</w:t>
      </w:r>
    </w:p>
    <w:p w14:paraId="6851981F" w14:textId="77777777" w:rsidR="00B05906" w:rsidRPr="00FA0D37" w:rsidRDefault="00B05906" w:rsidP="00FA0D37">
      <w:pPr>
        <w:pStyle w:val="PL"/>
        <w:rPr>
          <w:color w:val="808080"/>
        </w:rPr>
      </w:pPr>
      <w:r w:rsidRPr="00FA0D37">
        <w:t xml:space="preserve">                                                            </w:t>
      </w:r>
      <w:r w:rsidRPr="00FA0D37">
        <w:rPr>
          <w:color w:val="808080"/>
        </w:rPr>
        <w:t>-- extended minus 1</w:t>
      </w:r>
    </w:p>
    <w:p w14:paraId="26C5704A" w14:textId="69EA9B38" w:rsidR="00394471" w:rsidRPr="00FA0D37" w:rsidRDefault="00394471" w:rsidP="00FA0D37">
      <w:pPr>
        <w:pStyle w:val="PL"/>
        <w:rPr>
          <w:color w:val="808080"/>
        </w:rPr>
      </w:pPr>
      <w:r w:rsidRPr="00FA0D37">
        <w:t xml:space="preserve">maxNrofPUSCH-PathlossReferenceRSsDiff-r16  </w:t>
      </w:r>
      <w:r w:rsidRPr="00FA0D37">
        <w:rPr>
          <w:color w:val="993366"/>
        </w:rPr>
        <w:t>INTEGER</w:t>
      </w:r>
      <w:r w:rsidRPr="00FA0D37">
        <w:t xml:space="preserve"> ::= 60   </w:t>
      </w:r>
      <w:r w:rsidRPr="00FA0D37">
        <w:rPr>
          <w:color w:val="808080"/>
        </w:rPr>
        <w:t>-- Difference between maxNrofPUSCH-PathlossReferenceRSs-r16 and</w:t>
      </w:r>
    </w:p>
    <w:p w14:paraId="7F717FD3" w14:textId="77777777" w:rsidR="00394471" w:rsidRPr="00FA0D37" w:rsidRDefault="00394471" w:rsidP="00FA0D37">
      <w:pPr>
        <w:pStyle w:val="PL"/>
        <w:rPr>
          <w:color w:val="808080"/>
        </w:rPr>
      </w:pPr>
      <w:r w:rsidRPr="00FA0D37">
        <w:t xml:space="preserve">                                                            </w:t>
      </w:r>
      <w:r w:rsidRPr="00FA0D37">
        <w:rPr>
          <w:color w:val="808080"/>
        </w:rPr>
        <w:t>-- maxNrofPUSCH-PathlossReferenceRSs</w:t>
      </w:r>
    </w:p>
    <w:p w14:paraId="3A42B6C8" w14:textId="77777777" w:rsidR="0077279B" w:rsidRPr="00FA0D37" w:rsidRDefault="0077279B" w:rsidP="00FA0D37">
      <w:pPr>
        <w:pStyle w:val="PL"/>
        <w:rPr>
          <w:color w:val="808080"/>
        </w:rPr>
      </w:pPr>
      <w:r w:rsidRPr="00FA0D37">
        <w:t xml:space="preserve">maxNrofPathlossReferenceRSs-r17         </w:t>
      </w:r>
      <w:r w:rsidRPr="00FA0D37">
        <w:rPr>
          <w:color w:val="993366"/>
        </w:rPr>
        <w:t>INTEGER</w:t>
      </w:r>
      <w:r w:rsidRPr="00FA0D37">
        <w:t xml:space="preserve"> ::= 64      </w:t>
      </w:r>
      <w:r w:rsidRPr="00FA0D37">
        <w:rPr>
          <w:color w:val="808080"/>
        </w:rPr>
        <w:t>-- Maximum number of RSs used as pathloss reference for PUSCH, PUCCH, SRS</w:t>
      </w:r>
    </w:p>
    <w:p w14:paraId="2C6ADD64" w14:textId="77777777" w:rsidR="0077279B" w:rsidRPr="00FA0D37" w:rsidRDefault="0077279B" w:rsidP="00FA0D37">
      <w:pPr>
        <w:pStyle w:val="PL"/>
        <w:rPr>
          <w:color w:val="808080"/>
        </w:rPr>
      </w:pPr>
      <w:r w:rsidRPr="00FA0D37">
        <w:t xml:space="preserve">                                                            </w:t>
      </w:r>
      <w:r w:rsidRPr="00FA0D37">
        <w:rPr>
          <w:color w:val="808080"/>
        </w:rPr>
        <w:t>-- power control for unified TCI state operation</w:t>
      </w:r>
    </w:p>
    <w:p w14:paraId="4F530793" w14:textId="2D6C2A34" w:rsidR="005D46C6" w:rsidRPr="00FA0D37" w:rsidRDefault="005D46C6" w:rsidP="00FA0D37">
      <w:pPr>
        <w:pStyle w:val="PL"/>
        <w:rPr>
          <w:color w:val="808080"/>
        </w:rPr>
      </w:pPr>
      <w:r w:rsidRPr="00FA0D37">
        <w:t xml:space="preserve">maxNrofPathlossReferenceRSs-1-r17       </w:t>
      </w:r>
      <w:r w:rsidRPr="00FA0D37">
        <w:rPr>
          <w:color w:val="993366"/>
        </w:rPr>
        <w:t>INTEGER</w:t>
      </w:r>
      <w:r w:rsidRPr="00FA0D37">
        <w:t xml:space="preserve"> ::= 63      </w:t>
      </w:r>
      <w:r w:rsidRPr="00FA0D37">
        <w:rPr>
          <w:color w:val="808080"/>
        </w:rPr>
        <w:t>-- Maximum number of RSs used as pathloss reference for PUSCH, PUCCH, SRS</w:t>
      </w:r>
    </w:p>
    <w:p w14:paraId="07EB7D04" w14:textId="0813577D" w:rsidR="005D46C6" w:rsidRPr="00FA0D37" w:rsidRDefault="005D46C6" w:rsidP="00FA0D37">
      <w:pPr>
        <w:pStyle w:val="PL"/>
        <w:rPr>
          <w:color w:val="808080"/>
        </w:rPr>
      </w:pPr>
      <w:r w:rsidRPr="00FA0D37">
        <w:t xml:space="preserve">                                                            </w:t>
      </w:r>
      <w:r w:rsidRPr="00FA0D37">
        <w:rPr>
          <w:color w:val="808080"/>
        </w:rPr>
        <w:t>-- power control for unified TCI state operation minus 1</w:t>
      </w:r>
    </w:p>
    <w:p w14:paraId="4041C3A7" w14:textId="77777777" w:rsidR="00394471" w:rsidRPr="00FA0D37" w:rsidRDefault="00394471" w:rsidP="00FA0D37">
      <w:pPr>
        <w:pStyle w:val="PL"/>
        <w:rPr>
          <w:color w:val="808080"/>
        </w:rPr>
      </w:pPr>
      <w:r w:rsidRPr="00FA0D37">
        <w:t xml:space="preserve">maxNrofNAICS-Entries                    </w:t>
      </w:r>
      <w:r w:rsidRPr="00FA0D37">
        <w:rPr>
          <w:color w:val="993366"/>
        </w:rPr>
        <w:t>INTEGER</w:t>
      </w:r>
      <w:r w:rsidRPr="00FA0D37">
        <w:t xml:space="preserve"> ::= 8       </w:t>
      </w:r>
      <w:r w:rsidRPr="00FA0D37">
        <w:rPr>
          <w:color w:val="808080"/>
        </w:rPr>
        <w:t>-- Maximum number of supported NAICS capability set</w:t>
      </w:r>
    </w:p>
    <w:p w14:paraId="35FBBD34" w14:textId="77777777" w:rsidR="00394471" w:rsidRPr="00FA0D37" w:rsidRDefault="00394471" w:rsidP="00FA0D37">
      <w:pPr>
        <w:pStyle w:val="PL"/>
        <w:rPr>
          <w:color w:val="808080"/>
        </w:rPr>
      </w:pPr>
      <w:r w:rsidRPr="00FA0D37">
        <w:t xml:space="preserve">maxBands                                </w:t>
      </w:r>
      <w:r w:rsidRPr="00FA0D37">
        <w:rPr>
          <w:color w:val="993366"/>
        </w:rPr>
        <w:t>INTEGER</w:t>
      </w:r>
      <w:r w:rsidRPr="00FA0D37">
        <w:t xml:space="preserve"> ::= 1024    </w:t>
      </w:r>
      <w:r w:rsidRPr="00FA0D37">
        <w:rPr>
          <w:color w:val="808080"/>
        </w:rPr>
        <w:t>-- Maximum number of supported bands in UE capability.</w:t>
      </w:r>
    </w:p>
    <w:p w14:paraId="15963E13" w14:textId="77777777" w:rsidR="00394471" w:rsidRPr="00FA0D37" w:rsidRDefault="00394471" w:rsidP="00FA0D37">
      <w:pPr>
        <w:pStyle w:val="PL"/>
      </w:pPr>
      <w:r w:rsidRPr="00FA0D37">
        <w:t xml:space="preserve">maxBandsMRDC                            </w:t>
      </w:r>
      <w:r w:rsidRPr="00FA0D37">
        <w:rPr>
          <w:color w:val="993366"/>
        </w:rPr>
        <w:t>INTEGER</w:t>
      </w:r>
      <w:r w:rsidRPr="00FA0D37">
        <w:t xml:space="preserve"> ::= 1280</w:t>
      </w:r>
    </w:p>
    <w:p w14:paraId="3FD80BA3" w14:textId="77777777" w:rsidR="00394471" w:rsidRPr="00FA0D37" w:rsidRDefault="00394471" w:rsidP="00FA0D37">
      <w:pPr>
        <w:pStyle w:val="PL"/>
      </w:pPr>
      <w:r w:rsidRPr="00FA0D37">
        <w:t xml:space="preserve">maxBandsEUTRA                           </w:t>
      </w:r>
      <w:r w:rsidRPr="00FA0D37">
        <w:rPr>
          <w:color w:val="993366"/>
        </w:rPr>
        <w:t>INTEGER</w:t>
      </w:r>
      <w:r w:rsidRPr="00FA0D37">
        <w:t xml:space="preserve"> ::= 256</w:t>
      </w:r>
    </w:p>
    <w:p w14:paraId="5E43308C" w14:textId="77777777" w:rsidR="00394471" w:rsidRPr="00FA0D37" w:rsidRDefault="00394471" w:rsidP="00FA0D37">
      <w:pPr>
        <w:pStyle w:val="PL"/>
      </w:pPr>
      <w:r w:rsidRPr="00FA0D37">
        <w:t xml:space="preserve">maxCellReport                           </w:t>
      </w:r>
      <w:r w:rsidRPr="00FA0D37">
        <w:rPr>
          <w:color w:val="993366"/>
        </w:rPr>
        <w:t>INTEGER</w:t>
      </w:r>
      <w:r w:rsidRPr="00FA0D37">
        <w:t xml:space="preserve"> ::= 8</w:t>
      </w:r>
    </w:p>
    <w:p w14:paraId="52AA5DE0" w14:textId="39CB047E" w:rsidR="00394471" w:rsidRPr="00FA0D37" w:rsidRDefault="00394471" w:rsidP="00FA0D37">
      <w:pPr>
        <w:pStyle w:val="PL"/>
        <w:rPr>
          <w:color w:val="808080"/>
        </w:rPr>
      </w:pPr>
      <w:r w:rsidRPr="00FA0D37">
        <w:t xml:space="preserve">maxDRB                                  </w:t>
      </w:r>
      <w:r w:rsidRPr="00FA0D37">
        <w:rPr>
          <w:color w:val="993366"/>
        </w:rPr>
        <w:t>INTEGER</w:t>
      </w:r>
      <w:r w:rsidRPr="00FA0D37">
        <w:t xml:space="preserve"> ::= 29      </w:t>
      </w:r>
      <w:r w:rsidRPr="00FA0D37">
        <w:rPr>
          <w:color w:val="808080"/>
        </w:rPr>
        <w:t>-- Maximum number of DRBs (that can be added in DRB-ToAddModL</w:t>
      </w:r>
      <w:r w:rsidR="00B05906" w:rsidRPr="00FA0D37">
        <w:rPr>
          <w:color w:val="808080"/>
        </w:rPr>
        <w:t>i</w:t>
      </w:r>
      <w:r w:rsidRPr="00FA0D37">
        <w:rPr>
          <w:color w:val="808080"/>
        </w:rPr>
        <w:t>st).</w:t>
      </w:r>
    </w:p>
    <w:p w14:paraId="6CE02D3E" w14:textId="77777777" w:rsidR="00394471" w:rsidRPr="00FA0D37" w:rsidRDefault="00394471" w:rsidP="00FA0D37">
      <w:pPr>
        <w:pStyle w:val="PL"/>
        <w:rPr>
          <w:color w:val="808080"/>
        </w:rPr>
      </w:pPr>
      <w:r w:rsidRPr="00FA0D37">
        <w:t xml:space="preserve">maxFreq                                 </w:t>
      </w:r>
      <w:r w:rsidRPr="00FA0D37">
        <w:rPr>
          <w:color w:val="993366"/>
        </w:rPr>
        <w:t>INTEGER</w:t>
      </w:r>
      <w:r w:rsidRPr="00FA0D37">
        <w:t xml:space="preserve"> ::= 8       </w:t>
      </w:r>
      <w:r w:rsidRPr="00FA0D37">
        <w:rPr>
          <w:color w:val="808080"/>
        </w:rPr>
        <w:t>-- Max number of frequencies.</w:t>
      </w:r>
    </w:p>
    <w:p w14:paraId="6F349FAD" w14:textId="77777777" w:rsidR="00394471" w:rsidRPr="00FA0D37" w:rsidRDefault="00394471" w:rsidP="00FA0D37">
      <w:pPr>
        <w:pStyle w:val="PL"/>
        <w:rPr>
          <w:color w:val="808080"/>
        </w:rPr>
      </w:pPr>
      <w:r w:rsidRPr="00FA0D37">
        <w:rPr>
          <w:rFonts w:eastAsiaTheme="minorEastAsia"/>
        </w:rPr>
        <w:t>maxFreqLayers</w:t>
      </w:r>
      <w:r w:rsidRPr="00FA0D37">
        <w:t xml:space="preserve">                           </w:t>
      </w:r>
      <w:r w:rsidRPr="00FA0D37">
        <w:rPr>
          <w:rFonts w:eastAsiaTheme="minorEastAsia"/>
          <w:color w:val="993366"/>
        </w:rPr>
        <w:t>INTEGER</w:t>
      </w:r>
      <w:r w:rsidRPr="00FA0D37">
        <w:rPr>
          <w:rFonts w:eastAsiaTheme="minorEastAsia"/>
        </w:rPr>
        <w:t xml:space="preserve"> ::= 4</w:t>
      </w:r>
      <w:r w:rsidRPr="00FA0D37">
        <w:t xml:space="preserve">       </w:t>
      </w:r>
      <w:r w:rsidRPr="00FA0D37">
        <w:rPr>
          <w:color w:val="808080"/>
        </w:rPr>
        <w:t>-- Max number of frequency layers.</w:t>
      </w:r>
    </w:p>
    <w:p w14:paraId="7311DDE3" w14:textId="4CE37BE6" w:rsidR="008E5FFC" w:rsidRPr="00FA0D37" w:rsidRDefault="008E5FFC" w:rsidP="00FA0D37">
      <w:pPr>
        <w:pStyle w:val="PL"/>
        <w:rPr>
          <w:color w:val="808080"/>
        </w:rPr>
      </w:pPr>
      <w:r w:rsidRPr="00FA0D37">
        <w:rPr>
          <w:rFonts w:eastAsiaTheme="minorEastAsia"/>
        </w:rPr>
        <w:t>maxFreqPlus1</w:t>
      </w:r>
      <w:r w:rsidRPr="00FA0D37">
        <w:t xml:space="preserve">                            </w:t>
      </w:r>
      <w:r w:rsidRPr="00FA0D37">
        <w:rPr>
          <w:rFonts w:eastAsiaTheme="minorEastAsia"/>
          <w:color w:val="993366"/>
        </w:rPr>
        <w:t>INTEGER</w:t>
      </w:r>
      <w:r w:rsidRPr="00FA0D37">
        <w:rPr>
          <w:rFonts w:eastAsiaTheme="minorEastAsia"/>
        </w:rPr>
        <w:t xml:space="preserve"> ::= 9</w:t>
      </w:r>
      <w:r w:rsidRPr="00FA0D37">
        <w:t xml:space="preserve">       </w:t>
      </w:r>
      <w:r w:rsidRPr="00FA0D37">
        <w:rPr>
          <w:color w:val="808080"/>
        </w:rPr>
        <w:t>-- Max number of frequencies for Slicing.</w:t>
      </w:r>
    </w:p>
    <w:p w14:paraId="50DEAF4D" w14:textId="77777777" w:rsidR="00394471" w:rsidRPr="00FA0D37" w:rsidRDefault="00394471" w:rsidP="00FA0D37">
      <w:pPr>
        <w:pStyle w:val="PL"/>
        <w:rPr>
          <w:color w:val="808080"/>
        </w:rPr>
      </w:pPr>
      <w:r w:rsidRPr="00FA0D37">
        <w:t xml:space="preserve">maxFreqIDC-r16                          </w:t>
      </w:r>
      <w:r w:rsidRPr="00FA0D37">
        <w:rPr>
          <w:color w:val="993366"/>
        </w:rPr>
        <w:t>INTEGER</w:t>
      </w:r>
      <w:r w:rsidRPr="00FA0D37">
        <w:t xml:space="preserve"> ::= 128     </w:t>
      </w:r>
      <w:r w:rsidRPr="00FA0D37">
        <w:rPr>
          <w:color w:val="808080"/>
        </w:rPr>
        <w:t>-- Max number of frequencies for IDC indication.</w:t>
      </w:r>
    </w:p>
    <w:p w14:paraId="09F7F5C4" w14:textId="77777777" w:rsidR="00394471" w:rsidRPr="00FA0D37" w:rsidRDefault="00394471" w:rsidP="00FA0D37">
      <w:pPr>
        <w:pStyle w:val="PL"/>
        <w:rPr>
          <w:color w:val="808080"/>
        </w:rPr>
      </w:pPr>
      <w:r w:rsidRPr="00FA0D37">
        <w:t xml:space="preserve">maxCombIDC-r16                          </w:t>
      </w:r>
      <w:r w:rsidRPr="00FA0D37">
        <w:rPr>
          <w:color w:val="993366"/>
        </w:rPr>
        <w:t>INTEGER</w:t>
      </w:r>
      <w:r w:rsidRPr="00FA0D37">
        <w:t xml:space="preserve"> ::= 128     </w:t>
      </w:r>
      <w:r w:rsidRPr="00FA0D37">
        <w:rPr>
          <w:color w:val="808080"/>
        </w:rPr>
        <w:t>-- Max number of reported UL CA for IDC indication.</w:t>
      </w:r>
    </w:p>
    <w:p w14:paraId="089C1D0C" w14:textId="77777777" w:rsidR="00394471" w:rsidRPr="00FA0D37" w:rsidRDefault="00394471" w:rsidP="00FA0D37">
      <w:pPr>
        <w:pStyle w:val="PL"/>
        <w:rPr>
          <w:color w:val="808080"/>
        </w:rPr>
      </w:pPr>
      <w:r w:rsidRPr="00FA0D37">
        <w:t xml:space="preserve">maxFreqIDC-MRDC                         </w:t>
      </w:r>
      <w:r w:rsidRPr="00FA0D37">
        <w:rPr>
          <w:color w:val="993366"/>
        </w:rPr>
        <w:t>INTEGER</w:t>
      </w:r>
      <w:r w:rsidRPr="00FA0D37">
        <w:t xml:space="preserve"> ::= 32      </w:t>
      </w:r>
      <w:r w:rsidRPr="00FA0D37">
        <w:rPr>
          <w:color w:val="808080"/>
        </w:rPr>
        <w:t>-- Maximum number of candidate NR frequencies for MR-DC IDC indication</w:t>
      </w:r>
    </w:p>
    <w:p w14:paraId="68131BB7" w14:textId="3C782007" w:rsidR="00394471" w:rsidRPr="00FA0D37" w:rsidRDefault="00394471" w:rsidP="00FA0D37">
      <w:pPr>
        <w:pStyle w:val="PL"/>
        <w:rPr>
          <w:color w:val="808080"/>
        </w:rPr>
      </w:pPr>
      <w:r w:rsidRPr="00FA0D37">
        <w:t xml:space="preserve">maxNrofCandidateBeams                   </w:t>
      </w:r>
      <w:r w:rsidRPr="00FA0D37">
        <w:rPr>
          <w:color w:val="993366"/>
        </w:rPr>
        <w:t>INTEGER</w:t>
      </w:r>
      <w:r w:rsidRPr="00FA0D37">
        <w:t xml:space="preserve"> ::= 16      </w:t>
      </w:r>
      <w:r w:rsidRPr="00FA0D37">
        <w:rPr>
          <w:color w:val="808080"/>
        </w:rPr>
        <w:t>-- Max number of PRACH-ResourceDedicatedBFR in BFR config.</w:t>
      </w:r>
    </w:p>
    <w:p w14:paraId="401B2AD3" w14:textId="77777777" w:rsidR="00394471" w:rsidRPr="00FA0D37" w:rsidRDefault="00394471" w:rsidP="00FA0D37">
      <w:pPr>
        <w:pStyle w:val="PL"/>
        <w:rPr>
          <w:color w:val="808080"/>
        </w:rPr>
      </w:pPr>
      <w:r w:rsidRPr="00FA0D37">
        <w:t xml:space="preserve">maxNrofCandidateBeams-r16               </w:t>
      </w:r>
      <w:r w:rsidRPr="00FA0D37">
        <w:rPr>
          <w:color w:val="993366"/>
        </w:rPr>
        <w:t>INTEGER</w:t>
      </w:r>
      <w:r w:rsidRPr="00FA0D37">
        <w:t xml:space="preserve"> ::= 64      </w:t>
      </w:r>
      <w:r w:rsidRPr="00FA0D37">
        <w:rPr>
          <w:color w:val="808080"/>
        </w:rPr>
        <w:t>-- Max number of candidate beam resources in BFR config.</w:t>
      </w:r>
    </w:p>
    <w:p w14:paraId="6D46B758" w14:textId="77777777" w:rsidR="00394471" w:rsidRPr="00FA0D37" w:rsidRDefault="00394471" w:rsidP="00FA0D37">
      <w:pPr>
        <w:pStyle w:val="PL"/>
        <w:rPr>
          <w:color w:val="808080"/>
        </w:rPr>
      </w:pPr>
      <w:r w:rsidRPr="00FA0D37">
        <w:t xml:space="preserve">maxNrofCandidateBeamsExt-r16            </w:t>
      </w:r>
      <w:r w:rsidRPr="00FA0D37">
        <w:rPr>
          <w:color w:val="993366"/>
        </w:rPr>
        <w:t>INTEGER</w:t>
      </w:r>
      <w:r w:rsidRPr="00FA0D37">
        <w:t xml:space="preserve"> ::= 48      </w:t>
      </w:r>
      <w:r w:rsidRPr="00FA0D37">
        <w:rPr>
          <w:color w:val="808080"/>
        </w:rPr>
        <w:t>-- Max number of PRACH-ResourceDedicatedBFR in the CandidateBeamRSListExt</w:t>
      </w:r>
    </w:p>
    <w:p w14:paraId="4CF48AE0" w14:textId="6771869B" w:rsidR="00394471" w:rsidRPr="00FA0D37" w:rsidRDefault="00394471" w:rsidP="00FA0D37">
      <w:pPr>
        <w:pStyle w:val="PL"/>
        <w:rPr>
          <w:color w:val="808080"/>
        </w:rPr>
      </w:pPr>
      <w:r w:rsidRPr="00FA0D37">
        <w:t xml:space="preserve">maxNrofPCIsPerSMTC                      </w:t>
      </w:r>
      <w:r w:rsidRPr="00FA0D37">
        <w:rPr>
          <w:color w:val="993366"/>
        </w:rPr>
        <w:t>INTEGER</w:t>
      </w:r>
      <w:r w:rsidRPr="00FA0D37">
        <w:t xml:space="preserve"> ::= 64      </w:t>
      </w:r>
      <w:r w:rsidRPr="00FA0D37">
        <w:rPr>
          <w:color w:val="808080"/>
        </w:rPr>
        <w:t>-- Maximu</w:t>
      </w:r>
      <w:r w:rsidR="00B05906" w:rsidRPr="00FA0D37">
        <w:rPr>
          <w:color w:val="808080"/>
        </w:rPr>
        <w:t>m</w:t>
      </w:r>
      <w:r w:rsidRPr="00FA0D37">
        <w:rPr>
          <w:color w:val="808080"/>
        </w:rPr>
        <w:t xml:space="preserve"> number of PCIs per SMTC.</w:t>
      </w:r>
    </w:p>
    <w:p w14:paraId="5C80A065" w14:textId="77777777" w:rsidR="00394471" w:rsidRPr="00FA0D37" w:rsidRDefault="00394471" w:rsidP="00FA0D37">
      <w:pPr>
        <w:pStyle w:val="PL"/>
      </w:pPr>
      <w:r w:rsidRPr="00FA0D37">
        <w:lastRenderedPageBreak/>
        <w:t xml:space="preserve">maxNrofQFIs                             </w:t>
      </w:r>
      <w:r w:rsidRPr="00FA0D37">
        <w:rPr>
          <w:color w:val="993366"/>
        </w:rPr>
        <w:t>INTEGER</w:t>
      </w:r>
      <w:r w:rsidRPr="00FA0D37">
        <w:t xml:space="preserve"> ::= 64</w:t>
      </w:r>
    </w:p>
    <w:p w14:paraId="4D96278B" w14:textId="77777777" w:rsidR="00394471" w:rsidRPr="00FA0D37" w:rsidRDefault="00394471" w:rsidP="00FA0D37">
      <w:pPr>
        <w:pStyle w:val="PL"/>
      </w:pPr>
      <w:r w:rsidRPr="00FA0D37">
        <w:t xml:space="preserve">maxNrofResourceAvailabilityPerCombination-r16 </w:t>
      </w:r>
      <w:r w:rsidRPr="00FA0D37">
        <w:rPr>
          <w:color w:val="993366"/>
        </w:rPr>
        <w:t>INTEGER</w:t>
      </w:r>
      <w:r w:rsidRPr="00FA0D37">
        <w:t xml:space="preserve"> ::= 256</w:t>
      </w:r>
    </w:p>
    <w:p w14:paraId="1477EC12" w14:textId="77777777" w:rsidR="00394471" w:rsidRPr="00FA0D37" w:rsidRDefault="00394471" w:rsidP="00FA0D37">
      <w:pPr>
        <w:pStyle w:val="PL"/>
        <w:rPr>
          <w:color w:val="808080"/>
        </w:rPr>
      </w:pPr>
      <w:r w:rsidRPr="00FA0D37">
        <w:t xml:space="preserve">maxNrOfSemiPersistentPUSCH-Triggers     </w:t>
      </w:r>
      <w:r w:rsidRPr="00FA0D37">
        <w:rPr>
          <w:color w:val="993366"/>
        </w:rPr>
        <w:t>INTEGER</w:t>
      </w:r>
      <w:r w:rsidRPr="00FA0D37">
        <w:t xml:space="preserve"> ::= 64      </w:t>
      </w:r>
      <w:r w:rsidRPr="00FA0D37">
        <w:rPr>
          <w:color w:val="808080"/>
        </w:rPr>
        <w:t>-- Maximum number of triggers for semi persistent reporting on PUSCH</w:t>
      </w:r>
    </w:p>
    <w:p w14:paraId="57A82995" w14:textId="77777777" w:rsidR="00394471" w:rsidRPr="00FA0D37" w:rsidRDefault="00394471" w:rsidP="00FA0D37">
      <w:pPr>
        <w:pStyle w:val="PL"/>
        <w:rPr>
          <w:color w:val="808080"/>
        </w:rPr>
      </w:pPr>
      <w:r w:rsidRPr="00FA0D37">
        <w:t xml:space="preserve">maxNrofSR-Resources                     </w:t>
      </w:r>
      <w:r w:rsidRPr="00FA0D37">
        <w:rPr>
          <w:color w:val="993366"/>
        </w:rPr>
        <w:t>INTEGER</w:t>
      </w:r>
      <w:r w:rsidRPr="00FA0D37">
        <w:t xml:space="preserve"> ::= 8       </w:t>
      </w:r>
      <w:r w:rsidRPr="00FA0D37">
        <w:rPr>
          <w:color w:val="808080"/>
        </w:rPr>
        <w:t>-- Maximum number of SR resources per BWP in a cell.</w:t>
      </w:r>
    </w:p>
    <w:p w14:paraId="69501810" w14:textId="77777777" w:rsidR="00394471" w:rsidRPr="00FA0D37" w:rsidRDefault="00394471" w:rsidP="00FA0D37">
      <w:pPr>
        <w:pStyle w:val="PL"/>
      </w:pPr>
      <w:r w:rsidRPr="00FA0D37">
        <w:t xml:space="preserve">maxNrofSlotFormatsPerCombination        </w:t>
      </w:r>
      <w:r w:rsidRPr="00FA0D37">
        <w:rPr>
          <w:color w:val="993366"/>
        </w:rPr>
        <w:t>INTEGER</w:t>
      </w:r>
      <w:r w:rsidRPr="00FA0D37">
        <w:t xml:space="preserve"> ::= 256</w:t>
      </w:r>
    </w:p>
    <w:p w14:paraId="40B7FCF9" w14:textId="77777777" w:rsidR="00394471" w:rsidRPr="00FA0D37" w:rsidRDefault="00394471" w:rsidP="00FA0D37">
      <w:pPr>
        <w:pStyle w:val="PL"/>
      </w:pPr>
      <w:r w:rsidRPr="00FA0D37">
        <w:t xml:space="preserve">maxNrofSpatialRelationInfos             </w:t>
      </w:r>
      <w:r w:rsidRPr="00FA0D37">
        <w:rPr>
          <w:color w:val="993366"/>
        </w:rPr>
        <w:t>INTEGER</w:t>
      </w:r>
      <w:r w:rsidRPr="00FA0D37">
        <w:t xml:space="preserve"> ::= 8</w:t>
      </w:r>
    </w:p>
    <w:p w14:paraId="6D70AA28" w14:textId="77777777" w:rsidR="00394471" w:rsidRPr="00FA0D37" w:rsidRDefault="00394471" w:rsidP="00FA0D37">
      <w:pPr>
        <w:pStyle w:val="PL"/>
      </w:pPr>
      <w:r w:rsidRPr="00FA0D37">
        <w:t xml:space="preserve">maxNrofSpatialRelationInfos-plus-1      </w:t>
      </w:r>
      <w:r w:rsidRPr="00FA0D37">
        <w:rPr>
          <w:color w:val="993366"/>
        </w:rPr>
        <w:t>INTEGER</w:t>
      </w:r>
      <w:r w:rsidRPr="00FA0D37">
        <w:t xml:space="preserve"> ::= 9</w:t>
      </w:r>
    </w:p>
    <w:p w14:paraId="163CA83C" w14:textId="77777777" w:rsidR="00394471" w:rsidRPr="00FA0D37" w:rsidRDefault="00394471" w:rsidP="00FA0D37">
      <w:pPr>
        <w:pStyle w:val="PL"/>
      </w:pPr>
      <w:r w:rsidRPr="00FA0D37">
        <w:t xml:space="preserve">maxNrofSpatialRelationInfos-r16         </w:t>
      </w:r>
      <w:r w:rsidRPr="00FA0D37">
        <w:rPr>
          <w:color w:val="993366"/>
        </w:rPr>
        <w:t>INTEGER</w:t>
      </w:r>
      <w:r w:rsidRPr="00FA0D37">
        <w:t xml:space="preserve"> ::= 64</w:t>
      </w:r>
    </w:p>
    <w:p w14:paraId="300EC842" w14:textId="77777777" w:rsidR="00394471" w:rsidRPr="00FA0D37" w:rsidRDefault="00394471" w:rsidP="00FA0D37">
      <w:pPr>
        <w:pStyle w:val="PL"/>
        <w:rPr>
          <w:color w:val="808080"/>
        </w:rPr>
      </w:pPr>
      <w:r w:rsidRPr="00FA0D37">
        <w:t xml:space="preserve">maxNrofSpatialRelationInfosDiff-r16     </w:t>
      </w:r>
      <w:r w:rsidRPr="00FA0D37">
        <w:rPr>
          <w:color w:val="993366"/>
        </w:rPr>
        <w:t>INTEGER</w:t>
      </w:r>
      <w:r w:rsidRPr="00FA0D37">
        <w:t xml:space="preserve"> ::= 56      </w:t>
      </w:r>
      <w:r w:rsidRPr="00FA0D37">
        <w:rPr>
          <w:color w:val="808080"/>
        </w:rPr>
        <w:t>-- Difference between maxNrofSpatialRelationInfos-r16 and maxNrofSpatialRelationInfos</w:t>
      </w:r>
    </w:p>
    <w:p w14:paraId="42256A3D" w14:textId="77777777" w:rsidR="00394471" w:rsidRPr="00FA0D37" w:rsidRDefault="00394471" w:rsidP="00FA0D37">
      <w:pPr>
        <w:pStyle w:val="PL"/>
      </w:pPr>
      <w:r w:rsidRPr="00FA0D37">
        <w:t xml:space="preserve">maxNrofIndexesToReport                  </w:t>
      </w:r>
      <w:r w:rsidRPr="00FA0D37">
        <w:rPr>
          <w:color w:val="993366"/>
        </w:rPr>
        <w:t>INTEGER</w:t>
      </w:r>
      <w:r w:rsidRPr="00FA0D37">
        <w:t xml:space="preserve"> ::= 32</w:t>
      </w:r>
    </w:p>
    <w:p w14:paraId="30696CF8" w14:textId="77777777" w:rsidR="00394471" w:rsidRPr="00FA0D37" w:rsidRDefault="00394471" w:rsidP="00FA0D37">
      <w:pPr>
        <w:pStyle w:val="PL"/>
      </w:pPr>
      <w:r w:rsidRPr="00FA0D37">
        <w:t xml:space="preserve">maxNrofIndexesToReport2                 </w:t>
      </w:r>
      <w:r w:rsidRPr="00FA0D37">
        <w:rPr>
          <w:color w:val="993366"/>
        </w:rPr>
        <w:t>INTEGER</w:t>
      </w:r>
      <w:r w:rsidRPr="00FA0D37">
        <w:t xml:space="preserve"> ::= 64</w:t>
      </w:r>
    </w:p>
    <w:p w14:paraId="57863285" w14:textId="77777777" w:rsidR="00394471" w:rsidRPr="00FA0D37" w:rsidRDefault="00394471" w:rsidP="00FA0D37">
      <w:pPr>
        <w:pStyle w:val="PL"/>
        <w:rPr>
          <w:color w:val="808080"/>
        </w:rPr>
      </w:pPr>
      <w:r w:rsidRPr="00FA0D37">
        <w:t xml:space="preserve">maxNrofSSBs-r16                         </w:t>
      </w:r>
      <w:r w:rsidRPr="00FA0D37">
        <w:rPr>
          <w:color w:val="993366"/>
        </w:rPr>
        <w:t>INTEGER</w:t>
      </w:r>
      <w:r w:rsidRPr="00FA0D37">
        <w:t xml:space="preserve"> ::= 64      </w:t>
      </w:r>
      <w:r w:rsidRPr="00FA0D37">
        <w:rPr>
          <w:color w:val="808080"/>
        </w:rPr>
        <w:t>-- Maximum number of SSB resources in a resource set.</w:t>
      </w:r>
    </w:p>
    <w:p w14:paraId="524CFCA5" w14:textId="77777777" w:rsidR="00394471" w:rsidRPr="00FA0D37" w:rsidRDefault="00394471" w:rsidP="00FA0D37">
      <w:pPr>
        <w:pStyle w:val="PL"/>
        <w:rPr>
          <w:color w:val="808080"/>
        </w:rPr>
      </w:pPr>
      <w:r w:rsidRPr="00FA0D37">
        <w:t xml:space="preserve">maxNrofSSBs-1                           </w:t>
      </w:r>
      <w:r w:rsidRPr="00FA0D37">
        <w:rPr>
          <w:color w:val="993366"/>
        </w:rPr>
        <w:t>INTEGER</w:t>
      </w:r>
      <w:r w:rsidRPr="00FA0D37">
        <w:t xml:space="preserve"> ::= 63      </w:t>
      </w:r>
      <w:r w:rsidRPr="00FA0D37">
        <w:rPr>
          <w:color w:val="808080"/>
        </w:rPr>
        <w:t>-- Maximum number of SSB resources in a resource set minus 1.</w:t>
      </w:r>
    </w:p>
    <w:p w14:paraId="6E852818" w14:textId="77777777" w:rsidR="00394471" w:rsidRPr="00FA0D37" w:rsidRDefault="00394471" w:rsidP="00FA0D37">
      <w:pPr>
        <w:pStyle w:val="PL"/>
        <w:rPr>
          <w:color w:val="808080"/>
        </w:rPr>
      </w:pPr>
      <w:r w:rsidRPr="00FA0D37">
        <w:t xml:space="preserve">maxNrofS-NSSAI                          </w:t>
      </w:r>
      <w:r w:rsidRPr="00FA0D37">
        <w:rPr>
          <w:color w:val="993366"/>
        </w:rPr>
        <w:t>INTEGER</w:t>
      </w:r>
      <w:r w:rsidRPr="00FA0D37">
        <w:t xml:space="preserve"> ::= 8       </w:t>
      </w:r>
      <w:r w:rsidRPr="00FA0D37">
        <w:rPr>
          <w:color w:val="808080"/>
        </w:rPr>
        <w:t>-- Maximum number of S-NSSAI.</w:t>
      </w:r>
    </w:p>
    <w:p w14:paraId="05601EFA" w14:textId="77777777" w:rsidR="00394471" w:rsidRPr="00FA0D37" w:rsidRDefault="00394471" w:rsidP="00FA0D37">
      <w:pPr>
        <w:pStyle w:val="PL"/>
      </w:pPr>
      <w:r w:rsidRPr="00FA0D37">
        <w:t xml:space="preserve">maxNrofTCI-StatesPDCCH                  </w:t>
      </w:r>
      <w:r w:rsidRPr="00FA0D37">
        <w:rPr>
          <w:color w:val="993366"/>
        </w:rPr>
        <w:t>INTEGER</w:t>
      </w:r>
      <w:r w:rsidRPr="00FA0D37">
        <w:t xml:space="preserve"> ::= 64</w:t>
      </w:r>
    </w:p>
    <w:p w14:paraId="539112D8" w14:textId="77777777" w:rsidR="00394471" w:rsidRPr="00FA0D37" w:rsidRDefault="00394471" w:rsidP="00FA0D37">
      <w:pPr>
        <w:pStyle w:val="PL"/>
        <w:rPr>
          <w:color w:val="808080"/>
        </w:rPr>
      </w:pPr>
      <w:r w:rsidRPr="00FA0D37">
        <w:t xml:space="preserve">maxNrofTCI-States                       </w:t>
      </w:r>
      <w:r w:rsidRPr="00FA0D37">
        <w:rPr>
          <w:color w:val="993366"/>
        </w:rPr>
        <w:t>INTEGER</w:t>
      </w:r>
      <w:r w:rsidRPr="00FA0D37">
        <w:t xml:space="preserve"> ::= 128     </w:t>
      </w:r>
      <w:r w:rsidRPr="00FA0D37">
        <w:rPr>
          <w:color w:val="808080"/>
        </w:rPr>
        <w:t>-- Maximum number of TCI states.</w:t>
      </w:r>
    </w:p>
    <w:p w14:paraId="7F8CC0E1" w14:textId="77777777" w:rsidR="00394471" w:rsidRPr="00FA0D37" w:rsidRDefault="00394471" w:rsidP="00FA0D37">
      <w:pPr>
        <w:pStyle w:val="PL"/>
        <w:rPr>
          <w:color w:val="808080"/>
        </w:rPr>
      </w:pPr>
      <w:r w:rsidRPr="00FA0D37">
        <w:t xml:space="preserve">maxNrofTCI-States-1                     </w:t>
      </w:r>
      <w:r w:rsidRPr="00FA0D37">
        <w:rPr>
          <w:color w:val="993366"/>
        </w:rPr>
        <w:t>INTEGER</w:t>
      </w:r>
      <w:r w:rsidRPr="00FA0D37">
        <w:t xml:space="preserve"> ::= 127     </w:t>
      </w:r>
      <w:r w:rsidRPr="00FA0D37">
        <w:rPr>
          <w:color w:val="808080"/>
        </w:rPr>
        <w:t>-- Maximum number of TCI states minus 1.</w:t>
      </w:r>
    </w:p>
    <w:p w14:paraId="00DC2959" w14:textId="7DDDB313" w:rsidR="005F58C7" w:rsidRPr="00FA0D37" w:rsidRDefault="00073DAF" w:rsidP="00FA0D37">
      <w:pPr>
        <w:pStyle w:val="PL"/>
        <w:rPr>
          <w:color w:val="808080"/>
        </w:rPr>
      </w:pPr>
      <w:r w:rsidRPr="00FA0D37">
        <w:t>maxUL-TC</w:t>
      </w:r>
      <w:r w:rsidR="005F58C7" w:rsidRPr="00FA0D37">
        <w:t xml:space="preserve">I-r17                           </w:t>
      </w:r>
      <w:r w:rsidR="005F58C7" w:rsidRPr="00FA0D37">
        <w:rPr>
          <w:color w:val="993366"/>
        </w:rPr>
        <w:t>INTEGER</w:t>
      </w:r>
      <w:r w:rsidR="005F58C7" w:rsidRPr="00FA0D37">
        <w:t xml:space="preserve"> ::= 64      </w:t>
      </w:r>
      <w:r w:rsidR="005F58C7" w:rsidRPr="00FA0D37">
        <w:rPr>
          <w:color w:val="808080"/>
        </w:rPr>
        <w:t>-- Maximum number of TCI states.</w:t>
      </w:r>
    </w:p>
    <w:p w14:paraId="192AEB5D" w14:textId="5846D1DC" w:rsidR="005F58C7" w:rsidRPr="00FA0D37" w:rsidRDefault="00073DAF" w:rsidP="00FA0D37">
      <w:pPr>
        <w:pStyle w:val="PL"/>
        <w:rPr>
          <w:color w:val="808080"/>
        </w:rPr>
      </w:pPr>
      <w:r w:rsidRPr="00FA0D37">
        <w:t>maxUL-TC</w:t>
      </w:r>
      <w:r w:rsidR="005F58C7" w:rsidRPr="00FA0D37">
        <w:t>I-</w:t>
      </w:r>
      <w:r w:rsidR="00CF303E" w:rsidRPr="00FA0D37">
        <w:t>1-</w:t>
      </w:r>
      <w:r w:rsidR="005F58C7" w:rsidRPr="00FA0D37">
        <w:t xml:space="preserve">r17                         </w:t>
      </w:r>
      <w:r w:rsidR="005F58C7" w:rsidRPr="00FA0D37">
        <w:rPr>
          <w:color w:val="993366"/>
        </w:rPr>
        <w:t>INTEGER</w:t>
      </w:r>
      <w:r w:rsidR="005F58C7" w:rsidRPr="00FA0D37">
        <w:t xml:space="preserve"> ::= 63      </w:t>
      </w:r>
      <w:r w:rsidR="005F58C7" w:rsidRPr="00FA0D37">
        <w:rPr>
          <w:color w:val="808080"/>
        </w:rPr>
        <w:t>-- Maximum number of TCI states minus 1.</w:t>
      </w:r>
    </w:p>
    <w:p w14:paraId="1E9412D3" w14:textId="130C3616" w:rsidR="005F58C7" w:rsidRPr="00FA0D37" w:rsidRDefault="005F58C7" w:rsidP="00FA0D37">
      <w:pPr>
        <w:pStyle w:val="PL"/>
        <w:rPr>
          <w:color w:val="808080"/>
        </w:rPr>
      </w:pPr>
      <w:r w:rsidRPr="00FA0D37">
        <w:t>maxNrofAddi</w:t>
      </w:r>
      <w:r w:rsidR="004F1B8A" w:rsidRPr="00FA0D37">
        <w:t>ti</w:t>
      </w:r>
      <w:r w:rsidRPr="00FA0D37">
        <w:t xml:space="preserve">onalPCI-r17                </w:t>
      </w:r>
      <w:r w:rsidRPr="00FA0D37">
        <w:rPr>
          <w:color w:val="993366"/>
        </w:rPr>
        <w:t>INTEGER</w:t>
      </w:r>
      <w:r w:rsidRPr="00FA0D37">
        <w:t xml:space="preserve"> ::= 7       </w:t>
      </w:r>
      <w:r w:rsidRPr="00FA0D37">
        <w:rPr>
          <w:color w:val="808080"/>
        </w:rPr>
        <w:t>-- Maximum number of additional PCI</w:t>
      </w:r>
    </w:p>
    <w:p w14:paraId="51357077" w14:textId="7D5B20E9" w:rsidR="005F58C7" w:rsidRPr="00FA0D37" w:rsidRDefault="005F58C7" w:rsidP="00FA0D37">
      <w:pPr>
        <w:pStyle w:val="PL"/>
        <w:rPr>
          <w:color w:val="808080"/>
        </w:rPr>
      </w:pPr>
      <w:r w:rsidRPr="00FA0D37">
        <w:t xml:space="preserve">maxMPE-Resources-r17                    </w:t>
      </w:r>
      <w:r w:rsidRPr="00FA0D37">
        <w:rPr>
          <w:color w:val="993366"/>
        </w:rPr>
        <w:t>INTEGER</w:t>
      </w:r>
      <w:r w:rsidRPr="00FA0D37">
        <w:t xml:space="preserve"> ::= 64      </w:t>
      </w:r>
      <w:r w:rsidRPr="00FA0D37">
        <w:rPr>
          <w:color w:val="808080"/>
        </w:rPr>
        <w:t>-- Maximum number of pooled MPE resources</w:t>
      </w:r>
    </w:p>
    <w:p w14:paraId="55D084D4" w14:textId="77777777" w:rsidR="00394471" w:rsidRPr="00FA0D37" w:rsidRDefault="00394471" w:rsidP="00FA0D37">
      <w:pPr>
        <w:pStyle w:val="PL"/>
        <w:rPr>
          <w:color w:val="808080"/>
        </w:rPr>
      </w:pPr>
      <w:r w:rsidRPr="00FA0D37">
        <w:t xml:space="preserve">maxNrofUL-Allocations                   </w:t>
      </w:r>
      <w:r w:rsidRPr="00FA0D37">
        <w:rPr>
          <w:color w:val="993366"/>
        </w:rPr>
        <w:t>INTEGER</w:t>
      </w:r>
      <w:r w:rsidRPr="00FA0D37">
        <w:t xml:space="preserve"> ::= 16      </w:t>
      </w:r>
      <w:r w:rsidRPr="00FA0D37">
        <w:rPr>
          <w:color w:val="808080"/>
        </w:rPr>
        <w:t>-- Maximum number of PUSCH time domain resource allocations.</w:t>
      </w:r>
    </w:p>
    <w:p w14:paraId="3B84940E" w14:textId="77777777" w:rsidR="00394471" w:rsidRPr="00FA0D37" w:rsidRDefault="00394471" w:rsidP="00FA0D37">
      <w:pPr>
        <w:pStyle w:val="PL"/>
      </w:pPr>
      <w:r w:rsidRPr="00FA0D37">
        <w:t xml:space="preserve">maxQFI                                  </w:t>
      </w:r>
      <w:r w:rsidRPr="00FA0D37">
        <w:rPr>
          <w:color w:val="993366"/>
        </w:rPr>
        <w:t>INTEGER</w:t>
      </w:r>
      <w:r w:rsidRPr="00FA0D37">
        <w:t xml:space="preserve"> ::= 63</w:t>
      </w:r>
    </w:p>
    <w:p w14:paraId="6830AB29" w14:textId="77777777" w:rsidR="00394471" w:rsidRPr="00FA0D37" w:rsidRDefault="00394471" w:rsidP="00FA0D37">
      <w:pPr>
        <w:pStyle w:val="PL"/>
      </w:pPr>
      <w:r w:rsidRPr="00FA0D37">
        <w:t xml:space="preserve">maxRA-CSIRS-Resources                   </w:t>
      </w:r>
      <w:r w:rsidRPr="00FA0D37">
        <w:rPr>
          <w:color w:val="993366"/>
        </w:rPr>
        <w:t>INTEGER</w:t>
      </w:r>
      <w:r w:rsidRPr="00FA0D37">
        <w:t xml:space="preserve"> ::= 96</w:t>
      </w:r>
    </w:p>
    <w:p w14:paraId="2E232813" w14:textId="77777777" w:rsidR="00394471" w:rsidRPr="00FA0D37" w:rsidRDefault="00394471" w:rsidP="00FA0D37">
      <w:pPr>
        <w:pStyle w:val="PL"/>
        <w:rPr>
          <w:color w:val="808080"/>
        </w:rPr>
      </w:pPr>
      <w:r w:rsidRPr="00FA0D37">
        <w:t xml:space="preserve">maxRA-OccasionsPerCSIRS                 </w:t>
      </w:r>
      <w:r w:rsidRPr="00FA0D37">
        <w:rPr>
          <w:color w:val="993366"/>
        </w:rPr>
        <w:t>INTEGER</w:t>
      </w:r>
      <w:r w:rsidRPr="00FA0D37">
        <w:t xml:space="preserve"> ::= 64      </w:t>
      </w:r>
      <w:r w:rsidRPr="00FA0D37">
        <w:rPr>
          <w:color w:val="808080"/>
        </w:rPr>
        <w:t>-- Maximum number of RA occasions for one CSI-RS</w:t>
      </w:r>
    </w:p>
    <w:p w14:paraId="15C53520" w14:textId="77777777" w:rsidR="00394471" w:rsidRPr="00FA0D37" w:rsidRDefault="00394471" w:rsidP="00FA0D37">
      <w:pPr>
        <w:pStyle w:val="PL"/>
        <w:rPr>
          <w:color w:val="808080"/>
        </w:rPr>
      </w:pPr>
      <w:r w:rsidRPr="00FA0D37">
        <w:t xml:space="preserve">maxRA-Occasions-1                       </w:t>
      </w:r>
      <w:r w:rsidRPr="00FA0D37">
        <w:rPr>
          <w:color w:val="993366"/>
        </w:rPr>
        <w:t>INTEGER</w:t>
      </w:r>
      <w:r w:rsidRPr="00FA0D37">
        <w:t xml:space="preserve"> ::= 511     </w:t>
      </w:r>
      <w:r w:rsidRPr="00FA0D37">
        <w:rPr>
          <w:color w:val="808080"/>
        </w:rPr>
        <w:t>-- Maximum number of RA occasions in the system</w:t>
      </w:r>
    </w:p>
    <w:p w14:paraId="4993C665" w14:textId="77777777" w:rsidR="00394471" w:rsidRPr="00FA0D37" w:rsidRDefault="00394471" w:rsidP="00FA0D37">
      <w:pPr>
        <w:pStyle w:val="PL"/>
      </w:pPr>
      <w:r w:rsidRPr="00FA0D37">
        <w:t xml:space="preserve">maxRA-SSB-Resources                     </w:t>
      </w:r>
      <w:r w:rsidRPr="00FA0D37">
        <w:rPr>
          <w:color w:val="993366"/>
        </w:rPr>
        <w:t>INTEGER</w:t>
      </w:r>
      <w:r w:rsidRPr="00FA0D37">
        <w:t xml:space="preserve"> ::= 64</w:t>
      </w:r>
    </w:p>
    <w:p w14:paraId="452EEC41" w14:textId="77777777" w:rsidR="00394471" w:rsidRPr="00FA0D37" w:rsidRDefault="00394471" w:rsidP="00FA0D37">
      <w:pPr>
        <w:pStyle w:val="PL"/>
      </w:pPr>
      <w:r w:rsidRPr="00FA0D37">
        <w:t xml:space="preserve">maxSCSs                                 </w:t>
      </w:r>
      <w:r w:rsidRPr="00FA0D37">
        <w:rPr>
          <w:color w:val="993366"/>
        </w:rPr>
        <w:t>INTEGER</w:t>
      </w:r>
      <w:r w:rsidRPr="00FA0D37">
        <w:t xml:space="preserve"> ::= 5</w:t>
      </w:r>
    </w:p>
    <w:p w14:paraId="342A521B" w14:textId="77777777" w:rsidR="00394471" w:rsidRPr="00FA0D37" w:rsidRDefault="00394471" w:rsidP="00FA0D37">
      <w:pPr>
        <w:pStyle w:val="PL"/>
      </w:pPr>
      <w:r w:rsidRPr="00FA0D37">
        <w:t xml:space="preserve">maxSecondaryCellGroups                  </w:t>
      </w:r>
      <w:r w:rsidRPr="00FA0D37">
        <w:rPr>
          <w:color w:val="993366"/>
        </w:rPr>
        <w:t>INTEGER</w:t>
      </w:r>
      <w:r w:rsidRPr="00FA0D37">
        <w:t xml:space="preserve"> ::= 3</w:t>
      </w:r>
    </w:p>
    <w:p w14:paraId="569C9D24" w14:textId="77777777" w:rsidR="00394471" w:rsidRPr="00FA0D37" w:rsidRDefault="00394471" w:rsidP="00FA0D37">
      <w:pPr>
        <w:pStyle w:val="PL"/>
      </w:pPr>
      <w:r w:rsidRPr="00FA0D37">
        <w:t xml:space="preserve">maxNrofServingCellsEUTRA                </w:t>
      </w:r>
      <w:r w:rsidRPr="00FA0D37">
        <w:rPr>
          <w:color w:val="993366"/>
        </w:rPr>
        <w:t>INTEGER</w:t>
      </w:r>
      <w:r w:rsidRPr="00FA0D37">
        <w:t xml:space="preserve"> ::= 32</w:t>
      </w:r>
    </w:p>
    <w:p w14:paraId="514544EB" w14:textId="77777777" w:rsidR="00394471" w:rsidRPr="00FA0D37" w:rsidRDefault="00394471" w:rsidP="00FA0D37">
      <w:pPr>
        <w:pStyle w:val="PL"/>
      </w:pPr>
      <w:r w:rsidRPr="00FA0D37">
        <w:t xml:space="preserve">maxMBSFN-Allocations                    </w:t>
      </w:r>
      <w:r w:rsidRPr="00FA0D37">
        <w:rPr>
          <w:color w:val="993366"/>
        </w:rPr>
        <w:t>INTEGER</w:t>
      </w:r>
      <w:r w:rsidRPr="00FA0D37">
        <w:t xml:space="preserve"> ::= 8</w:t>
      </w:r>
    </w:p>
    <w:p w14:paraId="6971D937" w14:textId="77777777" w:rsidR="00394471" w:rsidRPr="00FA0D37" w:rsidRDefault="00394471" w:rsidP="00FA0D37">
      <w:pPr>
        <w:pStyle w:val="PL"/>
      </w:pPr>
      <w:r w:rsidRPr="00FA0D37">
        <w:t xml:space="preserve">maxNrofMultiBands                       </w:t>
      </w:r>
      <w:r w:rsidRPr="00FA0D37">
        <w:rPr>
          <w:color w:val="993366"/>
        </w:rPr>
        <w:t>INTEGER</w:t>
      </w:r>
      <w:r w:rsidRPr="00FA0D37">
        <w:t xml:space="preserve"> ::= 8</w:t>
      </w:r>
    </w:p>
    <w:p w14:paraId="4FA6F7C2" w14:textId="77777777" w:rsidR="00394471" w:rsidRPr="00FA0D37" w:rsidRDefault="00394471" w:rsidP="00FA0D37">
      <w:pPr>
        <w:pStyle w:val="PL"/>
        <w:rPr>
          <w:color w:val="808080"/>
        </w:rPr>
      </w:pPr>
      <w:r w:rsidRPr="00FA0D37">
        <w:t xml:space="preserve">maxCellSFTD                             </w:t>
      </w:r>
      <w:r w:rsidRPr="00FA0D37">
        <w:rPr>
          <w:color w:val="993366"/>
        </w:rPr>
        <w:t>INTEGER</w:t>
      </w:r>
      <w:r w:rsidRPr="00FA0D37">
        <w:t xml:space="preserve"> ::= 3       </w:t>
      </w:r>
      <w:r w:rsidRPr="00FA0D37">
        <w:rPr>
          <w:color w:val="808080"/>
        </w:rPr>
        <w:t>-- Maximum number of cells for SFTD reporting</w:t>
      </w:r>
    </w:p>
    <w:p w14:paraId="537BB314" w14:textId="77777777" w:rsidR="00394471" w:rsidRPr="00FA0D37" w:rsidRDefault="00394471" w:rsidP="00FA0D37">
      <w:pPr>
        <w:pStyle w:val="PL"/>
      </w:pPr>
      <w:r w:rsidRPr="00FA0D37">
        <w:t xml:space="preserve">maxReportConfigId                       </w:t>
      </w:r>
      <w:r w:rsidRPr="00FA0D37">
        <w:rPr>
          <w:color w:val="993366"/>
        </w:rPr>
        <w:t>INTEGER</w:t>
      </w:r>
      <w:r w:rsidRPr="00FA0D37">
        <w:t xml:space="preserve"> ::= 64</w:t>
      </w:r>
    </w:p>
    <w:p w14:paraId="4B91EBCB" w14:textId="79239874" w:rsidR="00394471" w:rsidRPr="00FA0D37" w:rsidRDefault="00394471" w:rsidP="00FA0D37">
      <w:pPr>
        <w:pStyle w:val="PL"/>
        <w:rPr>
          <w:color w:val="808080"/>
        </w:rPr>
      </w:pPr>
      <w:r w:rsidRPr="00FA0D37">
        <w:t xml:space="preserve">maxNrofCodebooks                        </w:t>
      </w:r>
      <w:r w:rsidRPr="00FA0D37">
        <w:rPr>
          <w:color w:val="993366"/>
        </w:rPr>
        <w:t>INTEGER</w:t>
      </w:r>
      <w:r w:rsidRPr="00FA0D37">
        <w:t xml:space="preserve"> ::= 16      </w:t>
      </w:r>
      <w:r w:rsidRPr="00FA0D37">
        <w:rPr>
          <w:color w:val="808080"/>
        </w:rPr>
        <w:t>-- Maximum number of codebooks suppo</w:t>
      </w:r>
      <w:r w:rsidR="00B05906" w:rsidRPr="00FA0D37">
        <w:rPr>
          <w:color w:val="808080"/>
        </w:rPr>
        <w:t>r</w:t>
      </w:r>
      <w:r w:rsidRPr="00FA0D37">
        <w:rPr>
          <w:color w:val="808080"/>
        </w:rPr>
        <w:t>ted by the UE</w:t>
      </w:r>
    </w:p>
    <w:p w14:paraId="380FA94E" w14:textId="77777777" w:rsidR="00394471" w:rsidRPr="00FA0D37" w:rsidRDefault="00394471" w:rsidP="00FA0D37">
      <w:pPr>
        <w:pStyle w:val="PL"/>
        <w:rPr>
          <w:color w:val="808080"/>
        </w:rPr>
      </w:pPr>
      <w:r w:rsidRPr="00FA0D37">
        <w:t xml:space="preserve">maxNrofCSI-RS-ResourcesExt-r16          </w:t>
      </w:r>
      <w:r w:rsidRPr="00FA0D37">
        <w:rPr>
          <w:color w:val="993366"/>
        </w:rPr>
        <w:t>INTEGER</w:t>
      </w:r>
      <w:r w:rsidRPr="00FA0D37">
        <w:t xml:space="preserve"> ::= 16      </w:t>
      </w:r>
      <w:r w:rsidRPr="00FA0D37">
        <w:rPr>
          <w:color w:val="808080"/>
        </w:rPr>
        <w:t>-- Maximum number of codebook resources supported by the UE for eType2/Codebook combo</w:t>
      </w:r>
    </w:p>
    <w:p w14:paraId="274DA108" w14:textId="6F765F93" w:rsidR="000264BF" w:rsidRPr="00FA0D37" w:rsidRDefault="000264BF" w:rsidP="00FA0D37">
      <w:pPr>
        <w:pStyle w:val="PL"/>
        <w:rPr>
          <w:color w:val="808080"/>
        </w:rPr>
      </w:pPr>
      <w:r w:rsidRPr="00FA0D37">
        <w:t xml:space="preserve">maxNrofCSI-RS-ResourcesExt-r17          </w:t>
      </w:r>
      <w:r w:rsidRPr="00FA0D37">
        <w:rPr>
          <w:color w:val="993366"/>
        </w:rPr>
        <w:t>INTEGER</w:t>
      </w:r>
      <w:r w:rsidRPr="00FA0D37">
        <w:t xml:space="preserve"> ::= 8       </w:t>
      </w:r>
      <w:r w:rsidRPr="00FA0D37">
        <w:rPr>
          <w:color w:val="808080"/>
        </w:rPr>
        <w:t>-- Maximum number of codebook resources for fetype2R1 and fetype2R2</w:t>
      </w:r>
    </w:p>
    <w:p w14:paraId="4BDEF804" w14:textId="6F72EF27" w:rsidR="00394471" w:rsidRPr="00FA0D37" w:rsidRDefault="00394471" w:rsidP="00FA0D37">
      <w:pPr>
        <w:pStyle w:val="PL"/>
        <w:rPr>
          <w:color w:val="808080"/>
        </w:rPr>
      </w:pPr>
      <w:r w:rsidRPr="00FA0D37">
        <w:t xml:space="preserve">maxNrofCSI-RS-Resources                 </w:t>
      </w:r>
      <w:r w:rsidRPr="00FA0D37">
        <w:rPr>
          <w:color w:val="993366"/>
        </w:rPr>
        <w:t>INTEGER</w:t>
      </w:r>
      <w:r w:rsidRPr="00FA0D37">
        <w:t xml:space="preserve"> ::= 7       </w:t>
      </w:r>
      <w:r w:rsidRPr="00FA0D37">
        <w:rPr>
          <w:color w:val="808080"/>
        </w:rPr>
        <w:t>-- Maximum number of codebook resources supported by the UE</w:t>
      </w:r>
    </w:p>
    <w:p w14:paraId="43DD93C2" w14:textId="77777777" w:rsidR="00394471" w:rsidRPr="00FA0D37" w:rsidRDefault="00394471" w:rsidP="00FA0D37">
      <w:pPr>
        <w:pStyle w:val="PL"/>
        <w:rPr>
          <w:color w:val="808080"/>
        </w:rPr>
      </w:pPr>
      <w:r w:rsidRPr="00FA0D37">
        <w:rPr>
          <w:rFonts w:eastAsiaTheme="minorEastAsia"/>
        </w:rPr>
        <w:t>maxNrofCSI-RS-ResourcesAlt-r16</w:t>
      </w:r>
      <w:r w:rsidRPr="00FA0D37">
        <w:t xml:space="preserve">          </w:t>
      </w:r>
      <w:r w:rsidRPr="00FA0D37">
        <w:rPr>
          <w:rFonts w:eastAsiaTheme="minorEastAsia"/>
          <w:color w:val="993366"/>
        </w:rPr>
        <w:t>INTEGER</w:t>
      </w:r>
      <w:r w:rsidRPr="00FA0D37">
        <w:rPr>
          <w:rFonts w:eastAsiaTheme="minorEastAsia"/>
        </w:rPr>
        <w:t xml:space="preserve"> ::= 512</w:t>
      </w:r>
      <w:r w:rsidRPr="00FA0D37">
        <w:t xml:space="preserve">     </w:t>
      </w:r>
      <w:r w:rsidRPr="00FA0D37">
        <w:rPr>
          <w:rFonts w:eastAsiaTheme="minorEastAsia"/>
          <w:color w:val="808080"/>
        </w:rPr>
        <w:t>-- Maximum number of alternative codebook resources supported by the UE</w:t>
      </w:r>
    </w:p>
    <w:p w14:paraId="267A5F4E" w14:textId="77777777" w:rsidR="00394471" w:rsidRPr="00FA0D37" w:rsidRDefault="00394471" w:rsidP="00FA0D37">
      <w:pPr>
        <w:pStyle w:val="PL"/>
        <w:rPr>
          <w:color w:val="808080"/>
        </w:rPr>
      </w:pPr>
      <w:r w:rsidRPr="00FA0D37">
        <w:rPr>
          <w:rFonts w:eastAsiaTheme="minorEastAsia"/>
        </w:rPr>
        <w:t>maxNrofCSI-RS-ResourcesAlt-1-r16</w:t>
      </w:r>
      <w:r w:rsidRPr="00FA0D37">
        <w:t xml:space="preserve">        </w:t>
      </w:r>
      <w:r w:rsidRPr="00FA0D37">
        <w:rPr>
          <w:rFonts w:eastAsiaTheme="minorEastAsia"/>
          <w:color w:val="993366"/>
        </w:rPr>
        <w:t>INTEGER</w:t>
      </w:r>
      <w:r w:rsidRPr="00FA0D37">
        <w:rPr>
          <w:rFonts w:eastAsiaTheme="minorEastAsia"/>
        </w:rPr>
        <w:t xml:space="preserve"> ::= 511</w:t>
      </w:r>
      <w:r w:rsidRPr="00FA0D37">
        <w:t xml:space="preserve">     </w:t>
      </w:r>
      <w:r w:rsidRPr="00FA0D37">
        <w:rPr>
          <w:rFonts w:eastAsiaTheme="minorEastAsia"/>
          <w:color w:val="808080"/>
        </w:rPr>
        <w:t>-- Maximum number of alternative codebook resources supported by the UE minus 1</w:t>
      </w:r>
    </w:p>
    <w:p w14:paraId="3FA70768" w14:textId="77777777" w:rsidR="00394471" w:rsidRPr="00FA0D37" w:rsidRDefault="00394471" w:rsidP="00FA0D37">
      <w:pPr>
        <w:pStyle w:val="PL"/>
      </w:pPr>
      <w:r w:rsidRPr="00FA0D37">
        <w:t xml:space="preserve">maxNrofSRI-PUSCH-Mappings               </w:t>
      </w:r>
      <w:r w:rsidRPr="00FA0D37">
        <w:rPr>
          <w:color w:val="993366"/>
        </w:rPr>
        <w:t>INTEGER</w:t>
      </w:r>
      <w:r w:rsidRPr="00FA0D37">
        <w:t xml:space="preserve"> ::= 16</w:t>
      </w:r>
    </w:p>
    <w:p w14:paraId="05D3F2FB" w14:textId="77777777" w:rsidR="00394471" w:rsidRPr="00FA0D37" w:rsidRDefault="00394471" w:rsidP="00FA0D37">
      <w:pPr>
        <w:pStyle w:val="PL"/>
      </w:pPr>
      <w:r w:rsidRPr="00FA0D37">
        <w:t xml:space="preserve">maxNrofSRI-PUSCH-Mappings-1             </w:t>
      </w:r>
      <w:r w:rsidRPr="00FA0D37">
        <w:rPr>
          <w:color w:val="993366"/>
        </w:rPr>
        <w:t>INTEGER</w:t>
      </w:r>
      <w:r w:rsidRPr="00FA0D37">
        <w:t xml:space="preserve"> ::= 15</w:t>
      </w:r>
    </w:p>
    <w:p w14:paraId="2F1D44A0" w14:textId="77777777" w:rsidR="00394471" w:rsidRPr="00FA0D37" w:rsidRDefault="00394471" w:rsidP="00FA0D37">
      <w:pPr>
        <w:pStyle w:val="PL"/>
        <w:rPr>
          <w:color w:val="808080"/>
        </w:rPr>
      </w:pPr>
      <w:r w:rsidRPr="00FA0D37">
        <w:t xml:space="preserve">maxSIB                                  </w:t>
      </w:r>
      <w:r w:rsidRPr="00FA0D37">
        <w:rPr>
          <w:color w:val="993366"/>
        </w:rPr>
        <w:t>INTEGER</w:t>
      </w:r>
      <w:r w:rsidRPr="00FA0D37">
        <w:t xml:space="preserve">::= 32       </w:t>
      </w:r>
      <w:r w:rsidRPr="00FA0D37">
        <w:rPr>
          <w:color w:val="808080"/>
        </w:rPr>
        <w:t>-- Maximum number of SIBs</w:t>
      </w:r>
    </w:p>
    <w:p w14:paraId="10DE85DF" w14:textId="77777777" w:rsidR="00394471" w:rsidRPr="00FA0D37" w:rsidRDefault="00394471" w:rsidP="00FA0D37">
      <w:pPr>
        <w:pStyle w:val="PL"/>
        <w:rPr>
          <w:color w:val="808080"/>
        </w:rPr>
      </w:pPr>
      <w:r w:rsidRPr="00FA0D37">
        <w:t xml:space="preserve">maxSI-Message                           </w:t>
      </w:r>
      <w:r w:rsidRPr="00FA0D37">
        <w:rPr>
          <w:color w:val="993366"/>
        </w:rPr>
        <w:t>INTEGER</w:t>
      </w:r>
      <w:r w:rsidRPr="00FA0D37">
        <w:t xml:space="preserve">::= 32       </w:t>
      </w:r>
      <w:r w:rsidRPr="00FA0D37">
        <w:rPr>
          <w:color w:val="808080"/>
        </w:rPr>
        <w:t>-- Maximum number of SI messages</w:t>
      </w:r>
    </w:p>
    <w:p w14:paraId="73BF579E" w14:textId="2D5C136C" w:rsidR="00E81DFA" w:rsidRPr="00FA0D37" w:rsidRDefault="00E81DFA" w:rsidP="00FA0D37">
      <w:pPr>
        <w:pStyle w:val="PL"/>
        <w:rPr>
          <w:color w:val="808080"/>
        </w:rPr>
      </w:pPr>
      <w:r w:rsidRPr="00FA0D37">
        <w:t>maxSI</w:t>
      </w:r>
      <w:r w:rsidR="00FA35A8" w:rsidRPr="00FA0D37">
        <w:t>B</w:t>
      </w:r>
      <w:r w:rsidRPr="00FA0D37">
        <w:t xml:space="preserve">-MessagePlus1-r17                 </w:t>
      </w:r>
      <w:r w:rsidRPr="00FA0D37">
        <w:rPr>
          <w:color w:val="993366"/>
        </w:rPr>
        <w:t>INTEGER</w:t>
      </w:r>
      <w:r w:rsidRPr="00FA0D37">
        <w:t xml:space="preserve">::= 33       </w:t>
      </w:r>
      <w:r w:rsidRPr="00FA0D37">
        <w:rPr>
          <w:color w:val="808080"/>
        </w:rPr>
        <w:t>-- Maximum number of SI</w:t>
      </w:r>
      <w:r w:rsidR="00FA35A8" w:rsidRPr="00FA0D37">
        <w:rPr>
          <w:color w:val="808080"/>
        </w:rPr>
        <w:t>B</w:t>
      </w:r>
      <w:r w:rsidRPr="00FA0D37">
        <w:rPr>
          <w:color w:val="808080"/>
        </w:rPr>
        <w:t xml:space="preserve"> messages plus 1</w:t>
      </w:r>
    </w:p>
    <w:p w14:paraId="43C26406" w14:textId="5015EA03" w:rsidR="00394471" w:rsidRPr="00FA0D37" w:rsidRDefault="00394471" w:rsidP="00FA0D37">
      <w:pPr>
        <w:pStyle w:val="PL"/>
        <w:rPr>
          <w:color w:val="808080"/>
        </w:rPr>
      </w:pPr>
      <w:r w:rsidRPr="00FA0D37">
        <w:t xml:space="preserve">maxPO-perPF                             </w:t>
      </w:r>
      <w:r w:rsidRPr="00FA0D37">
        <w:rPr>
          <w:color w:val="993366"/>
        </w:rPr>
        <w:t>INTEGER</w:t>
      </w:r>
      <w:r w:rsidRPr="00FA0D37">
        <w:t xml:space="preserve"> ::= 4       </w:t>
      </w:r>
      <w:r w:rsidRPr="00FA0D37">
        <w:rPr>
          <w:color w:val="808080"/>
        </w:rPr>
        <w:t>-- Maximum number of paging occasion per paging frame</w:t>
      </w:r>
    </w:p>
    <w:p w14:paraId="2F594467" w14:textId="0DE61754" w:rsidR="00A73A2D" w:rsidRPr="00FA0D37" w:rsidRDefault="00A73A2D" w:rsidP="00FA0D37">
      <w:pPr>
        <w:pStyle w:val="PL"/>
        <w:rPr>
          <w:color w:val="808080"/>
        </w:rPr>
      </w:pPr>
      <w:r w:rsidRPr="00FA0D37">
        <w:t>maxP</w:t>
      </w:r>
      <w:r w:rsidRPr="00FA0D37">
        <w:rPr>
          <w:rFonts w:eastAsia="等线"/>
        </w:rPr>
        <w:t>EI</w:t>
      </w:r>
      <w:r w:rsidRPr="00FA0D37">
        <w:t xml:space="preserve">-perPF-r17                        </w:t>
      </w:r>
      <w:r w:rsidRPr="00FA0D37">
        <w:rPr>
          <w:color w:val="993366"/>
        </w:rPr>
        <w:t>INTEGER</w:t>
      </w:r>
      <w:r w:rsidRPr="00FA0D37">
        <w:t xml:space="preserve"> ::= 4       </w:t>
      </w:r>
      <w:r w:rsidRPr="00FA0D37">
        <w:rPr>
          <w:color w:val="808080"/>
        </w:rPr>
        <w:t xml:space="preserve">-- Maximum number of </w:t>
      </w:r>
      <w:r w:rsidRPr="00FA0D37">
        <w:rPr>
          <w:rFonts w:eastAsia="等线"/>
          <w:color w:val="808080"/>
        </w:rPr>
        <w:t>PEI</w:t>
      </w:r>
      <w:r w:rsidRPr="00FA0D37">
        <w:rPr>
          <w:color w:val="808080"/>
        </w:rPr>
        <w:t xml:space="preserve"> occasion per paging frame</w:t>
      </w:r>
    </w:p>
    <w:p w14:paraId="138413DF" w14:textId="77777777" w:rsidR="00394471" w:rsidRPr="00FA0D37" w:rsidRDefault="00394471" w:rsidP="00FA0D37">
      <w:pPr>
        <w:pStyle w:val="PL"/>
        <w:rPr>
          <w:color w:val="808080"/>
        </w:rPr>
      </w:pPr>
      <w:r w:rsidRPr="00FA0D37">
        <w:t xml:space="preserve">maxAccessCat-1                          </w:t>
      </w:r>
      <w:r w:rsidRPr="00FA0D37">
        <w:rPr>
          <w:color w:val="993366"/>
        </w:rPr>
        <w:t>INTEGER</w:t>
      </w:r>
      <w:r w:rsidRPr="00FA0D37">
        <w:t xml:space="preserve"> ::= 63      </w:t>
      </w:r>
      <w:r w:rsidRPr="00FA0D37">
        <w:rPr>
          <w:color w:val="808080"/>
        </w:rPr>
        <w:t>-- Maximum number of Access Categories minus 1</w:t>
      </w:r>
    </w:p>
    <w:p w14:paraId="4CFB15BF" w14:textId="3AE155EB" w:rsidR="00394471" w:rsidRPr="00FA0D37" w:rsidRDefault="00394471" w:rsidP="00FA0D37">
      <w:pPr>
        <w:pStyle w:val="PL"/>
        <w:rPr>
          <w:color w:val="808080"/>
        </w:rPr>
      </w:pPr>
      <w:r w:rsidRPr="00FA0D37">
        <w:t xml:space="preserve">maxBarringInfoSet                       </w:t>
      </w:r>
      <w:r w:rsidRPr="00FA0D37">
        <w:rPr>
          <w:color w:val="993366"/>
        </w:rPr>
        <w:t>INTEGER</w:t>
      </w:r>
      <w:r w:rsidRPr="00FA0D37">
        <w:t xml:space="preserve"> ::= 8       </w:t>
      </w:r>
      <w:r w:rsidRPr="00FA0D37">
        <w:rPr>
          <w:color w:val="808080"/>
        </w:rPr>
        <w:t xml:space="preserve">-- Maximum number of </w:t>
      </w:r>
      <w:r w:rsidR="00A371DB" w:rsidRPr="00FA0D37">
        <w:rPr>
          <w:color w:val="808080"/>
        </w:rPr>
        <w:t>access control parameter sets</w:t>
      </w:r>
    </w:p>
    <w:p w14:paraId="577E2204" w14:textId="77777777" w:rsidR="00394471" w:rsidRPr="00FA0D37" w:rsidRDefault="00394471" w:rsidP="00FA0D37">
      <w:pPr>
        <w:pStyle w:val="PL"/>
        <w:rPr>
          <w:color w:val="808080"/>
        </w:rPr>
      </w:pPr>
      <w:r w:rsidRPr="00FA0D37">
        <w:t xml:space="preserve">maxCellEUTRA                            </w:t>
      </w:r>
      <w:r w:rsidRPr="00FA0D37">
        <w:rPr>
          <w:color w:val="993366"/>
        </w:rPr>
        <w:t>INTEGER</w:t>
      </w:r>
      <w:r w:rsidRPr="00FA0D37">
        <w:t xml:space="preserve"> ::= 8       </w:t>
      </w:r>
      <w:r w:rsidRPr="00FA0D37">
        <w:rPr>
          <w:color w:val="808080"/>
        </w:rPr>
        <w:t>-- Maximum number of E-UTRA cells in SIB list</w:t>
      </w:r>
    </w:p>
    <w:p w14:paraId="1CEBE74B" w14:textId="77777777" w:rsidR="00394471" w:rsidRPr="00FA0D37" w:rsidRDefault="00394471" w:rsidP="00FA0D37">
      <w:pPr>
        <w:pStyle w:val="PL"/>
        <w:rPr>
          <w:color w:val="808080"/>
        </w:rPr>
      </w:pPr>
      <w:r w:rsidRPr="00FA0D37">
        <w:t xml:space="preserve">maxEUTRA-Carrier                        </w:t>
      </w:r>
      <w:r w:rsidRPr="00FA0D37">
        <w:rPr>
          <w:color w:val="993366"/>
        </w:rPr>
        <w:t>INTEGER</w:t>
      </w:r>
      <w:r w:rsidRPr="00FA0D37">
        <w:t xml:space="preserve"> ::= 8       </w:t>
      </w:r>
      <w:r w:rsidRPr="00FA0D37">
        <w:rPr>
          <w:color w:val="808080"/>
        </w:rPr>
        <w:t>-- Maximum number of E-UTRA carriers in SIB list</w:t>
      </w:r>
    </w:p>
    <w:p w14:paraId="2114FB0B" w14:textId="324A60C7" w:rsidR="00394471" w:rsidRPr="00FA0D37" w:rsidRDefault="00394471" w:rsidP="00FA0D37">
      <w:pPr>
        <w:pStyle w:val="PL"/>
        <w:rPr>
          <w:color w:val="808080"/>
        </w:rPr>
      </w:pPr>
      <w:r w:rsidRPr="00FA0D37">
        <w:lastRenderedPageBreak/>
        <w:t xml:space="preserve">maxPLMNIdentities                       </w:t>
      </w:r>
      <w:r w:rsidRPr="00FA0D37">
        <w:rPr>
          <w:color w:val="993366"/>
        </w:rPr>
        <w:t>INTEGER</w:t>
      </w:r>
      <w:r w:rsidRPr="00FA0D37">
        <w:t xml:space="preserve"> ::= 8       </w:t>
      </w:r>
      <w:r w:rsidRPr="00FA0D37">
        <w:rPr>
          <w:color w:val="808080"/>
        </w:rPr>
        <w:t>-- Maximum number of PLMN identit</w:t>
      </w:r>
      <w:r w:rsidR="00B05906" w:rsidRPr="00FA0D37">
        <w:rPr>
          <w:color w:val="808080"/>
        </w:rPr>
        <w:t>i</w:t>
      </w:r>
      <w:r w:rsidRPr="00FA0D37">
        <w:rPr>
          <w:color w:val="808080"/>
        </w:rPr>
        <w:t>es in RAN area configurations</w:t>
      </w:r>
    </w:p>
    <w:p w14:paraId="3CEFA3D2" w14:textId="77777777" w:rsidR="00394471" w:rsidRPr="00FA0D37" w:rsidRDefault="00394471" w:rsidP="00FA0D37">
      <w:pPr>
        <w:pStyle w:val="PL"/>
        <w:rPr>
          <w:color w:val="808080"/>
        </w:rPr>
      </w:pPr>
      <w:r w:rsidRPr="00FA0D37">
        <w:t xml:space="preserve">maxDownlinkFeatureSets                  </w:t>
      </w:r>
      <w:r w:rsidRPr="00FA0D37">
        <w:rPr>
          <w:color w:val="993366"/>
        </w:rPr>
        <w:t>INTEGER</w:t>
      </w:r>
      <w:r w:rsidRPr="00FA0D37">
        <w:t xml:space="preserve"> ::= 1024    </w:t>
      </w:r>
      <w:r w:rsidRPr="00FA0D37">
        <w:rPr>
          <w:color w:val="808080"/>
        </w:rPr>
        <w:t>-- (for NR DL) Total number of FeatureSets (size of the pool)</w:t>
      </w:r>
    </w:p>
    <w:p w14:paraId="506C8C6D" w14:textId="77777777" w:rsidR="00394471" w:rsidRPr="00FA0D37" w:rsidRDefault="00394471" w:rsidP="00FA0D37">
      <w:pPr>
        <w:pStyle w:val="PL"/>
        <w:rPr>
          <w:color w:val="808080"/>
        </w:rPr>
      </w:pPr>
      <w:r w:rsidRPr="00FA0D37">
        <w:t xml:space="preserve">maxUplinkFeatureSets                    </w:t>
      </w:r>
      <w:r w:rsidRPr="00FA0D37">
        <w:rPr>
          <w:color w:val="993366"/>
        </w:rPr>
        <w:t>INTEGER</w:t>
      </w:r>
      <w:r w:rsidRPr="00FA0D37">
        <w:t xml:space="preserve"> ::= 1024    </w:t>
      </w:r>
      <w:r w:rsidRPr="00FA0D37">
        <w:rPr>
          <w:color w:val="808080"/>
        </w:rPr>
        <w:t>-- (for NR UL) Total number of FeatureSets (size of the pool)</w:t>
      </w:r>
    </w:p>
    <w:p w14:paraId="6F5402F8" w14:textId="77777777" w:rsidR="00394471" w:rsidRPr="00FA0D37" w:rsidRDefault="00394471" w:rsidP="00FA0D37">
      <w:pPr>
        <w:pStyle w:val="PL"/>
        <w:rPr>
          <w:color w:val="808080"/>
        </w:rPr>
      </w:pPr>
      <w:r w:rsidRPr="00FA0D37">
        <w:t xml:space="preserve">maxEUTRA-DL-FeatureSets                 </w:t>
      </w:r>
      <w:r w:rsidRPr="00FA0D37">
        <w:rPr>
          <w:color w:val="993366"/>
        </w:rPr>
        <w:t>INTEGER</w:t>
      </w:r>
      <w:r w:rsidRPr="00FA0D37">
        <w:t xml:space="preserve"> ::= 256     </w:t>
      </w:r>
      <w:r w:rsidRPr="00FA0D37">
        <w:rPr>
          <w:color w:val="808080"/>
        </w:rPr>
        <w:t>-- (for E-UTRA) Total number of FeatureSets (size of the pool)</w:t>
      </w:r>
    </w:p>
    <w:p w14:paraId="0502C7FA" w14:textId="77777777" w:rsidR="00394471" w:rsidRPr="00FA0D37" w:rsidRDefault="00394471" w:rsidP="00FA0D37">
      <w:pPr>
        <w:pStyle w:val="PL"/>
        <w:rPr>
          <w:color w:val="808080"/>
        </w:rPr>
      </w:pPr>
      <w:r w:rsidRPr="00FA0D37">
        <w:t xml:space="preserve">maxEUTRA-UL-FeatureSets                 </w:t>
      </w:r>
      <w:r w:rsidRPr="00FA0D37">
        <w:rPr>
          <w:color w:val="993366"/>
        </w:rPr>
        <w:t>INTEGER</w:t>
      </w:r>
      <w:r w:rsidRPr="00FA0D37">
        <w:t xml:space="preserve"> ::= 256     </w:t>
      </w:r>
      <w:r w:rsidRPr="00FA0D37">
        <w:rPr>
          <w:color w:val="808080"/>
        </w:rPr>
        <w:t>-- (for E-UTRA) Total number of FeatureSets (size of the pool)</w:t>
      </w:r>
    </w:p>
    <w:p w14:paraId="56BE7A3E" w14:textId="77777777" w:rsidR="00394471" w:rsidRPr="00FA0D37" w:rsidRDefault="00394471" w:rsidP="00FA0D37">
      <w:pPr>
        <w:pStyle w:val="PL"/>
        <w:rPr>
          <w:color w:val="808080"/>
        </w:rPr>
      </w:pPr>
      <w:r w:rsidRPr="00FA0D37">
        <w:t xml:space="preserve">maxFeatureSetsPerBand                   </w:t>
      </w:r>
      <w:r w:rsidRPr="00FA0D37">
        <w:rPr>
          <w:color w:val="993366"/>
        </w:rPr>
        <w:t>INTEGER</w:t>
      </w:r>
      <w:r w:rsidRPr="00FA0D37">
        <w:t xml:space="preserve"> ::= 128     </w:t>
      </w:r>
      <w:r w:rsidRPr="00FA0D37">
        <w:rPr>
          <w:color w:val="808080"/>
        </w:rPr>
        <w:t>-- (for NR) The number of feature sets associated with one band.</w:t>
      </w:r>
    </w:p>
    <w:p w14:paraId="64646DBE" w14:textId="77777777" w:rsidR="00394471" w:rsidRPr="00FA0D37" w:rsidRDefault="00394471" w:rsidP="00FA0D37">
      <w:pPr>
        <w:pStyle w:val="PL"/>
        <w:rPr>
          <w:color w:val="808080"/>
        </w:rPr>
      </w:pPr>
      <w:r w:rsidRPr="00FA0D37">
        <w:t xml:space="preserve">maxPerCC-FeatureSets                    </w:t>
      </w:r>
      <w:r w:rsidRPr="00FA0D37">
        <w:rPr>
          <w:color w:val="993366"/>
        </w:rPr>
        <w:t>INTEGER</w:t>
      </w:r>
      <w:r w:rsidRPr="00FA0D37">
        <w:t xml:space="preserve"> ::= 1024    </w:t>
      </w:r>
      <w:r w:rsidRPr="00FA0D37">
        <w:rPr>
          <w:color w:val="808080"/>
        </w:rPr>
        <w:t>-- (for NR) Total number of CC-specific FeatureSets (size of the pool)</w:t>
      </w:r>
    </w:p>
    <w:p w14:paraId="7BD30E53" w14:textId="77777777" w:rsidR="00394471" w:rsidRPr="00FA0D37" w:rsidRDefault="00394471" w:rsidP="00FA0D37">
      <w:pPr>
        <w:pStyle w:val="PL"/>
        <w:rPr>
          <w:color w:val="808080"/>
        </w:rPr>
      </w:pPr>
      <w:r w:rsidRPr="00FA0D37">
        <w:t xml:space="preserve">maxFeatureSetCombinations               </w:t>
      </w:r>
      <w:r w:rsidRPr="00FA0D37">
        <w:rPr>
          <w:color w:val="993366"/>
        </w:rPr>
        <w:t>INTEGER</w:t>
      </w:r>
      <w:r w:rsidRPr="00FA0D37">
        <w:t xml:space="preserve"> ::= 1024    </w:t>
      </w:r>
      <w:r w:rsidRPr="00FA0D37">
        <w:rPr>
          <w:color w:val="808080"/>
        </w:rPr>
        <w:t>-- (for MR-DC/NR)Total number of Feature set combinations (size of the pool)</w:t>
      </w:r>
    </w:p>
    <w:p w14:paraId="6AD99377" w14:textId="77777777" w:rsidR="00394471" w:rsidRPr="00FA0D37" w:rsidRDefault="00394471" w:rsidP="00FA0D37">
      <w:pPr>
        <w:pStyle w:val="PL"/>
      </w:pPr>
      <w:r w:rsidRPr="00FA0D37">
        <w:t xml:space="preserve">maxInterRAT-RSTD-Freq                   </w:t>
      </w:r>
      <w:r w:rsidRPr="00FA0D37">
        <w:rPr>
          <w:color w:val="993366"/>
        </w:rPr>
        <w:t>INTEGER</w:t>
      </w:r>
      <w:r w:rsidRPr="00FA0D37">
        <w:t xml:space="preserve"> ::= 3</w:t>
      </w:r>
    </w:p>
    <w:p w14:paraId="4C92A5EC" w14:textId="77777777" w:rsidR="005F220E" w:rsidRPr="00FA0D37" w:rsidRDefault="005F220E" w:rsidP="00FA0D37">
      <w:pPr>
        <w:pStyle w:val="PL"/>
        <w:rPr>
          <w:color w:val="808080"/>
        </w:rPr>
      </w:pPr>
      <w:r w:rsidRPr="00FA0D37">
        <w:t xml:space="preserve">maxGIN-r17                              </w:t>
      </w:r>
      <w:r w:rsidRPr="00FA0D37">
        <w:rPr>
          <w:color w:val="993366"/>
        </w:rPr>
        <w:t>INTEGER</w:t>
      </w:r>
      <w:r w:rsidRPr="00FA0D37">
        <w:t xml:space="preserve"> ::= 24      </w:t>
      </w:r>
      <w:r w:rsidRPr="00FA0D37">
        <w:rPr>
          <w:color w:val="808080"/>
        </w:rPr>
        <w:t>-- Maximum number of broadcast GINs</w:t>
      </w:r>
    </w:p>
    <w:p w14:paraId="37FB2C40" w14:textId="77777777" w:rsidR="00394471" w:rsidRPr="00FA0D37" w:rsidRDefault="00394471" w:rsidP="00FA0D37">
      <w:pPr>
        <w:pStyle w:val="PL"/>
        <w:rPr>
          <w:color w:val="808080"/>
        </w:rPr>
      </w:pPr>
      <w:r w:rsidRPr="00FA0D37">
        <w:t xml:space="preserve">maxHRNN-Len-r16                         </w:t>
      </w:r>
      <w:r w:rsidRPr="00FA0D37">
        <w:rPr>
          <w:color w:val="993366"/>
        </w:rPr>
        <w:t>INTEGER</w:t>
      </w:r>
      <w:r w:rsidRPr="00FA0D37">
        <w:t xml:space="preserve"> ::= 48      </w:t>
      </w:r>
      <w:r w:rsidRPr="00FA0D37">
        <w:rPr>
          <w:color w:val="808080"/>
        </w:rPr>
        <w:t>-- Maximum length of HRNNs</w:t>
      </w:r>
    </w:p>
    <w:p w14:paraId="39DD5C02" w14:textId="77777777" w:rsidR="00394471" w:rsidRPr="00FA0D37" w:rsidRDefault="00394471" w:rsidP="00FA0D37">
      <w:pPr>
        <w:pStyle w:val="PL"/>
        <w:rPr>
          <w:color w:val="808080"/>
        </w:rPr>
      </w:pPr>
      <w:r w:rsidRPr="00FA0D37">
        <w:t xml:space="preserve">maxNPN-r16                              </w:t>
      </w:r>
      <w:r w:rsidRPr="00FA0D37">
        <w:rPr>
          <w:color w:val="993366"/>
        </w:rPr>
        <w:t>INTEGER</w:t>
      </w:r>
      <w:r w:rsidRPr="00FA0D37">
        <w:t xml:space="preserve"> ::= 12      </w:t>
      </w:r>
      <w:r w:rsidRPr="00FA0D37">
        <w:rPr>
          <w:color w:val="808080"/>
        </w:rPr>
        <w:t>-- Maximum number of NPNs broadcast and reported by UE at establishment</w:t>
      </w:r>
    </w:p>
    <w:p w14:paraId="7C1F7A83" w14:textId="77777777" w:rsidR="00394471" w:rsidRPr="00FA0D37" w:rsidRDefault="00394471" w:rsidP="00FA0D37">
      <w:pPr>
        <w:pStyle w:val="PL"/>
        <w:rPr>
          <w:color w:val="808080"/>
        </w:rPr>
      </w:pPr>
      <w:r w:rsidRPr="00FA0D37">
        <w:t xml:space="preserve">maxNrOfMinSchedulingOffsetValues-r16    </w:t>
      </w:r>
      <w:r w:rsidRPr="00FA0D37">
        <w:rPr>
          <w:color w:val="993366"/>
        </w:rPr>
        <w:t>INTEGER</w:t>
      </w:r>
      <w:r w:rsidRPr="00FA0D37">
        <w:t xml:space="preserve"> ::= 2       </w:t>
      </w:r>
      <w:r w:rsidRPr="00FA0D37">
        <w:rPr>
          <w:color w:val="808080"/>
        </w:rPr>
        <w:t>-- Maximum number of min. scheduling offset (K0/K2) configurations</w:t>
      </w:r>
    </w:p>
    <w:p w14:paraId="5EABDFDC" w14:textId="77777777" w:rsidR="00394471" w:rsidRPr="00FA0D37" w:rsidRDefault="00394471" w:rsidP="00FA0D37">
      <w:pPr>
        <w:pStyle w:val="PL"/>
        <w:rPr>
          <w:color w:val="808080"/>
        </w:rPr>
      </w:pPr>
      <w:r w:rsidRPr="00FA0D37">
        <w:t xml:space="preserve">maxK0-SchedulingOffset-r16              </w:t>
      </w:r>
      <w:r w:rsidRPr="00FA0D37">
        <w:rPr>
          <w:color w:val="993366"/>
        </w:rPr>
        <w:t>INTEGER</w:t>
      </w:r>
      <w:r w:rsidRPr="00FA0D37">
        <w:t xml:space="preserve"> ::= 16      </w:t>
      </w:r>
      <w:r w:rsidRPr="00FA0D37">
        <w:rPr>
          <w:color w:val="808080"/>
        </w:rPr>
        <w:t>-- Maximum number of slots configured as min. scheduling offset (K0)</w:t>
      </w:r>
    </w:p>
    <w:p w14:paraId="02B7E6E6" w14:textId="77777777" w:rsidR="00394471" w:rsidRPr="00FA0D37" w:rsidRDefault="00394471" w:rsidP="00FA0D37">
      <w:pPr>
        <w:pStyle w:val="PL"/>
        <w:rPr>
          <w:color w:val="808080"/>
        </w:rPr>
      </w:pPr>
      <w:r w:rsidRPr="00FA0D37">
        <w:t xml:space="preserve">maxK2-SchedulingOffset-r16              </w:t>
      </w:r>
      <w:r w:rsidRPr="00FA0D37">
        <w:rPr>
          <w:color w:val="993366"/>
        </w:rPr>
        <w:t>INTEGER</w:t>
      </w:r>
      <w:r w:rsidRPr="00FA0D37">
        <w:t xml:space="preserve"> ::= 16      </w:t>
      </w:r>
      <w:r w:rsidRPr="00FA0D37">
        <w:rPr>
          <w:color w:val="808080"/>
        </w:rPr>
        <w:t>-- Maximum number of slots configured as min. scheduling offset (K2)</w:t>
      </w:r>
    </w:p>
    <w:p w14:paraId="4657C78C" w14:textId="77777777" w:rsidR="00727F8C" w:rsidRPr="00FA0D37" w:rsidRDefault="00727F8C" w:rsidP="00FA0D37">
      <w:pPr>
        <w:pStyle w:val="PL"/>
        <w:rPr>
          <w:color w:val="808080"/>
        </w:rPr>
      </w:pPr>
      <w:r w:rsidRPr="00FA0D37">
        <w:t xml:space="preserve">maxK0-SchedulingOffset-r17              </w:t>
      </w:r>
      <w:r w:rsidRPr="00FA0D37">
        <w:rPr>
          <w:color w:val="993366"/>
        </w:rPr>
        <w:t>INTEGER</w:t>
      </w:r>
      <w:r w:rsidRPr="00FA0D37">
        <w:t xml:space="preserve"> ::= 64      </w:t>
      </w:r>
      <w:r w:rsidRPr="00FA0D37">
        <w:rPr>
          <w:color w:val="808080"/>
        </w:rPr>
        <w:t>-- Maximum number of slots configured as min. scheduling offset (K0)</w:t>
      </w:r>
    </w:p>
    <w:p w14:paraId="6F916482" w14:textId="77777777" w:rsidR="00727F8C" w:rsidRPr="00FA0D37" w:rsidRDefault="00727F8C" w:rsidP="00FA0D37">
      <w:pPr>
        <w:pStyle w:val="PL"/>
        <w:rPr>
          <w:color w:val="808080"/>
        </w:rPr>
      </w:pPr>
      <w:r w:rsidRPr="00FA0D37">
        <w:t xml:space="preserve">maxK2-SchedulingOffset-r17              </w:t>
      </w:r>
      <w:r w:rsidRPr="00FA0D37">
        <w:rPr>
          <w:color w:val="993366"/>
        </w:rPr>
        <w:t>INTEGER</w:t>
      </w:r>
      <w:r w:rsidRPr="00FA0D37">
        <w:t xml:space="preserve"> ::= 64      </w:t>
      </w:r>
      <w:r w:rsidRPr="00FA0D37">
        <w:rPr>
          <w:color w:val="808080"/>
        </w:rPr>
        <w:t>-- Maximum number of slots configured as min. scheduling offset (K2)</w:t>
      </w:r>
    </w:p>
    <w:p w14:paraId="6421AF37" w14:textId="769FE7ED" w:rsidR="00394471" w:rsidRPr="00FA0D37" w:rsidRDefault="00394471" w:rsidP="00FA0D37">
      <w:pPr>
        <w:pStyle w:val="PL"/>
        <w:rPr>
          <w:color w:val="808080"/>
        </w:rPr>
      </w:pPr>
      <w:r w:rsidRPr="00FA0D37">
        <w:t xml:space="preserve">maxDCI-2-6-Size-r16                     </w:t>
      </w:r>
      <w:r w:rsidRPr="00FA0D37">
        <w:rPr>
          <w:color w:val="993366"/>
        </w:rPr>
        <w:t>INTEGER</w:t>
      </w:r>
      <w:r w:rsidRPr="00FA0D37">
        <w:t xml:space="preserve"> ::= 140     </w:t>
      </w:r>
      <w:r w:rsidRPr="00FA0D37">
        <w:rPr>
          <w:color w:val="808080"/>
        </w:rPr>
        <w:t>-- Maximum size of DCI format 2-6</w:t>
      </w:r>
    </w:p>
    <w:p w14:paraId="369DBA09" w14:textId="77777777" w:rsidR="00A73A2D" w:rsidRPr="00FA0D37" w:rsidRDefault="00A73A2D" w:rsidP="00FA0D37">
      <w:pPr>
        <w:pStyle w:val="PL"/>
        <w:rPr>
          <w:color w:val="808080"/>
        </w:rPr>
      </w:pPr>
      <w:r w:rsidRPr="00FA0D37">
        <w:t xml:space="preserve">maxDCI-2-7-Size-r17                     </w:t>
      </w:r>
      <w:r w:rsidRPr="00FA0D37">
        <w:rPr>
          <w:color w:val="993366"/>
        </w:rPr>
        <w:t>INTEGER</w:t>
      </w:r>
      <w:r w:rsidRPr="00FA0D37">
        <w:t xml:space="preserve"> ::= 43      </w:t>
      </w:r>
      <w:r w:rsidRPr="00FA0D37">
        <w:rPr>
          <w:color w:val="808080"/>
        </w:rPr>
        <w:t>-- Maximum size of DCI format 2-7</w:t>
      </w:r>
    </w:p>
    <w:p w14:paraId="7B4BAA85" w14:textId="77777777" w:rsidR="00394471" w:rsidRPr="00FA0D37" w:rsidRDefault="00394471" w:rsidP="00FA0D37">
      <w:pPr>
        <w:pStyle w:val="PL"/>
        <w:rPr>
          <w:color w:val="808080"/>
        </w:rPr>
      </w:pPr>
      <w:r w:rsidRPr="00FA0D37">
        <w:t xml:space="preserve">maxDCI-2-6-Size-1-r16                   </w:t>
      </w:r>
      <w:r w:rsidRPr="00FA0D37">
        <w:rPr>
          <w:color w:val="993366"/>
        </w:rPr>
        <w:t>INTEGER</w:t>
      </w:r>
      <w:r w:rsidRPr="00FA0D37">
        <w:t xml:space="preserve"> ::= 139     </w:t>
      </w:r>
      <w:r w:rsidRPr="00FA0D37">
        <w:rPr>
          <w:color w:val="808080"/>
        </w:rPr>
        <w:t>-- Maximum DCI format 2-6 size minus 1</w:t>
      </w:r>
    </w:p>
    <w:p w14:paraId="20D9A37C" w14:textId="77777777" w:rsidR="00394471" w:rsidRPr="00FA0D37" w:rsidRDefault="00394471" w:rsidP="00FA0D37">
      <w:pPr>
        <w:pStyle w:val="PL"/>
        <w:rPr>
          <w:color w:val="808080"/>
        </w:rPr>
      </w:pPr>
      <w:r w:rsidRPr="00FA0D37">
        <w:t xml:space="preserve">maxNrofUL-Allocations-r16               </w:t>
      </w:r>
      <w:r w:rsidRPr="00FA0D37">
        <w:rPr>
          <w:color w:val="993366"/>
        </w:rPr>
        <w:t>INTEGER</w:t>
      </w:r>
      <w:r w:rsidRPr="00FA0D37">
        <w:t xml:space="preserve"> ::= 64      </w:t>
      </w:r>
      <w:r w:rsidRPr="00FA0D37">
        <w:rPr>
          <w:color w:val="808080"/>
        </w:rPr>
        <w:t>-- Maximum number of PUSCH time domain resource allocations</w:t>
      </w:r>
    </w:p>
    <w:p w14:paraId="58618691" w14:textId="77777777" w:rsidR="00394471" w:rsidRPr="00FA0D37" w:rsidRDefault="00394471" w:rsidP="00FA0D37">
      <w:pPr>
        <w:pStyle w:val="PL"/>
        <w:rPr>
          <w:color w:val="808080"/>
        </w:rPr>
      </w:pPr>
      <w:r w:rsidRPr="00FA0D37">
        <w:t xml:space="preserve">maxNrofP0-PUSCH-Set-r16                 </w:t>
      </w:r>
      <w:r w:rsidRPr="00FA0D37">
        <w:rPr>
          <w:color w:val="993366"/>
        </w:rPr>
        <w:t>INTEGER</w:t>
      </w:r>
      <w:r w:rsidRPr="00FA0D37">
        <w:t xml:space="preserve"> ::= 2       </w:t>
      </w:r>
      <w:r w:rsidRPr="00FA0D37">
        <w:rPr>
          <w:color w:val="808080"/>
        </w:rPr>
        <w:t>-- Maximum number of P0 PUSCH set(s)</w:t>
      </w:r>
    </w:p>
    <w:p w14:paraId="30743D32" w14:textId="77777777" w:rsidR="00394471" w:rsidRPr="00FA0D37" w:rsidRDefault="00394471" w:rsidP="00FA0D37">
      <w:pPr>
        <w:pStyle w:val="PL"/>
        <w:rPr>
          <w:color w:val="808080"/>
        </w:rPr>
      </w:pPr>
      <w:r w:rsidRPr="00FA0D37">
        <w:t xml:space="preserve">maxOnDemandSIB-r16                      </w:t>
      </w:r>
      <w:r w:rsidRPr="00FA0D37">
        <w:rPr>
          <w:color w:val="993366"/>
        </w:rPr>
        <w:t>INTEGER</w:t>
      </w:r>
      <w:r w:rsidRPr="00FA0D37">
        <w:t xml:space="preserve"> ::= 8       </w:t>
      </w:r>
      <w:r w:rsidRPr="00FA0D37">
        <w:rPr>
          <w:color w:val="808080"/>
        </w:rPr>
        <w:t>-- Maximum number of SIB(s) that can be requested on-demand</w:t>
      </w:r>
    </w:p>
    <w:p w14:paraId="765C7CCE" w14:textId="77777777" w:rsidR="00394471" w:rsidRPr="00FA0D37" w:rsidRDefault="00394471" w:rsidP="00FA0D37">
      <w:pPr>
        <w:pStyle w:val="PL"/>
        <w:rPr>
          <w:color w:val="808080"/>
        </w:rPr>
      </w:pPr>
      <w:r w:rsidRPr="00FA0D37">
        <w:t xml:space="preserve">maxOnDemandPosSIB-r16                   </w:t>
      </w:r>
      <w:r w:rsidRPr="00FA0D37">
        <w:rPr>
          <w:color w:val="993366"/>
        </w:rPr>
        <w:t>INTEGER</w:t>
      </w:r>
      <w:r w:rsidRPr="00FA0D37">
        <w:t xml:space="preserve"> ::= 32      </w:t>
      </w:r>
      <w:r w:rsidRPr="00FA0D37">
        <w:rPr>
          <w:color w:val="808080"/>
        </w:rPr>
        <w:t>-- Maximum number of posSIB(s) that can be requested on-demand</w:t>
      </w:r>
    </w:p>
    <w:p w14:paraId="552CDC47" w14:textId="77777777" w:rsidR="00394471" w:rsidRPr="00FA0D37" w:rsidRDefault="00394471" w:rsidP="00FA0D37">
      <w:pPr>
        <w:pStyle w:val="PL"/>
        <w:rPr>
          <w:color w:val="808080"/>
        </w:rPr>
      </w:pPr>
      <w:r w:rsidRPr="00FA0D37">
        <w:t xml:space="preserve">maxCI-DCI-PayloadSize-r16               </w:t>
      </w:r>
      <w:r w:rsidRPr="00FA0D37">
        <w:rPr>
          <w:color w:val="993366"/>
        </w:rPr>
        <w:t>INTEGER</w:t>
      </w:r>
      <w:r w:rsidRPr="00FA0D37">
        <w:t xml:space="preserve"> ::= 126     </w:t>
      </w:r>
      <w:r w:rsidRPr="00FA0D37">
        <w:rPr>
          <w:color w:val="808080"/>
        </w:rPr>
        <w:t>-- Maximum number of the DCI size for CI</w:t>
      </w:r>
    </w:p>
    <w:p w14:paraId="350B69EF" w14:textId="71A9DF53" w:rsidR="00394471" w:rsidRPr="00FA0D37" w:rsidRDefault="00394471" w:rsidP="00FA0D37">
      <w:pPr>
        <w:pStyle w:val="PL"/>
        <w:rPr>
          <w:color w:val="808080"/>
        </w:rPr>
      </w:pPr>
      <w:r w:rsidRPr="00FA0D37">
        <w:t>maxCI-DCI-PayloadSize-</w:t>
      </w:r>
      <w:r w:rsidR="00A371DB" w:rsidRPr="00FA0D37">
        <w:t>1-r16</w:t>
      </w:r>
      <w:r w:rsidRPr="00FA0D37">
        <w:t xml:space="preserve">             </w:t>
      </w:r>
      <w:r w:rsidRPr="00FA0D37">
        <w:rPr>
          <w:color w:val="993366"/>
        </w:rPr>
        <w:t>INTEGER</w:t>
      </w:r>
      <w:r w:rsidRPr="00FA0D37">
        <w:t xml:space="preserve"> ::= 125     </w:t>
      </w:r>
      <w:r w:rsidRPr="00FA0D37">
        <w:rPr>
          <w:color w:val="808080"/>
        </w:rPr>
        <w:t>-- Maximum number of the DCI size for CI minus 1</w:t>
      </w:r>
    </w:p>
    <w:p w14:paraId="36911109" w14:textId="4061E223" w:rsidR="00E81DFA" w:rsidRPr="00FA0D37" w:rsidRDefault="00E81DFA" w:rsidP="00FA0D37">
      <w:pPr>
        <w:pStyle w:val="PL"/>
        <w:rPr>
          <w:color w:val="808080"/>
        </w:rPr>
      </w:pPr>
      <w:r w:rsidRPr="00FA0D37">
        <w:t xml:space="preserve">maxUu-RelayRLC-ChannelID-r17           </w:t>
      </w:r>
      <w:r w:rsidR="00FA35A8" w:rsidRPr="00FA0D37">
        <w:t xml:space="preserve"> </w:t>
      </w:r>
      <w:r w:rsidRPr="00FA0D37">
        <w:rPr>
          <w:color w:val="993366"/>
        </w:rPr>
        <w:t>INTEGER</w:t>
      </w:r>
      <w:r w:rsidRPr="00FA0D37">
        <w:t xml:space="preserve"> ::= 32      </w:t>
      </w:r>
      <w:r w:rsidRPr="00FA0D37">
        <w:rPr>
          <w:color w:val="808080"/>
        </w:rPr>
        <w:t>-- Maximum value of Uu Relay RLC channel ID</w:t>
      </w:r>
    </w:p>
    <w:p w14:paraId="11EBBD02" w14:textId="288CA48A" w:rsidR="00394471" w:rsidRPr="00FA0D37" w:rsidRDefault="00394471" w:rsidP="00FA0D37">
      <w:pPr>
        <w:pStyle w:val="PL"/>
        <w:rPr>
          <w:color w:val="808080"/>
        </w:rPr>
      </w:pPr>
      <w:r w:rsidRPr="00FA0D37">
        <w:t xml:space="preserve">maxWLAN-Id-Report-r16                   </w:t>
      </w:r>
      <w:r w:rsidRPr="00FA0D37">
        <w:rPr>
          <w:color w:val="993366"/>
        </w:rPr>
        <w:t>INTEGER</w:t>
      </w:r>
      <w:r w:rsidRPr="00FA0D37">
        <w:t xml:space="preserve"> ::= 32      </w:t>
      </w:r>
      <w:r w:rsidRPr="00FA0D37">
        <w:rPr>
          <w:color w:val="808080"/>
        </w:rPr>
        <w:t>-- Maximum number of WLAN IDs to report</w:t>
      </w:r>
    </w:p>
    <w:p w14:paraId="1BBEBEA2" w14:textId="77777777" w:rsidR="00394471" w:rsidRPr="00FA0D37" w:rsidRDefault="00394471" w:rsidP="00FA0D37">
      <w:pPr>
        <w:pStyle w:val="PL"/>
        <w:rPr>
          <w:color w:val="808080"/>
        </w:rPr>
      </w:pPr>
      <w:r w:rsidRPr="00FA0D37">
        <w:t xml:space="preserve">maxWLAN-Name-r16                        </w:t>
      </w:r>
      <w:r w:rsidRPr="00FA0D37">
        <w:rPr>
          <w:color w:val="993366"/>
        </w:rPr>
        <w:t>INTEGER</w:t>
      </w:r>
      <w:r w:rsidRPr="00FA0D37">
        <w:t xml:space="preserve"> ::= 4       </w:t>
      </w:r>
      <w:r w:rsidRPr="00FA0D37">
        <w:rPr>
          <w:color w:val="808080"/>
        </w:rPr>
        <w:t>-- Maximum number of WLAN name</w:t>
      </w:r>
    </w:p>
    <w:p w14:paraId="7FA41C92" w14:textId="77777777" w:rsidR="00394471" w:rsidRPr="00FA0D37" w:rsidRDefault="00394471" w:rsidP="00FA0D37">
      <w:pPr>
        <w:pStyle w:val="PL"/>
        <w:rPr>
          <w:color w:val="808080"/>
        </w:rPr>
      </w:pPr>
      <w:r w:rsidRPr="00FA0D37">
        <w:rPr>
          <w:rFonts w:eastAsia="等线"/>
        </w:rPr>
        <w:t>maxRAReport-r16</w:t>
      </w:r>
      <w:r w:rsidRPr="00FA0D37">
        <w:t xml:space="preserve">                         </w:t>
      </w:r>
      <w:r w:rsidRPr="00FA0D37">
        <w:rPr>
          <w:color w:val="993366"/>
        </w:rPr>
        <w:t>INTEGER</w:t>
      </w:r>
      <w:r w:rsidRPr="00FA0D37">
        <w:t xml:space="preserve"> ::= 8       </w:t>
      </w:r>
      <w:r w:rsidRPr="00FA0D37">
        <w:rPr>
          <w:color w:val="808080"/>
        </w:rPr>
        <w:t>-- Maximum number of RA procedures information to be included in the RA report</w:t>
      </w:r>
    </w:p>
    <w:p w14:paraId="55E9176E" w14:textId="77777777" w:rsidR="00394471" w:rsidRPr="00FA0D37" w:rsidRDefault="00394471" w:rsidP="00FA0D37">
      <w:pPr>
        <w:pStyle w:val="PL"/>
        <w:rPr>
          <w:color w:val="808080"/>
        </w:rPr>
      </w:pPr>
      <w:r w:rsidRPr="00FA0D37">
        <w:t xml:space="preserve">maxTxConfig-r16                         </w:t>
      </w:r>
      <w:r w:rsidRPr="00FA0D37">
        <w:rPr>
          <w:color w:val="993366"/>
        </w:rPr>
        <w:t>INTEGER</w:t>
      </w:r>
      <w:r w:rsidRPr="00FA0D37">
        <w:t xml:space="preserve"> ::= 64      </w:t>
      </w:r>
      <w:r w:rsidRPr="00FA0D37">
        <w:rPr>
          <w:color w:val="808080"/>
        </w:rPr>
        <w:t>-- Maximum number of sidelink transmission parameters configurations</w:t>
      </w:r>
    </w:p>
    <w:p w14:paraId="6A34C3AE" w14:textId="77777777" w:rsidR="00394471" w:rsidRPr="00FA0D37" w:rsidRDefault="00394471" w:rsidP="00FA0D37">
      <w:pPr>
        <w:pStyle w:val="PL"/>
        <w:rPr>
          <w:color w:val="808080"/>
        </w:rPr>
      </w:pPr>
      <w:r w:rsidRPr="00FA0D37">
        <w:t xml:space="preserve">maxTxConfig-1-r16                       </w:t>
      </w:r>
      <w:r w:rsidRPr="00FA0D37">
        <w:rPr>
          <w:color w:val="993366"/>
        </w:rPr>
        <w:t>INTEGER</w:t>
      </w:r>
      <w:r w:rsidRPr="00FA0D37">
        <w:t xml:space="preserve"> ::= 63      </w:t>
      </w:r>
      <w:r w:rsidRPr="00FA0D37">
        <w:rPr>
          <w:color w:val="808080"/>
        </w:rPr>
        <w:t>-- Maximum number of sidelink transmission parameters configurations minus 1</w:t>
      </w:r>
    </w:p>
    <w:p w14:paraId="0543D98F" w14:textId="77777777" w:rsidR="00394471" w:rsidRPr="00FA0D37" w:rsidRDefault="00394471" w:rsidP="00FA0D37">
      <w:pPr>
        <w:pStyle w:val="PL"/>
        <w:rPr>
          <w:color w:val="808080"/>
        </w:rPr>
      </w:pPr>
      <w:r w:rsidRPr="00FA0D37">
        <w:t xml:space="preserve">maxPSSCH-TxConfig-r16                   </w:t>
      </w:r>
      <w:r w:rsidRPr="00FA0D37">
        <w:rPr>
          <w:color w:val="993366"/>
        </w:rPr>
        <w:t>INTEGER</w:t>
      </w:r>
      <w:r w:rsidRPr="00FA0D37">
        <w:t xml:space="preserve"> ::= 16      </w:t>
      </w:r>
      <w:r w:rsidRPr="00FA0D37">
        <w:rPr>
          <w:color w:val="808080"/>
        </w:rPr>
        <w:t>-- Maximum number of PSSCH TX configurations</w:t>
      </w:r>
    </w:p>
    <w:p w14:paraId="16FDF348" w14:textId="77777777" w:rsidR="00394471" w:rsidRPr="00FA0D37" w:rsidRDefault="00394471" w:rsidP="00FA0D37">
      <w:pPr>
        <w:pStyle w:val="PL"/>
        <w:rPr>
          <w:color w:val="808080"/>
        </w:rPr>
      </w:pPr>
      <w:r w:rsidRPr="00FA0D37">
        <w:t xml:space="preserve">maxNrofCLI-RSSI-Resources-r16           </w:t>
      </w:r>
      <w:r w:rsidRPr="00FA0D37">
        <w:rPr>
          <w:color w:val="993366"/>
        </w:rPr>
        <w:t>INTEGER</w:t>
      </w:r>
      <w:r w:rsidRPr="00FA0D37">
        <w:t xml:space="preserve"> ::= 64      </w:t>
      </w:r>
      <w:r w:rsidRPr="00FA0D37">
        <w:rPr>
          <w:color w:val="808080"/>
        </w:rPr>
        <w:t>-- Maximum number of CLI-RSSI resources for UE</w:t>
      </w:r>
    </w:p>
    <w:p w14:paraId="276ACAB4" w14:textId="1CE973E2" w:rsidR="00394471" w:rsidRPr="00FA0D37" w:rsidRDefault="00394471" w:rsidP="00FA0D37">
      <w:pPr>
        <w:pStyle w:val="PL"/>
        <w:rPr>
          <w:color w:val="808080"/>
        </w:rPr>
      </w:pPr>
      <w:r w:rsidRPr="00FA0D37">
        <w:t>maxNrofCLI-RSSI-Resources-</w:t>
      </w:r>
      <w:r w:rsidR="00A371DB" w:rsidRPr="00FA0D37">
        <w:t>1-r16</w:t>
      </w:r>
      <w:r w:rsidRPr="00FA0D37">
        <w:t xml:space="preserve">         </w:t>
      </w:r>
      <w:r w:rsidRPr="00FA0D37">
        <w:rPr>
          <w:color w:val="993366"/>
        </w:rPr>
        <w:t>INTEGER</w:t>
      </w:r>
      <w:r w:rsidRPr="00FA0D37">
        <w:t xml:space="preserve"> ::= 63      </w:t>
      </w:r>
      <w:r w:rsidRPr="00FA0D37">
        <w:rPr>
          <w:color w:val="808080"/>
        </w:rPr>
        <w:t>-- Maximum number of CLI-RSSI resources for UE minus 1</w:t>
      </w:r>
    </w:p>
    <w:p w14:paraId="46EF220C" w14:textId="430F5AFA" w:rsidR="00394471" w:rsidRPr="00FA0D37" w:rsidRDefault="00394471" w:rsidP="00FA0D37">
      <w:pPr>
        <w:pStyle w:val="PL"/>
        <w:rPr>
          <w:color w:val="808080"/>
        </w:rPr>
      </w:pPr>
      <w:r w:rsidRPr="00FA0D37">
        <w:t xml:space="preserve">maxNrofCLI-SRS-Resources-r16            </w:t>
      </w:r>
      <w:r w:rsidRPr="00FA0D37">
        <w:rPr>
          <w:color w:val="993366"/>
        </w:rPr>
        <w:t>INTEGER</w:t>
      </w:r>
      <w:r w:rsidRPr="00FA0D37">
        <w:t xml:space="preserve"> ::= 32      </w:t>
      </w:r>
      <w:r w:rsidRPr="00FA0D37">
        <w:rPr>
          <w:color w:val="808080"/>
        </w:rPr>
        <w:t>-- Maximum number of SRS resources for CLI measurement for UE</w:t>
      </w:r>
    </w:p>
    <w:p w14:paraId="5EFA0B36" w14:textId="77777777" w:rsidR="00394471" w:rsidRPr="00FA0D37" w:rsidRDefault="00394471" w:rsidP="00FA0D37">
      <w:pPr>
        <w:pStyle w:val="PL"/>
      </w:pPr>
      <w:r w:rsidRPr="00FA0D37">
        <w:t xml:space="preserve">maxCLI-Report-r16                       </w:t>
      </w:r>
      <w:r w:rsidRPr="00FA0D37">
        <w:rPr>
          <w:color w:val="993366"/>
        </w:rPr>
        <w:t>INTEGER</w:t>
      </w:r>
      <w:r w:rsidRPr="00FA0D37">
        <w:t xml:space="preserve"> ::= 8</w:t>
      </w:r>
    </w:p>
    <w:p w14:paraId="4815D1EC" w14:textId="77777777" w:rsidR="000103E4" w:rsidRPr="00FA0D37" w:rsidRDefault="000103E4" w:rsidP="00FA0D37">
      <w:pPr>
        <w:pStyle w:val="PL"/>
        <w:rPr>
          <w:color w:val="808080"/>
        </w:rPr>
      </w:pPr>
      <w:r w:rsidRPr="00FA0D37">
        <w:t xml:space="preserve">maxNrofCC-Group-r17                     </w:t>
      </w:r>
      <w:r w:rsidRPr="00FA0D37">
        <w:rPr>
          <w:color w:val="993366"/>
        </w:rPr>
        <w:t>INTEGER</w:t>
      </w:r>
      <w:r w:rsidRPr="00FA0D37">
        <w:t xml:space="preserve"> ::= 16      </w:t>
      </w:r>
      <w:r w:rsidRPr="00FA0D37">
        <w:rPr>
          <w:color w:val="808080"/>
        </w:rPr>
        <w:t>-- Maximum number of CC groups for DC location report</w:t>
      </w:r>
    </w:p>
    <w:p w14:paraId="398D0330" w14:textId="7FAA6C9D" w:rsidR="00394471" w:rsidRPr="00FA0D37" w:rsidRDefault="00394471" w:rsidP="00FA0D37">
      <w:pPr>
        <w:pStyle w:val="PL"/>
        <w:rPr>
          <w:color w:val="808080"/>
        </w:rPr>
      </w:pPr>
      <w:r w:rsidRPr="00FA0D37">
        <w:t xml:space="preserve">maxNrofConfiguredGrantConfig-r16        </w:t>
      </w:r>
      <w:r w:rsidRPr="00FA0D37">
        <w:rPr>
          <w:color w:val="993366"/>
        </w:rPr>
        <w:t>INTEGER</w:t>
      </w:r>
      <w:r w:rsidRPr="00FA0D37">
        <w:t xml:space="preserve"> ::= 12      </w:t>
      </w:r>
      <w:r w:rsidRPr="00FA0D37">
        <w:rPr>
          <w:color w:val="808080"/>
        </w:rPr>
        <w:t>-- Maximum number of configured grant configurations per BWP</w:t>
      </w:r>
    </w:p>
    <w:p w14:paraId="71C029D7" w14:textId="3F21F34D" w:rsidR="00394471" w:rsidRPr="00FA0D37" w:rsidRDefault="00394471" w:rsidP="00FA0D37">
      <w:pPr>
        <w:pStyle w:val="PL"/>
        <w:rPr>
          <w:color w:val="808080"/>
        </w:rPr>
      </w:pPr>
      <w:r w:rsidRPr="00FA0D37">
        <w:t>maxNrofConfiguredGrantConfig-</w:t>
      </w:r>
      <w:r w:rsidR="00A371DB" w:rsidRPr="00FA0D37">
        <w:t>1-r16</w:t>
      </w:r>
      <w:r w:rsidRPr="00FA0D37">
        <w:t xml:space="preserve">      </w:t>
      </w:r>
      <w:r w:rsidRPr="00FA0D37">
        <w:rPr>
          <w:color w:val="993366"/>
        </w:rPr>
        <w:t>INTEGER</w:t>
      </w:r>
      <w:r w:rsidRPr="00FA0D37">
        <w:t xml:space="preserve"> ::= 11      </w:t>
      </w:r>
      <w:r w:rsidRPr="00FA0D37">
        <w:rPr>
          <w:color w:val="808080"/>
        </w:rPr>
        <w:t>-- Maximum number of configured grant configurations per BWP minus 1</w:t>
      </w:r>
    </w:p>
    <w:p w14:paraId="74122266" w14:textId="77777777" w:rsidR="00394471" w:rsidRPr="00FA0D37" w:rsidRDefault="00394471" w:rsidP="00FA0D37">
      <w:pPr>
        <w:pStyle w:val="PL"/>
        <w:rPr>
          <w:color w:val="808080"/>
        </w:rPr>
      </w:pPr>
      <w:r w:rsidRPr="00FA0D37">
        <w:t xml:space="preserve">maxNrofCG-Type2DeactivationState        </w:t>
      </w:r>
      <w:r w:rsidRPr="00FA0D37">
        <w:rPr>
          <w:color w:val="993366"/>
        </w:rPr>
        <w:t>INTEGER</w:t>
      </w:r>
      <w:r w:rsidRPr="00FA0D37">
        <w:t xml:space="preserve"> ::= 16      </w:t>
      </w:r>
      <w:r w:rsidRPr="00FA0D37">
        <w:rPr>
          <w:color w:val="808080"/>
        </w:rPr>
        <w:t>-- Maximum number of deactivation state for type 2 configured grants per BWP</w:t>
      </w:r>
    </w:p>
    <w:p w14:paraId="0B58E36A" w14:textId="53CB633C" w:rsidR="00394471" w:rsidRPr="00FA0D37" w:rsidRDefault="00394471" w:rsidP="00FA0D37">
      <w:pPr>
        <w:pStyle w:val="PL"/>
        <w:rPr>
          <w:color w:val="808080"/>
        </w:rPr>
      </w:pPr>
      <w:r w:rsidRPr="00FA0D37">
        <w:t>maxNrofConfiguredGrantConfigMAC-</w:t>
      </w:r>
      <w:r w:rsidR="00A371DB" w:rsidRPr="00FA0D37">
        <w:t>1-r16</w:t>
      </w:r>
      <w:r w:rsidRPr="00FA0D37">
        <w:t xml:space="preserve">   </w:t>
      </w:r>
      <w:r w:rsidRPr="00FA0D37">
        <w:rPr>
          <w:color w:val="993366"/>
        </w:rPr>
        <w:t>INTEGER</w:t>
      </w:r>
      <w:r w:rsidRPr="00FA0D37">
        <w:t xml:space="preserve"> ::= 31      </w:t>
      </w:r>
      <w:r w:rsidRPr="00FA0D37">
        <w:rPr>
          <w:color w:val="808080"/>
        </w:rPr>
        <w:t>-- Maximum number of configured grant configurations per MAC entity minus 1</w:t>
      </w:r>
    </w:p>
    <w:p w14:paraId="6C191DC4" w14:textId="77777777" w:rsidR="00394471" w:rsidRPr="00FA0D37" w:rsidRDefault="00394471" w:rsidP="00FA0D37">
      <w:pPr>
        <w:pStyle w:val="PL"/>
        <w:rPr>
          <w:color w:val="808080"/>
        </w:rPr>
      </w:pPr>
      <w:r w:rsidRPr="00FA0D37">
        <w:t xml:space="preserve">maxNrofSPS-Config-r16                   </w:t>
      </w:r>
      <w:r w:rsidRPr="00FA0D37">
        <w:rPr>
          <w:color w:val="993366"/>
        </w:rPr>
        <w:t>INTEGER</w:t>
      </w:r>
      <w:r w:rsidRPr="00FA0D37">
        <w:t xml:space="preserve"> ::= 8       </w:t>
      </w:r>
      <w:r w:rsidRPr="00FA0D37">
        <w:rPr>
          <w:color w:val="808080"/>
        </w:rPr>
        <w:t>-- Maximum number of SPS configurations per BWP</w:t>
      </w:r>
    </w:p>
    <w:p w14:paraId="1A97D441" w14:textId="3CAADB86" w:rsidR="00394471" w:rsidRPr="00FA0D37" w:rsidRDefault="00394471" w:rsidP="00FA0D37">
      <w:pPr>
        <w:pStyle w:val="PL"/>
        <w:rPr>
          <w:color w:val="808080"/>
        </w:rPr>
      </w:pPr>
      <w:r w:rsidRPr="00FA0D37">
        <w:t>maxNrofSPS-Config-</w:t>
      </w:r>
      <w:r w:rsidR="00A371DB" w:rsidRPr="00FA0D37">
        <w:t>1-r16</w:t>
      </w:r>
      <w:r w:rsidRPr="00FA0D37">
        <w:t xml:space="preserve">                 </w:t>
      </w:r>
      <w:r w:rsidRPr="00FA0D37">
        <w:rPr>
          <w:color w:val="993366"/>
        </w:rPr>
        <w:t>INTEGER</w:t>
      </w:r>
      <w:r w:rsidRPr="00FA0D37">
        <w:t xml:space="preserve"> ::= 7       </w:t>
      </w:r>
      <w:r w:rsidRPr="00FA0D37">
        <w:rPr>
          <w:color w:val="808080"/>
        </w:rPr>
        <w:t>-- Maximum number of SPS configurations per BWP minus 1</w:t>
      </w:r>
    </w:p>
    <w:p w14:paraId="4DB67264" w14:textId="77777777" w:rsidR="00394471" w:rsidRPr="00FA0D37" w:rsidRDefault="00394471" w:rsidP="00FA0D37">
      <w:pPr>
        <w:pStyle w:val="PL"/>
        <w:rPr>
          <w:color w:val="808080"/>
        </w:rPr>
      </w:pPr>
      <w:r w:rsidRPr="00FA0D37">
        <w:t xml:space="preserve">maxNrofSPS-DeactivationState            </w:t>
      </w:r>
      <w:r w:rsidRPr="00FA0D37">
        <w:rPr>
          <w:color w:val="993366"/>
        </w:rPr>
        <w:t>INTEGER</w:t>
      </w:r>
      <w:r w:rsidRPr="00FA0D37">
        <w:t xml:space="preserve"> ::= 16      </w:t>
      </w:r>
      <w:r w:rsidRPr="00FA0D37">
        <w:rPr>
          <w:color w:val="808080"/>
        </w:rPr>
        <w:t>-- Maximum number of deactivation state for SPS per BWP</w:t>
      </w:r>
    </w:p>
    <w:p w14:paraId="57A3F056" w14:textId="4FBF1818" w:rsidR="00FA3FBB" w:rsidRPr="00FA0D37" w:rsidRDefault="009B1D75" w:rsidP="00FA0D37">
      <w:pPr>
        <w:pStyle w:val="PL"/>
        <w:rPr>
          <w:color w:val="808080"/>
        </w:rPr>
      </w:pPr>
      <w:r w:rsidRPr="00FA0D37">
        <w:t xml:space="preserve">maxNrofPPW-Config-r17                   </w:t>
      </w:r>
      <w:r w:rsidRPr="00FA0D37">
        <w:rPr>
          <w:color w:val="993366"/>
        </w:rPr>
        <w:t>INTEGER</w:t>
      </w:r>
      <w:r w:rsidRPr="00FA0D37">
        <w:t xml:space="preserve"> ::= </w:t>
      </w:r>
      <w:r w:rsidR="00FA3FBB" w:rsidRPr="00FA0D37">
        <w:t>4</w:t>
      </w:r>
      <w:r w:rsidRPr="00FA0D37">
        <w:t xml:space="preserve">    </w:t>
      </w:r>
      <w:r w:rsidR="00FA3FBB" w:rsidRPr="00FA0D37">
        <w:t xml:space="preserve">   </w:t>
      </w:r>
      <w:r w:rsidRPr="00FA0D37">
        <w:rPr>
          <w:color w:val="808080"/>
        </w:rPr>
        <w:t xml:space="preserve">-- </w:t>
      </w:r>
      <w:r w:rsidR="007D4907" w:rsidRPr="00FA0D37">
        <w:rPr>
          <w:color w:val="808080"/>
        </w:rPr>
        <w:t>Maximum number of Preconfigured PRS processing windows per DL BWP</w:t>
      </w:r>
    </w:p>
    <w:p w14:paraId="3D423903" w14:textId="15BA2B9C" w:rsidR="00FA3FBB" w:rsidRPr="00FA0D37" w:rsidRDefault="00FA3FBB" w:rsidP="00FA0D37">
      <w:pPr>
        <w:pStyle w:val="PL"/>
        <w:rPr>
          <w:color w:val="808080"/>
        </w:rPr>
      </w:pPr>
      <w:r w:rsidRPr="00FA0D37">
        <w:t xml:space="preserve">maxNrofPPW-ID-1-r17                     </w:t>
      </w:r>
      <w:r w:rsidRPr="00FA0D37">
        <w:rPr>
          <w:color w:val="993366"/>
        </w:rPr>
        <w:t>INTEGER</w:t>
      </w:r>
      <w:r w:rsidRPr="00FA0D37">
        <w:t xml:space="preserve"> ::= 15      </w:t>
      </w:r>
      <w:r w:rsidRPr="00FA0D37">
        <w:rPr>
          <w:color w:val="808080"/>
        </w:rPr>
        <w:t>-- Maximum number of Preconfigured PRS processing windows minus 1</w:t>
      </w:r>
    </w:p>
    <w:p w14:paraId="6BF22177" w14:textId="49F28E12" w:rsidR="009B1D75" w:rsidRPr="00FA0D37" w:rsidRDefault="00FA3FBB" w:rsidP="00FA0D37">
      <w:pPr>
        <w:pStyle w:val="PL"/>
        <w:rPr>
          <w:color w:val="808080"/>
        </w:rPr>
      </w:pPr>
      <w:r w:rsidRPr="00FA0D37">
        <w:t>maxNrOfTxTEGReport-r17</w:t>
      </w:r>
      <w:r w:rsidR="009B1D75" w:rsidRPr="00FA0D37">
        <w:t xml:space="preserve">                  </w:t>
      </w:r>
      <w:r w:rsidR="009B1D75" w:rsidRPr="00FA0D37">
        <w:rPr>
          <w:color w:val="993366"/>
        </w:rPr>
        <w:t>INTEGER</w:t>
      </w:r>
      <w:r w:rsidR="009B1D75" w:rsidRPr="00FA0D37">
        <w:t xml:space="preserve"> ::= </w:t>
      </w:r>
      <w:r w:rsidRPr="00FA0D37">
        <w:t>256</w:t>
      </w:r>
      <w:r w:rsidR="009B1D75" w:rsidRPr="00FA0D37">
        <w:t xml:space="preserve">    </w:t>
      </w:r>
      <w:r w:rsidRPr="00FA0D37">
        <w:t xml:space="preserve"> </w:t>
      </w:r>
      <w:r w:rsidR="009B1D75" w:rsidRPr="00FA0D37">
        <w:rPr>
          <w:color w:val="808080"/>
        </w:rPr>
        <w:t xml:space="preserve">-- Maximum number of UE Tx Timing Error Group </w:t>
      </w:r>
      <w:r w:rsidRPr="00FA0D37">
        <w:rPr>
          <w:color w:val="808080"/>
        </w:rPr>
        <w:t>Report</w:t>
      </w:r>
    </w:p>
    <w:p w14:paraId="0CDB04EB" w14:textId="05C5D14E" w:rsidR="00FA3FBB" w:rsidRPr="00FA0D37" w:rsidRDefault="00FA3FBB" w:rsidP="00FA0D37">
      <w:pPr>
        <w:pStyle w:val="PL"/>
        <w:rPr>
          <w:color w:val="808080"/>
        </w:rPr>
      </w:pPr>
      <w:r w:rsidRPr="00FA0D37">
        <w:t xml:space="preserve">maxNrOfTxTEG-ID-1-r17                   </w:t>
      </w:r>
      <w:r w:rsidRPr="00FA0D37">
        <w:rPr>
          <w:color w:val="993366"/>
        </w:rPr>
        <w:t>INTEGER</w:t>
      </w:r>
      <w:r w:rsidRPr="00FA0D37">
        <w:t xml:space="preserve"> ::= 7       </w:t>
      </w:r>
      <w:r w:rsidRPr="00FA0D37">
        <w:rPr>
          <w:color w:val="808080"/>
        </w:rPr>
        <w:t>-- Maximum number of UE Tx Timing Error Group ID minus 1</w:t>
      </w:r>
    </w:p>
    <w:p w14:paraId="32FF1101" w14:textId="602EFD1F" w:rsidR="00A73A2D" w:rsidRPr="00FA0D37" w:rsidRDefault="00A73A2D" w:rsidP="00FA0D37">
      <w:pPr>
        <w:pStyle w:val="PL"/>
        <w:rPr>
          <w:color w:val="808080"/>
        </w:rPr>
      </w:pPr>
      <w:r w:rsidRPr="00FA0D37">
        <w:rPr>
          <w:rFonts w:eastAsia="等线"/>
        </w:rPr>
        <w:t>maxNrofPagingSubgroups-r17</w:t>
      </w:r>
      <w:r w:rsidRPr="00FA0D37">
        <w:t xml:space="preserve">              </w:t>
      </w:r>
      <w:r w:rsidRPr="00FA0D37">
        <w:rPr>
          <w:color w:val="993366"/>
        </w:rPr>
        <w:t>INTEGER</w:t>
      </w:r>
      <w:r w:rsidRPr="00FA0D37">
        <w:t xml:space="preserve"> ::= </w:t>
      </w:r>
      <w:r w:rsidRPr="00FA0D37">
        <w:rPr>
          <w:rFonts w:eastAsia="等线"/>
        </w:rPr>
        <w:t>8</w:t>
      </w:r>
      <w:r w:rsidRPr="00FA0D37">
        <w:t xml:space="preserve">       </w:t>
      </w:r>
      <w:r w:rsidRPr="00FA0D37">
        <w:rPr>
          <w:color w:val="808080"/>
        </w:rPr>
        <w:t>-- Maximum number of</w:t>
      </w:r>
      <w:r w:rsidRPr="00FA0D37">
        <w:rPr>
          <w:rFonts w:eastAsia="等线"/>
          <w:color w:val="808080"/>
        </w:rPr>
        <w:t xml:space="preserve"> paging subgroups per paging occasion</w:t>
      </w:r>
    </w:p>
    <w:p w14:paraId="5BCA92DE" w14:textId="640332D0" w:rsidR="00394471" w:rsidRPr="00FA0D37" w:rsidRDefault="00394471" w:rsidP="00FA0D37">
      <w:pPr>
        <w:pStyle w:val="PL"/>
      </w:pPr>
      <w:r w:rsidRPr="00FA0D37">
        <w:t>maxNrofPUCCH-ResourceGroups-</w:t>
      </w:r>
      <w:r w:rsidR="00A371DB" w:rsidRPr="00FA0D37">
        <w:t>1-r16</w:t>
      </w:r>
      <w:r w:rsidRPr="00FA0D37">
        <w:t xml:space="preserve">       </w:t>
      </w:r>
      <w:r w:rsidRPr="00FA0D37">
        <w:rPr>
          <w:color w:val="993366"/>
        </w:rPr>
        <w:t>INTEGER</w:t>
      </w:r>
      <w:r w:rsidRPr="00FA0D37">
        <w:t xml:space="preserve"> ::= 3</w:t>
      </w:r>
    </w:p>
    <w:p w14:paraId="7FAC890E" w14:textId="77777777" w:rsidR="000103E4" w:rsidRPr="00FA0D37" w:rsidRDefault="000103E4" w:rsidP="00FA0D37">
      <w:pPr>
        <w:pStyle w:val="PL"/>
        <w:rPr>
          <w:color w:val="808080"/>
        </w:rPr>
      </w:pPr>
      <w:r w:rsidRPr="00FA0D37">
        <w:lastRenderedPageBreak/>
        <w:t xml:space="preserve">maxNrofReqComDC-Location-r17            </w:t>
      </w:r>
      <w:r w:rsidRPr="00FA0D37">
        <w:rPr>
          <w:color w:val="993366"/>
        </w:rPr>
        <w:t>INTEGER</w:t>
      </w:r>
      <w:r w:rsidRPr="00FA0D37">
        <w:t xml:space="preserve"> ::= 128     </w:t>
      </w:r>
      <w:r w:rsidRPr="00FA0D37">
        <w:rPr>
          <w:color w:val="808080"/>
        </w:rPr>
        <w:t>-- Maximum number of requested carriers/BWPs combinations for DC location</w:t>
      </w:r>
    </w:p>
    <w:p w14:paraId="3103293B" w14:textId="2F442359" w:rsidR="000103E4" w:rsidRPr="00FA0D37" w:rsidRDefault="000103E4" w:rsidP="00FA0D37">
      <w:pPr>
        <w:pStyle w:val="PL"/>
        <w:rPr>
          <w:color w:val="808080"/>
        </w:rPr>
      </w:pPr>
      <w:r w:rsidRPr="00FA0D37">
        <w:t xml:space="preserve">                                                            </w:t>
      </w:r>
      <w:r w:rsidRPr="00FA0D37">
        <w:rPr>
          <w:color w:val="808080"/>
        </w:rPr>
        <w:t>-- report</w:t>
      </w:r>
    </w:p>
    <w:p w14:paraId="057135D4" w14:textId="3E507E1E" w:rsidR="00394471" w:rsidRPr="00FA0D37" w:rsidRDefault="00394471" w:rsidP="00FA0D37">
      <w:pPr>
        <w:pStyle w:val="PL"/>
        <w:rPr>
          <w:color w:val="808080"/>
        </w:rPr>
      </w:pPr>
      <w:r w:rsidRPr="00FA0D37">
        <w:t xml:space="preserve">maxNrofServingCellsTCI-r16              </w:t>
      </w:r>
      <w:r w:rsidRPr="00FA0D37">
        <w:rPr>
          <w:color w:val="993366"/>
        </w:rPr>
        <w:t>INTEGER</w:t>
      </w:r>
      <w:r w:rsidRPr="00FA0D37">
        <w:t xml:space="preserve"> ::= 32      </w:t>
      </w:r>
      <w:r w:rsidRPr="00FA0D37">
        <w:rPr>
          <w:color w:val="808080"/>
        </w:rPr>
        <w:t>-- Maximum number of serving cells in simultaneousTCI-UpdateList</w:t>
      </w:r>
    </w:p>
    <w:p w14:paraId="2E4DFF2E" w14:textId="3F9E4197" w:rsidR="00E46198" w:rsidRPr="00FA0D37" w:rsidRDefault="00E46198" w:rsidP="00FA0D37">
      <w:pPr>
        <w:pStyle w:val="PL"/>
        <w:rPr>
          <w:color w:val="808080"/>
        </w:rPr>
      </w:pPr>
      <w:r w:rsidRPr="00FA0D37">
        <w:t xml:space="preserve">maxNrofTxDC-TwoCarrier-r16              </w:t>
      </w:r>
      <w:r w:rsidRPr="00FA0D37">
        <w:rPr>
          <w:color w:val="993366"/>
        </w:rPr>
        <w:t>INTEGER</w:t>
      </w:r>
      <w:r w:rsidRPr="00FA0D37">
        <w:t xml:space="preserve"> ::= 64      </w:t>
      </w:r>
      <w:r w:rsidRPr="00FA0D37">
        <w:rPr>
          <w:color w:val="808080"/>
        </w:rPr>
        <w:t>-- Maximum number of UL Tx DC locations reported by the UE for 2CC uplink CA</w:t>
      </w:r>
    </w:p>
    <w:p w14:paraId="246D0B70" w14:textId="1F720424" w:rsidR="00CF0B27" w:rsidRPr="00FA0D37" w:rsidRDefault="00CF0B27" w:rsidP="00FA0D37">
      <w:pPr>
        <w:pStyle w:val="PL"/>
        <w:rPr>
          <w:color w:val="808080"/>
        </w:rPr>
      </w:pPr>
      <w:r w:rsidRPr="00FA0D37">
        <w:t>maxNrofR</w:t>
      </w:r>
      <w:r w:rsidR="00425CBF" w:rsidRPr="00FA0D37">
        <w:t>B-</w:t>
      </w:r>
      <w:r w:rsidRPr="00FA0D37">
        <w:t xml:space="preserve">SetGroups-r17                 </w:t>
      </w:r>
      <w:r w:rsidRPr="00FA0D37">
        <w:rPr>
          <w:color w:val="993366"/>
        </w:rPr>
        <w:t>INTEGER</w:t>
      </w:r>
      <w:r w:rsidRPr="00FA0D37">
        <w:t xml:space="preserve"> ::= 8       </w:t>
      </w:r>
      <w:r w:rsidRPr="00FA0D37">
        <w:rPr>
          <w:color w:val="808080"/>
        </w:rPr>
        <w:t>-- Maximum number of RB set groups</w:t>
      </w:r>
    </w:p>
    <w:p w14:paraId="065C8EF3" w14:textId="7C58D740" w:rsidR="00CF0B27" w:rsidRPr="00FA0D37" w:rsidRDefault="00CF0B27" w:rsidP="00FA0D37">
      <w:pPr>
        <w:pStyle w:val="PL"/>
        <w:rPr>
          <w:color w:val="808080"/>
        </w:rPr>
      </w:pPr>
      <w:r w:rsidRPr="00FA0D37">
        <w:t>maxNrofR</w:t>
      </w:r>
      <w:r w:rsidR="00425CBF" w:rsidRPr="00FA0D37">
        <w:t>B-</w:t>
      </w:r>
      <w:r w:rsidRPr="00FA0D37">
        <w:t xml:space="preserve">Sets-r17                      </w:t>
      </w:r>
      <w:r w:rsidRPr="00FA0D37">
        <w:rPr>
          <w:color w:val="993366"/>
        </w:rPr>
        <w:t>INTEGER</w:t>
      </w:r>
      <w:r w:rsidRPr="00FA0D37">
        <w:t xml:space="preserve"> ::= 8       </w:t>
      </w:r>
      <w:r w:rsidRPr="00FA0D37">
        <w:rPr>
          <w:color w:val="808080"/>
        </w:rPr>
        <w:t>-- Maximum number of RB sets</w:t>
      </w:r>
    </w:p>
    <w:p w14:paraId="6D1E26E1" w14:textId="77777777" w:rsidR="00306103" w:rsidRPr="00FA0D37" w:rsidRDefault="00306103" w:rsidP="00FA0D37">
      <w:pPr>
        <w:pStyle w:val="PL"/>
        <w:rPr>
          <w:color w:val="808080"/>
        </w:rPr>
      </w:pPr>
      <w:r w:rsidRPr="00FA0D37">
        <w:t xml:space="preserve">maxNrofEnhType3HARQ-ACK-r17             </w:t>
      </w:r>
      <w:r w:rsidRPr="00FA0D37">
        <w:rPr>
          <w:color w:val="993366"/>
        </w:rPr>
        <w:t>INTEGER</w:t>
      </w:r>
      <w:r w:rsidRPr="00FA0D37">
        <w:t xml:space="preserve"> ::= 8       </w:t>
      </w:r>
      <w:r w:rsidRPr="00FA0D37">
        <w:rPr>
          <w:color w:val="808080"/>
        </w:rPr>
        <w:t>-- Maximum number of enhanced type 3 HARQ-ACK codebook</w:t>
      </w:r>
    </w:p>
    <w:p w14:paraId="38C68411" w14:textId="77777777" w:rsidR="00306103" w:rsidRPr="00FA0D37" w:rsidRDefault="00306103" w:rsidP="00FA0D37">
      <w:pPr>
        <w:pStyle w:val="PL"/>
        <w:rPr>
          <w:color w:val="808080"/>
        </w:rPr>
      </w:pPr>
      <w:r w:rsidRPr="00FA0D37">
        <w:t xml:space="preserve">maxNrofEnhType3HARQ-ACK-1-r17           </w:t>
      </w:r>
      <w:r w:rsidRPr="00FA0D37">
        <w:rPr>
          <w:color w:val="993366"/>
        </w:rPr>
        <w:t>INTEGER</w:t>
      </w:r>
      <w:r w:rsidRPr="00FA0D37">
        <w:t xml:space="preserve"> ::= 7       </w:t>
      </w:r>
      <w:r w:rsidRPr="00FA0D37">
        <w:rPr>
          <w:color w:val="808080"/>
        </w:rPr>
        <w:t>-- Maximum number of enhanced type 3 HARQ-ACK codebook minus 1</w:t>
      </w:r>
    </w:p>
    <w:p w14:paraId="32C5639B" w14:textId="77777777" w:rsidR="00306103" w:rsidRPr="00FA0D37" w:rsidRDefault="00306103" w:rsidP="00FA0D37">
      <w:pPr>
        <w:pStyle w:val="PL"/>
        <w:rPr>
          <w:color w:val="808080"/>
        </w:rPr>
      </w:pPr>
      <w:r w:rsidRPr="00FA0D37">
        <w:t xml:space="preserve">maxNrofPRS-ResourcesPerSet-r17          </w:t>
      </w:r>
      <w:r w:rsidRPr="00FA0D37">
        <w:rPr>
          <w:color w:val="993366"/>
        </w:rPr>
        <w:t>INTEGER</w:t>
      </w:r>
      <w:r w:rsidRPr="00FA0D37">
        <w:t xml:space="preserve"> ::= 64      </w:t>
      </w:r>
      <w:r w:rsidRPr="00FA0D37">
        <w:rPr>
          <w:color w:val="808080"/>
        </w:rPr>
        <w:t>-- Maximum number of PRS resources for one set</w:t>
      </w:r>
    </w:p>
    <w:p w14:paraId="598B0C92" w14:textId="77777777" w:rsidR="00306103" w:rsidRPr="00FA0D37" w:rsidRDefault="00306103" w:rsidP="00FA0D37">
      <w:pPr>
        <w:pStyle w:val="PL"/>
        <w:rPr>
          <w:color w:val="808080"/>
        </w:rPr>
      </w:pPr>
      <w:r w:rsidRPr="00FA0D37">
        <w:t xml:space="preserve">maxNrofPRS-ResourcesPerSet-1-r17        </w:t>
      </w:r>
      <w:r w:rsidRPr="00FA0D37">
        <w:rPr>
          <w:color w:val="993366"/>
        </w:rPr>
        <w:t>INTEGER</w:t>
      </w:r>
      <w:r w:rsidRPr="00FA0D37">
        <w:t xml:space="preserve"> ::= 63      </w:t>
      </w:r>
      <w:r w:rsidRPr="00FA0D37">
        <w:rPr>
          <w:color w:val="808080"/>
        </w:rPr>
        <w:t>-- Maximum number of PRS resources for one set minus 1</w:t>
      </w:r>
    </w:p>
    <w:p w14:paraId="466E2005" w14:textId="77777777" w:rsidR="00306103" w:rsidRPr="00FA0D37" w:rsidRDefault="00306103" w:rsidP="00FA0D37">
      <w:pPr>
        <w:pStyle w:val="PL"/>
      </w:pPr>
      <w:r w:rsidRPr="00FA0D37">
        <w:t xml:space="preserve">maxNrofPRS-ResourceOffsetValue-1-r17    </w:t>
      </w:r>
      <w:r w:rsidRPr="00FA0D37">
        <w:rPr>
          <w:color w:val="993366"/>
        </w:rPr>
        <w:t>INTEGER</w:t>
      </w:r>
      <w:r w:rsidRPr="00FA0D37">
        <w:t xml:space="preserve"> ::= 511</w:t>
      </w:r>
    </w:p>
    <w:p w14:paraId="3CC5B8B4" w14:textId="7746B526" w:rsidR="00D6273A" w:rsidRPr="00FA0D37" w:rsidRDefault="00D6273A" w:rsidP="00FA0D37">
      <w:pPr>
        <w:pStyle w:val="PL"/>
        <w:rPr>
          <w:color w:val="808080"/>
        </w:rPr>
      </w:pPr>
      <w:r w:rsidRPr="00FA0D37">
        <w:t xml:space="preserve">maxNrofGapId-r17                        </w:t>
      </w:r>
      <w:r w:rsidRPr="00FA0D37">
        <w:rPr>
          <w:color w:val="993366"/>
        </w:rPr>
        <w:t>INTEGER</w:t>
      </w:r>
      <w:r w:rsidRPr="00FA0D37">
        <w:t xml:space="preserve"> ::= </w:t>
      </w:r>
      <w:r w:rsidR="00706928" w:rsidRPr="00FA0D37">
        <w:t>8</w:t>
      </w:r>
      <w:r w:rsidRPr="00FA0D37">
        <w:t xml:space="preserve">    </w:t>
      </w:r>
      <w:r w:rsidR="00706928" w:rsidRPr="00FA0D37">
        <w:t xml:space="preserve">   </w:t>
      </w:r>
      <w:r w:rsidRPr="00FA0D37">
        <w:rPr>
          <w:color w:val="808080"/>
        </w:rPr>
        <w:t xml:space="preserve">-- Maximum number of measurement gap ID </w:t>
      </w:r>
      <w:r w:rsidR="0048695E" w:rsidRPr="00FA0D37">
        <w:rPr>
          <w:color w:val="808080"/>
        </w:rPr>
        <w:t>is FFS</w:t>
      </w:r>
    </w:p>
    <w:p w14:paraId="63E8FC50" w14:textId="6C3037E8" w:rsidR="00FA3FBB" w:rsidRPr="00FA0D37" w:rsidRDefault="00FA3FBB" w:rsidP="00FA0D37">
      <w:pPr>
        <w:pStyle w:val="PL"/>
        <w:rPr>
          <w:color w:val="808080"/>
        </w:rPr>
      </w:pPr>
      <w:r w:rsidRPr="00FA0D37">
        <w:t xml:space="preserve">maxNrofPreConfigPosGapId-r17            </w:t>
      </w:r>
      <w:r w:rsidRPr="00FA0D37">
        <w:rPr>
          <w:color w:val="993366"/>
        </w:rPr>
        <w:t>INTEGER</w:t>
      </w:r>
      <w:r w:rsidRPr="00FA0D37">
        <w:t xml:space="preserve"> ::= 16      </w:t>
      </w:r>
      <w:r w:rsidRPr="00FA0D37">
        <w:rPr>
          <w:color w:val="808080"/>
        </w:rPr>
        <w:t>-- Maximum number of preconfigured positioning measurement gap</w:t>
      </w:r>
    </w:p>
    <w:p w14:paraId="5BC67327" w14:textId="4F677BD5" w:rsidR="00D6273A" w:rsidRPr="00FA0D37" w:rsidRDefault="00D6273A" w:rsidP="00FA0D37">
      <w:pPr>
        <w:pStyle w:val="PL"/>
        <w:rPr>
          <w:color w:val="808080"/>
        </w:rPr>
      </w:pPr>
      <w:r w:rsidRPr="00FA0D37">
        <w:t xml:space="preserve">maxNrOfGapPri-r17                       </w:t>
      </w:r>
      <w:r w:rsidRPr="00FA0D37">
        <w:rPr>
          <w:color w:val="993366"/>
        </w:rPr>
        <w:t>INTEGER</w:t>
      </w:r>
      <w:r w:rsidRPr="00FA0D37">
        <w:t xml:space="preserve"> ::= </w:t>
      </w:r>
      <w:r w:rsidR="00706928" w:rsidRPr="00FA0D37">
        <w:t>16</w:t>
      </w:r>
      <w:r w:rsidRPr="00FA0D37">
        <w:t xml:space="preserve">    </w:t>
      </w:r>
      <w:r w:rsidR="00706928" w:rsidRPr="00FA0D37">
        <w:t xml:space="preserve">  </w:t>
      </w:r>
      <w:r w:rsidRPr="00FA0D37">
        <w:rPr>
          <w:color w:val="808080"/>
        </w:rPr>
        <w:t>-- Maximum number of gap priority level</w:t>
      </w:r>
    </w:p>
    <w:p w14:paraId="059701E7" w14:textId="77777777" w:rsidR="00E84B6D" w:rsidRPr="00FA0D37" w:rsidRDefault="00E84B6D" w:rsidP="00FA0D37">
      <w:pPr>
        <w:pStyle w:val="PL"/>
        <w:rPr>
          <w:color w:val="808080"/>
        </w:rPr>
      </w:pPr>
      <w:r w:rsidRPr="00FA0D37">
        <w:t xml:space="preserve">maxCEFReport-r17                        </w:t>
      </w:r>
      <w:r w:rsidRPr="00FA0D37">
        <w:rPr>
          <w:color w:val="993366"/>
        </w:rPr>
        <w:t>INTEGER</w:t>
      </w:r>
      <w:r w:rsidRPr="00FA0D37">
        <w:t xml:space="preserve"> ::= 4       </w:t>
      </w:r>
      <w:r w:rsidRPr="00FA0D37">
        <w:rPr>
          <w:color w:val="808080"/>
        </w:rPr>
        <w:t>-- Maximum number of CEF reports by the UE</w:t>
      </w:r>
    </w:p>
    <w:p w14:paraId="632ABE0F" w14:textId="3B04E603" w:rsidR="00394471" w:rsidRPr="00FA0D37" w:rsidRDefault="00727F8C" w:rsidP="00FA0D37">
      <w:pPr>
        <w:pStyle w:val="PL"/>
        <w:rPr>
          <w:color w:val="808080"/>
        </w:rPr>
      </w:pPr>
      <w:r w:rsidRPr="00FA0D37">
        <w:t xml:space="preserve">maxNrofMultiplePDSCHs-r17               </w:t>
      </w:r>
      <w:r w:rsidRPr="00FA0D37">
        <w:rPr>
          <w:color w:val="993366"/>
        </w:rPr>
        <w:t>INTEGER</w:t>
      </w:r>
      <w:r w:rsidRPr="00FA0D37">
        <w:t xml:space="preserve"> ::= 8       </w:t>
      </w:r>
      <w:r w:rsidRPr="00FA0D37">
        <w:rPr>
          <w:color w:val="808080"/>
        </w:rPr>
        <w:t>-- Maximum number of PDSCHs in PDSCH TDRA list</w:t>
      </w:r>
    </w:p>
    <w:p w14:paraId="05BE4B19" w14:textId="500674D1" w:rsidR="00EC5164" w:rsidRPr="00FA0D37" w:rsidRDefault="00EC5164" w:rsidP="00FA0D37">
      <w:pPr>
        <w:pStyle w:val="PL"/>
        <w:rPr>
          <w:color w:val="808080"/>
        </w:rPr>
      </w:pPr>
      <w:r w:rsidRPr="00FA0D37">
        <w:t xml:space="preserve">maxSliceInfo-r17                        </w:t>
      </w:r>
      <w:r w:rsidRPr="00FA0D37">
        <w:rPr>
          <w:color w:val="993366"/>
        </w:rPr>
        <w:t>INTEGER</w:t>
      </w:r>
      <w:r w:rsidRPr="00FA0D37">
        <w:t xml:space="preserve"> ::= 8       </w:t>
      </w:r>
      <w:r w:rsidRPr="00FA0D37">
        <w:rPr>
          <w:color w:val="808080"/>
        </w:rPr>
        <w:t xml:space="preserve">-- Maximum number of </w:t>
      </w:r>
      <w:r w:rsidR="008E5FFC" w:rsidRPr="00FA0D37">
        <w:rPr>
          <w:color w:val="808080"/>
        </w:rPr>
        <w:t>NSAG</w:t>
      </w:r>
      <w:r w:rsidR="003A5AEE" w:rsidRPr="00FA0D37">
        <w:rPr>
          <w:color w:val="808080"/>
        </w:rPr>
        <w:t>s</w:t>
      </w:r>
    </w:p>
    <w:p w14:paraId="7053B7C6" w14:textId="22BC58FC" w:rsidR="00EC5164" w:rsidRPr="00FA0D37" w:rsidRDefault="00EC5164" w:rsidP="00FA0D37">
      <w:pPr>
        <w:pStyle w:val="PL"/>
        <w:rPr>
          <w:color w:val="808080"/>
        </w:rPr>
      </w:pPr>
      <w:r w:rsidRPr="00FA0D37">
        <w:t xml:space="preserve">maxCellSlice-r17                        </w:t>
      </w:r>
      <w:r w:rsidRPr="00FA0D37">
        <w:rPr>
          <w:color w:val="993366"/>
        </w:rPr>
        <w:t>INTEGER</w:t>
      </w:r>
      <w:r w:rsidRPr="00FA0D37">
        <w:t xml:space="preserve"> ::= 16      </w:t>
      </w:r>
      <w:r w:rsidRPr="00FA0D37">
        <w:rPr>
          <w:color w:val="808080"/>
        </w:rPr>
        <w:t xml:space="preserve">-- Maximum number of cells supporting the </w:t>
      </w:r>
      <w:r w:rsidR="008E5FFC" w:rsidRPr="00FA0D37">
        <w:rPr>
          <w:color w:val="808080"/>
        </w:rPr>
        <w:t>NSAG</w:t>
      </w:r>
    </w:p>
    <w:p w14:paraId="2B157AFE" w14:textId="77777777" w:rsidR="00A73A2D" w:rsidRPr="00FA0D37" w:rsidRDefault="00A73A2D" w:rsidP="00FA0D37">
      <w:pPr>
        <w:pStyle w:val="PL"/>
        <w:rPr>
          <w:color w:val="808080"/>
        </w:rPr>
      </w:pPr>
      <w:r w:rsidRPr="00FA0D37">
        <w:t xml:space="preserve">maxNrofTRS-ResourceSets-r17             </w:t>
      </w:r>
      <w:r w:rsidRPr="00FA0D37">
        <w:rPr>
          <w:color w:val="993366"/>
        </w:rPr>
        <w:t>INTEGER</w:t>
      </w:r>
      <w:r w:rsidRPr="00FA0D37">
        <w:t xml:space="preserve"> ::= 64      </w:t>
      </w:r>
      <w:r w:rsidRPr="00FA0D37">
        <w:rPr>
          <w:color w:val="808080"/>
        </w:rPr>
        <w:t>-- Maximum number of TRS resource sets</w:t>
      </w:r>
    </w:p>
    <w:p w14:paraId="00780425" w14:textId="77777777" w:rsidR="0048695E" w:rsidRPr="00FA0D37" w:rsidRDefault="0048695E" w:rsidP="00FA0D37">
      <w:pPr>
        <w:pStyle w:val="PL"/>
        <w:rPr>
          <w:color w:val="808080"/>
        </w:rPr>
      </w:pPr>
      <w:r w:rsidRPr="00FA0D37">
        <w:t xml:space="preserve">maxNrofSearchSpaceGroups-1-r17          </w:t>
      </w:r>
      <w:r w:rsidRPr="00FA0D37">
        <w:rPr>
          <w:color w:val="993366"/>
        </w:rPr>
        <w:t>INTEGER</w:t>
      </w:r>
      <w:r w:rsidRPr="00FA0D37">
        <w:t xml:space="preserve"> ::= 2       </w:t>
      </w:r>
      <w:r w:rsidRPr="00FA0D37">
        <w:rPr>
          <w:color w:val="808080"/>
        </w:rPr>
        <w:t>-- Maximum number of search space groups minus 1</w:t>
      </w:r>
    </w:p>
    <w:p w14:paraId="1743BB63" w14:textId="0B5A8BF9" w:rsidR="0048695E" w:rsidRPr="00FA0D37" w:rsidRDefault="0048695E" w:rsidP="00FA0D37">
      <w:pPr>
        <w:pStyle w:val="PL"/>
        <w:rPr>
          <w:color w:val="808080"/>
        </w:rPr>
      </w:pPr>
      <w:r w:rsidRPr="00FA0D37">
        <w:t>max</w:t>
      </w:r>
      <w:r w:rsidR="00FA35A8" w:rsidRPr="00FA0D37">
        <w:t>Nrof</w:t>
      </w:r>
      <w:r w:rsidRPr="00FA0D37">
        <w:t xml:space="preserve">RemoteUE-r17                     </w:t>
      </w:r>
      <w:r w:rsidRPr="00FA0D37">
        <w:rPr>
          <w:color w:val="993366"/>
        </w:rPr>
        <w:t>INTEGER</w:t>
      </w:r>
      <w:r w:rsidRPr="00FA0D37">
        <w:t xml:space="preserve"> ::= </w:t>
      </w:r>
      <w:r w:rsidR="003C4EC0" w:rsidRPr="00FA0D37">
        <w:t>32</w:t>
      </w:r>
      <w:r w:rsidRPr="00FA0D37">
        <w:t xml:space="preserve">    </w:t>
      </w:r>
      <w:r w:rsidR="003C4EC0" w:rsidRPr="00FA0D37">
        <w:t xml:space="preserve">  </w:t>
      </w:r>
      <w:r w:rsidRPr="00FA0D37">
        <w:rPr>
          <w:color w:val="808080"/>
        </w:rPr>
        <w:t xml:space="preserve">-- </w:t>
      </w:r>
      <w:r w:rsidR="003C4EC0" w:rsidRPr="00FA0D37">
        <w:rPr>
          <w:color w:val="808080"/>
        </w:rPr>
        <w:t>Maximum number of connected L2 U2N Remote UEs</w:t>
      </w:r>
    </w:p>
    <w:p w14:paraId="6C5069DB" w14:textId="77777777" w:rsidR="00807B1C" w:rsidRPr="00FA0D37" w:rsidRDefault="00807B1C" w:rsidP="00FA0D37">
      <w:pPr>
        <w:pStyle w:val="PL"/>
        <w:rPr>
          <w:color w:val="808080"/>
        </w:rPr>
      </w:pPr>
      <w:r w:rsidRPr="00FA0D37">
        <w:t xml:space="preserve">maxDCI-4-2-Size-r17                     </w:t>
      </w:r>
      <w:r w:rsidRPr="00FA0D37">
        <w:rPr>
          <w:color w:val="993366"/>
        </w:rPr>
        <w:t>INTEGER</w:t>
      </w:r>
      <w:r w:rsidRPr="00FA0D37">
        <w:t xml:space="preserve"> ::= 140     </w:t>
      </w:r>
      <w:r w:rsidRPr="00FA0D37">
        <w:rPr>
          <w:color w:val="808080"/>
        </w:rPr>
        <w:t>-- Maximum size of DCI format 4-2</w:t>
      </w:r>
    </w:p>
    <w:p w14:paraId="63F9DFAE" w14:textId="14A2C2D3" w:rsidR="00807B1C" w:rsidRPr="00FA0D37" w:rsidRDefault="00807B1C" w:rsidP="00FA0D37">
      <w:pPr>
        <w:pStyle w:val="PL"/>
        <w:rPr>
          <w:color w:val="808080"/>
        </w:rPr>
      </w:pPr>
      <w:r w:rsidRPr="00FA0D37">
        <w:t xml:space="preserve">maxFreqMBS-r17                          </w:t>
      </w:r>
      <w:r w:rsidRPr="00FA0D37">
        <w:rPr>
          <w:color w:val="993366"/>
        </w:rPr>
        <w:t>INTEGER</w:t>
      </w:r>
      <w:r w:rsidRPr="00FA0D37">
        <w:t xml:space="preserve"> ::= </w:t>
      </w:r>
      <w:r w:rsidR="00853B2B" w:rsidRPr="00FA0D37">
        <w:t>16</w:t>
      </w:r>
      <w:r w:rsidRPr="00FA0D37">
        <w:t xml:space="preserve">      </w:t>
      </w:r>
      <w:r w:rsidRPr="00FA0D37">
        <w:rPr>
          <w:color w:val="808080"/>
        </w:rPr>
        <w:t xml:space="preserve">-- </w:t>
      </w:r>
      <w:r w:rsidR="00853B2B" w:rsidRPr="00FA0D37">
        <w:rPr>
          <w:color w:val="808080"/>
        </w:rPr>
        <w:t>Maximum number of MBS frequencies reported in MBSInterestIndication</w:t>
      </w:r>
    </w:p>
    <w:p w14:paraId="068D24A4" w14:textId="77777777" w:rsidR="00807B1C" w:rsidRPr="00FA0D37" w:rsidRDefault="00807B1C" w:rsidP="00FA0D37">
      <w:pPr>
        <w:pStyle w:val="PL"/>
        <w:rPr>
          <w:color w:val="808080"/>
        </w:rPr>
      </w:pPr>
      <w:r w:rsidRPr="00FA0D37">
        <w:t xml:space="preserve">maxNrofDRX-ConfigPTM-r17                </w:t>
      </w:r>
      <w:r w:rsidRPr="00FA0D37">
        <w:rPr>
          <w:color w:val="993366"/>
        </w:rPr>
        <w:t>INTEGER</w:t>
      </w:r>
      <w:r w:rsidRPr="00FA0D37">
        <w:t xml:space="preserve"> ::= 64      </w:t>
      </w:r>
      <w:r w:rsidRPr="00FA0D37">
        <w:rPr>
          <w:color w:val="808080"/>
        </w:rPr>
        <w:t>-- Max number of DRX configuration for PTM provided in MBS broadcast in a</w:t>
      </w:r>
    </w:p>
    <w:p w14:paraId="0407106C" w14:textId="36773D24" w:rsidR="00807B1C" w:rsidRPr="00FA0D37" w:rsidRDefault="00807B1C" w:rsidP="00FA0D37">
      <w:pPr>
        <w:pStyle w:val="PL"/>
        <w:rPr>
          <w:color w:val="808080"/>
        </w:rPr>
      </w:pPr>
      <w:r w:rsidRPr="00FA0D37">
        <w:t xml:space="preserve">                                                            </w:t>
      </w:r>
      <w:r w:rsidRPr="00FA0D37">
        <w:rPr>
          <w:rFonts w:eastAsiaTheme="minorEastAsia"/>
          <w:color w:val="808080"/>
        </w:rPr>
        <w:t>--</w:t>
      </w:r>
      <w:r w:rsidRPr="00FA0D37">
        <w:rPr>
          <w:color w:val="808080"/>
        </w:rPr>
        <w:t xml:space="preserve"> cell</w:t>
      </w:r>
    </w:p>
    <w:p w14:paraId="7308C6EC" w14:textId="77777777" w:rsidR="00807B1C" w:rsidRPr="00FA0D37" w:rsidRDefault="00807B1C" w:rsidP="00FA0D37">
      <w:pPr>
        <w:pStyle w:val="PL"/>
        <w:rPr>
          <w:color w:val="808080"/>
        </w:rPr>
      </w:pPr>
      <w:r w:rsidRPr="00FA0D37">
        <w:t xml:space="preserve">maxNrofDRX-ConfigPTM-1-r17              </w:t>
      </w:r>
      <w:r w:rsidRPr="00FA0D37">
        <w:rPr>
          <w:color w:val="993366"/>
        </w:rPr>
        <w:t>INTEGER</w:t>
      </w:r>
      <w:r w:rsidRPr="00FA0D37">
        <w:t xml:space="preserve"> ::= 63      </w:t>
      </w:r>
      <w:r w:rsidRPr="00FA0D37">
        <w:rPr>
          <w:color w:val="808080"/>
        </w:rPr>
        <w:t>-- Max number of DRX configuration for PTM provided in MBS broadcast in a</w:t>
      </w:r>
    </w:p>
    <w:p w14:paraId="100650DA" w14:textId="115CAA81" w:rsidR="00807B1C" w:rsidRPr="00FA0D37" w:rsidRDefault="00807B1C" w:rsidP="00FA0D37">
      <w:pPr>
        <w:pStyle w:val="PL"/>
        <w:rPr>
          <w:color w:val="808080"/>
        </w:rPr>
      </w:pPr>
      <w:r w:rsidRPr="00FA0D37">
        <w:t xml:space="preserve">                                                            </w:t>
      </w:r>
      <w:r w:rsidRPr="00FA0D37">
        <w:rPr>
          <w:color w:val="808080"/>
        </w:rPr>
        <w:t>-- cell minus 1</w:t>
      </w:r>
    </w:p>
    <w:p w14:paraId="34D16172" w14:textId="77777777" w:rsidR="00807B1C" w:rsidRPr="00FA0D37" w:rsidRDefault="00807B1C" w:rsidP="00FA0D37">
      <w:pPr>
        <w:pStyle w:val="PL"/>
        <w:rPr>
          <w:color w:val="808080"/>
        </w:rPr>
      </w:pPr>
      <w:r w:rsidRPr="00FA0D37">
        <w:t xml:space="preserve">maxNrofMBS-ServiceListPerUE-r17         </w:t>
      </w:r>
      <w:r w:rsidRPr="00FA0D37">
        <w:rPr>
          <w:color w:val="993366"/>
        </w:rPr>
        <w:t>INTEGER</w:t>
      </w:r>
      <w:r w:rsidRPr="00FA0D37">
        <w:t xml:space="preserve"> ::= 16      </w:t>
      </w:r>
      <w:r w:rsidRPr="00FA0D37">
        <w:rPr>
          <w:color w:val="808080"/>
        </w:rPr>
        <w:t>-- Maximum number of services which the UE can include in the  MBS interest</w:t>
      </w:r>
    </w:p>
    <w:p w14:paraId="241EF3B8" w14:textId="383660FA" w:rsidR="00807B1C" w:rsidRPr="00FA0D37" w:rsidRDefault="00807B1C" w:rsidP="00FA0D37">
      <w:pPr>
        <w:pStyle w:val="PL"/>
        <w:rPr>
          <w:color w:val="808080"/>
        </w:rPr>
      </w:pPr>
      <w:r w:rsidRPr="00FA0D37">
        <w:t xml:space="preserve">                                                            </w:t>
      </w:r>
      <w:r w:rsidRPr="00FA0D37">
        <w:rPr>
          <w:color w:val="808080"/>
        </w:rPr>
        <w:t>-- indication</w:t>
      </w:r>
    </w:p>
    <w:p w14:paraId="5278A49F" w14:textId="77777777" w:rsidR="00807B1C" w:rsidRPr="00FA0D37" w:rsidRDefault="00807B1C" w:rsidP="00FA0D37">
      <w:pPr>
        <w:pStyle w:val="PL"/>
        <w:rPr>
          <w:color w:val="808080"/>
        </w:rPr>
      </w:pPr>
      <w:r w:rsidRPr="00FA0D37">
        <w:t xml:space="preserve">maxNrofMBS-Session-r17                  </w:t>
      </w:r>
      <w:r w:rsidRPr="00FA0D37">
        <w:rPr>
          <w:color w:val="993366"/>
        </w:rPr>
        <w:t>INTEGER</w:t>
      </w:r>
      <w:r w:rsidRPr="00FA0D37">
        <w:t xml:space="preserve"> ::= 1024    </w:t>
      </w:r>
      <w:r w:rsidRPr="00FA0D37">
        <w:rPr>
          <w:color w:val="808080"/>
        </w:rPr>
        <w:t>-- Maximum number of MBS sessions provided in MBS broadcast in a cell</w:t>
      </w:r>
    </w:p>
    <w:p w14:paraId="79504C3D" w14:textId="4318CF46" w:rsidR="00807B1C" w:rsidRPr="00FA0D37" w:rsidRDefault="00807B1C" w:rsidP="00FA0D37">
      <w:pPr>
        <w:pStyle w:val="PL"/>
        <w:rPr>
          <w:color w:val="808080"/>
        </w:rPr>
      </w:pPr>
      <w:r w:rsidRPr="00FA0D37">
        <w:t xml:space="preserve">maxNrofMTCH-SSB-MappingWindow-r17       </w:t>
      </w:r>
      <w:r w:rsidRPr="00FA0D37">
        <w:rPr>
          <w:color w:val="993366"/>
        </w:rPr>
        <w:t>INTEGER</w:t>
      </w:r>
      <w:r w:rsidRPr="00FA0D37">
        <w:t xml:space="preserve"> ::= 16      </w:t>
      </w:r>
      <w:r w:rsidRPr="00FA0D37">
        <w:rPr>
          <w:color w:val="808080"/>
        </w:rPr>
        <w:t>-- Maximum number of MTCH to SSB beam mapping pattern</w:t>
      </w:r>
    </w:p>
    <w:p w14:paraId="1889B041" w14:textId="29D49A3B" w:rsidR="00807B1C" w:rsidRPr="00FA0D37" w:rsidRDefault="00807B1C" w:rsidP="00FA0D37">
      <w:pPr>
        <w:pStyle w:val="PL"/>
        <w:rPr>
          <w:color w:val="808080"/>
        </w:rPr>
      </w:pPr>
      <w:r w:rsidRPr="00FA0D37">
        <w:t xml:space="preserve">maxNrofMTCH-SSB-MappingWindow-1-r17     </w:t>
      </w:r>
      <w:r w:rsidRPr="00FA0D37">
        <w:rPr>
          <w:color w:val="993366"/>
        </w:rPr>
        <w:t>INTEGER</w:t>
      </w:r>
      <w:r w:rsidRPr="00FA0D37">
        <w:t xml:space="preserve"> ::= 15      </w:t>
      </w:r>
      <w:r w:rsidRPr="00FA0D37">
        <w:rPr>
          <w:color w:val="808080"/>
        </w:rPr>
        <w:t>-- Maximum number of MTCH to SSB beam mapping pattern minus 1</w:t>
      </w:r>
    </w:p>
    <w:p w14:paraId="753B7D42" w14:textId="77777777" w:rsidR="00807B1C" w:rsidRPr="00FA0D37" w:rsidRDefault="00807B1C" w:rsidP="00FA0D37">
      <w:pPr>
        <w:pStyle w:val="PL"/>
        <w:rPr>
          <w:color w:val="808080"/>
        </w:rPr>
      </w:pPr>
      <w:r w:rsidRPr="00FA0D37">
        <w:t xml:space="preserve">maxNrofMRB-Broadcast-r17                </w:t>
      </w:r>
      <w:r w:rsidRPr="00FA0D37">
        <w:rPr>
          <w:color w:val="993366"/>
        </w:rPr>
        <w:t>INTEGER</w:t>
      </w:r>
      <w:r w:rsidRPr="00FA0D37">
        <w:t xml:space="preserve"> ::= 4       </w:t>
      </w:r>
      <w:r w:rsidRPr="00FA0D37">
        <w:rPr>
          <w:color w:val="808080"/>
        </w:rPr>
        <w:t>-- Maximum number of broadcast MRBs configured for one MBS broadcast service</w:t>
      </w:r>
    </w:p>
    <w:p w14:paraId="12B649FA" w14:textId="77777777" w:rsidR="00807B1C" w:rsidRPr="00FA0D37" w:rsidRDefault="00807B1C" w:rsidP="00FA0D37">
      <w:pPr>
        <w:pStyle w:val="PL"/>
        <w:rPr>
          <w:color w:val="808080"/>
        </w:rPr>
      </w:pPr>
      <w:r w:rsidRPr="00FA0D37">
        <w:t xml:space="preserve">maxNrofPageGroup-r17                    </w:t>
      </w:r>
      <w:r w:rsidRPr="00FA0D37">
        <w:rPr>
          <w:color w:val="993366"/>
        </w:rPr>
        <w:t>INTEGER</w:t>
      </w:r>
      <w:r w:rsidRPr="00FA0D37">
        <w:t xml:space="preserve"> ::= 32      </w:t>
      </w:r>
      <w:r w:rsidRPr="00FA0D37">
        <w:rPr>
          <w:color w:val="808080"/>
        </w:rPr>
        <w:t>-- Maximum number of paging groups in a paging message</w:t>
      </w:r>
    </w:p>
    <w:p w14:paraId="7640A507" w14:textId="77777777" w:rsidR="00807B1C" w:rsidRPr="00FA0D37" w:rsidRDefault="00807B1C" w:rsidP="00FA0D37">
      <w:pPr>
        <w:pStyle w:val="PL"/>
        <w:rPr>
          <w:color w:val="808080"/>
        </w:rPr>
      </w:pPr>
      <w:r w:rsidRPr="00FA0D37">
        <w:t xml:space="preserve">maxNrofPDSCH-ConfigPTM-r17              </w:t>
      </w:r>
      <w:r w:rsidRPr="00FA0D37">
        <w:rPr>
          <w:color w:val="993366"/>
        </w:rPr>
        <w:t>INTEGER</w:t>
      </w:r>
      <w:r w:rsidRPr="00FA0D37">
        <w:t xml:space="preserve"> ::= 16      </w:t>
      </w:r>
      <w:r w:rsidRPr="00FA0D37">
        <w:rPr>
          <w:color w:val="808080"/>
        </w:rPr>
        <w:t>-- Maximum number of PDSCH configuration groups for PTM</w:t>
      </w:r>
    </w:p>
    <w:p w14:paraId="2907FA00" w14:textId="77777777" w:rsidR="00807B1C" w:rsidRPr="00FA0D37" w:rsidRDefault="00807B1C" w:rsidP="00FA0D37">
      <w:pPr>
        <w:pStyle w:val="PL"/>
        <w:rPr>
          <w:color w:val="808080"/>
        </w:rPr>
      </w:pPr>
      <w:r w:rsidRPr="00FA0D37">
        <w:t xml:space="preserve">maxNrofPDSCH-ConfigPTM-1-r17            </w:t>
      </w:r>
      <w:r w:rsidRPr="00FA0D37">
        <w:rPr>
          <w:color w:val="993366"/>
        </w:rPr>
        <w:t>INTEGER</w:t>
      </w:r>
      <w:r w:rsidRPr="00FA0D37">
        <w:t xml:space="preserve"> ::= 15      </w:t>
      </w:r>
      <w:r w:rsidRPr="00FA0D37">
        <w:rPr>
          <w:color w:val="808080"/>
        </w:rPr>
        <w:t>-- Maximum number of PDSCH configuration groups for PTM minus 1</w:t>
      </w:r>
    </w:p>
    <w:p w14:paraId="3A10DA9C" w14:textId="316E25A1" w:rsidR="00807B1C" w:rsidRPr="00FA0D37" w:rsidRDefault="00807B1C" w:rsidP="00FA0D37">
      <w:pPr>
        <w:pStyle w:val="PL"/>
        <w:rPr>
          <w:color w:val="808080"/>
        </w:rPr>
      </w:pPr>
      <w:r w:rsidRPr="00FA0D37">
        <w:t xml:space="preserve">maxG-RNTI-r17                           </w:t>
      </w:r>
      <w:r w:rsidRPr="00FA0D37">
        <w:rPr>
          <w:color w:val="993366"/>
        </w:rPr>
        <w:t>INTEGER</w:t>
      </w:r>
      <w:r w:rsidRPr="00FA0D37">
        <w:t xml:space="preserve"> ::= 16      </w:t>
      </w:r>
      <w:r w:rsidRPr="00FA0D37">
        <w:rPr>
          <w:color w:val="808080"/>
        </w:rPr>
        <w:t>-- Maximum number of G-RNTI that can be configured for a UE.</w:t>
      </w:r>
    </w:p>
    <w:p w14:paraId="7589CF3E" w14:textId="77777777" w:rsidR="00807B1C" w:rsidRPr="00FA0D37" w:rsidRDefault="00807B1C" w:rsidP="00FA0D37">
      <w:pPr>
        <w:pStyle w:val="PL"/>
        <w:rPr>
          <w:color w:val="808080"/>
        </w:rPr>
      </w:pPr>
      <w:r w:rsidRPr="00FA0D37">
        <w:t xml:space="preserve">maxG-RNTI-1-r17                         </w:t>
      </w:r>
      <w:r w:rsidRPr="00FA0D37">
        <w:rPr>
          <w:color w:val="993366"/>
        </w:rPr>
        <w:t>INTEGER</w:t>
      </w:r>
      <w:r w:rsidRPr="00FA0D37">
        <w:t xml:space="preserve"> ::= 15      </w:t>
      </w:r>
      <w:r w:rsidRPr="00FA0D37">
        <w:rPr>
          <w:color w:val="808080"/>
        </w:rPr>
        <w:t>-- Maximum number of G-RNTI that can be configured for a UE minus 1.</w:t>
      </w:r>
    </w:p>
    <w:p w14:paraId="3DD68E95" w14:textId="77777777" w:rsidR="00F747EB" w:rsidRPr="00FA0D37" w:rsidRDefault="00807B1C" w:rsidP="00FA0D37">
      <w:pPr>
        <w:pStyle w:val="PL"/>
        <w:rPr>
          <w:color w:val="808080"/>
        </w:rPr>
      </w:pPr>
      <w:r w:rsidRPr="00FA0D37">
        <w:t xml:space="preserve">maxG-CS-RNTI-r17                        </w:t>
      </w:r>
      <w:r w:rsidRPr="00FA0D37">
        <w:rPr>
          <w:color w:val="993366"/>
        </w:rPr>
        <w:t>INTEGER</w:t>
      </w:r>
      <w:r w:rsidRPr="00FA0D37">
        <w:t xml:space="preserve"> ::= 8       </w:t>
      </w:r>
      <w:r w:rsidRPr="00FA0D37">
        <w:rPr>
          <w:color w:val="808080"/>
        </w:rPr>
        <w:t>-- Maximum number of G-CS-RNTI that can be configured for a UE.</w:t>
      </w:r>
    </w:p>
    <w:p w14:paraId="7AB73946" w14:textId="6B28B8BA" w:rsidR="00807B1C" w:rsidRPr="00FA0D37" w:rsidRDefault="00807B1C" w:rsidP="00FA0D37">
      <w:pPr>
        <w:pStyle w:val="PL"/>
        <w:rPr>
          <w:color w:val="808080"/>
        </w:rPr>
      </w:pPr>
      <w:r w:rsidRPr="00FA0D37">
        <w:t xml:space="preserve">maxG-CS-RNTI-1-r17                      </w:t>
      </w:r>
      <w:r w:rsidRPr="00FA0D37">
        <w:rPr>
          <w:color w:val="993366"/>
        </w:rPr>
        <w:t>INTEGER</w:t>
      </w:r>
      <w:r w:rsidRPr="00FA0D37">
        <w:t xml:space="preserve"> ::= 7       </w:t>
      </w:r>
      <w:r w:rsidRPr="00FA0D37">
        <w:rPr>
          <w:color w:val="808080"/>
        </w:rPr>
        <w:t>-- Maximum number of G-CS-RNTI that can be configured for a UE minus 1.</w:t>
      </w:r>
    </w:p>
    <w:p w14:paraId="621D23F2" w14:textId="77777777" w:rsidR="00807B1C" w:rsidRPr="00FA0D37" w:rsidRDefault="00807B1C" w:rsidP="00FA0D37">
      <w:pPr>
        <w:pStyle w:val="PL"/>
        <w:rPr>
          <w:color w:val="808080"/>
        </w:rPr>
      </w:pPr>
      <w:r w:rsidRPr="00FA0D37">
        <w:t xml:space="preserve">maxMRB-r17                              </w:t>
      </w:r>
      <w:r w:rsidRPr="00FA0D37">
        <w:rPr>
          <w:color w:val="993366"/>
        </w:rPr>
        <w:t>INTEGER</w:t>
      </w:r>
      <w:r w:rsidRPr="00FA0D37">
        <w:t xml:space="preserve"> ::= 32      </w:t>
      </w:r>
      <w:r w:rsidRPr="00FA0D37">
        <w:rPr>
          <w:color w:val="808080"/>
        </w:rPr>
        <w:t>-- Maximum number of multicast MRBs (that can be added in MRB-ToAddModLIst)</w:t>
      </w:r>
    </w:p>
    <w:p w14:paraId="12F8DBF3" w14:textId="77777777" w:rsidR="00807B1C" w:rsidRPr="00FA0D37" w:rsidRDefault="00807B1C" w:rsidP="00FA0D37">
      <w:pPr>
        <w:pStyle w:val="PL"/>
        <w:rPr>
          <w:color w:val="808080"/>
        </w:rPr>
      </w:pPr>
      <w:r w:rsidRPr="00FA0D37">
        <w:t xml:space="preserve">maxFSAI-MBS-r17                         </w:t>
      </w:r>
      <w:r w:rsidRPr="00FA0D37">
        <w:rPr>
          <w:color w:val="993366"/>
        </w:rPr>
        <w:t>INTEGER</w:t>
      </w:r>
      <w:r w:rsidRPr="00FA0D37">
        <w:t xml:space="preserve"> ::= 64      </w:t>
      </w:r>
      <w:r w:rsidRPr="00FA0D37">
        <w:rPr>
          <w:color w:val="808080"/>
        </w:rPr>
        <w:t>-- Maximum number of MBS frequency selection area identities</w:t>
      </w:r>
    </w:p>
    <w:p w14:paraId="701AB55E" w14:textId="3927390C" w:rsidR="00807B1C" w:rsidRPr="00FA0D37" w:rsidRDefault="00807B1C" w:rsidP="00FA0D37">
      <w:pPr>
        <w:pStyle w:val="PL"/>
        <w:rPr>
          <w:color w:val="808080"/>
        </w:rPr>
      </w:pPr>
      <w:r w:rsidRPr="00FA0D37">
        <w:t xml:space="preserve">maxNeighCellMBS-r17                    </w:t>
      </w:r>
      <w:r w:rsidR="00853B2B" w:rsidRPr="00FA0D37">
        <w:t xml:space="preserve"> </w:t>
      </w:r>
      <w:r w:rsidRPr="00FA0D37">
        <w:rPr>
          <w:color w:val="993366"/>
        </w:rPr>
        <w:t>INTEGER</w:t>
      </w:r>
      <w:r w:rsidRPr="00FA0D37">
        <w:t xml:space="preserve"> ::= 8       </w:t>
      </w:r>
      <w:r w:rsidRPr="00FA0D37">
        <w:rPr>
          <w:color w:val="808080"/>
        </w:rPr>
        <w:t>-- Maximum number of MBS broadcast neighbour cells</w:t>
      </w:r>
    </w:p>
    <w:p w14:paraId="7E501BEB" w14:textId="77777777" w:rsidR="00B04F4B" w:rsidRPr="00FA0D37" w:rsidRDefault="00B04F4B" w:rsidP="00FA0D37">
      <w:pPr>
        <w:pStyle w:val="PL"/>
        <w:rPr>
          <w:color w:val="808080"/>
        </w:rPr>
      </w:pPr>
      <w:r w:rsidRPr="00FA0D37">
        <w:t xml:space="preserve">maxNrofPdcch-BlindDetectionMixed-1-r16  </w:t>
      </w:r>
      <w:r w:rsidRPr="00FA0D37">
        <w:rPr>
          <w:color w:val="993366"/>
        </w:rPr>
        <w:t>INTEGER</w:t>
      </w:r>
      <w:r w:rsidRPr="00FA0D37">
        <w:t xml:space="preserve"> ::= 7       </w:t>
      </w:r>
      <w:r w:rsidRPr="00FA0D37">
        <w:rPr>
          <w:color w:val="808080"/>
        </w:rPr>
        <w:t>-- Maximum number of combinations of mixed Rel-16 and Rel-15 PDCCH</w:t>
      </w:r>
    </w:p>
    <w:p w14:paraId="1E5482CC" w14:textId="188F5EE2" w:rsidR="00B04F4B" w:rsidRPr="00FA0D37" w:rsidRDefault="00B04F4B" w:rsidP="00FA0D37">
      <w:pPr>
        <w:pStyle w:val="PL"/>
        <w:rPr>
          <w:color w:val="808080"/>
        </w:rPr>
      </w:pPr>
      <w:r w:rsidRPr="00FA0D37">
        <w:t xml:space="preserve">                                                            </w:t>
      </w:r>
      <w:r w:rsidRPr="00FA0D37">
        <w:rPr>
          <w:color w:val="808080"/>
        </w:rPr>
        <w:t>-- monitoring capabilities minus 1</w:t>
      </w:r>
    </w:p>
    <w:p w14:paraId="14AD6473" w14:textId="3DF5EB66" w:rsidR="00D20678" w:rsidRPr="00FA0D37" w:rsidRDefault="00D20678" w:rsidP="00FA0D37">
      <w:pPr>
        <w:pStyle w:val="PL"/>
        <w:rPr>
          <w:color w:val="808080"/>
        </w:rPr>
      </w:pPr>
      <w:r w:rsidRPr="00FA0D37">
        <w:t xml:space="preserve">maxNrofPdcch-BlindDetection-r17         </w:t>
      </w:r>
      <w:r w:rsidRPr="00FA0D37">
        <w:rPr>
          <w:color w:val="993366"/>
        </w:rPr>
        <w:t>INTEGER</w:t>
      </w:r>
      <w:r w:rsidRPr="00FA0D37">
        <w:t xml:space="preserve"> ::= 16      </w:t>
      </w:r>
      <w:r w:rsidRPr="00FA0D37">
        <w:rPr>
          <w:color w:val="808080"/>
        </w:rPr>
        <w:t>-- Maximum number of combinations of PDCCH blind detection monitoring</w:t>
      </w:r>
    </w:p>
    <w:p w14:paraId="45F8CFB1" w14:textId="7B8B4B56" w:rsidR="00727F8C" w:rsidRPr="00FA0D37" w:rsidRDefault="00D20678" w:rsidP="00FA0D37">
      <w:pPr>
        <w:pStyle w:val="PL"/>
        <w:rPr>
          <w:color w:val="808080"/>
        </w:rPr>
      </w:pPr>
      <w:r w:rsidRPr="00FA0D37">
        <w:t xml:space="preserve">                                                            </w:t>
      </w:r>
      <w:r w:rsidRPr="00FA0D37">
        <w:rPr>
          <w:color w:val="808080"/>
        </w:rPr>
        <w:t>-- capabilities</w:t>
      </w:r>
    </w:p>
    <w:p w14:paraId="7586AF75" w14:textId="77777777" w:rsidR="00EF781F" w:rsidRPr="00FD6FE4" w:rsidRDefault="00EF781F" w:rsidP="00EF781F">
      <w:pPr>
        <w:pStyle w:val="PL"/>
        <w:rPr>
          <w:ins w:id="2215" w:author="Huawei, HiSilicon" w:date="2023-11-02T14:40:00Z"/>
          <w:color w:val="808080"/>
        </w:rPr>
      </w:pPr>
      <w:ins w:id="2216" w:author="Huawei, HiSilicon" w:date="2023-11-02T14:40:00Z">
        <w:r>
          <w:t>maxNrofThresholdMBS-r18</w:t>
        </w:r>
        <w:r>
          <w:rPr>
            <w:color w:val="993366"/>
          </w:rPr>
          <w:t xml:space="preserve">                 INTEGER</w:t>
        </w:r>
        <w:r>
          <w:t xml:space="preserve"> ::= </w:t>
        </w:r>
      </w:ins>
      <w:ins w:id="2217" w:author="Huawei, HiSilicon" w:date="2023-12-01T16:15:00Z">
        <w:r>
          <w:t>8</w:t>
        </w:r>
      </w:ins>
      <w:ins w:id="2218" w:author="Huawei, HiSilicon" w:date="2023-11-02T14:40:00Z">
        <w:r>
          <w:t xml:space="preserve">   </w:t>
        </w:r>
      </w:ins>
      <w:ins w:id="2219" w:author="Huawei, HiSilicon" w:date="2023-12-01T18:09:00Z">
        <w:r>
          <w:t xml:space="preserve">  </w:t>
        </w:r>
      </w:ins>
      <w:ins w:id="2220" w:author="Huawei, HiSilicon" w:date="2023-11-02T14:40:00Z">
        <w:r>
          <w:t xml:space="preserve">  </w:t>
        </w:r>
        <w:r w:rsidRPr="00FD6FE4">
          <w:rPr>
            <w:color w:val="808080"/>
          </w:rPr>
          <w:t>-- Max number of thresholds of MBS sessions for RRC connection resume for a UE</w:t>
        </w:r>
      </w:ins>
    </w:p>
    <w:p w14:paraId="4B062466" w14:textId="77777777" w:rsidR="00EF781F" w:rsidRPr="00FD6FE4" w:rsidRDefault="00EF781F" w:rsidP="00EF781F">
      <w:pPr>
        <w:pStyle w:val="PL"/>
        <w:rPr>
          <w:color w:val="808080"/>
        </w:rPr>
      </w:pPr>
      <w:ins w:id="2221" w:author="Huawei, HiSilicon" w:date="2023-11-02T14:40:00Z">
        <w:r w:rsidRPr="00FD6FE4">
          <w:rPr>
            <w:color w:val="808080"/>
          </w:rPr>
          <w:t xml:space="preserve">                                                            -- receiving multicast in RRC_INACTIVE</w:t>
        </w:r>
      </w:ins>
    </w:p>
    <w:p w14:paraId="7B79EF5C" w14:textId="77777777" w:rsidR="00D20678" w:rsidRPr="00FA0D37" w:rsidRDefault="00D20678" w:rsidP="00FA0D37">
      <w:pPr>
        <w:pStyle w:val="PL"/>
      </w:pPr>
    </w:p>
    <w:p w14:paraId="79CA408E" w14:textId="77777777" w:rsidR="00394471" w:rsidRPr="00FA0D37" w:rsidRDefault="00394471" w:rsidP="00FA0D37">
      <w:pPr>
        <w:pStyle w:val="PL"/>
        <w:rPr>
          <w:color w:val="808080"/>
        </w:rPr>
      </w:pPr>
      <w:r w:rsidRPr="00FA0D37">
        <w:rPr>
          <w:color w:val="808080"/>
        </w:rPr>
        <w:t>-- TAG-MULTIPLICITY-AND-TYPE-CONSTRAINT-DEFINITIONS-STOP</w:t>
      </w:r>
    </w:p>
    <w:p w14:paraId="5F1B7222" w14:textId="77777777" w:rsidR="00394471" w:rsidRPr="00FA0D37" w:rsidRDefault="00394471" w:rsidP="00FA0D37">
      <w:pPr>
        <w:pStyle w:val="PL"/>
        <w:rPr>
          <w:color w:val="808080"/>
        </w:rPr>
      </w:pPr>
      <w:r w:rsidRPr="00FA0D37">
        <w:rPr>
          <w:color w:val="808080"/>
        </w:rPr>
        <w:lastRenderedPageBreak/>
        <w:t>-- ASN1STOP</w:t>
      </w:r>
    </w:p>
    <w:p w14:paraId="7D445089" w14:textId="77777777" w:rsidR="0048695E" w:rsidRPr="00FA0D37" w:rsidRDefault="0048695E" w:rsidP="00394471"/>
    <w:p w14:paraId="19F081D1" w14:textId="156EAC0C" w:rsidR="00394471" w:rsidRPr="00FA0D37" w:rsidRDefault="00394471" w:rsidP="00394471">
      <w:pPr>
        <w:pStyle w:val="3"/>
      </w:pPr>
      <w:bookmarkStart w:id="2222" w:name="_Toc60777560"/>
      <w:bookmarkStart w:id="2223" w:name="_Toc146781699"/>
      <w:r w:rsidRPr="00FA0D37">
        <w:t>–</w:t>
      </w:r>
      <w:r w:rsidRPr="00FA0D37">
        <w:tab/>
        <w:t>End of NR-RRC-Definitions</w:t>
      </w:r>
      <w:bookmarkEnd w:id="2222"/>
      <w:bookmarkEnd w:id="2223"/>
    </w:p>
    <w:p w14:paraId="3AB0FBBA" w14:textId="77777777" w:rsidR="00394471" w:rsidRPr="00FA0D37" w:rsidRDefault="00394471" w:rsidP="00FA0D37">
      <w:pPr>
        <w:pStyle w:val="PL"/>
        <w:rPr>
          <w:color w:val="808080"/>
        </w:rPr>
      </w:pPr>
      <w:r w:rsidRPr="00FA0D37">
        <w:rPr>
          <w:color w:val="808080"/>
        </w:rPr>
        <w:t>-- ASN1START</w:t>
      </w:r>
    </w:p>
    <w:p w14:paraId="32B5EF61" w14:textId="77777777" w:rsidR="00394471" w:rsidRPr="00FA0D37" w:rsidRDefault="00394471" w:rsidP="00FA0D37">
      <w:pPr>
        <w:pStyle w:val="PL"/>
      </w:pPr>
    </w:p>
    <w:p w14:paraId="08AD29CB" w14:textId="77777777" w:rsidR="00394471" w:rsidRPr="00FA0D37" w:rsidRDefault="00394471" w:rsidP="00FA0D37">
      <w:pPr>
        <w:pStyle w:val="PL"/>
      </w:pPr>
      <w:r w:rsidRPr="00FA0D37">
        <w:t>END</w:t>
      </w:r>
    </w:p>
    <w:p w14:paraId="76290425" w14:textId="77777777" w:rsidR="00394471" w:rsidRPr="00FA0D37" w:rsidRDefault="00394471" w:rsidP="00FA0D37">
      <w:pPr>
        <w:pStyle w:val="PL"/>
      </w:pPr>
    </w:p>
    <w:p w14:paraId="1E90F083" w14:textId="77777777" w:rsidR="00394471" w:rsidRPr="00FA0D37" w:rsidRDefault="00394471" w:rsidP="00FA0D37">
      <w:pPr>
        <w:pStyle w:val="PL"/>
        <w:rPr>
          <w:color w:val="808080"/>
        </w:rPr>
      </w:pPr>
      <w:r w:rsidRPr="00FA0D37">
        <w:rPr>
          <w:color w:val="808080"/>
        </w:rPr>
        <w:t>-- ASN1STOP</w:t>
      </w:r>
    </w:p>
    <w:p w14:paraId="396788D0" w14:textId="77777777" w:rsidR="00394471" w:rsidRPr="00FA0D37" w:rsidRDefault="00394471" w:rsidP="00394471"/>
    <w:p w14:paraId="53F86861" w14:textId="4FDCB627" w:rsidR="00394471" w:rsidRPr="00FA0D37" w:rsidRDefault="00394471" w:rsidP="00394471">
      <w:pPr>
        <w:pStyle w:val="2"/>
      </w:pPr>
      <w:bookmarkStart w:id="2224" w:name="_Toc60777561"/>
      <w:bookmarkStart w:id="2225" w:name="_Toc146781700"/>
      <w:r w:rsidRPr="00FA0D37">
        <w:t>6.5</w:t>
      </w:r>
      <w:r w:rsidRPr="00FA0D37">
        <w:tab/>
        <w:t>Short Message</w:t>
      </w:r>
      <w:bookmarkEnd w:id="2224"/>
      <w:bookmarkEnd w:id="2225"/>
    </w:p>
    <w:p w14:paraId="7BC942C0" w14:textId="77777777" w:rsidR="00394471" w:rsidRPr="00FA0D37" w:rsidRDefault="00394471" w:rsidP="00394471">
      <w:r w:rsidRPr="00FA0D37">
        <w:t xml:space="preserve">Short Messages can be transmitted on PDCCH using P-RNTI with or without associated </w:t>
      </w:r>
      <w:r w:rsidRPr="00FA0D37">
        <w:rPr>
          <w:i/>
        </w:rPr>
        <w:t xml:space="preserve">Paging </w:t>
      </w:r>
      <w:r w:rsidRPr="00FA0D37">
        <w:t>message using Short Message field in DCI format 1_0 (see TS 38.212 [17], clause 7.3.1.2.1).</w:t>
      </w:r>
    </w:p>
    <w:p w14:paraId="7312C711" w14:textId="77777777" w:rsidR="00394471" w:rsidRPr="00FA0D37" w:rsidRDefault="00394471" w:rsidP="00394471">
      <w:r w:rsidRPr="00FA0D37">
        <w:t>Table 6.5-1 defines Short Messages. Bit 1 is the most significant bit.</w:t>
      </w:r>
    </w:p>
    <w:p w14:paraId="326BD92D" w14:textId="77777777" w:rsidR="00394471" w:rsidRPr="00FA0D37" w:rsidRDefault="00394471" w:rsidP="00394471">
      <w:pPr>
        <w:pStyle w:val="TH"/>
      </w:pPr>
      <w:r w:rsidRPr="00FA0D37">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5C7FF4" w:rsidRPr="00FA0D37" w14:paraId="60ED2766"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E7772E1" w14:textId="77777777" w:rsidR="00394471" w:rsidRPr="00FA0D37" w:rsidRDefault="00394471" w:rsidP="00964CC4">
            <w:pPr>
              <w:pStyle w:val="TAH"/>
              <w:rPr>
                <w:rFonts w:eastAsia="Calibri"/>
                <w:lang w:eastAsia="sv-SE"/>
              </w:rPr>
            </w:pPr>
            <w:r w:rsidRPr="00FA0D37">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77F1247" w14:textId="77777777" w:rsidR="00394471" w:rsidRPr="00FA0D37" w:rsidRDefault="00394471" w:rsidP="00964CC4">
            <w:pPr>
              <w:pStyle w:val="TAH"/>
              <w:rPr>
                <w:rFonts w:eastAsia="Calibri"/>
                <w:lang w:eastAsia="sv-SE"/>
              </w:rPr>
            </w:pPr>
            <w:r w:rsidRPr="00FA0D37">
              <w:rPr>
                <w:rFonts w:eastAsia="Calibri"/>
                <w:lang w:eastAsia="sv-SE"/>
              </w:rPr>
              <w:t>Short Message</w:t>
            </w:r>
          </w:p>
        </w:tc>
      </w:tr>
      <w:tr w:rsidR="005C7FF4" w:rsidRPr="00FA0D37" w14:paraId="12DABCB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050D6CC5" w14:textId="77777777" w:rsidR="00394471" w:rsidRPr="00FA0D37" w:rsidRDefault="00394471" w:rsidP="00964CC4">
            <w:pPr>
              <w:pStyle w:val="TAL"/>
              <w:rPr>
                <w:lang w:eastAsia="sv-SE"/>
              </w:rPr>
            </w:pPr>
            <w:r w:rsidRPr="00FA0D37">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6F126694" w14:textId="77777777" w:rsidR="00394471" w:rsidRPr="00FA0D37" w:rsidRDefault="00394471" w:rsidP="00964CC4">
            <w:pPr>
              <w:pStyle w:val="TAL"/>
              <w:rPr>
                <w:rFonts w:eastAsia="Calibri"/>
                <w:b/>
                <w:bCs/>
                <w:i/>
                <w:iCs/>
                <w:lang w:eastAsia="sv-SE"/>
              </w:rPr>
            </w:pPr>
            <w:r w:rsidRPr="00FA0D37">
              <w:rPr>
                <w:rFonts w:eastAsia="Calibri"/>
                <w:b/>
                <w:bCs/>
                <w:i/>
                <w:iCs/>
                <w:lang w:eastAsia="sv-SE"/>
              </w:rPr>
              <w:t>systemInfoModification</w:t>
            </w:r>
          </w:p>
          <w:p w14:paraId="2FF631A1" w14:textId="4B179EDF" w:rsidR="00394471" w:rsidRPr="00FA0D37" w:rsidRDefault="00394471" w:rsidP="00964CC4">
            <w:pPr>
              <w:pStyle w:val="TAL"/>
              <w:rPr>
                <w:rFonts w:eastAsia="Calibri"/>
                <w:lang w:eastAsia="sv-SE"/>
              </w:rPr>
            </w:pPr>
            <w:r w:rsidRPr="00FA0D37">
              <w:rPr>
                <w:rFonts w:eastAsia="Calibri"/>
                <w:lang w:eastAsia="sv-SE"/>
              </w:rPr>
              <w:t xml:space="preserve">If set to 1: indication of a BCCH modification other than </w:t>
            </w:r>
            <w:r w:rsidRPr="00FA0D37">
              <w:rPr>
                <w:rFonts w:eastAsia="Calibri"/>
                <w:i/>
                <w:iCs/>
                <w:lang w:eastAsia="sv-SE"/>
              </w:rPr>
              <w:t>SIB6</w:t>
            </w:r>
            <w:r w:rsidRPr="00FA0D37">
              <w:rPr>
                <w:rFonts w:eastAsia="Calibri"/>
                <w:lang w:eastAsia="sv-SE"/>
              </w:rPr>
              <w:t xml:space="preserve">, </w:t>
            </w:r>
            <w:r w:rsidRPr="00FA0D37">
              <w:rPr>
                <w:rFonts w:eastAsia="Calibri"/>
                <w:i/>
                <w:iCs/>
                <w:lang w:eastAsia="sv-SE"/>
              </w:rPr>
              <w:t>SIB7</w:t>
            </w:r>
            <w:r w:rsidR="00582365" w:rsidRPr="00FA0D37">
              <w:rPr>
                <w:rFonts w:eastAsia="Calibri"/>
                <w:lang w:eastAsia="sv-SE"/>
              </w:rPr>
              <w:t>,</w:t>
            </w:r>
            <w:r w:rsidRPr="00FA0D37">
              <w:rPr>
                <w:rFonts w:eastAsia="Calibri"/>
                <w:lang w:eastAsia="sv-SE"/>
              </w:rPr>
              <w:t xml:space="preserve"> </w:t>
            </w:r>
            <w:r w:rsidRPr="00FA0D37">
              <w:rPr>
                <w:rFonts w:eastAsia="Calibri"/>
                <w:i/>
                <w:iCs/>
                <w:lang w:eastAsia="sv-SE"/>
              </w:rPr>
              <w:t>SIB8</w:t>
            </w:r>
            <w:r w:rsidR="00582365" w:rsidRPr="00FA0D37">
              <w:rPr>
                <w:rFonts w:eastAsia="Calibri"/>
                <w:lang w:eastAsia="sv-SE"/>
              </w:rPr>
              <w:t xml:space="preserve"> and </w:t>
            </w:r>
            <w:r w:rsidR="00582365" w:rsidRPr="00FA0D37">
              <w:rPr>
                <w:rFonts w:eastAsia="Calibri"/>
                <w:i/>
                <w:iCs/>
                <w:lang w:eastAsia="sv-SE"/>
              </w:rPr>
              <w:t>posSIB</w:t>
            </w:r>
            <w:r w:rsidR="009A73F3" w:rsidRPr="00FA0D37">
              <w:rPr>
                <w:rFonts w:eastAsia="Calibri"/>
                <w:i/>
                <w:iCs/>
                <w:lang w:eastAsia="sv-SE"/>
              </w:rPr>
              <w:t>s</w:t>
            </w:r>
            <w:r w:rsidRPr="00FA0D37">
              <w:rPr>
                <w:rFonts w:eastAsia="Calibri"/>
                <w:lang w:eastAsia="sv-SE"/>
              </w:rPr>
              <w:t>.</w:t>
            </w:r>
          </w:p>
        </w:tc>
      </w:tr>
      <w:tr w:rsidR="005C7FF4" w:rsidRPr="00FA0D37" w14:paraId="526F3FC0"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C85858D" w14:textId="77777777" w:rsidR="00394471" w:rsidRPr="00FA0D37" w:rsidRDefault="00394471" w:rsidP="00964CC4">
            <w:pPr>
              <w:pStyle w:val="TAL"/>
              <w:rPr>
                <w:lang w:eastAsia="sv-SE"/>
              </w:rPr>
            </w:pPr>
            <w:r w:rsidRPr="00FA0D37">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5961555A" w14:textId="77777777" w:rsidR="00394471" w:rsidRPr="00FA0D37" w:rsidRDefault="00394471" w:rsidP="00964CC4">
            <w:pPr>
              <w:pStyle w:val="TAL"/>
              <w:rPr>
                <w:rFonts w:eastAsia="Calibri"/>
                <w:b/>
                <w:bCs/>
                <w:i/>
                <w:iCs/>
                <w:lang w:eastAsia="sv-SE"/>
              </w:rPr>
            </w:pPr>
            <w:r w:rsidRPr="00FA0D37">
              <w:rPr>
                <w:rFonts w:eastAsia="Calibri"/>
                <w:b/>
                <w:bCs/>
                <w:i/>
                <w:iCs/>
                <w:lang w:eastAsia="sv-SE"/>
              </w:rPr>
              <w:t>etwsAndCmasIndication</w:t>
            </w:r>
          </w:p>
          <w:p w14:paraId="06144387" w14:textId="77777777" w:rsidR="00394471" w:rsidRPr="00FA0D37" w:rsidRDefault="00394471" w:rsidP="00964CC4">
            <w:pPr>
              <w:pStyle w:val="TAL"/>
              <w:rPr>
                <w:rFonts w:eastAsia="Calibri"/>
                <w:lang w:eastAsia="sv-SE"/>
              </w:rPr>
            </w:pPr>
            <w:r w:rsidRPr="00FA0D37">
              <w:rPr>
                <w:rFonts w:eastAsia="Calibri"/>
                <w:lang w:eastAsia="sv-SE"/>
              </w:rPr>
              <w:t>If set to 1: indication of an ETWS primary notification and/or an ETWS secondary notification and/or a CMAS notification.</w:t>
            </w:r>
          </w:p>
        </w:tc>
      </w:tr>
      <w:tr w:rsidR="005C7FF4" w:rsidRPr="00FA0D37" w14:paraId="2410E8E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10ED7AF3" w14:textId="77777777" w:rsidR="00394471" w:rsidRPr="00FA0D37" w:rsidRDefault="00394471" w:rsidP="00964CC4">
            <w:pPr>
              <w:pStyle w:val="TAL"/>
              <w:rPr>
                <w:lang w:eastAsia="sv-SE"/>
              </w:rPr>
            </w:pPr>
            <w:r w:rsidRPr="00FA0D37">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19279B9" w14:textId="77777777" w:rsidR="00394471" w:rsidRPr="00FA0D37" w:rsidRDefault="00394471" w:rsidP="00964CC4">
            <w:pPr>
              <w:pStyle w:val="TAL"/>
              <w:rPr>
                <w:rFonts w:eastAsia="Calibri"/>
                <w:b/>
                <w:bCs/>
                <w:i/>
                <w:iCs/>
                <w:lang w:eastAsia="sv-SE"/>
              </w:rPr>
            </w:pPr>
            <w:r w:rsidRPr="00FA0D37">
              <w:rPr>
                <w:rFonts w:eastAsia="Calibri"/>
                <w:b/>
                <w:bCs/>
                <w:i/>
                <w:iCs/>
                <w:lang w:eastAsia="sv-SE"/>
              </w:rPr>
              <w:t>stopPagingMonitoring</w:t>
            </w:r>
          </w:p>
          <w:p w14:paraId="6B545F95" w14:textId="77777777" w:rsidR="00394471" w:rsidRPr="00FA0D37" w:rsidRDefault="00394471" w:rsidP="00964CC4">
            <w:pPr>
              <w:pStyle w:val="TAL"/>
              <w:rPr>
                <w:rFonts w:eastAsia="Calibri"/>
                <w:lang w:eastAsia="sv-SE"/>
              </w:rPr>
            </w:pPr>
            <w:r w:rsidRPr="00FA0D37">
              <w:rPr>
                <w:rFonts w:eastAsia="Calibri"/>
                <w:lang w:eastAsia="sv-SE"/>
              </w:rPr>
              <w:t xml:space="preserve">This bit can be used for only operation with shared spectrum channel access and if </w:t>
            </w:r>
            <w:r w:rsidRPr="00FA0D37">
              <w:rPr>
                <w:rFonts w:eastAsia="Calibri"/>
                <w:i/>
                <w:iCs/>
                <w:lang w:eastAsia="sv-SE"/>
              </w:rPr>
              <w:t>nrofPDCCH-MonitoringOccasionPerSSB-InPO</w:t>
            </w:r>
            <w:r w:rsidRPr="00FA0D37">
              <w:rPr>
                <w:rFonts w:eastAsia="Calibri"/>
                <w:lang w:eastAsia="sv-SE"/>
              </w:rPr>
              <w:t xml:space="preserve"> is present.</w:t>
            </w:r>
          </w:p>
          <w:p w14:paraId="1EE3CBDF" w14:textId="77777777" w:rsidR="00394471" w:rsidRPr="00FA0D37" w:rsidRDefault="00394471" w:rsidP="00964CC4">
            <w:pPr>
              <w:pStyle w:val="TAL"/>
              <w:rPr>
                <w:rFonts w:eastAsia="Calibri"/>
                <w:b/>
                <w:bCs/>
                <w:i/>
                <w:iCs/>
                <w:lang w:eastAsia="sv-SE"/>
              </w:rPr>
            </w:pPr>
            <w:r w:rsidRPr="00FA0D37">
              <w:rPr>
                <w:rFonts w:eastAsia="Calibri"/>
                <w:lang w:eastAsia="sv-SE"/>
              </w:rPr>
              <w:t>If set to 1:</w:t>
            </w:r>
            <w:r w:rsidRPr="00FA0D37">
              <w:rPr>
                <w:rFonts w:eastAsia="Calibri"/>
              </w:rPr>
              <w:t xml:space="preserve"> indication that the UE may</w:t>
            </w:r>
            <w:r w:rsidRPr="00FA0D37">
              <w:rPr>
                <w:rFonts w:eastAsia="Calibri"/>
                <w:lang w:eastAsia="sv-SE"/>
              </w:rPr>
              <w:t xml:space="preserve"> stop monitoring PDCCH occasion(s) for paging in this P</w:t>
            </w:r>
            <w:r w:rsidRPr="00FA0D37">
              <w:rPr>
                <w:rFonts w:eastAsia="Calibri"/>
              </w:rPr>
              <w:t xml:space="preserve">aging </w:t>
            </w:r>
            <w:r w:rsidRPr="00FA0D37">
              <w:rPr>
                <w:rFonts w:eastAsia="Calibri"/>
                <w:lang w:eastAsia="sv-SE"/>
              </w:rPr>
              <w:t>O</w:t>
            </w:r>
            <w:r w:rsidRPr="00FA0D37">
              <w:rPr>
                <w:rFonts w:eastAsia="Calibri"/>
              </w:rPr>
              <w:t>ccasion</w:t>
            </w:r>
            <w:r w:rsidRPr="00FA0D37">
              <w:t xml:space="preserve"> </w:t>
            </w:r>
            <w:r w:rsidRPr="00FA0D37">
              <w:rPr>
                <w:rFonts w:eastAsia="Calibri"/>
              </w:rPr>
              <w:t>as specified in TS 38.304 [20], clause 7.1</w:t>
            </w:r>
            <w:r w:rsidRPr="00FA0D37">
              <w:rPr>
                <w:rFonts w:eastAsia="Calibri"/>
                <w:lang w:eastAsia="sv-SE"/>
              </w:rPr>
              <w:t>.</w:t>
            </w:r>
          </w:p>
        </w:tc>
      </w:tr>
      <w:tr w:rsidR="005C7FF4" w:rsidRPr="00FA0D37" w14:paraId="23ED377B" w14:textId="77777777" w:rsidTr="00771058">
        <w:tc>
          <w:tcPr>
            <w:tcW w:w="1701" w:type="dxa"/>
            <w:tcBorders>
              <w:top w:val="single" w:sz="4" w:space="0" w:color="auto"/>
              <w:left w:val="single" w:sz="4" w:space="0" w:color="auto"/>
              <w:bottom w:val="single" w:sz="4" w:space="0" w:color="auto"/>
              <w:right w:val="single" w:sz="4" w:space="0" w:color="auto"/>
            </w:tcBorders>
          </w:tcPr>
          <w:p w14:paraId="3E8F4865" w14:textId="77777777" w:rsidR="00C85859" w:rsidRPr="00FA0D37" w:rsidRDefault="00C85859" w:rsidP="00771058">
            <w:pPr>
              <w:pStyle w:val="TAL"/>
              <w:rPr>
                <w:lang w:eastAsia="sv-SE"/>
              </w:rPr>
            </w:pPr>
            <w:r w:rsidRPr="00FA0D37">
              <w:rPr>
                <w:lang w:eastAsia="sv-SE"/>
              </w:rPr>
              <w:t>4</w:t>
            </w:r>
          </w:p>
        </w:tc>
        <w:tc>
          <w:tcPr>
            <w:tcW w:w="0" w:type="auto"/>
            <w:tcBorders>
              <w:top w:val="single" w:sz="4" w:space="0" w:color="auto"/>
              <w:left w:val="single" w:sz="4" w:space="0" w:color="auto"/>
              <w:bottom w:val="single" w:sz="4" w:space="0" w:color="auto"/>
              <w:right w:val="single" w:sz="4" w:space="0" w:color="auto"/>
            </w:tcBorders>
          </w:tcPr>
          <w:p w14:paraId="19D91852" w14:textId="77777777" w:rsidR="00C85859" w:rsidRPr="00FA0D37" w:rsidRDefault="00C85859" w:rsidP="00771058">
            <w:pPr>
              <w:pStyle w:val="TAL"/>
              <w:rPr>
                <w:rFonts w:eastAsia="Calibri"/>
                <w:b/>
                <w:bCs/>
                <w:i/>
                <w:iCs/>
                <w:lang w:eastAsia="sv-SE"/>
              </w:rPr>
            </w:pPr>
            <w:r w:rsidRPr="00FA0D37">
              <w:rPr>
                <w:rFonts w:eastAsia="Calibri"/>
                <w:b/>
                <w:bCs/>
                <w:i/>
                <w:iCs/>
                <w:lang w:eastAsia="sv-SE"/>
              </w:rPr>
              <w:t>systemInfoModification-eDRX</w:t>
            </w:r>
          </w:p>
          <w:p w14:paraId="3886BC29" w14:textId="6436B0FE" w:rsidR="00C85859" w:rsidRPr="00FA0D37" w:rsidRDefault="00C85859" w:rsidP="00771058">
            <w:pPr>
              <w:pStyle w:val="TAL"/>
              <w:rPr>
                <w:rFonts w:eastAsia="Calibri"/>
                <w:b/>
                <w:bCs/>
                <w:i/>
                <w:iCs/>
                <w:lang w:eastAsia="sv-SE"/>
              </w:rPr>
            </w:pPr>
            <w:r w:rsidRPr="00FA0D37">
              <w:rPr>
                <w:rFonts w:eastAsia="Calibri"/>
                <w:lang w:eastAsia="sv-SE"/>
              </w:rPr>
              <w:t xml:space="preserve">If set to 1: indication of a BCCH modification other than </w:t>
            </w:r>
            <w:r w:rsidRPr="00FA0D37">
              <w:rPr>
                <w:rFonts w:eastAsia="Calibri"/>
                <w:i/>
                <w:iCs/>
                <w:lang w:eastAsia="sv-SE"/>
              </w:rPr>
              <w:t>SIB6</w:t>
            </w:r>
            <w:r w:rsidRPr="00FA0D37">
              <w:rPr>
                <w:rFonts w:eastAsia="Calibri"/>
                <w:lang w:eastAsia="sv-SE"/>
              </w:rPr>
              <w:t xml:space="preserve">, </w:t>
            </w:r>
            <w:r w:rsidRPr="00FA0D37">
              <w:rPr>
                <w:rFonts w:eastAsia="Calibri"/>
                <w:i/>
                <w:iCs/>
                <w:lang w:eastAsia="sv-SE"/>
              </w:rPr>
              <w:t>SIB7</w:t>
            </w:r>
            <w:r w:rsidR="00582365" w:rsidRPr="00FA0D37">
              <w:rPr>
                <w:rFonts w:eastAsia="Calibri"/>
                <w:lang w:eastAsia="sv-SE"/>
              </w:rPr>
              <w:t>,</w:t>
            </w:r>
            <w:r w:rsidRPr="00FA0D37">
              <w:rPr>
                <w:rFonts w:eastAsia="Calibri"/>
                <w:lang w:eastAsia="sv-SE"/>
              </w:rPr>
              <w:t xml:space="preserve"> </w:t>
            </w:r>
            <w:r w:rsidRPr="00FA0D37">
              <w:rPr>
                <w:rFonts w:eastAsia="Calibri"/>
                <w:i/>
                <w:iCs/>
                <w:lang w:eastAsia="sv-SE"/>
              </w:rPr>
              <w:t>SIB8</w:t>
            </w:r>
            <w:r w:rsidR="00582365" w:rsidRPr="00FA0D37">
              <w:rPr>
                <w:rFonts w:eastAsia="Calibri"/>
                <w:lang w:eastAsia="sv-SE"/>
              </w:rPr>
              <w:t xml:space="preserve"> and </w:t>
            </w:r>
            <w:r w:rsidR="00582365" w:rsidRPr="00FA0D37">
              <w:rPr>
                <w:rFonts w:eastAsia="Calibri"/>
                <w:i/>
                <w:iCs/>
                <w:lang w:eastAsia="sv-SE"/>
              </w:rPr>
              <w:t>posSIB</w:t>
            </w:r>
            <w:r w:rsidR="009A73F3" w:rsidRPr="00FA0D37">
              <w:rPr>
                <w:rFonts w:eastAsia="Calibri"/>
                <w:lang w:eastAsia="sv-SE"/>
              </w:rPr>
              <w:t>s</w:t>
            </w:r>
            <w:r w:rsidRPr="00FA0D37">
              <w:rPr>
                <w:rFonts w:eastAsia="Calibri"/>
                <w:lang w:eastAsia="sv-SE"/>
              </w:rPr>
              <w:t xml:space="preserve">. This indication applies only to UEs using </w:t>
            </w:r>
            <w:r w:rsidR="00104E9F" w:rsidRPr="00FA0D37">
              <w:rPr>
                <w:rFonts w:eastAsia="Calibri"/>
                <w:lang w:eastAsia="sv-SE"/>
              </w:rPr>
              <w:t xml:space="preserve">IDLE </w:t>
            </w:r>
            <w:r w:rsidRPr="00FA0D37">
              <w:rPr>
                <w:rFonts w:eastAsia="Calibri"/>
                <w:lang w:eastAsia="sv-SE"/>
              </w:rPr>
              <w:t>eDRX cycle longer than the BCCH modification period.</w:t>
            </w:r>
          </w:p>
        </w:tc>
      </w:tr>
      <w:tr w:rsidR="00394471" w:rsidRPr="00FA0D37" w14:paraId="16E1D5DD"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37C2C26D" w14:textId="4373F82F" w:rsidR="00394471" w:rsidRPr="00FA0D37" w:rsidRDefault="00C85859" w:rsidP="00964CC4">
            <w:pPr>
              <w:pStyle w:val="TAL"/>
              <w:rPr>
                <w:lang w:eastAsia="sv-SE"/>
              </w:rPr>
            </w:pPr>
            <w:r w:rsidRPr="00FA0D37">
              <w:rPr>
                <w:lang w:eastAsia="sv-SE"/>
              </w:rPr>
              <w:t>5</w:t>
            </w:r>
            <w:r w:rsidR="00394471" w:rsidRPr="00FA0D37">
              <w:rPr>
                <w:lang w:eastAsia="sv-SE"/>
              </w:rPr>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45A99C66" w14:textId="77777777" w:rsidR="00394471" w:rsidRPr="00FA0D37" w:rsidRDefault="00394471" w:rsidP="00964CC4">
            <w:pPr>
              <w:pStyle w:val="TAL"/>
              <w:rPr>
                <w:rFonts w:cs="Arial"/>
                <w:szCs w:val="18"/>
                <w:lang w:eastAsia="sv-SE"/>
              </w:rPr>
            </w:pPr>
            <w:r w:rsidRPr="00FA0D37">
              <w:rPr>
                <w:rFonts w:cs="Arial"/>
                <w:szCs w:val="18"/>
                <w:lang w:eastAsia="sv-SE"/>
              </w:rPr>
              <w:t>Not used in this release of the specification, and shall be ignored by UE if received.</w:t>
            </w:r>
          </w:p>
        </w:tc>
      </w:tr>
    </w:tbl>
    <w:p w14:paraId="70D64CD5" w14:textId="77777777" w:rsidR="00394471" w:rsidRPr="00FA0D37" w:rsidRDefault="00394471" w:rsidP="00394471"/>
    <w:p w14:paraId="684E8781" w14:textId="78256878" w:rsidR="00394471" w:rsidRPr="00FA0D37" w:rsidRDefault="00394471" w:rsidP="00394471">
      <w:pPr>
        <w:pStyle w:val="2"/>
      </w:pPr>
      <w:bookmarkStart w:id="2226" w:name="_Toc60777562"/>
      <w:bookmarkStart w:id="2227" w:name="_Toc146781701"/>
      <w:r w:rsidRPr="00FA0D37">
        <w:t>6.6</w:t>
      </w:r>
      <w:r w:rsidRPr="00FA0D37">
        <w:tab/>
        <w:t>PC5 RRC messages</w:t>
      </w:r>
      <w:bookmarkEnd w:id="2226"/>
      <w:bookmarkEnd w:id="2227"/>
    </w:p>
    <w:p w14:paraId="27B15115" w14:textId="59EBA2A8" w:rsidR="00394471" w:rsidRPr="00FA0D37" w:rsidRDefault="00394471" w:rsidP="00394471">
      <w:pPr>
        <w:pStyle w:val="3"/>
      </w:pPr>
      <w:bookmarkStart w:id="2228" w:name="_Toc60777563"/>
      <w:bookmarkStart w:id="2229" w:name="_Toc146781702"/>
      <w:r w:rsidRPr="00FA0D37">
        <w:t>6.6.1</w:t>
      </w:r>
      <w:r w:rsidRPr="00FA0D37">
        <w:tab/>
        <w:t>General message structure</w:t>
      </w:r>
      <w:bookmarkEnd w:id="2228"/>
      <w:bookmarkEnd w:id="2229"/>
    </w:p>
    <w:p w14:paraId="588057B6" w14:textId="4144B2B0" w:rsidR="00394471" w:rsidRPr="00FA0D37" w:rsidRDefault="00394471" w:rsidP="00394471">
      <w:pPr>
        <w:pStyle w:val="4"/>
        <w:rPr>
          <w:noProof/>
          <w:lang w:eastAsia="zh-CN"/>
        </w:rPr>
      </w:pPr>
      <w:bookmarkStart w:id="2230" w:name="_Toc60777564"/>
      <w:bookmarkStart w:id="2231" w:name="_Toc146781703"/>
      <w:r w:rsidRPr="00FA0D37">
        <w:t>–</w:t>
      </w:r>
      <w:r w:rsidRPr="00FA0D37">
        <w:tab/>
      </w:r>
      <w:r w:rsidRPr="00FA0D37">
        <w:rPr>
          <w:i/>
          <w:iCs/>
          <w:noProof/>
        </w:rPr>
        <w:t>PC5-RRC-Definitions</w:t>
      </w:r>
      <w:bookmarkEnd w:id="2230"/>
      <w:bookmarkEnd w:id="2231"/>
    </w:p>
    <w:p w14:paraId="4EB1CD17" w14:textId="77777777" w:rsidR="00394471" w:rsidRPr="00FA0D37" w:rsidRDefault="00394471" w:rsidP="00394471">
      <w:r w:rsidRPr="00FA0D37">
        <w:t>This ASN.1 segment is the start of the PC5 RRC PDU definitions.</w:t>
      </w:r>
    </w:p>
    <w:p w14:paraId="1615BB62" w14:textId="77777777" w:rsidR="00394471" w:rsidRPr="00FA0D37" w:rsidRDefault="00394471" w:rsidP="00FA0D37">
      <w:pPr>
        <w:pStyle w:val="PL"/>
        <w:rPr>
          <w:color w:val="808080"/>
        </w:rPr>
      </w:pPr>
      <w:r w:rsidRPr="00FA0D37">
        <w:rPr>
          <w:color w:val="808080"/>
        </w:rPr>
        <w:lastRenderedPageBreak/>
        <w:t>-- ASN1START</w:t>
      </w:r>
    </w:p>
    <w:p w14:paraId="5AC251C7" w14:textId="77777777" w:rsidR="00394471" w:rsidRPr="00FA0D37" w:rsidRDefault="00394471" w:rsidP="00FA0D37">
      <w:pPr>
        <w:pStyle w:val="PL"/>
        <w:rPr>
          <w:color w:val="808080"/>
        </w:rPr>
      </w:pPr>
      <w:r w:rsidRPr="00FA0D37">
        <w:rPr>
          <w:color w:val="808080"/>
        </w:rPr>
        <w:t>-- TAG-PC5-RRC-DEFINITIONS-START</w:t>
      </w:r>
    </w:p>
    <w:p w14:paraId="6BC81B74" w14:textId="77777777" w:rsidR="00394471" w:rsidRPr="00FA0D37" w:rsidRDefault="00394471" w:rsidP="00FA0D37">
      <w:pPr>
        <w:pStyle w:val="PL"/>
      </w:pPr>
    </w:p>
    <w:p w14:paraId="76D21B03" w14:textId="77777777" w:rsidR="00394471" w:rsidRPr="00FA0D37" w:rsidRDefault="00394471" w:rsidP="00FA0D37">
      <w:pPr>
        <w:pStyle w:val="PL"/>
      </w:pPr>
      <w:r w:rsidRPr="00FA0D37">
        <w:t>PC5-RRC-Definitions DEFINITIONS AUTOMATIC TAGS ::=</w:t>
      </w:r>
    </w:p>
    <w:p w14:paraId="75633540" w14:textId="77777777" w:rsidR="00394471" w:rsidRPr="00FA0D37" w:rsidRDefault="00394471" w:rsidP="00FA0D37">
      <w:pPr>
        <w:pStyle w:val="PL"/>
      </w:pPr>
    </w:p>
    <w:p w14:paraId="79FEDF7E" w14:textId="77777777" w:rsidR="00394471" w:rsidRPr="00FA0D37" w:rsidRDefault="00394471" w:rsidP="00FA0D37">
      <w:pPr>
        <w:pStyle w:val="PL"/>
      </w:pPr>
      <w:r w:rsidRPr="00FA0D37">
        <w:t>BEGIN</w:t>
      </w:r>
    </w:p>
    <w:p w14:paraId="41D0DFBB" w14:textId="77777777" w:rsidR="00394471" w:rsidRPr="00FA0D37" w:rsidRDefault="00394471" w:rsidP="00FA0D37">
      <w:pPr>
        <w:pStyle w:val="PL"/>
      </w:pPr>
    </w:p>
    <w:p w14:paraId="0523E5A0" w14:textId="77777777" w:rsidR="00394471" w:rsidRPr="00FA0D37" w:rsidRDefault="00394471" w:rsidP="00FA0D37">
      <w:pPr>
        <w:pStyle w:val="PL"/>
      </w:pPr>
      <w:r w:rsidRPr="00FA0D37">
        <w:t>IMPORTS</w:t>
      </w:r>
    </w:p>
    <w:p w14:paraId="5B9F4A0B" w14:textId="77777777" w:rsidR="005500DB" w:rsidRPr="00FA0D37" w:rsidRDefault="00394471" w:rsidP="00FA0D37">
      <w:pPr>
        <w:pStyle w:val="PL"/>
      </w:pPr>
      <w:r w:rsidRPr="00FA0D37">
        <w:t xml:space="preserve">    </w:t>
      </w:r>
      <w:bookmarkStart w:id="2232" w:name="_Hlk103182236"/>
      <w:r w:rsidR="005500DB" w:rsidRPr="00FA0D37">
        <w:t>CellAccessRelatedInfo</w:t>
      </w:r>
      <w:bookmarkEnd w:id="2232"/>
      <w:r w:rsidR="005500DB" w:rsidRPr="00FA0D37">
        <w:t>,</w:t>
      </w:r>
    </w:p>
    <w:p w14:paraId="4D2CD2B0" w14:textId="08E85C85" w:rsidR="00394471" w:rsidRPr="00FA0D37" w:rsidRDefault="005500DB" w:rsidP="00FA0D37">
      <w:pPr>
        <w:pStyle w:val="PL"/>
      </w:pPr>
      <w:r w:rsidRPr="00FA0D37">
        <w:t xml:space="preserve">    </w:t>
      </w:r>
      <w:r w:rsidR="00394471" w:rsidRPr="00FA0D37">
        <w:t>SetupRelease,</w:t>
      </w:r>
    </w:p>
    <w:p w14:paraId="4B9B802E" w14:textId="77777777" w:rsidR="00394471" w:rsidRPr="00FA0D37" w:rsidRDefault="00394471" w:rsidP="00FA0D37">
      <w:pPr>
        <w:pStyle w:val="PL"/>
      </w:pPr>
      <w:r w:rsidRPr="00FA0D37">
        <w:t xml:space="preserve">    RRC-TransactionIdentifier,</w:t>
      </w:r>
    </w:p>
    <w:p w14:paraId="2791412D" w14:textId="77777777" w:rsidR="00394471" w:rsidRPr="00FA0D37" w:rsidRDefault="00394471" w:rsidP="00FA0D37">
      <w:pPr>
        <w:pStyle w:val="PL"/>
      </w:pPr>
      <w:r w:rsidRPr="00FA0D37">
        <w:t xml:space="preserve">    SN-FieldLengthAM,</w:t>
      </w:r>
    </w:p>
    <w:p w14:paraId="0A7E145F" w14:textId="77777777" w:rsidR="00394471" w:rsidRPr="00FA0D37" w:rsidRDefault="00394471" w:rsidP="00FA0D37">
      <w:pPr>
        <w:pStyle w:val="PL"/>
      </w:pPr>
      <w:r w:rsidRPr="00FA0D37">
        <w:t xml:space="preserve">    SN-FieldLengthUM,</w:t>
      </w:r>
    </w:p>
    <w:p w14:paraId="21E03CC2" w14:textId="77777777" w:rsidR="00394471" w:rsidRPr="00FA0D37" w:rsidRDefault="00394471" w:rsidP="00FA0D37">
      <w:pPr>
        <w:pStyle w:val="PL"/>
      </w:pPr>
      <w:r w:rsidRPr="00FA0D37">
        <w:t xml:space="preserve">    LogicalChannelIdentity,</w:t>
      </w:r>
    </w:p>
    <w:p w14:paraId="32879374" w14:textId="77777777" w:rsidR="00394471" w:rsidRPr="00FA0D37" w:rsidRDefault="00394471" w:rsidP="00FA0D37">
      <w:pPr>
        <w:pStyle w:val="PL"/>
      </w:pPr>
      <w:r w:rsidRPr="00FA0D37">
        <w:t xml:space="preserve">    maxNrofSLRB-r16,</w:t>
      </w:r>
    </w:p>
    <w:p w14:paraId="7AE9882E" w14:textId="77777777" w:rsidR="003A5AEE" w:rsidRPr="00FA0D37" w:rsidRDefault="003A5AEE" w:rsidP="00FA0D37">
      <w:pPr>
        <w:pStyle w:val="PL"/>
      </w:pPr>
      <w:r w:rsidRPr="00FA0D37">
        <w:t xml:space="preserve">    maxNrofSL-RxInfoSet-r17,</w:t>
      </w:r>
    </w:p>
    <w:p w14:paraId="16308CBB" w14:textId="77777777" w:rsidR="00394471" w:rsidRPr="00FA0D37" w:rsidRDefault="00394471" w:rsidP="00FA0D37">
      <w:pPr>
        <w:pStyle w:val="PL"/>
      </w:pPr>
      <w:r w:rsidRPr="00FA0D37">
        <w:t xml:space="preserve">    maxNrofSL-QFIs-r16,</w:t>
      </w:r>
    </w:p>
    <w:p w14:paraId="5F938F43" w14:textId="77777777" w:rsidR="00394471" w:rsidRPr="00FA0D37" w:rsidRDefault="00394471" w:rsidP="00FA0D37">
      <w:pPr>
        <w:pStyle w:val="PL"/>
      </w:pPr>
      <w:r w:rsidRPr="00FA0D37">
        <w:t xml:space="preserve">    maxNrofSL-QFIsPerDest-r16,</w:t>
      </w:r>
    </w:p>
    <w:p w14:paraId="2F470ADE" w14:textId="77777777" w:rsidR="0048695E" w:rsidRPr="00FA0D37" w:rsidRDefault="0048695E" w:rsidP="00FA0D37">
      <w:pPr>
        <w:pStyle w:val="PL"/>
      </w:pPr>
      <w:r w:rsidRPr="00FA0D37">
        <w:t xml:space="preserve">    PagingCycle,</w:t>
      </w:r>
    </w:p>
    <w:p w14:paraId="5378C01D" w14:textId="77777777" w:rsidR="0048695E" w:rsidRPr="00FA0D37" w:rsidRDefault="0048695E" w:rsidP="00FA0D37">
      <w:pPr>
        <w:pStyle w:val="PL"/>
      </w:pPr>
      <w:r w:rsidRPr="00FA0D37">
        <w:t xml:space="preserve">    PagingRecord,</w:t>
      </w:r>
    </w:p>
    <w:p w14:paraId="3AEBF96C" w14:textId="77777777" w:rsidR="00394471" w:rsidRPr="00FA0D37" w:rsidRDefault="00394471" w:rsidP="00FA0D37">
      <w:pPr>
        <w:pStyle w:val="PL"/>
      </w:pPr>
      <w:r w:rsidRPr="00FA0D37">
        <w:t xml:space="preserve">    RSRP-Range,</w:t>
      </w:r>
    </w:p>
    <w:p w14:paraId="09CC7649" w14:textId="77777777" w:rsidR="00394471" w:rsidRPr="00FA0D37" w:rsidRDefault="00394471" w:rsidP="00FA0D37">
      <w:pPr>
        <w:pStyle w:val="PL"/>
      </w:pPr>
      <w:r w:rsidRPr="00FA0D37">
        <w:t xml:space="preserve">    SL-MeasConfig-r16,</w:t>
      </w:r>
    </w:p>
    <w:p w14:paraId="03E27E07" w14:textId="77777777" w:rsidR="00394471" w:rsidRPr="00FA0D37" w:rsidRDefault="00394471" w:rsidP="00FA0D37">
      <w:pPr>
        <w:pStyle w:val="PL"/>
      </w:pPr>
      <w:r w:rsidRPr="00FA0D37">
        <w:t xml:space="preserve">    SL-MeasId-r16,</w:t>
      </w:r>
    </w:p>
    <w:p w14:paraId="23098C2A" w14:textId="77777777" w:rsidR="00394471" w:rsidRPr="00FA0D37" w:rsidRDefault="00394471" w:rsidP="00FA0D37">
      <w:pPr>
        <w:pStyle w:val="PL"/>
      </w:pPr>
      <w:r w:rsidRPr="00FA0D37">
        <w:t xml:space="preserve">    FreqBandList,</w:t>
      </w:r>
    </w:p>
    <w:p w14:paraId="4052F4E2" w14:textId="77777777" w:rsidR="00394471" w:rsidRPr="00FA0D37" w:rsidRDefault="00394471" w:rsidP="00FA0D37">
      <w:pPr>
        <w:pStyle w:val="PL"/>
      </w:pPr>
      <w:r w:rsidRPr="00FA0D37">
        <w:t xml:space="preserve">    FreqBandIndicatorNR,</w:t>
      </w:r>
    </w:p>
    <w:p w14:paraId="287C6FDA" w14:textId="772DCDBB" w:rsidR="005500DB" w:rsidRPr="00FA0D37" w:rsidRDefault="00394471" w:rsidP="00FA0D37">
      <w:pPr>
        <w:pStyle w:val="PL"/>
      </w:pPr>
      <w:r w:rsidRPr="00FA0D37">
        <w:t xml:space="preserve">    </w:t>
      </w:r>
      <w:bookmarkStart w:id="2233" w:name="_Hlk103182249"/>
      <w:r w:rsidR="005500DB" w:rsidRPr="00FA0D37">
        <w:t>maxNrofRelayMeas-r17</w:t>
      </w:r>
      <w:bookmarkEnd w:id="2233"/>
      <w:r w:rsidR="005500DB" w:rsidRPr="00FA0D37">
        <w:t>,</w:t>
      </w:r>
    </w:p>
    <w:p w14:paraId="498962D5" w14:textId="48DBB4BE" w:rsidR="00394471" w:rsidRPr="00FA0D37" w:rsidRDefault="005500DB" w:rsidP="00FA0D37">
      <w:pPr>
        <w:pStyle w:val="PL"/>
      </w:pPr>
      <w:r w:rsidRPr="00FA0D37">
        <w:t xml:space="preserve">    </w:t>
      </w:r>
      <w:r w:rsidR="00394471" w:rsidRPr="00FA0D37">
        <w:t>maxSimultaneousBands,</w:t>
      </w:r>
    </w:p>
    <w:p w14:paraId="36A17253" w14:textId="77777777" w:rsidR="00394471" w:rsidRPr="00FA0D37" w:rsidRDefault="00394471" w:rsidP="00FA0D37">
      <w:pPr>
        <w:pStyle w:val="PL"/>
      </w:pPr>
      <w:r w:rsidRPr="00FA0D37">
        <w:t xml:space="preserve">    maxBandComb,</w:t>
      </w:r>
    </w:p>
    <w:p w14:paraId="6AABB809" w14:textId="77777777" w:rsidR="00394471" w:rsidRPr="00FA0D37" w:rsidRDefault="00394471" w:rsidP="00FA0D37">
      <w:pPr>
        <w:pStyle w:val="PL"/>
      </w:pPr>
      <w:r w:rsidRPr="00FA0D37">
        <w:t xml:space="preserve">    maxBands,</w:t>
      </w:r>
    </w:p>
    <w:p w14:paraId="0554FF4F" w14:textId="1BB8214A" w:rsidR="0048695E" w:rsidRPr="00FA0D37" w:rsidRDefault="0048695E" w:rsidP="00FA0D37">
      <w:pPr>
        <w:pStyle w:val="PL"/>
      </w:pPr>
      <w:r w:rsidRPr="00FA0D37">
        <w:t xml:space="preserve">    maxSI</w:t>
      </w:r>
      <w:r w:rsidR="003A5AEE" w:rsidRPr="00FA0D37">
        <w:t>B</w:t>
      </w:r>
      <w:r w:rsidRPr="00FA0D37">
        <w:t>-MessagePlus1-r17,</w:t>
      </w:r>
    </w:p>
    <w:p w14:paraId="28D32875" w14:textId="77777777" w:rsidR="0048695E" w:rsidRPr="00FA0D37" w:rsidRDefault="0048695E" w:rsidP="00FA0D37">
      <w:pPr>
        <w:pStyle w:val="PL"/>
      </w:pPr>
      <w:r w:rsidRPr="00FA0D37">
        <w:t xml:space="preserve">    maxSL-LCID-r16,</w:t>
      </w:r>
    </w:p>
    <w:p w14:paraId="263EA854" w14:textId="77777777" w:rsidR="00D027C1" w:rsidRPr="00FA0D37" w:rsidRDefault="00394471" w:rsidP="00FA0D37">
      <w:pPr>
        <w:pStyle w:val="PL"/>
      </w:pPr>
      <w:r w:rsidRPr="00FA0D37">
        <w:t xml:space="preserve">    BandParametersSidelink-r16</w:t>
      </w:r>
      <w:r w:rsidR="00D027C1" w:rsidRPr="00FA0D37">
        <w:t>,</w:t>
      </w:r>
    </w:p>
    <w:p w14:paraId="58C021F6" w14:textId="1D8634F3" w:rsidR="00394471" w:rsidRPr="00FA0D37" w:rsidRDefault="00D027C1" w:rsidP="00FA0D37">
      <w:pPr>
        <w:pStyle w:val="PL"/>
      </w:pPr>
      <w:r w:rsidRPr="00FA0D37">
        <w:t xml:space="preserve">    RLC-ParametersSidelink-r16</w:t>
      </w:r>
      <w:r w:rsidR="0048695E" w:rsidRPr="00FA0D37">
        <w:t>,</w:t>
      </w:r>
    </w:p>
    <w:p w14:paraId="28967181" w14:textId="77777777" w:rsidR="0048695E" w:rsidRPr="00FA0D37" w:rsidRDefault="0048695E" w:rsidP="00FA0D37">
      <w:pPr>
        <w:pStyle w:val="PL"/>
      </w:pPr>
      <w:r w:rsidRPr="00FA0D37">
        <w:t xml:space="preserve">    SIB1,</w:t>
      </w:r>
    </w:p>
    <w:p w14:paraId="2E8D3D0D" w14:textId="77777777" w:rsidR="0048695E" w:rsidRPr="00FA0D37" w:rsidRDefault="0048695E" w:rsidP="00FA0D37">
      <w:pPr>
        <w:pStyle w:val="PL"/>
      </w:pPr>
      <w:r w:rsidRPr="00FA0D37">
        <w:t xml:space="preserve">    SL-DRX-ConfigUC-r17,</w:t>
      </w:r>
    </w:p>
    <w:p w14:paraId="35EEAD22" w14:textId="77777777" w:rsidR="003A5AEE" w:rsidRPr="00FA0D37" w:rsidRDefault="003A5AEE" w:rsidP="00FA0D37">
      <w:pPr>
        <w:pStyle w:val="PL"/>
      </w:pPr>
      <w:r w:rsidRPr="00FA0D37">
        <w:t xml:space="preserve">    SL-DRX-ConfigUC-SemiStatic-r17,</w:t>
      </w:r>
    </w:p>
    <w:p w14:paraId="7B6BF7BB" w14:textId="333A8222" w:rsidR="0048695E" w:rsidRPr="00FA0D37" w:rsidRDefault="0048695E" w:rsidP="00FA0D37">
      <w:pPr>
        <w:pStyle w:val="PL"/>
      </w:pPr>
      <w:r w:rsidRPr="00FA0D37">
        <w:t xml:space="preserve">    SL-PagingIdentityRemoteUE-r17,</w:t>
      </w:r>
    </w:p>
    <w:p w14:paraId="38E3EBA8" w14:textId="77777777" w:rsidR="005500DB" w:rsidRPr="00FA0D37" w:rsidRDefault="0048695E" w:rsidP="00FA0D37">
      <w:pPr>
        <w:pStyle w:val="PL"/>
      </w:pPr>
      <w:r w:rsidRPr="00FA0D37">
        <w:t xml:space="preserve">    SL-RLC-ChannelID-r17,</w:t>
      </w:r>
    </w:p>
    <w:p w14:paraId="780BC33B" w14:textId="1AD4607A" w:rsidR="0048695E" w:rsidRPr="00FA0D37" w:rsidRDefault="005500DB" w:rsidP="00FA0D37">
      <w:pPr>
        <w:pStyle w:val="PL"/>
      </w:pPr>
      <w:r w:rsidRPr="00FA0D37">
        <w:t xml:space="preserve">    </w:t>
      </w:r>
      <w:bookmarkStart w:id="2234" w:name="_Hlk103182270"/>
      <w:r w:rsidRPr="00FA0D37">
        <w:t>SL-SourceIdentity-r17</w:t>
      </w:r>
      <w:bookmarkEnd w:id="2234"/>
      <w:r w:rsidRPr="00FA0D37">
        <w:t>,</w:t>
      </w:r>
    </w:p>
    <w:p w14:paraId="764DA9D6" w14:textId="77777777" w:rsidR="0048695E" w:rsidRPr="00FA0D37" w:rsidRDefault="0048695E" w:rsidP="00FA0D37">
      <w:pPr>
        <w:pStyle w:val="PL"/>
      </w:pPr>
      <w:r w:rsidRPr="00FA0D37">
        <w:t xml:space="preserve">    SystemInformation</w:t>
      </w:r>
    </w:p>
    <w:p w14:paraId="04991A84" w14:textId="77777777" w:rsidR="00394471" w:rsidRPr="00FA0D37" w:rsidRDefault="00394471" w:rsidP="00FA0D37">
      <w:pPr>
        <w:pStyle w:val="PL"/>
      </w:pPr>
      <w:r w:rsidRPr="00FA0D37">
        <w:t>FROM NR-RRC-Definitions;</w:t>
      </w:r>
    </w:p>
    <w:p w14:paraId="009AE0FF" w14:textId="77777777" w:rsidR="00394471" w:rsidRPr="00FA0D37" w:rsidRDefault="00394471" w:rsidP="00FA0D37">
      <w:pPr>
        <w:pStyle w:val="PL"/>
      </w:pPr>
    </w:p>
    <w:p w14:paraId="50B63C1A" w14:textId="77777777" w:rsidR="00394471" w:rsidRPr="00FA0D37" w:rsidRDefault="00394471" w:rsidP="00FA0D37">
      <w:pPr>
        <w:pStyle w:val="PL"/>
        <w:rPr>
          <w:color w:val="808080"/>
        </w:rPr>
      </w:pPr>
      <w:r w:rsidRPr="00FA0D37">
        <w:rPr>
          <w:color w:val="808080"/>
        </w:rPr>
        <w:t>-- TAG-PC5-RRC-DEFINITIONS-STOP</w:t>
      </w:r>
    </w:p>
    <w:p w14:paraId="7A2C8464" w14:textId="77777777" w:rsidR="00394471" w:rsidRPr="00FA0D37" w:rsidRDefault="00394471" w:rsidP="00FA0D37">
      <w:pPr>
        <w:pStyle w:val="PL"/>
        <w:rPr>
          <w:color w:val="808080"/>
        </w:rPr>
      </w:pPr>
      <w:r w:rsidRPr="00FA0D37">
        <w:rPr>
          <w:color w:val="808080"/>
        </w:rPr>
        <w:t>-- ASN1STOP</w:t>
      </w:r>
    </w:p>
    <w:p w14:paraId="18DFD88E" w14:textId="77777777" w:rsidR="00394471" w:rsidRPr="00FA0D37" w:rsidRDefault="00394471" w:rsidP="00394471"/>
    <w:p w14:paraId="5E838C89" w14:textId="57D0F033" w:rsidR="00394471" w:rsidRPr="00FA0D37" w:rsidRDefault="00394471" w:rsidP="00394471">
      <w:pPr>
        <w:pStyle w:val="4"/>
      </w:pPr>
      <w:bookmarkStart w:id="2235" w:name="_Toc60777565"/>
      <w:bookmarkStart w:id="2236" w:name="_Toc146781704"/>
      <w:r w:rsidRPr="00FA0D37">
        <w:t>–</w:t>
      </w:r>
      <w:r w:rsidRPr="00FA0D37">
        <w:tab/>
      </w:r>
      <w:r w:rsidRPr="00FA0D37">
        <w:rPr>
          <w:i/>
          <w:iCs/>
          <w:noProof/>
        </w:rPr>
        <w:t>SBCCH-SL-BCH-Message</w:t>
      </w:r>
      <w:bookmarkEnd w:id="2235"/>
      <w:bookmarkEnd w:id="2236"/>
    </w:p>
    <w:p w14:paraId="77B35283" w14:textId="77777777" w:rsidR="00394471" w:rsidRPr="00FA0D37" w:rsidRDefault="00394471" w:rsidP="00394471">
      <w:r w:rsidRPr="00FA0D37">
        <w:t xml:space="preserve">The </w:t>
      </w:r>
      <w:r w:rsidRPr="00FA0D37">
        <w:rPr>
          <w:i/>
          <w:noProof/>
        </w:rPr>
        <w:t>SBCCH-SL-BCH-Message</w:t>
      </w:r>
      <w:r w:rsidRPr="00FA0D37">
        <w:t xml:space="preserve"> class is the set of RRC messages that may be sent from the UE to the UE via SL-BCH on the SBCCH logical channel.</w:t>
      </w:r>
    </w:p>
    <w:p w14:paraId="35715743" w14:textId="77777777" w:rsidR="00394471" w:rsidRPr="00FA0D37" w:rsidRDefault="00394471" w:rsidP="00FA0D37">
      <w:pPr>
        <w:pStyle w:val="PL"/>
        <w:rPr>
          <w:color w:val="808080"/>
        </w:rPr>
      </w:pPr>
      <w:r w:rsidRPr="00FA0D37">
        <w:rPr>
          <w:color w:val="808080"/>
        </w:rPr>
        <w:lastRenderedPageBreak/>
        <w:t>-- ASN1START</w:t>
      </w:r>
    </w:p>
    <w:p w14:paraId="582D7FED" w14:textId="77777777" w:rsidR="00394471" w:rsidRPr="00FA0D37" w:rsidRDefault="00394471" w:rsidP="00FA0D37">
      <w:pPr>
        <w:pStyle w:val="PL"/>
        <w:rPr>
          <w:color w:val="808080"/>
        </w:rPr>
      </w:pPr>
      <w:r w:rsidRPr="00FA0D37">
        <w:rPr>
          <w:color w:val="808080"/>
        </w:rPr>
        <w:t>-- TAG-SBCCH-SL-BCH-MESSAGE-START</w:t>
      </w:r>
    </w:p>
    <w:p w14:paraId="64919816" w14:textId="77777777" w:rsidR="00394471" w:rsidRPr="00FA0D37" w:rsidRDefault="00394471" w:rsidP="00FA0D37">
      <w:pPr>
        <w:pStyle w:val="PL"/>
      </w:pPr>
    </w:p>
    <w:p w14:paraId="408480E6" w14:textId="77777777" w:rsidR="00394471" w:rsidRPr="00FA0D37" w:rsidRDefault="00394471" w:rsidP="00FA0D37">
      <w:pPr>
        <w:pStyle w:val="PL"/>
      </w:pPr>
      <w:r w:rsidRPr="00FA0D37">
        <w:t xml:space="preserve">SBCCH-SL-BCH-Message ::= </w:t>
      </w:r>
      <w:r w:rsidRPr="00FA0D37">
        <w:rPr>
          <w:color w:val="993366"/>
        </w:rPr>
        <w:t>SEQUENCE</w:t>
      </w:r>
      <w:r w:rsidRPr="00FA0D37">
        <w:t xml:space="preserve"> {</w:t>
      </w:r>
    </w:p>
    <w:p w14:paraId="3651C987" w14:textId="77777777" w:rsidR="00394471" w:rsidRPr="00FA0D37" w:rsidRDefault="00394471" w:rsidP="00FA0D37">
      <w:pPr>
        <w:pStyle w:val="PL"/>
      </w:pPr>
      <w:r w:rsidRPr="00FA0D37">
        <w:t xml:space="preserve">    message                  SBCCH-SL-BCH-MessageType</w:t>
      </w:r>
    </w:p>
    <w:p w14:paraId="7AAD0EF0" w14:textId="77777777" w:rsidR="00394471" w:rsidRPr="00FA0D37" w:rsidRDefault="00394471" w:rsidP="00FA0D37">
      <w:pPr>
        <w:pStyle w:val="PL"/>
      </w:pPr>
      <w:r w:rsidRPr="00FA0D37">
        <w:t>}</w:t>
      </w:r>
    </w:p>
    <w:p w14:paraId="5C2317A7" w14:textId="77777777" w:rsidR="00394471" w:rsidRPr="00FA0D37" w:rsidRDefault="00394471" w:rsidP="00FA0D37">
      <w:pPr>
        <w:pStyle w:val="PL"/>
      </w:pPr>
    </w:p>
    <w:p w14:paraId="494F5548" w14:textId="77777777" w:rsidR="00394471" w:rsidRPr="00FA0D37" w:rsidRDefault="00394471" w:rsidP="00FA0D37">
      <w:pPr>
        <w:pStyle w:val="PL"/>
      </w:pPr>
      <w:r w:rsidRPr="00FA0D37">
        <w:t xml:space="preserve">SBCCH-SL-BCH-MessageType::=     </w:t>
      </w:r>
      <w:r w:rsidRPr="00FA0D37">
        <w:rPr>
          <w:color w:val="993366"/>
        </w:rPr>
        <w:t>CHOICE</w:t>
      </w:r>
      <w:r w:rsidRPr="00FA0D37">
        <w:t xml:space="preserve"> {</w:t>
      </w:r>
    </w:p>
    <w:p w14:paraId="03878F6A"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02958A56" w14:textId="77777777" w:rsidR="00394471" w:rsidRPr="00FA0D37" w:rsidRDefault="00394471" w:rsidP="00FA0D37">
      <w:pPr>
        <w:pStyle w:val="PL"/>
      </w:pPr>
      <w:r w:rsidRPr="00FA0D37">
        <w:t xml:space="preserve">        masterInformationBlockSidelink              MasterInformationBlockSidelink,</w:t>
      </w:r>
    </w:p>
    <w:p w14:paraId="3DE8BAE4" w14:textId="77777777" w:rsidR="00394471" w:rsidRPr="00FA0D37" w:rsidRDefault="00394471" w:rsidP="00FA0D37">
      <w:pPr>
        <w:pStyle w:val="PL"/>
      </w:pPr>
      <w:r w:rsidRPr="00FA0D37">
        <w:t xml:space="preserve">        spare1 </w:t>
      </w:r>
      <w:r w:rsidRPr="00FA0D37">
        <w:rPr>
          <w:color w:val="993366"/>
        </w:rPr>
        <w:t>NULL</w:t>
      </w:r>
    </w:p>
    <w:p w14:paraId="245698C5" w14:textId="77777777" w:rsidR="00394471" w:rsidRPr="00FA0D37" w:rsidRDefault="00394471" w:rsidP="00FA0D37">
      <w:pPr>
        <w:pStyle w:val="PL"/>
      </w:pPr>
      <w:r w:rsidRPr="00FA0D37">
        <w:t xml:space="preserve">    },</w:t>
      </w:r>
    </w:p>
    <w:p w14:paraId="292F832D" w14:textId="77777777" w:rsidR="00394471" w:rsidRPr="00FA0D37" w:rsidRDefault="00394471" w:rsidP="00FA0D37">
      <w:pPr>
        <w:pStyle w:val="PL"/>
      </w:pPr>
      <w:r w:rsidRPr="00FA0D37">
        <w:t xml:space="preserve">    messageClassExtension   </w:t>
      </w:r>
      <w:r w:rsidRPr="00FA0D37">
        <w:rPr>
          <w:color w:val="993366"/>
        </w:rPr>
        <w:t>SEQUENCE</w:t>
      </w:r>
      <w:r w:rsidRPr="00FA0D37">
        <w:t xml:space="preserve"> {}</w:t>
      </w:r>
    </w:p>
    <w:p w14:paraId="1EC82560" w14:textId="77777777" w:rsidR="00394471" w:rsidRPr="00FA0D37" w:rsidRDefault="00394471" w:rsidP="00FA0D37">
      <w:pPr>
        <w:pStyle w:val="PL"/>
      </w:pPr>
      <w:r w:rsidRPr="00FA0D37">
        <w:t>}</w:t>
      </w:r>
    </w:p>
    <w:p w14:paraId="7F4E870C" w14:textId="77777777" w:rsidR="00394471" w:rsidRPr="00FA0D37" w:rsidRDefault="00394471" w:rsidP="00FA0D37">
      <w:pPr>
        <w:pStyle w:val="PL"/>
      </w:pPr>
    </w:p>
    <w:p w14:paraId="029FD9E3" w14:textId="77777777" w:rsidR="00394471" w:rsidRPr="00FA0D37" w:rsidRDefault="00394471" w:rsidP="00FA0D37">
      <w:pPr>
        <w:pStyle w:val="PL"/>
        <w:rPr>
          <w:color w:val="808080"/>
        </w:rPr>
      </w:pPr>
      <w:r w:rsidRPr="00FA0D37">
        <w:rPr>
          <w:color w:val="808080"/>
        </w:rPr>
        <w:t>-- TAG-SBCCH-SL-BCH-MESSAGE-STOP</w:t>
      </w:r>
    </w:p>
    <w:p w14:paraId="49769D20" w14:textId="77777777" w:rsidR="00394471" w:rsidRPr="00FA0D37" w:rsidRDefault="00394471" w:rsidP="00FA0D37">
      <w:pPr>
        <w:pStyle w:val="PL"/>
        <w:rPr>
          <w:color w:val="808080"/>
        </w:rPr>
      </w:pPr>
      <w:r w:rsidRPr="00FA0D37">
        <w:rPr>
          <w:color w:val="808080"/>
        </w:rPr>
        <w:t>-- ASN1STOP</w:t>
      </w:r>
    </w:p>
    <w:p w14:paraId="6676AF4A" w14:textId="77777777" w:rsidR="00394471" w:rsidRPr="00FA0D37" w:rsidRDefault="00394471" w:rsidP="00394471">
      <w:pPr>
        <w:rPr>
          <w:iCs/>
          <w:lang w:eastAsia="zh-CN"/>
        </w:rPr>
      </w:pPr>
    </w:p>
    <w:p w14:paraId="722F927B" w14:textId="6DE380E8" w:rsidR="00394471" w:rsidRPr="00FA0D37" w:rsidRDefault="00394471" w:rsidP="00394471">
      <w:pPr>
        <w:pStyle w:val="4"/>
      </w:pPr>
      <w:bookmarkStart w:id="2237" w:name="_Toc60777566"/>
      <w:bookmarkStart w:id="2238" w:name="_Toc146781705"/>
      <w:r w:rsidRPr="00FA0D37">
        <w:t>–</w:t>
      </w:r>
      <w:r w:rsidRPr="00FA0D37">
        <w:tab/>
      </w:r>
      <w:r w:rsidRPr="00FA0D37">
        <w:rPr>
          <w:i/>
          <w:iCs/>
        </w:rPr>
        <w:t>S</w:t>
      </w:r>
      <w:r w:rsidRPr="00FA0D37">
        <w:rPr>
          <w:i/>
          <w:iCs/>
          <w:noProof/>
        </w:rPr>
        <w:t>CCH-Message</w:t>
      </w:r>
      <w:bookmarkEnd w:id="2237"/>
      <w:bookmarkEnd w:id="2238"/>
    </w:p>
    <w:p w14:paraId="26136867" w14:textId="2130F444" w:rsidR="00394471" w:rsidRPr="00FA0D37" w:rsidRDefault="00394471" w:rsidP="00394471">
      <w:r w:rsidRPr="00FA0D37">
        <w:t xml:space="preserve">The </w:t>
      </w:r>
      <w:r w:rsidRPr="00FA0D37">
        <w:rPr>
          <w:i/>
        </w:rPr>
        <w:t>S</w:t>
      </w:r>
      <w:r w:rsidRPr="00FA0D37">
        <w:rPr>
          <w:i/>
          <w:noProof/>
        </w:rPr>
        <w:t xml:space="preserve">CCH-Message </w:t>
      </w:r>
      <w:r w:rsidRPr="00FA0D37">
        <w:t xml:space="preserve">class is the set of </w:t>
      </w:r>
      <w:r w:rsidR="00244337" w:rsidRPr="00FA0D37">
        <w:t>PC5-RRC</w:t>
      </w:r>
      <w:r w:rsidRPr="00FA0D37">
        <w:t xml:space="preserve"> messages that may be sent from the UE to the UE for unicast of NR sidelink communication on SCCH logical channel.</w:t>
      </w:r>
    </w:p>
    <w:p w14:paraId="51990AAA" w14:textId="77777777" w:rsidR="00394471" w:rsidRPr="00FA0D37" w:rsidRDefault="00394471" w:rsidP="00FA0D37">
      <w:pPr>
        <w:pStyle w:val="PL"/>
        <w:rPr>
          <w:color w:val="808080"/>
        </w:rPr>
      </w:pPr>
      <w:r w:rsidRPr="00FA0D37">
        <w:rPr>
          <w:color w:val="808080"/>
        </w:rPr>
        <w:t>-- ASN1START</w:t>
      </w:r>
    </w:p>
    <w:p w14:paraId="773AEE07" w14:textId="77777777" w:rsidR="00394471" w:rsidRPr="00FA0D37" w:rsidRDefault="00394471" w:rsidP="00FA0D37">
      <w:pPr>
        <w:pStyle w:val="PL"/>
        <w:rPr>
          <w:color w:val="808080"/>
        </w:rPr>
      </w:pPr>
      <w:r w:rsidRPr="00FA0D37">
        <w:rPr>
          <w:color w:val="808080"/>
        </w:rPr>
        <w:t>-- TAG-SCCH-MESSAGE-START</w:t>
      </w:r>
    </w:p>
    <w:p w14:paraId="2ACA6D51" w14:textId="77777777" w:rsidR="00394471" w:rsidRPr="00FA0D37" w:rsidRDefault="00394471" w:rsidP="00FA0D37">
      <w:pPr>
        <w:pStyle w:val="PL"/>
      </w:pPr>
    </w:p>
    <w:p w14:paraId="32D0901F" w14:textId="77777777" w:rsidR="00394471" w:rsidRPr="00FA0D37" w:rsidRDefault="00394471" w:rsidP="00FA0D37">
      <w:pPr>
        <w:pStyle w:val="PL"/>
      </w:pPr>
      <w:r w:rsidRPr="00FA0D37">
        <w:t xml:space="preserve">SCCH-Message ::=             </w:t>
      </w:r>
      <w:r w:rsidRPr="00FA0D37">
        <w:rPr>
          <w:color w:val="993366"/>
        </w:rPr>
        <w:t>SEQUENCE</w:t>
      </w:r>
      <w:r w:rsidRPr="00FA0D37">
        <w:t xml:space="preserve"> {</w:t>
      </w:r>
    </w:p>
    <w:p w14:paraId="0635CAFC" w14:textId="77777777" w:rsidR="00394471" w:rsidRPr="00FA0D37" w:rsidRDefault="00394471" w:rsidP="00FA0D37">
      <w:pPr>
        <w:pStyle w:val="PL"/>
      </w:pPr>
      <w:r w:rsidRPr="00FA0D37">
        <w:t xml:space="preserve">    message                         SCCH-MessageType</w:t>
      </w:r>
    </w:p>
    <w:p w14:paraId="58B8D13B" w14:textId="77777777" w:rsidR="00394471" w:rsidRPr="00FA0D37" w:rsidRDefault="00394471" w:rsidP="00FA0D37">
      <w:pPr>
        <w:pStyle w:val="PL"/>
      </w:pPr>
      <w:r w:rsidRPr="00FA0D37">
        <w:t>}</w:t>
      </w:r>
    </w:p>
    <w:p w14:paraId="453F9A4D" w14:textId="77777777" w:rsidR="00394471" w:rsidRPr="00FA0D37" w:rsidRDefault="00394471" w:rsidP="00FA0D37">
      <w:pPr>
        <w:pStyle w:val="PL"/>
      </w:pPr>
    </w:p>
    <w:p w14:paraId="340F5BF5" w14:textId="77777777" w:rsidR="00394471" w:rsidRPr="00FA0D37" w:rsidRDefault="00394471" w:rsidP="00FA0D37">
      <w:pPr>
        <w:pStyle w:val="PL"/>
      </w:pPr>
      <w:r w:rsidRPr="00FA0D37">
        <w:t xml:space="preserve">SCCH-MessageType ::=         </w:t>
      </w:r>
      <w:r w:rsidRPr="00FA0D37">
        <w:rPr>
          <w:color w:val="993366"/>
        </w:rPr>
        <w:t>CHOICE</w:t>
      </w:r>
      <w:r w:rsidRPr="00FA0D37">
        <w:t xml:space="preserve"> {</w:t>
      </w:r>
    </w:p>
    <w:p w14:paraId="4C4793A1" w14:textId="77777777" w:rsidR="00394471" w:rsidRPr="00FA0D37" w:rsidRDefault="00394471" w:rsidP="00FA0D37">
      <w:pPr>
        <w:pStyle w:val="PL"/>
      </w:pPr>
      <w:r w:rsidRPr="00FA0D37">
        <w:t xml:space="preserve">    c1                              </w:t>
      </w:r>
      <w:r w:rsidRPr="00FA0D37">
        <w:rPr>
          <w:color w:val="993366"/>
        </w:rPr>
        <w:t>CHOICE</w:t>
      </w:r>
      <w:r w:rsidRPr="00FA0D37">
        <w:t xml:space="preserve"> {</w:t>
      </w:r>
    </w:p>
    <w:p w14:paraId="70F76838" w14:textId="77777777" w:rsidR="00394471" w:rsidRPr="00FA0D37" w:rsidRDefault="00394471" w:rsidP="00FA0D37">
      <w:pPr>
        <w:pStyle w:val="PL"/>
      </w:pPr>
      <w:r w:rsidRPr="00FA0D37">
        <w:t xml:space="preserve">        measurementReportSidelink                MeasurementReportSidelink,</w:t>
      </w:r>
    </w:p>
    <w:p w14:paraId="5E66194A" w14:textId="77777777" w:rsidR="00394471" w:rsidRPr="00FA0D37" w:rsidRDefault="00394471" w:rsidP="00FA0D37">
      <w:pPr>
        <w:pStyle w:val="PL"/>
      </w:pPr>
      <w:r w:rsidRPr="00FA0D37">
        <w:t xml:space="preserve">        rrcReconfigurationSidelink               RRCReconfigurationSidelink,</w:t>
      </w:r>
    </w:p>
    <w:p w14:paraId="0DE509EC" w14:textId="77777777" w:rsidR="00394471" w:rsidRPr="00FA0D37" w:rsidRDefault="00394471" w:rsidP="00FA0D37">
      <w:pPr>
        <w:pStyle w:val="PL"/>
      </w:pPr>
      <w:r w:rsidRPr="00FA0D37">
        <w:t xml:space="preserve">        rrcReconfigurationCompleteSidelink       RRCReconfigurationCompleteSidelink,</w:t>
      </w:r>
    </w:p>
    <w:p w14:paraId="26BA54A3" w14:textId="77777777" w:rsidR="00394471" w:rsidRPr="00FA0D37" w:rsidRDefault="00394471" w:rsidP="00FA0D37">
      <w:pPr>
        <w:pStyle w:val="PL"/>
      </w:pPr>
      <w:r w:rsidRPr="00FA0D37">
        <w:t xml:space="preserve">        rrcReconfigurationFailureSidelink        RRCReconfigurationFailureSidelink,</w:t>
      </w:r>
    </w:p>
    <w:p w14:paraId="554DCA01" w14:textId="77777777" w:rsidR="00394471" w:rsidRPr="00FA0D37" w:rsidRDefault="00394471" w:rsidP="00FA0D37">
      <w:pPr>
        <w:pStyle w:val="PL"/>
      </w:pPr>
      <w:r w:rsidRPr="00FA0D37">
        <w:t xml:space="preserve">        ueCapabilityEnquirySidelink              UECapabilityEnquirySidelink,</w:t>
      </w:r>
    </w:p>
    <w:p w14:paraId="244B6B92" w14:textId="77777777" w:rsidR="00394471" w:rsidRPr="00FA0D37" w:rsidRDefault="00394471" w:rsidP="00FA0D37">
      <w:pPr>
        <w:pStyle w:val="PL"/>
      </w:pPr>
      <w:r w:rsidRPr="00FA0D37">
        <w:t xml:space="preserve">        ueCapabilityInformationSidelink          UECapabilityInformationSidelink,</w:t>
      </w:r>
    </w:p>
    <w:p w14:paraId="6BBEE4EE" w14:textId="7E9BAEE1" w:rsidR="00E81DFA" w:rsidRPr="00FA0D37" w:rsidRDefault="00394471" w:rsidP="00FA0D37">
      <w:pPr>
        <w:pStyle w:val="PL"/>
      </w:pPr>
      <w:r w:rsidRPr="00FA0D37">
        <w:t xml:space="preserve">        </w:t>
      </w:r>
      <w:r w:rsidR="00E81DFA" w:rsidRPr="00FA0D37">
        <w:t>uuMessageTransferSidelink-r17</w:t>
      </w:r>
      <w:r w:rsidRPr="00FA0D37">
        <w:t xml:space="preserve"> </w:t>
      </w:r>
      <w:r w:rsidR="00E81DFA" w:rsidRPr="00FA0D37">
        <w:t xml:space="preserve">           UuMessageTransferSidelink-r17</w:t>
      </w:r>
      <w:r w:rsidRPr="00FA0D37">
        <w:t>,</w:t>
      </w:r>
    </w:p>
    <w:p w14:paraId="7C6A8665" w14:textId="1280F9AF" w:rsidR="00394471" w:rsidRPr="00FA0D37" w:rsidRDefault="00E81DFA" w:rsidP="00FA0D37">
      <w:pPr>
        <w:pStyle w:val="PL"/>
      </w:pPr>
      <w:r w:rsidRPr="00FA0D37">
        <w:t xml:space="preserve">       </w:t>
      </w:r>
      <w:r w:rsidR="00394471" w:rsidRPr="00FA0D37">
        <w:t xml:space="preserve"> </w:t>
      </w:r>
      <w:r w:rsidRPr="00FA0D37">
        <w:t>remoteUEInformationSidelink-r17</w:t>
      </w:r>
      <w:r w:rsidR="00394471" w:rsidRPr="00FA0D37">
        <w:t xml:space="preserve"> </w:t>
      </w:r>
      <w:r w:rsidRPr="00FA0D37">
        <w:t xml:space="preserve">         RemoteUEInformationSidelink-r17</w:t>
      </w:r>
    </w:p>
    <w:p w14:paraId="1DB2C00A" w14:textId="77777777" w:rsidR="00394471" w:rsidRPr="00FA0D37" w:rsidRDefault="00394471" w:rsidP="00FA0D37">
      <w:pPr>
        <w:pStyle w:val="PL"/>
      </w:pPr>
      <w:r w:rsidRPr="00FA0D37">
        <w:t xml:space="preserve">    },</w:t>
      </w:r>
    </w:p>
    <w:p w14:paraId="6D7DF01C" w14:textId="484ADDEF" w:rsidR="00394471" w:rsidRPr="00FA0D37" w:rsidRDefault="00394471" w:rsidP="00FA0D37">
      <w:pPr>
        <w:pStyle w:val="PL"/>
      </w:pPr>
      <w:r w:rsidRPr="00FA0D37">
        <w:t xml:space="preserve">    messageClassExtension           </w:t>
      </w:r>
      <w:r w:rsidR="00533204" w:rsidRPr="00FA0D37">
        <w:rPr>
          <w:color w:val="993366"/>
        </w:rPr>
        <w:t>CHOICE</w:t>
      </w:r>
      <w:r w:rsidRPr="00FA0D37">
        <w:t xml:space="preserve"> {</w:t>
      </w:r>
    </w:p>
    <w:p w14:paraId="2089E1C2" w14:textId="5F0CCA1F" w:rsidR="00E81DFA" w:rsidRPr="00FA0D37" w:rsidRDefault="00E81DFA" w:rsidP="00FA0D37">
      <w:pPr>
        <w:pStyle w:val="PL"/>
      </w:pPr>
      <w:r w:rsidRPr="00FA0D37">
        <w:t xml:space="preserve">        c2                              </w:t>
      </w:r>
      <w:r w:rsidRPr="00FA0D37">
        <w:rPr>
          <w:color w:val="993366"/>
        </w:rPr>
        <w:t>CHOICE</w:t>
      </w:r>
      <w:r w:rsidRPr="00FA0D37">
        <w:t xml:space="preserve"> {</w:t>
      </w:r>
    </w:p>
    <w:p w14:paraId="64A68DBD" w14:textId="4599E062" w:rsidR="00E81DFA" w:rsidRPr="00FA0D37" w:rsidRDefault="00E81DFA" w:rsidP="00FA0D37">
      <w:pPr>
        <w:pStyle w:val="PL"/>
      </w:pPr>
      <w:r w:rsidRPr="00FA0D37">
        <w:t xml:space="preserve">            notificationMessageSidelink-r17 NotificationMessageSidelink</w:t>
      </w:r>
      <w:r w:rsidR="0050478A" w:rsidRPr="00FA0D37">
        <w:t>-r17</w:t>
      </w:r>
      <w:r w:rsidRPr="00FA0D37">
        <w:t>,</w:t>
      </w:r>
    </w:p>
    <w:p w14:paraId="15317C6D" w14:textId="7B30F4B5" w:rsidR="00511FD3" w:rsidRPr="00FA0D37" w:rsidRDefault="00E81DFA" w:rsidP="00FA0D37">
      <w:pPr>
        <w:pStyle w:val="PL"/>
      </w:pPr>
      <w:r w:rsidRPr="00FA0D37">
        <w:t xml:space="preserve">            </w:t>
      </w:r>
      <w:r w:rsidR="00511FD3" w:rsidRPr="00FA0D37">
        <w:t xml:space="preserve">ueAssistanceInformationSidelink-r17 </w:t>
      </w:r>
      <w:r w:rsidR="0048695E" w:rsidRPr="00FA0D37">
        <w:t>UE</w:t>
      </w:r>
      <w:r w:rsidR="00511FD3" w:rsidRPr="00FA0D37">
        <w:t>AssistanceInformationSidelink-r17</w:t>
      </w:r>
      <w:r w:rsidRPr="00FA0D37">
        <w:t>,</w:t>
      </w:r>
    </w:p>
    <w:p w14:paraId="649889B0" w14:textId="3B99FFB0" w:rsidR="00E81DFA" w:rsidRPr="00FA0D37" w:rsidRDefault="00511FD3" w:rsidP="00FA0D37">
      <w:pPr>
        <w:pStyle w:val="PL"/>
      </w:pPr>
      <w:r w:rsidRPr="00FA0D37">
        <w:t xml:space="preserve">           </w:t>
      </w:r>
      <w:r w:rsidR="00E81DFA" w:rsidRPr="00FA0D37">
        <w:t xml:space="preserve"> spare6 </w:t>
      </w:r>
      <w:r w:rsidR="00E81DFA" w:rsidRPr="00FA0D37">
        <w:rPr>
          <w:color w:val="993366"/>
        </w:rPr>
        <w:t>NULL</w:t>
      </w:r>
      <w:r w:rsidR="00E81DFA" w:rsidRPr="00FA0D37">
        <w:t xml:space="preserve">, spare5 </w:t>
      </w:r>
      <w:r w:rsidR="00E81DFA" w:rsidRPr="00FA0D37">
        <w:rPr>
          <w:color w:val="993366"/>
        </w:rPr>
        <w:t>NULL</w:t>
      </w:r>
      <w:r w:rsidR="00E81DFA" w:rsidRPr="00FA0D37">
        <w:t xml:space="preserve">, spare4 </w:t>
      </w:r>
      <w:r w:rsidR="00E81DFA" w:rsidRPr="00FA0D37">
        <w:rPr>
          <w:color w:val="993366"/>
        </w:rPr>
        <w:t>NULL</w:t>
      </w:r>
      <w:r w:rsidR="00E81DFA" w:rsidRPr="00FA0D37">
        <w:t xml:space="preserve">, spare3 </w:t>
      </w:r>
      <w:r w:rsidR="00E81DFA" w:rsidRPr="00FA0D37">
        <w:rPr>
          <w:color w:val="993366"/>
        </w:rPr>
        <w:t>NULL</w:t>
      </w:r>
      <w:r w:rsidR="00E81DFA" w:rsidRPr="00FA0D37">
        <w:t xml:space="preserve">, spare2 </w:t>
      </w:r>
      <w:r w:rsidR="00E81DFA" w:rsidRPr="00FA0D37">
        <w:rPr>
          <w:color w:val="993366"/>
        </w:rPr>
        <w:t>NULL</w:t>
      </w:r>
      <w:r w:rsidR="00E81DFA" w:rsidRPr="00FA0D37">
        <w:t xml:space="preserve">, spare1 </w:t>
      </w:r>
      <w:r w:rsidR="00E81DFA" w:rsidRPr="00FA0D37">
        <w:rPr>
          <w:color w:val="993366"/>
        </w:rPr>
        <w:t>NULL</w:t>
      </w:r>
    </w:p>
    <w:p w14:paraId="4AE712B5" w14:textId="0A45459C" w:rsidR="00E81DFA" w:rsidRPr="00FA0D37" w:rsidRDefault="00E81DFA" w:rsidP="00FA0D37">
      <w:pPr>
        <w:pStyle w:val="PL"/>
      </w:pPr>
      <w:r w:rsidRPr="00FA0D37">
        <w:t xml:space="preserve">        },</w:t>
      </w:r>
    </w:p>
    <w:p w14:paraId="010F9944" w14:textId="085448D9" w:rsidR="00E81DFA" w:rsidRPr="00FA0D37" w:rsidRDefault="00E81DFA" w:rsidP="00FA0D37">
      <w:pPr>
        <w:pStyle w:val="PL"/>
      </w:pPr>
      <w:r w:rsidRPr="00FA0D37">
        <w:t xml:space="preserve">    </w:t>
      </w:r>
      <w:r w:rsidR="006665C6" w:rsidRPr="00FA0D37">
        <w:t xml:space="preserve">    </w:t>
      </w:r>
      <w:r w:rsidRPr="00FA0D37">
        <w:t xml:space="preserve">messageClassExtensionFuture-r17    </w:t>
      </w:r>
      <w:r w:rsidRPr="00FA0D37">
        <w:rPr>
          <w:color w:val="993366"/>
        </w:rPr>
        <w:t>SEQUENCE</w:t>
      </w:r>
      <w:r w:rsidRPr="00FA0D37">
        <w:t xml:space="preserve"> {}</w:t>
      </w:r>
    </w:p>
    <w:p w14:paraId="50EA715A" w14:textId="781DA4D1" w:rsidR="00533204" w:rsidRPr="00FA0D37" w:rsidRDefault="00533204" w:rsidP="00FA0D37">
      <w:pPr>
        <w:pStyle w:val="PL"/>
      </w:pPr>
      <w:r w:rsidRPr="00FA0D37">
        <w:t xml:space="preserve">    }</w:t>
      </w:r>
    </w:p>
    <w:p w14:paraId="13715005" w14:textId="39A6D948" w:rsidR="00394471" w:rsidRPr="00FA0D37" w:rsidRDefault="00394471" w:rsidP="00FA0D37">
      <w:pPr>
        <w:pStyle w:val="PL"/>
      </w:pPr>
      <w:r w:rsidRPr="00FA0D37">
        <w:t>}</w:t>
      </w:r>
    </w:p>
    <w:p w14:paraId="7D178E61" w14:textId="77777777" w:rsidR="00394471" w:rsidRPr="00FA0D37" w:rsidRDefault="00394471" w:rsidP="00FA0D37">
      <w:pPr>
        <w:pStyle w:val="PL"/>
      </w:pPr>
    </w:p>
    <w:p w14:paraId="0BBE12C8" w14:textId="77777777" w:rsidR="00394471" w:rsidRPr="00FA0D37" w:rsidRDefault="00394471" w:rsidP="00FA0D37">
      <w:pPr>
        <w:pStyle w:val="PL"/>
        <w:rPr>
          <w:color w:val="808080"/>
        </w:rPr>
      </w:pPr>
      <w:r w:rsidRPr="00FA0D37">
        <w:rPr>
          <w:color w:val="808080"/>
        </w:rPr>
        <w:t>-- TAG-SCCH-MESSAGE-STOP</w:t>
      </w:r>
    </w:p>
    <w:p w14:paraId="15E339BB" w14:textId="77777777" w:rsidR="00394471" w:rsidRPr="00FA0D37" w:rsidRDefault="00394471" w:rsidP="00FA0D37">
      <w:pPr>
        <w:pStyle w:val="PL"/>
        <w:rPr>
          <w:color w:val="808080"/>
        </w:rPr>
      </w:pPr>
      <w:r w:rsidRPr="00FA0D37">
        <w:rPr>
          <w:color w:val="808080"/>
        </w:rPr>
        <w:t>-- ASN1STOP</w:t>
      </w:r>
    </w:p>
    <w:p w14:paraId="492A81D1" w14:textId="77777777" w:rsidR="00394471" w:rsidRPr="00FA0D37" w:rsidRDefault="00394471" w:rsidP="00394471"/>
    <w:p w14:paraId="7EC30251" w14:textId="77777777" w:rsidR="00394471" w:rsidRPr="00FA0D37" w:rsidRDefault="00394471" w:rsidP="00394471">
      <w:pPr>
        <w:keepNext/>
        <w:keepLines/>
        <w:spacing w:before="120"/>
        <w:ind w:left="1134" w:hanging="1134"/>
        <w:outlineLvl w:val="2"/>
        <w:rPr>
          <w:rFonts w:ascii="Arial" w:hAnsi="Arial"/>
          <w:sz w:val="28"/>
        </w:rPr>
      </w:pPr>
      <w:r w:rsidRPr="00FA0D37">
        <w:rPr>
          <w:rFonts w:ascii="Arial" w:hAnsi="Arial"/>
          <w:sz w:val="28"/>
        </w:rPr>
        <w:t>6.6.2</w:t>
      </w:r>
      <w:r w:rsidRPr="00FA0D37">
        <w:rPr>
          <w:rFonts w:ascii="Arial" w:hAnsi="Arial"/>
          <w:sz w:val="28"/>
        </w:rPr>
        <w:tab/>
        <w:t>Message definitions</w:t>
      </w:r>
    </w:p>
    <w:p w14:paraId="1A3CE400" w14:textId="2973B1F7" w:rsidR="00394471" w:rsidRPr="00FA0D37" w:rsidRDefault="00394471" w:rsidP="00394471">
      <w:pPr>
        <w:pStyle w:val="4"/>
      </w:pPr>
      <w:bookmarkStart w:id="2239" w:name="_Toc60777567"/>
      <w:bookmarkStart w:id="2240" w:name="_Toc146781706"/>
      <w:r w:rsidRPr="00FA0D37">
        <w:t>–</w:t>
      </w:r>
      <w:r w:rsidRPr="00FA0D37">
        <w:tab/>
      </w:r>
      <w:r w:rsidRPr="00FA0D37">
        <w:rPr>
          <w:i/>
          <w:iCs/>
          <w:noProof/>
        </w:rPr>
        <w:t>MasterInformationBlockSidelink</w:t>
      </w:r>
      <w:bookmarkEnd w:id="2239"/>
      <w:bookmarkEnd w:id="2240"/>
    </w:p>
    <w:p w14:paraId="2D03902B" w14:textId="77777777" w:rsidR="00394471" w:rsidRPr="00FA0D37" w:rsidRDefault="00394471" w:rsidP="00394471">
      <w:pPr>
        <w:rPr>
          <w:iCs/>
        </w:rPr>
      </w:pPr>
      <w:r w:rsidRPr="00FA0D37">
        <w:t xml:space="preserve">The </w:t>
      </w:r>
      <w:r w:rsidRPr="00FA0D37">
        <w:rPr>
          <w:i/>
          <w:noProof/>
        </w:rPr>
        <w:t xml:space="preserve">MasterInformationBlockSidelink </w:t>
      </w:r>
      <w:r w:rsidRPr="00FA0D37">
        <w:t>includes the system information transmitted by a UE via SL-BCH.</w:t>
      </w:r>
    </w:p>
    <w:p w14:paraId="7CBE95FD" w14:textId="77777777" w:rsidR="00394471" w:rsidRPr="00FA0D37" w:rsidRDefault="00394471" w:rsidP="00394471">
      <w:pPr>
        <w:pStyle w:val="B1"/>
      </w:pPr>
      <w:r w:rsidRPr="00FA0D37">
        <w:t>Signalling radio bearer: N/A</w:t>
      </w:r>
    </w:p>
    <w:p w14:paraId="368CF8FB" w14:textId="77777777" w:rsidR="00394471" w:rsidRPr="00FA0D37" w:rsidRDefault="00394471" w:rsidP="00394471">
      <w:pPr>
        <w:pStyle w:val="B1"/>
      </w:pPr>
      <w:r w:rsidRPr="00FA0D37">
        <w:t>RLC-SAP: TM</w:t>
      </w:r>
    </w:p>
    <w:p w14:paraId="59388894" w14:textId="77777777" w:rsidR="00394471" w:rsidRPr="00FA0D37" w:rsidRDefault="00394471" w:rsidP="00394471">
      <w:pPr>
        <w:pStyle w:val="B1"/>
      </w:pPr>
      <w:r w:rsidRPr="00FA0D37">
        <w:t>Logical channel: SBCCH</w:t>
      </w:r>
    </w:p>
    <w:p w14:paraId="68DC75F9" w14:textId="77777777" w:rsidR="00394471" w:rsidRPr="00FA0D37" w:rsidRDefault="00394471" w:rsidP="00394471">
      <w:pPr>
        <w:pStyle w:val="B1"/>
      </w:pPr>
      <w:r w:rsidRPr="00FA0D37">
        <w:t>Direction: UE to UE</w:t>
      </w:r>
    </w:p>
    <w:p w14:paraId="6CA6B3FC" w14:textId="77777777" w:rsidR="00394471" w:rsidRPr="00FA0D37" w:rsidRDefault="00394471" w:rsidP="00394471">
      <w:pPr>
        <w:pStyle w:val="TH"/>
        <w:rPr>
          <w:b w:val="0"/>
          <w:i/>
          <w:iCs/>
        </w:rPr>
      </w:pPr>
      <w:r w:rsidRPr="00FA0D37">
        <w:rPr>
          <w:i/>
          <w:iCs/>
        </w:rPr>
        <w:t>MasterInformationBlock</w:t>
      </w:r>
      <w:r w:rsidRPr="00FA0D37">
        <w:rPr>
          <w:i/>
          <w:iCs/>
          <w:noProof/>
        </w:rPr>
        <w:t>Sidelink</w:t>
      </w:r>
    </w:p>
    <w:p w14:paraId="5253C547" w14:textId="77777777" w:rsidR="00394471" w:rsidRPr="00FA0D37" w:rsidRDefault="00394471" w:rsidP="00FA0D37">
      <w:pPr>
        <w:pStyle w:val="PL"/>
        <w:rPr>
          <w:color w:val="808080"/>
        </w:rPr>
      </w:pPr>
      <w:r w:rsidRPr="00FA0D37">
        <w:rPr>
          <w:color w:val="808080"/>
        </w:rPr>
        <w:t>-- ASN1START</w:t>
      </w:r>
    </w:p>
    <w:p w14:paraId="72C42302" w14:textId="77777777" w:rsidR="00394471" w:rsidRPr="00FA0D37" w:rsidRDefault="00394471" w:rsidP="00FA0D37">
      <w:pPr>
        <w:pStyle w:val="PL"/>
        <w:rPr>
          <w:color w:val="808080"/>
        </w:rPr>
      </w:pPr>
      <w:r w:rsidRPr="00FA0D37">
        <w:rPr>
          <w:color w:val="808080"/>
        </w:rPr>
        <w:t>-- TAG-MASTERINFORMATIONBLOCKSIDELINK-START</w:t>
      </w:r>
    </w:p>
    <w:p w14:paraId="69800B58" w14:textId="77777777" w:rsidR="00394471" w:rsidRPr="00FA0D37" w:rsidRDefault="00394471" w:rsidP="00FA0D37">
      <w:pPr>
        <w:pStyle w:val="PL"/>
      </w:pPr>
    </w:p>
    <w:p w14:paraId="7040267A" w14:textId="77777777" w:rsidR="00394471" w:rsidRPr="00FA0D37" w:rsidRDefault="00394471" w:rsidP="00FA0D37">
      <w:pPr>
        <w:pStyle w:val="PL"/>
      </w:pPr>
      <w:r w:rsidRPr="00FA0D37">
        <w:t xml:space="preserve">MasterInformationBlockSidelink ::=           </w:t>
      </w:r>
      <w:r w:rsidRPr="00FA0D37">
        <w:rPr>
          <w:color w:val="993366"/>
        </w:rPr>
        <w:t>SEQUENCE</w:t>
      </w:r>
      <w:r w:rsidRPr="00FA0D37">
        <w:t xml:space="preserve"> {</w:t>
      </w:r>
    </w:p>
    <w:p w14:paraId="68110BA8" w14:textId="77777777" w:rsidR="00394471" w:rsidRPr="00FA0D37" w:rsidRDefault="00394471" w:rsidP="00FA0D37">
      <w:pPr>
        <w:pStyle w:val="PL"/>
      </w:pPr>
      <w:r w:rsidRPr="00FA0D37">
        <w:t xml:space="preserve">    sl-TDD-Config-r16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w:t>
      </w:r>
    </w:p>
    <w:p w14:paraId="70F91740" w14:textId="77777777" w:rsidR="00394471" w:rsidRPr="00FA0D37" w:rsidRDefault="00394471" w:rsidP="00FA0D37">
      <w:pPr>
        <w:pStyle w:val="PL"/>
      </w:pPr>
      <w:r w:rsidRPr="00FA0D37">
        <w:t xml:space="preserve">    inCoverage-r16                               </w:t>
      </w:r>
      <w:r w:rsidRPr="00FA0D37">
        <w:rPr>
          <w:color w:val="993366"/>
        </w:rPr>
        <w:t>BOOLEAN</w:t>
      </w:r>
      <w:r w:rsidRPr="00FA0D37">
        <w:t>,</w:t>
      </w:r>
    </w:p>
    <w:p w14:paraId="1EFDEFAF" w14:textId="77777777" w:rsidR="00394471" w:rsidRPr="00FA0D37" w:rsidRDefault="00394471" w:rsidP="00FA0D37">
      <w:pPr>
        <w:pStyle w:val="PL"/>
      </w:pPr>
      <w:r w:rsidRPr="00FA0D37">
        <w:t xml:space="preserve">    directFrameNumber-r16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(10)),</w:t>
      </w:r>
    </w:p>
    <w:p w14:paraId="0EE0C2C0" w14:textId="77777777" w:rsidR="00394471" w:rsidRPr="00FA0D37" w:rsidRDefault="00394471" w:rsidP="00FA0D37">
      <w:pPr>
        <w:pStyle w:val="PL"/>
      </w:pPr>
      <w:r w:rsidRPr="00FA0D37">
        <w:t xml:space="preserve">    slotIndex-r16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(7)),</w:t>
      </w:r>
    </w:p>
    <w:p w14:paraId="5F9BFFBD" w14:textId="77777777" w:rsidR="00394471" w:rsidRPr="00FA0D37" w:rsidRDefault="00394471" w:rsidP="00FA0D37">
      <w:pPr>
        <w:pStyle w:val="PL"/>
      </w:pPr>
      <w:r w:rsidRPr="00FA0D37">
        <w:t xml:space="preserve">    reservedBits-r16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(2))</w:t>
      </w:r>
    </w:p>
    <w:p w14:paraId="7EAED424" w14:textId="77777777" w:rsidR="00394471" w:rsidRPr="00FA0D37" w:rsidRDefault="00394471" w:rsidP="00FA0D37">
      <w:pPr>
        <w:pStyle w:val="PL"/>
      </w:pPr>
      <w:r w:rsidRPr="00FA0D37">
        <w:t>}</w:t>
      </w:r>
    </w:p>
    <w:p w14:paraId="140D6B28" w14:textId="77777777" w:rsidR="00394471" w:rsidRPr="00FA0D37" w:rsidRDefault="00394471" w:rsidP="00FA0D37">
      <w:pPr>
        <w:pStyle w:val="PL"/>
      </w:pPr>
    </w:p>
    <w:p w14:paraId="61D49D98" w14:textId="77777777" w:rsidR="00394471" w:rsidRPr="00FA0D37" w:rsidRDefault="00394471" w:rsidP="00FA0D37">
      <w:pPr>
        <w:pStyle w:val="PL"/>
        <w:rPr>
          <w:color w:val="808080"/>
        </w:rPr>
      </w:pPr>
      <w:r w:rsidRPr="00FA0D37">
        <w:rPr>
          <w:color w:val="808080"/>
        </w:rPr>
        <w:t>-- TAG-MASTERINFORMATIONBLOCKSIDELINK-STOP</w:t>
      </w:r>
    </w:p>
    <w:p w14:paraId="34AEB5AC" w14:textId="77777777" w:rsidR="00394471" w:rsidRPr="00FA0D37" w:rsidRDefault="00394471" w:rsidP="00FA0D37">
      <w:pPr>
        <w:pStyle w:val="PL"/>
        <w:rPr>
          <w:color w:val="808080"/>
        </w:rPr>
      </w:pPr>
      <w:r w:rsidRPr="00FA0D37">
        <w:rPr>
          <w:color w:val="808080"/>
        </w:rPr>
        <w:t>-- ASN1STOP</w:t>
      </w:r>
    </w:p>
    <w:p w14:paraId="2D7C5F14" w14:textId="77777777" w:rsidR="00394471" w:rsidRPr="00FA0D3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003D5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75842B5" w14:textId="77777777" w:rsidR="00394471" w:rsidRPr="00FA0D37" w:rsidRDefault="00394471" w:rsidP="00964CC4">
            <w:pPr>
              <w:pStyle w:val="TAH"/>
              <w:rPr>
                <w:b w:val="0"/>
                <w:szCs w:val="22"/>
                <w:lang w:eastAsia="sv-SE"/>
              </w:rPr>
            </w:pPr>
            <w:r w:rsidRPr="00FA0D37">
              <w:rPr>
                <w:bCs/>
                <w:i/>
                <w:lang w:eastAsia="sv-SE"/>
              </w:rPr>
              <w:t>MasterInformationBlock</w:t>
            </w:r>
            <w:r w:rsidRPr="00FA0D37">
              <w:rPr>
                <w:i/>
                <w:noProof/>
                <w:lang w:eastAsia="sv-SE"/>
              </w:rPr>
              <w:t>Sidelink</w:t>
            </w:r>
            <w:r w:rsidRPr="00FA0D37">
              <w:rPr>
                <w:szCs w:val="22"/>
                <w:lang w:eastAsia="sv-SE"/>
              </w:rPr>
              <w:t xml:space="preserve"> field descriptions</w:t>
            </w:r>
          </w:p>
        </w:tc>
      </w:tr>
      <w:tr w:rsidR="005C7FF4" w:rsidRPr="00FA0D37" w14:paraId="0E692B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1B9424" w14:textId="77777777" w:rsidR="00394471" w:rsidRPr="00FA0D37" w:rsidRDefault="00394471" w:rsidP="00964CC4">
            <w:pPr>
              <w:pStyle w:val="TAL"/>
              <w:rPr>
                <w:b/>
                <w:bCs/>
                <w:i/>
                <w:noProof/>
                <w:lang w:eastAsia="en-GB"/>
              </w:rPr>
            </w:pPr>
            <w:r w:rsidRPr="00FA0D37">
              <w:rPr>
                <w:b/>
                <w:bCs/>
                <w:i/>
                <w:noProof/>
                <w:lang w:eastAsia="en-GB"/>
              </w:rPr>
              <w:t>directFrameNumber</w:t>
            </w:r>
          </w:p>
          <w:p w14:paraId="230EEB64" w14:textId="77777777" w:rsidR="00394471" w:rsidRPr="00FA0D37" w:rsidRDefault="00394471" w:rsidP="00964CC4">
            <w:pPr>
              <w:pStyle w:val="TAL"/>
              <w:rPr>
                <w:b/>
                <w:i/>
                <w:szCs w:val="22"/>
                <w:lang w:eastAsia="en-GB"/>
              </w:rPr>
            </w:pPr>
            <w:r w:rsidRPr="00FA0D37">
              <w:rPr>
                <w:noProof/>
                <w:lang w:eastAsia="en-GB"/>
              </w:rPr>
              <w:t>Indicates the frame number in which S-SSB transmitted.</w:t>
            </w:r>
          </w:p>
        </w:tc>
      </w:tr>
      <w:tr w:rsidR="005C7FF4" w:rsidRPr="00FA0D37" w14:paraId="035A13D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3BC74B7" w14:textId="77777777" w:rsidR="00394471" w:rsidRPr="00FA0D37" w:rsidRDefault="00394471" w:rsidP="00964CC4">
            <w:pPr>
              <w:pStyle w:val="TAL"/>
              <w:rPr>
                <w:b/>
                <w:bCs/>
                <w:i/>
                <w:noProof/>
                <w:lang w:eastAsia="en-GB"/>
              </w:rPr>
            </w:pPr>
            <w:r w:rsidRPr="00FA0D37">
              <w:rPr>
                <w:b/>
                <w:bCs/>
                <w:i/>
                <w:noProof/>
                <w:lang w:eastAsia="en-GB"/>
              </w:rPr>
              <w:t>inCoverage</w:t>
            </w:r>
          </w:p>
          <w:p w14:paraId="1FD68286" w14:textId="77777777" w:rsidR="00394471" w:rsidRPr="00FA0D37" w:rsidRDefault="00394471" w:rsidP="00964CC4">
            <w:pPr>
              <w:pStyle w:val="TAL"/>
              <w:rPr>
                <w:bCs/>
                <w:szCs w:val="22"/>
                <w:lang w:eastAsia="en-GB"/>
              </w:rPr>
            </w:pPr>
            <w:r w:rsidRPr="00FA0D37">
              <w:rPr>
                <w:bCs/>
                <w:noProof/>
                <w:lang w:eastAsia="en-GB"/>
              </w:rPr>
              <w:t xml:space="preserve">Value true indicates that the UE transmitting the </w:t>
            </w:r>
            <w:r w:rsidRPr="00FA0D37">
              <w:rPr>
                <w:bCs/>
                <w:i/>
                <w:noProof/>
                <w:lang w:eastAsia="en-GB"/>
              </w:rPr>
              <w:t>MasterInformationBlockSidelink</w:t>
            </w:r>
            <w:r w:rsidRPr="00FA0D37">
              <w:rPr>
                <w:bCs/>
                <w:noProof/>
                <w:lang w:eastAsia="en-GB"/>
              </w:rPr>
              <w:t xml:space="preserve"> is in network coverage</w:t>
            </w:r>
            <w:r w:rsidRPr="00FA0D37">
              <w:rPr>
                <w:rFonts w:cs="Arial"/>
                <w:bCs/>
                <w:noProof/>
                <w:lang w:eastAsia="en-GB"/>
              </w:rPr>
              <w:t>, or UE selects GNSS timing as the synchronization reference source</w:t>
            </w:r>
            <w:r w:rsidRPr="00FA0D37">
              <w:rPr>
                <w:bCs/>
                <w:noProof/>
                <w:lang w:eastAsia="en-GB"/>
              </w:rPr>
              <w:t>.</w:t>
            </w:r>
          </w:p>
        </w:tc>
      </w:tr>
      <w:tr w:rsidR="00394471" w:rsidRPr="00FA0D37" w14:paraId="69F076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B7EBAF" w14:textId="77777777" w:rsidR="00394471" w:rsidRPr="00FA0D37" w:rsidRDefault="00394471" w:rsidP="00964CC4">
            <w:pPr>
              <w:pStyle w:val="TAL"/>
              <w:rPr>
                <w:b/>
                <w:bCs/>
                <w:i/>
                <w:noProof/>
                <w:lang w:eastAsia="en-GB"/>
              </w:rPr>
            </w:pPr>
            <w:r w:rsidRPr="00FA0D37">
              <w:rPr>
                <w:b/>
                <w:bCs/>
                <w:i/>
                <w:noProof/>
                <w:lang w:eastAsia="en-GB"/>
              </w:rPr>
              <w:t>slotIndex</w:t>
            </w:r>
          </w:p>
          <w:p w14:paraId="77D96479" w14:textId="77777777" w:rsidR="00394471" w:rsidRPr="00FA0D37" w:rsidRDefault="00394471" w:rsidP="00964CC4">
            <w:pPr>
              <w:pStyle w:val="TAL"/>
              <w:rPr>
                <w:bCs/>
                <w:noProof/>
                <w:lang w:eastAsia="en-GB"/>
              </w:rPr>
            </w:pPr>
            <w:r w:rsidRPr="00FA0D37">
              <w:rPr>
                <w:bCs/>
                <w:noProof/>
                <w:lang w:eastAsia="en-GB"/>
              </w:rPr>
              <w:t>Indicates the slot index in which S-SSB transmitted.</w:t>
            </w:r>
          </w:p>
        </w:tc>
      </w:tr>
    </w:tbl>
    <w:p w14:paraId="48F4B470" w14:textId="77777777" w:rsidR="00394471" w:rsidRPr="00FA0D37" w:rsidRDefault="00394471" w:rsidP="00394471">
      <w:pPr>
        <w:rPr>
          <w:iCs/>
          <w:lang w:eastAsia="zh-CN"/>
        </w:rPr>
      </w:pPr>
    </w:p>
    <w:p w14:paraId="6EBB01F4" w14:textId="73BF3397" w:rsidR="00394471" w:rsidRPr="00FA0D37" w:rsidRDefault="00394471" w:rsidP="00394471">
      <w:pPr>
        <w:pStyle w:val="4"/>
        <w:rPr>
          <w:rFonts w:eastAsia="MS Mincho"/>
        </w:rPr>
      </w:pPr>
      <w:bookmarkStart w:id="2241" w:name="_Toc60777568"/>
      <w:bookmarkStart w:id="2242" w:name="_Toc146781707"/>
      <w:r w:rsidRPr="00FA0D37">
        <w:rPr>
          <w:rFonts w:eastAsia="MS Mincho"/>
        </w:rPr>
        <w:lastRenderedPageBreak/>
        <w:t>–</w:t>
      </w:r>
      <w:r w:rsidRPr="00FA0D37">
        <w:rPr>
          <w:rFonts w:eastAsia="MS Mincho"/>
        </w:rPr>
        <w:tab/>
      </w:r>
      <w:r w:rsidRPr="00FA0D37">
        <w:rPr>
          <w:rFonts w:eastAsia="MS Mincho"/>
          <w:i/>
          <w:iCs/>
        </w:rPr>
        <w:t>MeasurementReportSidelink</w:t>
      </w:r>
      <w:bookmarkEnd w:id="2241"/>
      <w:bookmarkEnd w:id="2242"/>
    </w:p>
    <w:p w14:paraId="1746E29B" w14:textId="77777777" w:rsidR="00394471" w:rsidRPr="00FA0D37" w:rsidRDefault="00394471" w:rsidP="00394471">
      <w:pPr>
        <w:rPr>
          <w:rFonts w:eastAsia="MS Mincho"/>
        </w:rPr>
      </w:pPr>
      <w:r w:rsidRPr="00FA0D37">
        <w:t xml:space="preserve">The </w:t>
      </w:r>
      <w:r w:rsidRPr="00FA0D37">
        <w:rPr>
          <w:i/>
        </w:rPr>
        <w:t>MeasurementReportSidelink</w:t>
      </w:r>
      <w:r w:rsidRPr="00FA0D37">
        <w:t xml:space="preserve"> message is used for the indication of measurement results of NR sidelink.</w:t>
      </w:r>
    </w:p>
    <w:p w14:paraId="15701C9E" w14:textId="77777777" w:rsidR="00394471" w:rsidRPr="00FA0D37" w:rsidRDefault="00394471" w:rsidP="00394471">
      <w:pPr>
        <w:pStyle w:val="B1"/>
      </w:pPr>
      <w:r w:rsidRPr="00FA0D37">
        <w:t xml:space="preserve">Signalling radio bearer: </w:t>
      </w:r>
      <w:r w:rsidRPr="00FA0D37">
        <w:rPr>
          <w:rFonts w:eastAsia="等线"/>
          <w:lang w:eastAsia="zh-CN"/>
        </w:rPr>
        <w:t>SL-SRB3</w:t>
      </w:r>
    </w:p>
    <w:p w14:paraId="090697BE" w14:textId="77777777" w:rsidR="00394471" w:rsidRPr="00FA0D37" w:rsidRDefault="00394471" w:rsidP="00394471">
      <w:pPr>
        <w:pStyle w:val="B1"/>
      </w:pPr>
      <w:r w:rsidRPr="00FA0D37">
        <w:t>RLC-SAP: AM</w:t>
      </w:r>
    </w:p>
    <w:p w14:paraId="5CF80C4B" w14:textId="77777777" w:rsidR="00394471" w:rsidRPr="00FA0D37" w:rsidRDefault="00394471" w:rsidP="00394471">
      <w:pPr>
        <w:pStyle w:val="B1"/>
      </w:pPr>
      <w:r w:rsidRPr="00FA0D37">
        <w:t>Logical channel: SCCH</w:t>
      </w:r>
    </w:p>
    <w:p w14:paraId="32FC82E5" w14:textId="77777777" w:rsidR="00394471" w:rsidRPr="00FA0D37" w:rsidRDefault="00394471" w:rsidP="00394471">
      <w:pPr>
        <w:pStyle w:val="B1"/>
      </w:pPr>
      <w:r w:rsidRPr="00FA0D37">
        <w:t xml:space="preserve">Direction: UE to </w:t>
      </w:r>
      <w:r w:rsidRPr="00FA0D37">
        <w:rPr>
          <w:lang w:eastAsia="zh-CN"/>
        </w:rPr>
        <w:t>UE</w:t>
      </w:r>
    </w:p>
    <w:p w14:paraId="1C366961" w14:textId="77777777" w:rsidR="00394471" w:rsidRPr="00FA0D37" w:rsidRDefault="00394471" w:rsidP="00394471">
      <w:pPr>
        <w:pStyle w:val="TH"/>
        <w:rPr>
          <w:b w:val="0"/>
        </w:rPr>
      </w:pPr>
      <w:r w:rsidRPr="00FA0D37">
        <w:rPr>
          <w:i/>
          <w:iCs/>
        </w:rPr>
        <w:t>MeasurementReportSidelink</w:t>
      </w:r>
      <w:r w:rsidRPr="00FA0D37">
        <w:t xml:space="preserve"> message</w:t>
      </w:r>
    </w:p>
    <w:p w14:paraId="6E756E13" w14:textId="77777777" w:rsidR="00394471" w:rsidRPr="00FA0D37" w:rsidRDefault="00394471" w:rsidP="00FA0D37">
      <w:pPr>
        <w:pStyle w:val="PL"/>
        <w:rPr>
          <w:color w:val="808080"/>
        </w:rPr>
      </w:pPr>
      <w:r w:rsidRPr="00FA0D37">
        <w:rPr>
          <w:color w:val="808080"/>
        </w:rPr>
        <w:t>-- ASN1START</w:t>
      </w:r>
    </w:p>
    <w:p w14:paraId="2A0CC5D1" w14:textId="77777777" w:rsidR="00394471" w:rsidRPr="00FA0D37" w:rsidRDefault="00394471" w:rsidP="00FA0D37">
      <w:pPr>
        <w:pStyle w:val="PL"/>
        <w:rPr>
          <w:color w:val="808080"/>
        </w:rPr>
      </w:pPr>
      <w:r w:rsidRPr="00FA0D37">
        <w:rPr>
          <w:color w:val="808080"/>
        </w:rPr>
        <w:t>-- TAG-MEASUREMENTREPORTSIDELINK-START</w:t>
      </w:r>
    </w:p>
    <w:p w14:paraId="470DA097" w14:textId="77777777" w:rsidR="00394471" w:rsidRPr="00FA0D37" w:rsidRDefault="00394471" w:rsidP="00FA0D37">
      <w:pPr>
        <w:pStyle w:val="PL"/>
      </w:pPr>
    </w:p>
    <w:p w14:paraId="70D6AD80" w14:textId="77777777" w:rsidR="00394471" w:rsidRPr="00FA0D37" w:rsidRDefault="00394471" w:rsidP="00FA0D37">
      <w:pPr>
        <w:pStyle w:val="PL"/>
      </w:pPr>
      <w:r w:rsidRPr="00FA0D37">
        <w:t xml:space="preserve">MeasurementReportSidelink ::=                   </w:t>
      </w:r>
      <w:r w:rsidRPr="00FA0D37">
        <w:rPr>
          <w:color w:val="993366"/>
        </w:rPr>
        <w:t>SEQUENCE</w:t>
      </w:r>
      <w:r w:rsidRPr="00FA0D37">
        <w:t xml:space="preserve"> {</w:t>
      </w:r>
    </w:p>
    <w:p w14:paraId="76CAEFDF"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62613F43" w14:textId="669F2E49" w:rsidR="00394471" w:rsidRPr="00FA0D37" w:rsidRDefault="00394471" w:rsidP="00FA0D37">
      <w:pPr>
        <w:pStyle w:val="PL"/>
      </w:pPr>
      <w:r w:rsidRPr="00FA0D37">
        <w:t xml:space="preserve">        measurementReportSidelink-r16                   MeasurementReportSidelink</w:t>
      </w:r>
      <w:r w:rsidR="00C12C0B" w:rsidRPr="00FA0D37">
        <w:t>-r16</w:t>
      </w:r>
      <w:r w:rsidRPr="00FA0D37">
        <w:t>-IEs,</w:t>
      </w:r>
    </w:p>
    <w:p w14:paraId="47C4D3EB"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6502AB65" w14:textId="77777777" w:rsidR="00394471" w:rsidRPr="00FA0D37" w:rsidRDefault="00394471" w:rsidP="00FA0D37">
      <w:pPr>
        <w:pStyle w:val="PL"/>
      </w:pPr>
      <w:r w:rsidRPr="00FA0D37">
        <w:t xml:space="preserve">    }</w:t>
      </w:r>
    </w:p>
    <w:p w14:paraId="32763768" w14:textId="77777777" w:rsidR="00394471" w:rsidRPr="00FA0D37" w:rsidRDefault="00394471" w:rsidP="00FA0D37">
      <w:pPr>
        <w:pStyle w:val="PL"/>
      </w:pPr>
      <w:r w:rsidRPr="00FA0D37">
        <w:t>}</w:t>
      </w:r>
    </w:p>
    <w:p w14:paraId="7C3851F7" w14:textId="77777777" w:rsidR="00394471" w:rsidRPr="00FA0D37" w:rsidRDefault="00394471" w:rsidP="00FA0D37">
      <w:pPr>
        <w:pStyle w:val="PL"/>
      </w:pPr>
    </w:p>
    <w:p w14:paraId="17AD71FC" w14:textId="03BFA1DB" w:rsidR="00394471" w:rsidRPr="00FA0D37" w:rsidRDefault="00394471" w:rsidP="00FA0D37">
      <w:pPr>
        <w:pStyle w:val="PL"/>
      </w:pPr>
      <w:r w:rsidRPr="00FA0D37">
        <w:t>MeasurementReportSidelink</w:t>
      </w:r>
      <w:r w:rsidR="00C12C0B" w:rsidRPr="00FA0D37">
        <w:t>-r16</w:t>
      </w:r>
      <w:r w:rsidRPr="00FA0D37">
        <w:t xml:space="preserve">-IEs ::=           </w:t>
      </w:r>
      <w:r w:rsidRPr="00FA0D37">
        <w:rPr>
          <w:color w:val="993366"/>
        </w:rPr>
        <w:t>SEQUENCE</w:t>
      </w:r>
      <w:r w:rsidRPr="00FA0D37">
        <w:t xml:space="preserve"> {</w:t>
      </w:r>
    </w:p>
    <w:p w14:paraId="73FA90C2" w14:textId="77777777" w:rsidR="00394471" w:rsidRPr="00FA0D37" w:rsidRDefault="00394471" w:rsidP="00FA0D37">
      <w:pPr>
        <w:pStyle w:val="PL"/>
      </w:pPr>
      <w:r w:rsidRPr="00FA0D37">
        <w:t xml:space="preserve">    sl-measResults-r16                              SL-MeasResults-r16,</w:t>
      </w:r>
    </w:p>
    <w:p w14:paraId="6E9055DD"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23AF500"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1AD5C244" w14:textId="77777777" w:rsidR="00394471" w:rsidRPr="00FA0D37" w:rsidRDefault="00394471" w:rsidP="00FA0D37">
      <w:pPr>
        <w:pStyle w:val="PL"/>
      </w:pPr>
      <w:r w:rsidRPr="00FA0D37">
        <w:t>}</w:t>
      </w:r>
    </w:p>
    <w:p w14:paraId="158A6633" w14:textId="77777777" w:rsidR="00394471" w:rsidRPr="00FA0D37" w:rsidRDefault="00394471" w:rsidP="00FA0D37">
      <w:pPr>
        <w:pStyle w:val="PL"/>
      </w:pPr>
    </w:p>
    <w:p w14:paraId="797F6E8B" w14:textId="77777777" w:rsidR="00394471" w:rsidRPr="00FA0D37" w:rsidRDefault="00394471" w:rsidP="00FA0D37">
      <w:pPr>
        <w:pStyle w:val="PL"/>
      </w:pPr>
      <w:r w:rsidRPr="00FA0D37">
        <w:t xml:space="preserve">SL-MeasResults-r16 ::=                          </w:t>
      </w:r>
      <w:r w:rsidRPr="00FA0D37">
        <w:rPr>
          <w:color w:val="993366"/>
        </w:rPr>
        <w:t>SEQUENCE</w:t>
      </w:r>
      <w:r w:rsidRPr="00FA0D37">
        <w:t xml:space="preserve"> {</w:t>
      </w:r>
    </w:p>
    <w:p w14:paraId="28C0B74B" w14:textId="77777777" w:rsidR="00394471" w:rsidRPr="00FA0D37" w:rsidRDefault="00394471" w:rsidP="00FA0D37">
      <w:pPr>
        <w:pStyle w:val="PL"/>
      </w:pPr>
      <w:r w:rsidRPr="00FA0D37">
        <w:t xml:space="preserve">    sl-MeasId-r16                                   SL-MeasId-r16,</w:t>
      </w:r>
    </w:p>
    <w:p w14:paraId="04448833" w14:textId="77777777" w:rsidR="00394471" w:rsidRPr="00FA0D37" w:rsidRDefault="00394471" w:rsidP="00FA0D37">
      <w:pPr>
        <w:pStyle w:val="PL"/>
      </w:pPr>
      <w:r w:rsidRPr="00FA0D37">
        <w:t xml:space="preserve">    sl-MeasResult-r16                               SL-MeasResult-r16,</w:t>
      </w:r>
    </w:p>
    <w:p w14:paraId="5429B8BC" w14:textId="77777777" w:rsidR="00394471" w:rsidRPr="00FA0D37" w:rsidRDefault="00394471" w:rsidP="00FA0D37">
      <w:pPr>
        <w:pStyle w:val="PL"/>
      </w:pPr>
      <w:r w:rsidRPr="00FA0D37">
        <w:t xml:space="preserve">    ...</w:t>
      </w:r>
    </w:p>
    <w:p w14:paraId="5FA0E494" w14:textId="77777777" w:rsidR="00394471" w:rsidRPr="00FA0D37" w:rsidRDefault="00394471" w:rsidP="00FA0D37">
      <w:pPr>
        <w:pStyle w:val="PL"/>
      </w:pPr>
      <w:r w:rsidRPr="00FA0D37">
        <w:t>}</w:t>
      </w:r>
    </w:p>
    <w:p w14:paraId="3A6DEB44" w14:textId="77777777" w:rsidR="00394471" w:rsidRPr="00FA0D37" w:rsidRDefault="00394471" w:rsidP="00FA0D37">
      <w:pPr>
        <w:pStyle w:val="PL"/>
      </w:pPr>
    </w:p>
    <w:p w14:paraId="25E75FF4" w14:textId="77777777" w:rsidR="00394471" w:rsidRPr="00FA0D37" w:rsidRDefault="00394471" w:rsidP="00FA0D37">
      <w:pPr>
        <w:pStyle w:val="PL"/>
      </w:pPr>
      <w:r w:rsidRPr="00FA0D37">
        <w:t xml:space="preserve">SL-MeasResult-r16 ::=                           </w:t>
      </w:r>
      <w:r w:rsidRPr="00FA0D37">
        <w:rPr>
          <w:color w:val="993366"/>
        </w:rPr>
        <w:t>SEQUENCE</w:t>
      </w:r>
      <w:r w:rsidRPr="00FA0D37">
        <w:t xml:space="preserve"> {</w:t>
      </w:r>
    </w:p>
    <w:p w14:paraId="3858DBB9" w14:textId="77777777" w:rsidR="00394471" w:rsidRPr="00FA0D37" w:rsidRDefault="00394471" w:rsidP="00FA0D37">
      <w:pPr>
        <w:pStyle w:val="PL"/>
      </w:pPr>
      <w:r w:rsidRPr="00FA0D37">
        <w:t xml:space="preserve">    sl-ResultDMRS-r16                               SL-MeasQuantityResult-r16                                               </w:t>
      </w:r>
      <w:r w:rsidRPr="00FA0D37">
        <w:rPr>
          <w:color w:val="993366"/>
        </w:rPr>
        <w:t>OPTIONAL</w:t>
      </w:r>
      <w:r w:rsidRPr="00FA0D37">
        <w:t>,</w:t>
      </w:r>
    </w:p>
    <w:p w14:paraId="43F21801" w14:textId="77777777" w:rsidR="00394471" w:rsidRPr="00FA0D37" w:rsidRDefault="00394471" w:rsidP="00FA0D37">
      <w:pPr>
        <w:pStyle w:val="PL"/>
      </w:pPr>
      <w:r w:rsidRPr="00FA0D37">
        <w:t xml:space="preserve">    ...</w:t>
      </w:r>
    </w:p>
    <w:p w14:paraId="398FC95D" w14:textId="77777777" w:rsidR="00394471" w:rsidRPr="00FA0D37" w:rsidRDefault="00394471" w:rsidP="00FA0D37">
      <w:pPr>
        <w:pStyle w:val="PL"/>
      </w:pPr>
      <w:r w:rsidRPr="00FA0D37">
        <w:t>}</w:t>
      </w:r>
    </w:p>
    <w:p w14:paraId="5C2CB6F2" w14:textId="77777777" w:rsidR="00394471" w:rsidRPr="00FA0D37" w:rsidRDefault="00394471" w:rsidP="00FA0D37">
      <w:pPr>
        <w:pStyle w:val="PL"/>
      </w:pPr>
    </w:p>
    <w:p w14:paraId="3A734AAA" w14:textId="77777777" w:rsidR="00394471" w:rsidRPr="00FA0D37" w:rsidRDefault="00394471" w:rsidP="00FA0D37">
      <w:pPr>
        <w:pStyle w:val="PL"/>
      </w:pPr>
      <w:r w:rsidRPr="00FA0D37">
        <w:t xml:space="preserve">SL-MeasQuantityResult-r16 ::=                   </w:t>
      </w:r>
      <w:r w:rsidRPr="00FA0D37">
        <w:rPr>
          <w:color w:val="993366"/>
        </w:rPr>
        <w:t>SEQUENCE</w:t>
      </w:r>
      <w:r w:rsidRPr="00FA0D37">
        <w:t xml:space="preserve"> {</w:t>
      </w:r>
    </w:p>
    <w:p w14:paraId="7404330C" w14:textId="77777777" w:rsidR="00394471" w:rsidRPr="00FA0D37" w:rsidRDefault="00394471" w:rsidP="00FA0D37">
      <w:pPr>
        <w:pStyle w:val="PL"/>
      </w:pPr>
      <w:r w:rsidRPr="00FA0D37">
        <w:t xml:space="preserve">    sl-RSRP-r16                                     RSRP-Range                                                              </w:t>
      </w:r>
      <w:r w:rsidRPr="00FA0D37">
        <w:rPr>
          <w:color w:val="993366"/>
        </w:rPr>
        <w:t>OPTIONAL</w:t>
      </w:r>
      <w:r w:rsidRPr="00FA0D37">
        <w:t>,</w:t>
      </w:r>
    </w:p>
    <w:p w14:paraId="602744A6" w14:textId="77777777" w:rsidR="00394471" w:rsidRPr="00FA0D37" w:rsidRDefault="00394471" w:rsidP="00FA0D37">
      <w:pPr>
        <w:pStyle w:val="PL"/>
      </w:pPr>
      <w:r w:rsidRPr="00FA0D37">
        <w:t xml:space="preserve">    ...</w:t>
      </w:r>
    </w:p>
    <w:p w14:paraId="5D8186B8" w14:textId="77777777" w:rsidR="00394471" w:rsidRPr="00FA0D37" w:rsidRDefault="00394471" w:rsidP="00FA0D37">
      <w:pPr>
        <w:pStyle w:val="PL"/>
      </w:pPr>
      <w:r w:rsidRPr="00FA0D37">
        <w:t>}</w:t>
      </w:r>
    </w:p>
    <w:p w14:paraId="4C563BEB" w14:textId="77777777" w:rsidR="005500DB" w:rsidRPr="00FA0D37" w:rsidRDefault="005500DB" w:rsidP="00FA0D37">
      <w:pPr>
        <w:pStyle w:val="PL"/>
      </w:pPr>
      <w:bookmarkStart w:id="2243" w:name="_Hlk103182387"/>
    </w:p>
    <w:p w14:paraId="1B763DCD" w14:textId="6346A808" w:rsidR="005500DB" w:rsidRPr="00FA0D37" w:rsidRDefault="005500DB" w:rsidP="00FA0D37">
      <w:pPr>
        <w:pStyle w:val="PL"/>
      </w:pPr>
      <w:r w:rsidRPr="00FA0D37">
        <w:t>SL-MeasResultListRelay-r17</w:t>
      </w:r>
      <w:bookmarkEnd w:id="2243"/>
      <w:r w:rsidRPr="00FA0D37">
        <w:t xml:space="preserve"> ::=                  </w:t>
      </w:r>
      <w:r w:rsidRPr="00FA0D37">
        <w:rPr>
          <w:color w:val="993366"/>
        </w:rPr>
        <w:t>SEQUENCE</w:t>
      </w:r>
      <w:r w:rsidRPr="00FA0D37">
        <w:t xml:space="preserve"> (</w:t>
      </w:r>
      <w:r w:rsidRPr="00FA0D37">
        <w:rPr>
          <w:color w:val="993366"/>
        </w:rPr>
        <w:t>SIZE</w:t>
      </w:r>
      <w:r w:rsidRPr="00FA0D37">
        <w:t xml:space="preserve"> (1..maxNrofRelayMeas-r17))</w:t>
      </w:r>
      <w:r w:rsidRPr="00FA0D37">
        <w:rPr>
          <w:color w:val="993366"/>
        </w:rPr>
        <w:t xml:space="preserve"> OF</w:t>
      </w:r>
      <w:r w:rsidRPr="00FA0D37">
        <w:t xml:space="preserve"> SL-MeasResultRelay-r17</w:t>
      </w:r>
    </w:p>
    <w:p w14:paraId="222D9ED7" w14:textId="77777777" w:rsidR="005500DB" w:rsidRPr="00FA0D37" w:rsidRDefault="005500DB" w:rsidP="00FA0D37">
      <w:pPr>
        <w:pStyle w:val="PL"/>
      </w:pPr>
    </w:p>
    <w:p w14:paraId="4B336EE1" w14:textId="77777777" w:rsidR="005500DB" w:rsidRPr="00FA0D37" w:rsidRDefault="005500DB" w:rsidP="00FA0D37">
      <w:pPr>
        <w:pStyle w:val="PL"/>
      </w:pPr>
      <w:bookmarkStart w:id="2244" w:name="_Hlk103182407"/>
      <w:r w:rsidRPr="00FA0D37">
        <w:t xml:space="preserve">SL-MeasResultRelay-r17 </w:t>
      </w:r>
      <w:bookmarkEnd w:id="2244"/>
      <w:r w:rsidRPr="00FA0D37">
        <w:t xml:space="preserve">::=                      </w:t>
      </w:r>
      <w:r w:rsidRPr="00FA0D37">
        <w:rPr>
          <w:color w:val="993366"/>
        </w:rPr>
        <w:t>SEQUENCE</w:t>
      </w:r>
      <w:r w:rsidRPr="00FA0D37">
        <w:t xml:space="preserve"> {</w:t>
      </w:r>
    </w:p>
    <w:p w14:paraId="0F31803D" w14:textId="77777777" w:rsidR="005500DB" w:rsidRPr="00FA0D37" w:rsidRDefault="005500DB" w:rsidP="00FA0D37">
      <w:pPr>
        <w:pStyle w:val="PL"/>
      </w:pPr>
      <w:r w:rsidRPr="00FA0D37">
        <w:lastRenderedPageBreak/>
        <w:t xml:space="preserve">    cellIdentity-r17                                CellAccessRelatedInfo,</w:t>
      </w:r>
    </w:p>
    <w:p w14:paraId="7911571C" w14:textId="2BB88EB3" w:rsidR="005500DB" w:rsidRPr="00FA0D37" w:rsidRDefault="005500DB" w:rsidP="00FA0D37">
      <w:pPr>
        <w:pStyle w:val="PL"/>
      </w:pPr>
      <w:r w:rsidRPr="00FA0D37">
        <w:t xml:space="preserve">    sl-RelayUE</w:t>
      </w:r>
      <w:r w:rsidR="0039645C" w:rsidRPr="00FA0D37">
        <w:t>-</w:t>
      </w:r>
      <w:r w:rsidRPr="00FA0D37">
        <w:t>Identity-r17                         SL-SourceIdentity-r17,</w:t>
      </w:r>
    </w:p>
    <w:p w14:paraId="2947BACB" w14:textId="77777777" w:rsidR="005500DB" w:rsidRPr="00FA0D37" w:rsidRDefault="005500DB" w:rsidP="00FA0D37">
      <w:pPr>
        <w:pStyle w:val="PL"/>
      </w:pPr>
      <w:r w:rsidRPr="00FA0D37">
        <w:t xml:space="preserve">    sl-MeasResult-r17                               SL-MeasResult-r16,</w:t>
      </w:r>
    </w:p>
    <w:p w14:paraId="3FD5CDB2" w14:textId="77777777" w:rsidR="005500DB" w:rsidRPr="00FA0D37" w:rsidRDefault="005500DB" w:rsidP="00FA0D37">
      <w:pPr>
        <w:pStyle w:val="PL"/>
      </w:pPr>
      <w:r w:rsidRPr="00FA0D37">
        <w:t xml:space="preserve">    ...</w:t>
      </w:r>
    </w:p>
    <w:p w14:paraId="3F7FF615" w14:textId="56B6CFBD" w:rsidR="005500DB" w:rsidRPr="00FA0D37" w:rsidRDefault="005500DB" w:rsidP="00FA0D37">
      <w:pPr>
        <w:pStyle w:val="PL"/>
      </w:pPr>
      <w:r w:rsidRPr="00FA0D37">
        <w:t>}</w:t>
      </w:r>
    </w:p>
    <w:p w14:paraId="4D1A28B2" w14:textId="77777777" w:rsidR="00394471" w:rsidRPr="00FA0D37" w:rsidRDefault="00394471" w:rsidP="00FA0D37">
      <w:pPr>
        <w:pStyle w:val="PL"/>
      </w:pPr>
    </w:p>
    <w:p w14:paraId="7F98050F" w14:textId="77777777" w:rsidR="00394471" w:rsidRPr="00FA0D37" w:rsidRDefault="00394471" w:rsidP="00FA0D37">
      <w:pPr>
        <w:pStyle w:val="PL"/>
        <w:rPr>
          <w:color w:val="808080"/>
        </w:rPr>
      </w:pPr>
      <w:r w:rsidRPr="00FA0D37">
        <w:rPr>
          <w:color w:val="808080"/>
        </w:rPr>
        <w:t>-- TAG-MEASUREMENTREPORTSIDELINK-STOP</w:t>
      </w:r>
    </w:p>
    <w:p w14:paraId="06070CD6" w14:textId="77777777" w:rsidR="00394471" w:rsidRPr="00FA0D37" w:rsidRDefault="00394471" w:rsidP="00FA0D37">
      <w:pPr>
        <w:pStyle w:val="PL"/>
        <w:rPr>
          <w:color w:val="808080"/>
        </w:rPr>
      </w:pPr>
      <w:r w:rsidRPr="00FA0D37">
        <w:rPr>
          <w:color w:val="808080"/>
        </w:rPr>
        <w:t>-- ASN1STOP</w:t>
      </w:r>
    </w:p>
    <w:p w14:paraId="57840EEF"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EC40C8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3DD293" w14:textId="77777777" w:rsidR="00394471" w:rsidRPr="00FA0D37" w:rsidRDefault="00394471" w:rsidP="00964CC4">
            <w:pPr>
              <w:pStyle w:val="TAH"/>
              <w:rPr>
                <w:b w:val="0"/>
                <w:szCs w:val="22"/>
                <w:lang w:eastAsia="sv-SE"/>
              </w:rPr>
            </w:pPr>
            <w:r w:rsidRPr="00FA0D37">
              <w:rPr>
                <w:i/>
                <w:iCs/>
                <w:lang w:eastAsia="sv-SE"/>
              </w:rPr>
              <w:t>MeasurementReportSidelink</w:t>
            </w:r>
            <w:r w:rsidRPr="00FA0D37">
              <w:rPr>
                <w:szCs w:val="22"/>
                <w:lang w:eastAsia="sv-SE"/>
              </w:rPr>
              <w:t xml:space="preserve"> field descriptions</w:t>
            </w:r>
          </w:p>
        </w:tc>
      </w:tr>
      <w:tr w:rsidR="005C7FF4" w:rsidRPr="00FA0D37" w14:paraId="37D3F7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2213039" w14:textId="77777777" w:rsidR="00394471" w:rsidRPr="00FA0D37" w:rsidRDefault="00394471" w:rsidP="00964CC4">
            <w:pPr>
              <w:pStyle w:val="TAL"/>
              <w:rPr>
                <w:b/>
                <w:bCs/>
                <w:i/>
                <w:iCs/>
                <w:lang w:eastAsia="sv-SE"/>
              </w:rPr>
            </w:pPr>
            <w:r w:rsidRPr="00FA0D37">
              <w:rPr>
                <w:b/>
                <w:bCs/>
                <w:i/>
                <w:iCs/>
                <w:lang w:eastAsia="sv-SE"/>
              </w:rPr>
              <w:t>sl-MeasId</w:t>
            </w:r>
          </w:p>
          <w:p w14:paraId="6E43BDC4" w14:textId="77777777" w:rsidR="00394471" w:rsidRPr="00FA0D37" w:rsidRDefault="00394471" w:rsidP="00964CC4">
            <w:pPr>
              <w:pStyle w:val="TAL"/>
              <w:rPr>
                <w:lang w:eastAsia="sv-SE"/>
              </w:rPr>
            </w:pPr>
            <w:r w:rsidRPr="00FA0D37">
              <w:rPr>
                <w:lang w:eastAsia="sv-SE"/>
              </w:rPr>
              <w:t>Identifies the sidelink measurement identity for which the reporting is being performed.</w:t>
            </w:r>
          </w:p>
        </w:tc>
      </w:tr>
      <w:tr w:rsidR="000830BB" w:rsidRPr="00FA0D37" w14:paraId="65463C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D80C2F" w14:textId="77777777" w:rsidR="00394471" w:rsidRPr="00FA0D37" w:rsidRDefault="00394471" w:rsidP="00964CC4">
            <w:pPr>
              <w:pStyle w:val="TAL"/>
              <w:rPr>
                <w:b/>
                <w:bCs/>
                <w:i/>
                <w:iCs/>
                <w:lang w:eastAsia="sv-SE"/>
              </w:rPr>
            </w:pPr>
            <w:r w:rsidRPr="00FA0D37">
              <w:rPr>
                <w:b/>
                <w:bCs/>
                <w:i/>
                <w:iCs/>
                <w:lang w:eastAsia="sv-SE"/>
              </w:rPr>
              <w:t>sl-MeasResult</w:t>
            </w:r>
          </w:p>
          <w:p w14:paraId="5058446F" w14:textId="77777777" w:rsidR="00394471" w:rsidRPr="00FA0D37" w:rsidRDefault="00394471" w:rsidP="00964CC4">
            <w:pPr>
              <w:pStyle w:val="TAL"/>
              <w:rPr>
                <w:lang w:eastAsia="sv-SE"/>
              </w:rPr>
            </w:pPr>
            <w:r w:rsidRPr="00FA0D37">
              <w:rPr>
                <w:lang w:eastAsia="sv-SE"/>
              </w:rPr>
              <w:t>Measured RSRP results of a unicast destination.</w:t>
            </w:r>
          </w:p>
        </w:tc>
      </w:tr>
    </w:tbl>
    <w:p w14:paraId="528FB776" w14:textId="2D2F6623" w:rsidR="00394471" w:rsidRPr="00FA0D37" w:rsidRDefault="00394471" w:rsidP="00394471"/>
    <w:p w14:paraId="2FBC0A70" w14:textId="427547F4" w:rsidR="00E81DFA" w:rsidRPr="00FA0D37" w:rsidRDefault="00E81DFA" w:rsidP="000830BB">
      <w:pPr>
        <w:pStyle w:val="4"/>
      </w:pPr>
      <w:bookmarkStart w:id="2245" w:name="_Toc146781708"/>
      <w:r w:rsidRPr="00FA0D37">
        <w:t>–</w:t>
      </w:r>
      <w:r w:rsidRPr="00FA0D37">
        <w:tab/>
      </w:r>
      <w:r w:rsidRPr="00FA0D37">
        <w:rPr>
          <w:i/>
          <w:iCs/>
        </w:rPr>
        <w:t>NotificationMessageSidelink</w:t>
      </w:r>
      <w:bookmarkEnd w:id="2245"/>
    </w:p>
    <w:p w14:paraId="5BE9261B" w14:textId="77777777" w:rsidR="00E81DFA" w:rsidRPr="00FA0D37" w:rsidRDefault="00E81DFA" w:rsidP="00E81DFA">
      <w:r w:rsidRPr="00FA0D37">
        <w:t xml:space="preserve">The </w:t>
      </w:r>
      <w:r w:rsidRPr="00FA0D37">
        <w:rPr>
          <w:i/>
        </w:rPr>
        <w:t>NotificationMessageSidelink</w:t>
      </w:r>
      <w:r w:rsidRPr="00FA0D37">
        <w:t xml:space="preserve"> message is used to send notification message from U2N Relay UE to the connected U2N Remote UE.</w:t>
      </w:r>
    </w:p>
    <w:p w14:paraId="1A67B539" w14:textId="77777777" w:rsidR="00E81DFA" w:rsidRPr="00FA0D37" w:rsidRDefault="00E81DFA" w:rsidP="000830BB">
      <w:pPr>
        <w:pStyle w:val="B1"/>
      </w:pPr>
      <w:r w:rsidRPr="00FA0D37">
        <w:t xml:space="preserve">Signalling radio bearer: </w:t>
      </w:r>
      <w:r w:rsidRPr="00FA0D37">
        <w:rPr>
          <w:rFonts w:eastAsia="等线"/>
          <w:lang w:eastAsia="zh-CN"/>
        </w:rPr>
        <w:t>SL-SRB3</w:t>
      </w:r>
    </w:p>
    <w:p w14:paraId="17A01643" w14:textId="77777777" w:rsidR="00E81DFA" w:rsidRPr="00FA0D37" w:rsidRDefault="00E81DFA" w:rsidP="000830BB">
      <w:pPr>
        <w:pStyle w:val="B1"/>
      </w:pPr>
      <w:r w:rsidRPr="00FA0D37">
        <w:t>RLC-SAP: AM</w:t>
      </w:r>
    </w:p>
    <w:p w14:paraId="7382D7E9" w14:textId="77777777" w:rsidR="00E81DFA" w:rsidRPr="00FA0D37" w:rsidRDefault="00E81DFA" w:rsidP="000830BB">
      <w:pPr>
        <w:pStyle w:val="B1"/>
      </w:pPr>
      <w:r w:rsidRPr="00FA0D37">
        <w:t>Logical channel: SCCH</w:t>
      </w:r>
    </w:p>
    <w:p w14:paraId="7DA20219" w14:textId="77777777" w:rsidR="00E81DFA" w:rsidRPr="00FA0D37" w:rsidRDefault="00E81DFA" w:rsidP="000830BB">
      <w:pPr>
        <w:pStyle w:val="B1"/>
      </w:pPr>
      <w:r w:rsidRPr="00FA0D37">
        <w:t>Direction: U2N Relay UE to U2N Remote UE</w:t>
      </w:r>
    </w:p>
    <w:p w14:paraId="4B376E0B" w14:textId="77777777" w:rsidR="00E81DFA" w:rsidRPr="00FA0D37" w:rsidRDefault="00E81DFA" w:rsidP="000830BB">
      <w:pPr>
        <w:pStyle w:val="TH"/>
      </w:pPr>
      <w:r w:rsidRPr="00FA0D37">
        <w:rPr>
          <w:i/>
          <w:iCs/>
        </w:rPr>
        <w:t>NotificationMessageSidelink</w:t>
      </w:r>
      <w:r w:rsidRPr="00FA0D37">
        <w:t xml:space="preserve"> message</w:t>
      </w:r>
    </w:p>
    <w:p w14:paraId="0711F0EF" w14:textId="77777777" w:rsidR="00E81DFA" w:rsidRPr="00FA0D37" w:rsidRDefault="00E81DFA" w:rsidP="00FA0D37">
      <w:pPr>
        <w:pStyle w:val="PL"/>
        <w:rPr>
          <w:color w:val="808080"/>
        </w:rPr>
      </w:pPr>
      <w:r w:rsidRPr="00FA0D37">
        <w:rPr>
          <w:color w:val="808080"/>
        </w:rPr>
        <w:t>-- ASN1START</w:t>
      </w:r>
    </w:p>
    <w:p w14:paraId="23D6E62D" w14:textId="77777777" w:rsidR="00E81DFA" w:rsidRPr="00FA0D37" w:rsidRDefault="00E81DFA" w:rsidP="00FA0D37">
      <w:pPr>
        <w:pStyle w:val="PL"/>
        <w:rPr>
          <w:color w:val="808080"/>
        </w:rPr>
      </w:pPr>
      <w:r w:rsidRPr="00FA0D37">
        <w:rPr>
          <w:color w:val="808080"/>
        </w:rPr>
        <w:t>-- TAG-NOTIFICATIONMESSAGESIDELINK-START</w:t>
      </w:r>
    </w:p>
    <w:p w14:paraId="0649024D" w14:textId="77777777" w:rsidR="00E81DFA" w:rsidRPr="00FA0D37" w:rsidRDefault="00E81DFA" w:rsidP="00FA0D37">
      <w:pPr>
        <w:pStyle w:val="PL"/>
      </w:pPr>
    </w:p>
    <w:p w14:paraId="39E9EF0F" w14:textId="016AF185" w:rsidR="00E81DFA" w:rsidRPr="00FA0D37" w:rsidRDefault="00E81DFA" w:rsidP="00FA0D37">
      <w:pPr>
        <w:pStyle w:val="PL"/>
      </w:pPr>
      <w:r w:rsidRPr="00FA0D37">
        <w:t xml:space="preserve">NotificationMessageSidelink-r17 ::=       </w:t>
      </w:r>
      <w:r w:rsidRPr="00FA0D37">
        <w:rPr>
          <w:color w:val="993366"/>
        </w:rPr>
        <w:t>SEQUENCE</w:t>
      </w:r>
      <w:r w:rsidRPr="00FA0D37">
        <w:t xml:space="preserve"> {</w:t>
      </w:r>
    </w:p>
    <w:p w14:paraId="5E84D6EF" w14:textId="45D95BA7" w:rsidR="00E81DFA" w:rsidRPr="00FA0D37" w:rsidRDefault="00E81DFA" w:rsidP="00FA0D37">
      <w:pPr>
        <w:pStyle w:val="PL"/>
      </w:pPr>
      <w:r w:rsidRPr="00FA0D37">
        <w:t xml:space="preserve">    criticalExtensions                        </w:t>
      </w:r>
      <w:r w:rsidRPr="00FA0D37">
        <w:rPr>
          <w:color w:val="993366"/>
        </w:rPr>
        <w:t>CHOICE</w:t>
      </w:r>
      <w:r w:rsidRPr="00FA0D37">
        <w:t xml:space="preserve"> {</w:t>
      </w:r>
    </w:p>
    <w:p w14:paraId="2936696A" w14:textId="73E908CA" w:rsidR="00E81DFA" w:rsidRPr="00FA0D37" w:rsidRDefault="00E81DFA" w:rsidP="00FA0D37">
      <w:pPr>
        <w:pStyle w:val="PL"/>
      </w:pPr>
      <w:r w:rsidRPr="00FA0D37">
        <w:t xml:space="preserve">        notificationMessageSidelink-r17           NotificationMessageSidelink-r17-IEs,</w:t>
      </w:r>
    </w:p>
    <w:p w14:paraId="2776D223" w14:textId="3C3F2193" w:rsidR="00E81DFA" w:rsidRPr="00FA0D37" w:rsidRDefault="00E81DFA" w:rsidP="00FA0D37">
      <w:pPr>
        <w:pStyle w:val="PL"/>
      </w:pPr>
      <w:r w:rsidRPr="00FA0D37">
        <w:t xml:space="preserve">        criticalExtensionsFuture                  </w:t>
      </w:r>
      <w:r w:rsidRPr="00FA0D37">
        <w:rPr>
          <w:color w:val="993366"/>
        </w:rPr>
        <w:t>SEQUENCE</w:t>
      </w:r>
      <w:r w:rsidRPr="00FA0D37">
        <w:t xml:space="preserve"> {}</w:t>
      </w:r>
    </w:p>
    <w:p w14:paraId="14685F43" w14:textId="77777777" w:rsidR="00E81DFA" w:rsidRPr="00FA0D37" w:rsidRDefault="00E81DFA" w:rsidP="00FA0D37">
      <w:pPr>
        <w:pStyle w:val="PL"/>
      </w:pPr>
      <w:r w:rsidRPr="00FA0D37">
        <w:t xml:space="preserve">    }</w:t>
      </w:r>
    </w:p>
    <w:p w14:paraId="031B38F4" w14:textId="77777777" w:rsidR="00E81DFA" w:rsidRPr="00FA0D37" w:rsidRDefault="00E81DFA" w:rsidP="00FA0D37">
      <w:pPr>
        <w:pStyle w:val="PL"/>
      </w:pPr>
      <w:r w:rsidRPr="00FA0D37">
        <w:t>}</w:t>
      </w:r>
    </w:p>
    <w:p w14:paraId="4664912D" w14:textId="77777777" w:rsidR="00E81DFA" w:rsidRPr="00FA0D37" w:rsidRDefault="00E81DFA" w:rsidP="00FA0D37">
      <w:pPr>
        <w:pStyle w:val="PL"/>
      </w:pPr>
    </w:p>
    <w:p w14:paraId="1B224F75" w14:textId="16873C70" w:rsidR="00E81DFA" w:rsidRPr="00FA0D37" w:rsidRDefault="00E81DFA" w:rsidP="00FA0D37">
      <w:pPr>
        <w:pStyle w:val="PL"/>
      </w:pPr>
      <w:r w:rsidRPr="00FA0D37">
        <w:t xml:space="preserve">NotificationMessageSidelink-r17-IEs ::=   </w:t>
      </w:r>
      <w:r w:rsidRPr="00FA0D37">
        <w:rPr>
          <w:color w:val="993366"/>
        </w:rPr>
        <w:t>SEQUENCE</w:t>
      </w:r>
      <w:r w:rsidRPr="00FA0D37">
        <w:t xml:space="preserve"> {</w:t>
      </w:r>
    </w:p>
    <w:p w14:paraId="0E4EF966" w14:textId="2590A4BB" w:rsidR="00E81DFA" w:rsidRPr="00FA0D37" w:rsidRDefault="00E81DFA" w:rsidP="00FA0D37">
      <w:pPr>
        <w:pStyle w:val="PL"/>
      </w:pPr>
      <w:r w:rsidRPr="00FA0D37">
        <w:t xml:space="preserve">    indicationType-r17                        </w:t>
      </w:r>
      <w:r w:rsidRPr="00FA0D37">
        <w:rPr>
          <w:color w:val="993366"/>
        </w:rPr>
        <w:t>ENUMERATED</w:t>
      </w:r>
      <w:r w:rsidRPr="00FA0D37">
        <w:t xml:space="preserve"> {</w:t>
      </w:r>
    </w:p>
    <w:p w14:paraId="06C272E2" w14:textId="0AD8D647" w:rsidR="00E81DFA" w:rsidRPr="00FA0D37" w:rsidRDefault="00E81DFA" w:rsidP="00FA0D37">
      <w:pPr>
        <w:pStyle w:val="PL"/>
      </w:pPr>
      <w:r w:rsidRPr="00FA0D37">
        <w:t xml:space="preserve">                                                  relayUE-Uu</w:t>
      </w:r>
      <w:r w:rsidR="00FA35A8" w:rsidRPr="00FA0D37">
        <w:t>-</w:t>
      </w:r>
      <w:r w:rsidRPr="00FA0D37">
        <w:t>RLF, relayUE-HO, relayUE-CellReselection,</w:t>
      </w:r>
    </w:p>
    <w:p w14:paraId="4FBE9EF1" w14:textId="3BA10995" w:rsidR="00E81DFA" w:rsidRPr="00FA0D37" w:rsidRDefault="00E81DFA" w:rsidP="00FA0D37">
      <w:pPr>
        <w:pStyle w:val="PL"/>
      </w:pPr>
      <w:r w:rsidRPr="00FA0D37">
        <w:t xml:space="preserve">                                                  relayUE-Uu</w:t>
      </w:r>
      <w:r w:rsidR="00FA35A8" w:rsidRPr="00FA0D37">
        <w:t>-</w:t>
      </w:r>
      <w:r w:rsidRPr="00FA0D37">
        <w:t>RRC</w:t>
      </w:r>
      <w:r w:rsidR="00FA35A8" w:rsidRPr="00FA0D37">
        <w:t>-</w:t>
      </w:r>
      <w:r w:rsidRPr="00FA0D37">
        <w:t>Failure</w:t>
      </w:r>
    </w:p>
    <w:p w14:paraId="6CBDFDBF" w14:textId="64D01072" w:rsidR="00E81DFA" w:rsidRPr="00FA0D37" w:rsidRDefault="00E81DFA" w:rsidP="00FA0D37">
      <w:pPr>
        <w:pStyle w:val="PL"/>
        <w:rPr>
          <w:color w:val="808080"/>
        </w:rPr>
      </w:pPr>
      <w:r w:rsidRPr="00FA0D37">
        <w:t xml:space="preserve">                                              }                                     </w:t>
      </w:r>
      <w:r w:rsidRPr="00FA0D37">
        <w:rPr>
          <w:color w:val="993366"/>
        </w:rPr>
        <w:t>OPTIONAL</w:t>
      </w:r>
      <w:r w:rsidRPr="00FA0D37">
        <w:t>,</w:t>
      </w:r>
      <w:r w:rsidR="00FA35A8" w:rsidRPr="00FA0D37">
        <w:t xml:space="preserve">  </w:t>
      </w:r>
      <w:r w:rsidR="00FA35A8" w:rsidRPr="00FA0D37">
        <w:rPr>
          <w:color w:val="808080"/>
        </w:rPr>
        <w:t>-- Need N</w:t>
      </w:r>
    </w:p>
    <w:p w14:paraId="51BFAFD0" w14:textId="77777777" w:rsidR="00511FD3" w:rsidRPr="00FA0D37" w:rsidRDefault="00511FD3"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4FBC8AB0" w14:textId="5544F6DF" w:rsidR="00E81DFA" w:rsidRPr="00FA0D37" w:rsidRDefault="00E81DFA" w:rsidP="00FA0D37">
      <w:pPr>
        <w:pStyle w:val="PL"/>
      </w:pPr>
      <w:r w:rsidRPr="00FA0D37">
        <w:lastRenderedPageBreak/>
        <w:t xml:space="preserve">    nonCriticalExtension                      </w:t>
      </w:r>
      <w:r w:rsidRPr="00FA0D37">
        <w:rPr>
          <w:color w:val="993366"/>
        </w:rPr>
        <w:t>SEQUENCE</w:t>
      </w:r>
      <w:r w:rsidRPr="00FA0D37">
        <w:t xml:space="preserve"> {}                           </w:t>
      </w:r>
      <w:r w:rsidRPr="00FA0D37">
        <w:rPr>
          <w:color w:val="993366"/>
        </w:rPr>
        <w:t>OPTIONAL</w:t>
      </w:r>
    </w:p>
    <w:p w14:paraId="0F2156FC" w14:textId="77777777" w:rsidR="00E81DFA" w:rsidRPr="00FA0D37" w:rsidRDefault="00E81DFA" w:rsidP="00FA0D37">
      <w:pPr>
        <w:pStyle w:val="PL"/>
      </w:pPr>
      <w:r w:rsidRPr="00FA0D37">
        <w:t>}</w:t>
      </w:r>
    </w:p>
    <w:p w14:paraId="0D12BB3F" w14:textId="77777777" w:rsidR="00E81DFA" w:rsidRPr="00FA0D37" w:rsidRDefault="00E81DFA" w:rsidP="00FA0D37">
      <w:pPr>
        <w:pStyle w:val="PL"/>
      </w:pPr>
    </w:p>
    <w:p w14:paraId="42A7758C" w14:textId="77777777" w:rsidR="00E81DFA" w:rsidRPr="00FA0D37" w:rsidRDefault="00E81DFA" w:rsidP="00FA0D37">
      <w:pPr>
        <w:pStyle w:val="PL"/>
        <w:rPr>
          <w:color w:val="808080"/>
        </w:rPr>
      </w:pPr>
      <w:r w:rsidRPr="00FA0D37">
        <w:rPr>
          <w:color w:val="808080"/>
        </w:rPr>
        <w:t>-- TAG-NOTIFICATIONMESSAGESIDELINK -STOP</w:t>
      </w:r>
    </w:p>
    <w:p w14:paraId="7F0971BA" w14:textId="57787182" w:rsidR="00E81DFA" w:rsidRPr="00FA0D37" w:rsidRDefault="00E81DFA" w:rsidP="00FA0D37">
      <w:pPr>
        <w:pStyle w:val="PL"/>
        <w:rPr>
          <w:color w:val="808080"/>
        </w:rPr>
      </w:pPr>
      <w:r w:rsidRPr="00FA0D37">
        <w:rPr>
          <w:color w:val="808080"/>
        </w:rPr>
        <w:t>-- ASN1STOP</w:t>
      </w:r>
    </w:p>
    <w:p w14:paraId="0E6E122D" w14:textId="504BA1F6" w:rsidR="00E81DFA" w:rsidRPr="00FA0D37" w:rsidRDefault="00E81DFA" w:rsidP="00394471"/>
    <w:p w14:paraId="2430C254" w14:textId="76B54102" w:rsidR="00E81DFA" w:rsidRPr="00FA0D37" w:rsidRDefault="00E81DFA" w:rsidP="000830BB">
      <w:pPr>
        <w:pStyle w:val="4"/>
      </w:pPr>
      <w:bookmarkStart w:id="2246" w:name="_Toc146781709"/>
      <w:r w:rsidRPr="00FA0D37">
        <w:t>–</w:t>
      </w:r>
      <w:r w:rsidRPr="00FA0D37">
        <w:tab/>
      </w:r>
      <w:r w:rsidRPr="00FA0D37">
        <w:rPr>
          <w:i/>
          <w:iCs/>
        </w:rPr>
        <w:t>RemoteUEInformationSidelink</w:t>
      </w:r>
      <w:bookmarkEnd w:id="2246"/>
    </w:p>
    <w:p w14:paraId="7D9BDD3D" w14:textId="37802824" w:rsidR="00E81DFA" w:rsidRPr="00FA0D37" w:rsidRDefault="00E81DFA" w:rsidP="00E81DFA">
      <w:r w:rsidRPr="00FA0D37">
        <w:t xml:space="preserve">The </w:t>
      </w:r>
      <w:r w:rsidRPr="00FA0D37">
        <w:rPr>
          <w:i/>
        </w:rPr>
        <w:t>RemoteUEInformationSidelink</w:t>
      </w:r>
      <w:r w:rsidRPr="00FA0D37">
        <w:t xml:space="preserve"> message is used to request </w:t>
      </w:r>
      <w:r w:rsidRPr="00FA0D37">
        <w:rPr>
          <w:lang w:eastAsia="zh-CN"/>
        </w:rPr>
        <w:t xml:space="preserve">SIB(s) or provide paging related information as specified in clause </w:t>
      </w:r>
      <w:r w:rsidR="003050BB" w:rsidRPr="00FA0D37">
        <w:t>5.8.9.8</w:t>
      </w:r>
      <w:r w:rsidRPr="00FA0D37">
        <w:t>.1.</w:t>
      </w:r>
    </w:p>
    <w:p w14:paraId="5F836D5C" w14:textId="77777777" w:rsidR="00E81DFA" w:rsidRPr="00FA0D37" w:rsidRDefault="00E81DFA" w:rsidP="000830BB">
      <w:pPr>
        <w:pStyle w:val="B1"/>
      </w:pPr>
      <w:r w:rsidRPr="00FA0D37">
        <w:t xml:space="preserve">Signalling radio bearer: </w:t>
      </w:r>
      <w:r w:rsidRPr="00FA0D37">
        <w:rPr>
          <w:rFonts w:eastAsia="等线"/>
          <w:lang w:eastAsia="zh-CN"/>
        </w:rPr>
        <w:t>SL-SRB3</w:t>
      </w:r>
    </w:p>
    <w:p w14:paraId="50075A88" w14:textId="77777777" w:rsidR="00E81DFA" w:rsidRPr="00FA0D37" w:rsidRDefault="00E81DFA" w:rsidP="000830BB">
      <w:pPr>
        <w:pStyle w:val="B1"/>
      </w:pPr>
      <w:r w:rsidRPr="00FA0D37">
        <w:t>RLC-SAP: AM</w:t>
      </w:r>
    </w:p>
    <w:p w14:paraId="4528F3C4" w14:textId="77777777" w:rsidR="00E81DFA" w:rsidRPr="00FA0D37" w:rsidRDefault="00E81DFA" w:rsidP="000830BB">
      <w:pPr>
        <w:pStyle w:val="B1"/>
      </w:pPr>
      <w:r w:rsidRPr="00FA0D37">
        <w:t>Logical channel: SCCH</w:t>
      </w:r>
    </w:p>
    <w:p w14:paraId="4F1C704E" w14:textId="77777777" w:rsidR="00E81DFA" w:rsidRPr="00FA0D37" w:rsidRDefault="00E81DFA" w:rsidP="000830BB">
      <w:pPr>
        <w:pStyle w:val="B1"/>
      </w:pPr>
      <w:r w:rsidRPr="00FA0D37">
        <w:t>Direction: L2 U2N Remote UE to L2 U2N Relay UE</w:t>
      </w:r>
    </w:p>
    <w:p w14:paraId="110D52D4" w14:textId="77777777" w:rsidR="00E81DFA" w:rsidRPr="00FA0D37" w:rsidRDefault="00E81DFA" w:rsidP="000830BB">
      <w:pPr>
        <w:pStyle w:val="TH"/>
      </w:pPr>
      <w:r w:rsidRPr="00FA0D37">
        <w:rPr>
          <w:i/>
          <w:iCs/>
        </w:rPr>
        <w:t>RemoteUEInformationSidelink</w:t>
      </w:r>
      <w:r w:rsidRPr="00FA0D37">
        <w:t xml:space="preserve"> message</w:t>
      </w:r>
    </w:p>
    <w:p w14:paraId="6B27793A" w14:textId="77777777" w:rsidR="00E81DFA" w:rsidRPr="00FA0D37" w:rsidRDefault="00E81DFA" w:rsidP="00FA0D37">
      <w:pPr>
        <w:pStyle w:val="PL"/>
        <w:rPr>
          <w:color w:val="808080"/>
        </w:rPr>
      </w:pPr>
      <w:r w:rsidRPr="00FA0D37">
        <w:rPr>
          <w:color w:val="808080"/>
        </w:rPr>
        <w:t>-- ASN1START</w:t>
      </w:r>
    </w:p>
    <w:p w14:paraId="50F2571E" w14:textId="77777777" w:rsidR="00E81DFA" w:rsidRPr="00FA0D37" w:rsidRDefault="00E81DFA" w:rsidP="00FA0D37">
      <w:pPr>
        <w:pStyle w:val="PL"/>
        <w:rPr>
          <w:color w:val="808080"/>
        </w:rPr>
      </w:pPr>
      <w:r w:rsidRPr="00FA0D37">
        <w:rPr>
          <w:color w:val="808080"/>
        </w:rPr>
        <w:t>-- TAG-REMOTEUEINFORMATIONSIDELINK-START</w:t>
      </w:r>
    </w:p>
    <w:p w14:paraId="7C0504F8" w14:textId="77777777" w:rsidR="00E81DFA" w:rsidRPr="00FA0D37" w:rsidRDefault="00E81DFA" w:rsidP="00FA0D37">
      <w:pPr>
        <w:pStyle w:val="PL"/>
      </w:pPr>
    </w:p>
    <w:p w14:paraId="679C8D96" w14:textId="77777777" w:rsidR="00E81DFA" w:rsidRPr="00FA0D37" w:rsidRDefault="00E81DFA" w:rsidP="00FA0D37">
      <w:pPr>
        <w:pStyle w:val="PL"/>
      </w:pPr>
      <w:r w:rsidRPr="00FA0D37">
        <w:t xml:space="preserve">RemoteUEInformationSidelink-r17 ::=           </w:t>
      </w:r>
      <w:r w:rsidRPr="00FA0D37">
        <w:rPr>
          <w:color w:val="993366"/>
        </w:rPr>
        <w:t>SEQUENCE</w:t>
      </w:r>
      <w:r w:rsidRPr="00FA0D37">
        <w:t xml:space="preserve"> {</w:t>
      </w:r>
    </w:p>
    <w:p w14:paraId="7BF0981E" w14:textId="7693FD3E" w:rsidR="00E81DFA" w:rsidRPr="00FA0D37" w:rsidRDefault="00E81DFA" w:rsidP="00FA0D37">
      <w:pPr>
        <w:pStyle w:val="PL"/>
      </w:pPr>
      <w:r w:rsidRPr="00FA0D37">
        <w:t xml:space="preserve">    criticalExtensions                            </w:t>
      </w:r>
      <w:r w:rsidRPr="00FA0D37">
        <w:rPr>
          <w:color w:val="993366"/>
        </w:rPr>
        <w:t>CHOICE</w:t>
      </w:r>
      <w:r w:rsidRPr="00FA0D37">
        <w:t xml:space="preserve"> {</w:t>
      </w:r>
    </w:p>
    <w:p w14:paraId="5808B4ED" w14:textId="2BF95DEA" w:rsidR="00E81DFA" w:rsidRPr="00FA0D37" w:rsidRDefault="00E81DFA" w:rsidP="00FA0D37">
      <w:pPr>
        <w:pStyle w:val="PL"/>
      </w:pPr>
      <w:r w:rsidRPr="00FA0D37">
        <w:t xml:space="preserve">        remote</w:t>
      </w:r>
      <w:r w:rsidR="00FA35A8" w:rsidRPr="00FA0D37">
        <w:t>UE</w:t>
      </w:r>
      <w:r w:rsidRPr="00FA0D37">
        <w:t>InformationSidelink-r17               RemoteUEInformationSidelink-r17-IEs,</w:t>
      </w:r>
    </w:p>
    <w:p w14:paraId="6111D604" w14:textId="216D220A" w:rsidR="00E81DFA" w:rsidRPr="00FA0D37" w:rsidRDefault="00E81DFA" w:rsidP="00FA0D37">
      <w:pPr>
        <w:pStyle w:val="PL"/>
      </w:pPr>
      <w:r w:rsidRPr="00FA0D37">
        <w:t xml:space="preserve">        criticalExtensionsFuture                      </w:t>
      </w:r>
      <w:r w:rsidRPr="00FA0D37">
        <w:rPr>
          <w:color w:val="993366"/>
        </w:rPr>
        <w:t>SEQUENCE</w:t>
      </w:r>
      <w:r w:rsidRPr="00FA0D37">
        <w:t xml:space="preserve"> {}</w:t>
      </w:r>
    </w:p>
    <w:p w14:paraId="044C4334" w14:textId="77777777" w:rsidR="00E81DFA" w:rsidRPr="00FA0D37" w:rsidRDefault="00E81DFA" w:rsidP="00FA0D37">
      <w:pPr>
        <w:pStyle w:val="PL"/>
      </w:pPr>
      <w:r w:rsidRPr="00FA0D37">
        <w:t xml:space="preserve">    }</w:t>
      </w:r>
    </w:p>
    <w:p w14:paraId="7CBADD01" w14:textId="77777777" w:rsidR="00E81DFA" w:rsidRPr="00FA0D37" w:rsidRDefault="00E81DFA" w:rsidP="00FA0D37">
      <w:pPr>
        <w:pStyle w:val="PL"/>
      </w:pPr>
      <w:r w:rsidRPr="00FA0D37">
        <w:t>}</w:t>
      </w:r>
    </w:p>
    <w:p w14:paraId="27BD7BA1" w14:textId="77777777" w:rsidR="00E81DFA" w:rsidRPr="00FA0D37" w:rsidRDefault="00E81DFA" w:rsidP="00FA0D37">
      <w:pPr>
        <w:pStyle w:val="PL"/>
      </w:pPr>
    </w:p>
    <w:p w14:paraId="2B3CAA87" w14:textId="77777777" w:rsidR="00E81DFA" w:rsidRPr="00FA0D37" w:rsidRDefault="00E81DFA" w:rsidP="00FA0D37">
      <w:pPr>
        <w:pStyle w:val="PL"/>
      </w:pPr>
      <w:r w:rsidRPr="00FA0D37">
        <w:t xml:space="preserve">RemoteUEInformationSidelink-r17-IEs ::=       </w:t>
      </w:r>
      <w:r w:rsidRPr="00FA0D37">
        <w:rPr>
          <w:color w:val="993366"/>
        </w:rPr>
        <w:t>SEQUENCE</w:t>
      </w:r>
      <w:r w:rsidRPr="00FA0D37">
        <w:t xml:space="preserve"> {</w:t>
      </w:r>
    </w:p>
    <w:p w14:paraId="5166CB1E" w14:textId="38B08C7B" w:rsidR="00E81DFA" w:rsidRPr="00FA0D37" w:rsidRDefault="00E81DFA" w:rsidP="00FA0D37">
      <w:pPr>
        <w:pStyle w:val="PL"/>
        <w:rPr>
          <w:color w:val="808080"/>
        </w:rPr>
      </w:pPr>
      <w:r w:rsidRPr="00FA0D37">
        <w:t xml:space="preserve">    sl-RequestedSI</w:t>
      </w:r>
      <w:r w:rsidR="00FA35A8" w:rsidRPr="00FA0D37">
        <w:t>B</w:t>
      </w:r>
      <w:r w:rsidRPr="00FA0D37">
        <w:t>-List-r17                     SetupRelease { SL-RequestedSI</w:t>
      </w:r>
      <w:r w:rsidR="00FA35A8" w:rsidRPr="00FA0D37">
        <w:t>B</w:t>
      </w:r>
      <w:r w:rsidRPr="00FA0D37">
        <w:t xml:space="preserve">-List-r17}          </w:t>
      </w:r>
      <w:r w:rsidRPr="00FA0D37">
        <w:rPr>
          <w:color w:val="993366"/>
        </w:rPr>
        <w:t>OPTIONAL</w:t>
      </w:r>
      <w:r w:rsidRPr="00FA0D37">
        <w:t xml:space="preserve">, </w:t>
      </w:r>
      <w:r w:rsidRPr="00FA0D37">
        <w:rPr>
          <w:color w:val="808080"/>
        </w:rPr>
        <w:t>-- Need M</w:t>
      </w:r>
    </w:p>
    <w:p w14:paraId="6F8B2213" w14:textId="58D829D2" w:rsidR="00E81DFA" w:rsidRPr="00FA0D37" w:rsidRDefault="00E81DFA" w:rsidP="00FA0D37">
      <w:pPr>
        <w:pStyle w:val="PL"/>
        <w:rPr>
          <w:color w:val="808080"/>
        </w:rPr>
      </w:pPr>
      <w:r w:rsidRPr="00FA0D37">
        <w:t xml:space="preserve">    sl-PagingInfo-RemoteUE-</w:t>
      </w:r>
      <w:r w:rsidR="0050478A" w:rsidRPr="00FA0D37">
        <w:t>r</w:t>
      </w:r>
      <w:r w:rsidRPr="00FA0D37">
        <w:t>17                    SetupRelease { SL-PagingInfo-RemoteUE-</w:t>
      </w:r>
      <w:r w:rsidR="0050478A" w:rsidRPr="00FA0D37">
        <w:t>r</w:t>
      </w:r>
      <w:r w:rsidRPr="00FA0D37">
        <w:t xml:space="preserve">17}         </w:t>
      </w:r>
      <w:r w:rsidRPr="00FA0D37">
        <w:rPr>
          <w:color w:val="993366"/>
        </w:rPr>
        <w:t>OPTIONAL</w:t>
      </w:r>
      <w:r w:rsidRPr="00FA0D37">
        <w:t xml:space="preserve">, </w:t>
      </w:r>
      <w:r w:rsidRPr="00FA0D37">
        <w:rPr>
          <w:color w:val="808080"/>
        </w:rPr>
        <w:t>-- Need M</w:t>
      </w:r>
    </w:p>
    <w:p w14:paraId="47A72D7C" w14:textId="67EA2261" w:rsidR="00E81DFA" w:rsidRPr="00FA0D37" w:rsidRDefault="00E81DFA"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7388CE2D" w14:textId="309B22FB" w:rsidR="00E81DFA" w:rsidRPr="00FA0D37" w:rsidRDefault="00E81DFA"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625A9646" w14:textId="77777777" w:rsidR="00E81DFA" w:rsidRPr="00FA0D37" w:rsidRDefault="00E81DFA" w:rsidP="00FA0D37">
      <w:pPr>
        <w:pStyle w:val="PL"/>
      </w:pPr>
      <w:r w:rsidRPr="00FA0D37">
        <w:t>}</w:t>
      </w:r>
    </w:p>
    <w:p w14:paraId="4843D412" w14:textId="77777777" w:rsidR="00E81DFA" w:rsidRPr="00FA0D37" w:rsidRDefault="00E81DFA" w:rsidP="00FA0D37">
      <w:pPr>
        <w:pStyle w:val="PL"/>
      </w:pPr>
    </w:p>
    <w:p w14:paraId="6D2B8BCE" w14:textId="512D1534" w:rsidR="00E81DFA" w:rsidRPr="00FA0D37" w:rsidRDefault="00E81DFA" w:rsidP="00FA0D37">
      <w:pPr>
        <w:pStyle w:val="PL"/>
      </w:pPr>
      <w:r w:rsidRPr="00FA0D37">
        <w:t>SL-RequestedSI</w:t>
      </w:r>
      <w:r w:rsidR="00FA35A8" w:rsidRPr="00FA0D37">
        <w:t>B</w:t>
      </w:r>
      <w:r w:rsidRPr="00FA0D37">
        <w:t xml:space="preserve">-List-r17 ::=                 </w:t>
      </w:r>
      <w:r w:rsidR="00FA35A8" w:rsidRPr="00FA0D37">
        <w:rPr>
          <w:color w:val="993366"/>
        </w:rPr>
        <w:t>SEQUENCE</w:t>
      </w:r>
      <w:r w:rsidRPr="00FA0D37">
        <w:t xml:space="preserve"> (</w:t>
      </w:r>
      <w:r w:rsidRPr="00FA0D37">
        <w:rPr>
          <w:color w:val="993366"/>
        </w:rPr>
        <w:t>SIZE</w:t>
      </w:r>
      <w:r w:rsidRPr="00FA0D37">
        <w:t xml:space="preserve"> (maxSI</w:t>
      </w:r>
      <w:r w:rsidR="00FA35A8" w:rsidRPr="00FA0D37">
        <w:t>B</w:t>
      </w:r>
      <w:r w:rsidRPr="00FA0D37">
        <w:t>-MessagePlus1</w:t>
      </w:r>
      <w:r w:rsidR="0048695E" w:rsidRPr="00FA0D37">
        <w:t>-r17</w:t>
      </w:r>
      <w:r w:rsidRPr="00FA0D37">
        <w:t>))</w:t>
      </w:r>
      <w:r w:rsidR="00FA35A8" w:rsidRPr="00FA0D37">
        <w:rPr>
          <w:color w:val="993366"/>
        </w:rPr>
        <w:t xml:space="preserve"> OF</w:t>
      </w:r>
      <w:r w:rsidR="00FA35A8" w:rsidRPr="00FA0D37">
        <w:t xml:space="preserve"> SL-SIB-ReqInfo-r17</w:t>
      </w:r>
    </w:p>
    <w:p w14:paraId="3A9F52CD" w14:textId="77777777" w:rsidR="00E81DFA" w:rsidRPr="00FA0D37" w:rsidRDefault="00E81DFA" w:rsidP="00FA0D37">
      <w:pPr>
        <w:pStyle w:val="PL"/>
      </w:pPr>
    </w:p>
    <w:p w14:paraId="0D384AC8" w14:textId="7C6069A6" w:rsidR="00E81DFA" w:rsidRPr="00FA0D37" w:rsidRDefault="00E81DFA" w:rsidP="00FA0D37">
      <w:pPr>
        <w:pStyle w:val="PL"/>
      </w:pPr>
      <w:r w:rsidRPr="00FA0D37">
        <w:t>SL-PagingInfo-RemoteUE-</w:t>
      </w:r>
      <w:r w:rsidR="00533204" w:rsidRPr="00FA0D37">
        <w:t>r</w:t>
      </w:r>
      <w:r w:rsidRPr="00FA0D37">
        <w:t>17 ::</w:t>
      </w:r>
      <w:r w:rsidR="0048695E" w:rsidRPr="00FA0D37">
        <w:t>=</w:t>
      </w:r>
      <w:r w:rsidRPr="00FA0D37">
        <w:t xml:space="preserve">                </w:t>
      </w:r>
      <w:r w:rsidRPr="00FA0D37">
        <w:rPr>
          <w:color w:val="993366"/>
        </w:rPr>
        <w:t>SEQUENCE</w:t>
      </w:r>
      <w:r w:rsidRPr="00FA0D37">
        <w:t xml:space="preserve"> {</w:t>
      </w:r>
    </w:p>
    <w:p w14:paraId="439998FF" w14:textId="34686891" w:rsidR="00E81DFA" w:rsidRPr="00FA0D37" w:rsidRDefault="00E81DFA" w:rsidP="00FA0D37">
      <w:pPr>
        <w:pStyle w:val="PL"/>
      </w:pPr>
      <w:r w:rsidRPr="00FA0D37">
        <w:t xml:space="preserve">    sl-PagingIdentityRemoteUE-r17                </w:t>
      </w:r>
      <w:r w:rsidR="00FA35A8" w:rsidRPr="00FA0D37">
        <w:t xml:space="preserve"> </w:t>
      </w:r>
      <w:r w:rsidRPr="00FA0D37">
        <w:t>SL-PagingIdentityRemoteUE-r17,</w:t>
      </w:r>
    </w:p>
    <w:p w14:paraId="768F4D45" w14:textId="24804870" w:rsidR="00E81DFA" w:rsidRPr="00FA0D37" w:rsidRDefault="00E81DFA" w:rsidP="00FA0D37">
      <w:pPr>
        <w:pStyle w:val="PL"/>
        <w:rPr>
          <w:color w:val="808080"/>
        </w:rPr>
      </w:pPr>
      <w:r w:rsidRPr="00FA0D37">
        <w:t xml:space="preserve">    sl-PagingCycleRemoteUE-r17                   </w:t>
      </w:r>
      <w:r w:rsidR="00307063" w:rsidRPr="00FA0D37">
        <w:t xml:space="preserve"> </w:t>
      </w:r>
      <w:r w:rsidRPr="00FA0D37">
        <w:t xml:space="preserve">PagingCycle                                        </w:t>
      </w:r>
      <w:r w:rsidRPr="00FA0D37">
        <w:rPr>
          <w:color w:val="993366"/>
        </w:rPr>
        <w:t>OPTIONAL</w:t>
      </w:r>
      <w:r w:rsidRPr="00FA0D37">
        <w:t xml:space="preserve">  </w:t>
      </w:r>
      <w:r w:rsidRPr="00FA0D37">
        <w:rPr>
          <w:color w:val="808080"/>
        </w:rPr>
        <w:t>-- Need M</w:t>
      </w:r>
    </w:p>
    <w:p w14:paraId="729439B6" w14:textId="77777777" w:rsidR="00E81DFA" w:rsidRPr="00FA0D37" w:rsidRDefault="00E81DFA" w:rsidP="00FA0D37">
      <w:pPr>
        <w:pStyle w:val="PL"/>
      </w:pPr>
      <w:r w:rsidRPr="00FA0D37">
        <w:t>}</w:t>
      </w:r>
    </w:p>
    <w:p w14:paraId="0F37ACE6" w14:textId="77777777" w:rsidR="00307063" w:rsidRPr="00FA0D37" w:rsidRDefault="00307063" w:rsidP="00FA0D37">
      <w:pPr>
        <w:pStyle w:val="PL"/>
      </w:pPr>
    </w:p>
    <w:p w14:paraId="65F09D70" w14:textId="77777777" w:rsidR="00307063" w:rsidRPr="00FA0D37" w:rsidRDefault="00307063" w:rsidP="00FA0D37">
      <w:pPr>
        <w:pStyle w:val="PL"/>
      </w:pPr>
      <w:r w:rsidRPr="00FA0D37">
        <w:t xml:space="preserve">SL-SIB-ReqInfo-r17 ::=                   </w:t>
      </w:r>
      <w:r w:rsidRPr="00FA0D37">
        <w:rPr>
          <w:color w:val="993366"/>
        </w:rPr>
        <w:t>ENUMERATED</w:t>
      </w:r>
      <w:r w:rsidRPr="00FA0D37">
        <w:t xml:space="preserve"> { sib1, sib2, sib3, sib4, sib5, sib6, sib7, sib8, sib9, sib10, sib11, sib12, sib13,</w:t>
      </w:r>
    </w:p>
    <w:p w14:paraId="1A4F5079" w14:textId="2325288B" w:rsidR="002570A4" w:rsidRPr="00FA0D37" w:rsidRDefault="00307063" w:rsidP="00FA0D37">
      <w:pPr>
        <w:pStyle w:val="PL"/>
      </w:pPr>
      <w:r w:rsidRPr="00FA0D37">
        <w:t xml:space="preserve">                                                      sib14, sib15, sib16, sib17, sib18, sib19, sib20, sib21,</w:t>
      </w:r>
      <w:r w:rsidR="002570A4" w:rsidRPr="00FA0D37">
        <w:t xml:space="preserve"> </w:t>
      </w:r>
      <w:r w:rsidR="006A347B" w:rsidRPr="00FA0D37">
        <w:t>sibNotReq</w:t>
      </w:r>
      <w:r w:rsidR="002570A4" w:rsidRPr="00FA0D37">
        <w:t xml:space="preserve">11, </w:t>
      </w:r>
      <w:r w:rsidR="006A347B" w:rsidRPr="00FA0D37">
        <w:t>sibNotReq</w:t>
      </w:r>
      <w:r w:rsidR="002570A4" w:rsidRPr="00FA0D37">
        <w:t xml:space="preserve">10, </w:t>
      </w:r>
      <w:r w:rsidR="006A347B" w:rsidRPr="00FA0D37">
        <w:t>sibNotReq</w:t>
      </w:r>
      <w:r w:rsidR="002570A4" w:rsidRPr="00FA0D37">
        <w:t>9</w:t>
      </w:r>
      <w:r w:rsidR="003F05AF" w:rsidRPr="00FA0D37">
        <w:t>,</w:t>
      </w:r>
    </w:p>
    <w:p w14:paraId="541F0363" w14:textId="6CB55F56" w:rsidR="00307063" w:rsidRPr="00FA0D37" w:rsidRDefault="002570A4" w:rsidP="00FA0D37">
      <w:pPr>
        <w:pStyle w:val="PL"/>
      </w:pPr>
      <w:r w:rsidRPr="00FA0D37">
        <w:t xml:space="preserve">                                                      </w:t>
      </w:r>
      <w:r w:rsidR="006A347B" w:rsidRPr="00FA0D37">
        <w:t>sibNotReq</w:t>
      </w:r>
      <w:r w:rsidRPr="00FA0D37">
        <w:t xml:space="preserve">8, </w:t>
      </w:r>
      <w:r w:rsidR="006A347B" w:rsidRPr="00FA0D37">
        <w:t>sibNotReq</w:t>
      </w:r>
      <w:r w:rsidRPr="00FA0D37">
        <w:t xml:space="preserve">7, </w:t>
      </w:r>
      <w:r w:rsidR="006A347B" w:rsidRPr="00FA0D37">
        <w:t>sibNotReq</w:t>
      </w:r>
      <w:r w:rsidRPr="00FA0D37">
        <w:t xml:space="preserve">6, </w:t>
      </w:r>
      <w:r w:rsidR="006A347B" w:rsidRPr="00FA0D37">
        <w:t>sibNotReq</w:t>
      </w:r>
      <w:r w:rsidRPr="00FA0D37">
        <w:t xml:space="preserve">5, </w:t>
      </w:r>
      <w:r w:rsidR="006A347B" w:rsidRPr="00FA0D37">
        <w:t>sibNotReq</w:t>
      </w:r>
      <w:r w:rsidRPr="00FA0D37">
        <w:t xml:space="preserve">4, </w:t>
      </w:r>
      <w:r w:rsidR="006A347B" w:rsidRPr="00FA0D37">
        <w:t>sibNotReq</w:t>
      </w:r>
      <w:r w:rsidRPr="00FA0D37">
        <w:t xml:space="preserve">3, </w:t>
      </w:r>
      <w:r w:rsidR="006A347B" w:rsidRPr="00FA0D37">
        <w:t>sibNotReq</w:t>
      </w:r>
      <w:r w:rsidRPr="00FA0D37">
        <w:t xml:space="preserve">2, </w:t>
      </w:r>
      <w:r w:rsidR="006A347B" w:rsidRPr="00FA0D37">
        <w:t>sibNotReq</w:t>
      </w:r>
      <w:r w:rsidRPr="00FA0D37">
        <w:t>1,</w:t>
      </w:r>
      <w:r w:rsidR="00307063" w:rsidRPr="00FA0D37">
        <w:t xml:space="preserve"> ... }</w:t>
      </w:r>
    </w:p>
    <w:p w14:paraId="6AA4882E" w14:textId="77777777" w:rsidR="00307063" w:rsidRPr="00FA0D37" w:rsidRDefault="00307063" w:rsidP="00FA0D37">
      <w:pPr>
        <w:pStyle w:val="PL"/>
      </w:pPr>
    </w:p>
    <w:p w14:paraId="527D1B91" w14:textId="62762CE0" w:rsidR="00E81DFA" w:rsidRPr="00FA0D37" w:rsidRDefault="00E81DFA" w:rsidP="00FA0D37">
      <w:pPr>
        <w:pStyle w:val="PL"/>
        <w:rPr>
          <w:color w:val="808080"/>
        </w:rPr>
      </w:pPr>
      <w:r w:rsidRPr="00FA0D37">
        <w:rPr>
          <w:color w:val="808080"/>
        </w:rPr>
        <w:t>-- TAG-REMOTEUEINFORMATIONSIDELINK-STOP</w:t>
      </w:r>
    </w:p>
    <w:p w14:paraId="160AC518" w14:textId="5F40C2C6" w:rsidR="00E81DFA" w:rsidRPr="00FA0D37" w:rsidRDefault="00E81DFA" w:rsidP="00FA0D37">
      <w:pPr>
        <w:pStyle w:val="PL"/>
        <w:rPr>
          <w:color w:val="808080"/>
        </w:rPr>
      </w:pPr>
      <w:r w:rsidRPr="00FA0D37">
        <w:rPr>
          <w:color w:val="808080"/>
        </w:rPr>
        <w:t>-- ASN1STOP</w:t>
      </w:r>
    </w:p>
    <w:p w14:paraId="4BD832CF" w14:textId="77777777" w:rsidR="00E81DFA" w:rsidRPr="00FA0D37"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780610AB" w14:textId="77777777" w:rsidTr="00771058">
        <w:tc>
          <w:tcPr>
            <w:tcW w:w="14173" w:type="dxa"/>
            <w:tcBorders>
              <w:top w:val="single" w:sz="4" w:space="0" w:color="auto"/>
              <w:left w:val="single" w:sz="4" w:space="0" w:color="auto"/>
              <w:bottom w:val="single" w:sz="4" w:space="0" w:color="auto"/>
              <w:right w:val="single" w:sz="4" w:space="0" w:color="auto"/>
            </w:tcBorders>
          </w:tcPr>
          <w:p w14:paraId="40221ED8" w14:textId="0D8BA341" w:rsidR="00E81DFA" w:rsidRPr="00FA0D37" w:rsidRDefault="00E81DFA" w:rsidP="000830BB">
            <w:pPr>
              <w:pStyle w:val="TAH"/>
              <w:rPr>
                <w:rFonts w:eastAsia="Arial Unicode MS"/>
                <w:lang w:eastAsia="zh-CN"/>
              </w:rPr>
            </w:pPr>
            <w:r w:rsidRPr="00FA0D37">
              <w:rPr>
                <w:rFonts w:eastAsia="Arial Unicode MS"/>
                <w:i/>
                <w:iCs/>
                <w:lang w:eastAsia="zh-CN"/>
              </w:rPr>
              <w:t>Remote</w:t>
            </w:r>
            <w:r w:rsidR="006C302A" w:rsidRPr="00FA0D37">
              <w:rPr>
                <w:rFonts w:eastAsia="Arial Unicode MS"/>
                <w:i/>
                <w:iCs/>
                <w:lang w:eastAsia="zh-CN"/>
              </w:rPr>
              <w:t>UE</w:t>
            </w:r>
            <w:r w:rsidRPr="00FA0D37">
              <w:rPr>
                <w:rFonts w:eastAsia="Arial Unicode MS"/>
                <w:i/>
                <w:iCs/>
                <w:lang w:eastAsia="zh-CN"/>
              </w:rPr>
              <w:t>InformationSidelink-IEs</w:t>
            </w:r>
            <w:r w:rsidRPr="00FA0D37">
              <w:rPr>
                <w:rFonts w:eastAsia="Arial Unicode MS"/>
                <w:lang w:eastAsia="zh-CN"/>
              </w:rPr>
              <w:t xml:space="preserve"> field descriptions</w:t>
            </w:r>
          </w:p>
        </w:tc>
      </w:tr>
      <w:tr w:rsidR="005C7FF4" w:rsidRPr="00FA0D37" w14:paraId="4CD5863D" w14:textId="77777777" w:rsidTr="00771058">
        <w:tc>
          <w:tcPr>
            <w:tcW w:w="14173" w:type="dxa"/>
            <w:tcBorders>
              <w:top w:val="single" w:sz="4" w:space="0" w:color="auto"/>
              <w:left w:val="single" w:sz="4" w:space="0" w:color="auto"/>
              <w:bottom w:val="single" w:sz="4" w:space="0" w:color="auto"/>
              <w:right w:val="single" w:sz="4" w:space="0" w:color="auto"/>
            </w:tcBorders>
          </w:tcPr>
          <w:p w14:paraId="1BBA65E9" w14:textId="6867A848" w:rsidR="00E81DFA" w:rsidRPr="00FA0D37" w:rsidRDefault="00E81DFA" w:rsidP="000830BB">
            <w:pPr>
              <w:pStyle w:val="TAL"/>
              <w:rPr>
                <w:rFonts w:eastAsia="Arial Unicode MS"/>
                <w:b/>
                <w:bCs/>
                <w:i/>
                <w:iCs/>
                <w:lang w:eastAsia="zh-CN"/>
              </w:rPr>
            </w:pPr>
            <w:r w:rsidRPr="00FA0D37">
              <w:rPr>
                <w:rFonts w:eastAsia="Arial Unicode MS"/>
                <w:b/>
                <w:bCs/>
                <w:i/>
                <w:iCs/>
                <w:lang w:eastAsia="zh-CN"/>
              </w:rPr>
              <w:t>sl-RequestedSI</w:t>
            </w:r>
            <w:r w:rsidR="006C302A" w:rsidRPr="00FA0D37">
              <w:rPr>
                <w:rFonts w:eastAsia="Arial Unicode MS"/>
                <w:b/>
                <w:bCs/>
                <w:i/>
                <w:iCs/>
                <w:lang w:eastAsia="zh-CN"/>
              </w:rPr>
              <w:t>B</w:t>
            </w:r>
            <w:r w:rsidRPr="00FA0D37">
              <w:rPr>
                <w:rFonts w:eastAsia="Arial Unicode MS"/>
                <w:b/>
                <w:bCs/>
                <w:i/>
                <w:iCs/>
                <w:lang w:eastAsia="zh-CN"/>
              </w:rPr>
              <w:t>-List</w:t>
            </w:r>
          </w:p>
          <w:p w14:paraId="58E463CD" w14:textId="6E6227BD" w:rsidR="00E81DFA" w:rsidRPr="00FA0D37" w:rsidRDefault="00E81DFA" w:rsidP="000830BB">
            <w:pPr>
              <w:pStyle w:val="TAL"/>
              <w:rPr>
                <w:rFonts w:eastAsia="Arial Unicode MS"/>
                <w:lang w:eastAsia="zh-CN"/>
              </w:rPr>
            </w:pPr>
            <w:r w:rsidRPr="00FA0D37">
              <w:rPr>
                <w:rFonts w:eastAsia="Arial Unicode MS"/>
                <w:lang w:eastAsia="zh-CN"/>
              </w:rPr>
              <w:t>Contains a list of requested SI</w:t>
            </w:r>
            <w:r w:rsidR="006C302A" w:rsidRPr="00FA0D37">
              <w:rPr>
                <w:rFonts w:eastAsia="Arial Unicode MS"/>
                <w:lang w:eastAsia="zh-CN"/>
              </w:rPr>
              <w:t>Bs</w:t>
            </w:r>
            <w:r w:rsidRPr="00FA0D37">
              <w:rPr>
                <w:rFonts w:eastAsia="Arial Unicode MS"/>
                <w:lang w:eastAsia="zh-CN"/>
              </w:rPr>
              <w:t>.</w:t>
            </w:r>
          </w:p>
        </w:tc>
      </w:tr>
      <w:tr w:rsidR="005C7FF4" w:rsidRPr="00FA0D37" w14:paraId="20694372" w14:textId="77777777" w:rsidTr="0071565C">
        <w:tc>
          <w:tcPr>
            <w:tcW w:w="14173" w:type="dxa"/>
            <w:tcBorders>
              <w:top w:val="single" w:sz="4" w:space="0" w:color="auto"/>
              <w:left w:val="single" w:sz="4" w:space="0" w:color="auto"/>
              <w:bottom w:val="single" w:sz="4" w:space="0" w:color="auto"/>
              <w:right w:val="single" w:sz="4" w:space="0" w:color="auto"/>
            </w:tcBorders>
          </w:tcPr>
          <w:p w14:paraId="0B7B5672" w14:textId="77777777" w:rsidR="006A347B" w:rsidRPr="00FA0D37" w:rsidRDefault="006A347B" w:rsidP="0071565C">
            <w:pPr>
              <w:pStyle w:val="TAL"/>
              <w:rPr>
                <w:rFonts w:eastAsia="Arial Unicode MS"/>
                <w:b/>
                <w:bCs/>
                <w:i/>
                <w:iCs/>
                <w:lang w:eastAsia="zh-CN"/>
              </w:rPr>
            </w:pPr>
            <w:r w:rsidRPr="00FA0D37">
              <w:rPr>
                <w:rFonts w:eastAsia="Arial Unicode MS"/>
                <w:b/>
                <w:bCs/>
                <w:i/>
                <w:iCs/>
                <w:lang w:eastAsia="zh-CN"/>
              </w:rPr>
              <w:t>SL-SIB-ReqInfo</w:t>
            </w:r>
          </w:p>
          <w:p w14:paraId="15B01D85" w14:textId="77777777" w:rsidR="006A347B" w:rsidRPr="00FA0D37" w:rsidRDefault="006A347B" w:rsidP="0071565C">
            <w:pPr>
              <w:pStyle w:val="TAL"/>
              <w:rPr>
                <w:rFonts w:eastAsia="Arial Unicode MS"/>
                <w:lang w:eastAsia="zh-CN"/>
              </w:rPr>
            </w:pPr>
            <w:r w:rsidRPr="00FA0D37">
              <w:rPr>
                <w:rFonts w:cs="Arial"/>
                <w:iCs/>
                <w:szCs w:val="18"/>
                <w:lang w:eastAsia="ko-KR"/>
              </w:rPr>
              <w:t>Indicates the requested SIB type.</w:t>
            </w:r>
            <w:r w:rsidRPr="00FA0D37">
              <w:t xml:space="preserve"> </w:t>
            </w:r>
            <w:r w:rsidRPr="00FA0D37">
              <w:rPr>
                <w:rFonts w:cs="Arial"/>
                <w:iCs/>
                <w:szCs w:val="18"/>
                <w:lang w:eastAsia="ko-KR"/>
              </w:rPr>
              <w:t>Values sibNotReq11, sibNotReq10, …, sibNotReq1 shall be ignored by L2 U2N relay UE (i.e., no SIB requested).</w:t>
            </w:r>
          </w:p>
        </w:tc>
      </w:tr>
      <w:tr w:rsidR="005C7FF4" w:rsidRPr="00FA0D37" w14:paraId="0F5691DA" w14:textId="77777777" w:rsidTr="00771058">
        <w:tc>
          <w:tcPr>
            <w:tcW w:w="14173" w:type="dxa"/>
            <w:tcBorders>
              <w:top w:val="single" w:sz="4" w:space="0" w:color="auto"/>
              <w:left w:val="single" w:sz="4" w:space="0" w:color="auto"/>
              <w:bottom w:val="single" w:sz="4" w:space="0" w:color="auto"/>
              <w:right w:val="single" w:sz="4" w:space="0" w:color="auto"/>
            </w:tcBorders>
          </w:tcPr>
          <w:p w14:paraId="368BB90A" w14:textId="2D5815D6" w:rsidR="00E81DFA" w:rsidRPr="00FA0D37" w:rsidRDefault="00E81DFA" w:rsidP="00E81DFA">
            <w:pPr>
              <w:pStyle w:val="TAL"/>
              <w:rPr>
                <w:b/>
                <w:bCs/>
                <w:i/>
                <w:lang w:eastAsia="ko-KR"/>
              </w:rPr>
            </w:pPr>
            <w:r w:rsidRPr="00FA0D37">
              <w:rPr>
                <w:b/>
                <w:bCs/>
                <w:i/>
                <w:lang w:eastAsia="ko-KR"/>
              </w:rPr>
              <w:t>sl-PagingInfo-RemoteUE</w:t>
            </w:r>
          </w:p>
          <w:p w14:paraId="2946772C" w14:textId="28581438" w:rsidR="00E81DFA" w:rsidRPr="00FA0D37" w:rsidRDefault="00E81DFA" w:rsidP="000830BB">
            <w:pPr>
              <w:pStyle w:val="TAL"/>
              <w:rPr>
                <w:rFonts w:eastAsia="Arial Unicode MS" w:cs="Arial"/>
                <w:szCs w:val="18"/>
                <w:lang w:eastAsia="zh-CN"/>
              </w:rPr>
            </w:pPr>
            <w:r w:rsidRPr="00FA0D37">
              <w:rPr>
                <w:rFonts w:cs="Arial"/>
                <w:iCs/>
                <w:szCs w:val="18"/>
                <w:lang w:eastAsia="ko-KR"/>
              </w:rPr>
              <w:t>Indicates the paging information used by L2 U2N Relay UE to perform the connected L2 U2N Remote UE</w:t>
            </w:r>
            <w:r w:rsidR="00D537E2" w:rsidRPr="00FA0D37">
              <w:rPr>
                <w:rFonts w:cs="Arial"/>
                <w:iCs/>
                <w:szCs w:val="18"/>
                <w:lang w:eastAsia="ko-KR"/>
              </w:rPr>
              <w:t>'</w:t>
            </w:r>
            <w:r w:rsidRPr="00FA0D37">
              <w:rPr>
                <w:rFonts w:cs="Arial"/>
                <w:iCs/>
                <w:szCs w:val="18"/>
                <w:lang w:eastAsia="ko-KR"/>
              </w:rPr>
              <w:t>s paging monitoring.</w:t>
            </w:r>
          </w:p>
        </w:tc>
      </w:tr>
      <w:tr w:rsidR="005C7FF4" w:rsidRPr="00FA0D37" w14:paraId="0C7BAABB" w14:textId="77777777" w:rsidTr="00771058">
        <w:tc>
          <w:tcPr>
            <w:tcW w:w="14173" w:type="dxa"/>
            <w:tcBorders>
              <w:top w:val="single" w:sz="4" w:space="0" w:color="auto"/>
              <w:left w:val="single" w:sz="4" w:space="0" w:color="auto"/>
              <w:bottom w:val="single" w:sz="4" w:space="0" w:color="auto"/>
              <w:right w:val="single" w:sz="4" w:space="0" w:color="auto"/>
            </w:tcBorders>
          </w:tcPr>
          <w:p w14:paraId="07261AE3" w14:textId="469B78D8" w:rsidR="00E81DFA" w:rsidRPr="00FA0D37" w:rsidRDefault="00E81DFA" w:rsidP="000830BB">
            <w:pPr>
              <w:pStyle w:val="TAL"/>
              <w:rPr>
                <w:rFonts w:cs="Arial"/>
                <w:b/>
                <w:i/>
                <w:lang w:eastAsia="en-GB"/>
              </w:rPr>
            </w:pPr>
            <w:r w:rsidRPr="00FA0D37">
              <w:rPr>
                <w:rFonts w:cs="Arial"/>
                <w:b/>
                <w:i/>
                <w:lang w:eastAsia="en-GB"/>
              </w:rPr>
              <w:t>sl-PagingIdentityRemoteUE</w:t>
            </w:r>
          </w:p>
          <w:p w14:paraId="5BE21CE7" w14:textId="3653149F" w:rsidR="00E81DFA" w:rsidRPr="00FA0D37" w:rsidRDefault="00E81DFA" w:rsidP="00E81DFA">
            <w:pPr>
              <w:pStyle w:val="TAL"/>
              <w:rPr>
                <w:iCs/>
                <w:lang w:eastAsia="ko-KR"/>
              </w:rPr>
            </w:pPr>
            <w:r w:rsidRPr="00FA0D37">
              <w:rPr>
                <w:rFonts w:cs="Arial"/>
                <w:lang w:eastAsia="en-GB"/>
              </w:rPr>
              <w:t>Indicates the L2 U2N Remote UE</w:t>
            </w:r>
            <w:r w:rsidR="00D537E2" w:rsidRPr="00FA0D37">
              <w:rPr>
                <w:rFonts w:cs="Arial"/>
                <w:lang w:eastAsia="en-GB"/>
              </w:rPr>
              <w:t>'</w:t>
            </w:r>
            <w:r w:rsidRPr="00FA0D37">
              <w:rPr>
                <w:rFonts w:cs="Arial"/>
                <w:lang w:eastAsia="en-GB"/>
              </w:rPr>
              <w:t>s paging UE ID.</w:t>
            </w:r>
          </w:p>
        </w:tc>
      </w:tr>
      <w:tr w:rsidR="000830BB" w:rsidRPr="00FA0D37" w14:paraId="70262165" w14:textId="77777777" w:rsidTr="00771058">
        <w:tc>
          <w:tcPr>
            <w:tcW w:w="14173" w:type="dxa"/>
            <w:tcBorders>
              <w:top w:val="single" w:sz="4" w:space="0" w:color="auto"/>
              <w:left w:val="single" w:sz="4" w:space="0" w:color="auto"/>
              <w:bottom w:val="single" w:sz="4" w:space="0" w:color="auto"/>
              <w:right w:val="single" w:sz="4" w:space="0" w:color="auto"/>
            </w:tcBorders>
          </w:tcPr>
          <w:p w14:paraId="7F516F1E" w14:textId="5577C19F" w:rsidR="00E81DFA" w:rsidRPr="00FA0D37" w:rsidRDefault="00E81DFA" w:rsidP="000830BB">
            <w:pPr>
              <w:pStyle w:val="TAL"/>
              <w:rPr>
                <w:rFonts w:eastAsia="等线" w:cs="Arial"/>
                <w:b/>
                <w:i/>
                <w:lang w:eastAsia="zh-CN"/>
              </w:rPr>
            </w:pPr>
            <w:r w:rsidRPr="00FA0D37">
              <w:rPr>
                <w:rFonts w:eastAsia="等线" w:cs="Arial"/>
                <w:b/>
                <w:i/>
                <w:lang w:eastAsia="zh-CN"/>
              </w:rPr>
              <w:t>sl-PagingCycleRemoteUE</w:t>
            </w:r>
          </w:p>
          <w:p w14:paraId="7220D206" w14:textId="49214B04" w:rsidR="00E81DFA" w:rsidRPr="00FA0D37" w:rsidRDefault="00E81DFA" w:rsidP="00E81DFA">
            <w:pPr>
              <w:pStyle w:val="TAL"/>
              <w:rPr>
                <w:iCs/>
                <w:lang w:eastAsia="ko-KR"/>
              </w:rPr>
            </w:pPr>
            <w:r w:rsidRPr="00FA0D37">
              <w:rPr>
                <w:rFonts w:cs="Arial"/>
                <w:lang w:eastAsia="en-GB"/>
              </w:rPr>
              <w:t>Indicates the L2 U2N Remote UE</w:t>
            </w:r>
            <w:r w:rsidR="00D537E2" w:rsidRPr="00FA0D37">
              <w:rPr>
                <w:rFonts w:cs="Arial"/>
                <w:lang w:eastAsia="en-GB"/>
              </w:rPr>
              <w:t>'</w:t>
            </w:r>
            <w:r w:rsidRPr="00FA0D37">
              <w:rPr>
                <w:rFonts w:cs="Arial"/>
                <w:lang w:eastAsia="en-GB"/>
              </w:rPr>
              <w:t>s UE specific DRX cycle</w:t>
            </w:r>
            <w:r w:rsidR="006C302A" w:rsidRPr="00FA0D37">
              <w:rPr>
                <w:rFonts w:cs="Arial"/>
                <w:lang w:eastAsia="en-GB"/>
              </w:rPr>
              <w:t xml:space="preserve"> as the minimum value of the one provided by upper layers (</w:t>
            </w:r>
            <w:r w:rsidR="006C302A" w:rsidRPr="00FA0D37">
              <w:t>if configured) and the one provided by RRC layer (if configured)</w:t>
            </w:r>
            <w:r w:rsidRPr="00FA0D37">
              <w:rPr>
                <w:rFonts w:cs="Arial"/>
                <w:iCs/>
                <w:lang w:eastAsia="sv-SE"/>
              </w:rPr>
              <w:t xml:space="preserve">. </w:t>
            </w:r>
            <w:r w:rsidRPr="00FA0D37">
              <w:rPr>
                <w:rFonts w:cs="Arial"/>
                <w:iCs/>
                <w:szCs w:val="18"/>
                <w:lang w:eastAsia="ko-KR"/>
              </w:rPr>
              <w:t>Value rf32 corresponds to 32 radio frames, value rf64 corresponds to 64 radio frames and so on.</w:t>
            </w:r>
          </w:p>
        </w:tc>
      </w:tr>
    </w:tbl>
    <w:p w14:paraId="0091370F" w14:textId="77777777" w:rsidR="00E81DFA" w:rsidRPr="00FA0D37" w:rsidRDefault="00E81DFA" w:rsidP="00394471"/>
    <w:p w14:paraId="6E7E09B3" w14:textId="2819D15C" w:rsidR="00394471" w:rsidRPr="00FA0D37" w:rsidRDefault="00394471" w:rsidP="00394471">
      <w:pPr>
        <w:pStyle w:val="4"/>
        <w:rPr>
          <w:lang w:eastAsia="zh-CN"/>
        </w:rPr>
      </w:pPr>
      <w:bookmarkStart w:id="2247" w:name="_Toc60777569"/>
      <w:bookmarkStart w:id="2248" w:name="_Toc146781710"/>
      <w:r w:rsidRPr="00FA0D37">
        <w:t>–</w:t>
      </w:r>
      <w:r w:rsidRPr="00FA0D37">
        <w:tab/>
      </w:r>
      <w:r w:rsidRPr="00FA0D37">
        <w:rPr>
          <w:i/>
          <w:iCs/>
          <w:noProof/>
        </w:rPr>
        <w:t>RRCReconfigurationSidelink</w:t>
      </w:r>
      <w:bookmarkEnd w:id="2247"/>
      <w:bookmarkEnd w:id="2248"/>
    </w:p>
    <w:p w14:paraId="7446FE14" w14:textId="77777777" w:rsidR="00394471" w:rsidRPr="00FA0D37" w:rsidRDefault="00394471" w:rsidP="00394471">
      <w:pPr>
        <w:rPr>
          <w:rFonts w:eastAsia="Yu Mincho"/>
          <w:lang w:eastAsia="zh-CN"/>
        </w:rPr>
      </w:pPr>
      <w:r w:rsidRPr="00FA0D37">
        <w:t xml:space="preserve">The </w:t>
      </w:r>
      <w:r w:rsidRPr="00FA0D37">
        <w:rPr>
          <w:i/>
        </w:rPr>
        <w:t xml:space="preserve">RRCReconfigurationSidelink </w:t>
      </w:r>
      <w:r w:rsidRPr="00FA0D37">
        <w:t>message is the command to AS configuration of the PC5 RRC connection.</w:t>
      </w:r>
      <w:r w:rsidRPr="00FA0D37">
        <w:rPr>
          <w:rFonts w:eastAsia="Yu Mincho"/>
          <w:lang w:eastAsia="zh-CN"/>
        </w:rPr>
        <w:t xml:space="preserve"> It is only applied to unicast of NR sidelink communication.</w:t>
      </w:r>
    </w:p>
    <w:p w14:paraId="628E2E63" w14:textId="77777777" w:rsidR="00394471" w:rsidRPr="00FA0D37" w:rsidRDefault="00394471" w:rsidP="00394471">
      <w:pPr>
        <w:pStyle w:val="B1"/>
      </w:pPr>
      <w:r w:rsidRPr="00FA0D37">
        <w:t xml:space="preserve">Signalling radio bearer: </w:t>
      </w:r>
      <w:r w:rsidRPr="00FA0D37">
        <w:rPr>
          <w:rFonts w:eastAsia="等线"/>
          <w:lang w:eastAsia="zh-CN"/>
        </w:rPr>
        <w:t>SL-SRB3</w:t>
      </w:r>
    </w:p>
    <w:p w14:paraId="0396862D" w14:textId="77777777" w:rsidR="00394471" w:rsidRPr="00FA0D37" w:rsidRDefault="00394471" w:rsidP="00394471">
      <w:pPr>
        <w:pStyle w:val="B1"/>
      </w:pPr>
      <w:r w:rsidRPr="00FA0D37">
        <w:t>RLC-SAP: AM</w:t>
      </w:r>
    </w:p>
    <w:p w14:paraId="40A629A4" w14:textId="77777777" w:rsidR="00394471" w:rsidRPr="00FA0D37" w:rsidRDefault="00394471" w:rsidP="00394471">
      <w:pPr>
        <w:pStyle w:val="B1"/>
      </w:pPr>
      <w:r w:rsidRPr="00FA0D37">
        <w:t>Logical channel: SCCH</w:t>
      </w:r>
    </w:p>
    <w:p w14:paraId="41984262" w14:textId="77777777" w:rsidR="00394471" w:rsidRPr="00FA0D37" w:rsidRDefault="00394471" w:rsidP="00394471">
      <w:pPr>
        <w:pStyle w:val="B1"/>
      </w:pPr>
      <w:r w:rsidRPr="00FA0D37">
        <w:t>Direction: UE to UE</w:t>
      </w:r>
    </w:p>
    <w:p w14:paraId="09378039" w14:textId="77777777" w:rsidR="00394471" w:rsidRPr="00FA0D37" w:rsidRDefault="00394471" w:rsidP="00394471">
      <w:pPr>
        <w:pStyle w:val="TH"/>
        <w:rPr>
          <w:b w:val="0"/>
        </w:rPr>
      </w:pPr>
      <w:r w:rsidRPr="00FA0D37">
        <w:rPr>
          <w:i/>
          <w:iCs/>
          <w:noProof/>
        </w:rPr>
        <w:t>RRCReconfigurationSidelink</w:t>
      </w:r>
      <w:r w:rsidRPr="00FA0D37">
        <w:t xml:space="preserve"> message</w:t>
      </w:r>
    </w:p>
    <w:p w14:paraId="313EBD49" w14:textId="77777777" w:rsidR="00394471" w:rsidRPr="00FA0D37" w:rsidRDefault="00394471" w:rsidP="00FA0D37">
      <w:pPr>
        <w:pStyle w:val="PL"/>
        <w:rPr>
          <w:color w:val="808080"/>
        </w:rPr>
      </w:pPr>
      <w:r w:rsidRPr="00FA0D37">
        <w:rPr>
          <w:color w:val="808080"/>
        </w:rPr>
        <w:t>-- ASN1START</w:t>
      </w:r>
    </w:p>
    <w:p w14:paraId="4EF0644C" w14:textId="77777777" w:rsidR="00394471" w:rsidRPr="00FA0D37" w:rsidRDefault="00394471" w:rsidP="00FA0D37">
      <w:pPr>
        <w:pStyle w:val="PL"/>
        <w:rPr>
          <w:color w:val="808080"/>
        </w:rPr>
      </w:pPr>
      <w:r w:rsidRPr="00FA0D37">
        <w:rPr>
          <w:color w:val="808080"/>
        </w:rPr>
        <w:t>-- TAG-RRCRECONFIGURATIONSIDELINK-START</w:t>
      </w:r>
    </w:p>
    <w:p w14:paraId="77449C16" w14:textId="77777777" w:rsidR="00394471" w:rsidRPr="00FA0D37" w:rsidRDefault="00394471" w:rsidP="00FA0D37">
      <w:pPr>
        <w:pStyle w:val="PL"/>
      </w:pPr>
    </w:p>
    <w:p w14:paraId="1E24E816" w14:textId="77777777" w:rsidR="00394471" w:rsidRPr="00FA0D37" w:rsidRDefault="00394471" w:rsidP="00FA0D37">
      <w:pPr>
        <w:pStyle w:val="PL"/>
      </w:pPr>
      <w:r w:rsidRPr="00FA0D37">
        <w:t xml:space="preserve">RRCReconfigurationSidelink ::=          </w:t>
      </w:r>
      <w:r w:rsidRPr="00FA0D37">
        <w:rPr>
          <w:color w:val="993366"/>
        </w:rPr>
        <w:t>SEQUENCE</w:t>
      </w:r>
      <w:r w:rsidRPr="00FA0D37">
        <w:t xml:space="preserve"> {</w:t>
      </w:r>
    </w:p>
    <w:p w14:paraId="08E863A5" w14:textId="77777777" w:rsidR="00394471" w:rsidRPr="00FA0D37" w:rsidRDefault="00394471" w:rsidP="00FA0D37">
      <w:pPr>
        <w:pStyle w:val="PL"/>
      </w:pPr>
      <w:r w:rsidRPr="00FA0D37">
        <w:t xml:space="preserve">    rrc-TransactionIdentifier-r16           RRC-TransactionIdentifier,</w:t>
      </w:r>
    </w:p>
    <w:p w14:paraId="564367A3"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72EBC8FB" w14:textId="6E4BD1B7" w:rsidR="00394471" w:rsidRPr="00FA0D37" w:rsidRDefault="00394471" w:rsidP="00FA0D37">
      <w:pPr>
        <w:pStyle w:val="PL"/>
      </w:pPr>
      <w:r w:rsidRPr="00FA0D37">
        <w:t xml:space="preserve">        rrcReconfigurationSidelink-r16          RRCReconfigurationSidelink</w:t>
      </w:r>
      <w:r w:rsidR="00C12C0B" w:rsidRPr="00FA0D37">
        <w:t>-r16</w:t>
      </w:r>
      <w:r w:rsidRPr="00FA0D37">
        <w:t>-IEs,</w:t>
      </w:r>
    </w:p>
    <w:p w14:paraId="5A8A2D2F"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01F4426A" w14:textId="77777777" w:rsidR="00394471" w:rsidRPr="00FA0D37" w:rsidRDefault="00394471" w:rsidP="00FA0D37">
      <w:pPr>
        <w:pStyle w:val="PL"/>
      </w:pPr>
      <w:r w:rsidRPr="00FA0D37">
        <w:t xml:space="preserve">    }</w:t>
      </w:r>
    </w:p>
    <w:p w14:paraId="12A483EC" w14:textId="77777777" w:rsidR="00394471" w:rsidRPr="00FA0D37" w:rsidRDefault="00394471" w:rsidP="00FA0D37">
      <w:pPr>
        <w:pStyle w:val="PL"/>
      </w:pPr>
      <w:r w:rsidRPr="00FA0D37">
        <w:t>}</w:t>
      </w:r>
    </w:p>
    <w:p w14:paraId="4C65BD0B" w14:textId="77777777" w:rsidR="00394471" w:rsidRPr="00FA0D37" w:rsidRDefault="00394471" w:rsidP="00FA0D37">
      <w:pPr>
        <w:pStyle w:val="PL"/>
      </w:pPr>
    </w:p>
    <w:p w14:paraId="76122456" w14:textId="6DB95B54" w:rsidR="00394471" w:rsidRPr="00FA0D37" w:rsidRDefault="00394471" w:rsidP="00FA0D37">
      <w:pPr>
        <w:pStyle w:val="PL"/>
      </w:pPr>
      <w:r w:rsidRPr="00FA0D37">
        <w:t>RRCReconfigurationSidelink</w:t>
      </w:r>
      <w:r w:rsidR="00C12C0B" w:rsidRPr="00FA0D37">
        <w:t>-r16</w:t>
      </w:r>
      <w:r w:rsidRPr="00FA0D37">
        <w:t xml:space="preserve">-IEs ::=  </w:t>
      </w:r>
      <w:r w:rsidRPr="00FA0D37">
        <w:rPr>
          <w:color w:val="993366"/>
        </w:rPr>
        <w:t>SEQUENCE</w:t>
      </w:r>
      <w:r w:rsidRPr="00FA0D37">
        <w:t xml:space="preserve"> {</w:t>
      </w:r>
    </w:p>
    <w:p w14:paraId="3108F32D" w14:textId="77777777" w:rsidR="00394471" w:rsidRPr="00FA0D37" w:rsidRDefault="00394471" w:rsidP="00FA0D37">
      <w:pPr>
        <w:pStyle w:val="PL"/>
        <w:rPr>
          <w:color w:val="808080"/>
        </w:rPr>
      </w:pPr>
      <w:r w:rsidRPr="00FA0D37">
        <w:t xml:space="preserve">    slrb-ConfigToAddModList-r16             </w:t>
      </w:r>
      <w:r w:rsidRPr="00FA0D37">
        <w:rPr>
          <w:color w:val="993366"/>
        </w:rPr>
        <w:t>SEQUENCE</w:t>
      </w:r>
      <w:r w:rsidRPr="00FA0D37">
        <w:t xml:space="preserve"> (</w:t>
      </w:r>
      <w:r w:rsidRPr="00FA0D37">
        <w:rPr>
          <w:color w:val="993366"/>
        </w:rPr>
        <w:t>SIZE</w:t>
      </w:r>
      <w:r w:rsidRPr="00FA0D37">
        <w:t xml:space="preserve"> (1..maxNrofSLRB-r16))</w:t>
      </w:r>
      <w:r w:rsidRPr="00FA0D37">
        <w:rPr>
          <w:color w:val="993366"/>
        </w:rPr>
        <w:t xml:space="preserve"> OF</w:t>
      </w:r>
      <w:r w:rsidRPr="00FA0D37">
        <w:t xml:space="preserve"> SLRB-Config-r16             </w:t>
      </w:r>
      <w:r w:rsidRPr="00FA0D37">
        <w:rPr>
          <w:color w:val="993366"/>
        </w:rPr>
        <w:t>OPTIONAL</w:t>
      </w:r>
      <w:r w:rsidRPr="00FA0D37">
        <w:t xml:space="preserve">, </w:t>
      </w:r>
      <w:r w:rsidRPr="00FA0D37">
        <w:rPr>
          <w:color w:val="808080"/>
        </w:rPr>
        <w:t>-- Need N</w:t>
      </w:r>
    </w:p>
    <w:p w14:paraId="3F65C99C" w14:textId="77777777" w:rsidR="00394471" w:rsidRPr="00FA0D37" w:rsidRDefault="00394471" w:rsidP="00FA0D37">
      <w:pPr>
        <w:pStyle w:val="PL"/>
        <w:rPr>
          <w:color w:val="808080"/>
        </w:rPr>
      </w:pPr>
      <w:r w:rsidRPr="00FA0D37">
        <w:t xml:space="preserve">    slrb-ConfigToReleaseList-r16            </w:t>
      </w:r>
      <w:r w:rsidRPr="00FA0D37">
        <w:rPr>
          <w:color w:val="993366"/>
        </w:rPr>
        <w:t>SEQUENCE</w:t>
      </w:r>
      <w:r w:rsidRPr="00FA0D37">
        <w:t xml:space="preserve"> (</w:t>
      </w:r>
      <w:r w:rsidRPr="00FA0D37">
        <w:rPr>
          <w:color w:val="993366"/>
        </w:rPr>
        <w:t>SIZE</w:t>
      </w:r>
      <w:r w:rsidRPr="00FA0D37">
        <w:t xml:space="preserve"> (1..maxNrofSLRB-r16))</w:t>
      </w:r>
      <w:r w:rsidRPr="00FA0D37">
        <w:rPr>
          <w:color w:val="993366"/>
        </w:rPr>
        <w:t xml:space="preserve"> OF</w:t>
      </w:r>
      <w:r w:rsidRPr="00FA0D37">
        <w:t xml:space="preserve"> SLRB-PC5-ConfigIndex-r16    </w:t>
      </w:r>
      <w:r w:rsidRPr="00FA0D37">
        <w:rPr>
          <w:color w:val="993366"/>
        </w:rPr>
        <w:t>OPTIONAL</w:t>
      </w:r>
      <w:r w:rsidRPr="00FA0D37">
        <w:t xml:space="preserve">, </w:t>
      </w:r>
      <w:r w:rsidRPr="00FA0D37">
        <w:rPr>
          <w:color w:val="808080"/>
        </w:rPr>
        <w:t>-- Need N</w:t>
      </w:r>
    </w:p>
    <w:p w14:paraId="3EF42B5B" w14:textId="77777777" w:rsidR="00394471" w:rsidRPr="00FA0D37" w:rsidRDefault="00394471" w:rsidP="00FA0D37">
      <w:pPr>
        <w:pStyle w:val="PL"/>
        <w:rPr>
          <w:color w:val="808080"/>
        </w:rPr>
      </w:pPr>
      <w:r w:rsidRPr="00FA0D37">
        <w:t xml:space="preserve">    sl-MeasConfig-r16                       SetupRelease {SL-MeasConfig-r16}                                    </w:t>
      </w:r>
      <w:r w:rsidRPr="00FA0D37">
        <w:rPr>
          <w:color w:val="993366"/>
        </w:rPr>
        <w:t>OPTIONAL</w:t>
      </w:r>
      <w:r w:rsidRPr="00FA0D37">
        <w:t xml:space="preserve">, </w:t>
      </w:r>
      <w:r w:rsidRPr="00FA0D37">
        <w:rPr>
          <w:color w:val="808080"/>
        </w:rPr>
        <w:t>-- Need M</w:t>
      </w:r>
    </w:p>
    <w:p w14:paraId="3830190D" w14:textId="77777777" w:rsidR="00394471" w:rsidRPr="00FA0D37" w:rsidRDefault="00394471" w:rsidP="00FA0D37">
      <w:pPr>
        <w:pStyle w:val="PL"/>
        <w:rPr>
          <w:rFonts w:eastAsia="等线"/>
          <w:color w:val="808080"/>
        </w:rPr>
      </w:pPr>
      <w:r w:rsidRPr="00FA0D37">
        <w:t xml:space="preserve">    </w:t>
      </w:r>
      <w:r w:rsidRPr="00FA0D37">
        <w:rPr>
          <w:rFonts w:eastAsia="等线"/>
        </w:rPr>
        <w:t>sl-CSI</w:t>
      </w:r>
      <w:r w:rsidRPr="00FA0D37">
        <w:t>-RS</w:t>
      </w:r>
      <w:r w:rsidRPr="00FA0D37">
        <w:rPr>
          <w:rFonts w:eastAsia="等线"/>
        </w:rPr>
        <w:t>-Config-r16</w:t>
      </w:r>
      <w:r w:rsidRPr="00FA0D37">
        <w:t xml:space="preserve">                    SetupRelease {</w:t>
      </w:r>
      <w:r w:rsidRPr="00FA0D37">
        <w:rPr>
          <w:rFonts w:eastAsia="等线"/>
        </w:rPr>
        <w:t>SL-CSI</w:t>
      </w:r>
      <w:r w:rsidRPr="00FA0D37">
        <w:t>-RS</w:t>
      </w:r>
      <w:r w:rsidRPr="00FA0D37">
        <w:rPr>
          <w:rFonts w:eastAsia="等线"/>
        </w:rPr>
        <w:t>-Config-r16}</w:t>
      </w:r>
      <w:r w:rsidRPr="00FA0D37">
        <w:t xml:space="preserve">                                 </w:t>
      </w:r>
      <w:r w:rsidRPr="00FA0D37">
        <w:rPr>
          <w:rFonts w:eastAsia="等线"/>
          <w:color w:val="993366"/>
        </w:rPr>
        <w:t>OPTIONAL</w:t>
      </w:r>
      <w:r w:rsidRPr="00FA0D37">
        <w:rPr>
          <w:rFonts w:eastAsia="等线"/>
        </w:rPr>
        <w:t>,</w:t>
      </w:r>
      <w:r w:rsidRPr="00FA0D37">
        <w:t xml:space="preserve"> </w:t>
      </w:r>
      <w:r w:rsidRPr="00FA0D37">
        <w:rPr>
          <w:color w:val="808080"/>
        </w:rPr>
        <w:t>-- Need M</w:t>
      </w:r>
    </w:p>
    <w:p w14:paraId="283DDD25" w14:textId="77777777" w:rsidR="00394471" w:rsidRPr="00FA0D37" w:rsidRDefault="00394471" w:rsidP="00FA0D37">
      <w:pPr>
        <w:pStyle w:val="PL"/>
        <w:rPr>
          <w:color w:val="808080"/>
        </w:rPr>
      </w:pPr>
      <w:r w:rsidRPr="00FA0D37">
        <w:t xml:space="preserve">    sl-ResetConfig-r16                      </w:t>
      </w:r>
      <w:r w:rsidRPr="00FA0D37">
        <w:rPr>
          <w:color w:val="993366"/>
        </w:rPr>
        <w:t>ENUMERATED</w:t>
      </w:r>
      <w:r w:rsidRPr="00FA0D37">
        <w:t xml:space="preserve"> {true}                                                   </w:t>
      </w:r>
      <w:r w:rsidRPr="00FA0D37">
        <w:rPr>
          <w:color w:val="993366"/>
        </w:rPr>
        <w:t>OPTIONAL</w:t>
      </w:r>
      <w:r w:rsidRPr="00FA0D37">
        <w:t xml:space="preserve">, </w:t>
      </w:r>
      <w:r w:rsidRPr="00FA0D37">
        <w:rPr>
          <w:color w:val="808080"/>
        </w:rPr>
        <w:t>-- Need N</w:t>
      </w:r>
    </w:p>
    <w:p w14:paraId="68598A9D" w14:textId="77777777" w:rsidR="00394471" w:rsidRPr="00FA0D37" w:rsidRDefault="00394471" w:rsidP="00FA0D37">
      <w:pPr>
        <w:pStyle w:val="PL"/>
        <w:rPr>
          <w:color w:val="808080"/>
        </w:rPr>
      </w:pPr>
      <w:r w:rsidRPr="00FA0D37">
        <w:t xml:space="preserve">    sl-LatencyBoundCSI-Report-r16           </w:t>
      </w:r>
      <w:r w:rsidRPr="00FA0D37">
        <w:rPr>
          <w:color w:val="993366"/>
        </w:rPr>
        <w:t>INTEGER</w:t>
      </w:r>
      <w:r w:rsidRPr="00FA0D37">
        <w:t xml:space="preserve"> (3..160)                                                    </w:t>
      </w:r>
      <w:r w:rsidRPr="00FA0D37">
        <w:rPr>
          <w:color w:val="993366"/>
        </w:rPr>
        <w:t>OPTIONAL</w:t>
      </w:r>
      <w:r w:rsidRPr="00FA0D37">
        <w:t xml:space="preserve">, </w:t>
      </w:r>
      <w:r w:rsidRPr="00FA0D37">
        <w:rPr>
          <w:color w:val="808080"/>
        </w:rPr>
        <w:t>-- Need M</w:t>
      </w:r>
    </w:p>
    <w:p w14:paraId="4E278F63"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5EB4A773" w14:textId="286785C3" w:rsidR="00394471" w:rsidRPr="00FA0D37" w:rsidRDefault="00394471" w:rsidP="00FA0D37">
      <w:pPr>
        <w:pStyle w:val="PL"/>
      </w:pPr>
      <w:r w:rsidRPr="00FA0D37">
        <w:t xml:space="preserve">    nonCriticalExtension                    </w:t>
      </w:r>
      <w:r w:rsidR="00FC41F5" w:rsidRPr="00FA0D37">
        <w:t>RRCReconfigurationSidelink-v1700-IEs</w:t>
      </w:r>
      <w:r w:rsidRPr="00FA0D37">
        <w:t xml:space="preserve">                                </w:t>
      </w:r>
      <w:r w:rsidRPr="00FA0D37">
        <w:rPr>
          <w:color w:val="993366"/>
        </w:rPr>
        <w:t>OPTIONAL</w:t>
      </w:r>
    </w:p>
    <w:p w14:paraId="5388C27D" w14:textId="77777777" w:rsidR="00394471" w:rsidRPr="00FA0D37" w:rsidRDefault="00394471" w:rsidP="00FA0D37">
      <w:pPr>
        <w:pStyle w:val="PL"/>
      </w:pPr>
      <w:r w:rsidRPr="00FA0D37">
        <w:t>}</w:t>
      </w:r>
    </w:p>
    <w:p w14:paraId="409A1BD6" w14:textId="374A3DCA" w:rsidR="00394471" w:rsidRPr="00FA0D37" w:rsidRDefault="00394471" w:rsidP="00FA0D37">
      <w:pPr>
        <w:pStyle w:val="PL"/>
      </w:pPr>
    </w:p>
    <w:p w14:paraId="75F16EA5" w14:textId="7FB7FFC6" w:rsidR="00FC41F5" w:rsidRPr="00FA0D37" w:rsidRDefault="00FC41F5" w:rsidP="00FA0D37">
      <w:pPr>
        <w:pStyle w:val="PL"/>
      </w:pPr>
      <w:r w:rsidRPr="00FA0D37">
        <w:t xml:space="preserve">RRCReconfigurationSidelink-v1700-IEs ::= </w:t>
      </w:r>
      <w:r w:rsidRPr="00FA0D37">
        <w:rPr>
          <w:color w:val="993366"/>
        </w:rPr>
        <w:t>SEQUENCE</w:t>
      </w:r>
      <w:r w:rsidRPr="00FA0D37">
        <w:t xml:space="preserve"> {</w:t>
      </w:r>
    </w:p>
    <w:p w14:paraId="4A2EB2D7" w14:textId="6588323F" w:rsidR="00FC41F5" w:rsidRPr="00FA0D37" w:rsidRDefault="00FC41F5" w:rsidP="00FA0D37">
      <w:pPr>
        <w:pStyle w:val="PL"/>
        <w:rPr>
          <w:color w:val="808080"/>
        </w:rPr>
      </w:pPr>
      <w:r w:rsidRPr="00FA0D37">
        <w:t xml:space="preserve">    </w:t>
      </w:r>
      <w:r w:rsidRPr="00FA0D37">
        <w:rPr>
          <w:rFonts w:eastAsia="等线"/>
        </w:rPr>
        <w:t>sl-DRX-ConfigUC-PC5-r17</w:t>
      </w:r>
      <w:r w:rsidRPr="00FA0D37">
        <w:t xml:space="preserve">                 </w:t>
      </w:r>
      <w:r w:rsidRPr="00FA0D37">
        <w:rPr>
          <w:rFonts w:eastAsia="等线"/>
        </w:rPr>
        <w:t>SetupRelease { SL-DRX-ConfigUC-r17 }</w:t>
      </w:r>
      <w:r w:rsidRPr="00FA0D37">
        <w:t xml:space="preserve">                                </w:t>
      </w:r>
      <w:r w:rsidRPr="00FA0D37">
        <w:rPr>
          <w:color w:val="993366"/>
        </w:rPr>
        <w:t>OPTIONAL</w:t>
      </w:r>
      <w:r w:rsidRPr="00FA0D37">
        <w:rPr>
          <w:rFonts w:eastAsia="等线"/>
        </w:rPr>
        <w:t xml:space="preserve">, </w:t>
      </w:r>
      <w:r w:rsidRPr="00FA0D37">
        <w:rPr>
          <w:color w:val="808080"/>
        </w:rPr>
        <w:t>-- Need M</w:t>
      </w:r>
    </w:p>
    <w:p w14:paraId="7C8FC887" w14:textId="129C47BA" w:rsidR="00FC41F5" w:rsidRPr="00FA0D37" w:rsidRDefault="00FC41F5" w:rsidP="00FA0D37">
      <w:pPr>
        <w:pStyle w:val="PL"/>
        <w:rPr>
          <w:color w:val="808080"/>
        </w:rPr>
      </w:pPr>
      <w:r w:rsidRPr="00FA0D37">
        <w:t xml:space="preserve">    sl-LatencyBoundIUC-Report-r17           SetupRelease { SL-LatencyBoundIUC-Report-r17 }                      </w:t>
      </w:r>
      <w:r w:rsidRPr="00FA0D37">
        <w:rPr>
          <w:color w:val="993366"/>
        </w:rPr>
        <w:t>OPTIONAL</w:t>
      </w:r>
      <w:r w:rsidRPr="00FA0D37">
        <w:t xml:space="preserve">, </w:t>
      </w:r>
      <w:r w:rsidRPr="00FA0D37">
        <w:rPr>
          <w:color w:val="808080"/>
        </w:rPr>
        <w:t>-- Need M</w:t>
      </w:r>
    </w:p>
    <w:p w14:paraId="43979F26" w14:textId="7AF19D79" w:rsidR="00E81DFA" w:rsidRPr="00FA0D37" w:rsidRDefault="00E81DFA" w:rsidP="00FA0D37">
      <w:pPr>
        <w:pStyle w:val="PL"/>
        <w:rPr>
          <w:color w:val="808080"/>
        </w:rPr>
      </w:pPr>
      <w:r w:rsidRPr="00FA0D37">
        <w:t xml:space="preserve">    sl-RLC-ChannelToReleaseListPC5-r17     </w:t>
      </w:r>
      <w:r w:rsidR="006C302A" w:rsidRPr="00FA0D37">
        <w:t xml:space="preserve"> </w:t>
      </w:r>
      <w:r w:rsidRPr="00FA0D37">
        <w:rPr>
          <w:color w:val="993366"/>
        </w:rPr>
        <w:t>SEQUENCE</w:t>
      </w:r>
      <w:r w:rsidRPr="00FA0D37">
        <w:t xml:space="preserve"> (</w:t>
      </w:r>
      <w:r w:rsidRPr="00FA0D37">
        <w:rPr>
          <w:color w:val="993366"/>
        </w:rPr>
        <w:t>SIZE</w:t>
      </w:r>
      <w:r w:rsidRPr="00FA0D37">
        <w:t xml:space="preserve"> (1..maxSL-LCID-r16))</w:t>
      </w:r>
      <w:r w:rsidRPr="00FA0D37">
        <w:rPr>
          <w:color w:val="993366"/>
        </w:rPr>
        <w:t xml:space="preserve"> OF</w:t>
      </w:r>
      <w:r w:rsidRPr="00FA0D37">
        <w:t xml:space="preserve"> SL-RLC-ChannelID-r17         </w:t>
      </w:r>
      <w:r w:rsidRPr="00FA0D37">
        <w:rPr>
          <w:color w:val="993366"/>
        </w:rPr>
        <w:t>OPTIONAL</w:t>
      </w:r>
      <w:r w:rsidRPr="00FA0D37">
        <w:t xml:space="preserve">, </w:t>
      </w:r>
      <w:r w:rsidRPr="00FA0D37">
        <w:rPr>
          <w:color w:val="808080"/>
        </w:rPr>
        <w:t>-- Need N</w:t>
      </w:r>
    </w:p>
    <w:p w14:paraId="582A57C0" w14:textId="1EF1E251" w:rsidR="00E81DFA" w:rsidRPr="00FA0D37" w:rsidRDefault="00E81DFA" w:rsidP="00FA0D37">
      <w:pPr>
        <w:pStyle w:val="PL"/>
        <w:rPr>
          <w:color w:val="808080"/>
        </w:rPr>
      </w:pPr>
      <w:r w:rsidRPr="00FA0D37">
        <w:t xml:space="preserve">    sl-RLC-ChannelToAddModListPC5-r17      </w:t>
      </w:r>
      <w:r w:rsidR="006C302A" w:rsidRPr="00FA0D37">
        <w:t xml:space="preserve"> </w:t>
      </w:r>
      <w:r w:rsidRPr="00FA0D37">
        <w:rPr>
          <w:color w:val="993366"/>
        </w:rPr>
        <w:t>SEQUENCE</w:t>
      </w:r>
      <w:r w:rsidRPr="00FA0D37">
        <w:t xml:space="preserve"> (</w:t>
      </w:r>
      <w:r w:rsidRPr="00FA0D37">
        <w:rPr>
          <w:color w:val="993366"/>
        </w:rPr>
        <w:t>SIZE</w:t>
      </w:r>
      <w:r w:rsidRPr="00FA0D37">
        <w:t xml:space="preserve"> (1..maxSL-LCID-r16))</w:t>
      </w:r>
      <w:r w:rsidRPr="00FA0D37">
        <w:rPr>
          <w:color w:val="993366"/>
        </w:rPr>
        <w:t xml:space="preserve"> OF</w:t>
      </w:r>
      <w:r w:rsidRPr="00FA0D37">
        <w:t xml:space="preserve"> SL-RLC-ChannelConfigPC5-r17 </w:t>
      </w:r>
      <w:r w:rsidR="006C302A" w:rsidRPr="00FA0D37">
        <w:t xml:space="preserve"> </w:t>
      </w:r>
      <w:r w:rsidRPr="00FA0D37">
        <w:rPr>
          <w:color w:val="993366"/>
        </w:rPr>
        <w:t>OPTIONAL</w:t>
      </w:r>
      <w:r w:rsidRPr="00FA0D37">
        <w:t xml:space="preserve">, </w:t>
      </w:r>
      <w:r w:rsidRPr="00FA0D37">
        <w:rPr>
          <w:color w:val="808080"/>
        </w:rPr>
        <w:t>-- Need N</w:t>
      </w:r>
    </w:p>
    <w:p w14:paraId="330CEEDC" w14:textId="51A593F7" w:rsidR="00FC41F5" w:rsidRPr="00FA0D37" w:rsidRDefault="00FC41F5"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123445AB" w14:textId="77777777" w:rsidR="00FC41F5" w:rsidRPr="00FA0D37" w:rsidRDefault="00FC41F5" w:rsidP="00FA0D37">
      <w:pPr>
        <w:pStyle w:val="PL"/>
      </w:pPr>
      <w:r w:rsidRPr="00FA0D37">
        <w:t>}</w:t>
      </w:r>
    </w:p>
    <w:p w14:paraId="7A615921" w14:textId="77777777" w:rsidR="00FC41F5" w:rsidRPr="00FA0D37" w:rsidRDefault="00FC41F5" w:rsidP="00FA0D37">
      <w:pPr>
        <w:pStyle w:val="PL"/>
      </w:pPr>
    </w:p>
    <w:p w14:paraId="03A5470B" w14:textId="77777777" w:rsidR="00FC41F5" w:rsidRPr="00FA0D37" w:rsidRDefault="00FC41F5" w:rsidP="00FA0D37">
      <w:pPr>
        <w:pStyle w:val="PL"/>
      </w:pPr>
      <w:r w:rsidRPr="00FA0D37">
        <w:t xml:space="preserve">SL-LatencyBoundIUC-Report-r17::=            </w:t>
      </w:r>
      <w:r w:rsidRPr="00FA0D37">
        <w:rPr>
          <w:color w:val="993366"/>
        </w:rPr>
        <w:t>INTEGER</w:t>
      </w:r>
      <w:r w:rsidRPr="00FA0D37">
        <w:t xml:space="preserve"> (3..160)</w:t>
      </w:r>
    </w:p>
    <w:p w14:paraId="36312F7F" w14:textId="77777777" w:rsidR="00FC41F5" w:rsidRPr="00FA0D37" w:rsidRDefault="00FC41F5" w:rsidP="00FA0D37">
      <w:pPr>
        <w:pStyle w:val="PL"/>
      </w:pPr>
    </w:p>
    <w:p w14:paraId="732AC631" w14:textId="77777777" w:rsidR="00394471" w:rsidRPr="00FA0D37" w:rsidRDefault="00394471" w:rsidP="00FA0D37">
      <w:pPr>
        <w:pStyle w:val="PL"/>
      </w:pPr>
      <w:r w:rsidRPr="00FA0D37">
        <w:t xml:space="preserve">SLRB-Config-r16::=                      </w:t>
      </w:r>
      <w:r w:rsidRPr="00FA0D37">
        <w:rPr>
          <w:color w:val="993366"/>
        </w:rPr>
        <w:t>SEQUENCE</w:t>
      </w:r>
      <w:r w:rsidRPr="00FA0D37">
        <w:t xml:space="preserve"> {</w:t>
      </w:r>
    </w:p>
    <w:p w14:paraId="4B0243C1" w14:textId="77777777" w:rsidR="00394471" w:rsidRPr="00FA0D37" w:rsidRDefault="00394471" w:rsidP="00FA0D37">
      <w:pPr>
        <w:pStyle w:val="PL"/>
        <w:rPr>
          <w:rFonts w:eastAsia="等线"/>
        </w:rPr>
      </w:pPr>
      <w:r w:rsidRPr="00FA0D37">
        <w:t xml:space="preserve">    </w:t>
      </w:r>
      <w:r w:rsidRPr="00FA0D37">
        <w:rPr>
          <w:rFonts w:eastAsia="等线"/>
        </w:rPr>
        <w:t>slrb-PC5-ConfigIndex-r16</w:t>
      </w:r>
      <w:r w:rsidRPr="00FA0D37">
        <w:t xml:space="preserve">                </w:t>
      </w:r>
      <w:r w:rsidRPr="00FA0D37">
        <w:rPr>
          <w:rFonts w:eastAsia="等线"/>
        </w:rPr>
        <w:t>SLRB-PC5-ConfigIndex-r16,</w:t>
      </w:r>
    </w:p>
    <w:p w14:paraId="30EE29FE" w14:textId="77777777" w:rsidR="00394471" w:rsidRPr="00FA0D37" w:rsidRDefault="00394471" w:rsidP="00FA0D37">
      <w:pPr>
        <w:pStyle w:val="PL"/>
        <w:rPr>
          <w:color w:val="808080"/>
        </w:rPr>
      </w:pPr>
      <w:r w:rsidRPr="00FA0D37">
        <w:t xml:space="preserve">    sl-SDAP-ConfigPC5-r16                   SL-SDAP-ConfigPC5-r16                                               </w:t>
      </w:r>
      <w:r w:rsidRPr="00FA0D37">
        <w:rPr>
          <w:color w:val="993366"/>
        </w:rPr>
        <w:t>OPTIONAL</w:t>
      </w:r>
      <w:r w:rsidRPr="00FA0D37">
        <w:t xml:space="preserve">, </w:t>
      </w:r>
      <w:r w:rsidRPr="00FA0D37">
        <w:rPr>
          <w:color w:val="808080"/>
        </w:rPr>
        <w:t>-- Need M</w:t>
      </w:r>
    </w:p>
    <w:p w14:paraId="3BCDB7CF" w14:textId="77777777" w:rsidR="00394471" w:rsidRPr="00FA0D37" w:rsidRDefault="00394471" w:rsidP="00FA0D37">
      <w:pPr>
        <w:pStyle w:val="PL"/>
        <w:rPr>
          <w:color w:val="808080"/>
        </w:rPr>
      </w:pPr>
      <w:r w:rsidRPr="00FA0D37">
        <w:t xml:space="preserve">    sl-PDCP-ConfigPC5-r16                   SL-PDCP-ConfigPC5-r16                                               </w:t>
      </w:r>
      <w:r w:rsidRPr="00FA0D37">
        <w:rPr>
          <w:color w:val="993366"/>
        </w:rPr>
        <w:t>OPTIONAL</w:t>
      </w:r>
      <w:r w:rsidRPr="00FA0D37">
        <w:t xml:space="preserve">, </w:t>
      </w:r>
      <w:r w:rsidRPr="00FA0D37">
        <w:rPr>
          <w:color w:val="808080"/>
        </w:rPr>
        <w:t>-- Need M</w:t>
      </w:r>
    </w:p>
    <w:p w14:paraId="5E11656D" w14:textId="77777777" w:rsidR="00394471" w:rsidRPr="00FA0D37" w:rsidRDefault="00394471" w:rsidP="00FA0D37">
      <w:pPr>
        <w:pStyle w:val="PL"/>
        <w:rPr>
          <w:color w:val="808080"/>
        </w:rPr>
      </w:pPr>
      <w:r w:rsidRPr="00FA0D37">
        <w:t xml:space="preserve">    sl-RLC-ConfigPC5-r16                    SL-RLC-ConfigPC5-r16                                                </w:t>
      </w:r>
      <w:r w:rsidRPr="00FA0D37">
        <w:rPr>
          <w:color w:val="993366"/>
        </w:rPr>
        <w:t>OPTIONAL</w:t>
      </w:r>
      <w:r w:rsidRPr="00FA0D37">
        <w:t xml:space="preserve">, </w:t>
      </w:r>
      <w:r w:rsidRPr="00FA0D37">
        <w:rPr>
          <w:color w:val="808080"/>
        </w:rPr>
        <w:t>-- Need M</w:t>
      </w:r>
    </w:p>
    <w:p w14:paraId="5C6CEFA5" w14:textId="77777777" w:rsidR="00394471" w:rsidRPr="00FA0D37" w:rsidRDefault="00394471" w:rsidP="00FA0D37">
      <w:pPr>
        <w:pStyle w:val="PL"/>
        <w:rPr>
          <w:color w:val="808080"/>
        </w:rPr>
      </w:pPr>
      <w:r w:rsidRPr="00FA0D37">
        <w:t xml:space="preserve">    sl-MAC-LogicalChannelConfigPC5-r16      SL-LogicalChannelConfigPC5-r16                                      </w:t>
      </w:r>
      <w:r w:rsidRPr="00FA0D37">
        <w:rPr>
          <w:color w:val="993366"/>
        </w:rPr>
        <w:t>OPTIONAL</w:t>
      </w:r>
      <w:r w:rsidRPr="00FA0D37">
        <w:t xml:space="preserve">, </w:t>
      </w:r>
      <w:r w:rsidRPr="00FA0D37">
        <w:rPr>
          <w:color w:val="808080"/>
        </w:rPr>
        <w:t>-- Need M</w:t>
      </w:r>
    </w:p>
    <w:p w14:paraId="5A32801B" w14:textId="77777777" w:rsidR="00394471" w:rsidRPr="00FA0D37" w:rsidRDefault="00394471" w:rsidP="00FA0D37">
      <w:pPr>
        <w:pStyle w:val="PL"/>
        <w:rPr>
          <w:rFonts w:eastAsia="等线"/>
        </w:rPr>
      </w:pPr>
      <w:r w:rsidRPr="00FA0D37">
        <w:rPr>
          <w:rFonts w:eastAsia="等线"/>
        </w:rPr>
        <w:t xml:space="preserve">    ...</w:t>
      </w:r>
    </w:p>
    <w:p w14:paraId="5E696C9D" w14:textId="77777777" w:rsidR="00394471" w:rsidRPr="00FA0D37" w:rsidRDefault="00394471" w:rsidP="00FA0D37">
      <w:pPr>
        <w:pStyle w:val="PL"/>
        <w:rPr>
          <w:rFonts w:eastAsia="等线"/>
        </w:rPr>
      </w:pPr>
      <w:r w:rsidRPr="00FA0D37">
        <w:rPr>
          <w:rFonts w:eastAsia="等线"/>
        </w:rPr>
        <w:t>}</w:t>
      </w:r>
    </w:p>
    <w:p w14:paraId="0D78B6F4" w14:textId="77777777" w:rsidR="00394471" w:rsidRPr="00FA0D37" w:rsidRDefault="00394471" w:rsidP="00FA0D37">
      <w:pPr>
        <w:pStyle w:val="PL"/>
      </w:pPr>
    </w:p>
    <w:p w14:paraId="6B0F620A" w14:textId="77777777" w:rsidR="00394471" w:rsidRPr="00FA0D37" w:rsidRDefault="00394471" w:rsidP="00FA0D37">
      <w:pPr>
        <w:pStyle w:val="PL"/>
      </w:pPr>
      <w:r w:rsidRPr="00FA0D37">
        <w:rPr>
          <w:rFonts w:eastAsia="等线"/>
        </w:rPr>
        <w:t>SLRB-PC5-ConfigIndex</w:t>
      </w:r>
      <w:r w:rsidRPr="00FA0D37">
        <w:t xml:space="preserve">-r16 ::=            </w:t>
      </w:r>
      <w:r w:rsidRPr="00FA0D37">
        <w:rPr>
          <w:color w:val="993366"/>
        </w:rPr>
        <w:t>INTEGER</w:t>
      </w:r>
      <w:r w:rsidRPr="00FA0D37">
        <w:t xml:space="preserve"> (1..maxNrofSLRB-r16)</w:t>
      </w:r>
    </w:p>
    <w:p w14:paraId="48310AB3" w14:textId="77777777" w:rsidR="00394471" w:rsidRPr="00FA0D37" w:rsidRDefault="00394471" w:rsidP="00FA0D37">
      <w:pPr>
        <w:pStyle w:val="PL"/>
      </w:pPr>
    </w:p>
    <w:p w14:paraId="1C74529E" w14:textId="77777777" w:rsidR="00394471" w:rsidRPr="00FA0D37" w:rsidRDefault="00394471" w:rsidP="00FA0D37">
      <w:pPr>
        <w:pStyle w:val="PL"/>
      </w:pPr>
      <w:r w:rsidRPr="00FA0D37">
        <w:t xml:space="preserve">SL-SDAP-ConfigPC5-r16 ::=               </w:t>
      </w:r>
      <w:r w:rsidRPr="00FA0D37">
        <w:rPr>
          <w:color w:val="993366"/>
        </w:rPr>
        <w:t>SEQUENCE</w:t>
      </w:r>
      <w:r w:rsidRPr="00FA0D37">
        <w:t xml:space="preserve"> {</w:t>
      </w:r>
    </w:p>
    <w:p w14:paraId="359225DB" w14:textId="77777777" w:rsidR="00394471" w:rsidRPr="00FA0D37" w:rsidRDefault="00394471" w:rsidP="00FA0D37">
      <w:pPr>
        <w:pStyle w:val="PL"/>
        <w:rPr>
          <w:color w:val="808080"/>
        </w:rPr>
      </w:pPr>
      <w:r w:rsidRPr="00FA0D37">
        <w:t xml:space="preserve">    sl-MappedQoS-FlowsToAddList-r16         </w:t>
      </w:r>
      <w:r w:rsidRPr="00FA0D37">
        <w:rPr>
          <w:color w:val="993366"/>
        </w:rPr>
        <w:t>SEQUENCE</w:t>
      </w:r>
      <w:r w:rsidRPr="00FA0D37">
        <w:t xml:space="preserve"> (</w:t>
      </w:r>
      <w:r w:rsidRPr="00FA0D37">
        <w:rPr>
          <w:color w:val="993366"/>
        </w:rPr>
        <w:t>SIZE</w:t>
      </w:r>
      <w:r w:rsidRPr="00FA0D37">
        <w:t xml:space="preserve"> (1.. maxNrofSL-QFIsPerDest-r16))</w:t>
      </w:r>
      <w:r w:rsidRPr="00FA0D37">
        <w:rPr>
          <w:color w:val="993366"/>
        </w:rPr>
        <w:t xml:space="preserve"> OF</w:t>
      </w:r>
      <w:r w:rsidRPr="00FA0D37">
        <w:t xml:space="preserve"> SL-PQFI-r16      </w:t>
      </w:r>
      <w:r w:rsidRPr="00FA0D37">
        <w:rPr>
          <w:color w:val="993366"/>
        </w:rPr>
        <w:t>OPTIONAL</w:t>
      </w:r>
      <w:r w:rsidRPr="00FA0D37">
        <w:t xml:space="preserve">, </w:t>
      </w:r>
      <w:r w:rsidRPr="00FA0D37">
        <w:rPr>
          <w:color w:val="808080"/>
        </w:rPr>
        <w:t>-- Need N</w:t>
      </w:r>
    </w:p>
    <w:p w14:paraId="42C30DB6" w14:textId="77777777" w:rsidR="00394471" w:rsidRPr="00FA0D37" w:rsidRDefault="00394471" w:rsidP="00FA0D37">
      <w:pPr>
        <w:pStyle w:val="PL"/>
        <w:rPr>
          <w:color w:val="808080"/>
        </w:rPr>
      </w:pPr>
      <w:r w:rsidRPr="00FA0D37">
        <w:t xml:space="preserve">    sl-MappedQoS-FlowsToReleaseList-r16     </w:t>
      </w:r>
      <w:r w:rsidRPr="00FA0D37">
        <w:rPr>
          <w:color w:val="993366"/>
        </w:rPr>
        <w:t>SEQUENCE</w:t>
      </w:r>
      <w:r w:rsidRPr="00FA0D37">
        <w:t xml:space="preserve"> (</w:t>
      </w:r>
      <w:r w:rsidRPr="00FA0D37">
        <w:rPr>
          <w:color w:val="993366"/>
        </w:rPr>
        <w:t>SIZE</w:t>
      </w:r>
      <w:r w:rsidRPr="00FA0D37">
        <w:t xml:space="preserve"> (1.. maxNrofSL-QFIsPerDest-r16))</w:t>
      </w:r>
      <w:r w:rsidRPr="00FA0D37">
        <w:rPr>
          <w:color w:val="993366"/>
        </w:rPr>
        <w:t xml:space="preserve"> OF</w:t>
      </w:r>
      <w:r w:rsidRPr="00FA0D37">
        <w:t xml:space="preserve"> SL-PQFI-r16      </w:t>
      </w:r>
      <w:r w:rsidRPr="00FA0D37">
        <w:rPr>
          <w:color w:val="993366"/>
        </w:rPr>
        <w:t>OPTIONAL</w:t>
      </w:r>
      <w:r w:rsidRPr="00FA0D37">
        <w:t xml:space="preserve">, </w:t>
      </w:r>
      <w:r w:rsidRPr="00FA0D37">
        <w:rPr>
          <w:color w:val="808080"/>
        </w:rPr>
        <w:t>-- Need N</w:t>
      </w:r>
    </w:p>
    <w:p w14:paraId="4FF1E013" w14:textId="77777777" w:rsidR="00394471" w:rsidRPr="00FA0D37" w:rsidRDefault="00394471" w:rsidP="00FA0D37">
      <w:pPr>
        <w:pStyle w:val="PL"/>
      </w:pPr>
      <w:r w:rsidRPr="00FA0D37">
        <w:t xml:space="preserve">    sl-SDAP-Header-r16                      </w:t>
      </w:r>
      <w:r w:rsidRPr="00FA0D37">
        <w:rPr>
          <w:color w:val="993366"/>
        </w:rPr>
        <w:t>ENUMERATED</w:t>
      </w:r>
      <w:r w:rsidRPr="00FA0D37">
        <w:t xml:space="preserve"> {present, absent},</w:t>
      </w:r>
    </w:p>
    <w:p w14:paraId="0D2E1465" w14:textId="77777777" w:rsidR="00394471" w:rsidRPr="00FA0D37" w:rsidRDefault="00394471" w:rsidP="00FA0D37">
      <w:pPr>
        <w:pStyle w:val="PL"/>
      </w:pPr>
      <w:r w:rsidRPr="00FA0D37">
        <w:t xml:space="preserve">    </w:t>
      </w:r>
      <w:r w:rsidRPr="00FA0D37">
        <w:rPr>
          <w:rFonts w:eastAsia="等线"/>
        </w:rPr>
        <w:t>...</w:t>
      </w:r>
    </w:p>
    <w:p w14:paraId="3BD111DA" w14:textId="77777777" w:rsidR="00394471" w:rsidRPr="00FA0D37" w:rsidRDefault="00394471" w:rsidP="00FA0D37">
      <w:pPr>
        <w:pStyle w:val="PL"/>
      </w:pPr>
      <w:r w:rsidRPr="00FA0D37">
        <w:t>}</w:t>
      </w:r>
    </w:p>
    <w:p w14:paraId="5EA6A3A6" w14:textId="77777777" w:rsidR="00394471" w:rsidRPr="00FA0D37" w:rsidRDefault="00394471" w:rsidP="00FA0D37">
      <w:pPr>
        <w:pStyle w:val="PL"/>
      </w:pPr>
    </w:p>
    <w:p w14:paraId="39E0EDC6" w14:textId="77777777" w:rsidR="00394471" w:rsidRPr="00FA0D37" w:rsidRDefault="00394471" w:rsidP="00FA0D37">
      <w:pPr>
        <w:pStyle w:val="PL"/>
      </w:pPr>
      <w:r w:rsidRPr="00FA0D37">
        <w:t xml:space="preserve">SL-PDCP-ConfigPC5-r16 ::=               </w:t>
      </w:r>
      <w:r w:rsidRPr="00FA0D37">
        <w:rPr>
          <w:color w:val="993366"/>
        </w:rPr>
        <w:t>SEQUENCE</w:t>
      </w:r>
      <w:r w:rsidRPr="00FA0D37">
        <w:t xml:space="preserve"> {</w:t>
      </w:r>
    </w:p>
    <w:p w14:paraId="050E8FF0" w14:textId="77777777" w:rsidR="00394471" w:rsidRPr="00FA0D37" w:rsidRDefault="00394471" w:rsidP="00FA0D37">
      <w:pPr>
        <w:pStyle w:val="PL"/>
        <w:rPr>
          <w:color w:val="808080"/>
        </w:rPr>
      </w:pPr>
      <w:r w:rsidRPr="00FA0D37">
        <w:t xml:space="preserve">    sl-PDCP-SN-Size-r16                     </w:t>
      </w:r>
      <w:r w:rsidRPr="00FA0D37">
        <w:rPr>
          <w:color w:val="993366"/>
        </w:rPr>
        <w:t>ENUMERATED</w:t>
      </w:r>
      <w:r w:rsidRPr="00FA0D37">
        <w:t xml:space="preserve"> {len12bits, len18bits}                                   </w:t>
      </w:r>
      <w:r w:rsidRPr="00FA0D37">
        <w:rPr>
          <w:color w:val="993366"/>
        </w:rPr>
        <w:t>OPTIONAL</w:t>
      </w:r>
      <w:r w:rsidRPr="00FA0D37">
        <w:t xml:space="preserve">, </w:t>
      </w:r>
      <w:r w:rsidRPr="00FA0D37">
        <w:rPr>
          <w:color w:val="808080"/>
        </w:rPr>
        <w:t>-- Need M</w:t>
      </w:r>
    </w:p>
    <w:p w14:paraId="1AB496D9" w14:textId="77777777" w:rsidR="00394471" w:rsidRPr="00FA0D37" w:rsidRDefault="00394471" w:rsidP="00FA0D37">
      <w:pPr>
        <w:pStyle w:val="PL"/>
        <w:rPr>
          <w:color w:val="808080"/>
        </w:rPr>
      </w:pPr>
      <w:r w:rsidRPr="00FA0D37">
        <w:t xml:space="preserve">    sl-OutOfOrderDelivery-r16               </w:t>
      </w:r>
      <w:r w:rsidRPr="00FA0D37">
        <w:rPr>
          <w:color w:val="993366"/>
        </w:rPr>
        <w:t>ENUMERATED</w:t>
      </w:r>
      <w:r w:rsidRPr="00FA0D37">
        <w:t xml:space="preserve"> { true }                                                 </w:t>
      </w:r>
      <w:r w:rsidRPr="00FA0D37">
        <w:rPr>
          <w:color w:val="993366"/>
        </w:rPr>
        <w:t>OPTIONAL</w:t>
      </w:r>
      <w:r w:rsidRPr="00FA0D37">
        <w:t xml:space="preserve">,  </w:t>
      </w:r>
      <w:r w:rsidRPr="00FA0D37">
        <w:rPr>
          <w:color w:val="808080"/>
        </w:rPr>
        <w:t>-- Need R</w:t>
      </w:r>
    </w:p>
    <w:p w14:paraId="1D0BC033" w14:textId="77777777" w:rsidR="00394471" w:rsidRPr="00FA0D37" w:rsidRDefault="00394471" w:rsidP="00FA0D37">
      <w:pPr>
        <w:pStyle w:val="PL"/>
      </w:pPr>
      <w:r w:rsidRPr="00FA0D37">
        <w:t xml:space="preserve">    </w:t>
      </w:r>
      <w:r w:rsidRPr="00FA0D37">
        <w:rPr>
          <w:rFonts w:eastAsia="等线"/>
        </w:rPr>
        <w:t>...</w:t>
      </w:r>
    </w:p>
    <w:p w14:paraId="66D9354C" w14:textId="77777777" w:rsidR="00394471" w:rsidRPr="00FA0D37" w:rsidRDefault="00394471" w:rsidP="00FA0D37">
      <w:pPr>
        <w:pStyle w:val="PL"/>
      </w:pPr>
      <w:r w:rsidRPr="00FA0D37">
        <w:t>}</w:t>
      </w:r>
    </w:p>
    <w:p w14:paraId="35DE9D78" w14:textId="77777777" w:rsidR="00394471" w:rsidRPr="00FA0D37" w:rsidRDefault="00394471" w:rsidP="00FA0D37">
      <w:pPr>
        <w:pStyle w:val="PL"/>
      </w:pPr>
    </w:p>
    <w:p w14:paraId="384BDDE9" w14:textId="77777777" w:rsidR="00394471" w:rsidRPr="00FA0D37" w:rsidRDefault="00394471" w:rsidP="00FA0D37">
      <w:pPr>
        <w:pStyle w:val="PL"/>
      </w:pPr>
      <w:r w:rsidRPr="00FA0D37">
        <w:t xml:space="preserve">SL-RLC-ConfigPC5-r16 ::=                </w:t>
      </w:r>
      <w:r w:rsidRPr="00FA0D37">
        <w:rPr>
          <w:color w:val="993366"/>
        </w:rPr>
        <w:t>CHOICE</w:t>
      </w:r>
      <w:r w:rsidRPr="00FA0D37">
        <w:t xml:space="preserve"> {</w:t>
      </w:r>
    </w:p>
    <w:p w14:paraId="518CFAE7" w14:textId="77777777" w:rsidR="00394471" w:rsidRPr="00FA0D37" w:rsidRDefault="00394471" w:rsidP="00FA0D37">
      <w:pPr>
        <w:pStyle w:val="PL"/>
      </w:pPr>
      <w:r w:rsidRPr="00FA0D37">
        <w:t xml:space="preserve">    sl-AM-RLC-r16                           </w:t>
      </w:r>
      <w:r w:rsidRPr="00FA0D37">
        <w:rPr>
          <w:color w:val="993366"/>
        </w:rPr>
        <w:t>SEQUENCE</w:t>
      </w:r>
      <w:r w:rsidRPr="00FA0D37">
        <w:t xml:space="preserve"> {</w:t>
      </w:r>
    </w:p>
    <w:p w14:paraId="28823FCB" w14:textId="77777777" w:rsidR="00394471" w:rsidRPr="00FA0D37" w:rsidRDefault="00394471" w:rsidP="00FA0D37">
      <w:pPr>
        <w:pStyle w:val="PL"/>
        <w:rPr>
          <w:color w:val="808080"/>
        </w:rPr>
      </w:pPr>
      <w:r w:rsidRPr="00FA0D37">
        <w:t xml:space="preserve">        sl-SN-FieldLengthAM-r16                 SN-FieldLengthAM                                                </w:t>
      </w:r>
      <w:r w:rsidRPr="00FA0D37">
        <w:rPr>
          <w:color w:val="993366"/>
        </w:rPr>
        <w:t>OPTIONAL</w:t>
      </w:r>
      <w:r w:rsidRPr="00FA0D37">
        <w:t xml:space="preserve">, </w:t>
      </w:r>
      <w:r w:rsidRPr="00FA0D37">
        <w:rPr>
          <w:color w:val="808080"/>
        </w:rPr>
        <w:t>-- Need M</w:t>
      </w:r>
    </w:p>
    <w:p w14:paraId="27D61A5A" w14:textId="77777777" w:rsidR="00394471" w:rsidRPr="00FA0D37" w:rsidRDefault="00394471" w:rsidP="00FA0D37">
      <w:pPr>
        <w:pStyle w:val="PL"/>
        <w:rPr>
          <w:rFonts w:eastAsia="等线"/>
        </w:rPr>
      </w:pPr>
      <w:r w:rsidRPr="00FA0D37">
        <w:t xml:space="preserve">        </w:t>
      </w:r>
      <w:r w:rsidRPr="00FA0D37">
        <w:rPr>
          <w:rFonts w:eastAsia="等线"/>
        </w:rPr>
        <w:t>...</w:t>
      </w:r>
    </w:p>
    <w:p w14:paraId="5BBDACBC" w14:textId="77777777" w:rsidR="00394471" w:rsidRPr="00FA0D37" w:rsidRDefault="00394471" w:rsidP="00FA0D37">
      <w:pPr>
        <w:pStyle w:val="PL"/>
        <w:rPr>
          <w:rFonts w:eastAsia="等线"/>
        </w:rPr>
      </w:pPr>
      <w:r w:rsidRPr="00FA0D37">
        <w:t xml:space="preserve">    </w:t>
      </w:r>
      <w:r w:rsidRPr="00FA0D37">
        <w:rPr>
          <w:rFonts w:eastAsia="等线"/>
        </w:rPr>
        <w:t>},</w:t>
      </w:r>
    </w:p>
    <w:p w14:paraId="1698916D" w14:textId="77777777" w:rsidR="00394471" w:rsidRPr="00FA0D37" w:rsidRDefault="00394471" w:rsidP="00FA0D37">
      <w:pPr>
        <w:pStyle w:val="PL"/>
      </w:pPr>
      <w:r w:rsidRPr="00FA0D37">
        <w:t xml:space="preserve">    sl-UM-Bi-Directional-RLC-r16            </w:t>
      </w:r>
      <w:r w:rsidRPr="00FA0D37">
        <w:rPr>
          <w:color w:val="993366"/>
        </w:rPr>
        <w:t>SEQUENCE</w:t>
      </w:r>
      <w:r w:rsidRPr="00FA0D37">
        <w:t xml:space="preserve"> {</w:t>
      </w:r>
    </w:p>
    <w:p w14:paraId="760FB000" w14:textId="77777777" w:rsidR="00394471" w:rsidRPr="00FA0D37" w:rsidRDefault="00394471" w:rsidP="00FA0D37">
      <w:pPr>
        <w:pStyle w:val="PL"/>
        <w:rPr>
          <w:color w:val="808080"/>
        </w:rPr>
      </w:pPr>
      <w:r w:rsidRPr="00FA0D37">
        <w:t xml:space="preserve">        sl-SN-FieldLengthUM-r16                 SN-FieldLengthUM                                                </w:t>
      </w:r>
      <w:r w:rsidRPr="00FA0D37">
        <w:rPr>
          <w:color w:val="993366"/>
        </w:rPr>
        <w:t>OPTIONAL</w:t>
      </w:r>
      <w:r w:rsidRPr="00FA0D37">
        <w:t xml:space="preserve">, </w:t>
      </w:r>
      <w:r w:rsidRPr="00FA0D37">
        <w:rPr>
          <w:color w:val="808080"/>
        </w:rPr>
        <w:t>-- Need M</w:t>
      </w:r>
    </w:p>
    <w:p w14:paraId="52DFF30C" w14:textId="77777777" w:rsidR="00394471" w:rsidRPr="00FA0D37" w:rsidRDefault="00394471" w:rsidP="00FA0D37">
      <w:pPr>
        <w:pStyle w:val="PL"/>
        <w:rPr>
          <w:rFonts w:eastAsia="等线"/>
        </w:rPr>
      </w:pPr>
      <w:r w:rsidRPr="00FA0D37">
        <w:t xml:space="preserve">        </w:t>
      </w:r>
      <w:r w:rsidRPr="00FA0D37">
        <w:rPr>
          <w:rFonts w:eastAsia="等线"/>
        </w:rPr>
        <w:t>...</w:t>
      </w:r>
    </w:p>
    <w:p w14:paraId="747C07B8" w14:textId="77777777" w:rsidR="00394471" w:rsidRPr="00FA0D37" w:rsidRDefault="00394471" w:rsidP="00FA0D37">
      <w:pPr>
        <w:pStyle w:val="PL"/>
        <w:rPr>
          <w:rFonts w:eastAsia="等线"/>
        </w:rPr>
      </w:pPr>
      <w:r w:rsidRPr="00FA0D37">
        <w:t xml:space="preserve">    </w:t>
      </w:r>
      <w:r w:rsidRPr="00FA0D37">
        <w:rPr>
          <w:rFonts w:eastAsia="等线"/>
        </w:rPr>
        <w:t>},</w:t>
      </w:r>
    </w:p>
    <w:p w14:paraId="5541216B" w14:textId="77777777" w:rsidR="00394471" w:rsidRPr="00FA0D37" w:rsidRDefault="00394471" w:rsidP="00FA0D37">
      <w:pPr>
        <w:pStyle w:val="PL"/>
      </w:pPr>
      <w:r w:rsidRPr="00FA0D37">
        <w:t xml:space="preserve">    sl-UM-Uni-Directional-RLC-r16           </w:t>
      </w:r>
      <w:r w:rsidRPr="00FA0D37">
        <w:rPr>
          <w:color w:val="993366"/>
        </w:rPr>
        <w:t>SEQUENCE</w:t>
      </w:r>
      <w:r w:rsidRPr="00FA0D37">
        <w:t xml:space="preserve"> {</w:t>
      </w:r>
    </w:p>
    <w:p w14:paraId="3EABDE36" w14:textId="77777777" w:rsidR="00394471" w:rsidRPr="00FA0D37" w:rsidRDefault="00394471" w:rsidP="00FA0D37">
      <w:pPr>
        <w:pStyle w:val="PL"/>
        <w:rPr>
          <w:color w:val="808080"/>
        </w:rPr>
      </w:pPr>
      <w:r w:rsidRPr="00FA0D37">
        <w:t xml:space="preserve">        sl-SN-FieldLengthUM-r16                 SN-FieldLengthUM                                                </w:t>
      </w:r>
      <w:r w:rsidRPr="00FA0D37">
        <w:rPr>
          <w:color w:val="993366"/>
        </w:rPr>
        <w:t>OPTIONAL</w:t>
      </w:r>
      <w:r w:rsidRPr="00FA0D37">
        <w:t xml:space="preserve">, </w:t>
      </w:r>
      <w:r w:rsidRPr="00FA0D37">
        <w:rPr>
          <w:color w:val="808080"/>
        </w:rPr>
        <w:t>-- Need M</w:t>
      </w:r>
    </w:p>
    <w:p w14:paraId="62789D60" w14:textId="77777777" w:rsidR="00394471" w:rsidRPr="00FA0D37" w:rsidRDefault="00394471" w:rsidP="00FA0D37">
      <w:pPr>
        <w:pStyle w:val="PL"/>
        <w:rPr>
          <w:rFonts w:eastAsia="等线"/>
        </w:rPr>
      </w:pPr>
      <w:r w:rsidRPr="00FA0D37">
        <w:t xml:space="preserve">        </w:t>
      </w:r>
      <w:r w:rsidRPr="00FA0D37">
        <w:rPr>
          <w:rFonts w:eastAsia="等线"/>
        </w:rPr>
        <w:t>...</w:t>
      </w:r>
    </w:p>
    <w:p w14:paraId="483A4AF5" w14:textId="77777777" w:rsidR="00394471" w:rsidRPr="00FA0D37" w:rsidRDefault="00394471" w:rsidP="00FA0D37">
      <w:pPr>
        <w:pStyle w:val="PL"/>
        <w:rPr>
          <w:rFonts w:eastAsia="等线"/>
        </w:rPr>
      </w:pPr>
      <w:r w:rsidRPr="00FA0D37">
        <w:t xml:space="preserve">    </w:t>
      </w:r>
      <w:r w:rsidRPr="00FA0D37">
        <w:rPr>
          <w:rFonts w:eastAsia="等线"/>
        </w:rPr>
        <w:t>}</w:t>
      </w:r>
    </w:p>
    <w:p w14:paraId="7F5A8619" w14:textId="77777777" w:rsidR="00394471" w:rsidRPr="00FA0D37" w:rsidRDefault="00394471" w:rsidP="00FA0D37">
      <w:pPr>
        <w:pStyle w:val="PL"/>
      </w:pPr>
      <w:r w:rsidRPr="00FA0D37">
        <w:t>}</w:t>
      </w:r>
    </w:p>
    <w:p w14:paraId="4ED758E7" w14:textId="77777777" w:rsidR="00394471" w:rsidRPr="00FA0D37" w:rsidRDefault="00394471" w:rsidP="00FA0D37">
      <w:pPr>
        <w:pStyle w:val="PL"/>
      </w:pPr>
    </w:p>
    <w:p w14:paraId="367A7E72" w14:textId="77777777" w:rsidR="00394471" w:rsidRPr="00FA0D37" w:rsidRDefault="00394471" w:rsidP="00FA0D37">
      <w:pPr>
        <w:pStyle w:val="PL"/>
      </w:pPr>
      <w:r w:rsidRPr="00FA0D37">
        <w:t xml:space="preserve">SL-LogicalChannelConfigPC5-r16 ::=      </w:t>
      </w:r>
      <w:r w:rsidRPr="00FA0D37">
        <w:rPr>
          <w:color w:val="993366"/>
        </w:rPr>
        <w:t>SEQUENCE</w:t>
      </w:r>
      <w:r w:rsidRPr="00FA0D37">
        <w:t xml:space="preserve"> {</w:t>
      </w:r>
    </w:p>
    <w:p w14:paraId="14519DCE" w14:textId="77777777" w:rsidR="00394471" w:rsidRPr="00FA0D37" w:rsidRDefault="00394471" w:rsidP="00FA0D37">
      <w:pPr>
        <w:pStyle w:val="PL"/>
      </w:pPr>
      <w:r w:rsidRPr="00FA0D37">
        <w:t xml:space="preserve">    sl-LogicalChannelIdentity-r16           LogicalChannelIdentity,</w:t>
      </w:r>
    </w:p>
    <w:p w14:paraId="1A1F98C4" w14:textId="77777777" w:rsidR="00394471" w:rsidRPr="00FA0D37" w:rsidRDefault="00394471" w:rsidP="00FA0D37">
      <w:pPr>
        <w:pStyle w:val="PL"/>
        <w:rPr>
          <w:rFonts w:eastAsia="等线"/>
        </w:rPr>
      </w:pPr>
      <w:r w:rsidRPr="00FA0D37">
        <w:t xml:space="preserve">    </w:t>
      </w:r>
      <w:r w:rsidRPr="00FA0D37">
        <w:rPr>
          <w:rFonts w:eastAsia="等线"/>
        </w:rPr>
        <w:t>...</w:t>
      </w:r>
    </w:p>
    <w:p w14:paraId="49346222" w14:textId="77777777" w:rsidR="00394471" w:rsidRPr="00FA0D37" w:rsidRDefault="00394471" w:rsidP="00FA0D37">
      <w:pPr>
        <w:pStyle w:val="PL"/>
      </w:pPr>
      <w:r w:rsidRPr="00FA0D37">
        <w:t>}</w:t>
      </w:r>
    </w:p>
    <w:p w14:paraId="79A57E67" w14:textId="77777777" w:rsidR="00394471" w:rsidRPr="00FA0D37" w:rsidRDefault="00394471" w:rsidP="00FA0D37">
      <w:pPr>
        <w:pStyle w:val="PL"/>
      </w:pPr>
    </w:p>
    <w:p w14:paraId="5CEF1D44" w14:textId="77777777" w:rsidR="00394471" w:rsidRPr="00FA0D37" w:rsidRDefault="00394471" w:rsidP="00FA0D37">
      <w:pPr>
        <w:pStyle w:val="PL"/>
      </w:pPr>
      <w:r w:rsidRPr="00FA0D37">
        <w:t xml:space="preserve">SL-PQFI-r16 ::=                         </w:t>
      </w:r>
      <w:r w:rsidRPr="00FA0D37">
        <w:rPr>
          <w:color w:val="993366"/>
        </w:rPr>
        <w:t>INTEGER</w:t>
      </w:r>
      <w:r w:rsidRPr="00FA0D37">
        <w:t xml:space="preserve"> (1..64)</w:t>
      </w:r>
    </w:p>
    <w:p w14:paraId="5C42B09D" w14:textId="77777777" w:rsidR="00394471" w:rsidRPr="00FA0D37" w:rsidRDefault="00394471" w:rsidP="00FA0D37">
      <w:pPr>
        <w:pStyle w:val="PL"/>
      </w:pPr>
    </w:p>
    <w:p w14:paraId="057E5AFE" w14:textId="77777777" w:rsidR="00394471" w:rsidRPr="00FA0D37" w:rsidRDefault="00394471" w:rsidP="00FA0D37">
      <w:pPr>
        <w:pStyle w:val="PL"/>
      </w:pPr>
      <w:r w:rsidRPr="00FA0D37">
        <w:t xml:space="preserve">SL-CSI-RS-Config-r16 ::=                </w:t>
      </w:r>
      <w:r w:rsidRPr="00FA0D37">
        <w:rPr>
          <w:color w:val="993366"/>
        </w:rPr>
        <w:t>SEQUENCE</w:t>
      </w:r>
      <w:r w:rsidRPr="00FA0D37">
        <w:t xml:space="preserve"> {</w:t>
      </w:r>
    </w:p>
    <w:p w14:paraId="5B758196" w14:textId="77777777" w:rsidR="00394471" w:rsidRPr="00FA0D37" w:rsidRDefault="00394471" w:rsidP="00FA0D37">
      <w:pPr>
        <w:pStyle w:val="PL"/>
      </w:pPr>
      <w:r w:rsidRPr="00FA0D37">
        <w:t xml:space="preserve">    sl-CSI-RS-FreqAllocation-r16            </w:t>
      </w:r>
      <w:r w:rsidRPr="00FA0D37">
        <w:rPr>
          <w:color w:val="993366"/>
        </w:rPr>
        <w:t>CHOICE</w:t>
      </w:r>
      <w:r w:rsidRPr="00FA0D37">
        <w:t xml:space="preserve"> {</w:t>
      </w:r>
    </w:p>
    <w:p w14:paraId="45F943FD" w14:textId="77777777" w:rsidR="00394471" w:rsidRPr="00FA0D37" w:rsidRDefault="00394471" w:rsidP="00FA0D37">
      <w:pPr>
        <w:pStyle w:val="PL"/>
      </w:pPr>
      <w:r w:rsidRPr="00FA0D37">
        <w:t xml:space="preserve">        sl-OneAntennaPort-r16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(12)),</w:t>
      </w:r>
    </w:p>
    <w:p w14:paraId="06B21B5A" w14:textId="77777777" w:rsidR="00394471" w:rsidRPr="00FA0D37" w:rsidRDefault="00394471" w:rsidP="00FA0D37">
      <w:pPr>
        <w:pStyle w:val="PL"/>
      </w:pPr>
      <w:r w:rsidRPr="00FA0D37">
        <w:t xml:space="preserve">        sl-TwoAntennaPort-r16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(6))</w:t>
      </w:r>
    </w:p>
    <w:p w14:paraId="79D00862" w14:textId="77777777" w:rsidR="00394471" w:rsidRPr="00FA0D37" w:rsidRDefault="00394471" w:rsidP="00FA0D37">
      <w:pPr>
        <w:pStyle w:val="PL"/>
        <w:rPr>
          <w:color w:val="808080"/>
        </w:rPr>
      </w:pPr>
      <w:r w:rsidRPr="00FA0D37">
        <w:t xml:space="preserve">    }                                                                                                           </w:t>
      </w:r>
      <w:r w:rsidRPr="00FA0D37">
        <w:rPr>
          <w:color w:val="993366"/>
        </w:rPr>
        <w:t>OPTIONAL</w:t>
      </w:r>
      <w:r w:rsidRPr="00FA0D37">
        <w:t xml:space="preserve">, </w:t>
      </w:r>
      <w:r w:rsidRPr="00FA0D37">
        <w:rPr>
          <w:color w:val="808080"/>
        </w:rPr>
        <w:t>-- Need M</w:t>
      </w:r>
    </w:p>
    <w:p w14:paraId="3CDE9CC0" w14:textId="77777777" w:rsidR="00394471" w:rsidRPr="00FA0D37" w:rsidRDefault="00394471" w:rsidP="00FA0D37">
      <w:pPr>
        <w:pStyle w:val="PL"/>
        <w:rPr>
          <w:color w:val="808080"/>
        </w:rPr>
      </w:pPr>
      <w:r w:rsidRPr="00FA0D37">
        <w:t xml:space="preserve">    sl-CSI-RS-FirstSymbol-r16               </w:t>
      </w:r>
      <w:r w:rsidRPr="00FA0D37">
        <w:rPr>
          <w:color w:val="993366"/>
        </w:rPr>
        <w:t>INTEGER</w:t>
      </w:r>
      <w:r w:rsidRPr="00FA0D37">
        <w:t xml:space="preserve"> (3..12)                                                     </w:t>
      </w:r>
      <w:r w:rsidRPr="00FA0D37">
        <w:rPr>
          <w:color w:val="993366"/>
        </w:rPr>
        <w:t>OPTIONAL</w:t>
      </w:r>
      <w:r w:rsidRPr="00FA0D37">
        <w:t xml:space="preserve">, </w:t>
      </w:r>
      <w:r w:rsidRPr="00FA0D37">
        <w:rPr>
          <w:color w:val="808080"/>
        </w:rPr>
        <w:t>-- Need M</w:t>
      </w:r>
    </w:p>
    <w:p w14:paraId="4330430C" w14:textId="77777777" w:rsidR="00394471" w:rsidRPr="00FA0D37" w:rsidRDefault="00394471" w:rsidP="00FA0D37">
      <w:pPr>
        <w:pStyle w:val="PL"/>
        <w:rPr>
          <w:rFonts w:eastAsia="等线"/>
        </w:rPr>
      </w:pPr>
      <w:r w:rsidRPr="00FA0D37">
        <w:t xml:space="preserve">    </w:t>
      </w:r>
      <w:r w:rsidRPr="00FA0D37">
        <w:rPr>
          <w:rFonts w:eastAsia="等线"/>
        </w:rPr>
        <w:t>...</w:t>
      </w:r>
    </w:p>
    <w:p w14:paraId="2D890046" w14:textId="77777777" w:rsidR="00394471" w:rsidRPr="00FA0D37" w:rsidRDefault="00394471" w:rsidP="00FA0D37">
      <w:pPr>
        <w:pStyle w:val="PL"/>
      </w:pPr>
      <w:r w:rsidRPr="00FA0D37">
        <w:t>}</w:t>
      </w:r>
    </w:p>
    <w:p w14:paraId="43805C68" w14:textId="77777777" w:rsidR="00E81DFA" w:rsidRPr="00FA0D37" w:rsidRDefault="00E81DFA" w:rsidP="00FA0D37">
      <w:pPr>
        <w:pStyle w:val="PL"/>
      </w:pPr>
    </w:p>
    <w:p w14:paraId="2E65C91D" w14:textId="40840BA7" w:rsidR="00E81DFA" w:rsidRPr="00FA0D37" w:rsidRDefault="00E81DFA" w:rsidP="00FA0D37">
      <w:pPr>
        <w:pStyle w:val="PL"/>
      </w:pPr>
      <w:r w:rsidRPr="00FA0D37">
        <w:t xml:space="preserve">SL-RLC-ChannelConfigPC5-r17::=         </w:t>
      </w:r>
      <w:r w:rsidR="006C302A" w:rsidRPr="00FA0D37">
        <w:t xml:space="preserve"> </w:t>
      </w:r>
      <w:r w:rsidRPr="00FA0D37">
        <w:rPr>
          <w:color w:val="993366"/>
        </w:rPr>
        <w:t>SEQUENCE</w:t>
      </w:r>
      <w:r w:rsidRPr="00FA0D37">
        <w:t xml:space="preserve"> {</w:t>
      </w:r>
    </w:p>
    <w:p w14:paraId="11E13461" w14:textId="713BD8FA" w:rsidR="00E81DFA" w:rsidRPr="00FA0D37" w:rsidRDefault="00E81DFA" w:rsidP="00FA0D37">
      <w:pPr>
        <w:pStyle w:val="PL"/>
      </w:pPr>
      <w:r w:rsidRPr="00FA0D37">
        <w:t xml:space="preserve">    sl-RLC-ChannelID-PC5-r17                SL-RLC-ChannelID-r17,</w:t>
      </w:r>
    </w:p>
    <w:p w14:paraId="07A334B9" w14:textId="77777777" w:rsidR="00E81DFA" w:rsidRPr="00FA0D37" w:rsidRDefault="00E81DFA" w:rsidP="00FA0D37">
      <w:pPr>
        <w:pStyle w:val="PL"/>
        <w:rPr>
          <w:color w:val="808080"/>
        </w:rPr>
      </w:pPr>
      <w:r w:rsidRPr="00FA0D37">
        <w:t xml:space="preserve">    sl-RLC-ConfigPC5-r17                    SL-RLC-ConfigPC5-r16                                                </w:t>
      </w:r>
      <w:r w:rsidRPr="00FA0D37">
        <w:rPr>
          <w:color w:val="993366"/>
        </w:rPr>
        <w:t>OPTIONAL</w:t>
      </w:r>
      <w:r w:rsidRPr="00FA0D37">
        <w:t xml:space="preserve">, </w:t>
      </w:r>
      <w:r w:rsidRPr="00FA0D37">
        <w:rPr>
          <w:color w:val="808080"/>
        </w:rPr>
        <w:t>-- Need M</w:t>
      </w:r>
    </w:p>
    <w:p w14:paraId="1B2A5BA0" w14:textId="77777777" w:rsidR="00E81DFA" w:rsidRPr="00FA0D37" w:rsidRDefault="00E81DFA" w:rsidP="00FA0D37">
      <w:pPr>
        <w:pStyle w:val="PL"/>
        <w:rPr>
          <w:color w:val="808080"/>
        </w:rPr>
      </w:pPr>
      <w:r w:rsidRPr="00FA0D37">
        <w:t xml:space="preserve">    sl-MAC-LogicalChannelConfigPC5-r17      SL-LogicalChannelConfigPC5-r16                                      </w:t>
      </w:r>
      <w:r w:rsidRPr="00FA0D37">
        <w:rPr>
          <w:color w:val="993366"/>
        </w:rPr>
        <w:t>OPTIONAL</w:t>
      </w:r>
      <w:r w:rsidRPr="00FA0D37">
        <w:t xml:space="preserve">, </w:t>
      </w:r>
      <w:r w:rsidRPr="00FA0D37">
        <w:rPr>
          <w:color w:val="808080"/>
        </w:rPr>
        <w:t>-- Need M</w:t>
      </w:r>
    </w:p>
    <w:p w14:paraId="4309C85D" w14:textId="77777777" w:rsidR="00E81DFA" w:rsidRPr="00FA0D37" w:rsidRDefault="00E81DFA" w:rsidP="00FA0D37">
      <w:pPr>
        <w:pStyle w:val="PL"/>
      </w:pPr>
      <w:r w:rsidRPr="00FA0D37">
        <w:t xml:space="preserve">    ...</w:t>
      </w:r>
    </w:p>
    <w:p w14:paraId="7BDC39E5" w14:textId="02CC44A0" w:rsidR="00394471" w:rsidRPr="00FA0D37" w:rsidRDefault="00E81DFA" w:rsidP="00FA0D37">
      <w:pPr>
        <w:pStyle w:val="PL"/>
      </w:pPr>
      <w:r w:rsidRPr="00FA0D37">
        <w:t>}</w:t>
      </w:r>
    </w:p>
    <w:p w14:paraId="71716A71" w14:textId="77777777" w:rsidR="00E81DFA" w:rsidRPr="00FA0D37" w:rsidRDefault="00E81DFA" w:rsidP="00FA0D37">
      <w:pPr>
        <w:pStyle w:val="PL"/>
      </w:pPr>
    </w:p>
    <w:p w14:paraId="4AA5F66F" w14:textId="77777777" w:rsidR="00394471" w:rsidRPr="00FA0D37" w:rsidRDefault="00394471" w:rsidP="00FA0D37">
      <w:pPr>
        <w:pStyle w:val="PL"/>
        <w:rPr>
          <w:color w:val="808080"/>
        </w:rPr>
      </w:pPr>
      <w:r w:rsidRPr="00FA0D37">
        <w:rPr>
          <w:color w:val="808080"/>
        </w:rPr>
        <w:t>-- TAG-RRCRECONFIGURATIONSIDELINK-STOP</w:t>
      </w:r>
    </w:p>
    <w:p w14:paraId="5BEBDE0F" w14:textId="77777777" w:rsidR="00394471" w:rsidRPr="00FA0D37" w:rsidRDefault="00394471" w:rsidP="00FA0D37">
      <w:pPr>
        <w:pStyle w:val="PL"/>
        <w:rPr>
          <w:color w:val="808080"/>
        </w:rPr>
      </w:pPr>
      <w:r w:rsidRPr="00FA0D37">
        <w:rPr>
          <w:color w:val="808080"/>
        </w:rPr>
        <w:t>-- ASN1STOP</w:t>
      </w:r>
    </w:p>
    <w:p w14:paraId="02B2C835"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585798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75C2B" w14:textId="77777777" w:rsidR="00394471" w:rsidRPr="00FA0D37" w:rsidRDefault="00394471" w:rsidP="00964CC4">
            <w:pPr>
              <w:pStyle w:val="TAH"/>
              <w:rPr>
                <w:b w:val="0"/>
                <w:szCs w:val="22"/>
                <w:lang w:eastAsia="sv-SE"/>
              </w:rPr>
            </w:pPr>
            <w:r w:rsidRPr="00FA0D37">
              <w:rPr>
                <w:i/>
                <w:iCs/>
                <w:noProof/>
                <w:lang w:eastAsia="sv-SE"/>
              </w:rPr>
              <w:t>RRCReconfigurationSidelink</w:t>
            </w:r>
            <w:r w:rsidRPr="00FA0D37">
              <w:rPr>
                <w:szCs w:val="22"/>
                <w:lang w:eastAsia="sv-SE"/>
              </w:rPr>
              <w:t xml:space="preserve"> field descriptions</w:t>
            </w:r>
          </w:p>
        </w:tc>
      </w:tr>
      <w:tr w:rsidR="005C7FF4" w:rsidRPr="00FA0D37" w14:paraId="55977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4272E" w14:textId="77777777" w:rsidR="00394471" w:rsidRPr="00FA0D37" w:rsidRDefault="00394471" w:rsidP="00964CC4">
            <w:pPr>
              <w:pStyle w:val="TAL"/>
              <w:rPr>
                <w:b/>
                <w:bCs/>
                <w:i/>
                <w:iCs/>
                <w:lang w:eastAsia="sv-SE"/>
              </w:rPr>
            </w:pPr>
            <w:r w:rsidRPr="00FA0D37">
              <w:rPr>
                <w:b/>
                <w:bCs/>
                <w:i/>
                <w:iCs/>
                <w:lang w:eastAsia="sv-SE"/>
              </w:rPr>
              <w:t>sl-CSI-RS-FreqAllocation</w:t>
            </w:r>
          </w:p>
          <w:p w14:paraId="55AFD551" w14:textId="77777777" w:rsidR="00394471" w:rsidRPr="00FA0D37" w:rsidRDefault="00394471" w:rsidP="00964CC4">
            <w:pPr>
              <w:pStyle w:val="TAL"/>
              <w:rPr>
                <w:noProof/>
                <w:lang w:eastAsia="sv-SE"/>
              </w:rPr>
            </w:pPr>
            <w:r w:rsidRPr="00FA0D37">
              <w:rPr>
                <w:lang w:eastAsia="sv-SE"/>
              </w:rPr>
              <w:t>Indicates the frequency domain position for sidelink CSI-RS.</w:t>
            </w:r>
          </w:p>
        </w:tc>
      </w:tr>
      <w:tr w:rsidR="005C7FF4" w:rsidRPr="00FA0D37" w14:paraId="0E669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4F571A" w14:textId="77777777" w:rsidR="00394471" w:rsidRPr="00FA0D37" w:rsidRDefault="00394471" w:rsidP="00964CC4">
            <w:pPr>
              <w:pStyle w:val="TAL"/>
              <w:rPr>
                <w:b/>
                <w:bCs/>
                <w:i/>
                <w:iCs/>
                <w:lang w:eastAsia="sv-SE"/>
              </w:rPr>
            </w:pPr>
            <w:r w:rsidRPr="00FA0D37">
              <w:rPr>
                <w:b/>
                <w:bCs/>
                <w:i/>
                <w:iCs/>
                <w:lang w:eastAsia="sv-SE"/>
              </w:rPr>
              <w:t>sl-CSI-RS-FirstSymbol</w:t>
            </w:r>
          </w:p>
          <w:p w14:paraId="11CD5C9C" w14:textId="77777777" w:rsidR="00394471" w:rsidRPr="00FA0D37" w:rsidRDefault="00394471" w:rsidP="00964CC4">
            <w:pPr>
              <w:pStyle w:val="TAL"/>
              <w:rPr>
                <w:noProof/>
                <w:lang w:eastAsia="sv-SE"/>
              </w:rPr>
            </w:pPr>
            <w:r w:rsidRPr="00FA0D37">
              <w:rPr>
                <w:lang w:eastAsia="sv-SE"/>
              </w:rPr>
              <w:t>Indicates the position of first symbol of sidelink CSI-RS.</w:t>
            </w:r>
          </w:p>
        </w:tc>
      </w:tr>
      <w:tr w:rsidR="005C7FF4" w:rsidRPr="00FA0D37" w14:paraId="36625616" w14:textId="77777777" w:rsidTr="00771058">
        <w:tc>
          <w:tcPr>
            <w:tcW w:w="14173" w:type="dxa"/>
            <w:tcBorders>
              <w:top w:val="single" w:sz="4" w:space="0" w:color="auto"/>
              <w:left w:val="single" w:sz="4" w:space="0" w:color="auto"/>
              <w:bottom w:val="single" w:sz="4" w:space="0" w:color="auto"/>
              <w:right w:val="single" w:sz="4" w:space="0" w:color="auto"/>
            </w:tcBorders>
          </w:tcPr>
          <w:p w14:paraId="0CD295E7" w14:textId="77777777" w:rsidR="00FC41F5" w:rsidRPr="00FA0D37" w:rsidRDefault="00FC41F5" w:rsidP="00771058">
            <w:pPr>
              <w:pStyle w:val="TAL"/>
              <w:rPr>
                <w:b/>
                <w:bCs/>
                <w:i/>
                <w:iCs/>
                <w:lang w:eastAsia="en-GB"/>
              </w:rPr>
            </w:pPr>
            <w:r w:rsidRPr="00FA0D37">
              <w:rPr>
                <w:b/>
                <w:bCs/>
                <w:i/>
                <w:iCs/>
                <w:lang w:eastAsia="en-GB"/>
              </w:rPr>
              <w:t>sl-DRX-ConfigUC-PC5</w:t>
            </w:r>
          </w:p>
          <w:p w14:paraId="05CD7731" w14:textId="6E23D8CD" w:rsidR="00FC41F5" w:rsidRPr="00FA0D37" w:rsidRDefault="00FC41F5" w:rsidP="00771058">
            <w:pPr>
              <w:pStyle w:val="TAL"/>
              <w:rPr>
                <w:b/>
                <w:bCs/>
                <w:i/>
                <w:iCs/>
                <w:lang w:eastAsia="sv-SE"/>
              </w:rPr>
            </w:pPr>
            <w:r w:rsidRPr="00FA0D37">
              <w:rPr>
                <w:lang w:eastAsia="en-GB"/>
              </w:rPr>
              <w:t>Indicates the NR sidelink DRX configuration for unicast communication, as specified in TS 38.321 [</w:t>
            </w:r>
            <w:r w:rsidR="005F190C" w:rsidRPr="00FA0D37">
              <w:rPr>
                <w:lang w:eastAsia="en-GB"/>
              </w:rPr>
              <w:t>3</w:t>
            </w:r>
            <w:r w:rsidRPr="00FA0D37">
              <w:rPr>
                <w:lang w:eastAsia="en-GB"/>
              </w:rPr>
              <w:t>]</w:t>
            </w:r>
          </w:p>
        </w:tc>
      </w:tr>
      <w:tr w:rsidR="005C7FF4" w:rsidRPr="00FA0D37" w14:paraId="1B0B0D03" w14:textId="77777777" w:rsidTr="00964CC4">
        <w:tc>
          <w:tcPr>
            <w:tcW w:w="14173" w:type="dxa"/>
            <w:tcBorders>
              <w:top w:val="single" w:sz="4" w:space="0" w:color="auto"/>
              <w:left w:val="single" w:sz="4" w:space="0" w:color="auto"/>
              <w:bottom w:val="single" w:sz="4" w:space="0" w:color="auto"/>
              <w:right w:val="single" w:sz="4" w:space="0" w:color="auto"/>
            </w:tcBorders>
          </w:tcPr>
          <w:p w14:paraId="51C640B0" w14:textId="77777777" w:rsidR="00394471" w:rsidRPr="00FA0D37" w:rsidRDefault="00394471" w:rsidP="00964CC4">
            <w:pPr>
              <w:pStyle w:val="TAL"/>
              <w:rPr>
                <w:rFonts w:cs="Calibri Light"/>
                <w:b/>
                <w:bCs/>
                <w:i/>
                <w:iCs/>
                <w:lang w:eastAsia="en-US"/>
              </w:rPr>
            </w:pPr>
            <w:r w:rsidRPr="00FA0D37">
              <w:rPr>
                <w:b/>
                <w:bCs/>
                <w:i/>
                <w:iCs/>
              </w:rPr>
              <w:t>sl-LatencyBoundCSI-Report</w:t>
            </w:r>
          </w:p>
          <w:p w14:paraId="3DAC6E2A" w14:textId="01E43381" w:rsidR="00394471" w:rsidRPr="00FA0D37" w:rsidRDefault="00394471" w:rsidP="00964CC4">
            <w:pPr>
              <w:pStyle w:val="TAL"/>
              <w:rPr>
                <w:b/>
                <w:bCs/>
                <w:i/>
                <w:iCs/>
                <w:lang w:eastAsia="sv-SE"/>
              </w:rPr>
            </w:pPr>
            <w:r w:rsidRPr="00FA0D37">
              <w:t>Indicate</w:t>
            </w:r>
            <w:r w:rsidR="00DC187A" w:rsidRPr="00FA0D37">
              <w:t>s</w:t>
            </w:r>
            <w:r w:rsidRPr="00FA0D37">
              <w:t xml:space="preserve"> the latency bound of SL CSI report from the associated SL CSI triggering in terms of number of slots.</w:t>
            </w:r>
          </w:p>
        </w:tc>
      </w:tr>
      <w:tr w:rsidR="005C7FF4" w:rsidRPr="00FA0D37" w14:paraId="2E397165" w14:textId="77777777" w:rsidTr="00771058">
        <w:tc>
          <w:tcPr>
            <w:tcW w:w="14173" w:type="dxa"/>
            <w:tcBorders>
              <w:top w:val="single" w:sz="4" w:space="0" w:color="auto"/>
              <w:left w:val="single" w:sz="4" w:space="0" w:color="auto"/>
              <w:bottom w:val="single" w:sz="4" w:space="0" w:color="auto"/>
              <w:right w:val="single" w:sz="4" w:space="0" w:color="auto"/>
            </w:tcBorders>
          </w:tcPr>
          <w:p w14:paraId="2ADD0C5B" w14:textId="77777777" w:rsidR="00FC41F5" w:rsidRPr="00FA0D37" w:rsidRDefault="00FC41F5" w:rsidP="00771058">
            <w:pPr>
              <w:pStyle w:val="TAL"/>
              <w:rPr>
                <w:b/>
                <w:bCs/>
                <w:i/>
                <w:iCs/>
              </w:rPr>
            </w:pPr>
            <w:r w:rsidRPr="00FA0D37">
              <w:rPr>
                <w:b/>
                <w:bCs/>
                <w:i/>
                <w:iCs/>
              </w:rPr>
              <w:t>sl-LatencyBoundIUC-Report</w:t>
            </w:r>
          </w:p>
          <w:p w14:paraId="7D2FCF87" w14:textId="77777777" w:rsidR="00FC41F5" w:rsidRPr="00FA0D37" w:rsidRDefault="00FC41F5" w:rsidP="00771058">
            <w:pPr>
              <w:pStyle w:val="TAL"/>
              <w:rPr>
                <w:b/>
                <w:bCs/>
                <w:i/>
                <w:iCs/>
              </w:rPr>
            </w:pPr>
            <w:r w:rsidRPr="00FA0D37">
              <w:rPr>
                <w:bCs/>
                <w:iCs/>
              </w:rPr>
              <w:t>Indicates the latency bound of SL Inter-UE coordination report from the associated SL Inter-UE coordination explicit request triggering in terms of number of slots.</w:t>
            </w:r>
          </w:p>
        </w:tc>
      </w:tr>
      <w:tr w:rsidR="005C7FF4" w:rsidRPr="00FA0D37" w14:paraId="202064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EF812" w14:textId="77777777" w:rsidR="00394471" w:rsidRPr="00FA0D37" w:rsidRDefault="00394471" w:rsidP="00964CC4">
            <w:pPr>
              <w:pStyle w:val="TAL"/>
              <w:rPr>
                <w:b/>
                <w:bCs/>
                <w:i/>
                <w:iCs/>
                <w:lang w:eastAsia="sv-SE"/>
              </w:rPr>
            </w:pPr>
            <w:r w:rsidRPr="00FA0D37">
              <w:rPr>
                <w:b/>
                <w:bCs/>
                <w:i/>
                <w:iCs/>
                <w:lang w:eastAsia="sv-SE"/>
              </w:rPr>
              <w:t>sl-LogicalChannelIdentity</w:t>
            </w:r>
          </w:p>
          <w:p w14:paraId="7D7F850E" w14:textId="77777777" w:rsidR="00394471" w:rsidRPr="00FA0D37" w:rsidRDefault="00394471" w:rsidP="00964CC4">
            <w:pPr>
              <w:pStyle w:val="TAL"/>
              <w:rPr>
                <w:bCs/>
                <w:noProof/>
                <w:lang w:eastAsia="en-GB"/>
              </w:rPr>
            </w:pPr>
            <w:r w:rsidRPr="00FA0D37">
              <w:rPr>
                <w:lang w:eastAsia="sv-SE"/>
              </w:rPr>
              <w:t>Indicates the identity of the sidelink logical channel.</w:t>
            </w:r>
          </w:p>
        </w:tc>
      </w:tr>
      <w:tr w:rsidR="005C7FF4" w:rsidRPr="00FA0D37" w14:paraId="72ACE0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E53BD" w14:textId="77777777" w:rsidR="00394471" w:rsidRPr="00FA0D37" w:rsidRDefault="00394471" w:rsidP="00964CC4">
            <w:pPr>
              <w:pStyle w:val="TAL"/>
              <w:rPr>
                <w:b/>
                <w:bCs/>
                <w:i/>
                <w:iCs/>
                <w:lang w:eastAsia="sv-SE"/>
              </w:rPr>
            </w:pPr>
            <w:r w:rsidRPr="00FA0D37">
              <w:rPr>
                <w:b/>
                <w:bCs/>
                <w:i/>
                <w:iCs/>
                <w:lang w:eastAsia="sv-SE"/>
              </w:rPr>
              <w:t>sl-MappedQoS-FlowsToAddList</w:t>
            </w:r>
          </w:p>
          <w:p w14:paraId="276F44BD" w14:textId="77777777" w:rsidR="00394471" w:rsidRPr="00FA0D37" w:rsidRDefault="00394471" w:rsidP="00964CC4">
            <w:pPr>
              <w:pStyle w:val="TAL"/>
              <w:rPr>
                <w:lang w:eastAsia="sv-SE"/>
              </w:rPr>
            </w:pPr>
            <w:r w:rsidRPr="00FA0D37">
              <w:rPr>
                <w:lang w:eastAsia="sv-SE"/>
              </w:rPr>
              <w:t xml:space="preserve">Indicate the QoS flows to be mapped to the configured </w:t>
            </w:r>
            <w:r w:rsidRPr="00FA0D37">
              <w:rPr>
                <w:rFonts w:cs="Arial"/>
              </w:rPr>
              <w:t>sidelink DRB</w:t>
            </w:r>
            <w:r w:rsidRPr="00FA0D37">
              <w:rPr>
                <w:lang w:eastAsia="sv-SE"/>
              </w:rPr>
              <w:t xml:space="preserve">. Each entry is indicated by the </w:t>
            </w:r>
            <w:r w:rsidRPr="00FA0D37">
              <w:rPr>
                <w:i/>
                <w:iCs/>
                <w:lang w:eastAsia="sv-SE"/>
              </w:rPr>
              <w:t>SL-PQFI</w:t>
            </w:r>
            <w:r w:rsidRPr="00FA0D37">
              <w:rPr>
                <w:lang w:eastAsia="sv-SE"/>
              </w:rPr>
              <w:t>, which is used between UEs, as defined in TS 23.287 [55].</w:t>
            </w:r>
          </w:p>
        </w:tc>
      </w:tr>
      <w:tr w:rsidR="005C7FF4" w:rsidRPr="00FA0D37" w14:paraId="330A3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31FE9" w14:textId="77777777" w:rsidR="00394471" w:rsidRPr="00FA0D37" w:rsidRDefault="00394471" w:rsidP="00964CC4">
            <w:pPr>
              <w:pStyle w:val="TAL"/>
              <w:rPr>
                <w:b/>
                <w:bCs/>
                <w:i/>
                <w:iCs/>
                <w:lang w:eastAsia="sv-SE"/>
              </w:rPr>
            </w:pPr>
            <w:r w:rsidRPr="00FA0D37">
              <w:rPr>
                <w:b/>
                <w:bCs/>
                <w:i/>
                <w:iCs/>
                <w:lang w:eastAsia="sv-SE"/>
              </w:rPr>
              <w:t>sl-MappedQoS-FlowsToReleaseList</w:t>
            </w:r>
          </w:p>
          <w:p w14:paraId="5D5C2527" w14:textId="77777777" w:rsidR="00394471" w:rsidRPr="00FA0D37" w:rsidRDefault="00394471" w:rsidP="00964CC4">
            <w:pPr>
              <w:pStyle w:val="TAL"/>
              <w:rPr>
                <w:lang w:eastAsia="sv-SE"/>
              </w:rPr>
            </w:pPr>
            <w:r w:rsidRPr="00FA0D37">
              <w:rPr>
                <w:lang w:eastAsia="sv-SE"/>
              </w:rPr>
              <w:t xml:space="preserve">Indicate the QoS flows to be released from the configured </w:t>
            </w:r>
            <w:r w:rsidRPr="00FA0D37">
              <w:rPr>
                <w:rFonts w:cs="Arial"/>
              </w:rPr>
              <w:t>sidelink DRB</w:t>
            </w:r>
            <w:r w:rsidRPr="00FA0D37">
              <w:rPr>
                <w:lang w:eastAsia="sv-SE"/>
              </w:rPr>
              <w:t xml:space="preserve">. Each entry is indicated by the </w:t>
            </w:r>
            <w:r w:rsidRPr="00FA0D37">
              <w:rPr>
                <w:i/>
                <w:iCs/>
                <w:lang w:eastAsia="sv-SE"/>
              </w:rPr>
              <w:t>SL-PQFI</w:t>
            </w:r>
            <w:r w:rsidRPr="00FA0D37">
              <w:rPr>
                <w:lang w:eastAsia="sv-SE"/>
              </w:rPr>
              <w:t>, which is used between UEs, as defined in TS 23.287 [55].</w:t>
            </w:r>
          </w:p>
        </w:tc>
      </w:tr>
      <w:tr w:rsidR="005C7FF4" w:rsidRPr="00FA0D37" w14:paraId="7112C5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0FA5CF" w14:textId="77777777" w:rsidR="00394471" w:rsidRPr="00FA0D37" w:rsidRDefault="00394471" w:rsidP="00964CC4">
            <w:pPr>
              <w:pStyle w:val="TAL"/>
              <w:rPr>
                <w:b/>
                <w:bCs/>
                <w:i/>
                <w:iCs/>
                <w:lang w:eastAsia="sv-SE"/>
              </w:rPr>
            </w:pPr>
            <w:r w:rsidRPr="00FA0D37">
              <w:rPr>
                <w:b/>
                <w:bCs/>
                <w:i/>
                <w:iCs/>
                <w:lang w:eastAsia="sv-SE"/>
              </w:rPr>
              <w:t>sl-MeasConfig</w:t>
            </w:r>
          </w:p>
          <w:p w14:paraId="1258BB36" w14:textId="77777777" w:rsidR="00394471" w:rsidRPr="00FA0D37" w:rsidRDefault="00394471" w:rsidP="00964CC4">
            <w:pPr>
              <w:pStyle w:val="TAL"/>
              <w:rPr>
                <w:lang w:eastAsia="sv-SE"/>
              </w:rPr>
            </w:pPr>
            <w:r w:rsidRPr="00FA0D37">
              <w:rPr>
                <w:lang w:eastAsia="sv-SE"/>
              </w:rPr>
              <w:t>Indicates the sidelink measurement configuration for the unicast destination.</w:t>
            </w:r>
          </w:p>
        </w:tc>
      </w:tr>
      <w:tr w:rsidR="005C7FF4" w:rsidRPr="00FA0D37" w14:paraId="1A232C3B" w14:textId="77777777" w:rsidTr="00964CC4">
        <w:tc>
          <w:tcPr>
            <w:tcW w:w="14173" w:type="dxa"/>
            <w:tcBorders>
              <w:top w:val="single" w:sz="4" w:space="0" w:color="auto"/>
              <w:left w:val="single" w:sz="4" w:space="0" w:color="auto"/>
              <w:bottom w:val="single" w:sz="4" w:space="0" w:color="auto"/>
              <w:right w:val="single" w:sz="4" w:space="0" w:color="auto"/>
            </w:tcBorders>
          </w:tcPr>
          <w:p w14:paraId="7826491E" w14:textId="77777777" w:rsidR="00394471" w:rsidRPr="00FA0D37" w:rsidRDefault="00394471" w:rsidP="00964CC4">
            <w:pPr>
              <w:pStyle w:val="TAL"/>
              <w:rPr>
                <w:b/>
                <w:bCs/>
                <w:i/>
                <w:iCs/>
                <w:lang w:eastAsia="en-GB"/>
              </w:rPr>
            </w:pPr>
            <w:r w:rsidRPr="00FA0D37">
              <w:rPr>
                <w:b/>
                <w:bCs/>
                <w:i/>
                <w:iCs/>
                <w:lang w:eastAsia="en-GB"/>
              </w:rPr>
              <w:t>sl-OutOfOrderDelivery</w:t>
            </w:r>
          </w:p>
          <w:p w14:paraId="6FD00380" w14:textId="77777777" w:rsidR="00394471" w:rsidRPr="00FA0D37" w:rsidRDefault="00394471" w:rsidP="00964CC4">
            <w:pPr>
              <w:pStyle w:val="TAL"/>
              <w:rPr>
                <w:b/>
                <w:bCs/>
                <w:i/>
                <w:iCs/>
                <w:lang w:eastAsia="sv-SE"/>
              </w:rPr>
            </w:pPr>
            <w:r w:rsidRPr="00FA0D37">
              <w:rPr>
                <w:rFonts w:cs="Arial"/>
                <w:lang w:eastAsia="en-GB"/>
              </w:rPr>
              <w:t>Indicates whether or not outOfOrderDelivery specified in TS 38.323 [5] is configured. This field should be either always present or always absent, after the sidelink radio bearer is established.</w:t>
            </w:r>
          </w:p>
        </w:tc>
      </w:tr>
      <w:tr w:rsidR="005C7FF4" w:rsidRPr="00FA0D37" w14:paraId="579A1D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881B" w14:textId="77777777" w:rsidR="00394471" w:rsidRPr="00FA0D37" w:rsidRDefault="00394471" w:rsidP="00964CC4">
            <w:pPr>
              <w:pStyle w:val="TAL"/>
              <w:rPr>
                <w:b/>
                <w:bCs/>
                <w:i/>
                <w:iCs/>
                <w:lang w:eastAsia="sv-SE"/>
              </w:rPr>
            </w:pPr>
            <w:r w:rsidRPr="00FA0D37">
              <w:rPr>
                <w:b/>
                <w:bCs/>
                <w:i/>
                <w:iCs/>
                <w:lang w:eastAsia="sv-SE"/>
              </w:rPr>
              <w:t>sl-PDCP-SN-Size</w:t>
            </w:r>
          </w:p>
          <w:p w14:paraId="75C6683F" w14:textId="77777777" w:rsidR="00394471" w:rsidRPr="00FA0D37" w:rsidRDefault="00394471" w:rsidP="00964CC4">
            <w:pPr>
              <w:pStyle w:val="TAL"/>
              <w:rPr>
                <w:lang w:eastAsia="sv-SE"/>
              </w:rPr>
            </w:pPr>
            <w:r w:rsidRPr="00FA0D37">
              <w:rPr>
                <w:lang w:eastAsia="sv-SE"/>
              </w:rPr>
              <w:t xml:space="preserve">Indicates the PDCP SN size of the configured </w:t>
            </w:r>
            <w:r w:rsidRPr="00FA0D37">
              <w:rPr>
                <w:rFonts w:cs="Arial"/>
              </w:rPr>
              <w:t>sidelink DRB</w:t>
            </w:r>
            <w:r w:rsidRPr="00FA0D37">
              <w:rPr>
                <w:lang w:eastAsia="sv-SE"/>
              </w:rPr>
              <w:t>.</w:t>
            </w:r>
          </w:p>
        </w:tc>
      </w:tr>
      <w:tr w:rsidR="005C7FF4" w:rsidRPr="00FA0D37" w14:paraId="2AA9FC9F" w14:textId="77777777" w:rsidTr="00771058">
        <w:tc>
          <w:tcPr>
            <w:tcW w:w="14173" w:type="dxa"/>
            <w:tcBorders>
              <w:top w:val="single" w:sz="4" w:space="0" w:color="auto"/>
              <w:left w:val="single" w:sz="4" w:space="0" w:color="auto"/>
              <w:bottom w:val="single" w:sz="4" w:space="0" w:color="auto"/>
              <w:right w:val="single" w:sz="4" w:space="0" w:color="auto"/>
            </w:tcBorders>
          </w:tcPr>
          <w:p w14:paraId="66A0AD2E" w14:textId="77777777" w:rsidR="00FC41F5" w:rsidRPr="00FA0D37" w:rsidRDefault="00FC41F5" w:rsidP="00771058">
            <w:pPr>
              <w:pStyle w:val="TAL"/>
              <w:rPr>
                <w:b/>
                <w:bCs/>
                <w:i/>
                <w:iCs/>
              </w:rPr>
            </w:pPr>
            <w:r w:rsidRPr="00FA0D37">
              <w:rPr>
                <w:b/>
                <w:bCs/>
                <w:i/>
                <w:iCs/>
              </w:rPr>
              <w:t>sl-Resetconfig</w:t>
            </w:r>
          </w:p>
          <w:p w14:paraId="3D20B419" w14:textId="77777777" w:rsidR="00FC41F5" w:rsidRPr="00FA0D37" w:rsidRDefault="00FC41F5" w:rsidP="00771058">
            <w:pPr>
              <w:pStyle w:val="TAL"/>
              <w:rPr>
                <w:b/>
                <w:bCs/>
                <w:i/>
                <w:iCs/>
                <w:lang w:eastAsia="sv-SE"/>
              </w:rPr>
            </w:pPr>
            <w:r w:rsidRPr="00FA0D37">
              <w:rPr>
                <w:bCs/>
                <w:noProof/>
                <w:lang w:eastAsia="en-GB"/>
              </w:rPr>
              <w:t xml:space="preserve">Indicates that the full configuration should be applicable for the </w:t>
            </w:r>
            <w:r w:rsidRPr="00FA0D37">
              <w:rPr>
                <w:i/>
                <w:szCs w:val="22"/>
              </w:rPr>
              <w:t xml:space="preserve">RRCReconfigurationSidelink </w:t>
            </w:r>
            <w:r w:rsidRPr="00FA0D37">
              <w:rPr>
                <w:bCs/>
                <w:noProof/>
                <w:lang w:eastAsia="en-GB"/>
              </w:rPr>
              <w:t>message</w:t>
            </w:r>
            <w:r w:rsidRPr="00FA0D37">
              <w:t>.</w:t>
            </w:r>
          </w:p>
        </w:tc>
      </w:tr>
      <w:tr w:rsidR="00394471" w:rsidRPr="00FA0D37" w14:paraId="47888F1B" w14:textId="77777777" w:rsidTr="00964CC4">
        <w:tc>
          <w:tcPr>
            <w:tcW w:w="14173" w:type="dxa"/>
            <w:tcBorders>
              <w:top w:val="single" w:sz="4" w:space="0" w:color="auto"/>
              <w:left w:val="single" w:sz="4" w:space="0" w:color="auto"/>
              <w:bottom w:val="single" w:sz="4" w:space="0" w:color="auto"/>
              <w:right w:val="single" w:sz="4" w:space="0" w:color="auto"/>
            </w:tcBorders>
          </w:tcPr>
          <w:p w14:paraId="4E59E978" w14:textId="77777777" w:rsidR="00394471" w:rsidRPr="00FA0D37" w:rsidRDefault="00394471" w:rsidP="00964CC4">
            <w:pPr>
              <w:pStyle w:val="TAL"/>
              <w:rPr>
                <w:b/>
                <w:bCs/>
                <w:i/>
                <w:iCs/>
                <w:lang w:eastAsia="en-GB"/>
              </w:rPr>
            </w:pPr>
            <w:r w:rsidRPr="00FA0D37">
              <w:rPr>
                <w:b/>
                <w:bCs/>
                <w:i/>
                <w:iCs/>
                <w:lang w:eastAsia="en-GB"/>
              </w:rPr>
              <w:t>sl-SDAP-Header</w:t>
            </w:r>
          </w:p>
          <w:p w14:paraId="6A5E87B1" w14:textId="77777777" w:rsidR="00394471" w:rsidRPr="00FA0D37" w:rsidRDefault="00394471" w:rsidP="00964CC4">
            <w:pPr>
              <w:pStyle w:val="TAL"/>
              <w:rPr>
                <w:lang w:eastAsia="sv-SE"/>
              </w:rPr>
            </w:pPr>
            <w:r w:rsidRPr="00FA0D37">
              <w:rPr>
                <w:lang w:eastAsia="en-GB"/>
              </w:rPr>
              <w:t>Indicates whether or not a SDAP header is present on this sidelink DRB.</w:t>
            </w:r>
          </w:p>
        </w:tc>
      </w:tr>
    </w:tbl>
    <w:p w14:paraId="5CE6D7AC" w14:textId="77777777" w:rsidR="00394471" w:rsidRPr="00FA0D37" w:rsidRDefault="00394471" w:rsidP="00394471">
      <w:pPr>
        <w:rPr>
          <w:rFonts w:eastAsia="Yu Mincho"/>
          <w:iCs/>
        </w:rPr>
      </w:pPr>
    </w:p>
    <w:p w14:paraId="1EECCBA9" w14:textId="2F617BE4" w:rsidR="00394471" w:rsidRPr="00FA0D37" w:rsidRDefault="00394471" w:rsidP="00394471">
      <w:pPr>
        <w:pStyle w:val="4"/>
        <w:rPr>
          <w:noProof/>
        </w:rPr>
      </w:pPr>
      <w:bookmarkStart w:id="2249" w:name="_Toc60777570"/>
      <w:bookmarkStart w:id="2250" w:name="_Toc146781711"/>
      <w:r w:rsidRPr="00FA0D37">
        <w:t>–</w:t>
      </w:r>
      <w:r w:rsidRPr="00FA0D37">
        <w:tab/>
      </w:r>
      <w:r w:rsidRPr="00FA0D37">
        <w:rPr>
          <w:i/>
          <w:iCs/>
          <w:noProof/>
        </w:rPr>
        <w:t>RRCReconfigurationCompleteSidelink</w:t>
      </w:r>
      <w:bookmarkEnd w:id="2249"/>
      <w:bookmarkEnd w:id="2250"/>
    </w:p>
    <w:p w14:paraId="7D4DD4A1" w14:textId="77777777" w:rsidR="00394471" w:rsidRPr="00FA0D37" w:rsidRDefault="00394471" w:rsidP="00394471">
      <w:r w:rsidRPr="00FA0D37">
        <w:t xml:space="preserve">The </w:t>
      </w:r>
      <w:r w:rsidRPr="00FA0D37">
        <w:rPr>
          <w:i/>
        </w:rPr>
        <w:t>RRCReconfigurationCompleteSidelink</w:t>
      </w:r>
      <w:r w:rsidRPr="00FA0D37">
        <w:t xml:space="preserve"> message is used to confirm the successful completion of a PC5 RRC AS reconfiguration.</w:t>
      </w:r>
      <w:r w:rsidRPr="00FA0D37">
        <w:rPr>
          <w:rFonts w:eastAsia="Yu Mincho"/>
          <w:lang w:eastAsia="zh-CN"/>
        </w:rPr>
        <w:t xml:space="preserve"> It is only applied to unicast of NR sidelink communication.</w:t>
      </w:r>
    </w:p>
    <w:p w14:paraId="2DE31435" w14:textId="77777777" w:rsidR="00394471" w:rsidRPr="00FA0D37" w:rsidRDefault="00394471" w:rsidP="00394471">
      <w:pPr>
        <w:pStyle w:val="B1"/>
      </w:pPr>
      <w:r w:rsidRPr="00FA0D37">
        <w:t xml:space="preserve">Signalling radio bearer: </w:t>
      </w:r>
      <w:r w:rsidRPr="00FA0D37">
        <w:rPr>
          <w:rFonts w:eastAsia="等线"/>
          <w:lang w:eastAsia="zh-CN"/>
        </w:rPr>
        <w:t>SL-SRB3</w:t>
      </w:r>
    </w:p>
    <w:p w14:paraId="7B8B087F" w14:textId="77777777" w:rsidR="00394471" w:rsidRPr="00FA0D37" w:rsidRDefault="00394471" w:rsidP="00394471">
      <w:pPr>
        <w:pStyle w:val="B1"/>
      </w:pPr>
      <w:r w:rsidRPr="00FA0D37">
        <w:t>RLC-SAP: AM</w:t>
      </w:r>
    </w:p>
    <w:p w14:paraId="1FD1E8C6" w14:textId="77777777" w:rsidR="00394471" w:rsidRPr="00FA0D37" w:rsidRDefault="00394471" w:rsidP="00394471">
      <w:pPr>
        <w:pStyle w:val="B1"/>
      </w:pPr>
      <w:r w:rsidRPr="00FA0D37">
        <w:t>Logical channel: SCCH</w:t>
      </w:r>
    </w:p>
    <w:p w14:paraId="52DBB87D" w14:textId="77777777" w:rsidR="00394471" w:rsidRPr="00FA0D37" w:rsidRDefault="00394471" w:rsidP="00394471">
      <w:pPr>
        <w:pStyle w:val="B1"/>
      </w:pPr>
      <w:r w:rsidRPr="00FA0D37">
        <w:t xml:space="preserve">Direction: UE to </w:t>
      </w:r>
      <w:r w:rsidRPr="00FA0D37">
        <w:rPr>
          <w:lang w:eastAsia="zh-CN"/>
        </w:rPr>
        <w:t>UE</w:t>
      </w:r>
    </w:p>
    <w:p w14:paraId="524174F7" w14:textId="77777777" w:rsidR="00394471" w:rsidRPr="00FA0D37" w:rsidRDefault="00394471" w:rsidP="00394471">
      <w:pPr>
        <w:pStyle w:val="TH"/>
        <w:rPr>
          <w:b w:val="0"/>
        </w:rPr>
      </w:pPr>
      <w:r w:rsidRPr="00FA0D37">
        <w:rPr>
          <w:i/>
          <w:iCs/>
        </w:rPr>
        <w:t>RRCReconfigurationCompleteSidelink</w:t>
      </w:r>
      <w:r w:rsidRPr="00FA0D37">
        <w:t xml:space="preserve"> message</w:t>
      </w:r>
    </w:p>
    <w:p w14:paraId="3431149A" w14:textId="77777777" w:rsidR="00394471" w:rsidRPr="00FA0D37" w:rsidRDefault="00394471" w:rsidP="00FA0D37">
      <w:pPr>
        <w:pStyle w:val="PL"/>
        <w:rPr>
          <w:color w:val="808080"/>
        </w:rPr>
      </w:pPr>
      <w:r w:rsidRPr="00FA0D37">
        <w:rPr>
          <w:color w:val="808080"/>
        </w:rPr>
        <w:t>-- ASN1START</w:t>
      </w:r>
    </w:p>
    <w:p w14:paraId="59F02EDC" w14:textId="77777777" w:rsidR="00394471" w:rsidRPr="00FA0D37" w:rsidRDefault="00394471" w:rsidP="00FA0D37">
      <w:pPr>
        <w:pStyle w:val="PL"/>
        <w:rPr>
          <w:color w:val="808080"/>
        </w:rPr>
      </w:pPr>
      <w:r w:rsidRPr="00FA0D37">
        <w:rPr>
          <w:color w:val="808080"/>
        </w:rPr>
        <w:t>-- TAG-RRCRECONFIGURATIONCOMPLETESIDELINK-START</w:t>
      </w:r>
    </w:p>
    <w:p w14:paraId="6E42A2BC" w14:textId="77777777" w:rsidR="00394471" w:rsidRPr="00FA0D37" w:rsidRDefault="00394471" w:rsidP="00FA0D37">
      <w:pPr>
        <w:pStyle w:val="PL"/>
      </w:pPr>
    </w:p>
    <w:p w14:paraId="0D69E6F5" w14:textId="77777777" w:rsidR="00394471" w:rsidRPr="00FA0D37" w:rsidRDefault="00394471" w:rsidP="00FA0D37">
      <w:pPr>
        <w:pStyle w:val="PL"/>
      </w:pPr>
      <w:r w:rsidRPr="00FA0D37">
        <w:t xml:space="preserve">RRCReconfigurationCompleteSidelink ::=         </w:t>
      </w:r>
      <w:r w:rsidRPr="00FA0D37">
        <w:rPr>
          <w:color w:val="993366"/>
        </w:rPr>
        <w:t>SEQUENCE</w:t>
      </w:r>
      <w:r w:rsidRPr="00FA0D37">
        <w:t xml:space="preserve"> {</w:t>
      </w:r>
    </w:p>
    <w:p w14:paraId="32CE04C5" w14:textId="77777777" w:rsidR="00394471" w:rsidRPr="00FA0D37" w:rsidRDefault="00394471" w:rsidP="00FA0D37">
      <w:pPr>
        <w:pStyle w:val="PL"/>
      </w:pPr>
      <w:r w:rsidRPr="00FA0D37">
        <w:t xml:space="preserve">    rrc-TransactionIdentifier-r16                  RRC-TransactionIdentifier,</w:t>
      </w:r>
    </w:p>
    <w:p w14:paraId="2499C326"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39E04A84" w14:textId="24BFD16C" w:rsidR="00394471" w:rsidRPr="00FA0D37" w:rsidRDefault="00394471" w:rsidP="00FA0D37">
      <w:pPr>
        <w:pStyle w:val="PL"/>
      </w:pPr>
      <w:r w:rsidRPr="00FA0D37">
        <w:t xml:space="preserve">        rrcReconfigurationCompleteSidelink-r16         RRCReconfigurationCompleteSidelink</w:t>
      </w:r>
      <w:r w:rsidR="00C12C0B" w:rsidRPr="00FA0D37">
        <w:t>-r16</w:t>
      </w:r>
      <w:r w:rsidRPr="00FA0D37">
        <w:t>-IEs,</w:t>
      </w:r>
    </w:p>
    <w:p w14:paraId="6C978F41"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0D5FA0A2" w14:textId="77777777" w:rsidR="00394471" w:rsidRPr="00FA0D37" w:rsidRDefault="00394471" w:rsidP="00FA0D37">
      <w:pPr>
        <w:pStyle w:val="PL"/>
      </w:pPr>
      <w:r w:rsidRPr="00FA0D37">
        <w:t xml:space="preserve">    }</w:t>
      </w:r>
    </w:p>
    <w:p w14:paraId="28A22F9C" w14:textId="77777777" w:rsidR="00394471" w:rsidRPr="00FA0D37" w:rsidRDefault="00394471" w:rsidP="00FA0D37">
      <w:pPr>
        <w:pStyle w:val="PL"/>
      </w:pPr>
      <w:r w:rsidRPr="00FA0D37">
        <w:t>}</w:t>
      </w:r>
    </w:p>
    <w:p w14:paraId="71093575" w14:textId="77777777" w:rsidR="00394471" w:rsidRPr="00FA0D37" w:rsidRDefault="00394471" w:rsidP="00FA0D37">
      <w:pPr>
        <w:pStyle w:val="PL"/>
      </w:pPr>
    </w:p>
    <w:p w14:paraId="0954B5C7" w14:textId="6DD1E836" w:rsidR="00394471" w:rsidRPr="00FA0D37" w:rsidRDefault="00394471" w:rsidP="00FA0D37">
      <w:pPr>
        <w:pStyle w:val="PL"/>
      </w:pPr>
      <w:r w:rsidRPr="00FA0D37">
        <w:t>RRCReconfigurationCompleteSidelink</w:t>
      </w:r>
      <w:r w:rsidR="00C12C0B" w:rsidRPr="00FA0D37">
        <w:t>-r16</w:t>
      </w:r>
      <w:r w:rsidRPr="00FA0D37">
        <w:t xml:space="preserve">-IEs ::= </w:t>
      </w:r>
      <w:r w:rsidRPr="00FA0D37">
        <w:rPr>
          <w:color w:val="993366"/>
        </w:rPr>
        <w:t>SEQUENCE</w:t>
      </w:r>
      <w:r w:rsidRPr="00FA0D37">
        <w:t xml:space="preserve"> {</w:t>
      </w:r>
    </w:p>
    <w:p w14:paraId="11CE58E8"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43565F1" w14:textId="58A54318" w:rsidR="00394471" w:rsidRPr="00FA0D37" w:rsidRDefault="00394471" w:rsidP="00FA0D37">
      <w:pPr>
        <w:pStyle w:val="PL"/>
      </w:pPr>
      <w:r w:rsidRPr="00FA0D37">
        <w:t xml:space="preserve">    nonCriticalExtension                           </w:t>
      </w:r>
      <w:r w:rsidR="00DC187A" w:rsidRPr="00FA0D37">
        <w:t>RRCReconfigurationCompleteSidelink-v1710-IEs</w:t>
      </w:r>
      <w:r w:rsidRPr="00FA0D37">
        <w:t xml:space="preserve">                       </w:t>
      </w:r>
      <w:r w:rsidRPr="00FA0D37">
        <w:rPr>
          <w:color w:val="993366"/>
        </w:rPr>
        <w:t>OPTIONAL</w:t>
      </w:r>
    </w:p>
    <w:p w14:paraId="7F94A816" w14:textId="77777777" w:rsidR="00394471" w:rsidRPr="00FA0D37" w:rsidRDefault="00394471" w:rsidP="00FA0D37">
      <w:pPr>
        <w:pStyle w:val="PL"/>
      </w:pPr>
      <w:r w:rsidRPr="00FA0D37">
        <w:t>}</w:t>
      </w:r>
    </w:p>
    <w:p w14:paraId="0F0DB067" w14:textId="77777777" w:rsidR="00DC187A" w:rsidRPr="00FA0D37" w:rsidRDefault="00DC187A" w:rsidP="00FA0D37">
      <w:pPr>
        <w:pStyle w:val="PL"/>
      </w:pPr>
    </w:p>
    <w:p w14:paraId="1B351DFC" w14:textId="2DE9BCEE" w:rsidR="00DC187A" w:rsidRPr="00FA0D37" w:rsidRDefault="00DC187A" w:rsidP="00FA0D37">
      <w:pPr>
        <w:pStyle w:val="PL"/>
      </w:pPr>
      <w:r w:rsidRPr="00FA0D37">
        <w:t xml:space="preserve">RRCReconfigurationCompleteSidelink-v1710-IEs ::=   </w:t>
      </w:r>
      <w:r w:rsidRPr="00FA0D37">
        <w:rPr>
          <w:color w:val="993366"/>
        </w:rPr>
        <w:t>SEQUENCE</w:t>
      </w:r>
      <w:r w:rsidRPr="00FA0D37">
        <w:t xml:space="preserve"> {</w:t>
      </w:r>
    </w:p>
    <w:p w14:paraId="5FCC19B9" w14:textId="62472831" w:rsidR="00DC187A" w:rsidRPr="00FA0D37" w:rsidRDefault="00DC187A" w:rsidP="00FA0D37">
      <w:pPr>
        <w:pStyle w:val="PL"/>
      </w:pPr>
      <w:r w:rsidRPr="00FA0D37">
        <w:t xml:space="preserve">    </w:t>
      </w:r>
      <w:r w:rsidR="002E7B14" w:rsidRPr="00FA0D37">
        <w:t>dummy</w:t>
      </w:r>
      <w:r w:rsidRPr="00FA0D37">
        <w:t xml:space="preserve"> </w:t>
      </w:r>
      <w:r w:rsidR="00C256D3" w:rsidRPr="00FA0D37">
        <w:t xml:space="preserve">   </w:t>
      </w:r>
      <w:r w:rsidRPr="00FA0D37">
        <w:t xml:space="preserve">                        </w:t>
      </w:r>
      <w:r w:rsidR="002E7B14" w:rsidRPr="00FA0D37">
        <w:t xml:space="preserve">                  </w:t>
      </w:r>
      <w:r w:rsidRPr="00FA0D37">
        <w:rPr>
          <w:color w:val="993366"/>
        </w:rPr>
        <w:t>ENUMERATED</w:t>
      </w:r>
      <w:r w:rsidRPr="00FA0D37">
        <w:t xml:space="preserve"> {true},</w:t>
      </w:r>
    </w:p>
    <w:p w14:paraId="3403AB7E" w14:textId="6B7DB893" w:rsidR="00DC187A" w:rsidRPr="00FA0D37" w:rsidRDefault="00DC187A" w:rsidP="00FA0D37">
      <w:pPr>
        <w:pStyle w:val="PL"/>
      </w:pPr>
      <w:r w:rsidRPr="00FA0D37">
        <w:t xml:space="preserve">    nonCriticalExtension                               </w:t>
      </w:r>
      <w:r w:rsidR="002E7B14" w:rsidRPr="00FA0D37">
        <w:t>RRCReconfigurationCompleteSidelink-v1720-IEs</w:t>
      </w:r>
      <w:r w:rsidRPr="00FA0D37">
        <w:t xml:space="preserve">                   </w:t>
      </w:r>
      <w:r w:rsidRPr="00FA0D37">
        <w:rPr>
          <w:color w:val="993366"/>
        </w:rPr>
        <w:t>OPTIONAL</w:t>
      </w:r>
    </w:p>
    <w:p w14:paraId="0BD6E016" w14:textId="77777777" w:rsidR="00DC187A" w:rsidRPr="00FA0D37" w:rsidRDefault="00DC187A" w:rsidP="00FA0D37">
      <w:pPr>
        <w:pStyle w:val="PL"/>
      </w:pPr>
      <w:r w:rsidRPr="00FA0D37">
        <w:t>}</w:t>
      </w:r>
    </w:p>
    <w:p w14:paraId="05015685" w14:textId="70C0B5B9" w:rsidR="00394471" w:rsidRPr="00FA0D37" w:rsidRDefault="00394471" w:rsidP="00FA0D37">
      <w:pPr>
        <w:pStyle w:val="PL"/>
      </w:pPr>
    </w:p>
    <w:p w14:paraId="542B3375" w14:textId="77777777" w:rsidR="002E7B14" w:rsidRPr="00FA0D37" w:rsidRDefault="002E7B14" w:rsidP="00FA0D37">
      <w:pPr>
        <w:pStyle w:val="PL"/>
      </w:pPr>
    </w:p>
    <w:p w14:paraId="1861E53A" w14:textId="2773C08F" w:rsidR="002E7B14" w:rsidRPr="00FA0D37" w:rsidRDefault="002E7B14" w:rsidP="00FA0D37">
      <w:pPr>
        <w:pStyle w:val="PL"/>
      </w:pPr>
      <w:r w:rsidRPr="00FA0D37">
        <w:t xml:space="preserve">RRCReconfigurationCompleteSidelink-v1720-IEs ::=   </w:t>
      </w:r>
      <w:r w:rsidRPr="00FA0D37">
        <w:rPr>
          <w:color w:val="993366"/>
        </w:rPr>
        <w:t>SEQUENCE</w:t>
      </w:r>
      <w:r w:rsidRPr="00FA0D37">
        <w:t xml:space="preserve"> {</w:t>
      </w:r>
    </w:p>
    <w:p w14:paraId="7EA38DC0" w14:textId="4EE3A670" w:rsidR="002E7B14" w:rsidRPr="00FA0D37" w:rsidRDefault="002E7B14" w:rsidP="00FA0D37">
      <w:pPr>
        <w:pStyle w:val="PL"/>
      </w:pPr>
      <w:r w:rsidRPr="00FA0D37">
        <w:t xml:space="preserve">    sl-DRX-ConfigReject-v1720                          </w:t>
      </w:r>
      <w:r w:rsidRPr="00FA0D37">
        <w:rPr>
          <w:color w:val="993366"/>
        </w:rPr>
        <w:t>ENUMERATED</w:t>
      </w:r>
      <w:r w:rsidRPr="00FA0D37">
        <w:t xml:space="preserve"> {true}                                              </w:t>
      </w:r>
      <w:r w:rsidRPr="00FA0D37">
        <w:rPr>
          <w:color w:val="993366"/>
        </w:rPr>
        <w:t>OPTIONAL</w:t>
      </w:r>
      <w:r w:rsidRPr="00FA0D37">
        <w:t>,</w:t>
      </w:r>
    </w:p>
    <w:p w14:paraId="6381FAFB" w14:textId="77777777" w:rsidR="002E7B14" w:rsidRPr="00FA0D37" w:rsidRDefault="002E7B14"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0C864F52" w14:textId="77777777" w:rsidR="002E7B14" w:rsidRPr="00FA0D37" w:rsidRDefault="002E7B14" w:rsidP="00FA0D37">
      <w:pPr>
        <w:pStyle w:val="PL"/>
      </w:pPr>
      <w:r w:rsidRPr="00FA0D37">
        <w:t>}</w:t>
      </w:r>
    </w:p>
    <w:p w14:paraId="2C085D1D" w14:textId="77777777" w:rsidR="002E7B14" w:rsidRPr="00FA0D37" w:rsidRDefault="002E7B14" w:rsidP="00FA0D37">
      <w:pPr>
        <w:pStyle w:val="PL"/>
      </w:pPr>
    </w:p>
    <w:p w14:paraId="1F60EFFB" w14:textId="77777777" w:rsidR="00394471" w:rsidRPr="00FA0D37" w:rsidRDefault="00394471" w:rsidP="00FA0D37">
      <w:pPr>
        <w:pStyle w:val="PL"/>
        <w:rPr>
          <w:color w:val="808080"/>
        </w:rPr>
      </w:pPr>
      <w:r w:rsidRPr="00FA0D37">
        <w:rPr>
          <w:color w:val="808080"/>
        </w:rPr>
        <w:t>-- TAG-RRCRECONFIGURATIONCOMPLETESIDELINK-STOP</w:t>
      </w:r>
    </w:p>
    <w:p w14:paraId="64E3247B" w14:textId="77777777" w:rsidR="00394471" w:rsidRPr="00FA0D37" w:rsidRDefault="00394471" w:rsidP="00FA0D37">
      <w:pPr>
        <w:pStyle w:val="PL"/>
        <w:rPr>
          <w:color w:val="808080"/>
        </w:rPr>
      </w:pPr>
      <w:r w:rsidRPr="00FA0D37">
        <w:rPr>
          <w:color w:val="808080"/>
        </w:rPr>
        <w:t>-- ASN1STOP</w:t>
      </w:r>
    </w:p>
    <w:p w14:paraId="78FB7AA4" w14:textId="79906044"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06826CFE" w14:textId="77777777" w:rsidTr="0071565C">
        <w:tc>
          <w:tcPr>
            <w:tcW w:w="14173" w:type="dxa"/>
            <w:tcBorders>
              <w:top w:val="single" w:sz="4" w:space="0" w:color="auto"/>
              <w:left w:val="single" w:sz="4" w:space="0" w:color="auto"/>
              <w:bottom w:val="single" w:sz="4" w:space="0" w:color="auto"/>
              <w:right w:val="single" w:sz="4" w:space="0" w:color="auto"/>
            </w:tcBorders>
          </w:tcPr>
          <w:p w14:paraId="0AB2C028" w14:textId="77777777" w:rsidR="00DC187A" w:rsidRPr="00FA0D37" w:rsidRDefault="00DC187A" w:rsidP="0071565C">
            <w:pPr>
              <w:pStyle w:val="TAH"/>
              <w:rPr>
                <w:b w:val="0"/>
                <w:szCs w:val="22"/>
                <w:lang w:eastAsia="sv-SE"/>
              </w:rPr>
            </w:pPr>
            <w:r w:rsidRPr="00FA0D37">
              <w:rPr>
                <w:i/>
                <w:iCs/>
                <w:lang w:eastAsia="sv-SE"/>
              </w:rPr>
              <w:t>RRCReconfigurationCompleteSidelink</w:t>
            </w:r>
            <w:r w:rsidRPr="00FA0D37">
              <w:rPr>
                <w:szCs w:val="22"/>
                <w:lang w:eastAsia="sv-SE"/>
              </w:rPr>
              <w:t xml:space="preserve"> field descriptions</w:t>
            </w:r>
          </w:p>
        </w:tc>
      </w:tr>
      <w:tr w:rsidR="005C7FF4" w:rsidRPr="00FA0D37" w14:paraId="27A28E27" w14:textId="77777777" w:rsidTr="0071565C">
        <w:tc>
          <w:tcPr>
            <w:tcW w:w="14173" w:type="dxa"/>
            <w:tcBorders>
              <w:top w:val="single" w:sz="4" w:space="0" w:color="auto"/>
              <w:left w:val="single" w:sz="4" w:space="0" w:color="auto"/>
              <w:bottom w:val="single" w:sz="4" w:space="0" w:color="auto"/>
              <w:right w:val="single" w:sz="4" w:space="0" w:color="auto"/>
            </w:tcBorders>
          </w:tcPr>
          <w:p w14:paraId="32136D7E" w14:textId="77777777" w:rsidR="002E7B14" w:rsidRPr="00FA0D37" w:rsidRDefault="002E7B14" w:rsidP="0071565C">
            <w:pPr>
              <w:pStyle w:val="TAL"/>
              <w:rPr>
                <w:b/>
                <w:bCs/>
                <w:i/>
                <w:iCs/>
                <w:lang w:eastAsia="sv-SE"/>
              </w:rPr>
            </w:pPr>
            <w:r w:rsidRPr="00FA0D37">
              <w:rPr>
                <w:b/>
                <w:bCs/>
                <w:i/>
                <w:iCs/>
                <w:lang w:eastAsia="sv-SE"/>
              </w:rPr>
              <w:t>dummy</w:t>
            </w:r>
          </w:p>
          <w:p w14:paraId="2E5C57D7" w14:textId="77777777" w:rsidR="002E7B14" w:rsidRPr="00FA0D37" w:rsidRDefault="002E7B14" w:rsidP="0071565C">
            <w:pPr>
              <w:pStyle w:val="TAL"/>
              <w:rPr>
                <w:bCs/>
                <w:iCs/>
                <w:lang w:eastAsia="sv-SE"/>
              </w:rPr>
            </w:pPr>
            <w:r w:rsidRPr="00FA0D37">
              <w:rPr>
                <w:bCs/>
                <w:iCs/>
                <w:lang w:eastAsia="sv-SE"/>
              </w:rPr>
              <w:t>This field is not used in the specification. The UE shall not include this field. If received it shall be ignored by the peer UE.</w:t>
            </w:r>
          </w:p>
        </w:tc>
      </w:tr>
      <w:tr w:rsidR="00F747EB" w:rsidRPr="00FA0D37" w14:paraId="1278080F" w14:textId="77777777" w:rsidTr="0071565C">
        <w:tc>
          <w:tcPr>
            <w:tcW w:w="14173" w:type="dxa"/>
            <w:tcBorders>
              <w:top w:val="single" w:sz="4" w:space="0" w:color="auto"/>
              <w:left w:val="single" w:sz="4" w:space="0" w:color="auto"/>
              <w:bottom w:val="single" w:sz="4" w:space="0" w:color="auto"/>
              <w:right w:val="single" w:sz="4" w:space="0" w:color="auto"/>
            </w:tcBorders>
          </w:tcPr>
          <w:p w14:paraId="549BF110" w14:textId="77777777" w:rsidR="00DC187A" w:rsidRPr="00FA0D37" w:rsidRDefault="00DC187A" w:rsidP="0071565C">
            <w:pPr>
              <w:pStyle w:val="TAL"/>
              <w:rPr>
                <w:b/>
                <w:bCs/>
                <w:i/>
                <w:iCs/>
                <w:lang w:eastAsia="sv-SE"/>
              </w:rPr>
            </w:pPr>
            <w:r w:rsidRPr="00FA0D37">
              <w:rPr>
                <w:b/>
                <w:bCs/>
                <w:i/>
                <w:iCs/>
                <w:lang w:eastAsia="sv-SE"/>
              </w:rPr>
              <w:t>sl-DRX-ConfigReject</w:t>
            </w:r>
          </w:p>
          <w:p w14:paraId="7D7BD3C4" w14:textId="77777777" w:rsidR="00DC187A" w:rsidRPr="00FA0D37" w:rsidRDefault="00DC187A" w:rsidP="0071565C">
            <w:pPr>
              <w:pStyle w:val="TAL"/>
              <w:rPr>
                <w:lang w:eastAsia="sv-SE"/>
              </w:rPr>
            </w:pPr>
            <w:r w:rsidRPr="00FA0D37">
              <w:rPr>
                <w:lang w:eastAsia="sv-SE"/>
              </w:rPr>
              <w:t>Indicates the rejection of sidelink DRX configuration received from the peer UE for the corresponding NR sidelink unicast communication.</w:t>
            </w:r>
          </w:p>
        </w:tc>
      </w:tr>
    </w:tbl>
    <w:p w14:paraId="32CA01C5" w14:textId="77777777" w:rsidR="00DC187A" w:rsidRPr="00FA0D37" w:rsidRDefault="00DC187A" w:rsidP="00394471"/>
    <w:p w14:paraId="629CDE5C" w14:textId="5F5D6C55" w:rsidR="00394471" w:rsidRPr="00FA0D37" w:rsidRDefault="00394471" w:rsidP="00394471">
      <w:pPr>
        <w:pStyle w:val="4"/>
        <w:rPr>
          <w:i/>
          <w:iCs/>
        </w:rPr>
      </w:pPr>
      <w:bookmarkStart w:id="2251" w:name="_Toc60777571"/>
      <w:bookmarkStart w:id="2252" w:name="_Toc146781712"/>
      <w:r w:rsidRPr="00FA0D37">
        <w:t>–</w:t>
      </w:r>
      <w:r w:rsidRPr="00FA0D37">
        <w:tab/>
      </w:r>
      <w:r w:rsidRPr="00FA0D37">
        <w:rPr>
          <w:i/>
          <w:iCs/>
          <w:noProof/>
        </w:rPr>
        <w:t>RRCReconfigurationFailureSidelink</w:t>
      </w:r>
      <w:bookmarkEnd w:id="2251"/>
      <w:bookmarkEnd w:id="2252"/>
    </w:p>
    <w:p w14:paraId="370B6822" w14:textId="77777777" w:rsidR="00394471" w:rsidRPr="00FA0D37" w:rsidRDefault="00394471" w:rsidP="00394471">
      <w:r w:rsidRPr="00FA0D37">
        <w:t xml:space="preserve">The </w:t>
      </w:r>
      <w:r w:rsidRPr="00FA0D37">
        <w:rPr>
          <w:i/>
        </w:rPr>
        <w:t>RRCReconfiguration</w:t>
      </w:r>
      <w:r w:rsidRPr="00FA0D37">
        <w:rPr>
          <w:i/>
          <w:iCs/>
          <w:noProof/>
        </w:rPr>
        <w:t>Failure</w:t>
      </w:r>
      <w:r w:rsidRPr="00FA0D37">
        <w:rPr>
          <w:i/>
        </w:rPr>
        <w:t>Sidelink</w:t>
      </w:r>
      <w:r w:rsidRPr="00FA0D37">
        <w:t xml:space="preserve"> message is used to indicate the failure of a PC5 RRC AS reconfiguration.</w:t>
      </w:r>
      <w:r w:rsidRPr="00FA0D37">
        <w:rPr>
          <w:rFonts w:eastAsia="Yu Mincho"/>
          <w:lang w:eastAsia="zh-CN"/>
        </w:rPr>
        <w:t xml:space="preserve"> It is only applied to unicast of NR sidelink communication.</w:t>
      </w:r>
    </w:p>
    <w:p w14:paraId="4BA6ABBB" w14:textId="77777777" w:rsidR="00394471" w:rsidRPr="00FA0D37" w:rsidRDefault="00394471" w:rsidP="00394471">
      <w:pPr>
        <w:pStyle w:val="B1"/>
      </w:pPr>
      <w:r w:rsidRPr="00FA0D37">
        <w:t xml:space="preserve">Signalling radio bearer: </w:t>
      </w:r>
      <w:r w:rsidRPr="00FA0D37">
        <w:rPr>
          <w:rFonts w:eastAsia="等线"/>
          <w:lang w:eastAsia="zh-CN"/>
        </w:rPr>
        <w:t>SL-SRB3</w:t>
      </w:r>
    </w:p>
    <w:p w14:paraId="5416F46E" w14:textId="77777777" w:rsidR="00394471" w:rsidRPr="00FA0D37" w:rsidRDefault="00394471" w:rsidP="00394471">
      <w:pPr>
        <w:pStyle w:val="B1"/>
      </w:pPr>
      <w:r w:rsidRPr="00FA0D37">
        <w:t>RLC-SAP: AM</w:t>
      </w:r>
    </w:p>
    <w:p w14:paraId="0FAC1574" w14:textId="77777777" w:rsidR="00394471" w:rsidRPr="00FA0D37" w:rsidRDefault="00394471" w:rsidP="00394471">
      <w:pPr>
        <w:pStyle w:val="B1"/>
      </w:pPr>
      <w:r w:rsidRPr="00FA0D37">
        <w:t>Logical channel: SCCH</w:t>
      </w:r>
    </w:p>
    <w:p w14:paraId="57BFAF6C" w14:textId="77777777" w:rsidR="00394471" w:rsidRPr="00FA0D37" w:rsidRDefault="00394471" w:rsidP="00394471">
      <w:pPr>
        <w:pStyle w:val="B1"/>
        <w:rPr>
          <w:i/>
          <w:iCs/>
        </w:rPr>
      </w:pPr>
      <w:r w:rsidRPr="00FA0D37">
        <w:t xml:space="preserve">Direction: UE to </w:t>
      </w:r>
      <w:r w:rsidRPr="00FA0D37">
        <w:rPr>
          <w:lang w:eastAsia="zh-CN"/>
        </w:rPr>
        <w:t>UE</w:t>
      </w:r>
    </w:p>
    <w:p w14:paraId="6FB9A97C" w14:textId="77777777" w:rsidR="00394471" w:rsidRPr="00FA0D37" w:rsidRDefault="00394471" w:rsidP="00394471">
      <w:pPr>
        <w:pStyle w:val="TH"/>
        <w:rPr>
          <w:b w:val="0"/>
        </w:rPr>
      </w:pPr>
      <w:r w:rsidRPr="00FA0D37">
        <w:rPr>
          <w:i/>
          <w:iCs/>
        </w:rPr>
        <w:t>RRCReconfiguration</w:t>
      </w:r>
      <w:r w:rsidRPr="00FA0D37">
        <w:rPr>
          <w:i/>
          <w:iCs/>
          <w:noProof/>
        </w:rPr>
        <w:t>Failure</w:t>
      </w:r>
      <w:r w:rsidRPr="00FA0D37">
        <w:rPr>
          <w:i/>
          <w:iCs/>
        </w:rPr>
        <w:t>Sidelink</w:t>
      </w:r>
      <w:r w:rsidRPr="00FA0D37">
        <w:t xml:space="preserve"> message</w:t>
      </w:r>
    </w:p>
    <w:p w14:paraId="40A7DF6D" w14:textId="77777777" w:rsidR="00394471" w:rsidRPr="00FA0D37" w:rsidRDefault="00394471" w:rsidP="00FA0D37">
      <w:pPr>
        <w:pStyle w:val="PL"/>
        <w:rPr>
          <w:color w:val="808080"/>
        </w:rPr>
      </w:pPr>
      <w:r w:rsidRPr="00FA0D37">
        <w:rPr>
          <w:color w:val="808080"/>
        </w:rPr>
        <w:t>-- ASN1START</w:t>
      </w:r>
    </w:p>
    <w:p w14:paraId="0333294D" w14:textId="77777777" w:rsidR="00394471" w:rsidRPr="00FA0D37" w:rsidRDefault="00394471" w:rsidP="00FA0D37">
      <w:pPr>
        <w:pStyle w:val="PL"/>
        <w:rPr>
          <w:color w:val="808080"/>
        </w:rPr>
      </w:pPr>
      <w:r w:rsidRPr="00FA0D37">
        <w:rPr>
          <w:color w:val="808080"/>
        </w:rPr>
        <w:t>-- TAG-RRCRECONFIGURATIONFAILURESIDELINK-START</w:t>
      </w:r>
    </w:p>
    <w:p w14:paraId="5CC41423" w14:textId="77777777" w:rsidR="00394471" w:rsidRPr="00FA0D37" w:rsidRDefault="00394471" w:rsidP="00FA0D37">
      <w:pPr>
        <w:pStyle w:val="PL"/>
      </w:pPr>
    </w:p>
    <w:p w14:paraId="69456027" w14:textId="77777777" w:rsidR="00394471" w:rsidRPr="00FA0D37" w:rsidRDefault="00394471" w:rsidP="00FA0D37">
      <w:pPr>
        <w:pStyle w:val="PL"/>
      </w:pPr>
      <w:r w:rsidRPr="00FA0D37">
        <w:t xml:space="preserve">RRCReconfigurationFailureSidelink ::=         </w:t>
      </w:r>
      <w:r w:rsidRPr="00FA0D37">
        <w:rPr>
          <w:color w:val="993366"/>
        </w:rPr>
        <w:t>SEQUENCE</w:t>
      </w:r>
      <w:r w:rsidRPr="00FA0D37">
        <w:t xml:space="preserve"> {</w:t>
      </w:r>
    </w:p>
    <w:p w14:paraId="2586960E" w14:textId="77777777" w:rsidR="00394471" w:rsidRPr="00FA0D37" w:rsidRDefault="00394471" w:rsidP="00FA0D37">
      <w:pPr>
        <w:pStyle w:val="PL"/>
      </w:pPr>
      <w:r w:rsidRPr="00FA0D37">
        <w:t xml:space="preserve">    rrc-TransactionIdentifier-r16                 RRC-TransactionIdentifier,</w:t>
      </w:r>
    </w:p>
    <w:p w14:paraId="3737616A"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62A1008A" w14:textId="7AAA9FD5" w:rsidR="00394471" w:rsidRPr="00FA0D37" w:rsidRDefault="00394471" w:rsidP="00FA0D37">
      <w:pPr>
        <w:pStyle w:val="PL"/>
      </w:pPr>
      <w:r w:rsidRPr="00FA0D37">
        <w:t xml:space="preserve">        rrcReconfigurationFailureSidelink-r16         RRCReconfigurationFailureSidelink</w:t>
      </w:r>
      <w:r w:rsidR="00C12C0B" w:rsidRPr="00FA0D37">
        <w:t>-r16</w:t>
      </w:r>
      <w:r w:rsidRPr="00FA0D37">
        <w:t>-IEs,</w:t>
      </w:r>
    </w:p>
    <w:p w14:paraId="559E9096"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3F1DBE42" w14:textId="77777777" w:rsidR="00394471" w:rsidRPr="00FA0D37" w:rsidRDefault="00394471" w:rsidP="00FA0D37">
      <w:pPr>
        <w:pStyle w:val="PL"/>
      </w:pPr>
      <w:r w:rsidRPr="00FA0D37">
        <w:t xml:space="preserve">    }</w:t>
      </w:r>
    </w:p>
    <w:p w14:paraId="7318B5CD" w14:textId="77777777" w:rsidR="00394471" w:rsidRPr="00FA0D37" w:rsidRDefault="00394471" w:rsidP="00FA0D37">
      <w:pPr>
        <w:pStyle w:val="PL"/>
      </w:pPr>
      <w:r w:rsidRPr="00FA0D37">
        <w:t>}</w:t>
      </w:r>
    </w:p>
    <w:p w14:paraId="160372C9" w14:textId="77777777" w:rsidR="00394471" w:rsidRPr="00FA0D37" w:rsidRDefault="00394471" w:rsidP="00FA0D37">
      <w:pPr>
        <w:pStyle w:val="PL"/>
      </w:pPr>
    </w:p>
    <w:p w14:paraId="1D573F7F" w14:textId="0DC47B0C" w:rsidR="00394471" w:rsidRPr="00FA0D37" w:rsidRDefault="00394471" w:rsidP="00FA0D37">
      <w:pPr>
        <w:pStyle w:val="PL"/>
      </w:pPr>
      <w:r w:rsidRPr="00FA0D37">
        <w:t>RRCReconfigurationFailureSidelink</w:t>
      </w:r>
      <w:r w:rsidR="00C12C0B" w:rsidRPr="00FA0D37">
        <w:t>-r16</w:t>
      </w:r>
      <w:r w:rsidRPr="00FA0D37">
        <w:t xml:space="preserve">-IEs ::= </w:t>
      </w:r>
      <w:r w:rsidRPr="00FA0D37">
        <w:rPr>
          <w:color w:val="993366"/>
        </w:rPr>
        <w:t>SEQUENCE</w:t>
      </w:r>
      <w:r w:rsidRPr="00FA0D37">
        <w:t xml:space="preserve"> {</w:t>
      </w:r>
    </w:p>
    <w:p w14:paraId="372BA0A3"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FBE5B38"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64BE2A30" w14:textId="77777777" w:rsidR="00394471" w:rsidRPr="00FA0D37" w:rsidRDefault="00394471" w:rsidP="00FA0D37">
      <w:pPr>
        <w:pStyle w:val="PL"/>
      </w:pPr>
      <w:r w:rsidRPr="00FA0D37">
        <w:t>}</w:t>
      </w:r>
    </w:p>
    <w:p w14:paraId="6E657224" w14:textId="77777777" w:rsidR="00394471" w:rsidRPr="00FA0D37" w:rsidRDefault="00394471" w:rsidP="00FA0D37">
      <w:pPr>
        <w:pStyle w:val="PL"/>
      </w:pPr>
    </w:p>
    <w:p w14:paraId="44D8AED6" w14:textId="77777777" w:rsidR="00394471" w:rsidRPr="00FA0D37" w:rsidRDefault="00394471" w:rsidP="00FA0D37">
      <w:pPr>
        <w:pStyle w:val="PL"/>
        <w:rPr>
          <w:color w:val="808080"/>
        </w:rPr>
      </w:pPr>
      <w:r w:rsidRPr="00FA0D37">
        <w:rPr>
          <w:color w:val="808080"/>
        </w:rPr>
        <w:t>-- TAG-RRCRECONFIGURATIONFAILURESIDELINK-STOP</w:t>
      </w:r>
    </w:p>
    <w:p w14:paraId="47B826FA" w14:textId="77777777" w:rsidR="00394471" w:rsidRPr="00FA0D37" w:rsidRDefault="00394471" w:rsidP="00FA0D37">
      <w:pPr>
        <w:pStyle w:val="PL"/>
        <w:rPr>
          <w:color w:val="808080"/>
        </w:rPr>
      </w:pPr>
      <w:r w:rsidRPr="00FA0D37">
        <w:rPr>
          <w:color w:val="808080"/>
        </w:rPr>
        <w:t>-- ASN1STOP</w:t>
      </w:r>
    </w:p>
    <w:p w14:paraId="7EBC197C" w14:textId="77777777" w:rsidR="00394471" w:rsidRPr="00FA0D37" w:rsidRDefault="00394471" w:rsidP="00394471">
      <w:pPr>
        <w:pStyle w:val="PL"/>
      </w:pPr>
    </w:p>
    <w:p w14:paraId="112AB3FE" w14:textId="2ECF27BA" w:rsidR="00394471" w:rsidRPr="00FA0D37" w:rsidRDefault="00394471" w:rsidP="00394471"/>
    <w:p w14:paraId="6E7F423B" w14:textId="6E90C15E" w:rsidR="00FC41F5" w:rsidRPr="00FA0D37" w:rsidRDefault="00FC41F5" w:rsidP="00FC41F5">
      <w:pPr>
        <w:pStyle w:val="4"/>
      </w:pPr>
      <w:bookmarkStart w:id="2253" w:name="_Toc146781713"/>
      <w:r w:rsidRPr="00FA0D37">
        <w:t>–</w:t>
      </w:r>
      <w:r w:rsidRPr="00FA0D37">
        <w:tab/>
      </w:r>
      <w:r w:rsidRPr="00FA0D37">
        <w:rPr>
          <w:i/>
        </w:rPr>
        <w:t>UEAssistanceInformationSidelink</w:t>
      </w:r>
      <w:bookmarkEnd w:id="2253"/>
    </w:p>
    <w:p w14:paraId="231CB5B1" w14:textId="47A2825D" w:rsidR="00FC41F5" w:rsidRPr="00FA0D37" w:rsidRDefault="00FC41F5" w:rsidP="00FC41F5">
      <w:pPr>
        <w:rPr>
          <w:iCs/>
        </w:rPr>
      </w:pPr>
      <w:r w:rsidRPr="00FA0D37">
        <w:t xml:space="preserve">The </w:t>
      </w:r>
      <w:r w:rsidRPr="00FA0D37">
        <w:rPr>
          <w:i/>
        </w:rPr>
        <w:t xml:space="preserve">UEAssistanceInformationSidelink </w:t>
      </w:r>
      <w:r w:rsidR="00C92928" w:rsidRPr="00FA0D37">
        <w:rPr>
          <w:iCs/>
        </w:rPr>
        <w:t xml:space="preserve">message </w:t>
      </w:r>
      <w:r w:rsidRPr="00FA0D37">
        <w:rPr>
          <w:iCs/>
        </w:rPr>
        <w:t xml:space="preserve">may include sidelink DRX </w:t>
      </w:r>
      <w:r w:rsidRPr="00FA0D37">
        <w:t>assistance information used to determine the sidelink DRX configuration.</w:t>
      </w:r>
    </w:p>
    <w:p w14:paraId="1F72FC47" w14:textId="77777777" w:rsidR="00FC41F5" w:rsidRPr="00FA0D37" w:rsidRDefault="00FC41F5" w:rsidP="00FC41F5">
      <w:pPr>
        <w:pStyle w:val="B1"/>
      </w:pPr>
      <w:r w:rsidRPr="00FA0D37">
        <w:t>Signalling radio bearer: SL-SRB3</w:t>
      </w:r>
    </w:p>
    <w:p w14:paraId="1944F362" w14:textId="77777777" w:rsidR="00FC41F5" w:rsidRPr="00FA0D37" w:rsidRDefault="00FC41F5" w:rsidP="00FC41F5">
      <w:pPr>
        <w:pStyle w:val="B1"/>
      </w:pPr>
      <w:r w:rsidRPr="00FA0D37">
        <w:t>RLC-SAP: AM</w:t>
      </w:r>
    </w:p>
    <w:p w14:paraId="0539A3F0" w14:textId="77777777" w:rsidR="00FC41F5" w:rsidRPr="00FA0D37" w:rsidRDefault="00FC41F5" w:rsidP="00FC41F5">
      <w:pPr>
        <w:pStyle w:val="B1"/>
      </w:pPr>
      <w:r w:rsidRPr="00FA0D37">
        <w:t>Logical channel: SCCH</w:t>
      </w:r>
    </w:p>
    <w:p w14:paraId="0F52DD8C" w14:textId="77777777" w:rsidR="00FC41F5" w:rsidRPr="00FA0D37" w:rsidRDefault="00FC41F5" w:rsidP="00FC41F5">
      <w:pPr>
        <w:pStyle w:val="B1"/>
      </w:pPr>
      <w:r w:rsidRPr="00FA0D37">
        <w:t>Direction: UE to UE</w:t>
      </w:r>
    </w:p>
    <w:p w14:paraId="7909EF8A" w14:textId="0D1CA580" w:rsidR="00FC41F5" w:rsidRPr="00FA0D37" w:rsidRDefault="00FC41F5" w:rsidP="00FC41F5">
      <w:pPr>
        <w:pStyle w:val="TH"/>
        <w:rPr>
          <w:bCs/>
          <w:i/>
          <w:iCs/>
        </w:rPr>
      </w:pPr>
      <w:r w:rsidRPr="00FA0D37">
        <w:rPr>
          <w:bCs/>
          <w:i/>
          <w:iCs/>
        </w:rPr>
        <w:t>UEAssistanceInformationSidelink</w:t>
      </w:r>
      <w:r w:rsidR="00C92928" w:rsidRPr="00FA0D37">
        <w:rPr>
          <w:bCs/>
        </w:rPr>
        <w:t xml:space="preserve"> message</w:t>
      </w:r>
    </w:p>
    <w:p w14:paraId="0D377D5E" w14:textId="77777777" w:rsidR="00FC41F5" w:rsidRPr="00FA0D37" w:rsidRDefault="00FC41F5" w:rsidP="00FA0D37">
      <w:pPr>
        <w:pStyle w:val="PL"/>
        <w:rPr>
          <w:color w:val="808080"/>
        </w:rPr>
      </w:pPr>
      <w:r w:rsidRPr="00FA0D37">
        <w:rPr>
          <w:color w:val="808080"/>
        </w:rPr>
        <w:t>-- ASN1START</w:t>
      </w:r>
    </w:p>
    <w:p w14:paraId="24D138EC" w14:textId="77777777" w:rsidR="00FC41F5" w:rsidRPr="00FA0D37" w:rsidRDefault="00FC41F5" w:rsidP="00FA0D37">
      <w:pPr>
        <w:pStyle w:val="PL"/>
        <w:rPr>
          <w:color w:val="808080"/>
        </w:rPr>
      </w:pPr>
      <w:r w:rsidRPr="00FA0D37">
        <w:rPr>
          <w:color w:val="808080"/>
        </w:rPr>
        <w:t>-- TAG-UEASSISTANCEINFORMATIONSIDELINK-START</w:t>
      </w:r>
    </w:p>
    <w:p w14:paraId="09816AF0" w14:textId="353D2556" w:rsidR="00FC41F5" w:rsidRPr="00FA0D37" w:rsidRDefault="00FC41F5" w:rsidP="00FA0D37">
      <w:pPr>
        <w:pStyle w:val="PL"/>
      </w:pPr>
    </w:p>
    <w:p w14:paraId="5B64A0A7" w14:textId="0398497F" w:rsidR="00511FD3" w:rsidRPr="00FA0D37" w:rsidRDefault="00511FD3" w:rsidP="00FA0D37">
      <w:pPr>
        <w:pStyle w:val="PL"/>
      </w:pPr>
      <w:r w:rsidRPr="00FA0D37">
        <w:t xml:space="preserve">UEAssistanceInformationSidelink-r17 ::=       </w:t>
      </w:r>
      <w:r w:rsidRPr="00FA0D37">
        <w:rPr>
          <w:color w:val="993366"/>
        </w:rPr>
        <w:t>SEQUENCE</w:t>
      </w:r>
      <w:r w:rsidRPr="00FA0D37">
        <w:t xml:space="preserve"> {</w:t>
      </w:r>
    </w:p>
    <w:p w14:paraId="3E740CA5" w14:textId="01C4AB67" w:rsidR="00511FD3" w:rsidRPr="00FA0D37" w:rsidRDefault="00511FD3" w:rsidP="00FA0D37">
      <w:pPr>
        <w:pStyle w:val="PL"/>
      </w:pPr>
      <w:r w:rsidRPr="00FA0D37">
        <w:t xml:space="preserve">    criticalExtensions                            </w:t>
      </w:r>
      <w:r w:rsidRPr="00FA0D37">
        <w:rPr>
          <w:color w:val="993366"/>
        </w:rPr>
        <w:t>CHOICE</w:t>
      </w:r>
      <w:r w:rsidRPr="00FA0D37">
        <w:t xml:space="preserve"> {</w:t>
      </w:r>
    </w:p>
    <w:p w14:paraId="0515F7F4" w14:textId="1E2CB731" w:rsidR="00511FD3" w:rsidRPr="00FA0D37" w:rsidRDefault="00511FD3" w:rsidP="00FA0D37">
      <w:pPr>
        <w:pStyle w:val="PL"/>
      </w:pPr>
      <w:r w:rsidRPr="00FA0D37">
        <w:t xml:space="preserve">        ueAssistanceInformationSidelink-r17           UEAssistanceInformationSidelink-r17-IEs,</w:t>
      </w:r>
    </w:p>
    <w:p w14:paraId="36D5EF3C" w14:textId="35EC1219" w:rsidR="00511FD3" w:rsidRPr="00FA0D37" w:rsidRDefault="00511FD3" w:rsidP="00FA0D37">
      <w:pPr>
        <w:pStyle w:val="PL"/>
      </w:pPr>
      <w:r w:rsidRPr="00FA0D37">
        <w:t xml:space="preserve">        criticalExtensionsFuture                      </w:t>
      </w:r>
      <w:r w:rsidRPr="00FA0D37">
        <w:rPr>
          <w:color w:val="993366"/>
        </w:rPr>
        <w:t>SEQUENCE</w:t>
      </w:r>
      <w:r w:rsidRPr="00FA0D37">
        <w:t xml:space="preserve"> {}</w:t>
      </w:r>
    </w:p>
    <w:p w14:paraId="48478EFD" w14:textId="77777777" w:rsidR="00511FD3" w:rsidRPr="00FA0D37" w:rsidRDefault="00511FD3" w:rsidP="00FA0D37">
      <w:pPr>
        <w:pStyle w:val="PL"/>
      </w:pPr>
      <w:r w:rsidRPr="00FA0D37">
        <w:t xml:space="preserve">    }</w:t>
      </w:r>
    </w:p>
    <w:p w14:paraId="7C45509B" w14:textId="77777777" w:rsidR="00511FD3" w:rsidRPr="00FA0D37" w:rsidRDefault="00511FD3" w:rsidP="00FA0D37">
      <w:pPr>
        <w:pStyle w:val="PL"/>
      </w:pPr>
      <w:r w:rsidRPr="00FA0D37">
        <w:t>}</w:t>
      </w:r>
    </w:p>
    <w:p w14:paraId="05CE1608" w14:textId="77777777" w:rsidR="00511FD3" w:rsidRPr="00FA0D37" w:rsidRDefault="00511FD3" w:rsidP="00FA0D37">
      <w:pPr>
        <w:pStyle w:val="PL"/>
      </w:pPr>
    </w:p>
    <w:p w14:paraId="44F02B51" w14:textId="00C120FA" w:rsidR="00FC41F5" w:rsidRPr="00FA0D37" w:rsidRDefault="00FC41F5" w:rsidP="00FA0D37">
      <w:pPr>
        <w:pStyle w:val="PL"/>
      </w:pPr>
      <w:r w:rsidRPr="00FA0D37">
        <w:t>UEAssistanceInformationSidelink</w:t>
      </w:r>
      <w:r w:rsidR="00511FD3" w:rsidRPr="00FA0D37">
        <w:t>-r17-IEs</w:t>
      </w:r>
      <w:r w:rsidRPr="00FA0D37">
        <w:t xml:space="preserve"> ::=   </w:t>
      </w:r>
      <w:r w:rsidRPr="00FA0D37">
        <w:rPr>
          <w:color w:val="993366"/>
        </w:rPr>
        <w:t>SEQUENCE</w:t>
      </w:r>
      <w:r w:rsidRPr="00FA0D37">
        <w:t xml:space="preserve"> {</w:t>
      </w:r>
    </w:p>
    <w:p w14:paraId="659BDEAD" w14:textId="3501F000" w:rsidR="00DC187A" w:rsidRPr="00FA0D37" w:rsidRDefault="00FC41F5" w:rsidP="00FA0D37">
      <w:pPr>
        <w:pStyle w:val="PL"/>
      </w:pPr>
      <w:r w:rsidRPr="00FA0D37">
        <w:t xml:space="preserve">    sl-PreferredDRX</w:t>
      </w:r>
      <w:r w:rsidR="00DC187A" w:rsidRPr="00FA0D37">
        <w:t>-</w:t>
      </w:r>
      <w:r w:rsidRPr="00FA0D37">
        <w:t>Config</w:t>
      </w:r>
      <w:r w:rsidR="00DC187A" w:rsidRPr="00FA0D37">
        <w:t>List</w:t>
      </w:r>
      <w:r w:rsidRPr="00FA0D37">
        <w:t xml:space="preserve">-r17                </w:t>
      </w:r>
      <w:r w:rsidR="00DC187A" w:rsidRPr="00FA0D37">
        <w:rPr>
          <w:color w:val="993366"/>
        </w:rPr>
        <w:t>SEQUENCE</w:t>
      </w:r>
      <w:r w:rsidR="00DC187A" w:rsidRPr="00FA0D37">
        <w:t xml:space="preserve"> (</w:t>
      </w:r>
      <w:r w:rsidR="00DC187A" w:rsidRPr="00FA0D37">
        <w:rPr>
          <w:color w:val="993366"/>
        </w:rPr>
        <w:t>SIZE</w:t>
      </w:r>
      <w:r w:rsidR="00DC187A" w:rsidRPr="00FA0D37">
        <w:t xml:space="preserve"> (1..maxNrofSL-RxInfoSet-r17))</w:t>
      </w:r>
      <w:r w:rsidR="00DC187A" w:rsidRPr="00FA0D37">
        <w:rPr>
          <w:color w:val="993366"/>
        </w:rPr>
        <w:t xml:space="preserve"> OF</w:t>
      </w:r>
      <w:r w:rsidR="00DC187A" w:rsidRPr="00FA0D37">
        <w:t xml:space="preserve"> SL-DRX-ConfigUC-SemiStatic</w:t>
      </w:r>
      <w:r w:rsidRPr="00FA0D37">
        <w:t>-r17</w:t>
      </w:r>
    </w:p>
    <w:p w14:paraId="4CBA89C2" w14:textId="1298184D" w:rsidR="00FC41F5" w:rsidRPr="00FA0D37" w:rsidRDefault="00DC187A" w:rsidP="00FA0D37">
      <w:pPr>
        <w:pStyle w:val="PL"/>
        <w:rPr>
          <w:color w:val="808080"/>
        </w:rPr>
      </w:pPr>
      <w:r w:rsidRPr="00FA0D37">
        <w:t xml:space="preserve">                                                                           </w:t>
      </w:r>
      <w:r w:rsidR="00FC41F5" w:rsidRPr="00FA0D37">
        <w:t xml:space="preserve">                             </w:t>
      </w:r>
      <w:r w:rsidR="00FC41F5" w:rsidRPr="00FA0D37">
        <w:rPr>
          <w:color w:val="993366"/>
        </w:rPr>
        <w:t>OPTIONAL</w:t>
      </w:r>
      <w:r w:rsidR="00FC41F5" w:rsidRPr="00FA0D37">
        <w:t>,</w:t>
      </w:r>
      <w:r w:rsidRPr="00FA0D37">
        <w:t xml:space="preserve"> </w:t>
      </w:r>
      <w:r w:rsidRPr="00FA0D37">
        <w:rPr>
          <w:color w:val="808080"/>
        </w:rPr>
        <w:t>-- Need R</w:t>
      </w:r>
    </w:p>
    <w:p w14:paraId="08E59CCD" w14:textId="7CD4DCBC" w:rsidR="00511FD3" w:rsidRPr="00FA0D37" w:rsidRDefault="00511FD3"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2B43AE52" w14:textId="0C1AC654" w:rsidR="00FC41F5" w:rsidRPr="00FA0D37" w:rsidRDefault="00511FD3"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5E834745" w14:textId="77777777" w:rsidR="00FC41F5" w:rsidRPr="00FA0D37" w:rsidRDefault="00FC41F5" w:rsidP="00FA0D37">
      <w:pPr>
        <w:pStyle w:val="PL"/>
      </w:pPr>
      <w:r w:rsidRPr="00FA0D37">
        <w:t>}</w:t>
      </w:r>
    </w:p>
    <w:p w14:paraId="6D5206D8" w14:textId="77777777" w:rsidR="00FC41F5" w:rsidRPr="00FA0D37" w:rsidRDefault="00FC41F5" w:rsidP="00FA0D37">
      <w:pPr>
        <w:pStyle w:val="PL"/>
      </w:pPr>
    </w:p>
    <w:p w14:paraId="6A2B08A7" w14:textId="77777777" w:rsidR="00FC41F5" w:rsidRPr="00FA0D37" w:rsidRDefault="00FC41F5" w:rsidP="00FA0D37">
      <w:pPr>
        <w:pStyle w:val="PL"/>
        <w:rPr>
          <w:color w:val="808080"/>
        </w:rPr>
      </w:pPr>
      <w:r w:rsidRPr="00FA0D37">
        <w:rPr>
          <w:color w:val="808080"/>
        </w:rPr>
        <w:t>-- TAG-UEASSISTANCEINFORMATIONSIDELINK-STOP</w:t>
      </w:r>
    </w:p>
    <w:p w14:paraId="0FF7E595" w14:textId="77777777" w:rsidR="00FC41F5" w:rsidRPr="00FA0D37" w:rsidRDefault="00FC41F5" w:rsidP="00FA0D37">
      <w:pPr>
        <w:pStyle w:val="PL"/>
        <w:rPr>
          <w:color w:val="808080"/>
        </w:rPr>
      </w:pPr>
      <w:r w:rsidRPr="00FA0D37">
        <w:rPr>
          <w:color w:val="808080"/>
        </w:rPr>
        <w:t>-- ASN1STOP</w:t>
      </w:r>
    </w:p>
    <w:p w14:paraId="4C1B45F3" w14:textId="77777777" w:rsidR="00FC41F5" w:rsidRPr="00FA0D37" w:rsidRDefault="00FC41F5" w:rsidP="000830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157944D1"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41F7286" w14:textId="77777777" w:rsidR="00FC41F5" w:rsidRPr="00FA0D37" w:rsidRDefault="00FC41F5" w:rsidP="00771058">
            <w:pPr>
              <w:pStyle w:val="TAH"/>
              <w:rPr>
                <w:lang w:eastAsia="sv-SE"/>
              </w:rPr>
            </w:pPr>
            <w:r w:rsidRPr="00FA0D37">
              <w:rPr>
                <w:i/>
                <w:lang w:eastAsia="sv-SE"/>
              </w:rPr>
              <w:t>UEAssistanceInformationSidelink</w:t>
            </w:r>
            <w:r w:rsidRPr="00FA0D37">
              <w:rPr>
                <w:lang w:eastAsia="sv-SE"/>
              </w:rPr>
              <w:t xml:space="preserve"> field descriptions</w:t>
            </w:r>
          </w:p>
        </w:tc>
      </w:tr>
      <w:tr w:rsidR="00F747EB" w:rsidRPr="00FA0D37" w14:paraId="5CEC78D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6851BA00" w14:textId="3D2BFEFC" w:rsidR="00FC41F5" w:rsidRPr="00FA0D37" w:rsidRDefault="00FC41F5" w:rsidP="00771058">
            <w:pPr>
              <w:pStyle w:val="TAL"/>
              <w:rPr>
                <w:b/>
                <w:i/>
                <w:lang w:eastAsia="en-GB"/>
              </w:rPr>
            </w:pPr>
            <w:r w:rsidRPr="00FA0D37">
              <w:rPr>
                <w:b/>
                <w:i/>
                <w:lang w:eastAsia="en-GB"/>
              </w:rPr>
              <w:t>sl-PreferredDRX-Config</w:t>
            </w:r>
            <w:r w:rsidR="00DC187A" w:rsidRPr="00FA0D37">
              <w:rPr>
                <w:b/>
                <w:i/>
                <w:lang w:eastAsia="en-GB"/>
              </w:rPr>
              <w:t>List</w:t>
            </w:r>
          </w:p>
          <w:p w14:paraId="2259750F" w14:textId="613122AD" w:rsidR="00FC41F5" w:rsidRPr="00FA0D37" w:rsidRDefault="00FC41F5" w:rsidP="00771058">
            <w:pPr>
              <w:pStyle w:val="TAL"/>
              <w:rPr>
                <w:szCs w:val="22"/>
                <w:lang w:eastAsia="en-GB"/>
              </w:rPr>
            </w:pPr>
            <w:r w:rsidRPr="00FA0D37">
              <w:rPr>
                <w:lang w:eastAsia="en-GB"/>
              </w:rPr>
              <w:t>Indicates</w:t>
            </w:r>
            <w:r w:rsidR="00DC187A" w:rsidRPr="00FA0D37">
              <w:rPr>
                <w:lang w:eastAsia="en-GB"/>
              </w:rPr>
              <w:t xml:space="preserve"> a list of</w:t>
            </w:r>
            <w:r w:rsidRPr="00FA0D37">
              <w:rPr>
                <w:lang w:eastAsia="en-GB"/>
              </w:rPr>
              <w:t xml:space="preserve"> the reference sidelink DRX configuration</w:t>
            </w:r>
            <w:r w:rsidR="00DC187A" w:rsidRPr="00FA0D37">
              <w:rPr>
                <w:lang w:eastAsia="en-GB"/>
              </w:rPr>
              <w:t>s</w:t>
            </w:r>
            <w:r w:rsidRPr="00FA0D37">
              <w:rPr>
                <w:lang w:eastAsia="en-GB"/>
              </w:rPr>
              <w:t xml:space="preserve"> provided by a UE to a peer UE for determining the sidelink DRX configuration.</w:t>
            </w:r>
          </w:p>
        </w:tc>
      </w:tr>
    </w:tbl>
    <w:p w14:paraId="67D3202E" w14:textId="77777777" w:rsidR="00FC41F5" w:rsidRPr="00FA0D37" w:rsidRDefault="00FC41F5" w:rsidP="00394471"/>
    <w:p w14:paraId="2E47DA30" w14:textId="72B760A2" w:rsidR="00394471" w:rsidRPr="00FA0D37" w:rsidRDefault="00394471" w:rsidP="00394471">
      <w:pPr>
        <w:pStyle w:val="4"/>
        <w:rPr>
          <w:noProof/>
        </w:rPr>
      </w:pPr>
      <w:bookmarkStart w:id="2254" w:name="_Toc60777572"/>
      <w:bookmarkStart w:id="2255" w:name="_Toc146781714"/>
      <w:r w:rsidRPr="00FA0D37">
        <w:t>–</w:t>
      </w:r>
      <w:r w:rsidRPr="00FA0D37">
        <w:tab/>
      </w:r>
      <w:r w:rsidRPr="00FA0D37">
        <w:rPr>
          <w:i/>
          <w:iCs/>
        </w:rPr>
        <w:t>UECapabilityEnquiry</w:t>
      </w:r>
      <w:r w:rsidRPr="00FA0D37">
        <w:rPr>
          <w:i/>
          <w:iCs/>
          <w:noProof/>
        </w:rPr>
        <w:t>Sidelink</w:t>
      </w:r>
      <w:bookmarkEnd w:id="2254"/>
      <w:bookmarkEnd w:id="2255"/>
    </w:p>
    <w:p w14:paraId="158A1EC9" w14:textId="77777777" w:rsidR="00394471" w:rsidRPr="00FA0D37" w:rsidRDefault="00394471" w:rsidP="00394471">
      <w:r w:rsidRPr="00FA0D37">
        <w:t xml:space="preserve">The </w:t>
      </w:r>
      <w:r w:rsidRPr="00FA0D37">
        <w:rPr>
          <w:i/>
        </w:rPr>
        <w:t>UECapabilityEnquiry</w:t>
      </w:r>
      <w:r w:rsidRPr="00FA0D37">
        <w:rPr>
          <w:i/>
          <w:noProof/>
        </w:rPr>
        <w:t>Sidelink</w:t>
      </w:r>
      <w:r w:rsidRPr="00FA0D37">
        <w:t xml:space="preserve"> message is used to request UE sidelink capabilities.</w:t>
      </w:r>
      <w:r w:rsidRPr="00FA0D37">
        <w:rPr>
          <w:rFonts w:eastAsia="Yu Mincho"/>
          <w:lang w:eastAsia="zh-CN"/>
        </w:rPr>
        <w:t xml:space="preserve"> It is only applied to unicast of NR sidelink communication.</w:t>
      </w:r>
    </w:p>
    <w:p w14:paraId="6ECBB319" w14:textId="77777777" w:rsidR="00394471" w:rsidRPr="00FA0D37" w:rsidRDefault="00394471" w:rsidP="00394471">
      <w:pPr>
        <w:pStyle w:val="B1"/>
      </w:pPr>
      <w:r w:rsidRPr="00FA0D37">
        <w:t xml:space="preserve">Signalling radio bearer: </w:t>
      </w:r>
      <w:r w:rsidRPr="00FA0D37">
        <w:rPr>
          <w:rFonts w:eastAsia="等线"/>
          <w:lang w:eastAsia="zh-CN"/>
        </w:rPr>
        <w:t>SL-SRB3</w:t>
      </w:r>
    </w:p>
    <w:p w14:paraId="17A2BB1F" w14:textId="77777777" w:rsidR="00394471" w:rsidRPr="00FA0D37" w:rsidRDefault="00394471" w:rsidP="00394471">
      <w:pPr>
        <w:pStyle w:val="B1"/>
      </w:pPr>
      <w:r w:rsidRPr="00FA0D37">
        <w:t>RLC-SAP: AM</w:t>
      </w:r>
    </w:p>
    <w:p w14:paraId="58F1639C" w14:textId="77777777" w:rsidR="00394471" w:rsidRPr="00FA0D37" w:rsidRDefault="00394471" w:rsidP="00394471">
      <w:pPr>
        <w:pStyle w:val="B1"/>
      </w:pPr>
      <w:r w:rsidRPr="00FA0D37">
        <w:t>Logical channel: SCCH</w:t>
      </w:r>
    </w:p>
    <w:p w14:paraId="3F873F39" w14:textId="77777777" w:rsidR="00394471" w:rsidRPr="00FA0D37" w:rsidRDefault="00394471" w:rsidP="00394471">
      <w:pPr>
        <w:pStyle w:val="B1"/>
      </w:pPr>
      <w:r w:rsidRPr="00FA0D37">
        <w:t>Direction: UE to UE</w:t>
      </w:r>
    </w:p>
    <w:p w14:paraId="42914898" w14:textId="749AC06D" w:rsidR="00394471" w:rsidRPr="00FA0D37" w:rsidRDefault="00394471" w:rsidP="00394471">
      <w:pPr>
        <w:pStyle w:val="TH"/>
      </w:pPr>
      <w:r w:rsidRPr="00FA0D37">
        <w:rPr>
          <w:i/>
          <w:iCs/>
        </w:rPr>
        <w:t>UECapabilityEnquiry</w:t>
      </w:r>
      <w:r w:rsidRPr="00FA0D37">
        <w:rPr>
          <w:i/>
          <w:iCs/>
          <w:noProof/>
        </w:rPr>
        <w:t>Sidelink</w:t>
      </w:r>
      <w:r w:rsidRPr="00FA0D37">
        <w:t xml:space="preserve"> </w:t>
      </w:r>
      <w:r w:rsidR="00C12C0B" w:rsidRPr="00FA0D37">
        <w:t>message</w:t>
      </w:r>
    </w:p>
    <w:p w14:paraId="5A9AD5B8" w14:textId="77777777" w:rsidR="00394471" w:rsidRPr="00FA0D37" w:rsidRDefault="00394471" w:rsidP="00FA0D37">
      <w:pPr>
        <w:pStyle w:val="PL"/>
        <w:rPr>
          <w:color w:val="808080"/>
        </w:rPr>
      </w:pPr>
      <w:r w:rsidRPr="00FA0D37">
        <w:rPr>
          <w:color w:val="808080"/>
        </w:rPr>
        <w:t>-- ASN1START</w:t>
      </w:r>
    </w:p>
    <w:p w14:paraId="0105E045" w14:textId="77777777" w:rsidR="00394471" w:rsidRPr="00FA0D37" w:rsidRDefault="00394471" w:rsidP="00FA0D37">
      <w:pPr>
        <w:pStyle w:val="PL"/>
        <w:rPr>
          <w:color w:val="808080"/>
        </w:rPr>
      </w:pPr>
      <w:r w:rsidRPr="00FA0D37">
        <w:rPr>
          <w:color w:val="808080"/>
        </w:rPr>
        <w:t>-- TAG-UECAPABILITYENQUIRYSIDELINK-START</w:t>
      </w:r>
    </w:p>
    <w:p w14:paraId="5979642C" w14:textId="77777777" w:rsidR="00394471" w:rsidRPr="00FA0D37" w:rsidRDefault="00394471" w:rsidP="00FA0D37">
      <w:pPr>
        <w:pStyle w:val="PL"/>
      </w:pPr>
    </w:p>
    <w:p w14:paraId="2104D32A" w14:textId="77777777" w:rsidR="00394471" w:rsidRPr="00FA0D37" w:rsidRDefault="00394471" w:rsidP="00FA0D37">
      <w:pPr>
        <w:pStyle w:val="PL"/>
      </w:pPr>
      <w:r w:rsidRPr="00FA0D37">
        <w:t xml:space="preserve">UECapabilityEnquirySidelink ::=         </w:t>
      </w:r>
      <w:r w:rsidRPr="00FA0D37">
        <w:rPr>
          <w:color w:val="993366"/>
        </w:rPr>
        <w:t>SEQUENCE</w:t>
      </w:r>
      <w:r w:rsidRPr="00FA0D37">
        <w:t xml:space="preserve"> {</w:t>
      </w:r>
    </w:p>
    <w:p w14:paraId="5125B5C4" w14:textId="77777777" w:rsidR="00394471" w:rsidRPr="00FA0D37" w:rsidRDefault="00394471" w:rsidP="00FA0D37">
      <w:pPr>
        <w:pStyle w:val="PL"/>
      </w:pPr>
      <w:r w:rsidRPr="00FA0D37">
        <w:t xml:space="preserve">    rrc-TransactionIdentifier-r16           RRC-TransactionIdentifier,</w:t>
      </w:r>
    </w:p>
    <w:p w14:paraId="2EBB134B"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59DFFE15" w14:textId="6FD4FBCC" w:rsidR="00394471" w:rsidRPr="00FA0D37" w:rsidRDefault="00394471" w:rsidP="00FA0D37">
      <w:pPr>
        <w:pStyle w:val="PL"/>
      </w:pPr>
      <w:r w:rsidRPr="00FA0D37">
        <w:t xml:space="preserve">        ueCapabilityEnquirySidelink-r16         UECapabilityEnquirySidelink</w:t>
      </w:r>
      <w:r w:rsidR="00C12C0B" w:rsidRPr="00FA0D37">
        <w:t>-r16</w:t>
      </w:r>
      <w:r w:rsidRPr="00FA0D37">
        <w:t>-IEs,</w:t>
      </w:r>
    </w:p>
    <w:p w14:paraId="012363AB"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45B34A26" w14:textId="77777777" w:rsidR="00394471" w:rsidRPr="00FA0D37" w:rsidRDefault="00394471" w:rsidP="00FA0D37">
      <w:pPr>
        <w:pStyle w:val="PL"/>
      </w:pPr>
      <w:r w:rsidRPr="00FA0D37">
        <w:t xml:space="preserve">    }</w:t>
      </w:r>
    </w:p>
    <w:p w14:paraId="0A306209" w14:textId="77777777" w:rsidR="00394471" w:rsidRPr="00FA0D37" w:rsidRDefault="00394471" w:rsidP="00FA0D37">
      <w:pPr>
        <w:pStyle w:val="PL"/>
      </w:pPr>
      <w:r w:rsidRPr="00FA0D37">
        <w:t>}</w:t>
      </w:r>
    </w:p>
    <w:p w14:paraId="7D2DA41F" w14:textId="77777777" w:rsidR="00394471" w:rsidRPr="00FA0D37" w:rsidRDefault="00394471" w:rsidP="00FA0D37">
      <w:pPr>
        <w:pStyle w:val="PL"/>
      </w:pPr>
    </w:p>
    <w:p w14:paraId="5AFE2395" w14:textId="58CCB805" w:rsidR="00394471" w:rsidRPr="00FA0D37" w:rsidRDefault="00394471" w:rsidP="00FA0D37">
      <w:pPr>
        <w:pStyle w:val="PL"/>
      </w:pPr>
      <w:r w:rsidRPr="00FA0D37">
        <w:t>UECapabilityEnquirySidelink</w:t>
      </w:r>
      <w:r w:rsidR="00C12C0B" w:rsidRPr="00FA0D37">
        <w:t>-r16</w:t>
      </w:r>
      <w:r w:rsidRPr="00FA0D37">
        <w:t xml:space="preserve">-IEs ::= </w:t>
      </w:r>
      <w:r w:rsidRPr="00FA0D37">
        <w:rPr>
          <w:color w:val="993366"/>
        </w:rPr>
        <w:t>SEQUENCE</w:t>
      </w:r>
      <w:r w:rsidRPr="00FA0D37">
        <w:t xml:space="preserve"> {</w:t>
      </w:r>
    </w:p>
    <w:p w14:paraId="62A801BD" w14:textId="77777777" w:rsidR="00394471" w:rsidRPr="00FA0D37" w:rsidRDefault="00394471" w:rsidP="00FA0D37">
      <w:pPr>
        <w:pStyle w:val="PL"/>
        <w:rPr>
          <w:color w:val="808080"/>
        </w:rPr>
      </w:pPr>
      <w:r w:rsidRPr="00FA0D37">
        <w:t xml:space="preserve">    frequencyBandListFilterSidelink-r16     FreqBandList                                                            </w:t>
      </w:r>
      <w:r w:rsidRPr="00FA0D37">
        <w:rPr>
          <w:color w:val="993366"/>
        </w:rPr>
        <w:t>OPTIONAL</w:t>
      </w:r>
      <w:r w:rsidRPr="00FA0D37">
        <w:t xml:space="preserve">, </w:t>
      </w:r>
      <w:r w:rsidRPr="00FA0D37">
        <w:rPr>
          <w:color w:val="808080"/>
        </w:rPr>
        <w:t>-- Need N</w:t>
      </w:r>
    </w:p>
    <w:p w14:paraId="62579E1A" w14:textId="5773E0D1" w:rsidR="00394471" w:rsidRPr="00FA0D37" w:rsidRDefault="00394471" w:rsidP="00FA0D37">
      <w:pPr>
        <w:pStyle w:val="PL"/>
        <w:rPr>
          <w:color w:val="808080"/>
        </w:rPr>
      </w:pPr>
      <w:r w:rsidRPr="00FA0D37">
        <w:t xml:space="preserve">    ue-CapabilityInformationSidelink-r16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r w:rsidR="00297A1D" w:rsidRPr="00FA0D37">
        <w:t xml:space="preserve"> </w:t>
      </w:r>
      <w:r w:rsidR="00297A1D" w:rsidRPr="00FA0D37">
        <w:rPr>
          <w:color w:val="808080"/>
        </w:rPr>
        <w:t>-- Need N</w:t>
      </w:r>
    </w:p>
    <w:p w14:paraId="5659419B"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936C24F" w14:textId="77777777" w:rsidR="00394471" w:rsidRPr="00FA0D37" w:rsidRDefault="00394471" w:rsidP="00FA0D37">
      <w:pPr>
        <w:pStyle w:val="PL"/>
      </w:pPr>
      <w:r w:rsidRPr="00FA0D37">
        <w:t xml:space="preserve">    nonCriticalExtension                    </w:t>
      </w:r>
      <w:r w:rsidRPr="00FA0D37">
        <w:rPr>
          <w:color w:val="993366"/>
        </w:rPr>
        <w:t>SEQUENCE</w:t>
      </w:r>
      <w:r w:rsidRPr="00FA0D37">
        <w:t xml:space="preserve">{}                                                              </w:t>
      </w:r>
      <w:r w:rsidRPr="00FA0D37">
        <w:rPr>
          <w:color w:val="993366"/>
        </w:rPr>
        <w:t>OPTIONAL</w:t>
      </w:r>
    </w:p>
    <w:p w14:paraId="04C912DD" w14:textId="77777777" w:rsidR="00394471" w:rsidRPr="00FA0D37" w:rsidRDefault="00394471" w:rsidP="00FA0D37">
      <w:pPr>
        <w:pStyle w:val="PL"/>
      </w:pPr>
      <w:r w:rsidRPr="00FA0D37">
        <w:t>}</w:t>
      </w:r>
    </w:p>
    <w:p w14:paraId="30E56AAC" w14:textId="77777777" w:rsidR="00394471" w:rsidRPr="00FA0D37" w:rsidRDefault="00394471" w:rsidP="00FA0D37">
      <w:pPr>
        <w:pStyle w:val="PL"/>
      </w:pPr>
    </w:p>
    <w:p w14:paraId="6C3A1FC6" w14:textId="77777777" w:rsidR="00394471" w:rsidRPr="00FA0D37" w:rsidRDefault="00394471" w:rsidP="00FA0D37">
      <w:pPr>
        <w:pStyle w:val="PL"/>
        <w:rPr>
          <w:color w:val="808080"/>
        </w:rPr>
      </w:pPr>
      <w:r w:rsidRPr="00FA0D37">
        <w:rPr>
          <w:color w:val="808080"/>
        </w:rPr>
        <w:t>-- TAG-UECAPABILITYENQUIRYSIDELINK-STOP</w:t>
      </w:r>
    </w:p>
    <w:p w14:paraId="0CE1E03A" w14:textId="77777777" w:rsidR="00394471" w:rsidRPr="00FA0D37" w:rsidRDefault="00394471" w:rsidP="00FA0D37">
      <w:pPr>
        <w:pStyle w:val="PL"/>
        <w:rPr>
          <w:color w:val="808080"/>
        </w:rPr>
      </w:pPr>
      <w:r w:rsidRPr="00FA0D37">
        <w:rPr>
          <w:color w:val="808080"/>
        </w:rPr>
        <w:t>-- ASN1STOP</w:t>
      </w:r>
    </w:p>
    <w:p w14:paraId="5063B6C2" w14:textId="77777777" w:rsidR="00394471" w:rsidRPr="00FA0D3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3A1D1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671854" w14:textId="77777777" w:rsidR="00394471" w:rsidRPr="00FA0D37" w:rsidRDefault="00394471" w:rsidP="00964CC4">
            <w:pPr>
              <w:pStyle w:val="TAH"/>
              <w:rPr>
                <w:b w:val="0"/>
                <w:szCs w:val="22"/>
                <w:lang w:eastAsia="sv-SE"/>
              </w:rPr>
            </w:pPr>
            <w:r w:rsidRPr="00FA0D37">
              <w:rPr>
                <w:i/>
                <w:iCs/>
                <w:lang w:eastAsia="sv-SE"/>
              </w:rPr>
              <w:t>UECapabilityEnquiry</w:t>
            </w:r>
            <w:r w:rsidRPr="00FA0D37">
              <w:rPr>
                <w:i/>
                <w:iCs/>
                <w:noProof/>
                <w:lang w:eastAsia="sv-SE"/>
              </w:rPr>
              <w:t>Sidelink</w:t>
            </w:r>
            <w:r w:rsidRPr="00FA0D37">
              <w:rPr>
                <w:i/>
                <w:iCs/>
                <w:szCs w:val="22"/>
                <w:lang w:eastAsia="sv-SE"/>
              </w:rPr>
              <w:t>-IEs</w:t>
            </w:r>
            <w:r w:rsidRPr="00FA0D37">
              <w:rPr>
                <w:szCs w:val="22"/>
                <w:lang w:eastAsia="sv-SE"/>
              </w:rPr>
              <w:t xml:space="preserve"> field descriptions</w:t>
            </w:r>
          </w:p>
        </w:tc>
      </w:tr>
      <w:tr w:rsidR="005C7FF4" w:rsidRPr="00FA0D37" w14:paraId="7B0508F1" w14:textId="77777777" w:rsidTr="00964CC4">
        <w:tc>
          <w:tcPr>
            <w:tcW w:w="14173" w:type="dxa"/>
            <w:tcBorders>
              <w:top w:val="single" w:sz="4" w:space="0" w:color="auto"/>
              <w:left w:val="single" w:sz="4" w:space="0" w:color="auto"/>
              <w:bottom w:val="single" w:sz="4" w:space="0" w:color="auto"/>
              <w:right w:val="single" w:sz="4" w:space="0" w:color="auto"/>
            </w:tcBorders>
          </w:tcPr>
          <w:p w14:paraId="739F48E0" w14:textId="77777777" w:rsidR="00D027C1" w:rsidRPr="00FA0D37" w:rsidRDefault="00D027C1" w:rsidP="006013B9">
            <w:pPr>
              <w:pStyle w:val="TAL"/>
              <w:rPr>
                <w:b/>
                <w:bCs/>
                <w:i/>
                <w:iCs/>
                <w:lang w:eastAsia="sv-SE"/>
              </w:rPr>
            </w:pPr>
            <w:r w:rsidRPr="00FA0D37">
              <w:rPr>
                <w:b/>
                <w:bCs/>
                <w:i/>
                <w:iCs/>
                <w:lang w:eastAsia="sv-SE"/>
              </w:rPr>
              <w:t>frequencyBandListFilterSidelink</w:t>
            </w:r>
          </w:p>
          <w:p w14:paraId="40BBADBD" w14:textId="77777777" w:rsidR="00D027C1" w:rsidRPr="00FA0D37" w:rsidRDefault="00D027C1" w:rsidP="00255542">
            <w:pPr>
              <w:pStyle w:val="TAL"/>
              <w:rPr>
                <w:rFonts w:cs="Arial"/>
                <w:szCs w:val="18"/>
                <w:lang w:eastAsia="sv-SE"/>
              </w:rPr>
            </w:pPr>
            <w:r w:rsidRPr="00FA0D37">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394471" w:rsidRPr="00FA0D37" w14:paraId="27B7A3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7CD07" w14:textId="77777777" w:rsidR="00394471" w:rsidRPr="00FA0D37" w:rsidRDefault="00394471" w:rsidP="00964CC4">
            <w:pPr>
              <w:pStyle w:val="TAL"/>
              <w:rPr>
                <w:b/>
                <w:bCs/>
                <w:i/>
                <w:iCs/>
                <w:lang w:eastAsia="sv-SE"/>
              </w:rPr>
            </w:pPr>
            <w:r w:rsidRPr="00FA0D37">
              <w:rPr>
                <w:b/>
                <w:bCs/>
                <w:i/>
                <w:iCs/>
                <w:lang w:eastAsia="sv-SE"/>
              </w:rPr>
              <w:t>ue-CapabilityInformationSidelink</w:t>
            </w:r>
          </w:p>
          <w:p w14:paraId="19C14D1A" w14:textId="77777777" w:rsidR="00394471" w:rsidRPr="00FA0D37" w:rsidRDefault="00394471" w:rsidP="00964CC4">
            <w:pPr>
              <w:pStyle w:val="TAL"/>
              <w:rPr>
                <w:lang w:eastAsia="sv-SE"/>
              </w:rPr>
            </w:pPr>
            <w:r w:rsidRPr="00FA0D37">
              <w:rPr>
                <w:lang w:eastAsia="sv-SE"/>
              </w:rPr>
              <w:t xml:space="preserve">This field indicates the </w:t>
            </w:r>
            <w:r w:rsidRPr="00FA0D37">
              <w:rPr>
                <w:i/>
                <w:iCs/>
                <w:lang w:eastAsia="sv-SE"/>
              </w:rPr>
              <w:t>UECapabilityInformationSidelink</w:t>
            </w:r>
            <w:r w:rsidRPr="00FA0D37">
              <w:rPr>
                <w:lang w:eastAsia="sv-SE"/>
              </w:rPr>
              <w:t xml:space="preserve"> message to provide the UE sidelink capability, which can be optionally sent together with </w:t>
            </w:r>
            <w:r w:rsidRPr="00FA0D37">
              <w:rPr>
                <w:i/>
                <w:iCs/>
                <w:lang w:eastAsia="sv-SE"/>
              </w:rPr>
              <w:t>UECapabilityEnquirySidelink</w:t>
            </w:r>
            <w:r w:rsidRPr="00FA0D37">
              <w:rPr>
                <w:lang w:eastAsia="sv-SE"/>
              </w:rPr>
              <w:t>.</w:t>
            </w:r>
          </w:p>
        </w:tc>
      </w:tr>
    </w:tbl>
    <w:p w14:paraId="4B14DD7F" w14:textId="77777777" w:rsidR="00394471" w:rsidRPr="00FA0D37" w:rsidRDefault="00394471" w:rsidP="00394471"/>
    <w:p w14:paraId="7A823709" w14:textId="754693DB" w:rsidR="00394471" w:rsidRPr="00FA0D37" w:rsidRDefault="00394471" w:rsidP="00394471">
      <w:pPr>
        <w:pStyle w:val="4"/>
      </w:pPr>
      <w:bookmarkStart w:id="2256" w:name="_Toc60777573"/>
      <w:bookmarkStart w:id="2257" w:name="_Toc146781715"/>
      <w:r w:rsidRPr="00FA0D37">
        <w:t>–</w:t>
      </w:r>
      <w:r w:rsidRPr="00FA0D37">
        <w:tab/>
      </w:r>
      <w:r w:rsidRPr="00FA0D37">
        <w:rPr>
          <w:i/>
          <w:iCs/>
        </w:rPr>
        <w:t>UECapabilityInformation</w:t>
      </w:r>
      <w:r w:rsidRPr="00FA0D37">
        <w:rPr>
          <w:i/>
          <w:iCs/>
          <w:noProof/>
        </w:rPr>
        <w:t>Sidelink</w:t>
      </w:r>
      <w:bookmarkEnd w:id="2256"/>
      <w:bookmarkEnd w:id="2257"/>
    </w:p>
    <w:p w14:paraId="708655AB" w14:textId="3CBABA39" w:rsidR="00394471" w:rsidRPr="00FA0D37" w:rsidRDefault="00394471" w:rsidP="00394471">
      <w:r w:rsidRPr="00FA0D37">
        <w:t xml:space="preserve">The </w:t>
      </w:r>
      <w:r w:rsidRPr="00FA0D37">
        <w:rPr>
          <w:i/>
        </w:rPr>
        <w:t>UECapabilityInformation</w:t>
      </w:r>
      <w:r w:rsidRPr="00FA0D37">
        <w:rPr>
          <w:i/>
          <w:noProof/>
        </w:rPr>
        <w:t>Sidelink</w:t>
      </w:r>
      <w:r w:rsidRPr="00FA0D37">
        <w:t xml:space="preserve"> message is used to transfer UE radio access capabilities.</w:t>
      </w:r>
      <w:r w:rsidRPr="00FA0D37">
        <w:rPr>
          <w:rFonts w:eastAsia="Yu Mincho"/>
          <w:lang w:eastAsia="zh-CN"/>
        </w:rPr>
        <w:t xml:space="preserve"> It is only applied to unicast of NR sidelink communication.</w:t>
      </w:r>
    </w:p>
    <w:p w14:paraId="6C9175A2" w14:textId="77777777" w:rsidR="00394471" w:rsidRPr="00FA0D37" w:rsidRDefault="00394471" w:rsidP="00394471">
      <w:pPr>
        <w:pStyle w:val="B1"/>
      </w:pPr>
      <w:r w:rsidRPr="00FA0D37">
        <w:t>Signalling radio bearer:</w:t>
      </w:r>
      <w:r w:rsidRPr="00FA0D37">
        <w:rPr>
          <w:rFonts w:eastAsia="等线"/>
          <w:lang w:eastAsia="zh-CN"/>
        </w:rPr>
        <w:t xml:space="preserve"> SL-SRB3</w:t>
      </w:r>
    </w:p>
    <w:p w14:paraId="235AB313" w14:textId="77777777" w:rsidR="00394471" w:rsidRPr="00FA0D37" w:rsidRDefault="00394471" w:rsidP="00394471">
      <w:pPr>
        <w:pStyle w:val="B1"/>
      </w:pPr>
      <w:r w:rsidRPr="00FA0D37">
        <w:t>RLC-SAP: AM</w:t>
      </w:r>
    </w:p>
    <w:p w14:paraId="6994B70B" w14:textId="77777777" w:rsidR="00394471" w:rsidRPr="00FA0D37" w:rsidRDefault="00394471" w:rsidP="00394471">
      <w:pPr>
        <w:pStyle w:val="B1"/>
      </w:pPr>
      <w:r w:rsidRPr="00FA0D37">
        <w:t>Logical channel: SCCH</w:t>
      </w:r>
    </w:p>
    <w:p w14:paraId="093F045B" w14:textId="77777777" w:rsidR="00394471" w:rsidRPr="00FA0D37" w:rsidRDefault="00394471" w:rsidP="00394471">
      <w:pPr>
        <w:pStyle w:val="B1"/>
      </w:pPr>
      <w:r w:rsidRPr="00FA0D37">
        <w:t>Direction: UE to UE</w:t>
      </w:r>
    </w:p>
    <w:p w14:paraId="5196C4FD" w14:textId="40BC7BD9" w:rsidR="00394471" w:rsidRPr="00FA0D37" w:rsidRDefault="00394471" w:rsidP="00394471">
      <w:pPr>
        <w:pStyle w:val="TH"/>
        <w:rPr>
          <w:b w:val="0"/>
        </w:rPr>
      </w:pPr>
      <w:r w:rsidRPr="00FA0D37">
        <w:rPr>
          <w:i/>
          <w:iCs/>
        </w:rPr>
        <w:t>UECapabilityInformation</w:t>
      </w:r>
      <w:r w:rsidRPr="00FA0D37">
        <w:rPr>
          <w:i/>
          <w:iCs/>
          <w:noProof/>
        </w:rPr>
        <w:t>Sidelink</w:t>
      </w:r>
      <w:r w:rsidRPr="00FA0D37">
        <w:t xml:space="preserve"> </w:t>
      </w:r>
      <w:r w:rsidR="00C12C0B" w:rsidRPr="00FA0D37">
        <w:t>message</w:t>
      </w:r>
    </w:p>
    <w:p w14:paraId="20100504" w14:textId="77777777" w:rsidR="00394471" w:rsidRPr="00FA0D37" w:rsidRDefault="00394471" w:rsidP="00FA0D37">
      <w:pPr>
        <w:pStyle w:val="PL"/>
        <w:rPr>
          <w:color w:val="808080"/>
        </w:rPr>
      </w:pPr>
      <w:r w:rsidRPr="00FA0D37">
        <w:rPr>
          <w:color w:val="808080"/>
        </w:rPr>
        <w:t>-- ASN1START</w:t>
      </w:r>
    </w:p>
    <w:p w14:paraId="219D1B89" w14:textId="77777777" w:rsidR="00394471" w:rsidRPr="00FA0D37" w:rsidRDefault="00394471" w:rsidP="00FA0D37">
      <w:pPr>
        <w:pStyle w:val="PL"/>
        <w:rPr>
          <w:color w:val="808080"/>
        </w:rPr>
      </w:pPr>
      <w:r w:rsidRPr="00FA0D37">
        <w:rPr>
          <w:color w:val="808080"/>
        </w:rPr>
        <w:t>-- TAG-UECAPABILITYINFORMATIONSIDELINK-START</w:t>
      </w:r>
    </w:p>
    <w:p w14:paraId="23360946" w14:textId="77777777" w:rsidR="00394471" w:rsidRPr="00FA0D37" w:rsidRDefault="00394471" w:rsidP="00FA0D37">
      <w:pPr>
        <w:pStyle w:val="PL"/>
      </w:pPr>
    </w:p>
    <w:p w14:paraId="6B0E863D" w14:textId="77777777" w:rsidR="00394471" w:rsidRPr="00FA0D37" w:rsidRDefault="00394471" w:rsidP="00FA0D37">
      <w:pPr>
        <w:pStyle w:val="PL"/>
      </w:pPr>
      <w:r w:rsidRPr="00FA0D37">
        <w:t xml:space="preserve">UECapabilityInformationSidelink ::=         </w:t>
      </w:r>
      <w:r w:rsidRPr="00FA0D37">
        <w:rPr>
          <w:color w:val="993366"/>
        </w:rPr>
        <w:t>SEQUENCE</w:t>
      </w:r>
      <w:r w:rsidRPr="00FA0D37">
        <w:t xml:space="preserve"> {</w:t>
      </w:r>
    </w:p>
    <w:p w14:paraId="2740BAC3" w14:textId="77777777" w:rsidR="00394471" w:rsidRPr="00FA0D37" w:rsidRDefault="00394471" w:rsidP="00FA0D37">
      <w:pPr>
        <w:pStyle w:val="PL"/>
      </w:pPr>
      <w:r w:rsidRPr="00FA0D37">
        <w:t xml:space="preserve">    rrc-TransactionIdentifier-r16               RRC-TransactionIdentifier,</w:t>
      </w:r>
    </w:p>
    <w:p w14:paraId="79499431" w14:textId="77777777" w:rsidR="00394471" w:rsidRPr="00FA0D37" w:rsidRDefault="00394471" w:rsidP="00FA0D37">
      <w:pPr>
        <w:pStyle w:val="PL"/>
      </w:pPr>
      <w:r w:rsidRPr="00FA0D37">
        <w:t xml:space="preserve">    criticalExtensions                          </w:t>
      </w:r>
      <w:r w:rsidRPr="00FA0D37">
        <w:rPr>
          <w:color w:val="993366"/>
        </w:rPr>
        <w:t>CHOICE</w:t>
      </w:r>
      <w:r w:rsidRPr="00FA0D37">
        <w:t xml:space="preserve"> {</w:t>
      </w:r>
    </w:p>
    <w:p w14:paraId="16C71556" w14:textId="19E7FA1E" w:rsidR="00394471" w:rsidRPr="00FA0D37" w:rsidRDefault="00394471" w:rsidP="00FA0D37">
      <w:pPr>
        <w:pStyle w:val="PL"/>
      </w:pPr>
      <w:r w:rsidRPr="00FA0D37">
        <w:t xml:space="preserve">        ueCapabilityInformationSidelink-r16         UECapabilityInformationSidelink</w:t>
      </w:r>
      <w:r w:rsidR="00C12C0B" w:rsidRPr="00FA0D37">
        <w:t>-r16</w:t>
      </w:r>
      <w:r w:rsidRPr="00FA0D37">
        <w:t>-IEs,</w:t>
      </w:r>
    </w:p>
    <w:p w14:paraId="6E8A4FB1" w14:textId="77777777" w:rsidR="00394471" w:rsidRPr="00FA0D37" w:rsidRDefault="00394471" w:rsidP="00FA0D37">
      <w:pPr>
        <w:pStyle w:val="PL"/>
      </w:pPr>
      <w:r w:rsidRPr="00FA0D37">
        <w:t xml:space="preserve">        criticalExtensionsFuture                    </w:t>
      </w:r>
      <w:r w:rsidRPr="00FA0D37">
        <w:rPr>
          <w:color w:val="993366"/>
        </w:rPr>
        <w:t>SEQUENCE</w:t>
      </w:r>
      <w:r w:rsidRPr="00FA0D37">
        <w:t xml:space="preserve"> {}</w:t>
      </w:r>
    </w:p>
    <w:p w14:paraId="4B203622" w14:textId="77777777" w:rsidR="00394471" w:rsidRPr="00FA0D37" w:rsidRDefault="00394471" w:rsidP="00FA0D37">
      <w:pPr>
        <w:pStyle w:val="PL"/>
      </w:pPr>
      <w:r w:rsidRPr="00FA0D37">
        <w:t xml:space="preserve">    }</w:t>
      </w:r>
    </w:p>
    <w:p w14:paraId="2DC98182" w14:textId="77777777" w:rsidR="00394471" w:rsidRPr="00FA0D37" w:rsidRDefault="00394471" w:rsidP="00FA0D37">
      <w:pPr>
        <w:pStyle w:val="PL"/>
      </w:pPr>
      <w:r w:rsidRPr="00FA0D37">
        <w:t>}</w:t>
      </w:r>
    </w:p>
    <w:p w14:paraId="267A12D3" w14:textId="77777777" w:rsidR="00394471" w:rsidRPr="00FA0D37" w:rsidRDefault="00394471" w:rsidP="00FA0D37">
      <w:pPr>
        <w:pStyle w:val="PL"/>
      </w:pPr>
    </w:p>
    <w:p w14:paraId="3430DDC7" w14:textId="737312E8" w:rsidR="00394471" w:rsidRPr="00FA0D37" w:rsidRDefault="00394471" w:rsidP="00FA0D37">
      <w:pPr>
        <w:pStyle w:val="PL"/>
      </w:pPr>
      <w:r w:rsidRPr="00FA0D37">
        <w:t>UECapabilityInformationSidelink</w:t>
      </w:r>
      <w:r w:rsidR="00C12C0B" w:rsidRPr="00FA0D37">
        <w:t>-r16</w:t>
      </w:r>
      <w:r w:rsidRPr="00FA0D37">
        <w:t xml:space="preserve">-IEs ::= </w:t>
      </w:r>
      <w:r w:rsidRPr="00FA0D37">
        <w:rPr>
          <w:color w:val="993366"/>
        </w:rPr>
        <w:t>SEQUENCE</w:t>
      </w:r>
      <w:r w:rsidRPr="00FA0D37">
        <w:t xml:space="preserve"> {</w:t>
      </w:r>
    </w:p>
    <w:p w14:paraId="51B8ECD0" w14:textId="77777777" w:rsidR="00394471" w:rsidRPr="00FA0D37" w:rsidRDefault="00394471" w:rsidP="00FA0D37">
      <w:pPr>
        <w:pStyle w:val="PL"/>
      </w:pPr>
      <w:r w:rsidRPr="00FA0D37">
        <w:t xml:space="preserve">    accessStratumReleaseSidelink-r16            AccessStratumReleaseSidelink-r16,</w:t>
      </w:r>
    </w:p>
    <w:p w14:paraId="3E61D961" w14:textId="77777777" w:rsidR="00394471" w:rsidRPr="00FA0D37" w:rsidRDefault="00394471" w:rsidP="00FA0D37">
      <w:pPr>
        <w:pStyle w:val="PL"/>
      </w:pPr>
      <w:r w:rsidRPr="00FA0D37">
        <w:t xml:space="preserve">    pdcp-ParametersSidelink-r16                 PDCP-ParametersSidelink-r16                                             </w:t>
      </w:r>
      <w:r w:rsidRPr="00FA0D37">
        <w:rPr>
          <w:color w:val="993366"/>
        </w:rPr>
        <w:t>OPTIONAL</w:t>
      </w:r>
      <w:r w:rsidRPr="00FA0D37">
        <w:t>,</w:t>
      </w:r>
    </w:p>
    <w:p w14:paraId="4ADD34B5" w14:textId="77777777" w:rsidR="00394471" w:rsidRPr="00FA0D37" w:rsidRDefault="00394471" w:rsidP="00FA0D37">
      <w:pPr>
        <w:pStyle w:val="PL"/>
      </w:pPr>
      <w:r w:rsidRPr="00FA0D37">
        <w:t xml:space="preserve">    rlc-ParametersSidelink-r16                  RLC-ParametersSidelink-r16                                              </w:t>
      </w:r>
      <w:r w:rsidRPr="00FA0D37">
        <w:rPr>
          <w:color w:val="993366"/>
        </w:rPr>
        <w:t>OPTIONAL</w:t>
      </w:r>
      <w:r w:rsidRPr="00FA0D37">
        <w:t>,</w:t>
      </w:r>
    </w:p>
    <w:p w14:paraId="233BCEC2" w14:textId="77777777" w:rsidR="00394471" w:rsidRPr="00FA0D37" w:rsidRDefault="00394471" w:rsidP="00FA0D37">
      <w:pPr>
        <w:pStyle w:val="PL"/>
      </w:pPr>
      <w:r w:rsidRPr="00FA0D37">
        <w:t xml:space="preserve">    supportedBandCombinationListSidelinkNR-r16  BandCombinationListSidelinkNR-r16                                       </w:t>
      </w:r>
      <w:r w:rsidRPr="00FA0D37">
        <w:rPr>
          <w:color w:val="993366"/>
        </w:rPr>
        <w:t>OPTIONAL</w:t>
      </w:r>
      <w:r w:rsidRPr="00FA0D37">
        <w:t>,</w:t>
      </w:r>
    </w:p>
    <w:p w14:paraId="4877BB7F" w14:textId="7025B996" w:rsidR="00394471" w:rsidRPr="00FA0D37" w:rsidRDefault="00394471" w:rsidP="00FA0D37">
      <w:pPr>
        <w:pStyle w:val="PL"/>
      </w:pPr>
      <w:r w:rsidRPr="00FA0D37">
        <w:t xml:space="preserve">    supportedBandListSidelink-r16               </w:t>
      </w:r>
      <w:r w:rsidRPr="00FA0D37">
        <w:rPr>
          <w:color w:val="993366"/>
        </w:rPr>
        <w:t>SEQUENCE</w:t>
      </w:r>
      <w:r w:rsidRPr="00FA0D37">
        <w:t xml:space="preserve"> (</w:t>
      </w:r>
      <w:r w:rsidRPr="00FA0D37">
        <w:rPr>
          <w:color w:val="993366"/>
        </w:rPr>
        <w:t>SIZE</w:t>
      </w:r>
      <w:r w:rsidRPr="00FA0D37">
        <w:t xml:space="preserve"> (1..maxBands))</w:t>
      </w:r>
      <w:r w:rsidRPr="00FA0D37">
        <w:rPr>
          <w:color w:val="993366"/>
        </w:rPr>
        <w:t xml:space="preserve"> OF</w:t>
      </w:r>
      <w:r w:rsidRPr="00FA0D37">
        <w:t xml:space="preserve"> BandSidelink</w:t>
      </w:r>
      <w:r w:rsidR="00D027C1" w:rsidRPr="00FA0D37">
        <w:t>PC5</w:t>
      </w:r>
      <w:r w:rsidRPr="00FA0D37">
        <w:t xml:space="preserve">-r16                    </w:t>
      </w:r>
      <w:r w:rsidRPr="00FA0D37">
        <w:rPr>
          <w:color w:val="993366"/>
        </w:rPr>
        <w:t>OPTIONAL</w:t>
      </w:r>
      <w:r w:rsidRPr="00FA0D37">
        <w:t>,</w:t>
      </w:r>
    </w:p>
    <w:p w14:paraId="3460DADE" w14:textId="77777777" w:rsidR="00394471" w:rsidRPr="00FA0D37" w:rsidRDefault="00394471" w:rsidP="00FA0D37">
      <w:pPr>
        <w:pStyle w:val="PL"/>
      </w:pPr>
      <w:r w:rsidRPr="00FA0D37">
        <w:t xml:space="preserve">    appliedFreqBandListFilter-r16               FreqBandList                                                            </w:t>
      </w:r>
      <w:r w:rsidRPr="00FA0D37">
        <w:rPr>
          <w:color w:val="993366"/>
        </w:rPr>
        <w:t>OPTIONAL</w:t>
      </w:r>
      <w:r w:rsidRPr="00FA0D37">
        <w:t>,</w:t>
      </w:r>
    </w:p>
    <w:p w14:paraId="02B9476D" w14:textId="77777777" w:rsidR="00394471" w:rsidRPr="00FA0D37" w:rsidRDefault="00394471"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18F5CCBC" w14:textId="20A94F76" w:rsidR="00394471" w:rsidRPr="00FA0D37" w:rsidRDefault="00394471" w:rsidP="00FA0D37">
      <w:pPr>
        <w:pStyle w:val="PL"/>
      </w:pPr>
      <w:r w:rsidRPr="00FA0D37">
        <w:t xml:space="preserve">    nonCriticalExtension                        </w:t>
      </w:r>
      <w:r w:rsidR="000264BF" w:rsidRPr="00FA0D37">
        <w:t>UECapabilityInformationSidelink-v1700</w:t>
      </w:r>
      <w:r w:rsidR="00C256D3" w:rsidRPr="00FA0D37">
        <w:t>-IEs</w:t>
      </w:r>
      <w:r w:rsidRPr="00FA0D37">
        <w:t xml:space="preserve">                               </w:t>
      </w:r>
      <w:r w:rsidRPr="00FA0D37">
        <w:rPr>
          <w:color w:val="993366"/>
        </w:rPr>
        <w:t>OPTIONAL</w:t>
      </w:r>
    </w:p>
    <w:p w14:paraId="28BBFB41" w14:textId="77777777" w:rsidR="00394471" w:rsidRPr="00FA0D37" w:rsidRDefault="00394471" w:rsidP="00FA0D37">
      <w:pPr>
        <w:pStyle w:val="PL"/>
      </w:pPr>
      <w:r w:rsidRPr="00FA0D37">
        <w:t>}</w:t>
      </w:r>
    </w:p>
    <w:p w14:paraId="1E55DE18" w14:textId="77777777" w:rsidR="000264BF" w:rsidRPr="00FA0D37" w:rsidRDefault="000264BF" w:rsidP="00FA0D37">
      <w:pPr>
        <w:pStyle w:val="PL"/>
      </w:pPr>
    </w:p>
    <w:p w14:paraId="3839848E" w14:textId="1A5A1B0A" w:rsidR="000264BF" w:rsidRPr="00FA0D37" w:rsidRDefault="000264BF" w:rsidP="00FA0D37">
      <w:pPr>
        <w:pStyle w:val="PL"/>
      </w:pPr>
      <w:r w:rsidRPr="00FA0D37">
        <w:t>UECapabilityInformationSidelink</w:t>
      </w:r>
      <w:r w:rsidR="00DC187A" w:rsidRPr="00FA0D37">
        <w:t>-v1700</w:t>
      </w:r>
      <w:r w:rsidRPr="00FA0D37">
        <w:t xml:space="preserve">-IEs ::= </w:t>
      </w:r>
      <w:r w:rsidRPr="00FA0D37">
        <w:rPr>
          <w:color w:val="993366"/>
        </w:rPr>
        <w:t>SEQUENCE</w:t>
      </w:r>
      <w:r w:rsidRPr="00FA0D37">
        <w:t xml:space="preserve"> {</w:t>
      </w:r>
    </w:p>
    <w:p w14:paraId="119F0B17" w14:textId="0DCC18D1" w:rsidR="000264BF" w:rsidRPr="00FA0D37" w:rsidRDefault="000264BF" w:rsidP="00FA0D37">
      <w:pPr>
        <w:pStyle w:val="PL"/>
      </w:pPr>
      <w:r w:rsidRPr="00FA0D37">
        <w:t xml:space="preserve">    mac-ParametersSidelink-r17                  </w:t>
      </w:r>
      <w:r w:rsidR="002C7704" w:rsidRPr="00FA0D37">
        <w:t xml:space="preserve">  </w:t>
      </w:r>
      <w:r w:rsidRPr="00FA0D37">
        <w:t xml:space="preserve">MAC-ParametersSidelink-r17                                            </w:t>
      </w:r>
      <w:r w:rsidRPr="00FA0D37">
        <w:rPr>
          <w:color w:val="993366"/>
        </w:rPr>
        <w:t>OPTIONAL</w:t>
      </w:r>
      <w:r w:rsidRPr="00FA0D37">
        <w:t>,</w:t>
      </w:r>
    </w:p>
    <w:p w14:paraId="1269F0DD" w14:textId="014F21B6" w:rsidR="002C7704" w:rsidRPr="00FA0D37" w:rsidRDefault="002C7704" w:rsidP="00FA0D37">
      <w:pPr>
        <w:pStyle w:val="PL"/>
      </w:pPr>
      <w:r w:rsidRPr="00FA0D37">
        <w:t xml:space="preserve">    supportedBandCombinationListSidelinkNR-v1710  BandCombinationListSidelinkNR-v1710                                   </w:t>
      </w:r>
      <w:r w:rsidRPr="00FA0D37">
        <w:rPr>
          <w:color w:val="993366"/>
        </w:rPr>
        <w:t>OPTIONAL</w:t>
      </w:r>
      <w:r w:rsidRPr="00FA0D37">
        <w:t>,</w:t>
      </w:r>
    </w:p>
    <w:p w14:paraId="1D791A1E" w14:textId="69E0B6A8" w:rsidR="000264BF" w:rsidRPr="00FA0D37" w:rsidRDefault="000264BF" w:rsidP="00FA0D37">
      <w:pPr>
        <w:pStyle w:val="PL"/>
      </w:pPr>
      <w:r w:rsidRPr="00FA0D37">
        <w:t xml:space="preserve">    nonCriticalExtension                        </w:t>
      </w:r>
      <w:r w:rsidR="002C7704" w:rsidRPr="00FA0D37">
        <w:t xml:space="preserve">  </w:t>
      </w:r>
      <w:r w:rsidRPr="00FA0D37">
        <w:rPr>
          <w:color w:val="993366"/>
        </w:rPr>
        <w:t>SEQUENCE</w:t>
      </w:r>
      <w:r w:rsidRPr="00FA0D37">
        <w:t xml:space="preserve"> {}                                                           </w:t>
      </w:r>
      <w:r w:rsidRPr="00FA0D37">
        <w:rPr>
          <w:color w:val="993366"/>
        </w:rPr>
        <w:t>OPTIONAL</w:t>
      </w:r>
    </w:p>
    <w:p w14:paraId="49EBC38B" w14:textId="77777777" w:rsidR="000264BF" w:rsidRPr="00FA0D37" w:rsidRDefault="000264BF" w:rsidP="00FA0D37">
      <w:pPr>
        <w:pStyle w:val="PL"/>
      </w:pPr>
      <w:r w:rsidRPr="00FA0D37">
        <w:t>}</w:t>
      </w:r>
    </w:p>
    <w:p w14:paraId="74B992BF" w14:textId="77777777" w:rsidR="000264BF" w:rsidRPr="00FA0D37" w:rsidRDefault="000264BF" w:rsidP="00FA0D37">
      <w:pPr>
        <w:pStyle w:val="PL"/>
      </w:pPr>
    </w:p>
    <w:p w14:paraId="0E3F8EC5" w14:textId="77777777" w:rsidR="000264BF" w:rsidRPr="00FA0D37" w:rsidRDefault="000264BF" w:rsidP="00FA0D37">
      <w:pPr>
        <w:pStyle w:val="PL"/>
      </w:pPr>
      <w:r w:rsidRPr="00FA0D37">
        <w:t xml:space="preserve">MAC-ParametersSidelink-r17 ::= </w:t>
      </w:r>
      <w:r w:rsidRPr="00FA0D37">
        <w:rPr>
          <w:color w:val="993366"/>
        </w:rPr>
        <w:t>SEQUENCE</w:t>
      </w:r>
      <w:r w:rsidRPr="00FA0D37">
        <w:t xml:space="preserve"> {</w:t>
      </w:r>
    </w:p>
    <w:p w14:paraId="3754C5E7" w14:textId="77777777" w:rsidR="000264BF" w:rsidRPr="00FA0D37" w:rsidRDefault="000264BF" w:rsidP="00FA0D37">
      <w:pPr>
        <w:pStyle w:val="PL"/>
      </w:pPr>
      <w:r w:rsidRPr="00FA0D37">
        <w:t xml:space="preserve">    drx-OnSidelink-r17                          </w:t>
      </w:r>
      <w:r w:rsidRPr="00FA0D37">
        <w:rPr>
          <w:color w:val="993366"/>
        </w:rPr>
        <w:t>ENUMERATED</w:t>
      </w:r>
      <w:r w:rsidRPr="00FA0D37">
        <w:t xml:space="preserve"> {supported}                                                  </w:t>
      </w:r>
      <w:r w:rsidRPr="00FA0D37">
        <w:rPr>
          <w:color w:val="993366"/>
        </w:rPr>
        <w:t>OPTIONAL</w:t>
      </w:r>
      <w:r w:rsidRPr="00FA0D37">
        <w:t>,</w:t>
      </w:r>
    </w:p>
    <w:p w14:paraId="4A38FA72" w14:textId="77777777" w:rsidR="000264BF" w:rsidRPr="00FA0D37" w:rsidRDefault="000264BF" w:rsidP="00FA0D37">
      <w:pPr>
        <w:pStyle w:val="PL"/>
      </w:pPr>
      <w:r w:rsidRPr="00FA0D37">
        <w:t xml:space="preserve">    ...</w:t>
      </w:r>
    </w:p>
    <w:p w14:paraId="4EA2A482" w14:textId="623CF224" w:rsidR="00394471" w:rsidRPr="00FA0D37" w:rsidRDefault="000264BF" w:rsidP="00FA0D37">
      <w:pPr>
        <w:pStyle w:val="PL"/>
      </w:pPr>
      <w:r w:rsidRPr="00FA0D37">
        <w:t>}</w:t>
      </w:r>
    </w:p>
    <w:p w14:paraId="5722489C" w14:textId="77777777" w:rsidR="000264BF" w:rsidRPr="00FA0D37" w:rsidRDefault="000264BF" w:rsidP="00FA0D37">
      <w:pPr>
        <w:pStyle w:val="PL"/>
      </w:pPr>
    </w:p>
    <w:p w14:paraId="508DFC65" w14:textId="08160CBA" w:rsidR="00394471" w:rsidRPr="00FA0D37" w:rsidRDefault="00394471" w:rsidP="00FA0D37">
      <w:pPr>
        <w:pStyle w:val="PL"/>
      </w:pPr>
      <w:r w:rsidRPr="00FA0D37">
        <w:t xml:space="preserve">AccessStratumReleaseSidelink-r16 ::= </w:t>
      </w:r>
      <w:r w:rsidRPr="00FA0D37">
        <w:rPr>
          <w:color w:val="993366"/>
        </w:rPr>
        <w:t>ENUMERATED</w:t>
      </w:r>
      <w:r w:rsidRPr="00FA0D37">
        <w:t xml:space="preserve"> { rel16, </w:t>
      </w:r>
      <w:r w:rsidR="000264BF" w:rsidRPr="00FA0D37">
        <w:t>rel17</w:t>
      </w:r>
      <w:r w:rsidRPr="00FA0D37">
        <w:t>, spare6, spare5, spare4, spare3, spare2, spare1, ... }</w:t>
      </w:r>
    </w:p>
    <w:p w14:paraId="7218A17B" w14:textId="77777777" w:rsidR="00394471" w:rsidRPr="00FA0D37" w:rsidRDefault="00394471" w:rsidP="00FA0D37">
      <w:pPr>
        <w:pStyle w:val="PL"/>
      </w:pPr>
    </w:p>
    <w:p w14:paraId="35F7D003" w14:textId="77777777" w:rsidR="00394471" w:rsidRPr="00FA0D37" w:rsidRDefault="00394471" w:rsidP="00FA0D37">
      <w:pPr>
        <w:pStyle w:val="PL"/>
      </w:pPr>
      <w:r w:rsidRPr="00FA0D37">
        <w:t xml:space="preserve">PDCP-ParametersSidelink-r16 ::= </w:t>
      </w:r>
      <w:r w:rsidRPr="00FA0D37">
        <w:rPr>
          <w:color w:val="993366"/>
        </w:rPr>
        <w:t>SEQUENCE</w:t>
      </w:r>
      <w:r w:rsidRPr="00FA0D37">
        <w:t xml:space="preserve"> {</w:t>
      </w:r>
    </w:p>
    <w:p w14:paraId="7EF3E551" w14:textId="77777777" w:rsidR="00394471" w:rsidRPr="00FA0D37" w:rsidRDefault="00394471" w:rsidP="00FA0D37">
      <w:pPr>
        <w:pStyle w:val="PL"/>
      </w:pPr>
      <w:r w:rsidRPr="00FA0D37">
        <w:t xml:space="preserve">    outOfOrderDeliverySidelink-r16              </w:t>
      </w:r>
      <w:r w:rsidRPr="00FA0D37">
        <w:rPr>
          <w:color w:val="993366"/>
        </w:rPr>
        <w:t>ENUMERATED</w:t>
      </w:r>
      <w:r w:rsidRPr="00FA0D37">
        <w:t xml:space="preserve"> {supported}      </w:t>
      </w:r>
      <w:r w:rsidRPr="00FA0D37">
        <w:rPr>
          <w:color w:val="993366"/>
        </w:rPr>
        <w:t>OPTIONAL</w:t>
      </w:r>
      <w:r w:rsidRPr="00FA0D37">
        <w:t>,</w:t>
      </w:r>
    </w:p>
    <w:p w14:paraId="6DB159A5" w14:textId="77777777" w:rsidR="00394471" w:rsidRPr="00FA0D37" w:rsidRDefault="00394471" w:rsidP="00FA0D37">
      <w:pPr>
        <w:pStyle w:val="PL"/>
      </w:pPr>
      <w:r w:rsidRPr="00FA0D37">
        <w:t xml:space="preserve">    ...</w:t>
      </w:r>
    </w:p>
    <w:p w14:paraId="47C90DA5" w14:textId="77777777" w:rsidR="00394471" w:rsidRPr="00FA0D37" w:rsidRDefault="00394471" w:rsidP="00FA0D37">
      <w:pPr>
        <w:pStyle w:val="PL"/>
      </w:pPr>
      <w:r w:rsidRPr="00FA0D37">
        <w:t>}</w:t>
      </w:r>
    </w:p>
    <w:p w14:paraId="071D52C7" w14:textId="77777777" w:rsidR="00394471" w:rsidRPr="00FA0D37" w:rsidRDefault="00394471" w:rsidP="00FA0D37">
      <w:pPr>
        <w:pStyle w:val="PL"/>
      </w:pPr>
    </w:p>
    <w:p w14:paraId="5AEF3BA9" w14:textId="77777777" w:rsidR="00394471" w:rsidRPr="00FA0D37" w:rsidRDefault="00394471" w:rsidP="00FA0D37">
      <w:pPr>
        <w:pStyle w:val="PL"/>
      </w:pPr>
      <w:r w:rsidRPr="00FA0D37">
        <w:t xml:space="preserve">BandCombinationListSidelinkNR-r16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BandCombinationParametersSidelinkNR-r16</w:t>
      </w:r>
    </w:p>
    <w:p w14:paraId="7BEC6935" w14:textId="77777777" w:rsidR="002C7704" w:rsidRPr="00FA0D37" w:rsidRDefault="002C7704" w:rsidP="00FA0D37">
      <w:pPr>
        <w:pStyle w:val="PL"/>
      </w:pPr>
    </w:p>
    <w:p w14:paraId="378D0B38" w14:textId="15F168CA" w:rsidR="002C7704" w:rsidRPr="00FA0D37" w:rsidRDefault="002C7704" w:rsidP="00FA0D37">
      <w:pPr>
        <w:pStyle w:val="PL"/>
      </w:pPr>
      <w:r w:rsidRPr="00FA0D37">
        <w:t xml:space="preserve">BandCombinationListSidelinkNR-v1710 ::= </w:t>
      </w:r>
      <w:r w:rsidRPr="00FA0D37">
        <w:rPr>
          <w:color w:val="993366"/>
        </w:rPr>
        <w:t>SEQUENCE</w:t>
      </w:r>
      <w:r w:rsidRPr="00FA0D37">
        <w:t xml:space="preserve"> (</w:t>
      </w:r>
      <w:r w:rsidRPr="00FA0D37">
        <w:rPr>
          <w:color w:val="993366"/>
        </w:rPr>
        <w:t>SIZE</w:t>
      </w:r>
      <w:r w:rsidRPr="00FA0D37">
        <w:t xml:space="preserve"> (1..maxBandComb))</w:t>
      </w:r>
      <w:r w:rsidRPr="00FA0D37">
        <w:rPr>
          <w:color w:val="993366"/>
        </w:rPr>
        <w:t xml:space="preserve"> OF</w:t>
      </w:r>
      <w:r w:rsidRPr="00FA0D37">
        <w:t xml:space="preserve"> BandCombinationParametersSidelinkNR-v17</w:t>
      </w:r>
      <w:r w:rsidR="00F84A8C" w:rsidRPr="00FA0D37">
        <w:t>10</w:t>
      </w:r>
    </w:p>
    <w:p w14:paraId="26D6E98E" w14:textId="77777777" w:rsidR="002C7704" w:rsidRPr="00FA0D37" w:rsidRDefault="002C7704" w:rsidP="00FA0D37">
      <w:pPr>
        <w:pStyle w:val="PL"/>
      </w:pPr>
    </w:p>
    <w:p w14:paraId="2C4B785E" w14:textId="77777777" w:rsidR="00394471" w:rsidRPr="00FA0D37" w:rsidRDefault="00394471" w:rsidP="00FA0D37">
      <w:pPr>
        <w:pStyle w:val="PL"/>
      </w:pPr>
      <w:r w:rsidRPr="00FA0D37">
        <w:t xml:space="preserve">BandCombinationParametersSidelinkNR-r16 ::=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BandParametersSidelink-r16</w:t>
      </w:r>
    </w:p>
    <w:p w14:paraId="5B41EDF5" w14:textId="77777777" w:rsidR="00F84A8C" w:rsidRPr="00FA0D37" w:rsidRDefault="00F84A8C" w:rsidP="00FA0D37">
      <w:pPr>
        <w:pStyle w:val="PL"/>
      </w:pPr>
    </w:p>
    <w:p w14:paraId="0B52A6ED" w14:textId="6EA7BCAD" w:rsidR="00F84A8C" w:rsidRPr="00FA0D37" w:rsidRDefault="00F84A8C" w:rsidP="00FA0D37">
      <w:pPr>
        <w:pStyle w:val="PL"/>
      </w:pPr>
      <w:r w:rsidRPr="00FA0D37">
        <w:t xml:space="preserve">BandCombinationParametersSidelinkNR-v1710 ::= </w:t>
      </w:r>
      <w:r w:rsidRPr="00FA0D37">
        <w:rPr>
          <w:color w:val="993366"/>
        </w:rPr>
        <w:t>SEQUENCE</w:t>
      </w:r>
      <w:r w:rsidRPr="00FA0D37">
        <w:t xml:space="preserve"> (</w:t>
      </w:r>
      <w:r w:rsidRPr="00FA0D37">
        <w:rPr>
          <w:color w:val="993366"/>
        </w:rPr>
        <w:t>SIZE</w:t>
      </w:r>
      <w:r w:rsidRPr="00FA0D37">
        <w:t xml:space="preserve"> (1..maxSimultaneousBands))</w:t>
      </w:r>
      <w:r w:rsidRPr="00FA0D37">
        <w:rPr>
          <w:color w:val="993366"/>
        </w:rPr>
        <w:t xml:space="preserve"> OF</w:t>
      </w:r>
      <w:r w:rsidRPr="00FA0D37">
        <w:t xml:space="preserve"> BandParametersSidelink-v1710</w:t>
      </w:r>
    </w:p>
    <w:p w14:paraId="7CDA7A2E" w14:textId="77777777" w:rsidR="00F84A8C" w:rsidRPr="00FA0D37" w:rsidRDefault="00F84A8C" w:rsidP="00FA0D37">
      <w:pPr>
        <w:pStyle w:val="PL"/>
      </w:pPr>
    </w:p>
    <w:p w14:paraId="648E3DBB" w14:textId="699FB167" w:rsidR="00F84A8C" w:rsidRPr="00FA0D37" w:rsidRDefault="00F84A8C" w:rsidP="00FA0D37">
      <w:pPr>
        <w:pStyle w:val="PL"/>
      </w:pPr>
      <w:r w:rsidRPr="00FA0D37">
        <w:t xml:space="preserve">BandParametersSidelink-v1710 ::=    </w:t>
      </w:r>
      <w:r w:rsidRPr="00FA0D37">
        <w:rPr>
          <w:color w:val="993366"/>
        </w:rPr>
        <w:t>SEQUENCE</w:t>
      </w:r>
      <w:r w:rsidRPr="00FA0D37">
        <w:t xml:space="preserve"> {</w:t>
      </w:r>
    </w:p>
    <w:p w14:paraId="3FE31510" w14:textId="29B9E8DD" w:rsidR="00F84A8C" w:rsidRPr="00FA0D37" w:rsidRDefault="00F84A8C" w:rsidP="00FA0D37">
      <w:pPr>
        <w:pStyle w:val="PL"/>
        <w:rPr>
          <w:color w:val="808080"/>
        </w:rPr>
      </w:pPr>
      <w:r w:rsidRPr="00FA0D37">
        <w:t xml:space="preserve">    </w:t>
      </w:r>
      <w:r w:rsidRPr="00FA0D37">
        <w:rPr>
          <w:color w:val="808080"/>
        </w:rPr>
        <w:t>--32-5a-1</w:t>
      </w:r>
    </w:p>
    <w:p w14:paraId="05ABD065" w14:textId="294DF5AC" w:rsidR="00F84A8C" w:rsidRPr="00FA0D37" w:rsidRDefault="00F84A8C" w:rsidP="00FA0D37">
      <w:pPr>
        <w:pStyle w:val="PL"/>
      </w:pPr>
      <w:r w:rsidRPr="00FA0D37">
        <w:t xml:space="preserve">    tx-IUC-Scheme1-Mode2Sidelink-r17    </w:t>
      </w:r>
      <w:r w:rsidRPr="00FA0D37">
        <w:rPr>
          <w:color w:val="993366"/>
        </w:rPr>
        <w:t>ENUMERATED</w:t>
      </w:r>
      <w:r w:rsidRPr="00FA0D37">
        <w:t xml:space="preserve"> {supported}                      </w:t>
      </w:r>
      <w:r w:rsidRPr="00FA0D37">
        <w:rPr>
          <w:color w:val="993366"/>
        </w:rPr>
        <w:t>OPTIONAL</w:t>
      </w:r>
      <w:r w:rsidRPr="00FA0D37">
        <w:t>,</w:t>
      </w:r>
    </w:p>
    <w:p w14:paraId="2B667468" w14:textId="3D403DD4" w:rsidR="00F84A8C" w:rsidRPr="00FA0D37" w:rsidRDefault="00F84A8C" w:rsidP="00FA0D37">
      <w:pPr>
        <w:pStyle w:val="PL"/>
        <w:rPr>
          <w:color w:val="808080"/>
        </w:rPr>
      </w:pPr>
      <w:r w:rsidRPr="00FA0D37">
        <w:t xml:space="preserve">    </w:t>
      </w:r>
      <w:r w:rsidRPr="00FA0D37">
        <w:rPr>
          <w:color w:val="808080"/>
        </w:rPr>
        <w:t>--32-5b-1</w:t>
      </w:r>
    </w:p>
    <w:p w14:paraId="148C78B9" w14:textId="18C977FA" w:rsidR="00F84A8C" w:rsidRPr="00FA0D37" w:rsidRDefault="00F84A8C" w:rsidP="00FA0D37">
      <w:pPr>
        <w:pStyle w:val="PL"/>
      </w:pPr>
      <w:r w:rsidRPr="00FA0D37">
        <w:t xml:space="preserve">    tx-IUC-Scheme2-Mode2Sidelink-r17    </w:t>
      </w:r>
      <w:r w:rsidRPr="00FA0D37">
        <w:rPr>
          <w:color w:val="993366"/>
        </w:rPr>
        <w:t>ENUMERATED</w:t>
      </w:r>
      <w:r w:rsidRPr="00FA0D37">
        <w:t xml:space="preserve"> {n4, n8, n16}                    </w:t>
      </w:r>
      <w:r w:rsidRPr="00FA0D37">
        <w:rPr>
          <w:color w:val="993366"/>
        </w:rPr>
        <w:t>OPTIONAL</w:t>
      </w:r>
    </w:p>
    <w:p w14:paraId="77E01999" w14:textId="5B1358F7" w:rsidR="00F84A8C" w:rsidRPr="00FA0D37" w:rsidRDefault="00F84A8C" w:rsidP="00FA0D37">
      <w:pPr>
        <w:pStyle w:val="PL"/>
      </w:pPr>
      <w:r w:rsidRPr="00FA0D37">
        <w:t>}</w:t>
      </w:r>
    </w:p>
    <w:p w14:paraId="1048DD11" w14:textId="77777777" w:rsidR="00F84A8C" w:rsidRPr="00FA0D37" w:rsidRDefault="00F84A8C" w:rsidP="00FA0D37">
      <w:pPr>
        <w:pStyle w:val="PL"/>
      </w:pPr>
    </w:p>
    <w:p w14:paraId="76EAADA3" w14:textId="2FF66B2E" w:rsidR="00394471" w:rsidRPr="00FA0D37" w:rsidRDefault="00394471" w:rsidP="00FA0D37">
      <w:pPr>
        <w:pStyle w:val="PL"/>
      </w:pPr>
      <w:r w:rsidRPr="00FA0D37">
        <w:t>BandSidelink</w:t>
      </w:r>
      <w:r w:rsidR="005F4180" w:rsidRPr="00FA0D37">
        <w:t>PC5</w:t>
      </w:r>
      <w:r w:rsidRPr="00FA0D37">
        <w:t xml:space="preserve">-r16 ::=           </w:t>
      </w:r>
      <w:r w:rsidRPr="00FA0D37">
        <w:rPr>
          <w:color w:val="993366"/>
        </w:rPr>
        <w:t>SEQUENCE</w:t>
      </w:r>
      <w:r w:rsidRPr="00FA0D37">
        <w:t xml:space="preserve"> {</w:t>
      </w:r>
    </w:p>
    <w:p w14:paraId="2414308A" w14:textId="77777777" w:rsidR="00394471" w:rsidRPr="00FA0D37" w:rsidRDefault="00394471" w:rsidP="00FA0D37">
      <w:pPr>
        <w:pStyle w:val="PL"/>
      </w:pPr>
      <w:r w:rsidRPr="00FA0D37">
        <w:t xml:space="preserve">    freqBandSidelink-r16              FreqBandIndicatorNR,</w:t>
      </w:r>
    </w:p>
    <w:p w14:paraId="3596EE62" w14:textId="77777777" w:rsidR="00394471" w:rsidRPr="00FA0D37" w:rsidRDefault="00394471" w:rsidP="00FA0D37">
      <w:pPr>
        <w:pStyle w:val="PL"/>
        <w:rPr>
          <w:color w:val="808080"/>
        </w:rPr>
      </w:pPr>
      <w:r w:rsidRPr="00FA0D37">
        <w:t xml:space="preserve">    </w:t>
      </w:r>
      <w:r w:rsidRPr="00FA0D37">
        <w:rPr>
          <w:color w:val="808080"/>
        </w:rPr>
        <w:t>--15-1</w:t>
      </w:r>
    </w:p>
    <w:p w14:paraId="7A43EDAE" w14:textId="77777777" w:rsidR="00394471" w:rsidRPr="00FA0D37" w:rsidRDefault="00394471" w:rsidP="00FA0D37">
      <w:pPr>
        <w:pStyle w:val="PL"/>
      </w:pPr>
      <w:r w:rsidRPr="00FA0D37">
        <w:t xml:space="preserve">    sl-Reception-r16                  </w:t>
      </w:r>
      <w:r w:rsidRPr="00FA0D37">
        <w:rPr>
          <w:color w:val="993366"/>
        </w:rPr>
        <w:t>SEQUENCE</w:t>
      </w:r>
      <w:r w:rsidRPr="00FA0D37">
        <w:t xml:space="preserve"> {</w:t>
      </w:r>
    </w:p>
    <w:p w14:paraId="1B022260" w14:textId="77777777" w:rsidR="00394471" w:rsidRPr="00FA0D37" w:rsidRDefault="00394471" w:rsidP="00FA0D37">
      <w:pPr>
        <w:pStyle w:val="PL"/>
      </w:pPr>
      <w:r w:rsidRPr="00FA0D37">
        <w:t xml:space="preserve">        harq-RxProcessSidelink-r16        </w:t>
      </w:r>
      <w:r w:rsidRPr="00FA0D37">
        <w:rPr>
          <w:color w:val="993366"/>
        </w:rPr>
        <w:t>ENUMERATED</w:t>
      </w:r>
      <w:r w:rsidRPr="00FA0D37">
        <w:t xml:space="preserve"> {n16, n24, n32, n64},</w:t>
      </w:r>
    </w:p>
    <w:p w14:paraId="3BED8196" w14:textId="77777777" w:rsidR="00394471" w:rsidRPr="00FA0D37" w:rsidRDefault="00394471" w:rsidP="00FA0D37">
      <w:pPr>
        <w:pStyle w:val="PL"/>
      </w:pPr>
      <w:r w:rsidRPr="00FA0D37">
        <w:t xml:space="preserve">        pscch-RxSidelink-r16              </w:t>
      </w:r>
      <w:r w:rsidRPr="00FA0D37">
        <w:rPr>
          <w:color w:val="993366"/>
        </w:rPr>
        <w:t>ENUMERATED</w:t>
      </w:r>
      <w:r w:rsidRPr="00FA0D37">
        <w:t xml:space="preserve"> {value1, value2},</w:t>
      </w:r>
    </w:p>
    <w:p w14:paraId="219120A0" w14:textId="77777777" w:rsidR="00394471" w:rsidRPr="00FA0D37" w:rsidRDefault="00394471" w:rsidP="00FA0D37">
      <w:pPr>
        <w:pStyle w:val="PL"/>
      </w:pPr>
      <w:r w:rsidRPr="00FA0D37">
        <w:t xml:space="preserve">        scs-CP-PatternRxSidelink-r16      </w:t>
      </w:r>
      <w:r w:rsidRPr="00FA0D37">
        <w:rPr>
          <w:color w:val="993366"/>
        </w:rPr>
        <w:t>CHOICE</w:t>
      </w:r>
      <w:r w:rsidRPr="00FA0D37">
        <w:t xml:space="preserve"> {</w:t>
      </w:r>
    </w:p>
    <w:p w14:paraId="579D5864" w14:textId="77777777" w:rsidR="00394471" w:rsidRPr="00FA0D37" w:rsidRDefault="00394471" w:rsidP="00FA0D37">
      <w:pPr>
        <w:pStyle w:val="PL"/>
      </w:pPr>
      <w:r w:rsidRPr="00FA0D37">
        <w:t xml:space="preserve">            fr1-r16                           </w:t>
      </w:r>
      <w:r w:rsidRPr="00FA0D37">
        <w:rPr>
          <w:color w:val="993366"/>
        </w:rPr>
        <w:t>SEQUENCE</w:t>
      </w:r>
      <w:r w:rsidRPr="00FA0D37">
        <w:t xml:space="preserve"> {</w:t>
      </w:r>
    </w:p>
    <w:p w14:paraId="4A54CBFE" w14:textId="77777777" w:rsidR="00394471" w:rsidRPr="00FA0D37" w:rsidRDefault="00394471" w:rsidP="00FA0D37">
      <w:pPr>
        <w:pStyle w:val="PL"/>
      </w:pPr>
      <w:r w:rsidRPr="00FA0D37">
        <w:t xml:space="preserve">                scs-15kHz-r16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3222BD0B" w14:textId="77777777" w:rsidR="00394471" w:rsidRPr="00FA0D37" w:rsidRDefault="00394471" w:rsidP="00FA0D37">
      <w:pPr>
        <w:pStyle w:val="PL"/>
      </w:pPr>
      <w:r w:rsidRPr="00FA0D37">
        <w:t xml:space="preserve">                scs-30kHz-r16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79BB2CCE" w14:textId="77777777" w:rsidR="00394471" w:rsidRPr="00FA0D37" w:rsidRDefault="00394471" w:rsidP="00FA0D37">
      <w:pPr>
        <w:pStyle w:val="PL"/>
      </w:pPr>
      <w:r w:rsidRPr="00FA0D37">
        <w:t xml:space="preserve">                scs-60kHz-r16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1CB2C490" w14:textId="77777777" w:rsidR="00394471" w:rsidRPr="00FA0D37" w:rsidRDefault="00394471" w:rsidP="00FA0D37">
      <w:pPr>
        <w:pStyle w:val="PL"/>
      </w:pPr>
      <w:r w:rsidRPr="00FA0D37">
        <w:t xml:space="preserve">            },</w:t>
      </w:r>
    </w:p>
    <w:p w14:paraId="112B872E" w14:textId="77777777" w:rsidR="00394471" w:rsidRPr="00FA0D37" w:rsidRDefault="00394471" w:rsidP="00FA0D37">
      <w:pPr>
        <w:pStyle w:val="PL"/>
      </w:pPr>
      <w:r w:rsidRPr="00FA0D37">
        <w:t xml:space="preserve">            fr2-r16                           </w:t>
      </w:r>
      <w:r w:rsidRPr="00FA0D37">
        <w:rPr>
          <w:color w:val="993366"/>
        </w:rPr>
        <w:t>SEQUENCE</w:t>
      </w:r>
      <w:r w:rsidRPr="00FA0D37">
        <w:t xml:space="preserve"> {</w:t>
      </w:r>
    </w:p>
    <w:p w14:paraId="4DEDB266" w14:textId="77777777" w:rsidR="00394471" w:rsidRPr="00FA0D37" w:rsidRDefault="00394471" w:rsidP="00FA0D37">
      <w:pPr>
        <w:pStyle w:val="PL"/>
      </w:pPr>
      <w:r w:rsidRPr="00FA0D37">
        <w:t xml:space="preserve">                scs-60kHz-r16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r w:rsidRPr="00FA0D37">
        <w:t>,</w:t>
      </w:r>
    </w:p>
    <w:p w14:paraId="32E1BFDB" w14:textId="77777777" w:rsidR="00394471" w:rsidRPr="00FA0D37" w:rsidRDefault="00394471" w:rsidP="00FA0D37">
      <w:pPr>
        <w:pStyle w:val="PL"/>
      </w:pPr>
      <w:r w:rsidRPr="00FA0D37">
        <w:t xml:space="preserve">                scs-120kHz-r16                    </w:t>
      </w:r>
      <w:r w:rsidRPr="00FA0D37">
        <w:rPr>
          <w:color w:val="993366"/>
        </w:rPr>
        <w:t>BIT</w:t>
      </w:r>
      <w:r w:rsidRPr="00FA0D37">
        <w:t xml:space="preserve"> </w:t>
      </w:r>
      <w:r w:rsidRPr="00FA0D37">
        <w:rPr>
          <w:color w:val="993366"/>
        </w:rPr>
        <w:t>STRING</w:t>
      </w:r>
      <w:r w:rsidRPr="00FA0D37">
        <w:t xml:space="preserve"> (</w:t>
      </w:r>
      <w:r w:rsidRPr="00FA0D37">
        <w:rPr>
          <w:color w:val="993366"/>
        </w:rPr>
        <w:t>SIZE</w:t>
      </w:r>
      <w:r w:rsidRPr="00FA0D37">
        <w:t xml:space="preserve"> (16))                            </w:t>
      </w:r>
      <w:r w:rsidRPr="00FA0D37">
        <w:rPr>
          <w:color w:val="993366"/>
        </w:rPr>
        <w:t>OPTIONAL</w:t>
      </w:r>
    </w:p>
    <w:p w14:paraId="198A155E" w14:textId="77777777" w:rsidR="00394471" w:rsidRPr="00FA0D37" w:rsidRDefault="00394471" w:rsidP="00FA0D37">
      <w:pPr>
        <w:pStyle w:val="PL"/>
      </w:pPr>
      <w:r w:rsidRPr="00FA0D37">
        <w:t xml:space="preserve">            }</w:t>
      </w:r>
    </w:p>
    <w:p w14:paraId="616284B3" w14:textId="77777777" w:rsidR="00394471" w:rsidRPr="00FA0D37" w:rsidRDefault="00394471" w:rsidP="00FA0D37">
      <w:pPr>
        <w:pStyle w:val="PL"/>
      </w:pPr>
      <w:r w:rsidRPr="00FA0D37">
        <w:t xml:space="preserve">        }                                                                                           </w:t>
      </w:r>
      <w:r w:rsidRPr="00FA0D37">
        <w:rPr>
          <w:color w:val="993366"/>
        </w:rPr>
        <w:t>OPTIONAL</w:t>
      </w:r>
      <w:r w:rsidRPr="00FA0D37">
        <w:t>,</w:t>
      </w:r>
    </w:p>
    <w:p w14:paraId="1B89A0CB" w14:textId="77777777" w:rsidR="00394471" w:rsidRPr="00FA0D37" w:rsidRDefault="00394471" w:rsidP="00FA0D37">
      <w:pPr>
        <w:pStyle w:val="PL"/>
      </w:pPr>
      <w:r w:rsidRPr="00FA0D37">
        <w:t xml:space="preserve">        extendedCP-RxSidelink-r16         </w:t>
      </w:r>
      <w:r w:rsidRPr="00FA0D37">
        <w:rPr>
          <w:color w:val="993366"/>
        </w:rPr>
        <w:t>ENUMERATED</w:t>
      </w:r>
      <w:r w:rsidRPr="00FA0D37">
        <w:t xml:space="preserve"> {supported}                                    </w:t>
      </w:r>
      <w:r w:rsidRPr="00FA0D37">
        <w:rPr>
          <w:color w:val="993366"/>
        </w:rPr>
        <w:t>OPTIONAL</w:t>
      </w:r>
    </w:p>
    <w:p w14:paraId="09EA5674" w14:textId="77777777" w:rsidR="00394471" w:rsidRPr="00FA0D37" w:rsidRDefault="00394471" w:rsidP="00FA0D37">
      <w:pPr>
        <w:pStyle w:val="PL"/>
      </w:pPr>
      <w:r w:rsidRPr="00FA0D37">
        <w:t xml:space="preserve">    }                                                                                               </w:t>
      </w:r>
      <w:r w:rsidRPr="00FA0D37">
        <w:rPr>
          <w:color w:val="993366"/>
        </w:rPr>
        <w:t>OPTIONAL</w:t>
      </w:r>
      <w:r w:rsidRPr="00FA0D37">
        <w:t>,</w:t>
      </w:r>
    </w:p>
    <w:p w14:paraId="7E035749" w14:textId="77777777" w:rsidR="00394471" w:rsidRPr="00FA0D37" w:rsidRDefault="00394471" w:rsidP="00FA0D37">
      <w:pPr>
        <w:pStyle w:val="PL"/>
        <w:rPr>
          <w:color w:val="808080"/>
        </w:rPr>
      </w:pPr>
      <w:r w:rsidRPr="00FA0D37">
        <w:t xml:space="preserve">    </w:t>
      </w:r>
      <w:r w:rsidRPr="00FA0D37">
        <w:rPr>
          <w:color w:val="808080"/>
        </w:rPr>
        <w:t>--15-10</w:t>
      </w:r>
    </w:p>
    <w:p w14:paraId="61387FBB" w14:textId="77777777" w:rsidR="00394471" w:rsidRPr="00FA0D37" w:rsidRDefault="00394471" w:rsidP="00FA0D37">
      <w:pPr>
        <w:pStyle w:val="PL"/>
      </w:pPr>
      <w:r w:rsidRPr="00FA0D37">
        <w:t xml:space="preserve">    sl-Tx-256QAM-r16                  </w:t>
      </w:r>
      <w:r w:rsidRPr="00FA0D37">
        <w:rPr>
          <w:color w:val="993366"/>
        </w:rPr>
        <w:t>ENUMERATED</w:t>
      </w:r>
      <w:r w:rsidRPr="00FA0D37">
        <w:t xml:space="preserve"> {supported}                                        </w:t>
      </w:r>
      <w:r w:rsidRPr="00FA0D37">
        <w:rPr>
          <w:color w:val="993366"/>
        </w:rPr>
        <w:t>OPTIONAL</w:t>
      </w:r>
      <w:r w:rsidRPr="00FA0D37">
        <w:t>,</w:t>
      </w:r>
    </w:p>
    <w:p w14:paraId="4F891EA5" w14:textId="77777777" w:rsidR="00394471" w:rsidRPr="00FA0D37" w:rsidRDefault="00394471" w:rsidP="00FA0D37">
      <w:pPr>
        <w:pStyle w:val="PL"/>
        <w:rPr>
          <w:color w:val="808080"/>
        </w:rPr>
      </w:pPr>
      <w:r w:rsidRPr="00FA0D37">
        <w:t xml:space="preserve">    </w:t>
      </w:r>
      <w:r w:rsidRPr="00FA0D37">
        <w:rPr>
          <w:color w:val="808080"/>
        </w:rPr>
        <w:t>--15-12</w:t>
      </w:r>
    </w:p>
    <w:p w14:paraId="5A69877E" w14:textId="77777777" w:rsidR="00394471" w:rsidRPr="00FA0D37" w:rsidRDefault="00394471" w:rsidP="00FA0D37">
      <w:pPr>
        <w:pStyle w:val="PL"/>
      </w:pPr>
      <w:r w:rsidRPr="00FA0D37">
        <w:t xml:space="preserve">    lowSE-64QAM-MCS-TableSidelink-r16 </w:t>
      </w:r>
      <w:r w:rsidRPr="00FA0D37">
        <w:rPr>
          <w:color w:val="993366"/>
        </w:rPr>
        <w:t>ENUMERATED</w:t>
      </w:r>
      <w:r w:rsidRPr="00FA0D37">
        <w:t xml:space="preserve"> {supported}                                        </w:t>
      </w:r>
      <w:r w:rsidRPr="00FA0D37">
        <w:rPr>
          <w:color w:val="993366"/>
        </w:rPr>
        <w:t>OPTIONAL</w:t>
      </w:r>
      <w:r w:rsidRPr="00FA0D37">
        <w:t>,</w:t>
      </w:r>
    </w:p>
    <w:p w14:paraId="684193BC" w14:textId="452968BD" w:rsidR="00D027C1" w:rsidRPr="00FA0D37" w:rsidRDefault="00394471" w:rsidP="00FA0D37">
      <w:pPr>
        <w:pStyle w:val="PL"/>
      </w:pPr>
      <w:r w:rsidRPr="00FA0D37">
        <w:t xml:space="preserve">    ...</w:t>
      </w:r>
      <w:r w:rsidR="00D027C1" w:rsidRPr="00FA0D37">
        <w:t>,</w:t>
      </w:r>
    </w:p>
    <w:p w14:paraId="36CD8244" w14:textId="32A1D8BE" w:rsidR="00D027C1" w:rsidRPr="00FA0D37" w:rsidRDefault="00D027C1" w:rsidP="00FA0D37">
      <w:pPr>
        <w:pStyle w:val="PL"/>
      </w:pPr>
      <w:r w:rsidRPr="00FA0D37">
        <w:t xml:space="preserve">    [[</w:t>
      </w:r>
    </w:p>
    <w:p w14:paraId="050B44EC" w14:textId="7F2E2CCF" w:rsidR="00D027C1" w:rsidRPr="00FA0D37" w:rsidRDefault="00D027C1" w:rsidP="00FA0D37">
      <w:pPr>
        <w:pStyle w:val="PL"/>
        <w:rPr>
          <w:color w:val="808080"/>
        </w:rPr>
      </w:pPr>
      <w:r w:rsidRPr="00FA0D37">
        <w:t xml:space="preserve">    </w:t>
      </w:r>
      <w:r w:rsidRPr="00FA0D37">
        <w:rPr>
          <w:color w:val="808080"/>
        </w:rPr>
        <w:t>--15-14</w:t>
      </w:r>
    </w:p>
    <w:p w14:paraId="1C5FB986" w14:textId="2EBD2C01" w:rsidR="00D027C1" w:rsidRPr="00FA0D37" w:rsidRDefault="00D027C1" w:rsidP="00FA0D37">
      <w:pPr>
        <w:pStyle w:val="PL"/>
      </w:pPr>
      <w:r w:rsidRPr="00FA0D37">
        <w:t xml:space="preserve">    csi-ReportSidelink-r16                </w:t>
      </w:r>
      <w:r w:rsidRPr="00FA0D37">
        <w:rPr>
          <w:color w:val="993366"/>
        </w:rPr>
        <w:t>SEQUENCE</w:t>
      </w:r>
      <w:r w:rsidRPr="00FA0D37">
        <w:t xml:space="preserve"> {</w:t>
      </w:r>
    </w:p>
    <w:p w14:paraId="1F5D0E77" w14:textId="52C490A2" w:rsidR="00D027C1" w:rsidRPr="00FA0D37" w:rsidRDefault="00D027C1" w:rsidP="00FA0D37">
      <w:pPr>
        <w:pStyle w:val="PL"/>
      </w:pPr>
      <w:r w:rsidRPr="00FA0D37">
        <w:t xml:space="preserve">        csi-RS-PortsSidelink-r16              </w:t>
      </w:r>
      <w:r w:rsidRPr="00FA0D37">
        <w:rPr>
          <w:color w:val="993366"/>
        </w:rPr>
        <w:t>ENUMERATED</w:t>
      </w:r>
      <w:r w:rsidRPr="00FA0D37">
        <w:t xml:space="preserve"> {p1, p2}</w:t>
      </w:r>
    </w:p>
    <w:p w14:paraId="5000BB54" w14:textId="3C3543B8" w:rsidR="00D027C1" w:rsidRPr="00FA0D37" w:rsidRDefault="00D027C1" w:rsidP="00FA0D37">
      <w:pPr>
        <w:pStyle w:val="PL"/>
      </w:pPr>
      <w:r w:rsidRPr="00FA0D37">
        <w:t xml:space="preserve">    }                                                                                               </w:t>
      </w:r>
      <w:r w:rsidRPr="00FA0D37">
        <w:rPr>
          <w:color w:val="993366"/>
        </w:rPr>
        <w:t>OPTIONAL</w:t>
      </w:r>
      <w:r w:rsidRPr="00FA0D37">
        <w:t>,</w:t>
      </w:r>
    </w:p>
    <w:p w14:paraId="471F6606" w14:textId="0F7A12FD" w:rsidR="00D027C1" w:rsidRPr="00FA0D37" w:rsidRDefault="00D027C1" w:rsidP="00FA0D37">
      <w:pPr>
        <w:pStyle w:val="PL"/>
        <w:rPr>
          <w:color w:val="808080"/>
        </w:rPr>
      </w:pPr>
      <w:r w:rsidRPr="00FA0D37">
        <w:t xml:space="preserve">    </w:t>
      </w:r>
      <w:r w:rsidRPr="00FA0D37">
        <w:rPr>
          <w:color w:val="808080"/>
        </w:rPr>
        <w:t>--15-19</w:t>
      </w:r>
    </w:p>
    <w:p w14:paraId="1A99CC39" w14:textId="48ABEFF8" w:rsidR="00D027C1" w:rsidRPr="00FA0D37" w:rsidRDefault="00D027C1" w:rsidP="00FA0D37">
      <w:pPr>
        <w:pStyle w:val="PL"/>
      </w:pPr>
      <w:r w:rsidRPr="00FA0D37">
        <w:t xml:space="preserve">    rankTwoReception-r16                  </w:t>
      </w:r>
      <w:r w:rsidRPr="00FA0D37">
        <w:rPr>
          <w:color w:val="993366"/>
        </w:rPr>
        <w:t>ENUMERATED</w:t>
      </w:r>
      <w:r w:rsidRPr="00FA0D37">
        <w:t xml:space="preserve"> {supported}                                    </w:t>
      </w:r>
      <w:r w:rsidRPr="00FA0D37">
        <w:rPr>
          <w:color w:val="993366"/>
        </w:rPr>
        <w:t>OPTIONAL</w:t>
      </w:r>
      <w:r w:rsidRPr="00FA0D37">
        <w:t>,</w:t>
      </w:r>
    </w:p>
    <w:p w14:paraId="193C6A98" w14:textId="555178FA" w:rsidR="00D027C1" w:rsidRPr="00FA0D37" w:rsidRDefault="00D027C1" w:rsidP="00FA0D37">
      <w:pPr>
        <w:pStyle w:val="PL"/>
        <w:rPr>
          <w:color w:val="808080"/>
        </w:rPr>
      </w:pPr>
      <w:r w:rsidRPr="00FA0D37">
        <w:t xml:space="preserve">    </w:t>
      </w:r>
      <w:r w:rsidRPr="00FA0D37">
        <w:rPr>
          <w:color w:val="808080"/>
        </w:rPr>
        <w:t>--15-23</w:t>
      </w:r>
    </w:p>
    <w:p w14:paraId="3DD2126D" w14:textId="2F08E924" w:rsidR="00D027C1" w:rsidRPr="00FA0D37" w:rsidRDefault="00D027C1" w:rsidP="00FA0D37">
      <w:pPr>
        <w:pStyle w:val="PL"/>
      </w:pPr>
      <w:r w:rsidRPr="00FA0D37">
        <w:t xml:space="preserve">    sl-openLoopPC-RSRP-ReportSidelink-r16 </w:t>
      </w:r>
      <w:r w:rsidRPr="00FA0D37">
        <w:rPr>
          <w:color w:val="993366"/>
        </w:rPr>
        <w:t>ENUMERATED</w:t>
      </w:r>
      <w:r w:rsidRPr="00FA0D37">
        <w:t xml:space="preserve"> {supported}                                    </w:t>
      </w:r>
      <w:r w:rsidRPr="00FA0D37">
        <w:rPr>
          <w:color w:val="993366"/>
        </w:rPr>
        <w:t>OPTIONAL</w:t>
      </w:r>
      <w:r w:rsidRPr="00FA0D37">
        <w:t>,</w:t>
      </w:r>
    </w:p>
    <w:p w14:paraId="3F19A4D5" w14:textId="26EA093A" w:rsidR="00D027C1" w:rsidRPr="00FA0D37" w:rsidRDefault="00D027C1" w:rsidP="00FA0D37">
      <w:pPr>
        <w:pStyle w:val="PL"/>
        <w:rPr>
          <w:color w:val="808080"/>
        </w:rPr>
      </w:pPr>
      <w:r w:rsidRPr="00FA0D37">
        <w:t xml:space="preserve">    </w:t>
      </w:r>
      <w:r w:rsidRPr="00FA0D37">
        <w:rPr>
          <w:color w:val="808080"/>
        </w:rPr>
        <w:t>--13-1</w:t>
      </w:r>
    </w:p>
    <w:p w14:paraId="55D552EC" w14:textId="7F62F3BC" w:rsidR="00D027C1" w:rsidRPr="00FA0D37" w:rsidRDefault="00D027C1" w:rsidP="00FA0D37">
      <w:pPr>
        <w:pStyle w:val="PL"/>
      </w:pPr>
      <w:r w:rsidRPr="00FA0D37">
        <w:t xml:space="preserve">    sl-Rx-256QAM-r16                      </w:t>
      </w:r>
      <w:r w:rsidRPr="00FA0D37">
        <w:rPr>
          <w:color w:val="993366"/>
        </w:rPr>
        <w:t>ENUMERATED</w:t>
      </w:r>
      <w:r w:rsidRPr="00FA0D37">
        <w:t xml:space="preserve"> {supported}                                    </w:t>
      </w:r>
      <w:r w:rsidRPr="00FA0D37">
        <w:rPr>
          <w:color w:val="993366"/>
        </w:rPr>
        <w:t>OPTIONAL</w:t>
      </w:r>
    </w:p>
    <w:p w14:paraId="1D7FC7AA" w14:textId="4C0CF966" w:rsidR="00394471" w:rsidRPr="00FA0D37" w:rsidRDefault="00D027C1" w:rsidP="00FA0D37">
      <w:pPr>
        <w:pStyle w:val="PL"/>
      </w:pPr>
      <w:r w:rsidRPr="00FA0D37">
        <w:t xml:space="preserve">    ]]</w:t>
      </w:r>
      <w:r w:rsidR="00F84A8C" w:rsidRPr="00FA0D37">
        <w:t>,</w:t>
      </w:r>
    </w:p>
    <w:p w14:paraId="3A5D1A0C" w14:textId="775B5919" w:rsidR="00F84A8C" w:rsidRPr="00FA0D37" w:rsidRDefault="00F84A8C" w:rsidP="00FA0D37">
      <w:pPr>
        <w:pStyle w:val="PL"/>
      </w:pPr>
      <w:r w:rsidRPr="00FA0D37">
        <w:t xml:space="preserve">    [[</w:t>
      </w:r>
    </w:p>
    <w:p w14:paraId="20BD00F9" w14:textId="00DB47BA" w:rsidR="00F84A8C" w:rsidRPr="00FA0D37" w:rsidRDefault="00F84A8C" w:rsidP="00FA0D37">
      <w:pPr>
        <w:pStyle w:val="PL"/>
        <w:rPr>
          <w:color w:val="808080"/>
        </w:rPr>
      </w:pPr>
      <w:r w:rsidRPr="00FA0D37">
        <w:t xml:space="preserve">    </w:t>
      </w:r>
      <w:r w:rsidRPr="00FA0D37">
        <w:rPr>
          <w:color w:val="808080"/>
        </w:rPr>
        <w:t>--32-5a-2</w:t>
      </w:r>
    </w:p>
    <w:p w14:paraId="0DDB164B" w14:textId="6CCC35BA" w:rsidR="00F84A8C" w:rsidRPr="00FA0D37" w:rsidRDefault="00F84A8C" w:rsidP="00FA0D37">
      <w:pPr>
        <w:pStyle w:val="PL"/>
      </w:pPr>
      <w:r w:rsidRPr="00FA0D37">
        <w:t xml:space="preserve">    rx-IUC-Scheme1-PreferredMode2Sidelink-r17     </w:t>
      </w:r>
      <w:r w:rsidRPr="00FA0D37">
        <w:rPr>
          <w:color w:val="993366"/>
        </w:rPr>
        <w:t>ENUMERATED</w:t>
      </w:r>
      <w:r w:rsidRPr="00FA0D37">
        <w:t xml:space="preserve"> {supported}                           </w:t>
      </w:r>
      <w:r w:rsidRPr="00FA0D37">
        <w:rPr>
          <w:color w:val="993366"/>
        </w:rPr>
        <w:t>OPTIONAL</w:t>
      </w:r>
      <w:r w:rsidRPr="00FA0D37">
        <w:t>,</w:t>
      </w:r>
    </w:p>
    <w:p w14:paraId="28F2F9D0" w14:textId="1E7E8078" w:rsidR="00F84A8C" w:rsidRPr="00FA0D37" w:rsidRDefault="00F84A8C" w:rsidP="00FA0D37">
      <w:pPr>
        <w:pStyle w:val="PL"/>
        <w:rPr>
          <w:color w:val="808080"/>
        </w:rPr>
      </w:pPr>
      <w:r w:rsidRPr="00FA0D37">
        <w:t xml:space="preserve">    </w:t>
      </w:r>
      <w:r w:rsidRPr="00FA0D37">
        <w:rPr>
          <w:color w:val="808080"/>
        </w:rPr>
        <w:t>--32-5a-3</w:t>
      </w:r>
    </w:p>
    <w:p w14:paraId="0C666DBE" w14:textId="71361395" w:rsidR="00F84A8C" w:rsidRPr="00FA0D37" w:rsidRDefault="00F84A8C" w:rsidP="00FA0D37">
      <w:pPr>
        <w:pStyle w:val="PL"/>
      </w:pPr>
      <w:r w:rsidRPr="00FA0D37">
        <w:t xml:space="preserve">    rx-IUC-Scheme1-NonPreferredMode2Sidelink-r17  </w:t>
      </w:r>
      <w:r w:rsidRPr="00FA0D37">
        <w:rPr>
          <w:color w:val="993366"/>
        </w:rPr>
        <w:t>ENUMERATED</w:t>
      </w:r>
      <w:r w:rsidRPr="00FA0D37">
        <w:t xml:space="preserve"> {supported}                           </w:t>
      </w:r>
      <w:r w:rsidRPr="00FA0D37">
        <w:rPr>
          <w:color w:val="993366"/>
        </w:rPr>
        <w:t>OPTIONAL</w:t>
      </w:r>
      <w:r w:rsidRPr="00FA0D37">
        <w:t>,</w:t>
      </w:r>
    </w:p>
    <w:p w14:paraId="508CC8F2" w14:textId="54E11722" w:rsidR="00F84A8C" w:rsidRPr="00FA0D37" w:rsidRDefault="00F84A8C" w:rsidP="00FA0D37">
      <w:pPr>
        <w:pStyle w:val="PL"/>
        <w:rPr>
          <w:color w:val="808080"/>
        </w:rPr>
      </w:pPr>
      <w:r w:rsidRPr="00FA0D37">
        <w:t xml:space="preserve">    </w:t>
      </w:r>
      <w:r w:rsidRPr="00FA0D37">
        <w:rPr>
          <w:color w:val="808080"/>
        </w:rPr>
        <w:t>--32-5b-2</w:t>
      </w:r>
    </w:p>
    <w:p w14:paraId="4405CB39" w14:textId="0F3D74F4" w:rsidR="00F84A8C" w:rsidRPr="00FA0D37" w:rsidRDefault="00F84A8C" w:rsidP="00FA0D37">
      <w:pPr>
        <w:pStyle w:val="PL"/>
      </w:pPr>
      <w:r w:rsidRPr="00FA0D37">
        <w:t xml:space="preserve">    rx-IUC-Scheme2-Mode2Sidelink-r17               </w:t>
      </w:r>
      <w:r w:rsidRPr="00FA0D37">
        <w:rPr>
          <w:color w:val="993366"/>
        </w:rPr>
        <w:t>ENUMERATED</w:t>
      </w:r>
      <w:r w:rsidRPr="00FA0D37">
        <w:t xml:space="preserve"> {n5, n15, n25, n32, n35, n45, n50, n64} </w:t>
      </w:r>
      <w:r w:rsidRPr="00FA0D37">
        <w:rPr>
          <w:color w:val="993366"/>
        </w:rPr>
        <w:t>OPTIONAL</w:t>
      </w:r>
      <w:r w:rsidRPr="00FA0D37">
        <w:t>,</w:t>
      </w:r>
    </w:p>
    <w:p w14:paraId="2D522559" w14:textId="5AA23164" w:rsidR="00F84A8C" w:rsidRPr="00FA0D37" w:rsidRDefault="00F84A8C" w:rsidP="00FA0D37">
      <w:pPr>
        <w:pStyle w:val="PL"/>
        <w:rPr>
          <w:color w:val="808080"/>
        </w:rPr>
      </w:pPr>
      <w:r w:rsidRPr="00FA0D37">
        <w:t xml:space="preserve">    </w:t>
      </w:r>
      <w:r w:rsidRPr="00FA0D37">
        <w:rPr>
          <w:color w:val="808080"/>
        </w:rPr>
        <w:t>--32-6-1</w:t>
      </w:r>
    </w:p>
    <w:p w14:paraId="436F806D" w14:textId="315171C6" w:rsidR="00F84A8C" w:rsidRPr="00FA0D37" w:rsidRDefault="00F84A8C" w:rsidP="00FA0D37">
      <w:pPr>
        <w:pStyle w:val="PL"/>
      </w:pPr>
      <w:r w:rsidRPr="00FA0D37">
        <w:t xml:space="preserve">    rx-IUC-Scheme1-SCI-r17                         </w:t>
      </w:r>
      <w:r w:rsidRPr="00FA0D37">
        <w:rPr>
          <w:color w:val="993366"/>
        </w:rPr>
        <w:t>ENUMERATED</w:t>
      </w:r>
      <w:r w:rsidRPr="00FA0D37">
        <w:t xml:space="preserve"> {supported}                           </w:t>
      </w:r>
      <w:r w:rsidRPr="00FA0D37">
        <w:rPr>
          <w:color w:val="993366"/>
        </w:rPr>
        <w:t>OPTIONAL</w:t>
      </w:r>
      <w:r w:rsidRPr="00FA0D37">
        <w:t>,</w:t>
      </w:r>
    </w:p>
    <w:p w14:paraId="279EBF2C" w14:textId="0E342661" w:rsidR="00F84A8C" w:rsidRPr="00FA0D37" w:rsidRDefault="00F84A8C" w:rsidP="00FA0D37">
      <w:pPr>
        <w:pStyle w:val="PL"/>
        <w:rPr>
          <w:color w:val="808080"/>
        </w:rPr>
      </w:pPr>
      <w:r w:rsidRPr="00FA0D37">
        <w:t xml:space="preserve">    </w:t>
      </w:r>
      <w:r w:rsidRPr="00FA0D37">
        <w:rPr>
          <w:color w:val="808080"/>
        </w:rPr>
        <w:t>--32-6-2</w:t>
      </w:r>
    </w:p>
    <w:p w14:paraId="1018D234" w14:textId="705AB103" w:rsidR="00F84A8C" w:rsidRPr="00FA0D37" w:rsidRDefault="00F84A8C" w:rsidP="00FA0D37">
      <w:pPr>
        <w:pStyle w:val="PL"/>
      </w:pPr>
      <w:r w:rsidRPr="00FA0D37">
        <w:t xml:space="preserve">    rx-IUC-Scheme1-SCI-ExplicitReq-r17             </w:t>
      </w:r>
      <w:r w:rsidRPr="00FA0D37">
        <w:rPr>
          <w:color w:val="993366"/>
        </w:rPr>
        <w:t>ENUMERATED</w:t>
      </w:r>
      <w:r w:rsidRPr="00FA0D37">
        <w:t xml:space="preserve"> {supported}                           </w:t>
      </w:r>
      <w:r w:rsidRPr="00FA0D37">
        <w:rPr>
          <w:color w:val="993366"/>
        </w:rPr>
        <w:t>OPTIONAL</w:t>
      </w:r>
      <w:r w:rsidRPr="00FA0D37">
        <w:t>,</w:t>
      </w:r>
    </w:p>
    <w:p w14:paraId="2344D8DA" w14:textId="07CDEE68" w:rsidR="00F84A8C" w:rsidRPr="00FA0D37" w:rsidRDefault="00F84A8C" w:rsidP="00FA0D37">
      <w:pPr>
        <w:pStyle w:val="PL"/>
        <w:rPr>
          <w:color w:val="808080"/>
        </w:rPr>
      </w:pPr>
      <w:r w:rsidRPr="00FA0D37">
        <w:t xml:space="preserve">    </w:t>
      </w:r>
      <w:r w:rsidRPr="00FA0D37">
        <w:rPr>
          <w:color w:val="808080"/>
        </w:rPr>
        <w:t>--32-7</w:t>
      </w:r>
    </w:p>
    <w:p w14:paraId="233FF35F" w14:textId="2978C8C9" w:rsidR="00F84A8C" w:rsidRPr="00FA0D37" w:rsidRDefault="00F84A8C" w:rsidP="00FA0D37">
      <w:pPr>
        <w:pStyle w:val="PL"/>
      </w:pPr>
      <w:r w:rsidRPr="00FA0D37">
        <w:t xml:space="preserve">    scheme2-ConflictDeterminationRSRP-r17          </w:t>
      </w:r>
      <w:r w:rsidRPr="00FA0D37">
        <w:rPr>
          <w:color w:val="993366"/>
        </w:rPr>
        <w:t>ENUMERATED</w:t>
      </w:r>
      <w:r w:rsidRPr="00FA0D37">
        <w:t xml:space="preserve"> {supported}                           </w:t>
      </w:r>
      <w:r w:rsidRPr="00FA0D37">
        <w:rPr>
          <w:color w:val="993366"/>
        </w:rPr>
        <w:t>OPTIONAL</w:t>
      </w:r>
    </w:p>
    <w:p w14:paraId="28C893C6" w14:textId="2E148AAC" w:rsidR="00F84A8C" w:rsidRPr="00FA0D37" w:rsidRDefault="00F84A8C" w:rsidP="00FA0D37">
      <w:pPr>
        <w:pStyle w:val="PL"/>
      </w:pPr>
      <w:r w:rsidRPr="00FA0D37">
        <w:t xml:space="preserve">    ]]</w:t>
      </w:r>
    </w:p>
    <w:p w14:paraId="4A1B84E5" w14:textId="77777777" w:rsidR="00394471" w:rsidRPr="00FA0D37" w:rsidRDefault="00394471" w:rsidP="00FA0D37">
      <w:pPr>
        <w:pStyle w:val="PL"/>
      </w:pPr>
      <w:r w:rsidRPr="00FA0D37">
        <w:t>}</w:t>
      </w:r>
    </w:p>
    <w:p w14:paraId="1CC6319D" w14:textId="77777777" w:rsidR="00394471" w:rsidRPr="00FA0D37" w:rsidRDefault="00394471" w:rsidP="00FA0D37">
      <w:pPr>
        <w:pStyle w:val="PL"/>
      </w:pPr>
    </w:p>
    <w:p w14:paraId="7A6A2781" w14:textId="77777777" w:rsidR="00394471" w:rsidRPr="00FA0D37" w:rsidRDefault="00394471" w:rsidP="00FA0D37">
      <w:pPr>
        <w:pStyle w:val="PL"/>
        <w:rPr>
          <w:color w:val="808080"/>
        </w:rPr>
      </w:pPr>
      <w:r w:rsidRPr="00FA0D37">
        <w:rPr>
          <w:color w:val="808080"/>
        </w:rPr>
        <w:t>-- TAG-UECAPABILITYINFORMATIONSIDELINK-STOP</w:t>
      </w:r>
    </w:p>
    <w:p w14:paraId="557A670A" w14:textId="77777777" w:rsidR="00394471" w:rsidRPr="00FA0D37" w:rsidRDefault="00394471" w:rsidP="00FA0D37">
      <w:pPr>
        <w:pStyle w:val="PL"/>
        <w:rPr>
          <w:color w:val="808080"/>
        </w:rPr>
      </w:pPr>
      <w:r w:rsidRPr="00FA0D37">
        <w:rPr>
          <w:color w:val="808080"/>
        </w:rPr>
        <w:t>-- ASN1STOP</w:t>
      </w:r>
    </w:p>
    <w:p w14:paraId="53CFC91E" w14:textId="18B0CD6B" w:rsidR="00394471" w:rsidRPr="00FA0D37" w:rsidRDefault="00394471" w:rsidP="00394471">
      <w:pPr>
        <w:rPr>
          <w:rFonts w:eastAsia="MS Mincho"/>
        </w:rPr>
      </w:pPr>
    </w:p>
    <w:p w14:paraId="16F2799E" w14:textId="7F2ADD42" w:rsidR="00E81DFA" w:rsidRPr="00FA0D37" w:rsidRDefault="00E81DFA" w:rsidP="000830BB">
      <w:pPr>
        <w:pStyle w:val="4"/>
      </w:pPr>
      <w:bookmarkStart w:id="2258" w:name="_Toc146781716"/>
      <w:r w:rsidRPr="00FA0D37">
        <w:t>–</w:t>
      </w:r>
      <w:r w:rsidRPr="00FA0D37">
        <w:tab/>
      </w:r>
      <w:r w:rsidRPr="00FA0D37">
        <w:rPr>
          <w:i/>
          <w:iCs/>
        </w:rPr>
        <w:t>UuMessageTransferSidelink</w:t>
      </w:r>
      <w:bookmarkEnd w:id="2258"/>
    </w:p>
    <w:p w14:paraId="6F305DBD" w14:textId="77777777" w:rsidR="00E81DFA" w:rsidRPr="00FA0D37" w:rsidRDefault="00E81DFA" w:rsidP="00E81DFA">
      <w:r w:rsidRPr="00FA0D37">
        <w:t xml:space="preserve">The </w:t>
      </w:r>
      <w:r w:rsidRPr="00FA0D37">
        <w:rPr>
          <w:i/>
        </w:rPr>
        <w:t>UuMessageTransferSidelink</w:t>
      </w:r>
      <w:r w:rsidRPr="00FA0D37">
        <w:t xml:space="preserve"> message is used for the sidelink transfer of Paging message and System Information messages.</w:t>
      </w:r>
    </w:p>
    <w:p w14:paraId="2D891678" w14:textId="77777777" w:rsidR="00E81DFA" w:rsidRPr="00FA0D37" w:rsidRDefault="00E81DFA" w:rsidP="000830BB">
      <w:pPr>
        <w:pStyle w:val="B1"/>
      </w:pPr>
      <w:r w:rsidRPr="00FA0D37">
        <w:t xml:space="preserve">Signalling radio bearer: </w:t>
      </w:r>
      <w:r w:rsidRPr="00FA0D37">
        <w:rPr>
          <w:rFonts w:eastAsia="等线"/>
          <w:lang w:eastAsia="zh-CN"/>
        </w:rPr>
        <w:t>SL-SRB3</w:t>
      </w:r>
    </w:p>
    <w:p w14:paraId="7F2FC857" w14:textId="77777777" w:rsidR="00E81DFA" w:rsidRPr="00FA0D37" w:rsidRDefault="00E81DFA" w:rsidP="000830BB">
      <w:pPr>
        <w:pStyle w:val="B1"/>
      </w:pPr>
      <w:r w:rsidRPr="00FA0D37">
        <w:t>RLC-SAP: AM</w:t>
      </w:r>
    </w:p>
    <w:p w14:paraId="6725AE22" w14:textId="77777777" w:rsidR="00E81DFA" w:rsidRPr="00FA0D37" w:rsidRDefault="00E81DFA" w:rsidP="000830BB">
      <w:pPr>
        <w:pStyle w:val="B1"/>
      </w:pPr>
      <w:r w:rsidRPr="00FA0D37">
        <w:t>Logical channel: SCCH</w:t>
      </w:r>
    </w:p>
    <w:p w14:paraId="2B964A5C" w14:textId="77777777" w:rsidR="00E81DFA" w:rsidRPr="00FA0D37" w:rsidRDefault="00E81DFA" w:rsidP="000830BB">
      <w:pPr>
        <w:pStyle w:val="B1"/>
      </w:pPr>
      <w:r w:rsidRPr="00FA0D37">
        <w:t>Direction: L2 U2N Relay UE to L2 U2N Remote UE</w:t>
      </w:r>
    </w:p>
    <w:p w14:paraId="3FAF7680" w14:textId="77777777" w:rsidR="00E81DFA" w:rsidRPr="00FA0D37" w:rsidRDefault="00E81DFA" w:rsidP="000830BB">
      <w:pPr>
        <w:pStyle w:val="TH"/>
      </w:pPr>
      <w:r w:rsidRPr="00FA0D37">
        <w:rPr>
          <w:i/>
          <w:iCs/>
        </w:rPr>
        <w:t>UuMessageTransferSidelink</w:t>
      </w:r>
      <w:r w:rsidRPr="00FA0D37">
        <w:t xml:space="preserve"> message</w:t>
      </w:r>
    </w:p>
    <w:p w14:paraId="327AB197" w14:textId="77777777" w:rsidR="00E81DFA" w:rsidRPr="00FA0D37" w:rsidRDefault="00E81DFA" w:rsidP="00FA0D37">
      <w:pPr>
        <w:pStyle w:val="PL"/>
        <w:rPr>
          <w:color w:val="808080"/>
        </w:rPr>
      </w:pPr>
      <w:r w:rsidRPr="00FA0D37">
        <w:rPr>
          <w:color w:val="808080"/>
        </w:rPr>
        <w:t>-- ASN1START</w:t>
      </w:r>
    </w:p>
    <w:p w14:paraId="7D4236E9" w14:textId="77777777" w:rsidR="00E81DFA" w:rsidRPr="00FA0D37" w:rsidRDefault="00E81DFA" w:rsidP="00FA0D37">
      <w:pPr>
        <w:pStyle w:val="PL"/>
        <w:rPr>
          <w:color w:val="808080"/>
        </w:rPr>
      </w:pPr>
      <w:r w:rsidRPr="00FA0D37">
        <w:rPr>
          <w:color w:val="808080"/>
        </w:rPr>
        <w:t>-- TAG-UUMESSAGETRANSFERSIDELINK-START</w:t>
      </w:r>
    </w:p>
    <w:p w14:paraId="70418DDD" w14:textId="77777777" w:rsidR="00E81DFA" w:rsidRPr="00FA0D37" w:rsidRDefault="00E81DFA" w:rsidP="00FA0D37">
      <w:pPr>
        <w:pStyle w:val="PL"/>
      </w:pPr>
    </w:p>
    <w:p w14:paraId="1DEC55FE" w14:textId="77777777" w:rsidR="00E81DFA" w:rsidRPr="00FA0D37" w:rsidRDefault="00E81DFA" w:rsidP="00FA0D37">
      <w:pPr>
        <w:pStyle w:val="PL"/>
      </w:pPr>
      <w:r w:rsidRPr="00FA0D37">
        <w:t xml:space="preserve">UuMessageTransferSidelink-r17 ::=           </w:t>
      </w:r>
      <w:r w:rsidRPr="00FA0D37">
        <w:rPr>
          <w:color w:val="993366"/>
        </w:rPr>
        <w:t>SEQUENCE</w:t>
      </w:r>
      <w:r w:rsidRPr="00FA0D37">
        <w:t xml:space="preserve"> {</w:t>
      </w:r>
    </w:p>
    <w:p w14:paraId="0EABAABF" w14:textId="0A3A0839" w:rsidR="00E81DFA" w:rsidRPr="00FA0D37" w:rsidRDefault="00E81DFA" w:rsidP="00FA0D37">
      <w:pPr>
        <w:pStyle w:val="PL"/>
      </w:pPr>
      <w:r w:rsidRPr="00FA0D37">
        <w:t xml:space="preserve">    criticalExtensions                          </w:t>
      </w:r>
      <w:r w:rsidRPr="00FA0D37">
        <w:rPr>
          <w:color w:val="993366"/>
        </w:rPr>
        <w:t>CHOICE</w:t>
      </w:r>
      <w:r w:rsidRPr="00FA0D37">
        <w:t xml:space="preserve"> {</w:t>
      </w:r>
    </w:p>
    <w:p w14:paraId="6AC22113" w14:textId="444CE453" w:rsidR="00E81DFA" w:rsidRPr="00FA0D37" w:rsidRDefault="00E81DFA" w:rsidP="00FA0D37">
      <w:pPr>
        <w:pStyle w:val="PL"/>
      </w:pPr>
      <w:r w:rsidRPr="00FA0D37">
        <w:t xml:space="preserve">        uuMessageTransferSidelink-r17               UuMessageTransferSidelink-r17-IEs,</w:t>
      </w:r>
    </w:p>
    <w:p w14:paraId="347BBEE1" w14:textId="32DEB8B2" w:rsidR="00E81DFA" w:rsidRPr="00FA0D37" w:rsidRDefault="00E81DFA" w:rsidP="00FA0D37">
      <w:pPr>
        <w:pStyle w:val="PL"/>
      </w:pPr>
      <w:r w:rsidRPr="00FA0D37">
        <w:t xml:space="preserve">        criticalExtensionsFuture                    </w:t>
      </w:r>
      <w:r w:rsidRPr="00FA0D37">
        <w:rPr>
          <w:color w:val="993366"/>
        </w:rPr>
        <w:t>SEQUENCE</w:t>
      </w:r>
      <w:r w:rsidRPr="00FA0D37">
        <w:t xml:space="preserve"> {}</w:t>
      </w:r>
    </w:p>
    <w:p w14:paraId="0A568393" w14:textId="77777777" w:rsidR="00E81DFA" w:rsidRPr="00FA0D37" w:rsidRDefault="00E81DFA" w:rsidP="00FA0D37">
      <w:pPr>
        <w:pStyle w:val="PL"/>
      </w:pPr>
      <w:r w:rsidRPr="00FA0D37">
        <w:t xml:space="preserve">    }</w:t>
      </w:r>
    </w:p>
    <w:p w14:paraId="34025CF8" w14:textId="77777777" w:rsidR="00E81DFA" w:rsidRPr="00FA0D37" w:rsidRDefault="00E81DFA" w:rsidP="00FA0D37">
      <w:pPr>
        <w:pStyle w:val="PL"/>
      </w:pPr>
      <w:r w:rsidRPr="00FA0D37">
        <w:t>}</w:t>
      </w:r>
    </w:p>
    <w:p w14:paraId="59B56345" w14:textId="77777777" w:rsidR="00E81DFA" w:rsidRPr="00FA0D37" w:rsidRDefault="00E81DFA" w:rsidP="00FA0D37">
      <w:pPr>
        <w:pStyle w:val="PL"/>
      </w:pPr>
    </w:p>
    <w:p w14:paraId="1EAE2B5B" w14:textId="77777777" w:rsidR="00E81DFA" w:rsidRPr="00FA0D37" w:rsidRDefault="00E81DFA" w:rsidP="00FA0D37">
      <w:pPr>
        <w:pStyle w:val="PL"/>
      </w:pPr>
      <w:r w:rsidRPr="00FA0D37">
        <w:t xml:space="preserve">UuMessageTransferSidelink-r17-IEs ::=       </w:t>
      </w:r>
      <w:r w:rsidRPr="00FA0D37">
        <w:rPr>
          <w:color w:val="993366"/>
        </w:rPr>
        <w:t>SEQUENCE</w:t>
      </w:r>
      <w:r w:rsidRPr="00FA0D37">
        <w:t xml:space="preserve"> {</w:t>
      </w:r>
    </w:p>
    <w:p w14:paraId="1AC1FB02" w14:textId="55AF33DC" w:rsidR="00E81DFA" w:rsidRPr="00FA0D37" w:rsidRDefault="00E81DFA" w:rsidP="00FA0D37">
      <w:pPr>
        <w:pStyle w:val="PL"/>
        <w:rPr>
          <w:color w:val="808080"/>
        </w:rPr>
      </w:pPr>
      <w:r w:rsidRPr="00FA0D37">
        <w:t xml:space="preserve">    sl-PagingDelivery-r17                       </w:t>
      </w:r>
      <w:r w:rsidRPr="00FA0D37">
        <w:rPr>
          <w:color w:val="993366"/>
        </w:rPr>
        <w:t>OCTET</w:t>
      </w:r>
      <w:r w:rsidRPr="00FA0D37">
        <w:t xml:space="preserve"> </w:t>
      </w:r>
      <w:r w:rsidRPr="00FA0D37">
        <w:rPr>
          <w:color w:val="993366"/>
        </w:rPr>
        <w:t>STRING</w:t>
      </w:r>
      <w:r w:rsidRPr="00FA0D37">
        <w:t xml:space="preserve"> (CONTAINING PagingRecord)                   </w:t>
      </w:r>
      <w:r w:rsidRPr="00FA0D37">
        <w:rPr>
          <w:color w:val="993366"/>
        </w:rPr>
        <w:t>OPTIONAL</w:t>
      </w:r>
      <w:r w:rsidRPr="00FA0D37">
        <w:t xml:space="preserve">,   </w:t>
      </w:r>
      <w:r w:rsidRPr="00FA0D37">
        <w:rPr>
          <w:color w:val="808080"/>
        </w:rPr>
        <w:t>-- Need N</w:t>
      </w:r>
    </w:p>
    <w:p w14:paraId="1EC73101" w14:textId="0FF571AB" w:rsidR="00E81DFA" w:rsidRPr="00FA0D37" w:rsidRDefault="00E81DFA" w:rsidP="00FA0D37">
      <w:pPr>
        <w:pStyle w:val="PL"/>
        <w:rPr>
          <w:color w:val="808080"/>
        </w:rPr>
      </w:pPr>
      <w:r w:rsidRPr="00FA0D37">
        <w:t xml:space="preserve">    sl-SIB1-Delivery-r17                        </w:t>
      </w:r>
      <w:r w:rsidRPr="00FA0D37">
        <w:rPr>
          <w:color w:val="993366"/>
        </w:rPr>
        <w:t>OCTET</w:t>
      </w:r>
      <w:r w:rsidRPr="00FA0D37">
        <w:t xml:space="preserve"> </w:t>
      </w:r>
      <w:r w:rsidRPr="00FA0D37">
        <w:rPr>
          <w:color w:val="993366"/>
        </w:rPr>
        <w:t>STRING</w:t>
      </w:r>
      <w:r w:rsidRPr="00FA0D37">
        <w:t xml:space="preserve"> (CONTAINING SIB1)                           </w:t>
      </w:r>
      <w:r w:rsidRPr="00FA0D37">
        <w:rPr>
          <w:color w:val="993366"/>
        </w:rPr>
        <w:t>OPTIONAL</w:t>
      </w:r>
      <w:r w:rsidRPr="00FA0D37">
        <w:t xml:space="preserve">,   </w:t>
      </w:r>
      <w:r w:rsidRPr="00FA0D37">
        <w:rPr>
          <w:color w:val="808080"/>
        </w:rPr>
        <w:t>-- Need N</w:t>
      </w:r>
    </w:p>
    <w:p w14:paraId="5AAFAC75" w14:textId="4C5DBFE1" w:rsidR="00E81DFA" w:rsidRPr="00FA0D37" w:rsidRDefault="00E81DFA" w:rsidP="00FA0D37">
      <w:pPr>
        <w:pStyle w:val="PL"/>
        <w:rPr>
          <w:color w:val="808080"/>
        </w:rPr>
      </w:pPr>
      <w:r w:rsidRPr="00FA0D37">
        <w:t xml:space="preserve">    sl-SystemInformationDelivery-r17            </w:t>
      </w:r>
      <w:r w:rsidRPr="00FA0D37">
        <w:rPr>
          <w:color w:val="993366"/>
        </w:rPr>
        <w:t>OCTET</w:t>
      </w:r>
      <w:r w:rsidRPr="00FA0D37">
        <w:t xml:space="preserve"> </w:t>
      </w:r>
      <w:r w:rsidRPr="00FA0D37">
        <w:rPr>
          <w:color w:val="993366"/>
        </w:rPr>
        <w:t>STRING</w:t>
      </w:r>
      <w:r w:rsidRPr="00FA0D37">
        <w:t xml:space="preserve"> (CONTAINING SystemInformation)              </w:t>
      </w:r>
      <w:r w:rsidRPr="00FA0D37">
        <w:rPr>
          <w:color w:val="993366"/>
        </w:rPr>
        <w:t>OPTIONAL</w:t>
      </w:r>
      <w:r w:rsidRPr="00FA0D37">
        <w:t xml:space="preserve">,   </w:t>
      </w:r>
      <w:r w:rsidRPr="00FA0D37">
        <w:rPr>
          <w:color w:val="808080"/>
        </w:rPr>
        <w:t>-- Need N</w:t>
      </w:r>
    </w:p>
    <w:p w14:paraId="2077EE15" w14:textId="328B62AF" w:rsidR="00E81DFA" w:rsidRPr="00FA0D37" w:rsidRDefault="00E81DFA" w:rsidP="00FA0D37">
      <w:pPr>
        <w:pStyle w:val="PL"/>
      </w:pPr>
      <w:r w:rsidRPr="00FA0D37">
        <w:t xml:space="preserve">    lateNonCriticalExtension                    </w:t>
      </w:r>
      <w:r w:rsidRPr="00FA0D37">
        <w:rPr>
          <w:color w:val="993366"/>
        </w:rPr>
        <w:t>OCTET</w:t>
      </w:r>
      <w:r w:rsidRPr="00FA0D37">
        <w:t xml:space="preserve"> </w:t>
      </w:r>
      <w:r w:rsidRPr="00FA0D37">
        <w:rPr>
          <w:color w:val="993366"/>
        </w:rPr>
        <w:t>STRING</w:t>
      </w:r>
      <w:r w:rsidRPr="00FA0D37">
        <w:t xml:space="preserve">                                             </w:t>
      </w:r>
      <w:r w:rsidRPr="00FA0D37">
        <w:rPr>
          <w:color w:val="993366"/>
        </w:rPr>
        <w:t>OPTIONAL</w:t>
      </w:r>
      <w:r w:rsidRPr="00FA0D37">
        <w:t>,</w:t>
      </w:r>
    </w:p>
    <w:p w14:paraId="33F54C7C" w14:textId="3C47C71A" w:rsidR="00E81DFA" w:rsidRPr="00FA0D37" w:rsidRDefault="00E81DFA" w:rsidP="00FA0D37">
      <w:pPr>
        <w:pStyle w:val="PL"/>
      </w:pPr>
      <w:r w:rsidRPr="00FA0D37">
        <w:t xml:space="preserve">    nonCriticalExtension                        </w:t>
      </w:r>
      <w:r w:rsidRPr="00FA0D37">
        <w:rPr>
          <w:color w:val="993366"/>
        </w:rPr>
        <w:t>SEQUENCE</w:t>
      </w:r>
      <w:r w:rsidRPr="00FA0D37">
        <w:t xml:space="preserve"> {}                                              </w:t>
      </w:r>
      <w:r w:rsidRPr="00FA0D37">
        <w:rPr>
          <w:color w:val="993366"/>
        </w:rPr>
        <w:t>OPTIONAL</w:t>
      </w:r>
    </w:p>
    <w:p w14:paraId="6483F501" w14:textId="77777777" w:rsidR="00E81DFA" w:rsidRPr="00FA0D37" w:rsidRDefault="00E81DFA" w:rsidP="00FA0D37">
      <w:pPr>
        <w:pStyle w:val="PL"/>
      </w:pPr>
      <w:r w:rsidRPr="00FA0D37">
        <w:t>}</w:t>
      </w:r>
    </w:p>
    <w:p w14:paraId="355B1DE7" w14:textId="77777777" w:rsidR="00E81DFA" w:rsidRPr="00FA0D37" w:rsidRDefault="00E81DFA" w:rsidP="00FA0D37">
      <w:pPr>
        <w:pStyle w:val="PL"/>
      </w:pPr>
    </w:p>
    <w:p w14:paraId="56ECDF46" w14:textId="77777777" w:rsidR="00E81DFA" w:rsidRPr="00FA0D37" w:rsidRDefault="00E81DFA" w:rsidP="00FA0D37">
      <w:pPr>
        <w:pStyle w:val="PL"/>
        <w:rPr>
          <w:color w:val="808080"/>
        </w:rPr>
      </w:pPr>
      <w:r w:rsidRPr="00FA0D37">
        <w:rPr>
          <w:color w:val="808080"/>
        </w:rPr>
        <w:t>-- TAG-UUMESSAGETRANSFERSIDELINK-STOP</w:t>
      </w:r>
    </w:p>
    <w:p w14:paraId="38C52117" w14:textId="4F504ED3" w:rsidR="00E81DFA" w:rsidRPr="00FA0D37" w:rsidRDefault="00E81DFA" w:rsidP="00FA0D37">
      <w:pPr>
        <w:pStyle w:val="PL"/>
        <w:rPr>
          <w:color w:val="808080"/>
        </w:rPr>
      </w:pPr>
      <w:r w:rsidRPr="00FA0D37">
        <w:rPr>
          <w:color w:val="808080"/>
        </w:rPr>
        <w:t>-- ASN1STOP</w:t>
      </w:r>
    </w:p>
    <w:p w14:paraId="6B1F95C6" w14:textId="77777777" w:rsidR="00E81DFA" w:rsidRPr="00FA0D37"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7FF4" w:rsidRPr="00FA0D37" w14:paraId="6335ADB8" w14:textId="77777777" w:rsidTr="00771058">
        <w:tc>
          <w:tcPr>
            <w:tcW w:w="14173" w:type="dxa"/>
            <w:tcBorders>
              <w:top w:val="single" w:sz="4" w:space="0" w:color="auto"/>
              <w:left w:val="single" w:sz="4" w:space="0" w:color="auto"/>
              <w:bottom w:val="single" w:sz="4" w:space="0" w:color="auto"/>
              <w:right w:val="single" w:sz="4" w:space="0" w:color="auto"/>
            </w:tcBorders>
          </w:tcPr>
          <w:p w14:paraId="35C1B47B" w14:textId="77777777" w:rsidR="00E81DFA" w:rsidRPr="00FA0D37" w:rsidRDefault="00E81DFA" w:rsidP="000830BB">
            <w:pPr>
              <w:pStyle w:val="TAH"/>
              <w:rPr>
                <w:szCs w:val="22"/>
                <w:lang w:eastAsia="sv-SE"/>
              </w:rPr>
            </w:pPr>
            <w:r w:rsidRPr="00FA0D37">
              <w:rPr>
                <w:i/>
                <w:iCs/>
              </w:rPr>
              <w:t>UuMessageTransferSidelink</w:t>
            </w:r>
            <w:r w:rsidRPr="00FA0D37">
              <w:rPr>
                <w:i/>
                <w:iCs/>
                <w:szCs w:val="22"/>
                <w:lang w:eastAsia="sv-SE"/>
              </w:rPr>
              <w:t>-IEs</w:t>
            </w:r>
            <w:r w:rsidRPr="00FA0D37">
              <w:rPr>
                <w:szCs w:val="22"/>
                <w:lang w:eastAsia="sv-SE"/>
              </w:rPr>
              <w:t xml:space="preserve"> field descriptions</w:t>
            </w:r>
          </w:p>
        </w:tc>
      </w:tr>
      <w:tr w:rsidR="005C7FF4" w:rsidRPr="00FA0D37" w14:paraId="64394D76" w14:textId="77777777" w:rsidTr="00771058">
        <w:tc>
          <w:tcPr>
            <w:tcW w:w="14173" w:type="dxa"/>
            <w:tcBorders>
              <w:top w:val="single" w:sz="4" w:space="0" w:color="auto"/>
              <w:left w:val="single" w:sz="4" w:space="0" w:color="auto"/>
              <w:bottom w:val="single" w:sz="4" w:space="0" w:color="auto"/>
              <w:right w:val="single" w:sz="4" w:space="0" w:color="auto"/>
            </w:tcBorders>
          </w:tcPr>
          <w:p w14:paraId="1D566049" w14:textId="77777777" w:rsidR="00E81DFA" w:rsidRPr="00FA0D37" w:rsidRDefault="00E81DFA" w:rsidP="000830BB">
            <w:pPr>
              <w:pStyle w:val="TAL"/>
              <w:rPr>
                <w:b/>
                <w:bCs/>
                <w:i/>
                <w:iCs/>
                <w:lang w:eastAsia="en-GB"/>
              </w:rPr>
            </w:pPr>
            <w:r w:rsidRPr="00FA0D37">
              <w:rPr>
                <w:b/>
                <w:bCs/>
                <w:i/>
                <w:iCs/>
                <w:lang w:eastAsia="en-GB"/>
              </w:rPr>
              <w:t>sl-PagingDelivery</w:t>
            </w:r>
          </w:p>
          <w:p w14:paraId="15B88E57" w14:textId="77777777" w:rsidR="00E81DFA" w:rsidRPr="00FA0D37" w:rsidRDefault="00E81DFA" w:rsidP="000830BB">
            <w:pPr>
              <w:pStyle w:val="TAL"/>
              <w:rPr>
                <w:szCs w:val="22"/>
                <w:lang w:eastAsia="sv-SE"/>
              </w:rPr>
            </w:pPr>
            <w:r w:rsidRPr="00FA0D37">
              <w:rPr>
                <w:szCs w:val="22"/>
                <w:lang w:eastAsia="sv-SE"/>
              </w:rPr>
              <w:t>This field is used to transfer PagingRecord relevant to the L2 U2N Remote UE in RRC_IDLE or RRC_INACTIVE.</w:t>
            </w:r>
          </w:p>
        </w:tc>
      </w:tr>
      <w:tr w:rsidR="005C7FF4" w:rsidRPr="00FA0D37" w14:paraId="1327C3CE" w14:textId="77777777" w:rsidTr="00771058">
        <w:tc>
          <w:tcPr>
            <w:tcW w:w="14173" w:type="dxa"/>
            <w:tcBorders>
              <w:top w:val="single" w:sz="4" w:space="0" w:color="auto"/>
              <w:left w:val="single" w:sz="4" w:space="0" w:color="auto"/>
              <w:bottom w:val="single" w:sz="4" w:space="0" w:color="auto"/>
              <w:right w:val="single" w:sz="4" w:space="0" w:color="auto"/>
            </w:tcBorders>
          </w:tcPr>
          <w:p w14:paraId="055D8801" w14:textId="77777777" w:rsidR="00E81DFA" w:rsidRPr="00FA0D37" w:rsidRDefault="00E81DFA" w:rsidP="000830BB">
            <w:pPr>
              <w:pStyle w:val="TAL"/>
              <w:rPr>
                <w:b/>
                <w:bCs/>
                <w:i/>
                <w:iCs/>
                <w:lang w:eastAsia="en-GB"/>
              </w:rPr>
            </w:pPr>
            <w:r w:rsidRPr="00FA0D37">
              <w:rPr>
                <w:b/>
                <w:bCs/>
                <w:i/>
                <w:iCs/>
                <w:lang w:eastAsia="en-GB"/>
              </w:rPr>
              <w:t>sl-SIB1-Delivery</w:t>
            </w:r>
          </w:p>
          <w:p w14:paraId="7037438F" w14:textId="77777777" w:rsidR="00E81DFA" w:rsidRPr="00FA0D37" w:rsidRDefault="00E81DFA" w:rsidP="000830BB">
            <w:pPr>
              <w:pStyle w:val="TAL"/>
              <w:rPr>
                <w:lang w:eastAsia="en-GB"/>
              </w:rPr>
            </w:pPr>
            <w:r w:rsidRPr="00FA0D37">
              <w:rPr>
                <w:lang w:eastAsia="en-GB"/>
              </w:rPr>
              <w:t xml:space="preserve">This field is used to transfer </w:t>
            </w:r>
            <w:r w:rsidRPr="00FA0D37">
              <w:rPr>
                <w:lang w:eastAsia="sv-SE"/>
              </w:rPr>
              <w:t>SIB1</w:t>
            </w:r>
            <w:r w:rsidRPr="00FA0D37">
              <w:rPr>
                <w:lang w:eastAsia="en-GB"/>
              </w:rPr>
              <w:t xml:space="preserve"> to </w:t>
            </w:r>
            <w:r w:rsidRPr="00FA0D37">
              <w:rPr>
                <w:szCs w:val="22"/>
                <w:lang w:eastAsia="sv-SE"/>
              </w:rPr>
              <w:t>the L2 U2N Remote UE in RRC_IDLE or RRC_INACTIVE</w:t>
            </w:r>
            <w:r w:rsidRPr="00FA0D37">
              <w:rPr>
                <w:lang w:eastAsia="en-GB"/>
              </w:rPr>
              <w:t>.</w:t>
            </w:r>
          </w:p>
        </w:tc>
      </w:tr>
      <w:tr w:rsidR="000830BB" w:rsidRPr="00FA0D37" w14:paraId="4E08539A" w14:textId="77777777" w:rsidTr="00771058">
        <w:tc>
          <w:tcPr>
            <w:tcW w:w="14173" w:type="dxa"/>
            <w:tcBorders>
              <w:top w:val="single" w:sz="4" w:space="0" w:color="auto"/>
              <w:left w:val="single" w:sz="4" w:space="0" w:color="auto"/>
              <w:bottom w:val="single" w:sz="4" w:space="0" w:color="auto"/>
              <w:right w:val="single" w:sz="4" w:space="0" w:color="auto"/>
            </w:tcBorders>
          </w:tcPr>
          <w:p w14:paraId="778F7D3D" w14:textId="77777777" w:rsidR="00E81DFA" w:rsidRPr="00FA0D37" w:rsidRDefault="00E81DFA" w:rsidP="000830BB">
            <w:pPr>
              <w:pStyle w:val="TAL"/>
              <w:rPr>
                <w:b/>
                <w:bCs/>
                <w:i/>
                <w:iCs/>
                <w:lang w:eastAsia="en-GB"/>
              </w:rPr>
            </w:pPr>
            <w:r w:rsidRPr="00FA0D37">
              <w:rPr>
                <w:b/>
                <w:bCs/>
                <w:i/>
                <w:iCs/>
                <w:lang w:eastAsia="en-GB"/>
              </w:rPr>
              <w:t>sl-SystemInformationDelivery</w:t>
            </w:r>
          </w:p>
          <w:p w14:paraId="56C49155" w14:textId="77777777" w:rsidR="00E81DFA" w:rsidRPr="00FA0D37" w:rsidRDefault="00E81DFA" w:rsidP="000830BB">
            <w:pPr>
              <w:pStyle w:val="TAL"/>
              <w:rPr>
                <w:lang w:eastAsia="en-GB"/>
              </w:rPr>
            </w:pPr>
            <w:r w:rsidRPr="00FA0D37">
              <w:rPr>
                <w:lang w:eastAsia="en-GB"/>
              </w:rPr>
              <w:t xml:space="preserve">This field is used to transfer </w:t>
            </w:r>
            <w:r w:rsidRPr="00FA0D37">
              <w:rPr>
                <w:lang w:eastAsia="sv-SE"/>
              </w:rPr>
              <w:t>SIBs</w:t>
            </w:r>
            <w:r w:rsidRPr="00FA0D37">
              <w:rPr>
                <w:lang w:eastAsia="en-GB"/>
              </w:rPr>
              <w:t xml:space="preserve"> to </w:t>
            </w:r>
            <w:r w:rsidRPr="00FA0D37">
              <w:rPr>
                <w:szCs w:val="22"/>
                <w:lang w:eastAsia="sv-SE"/>
              </w:rPr>
              <w:t>the L2 U2N Remote UE in RRC_IDLE or RRC_INACTIVE</w:t>
            </w:r>
            <w:r w:rsidRPr="00FA0D37">
              <w:rPr>
                <w:lang w:eastAsia="en-GB"/>
              </w:rPr>
              <w:t>.</w:t>
            </w:r>
          </w:p>
        </w:tc>
      </w:tr>
    </w:tbl>
    <w:p w14:paraId="51C53E43" w14:textId="77777777" w:rsidR="00E81DFA" w:rsidRPr="00FA0D37" w:rsidRDefault="00E81DFA" w:rsidP="00394471">
      <w:pPr>
        <w:rPr>
          <w:rFonts w:eastAsia="MS Mincho"/>
        </w:rPr>
      </w:pPr>
    </w:p>
    <w:p w14:paraId="65635F9C" w14:textId="1DF3508F" w:rsidR="00394471" w:rsidRPr="00FA0D37" w:rsidRDefault="00394471" w:rsidP="00394471">
      <w:pPr>
        <w:pStyle w:val="4"/>
      </w:pPr>
      <w:bookmarkStart w:id="2259" w:name="_Toc60777574"/>
      <w:bookmarkStart w:id="2260" w:name="_Toc146781717"/>
      <w:r w:rsidRPr="00FA0D37">
        <w:t>–</w:t>
      </w:r>
      <w:r w:rsidRPr="00FA0D37">
        <w:tab/>
      </w:r>
      <w:r w:rsidRPr="00FA0D37">
        <w:rPr>
          <w:i/>
          <w:iCs/>
        </w:rPr>
        <w:t xml:space="preserve">End of </w:t>
      </w:r>
      <w:r w:rsidRPr="00FA0D37">
        <w:rPr>
          <w:i/>
          <w:iCs/>
          <w:noProof/>
        </w:rPr>
        <w:t>PC5-RRC-Definitions</w:t>
      </w:r>
      <w:bookmarkEnd w:id="2259"/>
      <w:bookmarkEnd w:id="2260"/>
    </w:p>
    <w:p w14:paraId="3057CA1A" w14:textId="77777777" w:rsidR="00394471" w:rsidRPr="00FA0D37" w:rsidRDefault="00394471" w:rsidP="00FA0D37">
      <w:pPr>
        <w:pStyle w:val="PL"/>
        <w:rPr>
          <w:color w:val="808080"/>
        </w:rPr>
      </w:pPr>
      <w:r w:rsidRPr="00FA0D37">
        <w:rPr>
          <w:color w:val="808080"/>
        </w:rPr>
        <w:t>-- ASN1START</w:t>
      </w:r>
    </w:p>
    <w:p w14:paraId="32F10689" w14:textId="77777777" w:rsidR="00394471" w:rsidRPr="00FA0D37" w:rsidRDefault="00394471" w:rsidP="00FA0D37">
      <w:pPr>
        <w:pStyle w:val="PL"/>
      </w:pPr>
    </w:p>
    <w:p w14:paraId="63948D5C" w14:textId="77777777" w:rsidR="00394471" w:rsidRPr="00FA0D37" w:rsidRDefault="00394471" w:rsidP="00FA0D37">
      <w:pPr>
        <w:pStyle w:val="PL"/>
      </w:pPr>
      <w:r w:rsidRPr="00FA0D37">
        <w:t>END</w:t>
      </w:r>
    </w:p>
    <w:p w14:paraId="54FFE939" w14:textId="77777777" w:rsidR="00394471" w:rsidRPr="00FA0D37" w:rsidRDefault="00394471" w:rsidP="00FA0D37">
      <w:pPr>
        <w:pStyle w:val="PL"/>
      </w:pPr>
    </w:p>
    <w:p w14:paraId="78A311A3" w14:textId="77777777" w:rsidR="00394471" w:rsidRPr="00FA0D37" w:rsidRDefault="00394471" w:rsidP="00FA0D37">
      <w:pPr>
        <w:pStyle w:val="PL"/>
        <w:rPr>
          <w:color w:val="808080"/>
        </w:rPr>
      </w:pPr>
      <w:r w:rsidRPr="00FA0D37">
        <w:rPr>
          <w:color w:val="808080"/>
        </w:rPr>
        <w:t>-- ASN1STOP</w:t>
      </w:r>
    </w:p>
    <w:bookmarkEnd w:id="0"/>
    <w:bookmarkEnd w:id="1"/>
    <w:bookmarkEnd w:id="2"/>
    <w:bookmarkEnd w:id="3"/>
    <w:bookmarkEnd w:id="4"/>
    <w:bookmarkEnd w:id="5"/>
    <w:bookmarkEnd w:id="6"/>
    <w:bookmarkEnd w:id="7"/>
    <w:bookmarkEnd w:id="8"/>
    <w:bookmarkEnd w:id="9"/>
    <w:bookmarkEnd w:id="10"/>
    <w:bookmarkEnd w:id="11"/>
    <w:p w14:paraId="22E88391" w14:textId="718E0E2A" w:rsidR="00394471" w:rsidRDefault="00394471" w:rsidP="00394471">
      <w:pPr>
        <w:rPr>
          <w:rFonts w:eastAsiaTheme="minorEastAsia"/>
        </w:rPr>
      </w:pPr>
    </w:p>
    <w:p w14:paraId="71C2661A" w14:textId="4F31757C" w:rsidR="00096478" w:rsidRPr="00096478" w:rsidRDefault="00096478" w:rsidP="00096478">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lang w:eastAsia="en-US"/>
        </w:rPr>
      </w:pPr>
      <w:r w:rsidRPr="00096478">
        <w:rPr>
          <w:rFonts w:eastAsia="Malgun Gothic"/>
          <w:i/>
        </w:rPr>
        <w:t>E</w:t>
      </w:r>
      <w:r w:rsidRPr="00096478">
        <w:rPr>
          <w:rFonts w:eastAsia="等线"/>
          <w:i/>
          <w:lang w:eastAsia="zh-CN"/>
        </w:rPr>
        <w:t>nd</w:t>
      </w:r>
      <w:r w:rsidRPr="00096478">
        <w:rPr>
          <w:rFonts w:eastAsia="Malgun Gothic"/>
          <w:i/>
        </w:rPr>
        <w:t xml:space="preserve"> of Change</w:t>
      </w:r>
      <w:r w:rsidRPr="00096478">
        <w:rPr>
          <w:rFonts w:eastAsia="MS Mincho"/>
        </w:rPr>
        <w:t>s</w:t>
      </w:r>
    </w:p>
    <w:sectPr w:rsidR="00096478" w:rsidRPr="00096478" w:rsidSect="00CD007B">
      <w:headerReference w:type="default" r:id="rId31"/>
      <w:footerReference w:type="default" r:id="rId32"/>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1C674A" w14:textId="77777777" w:rsidR="00622B93" w:rsidRPr="007B4B4C" w:rsidRDefault="00622B93">
      <w:pPr>
        <w:spacing w:after="0"/>
      </w:pPr>
      <w:r w:rsidRPr="007B4B4C">
        <w:separator/>
      </w:r>
    </w:p>
  </w:endnote>
  <w:endnote w:type="continuationSeparator" w:id="0">
    <w:p w14:paraId="4BB83883" w14:textId="77777777" w:rsidR="00622B93" w:rsidRPr="007B4B4C" w:rsidRDefault="00622B93">
      <w:pPr>
        <w:spacing w:after="0"/>
      </w:pPr>
      <w:r w:rsidRPr="007B4B4C">
        <w:continuationSeparator/>
      </w:r>
    </w:p>
  </w:endnote>
  <w:endnote w:type="continuationNotice" w:id="1">
    <w:p w14:paraId="06BA6288" w14:textId="77777777" w:rsidR="00622B93" w:rsidRPr="007B4B4C" w:rsidRDefault="00622B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 w:name="DotumChe">
    <w:altName w:val="Malgun Gothic"/>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Gulim">
    <w:altName w:val="Malgun Gothic"/>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2523A1" w:rsidRPr="007B4B4C" w:rsidRDefault="002523A1">
    <w:pPr>
      <w:pStyle w:val="a5"/>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59E62D" w14:textId="77777777" w:rsidR="00622B93" w:rsidRPr="007B4B4C" w:rsidRDefault="00622B93">
      <w:pPr>
        <w:spacing w:after="0"/>
      </w:pPr>
      <w:r w:rsidRPr="007B4B4C">
        <w:separator/>
      </w:r>
    </w:p>
  </w:footnote>
  <w:footnote w:type="continuationSeparator" w:id="0">
    <w:p w14:paraId="2072BFBB" w14:textId="77777777" w:rsidR="00622B93" w:rsidRPr="007B4B4C" w:rsidRDefault="00622B93">
      <w:pPr>
        <w:spacing w:after="0"/>
      </w:pPr>
      <w:r w:rsidRPr="007B4B4C">
        <w:continuationSeparator/>
      </w:r>
    </w:p>
  </w:footnote>
  <w:footnote w:type="continuationNotice" w:id="1">
    <w:p w14:paraId="37AF2BDA" w14:textId="77777777" w:rsidR="00622B93" w:rsidRPr="007B4B4C" w:rsidRDefault="00622B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4B18C" w14:textId="77777777" w:rsidR="002523A1" w:rsidRPr="007B4B4C" w:rsidRDefault="002523A1" w:rsidP="00255542">
    <w:r w:rsidRPr="007B4B4C">
      <w:t xml:space="preserve">Page </w:t>
    </w:r>
    <w:r w:rsidRPr="007B4B4C">
      <w:fldChar w:fldCharType="begin"/>
    </w:r>
    <w:r w:rsidRPr="007B4B4C">
      <w:instrText>PAGE</w:instrText>
    </w:r>
    <w:r w:rsidRPr="007B4B4C">
      <w:fldChar w:fldCharType="separate"/>
    </w:r>
    <w:r w:rsidRPr="007B4B4C">
      <w:t>1</w:t>
    </w:r>
    <w:r w:rsidRPr="007B4B4C">
      <w:fldChar w:fldCharType="end"/>
    </w:r>
    <w:r w:rsidRPr="007B4B4C">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4688D668" w:rsidR="002523A1" w:rsidRPr="007B4B4C" w:rsidRDefault="002523A1">
    <w:pPr>
      <w:framePr w:h="284" w:hRule="exact" w:wrap="around" w:vAnchor="text" w:hAnchor="margin" w:xAlign="right" w:y="1"/>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STYLEREF ZA </w:instrText>
    </w:r>
    <w:r w:rsidRPr="007B4B4C">
      <w:rPr>
        <w:rFonts w:ascii="Arial" w:hAnsi="Arial" w:cs="Arial"/>
        <w:b/>
        <w:sz w:val="18"/>
        <w:szCs w:val="18"/>
      </w:rPr>
      <w:fldChar w:fldCharType="separate"/>
    </w:r>
    <w:r w:rsidR="008D7C7E">
      <w:rPr>
        <w:rFonts w:ascii="Arial" w:eastAsia="宋体" w:hAnsi="Arial" w:cs="Arial" w:hint="eastAsia"/>
        <w:bCs/>
        <w:noProof/>
        <w:sz w:val="18"/>
        <w:szCs w:val="18"/>
        <w:lang w:eastAsia="zh-CN"/>
      </w:rPr>
      <w:t>错误</w:t>
    </w:r>
    <w:r w:rsidR="008D7C7E">
      <w:rPr>
        <w:rFonts w:ascii="Arial" w:eastAsia="宋体" w:hAnsi="Arial" w:cs="Arial" w:hint="eastAsia"/>
        <w:bCs/>
        <w:noProof/>
        <w:sz w:val="18"/>
        <w:szCs w:val="18"/>
        <w:lang w:eastAsia="zh-CN"/>
      </w:rPr>
      <w:t>!</w:t>
    </w:r>
    <w:r w:rsidR="008D7C7E">
      <w:rPr>
        <w:rFonts w:ascii="Arial" w:eastAsia="宋体" w:hAnsi="Arial" w:cs="Arial" w:hint="eastAsia"/>
        <w:bCs/>
        <w:noProof/>
        <w:sz w:val="18"/>
        <w:szCs w:val="18"/>
        <w:lang w:eastAsia="zh-CN"/>
      </w:rPr>
      <w:t>文档中没有指定样式的文字。</w:t>
    </w:r>
    <w:r w:rsidRPr="007B4B4C">
      <w:rPr>
        <w:rFonts w:ascii="Arial" w:hAnsi="Arial" w:cs="Arial"/>
        <w:b/>
        <w:sz w:val="18"/>
        <w:szCs w:val="18"/>
      </w:rPr>
      <w:fldChar w:fldCharType="end"/>
    </w:r>
  </w:p>
  <w:p w14:paraId="7E4C60FC" w14:textId="77777777" w:rsidR="002523A1" w:rsidRPr="007B4B4C" w:rsidRDefault="002523A1">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5331B14F" w14:textId="00A7AF18" w:rsidR="002523A1" w:rsidRPr="007B4B4C" w:rsidRDefault="002523A1">
    <w:pPr>
      <w:framePr w:h="284" w:hRule="exact" w:wrap="around" w:vAnchor="text" w:hAnchor="margin"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STYLEREF ZGSM </w:instrText>
    </w:r>
    <w:r w:rsidRPr="007B4B4C">
      <w:rPr>
        <w:rFonts w:ascii="Arial" w:hAnsi="Arial" w:cs="Arial"/>
        <w:b/>
        <w:sz w:val="18"/>
        <w:szCs w:val="18"/>
      </w:rPr>
      <w:fldChar w:fldCharType="separate"/>
    </w:r>
    <w:r w:rsidR="008D7C7E">
      <w:rPr>
        <w:rFonts w:ascii="Arial" w:eastAsia="宋体" w:hAnsi="Arial" w:cs="Arial" w:hint="eastAsia"/>
        <w:bCs/>
        <w:noProof/>
        <w:sz w:val="18"/>
        <w:szCs w:val="18"/>
        <w:lang w:eastAsia="zh-CN"/>
      </w:rPr>
      <w:t>错误</w:t>
    </w:r>
    <w:r w:rsidR="008D7C7E">
      <w:rPr>
        <w:rFonts w:ascii="Arial" w:eastAsia="宋体" w:hAnsi="Arial" w:cs="Arial" w:hint="eastAsia"/>
        <w:bCs/>
        <w:noProof/>
        <w:sz w:val="18"/>
        <w:szCs w:val="18"/>
        <w:lang w:eastAsia="zh-CN"/>
      </w:rPr>
      <w:t>!</w:t>
    </w:r>
    <w:r w:rsidR="008D7C7E">
      <w:rPr>
        <w:rFonts w:ascii="Arial" w:eastAsia="宋体" w:hAnsi="Arial" w:cs="Arial" w:hint="eastAsia"/>
        <w:bCs/>
        <w:noProof/>
        <w:sz w:val="18"/>
        <w:szCs w:val="18"/>
        <w:lang w:eastAsia="zh-CN"/>
      </w:rPr>
      <w:t>文档中没有指定样式的文字。</w:t>
    </w:r>
    <w:r w:rsidRPr="007B4B4C">
      <w:rPr>
        <w:rFonts w:ascii="Arial" w:hAnsi="Arial" w:cs="Arial"/>
        <w:b/>
        <w:sz w:val="18"/>
        <w:szCs w:val="18"/>
      </w:rPr>
      <w:fldChar w:fldCharType="end"/>
    </w:r>
  </w:p>
  <w:p w14:paraId="346C1704" w14:textId="77777777" w:rsidR="002523A1" w:rsidRPr="007B4B4C" w:rsidRDefault="002523A1">
    <w:pPr>
      <w:pStyle w:val="a3"/>
    </w:pPr>
  </w:p>
  <w:p w14:paraId="31BBBCD6" w14:textId="77777777" w:rsidR="002523A1" w:rsidRPr="007B4B4C" w:rsidRDefault="002523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3" w15:restartNumberingAfterBreak="0">
    <w:nsid w:val="18982DC0"/>
    <w:multiLevelType w:val="hybridMultilevel"/>
    <w:tmpl w:val="B16AB736"/>
    <w:lvl w:ilvl="0" w:tplc="489E396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5" w15:restartNumberingAfterBreak="0">
    <w:nsid w:val="238C72BA"/>
    <w:multiLevelType w:val="hybridMultilevel"/>
    <w:tmpl w:val="C1CAD2A2"/>
    <w:lvl w:ilvl="0" w:tplc="934A2C66">
      <w:start w:val="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7" w15:restartNumberingAfterBreak="0">
    <w:nsid w:val="342D52D4"/>
    <w:multiLevelType w:val="hybridMultilevel"/>
    <w:tmpl w:val="F2EE3420"/>
    <w:lvl w:ilvl="0" w:tplc="0470AB74">
      <w:numFmt w:val="bullet"/>
      <w:lvlText w:val="-"/>
      <w:lvlJc w:val="left"/>
      <w:pPr>
        <w:ind w:left="560" w:hanging="360"/>
      </w:pPr>
      <w:rPr>
        <w:rFonts w:ascii="Arial" w:eastAsiaTheme="minorEastAsia" w:hAnsi="Arial" w:cs="Arial" w:hint="default"/>
        <w:color w:val="FF0000"/>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714E31"/>
    <w:multiLevelType w:val="hybridMultilevel"/>
    <w:tmpl w:val="7338B3E0"/>
    <w:lvl w:ilvl="0" w:tplc="A6B036A2">
      <w:start w:val="5"/>
      <w:numFmt w:val="bullet"/>
      <w:lvlText w:val="-"/>
      <w:lvlJc w:val="left"/>
      <w:pPr>
        <w:ind w:left="720" w:hanging="360"/>
      </w:pPr>
      <w:rPr>
        <w:rFonts w:ascii="Arial" w:eastAsia="宋体"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4E0F69A8"/>
    <w:multiLevelType w:val="hybridMultilevel"/>
    <w:tmpl w:val="7B5A8794"/>
    <w:lvl w:ilvl="0" w:tplc="FFE228F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696921E4"/>
    <w:multiLevelType w:val="hybridMultilevel"/>
    <w:tmpl w:val="DE3C44BC"/>
    <w:lvl w:ilvl="0" w:tplc="80FCADF6">
      <w:start w:val="2"/>
      <w:numFmt w:val="bullet"/>
      <w:lvlText w:val="-"/>
      <w:lvlJc w:val="left"/>
      <w:pPr>
        <w:ind w:left="520" w:hanging="420"/>
      </w:pPr>
      <w:rPr>
        <w:rFonts w:ascii="Arial" w:eastAsia="Times New Roman"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26"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8692DF1"/>
    <w:multiLevelType w:val="hybridMultilevel"/>
    <w:tmpl w:val="5A5601D2"/>
    <w:lvl w:ilvl="0" w:tplc="A6187904">
      <w:start w:val="22"/>
      <w:numFmt w:val="bullet"/>
      <w:lvlText w:val="-"/>
      <w:lvlJc w:val="left"/>
      <w:pPr>
        <w:tabs>
          <w:tab w:val="num" w:pos="460"/>
        </w:tabs>
        <w:ind w:left="460" w:hanging="360"/>
      </w:pPr>
      <w:rPr>
        <w:rFonts w:ascii="Times New Roman" w:eastAsia="MS Mincho" w:hAnsi="Times New Roman" w:cs="Times New Roman"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29"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8"/>
  </w:num>
  <w:num w:numId="3">
    <w:abstractNumId w:val="23"/>
  </w:num>
  <w:num w:numId="4">
    <w:abstractNumId w:val="22"/>
  </w:num>
  <w:num w:numId="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24"/>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6"/>
  </w:num>
  <w:num w:numId="18">
    <w:abstractNumId w:val="11"/>
  </w:num>
  <w:num w:numId="19">
    <w:abstractNumId w:val="29"/>
  </w:num>
  <w:num w:numId="20">
    <w:abstractNumId w:val="14"/>
  </w:num>
  <w:num w:numId="21">
    <w:abstractNumId w:val="8"/>
  </w:num>
  <w:num w:numId="22">
    <w:abstractNumId w:val="27"/>
  </w:num>
  <w:num w:numId="23">
    <w:abstractNumId w:val="16"/>
  </w:num>
  <w:num w:numId="24">
    <w:abstractNumId w:val="19"/>
  </w:num>
  <w:num w:numId="25">
    <w:abstractNumId w:val="12"/>
  </w:num>
  <w:num w:numId="26">
    <w:abstractNumId w:val="10"/>
  </w:num>
  <w:num w:numId="27">
    <w:abstractNumId w:val="20"/>
  </w:num>
  <w:num w:numId="28">
    <w:abstractNumId w:val="28"/>
  </w:num>
  <w:num w:numId="29">
    <w:abstractNumId w:val="17"/>
  </w:num>
  <w:num w:numId="30">
    <w:abstractNumId w:val="21"/>
  </w:num>
  <w:num w:numId="31">
    <w:abstractNumId w:val="13"/>
  </w:num>
  <w:num w:numId="32">
    <w:abstractNumId w:val="25"/>
  </w:num>
  <w:num w:numId="33">
    <w:abstractNumId w:val="1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bordersDoNotSurroundHeader/>
  <w:bordersDoNotSurroundFooter/>
  <w:hideSpellingErrors/>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CD0"/>
    <w:rsid w:val="000062D8"/>
    <w:rsid w:val="00006651"/>
    <w:rsid w:val="0000730B"/>
    <w:rsid w:val="0000791A"/>
    <w:rsid w:val="00007AA3"/>
    <w:rsid w:val="00007E49"/>
    <w:rsid w:val="00007E8F"/>
    <w:rsid w:val="00010156"/>
    <w:rsid w:val="000103E4"/>
    <w:rsid w:val="00010536"/>
    <w:rsid w:val="000109D7"/>
    <w:rsid w:val="00010C3E"/>
    <w:rsid w:val="00010CDA"/>
    <w:rsid w:val="0001164C"/>
    <w:rsid w:val="00011CD5"/>
    <w:rsid w:val="00011F32"/>
    <w:rsid w:val="00011F9C"/>
    <w:rsid w:val="00012284"/>
    <w:rsid w:val="0001248F"/>
    <w:rsid w:val="000128BE"/>
    <w:rsid w:val="0001292F"/>
    <w:rsid w:val="00012B4E"/>
    <w:rsid w:val="000133FD"/>
    <w:rsid w:val="00013757"/>
    <w:rsid w:val="000138A2"/>
    <w:rsid w:val="00013FCA"/>
    <w:rsid w:val="00014970"/>
    <w:rsid w:val="000149C7"/>
    <w:rsid w:val="00014E77"/>
    <w:rsid w:val="000151EB"/>
    <w:rsid w:val="00015221"/>
    <w:rsid w:val="00015289"/>
    <w:rsid w:val="00015613"/>
    <w:rsid w:val="00015B6E"/>
    <w:rsid w:val="00015CA7"/>
    <w:rsid w:val="00015CFE"/>
    <w:rsid w:val="00015E1F"/>
    <w:rsid w:val="00016189"/>
    <w:rsid w:val="00016CEA"/>
    <w:rsid w:val="00017168"/>
    <w:rsid w:val="0001722F"/>
    <w:rsid w:val="00017449"/>
    <w:rsid w:val="00017EF7"/>
    <w:rsid w:val="000206E8"/>
    <w:rsid w:val="0002199B"/>
    <w:rsid w:val="00021C07"/>
    <w:rsid w:val="00021E50"/>
    <w:rsid w:val="00021F61"/>
    <w:rsid w:val="00022071"/>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88D"/>
    <w:rsid w:val="00033B0E"/>
    <w:rsid w:val="000342F6"/>
    <w:rsid w:val="00034397"/>
    <w:rsid w:val="0003439E"/>
    <w:rsid w:val="000343A5"/>
    <w:rsid w:val="0003441F"/>
    <w:rsid w:val="000347BD"/>
    <w:rsid w:val="00034A87"/>
    <w:rsid w:val="0003508C"/>
    <w:rsid w:val="00035624"/>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18E"/>
    <w:rsid w:val="000442E2"/>
    <w:rsid w:val="0004457B"/>
    <w:rsid w:val="00044AB8"/>
    <w:rsid w:val="00045391"/>
    <w:rsid w:val="00045D3C"/>
    <w:rsid w:val="00045EC0"/>
    <w:rsid w:val="0004615B"/>
    <w:rsid w:val="0004643E"/>
    <w:rsid w:val="00046C82"/>
    <w:rsid w:val="00046E54"/>
    <w:rsid w:val="0004715C"/>
    <w:rsid w:val="00047740"/>
    <w:rsid w:val="00050392"/>
    <w:rsid w:val="000504AE"/>
    <w:rsid w:val="00050563"/>
    <w:rsid w:val="00050C84"/>
    <w:rsid w:val="00050E39"/>
    <w:rsid w:val="00050EA3"/>
    <w:rsid w:val="000514F7"/>
    <w:rsid w:val="000517E2"/>
    <w:rsid w:val="000517F2"/>
    <w:rsid w:val="00051834"/>
    <w:rsid w:val="00051958"/>
    <w:rsid w:val="00051AC9"/>
    <w:rsid w:val="00051CAC"/>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11B"/>
    <w:rsid w:val="00056235"/>
    <w:rsid w:val="000566F0"/>
    <w:rsid w:val="000567AB"/>
    <w:rsid w:val="00056A4B"/>
    <w:rsid w:val="00056A99"/>
    <w:rsid w:val="0005704D"/>
    <w:rsid w:val="00057356"/>
    <w:rsid w:val="00057574"/>
    <w:rsid w:val="00057659"/>
    <w:rsid w:val="00057691"/>
    <w:rsid w:val="000602A5"/>
    <w:rsid w:val="0006088A"/>
    <w:rsid w:val="000609B1"/>
    <w:rsid w:val="00060B35"/>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0EE"/>
    <w:rsid w:val="00066123"/>
    <w:rsid w:val="000661D5"/>
    <w:rsid w:val="0006633D"/>
    <w:rsid w:val="00066645"/>
    <w:rsid w:val="000668CD"/>
    <w:rsid w:val="00066ED6"/>
    <w:rsid w:val="00066F80"/>
    <w:rsid w:val="00067332"/>
    <w:rsid w:val="0006762C"/>
    <w:rsid w:val="00067669"/>
    <w:rsid w:val="000676BB"/>
    <w:rsid w:val="00070769"/>
    <w:rsid w:val="00070859"/>
    <w:rsid w:val="000708FF"/>
    <w:rsid w:val="00070947"/>
    <w:rsid w:val="00070B8B"/>
    <w:rsid w:val="0007103F"/>
    <w:rsid w:val="00071057"/>
    <w:rsid w:val="000710FB"/>
    <w:rsid w:val="0007117C"/>
    <w:rsid w:val="0007145F"/>
    <w:rsid w:val="0007230C"/>
    <w:rsid w:val="00072316"/>
    <w:rsid w:val="0007255E"/>
    <w:rsid w:val="00072E90"/>
    <w:rsid w:val="00073246"/>
    <w:rsid w:val="0007351E"/>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B9C"/>
    <w:rsid w:val="0008100A"/>
    <w:rsid w:val="00081258"/>
    <w:rsid w:val="00081493"/>
    <w:rsid w:val="000816B3"/>
    <w:rsid w:val="000817E3"/>
    <w:rsid w:val="00082087"/>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C80"/>
    <w:rsid w:val="00095D2C"/>
    <w:rsid w:val="00095E61"/>
    <w:rsid w:val="00095EE0"/>
    <w:rsid w:val="00096193"/>
    <w:rsid w:val="00096367"/>
    <w:rsid w:val="00096478"/>
    <w:rsid w:val="00096601"/>
    <w:rsid w:val="00096AC1"/>
    <w:rsid w:val="00096F06"/>
    <w:rsid w:val="00096FD5"/>
    <w:rsid w:val="00097024"/>
    <w:rsid w:val="00097470"/>
    <w:rsid w:val="00097556"/>
    <w:rsid w:val="00097892"/>
    <w:rsid w:val="000A03AD"/>
    <w:rsid w:val="000A0D34"/>
    <w:rsid w:val="000A1435"/>
    <w:rsid w:val="000A178F"/>
    <w:rsid w:val="000A184A"/>
    <w:rsid w:val="000A195F"/>
    <w:rsid w:val="000A209D"/>
    <w:rsid w:val="000A2164"/>
    <w:rsid w:val="000A2302"/>
    <w:rsid w:val="000A23F5"/>
    <w:rsid w:val="000A27DF"/>
    <w:rsid w:val="000A27FD"/>
    <w:rsid w:val="000A28AF"/>
    <w:rsid w:val="000A2A7C"/>
    <w:rsid w:val="000A2D2E"/>
    <w:rsid w:val="000A33FD"/>
    <w:rsid w:val="000A3699"/>
    <w:rsid w:val="000A40B9"/>
    <w:rsid w:val="000A4958"/>
    <w:rsid w:val="000A4C66"/>
    <w:rsid w:val="000A51CA"/>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A6"/>
    <w:rsid w:val="000B730D"/>
    <w:rsid w:val="000B744E"/>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30"/>
    <w:rsid w:val="000C6AD6"/>
    <w:rsid w:val="000C7315"/>
    <w:rsid w:val="000C7399"/>
    <w:rsid w:val="000C7493"/>
    <w:rsid w:val="000C75ED"/>
    <w:rsid w:val="000C7737"/>
    <w:rsid w:val="000C7810"/>
    <w:rsid w:val="000C7E28"/>
    <w:rsid w:val="000C7E4D"/>
    <w:rsid w:val="000D05BC"/>
    <w:rsid w:val="000D0986"/>
    <w:rsid w:val="000D1143"/>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3EE3"/>
    <w:rsid w:val="000D43E8"/>
    <w:rsid w:val="000D557A"/>
    <w:rsid w:val="000D5712"/>
    <w:rsid w:val="000D58AB"/>
    <w:rsid w:val="000D5A4C"/>
    <w:rsid w:val="000D5C7A"/>
    <w:rsid w:val="000D6437"/>
    <w:rsid w:val="000D6501"/>
    <w:rsid w:val="000D669D"/>
    <w:rsid w:val="000D66CA"/>
    <w:rsid w:val="000D679A"/>
    <w:rsid w:val="000D7A08"/>
    <w:rsid w:val="000D7C2E"/>
    <w:rsid w:val="000D7F1B"/>
    <w:rsid w:val="000E01EC"/>
    <w:rsid w:val="000E0350"/>
    <w:rsid w:val="000E08F8"/>
    <w:rsid w:val="000E0A21"/>
    <w:rsid w:val="000E0A42"/>
    <w:rsid w:val="000E0A9D"/>
    <w:rsid w:val="000E0B66"/>
    <w:rsid w:val="000E0E18"/>
    <w:rsid w:val="000E103A"/>
    <w:rsid w:val="000E12C3"/>
    <w:rsid w:val="000E15BF"/>
    <w:rsid w:val="000E1B79"/>
    <w:rsid w:val="000E1C3E"/>
    <w:rsid w:val="000E1CAF"/>
    <w:rsid w:val="000E1EB6"/>
    <w:rsid w:val="000E1F40"/>
    <w:rsid w:val="000E24F4"/>
    <w:rsid w:val="000E2573"/>
    <w:rsid w:val="000E2948"/>
    <w:rsid w:val="000E2BBF"/>
    <w:rsid w:val="000E3300"/>
    <w:rsid w:val="000E3311"/>
    <w:rsid w:val="000E3546"/>
    <w:rsid w:val="000E35AE"/>
    <w:rsid w:val="000E35CC"/>
    <w:rsid w:val="000E35DC"/>
    <w:rsid w:val="000E3647"/>
    <w:rsid w:val="000E378A"/>
    <w:rsid w:val="000E3BE6"/>
    <w:rsid w:val="000E3EAB"/>
    <w:rsid w:val="000E42F4"/>
    <w:rsid w:val="000E42F8"/>
    <w:rsid w:val="000E4A1F"/>
    <w:rsid w:val="000E4C11"/>
    <w:rsid w:val="000E550B"/>
    <w:rsid w:val="000E5A30"/>
    <w:rsid w:val="000E5C0F"/>
    <w:rsid w:val="000E630F"/>
    <w:rsid w:val="000E66B3"/>
    <w:rsid w:val="000E69FD"/>
    <w:rsid w:val="000E6E48"/>
    <w:rsid w:val="000E759C"/>
    <w:rsid w:val="000E770B"/>
    <w:rsid w:val="000E7942"/>
    <w:rsid w:val="000E7ABB"/>
    <w:rsid w:val="000E7B65"/>
    <w:rsid w:val="000E7C83"/>
    <w:rsid w:val="000F0741"/>
    <w:rsid w:val="000F07AB"/>
    <w:rsid w:val="000F093A"/>
    <w:rsid w:val="000F0E47"/>
    <w:rsid w:val="000F17D5"/>
    <w:rsid w:val="000F1C87"/>
    <w:rsid w:val="000F1FAA"/>
    <w:rsid w:val="000F2113"/>
    <w:rsid w:val="000F2958"/>
    <w:rsid w:val="000F2A63"/>
    <w:rsid w:val="000F2B5F"/>
    <w:rsid w:val="000F2D94"/>
    <w:rsid w:val="000F33E0"/>
    <w:rsid w:val="000F3B47"/>
    <w:rsid w:val="000F3BD4"/>
    <w:rsid w:val="000F3E18"/>
    <w:rsid w:val="000F464D"/>
    <w:rsid w:val="000F46A5"/>
    <w:rsid w:val="000F48A5"/>
    <w:rsid w:val="000F4BF8"/>
    <w:rsid w:val="000F4E77"/>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7A6"/>
    <w:rsid w:val="000F7D20"/>
    <w:rsid w:val="00100085"/>
    <w:rsid w:val="00100624"/>
    <w:rsid w:val="00100C97"/>
    <w:rsid w:val="00101062"/>
    <w:rsid w:val="001011DB"/>
    <w:rsid w:val="001012F6"/>
    <w:rsid w:val="00101705"/>
    <w:rsid w:val="001018E9"/>
    <w:rsid w:val="00101E4C"/>
    <w:rsid w:val="001022F4"/>
    <w:rsid w:val="001025FB"/>
    <w:rsid w:val="00102727"/>
    <w:rsid w:val="00102905"/>
    <w:rsid w:val="00103451"/>
    <w:rsid w:val="00103455"/>
    <w:rsid w:val="001034AE"/>
    <w:rsid w:val="00103896"/>
    <w:rsid w:val="00103DA3"/>
    <w:rsid w:val="00103DE8"/>
    <w:rsid w:val="00103EED"/>
    <w:rsid w:val="0010457E"/>
    <w:rsid w:val="001048B2"/>
    <w:rsid w:val="00104B3F"/>
    <w:rsid w:val="00104E9F"/>
    <w:rsid w:val="00105207"/>
    <w:rsid w:val="001053C3"/>
    <w:rsid w:val="00105485"/>
    <w:rsid w:val="00105963"/>
    <w:rsid w:val="00105CAA"/>
    <w:rsid w:val="00105D08"/>
    <w:rsid w:val="00105EE6"/>
    <w:rsid w:val="00106090"/>
    <w:rsid w:val="00106A25"/>
    <w:rsid w:val="001072E9"/>
    <w:rsid w:val="00107B4D"/>
    <w:rsid w:val="00107CFF"/>
    <w:rsid w:val="00110426"/>
    <w:rsid w:val="00110757"/>
    <w:rsid w:val="0011084F"/>
    <w:rsid w:val="00110CBF"/>
    <w:rsid w:val="00110DBE"/>
    <w:rsid w:val="00111052"/>
    <w:rsid w:val="0011122D"/>
    <w:rsid w:val="001112BE"/>
    <w:rsid w:val="0011160A"/>
    <w:rsid w:val="0011168B"/>
    <w:rsid w:val="00111D3D"/>
    <w:rsid w:val="00111D52"/>
    <w:rsid w:val="00111D57"/>
    <w:rsid w:val="00112234"/>
    <w:rsid w:val="001125FA"/>
    <w:rsid w:val="0011358A"/>
    <w:rsid w:val="00113CDA"/>
    <w:rsid w:val="00113FED"/>
    <w:rsid w:val="001141C4"/>
    <w:rsid w:val="0011494A"/>
    <w:rsid w:val="00114950"/>
    <w:rsid w:val="00114CB9"/>
    <w:rsid w:val="00114E60"/>
    <w:rsid w:val="00114E83"/>
    <w:rsid w:val="001151D7"/>
    <w:rsid w:val="00115BF0"/>
    <w:rsid w:val="00115F71"/>
    <w:rsid w:val="001161CF"/>
    <w:rsid w:val="00116356"/>
    <w:rsid w:val="001163BA"/>
    <w:rsid w:val="00116A54"/>
    <w:rsid w:val="001171F5"/>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73DF"/>
    <w:rsid w:val="001374E8"/>
    <w:rsid w:val="0013784A"/>
    <w:rsid w:val="00137D3B"/>
    <w:rsid w:val="00137D47"/>
    <w:rsid w:val="00137F46"/>
    <w:rsid w:val="00140554"/>
    <w:rsid w:val="0014057C"/>
    <w:rsid w:val="00140A3E"/>
    <w:rsid w:val="00140A8D"/>
    <w:rsid w:val="00140BB7"/>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CB"/>
    <w:rsid w:val="00146A25"/>
    <w:rsid w:val="00146A2F"/>
    <w:rsid w:val="00146C34"/>
    <w:rsid w:val="0014739A"/>
    <w:rsid w:val="001473C7"/>
    <w:rsid w:val="00147F04"/>
    <w:rsid w:val="00150266"/>
    <w:rsid w:val="001503A1"/>
    <w:rsid w:val="0015041E"/>
    <w:rsid w:val="001510A8"/>
    <w:rsid w:val="00151167"/>
    <w:rsid w:val="001516D4"/>
    <w:rsid w:val="00151C9B"/>
    <w:rsid w:val="001524CD"/>
    <w:rsid w:val="00152629"/>
    <w:rsid w:val="00152721"/>
    <w:rsid w:val="001529DE"/>
    <w:rsid w:val="00152FD3"/>
    <w:rsid w:val="001535F2"/>
    <w:rsid w:val="00153734"/>
    <w:rsid w:val="0015389C"/>
    <w:rsid w:val="001538BE"/>
    <w:rsid w:val="001539FC"/>
    <w:rsid w:val="00153BC9"/>
    <w:rsid w:val="001542AE"/>
    <w:rsid w:val="001545F5"/>
    <w:rsid w:val="00154FBC"/>
    <w:rsid w:val="001550E8"/>
    <w:rsid w:val="0015611D"/>
    <w:rsid w:val="0015671B"/>
    <w:rsid w:val="0015676D"/>
    <w:rsid w:val="00156A47"/>
    <w:rsid w:val="00156B95"/>
    <w:rsid w:val="00156D01"/>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CEE"/>
    <w:rsid w:val="00184EE0"/>
    <w:rsid w:val="0018540C"/>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BB6"/>
    <w:rsid w:val="00187DBE"/>
    <w:rsid w:val="00187E43"/>
    <w:rsid w:val="00187ED9"/>
    <w:rsid w:val="0019047C"/>
    <w:rsid w:val="001905AC"/>
    <w:rsid w:val="00190AB7"/>
    <w:rsid w:val="00190AEC"/>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D59"/>
    <w:rsid w:val="001B0FFC"/>
    <w:rsid w:val="001B10B7"/>
    <w:rsid w:val="001B1109"/>
    <w:rsid w:val="001B114D"/>
    <w:rsid w:val="001B158D"/>
    <w:rsid w:val="001B191E"/>
    <w:rsid w:val="001B1A88"/>
    <w:rsid w:val="001B1E4D"/>
    <w:rsid w:val="001B28A4"/>
    <w:rsid w:val="001B2A23"/>
    <w:rsid w:val="001B2ADB"/>
    <w:rsid w:val="001B2E87"/>
    <w:rsid w:val="001B2F91"/>
    <w:rsid w:val="001B31D5"/>
    <w:rsid w:val="001B3312"/>
    <w:rsid w:val="001B3396"/>
    <w:rsid w:val="001B34F9"/>
    <w:rsid w:val="001B375E"/>
    <w:rsid w:val="001B3A7D"/>
    <w:rsid w:val="001B3DA0"/>
    <w:rsid w:val="001B3DF0"/>
    <w:rsid w:val="001B3E50"/>
    <w:rsid w:val="001B41AA"/>
    <w:rsid w:val="001B458E"/>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7B5"/>
    <w:rsid w:val="001C7B7D"/>
    <w:rsid w:val="001C7BC7"/>
    <w:rsid w:val="001C7BCD"/>
    <w:rsid w:val="001C7BD8"/>
    <w:rsid w:val="001D01BD"/>
    <w:rsid w:val="001D01EC"/>
    <w:rsid w:val="001D02C2"/>
    <w:rsid w:val="001D0791"/>
    <w:rsid w:val="001D0A7A"/>
    <w:rsid w:val="001D0B21"/>
    <w:rsid w:val="001D0C3B"/>
    <w:rsid w:val="001D1833"/>
    <w:rsid w:val="001D1854"/>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A"/>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4481"/>
    <w:rsid w:val="00204698"/>
    <w:rsid w:val="002046A2"/>
    <w:rsid w:val="00204A0D"/>
    <w:rsid w:val="00204F24"/>
    <w:rsid w:val="00205CA0"/>
    <w:rsid w:val="00205D47"/>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C36"/>
    <w:rsid w:val="0021332D"/>
    <w:rsid w:val="00213644"/>
    <w:rsid w:val="0021390A"/>
    <w:rsid w:val="0021397E"/>
    <w:rsid w:val="00213BF4"/>
    <w:rsid w:val="00213D18"/>
    <w:rsid w:val="00213E38"/>
    <w:rsid w:val="00214168"/>
    <w:rsid w:val="00214323"/>
    <w:rsid w:val="00214979"/>
    <w:rsid w:val="00215224"/>
    <w:rsid w:val="0021547E"/>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3388"/>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47F5B"/>
    <w:rsid w:val="00250632"/>
    <w:rsid w:val="002515B1"/>
    <w:rsid w:val="00251D93"/>
    <w:rsid w:val="002523A1"/>
    <w:rsid w:val="002523B0"/>
    <w:rsid w:val="002527AD"/>
    <w:rsid w:val="0025298A"/>
    <w:rsid w:val="00252A4C"/>
    <w:rsid w:val="00252A82"/>
    <w:rsid w:val="00252E18"/>
    <w:rsid w:val="00253A3E"/>
    <w:rsid w:val="00253CCC"/>
    <w:rsid w:val="00253E56"/>
    <w:rsid w:val="00254259"/>
    <w:rsid w:val="002543F5"/>
    <w:rsid w:val="00254797"/>
    <w:rsid w:val="00254C16"/>
    <w:rsid w:val="00254C1A"/>
    <w:rsid w:val="00254E44"/>
    <w:rsid w:val="00255542"/>
    <w:rsid w:val="00255974"/>
    <w:rsid w:val="00255A96"/>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2A3D"/>
    <w:rsid w:val="00272BB6"/>
    <w:rsid w:val="00272DE5"/>
    <w:rsid w:val="00272F99"/>
    <w:rsid w:val="00273114"/>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867"/>
    <w:rsid w:val="00280BA7"/>
    <w:rsid w:val="00280F34"/>
    <w:rsid w:val="00281271"/>
    <w:rsid w:val="00281387"/>
    <w:rsid w:val="00281667"/>
    <w:rsid w:val="002816E6"/>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3C58"/>
    <w:rsid w:val="00283C95"/>
    <w:rsid w:val="00283FA4"/>
    <w:rsid w:val="002844C2"/>
    <w:rsid w:val="00284BDD"/>
    <w:rsid w:val="00284CBD"/>
    <w:rsid w:val="00284E26"/>
    <w:rsid w:val="00284FEB"/>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DD"/>
    <w:rsid w:val="002A1321"/>
    <w:rsid w:val="002A13D5"/>
    <w:rsid w:val="002A160F"/>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552F"/>
    <w:rsid w:val="002A5977"/>
    <w:rsid w:val="002A5CA2"/>
    <w:rsid w:val="002A61BB"/>
    <w:rsid w:val="002A63C1"/>
    <w:rsid w:val="002A653E"/>
    <w:rsid w:val="002A6B41"/>
    <w:rsid w:val="002A6B63"/>
    <w:rsid w:val="002A7346"/>
    <w:rsid w:val="002A740D"/>
    <w:rsid w:val="002A76EE"/>
    <w:rsid w:val="002A7ECB"/>
    <w:rsid w:val="002B01A7"/>
    <w:rsid w:val="002B06AE"/>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5D9"/>
    <w:rsid w:val="002B26CF"/>
    <w:rsid w:val="002B287F"/>
    <w:rsid w:val="002B2DE2"/>
    <w:rsid w:val="002B2F9B"/>
    <w:rsid w:val="002B3117"/>
    <w:rsid w:val="002B3625"/>
    <w:rsid w:val="002B37A0"/>
    <w:rsid w:val="002B3C2B"/>
    <w:rsid w:val="002B3D91"/>
    <w:rsid w:val="002B3E4D"/>
    <w:rsid w:val="002B4146"/>
    <w:rsid w:val="002B47CD"/>
    <w:rsid w:val="002B4F26"/>
    <w:rsid w:val="002B5283"/>
    <w:rsid w:val="002B5453"/>
    <w:rsid w:val="002B5741"/>
    <w:rsid w:val="002B5FEA"/>
    <w:rsid w:val="002B6672"/>
    <w:rsid w:val="002B6E9C"/>
    <w:rsid w:val="002B733D"/>
    <w:rsid w:val="002B79AC"/>
    <w:rsid w:val="002B7DAE"/>
    <w:rsid w:val="002B7E39"/>
    <w:rsid w:val="002C000D"/>
    <w:rsid w:val="002C04FE"/>
    <w:rsid w:val="002C0DD0"/>
    <w:rsid w:val="002C18F2"/>
    <w:rsid w:val="002C1F80"/>
    <w:rsid w:val="002C2442"/>
    <w:rsid w:val="002C2A0A"/>
    <w:rsid w:val="002C338F"/>
    <w:rsid w:val="002C350C"/>
    <w:rsid w:val="002C3A6F"/>
    <w:rsid w:val="002C3D7C"/>
    <w:rsid w:val="002C3DEE"/>
    <w:rsid w:val="002C3ECF"/>
    <w:rsid w:val="002C4096"/>
    <w:rsid w:val="002C47BA"/>
    <w:rsid w:val="002C48ED"/>
    <w:rsid w:val="002C4E6C"/>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F10"/>
    <w:rsid w:val="002D1829"/>
    <w:rsid w:val="002D1D04"/>
    <w:rsid w:val="002D1E8D"/>
    <w:rsid w:val="002D1FFD"/>
    <w:rsid w:val="002D20A7"/>
    <w:rsid w:val="002D214E"/>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E79"/>
    <w:rsid w:val="002E0E90"/>
    <w:rsid w:val="002E10C4"/>
    <w:rsid w:val="002E1A05"/>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2F7DF0"/>
    <w:rsid w:val="0030017D"/>
    <w:rsid w:val="00300380"/>
    <w:rsid w:val="003003E3"/>
    <w:rsid w:val="003006DC"/>
    <w:rsid w:val="00300DD2"/>
    <w:rsid w:val="00301046"/>
    <w:rsid w:val="00301346"/>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BF3"/>
    <w:rsid w:val="00305C17"/>
    <w:rsid w:val="00305C4E"/>
    <w:rsid w:val="00306103"/>
    <w:rsid w:val="0030618F"/>
    <w:rsid w:val="00306E14"/>
    <w:rsid w:val="00306F21"/>
    <w:rsid w:val="00307063"/>
    <w:rsid w:val="003070C7"/>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646"/>
    <w:rsid w:val="0033086C"/>
    <w:rsid w:val="00330CF5"/>
    <w:rsid w:val="00331883"/>
    <w:rsid w:val="00331BBB"/>
    <w:rsid w:val="00332131"/>
    <w:rsid w:val="003321BB"/>
    <w:rsid w:val="003325EE"/>
    <w:rsid w:val="00332C5E"/>
    <w:rsid w:val="003334DB"/>
    <w:rsid w:val="00333A1F"/>
    <w:rsid w:val="00333A90"/>
    <w:rsid w:val="00333CB7"/>
    <w:rsid w:val="00333E7E"/>
    <w:rsid w:val="0033408E"/>
    <w:rsid w:val="00334A36"/>
    <w:rsid w:val="00334BA1"/>
    <w:rsid w:val="003350BF"/>
    <w:rsid w:val="00335349"/>
    <w:rsid w:val="003354A6"/>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A63"/>
    <w:rsid w:val="00342CF3"/>
    <w:rsid w:val="003430AD"/>
    <w:rsid w:val="00343144"/>
    <w:rsid w:val="003431E3"/>
    <w:rsid w:val="00343209"/>
    <w:rsid w:val="003437D6"/>
    <w:rsid w:val="0034380B"/>
    <w:rsid w:val="00343D2C"/>
    <w:rsid w:val="00344007"/>
    <w:rsid w:val="00344070"/>
    <w:rsid w:val="0034416A"/>
    <w:rsid w:val="003441E2"/>
    <w:rsid w:val="003449D5"/>
    <w:rsid w:val="0034534F"/>
    <w:rsid w:val="003455A3"/>
    <w:rsid w:val="00345BEA"/>
    <w:rsid w:val="00345E34"/>
    <w:rsid w:val="00345EB8"/>
    <w:rsid w:val="00345EFB"/>
    <w:rsid w:val="00346290"/>
    <w:rsid w:val="003463C8"/>
    <w:rsid w:val="00346AA6"/>
    <w:rsid w:val="00346B5A"/>
    <w:rsid w:val="00346FD7"/>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C1C"/>
    <w:rsid w:val="00367DE0"/>
    <w:rsid w:val="00370241"/>
    <w:rsid w:val="00370656"/>
    <w:rsid w:val="00370753"/>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603"/>
    <w:rsid w:val="003747E4"/>
    <w:rsid w:val="00374966"/>
    <w:rsid w:val="00374DD4"/>
    <w:rsid w:val="00374F9A"/>
    <w:rsid w:val="003752A2"/>
    <w:rsid w:val="0037540C"/>
    <w:rsid w:val="00375666"/>
    <w:rsid w:val="00375B89"/>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5FB"/>
    <w:rsid w:val="00382CC1"/>
    <w:rsid w:val="0038318F"/>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034E"/>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42CD"/>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3AB"/>
    <w:rsid w:val="003C0527"/>
    <w:rsid w:val="003C1064"/>
    <w:rsid w:val="003C1079"/>
    <w:rsid w:val="003C13F0"/>
    <w:rsid w:val="003C18D0"/>
    <w:rsid w:val="003C1C65"/>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4C0"/>
    <w:rsid w:val="003D471A"/>
    <w:rsid w:val="003D475F"/>
    <w:rsid w:val="003D4F45"/>
    <w:rsid w:val="003D511D"/>
    <w:rsid w:val="003D51A3"/>
    <w:rsid w:val="003D538B"/>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E7B2B"/>
    <w:rsid w:val="003F01E8"/>
    <w:rsid w:val="003F03BD"/>
    <w:rsid w:val="003F05AF"/>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9A8"/>
    <w:rsid w:val="00403A99"/>
    <w:rsid w:val="00405130"/>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444"/>
    <w:rsid w:val="004130DC"/>
    <w:rsid w:val="00413418"/>
    <w:rsid w:val="00413A89"/>
    <w:rsid w:val="00413BAE"/>
    <w:rsid w:val="00413BD1"/>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5498"/>
    <w:rsid w:val="004255C9"/>
    <w:rsid w:val="00425A53"/>
    <w:rsid w:val="00425B34"/>
    <w:rsid w:val="00425CBF"/>
    <w:rsid w:val="00425E6C"/>
    <w:rsid w:val="00426557"/>
    <w:rsid w:val="0042656A"/>
    <w:rsid w:val="00426811"/>
    <w:rsid w:val="0042691B"/>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2ECC"/>
    <w:rsid w:val="0043353F"/>
    <w:rsid w:val="00433752"/>
    <w:rsid w:val="00433C77"/>
    <w:rsid w:val="00433D34"/>
    <w:rsid w:val="0043459B"/>
    <w:rsid w:val="00434A8E"/>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575"/>
    <w:rsid w:val="0046366C"/>
    <w:rsid w:val="00464090"/>
    <w:rsid w:val="00464863"/>
    <w:rsid w:val="0046497D"/>
    <w:rsid w:val="00464BB3"/>
    <w:rsid w:val="00465CAC"/>
    <w:rsid w:val="00465F2B"/>
    <w:rsid w:val="004660EE"/>
    <w:rsid w:val="004666C8"/>
    <w:rsid w:val="00466829"/>
    <w:rsid w:val="00466B2E"/>
    <w:rsid w:val="00467DB0"/>
    <w:rsid w:val="00467DF0"/>
    <w:rsid w:val="0047061C"/>
    <w:rsid w:val="00470752"/>
    <w:rsid w:val="00470836"/>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5068"/>
    <w:rsid w:val="00485C98"/>
    <w:rsid w:val="00485D09"/>
    <w:rsid w:val="00485E70"/>
    <w:rsid w:val="00485FD7"/>
    <w:rsid w:val="00486151"/>
    <w:rsid w:val="004861A8"/>
    <w:rsid w:val="004861FC"/>
    <w:rsid w:val="00486327"/>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C95"/>
    <w:rsid w:val="00495E8D"/>
    <w:rsid w:val="00495EC2"/>
    <w:rsid w:val="00496755"/>
    <w:rsid w:val="00496B55"/>
    <w:rsid w:val="00496BCB"/>
    <w:rsid w:val="00496C82"/>
    <w:rsid w:val="00496E16"/>
    <w:rsid w:val="00497059"/>
    <w:rsid w:val="00497492"/>
    <w:rsid w:val="00497569"/>
    <w:rsid w:val="00497F88"/>
    <w:rsid w:val="004A05C2"/>
    <w:rsid w:val="004A0EC3"/>
    <w:rsid w:val="004A119B"/>
    <w:rsid w:val="004A2175"/>
    <w:rsid w:val="004A28E1"/>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5E25"/>
    <w:rsid w:val="004A6670"/>
    <w:rsid w:val="004A6B4F"/>
    <w:rsid w:val="004A7206"/>
    <w:rsid w:val="004A74F6"/>
    <w:rsid w:val="004A760D"/>
    <w:rsid w:val="004A76DE"/>
    <w:rsid w:val="004A76EE"/>
    <w:rsid w:val="004A772D"/>
    <w:rsid w:val="004A773C"/>
    <w:rsid w:val="004A77CA"/>
    <w:rsid w:val="004B0051"/>
    <w:rsid w:val="004B0132"/>
    <w:rsid w:val="004B0634"/>
    <w:rsid w:val="004B0D5F"/>
    <w:rsid w:val="004B0FA9"/>
    <w:rsid w:val="004B13F7"/>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4E41"/>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31F8"/>
    <w:rsid w:val="004D325C"/>
    <w:rsid w:val="004D34F2"/>
    <w:rsid w:val="004D3578"/>
    <w:rsid w:val="004D393F"/>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686"/>
    <w:rsid w:val="004E0D77"/>
    <w:rsid w:val="004E1433"/>
    <w:rsid w:val="004E16B4"/>
    <w:rsid w:val="004E17FA"/>
    <w:rsid w:val="004E194E"/>
    <w:rsid w:val="004E213A"/>
    <w:rsid w:val="004E2351"/>
    <w:rsid w:val="004E23B0"/>
    <w:rsid w:val="004E251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B8A"/>
    <w:rsid w:val="004F1D65"/>
    <w:rsid w:val="004F1F85"/>
    <w:rsid w:val="004F210F"/>
    <w:rsid w:val="004F24D3"/>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594"/>
    <w:rsid w:val="00501719"/>
    <w:rsid w:val="00501761"/>
    <w:rsid w:val="00501768"/>
    <w:rsid w:val="0050191D"/>
    <w:rsid w:val="00502B5E"/>
    <w:rsid w:val="00502CD7"/>
    <w:rsid w:val="00503156"/>
    <w:rsid w:val="005033A2"/>
    <w:rsid w:val="00503619"/>
    <w:rsid w:val="00503B30"/>
    <w:rsid w:val="00503DE4"/>
    <w:rsid w:val="005044B0"/>
    <w:rsid w:val="0050476D"/>
    <w:rsid w:val="0050478A"/>
    <w:rsid w:val="005049A8"/>
    <w:rsid w:val="005049D1"/>
    <w:rsid w:val="005049D2"/>
    <w:rsid w:val="00504E98"/>
    <w:rsid w:val="005051A8"/>
    <w:rsid w:val="00505293"/>
    <w:rsid w:val="005056AC"/>
    <w:rsid w:val="00505B08"/>
    <w:rsid w:val="00506181"/>
    <w:rsid w:val="00506277"/>
    <w:rsid w:val="00506521"/>
    <w:rsid w:val="00506937"/>
    <w:rsid w:val="00506CA2"/>
    <w:rsid w:val="00506DAC"/>
    <w:rsid w:val="0050711C"/>
    <w:rsid w:val="005104B0"/>
    <w:rsid w:val="00510F4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26C"/>
    <w:rsid w:val="005153AC"/>
    <w:rsid w:val="005153DD"/>
    <w:rsid w:val="0051558C"/>
    <w:rsid w:val="0051580D"/>
    <w:rsid w:val="00515C53"/>
    <w:rsid w:val="00515DB6"/>
    <w:rsid w:val="005165F8"/>
    <w:rsid w:val="00516D49"/>
    <w:rsid w:val="005170FF"/>
    <w:rsid w:val="0051771F"/>
    <w:rsid w:val="00517842"/>
    <w:rsid w:val="00517A33"/>
    <w:rsid w:val="005202F9"/>
    <w:rsid w:val="0052178C"/>
    <w:rsid w:val="00521795"/>
    <w:rsid w:val="00521B34"/>
    <w:rsid w:val="00521BB2"/>
    <w:rsid w:val="00521DF3"/>
    <w:rsid w:val="00521E39"/>
    <w:rsid w:val="00521FFF"/>
    <w:rsid w:val="005220C9"/>
    <w:rsid w:val="0052237C"/>
    <w:rsid w:val="00522428"/>
    <w:rsid w:val="00522AAC"/>
    <w:rsid w:val="00522FA4"/>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D72"/>
    <w:rsid w:val="00534E5C"/>
    <w:rsid w:val="00535529"/>
    <w:rsid w:val="00535557"/>
    <w:rsid w:val="00535736"/>
    <w:rsid w:val="005357C4"/>
    <w:rsid w:val="00535AF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0CB2"/>
    <w:rsid w:val="00541138"/>
    <w:rsid w:val="00541175"/>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A96"/>
    <w:rsid w:val="00543BDF"/>
    <w:rsid w:val="00543DCE"/>
    <w:rsid w:val="00543E6C"/>
    <w:rsid w:val="00543FAA"/>
    <w:rsid w:val="00544085"/>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202"/>
    <w:rsid w:val="00550625"/>
    <w:rsid w:val="00550677"/>
    <w:rsid w:val="005507D1"/>
    <w:rsid w:val="00550975"/>
    <w:rsid w:val="00550A88"/>
    <w:rsid w:val="00550ABA"/>
    <w:rsid w:val="00550DF2"/>
    <w:rsid w:val="00550F20"/>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3A1"/>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8B8"/>
    <w:rsid w:val="00557BB7"/>
    <w:rsid w:val="00557C49"/>
    <w:rsid w:val="0056095E"/>
    <w:rsid w:val="00560F98"/>
    <w:rsid w:val="005611F8"/>
    <w:rsid w:val="0056184F"/>
    <w:rsid w:val="005619BE"/>
    <w:rsid w:val="00562385"/>
    <w:rsid w:val="00562A4B"/>
    <w:rsid w:val="00562EDF"/>
    <w:rsid w:val="00562F69"/>
    <w:rsid w:val="005631A8"/>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63BF"/>
    <w:rsid w:val="00596CFE"/>
    <w:rsid w:val="00597317"/>
    <w:rsid w:val="005975C3"/>
    <w:rsid w:val="00597A3E"/>
    <w:rsid w:val="00597F58"/>
    <w:rsid w:val="005A0340"/>
    <w:rsid w:val="005A0446"/>
    <w:rsid w:val="005A0778"/>
    <w:rsid w:val="005A0C82"/>
    <w:rsid w:val="005A0DA3"/>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804"/>
    <w:rsid w:val="005A7CAB"/>
    <w:rsid w:val="005A7E0F"/>
    <w:rsid w:val="005B029F"/>
    <w:rsid w:val="005B031D"/>
    <w:rsid w:val="005B0782"/>
    <w:rsid w:val="005B07EB"/>
    <w:rsid w:val="005B0DF5"/>
    <w:rsid w:val="005B176B"/>
    <w:rsid w:val="005B1853"/>
    <w:rsid w:val="005B1887"/>
    <w:rsid w:val="005B1A6E"/>
    <w:rsid w:val="005B2805"/>
    <w:rsid w:val="005B2868"/>
    <w:rsid w:val="005B2F9B"/>
    <w:rsid w:val="005B3090"/>
    <w:rsid w:val="005B31C7"/>
    <w:rsid w:val="005B3738"/>
    <w:rsid w:val="005B40F3"/>
    <w:rsid w:val="005B453F"/>
    <w:rsid w:val="005B459C"/>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0FB4"/>
    <w:rsid w:val="005C1093"/>
    <w:rsid w:val="005C13E2"/>
    <w:rsid w:val="005C1535"/>
    <w:rsid w:val="005C1AA2"/>
    <w:rsid w:val="005C200F"/>
    <w:rsid w:val="005C21BD"/>
    <w:rsid w:val="005C2BB4"/>
    <w:rsid w:val="005C3527"/>
    <w:rsid w:val="005C3DEF"/>
    <w:rsid w:val="005C454E"/>
    <w:rsid w:val="005C4BA4"/>
    <w:rsid w:val="005C4C47"/>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FD7"/>
    <w:rsid w:val="005D1471"/>
    <w:rsid w:val="005D1580"/>
    <w:rsid w:val="005D1F39"/>
    <w:rsid w:val="005D2091"/>
    <w:rsid w:val="005D2377"/>
    <w:rsid w:val="005D266A"/>
    <w:rsid w:val="005D2882"/>
    <w:rsid w:val="005D2A77"/>
    <w:rsid w:val="005D2B81"/>
    <w:rsid w:val="005D2E01"/>
    <w:rsid w:val="005D2EFE"/>
    <w:rsid w:val="005D334D"/>
    <w:rsid w:val="005D376B"/>
    <w:rsid w:val="005D3C7B"/>
    <w:rsid w:val="005D3E72"/>
    <w:rsid w:val="005D40BE"/>
    <w:rsid w:val="005D40F2"/>
    <w:rsid w:val="005D430D"/>
    <w:rsid w:val="005D44A8"/>
    <w:rsid w:val="005D46C6"/>
    <w:rsid w:val="005D47E9"/>
    <w:rsid w:val="005D4ADF"/>
    <w:rsid w:val="005D4E24"/>
    <w:rsid w:val="005D4EB4"/>
    <w:rsid w:val="005D54FC"/>
    <w:rsid w:val="005D6159"/>
    <w:rsid w:val="005D62AF"/>
    <w:rsid w:val="005D63DF"/>
    <w:rsid w:val="005D675A"/>
    <w:rsid w:val="005D697C"/>
    <w:rsid w:val="005D6B48"/>
    <w:rsid w:val="005D6C9D"/>
    <w:rsid w:val="005D6EB4"/>
    <w:rsid w:val="005D7440"/>
    <w:rsid w:val="005D74BF"/>
    <w:rsid w:val="005D7926"/>
    <w:rsid w:val="005D79D1"/>
    <w:rsid w:val="005D7B14"/>
    <w:rsid w:val="005D7B5F"/>
    <w:rsid w:val="005D7C67"/>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208D"/>
    <w:rsid w:val="005F220E"/>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633"/>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C47"/>
    <w:rsid w:val="00607148"/>
    <w:rsid w:val="0060719A"/>
    <w:rsid w:val="00607304"/>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2B93"/>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163"/>
    <w:rsid w:val="006267E2"/>
    <w:rsid w:val="00626840"/>
    <w:rsid w:val="006269C7"/>
    <w:rsid w:val="00626C51"/>
    <w:rsid w:val="00627125"/>
    <w:rsid w:val="00627366"/>
    <w:rsid w:val="0062772A"/>
    <w:rsid w:val="00627C5C"/>
    <w:rsid w:val="00627E02"/>
    <w:rsid w:val="00630AEB"/>
    <w:rsid w:val="006310C0"/>
    <w:rsid w:val="00631453"/>
    <w:rsid w:val="00631567"/>
    <w:rsid w:val="006319D4"/>
    <w:rsid w:val="00631C3C"/>
    <w:rsid w:val="00631C40"/>
    <w:rsid w:val="00632063"/>
    <w:rsid w:val="00632133"/>
    <w:rsid w:val="00632255"/>
    <w:rsid w:val="00632926"/>
    <w:rsid w:val="0063294B"/>
    <w:rsid w:val="00632A18"/>
    <w:rsid w:val="00632CF9"/>
    <w:rsid w:val="00632D90"/>
    <w:rsid w:val="006336D6"/>
    <w:rsid w:val="00633802"/>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D06"/>
    <w:rsid w:val="00641E72"/>
    <w:rsid w:val="0064218B"/>
    <w:rsid w:val="006425AF"/>
    <w:rsid w:val="00642675"/>
    <w:rsid w:val="00642AAC"/>
    <w:rsid w:val="00642B9D"/>
    <w:rsid w:val="00642E87"/>
    <w:rsid w:val="00642F81"/>
    <w:rsid w:val="0064323A"/>
    <w:rsid w:val="00643530"/>
    <w:rsid w:val="006439DC"/>
    <w:rsid w:val="006441A0"/>
    <w:rsid w:val="006441C6"/>
    <w:rsid w:val="00644575"/>
    <w:rsid w:val="006446B0"/>
    <w:rsid w:val="0064487D"/>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5B0"/>
    <w:rsid w:val="00653901"/>
    <w:rsid w:val="00653A25"/>
    <w:rsid w:val="00653D8D"/>
    <w:rsid w:val="00653E5D"/>
    <w:rsid w:val="0065411A"/>
    <w:rsid w:val="006541E9"/>
    <w:rsid w:val="00654402"/>
    <w:rsid w:val="00654637"/>
    <w:rsid w:val="00654DFD"/>
    <w:rsid w:val="00654E33"/>
    <w:rsid w:val="0065506D"/>
    <w:rsid w:val="006553FB"/>
    <w:rsid w:val="00655495"/>
    <w:rsid w:val="00655B5E"/>
    <w:rsid w:val="00656134"/>
    <w:rsid w:val="006562C0"/>
    <w:rsid w:val="00656BB9"/>
    <w:rsid w:val="00656C71"/>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C4"/>
    <w:rsid w:val="006733FE"/>
    <w:rsid w:val="00673430"/>
    <w:rsid w:val="006736A8"/>
    <w:rsid w:val="006738BD"/>
    <w:rsid w:val="006739E8"/>
    <w:rsid w:val="00673BED"/>
    <w:rsid w:val="006740DB"/>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77FD9"/>
    <w:rsid w:val="00680382"/>
    <w:rsid w:val="00680C8A"/>
    <w:rsid w:val="00680EB5"/>
    <w:rsid w:val="0068103A"/>
    <w:rsid w:val="006811AE"/>
    <w:rsid w:val="00681236"/>
    <w:rsid w:val="00681B4D"/>
    <w:rsid w:val="00681CB7"/>
    <w:rsid w:val="00681E30"/>
    <w:rsid w:val="006823E8"/>
    <w:rsid w:val="006823ED"/>
    <w:rsid w:val="006826F6"/>
    <w:rsid w:val="00682C05"/>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834"/>
    <w:rsid w:val="00692906"/>
    <w:rsid w:val="00692909"/>
    <w:rsid w:val="006929EC"/>
    <w:rsid w:val="00692C8D"/>
    <w:rsid w:val="00692E8B"/>
    <w:rsid w:val="006931DA"/>
    <w:rsid w:val="00693348"/>
    <w:rsid w:val="00693A1C"/>
    <w:rsid w:val="006940E8"/>
    <w:rsid w:val="00694856"/>
    <w:rsid w:val="00694BA2"/>
    <w:rsid w:val="00694E0A"/>
    <w:rsid w:val="00695679"/>
    <w:rsid w:val="00695808"/>
    <w:rsid w:val="00695E94"/>
    <w:rsid w:val="00695FF8"/>
    <w:rsid w:val="00696169"/>
    <w:rsid w:val="0069638D"/>
    <w:rsid w:val="00696498"/>
    <w:rsid w:val="00696542"/>
    <w:rsid w:val="006966AD"/>
    <w:rsid w:val="0069708C"/>
    <w:rsid w:val="006970E0"/>
    <w:rsid w:val="006971A8"/>
    <w:rsid w:val="00697589"/>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7B"/>
    <w:rsid w:val="006A34A4"/>
    <w:rsid w:val="006A381D"/>
    <w:rsid w:val="006A3949"/>
    <w:rsid w:val="006A3C9D"/>
    <w:rsid w:val="006A3D85"/>
    <w:rsid w:val="006A4939"/>
    <w:rsid w:val="006A4CD5"/>
    <w:rsid w:val="006A5241"/>
    <w:rsid w:val="006A5326"/>
    <w:rsid w:val="006A5467"/>
    <w:rsid w:val="006A5A1C"/>
    <w:rsid w:val="006A5D5D"/>
    <w:rsid w:val="006A5DCC"/>
    <w:rsid w:val="006A6032"/>
    <w:rsid w:val="006A6205"/>
    <w:rsid w:val="006A6830"/>
    <w:rsid w:val="006A6CE6"/>
    <w:rsid w:val="006A6DF6"/>
    <w:rsid w:val="006A6E01"/>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29E7"/>
    <w:rsid w:val="006B2AC3"/>
    <w:rsid w:val="006B2ADD"/>
    <w:rsid w:val="006B3213"/>
    <w:rsid w:val="006B3549"/>
    <w:rsid w:val="006B3DF2"/>
    <w:rsid w:val="006B40B7"/>
    <w:rsid w:val="006B460E"/>
    <w:rsid w:val="006B46FB"/>
    <w:rsid w:val="006B4D5D"/>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381"/>
    <w:rsid w:val="006C062B"/>
    <w:rsid w:val="006C09B4"/>
    <w:rsid w:val="006C0D81"/>
    <w:rsid w:val="006C1079"/>
    <w:rsid w:val="006C12BE"/>
    <w:rsid w:val="006C1F5E"/>
    <w:rsid w:val="006C2372"/>
    <w:rsid w:val="006C302A"/>
    <w:rsid w:val="006C3236"/>
    <w:rsid w:val="006C332A"/>
    <w:rsid w:val="006C3439"/>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9F1"/>
    <w:rsid w:val="006C7164"/>
    <w:rsid w:val="006C74E4"/>
    <w:rsid w:val="006C7750"/>
    <w:rsid w:val="006C79A6"/>
    <w:rsid w:val="006D0724"/>
    <w:rsid w:val="006D07C4"/>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451"/>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2014"/>
    <w:rsid w:val="0070204A"/>
    <w:rsid w:val="007022BF"/>
    <w:rsid w:val="0070235D"/>
    <w:rsid w:val="00702390"/>
    <w:rsid w:val="007025A0"/>
    <w:rsid w:val="0070265A"/>
    <w:rsid w:val="007028CE"/>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A91"/>
    <w:rsid w:val="00741C84"/>
    <w:rsid w:val="007426BE"/>
    <w:rsid w:val="00742EBC"/>
    <w:rsid w:val="0074330C"/>
    <w:rsid w:val="007436C4"/>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D55"/>
    <w:rsid w:val="00747EEA"/>
    <w:rsid w:val="0075037B"/>
    <w:rsid w:val="0075059C"/>
    <w:rsid w:val="0075063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82"/>
    <w:rsid w:val="00754543"/>
    <w:rsid w:val="00755060"/>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CF9"/>
    <w:rsid w:val="00772E2E"/>
    <w:rsid w:val="0077324F"/>
    <w:rsid w:val="00773424"/>
    <w:rsid w:val="00773775"/>
    <w:rsid w:val="00773B3F"/>
    <w:rsid w:val="0077453B"/>
    <w:rsid w:val="00774846"/>
    <w:rsid w:val="00774C28"/>
    <w:rsid w:val="00774C99"/>
    <w:rsid w:val="00774CEA"/>
    <w:rsid w:val="007753A5"/>
    <w:rsid w:val="00775638"/>
    <w:rsid w:val="00775A18"/>
    <w:rsid w:val="00775B0E"/>
    <w:rsid w:val="00775C81"/>
    <w:rsid w:val="00775C99"/>
    <w:rsid w:val="00775D36"/>
    <w:rsid w:val="00775E03"/>
    <w:rsid w:val="007764E6"/>
    <w:rsid w:val="00776561"/>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9D9"/>
    <w:rsid w:val="007A2B5C"/>
    <w:rsid w:val="007A2DA2"/>
    <w:rsid w:val="007A2F38"/>
    <w:rsid w:val="007A343C"/>
    <w:rsid w:val="007A36C9"/>
    <w:rsid w:val="007A3EA5"/>
    <w:rsid w:val="007A40DF"/>
    <w:rsid w:val="007A497D"/>
    <w:rsid w:val="007A4D41"/>
    <w:rsid w:val="007A4D7B"/>
    <w:rsid w:val="007A4DB6"/>
    <w:rsid w:val="007A501D"/>
    <w:rsid w:val="007A51E8"/>
    <w:rsid w:val="007A562E"/>
    <w:rsid w:val="007A5DA6"/>
    <w:rsid w:val="007A5F7C"/>
    <w:rsid w:val="007A63F6"/>
    <w:rsid w:val="007A6729"/>
    <w:rsid w:val="007A6AEE"/>
    <w:rsid w:val="007A6B2B"/>
    <w:rsid w:val="007A6BF9"/>
    <w:rsid w:val="007A6DEE"/>
    <w:rsid w:val="007A7368"/>
    <w:rsid w:val="007A7435"/>
    <w:rsid w:val="007A74DF"/>
    <w:rsid w:val="007A74FA"/>
    <w:rsid w:val="007A7657"/>
    <w:rsid w:val="007A79AD"/>
    <w:rsid w:val="007B02BB"/>
    <w:rsid w:val="007B03D1"/>
    <w:rsid w:val="007B06E1"/>
    <w:rsid w:val="007B08BD"/>
    <w:rsid w:val="007B0AEC"/>
    <w:rsid w:val="007B0C60"/>
    <w:rsid w:val="007B0DDB"/>
    <w:rsid w:val="007B1153"/>
    <w:rsid w:val="007B122D"/>
    <w:rsid w:val="007B124C"/>
    <w:rsid w:val="007B134A"/>
    <w:rsid w:val="007B1886"/>
    <w:rsid w:val="007B1DEE"/>
    <w:rsid w:val="007B23DF"/>
    <w:rsid w:val="007B252F"/>
    <w:rsid w:val="007B25C5"/>
    <w:rsid w:val="007B2767"/>
    <w:rsid w:val="007B2802"/>
    <w:rsid w:val="007B2A8E"/>
    <w:rsid w:val="007B2AD3"/>
    <w:rsid w:val="007B2B00"/>
    <w:rsid w:val="007B2EF0"/>
    <w:rsid w:val="007B3716"/>
    <w:rsid w:val="007B410B"/>
    <w:rsid w:val="007B41E4"/>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35B"/>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A02"/>
    <w:rsid w:val="007D3CBB"/>
    <w:rsid w:val="007D3EDC"/>
    <w:rsid w:val="007D3F4F"/>
    <w:rsid w:val="007D3F9D"/>
    <w:rsid w:val="007D4083"/>
    <w:rsid w:val="007D42CC"/>
    <w:rsid w:val="007D43F2"/>
    <w:rsid w:val="007D4439"/>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B93"/>
    <w:rsid w:val="007E5197"/>
    <w:rsid w:val="007E556B"/>
    <w:rsid w:val="007E5A68"/>
    <w:rsid w:val="007E5A98"/>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052"/>
    <w:rsid w:val="007F283E"/>
    <w:rsid w:val="007F29E9"/>
    <w:rsid w:val="007F2C27"/>
    <w:rsid w:val="007F2D64"/>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CAF"/>
    <w:rsid w:val="008001C5"/>
    <w:rsid w:val="00800545"/>
    <w:rsid w:val="008005D9"/>
    <w:rsid w:val="00800749"/>
    <w:rsid w:val="00800E33"/>
    <w:rsid w:val="00800E9E"/>
    <w:rsid w:val="008015E3"/>
    <w:rsid w:val="008016A9"/>
    <w:rsid w:val="0080171C"/>
    <w:rsid w:val="00801B02"/>
    <w:rsid w:val="00801B26"/>
    <w:rsid w:val="00801B56"/>
    <w:rsid w:val="0080222F"/>
    <w:rsid w:val="008022E6"/>
    <w:rsid w:val="008022F8"/>
    <w:rsid w:val="0080256B"/>
    <w:rsid w:val="008028A4"/>
    <w:rsid w:val="00802A39"/>
    <w:rsid w:val="00802B95"/>
    <w:rsid w:val="00802F09"/>
    <w:rsid w:val="00802FB1"/>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BE1"/>
    <w:rsid w:val="00806168"/>
    <w:rsid w:val="0080631D"/>
    <w:rsid w:val="00806886"/>
    <w:rsid w:val="00806E16"/>
    <w:rsid w:val="00806EBE"/>
    <w:rsid w:val="00807297"/>
    <w:rsid w:val="00807486"/>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F11"/>
    <w:rsid w:val="00825119"/>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72A1"/>
    <w:rsid w:val="00837488"/>
    <w:rsid w:val="008375F8"/>
    <w:rsid w:val="00837C2C"/>
    <w:rsid w:val="00837C45"/>
    <w:rsid w:val="00837C52"/>
    <w:rsid w:val="00837DB7"/>
    <w:rsid w:val="008401FF"/>
    <w:rsid w:val="0084080D"/>
    <w:rsid w:val="00840AA0"/>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F25"/>
    <w:rsid w:val="00845198"/>
    <w:rsid w:val="0084534D"/>
    <w:rsid w:val="00845929"/>
    <w:rsid w:val="00845ECE"/>
    <w:rsid w:val="008462E0"/>
    <w:rsid w:val="008464A3"/>
    <w:rsid w:val="0084660F"/>
    <w:rsid w:val="00846F0C"/>
    <w:rsid w:val="0084713B"/>
    <w:rsid w:val="00847376"/>
    <w:rsid w:val="00847614"/>
    <w:rsid w:val="00847874"/>
    <w:rsid w:val="00847ACB"/>
    <w:rsid w:val="00847D00"/>
    <w:rsid w:val="00847D25"/>
    <w:rsid w:val="00847E08"/>
    <w:rsid w:val="00847EEE"/>
    <w:rsid w:val="00850007"/>
    <w:rsid w:val="008503AD"/>
    <w:rsid w:val="008509E4"/>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CA"/>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262"/>
    <w:rsid w:val="0088227B"/>
    <w:rsid w:val="0088240E"/>
    <w:rsid w:val="0088245B"/>
    <w:rsid w:val="00882585"/>
    <w:rsid w:val="008825B6"/>
    <w:rsid w:val="00882803"/>
    <w:rsid w:val="00882C28"/>
    <w:rsid w:val="00884383"/>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4B0"/>
    <w:rsid w:val="008A2579"/>
    <w:rsid w:val="008A2A82"/>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709C"/>
    <w:rsid w:val="008C7E72"/>
    <w:rsid w:val="008C7F5F"/>
    <w:rsid w:val="008D0220"/>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70D"/>
    <w:rsid w:val="008D3801"/>
    <w:rsid w:val="008D3B8A"/>
    <w:rsid w:val="008D4526"/>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D7C7E"/>
    <w:rsid w:val="008E00DC"/>
    <w:rsid w:val="008E017E"/>
    <w:rsid w:val="008E04AB"/>
    <w:rsid w:val="008E05B8"/>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5DE"/>
    <w:rsid w:val="008F5A11"/>
    <w:rsid w:val="008F6495"/>
    <w:rsid w:val="008F65EF"/>
    <w:rsid w:val="008F67AD"/>
    <w:rsid w:val="008F686C"/>
    <w:rsid w:val="008F6899"/>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5E2"/>
    <w:rsid w:val="00911804"/>
    <w:rsid w:val="00911CAA"/>
    <w:rsid w:val="009120F9"/>
    <w:rsid w:val="00912266"/>
    <w:rsid w:val="009122D6"/>
    <w:rsid w:val="00912D99"/>
    <w:rsid w:val="0091348E"/>
    <w:rsid w:val="009135BD"/>
    <w:rsid w:val="009137FF"/>
    <w:rsid w:val="009138DB"/>
    <w:rsid w:val="00913B8A"/>
    <w:rsid w:val="00914145"/>
    <w:rsid w:val="009144AF"/>
    <w:rsid w:val="0091463E"/>
    <w:rsid w:val="009148DE"/>
    <w:rsid w:val="0091554A"/>
    <w:rsid w:val="009155A4"/>
    <w:rsid w:val="009159E5"/>
    <w:rsid w:val="00915AAE"/>
    <w:rsid w:val="00915B81"/>
    <w:rsid w:val="00915D08"/>
    <w:rsid w:val="0091616E"/>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9B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221"/>
    <w:rsid w:val="0093088F"/>
    <w:rsid w:val="00930C64"/>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7AA"/>
    <w:rsid w:val="00940D38"/>
    <w:rsid w:val="00940DBD"/>
    <w:rsid w:val="00940E87"/>
    <w:rsid w:val="009410A1"/>
    <w:rsid w:val="00941358"/>
    <w:rsid w:val="009416E5"/>
    <w:rsid w:val="0094183D"/>
    <w:rsid w:val="00941862"/>
    <w:rsid w:val="00941AD9"/>
    <w:rsid w:val="009423B4"/>
    <w:rsid w:val="00942EC2"/>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613"/>
    <w:rsid w:val="00945C28"/>
    <w:rsid w:val="00945C97"/>
    <w:rsid w:val="00945E6C"/>
    <w:rsid w:val="00946331"/>
    <w:rsid w:val="009463BF"/>
    <w:rsid w:val="00946752"/>
    <w:rsid w:val="00947057"/>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8E8"/>
    <w:rsid w:val="009519AB"/>
    <w:rsid w:val="00951F55"/>
    <w:rsid w:val="00952047"/>
    <w:rsid w:val="009523E3"/>
    <w:rsid w:val="00952495"/>
    <w:rsid w:val="0095252F"/>
    <w:rsid w:val="0095256D"/>
    <w:rsid w:val="00952A4E"/>
    <w:rsid w:val="00952B9A"/>
    <w:rsid w:val="0095308E"/>
    <w:rsid w:val="0095311F"/>
    <w:rsid w:val="009532BB"/>
    <w:rsid w:val="009536B2"/>
    <w:rsid w:val="009536C4"/>
    <w:rsid w:val="009537F3"/>
    <w:rsid w:val="00953BC4"/>
    <w:rsid w:val="0095415E"/>
    <w:rsid w:val="009548A1"/>
    <w:rsid w:val="00954955"/>
    <w:rsid w:val="009549D1"/>
    <w:rsid w:val="00954A91"/>
    <w:rsid w:val="00955A44"/>
    <w:rsid w:val="00955F45"/>
    <w:rsid w:val="00956182"/>
    <w:rsid w:val="009561A6"/>
    <w:rsid w:val="009561BE"/>
    <w:rsid w:val="00956449"/>
    <w:rsid w:val="009567F3"/>
    <w:rsid w:val="0095697F"/>
    <w:rsid w:val="00956DAC"/>
    <w:rsid w:val="00956E19"/>
    <w:rsid w:val="00956F6D"/>
    <w:rsid w:val="009571FD"/>
    <w:rsid w:val="009573DD"/>
    <w:rsid w:val="00957561"/>
    <w:rsid w:val="00957711"/>
    <w:rsid w:val="00957F64"/>
    <w:rsid w:val="00960020"/>
    <w:rsid w:val="00960041"/>
    <w:rsid w:val="009601C7"/>
    <w:rsid w:val="00960229"/>
    <w:rsid w:val="0096141A"/>
    <w:rsid w:val="0096148E"/>
    <w:rsid w:val="0096177C"/>
    <w:rsid w:val="00961C14"/>
    <w:rsid w:val="00961FF8"/>
    <w:rsid w:val="009620A4"/>
    <w:rsid w:val="009623B3"/>
    <w:rsid w:val="009625F8"/>
    <w:rsid w:val="00962711"/>
    <w:rsid w:val="00962B3F"/>
    <w:rsid w:val="00962B61"/>
    <w:rsid w:val="00963233"/>
    <w:rsid w:val="009632DB"/>
    <w:rsid w:val="0096338D"/>
    <w:rsid w:val="0096341C"/>
    <w:rsid w:val="009634A0"/>
    <w:rsid w:val="009635D9"/>
    <w:rsid w:val="00963709"/>
    <w:rsid w:val="00963CB0"/>
    <w:rsid w:val="00963E3C"/>
    <w:rsid w:val="009641DB"/>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A72"/>
    <w:rsid w:val="00967E96"/>
    <w:rsid w:val="009700AF"/>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72E9"/>
    <w:rsid w:val="00977687"/>
    <w:rsid w:val="009777D9"/>
    <w:rsid w:val="009777FC"/>
    <w:rsid w:val="00977850"/>
    <w:rsid w:val="00977C31"/>
    <w:rsid w:val="00977C82"/>
    <w:rsid w:val="00977CE9"/>
    <w:rsid w:val="00977D61"/>
    <w:rsid w:val="0098001C"/>
    <w:rsid w:val="00980501"/>
    <w:rsid w:val="009806C7"/>
    <w:rsid w:val="00980AE1"/>
    <w:rsid w:val="00980B41"/>
    <w:rsid w:val="009816EF"/>
    <w:rsid w:val="00981962"/>
    <w:rsid w:val="00981C2A"/>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70CB"/>
    <w:rsid w:val="00987475"/>
    <w:rsid w:val="00987DA4"/>
    <w:rsid w:val="00990196"/>
    <w:rsid w:val="00990ABB"/>
    <w:rsid w:val="00990B4D"/>
    <w:rsid w:val="00990B99"/>
    <w:rsid w:val="00990C7B"/>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CC7"/>
    <w:rsid w:val="00992E24"/>
    <w:rsid w:val="00992F95"/>
    <w:rsid w:val="009937DA"/>
    <w:rsid w:val="009938AB"/>
    <w:rsid w:val="00993D6B"/>
    <w:rsid w:val="0099455B"/>
    <w:rsid w:val="00994603"/>
    <w:rsid w:val="00994E86"/>
    <w:rsid w:val="00994FF8"/>
    <w:rsid w:val="00995947"/>
    <w:rsid w:val="00995962"/>
    <w:rsid w:val="00995C13"/>
    <w:rsid w:val="00995FC4"/>
    <w:rsid w:val="0099620F"/>
    <w:rsid w:val="00996936"/>
    <w:rsid w:val="00996FCB"/>
    <w:rsid w:val="0099792E"/>
    <w:rsid w:val="00997B17"/>
    <w:rsid w:val="00997B26"/>
    <w:rsid w:val="00997C32"/>
    <w:rsid w:val="00997CFE"/>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07"/>
    <w:rsid w:val="009A6D4F"/>
    <w:rsid w:val="009A712E"/>
    <w:rsid w:val="009A7317"/>
    <w:rsid w:val="009A73F3"/>
    <w:rsid w:val="009A75EA"/>
    <w:rsid w:val="009A7883"/>
    <w:rsid w:val="009A7AB8"/>
    <w:rsid w:val="009A7D94"/>
    <w:rsid w:val="009A7DA7"/>
    <w:rsid w:val="009B04C2"/>
    <w:rsid w:val="009B090E"/>
    <w:rsid w:val="009B0C1E"/>
    <w:rsid w:val="009B0D8A"/>
    <w:rsid w:val="009B0FDB"/>
    <w:rsid w:val="009B0FE8"/>
    <w:rsid w:val="009B1D75"/>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B7F3A"/>
    <w:rsid w:val="009C015E"/>
    <w:rsid w:val="009C0240"/>
    <w:rsid w:val="009C02AC"/>
    <w:rsid w:val="009C0754"/>
    <w:rsid w:val="009C09F0"/>
    <w:rsid w:val="009C0E19"/>
    <w:rsid w:val="009C0E36"/>
    <w:rsid w:val="009C13B3"/>
    <w:rsid w:val="009C14A1"/>
    <w:rsid w:val="009C15F5"/>
    <w:rsid w:val="009C1827"/>
    <w:rsid w:val="009C1EA6"/>
    <w:rsid w:val="009C21E7"/>
    <w:rsid w:val="009C25AE"/>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2125"/>
    <w:rsid w:val="009D2CC4"/>
    <w:rsid w:val="009D34CA"/>
    <w:rsid w:val="009D3A62"/>
    <w:rsid w:val="009D3D6B"/>
    <w:rsid w:val="009D3F5C"/>
    <w:rsid w:val="009D3FBF"/>
    <w:rsid w:val="009D4163"/>
    <w:rsid w:val="009D438E"/>
    <w:rsid w:val="009D4FF3"/>
    <w:rsid w:val="009D5013"/>
    <w:rsid w:val="009D545E"/>
    <w:rsid w:val="009D583B"/>
    <w:rsid w:val="009D5BF2"/>
    <w:rsid w:val="009D5C4C"/>
    <w:rsid w:val="009D60D0"/>
    <w:rsid w:val="009D60F8"/>
    <w:rsid w:val="009D6187"/>
    <w:rsid w:val="009D6357"/>
    <w:rsid w:val="009D65D1"/>
    <w:rsid w:val="009D6B23"/>
    <w:rsid w:val="009D759A"/>
    <w:rsid w:val="009D78BF"/>
    <w:rsid w:val="009D7A8F"/>
    <w:rsid w:val="009D7BBB"/>
    <w:rsid w:val="009D7D3C"/>
    <w:rsid w:val="009D7E59"/>
    <w:rsid w:val="009E0304"/>
    <w:rsid w:val="009E08C1"/>
    <w:rsid w:val="009E10D6"/>
    <w:rsid w:val="009E1366"/>
    <w:rsid w:val="009E13EB"/>
    <w:rsid w:val="009E1CDC"/>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B59"/>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2FE"/>
    <w:rsid w:val="00A135CF"/>
    <w:rsid w:val="00A13A12"/>
    <w:rsid w:val="00A13CA8"/>
    <w:rsid w:val="00A13D13"/>
    <w:rsid w:val="00A13E62"/>
    <w:rsid w:val="00A14050"/>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23A"/>
    <w:rsid w:val="00A243D9"/>
    <w:rsid w:val="00A2458D"/>
    <w:rsid w:val="00A246B6"/>
    <w:rsid w:val="00A24968"/>
    <w:rsid w:val="00A251FC"/>
    <w:rsid w:val="00A254B2"/>
    <w:rsid w:val="00A2560E"/>
    <w:rsid w:val="00A256FE"/>
    <w:rsid w:val="00A25B46"/>
    <w:rsid w:val="00A26868"/>
    <w:rsid w:val="00A26C0D"/>
    <w:rsid w:val="00A27028"/>
    <w:rsid w:val="00A278CD"/>
    <w:rsid w:val="00A27BF6"/>
    <w:rsid w:val="00A27D3C"/>
    <w:rsid w:val="00A27D43"/>
    <w:rsid w:val="00A27DAE"/>
    <w:rsid w:val="00A27E28"/>
    <w:rsid w:val="00A27E96"/>
    <w:rsid w:val="00A3063E"/>
    <w:rsid w:val="00A309F6"/>
    <w:rsid w:val="00A3134E"/>
    <w:rsid w:val="00A31BD7"/>
    <w:rsid w:val="00A32082"/>
    <w:rsid w:val="00A322E9"/>
    <w:rsid w:val="00A3230B"/>
    <w:rsid w:val="00A3277A"/>
    <w:rsid w:val="00A334B6"/>
    <w:rsid w:val="00A3351E"/>
    <w:rsid w:val="00A340A1"/>
    <w:rsid w:val="00A34147"/>
    <w:rsid w:val="00A34354"/>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468"/>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D57"/>
    <w:rsid w:val="00A87238"/>
    <w:rsid w:val="00A87336"/>
    <w:rsid w:val="00A87402"/>
    <w:rsid w:val="00A87522"/>
    <w:rsid w:val="00A87557"/>
    <w:rsid w:val="00A8757C"/>
    <w:rsid w:val="00A87AA6"/>
    <w:rsid w:val="00A9009C"/>
    <w:rsid w:val="00A90289"/>
    <w:rsid w:val="00A90934"/>
    <w:rsid w:val="00A910B7"/>
    <w:rsid w:val="00A91316"/>
    <w:rsid w:val="00A913B4"/>
    <w:rsid w:val="00A91791"/>
    <w:rsid w:val="00A91A78"/>
    <w:rsid w:val="00A91E08"/>
    <w:rsid w:val="00A91E8C"/>
    <w:rsid w:val="00A921E7"/>
    <w:rsid w:val="00A9289F"/>
    <w:rsid w:val="00A92B3E"/>
    <w:rsid w:val="00A92EC3"/>
    <w:rsid w:val="00A938BB"/>
    <w:rsid w:val="00A940A7"/>
    <w:rsid w:val="00A94492"/>
    <w:rsid w:val="00A947E5"/>
    <w:rsid w:val="00A9537B"/>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4162"/>
    <w:rsid w:val="00AA485D"/>
    <w:rsid w:val="00AA4C25"/>
    <w:rsid w:val="00AA4E8E"/>
    <w:rsid w:val="00AA4F33"/>
    <w:rsid w:val="00AA50B4"/>
    <w:rsid w:val="00AA5130"/>
    <w:rsid w:val="00AA522A"/>
    <w:rsid w:val="00AA5AF7"/>
    <w:rsid w:val="00AA5C77"/>
    <w:rsid w:val="00AA6164"/>
    <w:rsid w:val="00AA618A"/>
    <w:rsid w:val="00AA64D0"/>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1CD8"/>
    <w:rsid w:val="00AD213E"/>
    <w:rsid w:val="00AD26FD"/>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241A"/>
    <w:rsid w:val="00AE2A13"/>
    <w:rsid w:val="00AE2C48"/>
    <w:rsid w:val="00AE2CF2"/>
    <w:rsid w:val="00AE2E3E"/>
    <w:rsid w:val="00AE30CD"/>
    <w:rsid w:val="00AE3918"/>
    <w:rsid w:val="00AE3B8D"/>
    <w:rsid w:val="00AE3E5C"/>
    <w:rsid w:val="00AE4388"/>
    <w:rsid w:val="00AE47FF"/>
    <w:rsid w:val="00AE4A39"/>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78F"/>
    <w:rsid w:val="00AE687D"/>
    <w:rsid w:val="00AE6E2C"/>
    <w:rsid w:val="00AE6F6C"/>
    <w:rsid w:val="00AE6F93"/>
    <w:rsid w:val="00AE70F6"/>
    <w:rsid w:val="00AE7AB7"/>
    <w:rsid w:val="00AE7C40"/>
    <w:rsid w:val="00AE7CAC"/>
    <w:rsid w:val="00AF0820"/>
    <w:rsid w:val="00AF0841"/>
    <w:rsid w:val="00AF086F"/>
    <w:rsid w:val="00AF095C"/>
    <w:rsid w:val="00AF0F64"/>
    <w:rsid w:val="00AF148A"/>
    <w:rsid w:val="00AF1748"/>
    <w:rsid w:val="00AF19DF"/>
    <w:rsid w:val="00AF264C"/>
    <w:rsid w:val="00AF2964"/>
    <w:rsid w:val="00AF2AD1"/>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98"/>
    <w:rsid w:val="00B02B55"/>
    <w:rsid w:val="00B03017"/>
    <w:rsid w:val="00B03207"/>
    <w:rsid w:val="00B03363"/>
    <w:rsid w:val="00B0381B"/>
    <w:rsid w:val="00B0386E"/>
    <w:rsid w:val="00B03954"/>
    <w:rsid w:val="00B03B4B"/>
    <w:rsid w:val="00B03BB5"/>
    <w:rsid w:val="00B03D5E"/>
    <w:rsid w:val="00B03E67"/>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449"/>
    <w:rsid w:val="00B11D20"/>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20446"/>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7146"/>
    <w:rsid w:val="00B3731A"/>
    <w:rsid w:val="00B37A94"/>
    <w:rsid w:val="00B37B2F"/>
    <w:rsid w:val="00B37DDC"/>
    <w:rsid w:val="00B400E9"/>
    <w:rsid w:val="00B4028A"/>
    <w:rsid w:val="00B40446"/>
    <w:rsid w:val="00B406FB"/>
    <w:rsid w:val="00B40F26"/>
    <w:rsid w:val="00B41062"/>
    <w:rsid w:val="00B417F2"/>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2AA"/>
    <w:rsid w:val="00B51453"/>
    <w:rsid w:val="00B51536"/>
    <w:rsid w:val="00B51570"/>
    <w:rsid w:val="00B51626"/>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8A2"/>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223"/>
    <w:rsid w:val="00B67480"/>
    <w:rsid w:val="00B67B97"/>
    <w:rsid w:val="00B67CF6"/>
    <w:rsid w:val="00B67CFF"/>
    <w:rsid w:val="00B702B9"/>
    <w:rsid w:val="00B70873"/>
    <w:rsid w:val="00B7096F"/>
    <w:rsid w:val="00B70E96"/>
    <w:rsid w:val="00B70F83"/>
    <w:rsid w:val="00B71198"/>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D7F"/>
    <w:rsid w:val="00B77F03"/>
    <w:rsid w:val="00B80009"/>
    <w:rsid w:val="00B800A6"/>
    <w:rsid w:val="00B803E0"/>
    <w:rsid w:val="00B806BD"/>
    <w:rsid w:val="00B80D01"/>
    <w:rsid w:val="00B810B8"/>
    <w:rsid w:val="00B812B4"/>
    <w:rsid w:val="00B81FB0"/>
    <w:rsid w:val="00B822E7"/>
    <w:rsid w:val="00B824D7"/>
    <w:rsid w:val="00B827A3"/>
    <w:rsid w:val="00B82A2C"/>
    <w:rsid w:val="00B82D3C"/>
    <w:rsid w:val="00B82F34"/>
    <w:rsid w:val="00B82FC4"/>
    <w:rsid w:val="00B8304E"/>
    <w:rsid w:val="00B83600"/>
    <w:rsid w:val="00B83BB2"/>
    <w:rsid w:val="00B848F7"/>
    <w:rsid w:val="00B84ABC"/>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76F"/>
    <w:rsid w:val="00B9028E"/>
    <w:rsid w:val="00B90517"/>
    <w:rsid w:val="00B90708"/>
    <w:rsid w:val="00B90930"/>
    <w:rsid w:val="00B90E19"/>
    <w:rsid w:val="00B90E79"/>
    <w:rsid w:val="00B90EE6"/>
    <w:rsid w:val="00B91D30"/>
    <w:rsid w:val="00B91EDE"/>
    <w:rsid w:val="00B924F7"/>
    <w:rsid w:val="00B93140"/>
    <w:rsid w:val="00B93257"/>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AA0"/>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335"/>
    <w:rsid w:val="00BB1623"/>
    <w:rsid w:val="00BB1D7F"/>
    <w:rsid w:val="00BB1ED0"/>
    <w:rsid w:val="00BB20BF"/>
    <w:rsid w:val="00BB2392"/>
    <w:rsid w:val="00BB2A5A"/>
    <w:rsid w:val="00BB37BB"/>
    <w:rsid w:val="00BB3BAE"/>
    <w:rsid w:val="00BB3E45"/>
    <w:rsid w:val="00BB3F90"/>
    <w:rsid w:val="00BB4037"/>
    <w:rsid w:val="00BB4219"/>
    <w:rsid w:val="00BB4D21"/>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7B9"/>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535"/>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4094"/>
    <w:rsid w:val="00BE40E9"/>
    <w:rsid w:val="00BE4264"/>
    <w:rsid w:val="00BE42F1"/>
    <w:rsid w:val="00BE44E1"/>
    <w:rsid w:val="00BE4700"/>
    <w:rsid w:val="00BE6361"/>
    <w:rsid w:val="00BE639C"/>
    <w:rsid w:val="00BE6907"/>
    <w:rsid w:val="00BE6B42"/>
    <w:rsid w:val="00BE6CB3"/>
    <w:rsid w:val="00BE7248"/>
    <w:rsid w:val="00BE731D"/>
    <w:rsid w:val="00BE7408"/>
    <w:rsid w:val="00BE7C2E"/>
    <w:rsid w:val="00BE7E70"/>
    <w:rsid w:val="00BF007C"/>
    <w:rsid w:val="00BF01EE"/>
    <w:rsid w:val="00BF01F1"/>
    <w:rsid w:val="00BF02A3"/>
    <w:rsid w:val="00BF03EB"/>
    <w:rsid w:val="00BF06DF"/>
    <w:rsid w:val="00BF17C6"/>
    <w:rsid w:val="00BF1977"/>
    <w:rsid w:val="00BF1A50"/>
    <w:rsid w:val="00BF1ABA"/>
    <w:rsid w:val="00BF1C27"/>
    <w:rsid w:val="00BF1C99"/>
    <w:rsid w:val="00BF207E"/>
    <w:rsid w:val="00BF20EE"/>
    <w:rsid w:val="00BF20F6"/>
    <w:rsid w:val="00BF22B7"/>
    <w:rsid w:val="00BF35BE"/>
    <w:rsid w:val="00BF3709"/>
    <w:rsid w:val="00BF386D"/>
    <w:rsid w:val="00BF3AF7"/>
    <w:rsid w:val="00BF4370"/>
    <w:rsid w:val="00BF47A6"/>
    <w:rsid w:val="00BF488C"/>
    <w:rsid w:val="00BF4B4E"/>
    <w:rsid w:val="00BF4B7C"/>
    <w:rsid w:val="00BF4D1B"/>
    <w:rsid w:val="00BF4FF9"/>
    <w:rsid w:val="00BF5135"/>
    <w:rsid w:val="00BF52D8"/>
    <w:rsid w:val="00BF53EA"/>
    <w:rsid w:val="00BF5744"/>
    <w:rsid w:val="00BF57BF"/>
    <w:rsid w:val="00BF5913"/>
    <w:rsid w:val="00BF5DBF"/>
    <w:rsid w:val="00BF6597"/>
    <w:rsid w:val="00BF69D4"/>
    <w:rsid w:val="00BF6C0D"/>
    <w:rsid w:val="00BF6F0E"/>
    <w:rsid w:val="00BF6F3D"/>
    <w:rsid w:val="00BF7024"/>
    <w:rsid w:val="00BF7976"/>
    <w:rsid w:val="00BF79BF"/>
    <w:rsid w:val="00C004CB"/>
    <w:rsid w:val="00C00546"/>
    <w:rsid w:val="00C00553"/>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3F4D"/>
    <w:rsid w:val="00C040D0"/>
    <w:rsid w:val="00C040FE"/>
    <w:rsid w:val="00C04142"/>
    <w:rsid w:val="00C0445C"/>
    <w:rsid w:val="00C04802"/>
    <w:rsid w:val="00C049B6"/>
    <w:rsid w:val="00C04AB1"/>
    <w:rsid w:val="00C04B8C"/>
    <w:rsid w:val="00C04F45"/>
    <w:rsid w:val="00C04F81"/>
    <w:rsid w:val="00C0503E"/>
    <w:rsid w:val="00C050E6"/>
    <w:rsid w:val="00C054F0"/>
    <w:rsid w:val="00C05797"/>
    <w:rsid w:val="00C05D77"/>
    <w:rsid w:val="00C05E32"/>
    <w:rsid w:val="00C061F3"/>
    <w:rsid w:val="00C06796"/>
    <w:rsid w:val="00C067B4"/>
    <w:rsid w:val="00C06A86"/>
    <w:rsid w:val="00C06DF8"/>
    <w:rsid w:val="00C07032"/>
    <w:rsid w:val="00C071F7"/>
    <w:rsid w:val="00C0728A"/>
    <w:rsid w:val="00C072E8"/>
    <w:rsid w:val="00C075EA"/>
    <w:rsid w:val="00C077F0"/>
    <w:rsid w:val="00C0787B"/>
    <w:rsid w:val="00C07CD1"/>
    <w:rsid w:val="00C10ABD"/>
    <w:rsid w:val="00C10AF0"/>
    <w:rsid w:val="00C10C51"/>
    <w:rsid w:val="00C10E71"/>
    <w:rsid w:val="00C10F3F"/>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EC"/>
    <w:rsid w:val="00C1543F"/>
    <w:rsid w:val="00C15504"/>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5282"/>
    <w:rsid w:val="00C35FD7"/>
    <w:rsid w:val="00C362F9"/>
    <w:rsid w:val="00C36811"/>
    <w:rsid w:val="00C36A51"/>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388"/>
    <w:rsid w:val="00C50754"/>
    <w:rsid w:val="00C509BF"/>
    <w:rsid w:val="00C50CAC"/>
    <w:rsid w:val="00C50D3A"/>
    <w:rsid w:val="00C51078"/>
    <w:rsid w:val="00C511AD"/>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3CB"/>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958"/>
    <w:rsid w:val="00C86B40"/>
    <w:rsid w:val="00C86BF0"/>
    <w:rsid w:val="00C86C58"/>
    <w:rsid w:val="00C86D4E"/>
    <w:rsid w:val="00C86FBE"/>
    <w:rsid w:val="00C87163"/>
    <w:rsid w:val="00C875F9"/>
    <w:rsid w:val="00C876FE"/>
    <w:rsid w:val="00C87C47"/>
    <w:rsid w:val="00C87DCB"/>
    <w:rsid w:val="00C90149"/>
    <w:rsid w:val="00C904A7"/>
    <w:rsid w:val="00C90514"/>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DE"/>
    <w:rsid w:val="00CA624D"/>
    <w:rsid w:val="00CA68D6"/>
    <w:rsid w:val="00CA6A0F"/>
    <w:rsid w:val="00CA6AC4"/>
    <w:rsid w:val="00CA6F0C"/>
    <w:rsid w:val="00CA6F5E"/>
    <w:rsid w:val="00CA70B0"/>
    <w:rsid w:val="00CA7BE7"/>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3840"/>
    <w:rsid w:val="00CB3E90"/>
    <w:rsid w:val="00CB40FF"/>
    <w:rsid w:val="00CB41F9"/>
    <w:rsid w:val="00CB4613"/>
    <w:rsid w:val="00CB49A1"/>
    <w:rsid w:val="00CB4A90"/>
    <w:rsid w:val="00CB4BF0"/>
    <w:rsid w:val="00CB4D89"/>
    <w:rsid w:val="00CB5002"/>
    <w:rsid w:val="00CB5843"/>
    <w:rsid w:val="00CB5A69"/>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07B"/>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DE"/>
    <w:rsid w:val="00CD4707"/>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29E7"/>
    <w:rsid w:val="00CE32A5"/>
    <w:rsid w:val="00CE37B3"/>
    <w:rsid w:val="00CE3869"/>
    <w:rsid w:val="00CE4211"/>
    <w:rsid w:val="00CE42E4"/>
    <w:rsid w:val="00CE4714"/>
    <w:rsid w:val="00CE489A"/>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A9C"/>
    <w:rsid w:val="00CF1C31"/>
    <w:rsid w:val="00CF1DC5"/>
    <w:rsid w:val="00CF1F0A"/>
    <w:rsid w:val="00CF2053"/>
    <w:rsid w:val="00CF20DC"/>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308"/>
    <w:rsid w:val="00CF53DD"/>
    <w:rsid w:val="00CF5897"/>
    <w:rsid w:val="00CF6103"/>
    <w:rsid w:val="00CF6189"/>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30C"/>
    <w:rsid w:val="00D01579"/>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B8"/>
    <w:rsid w:val="00D15169"/>
    <w:rsid w:val="00D1533D"/>
    <w:rsid w:val="00D1539D"/>
    <w:rsid w:val="00D15AB6"/>
    <w:rsid w:val="00D15B0E"/>
    <w:rsid w:val="00D16325"/>
    <w:rsid w:val="00D167AF"/>
    <w:rsid w:val="00D17095"/>
    <w:rsid w:val="00D17867"/>
    <w:rsid w:val="00D17885"/>
    <w:rsid w:val="00D1788C"/>
    <w:rsid w:val="00D1794C"/>
    <w:rsid w:val="00D1795C"/>
    <w:rsid w:val="00D17A38"/>
    <w:rsid w:val="00D2064F"/>
    <w:rsid w:val="00D20678"/>
    <w:rsid w:val="00D20B61"/>
    <w:rsid w:val="00D2173C"/>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4A"/>
    <w:rsid w:val="00D238CF"/>
    <w:rsid w:val="00D23B70"/>
    <w:rsid w:val="00D23E39"/>
    <w:rsid w:val="00D24024"/>
    <w:rsid w:val="00D241B1"/>
    <w:rsid w:val="00D241CF"/>
    <w:rsid w:val="00D247A0"/>
    <w:rsid w:val="00D24991"/>
    <w:rsid w:val="00D24A76"/>
    <w:rsid w:val="00D24B02"/>
    <w:rsid w:val="00D25104"/>
    <w:rsid w:val="00D25159"/>
    <w:rsid w:val="00D25347"/>
    <w:rsid w:val="00D25421"/>
    <w:rsid w:val="00D25473"/>
    <w:rsid w:val="00D25A50"/>
    <w:rsid w:val="00D25ABA"/>
    <w:rsid w:val="00D261F3"/>
    <w:rsid w:val="00D26B85"/>
    <w:rsid w:val="00D27132"/>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309D"/>
    <w:rsid w:val="00D43131"/>
    <w:rsid w:val="00D43F84"/>
    <w:rsid w:val="00D43F9C"/>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CF"/>
    <w:rsid w:val="00D501E2"/>
    <w:rsid w:val="00D50255"/>
    <w:rsid w:val="00D5042C"/>
    <w:rsid w:val="00D50665"/>
    <w:rsid w:val="00D506F1"/>
    <w:rsid w:val="00D50BCB"/>
    <w:rsid w:val="00D50C95"/>
    <w:rsid w:val="00D5120D"/>
    <w:rsid w:val="00D51487"/>
    <w:rsid w:val="00D51AE0"/>
    <w:rsid w:val="00D51D1A"/>
    <w:rsid w:val="00D51FC9"/>
    <w:rsid w:val="00D52415"/>
    <w:rsid w:val="00D5282B"/>
    <w:rsid w:val="00D537C9"/>
    <w:rsid w:val="00D537E2"/>
    <w:rsid w:val="00D53B0C"/>
    <w:rsid w:val="00D53FA3"/>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1CF8"/>
    <w:rsid w:val="00D7262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A89"/>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B5A"/>
    <w:rsid w:val="00D85F1F"/>
    <w:rsid w:val="00D862B6"/>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3DB"/>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2F27"/>
    <w:rsid w:val="00DA3B12"/>
    <w:rsid w:val="00DA3B83"/>
    <w:rsid w:val="00DA3D2E"/>
    <w:rsid w:val="00DA441C"/>
    <w:rsid w:val="00DA455C"/>
    <w:rsid w:val="00DA46AC"/>
    <w:rsid w:val="00DA4BD8"/>
    <w:rsid w:val="00DA4D23"/>
    <w:rsid w:val="00DA4FAD"/>
    <w:rsid w:val="00DA5708"/>
    <w:rsid w:val="00DA589A"/>
    <w:rsid w:val="00DA5FE6"/>
    <w:rsid w:val="00DA620C"/>
    <w:rsid w:val="00DA6987"/>
    <w:rsid w:val="00DA69E9"/>
    <w:rsid w:val="00DA69F2"/>
    <w:rsid w:val="00DA6C9C"/>
    <w:rsid w:val="00DA6DA9"/>
    <w:rsid w:val="00DA6DDD"/>
    <w:rsid w:val="00DA73EC"/>
    <w:rsid w:val="00DA748E"/>
    <w:rsid w:val="00DA7885"/>
    <w:rsid w:val="00DA7A03"/>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385"/>
    <w:rsid w:val="00DC4556"/>
    <w:rsid w:val="00DC4702"/>
    <w:rsid w:val="00DC4D64"/>
    <w:rsid w:val="00DC4DA2"/>
    <w:rsid w:val="00DC4F55"/>
    <w:rsid w:val="00DC530A"/>
    <w:rsid w:val="00DC5522"/>
    <w:rsid w:val="00DC558C"/>
    <w:rsid w:val="00DC56D9"/>
    <w:rsid w:val="00DC5CFE"/>
    <w:rsid w:val="00DC62D6"/>
    <w:rsid w:val="00DC6455"/>
    <w:rsid w:val="00DC6B2A"/>
    <w:rsid w:val="00DC7258"/>
    <w:rsid w:val="00DC7271"/>
    <w:rsid w:val="00DC757F"/>
    <w:rsid w:val="00DC765E"/>
    <w:rsid w:val="00DC7999"/>
    <w:rsid w:val="00DC7DDD"/>
    <w:rsid w:val="00DD032A"/>
    <w:rsid w:val="00DD0693"/>
    <w:rsid w:val="00DD0A4E"/>
    <w:rsid w:val="00DD0A5B"/>
    <w:rsid w:val="00DD0E0F"/>
    <w:rsid w:val="00DD1DDD"/>
    <w:rsid w:val="00DD1E9B"/>
    <w:rsid w:val="00DD2009"/>
    <w:rsid w:val="00DD21F4"/>
    <w:rsid w:val="00DD246F"/>
    <w:rsid w:val="00DD2B38"/>
    <w:rsid w:val="00DD3619"/>
    <w:rsid w:val="00DD369D"/>
    <w:rsid w:val="00DD3B63"/>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71AB"/>
    <w:rsid w:val="00DD7419"/>
    <w:rsid w:val="00DD7F45"/>
    <w:rsid w:val="00DD7F80"/>
    <w:rsid w:val="00DE0DC2"/>
    <w:rsid w:val="00DE0F4E"/>
    <w:rsid w:val="00DE10C1"/>
    <w:rsid w:val="00DE12ED"/>
    <w:rsid w:val="00DE1C5A"/>
    <w:rsid w:val="00DE1D16"/>
    <w:rsid w:val="00DE2343"/>
    <w:rsid w:val="00DE269E"/>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7D1"/>
    <w:rsid w:val="00DE69DA"/>
    <w:rsid w:val="00DE6BF9"/>
    <w:rsid w:val="00DE6D01"/>
    <w:rsid w:val="00DE7180"/>
    <w:rsid w:val="00DE72F1"/>
    <w:rsid w:val="00DE73D4"/>
    <w:rsid w:val="00DE7A03"/>
    <w:rsid w:val="00DE7B28"/>
    <w:rsid w:val="00DF0252"/>
    <w:rsid w:val="00DF085B"/>
    <w:rsid w:val="00DF148B"/>
    <w:rsid w:val="00DF1740"/>
    <w:rsid w:val="00DF1910"/>
    <w:rsid w:val="00DF1A5D"/>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F00"/>
    <w:rsid w:val="00DF4F2C"/>
    <w:rsid w:val="00DF5343"/>
    <w:rsid w:val="00DF5AB5"/>
    <w:rsid w:val="00DF5D60"/>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A8A"/>
    <w:rsid w:val="00E00B66"/>
    <w:rsid w:val="00E00DA0"/>
    <w:rsid w:val="00E011CE"/>
    <w:rsid w:val="00E01498"/>
    <w:rsid w:val="00E0172F"/>
    <w:rsid w:val="00E01771"/>
    <w:rsid w:val="00E01FA9"/>
    <w:rsid w:val="00E02224"/>
    <w:rsid w:val="00E0238D"/>
    <w:rsid w:val="00E02495"/>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620"/>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C95"/>
    <w:rsid w:val="00E22D57"/>
    <w:rsid w:val="00E22EFE"/>
    <w:rsid w:val="00E23297"/>
    <w:rsid w:val="00E232FF"/>
    <w:rsid w:val="00E23515"/>
    <w:rsid w:val="00E236ED"/>
    <w:rsid w:val="00E23C69"/>
    <w:rsid w:val="00E23D49"/>
    <w:rsid w:val="00E24011"/>
    <w:rsid w:val="00E24267"/>
    <w:rsid w:val="00E2456C"/>
    <w:rsid w:val="00E245E4"/>
    <w:rsid w:val="00E24B22"/>
    <w:rsid w:val="00E24DA3"/>
    <w:rsid w:val="00E25043"/>
    <w:rsid w:val="00E2539C"/>
    <w:rsid w:val="00E25424"/>
    <w:rsid w:val="00E266B2"/>
    <w:rsid w:val="00E266E3"/>
    <w:rsid w:val="00E26A41"/>
    <w:rsid w:val="00E26E91"/>
    <w:rsid w:val="00E275BA"/>
    <w:rsid w:val="00E27909"/>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2C3"/>
    <w:rsid w:val="00E33BBB"/>
    <w:rsid w:val="00E33BE9"/>
    <w:rsid w:val="00E33CA8"/>
    <w:rsid w:val="00E341DC"/>
    <w:rsid w:val="00E34398"/>
    <w:rsid w:val="00E345E4"/>
    <w:rsid w:val="00E34898"/>
    <w:rsid w:val="00E34C96"/>
    <w:rsid w:val="00E34D75"/>
    <w:rsid w:val="00E3563B"/>
    <w:rsid w:val="00E35642"/>
    <w:rsid w:val="00E358C0"/>
    <w:rsid w:val="00E359CD"/>
    <w:rsid w:val="00E35BAA"/>
    <w:rsid w:val="00E3622F"/>
    <w:rsid w:val="00E36333"/>
    <w:rsid w:val="00E36500"/>
    <w:rsid w:val="00E365C2"/>
    <w:rsid w:val="00E365C7"/>
    <w:rsid w:val="00E366A1"/>
    <w:rsid w:val="00E36899"/>
    <w:rsid w:val="00E368C3"/>
    <w:rsid w:val="00E36B1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51D"/>
    <w:rsid w:val="00E456E7"/>
    <w:rsid w:val="00E45DDE"/>
    <w:rsid w:val="00E46198"/>
    <w:rsid w:val="00E46286"/>
    <w:rsid w:val="00E46380"/>
    <w:rsid w:val="00E46778"/>
    <w:rsid w:val="00E46ADC"/>
    <w:rsid w:val="00E46B79"/>
    <w:rsid w:val="00E473AB"/>
    <w:rsid w:val="00E47C97"/>
    <w:rsid w:val="00E47E93"/>
    <w:rsid w:val="00E501D6"/>
    <w:rsid w:val="00E50322"/>
    <w:rsid w:val="00E503CA"/>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839"/>
    <w:rsid w:val="00E5787F"/>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319"/>
    <w:rsid w:val="00E6144A"/>
    <w:rsid w:val="00E616AE"/>
    <w:rsid w:val="00E6172A"/>
    <w:rsid w:val="00E61E5A"/>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FFC"/>
    <w:rsid w:val="00E86377"/>
    <w:rsid w:val="00E8641B"/>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B30"/>
    <w:rsid w:val="00E92CAE"/>
    <w:rsid w:val="00E92CD1"/>
    <w:rsid w:val="00E92D1C"/>
    <w:rsid w:val="00E92EFF"/>
    <w:rsid w:val="00E9394F"/>
    <w:rsid w:val="00E93B5D"/>
    <w:rsid w:val="00E93C95"/>
    <w:rsid w:val="00E93EEB"/>
    <w:rsid w:val="00E94CEB"/>
    <w:rsid w:val="00E94E40"/>
    <w:rsid w:val="00E95180"/>
    <w:rsid w:val="00E951C4"/>
    <w:rsid w:val="00E9526F"/>
    <w:rsid w:val="00E958FB"/>
    <w:rsid w:val="00E95D65"/>
    <w:rsid w:val="00E95EA0"/>
    <w:rsid w:val="00E96016"/>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61B4"/>
    <w:rsid w:val="00EC69AD"/>
    <w:rsid w:val="00EC6C08"/>
    <w:rsid w:val="00EC6CDC"/>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A63"/>
    <w:rsid w:val="00EE1C5F"/>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A93"/>
    <w:rsid w:val="00EE6CA4"/>
    <w:rsid w:val="00EE7352"/>
    <w:rsid w:val="00EE73BE"/>
    <w:rsid w:val="00EE7D7C"/>
    <w:rsid w:val="00EF01BF"/>
    <w:rsid w:val="00EF0765"/>
    <w:rsid w:val="00EF0970"/>
    <w:rsid w:val="00EF0B79"/>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575"/>
    <w:rsid w:val="00EF464A"/>
    <w:rsid w:val="00EF46B4"/>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81F"/>
    <w:rsid w:val="00EF7AB1"/>
    <w:rsid w:val="00EF7B91"/>
    <w:rsid w:val="00EF7EC1"/>
    <w:rsid w:val="00F005BF"/>
    <w:rsid w:val="00F00616"/>
    <w:rsid w:val="00F00622"/>
    <w:rsid w:val="00F0108D"/>
    <w:rsid w:val="00F01311"/>
    <w:rsid w:val="00F01AB4"/>
    <w:rsid w:val="00F01AC1"/>
    <w:rsid w:val="00F020BE"/>
    <w:rsid w:val="00F02197"/>
    <w:rsid w:val="00F025A2"/>
    <w:rsid w:val="00F027A6"/>
    <w:rsid w:val="00F0282F"/>
    <w:rsid w:val="00F02F33"/>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643"/>
    <w:rsid w:val="00F10B4F"/>
    <w:rsid w:val="00F10BD4"/>
    <w:rsid w:val="00F10F56"/>
    <w:rsid w:val="00F116FD"/>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7C7"/>
    <w:rsid w:val="00F23893"/>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2061"/>
    <w:rsid w:val="00F42915"/>
    <w:rsid w:val="00F4296A"/>
    <w:rsid w:val="00F43846"/>
    <w:rsid w:val="00F438CA"/>
    <w:rsid w:val="00F43A82"/>
    <w:rsid w:val="00F43C6B"/>
    <w:rsid w:val="00F43D0B"/>
    <w:rsid w:val="00F441CB"/>
    <w:rsid w:val="00F44447"/>
    <w:rsid w:val="00F4455D"/>
    <w:rsid w:val="00F44768"/>
    <w:rsid w:val="00F447E9"/>
    <w:rsid w:val="00F4500D"/>
    <w:rsid w:val="00F45382"/>
    <w:rsid w:val="00F453AD"/>
    <w:rsid w:val="00F45578"/>
    <w:rsid w:val="00F456F6"/>
    <w:rsid w:val="00F45F7F"/>
    <w:rsid w:val="00F4614C"/>
    <w:rsid w:val="00F46976"/>
    <w:rsid w:val="00F46A64"/>
    <w:rsid w:val="00F46B51"/>
    <w:rsid w:val="00F46DEF"/>
    <w:rsid w:val="00F472D5"/>
    <w:rsid w:val="00F473A4"/>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D0E"/>
    <w:rsid w:val="00F73E99"/>
    <w:rsid w:val="00F74380"/>
    <w:rsid w:val="00F747EB"/>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957"/>
    <w:rsid w:val="00F82B7C"/>
    <w:rsid w:val="00F82C01"/>
    <w:rsid w:val="00F82C34"/>
    <w:rsid w:val="00F832AB"/>
    <w:rsid w:val="00F836F4"/>
    <w:rsid w:val="00F8387B"/>
    <w:rsid w:val="00F83B6A"/>
    <w:rsid w:val="00F83C1C"/>
    <w:rsid w:val="00F83E08"/>
    <w:rsid w:val="00F83EC4"/>
    <w:rsid w:val="00F849A6"/>
    <w:rsid w:val="00F84A8C"/>
    <w:rsid w:val="00F84AA5"/>
    <w:rsid w:val="00F84B4B"/>
    <w:rsid w:val="00F84FD6"/>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5F4"/>
    <w:rsid w:val="00FA7647"/>
    <w:rsid w:val="00FA7BED"/>
    <w:rsid w:val="00FA7C0E"/>
    <w:rsid w:val="00FA7C97"/>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3232"/>
    <w:rsid w:val="00FB32B5"/>
    <w:rsid w:val="00FB3486"/>
    <w:rsid w:val="00FB377C"/>
    <w:rsid w:val="00FB3E97"/>
    <w:rsid w:val="00FB3F6F"/>
    <w:rsid w:val="00FB3FD6"/>
    <w:rsid w:val="00FB40F7"/>
    <w:rsid w:val="00FB4125"/>
    <w:rsid w:val="00FB4401"/>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48A"/>
    <w:rsid w:val="00FD05B6"/>
    <w:rsid w:val="00FD06CE"/>
    <w:rsid w:val="00FD08ED"/>
    <w:rsid w:val="00FD0B5C"/>
    <w:rsid w:val="00FD1252"/>
    <w:rsid w:val="00FD181E"/>
    <w:rsid w:val="00FD1AD6"/>
    <w:rsid w:val="00FD2266"/>
    <w:rsid w:val="00FD22E8"/>
    <w:rsid w:val="00FD24AF"/>
    <w:rsid w:val="00FD25B9"/>
    <w:rsid w:val="00FD2D49"/>
    <w:rsid w:val="00FD2FF9"/>
    <w:rsid w:val="00FD38D2"/>
    <w:rsid w:val="00FD38DE"/>
    <w:rsid w:val="00FD3924"/>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6FE4"/>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7C"/>
    <w:rsid w:val="00FE17FD"/>
    <w:rsid w:val="00FE1AF6"/>
    <w:rsid w:val="00FE1F6F"/>
    <w:rsid w:val="00FE2099"/>
    <w:rsid w:val="00FE259D"/>
    <w:rsid w:val="00FE2A35"/>
    <w:rsid w:val="00FE2A47"/>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F00F4"/>
    <w:rsid w:val="00FF01A1"/>
    <w:rsid w:val="00FF035C"/>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C1AC1DE"/>
  <w15:docId w15:val="{B0CD824B-5D0C-4ABA-8B9A-3CD288F1EA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a">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0"/>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0F3B47"/>
    <w:pPr>
      <w:pBdr>
        <w:top w:val="none" w:sz="0" w:space="0" w:color="auto"/>
      </w:pBdr>
      <w:spacing w:before="180"/>
      <w:outlineLvl w:val="1"/>
    </w:pPr>
    <w:rPr>
      <w:sz w:val="32"/>
    </w:rPr>
  </w:style>
  <w:style w:type="paragraph" w:styleId="3">
    <w:name w:val="heading 3"/>
    <w:basedOn w:val="2"/>
    <w:next w:val="a"/>
    <w:link w:val="30"/>
    <w:qFormat/>
    <w:rsid w:val="000F3B47"/>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0F3B47"/>
    <w:pPr>
      <w:ind w:left="1418" w:hanging="1418"/>
      <w:outlineLvl w:val="3"/>
    </w:pPr>
    <w:rPr>
      <w:sz w:val="24"/>
    </w:rPr>
  </w:style>
  <w:style w:type="paragraph" w:styleId="5">
    <w:name w:val="heading 5"/>
    <w:basedOn w:val="4"/>
    <w:next w:val="a"/>
    <w:link w:val="50"/>
    <w:qFormat/>
    <w:rsid w:val="000F3B47"/>
    <w:pPr>
      <w:ind w:left="1701" w:hanging="1701"/>
      <w:outlineLvl w:val="4"/>
    </w:pPr>
    <w:rPr>
      <w:sz w:val="22"/>
    </w:rPr>
  </w:style>
  <w:style w:type="paragraph" w:styleId="6">
    <w:name w:val="heading 6"/>
    <w:basedOn w:val="H6"/>
    <w:next w:val="a"/>
    <w:link w:val="60"/>
    <w:qFormat/>
    <w:rsid w:val="000F3B47"/>
    <w:pPr>
      <w:outlineLvl w:val="5"/>
    </w:pPr>
  </w:style>
  <w:style w:type="paragraph" w:styleId="7">
    <w:name w:val="heading 7"/>
    <w:basedOn w:val="H6"/>
    <w:next w:val="a"/>
    <w:link w:val="70"/>
    <w:qFormat/>
    <w:rsid w:val="000F3B47"/>
    <w:pPr>
      <w:outlineLvl w:val="6"/>
    </w:pPr>
  </w:style>
  <w:style w:type="paragraph" w:styleId="8">
    <w:name w:val="heading 8"/>
    <w:basedOn w:val="1"/>
    <w:next w:val="a"/>
    <w:link w:val="80"/>
    <w:qFormat/>
    <w:rsid w:val="000F3B47"/>
    <w:pPr>
      <w:ind w:left="0" w:firstLine="0"/>
      <w:outlineLvl w:val="7"/>
    </w:pPr>
  </w:style>
  <w:style w:type="paragraph" w:styleId="9">
    <w:name w:val="heading 9"/>
    <w:basedOn w:val="8"/>
    <w:next w:val="a"/>
    <w:link w:val="90"/>
    <w:qFormat/>
    <w:rsid w:val="000F3B47"/>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3958A6"/>
    <w:rPr>
      <w:rFonts w:ascii="Arial" w:eastAsia="Times New Roman" w:hAnsi="Arial"/>
      <w:sz w:val="36"/>
      <w:lang w:val="en-GB" w:eastAsia="ja-JP"/>
    </w:rPr>
  </w:style>
  <w:style w:type="character" w:customStyle="1" w:styleId="20">
    <w:name w:val="标题 2 字符"/>
    <w:link w:val="2"/>
    <w:rsid w:val="003958A6"/>
    <w:rPr>
      <w:rFonts w:ascii="Arial" w:eastAsia="Times New Roman" w:hAnsi="Arial"/>
      <w:sz w:val="32"/>
      <w:lang w:val="en-GB" w:eastAsia="ja-JP"/>
    </w:rPr>
  </w:style>
  <w:style w:type="character" w:customStyle="1" w:styleId="30">
    <w:name w:val="标题 3 字符"/>
    <w:link w:val="3"/>
    <w:qFormat/>
    <w:rsid w:val="003958A6"/>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3958A6"/>
    <w:rPr>
      <w:rFonts w:ascii="Arial" w:eastAsia="Times New Roman" w:hAnsi="Arial"/>
      <w:sz w:val="24"/>
      <w:lang w:val="en-GB" w:eastAsia="ja-JP"/>
    </w:rPr>
  </w:style>
  <w:style w:type="character" w:customStyle="1" w:styleId="50">
    <w:name w:val="标题 5 字符"/>
    <w:link w:val="5"/>
    <w:qFormat/>
    <w:rsid w:val="003958A6"/>
    <w:rPr>
      <w:rFonts w:ascii="Arial" w:eastAsia="Times New Roman" w:hAnsi="Arial"/>
      <w:sz w:val="22"/>
      <w:lang w:val="en-GB" w:eastAsia="ja-JP"/>
    </w:rPr>
  </w:style>
  <w:style w:type="paragraph" w:customStyle="1" w:styleId="H6">
    <w:name w:val="H6"/>
    <w:basedOn w:val="5"/>
    <w:next w:val="a"/>
    <w:rsid w:val="000F3B47"/>
    <w:pPr>
      <w:ind w:left="1985" w:hanging="1985"/>
      <w:outlineLvl w:val="9"/>
    </w:pPr>
    <w:rPr>
      <w:sz w:val="20"/>
    </w:rPr>
  </w:style>
  <w:style w:type="character" w:customStyle="1" w:styleId="60">
    <w:name w:val="标题 6 字符"/>
    <w:link w:val="6"/>
    <w:qFormat/>
    <w:rsid w:val="003958A6"/>
    <w:rPr>
      <w:rFonts w:ascii="Arial" w:eastAsia="Times New Roman" w:hAnsi="Arial"/>
      <w:lang w:val="en-GB" w:eastAsia="ja-JP"/>
    </w:rPr>
  </w:style>
  <w:style w:type="character" w:customStyle="1" w:styleId="70">
    <w:name w:val="标题 7 字符"/>
    <w:link w:val="7"/>
    <w:rsid w:val="003958A6"/>
    <w:rPr>
      <w:rFonts w:ascii="Arial" w:eastAsia="Times New Roman" w:hAnsi="Arial"/>
      <w:lang w:val="en-GB" w:eastAsia="ja-JP"/>
    </w:rPr>
  </w:style>
  <w:style w:type="character" w:customStyle="1" w:styleId="80">
    <w:name w:val="标题 8 字符"/>
    <w:link w:val="8"/>
    <w:rsid w:val="003958A6"/>
    <w:rPr>
      <w:rFonts w:ascii="Arial" w:eastAsia="Times New Roman" w:hAnsi="Arial"/>
      <w:sz w:val="36"/>
      <w:lang w:val="en-GB" w:eastAsia="ja-JP"/>
    </w:rPr>
  </w:style>
  <w:style w:type="character" w:customStyle="1" w:styleId="90">
    <w:name w:val="标题 9 字符"/>
    <w:link w:val="9"/>
    <w:rsid w:val="003958A6"/>
    <w:rPr>
      <w:rFonts w:ascii="Arial" w:eastAsia="Times New Roman" w:hAnsi="Arial"/>
      <w:sz w:val="36"/>
      <w:lang w:val="en-GB" w:eastAsia="ja-JP"/>
    </w:rPr>
  </w:style>
  <w:style w:type="paragraph" w:styleId="TOC9">
    <w:name w:val="toc 9"/>
    <w:basedOn w:val="TOC8"/>
    <w:uiPriority w:val="39"/>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a"/>
    <w:next w:val="a"/>
    <w:uiPriority w:val="99"/>
    <w:qFormat/>
    <w:rsid w:val="000F3B47"/>
    <w:pPr>
      <w:keepLines/>
      <w:tabs>
        <w:tab w:val="center" w:pos="4536"/>
        <w:tab w:val="right" w:pos="9072"/>
      </w:tabs>
    </w:pPr>
    <w:rPr>
      <w:noProof/>
    </w:rPr>
  </w:style>
  <w:style w:type="character" w:customStyle="1" w:styleId="ZGSM">
    <w:name w:val="ZGSM"/>
    <w:rsid w:val="000F3B4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qFormat/>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qFormat/>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a5">
    <w:name w:val="footer"/>
    <w:basedOn w:val="a3"/>
    <w:link w:val="a6"/>
    <w:rsid w:val="000F3B47"/>
    <w:pPr>
      <w:jc w:val="center"/>
    </w:pPr>
    <w:rPr>
      <w:i/>
    </w:rPr>
  </w:style>
  <w:style w:type="character" w:customStyle="1" w:styleId="a6">
    <w:name w:val="页脚 字符"/>
    <w:link w:val="a5"/>
    <w:rsid w:val="003958A6"/>
    <w:rPr>
      <w:rFonts w:ascii="Arial" w:eastAsia="Times New Roman" w:hAnsi="Arial"/>
      <w:b/>
      <w:i/>
      <w:noProof/>
      <w:sz w:val="18"/>
      <w:lang w:val="en-GB" w:eastAsia="ja-JP"/>
    </w:rPr>
  </w:style>
  <w:style w:type="paragraph" w:customStyle="1" w:styleId="TT">
    <w:name w:val="TT"/>
    <w:basedOn w:val="1"/>
    <w:next w:val="a"/>
    <w:rsid w:val="000F3B47"/>
    <w:pPr>
      <w:outlineLvl w:val="9"/>
    </w:pPr>
  </w:style>
  <w:style w:type="paragraph" w:customStyle="1" w:styleId="NO">
    <w:name w:val="NO"/>
    <w:basedOn w:val="a"/>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0F3B47"/>
    <w:pPr>
      <w:jc w:val="right"/>
    </w:pPr>
  </w:style>
  <w:style w:type="paragraph" w:customStyle="1" w:styleId="TAL">
    <w:name w:val="TAL"/>
    <w:basedOn w:val="a"/>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qFormat/>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a"/>
    <w:link w:val="EXChar"/>
    <w:qFormat/>
    <w:rsid w:val="000F3B47"/>
    <w:pPr>
      <w:keepLines/>
      <w:ind w:left="1702" w:hanging="1418"/>
    </w:pPr>
  </w:style>
  <w:style w:type="paragraph" w:customStyle="1" w:styleId="FP">
    <w:name w:val="FP"/>
    <w:basedOn w:val="a"/>
    <w:qFormat/>
    <w:rsid w:val="000F3B47"/>
    <w:pPr>
      <w:spacing w:after="0"/>
    </w:pPr>
  </w:style>
  <w:style w:type="paragraph" w:customStyle="1" w:styleId="EW">
    <w:name w:val="EW"/>
    <w:basedOn w:val="EX"/>
    <w:qFormat/>
    <w:rsid w:val="000F3B47"/>
    <w:pPr>
      <w:spacing w:after="0"/>
    </w:pPr>
  </w:style>
  <w:style w:type="paragraph" w:customStyle="1" w:styleId="B1">
    <w:name w:val="B1"/>
    <w:basedOn w:val="a7"/>
    <w:link w:val="B1Char1"/>
    <w:qFormat/>
    <w:rsid w:val="000F3B47"/>
  </w:style>
  <w:style w:type="paragraph" w:styleId="a7">
    <w:name w:val="List"/>
    <w:basedOn w:val="a"/>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a"/>
    <w:uiPriority w:val="39"/>
    <w:rsid w:val="000F3B47"/>
    <w:pPr>
      <w:ind w:left="1985" w:hanging="1985"/>
    </w:pPr>
  </w:style>
  <w:style w:type="paragraph" w:styleId="TOC7">
    <w:name w:val="toc 7"/>
    <w:basedOn w:val="TOC6"/>
    <w:next w:val="a"/>
    <w:uiPriority w:val="39"/>
    <w:rsid w:val="000F3B47"/>
    <w:pPr>
      <w:ind w:left="2268" w:hanging="2268"/>
    </w:pPr>
  </w:style>
  <w:style w:type="paragraph" w:customStyle="1" w:styleId="EditorsNote">
    <w:name w:val="Editor's Note"/>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a"/>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qFormat/>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21"/>
    <w:link w:val="B2Char"/>
    <w:qFormat/>
    <w:rsid w:val="000F3B47"/>
  </w:style>
  <w:style w:type="paragraph" w:styleId="21">
    <w:name w:val="List 2"/>
    <w:basedOn w:val="a7"/>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31"/>
    <w:link w:val="B3Char2"/>
    <w:qFormat/>
    <w:rsid w:val="000F3B47"/>
  </w:style>
  <w:style w:type="paragraph" w:styleId="31">
    <w:name w:val="List 3"/>
    <w:basedOn w:val="21"/>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41"/>
    <w:link w:val="B4Char"/>
    <w:qFormat/>
    <w:rsid w:val="000F3B47"/>
  </w:style>
  <w:style w:type="paragraph" w:styleId="41">
    <w:name w:val="List 4"/>
    <w:basedOn w:val="31"/>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51"/>
    <w:link w:val="B5Char"/>
    <w:qFormat/>
    <w:rsid w:val="000F3B47"/>
  </w:style>
  <w:style w:type="paragraph" w:styleId="51">
    <w:name w:val="List 5"/>
    <w:basedOn w:val="41"/>
    <w:rsid w:val="000F3B47"/>
    <w:pPr>
      <w:ind w:left="1702"/>
    </w:pPr>
  </w:style>
  <w:style w:type="character" w:customStyle="1" w:styleId="B5Char">
    <w:name w:val="B5 Char"/>
    <w:link w:val="B5"/>
    <w:qFormat/>
    <w:rsid w:val="003958A6"/>
    <w:rPr>
      <w:rFonts w:eastAsia="Times New Roman"/>
      <w:lang w:val="en-GB" w:eastAsia="ja-JP"/>
    </w:rPr>
  </w:style>
  <w:style w:type="paragraph" w:styleId="22">
    <w:name w:val="index 2"/>
    <w:basedOn w:val="11"/>
    <w:qFormat/>
    <w:rsid w:val="000F3B47"/>
    <w:pPr>
      <w:ind w:left="284"/>
    </w:pPr>
  </w:style>
  <w:style w:type="paragraph" w:styleId="11">
    <w:name w:val="index 1"/>
    <w:basedOn w:val="a"/>
    <w:qFormat/>
    <w:rsid w:val="000F3B47"/>
    <w:pPr>
      <w:keepLines/>
      <w:spacing w:after="0"/>
    </w:pPr>
  </w:style>
  <w:style w:type="paragraph" w:styleId="23">
    <w:name w:val="List Number 2"/>
    <w:basedOn w:val="a8"/>
    <w:rsid w:val="000F3B47"/>
    <w:pPr>
      <w:ind w:left="851"/>
    </w:pPr>
  </w:style>
  <w:style w:type="paragraph" w:styleId="a8">
    <w:name w:val="List Number"/>
    <w:basedOn w:val="a7"/>
    <w:rsid w:val="000F3B47"/>
  </w:style>
  <w:style w:type="character" w:styleId="a9">
    <w:name w:val="footnote reference"/>
    <w:basedOn w:val="a0"/>
    <w:rsid w:val="000F3B47"/>
    <w:rPr>
      <w:b/>
      <w:position w:val="6"/>
      <w:sz w:val="16"/>
    </w:rPr>
  </w:style>
  <w:style w:type="paragraph" w:styleId="aa">
    <w:name w:val="footnote text"/>
    <w:basedOn w:val="a"/>
    <w:link w:val="ab"/>
    <w:rsid w:val="000F3B47"/>
    <w:pPr>
      <w:keepLines/>
      <w:spacing w:after="0"/>
      <w:ind w:left="454" w:hanging="454"/>
    </w:pPr>
    <w:rPr>
      <w:sz w:val="16"/>
    </w:rPr>
  </w:style>
  <w:style w:type="character" w:customStyle="1" w:styleId="ab">
    <w:name w:val="脚注文本 字符"/>
    <w:link w:val="aa"/>
    <w:rsid w:val="003958A6"/>
    <w:rPr>
      <w:rFonts w:eastAsia="Times New Roman"/>
      <w:sz w:val="16"/>
      <w:lang w:val="en-GB" w:eastAsia="ja-JP"/>
    </w:rPr>
  </w:style>
  <w:style w:type="paragraph" w:styleId="24">
    <w:name w:val="List Bullet 2"/>
    <w:basedOn w:val="ac"/>
    <w:link w:val="25"/>
    <w:qFormat/>
    <w:rsid w:val="000F3B47"/>
    <w:pPr>
      <w:ind w:left="851"/>
    </w:pPr>
  </w:style>
  <w:style w:type="paragraph" w:styleId="ac">
    <w:name w:val="List Bullet"/>
    <w:basedOn w:val="a7"/>
    <w:rsid w:val="000F3B47"/>
  </w:style>
  <w:style w:type="paragraph" w:styleId="32">
    <w:name w:val="List Bullet 3"/>
    <w:basedOn w:val="24"/>
    <w:rsid w:val="000F3B47"/>
    <w:pPr>
      <w:ind w:left="1135"/>
    </w:pPr>
  </w:style>
  <w:style w:type="paragraph" w:styleId="42">
    <w:name w:val="List Bullet 4"/>
    <w:basedOn w:val="32"/>
    <w:rsid w:val="000F3B47"/>
    <w:pPr>
      <w:ind w:left="1418"/>
    </w:pPr>
  </w:style>
  <w:style w:type="paragraph" w:styleId="52">
    <w:name w:val="List Bullet 5"/>
    <w:basedOn w:val="42"/>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ad">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qFormat/>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ae">
    <w:name w:val="Balloon Text"/>
    <w:basedOn w:val="a"/>
    <w:link w:val="af"/>
    <w:semiHidden/>
    <w:unhideWhenUsed/>
    <w:qFormat/>
    <w:rsid w:val="0055457B"/>
    <w:pPr>
      <w:spacing w:after="0"/>
    </w:pPr>
    <w:rPr>
      <w:rFonts w:ascii="Segoe UI" w:hAnsi="Segoe UI" w:cs="Segoe UI"/>
      <w:sz w:val="18"/>
      <w:szCs w:val="18"/>
    </w:rPr>
  </w:style>
  <w:style w:type="character" w:customStyle="1" w:styleId="af">
    <w:name w:val="批注框文本 字符"/>
    <w:basedOn w:val="a0"/>
    <w:link w:val="ae"/>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af0">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af1">
    <w:name w:val="annotation reference"/>
    <w:basedOn w:val="a0"/>
    <w:qFormat/>
    <w:rsid w:val="00394471"/>
    <w:rPr>
      <w:sz w:val="16"/>
      <w:szCs w:val="16"/>
    </w:rPr>
  </w:style>
  <w:style w:type="paragraph" w:styleId="af2">
    <w:name w:val="annotation text"/>
    <w:basedOn w:val="a"/>
    <w:link w:val="af3"/>
    <w:uiPriority w:val="99"/>
    <w:qFormat/>
    <w:rsid w:val="00394471"/>
  </w:style>
  <w:style w:type="character" w:customStyle="1" w:styleId="af3">
    <w:name w:val="批注文字 字符"/>
    <w:basedOn w:val="a0"/>
    <w:link w:val="af2"/>
    <w:uiPriority w:val="99"/>
    <w:qFormat/>
    <w:rsid w:val="00394471"/>
    <w:rPr>
      <w:rFonts w:eastAsia="Times New Roman"/>
      <w:lang w:val="en-GB" w:eastAsia="ja-JP"/>
    </w:rPr>
  </w:style>
  <w:style w:type="paragraph" w:styleId="af4">
    <w:name w:val="annotation subject"/>
    <w:basedOn w:val="af2"/>
    <w:next w:val="af2"/>
    <w:link w:val="af5"/>
    <w:qFormat/>
    <w:rsid w:val="00394471"/>
    <w:rPr>
      <w:b/>
      <w:bCs/>
    </w:rPr>
  </w:style>
  <w:style w:type="character" w:customStyle="1" w:styleId="af5">
    <w:name w:val="批注主题 字符"/>
    <w:basedOn w:val="af3"/>
    <w:link w:val="af4"/>
    <w:rsid w:val="00394471"/>
    <w:rPr>
      <w:rFonts w:eastAsia="Times New Roman"/>
      <w:b/>
      <w:bCs/>
      <w:lang w:val="en-GB" w:eastAsia="ja-JP"/>
    </w:rPr>
  </w:style>
  <w:style w:type="paragraph" w:styleId="af6">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
    <w:basedOn w:val="a"/>
    <w:link w:val="af7"/>
    <w:uiPriority w:val="34"/>
    <w:qFormat/>
    <w:rsid w:val="00394471"/>
    <w:pPr>
      <w:ind w:left="720"/>
      <w:contextualSpacing/>
    </w:pPr>
  </w:style>
  <w:style w:type="character" w:customStyle="1" w:styleId="B3Char">
    <w:name w:val="B3 Char"/>
    <w:rsid w:val="004506E6"/>
    <w:rPr>
      <w:rFonts w:ascii="Times New Roman" w:hAnsi="Times New Roman"/>
      <w:lang w:val="en-GB" w:eastAsia="en-US"/>
    </w:rPr>
  </w:style>
  <w:style w:type="character" w:customStyle="1" w:styleId="B1Char">
    <w:name w:val="B1 Char"/>
    <w:qFormat/>
    <w:rsid w:val="00C24974"/>
    <w:rPr>
      <w:rFonts w:ascii="Times New Roman" w:hAnsi="Times New Roman"/>
      <w:lang w:val="en-GB" w:eastAsia="en-US"/>
    </w:rPr>
  </w:style>
  <w:style w:type="table" w:styleId="af8">
    <w:name w:val="Table Grid"/>
    <w:basedOn w:val="a1"/>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nhideWhenUsed/>
    <w:qFormat/>
    <w:rsid w:val="00A10112"/>
    <w:pPr>
      <w:spacing w:before="100" w:beforeAutospacing="1" w:after="100" w:afterAutospacing="1" w:line="259" w:lineRule="auto"/>
    </w:pPr>
    <w:rPr>
      <w:sz w:val="24"/>
      <w:szCs w:val="24"/>
      <w:lang w:eastAsia="en-GB"/>
    </w:rPr>
  </w:style>
  <w:style w:type="character" w:styleId="afa">
    <w:name w:val="Emphasis"/>
    <w:basedOn w:val="a0"/>
    <w:uiPriority w:val="20"/>
    <w:qFormat/>
    <w:rsid w:val="003C62ED"/>
    <w:rPr>
      <w:i/>
      <w:iCs/>
    </w:rPr>
  </w:style>
  <w:style w:type="character" w:customStyle="1" w:styleId="normaltextrun">
    <w:name w:val="normaltextrun"/>
    <w:basedOn w:val="a0"/>
    <w:rsid w:val="00774846"/>
  </w:style>
  <w:style w:type="character" w:customStyle="1" w:styleId="CharChar3">
    <w:name w:val="Char Char3"/>
    <w:rsid w:val="00A6480F"/>
    <w:rPr>
      <w:rFonts w:ascii="Courier New" w:hAnsi="Courier New"/>
      <w:lang w:val="nb-NO"/>
    </w:rPr>
  </w:style>
  <w:style w:type="character" w:customStyle="1" w:styleId="fontstyle01">
    <w:name w:val="fontstyle01"/>
    <w:basedOn w:val="a0"/>
    <w:rsid w:val="00AF74F7"/>
    <w:rPr>
      <w:rFonts w:ascii="TimesNewRomanPSMT" w:eastAsia="TimesNewRomanPSMT" w:hint="eastAsia"/>
      <w:color w:val="000000"/>
      <w:sz w:val="20"/>
      <w:szCs w:val="20"/>
    </w:rPr>
  </w:style>
  <w:style w:type="paragraph" w:customStyle="1" w:styleId="3GPPNormalText">
    <w:name w:val="3GPP Normal Text"/>
    <w:basedOn w:val="afb"/>
    <w:link w:val="3GPPNormalTextChar"/>
    <w:qFormat/>
    <w:rsid w:val="00807B1C"/>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807B1C"/>
    <w:rPr>
      <w:rFonts w:ascii="Arial" w:eastAsia="MS Mincho" w:hAnsi="Arial"/>
      <w:sz w:val="24"/>
      <w:szCs w:val="24"/>
      <w:lang w:val="en-GB" w:eastAsia="en-US"/>
    </w:rPr>
  </w:style>
  <w:style w:type="paragraph" w:styleId="afb">
    <w:name w:val="Body Text"/>
    <w:basedOn w:val="a"/>
    <w:link w:val="afc"/>
    <w:qFormat/>
    <w:rsid w:val="00807B1C"/>
    <w:pPr>
      <w:spacing w:after="120"/>
    </w:pPr>
  </w:style>
  <w:style w:type="character" w:customStyle="1" w:styleId="afc">
    <w:name w:val="正文文本 字符"/>
    <w:basedOn w:val="a0"/>
    <w:link w:val="afb"/>
    <w:rsid w:val="00807B1C"/>
    <w:rPr>
      <w:rFonts w:eastAsia="Times New Roman"/>
      <w:lang w:val="en-GB" w:eastAsia="ja-JP"/>
    </w:rPr>
  </w:style>
  <w:style w:type="character" w:customStyle="1" w:styleId="TALChar">
    <w:name w:val="TAL Char"/>
    <w:qFormat/>
    <w:locked/>
    <w:rsid w:val="00B44B7F"/>
    <w:rPr>
      <w:rFonts w:ascii="Arial" w:hAnsi="Arial"/>
      <w:sz w:val="18"/>
      <w:lang w:val="en-GB" w:eastAsia="en-US"/>
    </w:rPr>
  </w:style>
  <w:style w:type="paragraph" w:styleId="afd">
    <w:name w:val="Plain Text"/>
    <w:basedOn w:val="a"/>
    <w:link w:val="afe"/>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afe">
    <w:name w:val="纯文本 字符"/>
    <w:basedOn w:val="a0"/>
    <w:link w:val="afd"/>
    <w:uiPriority w:val="99"/>
    <w:rsid w:val="007B122D"/>
    <w:rPr>
      <w:rFonts w:ascii="Courier New" w:eastAsiaTheme="minorHAnsi" w:hAnsi="Courier New" w:cstheme="minorBidi"/>
      <w:sz w:val="22"/>
      <w:szCs w:val="22"/>
      <w:lang w:val="nb-NO" w:eastAsia="en-US"/>
    </w:rPr>
  </w:style>
  <w:style w:type="character" w:customStyle="1" w:styleId="af7">
    <w:name w:val="列表段落 字符"/>
    <w:aliases w:val="- Bullets 字符,목록 단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6"/>
    <w:uiPriority w:val="34"/>
    <w:qFormat/>
    <w:rsid w:val="00F64D3E"/>
    <w:rPr>
      <w:rFonts w:eastAsia="Times New Roman"/>
      <w:lang w:val="en-GB" w:eastAsia="ja-JP"/>
    </w:rPr>
  </w:style>
  <w:style w:type="character" w:customStyle="1" w:styleId="B3Car">
    <w:name w:val="B3 Car"/>
    <w:rsid w:val="00C2567C"/>
    <w:rPr>
      <w:rFonts w:ascii="Times New Roman" w:hAnsi="Times New Roman"/>
      <w:lang w:val="en-GB" w:eastAsia="en-US"/>
    </w:rPr>
  </w:style>
  <w:style w:type="paragraph" w:styleId="33">
    <w:name w:val="Body Text 3"/>
    <w:basedOn w:val="a"/>
    <w:link w:val="34"/>
    <w:locked/>
    <w:rsid w:val="003E1563"/>
    <w:pPr>
      <w:spacing w:after="120"/>
    </w:pPr>
    <w:rPr>
      <w:sz w:val="16"/>
      <w:szCs w:val="16"/>
    </w:rPr>
  </w:style>
  <w:style w:type="character" w:customStyle="1" w:styleId="34">
    <w:name w:val="正文文本 3 字符"/>
    <w:basedOn w:val="a0"/>
    <w:link w:val="33"/>
    <w:qFormat/>
    <w:rsid w:val="003E1563"/>
    <w:rPr>
      <w:rFonts w:eastAsia="Times New Roman"/>
      <w:sz w:val="16"/>
      <w:szCs w:val="16"/>
      <w:lang w:val="en-GB" w:eastAsia="ja-JP"/>
    </w:rPr>
  </w:style>
  <w:style w:type="character" w:customStyle="1" w:styleId="25">
    <w:name w:val="列表项目符号 2 字符"/>
    <w:link w:val="24"/>
    <w:qFormat/>
    <w:rsid w:val="00BD2874"/>
    <w:rPr>
      <w:rFonts w:eastAsia="Times New Roman"/>
      <w:lang w:val="en-GB" w:eastAsia="ja-JP"/>
    </w:rPr>
  </w:style>
  <w:style w:type="character" w:customStyle="1" w:styleId="ui-provider">
    <w:name w:val="ui-provider"/>
    <w:basedOn w:val="a0"/>
    <w:rsid w:val="008F68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8800447">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70855405">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1098123">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78607627">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4238022">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58699907">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395787151">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4665984">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1608133">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152356">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18351123">
      <w:bodyDiv w:val="1"/>
      <w:marLeft w:val="0"/>
      <w:marRight w:val="0"/>
      <w:marTop w:val="0"/>
      <w:marBottom w:val="0"/>
      <w:divBdr>
        <w:top w:val="none" w:sz="0" w:space="0" w:color="auto"/>
        <w:left w:val="none" w:sz="0" w:space="0" w:color="auto"/>
        <w:bottom w:val="none" w:sz="0" w:space="0" w:color="auto"/>
        <w:right w:val="none" w:sz="0" w:space="0" w:color="auto"/>
      </w:divBdr>
    </w:div>
    <w:div w:id="519468081">
      <w:bodyDiv w:val="1"/>
      <w:marLeft w:val="0"/>
      <w:marRight w:val="0"/>
      <w:marTop w:val="0"/>
      <w:marBottom w:val="0"/>
      <w:divBdr>
        <w:top w:val="none" w:sz="0" w:space="0" w:color="auto"/>
        <w:left w:val="none" w:sz="0" w:space="0" w:color="auto"/>
        <w:bottom w:val="none" w:sz="0" w:space="0" w:color="auto"/>
        <w:right w:val="none" w:sz="0" w:space="0" w:color="auto"/>
      </w:divBdr>
    </w:div>
    <w:div w:id="524253647">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88318755">
      <w:bodyDiv w:val="1"/>
      <w:marLeft w:val="0"/>
      <w:marRight w:val="0"/>
      <w:marTop w:val="0"/>
      <w:marBottom w:val="0"/>
      <w:divBdr>
        <w:top w:val="none" w:sz="0" w:space="0" w:color="auto"/>
        <w:left w:val="none" w:sz="0" w:space="0" w:color="auto"/>
        <w:bottom w:val="none" w:sz="0" w:space="0" w:color="auto"/>
        <w:right w:val="none" w:sz="0" w:space="0" w:color="auto"/>
      </w:divBdr>
    </w:div>
    <w:div w:id="589193266">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1327799">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2927446">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5545075">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0812303">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79495345">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09521715">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1215513">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39320628">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507796">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19096831">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0091398">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03972169">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479498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30378692">
      <w:bodyDiv w:val="1"/>
      <w:marLeft w:val="0"/>
      <w:marRight w:val="0"/>
      <w:marTop w:val="0"/>
      <w:marBottom w:val="0"/>
      <w:divBdr>
        <w:top w:val="none" w:sz="0" w:space="0" w:color="auto"/>
        <w:left w:val="none" w:sz="0" w:space="0" w:color="auto"/>
        <w:bottom w:val="none" w:sz="0" w:space="0" w:color="auto"/>
        <w:right w:val="none" w:sz="0" w:space="0" w:color="auto"/>
      </w:divBdr>
    </w:div>
    <w:div w:id="1031220365">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5723861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2674934">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69116792">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13129665">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68318719">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1260389">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5911776">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0568203">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3141982">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13577363">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0883274">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78458014">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7171862">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56129896">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17987467">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342655">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1205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8464316">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19925883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603252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oleObject" Target="embeddings/oleObject1.bin"/><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3.bin"/><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wmf"/><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6.emf"/><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oleObject" Target="embeddings/oleObject2.bin"/><Relationship Id="rId28" Type="http://schemas.openxmlformats.org/officeDocument/2006/relationships/oleObject" Target="embeddings/oleObject4.bin"/><Relationship Id="rId10" Type="http://schemas.openxmlformats.org/officeDocument/2006/relationships/endnotes" Target="endnotes.xml"/><Relationship Id="rId19" Type="http://schemas.openxmlformats.org/officeDocument/2006/relationships/package" Target="embeddings/Microsoft_Visio_Drawing3.vsdx"/><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5.wmf"/><Relationship Id="rId27" Type="http://schemas.openxmlformats.org/officeDocument/2006/relationships/image" Target="media/image7.wmf"/><Relationship Id="rId30" Type="http://schemas.openxmlformats.org/officeDocument/2006/relationships/package" Target="embeddings/Microsoft_Visio_Drawing4.vsdx"/><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A00B08A2-083D-4E96-AAAC-DD20FF1D47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7C14753-A36A-4EF3-97D2-6A5A5509D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225</TotalTime>
  <Pages>894</Pages>
  <Words>347210</Words>
  <Characters>1979102</Characters>
  <Application>Microsoft Office Word</Application>
  <DocSecurity>0</DocSecurity>
  <Lines>16492</Lines>
  <Paragraphs>4643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2321669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17)</dc:subject>
  <dc:creator>MCC Support</dc:creator>
  <cp:keywords/>
  <dc:description/>
  <cp:lastModifiedBy>Huawei, HiSilicon</cp:lastModifiedBy>
  <cp:revision>12</cp:revision>
  <cp:lastPrinted>2017-05-08T10:55:00Z</cp:lastPrinted>
  <dcterms:created xsi:type="dcterms:W3CDTF">2023-09-28T08:06:00Z</dcterms:created>
  <dcterms:modified xsi:type="dcterms:W3CDTF">2023-12-06T10:17:00Z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y fmtid="{D5CDD505-2E9C-101B-9397-08002B2CF9AE}" pid="64" name="_2015_ms_pID_725343">
    <vt:lpwstr>(2)CteZriZUX/f59V+y7Juj1iYcOxPQvjVdJM66VzKiD9qR9zWVrq0Bqe/dHqoKknpR40AMO+Lw
6+OVboFuIS3cZaMQ/ha2nnUXMqn8STL9PX3k4YeV3NaMg2pBtH+cM48jJWhBhPAqbFhCTASl
AFuCuORwVhkaZewzGl2Z8njknLo2/OEOOJReJr3H0HmUQNRRRjG5dptZ/h+sqKzOgR2qzlTk
toGRJuQ8Y/sKFCFZ/N</vt:lpwstr>
  </property>
  <property fmtid="{D5CDD505-2E9C-101B-9397-08002B2CF9AE}" pid="65" name="_2015_ms_pID_7253431">
    <vt:lpwstr>7XXywKGjtH6gt14//fKPu+peW0rbLLacY00zd+v/1Ibrh54KQC/JOd
xaPPAbLkcYtLEF55e+fQl5VW+YJnAOI0AxfKYVMLM4+F0c1JXxl0FaU4oJOfb4EB+jO/Plz+
U/slaA3OtYwZAQb+RTXeZEYNp8o18wW3c5n9/rprPEzPfMVcyasEk6yLKbiMkjzp/W5B1d5U
YMd4ZVq9c9R0mIJ+</vt:lpwstr>
  </property>
</Properties>
</file>